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567" w:rsidRDefault="00224567">
      <w:pPr>
        <w:widowControl w:val="0"/>
        <w:spacing w:line="360" w:lineRule="auto"/>
        <w:ind w:left="3545" w:firstLine="709"/>
        <w:outlineLvl w:val="0"/>
        <w:rPr>
          <w:sz w:val="20"/>
          <w:lang w:val="es-ES_tradnl"/>
        </w:rPr>
      </w:pPr>
      <w:bookmarkStart w:id="0" w:name="_GoBack"/>
      <w:bookmarkEnd w:id="0"/>
      <w:r>
        <w:rPr>
          <w:sz w:val="20"/>
          <w:lang w:val="es-ES_tradnl"/>
        </w:rPr>
        <w:t>Causa nº 487/00</w:t>
      </w:r>
    </w:p>
    <w:p w:rsidR="00224567" w:rsidRDefault="00224567">
      <w:pPr>
        <w:widowControl w:val="0"/>
        <w:spacing w:line="360" w:lineRule="auto"/>
        <w:ind w:left="4249" w:firstLine="5"/>
        <w:rPr>
          <w:sz w:val="20"/>
          <w:lang w:val="es-ES_tradnl"/>
        </w:rPr>
      </w:pPr>
      <w:r>
        <w:rPr>
          <w:sz w:val="20"/>
          <w:lang w:val="es-ES_tradnl"/>
        </w:rPr>
        <w:t>“Telleldín, Ca</w:t>
      </w:r>
      <w:r>
        <w:rPr>
          <w:sz w:val="20"/>
          <w:lang w:val="es-ES_tradnl"/>
        </w:rPr>
        <w:t>r</w:t>
      </w:r>
      <w:r>
        <w:rPr>
          <w:sz w:val="20"/>
          <w:lang w:val="es-ES_tradnl"/>
        </w:rPr>
        <w:t xml:space="preserve">los Alberto </w:t>
      </w:r>
    </w:p>
    <w:p w:rsidR="00224567" w:rsidRDefault="00224567">
      <w:pPr>
        <w:widowControl w:val="0"/>
        <w:spacing w:line="360" w:lineRule="auto"/>
        <w:ind w:left="4244" w:firstLine="5"/>
        <w:rPr>
          <w:sz w:val="20"/>
          <w:lang w:val="es-ES_tradnl"/>
        </w:rPr>
      </w:pPr>
      <w:r>
        <w:rPr>
          <w:sz w:val="20"/>
          <w:lang w:val="es-ES_tradnl"/>
        </w:rPr>
        <w:t>y otros s/homicidio calif</w:t>
      </w:r>
      <w:r>
        <w:rPr>
          <w:sz w:val="20"/>
          <w:lang w:val="es-ES_tradnl"/>
        </w:rPr>
        <w:t>i</w:t>
      </w:r>
      <w:r>
        <w:rPr>
          <w:sz w:val="20"/>
          <w:lang w:val="es-ES_tradnl"/>
        </w:rPr>
        <w:t>ca-</w:t>
      </w:r>
    </w:p>
    <w:p w:rsidR="00224567" w:rsidRDefault="00224567">
      <w:pPr>
        <w:widowControl w:val="0"/>
        <w:spacing w:line="360" w:lineRule="auto"/>
        <w:ind w:left="4239" w:firstLine="5"/>
        <w:rPr>
          <w:sz w:val="20"/>
          <w:lang w:val="es-ES_tradnl"/>
        </w:rPr>
      </w:pPr>
      <w:r>
        <w:rPr>
          <w:sz w:val="20"/>
          <w:lang w:val="es-ES_tradnl"/>
        </w:rPr>
        <w:t xml:space="preserve">do... (atentado a </w:t>
      </w:r>
      <w:smartTag w:uri="urn:schemas-microsoft-com:office:smarttags" w:element="PersonName">
        <w:smartTagPr>
          <w:attr w:name="ProductID" w:val="la A.M"/>
        </w:smartTagPr>
        <w:r>
          <w:rPr>
            <w:sz w:val="20"/>
            <w:lang w:val="es-ES_tradnl"/>
          </w:rPr>
          <w:t>la A.M</w:t>
        </w:r>
      </w:smartTag>
      <w:r>
        <w:rPr>
          <w:sz w:val="20"/>
          <w:lang w:val="es-ES_tradnl"/>
        </w:rPr>
        <w:t>.I.A.)”</w:t>
      </w:r>
    </w:p>
    <w:p w:rsidR="00224567" w:rsidRDefault="00224567">
      <w:pPr>
        <w:widowControl w:val="0"/>
        <w:spacing w:line="360" w:lineRule="auto"/>
        <w:ind w:left="4234" w:firstLine="5"/>
        <w:rPr>
          <w:b/>
          <w:bCs/>
          <w:sz w:val="20"/>
          <w:lang w:val="es-ES_tradnl"/>
        </w:rPr>
      </w:pPr>
      <w:r>
        <w:rPr>
          <w:sz w:val="20"/>
          <w:lang w:val="es-ES_tradnl"/>
        </w:rPr>
        <w:t>y sus ac</w:t>
      </w:r>
      <w:r>
        <w:rPr>
          <w:sz w:val="20"/>
          <w:lang w:val="es-ES_tradnl"/>
        </w:rPr>
        <w:t>u</w:t>
      </w:r>
      <w:r>
        <w:rPr>
          <w:sz w:val="20"/>
          <w:lang w:val="es-ES_tradnl"/>
        </w:rPr>
        <w:t>muladas nros. 496/00</w:t>
      </w:r>
      <w:r>
        <w:rPr>
          <w:b/>
          <w:bCs/>
          <w:sz w:val="20"/>
          <w:lang w:val="es-ES_tradnl"/>
        </w:rPr>
        <w:t>,</w:t>
      </w:r>
    </w:p>
    <w:p w:rsidR="00224567" w:rsidRDefault="00224567">
      <w:pPr>
        <w:widowControl w:val="0"/>
        <w:spacing w:line="360" w:lineRule="auto"/>
        <w:ind w:left="3525" w:firstLine="709"/>
        <w:rPr>
          <w:sz w:val="20"/>
          <w:lang w:val="es-ES_tradnl"/>
        </w:rPr>
      </w:pPr>
      <w:r>
        <w:rPr>
          <w:sz w:val="20"/>
          <w:lang w:val="es-ES_tradnl"/>
        </w:rPr>
        <w:t>501/01 y</w:t>
      </w:r>
      <w:r>
        <w:rPr>
          <w:b/>
          <w:bCs/>
          <w:sz w:val="20"/>
          <w:lang w:val="es-ES_tradnl"/>
        </w:rPr>
        <w:t xml:space="preserve"> </w:t>
      </w:r>
      <w:r>
        <w:rPr>
          <w:sz w:val="20"/>
          <w:lang w:val="es-ES_tradnl"/>
        </w:rPr>
        <w:t>502/03</w:t>
      </w:r>
      <w:r>
        <w:rPr>
          <w:b/>
          <w:bCs/>
          <w:sz w:val="20"/>
          <w:lang w:val="es-ES_tradnl"/>
        </w:rPr>
        <w:t>.</w:t>
      </w:r>
    </w:p>
    <w:p w:rsidR="00224567" w:rsidRDefault="00224567">
      <w:pPr>
        <w:widowControl w:val="0"/>
        <w:spacing w:line="360" w:lineRule="auto"/>
        <w:ind w:left="4229" w:firstLine="5"/>
        <w:rPr>
          <w:sz w:val="20"/>
        </w:rPr>
      </w:pPr>
      <w:r>
        <w:rPr>
          <w:sz w:val="20"/>
        </w:rPr>
        <w:t>Origen</w:t>
      </w:r>
      <w:r>
        <w:rPr>
          <w:b/>
          <w:bCs/>
          <w:sz w:val="20"/>
        </w:rPr>
        <w:t xml:space="preserve">: </w:t>
      </w:r>
      <w:r>
        <w:rPr>
          <w:sz w:val="20"/>
        </w:rPr>
        <w:t>Jdo. Fed. nº 9, Sec. nº 17</w:t>
      </w:r>
    </w:p>
    <w:p w:rsidR="00224567" w:rsidRDefault="00224567">
      <w:pPr>
        <w:widowControl w:val="0"/>
        <w:spacing w:line="360" w:lineRule="auto"/>
        <w:ind w:left="3520" w:firstLine="709"/>
        <w:rPr>
          <w:sz w:val="20"/>
        </w:rPr>
      </w:pPr>
      <w:r>
        <w:rPr>
          <w:sz w:val="20"/>
        </w:rPr>
        <w:t>Registro n</w:t>
      </w:r>
      <w:r>
        <w:rPr>
          <w:b/>
          <w:bCs/>
          <w:sz w:val="20"/>
        </w:rPr>
        <w:t>º</w:t>
      </w:r>
      <w:r>
        <w:rPr>
          <w:sz w:val="20"/>
        </w:rPr>
        <w:t xml:space="preserve"> 1/04</w:t>
      </w:r>
    </w:p>
    <w:p w:rsidR="00224567" w:rsidRDefault="00224567">
      <w:pPr>
        <w:widowControl w:val="0"/>
        <w:ind w:firstLine="2835"/>
        <w:rPr>
          <w:lang w:val="es-ES_tradnl"/>
        </w:rPr>
      </w:pPr>
    </w:p>
    <w:p w:rsidR="00224567" w:rsidRDefault="00224567">
      <w:pPr>
        <w:widowControl w:val="0"/>
        <w:ind w:firstLine="2835"/>
        <w:rPr>
          <w:lang w:val="es-ES_tradnl"/>
        </w:rPr>
      </w:pPr>
    </w:p>
    <w:p w:rsidR="00224567" w:rsidRDefault="00224567">
      <w:pPr>
        <w:widowControl w:val="0"/>
        <w:ind w:firstLine="2835"/>
        <w:rPr>
          <w:lang w:val="es-ES_tradnl"/>
        </w:rPr>
      </w:pPr>
    </w:p>
    <w:p w:rsidR="00224567" w:rsidRDefault="00224567">
      <w:pPr>
        <w:widowControl w:val="0"/>
        <w:ind w:firstLine="2835"/>
        <w:rPr>
          <w:lang w:val="es-ES_tradnl"/>
        </w:rPr>
      </w:pPr>
    </w:p>
    <w:p w:rsidR="00224567" w:rsidRDefault="00224567">
      <w:pPr>
        <w:widowControl w:val="0"/>
        <w:rPr>
          <w:lang w:val="es-ES_tradnl"/>
        </w:rPr>
      </w:pPr>
      <w:r>
        <w:rPr>
          <w:lang w:val="es-ES_tradnl"/>
        </w:rPr>
        <w:t>En la ciudad de Buenos Aires, a los veintinueve días del mes de octubre de dos mil cuatro, reunidos los Sres. ju</w:t>
      </w:r>
      <w:r>
        <w:rPr>
          <w:lang w:val="es-ES_tradnl"/>
        </w:rPr>
        <w:t>e</w:t>
      </w:r>
      <w:r>
        <w:rPr>
          <w:lang w:val="es-ES_tradnl"/>
        </w:rPr>
        <w:t xml:space="preserve">ces del Tribunal Oral en lo Criminal Federal nº 3 de </w:t>
      </w:r>
      <w:smartTag w:uri="urn:schemas-microsoft-com:office:smarttags" w:element="PersonName">
        <w:smartTagPr>
          <w:attr w:name="ProductID" w:val="la Capital Federal"/>
        </w:smartTagPr>
        <w:r>
          <w:rPr>
            <w:lang w:val="es-ES_tradnl"/>
          </w:rPr>
          <w:t>la Capital Federal</w:t>
        </w:r>
      </w:smartTag>
      <w:r>
        <w:rPr>
          <w:lang w:val="es-ES_tradnl"/>
        </w:rPr>
        <w:t>, Dres. Miguel Guillermo Pons, Gerardo F</w:t>
      </w:r>
      <w:r>
        <w:rPr>
          <w:lang w:val="es-ES_tradnl"/>
        </w:rPr>
        <w:t>e</w:t>
      </w:r>
      <w:r>
        <w:rPr>
          <w:lang w:val="es-ES_tradnl"/>
        </w:rPr>
        <w:t xml:space="preserve">lipe Larrambebere y Guillermo Andrés Gordo, éste último designado por resolución de </w:t>
      </w:r>
      <w:smartTag w:uri="urn:schemas-microsoft-com:office:smarttags" w:element="PersonName">
        <w:smartTagPr>
          <w:attr w:name="ProductID" w:val="la C￡mara Nacional"/>
        </w:smartTagPr>
        <w:r>
          <w:rPr>
            <w:lang w:val="es-ES_tradnl"/>
          </w:rPr>
          <w:t>la Cám</w:t>
        </w:r>
        <w:r>
          <w:rPr>
            <w:lang w:val="es-ES_tradnl"/>
          </w:rPr>
          <w:t>a</w:t>
        </w:r>
        <w:r>
          <w:rPr>
            <w:lang w:val="es-ES_tradnl"/>
          </w:rPr>
          <w:t>ra Nacional</w:t>
        </w:r>
      </w:smartTag>
      <w:r>
        <w:rPr>
          <w:lang w:val="es-ES_tradnl"/>
        </w:rPr>
        <w:t xml:space="preserve"> de Casación Penal, asistidos por el secretario, Dr. Eduardo Aníbal Chittaro, con el objeto de suscribir los fundamentos de la sente</w:t>
      </w:r>
      <w:r>
        <w:rPr>
          <w:lang w:val="es-ES_tradnl"/>
        </w:rPr>
        <w:t>n</w:t>
      </w:r>
      <w:r>
        <w:rPr>
          <w:lang w:val="es-ES_tradnl"/>
        </w:rPr>
        <w:t xml:space="preserve">cia recaída en las causas nº 487/00, 496/00, 501/01 y 502/03, respecto de </w:t>
      </w:r>
      <w:r>
        <w:rPr>
          <w:b/>
          <w:bCs/>
          <w:lang w:val="es-ES_tradnl"/>
        </w:rPr>
        <w:t>CARLOS ALBERTO TELLELDÍN</w:t>
      </w:r>
      <w:r>
        <w:rPr>
          <w:lang w:val="es-ES_tradnl"/>
        </w:rPr>
        <w:t>, a</w:t>
      </w:r>
      <w:r>
        <w:rPr>
          <w:lang w:val="es-ES_tradnl"/>
        </w:rPr>
        <w:t>r</w:t>
      </w:r>
      <w:r>
        <w:rPr>
          <w:lang w:val="es-ES_tradnl"/>
        </w:rPr>
        <w:t>gentino, nacido el 25 de junio de 1961 en Caseros, provincia de Buenos Aires, hijo de Raúl Pedro y de Lidia Seeb, de est</w:t>
      </w:r>
      <w:r>
        <w:rPr>
          <w:lang w:val="es-ES_tradnl"/>
        </w:rPr>
        <w:t>a</w:t>
      </w:r>
      <w:r>
        <w:rPr>
          <w:lang w:val="es-ES_tradnl"/>
        </w:rPr>
        <w:lastRenderedPageBreak/>
        <w:t>do civil casado, comerciante, con último domicilio en la calle República 107 de Villa Ballester, provincia de Bu</w:t>
      </w:r>
      <w:r>
        <w:rPr>
          <w:lang w:val="es-ES_tradnl"/>
        </w:rPr>
        <w:t>e</w:t>
      </w:r>
      <w:r>
        <w:rPr>
          <w:lang w:val="es-ES_tradnl"/>
        </w:rPr>
        <w:t>nos Aires, titular del Doc</w:t>
      </w:r>
      <w:r>
        <w:rPr>
          <w:lang w:val="es-ES_tradnl"/>
        </w:rPr>
        <w:t>u</w:t>
      </w:r>
      <w:r>
        <w:rPr>
          <w:lang w:val="es-ES_tradnl"/>
        </w:rPr>
        <w:t xml:space="preserve">mento Nacional de Identidad nº 14.536.215,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w:t>
      </w:r>
      <w:r>
        <w:rPr>
          <w:lang w:val="es-ES_tradnl"/>
        </w:rPr>
        <w:t>i</w:t>
      </w:r>
      <w:r>
        <w:rPr>
          <w:lang w:val="es-ES_tradnl"/>
        </w:rPr>
        <w:t xml:space="preserve">na, series R.H. nº 233.229, D.E. nº 128.326 y A.G.D. nº 128.326 y del Registro Nacional de Reincidencia nº 2.083.820; </w:t>
      </w:r>
      <w:r>
        <w:rPr>
          <w:b/>
          <w:bCs/>
          <w:lang w:val="es-ES_tradnl"/>
        </w:rPr>
        <w:t>JUAN JOSÉ RIBELLI</w:t>
      </w:r>
      <w:r>
        <w:rPr>
          <w:lang w:val="es-ES_tradnl"/>
        </w:rPr>
        <w:t>, argentino, nacido el 7 de junio de 1956 en Lobos, provincia de Buenos A</w:t>
      </w:r>
      <w:r>
        <w:rPr>
          <w:lang w:val="es-ES_tradnl"/>
        </w:rPr>
        <w:t>i</w:t>
      </w:r>
      <w:r>
        <w:rPr>
          <w:lang w:val="es-ES_tradnl"/>
        </w:rPr>
        <w:t>res, hijo de Miguel Gregorio y de Ana Margarita Po</w:t>
      </w:r>
      <w:r>
        <w:rPr>
          <w:lang w:val="es-ES_tradnl"/>
        </w:rPr>
        <w:t>g</w:t>
      </w:r>
      <w:r>
        <w:rPr>
          <w:lang w:val="es-ES_tradnl"/>
        </w:rPr>
        <w:t xml:space="preserve">gi, de estado civil soltero, ex comisario de </w:t>
      </w:r>
      <w:smartTag w:uri="urn:schemas-microsoft-com:office:smarttags" w:element="PersonName">
        <w:smartTagPr>
          <w:attr w:name="ProductID" w:val="la Polic￭a Bonaerense"/>
        </w:smartTagPr>
        <w:r>
          <w:rPr>
            <w:lang w:val="es-ES_tradnl"/>
          </w:rPr>
          <w:t>la Policía B</w:t>
        </w:r>
        <w:r>
          <w:rPr>
            <w:lang w:val="es-ES_tradnl"/>
          </w:rPr>
          <w:t>o</w:t>
        </w:r>
        <w:r>
          <w:rPr>
            <w:lang w:val="es-ES_tradnl"/>
          </w:rPr>
          <w:t>naerense</w:t>
        </w:r>
      </w:smartTag>
      <w:r>
        <w:rPr>
          <w:lang w:val="es-ES_tradnl"/>
        </w:rPr>
        <w:t>, con último domicilio en la calle Sitio de Montevideo 66, piso 3º, d</w:t>
      </w:r>
      <w:r>
        <w:rPr>
          <w:lang w:val="es-ES_tradnl"/>
        </w:rPr>
        <w:t>e</w:t>
      </w:r>
      <w:r>
        <w:rPr>
          <w:lang w:val="es-ES_tradnl"/>
        </w:rPr>
        <w:t>partamento “D”, de Lanús, provincia de Buenos Aires, tit</w:t>
      </w:r>
      <w:r>
        <w:rPr>
          <w:lang w:val="es-ES_tradnl"/>
        </w:rPr>
        <w:t>u</w:t>
      </w:r>
      <w:r>
        <w:rPr>
          <w:lang w:val="es-ES_tradnl"/>
        </w:rPr>
        <w:t xml:space="preserve">lar del Documento Nacional de Identidad nº 11.945.834 y con prontuario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 C.I. nº 9.476.677;</w:t>
      </w:r>
      <w:r>
        <w:rPr>
          <w:b/>
          <w:bCs/>
          <w:lang w:val="es-ES_tradnl"/>
        </w:rPr>
        <w:t xml:space="preserve"> R</w:t>
      </w:r>
      <w:r>
        <w:rPr>
          <w:b/>
          <w:bCs/>
          <w:lang w:val="es-ES_tradnl"/>
        </w:rPr>
        <w:t>A</w:t>
      </w:r>
      <w:r>
        <w:rPr>
          <w:b/>
          <w:bCs/>
          <w:lang w:val="es-ES_tradnl"/>
        </w:rPr>
        <w:t>ÚL EDILIO IBARRA</w:t>
      </w:r>
      <w:r>
        <w:rPr>
          <w:lang w:val="es-ES_tradnl"/>
        </w:rPr>
        <w:t>, argentino, nacido el 14 de febrero de 1955 en Rosario, provi</w:t>
      </w:r>
      <w:r>
        <w:rPr>
          <w:lang w:val="es-ES_tradnl"/>
        </w:rPr>
        <w:t>n</w:t>
      </w:r>
      <w:r>
        <w:rPr>
          <w:lang w:val="es-ES_tradnl"/>
        </w:rPr>
        <w:t xml:space="preserve">cia de Santa Fe, hijo de Elfio y de Inés Quintana, de estado civil casado, ex subcomisario de </w:t>
      </w:r>
      <w:smartTag w:uri="urn:schemas-microsoft-com:office:smarttags" w:element="PersonName">
        <w:smartTagPr>
          <w:attr w:name="ProductID" w:val="la Polic￭a Bonaerense"/>
        </w:smartTagPr>
        <w:r>
          <w:rPr>
            <w:lang w:val="es-ES_tradnl"/>
          </w:rPr>
          <w:t>la Policía Bonaerense</w:t>
        </w:r>
      </w:smartTag>
      <w:r>
        <w:rPr>
          <w:lang w:val="es-ES_tradnl"/>
        </w:rPr>
        <w:t>, con último domic</w:t>
      </w:r>
      <w:r>
        <w:rPr>
          <w:lang w:val="es-ES_tradnl"/>
        </w:rPr>
        <w:t>i</w:t>
      </w:r>
      <w:r>
        <w:rPr>
          <w:lang w:val="es-ES_tradnl"/>
        </w:rPr>
        <w:t>lio en la calle Cabildo de Buenos Aires 658 de Florencio Varela, provincia de Buenos Aires, titular del Documento Nacional de Identidad nº 11.660.661, con prontu</w:t>
      </w:r>
      <w:r>
        <w:rPr>
          <w:lang w:val="es-ES_tradnl"/>
        </w:rPr>
        <w:t>a</w:t>
      </w:r>
      <w:r>
        <w:rPr>
          <w:lang w:val="es-ES_tradnl"/>
        </w:rPr>
        <w:t xml:space="preserve">rios de </w:t>
      </w:r>
      <w:smartTag w:uri="urn:schemas-microsoft-com:office:smarttags" w:element="PersonName">
        <w:smartTagPr>
          <w:attr w:name="ProductID" w:val="la Polic￭a Federal"/>
        </w:smartTagPr>
        <w:r>
          <w:rPr>
            <w:lang w:val="es-ES_tradnl"/>
          </w:rPr>
          <w:t xml:space="preserve">la </w:t>
        </w:r>
        <w:r>
          <w:rPr>
            <w:lang w:val="es-ES_tradnl"/>
          </w:rPr>
          <w:lastRenderedPageBreak/>
          <w:t>Policía Federal</w:t>
        </w:r>
      </w:smartTag>
      <w:r>
        <w:rPr>
          <w:lang w:val="es-ES_tradnl"/>
        </w:rPr>
        <w:t xml:space="preserve"> Argent</w:t>
      </w:r>
      <w:r>
        <w:rPr>
          <w:lang w:val="es-ES_tradnl"/>
        </w:rPr>
        <w:t>i</w:t>
      </w:r>
      <w:r>
        <w:rPr>
          <w:lang w:val="es-ES_tradnl"/>
        </w:rPr>
        <w:t xml:space="preserve">na, series A.G.D. nº 647.958 y C.I. nº 7.616.564 y del Registro Nacional de Reincidencia nº 2.546.860; </w:t>
      </w:r>
      <w:r>
        <w:rPr>
          <w:b/>
          <w:bCs/>
          <w:lang w:val="es-ES_tradnl"/>
        </w:rPr>
        <w:t>ANASTASIO IRENEO LEAL</w:t>
      </w:r>
      <w:r>
        <w:rPr>
          <w:lang w:val="es-ES_tradnl"/>
        </w:rPr>
        <w:t>, argentino, nacido el 6 de junio de 1958 en 25 de M</w:t>
      </w:r>
      <w:r>
        <w:rPr>
          <w:lang w:val="es-ES_tradnl"/>
        </w:rPr>
        <w:t>a</w:t>
      </w:r>
      <w:r>
        <w:rPr>
          <w:lang w:val="es-ES_tradnl"/>
        </w:rPr>
        <w:t>yo, provincia de Buenos Aires, hijo de Anastasio B</w:t>
      </w:r>
      <w:r>
        <w:rPr>
          <w:lang w:val="es-ES_tradnl"/>
        </w:rPr>
        <w:t>e</w:t>
      </w:r>
      <w:r>
        <w:rPr>
          <w:lang w:val="es-ES_tradnl"/>
        </w:rPr>
        <w:t xml:space="preserve">nito y de María Rosa Dimuro, de estado civil casado, ex subcomisario de </w:t>
      </w:r>
      <w:smartTag w:uri="urn:schemas-microsoft-com:office:smarttags" w:element="PersonName">
        <w:smartTagPr>
          <w:attr w:name="ProductID" w:val="la Polic￭a Bonaerense"/>
        </w:smartTagPr>
        <w:r>
          <w:rPr>
            <w:lang w:val="es-ES_tradnl"/>
          </w:rPr>
          <w:t>la Policía Bonaerense</w:t>
        </w:r>
      </w:smartTag>
      <w:r>
        <w:rPr>
          <w:lang w:val="es-ES_tradnl"/>
        </w:rPr>
        <w:t>, con último domicilio en la calle Aguapey 1057 de Isidro Casan</w:t>
      </w:r>
      <w:r>
        <w:rPr>
          <w:lang w:val="es-ES_tradnl"/>
        </w:rPr>
        <w:t>o</w:t>
      </w:r>
      <w:r>
        <w:rPr>
          <w:lang w:val="es-ES_tradnl"/>
        </w:rPr>
        <w:t>va, provincia de Buenos Aires, titular del Documento Nacional de Identidad nº 12.069.214 y con prontuario del Registro Nacional de Reincidencia nº 2.543.290;</w:t>
      </w:r>
      <w:r>
        <w:rPr>
          <w:b/>
          <w:bCs/>
          <w:lang w:val="es-ES_tradnl"/>
        </w:rPr>
        <w:t xml:space="preserve"> MARIO NO</w:t>
      </w:r>
      <w:r>
        <w:rPr>
          <w:b/>
          <w:bCs/>
          <w:lang w:val="es-ES_tradnl"/>
        </w:rPr>
        <w:t>R</w:t>
      </w:r>
      <w:r>
        <w:rPr>
          <w:b/>
          <w:bCs/>
          <w:lang w:val="es-ES_tradnl"/>
        </w:rPr>
        <w:t>BERTO BAREIRO</w:t>
      </w:r>
      <w:r>
        <w:rPr>
          <w:lang w:val="es-ES_tradnl"/>
        </w:rPr>
        <w:t>, a</w:t>
      </w:r>
      <w:r>
        <w:rPr>
          <w:lang w:val="es-ES_tradnl"/>
        </w:rPr>
        <w:t>r</w:t>
      </w:r>
      <w:r>
        <w:rPr>
          <w:lang w:val="es-ES_tradnl"/>
        </w:rPr>
        <w:t>gentino, nacido el 2 de diciembre de 1962 en San Ma</w:t>
      </w:r>
      <w:r>
        <w:rPr>
          <w:lang w:val="es-ES_tradnl"/>
        </w:rPr>
        <w:t>r</w:t>
      </w:r>
      <w:r>
        <w:rPr>
          <w:lang w:val="es-ES_tradnl"/>
        </w:rPr>
        <w:t xml:space="preserve">tín, provincia de Buenos Aires, hijo de Mario y de Isabel Cortázar, de estado civil casado, ex oficial inspector de </w:t>
      </w:r>
      <w:smartTag w:uri="urn:schemas-microsoft-com:office:smarttags" w:element="PersonName">
        <w:smartTagPr>
          <w:attr w:name="ProductID" w:val="la Polic￭a Bonaerense"/>
        </w:smartTagPr>
        <w:r>
          <w:rPr>
            <w:lang w:val="es-ES_tradnl"/>
          </w:rPr>
          <w:t>la Policía Bonaerense</w:t>
        </w:r>
      </w:smartTag>
      <w:r>
        <w:rPr>
          <w:lang w:val="es-ES_tradnl"/>
        </w:rPr>
        <w:t>, con último domicilio en la calle Pablo Giorello 1845 de Santos Lugares, provi</w:t>
      </w:r>
      <w:r>
        <w:rPr>
          <w:lang w:val="es-ES_tradnl"/>
        </w:rPr>
        <w:t>n</w:t>
      </w:r>
      <w:r>
        <w:rPr>
          <w:lang w:val="es-ES_tradnl"/>
        </w:rPr>
        <w:t xml:space="preserve">cia de Buenos Aires, titular del Documento Nacional de Identidad nº 16.204.143, con prontuarios de </w:t>
      </w:r>
      <w:smartTag w:uri="urn:schemas-microsoft-com:office:smarttags" w:element="PersonName">
        <w:smartTagPr>
          <w:attr w:name="ProductID" w:val="la Polic￭a Federal"/>
        </w:smartTagPr>
        <w:r>
          <w:rPr>
            <w:lang w:val="es-ES_tradnl"/>
          </w:rPr>
          <w:t>la Policía F</w:t>
        </w:r>
        <w:r>
          <w:rPr>
            <w:lang w:val="es-ES_tradnl"/>
          </w:rPr>
          <w:t>e</w:t>
        </w:r>
        <w:r>
          <w:rPr>
            <w:lang w:val="es-ES_tradnl"/>
          </w:rPr>
          <w:t>deral</w:t>
        </w:r>
      </w:smartTag>
      <w:r>
        <w:rPr>
          <w:lang w:val="es-ES_tradnl"/>
        </w:rPr>
        <w:t xml:space="preserve"> Argentina, serie C.I. nº 9.669.521 y del Registro Nacional de Reincidencia nº 2.533.316;</w:t>
      </w:r>
      <w:r>
        <w:rPr>
          <w:b/>
          <w:bCs/>
          <w:lang w:val="es-ES_tradnl"/>
        </w:rPr>
        <w:t xml:space="preserve"> BAUTISTA ALBERTO HUICI</w:t>
      </w:r>
      <w:r>
        <w:rPr>
          <w:lang w:val="es-ES_tradnl"/>
        </w:rPr>
        <w:t>, argentino, nacido el 24 de marzo de 1955 en Cast</w:t>
      </w:r>
      <w:r>
        <w:rPr>
          <w:lang w:val="es-ES_tradnl"/>
        </w:rPr>
        <w:t>e</w:t>
      </w:r>
      <w:r>
        <w:rPr>
          <w:lang w:val="es-ES_tradnl"/>
        </w:rPr>
        <w:lastRenderedPageBreak/>
        <w:t>lli, provincia de Buenos Aires, hijo de Alberto Miguel y de Ramona Dominga Barraza, de estado civil casado, ex c</w:t>
      </w:r>
      <w:r>
        <w:rPr>
          <w:lang w:val="es-ES_tradnl"/>
        </w:rPr>
        <w:t>o</w:t>
      </w:r>
      <w:r>
        <w:rPr>
          <w:lang w:val="es-ES_tradnl"/>
        </w:rPr>
        <w:t xml:space="preserve">misario de </w:t>
      </w:r>
      <w:smartTag w:uri="urn:schemas-microsoft-com:office:smarttags" w:element="PersonName">
        <w:smartTagPr>
          <w:attr w:name="ProductID" w:val="la Polic￭a Bonaerense"/>
        </w:smartTagPr>
        <w:r>
          <w:rPr>
            <w:lang w:val="es-ES_tradnl"/>
          </w:rPr>
          <w:t>la Policía Bonaerense</w:t>
        </w:r>
      </w:smartTag>
      <w:r>
        <w:rPr>
          <w:lang w:val="es-ES_tradnl"/>
        </w:rPr>
        <w:t>, con domicilio en la c</w:t>
      </w:r>
      <w:r>
        <w:rPr>
          <w:lang w:val="es-ES_tradnl"/>
        </w:rPr>
        <w:t>a</w:t>
      </w:r>
      <w:r>
        <w:rPr>
          <w:lang w:val="es-ES_tradnl"/>
        </w:rPr>
        <w:t>lle Oncativo 1227 de Lanús Este, provincia de Buenos A</w:t>
      </w:r>
      <w:r>
        <w:rPr>
          <w:lang w:val="es-ES_tradnl"/>
        </w:rPr>
        <w:t>i</w:t>
      </w:r>
      <w:r>
        <w:rPr>
          <w:lang w:val="es-ES_tradnl"/>
        </w:rPr>
        <w:t xml:space="preserve">res, titular del Documento Nacional de Identidad nº 11.792.114,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w:t>
      </w:r>
      <w:r>
        <w:rPr>
          <w:lang w:val="es-ES_tradnl"/>
        </w:rPr>
        <w:t>i</w:t>
      </w:r>
      <w:r>
        <w:rPr>
          <w:lang w:val="es-ES_tradnl"/>
        </w:rPr>
        <w:t>na, serie A.G.D. nº 647.959 y del Registro Nacional de R</w:t>
      </w:r>
      <w:r>
        <w:rPr>
          <w:lang w:val="es-ES_tradnl"/>
        </w:rPr>
        <w:t>e</w:t>
      </w:r>
      <w:r>
        <w:rPr>
          <w:lang w:val="es-ES_tradnl"/>
        </w:rPr>
        <w:t>incidencia nº 2.545.914;</w:t>
      </w:r>
      <w:r>
        <w:rPr>
          <w:b/>
          <w:bCs/>
          <w:lang w:val="es-ES_tradnl"/>
        </w:rPr>
        <w:t xml:space="preserve"> VÍCTOR CARLOS CRUZ</w:t>
      </w:r>
      <w:r>
        <w:rPr>
          <w:lang w:val="es-ES_tradnl"/>
        </w:rPr>
        <w:t>, argentino, nacido el 19 de junio de 1950 en Chascomús, provincia de Buenos Aires, hijo de Juvenal Víctor y de María Luisa L</w:t>
      </w:r>
      <w:r>
        <w:rPr>
          <w:lang w:val="es-ES_tradnl"/>
        </w:rPr>
        <w:t>a</w:t>
      </w:r>
      <w:r>
        <w:rPr>
          <w:lang w:val="es-ES_tradnl"/>
        </w:rPr>
        <w:t>borde, de estado c</w:t>
      </w:r>
      <w:r>
        <w:rPr>
          <w:lang w:val="es-ES_tradnl"/>
        </w:rPr>
        <w:t>i</w:t>
      </w:r>
      <w:r>
        <w:rPr>
          <w:lang w:val="es-ES_tradnl"/>
        </w:rPr>
        <w:t xml:space="preserve">vil casado, ex sargento ayudante de </w:t>
      </w:r>
      <w:smartTag w:uri="urn:schemas-microsoft-com:office:smarttags" w:element="PersonName">
        <w:smartTagPr>
          <w:attr w:name="ProductID" w:val="la Polic￭a Bonaerense"/>
        </w:smartTagPr>
        <w:r>
          <w:rPr>
            <w:lang w:val="es-ES_tradnl"/>
          </w:rPr>
          <w:t>la Policía Bonaerense</w:t>
        </w:r>
      </w:smartTag>
      <w:r>
        <w:rPr>
          <w:lang w:val="es-ES_tradnl"/>
        </w:rPr>
        <w:t>, con domic</w:t>
      </w:r>
      <w:r>
        <w:rPr>
          <w:lang w:val="es-ES_tradnl"/>
        </w:rPr>
        <w:t>i</w:t>
      </w:r>
      <w:r>
        <w:rPr>
          <w:lang w:val="es-ES_tradnl"/>
        </w:rPr>
        <w:t xml:space="preserve">lio en la calle Del Melgacho 1718 de Pinamar, provincia de Buenos Aires, titular de </w:t>
      </w:r>
      <w:smartTag w:uri="urn:schemas-microsoft-com:office:smarttags" w:element="PersonName">
        <w:smartTagPr>
          <w:attr w:name="ProductID" w:val="la Libreta"/>
        </w:smartTagPr>
        <w:r>
          <w:rPr>
            <w:lang w:val="es-ES_tradnl"/>
          </w:rPr>
          <w:t>la Libreta</w:t>
        </w:r>
      </w:smartTag>
      <w:r>
        <w:rPr>
          <w:lang w:val="es-ES_tradnl"/>
        </w:rPr>
        <w:t xml:space="preserve"> de Enrolamiento nº 8.069.554 y con prontuario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 C.I. nº 10.065.104; </w:t>
      </w:r>
      <w:r>
        <w:rPr>
          <w:b/>
          <w:bCs/>
          <w:lang w:val="es-ES_tradnl"/>
        </w:rPr>
        <w:t>MARCELO GUSTAVO ALBARRACÍN</w:t>
      </w:r>
      <w:r>
        <w:rPr>
          <w:lang w:val="es-ES_tradnl"/>
        </w:rPr>
        <w:t>, argentino, nacido el 9 de d</w:t>
      </w:r>
      <w:r>
        <w:rPr>
          <w:lang w:val="es-ES_tradnl"/>
        </w:rPr>
        <w:t>i</w:t>
      </w:r>
      <w:r>
        <w:rPr>
          <w:lang w:val="es-ES_tradnl"/>
        </w:rPr>
        <w:t xml:space="preserve">ciembre de 1955 en </w:t>
      </w:r>
      <w:smartTag w:uri="urn:schemas-microsoft-com:office:smarttags" w:element="PersonName">
        <w:smartTagPr>
          <w:attr w:name="ProductID" w:val="la Capital Federal"/>
        </w:smartTagPr>
        <w:r>
          <w:rPr>
            <w:lang w:val="es-ES_tradnl"/>
          </w:rPr>
          <w:t>la Capital Federal</w:t>
        </w:r>
      </w:smartTag>
      <w:r>
        <w:rPr>
          <w:lang w:val="es-ES_tradnl"/>
        </w:rPr>
        <w:t>, hijo de Hilario J</w:t>
      </w:r>
      <w:r>
        <w:rPr>
          <w:lang w:val="es-ES_tradnl"/>
        </w:rPr>
        <w:t>e</w:t>
      </w:r>
      <w:r>
        <w:rPr>
          <w:lang w:val="es-ES_tradnl"/>
        </w:rPr>
        <w:t>sús y de Elva Ana Cachari, de estado civil casado, ex of</w:t>
      </w:r>
      <w:r>
        <w:rPr>
          <w:lang w:val="es-ES_tradnl"/>
        </w:rPr>
        <w:t>i</w:t>
      </w:r>
      <w:r>
        <w:rPr>
          <w:lang w:val="es-ES_tradnl"/>
        </w:rPr>
        <w:t xml:space="preserve">cial principal de </w:t>
      </w:r>
      <w:smartTag w:uri="urn:schemas-microsoft-com:office:smarttags" w:element="PersonName">
        <w:smartTagPr>
          <w:attr w:name="ProductID" w:val="la Polic￭a Bonaerense"/>
        </w:smartTagPr>
        <w:r>
          <w:rPr>
            <w:lang w:val="es-ES_tradnl"/>
          </w:rPr>
          <w:t>la Policía Bonaerense</w:t>
        </w:r>
      </w:smartTag>
      <w:r>
        <w:rPr>
          <w:lang w:val="es-ES_tradnl"/>
        </w:rPr>
        <w:t>, con d</w:t>
      </w:r>
      <w:r>
        <w:rPr>
          <w:lang w:val="es-ES_tradnl"/>
        </w:rPr>
        <w:t>o</w:t>
      </w:r>
      <w:r>
        <w:rPr>
          <w:lang w:val="es-ES_tradnl"/>
        </w:rPr>
        <w:t xml:space="preserve">micilio en la calle Cabral 302 de Gerli, provincia de Buenos Aires, titular del Documento Nacional de Identidad nº 11.916.281, </w:t>
      </w:r>
      <w:r>
        <w:rPr>
          <w:lang w:val="es-ES_tradnl"/>
        </w:rPr>
        <w:lastRenderedPageBreak/>
        <w:t xml:space="preserve">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series C.I. nº 7.825.947 y D.E. nº 273.408 y del Registro Naci</w:t>
      </w:r>
      <w:r>
        <w:rPr>
          <w:lang w:val="es-ES_tradnl"/>
        </w:rPr>
        <w:t>o</w:t>
      </w:r>
      <w:r>
        <w:rPr>
          <w:lang w:val="es-ES_tradnl"/>
        </w:rPr>
        <w:t xml:space="preserve">nal de Reincidencia nº 2.544.825; </w:t>
      </w:r>
      <w:r>
        <w:rPr>
          <w:b/>
          <w:bCs/>
          <w:lang w:val="es-ES_tradnl"/>
        </w:rPr>
        <w:t>CLAUDIO WALTER ARAYA</w:t>
      </w:r>
      <w:r>
        <w:rPr>
          <w:lang w:val="es-ES_tradnl"/>
        </w:rPr>
        <w:t>, argentino, nacido el 8 de septiembre de 1965 en Lanús, provincia de Buenos A</w:t>
      </w:r>
      <w:r>
        <w:rPr>
          <w:lang w:val="es-ES_tradnl"/>
        </w:rPr>
        <w:t>i</w:t>
      </w:r>
      <w:r>
        <w:rPr>
          <w:lang w:val="es-ES_tradnl"/>
        </w:rPr>
        <w:t xml:space="preserve">res, hijo de Carlos José y de Gloria del Carmen Segovia, de estado civil casado, ex oficial inspector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con domicilio en la calle Montiel 777 de Burzaco, provincia de Buenos Aires, titular del Documento Nacional de Identidad nº 17.449.754,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 A.G.D. nº 647.957 y del Registro Nacional de R</w:t>
      </w:r>
      <w:r>
        <w:rPr>
          <w:lang w:val="es-ES_tradnl"/>
        </w:rPr>
        <w:t>e</w:t>
      </w:r>
      <w:r>
        <w:rPr>
          <w:lang w:val="es-ES_tradnl"/>
        </w:rPr>
        <w:t>incidencia nº 2.544.917;</w:t>
      </w:r>
      <w:r>
        <w:rPr>
          <w:b/>
          <w:bCs/>
          <w:lang w:val="es-ES_tradnl"/>
        </w:rPr>
        <w:t xml:space="preserve"> JORGE HORACIO RAGO</w:t>
      </w:r>
      <w:r>
        <w:rPr>
          <w:lang w:val="es-ES_tradnl"/>
        </w:rPr>
        <w:t xml:space="preserve">, argentino, nacido el 13 de diciembre de 1957 en </w:t>
      </w:r>
      <w:smartTag w:uri="urn:schemas-microsoft-com:office:smarttags" w:element="PersonName">
        <w:smartTagPr>
          <w:attr w:name="ProductID" w:val="la Capital Federal"/>
        </w:smartTagPr>
        <w:r>
          <w:rPr>
            <w:lang w:val="es-ES_tradnl"/>
          </w:rPr>
          <w:t>la Capital Federal</w:t>
        </w:r>
      </w:smartTag>
      <w:r>
        <w:rPr>
          <w:lang w:val="es-ES_tradnl"/>
        </w:rPr>
        <w:t xml:space="preserve">, hijo de Pedro Alberto y de Felisa Irene Marano, de estado civil casado, ex subcomisario de </w:t>
      </w:r>
      <w:smartTag w:uri="urn:schemas-microsoft-com:office:smarttags" w:element="PersonName">
        <w:smartTagPr>
          <w:attr w:name="ProductID" w:val="la Polic￭a Bonaerense"/>
        </w:smartTagPr>
        <w:r>
          <w:rPr>
            <w:lang w:val="es-ES_tradnl"/>
          </w:rPr>
          <w:t>la Policía Bonaerense</w:t>
        </w:r>
      </w:smartTag>
      <w:r>
        <w:rPr>
          <w:lang w:val="es-ES_tradnl"/>
        </w:rPr>
        <w:t>, con domicilio en la calle Eusebione 2055 de Mar del Plata, provincia de Buenos Aires, titular del Documento N</w:t>
      </w:r>
      <w:r>
        <w:rPr>
          <w:lang w:val="es-ES_tradnl"/>
        </w:rPr>
        <w:t>a</w:t>
      </w:r>
      <w:r>
        <w:rPr>
          <w:lang w:val="es-ES_tradnl"/>
        </w:rPr>
        <w:t xml:space="preserve">cional de Identidad nº 13.326.326,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w:t>
      </w:r>
      <w:r>
        <w:rPr>
          <w:lang w:val="es-ES_tradnl"/>
        </w:rPr>
        <w:t>r</w:t>
      </w:r>
      <w:r>
        <w:rPr>
          <w:lang w:val="es-ES_tradnl"/>
        </w:rPr>
        <w:t xml:space="preserve">gentina, serie C.I. nº 8.665.777 y del Registro Nacional de Reincidencia nº 2.544.910; </w:t>
      </w:r>
      <w:r>
        <w:rPr>
          <w:b/>
          <w:bCs/>
          <w:lang w:val="es-ES_tradnl"/>
        </w:rPr>
        <w:t>DIEGO ENRIQUE BARREDA</w:t>
      </w:r>
      <w:r>
        <w:rPr>
          <w:lang w:val="es-ES_tradnl"/>
        </w:rPr>
        <w:t>, a</w:t>
      </w:r>
      <w:r>
        <w:rPr>
          <w:lang w:val="es-ES_tradnl"/>
        </w:rPr>
        <w:t>r</w:t>
      </w:r>
      <w:r>
        <w:rPr>
          <w:lang w:val="es-ES_tradnl"/>
        </w:rPr>
        <w:lastRenderedPageBreak/>
        <w:t xml:space="preserve">gentino, nacido el 26 de junio de 1968 en </w:t>
      </w:r>
      <w:smartTag w:uri="urn:schemas-microsoft-com:office:smarttags" w:element="PersonName">
        <w:smartTagPr>
          <w:attr w:name="ProductID" w:val="la Capital Federal"/>
        </w:smartTagPr>
        <w:r>
          <w:rPr>
            <w:lang w:val="es-ES_tradnl"/>
          </w:rPr>
          <w:t>la Capital Fed</w:t>
        </w:r>
        <w:r>
          <w:rPr>
            <w:lang w:val="es-ES_tradnl"/>
          </w:rPr>
          <w:t>e</w:t>
        </w:r>
        <w:r>
          <w:rPr>
            <w:lang w:val="es-ES_tradnl"/>
          </w:rPr>
          <w:t>ral</w:t>
        </w:r>
      </w:smartTag>
      <w:r>
        <w:rPr>
          <w:lang w:val="es-ES_tradnl"/>
        </w:rPr>
        <w:t>, hijo de Alberto Enrique y de Norma Ant</w:t>
      </w:r>
      <w:r>
        <w:rPr>
          <w:lang w:val="es-ES_tradnl"/>
        </w:rPr>
        <w:t>o</w:t>
      </w:r>
      <w:r>
        <w:rPr>
          <w:lang w:val="es-ES_tradnl"/>
        </w:rPr>
        <w:t xml:space="preserve">nia Bucchilli, de estado civil casado, ex oficial subinspector de </w:t>
      </w:r>
      <w:smartTag w:uri="urn:schemas-microsoft-com:office:smarttags" w:element="PersonName">
        <w:smartTagPr>
          <w:attr w:name="ProductID" w:val="la Polic￭a Bonaerense"/>
        </w:smartTagPr>
        <w:r>
          <w:rPr>
            <w:lang w:val="es-ES_tradnl"/>
          </w:rPr>
          <w:t>la P</w:t>
        </w:r>
        <w:r>
          <w:rPr>
            <w:lang w:val="es-ES_tradnl"/>
          </w:rPr>
          <w:t>o</w:t>
        </w:r>
        <w:r>
          <w:rPr>
            <w:lang w:val="es-ES_tradnl"/>
          </w:rPr>
          <w:t>licía Bonaerense</w:t>
        </w:r>
      </w:smartTag>
      <w:r>
        <w:rPr>
          <w:lang w:val="es-ES_tradnl"/>
        </w:rPr>
        <w:t>, con domicilio en la calle Santa Rosalía 2480 de Sáenz Peña, provincia de Buenos Aires, t</w:t>
      </w:r>
      <w:r>
        <w:rPr>
          <w:lang w:val="es-ES_tradnl"/>
        </w:rPr>
        <w:t>i</w:t>
      </w:r>
      <w:r>
        <w:rPr>
          <w:lang w:val="es-ES_tradnl"/>
        </w:rPr>
        <w:t>tular del Documento Nacional de Identidad nº 20.370.971, con pro</w:t>
      </w:r>
      <w:r>
        <w:rPr>
          <w:lang w:val="es-ES_tradnl"/>
        </w:rPr>
        <w:t>n</w:t>
      </w:r>
      <w:r>
        <w:rPr>
          <w:lang w:val="es-ES_tradnl"/>
        </w:rPr>
        <w:t xml:space="preserve">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 A.G.D. nº 747.025 y del Registro Nacional de Reincidencia nº 2.544.889; </w:t>
      </w:r>
      <w:r>
        <w:rPr>
          <w:b/>
          <w:bCs/>
          <w:lang w:val="es-ES_tradnl"/>
        </w:rPr>
        <w:t>JUAN ALBERTO BOTTEGAL</w:t>
      </w:r>
      <w:r>
        <w:rPr>
          <w:lang w:val="es-ES_tradnl"/>
        </w:rPr>
        <w:t>, argentino, nacido el 6 de agosto de 1955 en San Martín, provincia de Buenos A</w:t>
      </w:r>
      <w:r>
        <w:rPr>
          <w:lang w:val="es-ES_tradnl"/>
        </w:rPr>
        <w:t>i</w:t>
      </w:r>
      <w:r>
        <w:rPr>
          <w:lang w:val="es-ES_tradnl"/>
        </w:rPr>
        <w:t>res, hijo de Juan Bautista y de Justa Elena Britos, de e</w:t>
      </w:r>
      <w:r>
        <w:rPr>
          <w:lang w:val="es-ES_tradnl"/>
        </w:rPr>
        <w:t>s</w:t>
      </w:r>
      <w:r>
        <w:rPr>
          <w:lang w:val="es-ES_tradnl"/>
        </w:rPr>
        <w:t>tado civil casado, abogado, con domicilio en la calle L</w:t>
      </w:r>
      <w:r>
        <w:rPr>
          <w:lang w:val="es-ES_tradnl"/>
        </w:rPr>
        <w:t>i</w:t>
      </w:r>
      <w:r>
        <w:rPr>
          <w:lang w:val="es-ES_tradnl"/>
        </w:rPr>
        <w:t>bertador General San Martín 1923, piso 1º, departamento “B”, de San Martín, provincia de Buenos A</w:t>
      </w:r>
      <w:r>
        <w:rPr>
          <w:lang w:val="es-ES_tradnl"/>
        </w:rPr>
        <w:t>i</w:t>
      </w:r>
      <w:r>
        <w:rPr>
          <w:lang w:val="es-ES_tradnl"/>
        </w:rPr>
        <w:t>res, titular del Documento Nacional de Identidad nº 11.729.886, con pro</w:t>
      </w:r>
      <w:r>
        <w:rPr>
          <w:lang w:val="es-ES_tradnl"/>
        </w:rPr>
        <w:t>n</w:t>
      </w:r>
      <w:r>
        <w:rPr>
          <w:lang w:val="es-ES_tradnl"/>
        </w:rPr>
        <w:t xml:space="preserve">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 D.E. nº 266.808 y del Registro Nacional de Reincidencia nº 2.533.321; </w:t>
      </w:r>
      <w:r>
        <w:rPr>
          <w:b/>
          <w:bCs/>
          <w:lang w:val="es-ES_tradnl"/>
        </w:rPr>
        <w:t>ALEJANDRO BU</w:t>
      </w:r>
      <w:r>
        <w:rPr>
          <w:b/>
          <w:bCs/>
          <w:lang w:val="es-ES_tradnl"/>
        </w:rPr>
        <w:t>R</w:t>
      </w:r>
      <w:r>
        <w:rPr>
          <w:b/>
          <w:bCs/>
          <w:lang w:val="es-ES_tradnl"/>
        </w:rPr>
        <w:t>GUETE</w:t>
      </w:r>
      <w:r>
        <w:rPr>
          <w:lang w:val="es-ES_tradnl"/>
        </w:rPr>
        <w:t xml:space="preserve">, argentino, nacido el 24 de noviembre de 1955 en </w:t>
      </w:r>
      <w:smartTag w:uri="urn:schemas-microsoft-com:office:smarttags" w:element="PersonName">
        <w:smartTagPr>
          <w:attr w:name="ProductID" w:val="la Capital Federal"/>
        </w:smartTagPr>
        <w:r>
          <w:rPr>
            <w:lang w:val="es-ES_tradnl"/>
          </w:rPr>
          <w:t>la Cap</w:t>
        </w:r>
        <w:r>
          <w:rPr>
            <w:lang w:val="es-ES_tradnl"/>
          </w:rPr>
          <w:t>i</w:t>
        </w:r>
        <w:r>
          <w:rPr>
            <w:lang w:val="es-ES_tradnl"/>
          </w:rPr>
          <w:t>tal Federal</w:t>
        </w:r>
      </w:smartTag>
      <w:r>
        <w:rPr>
          <w:lang w:val="es-ES_tradnl"/>
        </w:rPr>
        <w:t xml:space="preserve">, hijo de Francisco y de Juana Ara, de estado civil casado, comisario de </w:t>
      </w:r>
      <w:smartTag w:uri="urn:schemas-microsoft-com:office:smarttags" w:element="PersonName">
        <w:smartTagPr>
          <w:attr w:name="ProductID" w:val="la Polic￭a Bonaerense"/>
        </w:smartTagPr>
        <w:r>
          <w:rPr>
            <w:lang w:val="es-ES_tradnl"/>
          </w:rPr>
          <w:t>la Policía Bonaerense</w:t>
        </w:r>
      </w:smartTag>
      <w:r>
        <w:rPr>
          <w:lang w:val="es-ES_tradnl"/>
        </w:rPr>
        <w:t>, con domicilio en la c</w:t>
      </w:r>
      <w:r>
        <w:rPr>
          <w:lang w:val="es-ES_tradnl"/>
        </w:rPr>
        <w:t>a</w:t>
      </w:r>
      <w:r>
        <w:rPr>
          <w:lang w:val="es-ES_tradnl"/>
        </w:rPr>
        <w:t xml:space="preserve">lle Provincia de </w:t>
      </w:r>
      <w:r>
        <w:rPr>
          <w:lang w:val="es-ES_tradnl"/>
        </w:rPr>
        <w:lastRenderedPageBreak/>
        <w:t xml:space="preserve">Buenos Aires 1102 de Almirante Brown, provincia de Buenos Aires, titular del Documento Nacional de Identidad nº 11.885.610 y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w:t>
      </w:r>
      <w:r>
        <w:rPr>
          <w:lang w:val="es-ES_tradnl"/>
        </w:rPr>
        <w:t>n</w:t>
      </w:r>
      <w:r>
        <w:rPr>
          <w:lang w:val="es-ES_tradnl"/>
        </w:rPr>
        <w:t xml:space="preserve">tina, serie A.G.D. nº 647.956 y del Registro Nacional de Reincidencia nº 2.131.187; </w:t>
      </w:r>
      <w:r>
        <w:rPr>
          <w:b/>
          <w:bCs/>
          <w:lang w:val="es-ES_tradnl"/>
        </w:rPr>
        <w:t>JOSÉ MIGUEL ARANCIBIA</w:t>
      </w:r>
      <w:r>
        <w:rPr>
          <w:lang w:val="es-ES_tradnl"/>
        </w:rPr>
        <w:t>, arge</w:t>
      </w:r>
      <w:r>
        <w:rPr>
          <w:lang w:val="es-ES_tradnl"/>
        </w:rPr>
        <w:t>n</w:t>
      </w:r>
      <w:r>
        <w:rPr>
          <w:lang w:val="es-ES_tradnl"/>
        </w:rPr>
        <w:t>tino, nacido el 15 de octubre de 1957 en San Miguel de T</w:t>
      </w:r>
      <w:r>
        <w:rPr>
          <w:lang w:val="es-ES_tradnl"/>
        </w:rPr>
        <w:t>u</w:t>
      </w:r>
      <w:r>
        <w:rPr>
          <w:lang w:val="es-ES_tradnl"/>
        </w:rPr>
        <w:t>cumán, provincia de Tucumán, hijo de Julio Miguel y de D</w:t>
      </w:r>
      <w:r>
        <w:rPr>
          <w:lang w:val="es-ES_tradnl"/>
        </w:rPr>
        <w:t>e</w:t>
      </w:r>
      <w:r>
        <w:rPr>
          <w:lang w:val="es-ES_tradnl"/>
        </w:rPr>
        <w:t>lia Felisa Espejo, de est</w:t>
      </w:r>
      <w:r>
        <w:rPr>
          <w:lang w:val="es-ES_tradnl"/>
        </w:rPr>
        <w:t>a</w:t>
      </w:r>
      <w:r>
        <w:rPr>
          <w:lang w:val="es-ES_tradnl"/>
        </w:rPr>
        <w:t xml:space="preserve">do civil casado, ex subcomisario de </w:t>
      </w:r>
      <w:smartTag w:uri="urn:schemas-microsoft-com:office:smarttags" w:element="PersonName">
        <w:smartTagPr>
          <w:attr w:name="ProductID" w:val="la Polic￭a Bonaerense"/>
        </w:smartTagPr>
        <w:r>
          <w:rPr>
            <w:lang w:val="es-ES_tradnl"/>
          </w:rPr>
          <w:t>la Policía Bonaerense</w:t>
        </w:r>
      </w:smartTag>
      <w:r>
        <w:rPr>
          <w:lang w:val="es-ES_tradnl"/>
        </w:rPr>
        <w:t>, con d</w:t>
      </w:r>
      <w:r>
        <w:rPr>
          <w:lang w:val="es-ES_tradnl"/>
        </w:rPr>
        <w:t>o</w:t>
      </w:r>
      <w:r>
        <w:rPr>
          <w:lang w:val="es-ES_tradnl"/>
        </w:rPr>
        <w:t>micilio en la calle 17 de Agosto 2437 de Monte Grande, provincia de Buenos Aires, titular del Documento N</w:t>
      </w:r>
      <w:r>
        <w:rPr>
          <w:lang w:val="es-ES_tradnl"/>
        </w:rPr>
        <w:t>a</w:t>
      </w:r>
      <w:r>
        <w:rPr>
          <w:lang w:val="es-ES_tradnl"/>
        </w:rPr>
        <w:t xml:space="preserve">cional de Identidad nº 13.283.978 y con prontuario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 A.G.D. nº 617.453; </w:t>
      </w:r>
      <w:r>
        <w:rPr>
          <w:b/>
          <w:bCs/>
          <w:lang w:val="es-ES_tradnl"/>
        </w:rPr>
        <w:t>OSCAR EUSEBIO BACIGALUPO</w:t>
      </w:r>
      <w:r>
        <w:rPr>
          <w:lang w:val="es-ES_tradnl"/>
        </w:rPr>
        <w:t>, argentino, nacido el 23 de junio de 1955 en Quilmes, provincia de Buenos Aires, hijo de Eusebio del Ca</w:t>
      </w:r>
      <w:r>
        <w:rPr>
          <w:lang w:val="es-ES_tradnl"/>
        </w:rPr>
        <w:t>r</w:t>
      </w:r>
      <w:r>
        <w:rPr>
          <w:lang w:val="es-ES_tradnl"/>
        </w:rPr>
        <w:t>men y de Emilia Laura Rubini, de estado civil casado, ex oficial pri</w:t>
      </w:r>
      <w:r>
        <w:rPr>
          <w:lang w:val="es-ES_tradnl"/>
        </w:rPr>
        <w:t>n</w:t>
      </w:r>
      <w:r>
        <w:rPr>
          <w:lang w:val="es-ES_tradnl"/>
        </w:rPr>
        <w:t xml:space="preserve">cipal de </w:t>
      </w:r>
      <w:smartTag w:uri="urn:schemas-microsoft-com:office:smarttags" w:element="PersonName">
        <w:smartTagPr>
          <w:attr w:name="ProductID" w:val="la Polic￭a Bonaerense"/>
        </w:smartTagPr>
        <w:r>
          <w:rPr>
            <w:lang w:val="es-ES_tradnl"/>
          </w:rPr>
          <w:t>la Policía Bonaerense</w:t>
        </w:r>
      </w:smartTag>
      <w:r>
        <w:rPr>
          <w:lang w:val="es-ES_tradnl"/>
        </w:rPr>
        <w:t>, con domicilio en la c</w:t>
      </w:r>
      <w:r>
        <w:rPr>
          <w:lang w:val="es-ES_tradnl"/>
        </w:rPr>
        <w:t>a</w:t>
      </w:r>
      <w:r>
        <w:rPr>
          <w:lang w:val="es-ES_tradnl"/>
        </w:rPr>
        <w:t xml:space="preserve">lle Mario Bravo 440, piso 3º, departamento “B”, de </w:t>
      </w:r>
      <w:smartTag w:uri="urn:schemas-microsoft-com:office:smarttags" w:element="PersonName">
        <w:smartTagPr>
          <w:attr w:name="ProductID" w:val="la Capital Federal"/>
        </w:smartTagPr>
        <w:r>
          <w:rPr>
            <w:lang w:val="es-ES_tradnl"/>
          </w:rPr>
          <w:t>la Capital Federal</w:t>
        </w:r>
      </w:smartTag>
      <w:r>
        <w:rPr>
          <w:lang w:val="es-ES_tradnl"/>
        </w:rPr>
        <w:t>, t</w:t>
      </w:r>
      <w:r>
        <w:rPr>
          <w:lang w:val="es-ES_tradnl"/>
        </w:rPr>
        <w:t>i</w:t>
      </w:r>
      <w:r>
        <w:rPr>
          <w:lang w:val="es-ES_tradnl"/>
        </w:rPr>
        <w:t xml:space="preserve">tular del Documento Nacional de Identidad nº 11.632.190,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 </w:t>
      </w:r>
      <w:r>
        <w:rPr>
          <w:lang w:val="es-ES_tradnl"/>
        </w:rPr>
        <w:lastRenderedPageBreak/>
        <w:t>C.I. nº 7.647.615 y del Regi</w:t>
      </w:r>
      <w:r>
        <w:rPr>
          <w:lang w:val="es-ES_tradnl"/>
        </w:rPr>
        <w:t>s</w:t>
      </w:r>
      <w:r>
        <w:rPr>
          <w:lang w:val="es-ES_tradnl"/>
        </w:rPr>
        <w:t xml:space="preserve">tro Nacional de Reincidencia nº 1.745.172; </w:t>
      </w:r>
      <w:r>
        <w:rPr>
          <w:b/>
          <w:bCs/>
          <w:lang w:val="es-ES_tradnl"/>
        </w:rPr>
        <w:t>DANIEL EMILIO QUINTEROS</w:t>
      </w:r>
      <w:r>
        <w:rPr>
          <w:lang w:val="es-ES_tradnl"/>
        </w:rPr>
        <w:t xml:space="preserve">, argentino, nacido el 13 de julio de 1970 en </w:t>
      </w:r>
      <w:smartTag w:uri="urn:schemas-microsoft-com:office:smarttags" w:element="PersonName">
        <w:smartTagPr>
          <w:attr w:name="ProductID" w:val="la Capital Federal"/>
        </w:smartTagPr>
        <w:r>
          <w:rPr>
            <w:lang w:val="es-ES_tradnl"/>
          </w:rPr>
          <w:t>la Capital Federal</w:t>
        </w:r>
      </w:smartTag>
      <w:r>
        <w:rPr>
          <w:lang w:val="es-ES_tradnl"/>
        </w:rPr>
        <w:t>, hijo de D</w:t>
      </w:r>
      <w:r>
        <w:rPr>
          <w:lang w:val="es-ES_tradnl"/>
        </w:rPr>
        <w:t>a</w:t>
      </w:r>
      <w:r>
        <w:rPr>
          <w:lang w:val="es-ES_tradnl"/>
        </w:rPr>
        <w:t xml:space="preserve">niel Eugenio y de Emilia Lucinda Cajal, de estado civil casado, ex subinspector de </w:t>
      </w:r>
      <w:smartTag w:uri="urn:schemas-microsoft-com:office:smarttags" w:element="PersonName">
        <w:smartTagPr>
          <w:attr w:name="ProductID" w:val="la Polic￭a Bonaerense"/>
        </w:smartTagPr>
        <w:r>
          <w:rPr>
            <w:lang w:val="es-ES_tradnl"/>
          </w:rPr>
          <w:t>la Policía Bonaerense</w:t>
        </w:r>
      </w:smartTag>
      <w:r>
        <w:rPr>
          <w:lang w:val="es-ES_tradnl"/>
        </w:rPr>
        <w:t>, domic</w:t>
      </w:r>
      <w:r>
        <w:rPr>
          <w:lang w:val="es-ES_tradnl"/>
        </w:rPr>
        <w:t>i</w:t>
      </w:r>
      <w:r>
        <w:rPr>
          <w:lang w:val="es-ES_tradnl"/>
        </w:rPr>
        <w:t>liado en la calle Borges 3646, planta baja, de Olivos, provincia de Buenos Aires, titular del Documento Nacional de Ident</w:t>
      </w:r>
      <w:r>
        <w:rPr>
          <w:lang w:val="es-ES_tradnl"/>
        </w:rPr>
        <w:t>i</w:t>
      </w:r>
      <w:r>
        <w:rPr>
          <w:lang w:val="es-ES_tradnl"/>
        </w:rPr>
        <w:t xml:space="preserve">dad nº 21.613.796,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w:t>
      </w:r>
      <w:r>
        <w:rPr>
          <w:lang w:val="es-ES_tradnl"/>
        </w:rPr>
        <w:t>n</w:t>
      </w:r>
      <w:r>
        <w:rPr>
          <w:lang w:val="es-ES_tradnl"/>
        </w:rPr>
        <w:t xml:space="preserve">tina, serie A.G.D. nº 647.960 y del Registro Nacional de Reincidencia nº 2.536.696; </w:t>
      </w:r>
      <w:r>
        <w:rPr>
          <w:b/>
          <w:bCs/>
          <w:lang w:val="es-ES_tradnl"/>
        </w:rPr>
        <w:t>ARGENTINO GABRIEL LASALA</w:t>
      </w:r>
      <w:r>
        <w:rPr>
          <w:lang w:val="es-ES_tradnl"/>
        </w:rPr>
        <w:t xml:space="preserve">, argentino, nacido el 28 de marzo de 1959 en </w:t>
      </w:r>
      <w:smartTag w:uri="urn:schemas-microsoft-com:office:smarttags" w:element="PersonName">
        <w:smartTagPr>
          <w:attr w:name="ProductID" w:val="la Capital Federal"/>
        </w:smartTagPr>
        <w:r>
          <w:rPr>
            <w:lang w:val="es-ES_tradnl"/>
          </w:rPr>
          <w:t>la C</w:t>
        </w:r>
        <w:r>
          <w:rPr>
            <w:lang w:val="es-ES_tradnl"/>
          </w:rPr>
          <w:t>a</w:t>
        </w:r>
        <w:r>
          <w:rPr>
            <w:lang w:val="es-ES_tradnl"/>
          </w:rPr>
          <w:t>pital Fed</w:t>
        </w:r>
        <w:r>
          <w:rPr>
            <w:lang w:val="es-ES_tradnl"/>
          </w:rPr>
          <w:t>e</w:t>
        </w:r>
        <w:r>
          <w:rPr>
            <w:lang w:val="es-ES_tradnl"/>
          </w:rPr>
          <w:t>ral</w:t>
        </w:r>
      </w:smartTag>
      <w:r>
        <w:rPr>
          <w:lang w:val="es-ES_tradnl"/>
        </w:rPr>
        <w:t xml:space="preserve">, hijo de Eldo Arturo y de Justa Giménez, de estado civil casado, ex sargento primero de </w:t>
      </w:r>
      <w:smartTag w:uri="urn:schemas-microsoft-com:office:smarttags" w:element="PersonName">
        <w:smartTagPr>
          <w:attr w:name="ProductID" w:val="la Polic￭a Bonaerense"/>
        </w:smartTagPr>
        <w:r>
          <w:rPr>
            <w:lang w:val="es-ES_tradnl"/>
          </w:rPr>
          <w:t>la Policía B</w:t>
        </w:r>
        <w:r>
          <w:rPr>
            <w:lang w:val="es-ES_tradnl"/>
          </w:rPr>
          <w:t>o</w:t>
        </w:r>
        <w:r>
          <w:rPr>
            <w:lang w:val="es-ES_tradnl"/>
          </w:rPr>
          <w:t>naerense</w:t>
        </w:r>
      </w:smartTag>
      <w:r>
        <w:rPr>
          <w:lang w:val="es-ES_tradnl"/>
        </w:rPr>
        <w:t>, con domicilio en la calle Almirante Brown 3037 de Tortuguitas, provincia de Buenos Aires, titular del D</w:t>
      </w:r>
      <w:r>
        <w:rPr>
          <w:lang w:val="es-ES_tradnl"/>
        </w:rPr>
        <w:t>o</w:t>
      </w:r>
      <w:r>
        <w:rPr>
          <w:lang w:val="es-ES_tradnl"/>
        </w:rPr>
        <w:t>cumento Nacional de Identidad nº 13.664.457, con prontu</w:t>
      </w:r>
      <w:r>
        <w:rPr>
          <w:lang w:val="es-ES_tradnl"/>
        </w:rPr>
        <w:t>a</w:t>
      </w:r>
      <w:r>
        <w:rPr>
          <w:lang w:val="es-ES_tradnl"/>
        </w:rPr>
        <w:t xml:space="preserve">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 C.I. nº 9.378.350 y del Registro Nacional de Reincidencia nº 2.533.851; </w:t>
      </w:r>
      <w:r>
        <w:rPr>
          <w:b/>
          <w:bCs/>
          <w:lang w:val="es-ES_tradnl"/>
        </w:rPr>
        <w:t>ARIEL RODOLFO NITZCANER</w:t>
      </w:r>
      <w:r>
        <w:rPr>
          <w:lang w:val="es-ES_tradnl"/>
        </w:rPr>
        <w:t>, argentino, nacido el 13 de julio de 1967 en San Martín, provincia de Buenos A</w:t>
      </w:r>
      <w:r>
        <w:rPr>
          <w:lang w:val="es-ES_tradnl"/>
        </w:rPr>
        <w:t>i</w:t>
      </w:r>
      <w:r>
        <w:rPr>
          <w:lang w:val="es-ES_tradnl"/>
        </w:rPr>
        <w:t xml:space="preserve">res, hijo de Víctor Naun y de Lidia Angélica Paine Soler, </w:t>
      </w:r>
      <w:r>
        <w:rPr>
          <w:lang w:val="es-ES_tradnl"/>
        </w:rPr>
        <w:lastRenderedPageBreak/>
        <w:t>de estado civil divorciado, mecánico, con domic</w:t>
      </w:r>
      <w:r>
        <w:rPr>
          <w:lang w:val="es-ES_tradnl"/>
        </w:rPr>
        <w:t>i</w:t>
      </w:r>
      <w:r>
        <w:rPr>
          <w:lang w:val="es-ES_tradnl"/>
        </w:rPr>
        <w:t>lio en la calle Necochea 1648 de San Martín, provincia de Buenos A</w:t>
      </w:r>
      <w:r>
        <w:rPr>
          <w:lang w:val="es-ES_tradnl"/>
        </w:rPr>
        <w:t>i</w:t>
      </w:r>
      <w:r>
        <w:rPr>
          <w:lang w:val="es-ES_tradnl"/>
        </w:rPr>
        <w:t xml:space="preserve">res, titular del Documento Nacional de Identidad nº 18.537.699,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w:t>
      </w:r>
      <w:r>
        <w:rPr>
          <w:lang w:val="es-ES_tradnl"/>
        </w:rPr>
        <w:t>i</w:t>
      </w:r>
      <w:r>
        <w:rPr>
          <w:lang w:val="es-ES_tradnl"/>
        </w:rPr>
        <w:t xml:space="preserve">na, series D.B.P. nº 203.147 y D.U.I.A. nº 460; </w:t>
      </w:r>
      <w:r>
        <w:rPr>
          <w:b/>
          <w:bCs/>
          <w:lang w:val="es-ES_tradnl"/>
        </w:rPr>
        <w:t>HUGO ANT</w:t>
      </w:r>
      <w:r>
        <w:rPr>
          <w:b/>
          <w:bCs/>
          <w:lang w:val="es-ES_tradnl"/>
        </w:rPr>
        <w:t>O</w:t>
      </w:r>
      <w:r>
        <w:rPr>
          <w:b/>
          <w:bCs/>
          <w:lang w:val="es-ES_tradnl"/>
        </w:rPr>
        <w:t>NIO PÉREZ</w:t>
      </w:r>
      <w:r>
        <w:rPr>
          <w:lang w:val="es-ES_tradnl"/>
        </w:rPr>
        <w:t>, argentino, n</w:t>
      </w:r>
      <w:r>
        <w:rPr>
          <w:lang w:val="es-ES_tradnl"/>
        </w:rPr>
        <w:t>a</w:t>
      </w:r>
      <w:r>
        <w:rPr>
          <w:lang w:val="es-ES_tradnl"/>
        </w:rPr>
        <w:t>cido el 16 de junio de 1954 en la ciudad de Córdoba, provi</w:t>
      </w:r>
      <w:r>
        <w:rPr>
          <w:lang w:val="es-ES_tradnl"/>
        </w:rPr>
        <w:t>n</w:t>
      </w:r>
      <w:r>
        <w:rPr>
          <w:lang w:val="es-ES_tradnl"/>
        </w:rPr>
        <w:t>cia homónima, hijo de Raimundo y de Blanca Alcira Sueldo, de estado civil divorciado, c</w:t>
      </w:r>
      <w:r>
        <w:rPr>
          <w:lang w:val="es-ES_tradnl"/>
        </w:rPr>
        <w:t>o</w:t>
      </w:r>
      <w:r>
        <w:rPr>
          <w:lang w:val="es-ES_tradnl"/>
        </w:rPr>
        <w:t>merciante, con d</w:t>
      </w:r>
      <w:r>
        <w:rPr>
          <w:lang w:val="es-ES_tradnl"/>
        </w:rPr>
        <w:t>o</w:t>
      </w:r>
      <w:r>
        <w:rPr>
          <w:lang w:val="es-ES_tradnl"/>
        </w:rPr>
        <w:t>micilio en la calle Sargento Cabral 2475 de Martínez, provincia de Buenos Aires, titular del Doc</w:t>
      </w:r>
      <w:r>
        <w:rPr>
          <w:lang w:val="es-ES_tradnl"/>
        </w:rPr>
        <w:t>u</w:t>
      </w:r>
      <w:r>
        <w:rPr>
          <w:lang w:val="es-ES_tradnl"/>
        </w:rPr>
        <w:t xml:space="preserve">mento Nacional de Identidad nº 11.186.354,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w:t>
      </w:r>
      <w:r>
        <w:rPr>
          <w:lang w:val="es-ES_tradnl"/>
        </w:rPr>
        <w:t>i</w:t>
      </w:r>
      <w:r>
        <w:rPr>
          <w:lang w:val="es-ES_tradnl"/>
        </w:rPr>
        <w:t xml:space="preserve">na, serie C.I. nº 13.262.781 y del Registro Nacional de Reincidencia nº 2.543.292; </w:t>
      </w:r>
      <w:r>
        <w:rPr>
          <w:b/>
          <w:bCs/>
          <w:lang w:val="es-ES_tradnl"/>
        </w:rPr>
        <w:t>M</w:t>
      </w:r>
      <w:r>
        <w:rPr>
          <w:b/>
          <w:bCs/>
          <w:lang w:val="es-ES_tradnl"/>
        </w:rPr>
        <w:t>I</w:t>
      </w:r>
      <w:r>
        <w:rPr>
          <w:b/>
          <w:bCs/>
          <w:lang w:val="es-ES_tradnl"/>
        </w:rPr>
        <w:t>GUEL GUSTAVO JAIMES</w:t>
      </w:r>
      <w:r>
        <w:rPr>
          <w:lang w:val="es-ES_tradnl"/>
        </w:rPr>
        <w:t xml:space="preserve">, argentino, nacido el 8 de julio de 1965 en </w:t>
      </w:r>
      <w:smartTag w:uri="urn:schemas-microsoft-com:office:smarttags" w:element="PersonName">
        <w:smartTagPr>
          <w:attr w:name="ProductID" w:val="la Capital Federal"/>
        </w:smartTagPr>
        <w:r>
          <w:rPr>
            <w:lang w:val="es-ES_tradnl"/>
          </w:rPr>
          <w:t>la Capital Federal</w:t>
        </w:r>
      </w:smartTag>
      <w:r>
        <w:rPr>
          <w:lang w:val="es-ES_tradnl"/>
        </w:rPr>
        <w:t>, hijo de Leonel Rogelio y de Marta Aurelia Flores, de estado civil divorciado, come</w:t>
      </w:r>
      <w:r>
        <w:rPr>
          <w:lang w:val="es-ES_tradnl"/>
        </w:rPr>
        <w:t>r</w:t>
      </w:r>
      <w:r>
        <w:rPr>
          <w:lang w:val="es-ES_tradnl"/>
        </w:rPr>
        <w:t xml:space="preserve">ciante, con domicilio en la calle General Actis 1885 de Haedo, provincia de Buenos Aires, titular del Documento Nacional de Identidad nº 17.436.596, con prontuarios de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serie C.I. nº 9.371.314 y del </w:t>
      </w:r>
      <w:r>
        <w:rPr>
          <w:lang w:val="es-ES_tradnl"/>
        </w:rPr>
        <w:lastRenderedPageBreak/>
        <w:t xml:space="preserve">Registro Nacional de Reincidencia nº 2.545.932; </w:t>
      </w:r>
      <w:r>
        <w:rPr>
          <w:b/>
          <w:bCs/>
          <w:lang w:val="es-ES_tradnl"/>
        </w:rPr>
        <w:t>MARCELO DARÍO CASAS</w:t>
      </w:r>
      <w:r>
        <w:rPr>
          <w:lang w:val="es-ES_tradnl"/>
        </w:rPr>
        <w:t xml:space="preserve">, argentino, nacido el 13 de marzo de 1966 en </w:t>
      </w:r>
      <w:smartTag w:uri="urn:schemas-microsoft-com:office:smarttags" w:element="PersonName">
        <w:smartTagPr>
          <w:attr w:name="ProductID" w:val="la Capital Federal"/>
        </w:smartTagPr>
        <w:r>
          <w:rPr>
            <w:lang w:val="es-ES_tradnl"/>
          </w:rPr>
          <w:t>la Capital Federal</w:t>
        </w:r>
      </w:smartTag>
      <w:r>
        <w:rPr>
          <w:lang w:val="es-ES_tradnl"/>
        </w:rPr>
        <w:t>, hijo de Juan Carlos y de Blanca Be</w:t>
      </w:r>
      <w:r>
        <w:rPr>
          <w:lang w:val="es-ES_tradnl"/>
        </w:rPr>
        <w:t>a</w:t>
      </w:r>
      <w:r>
        <w:rPr>
          <w:lang w:val="es-ES_tradnl"/>
        </w:rPr>
        <w:t xml:space="preserve">triz Cejas, de estado civil casado, sargento de </w:t>
      </w:r>
      <w:smartTag w:uri="urn:schemas-microsoft-com:office:smarttags" w:element="PersonName">
        <w:smartTagPr>
          <w:attr w:name="ProductID" w:val="la Polic￭a Bonaerense"/>
        </w:smartTagPr>
        <w:r>
          <w:rPr>
            <w:lang w:val="es-ES_tradnl"/>
          </w:rPr>
          <w:t>la Policía Bona</w:t>
        </w:r>
        <w:r>
          <w:rPr>
            <w:lang w:val="es-ES_tradnl"/>
          </w:rPr>
          <w:t>e</w:t>
        </w:r>
        <w:r>
          <w:rPr>
            <w:lang w:val="es-ES_tradnl"/>
          </w:rPr>
          <w:t>rense</w:t>
        </w:r>
      </w:smartTag>
      <w:r>
        <w:rPr>
          <w:lang w:val="es-ES_tradnl"/>
        </w:rPr>
        <w:t>, con domicilio en Camino General Belgrano 2947, torre 14, piso 7º, departamento “A”, de Lanús Este, pr</w:t>
      </w:r>
      <w:r>
        <w:rPr>
          <w:lang w:val="es-ES_tradnl"/>
        </w:rPr>
        <w:t>o</w:t>
      </w:r>
      <w:r>
        <w:rPr>
          <w:lang w:val="es-ES_tradnl"/>
        </w:rPr>
        <w:t>vincia de Buenos Aires, titular del Documento Naci</w:t>
      </w:r>
      <w:r>
        <w:rPr>
          <w:lang w:val="es-ES_tradnl"/>
        </w:rPr>
        <w:t>o</w:t>
      </w:r>
      <w:r>
        <w:rPr>
          <w:lang w:val="es-ES_tradnl"/>
        </w:rPr>
        <w:t xml:space="preserve">nal de Identidad nº 18.127.411 y con prontuario de </w:t>
      </w:r>
      <w:smartTag w:uri="urn:schemas-microsoft-com:office:smarttags" w:element="PersonName">
        <w:smartTagPr>
          <w:attr w:name="ProductID" w:val="la Polic￭a Federal"/>
        </w:smartTagPr>
        <w:r>
          <w:rPr>
            <w:lang w:val="es-ES_tradnl"/>
          </w:rPr>
          <w:t>la Policía F</w:t>
        </w:r>
        <w:r>
          <w:rPr>
            <w:lang w:val="es-ES_tradnl"/>
          </w:rPr>
          <w:t>e</w:t>
        </w:r>
        <w:r>
          <w:rPr>
            <w:lang w:val="es-ES_tradnl"/>
          </w:rPr>
          <w:t>deral</w:t>
        </w:r>
      </w:smartTag>
      <w:r>
        <w:rPr>
          <w:lang w:val="es-ES_tradnl"/>
        </w:rPr>
        <w:t xml:space="preserve"> A</w:t>
      </w:r>
      <w:r>
        <w:rPr>
          <w:lang w:val="es-ES_tradnl"/>
        </w:rPr>
        <w:t>r</w:t>
      </w:r>
      <w:r>
        <w:rPr>
          <w:lang w:val="es-ES_tradnl"/>
        </w:rPr>
        <w:t xml:space="preserve">gentina, serie C.I. nº 9.543.716; y </w:t>
      </w:r>
      <w:r>
        <w:rPr>
          <w:b/>
          <w:bCs/>
          <w:lang w:val="es-ES_tradnl"/>
        </w:rPr>
        <w:t>EDUARDO DIEGO TOLEDO</w:t>
      </w:r>
      <w:r>
        <w:rPr>
          <w:lang w:val="es-ES_tradnl"/>
        </w:rPr>
        <w:t>, argentino, nacido el 17 de febrero de 1962 en L</w:t>
      </w:r>
      <w:r>
        <w:rPr>
          <w:lang w:val="es-ES_tradnl"/>
        </w:rPr>
        <w:t>o</w:t>
      </w:r>
      <w:r>
        <w:rPr>
          <w:lang w:val="es-ES_tradnl"/>
        </w:rPr>
        <w:t xml:space="preserve">mas de Zamora, provincia de Buenos Aires, hijo de Rubino Diego y de Agustina Cañete, de estado civil divorciado, sargento de </w:t>
      </w:r>
      <w:smartTag w:uri="urn:schemas-microsoft-com:office:smarttags" w:element="PersonName">
        <w:smartTagPr>
          <w:attr w:name="ProductID" w:val="la Polic￭a Bonaerense"/>
        </w:smartTagPr>
        <w:r>
          <w:rPr>
            <w:lang w:val="es-ES_tradnl"/>
          </w:rPr>
          <w:t>la Policía Bonaere</w:t>
        </w:r>
        <w:r>
          <w:rPr>
            <w:lang w:val="es-ES_tradnl"/>
          </w:rPr>
          <w:t>n</w:t>
        </w:r>
        <w:r>
          <w:rPr>
            <w:lang w:val="es-ES_tradnl"/>
          </w:rPr>
          <w:t>se</w:t>
        </w:r>
      </w:smartTag>
      <w:r>
        <w:rPr>
          <w:lang w:val="es-ES_tradnl"/>
        </w:rPr>
        <w:t>, con domicilio en Camino General Belgrano 2947, torre 20, piso  7º, departamento “D”, de Lanús Este, provincia de Buenos Aires y titular del Documento N</w:t>
      </w:r>
      <w:r>
        <w:rPr>
          <w:lang w:val="es-ES_tradnl"/>
        </w:rPr>
        <w:t>a</w:t>
      </w:r>
      <w:r>
        <w:rPr>
          <w:lang w:val="es-ES_tradnl"/>
        </w:rPr>
        <w:t>cional de Identidad nº 14.824.465; en las que interv</w:t>
      </w:r>
      <w:r>
        <w:rPr>
          <w:lang w:val="es-ES_tradnl"/>
        </w:rPr>
        <w:t>i</w:t>
      </w:r>
      <w:r>
        <w:rPr>
          <w:lang w:val="es-ES_tradnl"/>
        </w:rPr>
        <w:t>nieron:</w:t>
      </w:r>
    </w:p>
    <w:p w:rsidR="00224567" w:rsidRDefault="00224567">
      <w:pPr>
        <w:widowControl w:val="0"/>
        <w:ind w:firstLine="2835"/>
        <w:rPr>
          <w:lang w:val="es-ES_tradnl"/>
        </w:rPr>
      </w:pPr>
      <w:r>
        <w:rPr>
          <w:lang w:val="es-ES_tradnl"/>
        </w:rPr>
        <w:tab/>
      </w:r>
      <w:r>
        <w:rPr>
          <w:lang w:val="es-ES_tradnl"/>
        </w:rPr>
        <w:tab/>
      </w:r>
      <w:r>
        <w:rPr>
          <w:b/>
          <w:bCs/>
          <w:lang w:val="es-ES_tradnl"/>
        </w:rPr>
        <w:t>1)</w:t>
      </w:r>
      <w:r>
        <w:rPr>
          <w:lang w:val="es-ES_tradnl"/>
        </w:rPr>
        <w:t xml:space="preserve"> en representación del Minist</w:t>
      </w:r>
      <w:r>
        <w:rPr>
          <w:lang w:val="es-ES_tradnl"/>
        </w:rPr>
        <w:t>e</w:t>
      </w:r>
      <w:r>
        <w:rPr>
          <w:lang w:val="es-ES_tradnl"/>
        </w:rPr>
        <w:t>rio Público Fiscal, los Sres. fiscales generales, Dres. Miguel Ángel Romero y Alberto Nisman y, hasta el 13 de abril de 2004, fecha en que el tribunal dispuso su apart</w:t>
      </w:r>
      <w:r>
        <w:rPr>
          <w:lang w:val="es-ES_tradnl"/>
        </w:rPr>
        <w:t>a</w:t>
      </w:r>
      <w:r>
        <w:rPr>
          <w:lang w:val="es-ES_tradnl"/>
        </w:rPr>
        <w:lastRenderedPageBreak/>
        <w:t>miento, los Sres. agentes fiscales, Dres. Eamon Gabriel Mullen y José Carlos Barba</w:t>
      </w:r>
      <w:r>
        <w:rPr>
          <w:lang w:val="es-ES_tradnl"/>
        </w:rPr>
        <w:t>c</w:t>
      </w:r>
      <w:r>
        <w:rPr>
          <w:lang w:val="es-ES_tradnl"/>
        </w:rPr>
        <w:t>cia;</w:t>
      </w:r>
    </w:p>
    <w:p w:rsidR="00224567" w:rsidRDefault="00224567">
      <w:pPr>
        <w:pStyle w:val="Sangradetextonormal"/>
        <w:widowControl w:val="0"/>
        <w:ind w:firstLine="2835"/>
      </w:pPr>
      <w:r>
        <w:rPr>
          <w:b/>
          <w:bCs/>
        </w:rPr>
        <w:t>2)</w:t>
      </w:r>
      <w:r>
        <w:t xml:space="preserve"> en representación de </w:t>
      </w:r>
      <w:smartTag w:uri="urn:schemas-microsoft-com:office:smarttags" w:element="PersonName">
        <w:smartTagPr>
          <w:attr w:name="ProductID" w:val="la Asociaci￳n Mutual"/>
        </w:smartTagPr>
        <w:r>
          <w:t>la As</w:t>
        </w:r>
        <w:r>
          <w:t>o</w:t>
        </w:r>
        <w:r>
          <w:t>ciación Mutual</w:t>
        </w:r>
      </w:smartTag>
      <w:r>
        <w:t xml:space="preserve"> Israelita Argentina (A.M.I.A.), </w:t>
      </w:r>
      <w:smartTag w:uri="urn:schemas-microsoft-com:office:smarttags" w:element="PersonName">
        <w:smartTagPr>
          <w:attr w:name="ProductID" w:val="la Delegaci￳n"/>
        </w:smartTagPr>
        <w:r>
          <w:t>la Delegación</w:t>
        </w:r>
      </w:smartTag>
      <w:r>
        <w:t xml:space="preserve"> de Asociaciones Israelitas Argentinas (D.A.I.A.), el denom</w:t>
      </w:r>
      <w:r>
        <w:t>i</w:t>
      </w:r>
      <w:r>
        <w:t>nado “Grupo de Familiares y Amigos de las Víctimas” -León Mario Averbuch, María Silvia Zajdweber de Ave</w:t>
      </w:r>
      <w:r>
        <w:t>r</w:t>
      </w:r>
      <w:r>
        <w:t>buch, Sergio Leonardo Burstein, Romina Burstein, Luis Czyzewski, Ana María Blugerman de Czyzewski, Jacobo Furman, Graciela L</w:t>
      </w:r>
      <w:r>
        <w:t>i</w:t>
      </w:r>
      <w:r>
        <w:t>nial, Ana María Gaibisso, Aída Kr</w:t>
      </w:r>
      <w:r>
        <w:t>i</w:t>
      </w:r>
      <w:r>
        <w:t>mer de Plaksin, Valentín Worona, Rosa Dibner, Alberto Guterman, Sofía Kaplinsky de Guterman, Elba Noemí Ago</w:t>
      </w:r>
      <w:r>
        <w:t>s</w:t>
      </w:r>
      <w:r>
        <w:t>tinelli de Terranova, Olga Noemí Diacovetzky de De</w:t>
      </w:r>
      <w:r>
        <w:t>g</w:t>
      </w:r>
      <w:r>
        <w:t>tiar, Rosa Montano de Barreiros, Israel Kupchik y Silvana Graciela Kupchik- y de Luis Bernardo Goldenberg, Elisa Laura Einstoss de Goldenberg, Agustina Ledesma, María Emilia Alcoba de Ubfal, Nelly Fátima Laro</w:t>
      </w:r>
      <w:r>
        <w:t>c</w:t>
      </w:r>
      <w:r>
        <w:t>ca de Dubín, Gregorio Marchak, Alejandra Alzaibar, A</w:t>
      </w:r>
      <w:r>
        <w:t>l</w:t>
      </w:r>
      <w:r>
        <w:t>berto Arazi, Rosa Diana Nudel, Maruja Szurman de Nudel y Carol</w:t>
      </w:r>
      <w:r>
        <w:t>i</w:t>
      </w:r>
      <w:r>
        <w:t>na Bibiana Acosta, cuyas querellas se unificaron por res</w:t>
      </w:r>
      <w:r>
        <w:t>o</w:t>
      </w:r>
      <w:r>
        <w:t xml:space="preserve">luciones de fs. 79.590/79.596, 79.822vta./79.823, </w:t>
      </w:r>
      <w:r>
        <w:lastRenderedPageBreak/>
        <w:t xml:space="preserve">80.196/80.197 y 94.728, </w:t>
      </w:r>
      <w:r w:rsidRPr="001B3241">
        <w:rPr>
          <w:highlight w:val="yellow"/>
        </w:rPr>
        <w:t>los Dres. Juan José Ávila, Marta Elsa Nercellas, Ana Raquel Sverdlick, Mariano Alejandro Fridman, Carolina Ferná</w:t>
      </w:r>
      <w:r w:rsidRPr="001B3241">
        <w:rPr>
          <w:highlight w:val="yellow"/>
        </w:rPr>
        <w:t>n</w:t>
      </w:r>
      <w:r w:rsidRPr="001B3241">
        <w:rPr>
          <w:highlight w:val="yellow"/>
        </w:rPr>
        <w:t>dez Blanco, Miguel Bronfman, Tomás Alejandro Farini Duggan y, hasta el 24 de mayo de 2004, fecha en que presentaron sus respectivas renuncias, los Dres. Julio Federik, José Emiliano Arias y Mar</w:t>
      </w:r>
      <w:r>
        <w:t>iano Manuel Erne</w:t>
      </w:r>
      <w:r>
        <w:t>s</w:t>
      </w:r>
      <w:r>
        <w:t>to Pinciroli (causas nº 487/00 y 496/00);</w:t>
      </w:r>
    </w:p>
    <w:p w:rsidR="00224567" w:rsidRDefault="00224567">
      <w:pPr>
        <w:widowControl w:val="0"/>
        <w:ind w:firstLine="2835"/>
        <w:rPr>
          <w:lang w:val="es-ES_tradnl"/>
        </w:rPr>
      </w:pPr>
      <w:r>
        <w:rPr>
          <w:b/>
          <w:bCs/>
          <w:lang w:val="es-ES_tradnl"/>
        </w:rPr>
        <w:t>3)</w:t>
      </w:r>
      <w:r>
        <w:rPr>
          <w:lang w:val="es-ES_tradnl"/>
        </w:rPr>
        <w:t xml:space="preserve"> en representación de Adriana Marc</w:t>
      </w:r>
      <w:r>
        <w:rPr>
          <w:lang w:val="es-ES_tradnl"/>
        </w:rPr>
        <w:t>e</w:t>
      </w:r>
      <w:r>
        <w:rPr>
          <w:lang w:val="es-ES_tradnl"/>
        </w:rPr>
        <w:t>la Reisfeld, Salomón Belgorovsky, Diana Wassner, Daniel Osvaldo Rodríguez y Jorge Lew, integrantes de “Memoria A</w:t>
      </w:r>
      <w:r>
        <w:rPr>
          <w:lang w:val="es-ES_tradnl"/>
        </w:rPr>
        <w:t>c</w:t>
      </w:r>
      <w:r>
        <w:rPr>
          <w:lang w:val="es-ES_tradnl"/>
        </w:rPr>
        <w:t>tiva” y de María Groisman, Laura Alché de Gin</w:t>
      </w:r>
      <w:r>
        <w:rPr>
          <w:lang w:val="es-ES_tradnl"/>
        </w:rPr>
        <w:t>s</w:t>
      </w:r>
      <w:r>
        <w:rPr>
          <w:lang w:val="es-ES_tradnl"/>
        </w:rPr>
        <w:t>berg, Elena Julia Schreiber, Humberto Juan Chiesa, Hilda Ester Dele</w:t>
      </w:r>
      <w:r>
        <w:rPr>
          <w:lang w:val="es-ES_tradnl"/>
        </w:rPr>
        <w:t>s</w:t>
      </w:r>
      <w:r>
        <w:rPr>
          <w:lang w:val="es-ES_tradnl"/>
        </w:rPr>
        <w:t>cabe de Díaz, Diego Norberto Díaz, Luis María Gallarraga, Simón Fabián Duek, Aldo Ernesto Macagno, Javier Horacio Miropolsky, Ernesto Szwimer, Moisés Chaufan, Jorge Osva</w:t>
      </w:r>
      <w:r>
        <w:rPr>
          <w:lang w:val="es-ES_tradnl"/>
        </w:rPr>
        <w:t>l</w:t>
      </w:r>
      <w:r>
        <w:rPr>
          <w:lang w:val="es-ES_tradnl"/>
        </w:rPr>
        <w:t>do Ferretti, Manuel Gabriel Wolynski, Jorge Jurín, Marta Gr</w:t>
      </w:r>
      <w:r>
        <w:rPr>
          <w:lang w:val="es-ES_tradnl"/>
        </w:rPr>
        <w:t>a</w:t>
      </w:r>
      <w:r>
        <w:rPr>
          <w:lang w:val="es-ES_tradnl"/>
        </w:rPr>
        <w:t>ciela Ladizesky de Roi</w:t>
      </w:r>
      <w:r>
        <w:rPr>
          <w:lang w:val="es-ES_tradnl"/>
        </w:rPr>
        <w:t>s</w:t>
      </w:r>
      <w:r>
        <w:rPr>
          <w:lang w:val="es-ES_tradnl"/>
        </w:rPr>
        <w:t>man, Daniel Eduardo Joffe, Patricia Elizabeth W</w:t>
      </w:r>
      <w:r>
        <w:rPr>
          <w:lang w:val="es-ES_tradnl"/>
        </w:rPr>
        <w:t>e</w:t>
      </w:r>
      <w:r>
        <w:rPr>
          <w:lang w:val="es-ES_tradnl"/>
        </w:rPr>
        <w:t>netz, Cecilia Denise Buttini y Julieta Daniela Buttini, cuyas querellas se unificaron por resol</w:t>
      </w:r>
      <w:r>
        <w:rPr>
          <w:lang w:val="es-ES_tradnl"/>
        </w:rPr>
        <w:t>u</w:t>
      </w:r>
      <w:r>
        <w:rPr>
          <w:lang w:val="es-ES_tradnl"/>
        </w:rPr>
        <w:t xml:space="preserve">ciones de fs. 79.590/79.596, 80.196/80.197, 94.728 y 111.350/111.351, sexto párrafo, </w:t>
      </w:r>
      <w:r w:rsidRPr="001B3241">
        <w:rPr>
          <w:highlight w:val="yellow"/>
          <w:lang w:val="es-ES_tradnl"/>
        </w:rPr>
        <w:t>los Dres. Pablo Miguel J</w:t>
      </w:r>
      <w:r w:rsidRPr="001B3241">
        <w:rPr>
          <w:highlight w:val="yellow"/>
          <w:lang w:val="es-ES_tradnl"/>
        </w:rPr>
        <w:t>a</w:t>
      </w:r>
      <w:r w:rsidRPr="001B3241">
        <w:rPr>
          <w:highlight w:val="yellow"/>
          <w:lang w:val="es-ES_tradnl"/>
        </w:rPr>
        <w:lastRenderedPageBreak/>
        <w:t>coby, Alberto Luis Zuppi y Pablo Slonimsqui (causa nº 487/00);</w:t>
      </w:r>
    </w:p>
    <w:p w:rsidR="00224567" w:rsidRDefault="00224567">
      <w:pPr>
        <w:pStyle w:val="Sangradetextonormal"/>
        <w:widowControl w:val="0"/>
        <w:ind w:firstLine="2835"/>
      </w:pPr>
      <w:r>
        <w:rPr>
          <w:b/>
          <w:bCs/>
        </w:rPr>
        <w:t>4)</w:t>
      </w:r>
      <w:r>
        <w:t xml:space="preserve"> como letrados defensores de Carlos Alberto Telleldín, los Dres. Víctor Stinfale, Laura A</w:t>
      </w:r>
      <w:r>
        <w:t>n</w:t>
      </w:r>
      <w:r>
        <w:t>drea Fechino, Andrea Fabiana Novello y Marcela Cardoso (causa nº 487/00);</w:t>
      </w:r>
    </w:p>
    <w:p w:rsidR="00224567" w:rsidRDefault="00224567">
      <w:pPr>
        <w:pStyle w:val="Sangradetextonormal"/>
        <w:widowControl w:val="0"/>
        <w:ind w:firstLine="2835"/>
      </w:pPr>
      <w:r>
        <w:rPr>
          <w:b/>
          <w:bCs/>
        </w:rPr>
        <w:t>5)</w:t>
      </w:r>
      <w:r>
        <w:t xml:space="preserve"> como letrados defensores de Juan José Ribelli, los Dres. José Manuel Ubeira y Mariano </w:t>
      </w:r>
      <w:smartTag w:uri="urn:schemas-microsoft-com:office:smarttags" w:element="PersonName">
        <w:smartTagPr>
          <w:attr w:name="ProductID" w:val="La Rocca"/>
        </w:smartTagPr>
        <w:r>
          <w:t>La Rocca</w:t>
        </w:r>
      </w:smartTag>
      <w:r>
        <w:t xml:space="preserve"> (ca</w:t>
      </w:r>
      <w:r>
        <w:t>u</w:t>
      </w:r>
      <w:r>
        <w:t>sas nº 487/00, 496/00 y 501/01);</w:t>
      </w:r>
    </w:p>
    <w:p w:rsidR="00224567" w:rsidRDefault="00224567">
      <w:pPr>
        <w:pStyle w:val="Sangradetextonormal"/>
        <w:widowControl w:val="0"/>
        <w:ind w:firstLine="2835"/>
      </w:pPr>
      <w:r>
        <w:rPr>
          <w:b/>
          <w:bCs/>
        </w:rPr>
        <w:t>6)</w:t>
      </w:r>
      <w:r>
        <w:t xml:space="preserve"> como letrados defensores de Marc</w:t>
      </w:r>
      <w:r>
        <w:t>e</w:t>
      </w:r>
      <w:r>
        <w:t>lo Gustavo A</w:t>
      </w:r>
      <w:r>
        <w:t>l</w:t>
      </w:r>
      <w:r>
        <w:t>barracín y Claudio Walter Araya, los Dres. Luis Carlos Galtieri, Enrique Julio Villarreal, Juan Martín C</w:t>
      </w:r>
      <w:r>
        <w:t>e</w:t>
      </w:r>
      <w:r>
        <w:t>rolini, Carolina Victoria Galtieri y Abel Mario Enríquez Sánchez Negrete (causa nº 487/00);</w:t>
      </w:r>
    </w:p>
    <w:p w:rsidR="00224567" w:rsidRDefault="00224567">
      <w:pPr>
        <w:pStyle w:val="Sangradetextonormal"/>
        <w:widowControl w:val="0"/>
        <w:ind w:firstLine="2835"/>
      </w:pPr>
      <w:r>
        <w:rPr>
          <w:b/>
          <w:bCs/>
        </w:rPr>
        <w:t>7)</w:t>
      </w:r>
      <w:r>
        <w:t xml:space="preserve"> como letrados defensores de Jorge Horacio Rago, los Dres. Enrique Julio Villarreal, Luis Carlos Galtieri, Enrique Villarreal y Della Rocca y José Manuel Ubeira (causas nº 487/00 y 501/01);</w:t>
      </w:r>
    </w:p>
    <w:p w:rsidR="00224567" w:rsidRDefault="00224567">
      <w:pPr>
        <w:pStyle w:val="Sangradetextonormal"/>
        <w:widowControl w:val="0"/>
        <w:ind w:firstLine="2835"/>
      </w:pPr>
      <w:r>
        <w:rPr>
          <w:b/>
          <w:bCs/>
        </w:rPr>
        <w:t>8)</w:t>
      </w:r>
      <w:r>
        <w:t xml:space="preserve"> como letrados defensores de Anast</w:t>
      </w:r>
      <w:r>
        <w:t>a</w:t>
      </w:r>
      <w:r>
        <w:t xml:space="preserve">sio Ireneo Leal, los Dres. Karina Verónica Bacci, Jorge </w:t>
      </w:r>
      <w:r>
        <w:lastRenderedPageBreak/>
        <w:t>Poblete y Nelson Javier Tobárez (causas nº 487/00 y 501/01);</w:t>
      </w:r>
    </w:p>
    <w:p w:rsidR="00224567" w:rsidRDefault="00224567">
      <w:pPr>
        <w:pStyle w:val="Sangradetextonormal"/>
        <w:widowControl w:val="0"/>
        <w:ind w:firstLine="2835"/>
      </w:pPr>
      <w:r>
        <w:rPr>
          <w:b/>
          <w:bCs/>
        </w:rPr>
        <w:t>9)</w:t>
      </w:r>
      <w:r>
        <w:t xml:space="preserve"> como letrados defensores de Ariel Rodolfo Nitzcaner, los Dres. Juan Carlos García Dietze, Sergio Rubén Steizel, Claudio Nitzcaner, Martín Aleja</w:t>
      </w:r>
      <w:r>
        <w:t>n</w:t>
      </w:r>
      <w:r>
        <w:t>dro Sá</w:t>
      </w:r>
      <w:r>
        <w:t>n</w:t>
      </w:r>
      <w:r>
        <w:t>chez y Nancy Ana Calviño (causa nº 487/00);</w:t>
      </w:r>
    </w:p>
    <w:p w:rsidR="00224567" w:rsidRDefault="00224567">
      <w:pPr>
        <w:widowControl w:val="0"/>
        <w:ind w:firstLine="2835"/>
        <w:rPr>
          <w:lang w:val="es-ES_tradnl"/>
        </w:rPr>
      </w:pPr>
      <w:r>
        <w:rPr>
          <w:b/>
          <w:bCs/>
          <w:lang w:val="es-ES_tradnl"/>
        </w:rPr>
        <w:t>10)</w:t>
      </w:r>
      <w:r>
        <w:rPr>
          <w:lang w:val="es-ES_tradnl"/>
        </w:rPr>
        <w:t xml:space="preserve"> como letrados defensores de Raúl Edilio Ibarra, el defensor público oficial, Dr. Víctor E</w:t>
      </w:r>
      <w:r>
        <w:rPr>
          <w:lang w:val="es-ES_tradnl"/>
        </w:rPr>
        <w:t>n</w:t>
      </w:r>
      <w:r>
        <w:rPr>
          <w:lang w:val="es-ES_tradnl"/>
        </w:rPr>
        <w:t>rique Valle, el defensor público of</w:t>
      </w:r>
      <w:r>
        <w:rPr>
          <w:lang w:val="es-ES_tradnl"/>
        </w:rPr>
        <w:t>i</w:t>
      </w:r>
      <w:r>
        <w:rPr>
          <w:lang w:val="es-ES_tradnl"/>
        </w:rPr>
        <w:t xml:space="preserve">cial adjunto, Dr. José Eduardo García y los Dres. Patricio Giardelli y Germán Carlevaro, secretarios de esa defensoría, designados </w:t>
      </w:r>
      <w:r>
        <w:rPr>
          <w:u w:val="single"/>
          <w:lang w:val="es-ES_tradnl"/>
        </w:rPr>
        <w:t>ad hoc</w:t>
      </w:r>
      <w:r>
        <w:rPr>
          <w:lang w:val="es-ES_tradnl"/>
        </w:rPr>
        <w:t xml:space="preserve"> y </w:t>
      </w:r>
      <w:r>
        <w:rPr>
          <w:u w:val="single"/>
          <w:lang w:val="es-ES_tradnl"/>
        </w:rPr>
        <w:t>ad honorem</w:t>
      </w:r>
      <w:r>
        <w:rPr>
          <w:lang w:val="es-ES_tradnl"/>
        </w:rPr>
        <w:t xml:space="preserve"> por res</w:t>
      </w:r>
      <w:r>
        <w:rPr>
          <w:lang w:val="es-ES_tradnl"/>
        </w:rPr>
        <w:t>o</w:t>
      </w:r>
      <w:r>
        <w:rPr>
          <w:lang w:val="es-ES_tradnl"/>
        </w:rPr>
        <w:t xml:space="preserve">lución nº 66/04 de </w:t>
      </w:r>
      <w:smartTag w:uri="urn:schemas-microsoft-com:office:smarttags" w:element="PersonName">
        <w:smartTagPr>
          <w:attr w:name="ProductID" w:val="la Defensor￭a General"/>
        </w:smartTagPr>
        <w:r>
          <w:rPr>
            <w:lang w:val="es-ES_tradnl"/>
          </w:rPr>
          <w:t>la Defensoría General</w:t>
        </w:r>
      </w:smartTag>
      <w:r>
        <w:rPr>
          <w:lang w:val="es-ES_tradnl"/>
        </w:rPr>
        <w:t xml:space="preserve"> de </w:t>
      </w:r>
      <w:smartTag w:uri="urn:schemas-microsoft-com:office:smarttags" w:element="PersonName">
        <w:smartTagPr>
          <w:attr w:name="ProductID" w:val="la Naci￳n"/>
        </w:smartTagPr>
        <w:r>
          <w:rPr>
            <w:lang w:val="es-ES_tradnl"/>
          </w:rPr>
          <w:t>la N</w:t>
        </w:r>
        <w:r>
          <w:rPr>
            <w:lang w:val="es-ES_tradnl"/>
          </w:rPr>
          <w:t>a</w:t>
        </w:r>
        <w:r>
          <w:rPr>
            <w:lang w:val="es-ES_tradnl"/>
          </w:rPr>
          <w:t>ción</w:t>
        </w:r>
      </w:smartTag>
      <w:r>
        <w:rPr>
          <w:lang w:val="es-ES_tradnl"/>
        </w:rPr>
        <w:t xml:space="preserve"> (causas nº 487/00 y 502/03);</w:t>
      </w:r>
    </w:p>
    <w:p w:rsidR="00224567" w:rsidRDefault="00224567">
      <w:pPr>
        <w:widowControl w:val="0"/>
        <w:ind w:firstLine="2835"/>
      </w:pPr>
      <w:r>
        <w:rPr>
          <w:b/>
          <w:bCs/>
        </w:rPr>
        <w:t>11)</w:t>
      </w:r>
      <w:r>
        <w:t xml:space="preserve"> como letrados defensores de Arge</w:t>
      </w:r>
      <w:r>
        <w:t>n</w:t>
      </w:r>
      <w:r>
        <w:t>tino Gabriel Lasala y Juan Alberto Bottegal, el defensor público oficial, Dr. Víctor Enrique Valle y los Dres. P</w:t>
      </w:r>
      <w:r>
        <w:t>a</w:t>
      </w:r>
      <w:r>
        <w:t xml:space="preserve">tricio Giardelli y Germán Carlevaro, secretarios de esa defensoría, designados </w:t>
      </w:r>
      <w:r>
        <w:rPr>
          <w:u w:val="single"/>
        </w:rPr>
        <w:t>ad hoc</w:t>
      </w:r>
      <w:r>
        <w:t xml:space="preserve"> y </w:t>
      </w:r>
      <w:r>
        <w:rPr>
          <w:u w:val="single"/>
        </w:rPr>
        <w:t>ad honorem</w:t>
      </w:r>
      <w:r>
        <w:t xml:space="preserve"> por resolución nº 66/04 de </w:t>
      </w:r>
      <w:smartTag w:uri="urn:schemas-microsoft-com:office:smarttags" w:element="PersonName">
        <w:smartTagPr>
          <w:attr w:name="ProductID" w:val="la Defensor￭a General"/>
        </w:smartTagPr>
        <w:r>
          <w:t>la Defensoría General</w:t>
        </w:r>
      </w:smartTag>
      <w:r>
        <w:t xml:space="preserve"> de </w:t>
      </w:r>
      <w:smartTag w:uri="urn:schemas-microsoft-com:office:smarttags" w:element="PersonName">
        <w:smartTagPr>
          <w:attr w:name="ProductID" w:val="la Naci￳n"/>
        </w:smartTagPr>
        <w:r>
          <w:t>la Nación</w:t>
        </w:r>
      </w:smartTag>
      <w:r>
        <w:t xml:space="preserve"> (causa nº 487/00);</w:t>
      </w:r>
    </w:p>
    <w:p w:rsidR="00224567" w:rsidRDefault="00224567">
      <w:pPr>
        <w:widowControl w:val="0"/>
        <w:ind w:firstLine="2835"/>
      </w:pPr>
      <w:r>
        <w:rPr>
          <w:b/>
          <w:bCs/>
        </w:rPr>
        <w:t>12)</w:t>
      </w:r>
      <w:r>
        <w:t xml:space="preserve"> como letrado defensor de Daniel </w:t>
      </w:r>
      <w:r>
        <w:lastRenderedPageBreak/>
        <w:t>Emilio Qui</w:t>
      </w:r>
      <w:r>
        <w:t>n</w:t>
      </w:r>
      <w:r>
        <w:t>teros, el defensor público oficial adjunto, Dr. José Edua</w:t>
      </w:r>
      <w:r>
        <w:t>r</w:t>
      </w:r>
      <w:r>
        <w:t>do García (causa nº 487/00);</w:t>
      </w:r>
    </w:p>
    <w:p w:rsidR="00224567" w:rsidRDefault="00224567">
      <w:pPr>
        <w:pStyle w:val="Sangradetextonormal"/>
        <w:widowControl w:val="0"/>
        <w:ind w:firstLine="2835"/>
      </w:pPr>
      <w:r>
        <w:rPr>
          <w:b/>
          <w:bCs/>
        </w:rPr>
        <w:t>13)</w:t>
      </w:r>
      <w:r>
        <w:t xml:space="preserve"> como letrado defensor de Diego E</w:t>
      </w:r>
      <w:r>
        <w:t>n</w:t>
      </w:r>
      <w:r>
        <w:t>rique Barreda, el defensor público oficial adjunto, Dr. José Eduardo García (causas nº 487/00 y 501/01);</w:t>
      </w:r>
    </w:p>
    <w:p w:rsidR="00224567" w:rsidRDefault="00224567">
      <w:pPr>
        <w:pStyle w:val="Sangradetextonormal"/>
        <w:widowControl w:val="0"/>
        <w:ind w:firstLine="2835"/>
      </w:pPr>
      <w:r>
        <w:rPr>
          <w:b/>
          <w:bCs/>
        </w:rPr>
        <w:t>14)</w:t>
      </w:r>
      <w:r>
        <w:t xml:space="preserve"> como letrados defensores de Mario Norberto Bareiro, los defensores públicos oficiales adju</w:t>
      </w:r>
      <w:r>
        <w:t>n</w:t>
      </w:r>
      <w:r>
        <w:t>tos, Dres. Guillermo Lozano y Sergio Raúl Moreno (causas nº 487/00 y 501/01);</w:t>
      </w:r>
    </w:p>
    <w:p w:rsidR="00224567" w:rsidRDefault="00224567">
      <w:pPr>
        <w:pStyle w:val="Sangradetextonormal"/>
        <w:widowControl w:val="0"/>
        <w:ind w:firstLine="2835"/>
      </w:pPr>
      <w:r>
        <w:rPr>
          <w:b/>
          <w:bCs/>
        </w:rPr>
        <w:t>15)</w:t>
      </w:r>
      <w:r>
        <w:t xml:space="preserve"> como letrados defensores de José Miguel Aranc</w:t>
      </w:r>
      <w:r>
        <w:t>i</w:t>
      </w:r>
      <w:r>
        <w:t>bia, Oscar Eusebio Bacigalupo y Víctor Carlos Cruz, los defensores públicos oficiales adjuntos, Dres. Sergio Raúl Mor</w:t>
      </w:r>
      <w:r>
        <w:t>e</w:t>
      </w:r>
      <w:r>
        <w:t>no y Guillermo Lozano (causa nº 487/00);</w:t>
      </w:r>
    </w:p>
    <w:p w:rsidR="00224567" w:rsidRDefault="00224567">
      <w:pPr>
        <w:pStyle w:val="Sangradetextonormal"/>
        <w:widowControl w:val="0"/>
        <w:ind w:firstLine="2835"/>
      </w:pPr>
      <w:r>
        <w:rPr>
          <w:b/>
          <w:bCs/>
        </w:rPr>
        <w:t>16)</w:t>
      </w:r>
      <w:r>
        <w:t xml:space="preserve"> como letrado defensor de Miguel Gustavo Jaimes, Hugo Antonio Pérez y Bautista Alberto Hu</w:t>
      </w:r>
      <w:r>
        <w:t>i</w:t>
      </w:r>
      <w:r>
        <w:t>ci, el d</w:t>
      </w:r>
      <w:r>
        <w:t>e</w:t>
      </w:r>
      <w:r>
        <w:t>fensor público oficial, Dr. Eduardo Antonio Dromi (ca</w:t>
      </w:r>
      <w:r>
        <w:t>u</w:t>
      </w:r>
      <w:r>
        <w:t>sa nº 487/00);</w:t>
      </w:r>
    </w:p>
    <w:p w:rsidR="00224567" w:rsidRDefault="00224567">
      <w:pPr>
        <w:pStyle w:val="Sangradetextonormal"/>
        <w:widowControl w:val="0"/>
        <w:ind w:firstLine="2835"/>
      </w:pPr>
      <w:r>
        <w:rPr>
          <w:b/>
          <w:bCs/>
        </w:rPr>
        <w:t>17)</w:t>
      </w:r>
      <w:r>
        <w:t xml:space="preserve"> como letrada defensora de Aleja</w:t>
      </w:r>
      <w:r>
        <w:t>n</w:t>
      </w:r>
      <w:r>
        <w:t>dro Burguete, la defensora pública oficial adjunta, Dra. Pamela Bi</w:t>
      </w:r>
      <w:r>
        <w:t>s</w:t>
      </w:r>
      <w:r>
        <w:t>serier (causa nº 487/00) y,</w:t>
      </w:r>
    </w:p>
    <w:p w:rsidR="00224567" w:rsidRDefault="00224567">
      <w:pPr>
        <w:pStyle w:val="Sangradetextonormal"/>
        <w:widowControl w:val="0"/>
        <w:ind w:firstLine="2835"/>
      </w:pPr>
      <w:r>
        <w:rPr>
          <w:b/>
          <w:bCs/>
        </w:rPr>
        <w:lastRenderedPageBreak/>
        <w:t>18)</w:t>
      </w:r>
      <w:r>
        <w:t xml:space="preserve"> como letrada defensora de Marcelo Darío Casas y Eduardo Diego Toledo, la defensora pública oficial adjunta, Dra. Pamela Biss</w:t>
      </w:r>
      <w:r>
        <w:t>e</w:t>
      </w:r>
      <w:r>
        <w:t>rier (causa nº 502/03).</w:t>
      </w:r>
    </w:p>
    <w:p w:rsidR="00224567" w:rsidRDefault="00224567">
      <w:pPr>
        <w:pStyle w:val="Sangradetextonormal"/>
        <w:widowControl w:val="0"/>
        <w:ind w:firstLine="2835"/>
      </w:pPr>
      <w:r>
        <w:t>También asistió al debate, en c</w:t>
      </w:r>
      <w:r>
        <w:t>a</w:t>
      </w:r>
      <w:r>
        <w:t xml:space="preserve">lidad de observador designado por </w:t>
      </w:r>
      <w:smartTag w:uri="urn:schemas-microsoft-com:office:smarttags" w:element="PersonName">
        <w:smartTagPr>
          <w:attr w:name="ProductID" w:val="la Comisi￳n Interamericana"/>
        </w:smartTagPr>
        <w:r>
          <w:t>la Comisión Inte</w:t>
        </w:r>
        <w:r>
          <w:t>r</w:t>
        </w:r>
        <w:r>
          <w:t>americana</w:t>
        </w:r>
      </w:smartTag>
      <w:r>
        <w:t xml:space="preserve"> de Derechos Humanos, el Dr. Claudio Gros</w:t>
      </w:r>
      <w:r>
        <w:t>s</w:t>
      </w:r>
      <w:r>
        <w:t xml:space="preserve">man, y su asistente, </w:t>
      </w:r>
      <w:smartTag w:uri="urn:schemas-microsoft-com:office:smarttags" w:element="PersonName">
        <w:smartTagPr>
          <w:attr w:name="ProductID" w:val="la Dra. Mar￭a"/>
        </w:smartTagPr>
        <w:r>
          <w:t>la Dra. María</w:t>
        </w:r>
      </w:smartTag>
      <w:r>
        <w:t xml:space="preserve"> Lou</w:t>
      </w:r>
      <w:r>
        <w:t>s</w:t>
      </w:r>
      <w:r>
        <w:t>teau.</w:t>
      </w:r>
    </w:p>
    <w:p w:rsidR="00224567" w:rsidRDefault="00224567">
      <w:pPr>
        <w:pStyle w:val="Sangradetextonormal"/>
        <w:widowControl w:val="0"/>
        <w:ind w:firstLine="2835"/>
      </w:pPr>
    </w:p>
    <w:p w:rsidR="00224567" w:rsidRDefault="00224567">
      <w:pPr>
        <w:pStyle w:val="Ttulo1"/>
        <w:widowControl w:val="0"/>
      </w:pPr>
      <w:r>
        <w:t>ACLARACIÓN PRELIMINAR</w:t>
      </w:r>
    </w:p>
    <w:p w:rsidR="00224567" w:rsidRDefault="00224567">
      <w:pPr>
        <w:pStyle w:val="Textoindependiente"/>
        <w:tabs>
          <w:tab w:val="clear" w:pos="0"/>
          <w:tab w:val="clear" w:pos="2040"/>
          <w:tab w:val="clear" w:pos="4080"/>
          <w:tab w:val="clear" w:pos="6120"/>
          <w:tab w:val="clear" w:pos="8160"/>
          <w:tab w:val="left" w:pos="2835"/>
        </w:tabs>
        <w:spacing w:line="600" w:lineRule="auto"/>
        <w:rPr>
          <w:spacing w:val="0"/>
          <w:szCs w:val="20"/>
          <w:lang w:val="es-AR"/>
        </w:rPr>
      </w:pPr>
      <w:r>
        <w:rPr>
          <w:spacing w:val="0"/>
          <w:szCs w:val="20"/>
          <w:lang w:val="es-AR"/>
        </w:rPr>
        <w:tab/>
      </w:r>
      <w:r>
        <w:rPr>
          <w:spacing w:val="0"/>
          <w:szCs w:val="20"/>
          <w:lang w:val="es-AR"/>
        </w:rPr>
        <w:tab/>
        <w:t>Que en su resolución del 20 de dicie</w:t>
      </w:r>
      <w:r>
        <w:rPr>
          <w:spacing w:val="0"/>
          <w:szCs w:val="20"/>
          <w:lang w:val="es-AR"/>
        </w:rPr>
        <w:t>m</w:t>
      </w:r>
      <w:r>
        <w:rPr>
          <w:spacing w:val="0"/>
          <w:szCs w:val="20"/>
          <w:lang w:val="es-AR"/>
        </w:rPr>
        <w:t>bre de 2000 (reg. nº 751) dictada en esta causa nº 487/00, “Telleldín, Carlos Alberto s/homicidio calific</w:t>
      </w:r>
      <w:r>
        <w:rPr>
          <w:spacing w:val="0"/>
          <w:szCs w:val="20"/>
          <w:lang w:val="es-AR"/>
        </w:rPr>
        <w:t>a</w:t>
      </w:r>
      <w:r>
        <w:rPr>
          <w:spacing w:val="0"/>
          <w:szCs w:val="20"/>
          <w:lang w:val="es-AR"/>
        </w:rPr>
        <w:t xml:space="preserve">do...(atentado a </w:t>
      </w:r>
      <w:smartTag w:uri="urn:schemas-microsoft-com:office:smarttags" w:element="PersonName">
        <w:smartTagPr>
          <w:attr w:name="ProductID" w:val="la A.M"/>
        </w:smartTagPr>
        <w:r>
          <w:rPr>
            <w:spacing w:val="0"/>
            <w:szCs w:val="20"/>
            <w:lang w:val="es-AR"/>
          </w:rPr>
          <w:t>la A.M</w:t>
        </w:r>
      </w:smartTag>
      <w:r>
        <w:rPr>
          <w:spacing w:val="0"/>
          <w:szCs w:val="20"/>
          <w:lang w:val="es-AR"/>
        </w:rPr>
        <w:t>.I.A.), este tribunal hizo saber al magistrado instructor que “tanto en el auto como en el r</w:t>
      </w:r>
      <w:r>
        <w:rPr>
          <w:spacing w:val="0"/>
          <w:szCs w:val="20"/>
          <w:lang w:val="es-AR"/>
        </w:rPr>
        <w:t>e</w:t>
      </w:r>
      <w:r>
        <w:rPr>
          <w:spacing w:val="0"/>
          <w:szCs w:val="20"/>
          <w:lang w:val="es-AR"/>
        </w:rPr>
        <w:t>querimiento de elevación a juicio se realizaron afirmaci</w:t>
      </w:r>
      <w:r>
        <w:rPr>
          <w:spacing w:val="0"/>
          <w:szCs w:val="20"/>
          <w:lang w:val="es-AR"/>
        </w:rPr>
        <w:t>o</w:t>
      </w:r>
      <w:r>
        <w:rPr>
          <w:spacing w:val="0"/>
          <w:szCs w:val="20"/>
          <w:lang w:val="es-AR"/>
        </w:rPr>
        <w:t>nes acerca de la supuesta com</w:t>
      </w:r>
      <w:r>
        <w:rPr>
          <w:spacing w:val="0"/>
          <w:szCs w:val="20"/>
          <w:lang w:val="es-AR"/>
        </w:rPr>
        <w:t>i</w:t>
      </w:r>
      <w:r>
        <w:rPr>
          <w:spacing w:val="0"/>
          <w:szCs w:val="20"/>
          <w:lang w:val="es-AR"/>
        </w:rPr>
        <w:t>sión de determinados hechos ilícitos que, sin embargo, no fueron objeto de una imp</w:t>
      </w:r>
      <w:r>
        <w:rPr>
          <w:spacing w:val="0"/>
          <w:szCs w:val="20"/>
          <w:lang w:val="es-AR"/>
        </w:rPr>
        <w:t>u</w:t>
      </w:r>
      <w:r>
        <w:rPr>
          <w:spacing w:val="0"/>
          <w:szCs w:val="20"/>
          <w:lang w:val="es-AR"/>
        </w:rPr>
        <w:t>tación formal y específica de acuerdo a los requisitos de la instru</w:t>
      </w:r>
      <w:r>
        <w:rPr>
          <w:spacing w:val="0"/>
          <w:szCs w:val="20"/>
          <w:lang w:val="es-AR"/>
        </w:rPr>
        <w:t>c</w:t>
      </w:r>
      <w:r>
        <w:rPr>
          <w:spacing w:val="0"/>
          <w:szCs w:val="20"/>
          <w:lang w:val="es-AR"/>
        </w:rPr>
        <w:t>ción”.</w:t>
      </w:r>
    </w:p>
    <w:p w:rsidR="00224567" w:rsidRDefault="00224567">
      <w:pPr>
        <w:pStyle w:val="Textoindependiente"/>
        <w:tabs>
          <w:tab w:val="clear" w:pos="0"/>
          <w:tab w:val="clear" w:pos="2040"/>
          <w:tab w:val="clear" w:pos="4080"/>
          <w:tab w:val="clear" w:pos="6120"/>
          <w:tab w:val="clear" w:pos="8160"/>
          <w:tab w:val="left" w:pos="2835"/>
        </w:tabs>
        <w:spacing w:line="600" w:lineRule="auto"/>
        <w:rPr>
          <w:spacing w:val="0"/>
          <w:szCs w:val="20"/>
          <w:lang w:val="es-AR"/>
        </w:rPr>
      </w:pPr>
      <w:r>
        <w:rPr>
          <w:spacing w:val="0"/>
          <w:szCs w:val="20"/>
          <w:lang w:val="es-AR"/>
        </w:rPr>
        <w:tab/>
        <w:t>Como consecuencia de ello, el juez i</w:t>
      </w:r>
      <w:r>
        <w:rPr>
          <w:spacing w:val="0"/>
          <w:szCs w:val="20"/>
          <w:lang w:val="es-AR"/>
        </w:rPr>
        <w:t>n</w:t>
      </w:r>
      <w:r>
        <w:rPr>
          <w:spacing w:val="0"/>
          <w:szCs w:val="20"/>
          <w:lang w:val="es-AR"/>
        </w:rPr>
        <w:t xml:space="preserve">terviniente formó el legajo nº 314, el que, tras los pasos </w:t>
      </w:r>
      <w:r>
        <w:rPr>
          <w:spacing w:val="0"/>
          <w:szCs w:val="20"/>
          <w:lang w:val="es-AR"/>
        </w:rPr>
        <w:lastRenderedPageBreak/>
        <w:t>de rigor elevó a juicio, registránd</w:t>
      </w:r>
      <w:r>
        <w:rPr>
          <w:spacing w:val="0"/>
          <w:szCs w:val="20"/>
          <w:lang w:val="es-AR"/>
        </w:rPr>
        <w:t>o</w:t>
      </w:r>
      <w:r>
        <w:rPr>
          <w:spacing w:val="0"/>
          <w:szCs w:val="20"/>
          <w:lang w:val="es-AR"/>
        </w:rPr>
        <w:t>se en esta sede con el nº 501/01. Posteriormente, se elevaron testimonios del c</w:t>
      </w:r>
      <w:r>
        <w:rPr>
          <w:spacing w:val="0"/>
          <w:szCs w:val="20"/>
          <w:lang w:val="es-AR"/>
        </w:rPr>
        <w:t>i</w:t>
      </w:r>
      <w:r>
        <w:rPr>
          <w:spacing w:val="0"/>
          <w:szCs w:val="20"/>
          <w:lang w:val="es-AR"/>
        </w:rPr>
        <w:t>tado legajo, con los que se formó la causa nº 502/03.</w:t>
      </w:r>
    </w:p>
    <w:p w:rsidR="00224567" w:rsidRDefault="00224567">
      <w:pPr>
        <w:pStyle w:val="Textoindependiente"/>
        <w:tabs>
          <w:tab w:val="clear" w:pos="0"/>
          <w:tab w:val="clear" w:pos="2040"/>
          <w:tab w:val="clear" w:pos="4080"/>
          <w:tab w:val="clear" w:pos="6120"/>
          <w:tab w:val="clear" w:pos="8160"/>
          <w:tab w:val="left" w:pos="2835"/>
        </w:tabs>
        <w:spacing w:line="600" w:lineRule="auto"/>
        <w:rPr>
          <w:spacing w:val="0"/>
          <w:szCs w:val="20"/>
          <w:lang w:val="es-AR"/>
        </w:rPr>
      </w:pPr>
      <w:r>
        <w:rPr>
          <w:spacing w:val="0"/>
          <w:szCs w:val="20"/>
          <w:lang w:val="es-AR"/>
        </w:rPr>
        <w:tab/>
        <w:t>Por otra parte, también quedó radic</w:t>
      </w:r>
      <w:r>
        <w:rPr>
          <w:spacing w:val="0"/>
          <w:szCs w:val="20"/>
          <w:lang w:val="es-AR"/>
        </w:rPr>
        <w:t>a</w:t>
      </w:r>
      <w:r>
        <w:rPr>
          <w:spacing w:val="0"/>
          <w:szCs w:val="20"/>
          <w:lang w:val="es-AR"/>
        </w:rPr>
        <w:t>da en este tribunal la causa nro. 496/00 seguida contra Juan José Ribelli por el delito de e</w:t>
      </w:r>
      <w:r>
        <w:rPr>
          <w:spacing w:val="0"/>
          <w:szCs w:val="20"/>
          <w:lang w:val="es-AR"/>
        </w:rPr>
        <w:t>x</w:t>
      </w:r>
      <w:r>
        <w:rPr>
          <w:spacing w:val="0"/>
          <w:szCs w:val="20"/>
          <w:lang w:val="es-AR"/>
        </w:rPr>
        <w:t>torsión (causa del video), en virtud de la conexidad declarada a fs. 2379/2380 y 2391.</w:t>
      </w:r>
    </w:p>
    <w:p w:rsidR="00224567" w:rsidRDefault="00224567">
      <w:pPr>
        <w:pStyle w:val="Textoindependiente"/>
        <w:tabs>
          <w:tab w:val="clear" w:pos="0"/>
          <w:tab w:val="clear" w:pos="2040"/>
          <w:tab w:val="clear" w:pos="4080"/>
          <w:tab w:val="clear" w:pos="6120"/>
          <w:tab w:val="clear" w:pos="8160"/>
          <w:tab w:val="left" w:pos="2835"/>
        </w:tabs>
        <w:spacing w:line="600" w:lineRule="auto"/>
        <w:rPr>
          <w:spacing w:val="0"/>
          <w:szCs w:val="20"/>
          <w:lang w:val="es-AR"/>
        </w:rPr>
      </w:pPr>
      <w:r>
        <w:rPr>
          <w:spacing w:val="0"/>
          <w:szCs w:val="20"/>
          <w:lang w:val="es-AR"/>
        </w:rPr>
        <w:tab/>
        <w:t>En procura de una mejor claridad exp</w:t>
      </w:r>
      <w:r>
        <w:rPr>
          <w:spacing w:val="0"/>
          <w:szCs w:val="20"/>
          <w:lang w:val="es-AR"/>
        </w:rPr>
        <w:t>o</w:t>
      </w:r>
      <w:r>
        <w:rPr>
          <w:spacing w:val="0"/>
          <w:szCs w:val="20"/>
          <w:lang w:val="es-AR"/>
        </w:rPr>
        <w:t>sitiva, este pronunciamiento habrá de contar con dos tít</w:t>
      </w:r>
      <w:r>
        <w:rPr>
          <w:spacing w:val="0"/>
          <w:szCs w:val="20"/>
          <w:lang w:val="es-AR"/>
        </w:rPr>
        <w:t>u</w:t>
      </w:r>
      <w:r>
        <w:rPr>
          <w:spacing w:val="0"/>
          <w:szCs w:val="20"/>
          <w:lang w:val="es-AR"/>
        </w:rPr>
        <w:t>los: en el primero se tratarán las cuestiones rel</w:t>
      </w:r>
      <w:r>
        <w:rPr>
          <w:spacing w:val="0"/>
          <w:szCs w:val="20"/>
          <w:lang w:val="es-AR"/>
        </w:rPr>
        <w:t>a</w:t>
      </w:r>
      <w:r>
        <w:rPr>
          <w:spacing w:val="0"/>
          <w:szCs w:val="20"/>
          <w:lang w:val="es-AR"/>
        </w:rPr>
        <w:t>tivas a las causas nros. 487/00, 501/01 y 502/03, por haber tenido un origen común, mientras que en el segundo las relacion</w:t>
      </w:r>
      <w:r>
        <w:rPr>
          <w:spacing w:val="0"/>
          <w:szCs w:val="20"/>
          <w:lang w:val="es-AR"/>
        </w:rPr>
        <w:t>a</w:t>
      </w:r>
      <w:r>
        <w:rPr>
          <w:spacing w:val="0"/>
          <w:szCs w:val="20"/>
          <w:lang w:val="es-AR"/>
        </w:rPr>
        <w:t>das con las actuaci</w:t>
      </w:r>
      <w:r>
        <w:rPr>
          <w:spacing w:val="0"/>
          <w:szCs w:val="20"/>
          <w:lang w:val="es-AR"/>
        </w:rPr>
        <w:t>o</w:t>
      </w:r>
      <w:r>
        <w:rPr>
          <w:spacing w:val="0"/>
          <w:szCs w:val="20"/>
          <w:lang w:val="es-AR"/>
        </w:rPr>
        <w:t>nes nro. 496/00.</w:t>
      </w:r>
    </w:p>
    <w:p w:rsidR="00224567" w:rsidRDefault="00224567">
      <w:pPr>
        <w:pStyle w:val="Textoindependiente"/>
        <w:tabs>
          <w:tab w:val="clear" w:pos="0"/>
          <w:tab w:val="clear" w:pos="2040"/>
          <w:tab w:val="clear" w:pos="4080"/>
          <w:tab w:val="clear" w:pos="6120"/>
          <w:tab w:val="clear" w:pos="8160"/>
          <w:tab w:val="left" w:pos="200"/>
        </w:tabs>
        <w:spacing w:line="600" w:lineRule="auto"/>
        <w:rPr>
          <w:spacing w:val="0"/>
          <w:szCs w:val="20"/>
          <w:lang w:val="es-AR"/>
        </w:rPr>
      </w:pPr>
    </w:p>
    <w:p w:rsidR="00224567" w:rsidRDefault="00224567">
      <w:pPr>
        <w:pStyle w:val="Ttulo1"/>
        <w:widowControl w:val="0"/>
      </w:pPr>
      <w:r>
        <w:t>TÍTULO I</w:t>
      </w:r>
    </w:p>
    <w:p w:rsidR="00224567" w:rsidRDefault="00224567">
      <w:pPr>
        <w:pStyle w:val="Textoindependiente"/>
        <w:tabs>
          <w:tab w:val="clear" w:pos="0"/>
          <w:tab w:val="clear" w:pos="2040"/>
          <w:tab w:val="clear" w:pos="4080"/>
          <w:tab w:val="clear" w:pos="6120"/>
          <w:tab w:val="clear" w:pos="8160"/>
          <w:tab w:val="left" w:pos="200"/>
        </w:tabs>
        <w:spacing w:line="600" w:lineRule="auto"/>
        <w:jc w:val="center"/>
        <w:rPr>
          <w:b/>
          <w:bCs/>
          <w:spacing w:val="0"/>
          <w:szCs w:val="20"/>
          <w:u w:val="single"/>
          <w:lang w:val="es-AR"/>
        </w:rPr>
      </w:pPr>
    </w:p>
    <w:p w:rsidR="00224567" w:rsidRDefault="00224567">
      <w:pPr>
        <w:pStyle w:val="Ttulo2"/>
        <w:widowControl w:val="0"/>
      </w:pPr>
      <w:r>
        <w:t>CAPÍTULO I</w:t>
      </w:r>
    </w:p>
    <w:p w:rsidR="00224567" w:rsidRDefault="00224567">
      <w:pPr>
        <w:pStyle w:val="Sangradetextonormal"/>
        <w:widowControl w:val="0"/>
        <w:ind w:firstLine="0"/>
        <w:rPr>
          <w:b/>
          <w:bCs/>
        </w:rPr>
      </w:pPr>
    </w:p>
    <w:p w:rsidR="00224567" w:rsidRDefault="00224567">
      <w:pPr>
        <w:pStyle w:val="Ttulo3"/>
        <w:widowControl w:val="0"/>
      </w:pPr>
      <w:r>
        <w:lastRenderedPageBreak/>
        <w:t>A) Elevación a juicio de la causa nº 487/00.</w:t>
      </w:r>
    </w:p>
    <w:p w:rsidR="00224567" w:rsidRDefault="00224567">
      <w:pPr>
        <w:widowControl w:val="0"/>
        <w:ind w:firstLine="2835"/>
        <w:rPr>
          <w:lang w:val="es-ES_tradnl"/>
        </w:rPr>
      </w:pPr>
      <w:r>
        <w:rPr>
          <w:lang w:val="es-ES_tradnl"/>
        </w:rPr>
        <w:tab/>
      </w:r>
      <w:r>
        <w:rPr>
          <w:b/>
          <w:bCs/>
          <w:lang w:val="es-ES_tradnl"/>
        </w:rPr>
        <w:t>A.1)</w:t>
      </w:r>
      <w:r>
        <w:rPr>
          <w:lang w:val="es-ES_tradnl"/>
        </w:rPr>
        <w:t xml:space="preserve"> En su requisitoria de el</w:t>
      </w:r>
      <w:r>
        <w:rPr>
          <w:lang w:val="es-ES_tradnl"/>
        </w:rPr>
        <w:t>e</w:t>
      </w:r>
      <w:r>
        <w:rPr>
          <w:lang w:val="es-ES_tradnl"/>
        </w:rPr>
        <w:t xml:space="preserve">vación a juicio, obrante a fs. 64.550/64.683, los Sres. fiscales, Dres. Dr. Eamon G. Mullen, José C. Barbaccia y Alberto Nisman, tuvieron por acreditado que el lunes 18 de julio de </w:t>
      </w:r>
      <w:smartTag w:uri="urn:schemas-microsoft-com:office:smarttags" w:element="metricconverter">
        <w:smartTagPr>
          <w:attr w:name="ProductID" w:val="1994, a"/>
        </w:smartTagPr>
        <w:r>
          <w:rPr>
            <w:lang w:val="es-ES_tradnl"/>
          </w:rPr>
          <w:t>1994, a</w:t>
        </w:r>
      </w:smartTag>
      <w:r>
        <w:rPr>
          <w:lang w:val="es-ES_tradnl"/>
        </w:rPr>
        <w:t xml:space="preserve"> las 9.53, una camioneta Renault Trafic, con una carga explosiva en su interior, se estrelló contra la e</w:t>
      </w:r>
      <w:r>
        <w:rPr>
          <w:lang w:val="es-ES_tradnl"/>
        </w:rPr>
        <w:t>n</w:t>
      </w:r>
      <w:r>
        <w:rPr>
          <w:lang w:val="es-ES_tradnl"/>
        </w:rPr>
        <w:t>trada del edificio de la calle Pa</w:t>
      </w:r>
      <w:r>
        <w:rPr>
          <w:lang w:val="es-ES_tradnl"/>
        </w:rPr>
        <w:t>s</w:t>
      </w:r>
      <w:r>
        <w:rPr>
          <w:lang w:val="es-ES_tradnl"/>
        </w:rPr>
        <w:t xml:space="preserve">teur 633 de esta ciudad, donde funcionaban las sedes de </w:t>
      </w:r>
      <w:smartTag w:uri="urn:schemas-microsoft-com:office:smarttags" w:element="PersonName">
        <w:smartTagPr>
          <w:attr w:name="ProductID" w:val="la Asociaci￳n Mutual"/>
        </w:smartTagPr>
        <w:r>
          <w:rPr>
            <w:lang w:val="es-ES_tradnl"/>
          </w:rPr>
          <w:t>la Asociación Mutual</w:t>
        </w:r>
      </w:smartTag>
      <w:r>
        <w:rPr>
          <w:lang w:val="es-ES_tradnl"/>
        </w:rPr>
        <w:t xml:space="preserve"> Isra</w:t>
      </w:r>
      <w:r>
        <w:rPr>
          <w:lang w:val="es-ES_tradnl"/>
        </w:rPr>
        <w:t>e</w:t>
      </w:r>
      <w:r>
        <w:rPr>
          <w:lang w:val="es-ES_tradnl"/>
        </w:rPr>
        <w:t xml:space="preserve">lita Argentina (A.M.I.A.) y de </w:t>
      </w:r>
      <w:smartTag w:uri="urn:schemas-microsoft-com:office:smarttags" w:element="PersonName">
        <w:smartTagPr>
          <w:attr w:name="ProductID" w:val="la Delegaci￳n"/>
        </w:smartTagPr>
        <w:r>
          <w:rPr>
            <w:lang w:val="es-ES_tradnl"/>
          </w:rPr>
          <w:t>la Delegación</w:t>
        </w:r>
      </w:smartTag>
      <w:r>
        <w:rPr>
          <w:lang w:val="es-ES_tradnl"/>
        </w:rPr>
        <w:t xml:space="preserve"> de Asociaci</w:t>
      </w:r>
      <w:r>
        <w:rPr>
          <w:lang w:val="es-ES_tradnl"/>
        </w:rPr>
        <w:t>o</w:t>
      </w:r>
      <w:r>
        <w:rPr>
          <w:lang w:val="es-ES_tradnl"/>
        </w:rPr>
        <w:t>nes Israelitas Argentinas (D.A.I.A.), ocasionando su d</w:t>
      </w:r>
      <w:r>
        <w:rPr>
          <w:lang w:val="es-ES_tradnl"/>
        </w:rPr>
        <w:t>e</w:t>
      </w:r>
      <w:r>
        <w:rPr>
          <w:lang w:val="es-ES_tradnl"/>
        </w:rPr>
        <w:t>rrumbe.</w:t>
      </w:r>
    </w:p>
    <w:p w:rsidR="00224567" w:rsidRDefault="00224567">
      <w:pPr>
        <w:pStyle w:val="Sangra3detindependiente"/>
        <w:widowControl w:val="0"/>
        <w:spacing w:line="600" w:lineRule="auto"/>
        <w:ind w:firstLine="2835"/>
      </w:pPr>
      <w:r>
        <w:t>También tuvieron por probado que d</w:t>
      </w:r>
      <w:r>
        <w:t>i</w:t>
      </w:r>
      <w:r>
        <w:t>cha camioneta estuvo estacionada, a partir de las 18.00 del viernes 15 de julio, en la playa de estacionamiento “Jet Parking”, sita en la calle Azcuénaga 952 de esta cap</w:t>
      </w:r>
      <w:r>
        <w:t>i</w:t>
      </w:r>
      <w:r>
        <w:t>tal, donde su conductor, quien se identificó como Carlos Mart</w:t>
      </w:r>
      <w:r>
        <w:t>í</w:t>
      </w:r>
      <w:r>
        <w:t>nez, gestionó su estadía por un lapso de quince días y que dicho rodado, el 18 de julio, fue conducido, en el sentido de circulación de la calle Pasteur, hasta la entrada de dichas entidades donde, tras ascender a la acera y col</w:t>
      </w:r>
      <w:r>
        <w:t>o</w:t>
      </w:r>
      <w:r>
        <w:lastRenderedPageBreak/>
        <w:t>carse en un ángulo de 45 grados, con su lateral derecho más cerca de la primera c</w:t>
      </w:r>
      <w:r>
        <w:t>o</w:t>
      </w:r>
      <w:r>
        <w:t>lumna, se produjo la detonación de la carga explosiva que llevaba en el interior del co</w:t>
      </w:r>
      <w:r>
        <w:t>m</w:t>
      </w:r>
      <w:r>
        <w:t>partimento de carga.</w:t>
      </w:r>
    </w:p>
    <w:p w:rsidR="00224567" w:rsidRDefault="00224567">
      <w:pPr>
        <w:pStyle w:val="Sangra3detindependiente"/>
        <w:widowControl w:val="0"/>
        <w:spacing w:line="600" w:lineRule="auto"/>
        <w:ind w:firstLine="2835"/>
      </w:pPr>
      <w:r>
        <w:t>Puntualizaron, además, que dicha c</w:t>
      </w:r>
      <w:r>
        <w:t>a</w:t>
      </w:r>
      <w:r>
        <w:t>mioneta tenía instalado el motor nº 2.831.467 y que su bloque fue secuestrado por la prevención, entre los esco</w:t>
      </w:r>
      <w:r>
        <w:t>m</w:t>
      </w:r>
      <w:r>
        <w:t xml:space="preserve">bros del edificio, el 25 de julio de </w:t>
      </w:r>
      <w:smartTag w:uri="urn:schemas-microsoft-com:office:smarttags" w:element="metricconverter">
        <w:smartTagPr>
          <w:attr w:name="ProductID" w:val="1994, a"/>
        </w:smartTagPr>
        <w:r>
          <w:t>1994, a</w:t>
        </w:r>
      </w:smartTag>
      <w:r>
        <w:t xml:space="preserve"> las 19.05.</w:t>
      </w:r>
    </w:p>
    <w:p w:rsidR="00224567" w:rsidRDefault="00224567">
      <w:pPr>
        <w:pStyle w:val="Sangra3detindependiente"/>
        <w:widowControl w:val="0"/>
        <w:spacing w:line="600" w:lineRule="auto"/>
        <w:ind w:firstLine="2835"/>
      </w:pPr>
      <w:r>
        <w:t>Por otra parte, estimaron el peso de la carga explosiva en un mínimo de 300 kilos y que ella, posiblemente dirigida o atracada, se conformó con una me</w:t>
      </w:r>
      <w:r>
        <w:t>z</w:t>
      </w:r>
      <w:r>
        <w:t>cla a base de nitrato de amonio, aluminio y un hidrocarb</w:t>
      </w:r>
      <w:r>
        <w:t>u</w:t>
      </w:r>
      <w:r>
        <w:t>ro pesado, probablemente sensibilizado con trinitrot</w:t>
      </w:r>
      <w:r>
        <w:t>o</w:t>
      </w:r>
      <w:r>
        <w:t>lueno (T.N.T.).</w:t>
      </w:r>
    </w:p>
    <w:p w:rsidR="00224567" w:rsidRDefault="00224567">
      <w:pPr>
        <w:pStyle w:val="Sangra3detindependiente"/>
        <w:widowControl w:val="0"/>
        <w:spacing w:line="600" w:lineRule="auto"/>
        <w:ind w:firstLine="2835"/>
      </w:pPr>
      <w:r>
        <w:t>Acerca de los daños ocasionados, señ</w:t>
      </w:r>
      <w:r>
        <w:t>a</w:t>
      </w:r>
      <w:r>
        <w:t>laron que la reacción explosiva produjo sobre la acera y parte de la calzada, a la altura de donde se e</w:t>
      </w:r>
      <w:r>
        <w:t>n</w:t>
      </w:r>
      <w:r>
        <w:t>contraba la puerta de acceso, un cráter de aproximad</w:t>
      </w:r>
      <w:r>
        <w:t>a</w:t>
      </w:r>
      <w:r>
        <w:t xml:space="preserve">mente </w:t>
      </w:r>
      <w:smartTag w:uri="urn:schemas-microsoft-com:office:smarttags" w:element="metricconverter">
        <w:smartTagPr>
          <w:attr w:name="ProductID" w:val="1,80 m"/>
        </w:smartTagPr>
        <w:r>
          <w:t>1,80 m</w:t>
        </w:r>
      </w:smartTag>
      <w:r>
        <w:t xml:space="preserve"> por </w:t>
      </w:r>
      <w:smartTag w:uri="urn:schemas-microsoft-com:office:smarttags" w:element="metricconverter">
        <w:smartTagPr>
          <w:attr w:name="ProductID" w:val="5,90 m"/>
        </w:smartTagPr>
        <w:r>
          <w:t>5,90 m</w:t>
        </w:r>
      </w:smartTag>
      <w:r>
        <w:t xml:space="preserve"> y </w:t>
      </w:r>
      <w:smartTag w:uri="urn:schemas-microsoft-com:office:smarttags" w:element="metricconverter">
        <w:smartTagPr>
          <w:attr w:name="ProductID" w:val="1,40 m"/>
        </w:smartTagPr>
        <w:r>
          <w:t>1,40 m</w:t>
        </w:r>
      </w:smartTag>
      <w:r>
        <w:t xml:space="preserve"> de profundidad, a la vez que describi</w:t>
      </w:r>
      <w:r>
        <w:t>e</w:t>
      </w:r>
      <w:r>
        <w:t xml:space="preserve">ron la mecánica del desplome de la estructura del edificio y </w:t>
      </w:r>
      <w:r>
        <w:lastRenderedPageBreak/>
        <w:t>la forma en que la explosión afectó los diversos automóv</w:t>
      </w:r>
      <w:r>
        <w:t>i</w:t>
      </w:r>
      <w:r>
        <w:t>les que se encontraban estacionados sobre la calle Pa</w:t>
      </w:r>
      <w:r>
        <w:t>s</w:t>
      </w:r>
      <w:r>
        <w:t>teur, entre las arterias Tucumán y Viamonte. Extr</w:t>
      </w:r>
      <w:r>
        <w:t>e</w:t>
      </w:r>
      <w:r>
        <w:t>mos que, según la fiscalía, se corroboraron plenamente con el I</w:t>
      </w:r>
      <w:r>
        <w:t>n</w:t>
      </w:r>
      <w:r>
        <w:t>forme Final elaborado por el Departamento de Expl</w:t>
      </w:r>
      <w:r>
        <w:t>o</w:t>
      </w:r>
      <w:r>
        <w:t xml:space="preserve">sivos y Riesgos Especiales de </w:t>
      </w:r>
      <w:smartTag w:uri="urn:schemas-microsoft-com:office:smarttags" w:element="PersonName">
        <w:smartTagPr>
          <w:attr w:name="ProductID" w:val="la Superintendencia"/>
        </w:smartTagPr>
        <w:r>
          <w:t>la Superintendencia</w:t>
        </w:r>
      </w:smartTag>
      <w:r>
        <w:t xml:space="preserve"> de Bomberos de </w:t>
      </w:r>
      <w:smartTag w:uri="urn:schemas-microsoft-com:office:smarttags" w:element="PersonName">
        <w:smartTagPr>
          <w:attr w:name="ProductID" w:val="la Polic￭a Federal"/>
        </w:smartTagPr>
        <w:r>
          <w:t>la Policía Federal</w:t>
        </w:r>
      </w:smartTag>
      <w:r>
        <w:t xml:space="preserve"> Argentina y con los informes confecci</w:t>
      </w:r>
      <w:r>
        <w:t>o</w:t>
      </w:r>
      <w:r>
        <w:t>nados por los investigadores d</w:t>
      </w:r>
      <w:r>
        <w:t>e</w:t>
      </w:r>
      <w:r>
        <w:t>signados por los gobiernos de Israel y los Est</w:t>
      </w:r>
      <w:r>
        <w:t>a</w:t>
      </w:r>
      <w:r>
        <w:t>dos Unidos de América.</w:t>
      </w:r>
    </w:p>
    <w:p w:rsidR="00224567" w:rsidRDefault="00224567">
      <w:pPr>
        <w:pStyle w:val="Sangra3detindependiente"/>
        <w:widowControl w:val="0"/>
        <w:spacing w:line="600" w:lineRule="auto"/>
        <w:ind w:firstLine="2835"/>
        <w:rPr>
          <w:lang w:val="es-ES"/>
        </w:rPr>
      </w:pPr>
      <w:r>
        <w:rPr>
          <w:lang w:val="es-ES"/>
        </w:rPr>
        <w:t>El Ministerio Público Fiscal también tuvo por probado que el atentado causó el f</w:t>
      </w:r>
      <w:r>
        <w:rPr>
          <w:lang w:val="es-ES"/>
        </w:rPr>
        <w:t>a</w:t>
      </w:r>
      <w:r>
        <w:rPr>
          <w:lang w:val="es-ES"/>
        </w:rPr>
        <w:t>llecimiento de ochenta y seis personas, ochenta y cinco de las cuales p</w:t>
      </w:r>
      <w:r>
        <w:rPr>
          <w:lang w:val="es-ES"/>
        </w:rPr>
        <w:t>u</w:t>
      </w:r>
      <w:r>
        <w:rPr>
          <w:lang w:val="es-ES"/>
        </w:rPr>
        <w:t>dieron ser identificadas, i</w:t>
      </w:r>
      <w:r>
        <w:rPr>
          <w:lang w:val="es-ES"/>
        </w:rPr>
        <w:t>n</w:t>
      </w:r>
      <w:r>
        <w:rPr>
          <w:lang w:val="es-ES"/>
        </w:rPr>
        <w:t>dicando en cada caso el motivo de su prese</w:t>
      </w:r>
      <w:r>
        <w:rPr>
          <w:lang w:val="es-ES"/>
        </w:rPr>
        <w:t>n</w:t>
      </w:r>
      <w:r>
        <w:rPr>
          <w:lang w:val="es-ES"/>
        </w:rPr>
        <w:t>cia en el lugar y la causa de su deceso.</w:t>
      </w:r>
    </w:p>
    <w:p w:rsidR="00224567" w:rsidRDefault="00224567">
      <w:pPr>
        <w:pStyle w:val="Sangra3detindependiente"/>
        <w:widowControl w:val="0"/>
        <w:spacing w:line="600" w:lineRule="auto"/>
        <w:ind w:firstLine="2835"/>
        <w:rPr>
          <w:lang w:val="es-ES"/>
        </w:rPr>
      </w:pPr>
      <w:r>
        <w:rPr>
          <w:lang w:val="es-ES"/>
        </w:rPr>
        <w:t>En cuanto a los lesionados, establ</w:t>
      </w:r>
      <w:r>
        <w:rPr>
          <w:lang w:val="es-ES"/>
        </w:rPr>
        <w:t>e</w:t>
      </w:r>
      <w:r>
        <w:rPr>
          <w:lang w:val="es-ES"/>
        </w:rPr>
        <w:t>ció que treinta y una personas fueron víctimas de lesiones graves; treinta y cinco de lesiones leves y otras cincue</w:t>
      </w:r>
      <w:r>
        <w:rPr>
          <w:lang w:val="es-ES"/>
        </w:rPr>
        <w:t>n</w:t>
      </w:r>
      <w:r>
        <w:rPr>
          <w:lang w:val="es-ES"/>
        </w:rPr>
        <w:t>ta y tres con lesiones cuya gravedad no se pudo establ</w:t>
      </w:r>
      <w:r>
        <w:rPr>
          <w:lang w:val="es-ES"/>
        </w:rPr>
        <w:t>e</w:t>
      </w:r>
      <w:r>
        <w:rPr>
          <w:lang w:val="es-ES"/>
        </w:rPr>
        <w:t>cer. Asimismo determinó, sin espec</w:t>
      </w:r>
      <w:r>
        <w:rPr>
          <w:lang w:val="es-ES"/>
        </w:rPr>
        <w:t>i</w:t>
      </w:r>
      <w:r>
        <w:rPr>
          <w:lang w:val="es-ES"/>
        </w:rPr>
        <w:t>ficar la entidad de las lesiones, que en ocasión de las tareas de vigilancia y s</w:t>
      </w:r>
      <w:r>
        <w:rPr>
          <w:lang w:val="es-ES"/>
        </w:rPr>
        <w:t>o</w:t>
      </w:r>
      <w:r>
        <w:rPr>
          <w:lang w:val="es-ES"/>
        </w:rPr>
        <w:t>corro resultaron lesionados veint</w:t>
      </w:r>
      <w:r>
        <w:rPr>
          <w:lang w:val="es-ES"/>
        </w:rPr>
        <w:t>i</w:t>
      </w:r>
      <w:r>
        <w:rPr>
          <w:lang w:val="es-ES"/>
        </w:rPr>
        <w:t xml:space="preserve">siete integrantes de la </w:t>
      </w:r>
      <w:r>
        <w:rPr>
          <w:lang w:val="es-ES"/>
        </w:rPr>
        <w:lastRenderedPageBreak/>
        <w:t>fuerza pol</w:t>
      </w:r>
      <w:r>
        <w:rPr>
          <w:lang w:val="es-ES"/>
        </w:rPr>
        <w:t>i</w:t>
      </w:r>
      <w:r>
        <w:rPr>
          <w:lang w:val="es-ES"/>
        </w:rPr>
        <w:t>cial actuante.</w:t>
      </w:r>
    </w:p>
    <w:p w:rsidR="00224567" w:rsidRDefault="00224567">
      <w:pPr>
        <w:pStyle w:val="Sangra3detindependiente"/>
        <w:widowControl w:val="0"/>
        <w:spacing w:line="600" w:lineRule="auto"/>
        <w:ind w:firstLine="2835"/>
      </w:pPr>
      <w:r>
        <w:t>El requerimiento de los Sres. fisc</w:t>
      </w:r>
      <w:r>
        <w:t>a</w:t>
      </w:r>
      <w:r>
        <w:t>les también acreditó los daños que la explosión ocasionó en los inmuebles ubicados en las inmedi</w:t>
      </w:r>
      <w:r>
        <w:t>a</w:t>
      </w:r>
      <w:r>
        <w:t xml:space="preserve">ciones del lugar del atentado y, en particular, los sufridos en los edificios linderos al de </w:t>
      </w:r>
      <w:smartTag w:uri="urn:schemas-microsoft-com:office:smarttags" w:element="PersonName">
        <w:smartTagPr>
          <w:attr w:name="ProductID" w:val="la A.M"/>
        </w:smartTagPr>
        <w:r>
          <w:t>la A.M</w:t>
        </w:r>
      </w:smartTag>
      <w:r>
        <w:t>.I.A. y en los ubicados en la calle Pasteur 644 y 632.</w:t>
      </w:r>
    </w:p>
    <w:p w:rsidR="00224567" w:rsidRDefault="00224567">
      <w:pPr>
        <w:pStyle w:val="Sangra2detindependiente"/>
        <w:widowControl w:val="0"/>
        <w:tabs>
          <w:tab w:val="left" w:pos="700"/>
        </w:tabs>
        <w:spacing w:line="600" w:lineRule="auto"/>
        <w:ind w:firstLine="2835"/>
      </w:pPr>
      <w:r>
        <w:t>En cuanto a los restos de un motor, hallados entre las ruinas, se indicó en dicha present</w:t>
      </w:r>
      <w:r>
        <w:t>a</w:t>
      </w:r>
      <w:r>
        <w:t>ción que éste correspondía a un vehículo Renault Trafic, dom</w:t>
      </w:r>
      <w:r>
        <w:t>i</w:t>
      </w:r>
      <w:r>
        <w:t>nio C 1.498.506, siendo su último titular la firma “Me</w:t>
      </w:r>
      <w:r>
        <w:t>s</w:t>
      </w:r>
      <w:r>
        <w:t>sin S.R.L.”, el que, tras un incendio, fue vendido por la co</w:t>
      </w:r>
      <w:r>
        <w:t>m</w:t>
      </w:r>
      <w:r>
        <w:t>pañía aseguradora “Solvencia” a la agencia “Alejandro A</w:t>
      </w:r>
      <w:r>
        <w:t>u</w:t>
      </w:r>
      <w:r>
        <w:t>tomotores”, el 15 de abril de 1994, la que a su vez se lo vendió -en el mismo estado- a Carlos Alberto T</w:t>
      </w:r>
      <w:r>
        <w:t>e</w:t>
      </w:r>
      <w:r>
        <w:t>lleldín, el 4 de julio de 1994.</w:t>
      </w:r>
    </w:p>
    <w:p w:rsidR="00224567" w:rsidRDefault="00224567">
      <w:pPr>
        <w:pStyle w:val="Sangra3detindependiente"/>
        <w:widowControl w:val="0"/>
        <w:spacing w:line="600" w:lineRule="auto"/>
        <w:ind w:firstLine="2835"/>
      </w:pPr>
      <w:r>
        <w:t>Asimismo, los Sres. fiscales dieron por acreditado que, por encargo de Telleldín, dicho vehículo fue llevado hasta el domicilio de Claudio Gu</w:t>
      </w:r>
      <w:r>
        <w:t>i</w:t>
      </w:r>
      <w:r>
        <w:t>llermo Miguel Cotoras, sito en la calle Alsina 3785 de V</w:t>
      </w:r>
      <w:r>
        <w:t>i</w:t>
      </w:r>
      <w:r>
        <w:lastRenderedPageBreak/>
        <w:t>lla Martelli, Prov. de Buenos A</w:t>
      </w:r>
      <w:r>
        <w:t>i</w:t>
      </w:r>
      <w:r>
        <w:t>res, donde el 28 de julio de 1994  se secuestró -entre otros elementos- la chapa p</w:t>
      </w:r>
      <w:r>
        <w:t>a</w:t>
      </w:r>
      <w:r>
        <w:t>tente de la camioneta Trafic incendiada, dominio C 1.498.506.</w:t>
      </w:r>
    </w:p>
    <w:p w:rsidR="00224567" w:rsidRDefault="00224567">
      <w:pPr>
        <w:pStyle w:val="Sangra3detindependiente"/>
        <w:widowControl w:val="0"/>
        <w:spacing w:line="600" w:lineRule="auto"/>
        <w:ind w:firstLine="2835"/>
      </w:pPr>
      <w:r>
        <w:t>Los Sres. fiscales refirieron que, a fines del mes de junio o principios de julio de 1994, C</w:t>
      </w:r>
      <w:r>
        <w:t>o</w:t>
      </w:r>
      <w:r>
        <w:t>toras extrajo el motor de una camioneta Trafic quemada, colocándolo en el baúl de un automóvil Ford Escort, pr</w:t>
      </w:r>
      <w:r>
        <w:t>o</w:t>
      </w:r>
      <w:r>
        <w:t>piedad de Carlos Alberto Telleldín, quien se lo llevó de allí. Dicho motor fue trasladado al taller de Ariel Rodo</w:t>
      </w:r>
      <w:r>
        <w:t>l</w:t>
      </w:r>
      <w:r>
        <w:t>fo Nitzcaner, ubicado en la calle It</w:t>
      </w:r>
      <w:r>
        <w:t>u</w:t>
      </w:r>
      <w:r>
        <w:t>zaingó 2335 de Villa Maipú, prov. de Buenos Aires, para ser colocado en una c</w:t>
      </w:r>
      <w:r>
        <w:t>a</w:t>
      </w:r>
      <w:r>
        <w:t>rrocería que aquél se encontraba r</w:t>
      </w:r>
      <w:r>
        <w:t>e</w:t>
      </w:r>
      <w:r>
        <w:t>parando.</w:t>
      </w:r>
    </w:p>
    <w:p w:rsidR="00224567" w:rsidRDefault="00224567">
      <w:pPr>
        <w:pStyle w:val="Sangra3detindependiente"/>
        <w:widowControl w:val="0"/>
        <w:spacing w:line="600" w:lineRule="auto"/>
        <w:ind w:firstLine="2835"/>
      </w:pPr>
      <w:r>
        <w:t>Una vez armada, Telleldín publicó los días 9 y 10 de julio un aviso clasificado en el diario “Clarín” ofreciendo en venta una camioneta Renault Tr</w:t>
      </w:r>
      <w:r>
        <w:t>a</w:t>
      </w:r>
      <w:r>
        <w:t>fic, modelo 90, corta, por la suma de $ 12.900, dando como r</w:t>
      </w:r>
      <w:r>
        <w:t>e</w:t>
      </w:r>
      <w:r>
        <w:t>ferencia el t</w:t>
      </w:r>
      <w:r>
        <w:t>e</w:t>
      </w:r>
      <w:r>
        <w:t>léfono 768-0902.</w:t>
      </w:r>
    </w:p>
    <w:p w:rsidR="00224567" w:rsidRDefault="00224567">
      <w:pPr>
        <w:pStyle w:val="Sangra3detindependiente"/>
        <w:widowControl w:val="0"/>
        <w:spacing w:line="600" w:lineRule="auto"/>
        <w:ind w:firstLine="2835"/>
      </w:pPr>
      <w:r>
        <w:t>Tras reseñar los primeros desca</w:t>
      </w:r>
      <w:r>
        <w:t>r</w:t>
      </w:r>
      <w:r>
        <w:t>gos de Carlos Alberto Telleldín, a los que calificaron de mend</w:t>
      </w:r>
      <w:r>
        <w:t>a</w:t>
      </w:r>
      <w:r>
        <w:t xml:space="preserve">ces, los fiscales dieron crédito a su última versión, en </w:t>
      </w:r>
      <w:r>
        <w:lastRenderedPageBreak/>
        <w:t xml:space="preserve">cuanto admitió haber entregado el vehículo con el motor hallado en la sede de </w:t>
      </w:r>
      <w:smartTag w:uri="urn:schemas-microsoft-com:office:smarttags" w:element="PersonName">
        <w:smartTagPr>
          <w:attr w:name="ProductID" w:val="la A.M"/>
        </w:smartTagPr>
        <w:r>
          <w:t>la A.M</w:t>
        </w:r>
      </w:smartTag>
      <w:r>
        <w:t>.I.A. a policías de la provi</w:t>
      </w:r>
      <w:r>
        <w:t>n</w:t>
      </w:r>
      <w:r>
        <w:t>cia de Buenos A</w:t>
      </w:r>
      <w:r>
        <w:t>i</w:t>
      </w:r>
      <w:r>
        <w:t>res, el día 10 de julio de 1994.</w:t>
      </w:r>
    </w:p>
    <w:p w:rsidR="00224567" w:rsidRDefault="00224567">
      <w:pPr>
        <w:pStyle w:val="Sangra3detindependiente"/>
        <w:widowControl w:val="0"/>
        <w:spacing w:line="600" w:lineRule="auto"/>
        <w:ind w:firstLine="2835"/>
      </w:pPr>
      <w:r>
        <w:t>Los Sres. representantes del Minist</w:t>
      </w:r>
      <w:r>
        <w:t>e</w:t>
      </w:r>
      <w:r>
        <w:t>rio Público Fiscal consideraron fehacientemente probado que “el día 15 de marzo de 1994, alrededor de las 21:00 horas, Raúl Edilio Ibarra, Víctor Carlos Cruz, Juan José Ribelli y Bautista Alberto Huici (los dos primeros como coautores, mientras que los restantes  en  grado  de  pa</w:t>
      </w:r>
      <w:r>
        <w:t>r</w:t>
      </w:r>
      <w:r>
        <w:t>tícipes  necesarios) -mediante intimidación- obligaron a Carlos Alberto Telleldín a entregarles bienes y dinero, bajo la amenaza de s</w:t>
      </w:r>
      <w:r>
        <w:t>u</w:t>
      </w:r>
      <w:r>
        <w:t>frir un mal mayor. A fin de llevar a cabo tal cometido, y mediando abuso en sus funciones esp</w:t>
      </w:r>
      <w:r>
        <w:t>e</w:t>
      </w:r>
      <w:r>
        <w:t>cíficas, persiguieron privarlo de su libertad ambulat</w:t>
      </w:r>
      <w:r>
        <w:t>o</w:t>
      </w:r>
      <w:r>
        <w:t>ria, no pudiendo consumar este último propósito por causas aj</w:t>
      </w:r>
      <w:r>
        <w:t>e</w:t>
      </w:r>
      <w:r>
        <w:t>nas a su voluntad” (sic).</w:t>
      </w:r>
    </w:p>
    <w:p w:rsidR="00224567" w:rsidRDefault="00224567">
      <w:pPr>
        <w:pStyle w:val="Sangra2detindependiente"/>
        <w:widowControl w:val="0"/>
        <w:tabs>
          <w:tab w:val="left" w:pos="700"/>
        </w:tabs>
        <w:spacing w:line="600" w:lineRule="auto"/>
        <w:ind w:firstLine="2835"/>
      </w:pPr>
      <w:r>
        <w:t xml:space="preserve">Precisaron que el día mencionado, una comisión perteneciente a </w:t>
      </w:r>
      <w:smartTag w:uri="urn:schemas-microsoft-com:office:smarttags" w:element="PersonName">
        <w:smartTagPr>
          <w:attr w:name="ProductID" w:val="la Brigada"/>
        </w:smartTagPr>
        <w:r>
          <w:t>la Brigada</w:t>
        </w:r>
      </w:smartTag>
      <w:r>
        <w:t xml:space="preserve"> de Invest</w:t>
      </w:r>
      <w:r>
        <w:t>i</w:t>
      </w:r>
      <w:r>
        <w:t xml:space="preserve">gaciones II de Lanús, al mando del subcomisario Raúl Edilio Ibarra, bajo cuyas órdenes se encontraban los sargentos Víctor </w:t>
      </w:r>
      <w:r>
        <w:lastRenderedPageBreak/>
        <w:t>Carlos Cruz y Eduardo Diego Toledo, ambos a bordo de un vehículo Volkswagen Senda, junto con el cabo Marc</w:t>
      </w:r>
      <w:r>
        <w:t>e</w:t>
      </w:r>
      <w:r>
        <w:t>lo Darío Casas, quien tripulaba un Ford Falcon, se apersonaron -en virtud de información con la que contaban de a</w:t>
      </w:r>
      <w:r>
        <w:t>n</w:t>
      </w:r>
      <w:r>
        <w:t>temano- en las inmediaciones de la parrilla “El Barril”, ubicada en Maipú al 2400 de la localidad de Vicente López, a la esp</w:t>
      </w:r>
      <w:r>
        <w:t>e</w:t>
      </w:r>
      <w:r>
        <w:t>ra del arribo de Carlos Telleldín, quien lleg</w:t>
      </w:r>
      <w:r>
        <w:t>a</w:t>
      </w:r>
      <w:r>
        <w:t>ría al lugar con el propósito de encontrarse con su pareja Ana María Boragni.</w:t>
      </w:r>
    </w:p>
    <w:p w:rsidR="00224567" w:rsidRDefault="00224567">
      <w:pPr>
        <w:pStyle w:val="Sangra2detindependiente"/>
        <w:widowControl w:val="0"/>
        <w:tabs>
          <w:tab w:val="left" w:pos="700"/>
        </w:tabs>
        <w:spacing w:line="600" w:lineRule="auto"/>
        <w:ind w:firstLine="2835"/>
      </w:pPr>
      <w:r>
        <w:t>La maniobra extorsiva, sostuvi</w:t>
      </w:r>
      <w:r>
        <w:t>e</w:t>
      </w:r>
      <w:r>
        <w:t>ron los fiscales, se vio frustrada por cuanto Telleldín, para ev</w:t>
      </w:r>
      <w:r>
        <w:t>i</w:t>
      </w:r>
      <w:r>
        <w:t>tar ser aprehendido, puso en marcha su rodado y previo e</w:t>
      </w:r>
      <w:r>
        <w:t>m</w:t>
      </w:r>
      <w:r>
        <w:t>bestir un vehículo taxi Fiat Duna que se encontraba d</w:t>
      </w:r>
      <w:r>
        <w:t>e</w:t>
      </w:r>
      <w:r>
        <w:t>trás, se alejó del lugar arrastrando a Casas -quien se h</w:t>
      </w:r>
      <w:r>
        <w:t>a</w:t>
      </w:r>
      <w:r>
        <w:t xml:space="preserve">bía colgado del vehículo en procura de abortar la fuga- por unos </w:t>
      </w:r>
      <w:smartTag w:uri="urn:schemas-microsoft-com:office:smarttags" w:element="metricconverter">
        <w:smartTagPr>
          <w:attr w:name="ProductID" w:val="50 metros"/>
        </w:smartTagPr>
        <w:r>
          <w:t>50 metros</w:t>
        </w:r>
      </w:smartTag>
      <w:r>
        <w:t xml:space="preserve"> aproximadamente, tras lo cual cayó al pavimento sufriendo lesiones de distinta consid</w:t>
      </w:r>
      <w:r>
        <w:t>e</w:t>
      </w:r>
      <w:r>
        <w:t>ración.</w:t>
      </w:r>
    </w:p>
    <w:p w:rsidR="00224567" w:rsidRDefault="00224567">
      <w:pPr>
        <w:pStyle w:val="Sangra3detindependiente"/>
        <w:widowControl w:val="0"/>
        <w:spacing w:line="600" w:lineRule="auto"/>
        <w:ind w:firstLine="2835"/>
      </w:pPr>
      <w:r>
        <w:t>También tuvieron por pr</w:t>
      </w:r>
      <w:r>
        <w:t>o</w:t>
      </w:r>
      <w:r>
        <w:t>bado que el 4 de abril del mismo año, aproximadamente a las 20.00, “los imputados Juan José Ribelli, Raúl Edilio Ibarra, Marcelo Gustavo Albarracín, Claudio Walter Araya y Bautista Albe</w:t>
      </w:r>
      <w:r>
        <w:t>r</w:t>
      </w:r>
      <w:r>
        <w:lastRenderedPageBreak/>
        <w:t>to Huici (este último como partícipe prim</w:t>
      </w:r>
      <w:r>
        <w:t>a</w:t>
      </w:r>
      <w:r>
        <w:t>rio) retuvieron ilegítimamente a Carlos Alberto Telleldín y a Sandra Mar</w:t>
      </w:r>
      <w:r>
        <w:t>i</w:t>
      </w:r>
      <w:r>
        <w:t>sa Petrucci con el propósito –logrado- de obtener un re</w:t>
      </w:r>
      <w:r>
        <w:t>s</w:t>
      </w:r>
      <w:r>
        <w:t>cate. A tales efectos, cada uno de los antes mencionados cumplió un rol específico y previamente asignado en la consecución del designio fijado. Asimismo Alejandro Bu</w:t>
      </w:r>
      <w:r>
        <w:t>r</w:t>
      </w:r>
      <w:r>
        <w:t>guete, José Miguel Arancibia y Oscar Eusebio Bacigalupo hicieron insertar en un instrumento público, varias decl</w:t>
      </w:r>
      <w:r>
        <w:t>a</w:t>
      </w:r>
      <w:r>
        <w:t>raciones falsas, concernientes a un hecho que el documento debía probar, de modo que pudo resultar perjuicio. Por ú</w:t>
      </w:r>
      <w:r>
        <w:t>l</w:t>
      </w:r>
      <w:r>
        <w:t>timo, Huici prestó falso testimonio en perjuicio de un imputado en causa criminal, al deponer en las actuaciones nº 5681, radicadas en el Juzgado en lo Criminal y Corre</w:t>
      </w:r>
      <w:r>
        <w:t>c</w:t>
      </w:r>
      <w:r>
        <w:t>cional nº 5 del Departamento Judicial de Qui</w:t>
      </w:r>
      <w:r>
        <w:t>l</w:t>
      </w:r>
      <w:r>
        <w:t>mes”.</w:t>
      </w:r>
    </w:p>
    <w:p w:rsidR="00224567" w:rsidRDefault="00224567">
      <w:pPr>
        <w:pStyle w:val="Sangradetextonormal"/>
        <w:widowControl w:val="0"/>
        <w:ind w:firstLine="2835"/>
      </w:pPr>
      <w:r>
        <w:t>Sostuvieron los fiscales que, a</w:t>
      </w:r>
      <w:r>
        <w:t>n</w:t>
      </w:r>
      <w:r>
        <w:t>te el revés sufrido el 15 de marzo, el personal de la brigada continuó en la búsqueda de Telleldín y que, en ese comet</w:t>
      </w:r>
      <w:r>
        <w:t>i</w:t>
      </w:r>
      <w:r>
        <w:t>do, el 4 de abril de 1994 los oficiales Ibarra, Albarr</w:t>
      </w:r>
      <w:r>
        <w:t>a</w:t>
      </w:r>
      <w:r>
        <w:t>cín, Araya y el cabo 1º Castro detuvieron a aquél, junt</w:t>
      </w:r>
      <w:r>
        <w:t>a</w:t>
      </w:r>
      <w:r>
        <w:t xml:space="preserve">mente con su acompañante Sandra Marisa Petrucci, quienes </w:t>
      </w:r>
      <w:r>
        <w:lastRenderedPageBreak/>
        <w:t>se desplazaban -a la altura del 1100 de la c</w:t>
      </w:r>
      <w:r>
        <w:t>a</w:t>
      </w:r>
      <w:r>
        <w:t>lle Moreno de la localidad de Tortuguitas- en un vehículo Renault 18 gris, dominio B. 2.270.130; siendo a</w:t>
      </w:r>
      <w:r>
        <w:t>m</w:t>
      </w:r>
      <w:r>
        <w:t xml:space="preserve">bos trasladados a </w:t>
      </w:r>
      <w:smartTag w:uri="urn:schemas-microsoft-com:office:smarttags" w:element="PersonName">
        <w:smartTagPr>
          <w:attr w:name="ProductID" w:val="la Brigada"/>
        </w:smartTagPr>
        <w:r>
          <w:t>la Brigada</w:t>
        </w:r>
      </w:smartTag>
      <w:r>
        <w:t xml:space="preserve"> de Investigaciones de L</w:t>
      </w:r>
      <w:r>
        <w:t>a</w:t>
      </w:r>
      <w:r>
        <w:t>nús.</w:t>
      </w:r>
    </w:p>
    <w:p w:rsidR="00224567" w:rsidRDefault="00224567">
      <w:pPr>
        <w:pStyle w:val="Sangradetextonormal"/>
        <w:widowControl w:val="0"/>
        <w:ind w:firstLine="2835"/>
      </w:pPr>
      <w:r>
        <w:t>En dicha depende</w:t>
      </w:r>
      <w:r>
        <w:t>n</w:t>
      </w:r>
      <w:r>
        <w:t>cia se asentaron sus ingresos en los libros correspondientes, dest</w:t>
      </w:r>
      <w:r>
        <w:t>a</w:t>
      </w:r>
      <w:r>
        <w:t>cándose que, si bien conocían la verdadera identidad de la persona de sexo masculino, éste fue registrado bajo el nombre de “Carlos Alberto Teccedín”, con la probada finalidad de evitar que sus antecedentes, cuya existencia conocían, obsten su libertad una vez perfeccionada la maniobra e</w:t>
      </w:r>
      <w:r>
        <w:t>x</w:t>
      </w:r>
      <w:r>
        <w:t>torsiva.</w:t>
      </w:r>
    </w:p>
    <w:p w:rsidR="00224567" w:rsidRDefault="00224567">
      <w:pPr>
        <w:pStyle w:val="Sangra3detindependiente"/>
        <w:widowControl w:val="0"/>
        <w:spacing w:line="600" w:lineRule="auto"/>
        <w:ind w:firstLine="2835"/>
      </w:pPr>
      <w:r>
        <w:t>Los Sres. fiscales reseñaron en su presentación que fue Ribelli quien formalizó ante Telle</w:t>
      </w:r>
      <w:r>
        <w:t>l</w:t>
      </w:r>
      <w:r>
        <w:t>dín la exigencia consistente en la entrega de cincuenta mil dólares a cambio de su libertad y que, a tales f</w:t>
      </w:r>
      <w:r>
        <w:t>i</w:t>
      </w:r>
      <w:r>
        <w:t>nes, dispuso que se los ingrese en averiguación de sus antec</w:t>
      </w:r>
      <w:r>
        <w:t>e</w:t>
      </w:r>
      <w:r>
        <w:t>dentes y que las fichas dactiloscópicas se remitan a la dependencia correspondiente una vez efectivizada la libe</w:t>
      </w:r>
      <w:r>
        <w:t>r</w:t>
      </w:r>
      <w:r>
        <w:t>tad de ambos.</w:t>
      </w:r>
    </w:p>
    <w:p w:rsidR="00224567" w:rsidRDefault="00224567">
      <w:pPr>
        <w:pStyle w:val="Sangra3detindependiente"/>
        <w:widowControl w:val="0"/>
        <w:spacing w:line="600" w:lineRule="auto"/>
        <w:ind w:firstLine="2835"/>
      </w:pPr>
      <w:r>
        <w:t>La fiscalía sostuvo que los proced</w:t>
      </w:r>
      <w:r>
        <w:t>i</w:t>
      </w:r>
      <w:r>
        <w:lastRenderedPageBreak/>
        <w:t>mientos del 15 de marzo y 4 de abril tuvieron por exclus</w:t>
      </w:r>
      <w:r>
        <w:t>i</w:t>
      </w:r>
      <w:r>
        <w:t>va finalidad las maniobras confiscatorias reseñadas, ll</w:t>
      </w:r>
      <w:r>
        <w:t>e</w:t>
      </w:r>
      <w:r>
        <w:t>vadas a cabo con el pretexto de asegurarle a Carlos Albe</w:t>
      </w:r>
      <w:r>
        <w:t>r</w:t>
      </w:r>
      <w:r>
        <w:t>to Telleldín la pos</w:t>
      </w:r>
      <w:r>
        <w:t>i</w:t>
      </w:r>
      <w:r>
        <w:t>bilidad de continuar con sus negocios ilícitos sin ser molestado por las aut</w:t>
      </w:r>
      <w:r>
        <w:t>o</w:t>
      </w:r>
      <w:r>
        <w:t>ridades.</w:t>
      </w:r>
    </w:p>
    <w:p w:rsidR="00224567" w:rsidRDefault="00224567">
      <w:pPr>
        <w:pStyle w:val="Sangra3detindependiente"/>
        <w:widowControl w:val="0"/>
        <w:spacing w:line="600" w:lineRule="auto"/>
        <w:ind w:firstLine="2835"/>
      </w:pPr>
      <w:r>
        <w:t>El accionar coactivo de los prevent</w:t>
      </w:r>
      <w:r>
        <w:t>o</w:t>
      </w:r>
      <w:r>
        <w:t>res, según consideró el Ministerio Público Fiscal, fue realizado, a fin de otorgarle visos de legalidad, util</w:t>
      </w:r>
      <w:r>
        <w:t>i</w:t>
      </w:r>
      <w:r>
        <w:t>zando la cobertura de una declaración testimonial falsa prestada en la causa nº 5681 en trámite ante el Juzgado Criminal y C</w:t>
      </w:r>
      <w:r>
        <w:t>o</w:t>
      </w:r>
      <w:r>
        <w:t>rreccional nº 5 del Departamento Judicial de Quilmes, prov. de Buenos Aires, que vinc</w:t>
      </w:r>
      <w:r>
        <w:t>u</w:t>
      </w:r>
      <w:r>
        <w:t>laba a Telleldín con el homicidio en ocasión de robo del que fue víct</w:t>
      </w:r>
      <w:r>
        <w:t>i</w:t>
      </w:r>
      <w:r>
        <w:t xml:space="preserve">ma el cabo de </w:t>
      </w:r>
      <w:smartTag w:uri="urn:schemas-microsoft-com:office:smarttags" w:element="PersonName">
        <w:smartTagPr>
          <w:attr w:name="ProductID" w:val="la Polic￭a Bonaerense"/>
        </w:smartTagPr>
        <w:r>
          <w:t>la Policía Bonaerense</w:t>
        </w:r>
      </w:smartTag>
      <w:r>
        <w:t xml:space="preserve"> Abel Catalino Muñoz, el 29 de n</w:t>
      </w:r>
      <w:r>
        <w:t>o</w:t>
      </w:r>
      <w:r>
        <w:t>viembre de 1993.</w:t>
      </w:r>
    </w:p>
    <w:p w:rsidR="00224567" w:rsidRDefault="00224567">
      <w:pPr>
        <w:widowControl w:val="0"/>
        <w:ind w:firstLine="2835"/>
        <w:rPr>
          <w:lang w:val="es-ES_tradnl"/>
        </w:rPr>
      </w:pPr>
      <w:r>
        <w:rPr>
          <w:lang w:val="es-ES_tradnl"/>
        </w:rPr>
        <w:t>Alcanzado el acuerdo entre Carlos A</w:t>
      </w:r>
      <w:r>
        <w:rPr>
          <w:lang w:val="es-ES_tradnl"/>
        </w:rPr>
        <w:t>l</w:t>
      </w:r>
      <w:r>
        <w:rPr>
          <w:lang w:val="es-ES_tradnl"/>
        </w:rPr>
        <w:t>berto Telleldín y Juan José Ribelli, el primero entregó, por intermedio de su hermano Eduardo -en procura de su l</w:t>
      </w:r>
      <w:r>
        <w:rPr>
          <w:lang w:val="es-ES_tradnl"/>
        </w:rPr>
        <w:t>i</w:t>
      </w:r>
      <w:r>
        <w:rPr>
          <w:lang w:val="es-ES_tradnl"/>
        </w:rPr>
        <w:t>bertad y la de su pareja- un vehículo Ford Falcon, dom</w:t>
      </w:r>
      <w:r>
        <w:rPr>
          <w:lang w:val="es-ES_tradnl"/>
        </w:rPr>
        <w:t>i</w:t>
      </w:r>
      <w:r>
        <w:rPr>
          <w:lang w:val="es-ES_tradnl"/>
        </w:rPr>
        <w:t xml:space="preserve">nio B. 1.213.656, un Renault 18, dominio B. 2.270.130 y una </w:t>
      </w:r>
      <w:r>
        <w:rPr>
          <w:lang w:val="es-ES_tradnl"/>
        </w:rPr>
        <w:lastRenderedPageBreak/>
        <w:t>moto Kawasaki, dominio 320 APX, compr</w:t>
      </w:r>
      <w:r>
        <w:rPr>
          <w:lang w:val="es-ES_tradnl"/>
        </w:rPr>
        <w:t>o</w:t>
      </w:r>
      <w:r>
        <w:rPr>
          <w:lang w:val="es-ES_tradnl"/>
        </w:rPr>
        <w:t>metiéndose a saldar a la brevedad los veinte mil pesos que restaban al no c</w:t>
      </w:r>
      <w:r>
        <w:rPr>
          <w:lang w:val="es-ES_tradnl"/>
        </w:rPr>
        <w:t>u</w:t>
      </w:r>
      <w:r>
        <w:rPr>
          <w:lang w:val="es-ES_tradnl"/>
        </w:rPr>
        <w:t>brir dichos bienes la suma originariamente pact</w:t>
      </w:r>
      <w:r>
        <w:rPr>
          <w:lang w:val="es-ES_tradnl"/>
        </w:rPr>
        <w:t>a</w:t>
      </w:r>
      <w:r>
        <w:rPr>
          <w:lang w:val="es-ES_tradnl"/>
        </w:rPr>
        <w:t>da.</w:t>
      </w:r>
    </w:p>
    <w:p w:rsidR="00224567" w:rsidRDefault="00224567">
      <w:pPr>
        <w:pStyle w:val="Sangra2detindependiente"/>
        <w:widowControl w:val="0"/>
        <w:tabs>
          <w:tab w:val="left" w:pos="700"/>
        </w:tabs>
        <w:spacing w:line="600" w:lineRule="auto"/>
        <w:ind w:firstLine="2835"/>
      </w:pPr>
      <w:r>
        <w:t>Los fiscales, bajo el título “Obte</w:t>
      </w:r>
      <w:r>
        <w:t>n</w:t>
      </w:r>
      <w:r>
        <w:t xml:space="preserve">ción de la camioneta Trafic utilizada como cochebomba – Hecho acaecido el día 10 de julio de </w:t>
      </w:r>
      <w:smartTag w:uri="urn:schemas-microsoft-com:office:smarttags" w:element="metricconverter">
        <w:smartTagPr>
          <w:attr w:name="ProductID" w:val="1994”"/>
        </w:smartTagPr>
        <w:r>
          <w:t>1994”</w:t>
        </w:r>
      </w:smartTag>
      <w:r>
        <w:t>, también tuvi</w:t>
      </w:r>
      <w:r>
        <w:t>e</w:t>
      </w:r>
      <w:r>
        <w:t>ron plenamente acreditado que en esa fecha, aproximadame</w:t>
      </w:r>
      <w:r>
        <w:t>n</w:t>
      </w:r>
      <w:r>
        <w:t>te a las 14.30, Juan José Ribelli, Mario Norberto B</w:t>
      </w:r>
      <w:r>
        <w:t>a</w:t>
      </w:r>
      <w:r>
        <w:t>reiro, Raúl Edilio Ibarra y Anastasio Ireneo Leal, mediante int</w:t>
      </w:r>
      <w:r>
        <w:t>i</w:t>
      </w:r>
      <w:r>
        <w:t>midación, obligaron a Carlos Alberto T</w:t>
      </w:r>
      <w:r>
        <w:t>e</w:t>
      </w:r>
      <w:r>
        <w:t>lleldín a entregar un vehículo Renault Trafic armado, a efectos de cancelar parcia</w:t>
      </w:r>
      <w:r>
        <w:t>l</w:t>
      </w:r>
      <w:r>
        <w:t>mente la deuda pendiente, bajo la amenaza de sufrir un mal mayor.</w:t>
      </w:r>
    </w:p>
    <w:p w:rsidR="00224567" w:rsidRDefault="00224567">
      <w:pPr>
        <w:pStyle w:val="Sangra3detindependiente"/>
        <w:widowControl w:val="0"/>
        <w:spacing w:line="600" w:lineRule="auto"/>
        <w:ind w:firstLine="2835"/>
      </w:pPr>
      <w:r>
        <w:t>En ese sentido, precisaron que Ibarra y Leal, junto con otras dos personas no ide</w:t>
      </w:r>
      <w:r>
        <w:t>n</w:t>
      </w:r>
      <w:r>
        <w:t>tificadas, se apersonaron en la vivienda de Carlos Alberto Telleldín, ubicada en la calle República 107 de la localidad de V</w:t>
      </w:r>
      <w:r>
        <w:t>i</w:t>
      </w:r>
      <w:r>
        <w:t>lla Ballester, prov. de Buenos Aires, exigiéndole la entrega de la camioneta cuya publicación para la venta había re</w:t>
      </w:r>
      <w:r>
        <w:t>a</w:t>
      </w:r>
      <w:r>
        <w:t>lizado los días 9 y 10 de julio y que, tras acceder al r</w:t>
      </w:r>
      <w:r>
        <w:t>e</w:t>
      </w:r>
      <w:r>
        <w:t xml:space="preserve">querimiento a raíz de la intimidación efectuada, aquél </w:t>
      </w:r>
      <w:r>
        <w:lastRenderedPageBreak/>
        <w:t>suscribió un contrato de “compraventa” en el que se hizo figurar como adquirente del rodado a un tal “Ramón Mart</w:t>
      </w:r>
      <w:r>
        <w:t>í</w:t>
      </w:r>
      <w:r>
        <w:t>nez”.</w:t>
      </w:r>
    </w:p>
    <w:p w:rsidR="00224567" w:rsidRDefault="00224567">
      <w:pPr>
        <w:pStyle w:val="Sangra2detindependiente"/>
        <w:widowControl w:val="0"/>
        <w:tabs>
          <w:tab w:val="left" w:pos="700"/>
        </w:tabs>
        <w:spacing w:line="600" w:lineRule="auto"/>
        <w:ind w:firstLine="2835"/>
      </w:pPr>
      <w:r>
        <w:t>Por último, los representantes del M</w:t>
      </w:r>
      <w:r>
        <w:t>i</w:t>
      </w:r>
      <w:r>
        <w:t>nisterio Público Fiscal consideraron probado que “el día 14 de julio de 1994, aproximadamente a las 22.00 horas, los procesados Anast</w:t>
      </w:r>
      <w:r>
        <w:t>a</w:t>
      </w:r>
      <w:r>
        <w:t>sio Ireneo Leal, Jorge Horacio Rago, Mario Norberto Bareiro, Diego Enrique Barreda y Juan A</w:t>
      </w:r>
      <w:r>
        <w:t>l</w:t>
      </w:r>
      <w:r>
        <w:t>berto Bottegal (los tres primeros en grado de coautores, mientras que los restantes como partícipes necesarios), retuvieron ilegítimamente a Hugo Antonio Pérez, con el propósito –logrado- de determinar a Carlos Alberto Telle</w:t>
      </w:r>
      <w:r>
        <w:t>l</w:t>
      </w:r>
      <w:r>
        <w:t>dín a pagar un rescate por su liberación” y que Rago y Quinteros hicieron “insertar aserciones falsas en un in</w:t>
      </w:r>
      <w:r>
        <w:t>s</w:t>
      </w:r>
      <w:r>
        <w:t>trumento público, co</w:t>
      </w:r>
      <w:r>
        <w:t>n</w:t>
      </w:r>
      <w:r>
        <w:t>cernientes al hecho que el documento debía probar, ocasionando un perju</w:t>
      </w:r>
      <w:r>
        <w:t>i</w:t>
      </w:r>
      <w:r>
        <w:t>cio”.</w:t>
      </w:r>
    </w:p>
    <w:p w:rsidR="00224567" w:rsidRDefault="00224567">
      <w:pPr>
        <w:widowControl w:val="0"/>
        <w:ind w:firstLine="2835"/>
        <w:rPr>
          <w:lang w:val="es-ES_tradnl"/>
        </w:rPr>
      </w:pPr>
      <w:r>
        <w:rPr>
          <w:lang w:val="es-ES_tradnl"/>
        </w:rPr>
        <w:t>Al respecto, señalaron que una com</w:t>
      </w:r>
      <w:r>
        <w:rPr>
          <w:lang w:val="es-ES_tradnl"/>
        </w:rPr>
        <w:t>i</w:t>
      </w:r>
      <w:r>
        <w:rPr>
          <w:lang w:val="es-ES_tradnl"/>
        </w:rPr>
        <w:t xml:space="preserve">sión de </w:t>
      </w:r>
      <w:smartTag w:uri="urn:schemas-microsoft-com:office:smarttags" w:element="PersonName">
        <w:smartTagPr>
          <w:attr w:name="ProductID" w:val="la Brigada"/>
        </w:smartTagPr>
        <w:r>
          <w:rPr>
            <w:lang w:val="es-ES_tradnl"/>
          </w:rPr>
          <w:t>la Brigada</w:t>
        </w:r>
      </w:smartTag>
      <w:r>
        <w:rPr>
          <w:lang w:val="es-ES_tradnl"/>
        </w:rPr>
        <w:t xml:space="preserve"> de Investigaciones de Vicente López, integrada por el oficial principal Leal y los sargentos Argentino Gabriel Lasala y Manuel Enrique García, se ape</w:t>
      </w:r>
      <w:r>
        <w:rPr>
          <w:lang w:val="es-ES_tradnl"/>
        </w:rPr>
        <w:t>r</w:t>
      </w:r>
      <w:r>
        <w:rPr>
          <w:lang w:val="es-ES_tradnl"/>
        </w:rPr>
        <w:lastRenderedPageBreak/>
        <w:t>sonó en las inmediaciones del domic</w:t>
      </w:r>
      <w:r>
        <w:rPr>
          <w:lang w:val="es-ES_tradnl"/>
        </w:rPr>
        <w:t>i</w:t>
      </w:r>
      <w:r>
        <w:rPr>
          <w:lang w:val="es-ES_tradnl"/>
        </w:rPr>
        <w:t>lio de Carlos Alberto Telleldín con el objeto de retenerlo y obliga</w:t>
      </w:r>
      <w:r>
        <w:rPr>
          <w:lang w:val="es-ES_tradnl"/>
        </w:rPr>
        <w:t>r</w:t>
      </w:r>
      <w:r>
        <w:rPr>
          <w:lang w:val="es-ES_tradnl"/>
        </w:rPr>
        <w:t>lo a saldar la deuda pendiente y que, luego de una persecución en la que este último logró huir, aquéllos i</w:t>
      </w:r>
      <w:r>
        <w:rPr>
          <w:lang w:val="es-ES_tradnl"/>
        </w:rPr>
        <w:t>n</w:t>
      </w:r>
      <w:r>
        <w:rPr>
          <w:lang w:val="es-ES_tradnl"/>
        </w:rPr>
        <w:t>terceptaron a Hugo Antonio Pérez, a quien hicieron permanecer durante unas seis horas, mediante el uso de la fuerza, en el interior de uno de los rodados en que se movil</w:t>
      </w:r>
      <w:r>
        <w:rPr>
          <w:lang w:val="es-ES_tradnl"/>
        </w:rPr>
        <w:t>i</w:t>
      </w:r>
      <w:r>
        <w:rPr>
          <w:lang w:val="es-ES_tradnl"/>
        </w:rPr>
        <w:t>zaban, tras lo cual lo trasladaron al asiento de la dependencia p</w:t>
      </w:r>
      <w:r>
        <w:rPr>
          <w:lang w:val="es-ES_tradnl"/>
        </w:rPr>
        <w:t>o</w:t>
      </w:r>
      <w:r>
        <w:rPr>
          <w:lang w:val="es-ES_tradnl"/>
        </w:rPr>
        <w:t>licial.</w:t>
      </w:r>
    </w:p>
    <w:p w:rsidR="00224567" w:rsidRDefault="00224567">
      <w:pPr>
        <w:pStyle w:val="Sangra3detindependiente"/>
        <w:widowControl w:val="0"/>
        <w:spacing w:line="600" w:lineRule="auto"/>
        <w:ind w:firstLine="2835"/>
      </w:pPr>
      <w:r>
        <w:t>Conforme el relato fiscal, Pérez i</w:t>
      </w:r>
      <w:r>
        <w:t>n</w:t>
      </w:r>
      <w:r>
        <w:t>gresó a la brigada con la excusa de “averiguar sus antec</w:t>
      </w:r>
      <w:r>
        <w:t>e</w:t>
      </w:r>
      <w:r>
        <w:t>dentes”; pretexto con el que se disfrazó la presión eje</w:t>
      </w:r>
      <w:r>
        <w:t>r</w:t>
      </w:r>
      <w:r>
        <w:t>cida contra Telleldín, quien cedió a los reclamos de los captores mediante la transferencia a Juan Alberto Bo</w:t>
      </w:r>
      <w:r>
        <w:t>t</w:t>
      </w:r>
      <w:r>
        <w:t>tegal de la embarcación “Gonzalo”.</w:t>
      </w:r>
    </w:p>
    <w:p w:rsidR="00224567" w:rsidRDefault="00224567">
      <w:pPr>
        <w:pStyle w:val="Sangra2detindependiente"/>
        <w:widowControl w:val="0"/>
        <w:tabs>
          <w:tab w:val="left" w:pos="700"/>
        </w:tabs>
        <w:spacing w:line="600" w:lineRule="auto"/>
        <w:ind w:firstLine="2835"/>
      </w:pPr>
      <w:r>
        <w:t>Tras enunciar la prueba que a juicio de la fiscalía re</w:t>
      </w:r>
      <w:r>
        <w:t>s</w:t>
      </w:r>
      <w:r>
        <w:t>palda tales asertos y da fundamento a la autoría y responsabilidad de cada uno los encaus</w:t>
      </w:r>
      <w:r>
        <w:t>a</w:t>
      </w:r>
      <w:r>
        <w:t>dos, los Sres. fiscales también tuvieron por probado que la total</w:t>
      </w:r>
      <w:r>
        <w:t>i</w:t>
      </w:r>
      <w:r>
        <w:t xml:space="preserve">dad de los oficiales y suboficiales de </w:t>
      </w:r>
      <w:smartTag w:uri="urn:schemas-microsoft-com:office:smarttags" w:element="PersonName">
        <w:smartTagPr>
          <w:attr w:name="ProductID" w:val="la Polic￭a Bonaerense"/>
        </w:smartTagPr>
        <w:r>
          <w:t>la Policía Bona</w:t>
        </w:r>
        <w:r>
          <w:t>e</w:t>
        </w:r>
        <w:r>
          <w:t>rense</w:t>
        </w:r>
      </w:smartTag>
      <w:r>
        <w:t xml:space="preserve"> imputados en estas actuaciones conformaban una as</w:t>
      </w:r>
      <w:r>
        <w:t>o</w:t>
      </w:r>
      <w:r>
        <w:t>ciación ilícita destinada, en el caso, a cometer los del</w:t>
      </w:r>
      <w:r>
        <w:t>i</w:t>
      </w:r>
      <w:r>
        <w:lastRenderedPageBreak/>
        <w:t>tos de extorsión, secuestro extors</w:t>
      </w:r>
      <w:r>
        <w:t>i</w:t>
      </w:r>
      <w:r>
        <w:t>vo, privación ilegal de la libertad, falsedad ideológ</w:t>
      </w:r>
      <w:r>
        <w:t>i</w:t>
      </w:r>
      <w:r>
        <w:t>ca de instrumentos públicos y falso testim</w:t>
      </w:r>
      <w:r>
        <w:t>o</w:t>
      </w:r>
      <w:r>
        <w:t>nio, entre otros.</w:t>
      </w:r>
    </w:p>
    <w:p w:rsidR="00224567" w:rsidRDefault="00224567">
      <w:pPr>
        <w:pStyle w:val="Sangra3detindependiente"/>
        <w:widowControl w:val="0"/>
        <w:spacing w:line="600" w:lineRule="auto"/>
        <w:ind w:firstLine="2835"/>
      </w:pPr>
      <w:r>
        <w:t>En su libelo los representantes del Ministerio Público Fiscal también sostuvieron la partic</w:t>
      </w:r>
      <w:r>
        <w:t>i</w:t>
      </w:r>
      <w:r>
        <w:t>pación necesaria de Carlos Alberto Telleldín, Juan José Ribelli, Raúl Ed</w:t>
      </w:r>
      <w:r>
        <w:t>i</w:t>
      </w:r>
      <w:r>
        <w:t>lio Ibarra, Anastasio Ireneo Leal y Mario No</w:t>
      </w:r>
      <w:r>
        <w:t>r</w:t>
      </w:r>
      <w:r>
        <w:t>berto Bareiro en el atentado cometido contra las sedes de la “A.M.I.A.” y de la “D.A.I.A.”.</w:t>
      </w:r>
    </w:p>
    <w:p w:rsidR="00224567" w:rsidRDefault="00224567">
      <w:pPr>
        <w:pStyle w:val="Sangra3detindependiente"/>
        <w:widowControl w:val="0"/>
        <w:spacing w:line="600" w:lineRule="auto"/>
        <w:ind w:firstLine="2835"/>
        <w:rPr>
          <w:b/>
          <w:bCs/>
        </w:rPr>
      </w:pPr>
      <w:r>
        <w:t>En ese entendimiento sostuvieron que la camioneta Trafic, cuyo motor nº 2.831.467 fue hallado entre los escombros del edificio de Pasteur 633 y que el 10 de julio de 1994 el primero de los nombrados se vio obligado a entregar, no constituía para los policías inv</w:t>
      </w:r>
      <w:r>
        <w:t>o</w:t>
      </w:r>
      <w:r>
        <w:t>lucrados “un elemento más que integraba el lote producto de las extorsiones a que era sometido T</w:t>
      </w:r>
      <w:r>
        <w:t>e</w:t>
      </w:r>
      <w:r>
        <w:t>lleldín cuando se mostraba reticente a abonar el canon que –en esta suerte de sociedad de hecho- se le exigía para permitirle seguir adelante con su quehacer delictual, sino que existía un interés muy particular en obtener un vehículo de las c</w:t>
      </w:r>
      <w:r>
        <w:t>a</w:t>
      </w:r>
      <w:r>
        <w:lastRenderedPageBreak/>
        <w:t>racterísticas del citado toda vez que, no sólo tenían c</w:t>
      </w:r>
      <w:r>
        <w:t>o</w:t>
      </w:r>
      <w:r>
        <w:t>nocimiento del destino f</w:t>
      </w:r>
      <w:r>
        <w:t>i</w:t>
      </w:r>
      <w:r>
        <w:t>nal que se le daría al mismo sino que –además-, y en tal inteligencia, prestaron una colab</w:t>
      </w:r>
      <w:r>
        <w:t>o</w:t>
      </w:r>
      <w:r>
        <w:t>ración que fue indispensable en la consecución del objet</w:t>
      </w:r>
      <w:r>
        <w:t>i</w:t>
      </w:r>
      <w:r>
        <w:t>vo fijado”.</w:t>
      </w:r>
    </w:p>
    <w:p w:rsidR="00224567" w:rsidRDefault="00224567">
      <w:pPr>
        <w:pStyle w:val="Sangra3detindependiente"/>
        <w:widowControl w:val="0"/>
        <w:spacing w:line="600" w:lineRule="auto"/>
        <w:ind w:firstLine="2835"/>
      </w:pPr>
      <w:r>
        <w:t>Los fiscales fundaron tal postura en las siguientes pru</w:t>
      </w:r>
      <w:r>
        <w:t>e</w:t>
      </w:r>
      <w:r>
        <w:t>bas:</w:t>
      </w:r>
    </w:p>
    <w:p w:rsidR="00224567" w:rsidRDefault="00224567">
      <w:pPr>
        <w:pStyle w:val="Sangra3detindependiente"/>
        <w:widowControl w:val="0"/>
        <w:spacing w:line="600" w:lineRule="auto"/>
        <w:ind w:firstLine="2835"/>
      </w:pPr>
      <w:r>
        <w:t>1) Dos llamados efectuados al domic</w:t>
      </w:r>
      <w:r>
        <w:t>i</w:t>
      </w:r>
      <w:r>
        <w:t>lio de Telleldín el 28 de mayo de 1994 -a las 14.08 y a las 14.26- del t</w:t>
      </w:r>
      <w:r>
        <w:t>e</w:t>
      </w:r>
      <w:r>
        <w:t>léfono celular 448-</w:t>
      </w:r>
      <w:smartTag w:uri="urn:schemas-microsoft-com:office:smarttags" w:element="metricconverter">
        <w:smartTagPr>
          <w:attr w:name="ProductID" w:val="0447, a"/>
        </w:smartTagPr>
        <w:r>
          <w:t>0447, a</w:t>
        </w:r>
      </w:smartTag>
      <w:r>
        <w:t xml:space="preserve"> nombre de Juan José Ribelli; fecha en la que aquél publicó un aviso cl</w:t>
      </w:r>
      <w:r>
        <w:t>a</w:t>
      </w:r>
      <w:r>
        <w:t>sificado en el diario “Clarín”, ofreciendo en venta una camioneta Renault Trafic. Dicho extremo, según los fisc</w:t>
      </w:r>
      <w:r>
        <w:t>a</w:t>
      </w:r>
      <w:r>
        <w:t>les, acredita el interés por conseguir un vehículo de esas características al menos un mes antes de la fecha en que se llevaron el rodado que tenía colocado el motor que e</w:t>
      </w:r>
      <w:r>
        <w:t>x</w:t>
      </w:r>
      <w:r>
        <w:t>plotó en la mañana del 18 de j</w:t>
      </w:r>
      <w:r>
        <w:t>u</w:t>
      </w:r>
      <w:r>
        <w:t>lio.</w:t>
      </w:r>
    </w:p>
    <w:p w:rsidR="00224567" w:rsidRDefault="00224567">
      <w:pPr>
        <w:pStyle w:val="Sangra3detindependiente"/>
        <w:widowControl w:val="0"/>
        <w:spacing w:line="600" w:lineRule="auto"/>
        <w:ind w:firstLine="2835"/>
      </w:pPr>
      <w:r>
        <w:t>2) Dichos de Zulema Leoni, tit</w:t>
      </w:r>
      <w:r>
        <w:t>u</w:t>
      </w:r>
      <w:r>
        <w:t>lar de un comercio de peletería ubicado a escasos metros del d</w:t>
      </w:r>
      <w:r>
        <w:t>o</w:t>
      </w:r>
      <w:r>
        <w:t>micilio  de  Telleldín, quien se explayó  acerca de las reiteradas tareas de observación y vigilancia que se re</w:t>
      </w:r>
      <w:r>
        <w:t>a</w:t>
      </w:r>
      <w:r>
        <w:lastRenderedPageBreak/>
        <w:t>lizaban en forma encubierta s</w:t>
      </w:r>
      <w:r>
        <w:t>o</w:t>
      </w:r>
      <w:r>
        <w:t>bre el nombrado, llamándole la atención que estas personas miraban la camioneta R</w:t>
      </w:r>
      <w:r>
        <w:t>e</w:t>
      </w:r>
      <w:r>
        <w:t>nault Trafic de su propiedad, estaci</w:t>
      </w:r>
      <w:r>
        <w:t>o</w:t>
      </w:r>
      <w:r>
        <w:t>nada en la puerta del negocio, interrogándola acerca de si se encontraba en ve</w:t>
      </w:r>
      <w:r>
        <w:t>n</w:t>
      </w:r>
      <w:r>
        <w:t>ta. Asimismo s</w:t>
      </w:r>
      <w:r>
        <w:t>e</w:t>
      </w:r>
      <w:r>
        <w:t xml:space="preserve">ñaló que </w:t>
      </w:r>
      <w:smartTag w:uri="urn:schemas-microsoft-com:office:smarttags" w:element="PersonName">
        <w:smartTagPr>
          <w:attr w:name="ProductID" w:val="la Trafic"/>
        </w:smartTagPr>
        <w:r>
          <w:t>la Trafic</w:t>
        </w:r>
      </w:smartTag>
      <w:r>
        <w:t xml:space="preserve"> que pudo observar frente a la vivienda de Telleldín tenía puerta lateral, en coi</w:t>
      </w:r>
      <w:r>
        <w:t>n</w:t>
      </w:r>
      <w:r>
        <w:t>cidencia, según la fiscalía, con la que explotó en el ed</w:t>
      </w:r>
      <w:r>
        <w:t>i</w:t>
      </w:r>
      <w:r>
        <w:t>ficio de Pasteur 633 de esta ci</w:t>
      </w:r>
      <w:r>
        <w:t>u</w:t>
      </w:r>
      <w:r>
        <w:t>dad (fs. 1189/1193).</w:t>
      </w:r>
    </w:p>
    <w:p w:rsidR="00224567" w:rsidRDefault="00224567">
      <w:pPr>
        <w:pStyle w:val="Sangra3detindependiente"/>
        <w:widowControl w:val="0"/>
        <w:spacing w:line="600" w:lineRule="auto"/>
        <w:ind w:firstLine="2835"/>
      </w:pPr>
      <w:r>
        <w:t>3) Declaración del testigo de ident</w:t>
      </w:r>
      <w:r>
        <w:t>i</w:t>
      </w:r>
      <w:r>
        <w:t>dad reservada, ide</w:t>
      </w:r>
      <w:r>
        <w:t>n</w:t>
      </w:r>
      <w:r>
        <w:t>tificado con el nº 1, quien sostuvo que días antes del atentado observó frente a su comercio a tres personas en el interior de un vehículo Ford Falcon, con el capó levantado, quienes, ante la sospecha que pr</w:t>
      </w:r>
      <w:r>
        <w:t>o</w:t>
      </w:r>
      <w:r>
        <w:t>vocaba su presencia, se identificaron como policías, sol</w:t>
      </w:r>
      <w:r>
        <w:t>i</w:t>
      </w:r>
      <w:r>
        <w:t>citándole autorización para efectuar de</w:t>
      </w:r>
      <w:r>
        <w:t>s</w:t>
      </w:r>
      <w:r>
        <w:t>de su local tareas de vigilancia encubiertas. También recordó que dichas pe</w:t>
      </w:r>
      <w:r>
        <w:t>r</w:t>
      </w:r>
      <w:r>
        <w:t>sonas, tras permanecer unas tres horas en el interior de su negocio, se retiraron y una de ellas, cuya descripción coincide con Raúl Edilio Ibarra, le refirió “...ya se va a aco</w:t>
      </w:r>
      <w:r>
        <w:t>r</w:t>
      </w:r>
      <w:r>
        <w:t xml:space="preserve">dar de nosotros, porque va a ocurrir algo grande y se </w:t>
      </w:r>
      <w:r>
        <w:lastRenderedPageBreak/>
        <w:t>va a enterar por todos los diarios...”. Tales dichos, a juicio de la fisc</w:t>
      </w:r>
      <w:r>
        <w:t>a</w:t>
      </w:r>
      <w:r>
        <w:t>lía, demuestran la activa participación y el conocimiento que de la maniobra tenían quienes inte</w:t>
      </w:r>
      <w:r>
        <w:t>r</w:t>
      </w:r>
      <w:r>
        <w:t>vinieron en las r</w:t>
      </w:r>
      <w:r>
        <w:t>e</w:t>
      </w:r>
      <w:r>
        <w:t>feridas tareas de observación.</w:t>
      </w:r>
    </w:p>
    <w:p w:rsidR="00224567" w:rsidRDefault="00224567">
      <w:pPr>
        <w:pStyle w:val="Sangra3detindependiente"/>
        <w:widowControl w:val="0"/>
        <w:spacing w:line="600" w:lineRule="auto"/>
        <w:ind w:firstLine="2835"/>
      </w:pPr>
      <w:r>
        <w:t>4) Dichos del testigo de identidad r</w:t>
      </w:r>
      <w:r>
        <w:t>e</w:t>
      </w:r>
      <w:r>
        <w:t>servada, identificado con el nº 6, quien so</w:t>
      </w:r>
      <w:r>
        <w:t>s</w:t>
      </w:r>
      <w:r>
        <w:t>tuvo que el 10 de julio de 1994, fecha en que Leal e Ibarra o</w:t>
      </w:r>
      <w:r>
        <w:t>b</w:t>
      </w:r>
      <w:r>
        <w:t>tuvieron la camioneta en horas de la tarde, observó a Juan José Rib</w:t>
      </w:r>
      <w:r>
        <w:t>e</w:t>
      </w:r>
      <w:r>
        <w:t>lli manejando una Trafic blanca; circunstancia que le ll</w:t>
      </w:r>
      <w:r>
        <w:t>a</w:t>
      </w:r>
      <w:r>
        <w:t>mó poderosamente la atención por cuanto nunca había visto al nombrado en un vehículo de ese tipo. También m</w:t>
      </w:r>
      <w:r>
        <w:t>e</w:t>
      </w:r>
      <w:r>
        <w:t>moró que unos días antes, en oportunidad de encontrarse en la ver</w:t>
      </w:r>
      <w:r>
        <w:t>e</w:t>
      </w:r>
      <w:r>
        <w:t>da de una de las agencias de Ribelli, de nombre “Paola”, pudo ver a tres camionetas Trafic blancas, a una de las cuales le faltaba el piso, las que permanecieron en el l</w:t>
      </w:r>
      <w:r>
        <w:t>u</w:t>
      </w:r>
      <w:r>
        <w:t>gar al m</w:t>
      </w:r>
      <w:r>
        <w:t>e</w:t>
      </w:r>
      <w:r>
        <w:t>nos hasta el 9 de julio.</w:t>
      </w:r>
    </w:p>
    <w:p w:rsidR="00224567" w:rsidRDefault="00224567">
      <w:pPr>
        <w:pStyle w:val="Sangra3detindependiente"/>
        <w:widowControl w:val="0"/>
        <w:spacing w:line="600" w:lineRule="auto"/>
        <w:ind w:firstLine="2835"/>
      </w:pPr>
      <w:r>
        <w:t>5) Testimonio de Jorge Luis Álvarez Matus, e</w:t>
      </w:r>
      <w:r>
        <w:t>m</w:t>
      </w:r>
      <w:r>
        <w:t>pleado de la agencia “Autoprix”, quien señaló que para la época del atentado dos individuos, acomp</w:t>
      </w:r>
      <w:r>
        <w:t>a</w:t>
      </w:r>
      <w:r>
        <w:t xml:space="preserve">ñados por Ribelli, titular del comercio junto con Federico Cáneva, se llevaron una camioneta Trafic, siguiéndolo Ribelli a </w:t>
      </w:r>
      <w:r>
        <w:lastRenderedPageBreak/>
        <w:t>bordo de un v</w:t>
      </w:r>
      <w:r>
        <w:t>e</w:t>
      </w:r>
      <w:r>
        <w:t>hículo Monza.</w:t>
      </w:r>
    </w:p>
    <w:p w:rsidR="00224567" w:rsidRDefault="00224567">
      <w:pPr>
        <w:pStyle w:val="Sangra3detindependiente"/>
        <w:widowControl w:val="0"/>
        <w:spacing w:line="600" w:lineRule="auto"/>
        <w:ind w:firstLine="2835"/>
      </w:pPr>
      <w:r>
        <w:t>6) Conversación telefónica entre el nombrado Álvarez Matus y Sandra Cardeal, por entonces n</w:t>
      </w:r>
      <w:r>
        <w:t>o</w:t>
      </w:r>
      <w:r>
        <w:t>via de Reinaldo Álvarez, encargado del comercio antes me</w:t>
      </w:r>
      <w:r>
        <w:t>n</w:t>
      </w:r>
      <w:r>
        <w:t>cionado, de la que se desprende, a juicio de la fi</w:t>
      </w:r>
      <w:r>
        <w:t>s</w:t>
      </w:r>
      <w:r>
        <w:t>calía, el conocimiento que ambos t</w:t>
      </w:r>
      <w:r>
        <w:t>e</w:t>
      </w:r>
      <w:r>
        <w:t xml:space="preserve">nían respecto de que </w:t>
      </w:r>
      <w:smartTag w:uri="urn:schemas-microsoft-com:office:smarttags" w:element="PersonName">
        <w:smartTagPr>
          <w:attr w:name="ProductID" w:val="la Trafic"/>
        </w:smartTagPr>
        <w:r>
          <w:t>la Trafic</w:t>
        </w:r>
      </w:smartTag>
      <w:r>
        <w:t xml:space="preserve"> utilizada en el atentado había pasado por las manos de R</w:t>
      </w:r>
      <w:r>
        <w:t>i</w:t>
      </w:r>
      <w:r>
        <w:t>belli. En dicho diálogo, reconocido por ambos interlocut</w:t>
      </w:r>
      <w:r>
        <w:t>o</w:t>
      </w:r>
      <w:r>
        <w:t xml:space="preserve">res, Álvarez Matus expresa, en obvia alusión a Ribelli, que “...cuando pusieron... cuando hicieron... viste </w:t>
      </w:r>
      <w:smartTag w:uri="urn:schemas-microsoft-com:office:smarttags" w:element="PersonName">
        <w:smartTagPr>
          <w:attr w:name="ProductID" w:val="la A.M"/>
        </w:smartTagPr>
        <w:r>
          <w:t>la A.M</w:t>
        </w:r>
      </w:smartTag>
      <w:r>
        <w:t xml:space="preserve">.I.A.?... de </w:t>
      </w:r>
      <w:smartTag w:uri="urn:schemas-microsoft-com:office:smarttags" w:element="PersonName">
        <w:smartTagPr>
          <w:attr w:name="ProductID" w:val="la Trafic..."/>
        </w:smartTagPr>
        <w:r>
          <w:t>la Trafic...</w:t>
        </w:r>
      </w:smartTag>
      <w:r>
        <w:t xml:space="preserve"> ellos estuvieron en un auto particular...”.</w:t>
      </w:r>
    </w:p>
    <w:p w:rsidR="00224567" w:rsidRDefault="00224567">
      <w:pPr>
        <w:pStyle w:val="Sangra3detindependiente"/>
        <w:widowControl w:val="0"/>
        <w:spacing w:line="600" w:lineRule="auto"/>
        <w:ind w:firstLine="2835"/>
      </w:pPr>
      <w:r>
        <w:t xml:space="preserve">7) Conversación telefónica del 18 de julio de 1996 entre el suboficial de </w:t>
      </w:r>
      <w:smartTag w:uri="urn:schemas-microsoft-com:office:smarttags" w:element="PersonName">
        <w:smartTagPr>
          <w:attr w:name="ProductID" w:val="la Polic￭a Bonaerense"/>
        </w:smartTagPr>
        <w:r>
          <w:t>la Policía Bona</w:t>
        </w:r>
        <w:r>
          <w:t>e</w:t>
        </w:r>
        <w:r>
          <w:t>rense</w:t>
        </w:r>
      </w:smartTag>
      <w:r>
        <w:t xml:space="preserve"> Juan Carlos Nicolau, hombre de confianza de Ribelli, y Carmelo Juan Ionno, socio de éste en la joyería “Los P</w:t>
      </w:r>
      <w:r>
        <w:t>a</w:t>
      </w:r>
      <w:r>
        <w:t xml:space="preserve">drinos”, en la que ambos refieren, en clara referencia a </w:t>
      </w:r>
      <w:smartTag w:uri="urn:schemas-microsoft-com:office:smarttags" w:element="PersonName">
        <w:smartTagPr>
          <w:attr w:name="ProductID" w:val="la Trafic"/>
        </w:smartTagPr>
        <w:r>
          <w:t>la Trafic</w:t>
        </w:r>
      </w:smartTag>
      <w:r>
        <w:t xml:space="preserve"> que poseía Telleldín, que estaría localizado “lo del tigre, los que se llevaron la cami</w:t>
      </w:r>
      <w:r>
        <w:t>o</w:t>
      </w:r>
      <w:r>
        <w:t>neta”.</w:t>
      </w:r>
    </w:p>
    <w:p w:rsidR="00224567" w:rsidRDefault="00224567">
      <w:pPr>
        <w:widowControl w:val="0"/>
        <w:ind w:firstLine="2835"/>
        <w:rPr>
          <w:lang w:val="es-ES_tradnl"/>
        </w:rPr>
      </w:pPr>
      <w:r>
        <w:rPr>
          <w:lang w:val="es-ES_tradnl"/>
        </w:rPr>
        <w:t xml:space="preserve">8) Dichos del suboficial mayor Juan </w:t>
      </w:r>
      <w:r>
        <w:rPr>
          <w:lang w:val="es-ES_tradnl"/>
        </w:rPr>
        <w:lastRenderedPageBreak/>
        <w:t>Carlos Nicolau quien reconoció conocer a Ribelli desde h</w:t>
      </w:r>
      <w:r>
        <w:rPr>
          <w:lang w:val="es-ES_tradnl"/>
        </w:rPr>
        <w:t>a</w:t>
      </w:r>
      <w:r>
        <w:rPr>
          <w:lang w:val="es-ES_tradnl"/>
        </w:rPr>
        <w:t>cía, aproximadamente, dieciséis años; período en el cual, a excepción de un año, siempre se desempeñó bajo sus órd</w:t>
      </w:r>
      <w:r>
        <w:rPr>
          <w:lang w:val="es-ES_tradnl"/>
        </w:rPr>
        <w:t>e</w:t>
      </w:r>
      <w:r>
        <w:rPr>
          <w:lang w:val="es-ES_tradnl"/>
        </w:rPr>
        <w:t>nes. En virtud de ello, Nicolau explicó que Ribelli poseía dos agencias de compraventa de vehículos en sociedad con Federico Cáneva, denominadas “Paola” y “Autoprix”, una j</w:t>
      </w:r>
      <w:r>
        <w:rPr>
          <w:lang w:val="es-ES_tradnl"/>
        </w:rPr>
        <w:t>o</w:t>
      </w:r>
      <w:r>
        <w:rPr>
          <w:lang w:val="es-ES_tradnl"/>
        </w:rPr>
        <w:t>yería, llamada “Los Padrinos”, una casa en Banfield y dos departamentos, uno en Lanús y otro en la localidad balne</w:t>
      </w:r>
      <w:r>
        <w:rPr>
          <w:lang w:val="es-ES_tradnl"/>
        </w:rPr>
        <w:t>a</w:t>
      </w:r>
      <w:r>
        <w:rPr>
          <w:lang w:val="es-ES_tradnl"/>
        </w:rPr>
        <w:t>ria de San Bernardo y que tales bienes y su alto n</w:t>
      </w:r>
      <w:r>
        <w:rPr>
          <w:lang w:val="es-ES_tradnl"/>
        </w:rPr>
        <w:t>i</w:t>
      </w:r>
      <w:r>
        <w:rPr>
          <w:lang w:val="es-ES_tradnl"/>
        </w:rPr>
        <w:t>vel de vida se solventaban, a su entender, merced a los “arr</w:t>
      </w:r>
      <w:r>
        <w:rPr>
          <w:lang w:val="es-ES_tradnl"/>
        </w:rPr>
        <w:t>e</w:t>
      </w:r>
      <w:r>
        <w:rPr>
          <w:lang w:val="es-ES_tradnl"/>
        </w:rPr>
        <w:t>glos” que efectuaba con las personas detenidas para que pudieran recuperar su libertad, como así también por los “peajes” que cobraba a fin de garantizar la impunidad de hechos delict</w:t>
      </w:r>
      <w:r>
        <w:rPr>
          <w:lang w:val="es-ES_tradnl"/>
        </w:rPr>
        <w:t>i</w:t>
      </w:r>
      <w:r>
        <w:rPr>
          <w:lang w:val="es-ES_tradnl"/>
        </w:rPr>
        <w:t>vos en la zona en que se desempeñaba.</w:t>
      </w:r>
    </w:p>
    <w:p w:rsidR="00224567" w:rsidRDefault="00224567">
      <w:pPr>
        <w:pStyle w:val="Sangra3detindependiente"/>
        <w:widowControl w:val="0"/>
        <w:spacing w:line="600" w:lineRule="auto"/>
        <w:ind w:firstLine="2835"/>
      </w:pPr>
      <w:r>
        <w:t>Por otro lado, Nicolau señaló haber conocido que Telleldín, a cambio de su libertad, debió e</w:t>
      </w:r>
      <w:r>
        <w:t>n</w:t>
      </w:r>
      <w:r>
        <w:t>tregarle a Ribelli dos vehículos y una moto y que, gen</w:t>
      </w:r>
      <w:r>
        <w:t>e</w:t>
      </w:r>
      <w:r>
        <w:t>ralmente, los rodados así obtenidos se comercial</w:t>
      </w:r>
      <w:r>
        <w:t>i</w:t>
      </w:r>
      <w:r>
        <w:t xml:space="preserve">zaban en las agencias de mención, las que se constituyeron, a su vez, en bases de operaciones de </w:t>
      </w:r>
      <w:smartTag w:uri="urn:schemas-microsoft-com:office:smarttags" w:element="PersonName">
        <w:smartTagPr>
          <w:attr w:name="ProductID" w:val="la Divisi￳n Sustracci￳n"/>
        </w:smartTagPr>
        <w:r>
          <w:t>la División Sustra</w:t>
        </w:r>
        <w:r>
          <w:t>c</w:t>
        </w:r>
        <w:r>
          <w:t>ción</w:t>
        </w:r>
      </w:smartTag>
      <w:r>
        <w:t xml:space="preserve"> de Automotores de Vicente López.</w:t>
      </w:r>
    </w:p>
    <w:p w:rsidR="00224567" w:rsidRDefault="00224567">
      <w:pPr>
        <w:pStyle w:val="Sangra3detindependiente"/>
        <w:widowControl w:val="0"/>
        <w:spacing w:line="600" w:lineRule="auto"/>
        <w:ind w:firstLine="2835"/>
      </w:pPr>
      <w:r>
        <w:lastRenderedPageBreak/>
        <w:t xml:space="preserve">9) Declaración de Pedro Anastasio Klodczyk, quien reconoció no haber abrigado dudas acerca de la negociación llevada a cabo en </w:t>
      </w:r>
      <w:smartTag w:uri="urn:schemas-microsoft-com:office:smarttags" w:element="PersonName">
        <w:smartTagPr>
          <w:attr w:name="ProductID" w:val="la Brigada"/>
        </w:smartTagPr>
        <w:r>
          <w:t>la Brigada</w:t>
        </w:r>
      </w:smartTag>
      <w:r>
        <w:t xml:space="preserve"> de Invest</w:t>
      </w:r>
      <w:r>
        <w:t>i</w:t>
      </w:r>
      <w:r>
        <w:t>gaciones de Lanús entre Ribelli y Telleldín. Aunque, in</w:t>
      </w:r>
      <w:r>
        <w:t>i</w:t>
      </w:r>
      <w:r>
        <w:t>cialmente, no tuvo certeza re</w:t>
      </w:r>
      <w:r>
        <w:t>s</w:t>
      </w:r>
      <w:r>
        <w:t>pecto de la recepción de la camioneta utiliz</w:t>
      </w:r>
      <w:r>
        <w:t>a</w:t>
      </w:r>
      <w:r>
        <w:t>da en el atentado por parte del primero, al conocer otras circunstancias consideró que su interve</w:t>
      </w:r>
      <w:r>
        <w:t>n</w:t>
      </w:r>
      <w:r>
        <w:t>ción en tal suceso era una hipótesis viable, sólo movil</w:t>
      </w:r>
      <w:r>
        <w:t>i</w:t>
      </w:r>
      <w:r>
        <w:t>zada por motivaciones económicas y que determinadas act</w:t>
      </w:r>
      <w:r>
        <w:t>i</w:t>
      </w:r>
      <w:r>
        <w:t>tudes “le han demostrado que puede ser responsable del h</w:t>
      </w:r>
      <w:r>
        <w:t>e</w:t>
      </w:r>
      <w:r>
        <w:t>cho”.</w:t>
      </w:r>
    </w:p>
    <w:p w:rsidR="00224567" w:rsidRDefault="00224567">
      <w:pPr>
        <w:pStyle w:val="Sangra3detindependiente"/>
        <w:widowControl w:val="0"/>
        <w:spacing w:line="600" w:lineRule="auto"/>
        <w:ind w:firstLine="2835"/>
      </w:pPr>
      <w:r>
        <w:t>10) Dichos del comisario general A</w:t>
      </w:r>
      <w:r>
        <w:t>r</w:t>
      </w:r>
      <w:r>
        <w:t>mando Antonio Calabró, otrora Director General de Invest</w:t>
      </w:r>
      <w:r>
        <w:t>i</w:t>
      </w:r>
      <w:r>
        <w:t xml:space="preserve">gaciones de </w:t>
      </w:r>
      <w:smartTag w:uri="urn:schemas-microsoft-com:office:smarttags" w:element="PersonName">
        <w:smartTagPr>
          <w:attr w:name="ProductID" w:val="la Polic￭a Bonaerense"/>
        </w:smartTagPr>
        <w:r>
          <w:t>la Policía Bonaerense</w:t>
        </w:r>
      </w:smartTag>
      <w:r>
        <w:t>, quien s</w:t>
      </w:r>
      <w:r>
        <w:t>e</w:t>
      </w:r>
      <w:r>
        <w:t>ñaló que de las escuchas telefónicas practicadas en autos surgía la pre</w:t>
      </w:r>
      <w:r>
        <w:t>o</w:t>
      </w:r>
      <w:r>
        <w:t>cupación de Juan José Ribelli con motivo de la investig</w:t>
      </w:r>
      <w:r>
        <w:t>a</w:t>
      </w:r>
      <w:r>
        <w:t>ción del suceso ocurrido el 18 de julio de 1994 y “que creía que éste último pudo haberse llevado la camioneta que explotó en el atentado, con fines económ</w:t>
      </w:r>
      <w:r>
        <w:t>i</w:t>
      </w:r>
      <w:r>
        <w:t>cos”.</w:t>
      </w:r>
    </w:p>
    <w:p w:rsidR="00224567" w:rsidRDefault="00224567">
      <w:pPr>
        <w:pStyle w:val="Sangra3detindependiente"/>
        <w:widowControl w:val="0"/>
        <w:spacing w:line="600" w:lineRule="auto"/>
        <w:ind w:firstLine="2835"/>
      </w:pPr>
      <w:r>
        <w:t xml:space="preserve">En consonancia con lo expuesto, los </w:t>
      </w:r>
      <w:r>
        <w:lastRenderedPageBreak/>
        <w:t>Sres. fiscales indicaron que las conversaciones telefón</w:t>
      </w:r>
      <w:r>
        <w:t>i</w:t>
      </w:r>
      <w:r>
        <w:t>cas entre los imputados permitieron demostrar, de manera inequívoca, el grado de conocimiento y compromiso que t</w:t>
      </w:r>
      <w:r>
        <w:t>o</w:t>
      </w:r>
      <w:r>
        <w:t>dos ellos tuvieron con el atentado, como así también la preocupación que los embargaba ante la inminencia de un nuevo aniversario de dicho suceso y, consecuent</w:t>
      </w:r>
      <w:r>
        <w:t>e</w:t>
      </w:r>
      <w:r>
        <w:t>mente, la planificación de una estrategia -plasmada en un pacto de silencio- destinada a afrontar con éxito la presente i</w:t>
      </w:r>
      <w:r>
        <w:t>n</w:t>
      </w:r>
      <w:r>
        <w:t>vest</w:t>
      </w:r>
      <w:r>
        <w:t>i</w:t>
      </w:r>
      <w:r>
        <w:t>gación.</w:t>
      </w:r>
    </w:p>
    <w:p w:rsidR="00224567" w:rsidRDefault="00224567">
      <w:pPr>
        <w:pStyle w:val="Sangra3detindependiente"/>
        <w:widowControl w:val="0"/>
        <w:spacing w:line="600" w:lineRule="auto"/>
        <w:ind w:firstLine="2835"/>
      </w:pPr>
      <w:r>
        <w:t>En ese sentido, la fiscalía co</w:t>
      </w:r>
      <w:r>
        <w:t>n</w:t>
      </w:r>
      <w:r>
        <w:t>sideró ilustrativas las conversaciones interceptadas el 5 de j</w:t>
      </w:r>
      <w:r>
        <w:t>u</w:t>
      </w:r>
      <w:r>
        <w:t>lio de 1996 entre Ribelli e Ibarra -abonado 425-8982- (c</w:t>
      </w:r>
      <w:r>
        <w:t>a</w:t>
      </w:r>
      <w:r>
        <w:t>sete 34, lado “A”, vuelta 1200, fs. 2859/2960); el 8 de julio de 1996 entre  Ibarra y una persona  de nombre Raúl -abonado 425-8982- (cas</w:t>
      </w:r>
      <w:r>
        <w:t>e</w:t>
      </w:r>
      <w:r>
        <w:t>te 12, lado “A”, vuelta 1222, fs. 2861/2862) y el 12 de julio de 1996 entre Ribelli y el j</w:t>
      </w:r>
      <w:r>
        <w:t>e</w:t>
      </w:r>
      <w:r>
        <w:t xml:space="preserve">fe de operaciones de </w:t>
      </w:r>
      <w:smartTag w:uri="urn:schemas-microsoft-com:office:smarttags" w:element="PersonName">
        <w:smartTagPr>
          <w:attr w:name="ProductID" w:val="la Direcci￳n General"/>
        </w:smartTagPr>
        <w:r>
          <w:t>la Dirección General</w:t>
        </w:r>
      </w:smartTag>
      <w:r>
        <w:t xml:space="preserve"> de Investigaci</w:t>
      </w:r>
      <w:r>
        <w:t>o</w:t>
      </w:r>
      <w:r>
        <w:t xml:space="preserve">nes de </w:t>
      </w:r>
      <w:smartTag w:uri="urn:schemas-microsoft-com:office:smarttags" w:element="PersonName">
        <w:smartTagPr>
          <w:attr w:name="ProductID" w:val="la Polic￭a Bonaerense"/>
        </w:smartTagPr>
        <w:r>
          <w:t>la Policía Bonaerense</w:t>
        </w:r>
      </w:smartTag>
      <w:r>
        <w:t>, oficial principal Jorge S</w:t>
      </w:r>
      <w:r>
        <w:t>e</w:t>
      </w:r>
      <w:r>
        <w:t>bastián Menno -teléfono celular nº 440-6746- (casete 59, lado “B”, vuelta 1845), entre Ibarra y Ribelli -teléfono celular de éste último- (c</w:t>
      </w:r>
      <w:r>
        <w:t>a</w:t>
      </w:r>
      <w:r>
        <w:t xml:space="preserve">sete 60, lado “A”, vuelta 100, </w:t>
      </w:r>
      <w:r>
        <w:lastRenderedPageBreak/>
        <w:t>fs. 2867/2869), entre Ibarra y R</w:t>
      </w:r>
      <w:r>
        <w:t>i</w:t>
      </w:r>
      <w:r>
        <w:t>belli (casete nº 62, lado “A”, vuelta 80, fs. 2870/2871), entre Ribelli y una pers</w:t>
      </w:r>
      <w:r>
        <w:t>o</w:t>
      </w:r>
      <w:r>
        <w:t xml:space="preserve">na que se encontraba en la jefatura de </w:t>
      </w:r>
      <w:smartTag w:uri="urn:schemas-microsoft-com:office:smarttags" w:element="PersonName">
        <w:smartTagPr>
          <w:attr w:name="ProductID" w:val="la Polic￭a Bonaerense"/>
        </w:smartTagPr>
        <w:r>
          <w:t>la Policía Bona</w:t>
        </w:r>
        <w:r>
          <w:t>e</w:t>
        </w:r>
        <w:r>
          <w:t>rense</w:t>
        </w:r>
      </w:smartTag>
      <w:r>
        <w:t xml:space="preserve"> (casete nº 62, lado “A”, vuelta 480), entre Ib</w:t>
      </w:r>
      <w:r>
        <w:t>a</w:t>
      </w:r>
      <w:r>
        <w:t>rra, Ribelli y el comisario mayor Sosa (casete nº 63, l</w:t>
      </w:r>
      <w:r>
        <w:t>a</w:t>
      </w:r>
      <w:r>
        <w:t>do “A”, vuelta 160, fs. 2872/2874), entre Ribelli y el comisario general Calabró (casete nº 64, lado “A”, vuelta 600), e</w:t>
      </w:r>
      <w:r>
        <w:t>n</w:t>
      </w:r>
      <w:r>
        <w:t>tre Ribelli, el comisario inspector Miqueleitz, Huici y Cruz (casete nº 65, lado “A”, vuelta 90, fs. 2650/2652) y, una vez efectivizadas las detenciones, entre Ribelli y Arancibia (casete nº 66, lado “B”, vuelta 2330).</w:t>
      </w:r>
    </w:p>
    <w:p w:rsidR="00224567" w:rsidRDefault="00224567">
      <w:pPr>
        <w:pStyle w:val="Sangra2detindependiente"/>
        <w:widowControl w:val="0"/>
        <w:tabs>
          <w:tab w:val="left" w:pos="700"/>
        </w:tabs>
        <w:spacing w:line="600" w:lineRule="auto"/>
        <w:ind w:firstLine="2835"/>
      </w:pPr>
      <w:r>
        <w:t>11) Testimonio de Miguel Alejandro Suárez, quien sostuvo que el comisario Ángel Roberto Sa</w:t>
      </w:r>
      <w:r>
        <w:t>l</w:t>
      </w:r>
      <w:r>
        <w:t xml:space="preserve">guero, por conocer que funcionarios de </w:t>
      </w:r>
      <w:smartTag w:uri="urn:schemas-microsoft-com:office:smarttags" w:element="PersonName">
        <w:smartTagPr>
          <w:attr w:name="ProductID" w:val="la Polic￭a Bonaerense"/>
        </w:smartTagPr>
        <w:r>
          <w:t>la Policía Bona</w:t>
        </w:r>
        <w:r>
          <w:t>e</w:t>
        </w:r>
        <w:r>
          <w:t>rense</w:t>
        </w:r>
      </w:smartTag>
      <w:r>
        <w:t xml:space="preserve"> se hallaban involucrados en los hechos, intentó de</w:t>
      </w:r>
      <w:r>
        <w:t>s</w:t>
      </w:r>
      <w:r>
        <w:t>viar la investigación de la pr</w:t>
      </w:r>
      <w:r>
        <w:t>e</w:t>
      </w:r>
      <w:r>
        <w:t>sente causa hacia elementos militares vinculados al movimiento c</w:t>
      </w:r>
      <w:r>
        <w:t>a</w:t>
      </w:r>
      <w:r>
        <w:t>rapintada.</w:t>
      </w:r>
    </w:p>
    <w:p w:rsidR="00224567" w:rsidRDefault="00224567">
      <w:pPr>
        <w:widowControl w:val="0"/>
        <w:ind w:firstLine="2835"/>
        <w:rPr>
          <w:lang w:val="es-ES_tradnl"/>
        </w:rPr>
      </w:pPr>
      <w:r>
        <w:rPr>
          <w:lang w:val="es-ES_tradnl"/>
        </w:rPr>
        <w:tab/>
        <w:t>12) Velados mensajes intimidatorios, cuando no amenazas, encaminados a que testigos o coimp</w:t>
      </w:r>
      <w:r>
        <w:rPr>
          <w:lang w:val="es-ES_tradnl"/>
        </w:rPr>
        <w:t>u</w:t>
      </w:r>
      <w:r>
        <w:rPr>
          <w:lang w:val="es-ES_tradnl"/>
        </w:rPr>
        <w:t>tados se desdigan ante el órgano jurisdiccional de ant</w:t>
      </w:r>
      <w:r>
        <w:rPr>
          <w:lang w:val="es-ES_tradnl"/>
        </w:rPr>
        <w:t>e</w:t>
      </w:r>
      <w:r>
        <w:rPr>
          <w:lang w:val="es-ES_tradnl"/>
        </w:rPr>
        <w:lastRenderedPageBreak/>
        <w:t>riores dichos incriminantes o, lisa y llanamente, sile</w:t>
      </w:r>
      <w:r>
        <w:rPr>
          <w:lang w:val="es-ES_tradnl"/>
        </w:rPr>
        <w:t>n</w:t>
      </w:r>
      <w:r>
        <w:rPr>
          <w:lang w:val="es-ES_tradnl"/>
        </w:rPr>
        <w:t>cien cualquier dato que involucre aún más a los proces</w:t>
      </w:r>
      <w:r>
        <w:rPr>
          <w:lang w:val="es-ES_tradnl"/>
        </w:rPr>
        <w:t>a</w:t>
      </w:r>
      <w:r>
        <w:rPr>
          <w:lang w:val="es-ES_tradnl"/>
        </w:rPr>
        <w:t>dos.</w:t>
      </w:r>
    </w:p>
    <w:p w:rsidR="00224567" w:rsidRDefault="00224567">
      <w:pPr>
        <w:pStyle w:val="Textoindependiente"/>
        <w:tabs>
          <w:tab w:val="left" w:pos="700"/>
          <w:tab w:val="left" w:pos="2800"/>
        </w:tabs>
        <w:spacing w:line="600" w:lineRule="auto"/>
        <w:ind w:firstLine="2835"/>
      </w:pPr>
      <w:r>
        <w:t>En tal inteligencia, los fiscales al</w:t>
      </w:r>
      <w:r>
        <w:t>u</w:t>
      </w:r>
      <w:r>
        <w:t>dieron a los dichos de Juan Carlos Nicolau, quien refirió que a poco de prestar testimonio ante el magistrado in</w:t>
      </w:r>
      <w:r>
        <w:t>s</w:t>
      </w:r>
      <w:r>
        <w:t>tructor y con la intención evidente de que modifique sus términos para favorecer así a Juan José Ribelli, fue vis</w:t>
      </w:r>
      <w:r>
        <w:t>i</w:t>
      </w:r>
      <w:r>
        <w:t>tado en dos ocasiones por un hermano de este último y por un suboficial, apodado “el fotógr</w:t>
      </w:r>
      <w:r>
        <w:t>a</w:t>
      </w:r>
      <w:r>
        <w:t>fo”, quien le sugirió que concurra a entrevistarse con un abogado que conocía el imputado Ribelli, por cuanto “había declarado mal” (fs. 5210/5211).</w:t>
      </w:r>
    </w:p>
    <w:p w:rsidR="00224567" w:rsidRDefault="00224567">
      <w:pPr>
        <w:pStyle w:val="Textoindependiente"/>
        <w:tabs>
          <w:tab w:val="left" w:pos="700"/>
          <w:tab w:val="left" w:pos="2800"/>
        </w:tabs>
        <w:spacing w:line="600" w:lineRule="auto"/>
        <w:ind w:firstLine="2835"/>
      </w:pPr>
      <w:r>
        <w:t>También refirieron que el Dr. Marcelo Eduardo García, l</w:t>
      </w:r>
      <w:r>
        <w:t>e</w:t>
      </w:r>
      <w:r>
        <w:t>trado defensor de Bautista Alberto Huici, sostuvo que su asistido recibió un mensaje intimidatorio, para lo cual se le hicieron llegar dos fotograf</w:t>
      </w:r>
      <w:r>
        <w:t>í</w:t>
      </w:r>
      <w:r>
        <w:t>as, en una de las cuales se observa a sus dos hijos cruzando una c</w:t>
      </w:r>
      <w:r>
        <w:t>a</w:t>
      </w:r>
      <w:r>
        <w:t>lle, con una inscripción que decía “te ofrecimos la calle y te cagaste, ahora aguantátelas sólo o pensá lo f</w:t>
      </w:r>
      <w:r>
        <w:t>á</w:t>
      </w:r>
      <w:r>
        <w:t>cil que es esto” (fs. 7235/vta. y 7236).</w:t>
      </w:r>
    </w:p>
    <w:p w:rsidR="00224567" w:rsidRDefault="00224567">
      <w:pPr>
        <w:pStyle w:val="Sangra2detindependiente"/>
        <w:widowControl w:val="0"/>
        <w:tabs>
          <w:tab w:val="left" w:pos="700"/>
        </w:tabs>
        <w:spacing w:line="600" w:lineRule="auto"/>
        <w:ind w:firstLine="2835"/>
      </w:pPr>
      <w:r>
        <w:lastRenderedPageBreak/>
        <w:t>Igualmente, los representantes del M</w:t>
      </w:r>
      <w:r>
        <w:t>i</w:t>
      </w:r>
      <w:r>
        <w:t>nisterio Público Fiscal aludieron a la denuncia fo</w:t>
      </w:r>
      <w:r>
        <w:t>r</w:t>
      </w:r>
      <w:r>
        <w:t>mulada por familiares de Claudio Walter Araya dando cuenta de presiones a este último por parte de Juan J</w:t>
      </w:r>
      <w:r>
        <w:t>o</w:t>
      </w:r>
      <w:r>
        <w:t xml:space="preserve">sé Ribelli, en ocasión de encontrarse alojados en </w:t>
      </w:r>
      <w:smartTag w:uri="urn:schemas-microsoft-com:office:smarttags" w:element="PersonName">
        <w:smartTagPr>
          <w:attr w:name="ProductID" w:val="la Unidad"/>
        </w:smartTagPr>
        <w:r>
          <w:t>la Unidad</w:t>
        </w:r>
      </w:smartTag>
      <w:r>
        <w:t xml:space="preserve"> nº 16 del Servicio Penitenciario Federal; extremo que motivó que p</w:t>
      </w:r>
      <w:r>
        <w:t>i</w:t>
      </w:r>
      <w:r>
        <w:t>dieran su traslado a otro establ</w:t>
      </w:r>
      <w:r>
        <w:t>e</w:t>
      </w:r>
      <w:r>
        <w:t xml:space="preserve">cimiento carcelario y que se le prohíban las visitas de integrantes de </w:t>
      </w:r>
      <w:smartTag w:uri="urn:schemas-microsoft-com:office:smarttags" w:element="PersonName">
        <w:smartTagPr>
          <w:attr w:name="ProductID" w:val="la Polic￭a Bonaerense"/>
        </w:smartTagPr>
        <w:r>
          <w:t>la Policía Bonaerense</w:t>
        </w:r>
      </w:smartTag>
      <w:r>
        <w:t>, a quienes Ribelli acostumbraba a enviar como emisarios. Además, el hecho de que éste solventara de su peculio los honorarios del defensor de Araya, constituía una muestra, según los familiares, de la forma en que aquél controlaba a los demás proces</w:t>
      </w:r>
      <w:r>
        <w:t>a</w:t>
      </w:r>
      <w:r>
        <w:t>dos.</w:t>
      </w:r>
    </w:p>
    <w:p w:rsidR="00224567" w:rsidRDefault="00224567">
      <w:pPr>
        <w:widowControl w:val="0"/>
        <w:ind w:firstLine="2835"/>
        <w:rPr>
          <w:lang w:val="es-ES_tradnl"/>
        </w:rPr>
      </w:pPr>
      <w:r>
        <w:rPr>
          <w:lang w:val="es-ES_tradnl"/>
        </w:rPr>
        <w:tab/>
        <w:t>Por último, la fiscalía consignó los temores a represalias que debió padecer Carlos Alberto T</w:t>
      </w:r>
      <w:r>
        <w:rPr>
          <w:lang w:val="es-ES_tradnl"/>
        </w:rPr>
        <w:t>e</w:t>
      </w:r>
      <w:r>
        <w:rPr>
          <w:lang w:val="es-ES_tradnl"/>
        </w:rPr>
        <w:t xml:space="preserve">lleldín antes de incriminar al personal de </w:t>
      </w:r>
      <w:smartTag w:uri="urn:schemas-microsoft-com:office:smarttags" w:element="PersonName">
        <w:smartTagPr>
          <w:attr w:name="ProductID" w:val="la Polic￭a"/>
        </w:smartTagPr>
        <w:r>
          <w:rPr>
            <w:lang w:val="es-ES_tradnl"/>
          </w:rPr>
          <w:t>la Policía</w:t>
        </w:r>
      </w:smartTag>
      <w:r>
        <w:rPr>
          <w:lang w:val="es-ES_tradnl"/>
        </w:rPr>
        <w:t xml:space="preserve"> de </w:t>
      </w:r>
      <w:smartTag w:uri="urn:schemas-microsoft-com:office:smarttags" w:element="PersonName">
        <w:smartTagPr>
          <w:attr w:name="ProductID" w:val="la Provincia"/>
        </w:smartTagPr>
        <w:r>
          <w:rPr>
            <w:lang w:val="es-ES_tradnl"/>
          </w:rPr>
          <w:t>la Provincia</w:t>
        </w:r>
      </w:smartTag>
      <w:r>
        <w:rPr>
          <w:lang w:val="es-ES_tradnl"/>
        </w:rPr>
        <w:t xml:space="preserve"> de Buenos Aires, co</w:t>
      </w:r>
      <w:r>
        <w:rPr>
          <w:lang w:val="es-ES_tradnl"/>
        </w:rPr>
        <w:t>n</w:t>
      </w:r>
      <w:r>
        <w:rPr>
          <w:lang w:val="es-ES_tradnl"/>
        </w:rPr>
        <w:t>forme es dable inferir de los dichos vertidos por aquél en las reiteradas ocasiones en que prestó declaración indag</w:t>
      </w:r>
      <w:r>
        <w:rPr>
          <w:lang w:val="es-ES_tradnl"/>
        </w:rPr>
        <w:t>a</w:t>
      </w:r>
      <w:r>
        <w:rPr>
          <w:lang w:val="es-ES_tradnl"/>
        </w:rPr>
        <w:t xml:space="preserve">toria. </w:t>
      </w:r>
    </w:p>
    <w:p w:rsidR="00224567" w:rsidRDefault="00224567">
      <w:pPr>
        <w:pStyle w:val="Textoindependiente"/>
        <w:tabs>
          <w:tab w:val="left" w:pos="700"/>
        </w:tabs>
        <w:spacing w:line="600" w:lineRule="auto"/>
        <w:ind w:firstLine="2835"/>
      </w:pPr>
      <w:r>
        <w:t xml:space="preserve">13) Escritura nº 152, Fº 383/384 de la </w:t>
      </w:r>
      <w:r>
        <w:lastRenderedPageBreak/>
        <w:t>escribanía a cargo de Juana María Vaquer Garmendia, cel</w:t>
      </w:r>
      <w:r>
        <w:t>e</w:t>
      </w:r>
      <w:r>
        <w:t>brada el 11 de julio de 1994, que prot</w:t>
      </w:r>
      <w:r>
        <w:t>o</w:t>
      </w:r>
      <w:r>
        <w:t>colizó una partición a</w:t>
      </w:r>
      <w:r>
        <w:t>n</w:t>
      </w:r>
      <w:r>
        <w:t>ticipada de bienes efectuada por Miguel Gregorio Ribelli, en virtud de la cual, a título de donación gratuita e irr</w:t>
      </w:r>
      <w:r>
        <w:t>e</w:t>
      </w:r>
      <w:r>
        <w:t>vocable, e</w:t>
      </w:r>
      <w:r>
        <w:t>n</w:t>
      </w:r>
      <w:r>
        <w:t>tregó, en efectivo, a su hijo Juan José y a cada uno de sus cuatro hermanos la cantidad de quinientos mil dólares estadounidenses. Sumas éstas altamente sugestivas -en opinión de la fi</w:t>
      </w:r>
      <w:r>
        <w:t>s</w:t>
      </w:r>
      <w:r>
        <w:t>calía-, por cuanto dicha diligencia se llevó a cabo al día siguiente de que Ibarra y Leal retir</w:t>
      </w:r>
      <w:r>
        <w:t>a</w:t>
      </w:r>
      <w:r>
        <w:t>ran la camioneta que contenía el motor que explotó en el atentado y porque resulta harto dificultoso a</w:t>
      </w:r>
      <w:r>
        <w:t>d</w:t>
      </w:r>
      <w:r>
        <w:t>mitir que el progenitor de Ribelli, como empleado ferroviario, a esa f</w:t>
      </w:r>
      <w:r>
        <w:t>e</w:t>
      </w:r>
      <w:r>
        <w:t>cha jubilado, hubiera podido amasar sem</w:t>
      </w:r>
      <w:r>
        <w:t>e</w:t>
      </w:r>
      <w:r>
        <w:t>jante fortuna.</w:t>
      </w:r>
    </w:p>
    <w:p w:rsidR="00224567" w:rsidRDefault="00224567">
      <w:pPr>
        <w:widowControl w:val="0"/>
        <w:ind w:firstLine="2835"/>
        <w:rPr>
          <w:lang w:val="es-ES_tradnl"/>
        </w:rPr>
      </w:pPr>
      <w:r>
        <w:rPr>
          <w:b/>
          <w:bCs/>
          <w:lang w:val="es-ES_tradnl"/>
        </w:rPr>
        <w:tab/>
      </w:r>
      <w:r>
        <w:rPr>
          <w:lang w:val="es-ES_tradnl"/>
        </w:rPr>
        <w:t>14) Alojamiento de Juan José Ribelli en el Hotel Co</w:t>
      </w:r>
      <w:r>
        <w:rPr>
          <w:lang w:val="es-ES_tradnl"/>
        </w:rPr>
        <w:t>n</w:t>
      </w:r>
      <w:r>
        <w:rPr>
          <w:lang w:val="es-ES_tradnl"/>
        </w:rPr>
        <w:t>te de esta ciudad, el 20 de julio de 1994 y hasta el día siguiente, a las 12.44, coincidiendo con el hospedaje de los miembros de las Fuerzas Armadas del Est</w:t>
      </w:r>
      <w:r>
        <w:rPr>
          <w:lang w:val="es-ES_tradnl"/>
        </w:rPr>
        <w:t>a</w:t>
      </w:r>
      <w:r>
        <w:rPr>
          <w:lang w:val="es-ES_tradnl"/>
        </w:rPr>
        <w:t>do de Israel, ocurrido entre los días 19 y 26 de julio de 1994 (fs. 58.909/58.910 y fs. 59.127/59.137).</w:t>
      </w:r>
    </w:p>
    <w:p w:rsidR="00224567" w:rsidRDefault="00224567">
      <w:pPr>
        <w:widowControl w:val="0"/>
        <w:ind w:firstLine="2835"/>
        <w:rPr>
          <w:lang w:val="es-ES_tradnl"/>
        </w:rPr>
      </w:pPr>
      <w:r>
        <w:rPr>
          <w:lang w:val="es-ES_tradnl"/>
        </w:rPr>
        <w:tab/>
        <w:t>15) Utilización de Ramón Emilio Sol</w:t>
      </w:r>
      <w:r>
        <w:rPr>
          <w:lang w:val="es-ES_tradnl"/>
        </w:rPr>
        <w:t>a</w:t>
      </w:r>
      <w:r>
        <w:rPr>
          <w:lang w:val="es-ES_tradnl"/>
        </w:rPr>
        <w:t>ri, dirigida a desviar la investigación sobre int</w:t>
      </w:r>
      <w:r>
        <w:rPr>
          <w:lang w:val="es-ES_tradnl"/>
        </w:rPr>
        <w:t>e</w:t>
      </w:r>
      <w:r>
        <w:rPr>
          <w:lang w:val="es-ES_tradnl"/>
        </w:rPr>
        <w:t xml:space="preserve">grantes </w:t>
      </w:r>
      <w:r>
        <w:rPr>
          <w:lang w:val="es-ES_tradnl"/>
        </w:rPr>
        <w:lastRenderedPageBreak/>
        <w:t xml:space="preserve">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Los fiscales sostuvieron, en síntesis, que tras ofrecer en la causa una versión que desvinculaba a los policías imputados, el nombrado Solari admitió ante </w:t>
      </w:r>
      <w:smartTag w:uri="urn:schemas-microsoft-com:office:smarttags" w:element="PersonName">
        <w:smartTagPr>
          <w:attr w:name="ProductID" w:val="la Comisi￳n Bicameral"/>
        </w:smartTagPr>
        <w:r>
          <w:rPr>
            <w:lang w:val="es-ES_tradnl"/>
          </w:rPr>
          <w:t>la Comisión Bicameral</w:t>
        </w:r>
      </w:smartTag>
      <w:r>
        <w:rPr>
          <w:lang w:val="es-ES_tradnl"/>
        </w:rPr>
        <w:t xml:space="preserve"> E</w:t>
      </w:r>
      <w:r>
        <w:rPr>
          <w:lang w:val="es-ES_tradnl"/>
        </w:rPr>
        <w:t>s</w:t>
      </w:r>
      <w:r>
        <w:rPr>
          <w:lang w:val="es-ES_tradnl"/>
        </w:rPr>
        <w:t xml:space="preserve">pecial de Seguimiento de </w:t>
      </w:r>
      <w:smartTag w:uri="urn:schemas-microsoft-com:office:smarttags" w:element="PersonName">
        <w:smartTagPr>
          <w:attr w:name="ProductID" w:val="la Investigaci￳n"/>
        </w:smartTagPr>
        <w:r>
          <w:rPr>
            <w:lang w:val="es-ES_tradnl"/>
          </w:rPr>
          <w:t>la Investigación</w:t>
        </w:r>
      </w:smartTag>
      <w:r>
        <w:rPr>
          <w:lang w:val="es-ES_tradnl"/>
        </w:rPr>
        <w:t xml:space="preserve"> de los Atentados a </w:t>
      </w:r>
      <w:smartTag w:uri="urn:schemas-microsoft-com:office:smarttags" w:element="PersonName">
        <w:smartTagPr>
          <w:attr w:name="ProductID" w:val="la Embajada"/>
        </w:smartTagPr>
        <w:r>
          <w:rPr>
            <w:lang w:val="es-ES_tradnl"/>
          </w:rPr>
          <w:t>la Embajada</w:t>
        </w:r>
      </w:smartTag>
      <w:r>
        <w:rPr>
          <w:lang w:val="es-ES_tradnl"/>
        </w:rPr>
        <w:t xml:space="preserve"> de I</w:t>
      </w:r>
      <w:r>
        <w:rPr>
          <w:lang w:val="es-ES_tradnl"/>
        </w:rPr>
        <w:t>s</w:t>
      </w:r>
      <w:r>
        <w:rPr>
          <w:lang w:val="es-ES_tradnl"/>
        </w:rPr>
        <w:t xml:space="preserve">rael y al Edificio de </w:t>
      </w:r>
      <w:smartTag w:uri="urn:schemas-microsoft-com:office:smarttags" w:element="PersonName">
        <w:smartTagPr>
          <w:attr w:name="ProductID" w:val="la A.M"/>
        </w:smartTagPr>
        <w:r>
          <w:rPr>
            <w:lang w:val="es-ES_tradnl"/>
          </w:rPr>
          <w:t>la A.M</w:t>
        </w:r>
      </w:smartTag>
      <w:r>
        <w:rPr>
          <w:lang w:val="es-ES_tradnl"/>
        </w:rPr>
        <w:t>.I.A. que tales presentaciones obedecieron a una propuesta que le efectuaron Juan José Ribelli, Jorge Horacio Rago, Mario Norberto Bareiro, Ana</w:t>
      </w:r>
      <w:r>
        <w:rPr>
          <w:lang w:val="es-ES_tradnl"/>
        </w:rPr>
        <w:t>s</w:t>
      </w:r>
      <w:r>
        <w:rPr>
          <w:lang w:val="es-ES_tradnl"/>
        </w:rPr>
        <w:t>tasio Ireneo Leal y una mujer que no ident</w:t>
      </w:r>
      <w:r>
        <w:rPr>
          <w:lang w:val="es-ES_tradnl"/>
        </w:rPr>
        <w:t>i</w:t>
      </w:r>
      <w:r>
        <w:rPr>
          <w:lang w:val="es-ES_tradnl"/>
        </w:rPr>
        <w:t>ficó, a cambio de beneficios en  sus condiciones de detención y que, i</w:t>
      </w:r>
      <w:r>
        <w:rPr>
          <w:lang w:val="es-ES_tradnl"/>
        </w:rPr>
        <w:t>n</w:t>
      </w:r>
      <w:r>
        <w:rPr>
          <w:lang w:val="es-ES_tradnl"/>
        </w:rPr>
        <w:t>clusive, el primero de ellos le ofreció la suma de cien mil d</w:t>
      </w:r>
      <w:r>
        <w:rPr>
          <w:lang w:val="es-ES_tradnl"/>
        </w:rPr>
        <w:t>ó</w:t>
      </w:r>
      <w:r>
        <w:rPr>
          <w:lang w:val="es-ES_tradnl"/>
        </w:rPr>
        <w:t>lares.</w:t>
      </w:r>
    </w:p>
    <w:p w:rsidR="00224567" w:rsidRDefault="00224567">
      <w:pPr>
        <w:widowControl w:val="0"/>
        <w:ind w:firstLine="2835"/>
        <w:rPr>
          <w:lang w:val="es-ES_tradnl"/>
        </w:rPr>
      </w:pPr>
      <w:r>
        <w:rPr>
          <w:lang w:val="es-ES_tradnl"/>
        </w:rPr>
        <w:tab/>
        <w:t>En cuanto a la responsabilidad de Ca</w:t>
      </w:r>
      <w:r>
        <w:rPr>
          <w:lang w:val="es-ES_tradnl"/>
        </w:rPr>
        <w:t>r</w:t>
      </w:r>
      <w:r>
        <w:rPr>
          <w:lang w:val="es-ES_tradnl"/>
        </w:rPr>
        <w:t>los Alberto Telleldín, los fiscales afirmaron que el no</w:t>
      </w:r>
      <w:r>
        <w:rPr>
          <w:lang w:val="es-ES_tradnl"/>
        </w:rPr>
        <w:t>m</w:t>
      </w:r>
      <w:r>
        <w:rPr>
          <w:lang w:val="es-ES_tradnl"/>
        </w:rPr>
        <w:t>brado tenía pleno y cabal conocimiento del destino que h</w:t>
      </w:r>
      <w:r>
        <w:rPr>
          <w:lang w:val="es-ES_tradnl"/>
        </w:rPr>
        <w:t>a</w:t>
      </w:r>
      <w:r>
        <w:rPr>
          <w:lang w:val="es-ES_tradnl"/>
        </w:rPr>
        <w:t>bría de darse a la camioneta que contenía el motor nº 2.831.467, que pasó por sus manos y que post</w:t>
      </w:r>
      <w:r>
        <w:rPr>
          <w:lang w:val="es-ES_tradnl"/>
        </w:rPr>
        <w:t>e</w:t>
      </w:r>
      <w:r>
        <w:rPr>
          <w:lang w:val="es-ES_tradnl"/>
        </w:rPr>
        <w:t>riormente se halló entre las ruinas del edificio, disponiendo del rod</w:t>
      </w:r>
      <w:r>
        <w:rPr>
          <w:lang w:val="es-ES_tradnl"/>
        </w:rPr>
        <w:t>a</w:t>
      </w:r>
      <w:r>
        <w:rPr>
          <w:lang w:val="es-ES_tradnl"/>
        </w:rPr>
        <w:t>do en consonancia con dicho conocimiento y final</w:t>
      </w:r>
      <w:r>
        <w:rPr>
          <w:lang w:val="es-ES_tradnl"/>
        </w:rPr>
        <w:t>i</w:t>
      </w:r>
      <w:r>
        <w:rPr>
          <w:lang w:val="es-ES_tradnl"/>
        </w:rPr>
        <w:t>dad.</w:t>
      </w:r>
    </w:p>
    <w:p w:rsidR="00224567" w:rsidRDefault="00224567">
      <w:pPr>
        <w:pStyle w:val="Textoindependiente"/>
        <w:tabs>
          <w:tab w:val="clear" w:pos="0"/>
          <w:tab w:val="clear" w:pos="2040"/>
          <w:tab w:val="clear" w:pos="4080"/>
          <w:tab w:val="clear" w:pos="6120"/>
          <w:tab w:val="clear" w:pos="8160"/>
          <w:tab w:val="left" w:pos="700"/>
        </w:tabs>
        <w:spacing w:line="600" w:lineRule="auto"/>
        <w:ind w:firstLine="2835"/>
        <w:rPr>
          <w:spacing w:val="0"/>
          <w:szCs w:val="20"/>
        </w:rPr>
      </w:pPr>
      <w:r>
        <w:rPr>
          <w:spacing w:val="0"/>
          <w:szCs w:val="20"/>
        </w:rPr>
        <w:tab/>
        <w:t>Tal extremo encuentra sustento, a ju</w:t>
      </w:r>
      <w:r>
        <w:rPr>
          <w:spacing w:val="0"/>
          <w:szCs w:val="20"/>
        </w:rPr>
        <w:t>i</w:t>
      </w:r>
      <w:r>
        <w:rPr>
          <w:spacing w:val="0"/>
          <w:szCs w:val="20"/>
        </w:rPr>
        <w:lastRenderedPageBreak/>
        <w:t>cio de los fiscales, en las siguientes circunsta</w:t>
      </w:r>
      <w:r>
        <w:rPr>
          <w:spacing w:val="0"/>
          <w:szCs w:val="20"/>
        </w:rPr>
        <w:t>n</w:t>
      </w:r>
      <w:r>
        <w:rPr>
          <w:spacing w:val="0"/>
          <w:szCs w:val="20"/>
        </w:rPr>
        <w:t>cias: a) que T</w:t>
      </w:r>
      <w:r>
        <w:rPr>
          <w:spacing w:val="0"/>
          <w:szCs w:val="20"/>
        </w:rPr>
        <w:t>e</w:t>
      </w:r>
      <w:r>
        <w:rPr>
          <w:spacing w:val="0"/>
          <w:szCs w:val="20"/>
        </w:rPr>
        <w:t>lleldín haya inventado una historia, junto a quienes lo rodeaban, acerca de una supuesta venta del vehículo, en la que el rodado aparecía adquirido por una persona que con los datos aportados resultaba imposible de identif</w:t>
      </w:r>
      <w:r>
        <w:rPr>
          <w:spacing w:val="0"/>
          <w:szCs w:val="20"/>
        </w:rPr>
        <w:t>i</w:t>
      </w:r>
      <w:r>
        <w:rPr>
          <w:spacing w:val="0"/>
          <w:szCs w:val="20"/>
        </w:rPr>
        <w:t>car; b) “la falta de un relato unívoco en cuanto a las circun</w:t>
      </w:r>
      <w:r>
        <w:rPr>
          <w:spacing w:val="0"/>
          <w:szCs w:val="20"/>
        </w:rPr>
        <w:t>s</w:t>
      </w:r>
      <w:r>
        <w:rPr>
          <w:spacing w:val="0"/>
          <w:szCs w:val="20"/>
        </w:rPr>
        <w:t>tancias de tiempo y modo de la extracción del motor de la camioneta quemada y su aún incierto destino con r</w:t>
      </w:r>
      <w:r>
        <w:rPr>
          <w:spacing w:val="0"/>
          <w:szCs w:val="20"/>
        </w:rPr>
        <w:t>e</w:t>
      </w:r>
      <w:r>
        <w:rPr>
          <w:spacing w:val="0"/>
          <w:szCs w:val="20"/>
        </w:rPr>
        <w:t>lación a la carrocería en la que fuera colocado; el hecho de haber publicado un aviso destinado a una venta que no pensaba realizar, a la vez que exhibiera en el frente de su domicilio un vehículo de similares caract</w:t>
      </w:r>
      <w:r>
        <w:rPr>
          <w:spacing w:val="0"/>
          <w:szCs w:val="20"/>
        </w:rPr>
        <w:t>e</w:t>
      </w:r>
      <w:r>
        <w:rPr>
          <w:spacing w:val="0"/>
          <w:szCs w:val="20"/>
        </w:rPr>
        <w:t>rísticas; que haya manifestado junto a su esposa una prematura preocup</w:t>
      </w:r>
      <w:r>
        <w:rPr>
          <w:spacing w:val="0"/>
          <w:szCs w:val="20"/>
        </w:rPr>
        <w:t>a</w:t>
      </w:r>
      <w:r>
        <w:rPr>
          <w:spacing w:val="0"/>
          <w:szCs w:val="20"/>
        </w:rPr>
        <w:t>ción acerca de la posibilidad que el veh</w:t>
      </w:r>
      <w:r>
        <w:rPr>
          <w:spacing w:val="0"/>
          <w:szCs w:val="20"/>
        </w:rPr>
        <w:t>í</w:t>
      </w:r>
      <w:r>
        <w:rPr>
          <w:spacing w:val="0"/>
          <w:szCs w:val="20"/>
        </w:rPr>
        <w:t xml:space="preserve">culo que explotó en </w:t>
      </w:r>
      <w:smartTag w:uri="urn:schemas-microsoft-com:office:smarttags" w:element="PersonName">
        <w:smartTagPr>
          <w:attr w:name="ProductID" w:val="la A.M"/>
        </w:smartTagPr>
        <w:r>
          <w:rPr>
            <w:spacing w:val="0"/>
            <w:szCs w:val="20"/>
          </w:rPr>
          <w:t>la A.M</w:t>
        </w:r>
      </w:smartTag>
      <w:r>
        <w:rPr>
          <w:spacing w:val="0"/>
          <w:szCs w:val="20"/>
        </w:rPr>
        <w:t>.I.A. haya pasado por sus m</w:t>
      </w:r>
      <w:r>
        <w:rPr>
          <w:spacing w:val="0"/>
          <w:szCs w:val="20"/>
        </w:rPr>
        <w:t>a</w:t>
      </w:r>
      <w:r>
        <w:rPr>
          <w:spacing w:val="0"/>
          <w:szCs w:val="20"/>
        </w:rPr>
        <w:t>nos; su intención de mudar el domicilio; su fuga intempestiva hacia el Par</w:t>
      </w:r>
      <w:r>
        <w:rPr>
          <w:spacing w:val="0"/>
          <w:szCs w:val="20"/>
        </w:rPr>
        <w:t>a</w:t>
      </w:r>
      <w:r>
        <w:rPr>
          <w:spacing w:val="0"/>
          <w:szCs w:val="20"/>
        </w:rPr>
        <w:t>guay; el ofrecimiento a Nitzcaner para que modificase la verdad de lo ocurrido a cambio de un rod</w:t>
      </w:r>
      <w:r>
        <w:rPr>
          <w:spacing w:val="0"/>
          <w:szCs w:val="20"/>
        </w:rPr>
        <w:t>a</w:t>
      </w:r>
      <w:r>
        <w:rPr>
          <w:spacing w:val="0"/>
          <w:szCs w:val="20"/>
        </w:rPr>
        <w:t xml:space="preserve">do; los llamados recibidos en su domicilio consultando por la camioneta cuando ésta aún no había sido publicada, según dichos de Jacinto Cruz; el juego de circunstancias que hiciera con </w:t>
      </w:r>
      <w:r>
        <w:rPr>
          <w:spacing w:val="0"/>
          <w:szCs w:val="20"/>
        </w:rPr>
        <w:lastRenderedPageBreak/>
        <w:t>relación a los llam</w:t>
      </w:r>
      <w:r>
        <w:rPr>
          <w:spacing w:val="0"/>
          <w:szCs w:val="20"/>
        </w:rPr>
        <w:t>a</w:t>
      </w:r>
      <w:r>
        <w:rPr>
          <w:spacing w:val="0"/>
          <w:szCs w:val="20"/>
        </w:rPr>
        <w:t>dos recibidos por parte de Schonbrod, habiendo manifestado al respecto que los mismos fueron realizados por el extraño personaje a quien dice haberle vend</w:t>
      </w:r>
      <w:r>
        <w:rPr>
          <w:spacing w:val="0"/>
          <w:szCs w:val="20"/>
        </w:rPr>
        <w:t>i</w:t>
      </w:r>
      <w:r>
        <w:rPr>
          <w:spacing w:val="0"/>
          <w:szCs w:val="20"/>
        </w:rPr>
        <w:t>do dicha camioneta; las cuantiosas contradicciones en las que incurriera a lo largo de sus declaraciones y, fu</w:t>
      </w:r>
      <w:r>
        <w:rPr>
          <w:spacing w:val="0"/>
          <w:szCs w:val="20"/>
        </w:rPr>
        <w:t>n</w:t>
      </w:r>
      <w:r>
        <w:rPr>
          <w:spacing w:val="0"/>
          <w:szCs w:val="20"/>
        </w:rPr>
        <w:t>damentalmente, la corroboración que hiciera de la invest</w:t>
      </w:r>
      <w:r>
        <w:rPr>
          <w:spacing w:val="0"/>
          <w:szCs w:val="20"/>
        </w:rPr>
        <w:t>i</w:t>
      </w:r>
      <w:r>
        <w:rPr>
          <w:spacing w:val="0"/>
          <w:szCs w:val="20"/>
        </w:rPr>
        <w:t>gación desplegada por el tribunal en la recordada causa “Brigadas” donde se determina la extraña relación que ma</w:t>
      </w:r>
      <w:r>
        <w:rPr>
          <w:spacing w:val="0"/>
          <w:szCs w:val="20"/>
        </w:rPr>
        <w:t>n</w:t>
      </w:r>
      <w:r>
        <w:rPr>
          <w:spacing w:val="0"/>
          <w:szCs w:val="20"/>
        </w:rPr>
        <w:t>tenía con sus socios policiales, refiriendo también, que la camioneta armada le fue entregada a ellos previa int</w:t>
      </w:r>
      <w:r>
        <w:rPr>
          <w:spacing w:val="0"/>
          <w:szCs w:val="20"/>
        </w:rPr>
        <w:t>i</w:t>
      </w:r>
      <w:r>
        <w:rPr>
          <w:spacing w:val="0"/>
          <w:szCs w:val="20"/>
        </w:rPr>
        <w:t>midación, luego de dos años de silencio al respecto” (sic).</w:t>
      </w:r>
    </w:p>
    <w:p w:rsidR="00224567" w:rsidRDefault="00224567">
      <w:pPr>
        <w:widowControl w:val="0"/>
        <w:ind w:firstLine="2835"/>
        <w:rPr>
          <w:lang w:val="es-ES_tradnl"/>
        </w:rPr>
      </w:pPr>
      <w:r>
        <w:rPr>
          <w:lang w:val="es-ES_tradnl"/>
        </w:rPr>
        <w:tab/>
        <w:t>En ese sentido, los representa</w:t>
      </w:r>
      <w:r>
        <w:rPr>
          <w:lang w:val="es-ES_tradnl"/>
        </w:rPr>
        <w:t>n</w:t>
      </w:r>
      <w:r>
        <w:rPr>
          <w:lang w:val="es-ES_tradnl"/>
        </w:rPr>
        <w:t>tes del Ministerio Público Fiscal entendieron que la responsabil</w:t>
      </w:r>
      <w:r>
        <w:rPr>
          <w:lang w:val="es-ES_tradnl"/>
        </w:rPr>
        <w:t>i</w:t>
      </w:r>
      <w:r>
        <w:rPr>
          <w:lang w:val="es-ES_tradnl"/>
        </w:rPr>
        <w:t>dad que se le enrostra a Telleldín no se excluye por la circunstancia de que el 10 de j</w:t>
      </w:r>
      <w:r>
        <w:rPr>
          <w:lang w:val="es-ES_tradnl"/>
        </w:rPr>
        <w:t>u</w:t>
      </w:r>
      <w:r>
        <w:rPr>
          <w:lang w:val="es-ES_tradnl"/>
        </w:rPr>
        <w:t xml:space="preserve">lio de 1994 haya resultado víctima del delito de extorsión, por cuanto consideraron que su actividad ilícita contaba con la protección del personal de </w:t>
      </w:r>
      <w:smartTag w:uri="urn:schemas-microsoft-com:office:smarttags" w:element="PersonName">
        <w:smartTagPr>
          <w:attr w:name="ProductID" w:val="la Polic￭a Bonaerense"/>
        </w:smartTagPr>
        <w:r>
          <w:rPr>
            <w:lang w:val="es-ES_tradnl"/>
          </w:rPr>
          <w:t>la Policía Bonaerense</w:t>
        </w:r>
      </w:smartTag>
      <w:r>
        <w:rPr>
          <w:lang w:val="es-ES_tradnl"/>
        </w:rPr>
        <w:t>, en cuya jurisdicción llevaba adelante su quehacer delictivo. De tal modo, arg</w:t>
      </w:r>
      <w:r>
        <w:rPr>
          <w:lang w:val="es-ES_tradnl"/>
        </w:rPr>
        <w:t>u</w:t>
      </w:r>
      <w:r>
        <w:rPr>
          <w:lang w:val="es-ES_tradnl"/>
        </w:rPr>
        <w:lastRenderedPageBreak/>
        <w:t>mentaron, se constituyó entre ellos una sociedad en la que el auxilio de los policías, a cambio de un aporte en bi</w:t>
      </w:r>
      <w:r>
        <w:rPr>
          <w:lang w:val="es-ES_tradnl"/>
        </w:rPr>
        <w:t>e</w:t>
      </w:r>
      <w:r>
        <w:rPr>
          <w:lang w:val="es-ES_tradnl"/>
        </w:rPr>
        <w:t>nes o dinero, resultaba esencial para que Telleldín oper</w:t>
      </w:r>
      <w:r>
        <w:rPr>
          <w:lang w:val="es-ES_tradnl"/>
        </w:rPr>
        <w:t>a</w:t>
      </w:r>
      <w:r>
        <w:rPr>
          <w:lang w:val="es-ES_tradnl"/>
        </w:rPr>
        <w:t>ra con cierta tra</w:t>
      </w:r>
      <w:r>
        <w:rPr>
          <w:lang w:val="es-ES_tradnl"/>
        </w:rPr>
        <w:t>n</w:t>
      </w:r>
      <w:r>
        <w:rPr>
          <w:lang w:val="es-ES_tradnl"/>
        </w:rPr>
        <w:t>quilidad.</w:t>
      </w:r>
    </w:p>
    <w:p w:rsidR="00224567" w:rsidRDefault="00224567">
      <w:pPr>
        <w:pStyle w:val="Textoindependiente"/>
        <w:tabs>
          <w:tab w:val="left" w:pos="700"/>
          <w:tab w:val="left" w:pos="2900"/>
        </w:tabs>
        <w:spacing w:line="600" w:lineRule="auto"/>
        <w:ind w:firstLine="2835"/>
      </w:pPr>
      <w:r>
        <w:t>Asimismo, consideraron acreditado que Telleldín era reticente a abonar los compromisos mon</w:t>
      </w:r>
      <w:r>
        <w:t>e</w:t>
      </w:r>
      <w:r>
        <w:t>tarios así contraídos y que sus socios, a fin de cobrar lo que aquél les adeudaba, recurrían a maniobras extorsivas, pr</w:t>
      </w:r>
      <w:r>
        <w:t>o</w:t>
      </w:r>
      <w:r>
        <w:t>vocando  desavenencias que no alcanzaron a quebrar la s</w:t>
      </w:r>
      <w:r>
        <w:t>o</w:t>
      </w:r>
      <w:r>
        <w:t>ciedad que se estructuró sobre la base de una convenie</w:t>
      </w:r>
      <w:r>
        <w:t>n</w:t>
      </w:r>
      <w:r>
        <w:t>cia mutua.</w:t>
      </w:r>
    </w:p>
    <w:p w:rsidR="00224567" w:rsidRDefault="00224567">
      <w:pPr>
        <w:widowControl w:val="0"/>
        <w:ind w:firstLine="2835"/>
        <w:rPr>
          <w:lang w:val="es-ES_tradnl"/>
        </w:rPr>
      </w:pPr>
      <w:r>
        <w:rPr>
          <w:b/>
          <w:bCs/>
          <w:lang w:val="es-ES_tradnl"/>
        </w:rPr>
        <w:tab/>
      </w:r>
      <w:r>
        <w:rPr>
          <w:lang w:val="es-ES_tradnl"/>
        </w:rPr>
        <w:t>La fiscalía también tuvo por probada la particip</w:t>
      </w:r>
      <w:r>
        <w:rPr>
          <w:lang w:val="es-ES_tradnl"/>
        </w:rPr>
        <w:t>a</w:t>
      </w:r>
      <w:r>
        <w:rPr>
          <w:lang w:val="es-ES_tradnl"/>
        </w:rPr>
        <w:t xml:space="preserve">ción necesaria de Carlos Alberto Telleldín en la adulteración de su Documento Nacional de Identidad nº 14.532.215, que le fuera secuestrado por </w:t>
      </w:r>
      <w:smartTag w:uri="urn:schemas-microsoft-com:office:smarttags" w:element="PersonName">
        <w:smartTagPr>
          <w:attr w:name="ProductID" w:val="la Polic￭a Aeron￡utica"/>
        </w:smartTagPr>
        <w:r>
          <w:rPr>
            <w:lang w:val="es-ES_tradnl"/>
          </w:rPr>
          <w:t>la Policía Aer</w:t>
        </w:r>
        <w:r>
          <w:rPr>
            <w:lang w:val="es-ES_tradnl"/>
          </w:rPr>
          <w:t>o</w:t>
        </w:r>
        <w:r>
          <w:rPr>
            <w:lang w:val="es-ES_tradnl"/>
          </w:rPr>
          <w:t>náutica</w:t>
        </w:r>
      </w:smartTag>
      <w:r>
        <w:rPr>
          <w:lang w:val="es-ES_tradnl"/>
        </w:rPr>
        <w:t xml:space="preserve"> Nacional en ocasión de ser detenido en el Aeropa</w:t>
      </w:r>
      <w:r>
        <w:rPr>
          <w:lang w:val="es-ES_tradnl"/>
        </w:rPr>
        <w:t>r</w:t>
      </w:r>
      <w:r>
        <w:rPr>
          <w:lang w:val="es-ES_tradnl"/>
        </w:rPr>
        <w:t>que “Jorge Newbery” de esta ci</w:t>
      </w:r>
      <w:r>
        <w:rPr>
          <w:lang w:val="es-ES_tradnl"/>
        </w:rPr>
        <w:t>u</w:t>
      </w:r>
      <w:r>
        <w:rPr>
          <w:lang w:val="es-ES_tradnl"/>
        </w:rPr>
        <w:t>dad.</w:t>
      </w:r>
    </w:p>
    <w:p w:rsidR="00224567" w:rsidRDefault="00224567">
      <w:pPr>
        <w:widowControl w:val="0"/>
        <w:ind w:firstLine="2835"/>
        <w:rPr>
          <w:lang w:val="es-ES_tradnl"/>
        </w:rPr>
      </w:pPr>
      <w:r>
        <w:rPr>
          <w:lang w:val="es-ES_tradnl"/>
        </w:rPr>
        <w:tab/>
        <w:t>Por último, los Sres. fiscales cons</w:t>
      </w:r>
      <w:r>
        <w:rPr>
          <w:lang w:val="es-ES_tradnl"/>
        </w:rPr>
        <w:t>i</w:t>
      </w:r>
      <w:r>
        <w:rPr>
          <w:lang w:val="es-ES_tradnl"/>
        </w:rPr>
        <w:t>deraron que Hugo Antonio Pérez, Ariel R</w:t>
      </w:r>
      <w:r>
        <w:rPr>
          <w:lang w:val="es-ES_tradnl"/>
        </w:rPr>
        <w:t>o</w:t>
      </w:r>
      <w:r>
        <w:rPr>
          <w:lang w:val="es-ES_tradnl"/>
        </w:rPr>
        <w:t>dolfo Nitzcaner y Miguel Gustavo Jaimes debían responder como coautores m</w:t>
      </w:r>
      <w:r>
        <w:rPr>
          <w:lang w:val="es-ES_tradnl"/>
        </w:rPr>
        <w:t>a</w:t>
      </w:r>
      <w:r>
        <w:rPr>
          <w:lang w:val="es-ES_tradnl"/>
        </w:rPr>
        <w:t>teriales del delito de encubrimiento, por cuanto consid</w:t>
      </w:r>
      <w:r>
        <w:rPr>
          <w:lang w:val="es-ES_tradnl"/>
        </w:rPr>
        <w:t>e</w:t>
      </w:r>
      <w:r>
        <w:rPr>
          <w:lang w:val="es-ES_tradnl"/>
        </w:rPr>
        <w:lastRenderedPageBreak/>
        <w:t>raron suficientemente acreditadas sus i</w:t>
      </w:r>
      <w:r>
        <w:rPr>
          <w:lang w:val="es-ES_tradnl"/>
        </w:rPr>
        <w:t>n</w:t>
      </w:r>
      <w:r>
        <w:rPr>
          <w:lang w:val="es-ES_tradnl"/>
        </w:rPr>
        <w:t>tervenciones en el ocultamiento, mediante la simulación de su origen, de la camioneta que el 1º de julio de 1994 le fue sustraída a Pedro Sarapura, cuyo número identificatorio de la carroc</w:t>
      </w:r>
      <w:r>
        <w:rPr>
          <w:lang w:val="es-ES_tradnl"/>
        </w:rPr>
        <w:t>e</w:t>
      </w:r>
      <w:r>
        <w:rPr>
          <w:lang w:val="es-ES_tradnl"/>
        </w:rPr>
        <w:t>ría se regrabó tras el r</w:t>
      </w:r>
      <w:r>
        <w:rPr>
          <w:lang w:val="es-ES_tradnl"/>
        </w:rPr>
        <w:t>e</w:t>
      </w:r>
      <w:r>
        <w:rPr>
          <w:lang w:val="es-ES_tradnl"/>
        </w:rPr>
        <w:t xml:space="preserve">emplazo de su motor por otro. </w:t>
      </w:r>
    </w:p>
    <w:p w:rsidR="00224567" w:rsidRDefault="00224567">
      <w:pPr>
        <w:widowControl w:val="0"/>
        <w:ind w:firstLine="2835"/>
        <w:rPr>
          <w:lang w:val="es-ES_tradnl"/>
        </w:rPr>
      </w:pPr>
      <w:r>
        <w:rPr>
          <w:lang w:val="es-ES_tradnl"/>
        </w:rPr>
        <w:tab/>
      </w:r>
      <w:r>
        <w:rPr>
          <w:b/>
          <w:bCs/>
          <w:lang w:val="es-ES_tradnl"/>
        </w:rPr>
        <w:t>A.2)</w:t>
      </w:r>
      <w:r>
        <w:rPr>
          <w:lang w:val="es-ES_tradnl"/>
        </w:rPr>
        <w:t xml:space="preserve"> Que las querellas ejercidas en representación de </w:t>
      </w:r>
      <w:smartTag w:uri="urn:schemas-microsoft-com:office:smarttags" w:element="PersonName">
        <w:smartTagPr>
          <w:attr w:name="ProductID" w:val="la Delegaci￳n"/>
        </w:smartTagPr>
        <w:r>
          <w:rPr>
            <w:lang w:val="es-ES_tradnl"/>
          </w:rPr>
          <w:t>la Delegación</w:t>
        </w:r>
      </w:smartTag>
      <w:r>
        <w:rPr>
          <w:lang w:val="es-ES_tradnl"/>
        </w:rPr>
        <w:t xml:space="preserve"> de Asociaciones I</w:t>
      </w:r>
      <w:r>
        <w:rPr>
          <w:lang w:val="es-ES_tradnl"/>
        </w:rPr>
        <w:t>s</w:t>
      </w:r>
      <w:r>
        <w:rPr>
          <w:lang w:val="es-ES_tradnl"/>
        </w:rPr>
        <w:t>raelitas Argentinas y de Elisa Laura Einstoss de Go</w:t>
      </w:r>
      <w:r>
        <w:rPr>
          <w:lang w:val="es-ES_tradnl"/>
        </w:rPr>
        <w:t>l</w:t>
      </w:r>
      <w:r>
        <w:rPr>
          <w:lang w:val="es-ES_tradnl"/>
        </w:rPr>
        <w:t>demberg y Luis Bernardo Goldemberg, a fs. 63.029/63.204, de un grupo de familiares de alg</w:t>
      </w:r>
      <w:r>
        <w:rPr>
          <w:lang w:val="es-ES_tradnl"/>
        </w:rPr>
        <w:t>u</w:t>
      </w:r>
      <w:r>
        <w:rPr>
          <w:lang w:val="es-ES_tradnl"/>
        </w:rPr>
        <w:t xml:space="preserve">nas de las víctimas del atentado, a fs. 63.206/63.295, y de </w:t>
      </w:r>
      <w:smartTag w:uri="urn:schemas-microsoft-com:office:smarttags" w:element="PersonName">
        <w:smartTagPr>
          <w:attr w:name="ProductID" w:val="la Asociaci￳n Mutual"/>
        </w:smartTagPr>
        <w:r>
          <w:rPr>
            <w:lang w:val="es-ES_tradnl"/>
          </w:rPr>
          <w:t>la Asociación Mutual</w:t>
        </w:r>
      </w:smartTag>
      <w:r>
        <w:rPr>
          <w:lang w:val="es-ES_tradnl"/>
        </w:rPr>
        <w:t xml:space="preserve"> Israelita Arge</w:t>
      </w:r>
      <w:r>
        <w:rPr>
          <w:lang w:val="es-ES_tradnl"/>
        </w:rPr>
        <w:t>n</w:t>
      </w:r>
      <w:r>
        <w:rPr>
          <w:lang w:val="es-ES_tradnl"/>
        </w:rPr>
        <w:t>tina, a fs. 63.297/63.392, requirieron la elevación a ju</w:t>
      </w:r>
      <w:r>
        <w:rPr>
          <w:lang w:val="es-ES_tradnl"/>
        </w:rPr>
        <w:t>i</w:t>
      </w:r>
      <w:r>
        <w:rPr>
          <w:lang w:val="es-ES_tradnl"/>
        </w:rPr>
        <w:t>cio de estas actuaciones, respecto de Carlos Alberto T</w:t>
      </w:r>
      <w:r>
        <w:rPr>
          <w:lang w:val="es-ES_tradnl"/>
        </w:rPr>
        <w:t>e</w:t>
      </w:r>
      <w:r>
        <w:rPr>
          <w:lang w:val="es-ES_tradnl"/>
        </w:rPr>
        <w:t>lleldín, Juan José Ribelli, Raúl Edilio Ibarra, Anastasio Ireneo Leal y Mario Norberto Bareiro, por considerarlos part</w:t>
      </w:r>
      <w:r>
        <w:rPr>
          <w:lang w:val="es-ES_tradnl"/>
        </w:rPr>
        <w:t>í</w:t>
      </w:r>
      <w:r>
        <w:rPr>
          <w:lang w:val="es-ES_tradnl"/>
        </w:rPr>
        <w:t>cipes necesarios en orden a los delitos de homicidio calificado, lesiones –leves, graves y gravísimas- y d</w:t>
      </w:r>
      <w:r>
        <w:rPr>
          <w:lang w:val="es-ES_tradnl"/>
        </w:rPr>
        <w:t>a</w:t>
      </w:r>
      <w:r>
        <w:rPr>
          <w:lang w:val="es-ES_tradnl"/>
        </w:rPr>
        <w:t>ño, cometidos todos ellos en forma reiterada (86 mue</w:t>
      </w:r>
      <w:r>
        <w:rPr>
          <w:lang w:val="es-ES_tradnl"/>
        </w:rPr>
        <w:t>r</w:t>
      </w:r>
      <w:r>
        <w:rPr>
          <w:lang w:val="es-ES_tradnl"/>
        </w:rPr>
        <w:t>tos, 120 lesionados y daños, tal como surge del perit</w:t>
      </w:r>
      <w:r>
        <w:rPr>
          <w:lang w:val="es-ES_tradnl"/>
        </w:rPr>
        <w:t>a</w:t>
      </w:r>
      <w:r>
        <w:rPr>
          <w:lang w:val="es-ES_tradnl"/>
        </w:rPr>
        <w:t xml:space="preserve">je realizado por </w:t>
      </w:r>
      <w:smartTag w:uri="urn:schemas-microsoft-com:office:smarttags" w:element="PersonName">
        <w:smartTagPr>
          <w:attr w:name="ProductID" w:val="la Divisi￳n Inmuebles"/>
        </w:smartTagPr>
        <w:r>
          <w:rPr>
            <w:lang w:val="es-ES_tradnl"/>
          </w:rPr>
          <w:t>la División Inmuebles</w:t>
        </w:r>
      </w:smartTag>
      <w:r>
        <w:rPr>
          <w:lang w:val="es-ES_tradnl"/>
        </w:rPr>
        <w:t xml:space="preserve"> de </w:t>
      </w:r>
      <w:smartTag w:uri="urn:schemas-microsoft-com:office:smarttags" w:element="PersonName">
        <w:smartTagPr>
          <w:attr w:name="ProductID" w:val="la Polic￭a Federal"/>
        </w:smartTagPr>
        <w:r>
          <w:rPr>
            <w:lang w:val="es-ES_tradnl"/>
          </w:rPr>
          <w:t>la Policía Federal</w:t>
        </w:r>
      </w:smartTag>
      <w:r>
        <w:rPr>
          <w:lang w:val="es-ES_tradnl"/>
        </w:rPr>
        <w:t>), agrav</w:t>
      </w:r>
      <w:r>
        <w:rPr>
          <w:lang w:val="es-ES_tradnl"/>
        </w:rPr>
        <w:t>a</w:t>
      </w:r>
      <w:r>
        <w:rPr>
          <w:lang w:val="es-ES_tradnl"/>
        </w:rPr>
        <w:lastRenderedPageBreak/>
        <w:t>dos todos ellos en función de lo dispuesto por la ley 23.592 (arts. 45, 55, 80, inc. 4º, 89, 90, 91 y 183 del Código Penal), por haber realizado un aporte esencial en la perpetración del atentado c</w:t>
      </w:r>
      <w:r>
        <w:rPr>
          <w:lang w:val="es-ES_tradnl"/>
        </w:rPr>
        <w:t>o</w:t>
      </w:r>
      <w:r>
        <w:rPr>
          <w:lang w:val="es-ES_tradnl"/>
        </w:rPr>
        <w:t xml:space="preserve">metido contra las sedes de </w:t>
      </w:r>
      <w:smartTag w:uri="urn:schemas-microsoft-com:office:smarttags" w:element="PersonName">
        <w:smartTagPr>
          <w:attr w:name="ProductID" w:val="la A.M"/>
        </w:smartTagPr>
        <w:r>
          <w:rPr>
            <w:lang w:val="es-ES_tradnl"/>
          </w:rPr>
          <w:t>la A.M</w:t>
        </w:r>
      </w:smartTag>
      <w:r>
        <w:rPr>
          <w:lang w:val="es-ES_tradnl"/>
        </w:rPr>
        <w:t xml:space="preserve">.I.A. y </w:t>
      </w:r>
      <w:smartTag w:uri="urn:schemas-microsoft-com:office:smarttags" w:element="PersonName">
        <w:smartTagPr>
          <w:attr w:name="ProductID" w:val="la D.A"/>
        </w:smartTagPr>
        <w:r>
          <w:rPr>
            <w:lang w:val="es-ES_tradnl"/>
          </w:rPr>
          <w:t>la D.A</w:t>
        </w:r>
      </w:smartTag>
      <w:r>
        <w:rPr>
          <w:lang w:val="es-ES_tradnl"/>
        </w:rPr>
        <w:t>.I.A.</w:t>
      </w:r>
    </w:p>
    <w:p w:rsidR="00224567" w:rsidRDefault="00224567">
      <w:pPr>
        <w:widowControl w:val="0"/>
        <w:ind w:firstLine="2835"/>
        <w:rPr>
          <w:lang w:val="es-ES_tradnl"/>
        </w:rPr>
      </w:pPr>
      <w:r>
        <w:rPr>
          <w:lang w:val="es-ES_tradnl"/>
        </w:rPr>
        <w:tab/>
        <w:t>Por lo demás, estuvi</w:t>
      </w:r>
      <w:r>
        <w:rPr>
          <w:lang w:val="es-ES_tradnl"/>
        </w:rPr>
        <w:t>e</w:t>
      </w:r>
      <w:r>
        <w:rPr>
          <w:lang w:val="es-ES_tradnl"/>
        </w:rPr>
        <w:t>ron en un todo de acuerdo con lo expuesto por los Sres. fiscales ante la instrucción, cuya reseña se efe</w:t>
      </w:r>
      <w:r>
        <w:rPr>
          <w:lang w:val="es-ES_tradnl"/>
        </w:rPr>
        <w:t>c</w:t>
      </w:r>
      <w:r>
        <w:rPr>
          <w:lang w:val="es-ES_tradnl"/>
        </w:rPr>
        <w:t xml:space="preserve">tuó </w:t>
      </w:r>
      <w:r>
        <w:rPr>
          <w:u w:val="single"/>
          <w:lang w:val="es-ES_tradnl"/>
        </w:rPr>
        <w:t>ut supra,</w:t>
      </w:r>
      <w:r>
        <w:rPr>
          <w:lang w:val="es-ES_tradnl"/>
        </w:rPr>
        <w:t xml:space="preserve"> en cuanto a la forma en que se llevó a cabo el atentado y a la part</w:t>
      </w:r>
      <w:r>
        <w:rPr>
          <w:lang w:val="es-ES_tradnl"/>
        </w:rPr>
        <w:t>i</w:t>
      </w:r>
      <w:r>
        <w:rPr>
          <w:lang w:val="es-ES_tradnl"/>
        </w:rPr>
        <w:t>cipación que por el aporte de una camioneta Renault Tr</w:t>
      </w:r>
      <w:r>
        <w:rPr>
          <w:lang w:val="es-ES_tradnl"/>
        </w:rPr>
        <w:t>a</w:t>
      </w:r>
      <w:r>
        <w:rPr>
          <w:lang w:val="es-ES_tradnl"/>
        </w:rPr>
        <w:t>fic, con la expresada finalidad, le c</w:t>
      </w:r>
      <w:r>
        <w:rPr>
          <w:lang w:val="es-ES_tradnl"/>
        </w:rPr>
        <w:t>u</w:t>
      </w:r>
      <w:r>
        <w:rPr>
          <w:lang w:val="es-ES_tradnl"/>
        </w:rPr>
        <w:t>po a los imputados.</w:t>
      </w:r>
    </w:p>
    <w:p w:rsidR="00224567" w:rsidRDefault="00224567">
      <w:pPr>
        <w:widowControl w:val="0"/>
        <w:ind w:firstLine="2835"/>
        <w:rPr>
          <w:lang w:val="es-ES_tradnl"/>
        </w:rPr>
      </w:pPr>
      <w:r>
        <w:rPr>
          <w:b/>
          <w:bCs/>
          <w:lang w:val="es-ES_tradnl"/>
        </w:rPr>
        <w:t>A.3)</w:t>
      </w:r>
      <w:r>
        <w:rPr>
          <w:lang w:val="es-ES_tradnl"/>
        </w:rPr>
        <w:t xml:space="preserve"> Que a fs. 64.291/64.309 la quer</w:t>
      </w:r>
      <w:r>
        <w:rPr>
          <w:lang w:val="es-ES_tradnl"/>
        </w:rPr>
        <w:t>e</w:t>
      </w:r>
      <w:r>
        <w:rPr>
          <w:lang w:val="es-ES_tradnl"/>
        </w:rPr>
        <w:t>lla representada por entonces por el Dr. Alberto Luis Zu</w:t>
      </w:r>
      <w:r>
        <w:rPr>
          <w:lang w:val="es-ES_tradnl"/>
        </w:rPr>
        <w:t>p</w:t>
      </w:r>
      <w:r>
        <w:rPr>
          <w:lang w:val="es-ES_tradnl"/>
        </w:rPr>
        <w:t>pi sol</w:t>
      </w:r>
      <w:r>
        <w:rPr>
          <w:lang w:val="es-ES_tradnl"/>
        </w:rPr>
        <w:t>i</w:t>
      </w:r>
      <w:r>
        <w:rPr>
          <w:lang w:val="es-ES_tradnl"/>
        </w:rPr>
        <w:t>citó, si bien en disconformidad, la elevación de la causa a juicio, imputando a Carlos Alberto Telleldín, M</w:t>
      </w:r>
      <w:r>
        <w:rPr>
          <w:lang w:val="es-ES_tradnl"/>
        </w:rPr>
        <w:t>a</w:t>
      </w:r>
      <w:r>
        <w:rPr>
          <w:lang w:val="es-ES_tradnl"/>
        </w:rPr>
        <w:t>rio Norberto Bareiro, Juan José Ribelli, Raúl Edilio Ib</w:t>
      </w:r>
      <w:r>
        <w:rPr>
          <w:lang w:val="es-ES_tradnl"/>
        </w:rPr>
        <w:t>a</w:t>
      </w:r>
      <w:r>
        <w:rPr>
          <w:lang w:val="es-ES_tradnl"/>
        </w:rPr>
        <w:t>rra y Anastasio Ir</w:t>
      </w:r>
      <w:r>
        <w:rPr>
          <w:lang w:val="es-ES_tradnl"/>
        </w:rPr>
        <w:t>e</w:t>
      </w:r>
      <w:r>
        <w:rPr>
          <w:lang w:val="es-ES_tradnl"/>
        </w:rPr>
        <w:t>neo Leal la comisión de los delitos de homicidio calificado, reiterados, lesiones y daños, los cuales concurren entre sí en forma r</w:t>
      </w:r>
      <w:r>
        <w:rPr>
          <w:lang w:val="es-ES_tradnl"/>
        </w:rPr>
        <w:t>e</w:t>
      </w:r>
      <w:r>
        <w:rPr>
          <w:lang w:val="es-ES_tradnl"/>
        </w:rPr>
        <w:t>al, agravados por lo dispuesto en la ley 23.592, en calidad de partícipes nec</w:t>
      </w:r>
      <w:r>
        <w:rPr>
          <w:lang w:val="es-ES_tradnl"/>
        </w:rPr>
        <w:t>e</w:t>
      </w:r>
      <w:r>
        <w:rPr>
          <w:lang w:val="es-ES_tradnl"/>
        </w:rPr>
        <w:t>sarios, puesto que, a su ente</w:t>
      </w:r>
      <w:r>
        <w:rPr>
          <w:lang w:val="es-ES_tradnl"/>
        </w:rPr>
        <w:t>n</w:t>
      </w:r>
      <w:r>
        <w:rPr>
          <w:lang w:val="es-ES_tradnl"/>
        </w:rPr>
        <w:t xml:space="preserve">der, los nombrados prestaron </w:t>
      </w:r>
      <w:r>
        <w:rPr>
          <w:lang w:val="es-ES_tradnl"/>
        </w:rPr>
        <w:lastRenderedPageBreak/>
        <w:t>a los autores del atentado una cooperación impre</w:t>
      </w:r>
      <w:r>
        <w:rPr>
          <w:lang w:val="es-ES_tradnl"/>
        </w:rPr>
        <w:t>s</w:t>
      </w:r>
      <w:r>
        <w:rPr>
          <w:lang w:val="es-ES_tradnl"/>
        </w:rPr>
        <w:t>cindible para llevar a cabo tal cometido (arts. 45, 80, incs. 4º y 5º, 92 y 184 del C</w:t>
      </w:r>
      <w:r>
        <w:rPr>
          <w:lang w:val="es-ES_tradnl"/>
        </w:rPr>
        <w:t>ó</w:t>
      </w:r>
      <w:r>
        <w:rPr>
          <w:lang w:val="es-ES_tradnl"/>
        </w:rPr>
        <w:t>digo Penal).</w:t>
      </w:r>
    </w:p>
    <w:p w:rsidR="00224567" w:rsidRDefault="00224567">
      <w:pPr>
        <w:pStyle w:val="Sangra2detindependiente"/>
        <w:widowControl w:val="0"/>
        <w:tabs>
          <w:tab w:val="left" w:pos="700"/>
        </w:tabs>
        <w:spacing w:line="600" w:lineRule="auto"/>
        <w:ind w:firstLine="2835"/>
      </w:pPr>
      <w:r>
        <w:t>En dicha presentación, en la que ta</w:t>
      </w:r>
      <w:r>
        <w:t>m</w:t>
      </w:r>
      <w:r>
        <w:t>bién realizó –de manera genérica- una serie de cuestion</w:t>
      </w:r>
      <w:r>
        <w:t>a</w:t>
      </w:r>
      <w:r>
        <w:t>mientos vinculados a la labor del magistrado instructor, consideró probado que Carlos Alberto Telleldín armó un vehículo, al que le colocó el motor y otras piezas de uno similar, siniestrado, adquirido a la firma “Messin”; rod</w:t>
      </w:r>
      <w:r>
        <w:t>a</w:t>
      </w:r>
      <w:r>
        <w:t>do del que luego fue desapoderado por una comisión pol</w:t>
      </w:r>
      <w:r>
        <w:t>i</w:t>
      </w:r>
      <w:r>
        <w:t>cial, entre los que se contaban los imp</w:t>
      </w:r>
      <w:r>
        <w:t>u</w:t>
      </w:r>
      <w:r>
        <w:t>tados, los cuales -con el concurso de aquél o sin el- lo hicieron llegar hasta quienes procedieron a detonarlo, en la m</w:t>
      </w:r>
      <w:r>
        <w:t>a</w:t>
      </w:r>
      <w:r>
        <w:t>ñana del 18 de julio de 1994, frente a la puerta del edificio de Pa</w:t>
      </w:r>
      <w:r>
        <w:t>s</w:t>
      </w:r>
      <w:r>
        <w:t>teur 633.</w:t>
      </w:r>
    </w:p>
    <w:p w:rsidR="00224567" w:rsidRDefault="00224567">
      <w:pPr>
        <w:widowControl w:val="0"/>
        <w:ind w:firstLine="2835"/>
      </w:pPr>
      <w:r>
        <w:rPr>
          <w:b/>
          <w:bCs/>
        </w:rPr>
        <w:t>A.4)</w:t>
      </w:r>
      <w:r>
        <w:t xml:space="preserve"> Que a fs. 76.549/76.681, tras efectuar numerosas consideraciones acerca de distintos a</w:t>
      </w:r>
      <w:r>
        <w:t>s</w:t>
      </w:r>
      <w:r>
        <w:t>pectos vinculados con la investigación, el juez de la et</w:t>
      </w:r>
      <w:r>
        <w:t>a</w:t>
      </w:r>
      <w:r>
        <w:t>pa anterior declaró clausurada la instrucción y dispuso elevar la causa a juicio respecto de Carlos Alberto T</w:t>
      </w:r>
      <w:r>
        <w:t>e</w:t>
      </w:r>
      <w:r>
        <w:lastRenderedPageBreak/>
        <w:t>lleldín, Ariel Rodolfo Nitzcaner, Hugo Antonio Pérez, M</w:t>
      </w:r>
      <w:r>
        <w:t>i</w:t>
      </w:r>
      <w:r>
        <w:t>guel Gustavo Jaimes, Juan José Ribelli, Raúl Edilio Ib</w:t>
      </w:r>
      <w:r>
        <w:t>a</w:t>
      </w:r>
      <w:r>
        <w:t>rra, Anastasio Ireneo Leal, Mario Norberto Bareiro, Al</w:t>
      </w:r>
      <w:r>
        <w:t>e</w:t>
      </w:r>
      <w:r>
        <w:t>jandro Burguete, Bautista Alberto Huici, Jorge Horacio R</w:t>
      </w:r>
      <w:r>
        <w:t>a</w:t>
      </w:r>
      <w:r>
        <w:t>go, José Miguel Arancibia, Marcelo Gustavo Albarracín, O</w:t>
      </w:r>
      <w:r>
        <w:t>s</w:t>
      </w:r>
      <w:r>
        <w:t>car Eusebio Bacigalupo, Claudio Walter Araya, Daniel Em</w:t>
      </w:r>
      <w:r>
        <w:t>i</w:t>
      </w:r>
      <w:r>
        <w:t>lio Quinteros, Víctor Carlos Cruz, Argentino Gabriel L</w:t>
      </w:r>
      <w:r>
        <w:t>a</w:t>
      </w:r>
      <w:r>
        <w:t>sala, Diego Enrique B</w:t>
      </w:r>
      <w:r>
        <w:t>a</w:t>
      </w:r>
      <w:r>
        <w:t>rreda y Juan Alberto Bottegal.</w:t>
      </w:r>
    </w:p>
    <w:p w:rsidR="00224567" w:rsidRDefault="00224567">
      <w:pPr>
        <w:widowControl w:val="0"/>
        <w:ind w:firstLine="2835"/>
      </w:pPr>
      <w:r>
        <w:t>En dicho decisorio</w:t>
      </w:r>
      <w:r>
        <w:rPr>
          <w:lang w:val="es-ES_tradnl"/>
        </w:rPr>
        <w:t xml:space="preserve"> </w:t>
      </w:r>
      <w:r>
        <w:t>consideró acredit</w:t>
      </w:r>
      <w:r>
        <w:t>a</w:t>
      </w:r>
      <w:r>
        <w:t>dos los hechos materia de imputación en el requerimiento de elevación a juicio, como así también la intervención que en ellos le cupo a cada uno de los nombrados, discr</w:t>
      </w:r>
      <w:r>
        <w:t>e</w:t>
      </w:r>
      <w:r>
        <w:t>pando, en algunos casos, con la signif</w:t>
      </w:r>
      <w:r>
        <w:t>i</w:t>
      </w:r>
      <w:r>
        <w:t>cación jurídica que la fiscalía les asi</w:t>
      </w:r>
      <w:r>
        <w:t>g</w:t>
      </w:r>
      <w:r>
        <w:t>nó.</w:t>
      </w:r>
    </w:p>
    <w:p w:rsidR="00224567" w:rsidRDefault="00224567">
      <w:pPr>
        <w:widowControl w:val="0"/>
        <w:ind w:firstLine="2835"/>
      </w:pPr>
    </w:p>
    <w:p w:rsidR="00224567" w:rsidRDefault="00224567">
      <w:pPr>
        <w:pStyle w:val="Ttulo3"/>
        <w:widowControl w:val="0"/>
      </w:pPr>
      <w:r>
        <w:t>B) Elevación a juicio de la causa nº 501/01.</w:t>
      </w:r>
    </w:p>
    <w:p w:rsidR="00224567" w:rsidRDefault="00224567">
      <w:pPr>
        <w:widowControl w:val="0"/>
        <w:ind w:firstLine="2835"/>
      </w:pPr>
      <w:r>
        <w:t>A fs. 1052/68 los representantes del Ministerio Público Fiscal, Dres. Alberto Nisman, Eamon G</w:t>
      </w:r>
      <w:r>
        <w:t>a</w:t>
      </w:r>
      <w:r>
        <w:t>briel Mullen y José Carlos Barbaccia, requirieron la el</w:t>
      </w:r>
      <w:r>
        <w:t>e</w:t>
      </w:r>
      <w:r>
        <w:t>vación de la causa que lleva el regi</w:t>
      </w:r>
      <w:r>
        <w:t>s</w:t>
      </w:r>
      <w:r>
        <w:t xml:space="preserve">tro nº 501/01 de este tribunal, por considerar probado que el 15 de marzo de </w:t>
      </w:r>
      <w:r>
        <w:lastRenderedPageBreak/>
        <w:t>1994, Juan José Ribelli dio precisas instrucciones a Ba</w:t>
      </w:r>
      <w:r>
        <w:t>u</w:t>
      </w:r>
      <w:r>
        <w:t>tista Alberto Huici para que preste falso testimonio en perjuicio de Carlos Alberto Telleldín, al deponer en las actuaciones nº 5.681, radicadas en el Juzgado en lo Crim</w:t>
      </w:r>
      <w:r>
        <w:t>i</w:t>
      </w:r>
      <w:r>
        <w:t>nal y Correccional nº 5 del Departamento Judicial de Qui</w:t>
      </w:r>
      <w:r>
        <w:t>l</w:t>
      </w:r>
      <w:r>
        <w:t>mes, provincia de Buenos Aires, calificando dicho a</w:t>
      </w:r>
      <w:r>
        <w:t>c</w:t>
      </w:r>
      <w:r>
        <w:t>cionar como constitutivo del delito de falso testimonio agravado, previsto en el art. 275, segundo párrafo, del Código P</w:t>
      </w:r>
      <w:r>
        <w:t>e</w:t>
      </w:r>
      <w:r>
        <w:t>nal, en calidad de instig</w:t>
      </w:r>
      <w:r>
        <w:t>a</w:t>
      </w:r>
      <w:r>
        <w:t>dor.</w:t>
      </w:r>
    </w:p>
    <w:p w:rsidR="00224567" w:rsidRDefault="00224567">
      <w:pPr>
        <w:widowControl w:val="0"/>
        <w:ind w:firstLine="2835"/>
        <w:rPr>
          <w:lang w:val="es-ES_tradnl"/>
        </w:rPr>
      </w:pPr>
      <w:r>
        <w:rPr>
          <w:lang w:val="es-ES_tradnl"/>
        </w:rPr>
        <w:t>Asimismo, tuvieron por acreditado que el 14 de julio de 1994, Jorge Horacio Rago, Anastasio Ir</w:t>
      </w:r>
      <w:r>
        <w:rPr>
          <w:lang w:val="es-ES_tradnl"/>
        </w:rPr>
        <w:t>e</w:t>
      </w:r>
      <w:r>
        <w:rPr>
          <w:lang w:val="es-ES_tradnl"/>
        </w:rPr>
        <w:t>neo Leal, Mario Norberto Bareiro y Diego Enrique B</w:t>
      </w:r>
      <w:r>
        <w:rPr>
          <w:lang w:val="es-ES_tradnl"/>
        </w:rPr>
        <w:t>a</w:t>
      </w:r>
      <w:r>
        <w:rPr>
          <w:lang w:val="es-ES_tradnl"/>
        </w:rPr>
        <w:t>rreda, en abuso de sus atribuciones, intentaron privar ilegítim</w:t>
      </w:r>
      <w:r>
        <w:rPr>
          <w:lang w:val="es-ES_tradnl"/>
        </w:rPr>
        <w:t>a</w:t>
      </w:r>
      <w:r>
        <w:rPr>
          <w:lang w:val="es-ES_tradnl"/>
        </w:rPr>
        <w:t>mente de su libertad pe</w:t>
      </w:r>
      <w:r>
        <w:rPr>
          <w:lang w:val="es-ES_tradnl"/>
        </w:rPr>
        <w:t>r</w:t>
      </w:r>
      <w:r>
        <w:rPr>
          <w:lang w:val="es-ES_tradnl"/>
        </w:rPr>
        <w:t>sonal a Carlos Alberto Telleldín y a Ana María B</w:t>
      </w:r>
      <w:r>
        <w:rPr>
          <w:lang w:val="es-ES_tradnl"/>
        </w:rPr>
        <w:t>o</w:t>
      </w:r>
      <w:r>
        <w:rPr>
          <w:lang w:val="es-ES_tradnl"/>
        </w:rPr>
        <w:t>ragni, con la finalidad de obtener de aquél la entrega de cosas y/o dinero; hecho que no pudieron co</w:t>
      </w:r>
      <w:r>
        <w:rPr>
          <w:lang w:val="es-ES_tradnl"/>
        </w:rPr>
        <w:t>n</w:t>
      </w:r>
      <w:r>
        <w:rPr>
          <w:lang w:val="es-ES_tradnl"/>
        </w:rPr>
        <w:t>sumar por cuanto Telleldín se dio a la fuga.</w:t>
      </w:r>
    </w:p>
    <w:p w:rsidR="00224567" w:rsidRDefault="00224567">
      <w:pPr>
        <w:pStyle w:val="Sangra3detindependiente"/>
        <w:widowControl w:val="0"/>
        <w:spacing w:line="600" w:lineRule="auto"/>
        <w:ind w:firstLine="2835"/>
      </w:pPr>
      <w:r>
        <w:t>Los fiscales consideraron que dichas conductas encuentran adecuación típica en las figuras de privación ilegal de la libertad, en grado de tent</w:t>
      </w:r>
      <w:r>
        <w:t>a</w:t>
      </w:r>
      <w:r>
        <w:t xml:space="preserve">tiva, en </w:t>
      </w:r>
      <w:r>
        <w:lastRenderedPageBreak/>
        <w:t>concurso real con el delito de te</w:t>
      </w:r>
      <w:r>
        <w:t>n</w:t>
      </w:r>
      <w:r>
        <w:t>tativa de extorsión, por el que debían responder en calidad de coautores materiales (arts. 42, 45, 55, 144 bis, inc. 1º y 168 del Código P</w:t>
      </w:r>
      <w:r>
        <w:t>e</w:t>
      </w:r>
      <w:r>
        <w:t>nal).</w:t>
      </w:r>
    </w:p>
    <w:p w:rsidR="00224567" w:rsidRDefault="00224567">
      <w:pPr>
        <w:widowControl w:val="0"/>
        <w:ind w:firstLine="2835"/>
        <w:rPr>
          <w:lang w:val="es-ES_tradnl"/>
        </w:rPr>
      </w:pPr>
      <w:r>
        <w:rPr>
          <w:lang w:val="es-ES_tradnl"/>
        </w:rPr>
        <w:t>En ese sentido, sostuvieron que el 14 de julio de 1994 una comisión policial, pert</w:t>
      </w:r>
      <w:r>
        <w:rPr>
          <w:lang w:val="es-ES_tradnl"/>
        </w:rPr>
        <w:t>e</w:t>
      </w:r>
      <w:r>
        <w:rPr>
          <w:lang w:val="es-ES_tradnl"/>
        </w:rPr>
        <w:t xml:space="preserve">neciente a </w:t>
      </w:r>
      <w:smartTag w:uri="urn:schemas-microsoft-com:office:smarttags" w:element="PersonName">
        <w:smartTagPr>
          <w:attr w:name="ProductID" w:val="la Brigada"/>
        </w:smartTagPr>
        <w:r>
          <w:rPr>
            <w:lang w:val="es-ES_tradnl"/>
          </w:rPr>
          <w:t>la Brigada</w:t>
        </w:r>
      </w:smartTag>
      <w:r>
        <w:rPr>
          <w:lang w:val="es-ES_tradnl"/>
        </w:rPr>
        <w:t xml:space="preserve"> de Investigaciones con asiento en la local</w:t>
      </w:r>
      <w:r>
        <w:rPr>
          <w:lang w:val="es-ES_tradnl"/>
        </w:rPr>
        <w:t>i</w:t>
      </w:r>
      <w:r>
        <w:rPr>
          <w:lang w:val="es-ES_tradnl"/>
        </w:rPr>
        <w:t>dad de Vicente López, al mando del principal Leal, a cuyas órd</w:t>
      </w:r>
      <w:r>
        <w:rPr>
          <w:lang w:val="es-ES_tradnl"/>
        </w:rPr>
        <w:t>e</w:t>
      </w:r>
      <w:r>
        <w:rPr>
          <w:lang w:val="es-ES_tradnl"/>
        </w:rPr>
        <w:t>nes se encontraban el sa</w:t>
      </w:r>
      <w:r>
        <w:rPr>
          <w:lang w:val="es-ES_tradnl"/>
        </w:rPr>
        <w:t>r</w:t>
      </w:r>
      <w:r>
        <w:rPr>
          <w:lang w:val="es-ES_tradnl"/>
        </w:rPr>
        <w:t>gento 1º Argentino Gabriel Lasala y el sargento Manuel Enrique García, se apersonó en las inmediaciones del domicilio de Carlos Telleldín con el o</w:t>
      </w:r>
      <w:r>
        <w:rPr>
          <w:lang w:val="es-ES_tradnl"/>
        </w:rPr>
        <w:t>b</w:t>
      </w:r>
      <w:r>
        <w:rPr>
          <w:lang w:val="es-ES_tradnl"/>
        </w:rPr>
        <w:t>jeto de retenerlo y obligarlo a saldar una “deuda pendie</w:t>
      </w:r>
      <w:r>
        <w:rPr>
          <w:lang w:val="es-ES_tradnl"/>
        </w:rPr>
        <w:t>n</w:t>
      </w:r>
      <w:r>
        <w:rPr>
          <w:lang w:val="es-ES_tradnl"/>
        </w:rPr>
        <w:t>te”.</w:t>
      </w:r>
    </w:p>
    <w:p w:rsidR="00224567" w:rsidRDefault="00224567">
      <w:pPr>
        <w:widowControl w:val="0"/>
        <w:ind w:firstLine="2835"/>
        <w:rPr>
          <w:lang w:val="es-ES_tradnl"/>
        </w:rPr>
      </w:pPr>
      <w:r>
        <w:rPr>
          <w:lang w:val="es-ES_tradnl"/>
        </w:rPr>
        <w:t>Con dicha finalidad, afirmaron los fiscales, se produjo una persecución automov</w:t>
      </w:r>
      <w:r>
        <w:rPr>
          <w:lang w:val="es-ES_tradnl"/>
        </w:rPr>
        <w:t>i</w:t>
      </w:r>
      <w:r>
        <w:rPr>
          <w:lang w:val="es-ES_tradnl"/>
        </w:rPr>
        <w:t>lística entre el personal policial y Telleldín, la que no llegó a co</w:t>
      </w:r>
      <w:r>
        <w:rPr>
          <w:lang w:val="es-ES_tradnl"/>
        </w:rPr>
        <w:t>n</w:t>
      </w:r>
      <w:r>
        <w:rPr>
          <w:lang w:val="es-ES_tradnl"/>
        </w:rPr>
        <w:t>cretarse por las maniobras llevadas a cabo por e</w:t>
      </w:r>
      <w:r>
        <w:rPr>
          <w:lang w:val="es-ES_tradnl"/>
        </w:rPr>
        <w:t>s</w:t>
      </w:r>
      <w:r>
        <w:rPr>
          <w:lang w:val="es-ES_tradnl"/>
        </w:rPr>
        <w:t>te último para “deshacerse” de su perseguidores. Agregaron que la extorsión que los encartados pretendían ejercer sobre T</w:t>
      </w:r>
      <w:r>
        <w:rPr>
          <w:lang w:val="es-ES_tradnl"/>
        </w:rPr>
        <w:t>e</w:t>
      </w:r>
      <w:r>
        <w:rPr>
          <w:lang w:val="es-ES_tradnl"/>
        </w:rPr>
        <w:t>lleldín tampoco pudo consumarse en esa oportunidad por h</w:t>
      </w:r>
      <w:r>
        <w:rPr>
          <w:lang w:val="es-ES_tradnl"/>
        </w:rPr>
        <w:t>a</w:t>
      </w:r>
      <w:r>
        <w:rPr>
          <w:lang w:val="es-ES_tradnl"/>
        </w:rPr>
        <w:t>ber logrado escapar de la persecución de la que fue víct</w:t>
      </w:r>
      <w:r>
        <w:rPr>
          <w:lang w:val="es-ES_tradnl"/>
        </w:rPr>
        <w:t>i</w:t>
      </w:r>
      <w:r>
        <w:rPr>
          <w:lang w:val="es-ES_tradnl"/>
        </w:rPr>
        <w:lastRenderedPageBreak/>
        <w:t>ma.</w:t>
      </w:r>
    </w:p>
    <w:p w:rsidR="00224567" w:rsidRDefault="00224567">
      <w:pPr>
        <w:widowControl w:val="0"/>
        <w:ind w:firstLine="2835"/>
        <w:rPr>
          <w:lang w:val="es-ES_tradnl"/>
        </w:rPr>
      </w:pPr>
      <w:r>
        <w:rPr>
          <w:lang w:val="es-ES_tradnl"/>
        </w:rPr>
        <w:t>Los representantes del Ministerio P</w:t>
      </w:r>
      <w:r>
        <w:rPr>
          <w:lang w:val="es-ES_tradnl"/>
        </w:rPr>
        <w:t>ú</w:t>
      </w:r>
      <w:r>
        <w:rPr>
          <w:lang w:val="es-ES_tradnl"/>
        </w:rPr>
        <w:t>blico Fiscal tuvieron por probado que Jorge Horacio R</w:t>
      </w:r>
      <w:r>
        <w:rPr>
          <w:lang w:val="es-ES_tradnl"/>
        </w:rPr>
        <w:t>a</w:t>
      </w:r>
      <w:r>
        <w:rPr>
          <w:lang w:val="es-ES_tradnl"/>
        </w:rPr>
        <w:t>go y Anastasio Ireneo Leal dispusieron realizar el op</w:t>
      </w:r>
      <w:r>
        <w:rPr>
          <w:lang w:val="es-ES_tradnl"/>
        </w:rPr>
        <w:t>e</w:t>
      </w:r>
      <w:r>
        <w:rPr>
          <w:lang w:val="es-ES_tradnl"/>
        </w:rPr>
        <w:t>rativo de interceptación de Carlos Alberto Telleldín; que Diego E</w:t>
      </w:r>
      <w:r>
        <w:rPr>
          <w:lang w:val="es-ES_tradnl"/>
        </w:rPr>
        <w:t>n</w:t>
      </w:r>
      <w:r>
        <w:rPr>
          <w:lang w:val="es-ES_tradnl"/>
        </w:rPr>
        <w:t>rique Barreda proporcionó los datos para llevar adelante la maniobra, que estuvo al tanto del procedimiento y que junto con Leal y Bareiro le presentó a Telleldín al abog</w:t>
      </w:r>
      <w:r>
        <w:rPr>
          <w:lang w:val="es-ES_tradnl"/>
        </w:rPr>
        <w:t>a</w:t>
      </w:r>
      <w:r>
        <w:rPr>
          <w:lang w:val="es-ES_tradnl"/>
        </w:rPr>
        <w:t>do Juan Alberto Bottegal y, por último, que Mario Norberto B</w:t>
      </w:r>
      <w:r>
        <w:rPr>
          <w:lang w:val="es-ES_tradnl"/>
        </w:rPr>
        <w:t>a</w:t>
      </w:r>
      <w:r>
        <w:rPr>
          <w:lang w:val="es-ES_tradnl"/>
        </w:rPr>
        <w:t>reiro estuvo presente en oportunidad de llevarse a cabo el operativo por el que se detuvo a Hugo Ant</w:t>
      </w:r>
      <w:r>
        <w:rPr>
          <w:lang w:val="es-ES_tradnl"/>
        </w:rPr>
        <w:t>o</w:t>
      </w:r>
      <w:r>
        <w:rPr>
          <w:lang w:val="es-ES_tradnl"/>
        </w:rPr>
        <w:t>nio Pérez, a la vez que  señaló que la finalidad perseguida era presi</w:t>
      </w:r>
      <w:r>
        <w:rPr>
          <w:lang w:val="es-ES_tradnl"/>
        </w:rPr>
        <w:t>o</w:t>
      </w:r>
      <w:r>
        <w:rPr>
          <w:lang w:val="es-ES_tradnl"/>
        </w:rPr>
        <w:t>nar a Telleldín para repartir entre los integrantes del grupo el din</w:t>
      </w:r>
      <w:r>
        <w:rPr>
          <w:lang w:val="es-ES_tradnl"/>
        </w:rPr>
        <w:t>e</w:t>
      </w:r>
      <w:r>
        <w:rPr>
          <w:lang w:val="es-ES_tradnl"/>
        </w:rPr>
        <w:t>ro a obtener.</w:t>
      </w:r>
    </w:p>
    <w:p w:rsidR="00224567" w:rsidRDefault="00224567">
      <w:pPr>
        <w:widowControl w:val="0"/>
        <w:rPr>
          <w:lang w:val="es-ES_tradnl"/>
        </w:rPr>
      </w:pPr>
    </w:p>
    <w:p w:rsidR="00224567" w:rsidRDefault="00224567">
      <w:pPr>
        <w:pStyle w:val="Ttulo3"/>
        <w:widowControl w:val="0"/>
        <w:rPr>
          <w:lang w:val="es-ES_tradnl"/>
        </w:rPr>
      </w:pPr>
      <w:r>
        <w:rPr>
          <w:lang w:val="es-ES_tradnl"/>
        </w:rPr>
        <w:t>C) Elevación a juicio de la causa nº 502/03.</w:t>
      </w:r>
    </w:p>
    <w:p w:rsidR="00224567" w:rsidRDefault="00224567">
      <w:pPr>
        <w:widowControl w:val="0"/>
        <w:ind w:firstLine="2900"/>
      </w:pPr>
      <w:r>
        <w:t>Por otra parte, a fs. 1410/8 los fi</w:t>
      </w:r>
      <w:r>
        <w:t>s</w:t>
      </w:r>
      <w:r>
        <w:t>cales ante la in</w:t>
      </w:r>
      <w:r>
        <w:t>s</w:t>
      </w:r>
      <w:r>
        <w:t>trucción, Dres. Eamon G. Mullen y José C. Barbaccia, requirieron la elev</w:t>
      </w:r>
      <w:r>
        <w:t>a</w:t>
      </w:r>
      <w:r>
        <w:t>ción de la causa que lleva el registro nº 502/03 de este tribunal, imp</w:t>
      </w:r>
      <w:r>
        <w:t>u</w:t>
      </w:r>
      <w:r>
        <w:t xml:space="preserve">tándole a Raúl </w:t>
      </w:r>
      <w:r>
        <w:lastRenderedPageBreak/>
        <w:t>Edilio Raúl Ibarra los s</w:t>
      </w:r>
      <w:r>
        <w:t>i</w:t>
      </w:r>
      <w:r>
        <w:t>guientes hechos:</w:t>
      </w:r>
    </w:p>
    <w:p w:rsidR="00224567" w:rsidRDefault="00224567">
      <w:pPr>
        <w:widowControl w:val="0"/>
        <w:ind w:firstLine="2835"/>
      </w:pPr>
      <w:r>
        <w:tab/>
        <w:t>1) Haber realizado falsas manifest</w:t>
      </w:r>
      <w:r>
        <w:t>a</w:t>
      </w:r>
      <w:r>
        <w:t>ciones en perjuicio de Carlos Alberto Telleldín en oport</w:t>
      </w:r>
      <w:r>
        <w:t>u</w:t>
      </w:r>
      <w:r>
        <w:t>nidad de prestar declaración testim</w:t>
      </w:r>
      <w:r>
        <w:t>o</w:t>
      </w:r>
      <w:r>
        <w:t xml:space="preserve">nial el 15 de marzo de 1994 en </w:t>
      </w:r>
      <w:smartTag w:uri="urn:schemas-microsoft-com:office:smarttags" w:element="PersonName">
        <w:smartTagPr>
          <w:attr w:name="ProductID" w:val="la Brigada"/>
        </w:smartTagPr>
        <w:r>
          <w:t>la Brigada</w:t>
        </w:r>
      </w:smartTag>
      <w:r>
        <w:t xml:space="preserve"> de Investigaciones II de Lanús, en el marco de la causa nº 5681 del registro del Juzgado Crim</w:t>
      </w:r>
      <w:r>
        <w:t>i</w:t>
      </w:r>
      <w:r>
        <w:t>nal y Correccional nº 5 del Departamento Judicial de Qui</w:t>
      </w:r>
      <w:r>
        <w:t>l</w:t>
      </w:r>
      <w:r>
        <w:t>mes, provincia de Buenos Aires, en la que se investigaba el delito de homicidio en ocasión de robo cometido el 29 de noviembre de 1993 en perjuicio de Abel Catal</w:t>
      </w:r>
      <w:r>
        <w:t>i</w:t>
      </w:r>
      <w:r>
        <w:t>no Muñoz, comprometiendo con sus dichos a Carlos Alberto Telleldín en ese epis</w:t>
      </w:r>
      <w:r>
        <w:t>o</w:t>
      </w:r>
      <w:r>
        <w:t>dio delictivo;</w:t>
      </w:r>
    </w:p>
    <w:p w:rsidR="00224567" w:rsidRDefault="00224567">
      <w:pPr>
        <w:widowControl w:val="0"/>
        <w:ind w:firstLine="2835"/>
      </w:pPr>
      <w:r>
        <w:tab/>
        <w:t>2) Haber determinado a Marcelo Darío Casas para que se pronuncie con fa</w:t>
      </w:r>
      <w:r>
        <w:t>l</w:t>
      </w:r>
      <w:r>
        <w:t>sedad en su declaración testimonial del 15 de marzo de 1994, pre</w:t>
      </w:r>
      <w:r>
        <w:t>s</w:t>
      </w:r>
      <w:r>
        <w:t xml:space="preserve">tada en la causa arriba aludida y en aquella que rindió ante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w:t>
        </w:r>
        <w:r>
          <w:t>o</w:t>
        </w:r>
        <w:r>
          <w:t>vincia</w:t>
        </w:r>
      </w:smartTag>
      <w:r>
        <w:t xml:space="preserve"> de Buenos Aires, con asiento en la ciudad de </w:t>
      </w:r>
      <w:smartTag w:uri="urn:schemas-microsoft-com:office:smarttags" w:element="PersonName">
        <w:smartTagPr>
          <w:attr w:name="ProductID" w:val="La Plata"/>
        </w:smartTagPr>
        <w:r>
          <w:t>La Plata</w:t>
        </w:r>
      </w:smartTag>
      <w:r>
        <w:t>, el día 15 de agosto de 1995, en virtud de las actuaciones labradas en esa sede a pedido del juzgado instructor, para establecer las rel</w:t>
      </w:r>
      <w:r>
        <w:t>a</w:t>
      </w:r>
      <w:r>
        <w:t xml:space="preserve">ciones que Telleldín habría mantenido con personal de la </w:t>
      </w:r>
      <w:r>
        <w:lastRenderedPageBreak/>
        <w:t>fuerza y,</w:t>
      </w:r>
    </w:p>
    <w:p w:rsidR="00224567" w:rsidRDefault="00224567">
      <w:pPr>
        <w:widowControl w:val="0"/>
        <w:ind w:firstLine="2835"/>
      </w:pPr>
      <w:r>
        <w:tab/>
        <w:t>3) Haber inducido a Eduardo Diego T</w:t>
      </w:r>
      <w:r>
        <w:t>o</w:t>
      </w:r>
      <w:r>
        <w:t>ledo para que declare falsamente al prestar test</w:t>
      </w:r>
      <w:r>
        <w:t>i</w:t>
      </w:r>
      <w:r>
        <w:t>monio el 15 de agosto de 1995 en las mismas actuaciones administr</w:t>
      </w:r>
      <w:r>
        <w:t>a</w:t>
      </w:r>
      <w:r>
        <w:t xml:space="preserve">tivas, labradas ante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Bonaerense."/>
        </w:smartTagPr>
        <w:r>
          <w:t>la Pol</w:t>
        </w:r>
        <w:r>
          <w:t>i</w:t>
        </w:r>
        <w:r>
          <w:t>cía Bonaerense.</w:t>
        </w:r>
      </w:smartTag>
    </w:p>
    <w:p w:rsidR="00224567" w:rsidRDefault="00224567">
      <w:pPr>
        <w:widowControl w:val="0"/>
        <w:ind w:firstLine="2835"/>
      </w:pPr>
      <w:r>
        <w:tab/>
        <w:t>Tanto la falsa declaración ve</w:t>
      </w:r>
      <w:r>
        <w:t>r</w:t>
      </w:r>
      <w:r>
        <w:t>tida por Ibarra, como la que les indicara que debían volcar sus subalternos Casas y Toledo, a juicio de la fiscalía, co</w:t>
      </w:r>
      <w:r>
        <w:t>n</w:t>
      </w:r>
      <w:r>
        <w:t>sistió en haber afirmado que el procedimiento en el cual se intentó sin éxito aprehender a Carlos Alberto Telle</w:t>
      </w:r>
      <w:r>
        <w:t>l</w:t>
      </w:r>
      <w:r>
        <w:t>dín, ocurrido en horas de la noche del 15 de marzo de 1994, en la intersección de la avenida Maipú y Ugarte de la localidad de Olivos, Provincia de Buenos A</w:t>
      </w:r>
      <w:r>
        <w:t>i</w:t>
      </w:r>
      <w:r>
        <w:t>res, habría sido corolario de tareas de inteligencia pr</w:t>
      </w:r>
      <w:r>
        <w:t>e</w:t>
      </w:r>
      <w:r>
        <w:t>vias llevadas a cabo en la calle República al 100 de la localidad bona</w:t>
      </w:r>
      <w:r>
        <w:t>e</w:t>
      </w:r>
      <w:r>
        <w:t>rense de Villa Ballester y que culm</w:t>
      </w:r>
      <w:r>
        <w:t>i</w:t>
      </w:r>
      <w:r>
        <w:t>naran en la localidad de Olivos.</w:t>
      </w:r>
    </w:p>
    <w:p w:rsidR="00224567" w:rsidRDefault="00224567">
      <w:pPr>
        <w:widowControl w:val="0"/>
        <w:ind w:firstLine="2835"/>
      </w:pPr>
      <w:r>
        <w:t>Según se pudo demostrar, aseguraron los fiscales, la comitiva policial se habría dirigido de</w:t>
      </w:r>
      <w:r>
        <w:t>s</w:t>
      </w:r>
      <w:r>
        <w:lastRenderedPageBreak/>
        <w:t xml:space="preserve">de el asiento de </w:t>
      </w:r>
      <w:smartTag w:uri="urn:schemas-microsoft-com:office:smarttags" w:element="PersonName">
        <w:smartTagPr>
          <w:attr w:name="ProductID" w:val="la Brigada"/>
        </w:smartTagPr>
        <w:r>
          <w:t>la Brigada</w:t>
        </w:r>
      </w:smartTag>
      <w:r>
        <w:t xml:space="preserve"> de Lanús d</w:t>
      </w:r>
      <w:r>
        <w:t>i</w:t>
      </w:r>
      <w:r>
        <w:t>rectamente hacia la intersección antes apuntada de la localidad de Olivos, a la espera del arribo de Carlos Alberto T</w:t>
      </w:r>
      <w:r>
        <w:t>e</w:t>
      </w:r>
      <w:r>
        <w:t>lleldín.</w:t>
      </w:r>
    </w:p>
    <w:p w:rsidR="00224567" w:rsidRDefault="00224567">
      <w:pPr>
        <w:widowControl w:val="0"/>
        <w:ind w:firstLine="2835"/>
      </w:pPr>
      <w:r>
        <w:t>En su presentación, los representa</w:t>
      </w:r>
      <w:r>
        <w:t>n</w:t>
      </w:r>
      <w:r>
        <w:t>tes del Ministerio Público Fiscal también imput</w:t>
      </w:r>
      <w:r>
        <w:t>a</w:t>
      </w:r>
      <w:r>
        <w:t>ron a Marcelo Darío Casas haber vertido las falsas manifest</w:t>
      </w:r>
      <w:r>
        <w:t>a</w:t>
      </w:r>
      <w:r>
        <w:t>ciones antes apuntadas, en ocasión de prestar declaración jur</w:t>
      </w:r>
      <w:r>
        <w:t>a</w:t>
      </w:r>
      <w:r>
        <w:t xml:space="preserve">mentada, tanto el 15 de marzo de 1994 ante </w:t>
      </w:r>
      <w:smartTag w:uri="urn:schemas-microsoft-com:office:smarttags" w:element="PersonName">
        <w:smartTagPr>
          <w:attr w:name="ProductID" w:val="la Brigada"/>
        </w:smartTagPr>
        <w:r>
          <w:t>la Brigada</w:t>
        </w:r>
      </w:smartTag>
      <w:r>
        <w:t xml:space="preserve"> de Investig</w:t>
      </w:r>
      <w:r>
        <w:t>a</w:t>
      </w:r>
      <w:r>
        <w:t>ciones II de Lanús, en la mentada causa nº 5681, como así también en la declaración testimonial prestada el 15 de agosto de 1995 en la refer</w:t>
      </w:r>
      <w:r>
        <w:t>i</w:t>
      </w:r>
      <w:r>
        <w:t xml:space="preserve">da Dirección de Sumarios de </w:t>
      </w:r>
      <w:smartTag w:uri="urn:schemas-microsoft-com:office:smarttags" w:element="PersonName">
        <w:smartTagPr>
          <w:attr w:name="ProductID" w:val="la Polic￭a"/>
        </w:smartTagPr>
        <w:r>
          <w:t>la P</w:t>
        </w:r>
        <w:r>
          <w:t>o</w:t>
        </w:r>
        <w:r>
          <w:t>licía</w:t>
        </w:r>
      </w:smartTag>
      <w:r>
        <w:t xml:space="preserve"> de la provincia de Buenos Aires; siendo que con la primera falsa exposición comprometió a Carlos Alberto T</w:t>
      </w:r>
      <w:r>
        <w:t>e</w:t>
      </w:r>
      <w:r>
        <w:t xml:space="preserve">lleldín en el suceso criminal investigado en la causa de referencia. </w:t>
      </w:r>
    </w:p>
    <w:p w:rsidR="00224567" w:rsidRDefault="00224567">
      <w:pPr>
        <w:widowControl w:val="0"/>
        <w:ind w:firstLine="2835"/>
      </w:pPr>
      <w:r>
        <w:t>Finalmente, imputaron a Eduardo Diego Toledo haber realizado falsas manifestaciones el 15 de agosto de 1995 en ocasión de prestar declaración testim</w:t>
      </w:r>
      <w:r>
        <w:t>o</w:t>
      </w:r>
      <w:r>
        <w:t>nial ante la citada Dirección de Sum</w:t>
      </w:r>
      <w:r>
        <w:t>a</w:t>
      </w:r>
      <w:r>
        <w:t>rios.</w:t>
      </w:r>
    </w:p>
    <w:p w:rsidR="00224567" w:rsidRDefault="00224567">
      <w:pPr>
        <w:widowControl w:val="0"/>
        <w:ind w:firstLine="2835"/>
      </w:pPr>
      <w:r>
        <w:t>Los hechos atribuidos a Ibarra, afi</w:t>
      </w:r>
      <w:r>
        <w:t>r</w:t>
      </w:r>
      <w:r>
        <w:t>maron los fiscales en su requisitoria, constituyen el d</w:t>
      </w:r>
      <w:r>
        <w:t>e</w:t>
      </w:r>
      <w:r>
        <w:lastRenderedPageBreak/>
        <w:t>lito de falso testimonio, agravado por haber sido c</w:t>
      </w:r>
      <w:r>
        <w:t>o</w:t>
      </w:r>
      <w:r>
        <w:t>metido en una causa criminal en perjuicio del inculpado, con r</w:t>
      </w:r>
      <w:r>
        <w:t>e</w:t>
      </w:r>
      <w:r>
        <w:t xml:space="preserve">lación a la declaración que prestara el 15 de marzo de 1994 en el marco de la mentada causa nº 5681, en calidad de autor; instigación al falso testimonio, reiterado en dos oportunidades, respecto de los hechos cometidos por Toledo y Casas el 15 de agosto de 1995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e instigación al falso testimonio agravado, con r</w:t>
      </w:r>
      <w:r>
        <w:t>e</w:t>
      </w:r>
      <w:r>
        <w:t>lación al hecho cometido por Marcelo Darío Casas, el 15 de marzo de 1994, en el marco de la causa nº 5681, los que concurren materialmente entre sí (arts. 45, 55 y 275, primero y s</w:t>
      </w:r>
      <w:r>
        <w:t>e</w:t>
      </w:r>
      <w:r>
        <w:t>gundo párrafos, del Código Penal).</w:t>
      </w:r>
    </w:p>
    <w:p w:rsidR="00224567" w:rsidRDefault="00224567">
      <w:pPr>
        <w:widowControl w:val="0"/>
        <w:ind w:firstLine="2835"/>
      </w:pPr>
      <w:r>
        <w:t>La conducta imputada a Marcelo Darío Casas fue calificada como constitutiva del d</w:t>
      </w:r>
      <w:r>
        <w:t>e</w:t>
      </w:r>
      <w:r>
        <w:t>lito de falso testimonio, agravado por haber sido cometido en una causa criminal en perjuicio del imputado, en orden a su declar</w:t>
      </w:r>
      <w:r>
        <w:t>a</w:t>
      </w:r>
      <w:r>
        <w:t>ción prestada el 15 de marzo de 1994 en la referida causa nº 5681, en concurso real con el delito de falso testim</w:t>
      </w:r>
      <w:r>
        <w:t>o</w:t>
      </w:r>
      <w:r>
        <w:t xml:space="preserve">nio cometido en el asiento de </w:t>
      </w:r>
      <w:smartTag w:uri="urn:schemas-microsoft-com:office:smarttags" w:element="PersonName">
        <w:smartTagPr>
          <w:attr w:name="ProductID" w:val="la Direcci￳n"/>
        </w:smartTagPr>
        <w:r>
          <w:t>la Dire</w:t>
        </w:r>
        <w:r>
          <w:t>c</w:t>
        </w:r>
        <w:r>
          <w:t>ción</w:t>
        </w:r>
      </w:smartTag>
      <w:r>
        <w:t xml:space="preserve"> de Sumarios de </w:t>
      </w:r>
      <w:smartTag w:uri="urn:schemas-microsoft-com:office:smarttags" w:element="PersonName">
        <w:smartTagPr>
          <w:attr w:name="ProductID" w:val="la Polic￭a Bonaerense"/>
        </w:smartTagPr>
        <w:r>
          <w:lastRenderedPageBreak/>
          <w:t>la Policía Bonaerense</w:t>
        </w:r>
      </w:smartTag>
      <w:r>
        <w:t>, el día 15 de agosto de 1995, d</w:t>
      </w:r>
      <w:r>
        <w:t>e</w:t>
      </w:r>
      <w:r>
        <w:t>biendo responder a título de autor por ambos sucesos (arts. 45, 55 y 275, primero y segundo párrafos, del Cód</w:t>
      </w:r>
      <w:r>
        <w:t>i</w:t>
      </w:r>
      <w:r>
        <w:t>go Penal).</w:t>
      </w:r>
    </w:p>
    <w:p w:rsidR="00224567" w:rsidRDefault="00224567">
      <w:pPr>
        <w:widowControl w:val="0"/>
        <w:ind w:firstLine="2835"/>
      </w:pPr>
      <w:r>
        <w:t>Por último, los agentes fiscales cal</w:t>
      </w:r>
      <w:r>
        <w:t>i</w:t>
      </w:r>
      <w:r>
        <w:t>ficaron el hecho atribuido a Eduardo Diego Toledo como constitutivo del delito de falso testimonio, en c</w:t>
      </w:r>
      <w:r>
        <w:t>a</w:t>
      </w:r>
      <w:r>
        <w:t>lidad de autor material (arts. 45 y 275, primer párrafo, del C</w:t>
      </w:r>
      <w:r>
        <w:t>ó</w:t>
      </w:r>
      <w:r>
        <w:t>digo Penal).</w:t>
      </w:r>
    </w:p>
    <w:p w:rsidR="00224567" w:rsidRDefault="00224567">
      <w:pPr>
        <w:widowControl w:val="0"/>
        <w:ind w:firstLine="2835"/>
      </w:pPr>
      <w:r>
        <w:rPr>
          <w:b/>
          <w:bCs/>
        </w:rPr>
        <w:t>C.2)</w:t>
      </w:r>
      <w:r>
        <w:t xml:space="preserve"> Corresponde destacar que si bien a fs. 1390/3, 1396/1400 y 1405/8 las querellas “Fam</w:t>
      </w:r>
      <w:r>
        <w:t>i</w:t>
      </w:r>
      <w:r>
        <w:t>liares y Amigos de las Víctimas del Atentado”, “D.A.I.A.” y “A.M.I.A.” formularon sendos requerimientos de el</w:t>
      </w:r>
      <w:r>
        <w:t>e</w:t>
      </w:r>
      <w:r>
        <w:t>vación a juicio en orden a los hechos antes descriptos, el trib</w:t>
      </w:r>
      <w:r>
        <w:t>u</w:t>
      </w:r>
      <w:r>
        <w:t>nal, por decisión del 8 de septie</w:t>
      </w:r>
      <w:r>
        <w:t>m</w:t>
      </w:r>
      <w:r>
        <w:t>bre de 2003, hizo lugar a la excepción de falta de a</w:t>
      </w:r>
      <w:r>
        <w:t>c</w:t>
      </w:r>
      <w:r>
        <w:t>ción deducida por la defensa, apartando a las querellas de la causa de marras (ver fs. 1515/1517).</w:t>
      </w:r>
    </w:p>
    <w:p w:rsidR="00224567" w:rsidRDefault="00224567">
      <w:pPr>
        <w:widowControl w:val="0"/>
        <w:ind w:firstLine="2835"/>
      </w:pPr>
      <w:r>
        <w:rPr>
          <w:b/>
          <w:bCs/>
        </w:rPr>
        <w:t>C.3)</w:t>
      </w:r>
      <w:r>
        <w:t xml:space="preserve"> Que a fs. 1433/1437 el juez in</w:t>
      </w:r>
      <w:r>
        <w:t>s</w:t>
      </w:r>
      <w:r>
        <w:t>tructor rechazó las oposiciones deducidas por las d</w:t>
      </w:r>
      <w:r>
        <w:t>e</w:t>
      </w:r>
      <w:r>
        <w:t xml:space="preserve">fensas de Casas, Toledo e Ibarra, y declaró la clausura de la </w:t>
      </w:r>
      <w:r>
        <w:lastRenderedPageBreak/>
        <w:t>instrucción con relación a los hechos imputados en la r</w:t>
      </w:r>
      <w:r>
        <w:t>e</w:t>
      </w:r>
      <w:r>
        <w:t>quisitoria de elevación a juicio.</w:t>
      </w:r>
    </w:p>
    <w:p w:rsidR="00224567" w:rsidRDefault="00224567">
      <w:pPr>
        <w:pStyle w:val="Ttulo2"/>
        <w:widowControl w:val="0"/>
      </w:pPr>
      <w:r>
        <w:t>CAPÍTULO II</w:t>
      </w:r>
    </w:p>
    <w:p w:rsidR="00224567" w:rsidRDefault="00224567">
      <w:pPr>
        <w:widowControl w:val="0"/>
      </w:pPr>
    </w:p>
    <w:p w:rsidR="00224567" w:rsidRDefault="00224567">
      <w:pPr>
        <w:pStyle w:val="Ttulo3"/>
      </w:pPr>
      <w:r>
        <w:t>A) Alegatos de las querellas.</w:t>
      </w:r>
    </w:p>
    <w:p w:rsidR="00224567" w:rsidRDefault="00224567">
      <w:pPr>
        <w:widowControl w:val="0"/>
        <w:rPr>
          <w:bCs/>
        </w:rPr>
      </w:pPr>
      <w:r>
        <w:tab/>
      </w:r>
      <w:r>
        <w:rPr>
          <w:b/>
          <w:bCs/>
        </w:rPr>
        <w:t>A.1)</w:t>
      </w:r>
      <w:r>
        <w:t xml:space="preserve"> El Dr. Pablo Jacoby, en represe</w:t>
      </w:r>
      <w:r>
        <w:t>n</w:t>
      </w:r>
      <w:r>
        <w:t>tación de la asociación civil “Memoria Activa” y de D</w:t>
      </w:r>
      <w:r>
        <w:t>a</w:t>
      </w:r>
      <w:r>
        <w:t>niel Eduardo Joffe, Patricia Wenetz y de Cecilia y Julieta Bu</w:t>
      </w:r>
      <w:r>
        <w:t>t</w:t>
      </w:r>
      <w:r>
        <w:t>tini, cons</w:t>
      </w:r>
      <w:r>
        <w:t>i</w:t>
      </w:r>
      <w:r>
        <w:t xml:space="preserve">deró a Carlos Alberto Telleldín incurso en </w:t>
      </w:r>
      <w:r>
        <w:rPr>
          <w:bCs/>
        </w:rPr>
        <w:t>los delitos de homicidio calificado, reiterado en cuatro opo</w:t>
      </w:r>
      <w:r>
        <w:rPr>
          <w:bCs/>
        </w:rPr>
        <w:t>r</w:t>
      </w:r>
      <w:r>
        <w:rPr>
          <w:bCs/>
        </w:rPr>
        <w:t>tunidades -fallecimientos de Noemí Graciela Reisfeld, Agustín Diego Lew, Andrés Gustavo Malamud y Gabriel Butt</w:t>
      </w:r>
      <w:r>
        <w:rPr>
          <w:bCs/>
        </w:rPr>
        <w:t>i</w:t>
      </w:r>
      <w:r>
        <w:rPr>
          <w:bCs/>
        </w:rPr>
        <w:t>ni- y lesiones agravadas y daño, respecto de Daniel Edua</w:t>
      </w:r>
      <w:r>
        <w:rPr>
          <w:bCs/>
        </w:rPr>
        <w:t>r</w:t>
      </w:r>
      <w:r>
        <w:rPr>
          <w:bCs/>
        </w:rPr>
        <w:t>do Joffe, todos en concurso r</w:t>
      </w:r>
      <w:r>
        <w:rPr>
          <w:bCs/>
        </w:rPr>
        <w:t>e</w:t>
      </w:r>
      <w:r>
        <w:rPr>
          <w:bCs/>
        </w:rPr>
        <w:t>al y en calidad de partícipe necesario, de conformidad con los arts. 45, 55, 80, inc. 5º, 92 y 183 del Código Penal.</w:t>
      </w:r>
    </w:p>
    <w:p w:rsidR="00224567" w:rsidRDefault="00224567">
      <w:pPr>
        <w:widowControl w:val="0"/>
      </w:pPr>
      <w:r>
        <w:rPr>
          <w:bCs/>
        </w:rPr>
        <w:tab/>
      </w:r>
      <w:r>
        <w:t>Entendió que en el presente caso se produjo una violación masiva a los derechos humanos, d</w:t>
      </w:r>
      <w:r>
        <w:t>u</w:t>
      </w:r>
      <w:r>
        <w:t xml:space="preserve">plicada por el encubrimiento posterior que, a su juicio, perpetraron las diversas agencias del Estado argentino, </w:t>
      </w:r>
      <w:r>
        <w:lastRenderedPageBreak/>
        <w:t>como también por la labor jurisdiccional desarrollada en la etapa de instru</w:t>
      </w:r>
      <w:r>
        <w:t>c</w:t>
      </w:r>
      <w:r>
        <w:t>ción.</w:t>
      </w:r>
    </w:p>
    <w:p w:rsidR="00224567" w:rsidRDefault="00224567">
      <w:pPr>
        <w:widowControl w:val="0"/>
      </w:pPr>
      <w:r>
        <w:tab/>
        <w:t>Sostuvo que se encontraba acreditado que en una fecha próxima al 10 de julio de 1994 Telle</w:t>
      </w:r>
      <w:r>
        <w:t>l</w:t>
      </w:r>
      <w:r>
        <w:t>dín, con conocimiento de que sería utilizada para un hecho il</w:t>
      </w:r>
      <w:r>
        <w:t>í</w:t>
      </w:r>
      <w:r>
        <w:t>cito grave, acondicionó y entregó una camioneta marca R</w:t>
      </w:r>
      <w:r>
        <w:t>e</w:t>
      </w:r>
      <w:r>
        <w:t>nault, modelo Trafic, sobre la cual había montado el m</w:t>
      </w:r>
      <w:r>
        <w:t>o</w:t>
      </w:r>
      <w:r>
        <w:t>tor nº 2.831.467, originariamente instalado en una camioneta que perteneció a la firma “Messin S.R.L.”.</w:t>
      </w:r>
    </w:p>
    <w:p w:rsidR="00224567" w:rsidRDefault="00224567">
      <w:pPr>
        <w:widowControl w:val="0"/>
      </w:pPr>
      <w:r>
        <w:tab/>
        <w:t>Explicó que dicho acondicionamiento incluyó el refuerzo del sistema de amortiguación tra</w:t>
      </w:r>
      <w:r>
        <w:t>s</w:t>
      </w:r>
      <w:r>
        <w:t>era a fin transportar un peso mayor al habitual, co</w:t>
      </w:r>
      <w:r>
        <w:t>n</w:t>
      </w:r>
      <w:r>
        <w:t xml:space="preserve">formado por </w:t>
      </w:r>
      <w:smartTag w:uri="urn:schemas-microsoft-com:office:smarttags" w:element="metricconverter">
        <w:smartTagPr>
          <w:attr w:name="ProductID" w:val="300 kg"/>
        </w:smartTagPr>
        <w:r>
          <w:t>300 kg</w:t>
        </w:r>
      </w:smartTag>
      <w:r>
        <w:t xml:space="preserve"> de amonal,  utilizados como explos</w:t>
      </w:r>
      <w:r>
        <w:t>i</w:t>
      </w:r>
      <w:r>
        <w:t xml:space="preserve">vo, más el peso de la tierra y la estructura útil para su anclaje, como así también para mejorar el sistema de estabilización, por cuanto </w:t>
      </w:r>
      <w:smartTag w:uri="urn:schemas-microsoft-com:office:smarttags" w:element="PersonName">
        <w:smartTagPr>
          <w:attr w:name="ProductID" w:val="la Trafic"/>
        </w:smartTagPr>
        <w:r>
          <w:t>la Trafic</w:t>
        </w:r>
      </w:smartTag>
      <w:r>
        <w:t xml:space="preserve"> debía circular con el explosivo y el di</w:t>
      </w:r>
      <w:r>
        <w:t>s</w:t>
      </w:r>
      <w:r>
        <w:t>positivo deton</w:t>
      </w:r>
      <w:r>
        <w:t>a</w:t>
      </w:r>
      <w:r>
        <w:t>dor instalado.</w:t>
      </w:r>
    </w:p>
    <w:p w:rsidR="00224567" w:rsidRDefault="00224567">
      <w:pPr>
        <w:widowControl w:val="0"/>
      </w:pPr>
      <w:r>
        <w:tab/>
        <w:t>De esa manera, argumentó el letrado, se preparó la camioneta para aventar la pos</w:t>
      </w:r>
      <w:r>
        <w:t>i</w:t>
      </w:r>
      <w:r>
        <w:t>bilidad de que cualquier accidente del terreno, sea un bache, un pozo, una frenada brusca o la subida al cordón de la vereda, p</w:t>
      </w:r>
      <w:r>
        <w:t>u</w:t>
      </w:r>
      <w:r>
        <w:lastRenderedPageBreak/>
        <w:t>diera provocar un estallido anticipado, subrayando que T</w:t>
      </w:r>
      <w:r>
        <w:t>e</w:t>
      </w:r>
      <w:r>
        <w:t>lleldín utilizó una carrocería que impedía que el explos</w:t>
      </w:r>
      <w:r>
        <w:t>i</w:t>
      </w:r>
      <w:r>
        <w:t>vo fuera observado desde el ext</w:t>
      </w:r>
      <w:r>
        <w:t>e</w:t>
      </w:r>
      <w:r>
        <w:t>rior.</w:t>
      </w:r>
    </w:p>
    <w:p w:rsidR="00224567" w:rsidRDefault="00224567">
      <w:pPr>
        <w:widowControl w:val="0"/>
      </w:pPr>
      <w:r>
        <w:tab/>
        <w:t>Afirmó que la explosión causó</w:t>
      </w:r>
      <w:r>
        <w:rPr>
          <w:b/>
          <w:bCs/>
        </w:rPr>
        <w:t xml:space="preserve"> </w:t>
      </w:r>
      <w:r>
        <w:t>lesi</w:t>
      </w:r>
      <w:r>
        <w:t>o</w:t>
      </w:r>
      <w:r>
        <w:t>nes graves y leves a quienes fueron identificados en el requ</w:t>
      </w:r>
      <w:r>
        <w:t>e</w:t>
      </w:r>
      <w:r>
        <w:t>rimiento fiscal de elevación a ju</w:t>
      </w:r>
      <w:r>
        <w:t>i</w:t>
      </w:r>
      <w:r>
        <w:t>cio.</w:t>
      </w:r>
    </w:p>
    <w:p w:rsidR="00224567" w:rsidRDefault="00224567">
      <w:pPr>
        <w:widowControl w:val="0"/>
      </w:pPr>
      <w:r>
        <w:tab/>
        <w:t>Respecto a los daños se remitió al i</w:t>
      </w:r>
      <w:r>
        <w:t>n</w:t>
      </w:r>
      <w:r>
        <w:t xml:space="preserve">forme producido por </w:t>
      </w:r>
      <w:smartTag w:uri="urn:schemas-microsoft-com:office:smarttags" w:element="PersonName">
        <w:smartTagPr>
          <w:attr w:name="ProductID" w:val="la Divisi￳n Inmuebles"/>
        </w:smartTagPr>
        <w:r>
          <w:t>la División Inmuebles</w:t>
        </w:r>
      </w:smartTag>
      <w:r>
        <w:t xml:space="preserve"> de </w:t>
      </w:r>
      <w:smartTag w:uri="urn:schemas-microsoft-com:office:smarttags" w:element="PersonName">
        <w:smartTagPr>
          <w:attr w:name="ProductID" w:val="la Superintendencia"/>
        </w:smartTagPr>
        <w:r>
          <w:t>la Superi</w:t>
        </w:r>
        <w:r>
          <w:t>n</w:t>
        </w:r>
        <w:r>
          <w:t>tendencia</w:t>
        </w:r>
      </w:smartTag>
      <w:r>
        <w:t xml:space="preserve"> de Administración de </w:t>
      </w:r>
      <w:smartTag w:uri="urn:schemas-microsoft-com:office:smarttags" w:element="PersonName">
        <w:smartTagPr>
          <w:attr w:name="ProductID" w:val="la Polic￭a Federal"/>
        </w:smartTagPr>
        <w:r>
          <w:t>la Policía Federal</w:t>
        </w:r>
      </w:smartTag>
      <w:r>
        <w:t xml:space="preserve"> Argent</w:t>
      </w:r>
      <w:r>
        <w:t>i</w:t>
      </w:r>
      <w:r>
        <w:t>na.</w:t>
      </w:r>
    </w:p>
    <w:p w:rsidR="00224567" w:rsidRDefault="00224567">
      <w:pPr>
        <w:widowControl w:val="0"/>
      </w:pPr>
      <w:r>
        <w:tab/>
        <w:t xml:space="preserve">Indicó que si bien </w:t>
      </w:r>
      <w:r>
        <w:rPr>
          <w:lang w:val="es-ES_tradnl"/>
        </w:rPr>
        <w:t xml:space="preserve">Carlos Rigoberto </w:t>
      </w:r>
      <w:r>
        <w:t>Heindereich</w:t>
      </w:r>
      <w:r>
        <w:rPr>
          <w:lang w:val="es-ES_tradnl"/>
        </w:rPr>
        <w:t xml:space="preserve"> y María </w:t>
      </w:r>
      <w:r>
        <w:t>Nicolasa</w:t>
      </w:r>
      <w:r>
        <w:rPr>
          <w:lang w:val="es-ES_tradnl"/>
        </w:rPr>
        <w:t xml:space="preserve"> Romero, cuyos testimonios c</w:t>
      </w:r>
      <w:r>
        <w:rPr>
          <w:lang w:val="es-ES_tradnl"/>
        </w:rPr>
        <w:t>a</w:t>
      </w:r>
      <w:r>
        <w:rPr>
          <w:lang w:val="es-ES_tradnl"/>
        </w:rPr>
        <w:t xml:space="preserve">lificó de “extraños”, </w:t>
      </w:r>
      <w:r>
        <w:t xml:space="preserve"> fueron los únicos que tuvieron co</w:t>
      </w:r>
      <w:r>
        <w:t>n</w:t>
      </w:r>
      <w:r>
        <w:t>tacto visual con la camioneta que transportó el explos</w:t>
      </w:r>
      <w:r>
        <w:t>i</w:t>
      </w:r>
      <w:r>
        <w:t xml:space="preserve">vo, </w:t>
      </w:r>
      <w:r>
        <w:rPr>
          <w:lang w:val="es-ES_tradnl"/>
        </w:rPr>
        <w:t xml:space="preserve">su paso por el lugar también lo acreditaban los dichos de </w:t>
      </w:r>
      <w:r>
        <w:t>Salomón Mario Seltzer y</w:t>
      </w:r>
      <w:r>
        <w:rPr>
          <w:lang w:val="es-ES_tradnl"/>
        </w:rPr>
        <w:t xml:space="preserve"> Mónica Arnaudo de Yabian</w:t>
      </w:r>
      <w:r>
        <w:rPr>
          <w:lang w:val="es-ES_tradnl"/>
        </w:rPr>
        <w:t>s</w:t>
      </w:r>
      <w:r>
        <w:rPr>
          <w:lang w:val="es-ES_tradnl"/>
        </w:rPr>
        <w:t>ky</w:t>
      </w:r>
      <w:r>
        <w:t>.</w:t>
      </w:r>
    </w:p>
    <w:p w:rsidR="00224567" w:rsidRDefault="00224567">
      <w:pPr>
        <w:widowControl w:val="0"/>
      </w:pPr>
      <w:r>
        <w:tab/>
        <w:t>Sostuvo que de la escena previa a la explosión y de la forma en que los coches se encontraban estacionados, dieron cuenta Rosa Montano de Barreiros, D</w:t>
      </w:r>
      <w:r>
        <w:t>a</w:t>
      </w:r>
      <w:r>
        <w:t>niel Eduardo Joffe, Gabriel Alberto Villalba, Gustavo A</w:t>
      </w:r>
      <w:r>
        <w:t>l</w:t>
      </w:r>
      <w:r>
        <w:lastRenderedPageBreak/>
        <w:t>berto Acuña, Jorge Enrique Kaiser, Gabriel Omar Gute</w:t>
      </w:r>
      <w:r>
        <w:t>s</w:t>
      </w:r>
      <w:r>
        <w:t>man, José Manuel Olascoaga, Miguel Ángel Rodríguez, Juan Albe</w:t>
      </w:r>
      <w:r>
        <w:t>r</w:t>
      </w:r>
      <w:r>
        <w:t>to López, Enrique Antonio Cárdenas, Horacio Salomone, T</w:t>
      </w:r>
      <w:r>
        <w:t>a</w:t>
      </w:r>
      <w:r>
        <w:t>mara Bursuck de Scher y Daniel O</w:t>
      </w:r>
      <w:r>
        <w:t>s</w:t>
      </w:r>
      <w:r>
        <w:t>valdo Saravia.</w:t>
      </w:r>
    </w:p>
    <w:p w:rsidR="00224567" w:rsidRDefault="00224567">
      <w:pPr>
        <w:widowControl w:val="0"/>
        <w:rPr>
          <w:b/>
        </w:rPr>
      </w:pPr>
      <w:r>
        <w:tab/>
        <w:t>Tras memorar el recorrido de la pe</w:t>
      </w:r>
      <w:r>
        <w:t>s</w:t>
      </w:r>
      <w:r>
        <w:t>quisa, luego de hallar entre los escombros el motor nº 2.831.467 que conformaba la camioneta Trafic cuyo último titular fue “Messin S.R.L.”, sostuvo que Alejandro Monjo le vendió dicho rodado a Carlos Alberto Telle</w:t>
      </w:r>
      <w:r>
        <w:t>l</w:t>
      </w:r>
      <w:r>
        <w:t>dín, el 4 de julio de 1994 y que lo ún</w:t>
      </w:r>
      <w:r>
        <w:t>i</w:t>
      </w:r>
      <w:r>
        <w:t>co que se pudo acreditar fue que a la camioneta de dicha e</w:t>
      </w:r>
      <w:r>
        <w:t>m</w:t>
      </w:r>
      <w:r>
        <w:t>presa se le extrajo el motor en el taller de Cotoras, sin saber con certeza quién realizó la op</w:t>
      </w:r>
      <w:r>
        <w:t>e</w:t>
      </w:r>
      <w:r>
        <w:t>ración</w:t>
      </w:r>
      <w:r>
        <w:rPr>
          <w:b/>
        </w:rPr>
        <w:t>.</w:t>
      </w:r>
    </w:p>
    <w:p w:rsidR="00224567" w:rsidRDefault="00224567">
      <w:pPr>
        <w:widowControl w:val="0"/>
      </w:pPr>
      <w:r>
        <w:tab/>
        <w:t>Afirmó que el motor fue montado sobre una carrocería de Renault Trafic, corta y con puerta lat</w:t>
      </w:r>
      <w:r>
        <w:t>e</w:t>
      </w:r>
      <w:r>
        <w:t>ral, acerca de la cual, hasta el momento, no se o</w:t>
      </w:r>
      <w:r>
        <w:t>b</w:t>
      </w:r>
      <w:r>
        <w:t>tuvieron precisiones debido, según dijo, a negligencias de la in</w:t>
      </w:r>
      <w:r>
        <w:t>s</w:t>
      </w:r>
      <w:r>
        <w:t>trucción, al no haber rastreado debidamente todas las Tr</w:t>
      </w:r>
      <w:r>
        <w:t>a</w:t>
      </w:r>
      <w:r>
        <w:t>fic posibles y que el 10 de julio de 1994 Telleldín se desprendió del vehículo así conformado p</w:t>
      </w:r>
      <w:r>
        <w:t>a</w:t>
      </w:r>
      <w:r>
        <w:t>ra entregárselo, según los dichos de éste, a un tal Ramón Mart</w:t>
      </w:r>
      <w:r>
        <w:t>í</w:t>
      </w:r>
      <w:r>
        <w:t>nez.</w:t>
      </w:r>
    </w:p>
    <w:p w:rsidR="00224567" w:rsidRDefault="00224567">
      <w:pPr>
        <w:widowControl w:val="0"/>
        <w:rPr>
          <w:bCs/>
        </w:rPr>
      </w:pPr>
      <w:r>
        <w:rPr>
          <w:bCs/>
        </w:rPr>
        <w:lastRenderedPageBreak/>
        <w:tab/>
        <w:t xml:space="preserve">Indicó, además, que </w:t>
      </w:r>
      <w:smartTag w:uri="urn:schemas-microsoft-com:office:smarttags" w:element="PersonName">
        <w:smartTagPr>
          <w:attr w:name="ProductID" w:val="la Trafic"/>
        </w:smartTagPr>
        <w:r>
          <w:rPr>
            <w:bCs/>
          </w:rPr>
          <w:t>la Trafic</w:t>
        </w:r>
      </w:smartTag>
      <w:r>
        <w:rPr>
          <w:bCs/>
        </w:rPr>
        <w:t xml:space="preserve"> en cue</w:t>
      </w:r>
      <w:r>
        <w:rPr>
          <w:bCs/>
        </w:rPr>
        <w:t>s</w:t>
      </w:r>
      <w:r>
        <w:rPr>
          <w:bCs/>
        </w:rPr>
        <w:t>tión fue estacionada el viernes 15 de julio en el estaci</w:t>
      </w:r>
      <w:r>
        <w:rPr>
          <w:bCs/>
        </w:rPr>
        <w:t>o</w:t>
      </w:r>
      <w:r>
        <w:rPr>
          <w:bCs/>
        </w:rPr>
        <w:t>namiento “Jet Parking”, sito en Azcuén</w:t>
      </w:r>
      <w:r>
        <w:rPr>
          <w:bCs/>
        </w:rPr>
        <w:t>a</w:t>
      </w:r>
      <w:r>
        <w:rPr>
          <w:bCs/>
        </w:rPr>
        <w:t>ga entre Marcelo T. de Alvear y Paraguay de esta ciudad, conforme los testim</w:t>
      </w:r>
      <w:r>
        <w:rPr>
          <w:bCs/>
        </w:rPr>
        <w:t>o</w:t>
      </w:r>
      <w:r>
        <w:rPr>
          <w:bCs/>
        </w:rPr>
        <w:t xml:space="preserve">nios de José Antonio Díaz, Jorge Carlos Giser y Elena </w:t>
      </w:r>
      <w:r>
        <w:t>Schargorodsky</w:t>
      </w:r>
      <w:r>
        <w:rPr>
          <w:bCs/>
        </w:rPr>
        <w:t>.</w:t>
      </w:r>
    </w:p>
    <w:p w:rsidR="00224567" w:rsidRDefault="00224567">
      <w:pPr>
        <w:widowControl w:val="0"/>
      </w:pPr>
      <w:r>
        <w:tab/>
        <w:t>Asimismo, el letrado señaló que una vez ocurrido el atentado y a fin de no ser aprehendido, Telleldín decidió mudar su domicilio, por lo que conc</w:t>
      </w:r>
      <w:r>
        <w:t>u</w:t>
      </w:r>
      <w:r>
        <w:t>rrió a una inmobiliaria en la que señó una propiedad para a</w:t>
      </w:r>
      <w:r>
        <w:t>l</w:t>
      </w:r>
      <w:r>
        <w:t>quilar, todo lo cual transcurrió en un clima de gran ne</w:t>
      </w:r>
      <w:r>
        <w:t>r</w:t>
      </w:r>
      <w:r>
        <w:t>viosismo y preocupación ante la evidencia de que la cami</w:t>
      </w:r>
      <w:r>
        <w:t>o</w:t>
      </w:r>
      <w:r>
        <w:t xml:space="preserve">neta que suministró había sido la que explotó en </w:t>
      </w:r>
      <w:smartTag w:uri="urn:schemas-microsoft-com:office:smarttags" w:element="PersonName">
        <w:smartTagPr>
          <w:attr w:name="ProductID" w:val="la A.M"/>
        </w:smartTagPr>
        <w:r>
          <w:t>la A.M</w:t>
        </w:r>
      </w:smartTag>
      <w:r>
        <w:t>.I.A., fugándose luego a Paraguay en ó</w:t>
      </w:r>
      <w:r>
        <w:t>m</w:t>
      </w:r>
      <w:r>
        <w:t>nibus.</w:t>
      </w:r>
    </w:p>
    <w:p w:rsidR="00224567" w:rsidRDefault="00224567">
      <w:pPr>
        <w:widowControl w:val="0"/>
      </w:pPr>
      <w:r>
        <w:tab/>
        <w:t xml:space="preserve">Recordó que Telleldín se entregó en el aeroparque metropolitano el 27 de julio de </w:t>
      </w:r>
      <w:smartTag w:uri="urn:schemas-microsoft-com:office:smarttags" w:element="metricconverter">
        <w:smartTagPr>
          <w:attr w:name="ProductID" w:val="1994 a"/>
        </w:smartTagPr>
        <w:r>
          <w:t>1994 a</w:t>
        </w:r>
      </w:smartTag>
      <w:r>
        <w:t xml:space="preserve"> las a</w:t>
      </w:r>
      <w:r>
        <w:t>u</w:t>
      </w:r>
      <w:r>
        <w:t xml:space="preserve">toridades de Policía Aeronáutica Nacional, encontrándose también presentes personal de </w:t>
      </w:r>
      <w:smartTag w:uri="urn:schemas-microsoft-com:office:smarttags" w:element="PersonName">
        <w:smartTagPr>
          <w:attr w:name="ProductID" w:val="la S.I"/>
        </w:smartTagPr>
        <w:r>
          <w:t>la S.I</w:t>
        </w:r>
      </w:smartTag>
      <w:r>
        <w:t xml:space="preserve">.D.E. y de </w:t>
      </w:r>
      <w:smartTag w:uri="urn:schemas-microsoft-com:office:smarttags" w:element="PersonName">
        <w:smartTagPr>
          <w:attr w:name="ProductID" w:val="la Polic￭a Federal."/>
        </w:smartTagPr>
        <w:r>
          <w:t>la P</w:t>
        </w:r>
        <w:r>
          <w:t>o</w:t>
        </w:r>
        <w:r>
          <w:t>licía Federal.</w:t>
        </w:r>
      </w:smartTag>
    </w:p>
    <w:p w:rsidR="00224567" w:rsidRDefault="00224567">
      <w:pPr>
        <w:widowControl w:val="0"/>
      </w:pPr>
      <w:r>
        <w:tab/>
        <w:t xml:space="preserve">A juicio de esa querella, por esos </w:t>
      </w:r>
      <w:r>
        <w:lastRenderedPageBreak/>
        <w:t>días Telleldín negoció con las fuerzas de seguridad y de inteligencia -nacionales y extranjeras- qué versión pr</w:t>
      </w:r>
      <w:r>
        <w:t>o</w:t>
      </w:r>
      <w:r>
        <w:t xml:space="preserve">porcionaría al declarar, basando tal afirmación en la transcripción de una escucha telefónica con un agente de </w:t>
      </w:r>
      <w:smartTag w:uri="urn:schemas-microsoft-com:office:smarttags" w:element="PersonName">
        <w:smartTagPr>
          <w:attr w:name="ProductID" w:val="la S.I"/>
        </w:smartTagPr>
        <w:r>
          <w:t>la S.I</w:t>
        </w:r>
      </w:smartTag>
      <w:r>
        <w:t>.D.E. de seud</w:t>
      </w:r>
      <w:r>
        <w:t>ó</w:t>
      </w:r>
      <w:r>
        <w:t>nimo "Gastón".</w:t>
      </w:r>
    </w:p>
    <w:p w:rsidR="00224567" w:rsidRDefault="00224567">
      <w:pPr>
        <w:widowControl w:val="0"/>
      </w:pPr>
      <w:r>
        <w:tab/>
        <w:t>Precisó que Telleldín, inicialmente, afirmó que había p</w:t>
      </w:r>
      <w:r>
        <w:t>u</w:t>
      </w:r>
      <w:r>
        <w:t xml:space="preserve">blicado un aviso el 9 de julio de 1994, recibiendo varios llamados por </w:t>
      </w:r>
      <w:smartTag w:uri="urn:schemas-microsoft-com:office:smarttags" w:element="PersonName">
        <w:smartTagPr>
          <w:attr w:name="ProductID" w:val="la Trafic"/>
        </w:smartTagPr>
        <w:r>
          <w:t>la Trafic</w:t>
        </w:r>
      </w:smartTag>
      <w:r>
        <w:t xml:space="preserve"> y que recién el 10 se la vendió a una persona de acento ce</w:t>
      </w:r>
      <w:r>
        <w:t>n</w:t>
      </w:r>
      <w:r>
        <w:t>troamericano en la suma de 11.500 pesos, intentando acreditar su versión con un boleto de co</w:t>
      </w:r>
      <w:r>
        <w:t>m</w:t>
      </w:r>
      <w:r>
        <w:t>praventa a nombre de Ramón Martínez.</w:t>
      </w:r>
    </w:p>
    <w:p w:rsidR="00224567" w:rsidRDefault="00224567">
      <w:pPr>
        <w:widowControl w:val="0"/>
      </w:pPr>
      <w:r>
        <w:rPr>
          <w:lang w:val="es-ES_tradnl"/>
        </w:rPr>
        <w:tab/>
        <w:t>Respecto a la investigación re</w:t>
      </w:r>
      <w:r>
        <w:rPr>
          <w:lang w:val="es-ES_tradnl"/>
        </w:rPr>
        <w:t>a</w:t>
      </w:r>
      <w:r>
        <w:rPr>
          <w:lang w:val="es-ES_tradnl"/>
        </w:rPr>
        <w:t xml:space="preserve">lizada en el lugar del hecho, el letrado sostuvo que la </w:t>
      </w:r>
      <w:r>
        <w:t>recole</w:t>
      </w:r>
      <w:r>
        <w:t>c</w:t>
      </w:r>
      <w:r>
        <w:t>ción de elementos de prueba y de rastros fue absol</w:t>
      </w:r>
      <w:r>
        <w:t>u</w:t>
      </w:r>
      <w:r>
        <w:t>tamente deficiente, que el personal de las diversas agencias est</w:t>
      </w:r>
      <w:r>
        <w:t>a</w:t>
      </w:r>
      <w:r>
        <w:t>tales no estaba debidamente entrenado para este tipo de sucesos, que no se franjó la zona permitiendo la contam</w:t>
      </w:r>
      <w:r>
        <w:t>i</w:t>
      </w:r>
      <w:r>
        <w:t>nación de las pruebas y que se confe</w:t>
      </w:r>
      <w:r>
        <w:t>c</w:t>
      </w:r>
      <w:r>
        <w:t>cionaron innumerable cantidad de actas de secuestro irregulares, falsas e i</w:t>
      </w:r>
      <w:r>
        <w:t>n</w:t>
      </w:r>
      <w:r>
        <w:t>completas, aduciendo problemas de seguridad por la posib</w:t>
      </w:r>
      <w:r>
        <w:t>i</w:t>
      </w:r>
      <w:r>
        <w:t>lidad de nuevos derrumbes.</w:t>
      </w:r>
    </w:p>
    <w:p w:rsidR="00224567" w:rsidRDefault="00224567">
      <w:pPr>
        <w:widowControl w:val="0"/>
      </w:pPr>
      <w:r>
        <w:lastRenderedPageBreak/>
        <w:tab/>
        <w:t>Con la sola alusión, sin identifica</w:t>
      </w:r>
      <w:r>
        <w:t>r</w:t>
      </w:r>
      <w:r>
        <w:t>las, de aquellas personas que participaron, el apoderado de la querella tuvo por probado el hallazgo del bl</w:t>
      </w:r>
      <w:r>
        <w:t>o</w:t>
      </w:r>
      <w:r>
        <w:t>que del motor, del amortiguador y de otras piezas que, también sin indicarlas, calificó de i</w:t>
      </w:r>
      <w:r>
        <w:t>n</w:t>
      </w:r>
      <w:r>
        <w:t>terés.</w:t>
      </w:r>
    </w:p>
    <w:p w:rsidR="00224567" w:rsidRDefault="00224567">
      <w:pPr>
        <w:widowControl w:val="0"/>
        <w:rPr>
          <w:lang w:val="es-ES_tradnl"/>
        </w:rPr>
      </w:pPr>
      <w:r>
        <w:tab/>
        <w:t>Valoró el hallazgo de un amort</w:t>
      </w:r>
      <w:r>
        <w:t>i</w:t>
      </w:r>
      <w:r>
        <w:t>guador incrustado en el cuerpo de Ramón Alberto Díaz como eleme</w:t>
      </w:r>
      <w:r>
        <w:t>n</w:t>
      </w:r>
      <w:r>
        <w:t>to crucial para sostener la existencia de un cochebomba, para lo cual tuvo en cuenta los testimonios de Carlos A</w:t>
      </w:r>
      <w:r>
        <w:t>l</w:t>
      </w:r>
      <w:r>
        <w:t>berto Navari, Osvaldo Héctor Curci, del médico legista A</w:t>
      </w:r>
      <w:r>
        <w:t>l</w:t>
      </w:r>
      <w:r>
        <w:t>fredo Horacio Sapag y del técnico de Renault L</w:t>
      </w:r>
      <w:r>
        <w:rPr>
          <w:lang w:val="es-ES_tradnl"/>
        </w:rPr>
        <w:t>uis Omar G</w:t>
      </w:r>
      <w:r>
        <w:rPr>
          <w:lang w:val="es-ES_tradnl"/>
        </w:rPr>
        <w:t>a</w:t>
      </w:r>
      <w:r>
        <w:rPr>
          <w:lang w:val="es-ES_tradnl"/>
        </w:rPr>
        <w:t>riboldi.</w:t>
      </w:r>
    </w:p>
    <w:p w:rsidR="00224567" w:rsidRDefault="00224567">
      <w:pPr>
        <w:widowControl w:val="0"/>
      </w:pPr>
      <w:r>
        <w:rPr>
          <w:lang w:val="es-ES_tradnl"/>
        </w:rPr>
        <w:tab/>
        <w:t>Recordó también el testimonio de M</w:t>
      </w:r>
      <w:r>
        <w:rPr>
          <w:lang w:val="es-ES_tradnl"/>
        </w:rPr>
        <w:t>i</w:t>
      </w:r>
      <w:r>
        <w:rPr>
          <w:lang w:val="es-ES_tradnl"/>
        </w:rPr>
        <w:t xml:space="preserve">guel Ángel Castro, principal de </w:t>
      </w:r>
      <w:smartTag w:uri="urn:schemas-microsoft-com:office:smarttags" w:element="PersonName">
        <w:smartTagPr>
          <w:attr w:name="ProductID" w:val="la Seccional"/>
        </w:smartTagPr>
        <w:r>
          <w:rPr>
            <w:lang w:val="es-ES_tradnl"/>
          </w:rPr>
          <w:t>la Seccional</w:t>
        </w:r>
      </w:smartTag>
      <w:r>
        <w:rPr>
          <w:lang w:val="es-ES_tradnl"/>
        </w:rPr>
        <w:t xml:space="preserve"> 5ª de </w:t>
      </w:r>
      <w:smartTag w:uri="urn:schemas-microsoft-com:office:smarttags" w:element="PersonName">
        <w:smartTagPr>
          <w:attr w:name="ProductID" w:val="la P.F"/>
        </w:smartTagPr>
        <w:r>
          <w:rPr>
            <w:lang w:val="es-ES_tradnl"/>
          </w:rPr>
          <w:t>la P.F</w:t>
        </w:r>
      </w:smartTag>
      <w:r>
        <w:rPr>
          <w:lang w:val="es-ES_tradnl"/>
        </w:rPr>
        <w:t>.A., quien se encargó del traslado de los cadáveres, quien reconoció el cadáver al que se le incrustó el amo</w:t>
      </w:r>
      <w:r>
        <w:rPr>
          <w:lang w:val="es-ES_tradnl"/>
        </w:rPr>
        <w:t>r</w:t>
      </w:r>
      <w:r>
        <w:rPr>
          <w:lang w:val="es-ES_tradnl"/>
        </w:rPr>
        <w:t>tiguador como perteneciente al encargado del edificio ub</w:t>
      </w:r>
      <w:r>
        <w:rPr>
          <w:lang w:val="es-ES_tradnl"/>
        </w:rPr>
        <w:t>i</w:t>
      </w:r>
      <w:r>
        <w:rPr>
          <w:lang w:val="es-ES_tradnl"/>
        </w:rPr>
        <w:t xml:space="preserve">cado enfrente de </w:t>
      </w:r>
      <w:smartTag w:uri="urn:schemas-microsoft-com:office:smarttags" w:element="PersonName">
        <w:smartTagPr>
          <w:attr w:name="ProductID" w:val="la A.M"/>
        </w:smartTagPr>
        <w:r>
          <w:rPr>
            <w:lang w:val="es-ES_tradnl"/>
          </w:rPr>
          <w:t>la A.M</w:t>
        </w:r>
      </w:smartTag>
      <w:r>
        <w:rPr>
          <w:lang w:val="es-ES_tradnl"/>
        </w:rPr>
        <w:t>.I.A.; circunstancia que igualmente ratificaron Eduardo Alberto Fernández, empleado de la mo</w:t>
      </w:r>
      <w:r>
        <w:rPr>
          <w:lang w:val="es-ES_tradnl"/>
        </w:rPr>
        <w:t>r</w:t>
      </w:r>
      <w:r>
        <w:rPr>
          <w:lang w:val="es-ES_tradnl"/>
        </w:rPr>
        <w:t>gue judicial, y Juan</w:t>
      </w:r>
      <w:r>
        <w:t xml:space="preserve"> Dante Falzarano, operador de </w:t>
      </w:r>
      <w:smartTag w:uri="urn:schemas-microsoft-com:office:smarttags" w:element="PersonName">
        <w:smartTagPr>
          <w:attr w:name="ProductID" w:val="la Brigada"/>
        </w:smartTagPr>
        <w:r>
          <w:t>la Br</w:t>
        </w:r>
        <w:r>
          <w:t>i</w:t>
        </w:r>
        <w:r>
          <w:lastRenderedPageBreak/>
          <w:t>gada</w:t>
        </w:r>
      </w:smartTag>
      <w:r>
        <w:t xml:space="preserve"> de Explosivos y que, a su ju</w:t>
      </w:r>
      <w:r>
        <w:t>i</w:t>
      </w:r>
      <w:r>
        <w:t xml:space="preserve">cio, echa por tierra la hipótesis de que </w:t>
      </w:r>
      <w:smartTag w:uri="urn:schemas-microsoft-com:office:smarttags" w:element="PersonName">
        <w:smartTagPr>
          <w:attr w:name="ProductID" w:val="la Trafic"/>
        </w:smartTagPr>
        <w:r>
          <w:t>la Trafic</w:t>
        </w:r>
      </w:smartTag>
      <w:r>
        <w:t xml:space="preserve"> fue "sembrada" después de la explosión.</w:t>
      </w:r>
    </w:p>
    <w:p w:rsidR="00224567" w:rsidRDefault="00224567">
      <w:pPr>
        <w:widowControl w:val="0"/>
        <w:rPr>
          <w:lang w:val="es-ES_tradnl"/>
        </w:rPr>
      </w:pPr>
      <w:r>
        <w:tab/>
      </w:r>
      <w:r>
        <w:rPr>
          <w:lang w:val="es-ES_tradnl"/>
        </w:rPr>
        <w:t>Consideró probado que la camioneta Trafic portaba un sustancia explosiva compuesta por am</w:t>
      </w:r>
      <w:r>
        <w:rPr>
          <w:lang w:val="es-ES_tradnl"/>
        </w:rPr>
        <w:t>o</w:t>
      </w:r>
      <w:r>
        <w:rPr>
          <w:lang w:val="es-ES_tradnl"/>
        </w:rPr>
        <w:t xml:space="preserve">nal, en una cantidad aproximada a los </w:t>
      </w:r>
      <w:smartTag w:uri="urn:schemas-microsoft-com:office:smarttags" w:element="metricconverter">
        <w:smartTagPr>
          <w:attr w:name="ProductID" w:val="300 kg"/>
        </w:smartTagPr>
        <w:r>
          <w:rPr>
            <w:lang w:val="es-ES_tradnl"/>
          </w:rPr>
          <w:t>300 kg</w:t>
        </w:r>
      </w:smartTag>
      <w:r>
        <w:rPr>
          <w:lang w:val="es-ES_tradnl"/>
        </w:rPr>
        <w:t xml:space="preserve"> y unos </w:t>
      </w:r>
      <w:smartTag w:uri="urn:schemas-microsoft-com:office:smarttags" w:element="metricconverter">
        <w:smartTagPr>
          <w:attr w:name="ProductID" w:val="4 kg"/>
        </w:smartTagPr>
        <w:r>
          <w:rPr>
            <w:lang w:val="es-ES_tradnl"/>
          </w:rPr>
          <w:t>4 kg</w:t>
        </w:r>
      </w:smartTag>
      <w:r>
        <w:rPr>
          <w:lang w:val="es-ES_tradnl"/>
        </w:rPr>
        <w:t xml:space="preserve"> de T.N.T. como elemento detonador, conforme las conclusi</w:t>
      </w:r>
      <w:r>
        <w:rPr>
          <w:lang w:val="es-ES_tradnl"/>
        </w:rPr>
        <w:t>o</w:t>
      </w:r>
      <w:r>
        <w:rPr>
          <w:lang w:val="es-ES_tradnl"/>
        </w:rPr>
        <w:t xml:space="preserve">nes del Informe Preliminar y la declaración del comisario inspector </w:t>
      </w:r>
      <w:r>
        <w:t>Carlos Néstor López; conclusiones que ratific</w:t>
      </w:r>
      <w:r>
        <w:t>a</w:t>
      </w:r>
      <w:r>
        <w:t xml:space="preserve">ron los testigos </w:t>
      </w:r>
      <w:r>
        <w:rPr>
          <w:bCs/>
          <w:lang w:val="es-ES_tradnl"/>
        </w:rPr>
        <w:t>Carlos Daniel Gonz</w:t>
      </w:r>
      <w:r>
        <w:rPr>
          <w:bCs/>
          <w:lang w:val="es-ES_tradnl"/>
        </w:rPr>
        <w:t>á</w:t>
      </w:r>
      <w:r>
        <w:rPr>
          <w:bCs/>
          <w:lang w:val="es-ES_tradnl"/>
        </w:rPr>
        <w:t>lez, Vicente Marciano Herrán, M</w:t>
      </w:r>
      <w:r>
        <w:rPr>
          <w:bCs/>
          <w:lang w:val="es-MX"/>
        </w:rPr>
        <w:t>auricio Adrián Barrera, P</w:t>
      </w:r>
      <w:r>
        <w:rPr>
          <w:bCs/>
        </w:rPr>
        <w:t>ablo Claudio Granv</w:t>
      </w:r>
      <w:r>
        <w:rPr>
          <w:bCs/>
        </w:rPr>
        <w:t>i</w:t>
      </w:r>
      <w:r>
        <w:rPr>
          <w:bCs/>
        </w:rPr>
        <w:t>llano, Daniel Alejandro Converso</w:t>
      </w:r>
      <w:r>
        <w:rPr>
          <w:bCs/>
          <w:lang w:val="es-ES_tradnl"/>
        </w:rPr>
        <w:t>, R</w:t>
      </w:r>
      <w:r>
        <w:rPr>
          <w:bCs/>
          <w:lang w:val="es-AR"/>
        </w:rPr>
        <w:t xml:space="preserve">icardo Torello, </w:t>
      </w:r>
      <w:r>
        <w:rPr>
          <w:bCs/>
        </w:rPr>
        <w:t xml:space="preserve">Gustavo Merlo, </w:t>
      </w:r>
      <w:r>
        <w:rPr>
          <w:bCs/>
          <w:lang w:val="es-AR"/>
        </w:rPr>
        <w:t>R</w:t>
      </w:r>
      <w:r>
        <w:rPr>
          <w:bCs/>
        </w:rPr>
        <w:t>icardo Agustín Padula, David Richard Williams y Dani Dror</w:t>
      </w:r>
      <w:r>
        <w:t xml:space="preserve"> y el </w:t>
      </w:r>
      <w:r>
        <w:rPr>
          <w:lang w:val="es-ES_tradnl"/>
        </w:rPr>
        <w:t>peritaje químico efectuado sobre los el</w:t>
      </w:r>
      <w:r>
        <w:rPr>
          <w:lang w:val="es-ES_tradnl"/>
        </w:rPr>
        <w:t>e</w:t>
      </w:r>
      <w:r>
        <w:rPr>
          <w:lang w:val="es-ES_tradnl"/>
        </w:rPr>
        <w:t>mentos hallados en el lugar del atentado, entre los que se e</w:t>
      </w:r>
      <w:r>
        <w:rPr>
          <w:lang w:val="es-ES_tradnl"/>
        </w:rPr>
        <w:t>n</w:t>
      </w:r>
      <w:r>
        <w:rPr>
          <w:lang w:val="es-ES_tradnl"/>
        </w:rPr>
        <w:t>cuentra el bloque del motor nº 2.831.467.</w:t>
      </w:r>
    </w:p>
    <w:p w:rsidR="00224567" w:rsidRDefault="00224567">
      <w:pPr>
        <w:widowControl w:val="0"/>
      </w:pPr>
      <w:r>
        <w:rPr>
          <w:lang w:val="es-ES_tradnl"/>
        </w:rPr>
        <w:tab/>
        <w:t>Respecto al olor a amoníaco en el l</w:t>
      </w:r>
      <w:r>
        <w:rPr>
          <w:lang w:val="es-ES_tradnl"/>
        </w:rPr>
        <w:t>u</w:t>
      </w:r>
      <w:r>
        <w:rPr>
          <w:lang w:val="es-ES_tradnl"/>
        </w:rPr>
        <w:t>gar, hizo mención a los dichos de Juan Carlos Álvarez, E</w:t>
      </w:r>
      <w:r>
        <w:rPr>
          <w:lang w:val="es-ES_tradnl"/>
        </w:rPr>
        <w:t>n</w:t>
      </w:r>
      <w:r>
        <w:rPr>
          <w:lang w:val="es-ES_tradnl"/>
        </w:rPr>
        <w:t>rique Antonio Cárdenas, Horacio Salomone, Tamara Scher, Aharón Edry, Natalio Sluzky, Hugo Fryszberg, Daniel Reis</w:t>
      </w:r>
      <w:r>
        <w:rPr>
          <w:lang w:val="es-ES_tradnl"/>
        </w:rPr>
        <w:t>e</w:t>
      </w:r>
      <w:r>
        <w:rPr>
          <w:lang w:val="es-ES_tradnl"/>
        </w:rPr>
        <w:t xml:space="preserve">man, Alejandro Daniel Verri, Sandra Abramson, Ana Maria </w:t>
      </w:r>
      <w:r>
        <w:rPr>
          <w:lang w:val="es-ES_tradnl"/>
        </w:rPr>
        <w:lastRenderedPageBreak/>
        <w:t>Rivas de Rikap, Silvia Verónica Carrizo, Esteban Adrián Kajt, Gregorio Oscar Militello, Luis</w:t>
      </w:r>
      <w:r>
        <w:t xml:space="preserve"> Carluccio y Rafael Ricardo Dep</w:t>
      </w:r>
      <w:r>
        <w:t>e</w:t>
      </w:r>
      <w:r>
        <w:t>tro.</w:t>
      </w:r>
    </w:p>
    <w:p w:rsidR="00224567" w:rsidRDefault="00224567">
      <w:pPr>
        <w:widowControl w:val="0"/>
      </w:pPr>
      <w:r>
        <w:tab/>
        <w:t>La querella también descartó que el volquete colocado frente a la mutual hubiera co</w:t>
      </w:r>
      <w:r>
        <w:t>n</w:t>
      </w:r>
      <w:r>
        <w:t>tenido el explosivo, para lo cual citó los testimonios de Rosa Mo</w:t>
      </w:r>
      <w:r>
        <w:t>n</w:t>
      </w:r>
      <w:r>
        <w:t>tano de Barreiros, Daniel Eduardo Joffe, Gabriel V</w:t>
      </w:r>
      <w:r>
        <w:t>i</w:t>
      </w:r>
      <w:r>
        <w:t>llalba, Gustavo Alberto Acuña, Jo</w:t>
      </w:r>
      <w:r>
        <w:t>r</w:t>
      </w:r>
      <w:r>
        <w:t>ge Enrique Kaiser, Adriana Inés Mena, Gabriel Omar Gutesman, Jorge Bordón, Juan Carlos Á</w:t>
      </w:r>
      <w:r>
        <w:t>l</w:t>
      </w:r>
      <w:r>
        <w:t>varez, Adolfo Guzmán, Silvio Duniec, Gregorio Marchak, O</w:t>
      </w:r>
      <w:r>
        <w:t>s</w:t>
      </w:r>
      <w:r>
        <w:t>valdo Laborda, José Manuel Olascoaga, Miguel Ángel Rodr</w:t>
      </w:r>
      <w:r>
        <w:t>í</w:t>
      </w:r>
      <w:r>
        <w:t>guez, Juan Alberto López, Daniel Saravia, Gustavo Albe</w:t>
      </w:r>
      <w:r>
        <w:t>r</w:t>
      </w:r>
      <w:r>
        <w:t>to Acuña, Isidro Horacio Neuah, Juan Carlos Terranova, Ang</w:t>
      </w:r>
      <w:r>
        <w:t>é</w:t>
      </w:r>
      <w:r>
        <w:t>lica Esther Leiva, León Enrique Benezra, Miguel Ángel Fe</w:t>
      </w:r>
      <w:r>
        <w:t>r</w:t>
      </w:r>
      <w:r>
        <w:t>nández, Guido Alberto Guzmán, Bernardo Kogan, Ernesto Ví</w:t>
      </w:r>
      <w:r>
        <w:t>c</w:t>
      </w:r>
      <w:r>
        <w:t>tor Ini, Carlos Alberto Gacitúa; Josefa María Vicente, E</w:t>
      </w:r>
      <w:r>
        <w:t>n</w:t>
      </w:r>
      <w:r>
        <w:t>rique Antonio Cárdenas, Enrique Barnes, Alejandro Saúl M</w:t>
      </w:r>
      <w:r>
        <w:t>i</w:t>
      </w:r>
      <w:r>
        <w:t>rochnik y Aharón Edry.</w:t>
      </w:r>
    </w:p>
    <w:p w:rsidR="00224567" w:rsidRDefault="00224567">
      <w:pPr>
        <w:widowControl w:val="0"/>
      </w:pPr>
      <w:r>
        <w:tab/>
        <w:t>Respecto del hallazgo del motor, el letrado trajo a colación los testimonios de Daniel R</w:t>
      </w:r>
      <w:r>
        <w:t>o</w:t>
      </w:r>
      <w:r>
        <w:t xml:space="preserve">berto </w:t>
      </w:r>
      <w:r>
        <w:lastRenderedPageBreak/>
        <w:t xml:space="preserve">Seara, Alberto Ángel Carita, Iván Ziminov Kramanov y </w:t>
      </w:r>
      <w:r>
        <w:rPr>
          <w:lang w:val="es-ES_tradnl"/>
        </w:rPr>
        <w:t>Ca</w:t>
      </w:r>
      <w:r>
        <w:rPr>
          <w:lang w:val="es-ES_tradnl"/>
        </w:rPr>
        <w:t>r</w:t>
      </w:r>
      <w:r>
        <w:rPr>
          <w:lang w:val="es-ES_tradnl"/>
        </w:rPr>
        <w:t>los Felipe Lugo, considerando probada la fa</w:t>
      </w:r>
      <w:r>
        <w:rPr>
          <w:lang w:val="es-ES_tradnl"/>
        </w:rPr>
        <w:t>l</w:t>
      </w:r>
      <w:r>
        <w:rPr>
          <w:lang w:val="es-ES_tradnl"/>
        </w:rPr>
        <w:t>sedad del acta de secuestro del bloque de motor que labró el oficial L</w:t>
      </w:r>
      <w:r>
        <w:rPr>
          <w:lang w:val="es-ES_tradnl"/>
        </w:rPr>
        <w:t>o</w:t>
      </w:r>
      <w:r>
        <w:rPr>
          <w:lang w:val="es-ES_tradnl"/>
        </w:rPr>
        <w:t>pardo, quien reconoció no haberse encontrado en el lugar en el m</w:t>
      </w:r>
      <w:r>
        <w:rPr>
          <w:lang w:val="es-ES_tradnl"/>
        </w:rPr>
        <w:t>o</w:t>
      </w:r>
      <w:r>
        <w:rPr>
          <w:lang w:val="es-ES_tradnl"/>
        </w:rPr>
        <w:t>mento del hallazgo y haber utilizado dos testigos que no lo presenci</w:t>
      </w:r>
      <w:r>
        <w:rPr>
          <w:lang w:val="es-ES_tradnl"/>
        </w:rPr>
        <w:t>a</w:t>
      </w:r>
      <w:r>
        <w:rPr>
          <w:lang w:val="es-ES_tradnl"/>
        </w:rPr>
        <w:t xml:space="preserve">ron; déficit que subsanaron los dichos </w:t>
      </w:r>
      <w:r>
        <w:t>de Nahum Frenkel, quien encontró el motor entre los esco</w:t>
      </w:r>
      <w:r>
        <w:t>m</w:t>
      </w:r>
      <w:r>
        <w:t>bros, debajo de una viga y Alberto Szwarc, quien corr</w:t>
      </w:r>
      <w:r>
        <w:t>o</w:t>
      </w:r>
      <w:r>
        <w:t>boró la versión del hallazgo ofrecida por aquél.</w:t>
      </w:r>
    </w:p>
    <w:p w:rsidR="00224567" w:rsidRDefault="00224567">
      <w:pPr>
        <w:widowControl w:val="0"/>
        <w:rPr>
          <w:lang w:val="es-ES_tradnl"/>
        </w:rPr>
      </w:pPr>
      <w:r>
        <w:tab/>
      </w:r>
      <w:r>
        <w:rPr>
          <w:lang w:val="es-ES_tradnl"/>
        </w:rPr>
        <w:tab/>
        <w:t>Con relación a la existencia de una impronta o cráter en el epicentro de la explosión, la qu</w:t>
      </w:r>
      <w:r>
        <w:rPr>
          <w:lang w:val="es-ES_tradnl"/>
        </w:rPr>
        <w:t>e</w:t>
      </w:r>
      <w:r>
        <w:rPr>
          <w:lang w:val="es-ES_tradnl"/>
        </w:rPr>
        <w:t xml:space="preserve">rella recordó los testimonios de Roberto Oscar Corsetti, Horacio Lopardo, Daniel Roberto Seara, </w:t>
      </w:r>
      <w:r>
        <w:t xml:space="preserve">Guillermo Pedro Scartascini, </w:t>
      </w:r>
      <w:r>
        <w:rPr>
          <w:lang w:val="es-ES_tradnl"/>
        </w:rPr>
        <w:t>Héctor Osva</w:t>
      </w:r>
      <w:r>
        <w:rPr>
          <w:lang w:val="es-ES_tradnl"/>
        </w:rPr>
        <w:t>l</w:t>
      </w:r>
      <w:r>
        <w:rPr>
          <w:lang w:val="es-ES_tradnl"/>
        </w:rPr>
        <w:t xml:space="preserve">do Borrone, </w:t>
      </w:r>
      <w:r>
        <w:rPr>
          <w:lang w:val="es-MX"/>
        </w:rPr>
        <w:t xml:space="preserve">Luis Alberto Álvarez, </w:t>
      </w:r>
      <w:r>
        <w:t>P</w:t>
      </w:r>
      <w:r>
        <w:t>a</w:t>
      </w:r>
      <w:r>
        <w:t xml:space="preserve">blo Claudio Granvillano, </w:t>
      </w:r>
      <w:r>
        <w:rPr>
          <w:lang w:val="es-ES_tradnl"/>
        </w:rPr>
        <w:t xml:space="preserve">Jorge Luis Vargas, Oscar Andrés Masserdotti, </w:t>
      </w:r>
      <w:r>
        <w:t xml:space="preserve">León Enrique Benezra, </w:t>
      </w:r>
      <w:r>
        <w:rPr>
          <w:lang w:val="es-ES_tradnl"/>
        </w:rPr>
        <w:t>José Bossio, Daniel C</w:t>
      </w:r>
      <w:r>
        <w:rPr>
          <w:lang w:val="es-ES_tradnl"/>
        </w:rPr>
        <w:t>a</w:t>
      </w:r>
      <w:r>
        <w:rPr>
          <w:lang w:val="es-ES_tradnl"/>
        </w:rPr>
        <w:t xml:space="preserve">pra, </w:t>
      </w:r>
      <w:r>
        <w:t xml:space="preserve">Juan María Cardoni, </w:t>
      </w:r>
      <w:r>
        <w:rPr>
          <w:lang w:val="es-ES_tradnl"/>
        </w:rPr>
        <w:t>Enrique Alliot, David Williams, Zeev Livne y D</w:t>
      </w:r>
      <w:r>
        <w:rPr>
          <w:lang w:val="es-ES_tradnl"/>
        </w:rPr>
        <w:t>a</w:t>
      </w:r>
      <w:r>
        <w:rPr>
          <w:lang w:val="es-ES_tradnl"/>
        </w:rPr>
        <w:t>ni Dror.</w:t>
      </w:r>
    </w:p>
    <w:p w:rsidR="00224567" w:rsidRDefault="00224567">
      <w:pPr>
        <w:widowControl w:val="0"/>
        <w:rPr>
          <w:lang w:val="es-ES_tradnl"/>
        </w:rPr>
      </w:pPr>
      <w:r>
        <w:rPr>
          <w:lang w:val="es-ES_tradnl"/>
        </w:rPr>
        <w:tab/>
      </w:r>
      <w:r>
        <w:rPr>
          <w:lang w:val="es-ES_tradnl"/>
        </w:rPr>
        <w:tab/>
        <w:t>Respecto al conjunto de evide</w:t>
      </w:r>
      <w:r>
        <w:rPr>
          <w:lang w:val="es-ES_tradnl"/>
        </w:rPr>
        <w:t>n</w:t>
      </w:r>
      <w:r>
        <w:rPr>
          <w:lang w:val="es-ES_tradnl"/>
        </w:rPr>
        <w:t>cias que acreditan el modo de comisión del hecho, recordó las co</w:t>
      </w:r>
      <w:r>
        <w:rPr>
          <w:lang w:val="es-ES_tradnl"/>
        </w:rPr>
        <w:t>n</w:t>
      </w:r>
      <w:r>
        <w:rPr>
          <w:lang w:val="es-ES_tradnl"/>
        </w:rPr>
        <w:t>clusiones que volcaron en la audiencia Carlos López, D</w:t>
      </w:r>
      <w:r>
        <w:rPr>
          <w:lang w:val="es-ES_tradnl"/>
        </w:rPr>
        <w:t>a</w:t>
      </w:r>
      <w:r>
        <w:rPr>
          <w:lang w:val="es-ES_tradnl"/>
        </w:rPr>
        <w:lastRenderedPageBreak/>
        <w:t>niel Alberto Helguero y Raúl Arbor, poniendo de relieve sus dichos respecto de la impronta o cráter, al igual que los de Miguel Ángel Fernández, Carlos Alberto Gacitúa y José María Gesualdi, quienes también refirieron haber vi</w:t>
      </w:r>
      <w:r>
        <w:rPr>
          <w:lang w:val="es-ES_tradnl"/>
        </w:rPr>
        <w:t>s</w:t>
      </w:r>
      <w:r>
        <w:rPr>
          <w:lang w:val="es-ES_tradnl"/>
        </w:rPr>
        <w:t>to el cráter en el mismo lugar que los anteriores test</w:t>
      </w:r>
      <w:r>
        <w:rPr>
          <w:lang w:val="es-ES_tradnl"/>
        </w:rPr>
        <w:t>i</w:t>
      </w:r>
      <w:r>
        <w:rPr>
          <w:lang w:val="es-ES_tradnl"/>
        </w:rPr>
        <w:t>gos.</w:t>
      </w:r>
    </w:p>
    <w:p w:rsidR="00224567" w:rsidRDefault="00224567">
      <w:pPr>
        <w:widowControl w:val="0"/>
        <w:rPr>
          <w:lang w:val="es-ES_tradnl"/>
        </w:rPr>
      </w:pPr>
      <w:r>
        <w:tab/>
        <w:t>Consideró inexplicable que dura</w:t>
      </w:r>
      <w:r>
        <w:t>n</w:t>
      </w:r>
      <w:r>
        <w:t>te la instrucción, etapa en la que debió intentarse recon</w:t>
      </w:r>
      <w:r>
        <w:t>s</w:t>
      </w:r>
      <w:r>
        <w:t>truir el hecho y conocer la verdad, no se haya convocado a d</w:t>
      </w:r>
      <w:r>
        <w:t>e</w:t>
      </w:r>
      <w:r>
        <w:t xml:space="preserve">clarar a aquellas personas que se encargaron del rescate de las víctimas, de la remoción de los escombros y de la recolección de prueba, poniendo de resalto el </w:t>
      </w:r>
      <w:r>
        <w:rPr>
          <w:lang w:val="es-ES_tradnl"/>
        </w:rPr>
        <w:t>valor que cabía asignarle a la reconstrucción vi</w:t>
      </w:r>
      <w:r>
        <w:rPr>
          <w:lang w:val="es-ES_tradnl"/>
        </w:rPr>
        <w:t>r</w:t>
      </w:r>
      <w:r>
        <w:rPr>
          <w:lang w:val="es-ES_tradnl"/>
        </w:rPr>
        <w:t xml:space="preserve">tual realizada por el Instituto de Estructuras de </w:t>
      </w:r>
      <w:smartTag w:uri="urn:schemas-microsoft-com:office:smarttags" w:element="PersonName">
        <w:smartTagPr>
          <w:attr w:name="ProductID" w:val="la Universidad Nacional"/>
        </w:smartTagPr>
        <w:r>
          <w:rPr>
            <w:lang w:val="es-ES_tradnl"/>
          </w:rPr>
          <w:t>la Universidad Nacional</w:t>
        </w:r>
      </w:smartTag>
      <w:r>
        <w:rPr>
          <w:lang w:val="es-ES_tradnl"/>
        </w:rPr>
        <w:t xml:space="preserve"> de Tucumán, dispuesta por el tr</w:t>
      </w:r>
      <w:r>
        <w:rPr>
          <w:lang w:val="es-ES_tradnl"/>
        </w:rPr>
        <w:t>i</w:t>
      </w:r>
      <w:r>
        <w:rPr>
          <w:lang w:val="es-ES_tradnl"/>
        </w:rPr>
        <w:t>bunal.</w:t>
      </w:r>
    </w:p>
    <w:p w:rsidR="00224567" w:rsidRDefault="00224567">
      <w:pPr>
        <w:widowControl w:val="0"/>
        <w:rPr>
          <w:lang w:val="es-ES_tradnl"/>
        </w:rPr>
      </w:pPr>
      <w:r>
        <w:rPr>
          <w:lang w:val="es-ES_tradnl"/>
        </w:rPr>
        <w:tab/>
        <w:t>En abono de sus afirmaciones, destacó la importancia de los hallazgos de piezas de automotor por parte de vecinos del lugar, tal como lo afirmaron José M</w:t>
      </w:r>
      <w:r>
        <w:rPr>
          <w:lang w:val="es-ES_tradnl"/>
        </w:rPr>
        <w:t>a</w:t>
      </w:r>
      <w:r>
        <w:rPr>
          <w:lang w:val="es-ES_tradnl"/>
        </w:rPr>
        <w:t xml:space="preserve">nuel Olascoaga, Silvio Duniec, Gustavo José Vicente y </w:t>
      </w:r>
      <w:r>
        <w:t>S</w:t>
      </w:r>
      <w:r>
        <w:t>u</w:t>
      </w:r>
      <w:r>
        <w:t xml:space="preserve">sana Celia Lacour, como </w:t>
      </w:r>
      <w:r>
        <w:rPr>
          <w:lang w:val="es-ES_tradnl"/>
        </w:rPr>
        <w:t xml:space="preserve">también los dichos del oficial </w:t>
      </w:r>
      <w:r>
        <w:rPr>
          <w:lang w:val="es-ES_tradnl"/>
        </w:rPr>
        <w:lastRenderedPageBreak/>
        <w:t>Claudio Luis Kirian</w:t>
      </w:r>
      <w:r>
        <w:rPr>
          <w:lang w:val="es-ES_tradnl"/>
        </w:rPr>
        <w:t>o</w:t>
      </w:r>
      <w:r>
        <w:rPr>
          <w:lang w:val="es-ES_tradnl"/>
        </w:rPr>
        <w:t>vicz, quien refirió los hallazgos por él realizados (pedazos de chapa muy pequeños, una llanta sobre la calle Tucumán, una bisagra sobre la calle Viamo</w:t>
      </w:r>
      <w:r>
        <w:rPr>
          <w:lang w:val="es-ES_tradnl"/>
        </w:rPr>
        <w:t>n</w:t>
      </w:r>
      <w:r>
        <w:rPr>
          <w:lang w:val="es-ES_tradnl"/>
        </w:rPr>
        <w:t>te, dos espirales de suspe</w:t>
      </w:r>
      <w:r>
        <w:rPr>
          <w:lang w:val="es-ES_tradnl"/>
        </w:rPr>
        <w:t>n</w:t>
      </w:r>
      <w:r>
        <w:rPr>
          <w:lang w:val="es-ES_tradnl"/>
        </w:rPr>
        <w:t xml:space="preserve">sión dentro de las ruinas de </w:t>
      </w:r>
      <w:smartTag w:uri="urn:schemas-microsoft-com:office:smarttags" w:element="PersonName">
        <w:smartTagPr>
          <w:attr w:name="ProductID" w:val="la A.M"/>
        </w:smartTagPr>
        <w:r>
          <w:rPr>
            <w:lang w:val="es-ES_tradnl"/>
          </w:rPr>
          <w:t>la A.M</w:t>
        </w:r>
      </w:smartTag>
      <w:r>
        <w:rPr>
          <w:lang w:val="es-ES_tradnl"/>
        </w:rPr>
        <w:t>.I.A. y una punta de eje), reconociendo sus firmas en las actas oportunamente labr</w:t>
      </w:r>
      <w:r>
        <w:rPr>
          <w:lang w:val="es-ES_tradnl"/>
        </w:rPr>
        <w:t>a</w:t>
      </w:r>
      <w:r>
        <w:rPr>
          <w:lang w:val="es-ES_tradnl"/>
        </w:rPr>
        <w:t>das.</w:t>
      </w:r>
    </w:p>
    <w:p w:rsidR="00224567" w:rsidRDefault="00224567">
      <w:pPr>
        <w:widowControl w:val="0"/>
        <w:rPr>
          <w:lang w:val="es-ES_tradnl"/>
        </w:rPr>
      </w:pPr>
      <w:r>
        <w:rPr>
          <w:lang w:val="es-ES_tradnl"/>
        </w:rPr>
        <w:tab/>
        <w:t>Recordó, a su vez, la declaración de Alcides Patricio Pizzorno, quien aludió al hallazgo de un gancho de tracción correspondiente a la parte dela</w:t>
      </w:r>
      <w:r>
        <w:rPr>
          <w:lang w:val="es-ES_tradnl"/>
        </w:rPr>
        <w:t>n</w:t>
      </w:r>
      <w:r>
        <w:rPr>
          <w:lang w:val="es-ES_tradnl"/>
        </w:rPr>
        <w:t>tera de una Trafic; circunstancia que constató al cotejarla con una ambulancia de ese m</w:t>
      </w:r>
      <w:r>
        <w:rPr>
          <w:lang w:val="es-ES_tradnl"/>
        </w:rPr>
        <w:t>o</w:t>
      </w:r>
      <w:r>
        <w:rPr>
          <w:lang w:val="es-ES_tradnl"/>
        </w:rPr>
        <w:t>delo que estaba en el lugar.</w:t>
      </w:r>
    </w:p>
    <w:p w:rsidR="00224567" w:rsidRDefault="00224567">
      <w:pPr>
        <w:widowControl w:val="0"/>
        <w:rPr>
          <w:lang w:val="es-ES_tradnl"/>
        </w:rPr>
      </w:pPr>
      <w:r>
        <w:rPr>
          <w:lang w:val="es-ES_tradnl"/>
        </w:rPr>
        <w:tab/>
        <w:t>En cuanto a</w:t>
      </w:r>
      <w:r>
        <w:rPr>
          <w:bCs/>
        </w:rPr>
        <w:t xml:space="preserve"> los hallazgos de pi</w:t>
      </w:r>
      <w:r>
        <w:rPr>
          <w:bCs/>
        </w:rPr>
        <w:t>e</w:t>
      </w:r>
      <w:r>
        <w:rPr>
          <w:bCs/>
        </w:rPr>
        <w:t xml:space="preserve">zas de automotor, mencionó lo declarado en el debate por </w:t>
      </w:r>
      <w:r>
        <w:t>Carlos Alberto Bianco</w:t>
      </w:r>
      <w:r>
        <w:rPr>
          <w:b/>
        </w:rPr>
        <w:t xml:space="preserve">, </w:t>
      </w:r>
      <w:r>
        <w:t>Guillermo Daniel Cevallos, Marcelo Aleja</w:t>
      </w:r>
      <w:r>
        <w:t>n</w:t>
      </w:r>
      <w:r>
        <w:t xml:space="preserve">dro Debiassi, </w:t>
      </w:r>
      <w:r>
        <w:rPr>
          <w:lang w:val="es-ES_tradnl"/>
        </w:rPr>
        <w:t>Luis Omar Garibo</w:t>
      </w:r>
      <w:r>
        <w:rPr>
          <w:lang w:val="es-ES_tradnl"/>
        </w:rPr>
        <w:t>l</w:t>
      </w:r>
      <w:r>
        <w:rPr>
          <w:lang w:val="es-ES_tradnl"/>
        </w:rPr>
        <w:t>di, Justino Augusto Acosta y Fernando Carlos Cing</w:t>
      </w:r>
      <w:r>
        <w:rPr>
          <w:lang w:val="es-ES_tradnl"/>
        </w:rPr>
        <w:t>o</w:t>
      </w:r>
      <w:r>
        <w:rPr>
          <w:lang w:val="es-ES_tradnl"/>
        </w:rPr>
        <w:t>lani.</w:t>
      </w:r>
    </w:p>
    <w:p w:rsidR="00224567" w:rsidRDefault="00224567">
      <w:pPr>
        <w:widowControl w:val="0"/>
      </w:pPr>
      <w:r>
        <w:rPr>
          <w:lang w:val="es-ES_tradnl"/>
        </w:rPr>
        <w:tab/>
      </w:r>
      <w:r>
        <w:rPr>
          <w:lang w:val="es-ES_tradnl"/>
        </w:rPr>
        <w:tab/>
        <w:t xml:space="preserve">Seguidamente, el Dr. Jacoby aludió a </w:t>
      </w:r>
      <w:r>
        <w:t>los dichos de Miriam Raquel Salinas, quien relató que en una oportunidad, en el taller de Nitzcaner, Boragni me</w:t>
      </w:r>
      <w:r>
        <w:t>n</w:t>
      </w:r>
      <w:r>
        <w:t xml:space="preserve">cionó que </w:t>
      </w:r>
      <w:r>
        <w:rPr>
          <w:bCs/>
        </w:rPr>
        <w:t xml:space="preserve">Telleldín había vendido la camioneta de </w:t>
      </w:r>
      <w:smartTag w:uri="urn:schemas-microsoft-com:office:smarttags" w:element="PersonName">
        <w:smartTagPr>
          <w:attr w:name="ProductID" w:val="la A.M"/>
        </w:smartTagPr>
        <w:r>
          <w:rPr>
            <w:bCs/>
          </w:rPr>
          <w:t>la A.M</w:t>
        </w:r>
      </w:smartTag>
      <w:r>
        <w:rPr>
          <w:bCs/>
        </w:rPr>
        <w:t>.I.A. y que por ello había tenido un ataque de hist</w:t>
      </w:r>
      <w:r>
        <w:rPr>
          <w:bCs/>
        </w:rPr>
        <w:t>e</w:t>
      </w:r>
      <w:r>
        <w:rPr>
          <w:bCs/>
        </w:rPr>
        <w:lastRenderedPageBreak/>
        <w:t xml:space="preserve">ria, que se pasaba el día frente al televisor gritando "estos hijos de puta me cagaron la vida", que </w:t>
      </w:r>
      <w:r>
        <w:t>después del atentado había escapado hacia el norte y que una vez det</w:t>
      </w:r>
      <w:r>
        <w:t>e</w:t>
      </w:r>
      <w:r>
        <w:t>nido estaba mareado e iba cambiando de opinión a medida que iba viendo las cosas, variando sus sentimie</w:t>
      </w:r>
      <w:r>
        <w:t>n</w:t>
      </w:r>
      <w:r>
        <w:t>tos hacia su entorno.</w:t>
      </w:r>
    </w:p>
    <w:p w:rsidR="00224567" w:rsidRDefault="00224567">
      <w:pPr>
        <w:widowControl w:val="0"/>
        <w:rPr>
          <w:lang w:val="es-ES_tradnl"/>
        </w:rPr>
      </w:pPr>
      <w:r>
        <w:tab/>
        <w:t>En otro orden, mencionó la exi</w:t>
      </w:r>
      <w:r>
        <w:t>s</w:t>
      </w:r>
      <w:r>
        <w:t xml:space="preserve">tencia de testimonios que dieron cuenta que la noche anterior al atentado un helicóptero sobrevoló el edificio de </w:t>
      </w:r>
      <w:smartTag w:uri="urn:schemas-microsoft-com:office:smarttags" w:element="PersonName">
        <w:smartTagPr>
          <w:attr w:name="ProductID" w:val="la A.M"/>
        </w:smartTagPr>
        <w:r>
          <w:t>la A.M</w:t>
        </w:r>
      </w:smartTag>
      <w:r>
        <w:t>.I.A., c</w:t>
      </w:r>
      <w:r>
        <w:t>a</w:t>
      </w:r>
      <w:r>
        <w:t>lificando de insuficiente e incompetente a la investigación que se realizó para establecer la titular</w:t>
      </w:r>
      <w:r>
        <w:t>i</w:t>
      </w:r>
      <w:r>
        <w:t>dad de la aeronave; en sustento de ello citó los testim</w:t>
      </w:r>
      <w:r>
        <w:t>o</w:t>
      </w:r>
      <w:r>
        <w:t>nios de María Josefa Vicente, Isaac Szterenbaum, Sandra Abramson, Martín Rubén Strajman, M</w:t>
      </w:r>
      <w:r>
        <w:t>a</w:t>
      </w:r>
      <w:r>
        <w:t>rio Alberto Chencinski, Sara Rosa Goldsztein de Chencinski, Isabel Ainwoiner de Peker, Marta Nilda Portela, E</w:t>
      </w:r>
      <w:r>
        <w:rPr>
          <w:lang w:val="es-ES_tradnl"/>
        </w:rPr>
        <w:t>nrique Antonio Cárdenas, M</w:t>
      </w:r>
      <w:r>
        <w:rPr>
          <w:lang w:val="es-ES_tradnl"/>
        </w:rPr>
        <w:t>i</w:t>
      </w:r>
      <w:r>
        <w:rPr>
          <w:lang w:val="es-ES_tradnl"/>
        </w:rPr>
        <w:t>guel Ángel Fernández, Lidia Bernardita Cazal Marti, Ana María Rivas, Salomón Mario Seltzer, María Isabel Lima Po</w:t>
      </w:r>
      <w:r>
        <w:rPr>
          <w:lang w:val="es-ES_tradnl"/>
        </w:rPr>
        <w:t>n</w:t>
      </w:r>
      <w:r>
        <w:rPr>
          <w:lang w:val="es-ES_tradnl"/>
        </w:rPr>
        <w:t>ce, Viviana Graciela Longhi, Luisa Azserzon y Eduardo D</w:t>
      </w:r>
      <w:r>
        <w:rPr>
          <w:lang w:val="es-ES_tradnl"/>
        </w:rPr>
        <w:t>a</w:t>
      </w:r>
      <w:r>
        <w:rPr>
          <w:lang w:val="es-ES_tradnl"/>
        </w:rPr>
        <w:t>vid Medina.</w:t>
      </w:r>
    </w:p>
    <w:p w:rsidR="00224567" w:rsidRDefault="00224567">
      <w:pPr>
        <w:widowControl w:val="0"/>
      </w:pPr>
      <w:r>
        <w:rPr>
          <w:lang w:val="es-ES_tradnl"/>
        </w:rPr>
        <w:lastRenderedPageBreak/>
        <w:tab/>
        <w:t>Indicó que los hechos por los que fo</w:t>
      </w:r>
      <w:r>
        <w:rPr>
          <w:lang w:val="es-ES_tradnl"/>
        </w:rPr>
        <w:t>r</w:t>
      </w:r>
      <w:r>
        <w:rPr>
          <w:lang w:val="es-ES_tradnl"/>
        </w:rPr>
        <w:t xml:space="preserve">muló acusación se encontraban probados mediante las </w:t>
      </w:r>
      <w:r>
        <w:t>part</w:t>
      </w:r>
      <w:r>
        <w:t>i</w:t>
      </w:r>
      <w:r>
        <w:t>das de defunción, autopsias, informes médicos, p</w:t>
      </w:r>
      <w:r>
        <w:t>e</w:t>
      </w:r>
      <w:r>
        <w:t>ritajes, fotografías y por los testimonios producidos al respe</w:t>
      </w:r>
      <w:r>
        <w:t>c</w:t>
      </w:r>
      <w:r>
        <w:t>to.</w:t>
      </w:r>
    </w:p>
    <w:p w:rsidR="00224567" w:rsidRDefault="00224567">
      <w:pPr>
        <w:widowControl w:val="0"/>
      </w:pPr>
      <w:r>
        <w:tab/>
        <w:t>Consideró adecuada la aplicación de la agravante prevista en el inc. 5º del art. 80 del Código Penal, en razón del medio escogido para matar, tanto por la alarma provocada como por los daños causados, sost</w:t>
      </w:r>
      <w:r>
        <w:t>e</w:t>
      </w:r>
      <w:r>
        <w:t>niendo que el lugar y el momento de la acción fueron el</w:t>
      </w:r>
      <w:r>
        <w:t>e</w:t>
      </w:r>
      <w:r>
        <w:t>gidos adrede para provocar esos resultados, con la inte</w:t>
      </w:r>
      <w:r>
        <w:t>n</w:t>
      </w:r>
      <w:r>
        <w:t>ción de causar un verdadero estado de “ala</w:t>
      </w:r>
      <w:r>
        <w:t>r</w:t>
      </w:r>
      <w:r>
        <w:t>ma social”.</w:t>
      </w:r>
    </w:p>
    <w:p w:rsidR="00224567" w:rsidRDefault="00224567">
      <w:pPr>
        <w:widowControl w:val="0"/>
      </w:pPr>
      <w:r>
        <w:tab/>
        <w:t>Manifestó que las pruebas reun</w:t>
      </w:r>
      <w:r>
        <w:t>i</w:t>
      </w:r>
      <w:r>
        <w:t>das en el debate acreditan acabadamente la participación de T</w:t>
      </w:r>
      <w:r>
        <w:t>e</w:t>
      </w:r>
      <w:r>
        <w:t>lleldín en uno de los tramos del proceso que concluyó con la explosión del 18 de julio de 1994, expresando su co</w:t>
      </w:r>
      <w:r>
        <w:t>n</w:t>
      </w:r>
      <w:r>
        <w:t xml:space="preserve">vencimiento de que si bien el nombrado </w:t>
      </w:r>
      <w:r>
        <w:rPr>
          <w:bCs/>
        </w:rPr>
        <w:t>sabía que e</w:t>
      </w:r>
      <w:r>
        <w:rPr>
          <w:bCs/>
        </w:rPr>
        <w:t>n</w:t>
      </w:r>
      <w:r>
        <w:rPr>
          <w:bCs/>
        </w:rPr>
        <w:t>tregaba una camioneta, especialmente preparada para contener una cantidad de material explosivo</w:t>
      </w:r>
      <w:r>
        <w:t xml:space="preserve"> suf</w:t>
      </w:r>
      <w:r>
        <w:t>i</w:t>
      </w:r>
      <w:r>
        <w:t xml:space="preserve">ciente para producir un estrago que afectara la seguridad pública, causando la muerte de un número indeterminado de personas, no conoció que el destino final de </w:t>
      </w:r>
      <w:smartTag w:uri="urn:schemas-microsoft-com:office:smarttags" w:element="PersonName">
        <w:smartTagPr>
          <w:attr w:name="ProductID" w:val="la Trafic"/>
        </w:smartTagPr>
        <w:r>
          <w:t>la Trafic</w:t>
        </w:r>
      </w:smartTag>
      <w:r>
        <w:t xml:space="preserve"> iba a ser la sede de </w:t>
      </w:r>
      <w:smartTag w:uri="urn:schemas-microsoft-com:office:smarttags" w:element="PersonName">
        <w:smartTagPr>
          <w:attr w:name="ProductID" w:val="la A.M"/>
        </w:smartTagPr>
        <w:r>
          <w:t xml:space="preserve">la </w:t>
        </w:r>
        <w:r>
          <w:lastRenderedPageBreak/>
          <w:t>A.M</w:t>
        </w:r>
      </w:smartTag>
      <w:r>
        <w:t xml:space="preserve">.I.A. </w:t>
      </w:r>
    </w:p>
    <w:p w:rsidR="00224567" w:rsidRDefault="00224567">
      <w:pPr>
        <w:widowControl w:val="0"/>
      </w:pPr>
      <w:r>
        <w:tab/>
      </w:r>
      <w:r>
        <w:tab/>
        <w:t>Enumeró las siguientes circun</w:t>
      </w:r>
      <w:r>
        <w:t>s</w:t>
      </w:r>
      <w:r>
        <w:t>tancias como pruebas útiles para fundar su reproche: 1) el rec</w:t>
      </w:r>
      <w:r>
        <w:t>o</w:t>
      </w:r>
      <w:r>
        <w:t xml:space="preserve">rrido del motor hallado en </w:t>
      </w:r>
      <w:smartTag w:uri="urn:schemas-microsoft-com:office:smarttags" w:element="PersonName">
        <w:smartTagPr>
          <w:attr w:name="ProductID" w:val="la A.M"/>
        </w:smartTagPr>
        <w:r>
          <w:t>la A.M</w:t>
        </w:r>
      </w:smartTag>
      <w:r>
        <w:t>.I.A., el que pasó por las manos de Telleldín tras ser adquirido por Alejandro Monjo a “Messin S.R.L.”, valorando, al respecto, la conf</w:t>
      </w:r>
      <w:r>
        <w:t>e</w:t>
      </w:r>
      <w:r>
        <w:t>sión del nombrado, como también la c</w:t>
      </w:r>
      <w:r>
        <w:t>o</w:t>
      </w:r>
      <w:r>
        <w:t>rrespondiente factura de venta; 2) que Telleldín intentó hacer creer que con</w:t>
      </w:r>
      <w:r>
        <w:t>o</w:t>
      </w:r>
      <w:r>
        <w:t>ciendo tanto su oficio sería a</w:t>
      </w:r>
      <w:r>
        <w:t>b</w:t>
      </w:r>
      <w:r>
        <w:t>surdo pensar que, de saber que podía ocurrir con la cami</w:t>
      </w:r>
      <w:r>
        <w:t>o</w:t>
      </w:r>
      <w:r>
        <w:t>neta, fuera a dejar rastros que lo pudieran alcanzar; 3) su entorno y forma de vida, expresando que Telleldín “sie</w:t>
      </w:r>
      <w:r>
        <w:t>m</w:t>
      </w:r>
      <w:r>
        <w:t xml:space="preserve">pre ha vivido en el borde de lo lícito, de lo socialmente aceptable” y 4) que encubre el lugar donde se armó </w:t>
      </w:r>
      <w:smartTag w:uri="urn:schemas-microsoft-com:office:smarttags" w:element="PersonName">
        <w:smartTagPr>
          <w:attr w:name="ProductID" w:val="la Trafic"/>
        </w:smartTagPr>
        <w:r>
          <w:t>la Trafic</w:t>
        </w:r>
      </w:smartTag>
      <w:r>
        <w:t xml:space="preserve"> con el motor que apareció en el lugar del atentado, recurriendo en sus diversas ve</w:t>
      </w:r>
      <w:r>
        <w:t>r</w:t>
      </w:r>
      <w:r>
        <w:t>siones a hipótesis que corren de manera paralela y excl</w:t>
      </w:r>
      <w:r>
        <w:t>u</w:t>
      </w:r>
      <w:r>
        <w:t>yente, beneficiando con ello a quienes realmente se llev</w:t>
      </w:r>
      <w:r>
        <w:t>a</w:t>
      </w:r>
      <w:r>
        <w:t>ron la camioneta.</w:t>
      </w:r>
    </w:p>
    <w:p w:rsidR="00224567" w:rsidRDefault="00224567">
      <w:pPr>
        <w:widowControl w:val="0"/>
      </w:pPr>
      <w:r>
        <w:tab/>
        <w:t>En virtud de todo ello, el apoderado de la querella  concluyó que la camioneta que el 10 de j</w:t>
      </w:r>
      <w:r>
        <w:t>u</w:t>
      </w:r>
      <w:r>
        <w:lastRenderedPageBreak/>
        <w:t>lio estaba estacionada en República 107 no contenía el m</w:t>
      </w:r>
      <w:r>
        <w:t>o</w:t>
      </w:r>
      <w:r>
        <w:t>tor enco</w:t>
      </w:r>
      <w:r>
        <w:t>n</w:t>
      </w:r>
      <w:r>
        <w:t xml:space="preserve">trado en </w:t>
      </w:r>
      <w:smartTag w:uri="urn:schemas-microsoft-com:office:smarttags" w:element="PersonName">
        <w:smartTagPr>
          <w:attr w:name="ProductID" w:val="la A.M"/>
        </w:smartTagPr>
        <w:r>
          <w:t>la A.M</w:t>
        </w:r>
      </w:smartTag>
      <w:r>
        <w:t>.I.A.</w:t>
      </w:r>
    </w:p>
    <w:p w:rsidR="00224567" w:rsidRDefault="00224567">
      <w:pPr>
        <w:widowControl w:val="0"/>
        <w:rPr>
          <w:lang w:val="es-ES_tradnl"/>
        </w:rPr>
      </w:pPr>
      <w:r>
        <w:tab/>
      </w:r>
      <w:r>
        <w:rPr>
          <w:lang w:val="es-MX"/>
        </w:rPr>
        <w:t>Sostuvo que “para desarmar la hist</w:t>
      </w:r>
      <w:r>
        <w:rPr>
          <w:lang w:val="es-MX"/>
        </w:rPr>
        <w:t>o</w:t>
      </w:r>
      <w:r>
        <w:rPr>
          <w:lang w:val="es-MX"/>
        </w:rPr>
        <w:t>ria de Telleldín fueron fundamentales los secuestros de di</w:t>
      </w:r>
      <w:r>
        <w:rPr>
          <w:lang w:val="es-MX"/>
        </w:rPr>
        <w:t>s</w:t>
      </w:r>
      <w:r>
        <w:rPr>
          <w:lang w:val="es-MX"/>
        </w:rPr>
        <w:t>tintos elementos que conformaron el interior de una Trafic en el taller de Nitzcaner” y que “también resu</w:t>
      </w:r>
      <w:r>
        <w:rPr>
          <w:lang w:val="es-MX"/>
        </w:rPr>
        <w:t>l</w:t>
      </w:r>
      <w:r>
        <w:rPr>
          <w:lang w:val="es-MX"/>
        </w:rPr>
        <w:t>tó de vital importancia el reconoc</w:t>
      </w:r>
      <w:r>
        <w:rPr>
          <w:lang w:val="es-MX"/>
        </w:rPr>
        <w:t>i</w:t>
      </w:r>
      <w:r>
        <w:rPr>
          <w:lang w:val="es-MX"/>
        </w:rPr>
        <w:t>miento de los mismos por quien era su titular, Pedro Sarapura, más el contenido de lo decl</w:t>
      </w:r>
      <w:r>
        <w:rPr>
          <w:lang w:val="es-MX"/>
        </w:rPr>
        <w:t>a</w:t>
      </w:r>
      <w:r>
        <w:rPr>
          <w:lang w:val="es-MX"/>
        </w:rPr>
        <w:t>rado tanto por el propio mecán</w:t>
      </w:r>
      <w:r>
        <w:rPr>
          <w:lang w:val="es-MX"/>
        </w:rPr>
        <w:t>i</w:t>
      </w:r>
      <w:r>
        <w:rPr>
          <w:lang w:val="es-MX"/>
        </w:rPr>
        <w:t xml:space="preserve">co, por Marcelo Jouce y por los testigos Pablo De </w:t>
      </w:r>
      <w:smartTag w:uri="urn:schemas-microsoft-com:office:smarttags" w:element="PersonName">
        <w:smartTagPr>
          <w:attr w:name="ProductID" w:val="La Cruz Ar￩valo"/>
        </w:smartTagPr>
        <w:r>
          <w:rPr>
            <w:lang w:val="es-MX"/>
          </w:rPr>
          <w:t>La Cruz Arévalo</w:t>
        </w:r>
      </w:smartTag>
      <w:r>
        <w:rPr>
          <w:lang w:val="es-MX"/>
        </w:rPr>
        <w:t xml:space="preserve"> y José Bonnefon”. Concluyó que la única camioneta que se armó en el taller de Ariel Nitzcaner fue la que se dejó el sábado 2 de j</w:t>
      </w:r>
      <w:r>
        <w:rPr>
          <w:lang w:val="es-MX"/>
        </w:rPr>
        <w:t>u</w:t>
      </w:r>
      <w:r>
        <w:rPr>
          <w:lang w:val="es-MX"/>
        </w:rPr>
        <w:t>lio, que pertenecía a Pedro Eugenio Sarapura, siendo el propio Telleldín, al ofrecer una segunda versión de los hechos, quien manifestó que Pérez</w:t>
      </w:r>
      <w:r>
        <w:rPr>
          <w:lang w:val="es-ES_tradnl"/>
        </w:rPr>
        <w:t xml:space="preserve"> trasladó el motor a d</w:t>
      </w:r>
      <w:r>
        <w:rPr>
          <w:lang w:val="es-ES_tradnl"/>
        </w:rPr>
        <w:t>i</w:t>
      </w:r>
      <w:r>
        <w:rPr>
          <w:lang w:val="es-ES_tradnl"/>
        </w:rPr>
        <w:t>cho taller.</w:t>
      </w:r>
    </w:p>
    <w:p w:rsidR="00224567" w:rsidRDefault="00224567">
      <w:pPr>
        <w:widowControl w:val="0"/>
        <w:rPr>
          <w:lang w:val="es-MX"/>
        </w:rPr>
      </w:pPr>
      <w:r>
        <w:rPr>
          <w:lang w:val="es-ES_tradnl"/>
        </w:rPr>
        <w:tab/>
        <w:t>A juicio del letrado, se demostró cl</w:t>
      </w:r>
      <w:r>
        <w:rPr>
          <w:lang w:val="es-ES_tradnl"/>
        </w:rPr>
        <w:t>a</w:t>
      </w:r>
      <w:r>
        <w:rPr>
          <w:lang w:val="es-ES_tradnl"/>
        </w:rPr>
        <w:t>ramente la existencia de dos carrocerías distintas, para lo cual aludió al informe elaborado por técnicos de la e</w:t>
      </w:r>
      <w:r>
        <w:rPr>
          <w:lang w:val="es-ES_tradnl"/>
        </w:rPr>
        <w:t>m</w:t>
      </w:r>
      <w:r>
        <w:rPr>
          <w:lang w:val="es-ES_tradnl"/>
        </w:rPr>
        <w:t>presa C.I.A.D.E.A. y a las declaraciones de Eduardo Ma</w:t>
      </w:r>
      <w:r>
        <w:rPr>
          <w:lang w:val="es-ES_tradnl"/>
        </w:rPr>
        <w:t>g</w:t>
      </w:r>
      <w:r>
        <w:rPr>
          <w:lang w:val="es-ES_tradnl"/>
        </w:rPr>
        <w:t>nano,</w:t>
      </w:r>
      <w:r>
        <w:t xml:space="preserve"> Bernardo Salcedo y demás expertos </w:t>
      </w:r>
      <w:r>
        <w:rPr>
          <w:lang w:val="es-MX"/>
        </w:rPr>
        <w:t>de la terminal a</w:t>
      </w:r>
      <w:r>
        <w:rPr>
          <w:lang w:val="es-MX"/>
        </w:rPr>
        <w:t>u</w:t>
      </w:r>
      <w:r>
        <w:rPr>
          <w:lang w:val="es-MX"/>
        </w:rPr>
        <w:lastRenderedPageBreak/>
        <w:t>tomotriz.</w:t>
      </w:r>
    </w:p>
    <w:p w:rsidR="00224567" w:rsidRDefault="00224567">
      <w:pPr>
        <w:widowControl w:val="0"/>
      </w:pPr>
      <w:r>
        <w:tab/>
        <w:t>También esgrimió en contra de Telle</w:t>
      </w:r>
      <w:r>
        <w:t>l</w:t>
      </w:r>
      <w:r>
        <w:t>dín su actitud antes del atentado, al procurar armar una coartada que lo coloque como damnificado frente al compr</w:t>
      </w:r>
      <w:r>
        <w:t>a</w:t>
      </w:r>
      <w:r>
        <w:t>dor, utilizando a Hugo Pérez como testigo al solicitarle que lo acompañe a entregar los papeles de la cami</w:t>
      </w:r>
      <w:r>
        <w:t>o</w:t>
      </w:r>
      <w:r>
        <w:t>neta.</w:t>
      </w:r>
    </w:p>
    <w:p w:rsidR="00224567" w:rsidRDefault="00224567">
      <w:pPr>
        <w:widowControl w:val="0"/>
      </w:pPr>
      <w:r>
        <w:tab/>
        <w:t>En igual sentido, valoró el hecho de que Telleldín haya publicado un aviso clasificado cuando nunca pensó en realizar una venta, sosteniendo que era evidente que esa publicación fue una cobertura en razón que hasta sus co</w:t>
      </w:r>
      <w:r>
        <w:t>m</w:t>
      </w:r>
      <w:r>
        <w:t>pradores estaban al tanto de la supuesta venta, motivo por el cual se realizaron llamados pregu</w:t>
      </w:r>
      <w:r>
        <w:t>n</w:t>
      </w:r>
      <w:r>
        <w:t>tando por la camioneta aún cuando dicho aviso no había s</w:t>
      </w:r>
      <w:r>
        <w:t>i</w:t>
      </w:r>
      <w:r>
        <w:t>do publicado; en abono de tal postura citó la declaración de Jacinto Cay</w:t>
      </w:r>
      <w:r>
        <w:t>e</w:t>
      </w:r>
      <w:r>
        <w:t>tano Cruz.</w:t>
      </w:r>
    </w:p>
    <w:p w:rsidR="00224567" w:rsidRDefault="00224567">
      <w:pPr>
        <w:widowControl w:val="0"/>
      </w:pPr>
      <w:r>
        <w:tab/>
        <w:t>También consideró como un indicio de culpabilidad la preocupación que Telleldín tuvo en los días previos al hallazgo del motor, ante la posibilidad de que la camioneta que pasó por sus manos fuese la que e</w:t>
      </w:r>
      <w:r>
        <w:t>x</w:t>
      </w:r>
      <w:r>
        <w:t xml:space="preserve">plotó en </w:t>
      </w:r>
      <w:smartTag w:uri="urn:schemas-microsoft-com:office:smarttags" w:element="PersonName">
        <w:smartTagPr>
          <w:attr w:name="ProductID" w:val="la A.M"/>
        </w:smartTagPr>
        <w:r>
          <w:t>la A.M</w:t>
        </w:r>
      </w:smartTag>
      <w:r>
        <w:t>.I.A. Basó dicha conclusión en las declar</w:t>
      </w:r>
      <w:r>
        <w:t>a</w:t>
      </w:r>
      <w:r>
        <w:lastRenderedPageBreak/>
        <w:t>ciones indagatorias de Hugo Pérez, Diego Barreda, Erik D</w:t>
      </w:r>
      <w:r>
        <w:t>e</w:t>
      </w:r>
      <w:r>
        <w:t>prez y en las testimoniales de Miriam Salinas, Antonio M</w:t>
      </w:r>
      <w:r>
        <w:t>i</w:t>
      </w:r>
      <w:r>
        <w:t>guel Schiavone, Ángel Rusman y Olga Richter. En igual se</w:t>
      </w:r>
      <w:r>
        <w:t>n</w:t>
      </w:r>
      <w:r>
        <w:t>tido, consideró su fuga a Misiones, acreditada por los llamados realiz</w:t>
      </w:r>
      <w:r>
        <w:t>a</w:t>
      </w:r>
      <w:r>
        <w:t>dos desde el locutorio de Posadas, por el pasaje aéreo a nombre de Hugo Pérez y por el listado de pasajeros en el que figura como "Te</w:t>
      </w:r>
      <w:r>
        <w:t>c</w:t>
      </w:r>
      <w:r>
        <w:t>cedín".</w:t>
      </w:r>
    </w:p>
    <w:p w:rsidR="00224567" w:rsidRDefault="00224567">
      <w:pPr>
        <w:widowControl w:val="0"/>
      </w:pPr>
      <w:r>
        <w:tab/>
        <w:t>Puso de relieve, como conducta incr</w:t>
      </w:r>
      <w:r>
        <w:t>i</w:t>
      </w:r>
      <w:r>
        <w:t>minante, las versiones contradictorias y confusas ofrec</w:t>
      </w:r>
      <w:r>
        <w:t>i</w:t>
      </w:r>
      <w:r>
        <w:t>das por el imputado, al pretender desvi</w:t>
      </w:r>
      <w:r>
        <w:t>n</w:t>
      </w:r>
      <w:r>
        <w:t>cularse del motor, concluyendo que de contar la verdad debería confesar su participación en el hecho.</w:t>
      </w:r>
    </w:p>
    <w:p w:rsidR="00224567" w:rsidRDefault="00224567">
      <w:pPr>
        <w:widowControl w:val="0"/>
      </w:pPr>
      <w:r>
        <w:tab/>
        <w:t>En otro orden de cosas, la querella sostuvo que la participación de Telleldín se desprende, además, del hecho de haber recibido din</w:t>
      </w:r>
      <w:r>
        <w:t>e</w:t>
      </w:r>
      <w:r>
        <w:t>ro para imputar a gente que conocía in</w:t>
      </w:r>
      <w:r>
        <w:t>o</w:t>
      </w:r>
      <w:r>
        <w:t>cente.</w:t>
      </w:r>
    </w:p>
    <w:p w:rsidR="00224567" w:rsidRDefault="00224567">
      <w:pPr>
        <w:widowControl w:val="0"/>
      </w:pPr>
      <w:r>
        <w:tab/>
        <w:t>Asimismo, ponderó que el viaje de T</w:t>
      </w:r>
      <w:r>
        <w:t>e</w:t>
      </w:r>
      <w:r>
        <w:t>lleldín a la ciudad de Córdoba, al día siguiente de entr</w:t>
      </w:r>
      <w:r>
        <w:t>e</w:t>
      </w:r>
      <w:r>
        <w:t>gar la camioneta, constituía otro indicio de cargo, por entender que allí mantenía fluidos contactos con el serv</w:t>
      </w:r>
      <w:r>
        <w:t>i</w:t>
      </w:r>
      <w:r>
        <w:t>cio de inteligencia de la policía de esa provincia, pr</w:t>
      </w:r>
      <w:r>
        <w:t>e</w:t>
      </w:r>
      <w:r>
        <w:lastRenderedPageBreak/>
        <w:t>constituyendo prueba a poco de su regreso.</w:t>
      </w:r>
    </w:p>
    <w:p w:rsidR="00224567" w:rsidRDefault="00224567">
      <w:pPr>
        <w:widowControl w:val="0"/>
      </w:pPr>
      <w:r>
        <w:tab/>
        <w:t>Añadió el Dr. Jacoby que la copia del boleto secuestrado presenta corregido su apellido, inte</w:t>
      </w:r>
      <w:r>
        <w:t>n</w:t>
      </w:r>
      <w:r>
        <w:t>tándose sustituir “TECCEDIN” por “TELLELDÍN”; mani</w:t>
      </w:r>
      <w:r>
        <w:t>o</w:t>
      </w:r>
      <w:r>
        <w:t>bra que a su entender se llevó a cabo porque la firma inserta en el documento pertenece a alguien de su conocimiento. Así, recordó que fue Telleldín quien mencionó esa circun</w:t>
      </w:r>
      <w:r>
        <w:t>s</w:t>
      </w:r>
      <w:r>
        <w:t>tancia en una de las entrevistas informales con el juez instru</w:t>
      </w:r>
      <w:r>
        <w:t>c</w:t>
      </w:r>
      <w:r>
        <w:t>tor, conforme el video de abril donde se le muestran las fotografías de los policías b</w:t>
      </w:r>
      <w:r>
        <w:t>o</w:t>
      </w:r>
      <w:r>
        <w:t>naerenses.</w:t>
      </w:r>
    </w:p>
    <w:p w:rsidR="00224567" w:rsidRDefault="00224567">
      <w:pPr>
        <w:widowControl w:val="0"/>
        <w:rPr>
          <w:lang w:val="es-MX"/>
        </w:rPr>
      </w:pPr>
      <w:r>
        <w:tab/>
        <w:t>También consideró que e</w:t>
      </w:r>
      <w:r>
        <w:rPr>
          <w:lang w:val="es-MX"/>
        </w:rPr>
        <w:t>l nombre Ramón Martínez que figura en el boleto es parecido al de un am</w:t>
      </w:r>
      <w:r>
        <w:rPr>
          <w:lang w:val="es-MX"/>
        </w:rPr>
        <w:t>i</w:t>
      </w:r>
      <w:r>
        <w:rPr>
          <w:lang w:val="es-MX"/>
        </w:rPr>
        <w:t>go suyo, José Ramón Juan Martínez, con quien traía telev</w:t>
      </w:r>
      <w:r>
        <w:rPr>
          <w:lang w:val="es-MX"/>
        </w:rPr>
        <w:t>i</w:t>
      </w:r>
      <w:r>
        <w:rPr>
          <w:lang w:val="es-MX"/>
        </w:rPr>
        <w:t>sores de contrabando y robados desde el Paraguay y que el domicilio de San José 972 también se aproxima al del dom</w:t>
      </w:r>
      <w:r>
        <w:rPr>
          <w:lang w:val="es-MX"/>
        </w:rPr>
        <w:t>i</w:t>
      </w:r>
      <w:r>
        <w:rPr>
          <w:lang w:val="es-MX"/>
        </w:rPr>
        <w:t>cilio real de su amigo Mart</w:t>
      </w:r>
      <w:r>
        <w:rPr>
          <w:lang w:val="es-MX"/>
        </w:rPr>
        <w:t>í</w:t>
      </w:r>
      <w:r>
        <w:rPr>
          <w:lang w:val="es-MX"/>
        </w:rPr>
        <w:t>nez.</w:t>
      </w:r>
    </w:p>
    <w:p w:rsidR="00224567" w:rsidRDefault="00224567">
      <w:pPr>
        <w:widowControl w:val="0"/>
        <w:rPr>
          <w:lang w:val="es-ES_tradnl"/>
        </w:rPr>
      </w:pPr>
      <w:r>
        <w:rPr>
          <w:lang w:val="es-MX"/>
        </w:rPr>
        <w:tab/>
        <w:t>Agregó que Telleldín, aún antes del atentado, intentó no dejar</w:t>
      </w:r>
      <w:r>
        <w:rPr>
          <w:lang w:val="es-ES_tradnl"/>
        </w:rPr>
        <w:t xml:space="preserve"> ninguna circunstancia librada al azar y ello explica su concurrencia, ju</w:t>
      </w:r>
      <w:r>
        <w:rPr>
          <w:lang w:val="es-ES_tradnl"/>
        </w:rPr>
        <w:t>n</w:t>
      </w:r>
      <w:r>
        <w:rPr>
          <w:lang w:val="es-ES_tradnl"/>
        </w:rPr>
        <w:t>to con su amigo Hugo Pérez, al domicilio del verdadero Martínez para a</w:t>
      </w:r>
      <w:r>
        <w:rPr>
          <w:lang w:val="es-ES_tradnl"/>
        </w:rPr>
        <w:t>l</w:t>
      </w:r>
      <w:r>
        <w:rPr>
          <w:lang w:val="es-ES_tradnl"/>
        </w:rPr>
        <w:lastRenderedPageBreak/>
        <w:t>canzarle, supuestamente, los papeles de la camioneta que no le había dado el día de la entr</w:t>
      </w:r>
      <w:r>
        <w:rPr>
          <w:lang w:val="es-ES_tradnl"/>
        </w:rPr>
        <w:t>e</w:t>
      </w:r>
      <w:r>
        <w:rPr>
          <w:lang w:val="es-ES_tradnl"/>
        </w:rPr>
        <w:t>ga.</w:t>
      </w:r>
    </w:p>
    <w:p w:rsidR="00224567" w:rsidRDefault="00224567">
      <w:pPr>
        <w:widowControl w:val="0"/>
        <w:rPr>
          <w:lang w:val="es-ES_tradnl"/>
        </w:rPr>
      </w:pPr>
      <w:r>
        <w:rPr>
          <w:lang w:val="es-ES_tradnl"/>
        </w:rPr>
        <w:tab/>
        <w:t>De igual forma valoró las afirmaci</w:t>
      </w:r>
      <w:r>
        <w:rPr>
          <w:lang w:val="es-ES_tradnl"/>
        </w:rPr>
        <w:t>o</w:t>
      </w:r>
      <w:r>
        <w:rPr>
          <w:lang w:val="es-ES_tradnl"/>
        </w:rPr>
        <w:t>nes de Telleldín en cuanto sostuvo haber visto el número 47.372.118 en el doc</w:t>
      </w:r>
      <w:r>
        <w:rPr>
          <w:lang w:val="es-ES_tradnl"/>
        </w:rPr>
        <w:t>u</w:t>
      </w:r>
      <w:r>
        <w:rPr>
          <w:lang w:val="es-ES_tradnl"/>
        </w:rPr>
        <w:t>mento de identidad de Martínez, como así también sus explicaciones de que si los datos conten</w:t>
      </w:r>
      <w:r>
        <w:rPr>
          <w:lang w:val="es-ES_tradnl"/>
        </w:rPr>
        <w:t>i</w:t>
      </w:r>
      <w:r>
        <w:rPr>
          <w:lang w:val="es-ES_tradnl"/>
        </w:rPr>
        <w:t>dos en el boleto eran falsos no tenía sentido tomarse el trabajo de colocar un ca</w:t>
      </w:r>
      <w:r>
        <w:rPr>
          <w:lang w:val="es-ES_tradnl"/>
        </w:rPr>
        <w:t>r</w:t>
      </w:r>
      <w:r>
        <w:rPr>
          <w:lang w:val="es-ES_tradnl"/>
        </w:rPr>
        <w:t>bónico por encima de la copia del original y corregir las letras del ap</w:t>
      </w:r>
      <w:r>
        <w:rPr>
          <w:lang w:val="es-ES_tradnl"/>
        </w:rPr>
        <w:t>e</w:t>
      </w:r>
      <w:r>
        <w:rPr>
          <w:lang w:val="es-ES_tradnl"/>
        </w:rPr>
        <w:t>llido, siendo mucho más sencillo hacer uno nuevo, al igual que si su i</w:t>
      </w:r>
      <w:r>
        <w:rPr>
          <w:lang w:val="es-ES_tradnl"/>
        </w:rPr>
        <w:t>n</w:t>
      </w:r>
      <w:r>
        <w:rPr>
          <w:lang w:val="es-ES_tradnl"/>
        </w:rPr>
        <w:t>tención hubiera sido aparecer con el apellido real.</w:t>
      </w:r>
    </w:p>
    <w:p w:rsidR="00224567" w:rsidRDefault="00224567">
      <w:pPr>
        <w:widowControl w:val="0"/>
      </w:pPr>
      <w:r>
        <w:tab/>
        <w:t>Sostuvo el representante de la quer</w:t>
      </w:r>
      <w:r>
        <w:t>e</w:t>
      </w:r>
      <w:r>
        <w:t>lla “Memoria Activa” que la mención, efectuada por Telle</w:t>
      </w:r>
      <w:r>
        <w:t>l</w:t>
      </w:r>
      <w:r>
        <w:t>dín, de que un tal “Barg” se llevó la camioneta coa</w:t>
      </w:r>
      <w:r>
        <w:t>d</w:t>
      </w:r>
      <w:r>
        <w:t>yuvaba a probar su culpabilidad y constituía un desvío de su pa</w:t>
      </w:r>
      <w:r>
        <w:t>r</w:t>
      </w:r>
      <w:r>
        <w:t>te ya que Barg era un estafador al que jamás  pensó que podrían local</w:t>
      </w:r>
      <w:r>
        <w:t>i</w:t>
      </w:r>
      <w:r>
        <w:t>zar.</w:t>
      </w:r>
    </w:p>
    <w:p w:rsidR="00224567" w:rsidRDefault="00224567">
      <w:pPr>
        <w:widowControl w:val="0"/>
        <w:rPr>
          <w:lang w:val="es-MX"/>
        </w:rPr>
      </w:pPr>
      <w:r>
        <w:rPr>
          <w:lang w:val="es-MX"/>
        </w:rPr>
        <w:tab/>
        <w:t>A su criterio, las probanzas r</w:t>
      </w:r>
      <w:r>
        <w:rPr>
          <w:lang w:val="es-MX"/>
        </w:rPr>
        <w:t>e</w:t>
      </w:r>
      <w:r>
        <w:rPr>
          <w:lang w:val="es-MX"/>
        </w:rPr>
        <w:t>unidas demostraban acabadamente que Telleldín aportó una camion</w:t>
      </w:r>
      <w:r>
        <w:rPr>
          <w:lang w:val="es-MX"/>
        </w:rPr>
        <w:t>e</w:t>
      </w:r>
      <w:r>
        <w:rPr>
          <w:lang w:val="es-MX"/>
        </w:rPr>
        <w:t>ta Trafic cuyos elásticos reforzó a fin de soportar una carga excesiva que no podía verse del exterior, en la i</w:t>
      </w:r>
      <w:r>
        <w:rPr>
          <w:lang w:val="es-MX"/>
        </w:rPr>
        <w:t>n</w:t>
      </w:r>
      <w:r>
        <w:rPr>
          <w:lang w:val="es-MX"/>
        </w:rPr>
        <w:lastRenderedPageBreak/>
        <w:t>teligencia de que, en la explosión a la que estaba dest</w:t>
      </w:r>
      <w:r>
        <w:rPr>
          <w:lang w:val="es-MX"/>
        </w:rPr>
        <w:t>i</w:t>
      </w:r>
      <w:r>
        <w:rPr>
          <w:lang w:val="es-MX"/>
        </w:rPr>
        <w:t>nada, ningún rastro iba a qu</w:t>
      </w:r>
      <w:r>
        <w:rPr>
          <w:lang w:val="es-MX"/>
        </w:rPr>
        <w:t>e</w:t>
      </w:r>
      <w:r>
        <w:rPr>
          <w:lang w:val="es-MX"/>
        </w:rPr>
        <w:t>dar del vehículo y que, para el hipotético e improbable caso que algo del motor quedase indemne, prefabricó coartadas para no ser imput</w:t>
      </w:r>
      <w:r>
        <w:rPr>
          <w:lang w:val="es-MX"/>
        </w:rPr>
        <w:t>a</w:t>
      </w:r>
      <w:r>
        <w:rPr>
          <w:lang w:val="es-MX"/>
        </w:rPr>
        <w:t>do, a modo de doble garantía de impunidad.</w:t>
      </w:r>
    </w:p>
    <w:p w:rsidR="00224567" w:rsidRDefault="00224567">
      <w:pPr>
        <w:widowControl w:val="0"/>
      </w:pPr>
      <w:r>
        <w:tab/>
        <w:t>Sostuvo que Telleldín se tomó el tr</w:t>
      </w:r>
      <w:r>
        <w:t>a</w:t>
      </w:r>
      <w:r>
        <w:t>bajo de conseguir una camioneta que reuniera determin</w:t>
      </w:r>
      <w:r>
        <w:t>a</w:t>
      </w:r>
      <w:r>
        <w:t>das características, a la que le colocó un motor de otro vehículo para que, eventualmente, no pudiera identifica</w:t>
      </w:r>
      <w:r>
        <w:t>r</w:t>
      </w:r>
      <w:r>
        <w:t>se; circunstancia suficiente para demostrar que no sólo tuvo la posibilidad de pensar sino que, efectivamente, t</w:t>
      </w:r>
      <w:r>
        <w:t>u</w:t>
      </w:r>
      <w:r>
        <w:t>vo la idea de que el vehículo iba a ser usado en un hecho deli</w:t>
      </w:r>
      <w:r>
        <w:t>c</w:t>
      </w:r>
      <w:r>
        <w:t>tivo.</w:t>
      </w:r>
    </w:p>
    <w:p w:rsidR="00224567" w:rsidRDefault="00224567">
      <w:pPr>
        <w:widowControl w:val="0"/>
      </w:pPr>
      <w:r>
        <w:tab/>
        <w:t>Agregó, como indicios que prueban el dolo de Telleldín, las siguientes circunstancias: 1) la elección de una camioneta cerrada, demostrat</w:t>
      </w:r>
      <w:r>
        <w:t>i</w:t>
      </w:r>
      <w:r>
        <w:t>vo de que no debía verse la carga transportada; 2) el refuerzo de la estructura del vehículo, indicat</w:t>
      </w:r>
      <w:r>
        <w:t>i</w:t>
      </w:r>
      <w:r>
        <w:t>vo de que conocía el peso excesivo al que sería sometida y de la neces</w:t>
      </w:r>
      <w:r>
        <w:t>i</w:t>
      </w:r>
      <w:r>
        <w:t>dad de que la estructura se ma</w:t>
      </w:r>
      <w:r>
        <w:t>n</w:t>
      </w:r>
      <w:r>
        <w:t xml:space="preserve">tuviera firme frente a los accidentes del </w:t>
      </w:r>
      <w:r>
        <w:lastRenderedPageBreak/>
        <w:t>terreno y 3) la elección de una camioneta de esas caract</w:t>
      </w:r>
      <w:r>
        <w:t>e</w:t>
      </w:r>
      <w:r>
        <w:t>rísticas, apta para distribuir la carga cómodamente y para abarcar un ángulo mayor al momento de producirse la expl</w:t>
      </w:r>
      <w:r>
        <w:t>o</w:t>
      </w:r>
      <w:r>
        <w:t>sión.</w:t>
      </w:r>
    </w:p>
    <w:p w:rsidR="00224567" w:rsidRDefault="00224567">
      <w:pPr>
        <w:widowControl w:val="0"/>
      </w:pPr>
      <w:r>
        <w:tab/>
        <w:t>Sobre esta base, entendió indistinto si Telleldín conocía la dirección a la que la camioneta se dirigía o la identidad de su conductor; por el co</w:t>
      </w:r>
      <w:r>
        <w:t>n</w:t>
      </w:r>
      <w:r>
        <w:t>trario, no pudo haber actuado inadvertidamente, sin intención, m</w:t>
      </w:r>
      <w:r>
        <w:t>á</w:t>
      </w:r>
      <w:r>
        <w:t xml:space="preserve">xime cuando para esa fecha sólo habían transcurrido poco más de dos años de la voladura de la sede de </w:t>
      </w:r>
      <w:smartTag w:uri="urn:schemas-microsoft-com:office:smarttags" w:element="PersonName">
        <w:smartTagPr>
          <w:attr w:name="ProductID" w:val="la Embajada"/>
        </w:smartTagPr>
        <w:r>
          <w:t>la Embajada</w:t>
        </w:r>
      </w:smartTag>
      <w:r>
        <w:t xml:space="preserve"> de Israel en la que también los t</w:t>
      </w:r>
      <w:r>
        <w:t>e</w:t>
      </w:r>
      <w:r>
        <w:t>rroristas se valieron de una camioneta para transportar la carga e</w:t>
      </w:r>
      <w:r>
        <w:t>x</w:t>
      </w:r>
      <w:r>
        <w:t>plosiva.</w:t>
      </w:r>
    </w:p>
    <w:p w:rsidR="00224567" w:rsidRDefault="00224567">
      <w:pPr>
        <w:widowControl w:val="0"/>
      </w:pPr>
      <w:r>
        <w:tab/>
        <w:t>Luego de diversos citas doctrinales, el letrado sostuvo que si la producción de un resultado es abarcada por la finalidad del autor, en la medida en que se produzca de modo más o menos s</w:t>
      </w:r>
      <w:r>
        <w:t>i</w:t>
      </w:r>
      <w:r>
        <w:t>milar a como el autor se lo r</w:t>
      </w:r>
      <w:r>
        <w:t>e</w:t>
      </w:r>
      <w:r>
        <w:t>presentó, aquélla se imputará a título de dolo.</w:t>
      </w:r>
    </w:p>
    <w:p w:rsidR="00224567" w:rsidRDefault="00224567">
      <w:pPr>
        <w:widowControl w:val="0"/>
      </w:pPr>
      <w:r>
        <w:tab/>
        <w:t>Sobre esa base, entendió que la co</w:t>
      </w:r>
      <w:r>
        <w:t>n</w:t>
      </w:r>
      <w:r>
        <w:t>ducta endilgada a Telleldín debía analizarse bajo el pri</w:t>
      </w:r>
      <w:r>
        <w:t>s</w:t>
      </w:r>
      <w:r>
        <w:t>ma del denominado dolo eventual, citando en apoyo de su postura a Claus Roxin.</w:t>
      </w:r>
    </w:p>
    <w:p w:rsidR="00224567" w:rsidRDefault="00224567">
      <w:pPr>
        <w:widowControl w:val="0"/>
      </w:pPr>
      <w:r>
        <w:lastRenderedPageBreak/>
        <w:tab/>
        <w:t>Afirmó que el fin de Telleldín era la obtención de lucro, por cuanto ese era su m</w:t>
      </w:r>
      <w:r>
        <w:t>e</w:t>
      </w:r>
      <w:r>
        <w:t>dio de vida y que él sabía perfectamente que esa c</w:t>
      </w:r>
      <w:r>
        <w:t>a</w:t>
      </w:r>
      <w:r>
        <w:t>mioneta, sobre la que desplegó una actividad ilícita, iba a ser usada en activ</w:t>
      </w:r>
      <w:r>
        <w:t>i</w:t>
      </w:r>
      <w:r>
        <w:t>dades, de plano, ilícitas, ya que no es imaginable otro uso de un auto m</w:t>
      </w:r>
      <w:r>
        <w:t>e</w:t>
      </w:r>
      <w:r>
        <w:t>llizo o doblado.</w:t>
      </w:r>
    </w:p>
    <w:p w:rsidR="00224567" w:rsidRDefault="00224567">
      <w:pPr>
        <w:widowControl w:val="0"/>
      </w:pPr>
      <w:r>
        <w:tab/>
        <w:t>En ese sentido, descartó la nec</w:t>
      </w:r>
      <w:r>
        <w:t>e</w:t>
      </w:r>
      <w:r>
        <w:t>sidad de un pacto previo entre Telleldín y los autores materi</w:t>
      </w:r>
      <w:r>
        <w:t>a</w:t>
      </w:r>
      <w:r>
        <w:t>les del atentado para achacarle su part</w:t>
      </w:r>
      <w:r>
        <w:t>i</w:t>
      </w:r>
      <w:r>
        <w:t>cipación, debiendo valorarse la “intensidad objetiva” del aporte efectuado por el imputado, surgiendo con nitidez, bajo ese prisma, la trascendencia de la camioneta obtenida, acondicionada y suministrada por Telleldín, la que conformó una contrib</w:t>
      </w:r>
      <w:r>
        <w:t>u</w:t>
      </w:r>
      <w:r>
        <w:t>ción indi</w:t>
      </w:r>
      <w:r>
        <w:t>s</w:t>
      </w:r>
      <w:r>
        <w:t>pensable y primaria.</w:t>
      </w:r>
    </w:p>
    <w:p w:rsidR="00224567" w:rsidRDefault="00224567">
      <w:pPr>
        <w:widowControl w:val="0"/>
      </w:pPr>
      <w:r>
        <w:tab/>
      </w:r>
      <w:r>
        <w:rPr>
          <w:lang w:val="es-MX"/>
        </w:rPr>
        <w:t>Al reclamar</w:t>
      </w:r>
      <w:r>
        <w:t xml:space="preserve"> la sanción a imponer so</w:t>
      </w:r>
      <w:r>
        <w:t>s</w:t>
      </w:r>
      <w:r>
        <w:t>tuvo que debían t</w:t>
      </w:r>
      <w:r>
        <w:t>e</w:t>
      </w:r>
      <w:r>
        <w:t>nerse en cuenta la gravedad del hecho y las características person</w:t>
      </w:r>
      <w:r>
        <w:t>a</w:t>
      </w:r>
      <w:r>
        <w:t>les del imputado y que ella no podía dejar dudas acerca de que este hecho co</w:t>
      </w:r>
      <w:r>
        <w:t>n</w:t>
      </w:r>
      <w:r>
        <w:t>travino, de manera demoledora, nuestro sistema de co</w:t>
      </w:r>
      <w:r>
        <w:t>n</w:t>
      </w:r>
      <w:r>
        <w:t>vivencia; en ese orden, solicitó la pena de reclusión perpetua, al subsi</w:t>
      </w:r>
      <w:r>
        <w:t>s</w:t>
      </w:r>
      <w:r>
        <w:lastRenderedPageBreak/>
        <w:t>tir aún el trato diferencial que e</w:t>
      </w:r>
      <w:r>
        <w:t>s</w:t>
      </w:r>
      <w:r>
        <w:t>tablece el art. 7 de la ley 24.390, en cuanto al cómputo de los días de prisión preventiva. También valoró el letrado que resultaría apr</w:t>
      </w:r>
      <w:r>
        <w:t>o</w:t>
      </w:r>
      <w:r>
        <w:t>piado restringir la administración de sus bienes, la f</w:t>
      </w:r>
      <w:r>
        <w:t>a</w:t>
      </w:r>
      <w:r>
        <w:t>cultad de disponer de éstos e imponerle la curatela que establece la ley civil, de acuerdo a lo previsto en el art. 12 del Código Penal y que se le impongan las costas del juicio.</w:t>
      </w:r>
    </w:p>
    <w:p w:rsidR="00224567" w:rsidRDefault="00224567">
      <w:pPr>
        <w:widowControl w:val="0"/>
        <w:rPr>
          <w:lang w:val="es-ES_tradnl"/>
        </w:rPr>
      </w:pPr>
      <w:r>
        <w:tab/>
        <w:t>Respecto de la situación de los imp</w:t>
      </w:r>
      <w:r>
        <w:t>u</w:t>
      </w:r>
      <w:r>
        <w:t>tados Ribelli, Ib</w:t>
      </w:r>
      <w:r>
        <w:t>a</w:t>
      </w:r>
      <w:r>
        <w:t xml:space="preserve">rra, Leal y Barreiro, entendió que </w:t>
      </w:r>
      <w:r>
        <w:rPr>
          <w:lang w:val="es-ES_tradnl"/>
        </w:rPr>
        <w:t>no se colectaron elementos probatorios que permitan tenerlos i</w:t>
      </w:r>
      <w:r>
        <w:rPr>
          <w:lang w:val="es-ES_tradnl"/>
        </w:rPr>
        <w:t>n</w:t>
      </w:r>
      <w:r>
        <w:rPr>
          <w:lang w:val="es-ES_tradnl"/>
        </w:rPr>
        <w:t>cursos en el atentado, en cualquier grado de particip</w:t>
      </w:r>
      <w:r>
        <w:rPr>
          <w:lang w:val="es-ES_tradnl"/>
        </w:rPr>
        <w:t>a</w:t>
      </w:r>
      <w:r>
        <w:rPr>
          <w:lang w:val="es-ES_tradnl"/>
        </w:rPr>
        <w:t>ción, en atención a las fallas de la instrucción del sum</w:t>
      </w:r>
      <w:r>
        <w:rPr>
          <w:lang w:val="es-ES_tradnl"/>
        </w:rPr>
        <w:t>a</w:t>
      </w:r>
      <w:r>
        <w:rPr>
          <w:lang w:val="es-ES_tradnl"/>
        </w:rPr>
        <w:t>rio que calif</w:t>
      </w:r>
      <w:r>
        <w:rPr>
          <w:lang w:val="es-ES_tradnl"/>
        </w:rPr>
        <w:t>i</w:t>
      </w:r>
      <w:r>
        <w:rPr>
          <w:lang w:val="es-ES_tradnl"/>
        </w:rPr>
        <w:t>có de “artera y pésima”.</w:t>
      </w:r>
    </w:p>
    <w:p w:rsidR="00224567" w:rsidRDefault="00224567">
      <w:pPr>
        <w:widowControl w:val="0"/>
        <w:rPr>
          <w:lang w:val="es-ES_tradnl"/>
        </w:rPr>
      </w:pPr>
      <w:r>
        <w:rPr>
          <w:lang w:val="es-ES_tradnl"/>
        </w:rPr>
        <w:tab/>
        <w:t>Sostuvo el Dr. Jacoby que a pa</w:t>
      </w:r>
      <w:r>
        <w:rPr>
          <w:lang w:val="es-ES_tradnl"/>
        </w:rPr>
        <w:t>r</w:t>
      </w:r>
      <w:r>
        <w:rPr>
          <w:lang w:val="es-ES_tradnl"/>
        </w:rPr>
        <w:t>tir del ofrecimiento de cuatrocientos mil dólares que el juez in</w:t>
      </w:r>
      <w:r>
        <w:rPr>
          <w:lang w:val="es-ES_tradnl"/>
        </w:rPr>
        <w:t>s</w:t>
      </w:r>
      <w:r>
        <w:rPr>
          <w:lang w:val="es-ES_tradnl"/>
        </w:rPr>
        <w:t>tructor y el Estado argentino le efectuaron a Telleldín, a cambio de su ampli</w:t>
      </w:r>
      <w:r>
        <w:rPr>
          <w:lang w:val="es-ES_tradnl"/>
        </w:rPr>
        <w:t>a</w:t>
      </w:r>
      <w:r>
        <w:rPr>
          <w:lang w:val="es-ES_tradnl"/>
        </w:rPr>
        <w:t>ción de indagatoria, en la que imputó a los policías haberlo desapoderado de la camioneta, ingresó a la causa la versión del juzgado, obteniendo aquél, ad</w:t>
      </w:r>
      <w:r>
        <w:rPr>
          <w:lang w:val="es-ES_tradnl"/>
        </w:rPr>
        <w:t>e</w:t>
      </w:r>
      <w:r>
        <w:rPr>
          <w:lang w:val="es-ES_tradnl"/>
        </w:rPr>
        <w:t>más de dinero, una buena cobertura exculpatoria e inmun</w:t>
      </w:r>
      <w:r>
        <w:rPr>
          <w:lang w:val="es-ES_tradnl"/>
        </w:rPr>
        <w:t>i</w:t>
      </w:r>
      <w:r>
        <w:rPr>
          <w:lang w:val="es-ES_tradnl"/>
        </w:rPr>
        <w:lastRenderedPageBreak/>
        <w:t>dad para su entorno.</w:t>
      </w:r>
    </w:p>
    <w:p w:rsidR="00224567" w:rsidRDefault="00224567">
      <w:pPr>
        <w:widowControl w:val="0"/>
      </w:pPr>
      <w:r>
        <w:tab/>
        <w:t>En este sentido, el patrocinante de “Memoria Activa” afirmó que la imputación que recae s</w:t>
      </w:r>
      <w:r>
        <w:t>o</w:t>
      </w:r>
      <w:r>
        <w:t>bre los policías bonaerenses respondió a una maniobra orient</w:t>
      </w:r>
      <w:r>
        <w:t>a</w:t>
      </w:r>
      <w:r>
        <w:t>da en la dirección expuesta y que los indicios que just</w:t>
      </w:r>
      <w:r>
        <w:t>i</w:t>
      </w:r>
      <w:r>
        <w:t>ficaron el encarcelamiento de los policías carecían de e</w:t>
      </w:r>
      <w:r>
        <w:t>n</w:t>
      </w:r>
      <w:r>
        <w:t>tidad, debiendo sumarse a ello el hecho de que la princ</w:t>
      </w:r>
      <w:r>
        <w:t>i</w:t>
      </w:r>
      <w:r>
        <w:t>pal imputación en su contra provino de T</w:t>
      </w:r>
      <w:r>
        <w:t>e</w:t>
      </w:r>
      <w:r>
        <w:t>lleldín, quien la efectuó luego de perfeccionar un acuerdo inconcebible con el entonces director del pr</w:t>
      </w:r>
      <w:r>
        <w:t>o</w:t>
      </w:r>
      <w:r>
        <w:t>ceso.</w:t>
      </w:r>
    </w:p>
    <w:p w:rsidR="00224567" w:rsidRDefault="00224567">
      <w:pPr>
        <w:widowControl w:val="0"/>
      </w:pPr>
      <w:r>
        <w:tab/>
        <w:t>Ello es así, concluyó, no sólo ante la ausencia de elementos probatorios que justifiquen un r</w:t>
      </w:r>
      <w:r>
        <w:t>e</w:t>
      </w:r>
      <w:r>
        <w:t>proche penal, sino que, aún frente a la hipótesis contr</w:t>
      </w:r>
      <w:r>
        <w:t>a</w:t>
      </w:r>
      <w:r>
        <w:t>ria, “toda la imputación que se les formula reconoce un origen espurio que la deslegitima como construcción jur</w:t>
      </w:r>
      <w:r>
        <w:t>í</w:t>
      </w:r>
      <w:r>
        <w:t>dica válida en un Estado de der</w:t>
      </w:r>
      <w:r>
        <w:t>e</w:t>
      </w:r>
      <w:r>
        <w:t>cho”.</w:t>
      </w:r>
    </w:p>
    <w:p w:rsidR="00224567" w:rsidRDefault="00224567">
      <w:pPr>
        <w:widowControl w:val="0"/>
      </w:pPr>
      <w:r>
        <w:tab/>
        <w:t>A continuación, el letrado se r</w:t>
      </w:r>
      <w:r>
        <w:t>e</w:t>
      </w:r>
      <w:r>
        <w:t>firió a las irregularidades que se constataron en la instru</w:t>
      </w:r>
      <w:r>
        <w:t>c</w:t>
      </w:r>
      <w:r>
        <w:t>ción. Así, puso de manifiesto que a cons</w:t>
      </w:r>
      <w:r>
        <w:t>e</w:t>
      </w:r>
      <w:r>
        <w:t>cuencia de ellas el Estado argentino violó el deber de investigar que imp</w:t>
      </w:r>
      <w:r>
        <w:t>o</w:t>
      </w:r>
      <w:r>
        <w:lastRenderedPageBreak/>
        <w:t xml:space="preserve">ne </w:t>
      </w:r>
      <w:smartTag w:uri="urn:schemas-microsoft-com:office:smarttags" w:element="PersonName">
        <w:smartTagPr>
          <w:attr w:name="ProductID" w:val="la Convenci￳n Americana"/>
        </w:smartTagPr>
        <w:r>
          <w:t>la Convención Americana</w:t>
        </w:r>
      </w:smartTag>
      <w:r>
        <w:t xml:space="preserve"> sobre Derechos Humanos (arts. 1.1, 8.1 y 25.1), instrumento jurídico de jerarquía con</w:t>
      </w:r>
      <w:r>
        <w:t>s</w:t>
      </w:r>
      <w:r>
        <w:t>titucional, s</w:t>
      </w:r>
      <w:r>
        <w:t>e</w:t>
      </w:r>
      <w:r>
        <w:t xml:space="preserve">gún lo dispuesto por el art. 75, inc. 22, de </w:t>
      </w:r>
      <w:smartTag w:uri="urn:schemas-microsoft-com:office:smarttags" w:element="PersonName">
        <w:smartTagPr>
          <w:attr w:name="ProductID" w:val="la Constituci￳n Nacional"/>
        </w:smartTagPr>
        <w:r>
          <w:t>la Constitución Nacional</w:t>
        </w:r>
      </w:smartTag>
      <w:r>
        <w:t>, que consagra el derecho de los familiares de las víctimas a que se lleve adelante una i</w:t>
      </w:r>
      <w:r>
        <w:t>n</w:t>
      </w:r>
      <w:r>
        <w:t>vestigación seria, exhaustiva, independiente e imparcial con el fin de identificar y sancionar a los responsables de organizar y ej</w:t>
      </w:r>
      <w:r>
        <w:t>e</w:t>
      </w:r>
      <w:r>
        <w:t>cutar el atentado.</w:t>
      </w:r>
    </w:p>
    <w:p w:rsidR="00224567" w:rsidRDefault="00224567">
      <w:pPr>
        <w:widowControl w:val="0"/>
        <w:rPr>
          <w:snapToGrid w:val="0"/>
          <w:lang w:val="es-AR"/>
        </w:rPr>
      </w:pPr>
      <w:r>
        <w:tab/>
      </w:r>
      <w:r>
        <w:rPr>
          <w:snapToGrid w:val="0"/>
          <w:color w:val="000000"/>
        </w:rPr>
        <w:t>Recordó que todo Estado es internaci</w:t>
      </w:r>
      <w:r>
        <w:rPr>
          <w:snapToGrid w:val="0"/>
          <w:color w:val="000000"/>
        </w:rPr>
        <w:t>o</w:t>
      </w:r>
      <w:r>
        <w:rPr>
          <w:snapToGrid w:val="0"/>
          <w:color w:val="000000"/>
        </w:rPr>
        <w:t>nalmente responsable por cualquier acto u omisión de cu</w:t>
      </w:r>
      <w:r>
        <w:rPr>
          <w:snapToGrid w:val="0"/>
          <w:color w:val="000000"/>
        </w:rPr>
        <w:t>a</w:t>
      </w:r>
      <w:r>
        <w:rPr>
          <w:snapToGrid w:val="0"/>
          <w:color w:val="000000"/>
        </w:rPr>
        <w:t>lesquiera de sus poderes u órganos en violación de los d</w:t>
      </w:r>
      <w:r>
        <w:rPr>
          <w:snapToGrid w:val="0"/>
          <w:color w:val="000000"/>
        </w:rPr>
        <w:t>e</w:t>
      </w:r>
      <w:r>
        <w:rPr>
          <w:snapToGrid w:val="0"/>
          <w:color w:val="000000"/>
        </w:rPr>
        <w:t xml:space="preserve">rechos internacionalmente consagrados y, citando </w:t>
      </w:r>
      <w:smartTag w:uri="urn:schemas-microsoft-com:office:smarttags" w:element="PersonName">
        <w:smartTagPr>
          <w:attr w:name="ProductID" w:val="la Convenci￳n Americana"/>
        </w:smartTagPr>
        <w:r>
          <w:rPr>
            <w:snapToGrid w:val="0"/>
            <w:color w:val="000000"/>
          </w:rPr>
          <w:t xml:space="preserve">la </w:t>
        </w:r>
        <w:r>
          <w:rPr>
            <w:snapToGrid w:val="0"/>
            <w:lang w:val="es-AR"/>
          </w:rPr>
          <w:t>Co</w:t>
        </w:r>
        <w:r>
          <w:rPr>
            <w:snapToGrid w:val="0"/>
            <w:lang w:val="es-AR"/>
          </w:rPr>
          <w:t>n</w:t>
        </w:r>
        <w:r>
          <w:rPr>
            <w:snapToGrid w:val="0"/>
            <w:lang w:val="es-AR"/>
          </w:rPr>
          <w:t>vención Americana</w:t>
        </w:r>
      </w:smartTag>
      <w:r>
        <w:rPr>
          <w:snapToGrid w:val="0"/>
          <w:lang w:val="es-AR"/>
        </w:rPr>
        <w:t xml:space="preserve"> antes mencionada, explicó porqué en el caso se violaron los derechos humanos.</w:t>
      </w:r>
    </w:p>
    <w:p w:rsidR="00224567" w:rsidRDefault="00224567">
      <w:pPr>
        <w:widowControl w:val="0"/>
        <w:rPr>
          <w:snapToGrid w:val="0"/>
        </w:rPr>
      </w:pPr>
      <w:r>
        <w:rPr>
          <w:snapToGrid w:val="0"/>
        </w:rPr>
        <w:tab/>
        <w:t>Resaltó que a consecuencia de estos principios y encontrándose la investigación del atent</w:t>
      </w:r>
      <w:r>
        <w:rPr>
          <w:snapToGrid w:val="0"/>
        </w:rPr>
        <w:t>a</w:t>
      </w:r>
      <w:r>
        <w:rPr>
          <w:snapToGrid w:val="0"/>
        </w:rPr>
        <w:t xml:space="preserve">do a </w:t>
      </w:r>
      <w:smartTag w:uri="urn:schemas-microsoft-com:office:smarttags" w:element="PersonName">
        <w:smartTagPr>
          <w:attr w:name="ProductID" w:val="la A.M"/>
        </w:smartTagPr>
        <w:r>
          <w:rPr>
            <w:snapToGrid w:val="0"/>
          </w:rPr>
          <w:t>la A.M</w:t>
        </w:r>
      </w:smartTag>
      <w:r>
        <w:rPr>
          <w:snapToGrid w:val="0"/>
        </w:rPr>
        <w:t>.I.A. a cargo de funcionarios judiciales y de las fuerzas de seguridad que han actuado al amparo de su c</w:t>
      </w:r>
      <w:r>
        <w:rPr>
          <w:snapToGrid w:val="0"/>
        </w:rPr>
        <w:t>a</w:t>
      </w:r>
      <w:r>
        <w:rPr>
          <w:snapToGrid w:val="0"/>
        </w:rPr>
        <w:t>rácter oficial, las irregularidades que se han verific</w:t>
      </w:r>
      <w:r>
        <w:rPr>
          <w:snapToGrid w:val="0"/>
        </w:rPr>
        <w:t>a</w:t>
      </w:r>
      <w:r>
        <w:rPr>
          <w:snapToGrid w:val="0"/>
        </w:rPr>
        <w:t>do en la instrucción de la causa pueden atribuirse al E</w:t>
      </w:r>
      <w:r>
        <w:rPr>
          <w:snapToGrid w:val="0"/>
        </w:rPr>
        <w:t>s</w:t>
      </w:r>
      <w:r>
        <w:rPr>
          <w:snapToGrid w:val="0"/>
        </w:rPr>
        <w:t>tado argentino.</w:t>
      </w:r>
    </w:p>
    <w:p w:rsidR="00224567" w:rsidRDefault="00224567">
      <w:pPr>
        <w:widowControl w:val="0"/>
      </w:pPr>
      <w:r>
        <w:rPr>
          <w:snapToGrid w:val="0"/>
        </w:rPr>
        <w:lastRenderedPageBreak/>
        <w:tab/>
      </w:r>
      <w:r>
        <w:t>El Dr. Jacoby concluyó que pese a los recursos volcados en esta investigación, las groseras irregularidades perpetradas determinaron que la respons</w:t>
      </w:r>
      <w:r>
        <w:t>a</w:t>
      </w:r>
      <w:r>
        <w:t>bilidad internacional del estado argentino se encuentre seriamente co</w:t>
      </w:r>
      <w:r>
        <w:t>m</w:t>
      </w:r>
      <w:r>
        <w:t>prometida al no ajustarse la pesquisa a los estándares exigidos por el derecho internacional de los derechos humanos.</w:t>
      </w:r>
    </w:p>
    <w:p w:rsidR="00224567" w:rsidRDefault="00224567">
      <w:pPr>
        <w:widowControl w:val="0"/>
      </w:pPr>
      <w:r>
        <w:tab/>
        <w:t>A título enunciativo, recordó el l</w:t>
      </w:r>
      <w:r>
        <w:t>e</w:t>
      </w:r>
      <w:r>
        <w:t>trado las irregularidades que a continuación se menci</w:t>
      </w:r>
      <w:r>
        <w:t>o</w:t>
      </w:r>
      <w:r>
        <w:t xml:space="preserve">nan: 1) </w:t>
      </w:r>
      <w:r>
        <w:rPr>
          <w:bCs/>
        </w:rPr>
        <w:t>deficiente recolección de pruebas y de rastros en el lugar del atentado; 2) pérdida, destrucción y desestim</w:t>
      </w:r>
      <w:r>
        <w:rPr>
          <w:bCs/>
        </w:rPr>
        <w:t>a</w:t>
      </w:r>
      <w:r>
        <w:rPr>
          <w:bCs/>
        </w:rPr>
        <w:t>ción de pruebas, como ser: de</w:t>
      </w:r>
      <w:r>
        <w:rPr>
          <w:bCs/>
        </w:rPr>
        <w:t>s</w:t>
      </w:r>
      <w:r>
        <w:rPr>
          <w:bCs/>
        </w:rPr>
        <w:t xml:space="preserve">aparición de los </w:t>
      </w:r>
      <w:r>
        <w:t>casetes que contenían las primeras escuchas telefónicas efectuadas a Telleldín y de la agenda del no</w:t>
      </w:r>
      <w:r>
        <w:t>m</w:t>
      </w:r>
      <w:r>
        <w:t>brado, destrucción y falta de incorporación al expediente del producido de las esc</w:t>
      </w:r>
      <w:r>
        <w:t>u</w:t>
      </w:r>
      <w:r>
        <w:t xml:space="preserve">chas telefónicas a </w:t>
      </w:r>
      <w:smartTag w:uri="urn:schemas-microsoft-com:office:smarttags" w:element="PersonName">
        <w:smartTagPr>
          <w:attr w:name="ProductID" w:val="la Embajada"/>
        </w:smartTagPr>
        <w:r>
          <w:t>la Embajada</w:t>
        </w:r>
      </w:smartTag>
      <w:r>
        <w:t xml:space="preserve"> de Irán, antes y después del atentado, pérdida de las escuchas obtenidas de conve</w:t>
      </w:r>
      <w:r>
        <w:t>r</w:t>
      </w:r>
      <w:r>
        <w:t>sos musulmanes y de personal diplomático de esa represe</w:t>
      </w:r>
      <w:r>
        <w:t>n</w:t>
      </w:r>
      <w:r>
        <w:t xml:space="preserve">tación, destrucción por parte de personal del juzgado de las video filmaciones que se efectuaron clandestinamente, </w:t>
      </w:r>
      <w:r>
        <w:lastRenderedPageBreak/>
        <w:t>sin dejar constancia alguna en la causa; 3) rechazo al p</w:t>
      </w:r>
      <w:r>
        <w:t>e</w:t>
      </w:r>
      <w:r>
        <w:t>dido de reconstru</w:t>
      </w:r>
      <w:r>
        <w:t>c</w:t>
      </w:r>
      <w:r>
        <w:t>ción del hecho y, 4) incorporación a la causa principal de los infinitos legajos sustanciados s</w:t>
      </w:r>
      <w:r>
        <w:t>e</w:t>
      </w:r>
      <w:r>
        <w:t>cretamente sin control de las partes.</w:t>
      </w:r>
    </w:p>
    <w:p w:rsidR="00224567" w:rsidRDefault="00224567">
      <w:pPr>
        <w:widowControl w:val="0"/>
      </w:pPr>
      <w:r>
        <w:tab/>
        <w:t>En ese orden de ideas, también puso de relieve el ocultamiento de dos causas que, paralela y s</w:t>
      </w:r>
      <w:r>
        <w:t>i</w:t>
      </w:r>
      <w:r>
        <w:t>multáneamente, tramitaban ante el Ju</w:t>
      </w:r>
      <w:r>
        <w:t>z</w:t>
      </w:r>
      <w:r>
        <w:t>gado Federal de Lomas de Zamora; la desatención al pedido de búsqueda de cami</w:t>
      </w:r>
      <w:r>
        <w:t>o</w:t>
      </w:r>
      <w:r>
        <w:t>netas Trafic en los garajes cercanos al domicilio de T</w:t>
      </w:r>
      <w:r>
        <w:t>e</w:t>
      </w:r>
      <w:r>
        <w:t>lleldín y la negativa a secuestrar los Libros de Cuartos de las comisarías afectadas a la cust</w:t>
      </w:r>
      <w:r>
        <w:t>o</w:t>
      </w:r>
      <w:r>
        <w:t>dia de la mutual, en la semana previa al 18 de julio, groseramente c</w:t>
      </w:r>
      <w:r>
        <w:t>o</w:t>
      </w:r>
      <w:r>
        <w:t>rregidos y falsificados.</w:t>
      </w:r>
    </w:p>
    <w:p w:rsidR="00224567" w:rsidRDefault="00224567">
      <w:pPr>
        <w:widowControl w:val="0"/>
      </w:pPr>
      <w:r>
        <w:tab/>
      </w:r>
      <w:r>
        <w:rPr>
          <w:bCs/>
        </w:rPr>
        <w:t>Subrayó el Dr. Jacoby que durante la instrucción se actuó con negligencia en el trat</w:t>
      </w:r>
      <w:r>
        <w:rPr>
          <w:bCs/>
        </w:rPr>
        <w:t>a</w:t>
      </w:r>
      <w:r>
        <w:rPr>
          <w:bCs/>
        </w:rPr>
        <w:t xml:space="preserve">miento de la prueba testimonial; ello basado en que </w:t>
      </w:r>
      <w:r>
        <w:t>víctimas dire</w:t>
      </w:r>
      <w:r>
        <w:t>c</w:t>
      </w:r>
      <w:r>
        <w:t>tas de la explosión y sus rescatistas concurrieron por primera vez a declarar a la audiencia de juicio oral, co</w:t>
      </w:r>
      <w:r>
        <w:t>n</w:t>
      </w:r>
      <w:r>
        <w:t>cluyendo en que  este Tribunal no tuvo más remedio que c</w:t>
      </w:r>
      <w:r>
        <w:t>i</w:t>
      </w:r>
      <w:r>
        <w:t>tar a la totalidad de los testigos de la instrucción por cuanto resultaba evidente que el interrogatorio al que h</w:t>
      </w:r>
      <w:r>
        <w:t>a</w:t>
      </w:r>
      <w:r>
        <w:lastRenderedPageBreak/>
        <w:t>bían sido sometidos en esa etapa era deficiente e inco</w:t>
      </w:r>
      <w:r>
        <w:t>m</w:t>
      </w:r>
      <w:r>
        <w:t>pleto.</w:t>
      </w:r>
    </w:p>
    <w:p w:rsidR="00224567" w:rsidRDefault="00224567">
      <w:pPr>
        <w:widowControl w:val="0"/>
      </w:pPr>
      <w:r>
        <w:tab/>
        <w:t>Otra de las conductas irregulares co</w:t>
      </w:r>
      <w:r>
        <w:t>m</w:t>
      </w:r>
      <w:r>
        <w:t>probadas durante la instrucción, sostuvo el letrado, fue la utilización de la figura del testigo de identidad r</w:t>
      </w:r>
      <w:r>
        <w:t>e</w:t>
      </w:r>
      <w:r>
        <w:t>servada, haciendo creer a determinados testigos que su identidad sería reservada; modalidad  que  en  algunos c</w:t>
      </w:r>
      <w:r>
        <w:t>a</w:t>
      </w:r>
      <w:r>
        <w:t>sos -Gustavo Semorile, por ejemplo- luego se utilizaba p</w:t>
      </w:r>
      <w:r>
        <w:t>a</w:t>
      </w:r>
      <w:r>
        <w:t>ra presionarlos, a ca</w:t>
      </w:r>
      <w:r>
        <w:t>m</w:t>
      </w:r>
      <w:r>
        <w:t>bio de no imputarlos ni procesarlos en caso de que declarasen en contra de los pol</w:t>
      </w:r>
      <w:r>
        <w:t>i</w:t>
      </w:r>
      <w:r>
        <w:t>cías.</w:t>
      </w:r>
    </w:p>
    <w:p w:rsidR="00224567" w:rsidRDefault="00224567">
      <w:pPr>
        <w:widowControl w:val="0"/>
      </w:pPr>
      <w:r>
        <w:tab/>
        <w:t>Resaltó como anómala la tramit</w:t>
      </w:r>
      <w:r>
        <w:t>a</w:t>
      </w:r>
      <w:r>
        <w:t>ción de legajos secretos y la desatención a los requerimientos i</w:t>
      </w:r>
      <w:r>
        <w:t>n</w:t>
      </w:r>
      <w:r>
        <w:t>vestigativos de su representada, enumerando los siguie</w:t>
      </w:r>
      <w:r>
        <w:t>n</w:t>
      </w:r>
      <w:r>
        <w:t xml:space="preserve">tes: 1) </w:t>
      </w:r>
      <w:r w:rsidRPr="00D206A8">
        <w:rPr>
          <w:highlight w:val="yellow"/>
        </w:rPr>
        <w:t>la pista siria (citando al respecto de los test</w:t>
      </w:r>
      <w:r w:rsidRPr="00D206A8">
        <w:rPr>
          <w:highlight w:val="yellow"/>
        </w:rPr>
        <w:t>i</w:t>
      </w:r>
      <w:r w:rsidRPr="00D206A8">
        <w:rPr>
          <w:highlight w:val="yellow"/>
        </w:rPr>
        <w:t>monios de Stiuso y de la s</w:t>
      </w:r>
      <w:r w:rsidRPr="00D206A8">
        <w:rPr>
          <w:highlight w:val="yellow"/>
        </w:rPr>
        <w:t>e</w:t>
      </w:r>
      <w:r w:rsidRPr="00D206A8">
        <w:rPr>
          <w:highlight w:val="yellow"/>
        </w:rPr>
        <w:t>nadora Fernández de Kirchner);</w:t>
      </w:r>
      <w:r>
        <w:t xml:space="preserve"> 2) la pista referida al vuelo de helicópteros la noche previa al atentado; 3) las listas adulteradas de los pol</w:t>
      </w:r>
      <w:r>
        <w:t>i</w:t>
      </w:r>
      <w:r>
        <w:t xml:space="preserve">cías de guardia en </w:t>
      </w:r>
      <w:smartTag w:uri="urn:schemas-microsoft-com:office:smarttags" w:element="PersonName">
        <w:smartTagPr>
          <w:attr w:name="ProductID" w:val="la A.M"/>
        </w:smartTagPr>
        <w:r>
          <w:t>la A.M</w:t>
        </w:r>
      </w:smartTag>
      <w:r>
        <w:t>.I.A. la semana previa al atent</w:t>
      </w:r>
      <w:r>
        <w:t>a</w:t>
      </w:r>
      <w:r>
        <w:t>do; debiendo sumarse a todo ello la creación de pistas falsas (causa “Brigadas”, “pista carapintada”, “S</w:t>
      </w:r>
      <w:r>
        <w:t>o</w:t>
      </w:r>
      <w:r>
        <w:t>lari”).</w:t>
      </w:r>
    </w:p>
    <w:p w:rsidR="00224567" w:rsidRDefault="00224567">
      <w:pPr>
        <w:widowControl w:val="0"/>
      </w:pPr>
      <w:r>
        <w:lastRenderedPageBreak/>
        <w:tab/>
        <w:t>Sostuvo también que la investigación no fue imparcial ni independiente, recordando al re</w:t>
      </w:r>
      <w:r>
        <w:t>s</w:t>
      </w:r>
      <w:r>
        <w:t xml:space="preserve">pecto los fundamentos esbozados ante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Federal"/>
        </w:smartTagPr>
        <w:r>
          <w:t>la Cámara F</w:t>
        </w:r>
        <w:r>
          <w:t>e</w:t>
        </w:r>
        <w:r>
          <w:t>deral</w:t>
        </w:r>
      </w:smartTag>
      <w:r>
        <w:t xml:space="preserve"> al apartar al Dr. G</w:t>
      </w:r>
      <w:r>
        <w:t>a</w:t>
      </w:r>
      <w:r>
        <w:t xml:space="preserve">leano del trámite de la causa y afirmó que el juez actuó en sintonía con la denominada “Sala Patria” de </w:t>
      </w:r>
      <w:smartTag w:uri="urn:schemas-microsoft-com:office:smarttags" w:element="PersonName">
        <w:smartTagPr>
          <w:attr w:name="ProductID" w:val="la Secretar￭a"/>
        </w:smartTagPr>
        <w:r>
          <w:t>la Secretaría</w:t>
        </w:r>
      </w:smartTag>
      <w:r>
        <w:t xml:space="preserve"> de Inteligencia, tras de</w:t>
      </w:r>
      <w:r>
        <w:t>s</w:t>
      </w:r>
      <w:r>
        <w:t>plazar al sector de Contrainteligencia.</w:t>
      </w:r>
    </w:p>
    <w:p w:rsidR="00224567" w:rsidRDefault="00224567">
      <w:pPr>
        <w:widowControl w:val="0"/>
      </w:pPr>
      <w:r>
        <w:tab/>
        <w:t>Indicó que el juez instructor discr</w:t>
      </w:r>
      <w:r>
        <w:t>i</w:t>
      </w:r>
      <w:r>
        <w:t>minó a la querella que patrocina cuando ordenó que al Dr. Smoliansky no se le exhibieran las actuaciones íntegrame</w:t>
      </w:r>
      <w:r>
        <w:t>n</w:t>
      </w:r>
      <w:r>
        <w:t xml:space="preserve">te, al permitir participar a la querella de </w:t>
      </w:r>
      <w:smartTag w:uri="urn:schemas-microsoft-com:office:smarttags" w:element="PersonName">
        <w:smartTagPr>
          <w:attr w:name="ProductID" w:val="la D.A"/>
        </w:smartTagPr>
        <w:r>
          <w:t>la D.A</w:t>
        </w:r>
      </w:smartTag>
      <w:r>
        <w:t>.I.A en los interrogatorios al testigo "C" recibidos en México y en Alemania, sin control de su representada ni de las d</w:t>
      </w:r>
      <w:r>
        <w:t>e</w:t>
      </w:r>
      <w:r>
        <w:t>fensas; extremos que consideró probados gracias a los d</w:t>
      </w:r>
      <w:r>
        <w:t>i</w:t>
      </w:r>
      <w:r>
        <w:t>chos de Claudio Lifschitz y que obligaron a la alzada, a</w:t>
      </w:r>
      <w:r>
        <w:t>n</w:t>
      </w:r>
      <w:r>
        <w:t>te la clara violación al principio de “paridad de armas”, a exigirle un blanqueo de todos los legajos mediante una certificación.</w:t>
      </w:r>
    </w:p>
    <w:p w:rsidR="00224567" w:rsidRDefault="00224567">
      <w:pPr>
        <w:widowControl w:val="0"/>
      </w:pPr>
      <w:r>
        <w:tab/>
        <w:t>Puso de relieve, además, las filmaci</w:t>
      </w:r>
      <w:r>
        <w:t>o</w:t>
      </w:r>
      <w:r>
        <w:t>nes clandestinas a testigos e imputados, luego quemadas por orden del juez, conforme lo informó por of</w:t>
      </w:r>
      <w:r>
        <w:t>i</w:t>
      </w:r>
      <w:r>
        <w:t xml:space="preserve">cio a este </w:t>
      </w:r>
      <w:r>
        <w:lastRenderedPageBreak/>
        <w:t>tribunal, pese a lo cual, ante el pedido de remisión de todos los videos y documentación que obr</w:t>
      </w:r>
      <w:r>
        <w:t>a</w:t>
      </w:r>
      <w:r>
        <w:t>ran en su poder, el 11 de noviembre de 2003 dijo haber hallado, en uno de los cajones de su escritorio, un video que Alejandro Brousson también filmó clandestin</w:t>
      </w:r>
      <w:r>
        <w:t>a</w:t>
      </w:r>
      <w:r>
        <w:t xml:space="preserve">mente, donde se muestra a Mariano Cúneo Libarona y a Gabriel Pasquini en una reunión en </w:t>
      </w:r>
      <w:smartTag w:uri="urn:schemas-microsoft-com:office:smarttags" w:element="PersonName">
        <w:smartTagPr>
          <w:attr w:name="ProductID" w:val="la S.I"/>
        </w:smartTagPr>
        <w:r>
          <w:t>la S.I</w:t>
        </w:r>
      </w:smartTag>
      <w:r>
        <w:t>.D.E.; video que arribó al debate prec</w:t>
      </w:r>
      <w:r>
        <w:t>e</w:t>
      </w:r>
      <w:r>
        <w:t>dido por informes de los secretarios Spina y Velasco y acerca del que nada dijeron en ocasión de declarar en el debate.</w:t>
      </w:r>
    </w:p>
    <w:p w:rsidR="00224567" w:rsidRDefault="00224567">
      <w:pPr>
        <w:widowControl w:val="0"/>
      </w:pPr>
      <w:r>
        <w:tab/>
        <w:t>Consideró que por los dichos de Sti</w:t>
      </w:r>
      <w:r>
        <w:t>u</w:t>
      </w:r>
      <w:r>
        <w:t>so se encontraba probado que del video de la e</w:t>
      </w:r>
      <w:r>
        <w:t>n</w:t>
      </w:r>
      <w:r>
        <w:t>trevista entre Telleldín y el Dr. Galeano, del 1º de julio de 1996, que el magistrado denunció como sustraído, existían dos c</w:t>
      </w:r>
      <w:r>
        <w:t>o</w:t>
      </w:r>
      <w:r>
        <w:t xml:space="preserve">pias, una de las cuales el propio juez llevó al secretario de </w:t>
      </w:r>
      <w:smartTag w:uri="urn:schemas-microsoft-com:office:smarttags" w:element="PersonName">
        <w:smartTagPr>
          <w:attr w:name="ProductID" w:val="la S.I"/>
        </w:smartTagPr>
        <w:r>
          <w:t>la S.I</w:t>
        </w:r>
      </w:smartTag>
      <w:r>
        <w:t>.D.E.</w:t>
      </w:r>
    </w:p>
    <w:p w:rsidR="00224567" w:rsidRDefault="00224567">
      <w:pPr>
        <w:widowControl w:val="0"/>
        <w:rPr>
          <w:lang w:val="es-ES_tradnl"/>
        </w:rPr>
      </w:pPr>
      <w:r>
        <w:tab/>
      </w:r>
      <w:r>
        <w:rPr>
          <w:lang w:val="es-ES_tradnl"/>
        </w:rPr>
        <w:t>Destacó el Dr. Jacoby que tanto el c</w:t>
      </w:r>
      <w:r>
        <w:rPr>
          <w:lang w:val="es-ES_tradnl"/>
        </w:rPr>
        <w:t>a</w:t>
      </w:r>
      <w:r>
        <w:rPr>
          <w:lang w:val="es-ES_tradnl"/>
        </w:rPr>
        <w:t xml:space="preserve">so de Semorile, con la entrega de su cliente a </w:t>
      </w:r>
      <w:smartTag w:uri="urn:schemas-microsoft-com:office:smarttags" w:element="PersonName">
        <w:smartTagPr>
          <w:attr w:name="ProductID" w:val="la Brigada"/>
        </w:smartTagPr>
        <w:r>
          <w:rPr>
            <w:lang w:val="es-ES_tradnl"/>
          </w:rPr>
          <w:t>la Brigada</w:t>
        </w:r>
      </w:smartTag>
      <w:r>
        <w:rPr>
          <w:lang w:val="es-ES_tradnl"/>
        </w:rPr>
        <w:t xml:space="preserve"> de Lanús, el cobro de la “Kawasaki”, el desc</w:t>
      </w:r>
      <w:r>
        <w:rPr>
          <w:lang w:val="es-ES_tradnl"/>
        </w:rPr>
        <w:t>u</w:t>
      </w:r>
      <w:r>
        <w:rPr>
          <w:lang w:val="es-ES_tradnl"/>
        </w:rPr>
        <w:t>brimiento de su participación en la extorsión, su fi</w:t>
      </w:r>
      <w:r>
        <w:rPr>
          <w:lang w:val="es-ES_tradnl"/>
        </w:rPr>
        <w:t>l</w:t>
      </w:r>
      <w:r>
        <w:rPr>
          <w:lang w:val="es-ES_tradnl"/>
        </w:rPr>
        <w:t xml:space="preserve">mación clandestina </w:t>
      </w:r>
      <w:r>
        <w:rPr>
          <w:lang w:val="es-ES_tradnl"/>
        </w:rPr>
        <w:lastRenderedPageBreak/>
        <w:t>y posterior negociación para terminar como testigo de identidad reservada, más los “aprietes” a testigos e imp</w:t>
      </w:r>
      <w:r>
        <w:rPr>
          <w:lang w:val="es-ES_tradnl"/>
        </w:rPr>
        <w:t>u</w:t>
      </w:r>
      <w:r>
        <w:rPr>
          <w:lang w:val="es-ES_tradnl"/>
        </w:rPr>
        <w:t>tados, las filmaciones s</w:t>
      </w:r>
      <w:r>
        <w:rPr>
          <w:lang w:val="es-ES_tradnl"/>
        </w:rPr>
        <w:t>u</w:t>
      </w:r>
      <w:r>
        <w:rPr>
          <w:lang w:val="es-ES_tradnl"/>
        </w:rPr>
        <w:t xml:space="preserve">brepticias, los casos de Huici y Lasala, las escuchas ilegales a </w:t>
      </w:r>
      <w:smartTag w:uri="urn:schemas-microsoft-com:office:smarttags" w:element="PersonName">
        <w:smartTagPr>
          <w:attr w:name="ProductID" w:val="la Dra. Greder"/>
        </w:smartTagPr>
        <w:r>
          <w:rPr>
            <w:lang w:val="es-ES_tradnl"/>
          </w:rPr>
          <w:t>la Dra. Greder</w:t>
        </w:r>
      </w:smartTag>
      <w:r>
        <w:rPr>
          <w:lang w:val="es-ES_tradnl"/>
        </w:rPr>
        <w:t xml:space="preserve"> Crocco, abogada de Pacífico, la actuación del comisario Vicat con sus presiones y la actividad de </w:t>
      </w:r>
      <w:smartTag w:uri="urn:schemas-microsoft-com:office:smarttags" w:element="PersonName">
        <w:smartTagPr>
          <w:attr w:name="ProductID" w:val="la Comisi￳n Bicameral"/>
        </w:smartTagPr>
        <w:r>
          <w:rPr>
            <w:lang w:val="es-ES_tradnl"/>
          </w:rPr>
          <w:t>la Comisión Bicameral</w:t>
        </w:r>
      </w:smartTag>
      <w:r>
        <w:rPr>
          <w:lang w:val="es-ES_tradnl"/>
        </w:rPr>
        <w:t xml:space="preserve"> de Seguimiento, presidida por el Dr. Soria, cuyo hijo trab</w:t>
      </w:r>
      <w:r>
        <w:rPr>
          <w:lang w:val="es-ES_tradnl"/>
        </w:rPr>
        <w:t>a</w:t>
      </w:r>
      <w:r>
        <w:rPr>
          <w:lang w:val="es-ES_tradnl"/>
        </w:rPr>
        <w:t>jaba en el juzgado, demuestra que el instructor, para r</w:t>
      </w:r>
      <w:r>
        <w:rPr>
          <w:lang w:val="es-ES_tradnl"/>
        </w:rPr>
        <w:t>e</w:t>
      </w:r>
      <w:r>
        <w:rPr>
          <w:lang w:val="es-ES_tradnl"/>
        </w:rPr>
        <w:t>solver la causa más importante de su vida, actuó bajo la consigna de que el fin justifica los medios, viéndose ah</w:t>
      </w:r>
      <w:r>
        <w:rPr>
          <w:lang w:val="es-ES_tradnl"/>
        </w:rPr>
        <w:t>o</w:t>
      </w:r>
      <w:r>
        <w:rPr>
          <w:lang w:val="es-ES_tradnl"/>
        </w:rPr>
        <w:t>ra los resultados.</w:t>
      </w:r>
    </w:p>
    <w:p w:rsidR="00224567" w:rsidRDefault="00224567">
      <w:pPr>
        <w:widowControl w:val="0"/>
        <w:rPr>
          <w:lang w:val="es-ES_tradnl"/>
        </w:rPr>
      </w:pPr>
      <w:r>
        <w:rPr>
          <w:lang w:val="es-ES_tradnl"/>
        </w:rPr>
        <w:tab/>
        <w:t>Afirmó, por ello, que las pruebas así colectadas no sirven para imputar el atentado, como tamp</w:t>
      </w:r>
      <w:r>
        <w:rPr>
          <w:lang w:val="es-ES_tradnl"/>
        </w:rPr>
        <w:t>o</w:t>
      </w:r>
      <w:r>
        <w:rPr>
          <w:lang w:val="es-ES_tradnl"/>
        </w:rPr>
        <w:t>co las extorsiones porque fueron mal hab</w:t>
      </w:r>
      <w:r>
        <w:rPr>
          <w:lang w:val="es-ES_tradnl"/>
        </w:rPr>
        <w:t>i</w:t>
      </w:r>
      <w:r>
        <w:rPr>
          <w:lang w:val="es-ES_tradnl"/>
        </w:rPr>
        <w:t>das.</w:t>
      </w:r>
    </w:p>
    <w:p w:rsidR="00224567" w:rsidRDefault="00224567">
      <w:pPr>
        <w:widowControl w:val="0"/>
        <w:rPr>
          <w:snapToGrid w:val="0"/>
        </w:rPr>
      </w:pPr>
      <w:r>
        <w:rPr>
          <w:snapToGrid w:val="0"/>
        </w:rPr>
        <w:tab/>
        <w:t>Evaluó que en el presente caso, la r</w:t>
      </w:r>
      <w:r>
        <w:rPr>
          <w:snapToGrid w:val="0"/>
        </w:rPr>
        <w:t>e</w:t>
      </w:r>
      <w:r>
        <w:rPr>
          <w:snapToGrid w:val="0"/>
        </w:rPr>
        <w:t>paración de la violación del derecho de los famili</w:t>
      </w:r>
      <w:r>
        <w:rPr>
          <w:snapToGrid w:val="0"/>
        </w:rPr>
        <w:t>a</w:t>
      </w:r>
      <w:r>
        <w:rPr>
          <w:snapToGrid w:val="0"/>
        </w:rPr>
        <w:t xml:space="preserve">res de las víctimas de la masacre de </w:t>
      </w:r>
      <w:smartTag w:uri="urn:schemas-microsoft-com:office:smarttags" w:element="PersonName">
        <w:smartTagPr>
          <w:attr w:name="ProductID" w:val="la A.M"/>
        </w:smartTagPr>
        <w:r>
          <w:rPr>
            <w:snapToGrid w:val="0"/>
          </w:rPr>
          <w:t>la A.M</w:t>
        </w:r>
      </w:smartTag>
      <w:r>
        <w:rPr>
          <w:snapToGrid w:val="0"/>
        </w:rPr>
        <w:t>.I.A. a que se realice una investigación efect</w:t>
      </w:r>
      <w:r>
        <w:rPr>
          <w:snapToGrid w:val="0"/>
        </w:rPr>
        <w:t>i</w:t>
      </w:r>
      <w:r>
        <w:rPr>
          <w:snapToGrid w:val="0"/>
        </w:rPr>
        <w:t>va, depende en gran medida de que el Estado cumpla adecuadamente su oblig</w:t>
      </w:r>
      <w:r>
        <w:rPr>
          <w:snapToGrid w:val="0"/>
        </w:rPr>
        <w:t>a</w:t>
      </w:r>
      <w:r>
        <w:rPr>
          <w:snapToGrid w:val="0"/>
        </w:rPr>
        <w:t>ción internacional de investigar y de que los respons</w:t>
      </w:r>
      <w:r>
        <w:rPr>
          <w:snapToGrid w:val="0"/>
        </w:rPr>
        <w:t>a</w:t>
      </w:r>
      <w:r>
        <w:rPr>
          <w:snapToGrid w:val="0"/>
        </w:rPr>
        <w:t>bles de haber cometido las numerosas irregularidades en el proceso de instru</w:t>
      </w:r>
      <w:r>
        <w:rPr>
          <w:snapToGrid w:val="0"/>
        </w:rPr>
        <w:t>c</w:t>
      </w:r>
      <w:r>
        <w:rPr>
          <w:snapToGrid w:val="0"/>
        </w:rPr>
        <w:lastRenderedPageBreak/>
        <w:t>ción, sean identificados y sancionados conforme a los pr</w:t>
      </w:r>
      <w:r>
        <w:rPr>
          <w:snapToGrid w:val="0"/>
        </w:rPr>
        <w:t>o</w:t>
      </w:r>
      <w:r>
        <w:rPr>
          <w:snapToGrid w:val="0"/>
        </w:rPr>
        <w:t>cedimientos legales previstos por el derecho inte</w:t>
      </w:r>
      <w:r>
        <w:rPr>
          <w:snapToGrid w:val="0"/>
        </w:rPr>
        <w:t>r</w:t>
      </w:r>
      <w:r>
        <w:rPr>
          <w:snapToGrid w:val="0"/>
        </w:rPr>
        <w:t>no.</w:t>
      </w:r>
    </w:p>
    <w:p w:rsidR="00224567" w:rsidRDefault="00224567">
      <w:pPr>
        <w:widowControl w:val="0"/>
      </w:pPr>
      <w:r>
        <w:tab/>
        <w:t>Agregó el letrado que al violarse las normas del debido proceso, sea pagando declaraciones a m</w:t>
      </w:r>
      <w:r>
        <w:t>e</w:t>
      </w:r>
      <w:r>
        <w:t>dida, presionando imputados para que d</w:t>
      </w:r>
      <w:r>
        <w:t>e</w:t>
      </w:r>
      <w:r>
        <w:t>claren contra otros o inventando testigos de identidad reservada, algunos de los cuales deberían estar imputados o presos, el juez co</w:t>
      </w:r>
      <w:r>
        <w:t>n</w:t>
      </w:r>
      <w:r>
        <w:t>dujo a una investigación improductiva y en muchísimos p</w:t>
      </w:r>
      <w:r>
        <w:t>a</w:t>
      </w:r>
      <w:r>
        <w:t>sajes absolut</w:t>
      </w:r>
      <w:r>
        <w:t>a</w:t>
      </w:r>
      <w:r>
        <w:t>mente nula.</w:t>
      </w:r>
    </w:p>
    <w:p w:rsidR="00224567" w:rsidRDefault="00224567">
      <w:pPr>
        <w:widowControl w:val="0"/>
        <w:rPr>
          <w:bCs/>
        </w:rPr>
      </w:pPr>
      <w:r>
        <w:tab/>
      </w:r>
      <w:r>
        <w:rPr>
          <w:bCs/>
        </w:rPr>
        <w:t>Con relación a los supuestos “desv</w:t>
      </w:r>
      <w:r>
        <w:rPr>
          <w:bCs/>
        </w:rPr>
        <w:t>í</w:t>
      </w:r>
      <w:r>
        <w:rPr>
          <w:bCs/>
        </w:rPr>
        <w:t>os” señaló que, a ju</w:t>
      </w:r>
      <w:r>
        <w:rPr>
          <w:bCs/>
        </w:rPr>
        <w:t>i</w:t>
      </w:r>
      <w:r>
        <w:rPr>
          <w:bCs/>
        </w:rPr>
        <w:t>cio de “Memoria Activa”, el mayor de los desvíos lo constituyó la formación de la denom</w:t>
      </w:r>
      <w:r>
        <w:rPr>
          <w:bCs/>
        </w:rPr>
        <w:t>i</w:t>
      </w:r>
      <w:r>
        <w:rPr>
          <w:bCs/>
        </w:rPr>
        <w:t>nada causa “Brigadas”, seguida contra los policías b</w:t>
      </w:r>
      <w:r>
        <w:rPr>
          <w:bCs/>
        </w:rPr>
        <w:t>o</w:t>
      </w:r>
      <w:r>
        <w:rPr>
          <w:bCs/>
        </w:rPr>
        <w:t>naerenses, en la que se forzaron testimonios en perjuicio de personas que el juez sabía inocentes del atent</w:t>
      </w:r>
      <w:r>
        <w:rPr>
          <w:bCs/>
        </w:rPr>
        <w:t>a</w:t>
      </w:r>
      <w:r>
        <w:rPr>
          <w:bCs/>
        </w:rPr>
        <w:t>do; testigos, en algunos casos insólitos, como Cotoras, Boragni y Eduardo Telle</w:t>
      </w:r>
      <w:r>
        <w:rPr>
          <w:bCs/>
        </w:rPr>
        <w:t>l</w:t>
      </w:r>
      <w:r>
        <w:rPr>
          <w:bCs/>
        </w:rPr>
        <w:t>dín, que debieron haber respondido por su particip</w:t>
      </w:r>
      <w:r>
        <w:rPr>
          <w:bCs/>
        </w:rPr>
        <w:t>a</w:t>
      </w:r>
      <w:r>
        <w:rPr>
          <w:bCs/>
        </w:rPr>
        <w:t>ción en el atentado.</w:t>
      </w:r>
    </w:p>
    <w:p w:rsidR="00224567" w:rsidRDefault="00224567">
      <w:pPr>
        <w:widowControl w:val="0"/>
      </w:pPr>
      <w:r>
        <w:rPr>
          <w:bCs/>
        </w:rPr>
        <w:tab/>
      </w:r>
      <w:r>
        <w:t>Como otra grave falencia recordó que Fabián Alfredo Bustos, quien atendía una playa de estaci</w:t>
      </w:r>
      <w:r>
        <w:t>o</w:t>
      </w:r>
      <w:r>
        <w:lastRenderedPageBreak/>
        <w:t>namiento en Azcuénaga 850, frente a “Jet Parking”, relató que antes del atentado intentaron estacionar una Trafic que no pudo entrar porque el techo del lugar era bajo, discutiendo con el chofer por ese motivo; conve</w:t>
      </w:r>
      <w:r>
        <w:t>r</w:t>
      </w:r>
      <w:r>
        <w:t>sación que quedó registrada en una cámara de video, por lo que ente</w:t>
      </w:r>
      <w:r>
        <w:t>n</w:t>
      </w:r>
      <w:r>
        <w:t xml:space="preserve">dió que </w:t>
      </w:r>
      <w:smartTag w:uri="urn:schemas-microsoft-com:office:smarttags" w:element="PersonName">
        <w:smartTagPr>
          <w:attr w:name="ProductID" w:val="la S.I"/>
        </w:smartTagPr>
        <w:r>
          <w:t>la S.I</w:t>
        </w:r>
      </w:smartTag>
      <w:r>
        <w:t xml:space="preserve">.D.E. tuvo a disposición la filmación de </w:t>
      </w:r>
      <w:smartTag w:uri="urn:schemas-microsoft-com:office:smarttags" w:element="PersonName">
        <w:smartTagPr>
          <w:attr w:name="ProductID" w:val="la Trafic"/>
        </w:smartTagPr>
        <w:r>
          <w:t>la Trafic</w:t>
        </w:r>
      </w:smartTag>
      <w:r>
        <w:t xml:space="preserve"> y su conductor y no hizo ningún esfuerzo para obt</w:t>
      </w:r>
      <w:r>
        <w:t>e</w:t>
      </w:r>
      <w:r>
        <w:t>ner las ci</w:t>
      </w:r>
      <w:r>
        <w:t>n</w:t>
      </w:r>
      <w:r>
        <w:t>tas.</w:t>
      </w:r>
    </w:p>
    <w:p w:rsidR="00224567" w:rsidRDefault="00224567">
      <w:pPr>
        <w:widowControl w:val="0"/>
        <w:rPr>
          <w:lang w:val="es-ES_tradnl"/>
        </w:rPr>
      </w:pPr>
      <w:r>
        <w:rPr>
          <w:lang w:val="es-ES_tradnl"/>
        </w:rPr>
        <w:tab/>
        <w:t>Planteó además el Dr. Jacoby que “</w:t>
      </w:r>
      <w:smartTag w:uri="urn:schemas-microsoft-com:office:smarttags" w:element="PersonName">
        <w:smartTagPr>
          <w:attr w:name="ProductID" w:val="la Comisi￳n Bicameral"/>
        </w:smartTagPr>
        <w:r>
          <w:rPr>
            <w:lang w:val="es-ES_tradnl"/>
          </w:rPr>
          <w:t>la Comisión Bicameral</w:t>
        </w:r>
      </w:smartTag>
      <w:r>
        <w:rPr>
          <w:lang w:val="es-ES_tradnl"/>
        </w:rPr>
        <w:t xml:space="preserve"> conducida por Soria fue funcional al ocultamiento del pago a Telleldín y constituyó una cobe</w:t>
      </w:r>
      <w:r>
        <w:rPr>
          <w:lang w:val="es-ES_tradnl"/>
        </w:rPr>
        <w:t>r</w:t>
      </w:r>
      <w:r>
        <w:rPr>
          <w:lang w:val="es-ES_tradnl"/>
        </w:rPr>
        <w:t>tura para el instructor del sumario, con la solitaria e</w:t>
      </w:r>
      <w:r>
        <w:rPr>
          <w:lang w:val="es-ES_tradnl"/>
        </w:rPr>
        <w:t>x</w:t>
      </w:r>
      <w:r>
        <w:rPr>
          <w:lang w:val="es-ES_tradnl"/>
        </w:rPr>
        <w:t>cepción de la entonces diputada Fernández de Kirchner”.</w:t>
      </w:r>
    </w:p>
    <w:p w:rsidR="00224567" w:rsidRDefault="00224567">
      <w:pPr>
        <w:widowControl w:val="0"/>
        <w:rPr>
          <w:lang w:val="es-ES_tradnl"/>
        </w:rPr>
      </w:pPr>
      <w:r>
        <w:rPr>
          <w:lang w:val="es-ES_tradnl"/>
        </w:rPr>
        <w:tab/>
        <w:t>A modo de interrogante, el apoderado de la querella expresó su deseo de que el instructor del sumario, quien en la contestación por oficio a este trib</w:t>
      </w:r>
      <w:r>
        <w:rPr>
          <w:lang w:val="es-ES_tradnl"/>
        </w:rPr>
        <w:t>u</w:t>
      </w:r>
      <w:r>
        <w:rPr>
          <w:lang w:val="es-ES_tradnl"/>
        </w:rPr>
        <w:t>nal del 23 de diciembre de 2003 dijo que hubiera esperado un interrogatorio más amplio, explique ¿por qué hizo lo que hizo y con quiénes?, como también ¿qué compromisos n</w:t>
      </w:r>
      <w:r>
        <w:rPr>
          <w:lang w:val="es-ES_tradnl"/>
        </w:rPr>
        <w:t>a</w:t>
      </w:r>
      <w:r>
        <w:rPr>
          <w:lang w:val="es-ES_tradnl"/>
        </w:rPr>
        <w:t>cionales e internacionales asumió?, agregando: de los co</w:t>
      </w:r>
      <w:r>
        <w:rPr>
          <w:lang w:val="es-ES_tradnl"/>
        </w:rPr>
        <w:t>n</w:t>
      </w:r>
      <w:r>
        <w:rPr>
          <w:lang w:val="es-ES_tradnl"/>
        </w:rPr>
        <w:t>tactos que le pidió a Beraja, que surgen de la desgrab</w:t>
      </w:r>
      <w:r>
        <w:rPr>
          <w:lang w:val="es-ES_tradnl"/>
        </w:rPr>
        <w:t>a</w:t>
      </w:r>
      <w:r>
        <w:rPr>
          <w:lang w:val="es-ES_tradnl"/>
        </w:rPr>
        <w:lastRenderedPageBreak/>
        <w:t>ción de la escucha telefón</w:t>
      </w:r>
      <w:r>
        <w:rPr>
          <w:lang w:val="es-ES_tradnl"/>
        </w:rPr>
        <w:t>i</w:t>
      </w:r>
      <w:r>
        <w:rPr>
          <w:lang w:val="es-ES_tradnl"/>
        </w:rPr>
        <w:t>ca, ¿a quiénes vio?, ¿para qué los vio?, ¿en qué lo ayudaron?, ¿a quién más le pidió co</w:t>
      </w:r>
      <w:r>
        <w:rPr>
          <w:lang w:val="es-ES_tradnl"/>
        </w:rPr>
        <w:t>n</w:t>
      </w:r>
      <w:r>
        <w:rPr>
          <w:lang w:val="es-ES_tradnl"/>
        </w:rPr>
        <w:t>tactos?, ¿qué políticos golpearon a su puerta y a qué p</w:t>
      </w:r>
      <w:r>
        <w:rPr>
          <w:lang w:val="es-ES_tradnl"/>
        </w:rPr>
        <w:t>o</w:t>
      </w:r>
      <w:r>
        <w:rPr>
          <w:lang w:val="es-ES_tradnl"/>
        </w:rPr>
        <w:t>líticos fue a llamar?; ¿por qué olvidó el llamado de M</w:t>
      </w:r>
      <w:r>
        <w:rPr>
          <w:lang w:val="es-ES_tradnl"/>
        </w:rPr>
        <w:t>u</w:t>
      </w:r>
      <w:r>
        <w:rPr>
          <w:lang w:val="es-ES_tradnl"/>
        </w:rPr>
        <w:t>nir Menem interesándose por Kanoore Edul?. Asimismo, se cont</w:t>
      </w:r>
      <w:r>
        <w:rPr>
          <w:lang w:val="es-ES_tradnl"/>
        </w:rPr>
        <w:t>i</w:t>
      </w:r>
      <w:r>
        <w:rPr>
          <w:lang w:val="es-ES_tradnl"/>
        </w:rPr>
        <w:t>nuó preguntando: ¿por qué dijo que nos íbamos a caer de espaldas cuando regresó de Venezuela, luego de entr</w:t>
      </w:r>
      <w:r>
        <w:rPr>
          <w:lang w:val="es-ES_tradnl"/>
        </w:rPr>
        <w:t>e</w:t>
      </w:r>
      <w:r>
        <w:rPr>
          <w:lang w:val="es-ES_tradnl"/>
        </w:rPr>
        <w:t>vistar a Manoucher Moatamer?, ¿qué es lo que supo que t</w:t>
      </w:r>
      <w:r>
        <w:rPr>
          <w:lang w:val="es-ES_tradnl"/>
        </w:rPr>
        <w:t>o</w:t>
      </w:r>
      <w:r>
        <w:rPr>
          <w:lang w:val="es-ES_tradnl"/>
        </w:rPr>
        <w:t>davía hoy nosotros desconocemos?, ¿por qué a su arribo a Ezeiza se dirigió a ver al entonces presidente Menem?, ¿cuál era su propósito?, ¿fue a rendir cuentas o a pedir algo?, ¿qué tenía que hacer un juez en una reunión en la que el pres</w:t>
      </w:r>
      <w:r>
        <w:rPr>
          <w:lang w:val="es-ES_tradnl"/>
        </w:rPr>
        <w:t>i</w:t>
      </w:r>
      <w:r>
        <w:rPr>
          <w:lang w:val="es-ES_tradnl"/>
        </w:rPr>
        <w:t>dente y su secretario de Seguridad miraban telev</w:t>
      </w:r>
      <w:r>
        <w:rPr>
          <w:lang w:val="es-ES_tradnl"/>
        </w:rPr>
        <w:t>i</w:t>
      </w:r>
      <w:r>
        <w:rPr>
          <w:lang w:val="es-ES_tradnl"/>
        </w:rPr>
        <w:t>sión sin advertir su presencia?, ¿por qué filmó a los testigos e imputados sin su conocimiento ni el de sus abogados, sin dejar constancia en el expediente, para luego ordenar la destrucción de esos v</w:t>
      </w:r>
      <w:r>
        <w:rPr>
          <w:lang w:val="es-ES_tradnl"/>
        </w:rPr>
        <w:t>i</w:t>
      </w:r>
      <w:r>
        <w:rPr>
          <w:lang w:val="es-ES_tradnl"/>
        </w:rPr>
        <w:t>deos?, ¿por qué argumentó carecer de espacio físico para conservar esos videos?, ¿por qué no dejó constancia en el expediente de los legajos que tram</w:t>
      </w:r>
      <w:r>
        <w:rPr>
          <w:lang w:val="es-ES_tradnl"/>
        </w:rPr>
        <w:t>i</w:t>
      </w:r>
      <w:r>
        <w:rPr>
          <w:lang w:val="es-ES_tradnl"/>
        </w:rPr>
        <w:t>taba por separado, a medida que los iniciaba, tramitánd</w:t>
      </w:r>
      <w:r>
        <w:rPr>
          <w:lang w:val="es-ES_tradnl"/>
        </w:rPr>
        <w:t>o</w:t>
      </w:r>
      <w:r>
        <w:rPr>
          <w:lang w:val="es-ES_tradnl"/>
        </w:rPr>
        <w:lastRenderedPageBreak/>
        <w:t>los sin conocimiento de las partes, a excepción de la fi</w:t>
      </w:r>
      <w:r>
        <w:rPr>
          <w:lang w:val="es-ES_tradnl"/>
        </w:rPr>
        <w:t>s</w:t>
      </w:r>
      <w:r>
        <w:rPr>
          <w:lang w:val="es-ES_tradnl"/>
        </w:rPr>
        <w:t>calía y de la querella de A.M.I.A. y D.A.I.A.?, ¿por qué no indagó a Boragni, quien hasta hoy es una testigo, tan testigo como cualquiera de las víctimas o sus familiares?, ¿por qué le dijo al diputado Cafiero que no se había pag</w:t>
      </w:r>
      <w:r>
        <w:rPr>
          <w:lang w:val="es-ES_tradnl"/>
        </w:rPr>
        <w:t>a</w:t>
      </w:r>
      <w:r>
        <w:rPr>
          <w:lang w:val="es-ES_tradnl"/>
        </w:rPr>
        <w:t>do a Telleldín?, ¿por qué permitió que sus secretarios n</w:t>
      </w:r>
      <w:r>
        <w:rPr>
          <w:lang w:val="es-ES_tradnl"/>
        </w:rPr>
        <w:t>e</w:t>
      </w:r>
      <w:r>
        <w:rPr>
          <w:lang w:val="es-ES_tradnl"/>
        </w:rPr>
        <w:t>garan el pago ante el tribunal oral?, ¿por qué permitió que sucediera el escándalo diplomático en Alemania, en el que el juez alemán echó a la delegación argentina en el último interrogatorio al testigo "C"? y ¿por qué se violó la confidencialidad comprometida antes del final de esa audiencia, debiendo nuestra delegación suplicar al fiscal alemán que formule las preguntas pendientes que tenían prepar</w:t>
      </w:r>
      <w:r>
        <w:rPr>
          <w:lang w:val="es-ES_tradnl"/>
        </w:rPr>
        <w:t>a</w:t>
      </w:r>
      <w:r>
        <w:rPr>
          <w:lang w:val="es-ES_tradnl"/>
        </w:rPr>
        <w:t>das?</w:t>
      </w:r>
    </w:p>
    <w:p w:rsidR="00224567" w:rsidRDefault="00224567">
      <w:pPr>
        <w:widowControl w:val="0"/>
        <w:rPr>
          <w:lang w:val="es-ES_tradnl"/>
        </w:rPr>
      </w:pPr>
      <w:r>
        <w:rPr>
          <w:lang w:val="es-ES_tradnl"/>
        </w:rPr>
        <w:tab/>
        <w:t>Igualmente, el letrado consideró muy grave la malversación de la prueba realizada por la in</w:t>
      </w:r>
      <w:r>
        <w:rPr>
          <w:lang w:val="es-ES_tradnl"/>
        </w:rPr>
        <w:t>s</w:t>
      </w:r>
      <w:r>
        <w:rPr>
          <w:lang w:val="es-ES_tradnl"/>
        </w:rPr>
        <w:t>trucción, poniendo como ejemplo la consideración que se otorgó a la escritura del padre de Ribelli y a la ubic</w:t>
      </w:r>
      <w:r>
        <w:rPr>
          <w:lang w:val="es-ES_tradnl"/>
        </w:rPr>
        <w:t>a</w:t>
      </w:r>
      <w:r>
        <w:rPr>
          <w:lang w:val="es-ES_tradnl"/>
        </w:rPr>
        <w:t>ción en la zona de Villa Ballester de los celul</w:t>
      </w:r>
      <w:r>
        <w:rPr>
          <w:lang w:val="es-ES_tradnl"/>
        </w:rPr>
        <w:t>a</w:t>
      </w:r>
      <w:r>
        <w:rPr>
          <w:lang w:val="es-ES_tradnl"/>
        </w:rPr>
        <w:t>res de la gente de Ribelli, antes del atentado; elementos que el juez utilizó para dar sustento a la hipót</w:t>
      </w:r>
      <w:r>
        <w:rPr>
          <w:lang w:val="es-ES_tradnl"/>
        </w:rPr>
        <w:t>e</w:t>
      </w:r>
      <w:r>
        <w:rPr>
          <w:lang w:val="es-ES_tradnl"/>
        </w:rPr>
        <w:t xml:space="preserve">sis amañada que </w:t>
      </w:r>
      <w:r>
        <w:rPr>
          <w:lang w:val="es-ES_tradnl"/>
        </w:rPr>
        <w:lastRenderedPageBreak/>
        <w:t>lo vinculaba con el atent</w:t>
      </w:r>
      <w:r>
        <w:rPr>
          <w:lang w:val="es-ES_tradnl"/>
        </w:rPr>
        <w:t>a</w:t>
      </w:r>
      <w:r>
        <w:rPr>
          <w:lang w:val="es-ES_tradnl"/>
        </w:rPr>
        <w:t>do.</w:t>
      </w:r>
    </w:p>
    <w:p w:rsidR="00224567" w:rsidRDefault="00224567">
      <w:pPr>
        <w:widowControl w:val="0"/>
        <w:rPr>
          <w:lang w:val="es-ES_tradnl"/>
        </w:rPr>
      </w:pPr>
      <w:r>
        <w:rPr>
          <w:lang w:val="es-ES_tradnl"/>
        </w:rPr>
        <w:tab/>
        <w:t>En otro orden de ideas, el letrado m</w:t>
      </w:r>
      <w:r>
        <w:rPr>
          <w:lang w:val="es-ES_tradnl"/>
        </w:rPr>
        <w:t>a</w:t>
      </w:r>
      <w:r>
        <w:rPr>
          <w:lang w:val="es-ES_tradnl"/>
        </w:rPr>
        <w:t>nifestó que los policías bonaerenses Bareiro y Barreda, cercanos al entorno de Telleldín, fu</w:t>
      </w:r>
      <w:r>
        <w:rPr>
          <w:lang w:val="es-ES_tradnl"/>
        </w:rPr>
        <w:t>e</w:t>
      </w:r>
      <w:r>
        <w:rPr>
          <w:lang w:val="es-ES_tradnl"/>
        </w:rPr>
        <w:t xml:space="preserve">ron cooptados por </w:t>
      </w:r>
      <w:smartTag w:uri="urn:schemas-microsoft-com:office:smarttags" w:element="PersonName">
        <w:smartTagPr>
          <w:attr w:name="ProductID" w:val="la S.I"/>
        </w:smartTagPr>
        <w:r>
          <w:rPr>
            <w:lang w:val="es-ES_tradnl"/>
          </w:rPr>
          <w:t>la S.I</w:t>
        </w:r>
      </w:smartTag>
      <w:r>
        <w:rPr>
          <w:lang w:val="es-ES_tradnl"/>
        </w:rPr>
        <w:t>.D.E. luego de producida la masacre, con el conocimie</w:t>
      </w:r>
      <w:r>
        <w:rPr>
          <w:lang w:val="es-ES_tradnl"/>
        </w:rPr>
        <w:t>n</w:t>
      </w:r>
      <w:r>
        <w:rPr>
          <w:lang w:val="es-ES_tradnl"/>
        </w:rPr>
        <w:t>to del instructor del sumario y de la propia Policía B</w:t>
      </w:r>
      <w:r>
        <w:rPr>
          <w:lang w:val="es-ES_tradnl"/>
        </w:rPr>
        <w:t>o</w:t>
      </w:r>
      <w:r>
        <w:rPr>
          <w:lang w:val="es-ES_tradnl"/>
        </w:rPr>
        <w:t>naerense, para, tiempo después, imputarlos judicialmente, a la vez que aquella dependencia negaba que hubieran tr</w:t>
      </w:r>
      <w:r>
        <w:rPr>
          <w:lang w:val="es-ES_tradnl"/>
        </w:rPr>
        <w:t>a</w:t>
      </w:r>
      <w:r>
        <w:rPr>
          <w:lang w:val="es-ES_tradnl"/>
        </w:rPr>
        <w:t>bajado para ellos.</w:t>
      </w:r>
    </w:p>
    <w:p w:rsidR="00224567" w:rsidRDefault="00224567">
      <w:pPr>
        <w:widowControl w:val="0"/>
        <w:rPr>
          <w:lang w:val="es-ES_tradnl"/>
        </w:rPr>
      </w:pPr>
      <w:r>
        <w:rPr>
          <w:lang w:val="es-ES_tradnl"/>
        </w:rPr>
        <w:tab/>
        <w:t xml:space="preserve">También resaltó que el juicio puso de manifiesto, entre otras cosas, la interacción de </w:t>
      </w:r>
      <w:smartTag w:uri="urn:schemas-microsoft-com:office:smarttags" w:element="PersonName">
        <w:smartTagPr>
          <w:attr w:name="ProductID" w:val="la S.I"/>
        </w:smartTagPr>
        <w:r>
          <w:rPr>
            <w:lang w:val="es-ES_tradnl"/>
          </w:rPr>
          <w:t>la S.I</w:t>
        </w:r>
      </w:smartTag>
      <w:r>
        <w:rPr>
          <w:lang w:val="es-ES_tradnl"/>
        </w:rPr>
        <w:t>.D.E. con el Juzgado Federal de Lomas de Zamora, a ca</w:t>
      </w:r>
      <w:r>
        <w:rPr>
          <w:lang w:val="es-ES_tradnl"/>
        </w:rPr>
        <w:t>r</w:t>
      </w:r>
      <w:r>
        <w:rPr>
          <w:lang w:val="es-ES_tradnl"/>
        </w:rPr>
        <w:t>go del Dr. Santa Marina, la decisión del comisario Vitelli de separar a los policías bonaerenses de la fuerza recon</w:t>
      </w:r>
      <w:r>
        <w:rPr>
          <w:lang w:val="es-ES_tradnl"/>
        </w:rPr>
        <w:t>o</w:t>
      </w:r>
      <w:r>
        <w:rPr>
          <w:lang w:val="es-ES_tradnl"/>
        </w:rPr>
        <w:t>ciendo, como única razón, órdenes políticas, la inactiv</w:t>
      </w:r>
      <w:r>
        <w:rPr>
          <w:lang w:val="es-ES_tradnl"/>
        </w:rPr>
        <w:t>i</w:t>
      </w:r>
      <w:r>
        <w:rPr>
          <w:lang w:val="es-ES_tradnl"/>
        </w:rPr>
        <w:t>dad del entonces Secretario seguridad, brigadier Antonie</w:t>
      </w:r>
      <w:r>
        <w:rPr>
          <w:lang w:val="es-ES_tradnl"/>
        </w:rPr>
        <w:t>t</w:t>
      </w:r>
      <w:r>
        <w:rPr>
          <w:lang w:val="es-ES_tradnl"/>
        </w:rPr>
        <w:t>ti, la actitud del ex ministro del interior y ex vicepr</w:t>
      </w:r>
      <w:r>
        <w:rPr>
          <w:lang w:val="es-ES_tradnl"/>
        </w:rPr>
        <w:t>e</w:t>
      </w:r>
      <w:r>
        <w:rPr>
          <w:lang w:val="es-ES_tradnl"/>
        </w:rPr>
        <w:t xml:space="preserve">sidente de </w:t>
      </w:r>
      <w:smartTag w:uri="urn:schemas-microsoft-com:office:smarttags" w:element="PersonName">
        <w:smartTagPr>
          <w:attr w:name="ProductID" w:val="la Naci￳n"/>
        </w:smartTagPr>
        <w:r>
          <w:rPr>
            <w:lang w:val="es-ES_tradnl"/>
          </w:rPr>
          <w:t>la Nación</w:t>
        </w:r>
      </w:smartTag>
      <w:r>
        <w:rPr>
          <w:lang w:val="es-ES_tradnl"/>
        </w:rPr>
        <w:t>, Carlos Ruckauf, admitiendo que lo habían “puenteado” y resigna</w:t>
      </w:r>
      <w:r>
        <w:rPr>
          <w:lang w:val="es-ES_tradnl"/>
        </w:rPr>
        <w:t>n</w:t>
      </w:r>
      <w:r>
        <w:rPr>
          <w:lang w:val="es-ES_tradnl"/>
        </w:rPr>
        <w:t xml:space="preserve">do sus funciones como titular de la cartera de interior o al afirmar que sabía que un </w:t>
      </w:r>
      <w:r>
        <w:rPr>
          <w:lang w:val="es-ES_tradnl"/>
        </w:rPr>
        <w:lastRenderedPageBreak/>
        <w:t xml:space="preserve">país extranjero estaba detrás del atentado, las pérdidas simultáneas de casetes por parte de </w:t>
      </w:r>
      <w:smartTag w:uri="urn:schemas-microsoft-com:office:smarttags" w:element="PersonName">
        <w:smartTagPr>
          <w:attr w:name="ProductID" w:val="la S.I"/>
        </w:smartTagPr>
        <w:r>
          <w:rPr>
            <w:lang w:val="es-ES_tradnl"/>
          </w:rPr>
          <w:t>la S.I</w:t>
        </w:r>
      </w:smartTag>
      <w:r>
        <w:rPr>
          <w:lang w:val="es-ES_tradnl"/>
        </w:rPr>
        <w:t>.D.E. y el D.P.O.C., la alianza e</w:t>
      </w:r>
      <w:r>
        <w:rPr>
          <w:lang w:val="es-ES_tradnl"/>
        </w:rPr>
        <w:t>n</w:t>
      </w:r>
      <w:r>
        <w:rPr>
          <w:lang w:val="es-ES_tradnl"/>
        </w:rPr>
        <w:t xml:space="preserve">tre </w:t>
      </w:r>
      <w:smartTag w:uri="urn:schemas-microsoft-com:office:smarttags" w:element="PersonName">
        <w:smartTagPr>
          <w:attr w:name="ProductID" w:val="la Polic￭a Federal"/>
        </w:smartTagPr>
        <w:r>
          <w:rPr>
            <w:lang w:val="es-ES_tradnl"/>
          </w:rPr>
          <w:t>la Policía Federal</w:t>
        </w:r>
      </w:smartTag>
      <w:r>
        <w:rPr>
          <w:lang w:val="es-ES_tradnl"/>
        </w:rPr>
        <w:t xml:space="preserve"> Argentina y Alejandro Monjo, en la comercialización de automotores y repuestos de or</w:t>
      </w:r>
      <w:r>
        <w:rPr>
          <w:lang w:val="es-ES_tradnl"/>
        </w:rPr>
        <w:t>i</w:t>
      </w:r>
      <w:r>
        <w:rPr>
          <w:lang w:val="es-ES_tradnl"/>
        </w:rPr>
        <w:t>gen dudoso, las maniobras del personal de migraciones del Aeropuerto de Ezeiza, facilitando la sal</w:t>
      </w:r>
      <w:r>
        <w:rPr>
          <w:lang w:val="es-ES_tradnl"/>
        </w:rPr>
        <w:t>i</w:t>
      </w:r>
      <w:r>
        <w:rPr>
          <w:lang w:val="es-ES_tradnl"/>
        </w:rPr>
        <w:t>da de Khalil Ghatea o vinculadas a la mafia de los ch</w:t>
      </w:r>
      <w:r>
        <w:rPr>
          <w:lang w:val="es-ES_tradnl"/>
        </w:rPr>
        <w:t>i</w:t>
      </w:r>
      <w:r>
        <w:rPr>
          <w:lang w:val="es-ES_tradnl"/>
        </w:rPr>
        <w:t>nos y, por último, las presiones efectuadas por el comisario Vicat.</w:t>
      </w:r>
    </w:p>
    <w:p w:rsidR="00224567" w:rsidRDefault="00224567">
      <w:pPr>
        <w:widowControl w:val="0"/>
        <w:rPr>
          <w:lang w:val="es-ES_tradnl"/>
        </w:rPr>
      </w:pPr>
      <w:r>
        <w:rPr>
          <w:lang w:val="es-ES_tradnl"/>
        </w:rPr>
        <w:tab/>
        <w:t>Sostuvo que la causa nº 9485 del Ju</w:t>
      </w:r>
      <w:r>
        <w:rPr>
          <w:lang w:val="es-ES_tradnl"/>
        </w:rPr>
        <w:t>z</w:t>
      </w:r>
      <w:r>
        <w:rPr>
          <w:lang w:val="es-ES_tradnl"/>
        </w:rPr>
        <w:t>gado Federal nº 4, Secretaría nº 7, que investigó al in</w:t>
      </w:r>
      <w:r>
        <w:rPr>
          <w:lang w:val="es-ES_tradnl"/>
        </w:rPr>
        <w:t>s</w:t>
      </w:r>
      <w:r>
        <w:rPr>
          <w:lang w:val="es-ES_tradnl"/>
        </w:rPr>
        <w:t>tructor del sumario y a uno de sus secretarios por la fi</w:t>
      </w:r>
      <w:r>
        <w:rPr>
          <w:lang w:val="es-ES_tradnl"/>
        </w:rPr>
        <w:t>l</w:t>
      </w:r>
      <w:r>
        <w:rPr>
          <w:lang w:val="es-ES_tradnl"/>
        </w:rPr>
        <w:t>mación del 1º de julio 1996 y por el pago a Telleldín, concluyó en un sobreseimiento porque todos los testigos negaron el pago, engañando de esa manera al juez Cavallo al momento de resolver, toda vez que debió basarse en pruebas que resultaron falsas,  ya que ign</w:t>
      </w:r>
      <w:r>
        <w:rPr>
          <w:lang w:val="es-ES_tradnl"/>
        </w:rPr>
        <w:t>o</w:t>
      </w:r>
      <w:r>
        <w:rPr>
          <w:lang w:val="es-ES_tradnl"/>
        </w:rPr>
        <w:t>raba la escucha al teléfono interceptado del Dr. José Pereyra, alias “P</w:t>
      </w:r>
      <w:r>
        <w:rPr>
          <w:lang w:val="es-ES_tradnl"/>
        </w:rPr>
        <w:t>e</w:t>
      </w:r>
      <w:r>
        <w:rPr>
          <w:lang w:val="es-ES_tradnl"/>
        </w:rPr>
        <w:t>po”, en la que reconocía el pago a Telle</w:t>
      </w:r>
      <w:r>
        <w:rPr>
          <w:lang w:val="es-ES_tradnl"/>
        </w:rPr>
        <w:t>l</w:t>
      </w:r>
      <w:r>
        <w:rPr>
          <w:lang w:val="es-ES_tradnl"/>
        </w:rPr>
        <w:t>dín.</w:t>
      </w:r>
    </w:p>
    <w:p w:rsidR="00224567" w:rsidRDefault="00224567">
      <w:pPr>
        <w:widowControl w:val="0"/>
        <w:rPr>
          <w:lang w:val="es-ES_tradnl"/>
        </w:rPr>
      </w:pPr>
      <w:r>
        <w:rPr>
          <w:lang w:val="es-ES_tradnl"/>
        </w:rPr>
        <w:tab/>
        <w:t>Debido a ello, concluyó, el sobrese</w:t>
      </w:r>
      <w:r>
        <w:rPr>
          <w:lang w:val="es-ES_tradnl"/>
        </w:rPr>
        <w:t>i</w:t>
      </w:r>
      <w:r>
        <w:rPr>
          <w:lang w:val="es-ES_tradnl"/>
        </w:rPr>
        <w:t xml:space="preserve">miento decretado en esa causa debe ser tratado en el marco </w:t>
      </w:r>
      <w:r>
        <w:rPr>
          <w:lang w:val="es-ES_tradnl"/>
        </w:rPr>
        <w:lastRenderedPageBreak/>
        <w:t>de lo que la doctrina ha llamado cosa juzgada írrita y, por ello, sin valor alguno, debiéndose investigar nuev</w:t>
      </w:r>
      <w:r>
        <w:rPr>
          <w:lang w:val="es-ES_tradnl"/>
        </w:rPr>
        <w:t>a</w:t>
      </w:r>
      <w:r>
        <w:rPr>
          <w:lang w:val="es-ES_tradnl"/>
        </w:rPr>
        <w:t>mente los hechos a la luz de la nueva info</w:t>
      </w:r>
      <w:r>
        <w:rPr>
          <w:lang w:val="es-ES_tradnl"/>
        </w:rPr>
        <w:t>r</w:t>
      </w:r>
      <w:r>
        <w:rPr>
          <w:lang w:val="es-ES_tradnl"/>
        </w:rPr>
        <w:t>mación obtenida en el debate oral.</w:t>
      </w:r>
    </w:p>
    <w:p w:rsidR="00224567" w:rsidRDefault="00224567">
      <w:pPr>
        <w:widowControl w:val="0"/>
        <w:rPr>
          <w:lang w:val="es-ES_tradnl"/>
        </w:rPr>
      </w:pPr>
      <w:r>
        <w:rPr>
          <w:lang w:val="es-ES_tradnl"/>
        </w:rPr>
        <w:tab/>
        <w:t>Evaluó el Dr. Jacoby que la entrevi</w:t>
      </w:r>
      <w:r>
        <w:rPr>
          <w:lang w:val="es-ES_tradnl"/>
        </w:rPr>
        <w:t>s</w:t>
      </w:r>
      <w:r>
        <w:rPr>
          <w:lang w:val="es-ES_tradnl"/>
        </w:rPr>
        <w:t xml:space="preserve">ta, cuya filmación registró al juez y a Telleldín, fue parte de la negociación entre ambos y derivó en el pago del 5 de julio de </w:t>
      </w:r>
      <w:smartTag w:uri="urn:schemas-microsoft-com:office:smarttags" w:element="metricconverter">
        <w:smartTagPr>
          <w:attr w:name="ProductID" w:val="1996, a"/>
        </w:smartTagPr>
        <w:r>
          <w:rPr>
            <w:lang w:val="es-ES_tradnl"/>
          </w:rPr>
          <w:t>1996, a</w:t>
        </w:r>
      </w:smartTag>
      <w:r>
        <w:rPr>
          <w:lang w:val="es-ES_tradnl"/>
        </w:rPr>
        <w:t xml:space="preserve"> cons</w:t>
      </w:r>
      <w:r>
        <w:rPr>
          <w:lang w:val="es-ES_tradnl"/>
        </w:rPr>
        <w:t>e</w:t>
      </w:r>
      <w:r>
        <w:rPr>
          <w:lang w:val="es-ES_tradnl"/>
        </w:rPr>
        <w:t>cuencia del cual, ese mismo día, se amplió su decl</w:t>
      </w:r>
      <w:r>
        <w:rPr>
          <w:lang w:val="es-ES_tradnl"/>
        </w:rPr>
        <w:t>a</w:t>
      </w:r>
      <w:r>
        <w:rPr>
          <w:lang w:val="es-ES_tradnl"/>
        </w:rPr>
        <w:t>ración indagatoria.</w:t>
      </w:r>
    </w:p>
    <w:p w:rsidR="00224567" w:rsidRDefault="00224567">
      <w:pPr>
        <w:widowControl w:val="0"/>
        <w:rPr>
          <w:lang w:val="es-ES_tradnl"/>
        </w:rPr>
      </w:pPr>
      <w:r>
        <w:rPr>
          <w:lang w:val="es-ES_tradnl"/>
        </w:rPr>
        <w:tab/>
      </w:r>
      <w:r w:rsidRPr="00D206A8">
        <w:rPr>
          <w:highlight w:val="yellow"/>
          <w:lang w:val="es-ES_tradnl"/>
        </w:rPr>
        <w:t>En ese sentido recordó que Horacio Stiuso, al considerar que los dichos de Telleldín sobre los policías no cerraban “por nada del mundo”, fue separ</w:t>
      </w:r>
      <w:r w:rsidRPr="00D206A8">
        <w:rPr>
          <w:highlight w:val="yellow"/>
          <w:lang w:val="es-ES_tradnl"/>
        </w:rPr>
        <w:t>a</w:t>
      </w:r>
      <w:r w:rsidRPr="00D206A8">
        <w:rPr>
          <w:highlight w:val="yellow"/>
          <w:lang w:val="es-ES_tradnl"/>
        </w:rPr>
        <w:t>do de la investigación de “la parte de la camioneta”, añ</w:t>
      </w:r>
      <w:r w:rsidRPr="00D206A8">
        <w:rPr>
          <w:highlight w:val="yellow"/>
          <w:lang w:val="es-ES_tradnl"/>
        </w:rPr>
        <w:t>a</w:t>
      </w:r>
      <w:r w:rsidRPr="00D206A8">
        <w:rPr>
          <w:highlight w:val="yellow"/>
          <w:lang w:val="es-ES_tradnl"/>
        </w:rPr>
        <w:t>diendo que la declaración de Telleldín no había resultado espontánea en r</w:t>
      </w:r>
      <w:r w:rsidRPr="00D206A8">
        <w:rPr>
          <w:highlight w:val="yellow"/>
          <w:lang w:val="es-ES_tradnl"/>
        </w:rPr>
        <w:t>a</w:t>
      </w:r>
      <w:r w:rsidRPr="00D206A8">
        <w:rPr>
          <w:highlight w:val="yellow"/>
          <w:lang w:val="es-ES_tradnl"/>
        </w:rPr>
        <w:t>zón que a fines de 1995 o enero de 1996 su jefe, Lucas, le exhibió un papel que contenía una hipót</w:t>
      </w:r>
      <w:r w:rsidRPr="00D206A8">
        <w:rPr>
          <w:highlight w:val="yellow"/>
          <w:lang w:val="es-ES_tradnl"/>
        </w:rPr>
        <w:t>e</w:t>
      </w:r>
      <w:r w:rsidRPr="00D206A8">
        <w:rPr>
          <w:highlight w:val="yellow"/>
          <w:lang w:val="es-ES_tradnl"/>
        </w:rPr>
        <w:t>sis en la que se decía, sin dar nombres de policías o br</w:t>
      </w:r>
      <w:r w:rsidRPr="00D206A8">
        <w:rPr>
          <w:highlight w:val="yellow"/>
          <w:lang w:val="es-ES_tradnl"/>
        </w:rPr>
        <w:t>i</w:t>
      </w:r>
      <w:r w:rsidRPr="00D206A8">
        <w:rPr>
          <w:highlight w:val="yellow"/>
          <w:lang w:val="es-ES_tradnl"/>
        </w:rPr>
        <w:t>gadas, que el domingo 10 de julio habían ido a exto</w:t>
      </w:r>
      <w:r w:rsidRPr="00D206A8">
        <w:rPr>
          <w:highlight w:val="yellow"/>
          <w:lang w:val="es-ES_tradnl"/>
        </w:rPr>
        <w:t>r</w:t>
      </w:r>
      <w:r w:rsidRPr="00D206A8">
        <w:rPr>
          <w:highlight w:val="yellow"/>
          <w:lang w:val="es-ES_tradnl"/>
        </w:rPr>
        <w:t>sionar a Telleldín y que el jueves 14 regresaron por más plata; papel que, según Lucas, “venía del juzg</w:t>
      </w:r>
      <w:r w:rsidRPr="00D206A8">
        <w:rPr>
          <w:highlight w:val="yellow"/>
          <w:lang w:val="es-ES_tradnl"/>
        </w:rPr>
        <w:t>a</w:t>
      </w:r>
      <w:r w:rsidRPr="00D206A8">
        <w:rPr>
          <w:highlight w:val="yellow"/>
          <w:lang w:val="es-ES_tradnl"/>
        </w:rPr>
        <w:t>do”.</w:t>
      </w:r>
    </w:p>
    <w:p w:rsidR="00224567" w:rsidRDefault="00224567">
      <w:pPr>
        <w:widowControl w:val="0"/>
        <w:rPr>
          <w:lang w:val="es-ES_tradnl"/>
        </w:rPr>
      </w:pPr>
      <w:r>
        <w:rPr>
          <w:lang w:val="es-ES_tradnl"/>
        </w:rPr>
        <w:lastRenderedPageBreak/>
        <w:tab/>
        <w:t xml:space="preserve">Sostuvo el letrado, que uno de los errores del instructor del sumario fue utilizar a </w:t>
      </w:r>
      <w:smartTag w:uri="urn:schemas-microsoft-com:office:smarttags" w:element="PersonName">
        <w:smartTagPr>
          <w:attr w:name="ProductID" w:val="la S.I"/>
        </w:smartTagPr>
        <w:r>
          <w:rPr>
            <w:lang w:val="es-ES_tradnl"/>
          </w:rPr>
          <w:t>la S.I</w:t>
        </w:r>
      </w:smartTag>
      <w:r>
        <w:rPr>
          <w:lang w:val="es-ES_tradnl"/>
        </w:rPr>
        <w:t xml:space="preserve">.D.E. en lugar de </w:t>
      </w:r>
      <w:smartTag w:uri="urn:schemas-microsoft-com:office:smarttags" w:element="PersonName">
        <w:smartTagPr>
          <w:attr w:name="ProductID" w:val="la Polic￭a Federal"/>
        </w:smartTagPr>
        <w:r>
          <w:rPr>
            <w:lang w:val="es-ES_tradnl"/>
          </w:rPr>
          <w:t>la Policía Federal</w:t>
        </w:r>
      </w:smartTag>
      <w:r>
        <w:rPr>
          <w:lang w:val="es-ES_tradnl"/>
        </w:rPr>
        <w:t xml:space="preserve"> como auxiliar de la justicia, cuando </w:t>
      </w:r>
      <w:smartTag w:uri="urn:schemas-microsoft-com:office:smarttags" w:element="PersonName">
        <w:smartTagPr>
          <w:attr w:name="ProductID" w:val="la Secretar￭a"/>
        </w:smartTagPr>
        <w:r>
          <w:rPr>
            <w:lang w:val="es-ES_tradnl"/>
          </w:rPr>
          <w:t>la Secretaría</w:t>
        </w:r>
      </w:smartTag>
      <w:r>
        <w:rPr>
          <w:lang w:val="es-ES_tradnl"/>
        </w:rPr>
        <w:t xml:space="preserve"> de Inteligencia de Est</w:t>
      </w:r>
      <w:r>
        <w:rPr>
          <w:lang w:val="es-ES_tradnl"/>
        </w:rPr>
        <w:t>a</w:t>
      </w:r>
      <w:r>
        <w:rPr>
          <w:lang w:val="es-ES_tradnl"/>
        </w:rPr>
        <w:t>do es un órgano que debe guardar secreto y que, por ende, en un juicio normalmente instruido, su personal no puede ser llamado a decl</w:t>
      </w:r>
      <w:r>
        <w:rPr>
          <w:lang w:val="es-ES_tradnl"/>
        </w:rPr>
        <w:t>a</w:t>
      </w:r>
      <w:r>
        <w:rPr>
          <w:lang w:val="es-ES_tradnl"/>
        </w:rPr>
        <w:t>rar en el debate.</w:t>
      </w:r>
    </w:p>
    <w:p w:rsidR="00224567" w:rsidRDefault="00224567">
      <w:pPr>
        <w:widowControl w:val="0"/>
      </w:pPr>
      <w:r>
        <w:rPr>
          <w:lang w:val="es-ES_tradnl"/>
        </w:rPr>
        <w:tab/>
      </w:r>
      <w:r>
        <w:t>A continuación reiteró las obj</w:t>
      </w:r>
      <w:r>
        <w:t>e</w:t>
      </w:r>
      <w:r>
        <w:t>ciones que le merecía el sumario de instrucción, adunando las s</w:t>
      </w:r>
      <w:r>
        <w:t>i</w:t>
      </w:r>
      <w:r>
        <w:t xml:space="preserve">guientes: 1) la entrevista que el juez mantuvo con el imputado Rago, traído por el abogado Semorile, en la que el magistrado le manifestó "declará contra Ribelli y te vas"; 2) la sistemática reiteración de mantener </w:t>
      </w:r>
      <w:r>
        <w:rPr>
          <w:u w:val="single"/>
        </w:rPr>
        <w:t>sine die</w:t>
      </w:r>
      <w:r>
        <w:t>, con falta de mérito, a imputados cuyo testimonio hubiera sido importante recibir en el debate; 3) la colaboración en la pesquisa de antisemitas prominentes; 4) el trat</w:t>
      </w:r>
      <w:r>
        <w:t>a</w:t>
      </w:r>
      <w:r>
        <w:t>miento disímil otorgado por el juzgado instructor ante s</w:t>
      </w:r>
      <w:r>
        <w:t>i</w:t>
      </w:r>
      <w:r>
        <w:t>tuaciones idénticas, por ejemplo el caso Burguete-Bacigalupo, el c</w:t>
      </w:r>
      <w:r>
        <w:t>a</w:t>
      </w:r>
      <w:r>
        <w:t xml:space="preserve">so Semorile-Bottegal y el caso Telleldín–Boragni; 5) la incorporación de líneas de investigación que sólo eran desvíos, diluyendo esfuerzos respecto al </w:t>
      </w:r>
      <w:r>
        <w:lastRenderedPageBreak/>
        <w:t>trabajo sobre lo fundamental; 6) la recepción de declar</w:t>
      </w:r>
      <w:r>
        <w:t>a</w:t>
      </w:r>
      <w:r>
        <w:t>ción como testigo de identidad reservada a Miriam Salinas, cuando todavía el sobreseimiento que se le había dictado no se encontraba firme; 7) la intercalación del sobrese</w:t>
      </w:r>
      <w:r>
        <w:t>i</w:t>
      </w:r>
      <w:r>
        <w:t>miento a Miriam Salinas entre cientos de fotocopias de b</w:t>
      </w:r>
      <w:r>
        <w:t>i</w:t>
      </w:r>
      <w:r>
        <w:t>lletes falsos; 8) la instalación de una filmadora en la casa de esta última para registrar subrepticiamente imág</w:t>
      </w:r>
      <w:r>
        <w:t>e</w:t>
      </w:r>
      <w:r>
        <w:t>nes y conversaciones con imputados; 9) el accionar coord</w:t>
      </w:r>
      <w:r>
        <w:t>i</w:t>
      </w:r>
      <w:r>
        <w:t xml:space="preserve">nado del juez con </w:t>
      </w:r>
      <w:smartTag w:uri="urn:schemas-microsoft-com:office:smarttags" w:element="PersonName">
        <w:smartTagPr>
          <w:attr w:name="ProductID" w:val="la S.I"/>
        </w:smartTagPr>
        <w:r>
          <w:t>la S.I</w:t>
        </w:r>
      </w:smartTag>
      <w:r>
        <w:t xml:space="preserve">.D.E. y </w:t>
      </w:r>
      <w:smartTag w:uri="urn:schemas-microsoft-com:office:smarttags" w:element="PersonName">
        <w:smartTagPr>
          <w:attr w:name="ProductID" w:val="la D.A"/>
        </w:smartTagPr>
        <w:r>
          <w:t>la D.A</w:t>
        </w:r>
      </w:smartTag>
      <w:r>
        <w:t>.I.A. en actividades ilegales, como el interrogatorio al imputado Huici; 10) la desvinculación de las sanciones administrativas a determ</w:t>
      </w:r>
      <w:r>
        <w:t>i</w:t>
      </w:r>
      <w:r>
        <w:t>nados policías bonaerenses, como por ejemplo el comis</w:t>
      </w:r>
      <w:r>
        <w:t>a</w:t>
      </w:r>
      <w:r>
        <w:t>rio Burguete, jefe de Ribelli; 11) las entrevistas de Vergéz con Telleldín para imputar a los policías; 12) la visita de Beraja a T</w:t>
      </w:r>
      <w:r>
        <w:t>e</w:t>
      </w:r>
      <w:r>
        <w:t xml:space="preserve">lleldín para que lo impute al </w:t>
      </w:r>
      <w:r>
        <w:rPr>
          <w:bCs/>
        </w:rPr>
        <w:t xml:space="preserve">Dr. Piotti, y 13) </w:t>
      </w:r>
      <w:r>
        <w:t>la orden impartida por el juez Galeano al Dr. Lifschitz para que el testigo Rigamonti le remitiera, en un sobre cerrado y como denuncia anónima, la información obtenida en ocasión de impedir la salida del país del ir</w:t>
      </w:r>
      <w:r>
        <w:t>a</w:t>
      </w:r>
      <w:r>
        <w:t>ní Kh</w:t>
      </w:r>
      <w:r>
        <w:t>a</w:t>
      </w:r>
      <w:r>
        <w:t xml:space="preserve">lil Ghatea, pese a que el testigo había manifestado </w:t>
      </w:r>
      <w:r>
        <w:lastRenderedPageBreak/>
        <w:t>su interés en prestar d</w:t>
      </w:r>
      <w:r>
        <w:t>e</w:t>
      </w:r>
      <w:r>
        <w:t>claración.</w:t>
      </w:r>
    </w:p>
    <w:p w:rsidR="00224567" w:rsidRDefault="00224567">
      <w:pPr>
        <w:widowControl w:val="0"/>
      </w:pPr>
      <w:r>
        <w:tab/>
      </w:r>
      <w:r>
        <w:tab/>
        <w:t>Respecto a los fiscales a cargo de la instrucción el letrado de la querella expresó que, esp</w:t>
      </w:r>
      <w:r>
        <w:t>e</w:t>
      </w:r>
      <w:r>
        <w:t>cialmente en los primeros años de la investigación, no a</w:t>
      </w:r>
      <w:r>
        <w:t>c</w:t>
      </w:r>
      <w:r>
        <w:t>tuaron con la debida independencia del juzgado instru</w:t>
      </w:r>
      <w:r>
        <w:t>c</w:t>
      </w:r>
      <w:r>
        <w:t xml:space="preserve">tor que por virtud del art. 120 de </w:t>
      </w:r>
      <w:smartTag w:uri="urn:schemas-microsoft-com:office:smarttags" w:element="PersonName">
        <w:smartTagPr>
          <w:attr w:name="ProductID" w:val="la Constituci￳n Nacional"/>
        </w:smartTagPr>
        <w:r>
          <w:t>la Constitución Nacional</w:t>
        </w:r>
      </w:smartTag>
      <w:r>
        <w:t xml:space="preserve"> debieron mant</w:t>
      </w:r>
      <w:r>
        <w:t>e</w:t>
      </w:r>
      <w:r>
        <w:t>ner.</w:t>
      </w:r>
    </w:p>
    <w:p w:rsidR="00224567" w:rsidRDefault="00224567">
      <w:pPr>
        <w:widowControl w:val="0"/>
        <w:rPr>
          <w:lang w:val="es-ES_tradnl"/>
        </w:rPr>
      </w:pPr>
      <w:r>
        <w:tab/>
      </w:r>
      <w:r>
        <w:rPr>
          <w:lang w:val="es-ES_tradnl"/>
        </w:rPr>
        <w:t>Mencionó que el Estado de Israel col</w:t>
      </w:r>
      <w:r>
        <w:rPr>
          <w:lang w:val="es-ES_tradnl"/>
        </w:rPr>
        <w:t>a</w:t>
      </w:r>
      <w:r>
        <w:rPr>
          <w:lang w:val="es-ES_tradnl"/>
        </w:rPr>
        <w:t>boró inicialmente enviando especialistas en el resc</w:t>
      </w:r>
      <w:r>
        <w:rPr>
          <w:lang w:val="es-ES_tradnl"/>
        </w:rPr>
        <w:t>a</w:t>
      </w:r>
      <w:r>
        <w:rPr>
          <w:lang w:val="es-ES_tradnl"/>
        </w:rPr>
        <w:t>te de personas, como así también tecnología sofisticada para d</w:t>
      </w:r>
      <w:r>
        <w:rPr>
          <w:lang w:val="es-ES_tradnl"/>
        </w:rPr>
        <w:t>e</w:t>
      </w:r>
      <w:r>
        <w:rPr>
          <w:lang w:val="es-ES_tradnl"/>
        </w:rPr>
        <w:t>tectar gases para investigar el origen de la explosión, aunque después algunos de sus dirigentes políticos priv</w:t>
      </w:r>
      <w:r>
        <w:rPr>
          <w:lang w:val="es-ES_tradnl"/>
        </w:rPr>
        <w:t>i</w:t>
      </w:r>
      <w:r>
        <w:rPr>
          <w:lang w:val="es-ES_tradnl"/>
        </w:rPr>
        <w:t>legiaron los intereses de Est</w:t>
      </w:r>
      <w:r>
        <w:rPr>
          <w:lang w:val="es-ES_tradnl"/>
        </w:rPr>
        <w:t>a</w:t>
      </w:r>
      <w:r>
        <w:rPr>
          <w:lang w:val="es-ES_tradnl"/>
        </w:rPr>
        <w:t>do.</w:t>
      </w:r>
    </w:p>
    <w:p w:rsidR="00224567" w:rsidRDefault="00224567">
      <w:pPr>
        <w:widowControl w:val="0"/>
        <w:rPr>
          <w:lang w:val="es-ES_tradnl"/>
        </w:rPr>
      </w:pPr>
      <w:r>
        <w:rPr>
          <w:lang w:val="es-ES_tradnl"/>
        </w:rPr>
        <w:tab/>
        <w:t xml:space="preserve">Recordó la oposición de </w:t>
      </w:r>
      <w:smartTag w:uri="urn:schemas-microsoft-com:office:smarttags" w:element="PersonName">
        <w:smartTagPr>
          <w:attr w:name="ProductID" w:val="la D.A"/>
        </w:smartTagPr>
        <w:r>
          <w:rPr>
            <w:lang w:val="es-ES_tradnl"/>
          </w:rPr>
          <w:t>la D.A</w:t>
        </w:r>
      </w:smartTag>
      <w:r>
        <w:rPr>
          <w:lang w:val="es-ES_tradnl"/>
        </w:rPr>
        <w:t>.I.A. al levantamiento del s</w:t>
      </w:r>
      <w:r>
        <w:rPr>
          <w:lang w:val="es-ES_tradnl"/>
        </w:rPr>
        <w:t>e</w:t>
      </w:r>
      <w:r>
        <w:rPr>
          <w:lang w:val="es-ES_tradnl"/>
        </w:rPr>
        <w:t>creto de los agentes de S.I.D.E. y, en particular, el argumento esgrimido para ello -la preserv</w:t>
      </w:r>
      <w:r>
        <w:rPr>
          <w:lang w:val="es-ES_tradnl"/>
        </w:rPr>
        <w:t>a</w:t>
      </w:r>
      <w:r>
        <w:rPr>
          <w:lang w:val="es-ES_tradnl"/>
        </w:rPr>
        <w:t>ción de la seguridad del Est</w:t>
      </w:r>
      <w:r>
        <w:rPr>
          <w:lang w:val="es-ES_tradnl"/>
        </w:rPr>
        <w:t>a</w:t>
      </w:r>
      <w:r>
        <w:rPr>
          <w:lang w:val="es-ES_tradnl"/>
        </w:rPr>
        <w:t xml:space="preserve">do- por sobre la averiguación de la verdad, demostrativo, sin dudar, de su voluntad de encubrir; proceder que luego se vio corroborado con el testimonio de los agentes de </w:t>
      </w:r>
      <w:smartTag w:uri="urn:schemas-microsoft-com:office:smarttags" w:element="PersonName">
        <w:smartTagPr>
          <w:attr w:name="ProductID" w:val="la Secretar￭a"/>
        </w:smartTagPr>
        <w:r>
          <w:rPr>
            <w:lang w:val="es-ES_tradnl"/>
          </w:rPr>
          <w:t>la Secr</w:t>
        </w:r>
        <w:r>
          <w:rPr>
            <w:lang w:val="es-ES_tradnl"/>
          </w:rPr>
          <w:t>e</w:t>
        </w:r>
        <w:r>
          <w:rPr>
            <w:lang w:val="es-ES_tradnl"/>
          </w:rPr>
          <w:t>taría</w:t>
        </w:r>
      </w:smartTag>
      <w:r>
        <w:rPr>
          <w:lang w:val="es-ES_tradnl"/>
        </w:rPr>
        <w:t xml:space="preserve"> de Inteligencia de Estado que acreditaron nítidamente el pago a Telle</w:t>
      </w:r>
      <w:r>
        <w:rPr>
          <w:lang w:val="es-ES_tradnl"/>
        </w:rPr>
        <w:t>l</w:t>
      </w:r>
      <w:r>
        <w:rPr>
          <w:lang w:val="es-ES_tradnl"/>
        </w:rPr>
        <w:t xml:space="preserve">dín, </w:t>
      </w:r>
      <w:r>
        <w:rPr>
          <w:lang w:val="es-ES_tradnl"/>
        </w:rPr>
        <w:lastRenderedPageBreak/>
        <w:t xml:space="preserve">que </w:t>
      </w:r>
      <w:smartTag w:uri="urn:schemas-microsoft-com:office:smarttags" w:element="PersonName">
        <w:smartTagPr>
          <w:attr w:name="ProductID" w:val="la D.A"/>
        </w:smartTagPr>
        <w:r>
          <w:rPr>
            <w:lang w:val="es-ES_tradnl"/>
          </w:rPr>
          <w:t>la D.A</w:t>
        </w:r>
      </w:smartTag>
      <w:r>
        <w:rPr>
          <w:lang w:val="es-ES_tradnl"/>
        </w:rPr>
        <w:t>.I.A. conocía por haberlo avalado, impulsado y, post</w:t>
      </w:r>
      <w:r>
        <w:rPr>
          <w:lang w:val="es-ES_tradnl"/>
        </w:rPr>
        <w:t>e</w:t>
      </w:r>
      <w:r>
        <w:rPr>
          <w:lang w:val="es-ES_tradnl"/>
        </w:rPr>
        <w:t>riormente, ocultado.</w:t>
      </w:r>
    </w:p>
    <w:p w:rsidR="00224567" w:rsidRDefault="00224567">
      <w:pPr>
        <w:widowControl w:val="0"/>
      </w:pPr>
      <w:r>
        <w:tab/>
        <w:t>Puso de manifiesto que el trámite de la instrucción del sumario privó a su parte de la g</w:t>
      </w:r>
      <w:r>
        <w:t>a</w:t>
      </w:r>
      <w:r>
        <w:t>rantía del debido proceso y del juez imparcial, indispensable p</w:t>
      </w:r>
      <w:r>
        <w:t>a</w:t>
      </w:r>
      <w:r>
        <w:t xml:space="preserve">ra que operen las demás garantías que </w:t>
      </w:r>
      <w:smartTag w:uri="urn:schemas-microsoft-com:office:smarttags" w:element="PersonName">
        <w:smartTagPr>
          <w:attr w:name="ProductID" w:val="la Constituci￳n Nacional"/>
        </w:smartTagPr>
        <w:r>
          <w:t>la Constitución N</w:t>
        </w:r>
        <w:r>
          <w:t>a</w:t>
        </w:r>
        <w:r>
          <w:t>cional</w:t>
        </w:r>
      </w:smartTag>
      <w:r>
        <w:t xml:space="preserve"> exige para considerar que se ha llevado a cabo un juicio justo, concluyendo que ese hecho no puede ser so</w:t>
      </w:r>
      <w:r>
        <w:t>s</w:t>
      </w:r>
      <w:r>
        <w:t>layado por el Tr</w:t>
      </w:r>
      <w:r>
        <w:t>i</w:t>
      </w:r>
      <w:r>
        <w:t>bunal.</w:t>
      </w:r>
    </w:p>
    <w:p w:rsidR="00224567" w:rsidRDefault="00224567">
      <w:pPr>
        <w:widowControl w:val="0"/>
      </w:pPr>
      <w:r>
        <w:tab/>
        <w:t>Finalmente, acusó a Carlos Alberto T</w:t>
      </w:r>
      <w:r>
        <w:t>e</w:t>
      </w:r>
      <w:r>
        <w:t>lleldín, en calidad de pa</w:t>
      </w:r>
      <w:r>
        <w:t>r</w:t>
      </w:r>
      <w:r>
        <w:t>tícipe necesario, de los delitos de homicidio calificado, reiterado en cuatro oportunid</w:t>
      </w:r>
      <w:r>
        <w:t>a</w:t>
      </w:r>
      <w:r>
        <w:t>des, por los fallecimientos de Noemí Graciela Reisfeld, Agustín Diego Lew, Andrés Gustavo Malamud y Gabriel Butt</w:t>
      </w:r>
      <w:r>
        <w:t>i</w:t>
      </w:r>
      <w:r>
        <w:t>ni, lesiones agravadas y daño en la persona y en el aut</w:t>
      </w:r>
      <w:r>
        <w:t>o</w:t>
      </w:r>
      <w:r>
        <w:t>móvil Renault 20 de Daniel Eduardo Joffe, todos en concu</w:t>
      </w:r>
      <w:r>
        <w:t>r</w:t>
      </w:r>
      <w:r>
        <w:t>so real, de conformidad con los arts. 45, 55, 80, inc. 5º, 92 y 183 del Código Penal y solicitó que al fallar se i</w:t>
      </w:r>
      <w:r>
        <w:t>m</w:t>
      </w:r>
      <w:r>
        <w:t>ponga al nombrado la pena de reclusión perpetua, acces</w:t>
      </w:r>
      <w:r>
        <w:t>o</w:t>
      </w:r>
      <w:r>
        <w:t xml:space="preserve">rias legales y costas, conforme los arts. 29, inc. 3º, del </w:t>
      </w:r>
      <w:r>
        <w:lastRenderedPageBreak/>
        <w:t>Código Penal y 530 del ordenamiento procesal, efectuando reserva de rec</w:t>
      </w:r>
      <w:r>
        <w:t>u</w:t>
      </w:r>
      <w:r>
        <w:t xml:space="preserve">rrir en casación y ante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en los términos del art. 14 de la ley 48, por eventual violación a las garantías establec</w:t>
      </w:r>
      <w:r>
        <w:t>i</w:t>
      </w:r>
      <w:r>
        <w:t xml:space="preserve">das por los arts. 16, 17 y 18 de </w:t>
      </w:r>
      <w:smartTag w:uri="urn:schemas-microsoft-com:office:smarttags" w:element="PersonName">
        <w:smartTagPr>
          <w:attr w:name="ProductID" w:val="la Constituci￳n Nacional."/>
        </w:smartTagPr>
        <w:r>
          <w:t>la Constit</w:t>
        </w:r>
        <w:r>
          <w:t>u</w:t>
        </w:r>
        <w:r>
          <w:t>ción Nacional.</w:t>
        </w:r>
      </w:smartTag>
    </w:p>
    <w:p w:rsidR="00224567" w:rsidRDefault="00224567">
      <w:pPr>
        <w:widowControl w:val="0"/>
      </w:pPr>
      <w:r>
        <w:tab/>
        <w:t xml:space="preserve">Por último, solicitó la remisión de copias de la sentencia al Consejo de </w:t>
      </w:r>
      <w:smartTag w:uri="urn:schemas-microsoft-com:office:smarttags" w:element="PersonName">
        <w:smartTagPr>
          <w:attr w:name="ProductID" w:val="la Magistratura"/>
        </w:smartTagPr>
        <w:r>
          <w:t>la Magistr</w:t>
        </w:r>
        <w:r>
          <w:t>a</w:t>
        </w:r>
        <w:r>
          <w:t>tura</w:t>
        </w:r>
      </w:smartTag>
      <w:r>
        <w:t xml:space="preserve"> de </w:t>
      </w:r>
      <w:smartTag w:uri="urn:schemas-microsoft-com:office:smarttags" w:element="PersonName">
        <w:smartTagPr>
          <w:attr w:name="ProductID" w:val="la Naci￳n"/>
        </w:smartTagPr>
        <w:r>
          <w:t>la Nación</w:t>
        </w:r>
      </w:smartTag>
      <w:r>
        <w:t xml:space="preserve"> y al Juzgado Nacional en lo Criminal y C</w:t>
      </w:r>
      <w:r>
        <w:t>o</w:t>
      </w:r>
      <w:r>
        <w:t>rreccional F</w:t>
      </w:r>
      <w:r>
        <w:t>e</w:t>
      </w:r>
      <w:r>
        <w:t>deral nº 11 de esta ciudad.</w:t>
      </w:r>
    </w:p>
    <w:p w:rsidR="00224567" w:rsidRDefault="00224567">
      <w:pPr>
        <w:widowControl w:val="0"/>
      </w:pPr>
      <w:r>
        <w:rPr>
          <w:b/>
          <w:bCs/>
        </w:rPr>
        <w:tab/>
        <w:t xml:space="preserve">A.2) </w:t>
      </w:r>
      <w:r>
        <w:t xml:space="preserve">Como apoderada de </w:t>
      </w:r>
      <w:smartTag w:uri="urn:schemas-microsoft-com:office:smarttags" w:element="PersonName">
        <w:smartTagPr>
          <w:attr w:name="ProductID" w:val="la Delegaci￳n"/>
        </w:smartTagPr>
        <w:r>
          <w:t>la Delegación</w:t>
        </w:r>
      </w:smartTag>
      <w:r>
        <w:t xml:space="preserve"> de Asociaciones Israelitas Argentinas y en represent</w:t>
      </w:r>
      <w:r>
        <w:t>a</w:t>
      </w:r>
      <w:r>
        <w:t xml:space="preserve">ción de la querella unificada de D.A.I.A., A.M.I.A. y “Grupo de Familiares”, </w:t>
      </w:r>
      <w:smartTag w:uri="urn:schemas-microsoft-com:office:smarttags" w:element="PersonName">
        <w:smartTagPr>
          <w:attr w:name="ProductID" w:val="la Dra. Marta"/>
        </w:smartTagPr>
        <w:r>
          <w:t>la Dra. Marta</w:t>
        </w:r>
      </w:smartTag>
      <w:r>
        <w:t xml:space="preserve"> Nercellas inició su alegato m</w:t>
      </w:r>
      <w:r>
        <w:t>a</w:t>
      </w:r>
      <w:r>
        <w:t>nifestando que habría de acusar a Carlos Alberto Telle</w:t>
      </w:r>
      <w:r>
        <w:t>l</w:t>
      </w:r>
      <w:r>
        <w:t>dín, Raúl Edilio Ibarra, Juan José Ribelli, Anastasio Ir</w:t>
      </w:r>
      <w:r>
        <w:t>e</w:t>
      </w:r>
      <w:r>
        <w:t>neo Leal</w:t>
      </w:r>
      <w:r>
        <w:rPr>
          <w:b/>
          <w:bCs/>
        </w:rPr>
        <w:t xml:space="preserve"> </w:t>
      </w:r>
      <w:r>
        <w:t>y Mario Norberto Bareiro por considerar que ellos fueron quienes entregaron al eslabón siguiente el arma que transportó el explosivo que derribó el edificio de Pasteur 633; los primeros a título de partícipes necesarios y el último como cómplice secundario.</w:t>
      </w:r>
    </w:p>
    <w:p w:rsidR="00224567" w:rsidRDefault="00224567">
      <w:pPr>
        <w:widowControl w:val="0"/>
      </w:pPr>
      <w:r>
        <w:tab/>
        <w:t>Tras una breve reseña del marco geop</w:t>
      </w:r>
      <w:r>
        <w:t>o</w:t>
      </w:r>
      <w:r>
        <w:lastRenderedPageBreak/>
        <w:t>lítico existente al momento del hecho, estimó que no era posible comprender lo ocurrido en nuestro país el 18 de julio de 1994 si no se lo ubicaba en el contexto intern</w:t>
      </w:r>
      <w:r>
        <w:t>a</w:t>
      </w:r>
      <w:r>
        <w:t>cional.</w:t>
      </w:r>
    </w:p>
    <w:p w:rsidR="00224567" w:rsidRDefault="00224567">
      <w:pPr>
        <w:widowControl w:val="0"/>
      </w:pPr>
      <w:r>
        <w:tab/>
        <w:t xml:space="preserve">Destacó que en 1992, por primera vez, el integrismo islámico dio muestras de su ingreso a </w:t>
      </w:r>
      <w:smartTag w:uri="urn:schemas-microsoft-com:office:smarttags" w:element="PersonName">
        <w:smartTagPr>
          <w:attr w:name="ProductID" w:val="la Argentina"/>
        </w:smartTagPr>
        <w:r>
          <w:t>la A</w:t>
        </w:r>
        <w:r>
          <w:t>r</w:t>
        </w:r>
        <w:r>
          <w:t>gentina</w:t>
        </w:r>
      </w:smartTag>
      <w:r>
        <w:t>, atenta</w:t>
      </w:r>
      <w:r>
        <w:t>n</w:t>
      </w:r>
      <w:r>
        <w:t xml:space="preserve">do contra </w:t>
      </w:r>
      <w:smartTag w:uri="urn:schemas-microsoft-com:office:smarttags" w:element="PersonName">
        <w:smartTagPr>
          <w:attr w:name="ProductID" w:val="la Embajada"/>
        </w:smartTagPr>
        <w:r>
          <w:t>la Embajada</w:t>
        </w:r>
      </w:smartTag>
      <w:r>
        <w:t xml:space="preserve"> de Israel; hecho que no fue investigado y que se lo consideró como si hubiera ocurrido contra un Estado extranjero, sosteniendo que t</w:t>
      </w:r>
      <w:r>
        <w:t>o</w:t>
      </w:r>
      <w:r>
        <w:t>das las exigencias de justicia que posterio</w:t>
      </w:r>
      <w:r>
        <w:t>r</w:t>
      </w:r>
      <w:r>
        <w:t xml:space="preserve">mente hubo con relación a la voladura de </w:t>
      </w:r>
      <w:smartTag w:uri="urn:schemas-microsoft-com:office:smarttags" w:element="PersonName">
        <w:smartTagPr>
          <w:attr w:name="ProductID" w:val="la A.M"/>
        </w:smartTagPr>
        <w:r>
          <w:t>la A.M</w:t>
        </w:r>
      </w:smartTag>
      <w:r>
        <w:t>.I.A. no ocurrieron re</w:t>
      </w:r>
      <w:r>
        <w:t>s</w:t>
      </w:r>
      <w:r>
        <w:t>pecto del ate</w:t>
      </w:r>
      <w:r>
        <w:t>n</w:t>
      </w:r>
      <w:r>
        <w:t>tado a esa sede diplomática.</w:t>
      </w:r>
    </w:p>
    <w:p w:rsidR="00224567" w:rsidRDefault="00224567">
      <w:pPr>
        <w:widowControl w:val="0"/>
      </w:pPr>
      <w:r>
        <w:tab/>
        <w:t>Indicó que si bien hubo semejanzas e</w:t>
      </w:r>
      <w:r>
        <w:t>n</w:t>
      </w:r>
      <w:r>
        <w:t>tre ambos sucesos, las diferencias fueron también muy i</w:t>
      </w:r>
      <w:r>
        <w:t>m</w:t>
      </w:r>
      <w:r>
        <w:t>portantes y son las que justifican la presencia de las partes en este debate, en el que se trata de dete</w:t>
      </w:r>
      <w:r>
        <w:t>r</w:t>
      </w:r>
      <w:r>
        <w:t>minar si las personas acusadas constituyeron parte de la conexión local del atentado.</w:t>
      </w:r>
    </w:p>
    <w:p w:rsidR="00224567" w:rsidRDefault="00224567">
      <w:pPr>
        <w:widowControl w:val="0"/>
      </w:pPr>
      <w:r>
        <w:tab/>
        <w:t xml:space="preserve">Al respecto, señaló que si bien en el hecho contra </w:t>
      </w:r>
      <w:smartTag w:uri="urn:schemas-microsoft-com:office:smarttags" w:element="PersonName">
        <w:smartTagPr>
          <w:attr w:name="ProductID" w:val="la Embajada"/>
        </w:smartTagPr>
        <w:r>
          <w:t>la Embajada</w:t>
        </w:r>
      </w:smartTag>
      <w:r>
        <w:t xml:space="preserve"> de Israel no pudo probarse la </w:t>
      </w:r>
      <w:r>
        <w:lastRenderedPageBreak/>
        <w:t>participación de ciudadanos argentinos, los especiali</w:t>
      </w:r>
      <w:r>
        <w:t>s</w:t>
      </w:r>
      <w:r>
        <w:t>tas en terrorismo internacional, especialmente Hoffman y Mer</w:t>
      </w:r>
      <w:r>
        <w:t>a</w:t>
      </w:r>
      <w:r>
        <w:t>ri, dijeron que a principios de los años noventa el terr</w:t>
      </w:r>
      <w:r>
        <w:t>o</w:t>
      </w:r>
      <w:r>
        <w:t>rismo fundamentalista islámico había cambiado su metodol</w:t>
      </w:r>
      <w:r>
        <w:t>o</w:t>
      </w:r>
      <w:r>
        <w:t>gía y cuando cometía atentados en zonas lejanas, la logí</w:t>
      </w:r>
      <w:r>
        <w:t>s</w:t>
      </w:r>
      <w:r>
        <w:t>tica la compraba en el lugar donde se iba a realizar el ataque, para lo cual se realizaban tareas de intelige</w:t>
      </w:r>
      <w:r>
        <w:t>n</w:t>
      </w:r>
      <w:r>
        <w:t>cia en los nichos de corrupción en procura de hallar a quienes podían proveer determinados elementos. Que luego del ate</w:t>
      </w:r>
      <w:r>
        <w:t>n</w:t>
      </w:r>
      <w:r>
        <w:t xml:space="preserve">tado contra la embajada, </w:t>
      </w:r>
      <w:smartTag w:uri="urn:schemas-microsoft-com:office:smarttags" w:element="PersonName">
        <w:smartTagPr>
          <w:attr w:name="ProductID" w:val="la S.I"/>
        </w:smartTagPr>
        <w:r>
          <w:t>la S.I</w:t>
        </w:r>
      </w:smartTag>
      <w:r>
        <w:t xml:space="preserve">.D.E. consideró a </w:t>
      </w:r>
      <w:smartTag w:uri="urn:schemas-microsoft-com:office:smarttags" w:element="PersonName">
        <w:smartTagPr>
          <w:attr w:name="ProductID" w:val="la Rep￺blica Isl￡mica"/>
        </w:smartTagPr>
        <w:r>
          <w:t>la Rep</w:t>
        </w:r>
        <w:r>
          <w:t>ú</w:t>
        </w:r>
        <w:r>
          <w:t>blica Islámica</w:t>
        </w:r>
      </w:smartTag>
      <w:r>
        <w:t xml:space="preserve"> de Irán, a su representación d</w:t>
      </w:r>
      <w:r>
        <w:t>i</w:t>
      </w:r>
      <w:r>
        <w:t>plomática en nuestro país y a muchos funcionarios de ella como objet</w:t>
      </w:r>
      <w:r>
        <w:t>i</w:t>
      </w:r>
      <w:r>
        <w:t>vos de inteligencia y la mejor prueba de ello fue que p</w:t>
      </w:r>
      <w:r>
        <w:t>o</w:t>
      </w:r>
      <w:r>
        <w:t xml:space="preserve">cos días después de la explosión, en una reunión en la quinta presidencial de Olivos, </w:t>
      </w:r>
      <w:smartTag w:uri="urn:schemas-microsoft-com:office:smarttags" w:element="PersonName">
        <w:smartTagPr>
          <w:attr w:name="ProductID" w:val="la S.I"/>
        </w:smartTagPr>
        <w:r>
          <w:t>la S.I</w:t>
        </w:r>
      </w:smartTag>
      <w:r>
        <w:t>.D.E. proyectó un v</w:t>
      </w:r>
      <w:r>
        <w:t>i</w:t>
      </w:r>
      <w:r>
        <w:t xml:space="preserve">deo que hacía referencia a </w:t>
      </w:r>
      <w:smartTag w:uri="urn:schemas-microsoft-com:office:smarttags" w:element="PersonName">
        <w:smartTagPr>
          <w:attr w:name="ProductID" w:val="la Embajada"/>
        </w:smartTagPr>
        <w:r>
          <w:t>la Embajada</w:t>
        </w:r>
      </w:smartTag>
      <w:r>
        <w:t xml:space="preserve"> de Irán en Buenos Aires, a </w:t>
      </w:r>
      <w:smartTag w:uri="urn:schemas-microsoft-com:office:smarttags" w:element="PersonName">
        <w:smartTagPr>
          <w:attr w:name="ProductID" w:val="la Triple Frontera"/>
        </w:smartTagPr>
        <w:r>
          <w:t>la Triple Frontera</w:t>
        </w:r>
      </w:smartTag>
      <w:r>
        <w:t xml:space="preserve"> y a los últimos movimientos, previos al atentado, de alg</w:t>
      </w:r>
      <w:r>
        <w:t>u</w:t>
      </w:r>
      <w:r>
        <w:t>nos personajes.</w:t>
      </w:r>
    </w:p>
    <w:p w:rsidR="00224567" w:rsidRDefault="00224567">
      <w:pPr>
        <w:widowControl w:val="0"/>
      </w:pPr>
      <w:r>
        <w:tab/>
        <w:t>La letrada explicó que dicha inform</w:t>
      </w:r>
      <w:r>
        <w:t>a</w:t>
      </w:r>
      <w:r>
        <w:t>ción señalaba a Mohsen Rabbani, cuyos movimientos eran v</w:t>
      </w:r>
      <w:r>
        <w:t>i</w:t>
      </w:r>
      <w:r>
        <w:t>gilados, como encargado de la logística local, quien pen</w:t>
      </w:r>
      <w:r>
        <w:t>e</w:t>
      </w:r>
      <w:r>
        <w:lastRenderedPageBreak/>
        <w:t xml:space="preserve">tró en </w:t>
      </w:r>
      <w:smartTag w:uri="urn:schemas-microsoft-com:office:smarttags" w:element="PersonName">
        <w:smartTagPr>
          <w:attr w:name="ProductID" w:val="la Polic￭a Bonaerense"/>
        </w:smartTagPr>
        <w:r>
          <w:t>la Policía Bonaerense</w:t>
        </w:r>
      </w:smartTag>
      <w:r>
        <w:t xml:space="preserve"> en procura de hallar entre sus filas al que pudiera proveerle los elementos que él no podía buscar en forma directa, justamente a causa del s</w:t>
      </w:r>
      <w:r>
        <w:t>e</w:t>
      </w:r>
      <w:r>
        <w:t xml:space="preserve">guimiento del que estaba siendo objeto. Recordó que al nombrado se lo vio, a fines de 1993, buscando camionetas sobre </w:t>
      </w:r>
      <w:smartTag w:uri="urn:schemas-microsoft-com:office:smarttags" w:element="PersonName">
        <w:smartTagPr>
          <w:attr w:name="ProductID" w:val="la Av. Juan"/>
        </w:smartTagPr>
        <w:r>
          <w:t>la Av. Juan</w:t>
        </w:r>
      </w:smartTag>
      <w:r>
        <w:t xml:space="preserve"> B. Justo y que fue Ribelli, fina</w:t>
      </w:r>
      <w:r>
        <w:t>l</w:t>
      </w:r>
      <w:r>
        <w:t>mente, por su manejo dentro de la institución policial y por co</w:t>
      </w:r>
      <w:r>
        <w:t>n</w:t>
      </w:r>
      <w:r>
        <w:t>siderárselo el brazo derecho de su jefe, el elegido para que proveyera la camioneta en cue</w:t>
      </w:r>
      <w:r>
        <w:t>s</w:t>
      </w:r>
      <w:r>
        <w:t>tión.</w:t>
      </w:r>
    </w:p>
    <w:p w:rsidR="00224567" w:rsidRDefault="00224567">
      <w:pPr>
        <w:widowControl w:val="0"/>
      </w:pPr>
      <w:r>
        <w:tab/>
        <w:t>Consideró que para reconstruir los m</w:t>
      </w:r>
      <w:r>
        <w:t>o</w:t>
      </w:r>
      <w:r>
        <w:t>mentos previos al atentado, había que referirse a los te</w:t>
      </w:r>
      <w:r>
        <w:t>s</w:t>
      </w:r>
      <w:r>
        <w:t>tigos presenciales, quienes poco pudi</w:t>
      </w:r>
      <w:r>
        <w:t>e</w:t>
      </w:r>
      <w:r>
        <w:t>ron decir, ya que el choque traumático que el suceso les causó borró algunos recuerdos y acentuó otros, recordando sólo aquellos que pudieron s</w:t>
      </w:r>
      <w:r>
        <w:t>o</w:t>
      </w:r>
      <w:r>
        <w:t>portar.</w:t>
      </w:r>
    </w:p>
    <w:p w:rsidR="00224567" w:rsidRDefault="00224567">
      <w:pPr>
        <w:widowControl w:val="0"/>
      </w:pPr>
      <w:r>
        <w:tab/>
        <w:t>Sostuvo que hasta el momento de la e</w:t>
      </w:r>
      <w:r>
        <w:t>x</w:t>
      </w:r>
      <w:r>
        <w:t>plosión la zona estaba normal y que no se había podido d</w:t>
      </w:r>
      <w:r>
        <w:t>e</w:t>
      </w:r>
      <w:r>
        <w:t>terminar que un helicóptero hubiera sobrevolado el edif</w:t>
      </w:r>
      <w:r>
        <w:t>i</w:t>
      </w:r>
      <w:r>
        <w:t xml:space="preserve">cio de </w:t>
      </w:r>
      <w:smartTag w:uri="urn:schemas-microsoft-com:office:smarttags" w:element="PersonName">
        <w:smartTagPr>
          <w:attr w:name="ProductID" w:val="la A.M"/>
        </w:smartTagPr>
        <w:r>
          <w:t>la A.M</w:t>
        </w:r>
      </w:smartTag>
      <w:r>
        <w:t>.I.A.</w:t>
      </w:r>
    </w:p>
    <w:p w:rsidR="00224567" w:rsidRDefault="00224567">
      <w:pPr>
        <w:widowControl w:val="0"/>
      </w:pPr>
      <w:r>
        <w:tab/>
        <w:t xml:space="preserve">Para reconstruir la forma en que se </w:t>
      </w:r>
      <w:r>
        <w:lastRenderedPageBreak/>
        <w:t>sucedieron los hechos la letrada trajo a colación los te</w:t>
      </w:r>
      <w:r>
        <w:t>s</w:t>
      </w:r>
      <w:r>
        <w:t>timonios de Raquel Fainstein, Eduardo Facundo Piñeiro, M</w:t>
      </w:r>
      <w:r>
        <w:t>a</w:t>
      </w:r>
      <w:r>
        <w:t>rio Ernesto Damp, Carlos Sergio Dolma</w:t>
      </w:r>
      <w:r>
        <w:t>t</w:t>
      </w:r>
      <w:r>
        <w:t>zian, Osmar Alberto Schilling, Alejandro Ulises Zengotita, Isidro Horacio Ne</w:t>
      </w:r>
      <w:r>
        <w:t>u</w:t>
      </w:r>
      <w:r>
        <w:t>ah, Alejandro Saúl Mirochnik, Ana Epelbaum Zelcer, Jorge Roberto Beremblum, Abraham Sokolowicz, Adrián Pablo Furman y Aharón Edry, señalando que Rosa Montano de B</w:t>
      </w:r>
      <w:r>
        <w:t>a</w:t>
      </w:r>
      <w:r>
        <w:t>rreiro fue la persona que mejor describió lo sucedido, permitiendo explicar por qué algunas de las primeras medidas que se hicieron para investigar el hecho no tuvieron el rigorismo que el código de proc</w:t>
      </w:r>
      <w:r>
        <w:t>e</w:t>
      </w:r>
      <w:r>
        <w:t>dimientos exige.</w:t>
      </w:r>
    </w:p>
    <w:p w:rsidR="00224567" w:rsidRDefault="00224567">
      <w:pPr>
        <w:widowControl w:val="0"/>
      </w:pPr>
      <w:r>
        <w:tab/>
      </w:r>
      <w:smartTag w:uri="urn:schemas-microsoft-com:office:smarttags" w:element="PersonName">
        <w:smartTagPr>
          <w:attr w:name="ProductID" w:val="La Dra. Nercellas"/>
        </w:smartTagPr>
        <w:r>
          <w:t>La Dra. Nercellas</w:t>
        </w:r>
      </w:smartTag>
      <w:r>
        <w:t xml:space="preserve"> relató que los pr</w:t>
      </w:r>
      <w:r>
        <w:t>i</w:t>
      </w:r>
      <w:r>
        <w:t>meros en llegar al lugar fueron los bomberos del Cuartel Recoleta, quienes dijeron, basados en su experie</w:t>
      </w:r>
      <w:r>
        <w:t>n</w:t>
      </w:r>
      <w:r>
        <w:t>cia, que el derrumbe fue producto de una explosión –Rubén Crupi Freire–; que el peligro estaba en todas partes –Pedro M</w:t>
      </w:r>
      <w:r>
        <w:t>i</w:t>
      </w:r>
      <w:r>
        <w:t>guel Muñoz– y duró toda la jornada; que el edificio no e</w:t>
      </w:r>
      <w:r>
        <w:t>s</w:t>
      </w:r>
      <w:r>
        <w:t>taba estabil</w:t>
      </w:r>
      <w:r>
        <w:t>i</w:t>
      </w:r>
      <w:r>
        <w:t>zado; que era imposible arribar al lugar por el pánico de la gente –Ramón Marcial–; que estuvieron tr</w:t>
      </w:r>
      <w:r>
        <w:t>a</w:t>
      </w:r>
      <w:r>
        <w:t>bajando en el subsuelo durante treinta y seis horas, ya que había una víctima para rescatar a la que llamaron “C</w:t>
      </w:r>
      <w:r>
        <w:t>a</w:t>
      </w:r>
      <w:r>
        <w:lastRenderedPageBreak/>
        <w:t>cho” –Jacobo Chemauel-.</w:t>
      </w:r>
    </w:p>
    <w:p w:rsidR="00224567" w:rsidRDefault="00224567">
      <w:pPr>
        <w:widowControl w:val="0"/>
      </w:pPr>
      <w:r>
        <w:tab/>
        <w:t>Sostuvo que a su arribo el comisario López dio como primera indicación la de juntar rápid</w:t>
      </w:r>
      <w:r>
        <w:t>a</w:t>
      </w:r>
      <w:r>
        <w:t>mente todos aquellos elementos que hubieran estado cerca de la explosión o que tuviesen restos de ésta; como también la de no arriesgar a los civiles en dicha tarea, por lo que debían labrarse las actas sin testigos; ello debido al p</w:t>
      </w:r>
      <w:r>
        <w:t>e</w:t>
      </w:r>
      <w:r>
        <w:t>ligro existente en el lugar, valorándose la vida y la i</w:t>
      </w:r>
      <w:r>
        <w:t>n</w:t>
      </w:r>
      <w:r>
        <w:t>tegridad de las personas por sobre las formas proc</w:t>
      </w:r>
      <w:r>
        <w:t>e</w:t>
      </w:r>
      <w:r>
        <w:t>sales.</w:t>
      </w:r>
    </w:p>
    <w:p w:rsidR="00224567" w:rsidRDefault="00224567">
      <w:pPr>
        <w:widowControl w:val="0"/>
      </w:pPr>
      <w:r>
        <w:tab/>
        <w:t xml:space="preserve">Reseñó que en ese momento </w:t>
      </w:r>
      <w:smartTag w:uri="urn:schemas-microsoft-com:office:smarttags" w:element="PersonName">
        <w:smartTagPr>
          <w:attr w:name="ProductID" w:val="la A.M"/>
        </w:smartTagPr>
        <w:r>
          <w:t>la A.M</w:t>
        </w:r>
      </w:smartTag>
      <w:r>
        <w:t>.I.A. estaba siendo refaccionada y por ello se barajó la posib</w:t>
      </w:r>
      <w:r>
        <w:t>i</w:t>
      </w:r>
      <w:r>
        <w:t>lidad de que el explosivo hubiera ingresado con los mat</w:t>
      </w:r>
      <w:r>
        <w:t>e</w:t>
      </w:r>
      <w:r>
        <w:t>riales de construcción; hipótesis que debe desca</w:t>
      </w:r>
      <w:r>
        <w:t>r</w:t>
      </w:r>
      <w:r>
        <w:t>tarse en virtud de las declaraciones de Policarpio Cruz Loaiza, Irene Perelman, el arquitecto Claudio Alejandro Weicman, entre otros, y por la opinión de los especialistas, qui</w:t>
      </w:r>
      <w:r>
        <w:t>e</w:t>
      </w:r>
      <w:r>
        <w:t xml:space="preserve">nes explicaron que si el explosivo hubiera estado dentro de </w:t>
      </w:r>
      <w:smartTag w:uri="urn:schemas-microsoft-com:office:smarttags" w:element="PersonName">
        <w:smartTagPr>
          <w:attr w:name="ProductID" w:val="la A.M"/>
        </w:smartTagPr>
        <w:r>
          <w:t>la A.M</w:t>
        </w:r>
      </w:smartTag>
      <w:r>
        <w:t>.I.A. el frente del edificio de Pasteur 632, ub</w:t>
      </w:r>
      <w:r>
        <w:t>i</w:t>
      </w:r>
      <w:r>
        <w:t>cado en la vereda opuesta a la mutual, debería estar am</w:t>
      </w:r>
      <w:r>
        <w:t>e</w:t>
      </w:r>
      <w:r>
        <w:t>trallado con pedazos de mampostería.</w:t>
      </w:r>
    </w:p>
    <w:p w:rsidR="00224567" w:rsidRDefault="00224567">
      <w:pPr>
        <w:widowControl w:val="0"/>
      </w:pPr>
      <w:r>
        <w:lastRenderedPageBreak/>
        <w:tab/>
        <w:t>Señaló que también debió de</w:t>
      </w:r>
      <w:r>
        <w:t>s</w:t>
      </w:r>
      <w:r>
        <w:t>echarse la hipótesis de que el explosivo hubiera ingresado por el edificio de Pasteur 611 que se comunicaba con el de la s</w:t>
      </w:r>
      <w:r>
        <w:t>e</w:t>
      </w:r>
      <w:r>
        <w:t>de de la mutual, por cuanto los testigos Gregorio Oscar Militello y Abraham Sokolowicz indicaron que no era pos</w:t>
      </w:r>
      <w:r>
        <w:t>i</w:t>
      </w:r>
      <w:r>
        <w:t xml:space="preserve">ble ingresar al piso donde funcionaba </w:t>
      </w:r>
      <w:smartTag w:uri="urn:schemas-microsoft-com:office:smarttags" w:element="PersonName">
        <w:smartTagPr>
          <w:attr w:name="ProductID" w:val="la D.A"/>
        </w:smartTagPr>
        <w:r>
          <w:t>la D.A</w:t>
        </w:r>
      </w:smartTag>
      <w:r>
        <w:t>.I.A. desde aquél.</w:t>
      </w:r>
    </w:p>
    <w:p w:rsidR="00224567" w:rsidRDefault="00224567">
      <w:pPr>
        <w:widowControl w:val="0"/>
      </w:pPr>
      <w:r>
        <w:tab/>
        <w:t>La representante de la querella dijo que descartada la hipótesis de la explosión interna, se comenzó a estudiar la explosión externa en sus dos varia</w:t>
      </w:r>
      <w:r>
        <w:t>n</w:t>
      </w:r>
      <w:r>
        <w:t xml:space="preserve">tes: explosivo en el volquete que se encontraba frente a </w:t>
      </w:r>
      <w:smartTag w:uri="urn:schemas-microsoft-com:office:smarttags" w:element="PersonName">
        <w:smartTagPr>
          <w:attr w:name="ProductID" w:val="la A.M"/>
        </w:smartTagPr>
        <w:r>
          <w:t>la A.M</w:t>
        </w:r>
      </w:smartTag>
      <w:r>
        <w:t>.I.A. o cochebomba.</w:t>
      </w:r>
    </w:p>
    <w:p w:rsidR="00224567" w:rsidRDefault="00224567">
      <w:pPr>
        <w:widowControl w:val="0"/>
      </w:pPr>
      <w:r>
        <w:tab/>
        <w:t>Señaló que entre los testigos que h</w:t>
      </w:r>
      <w:r>
        <w:t>a</w:t>
      </w:r>
      <w:r>
        <w:t>blaron de la primer hipótesis, Joffe manifestó en los m</w:t>
      </w:r>
      <w:r>
        <w:t>e</w:t>
      </w:r>
      <w:r>
        <w:t>dios televisivos que lo que había explotado era el volqu</w:t>
      </w:r>
      <w:r>
        <w:t>e</w:t>
      </w:r>
      <w:r>
        <w:t>te, aunque en oportunidad de declarar en la audiencia se rectificó. En el mismo sentido, indicó que el relato más claro con relación a que el volquete no fue el cont</w:t>
      </w:r>
      <w:r>
        <w:t>e</w:t>
      </w:r>
      <w:r>
        <w:t>nedor del explosivo lo brindó el barrendero Juan Carlos Álvarez, quien, mientras arrojaba unos papeles y cartones al cont</w:t>
      </w:r>
      <w:r>
        <w:t>e</w:t>
      </w:r>
      <w:r>
        <w:t>nedor, escuchó la explosión, lesionándole la espalda. Cl</w:t>
      </w:r>
      <w:r>
        <w:t>a</w:t>
      </w:r>
      <w:r>
        <w:lastRenderedPageBreak/>
        <w:t>ramente, sostuvo la abogada, si el explosivo hubiera est</w:t>
      </w:r>
      <w:r>
        <w:t>a</w:t>
      </w:r>
      <w:r>
        <w:t>do en el interior del volquete, el resultado hubiera sido muy diferente.</w:t>
      </w:r>
    </w:p>
    <w:p w:rsidR="00224567" w:rsidRDefault="00224567">
      <w:pPr>
        <w:widowControl w:val="0"/>
      </w:pPr>
      <w:r>
        <w:tab/>
        <w:t>En el mismo sentido, indicó que los informes periciales descartaron de manera unánime la pos</w:t>
      </w:r>
      <w:r>
        <w:t>i</w:t>
      </w:r>
      <w:r>
        <w:t>bilidad de que el explosivo haya estado en el vo</w:t>
      </w:r>
      <w:r>
        <w:t>l</w:t>
      </w:r>
      <w:r>
        <w:t>quete; a criterio de la letrada, los informes de los bomb</w:t>
      </w:r>
      <w:r>
        <w:t>e</w:t>
      </w:r>
      <w:r>
        <w:t>ros, las explicaciones de Laborda, la opinión de Dani Dror y la r</w:t>
      </w:r>
      <w:r>
        <w:t>e</w:t>
      </w:r>
      <w:r>
        <w:t>construcción computacional del atentado fueron coincide</w:t>
      </w:r>
      <w:r>
        <w:t>n</w:t>
      </w:r>
      <w:r>
        <w:t>tes.</w:t>
      </w:r>
    </w:p>
    <w:p w:rsidR="00224567" w:rsidRDefault="00224567">
      <w:pPr>
        <w:widowControl w:val="0"/>
        <w:rPr>
          <w:color w:val="000000"/>
        </w:rPr>
      </w:pPr>
      <w:r>
        <w:tab/>
        <w:t>Señaló que otro de los elementos que se tuvo en cuenta para explicar que la explosión ocurrió fuera del edificio fue lo que se conoce como metralla pr</w:t>
      </w:r>
      <w:r>
        <w:t>i</w:t>
      </w:r>
      <w:r>
        <w:t>maria y secundaria; la primera consiste en la fragment</w:t>
      </w:r>
      <w:r>
        <w:t>a</w:t>
      </w:r>
      <w:r>
        <w:t>ción del propio contenedor del explosivo di</w:t>
      </w:r>
      <w:r>
        <w:t>s</w:t>
      </w:r>
      <w:r>
        <w:t>parada en 360º y la segunda en aquellos elementos disparados como proye</w:t>
      </w:r>
      <w:r>
        <w:t>c</w:t>
      </w:r>
      <w:r>
        <w:t xml:space="preserve">tiles por la </w:t>
      </w:r>
      <w:r>
        <w:rPr>
          <w:color w:val="000000"/>
        </w:rPr>
        <w:t>fuerza que surge del centro de la explosión. Ello, a su criterio, explica la muerte de quien estaba cargando la camioneta de “S</w:t>
      </w:r>
      <w:r>
        <w:rPr>
          <w:color w:val="000000"/>
        </w:rPr>
        <w:t>a</w:t>
      </w:r>
      <w:r>
        <w:rPr>
          <w:color w:val="000000"/>
        </w:rPr>
        <w:t>caan” y el no fallecimiento de otras que estaban mucho más ce</w:t>
      </w:r>
      <w:r>
        <w:rPr>
          <w:color w:val="000000"/>
        </w:rPr>
        <w:t>r</w:t>
      </w:r>
      <w:r>
        <w:rPr>
          <w:color w:val="000000"/>
        </w:rPr>
        <w:t xml:space="preserve">ca, como Álvarez o Montano </w:t>
      </w:r>
      <w:r>
        <w:rPr>
          <w:color w:val="000000"/>
        </w:rPr>
        <w:lastRenderedPageBreak/>
        <w:t>de Barreiro. Además, agregó que la carga explosiva estaba direccionada de forma tal que la mayor ene</w:t>
      </w:r>
      <w:r>
        <w:rPr>
          <w:color w:val="000000"/>
        </w:rPr>
        <w:t>r</w:t>
      </w:r>
      <w:r>
        <w:rPr>
          <w:color w:val="000000"/>
        </w:rPr>
        <w:t xml:space="preserve">gía se desplazó hacia el edificio de </w:t>
      </w:r>
      <w:smartTag w:uri="urn:schemas-microsoft-com:office:smarttags" w:element="PersonName">
        <w:smartTagPr>
          <w:attr w:name="ProductID" w:val="la A.M"/>
        </w:smartTagPr>
        <w:r>
          <w:rPr>
            <w:color w:val="000000"/>
          </w:rPr>
          <w:t>la A.M</w:t>
        </w:r>
      </w:smartTag>
      <w:r>
        <w:rPr>
          <w:color w:val="000000"/>
        </w:rPr>
        <w:t>.I.A.</w:t>
      </w:r>
    </w:p>
    <w:p w:rsidR="00224567" w:rsidRDefault="00224567">
      <w:pPr>
        <w:widowControl w:val="0"/>
      </w:pPr>
      <w:r>
        <w:rPr>
          <w:color w:val="000000"/>
        </w:rPr>
        <w:tab/>
      </w:r>
      <w:r>
        <w:t>Puntualizó que en el momento del h</w:t>
      </w:r>
      <w:r>
        <w:t>e</w:t>
      </w:r>
      <w:r>
        <w:t>cho, frente a la mutual, estaba estacionado un patrull</w:t>
      </w:r>
      <w:r>
        <w:t>e</w:t>
      </w:r>
      <w:r>
        <w:t>ro que el debate demostró que no funcionaba, en cuyo i</w:t>
      </w:r>
      <w:r>
        <w:t>n</w:t>
      </w:r>
      <w:r>
        <w:t>terior se encontraba uno de los dos policías encargados de la custodia externa; el otro se hallaba en el bar de enfre</w:t>
      </w:r>
      <w:r>
        <w:t>n</w:t>
      </w:r>
      <w:r>
        <w:t xml:space="preserve">te. Si bien consideró que no era posible afirmar que haya existido una zona liberada por </w:t>
      </w:r>
      <w:smartTag w:uri="urn:schemas-microsoft-com:office:smarttags" w:element="PersonName">
        <w:smartTagPr>
          <w:attr w:name="ProductID" w:val="la Polic￭a Federal"/>
        </w:smartTagPr>
        <w:r>
          <w:t>la Policía Federal</w:t>
        </w:r>
      </w:smartTag>
      <w:r>
        <w:t xml:space="preserve"> p</w:t>
      </w:r>
      <w:r>
        <w:t>a</w:t>
      </w:r>
      <w:r>
        <w:t>ra que el atentado se lleve a cabo, estimó que quienes tenían a su cargo la custodia debieron adoptar una actitud más fi</w:t>
      </w:r>
      <w:r>
        <w:t>r</w:t>
      </w:r>
      <w:r>
        <w:t>me, acorde al obj</w:t>
      </w:r>
      <w:r>
        <w:t>e</w:t>
      </w:r>
      <w:r>
        <w:t>tivo que debían vigilar.</w:t>
      </w:r>
    </w:p>
    <w:p w:rsidR="00224567" w:rsidRDefault="00224567">
      <w:pPr>
        <w:widowControl w:val="0"/>
        <w:rPr>
          <w:color w:val="000000"/>
        </w:rPr>
      </w:pPr>
      <w:r>
        <w:tab/>
      </w:r>
      <w:r>
        <w:rPr>
          <w:color w:val="000000"/>
        </w:rPr>
        <w:t>En cuanto a la hipótesis de e</w:t>
      </w:r>
      <w:r>
        <w:rPr>
          <w:color w:val="000000"/>
        </w:rPr>
        <w:t>x</w:t>
      </w:r>
      <w:r>
        <w:rPr>
          <w:color w:val="000000"/>
        </w:rPr>
        <w:t>plosión mediante un cochebomba, la letrada indicó que una vez oc</w:t>
      </w:r>
      <w:r>
        <w:rPr>
          <w:color w:val="000000"/>
        </w:rPr>
        <w:t>u</w:t>
      </w:r>
      <w:r>
        <w:rPr>
          <w:color w:val="000000"/>
        </w:rPr>
        <w:t>rrida, se hallaron partes de automóviles que no se corre</w:t>
      </w:r>
      <w:r>
        <w:rPr>
          <w:color w:val="000000"/>
        </w:rPr>
        <w:t>s</w:t>
      </w:r>
      <w:r>
        <w:rPr>
          <w:color w:val="000000"/>
        </w:rPr>
        <w:t>pondían con los rodados est</w:t>
      </w:r>
      <w:r>
        <w:rPr>
          <w:color w:val="000000"/>
        </w:rPr>
        <w:t>a</w:t>
      </w:r>
      <w:r>
        <w:rPr>
          <w:color w:val="000000"/>
        </w:rPr>
        <w:t>cionados en el lugar, ninguno de los cuales presentaban desmembr</w:t>
      </w:r>
      <w:r>
        <w:rPr>
          <w:color w:val="000000"/>
        </w:rPr>
        <w:t>a</w:t>
      </w:r>
      <w:r>
        <w:rPr>
          <w:color w:val="000000"/>
        </w:rPr>
        <w:t>mientos.</w:t>
      </w:r>
    </w:p>
    <w:p w:rsidR="00224567" w:rsidRDefault="00224567">
      <w:pPr>
        <w:widowControl w:val="0"/>
        <w:rPr>
          <w:color w:val="000000"/>
        </w:rPr>
      </w:pPr>
      <w:r>
        <w:rPr>
          <w:color w:val="000000"/>
        </w:rPr>
        <w:tab/>
        <w:t>Precisó que Nicolasa Romero dijo haber visto una Trafic instantes antes de la expl</w:t>
      </w:r>
      <w:r>
        <w:rPr>
          <w:color w:val="000000"/>
        </w:rPr>
        <w:t>o</w:t>
      </w:r>
      <w:r>
        <w:rPr>
          <w:color w:val="000000"/>
        </w:rPr>
        <w:t>sión y si bien -sostuvo la letrada- no era posible poder afirmar que d</w:t>
      </w:r>
      <w:r>
        <w:rPr>
          <w:color w:val="000000"/>
        </w:rPr>
        <w:t>i</w:t>
      </w:r>
      <w:r>
        <w:rPr>
          <w:color w:val="000000"/>
        </w:rPr>
        <w:lastRenderedPageBreak/>
        <w:t xml:space="preserve">cho vehículo fue el que explotó en </w:t>
      </w:r>
      <w:smartTag w:uri="urn:schemas-microsoft-com:office:smarttags" w:element="PersonName">
        <w:smartTagPr>
          <w:attr w:name="ProductID" w:val="la A.M"/>
        </w:smartTagPr>
        <w:r>
          <w:rPr>
            <w:color w:val="000000"/>
          </w:rPr>
          <w:t>la A.M</w:t>
        </w:r>
      </w:smartTag>
      <w:r>
        <w:rPr>
          <w:color w:val="000000"/>
        </w:rPr>
        <w:t>.I.A., su conv</w:t>
      </w:r>
      <w:r>
        <w:rPr>
          <w:color w:val="000000"/>
        </w:rPr>
        <w:t>o</w:t>
      </w:r>
      <w:r>
        <w:rPr>
          <w:color w:val="000000"/>
        </w:rPr>
        <w:t>catoria al debate demostró que la investigación no creó una “historia oficial” y que los testigos no fueron inve</w:t>
      </w:r>
      <w:r>
        <w:rPr>
          <w:color w:val="000000"/>
        </w:rPr>
        <w:t>n</w:t>
      </w:r>
      <w:r>
        <w:rPr>
          <w:color w:val="000000"/>
        </w:rPr>
        <w:t>tados.</w:t>
      </w:r>
    </w:p>
    <w:p w:rsidR="00224567" w:rsidRDefault="00224567">
      <w:pPr>
        <w:widowControl w:val="0"/>
      </w:pPr>
      <w:r>
        <w:rPr>
          <w:color w:val="000000"/>
        </w:rPr>
        <w:tab/>
        <w:t>Con relación al centro de operaci</w:t>
      </w:r>
      <w:r>
        <w:rPr>
          <w:color w:val="000000"/>
        </w:rPr>
        <w:t>o</w:t>
      </w:r>
      <w:r>
        <w:rPr>
          <w:color w:val="000000"/>
        </w:rPr>
        <w:t xml:space="preserve">nes, </w:t>
      </w:r>
      <w:smartTag w:uri="urn:schemas-microsoft-com:office:smarttags" w:element="PersonName">
        <w:smartTagPr>
          <w:attr w:name="ProductID" w:val="La Dra. Nercellas"/>
        </w:smartTagPr>
        <w:r>
          <w:rPr>
            <w:color w:val="000000"/>
          </w:rPr>
          <w:t>la Dra. Nercellas</w:t>
        </w:r>
      </w:smartTag>
      <w:r>
        <w:rPr>
          <w:color w:val="000000"/>
        </w:rPr>
        <w:t xml:space="preserve"> señaló que </w:t>
      </w:r>
      <w:r>
        <w:t>López dio la orden de buscar un lugar donde colectar las evidencias y que en él se co</w:t>
      </w:r>
      <w:r>
        <w:t>n</w:t>
      </w:r>
      <w:r>
        <w:t>feccionaban, por lo gen</w:t>
      </w:r>
      <w:r>
        <w:t>e</w:t>
      </w:r>
      <w:r>
        <w:t>ral, las actas; allí también –entre otras cosas- se embolsaban los elementos secuestr</w:t>
      </w:r>
      <w:r>
        <w:t>a</w:t>
      </w:r>
      <w:r>
        <w:t>dos que se numeraban provisoriamente para ser luego llev</w:t>
      </w:r>
      <w:r>
        <w:t>a</w:t>
      </w:r>
      <w:r>
        <w:t>dos al Depart</w:t>
      </w:r>
      <w:r>
        <w:t>a</w:t>
      </w:r>
      <w:r>
        <w:t>mento de Policía.</w:t>
      </w:r>
    </w:p>
    <w:p w:rsidR="00224567" w:rsidRDefault="00224567">
      <w:pPr>
        <w:widowControl w:val="0"/>
        <w:rPr>
          <w:color w:val="000000"/>
        </w:rPr>
      </w:pPr>
      <w:r>
        <w:tab/>
      </w:r>
      <w:r>
        <w:rPr>
          <w:color w:val="000000"/>
        </w:rPr>
        <w:t>Indicó que una de las primeras piezas que apareció, antes del mediodía del 18, fue una con un logotipo de Renault; que también aparecieron pedazos de llantas y una parrilla de suspensión delantera, todas pe</w:t>
      </w:r>
      <w:r>
        <w:rPr>
          <w:color w:val="000000"/>
        </w:rPr>
        <w:t>r</w:t>
      </w:r>
      <w:r>
        <w:rPr>
          <w:color w:val="000000"/>
        </w:rPr>
        <w:t>tenecientes a la misma marca de vehículos. Sintetizó que en las primeras horas de la tarde de ese día ya se tenían tres hipótesis válidas: que se trataba de un cochebomba, que era un v</w:t>
      </w:r>
      <w:r>
        <w:rPr>
          <w:color w:val="000000"/>
        </w:rPr>
        <w:t>e</w:t>
      </w:r>
      <w:r>
        <w:rPr>
          <w:color w:val="000000"/>
        </w:rPr>
        <w:t xml:space="preserve">hículo marca Renault y que era un utilitario porque, ante consultas, se determinó que los neumáticos </w:t>
      </w:r>
      <w:r>
        <w:rPr>
          <w:color w:val="000000"/>
        </w:rPr>
        <w:lastRenderedPageBreak/>
        <w:t>podían ser utilizados en tres rodados de este tipo.</w:t>
      </w:r>
    </w:p>
    <w:p w:rsidR="00224567" w:rsidRDefault="00224567">
      <w:pPr>
        <w:widowControl w:val="0"/>
        <w:rPr>
          <w:color w:val="000000"/>
        </w:rPr>
      </w:pPr>
      <w:r>
        <w:rPr>
          <w:color w:val="000000"/>
        </w:rPr>
        <w:tab/>
        <w:t>Sostuvo que desde el 19 de julio, en el Departamento Central de Policía, estaban los técnicos de C.I.A.D.E.A., Gariboldi y Cingol</w:t>
      </w:r>
      <w:r>
        <w:rPr>
          <w:color w:val="000000"/>
        </w:rPr>
        <w:t>a</w:t>
      </w:r>
      <w:r>
        <w:rPr>
          <w:color w:val="000000"/>
        </w:rPr>
        <w:t xml:space="preserve">ni, quienes provistos de un catálogo y una camioneta similar a la que se suponía había explotado en </w:t>
      </w:r>
      <w:smartTag w:uri="urn:schemas-microsoft-com:office:smarttags" w:element="PersonName">
        <w:smartTagPr>
          <w:attr w:name="ProductID" w:val="la A.M"/>
        </w:smartTagPr>
        <w:r>
          <w:rPr>
            <w:color w:val="000000"/>
          </w:rPr>
          <w:t>la A.M</w:t>
        </w:r>
      </w:smartTag>
      <w:r>
        <w:rPr>
          <w:color w:val="000000"/>
        </w:rPr>
        <w:t>.I.A., identificaban las piezas que les acercaban. Que en el patio cubierto de la depe</w:t>
      </w:r>
      <w:r>
        <w:rPr>
          <w:color w:val="000000"/>
        </w:rPr>
        <w:t>n</w:t>
      </w:r>
      <w:r>
        <w:rPr>
          <w:color w:val="000000"/>
        </w:rPr>
        <w:t xml:space="preserve">dencia se había hecho una silueta de </w:t>
      </w:r>
      <w:smartTag w:uri="urn:schemas-microsoft-com:office:smarttags" w:element="PersonName">
        <w:smartTagPr>
          <w:attr w:name="ProductID" w:val="la Trafic"/>
        </w:smartTagPr>
        <w:r>
          <w:rPr>
            <w:color w:val="000000"/>
          </w:rPr>
          <w:t>la Trafic</w:t>
        </w:r>
      </w:smartTag>
      <w:r>
        <w:rPr>
          <w:color w:val="000000"/>
        </w:rPr>
        <w:t xml:space="preserve"> sobre la que se colocaron las distintas piezas para ir reconstr</w:t>
      </w:r>
      <w:r>
        <w:rPr>
          <w:color w:val="000000"/>
        </w:rPr>
        <w:t>u</w:t>
      </w:r>
      <w:r>
        <w:rPr>
          <w:color w:val="000000"/>
        </w:rPr>
        <w:t>yéndola, a la vez que aquellas que no correspondían a ese rodado, eran embolsadas, separadas y custodi</w:t>
      </w:r>
      <w:r>
        <w:rPr>
          <w:color w:val="000000"/>
        </w:rPr>
        <w:t>a</w:t>
      </w:r>
      <w:r>
        <w:rPr>
          <w:color w:val="000000"/>
        </w:rPr>
        <w:t>das.</w:t>
      </w:r>
    </w:p>
    <w:p w:rsidR="00224567" w:rsidRDefault="00224567">
      <w:pPr>
        <w:widowControl w:val="0"/>
      </w:pPr>
      <w:r>
        <w:rPr>
          <w:color w:val="000000"/>
        </w:rPr>
        <w:tab/>
      </w:r>
      <w:r>
        <w:t>La letrada hizo hincapié en que fu</w:t>
      </w:r>
      <w:r>
        <w:t>e</w:t>
      </w:r>
      <w:r>
        <w:t xml:space="preserve">ron muchas las dudas que se originaron con relación a </w:t>
      </w:r>
      <w:smartTag w:uri="urn:schemas-microsoft-com:office:smarttags" w:element="PersonName">
        <w:smartTagPr>
          <w:attr w:name="ProductID" w:val="la Trafic. Dijo"/>
        </w:smartTagPr>
        <w:r>
          <w:t>la Tr</w:t>
        </w:r>
        <w:r>
          <w:t>a</w:t>
        </w:r>
        <w:r>
          <w:t>fic. Dijo</w:t>
        </w:r>
      </w:smartTag>
      <w:r>
        <w:t xml:space="preserve"> que se llegó a pensar que las piezas fueron “plantadas” en el lugar, que el coch</w:t>
      </w:r>
      <w:r>
        <w:t>e</w:t>
      </w:r>
      <w:r>
        <w:t>bomba nunca existió y que fueron puestas en el volquete para que se desparr</w:t>
      </w:r>
      <w:r>
        <w:t>a</w:t>
      </w:r>
      <w:r>
        <w:t>men.</w:t>
      </w:r>
    </w:p>
    <w:p w:rsidR="00224567" w:rsidRDefault="00224567">
      <w:pPr>
        <w:widowControl w:val="0"/>
        <w:rPr>
          <w:color w:val="000000"/>
        </w:rPr>
      </w:pPr>
      <w:r>
        <w:tab/>
        <w:t>Sin embargo, sostuvo que los perit</w:t>
      </w:r>
      <w:r>
        <w:t>a</w:t>
      </w:r>
      <w:r>
        <w:t>jes descartaron todas las dudas que se tejieron en d</w:t>
      </w:r>
      <w:r>
        <w:t>e</w:t>
      </w:r>
      <w:r>
        <w:t>rredor de esta hipótesis. En ese sentido, remarcó que fueron veint</w:t>
      </w:r>
      <w:r>
        <w:t>i</w:t>
      </w:r>
      <w:r>
        <w:t>siete las personas que murieron por incrustaciones de re</w:t>
      </w:r>
      <w:r>
        <w:t>s</w:t>
      </w:r>
      <w:r>
        <w:t>tos metálicos, producidas como co</w:t>
      </w:r>
      <w:r>
        <w:t>n</w:t>
      </w:r>
      <w:r>
        <w:t xml:space="preserve">secuencia de la metralla </w:t>
      </w:r>
      <w:r>
        <w:lastRenderedPageBreak/>
        <w:t>primaria del cochebomba y que un cruel ejemplo de ello fue el e</w:t>
      </w:r>
      <w:r>
        <w:t>n</w:t>
      </w:r>
      <w:r>
        <w:t>cargado Díaz, a quien se le incrustó un amortiguador que le ingresó por la axila izquierda y salió por su cu</w:t>
      </w:r>
      <w:r>
        <w:t>e</w:t>
      </w:r>
      <w:r>
        <w:t>llo; incrustación que sólo pudo haber sido pr</w:t>
      </w:r>
      <w:r>
        <w:t>o</w:t>
      </w:r>
      <w:r>
        <w:t>ducto de la explosión, conforme lo afirmó el médico forense Carlos N</w:t>
      </w:r>
      <w:r>
        <w:t>a</w:t>
      </w:r>
      <w:r>
        <w:t xml:space="preserve">vari, quien estimó imposible introducir </w:t>
      </w:r>
      <w:r>
        <w:rPr>
          <w:color w:val="000000"/>
        </w:rPr>
        <w:t>manualmente ese amortiguador en el cuerpo de la víctima.</w:t>
      </w:r>
    </w:p>
    <w:p w:rsidR="00224567" w:rsidRDefault="00224567">
      <w:pPr>
        <w:widowControl w:val="0"/>
        <w:rPr>
          <w:color w:val="000000"/>
        </w:rPr>
      </w:pPr>
      <w:r>
        <w:rPr>
          <w:color w:val="000000"/>
        </w:rPr>
        <w:tab/>
        <w:t>Indicó que hubo un cochebomba, una c</w:t>
      </w:r>
      <w:r>
        <w:rPr>
          <w:color w:val="000000"/>
        </w:rPr>
        <w:t>a</w:t>
      </w:r>
      <w:r>
        <w:rPr>
          <w:color w:val="000000"/>
        </w:rPr>
        <w:t>mioneta Trafic corta, con puerta lateral; so</w:t>
      </w:r>
      <w:r>
        <w:rPr>
          <w:color w:val="000000"/>
        </w:rPr>
        <w:t>s</w:t>
      </w:r>
      <w:r>
        <w:rPr>
          <w:color w:val="000000"/>
        </w:rPr>
        <w:t>tuvo que era corta porque en el lugar fueron hallados repuestos de Tr</w:t>
      </w:r>
      <w:r>
        <w:rPr>
          <w:color w:val="000000"/>
        </w:rPr>
        <w:t>a</w:t>
      </w:r>
      <w:r>
        <w:rPr>
          <w:color w:val="000000"/>
        </w:rPr>
        <w:t>fic larga y corta y, según los expertos, los r</w:t>
      </w:r>
      <w:r>
        <w:rPr>
          <w:color w:val="000000"/>
        </w:rPr>
        <w:t>e</w:t>
      </w:r>
      <w:r>
        <w:rPr>
          <w:color w:val="000000"/>
        </w:rPr>
        <w:t>puestos de la larga pueden ser colocados en la corta pero no a la i</w:t>
      </w:r>
      <w:r>
        <w:rPr>
          <w:color w:val="000000"/>
        </w:rPr>
        <w:t>n</w:t>
      </w:r>
      <w:r>
        <w:rPr>
          <w:color w:val="000000"/>
        </w:rPr>
        <w:t>versa. Estimó que el hallazgo de la corredera, identific</w:t>
      </w:r>
      <w:r>
        <w:rPr>
          <w:color w:val="000000"/>
        </w:rPr>
        <w:t>a</w:t>
      </w:r>
      <w:r>
        <w:rPr>
          <w:color w:val="000000"/>
        </w:rPr>
        <w:t>da como la pieza “U”, que presentaba el mismo patrón de deformación que el resto de las piezas, perm</w:t>
      </w:r>
      <w:r>
        <w:rPr>
          <w:color w:val="000000"/>
        </w:rPr>
        <w:t>i</w:t>
      </w:r>
      <w:r>
        <w:rPr>
          <w:color w:val="000000"/>
        </w:rPr>
        <w:t>tía sostener que el rodado contaba con puerta lateral.</w:t>
      </w:r>
    </w:p>
    <w:p w:rsidR="00224567" w:rsidRDefault="00224567">
      <w:pPr>
        <w:widowControl w:val="0"/>
        <w:rPr>
          <w:color w:val="000000"/>
        </w:rPr>
      </w:pPr>
      <w:r>
        <w:rPr>
          <w:color w:val="000000"/>
        </w:rPr>
        <w:tab/>
        <w:t>En orden a la carrocería, indicó que en virtud de la impresión epoxi y el proceso de catafor</w:t>
      </w:r>
      <w:r>
        <w:rPr>
          <w:color w:val="000000"/>
        </w:rPr>
        <w:t>e</w:t>
      </w:r>
      <w:r>
        <w:rPr>
          <w:color w:val="000000"/>
        </w:rPr>
        <w:t>sis, ella no podía ser la de “Messin”; máxime cuando las chapas secuestradas no habían estado expuestas a temper</w:t>
      </w:r>
      <w:r>
        <w:rPr>
          <w:color w:val="000000"/>
        </w:rPr>
        <w:t>a</w:t>
      </w:r>
      <w:r>
        <w:rPr>
          <w:color w:val="000000"/>
        </w:rPr>
        <w:lastRenderedPageBreak/>
        <w:t>turas sostenidas, lo que descartaba la acción de un ince</w:t>
      </w:r>
      <w:r>
        <w:rPr>
          <w:color w:val="000000"/>
        </w:rPr>
        <w:t>n</w:t>
      </w:r>
      <w:r>
        <w:rPr>
          <w:color w:val="000000"/>
        </w:rPr>
        <w:t>dio.</w:t>
      </w:r>
    </w:p>
    <w:p w:rsidR="00224567" w:rsidRDefault="00224567">
      <w:pPr>
        <w:widowControl w:val="0"/>
        <w:rPr>
          <w:color w:val="000000"/>
        </w:rPr>
      </w:pPr>
      <w:r>
        <w:rPr>
          <w:color w:val="000000"/>
        </w:rPr>
        <w:tab/>
        <w:t>Argumentó que la camioneta que se i</w:t>
      </w:r>
      <w:r>
        <w:rPr>
          <w:color w:val="000000"/>
        </w:rPr>
        <w:t>n</w:t>
      </w:r>
      <w:r>
        <w:rPr>
          <w:color w:val="000000"/>
        </w:rPr>
        <w:t xml:space="preserve">trodujo en el frente de </w:t>
      </w:r>
      <w:smartTag w:uri="urn:schemas-microsoft-com:office:smarttags" w:element="PersonName">
        <w:smartTagPr>
          <w:attr w:name="ProductID" w:val="la A.M"/>
        </w:smartTagPr>
        <w:r>
          <w:rPr>
            <w:color w:val="000000"/>
          </w:rPr>
          <w:t>la A.M</w:t>
        </w:r>
      </w:smartTag>
      <w:r>
        <w:rPr>
          <w:color w:val="000000"/>
        </w:rPr>
        <w:t>.I.A. tenía las caracterí</w:t>
      </w:r>
      <w:r>
        <w:rPr>
          <w:color w:val="000000"/>
        </w:rPr>
        <w:t>s</w:t>
      </w:r>
      <w:r>
        <w:rPr>
          <w:color w:val="000000"/>
        </w:rPr>
        <w:t>ticas descriptas precedentemente y transpo</w:t>
      </w:r>
      <w:r>
        <w:rPr>
          <w:color w:val="000000"/>
        </w:rPr>
        <w:t>r</w:t>
      </w:r>
      <w:r>
        <w:rPr>
          <w:color w:val="000000"/>
        </w:rPr>
        <w:t>taba una carga de trescientos kilos entre su asiento dela</w:t>
      </w:r>
      <w:r>
        <w:rPr>
          <w:color w:val="000000"/>
        </w:rPr>
        <w:t>n</w:t>
      </w:r>
      <w:r>
        <w:rPr>
          <w:color w:val="000000"/>
        </w:rPr>
        <w:t>tero y el buche de la rueda; al respecto, indicó que hubo v</w:t>
      </w:r>
      <w:r>
        <w:rPr>
          <w:color w:val="000000"/>
        </w:rPr>
        <w:t>a</w:t>
      </w:r>
      <w:r>
        <w:rPr>
          <w:color w:val="000000"/>
        </w:rPr>
        <w:t>rias opiniones en punto a si la carga fue o no atrac</w:t>
      </w:r>
      <w:r>
        <w:rPr>
          <w:color w:val="000000"/>
        </w:rPr>
        <w:t>a</w:t>
      </w:r>
      <w:r>
        <w:rPr>
          <w:color w:val="000000"/>
        </w:rPr>
        <w:t>da, pero resaltó que esa carga produjo mucho mas deterioro en el edificio de Pasteur 633 que en los aled</w:t>
      </w:r>
      <w:r>
        <w:rPr>
          <w:color w:val="000000"/>
        </w:rPr>
        <w:t>a</w:t>
      </w:r>
      <w:r>
        <w:rPr>
          <w:color w:val="000000"/>
        </w:rPr>
        <w:t>ños.</w:t>
      </w:r>
    </w:p>
    <w:p w:rsidR="00224567" w:rsidRDefault="00224567">
      <w:pPr>
        <w:widowControl w:val="0"/>
        <w:rPr>
          <w:color w:val="000000"/>
        </w:rPr>
      </w:pPr>
      <w:r>
        <w:rPr>
          <w:color w:val="000000"/>
        </w:rPr>
        <w:tab/>
        <w:t>Reseñó que el explosivo utiliz</w:t>
      </w:r>
      <w:r>
        <w:rPr>
          <w:color w:val="000000"/>
        </w:rPr>
        <w:t>a</w:t>
      </w:r>
      <w:r>
        <w:rPr>
          <w:color w:val="000000"/>
        </w:rPr>
        <w:t>do fue amonal con hidrocarburo y sensibilizado con T.N.T., co</w:t>
      </w:r>
      <w:r>
        <w:rPr>
          <w:color w:val="000000"/>
        </w:rPr>
        <w:t>n</w:t>
      </w:r>
      <w:r>
        <w:rPr>
          <w:color w:val="000000"/>
        </w:rPr>
        <w:t>clusión a la que se llegó por un his</w:t>
      </w:r>
      <w:r>
        <w:rPr>
          <w:color w:val="000000"/>
        </w:rPr>
        <w:t>o</w:t>
      </w:r>
      <w:r>
        <w:rPr>
          <w:color w:val="000000"/>
        </w:rPr>
        <w:t>pado realizado tanto en la chapa como en el motor.</w:t>
      </w:r>
    </w:p>
    <w:p w:rsidR="00224567" w:rsidRDefault="00224567">
      <w:pPr>
        <w:widowControl w:val="0"/>
        <w:ind w:firstLine="360"/>
        <w:rPr>
          <w:color w:val="000000"/>
        </w:rPr>
      </w:pPr>
      <w:r>
        <w:rPr>
          <w:color w:val="000000"/>
        </w:rPr>
        <w:t>Consideró también que, por las características del atentado, se presume que existió un conductor suicida po</w:t>
      </w:r>
      <w:r>
        <w:rPr>
          <w:color w:val="000000"/>
        </w:rPr>
        <w:t>r</w:t>
      </w:r>
      <w:r>
        <w:rPr>
          <w:color w:val="000000"/>
        </w:rPr>
        <w:t>que desde que subió el automóvil a la vereda hasta que e</w:t>
      </w:r>
      <w:r>
        <w:rPr>
          <w:color w:val="000000"/>
        </w:rPr>
        <w:t>x</w:t>
      </w:r>
      <w:r>
        <w:rPr>
          <w:color w:val="000000"/>
        </w:rPr>
        <w:t>plotó no hubo tiempo como para que quien manejaba pudiera salvarse.</w:t>
      </w:r>
    </w:p>
    <w:p w:rsidR="00224567" w:rsidRDefault="00224567">
      <w:pPr>
        <w:widowControl w:val="0"/>
      </w:pPr>
      <w:r>
        <w:rPr>
          <w:color w:val="000000"/>
        </w:rPr>
        <w:tab/>
      </w:r>
      <w:r>
        <w:t xml:space="preserve">Con relación al cráter, </w:t>
      </w:r>
      <w:smartTag w:uri="urn:schemas-microsoft-com:office:smarttags" w:element="PersonName">
        <w:smartTagPr>
          <w:attr w:name="ProductID" w:val="La Dra. Nercellas"/>
        </w:smartTagPr>
        <w:r>
          <w:t>la Dra. Nerc</w:t>
        </w:r>
        <w:r>
          <w:t>e</w:t>
        </w:r>
        <w:r>
          <w:t>llas</w:t>
        </w:r>
      </w:smartTag>
      <w:r>
        <w:t xml:space="preserve"> entendió que su existencia estaba suficientemente </w:t>
      </w:r>
      <w:r>
        <w:lastRenderedPageBreak/>
        <w:t>comprobada por los bomberos desde la n</w:t>
      </w:r>
      <w:r>
        <w:t>o</w:t>
      </w:r>
      <w:r>
        <w:t>che del 19 de julio y que se mantuvo cubierto por encontrarse en un paso obl</w:t>
      </w:r>
      <w:r>
        <w:t>i</w:t>
      </w:r>
      <w:r>
        <w:t>gado para el rescate de las personas que aún se encontr</w:t>
      </w:r>
      <w:r>
        <w:t>a</w:t>
      </w:r>
      <w:r>
        <w:t>ban atrapadas; aclaró que el edificio de la mutual contaba con un sótano y que al derrumbarse la loza de la planta baja se confundieron la oquedad y el sótano, según los d</w:t>
      </w:r>
      <w:r>
        <w:t>i</w:t>
      </w:r>
      <w:r>
        <w:t>chos de Enrique Alliot, Hugo Sergio Góngora, Carlos Raúl Con</w:t>
      </w:r>
      <w:r>
        <w:t>s</w:t>
      </w:r>
      <w:r>
        <w:t>tantino, Rubén Ramón Fígoli Ibáñez y Dani Dror, entre otros.</w:t>
      </w:r>
    </w:p>
    <w:p w:rsidR="00224567" w:rsidRDefault="00224567">
      <w:pPr>
        <w:widowControl w:val="0"/>
      </w:pPr>
      <w:r>
        <w:tab/>
        <w:t>En definitiva, la apoderada de la qu</w:t>
      </w:r>
      <w:r>
        <w:t>e</w:t>
      </w:r>
      <w:r>
        <w:t>rella sostuvo que los peritajes realizados en el proceso permitían concluir que la explosión se produjo en el ext</w:t>
      </w:r>
      <w:r>
        <w:t>e</w:t>
      </w:r>
      <w:r>
        <w:t>rior del edificio, encontrándose su epicentro a la d</w:t>
      </w:r>
      <w:r>
        <w:t>e</w:t>
      </w:r>
      <w:r>
        <w:t>recha de la puerta de entrada, entre el cordón de la ver</w:t>
      </w:r>
      <w:r>
        <w:t>e</w:t>
      </w:r>
      <w:r>
        <w:t>da y a un metro de la línea de edificación y que la carga expl</w:t>
      </w:r>
      <w:r>
        <w:t>o</w:t>
      </w:r>
      <w:r>
        <w:t>siva tuvo como contenedor una camioneta Renault Tr</w:t>
      </w:r>
      <w:r>
        <w:t>a</w:t>
      </w:r>
      <w:r>
        <w:t>fic.</w:t>
      </w:r>
    </w:p>
    <w:p w:rsidR="00224567" w:rsidRDefault="00224567">
      <w:pPr>
        <w:widowControl w:val="0"/>
      </w:pPr>
      <w:r>
        <w:tab/>
        <w:t>Refirió que el hallazgo del motor constituyó otro defecto de la investigación en razón que lo documentado no se correspondía con la real</w:t>
      </w:r>
      <w:r>
        <w:t>i</w:t>
      </w:r>
      <w:r>
        <w:t>dad y porque el acta de secuestro no coincidía con el halla</w:t>
      </w:r>
      <w:r>
        <w:t>z</w:t>
      </w:r>
      <w:r>
        <w:t xml:space="preserve">go. Señaló </w:t>
      </w:r>
      <w:r>
        <w:lastRenderedPageBreak/>
        <w:t>que el testigo Dani Dror explicó que el motor fue enco</w:t>
      </w:r>
      <w:r>
        <w:t>n</w:t>
      </w:r>
      <w:r>
        <w:t>trado por su grupo el 25 de julio, a las 18.30, conforme lo registró en el diario de tareas que iban confecciona</w:t>
      </w:r>
      <w:r>
        <w:t>n</w:t>
      </w:r>
      <w:r>
        <w:t>do, el que previa autorización del Ministerio de Defensa israelí se acompañó al deb</w:t>
      </w:r>
      <w:r>
        <w:t>a</w:t>
      </w:r>
      <w:r>
        <w:t>te.</w:t>
      </w:r>
    </w:p>
    <w:p w:rsidR="00224567" w:rsidRDefault="00224567">
      <w:pPr>
        <w:widowControl w:val="0"/>
      </w:pPr>
      <w:r>
        <w:tab/>
        <w:t>También indicó que Nahum Frenkel, en su labor de rescate de pe</w:t>
      </w:r>
      <w:r>
        <w:t>r</w:t>
      </w:r>
      <w:r>
        <w:t>sonas, mandó seccionar una viga en la creencia de que debajo de ella podría encontrarse una víctima y que en ese cometido halló un objeto que se asemejaba a un motor, muy sucio, cubierto de mampo</w:t>
      </w:r>
      <w:r>
        <w:t>s</w:t>
      </w:r>
      <w:r>
        <w:t>tería, el que retiró, montándolo sobre la pala de un tractor.</w:t>
      </w:r>
    </w:p>
    <w:p w:rsidR="00224567" w:rsidRDefault="00224567">
      <w:pPr>
        <w:widowControl w:val="0"/>
      </w:pPr>
      <w:r>
        <w:tab/>
        <w:t>La abogada señaló que Carlos Néstor López, Raúl Arbor y Daniel Alberto Helguero r</w:t>
      </w:r>
      <w:r>
        <w:t>e</w:t>
      </w:r>
      <w:r>
        <w:t>lataron las circunstancias vinculadas con la aparición del motor, e</w:t>
      </w:r>
      <w:r>
        <w:t>n</w:t>
      </w:r>
      <w:r>
        <w:t>contrándose presentes, además, Daniel Roberto Seara y H</w:t>
      </w:r>
      <w:r>
        <w:t>o</w:t>
      </w:r>
      <w:r>
        <w:t>racio Ángel Lopardo. Este último estaba conversando y en un momento dado vio un amontonamiento de personas; a</w:t>
      </w:r>
      <w:r>
        <w:t>l</w:t>
      </w:r>
      <w:r>
        <w:t>guien le dijo que se había encontrado algo, se acercó y observó en la vereda el motor. Inmediatamente, según explicó, se desesperó por conservar la pieza, discutiendo con el pe</w:t>
      </w:r>
      <w:r>
        <w:t>r</w:t>
      </w:r>
      <w:r>
        <w:t>sonal israelí hasta que comprendió que sólo querían toma</w:t>
      </w:r>
      <w:r>
        <w:t>r</w:t>
      </w:r>
      <w:r>
        <w:lastRenderedPageBreak/>
        <w:t>le una foto.</w:t>
      </w:r>
    </w:p>
    <w:p w:rsidR="00224567" w:rsidRDefault="00224567">
      <w:pPr>
        <w:widowControl w:val="0"/>
      </w:pPr>
      <w:r>
        <w:tab/>
        <w:t>Ese motor, explicó la apoderada de la querella, se encontraba bastante deteriorado, quebrado a la altura de los c</w:t>
      </w:r>
      <w:r>
        <w:t>i</w:t>
      </w:r>
      <w:r>
        <w:t>lindros, con el cárter agarrado con un solo bulón, tenía el soporte del número intacto y ese n</w:t>
      </w:r>
      <w:r>
        <w:t>ú</w:t>
      </w:r>
      <w:r>
        <w:t>mero fue trasmitido, mediante el teléfono celular del c</w:t>
      </w:r>
      <w:r>
        <w:t>o</w:t>
      </w:r>
      <w:r>
        <w:t>misario Pedro Scartascini, al Departamento Central de P</w:t>
      </w:r>
      <w:r>
        <w:t>o</w:t>
      </w:r>
      <w:r>
        <w:t>licía, donde comenzó la búsqueda del titular del rodado; mientras tanto, los isra</w:t>
      </w:r>
      <w:r>
        <w:t>e</w:t>
      </w:r>
      <w:r>
        <w:t xml:space="preserve">líes estaban pasando ese número a </w:t>
      </w:r>
      <w:smartTag w:uri="urn:schemas-microsoft-com:office:smarttags" w:element="PersonName">
        <w:smartTagPr>
          <w:attr w:name="ProductID" w:val="la S.I"/>
        </w:smartTagPr>
        <w:r>
          <w:t>la S.I</w:t>
        </w:r>
      </w:smartTag>
      <w:r>
        <w:t>.D.E.</w:t>
      </w:r>
    </w:p>
    <w:p w:rsidR="00224567" w:rsidRDefault="00224567">
      <w:pPr>
        <w:widowControl w:val="0"/>
      </w:pPr>
      <w:r>
        <w:tab/>
        <w:t>Seguidamente, reseñó las diversas d</w:t>
      </w:r>
      <w:r>
        <w:t>i</w:t>
      </w:r>
      <w:r>
        <w:t xml:space="preserve">ligencias llevadas a cabo en el Registro Nacional de </w:t>
      </w:r>
      <w:smartTag w:uri="urn:schemas-microsoft-com:office:smarttags" w:element="PersonName">
        <w:smartTagPr>
          <w:attr w:name="ProductID" w:val="la Propiedad"/>
        </w:smartTagPr>
        <w:r>
          <w:t>la Propiedad</w:t>
        </w:r>
      </w:smartTag>
      <w:r>
        <w:t xml:space="preserve"> del Automotor, que permitieron identificar, a partir del número de motor, que “Messin S.R.L.” fue el ú</w:t>
      </w:r>
      <w:r>
        <w:t>l</w:t>
      </w:r>
      <w:r>
        <w:t>timo titular del rodado, como así también las emprend</w:t>
      </w:r>
      <w:r>
        <w:t>i</w:t>
      </w:r>
      <w:r>
        <w:t xml:space="preserve">das por las autoridades policiales y los agentes de </w:t>
      </w:r>
      <w:smartTag w:uri="urn:schemas-microsoft-com:office:smarttags" w:element="PersonName">
        <w:smartTagPr>
          <w:attr w:name="ProductID" w:val="la S.I"/>
        </w:smartTagPr>
        <w:r>
          <w:t>la S.I</w:t>
        </w:r>
      </w:smartTag>
      <w:r>
        <w:t>.D.E. en locutorios, playas de estacionamiento y hot</w:t>
      </w:r>
      <w:r>
        <w:t>e</w:t>
      </w:r>
      <w:r>
        <w:t>les; en particular en “Jet Parking”.</w:t>
      </w:r>
    </w:p>
    <w:p w:rsidR="00224567" w:rsidRDefault="00224567">
      <w:pPr>
        <w:widowControl w:val="0"/>
      </w:pPr>
      <w:r>
        <w:tab/>
        <w:t>Refirió que una vez identificada la compañía en la que aquella empresa aseguró el v</w:t>
      </w:r>
      <w:r>
        <w:t>e</w:t>
      </w:r>
      <w:r>
        <w:t xml:space="preserve">hículo, se </w:t>
      </w:r>
      <w:r>
        <w:lastRenderedPageBreak/>
        <w:t>llegó a la agencia “Alejandro Automot</w:t>
      </w:r>
      <w:r>
        <w:t>o</w:t>
      </w:r>
      <w:r>
        <w:t>res” -estrechamente vinculada a Ca</w:t>
      </w:r>
      <w:r>
        <w:t>r</w:t>
      </w:r>
      <w:r>
        <w:t xml:space="preserve">los Telleldín por cuanto le vendía rodados siniestrados con su documentación- donde agentes de </w:t>
      </w:r>
      <w:smartTag w:uri="urn:schemas-microsoft-com:office:smarttags" w:element="PersonName">
        <w:smartTagPr>
          <w:attr w:name="ProductID" w:val="la S.I"/>
        </w:smartTagPr>
        <w:r>
          <w:t>la S.I</w:t>
        </w:r>
      </w:smartTag>
      <w:r>
        <w:t>.D.E. y del D.P.O.C. obtuvieron el teléfono de aquél y a partir de éste su domicilio de República 107, el que el 26 de julio comenzó a ser vigilado por dichos age</w:t>
      </w:r>
      <w:r>
        <w:t>n</w:t>
      </w:r>
      <w:r>
        <w:t>tes.</w:t>
      </w:r>
    </w:p>
    <w:p w:rsidR="00224567" w:rsidRDefault="00224567">
      <w:pPr>
        <w:widowControl w:val="0"/>
      </w:pPr>
      <w:r>
        <w:tab/>
        <w:t xml:space="preserve">Recordó </w:t>
      </w:r>
      <w:smartTag w:uri="urn:schemas-microsoft-com:office:smarttags" w:element="PersonName">
        <w:smartTagPr>
          <w:attr w:name="ProductID" w:val="La Dra. Nercellas"/>
        </w:smartTagPr>
        <w:r>
          <w:t>la Dra. Nercellas</w:t>
        </w:r>
      </w:smartTag>
      <w:r>
        <w:t xml:space="preserve"> que a ese domicilio llegaron los oficiales bonaerenses Barreda y B</w:t>
      </w:r>
      <w:r>
        <w:t>a</w:t>
      </w:r>
      <w:r>
        <w:t>reiro, los que al retirarse fueron interceptados, ident</w:t>
      </w:r>
      <w:r>
        <w:t>i</w:t>
      </w:r>
      <w:r>
        <w:t>ficándose los nombrados como “amigos de Telleldín”; pr</w:t>
      </w:r>
      <w:r>
        <w:t>e</w:t>
      </w:r>
      <w:r>
        <w:t xml:space="preserve">viamente, Ana Boragni preguntó a los efectivos apostados en el lugar si eran de </w:t>
      </w:r>
      <w:smartTag w:uri="urn:schemas-microsoft-com:office:smarttags" w:element="PersonName">
        <w:smartTagPr>
          <w:attr w:name="ProductID" w:val="la Mossad."/>
        </w:smartTagPr>
        <w:r>
          <w:t>la Mossad.</w:t>
        </w:r>
      </w:smartTag>
    </w:p>
    <w:p w:rsidR="00224567" w:rsidRDefault="00224567">
      <w:pPr>
        <w:widowControl w:val="0"/>
      </w:pPr>
      <w:r>
        <w:tab/>
        <w:t xml:space="preserve"> Admitió que el debate resultó insuf</w:t>
      </w:r>
      <w:r>
        <w:t>i</w:t>
      </w:r>
      <w:r>
        <w:t>ciente para recrear que ocurrió dentro de ese domic</w:t>
      </w:r>
      <w:r>
        <w:t>i</w:t>
      </w:r>
      <w:r>
        <w:t xml:space="preserve">lio en el lapso en que personal de </w:t>
      </w:r>
      <w:smartTag w:uri="urn:schemas-microsoft-com:office:smarttags" w:element="PersonName">
        <w:smartTagPr>
          <w:attr w:name="ProductID" w:val="la S.I"/>
        </w:smartTagPr>
        <w:r>
          <w:t>la S.I</w:t>
        </w:r>
      </w:smartTag>
      <w:r>
        <w:t xml:space="preserve">.D.E. y de </w:t>
      </w:r>
      <w:smartTag w:uri="urn:schemas-microsoft-com:office:smarttags" w:element="PersonName">
        <w:smartTagPr>
          <w:attr w:name="ProductID" w:val="la Polic￭a Federal"/>
        </w:smartTagPr>
        <w:r>
          <w:t>la Policía Federal</w:t>
        </w:r>
      </w:smartTag>
      <w:r>
        <w:t xml:space="preserve"> permanecieron en él, pero lo cie</w:t>
      </w:r>
      <w:r>
        <w:t>r</w:t>
      </w:r>
      <w:r>
        <w:t xml:space="preserve">to es que allí se hizo presente Leal, quien habló con los efectivos de </w:t>
      </w:r>
      <w:smartTag w:uri="urn:schemas-microsoft-com:office:smarttags" w:element="PersonName">
        <w:smartTagPr>
          <w:attr w:name="ProductID" w:val="la Polic￭a Bonaerense"/>
        </w:smartTagPr>
        <w:r>
          <w:t>la Policía B</w:t>
        </w:r>
        <w:r>
          <w:t>o</w:t>
        </w:r>
        <w:r>
          <w:t>naerense</w:t>
        </w:r>
      </w:smartTag>
      <w:r>
        <w:t xml:space="preserve"> a solas.</w:t>
      </w:r>
    </w:p>
    <w:p w:rsidR="00224567" w:rsidRDefault="00224567">
      <w:pPr>
        <w:widowControl w:val="0"/>
      </w:pPr>
      <w:r>
        <w:tab/>
        <w:t xml:space="preserve">Afirmó que, a su juicio, Ana Boragni supo dos días después del atentado que la camioneta que explotó en </w:t>
      </w:r>
      <w:smartTag w:uri="urn:schemas-microsoft-com:office:smarttags" w:element="PersonName">
        <w:smartTagPr>
          <w:attr w:name="ProductID" w:val="la A.M"/>
        </w:smartTagPr>
        <w:r>
          <w:t>la A.M</w:t>
        </w:r>
      </w:smartTag>
      <w:r>
        <w:t xml:space="preserve">.I.A. era la que ellos habían entregado </w:t>
      </w:r>
      <w:r>
        <w:lastRenderedPageBreak/>
        <w:t>y, ante ello, comenzó a decir que Carlos Telleldín se h</w:t>
      </w:r>
      <w:r>
        <w:t>a</w:t>
      </w:r>
      <w:r>
        <w:t>bía escapado.</w:t>
      </w:r>
    </w:p>
    <w:p w:rsidR="00224567" w:rsidRDefault="00224567">
      <w:pPr>
        <w:widowControl w:val="0"/>
      </w:pPr>
      <w:r>
        <w:tab/>
        <w:t>Recordó que Boragni contó que la c</w:t>
      </w:r>
      <w:r>
        <w:t>a</w:t>
      </w:r>
      <w:r>
        <w:t>mioneta había sido vendida el domingo 10 de julio, alred</w:t>
      </w:r>
      <w:r>
        <w:t>e</w:t>
      </w:r>
      <w:r>
        <w:t>dor de las 13.30, que tuvieron llamados ant</w:t>
      </w:r>
      <w:r>
        <w:t>e</w:t>
      </w:r>
      <w:r>
        <w:t>riores, que la persona tenía acento extranjero y que habían ido unos c</w:t>
      </w:r>
      <w:r>
        <w:t>o</w:t>
      </w:r>
      <w:r>
        <w:t>reanos; historias todas estas que se comprobó no eran reales.</w:t>
      </w:r>
    </w:p>
    <w:p w:rsidR="00224567" w:rsidRDefault="00224567">
      <w:pPr>
        <w:widowControl w:val="0"/>
      </w:pPr>
      <w:r>
        <w:tab/>
        <w:t>Afirmó, también, que era evidente que Telleldín y Boragni se pusieron de acuerdo con antel</w:t>
      </w:r>
      <w:r>
        <w:t>a</w:t>
      </w:r>
      <w:r>
        <w:t>ción en orden a la ve</w:t>
      </w:r>
      <w:r>
        <w:t>r</w:t>
      </w:r>
      <w:r>
        <w:t>sión que habrían de dar.</w:t>
      </w:r>
    </w:p>
    <w:p w:rsidR="00224567" w:rsidRDefault="00224567">
      <w:pPr>
        <w:widowControl w:val="0"/>
      </w:pPr>
      <w:r>
        <w:tab/>
        <w:t>Asimismo, señaló que Ana tuvo una co</w:t>
      </w:r>
      <w:r>
        <w:t>n</w:t>
      </w:r>
      <w:r>
        <w:t>versación telefónica con Ariel Nitzcaner, quien al pregu</w:t>
      </w:r>
      <w:r>
        <w:t>n</w:t>
      </w:r>
      <w:r>
        <w:t>tarle por Carlos le contestó que se había ido a Córdoba, que había “saltado” de una provincia a otra y que tenía mucho miedo ya que la situación la superaba, repitiendo que le habían arruinado la vida; conversación que, a ju</w:t>
      </w:r>
      <w:r>
        <w:t>i</w:t>
      </w:r>
      <w:r>
        <w:t>cio de la letrada, resultaba demostrat</w:t>
      </w:r>
      <w:r>
        <w:t>i</w:t>
      </w:r>
      <w:r>
        <w:t>va de que la huída de Telleldín come</w:t>
      </w:r>
      <w:r>
        <w:t>n</w:t>
      </w:r>
      <w:r>
        <w:t>zó mucho antes del 26 de julio.</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Sostuvo que Barreda y Bareiro le dij</w:t>
      </w:r>
      <w:r>
        <w:rPr>
          <w:rFonts w:ascii="Courier New" w:hAnsi="Courier New" w:cs="Courier New"/>
          <w:szCs w:val="24"/>
          <w:lang w:val="es-AR"/>
        </w:rPr>
        <w:t>e</w:t>
      </w:r>
      <w:r>
        <w:rPr>
          <w:rFonts w:ascii="Courier New" w:hAnsi="Courier New" w:cs="Courier New"/>
          <w:szCs w:val="24"/>
          <w:lang w:val="es-AR"/>
        </w:rPr>
        <w:lastRenderedPageBreak/>
        <w:t>ron a Ana que tuviera preparado los formularios “</w:t>
      </w:r>
      <w:smartTag w:uri="urn:schemas-microsoft-com:office:smarttags" w:element="metricconverter">
        <w:smartTagPr>
          <w:attr w:name="ProductID" w:val="08”"/>
        </w:smartTagPr>
        <w:r>
          <w:rPr>
            <w:rFonts w:ascii="Courier New" w:hAnsi="Courier New" w:cs="Courier New"/>
            <w:szCs w:val="24"/>
            <w:lang w:val="es-AR"/>
          </w:rPr>
          <w:t>08”</w:t>
        </w:r>
      </w:smartTag>
      <w:r>
        <w:rPr>
          <w:rFonts w:ascii="Courier New" w:hAnsi="Courier New" w:cs="Courier New"/>
          <w:szCs w:val="24"/>
          <w:lang w:val="es-AR"/>
        </w:rPr>
        <w:t xml:space="preserve"> po</w:t>
      </w:r>
      <w:r>
        <w:rPr>
          <w:rFonts w:ascii="Courier New" w:hAnsi="Courier New" w:cs="Courier New"/>
          <w:szCs w:val="24"/>
          <w:lang w:val="es-AR"/>
        </w:rPr>
        <w:t>r</w:t>
      </w:r>
      <w:r>
        <w:rPr>
          <w:rFonts w:ascii="Courier New" w:hAnsi="Courier New" w:cs="Courier New"/>
          <w:szCs w:val="24"/>
          <w:lang w:val="es-AR"/>
        </w:rPr>
        <w:t>que los investigadores se los iban a pedir. En este sent</w:t>
      </w:r>
      <w:r>
        <w:rPr>
          <w:rFonts w:ascii="Courier New" w:hAnsi="Courier New" w:cs="Courier New"/>
          <w:szCs w:val="24"/>
          <w:lang w:val="es-AR"/>
        </w:rPr>
        <w:t>i</w:t>
      </w:r>
      <w:r>
        <w:rPr>
          <w:rFonts w:ascii="Courier New" w:hAnsi="Courier New" w:cs="Courier New"/>
          <w:szCs w:val="24"/>
          <w:lang w:val="es-AR"/>
        </w:rPr>
        <w:t>do, la querella se preguntó: ¿por qué los nombr</w:t>
      </w:r>
      <w:r>
        <w:rPr>
          <w:rFonts w:ascii="Courier New" w:hAnsi="Courier New" w:cs="Courier New"/>
          <w:szCs w:val="24"/>
          <w:lang w:val="es-AR"/>
        </w:rPr>
        <w:t>a</w:t>
      </w:r>
      <w:r>
        <w:rPr>
          <w:rFonts w:ascii="Courier New" w:hAnsi="Courier New" w:cs="Courier New"/>
          <w:szCs w:val="24"/>
          <w:lang w:val="es-AR"/>
        </w:rPr>
        <w:t>dos sabían que en poder de Ana estaban esos fo</w:t>
      </w:r>
      <w:r>
        <w:rPr>
          <w:rFonts w:ascii="Courier New" w:hAnsi="Courier New" w:cs="Courier New"/>
          <w:szCs w:val="24"/>
          <w:lang w:val="es-AR"/>
        </w:rPr>
        <w:t>r</w:t>
      </w:r>
      <w:r>
        <w:rPr>
          <w:rFonts w:ascii="Courier New" w:hAnsi="Courier New" w:cs="Courier New"/>
          <w:szCs w:val="24"/>
          <w:lang w:val="es-AR"/>
        </w:rPr>
        <w:t xml:space="preserve">mularios de </w:t>
      </w:r>
      <w:smartTag w:uri="urn:schemas-microsoft-com:office:smarttags" w:element="PersonName">
        <w:smartTagPr>
          <w:attr w:name="ProductID" w:val="la Trafic"/>
        </w:smartTagPr>
        <w:r>
          <w:rPr>
            <w:rFonts w:ascii="Courier New" w:hAnsi="Courier New" w:cs="Courier New"/>
            <w:szCs w:val="24"/>
            <w:lang w:val="es-AR"/>
          </w:rPr>
          <w:t>la Trafic</w:t>
        </w:r>
      </w:smartTag>
      <w:r>
        <w:rPr>
          <w:rFonts w:ascii="Courier New" w:hAnsi="Courier New" w:cs="Courier New"/>
          <w:szCs w:val="24"/>
          <w:lang w:val="es-AR"/>
        </w:rPr>
        <w:t xml:space="preserve"> y cómo sabían que éstos no habían sido entr</w:t>
      </w:r>
      <w:r>
        <w:rPr>
          <w:rFonts w:ascii="Courier New" w:hAnsi="Courier New" w:cs="Courier New"/>
          <w:szCs w:val="24"/>
          <w:lang w:val="es-AR"/>
        </w:rPr>
        <w:t>e</w:t>
      </w:r>
      <w:r>
        <w:rPr>
          <w:rFonts w:ascii="Courier New" w:hAnsi="Courier New" w:cs="Courier New"/>
          <w:szCs w:val="24"/>
          <w:lang w:val="es-AR"/>
        </w:rPr>
        <w:t>gados?</w:t>
      </w:r>
    </w:p>
    <w:p w:rsidR="00224567" w:rsidRDefault="00224567">
      <w:pPr>
        <w:widowControl w:val="0"/>
      </w:pPr>
      <w:r>
        <w:rPr>
          <w:b/>
        </w:rPr>
        <w:tab/>
      </w:r>
      <w:r>
        <w:t>Agregó que Ana Boragni fue llev</w:t>
      </w:r>
      <w:r>
        <w:t>a</w:t>
      </w:r>
      <w:r>
        <w:t>da al D.P.O.C. donde exhibió un boleto de comprave</w:t>
      </w:r>
      <w:r>
        <w:t>n</w:t>
      </w:r>
      <w:r>
        <w:t>ta que no se supo donde se co</w:t>
      </w:r>
      <w:r>
        <w:t>n</w:t>
      </w:r>
      <w:r>
        <w:t>feccionó, en el que constaba un nombre –Ramón Martínez-, un número de documento, correspo</w:t>
      </w:r>
      <w:r>
        <w:t>n</w:t>
      </w:r>
      <w:r>
        <w:t>diente a un extranjero y el domicilio –San José- del supuesto co</w:t>
      </w:r>
      <w:r>
        <w:t>m</w:t>
      </w:r>
      <w:r>
        <w:t>prador.</w:t>
      </w:r>
    </w:p>
    <w:p w:rsidR="00224567" w:rsidRDefault="00224567">
      <w:pPr>
        <w:widowControl w:val="0"/>
      </w:pPr>
      <w:r>
        <w:tab/>
        <w:t>Según la abogada, este documento es uno de los principales indicios que acreditan que Telle</w:t>
      </w:r>
      <w:r>
        <w:t>l</w:t>
      </w:r>
      <w:r>
        <w:t>dín preconstituyó prueba para desviar la investig</w:t>
      </w:r>
      <w:r>
        <w:t>a</w:t>
      </w:r>
      <w:r>
        <w:t>ción aún antes de ocurrir el atentado y d</w:t>
      </w:r>
      <w:r>
        <w:t>e</w:t>
      </w:r>
      <w:r>
        <w:t>muestra su mala fe en la entrega de la cami</w:t>
      </w:r>
      <w:r>
        <w:t>o</w:t>
      </w:r>
      <w:r>
        <w:t>neta.</w:t>
      </w:r>
    </w:p>
    <w:p w:rsidR="00224567" w:rsidRDefault="00224567">
      <w:pPr>
        <w:widowControl w:val="0"/>
      </w:pPr>
      <w:r>
        <w:tab/>
        <w:t>Sostuvo que Telleldín conversó con B</w:t>
      </w:r>
      <w:r>
        <w:t>a</w:t>
      </w:r>
      <w:r>
        <w:t>reiro una vez que, desde Posadas, decidió vo</w:t>
      </w:r>
      <w:r>
        <w:t>l</w:t>
      </w:r>
      <w:r>
        <w:t xml:space="preserve">ver a Buenos Aires para entregarse. Que en ese hecho tuvieron que ver Barreda y Gastón, nombre utilizado por el agente de </w:t>
      </w:r>
      <w:smartTag w:uri="urn:schemas-microsoft-com:office:smarttags" w:element="PersonName">
        <w:smartTagPr>
          <w:attr w:name="ProductID" w:val="la S.I"/>
        </w:smartTagPr>
        <w:r>
          <w:t>la S.I</w:t>
        </w:r>
      </w:smartTag>
      <w:r>
        <w:t>.D.E. que se encontraba en la casa de T</w:t>
      </w:r>
      <w:r>
        <w:t>e</w:t>
      </w:r>
      <w:r>
        <w:t xml:space="preserve">lleldín, quien </w:t>
      </w:r>
      <w:r>
        <w:lastRenderedPageBreak/>
        <w:t xml:space="preserve">le transmitió miedo para que se entregue, diciéndole que lo estaba buscando </w:t>
      </w:r>
      <w:smartTag w:uri="urn:schemas-microsoft-com:office:smarttags" w:element="PersonName">
        <w:smartTagPr>
          <w:attr w:name="ProductID" w:val="la Mossad"/>
        </w:smartTagPr>
        <w:r>
          <w:t>la Mo</w:t>
        </w:r>
        <w:r>
          <w:t>s</w:t>
        </w:r>
        <w:r>
          <w:t>sad</w:t>
        </w:r>
      </w:smartTag>
      <w:r>
        <w:t xml:space="preserve"> y que su vida corría peligro si no lo hacía. Que en ese contexto, Telleldín sacó un b</w:t>
      </w:r>
      <w:r>
        <w:t>o</w:t>
      </w:r>
      <w:r>
        <w:t>leto para viajar a nombre de Hugo Pérez, aunque embarcó como Te</w:t>
      </w:r>
      <w:r>
        <w:t>c</w:t>
      </w:r>
      <w:r>
        <w:t>cedín y llamó a su casa cuando se encontraba en el aeroparque metropolit</w:t>
      </w:r>
      <w:r>
        <w:t>a</w:t>
      </w:r>
      <w:r>
        <w:t>no.</w:t>
      </w:r>
    </w:p>
    <w:p w:rsidR="00224567" w:rsidRDefault="00224567">
      <w:pPr>
        <w:widowControl w:val="0"/>
      </w:pPr>
      <w:r>
        <w:tab/>
        <w:t>Relató que en el aeroparque se susc</w:t>
      </w:r>
      <w:r>
        <w:t>i</w:t>
      </w:r>
      <w:r>
        <w:t xml:space="preserve">taron los primeros encontronazos entre </w:t>
      </w:r>
      <w:smartTag w:uri="urn:schemas-microsoft-com:office:smarttags" w:element="PersonName">
        <w:smartTagPr>
          <w:attr w:name="ProductID" w:val="la Polic￭a Federal"/>
        </w:smartTagPr>
        <w:r>
          <w:t>la Policía Fed</w:t>
        </w:r>
        <w:r>
          <w:t>e</w:t>
        </w:r>
        <w:r>
          <w:t>ral</w:t>
        </w:r>
      </w:smartTag>
      <w:r>
        <w:t xml:space="preserve"> y </w:t>
      </w:r>
      <w:smartTag w:uri="urn:schemas-microsoft-com:office:smarttags" w:element="PersonName">
        <w:smartTagPr>
          <w:attr w:name="ProductID" w:val="la S.I"/>
        </w:smartTagPr>
        <w:r>
          <w:t>la S.I</w:t>
        </w:r>
      </w:smartTag>
      <w:r>
        <w:t>.D.E. y que en esos ajetreos desaparecieron alg</w:t>
      </w:r>
      <w:r>
        <w:t>u</w:t>
      </w:r>
      <w:r>
        <w:t>nos efectos de Telleldín.</w:t>
      </w:r>
    </w:p>
    <w:p w:rsidR="00224567" w:rsidRDefault="00224567">
      <w:pPr>
        <w:widowControl w:val="0"/>
      </w:pPr>
      <w:r>
        <w:tab/>
        <w:t>La letrada manifestó que la op</w:t>
      </w:r>
      <w:r>
        <w:t>e</w:t>
      </w:r>
      <w:r>
        <w:t xml:space="preserve">ración con la camioneta Trafic, contada por Ana y Telleldín como una venta a un extranjero que pagó 11.900 dólares, fue el primer intento para pasar como vendedores de buena fe de </w:t>
      </w:r>
      <w:smartTag w:uri="urn:schemas-microsoft-com:office:smarttags" w:element="PersonName">
        <w:smartTagPr>
          <w:attr w:name="ProductID" w:val="la Trafic"/>
        </w:smartTagPr>
        <w:r>
          <w:t>la Trafic</w:t>
        </w:r>
      </w:smartTag>
      <w:r>
        <w:t>, a la vez que puso en evidencia que Ana tenía muy en claro el rol que le correspondía en esta novela.</w:t>
      </w:r>
    </w:p>
    <w:p w:rsidR="00224567" w:rsidRDefault="00224567">
      <w:pPr>
        <w:widowControl w:val="0"/>
      </w:pPr>
      <w:r>
        <w:tab/>
        <w:t>Seguidamente la representante de la querella hizo una breve reseña sobre el armado de la c</w:t>
      </w:r>
      <w:r>
        <w:t>a</w:t>
      </w:r>
      <w:r>
        <w:t>mioneta, recurriendo para ello a los dichos de quienes e</w:t>
      </w:r>
      <w:r>
        <w:t>s</w:t>
      </w:r>
      <w:r>
        <w:t>tuvieron involucrados en dicha labor.</w:t>
      </w:r>
    </w:p>
    <w:p w:rsidR="00224567" w:rsidRDefault="00224567">
      <w:pPr>
        <w:widowControl w:val="0"/>
      </w:pPr>
      <w:r>
        <w:lastRenderedPageBreak/>
        <w:tab/>
        <w:t>Así, indicó que Telleldín contó como, supuest</w:t>
      </w:r>
      <w:r>
        <w:t>a</w:t>
      </w:r>
      <w:r>
        <w:t xml:space="preserve">mente, armó </w:t>
      </w:r>
      <w:smartTag w:uri="urn:schemas-microsoft-com:office:smarttags" w:element="PersonName">
        <w:smartTagPr>
          <w:attr w:name="ProductID" w:val="la Trafic"/>
        </w:smartTagPr>
        <w:r>
          <w:t>la Trafic</w:t>
        </w:r>
      </w:smartTag>
      <w:r>
        <w:t xml:space="preserve"> y sus vínculos con Monjo, a quien le compraba autos siniestrados, papeles y mot</w:t>
      </w:r>
      <w:r>
        <w:t>o</w:t>
      </w:r>
      <w:r>
        <w:t xml:space="preserve">res de rodados, cambiando carrocerías por otras de procedencia ilícitas. Respecto de </w:t>
      </w:r>
      <w:smartTag w:uri="urn:schemas-microsoft-com:office:smarttags" w:element="PersonName">
        <w:smartTagPr>
          <w:attr w:name="ProductID" w:val="la Trafic"/>
        </w:smartTagPr>
        <w:r>
          <w:t>la Trafic</w:t>
        </w:r>
      </w:smartTag>
      <w:r>
        <w:t>, el imputado dijo que la compró quemada, la llevó a lo de Cotoras donde le sacaron el motor; luego lo cargaron en el baúl del Escort de Ana hasta su casa y según sus dichos, en presencia de Hugo P</w:t>
      </w:r>
      <w:r>
        <w:t>é</w:t>
      </w:r>
      <w:r>
        <w:t>rez; que al día siguiente fue transportado al taller de Nitzcaner y allí le completaron los repuestos para armar la camioneta con una carrocería que había sido obtenida por “Miguel” a través de Fernández, que supuestamente le había sido robada al disc-jockey Sarapura el fin de semana anterior. Señaló que Telleldín dijo que ayudado por Ja</w:t>
      </w:r>
      <w:r>
        <w:t>i</w:t>
      </w:r>
      <w:r>
        <w:t>mes le llevó esa carrocería a Nitzcaner y le pusieron el bl</w:t>
      </w:r>
      <w:r>
        <w:t>o</w:t>
      </w:r>
      <w:r>
        <w:t>que de motor quemado. Que el bloque de la camioneta de S</w:t>
      </w:r>
      <w:r>
        <w:t>a</w:t>
      </w:r>
      <w:r>
        <w:t>rapura se destruyó; la de “Messin” tenía elásticos refo</w:t>
      </w:r>
      <w:r>
        <w:t>r</w:t>
      </w:r>
      <w:r>
        <w:t>zados porque poseía gas, tenía puerta lateral, era m</w:t>
      </w:r>
      <w:r>
        <w:t>o</w:t>
      </w:r>
      <w:r>
        <w:t>delo 1989, pero no fue esa la que reparó sino la de Sarapura. Que ésta era corta, sin puerta lat</w:t>
      </w:r>
      <w:r>
        <w:t>e</w:t>
      </w:r>
      <w:r>
        <w:t>ral, modelo 1991 y con el motor quemado. Según T</w:t>
      </w:r>
      <w:r>
        <w:t>e</w:t>
      </w:r>
      <w:r>
        <w:t xml:space="preserve">lleldín la camioneta de Sarapura </w:t>
      </w:r>
      <w:r>
        <w:lastRenderedPageBreak/>
        <w:t xml:space="preserve">con el motor de la de “Messin” fue la que explotó en </w:t>
      </w:r>
      <w:smartTag w:uri="urn:schemas-microsoft-com:office:smarttags" w:element="PersonName">
        <w:smartTagPr>
          <w:attr w:name="ProductID" w:val="la A.M"/>
        </w:smartTagPr>
        <w:r>
          <w:t>la A.M</w:t>
        </w:r>
      </w:smartTag>
      <w:r>
        <w:t>.I.A.; extremo que, concluyó la abogada, el nombrado quiso hacer creer.</w:t>
      </w:r>
    </w:p>
    <w:p w:rsidR="00224567" w:rsidRDefault="00224567">
      <w:pPr>
        <w:widowControl w:val="0"/>
      </w:pPr>
      <w:r>
        <w:tab/>
        <w:t>Señaló que, por su parte, Ariel Nit</w:t>
      </w:r>
      <w:r>
        <w:t>z</w:t>
      </w:r>
      <w:r>
        <w:t>caner dijo que T</w:t>
      </w:r>
      <w:r>
        <w:t>e</w:t>
      </w:r>
      <w:r>
        <w:t>lleldín llevó una Trafic con detalles de carrocería en el techo y los laterales, para ca</w:t>
      </w:r>
      <w:r>
        <w:t>m</w:t>
      </w:r>
      <w:r>
        <w:t>biarle el motor y disfrazarla para la venta. Que Jouce lo ayudó a sustituir ese motor que estaba oxidado y clavado, pero t</w:t>
      </w:r>
      <w:r>
        <w:t>o</w:t>
      </w:r>
      <w:r>
        <w:t>talmente recuperable. Que el motor se lo había llevado H</w:t>
      </w:r>
      <w:r>
        <w:t>u</w:t>
      </w:r>
      <w:r>
        <w:t>go Pérez y no estaba instalado en un vehículo de gas ni estaba quem</w:t>
      </w:r>
      <w:r>
        <w:t>a</w:t>
      </w:r>
      <w:r>
        <w:t>do, porque la bomba de nafta y otras partes de aleación liviana se encontraban en buen estado. Que ta</w:t>
      </w:r>
      <w:r>
        <w:t>m</w:t>
      </w:r>
      <w:r>
        <w:t>bién relató que no colocó el motor quemado en la carroc</w:t>
      </w:r>
      <w:r>
        <w:t>e</w:t>
      </w:r>
      <w:r>
        <w:t>ría de Sarapura y posteriormente contó que Telleldín le ofreció a él y a Jouce un automóvil Renault 12 para que dijeran que la que repararon fue la cami</w:t>
      </w:r>
      <w:r>
        <w:t>o</w:t>
      </w:r>
      <w:r>
        <w:t>neta quemada.</w:t>
      </w:r>
    </w:p>
    <w:p w:rsidR="00224567" w:rsidRDefault="00224567">
      <w:pPr>
        <w:widowControl w:val="0"/>
      </w:pPr>
      <w:r>
        <w:tab/>
        <w:t>Sostuvo que los peritos mecánicos que declararon en la audiencia dijeron que las diferencias e</w:t>
      </w:r>
      <w:r>
        <w:t>n</w:t>
      </w:r>
      <w:r>
        <w:t>tre un motor quemado y un motor oxidado son absolut</w:t>
      </w:r>
      <w:r>
        <w:t>a</w:t>
      </w:r>
      <w:r>
        <w:t>mente fáciles de percibir; que un motor dejado a la inte</w:t>
      </w:r>
      <w:r>
        <w:t>m</w:t>
      </w:r>
      <w:r>
        <w:t xml:space="preserve">perie, </w:t>
      </w:r>
      <w:r>
        <w:lastRenderedPageBreak/>
        <w:t>al que le puede faltar grasa y estar oxidado, tiene un a</w:t>
      </w:r>
      <w:r>
        <w:t>s</w:t>
      </w:r>
      <w:r>
        <w:t>pecto totalmente dif</w:t>
      </w:r>
      <w:r>
        <w:t>e</w:t>
      </w:r>
      <w:r>
        <w:t>rente que aquél que fuera sometido a las temperaturas sostenidas de un incendio; también rel</w:t>
      </w:r>
      <w:r>
        <w:t>a</w:t>
      </w:r>
      <w:r>
        <w:t>taron que aunque hubiese sido lavado en potasa hubiera m</w:t>
      </w:r>
      <w:r>
        <w:t>e</w:t>
      </w:r>
      <w:r>
        <w:t>jorado su aspecto exterior pero de ninguna manera se h</w:t>
      </w:r>
      <w:r>
        <w:t>u</w:t>
      </w:r>
      <w:r>
        <w:t>biera dejado de percibir que era un motor quemado y cua</w:t>
      </w:r>
      <w:r>
        <w:t>l</w:t>
      </w:r>
      <w:r>
        <w:t>quier mecánico lo hubiera not</w:t>
      </w:r>
      <w:r>
        <w:t>a</w:t>
      </w:r>
      <w:r>
        <w:t>do.</w:t>
      </w:r>
    </w:p>
    <w:p w:rsidR="00224567" w:rsidRDefault="00224567">
      <w:pPr>
        <w:widowControl w:val="0"/>
      </w:pPr>
      <w:r>
        <w:tab/>
        <w:t>Subrayó que Telleldín insistió ta</w:t>
      </w:r>
      <w:r>
        <w:t>m</w:t>
      </w:r>
      <w:r>
        <w:t>bién en que el motor de Sarapura se evaporó; s</w:t>
      </w:r>
      <w:r>
        <w:t>e</w:t>
      </w:r>
      <w:r>
        <w:t>gún Nitzcaner se lo llevó Telleldín, pero lo cierto es que no apareció ni el motor ni la carrocería de esa Trafic, por lo que la l</w:t>
      </w:r>
      <w:r>
        <w:t>e</w:t>
      </w:r>
      <w:r>
        <w:t>trada querellante concluyó que Telleldín todavía oculta dónde están tales evidencias.</w:t>
      </w:r>
    </w:p>
    <w:p w:rsidR="00224567" w:rsidRDefault="00224567">
      <w:pPr>
        <w:widowControl w:val="0"/>
      </w:pPr>
      <w:r>
        <w:tab/>
        <w:t>Reseñó que Jouce explicó que Telle</w:t>
      </w:r>
      <w:r>
        <w:t>l</w:t>
      </w:r>
      <w:r>
        <w:t>dín llevó al taller una Trafic, sin puerta lat</w:t>
      </w:r>
      <w:r>
        <w:t>e</w:t>
      </w:r>
      <w:r>
        <w:t>ral, que en los costados tenía pintado un logo que pidió que se borrara; dicho motor se lo llevó Telleldín, quien, dos días de</w:t>
      </w:r>
      <w:r>
        <w:t>s</w:t>
      </w:r>
      <w:r>
        <w:t>pués, junto con Hugo Pérez, trajo otro. Jouce admitió h</w:t>
      </w:r>
      <w:r>
        <w:t>a</w:t>
      </w:r>
      <w:r>
        <w:t>ber ayudado a cambiar el motor, indicando que el que llevó Telleldín no era el de “Messin” por cuanto no estaba qu</w:t>
      </w:r>
      <w:r>
        <w:t>e</w:t>
      </w:r>
      <w:r>
        <w:t>mado pero sí estaba clavado.</w:t>
      </w:r>
    </w:p>
    <w:p w:rsidR="00224567" w:rsidRDefault="00224567">
      <w:pPr>
        <w:widowControl w:val="0"/>
      </w:pPr>
      <w:r>
        <w:lastRenderedPageBreak/>
        <w:tab/>
      </w:r>
      <w:smartTag w:uri="urn:schemas-microsoft-com:office:smarttags" w:element="PersonName">
        <w:smartTagPr>
          <w:attr w:name="ProductID" w:val="La Dra. Nercellas"/>
        </w:smartTagPr>
        <w:r>
          <w:t>La Dra. Nercellas</w:t>
        </w:r>
      </w:smartTag>
      <w:r>
        <w:t xml:space="preserve"> sostuvo que ese m</w:t>
      </w:r>
      <w:r>
        <w:t>o</w:t>
      </w:r>
      <w:r>
        <w:t>tor y la carrocería de Sarapura, sobre la que se montó aquél, nunca fueron hallados.</w:t>
      </w:r>
    </w:p>
    <w:p w:rsidR="00224567" w:rsidRDefault="00224567">
      <w:pPr>
        <w:widowControl w:val="0"/>
      </w:pPr>
      <w:r>
        <w:tab/>
        <w:t>Señaló que Jouce agregó que T</w:t>
      </w:r>
      <w:r>
        <w:t>e</w:t>
      </w:r>
      <w:r>
        <w:t>lleldín le había dicho que dijera que la camioneta que había ll</w:t>
      </w:r>
      <w:r>
        <w:t>e</w:t>
      </w:r>
      <w:r>
        <w:t>vado estaba quemada, que Hugo Pérez –“el cordobés”– era la mano derecha de aquél y que a veces, a su ped</w:t>
      </w:r>
      <w:r>
        <w:t>i</w:t>
      </w:r>
      <w:r>
        <w:t>do, compraba automóviles a su nombre por un tema imp</w:t>
      </w:r>
      <w:r>
        <w:t>o</w:t>
      </w:r>
      <w:r>
        <w:t>sitivo.</w:t>
      </w:r>
    </w:p>
    <w:p w:rsidR="00224567" w:rsidRDefault="00224567">
      <w:pPr>
        <w:widowControl w:val="0"/>
      </w:pPr>
      <w:r>
        <w:tab/>
        <w:t>Seguidamente, la letrada recordó que, según Pérez, Telleldín había adquirido una Trafic sinie</w:t>
      </w:r>
      <w:r>
        <w:t>s</w:t>
      </w:r>
      <w:r>
        <w:t>trada en “Alejandro Automotores” diez u once días antes del atentado, la que vio en la pue</w:t>
      </w:r>
      <w:r>
        <w:t>r</w:t>
      </w:r>
      <w:r>
        <w:t>ta de su casa y que si bien tenía la pintura un poco desprolija, e</w:t>
      </w:r>
      <w:r>
        <w:t>s</w:t>
      </w:r>
      <w:r>
        <w:t>taba reparada; circun</w:t>
      </w:r>
      <w:r>
        <w:t>s</w:t>
      </w:r>
      <w:r>
        <w:t>tancia que la llevó a concluir que la camioneta en cuestión no había sido preparada para la venta.</w:t>
      </w:r>
    </w:p>
    <w:p w:rsidR="00224567" w:rsidRDefault="00224567">
      <w:pPr>
        <w:widowControl w:val="0"/>
      </w:pPr>
      <w:r>
        <w:tab/>
        <w:t xml:space="preserve">Sostuvo que por los dichos de Pérez, Pablo de </w:t>
      </w:r>
      <w:smartTag w:uri="urn:schemas-microsoft-com:office:smarttags" w:element="PersonName">
        <w:smartTagPr>
          <w:attr w:name="ProductID" w:val="La Cruz Ar￩valo"/>
        </w:smartTagPr>
        <w:r>
          <w:t>la Cruz Arévalo</w:t>
        </w:r>
      </w:smartTag>
      <w:r>
        <w:t xml:space="preserve"> y de los concurrentes al taller de Nitzcaner, no era posible sost</w:t>
      </w:r>
      <w:r>
        <w:t>e</w:t>
      </w:r>
      <w:r>
        <w:t>ner que el motor que se colocó en lo de este último estuviera quemado como el de “Messin”.</w:t>
      </w:r>
    </w:p>
    <w:p w:rsidR="00224567" w:rsidRDefault="00224567">
      <w:pPr>
        <w:widowControl w:val="0"/>
      </w:pPr>
      <w:r>
        <w:lastRenderedPageBreak/>
        <w:tab/>
        <w:t xml:space="preserve">En síntesis, la abogada afirmó que la camioneta que explotó en </w:t>
      </w:r>
      <w:smartTag w:uri="urn:schemas-microsoft-com:office:smarttags" w:element="PersonName">
        <w:smartTagPr>
          <w:attr w:name="ProductID" w:val="la A.M"/>
        </w:smartTagPr>
        <w:r>
          <w:t>la A.M</w:t>
        </w:r>
      </w:smartTag>
      <w:r>
        <w:t>.I.A. tenía una carroc</w:t>
      </w:r>
      <w:r>
        <w:t>e</w:t>
      </w:r>
      <w:r>
        <w:t>ría de color blanco chapelco, modelo 1987/1989, con puerta l</w:t>
      </w:r>
      <w:r>
        <w:t>a</w:t>
      </w:r>
      <w:r>
        <w:t>teral derecha, de acuerdo a la pieza “U” e</w:t>
      </w:r>
      <w:r>
        <w:t>n</w:t>
      </w:r>
      <w:r>
        <w:t>contrada entre las ruinas, presum</w:t>
      </w:r>
      <w:r>
        <w:t>i</w:t>
      </w:r>
      <w:r>
        <w:t>blemente corta, con elásticos traseros reforzados porque entre los escombros se e</w:t>
      </w:r>
      <w:r>
        <w:t>n</w:t>
      </w:r>
      <w:r>
        <w:t>contró uno con nueve láminas, es decir, que se había reforzado para que la camioneta no sólo pudiera transportar más peso sino p</w:t>
      </w:r>
      <w:r>
        <w:t>a</w:t>
      </w:r>
      <w:r>
        <w:t xml:space="preserve">ra que no pareciera baja cuando circulaba hasta la calle Pasteur, evitando así cualquier tipo de control y que el motor encontrado en </w:t>
      </w:r>
      <w:smartTag w:uri="urn:schemas-microsoft-com:office:smarttags" w:element="PersonName">
        <w:smartTagPr>
          <w:attr w:name="ProductID" w:val="la A.M"/>
        </w:smartTagPr>
        <w:r>
          <w:t>la A.M</w:t>
        </w:r>
      </w:smartTag>
      <w:r>
        <w:t>.I.A. era naftero, de 1400 cm3. Por ende, Telleldín mintió cuando se refirió a la camion</w:t>
      </w:r>
      <w:r>
        <w:t>e</w:t>
      </w:r>
      <w:r>
        <w:t>ta que armó, cómo la armó y quién la armó, om</w:t>
      </w:r>
      <w:r>
        <w:t>i</w:t>
      </w:r>
      <w:r>
        <w:t>tiendo decir cuál fue la que explotó.</w:t>
      </w:r>
    </w:p>
    <w:p w:rsidR="00224567" w:rsidRDefault="00224567">
      <w:pPr>
        <w:widowControl w:val="0"/>
      </w:pPr>
      <w:r>
        <w:tab/>
        <w:t>La letrada relató que el primer mié</w:t>
      </w:r>
      <w:r>
        <w:t>r</w:t>
      </w:r>
      <w:r>
        <w:t>coles de</w:t>
      </w:r>
      <w:r>
        <w:t>s</w:t>
      </w:r>
      <w:r>
        <w:t>pués del atentado Telleldín comenzó a preparar su coartada, intentando ponerse en la po</w:t>
      </w:r>
      <w:r>
        <w:t>s</w:t>
      </w:r>
      <w:r>
        <w:t xml:space="preserve">tura de un vendedor de buena fe, para la cual confeccionó el boleto de </w:t>
      </w:r>
      <w:smartTag w:uri="urn:schemas-microsoft-com:office:smarttags" w:element="PersonName">
        <w:smartTagPr>
          <w:attr w:name="ProductID" w:val="la Trafic"/>
        </w:smartTagPr>
        <w:r>
          <w:t>la Tr</w:t>
        </w:r>
        <w:r>
          <w:t>a</w:t>
        </w:r>
        <w:r>
          <w:t>fic</w:t>
        </w:r>
      </w:smartTag>
      <w:r>
        <w:t>, llevándolo en compañía de Hugo Pérez a la calle San José; simultáneamente, Ana publicó un aviso clasificado poniendo en venta una Trafic modelo 1990, en excelente e</w:t>
      </w:r>
      <w:r>
        <w:t>s</w:t>
      </w:r>
      <w:r>
        <w:lastRenderedPageBreak/>
        <w:t>tado, a 12.900 pesos, consignando el teléfono de Telle</w:t>
      </w:r>
      <w:r>
        <w:t>l</w:t>
      </w:r>
      <w:r>
        <w:t>dín, de tal forma que quien quisiera comprarla debía ll</w:t>
      </w:r>
      <w:r>
        <w:t>a</w:t>
      </w:r>
      <w:r>
        <w:t>mar previamente para conocer la dire</w:t>
      </w:r>
      <w:r>
        <w:t>c</w:t>
      </w:r>
      <w:r>
        <w:t>ción.</w:t>
      </w:r>
    </w:p>
    <w:p w:rsidR="00224567" w:rsidRDefault="00224567">
      <w:pPr>
        <w:widowControl w:val="0"/>
      </w:pPr>
      <w:r>
        <w:tab/>
        <w:t>A partir del cotejo del listado de llamados telefónicos, en los que no figuran los refer</w:t>
      </w:r>
      <w:r>
        <w:t>i</w:t>
      </w:r>
      <w:r>
        <w:t>dos por Telleldín ni los de los coreanos, como tampoco lo oc</w:t>
      </w:r>
      <w:r>
        <w:t>u</w:t>
      </w:r>
      <w:r>
        <w:t>rrido ese día sábado y domingo con relación a dicho av</w:t>
      </w:r>
      <w:r>
        <w:t>i</w:t>
      </w:r>
      <w:r>
        <w:t xml:space="preserve">so, la letrada concluyó que era evidente que quien se llevó </w:t>
      </w:r>
      <w:smartTag w:uri="urn:schemas-microsoft-com:office:smarttags" w:element="PersonName">
        <w:smartTagPr>
          <w:attr w:name="ProductID" w:val="la Trafic"/>
        </w:smartTagPr>
        <w:r>
          <w:t>la Trafic</w:t>
        </w:r>
      </w:smartTag>
      <w:r>
        <w:t xml:space="preserve"> conocía el d</w:t>
      </w:r>
      <w:r>
        <w:t>o</w:t>
      </w:r>
      <w:r>
        <w:t>micilio de aquél.</w:t>
      </w:r>
    </w:p>
    <w:p w:rsidR="00224567" w:rsidRDefault="00224567">
      <w:pPr>
        <w:widowControl w:val="0"/>
      </w:pPr>
      <w:r>
        <w:tab/>
        <w:t>Reseñó que cuando se comenzó a inve</w:t>
      </w:r>
      <w:r>
        <w:t>s</w:t>
      </w:r>
      <w:r>
        <w:t>tigar el entorno de Telleldín aparecieron en escena Nit</w:t>
      </w:r>
      <w:r>
        <w:t>z</w:t>
      </w:r>
      <w:r>
        <w:t>caner, Jouce y Cotoras, entre otros, como también un e</w:t>
      </w:r>
      <w:r>
        <w:t>x</w:t>
      </w:r>
      <w:r>
        <w:t xml:space="preserve">traño vínculo con </w:t>
      </w:r>
      <w:smartTag w:uri="urn:schemas-microsoft-com:office:smarttags" w:element="PersonName">
        <w:smartTagPr>
          <w:attr w:name="ProductID" w:val="la Polic￭a Bonaerense"/>
        </w:smartTagPr>
        <w:r>
          <w:t>la Policía Bonaere</w:t>
        </w:r>
        <w:r>
          <w:t>n</w:t>
        </w:r>
        <w:r>
          <w:t>se</w:t>
        </w:r>
      </w:smartTag>
      <w:r>
        <w:t>, de la que si bien no era socio al menos celebraba con sus efectivos contr</w:t>
      </w:r>
      <w:r>
        <w:t>a</w:t>
      </w:r>
      <w:r>
        <w:t>tos con objetos ilícitos que llevaban a desencuentros y peleas.</w:t>
      </w:r>
    </w:p>
    <w:p w:rsidR="00224567" w:rsidRDefault="00224567">
      <w:pPr>
        <w:widowControl w:val="0"/>
      </w:pPr>
      <w:r>
        <w:tab/>
        <w:t>Señaló que en ese momento fue deten</w:t>
      </w:r>
      <w:r>
        <w:t>i</w:t>
      </w:r>
      <w:r>
        <w:t>do Ramón Solari por un hecho absolutamente ajeno a esta i</w:t>
      </w:r>
      <w:r>
        <w:t>n</w:t>
      </w:r>
      <w:r>
        <w:t xml:space="preserve">vestigación, quien si bien fue apresado por </w:t>
      </w:r>
      <w:smartTag w:uri="urn:schemas-microsoft-com:office:smarttags" w:element="PersonName">
        <w:smartTagPr>
          <w:attr w:name="ProductID" w:val="la Brigada"/>
        </w:smartTagPr>
        <w:r>
          <w:t>la Brig</w:t>
        </w:r>
        <w:r>
          <w:t>a</w:t>
        </w:r>
        <w:r>
          <w:t>da</w:t>
        </w:r>
      </w:smartTag>
      <w:r>
        <w:t xml:space="preserve"> de Tigre, lo alojaron en las celdas de la de Vicente López </w:t>
      </w:r>
      <w:r>
        <w:lastRenderedPageBreak/>
        <w:t>por cuanto contaban con mayor segur</w:t>
      </w:r>
      <w:r>
        <w:t>i</w:t>
      </w:r>
      <w:r>
        <w:t>dad.</w:t>
      </w:r>
    </w:p>
    <w:p w:rsidR="00224567" w:rsidRDefault="00224567">
      <w:pPr>
        <w:widowControl w:val="0"/>
      </w:pPr>
      <w:r>
        <w:tab/>
        <w:t>La letrada relató que los efectivos policiales aludieron a un Solari con una conducta rayana en la locura: autolesiones y gritos con destrozos dentro de la brigada; circunstancias que nunca fueron puestas en conocimiento del juez a cuya dispos</w:t>
      </w:r>
      <w:r>
        <w:t>i</w:t>
      </w:r>
      <w:r>
        <w:t>ción se encontraba ni del Dr. Galeano.</w:t>
      </w:r>
    </w:p>
    <w:p w:rsidR="00224567" w:rsidRDefault="00224567">
      <w:pPr>
        <w:widowControl w:val="0"/>
      </w:pPr>
      <w:r>
        <w:tab/>
        <w:t>Indicó que los intentos de Solari en procura de cambiar su lugar de alojamiento ces</w:t>
      </w:r>
      <w:r>
        <w:t>a</w:t>
      </w:r>
      <w:r>
        <w:t>ron cuando éste dirigió una carta al embajador de Israel, en la que le manifestó conocer pormenores del atentado; misiva que canalizó a través de Vall</w:t>
      </w:r>
      <w:r>
        <w:t>e</w:t>
      </w:r>
      <w:r>
        <w:t xml:space="preserve">jos –imaginaria de </w:t>
      </w:r>
      <w:smartTag w:uri="urn:schemas-microsoft-com:office:smarttags" w:element="PersonName">
        <w:smartTagPr>
          <w:attr w:name="ProductID" w:val="la Brigada"/>
        </w:smartTagPr>
        <w:r>
          <w:t>la Brigada</w:t>
        </w:r>
      </w:smartTag>
      <w:r>
        <w:t xml:space="preserve"> de Tigre- quien, incumpliendo las reglamentaciones, no not</w:t>
      </w:r>
      <w:r>
        <w:t>i</w:t>
      </w:r>
      <w:r>
        <w:t xml:space="preserve">ficó a las autoridades de </w:t>
      </w:r>
      <w:smartTag w:uri="urn:schemas-microsoft-com:office:smarttags" w:element="PersonName">
        <w:smartTagPr>
          <w:attr w:name="ProductID" w:val="la Brigada"/>
        </w:smartTagPr>
        <w:r>
          <w:t>la Brigada</w:t>
        </w:r>
      </w:smartTag>
      <w:r>
        <w:t xml:space="preserve"> de Vicente López, llegando finalmente a manos del Dr. Galeano.</w:t>
      </w:r>
    </w:p>
    <w:p w:rsidR="00224567" w:rsidRDefault="00224567">
      <w:pPr>
        <w:widowControl w:val="0"/>
      </w:pPr>
      <w:r>
        <w:tab/>
        <w:t>La abogada recordó que Solari, al d</w:t>
      </w:r>
      <w:r>
        <w:t>e</w:t>
      </w:r>
      <w:r>
        <w:t>clarar en el juzgado, prácticamente se hizo cargo del atentado, mintió respecto de algunas cosas y dijo alg</w:t>
      </w:r>
      <w:r>
        <w:t>u</w:t>
      </w:r>
      <w:r>
        <w:t>nas verdades, siendo gravemente sugestiva la mención de la e</w:t>
      </w:r>
      <w:r>
        <w:t>s</w:t>
      </w:r>
      <w:r>
        <w:t xml:space="preserve">cribana Clelia Benincasa y la aparición de Vicky Morri, quien, según las versiones de Boragni Y Telleldín, le </w:t>
      </w:r>
      <w:r>
        <w:lastRenderedPageBreak/>
        <w:t>anunció a este último que un preso se iba hacer cargo del atentado.</w:t>
      </w:r>
    </w:p>
    <w:p w:rsidR="00224567" w:rsidRDefault="00224567">
      <w:pPr>
        <w:widowControl w:val="0"/>
      </w:pPr>
      <w:r>
        <w:tab/>
        <w:t>La letrada concluyó preguntándose si este desvío en la investigación fue producto de su imag</w:t>
      </w:r>
      <w:r>
        <w:t>i</w:t>
      </w:r>
      <w:r>
        <w:t>nación o respondió a un plan concertado para desvi</w:t>
      </w:r>
      <w:r>
        <w:t>n</w:t>
      </w:r>
      <w:r>
        <w:t>cular a los efectivos policiales involucr</w:t>
      </w:r>
      <w:r>
        <w:t>a</w:t>
      </w:r>
      <w:r>
        <w:t>dos.</w:t>
      </w:r>
    </w:p>
    <w:p w:rsidR="00224567" w:rsidRDefault="00224567">
      <w:pPr>
        <w:widowControl w:val="0"/>
      </w:pPr>
      <w:r>
        <w:tab/>
        <w:t xml:space="preserve">Señaló que Solari sostuvo ante </w:t>
      </w:r>
      <w:smartTag w:uri="urn:schemas-microsoft-com:office:smarttags" w:element="PersonName">
        <w:smartTagPr>
          <w:attr w:name="ProductID" w:val="la Comisi￳n Bicameral"/>
        </w:smartTagPr>
        <w:r>
          <w:t>la C</w:t>
        </w:r>
        <w:r>
          <w:t>o</w:t>
        </w:r>
        <w:r>
          <w:t>misión Bicameral</w:t>
        </w:r>
      </w:smartTag>
      <w:r>
        <w:t xml:space="preserve"> que Ribelli le había prometido 100.000 pesos y la libertad si se hacía cargo de la compra de la camioneta Trafic; es más, admitió que si en ese m</w:t>
      </w:r>
      <w:r>
        <w:t>o</w:t>
      </w:r>
      <w:r>
        <w:t>mento le decían que tenía que matar a Galeano no hubiera vacilado en hacerlo, demostrándose con ello sus pocos límites mor</w:t>
      </w:r>
      <w:r>
        <w:t>a</w:t>
      </w:r>
      <w:r>
        <w:t>les. Frente a los legisladores recon</w:t>
      </w:r>
      <w:r>
        <w:t>o</w:t>
      </w:r>
      <w:r>
        <w:t>ció que declaró en la forma en que lo hizo por pedido de Ribelli y Bareiro, para obt</w:t>
      </w:r>
      <w:r>
        <w:t>e</w:t>
      </w:r>
      <w:r>
        <w:t>ner su libertad.</w:t>
      </w:r>
    </w:p>
    <w:p w:rsidR="00224567" w:rsidRDefault="00224567">
      <w:pPr>
        <w:widowControl w:val="0"/>
      </w:pPr>
      <w:r>
        <w:tab/>
        <w:t>Consideró que otra aparición extraña en esta investigación fue Vergéz, quien conocía a Telle</w:t>
      </w:r>
      <w:r>
        <w:t>l</w:t>
      </w:r>
      <w:r>
        <w:t>dín a través de su padre. Según la letrada el nombrado arribó a la causa por Eduardo Telleldín, presentándose c</w:t>
      </w:r>
      <w:r>
        <w:t>o</w:t>
      </w:r>
      <w:r>
        <w:t xml:space="preserve">mo pariente, haciendo de nexo entre Ana Boragni, Carlos </w:t>
      </w:r>
      <w:r>
        <w:lastRenderedPageBreak/>
        <w:t>Telleldín y el juzg</w:t>
      </w:r>
      <w:r>
        <w:t>a</w:t>
      </w:r>
      <w:r>
        <w:t>do.</w:t>
      </w:r>
    </w:p>
    <w:p w:rsidR="00224567" w:rsidRDefault="00224567">
      <w:pPr>
        <w:widowControl w:val="0"/>
      </w:pPr>
      <w:r>
        <w:tab/>
        <w:t>Recordó que dicho personaje insistió para que Ana Boragni y Telleldín, por un millón de dól</w:t>
      </w:r>
      <w:r>
        <w:t>a</w:t>
      </w:r>
      <w:r>
        <w:t>res, reconocieran c</w:t>
      </w:r>
      <w:r>
        <w:t>o</w:t>
      </w:r>
      <w:r>
        <w:t>mo compradores de la camioneta a unos libaneses; ofrecimiento que rechazaron por cuanto d</w:t>
      </w:r>
      <w:r>
        <w:t>i</w:t>
      </w:r>
      <w:r>
        <w:t>jeron que ellos no reconocerían a quienes no le hab</w:t>
      </w:r>
      <w:r>
        <w:t>í</w:t>
      </w:r>
      <w:r>
        <w:t>an entregado la camioneta. Tal circunstancia demostraba, a su juicio, que cuando Telleldín reconoció a a</w:t>
      </w:r>
      <w:r>
        <w:t>l</w:t>
      </w:r>
      <w:r>
        <w:t xml:space="preserve">guien, lo fue porque se trataba de aquellas personas a las que efectivamente les entregó </w:t>
      </w:r>
      <w:smartTag w:uri="urn:schemas-microsoft-com:office:smarttags" w:element="PersonName">
        <w:smartTagPr>
          <w:attr w:name="ProductID" w:val="la Trafic."/>
        </w:smartTagPr>
        <w:r>
          <w:t>la Trafic.</w:t>
        </w:r>
      </w:smartTag>
    </w:p>
    <w:p w:rsidR="00224567" w:rsidRDefault="00224567">
      <w:pPr>
        <w:widowControl w:val="0"/>
      </w:pPr>
      <w:r>
        <w:tab/>
        <w:t>Tras aludir a la forma en que se inició la denominada causa “Brigadas” y a la inte</w:t>
      </w:r>
      <w:r>
        <w:t>r</w:t>
      </w:r>
      <w:r>
        <w:t>vención que en ella les cupo a los comisarios Verón y Salguero, la apoderada de la querella sostuvo que la llamada “pista c</w:t>
      </w:r>
      <w:r>
        <w:t>a</w:t>
      </w:r>
      <w:r>
        <w:t>rapintada”, que involucraba a militares que tenían en su poder explosivos en forma ilegal y vendían armas y expl</w:t>
      </w:r>
      <w:r>
        <w:t>o</w:t>
      </w:r>
      <w:r>
        <w:t>sivos a delincuentes comunes, no sólo intentó desviar la investigación sino sacar al juez G</w:t>
      </w:r>
      <w:r>
        <w:t>a</w:t>
      </w:r>
      <w:r>
        <w:t>leano del proceso.</w:t>
      </w:r>
    </w:p>
    <w:p w:rsidR="00224567" w:rsidRDefault="00224567">
      <w:pPr>
        <w:widowControl w:val="0"/>
      </w:pPr>
      <w:r>
        <w:tab/>
        <w:t>En orden a lo ocurrido el 10 de j</w:t>
      </w:r>
      <w:r>
        <w:t>u</w:t>
      </w:r>
      <w:r>
        <w:t>lio, recalcó la dificultad para reconstruir la entrega de la camioneta debido, principalmente, a que Telleldín se e</w:t>
      </w:r>
      <w:r>
        <w:t>n</w:t>
      </w:r>
      <w:r>
        <w:lastRenderedPageBreak/>
        <w:t>cargó de aportar datos para confundir la invest</w:t>
      </w:r>
      <w:r>
        <w:t>i</w:t>
      </w:r>
      <w:r>
        <w:t>gación.</w:t>
      </w:r>
    </w:p>
    <w:p w:rsidR="00224567" w:rsidRDefault="00224567">
      <w:pPr>
        <w:widowControl w:val="0"/>
      </w:pPr>
      <w:r>
        <w:tab/>
        <w:t xml:space="preserve">Al respecto </w:t>
      </w:r>
      <w:smartTag w:uri="urn:schemas-microsoft-com:office:smarttags" w:element="PersonName">
        <w:smartTagPr>
          <w:attr w:name="ProductID" w:val="La Dra. Nercellas"/>
        </w:smartTagPr>
        <w:r>
          <w:t>la Dra. Nercellas</w:t>
        </w:r>
      </w:smartTag>
      <w:r>
        <w:t xml:space="preserve"> consid</w:t>
      </w:r>
      <w:r>
        <w:t>e</w:t>
      </w:r>
      <w:r>
        <w:t>ró evidente que la camioneta se encargó y que Telle</w:t>
      </w:r>
      <w:r>
        <w:t>l</w:t>
      </w:r>
      <w:r>
        <w:t>dín la preparó de una manera diferente a todos los demás autos, porque ella debía servir para desviar la pesquisa. So</w:t>
      </w:r>
      <w:r>
        <w:t>s</w:t>
      </w:r>
      <w:r>
        <w:t xml:space="preserve">tuvo que se armaron dos camionetas, porque del motor y la de Sarapura nada se supo y porque entre las ruinas de </w:t>
      </w:r>
      <w:smartTag w:uri="urn:schemas-microsoft-com:office:smarttags" w:element="PersonName">
        <w:smartTagPr>
          <w:attr w:name="ProductID" w:val="la A.M"/>
        </w:smartTagPr>
        <w:r>
          <w:t>la A.M</w:t>
        </w:r>
      </w:smartTag>
      <w:r>
        <w:t>.I.A. apareció el motor de la de “Messin”, ignorá</w:t>
      </w:r>
      <w:r>
        <w:t>n</w:t>
      </w:r>
      <w:r>
        <w:t>dose sobre que carrocería se armó el cochebomba.</w:t>
      </w:r>
    </w:p>
    <w:p w:rsidR="00224567" w:rsidRDefault="00224567">
      <w:pPr>
        <w:widowControl w:val="0"/>
      </w:pPr>
      <w:r>
        <w:tab/>
        <w:t>También consideró indudable que quien encargó la camioneta, eligió a Telleldín por su capac</w:t>
      </w:r>
      <w:r>
        <w:t>i</w:t>
      </w:r>
      <w:r>
        <w:t>dad para desviar la investigación, reco</w:t>
      </w:r>
      <w:r>
        <w:t>r</w:t>
      </w:r>
      <w:r>
        <w:t>dando que el nombrado mintió en sus declaraci</w:t>
      </w:r>
      <w:r>
        <w:t>o</w:t>
      </w:r>
      <w:r>
        <w:t>nes sin inmutarse.</w:t>
      </w:r>
    </w:p>
    <w:p w:rsidR="00224567" w:rsidRDefault="00224567">
      <w:pPr>
        <w:widowControl w:val="0"/>
      </w:pPr>
      <w:r>
        <w:tab/>
        <w:t>Afirmó que el hecho acaecido el 10 de julio fue absolutamente diferente a los otros que se su</w:t>
      </w:r>
      <w:r>
        <w:t>s</w:t>
      </w:r>
      <w:r>
        <w:t>citaron entre Telleldín y los policías, en razón que la entrega ya estaba acordada, motivo por el cual Telleldín entregó voluntariamente la camioneta, con su pintura en mal estado, no apta para la venta pero preparada para e</w:t>
      </w:r>
      <w:r>
        <w:t>x</w:t>
      </w:r>
      <w:r>
        <w:t>plotar.</w:t>
      </w:r>
    </w:p>
    <w:p w:rsidR="00224567" w:rsidRDefault="00224567">
      <w:pPr>
        <w:widowControl w:val="0"/>
      </w:pPr>
      <w:r>
        <w:lastRenderedPageBreak/>
        <w:tab/>
        <w:t>La apoderada de la querella sostuvo que Telle</w:t>
      </w:r>
      <w:r>
        <w:t>l</w:t>
      </w:r>
      <w:r>
        <w:t>dín salió con la persona que le había tocado el timbre no para probar la camioneta sino para const</w:t>
      </w:r>
      <w:r>
        <w:t>a</w:t>
      </w:r>
      <w:r>
        <w:t>tar que se la entregaba a quienes se la habían encargado, por cuanto la persona que se había hecho presente no era ni</w:t>
      </w:r>
      <w:r>
        <w:t>n</w:t>
      </w:r>
      <w:r>
        <w:t>guno de los oficiales que él conocía. Así, pudo observar los automóviles Duna y Galaxy, a bordo de los cuales se encontraban Ibarra y Leal, respectivame</w:t>
      </w:r>
      <w:r>
        <w:t>n</w:t>
      </w:r>
      <w:r>
        <w:t>te.</w:t>
      </w:r>
    </w:p>
    <w:p w:rsidR="00224567" w:rsidRDefault="00224567">
      <w:pPr>
        <w:widowControl w:val="0"/>
      </w:pPr>
      <w:r>
        <w:tab/>
        <w:t>Pese a desaprobar las filmaciones ll</w:t>
      </w:r>
      <w:r>
        <w:t>e</w:t>
      </w:r>
      <w:r>
        <w:t>vadas a cabo en el juzgado, como así también las reuniones entre el Dr. Galeano y Telleldín, la letrada rescató el video en el que se aprecia al imputado aportar inform</w:t>
      </w:r>
      <w:r>
        <w:t>a</w:t>
      </w:r>
      <w:r>
        <w:t>ción y aludir a Ribelli e Ibarra con manifiesta espontane</w:t>
      </w:r>
      <w:r>
        <w:t>i</w:t>
      </w:r>
      <w:r>
        <w:t>dad, demostrando ello que no hay una historia inventada para involucrar a los policías. La abogada agregó que si a</w:t>
      </w:r>
      <w:r>
        <w:t>l</w:t>
      </w:r>
      <w:r>
        <w:t>guien inventó, ese fue Telleldín, por lo que habría que pregu</w:t>
      </w:r>
      <w:r>
        <w:t>n</w:t>
      </w:r>
      <w:r>
        <w:t>tarle a él porqué lo hizo.</w:t>
      </w:r>
    </w:p>
    <w:p w:rsidR="00224567" w:rsidRDefault="00224567">
      <w:pPr>
        <w:widowControl w:val="0"/>
      </w:pPr>
      <w:r>
        <w:tab/>
        <w:t>Tras considerar la declaración indag</w:t>
      </w:r>
      <w:r>
        <w:t>a</w:t>
      </w:r>
      <w:r>
        <w:t>toria de Telleldín del 5 de julio de 1996 c</w:t>
      </w:r>
      <w:r>
        <w:t>a</w:t>
      </w:r>
      <w:r>
        <w:t xml:space="preserve">rente de todo valor probatorio en razón que las circunstancias que la rodearon la tornaron absolutamente sospechable, sostuvo </w:t>
      </w:r>
      <w:r>
        <w:lastRenderedPageBreak/>
        <w:t>que existía una vía absolutamente independie</w:t>
      </w:r>
      <w:r>
        <w:t>n</w:t>
      </w:r>
      <w:r>
        <w:t>te, distinta y anterior a esa exposición que permitía imputar a los p</w:t>
      </w:r>
      <w:r>
        <w:t>o</w:t>
      </w:r>
      <w:r>
        <w:t>licías su pa</w:t>
      </w:r>
      <w:r>
        <w:t>r</w:t>
      </w:r>
      <w:r>
        <w:t>ticipación en el atentado.</w:t>
      </w:r>
    </w:p>
    <w:p w:rsidR="00224567" w:rsidRDefault="00224567">
      <w:pPr>
        <w:widowControl w:val="0"/>
      </w:pPr>
      <w:r>
        <w:tab/>
        <w:t>En ese sentido, trajo a colación una serie de publicaciones periodísticas y denuncias públ</w:t>
      </w:r>
      <w:r>
        <w:t>i</w:t>
      </w:r>
      <w:r>
        <w:t>cas, como así también las declaraciones de Telleldín ante la camarista Riva Aramayo y el manu</w:t>
      </w:r>
      <w:r>
        <w:t>s</w:t>
      </w:r>
      <w:r>
        <w:t>crito que aquél le dictó a Jorge Damonte entre junio y novie</w:t>
      </w:r>
      <w:r>
        <w:t>m</w:t>
      </w:r>
      <w:r>
        <w:t>bre de 1995.</w:t>
      </w:r>
    </w:p>
    <w:p w:rsidR="00224567" w:rsidRDefault="00224567">
      <w:pPr>
        <w:widowControl w:val="0"/>
      </w:pPr>
      <w:r>
        <w:tab/>
        <w:t>Reiteró que cuando los policías bla</w:t>
      </w:r>
      <w:r>
        <w:t>n</w:t>
      </w:r>
      <w:r>
        <w:t>quearon el intento de detención de Telleldín, lo hici</w:t>
      </w:r>
      <w:r>
        <w:t>e</w:t>
      </w:r>
      <w:r>
        <w:t>ron en una causa por robo con homicidio, dánd</w:t>
      </w:r>
      <w:r>
        <w:t>o</w:t>
      </w:r>
      <w:r>
        <w:t>le con ello una señal clara del grado de compromiso en el que lo iban a meter y que cuando le exigieron la entrega de la camion</w:t>
      </w:r>
      <w:r>
        <w:t>e</w:t>
      </w:r>
      <w:r>
        <w:t>ta, lo hicieron con determinadas condiciones en razón que no necesitaban un b</w:t>
      </w:r>
      <w:r>
        <w:t>o</w:t>
      </w:r>
      <w:r>
        <w:t xml:space="preserve">leto porque no iban a vender </w:t>
      </w:r>
      <w:smartTag w:uri="urn:schemas-microsoft-com:office:smarttags" w:element="PersonName">
        <w:smartTagPr>
          <w:attr w:name="ProductID" w:val="la Trafic"/>
        </w:smartTagPr>
        <w:r>
          <w:t>la Trafic</w:t>
        </w:r>
      </w:smartTag>
      <w:r>
        <w:t xml:space="preserve"> sino que la iban a utilizar en un atentado; circun</w:t>
      </w:r>
      <w:r>
        <w:t>s</w:t>
      </w:r>
      <w:r>
        <w:t xml:space="preserve">tancia que llevó a </w:t>
      </w:r>
      <w:smartTag w:uri="urn:schemas-microsoft-com:office:smarttags" w:element="PersonName">
        <w:smartTagPr>
          <w:attr w:name="ProductID" w:val="La Dra. Nercellas"/>
        </w:smartTagPr>
        <w:r>
          <w:t>la Dra. Nercellas</w:t>
        </w:r>
      </w:smartTag>
      <w:r>
        <w:t xml:space="preserve"> a calificar de absurdos los dichos de Telleldín cuando éste relató que los policías le pidieron un boleto de co</w:t>
      </w:r>
      <w:r>
        <w:t>m</w:t>
      </w:r>
      <w:r>
        <w:t>pra venta con el destinatario en blanco.</w:t>
      </w:r>
    </w:p>
    <w:p w:rsidR="00224567" w:rsidRDefault="00224567">
      <w:pPr>
        <w:widowControl w:val="0"/>
      </w:pPr>
      <w:r>
        <w:lastRenderedPageBreak/>
        <w:tab/>
        <w:t>Seguidamente indicó que Boragni, quien admitió haber mentido en su primera declaración ante el D.P.O.C., no era la única persona que sabía de la entrega de la camioneta a los policías, por cuanto T</w:t>
      </w:r>
      <w:r>
        <w:t>e</w:t>
      </w:r>
      <w:r>
        <w:t>lleldín se lo contó a todo su entorno que la había vendido, comentánd</w:t>
      </w:r>
      <w:r>
        <w:t>o</w:t>
      </w:r>
      <w:r>
        <w:t>les detalles tales como que el co</w:t>
      </w:r>
      <w:r>
        <w:t>m</w:t>
      </w:r>
      <w:r>
        <w:t>prador era extranjero y el monto de la operación, llegando al absurdo de comentá</w:t>
      </w:r>
      <w:r>
        <w:t>r</w:t>
      </w:r>
      <w:r>
        <w:t>selo a Bottegal cuando, simultáneamente, le decía que no tenía dinero para enfrentar la extorsión a la que lo est</w:t>
      </w:r>
      <w:r>
        <w:t>a</w:t>
      </w:r>
      <w:r>
        <w:t>ba sometie</w:t>
      </w:r>
      <w:r>
        <w:t>n</w:t>
      </w:r>
      <w:r>
        <w:t>do.</w:t>
      </w:r>
    </w:p>
    <w:p w:rsidR="00224567" w:rsidRDefault="00224567">
      <w:pPr>
        <w:widowControl w:val="0"/>
      </w:pPr>
      <w:r>
        <w:tab/>
        <w:t xml:space="preserve">Resaltó que Miriam Salinas dijo que Telleldín había dicho que vendió la camioneta que voló en </w:t>
      </w:r>
      <w:smartTag w:uri="urn:schemas-microsoft-com:office:smarttags" w:element="PersonName">
        <w:smartTagPr>
          <w:attr w:name="ProductID" w:val="la A.M"/>
        </w:smartTagPr>
        <w:r>
          <w:t>la A.M</w:t>
        </w:r>
      </w:smartTag>
      <w:r>
        <w:t>.I.A. y que Ana estaba preocup</w:t>
      </w:r>
      <w:r>
        <w:t>a</w:t>
      </w:r>
      <w:r>
        <w:t>da porque el nombrado estaba con un ataque de histeria, a los gr</w:t>
      </w:r>
      <w:r>
        <w:t>i</w:t>
      </w:r>
      <w:r>
        <w:t>tos, encerrado en la habitación frente al tel</w:t>
      </w:r>
      <w:r>
        <w:t>e</w:t>
      </w:r>
      <w:r>
        <w:t>visor, gritando.</w:t>
      </w:r>
    </w:p>
    <w:p w:rsidR="00224567" w:rsidRDefault="00224567">
      <w:pPr>
        <w:widowControl w:val="0"/>
      </w:pPr>
      <w:r>
        <w:tab/>
        <w:t>A continuación, la letrada se pregu</w:t>
      </w:r>
      <w:r>
        <w:t>n</w:t>
      </w:r>
      <w:r>
        <w:t>tó por qué si el 10 de julio los policías le habían s</w:t>
      </w:r>
      <w:r>
        <w:t>a</w:t>
      </w:r>
      <w:r>
        <w:t>cado la camioneta a Telleldín, cuatro días más tarde aparecieron nuevamente en la casa del nombrado, concluyendo que el m</w:t>
      </w:r>
      <w:r>
        <w:t>o</w:t>
      </w:r>
      <w:r>
        <w:t xml:space="preserve">tivo fue que Barreda llevó a </w:t>
      </w:r>
      <w:smartTag w:uri="urn:schemas-microsoft-com:office:smarttags" w:element="PersonName">
        <w:smartTagPr>
          <w:attr w:name="ProductID" w:val="la Brigada"/>
        </w:smartTagPr>
        <w:r>
          <w:t>la Brigada</w:t>
        </w:r>
      </w:smartTag>
      <w:r>
        <w:t xml:space="preserve"> de Vicente López la noticia de que Telleldín tenía v</w:t>
      </w:r>
      <w:r>
        <w:t>a</w:t>
      </w:r>
      <w:r>
        <w:t xml:space="preserve">rios autos doblados y </w:t>
      </w:r>
      <w:r>
        <w:lastRenderedPageBreak/>
        <w:t>Leal se lo comentó a Rago y Forgione, decidiendo todos ellos, junto con Bareiro, hacerle un “apriete” para saca</w:t>
      </w:r>
      <w:r>
        <w:t>r</w:t>
      </w:r>
      <w:r>
        <w:t>le bienes o dinero. Aclaró que Leal fue pers</w:t>
      </w:r>
      <w:r>
        <w:t>o</w:t>
      </w:r>
      <w:r>
        <w:t>nalmente a lo de Telleldín a preguntar si la camioneta ya se había ve</w:t>
      </w:r>
      <w:r>
        <w:t>n</w:t>
      </w:r>
      <w:r>
        <w:t>dido en razón que debía colab</w:t>
      </w:r>
      <w:r>
        <w:t>o</w:t>
      </w:r>
      <w:r>
        <w:t>rar con Ibarra para que esta camioneta fuera entr</w:t>
      </w:r>
      <w:r>
        <w:t>e</w:t>
      </w:r>
      <w:r>
        <w:t>gada.</w:t>
      </w:r>
    </w:p>
    <w:p w:rsidR="00224567" w:rsidRDefault="00224567">
      <w:pPr>
        <w:widowControl w:val="0"/>
      </w:pPr>
      <w:r>
        <w:tab/>
        <w:t>Es que si bien, según los imputados, no existía vínculo alguno entre las brigadas de Vicente López y Lanús, resultó evidente que todos se conocían, compartieron destinos y tuvieron muchís</w:t>
      </w:r>
      <w:r>
        <w:t>i</w:t>
      </w:r>
      <w:r>
        <w:t>mos superiores en común; todos conocían a Salguero y Cal</w:t>
      </w:r>
      <w:r>
        <w:t>a</w:t>
      </w:r>
      <w:r>
        <w:t>bró.</w:t>
      </w:r>
    </w:p>
    <w:p w:rsidR="00224567" w:rsidRDefault="00224567">
      <w:pPr>
        <w:widowControl w:val="0"/>
      </w:pPr>
      <w:r>
        <w:tab/>
        <w:t>Relató que el 12 de julio de 1996, cuando se detuvo a los policías, el resto de los efe</w:t>
      </w:r>
      <w:r>
        <w:t>c</w:t>
      </w:r>
      <w:r>
        <w:t xml:space="preserve">tivos de </w:t>
      </w:r>
      <w:smartTag w:uri="urn:schemas-microsoft-com:office:smarttags" w:element="PersonName">
        <w:smartTagPr>
          <w:attr w:name="ProductID" w:val="la Brigada"/>
        </w:smartTagPr>
        <w:r>
          <w:t>la Brigada</w:t>
        </w:r>
      </w:smartTag>
      <w:r>
        <w:t xml:space="preserve"> de Lanús le requirieron a Ribelli indicaci</w:t>
      </w:r>
      <w:r>
        <w:t>o</w:t>
      </w:r>
      <w:r>
        <w:t>nes acerca de lo que debían hacer porque él era el pensa</w:t>
      </w:r>
      <w:r>
        <w:t>n</w:t>
      </w:r>
      <w:r>
        <w:t>te, expresándoles que no dijeran nada, que la causa era por incumplimiento de los deberes de funcionario y que d</w:t>
      </w:r>
      <w:r>
        <w:t>e</w:t>
      </w:r>
      <w:r>
        <w:t>bían permanecer tranquilos.</w:t>
      </w:r>
    </w:p>
    <w:p w:rsidR="00224567" w:rsidRDefault="00224567">
      <w:pPr>
        <w:widowControl w:val="0"/>
      </w:pPr>
      <w:r>
        <w:tab/>
        <w:t>Señaló que una vez detenidos los pol</w:t>
      </w:r>
      <w:r>
        <w:t>i</w:t>
      </w:r>
      <w:r>
        <w:t>cías bonaerenses se desarrolló el tercer desvío, dirig</w:t>
      </w:r>
      <w:r>
        <w:t>i</w:t>
      </w:r>
      <w:r>
        <w:t xml:space="preserve">do </w:t>
      </w:r>
      <w:r>
        <w:lastRenderedPageBreak/>
        <w:t>a sostener que eran otros policías los que pa</w:t>
      </w:r>
      <w:r>
        <w:t>r</w:t>
      </w:r>
      <w:r>
        <w:t>ticiparon de la entrega de la camioneta. Así, indicó, apareció el sa</w:t>
      </w:r>
      <w:r>
        <w:t>r</w:t>
      </w:r>
      <w:r>
        <w:t>gento Sosa quien sostuvo que la camion</w:t>
      </w:r>
      <w:r>
        <w:t>e</w:t>
      </w:r>
      <w:r>
        <w:t>ta había pasado por las manos de Alí.</w:t>
      </w:r>
    </w:p>
    <w:p w:rsidR="00224567" w:rsidRDefault="00224567">
      <w:pPr>
        <w:widowControl w:val="0"/>
      </w:pPr>
      <w:r>
        <w:tab/>
      </w:r>
      <w:smartTag w:uri="urn:schemas-microsoft-com:office:smarttags" w:element="PersonName">
        <w:smartTagPr>
          <w:attr w:name="ProductID" w:val="La Dra. Nercellas"/>
        </w:smartTagPr>
        <w:r>
          <w:t>La Dra. Nercellas</w:t>
        </w:r>
      </w:smartTag>
      <w:r>
        <w:t xml:space="preserve"> sostuvo que Alí era la salida más lógica que encontraron para sacar del m</w:t>
      </w:r>
      <w:r>
        <w:t>e</w:t>
      </w:r>
      <w:r>
        <w:t>dio a Ibarra; incluso, aparentemente, era parecido a éste y tenía un Galaxy azul como Leal. Entonces, explicó, el d</w:t>
      </w:r>
      <w:r>
        <w:t>e</w:t>
      </w:r>
      <w:r>
        <w:t>fensor de Ribelli de aquel momento consiguió una entrevi</w:t>
      </w:r>
      <w:r>
        <w:t>s</w:t>
      </w:r>
      <w:r>
        <w:t xml:space="preserve">ta -que se filmó- con Brousson de </w:t>
      </w:r>
      <w:smartTag w:uri="urn:schemas-microsoft-com:office:smarttags" w:element="PersonName">
        <w:smartTagPr>
          <w:attr w:name="ProductID" w:val="la S.I"/>
        </w:smartTagPr>
        <w:r>
          <w:t>la S.I</w:t>
        </w:r>
      </w:smartTag>
      <w:r>
        <w:t>.D.E., de la que también participó el periodista Pasquini, sugiriendo ca</w:t>
      </w:r>
      <w:r>
        <w:t>m</w:t>
      </w:r>
      <w:r>
        <w:t>biar a Ibarra por Alí; es d</w:t>
      </w:r>
      <w:r>
        <w:t>e</w:t>
      </w:r>
      <w:r>
        <w:t xml:space="preserve">cir, se cambiaba </w:t>
      </w:r>
      <w:smartTag w:uri="urn:schemas-microsoft-com:office:smarttags" w:element="PersonName">
        <w:smartTagPr>
          <w:attr w:name="ProductID" w:val="la Brigada"/>
        </w:smartTagPr>
        <w:r>
          <w:t>la Brigada</w:t>
        </w:r>
      </w:smartTag>
      <w:r>
        <w:t xml:space="preserve"> de Vicente López por la de Lanús.</w:t>
      </w:r>
    </w:p>
    <w:p w:rsidR="00224567" w:rsidRDefault="00224567">
      <w:pPr>
        <w:widowControl w:val="0"/>
      </w:pPr>
      <w:r>
        <w:tab/>
        <w:t>La abogada destacó que a ese encue</w:t>
      </w:r>
      <w:r>
        <w:t>n</w:t>
      </w:r>
      <w:r>
        <w:t>tro le siguió una campaña periodística en la que Pasquini efectuó distintas publicaciones incriminando a Alí como responsable del atentado, a la que se sumaron sendos ped</w:t>
      </w:r>
      <w:r>
        <w:t>i</w:t>
      </w:r>
      <w:r>
        <w:t>dos de ampliación indagatoria de Rib</w:t>
      </w:r>
      <w:r>
        <w:t>e</w:t>
      </w:r>
      <w:r>
        <w:t>lli e Ibarra.</w:t>
      </w:r>
    </w:p>
    <w:p w:rsidR="00224567" w:rsidRDefault="00224567">
      <w:pPr>
        <w:widowControl w:val="0"/>
      </w:pPr>
      <w:r>
        <w:tab/>
        <w:t>Seguidamente, refirió que Ribelli n</w:t>
      </w:r>
      <w:r>
        <w:t>e</w:t>
      </w:r>
      <w:r>
        <w:t>gó tener agencias de venta de automotores, pero esa n</w:t>
      </w:r>
      <w:r>
        <w:t>e</w:t>
      </w:r>
      <w:r>
        <w:t>gativa se debió a que esos comercios eran pantallas de activid</w:t>
      </w:r>
      <w:r>
        <w:t>a</w:t>
      </w:r>
      <w:r>
        <w:lastRenderedPageBreak/>
        <w:t>des ilícitas; en ellas, Álvarez Matus y Humerez vieron, para la época del atentado, camionetas Trafic bla</w:t>
      </w:r>
      <w:r>
        <w:t>n</w:t>
      </w:r>
      <w:r>
        <w:t>cas.</w:t>
      </w:r>
    </w:p>
    <w:p w:rsidR="00224567" w:rsidRDefault="00224567">
      <w:pPr>
        <w:widowControl w:val="0"/>
      </w:pPr>
      <w:r>
        <w:tab/>
        <w:t>Destacó que otro hecho que, casualme</w:t>
      </w:r>
      <w:r>
        <w:t>n</w:t>
      </w:r>
      <w:r>
        <w:t xml:space="preserve">te, ocurrió para la época en que se entregó </w:t>
      </w:r>
      <w:smartTag w:uri="urn:schemas-microsoft-com:office:smarttags" w:element="PersonName">
        <w:smartTagPr>
          <w:attr w:name="ProductID" w:val="la Trafic"/>
        </w:smartTagPr>
        <w:r>
          <w:t>la Tr</w:t>
        </w:r>
        <w:r>
          <w:t>a</w:t>
        </w:r>
        <w:r>
          <w:t>fic</w:t>
        </w:r>
      </w:smartTag>
      <w:r>
        <w:t xml:space="preserve"> fue la donación de 2.500.000 dólares que recibió Ribelli de su padre, un ex empleado ferroviario; donación harto d</w:t>
      </w:r>
      <w:r>
        <w:t>u</w:t>
      </w:r>
      <w:r>
        <w:t>dosa, que parecía el blanqueo de dinero de un funcionario públ</w:t>
      </w:r>
      <w:r>
        <w:t>i</w:t>
      </w:r>
      <w:r>
        <w:t>co que no vivía de acuerdo a su sueldo, pero que, en realidad, fue la suma con que los terroristas compraron el silencio garantizado de agr</w:t>
      </w:r>
      <w:r>
        <w:t>u</w:t>
      </w:r>
      <w:r>
        <w:t>paciones mafiosas.</w:t>
      </w:r>
    </w:p>
    <w:p w:rsidR="00224567" w:rsidRDefault="00224567">
      <w:pPr>
        <w:widowControl w:val="0"/>
      </w:pPr>
      <w:r>
        <w:tab/>
        <w:t xml:space="preserve">Seguidamente, </w:t>
      </w:r>
      <w:smartTag w:uri="urn:schemas-microsoft-com:office:smarttags" w:element="PersonName">
        <w:smartTagPr>
          <w:attr w:name="ProductID" w:val="La Dra. Nercellas"/>
        </w:smartTagPr>
        <w:r>
          <w:t>la Dra. Nercellas</w:t>
        </w:r>
      </w:smartTag>
      <w:r>
        <w:t xml:space="preserve"> señ</w:t>
      </w:r>
      <w:r>
        <w:t>a</w:t>
      </w:r>
      <w:r>
        <w:t xml:space="preserve">ló que el comisario Calabró, al declarar ante </w:t>
      </w:r>
      <w:smartTag w:uri="urn:schemas-microsoft-com:office:smarttags" w:element="PersonName">
        <w:smartTagPr>
          <w:attr w:name="ProductID" w:val="la Comisi￳n Bicameral"/>
        </w:smartTagPr>
        <w:r>
          <w:t>la Comisión B</w:t>
        </w:r>
        <w:r>
          <w:t>i</w:t>
        </w:r>
        <w:r>
          <w:t>cameral</w:t>
        </w:r>
      </w:smartTag>
      <w:r>
        <w:t>, estimó que si bien Ribelli pudo haberse llevado la camioneta con fines económicos, lo aterror</w:t>
      </w:r>
      <w:r>
        <w:t>i</w:t>
      </w:r>
      <w:r>
        <w:t>zaba pensar que Ribelli haya sabido el destino que se le iba a dar, mientras que el comisario Klodczyk admitió conocer las a</w:t>
      </w:r>
      <w:r>
        <w:t>c</w:t>
      </w:r>
      <w:r>
        <w:t>tividades del nombrado, admitiendo como una hipótesis vi</w:t>
      </w:r>
      <w:r>
        <w:t>a</w:t>
      </w:r>
      <w:r>
        <w:t>ble su participación en el atentado movilizado por una s</w:t>
      </w:r>
      <w:r>
        <w:t>i</w:t>
      </w:r>
      <w:r>
        <w:t>tuación económica; máxime si se tenía en cuenta su situ</w:t>
      </w:r>
      <w:r>
        <w:t>a</w:t>
      </w:r>
      <w:r>
        <w:t>ción fam</w:t>
      </w:r>
      <w:r>
        <w:t>i</w:t>
      </w:r>
      <w:r>
        <w:t xml:space="preserve">liar irregular que le generaba gastos superiores </w:t>
      </w:r>
      <w:r>
        <w:lastRenderedPageBreak/>
        <w:t>a los de un sue</w:t>
      </w:r>
      <w:r>
        <w:t>l</w:t>
      </w:r>
      <w:r>
        <w:t>do.</w:t>
      </w:r>
    </w:p>
    <w:p w:rsidR="00224567" w:rsidRDefault="00224567">
      <w:pPr>
        <w:widowControl w:val="0"/>
      </w:pPr>
      <w:r>
        <w:tab/>
        <w:t>También hizo mención de otros hechos, a su criterio significativos, como fueron las reiteradas amenazas que recibieron las personas que  declararon en contra de los policías, aludiendo a Nitzc</w:t>
      </w:r>
      <w:r>
        <w:t>a</w:t>
      </w:r>
      <w:r>
        <w:t>ner, baleado en varias oportunidades, Ana Boragni, el hijo de ésta, Sc</w:t>
      </w:r>
      <w:r>
        <w:t>i</w:t>
      </w:r>
      <w:r>
        <w:t>llone y su marido Cotoras, debiéndose sumar las dos tent</w:t>
      </w:r>
      <w:r>
        <w:t>a</w:t>
      </w:r>
      <w:r>
        <w:t>tivas de homic</w:t>
      </w:r>
      <w:r>
        <w:t>i</w:t>
      </w:r>
      <w:r>
        <w:t xml:space="preserve">dio a Solari. </w:t>
      </w:r>
    </w:p>
    <w:p w:rsidR="00224567" w:rsidRDefault="00224567">
      <w:pPr>
        <w:widowControl w:val="0"/>
      </w:pPr>
      <w:r>
        <w:tab/>
        <w:t>Por otra parte, descartó que la ci</w:t>
      </w:r>
      <w:r>
        <w:t>r</w:t>
      </w:r>
      <w:r>
        <w:t>cunstancia de haber dejado el motor con su número or</w:t>
      </w:r>
      <w:r>
        <w:t>i</w:t>
      </w:r>
      <w:r>
        <w:t>ginal constituya una demostración de la buena fe de Telleldín, en razón que según las explicaciones de los peritos Jorge Roberto Granja y Jorge Alberto Macchi era imposible b</w:t>
      </w:r>
      <w:r>
        <w:t>o</w:t>
      </w:r>
      <w:r>
        <w:t>rrarlos de manera definitiva y la única forma de hacerlo era mediante una ventana o agujero en el bloque, lo que ponía en peligro su funcionamiento.</w:t>
      </w:r>
    </w:p>
    <w:p w:rsidR="00224567" w:rsidRDefault="00224567">
      <w:pPr>
        <w:widowControl w:val="0"/>
      </w:pPr>
      <w:r>
        <w:tab/>
        <w:t>Justificó que desde el inicio del pr</w:t>
      </w:r>
      <w:r>
        <w:t>o</w:t>
      </w:r>
      <w:r>
        <w:t>ceso se sostuvo que el atentado había sido llev</w:t>
      </w:r>
      <w:r>
        <w:t>a</w:t>
      </w:r>
      <w:r>
        <w:t>do a cabo por el fundamentalismo islámico, según lo permitía sost</w:t>
      </w:r>
      <w:r>
        <w:t>e</w:t>
      </w:r>
      <w:r>
        <w:t>ner, entre otras cosas, el llamado de Rabbani desde las inmediaciones de “Jet Parking” cuando la camioneta fue e</w:t>
      </w:r>
      <w:r>
        <w:t>s</w:t>
      </w:r>
      <w:r>
        <w:lastRenderedPageBreak/>
        <w:t>tacionada en esa pl</w:t>
      </w:r>
      <w:r>
        <w:t>a</w:t>
      </w:r>
      <w:r>
        <w:t>ya.</w:t>
      </w:r>
    </w:p>
    <w:p w:rsidR="00224567" w:rsidRDefault="00224567">
      <w:pPr>
        <w:widowControl w:val="0"/>
      </w:pPr>
      <w:r>
        <w:tab/>
        <w:t>Explicó que otro de los inconvenie</w:t>
      </w:r>
      <w:r>
        <w:t>n</w:t>
      </w:r>
      <w:r>
        <w:t>tes que tuvo la investigación fue que cada vez que se prete</w:t>
      </w:r>
      <w:r>
        <w:t>n</w:t>
      </w:r>
      <w:r>
        <w:t>día avanzar en alguna línea surgía un hecho de corrupción pública o privada, de la policía bonaerense o de la fed</w:t>
      </w:r>
      <w:r>
        <w:t>e</w:t>
      </w:r>
      <w:r>
        <w:t>ral y que si bien muchos de esos hechos nada tenían que ver con el atentado, las personas involucr</w:t>
      </w:r>
      <w:r>
        <w:t>a</w:t>
      </w:r>
      <w:r>
        <w:t>das actuaban de tal forma que permitían presumir alguna c</w:t>
      </w:r>
      <w:r>
        <w:t>o</w:t>
      </w:r>
      <w:r>
        <w:t>nexión.</w:t>
      </w:r>
    </w:p>
    <w:p w:rsidR="00224567" w:rsidRDefault="00224567">
      <w:pPr>
        <w:widowControl w:val="0"/>
      </w:pPr>
      <w:r>
        <w:tab/>
        <w:t>Concluyó que Telleldín hizo todo lo posible por desviar esta investigación, no siendo ver</w:t>
      </w:r>
      <w:r>
        <w:t>a</w:t>
      </w:r>
      <w:r>
        <w:t>ces sus explicaciones acerca de lo que hizo antes y d</w:t>
      </w:r>
      <w:r>
        <w:t>u</w:t>
      </w:r>
      <w:r>
        <w:t>rante su huida a Córdoba, como tampoco en ocasión de su viaje a P</w:t>
      </w:r>
      <w:r>
        <w:t>o</w:t>
      </w:r>
      <w:r>
        <w:t>sadas.</w:t>
      </w:r>
    </w:p>
    <w:p w:rsidR="00224567" w:rsidRDefault="00224567">
      <w:pPr>
        <w:widowControl w:val="0"/>
      </w:pPr>
      <w:r>
        <w:tab/>
        <w:t>En orden al papel con la inscripción “Embajada de Irán” secuestr</w:t>
      </w:r>
      <w:r>
        <w:t>a</w:t>
      </w:r>
      <w:r>
        <w:t>do en la casa de Telleldín, la letrada desechó la imputación de que había sido “plantado” en razón que dos testigos absolutamente i</w:t>
      </w:r>
      <w:r>
        <w:t>n</w:t>
      </w:r>
      <w:r>
        <w:t>sospechados –Miguel Ángel Vázquez y Claudio Eduardo Gotta- relataron la forma en que fue hallado, a la vez que recordaron que se lo exhibieron y tuvieron en sus m</w:t>
      </w:r>
      <w:r>
        <w:t>a</w:t>
      </w:r>
      <w:r>
        <w:t>nos.</w:t>
      </w:r>
    </w:p>
    <w:p w:rsidR="00224567" w:rsidRDefault="00224567">
      <w:pPr>
        <w:widowControl w:val="0"/>
      </w:pPr>
      <w:r>
        <w:lastRenderedPageBreak/>
        <w:tab/>
        <w:t>Seguidamente, consideró selectiva la memoria de Jessica Schiavone en el debate, como también la mudanza que en fecha concomitante con el atentado se les exigió a Pérez y a Pérez Mejía del domicilio de T</w:t>
      </w:r>
      <w:r>
        <w:t>e</w:t>
      </w:r>
      <w:r>
        <w:t>lleldín, al igual que Álvarez Matus de las agencias de Ribelli, d</w:t>
      </w:r>
      <w:r>
        <w:t>e</w:t>
      </w:r>
      <w:r>
        <w:t>mostrando dichos comportamientos que no querían más test</w:t>
      </w:r>
      <w:r>
        <w:t>i</w:t>
      </w:r>
      <w:r>
        <w:t>gos que los n</w:t>
      </w:r>
      <w:r>
        <w:t>e</w:t>
      </w:r>
      <w:r>
        <w:t>cesarios.</w:t>
      </w:r>
    </w:p>
    <w:p w:rsidR="00224567" w:rsidRDefault="00224567">
      <w:pPr>
        <w:widowControl w:val="0"/>
      </w:pPr>
      <w:r>
        <w:tab/>
        <w:t xml:space="preserve">Asimismo, </w:t>
      </w:r>
      <w:smartTag w:uri="urn:schemas-microsoft-com:office:smarttags" w:element="PersonName">
        <w:smartTagPr>
          <w:attr w:name="ProductID" w:val="La Dra. Nercellas"/>
        </w:smartTagPr>
        <w:r>
          <w:t>la Dra. Nercellas</w:t>
        </w:r>
      </w:smartTag>
      <w:r>
        <w:t xml:space="preserve"> recordó que en una oportun</w:t>
      </w:r>
      <w:r>
        <w:t>i</w:t>
      </w:r>
      <w:r>
        <w:t xml:space="preserve">dad el abogado de Huici se acercó a </w:t>
      </w:r>
      <w:smartTag w:uri="urn:schemas-microsoft-com:office:smarttags" w:element="PersonName">
        <w:smartTagPr>
          <w:attr w:name="ProductID" w:val="la D.A"/>
        </w:smartTagPr>
        <w:r>
          <w:t>la D.A</w:t>
        </w:r>
      </w:smartTag>
      <w:r>
        <w:t>.I.A. manifestando que su defendido conocía qué había hecho Ribelli con la camion</w:t>
      </w:r>
      <w:r>
        <w:t>e</w:t>
      </w:r>
      <w:r>
        <w:t>ta después que se la llevó de la casa de Telleldín, pero que sólo quería contárselo al Dr. Cichowolsky por cuanto no confiaba en el juez ni en los fisc</w:t>
      </w:r>
      <w:r>
        <w:t>a</w:t>
      </w:r>
      <w:r>
        <w:t>les.</w:t>
      </w:r>
    </w:p>
    <w:p w:rsidR="00224567" w:rsidRDefault="00224567">
      <w:pPr>
        <w:widowControl w:val="0"/>
      </w:pPr>
      <w:r>
        <w:tab/>
        <w:t xml:space="preserve">Así fue que, ante un pedido del por entonces presidente de </w:t>
      </w:r>
      <w:smartTag w:uri="urn:schemas-microsoft-com:office:smarttags" w:element="PersonName">
        <w:smartTagPr>
          <w:attr w:name="ProductID" w:val="la D.A"/>
        </w:smartTagPr>
        <w:r>
          <w:t>la D.A</w:t>
        </w:r>
      </w:smartTag>
      <w:r>
        <w:t>.I.A., se entrevistó con Hu</w:t>
      </w:r>
      <w:r>
        <w:t>i</w:t>
      </w:r>
      <w:r>
        <w:t>ci, previo a reunirse con el juez Galeano y el comisario Palacios, quienes le indicaron que la única forma de h</w:t>
      </w:r>
      <w:r>
        <w:t>a</w:t>
      </w:r>
      <w:r>
        <w:t>cerlo, sin riesgo de ser denunciada,  era grabando la co</w:t>
      </w:r>
      <w:r>
        <w:t>n</w:t>
      </w:r>
      <w:r>
        <w:t>versación a llevarse a cabo. Tras un intento fallido, en el que Huici no quiso hablar por cuanto so</w:t>
      </w:r>
      <w:r>
        <w:t>s</w:t>
      </w:r>
      <w:r>
        <w:t xml:space="preserve">tuvo que los de </w:t>
      </w:r>
      <w:r>
        <w:lastRenderedPageBreak/>
        <w:t>el D.U.I.A. lo estaban grabando, se llevó a cabo la entr</w:t>
      </w:r>
      <w:r>
        <w:t>e</w:t>
      </w:r>
      <w:r>
        <w:t>vista, la que a los fines de la investigación resultó t</w:t>
      </w:r>
      <w:r>
        <w:t>o</w:t>
      </w:r>
      <w:r>
        <w:t>talmente i</w:t>
      </w:r>
      <w:r>
        <w:t>n</w:t>
      </w:r>
      <w:r>
        <w:t>eficaz.</w:t>
      </w:r>
    </w:p>
    <w:p w:rsidR="00224567" w:rsidRDefault="00224567">
      <w:pPr>
        <w:widowControl w:val="0"/>
      </w:pPr>
      <w:r>
        <w:tab/>
        <w:t>Si bien reconoció haber cometido un grave error al aceptar dichas entrevistas, expl</w:t>
      </w:r>
      <w:r>
        <w:t>i</w:t>
      </w:r>
      <w:r>
        <w:t>có que su afán por conocer qué había pas</w:t>
      </w:r>
      <w:r>
        <w:t>a</w:t>
      </w:r>
      <w:r>
        <w:t>do con la camioneta después del 10 de julio la motivó a ello.</w:t>
      </w:r>
    </w:p>
    <w:p w:rsidR="00224567" w:rsidRDefault="00224567">
      <w:pPr>
        <w:widowControl w:val="0"/>
      </w:pPr>
      <w:r>
        <w:tab/>
        <w:t>Sintetizó su alegato afirmando que la logística local estuvo a cargo de Rabbani; que alguien vinculado a éste contactó a Ribelli, encargándole la c</w:t>
      </w:r>
      <w:r>
        <w:t>a</w:t>
      </w:r>
      <w:r>
        <w:t>mioneta, la que debía tener determinadas caracterí</w:t>
      </w:r>
      <w:r>
        <w:t>s</w:t>
      </w:r>
      <w:r>
        <w:t xml:space="preserve">ticas; que debían armarse dos camionetas para que no se supiera cuál explotó en </w:t>
      </w:r>
      <w:smartTag w:uri="urn:schemas-microsoft-com:office:smarttags" w:element="PersonName">
        <w:smartTagPr>
          <w:attr w:name="ProductID" w:val="la A.M"/>
        </w:smartTagPr>
        <w:r>
          <w:t>la A.M</w:t>
        </w:r>
      </w:smartTag>
      <w:r>
        <w:t>.I.A.; que los terrori</w:t>
      </w:r>
      <w:r>
        <w:t>s</w:t>
      </w:r>
      <w:r>
        <w:t>tas eligieron bien porque Ribelli cumplió su palabra de guardar sile</w:t>
      </w:r>
      <w:r>
        <w:t>n</w:t>
      </w:r>
      <w:r>
        <w:t>cio y que éste también eligió correctamente en razón que T</w:t>
      </w:r>
      <w:r>
        <w:t>e</w:t>
      </w:r>
      <w:r>
        <w:t>lleldín logró confundir a todos respecto de las c</w:t>
      </w:r>
      <w:r>
        <w:t>a</w:t>
      </w:r>
      <w:r>
        <w:t>mionetas que armó.</w:t>
      </w:r>
    </w:p>
    <w:p w:rsidR="00224567" w:rsidRDefault="00224567">
      <w:pPr>
        <w:widowControl w:val="0"/>
      </w:pPr>
      <w:r>
        <w:tab/>
      </w:r>
      <w:smartTag w:uri="urn:schemas-microsoft-com:office:smarttags" w:element="PersonName">
        <w:smartTagPr>
          <w:attr w:name="ProductID" w:val="La Dra. Nercellas"/>
        </w:smartTagPr>
        <w:r>
          <w:t>La Dra. Nercellas</w:t>
        </w:r>
      </w:smartTag>
      <w:r>
        <w:t xml:space="preserve"> acusó a Ribelli de haber encargado la camioneta a Telleldín; a éste de prep</w:t>
      </w:r>
      <w:r>
        <w:t>a</w:t>
      </w:r>
      <w:r>
        <w:t>rarla; a Ibarra de ser la mano ejecutora al retirarla, p</w:t>
      </w:r>
      <w:r>
        <w:t>a</w:t>
      </w:r>
      <w:r>
        <w:lastRenderedPageBreak/>
        <w:t>ra lo cual contó con la colaboración de Leal, por corre</w:t>
      </w:r>
      <w:r>
        <w:t>s</w:t>
      </w:r>
      <w:r>
        <w:t>ponder a su brigada y al domicilio de Telleldín, con qui</w:t>
      </w:r>
      <w:r>
        <w:t>e</w:t>
      </w:r>
      <w:r>
        <w:t>nes tenía vínculos y a Bareiro haber co</w:t>
      </w:r>
      <w:r>
        <w:t>n</w:t>
      </w:r>
      <w:r>
        <w:t>trolado el armado de la camioneta, de co</w:t>
      </w:r>
      <w:r>
        <w:t>n</w:t>
      </w:r>
      <w:r>
        <w:t>formidad al pedido de Ribelli.</w:t>
      </w:r>
    </w:p>
    <w:p w:rsidR="00224567" w:rsidRDefault="00224567">
      <w:pPr>
        <w:widowControl w:val="0"/>
      </w:pPr>
      <w:r>
        <w:tab/>
        <w:t xml:space="preserve">Por la semejanza que presentaba con el accionar de Bareiro, </w:t>
      </w:r>
      <w:smartTag w:uri="urn:schemas-microsoft-com:office:smarttags" w:element="PersonName">
        <w:smartTagPr>
          <w:attr w:name="ProductID" w:val="La Dra. Nercellas"/>
        </w:smartTagPr>
        <w:r>
          <w:t>la Dra. Nercellas</w:t>
        </w:r>
      </w:smartTag>
      <w:r>
        <w:t xml:space="preserve"> dijo no entender las razones por las cuáles a Barreda no se le achacó el atentado, toda vez que fue a la casa de Telleldín a co</w:t>
      </w:r>
      <w:r>
        <w:t>n</w:t>
      </w:r>
      <w:r>
        <w:t>trolar lo que allí se estaba haciendo, c</w:t>
      </w:r>
      <w:r>
        <w:t>o</w:t>
      </w:r>
      <w:r>
        <w:t>mo también fue al taller de Nitzcaner para ver la ev</w:t>
      </w:r>
      <w:r>
        <w:t>o</w:t>
      </w:r>
      <w:r>
        <w:t>lución de la camioneta que en definitiva se utilizó c</w:t>
      </w:r>
      <w:r>
        <w:t>o</w:t>
      </w:r>
      <w:r>
        <w:t>mo coartada.</w:t>
      </w:r>
    </w:p>
    <w:p w:rsidR="00224567" w:rsidRDefault="00224567">
      <w:pPr>
        <w:widowControl w:val="0"/>
      </w:pPr>
      <w:r>
        <w:tab/>
        <w:t>Cerró su discurso manifestando estar atónita e impotente por no saber cómo acreditar o cómo convertir en palabras la certeza de la participación de estos policías en el hecho.</w:t>
      </w:r>
    </w:p>
    <w:p w:rsidR="00224567" w:rsidRDefault="00224567">
      <w:pPr>
        <w:widowControl w:val="0"/>
        <w:tabs>
          <w:tab w:val="left" w:pos="2835"/>
        </w:tabs>
      </w:pPr>
      <w:r>
        <w:rPr>
          <w:b/>
          <w:bCs/>
        </w:rPr>
        <w:tab/>
      </w:r>
      <w:r>
        <w:t>Por su parte, el Dr. Juan José Áv</w:t>
      </w:r>
      <w:r>
        <w:t>i</w:t>
      </w:r>
      <w:r>
        <w:t xml:space="preserve">la, letrado apoderado de </w:t>
      </w:r>
      <w:smartTag w:uri="urn:schemas-microsoft-com:office:smarttags" w:element="PersonName">
        <w:smartTagPr>
          <w:attr w:name="ProductID" w:val="la A.M"/>
        </w:smartTagPr>
        <w:r>
          <w:t>la A.M</w:t>
        </w:r>
      </w:smartTag>
      <w:r>
        <w:t>.I.A., consideró, a modo de i</w:t>
      </w:r>
      <w:r>
        <w:t>n</w:t>
      </w:r>
      <w:r>
        <w:t>troducción, que por las características del hecho invest</w:t>
      </w:r>
      <w:r>
        <w:t>i</w:t>
      </w:r>
      <w:r>
        <w:t>gado y sus peculiaridades, esta causa se vinculaba, de a</w:t>
      </w:r>
      <w:r>
        <w:t>l</w:t>
      </w:r>
      <w:r>
        <w:t>guna manera, con la del juicio a las juntas militares.</w:t>
      </w:r>
    </w:p>
    <w:p w:rsidR="00224567" w:rsidRDefault="00224567">
      <w:pPr>
        <w:widowControl w:val="0"/>
        <w:tabs>
          <w:tab w:val="left" w:pos="2835"/>
        </w:tabs>
      </w:pPr>
      <w:r>
        <w:tab/>
        <w:t>Así, explicó que el acto de terrori</w:t>
      </w:r>
      <w:r>
        <w:t>s</w:t>
      </w:r>
      <w:r>
        <w:t xml:space="preserve">mo </w:t>
      </w:r>
      <w:r>
        <w:lastRenderedPageBreak/>
        <w:t>era un delito asociativo o complejo, por lo que era nec</w:t>
      </w:r>
      <w:r>
        <w:t>e</w:t>
      </w:r>
      <w:r>
        <w:t>sario referirse a las declaraciones en las que algunos coimputados aludían a otros, sometiéndolas a la regla c</w:t>
      </w:r>
      <w:r>
        <w:t>o</w:t>
      </w:r>
      <w:r>
        <w:t>mún de la sana crítica, citando, en apoyo de su postura, doctrina nacional y extranjera, como así también jurispr</w:t>
      </w:r>
      <w:r>
        <w:t>u</w:t>
      </w:r>
      <w:r>
        <w:t>dencia del Tribunal Constitucional Esp</w:t>
      </w:r>
      <w:r>
        <w:t>a</w:t>
      </w:r>
      <w:r>
        <w:t>ñol.</w:t>
      </w:r>
    </w:p>
    <w:p w:rsidR="00224567" w:rsidRDefault="00224567">
      <w:pPr>
        <w:widowControl w:val="0"/>
        <w:tabs>
          <w:tab w:val="left" w:pos="2835"/>
        </w:tabs>
      </w:pPr>
      <w:r>
        <w:tab/>
        <w:t>Precisó que no existían dudas acerca de que Telleldín era el único que sabía a quién le e</w:t>
      </w:r>
      <w:r>
        <w:t>n</w:t>
      </w:r>
      <w:r>
        <w:t>tregó la camioneta, por lo que resultó necesario recurrir a él como fuente de prueba, tratando de determinar qué tramos de sus declaraciones eran veraces y que, al no tenerse una foto de los policías llevándose la camioneta o de aquél suscribiendo un contrato con ellos, era necesario recon</w:t>
      </w:r>
      <w:r>
        <w:t>s</w:t>
      </w:r>
      <w:r>
        <w:t>truir la verdad de lo acontecido a partir de los hechos indudables, de los datos importa</w:t>
      </w:r>
      <w:r>
        <w:t>n</w:t>
      </w:r>
      <w:r>
        <w:t>tes que no cuadraron, de las contradicciones inexplicables, de los hechos o man</w:t>
      </w:r>
      <w:r>
        <w:t>i</w:t>
      </w:r>
      <w:r>
        <w:t>festaciones inentendibles o de los desvíos de la invest</w:t>
      </w:r>
      <w:r>
        <w:t>i</w:t>
      </w:r>
      <w:r>
        <w:t>gación, a todo lo cual d</w:t>
      </w:r>
      <w:r>
        <w:t>e</w:t>
      </w:r>
      <w:r>
        <w:t>bía añadirse la prueba agregada a la causa y la prod</w:t>
      </w:r>
      <w:r>
        <w:t>u</w:t>
      </w:r>
      <w:r>
        <w:t>cida en el debate.</w:t>
      </w:r>
    </w:p>
    <w:p w:rsidR="00224567" w:rsidRDefault="00224567">
      <w:pPr>
        <w:widowControl w:val="0"/>
        <w:tabs>
          <w:tab w:val="left" w:pos="2835"/>
        </w:tabs>
      </w:pPr>
      <w:r>
        <w:tab/>
        <w:t>Afirmó que la ausencia de pruebas d</w:t>
      </w:r>
      <w:r>
        <w:t>i</w:t>
      </w:r>
      <w:r>
        <w:lastRenderedPageBreak/>
        <w:t>rectas que vinculen a los autores con los hechos, sum</w:t>
      </w:r>
      <w:r>
        <w:t>a</w:t>
      </w:r>
      <w:r>
        <w:t>do a la presencia de una estructura jerárquica milit</w:t>
      </w:r>
      <w:r>
        <w:t>a</w:t>
      </w:r>
      <w:r>
        <w:t>rizada, a un espíritu de cuerpo entre los testigos, enderezado a e</w:t>
      </w:r>
      <w:r>
        <w:t>n</w:t>
      </w:r>
      <w:r>
        <w:t>cubrir el delito y a los testimonios reticentes y amb</w:t>
      </w:r>
      <w:r>
        <w:t>i</w:t>
      </w:r>
      <w:r>
        <w:t>guos, entre otras cosas, constituyeron la médula de las estrategias de las defensas, tal como aconteció en la ca</w:t>
      </w:r>
      <w:r>
        <w:t>u</w:t>
      </w:r>
      <w:r>
        <w:t xml:space="preserve">sa n° 13 del registro de </w:t>
      </w:r>
      <w:smartTag w:uri="urn:schemas-microsoft-com:office:smarttags" w:element="PersonName">
        <w:smartTagPr>
          <w:attr w:name="ProductID" w:val="la C￡mara Federal"/>
        </w:smartTagPr>
        <w:r>
          <w:t>la Cámara Federal</w:t>
        </w:r>
      </w:smartTag>
      <w:r>
        <w:t xml:space="preserve"> seguida c</w:t>
      </w:r>
      <w:r>
        <w:t>o</w:t>
      </w:r>
      <w:r>
        <w:t>ntra los ex comandantes.</w:t>
      </w:r>
    </w:p>
    <w:p w:rsidR="00224567" w:rsidRDefault="00224567">
      <w:pPr>
        <w:widowControl w:val="0"/>
        <w:tabs>
          <w:tab w:val="left" w:pos="2835"/>
        </w:tabs>
      </w:pPr>
      <w:r>
        <w:tab/>
        <w:t>Seguidamente, el Dr. Ávila hizo me</w:t>
      </w:r>
      <w:r>
        <w:t>n</w:t>
      </w:r>
      <w:r>
        <w:t>ción de los datos objetivos probados que constituyen la base fáctica sobre la que construyó la ac</w:t>
      </w:r>
      <w:r>
        <w:t>u</w:t>
      </w:r>
      <w:r>
        <w:t>sación.</w:t>
      </w:r>
    </w:p>
    <w:p w:rsidR="00224567" w:rsidRDefault="00224567">
      <w:pPr>
        <w:widowControl w:val="0"/>
        <w:tabs>
          <w:tab w:val="left" w:pos="2835"/>
        </w:tabs>
      </w:pPr>
      <w:r>
        <w:tab/>
        <w:t>Así, sostuvo que la explosión se pr</w:t>
      </w:r>
      <w:r>
        <w:t>o</w:t>
      </w:r>
      <w:r>
        <w:t>dujo con una camioneta Trafic, armada o hecha armar por Telleldín, de cuyo domicilio fue retirada sin cédula ve</w:t>
      </w:r>
      <w:r>
        <w:t>r</w:t>
      </w:r>
      <w:r>
        <w:t>de, sin el formulario 08 ni el de responsabilidad civil del vendedor; que Telleldín alteró y falseó desde el pri</w:t>
      </w:r>
      <w:r>
        <w:t>n</w:t>
      </w:r>
      <w:r>
        <w:t>cipio como ocurrieron los hechos y que razones muy poder</w:t>
      </w:r>
      <w:r>
        <w:t>o</w:t>
      </w:r>
      <w:r>
        <w:t>sas, que no precisó, lo llevaron a actuar de esa manera, no en su propia defensa sino para defender a terc</w:t>
      </w:r>
      <w:r>
        <w:t>e</w:t>
      </w:r>
      <w:r>
        <w:t>ros.</w:t>
      </w:r>
    </w:p>
    <w:p w:rsidR="00224567" w:rsidRDefault="00224567">
      <w:pPr>
        <w:widowControl w:val="0"/>
        <w:tabs>
          <w:tab w:val="left" w:pos="2835"/>
        </w:tabs>
      </w:pPr>
      <w:r>
        <w:tab/>
        <w:t>Agregó que durante la investigación Telleldín introdujo, intencionalmente, una notable conf</w:t>
      </w:r>
      <w:r>
        <w:t>u</w:t>
      </w:r>
      <w:r>
        <w:lastRenderedPageBreak/>
        <w:t xml:space="preserve">sión acerca de las características técnicas de </w:t>
      </w:r>
      <w:smartTag w:uri="urn:schemas-microsoft-com:office:smarttags" w:element="PersonName">
        <w:smartTagPr>
          <w:attr w:name="ProductID" w:val="la Trafic"/>
        </w:smartTagPr>
        <w:r>
          <w:t>la Trafic</w:t>
        </w:r>
      </w:smartTag>
      <w:r>
        <w:t xml:space="preserve"> que explotó en </w:t>
      </w:r>
      <w:smartTag w:uri="urn:schemas-microsoft-com:office:smarttags" w:element="PersonName">
        <w:smartTagPr>
          <w:attr w:name="ProductID" w:val="la A.M"/>
        </w:smartTagPr>
        <w:r>
          <w:t>la A.M</w:t>
        </w:r>
      </w:smartTag>
      <w:r>
        <w:t>.I.A., habiéndose demostrado la pr</w:t>
      </w:r>
      <w:r>
        <w:t>e</w:t>
      </w:r>
      <w:r>
        <w:t>sencia, en los meses previos al atentado y en los inmedi</w:t>
      </w:r>
      <w:r>
        <w:t>a</w:t>
      </w:r>
      <w:r>
        <w:t>tos a éste, de p</w:t>
      </w:r>
      <w:r>
        <w:t>o</w:t>
      </w:r>
      <w:r>
        <w:t>licías bonaerenses en torno al nombrado, a quienes, en reiteradas ocasiones, les había entregado autom</w:t>
      </w:r>
      <w:r>
        <w:t>ó</w:t>
      </w:r>
      <w:r>
        <w:t>viles y otros bienes.</w:t>
      </w:r>
    </w:p>
    <w:p w:rsidR="00224567" w:rsidRDefault="00224567">
      <w:pPr>
        <w:widowControl w:val="0"/>
        <w:tabs>
          <w:tab w:val="left" w:pos="2835"/>
        </w:tabs>
      </w:pPr>
      <w:r>
        <w:tab/>
        <w:t xml:space="preserve">Precisó que Ribelli viajó a la zona de </w:t>
      </w:r>
      <w:smartTag w:uri="urn:schemas-microsoft-com:office:smarttags" w:element="PersonName">
        <w:smartTagPr>
          <w:attr w:name="ProductID" w:val="la Triple Frontera"/>
        </w:smartTagPr>
        <w:r>
          <w:t>la Triple Frontera</w:t>
        </w:r>
      </w:smartTag>
      <w:r>
        <w:t>, regresando el 10 de julio, en un hor</w:t>
      </w:r>
      <w:r>
        <w:t>a</w:t>
      </w:r>
      <w:r>
        <w:t>rio que el nombrado se ocupó de registrar en su c</w:t>
      </w:r>
      <w:r>
        <w:t>á</w:t>
      </w:r>
      <w:r>
        <w:t>mara de video y que, pese a su intención de hacer creer que a la hora en que se entregó la camioneta no estaba en la ci</w:t>
      </w:r>
      <w:r>
        <w:t>u</w:t>
      </w:r>
      <w:r>
        <w:t>dad, existían constancias que demostraban lo contr</w:t>
      </w:r>
      <w:r>
        <w:t>a</w:t>
      </w:r>
      <w:r>
        <w:t>rio.</w:t>
      </w:r>
    </w:p>
    <w:p w:rsidR="00224567" w:rsidRDefault="00224567">
      <w:pPr>
        <w:widowControl w:val="0"/>
        <w:tabs>
          <w:tab w:val="left" w:pos="2835"/>
        </w:tabs>
      </w:pPr>
      <w:r>
        <w:tab/>
        <w:t>En tal sentido, refirió que el domi</w:t>
      </w:r>
      <w:r>
        <w:t>n</w:t>
      </w:r>
      <w:r>
        <w:t>go 10 de julio Ribelli se comunicó por la noche con la escr</w:t>
      </w:r>
      <w:r>
        <w:t>i</w:t>
      </w:r>
      <w:r>
        <w:t>bana Vaquer, su padre y sus hermanos, suscribiéndose al día siguiente una escritura de donación, del padre a sus hijos, por dos millones quinientos mil pesos ($ 2.500.000); monto que, según se acreditó, no se correspo</w:t>
      </w:r>
      <w:r>
        <w:t>n</w:t>
      </w:r>
      <w:r>
        <w:t>día en modo alguno con la capacidad de ahorro del d</w:t>
      </w:r>
      <w:r>
        <w:t>o</w:t>
      </w:r>
      <w:r>
        <w:t>nante.</w:t>
      </w:r>
    </w:p>
    <w:p w:rsidR="00224567" w:rsidRDefault="00224567">
      <w:pPr>
        <w:widowControl w:val="0"/>
        <w:tabs>
          <w:tab w:val="left" w:pos="2835"/>
        </w:tabs>
      </w:pPr>
      <w:r>
        <w:tab/>
        <w:t xml:space="preserve">Indicó que sectores de </w:t>
      </w:r>
      <w:smartTag w:uri="urn:schemas-microsoft-com:office:smarttags" w:element="PersonName">
        <w:smartTagPr>
          <w:attr w:name="ProductID" w:val="la Polic￭a Bonaerense"/>
        </w:smartTagPr>
        <w:r>
          <w:t>la Policía B</w:t>
        </w:r>
        <w:r>
          <w:t>o</w:t>
        </w:r>
        <w:r>
          <w:lastRenderedPageBreak/>
          <w:t>naerense</w:t>
        </w:r>
      </w:smartTag>
      <w:r>
        <w:t xml:space="preserve"> relacionados con los imputados, estuvieron pr</w:t>
      </w:r>
      <w:r>
        <w:t>e</w:t>
      </w:r>
      <w:r>
        <w:t>sentes desde el inicio de la investigación; pru</w:t>
      </w:r>
      <w:r>
        <w:t>e</w:t>
      </w:r>
      <w:r>
        <w:t>ba de ello fue la presencia de Ribelli en el allanamiento a Campo de Mayo, sin que nada lo just</w:t>
      </w:r>
      <w:r>
        <w:t>i</w:t>
      </w:r>
      <w:r>
        <w:t>ficara.</w:t>
      </w:r>
    </w:p>
    <w:p w:rsidR="00224567" w:rsidRDefault="00224567">
      <w:pPr>
        <w:widowControl w:val="0"/>
        <w:tabs>
          <w:tab w:val="left" w:pos="2835"/>
        </w:tabs>
      </w:pPr>
      <w:r>
        <w:tab/>
        <w:t xml:space="preserve">Asimismo, el letrado remarcó que los mandos de la policía bonaerense sabían que </w:t>
      </w:r>
      <w:smartTag w:uri="urn:schemas-microsoft-com:office:smarttags" w:element="PersonName">
        <w:smartTagPr>
          <w:attr w:name="ProductID" w:val="la Brigada"/>
        </w:smartTagPr>
        <w:r>
          <w:t>la Brigada</w:t>
        </w:r>
      </w:smartTag>
      <w:r>
        <w:t xml:space="preserve"> de Lanús estaba siendo investigada en esta causa, mot</w:t>
      </w:r>
      <w:r>
        <w:t>i</w:t>
      </w:r>
      <w:r>
        <w:t>vo por el cual, en los días previos a su detención, se registr</w:t>
      </w:r>
      <w:r>
        <w:t>a</w:t>
      </w:r>
      <w:r>
        <w:t>ron conversaciones de Ribelli e Ibarra en las que se al</w:t>
      </w:r>
      <w:r>
        <w:t>u</w:t>
      </w:r>
      <w:r>
        <w:t>día a las precauciones que debían tomarse ante la proxim</w:t>
      </w:r>
      <w:r>
        <w:t>i</w:t>
      </w:r>
      <w:r>
        <w:t>dad del segundo aniversario del atentado y al temor que ello les gen</w:t>
      </w:r>
      <w:r>
        <w:t>e</w:t>
      </w:r>
      <w:r>
        <w:t>raba.</w:t>
      </w:r>
    </w:p>
    <w:p w:rsidR="00224567" w:rsidRDefault="00224567">
      <w:pPr>
        <w:pStyle w:val="Textoindependiente2"/>
        <w:widowControl w:val="0"/>
        <w:tabs>
          <w:tab w:val="left" w:pos="2835"/>
        </w:tabs>
        <w:rPr>
          <w:rFonts w:ascii="Courier New" w:hAnsi="Courier New" w:cs="Courier New"/>
          <w:szCs w:val="24"/>
        </w:rPr>
      </w:pPr>
      <w:r>
        <w:rPr>
          <w:rFonts w:ascii="Courier New" w:hAnsi="Courier New" w:cs="Courier New"/>
          <w:szCs w:val="24"/>
        </w:rPr>
        <w:tab/>
        <w:t>También afirmó la querella que alg</w:t>
      </w:r>
      <w:r>
        <w:rPr>
          <w:rFonts w:ascii="Courier New" w:hAnsi="Courier New" w:cs="Courier New"/>
          <w:szCs w:val="24"/>
        </w:rPr>
        <w:t>u</w:t>
      </w:r>
      <w:r>
        <w:rPr>
          <w:rFonts w:ascii="Courier New" w:hAnsi="Courier New" w:cs="Courier New"/>
          <w:szCs w:val="24"/>
        </w:rPr>
        <w:t>nos policías bonaerenses, de comprobada relación con los imp</w:t>
      </w:r>
      <w:r>
        <w:rPr>
          <w:rFonts w:ascii="Courier New" w:hAnsi="Courier New" w:cs="Courier New"/>
          <w:szCs w:val="24"/>
        </w:rPr>
        <w:t>u</w:t>
      </w:r>
      <w:r>
        <w:rPr>
          <w:rFonts w:ascii="Courier New" w:hAnsi="Courier New" w:cs="Courier New"/>
          <w:szCs w:val="24"/>
        </w:rPr>
        <w:t>tados, introdujeron pistas inconducentes y, en tal sent</w:t>
      </w:r>
      <w:r>
        <w:rPr>
          <w:rFonts w:ascii="Courier New" w:hAnsi="Courier New" w:cs="Courier New"/>
          <w:szCs w:val="24"/>
        </w:rPr>
        <w:t>i</w:t>
      </w:r>
      <w:r>
        <w:rPr>
          <w:rFonts w:ascii="Courier New" w:hAnsi="Courier New" w:cs="Courier New"/>
          <w:szCs w:val="24"/>
        </w:rPr>
        <w:t>do, trajo a colación una entrevista que mant</w:t>
      </w:r>
      <w:r>
        <w:rPr>
          <w:rFonts w:ascii="Courier New" w:hAnsi="Courier New" w:cs="Courier New"/>
          <w:szCs w:val="24"/>
        </w:rPr>
        <w:t>u</w:t>
      </w:r>
      <w:r>
        <w:rPr>
          <w:rFonts w:ascii="Courier New" w:hAnsi="Courier New" w:cs="Courier New"/>
          <w:szCs w:val="24"/>
        </w:rPr>
        <w:t xml:space="preserve">vieron el Dr. Cuneo Libarona, defensor de Ribelli, y el agente de </w:t>
      </w:r>
      <w:smartTag w:uri="urn:schemas-microsoft-com:office:smarttags" w:element="PersonName">
        <w:smartTagPr>
          <w:attr w:name="ProductID" w:val="la S.I"/>
        </w:smartTagPr>
        <w:r>
          <w:rPr>
            <w:rFonts w:ascii="Courier New" w:hAnsi="Courier New" w:cs="Courier New"/>
            <w:szCs w:val="24"/>
          </w:rPr>
          <w:t>la S.I</w:t>
        </w:r>
      </w:smartTag>
      <w:r>
        <w:rPr>
          <w:rFonts w:ascii="Courier New" w:hAnsi="Courier New" w:cs="Courier New"/>
          <w:szCs w:val="24"/>
        </w:rPr>
        <w:t>.D.E Brousson, en la que se propuso una línea de inve</w:t>
      </w:r>
      <w:r>
        <w:rPr>
          <w:rFonts w:ascii="Courier New" w:hAnsi="Courier New" w:cs="Courier New"/>
          <w:szCs w:val="24"/>
        </w:rPr>
        <w:t>s</w:t>
      </w:r>
      <w:r>
        <w:rPr>
          <w:rFonts w:ascii="Courier New" w:hAnsi="Courier New" w:cs="Courier New"/>
          <w:szCs w:val="24"/>
        </w:rPr>
        <w:t xml:space="preserve">tigación que desvinculaba a </w:t>
      </w:r>
      <w:smartTag w:uri="urn:schemas-microsoft-com:office:smarttags" w:element="PersonName">
        <w:smartTagPr>
          <w:attr w:name="ProductID" w:val="la Brigada"/>
        </w:smartTagPr>
        <w:r>
          <w:rPr>
            <w:rFonts w:ascii="Courier New" w:hAnsi="Courier New" w:cs="Courier New"/>
            <w:szCs w:val="24"/>
          </w:rPr>
          <w:t>la Brigada</w:t>
        </w:r>
      </w:smartTag>
      <w:r>
        <w:rPr>
          <w:rFonts w:ascii="Courier New" w:hAnsi="Courier New" w:cs="Courier New"/>
          <w:szCs w:val="24"/>
        </w:rPr>
        <w:t xml:space="preserve"> de Lanús del ate</w:t>
      </w:r>
      <w:r>
        <w:rPr>
          <w:rFonts w:ascii="Courier New" w:hAnsi="Courier New" w:cs="Courier New"/>
          <w:szCs w:val="24"/>
        </w:rPr>
        <w:t>n</w:t>
      </w:r>
      <w:r>
        <w:rPr>
          <w:rFonts w:ascii="Courier New" w:hAnsi="Courier New" w:cs="Courier New"/>
          <w:szCs w:val="24"/>
        </w:rPr>
        <w:t xml:space="preserve">tado; línea que también recogió una nota periodística que suscribió el mismo que concertó la reunión entre aquellos. </w:t>
      </w:r>
      <w:r>
        <w:rPr>
          <w:rFonts w:ascii="Courier New" w:hAnsi="Courier New" w:cs="Courier New"/>
          <w:szCs w:val="24"/>
        </w:rPr>
        <w:lastRenderedPageBreak/>
        <w:t>Unos días después, precisó, R</w:t>
      </w:r>
      <w:r>
        <w:rPr>
          <w:rFonts w:ascii="Courier New" w:hAnsi="Courier New" w:cs="Courier New"/>
          <w:szCs w:val="24"/>
        </w:rPr>
        <w:t>i</w:t>
      </w:r>
      <w:r>
        <w:rPr>
          <w:rFonts w:ascii="Courier New" w:hAnsi="Courier New" w:cs="Courier New"/>
          <w:szCs w:val="24"/>
        </w:rPr>
        <w:t>belli se reunió con el juez instructor y le entregó una videocinta grabada en depe</w:t>
      </w:r>
      <w:r>
        <w:rPr>
          <w:rFonts w:ascii="Courier New" w:hAnsi="Courier New" w:cs="Courier New"/>
          <w:szCs w:val="24"/>
        </w:rPr>
        <w:t>n</w:t>
      </w:r>
      <w:r>
        <w:rPr>
          <w:rFonts w:ascii="Courier New" w:hAnsi="Courier New" w:cs="Courier New"/>
          <w:szCs w:val="24"/>
        </w:rPr>
        <w:t>dencias del juzg</w:t>
      </w:r>
      <w:r>
        <w:rPr>
          <w:rFonts w:ascii="Courier New" w:hAnsi="Courier New" w:cs="Courier New"/>
          <w:szCs w:val="24"/>
        </w:rPr>
        <w:t>a</w:t>
      </w:r>
      <w:r>
        <w:rPr>
          <w:rFonts w:ascii="Courier New" w:hAnsi="Courier New" w:cs="Courier New"/>
          <w:szCs w:val="24"/>
        </w:rPr>
        <w:t>do.</w:t>
      </w:r>
    </w:p>
    <w:p w:rsidR="00224567" w:rsidRDefault="00224567">
      <w:pPr>
        <w:widowControl w:val="0"/>
        <w:tabs>
          <w:tab w:val="left" w:pos="2835"/>
        </w:tabs>
        <w:rPr>
          <w:color w:val="000000"/>
        </w:rPr>
      </w:pPr>
      <w:r>
        <w:tab/>
        <w:t>En síntesis, el apoderado de la quer</w:t>
      </w:r>
      <w:r>
        <w:t>e</w:t>
      </w:r>
      <w:r>
        <w:t xml:space="preserve">lla  consideró que </w:t>
      </w:r>
      <w:r>
        <w:rPr>
          <w:color w:val="000000"/>
        </w:rPr>
        <w:t>no se podía entender lo oc</w:t>
      </w:r>
      <w:r>
        <w:rPr>
          <w:color w:val="000000"/>
        </w:rPr>
        <w:t>u</w:t>
      </w:r>
      <w:r>
        <w:rPr>
          <w:color w:val="000000"/>
        </w:rPr>
        <w:t>rrido antes y durante la entrega de esa camioneta, ni la conducta de desviación sistemática de Telleldín, ni los viajes de R</w:t>
      </w:r>
      <w:r>
        <w:rPr>
          <w:color w:val="000000"/>
        </w:rPr>
        <w:t>i</w:t>
      </w:r>
      <w:r>
        <w:rPr>
          <w:color w:val="000000"/>
        </w:rPr>
        <w:t>belli, ni la supuesta don</w:t>
      </w:r>
      <w:r>
        <w:rPr>
          <w:color w:val="000000"/>
        </w:rPr>
        <w:t>a</w:t>
      </w:r>
      <w:r>
        <w:rPr>
          <w:color w:val="000000"/>
        </w:rPr>
        <w:t>ción del padre, ni su presencia en Campo de Mayo, ni los desvíos “Solari”, “Armas” y “C</w:t>
      </w:r>
      <w:r>
        <w:rPr>
          <w:color w:val="000000"/>
        </w:rPr>
        <w:t>a</w:t>
      </w:r>
      <w:r>
        <w:rPr>
          <w:color w:val="000000"/>
        </w:rPr>
        <w:t>rapi</w:t>
      </w:r>
      <w:r>
        <w:rPr>
          <w:color w:val="000000"/>
        </w:rPr>
        <w:t>n</w:t>
      </w:r>
      <w:r>
        <w:rPr>
          <w:color w:val="000000"/>
        </w:rPr>
        <w:t>tadas”, ni el contenido de las escuchas previas a la detención, ni la inclusión de Alí, ni la extorsión al juez G</w:t>
      </w:r>
      <w:r>
        <w:rPr>
          <w:color w:val="000000"/>
        </w:rPr>
        <w:t>a</w:t>
      </w:r>
      <w:r>
        <w:rPr>
          <w:color w:val="000000"/>
        </w:rPr>
        <w:t>leano, si no se infiere de todo ello un momento, de cuya materialidad no se tiene constancia, en el que Ribelli r</w:t>
      </w:r>
      <w:r>
        <w:rPr>
          <w:color w:val="000000"/>
        </w:rPr>
        <w:t>e</w:t>
      </w:r>
      <w:r>
        <w:rPr>
          <w:color w:val="000000"/>
        </w:rPr>
        <w:t>cibió el encargo y eligió a Telleldín para que lo ej</w:t>
      </w:r>
      <w:r>
        <w:rPr>
          <w:color w:val="000000"/>
        </w:rPr>
        <w:t>e</w:t>
      </w:r>
      <w:r>
        <w:rPr>
          <w:color w:val="000000"/>
        </w:rPr>
        <w:t>cute.</w:t>
      </w:r>
    </w:p>
    <w:p w:rsidR="00224567" w:rsidRDefault="00224567">
      <w:pPr>
        <w:widowControl w:val="0"/>
        <w:tabs>
          <w:tab w:val="left" w:pos="2835"/>
        </w:tabs>
      </w:pPr>
      <w:r>
        <w:rPr>
          <w:color w:val="000000"/>
        </w:rPr>
        <w:tab/>
      </w:r>
      <w:r>
        <w:rPr>
          <w:bCs/>
          <w:color w:val="000000"/>
        </w:rPr>
        <w:t>Seguidamente, la querella acusó</w:t>
      </w:r>
      <w:r>
        <w:t xml:space="preserve"> a T</w:t>
      </w:r>
      <w:r>
        <w:t>e</w:t>
      </w:r>
      <w:r>
        <w:t>lleldín, Ribelli, Leal, Ibarra y Bareiro por su particip</w:t>
      </w:r>
      <w:r>
        <w:t>a</w:t>
      </w:r>
      <w:r>
        <w:t xml:space="preserve">ción en el atentado a la sede de </w:t>
      </w:r>
      <w:smartTag w:uri="urn:schemas-microsoft-com:office:smarttags" w:element="PersonName">
        <w:smartTagPr>
          <w:attr w:name="ProductID" w:val="la A.M"/>
        </w:smartTagPr>
        <w:r>
          <w:t>la A.M</w:t>
        </w:r>
      </w:smartTag>
      <w:r>
        <w:t>.I.A., por haber preparado y entregado la camioneta Trafic que luego fue transporte y carcasa de la bomba que mató a ochenta y ci</w:t>
      </w:r>
      <w:r>
        <w:t>n</w:t>
      </w:r>
      <w:r>
        <w:t>co personas, hirió a otras trescientas y destruyó el ed</w:t>
      </w:r>
      <w:r>
        <w:t>i</w:t>
      </w:r>
      <w:r>
        <w:lastRenderedPageBreak/>
        <w:t xml:space="preserve">ficio sede de las organizaciones comunitarias judías más importantes de </w:t>
      </w:r>
      <w:smartTag w:uri="urn:schemas-microsoft-com:office:smarttags" w:element="PersonName">
        <w:smartTagPr>
          <w:attr w:name="ProductID" w:val="la Argentina."/>
        </w:smartTagPr>
        <w:r>
          <w:t>la A</w:t>
        </w:r>
        <w:r>
          <w:t>r</w:t>
        </w:r>
        <w:r>
          <w:t>gentina.</w:t>
        </w:r>
      </w:smartTag>
    </w:p>
    <w:p w:rsidR="00224567" w:rsidRDefault="00224567">
      <w:pPr>
        <w:widowControl w:val="0"/>
        <w:tabs>
          <w:tab w:val="left" w:pos="2835"/>
        </w:tabs>
      </w:pPr>
      <w:r>
        <w:tab/>
        <w:t>Sostuvo que Juan José Ribelli rec</w:t>
      </w:r>
      <w:r>
        <w:t>i</w:t>
      </w:r>
      <w:r>
        <w:t>bió, de una persona aún desconocida, el encargo de obtener un vehículo que, además de ciertas especificaci</w:t>
      </w:r>
      <w:r>
        <w:t>o</w:t>
      </w:r>
      <w:r>
        <w:t>nes técnicas, debía constituirse en un gran factor de confusión para cualquier pesquisa, por lo que se co</w:t>
      </w:r>
      <w:r>
        <w:t>n</w:t>
      </w:r>
      <w:r>
        <w:t>tactó con Telleldín, quien preparó el vehículo que el 10 de julio de 1994 e</w:t>
      </w:r>
      <w:r>
        <w:t>n</w:t>
      </w:r>
      <w:r>
        <w:t>tregó a los ac</w:t>
      </w:r>
      <w:r>
        <w:t>u</w:t>
      </w:r>
      <w:r>
        <w:t>sados.</w:t>
      </w:r>
    </w:p>
    <w:p w:rsidR="00224567" w:rsidRDefault="00224567">
      <w:pPr>
        <w:widowControl w:val="0"/>
        <w:tabs>
          <w:tab w:val="left" w:pos="2835"/>
        </w:tabs>
      </w:pPr>
      <w:r>
        <w:tab/>
        <w:t>Explicó el letrado que el debate d</w:t>
      </w:r>
      <w:r>
        <w:t>e</w:t>
      </w:r>
      <w:r>
        <w:t>mostró que ese día, aproximadamente a las 14.00, pol</w:t>
      </w:r>
      <w:r>
        <w:t>i</w:t>
      </w:r>
      <w:r>
        <w:t>cías bonaerenses se presentaron en la casa de Carlos Alberto Telleldín, la que “controlaban” con al m</w:t>
      </w:r>
      <w:r>
        <w:t>e</w:t>
      </w:r>
      <w:r>
        <w:t>nos dos vehículos con personal policial, a efectos de ll</w:t>
      </w:r>
      <w:r>
        <w:t>e</w:t>
      </w:r>
      <w:r>
        <w:t>varse la camioneta Renault Tr</w:t>
      </w:r>
      <w:r>
        <w:t>a</w:t>
      </w:r>
      <w:r>
        <w:t>fic que el nombrado había preparado.</w:t>
      </w:r>
    </w:p>
    <w:p w:rsidR="00224567" w:rsidRDefault="00224567">
      <w:pPr>
        <w:widowControl w:val="0"/>
        <w:tabs>
          <w:tab w:val="left" w:pos="2835"/>
        </w:tabs>
      </w:pPr>
      <w:r>
        <w:tab/>
        <w:t>Alegó que, en determinado momento y a estar por los di</w:t>
      </w:r>
      <w:r>
        <w:t>s</w:t>
      </w:r>
      <w:r>
        <w:t xml:space="preserve">tintos relatos que Telleldín brindó, una persona, que pudo ser un efectivo de </w:t>
      </w:r>
      <w:smartTag w:uri="urn:schemas-microsoft-com:office:smarttags" w:element="PersonName">
        <w:smartTagPr>
          <w:attr w:name="ProductID" w:val="la Polic￭a Bonaerense"/>
        </w:smartTagPr>
        <w:r>
          <w:t>la Policía B</w:t>
        </w:r>
        <w:r>
          <w:t>o</w:t>
        </w:r>
        <w:r>
          <w:t>naerense</w:t>
        </w:r>
      </w:smartTag>
      <w:r>
        <w:t xml:space="preserve"> o un representante de esa fuerza, tocó el timbre en su d</w:t>
      </w:r>
      <w:r>
        <w:t>o</w:t>
      </w:r>
      <w:r>
        <w:t xml:space="preserve">micilio siendo atendido por aquél, para luego ambos salir a probar </w:t>
      </w:r>
      <w:smartTag w:uri="urn:schemas-microsoft-com:office:smarttags" w:element="PersonName">
        <w:smartTagPr>
          <w:attr w:name="ProductID" w:val="la Trafic"/>
        </w:smartTagPr>
        <w:r>
          <w:t>la Trafic</w:t>
        </w:r>
      </w:smartTag>
      <w:r>
        <w:t>, dando una vuelta a la manzana; oc</w:t>
      </w:r>
      <w:r>
        <w:t>a</w:t>
      </w:r>
      <w:r>
        <w:t xml:space="preserve">sión </w:t>
      </w:r>
      <w:r>
        <w:lastRenderedPageBreak/>
        <w:t>en que el nombrado advirtió la presencia de policías de Lanús y de otros bonaerenses conocidos, entre ellos Ib</w:t>
      </w:r>
      <w:r>
        <w:t>a</w:t>
      </w:r>
      <w:r>
        <w:t>rra, a bordo de un Fiat Duna blanco, y Leal, quien cond</w:t>
      </w:r>
      <w:r>
        <w:t>u</w:t>
      </w:r>
      <w:r>
        <w:t>cía un Ford Galaxy azul de su propiedad, manteniendo con este último -quien se identificó como el oficial “Pino”- un diálogo en el que le indicó que venía a ll</w:t>
      </w:r>
      <w:r>
        <w:t>e</w:t>
      </w:r>
      <w:r>
        <w:t>varse dicha camioneta.</w:t>
      </w:r>
    </w:p>
    <w:p w:rsidR="00224567" w:rsidRDefault="00224567">
      <w:pPr>
        <w:widowControl w:val="0"/>
        <w:tabs>
          <w:tab w:val="left" w:pos="2835"/>
        </w:tabs>
      </w:pPr>
      <w:r>
        <w:tab/>
        <w:t>El Dr. Ávila explicó que, luego de ello, Telleldín y el otro sujeto reingresaron al domic</w:t>
      </w:r>
      <w:r>
        <w:t>i</w:t>
      </w:r>
      <w:r>
        <w:t>lio, donde confeccionaron un boleto de compraventa a no</w:t>
      </w:r>
      <w:r>
        <w:t>m</w:t>
      </w:r>
      <w:r>
        <w:t>bre de Ramón Martínez, aunque consideró que, en real</w:t>
      </w:r>
      <w:r>
        <w:t>i</w:t>
      </w:r>
      <w:r>
        <w:t>dad, no se sabía si ese boleto, cuya falsedad sostuvo, se co</w:t>
      </w:r>
      <w:r>
        <w:t>n</w:t>
      </w:r>
      <w:r>
        <w:t>feccionó en ese momento o con posterioridad, en miras a ensayar una coart</w:t>
      </w:r>
      <w:r>
        <w:t>a</w:t>
      </w:r>
      <w:r>
        <w:t>da.</w:t>
      </w:r>
    </w:p>
    <w:p w:rsidR="00224567" w:rsidRDefault="00224567">
      <w:pPr>
        <w:widowControl w:val="0"/>
        <w:tabs>
          <w:tab w:val="left" w:pos="2835"/>
        </w:tabs>
      </w:pPr>
      <w:r>
        <w:tab/>
        <w:t>Recordó que mientras Telleldín y esa persona se encontraban en el interior del domicilio, toc</w:t>
      </w:r>
      <w:r>
        <w:t>a</w:t>
      </w:r>
      <w:r>
        <w:t>ron el timbre otras dos que fueron atendidas por Ana Bor</w:t>
      </w:r>
      <w:r>
        <w:t>a</w:t>
      </w:r>
      <w:r>
        <w:t xml:space="preserve">gni, una de las cuales le preguntó si </w:t>
      </w:r>
      <w:smartTag w:uri="urn:schemas-microsoft-com:office:smarttags" w:element="PersonName">
        <w:smartTagPr>
          <w:attr w:name="ProductID" w:val="la Trafic"/>
        </w:smartTagPr>
        <w:r>
          <w:t>la Trafic</w:t>
        </w:r>
      </w:smartTag>
      <w:r>
        <w:t xml:space="preserve"> se había vendido, respo</w:t>
      </w:r>
      <w:r>
        <w:t>n</w:t>
      </w:r>
      <w:r>
        <w:t>diéndoles que sí, con lo que estas personas se retir</w:t>
      </w:r>
      <w:r>
        <w:t>a</w:t>
      </w:r>
      <w:r>
        <w:t xml:space="preserve">ron; en esas circunstancias, Telleldín alcanzó a </w:t>
      </w:r>
      <w:r>
        <w:lastRenderedPageBreak/>
        <w:t>verlas a través de una ventana, identificando a uno de ellos como el oficial que lo privó de su libertad en To</w:t>
      </w:r>
      <w:r>
        <w:t>r</w:t>
      </w:r>
      <w:r>
        <w:t>tuguitas. Luego el policía o el enviado de la policía r</w:t>
      </w:r>
      <w:r>
        <w:t>e</w:t>
      </w:r>
      <w:r>
        <w:t xml:space="preserve">tiró </w:t>
      </w:r>
      <w:smartTag w:uri="urn:schemas-microsoft-com:office:smarttags" w:element="PersonName">
        <w:smartTagPr>
          <w:attr w:name="ProductID" w:val="la Trafic"/>
        </w:smartTagPr>
        <w:r>
          <w:t>la Trafic</w:t>
        </w:r>
      </w:smartTag>
      <w:r>
        <w:t>, la que pasó circulando por la calle A</w:t>
      </w:r>
      <w:r>
        <w:t>l</w:t>
      </w:r>
      <w:r>
        <w:t>vear custodiada o seguida de atrás por el Ford G</w:t>
      </w:r>
      <w:r>
        <w:t>a</w:t>
      </w:r>
      <w:r>
        <w:t>laxy azul.</w:t>
      </w:r>
    </w:p>
    <w:p w:rsidR="00224567" w:rsidRDefault="00224567">
      <w:pPr>
        <w:widowControl w:val="0"/>
        <w:tabs>
          <w:tab w:val="left" w:pos="2835"/>
        </w:tabs>
      </w:pPr>
      <w:r>
        <w:tab/>
        <w:t>Así, el letrado afirmó que Telleldín hizo evidente una conexión local, de la que él formaba parte como un eslabón más, no siendo ello una casualidad sino causalidad, cuya racionalidad ap</w:t>
      </w:r>
      <w:r>
        <w:t>a</w:t>
      </w:r>
      <w:r>
        <w:t>rece nítida al unir las puntas que ofrecen los datos referidos en párrafos a</w:t>
      </w:r>
      <w:r>
        <w:t>n</w:t>
      </w:r>
      <w:r>
        <w:t>teriores.</w:t>
      </w:r>
    </w:p>
    <w:p w:rsidR="00224567" w:rsidRDefault="00224567">
      <w:pPr>
        <w:widowControl w:val="0"/>
        <w:tabs>
          <w:tab w:val="left" w:pos="2835"/>
        </w:tabs>
      </w:pPr>
      <w:r>
        <w:tab/>
        <w:t>Seguidamente, afirmó que Carlos Albe</w:t>
      </w:r>
      <w:r>
        <w:t>r</w:t>
      </w:r>
      <w:r>
        <w:t>to Telleldín y Juan José Ribelli sirvieron a los d</w:t>
      </w:r>
      <w:r>
        <w:t>e</w:t>
      </w:r>
      <w:r>
        <w:t>signios de quienes decidieron desde el ext</w:t>
      </w:r>
      <w:r>
        <w:t>e</w:t>
      </w:r>
      <w:r>
        <w:t>rior el atentado, como también a aquellos que, abusando de coberturas diplomát</w:t>
      </w:r>
      <w:r>
        <w:t>i</w:t>
      </w:r>
      <w:r>
        <w:t>cas, supe</w:t>
      </w:r>
      <w:r>
        <w:t>r</w:t>
      </w:r>
      <w:r>
        <w:t>visaron desde las sombras su ejecución.</w:t>
      </w:r>
    </w:p>
    <w:p w:rsidR="00224567" w:rsidRDefault="00224567">
      <w:pPr>
        <w:widowControl w:val="0"/>
        <w:tabs>
          <w:tab w:val="left" w:pos="2835"/>
        </w:tabs>
      </w:pPr>
      <w:r>
        <w:tab/>
        <w:t>En ese orden de ideas, consideró que las cualidades personales de Ribelli eran ide</w:t>
      </w:r>
      <w:r>
        <w:t>a</w:t>
      </w:r>
      <w:r>
        <w:t>les para ser depositario de un encargo tan particular como co</w:t>
      </w:r>
      <w:r>
        <w:t>n</w:t>
      </w:r>
      <w:r>
        <w:t>seguir la camioneta para el atentado terrorista, generando, a su vez, la mayor confusión posible en la investigación post</w:t>
      </w:r>
      <w:r>
        <w:t>e</w:t>
      </w:r>
      <w:r>
        <w:lastRenderedPageBreak/>
        <w:t xml:space="preserve">rior. Explicó que a Ribelli, al que tildó de inteligente, frío, inescrupuloso, codicioso, con una conciencia moral escindida, con demostrada capacidad de liderazgo en el seno de la fuerza policial más importante de </w:t>
      </w:r>
      <w:smartTag w:uri="urn:schemas-microsoft-com:office:smarttags" w:element="PersonName">
        <w:smartTagPr>
          <w:attr w:name="ProductID" w:val="la Argentina"/>
        </w:smartTagPr>
        <w:r>
          <w:t>la Argentina</w:t>
        </w:r>
      </w:smartTag>
      <w:r>
        <w:t xml:space="preserve"> y de muy bajo perfil, le bastó una motivación económica para interesarse por este hecho, como fueron los dos m</w:t>
      </w:r>
      <w:r>
        <w:t>i</w:t>
      </w:r>
      <w:r>
        <w:t>llones quinientos mil pesos, sin necesidad de una motiv</w:t>
      </w:r>
      <w:r>
        <w:t>a</w:t>
      </w:r>
      <w:r>
        <w:t>ción ideológica ni antisemita, haciendo alusión en este sentido a los d</w:t>
      </w:r>
      <w:r>
        <w:t>i</w:t>
      </w:r>
      <w:r>
        <w:t>chos de Klodzick.</w:t>
      </w:r>
    </w:p>
    <w:p w:rsidR="00224567" w:rsidRDefault="00224567">
      <w:pPr>
        <w:widowControl w:val="0"/>
        <w:tabs>
          <w:tab w:val="left" w:pos="2835"/>
        </w:tabs>
      </w:pPr>
      <w:r>
        <w:tab/>
        <w:t>A Telleldín, por su parte, lo descr</w:t>
      </w:r>
      <w:r>
        <w:t>i</w:t>
      </w:r>
      <w:r>
        <w:t>bió como un autor confeso de un significativo abanico de delitos, acostumbrado a tratar con pol</w:t>
      </w:r>
      <w:r>
        <w:t>i</w:t>
      </w:r>
      <w:r>
        <w:t xml:space="preserve">cías, ex agente de inteligencia de </w:t>
      </w:r>
      <w:smartTag w:uri="urn:schemas-microsoft-com:office:smarttags" w:element="PersonName">
        <w:smartTagPr>
          <w:attr w:name="ProductID" w:val="la Polic￭a"/>
        </w:smartTagPr>
        <w:r>
          <w:t>la Policía</w:t>
        </w:r>
      </w:smartTag>
      <w:r>
        <w:t xml:space="preserve"> de Córdoba, con muy buenos co</w:t>
      </w:r>
      <w:r>
        <w:t>n</w:t>
      </w:r>
      <w:r>
        <w:t>tactos, muy hábil para escapar, encubrir, distraer, de</w:t>
      </w:r>
      <w:r>
        <w:t>s</w:t>
      </w:r>
      <w:r>
        <w:t>viar y confundir.</w:t>
      </w:r>
    </w:p>
    <w:p w:rsidR="00224567" w:rsidRDefault="00224567">
      <w:pPr>
        <w:widowControl w:val="0"/>
        <w:tabs>
          <w:tab w:val="left" w:pos="2835"/>
        </w:tabs>
      </w:pPr>
      <w:r>
        <w:tab/>
        <w:t>También hizo alusión a Ibarra, Leal y Bareiro y a sus vínculos con otros coimputados y demás personajes de la causa.</w:t>
      </w:r>
    </w:p>
    <w:p w:rsidR="00224567" w:rsidRDefault="00224567">
      <w:pPr>
        <w:widowControl w:val="0"/>
        <w:tabs>
          <w:tab w:val="left" w:pos="2835"/>
        </w:tabs>
      </w:pPr>
      <w:r>
        <w:tab/>
        <w:t xml:space="preserve">En coincidencia con la expuesto por </w:t>
      </w:r>
      <w:smartTag w:uri="urn:schemas-microsoft-com:office:smarttags" w:element="PersonName">
        <w:smartTagPr>
          <w:attr w:name="ProductID" w:val="La Dra. Nercellas"/>
        </w:smartTagPr>
        <w:r>
          <w:t>la Dra. Nercellas</w:t>
        </w:r>
      </w:smartTag>
      <w:r>
        <w:t xml:space="preserve">, consideró acreditado que Telleldín armó </w:t>
      </w:r>
      <w:r>
        <w:lastRenderedPageBreak/>
        <w:t xml:space="preserve">más de una Trafic y que una de ellas estalló en </w:t>
      </w:r>
      <w:smartTag w:uri="urn:schemas-microsoft-com:office:smarttags" w:element="PersonName">
        <w:smartTagPr>
          <w:attr w:name="ProductID" w:val="la A.M"/>
        </w:smartTagPr>
        <w:r>
          <w:t>la A.M</w:t>
        </w:r>
      </w:smartTag>
      <w:r>
        <w:t>.I.A.</w:t>
      </w:r>
    </w:p>
    <w:p w:rsidR="00224567" w:rsidRDefault="00224567">
      <w:pPr>
        <w:widowControl w:val="0"/>
        <w:tabs>
          <w:tab w:val="left" w:pos="2835"/>
        </w:tabs>
        <w:rPr>
          <w:bCs/>
        </w:rPr>
      </w:pPr>
      <w:r>
        <w:tab/>
        <w:t>Explicó que la entrega de la camion</w:t>
      </w:r>
      <w:r>
        <w:t>e</w:t>
      </w:r>
      <w:r>
        <w:t>ta por parte de T</w:t>
      </w:r>
      <w:r>
        <w:t>e</w:t>
      </w:r>
      <w:r>
        <w:t>lleldín el día 10 de julio de 1994, el dolo de éste al entregarla y el de los restantes policías al recibirla y el consiguiente pedido de pena, se asienta s</w:t>
      </w:r>
      <w:r>
        <w:t>o</w:t>
      </w:r>
      <w:r>
        <w:t xml:space="preserve">bre cuatro sólidos pilares que pasó a describir: 1) </w:t>
      </w:r>
      <w:r>
        <w:rPr>
          <w:bCs/>
        </w:rPr>
        <w:t>el atentado se cometió mediante un cochebomba, para lo cual se utilizó una camioneta Renault Trafic, especialmente condicionada; 2) a partir del hallazgo del motor se dete</w:t>
      </w:r>
      <w:r>
        <w:rPr>
          <w:bCs/>
        </w:rPr>
        <w:t>r</w:t>
      </w:r>
      <w:r>
        <w:rPr>
          <w:bCs/>
        </w:rPr>
        <w:t>minó que esa camioneta había sido armada y preparada por Telleldín; 3) la especial relación entre éste y algunos miembros de la policía bonaerense permite e</w:t>
      </w:r>
      <w:r>
        <w:rPr>
          <w:bCs/>
        </w:rPr>
        <w:t>n</w:t>
      </w:r>
      <w:r>
        <w:rPr>
          <w:bCs/>
        </w:rPr>
        <w:t>tender por qué esa camioneta le fue encargada, pasando a una etapa más avanzada en el plan terrorista y, 4) los hechos posteri</w:t>
      </w:r>
      <w:r>
        <w:rPr>
          <w:bCs/>
        </w:rPr>
        <w:t>o</w:t>
      </w:r>
      <w:r>
        <w:rPr>
          <w:bCs/>
        </w:rPr>
        <w:t>res al atentado, conformados por las actitudes asumidas por los imputados y por los desvíos sembrados en la inve</w:t>
      </w:r>
      <w:r>
        <w:rPr>
          <w:bCs/>
        </w:rPr>
        <w:t>s</w:t>
      </w:r>
      <w:r>
        <w:rPr>
          <w:bCs/>
        </w:rPr>
        <w:t>tigación para eludir respons</w:t>
      </w:r>
      <w:r>
        <w:rPr>
          <w:bCs/>
        </w:rPr>
        <w:t>a</w:t>
      </w:r>
      <w:r>
        <w:rPr>
          <w:bCs/>
        </w:rPr>
        <w:t>bilidades.</w:t>
      </w:r>
    </w:p>
    <w:p w:rsidR="00224567" w:rsidRDefault="00224567">
      <w:pPr>
        <w:widowControl w:val="0"/>
        <w:tabs>
          <w:tab w:val="left" w:pos="2835"/>
        </w:tabs>
        <w:rPr>
          <w:bCs/>
        </w:rPr>
      </w:pPr>
      <w:r>
        <w:rPr>
          <w:bCs/>
        </w:rPr>
        <w:tab/>
        <w:t>Tras aclarar que solo habría de oc</w:t>
      </w:r>
      <w:r>
        <w:rPr>
          <w:bCs/>
        </w:rPr>
        <w:t>u</w:t>
      </w:r>
      <w:r>
        <w:rPr>
          <w:bCs/>
        </w:rPr>
        <w:t xml:space="preserve">parse de las cuestiones atinentes a los puntos 3) y 4), por cuanto de los anteriores había expuesto su colega de </w:t>
      </w:r>
      <w:r>
        <w:rPr>
          <w:bCs/>
        </w:rPr>
        <w:lastRenderedPageBreak/>
        <w:t>la querella unificada, explicó, con relación al vínculo comprobado entre Telleldín y la policía bonaerense, que con motivo de la detención sufrida por el nombrado en agosto de 1987, en virtud de un proceder que guardaba s</w:t>
      </w:r>
      <w:r>
        <w:rPr>
          <w:bCs/>
        </w:rPr>
        <w:t>i</w:t>
      </w:r>
      <w:r>
        <w:rPr>
          <w:bCs/>
        </w:rPr>
        <w:t>militud con el ocurrido en abril de 1994, éste pudo habe</w:t>
      </w:r>
      <w:r>
        <w:rPr>
          <w:bCs/>
        </w:rPr>
        <w:t>r</w:t>
      </w:r>
      <w:r>
        <w:rPr>
          <w:bCs/>
        </w:rPr>
        <w:t>se cruzado con Ribelli, lo que permitía sostener que a</w:t>
      </w:r>
      <w:r>
        <w:rPr>
          <w:bCs/>
        </w:rPr>
        <w:t>m</w:t>
      </w:r>
      <w:r>
        <w:rPr>
          <w:bCs/>
        </w:rPr>
        <w:t>bos, de la mano de Semorile, comenzaron a “cruzarse” a partir de ese año.</w:t>
      </w:r>
    </w:p>
    <w:p w:rsidR="00224567" w:rsidRDefault="00224567">
      <w:pPr>
        <w:widowControl w:val="0"/>
        <w:tabs>
          <w:tab w:val="left" w:pos="2835"/>
        </w:tabs>
        <w:rPr>
          <w:bCs/>
        </w:rPr>
      </w:pPr>
      <w:r>
        <w:rPr>
          <w:bCs/>
        </w:rPr>
        <w:tab/>
        <w:t>Al respecto, hizo referencia a la v</w:t>
      </w:r>
      <w:r>
        <w:rPr>
          <w:bCs/>
        </w:rPr>
        <w:t>i</w:t>
      </w:r>
      <w:r>
        <w:rPr>
          <w:bCs/>
        </w:rPr>
        <w:t>gilancia del lavadero que tenía Telleldín con Lo Prei</w:t>
      </w:r>
      <w:r>
        <w:rPr>
          <w:bCs/>
        </w:rPr>
        <w:t>a</w:t>
      </w:r>
      <w:r>
        <w:rPr>
          <w:bCs/>
        </w:rPr>
        <w:t>to, al intento de detención y posterior huída de T</w:t>
      </w:r>
      <w:r>
        <w:rPr>
          <w:bCs/>
        </w:rPr>
        <w:t>e</w:t>
      </w:r>
      <w:r>
        <w:rPr>
          <w:bCs/>
        </w:rPr>
        <w:t xml:space="preserve">lleldín el 15 de marzo, a la forma en que este hecho se justificó, utilizando para ello la causa nº </w:t>
      </w:r>
      <w:smartTag w:uri="urn:schemas-microsoft-com:office:smarttags" w:element="metricconverter">
        <w:smartTagPr>
          <w:attr w:name="ProductID" w:val="5681, a"/>
        </w:smartTagPr>
        <w:r>
          <w:rPr>
            <w:bCs/>
          </w:rPr>
          <w:t>5681, a</w:t>
        </w:r>
      </w:smartTag>
      <w:r>
        <w:rPr>
          <w:bCs/>
        </w:rPr>
        <w:t xml:space="preserve"> la detención de Eduardo Telleldín el 22 del mismo mes, a la persecución sufrida por Miguel Jaimes y a un episodio ocurrido en la comisaría de José C. Paz que invol</w:t>
      </w:r>
      <w:r>
        <w:rPr>
          <w:bCs/>
        </w:rPr>
        <w:t>u</w:t>
      </w:r>
      <w:r>
        <w:rPr>
          <w:bCs/>
        </w:rPr>
        <w:t>craba a Barreda.</w:t>
      </w:r>
    </w:p>
    <w:p w:rsidR="00224567" w:rsidRDefault="00224567">
      <w:pPr>
        <w:widowControl w:val="0"/>
        <w:tabs>
          <w:tab w:val="left" w:pos="2835"/>
        </w:tabs>
        <w:rPr>
          <w:bCs/>
        </w:rPr>
      </w:pPr>
      <w:r>
        <w:rPr>
          <w:bCs/>
        </w:rPr>
        <w:tab/>
        <w:t>Indicó que la detención de T</w:t>
      </w:r>
      <w:r>
        <w:rPr>
          <w:bCs/>
        </w:rPr>
        <w:t>e</w:t>
      </w:r>
      <w:r>
        <w:rPr>
          <w:bCs/>
        </w:rPr>
        <w:t xml:space="preserve">lleldín y Sandra Petrucci en Tortuguitas, el 4 de abril, según las declaraciones de Walter Alejandro Castro, Claudio Walter Araya y Marcelo Gustavo Albarracín, tuvo como finalidad </w:t>
      </w:r>
      <w:r>
        <w:rPr>
          <w:bCs/>
        </w:rPr>
        <w:lastRenderedPageBreak/>
        <w:t>sacarle bienes y dinero a aquél, debiendo pactar persona</w:t>
      </w:r>
      <w:r>
        <w:rPr>
          <w:bCs/>
        </w:rPr>
        <w:t>l</w:t>
      </w:r>
      <w:r>
        <w:rPr>
          <w:bCs/>
        </w:rPr>
        <w:t>mente con Ribelli, quien le exigió la entrega de cincuenta mil dólares, la que no pudo satisfacer en su totalidad, quedando una deuda que saldar.</w:t>
      </w:r>
    </w:p>
    <w:p w:rsidR="00224567" w:rsidRDefault="00224567">
      <w:pPr>
        <w:widowControl w:val="0"/>
        <w:tabs>
          <w:tab w:val="left" w:pos="2835"/>
        </w:tabs>
        <w:rPr>
          <w:bCs/>
        </w:rPr>
      </w:pPr>
      <w:r>
        <w:rPr>
          <w:bCs/>
        </w:rPr>
        <w:tab/>
        <w:t>Asimismo, precisó que el 28 de mayo de 1994 se llamó de un celular de Ribelli a la casa de T</w:t>
      </w:r>
      <w:r>
        <w:rPr>
          <w:bCs/>
        </w:rPr>
        <w:t>e</w:t>
      </w:r>
      <w:r>
        <w:rPr>
          <w:bCs/>
        </w:rPr>
        <w:t>lleldín para comprarle una Trafic; hecho alr</w:t>
      </w:r>
      <w:r>
        <w:rPr>
          <w:bCs/>
        </w:rPr>
        <w:t>e</w:t>
      </w:r>
      <w:r>
        <w:rPr>
          <w:bCs/>
        </w:rPr>
        <w:t>dedor del que se tejieron, según el letrado, una serie de mentiras y falsedades, pr</w:t>
      </w:r>
      <w:r>
        <w:rPr>
          <w:bCs/>
        </w:rPr>
        <w:t>e</w:t>
      </w:r>
      <w:r>
        <w:rPr>
          <w:bCs/>
        </w:rPr>
        <w:t>guntándose la querella los motivos por los cuales, para probar un hecho tan si</w:t>
      </w:r>
      <w:r>
        <w:rPr>
          <w:bCs/>
        </w:rPr>
        <w:t>m</w:t>
      </w:r>
      <w:r>
        <w:rPr>
          <w:bCs/>
        </w:rPr>
        <w:t>ple, hubo que recurrir a ellas.</w:t>
      </w:r>
    </w:p>
    <w:p w:rsidR="00224567" w:rsidRDefault="00224567">
      <w:pPr>
        <w:widowControl w:val="0"/>
        <w:tabs>
          <w:tab w:val="left" w:pos="2835"/>
        </w:tabs>
        <w:rPr>
          <w:bCs/>
        </w:rPr>
      </w:pPr>
      <w:r>
        <w:rPr>
          <w:bCs/>
        </w:rPr>
        <w:tab/>
        <w:t>También aseguró que Rago, Barreda, Leal y Bareiro fueron contestes en señalar que podían “voltear” a Telleldín; que, antes del 10 de julio, los dos últimos reconocieron la casa de República 107, pasando luego por lo de Monjo sin justificación alguna y, por ú</w:t>
      </w:r>
      <w:r>
        <w:rPr>
          <w:bCs/>
        </w:rPr>
        <w:t>l</w:t>
      </w:r>
      <w:r>
        <w:rPr>
          <w:bCs/>
        </w:rPr>
        <w:t>timo, que en esa fecha, entre las 14.00 y las 14.30, mie</w:t>
      </w:r>
      <w:r>
        <w:rPr>
          <w:bCs/>
        </w:rPr>
        <w:t>m</w:t>
      </w:r>
      <w:r>
        <w:rPr>
          <w:bCs/>
        </w:rPr>
        <w:t xml:space="preserve">bros de la policía bonaerense retiraron del domicilio de Telleldín </w:t>
      </w:r>
      <w:smartTag w:uri="urn:schemas-microsoft-com:office:smarttags" w:element="PersonName">
        <w:smartTagPr>
          <w:attr w:name="ProductID" w:val="la Trafic"/>
        </w:smartTagPr>
        <w:r>
          <w:rPr>
            <w:bCs/>
          </w:rPr>
          <w:t>la Trafic</w:t>
        </w:r>
      </w:smartTag>
      <w:r>
        <w:rPr>
          <w:bCs/>
        </w:rPr>
        <w:t xml:space="preserve"> que éste preparó, encontrándose pr</w:t>
      </w:r>
      <w:r>
        <w:rPr>
          <w:bCs/>
        </w:rPr>
        <w:t>e</w:t>
      </w:r>
      <w:r>
        <w:rPr>
          <w:bCs/>
        </w:rPr>
        <w:t>sentes en la vivienda Leal e Ibarra, en un operativo ord</w:t>
      </w:r>
      <w:r>
        <w:rPr>
          <w:bCs/>
        </w:rPr>
        <w:t>e</w:t>
      </w:r>
      <w:r>
        <w:rPr>
          <w:bCs/>
        </w:rPr>
        <w:t>nado y controlado por R</w:t>
      </w:r>
      <w:r>
        <w:rPr>
          <w:bCs/>
        </w:rPr>
        <w:t>i</w:t>
      </w:r>
      <w:r>
        <w:rPr>
          <w:bCs/>
        </w:rPr>
        <w:t>belli.</w:t>
      </w:r>
    </w:p>
    <w:p w:rsidR="00224567" w:rsidRDefault="00224567">
      <w:pPr>
        <w:widowControl w:val="0"/>
        <w:tabs>
          <w:tab w:val="left" w:pos="2835"/>
        </w:tabs>
        <w:rPr>
          <w:bCs/>
        </w:rPr>
      </w:pPr>
      <w:r>
        <w:rPr>
          <w:bCs/>
        </w:rPr>
        <w:lastRenderedPageBreak/>
        <w:tab/>
        <w:t>Consideró que Telleldín conocía a los que se habían llevado la camioneta, atribuyendo dicha ci</w:t>
      </w:r>
      <w:r>
        <w:rPr>
          <w:bCs/>
        </w:rPr>
        <w:t>r</w:t>
      </w:r>
      <w:r>
        <w:rPr>
          <w:bCs/>
        </w:rPr>
        <w:t>cunstancia no a la casualidad sino a un elaborado plan de selección e i</w:t>
      </w:r>
      <w:r>
        <w:rPr>
          <w:bCs/>
        </w:rPr>
        <w:t>n</w:t>
      </w:r>
      <w:r>
        <w:rPr>
          <w:bCs/>
        </w:rPr>
        <w:t>teligencia pergeñado por Ribelli.</w:t>
      </w:r>
    </w:p>
    <w:p w:rsidR="00224567" w:rsidRDefault="00224567">
      <w:pPr>
        <w:widowControl w:val="0"/>
        <w:tabs>
          <w:tab w:val="left" w:pos="2835"/>
        </w:tabs>
        <w:rPr>
          <w:bCs/>
        </w:rPr>
      </w:pPr>
      <w:r>
        <w:rPr>
          <w:bCs/>
        </w:rPr>
        <w:tab/>
        <w:t>Sostuvo que era claro que Telleldín había sido elegido a sabiendas de que sembraría la inve</w:t>
      </w:r>
      <w:r>
        <w:rPr>
          <w:bCs/>
        </w:rPr>
        <w:t>s</w:t>
      </w:r>
      <w:r>
        <w:rPr>
          <w:bCs/>
        </w:rPr>
        <w:t>tigación de dudas, falsedades y ocultamie</w:t>
      </w:r>
      <w:r>
        <w:rPr>
          <w:bCs/>
        </w:rPr>
        <w:t>n</w:t>
      </w:r>
      <w:r>
        <w:rPr>
          <w:bCs/>
        </w:rPr>
        <w:t>tos.</w:t>
      </w:r>
    </w:p>
    <w:p w:rsidR="00224567" w:rsidRDefault="00224567">
      <w:pPr>
        <w:widowControl w:val="0"/>
        <w:tabs>
          <w:tab w:val="left" w:pos="2835"/>
        </w:tabs>
        <w:rPr>
          <w:bCs/>
        </w:rPr>
      </w:pPr>
      <w:r>
        <w:rPr>
          <w:bCs/>
        </w:rPr>
        <w:tab/>
        <w:t>Indicó, con relación a quienes Telle</w:t>
      </w:r>
      <w:r>
        <w:rPr>
          <w:bCs/>
        </w:rPr>
        <w:t>l</w:t>
      </w:r>
      <w:r>
        <w:rPr>
          <w:bCs/>
        </w:rPr>
        <w:t>dín imputó llevarse la camioneta el 10 de abril, que al menos dos de ellos –Leal e Ibarra- estuvieron en su dom</w:t>
      </w:r>
      <w:r>
        <w:rPr>
          <w:bCs/>
        </w:rPr>
        <w:t>i</w:t>
      </w:r>
      <w:r>
        <w:rPr>
          <w:bCs/>
        </w:rPr>
        <w:t>cilio ese día mientras que los otros –Barreda y Bareiro- merodearon la casa por esos días; presencia esta última que corroboraron Ana Boragni, quien ratificó que la pers</w:t>
      </w:r>
      <w:r>
        <w:rPr>
          <w:bCs/>
        </w:rPr>
        <w:t>o</w:t>
      </w:r>
      <w:r>
        <w:rPr>
          <w:bCs/>
        </w:rPr>
        <w:t>na que el 10 de julio fue a su domicilio a retirar la c</w:t>
      </w:r>
      <w:r>
        <w:rPr>
          <w:bCs/>
        </w:rPr>
        <w:t>a</w:t>
      </w:r>
      <w:r>
        <w:rPr>
          <w:bCs/>
        </w:rPr>
        <w:t>mioneta era un policía bonaerense o un enviado de la pol</w:t>
      </w:r>
      <w:r>
        <w:rPr>
          <w:bCs/>
        </w:rPr>
        <w:t>i</w:t>
      </w:r>
      <w:r>
        <w:rPr>
          <w:bCs/>
        </w:rPr>
        <w:t>cía y Laura Marc</w:t>
      </w:r>
      <w:r>
        <w:rPr>
          <w:bCs/>
        </w:rPr>
        <w:t>e</w:t>
      </w:r>
      <w:r>
        <w:rPr>
          <w:bCs/>
        </w:rPr>
        <w:t>la Scillone, quien relató que su marido –Cotoras- había ido ese día a la casa de Telleldín, pudie</w:t>
      </w:r>
      <w:r>
        <w:rPr>
          <w:bCs/>
        </w:rPr>
        <w:t>n</w:t>
      </w:r>
      <w:r>
        <w:rPr>
          <w:bCs/>
        </w:rPr>
        <w:t>do observar que estaba siendo amenazado por policías.</w:t>
      </w:r>
    </w:p>
    <w:p w:rsidR="00224567" w:rsidRDefault="00224567">
      <w:pPr>
        <w:widowControl w:val="0"/>
        <w:tabs>
          <w:tab w:val="left" w:pos="2835"/>
        </w:tabs>
        <w:rPr>
          <w:bCs/>
        </w:rPr>
      </w:pPr>
      <w:r>
        <w:rPr>
          <w:bCs/>
        </w:rPr>
        <w:tab/>
        <w:t xml:space="preserve">Por otra parte, la querella recalcó que también </w:t>
      </w:r>
      <w:smartTag w:uri="urn:schemas-microsoft-com:office:smarttags" w:element="PersonName">
        <w:smartTagPr>
          <w:attr w:name="ProductID" w:val="la Dra. Riva"/>
        </w:smartTagPr>
        <w:r>
          <w:rPr>
            <w:bCs/>
          </w:rPr>
          <w:t>la Dra. Riva</w:t>
        </w:r>
      </w:smartTag>
      <w:r>
        <w:rPr>
          <w:bCs/>
        </w:rPr>
        <w:t xml:space="preserve"> Aramayo le informó al juez in</w:t>
      </w:r>
      <w:r>
        <w:rPr>
          <w:bCs/>
        </w:rPr>
        <w:t>s</w:t>
      </w:r>
      <w:r>
        <w:rPr>
          <w:bCs/>
        </w:rPr>
        <w:lastRenderedPageBreak/>
        <w:t>tructor que en sus reuniones con Telleldín éste le menci</w:t>
      </w:r>
      <w:r>
        <w:rPr>
          <w:bCs/>
        </w:rPr>
        <w:t>o</w:t>
      </w:r>
      <w:r>
        <w:rPr>
          <w:bCs/>
        </w:rPr>
        <w:t xml:space="preserve">nó que </w:t>
      </w:r>
      <w:smartTag w:uri="urn:schemas-microsoft-com:office:smarttags" w:element="PersonName">
        <w:smartTagPr>
          <w:attr w:name="ProductID" w:val="la Trafic"/>
        </w:smartTagPr>
        <w:r>
          <w:rPr>
            <w:bCs/>
          </w:rPr>
          <w:t>la Trafic</w:t>
        </w:r>
      </w:smartTag>
      <w:r>
        <w:rPr>
          <w:bCs/>
        </w:rPr>
        <w:t xml:space="preserve"> utilizada en el atentado la había entr</w:t>
      </w:r>
      <w:r>
        <w:rPr>
          <w:bCs/>
        </w:rPr>
        <w:t>e</w:t>
      </w:r>
      <w:r>
        <w:rPr>
          <w:bCs/>
        </w:rPr>
        <w:t>gado a la policía bonaerense.</w:t>
      </w:r>
    </w:p>
    <w:p w:rsidR="00224567" w:rsidRDefault="00224567">
      <w:pPr>
        <w:widowControl w:val="0"/>
        <w:tabs>
          <w:tab w:val="left" w:pos="2835"/>
        </w:tabs>
        <w:rPr>
          <w:bCs/>
        </w:rPr>
      </w:pPr>
      <w:r>
        <w:rPr>
          <w:bCs/>
        </w:rPr>
        <w:tab/>
        <w:t>En el mismo sentido, aludió al escr</w:t>
      </w:r>
      <w:r>
        <w:rPr>
          <w:bCs/>
        </w:rPr>
        <w:t>i</w:t>
      </w:r>
      <w:r>
        <w:rPr>
          <w:bCs/>
        </w:rPr>
        <w:t>to dictado por Telleldín a su compañero de ce</w:t>
      </w:r>
      <w:r>
        <w:rPr>
          <w:bCs/>
        </w:rPr>
        <w:t>l</w:t>
      </w:r>
      <w:r>
        <w:rPr>
          <w:bCs/>
        </w:rPr>
        <w:t xml:space="preserve">da Jorge Daniel Damonte, del que surge que </w:t>
      </w:r>
      <w:smartTag w:uri="urn:schemas-microsoft-com:office:smarttags" w:element="PersonName">
        <w:smartTagPr>
          <w:attr w:name="ProductID" w:val="la Trafic"/>
        </w:smartTagPr>
        <w:r>
          <w:rPr>
            <w:bCs/>
          </w:rPr>
          <w:t>la Trafic</w:t>
        </w:r>
      </w:smartTag>
      <w:r>
        <w:rPr>
          <w:bCs/>
        </w:rPr>
        <w:t xml:space="preserve"> fue retirada de su domicilio por miembros de la policía bonaere</w:t>
      </w:r>
      <w:r>
        <w:rPr>
          <w:bCs/>
        </w:rPr>
        <w:t>n</w:t>
      </w:r>
      <w:r>
        <w:rPr>
          <w:bCs/>
        </w:rPr>
        <w:t>se, escoltada por un Ford Galaxy azul, mientras un Duna blanco perman</w:t>
      </w:r>
      <w:r>
        <w:rPr>
          <w:bCs/>
        </w:rPr>
        <w:t>e</w:t>
      </w:r>
      <w:r>
        <w:rPr>
          <w:bCs/>
        </w:rPr>
        <w:t>cía en las inmediaciones, como también al video que regi</w:t>
      </w:r>
      <w:r>
        <w:rPr>
          <w:bCs/>
        </w:rPr>
        <w:t>s</w:t>
      </w:r>
      <w:r>
        <w:rPr>
          <w:bCs/>
        </w:rPr>
        <w:t>tró la entrevista entre el Dr. Galeano y Telleldín, donde se ve al imputado reconocer a Leal e Ibarra, sin que haya s</w:t>
      </w:r>
      <w:r>
        <w:rPr>
          <w:bCs/>
        </w:rPr>
        <w:t>i</w:t>
      </w:r>
      <w:r>
        <w:rPr>
          <w:bCs/>
        </w:rPr>
        <w:t>do el juez quien se los señaló.</w:t>
      </w:r>
    </w:p>
    <w:p w:rsidR="00224567" w:rsidRDefault="00224567">
      <w:pPr>
        <w:widowControl w:val="0"/>
        <w:tabs>
          <w:tab w:val="left" w:pos="2835"/>
        </w:tabs>
        <w:rPr>
          <w:bCs/>
        </w:rPr>
      </w:pPr>
      <w:r>
        <w:rPr>
          <w:bCs/>
        </w:rPr>
        <w:tab/>
        <w:t>Hizo referencia, además, a la última declaración de T</w:t>
      </w:r>
      <w:r>
        <w:rPr>
          <w:bCs/>
        </w:rPr>
        <w:t>e</w:t>
      </w:r>
      <w:r>
        <w:rPr>
          <w:bCs/>
        </w:rPr>
        <w:t>lleldín prestada en esta sede, en la que indicó la ub</w:t>
      </w:r>
      <w:r>
        <w:rPr>
          <w:bCs/>
        </w:rPr>
        <w:t>i</w:t>
      </w:r>
      <w:r>
        <w:rPr>
          <w:bCs/>
        </w:rPr>
        <w:t>cación de los autos, el 10 de julio, frente a su domicilio y a las falsedades en que inc</w:t>
      </w:r>
      <w:r>
        <w:rPr>
          <w:bCs/>
        </w:rPr>
        <w:t>u</w:t>
      </w:r>
      <w:r>
        <w:rPr>
          <w:bCs/>
        </w:rPr>
        <w:t>rrió Leal, cuya presencia ese día no fue una casual</w:t>
      </w:r>
      <w:r>
        <w:rPr>
          <w:bCs/>
        </w:rPr>
        <w:t>i</w:t>
      </w:r>
      <w:r>
        <w:rPr>
          <w:bCs/>
        </w:rPr>
        <w:t>dad, explicándose sólo por su vinculación con el intento de exto</w:t>
      </w:r>
      <w:r>
        <w:rPr>
          <w:bCs/>
        </w:rPr>
        <w:t>r</w:t>
      </w:r>
      <w:r>
        <w:rPr>
          <w:bCs/>
        </w:rPr>
        <w:t>sión.  Concluyó que Leal “...estuvo ahí el 10 y esto llamó la unánime atención de Barreda y Bareiro. Y esta suspicacia que de</w:t>
      </w:r>
      <w:r>
        <w:rPr>
          <w:bCs/>
        </w:rPr>
        <w:t>s</w:t>
      </w:r>
      <w:r>
        <w:rPr>
          <w:bCs/>
        </w:rPr>
        <w:t>pierta en ellos, que B</w:t>
      </w:r>
      <w:r>
        <w:rPr>
          <w:bCs/>
        </w:rPr>
        <w:t>a</w:t>
      </w:r>
      <w:r>
        <w:rPr>
          <w:bCs/>
        </w:rPr>
        <w:t xml:space="preserve">reiro expone con detalles y razones </w:t>
      </w:r>
      <w:r>
        <w:rPr>
          <w:bCs/>
        </w:rPr>
        <w:lastRenderedPageBreak/>
        <w:t>al juez, es un indicio de la razón de su presencia y de por qué no fue ‘volteado’ Telleldín ese fin de semana. A</w:t>
      </w:r>
      <w:r>
        <w:rPr>
          <w:bCs/>
        </w:rPr>
        <w:t>l</w:t>
      </w:r>
      <w:r>
        <w:rPr>
          <w:bCs/>
        </w:rPr>
        <w:t>guien de mucho peso y poder se lo impidió: Rib</w:t>
      </w:r>
      <w:r>
        <w:rPr>
          <w:bCs/>
        </w:rPr>
        <w:t>e</w:t>
      </w:r>
      <w:r>
        <w:rPr>
          <w:bCs/>
        </w:rPr>
        <w:t>lli”.</w:t>
      </w:r>
    </w:p>
    <w:p w:rsidR="00224567" w:rsidRDefault="00224567">
      <w:pPr>
        <w:widowControl w:val="0"/>
        <w:tabs>
          <w:tab w:val="left" w:pos="2835"/>
        </w:tabs>
        <w:rPr>
          <w:bCs/>
        </w:rPr>
      </w:pPr>
      <w:r>
        <w:rPr>
          <w:bCs/>
        </w:rPr>
        <w:tab/>
        <w:t>Mencionó, igualmente, a los periodi</w:t>
      </w:r>
      <w:r>
        <w:rPr>
          <w:bCs/>
        </w:rPr>
        <w:t>s</w:t>
      </w:r>
      <w:r>
        <w:rPr>
          <w:bCs/>
        </w:rPr>
        <w:t>tas Lejtman y Kollmann, quienes ratificaron ante el trib</w:t>
      </w:r>
      <w:r>
        <w:rPr>
          <w:bCs/>
        </w:rPr>
        <w:t>u</w:t>
      </w:r>
      <w:r>
        <w:rPr>
          <w:bCs/>
        </w:rPr>
        <w:t>nal que en conversaciones mantenidas con Telleldín, éste les había dado el sobrenombre de “Pino”, el que por aver</w:t>
      </w:r>
      <w:r>
        <w:rPr>
          <w:bCs/>
        </w:rPr>
        <w:t>i</w:t>
      </w:r>
      <w:r>
        <w:rPr>
          <w:bCs/>
        </w:rPr>
        <w:t>guaciones pudieron determinar que se tr</w:t>
      </w:r>
      <w:r>
        <w:rPr>
          <w:bCs/>
        </w:rPr>
        <w:t>a</w:t>
      </w:r>
      <w:r>
        <w:rPr>
          <w:bCs/>
        </w:rPr>
        <w:t>taba de Leal.</w:t>
      </w:r>
    </w:p>
    <w:p w:rsidR="00224567" w:rsidRDefault="00224567">
      <w:pPr>
        <w:widowControl w:val="0"/>
        <w:tabs>
          <w:tab w:val="left" w:pos="2835"/>
        </w:tabs>
        <w:rPr>
          <w:bCs/>
        </w:rPr>
      </w:pPr>
      <w:r>
        <w:rPr>
          <w:bCs/>
        </w:rPr>
        <w:tab/>
        <w:t>Respecto de la presencia de Ib</w:t>
      </w:r>
      <w:r>
        <w:rPr>
          <w:bCs/>
        </w:rPr>
        <w:t>a</w:t>
      </w:r>
      <w:r>
        <w:rPr>
          <w:bCs/>
        </w:rPr>
        <w:t>rra en República 107, el 10 de abril de 1994, el Dr. Ávila cons</w:t>
      </w:r>
      <w:r>
        <w:rPr>
          <w:bCs/>
        </w:rPr>
        <w:t>i</w:t>
      </w:r>
      <w:r>
        <w:rPr>
          <w:bCs/>
        </w:rPr>
        <w:t>deró que en el video de abril de 1996 Telleldín fue espo</w:t>
      </w:r>
      <w:r>
        <w:rPr>
          <w:bCs/>
        </w:rPr>
        <w:t>n</w:t>
      </w:r>
      <w:r>
        <w:rPr>
          <w:bCs/>
        </w:rPr>
        <w:t>táneo al reconocer la foto de aquél y que también Ana B</w:t>
      </w:r>
      <w:r>
        <w:rPr>
          <w:bCs/>
        </w:rPr>
        <w:t>o</w:t>
      </w:r>
      <w:r>
        <w:rPr>
          <w:bCs/>
        </w:rPr>
        <w:t>ragni lo reconoció en su declaración test</w:t>
      </w:r>
      <w:r>
        <w:rPr>
          <w:bCs/>
        </w:rPr>
        <w:t>i</w:t>
      </w:r>
      <w:r>
        <w:rPr>
          <w:bCs/>
        </w:rPr>
        <w:t>monial.</w:t>
      </w:r>
    </w:p>
    <w:p w:rsidR="00224567" w:rsidRDefault="00224567">
      <w:pPr>
        <w:widowControl w:val="0"/>
        <w:tabs>
          <w:tab w:val="left" w:pos="2835"/>
        </w:tabs>
        <w:rPr>
          <w:bCs/>
        </w:rPr>
      </w:pPr>
      <w:r>
        <w:rPr>
          <w:bCs/>
        </w:rPr>
        <w:tab/>
        <w:t>Destacó que la maniobra de desvío p</w:t>
      </w:r>
      <w:r>
        <w:rPr>
          <w:bCs/>
        </w:rPr>
        <w:t>a</w:t>
      </w:r>
      <w:r>
        <w:rPr>
          <w:bCs/>
        </w:rPr>
        <w:t>ra sacar a Ribelli de la escena y colocar a Alí en su l</w:t>
      </w:r>
      <w:r>
        <w:rPr>
          <w:bCs/>
        </w:rPr>
        <w:t>u</w:t>
      </w:r>
      <w:r>
        <w:rPr>
          <w:bCs/>
        </w:rPr>
        <w:t>gar, tratando de hacer creer que Telleldín lo había confundido, sólo se explicaba si el que efe</w:t>
      </w:r>
      <w:r>
        <w:rPr>
          <w:bCs/>
        </w:rPr>
        <w:t>c</w:t>
      </w:r>
      <w:r>
        <w:rPr>
          <w:bCs/>
        </w:rPr>
        <w:t>tivamente estuvo en lo de éste últ</w:t>
      </w:r>
      <w:r>
        <w:rPr>
          <w:bCs/>
        </w:rPr>
        <w:t>i</w:t>
      </w:r>
      <w:r>
        <w:rPr>
          <w:bCs/>
        </w:rPr>
        <w:t>mo fue Ibarra.</w:t>
      </w:r>
    </w:p>
    <w:p w:rsidR="00224567" w:rsidRDefault="00224567">
      <w:pPr>
        <w:widowControl w:val="0"/>
        <w:tabs>
          <w:tab w:val="left" w:pos="2835"/>
        </w:tabs>
        <w:rPr>
          <w:bCs/>
        </w:rPr>
      </w:pPr>
      <w:r>
        <w:rPr>
          <w:bCs/>
        </w:rPr>
        <w:tab/>
        <w:t>Sostuvo que, pese a sus esfuerzos p</w:t>
      </w:r>
      <w:r>
        <w:rPr>
          <w:bCs/>
        </w:rPr>
        <w:t>a</w:t>
      </w:r>
      <w:r>
        <w:rPr>
          <w:bCs/>
        </w:rPr>
        <w:t xml:space="preserve">ra hacer creer lo contrario, Ribelli se encontraba en esta </w:t>
      </w:r>
      <w:r>
        <w:rPr>
          <w:bCs/>
        </w:rPr>
        <w:lastRenderedPageBreak/>
        <w:t>ciudad a la hora de la entrega de la cami</w:t>
      </w:r>
      <w:r>
        <w:rPr>
          <w:bCs/>
        </w:rPr>
        <w:t>o</w:t>
      </w:r>
      <w:r>
        <w:rPr>
          <w:bCs/>
        </w:rPr>
        <w:t xml:space="preserve">neta, reseñando para ello sus viajes a la zona de </w:t>
      </w:r>
      <w:smartTag w:uri="urn:schemas-microsoft-com:office:smarttags" w:element="PersonName">
        <w:smartTagPr>
          <w:attr w:name="ProductID" w:val="la Triple Frontera"/>
        </w:smartTagPr>
        <w:r>
          <w:rPr>
            <w:bCs/>
          </w:rPr>
          <w:t>la Triple Frontera</w:t>
        </w:r>
      </w:smartTag>
      <w:r>
        <w:rPr>
          <w:bCs/>
        </w:rPr>
        <w:t>, e</w:t>
      </w:r>
      <w:r>
        <w:rPr>
          <w:bCs/>
        </w:rPr>
        <w:t>n</w:t>
      </w:r>
      <w:r>
        <w:rPr>
          <w:bCs/>
        </w:rPr>
        <w:t>tre el 6 y el 10 de julio y a Brasil entre el 13 y el 19 del mismo mes, trayendo a colación los dichos de Marcela Bouzón, los registros del c</w:t>
      </w:r>
      <w:r>
        <w:rPr>
          <w:bCs/>
        </w:rPr>
        <w:t>e</w:t>
      </w:r>
      <w:r>
        <w:rPr>
          <w:bCs/>
        </w:rPr>
        <w:t>lular 440-6746, el informe de fs. 49.766/49.769, un video que registró un tramo de su viaje y las declar</w:t>
      </w:r>
      <w:r>
        <w:rPr>
          <w:bCs/>
        </w:rPr>
        <w:t>a</w:t>
      </w:r>
      <w:r>
        <w:rPr>
          <w:bCs/>
        </w:rPr>
        <w:t>ciones de Carlos Alberto Luna y las de otros controladores aéreos. Destacó que Ribelli, “casua</w:t>
      </w:r>
      <w:r>
        <w:rPr>
          <w:bCs/>
        </w:rPr>
        <w:t>l</w:t>
      </w:r>
      <w:r>
        <w:rPr>
          <w:bCs/>
        </w:rPr>
        <w:t>mente”, se encontró de viaje en dos m</w:t>
      </w:r>
      <w:r>
        <w:rPr>
          <w:bCs/>
        </w:rPr>
        <w:t>o</w:t>
      </w:r>
      <w:r>
        <w:rPr>
          <w:bCs/>
        </w:rPr>
        <w:t>mentos claves -entrega de la camioneta y atentado-, tratándose en real</w:t>
      </w:r>
      <w:r>
        <w:rPr>
          <w:bCs/>
        </w:rPr>
        <w:t>i</w:t>
      </w:r>
      <w:r>
        <w:rPr>
          <w:bCs/>
        </w:rPr>
        <w:t>dad de sendas coa</w:t>
      </w:r>
      <w:r>
        <w:rPr>
          <w:bCs/>
        </w:rPr>
        <w:t>r</w:t>
      </w:r>
      <w:r>
        <w:rPr>
          <w:bCs/>
        </w:rPr>
        <w:t>tadas diseñadas para aparecer ausente en esas dos oc</w:t>
      </w:r>
      <w:r>
        <w:rPr>
          <w:bCs/>
        </w:rPr>
        <w:t>a</w:t>
      </w:r>
      <w:r>
        <w:rPr>
          <w:bCs/>
        </w:rPr>
        <w:t>siones.</w:t>
      </w:r>
    </w:p>
    <w:p w:rsidR="00224567" w:rsidRDefault="00224567">
      <w:pPr>
        <w:widowControl w:val="0"/>
        <w:tabs>
          <w:tab w:val="left" w:pos="2835"/>
        </w:tabs>
      </w:pPr>
      <w:r>
        <w:rPr>
          <w:bCs/>
        </w:rPr>
        <w:tab/>
        <w:t>Con relación a la donación del padre de Rib</w:t>
      </w:r>
      <w:r>
        <w:rPr>
          <w:bCs/>
        </w:rPr>
        <w:t>e</w:t>
      </w:r>
      <w:r>
        <w:rPr>
          <w:bCs/>
        </w:rPr>
        <w:t>lli a sus hijos, e</w:t>
      </w:r>
      <w:r>
        <w:t>l Dr. Ávila sostuvo que era falso que aquel tuvi</w:t>
      </w:r>
      <w:r>
        <w:t>e</w:t>
      </w:r>
      <w:r>
        <w:t xml:space="preserve">ra esa suma para donar, en razón que en los sistemas de cruce de información de </w:t>
      </w:r>
      <w:smartTag w:uri="urn:schemas-microsoft-com:office:smarttags" w:element="PersonName">
        <w:smartTagPr>
          <w:attr w:name="ProductID" w:val="la Administraci￳n Federal"/>
        </w:smartTagPr>
        <w:r>
          <w:t>la Administración F</w:t>
        </w:r>
        <w:r>
          <w:t>e</w:t>
        </w:r>
        <w:r>
          <w:t>deral</w:t>
        </w:r>
      </w:smartTag>
      <w:r>
        <w:t xml:space="preserve"> de Ingresos Públicos no apareció registrado en act</w:t>
      </w:r>
      <w:r>
        <w:t>i</w:t>
      </w:r>
      <w:r>
        <w:t>vidad alguna en la que hubiera podido obtener una rentab</w:t>
      </w:r>
      <w:r>
        <w:t>i</w:t>
      </w:r>
      <w:r>
        <w:t>lidad acorde con semejante ahorro, no habiéndose  acred</w:t>
      </w:r>
      <w:r>
        <w:t>i</w:t>
      </w:r>
      <w:r>
        <w:t>tado tampoco que todo o parte  de esa fortuna  se haya h</w:t>
      </w:r>
      <w:r>
        <w:t>e</w:t>
      </w:r>
      <w:r>
        <w:t>cho ostensible, de algún modo, en algún momento. En ab</w:t>
      </w:r>
      <w:r>
        <w:t>o</w:t>
      </w:r>
      <w:r>
        <w:t xml:space="preserve">no </w:t>
      </w:r>
      <w:r>
        <w:lastRenderedPageBreak/>
        <w:t>de lo expuesto, mencionó la declaración de Jaime Le</w:t>
      </w:r>
      <w:r>
        <w:t>o</w:t>
      </w:r>
      <w:r>
        <w:t>nardo Mecikovsky quien dijo “que nunca vio una cosa igual”.</w:t>
      </w:r>
    </w:p>
    <w:p w:rsidR="00224567" w:rsidRDefault="00224567">
      <w:pPr>
        <w:widowControl w:val="0"/>
        <w:tabs>
          <w:tab w:val="left" w:pos="2835"/>
        </w:tabs>
      </w:pPr>
      <w:r>
        <w:tab/>
        <w:t>Sostuvo, además, que la urgencia de esa donación sólo puede explicarse como un blanqueo del dinero mal habido, por cuanto Ribelli confesó no haber t</w:t>
      </w:r>
      <w:r>
        <w:t>e</w:t>
      </w:r>
      <w:r>
        <w:t>nido nunca ese tipo de ingresos; máxime cuando los expe</w:t>
      </w:r>
      <w:r>
        <w:t>r</w:t>
      </w:r>
      <w:r>
        <w:t>tos Mecikovsky y Blanco Álvarez señalaron que este proc</w:t>
      </w:r>
      <w:r>
        <w:t>e</w:t>
      </w:r>
      <w:r>
        <w:t>dimiento no servía a t</w:t>
      </w:r>
      <w:r>
        <w:t>a</w:t>
      </w:r>
      <w:r>
        <w:t>les fines.</w:t>
      </w:r>
    </w:p>
    <w:p w:rsidR="00224567" w:rsidRDefault="00224567">
      <w:pPr>
        <w:widowControl w:val="0"/>
        <w:tabs>
          <w:tab w:val="left" w:pos="2835"/>
        </w:tabs>
        <w:rPr>
          <w:bCs/>
        </w:rPr>
      </w:pPr>
      <w:r>
        <w:tab/>
        <w:t>También el apoderado de la querella unificada tuvo por probado que para el año 1994 Ribelli era propietario de las agencias “Automotores Paola” y “A</w:t>
      </w:r>
      <w:r>
        <w:t>u</w:t>
      </w:r>
      <w:r>
        <w:t>toprix”, ubicadas en la zona sur del Gran Buenos Aires, conforme se desprende de la prueba documental y testim</w:t>
      </w:r>
      <w:r>
        <w:t>o</w:t>
      </w:r>
      <w:r>
        <w:t>nial que surge del legajo 22-A incorporado a la causa y de los dichos de</w:t>
      </w:r>
      <w:r>
        <w:rPr>
          <w:bCs/>
        </w:rPr>
        <w:t xml:space="preserve"> Ángel Rubén Varela, Juan Ca</w:t>
      </w:r>
      <w:r>
        <w:rPr>
          <w:bCs/>
        </w:rPr>
        <w:t>r</w:t>
      </w:r>
      <w:r>
        <w:rPr>
          <w:bCs/>
        </w:rPr>
        <w:t>los Negrón, Hugo Patricio R</w:t>
      </w:r>
      <w:r>
        <w:rPr>
          <w:bCs/>
        </w:rPr>
        <w:t>e</w:t>
      </w:r>
      <w:r>
        <w:rPr>
          <w:bCs/>
        </w:rPr>
        <w:t>yes, Juan Carlos Nicolau, Juan Carlos Vázquez, Catalino José Humerez, Marcela Bouzón, Ricardo Alberto González, Héctor Carlos Sobico, Mariana Karina Brema y Reinaldo Álvarez, entre otros.</w:t>
      </w:r>
    </w:p>
    <w:p w:rsidR="00224567" w:rsidRDefault="00224567">
      <w:pPr>
        <w:widowControl w:val="0"/>
        <w:tabs>
          <w:tab w:val="left" w:pos="2835"/>
        </w:tabs>
        <w:rPr>
          <w:bCs/>
        </w:rPr>
      </w:pPr>
      <w:r>
        <w:rPr>
          <w:bCs/>
        </w:rPr>
        <w:tab/>
        <w:t xml:space="preserve">Consideró que la negativa de Ribelli </w:t>
      </w:r>
      <w:r>
        <w:rPr>
          <w:bCs/>
        </w:rPr>
        <w:lastRenderedPageBreak/>
        <w:t>en admitir la titularidad o su participación en la propi</w:t>
      </w:r>
      <w:r>
        <w:rPr>
          <w:bCs/>
        </w:rPr>
        <w:t>e</w:t>
      </w:r>
      <w:r>
        <w:rPr>
          <w:bCs/>
        </w:rPr>
        <w:t>dad de ambos comercios, procuraba desconocer que allí se desarrollaban actividades ilícitas o irregulares en fam</w:t>
      </w:r>
      <w:r>
        <w:rPr>
          <w:bCs/>
        </w:rPr>
        <w:t>i</w:t>
      </w:r>
      <w:r>
        <w:rPr>
          <w:bCs/>
        </w:rPr>
        <w:t>liaridad con la comercialización de vehíc</w:t>
      </w:r>
      <w:r>
        <w:rPr>
          <w:bCs/>
        </w:rPr>
        <w:t>u</w:t>
      </w:r>
      <w:r>
        <w:rPr>
          <w:bCs/>
        </w:rPr>
        <w:t>los mal habidos; comercios que, a su vez, se utilizaban como punto de reunión de aquél con sus hombres de confianza, conforme surgió de los testimonios de Juan Carlos Nicolau, subof</w:t>
      </w:r>
      <w:r>
        <w:rPr>
          <w:bCs/>
        </w:rPr>
        <w:t>i</w:t>
      </w:r>
      <w:r>
        <w:rPr>
          <w:bCs/>
        </w:rPr>
        <w:t>cial del entorno íntimo de Ribelli, Jorge Luis Álvarez M</w:t>
      </w:r>
      <w:r>
        <w:rPr>
          <w:bCs/>
        </w:rPr>
        <w:t>a</w:t>
      </w:r>
      <w:r>
        <w:rPr>
          <w:bCs/>
        </w:rPr>
        <w:t>tus y Rolando Marcelo Souto, ambos empleados de las age</w:t>
      </w:r>
      <w:r>
        <w:rPr>
          <w:bCs/>
        </w:rPr>
        <w:t>n</w:t>
      </w:r>
      <w:r>
        <w:rPr>
          <w:bCs/>
        </w:rPr>
        <w:t>cias, Jorge  Alberto Palacios,  Roberto De Lucía y  Marc</w:t>
      </w:r>
      <w:r>
        <w:rPr>
          <w:bCs/>
        </w:rPr>
        <w:t>e</w:t>
      </w:r>
      <w:r>
        <w:rPr>
          <w:bCs/>
        </w:rPr>
        <w:t xml:space="preserve">lo de </w:t>
      </w:r>
      <w:smartTag w:uri="urn:schemas-microsoft-com:office:smarttags" w:element="PersonName">
        <w:smartTagPr>
          <w:attr w:name="ProductID" w:val="La Llave"/>
        </w:smartTagPr>
        <w:r>
          <w:rPr>
            <w:bCs/>
          </w:rPr>
          <w:t>La Llave</w:t>
        </w:r>
      </w:smartTag>
      <w:r>
        <w:rPr>
          <w:bCs/>
        </w:rPr>
        <w:t>,  Mecikov</w:t>
      </w:r>
      <w:r>
        <w:rPr>
          <w:bCs/>
        </w:rPr>
        <w:t>s</w:t>
      </w:r>
      <w:r>
        <w:rPr>
          <w:bCs/>
        </w:rPr>
        <w:t>ky, Blanco Álvarez, Armando  Raúl Brema -contador de Rib</w:t>
      </w:r>
      <w:r>
        <w:rPr>
          <w:bCs/>
        </w:rPr>
        <w:t>e</w:t>
      </w:r>
      <w:r>
        <w:rPr>
          <w:bCs/>
        </w:rPr>
        <w:t>lli- y Mariana Karina Brema.</w:t>
      </w:r>
    </w:p>
    <w:p w:rsidR="00224567" w:rsidRDefault="00224567">
      <w:pPr>
        <w:widowControl w:val="0"/>
        <w:tabs>
          <w:tab w:val="left" w:pos="2835"/>
        </w:tabs>
      </w:pPr>
      <w:r>
        <w:rPr>
          <w:bCs/>
        </w:rPr>
        <w:tab/>
        <w:t>Asimismo, consideró por demás sugest</w:t>
      </w:r>
      <w:r>
        <w:rPr>
          <w:bCs/>
        </w:rPr>
        <w:t>i</w:t>
      </w:r>
      <w:r>
        <w:rPr>
          <w:bCs/>
        </w:rPr>
        <w:t>vos los dichos de Álvarez Matus y de Catalino José Hum</w:t>
      </w:r>
      <w:r>
        <w:rPr>
          <w:bCs/>
        </w:rPr>
        <w:t>e</w:t>
      </w:r>
      <w:r>
        <w:rPr>
          <w:bCs/>
        </w:rPr>
        <w:t>rez en cuanto al pasaje de la camioneta por las manos de Rib</w:t>
      </w:r>
      <w:r>
        <w:rPr>
          <w:bCs/>
        </w:rPr>
        <w:t>e</w:t>
      </w:r>
      <w:r>
        <w:rPr>
          <w:bCs/>
        </w:rPr>
        <w:t>lli; el primero de ellos, empleado de “Autoprix”, dijo h</w:t>
      </w:r>
      <w:r>
        <w:rPr>
          <w:bCs/>
        </w:rPr>
        <w:t>a</w:t>
      </w:r>
      <w:r>
        <w:rPr>
          <w:bCs/>
        </w:rPr>
        <w:t>ber visto que Ribelli se fue una mañana conduciendo una Trafic blanca, no vo</w:t>
      </w:r>
      <w:r>
        <w:rPr>
          <w:bCs/>
        </w:rPr>
        <w:t>l</w:t>
      </w:r>
      <w:r>
        <w:rPr>
          <w:bCs/>
        </w:rPr>
        <w:t>viendo ese día y que no era habitual que el nombrado se llevara un vehículo de la agencia co</w:t>
      </w:r>
      <w:r>
        <w:rPr>
          <w:bCs/>
        </w:rPr>
        <w:t>n</w:t>
      </w:r>
      <w:r>
        <w:rPr>
          <w:bCs/>
        </w:rPr>
        <w:t>duciéndolo él mismo. Humérez, por su parte, manifestó h</w:t>
      </w:r>
      <w:r>
        <w:rPr>
          <w:bCs/>
        </w:rPr>
        <w:t>a</w:t>
      </w:r>
      <w:r>
        <w:rPr>
          <w:bCs/>
        </w:rPr>
        <w:t xml:space="preserve">ber visto tres Trafic en “Automotores Paola”, una de ellas </w:t>
      </w:r>
      <w:r>
        <w:rPr>
          <w:bCs/>
        </w:rPr>
        <w:lastRenderedPageBreak/>
        <w:t>con su piso desmant</w:t>
      </w:r>
      <w:r>
        <w:rPr>
          <w:bCs/>
        </w:rPr>
        <w:t>e</w:t>
      </w:r>
      <w:r>
        <w:rPr>
          <w:bCs/>
        </w:rPr>
        <w:t>lado.</w:t>
      </w:r>
    </w:p>
    <w:p w:rsidR="00224567" w:rsidRDefault="00224567">
      <w:pPr>
        <w:widowControl w:val="0"/>
        <w:tabs>
          <w:tab w:val="left" w:pos="2835"/>
        </w:tabs>
      </w:pPr>
      <w:r>
        <w:tab/>
        <w:t>En el mismo sentido, estimó que las declaraciones de Pedro A. Klodczyk y Armando Calabró, en las que sostuvieron que Ribelli podría haber entr</w:t>
      </w:r>
      <w:r>
        <w:t>e</w:t>
      </w:r>
      <w:r>
        <w:t>gado la camioneta sólo por motivaciones económicas, e</w:t>
      </w:r>
      <w:r>
        <w:t>x</w:t>
      </w:r>
      <w:r>
        <w:t>plicaban -a juicio del letrado de la querella unificada- la elección del nombr</w:t>
      </w:r>
      <w:r>
        <w:t>a</w:t>
      </w:r>
      <w:r>
        <w:t>do para el participar en el hecho en estudio.</w:t>
      </w:r>
    </w:p>
    <w:p w:rsidR="00224567" w:rsidRDefault="00224567">
      <w:pPr>
        <w:widowControl w:val="0"/>
        <w:tabs>
          <w:tab w:val="left" w:pos="2835"/>
        </w:tabs>
      </w:pPr>
      <w:r>
        <w:tab/>
        <w:t>El letrado concluyó que este tercer pilar, que complementa los otros dos acerca de la materi</w:t>
      </w:r>
      <w:r>
        <w:t>a</w:t>
      </w:r>
      <w:r>
        <w:t xml:space="preserve">lidad del atentado con </w:t>
      </w:r>
      <w:smartTag w:uri="urn:schemas-microsoft-com:office:smarttags" w:element="PersonName">
        <w:smartTagPr>
          <w:attr w:name="ProductID" w:val="la Trafic"/>
        </w:smartTagPr>
        <w:r>
          <w:t>la Trafic</w:t>
        </w:r>
      </w:smartTag>
      <w:r>
        <w:t xml:space="preserve"> que armó Telleldín, se basa en un conjunto sólido de indicios que sólo r</w:t>
      </w:r>
      <w:r>
        <w:t>e</w:t>
      </w:r>
      <w:r>
        <w:t>ciben su explicación a partir de la existencia inferida de un e</w:t>
      </w:r>
      <w:r>
        <w:t>n</w:t>
      </w:r>
      <w:r>
        <w:t>cargo a Ribelli por parte de quienes organizaron el ate</w:t>
      </w:r>
      <w:r>
        <w:t>n</w:t>
      </w:r>
      <w:r>
        <w:t>tado.</w:t>
      </w:r>
    </w:p>
    <w:p w:rsidR="00224567" w:rsidRDefault="00224567">
      <w:pPr>
        <w:widowControl w:val="0"/>
        <w:tabs>
          <w:tab w:val="left" w:pos="2835"/>
        </w:tabs>
      </w:pPr>
      <w:r>
        <w:tab/>
        <w:t>Al respecto, indicó una serie de ci</w:t>
      </w:r>
      <w:r>
        <w:t>r</w:t>
      </w:r>
      <w:r>
        <w:t>cunstancias por las cuales el nombrado era la persona ideal para tal cometido: su personalidad y rango, sus c</w:t>
      </w:r>
      <w:r>
        <w:t>o</w:t>
      </w:r>
      <w:r>
        <w:t>nocimientos operativos y contactos necesarios para la op</w:t>
      </w:r>
      <w:r>
        <w:t>e</w:t>
      </w:r>
      <w:r>
        <w:t>ración, el conocimiento que tenía de Telleldín, sus coa</w:t>
      </w:r>
      <w:r>
        <w:t>r</w:t>
      </w:r>
      <w:r>
        <w:t xml:space="preserve">tadas ante los oportunos viajes y su presencia en Ciudad </w:t>
      </w:r>
      <w:r>
        <w:lastRenderedPageBreak/>
        <w:t>del Este, registrando en forma ostensible su hora de ll</w:t>
      </w:r>
      <w:r>
        <w:t>e</w:t>
      </w:r>
      <w:r>
        <w:t>gada a Buenos Aires. Hizo referencia, también, al “apri</w:t>
      </w:r>
      <w:r>
        <w:t>e</w:t>
      </w:r>
      <w:r>
        <w:t>te” del 4 de abril con la correspondiente sucesión de me</w:t>
      </w:r>
      <w:r>
        <w:t>n</w:t>
      </w:r>
      <w:r>
        <w:t>tiras pr</w:t>
      </w:r>
      <w:r>
        <w:t>o</w:t>
      </w:r>
      <w:r>
        <w:t>badas en la audiencia.</w:t>
      </w:r>
    </w:p>
    <w:p w:rsidR="00224567" w:rsidRDefault="00224567">
      <w:pPr>
        <w:widowControl w:val="0"/>
        <w:tabs>
          <w:tab w:val="left" w:pos="2835"/>
        </w:tabs>
      </w:pPr>
      <w:r>
        <w:tab/>
        <w:t>Concluyó que, de acuerdo a la prueba producida durante el debate, todos los interrogantes que planteó el juicio llevan a vincular a Ribelli con los t</w:t>
      </w:r>
      <w:r>
        <w:t>e</w:t>
      </w:r>
      <w:r>
        <w:t>rroristas que planearon el atent</w:t>
      </w:r>
      <w:r>
        <w:t>a</w:t>
      </w:r>
      <w:r>
        <w:t>do; además, una serie de indicios, sumados a la presencia permanente de policías bonaerenses en derredor de Telleldín, const</w:t>
      </w:r>
      <w:r>
        <w:t>i</w:t>
      </w:r>
      <w:r>
        <w:t>tuía algo más que una mera casualidad.</w:t>
      </w:r>
    </w:p>
    <w:p w:rsidR="00224567" w:rsidRDefault="00224567">
      <w:pPr>
        <w:widowControl w:val="0"/>
        <w:tabs>
          <w:tab w:val="left" w:pos="2835"/>
        </w:tabs>
      </w:pPr>
      <w:r>
        <w:tab/>
        <w:t>El Dr. Ávila también sostuvo que este último, tanto por el armado de la camioneta y sus consta</w:t>
      </w:r>
      <w:r>
        <w:t>n</w:t>
      </w:r>
      <w:r>
        <w:t>tes falsedades como por las mentiras que volcó en su pr</w:t>
      </w:r>
      <w:r>
        <w:t>i</w:t>
      </w:r>
      <w:r>
        <w:t>mera indagatoria, fue absolutamente funcional al plan t</w:t>
      </w:r>
      <w:r>
        <w:t>e</w:t>
      </w:r>
      <w:r>
        <w:t>rrorista y por ende no casual.</w:t>
      </w:r>
    </w:p>
    <w:p w:rsidR="00224567" w:rsidRDefault="00224567">
      <w:pPr>
        <w:widowControl w:val="0"/>
        <w:tabs>
          <w:tab w:val="left" w:pos="2835"/>
        </w:tabs>
      </w:pPr>
      <w:r>
        <w:tab/>
        <w:t>Resaltó que todo ello forma un cuadro de presunciones graves que, aunado a la pru</w:t>
      </w:r>
      <w:r>
        <w:t>e</w:t>
      </w:r>
      <w:r>
        <w:t>ba acerca de  la materialidad de los hechos, permite responsabilizar a los imputados en estas actuaciones por el hecho en cue</w:t>
      </w:r>
      <w:r>
        <w:t>s</w:t>
      </w:r>
      <w:r>
        <w:t>tión.</w:t>
      </w:r>
    </w:p>
    <w:p w:rsidR="00224567" w:rsidRDefault="00224567">
      <w:pPr>
        <w:widowControl w:val="0"/>
        <w:tabs>
          <w:tab w:val="left" w:pos="2835"/>
        </w:tabs>
      </w:pPr>
      <w:r>
        <w:lastRenderedPageBreak/>
        <w:tab/>
        <w:t>Explicó, en esa inteligencia, que el tercer pilar encue</w:t>
      </w:r>
      <w:r>
        <w:t>n</w:t>
      </w:r>
      <w:r>
        <w:t>tra apoyo y corroboración en un cuarto, construido sobre la base de las a</w:t>
      </w:r>
      <w:r>
        <w:t>c</w:t>
      </w:r>
      <w:r>
        <w:t>titudes de los imputados y en los desvíos de la investigación para eludir sus re</w:t>
      </w:r>
      <w:r>
        <w:t>s</w:t>
      </w:r>
      <w:r>
        <w:t>ponsabil</w:t>
      </w:r>
      <w:r>
        <w:t>i</w:t>
      </w:r>
      <w:r>
        <w:t>dades.</w:t>
      </w:r>
    </w:p>
    <w:p w:rsidR="00224567" w:rsidRDefault="00224567">
      <w:pPr>
        <w:widowControl w:val="0"/>
        <w:tabs>
          <w:tab w:val="left" w:pos="2835"/>
        </w:tabs>
      </w:pPr>
      <w:r>
        <w:tab/>
        <w:t>Alegó que la participación en un hecho de las características del ocurrido el 10 de j</w:t>
      </w:r>
      <w:r>
        <w:t>u</w:t>
      </w:r>
      <w:r>
        <w:t>lio de 1994 se probaba no sólo por lo que se hace antes o concomita</w:t>
      </w:r>
      <w:r>
        <w:t>n</w:t>
      </w:r>
      <w:r>
        <w:t>temente, sino también por el actuar posterior de sus pr</w:t>
      </w:r>
      <w:r>
        <w:t>o</w:t>
      </w:r>
      <w:r>
        <w:t>tagonistas.</w:t>
      </w:r>
    </w:p>
    <w:p w:rsidR="00224567" w:rsidRDefault="00224567">
      <w:pPr>
        <w:widowControl w:val="0"/>
        <w:tabs>
          <w:tab w:val="left" w:pos="2835"/>
        </w:tabs>
        <w:rPr>
          <w:bCs/>
          <w:color w:val="000000"/>
        </w:rPr>
      </w:pPr>
      <w:r>
        <w:tab/>
      </w:r>
      <w:r>
        <w:rPr>
          <w:bCs/>
        </w:rPr>
        <w:t xml:space="preserve">Al respecto, el letrado consideró que el </w:t>
      </w:r>
      <w:r>
        <w:rPr>
          <w:bCs/>
          <w:color w:val="000000"/>
        </w:rPr>
        <w:t xml:space="preserve">atentado a </w:t>
      </w:r>
      <w:smartTag w:uri="urn:schemas-microsoft-com:office:smarttags" w:element="PersonName">
        <w:smartTagPr>
          <w:attr w:name="ProductID" w:val="la A.M"/>
        </w:smartTagPr>
        <w:r>
          <w:rPr>
            <w:bCs/>
            <w:color w:val="000000"/>
          </w:rPr>
          <w:t>la A.M</w:t>
        </w:r>
      </w:smartTag>
      <w:r>
        <w:rPr>
          <w:bCs/>
          <w:color w:val="000000"/>
        </w:rPr>
        <w:t>.I.A. fue un crimen detalladamente o</w:t>
      </w:r>
      <w:r>
        <w:rPr>
          <w:bCs/>
          <w:color w:val="000000"/>
        </w:rPr>
        <w:t>r</w:t>
      </w:r>
      <w:r>
        <w:rPr>
          <w:bCs/>
          <w:color w:val="000000"/>
        </w:rPr>
        <w:t>ganizado de antemano; no obstante -indicó- el problema surge una vez cometido el hecho ilícito, pues no se pudi</w:t>
      </w:r>
      <w:r>
        <w:rPr>
          <w:bCs/>
          <w:color w:val="000000"/>
        </w:rPr>
        <w:t>e</w:t>
      </w:r>
      <w:r>
        <w:rPr>
          <w:bCs/>
          <w:color w:val="000000"/>
        </w:rPr>
        <w:t>ron controlar a todos los intervinientes ni a la invest</w:t>
      </w:r>
      <w:r>
        <w:rPr>
          <w:bCs/>
          <w:color w:val="000000"/>
        </w:rPr>
        <w:t>i</w:t>
      </w:r>
      <w:r>
        <w:rPr>
          <w:bCs/>
          <w:color w:val="000000"/>
        </w:rPr>
        <w:t xml:space="preserve">gación. En esa idea, afirmó que nadie que no haya tenido una estrecha relación con el traslado de </w:t>
      </w:r>
      <w:smartTag w:uri="urn:schemas-microsoft-com:office:smarttags" w:element="PersonName">
        <w:smartTagPr>
          <w:attr w:name="ProductID" w:val="la Trafic"/>
        </w:smartTagPr>
        <w:r>
          <w:rPr>
            <w:bCs/>
            <w:color w:val="000000"/>
          </w:rPr>
          <w:t>la Trafic</w:t>
        </w:r>
      </w:smartTag>
      <w:r>
        <w:rPr>
          <w:bCs/>
          <w:color w:val="000000"/>
        </w:rPr>
        <w:t xml:space="preserve"> pudo hacer las cosas que Telleldín y los policías bonaerenses hicieron una vez oc</w:t>
      </w:r>
      <w:r>
        <w:rPr>
          <w:bCs/>
          <w:color w:val="000000"/>
        </w:rPr>
        <w:t>u</w:t>
      </w:r>
      <w:r>
        <w:rPr>
          <w:bCs/>
          <w:color w:val="000000"/>
        </w:rPr>
        <w:t>rrido el atentado.</w:t>
      </w:r>
    </w:p>
    <w:p w:rsidR="00224567" w:rsidRDefault="00224567">
      <w:pPr>
        <w:widowControl w:val="0"/>
        <w:tabs>
          <w:tab w:val="left" w:pos="2835"/>
        </w:tabs>
        <w:rPr>
          <w:bCs/>
        </w:rPr>
      </w:pPr>
      <w:r>
        <w:rPr>
          <w:bCs/>
          <w:color w:val="000000"/>
        </w:rPr>
        <w:tab/>
      </w:r>
      <w:r>
        <w:rPr>
          <w:color w:val="000000"/>
        </w:rPr>
        <w:t>En ese sentido, hizo hincapié en</w:t>
      </w:r>
      <w:r>
        <w:t xml:space="preserve"> los </w:t>
      </w:r>
      <w:r>
        <w:lastRenderedPageBreak/>
        <w:t>de</w:t>
      </w:r>
      <w:r>
        <w:rPr>
          <w:bCs/>
        </w:rPr>
        <w:t>nodados esfuerzos realizados por los ex policías, part</w:t>
      </w:r>
      <w:r>
        <w:rPr>
          <w:bCs/>
        </w:rPr>
        <w:t>i</w:t>
      </w:r>
      <w:r>
        <w:rPr>
          <w:bCs/>
        </w:rPr>
        <w:t>cularmente Ribelli, por intentar probar que a Telleldín nunca lo habían conocido; si bien aquél negó conocerlo y sólo admitió como posible que alguna vez lo haya visto, entendió la querella que sus declaraciones indagatorias, la de Bautista Alberto Huici, la testim</w:t>
      </w:r>
      <w:r>
        <w:rPr>
          <w:bCs/>
        </w:rPr>
        <w:t>o</w:t>
      </w:r>
      <w:r>
        <w:rPr>
          <w:bCs/>
        </w:rPr>
        <w:t>nial de éste en la causa nº 5681, los dichos del comisario Juan Carlos N</w:t>
      </w:r>
      <w:r>
        <w:rPr>
          <w:bCs/>
        </w:rPr>
        <w:t>e</w:t>
      </w:r>
      <w:r>
        <w:rPr>
          <w:bCs/>
        </w:rPr>
        <w:t>grón, el legajo 310 y los entrecruzamientos telefónicos cuyas constancias obran a fs. 80.908, echaban por tierra tal negativa.</w:t>
      </w:r>
    </w:p>
    <w:p w:rsidR="00224567" w:rsidRDefault="00224567">
      <w:pPr>
        <w:widowControl w:val="0"/>
        <w:tabs>
          <w:tab w:val="left" w:pos="2835"/>
        </w:tabs>
        <w:rPr>
          <w:bCs/>
        </w:rPr>
      </w:pPr>
      <w:r>
        <w:rPr>
          <w:bCs/>
        </w:rPr>
        <w:tab/>
        <w:t>Concluyó que, a partir de dicho con</w:t>
      </w:r>
      <w:r>
        <w:rPr>
          <w:bCs/>
        </w:rPr>
        <w:t>o</w:t>
      </w:r>
      <w:r>
        <w:rPr>
          <w:bCs/>
        </w:rPr>
        <w:t>cimiento, Ribelli eligió a Telleldín sabiendo que era la persona indicada por cuanto, como se d</w:t>
      </w:r>
      <w:r>
        <w:rPr>
          <w:bCs/>
        </w:rPr>
        <w:t>e</w:t>
      </w:r>
      <w:r>
        <w:rPr>
          <w:bCs/>
        </w:rPr>
        <w:t>mostró, se cuidó de no desenmascarar a la brigada de la que aquél formaba pa</w:t>
      </w:r>
      <w:r>
        <w:rPr>
          <w:bCs/>
        </w:rPr>
        <w:t>r</w:t>
      </w:r>
      <w:r>
        <w:rPr>
          <w:bCs/>
        </w:rPr>
        <w:t>te; agregó que Telleldín confiaba en que se lo sacaría del problema a partir de los intentos de desvíos identificados como “Solari”, “Carapint</w:t>
      </w:r>
      <w:r>
        <w:rPr>
          <w:bCs/>
        </w:rPr>
        <w:t>a</w:t>
      </w:r>
      <w:r>
        <w:rPr>
          <w:bCs/>
        </w:rPr>
        <w:t>das” y “Alí”.</w:t>
      </w:r>
    </w:p>
    <w:p w:rsidR="00224567" w:rsidRDefault="00224567">
      <w:pPr>
        <w:widowControl w:val="0"/>
        <w:tabs>
          <w:tab w:val="left" w:pos="2835"/>
        </w:tabs>
        <w:rPr>
          <w:bCs/>
        </w:rPr>
      </w:pPr>
      <w:r>
        <w:rPr>
          <w:bCs/>
        </w:rPr>
        <w:tab/>
        <w:t>El letrado sostuvo que Telleldín no explicó cómo ni quién armó la camioneta que e</w:t>
      </w:r>
      <w:r>
        <w:rPr>
          <w:bCs/>
        </w:rPr>
        <w:t>x</w:t>
      </w:r>
      <w:r>
        <w:rPr>
          <w:bCs/>
        </w:rPr>
        <w:t xml:space="preserve">plotó en </w:t>
      </w:r>
      <w:smartTag w:uri="urn:schemas-microsoft-com:office:smarttags" w:element="PersonName">
        <w:smartTagPr>
          <w:attr w:name="ProductID" w:val="la A.M"/>
        </w:smartTagPr>
        <w:r>
          <w:rPr>
            <w:bCs/>
          </w:rPr>
          <w:t>la A.M</w:t>
        </w:r>
      </w:smartTag>
      <w:r>
        <w:rPr>
          <w:bCs/>
        </w:rPr>
        <w:t>.I.A., intentando hacer aparecer a Nitzcaner como el responsable de su armado, a la vez que le ofreció al no</w:t>
      </w:r>
      <w:r>
        <w:rPr>
          <w:bCs/>
        </w:rPr>
        <w:t>m</w:t>
      </w:r>
      <w:r>
        <w:rPr>
          <w:bCs/>
        </w:rPr>
        <w:lastRenderedPageBreak/>
        <w:t>brado y a Jouce una generosa comisión para que acomoden sus declaraciones a su versión.</w:t>
      </w:r>
    </w:p>
    <w:p w:rsidR="00224567" w:rsidRDefault="00224567">
      <w:pPr>
        <w:widowControl w:val="0"/>
        <w:tabs>
          <w:tab w:val="left" w:pos="2835"/>
        </w:tabs>
        <w:rPr>
          <w:bCs/>
        </w:rPr>
      </w:pPr>
      <w:r>
        <w:rPr>
          <w:bCs/>
        </w:rPr>
        <w:tab/>
        <w:t xml:space="preserve">Señaló que no era casualidad que el motor hallado entre los escombros de </w:t>
      </w:r>
      <w:smartTag w:uri="urn:schemas-microsoft-com:office:smarttags" w:element="PersonName">
        <w:smartTagPr>
          <w:attr w:name="ProductID" w:val="la A.M"/>
        </w:smartTagPr>
        <w:r>
          <w:rPr>
            <w:bCs/>
          </w:rPr>
          <w:t>la A.M</w:t>
        </w:r>
      </w:smartTag>
      <w:r>
        <w:rPr>
          <w:bCs/>
        </w:rPr>
        <w:t>.I.A. no tuvi</w:t>
      </w:r>
      <w:r>
        <w:rPr>
          <w:bCs/>
        </w:rPr>
        <w:t>e</w:t>
      </w:r>
      <w:r>
        <w:rPr>
          <w:bCs/>
        </w:rPr>
        <w:t>se adulterada su numeración por cuanto, según expl</w:t>
      </w:r>
      <w:r>
        <w:rPr>
          <w:bCs/>
        </w:rPr>
        <w:t>i</w:t>
      </w:r>
      <w:r>
        <w:rPr>
          <w:bCs/>
        </w:rPr>
        <w:t>có, los policías que retiraron la camioneta debían evitar probl</w:t>
      </w:r>
      <w:r>
        <w:rPr>
          <w:bCs/>
        </w:rPr>
        <w:t>e</w:t>
      </w:r>
      <w:r>
        <w:rPr>
          <w:bCs/>
        </w:rPr>
        <w:t>mas ante un eve</w:t>
      </w:r>
      <w:r>
        <w:rPr>
          <w:bCs/>
        </w:rPr>
        <w:t>n</w:t>
      </w:r>
      <w:r>
        <w:rPr>
          <w:bCs/>
        </w:rPr>
        <w:t>tual control y además porque ese motor, al ser de hierro fundido, no impedía que, de alterarse la n</w:t>
      </w:r>
      <w:r>
        <w:rPr>
          <w:bCs/>
        </w:rPr>
        <w:t>u</w:t>
      </w:r>
      <w:r>
        <w:rPr>
          <w:bCs/>
        </w:rPr>
        <w:t>meración estampada, se llegase a la original; circunsta</w:t>
      </w:r>
      <w:r>
        <w:rPr>
          <w:bCs/>
        </w:rPr>
        <w:t>n</w:t>
      </w:r>
      <w:r>
        <w:rPr>
          <w:bCs/>
        </w:rPr>
        <w:t>cia que no permitía ver a Telleldín como un vendedor de buena fe.</w:t>
      </w:r>
    </w:p>
    <w:p w:rsidR="00224567" w:rsidRDefault="00224567">
      <w:pPr>
        <w:widowControl w:val="0"/>
        <w:tabs>
          <w:tab w:val="left" w:pos="2835"/>
        </w:tabs>
        <w:rPr>
          <w:bCs/>
        </w:rPr>
      </w:pPr>
      <w:r>
        <w:rPr>
          <w:bCs/>
        </w:rPr>
        <w:tab/>
        <w:t>Consideró, además, que si bien Telle</w:t>
      </w:r>
      <w:r>
        <w:rPr>
          <w:bCs/>
        </w:rPr>
        <w:t>l</w:t>
      </w:r>
      <w:r>
        <w:rPr>
          <w:bCs/>
        </w:rPr>
        <w:t xml:space="preserve">dín le encargó a Nitzcaner armar y pintar una camioneta para su venta, no fue ésta la que explotó en </w:t>
      </w:r>
      <w:smartTag w:uri="urn:schemas-microsoft-com:office:smarttags" w:element="PersonName">
        <w:smartTagPr>
          <w:attr w:name="ProductID" w:val="la A.M"/>
        </w:smartTagPr>
        <w:r>
          <w:rPr>
            <w:bCs/>
          </w:rPr>
          <w:t>la A.M</w:t>
        </w:r>
      </w:smartTag>
      <w:r>
        <w:rPr>
          <w:bCs/>
        </w:rPr>
        <w:t>.I.A. sino otra que también había mandado a armar, señalando c</w:t>
      </w:r>
      <w:r>
        <w:rPr>
          <w:bCs/>
        </w:rPr>
        <w:t>o</w:t>
      </w:r>
      <w:r>
        <w:rPr>
          <w:bCs/>
        </w:rPr>
        <w:t xml:space="preserve">mo datos objetivos que acreditaban tal extremo, la falta de la cédula verde, la no entrega del formulario </w:t>
      </w:r>
      <w:smartTag w:uri="urn:schemas-microsoft-com:office:smarttags" w:element="metricconverter">
        <w:smartTagPr>
          <w:attr w:name="ProductID" w:val="08 a"/>
        </w:smartTagPr>
        <w:r>
          <w:rPr>
            <w:bCs/>
          </w:rPr>
          <w:t>08 a</w:t>
        </w:r>
      </w:smartTag>
      <w:r>
        <w:rPr>
          <w:bCs/>
        </w:rPr>
        <w:t xml:space="preserve"> quien la retiró y la no confección de una eventual respo</w:t>
      </w:r>
      <w:r>
        <w:rPr>
          <w:bCs/>
        </w:rPr>
        <w:t>n</w:t>
      </w:r>
      <w:r>
        <w:rPr>
          <w:bCs/>
        </w:rPr>
        <w:t>sabil</w:t>
      </w:r>
      <w:r>
        <w:rPr>
          <w:bCs/>
        </w:rPr>
        <w:t>i</w:t>
      </w:r>
      <w:r>
        <w:rPr>
          <w:bCs/>
        </w:rPr>
        <w:t>dad civil.</w:t>
      </w:r>
    </w:p>
    <w:p w:rsidR="00224567" w:rsidRDefault="00224567">
      <w:pPr>
        <w:widowControl w:val="0"/>
        <w:tabs>
          <w:tab w:val="left" w:pos="2835"/>
        </w:tabs>
        <w:rPr>
          <w:bCs/>
        </w:rPr>
      </w:pPr>
      <w:r>
        <w:rPr>
          <w:bCs/>
        </w:rPr>
        <w:tab/>
        <w:t>Tras interrogarse acerca de qué sent</w:t>
      </w:r>
      <w:r>
        <w:rPr>
          <w:bCs/>
        </w:rPr>
        <w:t>i</w:t>
      </w:r>
      <w:r>
        <w:rPr>
          <w:bCs/>
        </w:rPr>
        <w:lastRenderedPageBreak/>
        <w:t>do tenía poner a la venta una camioneta que no cont</w:t>
      </w:r>
      <w:r>
        <w:rPr>
          <w:bCs/>
        </w:rPr>
        <w:t>a</w:t>
      </w:r>
      <w:r>
        <w:rPr>
          <w:bCs/>
        </w:rPr>
        <w:t>ba con la documentación necesaria para esa operación, la parte querellante consideró insostenible que un comprador de buena fe abone la totalidad del precio a un desconocido, sin que éste le entregue el instrumento necesario para o</w:t>
      </w:r>
      <w:r>
        <w:rPr>
          <w:bCs/>
        </w:rPr>
        <w:t>b</w:t>
      </w:r>
      <w:r>
        <w:rPr>
          <w:bCs/>
        </w:rPr>
        <w:t>tener su patent</w:t>
      </w:r>
      <w:r>
        <w:rPr>
          <w:bCs/>
        </w:rPr>
        <w:t>a</w:t>
      </w:r>
      <w:r>
        <w:rPr>
          <w:bCs/>
        </w:rPr>
        <w:t>miento.</w:t>
      </w:r>
    </w:p>
    <w:p w:rsidR="00224567" w:rsidRDefault="00224567">
      <w:pPr>
        <w:widowControl w:val="0"/>
        <w:tabs>
          <w:tab w:val="left" w:pos="2835"/>
        </w:tabs>
        <w:rPr>
          <w:bCs/>
        </w:rPr>
      </w:pPr>
      <w:r>
        <w:rPr>
          <w:bCs/>
        </w:rPr>
        <w:tab/>
        <w:t xml:space="preserve">En abono de lo expuesto, sostuvo que fue Telleldín, en el video de abril, quien dijo que los únicos rodados que entregó sin cédula verde fueron </w:t>
      </w:r>
      <w:smartTag w:uri="urn:schemas-microsoft-com:office:smarttags" w:element="PersonName">
        <w:smartTagPr>
          <w:attr w:name="ProductID" w:val="la Trafic"/>
        </w:smartTagPr>
        <w:r>
          <w:rPr>
            <w:bCs/>
          </w:rPr>
          <w:t>la Tr</w:t>
        </w:r>
        <w:r>
          <w:rPr>
            <w:bCs/>
          </w:rPr>
          <w:t>a</w:t>
        </w:r>
        <w:r>
          <w:rPr>
            <w:bCs/>
          </w:rPr>
          <w:t>fic</w:t>
        </w:r>
      </w:smartTag>
      <w:r>
        <w:rPr>
          <w:bCs/>
        </w:rPr>
        <w:t xml:space="preserve"> en cuestión y el Falcon que le había dado a R</w:t>
      </w:r>
      <w:r>
        <w:rPr>
          <w:bCs/>
        </w:rPr>
        <w:t>i</w:t>
      </w:r>
      <w:r>
        <w:rPr>
          <w:bCs/>
        </w:rPr>
        <w:t>belli en abril de 1994, considerando obvio que ningún comprador g</w:t>
      </w:r>
      <w:r>
        <w:rPr>
          <w:bCs/>
        </w:rPr>
        <w:t>e</w:t>
      </w:r>
      <w:r>
        <w:rPr>
          <w:bCs/>
        </w:rPr>
        <w:t>nuino acepte un vehículo en esas condici</w:t>
      </w:r>
      <w:r>
        <w:rPr>
          <w:bCs/>
        </w:rPr>
        <w:t>o</w:t>
      </w:r>
      <w:r>
        <w:rPr>
          <w:bCs/>
        </w:rPr>
        <w:t>nes. Recordó, al respecto, que en su primer declaración ante el tribunal, Telleldín explicó que si faltaba dicho documento el co</w:t>
      </w:r>
      <w:r>
        <w:rPr>
          <w:bCs/>
        </w:rPr>
        <w:t>m</w:t>
      </w:r>
      <w:r>
        <w:rPr>
          <w:bCs/>
        </w:rPr>
        <w:t>prador sólo dejaba una seña por el vehículo hasta tanto se obtuviera un duplicado; proc</w:t>
      </w:r>
      <w:r>
        <w:rPr>
          <w:bCs/>
        </w:rPr>
        <w:t>e</w:t>
      </w:r>
      <w:r>
        <w:rPr>
          <w:bCs/>
        </w:rPr>
        <w:t xml:space="preserve">der que no se dio en el caso de </w:t>
      </w:r>
      <w:smartTag w:uri="urn:schemas-microsoft-com:office:smarttags" w:element="PersonName">
        <w:smartTagPr>
          <w:attr w:name="ProductID" w:val="la Trafic."/>
        </w:smartTagPr>
        <w:r>
          <w:rPr>
            <w:bCs/>
          </w:rPr>
          <w:t>la Trafic.</w:t>
        </w:r>
      </w:smartTag>
    </w:p>
    <w:p w:rsidR="00224567" w:rsidRDefault="00224567">
      <w:pPr>
        <w:widowControl w:val="0"/>
        <w:tabs>
          <w:tab w:val="left" w:pos="2835"/>
        </w:tabs>
        <w:rPr>
          <w:bCs/>
        </w:rPr>
      </w:pPr>
      <w:r>
        <w:rPr>
          <w:bCs/>
        </w:rPr>
        <w:tab/>
        <w:t>La querella unificada afirmó que T</w:t>
      </w:r>
      <w:r>
        <w:rPr>
          <w:bCs/>
        </w:rPr>
        <w:t>e</w:t>
      </w:r>
      <w:r>
        <w:rPr>
          <w:bCs/>
        </w:rPr>
        <w:t>lleldín confeccionó un boleto de compraventa falso para encubrir la entrega de la camioneta a la policía bonaere</w:t>
      </w:r>
      <w:r>
        <w:rPr>
          <w:bCs/>
        </w:rPr>
        <w:t>n</w:t>
      </w:r>
      <w:r>
        <w:rPr>
          <w:bCs/>
        </w:rPr>
        <w:t xml:space="preserve">se, así éstos quedaban fuera del problema protegidos por </w:t>
      </w:r>
      <w:r>
        <w:rPr>
          <w:bCs/>
        </w:rPr>
        <w:lastRenderedPageBreak/>
        <w:t>el falso relato de Telleldín y de su esposa, en virtud de los cuales trató de ser t</w:t>
      </w:r>
      <w:r>
        <w:rPr>
          <w:bCs/>
        </w:rPr>
        <w:t>e</w:t>
      </w:r>
      <w:r>
        <w:rPr>
          <w:bCs/>
        </w:rPr>
        <w:t>nido como vendedor de buena fe.</w:t>
      </w:r>
    </w:p>
    <w:p w:rsidR="00224567" w:rsidRDefault="00224567">
      <w:pPr>
        <w:widowControl w:val="0"/>
        <w:tabs>
          <w:tab w:val="left" w:pos="2835"/>
        </w:tabs>
      </w:pPr>
      <w:r>
        <w:rPr>
          <w:bCs/>
        </w:rPr>
        <w:tab/>
      </w:r>
      <w:r>
        <w:t>Consideró que no existían dudas de que ese documento fue ideado por Telleldín, por cuanto colocó como comprador a un conocido suyo, José Ramón Martínez R</w:t>
      </w:r>
      <w:r>
        <w:t>o</w:t>
      </w:r>
      <w:r>
        <w:t>dríguez, a quien acostumbraba a llamar “José Martínez”, pese a que durante todo el proceso se refirió a él como “Ramón Martínez”. Indicó que Martínez Rodríguez, de naci</w:t>
      </w:r>
      <w:r>
        <w:t>o</w:t>
      </w:r>
      <w:r>
        <w:t>nalidad española, había sido consorte de Telleldín en una causa por contrabando y vivía en la calle San José, dif</w:t>
      </w:r>
      <w:r>
        <w:t>i</w:t>
      </w:r>
      <w:r>
        <w:t>riendo la numer</w:t>
      </w:r>
      <w:r>
        <w:t>a</w:t>
      </w:r>
      <w:r>
        <w:t>ción por sólo una cuadra del domicilio que Telleldín con</w:t>
      </w:r>
      <w:r>
        <w:t>o</w:t>
      </w:r>
      <w:r>
        <w:t>cía de él.</w:t>
      </w:r>
    </w:p>
    <w:p w:rsidR="00224567" w:rsidRDefault="00224567">
      <w:pPr>
        <w:widowControl w:val="0"/>
        <w:tabs>
          <w:tab w:val="left" w:pos="2835"/>
        </w:tabs>
      </w:pPr>
      <w:r>
        <w:tab/>
        <w:t>En cuanto al número del Documento N</w:t>
      </w:r>
      <w:r>
        <w:t>a</w:t>
      </w:r>
      <w:r>
        <w:t>cional de Identidad estampado en el boleto de compr</w:t>
      </w:r>
      <w:r>
        <w:t>a</w:t>
      </w:r>
      <w:r>
        <w:t>venta, el letrado consideró que el número había sido un invento de aquél, resultando poco creíble que se falsifique un d</w:t>
      </w:r>
      <w:r>
        <w:t>o</w:t>
      </w:r>
      <w:r>
        <w:t>cumento con un número inexiste</w:t>
      </w:r>
      <w:r>
        <w:t>n</w:t>
      </w:r>
      <w:r>
        <w:t>te.</w:t>
      </w:r>
    </w:p>
    <w:p w:rsidR="00224567" w:rsidRDefault="00224567">
      <w:pPr>
        <w:widowControl w:val="0"/>
        <w:tabs>
          <w:tab w:val="left" w:pos="2835"/>
        </w:tabs>
      </w:pPr>
      <w:r>
        <w:tab/>
        <w:t>Afirmó que después de entregada la c</w:t>
      </w:r>
      <w:r>
        <w:t>a</w:t>
      </w:r>
      <w:r>
        <w:t>mioneta, Telleldín siguió preconstituyendo prueba p</w:t>
      </w:r>
      <w:r>
        <w:t>a</w:t>
      </w:r>
      <w:r>
        <w:t xml:space="preserve">ra dar sustento a su versión de la venta de dicho vehículo a un </w:t>
      </w:r>
      <w:r>
        <w:lastRenderedPageBreak/>
        <w:t>“misterioso oriental”, “caucásico”, “centroamericano”, “español” y que por esos días, el nombrado y su esposa c</w:t>
      </w:r>
      <w:r>
        <w:t>o</w:t>
      </w:r>
      <w:r>
        <w:t>mentaron detalladamente a quienes los qu</w:t>
      </w:r>
      <w:r>
        <w:t>i</w:t>
      </w:r>
      <w:r>
        <w:t>sieran escuchar –policías bonaerenses, sus esposas y amantes, Nitzcaner, Miriam S</w:t>
      </w:r>
      <w:r>
        <w:t>a</w:t>
      </w:r>
      <w:r>
        <w:t>linas, etc.- cómo se llevó a cabo la venta.</w:t>
      </w:r>
    </w:p>
    <w:p w:rsidR="00224567" w:rsidRDefault="00224567">
      <w:pPr>
        <w:widowControl w:val="0"/>
        <w:tabs>
          <w:tab w:val="left" w:pos="2835"/>
        </w:tabs>
      </w:pPr>
      <w:r>
        <w:tab/>
        <w:t>Subrayó el Dr. Ávila que este r</w:t>
      </w:r>
      <w:r>
        <w:t>e</w:t>
      </w:r>
      <w:r>
        <w:t>lato, para alguien que vendía un automotor por semana, no con</w:t>
      </w:r>
      <w:r>
        <w:t>s</w:t>
      </w:r>
      <w:r>
        <w:t>tituía otra cosa que la ejecución de la dec</w:t>
      </w:r>
      <w:r>
        <w:t>i</w:t>
      </w:r>
      <w:r>
        <w:t>sión previa de esconder la entrega y cooperar con el atent</w:t>
      </w:r>
      <w:r>
        <w:t>a</w:t>
      </w:r>
      <w:r>
        <w:t>do, recordando los dichos de Mirta Alicia Giménez quien afirmó que a su tío le habían p</w:t>
      </w:r>
      <w:r>
        <w:t>e</w:t>
      </w:r>
      <w:r>
        <w:t>dido que dijera que él había visto cómo se ve</w:t>
      </w:r>
      <w:r>
        <w:t>n</w:t>
      </w:r>
      <w:r>
        <w:t xml:space="preserve">día </w:t>
      </w:r>
      <w:smartTag w:uri="urn:schemas-microsoft-com:office:smarttags" w:element="PersonName">
        <w:smartTagPr>
          <w:attr w:name="ProductID" w:val="la Trafic."/>
        </w:smartTagPr>
        <w:r>
          <w:t>la Trafic.</w:t>
        </w:r>
      </w:smartTag>
    </w:p>
    <w:p w:rsidR="00224567" w:rsidRDefault="00224567">
      <w:pPr>
        <w:widowControl w:val="0"/>
        <w:tabs>
          <w:tab w:val="left" w:pos="2835"/>
        </w:tabs>
      </w:pPr>
      <w:r>
        <w:tab/>
        <w:t>También señaló que muchas personas m</w:t>
      </w:r>
      <w:r>
        <w:t>a</w:t>
      </w:r>
      <w:r>
        <w:t>nifestaron  que Telleldín estaba nervioso y preocupado a partir de la entrega de la camioneta, lo que aumentó una vez ocurrido el atentado y que si bien el nombrado trató de explicar ese nerviosismo por los “aprietes” de la pol</w:t>
      </w:r>
      <w:r>
        <w:t>i</w:t>
      </w:r>
      <w:r>
        <w:t>cía y por haber entregado el crucero con su motor fund</w:t>
      </w:r>
      <w:r>
        <w:t>i</w:t>
      </w:r>
      <w:r>
        <w:t>do, existían muchas circunstancias que desvirtuaron tales e</w:t>
      </w:r>
      <w:r>
        <w:t>x</w:t>
      </w:r>
      <w:r>
        <w:t>plic</w:t>
      </w:r>
      <w:r>
        <w:t>a</w:t>
      </w:r>
      <w:r>
        <w:t>ciones.</w:t>
      </w:r>
    </w:p>
    <w:p w:rsidR="00224567" w:rsidRDefault="00224567">
      <w:pPr>
        <w:widowControl w:val="0"/>
        <w:tabs>
          <w:tab w:val="left" w:pos="2835"/>
        </w:tabs>
        <w:rPr>
          <w:bCs/>
        </w:rPr>
      </w:pPr>
      <w:r>
        <w:tab/>
      </w:r>
      <w:r>
        <w:rPr>
          <w:bCs/>
        </w:rPr>
        <w:t xml:space="preserve">En ese sentido, trajo a colación las </w:t>
      </w:r>
      <w:r>
        <w:rPr>
          <w:bCs/>
        </w:rPr>
        <w:lastRenderedPageBreak/>
        <w:t>siguientes: que desde el mismo día del atentado y aún a</w:t>
      </w:r>
      <w:r>
        <w:rPr>
          <w:bCs/>
        </w:rPr>
        <w:t>n</w:t>
      </w:r>
      <w:r>
        <w:rPr>
          <w:bCs/>
        </w:rPr>
        <w:t xml:space="preserve">tes de que por los medios se hablara de una Trafic, Ana Boragni hizo comentarios acerca de la posibilidad de que la camioneta utilizada fuese la que ellos armaron; que cuando el estado de nerviosismo se volvió insostenible, Telleldín le pidió a Hugo Pérez que lo acompañe a llevar el formulario </w:t>
      </w:r>
      <w:smartTag w:uri="urn:schemas-microsoft-com:office:smarttags" w:element="metricconverter">
        <w:smartTagPr>
          <w:attr w:name="ProductID" w:val="08 a"/>
        </w:smartTagPr>
        <w:r>
          <w:rPr>
            <w:bCs/>
          </w:rPr>
          <w:t>08 a</w:t>
        </w:r>
      </w:smartTag>
      <w:r>
        <w:rPr>
          <w:bCs/>
        </w:rPr>
        <w:t xml:space="preserve"> la calle San José; que Telleldín, pese a dicha preocupación, haya consignado el teléfono de su casa en la publicación que por la venta de un Renault 9 efectúo el 16 de julio, cuando en otras oportunidades, a modo de cobertura, había i</w:t>
      </w:r>
      <w:r>
        <w:rPr>
          <w:bCs/>
        </w:rPr>
        <w:t>n</w:t>
      </w:r>
      <w:r>
        <w:rPr>
          <w:bCs/>
        </w:rPr>
        <w:t>dicado el de su hermano, el de Petrucci, el de Lo Preiato o el de los T</w:t>
      </w:r>
      <w:r>
        <w:rPr>
          <w:bCs/>
        </w:rPr>
        <w:t>o</w:t>
      </w:r>
      <w:r>
        <w:rPr>
          <w:bCs/>
        </w:rPr>
        <w:t>rresi.</w:t>
      </w:r>
    </w:p>
    <w:p w:rsidR="00224567" w:rsidRDefault="00224567">
      <w:pPr>
        <w:widowControl w:val="0"/>
        <w:tabs>
          <w:tab w:val="left" w:pos="2835"/>
        </w:tabs>
        <w:rPr>
          <w:bCs/>
        </w:rPr>
      </w:pPr>
      <w:r>
        <w:rPr>
          <w:bCs/>
        </w:rPr>
        <w:tab/>
      </w:r>
      <w:r>
        <w:t>Tales circunstancias, concluyó el l</w:t>
      </w:r>
      <w:r>
        <w:t>e</w:t>
      </w:r>
      <w:r>
        <w:t xml:space="preserve">trado, demuestran que el estado de nervios del que daba cuenta Telleldín no se motivó en el temor a las brigadas sino por la entrega de </w:t>
      </w:r>
      <w:smartTag w:uri="urn:schemas-microsoft-com:office:smarttags" w:element="PersonName">
        <w:smartTagPr>
          <w:attr w:name="ProductID" w:val="la Trafic"/>
        </w:smartTagPr>
        <w:r>
          <w:t>la Trafic</w:t>
        </w:r>
      </w:smartTag>
      <w:r>
        <w:t xml:space="preserve">, unido ello a </w:t>
      </w:r>
      <w:r>
        <w:rPr>
          <w:bCs/>
        </w:rPr>
        <w:t>la precon</w:t>
      </w:r>
      <w:r>
        <w:rPr>
          <w:bCs/>
        </w:rPr>
        <w:t>s</w:t>
      </w:r>
      <w:r>
        <w:rPr>
          <w:bCs/>
        </w:rPr>
        <w:t>titución de prueba que hizo al co</w:t>
      </w:r>
      <w:r>
        <w:rPr>
          <w:bCs/>
        </w:rPr>
        <w:t>n</w:t>
      </w:r>
      <w:r>
        <w:rPr>
          <w:bCs/>
        </w:rPr>
        <w:t>currir con un testigo a la calle San José, procurando aparentar ser un vendedor preocupado y respons</w:t>
      </w:r>
      <w:r>
        <w:rPr>
          <w:bCs/>
        </w:rPr>
        <w:t>a</w:t>
      </w:r>
      <w:r>
        <w:rPr>
          <w:bCs/>
        </w:rPr>
        <w:t>ble y a sus huidas a las ciudades de Córdoba y Posadas, respecto de las cuales no pudo dar e</w:t>
      </w:r>
      <w:r>
        <w:rPr>
          <w:bCs/>
        </w:rPr>
        <w:t>x</w:t>
      </w:r>
      <w:r>
        <w:rPr>
          <w:bCs/>
        </w:rPr>
        <w:lastRenderedPageBreak/>
        <w:t>plicaciones valed</w:t>
      </w:r>
      <w:r>
        <w:rPr>
          <w:bCs/>
        </w:rPr>
        <w:t>e</w:t>
      </w:r>
      <w:r>
        <w:rPr>
          <w:bCs/>
        </w:rPr>
        <w:t>ras.</w:t>
      </w:r>
    </w:p>
    <w:p w:rsidR="00224567" w:rsidRDefault="00224567">
      <w:pPr>
        <w:widowControl w:val="0"/>
        <w:tabs>
          <w:tab w:val="left" w:pos="2835"/>
        </w:tabs>
        <w:rPr>
          <w:bCs/>
        </w:rPr>
      </w:pPr>
      <w:r>
        <w:rPr>
          <w:bCs/>
        </w:rPr>
        <w:tab/>
        <w:t>Pese a haberse preparado para mostra</w:t>
      </w:r>
      <w:r>
        <w:rPr>
          <w:bCs/>
        </w:rPr>
        <w:t>r</w:t>
      </w:r>
      <w:r>
        <w:rPr>
          <w:bCs/>
        </w:rPr>
        <w:t>se como un vendedor de buena fe, Telleldín -explicó el l</w:t>
      </w:r>
      <w:r>
        <w:rPr>
          <w:bCs/>
        </w:rPr>
        <w:t>e</w:t>
      </w:r>
      <w:r>
        <w:rPr>
          <w:bCs/>
        </w:rPr>
        <w:t>trado- se asustó y huyó, remarcando que los dos sospech</w:t>
      </w:r>
      <w:r>
        <w:rPr>
          <w:bCs/>
        </w:rPr>
        <w:t>o</w:t>
      </w:r>
      <w:r>
        <w:rPr>
          <w:bCs/>
        </w:rPr>
        <w:t>sos llamados que se efectuaron desde el locutorio de Pos</w:t>
      </w:r>
      <w:r>
        <w:rPr>
          <w:bCs/>
        </w:rPr>
        <w:t>a</w:t>
      </w:r>
      <w:r>
        <w:rPr>
          <w:bCs/>
        </w:rPr>
        <w:t>das a la localidad de Eldorado, no pudieron ser realiz</w:t>
      </w:r>
      <w:r>
        <w:rPr>
          <w:bCs/>
        </w:rPr>
        <w:t>a</w:t>
      </w:r>
      <w:r>
        <w:rPr>
          <w:bCs/>
        </w:rPr>
        <w:t>dos por otra persona que no fuese aquél o alguien que entró con él a la cabina.</w:t>
      </w:r>
    </w:p>
    <w:p w:rsidR="00224567" w:rsidRDefault="00224567">
      <w:pPr>
        <w:widowControl w:val="0"/>
        <w:tabs>
          <w:tab w:val="left" w:pos="2835"/>
        </w:tabs>
        <w:rPr>
          <w:bCs/>
        </w:rPr>
      </w:pPr>
      <w:r>
        <w:rPr>
          <w:bCs/>
        </w:rPr>
        <w:tab/>
        <w:t>Por otra parte, señaló que cuando A</w:t>
      </w:r>
      <w:r>
        <w:rPr>
          <w:bCs/>
        </w:rPr>
        <w:t>l</w:t>
      </w:r>
      <w:r>
        <w:rPr>
          <w:bCs/>
        </w:rPr>
        <w:t>varez concurrió a R</w:t>
      </w:r>
      <w:r>
        <w:rPr>
          <w:bCs/>
        </w:rPr>
        <w:t>e</w:t>
      </w:r>
      <w:r>
        <w:rPr>
          <w:bCs/>
        </w:rPr>
        <w:t xml:space="preserve">pública 107, Ana Boragni lo atendió y le espetó si era de </w:t>
      </w:r>
      <w:smartTag w:uri="urn:schemas-microsoft-com:office:smarttags" w:element="PersonName">
        <w:smartTagPr>
          <w:attr w:name="ProductID" w:val="la Mossad"/>
        </w:smartTagPr>
        <w:r>
          <w:rPr>
            <w:bCs/>
          </w:rPr>
          <w:t>la Mossad</w:t>
        </w:r>
      </w:smartTag>
      <w:r>
        <w:rPr>
          <w:bCs/>
        </w:rPr>
        <w:t>, lo cual demuestra el con</w:t>
      </w:r>
      <w:r>
        <w:rPr>
          <w:bCs/>
        </w:rPr>
        <w:t>o</w:t>
      </w:r>
      <w:r>
        <w:rPr>
          <w:bCs/>
        </w:rPr>
        <w:t>cimiento que ella tenía acerca del destino dado a la c</w:t>
      </w:r>
      <w:r>
        <w:rPr>
          <w:bCs/>
        </w:rPr>
        <w:t>a</w:t>
      </w:r>
      <w:r>
        <w:rPr>
          <w:bCs/>
        </w:rPr>
        <w:t>mioneta.</w:t>
      </w:r>
    </w:p>
    <w:p w:rsidR="00224567" w:rsidRDefault="00224567">
      <w:pPr>
        <w:widowControl w:val="0"/>
        <w:tabs>
          <w:tab w:val="left" w:pos="2835"/>
        </w:tabs>
        <w:rPr>
          <w:bCs/>
        </w:rPr>
      </w:pPr>
      <w:r>
        <w:rPr>
          <w:bCs/>
        </w:rPr>
        <w:tab/>
        <w:t>Demostrativo también de su intención de encubrir a los policías resulta, a juicio del letrado de la querella, la circunstancia de que a poco de regresar Telleldín se haya cerciorado de que Boragni hubiera resp</w:t>
      </w:r>
      <w:r>
        <w:rPr>
          <w:bCs/>
        </w:rPr>
        <w:t>e</w:t>
      </w:r>
      <w:r>
        <w:rPr>
          <w:bCs/>
        </w:rPr>
        <w:t>tado la versión de los hechos que previ</w:t>
      </w:r>
      <w:r>
        <w:rPr>
          <w:bCs/>
        </w:rPr>
        <w:t>a</w:t>
      </w:r>
      <w:r>
        <w:rPr>
          <w:bCs/>
        </w:rPr>
        <w:t>mente ambos habían concertado. Trajo a colación una conversación telefónica en la que Telleldín le pr</w:t>
      </w:r>
      <w:r>
        <w:rPr>
          <w:bCs/>
        </w:rPr>
        <w:t>e</w:t>
      </w:r>
      <w:r>
        <w:rPr>
          <w:bCs/>
        </w:rPr>
        <w:t xml:space="preserve">guntó a su esposa si había dicho “que el vecino de la construcción de enfrente nos vio </w:t>
      </w:r>
      <w:r>
        <w:rPr>
          <w:bCs/>
        </w:rPr>
        <w:lastRenderedPageBreak/>
        <w:t>cuando entregamos la c</w:t>
      </w:r>
      <w:r>
        <w:rPr>
          <w:bCs/>
        </w:rPr>
        <w:t>a</w:t>
      </w:r>
      <w:r>
        <w:rPr>
          <w:bCs/>
        </w:rPr>
        <w:t>mioneta” y otra con Mario Bareiro, en la que le pregunta “si Ana declaró algo de los corea- nos”.</w:t>
      </w:r>
    </w:p>
    <w:p w:rsidR="00224567" w:rsidRDefault="00224567">
      <w:pPr>
        <w:widowControl w:val="0"/>
        <w:tabs>
          <w:tab w:val="left" w:pos="2835"/>
        </w:tabs>
        <w:rPr>
          <w:bCs/>
        </w:rPr>
      </w:pPr>
      <w:r>
        <w:rPr>
          <w:bCs/>
        </w:rPr>
        <w:tab/>
        <w:t>Al respecto, entendió que dicho acue</w:t>
      </w:r>
      <w:r>
        <w:rPr>
          <w:bCs/>
        </w:rPr>
        <w:t>r</w:t>
      </w:r>
      <w:r>
        <w:rPr>
          <w:bCs/>
        </w:rPr>
        <w:t>do era evidente, toda vez que en ninguna de las escuchas realizadas se registró una charla en la que ambos estuvi</w:t>
      </w:r>
      <w:r>
        <w:rPr>
          <w:bCs/>
        </w:rPr>
        <w:t>e</w:t>
      </w:r>
      <w:r>
        <w:rPr>
          <w:bCs/>
        </w:rPr>
        <w:t>ran concertando lo que debían declarar.</w:t>
      </w:r>
    </w:p>
    <w:p w:rsidR="00224567" w:rsidRDefault="00224567">
      <w:pPr>
        <w:widowControl w:val="0"/>
        <w:tabs>
          <w:tab w:val="left" w:pos="2835"/>
        </w:tabs>
        <w:rPr>
          <w:bCs/>
        </w:rPr>
      </w:pPr>
      <w:r>
        <w:rPr>
          <w:bCs/>
        </w:rPr>
        <w:tab/>
        <w:t>En la misma línea argumental, el Dr. Ávila aludió a la mudanza de Telleldín de Rep</w:t>
      </w:r>
      <w:r>
        <w:rPr>
          <w:bCs/>
        </w:rPr>
        <w:t>ú</w:t>
      </w:r>
      <w:r>
        <w:rPr>
          <w:bCs/>
        </w:rPr>
        <w:t xml:space="preserve">blica </w:t>
      </w:r>
      <w:smartTag w:uri="urn:schemas-microsoft-com:office:smarttags" w:element="metricconverter">
        <w:smartTagPr>
          <w:attr w:name="ProductID" w:val="107 a"/>
        </w:smartTagPr>
        <w:r>
          <w:rPr>
            <w:bCs/>
          </w:rPr>
          <w:t>107 a</w:t>
        </w:r>
      </w:smartTag>
      <w:r>
        <w:rPr>
          <w:bCs/>
        </w:rPr>
        <w:t xml:space="preserve"> la localidad de Ramos Mejía, real</w:t>
      </w:r>
      <w:r>
        <w:rPr>
          <w:bCs/>
        </w:rPr>
        <w:t>i</w:t>
      </w:r>
      <w:r>
        <w:rPr>
          <w:bCs/>
        </w:rPr>
        <w:t>zada el 18 o 19 de julio de 1994, explicando que en re</w:t>
      </w:r>
      <w:r>
        <w:rPr>
          <w:bCs/>
        </w:rPr>
        <w:t>a</w:t>
      </w:r>
      <w:r>
        <w:rPr>
          <w:bCs/>
        </w:rPr>
        <w:t>lidad la falta de rescisión del contrato de locación de República 107 y la innecesaria urgencia de trasladarse a otra casa, toda vez que la act</w:t>
      </w:r>
      <w:r>
        <w:rPr>
          <w:bCs/>
        </w:rPr>
        <w:t>i</w:t>
      </w:r>
      <w:r>
        <w:rPr>
          <w:bCs/>
        </w:rPr>
        <w:t>tud de las brigadas con Telleldín no tenía nada de noved</w:t>
      </w:r>
      <w:r>
        <w:rPr>
          <w:bCs/>
        </w:rPr>
        <w:t>o</w:t>
      </w:r>
      <w:r>
        <w:rPr>
          <w:bCs/>
        </w:rPr>
        <w:t>sa, demostraba que su intención de escapar de los “apri</w:t>
      </w:r>
      <w:r>
        <w:rPr>
          <w:bCs/>
        </w:rPr>
        <w:t>e</w:t>
      </w:r>
      <w:r>
        <w:rPr>
          <w:bCs/>
        </w:rPr>
        <w:t>tes” policiales no era tal. Sostuvo, en tal sentido, que lo razonable hubiera sido que Telleldín mudara su domic</w:t>
      </w:r>
      <w:r>
        <w:rPr>
          <w:bCs/>
        </w:rPr>
        <w:t>i</w:t>
      </w:r>
      <w:r>
        <w:rPr>
          <w:bCs/>
        </w:rPr>
        <w:t xml:space="preserve">lio a otra provincia o a </w:t>
      </w:r>
      <w:smartTag w:uri="urn:schemas-microsoft-com:office:smarttags" w:element="PersonName">
        <w:smartTagPr>
          <w:attr w:name="ProductID" w:val="la Capital Federal"/>
        </w:smartTagPr>
        <w:r>
          <w:rPr>
            <w:bCs/>
          </w:rPr>
          <w:t>la Capital Federal</w:t>
        </w:r>
      </w:smartTag>
      <w:r>
        <w:rPr>
          <w:bCs/>
        </w:rPr>
        <w:t>, por cuanto, para actuar ilegalmente, las brigadas carecían de límites d</w:t>
      </w:r>
      <w:r>
        <w:rPr>
          <w:bCs/>
        </w:rPr>
        <w:t>e</w:t>
      </w:r>
      <w:r>
        <w:rPr>
          <w:bCs/>
        </w:rPr>
        <w:t>ntro de la prov. de Buenos Aires.</w:t>
      </w:r>
    </w:p>
    <w:p w:rsidR="00224567" w:rsidRDefault="00224567">
      <w:pPr>
        <w:widowControl w:val="0"/>
        <w:tabs>
          <w:tab w:val="left" w:pos="2835"/>
        </w:tabs>
        <w:rPr>
          <w:bCs/>
        </w:rPr>
      </w:pPr>
      <w:r>
        <w:rPr>
          <w:bCs/>
        </w:rPr>
        <w:lastRenderedPageBreak/>
        <w:tab/>
        <w:t>Finalmente, tras evaluar las actit</w:t>
      </w:r>
      <w:r>
        <w:rPr>
          <w:bCs/>
        </w:rPr>
        <w:t>u</w:t>
      </w:r>
      <w:r>
        <w:rPr>
          <w:bCs/>
        </w:rPr>
        <w:t>des de Telleldín durante el proceso -sus mentiras iniciales acordadas con Boragni, sus ofrecimientos a Nitzcaner y Jouce, sus reiterados cambios de versión, sus declaraci</w:t>
      </w:r>
      <w:r>
        <w:rPr>
          <w:bCs/>
        </w:rPr>
        <w:t>o</w:t>
      </w:r>
      <w:r>
        <w:rPr>
          <w:bCs/>
        </w:rPr>
        <w:t>nes combinando datos verdaderos con otros falsos, la ap</w:t>
      </w:r>
      <w:r>
        <w:rPr>
          <w:bCs/>
        </w:rPr>
        <w:t>a</w:t>
      </w:r>
      <w:r>
        <w:rPr>
          <w:bCs/>
        </w:rPr>
        <w:t>rición de otro boleto de compraventa falso en el cual M</w:t>
      </w:r>
      <w:r>
        <w:rPr>
          <w:bCs/>
        </w:rPr>
        <w:t>i</w:t>
      </w:r>
      <w:r>
        <w:rPr>
          <w:bCs/>
        </w:rPr>
        <w:t>riam Salinas aparece comprando la camioneta a Ramón Mart</w:t>
      </w:r>
      <w:r>
        <w:rPr>
          <w:bCs/>
        </w:rPr>
        <w:t>í</w:t>
      </w:r>
      <w:r>
        <w:rPr>
          <w:bCs/>
        </w:rPr>
        <w:t>nez, entre otras- concluyó que desde antes del atentado Telle</w:t>
      </w:r>
      <w:r>
        <w:rPr>
          <w:bCs/>
        </w:rPr>
        <w:t>l</w:t>
      </w:r>
      <w:r>
        <w:rPr>
          <w:bCs/>
        </w:rPr>
        <w:t>dín falseó, confundió y mintió, causando con ello el primer desvío en la inve</w:t>
      </w:r>
      <w:r>
        <w:rPr>
          <w:bCs/>
        </w:rPr>
        <w:t>s</w:t>
      </w:r>
      <w:r>
        <w:rPr>
          <w:bCs/>
        </w:rPr>
        <w:t>tigación.</w:t>
      </w:r>
    </w:p>
    <w:p w:rsidR="00224567" w:rsidRDefault="00224567">
      <w:pPr>
        <w:widowControl w:val="0"/>
        <w:tabs>
          <w:tab w:val="left" w:pos="2835"/>
        </w:tabs>
      </w:pPr>
      <w:r>
        <w:rPr>
          <w:bCs/>
        </w:rPr>
        <w:tab/>
      </w:r>
      <w:r>
        <w:t>Sostuvo que no puede causar e</w:t>
      </w:r>
      <w:r>
        <w:t>x</w:t>
      </w:r>
      <w:r>
        <w:t>trañeza que Telleldín, en sus seis primeras declar</w:t>
      </w:r>
      <w:r>
        <w:t>a</w:t>
      </w:r>
      <w:r>
        <w:t>ciones, sólo le haya dedicado, al pasar y sin asignarle mayor impo</w:t>
      </w:r>
      <w:r>
        <w:t>r</w:t>
      </w:r>
      <w:r>
        <w:t xml:space="preserve">tancia, dos renglones a las actividades ilícitas de </w:t>
      </w:r>
      <w:smartTag w:uri="urn:schemas-microsoft-com:office:smarttags" w:element="PersonName">
        <w:smartTagPr>
          <w:attr w:name="ProductID" w:val="la Brigada"/>
        </w:smartTagPr>
        <w:r>
          <w:t>la Brigada</w:t>
        </w:r>
      </w:smartTag>
      <w:r>
        <w:t xml:space="preserve"> de Lanús, pese a ref</w:t>
      </w:r>
      <w:r>
        <w:t>e</w:t>
      </w:r>
      <w:r>
        <w:t xml:space="preserve">rirse con minuciosidad a la extorsión de la que fue víctima el 14 de julio por parte de </w:t>
      </w:r>
      <w:smartTag w:uri="urn:schemas-microsoft-com:office:smarttags" w:element="PersonName">
        <w:smartTagPr>
          <w:attr w:name="ProductID" w:val="la Brigada"/>
        </w:smartTagPr>
        <w:r>
          <w:t>la Br</w:t>
        </w:r>
        <w:r>
          <w:t>i</w:t>
        </w:r>
        <w:r>
          <w:t>gada</w:t>
        </w:r>
      </w:smartTag>
      <w:r>
        <w:t xml:space="preserve"> de Vicente López.</w:t>
      </w:r>
    </w:p>
    <w:p w:rsidR="00224567" w:rsidRDefault="00224567">
      <w:pPr>
        <w:widowControl w:val="0"/>
        <w:tabs>
          <w:tab w:val="left" w:pos="2835"/>
        </w:tabs>
        <w:rPr>
          <w:bCs/>
        </w:rPr>
      </w:pPr>
      <w:r>
        <w:tab/>
        <w:t>Tras entender que dicha omisión no era una casual</w:t>
      </w:r>
      <w:r>
        <w:t>i</w:t>
      </w:r>
      <w:r>
        <w:t>dad,</w:t>
      </w:r>
      <w:r>
        <w:rPr>
          <w:bCs/>
        </w:rPr>
        <w:t xml:space="preserve"> el Dr. Ávila explicó que ello pudo ocurrir por connivencia o por miedo, aunque negó este último s</w:t>
      </w:r>
      <w:r>
        <w:rPr>
          <w:bCs/>
        </w:rPr>
        <w:t>u</w:t>
      </w:r>
      <w:r>
        <w:rPr>
          <w:bCs/>
        </w:rPr>
        <w:t>puesto po</w:t>
      </w:r>
      <w:r>
        <w:rPr>
          <w:bCs/>
        </w:rPr>
        <w:t>r</w:t>
      </w:r>
      <w:r>
        <w:rPr>
          <w:bCs/>
        </w:rPr>
        <w:t xml:space="preserve">que si hubiera tenido miedo, no habría declarado </w:t>
      </w:r>
      <w:r>
        <w:rPr>
          <w:bCs/>
        </w:rPr>
        <w:lastRenderedPageBreak/>
        <w:t>ni siquiera esos dos renglones y al superarlo lo hubiera pregonado, porque lo exculpaba. Agregó que cuando Telle</w:t>
      </w:r>
      <w:r>
        <w:rPr>
          <w:bCs/>
        </w:rPr>
        <w:t>l</w:t>
      </w:r>
      <w:r>
        <w:rPr>
          <w:bCs/>
        </w:rPr>
        <w:t>dín se vio acorralado por las pruebas en su contra e</w:t>
      </w:r>
      <w:r>
        <w:rPr>
          <w:bCs/>
        </w:rPr>
        <w:t>m</w:t>
      </w:r>
      <w:r>
        <w:rPr>
          <w:bCs/>
        </w:rPr>
        <w:t>pezó a hablar de los policías y éstos, atemorizados de ello o por algunas pistas que permitían vislumbrar que tarde o temprano iba a hacerlo, empezaron a armar los restantes desvíos que, de funcionar, exculpaban al socio civil del hecho.</w:t>
      </w:r>
    </w:p>
    <w:p w:rsidR="00224567" w:rsidRDefault="00224567">
      <w:pPr>
        <w:widowControl w:val="0"/>
        <w:tabs>
          <w:tab w:val="left" w:pos="2835"/>
        </w:tabs>
        <w:rPr>
          <w:bCs/>
        </w:rPr>
      </w:pPr>
      <w:r>
        <w:rPr>
          <w:bCs/>
        </w:rPr>
        <w:tab/>
        <w:t>Seguidamente, en alusión a Leal, tuvo por acreditado, con base en los dichos de Humberto Eust</w:t>
      </w:r>
      <w:r>
        <w:rPr>
          <w:bCs/>
        </w:rPr>
        <w:t>a</w:t>
      </w:r>
      <w:r>
        <w:rPr>
          <w:bCs/>
        </w:rPr>
        <w:t xml:space="preserve">quio Monzón –ex efectivo de </w:t>
      </w:r>
      <w:smartTag w:uri="urn:schemas-microsoft-com:office:smarttags" w:element="PersonName">
        <w:smartTagPr>
          <w:attr w:name="ProductID" w:val="la Brigada"/>
        </w:smartTagPr>
        <w:r>
          <w:rPr>
            <w:bCs/>
          </w:rPr>
          <w:t>la Brigada</w:t>
        </w:r>
      </w:smartTag>
      <w:r>
        <w:rPr>
          <w:bCs/>
        </w:rPr>
        <w:t xml:space="preserve"> de Vicente L</w:t>
      </w:r>
      <w:r>
        <w:rPr>
          <w:bCs/>
        </w:rPr>
        <w:t>ó</w:t>
      </w:r>
      <w:r>
        <w:rPr>
          <w:bCs/>
        </w:rPr>
        <w:t xml:space="preserve">pez- y Adolfo Hugo Vitelli –ex jefe de </w:t>
      </w:r>
      <w:smartTag w:uri="urn:schemas-microsoft-com:office:smarttags" w:element="PersonName">
        <w:smartTagPr>
          <w:attr w:name="ProductID" w:val="la Polic￭a Bonaerense-"/>
        </w:smartTagPr>
        <w:r>
          <w:rPr>
            <w:bCs/>
          </w:rPr>
          <w:t>la Policía B</w:t>
        </w:r>
        <w:r>
          <w:rPr>
            <w:bCs/>
          </w:rPr>
          <w:t>o</w:t>
        </w:r>
        <w:r>
          <w:rPr>
            <w:bCs/>
          </w:rPr>
          <w:t>naerense-</w:t>
        </w:r>
      </w:smartTag>
      <w:r>
        <w:rPr>
          <w:bCs/>
        </w:rPr>
        <w:t xml:space="preserve"> que a aquél lo apodaban “Pino” y que el nombrado estuvo pr</w:t>
      </w:r>
      <w:r>
        <w:rPr>
          <w:bCs/>
        </w:rPr>
        <w:t>e</w:t>
      </w:r>
      <w:r>
        <w:rPr>
          <w:bCs/>
        </w:rPr>
        <w:t>sente el 10 de julio, como así también en la extorsión del 14 del mismo mes, precisando, con relación al primero de los sucesos, que Leal reconoció dicha circunstancia en su indagatoria, debiendo añadirse los testimonios de Neli Isabel Velasco y Antonio Fera y las constancias de fs. 80.873/80.906, ref</w:t>
      </w:r>
      <w:r>
        <w:rPr>
          <w:bCs/>
        </w:rPr>
        <w:t>e</w:t>
      </w:r>
      <w:r>
        <w:rPr>
          <w:bCs/>
        </w:rPr>
        <w:t>ridas a llamados telefónicos.</w:t>
      </w:r>
    </w:p>
    <w:p w:rsidR="00224567" w:rsidRDefault="00224567">
      <w:pPr>
        <w:widowControl w:val="0"/>
        <w:tabs>
          <w:tab w:val="left" w:pos="2835"/>
        </w:tabs>
        <w:rPr>
          <w:bCs/>
        </w:rPr>
      </w:pPr>
      <w:r>
        <w:rPr>
          <w:bCs/>
        </w:rPr>
        <w:tab/>
        <w:t>Igualmente, en orden a la rel</w:t>
      </w:r>
      <w:r>
        <w:rPr>
          <w:bCs/>
        </w:rPr>
        <w:t>a</w:t>
      </w:r>
      <w:r>
        <w:rPr>
          <w:bCs/>
        </w:rPr>
        <w:t xml:space="preserve">ción de </w:t>
      </w:r>
      <w:r>
        <w:rPr>
          <w:bCs/>
        </w:rPr>
        <w:lastRenderedPageBreak/>
        <w:t xml:space="preserve">Leal con los efectivos de </w:t>
      </w:r>
      <w:smartTag w:uri="urn:schemas-microsoft-com:office:smarttags" w:element="PersonName">
        <w:smartTagPr>
          <w:attr w:name="ProductID" w:val="la Brigada"/>
        </w:smartTagPr>
        <w:r>
          <w:rPr>
            <w:bCs/>
          </w:rPr>
          <w:t>la Brigada</w:t>
        </w:r>
      </w:smartTag>
      <w:r>
        <w:rPr>
          <w:bCs/>
        </w:rPr>
        <w:t xml:space="preserve"> de Lanús, el Dr. Áv</w:t>
      </w:r>
      <w:r>
        <w:rPr>
          <w:bCs/>
        </w:rPr>
        <w:t>i</w:t>
      </w:r>
      <w:r>
        <w:rPr>
          <w:bCs/>
        </w:rPr>
        <w:t>la puso de resalto que el nombrado coincidió en sus dest</w:t>
      </w:r>
      <w:r>
        <w:rPr>
          <w:bCs/>
        </w:rPr>
        <w:t>i</w:t>
      </w:r>
      <w:r>
        <w:rPr>
          <w:bCs/>
        </w:rPr>
        <w:t>nos con Ibarra y Ribelli, según se desprende de sus leg</w:t>
      </w:r>
      <w:r>
        <w:rPr>
          <w:bCs/>
        </w:rPr>
        <w:t>a</w:t>
      </w:r>
      <w:r>
        <w:rPr>
          <w:bCs/>
        </w:rPr>
        <w:t>jos personales y de los dichos de Marcelo Ant</w:t>
      </w:r>
      <w:r>
        <w:rPr>
          <w:bCs/>
        </w:rPr>
        <w:t>o</w:t>
      </w:r>
      <w:r>
        <w:rPr>
          <w:bCs/>
        </w:rPr>
        <w:t>nio Bressi, Ángel Roberto Salguero, Hugo Alberto Silva, Luis Roa, y Juan Pupillo, aunque éste último, pese a sostenerlo en la instrucción, desmintió tal extremo en el debate; vínculo que negaron los imputados, según entendió, en virtud de sus concertadas intenciones de ocultar un elemento alt</w:t>
      </w:r>
      <w:r>
        <w:rPr>
          <w:bCs/>
        </w:rPr>
        <w:t>a</w:t>
      </w:r>
      <w:r>
        <w:rPr>
          <w:bCs/>
        </w:rPr>
        <w:t>mente comprom</w:t>
      </w:r>
      <w:r>
        <w:rPr>
          <w:bCs/>
        </w:rPr>
        <w:t>e</w:t>
      </w:r>
      <w:r>
        <w:rPr>
          <w:bCs/>
        </w:rPr>
        <w:t>tedor.</w:t>
      </w:r>
    </w:p>
    <w:p w:rsidR="00224567" w:rsidRDefault="00224567">
      <w:pPr>
        <w:widowControl w:val="0"/>
        <w:tabs>
          <w:tab w:val="left" w:pos="2835"/>
        </w:tabs>
        <w:rPr>
          <w:bCs/>
        </w:rPr>
      </w:pPr>
      <w:r>
        <w:rPr>
          <w:bCs/>
        </w:rPr>
        <w:tab/>
        <w:t>Por otra parte, estimó que los desv</w:t>
      </w:r>
      <w:r>
        <w:rPr>
          <w:bCs/>
        </w:rPr>
        <w:t>í</w:t>
      </w:r>
      <w:r>
        <w:rPr>
          <w:bCs/>
        </w:rPr>
        <w:t>os que sufrió la investigación –“Solari”, “Carapintadas” y “Alí”- y  el video que registró la reunión de Cúneo Lib</w:t>
      </w:r>
      <w:r>
        <w:rPr>
          <w:bCs/>
        </w:rPr>
        <w:t>a</w:t>
      </w:r>
      <w:r>
        <w:rPr>
          <w:bCs/>
        </w:rPr>
        <w:t>rona con el agente de inteligencia Brousson, constit</w:t>
      </w:r>
      <w:r>
        <w:rPr>
          <w:bCs/>
        </w:rPr>
        <w:t>u</w:t>
      </w:r>
      <w:r>
        <w:rPr>
          <w:bCs/>
        </w:rPr>
        <w:t>yeron maniobras impropias de quien se proclama inocente o de quien, para afirmar tal extremo, invol</w:t>
      </w:r>
      <w:r>
        <w:rPr>
          <w:bCs/>
        </w:rPr>
        <w:t>u</w:t>
      </w:r>
      <w:r>
        <w:rPr>
          <w:bCs/>
        </w:rPr>
        <w:t>cra a otro miembro de la misma fuerza o extorsi</w:t>
      </w:r>
      <w:r>
        <w:rPr>
          <w:bCs/>
        </w:rPr>
        <w:t>o</w:t>
      </w:r>
      <w:r>
        <w:rPr>
          <w:bCs/>
        </w:rPr>
        <w:t>na a un juez.</w:t>
      </w:r>
    </w:p>
    <w:p w:rsidR="00224567" w:rsidRDefault="00224567">
      <w:pPr>
        <w:widowControl w:val="0"/>
        <w:tabs>
          <w:tab w:val="left" w:pos="2835"/>
        </w:tabs>
      </w:pPr>
      <w:r>
        <w:rPr>
          <w:bCs/>
        </w:rPr>
        <w:tab/>
      </w:r>
      <w:r>
        <w:t>También el Dr. Ávila consideró válido presumir, por la fecha y demás circunstancias que r</w:t>
      </w:r>
      <w:r>
        <w:t>o</w:t>
      </w:r>
      <w:r>
        <w:t>dearon su visita, que el combatiente de Hezbollah que estuvo al</w:t>
      </w:r>
      <w:r>
        <w:t>o</w:t>
      </w:r>
      <w:r>
        <w:t xml:space="preserve">jado por esos días en la mezquita de Cañuelas fue quien </w:t>
      </w:r>
      <w:r>
        <w:lastRenderedPageBreak/>
        <w:t xml:space="preserve">luego se inmoló en la explosión en </w:t>
      </w:r>
      <w:smartTag w:uri="urn:schemas-microsoft-com:office:smarttags" w:element="PersonName">
        <w:smartTagPr>
          <w:attr w:name="ProductID" w:val="la A.M"/>
        </w:smartTagPr>
        <w:r>
          <w:t>la A.M</w:t>
        </w:r>
      </w:smartTag>
      <w:r>
        <w:t>.I.A.; mezquita en la  que los polic</w:t>
      </w:r>
      <w:r>
        <w:t>í</w:t>
      </w:r>
      <w:r>
        <w:t>as bonaerenses Barcia y Reinoso, éste último vinculado a la familia Ribelli, desarrollaban act</w:t>
      </w:r>
      <w:r>
        <w:t>i</w:t>
      </w:r>
      <w:r>
        <w:t>vidades. Semejante cuadro de sospechas se afirmaba, ad</w:t>
      </w:r>
      <w:r>
        <w:t>e</w:t>
      </w:r>
      <w:r>
        <w:t>más, por la proximidad entre las localidades de Cañu</w:t>
      </w:r>
      <w:r>
        <w:t>e</w:t>
      </w:r>
      <w:r>
        <w:t>las, asiento de dicha mezquita y Lobos, de la cual eran oriu</w:t>
      </w:r>
      <w:r>
        <w:t>n</w:t>
      </w:r>
      <w:r>
        <w:t>dos todos los Rib</w:t>
      </w:r>
      <w:r>
        <w:t>e</w:t>
      </w:r>
      <w:r>
        <w:t>lli.</w:t>
      </w:r>
    </w:p>
    <w:p w:rsidR="00224567" w:rsidRDefault="00224567">
      <w:pPr>
        <w:widowControl w:val="0"/>
        <w:tabs>
          <w:tab w:val="left" w:pos="2835"/>
        </w:tabs>
      </w:pPr>
      <w:r>
        <w:tab/>
        <w:t>Al respecto, se preguntó si podía co</w:t>
      </w:r>
      <w:r>
        <w:t>n</w:t>
      </w:r>
      <w:r>
        <w:t xml:space="preserve">siderarse producto de la casualidad la circunstancia de que efectivos de inteligencia de </w:t>
      </w:r>
      <w:smartTag w:uri="urn:schemas-microsoft-com:office:smarttags" w:element="PersonName">
        <w:smartTagPr>
          <w:attr w:name="ProductID" w:val="la Polic￭a Bonaerense"/>
        </w:smartTagPr>
        <w:r>
          <w:t>la Policía Bona</w:t>
        </w:r>
        <w:r>
          <w:t>e</w:t>
        </w:r>
        <w:r>
          <w:t>rense</w:t>
        </w:r>
      </w:smartTag>
      <w:r>
        <w:t xml:space="preserve"> de Lanús hayan realizado seguimientos y observaciones sobre la mezquita de Cañuelas o que Horacio M</w:t>
      </w:r>
      <w:r>
        <w:t>o</w:t>
      </w:r>
      <w:r>
        <w:t xml:space="preserve">reno, inspector de </w:t>
      </w:r>
      <w:smartTag w:uri="urn:schemas-microsoft-com:office:smarttags" w:element="PersonName">
        <w:smartTagPr>
          <w:attr w:name="ProductID" w:val="la Direcci￳n Nacional"/>
        </w:smartTagPr>
        <w:r>
          <w:t>la Dirección Nacional</w:t>
        </w:r>
      </w:smartTag>
      <w:r>
        <w:t xml:space="preserve"> de Migraciones, imputado de dejar salir del país a personas de nacionalidad iraní, haya e</w:t>
      </w:r>
      <w:r>
        <w:t>s</w:t>
      </w:r>
      <w:r>
        <w:t>tado deten</w:t>
      </w:r>
      <w:r>
        <w:t>i</w:t>
      </w:r>
      <w:r>
        <w:t xml:space="preserve">do en </w:t>
      </w:r>
      <w:smartTag w:uri="urn:schemas-microsoft-com:office:smarttags" w:element="PersonName">
        <w:smartTagPr>
          <w:attr w:name="ProductID" w:val="la Brigada"/>
        </w:smartTagPr>
        <w:r>
          <w:t>la Brigada</w:t>
        </w:r>
      </w:smartTag>
      <w:r>
        <w:t xml:space="preserve"> de Lanús.</w:t>
      </w:r>
    </w:p>
    <w:p w:rsidR="00224567" w:rsidRDefault="00224567">
      <w:pPr>
        <w:widowControl w:val="0"/>
        <w:tabs>
          <w:tab w:val="left" w:pos="2835"/>
        </w:tabs>
      </w:pPr>
      <w:r>
        <w:tab/>
        <w:t>Seguidamente, el apoderado de la qu</w:t>
      </w:r>
      <w:r>
        <w:t>e</w:t>
      </w:r>
      <w:r>
        <w:t>rella mencionó las conversaciones telefónicas –todas de 1996- entre Ribelli e Ibarra, del 5 de j</w:t>
      </w:r>
      <w:r>
        <w:t>u</w:t>
      </w:r>
      <w:r>
        <w:t xml:space="preserve">lio, entre un tal Raúl, posiblemente Reinoso, e Ibarra, en igual fecha, y las de Ribelli con Meno y con el “jefe”, y la que junto </w:t>
      </w:r>
      <w:r>
        <w:lastRenderedPageBreak/>
        <w:t>con Huici y Cruz mantuvo con el “gran jefe”, realizadas el 13 de julio, todas las cuales denotaban la reiterada pre</w:t>
      </w:r>
      <w:r>
        <w:t>o</w:t>
      </w:r>
      <w:r>
        <w:t xml:space="preserve">cupación y angustia que provocaba en Ribelli el tema de </w:t>
      </w:r>
      <w:smartTag w:uri="urn:schemas-microsoft-com:office:smarttags" w:element="PersonName">
        <w:smartTagPr>
          <w:attr w:name="ProductID" w:val="la A.M"/>
        </w:smartTagPr>
        <w:r>
          <w:t>la A.M</w:t>
        </w:r>
      </w:smartTag>
      <w:r>
        <w:t>.I.A.</w:t>
      </w:r>
    </w:p>
    <w:p w:rsidR="00224567" w:rsidRDefault="00224567">
      <w:pPr>
        <w:widowControl w:val="0"/>
        <w:tabs>
          <w:tab w:val="left" w:pos="2835"/>
        </w:tabs>
      </w:pPr>
      <w:r>
        <w:tab/>
        <w:t>Además, señaló que la circunsta</w:t>
      </w:r>
      <w:r>
        <w:t>n</w:t>
      </w:r>
      <w:r>
        <w:t>cia de haber otorgado veinte</w:t>
      </w:r>
      <w:r>
        <w:rPr>
          <w:bCs/>
        </w:rPr>
        <w:t xml:space="preserve"> días antes de su dete</w:t>
      </w:r>
      <w:r>
        <w:rPr>
          <w:bCs/>
        </w:rPr>
        <w:t>n</w:t>
      </w:r>
      <w:r>
        <w:rPr>
          <w:bCs/>
        </w:rPr>
        <w:t xml:space="preserve">ción un poder general a Federico Caneva demostraba </w:t>
      </w:r>
      <w:r>
        <w:t>el temor a ser det</w:t>
      </w:r>
      <w:r>
        <w:t>e</w:t>
      </w:r>
      <w:r>
        <w:t>nido que por esos días sentía Ribelli, imposible de just</w:t>
      </w:r>
      <w:r>
        <w:t>i</w:t>
      </w:r>
      <w:r>
        <w:t>ficar, como pretendió hacerlo, invocando que se vi</w:t>
      </w:r>
      <w:r>
        <w:t>n</w:t>
      </w:r>
      <w:r>
        <w:t>culaba a un eventual problema judicial por un simple incumpl</w:t>
      </w:r>
      <w:r>
        <w:t>i</w:t>
      </w:r>
      <w:r>
        <w:t>miento de los deberes de funcionario p</w:t>
      </w:r>
      <w:r>
        <w:t>ú</w:t>
      </w:r>
      <w:r>
        <w:t>blico.</w:t>
      </w:r>
    </w:p>
    <w:p w:rsidR="00224567" w:rsidRDefault="00224567">
      <w:pPr>
        <w:widowControl w:val="0"/>
        <w:tabs>
          <w:tab w:val="left" w:pos="2835"/>
        </w:tabs>
        <w:rPr>
          <w:bCs/>
        </w:rPr>
      </w:pPr>
      <w:r>
        <w:tab/>
      </w:r>
      <w:r>
        <w:rPr>
          <w:bCs/>
        </w:rPr>
        <w:t>Indicó, además, que la circunstancia de que en las escuchas referidas nadie aludiera a una e</w:t>
      </w:r>
      <w:r>
        <w:rPr>
          <w:bCs/>
        </w:rPr>
        <w:t>x</w:t>
      </w:r>
      <w:r>
        <w:rPr>
          <w:bCs/>
        </w:rPr>
        <w:t>carcelación o exención de prisión -solución procesal lóg</w:t>
      </w:r>
      <w:r>
        <w:rPr>
          <w:bCs/>
        </w:rPr>
        <w:t>i</w:t>
      </w:r>
      <w:r>
        <w:rPr>
          <w:bCs/>
        </w:rPr>
        <w:t>ca para una imputación por incumplimiento de los deberes de funcionario público- sino al armado de un pacto de s</w:t>
      </w:r>
      <w:r>
        <w:rPr>
          <w:bCs/>
        </w:rPr>
        <w:t>i</w:t>
      </w:r>
      <w:r>
        <w:rPr>
          <w:bCs/>
        </w:rPr>
        <w:t>lencio, demuestra que los interlocutores conocían que la imputación que caería sobre los ex policías estaba dire</w:t>
      </w:r>
      <w:r>
        <w:rPr>
          <w:bCs/>
        </w:rPr>
        <w:t>c</w:t>
      </w:r>
      <w:r>
        <w:rPr>
          <w:bCs/>
        </w:rPr>
        <w:t>tamente vinculada al atentado.</w:t>
      </w:r>
    </w:p>
    <w:p w:rsidR="00224567" w:rsidRDefault="00224567">
      <w:pPr>
        <w:widowControl w:val="0"/>
        <w:tabs>
          <w:tab w:val="left" w:pos="2835"/>
        </w:tabs>
        <w:rPr>
          <w:bCs/>
        </w:rPr>
      </w:pPr>
      <w:r>
        <w:rPr>
          <w:bCs/>
        </w:rPr>
        <w:tab/>
        <w:t>Luego, tras memorar dichos de Rib</w:t>
      </w:r>
      <w:r>
        <w:rPr>
          <w:bCs/>
        </w:rPr>
        <w:t>e</w:t>
      </w:r>
      <w:r>
        <w:rPr>
          <w:bCs/>
        </w:rPr>
        <w:t xml:space="preserve">lli, en los que refirió que en el año 1992, ante una imputación </w:t>
      </w:r>
      <w:r>
        <w:rPr>
          <w:bCs/>
        </w:rPr>
        <w:lastRenderedPageBreak/>
        <w:t>de extorsión, se había puesto a di</w:t>
      </w:r>
      <w:r>
        <w:rPr>
          <w:bCs/>
        </w:rPr>
        <w:t>s</w:t>
      </w:r>
      <w:r>
        <w:rPr>
          <w:bCs/>
        </w:rPr>
        <w:t>posición del juzgado en el que se había radicado la denuncia, el Dr. Ávila formuló la siguiente pregu</w:t>
      </w:r>
      <w:r>
        <w:rPr>
          <w:bCs/>
        </w:rPr>
        <w:t>n</w:t>
      </w:r>
      <w:r>
        <w:rPr>
          <w:bCs/>
        </w:rPr>
        <w:t>ta: ¿por qué no intentó hacer lo mismo en la ca</w:t>
      </w:r>
      <w:r>
        <w:rPr>
          <w:bCs/>
        </w:rPr>
        <w:t>u</w:t>
      </w:r>
      <w:r>
        <w:rPr>
          <w:bCs/>
        </w:rPr>
        <w:t>sa A.M.I.A.?.</w:t>
      </w:r>
    </w:p>
    <w:p w:rsidR="00224567" w:rsidRDefault="00224567">
      <w:pPr>
        <w:widowControl w:val="0"/>
        <w:tabs>
          <w:tab w:val="left" w:pos="2835"/>
        </w:tabs>
        <w:rPr>
          <w:bCs/>
        </w:rPr>
      </w:pPr>
      <w:r>
        <w:rPr>
          <w:bCs/>
        </w:rPr>
        <w:tab/>
      </w:r>
      <w:r>
        <w:t>Seguidamente, analizó la tipicidad o</w:t>
      </w:r>
      <w:r>
        <w:t>b</w:t>
      </w:r>
      <w:r>
        <w:t>jetiva, considerando que l</w:t>
      </w:r>
      <w:r>
        <w:rPr>
          <w:bCs/>
        </w:rPr>
        <w:t>a narración imputativa fo</w:t>
      </w:r>
      <w:r>
        <w:rPr>
          <w:bCs/>
        </w:rPr>
        <w:t>r</w:t>
      </w:r>
      <w:r>
        <w:rPr>
          <w:bCs/>
        </w:rPr>
        <w:t>mulada exige su adecuación a los tipos penales de homicidio y l</w:t>
      </w:r>
      <w:r>
        <w:rPr>
          <w:bCs/>
        </w:rPr>
        <w:t>e</w:t>
      </w:r>
      <w:r>
        <w:rPr>
          <w:bCs/>
        </w:rPr>
        <w:t>siones gravísimas, graves y leves, doblemente calific</w:t>
      </w:r>
      <w:r>
        <w:rPr>
          <w:bCs/>
        </w:rPr>
        <w:t>a</w:t>
      </w:r>
      <w:r>
        <w:rPr>
          <w:bCs/>
        </w:rPr>
        <w:t>das (arts. 80, incs. 4º y 5º, 89, 90, 91, en función del 72, inc. 2, último párrafo, y 92 del Código Penal) y daño (art. 183 del cuerpo legal citado), en concurso real.</w:t>
      </w:r>
    </w:p>
    <w:p w:rsidR="00224567" w:rsidRDefault="00224567">
      <w:pPr>
        <w:widowControl w:val="0"/>
        <w:tabs>
          <w:tab w:val="left" w:pos="2835"/>
        </w:tabs>
        <w:rPr>
          <w:bCs/>
        </w:rPr>
      </w:pPr>
      <w:r>
        <w:rPr>
          <w:bCs/>
        </w:rPr>
        <w:tab/>
        <w:t>Agregó que el grado de participación en el atentado que se les imputa a Telleldín, Ribelli, Leal e Ibarra, se corresponde a la calidad de cómplices primarios, mientras que a Bareiro se le imputa una part</w:t>
      </w:r>
      <w:r>
        <w:rPr>
          <w:bCs/>
        </w:rPr>
        <w:t>i</w:t>
      </w:r>
      <w:r>
        <w:rPr>
          <w:bCs/>
        </w:rPr>
        <w:t>cip</w:t>
      </w:r>
      <w:r>
        <w:rPr>
          <w:bCs/>
        </w:rPr>
        <w:t>a</w:t>
      </w:r>
      <w:r>
        <w:rPr>
          <w:bCs/>
        </w:rPr>
        <w:t>ción secundaria.</w:t>
      </w:r>
    </w:p>
    <w:p w:rsidR="00224567" w:rsidRDefault="00224567">
      <w:pPr>
        <w:widowControl w:val="0"/>
        <w:tabs>
          <w:tab w:val="left" w:pos="2835"/>
        </w:tabs>
        <w:rPr>
          <w:bCs/>
        </w:rPr>
      </w:pPr>
      <w:r>
        <w:rPr>
          <w:bCs/>
        </w:rPr>
        <w:tab/>
        <w:t>Al analizar la exigencia subjet</w:t>
      </w:r>
      <w:r>
        <w:rPr>
          <w:bCs/>
        </w:rPr>
        <w:t>i</w:t>
      </w:r>
      <w:r>
        <w:rPr>
          <w:bCs/>
        </w:rPr>
        <w:t>va del tipo penal imputado, consideró elemental d</w:t>
      </w:r>
      <w:r>
        <w:rPr>
          <w:bCs/>
        </w:rPr>
        <w:t>e</w:t>
      </w:r>
      <w:r>
        <w:rPr>
          <w:bCs/>
        </w:rPr>
        <w:t>terminar que un hecho terrorista se ejecuta con una e</w:t>
      </w:r>
      <w:r>
        <w:rPr>
          <w:bCs/>
        </w:rPr>
        <w:t>s</w:t>
      </w:r>
      <w:r>
        <w:rPr>
          <w:bCs/>
        </w:rPr>
        <w:t xml:space="preserve">tructura celular en la que los partícipes que no aportan a la ejecución final </w:t>
      </w:r>
      <w:r>
        <w:rPr>
          <w:bCs/>
        </w:rPr>
        <w:lastRenderedPageBreak/>
        <w:t>tienen una especie de “v</w:t>
      </w:r>
      <w:r>
        <w:rPr>
          <w:bCs/>
        </w:rPr>
        <w:t>i</w:t>
      </w:r>
      <w:r>
        <w:rPr>
          <w:bCs/>
        </w:rPr>
        <w:t>sión bulto”, imprecisa, de lo que será el objet</w:t>
      </w:r>
      <w:r>
        <w:rPr>
          <w:bCs/>
        </w:rPr>
        <w:t>i</w:t>
      </w:r>
      <w:r>
        <w:rPr>
          <w:bCs/>
        </w:rPr>
        <w:t>vo final.</w:t>
      </w:r>
    </w:p>
    <w:p w:rsidR="00224567" w:rsidRDefault="00224567">
      <w:pPr>
        <w:widowControl w:val="0"/>
        <w:tabs>
          <w:tab w:val="left" w:pos="2835"/>
        </w:tabs>
      </w:pPr>
      <w:r>
        <w:rPr>
          <w:bCs/>
        </w:rPr>
        <w:tab/>
      </w:r>
      <w:r>
        <w:t>Sostuvo que exigir un mayor conoc</w:t>
      </w:r>
      <w:r>
        <w:t>i</w:t>
      </w:r>
      <w:r>
        <w:t>miento en los delitos asociativos o complejos implica de</w:t>
      </w:r>
      <w:r>
        <w:t>s</w:t>
      </w:r>
      <w:r>
        <w:t>conocer la materia con la que debe operar el derecho p</w:t>
      </w:r>
      <w:r>
        <w:t>e</w:t>
      </w:r>
      <w:r>
        <w:t>nal.</w:t>
      </w:r>
    </w:p>
    <w:p w:rsidR="00224567" w:rsidRDefault="00224567">
      <w:pPr>
        <w:widowControl w:val="0"/>
        <w:tabs>
          <w:tab w:val="left" w:pos="2835"/>
        </w:tabs>
      </w:pPr>
      <w:r>
        <w:tab/>
        <w:t xml:space="preserve">Hizo referencia a lo expuesto por </w:t>
      </w:r>
      <w:smartTag w:uri="urn:schemas-microsoft-com:office:smarttags" w:element="PersonName">
        <w:smartTagPr>
          <w:attr w:name="ProductID" w:val="la C￡mara Nacional"/>
        </w:smartTagPr>
        <w:r>
          <w:t>la Cámara Nacional</w:t>
        </w:r>
      </w:smartTag>
      <w:r>
        <w:t xml:space="preserve"> de Apelaciones en lo Criminal y Correcci</w:t>
      </w:r>
      <w:r>
        <w:t>o</w:t>
      </w:r>
      <w:r>
        <w:t>nal Federal de esta ciudad en la causa seguida a los ex comandantes, citando que “...la falta de conocimie</w:t>
      </w:r>
      <w:r>
        <w:t>n</w:t>
      </w:r>
      <w:r>
        <w:t>to por los proces</w:t>
      </w:r>
      <w:r>
        <w:t>a</w:t>
      </w:r>
      <w:r>
        <w:t>dos de la existencia de cada uno de los hechos individuales y de la identidad de las víct</w:t>
      </w:r>
      <w:r>
        <w:t>i</w:t>
      </w:r>
      <w:r>
        <w:t>mas no resulta de importancia. Así se considera, pues la d</w:t>
      </w:r>
      <w:r>
        <w:t>i</w:t>
      </w:r>
      <w:r>
        <w:t>rectiva aludió genéricamente a todo ‘subversivo’”.</w:t>
      </w:r>
    </w:p>
    <w:p w:rsidR="00224567" w:rsidRDefault="00224567">
      <w:pPr>
        <w:widowControl w:val="0"/>
        <w:tabs>
          <w:tab w:val="left" w:pos="2835"/>
        </w:tabs>
      </w:pPr>
      <w:r>
        <w:tab/>
        <w:t>Explicó que una acción puede ser i</w:t>
      </w:r>
      <w:r>
        <w:t>n</w:t>
      </w:r>
      <w:r>
        <w:t>tencional bajo una descripción y no bajo otra y esa de</w:t>
      </w:r>
      <w:r>
        <w:t>s</w:t>
      </w:r>
      <w:r>
        <w:t>cripción es, a su vez, dependiente del con</w:t>
      </w:r>
      <w:r>
        <w:t>o</w:t>
      </w:r>
      <w:r>
        <w:t>cimiento que se le exija y pueda tener su ejecutor.</w:t>
      </w:r>
    </w:p>
    <w:p w:rsidR="00224567" w:rsidRDefault="00224567">
      <w:pPr>
        <w:widowControl w:val="0"/>
        <w:tabs>
          <w:tab w:val="left" w:pos="2835"/>
        </w:tabs>
      </w:pPr>
      <w:r>
        <w:tab/>
        <w:t>Señaló que, de esa forma, la a</w:t>
      </w:r>
      <w:r>
        <w:t>c</w:t>
      </w:r>
      <w:r>
        <w:t>ción de los comanda</w:t>
      </w:r>
      <w:r>
        <w:t>n</w:t>
      </w:r>
      <w:r>
        <w:t xml:space="preserve">tes no habría sido intencional si se exigiera el conocimiento de la identidad y de las circunstancias </w:t>
      </w:r>
      <w:r>
        <w:lastRenderedPageBreak/>
        <w:t>que rodearon la muerte, torturas o privaciones de la l</w:t>
      </w:r>
      <w:r>
        <w:t>i</w:t>
      </w:r>
      <w:r>
        <w:t>bertad de cada una de las víctimas por las que se los co</w:t>
      </w:r>
      <w:r>
        <w:t>n</w:t>
      </w:r>
      <w:r>
        <w:t>denó; pero sí, dijo, es intencional cada una de esas mue</w:t>
      </w:r>
      <w:r>
        <w:t>r</w:t>
      </w:r>
      <w:r>
        <w:t>tes bajo la descripción “aniquilar la subversión” u “obt</w:t>
      </w:r>
      <w:r>
        <w:t>e</w:t>
      </w:r>
      <w:r>
        <w:t>ner información a cualquier c</w:t>
      </w:r>
      <w:r>
        <w:t>o</w:t>
      </w:r>
      <w:r>
        <w:t>sto”.</w:t>
      </w:r>
    </w:p>
    <w:p w:rsidR="00224567" w:rsidRDefault="00224567">
      <w:pPr>
        <w:widowControl w:val="0"/>
        <w:tabs>
          <w:tab w:val="left" w:pos="2835"/>
        </w:tabs>
      </w:pPr>
      <w:r>
        <w:tab/>
        <w:t>Concluyó que si se acepta que lo pr</w:t>
      </w:r>
      <w:r>
        <w:t>o</w:t>
      </w:r>
      <w:r>
        <w:t>bado en esta causa no es casual, que Ribelli fue esc</w:t>
      </w:r>
      <w:r>
        <w:t>o</w:t>
      </w:r>
      <w:r>
        <w:t>gido por su perfil y que éste eligió a T</w:t>
      </w:r>
      <w:r>
        <w:t>e</w:t>
      </w:r>
      <w:r>
        <w:t>lleldín por lo mismo, ambos fueron funcionales al plan el</w:t>
      </w:r>
      <w:r>
        <w:t>e</w:t>
      </w:r>
      <w:r>
        <w:t>gido y, por ende,  no podían no saber a que estaban contribuyendo; el primero, por los contactos que d</w:t>
      </w:r>
      <w:r>
        <w:t>e</w:t>
      </w:r>
      <w:r>
        <w:t>bió tener con los ejecutores y, el segundo, porque alguna explicación d</w:t>
      </w:r>
      <w:r>
        <w:t>e</w:t>
      </w:r>
      <w:r>
        <w:t>bió  haber recibido, sumada a su experiencia con rod</w:t>
      </w:r>
      <w:r>
        <w:t>a</w:t>
      </w:r>
      <w:r>
        <w:t>dos.</w:t>
      </w:r>
    </w:p>
    <w:p w:rsidR="00224567" w:rsidRDefault="00224567">
      <w:pPr>
        <w:widowControl w:val="0"/>
        <w:tabs>
          <w:tab w:val="left" w:pos="2835"/>
        </w:tabs>
      </w:pPr>
      <w:r>
        <w:tab/>
        <w:t>En esa inteligencia, el Dr. Ávila tr</w:t>
      </w:r>
      <w:r>
        <w:t>a</w:t>
      </w:r>
      <w:r>
        <w:t>jo a colación la obra “El Dolo y su Prueba en el Proceso Penal”, de Ramon R</w:t>
      </w:r>
      <w:r>
        <w:t>a</w:t>
      </w:r>
      <w:r>
        <w:t>gués i Vallès, en la que, al referirse a las “exteriorizaciones por actos concluye</w:t>
      </w:r>
      <w:r>
        <w:t>n</w:t>
      </w:r>
      <w:r>
        <w:t>tes”, el autor expresa que “concurren en aquellos casos en que, sin que exista una decl</w:t>
      </w:r>
      <w:r>
        <w:t>a</w:t>
      </w:r>
      <w:r>
        <w:t xml:space="preserve">ración explícita del sujeto acerca de que es lo que conoce o conoció en el momento de los hechos, a </w:t>
      </w:r>
      <w:r>
        <w:lastRenderedPageBreak/>
        <w:t>partir del modo en que tal sujeto se ha comportado en d</w:t>
      </w:r>
      <w:r>
        <w:t>i</w:t>
      </w:r>
      <w:r>
        <w:t>cho momento o con posterioridad a él, es posible deducir que cuenta o contaba con determinados conocimientos, de tal modo que, desde un punto de vista valorativo, se i</w:t>
      </w:r>
      <w:r>
        <w:t>n</w:t>
      </w:r>
      <w:r>
        <w:t>terpreta su conducta como una exterioriz</w:t>
      </w:r>
      <w:r>
        <w:t>a</w:t>
      </w:r>
      <w:r>
        <w:t>ción” (ob. cit., pág. 417, ed. J. M. Bosch, Barcelona 1999).</w:t>
      </w:r>
    </w:p>
    <w:p w:rsidR="00224567" w:rsidRDefault="00224567">
      <w:pPr>
        <w:widowControl w:val="0"/>
        <w:tabs>
          <w:tab w:val="left" w:pos="2835"/>
        </w:tabs>
      </w:pPr>
      <w:r>
        <w:tab/>
        <w:t>Destacó que Ribelli poseía conocimie</w:t>
      </w:r>
      <w:r>
        <w:t>n</w:t>
      </w:r>
      <w:r>
        <w:t>tos especiales o características particulares, refiriénd</w:t>
      </w:r>
      <w:r>
        <w:t>o</w:t>
      </w:r>
      <w:r>
        <w:t>se especialmente a su profesión y a su curso de terrorismo y que si bien no fue interrogado al respecto ni brindó e</w:t>
      </w:r>
      <w:r>
        <w:t>x</w:t>
      </w:r>
      <w:r>
        <w:t>plicaciones, el contenido de ese curso, a criterio del l</w:t>
      </w:r>
      <w:r>
        <w:t>e</w:t>
      </w:r>
      <w:r>
        <w:t>trado, autoriza a atribuirle esas cual</w:t>
      </w:r>
      <w:r>
        <w:t>i</w:t>
      </w:r>
      <w:r>
        <w:t>dades particulares.</w:t>
      </w:r>
    </w:p>
    <w:p w:rsidR="00224567" w:rsidRDefault="00224567">
      <w:pPr>
        <w:widowControl w:val="0"/>
        <w:tabs>
          <w:tab w:val="left" w:pos="2835"/>
        </w:tabs>
      </w:pPr>
      <w:r>
        <w:tab/>
        <w:t>Concluyó afirmando que dicho conoc</w:t>
      </w:r>
      <w:r>
        <w:t>i</w:t>
      </w:r>
      <w:r>
        <w:t>miento, sumado a las demás características pe</w:t>
      </w:r>
      <w:r>
        <w:t>r</w:t>
      </w:r>
      <w:r>
        <w:t>sonales, no permitían dudar acerca de que Ribelli sabía que la cami</w:t>
      </w:r>
      <w:r>
        <w:t>o</w:t>
      </w:r>
      <w:r>
        <w:t>neta se armaba para ser usada como cochebomba; calidades que también poseía Telleldín a partir de su amplia exp</w:t>
      </w:r>
      <w:r>
        <w:t>e</w:t>
      </w:r>
      <w:r>
        <w:t>riencia en el armado de vehículos que sorteaban los co</w:t>
      </w:r>
      <w:r>
        <w:t>n</w:t>
      </w:r>
      <w:r>
        <w:t>troles policiales pero que, en este caso, no cuidó: la c</w:t>
      </w:r>
      <w:r>
        <w:t>a</w:t>
      </w:r>
      <w:r>
        <w:t>mioneta que anu</w:t>
      </w:r>
      <w:r>
        <w:t>n</w:t>
      </w:r>
      <w:r>
        <w:t>ció no fue la que entregó o, por lo menos, no fue la que e</w:t>
      </w:r>
      <w:r>
        <w:t>x</w:t>
      </w:r>
      <w:r>
        <w:t xml:space="preserve">plotó en </w:t>
      </w:r>
      <w:smartTag w:uri="urn:schemas-microsoft-com:office:smarttags" w:element="PersonName">
        <w:smartTagPr>
          <w:attr w:name="ProductID" w:val="la A.M"/>
        </w:smartTagPr>
        <w:r>
          <w:t>la A.M</w:t>
        </w:r>
      </w:smartTag>
      <w:r>
        <w:t>.I.A.</w:t>
      </w:r>
    </w:p>
    <w:p w:rsidR="00224567" w:rsidRDefault="00224567">
      <w:pPr>
        <w:widowControl w:val="0"/>
        <w:tabs>
          <w:tab w:val="left" w:pos="2835"/>
        </w:tabs>
      </w:pPr>
      <w:r>
        <w:lastRenderedPageBreak/>
        <w:tab/>
        <w:t>Argumentó que ni Ibarra ni Leal p</w:t>
      </w:r>
      <w:r>
        <w:t>o</w:t>
      </w:r>
      <w:r>
        <w:t>seían características especiales, aunque consideró irraz</w:t>
      </w:r>
      <w:r>
        <w:t>o</w:t>
      </w:r>
      <w:r>
        <w:t>nable que el primero, mano derecha de Ribelli, no hubiera conocido por éste datos acerca de la importa</w:t>
      </w:r>
      <w:r>
        <w:t>n</w:t>
      </w:r>
      <w:r>
        <w:t>cia y destino de la camioneta y del “En</w:t>
      </w:r>
      <w:r>
        <w:t>a</w:t>
      </w:r>
      <w:r>
        <w:t>no”; en cambio, consideró que la participación de Leal surgió al inmiscuirse en la oper</w:t>
      </w:r>
      <w:r>
        <w:t>a</w:t>
      </w:r>
      <w:r>
        <w:t xml:space="preserve">ción de Ribelli, toda vez que como había planeado con Rago llevarse </w:t>
      </w:r>
      <w:smartTag w:uri="urn:schemas-microsoft-com:office:smarttags" w:element="PersonName">
        <w:smartTagPr>
          <w:attr w:name="ProductID" w:val="la Trafic"/>
        </w:smartTagPr>
        <w:r>
          <w:t>la Tr</w:t>
        </w:r>
        <w:r>
          <w:t>a</w:t>
        </w:r>
        <w:r>
          <w:t>fic</w:t>
        </w:r>
      </w:smartTag>
      <w:r>
        <w:t>, obligó a aquél a incluirlo en el plan.</w:t>
      </w:r>
    </w:p>
    <w:p w:rsidR="00224567" w:rsidRDefault="00224567">
      <w:pPr>
        <w:widowControl w:val="0"/>
        <w:tabs>
          <w:tab w:val="left" w:pos="2835"/>
        </w:tabs>
        <w:rPr>
          <w:bCs/>
        </w:rPr>
      </w:pPr>
      <w:r>
        <w:tab/>
      </w:r>
      <w:r>
        <w:rPr>
          <w:bCs/>
        </w:rPr>
        <w:t>En cuanto a Bareiro, entendió el l</w:t>
      </w:r>
      <w:r>
        <w:rPr>
          <w:bCs/>
        </w:rPr>
        <w:t>e</w:t>
      </w:r>
      <w:r>
        <w:rPr>
          <w:bCs/>
        </w:rPr>
        <w:t>trado que su participación, si bien menos clara, fue suf</w:t>
      </w:r>
      <w:r>
        <w:rPr>
          <w:bCs/>
        </w:rPr>
        <w:t>i</w:t>
      </w:r>
      <w:r>
        <w:rPr>
          <w:bCs/>
        </w:rPr>
        <w:t>ciente para imputarle una complicidad secundaria, pues tampoco podía ignorar el destino final de la camioneta, calificando su actuación posterior un típico caso de ext</w:t>
      </w:r>
      <w:r>
        <w:rPr>
          <w:bCs/>
        </w:rPr>
        <w:t>e</w:t>
      </w:r>
      <w:r>
        <w:rPr>
          <w:bCs/>
        </w:rPr>
        <w:t>riorización del conocimiento por las actuaciones concl</w:t>
      </w:r>
      <w:r>
        <w:rPr>
          <w:bCs/>
        </w:rPr>
        <w:t>u</w:t>
      </w:r>
      <w:r>
        <w:rPr>
          <w:bCs/>
        </w:rPr>
        <w:t>yentes.</w:t>
      </w:r>
    </w:p>
    <w:p w:rsidR="00224567" w:rsidRDefault="00224567">
      <w:pPr>
        <w:widowControl w:val="0"/>
        <w:tabs>
          <w:tab w:val="left" w:pos="2835"/>
        </w:tabs>
        <w:rPr>
          <w:bCs/>
        </w:rPr>
      </w:pPr>
      <w:r>
        <w:rPr>
          <w:bCs/>
        </w:rPr>
        <w:tab/>
        <w:t>Finalmente, señaló que acreditado el conocimiento, aparece claro el dolo eventual, sintetizá</w:t>
      </w:r>
      <w:r>
        <w:rPr>
          <w:bCs/>
        </w:rPr>
        <w:t>n</w:t>
      </w:r>
      <w:r>
        <w:rPr>
          <w:bCs/>
        </w:rPr>
        <w:t>dolo con una cita de Ingeborg Puppe según la cual “lo d</w:t>
      </w:r>
      <w:r>
        <w:rPr>
          <w:bCs/>
        </w:rPr>
        <w:t>e</w:t>
      </w:r>
      <w:r>
        <w:rPr>
          <w:bCs/>
        </w:rPr>
        <w:t xml:space="preserve">cisivo no es si el autor realmente aceptó o rechazó la puesta en peligro o la lesión de la integridad ajena, sino </w:t>
      </w:r>
      <w:r>
        <w:rPr>
          <w:bCs/>
        </w:rPr>
        <w:lastRenderedPageBreak/>
        <w:t>si su comportamiento, i</w:t>
      </w:r>
      <w:r>
        <w:rPr>
          <w:bCs/>
        </w:rPr>
        <w:t>n</w:t>
      </w:r>
      <w:r>
        <w:rPr>
          <w:bCs/>
        </w:rPr>
        <w:t>terpretado como el de una persona razonable, constituye la expr</w:t>
      </w:r>
      <w:r>
        <w:rPr>
          <w:bCs/>
        </w:rPr>
        <w:t>e</w:t>
      </w:r>
      <w:r>
        <w:rPr>
          <w:bCs/>
        </w:rPr>
        <w:t>sión de su decisión.” En ese sentido, estimó que el comportamiento de e</w:t>
      </w:r>
      <w:r>
        <w:rPr>
          <w:bCs/>
        </w:rPr>
        <w:t>s</w:t>
      </w:r>
      <w:r>
        <w:rPr>
          <w:bCs/>
        </w:rPr>
        <w:t>tos procesados, antes, durante y después del atentado, constituye la e</w:t>
      </w:r>
      <w:r>
        <w:rPr>
          <w:bCs/>
        </w:rPr>
        <w:t>x</w:t>
      </w:r>
      <w:r>
        <w:rPr>
          <w:bCs/>
        </w:rPr>
        <w:t>presión de su cr</w:t>
      </w:r>
      <w:r>
        <w:rPr>
          <w:bCs/>
        </w:rPr>
        <w:t>i</w:t>
      </w:r>
      <w:r>
        <w:rPr>
          <w:bCs/>
        </w:rPr>
        <w:t>minal decisión.</w:t>
      </w:r>
    </w:p>
    <w:p w:rsidR="00224567" w:rsidRDefault="00224567">
      <w:pPr>
        <w:widowControl w:val="0"/>
        <w:tabs>
          <w:tab w:val="left" w:pos="2835"/>
        </w:tabs>
      </w:pPr>
      <w:r>
        <w:rPr>
          <w:bCs/>
        </w:rPr>
        <w:tab/>
      </w:r>
      <w:r>
        <w:t>Tras todo lo expuesto, el Dr. Ávila hizo referencia a lo actuado en la causa nº 496 del regi</w:t>
      </w:r>
      <w:r>
        <w:t>s</w:t>
      </w:r>
      <w:r>
        <w:t>tro de este tribunal, seguida contra Juan José Rib</w:t>
      </w:r>
      <w:r>
        <w:t>e</w:t>
      </w:r>
      <w:r>
        <w:t>lli por infracción al art. 149 ter, inc. 2º, ap. “a”, del Código Penal, formulando las alegaciones que, por razones de un mejor orden y comprensión, se explicitan en el título pe</w:t>
      </w:r>
      <w:r>
        <w:t>r</w:t>
      </w:r>
      <w:r>
        <w:t>tine</w:t>
      </w:r>
      <w:r>
        <w:t>n</w:t>
      </w:r>
      <w:r>
        <w:t>te.</w:t>
      </w:r>
    </w:p>
    <w:p w:rsidR="00224567" w:rsidRDefault="00224567">
      <w:pPr>
        <w:widowControl w:val="0"/>
        <w:tabs>
          <w:tab w:val="left" w:pos="2835"/>
        </w:tabs>
      </w:pPr>
      <w:r>
        <w:tab/>
        <w:t>A modo de conclusión, el Dr. Ávila d</w:t>
      </w:r>
      <w:r>
        <w:t>e</w:t>
      </w:r>
      <w:r>
        <w:t>nunció que la investigación de los hechos de autos chocó con la indiferencia del Estado, que i</w:t>
      </w:r>
      <w:r>
        <w:t>n</w:t>
      </w:r>
      <w:r>
        <w:t xml:space="preserve">cumplió sistemática-mente el deber de transformar este hecho en una afrenta contra los argentinos y </w:t>
      </w:r>
      <w:smartTag w:uri="urn:schemas-microsoft-com:office:smarttags" w:element="PersonName">
        <w:smartTagPr>
          <w:attr w:name="ProductID" w:val="la Argentina"/>
        </w:smartTagPr>
        <w:r>
          <w:t>la Argentina</w:t>
        </w:r>
      </w:smartTag>
      <w:r>
        <w:t xml:space="preserve"> tratándolo en cons</w:t>
      </w:r>
      <w:r>
        <w:t>e</w:t>
      </w:r>
      <w:r>
        <w:t>cuencia; por el contrario, lo trató como un hecho más, grave, pero uno más.</w:t>
      </w:r>
    </w:p>
    <w:p w:rsidR="00224567" w:rsidRDefault="00224567">
      <w:pPr>
        <w:widowControl w:val="0"/>
        <w:tabs>
          <w:tab w:val="left" w:pos="2835"/>
        </w:tabs>
      </w:pPr>
      <w:r>
        <w:tab/>
        <w:t>En el mismo sentido, el abogado cons</w:t>
      </w:r>
      <w:r>
        <w:t>i</w:t>
      </w:r>
      <w:r>
        <w:t xml:space="preserve">deró que ese déficit de la actividad estatal se trasladó </w:t>
      </w:r>
      <w:r>
        <w:lastRenderedPageBreak/>
        <w:t>al juicio donde se debió reproducir absolutamente todo, llegándose, a su criterio, a situaciones irreales en las que el debate parecía versar más sobre una adm</w:t>
      </w:r>
      <w:r>
        <w:t>i</w:t>
      </w:r>
      <w:r>
        <w:t>nistración fraudulenta que sobre un atentado con ochenta y cinco muertos.</w:t>
      </w:r>
    </w:p>
    <w:p w:rsidR="00224567" w:rsidRDefault="00224567">
      <w:pPr>
        <w:widowControl w:val="0"/>
        <w:tabs>
          <w:tab w:val="left" w:pos="2835"/>
        </w:tabs>
      </w:pPr>
      <w:r>
        <w:tab/>
        <w:t>También resaltó que si bien el trib</w:t>
      </w:r>
      <w:r>
        <w:t>u</w:t>
      </w:r>
      <w:r>
        <w:t>nal interrogó a los primeros testigos con total ampl</w:t>
      </w:r>
      <w:r>
        <w:t>i</w:t>
      </w:r>
      <w:r>
        <w:t>tud, dicho criterio no se mantuvo llegado el momento de ahondar en la responsabilidad de los acusados, toda vez que test</w:t>
      </w:r>
      <w:r>
        <w:t>i</w:t>
      </w:r>
      <w:r>
        <w:t>gos como Piotti, Calabró, Verón, Ruckauf, Antonietti o A</w:t>
      </w:r>
      <w:r>
        <w:t>n</w:t>
      </w:r>
      <w:r>
        <w:t>zorreguy fueron interrogados con absoluta liviandad, agr</w:t>
      </w:r>
      <w:r>
        <w:t>e</w:t>
      </w:r>
      <w:r>
        <w:t>gando que luego, al profundizarse el objeto pr</w:t>
      </w:r>
      <w:r>
        <w:t>o</w:t>
      </w:r>
      <w:r>
        <w:t>cesal de la causa que tramita el Dr. Bonadío, hubo un nuevo v</w:t>
      </w:r>
      <w:r>
        <w:t>i</w:t>
      </w:r>
      <w:r>
        <w:t>raje en punto a los criterios para interrogar, toda vez fue más importante cuestionar la investigación y los investigad</w:t>
      </w:r>
      <w:r>
        <w:t>o</w:t>
      </w:r>
      <w:r>
        <w:t>res, que los resultados de la inve</w:t>
      </w:r>
      <w:r>
        <w:t>s</w:t>
      </w:r>
      <w:r>
        <w:t>tigación en sí.</w:t>
      </w:r>
    </w:p>
    <w:p w:rsidR="00224567" w:rsidRDefault="00224567">
      <w:pPr>
        <w:widowControl w:val="0"/>
        <w:tabs>
          <w:tab w:val="left" w:pos="2835"/>
        </w:tabs>
      </w:pPr>
      <w:r>
        <w:tab/>
      </w:r>
      <w:r w:rsidRPr="00D206A8">
        <w:rPr>
          <w:highlight w:val="yellow"/>
        </w:rPr>
        <w:t>Indicó, por último, la sorpresa que le causó a su parte la presencia de Stiuso en oportun</w:t>
      </w:r>
      <w:r w:rsidRPr="00D206A8">
        <w:rPr>
          <w:highlight w:val="yellow"/>
        </w:rPr>
        <w:t>i</w:t>
      </w:r>
      <w:r w:rsidRPr="00D206A8">
        <w:rPr>
          <w:highlight w:val="yellow"/>
        </w:rPr>
        <w:t>dad de declarar el testigo “C” en Alem</w:t>
      </w:r>
      <w:r w:rsidRPr="00D206A8">
        <w:rPr>
          <w:highlight w:val="yellow"/>
        </w:rPr>
        <w:t>a</w:t>
      </w:r>
      <w:r w:rsidRPr="00D206A8">
        <w:rPr>
          <w:highlight w:val="yellow"/>
        </w:rPr>
        <w:t>nia, sosteniendo que ello podría explicar el cambio que se advierte entre ese test</w:t>
      </w:r>
      <w:r w:rsidRPr="00D206A8">
        <w:rPr>
          <w:highlight w:val="yellow"/>
        </w:rPr>
        <w:t>i</w:t>
      </w:r>
      <w:r w:rsidRPr="00D206A8">
        <w:rPr>
          <w:highlight w:val="yellow"/>
        </w:rPr>
        <w:lastRenderedPageBreak/>
        <w:t>monio y los anteriores, como también los esfuerzos para salvar sus contradicciones que, a crit</w:t>
      </w:r>
      <w:r w:rsidRPr="00D206A8">
        <w:rPr>
          <w:highlight w:val="yellow"/>
        </w:rPr>
        <w:t>e</w:t>
      </w:r>
      <w:r w:rsidRPr="00D206A8">
        <w:rPr>
          <w:highlight w:val="yellow"/>
        </w:rPr>
        <w:t>rio del abogado, el tribunal no permitió term</w:t>
      </w:r>
      <w:r w:rsidRPr="00D206A8">
        <w:rPr>
          <w:highlight w:val="yellow"/>
        </w:rPr>
        <w:t>i</w:t>
      </w:r>
      <w:r w:rsidRPr="00D206A8">
        <w:rPr>
          <w:highlight w:val="yellow"/>
        </w:rPr>
        <w:t>nar de explorar.</w:t>
      </w:r>
    </w:p>
    <w:p w:rsidR="00224567" w:rsidRDefault="00224567">
      <w:pPr>
        <w:widowControl w:val="0"/>
        <w:tabs>
          <w:tab w:val="left" w:pos="2835"/>
        </w:tabs>
      </w:pPr>
      <w:r>
        <w:tab/>
        <w:t>A su turno, el Dr. Julio A. Federik solicitó que se condene a Carlos Alberto Telleldín, Juan José Ribelli, Raúl Edilio Ibarra y Anastasio Ir</w:t>
      </w:r>
      <w:r>
        <w:t>e</w:t>
      </w:r>
      <w:r>
        <w:t>neo Leal a la pena de reclusión perpetua, con más las accesorias l</w:t>
      </w:r>
      <w:r>
        <w:t>e</w:t>
      </w:r>
      <w:r>
        <w:t>gales y costas, por cuanto sostuvo que la narración imp</w:t>
      </w:r>
      <w:r>
        <w:t>u</w:t>
      </w:r>
      <w:r>
        <w:t>tativa efectuada por la querella que r</w:t>
      </w:r>
      <w:r>
        <w:t>e</w:t>
      </w:r>
      <w:r>
        <w:t>presenta determina su adecuación a los tipos p</w:t>
      </w:r>
      <w:r>
        <w:t>e</w:t>
      </w:r>
      <w:r>
        <w:t>nales de homicidio y lesiones gravísimas, graves y leves, doblemente calif</w:t>
      </w:r>
      <w:r>
        <w:t>i</w:t>
      </w:r>
      <w:r>
        <w:t>cadas y daño, previstos en los arts. 80, incs. 4º y 5º, 89, 90, 91, en función del 72, inc. 2º, último párrafo, y 92 y 183 del Código Penal, todos en concurso real y en grado de part</w:t>
      </w:r>
      <w:r>
        <w:t>i</w:t>
      </w:r>
      <w:r>
        <w:t>cipación necesaria, según los arts. 45 y 55 del cuerpo normativo citado, con costas, y a Mario Norberto Bareiro a la pena de veinte años de prisión, accesorias legales y costas, por los mismos delitos, en grado de partícipe s</w:t>
      </w:r>
      <w:r>
        <w:t>e</w:t>
      </w:r>
      <w:r>
        <w:t>cundario, conforme lo dispuesto en el art. 46 del Código Penal.</w:t>
      </w:r>
    </w:p>
    <w:p w:rsidR="00224567" w:rsidRDefault="00224567">
      <w:pPr>
        <w:widowControl w:val="0"/>
        <w:tabs>
          <w:tab w:val="left" w:pos="2835"/>
        </w:tabs>
      </w:pPr>
      <w:r>
        <w:tab/>
        <w:t>Asimismo, respecto de Juan José Rib</w:t>
      </w:r>
      <w:r>
        <w:t>e</w:t>
      </w:r>
      <w:r>
        <w:lastRenderedPageBreak/>
        <w:t>lli, pidió la aplicación de pena por el hecho invest</w:t>
      </w:r>
      <w:r>
        <w:t>i</w:t>
      </w:r>
      <w:r>
        <w:t>gado en la causa nº 496/00, la que será explicitada en el tít</w:t>
      </w:r>
      <w:r>
        <w:t>u</w:t>
      </w:r>
      <w:r>
        <w:t>lo pertinente.</w:t>
      </w:r>
    </w:p>
    <w:p w:rsidR="00224567" w:rsidRDefault="00224567">
      <w:pPr>
        <w:widowControl w:val="0"/>
        <w:tabs>
          <w:tab w:val="left" w:pos="2835"/>
        </w:tabs>
        <w:rPr>
          <w:szCs w:val="32"/>
        </w:rPr>
      </w:pPr>
      <w:r>
        <w:tab/>
      </w:r>
      <w:r w:rsidRPr="00D206A8">
        <w:rPr>
          <w:highlight w:val="yellow"/>
        </w:rPr>
        <w:t>Señaló el letrado que el debate perm</w:t>
      </w:r>
      <w:r w:rsidRPr="00D206A8">
        <w:rPr>
          <w:highlight w:val="yellow"/>
        </w:rPr>
        <w:t>i</w:t>
      </w:r>
      <w:r w:rsidRPr="00D206A8">
        <w:rPr>
          <w:highlight w:val="yellow"/>
        </w:rPr>
        <w:t xml:space="preserve">tió demostrar que después de ocurrido el atentado a </w:t>
      </w:r>
      <w:smartTag w:uri="urn:schemas-microsoft-com:office:smarttags" w:element="PersonName">
        <w:smartTagPr>
          <w:attr w:name="ProductID" w:val="la Embajada"/>
        </w:smartTagPr>
        <w:r w:rsidRPr="00D206A8">
          <w:rPr>
            <w:highlight w:val="yellow"/>
          </w:rPr>
          <w:t>la E</w:t>
        </w:r>
        <w:r w:rsidRPr="00D206A8">
          <w:rPr>
            <w:highlight w:val="yellow"/>
          </w:rPr>
          <w:t>m</w:t>
        </w:r>
        <w:r w:rsidRPr="00D206A8">
          <w:rPr>
            <w:highlight w:val="yellow"/>
          </w:rPr>
          <w:t>bajada</w:t>
        </w:r>
      </w:smartTag>
      <w:r w:rsidRPr="00D206A8">
        <w:rPr>
          <w:highlight w:val="yellow"/>
        </w:rPr>
        <w:t xml:space="preserve"> de Israel, </w:t>
      </w:r>
      <w:smartTag w:uri="urn:schemas-microsoft-com:office:smarttags" w:element="PersonName">
        <w:smartTagPr>
          <w:attr w:name="ProductID" w:val="la S.I"/>
        </w:smartTagPr>
        <w:r w:rsidRPr="00D206A8">
          <w:rPr>
            <w:highlight w:val="yellow"/>
          </w:rPr>
          <w:t>la S.I</w:t>
        </w:r>
      </w:smartTag>
      <w:r w:rsidRPr="00D206A8">
        <w:rPr>
          <w:highlight w:val="yellow"/>
        </w:rPr>
        <w:t xml:space="preserve">.D.E. vigilaba </w:t>
      </w:r>
      <w:smartTag w:uri="urn:schemas-microsoft-com:office:smarttags" w:element="PersonName">
        <w:smartTagPr>
          <w:attr w:name="ProductID" w:val="la Embajada"/>
        </w:smartTagPr>
        <w:r w:rsidRPr="00D206A8">
          <w:rPr>
            <w:highlight w:val="yellow"/>
          </w:rPr>
          <w:t>la Embajada</w:t>
        </w:r>
      </w:smartTag>
      <w:r w:rsidRPr="00D206A8">
        <w:rPr>
          <w:highlight w:val="yellow"/>
        </w:rPr>
        <w:t xml:space="preserve"> de </w:t>
      </w:r>
      <w:smartTag w:uri="urn:schemas-microsoft-com:office:smarttags" w:element="PersonName">
        <w:smartTagPr>
          <w:attr w:name="ProductID" w:val="la Rep￺blica Isl￡mica"/>
        </w:smartTagPr>
        <w:r w:rsidRPr="00D206A8">
          <w:rPr>
            <w:highlight w:val="yellow"/>
          </w:rPr>
          <w:t>la República Islámica</w:t>
        </w:r>
      </w:smartTag>
      <w:r w:rsidRPr="00D206A8">
        <w:rPr>
          <w:highlight w:val="yellow"/>
        </w:rPr>
        <w:t xml:space="preserve"> de Irán, como así también presumibles objetivos o blancos fundamentalistas islámicos, conforme lo explicitaron </w:t>
      </w:r>
      <w:r w:rsidRPr="00D206A8">
        <w:rPr>
          <w:szCs w:val="32"/>
          <w:highlight w:val="yellow"/>
        </w:rPr>
        <w:t>Horacio Antonio Stiuso y Juan Carlos Ge</w:t>
      </w:r>
      <w:r w:rsidRPr="00D206A8">
        <w:rPr>
          <w:szCs w:val="32"/>
          <w:highlight w:val="yellow"/>
        </w:rPr>
        <w:t>r</w:t>
      </w:r>
      <w:r w:rsidRPr="00D206A8">
        <w:rPr>
          <w:szCs w:val="32"/>
          <w:highlight w:val="yellow"/>
        </w:rPr>
        <w:t>vasoni, al señalar el seguimiento de Rabbani, a quien, i</w:t>
      </w:r>
      <w:r w:rsidRPr="00D206A8">
        <w:rPr>
          <w:szCs w:val="32"/>
          <w:highlight w:val="yellow"/>
        </w:rPr>
        <w:t>n</w:t>
      </w:r>
      <w:r w:rsidRPr="00D206A8">
        <w:rPr>
          <w:szCs w:val="32"/>
          <w:highlight w:val="yellow"/>
        </w:rPr>
        <w:t>cluso, se lo investigaba antes de su llegada al país.</w:t>
      </w:r>
    </w:p>
    <w:p w:rsidR="00224567" w:rsidRDefault="00224567">
      <w:pPr>
        <w:widowControl w:val="0"/>
        <w:tabs>
          <w:tab w:val="left" w:pos="2835"/>
        </w:tabs>
      </w:pPr>
      <w:r>
        <w:rPr>
          <w:szCs w:val="32"/>
        </w:rPr>
        <w:tab/>
        <w:t>Sostuvo que tampoco existían dudas</w:t>
      </w:r>
      <w:r>
        <w:t xml:space="preserve"> acerca de que fue Ra</w:t>
      </w:r>
      <w:r>
        <w:t>b</w:t>
      </w:r>
      <w:r>
        <w:t xml:space="preserve">bani quien ordenó que </w:t>
      </w:r>
      <w:smartTag w:uri="urn:schemas-microsoft-com:office:smarttags" w:element="PersonName">
        <w:smartTagPr>
          <w:attr w:name="ProductID" w:val="la Trafic"/>
        </w:smartTagPr>
        <w:r>
          <w:t>la Trafic</w:t>
        </w:r>
      </w:smartTag>
      <w:r>
        <w:t xml:space="preserve"> fuese retirada de “Jet Parking” por el asesino que luego la e</w:t>
      </w:r>
      <w:r>
        <w:t>x</w:t>
      </w:r>
      <w:r>
        <w:t xml:space="preserve">plotó en </w:t>
      </w:r>
      <w:smartTag w:uri="urn:schemas-microsoft-com:office:smarttags" w:element="PersonName">
        <w:smartTagPr>
          <w:attr w:name="ProductID" w:val="la A.M"/>
        </w:smartTagPr>
        <w:r>
          <w:t>la A.M</w:t>
        </w:r>
      </w:smartTag>
      <w:r>
        <w:t xml:space="preserve">.I.A., que existió un alerta del atentado y que Rabbani constituía, por ende, un peligro real en </w:t>
      </w:r>
      <w:smartTag w:uri="urn:schemas-microsoft-com:office:smarttags" w:element="PersonName">
        <w:smartTagPr>
          <w:attr w:name="ProductID" w:val="la Argentina."/>
        </w:smartTagPr>
        <w:r>
          <w:t>la Argentina.</w:t>
        </w:r>
      </w:smartTag>
    </w:p>
    <w:p w:rsidR="00224567" w:rsidRDefault="00224567">
      <w:pPr>
        <w:widowControl w:val="0"/>
        <w:tabs>
          <w:tab w:val="left" w:pos="2835"/>
        </w:tabs>
      </w:pPr>
      <w:r>
        <w:tab/>
        <w:t>Con relación a ello, trajo a c</w:t>
      </w:r>
      <w:r>
        <w:t>o</w:t>
      </w:r>
      <w:r>
        <w:t xml:space="preserve">lación el episodio que involucró a Khalil Ghatea, en abril de 1994, la evacuación de </w:t>
      </w:r>
      <w:smartTag w:uri="urn:schemas-microsoft-com:office:smarttags" w:element="PersonName">
        <w:smartTagPr>
          <w:attr w:name="ProductID" w:val="la A.M"/>
        </w:smartTagPr>
        <w:r>
          <w:t>la A.M</w:t>
        </w:r>
      </w:smartTag>
      <w:r>
        <w:t xml:space="preserve">.I.A., en mayo del mismo año </w:t>
      </w:r>
      <w:r>
        <w:lastRenderedPageBreak/>
        <w:t>y el aviso claro, directo y expreso que efectúo Wilson Dos Santos; advertencias, genéricas unas y concretas otras, que no fueron atendidas por el Estado N</w:t>
      </w:r>
      <w:r>
        <w:t>a</w:t>
      </w:r>
      <w:r>
        <w:t>cional.</w:t>
      </w:r>
    </w:p>
    <w:p w:rsidR="00224567" w:rsidRDefault="00224567">
      <w:pPr>
        <w:widowControl w:val="0"/>
        <w:tabs>
          <w:tab w:val="left" w:pos="2835"/>
        </w:tabs>
        <w:rPr>
          <w:szCs w:val="48"/>
        </w:rPr>
      </w:pPr>
      <w:r>
        <w:tab/>
      </w:r>
      <w:r>
        <w:rPr>
          <w:szCs w:val="48"/>
        </w:rPr>
        <w:t>Al referirse a la seguridad e</w:t>
      </w:r>
      <w:r>
        <w:rPr>
          <w:szCs w:val="48"/>
        </w:rPr>
        <w:t>x</w:t>
      </w:r>
      <w:r>
        <w:rPr>
          <w:szCs w:val="48"/>
        </w:rPr>
        <w:t xml:space="preserve">terna de </w:t>
      </w:r>
      <w:smartTag w:uri="urn:schemas-microsoft-com:office:smarttags" w:element="PersonName">
        <w:smartTagPr>
          <w:attr w:name="ProductID" w:val="la A.M"/>
        </w:smartTagPr>
        <w:r>
          <w:rPr>
            <w:szCs w:val="48"/>
          </w:rPr>
          <w:t>la A.M</w:t>
        </w:r>
      </w:smartTag>
      <w:r>
        <w:rPr>
          <w:szCs w:val="48"/>
        </w:rPr>
        <w:t xml:space="preserve">.I.A., a cargo de </w:t>
      </w:r>
      <w:smartTag w:uri="urn:schemas-microsoft-com:office:smarttags" w:element="PersonName">
        <w:smartTagPr>
          <w:attr w:name="ProductID" w:val="la Polic￭a Federal"/>
        </w:smartTagPr>
        <w:r>
          <w:rPr>
            <w:szCs w:val="48"/>
          </w:rPr>
          <w:t>la Policía Federal</w:t>
        </w:r>
      </w:smartTag>
      <w:r>
        <w:rPr>
          <w:szCs w:val="48"/>
        </w:rPr>
        <w:t xml:space="preserve"> Argentina, si bien criticó las medidas adoptadas al respecto, precisó que no era posible hablar de una “zona liberada” para c</w:t>
      </w:r>
      <w:r>
        <w:rPr>
          <w:szCs w:val="48"/>
        </w:rPr>
        <w:t>o</w:t>
      </w:r>
      <w:r>
        <w:rPr>
          <w:szCs w:val="48"/>
        </w:rPr>
        <w:t>meter el atentado, toda vez que dos agentes de esa fuerza estuvieron en gravísimo riesgo de morir a causa de la e</w:t>
      </w:r>
      <w:r>
        <w:rPr>
          <w:szCs w:val="48"/>
        </w:rPr>
        <w:t>x</w:t>
      </w:r>
      <w:r>
        <w:rPr>
          <w:szCs w:val="48"/>
        </w:rPr>
        <w:t>plosión.</w:t>
      </w:r>
    </w:p>
    <w:p w:rsidR="00224567" w:rsidRDefault="00224567">
      <w:pPr>
        <w:widowControl w:val="0"/>
        <w:tabs>
          <w:tab w:val="left" w:pos="2835"/>
        </w:tabs>
        <w:rPr>
          <w:szCs w:val="32"/>
        </w:rPr>
      </w:pPr>
      <w:r>
        <w:rPr>
          <w:szCs w:val="48"/>
        </w:rPr>
        <w:tab/>
      </w:r>
      <w:r>
        <w:t>Luego, el Dr. Federik hizo ref</w:t>
      </w:r>
      <w:r>
        <w:t>e</w:t>
      </w:r>
      <w:r>
        <w:t>rencia a las dificultades que debió afrontar la investigación, cuya magnitud superó las capacidades operativas</w:t>
      </w:r>
      <w:r>
        <w:rPr>
          <w:szCs w:val="32"/>
        </w:rPr>
        <w:t xml:space="preserve"> de la p</w:t>
      </w:r>
      <w:r>
        <w:rPr>
          <w:szCs w:val="32"/>
        </w:rPr>
        <w:t>o</w:t>
      </w:r>
      <w:r>
        <w:rPr>
          <w:szCs w:val="32"/>
        </w:rPr>
        <w:t>licía y de la just</w:t>
      </w:r>
      <w:r>
        <w:rPr>
          <w:szCs w:val="32"/>
        </w:rPr>
        <w:t>i</w:t>
      </w:r>
      <w:r>
        <w:rPr>
          <w:szCs w:val="32"/>
        </w:rPr>
        <w:t>cia.</w:t>
      </w:r>
    </w:p>
    <w:p w:rsidR="00224567" w:rsidRDefault="00224567">
      <w:pPr>
        <w:widowControl w:val="0"/>
        <w:tabs>
          <w:tab w:val="left" w:pos="2835"/>
        </w:tabs>
      </w:pPr>
      <w:r>
        <w:rPr>
          <w:szCs w:val="32"/>
        </w:rPr>
        <w:tab/>
      </w:r>
      <w:r>
        <w:t>Reseñó que a partir del hallazgo del motor entre los escombros de la mutual judía, se llegó a Monjo y a Telleldín, poniendo en evidencia una oper</w:t>
      </w:r>
      <w:r>
        <w:t>a</w:t>
      </w:r>
      <w:r>
        <w:t xml:space="preserve">toria ilícita de </w:t>
      </w:r>
      <w:r>
        <w:rPr>
          <w:szCs w:val="48"/>
        </w:rPr>
        <w:t>doblaje</w:t>
      </w:r>
      <w:r>
        <w:t xml:space="preserve"> de automóviles que contaba con la pr</w:t>
      </w:r>
      <w:r>
        <w:t>o</w:t>
      </w:r>
      <w:r>
        <w:t xml:space="preserve">tección de altos funcionarios de </w:t>
      </w:r>
      <w:smartTag w:uri="urn:schemas-microsoft-com:office:smarttags" w:element="PersonName">
        <w:smartTagPr>
          <w:attr w:name="ProductID" w:val="la Polic￭a Federal"/>
        </w:smartTagPr>
        <w:r>
          <w:t>la Policía Federal</w:t>
        </w:r>
      </w:smartTag>
      <w:r>
        <w:t>; pru</w:t>
      </w:r>
      <w:r>
        <w:t>e</w:t>
      </w:r>
      <w:r>
        <w:t>ba de ello fue la omisión de secuestrar en la agencia de Monjo un llavero que le había obsequiado dicha instit</w:t>
      </w:r>
      <w:r>
        <w:t>u</w:t>
      </w:r>
      <w:r>
        <w:lastRenderedPageBreak/>
        <w:t>ción.</w:t>
      </w:r>
    </w:p>
    <w:p w:rsidR="00224567" w:rsidRDefault="00224567">
      <w:pPr>
        <w:widowControl w:val="0"/>
        <w:tabs>
          <w:tab w:val="left" w:pos="2835"/>
        </w:tabs>
      </w:pPr>
      <w:r>
        <w:tab/>
        <w:t>También la asistencia letrada señaló la pérdida de algunos de los efectos secuestrados en el allanamiento de República 107, la desaparición de los s</w:t>
      </w:r>
      <w:r>
        <w:t>e</w:t>
      </w:r>
      <w:r>
        <w:t>senta y seis casetes correspondientes a la intervención del teléfono de Telleldín y el extravío de la agenda ele</w:t>
      </w:r>
      <w:r>
        <w:t>c</w:t>
      </w:r>
      <w:r>
        <w:t>trónica del nombr</w:t>
      </w:r>
      <w:r>
        <w:t>a</w:t>
      </w:r>
      <w:r>
        <w:t>do.</w:t>
      </w:r>
    </w:p>
    <w:p w:rsidR="00224567" w:rsidRDefault="00224567">
      <w:pPr>
        <w:widowControl w:val="0"/>
        <w:tabs>
          <w:tab w:val="left" w:pos="2835"/>
        </w:tabs>
      </w:pPr>
      <w:r>
        <w:tab/>
        <w:t>Explicó que en cuanto se llegó al e</w:t>
      </w:r>
      <w:r>
        <w:t>n</w:t>
      </w:r>
      <w:r>
        <w:t xml:space="preserve">torno de Telleldín apareció en escena </w:t>
      </w:r>
      <w:smartTag w:uri="urn:schemas-microsoft-com:office:smarttags" w:element="PersonName">
        <w:smartTagPr>
          <w:attr w:name="ProductID" w:val="la Polic￭a Bonaerense"/>
        </w:smartTagPr>
        <w:r>
          <w:t>la Policía Bonaere</w:t>
        </w:r>
        <w:r>
          <w:t>n</w:t>
        </w:r>
        <w:r>
          <w:t>se</w:t>
        </w:r>
      </w:smartTag>
      <w:r>
        <w:t>, evidenciándose, a criterio del letrado, la particip</w:t>
      </w:r>
      <w:r>
        <w:t>a</w:t>
      </w:r>
      <w:r>
        <w:t>ción de dicha fuerza en las actividades ilícitas de aquél.</w:t>
      </w:r>
    </w:p>
    <w:p w:rsidR="00224567" w:rsidRDefault="00224567">
      <w:pPr>
        <w:widowControl w:val="0"/>
        <w:tabs>
          <w:tab w:val="left" w:pos="2835"/>
        </w:tabs>
      </w:pPr>
      <w:r>
        <w:tab/>
        <w:t>Sostuvo que el desvío “Solari”, en un primer momento, tenía como objetivo impedir que se ll</w:t>
      </w:r>
      <w:r>
        <w:t>e</w:t>
      </w:r>
      <w:r>
        <w:t>gara a los policías bonaerenses aún antes de que éstos fuesen individualizados; circunstancia que le permitió concluir que aquellos tenían la ce</w:t>
      </w:r>
      <w:r>
        <w:t>r</w:t>
      </w:r>
      <w:r>
        <w:t>teza de que en algún momento la investig</w:t>
      </w:r>
      <w:r>
        <w:t>a</w:t>
      </w:r>
      <w:r>
        <w:t xml:space="preserve">ción podría alcanzarlos. También recordó la carta firmada por Solari, su confesión ante </w:t>
      </w:r>
      <w:smartTag w:uri="urn:schemas-microsoft-com:office:smarttags" w:element="PersonName">
        <w:smartTagPr>
          <w:attr w:name="ProductID" w:val="la Comisi￳n Bicameral"/>
        </w:smartTagPr>
        <w:r>
          <w:t>la Comisión Bicam</w:t>
        </w:r>
        <w:r>
          <w:t>e</w:t>
        </w:r>
        <w:r>
          <w:t>ral</w:t>
        </w:r>
      </w:smartTag>
      <w:r>
        <w:t xml:space="preserve"> y los intentos de homicidio en su c</w:t>
      </w:r>
      <w:r>
        <w:t>o</w:t>
      </w:r>
      <w:r>
        <w:t>ntra.</w:t>
      </w:r>
    </w:p>
    <w:p w:rsidR="00224567" w:rsidRDefault="00224567">
      <w:pPr>
        <w:widowControl w:val="0"/>
        <w:tabs>
          <w:tab w:val="left" w:pos="2835"/>
        </w:tabs>
      </w:pPr>
      <w:r>
        <w:tab/>
        <w:t>Enfatizó la enorme capacidad de man</w:t>
      </w:r>
      <w:r>
        <w:t>e</w:t>
      </w:r>
      <w:r>
        <w:lastRenderedPageBreak/>
        <w:t>jo, no sólo para idear, planificar y organizar la logíst</w:t>
      </w:r>
      <w:r>
        <w:t>i</w:t>
      </w:r>
      <w:r>
        <w:t>ca, sino para ejecutar un plan de este tipo, con una s</w:t>
      </w:r>
      <w:r>
        <w:t>e</w:t>
      </w:r>
      <w:r>
        <w:t>cuencia temporal escalonada, recalca</w:t>
      </w:r>
      <w:r>
        <w:t>n</w:t>
      </w:r>
      <w:r>
        <w:t>do que se contaba con una red de encubrimiento capaz de llevar a cabo semejante operación de desconcierto, dirigida c</w:t>
      </w:r>
      <w:r>
        <w:t>o</w:t>
      </w:r>
      <w:r>
        <w:t>ntra el accionar de un juzgado federal. Este oper</w:t>
      </w:r>
      <w:r>
        <w:t>a</w:t>
      </w:r>
      <w:r>
        <w:t>tivo de desvío, sostuvo, no podía ser ignorado por los jefes de la repartición, qui</w:t>
      </w:r>
      <w:r>
        <w:t>e</w:t>
      </w:r>
      <w:r>
        <w:t>nes, de no haber sido responsables, al menos omitieron d</w:t>
      </w:r>
      <w:r>
        <w:t>e</w:t>
      </w:r>
      <w:r>
        <w:t>nunciarlos, dado que se hallaban en posición de garante al respecto.</w:t>
      </w:r>
    </w:p>
    <w:p w:rsidR="00224567" w:rsidRDefault="00224567">
      <w:pPr>
        <w:widowControl w:val="0"/>
        <w:tabs>
          <w:tab w:val="left" w:pos="2835"/>
        </w:tabs>
      </w:pPr>
      <w:r>
        <w:tab/>
        <w:t xml:space="preserve">Seguidamente, el letrado aludió a los desvíos conocidos como “Alí” y “Gatto y Valenga”, a los que consideró como vanos intentos para desvincular a </w:t>
      </w:r>
      <w:smartTag w:uri="urn:schemas-microsoft-com:office:smarttags" w:element="PersonName">
        <w:smartTagPr>
          <w:attr w:name="ProductID" w:val="la Brigada"/>
        </w:smartTagPr>
        <w:r>
          <w:t>la Brigada</w:t>
        </w:r>
      </w:smartTag>
      <w:r>
        <w:t xml:space="preserve"> de Lanús del atentado y que pusieron en evide</w:t>
      </w:r>
      <w:r>
        <w:t>n</w:t>
      </w:r>
      <w:r>
        <w:t>cia la capacidad operativa de Juan José Ribelli y su dispon</w:t>
      </w:r>
      <w:r>
        <w:t>i</w:t>
      </w:r>
      <w:r>
        <w:t>bilidad de medios.</w:t>
      </w:r>
    </w:p>
    <w:p w:rsidR="00224567" w:rsidRDefault="00224567">
      <w:pPr>
        <w:widowControl w:val="0"/>
        <w:tabs>
          <w:tab w:val="left" w:pos="2835"/>
        </w:tabs>
      </w:pPr>
      <w:r>
        <w:tab/>
        <w:t>En este sentido, el abogado de la qu</w:t>
      </w:r>
      <w:r>
        <w:t>e</w:t>
      </w:r>
      <w:r>
        <w:t>rella se planteó los siguientes interrogantes: ¿por qué hicieron todo esto si son inocentes? y ¿por qué no dieron una explicación razonable al respe</w:t>
      </w:r>
      <w:r>
        <w:t>c</w:t>
      </w:r>
      <w:r>
        <w:t>to?.</w:t>
      </w:r>
    </w:p>
    <w:p w:rsidR="00224567" w:rsidRDefault="00224567">
      <w:pPr>
        <w:widowControl w:val="0"/>
        <w:tabs>
          <w:tab w:val="left" w:pos="2835"/>
        </w:tabs>
      </w:pPr>
      <w:r>
        <w:tab/>
        <w:t xml:space="preserve">Seguidamente, el Dr. Federik puso de </w:t>
      </w:r>
      <w:r>
        <w:lastRenderedPageBreak/>
        <w:t>resalto la escasa capacitación del juzgado in</w:t>
      </w:r>
      <w:r>
        <w:t>s</w:t>
      </w:r>
      <w:r>
        <w:t>tructor para enfrentar una investigación de esta índole y afi</w:t>
      </w:r>
      <w:r>
        <w:t>r</w:t>
      </w:r>
      <w:r>
        <w:t xml:space="preserve">mó que el pago de cuatrocientos mil dólares a un imputado para que declare a quien entregó </w:t>
      </w:r>
      <w:smartTag w:uri="urn:schemas-microsoft-com:office:smarttags" w:element="PersonName">
        <w:smartTagPr>
          <w:attr w:name="ProductID" w:val="la Trafic"/>
        </w:smartTagPr>
        <w:r>
          <w:t>la Trafic</w:t>
        </w:r>
      </w:smartTag>
      <w:r>
        <w:t xml:space="preserve"> no sólo fue ilegal sino que puso en peligro toda la causa; ilegalidad a la que d</w:t>
      </w:r>
      <w:r>
        <w:t>e</w:t>
      </w:r>
      <w:r>
        <w:t>bían añadirse las  filmaciones ocultas de entrevistas y declaraciones dentro del juzgado, la especial situ</w:t>
      </w:r>
      <w:r>
        <w:t>a</w:t>
      </w:r>
      <w:r>
        <w:t>ción de Ana Boragni, quien a pesar de estar junto a Telleldín en los momentos críticos, nunca fue proc</w:t>
      </w:r>
      <w:r>
        <w:t>e</w:t>
      </w:r>
      <w:r>
        <w:t>sada, la protección a Semorile pese a su participación en las extorsiones y las irregularidades que rodearon la d</w:t>
      </w:r>
      <w:r>
        <w:t>e</w:t>
      </w:r>
      <w:r>
        <w:t>claración de Miriam Salinas.</w:t>
      </w:r>
    </w:p>
    <w:p w:rsidR="00224567" w:rsidRDefault="00224567">
      <w:pPr>
        <w:widowControl w:val="0"/>
        <w:tabs>
          <w:tab w:val="left" w:pos="2835"/>
        </w:tabs>
      </w:pPr>
      <w:r>
        <w:tab/>
        <w:t>En ese sentido, sostuvo que las pr</w:t>
      </w:r>
      <w:r>
        <w:t>o</w:t>
      </w:r>
      <w:r>
        <w:t>banzas producto de dichas irregularidades debían desecha</w:t>
      </w:r>
      <w:r>
        <w:t>r</w:t>
      </w:r>
      <w:r>
        <w:t>se, mientras que las válidas debían discernirse cuidados</w:t>
      </w:r>
      <w:r>
        <w:t>a</w:t>
      </w:r>
      <w:r>
        <w:t>mente, enlazando unas con otras, para ser valoradas crít</w:t>
      </w:r>
      <w:r>
        <w:t>i</w:t>
      </w:r>
      <w:r>
        <w:t>camente y así poder reconstruir con bases sólidas la hip</w:t>
      </w:r>
      <w:r>
        <w:t>ó</w:t>
      </w:r>
      <w:r>
        <w:t>tesis de imputación a los acusados.</w:t>
      </w:r>
    </w:p>
    <w:p w:rsidR="00224567" w:rsidRPr="00EF6F24" w:rsidRDefault="00224567">
      <w:pPr>
        <w:widowControl w:val="0"/>
        <w:tabs>
          <w:tab w:val="left" w:pos="2835"/>
        </w:tabs>
        <w:rPr>
          <w:highlight w:val="yellow"/>
        </w:rPr>
      </w:pPr>
      <w:r>
        <w:tab/>
      </w:r>
      <w:r w:rsidRPr="00EF6F24">
        <w:rPr>
          <w:highlight w:val="yellow"/>
        </w:rPr>
        <w:t xml:space="preserve">También refirió que la actividad de </w:t>
      </w:r>
      <w:smartTag w:uri="urn:schemas-microsoft-com:office:smarttags" w:element="PersonName">
        <w:smartTagPr>
          <w:attr w:name="ProductID" w:val="la S.I"/>
        </w:smartTagPr>
        <w:r w:rsidRPr="00EF6F24">
          <w:rPr>
            <w:highlight w:val="yellow"/>
          </w:rPr>
          <w:t>la S.I</w:t>
        </w:r>
      </w:smartTag>
      <w:r w:rsidRPr="00EF6F24">
        <w:rPr>
          <w:highlight w:val="yellow"/>
        </w:rPr>
        <w:t>.D.E. previa al atentado fue insuficiente, form</w:t>
      </w:r>
      <w:r w:rsidRPr="00EF6F24">
        <w:rPr>
          <w:highlight w:val="yellow"/>
        </w:rPr>
        <w:t>u</w:t>
      </w:r>
      <w:r w:rsidRPr="00EF6F24">
        <w:rPr>
          <w:highlight w:val="yellow"/>
        </w:rPr>
        <w:t xml:space="preserve">lando a </w:t>
      </w:r>
      <w:r w:rsidRPr="00EF6F24">
        <w:rPr>
          <w:highlight w:val="yellow"/>
        </w:rPr>
        <w:lastRenderedPageBreak/>
        <w:t>ese organismo los siguientes cuestionamientos: la tramit</w:t>
      </w:r>
      <w:r w:rsidRPr="00EF6F24">
        <w:rPr>
          <w:highlight w:val="yellow"/>
        </w:rPr>
        <w:t>a</w:t>
      </w:r>
      <w:r w:rsidRPr="00EF6F24">
        <w:rPr>
          <w:highlight w:val="yellow"/>
        </w:rPr>
        <w:t>ción en el juzgado federal del Dr. Santa Marina de dos procesos para ocultar en ellos presuntas responsabilid</w:t>
      </w:r>
      <w:r w:rsidRPr="00EF6F24">
        <w:rPr>
          <w:highlight w:val="yellow"/>
        </w:rPr>
        <w:t>a</w:t>
      </w:r>
      <w:r w:rsidRPr="00EF6F24">
        <w:rPr>
          <w:highlight w:val="yellow"/>
        </w:rPr>
        <w:t>des, el no haber pr</w:t>
      </w:r>
      <w:r w:rsidRPr="00EF6F24">
        <w:rPr>
          <w:highlight w:val="yellow"/>
        </w:rPr>
        <w:t>o</w:t>
      </w:r>
      <w:r w:rsidRPr="00EF6F24">
        <w:rPr>
          <w:highlight w:val="yellow"/>
        </w:rPr>
        <w:t xml:space="preserve">curado la obtención de la filmación de </w:t>
      </w:r>
      <w:smartTag w:uri="urn:schemas-microsoft-com:office:smarttags" w:element="PersonName">
        <w:smartTagPr>
          <w:attr w:name="ProductID" w:val="la Trafic"/>
        </w:smartTagPr>
        <w:r w:rsidRPr="00EF6F24">
          <w:rPr>
            <w:highlight w:val="yellow"/>
          </w:rPr>
          <w:t>la Trafic</w:t>
        </w:r>
      </w:smartTag>
      <w:r w:rsidRPr="00EF6F24">
        <w:rPr>
          <w:highlight w:val="yellow"/>
        </w:rPr>
        <w:t xml:space="preserve"> que intentó estacionar en la playa de estacion</w:t>
      </w:r>
      <w:r w:rsidRPr="00EF6F24">
        <w:rPr>
          <w:highlight w:val="yellow"/>
        </w:rPr>
        <w:t>a</w:t>
      </w:r>
      <w:r w:rsidRPr="00EF6F24">
        <w:rPr>
          <w:highlight w:val="yellow"/>
        </w:rPr>
        <w:t>miento contigua al “Sanatorio Ot</w:t>
      </w:r>
      <w:r w:rsidRPr="00EF6F24">
        <w:rPr>
          <w:highlight w:val="yellow"/>
        </w:rPr>
        <w:t>a</w:t>
      </w:r>
      <w:r w:rsidRPr="00EF6F24">
        <w:rPr>
          <w:highlight w:val="yellow"/>
        </w:rPr>
        <w:t xml:space="preserve">mendi y Miroli”, la puja interna entre “Sala Patria” y el “Sector </w:t>
      </w:r>
      <w:smartTag w:uri="urn:schemas-microsoft-com:office:smarttags" w:element="metricconverter">
        <w:smartTagPr>
          <w:attr w:name="ProductID" w:val="85”"/>
        </w:smartTagPr>
        <w:r w:rsidRPr="00EF6F24">
          <w:rPr>
            <w:highlight w:val="yellow"/>
          </w:rPr>
          <w:t>85”</w:t>
        </w:r>
      </w:smartTag>
      <w:r w:rsidRPr="00EF6F24">
        <w:rPr>
          <w:highlight w:val="yellow"/>
        </w:rPr>
        <w:t xml:space="preserve"> que preval</w:t>
      </w:r>
      <w:r w:rsidRPr="00EF6F24">
        <w:rPr>
          <w:highlight w:val="yellow"/>
        </w:rPr>
        <w:t>e</w:t>
      </w:r>
      <w:r w:rsidRPr="00EF6F24">
        <w:rPr>
          <w:highlight w:val="yellow"/>
        </w:rPr>
        <w:t>ció sobre los intereses de la investigación, la interve</w:t>
      </w:r>
      <w:r w:rsidRPr="00EF6F24">
        <w:rPr>
          <w:highlight w:val="yellow"/>
        </w:rPr>
        <w:t>n</w:t>
      </w:r>
      <w:r w:rsidRPr="00EF6F24">
        <w:rPr>
          <w:highlight w:val="yellow"/>
        </w:rPr>
        <w:t>ción en la causa del capitán Héctor Pedro Vergéz, encam</w:t>
      </w:r>
      <w:r w:rsidRPr="00EF6F24">
        <w:rPr>
          <w:highlight w:val="yellow"/>
        </w:rPr>
        <w:t>i</w:t>
      </w:r>
      <w:r w:rsidRPr="00EF6F24">
        <w:rPr>
          <w:highlight w:val="yellow"/>
        </w:rPr>
        <w:t>nada a que Telleldín, a cambio de un millón de dólares, reconociera a unos libaneses detenidos en Paraguay como autores del atentado, la extraña actividad ll</w:t>
      </w:r>
      <w:r w:rsidRPr="00EF6F24">
        <w:rPr>
          <w:highlight w:val="yellow"/>
        </w:rPr>
        <w:t>e</w:t>
      </w:r>
      <w:r w:rsidRPr="00EF6F24">
        <w:rPr>
          <w:highlight w:val="yellow"/>
        </w:rPr>
        <w:t>vada a cabo por Stiuso en la investigación y la presencia de este ú</w:t>
      </w:r>
      <w:r w:rsidRPr="00EF6F24">
        <w:rPr>
          <w:highlight w:val="yellow"/>
        </w:rPr>
        <w:t>l</w:t>
      </w:r>
      <w:r w:rsidRPr="00EF6F24">
        <w:rPr>
          <w:highlight w:val="yellow"/>
        </w:rPr>
        <w:t>timo en la decl</w:t>
      </w:r>
      <w:r w:rsidRPr="00EF6F24">
        <w:rPr>
          <w:highlight w:val="yellow"/>
        </w:rPr>
        <w:t>a</w:t>
      </w:r>
      <w:r w:rsidRPr="00EF6F24">
        <w:rPr>
          <w:highlight w:val="yellow"/>
        </w:rPr>
        <w:t>ración del testigo “C”.</w:t>
      </w:r>
    </w:p>
    <w:p w:rsidR="00224567" w:rsidRDefault="00224567">
      <w:pPr>
        <w:widowControl w:val="0"/>
        <w:tabs>
          <w:tab w:val="left" w:pos="2835"/>
        </w:tabs>
      </w:pPr>
      <w:r w:rsidRPr="00EF6F24">
        <w:rPr>
          <w:highlight w:val="yellow"/>
        </w:rPr>
        <w:tab/>
        <w:t xml:space="preserve">Asimismo, el Dr. Federik remarcó la ineficacia absoluta demostrada por </w:t>
      </w:r>
      <w:smartTag w:uri="urn:schemas-microsoft-com:office:smarttags" w:element="PersonName">
        <w:smartTagPr>
          <w:attr w:name="ProductID" w:val="la Direcci￳n Nacional"/>
        </w:smartTagPr>
        <w:r w:rsidRPr="00EF6F24">
          <w:rPr>
            <w:highlight w:val="yellow"/>
          </w:rPr>
          <w:t>la Dirección Na</w:t>
        </w:r>
        <w:r>
          <w:t>cional</w:t>
        </w:r>
      </w:smartTag>
      <w:r>
        <w:t xml:space="preserve"> de Migraciones en razón de que, a más de su completo de</w:t>
      </w:r>
      <w:r>
        <w:t>s</w:t>
      </w:r>
      <w:r>
        <w:t>orden, no contaba con soportes informáticos ni con  pers</w:t>
      </w:r>
      <w:r>
        <w:t>o</w:t>
      </w:r>
      <w:r>
        <w:t>nal suficiente, determinando al juez instructor a no cu</w:t>
      </w:r>
      <w:r>
        <w:t>r</w:t>
      </w:r>
      <w:r>
        <w:t>sarle nuevas solic</w:t>
      </w:r>
      <w:r>
        <w:t>i</w:t>
      </w:r>
      <w:r>
        <w:t>tudes de informes.</w:t>
      </w:r>
    </w:p>
    <w:p w:rsidR="00224567" w:rsidRDefault="00224567">
      <w:pPr>
        <w:widowControl w:val="0"/>
        <w:tabs>
          <w:tab w:val="left" w:pos="2835"/>
        </w:tabs>
      </w:pPr>
      <w:r>
        <w:tab/>
        <w:t xml:space="preserve">En esa línea argumental, remarcó el </w:t>
      </w:r>
      <w:r>
        <w:lastRenderedPageBreak/>
        <w:t xml:space="preserve">nulo aporte de </w:t>
      </w:r>
      <w:smartTag w:uri="urn:schemas-microsoft-com:office:smarttags" w:element="PersonName">
        <w:smartTagPr>
          <w:attr w:name="ProductID" w:val="la Secretar￭a"/>
        </w:smartTagPr>
        <w:r>
          <w:t>la S</w:t>
        </w:r>
        <w:r>
          <w:t>e</w:t>
        </w:r>
        <w:r>
          <w:t>cretaría</w:t>
        </w:r>
      </w:smartTag>
      <w:r>
        <w:t xml:space="preserve"> de Seguridad de </w:t>
      </w:r>
      <w:smartTag w:uri="urn:schemas-microsoft-com:office:smarttags" w:element="PersonName">
        <w:smartTagPr>
          <w:attr w:name="ProductID" w:val="la Naci￳n"/>
        </w:smartTagPr>
        <w:r>
          <w:t>la Nación</w:t>
        </w:r>
      </w:smartTag>
      <w:r>
        <w:t>, a cargo de Andrés Antonietti, para el esclarecimiento del hecho, tildando de vergonzosa su indiferencia con la i</w:t>
      </w:r>
      <w:r>
        <w:t>n</w:t>
      </w:r>
      <w:r>
        <w:t>vestigación y con el reclamo de justicia; reproche que también hizo extensivo a Carlos Ruckauf, a la sazón mini</w:t>
      </w:r>
      <w:r>
        <w:t>s</w:t>
      </w:r>
      <w:r>
        <w:t>tro del Interior, quien admitió en el debate que en las reuniones de gabinete nunca se profundizó s</w:t>
      </w:r>
      <w:r>
        <w:t>o</w:t>
      </w:r>
      <w:r>
        <w:t xml:space="preserve">bre el tema y que </w:t>
      </w:r>
      <w:smartTag w:uri="urn:schemas-microsoft-com:office:smarttags" w:element="PersonName">
        <w:smartTagPr>
          <w:attr w:name="ProductID" w:val="la S.I"/>
        </w:smartTagPr>
        <w:r>
          <w:t>la S.I</w:t>
        </w:r>
      </w:smartTag>
      <w:r>
        <w:t>.D.E. no le brindó información alguna al respe</w:t>
      </w:r>
      <w:r>
        <w:t>c</w:t>
      </w:r>
      <w:r>
        <w:t>to.</w:t>
      </w:r>
    </w:p>
    <w:p w:rsidR="00224567" w:rsidRDefault="00224567">
      <w:pPr>
        <w:widowControl w:val="0"/>
        <w:tabs>
          <w:tab w:val="left" w:pos="2835"/>
        </w:tabs>
      </w:pPr>
      <w:r>
        <w:tab/>
        <w:t>Finalmente, enfatizó que el ex pres</w:t>
      </w:r>
      <w:r>
        <w:t>i</w:t>
      </w:r>
      <w:r>
        <w:t>dente Carlos Menem nada hizo en procura de e</w:t>
      </w:r>
      <w:r>
        <w:t>s</w:t>
      </w:r>
      <w:r>
        <w:t xml:space="preserve">clarecer los atentados a </w:t>
      </w:r>
      <w:smartTag w:uri="urn:schemas-microsoft-com:office:smarttags" w:element="PersonName">
        <w:smartTagPr>
          <w:attr w:name="ProductID" w:val="la Embajada"/>
        </w:smartTagPr>
        <w:r>
          <w:t>la Embajada</w:t>
        </w:r>
      </w:smartTag>
      <w:r>
        <w:t xml:space="preserve"> de Israel y a </w:t>
      </w:r>
      <w:smartTag w:uri="urn:schemas-microsoft-com:office:smarttags" w:element="PersonName">
        <w:smartTagPr>
          <w:attr w:name="ProductID" w:val="la A.M"/>
        </w:smartTagPr>
        <w:r>
          <w:t>la A.M</w:t>
        </w:r>
      </w:smartTag>
      <w:r>
        <w:t>.I.A., cons</w:t>
      </w:r>
      <w:r>
        <w:t>i</w:t>
      </w:r>
      <w:r>
        <w:t>derando ineludible una explicación a los siguie</w:t>
      </w:r>
      <w:r>
        <w:t>n</w:t>
      </w:r>
      <w:r>
        <w:t>tes inte- rrogantes: ¿por qué Munir Menem, hermano de aquél, se c</w:t>
      </w:r>
      <w:r>
        <w:t>o</w:t>
      </w:r>
      <w:r>
        <w:t>municó con el Dr. Galeano para interesarse por la situ</w:t>
      </w:r>
      <w:r>
        <w:t>a</w:t>
      </w:r>
      <w:r>
        <w:t>ción de Kanoore Edul?, ¿por qué no se intensificó la i</w:t>
      </w:r>
      <w:r>
        <w:t>n</w:t>
      </w:r>
      <w:r>
        <w:t>vestig</w:t>
      </w:r>
      <w:r>
        <w:t>a</w:t>
      </w:r>
      <w:r>
        <w:t>ción de la pista siria? y ¿es cierto que un enviado de Carlos Menem solicitó a Irán diez millones de dólares para no acusar a ese país como un Estado terr</w:t>
      </w:r>
      <w:r>
        <w:t>o</w:t>
      </w:r>
      <w:r>
        <w:t>rista?.</w:t>
      </w:r>
    </w:p>
    <w:p w:rsidR="00224567" w:rsidRDefault="00224567">
      <w:pPr>
        <w:widowControl w:val="0"/>
        <w:tabs>
          <w:tab w:val="left" w:pos="2835"/>
        </w:tabs>
      </w:pPr>
      <w:r>
        <w:tab/>
        <w:t>Concluyó su alegato haciendo hi</w:t>
      </w:r>
      <w:r>
        <w:t>n</w:t>
      </w:r>
      <w:r>
        <w:t xml:space="preserve">capié </w:t>
      </w:r>
      <w:r>
        <w:lastRenderedPageBreak/>
        <w:t>en que si bien siempre se dijo que faltó una decisión p</w:t>
      </w:r>
      <w:r>
        <w:t>o</w:t>
      </w:r>
      <w:r>
        <w:t>lítica para esclarecer el atentado, hoy, a su crit</w:t>
      </w:r>
      <w:r>
        <w:t>e</w:t>
      </w:r>
      <w:r>
        <w:t>rio, se puede afirmar que existió una decisión política ender</w:t>
      </w:r>
      <w:r>
        <w:t>e</w:t>
      </w:r>
      <w:r>
        <w:t>zada a evitar su esclarecimiento y el enjuiciamiento de sus a</w:t>
      </w:r>
      <w:r>
        <w:t>u</w:t>
      </w:r>
      <w:r>
        <w:t>tores.</w:t>
      </w:r>
    </w:p>
    <w:p w:rsidR="00224567" w:rsidRDefault="00224567">
      <w:pPr>
        <w:widowControl w:val="0"/>
        <w:tabs>
          <w:tab w:val="left" w:pos="2835"/>
        </w:tabs>
      </w:pPr>
    </w:p>
    <w:p w:rsidR="00224567" w:rsidRDefault="00224567">
      <w:pPr>
        <w:pStyle w:val="Ttulo3"/>
      </w:pPr>
      <w:r>
        <w:t>B) Alegato del Ministerio Público Fiscal.</w:t>
      </w:r>
    </w:p>
    <w:p w:rsidR="00224567" w:rsidRDefault="00224567">
      <w:pPr>
        <w:pStyle w:val="Sangra2detindependiente"/>
        <w:widowControl w:val="0"/>
        <w:spacing w:line="600" w:lineRule="auto"/>
        <w:ind w:firstLine="2835"/>
      </w:pPr>
      <w:r>
        <w:t>El Sr. agente fiscal, Dr. Eamon M</w:t>
      </w:r>
      <w:r>
        <w:t>u</w:t>
      </w:r>
      <w:r>
        <w:t>llen, sostuvo que la prueba producida en el debate acred</w:t>
      </w:r>
      <w:r>
        <w:t>i</w:t>
      </w:r>
      <w:r>
        <w:t xml:space="preserve">tó que el 18 de julio de </w:t>
      </w:r>
      <w:smartTag w:uri="urn:schemas-microsoft-com:office:smarttags" w:element="metricconverter">
        <w:smartTagPr>
          <w:attr w:name="ProductID" w:val="1994, a"/>
        </w:smartTagPr>
        <w:r>
          <w:t>1994, a</w:t>
        </w:r>
      </w:smartTag>
      <w:r>
        <w:t xml:space="preserve"> las 9.53, un cochebomba estalló en la sede de </w:t>
      </w:r>
      <w:smartTag w:uri="urn:schemas-microsoft-com:office:smarttags" w:element="PersonName">
        <w:smartTagPr>
          <w:attr w:name="ProductID" w:val="la Asociaci￳n Mutual"/>
        </w:smartTagPr>
        <w:r>
          <w:t>la Asociación Mutual</w:t>
        </w:r>
      </w:smartTag>
      <w:r>
        <w:t xml:space="preserve"> Israelita A</w:t>
      </w:r>
      <w:r>
        <w:t>r</w:t>
      </w:r>
      <w:r>
        <w:t>gentina, causando 85 muertos, más de 200 heridos y numer</w:t>
      </w:r>
      <w:r>
        <w:t>o</w:t>
      </w:r>
      <w:r>
        <w:t>sos daños materi</w:t>
      </w:r>
      <w:r>
        <w:t>a</w:t>
      </w:r>
      <w:r>
        <w:t>les.</w:t>
      </w:r>
    </w:p>
    <w:p w:rsidR="00224567" w:rsidRDefault="00224567">
      <w:pPr>
        <w:pStyle w:val="Sangra2detindependiente"/>
        <w:widowControl w:val="0"/>
        <w:spacing w:line="600" w:lineRule="auto"/>
        <w:ind w:firstLine="2835"/>
      </w:pPr>
      <w:r>
        <w:t>Asimismo, apuntó que la explosión se produjo en la puerta de ingreso del edificio; que el mat</w:t>
      </w:r>
      <w:r>
        <w:t>e</w:t>
      </w:r>
      <w:r>
        <w:t>rial explosivo, posiblemente atracado, estaba co</w:t>
      </w:r>
      <w:r>
        <w:t>m</w:t>
      </w:r>
      <w:r>
        <w:t xml:space="preserve">puesto de </w:t>
      </w:r>
      <w:smartTag w:uri="urn:schemas-microsoft-com:office:smarttags" w:element="metricconverter">
        <w:smartTagPr>
          <w:attr w:name="ProductID" w:val="300 kg"/>
        </w:smartTagPr>
        <w:r>
          <w:t>300 Kg</w:t>
        </w:r>
      </w:smartTag>
      <w:r>
        <w:t xml:space="preserve">. de nitrato de amonio, aluminio, un hidrocarburo pesado, nitroglicerina y T.N.T., que éste se encontraba en el interior de la camioneta marca Renault Trafic, furgón corto, color “blanco chapelco”, con puerta lateral y doble puerta trasera, construida entre marzo de 1987 y octubre </w:t>
      </w:r>
      <w:r>
        <w:lastRenderedPageBreak/>
        <w:t>de 1989, propulsada por el motor nº 2.831.467.</w:t>
      </w:r>
    </w:p>
    <w:p w:rsidR="00224567" w:rsidRDefault="00224567">
      <w:pPr>
        <w:pStyle w:val="Sangra2detindependiente"/>
        <w:widowControl w:val="0"/>
        <w:spacing w:line="600" w:lineRule="auto"/>
        <w:ind w:firstLine="2835"/>
      </w:pPr>
      <w:r>
        <w:t>A consecuencia del hecho, man</w:t>
      </w:r>
      <w:r>
        <w:t>i</w:t>
      </w:r>
      <w:r>
        <w:t>festó el fiscal, perdieron la vida las siguientes personas: Félix Roberto Roisman, Paola Sara Czyzewski, Gregorio Melman, Mauricio Schiber, Carlos Isaac Hilu, Mónica Graciela N</w:t>
      </w:r>
      <w:r>
        <w:t>u</w:t>
      </w:r>
      <w:r>
        <w:t>del, David Barriga Loaiza, Fabio Enrique Bermúdez, Germán Parsons, Gu</w:t>
      </w:r>
      <w:r>
        <w:t>i</w:t>
      </w:r>
      <w:r>
        <w:t>llermo Benigno Galarraga, Ramón Nolberto Díaz, Romina Ambar Luján Bolan, Alberto Fernández, Juan Carlos Terranova, Abraham Jaime Pla</w:t>
      </w:r>
      <w:r>
        <w:t>k</w:t>
      </w:r>
      <w:r>
        <w:t>sin, Diego Ricardo de Pirro, Emilia Jakubiec de Lewczuk, Gustavo Daniel Velázquez, Is</w:t>
      </w:r>
      <w:r>
        <w:t>a</w:t>
      </w:r>
      <w:r>
        <w:t>bel Victoria Núñez de Velázquez, Elena Sofía Kastika, S</w:t>
      </w:r>
      <w:r>
        <w:t>e</w:t>
      </w:r>
      <w:r>
        <w:t>bastián Julio Barreiros, Liliana Edith Szwimer, Edwin Yonny García Tenorio, Ricardo Hugo Said, Cristian Adrián De</w:t>
      </w:r>
      <w:r>
        <w:t>g</w:t>
      </w:r>
      <w:r>
        <w:t>tiar, Rita Noemí Worona, Viviana Adela Casabe, Olegario Ram</w:t>
      </w:r>
      <w:r>
        <w:t>í</w:t>
      </w:r>
      <w:r>
        <w:t>rez, Naón Bernardo Mirochnik, Agustín Diego Lew, José Enrique Ginsberg, Naum Band, Naum Javier Tenenbaum, Dora Shuldman de Belgorosky, Berta Kozuk de Losz, Jacobo Ch</w:t>
      </w:r>
      <w:r>
        <w:t>e</w:t>
      </w:r>
      <w:r>
        <w:t>mauel, Andrés Gustavo Malamud, Rimar Salazar Mendoza, No</w:t>
      </w:r>
      <w:r>
        <w:t>e</w:t>
      </w:r>
      <w:r>
        <w:t>mí Graciela Reisfeld, Ademar Zarate Loayza, Marta Andrea Treibman de Duek, Yanina Muriel Averbuch, Cyn</w:t>
      </w:r>
      <w:r>
        <w:t>t</w:t>
      </w:r>
      <w:r>
        <w:t xml:space="preserve">hia Verónica </w:t>
      </w:r>
      <w:r>
        <w:lastRenderedPageBreak/>
        <w:t>Goldenberg, Silvana Sandra Alguea de Rodríguez, Roberto Fernando Pérez, Víctor Gabriel Buttini, Juan Vela Ramos, Jorge Lucio Antúnez, Rebeca Viol</w:t>
      </w:r>
      <w:r>
        <w:t>e</w:t>
      </w:r>
      <w:r>
        <w:t>ta Behar de Jurín, María Lourdes Jesús, Norberto Ariel Dubín, Danilo Norberto V</w:t>
      </w:r>
      <w:r>
        <w:t>i</w:t>
      </w:r>
      <w:r>
        <w:t>llaverde, Esther Raquel Klin de Fail, Julia Susana Wolyn</w:t>
      </w:r>
      <w:r>
        <w:t>s</w:t>
      </w:r>
      <w:r>
        <w:t>ki de Kreiman, Aída Mónica Feldman de Goldfeler, Luis Fe</w:t>
      </w:r>
      <w:r>
        <w:t>r</w:t>
      </w:r>
      <w:r>
        <w:t>nando Kupchik, Fabián Marcelo Furman, Pablo Néstor Sch</w:t>
      </w:r>
      <w:r>
        <w:t>a</w:t>
      </w:r>
      <w:r>
        <w:t>lit, Fabián Gustavo Schalit, Emilia Graciela Berelejis Toer, Mariela Toer, Elías Alberto Palti, Faiwel Dyjament, Claudio Ubfal, Carla Andrea Josch, Analía Verónica Josch, Moisés G</w:t>
      </w:r>
      <w:r>
        <w:t>a</w:t>
      </w:r>
      <w:r>
        <w:t>briel Arazi, Ileana Sara Mercovich, Mirtha Alicia Strier, Silvia Leonor Hersalis, Silvia Inés Portnoy, Né</w:t>
      </w:r>
      <w:r>
        <w:t>s</w:t>
      </w:r>
      <w:r>
        <w:t>tor Américo Serena, Leonor Amalia Gutman de Finkelc</w:t>
      </w:r>
      <w:r>
        <w:t>h</w:t>
      </w:r>
      <w:r>
        <w:t>tein, Ingrid Elizabeth Finkelchtein, Maria Luisa Jaworski, A</w:t>
      </w:r>
      <w:r>
        <w:t>n</w:t>
      </w:r>
      <w:r>
        <w:t>drea Judith Guterman, Carlos Avedaño Bobadilla, Emiliano Gastón Brikman, Martín Víctor Figueroa, Hugo Norberto B</w:t>
      </w:r>
      <w:r>
        <w:t>a</w:t>
      </w:r>
      <w:r>
        <w:t>siglio, Eugenio Vela Ramos, Rosa Perelmutter, León Greg</w:t>
      </w:r>
      <w:r>
        <w:t>o</w:t>
      </w:r>
      <w:r>
        <w:t>rio Knorpel, Marisa Raquel Said y una persona de sexo ma</w:t>
      </w:r>
      <w:r>
        <w:t>s</w:t>
      </w:r>
      <w:r>
        <w:t>culino que no pudo ser identificada.</w:t>
      </w:r>
    </w:p>
    <w:p w:rsidR="00224567" w:rsidRDefault="00224567">
      <w:pPr>
        <w:widowControl w:val="0"/>
        <w:tabs>
          <w:tab w:val="left" w:pos="0"/>
        </w:tabs>
        <w:ind w:firstLine="2835"/>
      </w:pPr>
      <w:r>
        <w:t>Seguidamente, enumeró la prueba que sustentaba su afirmación en punto a la utilización del c</w:t>
      </w:r>
      <w:r>
        <w:t>o</w:t>
      </w:r>
      <w:r>
        <w:lastRenderedPageBreak/>
        <w:t>chebomba descripto y la mecánica de la explosión. En tal sentido, mencionó las conclusiones del peritaje del Depa</w:t>
      </w:r>
      <w:r>
        <w:t>r</w:t>
      </w:r>
      <w:r>
        <w:t xml:space="preserve">tamento de Explosivos y Riesgos Especiales, de </w:t>
      </w:r>
      <w:smartTag w:uri="urn:schemas-microsoft-com:office:smarttags" w:element="PersonName">
        <w:smartTagPr>
          <w:attr w:name="ProductID" w:val="la Superintendencia"/>
        </w:smartTagPr>
        <w:r>
          <w:t>la Superi</w:t>
        </w:r>
        <w:r>
          <w:t>n</w:t>
        </w:r>
        <w:r>
          <w:t>tendencia</w:t>
        </w:r>
      </w:smartTag>
      <w:r>
        <w:t xml:space="preserve"> de Bomberos de </w:t>
      </w:r>
      <w:smartTag w:uri="urn:schemas-microsoft-com:office:smarttags" w:element="PersonName">
        <w:smartTagPr>
          <w:attr w:name="ProductID" w:val="la Polic￭a Federal"/>
        </w:smartTagPr>
        <w:r>
          <w:t>la Policía Federal</w:t>
        </w:r>
      </w:smartTag>
      <w:r>
        <w:t xml:space="preserve"> A</w:t>
      </w:r>
      <w:r>
        <w:t>r</w:t>
      </w:r>
      <w:r>
        <w:t>gentina; el estudio del ingeniero estructurali</w:t>
      </w:r>
      <w:r>
        <w:t>s</w:t>
      </w:r>
      <w:r>
        <w:t>ta Juan María Cardoni; el resultado de la reconstrucción virtual del suceso, efectuado por los ingenieros Ambrosini, Danesi y Lu</w:t>
      </w:r>
      <w:r>
        <w:t>c</w:t>
      </w:r>
      <w:r>
        <w:t>cioni; la peritación efectuada por el coronel Juan Martín Mer</w:t>
      </w:r>
      <w:r>
        <w:t>e</w:t>
      </w:r>
      <w:r>
        <w:t>diz, el mayor Daniel Molinari y el teniente coronel Rica</w:t>
      </w:r>
      <w:r>
        <w:t>r</w:t>
      </w:r>
      <w:r>
        <w:t>do Filippi, integrantes del Ejército Argentino, realiz</w:t>
      </w:r>
      <w:r>
        <w:t>a</w:t>
      </w:r>
      <w:r>
        <w:t>da en la ciudad de Azul.</w:t>
      </w:r>
    </w:p>
    <w:p w:rsidR="00224567" w:rsidRDefault="00224567">
      <w:pPr>
        <w:widowControl w:val="0"/>
        <w:tabs>
          <w:tab w:val="left" w:pos="0"/>
        </w:tabs>
        <w:ind w:firstLine="2835"/>
      </w:pPr>
      <w:r>
        <w:t>Agregó, en esa línea, el hecho de que varias personas que perdieron la vida presentaban en su cuerpo gran cantidad de esquirlas metálicas, mencionando los casos de Roisman, Melman, Galarraga, Díaz, Bolan, Fe</w:t>
      </w:r>
      <w:r>
        <w:t>r</w:t>
      </w:r>
      <w:r>
        <w:t>nández, Terranova, Kastika, Barreiros, Szwimer, García T</w:t>
      </w:r>
      <w:r>
        <w:t>e</w:t>
      </w:r>
      <w:r>
        <w:t>norio, Kozuk de Losz, Vela Ramos y Bobadilla, como así también los lesionados Daniel Joffe, Juan Ca</w:t>
      </w:r>
      <w:r>
        <w:t>r</w:t>
      </w:r>
      <w:r>
        <w:t>los Álvarez, Rosa Montano de Barreiros, Angélica Leiva, Moisés Cha</w:t>
      </w:r>
      <w:r>
        <w:t>u</w:t>
      </w:r>
      <w:r>
        <w:t xml:space="preserve">fán, Jorge Bordón, Daniel Saravia, Leonor Marina Fuster y </w:t>
      </w:r>
      <w:r>
        <w:lastRenderedPageBreak/>
        <w:t>Nahuel, el hijo de María Nicolasa Rom</w:t>
      </w:r>
      <w:r>
        <w:t>e</w:t>
      </w:r>
      <w:r>
        <w:t>ro.</w:t>
      </w:r>
    </w:p>
    <w:p w:rsidR="00224567" w:rsidRDefault="00224567">
      <w:pPr>
        <w:widowControl w:val="0"/>
        <w:tabs>
          <w:tab w:val="left" w:pos="0"/>
        </w:tabs>
        <w:ind w:firstLine="2835"/>
      </w:pPr>
      <w:r>
        <w:t>También consideró como prueba de la existencia del cochebomba el esquirlamiento que se verif</w:t>
      </w:r>
      <w:r>
        <w:t>i</w:t>
      </w:r>
      <w:r>
        <w:t>có en toda el área primaria de influencia, por la proye</w:t>
      </w:r>
      <w:r>
        <w:t>c</w:t>
      </w:r>
      <w:r>
        <w:t>ción de los fragmentos constitutivos de los obstáculos vulnerados más cercanos al epicentro y las declaraciones de las personas que se encontr</w:t>
      </w:r>
      <w:r>
        <w:t>a</w:t>
      </w:r>
      <w:r>
        <w:t xml:space="preserve">ban en la parte trasera del edificio de </w:t>
      </w:r>
      <w:smartTag w:uri="urn:schemas-microsoft-com:office:smarttags" w:element="PersonName">
        <w:smartTagPr>
          <w:attr w:name="ProductID" w:val="la A.M"/>
        </w:smartTagPr>
        <w:r>
          <w:t>la A.M</w:t>
        </w:r>
      </w:smartTag>
      <w:r>
        <w:t>.I.A., en cuanto refirieron que la e</w:t>
      </w:r>
      <w:r>
        <w:t>x</w:t>
      </w:r>
      <w:r>
        <w:t>plosión “v</w:t>
      </w:r>
      <w:r>
        <w:t>i</w:t>
      </w:r>
      <w:r>
        <w:t>no desde adelante”.</w:t>
      </w:r>
    </w:p>
    <w:p w:rsidR="00224567" w:rsidRDefault="00224567">
      <w:pPr>
        <w:widowControl w:val="0"/>
        <w:tabs>
          <w:tab w:val="left" w:pos="0"/>
        </w:tabs>
        <w:ind w:firstLine="2835"/>
      </w:pPr>
      <w:r>
        <w:t>Concluyó que el hallazgo de el</w:t>
      </w:r>
      <w:r>
        <w:t>e</w:t>
      </w:r>
      <w:r>
        <w:t>mentos constitutivos de un rodado por parte de los vecinos del lugar y el testimonio de las personas que vieron la cami</w:t>
      </w:r>
      <w:r>
        <w:t>o</w:t>
      </w:r>
      <w:r>
        <w:t>neta, como las que escucharon un choque, chirrido y fren</w:t>
      </w:r>
      <w:r>
        <w:t>a</w:t>
      </w:r>
      <w:r>
        <w:t>das previo a la explosión; a saber, los testimonios de Ljudmila Birukov, Salomón Mario Zelcer, Carlos Sergio Do</w:t>
      </w:r>
      <w:r>
        <w:t>l</w:t>
      </w:r>
      <w:r>
        <w:t>matzian, Mónica Luisa Arnaudo de Yabiansky, Carlos Rig</w:t>
      </w:r>
      <w:r>
        <w:t>o</w:t>
      </w:r>
      <w:r>
        <w:t>berto Heidenreich y María Nicolasa Romero confirmaron la existencia del cochebomba.</w:t>
      </w:r>
    </w:p>
    <w:p w:rsidR="00224567" w:rsidRDefault="00224567">
      <w:pPr>
        <w:widowControl w:val="0"/>
        <w:tabs>
          <w:tab w:val="left" w:pos="0"/>
        </w:tabs>
        <w:ind w:firstLine="2835"/>
      </w:pPr>
      <w:r>
        <w:t>También destacó la presencia de una impronta en el suelo producida por la explosión, corrob</w:t>
      </w:r>
      <w:r>
        <w:t>o</w:t>
      </w:r>
      <w:r>
        <w:t>rada por los testimonios de José María Gesualdi, León E</w:t>
      </w:r>
      <w:r>
        <w:t>n</w:t>
      </w:r>
      <w:r>
        <w:lastRenderedPageBreak/>
        <w:t>rique Benezra, Miguel Ángel Fernández, Carlos Alberto G</w:t>
      </w:r>
      <w:r>
        <w:t>a</w:t>
      </w:r>
      <w:r>
        <w:t>citúa, Aharón Edry, Alejandro Daniel Verri y los integra</w:t>
      </w:r>
      <w:r>
        <w:t>n</w:t>
      </w:r>
      <w:r>
        <w:t>tes del grupo de rescate enviados por el gobierno de I</w:t>
      </w:r>
      <w:r>
        <w:t>s</w:t>
      </w:r>
      <w:r>
        <w:t>rael.</w:t>
      </w:r>
    </w:p>
    <w:p w:rsidR="00224567" w:rsidRDefault="00224567">
      <w:pPr>
        <w:pStyle w:val="Sangra2detindependiente"/>
        <w:widowControl w:val="0"/>
        <w:spacing w:line="600" w:lineRule="auto"/>
        <w:ind w:firstLine="2835"/>
      </w:pPr>
      <w:r>
        <w:t>Finalmente, aludió al hallazgo de v</w:t>
      </w:r>
      <w:r>
        <w:t>a</w:t>
      </w:r>
      <w:r>
        <w:t>rias piezas de una camioneta de las características me</w:t>
      </w:r>
      <w:r>
        <w:t>n</w:t>
      </w:r>
      <w:r>
        <w:t>cionadas. En punto a esta última circunsta</w:t>
      </w:r>
      <w:r>
        <w:t>n</w:t>
      </w:r>
      <w:r>
        <w:t>cia, el fiscal sostuvo que dichos elementos se encontraban deformados o destruidos con un mismo patrón de rotura y tenían una d</w:t>
      </w:r>
      <w:r>
        <w:t>i</w:t>
      </w:r>
      <w:r>
        <w:t>seminación lógica en el lugar del hecho, en función de su ubicación en el vehículo. No obstante, aclaró que el efe</w:t>
      </w:r>
      <w:r>
        <w:t>c</w:t>
      </w:r>
      <w:r>
        <w:t>to de rebote o la movilidad del escenario pudo haber alt</w:t>
      </w:r>
      <w:r>
        <w:t>e</w:t>
      </w:r>
      <w:r>
        <w:t>rado la localización de las piezas en el lugar.</w:t>
      </w:r>
    </w:p>
    <w:p w:rsidR="00224567" w:rsidRDefault="00224567">
      <w:pPr>
        <w:widowControl w:val="0"/>
        <w:tabs>
          <w:tab w:val="left" w:pos="0"/>
        </w:tabs>
        <w:ind w:firstLine="2835"/>
      </w:pPr>
      <w:r>
        <w:t>La pericia de las personas que rec</w:t>
      </w:r>
      <w:r>
        <w:t>o</w:t>
      </w:r>
      <w:r>
        <w:t>lectaron las piezas permitió identificar, a juicio de la fiscalía, por lo menos 65 autopartes diseminadas en el l</w:t>
      </w:r>
      <w:r>
        <w:t>u</w:t>
      </w:r>
      <w:r>
        <w:t>gar del hecho, que fueron reconoc</w:t>
      </w:r>
      <w:r>
        <w:t>i</w:t>
      </w:r>
      <w:r>
        <w:t xml:space="preserve">das en el debate por el personal de bomberos de </w:t>
      </w:r>
      <w:smartTag w:uri="urn:schemas-microsoft-com:office:smarttags" w:element="PersonName">
        <w:smartTagPr>
          <w:attr w:name="ProductID" w:val="la Polic￭a Federal"/>
        </w:smartTagPr>
        <w:r>
          <w:t>la Policía Federal</w:t>
        </w:r>
      </w:smartTag>
      <w:r>
        <w:t xml:space="preserve"> Argentina; ci</w:t>
      </w:r>
      <w:r>
        <w:t>r</w:t>
      </w:r>
      <w:r>
        <w:t>cunstancia que, a criterio de la fiscalía, permitió vinc</w:t>
      </w:r>
      <w:r>
        <w:t>u</w:t>
      </w:r>
      <w:r>
        <w:t xml:space="preserve">larlas con las actas que dan cuenta de su secuestro, donde </w:t>
      </w:r>
      <w:r>
        <w:lastRenderedPageBreak/>
        <w:t>figura el correspondiente detalle de día, lugar, pe</w:t>
      </w:r>
      <w:r>
        <w:t>r</w:t>
      </w:r>
      <w:r>
        <w:t>sonal interviniente y descripción del elemento hallado, agreg</w:t>
      </w:r>
      <w:r>
        <w:t>a</w:t>
      </w:r>
      <w:r>
        <w:t xml:space="preserve">das a los informes preliminar y final de </w:t>
      </w:r>
      <w:smartTag w:uri="urn:schemas-microsoft-com:office:smarttags" w:element="PersonName">
        <w:smartTagPr>
          <w:attr w:name="ProductID" w:val="la Superintendencia"/>
        </w:smartTagPr>
        <w:r>
          <w:t>la Superintende</w:t>
        </w:r>
        <w:r>
          <w:t>n</w:t>
        </w:r>
        <w:r>
          <w:t>cia</w:t>
        </w:r>
      </w:smartTag>
      <w:r>
        <w:t xml:space="preserve"> de Bo</w:t>
      </w:r>
      <w:r>
        <w:t>m</w:t>
      </w:r>
      <w:r>
        <w:t>beros.</w:t>
      </w:r>
    </w:p>
    <w:p w:rsidR="00224567" w:rsidRDefault="00224567">
      <w:pPr>
        <w:widowControl w:val="0"/>
        <w:tabs>
          <w:tab w:val="left" w:pos="0"/>
        </w:tabs>
        <w:ind w:firstLine="2835"/>
      </w:pPr>
      <w:r>
        <w:t>Puntualizó que los funcionarios Cla</w:t>
      </w:r>
      <w:r>
        <w:t>u</w:t>
      </w:r>
      <w:r>
        <w:t>dio Kirianovicz, Horacio Lopardo, Mauricio Adrián B</w:t>
      </w:r>
      <w:r>
        <w:t>a</w:t>
      </w:r>
      <w:r>
        <w:t>rrera, Carlos Ruiz Huidobro, Aroldo Salatino, Gustavo Alejandro Varela Gómez, Carlos Enrique Quinteros, Guillermo Daniel Ceballos, Alberto Tomás Scalise, Raúl Arbor, Juan Falz</w:t>
      </w:r>
      <w:r>
        <w:t>a</w:t>
      </w:r>
      <w:r>
        <w:t>rano, Raúl Aníbal Varela, Jorge Enrique Solano, Omar Eduardo Castro, Rubén Nieto y Félix Alberto Estévez, rec</w:t>
      </w:r>
      <w:r>
        <w:t>o</w:t>
      </w:r>
      <w:r>
        <w:t xml:space="preserve">nocieron en el debate haber hallado en el lugar del hecho las piezas identificadas con los nº </w:t>
      </w:r>
      <w:smartTag w:uri="urn:schemas-microsoft-com:office:smarttags" w:element="metricconverter">
        <w:smartTagPr>
          <w:attr w:name="ProductID" w:val="1 a"/>
        </w:smartTagPr>
        <w:r>
          <w:t>1 a</w:t>
        </w:r>
      </w:smartTag>
      <w:r>
        <w:t xml:space="preserve"> 18, </w:t>
      </w:r>
      <w:smartTag w:uri="urn:schemas-microsoft-com:office:smarttags" w:element="metricconverter">
        <w:smartTagPr>
          <w:attr w:name="ProductID" w:val="20 a"/>
        </w:smartTagPr>
        <w:r>
          <w:t>20 a</w:t>
        </w:r>
      </w:smartTag>
      <w:r>
        <w:t xml:space="preserve"> 26, 30, </w:t>
      </w:r>
      <w:smartTag w:uri="urn:schemas-microsoft-com:office:smarttags" w:element="metricconverter">
        <w:smartTagPr>
          <w:attr w:name="ProductID" w:val="32 a"/>
        </w:smartTagPr>
        <w:r>
          <w:t>32 a</w:t>
        </w:r>
      </w:smartTag>
      <w:r>
        <w:t xml:space="preserve"> 34, 37, 39, </w:t>
      </w:r>
      <w:smartTag w:uri="urn:schemas-microsoft-com:office:smarttags" w:element="metricconverter">
        <w:smartTagPr>
          <w:attr w:name="ProductID" w:val="41 a"/>
        </w:smartTagPr>
        <w:r>
          <w:t>41 a</w:t>
        </w:r>
      </w:smartTag>
      <w:r>
        <w:t xml:space="preserve"> 49, 51, 52, 56, 57, 62, 64, 65, 67, 69, 70, 72, 73, 75, </w:t>
      </w:r>
      <w:smartTag w:uri="urn:schemas-microsoft-com:office:smarttags" w:element="metricconverter">
        <w:smartTagPr>
          <w:attr w:name="ProductID" w:val="78 a"/>
        </w:smartTagPr>
        <w:r>
          <w:t>78 a</w:t>
        </w:r>
      </w:smartTag>
      <w:r>
        <w:t xml:space="preserve"> 80, 86, 87, 92, 95, 97 y 98.</w:t>
      </w:r>
    </w:p>
    <w:p w:rsidR="00224567" w:rsidRDefault="00224567">
      <w:pPr>
        <w:widowControl w:val="0"/>
        <w:tabs>
          <w:tab w:val="left" w:pos="0"/>
        </w:tabs>
        <w:ind w:firstLine="2835"/>
      </w:pPr>
      <w:r>
        <w:t>Afirmó, sin embargo, que otra gran cantidad de elementos no fueron descriptos de manera pr</w:t>
      </w:r>
      <w:r>
        <w:t>e</w:t>
      </w:r>
      <w:r>
        <w:t>cisa en las actas de secuestro, razón que impide identif</w:t>
      </w:r>
      <w:r>
        <w:t>i</w:t>
      </w:r>
      <w:r>
        <w:t>carlos fehacient</w:t>
      </w:r>
      <w:r>
        <w:t>e</w:t>
      </w:r>
      <w:r>
        <w:t>mente.</w:t>
      </w:r>
    </w:p>
    <w:p w:rsidR="00224567" w:rsidRDefault="00224567">
      <w:pPr>
        <w:widowControl w:val="0"/>
        <w:tabs>
          <w:tab w:val="left" w:pos="0"/>
        </w:tabs>
        <w:ind w:firstLine="2835"/>
      </w:pPr>
      <w:r>
        <w:t>No obstante, alegó, la totalidad de las autopartes secuestradas fueron reconocidas por los e</w:t>
      </w:r>
      <w:r>
        <w:t>x</w:t>
      </w:r>
      <w:r>
        <w:lastRenderedPageBreak/>
        <w:t>pertos de C.I.A.D.E.A. como constitutivas del vehíc</w:t>
      </w:r>
      <w:r>
        <w:t>u</w:t>
      </w:r>
      <w:r>
        <w:t>lo en cuestión, razón que a juicio del fiscal permite sostener que formaron parte del utilitario que “fuera carcaza del explosivo”.</w:t>
      </w:r>
    </w:p>
    <w:p w:rsidR="00224567" w:rsidRDefault="00224567">
      <w:pPr>
        <w:widowControl w:val="0"/>
        <w:tabs>
          <w:tab w:val="left" w:pos="0"/>
        </w:tabs>
        <w:ind w:firstLine="2835"/>
      </w:pPr>
      <w:r>
        <w:t xml:space="preserve">Destacó que en </w:t>
      </w:r>
      <w:smartTag w:uri="urn:schemas-microsoft-com:office:smarttags" w:element="PersonName">
        <w:smartTagPr>
          <w:attr w:name="ProductID" w:val="la Ciudad Universitaria"/>
        </w:smartTagPr>
        <w:r>
          <w:t>la Ciudad Universit</w:t>
        </w:r>
        <w:r>
          <w:t>a</w:t>
        </w:r>
        <w:r>
          <w:t>ria</w:t>
        </w:r>
      </w:smartTag>
      <w:r>
        <w:t>, predio dónde fueron depositados los escombros y el resto del material removido de la zona del siniestro, se realizó un nuevo trabajo de “escombramiento”, opo</w:t>
      </w:r>
      <w:r>
        <w:t>r</w:t>
      </w:r>
      <w:r>
        <w:t>tunidad en la cual también se secuestraron numerosas piezas; al respecto, señaló los hallazgos que dan cue</w:t>
      </w:r>
      <w:r>
        <w:t>n</w:t>
      </w:r>
      <w:r>
        <w:t>ta las actas de fs. 5, 7 y 8 del Informe Final de Bomberos y el acta de reconocimiento de elementos obrante a fs. 9 de dicho est</w:t>
      </w:r>
      <w:r>
        <w:t>u</w:t>
      </w:r>
      <w:r>
        <w:t>dio.</w:t>
      </w:r>
    </w:p>
    <w:p w:rsidR="00224567" w:rsidRDefault="00224567">
      <w:pPr>
        <w:widowControl w:val="0"/>
        <w:tabs>
          <w:tab w:val="left" w:pos="0"/>
        </w:tabs>
        <w:ind w:firstLine="2835"/>
      </w:pPr>
      <w:r>
        <w:t>Recalcó, en particular, el secuestro de la pieza nº 34, llevado a cabo por Mauricio Adrián B</w:t>
      </w:r>
      <w:r>
        <w:t>a</w:t>
      </w:r>
      <w:r>
        <w:t xml:space="preserve">rrera el 18 de julio de </w:t>
      </w:r>
      <w:smartTag w:uri="urn:schemas-microsoft-com:office:smarttags" w:element="metricconverter">
        <w:smartTagPr>
          <w:attr w:name="ProductID" w:val="1994 a"/>
        </w:smartTagPr>
        <w:r>
          <w:t>1994 a</w:t>
        </w:r>
      </w:smartTag>
      <w:r>
        <w:t xml:space="preserve"> las 11.45 entre los esco</w:t>
      </w:r>
      <w:r>
        <w:t>m</w:t>
      </w:r>
      <w:r>
        <w:t xml:space="preserve">bros ubicados en la vereda opuesta a la sede de </w:t>
      </w:r>
      <w:smartTag w:uri="urn:schemas-microsoft-com:office:smarttags" w:element="PersonName">
        <w:smartTagPr>
          <w:attr w:name="ProductID" w:val="la A.M"/>
        </w:smartTagPr>
        <w:r>
          <w:t>la A.M</w:t>
        </w:r>
      </w:smartTag>
      <w:r>
        <w:t>.I.A. (acta de fs. 66 del Informe Preliminar) constit</w:t>
      </w:r>
      <w:r>
        <w:t>u</w:t>
      </w:r>
      <w:r>
        <w:t>tiva de una hoja de paquete de elástico trasero, con s</w:t>
      </w:r>
      <w:r>
        <w:t>o</w:t>
      </w:r>
      <w:r>
        <w:t>porte trasero y parte de carrocería, quién la r</w:t>
      </w:r>
      <w:r>
        <w:t>e</w:t>
      </w:r>
      <w:r>
        <w:t xml:space="preserve">conoció en </w:t>
      </w:r>
      <w:r>
        <w:lastRenderedPageBreak/>
        <w:t>el debate como “probable a la que secuestr</w:t>
      </w:r>
      <w:r>
        <w:t>a</w:t>
      </w:r>
      <w:r>
        <w:t>ra”.</w:t>
      </w:r>
    </w:p>
    <w:p w:rsidR="00224567" w:rsidRDefault="00224567">
      <w:pPr>
        <w:widowControl w:val="0"/>
        <w:tabs>
          <w:tab w:val="left" w:pos="0"/>
        </w:tabs>
        <w:ind w:firstLine="2835"/>
      </w:pPr>
      <w:r>
        <w:t>Con mención del informe producido por C.I.A.D.E.A. S.A. a fs. 14.263 y 14.265, su</w:t>
      </w:r>
      <w:r>
        <w:t>s</w:t>
      </w:r>
      <w:r>
        <w:t>cripto por los técnicos José Luis Martilotta y Jorge Florencia Valdéz, expresó que dicho elástico no coincidía con el resto de las piezas evaluadas, dado que su uso original era para un vehículo de caja larga, equ</w:t>
      </w:r>
      <w:r>
        <w:t>i</w:t>
      </w:r>
      <w:r>
        <w:t>pado con motor 2000 o diesel. Se enfatizó en el estudio, dijo el fi</w:t>
      </w:r>
      <w:r>
        <w:t>s</w:t>
      </w:r>
      <w:r>
        <w:t>cal, que si bien se podía adaptar para un utilitario de caja corta, reempl</w:t>
      </w:r>
      <w:r>
        <w:t>a</w:t>
      </w:r>
      <w:r>
        <w:t>zando el paquete de elásticos original para soportar más peso, ello no era lógico que sucediera con un motor de 1400 cm³, puesto que trabajaría forzado, acortándole su vida útil.</w:t>
      </w:r>
    </w:p>
    <w:p w:rsidR="00224567" w:rsidRDefault="00224567">
      <w:pPr>
        <w:widowControl w:val="0"/>
        <w:tabs>
          <w:tab w:val="left" w:pos="0"/>
        </w:tabs>
        <w:ind w:firstLine="2835"/>
      </w:pPr>
      <w:r>
        <w:t xml:space="preserve">Respecto a la pieza nº 1 “A”, que da cuenta el acta de fs. 14.320 identificada como un trozo de cajonera “U” del portón lateral derecho, dijo que </w:t>
      </w:r>
      <w:smartTag w:uri="urn:schemas-microsoft-com:office:smarttags" w:element="PersonName">
        <w:smartTagPr>
          <w:attr w:name="ProductID" w:val="la Divisi￳n T￩cnica"/>
        </w:smartTagPr>
        <w:r>
          <w:t>la Div</w:t>
        </w:r>
        <w:r>
          <w:t>i</w:t>
        </w:r>
        <w:r>
          <w:t>sión Técnica</w:t>
        </w:r>
      </w:smartTag>
      <w:r>
        <w:t xml:space="preserve"> de Renault Argentina informó a fs. 30.215 que la pieza no sufrió cambios de fabricación en el período compre</w:t>
      </w:r>
      <w:r>
        <w:t>n</w:t>
      </w:r>
      <w:r>
        <w:t xml:space="preserve">dido entre los años </w:t>
      </w:r>
      <w:smartTag w:uri="urn:schemas-microsoft-com:office:smarttags" w:element="metricconverter">
        <w:smartTagPr>
          <w:attr w:name="ProductID" w:val="1987 a"/>
        </w:smartTagPr>
        <w:r>
          <w:t>1987 a</w:t>
        </w:r>
      </w:smartTag>
      <w:r>
        <w:t xml:space="preserve"> 1991 y que en ese lapso no se fabricaron vehículos Trafic de chasis corto, con puerta lateral y con elásticos de 9 hojas.</w:t>
      </w:r>
    </w:p>
    <w:p w:rsidR="00224567" w:rsidRDefault="00224567">
      <w:pPr>
        <w:widowControl w:val="0"/>
        <w:tabs>
          <w:tab w:val="left" w:pos="0"/>
        </w:tabs>
        <w:ind w:firstLine="2835"/>
      </w:pPr>
      <w:r>
        <w:lastRenderedPageBreak/>
        <w:t>También mencionó el fiscal, como pru</w:t>
      </w:r>
      <w:r>
        <w:t>e</w:t>
      </w:r>
      <w:r>
        <w:t>ba fehaciente de la utilización de un cochebo</w:t>
      </w:r>
      <w:r>
        <w:t>m</w:t>
      </w:r>
      <w:r>
        <w:t>ba, la pieza nº 26, extraída del cuerpo sin vida de Ramón Nolbe</w:t>
      </w:r>
      <w:r>
        <w:t>r</w:t>
      </w:r>
      <w:r>
        <w:t>to Díaz (acta de fs. 183 del Informe Preliminar de Bomberos y a</w:t>
      </w:r>
      <w:r>
        <w:t>u</w:t>
      </w:r>
      <w:r>
        <w:t xml:space="preserve">topsia nº 1629), ubicando, en la maqueta, a la víctima frente al edificio de </w:t>
      </w:r>
      <w:smartTag w:uri="urn:schemas-microsoft-com:office:smarttags" w:element="PersonName">
        <w:smartTagPr>
          <w:attr w:name="ProductID" w:val="la A.M"/>
        </w:smartTagPr>
        <w:r>
          <w:t>la A.M</w:t>
        </w:r>
      </w:smartTag>
      <w:r>
        <w:t>.I.A.. R</w:t>
      </w:r>
      <w:r>
        <w:t>e</w:t>
      </w:r>
      <w:r>
        <w:t>cordó, además, que el médico forense que practicó la necroscopia, Dr. Carlos A</w:t>
      </w:r>
      <w:r>
        <w:t>l</w:t>
      </w:r>
      <w:r>
        <w:t>be</w:t>
      </w:r>
      <w:r>
        <w:t>r</w:t>
      </w:r>
      <w:r>
        <w:t>to Navari, aclaró en el debate que no es posible pensar que el amortiguador fue introducido de otra forma que no sea por la fuerza de una expl</w:t>
      </w:r>
      <w:r>
        <w:t>o</w:t>
      </w:r>
      <w:r>
        <w:t>sión.</w:t>
      </w:r>
    </w:p>
    <w:p w:rsidR="00224567" w:rsidRDefault="00224567">
      <w:pPr>
        <w:widowControl w:val="0"/>
        <w:tabs>
          <w:tab w:val="left" w:pos="0"/>
        </w:tabs>
        <w:ind w:firstLine="2835"/>
      </w:pPr>
      <w:r>
        <w:t>Por el análisis de las chapas secue</w:t>
      </w:r>
      <w:r>
        <w:t>s</w:t>
      </w:r>
      <w:r>
        <w:t>tradas se estableció, a juicio del fiscal, que la carroc</w:t>
      </w:r>
      <w:r>
        <w:t>e</w:t>
      </w:r>
      <w:r>
        <w:t>ría fue procesada en la línea de producción de la fábr</w:t>
      </w:r>
      <w:r>
        <w:t>i</w:t>
      </w:r>
      <w:r>
        <w:t>ca Renault entre marzo de 1987 y octubre del 1989 y que no había sufrido con anterioridad efectos de temperatura so</w:t>
      </w:r>
      <w:r>
        <w:t>s</w:t>
      </w:r>
      <w:r>
        <w:t>tenida.</w:t>
      </w:r>
    </w:p>
    <w:p w:rsidR="00224567" w:rsidRDefault="00224567">
      <w:pPr>
        <w:widowControl w:val="0"/>
        <w:tabs>
          <w:tab w:val="left" w:pos="0"/>
        </w:tabs>
        <w:ind w:firstLine="2835"/>
      </w:pPr>
      <w:r>
        <w:t>Tras citar los testimonios de los i</w:t>
      </w:r>
      <w:r>
        <w:t>n</w:t>
      </w:r>
      <w:r>
        <w:t xml:space="preserve">tegrantes del Departamento Técnico de </w:t>
      </w:r>
      <w:smartTag w:uri="urn:schemas-microsoft-com:office:smarttags" w:element="PersonName">
        <w:smartTagPr>
          <w:attr w:name="ProductID" w:val="la Guardia"/>
        </w:smartTagPr>
        <w:r>
          <w:t>la Guardia</w:t>
        </w:r>
      </w:smartTag>
      <w:r>
        <w:t xml:space="preserve"> de Aux</w:t>
      </w:r>
      <w:r>
        <w:t>i</w:t>
      </w:r>
      <w:r>
        <w:t xml:space="preserve">lio de </w:t>
      </w:r>
      <w:smartTag w:uri="urn:schemas-microsoft-com:office:smarttags" w:element="PersonName">
        <w:smartTagPr>
          <w:attr w:name="ProductID" w:val="la Municipalidad"/>
        </w:smartTagPr>
        <w:r>
          <w:t>la Municipalidad</w:t>
        </w:r>
      </w:smartTag>
      <w:r>
        <w:t xml:space="preserve"> de Buenos Aires y de </w:t>
      </w:r>
      <w:smartTag w:uri="urn:schemas-microsoft-com:office:smarttags" w:element="PersonName">
        <w:smartTagPr>
          <w:attr w:name="ProductID" w:val="la Asociaci￳n"/>
        </w:smartTagPr>
        <w:r>
          <w:t>la Asociación</w:t>
        </w:r>
      </w:smartTag>
      <w:r>
        <w:t xml:space="preserve"> de Ingenieros Estructuralistas, Juan Carlos Pagani, Edua</w:t>
      </w:r>
      <w:r>
        <w:t>r</w:t>
      </w:r>
      <w:r>
        <w:lastRenderedPageBreak/>
        <w:t>do Saralegui, Jorge Fontán Balestra y Aníbal Ma</w:t>
      </w:r>
      <w:r>
        <w:t>n</w:t>
      </w:r>
      <w:r>
        <w:t>zelli, que expusieron acerca de los peligros de derrumbes y despre</w:t>
      </w:r>
      <w:r>
        <w:t>n</w:t>
      </w:r>
      <w:r>
        <w:t>dimientos de las edificaciones afe</w:t>
      </w:r>
      <w:r>
        <w:t>c</w:t>
      </w:r>
      <w:r>
        <w:t>tadas por la explosión, con el consecuente riesgo para la integridad física de quienes trabajaban en el desastre. En este sentido, el fiscal sostuvo que estaba ju</w:t>
      </w:r>
      <w:r>
        <w:t>s</w:t>
      </w:r>
      <w:r>
        <w:t>tificada la omisión por parte de los funcionarios policiales de convocar testigos dura</w:t>
      </w:r>
      <w:r>
        <w:t>n</w:t>
      </w:r>
      <w:r>
        <w:t>te las diligencias de recolección de evidencias en el e</w:t>
      </w:r>
      <w:r>
        <w:t>s</w:t>
      </w:r>
      <w:r>
        <w:t>cen</w:t>
      </w:r>
      <w:r>
        <w:t>a</w:t>
      </w:r>
      <w:r>
        <w:t>rio del hecho.</w:t>
      </w:r>
    </w:p>
    <w:p w:rsidR="00224567" w:rsidRDefault="00224567">
      <w:pPr>
        <w:widowControl w:val="0"/>
        <w:tabs>
          <w:tab w:val="left" w:pos="0"/>
        </w:tabs>
        <w:ind w:firstLine="2835"/>
      </w:pPr>
      <w:r>
        <w:t>En abono de ello, reprodujo d</w:t>
      </w:r>
      <w:r>
        <w:t>u</w:t>
      </w:r>
      <w:r>
        <w:t>rante su exposición el video del derrumbe de una l</w:t>
      </w:r>
      <w:r>
        <w:t>o</w:t>
      </w:r>
      <w:r>
        <w:t>sa del edificio de Pasteur 633, producido en horas de la noche del 18 de julio de 1994 y, en igual sentido, enumeró los miembros de las fuerzas de segur</w:t>
      </w:r>
      <w:r>
        <w:t>i</w:t>
      </w:r>
      <w:r>
        <w:t>dad que sufrieron lesiones a causa de los pel</w:t>
      </w:r>
      <w:r>
        <w:t>i</w:t>
      </w:r>
      <w:r>
        <w:t>gros latentes verificados en la zona del atentado; a saber, los policías Canzobre, Ottolino, Pérez, Mart</w:t>
      </w:r>
      <w:r>
        <w:t>í</w:t>
      </w:r>
      <w:r>
        <w:t xml:space="preserve">nez, Baamonde, Ribrochi, Tobal, Banega, Peralta Ruíz, López, González, Rojas, de </w:t>
      </w:r>
      <w:smartTag w:uri="urn:schemas-microsoft-com:office:smarttags" w:element="PersonName">
        <w:smartTagPr>
          <w:attr w:name="ProductID" w:val="la Ratta"/>
        </w:smartTagPr>
        <w:r>
          <w:t>la Ratta</w:t>
        </w:r>
      </w:smartTag>
      <w:r>
        <w:t>, Brizuela, Esquivel, Sá</w:t>
      </w:r>
      <w:r>
        <w:t>n</w:t>
      </w:r>
      <w:r>
        <w:t>chez, Meglioli, Correa, Silvestre, Revilla, Trintinaglia, Ma</w:t>
      </w:r>
      <w:r>
        <w:t>z</w:t>
      </w:r>
      <w:r>
        <w:t>za, Mazzón y Vinciguerra.</w:t>
      </w:r>
    </w:p>
    <w:p w:rsidR="00224567" w:rsidRDefault="00224567">
      <w:pPr>
        <w:widowControl w:val="0"/>
        <w:tabs>
          <w:tab w:val="left" w:pos="0"/>
        </w:tabs>
        <w:ind w:firstLine="2835"/>
      </w:pPr>
      <w:r>
        <w:t xml:space="preserve">Argumentó el fiscal que el escenario </w:t>
      </w:r>
      <w:r>
        <w:lastRenderedPageBreak/>
        <w:t>del hecho no era adecuado para convocar testigos, tanto por sus movimientos como por la prioridad en el salv</w:t>
      </w:r>
      <w:r>
        <w:t>a</w:t>
      </w:r>
      <w:r>
        <w:t>taje de las víctimas, y la urgencia aducida por los funcion</w:t>
      </w:r>
      <w:r>
        <w:t>a</w:t>
      </w:r>
      <w:r>
        <w:t>rios policiales para secuestrar las piezas. Dijo, “había que secue</w:t>
      </w:r>
      <w:r>
        <w:t>s</w:t>
      </w:r>
      <w:r>
        <w:t>trar rápido las piezas porque se podían perder”.</w:t>
      </w:r>
    </w:p>
    <w:p w:rsidR="00224567" w:rsidRDefault="00224567">
      <w:pPr>
        <w:widowControl w:val="0"/>
        <w:tabs>
          <w:tab w:val="left" w:pos="0"/>
        </w:tabs>
        <w:ind w:firstLine="2835"/>
      </w:pPr>
      <w:r>
        <w:t>Agregó que la veracidad del co</w:t>
      </w:r>
      <w:r>
        <w:t>n</w:t>
      </w:r>
      <w:r>
        <w:t>tenido de las actas de secuestro se determinó por la correspo</w:t>
      </w:r>
      <w:r>
        <w:t>n</w:t>
      </w:r>
      <w:r>
        <w:t>dencia con otros elementos de prueba que acreditan la existencia de un cochebomba, de la marca y modelo menci</w:t>
      </w:r>
      <w:r>
        <w:t>o</w:t>
      </w:r>
      <w:r>
        <w:t>nado. En ese orden, expresó que las piezas estaban en el lugar descripto en las actas de secue</w:t>
      </w:r>
      <w:r>
        <w:t>s</w:t>
      </w:r>
      <w:r>
        <w:t>tro; que sus roturas y deformaciones guardaron un mismo patrón físico; que t</w:t>
      </w:r>
      <w:r>
        <w:t>o</w:t>
      </w:r>
      <w:r>
        <w:t>das tenían la misma impregnación del explosivo que e</w:t>
      </w:r>
      <w:r>
        <w:t>s</w:t>
      </w:r>
      <w:r>
        <w:t xml:space="preserve">talló en la sede de </w:t>
      </w:r>
      <w:smartTag w:uri="urn:schemas-microsoft-com:office:smarttags" w:element="PersonName">
        <w:smartTagPr>
          <w:attr w:name="ProductID" w:val="la A.M"/>
        </w:smartTagPr>
        <w:r>
          <w:t>la A.M</w:t>
        </w:r>
      </w:smartTag>
      <w:r>
        <w:t>.I.A.; y que muchas de ellas también fueron avistadas por “innumerables testigos”, como ser Luisa Azserzon, Mario Bruzzón, Amelia Rivera, Alberto Chaufán, Manuel Olascoaga, María Josefa Vicente, Moisés Hara, Ernesto Szwimer, Carlos Bia</w:t>
      </w:r>
      <w:r>
        <w:t>n</w:t>
      </w:r>
      <w:r>
        <w:t>co, Juan López, Marcelo Daniel Soria, Victorino Ribeiro Mendonça, José Jorge Sa</w:t>
      </w:r>
      <w:r>
        <w:t>n</w:t>
      </w:r>
      <w:r>
        <w:t>tillán, Ángel Poidomani y aquellas personas que se ref</w:t>
      </w:r>
      <w:r>
        <w:t>i</w:t>
      </w:r>
      <w:r>
        <w:lastRenderedPageBreak/>
        <w:t>rieron al hallazgo del m</w:t>
      </w:r>
      <w:r>
        <w:t>o</w:t>
      </w:r>
      <w:r>
        <w:t>tor.</w:t>
      </w:r>
    </w:p>
    <w:p w:rsidR="00224567" w:rsidRDefault="00224567">
      <w:pPr>
        <w:widowControl w:val="0"/>
        <w:tabs>
          <w:tab w:val="left" w:pos="0"/>
        </w:tabs>
        <w:ind w:firstLine="2835"/>
      </w:pPr>
      <w:r>
        <w:t>Afirmó, que de acuerdo a los i</w:t>
      </w:r>
      <w:r>
        <w:t>n</w:t>
      </w:r>
      <w:r>
        <w:t>formes del laboratorio obrantes en el Informe Final de bomb</w:t>
      </w:r>
      <w:r>
        <w:t>e</w:t>
      </w:r>
      <w:r>
        <w:t>ros, el explosivo utilizado estaba co</w:t>
      </w:r>
      <w:r>
        <w:t>m</w:t>
      </w:r>
      <w:r>
        <w:t>puesto en base a nitrato de amonio, aluminio, un hidrocarburo pesado y, probabl</w:t>
      </w:r>
      <w:r>
        <w:t>e</w:t>
      </w:r>
      <w:r>
        <w:t>mente, sensibilizado con T.N.T. y nitroglicerina. La co</w:t>
      </w:r>
      <w:r>
        <w:t>n</w:t>
      </w:r>
      <w:r>
        <w:t>clusión, sostuvo, coincide además con el peritaje efectu</w:t>
      </w:r>
      <w:r>
        <w:t>a</w:t>
      </w:r>
      <w:r>
        <w:t>do por Hugo Iseas, Graciela González y Daniel Converso, int</w:t>
      </w:r>
      <w:r>
        <w:t>e</w:t>
      </w:r>
      <w:r>
        <w:t>grantes de Gendarmería Nacional, en punto a que en el bloque del motor y en otras piezas pertenecientes a la c</w:t>
      </w:r>
      <w:r>
        <w:t>a</w:t>
      </w:r>
      <w:r>
        <w:t>mioneta -halladas en el escenario del hecho- se constató la presencia de nitratos, nitr</w:t>
      </w:r>
      <w:r>
        <w:t>i</w:t>
      </w:r>
      <w:r>
        <w:t>tos, amonio, hidrocarburos y tr</w:t>
      </w:r>
      <w:r>
        <w:t>o</w:t>
      </w:r>
      <w:r>
        <w:t xml:space="preserve">til. </w:t>
      </w:r>
    </w:p>
    <w:p w:rsidR="00224567" w:rsidRDefault="00224567">
      <w:pPr>
        <w:widowControl w:val="0"/>
        <w:tabs>
          <w:tab w:val="left" w:pos="0"/>
        </w:tabs>
        <w:ind w:firstLine="2835"/>
      </w:pPr>
      <w:r>
        <w:t>Este último estudio, también corrob</w:t>
      </w:r>
      <w:r>
        <w:t>o</w:t>
      </w:r>
      <w:r>
        <w:t>ró el informe de C.I.A.D.E.A. en cuanto que los restos de chapa de la camioneta pertenecían a la línea de fabric</w:t>
      </w:r>
      <w:r>
        <w:t>a</w:t>
      </w:r>
      <w:r>
        <w:t>ción entre marzo de 1987 y octubre de 1989.</w:t>
      </w:r>
    </w:p>
    <w:p w:rsidR="00224567" w:rsidRDefault="00224567">
      <w:pPr>
        <w:widowControl w:val="0"/>
        <w:tabs>
          <w:tab w:val="left" w:pos="0"/>
        </w:tabs>
        <w:ind w:firstLine="2835"/>
      </w:pPr>
      <w:r>
        <w:t>Hizo alusión, también, a los te</w:t>
      </w:r>
      <w:r>
        <w:t>s</w:t>
      </w:r>
      <w:r>
        <w:t xml:space="preserve">tigos que manifestaron haber percibido en la zona del hecho un fuerte olor a amoníaco, lo cual se compadece, según su apreciación, con las emanaciones de una explosión de las </w:t>
      </w:r>
      <w:r>
        <w:lastRenderedPageBreak/>
        <w:t>características de la carga utilizada.</w:t>
      </w:r>
    </w:p>
    <w:p w:rsidR="00224567" w:rsidRDefault="00224567">
      <w:pPr>
        <w:widowControl w:val="0"/>
        <w:tabs>
          <w:tab w:val="left" w:pos="0"/>
        </w:tabs>
        <w:ind w:firstLine="2835"/>
      </w:pPr>
      <w:r>
        <w:t xml:space="preserve">Por último, el Dr. Mullen apreció que la utilización de un cochebomba y del tipo de explosivo analizado para la comisión del crimen se inscribe dentro de un </w:t>
      </w:r>
      <w:r>
        <w:rPr>
          <w:u w:val="single"/>
        </w:rPr>
        <w:t>modus operandi</w:t>
      </w:r>
      <w:r>
        <w:t xml:space="preserve"> internacional. En apoyo de ello, me</w:t>
      </w:r>
      <w:r>
        <w:t>n</w:t>
      </w:r>
      <w:r>
        <w:t>cionó como antecedentes los siguientes atentados: 17 de marzo de 1992 contra la embajada de Israel en Buenos A</w:t>
      </w:r>
      <w:r>
        <w:t>i</w:t>
      </w:r>
      <w:r>
        <w:t>res; 26 de febrero de 1993 contra las “Twin Towers” en Nueva York; fru</w:t>
      </w:r>
      <w:r>
        <w:t>s</w:t>
      </w:r>
      <w:r>
        <w:t xml:space="preserve">trado ataque del 11 de marzo de </w:t>
      </w:r>
      <w:smartTag w:uri="urn:schemas-microsoft-com:office:smarttags" w:element="metricconverter">
        <w:smartTagPr>
          <w:attr w:name="ProductID" w:val="1994 a"/>
        </w:smartTagPr>
        <w:r>
          <w:t>1994 a</w:t>
        </w:r>
      </w:smartTag>
      <w:r>
        <w:t xml:space="preserve"> la embajada de Israel en Tailandia; 26 de j</w:t>
      </w:r>
      <w:r>
        <w:t>u</w:t>
      </w:r>
      <w:r>
        <w:t>lio de 1994 en el atentado contra la embajada de Israel y un i</w:t>
      </w:r>
      <w:r>
        <w:t>n</w:t>
      </w:r>
      <w:r>
        <w:t>mueble de una organización judía en Londres; y 25 de junio de 1996 en Arabia Saud</w:t>
      </w:r>
      <w:r>
        <w:t>i</w:t>
      </w:r>
      <w:r>
        <w:t>ta.</w:t>
      </w:r>
    </w:p>
    <w:p w:rsidR="00224567" w:rsidRDefault="00224567">
      <w:pPr>
        <w:widowControl w:val="0"/>
        <w:tabs>
          <w:tab w:val="left" w:pos="0"/>
        </w:tabs>
        <w:ind w:firstLine="2835"/>
      </w:pPr>
      <w:r>
        <w:t>Seguidamente, el agente fiscal adju</w:t>
      </w:r>
      <w:r>
        <w:t>n</w:t>
      </w:r>
      <w:r>
        <w:t>to José Carlos Barbaccia manifestó que el suceso descripto por su colega encuentra adecuación típica en los delitos de homicidio, doblemente calificado por haber sido perp</w:t>
      </w:r>
      <w:r>
        <w:t>e</w:t>
      </w:r>
      <w:r>
        <w:t>trado por odio racial y religioso y por un medio idóneo para causar un peligro común (art. 80, incs. 4º y 5º del C.P.), en perjuicio de las víctimas fatales antes ident</w:t>
      </w:r>
      <w:r>
        <w:t>i</w:t>
      </w:r>
      <w:r>
        <w:lastRenderedPageBreak/>
        <w:t>ficadas.</w:t>
      </w:r>
    </w:p>
    <w:p w:rsidR="00224567" w:rsidRDefault="00224567">
      <w:pPr>
        <w:widowControl w:val="0"/>
        <w:tabs>
          <w:tab w:val="left" w:pos="0"/>
        </w:tabs>
        <w:ind w:firstLine="2835"/>
      </w:pPr>
      <w:r>
        <w:t>Sostuvo que el hecho criminal que se ha tenido por acr</w:t>
      </w:r>
      <w:r>
        <w:t>e</w:t>
      </w:r>
      <w:r>
        <w:t>ditado constituye, además, el delito de lesiones leves y graves (arts. 89 y 90 del C.P.), cuya p</w:t>
      </w:r>
      <w:r>
        <w:t>e</w:t>
      </w:r>
      <w:r>
        <w:t>na debía incrementarse en función de la escala establecida por el art. 92 del mismo cue</w:t>
      </w:r>
      <w:r>
        <w:t>r</w:t>
      </w:r>
      <w:r>
        <w:t>po legal, al verificarse dos de las ci</w:t>
      </w:r>
      <w:r>
        <w:t>r</w:t>
      </w:r>
      <w:r>
        <w:t>cunstancias del art. 80 del Código Penal.</w:t>
      </w:r>
    </w:p>
    <w:p w:rsidR="00224567" w:rsidRDefault="00224567">
      <w:pPr>
        <w:widowControl w:val="0"/>
        <w:tabs>
          <w:tab w:val="left" w:pos="0"/>
        </w:tabs>
        <w:ind w:firstLine="2835"/>
      </w:pPr>
      <w:r>
        <w:t>Consideró que sufrieron lesiones l</w:t>
      </w:r>
      <w:r>
        <w:t>e</w:t>
      </w:r>
      <w:r>
        <w:t>ves “por lo menos” las siguientes personas: Berta Palais, Si</w:t>
      </w:r>
      <w:r>
        <w:t>p</w:t>
      </w:r>
      <w:r>
        <w:t>hor Lapidus, Elena Atallah de Palechiz</w:t>
      </w:r>
      <w:r>
        <w:fldChar w:fldCharType="begin"/>
      </w:r>
      <w:r>
        <w:instrText xml:space="preserve"> XE "ATALLAH de P</w:instrText>
      </w:r>
      <w:r>
        <w:instrText>A</w:instrText>
      </w:r>
      <w:r>
        <w:instrText xml:space="preserve">LECHIZ" </w:instrText>
      </w:r>
      <w:r>
        <w:fldChar w:fldCharType="end"/>
      </w:r>
      <w:r>
        <w:t>, Mario Ernesto Damp, Silvio Duniec, Simón Sneh, Paola Cernadas, Romina Yabiansky, Eduardo Waizer, Inés Vicenta López de Duniec, Arturo Gritti, Jaime Zaidman</w:t>
      </w:r>
      <w:r>
        <w:fldChar w:fldCharType="begin"/>
      </w:r>
      <w:r>
        <w:instrText xml:space="preserve"> XE "ZALZMAN" </w:instrText>
      </w:r>
      <w:r>
        <w:fldChar w:fldCharType="end"/>
      </w:r>
      <w:r>
        <w:t>, Alejandro Daniel Verri, La</w:t>
      </w:r>
      <w:r>
        <w:t>u</w:t>
      </w:r>
      <w:r>
        <w:t>ra Andrea Moragues, Lidia Bernardita Cazal Martí, Salu</w:t>
      </w:r>
      <w:r>
        <w:t>s</w:t>
      </w:r>
      <w:r>
        <w:t>tiano G</w:t>
      </w:r>
      <w:r>
        <w:t>a</w:t>
      </w:r>
      <w:r>
        <w:t>leano, Juan Carlos Mazzón, Israel Moisés Lapidus, Juan Aldo Luján, Elías Néstor Tobal, Carlos Romagnani, O</w:t>
      </w:r>
      <w:r>
        <w:t>s</w:t>
      </w:r>
      <w:r>
        <w:t>car Gómez, Horacio Dragubitzky, José Gallardo, Gladys Ma</w:t>
      </w:r>
      <w:r>
        <w:t>n</w:t>
      </w:r>
      <w:r>
        <w:t>silla, Mario Obregón, Claudia Patricia Valdez, Ramón Gu</w:t>
      </w:r>
      <w:r>
        <w:t>t</w:t>
      </w:r>
      <w:r>
        <w:t>mann, Verónica Pate, Adriana Verónica Rosa Sibilla, Albe</w:t>
      </w:r>
      <w:r>
        <w:t>r</w:t>
      </w:r>
      <w:r>
        <w:t>to Roffe, G</w:t>
      </w:r>
      <w:r>
        <w:t>a</w:t>
      </w:r>
      <w:r>
        <w:t>briel León Roffe, Claudia Cristina Vicente de Liano, Adolfo Yabo, M</w:t>
      </w:r>
      <w:r>
        <w:t>a</w:t>
      </w:r>
      <w:r>
        <w:t xml:space="preserve">ria Elsa Cena, Héctor Arce, Nicolás </w:t>
      </w:r>
      <w:r>
        <w:lastRenderedPageBreak/>
        <w:t>Wojda</w:t>
      </w:r>
      <w:r>
        <w:fldChar w:fldCharType="begin"/>
      </w:r>
      <w:r>
        <w:instrText xml:space="preserve"> XE "Wojda" </w:instrText>
      </w:r>
      <w:r>
        <w:fldChar w:fldCharType="end"/>
      </w:r>
      <w:r>
        <w:t>, Le</w:t>
      </w:r>
      <w:r>
        <w:t>o</w:t>
      </w:r>
      <w:r>
        <w:t>nardo León Zechin, Rita Raquel Ramírez y Claudio Ant</w:t>
      </w:r>
      <w:r>
        <w:t>o</w:t>
      </w:r>
      <w:r>
        <w:t>nio Silva.</w:t>
      </w:r>
    </w:p>
    <w:p w:rsidR="00224567" w:rsidRDefault="00224567">
      <w:pPr>
        <w:widowControl w:val="0"/>
        <w:tabs>
          <w:tab w:val="left" w:pos="0"/>
        </w:tabs>
        <w:ind w:firstLine="2835"/>
      </w:pPr>
      <w:r>
        <w:t>En tanto que víctimas de lesiones gr</w:t>
      </w:r>
      <w:r>
        <w:t>a</w:t>
      </w:r>
      <w:r>
        <w:t>ves mencionó, “por lo menos”, a Daniel Joffe, Juan Carlos Álvarez, Humberto Chiesa, Gustavo M</w:t>
      </w:r>
      <w:r>
        <w:t>a</w:t>
      </w:r>
      <w:r>
        <w:t>rio Cano, Rosa Montano de Barreiro, Daniel Osvaldo Sar</w:t>
      </w:r>
      <w:r>
        <w:t>a</w:t>
      </w:r>
      <w:r>
        <w:t>via, Raúl Alberto Sánchez, Alejandro Mirochnik, Pablo Ayala R</w:t>
      </w:r>
      <w:r>
        <w:t>o</w:t>
      </w:r>
      <w:r>
        <w:t>dríguez, Leonor Marina Fuster, Angélica Esther Leiva, Fernando José Andrada, Mo</w:t>
      </w:r>
      <w:r>
        <w:t>i</w:t>
      </w:r>
      <w:r>
        <w:t>sés Chaufan, Javier Horacio Miropolsky, Norma Heler de Lew, Elena Schreiber de Falk, Raquel Alvarez, Martín José Viudez, Gregorio Marchak, Lucio Javier Luppi, Rubén S</w:t>
      </w:r>
      <w:r>
        <w:t>a</w:t>
      </w:r>
      <w:r>
        <w:t>muel Chejfec, Hermelinda Bermin Bello, Sergio Luis Bondar, C</w:t>
      </w:r>
      <w:r>
        <w:t>a</w:t>
      </w:r>
      <w:r>
        <w:t>rolina Bec</w:t>
      </w:r>
      <w:r>
        <w:t>e</w:t>
      </w:r>
      <w:r>
        <w:t>rra, Gustavo Spinelli, Gladys Perona de Lisazu, Marta Beatriz Massoli de Lupi, Jorge Osvaldo Ferretti, Claudio Alejandro Weicman, Jorge Eduardo Bordón y Marcela Patricia Laborie San Miguel.</w:t>
      </w:r>
    </w:p>
    <w:p w:rsidR="00224567" w:rsidRDefault="00224567">
      <w:pPr>
        <w:widowControl w:val="0"/>
        <w:tabs>
          <w:tab w:val="left" w:pos="0"/>
        </w:tabs>
        <w:ind w:firstLine="2835"/>
      </w:pPr>
      <w:r>
        <w:t>Señaló que “la magnitud del daño” en el cuerpo de las víctimas se detalló, en cada c</w:t>
      </w:r>
      <w:r>
        <w:t>a</w:t>
      </w:r>
      <w:r>
        <w:t>so, en los legajos XI, XVII y XVIII.</w:t>
      </w:r>
    </w:p>
    <w:p w:rsidR="00224567" w:rsidRDefault="00224567">
      <w:pPr>
        <w:widowControl w:val="0"/>
        <w:tabs>
          <w:tab w:val="left" w:pos="0"/>
        </w:tabs>
        <w:ind w:firstLine="2835"/>
      </w:pPr>
      <w:r>
        <w:t>El hecho probado, argumentó el fi</w:t>
      </w:r>
      <w:r>
        <w:t>s</w:t>
      </w:r>
      <w:r>
        <w:t xml:space="preserve">cal, </w:t>
      </w:r>
      <w:r>
        <w:lastRenderedPageBreak/>
        <w:t>ta</w:t>
      </w:r>
      <w:r>
        <w:t>m</w:t>
      </w:r>
      <w:r>
        <w:t xml:space="preserve">bién constituye el delito de daño (art. 183 del C.P.), cuya materialidad y extensión se demostró con la prueba producida y, sobre todo, por el informe de </w:t>
      </w:r>
      <w:smartTag w:uri="urn:schemas-microsoft-com:office:smarttags" w:element="PersonName">
        <w:smartTagPr>
          <w:attr w:name="ProductID" w:val="la Divisi￳n Inmuebles"/>
        </w:smartTagPr>
        <w:r>
          <w:t>la División I</w:t>
        </w:r>
        <w:r>
          <w:t>n</w:t>
        </w:r>
        <w:r>
          <w:t>muebles</w:t>
        </w:r>
      </w:smartTag>
      <w:r>
        <w:t xml:space="preserve"> de </w:t>
      </w:r>
      <w:smartTag w:uri="urn:schemas-microsoft-com:office:smarttags" w:element="PersonName">
        <w:smartTagPr>
          <w:attr w:name="ProductID" w:val="la Superintendencia"/>
        </w:smartTagPr>
        <w:r>
          <w:t>la Superintendencia</w:t>
        </w:r>
      </w:smartTag>
      <w:r>
        <w:t xml:space="preserve"> de Administración de </w:t>
      </w:r>
      <w:smartTag w:uri="urn:schemas-microsoft-com:office:smarttags" w:element="PersonName">
        <w:smartTagPr>
          <w:attr w:name="ProductID" w:val="la Polic￭a Federal."/>
        </w:smartTagPr>
        <w:r>
          <w:t>la P</w:t>
        </w:r>
        <w:r>
          <w:t>o</w:t>
        </w:r>
        <w:r>
          <w:t>licía Fed</w:t>
        </w:r>
        <w:r>
          <w:t>e</w:t>
        </w:r>
        <w:r>
          <w:t>ral.</w:t>
        </w:r>
      </w:smartTag>
    </w:p>
    <w:p w:rsidR="00224567" w:rsidRDefault="00224567">
      <w:pPr>
        <w:widowControl w:val="0"/>
        <w:tabs>
          <w:tab w:val="left" w:pos="0"/>
        </w:tabs>
        <w:ind w:firstLine="2835"/>
      </w:pPr>
      <w:r>
        <w:t>Indicó que de esas constancias surge la magnitud de los daños producidos en las propiedades comprendidas entre las calles Larrea, Córdoba, Uriburu y Tucumán, como así también el valor de cada uno de ellos. En general, dijo, ascendió a la suma $ 15.000.000, corre</w:t>
      </w:r>
      <w:r>
        <w:t>s</w:t>
      </w:r>
      <w:r>
        <w:t xml:space="preserve">pondiendo $ </w:t>
      </w:r>
      <w:smartTag w:uri="urn:schemas-microsoft-com:office:smarttags" w:element="metricconverter">
        <w:smartTagPr>
          <w:attr w:name="ProductID" w:val="4.000.000 a"/>
        </w:smartTagPr>
        <w:r>
          <w:t>4.000.000 a</w:t>
        </w:r>
      </w:smartTag>
      <w:r>
        <w:t xml:space="preserve"> los daños constatados en el edif</w:t>
      </w:r>
      <w:r>
        <w:t>i</w:t>
      </w:r>
      <w:r>
        <w:t xml:space="preserve">cio de </w:t>
      </w:r>
      <w:smartTag w:uri="urn:schemas-microsoft-com:office:smarttags" w:element="PersonName">
        <w:smartTagPr>
          <w:attr w:name="ProductID" w:val="la A.M"/>
        </w:smartTagPr>
        <w:r>
          <w:t>la A.M</w:t>
        </w:r>
      </w:smartTag>
      <w:r>
        <w:t>.I.A.. El atentado, dijo, también ocasionó perjuicios a las empresas prestatarias de servicios públ</w:t>
      </w:r>
      <w:r>
        <w:t>i</w:t>
      </w:r>
      <w:r>
        <w:t>cos.</w:t>
      </w:r>
    </w:p>
    <w:p w:rsidR="00224567" w:rsidRDefault="00224567">
      <w:pPr>
        <w:widowControl w:val="0"/>
        <w:tabs>
          <w:tab w:val="left" w:pos="0"/>
        </w:tabs>
        <w:ind w:firstLine="2835"/>
      </w:pPr>
      <w:r>
        <w:t>Entendió que correspondía agravar la penalidad prevista para el delito de daño, en función de lo dispuesto por el art. 2º de la 23.592.</w:t>
      </w:r>
    </w:p>
    <w:p w:rsidR="00224567" w:rsidRDefault="00224567">
      <w:pPr>
        <w:widowControl w:val="0"/>
        <w:tabs>
          <w:tab w:val="left" w:pos="0"/>
        </w:tabs>
        <w:ind w:firstLine="2835"/>
      </w:pPr>
      <w:r>
        <w:t>Asimismo, sostuvo que los delitos de</w:t>
      </w:r>
      <w:r>
        <w:t>s</w:t>
      </w:r>
      <w:r>
        <w:t xml:space="preserve">criptos “concursan idealmente entre sí”, con arreglo a lo establecido en el art. 54 del Código Penal, puesto que la conducta delictiva verificada conformó una sola acción con </w:t>
      </w:r>
      <w:r>
        <w:lastRenderedPageBreak/>
        <w:t>pluralidad de lesión jurídica.</w:t>
      </w:r>
    </w:p>
    <w:p w:rsidR="00224567" w:rsidRDefault="00224567">
      <w:pPr>
        <w:widowControl w:val="0"/>
        <w:tabs>
          <w:tab w:val="left" w:pos="0"/>
        </w:tabs>
        <w:ind w:firstLine="2835"/>
      </w:pPr>
      <w:r>
        <w:t>Seguidamente, relató los pormen</w:t>
      </w:r>
      <w:r>
        <w:t>o</w:t>
      </w:r>
      <w:r>
        <w:t>res de la investigación judicial que llevó a la individualiz</w:t>
      </w:r>
      <w:r>
        <w:t>a</w:t>
      </w:r>
      <w:r>
        <w:t>ción, detención y procesamiento de quienes resultaron, a su criterio, partícipes necesarios del suceso crim</w:t>
      </w:r>
      <w:r>
        <w:t>i</w:t>
      </w:r>
      <w:r>
        <w:t>nal.</w:t>
      </w:r>
    </w:p>
    <w:p w:rsidR="00224567" w:rsidRDefault="00224567">
      <w:pPr>
        <w:widowControl w:val="0"/>
        <w:tabs>
          <w:tab w:val="left" w:pos="0"/>
        </w:tabs>
        <w:ind w:firstLine="2835"/>
      </w:pPr>
      <w:r>
        <w:t>Consideró que la prueba rendida en el debate permitió determinar con certeza, que el 25 de julio de 1994, entre las 18.30 y las 19.00 se extrajo del int</w:t>
      </w:r>
      <w:r>
        <w:t>e</w:t>
      </w:r>
      <w:r>
        <w:t>rior del edificio en ruinas, restos de un motor que pr</w:t>
      </w:r>
      <w:r>
        <w:t>e</w:t>
      </w:r>
      <w:r>
        <w:t>sentaba la numeración original de fabrica 2.831.467, el cárter del mismo y la bomba de aceite.</w:t>
      </w:r>
    </w:p>
    <w:p w:rsidR="00224567" w:rsidRDefault="00224567">
      <w:pPr>
        <w:widowControl w:val="0"/>
        <w:tabs>
          <w:tab w:val="left" w:pos="0"/>
        </w:tabs>
        <w:ind w:firstLine="2835"/>
      </w:pPr>
      <w:r>
        <w:t>El fiscal afirmó que el acta labrada con motivo de dicho hallazgo por el oficial Horacio Á</w:t>
      </w:r>
      <w:r>
        <w:t>n</w:t>
      </w:r>
      <w:r>
        <w:t>gel Lopardo es ideológicamente falsa, a</w:t>
      </w:r>
      <w:r>
        <w:t>r</w:t>
      </w:r>
      <w:r>
        <w:t>gumentando que por no reflejar la verdad de lo ocurrido se torna nula e impide que sea valorada jurídicamente en el proceso. Sin perju</w:t>
      </w:r>
      <w:r>
        <w:t>i</w:t>
      </w:r>
      <w:r>
        <w:t>cio de ello, a su criterio, la ausencia del acta no inv</w:t>
      </w:r>
      <w:r>
        <w:t>a</w:t>
      </w:r>
      <w:r>
        <w:t xml:space="preserve">lida de por sí  la incautación del motor, toda vez que las declaraciones testimoniales de Nahum Frenkel, Alberto Szwarc, Dani Dror, Daniel Roberto Seara, Guillermo Pedro </w:t>
      </w:r>
      <w:r>
        <w:lastRenderedPageBreak/>
        <w:t>Scartascini y Zeev Livne, si bien no suplen la validez formal del acta, asumen plenos efectos pr</w:t>
      </w:r>
      <w:r>
        <w:t>o</w:t>
      </w:r>
      <w:r>
        <w:t>batorios al ser concordantes con los demás eleme</w:t>
      </w:r>
      <w:r>
        <w:t>n</w:t>
      </w:r>
      <w:r>
        <w:t>tos convictivos allegados a la causa. En ese sentido, indicó que el resultado del peritaje de fojas 5637/5910 del legajo de instrucción s</w:t>
      </w:r>
      <w:r>
        <w:t>u</w:t>
      </w:r>
      <w:r>
        <w:t>plementaria certificó la presencia, en el motor, de su</w:t>
      </w:r>
      <w:r>
        <w:t>s</w:t>
      </w:r>
      <w:r>
        <w:t>tancias idénticas a las que se hallaron en las demás pi</w:t>
      </w:r>
      <w:r>
        <w:t>e</w:t>
      </w:r>
      <w:r>
        <w:t>zas secue</w:t>
      </w:r>
      <w:r>
        <w:t>s</w:t>
      </w:r>
      <w:r>
        <w:t>tradas en el lugar del hecho, correspondientes a la camioneta Trafic empleada c</w:t>
      </w:r>
      <w:r>
        <w:t>o</w:t>
      </w:r>
      <w:r>
        <w:t>mo cochebomba.</w:t>
      </w:r>
    </w:p>
    <w:p w:rsidR="00224567" w:rsidRDefault="00224567">
      <w:pPr>
        <w:widowControl w:val="0"/>
        <w:tabs>
          <w:tab w:val="left" w:pos="0"/>
        </w:tabs>
        <w:ind w:firstLine="2835"/>
      </w:pPr>
      <w:r>
        <w:t>Indicó el fiscal que mediante la pru</w:t>
      </w:r>
      <w:r>
        <w:t>e</w:t>
      </w:r>
      <w:r>
        <w:t>ba de revenido químico se constató que la numeración era auténtica, circunstancia que permitió la identificación completa del vehículo y su propietario r</w:t>
      </w:r>
      <w:r>
        <w:t>e</w:t>
      </w:r>
      <w:r>
        <w:t xml:space="preserve">gistral el 25 de julio de 1994, en horas de la noche. Se determinó, pues, que el motor correspondía a una camioneta dominio C </w:t>
      </w:r>
      <w:smartTag w:uri="urn:schemas-microsoft-com:office:smarttags" w:element="metricconverter">
        <w:smartTagPr>
          <w:attr w:name="ProductID" w:val="1.498.506 a"/>
        </w:smartTagPr>
        <w:r>
          <w:t>1.498.506 a</w:t>
        </w:r>
      </w:smartTag>
      <w:r>
        <w:t xml:space="preserve"> nombre de la firma “Messin S.R.L.” y corre</w:t>
      </w:r>
      <w:r>
        <w:t>s</w:t>
      </w:r>
      <w:r>
        <w:t>pondía a un furgón marca Renault, modelo Trafic, chasis corto T-310 003325, con puerta lateral, color “blanco ch</w:t>
      </w:r>
      <w:r>
        <w:t>a</w:t>
      </w:r>
      <w:r>
        <w:t>pelco”, regi</w:t>
      </w:r>
      <w:r>
        <w:t>s</w:t>
      </w:r>
      <w:r>
        <w:t>trada en el año 1990.</w:t>
      </w:r>
    </w:p>
    <w:p w:rsidR="00224567" w:rsidRDefault="00224567">
      <w:pPr>
        <w:widowControl w:val="0"/>
        <w:tabs>
          <w:tab w:val="left" w:pos="0"/>
        </w:tabs>
        <w:ind w:firstLine="2835"/>
      </w:pPr>
      <w:r>
        <w:t>Tuvo por acreditado que la cami</w:t>
      </w:r>
      <w:r>
        <w:t>o</w:t>
      </w:r>
      <w:r>
        <w:t xml:space="preserve">neta, tras incendiarse, pasó a manos de la compañía de seguros </w:t>
      </w:r>
      <w:r>
        <w:lastRenderedPageBreak/>
        <w:t>“Solvencia” del “Grupo Juncal” y, posteriormente, fue ve</w:t>
      </w:r>
      <w:r>
        <w:t>n</w:t>
      </w:r>
      <w:r>
        <w:t>dida a la agencia “Alejandro Automotores”. Señ</w:t>
      </w:r>
      <w:r>
        <w:t>a</w:t>
      </w:r>
      <w:r>
        <w:t>ló, que en las oficinas de ese come</w:t>
      </w:r>
      <w:r>
        <w:t>r</w:t>
      </w:r>
      <w:r>
        <w:t>cio se encontró, en la mañana del 26 de j</w:t>
      </w:r>
      <w:r>
        <w:t>u</w:t>
      </w:r>
      <w:r>
        <w:t>lio de 1994, varias constancias donde aparecía el nombre de Carlos Alberto Telleldín como comprador del vehículo en cuestión, quién lo adquirió bajo el seud</w:t>
      </w:r>
      <w:r>
        <w:t>ó</w:t>
      </w:r>
      <w:r>
        <w:t>nimo de “Teccedin”.</w:t>
      </w:r>
    </w:p>
    <w:p w:rsidR="00224567" w:rsidRDefault="00224567">
      <w:pPr>
        <w:widowControl w:val="0"/>
        <w:tabs>
          <w:tab w:val="left" w:pos="0"/>
        </w:tabs>
        <w:ind w:firstLine="2835"/>
      </w:pPr>
      <w:r>
        <w:t>Además, dijo que la camioneta fue ll</w:t>
      </w:r>
      <w:r>
        <w:t>e</w:t>
      </w:r>
      <w:r>
        <w:t>vada desde la agencia de autos hasta el domicilio de Gu</w:t>
      </w:r>
      <w:r>
        <w:t>i</w:t>
      </w:r>
      <w:r>
        <w:t>llermo Cotoras, permaneciendo allí estacionada entre los días 2 y 4 de julio de 1994. En esos días, sostuvo el fi</w:t>
      </w:r>
      <w:r>
        <w:t>s</w:t>
      </w:r>
      <w:r>
        <w:t>cal, en horas de la noche, Guillermo Cotoras, Hugo A</w:t>
      </w:r>
      <w:r>
        <w:t>n</w:t>
      </w:r>
      <w:r>
        <w:t>tonio Pérez, Carlos Alberto Telleldín y Ana María Boragni extr</w:t>
      </w:r>
      <w:r>
        <w:t>a</w:t>
      </w:r>
      <w:r>
        <w:t>jeron el motor de la unidad y, los últimos dos, lo trasl</w:t>
      </w:r>
      <w:r>
        <w:t>a</w:t>
      </w:r>
      <w:r>
        <w:t>daron hasta la calle República 107 de Villa B</w:t>
      </w:r>
      <w:r>
        <w:t>a</w:t>
      </w:r>
      <w:r>
        <w:t>llester, en el baúl del automóvil Ford Escort de la nombrada. Hasta aquí, sostuvo el fiscal, lo poco que se pudo saber acerca del “motor quemado de Messin”.</w:t>
      </w:r>
    </w:p>
    <w:p w:rsidR="00224567" w:rsidRDefault="00224567">
      <w:pPr>
        <w:widowControl w:val="0"/>
        <w:tabs>
          <w:tab w:val="left" w:pos="0"/>
        </w:tabs>
        <w:ind w:firstLine="2835"/>
      </w:pPr>
      <w:r>
        <w:t>Respecto de la carrocería de la cami</w:t>
      </w:r>
      <w:r>
        <w:t>o</w:t>
      </w:r>
      <w:r>
        <w:t>neta, afirmó, pudo determinarse que permaneció en la e</w:t>
      </w:r>
      <w:r>
        <w:t>s</w:t>
      </w:r>
      <w:r>
        <w:lastRenderedPageBreak/>
        <w:t>quina del domicilio de Guillermo Cotoras hasta que fue trasladada a las cercanías del taller de Ariel Nitzcaner, de donde fue retirada, con ce</w:t>
      </w:r>
      <w:r>
        <w:t>r</w:t>
      </w:r>
      <w:r>
        <w:t>teza, el 7 de julio de 1994 por Alberto Chueco -gruero contratado por Ana María Bora</w:t>
      </w:r>
      <w:r>
        <w:t>g</w:t>
      </w:r>
      <w:r>
        <w:t>ni- quien la conduciría hasta un desarmadero de automóv</w:t>
      </w:r>
      <w:r>
        <w:t>i</w:t>
      </w:r>
      <w:r>
        <w:t>les perteneciente a A</w:t>
      </w:r>
      <w:r>
        <w:t>n</w:t>
      </w:r>
      <w:r>
        <w:t xml:space="preserve">tonio Avelino Agüero, ubicado en </w:t>
      </w:r>
      <w:smartTag w:uri="urn:schemas-microsoft-com:office:smarttags" w:element="PersonName">
        <w:smartTagPr>
          <w:attr w:name="ProductID" w:val="la Ruta Nacional"/>
        </w:smartTagPr>
        <w:r>
          <w:t>la Ruta Nacional</w:t>
        </w:r>
      </w:smartTag>
      <w:r>
        <w:t xml:space="preserve"> nº 8.</w:t>
      </w:r>
    </w:p>
    <w:p w:rsidR="00224567" w:rsidRDefault="00224567">
      <w:pPr>
        <w:widowControl w:val="0"/>
        <w:tabs>
          <w:tab w:val="left" w:pos="0"/>
        </w:tabs>
        <w:ind w:firstLine="2835"/>
      </w:pPr>
      <w:r>
        <w:t>Cuál fue el derrotero que siguió la carrocería de la camioneta de “Messin”, reconoció el fi</w:t>
      </w:r>
      <w:r>
        <w:t>s</w:t>
      </w:r>
      <w:r>
        <w:t>cal, es todavía una incógnita, ya que el relato c</w:t>
      </w:r>
      <w:r>
        <w:t>o</w:t>
      </w:r>
      <w:r>
        <w:t>mienza a plagarse de dudas, imprecisiones, mentiras y contradicci</w:t>
      </w:r>
      <w:r>
        <w:t>o</w:t>
      </w:r>
      <w:r>
        <w:t>nes acerca de lo acontecido con ella, adjudicando todo ello a la intención  deliberada del imputado Telle</w:t>
      </w:r>
      <w:r>
        <w:t>l</w:t>
      </w:r>
      <w:r>
        <w:t>dín de ocultar la verdad de lo ocurrido.</w:t>
      </w:r>
    </w:p>
    <w:p w:rsidR="00224567" w:rsidRDefault="00224567">
      <w:pPr>
        <w:widowControl w:val="0"/>
        <w:tabs>
          <w:tab w:val="left" w:pos="0"/>
        </w:tabs>
        <w:ind w:firstLine="2835"/>
      </w:pPr>
      <w:r>
        <w:t>La única realidad incontrastable, so</w:t>
      </w:r>
      <w:r>
        <w:t>s</w:t>
      </w:r>
      <w:r>
        <w:t>tuvo, es que ese motor estuvo en manos de Telleldín ocho días antes del atentado e impulsó un veh</w:t>
      </w:r>
      <w:r>
        <w:t>í</w:t>
      </w:r>
      <w:r>
        <w:t>culo que, cargado de explosivos, demolió el edificio de la mutual judía.</w:t>
      </w:r>
    </w:p>
    <w:p w:rsidR="00224567" w:rsidRDefault="00224567">
      <w:pPr>
        <w:widowControl w:val="0"/>
        <w:tabs>
          <w:tab w:val="left" w:pos="0"/>
        </w:tabs>
        <w:ind w:firstLine="2835"/>
      </w:pPr>
      <w:r>
        <w:t>Si bien es importante conocer con ce</w:t>
      </w:r>
      <w:r>
        <w:t>r</w:t>
      </w:r>
      <w:r>
        <w:t>teza en qué carrocería fue finalmente colocado antes de estallar, aclaró que no es un hecho determinante de la e</w:t>
      </w:r>
      <w:r>
        <w:t>m</w:t>
      </w:r>
      <w:r>
        <w:lastRenderedPageBreak/>
        <w:t>presa delictual, debido a que, en definitiva, la carroc</w:t>
      </w:r>
      <w:r>
        <w:t>e</w:t>
      </w:r>
      <w:r>
        <w:t>ría resultó ser el andamiaje, o más bien, la carcaza en la cual el motor propulsor fue instalado p</w:t>
      </w:r>
      <w:r>
        <w:t>a</w:t>
      </w:r>
      <w:r>
        <w:t>ra llevar adelante la masacre.</w:t>
      </w:r>
    </w:p>
    <w:p w:rsidR="00224567" w:rsidRDefault="00224567">
      <w:pPr>
        <w:widowControl w:val="0"/>
        <w:tabs>
          <w:tab w:val="left" w:pos="0"/>
        </w:tabs>
        <w:ind w:firstLine="2835"/>
      </w:pPr>
      <w:r>
        <w:t>No obstante, afirmó que el chasis de la camioneta utilizada como cochebomba no pudo ser ident</w:t>
      </w:r>
      <w:r>
        <w:t>i</w:t>
      </w:r>
      <w:r>
        <w:t>ficado “no por fallas de la instrucción” que en este a</w:t>
      </w:r>
      <w:r>
        <w:t>s</w:t>
      </w:r>
      <w:r>
        <w:t>pecto calificó de “incansable”, sino porque Telleldín y Boragni se encargaron de ocultarlo “aún hasta el día de hoy”.</w:t>
      </w:r>
    </w:p>
    <w:p w:rsidR="00224567" w:rsidRDefault="00224567">
      <w:pPr>
        <w:widowControl w:val="0"/>
        <w:tabs>
          <w:tab w:val="left" w:pos="0"/>
        </w:tabs>
        <w:ind w:firstLine="2835"/>
      </w:pPr>
      <w:r>
        <w:t>Señaló que se determinó que ese motor y carrocería no fueron reparados, ni armados en el t</w:t>
      </w:r>
      <w:r>
        <w:t>a</w:t>
      </w:r>
      <w:r>
        <w:t>ller de Ariel Nitzcaner antes de la explosión, tal como lo afirmaron Telleldín y Boragni. Dijo estar convencido de que Telleldín, con pleno y cabal conocimiento de lo que realmente había acontecido, sostuvo falsamente en todo m</w:t>
      </w:r>
      <w:r>
        <w:t>o</w:t>
      </w:r>
      <w:r>
        <w:t>mento haber arm</w:t>
      </w:r>
      <w:r>
        <w:t>a</w:t>
      </w:r>
      <w:r>
        <w:t xml:space="preserve">do en el taller de Nitzcaner la camioneta Trafic que, finalmente, estalló en el edificio de </w:t>
      </w:r>
      <w:smartTag w:uri="urn:schemas-microsoft-com:office:smarttags" w:element="PersonName">
        <w:smartTagPr>
          <w:attr w:name="ProductID" w:val="la A.M"/>
        </w:smartTagPr>
        <w:r>
          <w:t>la A.M</w:t>
        </w:r>
      </w:smartTag>
      <w:r>
        <w:t>.I.A., procurando ocultar el verdadero derrotero segu</w:t>
      </w:r>
      <w:r>
        <w:t>i</w:t>
      </w:r>
      <w:r>
        <w:t>do por el motor quemado desde que fue comprado en “Aleja</w:t>
      </w:r>
      <w:r>
        <w:t>n</w:t>
      </w:r>
      <w:r>
        <w:lastRenderedPageBreak/>
        <w:t>dro Automotores” hasta su hallazgo en el epicentro de la explosión.</w:t>
      </w:r>
    </w:p>
    <w:p w:rsidR="00224567" w:rsidRDefault="00224567">
      <w:pPr>
        <w:widowControl w:val="0"/>
        <w:tabs>
          <w:tab w:val="left" w:pos="0"/>
        </w:tabs>
        <w:ind w:firstLine="2835"/>
      </w:pPr>
      <w:r>
        <w:t>Prueba de ello, sostuvo, resultaron los dichos de Ariel Nitzcaner y Marcelo Fabián Jouce, quienes negaron categóricamente haber arreglado y ensa</w:t>
      </w:r>
      <w:r>
        <w:t>m</w:t>
      </w:r>
      <w:r>
        <w:t>blado la mencionada unidad. Si bien Nitzcaner admitió h</w:t>
      </w:r>
      <w:r>
        <w:t>a</w:t>
      </w:r>
      <w:r>
        <w:t>ber recibido el primer sábado del mes de julio de 1994 en su taller de Ituzaingó 2335, una camioneta Renault Tr</w:t>
      </w:r>
      <w:r>
        <w:t>a</w:t>
      </w:r>
      <w:r>
        <w:t>fic llevada por Telleldín para sustituir el motor y disfraza</w:t>
      </w:r>
      <w:r>
        <w:t>r</w:t>
      </w:r>
      <w:r>
        <w:t>la para la venta, sostuvo el fiscal que ésta en realidad la camioneta propiedad del disc-jockey Pedro Sarap</w:t>
      </w:r>
      <w:r>
        <w:t>u</w:t>
      </w:r>
      <w:r>
        <w:t xml:space="preserve">ra, que había sido sustraída durante el fin de semana inmediato anterior al lunes 4 de julio. Sobre el particular, hizo mención a los dichos de Pedro Sarapura, Marcelo Fabián Jouce, Pablo de </w:t>
      </w:r>
      <w:smartTag w:uri="urn:schemas-microsoft-com:office:smarttags" w:element="PersonName">
        <w:smartTagPr>
          <w:attr w:name="ProductID" w:val="La Cruz Ar￩valo"/>
        </w:smartTagPr>
        <w:r>
          <w:t>la Cruz Arévalo</w:t>
        </w:r>
      </w:smartTag>
      <w:r>
        <w:t xml:space="preserve">, Manuel Iglesias, María Magdalena </w:t>
      </w:r>
      <w:r>
        <w:rPr>
          <w:lang w:val="es-ES_tradnl"/>
        </w:rPr>
        <w:t>Dalbagni</w:t>
      </w:r>
      <w:r>
        <w:t>, Rodrigo Yánez y Raúl Alberto Puente, como así también las constancias de la causa nº 1214, “N.N. s/hurto automotor”, glosada a fs. 10.537 y el resu</w:t>
      </w:r>
      <w:r>
        <w:t>l</w:t>
      </w:r>
      <w:r>
        <w:t>tado del allanamiento del inmueble donde funcionaba el t</w:t>
      </w:r>
      <w:r>
        <w:t>a</w:t>
      </w:r>
      <w:r>
        <w:t>ller de Nit</w:t>
      </w:r>
      <w:r>
        <w:t>z</w:t>
      </w:r>
      <w:r>
        <w:t>caner.</w:t>
      </w:r>
    </w:p>
    <w:p w:rsidR="00224567" w:rsidRDefault="00224567">
      <w:pPr>
        <w:widowControl w:val="0"/>
        <w:tabs>
          <w:tab w:val="left" w:pos="0"/>
        </w:tabs>
        <w:ind w:firstLine="2835"/>
      </w:pPr>
      <w:r>
        <w:t>Asimismo, manifestó que la falsa ve</w:t>
      </w:r>
      <w:r>
        <w:t>r</w:t>
      </w:r>
      <w:r>
        <w:lastRenderedPageBreak/>
        <w:t>sión de Carlos Alberto Telleldín en punto a la utiliz</w:t>
      </w:r>
      <w:r>
        <w:t>a</w:t>
      </w:r>
      <w:r>
        <w:t>ción de la “carrocería de Sarapura” para el armado de la cami</w:t>
      </w:r>
      <w:r>
        <w:t>o</w:t>
      </w:r>
      <w:r>
        <w:t>neta utilizada en el atentado que continuó so</w:t>
      </w:r>
      <w:r>
        <w:t>s</w:t>
      </w:r>
      <w:r>
        <w:t>teniendo en el debate, se advierte también al confrontar sus dichos con los peritajes de las chapas enco</w:t>
      </w:r>
      <w:r>
        <w:t>n</w:t>
      </w:r>
      <w:r>
        <w:t>tradas en el lugar de la explosión; ello puesto que, dijo, éstas no se corre</w:t>
      </w:r>
      <w:r>
        <w:t>s</w:t>
      </w:r>
      <w:r>
        <w:t>ponden técnicamente con la “c</w:t>
      </w:r>
      <w:r>
        <w:t>a</w:t>
      </w:r>
      <w:r>
        <w:t>rrocería de Sarapura”.</w:t>
      </w:r>
    </w:p>
    <w:p w:rsidR="00224567" w:rsidRDefault="00224567">
      <w:pPr>
        <w:widowControl w:val="0"/>
        <w:tabs>
          <w:tab w:val="left" w:pos="0"/>
        </w:tabs>
        <w:ind w:firstLine="2835"/>
      </w:pPr>
      <w:r>
        <w:t>Adujo, en igual sentido, que dicho vehículo no tenía puerta lateral y era modelo 1991, mie</w:t>
      </w:r>
      <w:r>
        <w:t>n</w:t>
      </w:r>
      <w:r>
        <w:t>tras que los restos de chapas hallados en el lugar del h</w:t>
      </w:r>
      <w:r>
        <w:t>e</w:t>
      </w:r>
      <w:r>
        <w:t xml:space="preserve">cho corresponden a una camioneta de la serie </w:t>
      </w:r>
      <w:smartTag w:uri="urn:schemas-microsoft-com:office:smarttags" w:element="metricconverter">
        <w:smartTagPr>
          <w:attr w:name="ProductID" w:val="1987 a"/>
        </w:smartTagPr>
        <w:r>
          <w:t>1987 a</w:t>
        </w:r>
      </w:smartTag>
      <w:r>
        <w:t xml:space="preserve"> 1989, con puerta lateral (al respecto, citó los testimonios de los empleados de la firma Renault, Fernando Carlos Cing</w:t>
      </w:r>
      <w:r>
        <w:t>o</w:t>
      </w:r>
      <w:r>
        <w:t>lani, Luis Omar Gariboldi, Justino Acosta, Ricardo Eduardo Rodríguez Arvas, Diego Eduardo Ricagno, Hugo Ricardo P</w:t>
      </w:r>
      <w:r>
        <w:t>é</w:t>
      </w:r>
      <w:r>
        <w:t>rez, José Luis Alberto Rosetti, Eduardo Magnano, José Luis Martilotta, Jorge Florencio Valdéz, Daniel Galetto, Be</w:t>
      </w:r>
      <w:r>
        <w:t>r</w:t>
      </w:r>
      <w:r>
        <w:t>nardo Salcedo, Daniel Balián y Jorge Mam</w:t>
      </w:r>
      <w:r>
        <w:t>o</w:t>
      </w:r>
      <w:r>
        <w:t>ne).</w:t>
      </w:r>
    </w:p>
    <w:p w:rsidR="00224567" w:rsidRDefault="00224567">
      <w:pPr>
        <w:widowControl w:val="0"/>
        <w:tabs>
          <w:tab w:val="left" w:pos="0"/>
        </w:tabs>
        <w:ind w:firstLine="2835"/>
      </w:pPr>
      <w:r>
        <w:t>Dos hechos más, explicó, revelan que el utilitario armado como cochebomba nunca pasó por el t</w:t>
      </w:r>
      <w:r>
        <w:t>a</w:t>
      </w:r>
      <w:r>
        <w:lastRenderedPageBreak/>
        <w:t>ller de Nitzcaner. Mencionó, en primer lugar, la convers</w:t>
      </w:r>
      <w:r>
        <w:t>a</w:t>
      </w:r>
      <w:r>
        <w:t>ción entre Ana María Boragni y Ariel Nitzcaner del 27 de julio de 1994, dos días después de la aparición del motor, en la cual ésta explicó con detalles lo que había sucedido con “esa Trafic”, al tiempo que reconoció que la había llevado a lo de “dije”, haciendo alusión –a entender del fiscal- a Guille, apócope con el que llamaban a Cotoras.</w:t>
      </w:r>
    </w:p>
    <w:p w:rsidR="00224567" w:rsidRDefault="00224567">
      <w:pPr>
        <w:widowControl w:val="0"/>
        <w:tabs>
          <w:tab w:val="left" w:pos="0"/>
        </w:tabs>
        <w:ind w:firstLine="2835"/>
      </w:pPr>
      <w:r>
        <w:t>El segundo, que “terminó por conve</w:t>
      </w:r>
      <w:r>
        <w:t>n</w:t>
      </w:r>
      <w:r>
        <w:t>cer de la deliberada intención de Telleldín de desviar a los investigadores”, fue la circunstancia señalada por Nit</w:t>
      </w:r>
      <w:r>
        <w:t>z</w:t>
      </w:r>
      <w:r>
        <w:t>caner y Jouce, al asegurar que Telleldín, una vez deten</w:t>
      </w:r>
      <w:r>
        <w:t>i</w:t>
      </w:r>
      <w:r>
        <w:t>do, les había ofrecido un automóvil a cambio de que ind</w:t>
      </w:r>
      <w:r>
        <w:t>i</w:t>
      </w:r>
      <w:r>
        <w:t>caran ante la instrucción que habían arreglado la “Trafic quem</w:t>
      </w:r>
      <w:r>
        <w:t>a</w:t>
      </w:r>
      <w:r>
        <w:t>da”.</w:t>
      </w:r>
    </w:p>
    <w:p w:rsidR="00224567" w:rsidRDefault="00224567">
      <w:pPr>
        <w:widowControl w:val="0"/>
        <w:tabs>
          <w:tab w:val="left" w:pos="0"/>
        </w:tabs>
        <w:ind w:firstLine="2835"/>
      </w:pPr>
      <w:r>
        <w:t>Entonces ¿qué persona que se diga inocente se le ocurriría frente a semejante crimen fa</w:t>
      </w:r>
      <w:r>
        <w:t>l</w:t>
      </w:r>
      <w:r>
        <w:t>sear la verdad de lo ocurrido o mentir en algo a la instru</w:t>
      </w:r>
      <w:r>
        <w:t>c</w:t>
      </w:r>
      <w:r>
        <w:t>ción?, se preguntó el fiscal.</w:t>
      </w:r>
    </w:p>
    <w:p w:rsidR="00224567" w:rsidRDefault="00224567">
      <w:pPr>
        <w:widowControl w:val="0"/>
        <w:tabs>
          <w:tab w:val="left" w:pos="0"/>
        </w:tabs>
        <w:ind w:firstLine="2835"/>
      </w:pPr>
      <w:r>
        <w:t>Relató que el intento de Carlos Albe</w:t>
      </w:r>
      <w:r>
        <w:t>r</w:t>
      </w:r>
      <w:r>
        <w:t>to Telleldín por confundir la investigación, lo llevó i</w:t>
      </w:r>
      <w:r>
        <w:t>n</w:t>
      </w:r>
      <w:r>
        <w:t>clusive a acusar falsamente a la fiscalía de haber coa</w:t>
      </w:r>
      <w:r>
        <w:t>c</w:t>
      </w:r>
      <w:r>
        <w:lastRenderedPageBreak/>
        <w:t>cionado a Ariel Nitzcaner para que declarara en su c</w:t>
      </w:r>
      <w:r>
        <w:t>o</w:t>
      </w:r>
      <w:r>
        <w:t>ntra; circunstancia que, refirió, fue negada por este último en el debate.</w:t>
      </w:r>
    </w:p>
    <w:p w:rsidR="00224567" w:rsidRDefault="00224567">
      <w:pPr>
        <w:widowControl w:val="0"/>
        <w:tabs>
          <w:tab w:val="left" w:pos="0"/>
        </w:tabs>
        <w:ind w:firstLine="2835"/>
      </w:pPr>
      <w:r>
        <w:t>La falsa acusación contra los int</w:t>
      </w:r>
      <w:r>
        <w:t>e</w:t>
      </w:r>
      <w:r>
        <w:t>grantes del Ministerio Público Fiscal, indicó, fue efe</w:t>
      </w:r>
      <w:r>
        <w:t>c</w:t>
      </w:r>
      <w:r>
        <w:t>tuada en el marco de un incidente de recusación luego r</w:t>
      </w:r>
      <w:r>
        <w:t>e</w:t>
      </w:r>
      <w:r>
        <w:t>chazado por el tribunal. Y aclaró en punto a la alegada coacción que “las circunstancias apunt</w:t>
      </w:r>
      <w:r>
        <w:t>a</w:t>
      </w:r>
      <w:r>
        <w:t>das en modo alguno poseen entidad suficiente como para dar lugar a las caus</w:t>
      </w:r>
      <w:r>
        <w:t>a</w:t>
      </w:r>
      <w:r>
        <w:t>les de recusación apuntadas, máxime si tenemos en cuenta que fue el propio Nitzcaner quien al declarar ante el tr</w:t>
      </w:r>
      <w:r>
        <w:t>i</w:t>
      </w:r>
      <w:r>
        <w:t>bunal el 20 de junio pasado indicó que siempre fue veraz en sus dichos y que no declaró a cambio de promesa alg</w:t>
      </w:r>
      <w:r>
        <w:t>u</w:t>
      </w:r>
      <w:r>
        <w:t>na”.</w:t>
      </w:r>
    </w:p>
    <w:p w:rsidR="00224567" w:rsidRDefault="00224567">
      <w:pPr>
        <w:widowControl w:val="0"/>
        <w:tabs>
          <w:tab w:val="left" w:pos="0"/>
        </w:tabs>
        <w:ind w:firstLine="2835"/>
      </w:pPr>
      <w:r>
        <w:t>A su juicio, quedó claro que no fu</w:t>
      </w:r>
      <w:r>
        <w:t>e</w:t>
      </w:r>
      <w:r>
        <w:t>ron los fiscales quienes intentaron modificar los dichos de Nit</w:t>
      </w:r>
      <w:r>
        <w:t>z</w:t>
      </w:r>
      <w:r>
        <w:t>caner, sino que fue Telleldín quien quiso hacerlo para que aquél afirmara una falsedad, consi</w:t>
      </w:r>
      <w:r>
        <w:t>s</w:t>
      </w:r>
      <w:r>
        <w:t>tente en que había arreglado el “motor de Me</w:t>
      </w:r>
      <w:r>
        <w:t>s</w:t>
      </w:r>
      <w:r>
        <w:t>sin”.</w:t>
      </w:r>
    </w:p>
    <w:p w:rsidR="00224567" w:rsidRDefault="00224567">
      <w:pPr>
        <w:widowControl w:val="0"/>
        <w:tabs>
          <w:tab w:val="left" w:pos="0"/>
        </w:tabs>
        <w:ind w:firstLine="2835"/>
      </w:pPr>
      <w:r>
        <w:t>La modalidad de Carlos Alberto Telle</w:t>
      </w:r>
      <w:r>
        <w:t>l</w:t>
      </w:r>
      <w:r>
        <w:lastRenderedPageBreak/>
        <w:t>dín de acusar a los integrantes del Ministerio Público Fiscal de coaccionar o ofrecer dinero a personas para i</w:t>
      </w:r>
      <w:r>
        <w:t>n</w:t>
      </w:r>
      <w:r>
        <w:t>volucrarlas en el proceso, sostuvo, fue mantenida a lo largo del proceso -ayudado por su concubina Boragni- cua</w:t>
      </w:r>
      <w:r>
        <w:t>n</w:t>
      </w:r>
      <w:r>
        <w:t>do alguien afirmaba o negaba algo en el sumario de modo que pudiera ponerse al descubierto su mend</w:t>
      </w:r>
      <w:r>
        <w:t>a</w:t>
      </w:r>
      <w:r>
        <w:t>cidad.</w:t>
      </w:r>
    </w:p>
    <w:p w:rsidR="00224567" w:rsidRDefault="00224567">
      <w:pPr>
        <w:widowControl w:val="0"/>
        <w:tabs>
          <w:tab w:val="left" w:pos="0"/>
        </w:tabs>
        <w:ind w:firstLine="2835"/>
      </w:pPr>
      <w:r>
        <w:t>Explicó que idéntica situación, se r</w:t>
      </w:r>
      <w:r>
        <w:t>e</w:t>
      </w:r>
      <w:r>
        <w:t>pitió con Guillermo Cotoras en el año 1996, puesto que é</w:t>
      </w:r>
      <w:r>
        <w:t>s</w:t>
      </w:r>
      <w:r>
        <w:t>te podía llegar a decir la verdad y ponerlo al descubie</w:t>
      </w:r>
      <w:r>
        <w:t>r</w:t>
      </w:r>
      <w:r>
        <w:t>to, en punto al verdadero derrotero del motor de la “Tr</w:t>
      </w:r>
      <w:r>
        <w:t>a</w:t>
      </w:r>
      <w:r>
        <w:t>fic de Messin” que esa noche había extraído en su t</w:t>
      </w:r>
      <w:r>
        <w:t>a</w:t>
      </w:r>
      <w:r>
        <w:t xml:space="preserve">ller. </w:t>
      </w:r>
    </w:p>
    <w:p w:rsidR="00224567" w:rsidRDefault="00224567">
      <w:pPr>
        <w:widowControl w:val="0"/>
        <w:tabs>
          <w:tab w:val="left" w:pos="0"/>
        </w:tabs>
        <w:ind w:firstLine="2835"/>
      </w:pPr>
      <w:r>
        <w:t>Al respecto, sostuvo que la circun</w:t>
      </w:r>
      <w:r>
        <w:t>s</w:t>
      </w:r>
      <w:r>
        <w:t>tancia que se desprendía de la conversación entre Ana M</w:t>
      </w:r>
      <w:r>
        <w:t>a</w:t>
      </w:r>
      <w:r>
        <w:t>ría Boragni y Víctor Stinfale, donde ésta le dijo que los fiscales ofrecían dinero a Guillermo Cotoras para modif</w:t>
      </w:r>
      <w:r>
        <w:t>i</w:t>
      </w:r>
      <w:r>
        <w:t>car su versión -“lamentablemente para la estrategia de T</w:t>
      </w:r>
      <w:r>
        <w:t>e</w:t>
      </w:r>
      <w:r>
        <w:t>lleldín y Boragni”-, fue negada categóricamente por el propio Cotoras cuando expresó que los fisc</w:t>
      </w:r>
      <w:r>
        <w:t>a</w:t>
      </w:r>
      <w:r>
        <w:t>les, a quienes aclaró que había visto una sola vez, jamás le ofrecieron dinero o algo ilícito durante la tr</w:t>
      </w:r>
      <w:r>
        <w:t>a</w:t>
      </w:r>
      <w:r>
        <w:t>mitación del proceso.</w:t>
      </w:r>
    </w:p>
    <w:p w:rsidR="00224567" w:rsidRDefault="00224567">
      <w:pPr>
        <w:widowControl w:val="0"/>
        <w:tabs>
          <w:tab w:val="left" w:pos="0"/>
        </w:tabs>
        <w:ind w:firstLine="2835"/>
      </w:pPr>
      <w:r>
        <w:t>Por ello, recalcó que la investig</w:t>
      </w:r>
      <w:r>
        <w:t>a</w:t>
      </w:r>
      <w:r>
        <w:t xml:space="preserve">ción </w:t>
      </w:r>
      <w:r>
        <w:lastRenderedPageBreak/>
        <w:t>sobre aquellos sucesos se archivó por ause</w:t>
      </w:r>
      <w:r>
        <w:t>n</w:t>
      </w:r>
      <w:r>
        <w:t>cia de delito.</w:t>
      </w:r>
    </w:p>
    <w:p w:rsidR="00224567" w:rsidRDefault="00224567">
      <w:pPr>
        <w:widowControl w:val="0"/>
        <w:tabs>
          <w:tab w:val="left" w:pos="0"/>
        </w:tabs>
        <w:ind w:firstLine="2835"/>
      </w:pPr>
      <w:r>
        <w:t xml:space="preserve">En suma, el fiscal consideró que los dichos de Ariel Nitzcaner, Marcelo Fabián Jouce y Pablo Mario de </w:t>
      </w:r>
      <w:smartTag w:uri="urn:schemas-microsoft-com:office:smarttags" w:element="PersonName">
        <w:smartTagPr>
          <w:attr w:name="ProductID" w:val="La Cruz Ar￩valo"/>
        </w:smartTagPr>
        <w:r>
          <w:t>la Cruz Arévalo</w:t>
        </w:r>
      </w:smartTag>
      <w:r>
        <w:t>, las características de la cami</w:t>
      </w:r>
      <w:r>
        <w:t>o</w:t>
      </w:r>
      <w:r>
        <w:t>neta que explotó en el atentado, que, reiteró, no se co</w:t>
      </w:r>
      <w:r>
        <w:t>m</w:t>
      </w:r>
      <w:r>
        <w:t>padecen con la que fue propiedad de Sarapura, y los inte</w:t>
      </w:r>
      <w:r>
        <w:t>n</w:t>
      </w:r>
      <w:r>
        <w:t>tos de Carlos Alberto Telleldín de cambiar las declaraci</w:t>
      </w:r>
      <w:r>
        <w:t>o</w:t>
      </w:r>
      <w:r>
        <w:t>nes de los “talleristas”, convencen en reafirmar que T</w:t>
      </w:r>
      <w:r>
        <w:t>e</w:t>
      </w:r>
      <w:r>
        <w:t>lleldín nunca reparó “el motor quemado en lo de Nit</w:t>
      </w:r>
      <w:r>
        <w:t>z</w:t>
      </w:r>
      <w:r>
        <w:t>caner”, a quien involucró deliberadamente en el proceso para desviar la pe</w:t>
      </w:r>
      <w:r>
        <w:t>s</w:t>
      </w:r>
      <w:r>
        <w:t>quisa desde sus inicios.</w:t>
      </w:r>
    </w:p>
    <w:p w:rsidR="00224567" w:rsidRDefault="00224567">
      <w:pPr>
        <w:widowControl w:val="0"/>
        <w:tabs>
          <w:tab w:val="left" w:pos="0"/>
        </w:tabs>
        <w:ind w:firstLine="2835"/>
      </w:pPr>
      <w:r>
        <w:t>Manifestó que, aún hoy, Carlos Albe</w:t>
      </w:r>
      <w:r>
        <w:t>r</w:t>
      </w:r>
      <w:r>
        <w:t>to Telleldín y Ana María Boragni “siguen ocu</w:t>
      </w:r>
      <w:r>
        <w:t>l</w:t>
      </w:r>
      <w:r>
        <w:t>tando adonde fue el motor de “Messin” después que éstos se lo llevaran de lo de Cotoras”.</w:t>
      </w:r>
    </w:p>
    <w:p w:rsidR="00224567" w:rsidRDefault="00224567">
      <w:pPr>
        <w:widowControl w:val="0"/>
        <w:tabs>
          <w:tab w:val="left" w:pos="0"/>
        </w:tabs>
        <w:ind w:firstLine="2835"/>
      </w:pPr>
      <w:r>
        <w:t>Por otra parte, sostuvo que d</w:t>
      </w:r>
      <w:r>
        <w:t>u</w:t>
      </w:r>
      <w:r>
        <w:t>rante la primer semana de julio de 1994 hubo, por lo menos, “una Trafic más en manos de Telleldín”.</w:t>
      </w:r>
    </w:p>
    <w:p w:rsidR="00224567" w:rsidRDefault="00224567">
      <w:pPr>
        <w:widowControl w:val="0"/>
        <w:tabs>
          <w:tab w:val="left" w:pos="0"/>
        </w:tabs>
        <w:ind w:firstLine="2835"/>
      </w:pPr>
      <w:r>
        <w:t>Fundó su afirmación en los dichos de Hugo Antonio Pérez, cohabitante de la calle Rep</w:t>
      </w:r>
      <w:r>
        <w:t>ú</w:t>
      </w:r>
      <w:r>
        <w:t xml:space="preserve">blica 107, </w:t>
      </w:r>
      <w:r>
        <w:lastRenderedPageBreak/>
        <w:t>quien en su declaración indagatoria de fs. 7849 indicó h</w:t>
      </w:r>
      <w:r>
        <w:t>a</w:t>
      </w:r>
      <w:r>
        <w:t>ber visto una Trafic dos o tres días antes que Telleldín la vendiera; esto es, el 7 u 8 de julio de 1994.</w:t>
      </w:r>
    </w:p>
    <w:p w:rsidR="00224567" w:rsidRDefault="00224567">
      <w:pPr>
        <w:widowControl w:val="0"/>
        <w:tabs>
          <w:tab w:val="left" w:pos="0"/>
        </w:tabs>
        <w:ind w:firstLine="2835"/>
      </w:pPr>
      <w:r>
        <w:t>Así, el fiscal argumentó que si se atiende al hecho de que la “camioneta de Sarapura” e</w:t>
      </w:r>
      <w:r>
        <w:t>s</w:t>
      </w:r>
      <w:r>
        <w:t>tuvo en repar</w:t>
      </w:r>
      <w:r>
        <w:t>a</w:t>
      </w:r>
      <w:r>
        <w:t>ciones en el taller de Ariel Nitzcaner entre el 2 y el 9 de julio de 1994 y que la de “Messin” llegó al t</w:t>
      </w:r>
      <w:r>
        <w:t>a</w:t>
      </w:r>
      <w:r>
        <w:t>ller de Guillermo Cotoras el 4 de ese mes y año, cabe co</w:t>
      </w:r>
      <w:r>
        <w:t>n</w:t>
      </w:r>
      <w:r>
        <w:t xml:space="preserve">cluir que </w:t>
      </w:r>
      <w:smartTag w:uri="urn:schemas-microsoft-com:office:smarttags" w:element="PersonName">
        <w:smartTagPr>
          <w:attr w:name="ProductID" w:val="la Trafic"/>
        </w:smartTagPr>
        <w:r>
          <w:t>la Trafic</w:t>
        </w:r>
      </w:smartTag>
      <w:r>
        <w:t xml:space="preserve"> vista por Pérez el 7 u 8 de ese mes, no era ninguna de esas dos.</w:t>
      </w:r>
    </w:p>
    <w:p w:rsidR="00224567" w:rsidRDefault="00224567">
      <w:pPr>
        <w:widowControl w:val="0"/>
        <w:tabs>
          <w:tab w:val="left" w:pos="0"/>
        </w:tabs>
        <w:ind w:firstLine="2835"/>
      </w:pPr>
      <w:r>
        <w:t>Se preguntó, entonces, ¿a qué Trafic se refirió Pérez? Ese extremo, afirmó, se desconoce porque Carlos Alberto Telleldín y su mujer Ana María Boragni se han encargado de ocultarlo.</w:t>
      </w:r>
    </w:p>
    <w:p w:rsidR="00224567" w:rsidRDefault="00224567">
      <w:pPr>
        <w:widowControl w:val="0"/>
        <w:tabs>
          <w:tab w:val="left" w:pos="0"/>
        </w:tabs>
        <w:ind w:firstLine="2835"/>
      </w:pPr>
      <w:r>
        <w:t>Lo que sí se sabe, señaló, es que mientras habían encargado a Ariel Nitzcaner la repar</w:t>
      </w:r>
      <w:r>
        <w:t>a</w:t>
      </w:r>
      <w:r>
        <w:t>ción de la “Trafic de Sarapura”, Telleldín y Boragni continu</w:t>
      </w:r>
      <w:r>
        <w:t>a</w:t>
      </w:r>
      <w:r>
        <w:t>ron preparando la escena, mediante la publicación en los clasificados del diario Clarín del 9 y 10 de julio de 1994 de una camioneta Renault Trafic, mod</w:t>
      </w:r>
      <w:r>
        <w:t>e</w:t>
      </w:r>
      <w:r>
        <w:t>lo 90, corta, por la suma de $ 12.900, dando como referencia el t</w:t>
      </w:r>
      <w:r>
        <w:t>e</w:t>
      </w:r>
      <w:r>
        <w:t>léfono 768-</w:t>
      </w:r>
      <w:r>
        <w:lastRenderedPageBreak/>
        <w:t>0902.</w:t>
      </w:r>
    </w:p>
    <w:p w:rsidR="00224567" w:rsidRDefault="00224567">
      <w:pPr>
        <w:widowControl w:val="0"/>
        <w:tabs>
          <w:tab w:val="left" w:pos="0"/>
        </w:tabs>
        <w:ind w:firstLine="2835"/>
      </w:pPr>
      <w:r>
        <w:t>Sostuvo el fiscal que los nombrados publicaron para la venta una camioneta que, como quedó d</w:t>
      </w:r>
      <w:r>
        <w:t>e</w:t>
      </w:r>
      <w:r>
        <w:t>mostrado en el debate, carecía de los documentos mínimos para transferir el dominio; circunstancias éstas que, “s</w:t>
      </w:r>
      <w:r>
        <w:t>u</w:t>
      </w:r>
      <w:r>
        <w:t>mada a otras que habrán de explicitarse”, permiten sost</w:t>
      </w:r>
      <w:r>
        <w:t>e</w:t>
      </w:r>
      <w:r>
        <w:t>ner, a su juicio, que la camioneta, cuyo m</w:t>
      </w:r>
      <w:r>
        <w:t>o</w:t>
      </w:r>
      <w:r>
        <w:t>tor fue hallado entre los escombros, “no fue vendida sino entregada al e</w:t>
      </w:r>
      <w:r>
        <w:t>s</w:t>
      </w:r>
      <w:r>
        <w:t>labón siguiente en la cadena de partícipes del hecho t</w:t>
      </w:r>
      <w:r>
        <w:t>e</w:t>
      </w:r>
      <w:r>
        <w:t>rrorista”, con pleno y cabal conocimiento del destino f</w:t>
      </w:r>
      <w:r>
        <w:t>i</w:t>
      </w:r>
      <w:r>
        <w:t>nal que habría de otorgársele.</w:t>
      </w:r>
    </w:p>
    <w:p w:rsidR="00224567" w:rsidRDefault="00224567">
      <w:pPr>
        <w:widowControl w:val="0"/>
        <w:tabs>
          <w:tab w:val="left" w:pos="0"/>
        </w:tabs>
        <w:ind w:firstLine="2835"/>
      </w:pPr>
      <w:r>
        <w:t>Por otra parte, afirmó que la camion</w:t>
      </w:r>
      <w:r>
        <w:t>e</w:t>
      </w:r>
      <w:r>
        <w:t xml:space="preserve">ta Renault Trafic armada por Telleldín, con el motor de la que fue propiedad de “Messin”, ingresó el viernes 15 de julio de </w:t>
      </w:r>
      <w:smartTag w:uri="urn:schemas-microsoft-com:office:smarttags" w:element="metricconverter">
        <w:smartTagPr>
          <w:attr w:name="ProductID" w:val="1994, a"/>
        </w:smartTagPr>
        <w:r>
          <w:t>1994, a</w:t>
        </w:r>
      </w:smartTag>
      <w:r>
        <w:t xml:space="preserve"> las 18.02, a la playa de est</w:t>
      </w:r>
      <w:r>
        <w:t>a</w:t>
      </w:r>
      <w:r>
        <w:t>cionamiento “Jet Parking”, ubicada en la calle Azcuénaga 952 de esta ciudad, co</w:t>
      </w:r>
      <w:r>
        <w:t>n</w:t>
      </w:r>
      <w:r>
        <w:t>ducida por una persona que dijo llamarse Carlos Martínez. Que la camioneta en cuestión detuvo su marcha en la entrada de la playa, con dos ruedas s</w:t>
      </w:r>
      <w:r>
        <w:t>o</w:t>
      </w:r>
      <w:r>
        <w:t>bre la calzada y dos sobre la vereda y que frente a la dificultad del co</w:t>
      </w:r>
      <w:r>
        <w:t>n</w:t>
      </w:r>
      <w:r>
        <w:lastRenderedPageBreak/>
        <w:t>ductor para ponerla en movimiento, otra persona que pr</w:t>
      </w:r>
      <w:r>
        <w:t>e</w:t>
      </w:r>
      <w:r>
        <w:t>senció la maniobra la puso en marcha y la e</w:t>
      </w:r>
      <w:r>
        <w:t>s</w:t>
      </w:r>
      <w:r>
        <w:t>tacionó con la trompa en dirección a la calle Azcuénaga, para luego ret</w:t>
      </w:r>
      <w:r>
        <w:t>i</w:t>
      </w:r>
      <w:r>
        <w:t>rarse.</w:t>
      </w:r>
    </w:p>
    <w:p w:rsidR="00224567" w:rsidRDefault="00224567">
      <w:pPr>
        <w:widowControl w:val="0"/>
        <w:tabs>
          <w:tab w:val="left" w:pos="0"/>
        </w:tabs>
        <w:ind w:firstLine="2835"/>
      </w:pPr>
      <w:r>
        <w:t>Mencionó, que en la ficha de i</w:t>
      </w:r>
      <w:r>
        <w:t>n</w:t>
      </w:r>
      <w:r>
        <w:t>greso, en el lugar donde se debía identificar la patente del vehículo, en un primer momento, se consignó un número de documento y, tras ser testada esa escritura, se anotó la identificación del dominio del rodado, cuyos d</w:t>
      </w:r>
      <w:r>
        <w:t>í</w:t>
      </w:r>
      <w:r>
        <w:t>gitos -excepto uno- coincidían con la patente de la “Trafic de Messin”.</w:t>
      </w:r>
    </w:p>
    <w:p w:rsidR="00224567" w:rsidRDefault="00224567">
      <w:pPr>
        <w:widowControl w:val="0"/>
        <w:tabs>
          <w:tab w:val="left" w:pos="0"/>
        </w:tabs>
        <w:ind w:firstLine="2835"/>
      </w:pPr>
      <w:r>
        <w:t>De lo expuesto, afirmó, dieron cuenta los testimonios de quienes trabajaban en la mencionada playa de estacionamiento: José Antonio Díaz, Jorge Ca</w:t>
      </w:r>
      <w:r>
        <w:t>r</w:t>
      </w:r>
      <w:r>
        <w:t xml:space="preserve">los Giser, Elena </w:t>
      </w:r>
      <w:r>
        <w:rPr>
          <w:lang w:val="es-ES_tradnl"/>
        </w:rPr>
        <w:t>Schargorodsky</w:t>
      </w:r>
      <w:r>
        <w:t xml:space="preserve"> y Alejandro Vay</w:t>
      </w:r>
      <w:r>
        <w:t>s</w:t>
      </w:r>
      <w:r>
        <w:t>man.</w:t>
      </w:r>
    </w:p>
    <w:p w:rsidR="00224567" w:rsidRDefault="00224567">
      <w:pPr>
        <w:widowControl w:val="0"/>
        <w:tabs>
          <w:tab w:val="left" w:pos="0"/>
        </w:tabs>
        <w:ind w:firstLine="2835"/>
      </w:pPr>
      <w:r>
        <w:t>Agregó que la camioneta perman</w:t>
      </w:r>
      <w:r>
        <w:t>e</w:t>
      </w:r>
      <w:r>
        <w:t xml:space="preserve">ció en “Jet Parking” desde el viernes 15 hasta, por lo menos, el domingo 17 de julio de 1994, en horas de la mañana, según los dichos de los empleados César Omar Alderete y José Díaz. Qué sucedió con el vehículo desde que abandonó el estacionamiento hasta que se estrelló en la sede de </w:t>
      </w:r>
      <w:smartTag w:uri="urn:schemas-microsoft-com:office:smarttags" w:element="PersonName">
        <w:smartTagPr>
          <w:attr w:name="ProductID" w:val="la A.M"/>
        </w:smartTagPr>
        <w:r>
          <w:t xml:space="preserve">la </w:t>
        </w:r>
        <w:r>
          <w:lastRenderedPageBreak/>
          <w:t>A.M</w:t>
        </w:r>
      </w:smartTag>
      <w:r>
        <w:t xml:space="preserve">.I.A. el 18 de julio de </w:t>
      </w:r>
      <w:smartTag w:uri="urn:schemas-microsoft-com:office:smarttags" w:element="metricconverter">
        <w:smartTagPr>
          <w:attr w:name="ProductID" w:val="1994, a"/>
        </w:smartTagPr>
        <w:r>
          <w:t>1994, a</w:t>
        </w:r>
      </w:smartTag>
      <w:r>
        <w:t xml:space="preserve"> las 9.53, dijo el fi</w:t>
      </w:r>
      <w:r>
        <w:t>s</w:t>
      </w:r>
      <w:r>
        <w:t>cal, aún sigue siendo una i</w:t>
      </w:r>
      <w:r>
        <w:t>n</w:t>
      </w:r>
      <w:r>
        <w:t>cógnita.</w:t>
      </w:r>
    </w:p>
    <w:p w:rsidR="00224567" w:rsidRDefault="00224567">
      <w:pPr>
        <w:widowControl w:val="0"/>
        <w:tabs>
          <w:tab w:val="left" w:pos="0"/>
        </w:tabs>
        <w:ind w:firstLine="2835"/>
      </w:pPr>
      <w:r>
        <w:t>En otro orden sostuvo que el agente de inteligencia Horacio Antonio Stiuso aseguró que el 21 de julio de 1994 –cuatro días antes de que apareciera el m</w:t>
      </w:r>
      <w:r>
        <w:t>o</w:t>
      </w:r>
      <w:r>
        <w:t>tor en el lugar de la explosión- tomó conocimiento del episodio ocurrido en “Jet Parking” por haberse contactado con los empleados del estacionamiento, quienes a su vez entregaron los d</w:t>
      </w:r>
      <w:r>
        <w:t>a</w:t>
      </w:r>
      <w:r>
        <w:t>tos del dominio del vehículo.</w:t>
      </w:r>
    </w:p>
    <w:p w:rsidR="00224567" w:rsidRDefault="00224567">
      <w:pPr>
        <w:widowControl w:val="0"/>
        <w:tabs>
          <w:tab w:val="left" w:pos="0"/>
        </w:tabs>
        <w:ind w:firstLine="2835"/>
      </w:pPr>
      <w:r>
        <w:t>Con esa información, apuntó el fi</w:t>
      </w:r>
      <w:r>
        <w:t>s</w:t>
      </w:r>
      <w:r>
        <w:t xml:space="preserve">cal, el personal de </w:t>
      </w:r>
      <w:smartTag w:uri="urn:schemas-microsoft-com:office:smarttags" w:element="PersonName">
        <w:smartTagPr>
          <w:attr w:name="ProductID" w:val="la S.I"/>
        </w:smartTagPr>
        <w:r>
          <w:t>la S.I</w:t>
        </w:r>
      </w:smartTag>
      <w:r>
        <w:t>.D.E. rastreó la totalidad de las c</w:t>
      </w:r>
      <w:r>
        <w:t>a</w:t>
      </w:r>
      <w:r>
        <w:t>mionetas Trafic registradas hasta esa fecha a la espera de la aparición del motor cuya numeración permitiría, media</w:t>
      </w:r>
      <w:r>
        <w:t>n</w:t>
      </w:r>
      <w:r>
        <w:t>te un simple entrecruzamiento, la identificación exacta del rodado en cuestión de minutos, lo que ocurrió, el 25 de julio en horas de la noche.</w:t>
      </w:r>
    </w:p>
    <w:p w:rsidR="00224567" w:rsidRDefault="00224567">
      <w:pPr>
        <w:widowControl w:val="0"/>
        <w:tabs>
          <w:tab w:val="left" w:pos="0"/>
        </w:tabs>
        <w:ind w:firstLine="2835"/>
      </w:pPr>
      <w:r>
        <w:t>Sostuvo que tales circunstancias e</w:t>
      </w:r>
      <w:r>
        <w:t>x</w:t>
      </w:r>
      <w:r>
        <w:t>plican por qué aún antes de la aparición del motor se m</w:t>
      </w:r>
      <w:r>
        <w:t>a</w:t>
      </w:r>
      <w:r>
        <w:t xml:space="preserve">nejaba con meridiana certeza no sólo la existencia de </w:t>
      </w:r>
      <w:smartTag w:uri="urn:schemas-microsoft-com:office:smarttags" w:element="PersonName">
        <w:smartTagPr>
          <w:attr w:name="ProductID" w:val="la Trafic"/>
        </w:smartTagPr>
        <w:r>
          <w:t>la Trafic</w:t>
        </w:r>
      </w:smartTag>
      <w:r>
        <w:t>, sino que la misma había sido vista en el estaci</w:t>
      </w:r>
      <w:r>
        <w:t>o</w:t>
      </w:r>
      <w:r>
        <w:lastRenderedPageBreak/>
        <w:t>namiento “Jet Parking”, tal como dio cuenta el i</w:t>
      </w:r>
      <w:r>
        <w:t>n</w:t>
      </w:r>
      <w:r>
        <w:t>forme de S.I.D.E. fechado el 24 de julio de 1994; es decir, un día antes de la apar</w:t>
      </w:r>
      <w:r>
        <w:t>i</w:t>
      </w:r>
      <w:r>
        <w:t>ción del motor (fs. 974).</w:t>
      </w:r>
    </w:p>
    <w:p w:rsidR="00224567" w:rsidRDefault="00224567">
      <w:pPr>
        <w:pStyle w:val="Sangra3detindependiente"/>
        <w:widowControl w:val="0"/>
        <w:tabs>
          <w:tab w:val="left" w:pos="0"/>
        </w:tabs>
        <w:spacing w:line="600" w:lineRule="auto"/>
        <w:ind w:firstLine="2835"/>
      </w:pPr>
      <w:r>
        <w:t>El fiscal calificó como curioso el h</w:t>
      </w:r>
      <w:r>
        <w:t>e</w:t>
      </w:r>
      <w:r>
        <w:t>cho de que el apellido que se consignó en la tarjeta de estadía del vehículo en “Jet Parking” –Carlos Martínez-, coincidía con el que utilizó Carlos Alberto T</w:t>
      </w:r>
      <w:r>
        <w:t>e</w:t>
      </w:r>
      <w:r>
        <w:t>lleldín “en su historia de la venta de la camioneta” y que el número de documento correspondía, en realidad, a la cédula de identidad de Tomás Lorens, en cuyo legajo policial figur</w:t>
      </w:r>
      <w:r>
        <w:t>a</w:t>
      </w:r>
      <w:r>
        <w:t>ba como persona de su conocimiento y que pudiera i</w:t>
      </w:r>
      <w:r>
        <w:t>n</w:t>
      </w:r>
      <w:r>
        <w:t xml:space="preserve">formar un policía federal, también de nombre Carlos Martínez. </w:t>
      </w:r>
    </w:p>
    <w:p w:rsidR="00224567" w:rsidRDefault="00224567">
      <w:pPr>
        <w:pStyle w:val="Textoindependiente"/>
        <w:spacing w:line="600" w:lineRule="auto"/>
        <w:ind w:firstLine="2835"/>
      </w:pPr>
      <w:r>
        <w:t>Tales circunstancias, enunció el fi</w:t>
      </w:r>
      <w:r>
        <w:t>s</w:t>
      </w:r>
      <w:r>
        <w:t>cal, permiten afirmar que los datos asentados en ese doc</w:t>
      </w:r>
      <w:r>
        <w:t>u</w:t>
      </w:r>
      <w:r>
        <w:t>mento habían sido colocados deliberadamente por a</w:t>
      </w:r>
      <w:r>
        <w:t>l</w:t>
      </w:r>
      <w:r>
        <w:t>guien con acceso al prontuario mencionado, con el propósito de de</w:t>
      </w:r>
      <w:r>
        <w:t>s</w:t>
      </w:r>
      <w:r>
        <w:t>viar la investigación, conforme lo resaltó el nombrado Stiuso en el deb</w:t>
      </w:r>
      <w:r>
        <w:t>a</w:t>
      </w:r>
      <w:r>
        <w:t>te.</w:t>
      </w:r>
    </w:p>
    <w:p w:rsidR="00224567" w:rsidRDefault="00224567">
      <w:pPr>
        <w:pStyle w:val="Textoindependiente"/>
        <w:spacing w:line="600" w:lineRule="auto"/>
        <w:ind w:firstLine="2835"/>
      </w:pPr>
      <w:r>
        <w:t>Como prueba que acreditó la particip</w:t>
      </w:r>
      <w:r>
        <w:t>a</w:t>
      </w:r>
      <w:r>
        <w:t>ción de Carlos Alberto Telleldín en el atent</w:t>
      </w:r>
      <w:r>
        <w:t>a</w:t>
      </w:r>
      <w:r>
        <w:t>do, el fiscal destacó las di</w:t>
      </w:r>
      <w:r>
        <w:t>s</w:t>
      </w:r>
      <w:r>
        <w:t xml:space="preserve">tintas posturas que el imputado fue tomando </w:t>
      </w:r>
      <w:r>
        <w:lastRenderedPageBreak/>
        <w:t>a lo largo del proceso y las conductas anteriores y post</w:t>
      </w:r>
      <w:r>
        <w:t>e</w:t>
      </w:r>
      <w:r>
        <w:t>riores al hecho ilícito que, entendió, fueron premedit</w:t>
      </w:r>
      <w:r>
        <w:t>a</w:t>
      </w:r>
      <w:r>
        <w:t>das.</w:t>
      </w:r>
    </w:p>
    <w:p w:rsidR="00224567" w:rsidRDefault="00224567">
      <w:pPr>
        <w:pStyle w:val="Textoindependiente"/>
        <w:spacing w:line="600" w:lineRule="auto"/>
        <w:ind w:firstLine="2835"/>
      </w:pPr>
      <w:r>
        <w:t>En ese sentido, afirmó que T</w:t>
      </w:r>
      <w:r>
        <w:t>e</w:t>
      </w:r>
      <w:r>
        <w:t>lleldín no fue elegido al azar para cometer el crimen, puesto que su perfil era  “absolutamente funcional al plan terrorista”. Por eso, dijo, entregada la camioneta que le había sido e</w:t>
      </w:r>
      <w:r>
        <w:t>n</w:t>
      </w:r>
      <w:r>
        <w:t>cargada, se ocupó de ocultar hasta la a</w:t>
      </w:r>
      <w:r>
        <w:t>c</w:t>
      </w:r>
      <w:r>
        <w:t>tualidad todo dato que permitiera su correcta identif</w:t>
      </w:r>
      <w:r>
        <w:t>i</w:t>
      </w:r>
      <w:r>
        <w:t xml:space="preserve">cación. </w:t>
      </w:r>
    </w:p>
    <w:p w:rsidR="00224567" w:rsidRDefault="00224567">
      <w:pPr>
        <w:pStyle w:val="Textoindependiente"/>
        <w:spacing w:line="600" w:lineRule="auto"/>
        <w:ind w:firstLine="2835"/>
      </w:pPr>
      <w:r>
        <w:t>Puntualizó que el imputado se present</w:t>
      </w:r>
      <w:r>
        <w:t>a</w:t>
      </w:r>
      <w:r>
        <w:t>ba como una persona que sabía “manejar perfectamente la i</w:t>
      </w:r>
      <w:r>
        <w:t>m</w:t>
      </w:r>
      <w:r>
        <w:t>punidad en el sub-mundo de la corrupción policial”, en pa</w:t>
      </w:r>
      <w:r>
        <w:t>r</w:t>
      </w:r>
      <w:r>
        <w:t>ticular de la bonaerense; que sabía respetar “los códigos de silencio” que aún a la fecha sigue manteniendo, c</w:t>
      </w:r>
      <w:r>
        <w:t>o</w:t>
      </w:r>
      <w:r>
        <w:t>mo así también “moverse” en el delito y garantizar el an</w:t>
      </w:r>
      <w:r>
        <w:t>o</w:t>
      </w:r>
      <w:r>
        <w:t>nimato a sus ocasionales socios.</w:t>
      </w:r>
    </w:p>
    <w:p w:rsidR="00224567" w:rsidRDefault="00224567">
      <w:pPr>
        <w:pStyle w:val="Textoindependiente"/>
        <w:spacing w:line="600" w:lineRule="auto"/>
        <w:ind w:firstLine="2835"/>
      </w:pPr>
      <w:r>
        <w:t>Manifestó el fiscal que “todavía no s</w:t>
      </w:r>
      <w:r>
        <w:t>a</w:t>
      </w:r>
      <w:r>
        <w:t>bemos el chasis con el que armó la camioneta de Messin” y que Telleldín buscó por todos los medios preparar “una coartada legal que le permitiera salir airoso de este e</w:t>
      </w:r>
      <w:r>
        <w:t>n</w:t>
      </w:r>
      <w:r>
        <w:t>tuerto”, en caso de que se presentara algún probl</w:t>
      </w:r>
      <w:r>
        <w:t>e</w:t>
      </w:r>
      <w:r>
        <w:t>ma.</w:t>
      </w:r>
    </w:p>
    <w:p w:rsidR="00224567" w:rsidRDefault="00224567">
      <w:pPr>
        <w:pStyle w:val="Textoindependiente2"/>
        <w:widowControl w:val="0"/>
        <w:tabs>
          <w:tab w:val="left" w:pos="0"/>
        </w:tabs>
        <w:ind w:firstLine="2835"/>
        <w:rPr>
          <w:rFonts w:ascii="Courier New" w:hAnsi="Courier New" w:cs="Courier New"/>
        </w:rPr>
      </w:pPr>
      <w:r>
        <w:rPr>
          <w:rFonts w:ascii="Courier New" w:hAnsi="Courier New" w:cs="Courier New"/>
        </w:rPr>
        <w:lastRenderedPageBreak/>
        <w:t>Para esto, resaltó, preconstituyó prueba; involucró a Ariel Nitzcaner, mecánico de origen judío; publicó un aviso en el diario; firmó un formul</w:t>
      </w:r>
      <w:r>
        <w:rPr>
          <w:rFonts w:ascii="Courier New" w:hAnsi="Courier New" w:cs="Courier New"/>
        </w:rPr>
        <w:t>a</w:t>
      </w:r>
      <w:r>
        <w:rPr>
          <w:rFonts w:ascii="Courier New" w:hAnsi="Courier New" w:cs="Courier New"/>
        </w:rPr>
        <w:t>rio “</w:t>
      </w:r>
      <w:smartTag w:uri="urn:schemas-microsoft-com:office:smarttags" w:element="metricconverter">
        <w:smartTagPr>
          <w:attr w:name="ProductID" w:val="08”"/>
        </w:smartTagPr>
        <w:r>
          <w:rPr>
            <w:rFonts w:ascii="Courier New" w:hAnsi="Courier New" w:cs="Courier New"/>
          </w:rPr>
          <w:t>08”</w:t>
        </w:r>
      </w:smartTag>
      <w:r>
        <w:rPr>
          <w:rFonts w:ascii="Courier New" w:hAnsi="Courier New" w:cs="Courier New"/>
        </w:rPr>
        <w:t xml:space="preserve"> con los datos personales y domicilio de una persona de su conocimiento; “montó una escena en su c</w:t>
      </w:r>
      <w:r>
        <w:rPr>
          <w:rFonts w:ascii="Courier New" w:hAnsi="Courier New" w:cs="Courier New"/>
        </w:rPr>
        <w:t>a</w:t>
      </w:r>
      <w:r>
        <w:rPr>
          <w:rFonts w:ascii="Courier New" w:hAnsi="Courier New" w:cs="Courier New"/>
        </w:rPr>
        <w:t>sa” y contó a todas las personas que quisieron escucharlo cómo había sido la venta el domingo 10 de julio de 1994; esto es, “procuró por todos los medios dejar rastros que lo coloc</w:t>
      </w:r>
      <w:r>
        <w:rPr>
          <w:rFonts w:ascii="Courier New" w:hAnsi="Courier New" w:cs="Courier New"/>
        </w:rPr>
        <w:t>a</w:t>
      </w:r>
      <w:r>
        <w:rPr>
          <w:rFonts w:ascii="Courier New" w:hAnsi="Courier New" w:cs="Courier New"/>
        </w:rPr>
        <w:t>ran en la posición de un comprador de buena fe, tal cual había pasado en el caso de la e</w:t>
      </w:r>
      <w:r>
        <w:rPr>
          <w:rFonts w:ascii="Courier New" w:hAnsi="Courier New" w:cs="Courier New"/>
        </w:rPr>
        <w:t>m</w:t>
      </w:r>
      <w:r>
        <w:rPr>
          <w:rFonts w:ascii="Courier New" w:hAnsi="Courier New" w:cs="Courier New"/>
        </w:rPr>
        <w:t>bajada de Israel”, dijo el fi</w:t>
      </w:r>
      <w:r>
        <w:rPr>
          <w:rFonts w:ascii="Courier New" w:hAnsi="Courier New" w:cs="Courier New"/>
        </w:rPr>
        <w:t>s</w:t>
      </w:r>
      <w:r>
        <w:rPr>
          <w:rFonts w:ascii="Courier New" w:hAnsi="Courier New" w:cs="Courier New"/>
        </w:rPr>
        <w:t>cal.</w:t>
      </w:r>
    </w:p>
    <w:p w:rsidR="00224567" w:rsidRDefault="00224567">
      <w:pPr>
        <w:pStyle w:val="Textoindependiente2"/>
        <w:widowControl w:val="0"/>
        <w:tabs>
          <w:tab w:val="left" w:pos="0"/>
        </w:tabs>
        <w:ind w:firstLine="2835"/>
        <w:rPr>
          <w:rFonts w:ascii="Courier New" w:hAnsi="Courier New" w:cs="Courier New"/>
        </w:rPr>
      </w:pPr>
      <w:r>
        <w:rPr>
          <w:rFonts w:ascii="Courier New" w:hAnsi="Courier New" w:cs="Courier New"/>
        </w:rPr>
        <w:t>También destacó que ni bien ocurrido el atentado y alertado de la dimensión del crimen, Ca</w:t>
      </w:r>
      <w:r>
        <w:rPr>
          <w:rFonts w:ascii="Courier New" w:hAnsi="Courier New" w:cs="Courier New"/>
        </w:rPr>
        <w:t>r</w:t>
      </w:r>
      <w:r>
        <w:rPr>
          <w:rFonts w:ascii="Courier New" w:hAnsi="Courier New" w:cs="Courier New"/>
        </w:rPr>
        <w:t>los Alberto Telleldín denotó nerviosismo y preocupación; realizó comentarios y exclamaciones acerca de que le h</w:t>
      </w:r>
      <w:r>
        <w:rPr>
          <w:rFonts w:ascii="Courier New" w:hAnsi="Courier New" w:cs="Courier New"/>
        </w:rPr>
        <w:t>a</w:t>
      </w:r>
      <w:r>
        <w:rPr>
          <w:rFonts w:ascii="Courier New" w:hAnsi="Courier New" w:cs="Courier New"/>
        </w:rPr>
        <w:t>bían arruinado la vida; dijo  “estos H... de P...”, h</w:t>
      </w:r>
      <w:r>
        <w:rPr>
          <w:rFonts w:ascii="Courier New" w:hAnsi="Courier New" w:cs="Courier New"/>
        </w:rPr>
        <w:t>a</w:t>
      </w:r>
      <w:r>
        <w:rPr>
          <w:rFonts w:ascii="Courier New" w:hAnsi="Courier New" w:cs="Courier New"/>
        </w:rPr>
        <w:t>ciendo hincapié la fiscalía en el plural utilizado en la frase; desapareció de la escena para no ser el único re</w:t>
      </w:r>
      <w:r>
        <w:rPr>
          <w:rFonts w:ascii="Courier New" w:hAnsi="Courier New" w:cs="Courier New"/>
        </w:rPr>
        <w:t>s</w:t>
      </w:r>
      <w:r>
        <w:rPr>
          <w:rFonts w:ascii="Courier New" w:hAnsi="Courier New" w:cs="Courier New"/>
        </w:rPr>
        <w:t>ponsable de la masacre; mudó su domicilio, aún cuando el contrato de alquiler del inmueble sito en la calle Rep</w:t>
      </w:r>
      <w:r>
        <w:rPr>
          <w:rFonts w:ascii="Courier New" w:hAnsi="Courier New" w:cs="Courier New"/>
        </w:rPr>
        <w:t>ú</w:t>
      </w:r>
      <w:r>
        <w:rPr>
          <w:rFonts w:ascii="Courier New" w:hAnsi="Courier New" w:cs="Courier New"/>
        </w:rPr>
        <w:t xml:space="preserve">blica 107 vencía un año después; “llevó a Hugo Pérez al </w:t>
      </w:r>
      <w:r>
        <w:rPr>
          <w:rFonts w:ascii="Courier New" w:hAnsi="Courier New" w:cs="Courier New"/>
        </w:rPr>
        <w:lastRenderedPageBreak/>
        <w:t>dom</w:t>
      </w:r>
      <w:r>
        <w:rPr>
          <w:rFonts w:ascii="Courier New" w:hAnsi="Courier New" w:cs="Courier New"/>
        </w:rPr>
        <w:t>i</w:t>
      </w:r>
      <w:r>
        <w:rPr>
          <w:rFonts w:ascii="Courier New" w:hAnsi="Courier New" w:cs="Courier New"/>
        </w:rPr>
        <w:t xml:space="preserve">cilio de la calle San José”; escapó a la provincia de Córdoba aún antes de que se supiera cuál había sido </w:t>
      </w:r>
      <w:smartTag w:uri="urn:schemas-microsoft-com:office:smarttags" w:element="PersonName">
        <w:smartTagPr>
          <w:attr w:name="ProductID" w:val="la Trafic"/>
        </w:smartTagPr>
        <w:r>
          <w:rPr>
            <w:rFonts w:ascii="Courier New" w:hAnsi="Courier New" w:cs="Courier New"/>
          </w:rPr>
          <w:t>la Trafic</w:t>
        </w:r>
      </w:smartTag>
      <w:r>
        <w:rPr>
          <w:rFonts w:ascii="Courier New" w:hAnsi="Courier New" w:cs="Courier New"/>
        </w:rPr>
        <w:t xml:space="preserve"> que había explotado en la sede de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.I.A. y, por último, huyó al Paraguay, vía Posadas, el día que ap</w:t>
      </w:r>
      <w:r>
        <w:rPr>
          <w:rFonts w:ascii="Courier New" w:hAnsi="Courier New" w:cs="Courier New"/>
        </w:rPr>
        <w:t>a</w:t>
      </w:r>
      <w:r>
        <w:rPr>
          <w:rFonts w:ascii="Courier New" w:hAnsi="Courier New" w:cs="Courier New"/>
        </w:rPr>
        <w:t>reció el m</w:t>
      </w:r>
      <w:r>
        <w:rPr>
          <w:rFonts w:ascii="Courier New" w:hAnsi="Courier New" w:cs="Courier New"/>
        </w:rPr>
        <w:t>o</w:t>
      </w:r>
      <w:r>
        <w:rPr>
          <w:rFonts w:ascii="Courier New" w:hAnsi="Courier New" w:cs="Courier New"/>
        </w:rPr>
        <w:t>tor.</w:t>
      </w:r>
    </w:p>
    <w:p w:rsidR="00224567" w:rsidRDefault="00224567">
      <w:pPr>
        <w:pStyle w:val="Textoindependiente"/>
        <w:spacing w:line="600" w:lineRule="auto"/>
        <w:ind w:firstLine="2835"/>
      </w:pPr>
      <w:r>
        <w:t>Enfatizó el representante del Minist</w:t>
      </w:r>
      <w:r>
        <w:t>e</w:t>
      </w:r>
      <w:r>
        <w:t>rio Público Fiscal que el imputado llevó a cabo tales co</w:t>
      </w:r>
      <w:r>
        <w:t>n</w:t>
      </w:r>
      <w:r>
        <w:t>ductas, porque “sabía que en cuestión de horas ll</w:t>
      </w:r>
      <w:r>
        <w:t>e</w:t>
      </w:r>
      <w:r>
        <w:t>garían a él”.</w:t>
      </w:r>
    </w:p>
    <w:p w:rsidR="00224567" w:rsidRDefault="00224567">
      <w:pPr>
        <w:pStyle w:val="Textoindependiente"/>
        <w:spacing w:line="600" w:lineRule="auto"/>
        <w:ind w:firstLine="2835"/>
      </w:pPr>
      <w:r>
        <w:t>Además, recalcó que el motivo de la huída atendía a asegurar las condiciones de su “entr</w:t>
      </w:r>
      <w:r>
        <w:t>e</w:t>
      </w:r>
      <w:r>
        <w:t>ga” y procurar algún tiempo para cerciorar que la versión previ</w:t>
      </w:r>
      <w:r>
        <w:t>a</w:t>
      </w:r>
      <w:r>
        <w:t>mente concertada con su mujer, efectivamente fuera vo</w:t>
      </w:r>
      <w:r>
        <w:t>l</w:t>
      </w:r>
      <w:r>
        <w:t>cada en el expediente; pues “tenía que ajustar su coartada y asegurarse que quienes le habían promet</w:t>
      </w:r>
      <w:r>
        <w:t>i</w:t>
      </w:r>
      <w:r>
        <w:t>do y encargado este trabajo, respetarían su sile</w:t>
      </w:r>
      <w:r>
        <w:t>n</w:t>
      </w:r>
      <w:r>
        <w:t>cio, y no lo dejarían como el único responsable de la mas</w:t>
      </w:r>
      <w:r>
        <w:t>a</w:t>
      </w:r>
      <w:r>
        <w:t>cre”.</w:t>
      </w:r>
    </w:p>
    <w:p w:rsidR="00224567" w:rsidRDefault="00224567">
      <w:pPr>
        <w:pStyle w:val="Textoindependiente"/>
        <w:spacing w:line="600" w:lineRule="auto"/>
        <w:ind w:firstLine="2835"/>
      </w:pPr>
      <w:r>
        <w:t>Prueba de ello resultan los consta</w:t>
      </w:r>
      <w:r>
        <w:t>n</w:t>
      </w:r>
      <w:r>
        <w:t>tes llamados telefónicos de Telleldín -en aquel momento próf</w:t>
      </w:r>
      <w:r>
        <w:t>u</w:t>
      </w:r>
      <w:r>
        <w:t xml:space="preserve">go- a su domicilio de la calle República 107, que denotaron </w:t>
      </w:r>
      <w:r>
        <w:lastRenderedPageBreak/>
        <w:t>su interés de conocer los detalles de la declaración que Ana María Boragni había ofrecido ante la prevención, en particular, si ésta había dicho algo con relación a “lo del vecino que había visto la entrega de la camioneta”. Sobre el punto, destacó que la palabra utilizada por Telleldín había sido “entrega” y no ve</w:t>
      </w:r>
      <w:r>
        <w:t>n</w:t>
      </w:r>
      <w:r>
        <w:t>ta, en oposición a la versión inicial que sobre la cuestión refirieron Boragni y Telle</w:t>
      </w:r>
      <w:r>
        <w:t>l</w:t>
      </w:r>
      <w:r>
        <w:t xml:space="preserve">dín. </w:t>
      </w:r>
    </w:p>
    <w:p w:rsidR="00224567" w:rsidRDefault="00224567">
      <w:pPr>
        <w:pStyle w:val="Textoindependiente"/>
        <w:spacing w:line="600" w:lineRule="auto"/>
        <w:ind w:firstLine="2835"/>
      </w:pPr>
      <w:r>
        <w:t>En igual sentido, aludió a la convers</w:t>
      </w:r>
      <w:r>
        <w:t>a</w:t>
      </w:r>
      <w:r>
        <w:t>ción telefónica entre Carlos Alberto Telleldín y Mario No</w:t>
      </w:r>
      <w:r>
        <w:t>r</w:t>
      </w:r>
      <w:r>
        <w:t>berto Bareiro, cuando aquél estaba prófugo, en la que el primero inquirió a su interlocutor acerca de si Boragni h</w:t>
      </w:r>
      <w:r>
        <w:t>a</w:t>
      </w:r>
      <w:r>
        <w:t>bía dicho “algo de los coreanos”.</w:t>
      </w:r>
    </w:p>
    <w:p w:rsidR="00224567" w:rsidRDefault="00224567">
      <w:pPr>
        <w:pStyle w:val="Textoindependiente"/>
        <w:spacing w:line="600" w:lineRule="auto"/>
        <w:ind w:firstLine="2835"/>
      </w:pPr>
      <w:r w:rsidRPr="00577193">
        <w:rPr>
          <w:highlight w:val="yellow"/>
        </w:rPr>
        <w:t>También señaló que mientras Telleldín permanecía prófugo, Anastasio Ireneo Leal se pr</w:t>
      </w:r>
      <w:r w:rsidRPr="00577193">
        <w:rPr>
          <w:highlight w:val="yellow"/>
        </w:rPr>
        <w:t>e</w:t>
      </w:r>
      <w:r w:rsidRPr="00577193">
        <w:rPr>
          <w:highlight w:val="yellow"/>
        </w:rPr>
        <w:t>sentó en el domicilio de la calle República durante la n</w:t>
      </w:r>
      <w:r w:rsidRPr="00577193">
        <w:rPr>
          <w:highlight w:val="yellow"/>
        </w:rPr>
        <w:t>o</w:t>
      </w:r>
      <w:r w:rsidRPr="00577193">
        <w:rPr>
          <w:highlight w:val="yellow"/>
        </w:rPr>
        <w:t>che del 27 de julio de 1994, oportunidad en que dialogó con Diego E</w:t>
      </w:r>
      <w:r w:rsidRPr="00577193">
        <w:rPr>
          <w:highlight w:val="yellow"/>
        </w:rPr>
        <w:t>n</w:t>
      </w:r>
      <w:r w:rsidRPr="00577193">
        <w:rPr>
          <w:highlight w:val="yellow"/>
        </w:rPr>
        <w:t xml:space="preserve">rique Barreda y Mario Norberto Barreiro sin que pudieran escuchar los investigadores allí presentes. Tras esa conversación, según el relato de los agentes de </w:t>
      </w:r>
      <w:smartTag w:uri="urn:schemas-microsoft-com:office:smarttags" w:element="PersonName">
        <w:smartTagPr>
          <w:attr w:name="ProductID" w:val="la S.I"/>
        </w:smartTagPr>
        <w:r w:rsidRPr="00577193">
          <w:rPr>
            <w:highlight w:val="yellow"/>
          </w:rPr>
          <w:t>la S.I</w:t>
        </w:r>
      </w:smartTag>
      <w:r w:rsidRPr="00577193">
        <w:rPr>
          <w:highlight w:val="yellow"/>
        </w:rPr>
        <w:t>.D.E. Néstor Rica</w:t>
      </w:r>
      <w:r w:rsidRPr="00577193">
        <w:rPr>
          <w:highlight w:val="yellow"/>
        </w:rPr>
        <w:t>r</w:t>
      </w:r>
      <w:r w:rsidRPr="00577193">
        <w:rPr>
          <w:highlight w:val="yellow"/>
        </w:rPr>
        <w:t>do Hernández, Roberto Jorge Saller, Luis Domi</w:t>
      </w:r>
      <w:r w:rsidRPr="00577193">
        <w:rPr>
          <w:highlight w:val="yellow"/>
        </w:rPr>
        <w:t>n</w:t>
      </w:r>
      <w:r w:rsidRPr="00577193">
        <w:rPr>
          <w:highlight w:val="yellow"/>
        </w:rPr>
        <w:t xml:space="preserve">go Delizia y </w:t>
      </w:r>
      <w:r w:rsidRPr="00577193">
        <w:rPr>
          <w:highlight w:val="yellow"/>
        </w:rPr>
        <w:lastRenderedPageBreak/>
        <w:t>Horacio Antonio Stiuso, los mencionados policías bonaere</w:t>
      </w:r>
      <w:r w:rsidRPr="00577193">
        <w:rPr>
          <w:highlight w:val="yellow"/>
        </w:rPr>
        <w:t>n</w:t>
      </w:r>
      <w:r w:rsidRPr="00577193">
        <w:rPr>
          <w:highlight w:val="yellow"/>
        </w:rPr>
        <w:t>ses se tranquilizaron.</w:t>
      </w:r>
    </w:p>
    <w:p w:rsidR="00224567" w:rsidRDefault="00224567">
      <w:pPr>
        <w:pStyle w:val="Textoindependiente"/>
        <w:spacing w:line="600" w:lineRule="auto"/>
        <w:ind w:firstLine="2835"/>
      </w:pPr>
      <w:r>
        <w:t>Mencionó, además, la comunicación tel</w:t>
      </w:r>
      <w:r>
        <w:t>e</w:t>
      </w:r>
      <w:r>
        <w:t>fónica de Leal con Bareiro esa misma noche, en la que el primero de los nombrados comentó que “algo no le c</w:t>
      </w:r>
      <w:r>
        <w:t>e</w:t>
      </w:r>
      <w:r>
        <w:t>rraba y que debían encontrarse”. Sólo así, consideró el fiscal, “podía explicarse la pérdida o destrucción de los 66 prim</w:t>
      </w:r>
      <w:r>
        <w:t>e</w:t>
      </w:r>
      <w:r>
        <w:t>ros casetes correspondientes al abonado telefónico de Rep</w:t>
      </w:r>
      <w:r>
        <w:t>ú</w:t>
      </w:r>
      <w:r>
        <w:t xml:space="preserve">blica </w:t>
      </w:r>
      <w:smartTag w:uri="urn:schemas-microsoft-com:office:smarttags" w:element="metricconverter">
        <w:smartTagPr>
          <w:attr w:name="ProductID" w:val="107”"/>
        </w:smartTagPr>
        <w:r>
          <w:t>107”</w:t>
        </w:r>
      </w:smartTag>
      <w:r>
        <w:t>.</w:t>
      </w:r>
    </w:p>
    <w:p w:rsidR="00224567" w:rsidRDefault="00224567">
      <w:pPr>
        <w:pStyle w:val="Textoindependiente"/>
        <w:spacing w:line="600" w:lineRule="auto"/>
        <w:ind w:firstLine="2835"/>
      </w:pPr>
      <w:r>
        <w:t>Entendió que “resultaba necesario que Telleldín apareciera y para ello había que persuadirlo y asegurarle que contaba con las garantías necesarias para que se entregara sin riesgo alguno”, razón por la cual los preventores lo llamaron desde su domicilio, manifestándole que “se e</w:t>
      </w:r>
      <w:r>
        <w:t>n</w:t>
      </w:r>
      <w:r>
        <w:t>tregara, vos hablaste con tu señora, sabés que la mano está bien acá”. Del mismo modo, valoró las circunsta</w:t>
      </w:r>
      <w:r>
        <w:t>n</w:t>
      </w:r>
      <w:r>
        <w:t>cias r</w:t>
      </w:r>
      <w:r>
        <w:t>e</w:t>
      </w:r>
      <w:r>
        <w:t>feridas por Ana María Boragni, con relación a que el jefe del D.P.O.C. le dijo que “no se preocupara porque d</w:t>
      </w:r>
      <w:r>
        <w:t>e</w:t>
      </w:r>
      <w:r>
        <w:t>claraba y se iba” y el hecho de que la prevención no hubi</w:t>
      </w:r>
      <w:r>
        <w:t>e</w:t>
      </w:r>
      <w:r>
        <w:t xml:space="preserve">se allanado el domicilio de República 107, como lo venía </w:t>
      </w:r>
      <w:r>
        <w:lastRenderedPageBreak/>
        <w:t>haciendo, la misma noche del 26 de julio de 1994, cuando se había identificado “nada menos que al último tenedor del arma homicida”.</w:t>
      </w:r>
    </w:p>
    <w:p w:rsidR="00224567" w:rsidRDefault="00224567">
      <w:pPr>
        <w:pStyle w:val="Textoindependiente"/>
        <w:spacing w:line="600" w:lineRule="auto"/>
        <w:ind w:firstLine="2835"/>
      </w:pPr>
      <w:r>
        <w:t>Tales sucesos, a su criterio, confi</w:t>
      </w:r>
      <w:r>
        <w:t>r</w:t>
      </w:r>
      <w:r>
        <w:t>man la necesidad de que el imputado Telleldín apareciera y cu</w:t>
      </w:r>
      <w:r>
        <w:t>m</w:t>
      </w:r>
      <w:r>
        <w:t>pliera con el rol funcional que se le había asignado, esto es, desviar y confundir a los investig</w:t>
      </w:r>
      <w:r>
        <w:t>a</w:t>
      </w:r>
      <w:r>
        <w:t>dores.</w:t>
      </w:r>
    </w:p>
    <w:p w:rsidR="00224567" w:rsidRDefault="00224567">
      <w:pPr>
        <w:pStyle w:val="Textoindependiente"/>
        <w:spacing w:line="600" w:lineRule="auto"/>
        <w:ind w:firstLine="2835"/>
      </w:pPr>
      <w:r>
        <w:t>Si bien Telleldín nunca precisó “dó</w:t>
      </w:r>
      <w:r>
        <w:t>n</w:t>
      </w:r>
      <w:r>
        <w:t>de había estado, ni con quien”, el fiscal sostuvo que éste h</w:t>
      </w:r>
      <w:r>
        <w:t>a</w:t>
      </w:r>
      <w:r>
        <w:t>bía viajado al Paraguay en virtud de las conversaciones t</w:t>
      </w:r>
      <w:r>
        <w:t>e</w:t>
      </w:r>
      <w:r>
        <w:t>lefónicas mantenidas por Jésica y Damián Schiavone, hijos de su concubina Boragni. Agregó que Telleldín también est</w:t>
      </w:r>
      <w:r>
        <w:t>u</w:t>
      </w:r>
      <w:r>
        <w:t>vo en la ciudad de Posadas, donde viajó utilizando el no</w:t>
      </w:r>
      <w:r>
        <w:t>m</w:t>
      </w:r>
      <w:r>
        <w:t>bre de Hugo Pérez.</w:t>
      </w:r>
    </w:p>
    <w:p w:rsidR="00224567" w:rsidRDefault="00224567">
      <w:pPr>
        <w:pStyle w:val="Textoindependiente"/>
        <w:spacing w:line="600" w:lineRule="auto"/>
        <w:ind w:firstLine="2835"/>
      </w:pPr>
      <w:r>
        <w:t>Alegó que en oportunidad de ser deten</w:t>
      </w:r>
      <w:r>
        <w:t>i</w:t>
      </w:r>
      <w:r>
        <w:t>do, Carlos Alberto Telleldín brindó a la justicia una ve</w:t>
      </w:r>
      <w:r>
        <w:t>r</w:t>
      </w:r>
      <w:r>
        <w:t>sión de los hechos que previamente había acordado con su concubina Ana María Boragni. Por ello, las e</w:t>
      </w:r>
      <w:r>
        <w:t>x</w:t>
      </w:r>
      <w:r>
        <w:t>plicaciones de ambos fueron idénticas en cuanto a que la camioneta había sido vendida, pero “como en toda d</w:t>
      </w:r>
      <w:r>
        <w:t>e</w:t>
      </w:r>
      <w:r>
        <w:t xml:space="preserve">claración preacordada”, diferían en algunos detalles, como ser el tipo de moneda </w:t>
      </w:r>
      <w:r>
        <w:lastRenderedPageBreak/>
        <w:t>utilizada en la operación y la descripción del supuesto comprador. Indicó que en el mismo sentido se e</w:t>
      </w:r>
      <w:r>
        <w:t>x</w:t>
      </w:r>
      <w:r>
        <w:t>pidieron los testigos Horacio Antonio Stiuso y Néstor R</w:t>
      </w:r>
      <w:r>
        <w:t>i</w:t>
      </w:r>
      <w:r>
        <w:t>cardo Hernández.</w:t>
      </w:r>
    </w:p>
    <w:p w:rsidR="00224567" w:rsidRDefault="00224567">
      <w:pPr>
        <w:pStyle w:val="Textoindependiente"/>
        <w:spacing w:line="600" w:lineRule="auto"/>
        <w:ind w:firstLine="2835"/>
      </w:pPr>
      <w:r w:rsidRPr="00577193">
        <w:rPr>
          <w:highlight w:val="yellow"/>
        </w:rPr>
        <w:t>Por otra parte, al igual que la quer</w:t>
      </w:r>
      <w:r w:rsidRPr="00577193">
        <w:rPr>
          <w:highlight w:val="yellow"/>
        </w:rPr>
        <w:t>e</w:t>
      </w:r>
      <w:r w:rsidRPr="00577193">
        <w:rPr>
          <w:highlight w:val="yellow"/>
        </w:rPr>
        <w:t>lla de A.M.I.A., el fiscal conjeturó que no era c</w:t>
      </w:r>
      <w:r w:rsidRPr="00577193">
        <w:rPr>
          <w:highlight w:val="yellow"/>
        </w:rPr>
        <w:t>a</w:t>
      </w:r>
      <w:r w:rsidRPr="00577193">
        <w:rPr>
          <w:highlight w:val="yellow"/>
        </w:rPr>
        <w:t>sual que en sus primeras cinco declaraciones Telleldín omitiera h</w:t>
      </w:r>
      <w:r w:rsidRPr="00577193">
        <w:rPr>
          <w:highlight w:val="yellow"/>
        </w:rPr>
        <w:t>a</w:t>
      </w:r>
      <w:r w:rsidRPr="00577193">
        <w:rPr>
          <w:highlight w:val="yellow"/>
        </w:rPr>
        <w:t xml:space="preserve">cer mención a los hechos de los que fuera víctima por parte de </w:t>
      </w:r>
      <w:smartTag w:uri="urn:schemas-microsoft-com:office:smarttags" w:element="PersonName">
        <w:smartTagPr>
          <w:attr w:name="ProductID" w:val="la Brigada"/>
        </w:smartTagPr>
        <w:r w:rsidRPr="00577193">
          <w:rPr>
            <w:highlight w:val="yellow"/>
          </w:rPr>
          <w:t>la Brigada</w:t>
        </w:r>
      </w:smartTag>
      <w:r w:rsidRPr="00577193">
        <w:rPr>
          <w:highlight w:val="yellow"/>
        </w:rPr>
        <w:t xml:space="preserve"> de Lanús y al oficial de </w:t>
      </w:r>
      <w:smartTag w:uri="urn:schemas-microsoft-com:office:smarttags" w:element="PersonName">
        <w:smartTagPr>
          <w:attr w:name="ProductID" w:val="la Polic￭a Bonaerense"/>
        </w:smartTagPr>
        <w:r w:rsidRPr="00577193">
          <w:rPr>
            <w:highlight w:val="yellow"/>
          </w:rPr>
          <w:t>la Policía Bonaere</w:t>
        </w:r>
        <w:r w:rsidRPr="00577193">
          <w:rPr>
            <w:highlight w:val="yellow"/>
          </w:rPr>
          <w:t>n</w:t>
        </w:r>
        <w:r w:rsidRPr="00577193">
          <w:rPr>
            <w:highlight w:val="yellow"/>
          </w:rPr>
          <w:t>se</w:t>
        </w:r>
      </w:smartTag>
      <w:r w:rsidRPr="00577193">
        <w:rPr>
          <w:highlight w:val="yellow"/>
        </w:rPr>
        <w:t xml:space="preserve"> que conocía como Pino.</w:t>
      </w:r>
      <w:r>
        <w:t xml:space="preserve"> Recordó, nuevamente, que “Telle</w:t>
      </w:r>
      <w:r>
        <w:t>l</w:t>
      </w:r>
      <w:r>
        <w:t>dín fue de este modo funci</w:t>
      </w:r>
      <w:r>
        <w:t>o</w:t>
      </w:r>
      <w:r>
        <w:t>nal al plan terrorista”.</w:t>
      </w:r>
    </w:p>
    <w:p w:rsidR="00224567" w:rsidRDefault="00224567">
      <w:pPr>
        <w:pStyle w:val="Textoindependiente"/>
        <w:spacing w:line="600" w:lineRule="auto"/>
        <w:ind w:firstLine="2835"/>
      </w:pPr>
      <w:r>
        <w:t>Señaló, además, que para el mes de agosto de 1994 el imputado confiaba en que su situación procesal mejoraría y estaba convencido de que no se avanz</w:t>
      </w:r>
      <w:r>
        <w:t>a</w:t>
      </w:r>
      <w:r>
        <w:t>ría “hacia arriba” porque, según sus dichos, “no había v</w:t>
      </w:r>
      <w:r>
        <w:t>o</w:t>
      </w:r>
      <w:r>
        <w:t>luntad de profundizar la investigación por parte del E</w:t>
      </w:r>
      <w:r>
        <w:t>s</w:t>
      </w:r>
      <w:r>
        <w:t>tado Nacional”. Al respecto trajo a colación una conversación telefónica entre Miriam Salinas y Ana María Boragni, en la que hablando de Diego Barreda, la última comentó que “no pasa nada más, porque por orden de arriba, no tocan más, porque el jefe de policía de la provincia fue direct</w:t>
      </w:r>
      <w:r>
        <w:t>a</w:t>
      </w:r>
      <w:r>
        <w:t xml:space="preserve">mente </w:t>
      </w:r>
      <w:r>
        <w:lastRenderedPageBreak/>
        <w:t>a hablar con Menem, así que pararon todo porque si empi</w:t>
      </w:r>
      <w:r>
        <w:t>e</w:t>
      </w:r>
      <w:r>
        <w:t xml:space="preserve">zan a revolver, se destapa una cacerola de </w:t>
      </w:r>
      <w:smartTag w:uri="urn:schemas-microsoft-com:office:smarttags" w:element="PersonName">
        <w:smartTagPr>
          <w:attr w:name="ProductID" w:val="la Polic￭a Federal"/>
        </w:smartTagPr>
        <w:r>
          <w:t>la Policía F</w:t>
        </w:r>
        <w:r>
          <w:t>e</w:t>
        </w:r>
        <w:r>
          <w:t>deral</w:t>
        </w:r>
      </w:smartTag>
      <w:r>
        <w:t>, provincial y de todos lados”.</w:t>
      </w:r>
    </w:p>
    <w:p w:rsidR="00224567" w:rsidRDefault="00224567">
      <w:pPr>
        <w:pStyle w:val="Textoindependiente"/>
        <w:spacing w:line="600" w:lineRule="auto"/>
        <w:ind w:firstLine="2835"/>
      </w:pPr>
      <w:r>
        <w:t>En otro orden, el Dr. José Barbaccia mencionó que al comienzo de 1995 se presentó en el ju</w:t>
      </w:r>
      <w:r>
        <w:t>z</w:t>
      </w:r>
      <w:r>
        <w:t>gado el ex capitán Héctor Pedro Vergéz, aduciendo ser amigo de la familia de Telleldín, quien se contactó con el i</w:t>
      </w:r>
      <w:r>
        <w:t>m</w:t>
      </w:r>
      <w:r>
        <w:t>putado con el objeto de ofrecerle dinero para que dijera que había entregado la camioneta a unos libaneses detenidos en el P</w:t>
      </w:r>
      <w:r>
        <w:t>a</w:t>
      </w:r>
      <w:r>
        <w:t>raguay por una causa de drogas y de ese modo Telleldín r</w:t>
      </w:r>
      <w:r>
        <w:t>e</w:t>
      </w:r>
      <w:r>
        <w:t>cuperaría su libertad. De tal extremo, también dieron cue</w:t>
      </w:r>
      <w:r>
        <w:t>n</w:t>
      </w:r>
      <w:r>
        <w:t>ta las escuchas telefónicas entre Vergéz y Ana Bora</w:t>
      </w:r>
      <w:r>
        <w:t>g</w:t>
      </w:r>
      <w:r>
        <w:t>ni.</w:t>
      </w:r>
    </w:p>
    <w:p w:rsidR="00224567" w:rsidRDefault="00224567">
      <w:pPr>
        <w:pStyle w:val="Textoindependiente"/>
        <w:spacing w:line="600" w:lineRule="auto"/>
        <w:ind w:firstLine="2835"/>
      </w:pPr>
      <w:r>
        <w:t>De las conversaciones telefónicas de Telleldín con su concubina Boragni y, en partic</w:t>
      </w:r>
      <w:r>
        <w:t>u</w:t>
      </w:r>
      <w:r>
        <w:t>lar, de la que mantuvo la nombrada con Miriam Salinas, en la cual a</w:t>
      </w:r>
      <w:r>
        <w:t>m</w:t>
      </w:r>
      <w:r>
        <w:t>bas comentaron que Telleldín había comenzado a escr</w:t>
      </w:r>
      <w:r>
        <w:t>i</w:t>
      </w:r>
      <w:r>
        <w:t>bir un libro donde habría de contar la verdad de lo sucedido con la camioneta y que lo publicaría una vez en libertad, el fiscal dedujo que Telleldín esper</w:t>
      </w:r>
      <w:r>
        <w:t>a</w:t>
      </w:r>
      <w:r>
        <w:t>ba una señal -de alguien que no precisó- de que saldría de prisión. Ello, por cua</w:t>
      </w:r>
      <w:r>
        <w:t>n</w:t>
      </w:r>
      <w:r>
        <w:t>to, sostuvo, Telleldín sabía que el teléfono estaba inte</w:t>
      </w:r>
      <w:r>
        <w:t>r</w:t>
      </w:r>
      <w:r>
        <w:lastRenderedPageBreak/>
        <w:t>ven</w:t>
      </w:r>
      <w:r>
        <w:t>i</w:t>
      </w:r>
      <w:r>
        <w:t>do.</w:t>
      </w:r>
    </w:p>
    <w:p w:rsidR="00224567" w:rsidRDefault="00224567">
      <w:pPr>
        <w:pStyle w:val="Textoindependiente"/>
        <w:spacing w:line="600" w:lineRule="auto"/>
        <w:ind w:firstLine="2835"/>
      </w:pPr>
      <w:r>
        <w:t>Simultáneamente, agregó, apareció en escena Ramón Emilio Solari, que se haría cargo del atent</w:t>
      </w:r>
      <w:r>
        <w:t>a</w:t>
      </w:r>
      <w:r>
        <w:t>do, “como una muestra más de que se podía hacer algo por Telleldín para sacarlo de este entuerto en el que estaba metido”. Al respecto, el fiscal destacó los dichos de Bor</w:t>
      </w:r>
      <w:r>
        <w:t>a</w:t>
      </w:r>
      <w:r>
        <w:t>gni en el debate en cuanto afirmó “que el mensaje de que aparecería S</w:t>
      </w:r>
      <w:r>
        <w:t>o</w:t>
      </w:r>
      <w:r>
        <w:t>lari llegó de la mano de Vicky Morri”, en ese ento</w:t>
      </w:r>
      <w:r>
        <w:t>n</w:t>
      </w:r>
      <w:r>
        <w:t>ces, mujer de Bareiro.</w:t>
      </w:r>
    </w:p>
    <w:p w:rsidR="00224567" w:rsidRDefault="00224567">
      <w:pPr>
        <w:pStyle w:val="Textoindependiente"/>
        <w:spacing w:line="600" w:lineRule="auto"/>
        <w:ind w:firstLine="2835"/>
      </w:pPr>
      <w:r>
        <w:t>Al desvanecerse la “coartada S</w:t>
      </w:r>
      <w:r>
        <w:t>o</w:t>
      </w:r>
      <w:r>
        <w:t>lari” a mediados de 1995, Telleldín, según expuso el acusador p</w:t>
      </w:r>
      <w:r>
        <w:t>ú</w:t>
      </w:r>
      <w:r>
        <w:t>blico, comenzó a preocuparse por su comprometida situ</w:t>
      </w:r>
      <w:r>
        <w:t>a</w:t>
      </w:r>
      <w:r>
        <w:t>ción, a punto tal que tras la solicitud fiscal de procesamiento del 2 de junio de 1995, el estado de án</w:t>
      </w:r>
      <w:r>
        <w:t>i</w:t>
      </w:r>
      <w:r>
        <w:t>mo de aquél “ya no era el mismo” en tanto en la requisitoria se puso en ev</w:t>
      </w:r>
      <w:r>
        <w:t>i</w:t>
      </w:r>
      <w:r>
        <w:t>dencia la mendacidad en la que había incurrido el imp</w:t>
      </w:r>
      <w:r>
        <w:t>u</w:t>
      </w:r>
      <w:r>
        <w:t>tado.</w:t>
      </w:r>
    </w:p>
    <w:p w:rsidR="00224567" w:rsidRDefault="00224567">
      <w:pPr>
        <w:pStyle w:val="Textoindependiente"/>
        <w:spacing w:line="600" w:lineRule="auto"/>
        <w:ind w:firstLine="2835"/>
      </w:pPr>
      <w:r>
        <w:t>En tal sentido, subrayó una convers</w:t>
      </w:r>
      <w:r>
        <w:t>a</w:t>
      </w:r>
      <w:r>
        <w:t>ción telefónica llevada a cabo siete días después del ped</w:t>
      </w:r>
      <w:r>
        <w:t>i</w:t>
      </w:r>
      <w:r>
        <w:t>do fiscal, entre Telleldín y su concubina, en la cual el nombrado manifestó “ya le dije, no voy a hablar porque e</w:t>
      </w:r>
      <w:r>
        <w:t>s</w:t>
      </w:r>
      <w:r>
        <w:lastRenderedPageBreak/>
        <w:t>toy muy caliente, no voy a decir cosas que me van a perj</w:t>
      </w:r>
      <w:r>
        <w:t>u</w:t>
      </w:r>
      <w:r>
        <w:t>dicar, me conviene mantener el perfil bajo, porque yo me caliento y empiezo a tirar todas las cosas que me están p</w:t>
      </w:r>
      <w:r>
        <w:t>a</w:t>
      </w:r>
      <w:r>
        <w:t>sando y las injusticias y todo, y las voy a tirar por radio y se armará”.</w:t>
      </w:r>
    </w:p>
    <w:p w:rsidR="00224567" w:rsidRDefault="00224567">
      <w:pPr>
        <w:pStyle w:val="Textoindependiente"/>
        <w:spacing w:line="600" w:lineRule="auto"/>
        <w:ind w:firstLine="2835"/>
      </w:pPr>
      <w:r>
        <w:t>Se preguntó el fiscal ¿qué era lo que ocultaba Telleldín? ¿Qué era lo que tenía que decir y tod</w:t>
      </w:r>
      <w:r>
        <w:t>a</w:t>
      </w:r>
      <w:r>
        <w:t>vía no había dicho?.</w:t>
      </w:r>
    </w:p>
    <w:p w:rsidR="00224567" w:rsidRDefault="00224567">
      <w:pPr>
        <w:pStyle w:val="Textoindependiente"/>
        <w:spacing w:line="600" w:lineRule="auto"/>
        <w:ind w:firstLine="2835"/>
      </w:pPr>
      <w:r>
        <w:t>En virtud de que el imputado Carlos A</w:t>
      </w:r>
      <w:r>
        <w:t>l</w:t>
      </w:r>
      <w:r>
        <w:t>berto Telleldín “ya no confiaba en que recuperaría su l</w:t>
      </w:r>
      <w:r>
        <w:t>i</w:t>
      </w:r>
      <w:r>
        <w:t>bertad y estaba convencido de que se iba a quedar s</w:t>
      </w:r>
      <w:r>
        <w:t>o</w:t>
      </w:r>
      <w:r>
        <w:t xml:space="preserve">lo”, el fiscal sostuvo que éste comenzó a deslizar a la prensa la participación de funcionarios de </w:t>
      </w:r>
      <w:smartTag w:uri="urn:schemas-microsoft-com:office:smarttags" w:element="PersonName">
        <w:smartTagPr>
          <w:attr w:name="ProductID" w:val="la Polic￭a Bonaerense"/>
        </w:smartTagPr>
        <w:r>
          <w:t>la Policía Bonaerense</w:t>
        </w:r>
      </w:smartTag>
      <w:r>
        <w:t xml:space="preserve"> en el atentado y a brindar detalles que nunca había dado, ni en su primer indagatoria, ni en sus cinco ampli</w:t>
      </w:r>
      <w:r>
        <w:t>a</w:t>
      </w:r>
      <w:r>
        <w:t>ciones.</w:t>
      </w:r>
    </w:p>
    <w:p w:rsidR="00224567" w:rsidRDefault="00224567">
      <w:pPr>
        <w:pStyle w:val="Textoindependiente"/>
        <w:spacing w:line="600" w:lineRule="auto"/>
        <w:ind w:firstLine="2835"/>
      </w:pPr>
      <w:r>
        <w:t>Dicha actitud “no era casual”, expr</w:t>
      </w:r>
      <w:r>
        <w:t>e</w:t>
      </w:r>
      <w:r>
        <w:t>só el fiscal. Su objetivo consistía en “enviar un mensaje d</w:t>
      </w:r>
      <w:r>
        <w:t>i</w:t>
      </w:r>
      <w:r>
        <w:t>rectamente dirigido a quienes se habían comprometido a ay</w:t>
      </w:r>
      <w:r>
        <w:t>u</w:t>
      </w:r>
      <w:r>
        <w:t xml:space="preserve">darlo y hasta ese momento no lo habían hecho”. </w:t>
      </w:r>
    </w:p>
    <w:p w:rsidR="00224567" w:rsidRDefault="00224567">
      <w:pPr>
        <w:pStyle w:val="Textoindependiente"/>
        <w:spacing w:line="600" w:lineRule="auto"/>
        <w:ind w:firstLine="2835"/>
      </w:pPr>
      <w:r>
        <w:t>En particular, exhibió durante su exp</w:t>
      </w:r>
      <w:r>
        <w:t>o</w:t>
      </w:r>
      <w:r>
        <w:t>sición una serie de notas periodísticas del di</w:t>
      </w:r>
      <w:r>
        <w:t>a</w:t>
      </w:r>
      <w:r>
        <w:t xml:space="preserve">rio “Página </w:t>
      </w:r>
      <w:smartTag w:uri="urn:schemas-microsoft-com:office:smarttags" w:element="metricconverter">
        <w:smartTagPr>
          <w:attr w:name="ProductID" w:val="12”"/>
        </w:smartTagPr>
        <w:r>
          <w:lastRenderedPageBreak/>
          <w:t>12”</w:t>
        </w:r>
      </w:smartTag>
      <w:r>
        <w:t xml:space="preserve"> en las que, a su juicio, el imputado T</w:t>
      </w:r>
      <w:r>
        <w:t>e</w:t>
      </w:r>
      <w:r>
        <w:t xml:space="preserve">lleldín sugirió a sus entrevistadores que </w:t>
      </w:r>
      <w:smartTag w:uri="urn:schemas-microsoft-com:office:smarttags" w:element="PersonName">
        <w:smartTagPr>
          <w:attr w:name="ProductID" w:val="la Polic￭a Bonaerense"/>
        </w:smartTagPr>
        <w:r>
          <w:t>la Policía Bonaerense</w:t>
        </w:r>
      </w:smartTag>
      <w:r>
        <w:t xml:space="preserve"> estaba i</w:t>
      </w:r>
      <w:r>
        <w:t>m</w:t>
      </w:r>
      <w:r>
        <w:t xml:space="preserve">plicada de algún modo en el ataque terrorista, precisando, en alguna de ellas, que había entregado tres vehículos, una moto y USD </w:t>
      </w:r>
      <w:smartTag w:uri="urn:schemas-microsoft-com:office:smarttags" w:element="metricconverter">
        <w:smartTagPr>
          <w:attr w:name="ProductID" w:val="5000 a"/>
        </w:smartTagPr>
        <w:r>
          <w:t>5000 a</w:t>
        </w:r>
      </w:smartTag>
      <w:r>
        <w:t xml:space="preserve"> </w:t>
      </w:r>
      <w:smartTag w:uri="urn:schemas-microsoft-com:office:smarttags" w:element="PersonName">
        <w:smartTagPr>
          <w:attr w:name="ProductID" w:val="la Brigada"/>
        </w:smartTagPr>
        <w:r>
          <w:t>la Brigada</w:t>
        </w:r>
      </w:smartTag>
      <w:r>
        <w:t xml:space="preserve"> de L</w:t>
      </w:r>
      <w:r>
        <w:t>a</w:t>
      </w:r>
      <w:r>
        <w:t xml:space="preserve">nús. </w:t>
      </w:r>
    </w:p>
    <w:p w:rsidR="00224567" w:rsidRDefault="00224567">
      <w:pPr>
        <w:pStyle w:val="Textoindependiente"/>
        <w:spacing w:line="600" w:lineRule="auto"/>
        <w:ind w:firstLine="2835"/>
      </w:pPr>
      <w:r>
        <w:t>Esa, dijo, fue la primera vez que ap</w:t>
      </w:r>
      <w:r>
        <w:t>a</w:t>
      </w:r>
      <w:r>
        <w:t>reció en los medios la mencionada brigada “con todas sus letras”.</w:t>
      </w:r>
    </w:p>
    <w:p w:rsidR="00224567" w:rsidRDefault="00224567">
      <w:pPr>
        <w:pStyle w:val="Textoindependiente"/>
        <w:spacing w:line="600" w:lineRule="auto"/>
        <w:ind w:firstLine="2835"/>
      </w:pPr>
      <w:r>
        <w:t xml:space="preserve">Asimismo, la publicación titulada “La explosión dio de lleno en </w:t>
      </w:r>
      <w:smartTag w:uri="urn:schemas-microsoft-com:office:smarttags" w:element="PersonName">
        <w:smartTagPr>
          <w:attr w:name="ProductID" w:val="la Polic￭a"/>
        </w:smartTagPr>
        <w:r>
          <w:t>la Policía</w:t>
        </w:r>
      </w:smartTag>
      <w:r>
        <w:t>”, del mismo periód</w:t>
      </w:r>
      <w:r>
        <w:t>i</w:t>
      </w:r>
      <w:r>
        <w:t>co, de fecha 27 de septiembre de 1995, anotició que el i</w:t>
      </w:r>
      <w:r>
        <w:t>m</w:t>
      </w:r>
      <w:r>
        <w:t xml:space="preserve">putado Carlos Alberto Telleldín identificaría a los policías a quienes entregó </w:t>
      </w:r>
      <w:smartTag w:uri="urn:schemas-microsoft-com:office:smarttags" w:element="PersonName">
        <w:smartTagPr>
          <w:attr w:name="ProductID" w:val="la Trafic"/>
        </w:smartTagPr>
        <w:r>
          <w:t>la Trafic</w:t>
        </w:r>
      </w:smartTag>
      <w:r>
        <w:t xml:space="preserve"> y que “desde la más alta cúpula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se había d</w:t>
      </w:r>
      <w:r>
        <w:t>e</w:t>
      </w:r>
      <w:r>
        <w:t>cidido no avanzar más allá de los policías que hasta el m</w:t>
      </w:r>
      <w:r>
        <w:t>o</w:t>
      </w:r>
      <w:r>
        <w:t>mento estaban identificados”, que no eran otros que Mario Bareiro y Diego B</w:t>
      </w:r>
      <w:r>
        <w:t>a</w:t>
      </w:r>
      <w:r>
        <w:t>rreda.</w:t>
      </w:r>
    </w:p>
    <w:p w:rsidR="00224567" w:rsidRDefault="00224567">
      <w:pPr>
        <w:pStyle w:val="Textoindependiente"/>
        <w:spacing w:line="600" w:lineRule="auto"/>
        <w:ind w:firstLine="2835"/>
      </w:pPr>
      <w:r>
        <w:t>En otras de las notas del mismo di</w:t>
      </w:r>
      <w:r>
        <w:t>a</w:t>
      </w:r>
      <w:r>
        <w:t>rio, que el fiscal también exhibió, Telleldín exigió pr</w:t>
      </w:r>
      <w:r>
        <w:t>o</w:t>
      </w:r>
      <w:r>
        <w:t xml:space="preserve">tección y dinero, dos condiciones para señalar a “los oficiales de </w:t>
      </w:r>
      <w:smartTag w:uri="urn:schemas-microsoft-com:office:smarttags" w:element="PersonName">
        <w:smartTagPr>
          <w:attr w:name="ProductID" w:val="la Polic￭a Bonaerense"/>
        </w:smartTagPr>
        <w:r>
          <w:lastRenderedPageBreak/>
          <w:t>la Policía Bonaerense</w:t>
        </w:r>
      </w:smartTag>
      <w:r>
        <w:t xml:space="preserve"> que supuest</w:t>
      </w:r>
      <w:r>
        <w:t>a</w:t>
      </w:r>
      <w:r>
        <w:t xml:space="preserve">mente tuvieron </w:t>
      </w:r>
      <w:smartTag w:uri="urn:schemas-microsoft-com:office:smarttags" w:element="PersonName">
        <w:smartTagPr>
          <w:attr w:name="ProductID" w:val="la Trafic"/>
        </w:smartTagPr>
        <w:r>
          <w:t>la Trafic</w:t>
        </w:r>
      </w:smartTag>
      <w:r>
        <w:t xml:space="preserve"> en el atentado”. </w:t>
      </w:r>
    </w:p>
    <w:p w:rsidR="00224567" w:rsidRDefault="00224567">
      <w:pPr>
        <w:pStyle w:val="Textoindependiente"/>
        <w:spacing w:line="600" w:lineRule="auto"/>
        <w:ind w:firstLine="2835"/>
      </w:pPr>
      <w:r>
        <w:t>Sostuvo que para esa misma época -agosto de 1995- a la par de sus mensajes periodísticos, T</w:t>
      </w:r>
      <w:r>
        <w:t>e</w:t>
      </w:r>
      <w:r>
        <w:t xml:space="preserve">lleldín se reunió con la jueza de </w:t>
      </w:r>
      <w:smartTag w:uri="urn:schemas-microsoft-com:office:smarttags" w:element="PersonName">
        <w:smartTagPr>
          <w:attr w:name="ProductID" w:val="la C￡mara Federal"/>
        </w:smartTagPr>
        <w:r>
          <w:t>la Cámara Federal</w:t>
        </w:r>
      </w:smartTag>
      <w:r>
        <w:t xml:space="preserve"> de esta ciudad, Dra. María Luisa Riva Aramayo, a quién brindó alg</w:t>
      </w:r>
      <w:r>
        <w:t>u</w:t>
      </w:r>
      <w:r>
        <w:t>nos datos que condujeron a los investigadores hacia el pe</w:t>
      </w:r>
      <w:r>
        <w:t>r</w:t>
      </w:r>
      <w:r>
        <w:t>sonal policial de las brigadas de Vicente López y Lanús y mencionó, por primera vez, al oficial Pino. Asimismo, exp</w:t>
      </w:r>
      <w:r>
        <w:t>u</w:t>
      </w:r>
      <w:r>
        <w:t>so que Telleldín le man</w:t>
      </w:r>
      <w:r>
        <w:t>i</w:t>
      </w:r>
      <w:r>
        <w:t>festó a la magistrada que “la clave de lo ocurrido la había dado en su primer declar</w:t>
      </w:r>
      <w:r>
        <w:t>a</w:t>
      </w:r>
      <w:r>
        <w:t>ción y si se la volvía a releer se la e</w:t>
      </w:r>
      <w:r>
        <w:t>n</w:t>
      </w:r>
      <w:r>
        <w:t xml:space="preserve">contraría”. </w:t>
      </w:r>
    </w:p>
    <w:p w:rsidR="00224567" w:rsidRDefault="00224567">
      <w:pPr>
        <w:pStyle w:val="Textoindependiente"/>
        <w:spacing w:line="600" w:lineRule="auto"/>
        <w:ind w:firstLine="2835"/>
      </w:pPr>
      <w:r>
        <w:t>Al respecto, recordó que Telleldín en sus primeras ind</w:t>
      </w:r>
      <w:r>
        <w:t>a</w:t>
      </w:r>
      <w:r>
        <w:t xml:space="preserve">gatorias mencionó “tener problemas con </w:t>
      </w:r>
      <w:smartTag w:uri="urn:schemas-microsoft-com:office:smarttags" w:element="PersonName">
        <w:smartTagPr>
          <w:attr w:name="ProductID" w:val="la Brigada"/>
        </w:smartTagPr>
        <w:r>
          <w:t>la Brigada</w:t>
        </w:r>
      </w:smartTag>
      <w:r>
        <w:t xml:space="preserve"> de Vicente López” sin hacer referencia a “Pino” y como al pasar se refirió a la brigada de L</w:t>
      </w:r>
      <w:r>
        <w:t>a</w:t>
      </w:r>
      <w:r>
        <w:t>nús.</w:t>
      </w:r>
    </w:p>
    <w:p w:rsidR="00224567" w:rsidRDefault="00224567">
      <w:pPr>
        <w:pStyle w:val="Textoindependiente"/>
        <w:spacing w:line="600" w:lineRule="auto"/>
        <w:ind w:firstLine="2835"/>
      </w:pPr>
      <w:r>
        <w:t>Además, señaló que los diarios de la época reflejaron la estrategia de Telleldín; fue a través de un periódico que apareció, por pr</w:t>
      </w:r>
      <w:r>
        <w:t>i</w:t>
      </w:r>
      <w:r>
        <w:t>mera vez, el verdadero nombre y apellido de la persona apodada “Pino”, Anastasio Ireneo Leal.</w:t>
      </w:r>
    </w:p>
    <w:p w:rsidR="00224567" w:rsidRDefault="00224567">
      <w:pPr>
        <w:pStyle w:val="Textoindependiente"/>
        <w:spacing w:line="600" w:lineRule="auto"/>
        <w:ind w:firstLine="2835"/>
      </w:pPr>
      <w:r>
        <w:lastRenderedPageBreak/>
        <w:t>La respuesta a los mensajes enviados por el imputado a través de los periódicos, remarcó la fi</w:t>
      </w:r>
      <w:r>
        <w:t>s</w:t>
      </w:r>
      <w:r>
        <w:t>calía, no se hizo esperar, puesto que comenzaron las amen</w:t>
      </w:r>
      <w:r>
        <w:t>a</w:t>
      </w:r>
      <w:r>
        <w:t>zas a su persona a través de su concubina. Al respecto, s</w:t>
      </w:r>
      <w:r>
        <w:t>e</w:t>
      </w:r>
      <w:r>
        <w:t>ñaló diversas comunicaci</w:t>
      </w:r>
      <w:r>
        <w:t>o</w:t>
      </w:r>
      <w:r>
        <w:t>nes telefónicas del abonado 787-4807, de las que surgen las amenazas recibidas por Ana M</w:t>
      </w:r>
      <w:r>
        <w:t>a</w:t>
      </w:r>
      <w:r>
        <w:t>ría Boragni, mediante las cuales se instaba a la nombr</w:t>
      </w:r>
      <w:r>
        <w:t>a</w:t>
      </w:r>
      <w:r>
        <w:t>da a que hablara con su marido y que lo convenciera que tenía que permanecer callado. En otras, dijo el fiscal, se ref</w:t>
      </w:r>
      <w:r>
        <w:t>i</w:t>
      </w:r>
      <w:r>
        <w:t>rieron a Boragni como “</w:t>
      </w:r>
      <w:smartTag w:uri="urn:schemas-microsoft-com:office:smarttags" w:element="PersonName">
        <w:smartTagPr>
          <w:attr w:name="ProductID" w:val="La Tellel"/>
        </w:smartTagPr>
        <w:r>
          <w:t>La Tellel</w:t>
        </w:r>
      </w:smartTag>
      <w:r>
        <w:t>”, circunstancia que resa</w:t>
      </w:r>
      <w:r>
        <w:t>l</w:t>
      </w:r>
      <w:r>
        <w:t>tó porque de esa manera la llamaban los policías bonaere</w:t>
      </w:r>
      <w:r>
        <w:t>n</w:t>
      </w:r>
      <w:r>
        <w:t>ses, conforme los d</w:t>
      </w:r>
      <w:r>
        <w:t>i</w:t>
      </w:r>
      <w:r>
        <w:t>chos de aquélla.</w:t>
      </w:r>
    </w:p>
    <w:p w:rsidR="00224567" w:rsidRDefault="00224567">
      <w:pPr>
        <w:pStyle w:val="Textoindependiente"/>
        <w:spacing w:line="600" w:lineRule="auto"/>
        <w:ind w:firstLine="2835"/>
      </w:pPr>
      <w:r>
        <w:t>Otro dato sospechoso, apuntó, fue el acercamiento del ex comisario Mario Eduardo Naldi a Ana M</w:t>
      </w:r>
      <w:r>
        <w:t>a</w:t>
      </w:r>
      <w:r>
        <w:t>ría Boragni, acerca de lo cual dieron cuenta las convers</w:t>
      </w:r>
      <w:r>
        <w:t>a</w:t>
      </w:r>
      <w:r>
        <w:t>ciones de Carlos Alberto Telleldín y su mujer a través de la línea telefónica. Destacó, en particular, una convers</w:t>
      </w:r>
      <w:r>
        <w:t>a</w:t>
      </w:r>
      <w:r>
        <w:t>ción en la que Telleldín r</w:t>
      </w:r>
      <w:r>
        <w:t>e</w:t>
      </w:r>
      <w:r>
        <w:t>accionó con “un rechazo total a cualquier tipo de contacto con alguien que perteneciera a la fuerza” y otra en la que éste c</w:t>
      </w:r>
      <w:r>
        <w:t>o</w:t>
      </w:r>
      <w:r>
        <w:t xml:space="preserve">mentó a su mujer que “en </w:t>
      </w:r>
      <w:r>
        <w:lastRenderedPageBreak/>
        <w:t>realidad, ya estaba un poco cansado de todo lo que estaba pasando, que tenía que ir con la verdad”, expresando “yo vendí la camioneta, me la mandaron comprar, todo es un pr</w:t>
      </w:r>
      <w:r>
        <w:t>o</w:t>
      </w:r>
      <w:r>
        <w:t>blema del que me la mandó co</w:t>
      </w:r>
      <w:r>
        <w:t>m</w:t>
      </w:r>
      <w:r>
        <w:t>prar”.</w:t>
      </w:r>
    </w:p>
    <w:p w:rsidR="00224567" w:rsidRDefault="00224567">
      <w:pPr>
        <w:pStyle w:val="Textoindependiente"/>
        <w:spacing w:line="600" w:lineRule="auto"/>
        <w:ind w:firstLine="2835"/>
      </w:pPr>
      <w:r>
        <w:t>La conversación, sostuvo el fiscal, c</w:t>
      </w:r>
      <w:r>
        <w:t>o</w:t>
      </w:r>
      <w:r>
        <w:t>rroboró que la camioneta había sido un enca</w:t>
      </w:r>
      <w:r>
        <w:t>r</w:t>
      </w:r>
      <w:r>
        <w:t>go y que Carlos Alberto Telleldín conocía a la pe</w:t>
      </w:r>
      <w:r>
        <w:t>r</w:t>
      </w:r>
      <w:r>
        <w:t>sona que había efectuado el requerimiento. Asimismo, expresó, esa conversación fue un mensaje que el imputado quería dar a conocer porque s</w:t>
      </w:r>
      <w:r>
        <w:t>a</w:t>
      </w:r>
      <w:r>
        <w:t>bía que su línea telefónica estaba inte</w:t>
      </w:r>
      <w:r>
        <w:t>r</w:t>
      </w:r>
      <w:r>
        <w:t>ceptada.</w:t>
      </w:r>
    </w:p>
    <w:p w:rsidR="00224567" w:rsidRDefault="00224567">
      <w:pPr>
        <w:pStyle w:val="Textoindependiente"/>
        <w:spacing w:line="600" w:lineRule="auto"/>
        <w:ind w:firstLine="2835"/>
      </w:pPr>
      <w:r>
        <w:t>Por otra parte, alegó que tanto el f</w:t>
      </w:r>
      <w:r>
        <w:t>a</w:t>
      </w:r>
      <w:r>
        <w:t>llido intento de Héctor Pedro Vergéz como la aparición de Emilio Solari, quien a la postre, reconoció el conato de desvío, fueron algunos de los intentos que se dieron en forma concatenada para eliminar a los polic</w:t>
      </w:r>
      <w:r>
        <w:t>í</w:t>
      </w:r>
      <w:r>
        <w:t>as bonaerenses de la trama del atentado.</w:t>
      </w:r>
    </w:p>
    <w:p w:rsidR="00224567" w:rsidRDefault="00224567">
      <w:pPr>
        <w:pStyle w:val="Textoindependiente"/>
        <w:spacing w:line="600" w:lineRule="auto"/>
        <w:ind w:firstLine="2835"/>
      </w:pPr>
      <w:r>
        <w:t>Expresó que la llamada línea “Carapi</w:t>
      </w:r>
      <w:r>
        <w:t>n</w:t>
      </w:r>
      <w:r>
        <w:t>tada” fue otro de</w:t>
      </w:r>
      <w:r>
        <w:t>s</w:t>
      </w:r>
      <w:r>
        <w:t>vío de la investigación, por medio de la cual se involucró a un grupo de suboficiales del Ejército Argentino como partícipes de la masacre.</w:t>
      </w:r>
    </w:p>
    <w:p w:rsidR="00224567" w:rsidRDefault="00224567">
      <w:pPr>
        <w:pStyle w:val="Textoindependiente"/>
        <w:spacing w:line="600" w:lineRule="auto"/>
        <w:ind w:firstLine="2835"/>
      </w:pPr>
      <w:r>
        <w:t>Del mismo modo, destacó que los ofici</w:t>
      </w:r>
      <w:r>
        <w:t>a</w:t>
      </w:r>
      <w:r>
        <w:lastRenderedPageBreak/>
        <w:t>les Julio César Gatto y Marcelo Daniel Valenga, ambos all</w:t>
      </w:r>
      <w:r>
        <w:t>e</w:t>
      </w:r>
      <w:r>
        <w:t>gados al imputado Juan José Ribelli, dos meses después de producidas “las detenciones de los aquí acusados”, intent</w:t>
      </w:r>
      <w:r>
        <w:t>a</w:t>
      </w:r>
      <w:r>
        <w:t xml:space="preserve">ron involucrar en la causa a un médico de </w:t>
      </w:r>
      <w:smartTag w:uri="urn:schemas-microsoft-com:office:smarttags" w:element="PersonName">
        <w:smartTagPr>
          <w:attr w:name="ProductID" w:val="la Polic￭a Bonaerense"/>
        </w:smartTagPr>
        <w:r>
          <w:t>la Policía Bona</w:t>
        </w:r>
        <w:r>
          <w:t>e</w:t>
        </w:r>
        <w:r>
          <w:t>rense</w:t>
        </w:r>
      </w:smartTag>
      <w:r>
        <w:t xml:space="preserve"> de apellido Gómez, quien había sido poseedor de una camioneta modelo Trafic, color r</w:t>
      </w:r>
      <w:r>
        <w:t>o</w:t>
      </w:r>
      <w:r>
        <w:t>jo.</w:t>
      </w:r>
    </w:p>
    <w:p w:rsidR="00224567" w:rsidRDefault="00224567">
      <w:pPr>
        <w:pStyle w:val="Textoindependiente"/>
        <w:spacing w:line="600" w:lineRule="auto"/>
        <w:ind w:firstLine="2835"/>
      </w:pPr>
      <w:r>
        <w:t>“Como no pudieron sustituir el rod</w:t>
      </w:r>
      <w:r>
        <w:t>a</w:t>
      </w:r>
      <w:r>
        <w:t>do”, expresó el fiscal, “tenían que sustituir a las personas”, razón por la cual en el mes de marzo de 1997 se pretendió ligar a la investigación al comisario Alí en razón de su origen libanés, por su condición de Policía Bonaerense y por presentar un parecido físico con el imputado Raúl Ed</w:t>
      </w:r>
      <w:r>
        <w:t>i</w:t>
      </w:r>
      <w:r>
        <w:t>lio Ibarra.</w:t>
      </w:r>
    </w:p>
    <w:p w:rsidR="00224567" w:rsidRDefault="00224567">
      <w:pPr>
        <w:pStyle w:val="Textoindependiente"/>
        <w:spacing w:line="600" w:lineRule="auto"/>
        <w:ind w:firstLine="2835"/>
      </w:pPr>
      <w:r>
        <w:t>Al respecto, trajo a colación el reco</w:t>
      </w:r>
      <w:r>
        <w:t>r</w:t>
      </w:r>
      <w:r>
        <w:t>te periodístico del diario Clarín del 23 de marzo de aquel año, en el que se adelantó que uno de los polic</w:t>
      </w:r>
      <w:r>
        <w:t>í</w:t>
      </w:r>
      <w:r>
        <w:t>as acusados habría de imputar al mencionado Alí, como así también el video que reflejó al Dr. Mariano Cúneo Libarona, en ese m</w:t>
      </w:r>
      <w:r>
        <w:t>o</w:t>
      </w:r>
      <w:r>
        <w:t xml:space="preserve">mento defensor de Ribelli, en las oficinas de </w:t>
      </w:r>
      <w:smartTag w:uri="urn:schemas-microsoft-com:office:smarttags" w:element="PersonName">
        <w:smartTagPr>
          <w:attr w:name="ProductID" w:val="la S.I"/>
        </w:smartTagPr>
        <w:r>
          <w:t>la S.I</w:t>
        </w:r>
      </w:smartTag>
      <w:r>
        <w:t>.D.E. proponiendo el “canje” de un policía por el otro.</w:t>
      </w:r>
    </w:p>
    <w:p w:rsidR="00224567" w:rsidRDefault="00224567">
      <w:pPr>
        <w:pStyle w:val="Textoindependiente"/>
        <w:spacing w:line="600" w:lineRule="auto"/>
        <w:ind w:firstLine="2835"/>
      </w:pPr>
      <w:r>
        <w:lastRenderedPageBreak/>
        <w:t>Curiosamente, destacó, la nota se p</w:t>
      </w:r>
      <w:r>
        <w:t>u</w:t>
      </w:r>
      <w:r>
        <w:t>blicó dos días antes de que el imputado Ribelli ampli</w:t>
      </w:r>
      <w:r>
        <w:t>a</w:t>
      </w:r>
      <w:r>
        <w:t>ra su declaración indagatoria, oportunidad en la que nada man</w:t>
      </w:r>
      <w:r>
        <w:t>i</w:t>
      </w:r>
      <w:r>
        <w:t>festó sobre esa cuestión, pese haber sido interrogado al respecto.</w:t>
      </w:r>
    </w:p>
    <w:p w:rsidR="00224567" w:rsidRDefault="00224567">
      <w:pPr>
        <w:pStyle w:val="Textoindependiente"/>
        <w:spacing w:line="600" w:lineRule="auto"/>
        <w:ind w:firstLine="2835"/>
      </w:pPr>
      <w:r>
        <w:t>Sin embargo, dijo, ese día entr</w:t>
      </w:r>
      <w:r>
        <w:t>e</w:t>
      </w:r>
      <w:r>
        <w:t>gó una videocinta al juez Juan José Galeano en una audiencia que ma</w:t>
      </w:r>
      <w:r>
        <w:t>n</w:t>
      </w:r>
      <w:r>
        <w:t>tuvieron a solas, expresándole que estaba desesperado y que sabía lo que tenía que hacer.</w:t>
      </w:r>
    </w:p>
    <w:p w:rsidR="00224567" w:rsidRDefault="00224567">
      <w:pPr>
        <w:pStyle w:val="Textoindependiente"/>
        <w:spacing w:line="600" w:lineRule="auto"/>
        <w:ind w:firstLine="2835"/>
      </w:pPr>
      <w:r>
        <w:t>Afirmó, que en los últimos tramos del debate el imputado Carlos Alberto Telleldín optó por mod</w:t>
      </w:r>
      <w:r>
        <w:t>i</w:t>
      </w:r>
      <w:r>
        <w:t>ficar, una vez más, su versión de los hechos; vo</w:t>
      </w:r>
      <w:r>
        <w:t>l</w:t>
      </w:r>
      <w:r>
        <w:t>vió sobre sus primeros pasos y, de ese modo, adujo haber sido coa</w:t>
      </w:r>
      <w:r>
        <w:t>c</w:t>
      </w:r>
      <w:r>
        <w:t>cionado para declarar en contra de los policías. Pese a que el debate descartó su primera ve</w:t>
      </w:r>
      <w:r>
        <w:t>r</w:t>
      </w:r>
      <w:r>
        <w:t>sión sobre la venta de la camioneta a un supuesto Ramón Martínez, consideró el fiscal que “no era fruto de la casualidad” que T</w:t>
      </w:r>
      <w:r>
        <w:t>e</w:t>
      </w:r>
      <w:r>
        <w:t>lleldín decidiera reflotarla.</w:t>
      </w:r>
    </w:p>
    <w:p w:rsidR="00224567" w:rsidRDefault="00224567">
      <w:pPr>
        <w:pStyle w:val="Textoindependiente"/>
        <w:spacing w:line="600" w:lineRule="auto"/>
        <w:ind w:firstLine="2835"/>
      </w:pPr>
      <w:r>
        <w:t>Sin embargo, entendió la fiscalía que sus dichos exculpatorios no resisten una expl</w:t>
      </w:r>
      <w:r>
        <w:t>i</w:t>
      </w:r>
      <w:r>
        <w:t>cación lógica sobre la base de la prueba producida en el deb</w:t>
      </w:r>
      <w:r>
        <w:t>a</w:t>
      </w:r>
      <w:r>
        <w:t xml:space="preserve">te, en razón </w:t>
      </w:r>
      <w:r>
        <w:lastRenderedPageBreak/>
        <w:t>que si Telleldín se proclama inocente i</w:t>
      </w:r>
      <w:r>
        <w:t>n</w:t>
      </w:r>
      <w:r>
        <w:t>tentando colocarse en la posición de un vendedor de buena fe, entonces quedó sin explicación “la preconstitución de prueba y su mendac</w:t>
      </w:r>
      <w:r>
        <w:t>i</w:t>
      </w:r>
      <w:r>
        <w:t>dad frente a la instru</w:t>
      </w:r>
      <w:r>
        <w:t>c</w:t>
      </w:r>
      <w:r>
        <w:t>ción, aún a riesgo de cargar con la muerte de 85 personas, sus declaraciones armadas, la pr</w:t>
      </w:r>
      <w:r>
        <w:t>e</w:t>
      </w:r>
      <w:r>
        <w:t>sencia de Leal en su domicilio, la benignidad con la que fueron tratados Ana Boragni y Telleldín por la prevención, las llamadas telefónicas, su contenido,  las notas aparec</w:t>
      </w:r>
      <w:r>
        <w:t>i</w:t>
      </w:r>
      <w:r>
        <w:t>das en los diarios, los episodios de Vergéz, Solari, los “Carapintadas”, Gatto y Valenga, el epis</w:t>
      </w:r>
      <w:r>
        <w:t>o</w:t>
      </w:r>
      <w:r>
        <w:t>dio del video”.</w:t>
      </w:r>
    </w:p>
    <w:p w:rsidR="00224567" w:rsidRDefault="00224567">
      <w:pPr>
        <w:pStyle w:val="Textoindependiente"/>
        <w:spacing w:line="600" w:lineRule="auto"/>
        <w:ind w:firstLine="2835"/>
      </w:pPr>
      <w:r>
        <w:t>Entre las preguntas que, a juicio de la acusación, no hallaban respuesta en la versión que ofreció Carlos Alberto Telleldín en el debate, el fi</w:t>
      </w:r>
      <w:r>
        <w:t>s</w:t>
      </w:r>
      <w:r>
        <w:t>cal señaló por qué motivo dijo Telleldín que los elásticos reforzados e</w:t>
      </w:r>
      <w:r>
        <w:t>n</w:t>
      </w:r>
      <w:r>
        <w:t>contrados en el escenario de los hechos habían sido plant</w:t>
      </w:r>
      <w:r>
        <w:t>a</w:t>
      </w:r>
      <w:r>
        <w:t>dos; por qué simultáneamente al atentado buscó mudar su d</w:t>
      </w:r>
      <w:r>
        <w:t>o</w:t>
      </w:r>
      <w:r>
        <w:t>mic</w:t>
      </w:r>
      <w:r>
        <w:t>i</w:t>
      </w:r>
      <w:r>
        <w:t>lio si el contrato de locación vencía un año mas tarde; por qué el domicilio a mudarse quedaba en el mismo radio de jurisdicción de la brigada de la cual él decía que se venía escapando; por qué estaba tan nervioso aún cuando no se s</w:t>
      </w:r>
      <w:r>
        <w:t>a</w:t>
      </w:r>
      <w:r>
        <w:lastRenderedPageBreak/>
        <w:t xml:space="preserve">bía cuál era </w:t>
      </w:r>
      <w:smartTag w:uri="urn:schemas-microsoft-com:office:smarttags" w:element="PersonName">
        <w:smartTagPr>
          <w:attr w:name="ProductID" w:val="la Trafic"/>
        </w:smartTagPr>
        <w:r>
          <w:t>la Trafic</w:t>
        </w:r>
      </w:smartTag>
      <w:r>
        <w:t xml:space="preserve"> que había explotado; por qué su i</w:t>
      </w:r>
      <w:r>
        <w:t>n</w:t>
      </w:r>
      <w:r>
        <w:t>tento de cambiar las declaraciones de Nitzcaner y Jouce; por qué buscó en todo momento incorporar a Pérez en esta historia; por qué no sólo viajó con el nombre de Pérez, sino que lo involucró hasta con el papel de la embajada de Irán que se encontró en su domicilio; por qué pidió a Al</w:t>
      </w:r>
      <w:r>
        <w:t>e</w:t>
      </w:r>
      <w:r>
        <w:t xml:space="preserve">jandro Monjo que sustituyera el recibo de venta de </w:t>
      </w:r>
      <w:smartTag w:uri="urn:schemas-microsoft-com:office:smarttags" w:element="PersonName">
        <w:smartTagPr>
          <w:attr w:name="ProductID" w:val="la Trafic"/>
        </w:smartTagPr>
        <w:r>
          <w:t>la Tr</w:t>
        </w:r>
        <w:r>
          <w:t>a</w:t>
        </w:r>
        <w:r>
          <w:t>fic</w:t>
        </w:r>
      </w:smartTag>
      <w:r>
        <w:t xml:space="preserve"> de “Messin” y la pusiera a nombre de Pérez; por qué las visitas de Vergéz a Telleldín proponiéndole la versión de los libaneses; por qué la desidia e inoperancia de muchos de los funcionarios encargados de la pesquisa, verificada en la ausencia total de iniciativa propia para la invest</w:t>
      </w:r>
      <w:r>
        <w:t>i</w:t>
      </w:r>
      <w:r>
        <w:t xml:space="preserve">gación de los vínculos de Telleldín con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por qué la inexistencia de una línea investigativa específica sobre este punto, desde el mismo día en que Telleldín fue detenido en aer</w:t>
      </w:r>
      <w:r>
        <w:t>o</w:t>
      </w:r>
      <w:r>
        <w:t>parque; por qué el imputado cambió su postura frente al proceso en j</w:t>
      </w:r>
      <w:r>
        <w:t>u</w:t>
      </w:r>
      <w:r>
        <w:t xml:space="preserve">nio de 1995 simultáneamente a que el Ministerio Público Fiscal pidiera que se agravara su situación procesal; por qué las declaraciones de Telleldín a los medios y no a la justicia; por qué las amenazas a Boragni y a su hijo; por </w:t>
      </w:r>
      <w:r>
        <w:lastRenderedPageBreak/>
        <w:t>qué la presencia de Anastasio Ireneo Leal, negada por éste, en el domicilio de República 107 la noche en que apareció el motor; por qué la omisión a toda referencia a Lanús en sus primeras declaraciones cuando fueron probados los h</w:t>
      </w:r>
      <w:r>
        <w:t>e</w:t>
      </w:r>
      <w:r>
        <w:t>chos de los que fue víctima el 15 de marzo y el 4 de abril de 1994; por qué Solari, Gatto y Valenga, Alí y el episodio del video; por qué el pago a Telleldín o, peor aún, cuál fue el motivo para que se le pagara si la aduc</w:t>
      </w:r>
      <w:r>
        <w:t>i</w:t>
      </w:r>
      <w:r>
        <w:t>da finalidad de protección jamás se cumplió; por qué la apar</w:t>
      </w:r>
      <w:r>
        <w:t>i</w:t>
      </w:r>
      <w:r>
        <w:t xml:space="preserve">ción de un boleto de compraventa de </w:t>
      </w:r>
      <w:smartTag w:uri="urn:schemas-microsoft-com:office:smarttags" w:element="PersonName">
        <w:smartTagPr>
          <w:attr w:name="ProductID" w:val="la Trafic"/>
        </w:smartTagPr>
        <w:r>
          <w:t>la Trafic</w:t>
        </w:r>
      </w:smartTag>
      <w:r>
        <w:t xml:space="preserve"> firmado por Miriam Sal</w:t>
      </w:r>
      <w:r>
        <w:t>i</w:t>
      </w:r>
      <w:r>
        <w:t>nas en el transcurso del d</w:t>
      </w:r>
      <w:r>
        <w:t>e</w:t>
      </w:r>
      <w:r>
        <w:t>bate.</w:t>
      </w:r>
    </w:p>
    <w:p w:rsidR="00224567" w:rsidRDefault="00224567">
      <w:pPr>
        <w:pStyle w:val="Textoindependiente"/>
        <w:spacing w:line="600" w:lineRule="auto"/>
        <w:ind w:firstLine="2835"/>
      </w:pPr>
      <w:r>
        <w:t>Consideró que la acusación no fue pr</w:t>
      </w:r>
      <w:r>
        <w:t>o</w:t>
      </w:r>
      <w:r>
        <w:t>ducto de una coyuntura política o un capricho de un magi</w:t>
      </w:r>
      <w:r>
        <w:t>s</w:t>
      </w:r>
      <w:r>
        <w:t>trado y resaltó que las decisiones de la etapa anterior fueron escrutadas por los tribunales de alzada.</w:t>
      </w:r>
    </w:p>
    <w:p w:rsidR="00224567" w:rsidRDefault="00224567">
      <w:pPr>
        <w:pStyle w:val="Textoindependiente"/>
        <w:spacing w:line="600" w:lineRule="auto"/>
        <w:ind w:firstLine="2835"/>
      </w:pPr>
      <w:r>
        <w:t xml:space="preserve">Por lo demás, dijo, que </w:t>
      </w:r>
      <w:smartTag w:uri="urn:schemas-microsoft-com:office:smarttags" w:element="PersonName">
        <w:smartTagPr>
          <w:attr w:name="ProductID" w:val="la Comisi￳n Bicameral"/>
        </w:smartTagPr>
        <w:r>
          <w:t>la Comisión B</w:t>
        </w:r>
        <w:r>
          <w:t>i</w:t>
        </w:r>
        <w:r>
          <w:t>cameral</w:t>
        </w:r>
      </w:smartTag>
      <w:r>
        <w:t xml:space="preserve"> Especial de Seguimiento de </w:t>
      </w:r>
      <w:smartTag w:uri="urn:schemas-microsoft-com:office:smarttags" w:element="PersonName">
        <w:smartTagPr>
          <w:attr w:name="ProductID" w:val="la Investigaci￳n"/>
        </w:smartTagPr>
        <w:r>
          <w:t>la Inve</w:t>
        </w:r>
        <w:r>
          <w:t>s</w:t>
        </w:r>
        <w:r>
          <w:t>tigación</w:t>
        </w:r>
      </w:smartTag>
      <w:r>
        <w:t xml:space="preserve"> de los Atentados a </w:t>
      </w:r>
      <w:smartTag w:uri="urn:schemas-microsoft-com:office:smarttags" w:element="PersonName">
        <w:smartTagPr>
          <w:attr w:name="ProductID" w:val="la Embajada"/>
        </w:smartTagPr>
        <w:r>
          <w:t>la Embajada</w:t>
        </w:r>
      </w:smartTag>
      <w:r>
        <w:t xml:space="preserve"> de Israel y al Edificio de </w:t>
      </w:r>
      <w:smartTag w:uri="urn:schemas-microsoft-com:office:smarttags" w:element="PersonName">
        <w:smartTagPr>
          <w:attr w:name="ProductID" w:val="la A.M"/>
        </w:smartTagPr>
        <w:r>
          <w:t>la A.M</w:t>
        </w:r>
      </w:smartTag>
      <w:r>
        <w:t>.I.A., en su primer informe, en concordancia con lo e</w:t>
      </w:r>
      <w:r>
        <w:t>x</w:t>
      </w:r>
      <w:r>
        <w:t>puesto, recomendó expresamente la profundización de la pi</w:t>
      </w:r>
      <w:r>
        <w:t>s</w:t>
      </w:r>
      <w:r>
        <w:lastRenderedPageBreak/>
        <w:t>ta policial.</w:t>
      </w:r>
    </w:p>
    <w:p w:rsidR="00224567" w:rsidRDefault="00224567">
      <w:pPr>
        <w:pStyle w:val="Textoindependiente"/>
        <w:spacing w:line="600" w:lineRule="auto"/>
        <w:ind w:firstLine="2835"/>
      </w:pPr>
      <w:r>
        <w:t>Finalmente, señaló en apoyo de la ac</w:t>
      </w:r>
      <w:r>
        <w:t>u</w:t>
      </w:r>
      <w:r>
        <w:t>sación,  el dictamen elaborado por una comisión de juri</w:t>
      </w:r>
      <w:r>
        <w:t>s</w:t>
      </w:r>
      <w:r>
        <w:t>tas (agregado a partir de fs. 26.906), que tras analizar las probanzas colectadas, concluyó que hab</w:t>
      </w:r>
      <w:r>
        <w:t>í</w:t>
      </w:r>
      <w:r>
        <w:t>an existido desvíos en la causa y que era necesario ahondar la inve</w:t>
      </w:r>
      <w:r>
        <w:t>s</w:t>
      </w:r>
      <w:r>
        <w:t xml:space="preserve">tigación de la pista policial. </w:t>
      </w:r>
    </w:p>
    <w:p w:rsidR="00224567" w:rsidRPr="00A21112" w:rsidRDefault="00224567">
      <w:pPr>
        <w:pStyle w:val="Textoindependiente"/>
        <w:spacing w:line="600" w:lineRule="auto"/>
        <w:ind w:firstLine="2835"/>
        <w:rPr>
          <w:highlight w:val="yellow"/>
        </w:rPr>
      </w:pPr>
      <w:r w:rsidRPr="00A21112">
        <w:rPr>
          <w:highlight w:val="yellow"/>
        </w:rPr>
        <w:t>Culminó su exposición el Dr. José Ba</w:t>
      </w:r>
      <w:r w:rsidRPr="00A21112">
        <w:rPr>
          <w:highlight w:val="yellow"/>
        </w:rPr>
        <w:t>r</w:t>
      </w:r>
      <w:r w:rsidRPr="00A21112">
        <w:rPr>
          <w:highlight w:val="yellow"/>
        </w:rPr>
        <w:t>baccia expresando que “Carlos Alberto Telleldín y sus s</w:t>
      </w:r>
      <w:r w:rsidRPr="00A21112">
        <w:rPr>
          <w:highlight w:val="yellow"/>
        </w:rPr>
        <w:t>o</w:t>
      </w:r>
      <w:r w:rsidRPr="00A21112">
        <w:rPr>
          <w:highlight w:val="yellow"/>
        </w:rPr>
        <w:t>cios en este crimen no eran culpables porque me</w:t>
      </w:r>
      <w:r w:rsidRPr="00A21112">
        <w:rPr>
          <w:highlight w:val="yellow"/>
        </w:rPr>
        <w:t>n</w:t>
      </w:r>
      <w:r w:rsidRPr="00A21112">
        <w:rPr>
          <w:highlight w:val="yellow"/>
        </w:rPr>
        <w:t>tían, sino que mentían porque eran culpables, ya que reconocer la ve</w:t>
      </w:r>
      <w:r w:rsidRPr="00A21112">
        <w:rPr>
          <w:highlight w:val="yellow"/>
        </w:rPr>
        <w:t>r</w:t>
      </w:r>
      <w:r w:rsidRPr="00A21112">
        <w:rPr>
          <w:highlight w:val="yellow"/>
        </w:rPr>
        <w:t>dad implicaría involucrarse directamente como partíc</w:t>
      </w:r>
      <w:r w:rsidRPr="00A21112">
        <w:rPr>
          <w:highlight w:val="yellow"/>
        </w:rPr>
        <w:t>i</w:t>
      </w:r>
      <w:r w:rsidRPr="00A21112">
        <w:rPr>
          <w:highlight w:val="yellow"/>
        </w:rPr>
        <w:t>pes de la masacre”.</w:t>
      </w:r>
    </w:p>
    <w:p w:rsidR="00224567" w:rsidRDefault="00224567">
      <w:pPr>
        <w:pStyle w:val="Textoindependiente"/>
        <w:spacing w:line="600" w:lineRule="auto"/>
        <w:ind w:firstLine="2835"/>
      </w:pPr>
      <w:r w:rsidRPr="00A21112">
        <w:rPr>
          <w:highlight w:val="yellow"/>
        </w:rPr>
        <w:t>Seguidamente el Sr. fiscal gen</w:t>
      </w:r>
      <w:r w:rsidRPr="00A21112">
        <w:rPr>
          <w:highlight w:val="yellow"/>
        </w:rPr>
        <w:t>e</w:t>
      </w:r>
      <w:r w:rsidRPr="00A21112">
        <w:rPr>
          <w:highlight w:val="yellow"/>
        </w:rPr>
        <w:t>ral, Dr. Miguel Ángel Rom</w:t>
      </w:r>
      <w:r>
        <w:t>ero, tras realizar una serie de consider</w:t>
      </w:r>
      <w:r>
        <w:t>a</w:t>
      </w:r>
      <w:r>
        <w:t>ciones relativas a las persecuciones que debió sufrir el pueblo judío a lo largo de la historia, acusó fo</w:t>
      </w:r>
      <w:r>
        <w:t>r</w:t>
      </w:r>
      <w:r>
        <w:t>malmente a Carlos Alberto Telleldín como partícipe necesario en la c</w:t>
      </w:r>
      <w:r>
        <w:t>o</w:t>
      </w:r>
      <w:r>
        <w:t>misión del delito de adulteración del documento público destinado a acreditar la identidad de las personas nº 14.536.215 (triplicado), mediante el aporte de su fotogr</w:t>
      </w:r>
      <w:r>
        <w:t>a</w:t>
      </w:r>
      <w:r>
        <w:lastRenderedPageBreak/>
        <w:t>fía y la omisión de realizar reclamo alguno ante el Regi</w:t>
      </w:r>
      <w:r>
        <w:t>s</w:t>
      </w:r>
      <w:r>
        <w:t>tro Nacional de las Personas, en tanto se expidió el doc</w:t>
      </w:r>
      <w:r>
        <w:t>u</w:t>
      </w:r>
      <w:r>
        <w:t>mento en forma err</w:t>
      </w:r>
      <w:r>
        <w:t>ó</w:t>
      </w:r>
      <w:r>
        <w:t>nea.</w:t>
      </w:r>
    </w:p>
    <w:p w:rsidR="00224567" w:rsidRDefault="00224567">
      <w:pPr>
        <w:pStyle w:val="Textoindependiente"/>
        <w:spacing w:line="600" w:lineRule="auto"/>
        <w:ind w:firstLine="2835"/>
      </w:pPr>
      <w:r>
        <w:t>Consideró probado que el día 27 de j</w:t>
      </w:r>
      <w:r>
        <w:t>u</w:t>
      </w:r>
      <w:r>
        <w:t>lio de 1994, en oportunidad de ser detenido Carlos Alberto Telleldín en el Aeroparque Jorge Newbery, personal pol</w:t>
      </w:r>
      <w:r>
        <w:t>i</w:t>
      </w:r>
      <w:r>
        <w:t>cial secuestró, entre otros efectos, el mencionado cart</w:t>
      </w:r>
      <w:r>
        <w:t>u</w:t>
      </w:r>
      <w:r>
        <w:t>lar que el imputado llevaba en su poder y que el 29 de agosto de 1995 el instrumento fue remitido, junto con las pertene</w:t>
      </w:r>
      <w:r>
        <w:t>n</w:t>
      </w:r>
      <w:r>
        <w:t>cias del imputado, al juzgado instructor, ocasión en la cual se apreció que el documento denotaba signos de adult</w:t>
      </w:r>
      <w:r>
        <w:t>e</w:t>
      </w:r>
      <w:r>
        <w:t>ración y que figuraba a nombre de Carlos Alberto Tecc</w:t>
      </w:r>
      <w:r>
        <w:t>e</w:t>
      </w:r>
      <w:r>
        <w:t>din.</w:t>
      </w:r>
    </w:p>
    <w:p w:rsidR="00224567" w:rsidRDefault="00224567">
      <w:pPr>
        <w:widowControl w:val="0"/>
        <w:tabs>
          <w:tab w:val="left" w:pos="0"/>
        </w:tabs>
        <w:ind w:firstLine="2835"/>
      </w:pPr>
      <w:r>
        <w:t>Señaló que las peritaciones de fs. 24.694, 28.499, 29.728 y 24.770 determinaron que la cart</w:t>
      </w:r>
      <w:r>
        <w:t>i</w:t>
      </w:r>
      <w:r>
        <w:t>lla era auténtica; que se suplantó la fot</w:t>
      </w:r>
      <w:r>
        <w:t>o</w:t>
      </w:r>
      <w:r>
        <w:t>grafía original por la que actualmente ostenta y que el trazo y los rasgos de las firmas del titular y del funcion</w:t>
      </w:r>
      <w:r>
        <w:t>a</w:t>
      </w:r>
      <w:r>
        <w:t>rio certificante, fueron impuestas con posterioridad con la finalidad de s</w:t>
      </w:r>
      <w:r>
        <w:t>i</w:t>
      </w:r>
      <w:r>
        <w:t>mular su continuación sobre la imagen fotográfica, así c</w:t>
      </w:r>
      <w:r>
        <w:t>o</w:t>
      </w:r>
      <w:r>
        <w:t xml:space="preserve">mo el sello oficial y la huella dactilar. A la vez, los </w:t>
      </w:r>
      <w:r>
        <w:lastRenderedPageBreak/>
        <w:t>estudios determinaron que se realizó una maniobra de e</w:t>
      </w:r>
      <w:r>
        <w:t>n</w:t>
      </w:r>
      <w:r>
        <w:t>mienda sobre el apellido, consistente en el agregado de los barrales horizontales a la consonante “LL” para tran</w:t>
      </w:r>
      <w:r>
        <w:t>s</w:t>
      </w:r>
      <w:r>
        <w:t>formarla en las actuales “C”. Por último, dijo que la co</w:t>
      </w:r>
      <w:r>
        <w:t>n</w:t>
      </w:r>
      <w:r>
        <w:t>sonante “L” sucesora de la “E” nunca fue miembro del ap</w:t>
      </w:r>
      <w:r>
        <w:t>e</w:t>
      </w:r>
      <w:r>
        <w:t>llido gr</w:t>
      </w:r>
      <w:r>
        <w:t>a</w:t>
      </w:r>
      <w:r>
        <w:t>ficado.</w:t>
      </w:r>
    </w:p>
    <w:p w:rsidR="00224567" w:rsidRDefault="00224567">
      <w:pPr>
        <w:widowControl w:val="0"/>
        <w:tabs>
          <w:tab w:val="left" w:pos="0"/>
        </w:tabs>
        <w:ind w:firstLine="2835"/>
      </w:pPr>
      <w:r>
        <w:t>Sobre la base de las declaraciones testimoniales de los funcionarios del Registro Nacional de las Personas Mónica Patricia Maciel, M</w:t>
      </w:r>
      <w:r>
        <w:t>a</w:t>
      </w:r>
      <w:r>
        <w:t>rio Alberto Vassena y Haydé Elena Zárate, el fiscal sostuvo que el documento fue expedido en forma errónea, en tanto que cotejada la matrícula con la ficha del registro, se advertía una an</w:t>
      </w:r>
      <w:r>
        <w:t>o</w:t>
      </w:r>
      <w:r>
        <w:t>malía en la escritura del apellido Telleldín, puesto que se consignó Telledín. Además, según dijeron los test</w:t>
      </w:r>
      <w:r>
        <w:t>i</w:t>
      </w:r>
      <w:r>
        <w:t>gos, en ese caso el titular debía reclamar su repos</w:t>
      </w:r>
      <w:r>
        <w:t>i</w:t>
      </w:r>
      <w:r>
        <w:t xml:space="preserve">ción. </w:t>
      </w:r>
    </w:p>
    <w:p w:rsidR="00224567" w:rsidRDefault="00224567">
      <w:pPr>
        <w:pStyle w:val="Textoindependiente2"/>
        <w:widowControl w:val="0"/>
        <w:tabs>
          <w:tab w:val="left" w:pos="0"/>
        </w:tabs>
        <w:ind w:firstLine="2835"/>
        <w:rPr>
          <w:rFonts w:ascii="Courier New" w:hAnsi="Courier New" w:cs="Courier New"/>
          <w:szCs w:val="24"/>
        </w:rPr>
      </w:pPr>
      <w:r>
        <w:rPr>
          <w:rFonts w:ascii="Courier New" w:hAnsi="Courier New" w:cs="Courier New"/>
          <w:szCs w:val="24"/>
        </w:rPr>
        <w:t>Además, afirmó que el imputado Telle</w:t>
      </w:r>
      <w:r>
        <w:rPr>
          <w:rFonts w:ascii="Courier New" w:hAnsi="Courier New" w:cs="Courier New"/>
          <w:szCs w:val="24"/>
        </w:rPr>
        <w:t>l</w:t>
      </w:r>
      <w:r>
        <w:rPr>
          <w:rFonts w:ascii="Courier New" w:hAnsi="Courier New" w:cs="Courier New"/>
          <w:szCs w:val="24"/>
        </w:rPr>
        <w:t>dín hizo uso del documento espurio para acreditar su falsa identidad como Teccedin en numerosas oportunidades; a s</w:t>
      </w:r>
      <w:r>
        <w:rPr>
          <w:rFonts w:ascii="Courier New" w:hAnsi="Courier New" w:cs="Courier New"/>
          <w:szCs w:val="24"/>
        </w:rPr>
        <w:t>a</w:t>
      </w:r>
      <w:r>
        <w:rPr>
          <w:rFonts w:ascii="Courier New" w:hAnsi="Courier New" w:cs="Courier New"/>
          <w:szCs w:val="24"/>
        </w:rPr>
        <w:t>ber, en las operaciones comerciales que dan cuenta los b</w:t>
      </w:r>
      <w:r>
        <w:rPr>
          <w:rFonts w:ascii="Courier New" w:hAnsi="Courier New" w:cs="Courier New"/>
          <w:szCs w:val="24"/>
        </w:rPr>
        <w:t>o</w:t>
      </w:r>
      <w:r>
        <w:rPr>
          <w:rFonts w:ascii="Courier New" w:hAnsi="Courier New" w:cs="Courier New"/>
          <w:szCs w:val="24"/>
        </w:rPr>
        <w:t>letos de compraventa de fs. 15.155 y 15.171; en los form</w:t>
      </w:r>
      <w:r>
        <w:rPr>
          <w:rFonts w:ascii="Courier New" w:hAnsi="Courier New" w:cs="Courier New"/>
          <w:szCs w:val="24"/>
        </w:rPr>
        <w:t>u</w:t>
      </w:r>
      <w:r>
        <w:rPr>
          <w:rFonts w:ascii="Courier New" w:hAnsi="Courier New" w:cs="Courier New"/>
          <w:szCs w:val="24"/>
        </w:rPr>
        <w:t>larios de solicitud de verificación policial correspo</w:t>
      </w:r>
      <w:r>
        <w:rPr>
          <w:rFonts w:ascii="Courier New" w:hAnsi="Courier New" w:cs="Courier New"/>
          <w:szCs w:val="24"/>
        </w:rPr>
        <w:t>n</w:t>
      </w:r>
      <w:r>
        <w:rPr>
          <w:rFonts w:ascii="Courier New" w:hAnsi="Courier New" w:cs="Courier New"/>
          <w:szCs w:val="24"/>
        </w:rPr>
        <w:lastRenderedPageBreak/>
        <w:t>dientes a los rodados Renault 12 TL, dominio C 1.643.051, Renault 11, d</w:t>
      </w:r>
      <w:r>
        <w:rPr>
          <w:rFonts w:ascii="Courier New" w:hAnsi="Courier New" w:cs="Courier New"/>
          <w:szCs w:val="24"/>
        </w:rPr>
        <w:t>o</w:t>
      </w:r>
      <w:r>
        <w:rPr>
          <w:rFonts w:ascii="Courier New" w:hAnsi="Courier New" w:cs="Courier New"/>
          <w:szCs w:val="24"/>
        </w:rPr>
        <w:t>minio B 2.443.374, Renault 12 TL, dominio B 2.335.520, Renault Trafic, dominio B 2.242.044, present</w:t>
      </w:r>
      <w:r>
        <w:rPr>
          <w:rFonts w:ascii="Courier New" w:hAnsi="Courier New" w:cs="Courier New"/>
          <w:szCs w:val="24"/>
        </w:rPr>
        <w:t>a</w:t>
      </w:r>
      <w:r>
        <w:rPr>
          <w:rFonts w:ascii="Courier New" w:hAnsi="Courier New" w:cs="Courier New"/>
          <w:szCs w:val="24"/>
        </w:rPr>
        <w:t>dos los días 14 de diciembre de 1993 y 21 de abril, 24 de junio y 27 de mayo de 1994, respectivamente; en las transacciones de compra y venta de rodados con la firma “Al</w:t>
      </w:r>
      <w:r>
        <w:rPr>
          <w:rFonts w:ascii="Courier New" w:hAnsi="Courier New" w:cs="Courier New"/>
          <w:szCs w:val="24"/>
        </w:rPr>
        <w:t>e</w:t>
      </w:r>
      <w:r>
        <w:rPr>
          <w:rFonts w:ascii="Courier New" w:hAnsi="Courier New" w:cs="Courier New"/>
          <w:szCs w:val="24"/>
        </w:rPr>
        <w:t>jandro Automotores”; en el contrato de alquiler de una quinta en Tort</w:t>
      </w:r>
      <w:r>
        <w:rPr>
          <w:rFonts w:ascii="Courier New" w:hAnsi="Courier New" w:cs="Courier New"/>
          <w:szCs w:val="24"/>
        </w:rPr>
        <w:t>u</w:t>
      </w:r>
      <w:r>
        <w:rPr>
          <w:rFonts w:ascii="Courier New" w:hAnsi="Courier New" w:cs="Courier New"/>
          <w:szCs w:val="24"/>
        </w:rPr>
        <w:t>guitas y al asociarse a un videoclub de la misma localidad.</w:t>
      </w:r>
    </w:p>
    <w:p w:rsidR="00224567" w:rsidRDefault="00224567">
      <w:pPr>
        <w:pStyle w:val="Textoindependiente2"/>
        <w:widowControl w:val="0"/>
        <w:tabs>
          <w:tab w:val="left" w:pos="0"/>
        </w:tabs>
        <w:ind w:firstLine="2835"/>
        <w:rPr>
          <w:rFonts w:ascii="Courier New" w:hAnsi="Courier New" w:cs="Courier New"/>
        </w:rPr>
      </w:pPr>
      <w:r>
        <w:rPr>
          <w:rFonts w:ascii="Courier New" w:hAnsi="Courier New" w:cs="Courier New"/>
          <w:szCs w:val="24"/>
        </w:rPr>
        <w:t xml:space="preserve">Asimismo, </w:t>
      </w:r>
      <w:r>
        <w:rPr>
          <w:rFonts w:ascii="Courier New" w:hAnsi="Courier New" w:cs="Courier New"/>
        </w:rPr>
        <w:t>consideró que el día 4 de abril de 1994, al ser aprehendido Telleldín en la puerta del mencionado videoclub, se identificó como Tecc</w:t>
      </w:r>
      <w:r>
        <w:rPr>
          <w:rFonts w:ascii="Courier New" w:hAnsi="Courier New" w:cs="Courier New"/>
        </w:rPr>
        <w:t>e</w:t>
      </w:r>
      <w:r>
        <w:rPr>
          <w:rFonts w:ascii="Courier New" w:hAnsi="Courier New" w:cs="Courier New"/>
        </w:rPr>
        <w:t xml:space="preserve">din ante el personal policial de </w:t>
      </w:r>
      <w:smartTag w:uri="urn:schemas-microsoft-com:office:smarttags" w:element="PersonName">
        <w:smartTagPr>
          <w:attr w:name="ProductID" w:val="la Brigada"/>
        </w:smartTagPr>
        <w:r>
          <w:rPr>
            <w:rFonts w:ascii="Courier New" w:hAnsi="Courier New" w:cs="Courier New"/>
          </w:rPr>
          <w:t>la Brigada</w:t>
        </w:r>
      </w:smartTag>
      <w:r>
        <w:rPr>
          <w:rFonts w:ascii="Courier New" w:hAnsi="Courier New" w:cs="Courier New"/>
        </w:rPr>
        <w:t xml:space="preserve"> de Investigaciones de Lanús, de manera que los informes que se recabaron para averiguar sus ant</w:t>
      </w:r>
      <w:r>
        <w:rPr>
          <w:rFonts w:ascii="Courier New" w:hAnsi="Courier New" w:cs="Courier New"/>
        </w:rPr>
        <w:t>e</w:t>
      </w:r>
      <w:r>
        <w:rPr>
          <w:rFonts w:ascii="Courier New" w:hAnsi="Courier New" w:cs="Courier New"/>
        </w:rPr>
        <w:t>cedentes, arrojaron resultado negativo.</w:t>
      </w:r>
    </w:p>
    <w:p w:rsidR="00224567" w:rsidRDefault="00224567">
      <w:pPr>
        <w:widowControl w:val="0"/>
        <w:tabs>
          <w:tab w:val="left" w:pos="0"/>
        </w:tabs>
        <w:ind w:firstLine="2835"/>
      </w:pPr>
      <w:r>
        <w:t>Al respecto, a más de otros testim</w:t>
      </w:r>
      <w:r>
        <w:t>o</w:t>
      </w:r>
      <w:r>
        <w:t>nios, el fiscal citó las indagatorias del imputado Oscar Eusebio Bacigalupo y Juan José Ribelli, quienes sostuvi</w:t>
      </w:r>
      <w:r>
        <w:t>e</w:t>
      </w:r>
      <w:r>
        <w:t>ron que Telleldín exhibió el doc</w:t>
      </w:r>
      <w:r>
        <w:t>u</w:t>
      </w:r>
      <w:r>
        <w:t>mento apócrifo y se dio a conocer bajo esa falsa identidad.</w:t>
      </w:r>
    </w:p>
    <w:p w:rsidR="00224567" w:rsidRDefault="00224567">
      <w:pPr>
        <w:pStyle w:val="Sangra2detindependiente"/>
        <w:widowControl w:val="0"/>
        <w:spacing w:line="600" w:lineRule="auto"/>
        <w:ind w:firstLine="2835"/>
      </w:pPr>
      <w:r w:rsidRPr="00A21112">
        <w:rPr>
          <w:highlight w:val="yellow"/>
        </w:rPr>
        <w:lastRenderedPageBreak/>
        <w:t>En cuanto a este último punto, en oportunidad de realizar su alegato el fiscal general A</w:t>
      </w:r>
      <w:r w:rsidRPr="00A21112">
        <w:rPr>
          <w:highlight w:val="yellow"/>
        </w:rPr>
        <w:t>l</w:t>
      </w:r>
      <w:r w:rsidRPr="00A21112">
        <w:rPr>
          <w:highlight w:val="yellow"/>
        </w:rPr>
        <w:t>berto Nisman, manifestó que su colega, Miguel Ángel Rom</w:t>
      </w:r>
      <w:r w:rsidRPr="00A21112">
        <w:rPr>
          <w:highlight w:val="yellow"/>
        </w:rPr>
        <w:t>e</w:t>
      </w:r>
      <w:r w:rsidRPr="00A21112">
        <w:rPr>
          <w:highlight w:val="yellow"/>
        </w:rPr>
        <w:t>ro, “había incurrido involuntariamente en un error mat</w:t>
      </w:r>
      <w:r w:rsidRPr="00A21112">
        <w:rPr>
          <w:highlight w:val="yellow"/>
        </w:rPr>
        <w:t>e</w:t>
      </w:r>
      <w:r w:rsidRPr="00A21112">
        <w:rPr>
          <w:highlight w:val="yellow"/>
        </w:rPr>
        <w:t>rial”, por lo que al formular la acusación respecto del hecho i</w:t>
      </w:r>
      <w:r w:rsidRPr="00A21112">
        <w:rPr>
          <w:highlight w:val="yellow"/>
        </w:rPr>
        <w:t>m</w:t>
      </w:r>
      <w:r w:rsidRPr="00A21112">
        <w:rPr>
          <w:highlight w:val="yellow"/>
        </w:rPr>
        <w:t>putado ocurrido el 4 de abril de 1994, se habrá de aclarar la posición definitiva del Ministerio Público Fi</w:t>
      </w:r>
      <w:r w:rsidRPr="00A21112">
        <w:rPr>
          <w:highlight w:val="yellow"/>
        </w:rPr>
        <w:t>s</w:t>
      </w:r>
      <w:r w:rsidRPr="00A21112">
        <w:rPr>
          <w:highlight w:val="yellow"/>
        </w:rPr>
        <w:t>cal.</w:t>
      </w:r>
    </w:p>
    <w:p w:rsidR="00224567" w:rsidRDefault="00224567">
      <w:pPr>
        <w:widowControl w:val="0"/>
        <w:tabs>
          <w:tab w:val="left" w:pos="0"/>
        </w:tabs>
        <w:ind w:firstLine="2835"/>
      </w:pPr>
      <w:r>
        <w:t>Respecto de los dichos exculpatorios del imputado Telleldín en el sentido de que había formul</w:t>
      </w:r>
      <w:r>
        <w:t>a</w:t>
      </w:r>
      <w:r>
        <w:t>do una queja ante el registro pertinente por la errónea expedición del documento, el fiscal Romero indicó que no había ninguna constancia que acreditara su reclamo, aunque sí la solic</w:t>
      </w:r>
      <w:r>
        <w:t>i</w:t>
      </w:r>
      <w:r>
        <w:t>tud de uno nuevo.</w:t>
      </w:r>
    </w:p>
    <w:p w:rsidR="00224567" w:rsidRDefault="00224567">
      <w:pPr>
        <w:pStyle w:val="Sangra2detindependiente"/>
        <w:widowControl w:val="0"/>
        <w:spacing w:line="600" w:lineRule="auto"/>
        <w:ind w:firstLine="2835"/>
      </w:pPr>
      <w:r>
        <w:t>Tal accionar, consideró el fiscal, d</w:t>
      </w:r>
      <w:r>
        <w:t>e</w:t>
      </w:r>
      <w:r>
        <w:t>mostró la voluntad de Telleldín de conseguir un doc</w:t>
      </w:r>
      <w:r>
        <w:t>u</w:t>
      </w:r>
      <w:r>
        <w:t>mento lícito cuadruplicado; sin embargo, dijo, conservó el tr</w:t>
      </w:r>
      <w:r>
        <w:t>i</w:t>
      </w:r>
      <w:r>
        <w:t>plicado que el registro le expidió con un error salv</w:t>
      </w:r>
      <w:r>
        <w:t>a</w:t>
      </w:r>
      <w:r>
        <w:t>ble y que el imputado adulteró. Ello, argumentó, resultaba co</w:t>
      </w:r>
      <w:r>
        <w:t>n</w:t>
      </w:r>
      <w:r>
        <w:t>veniente para Telleldín, dado que con dicho documento p</w:t>
      </w:r>
      <w:r>
        <w:t>o</w:t>
      </w:r>
      <w:r>
        <w:t xml:space="preserve">día realizar acciones ilícitas sin temor a que dieran con </w:t>
      </w:r>
      <w:r>
        <w:lastRenderedPageBreak/>
        <w:t>su pe</w:t>
      </w:r>
      <w:r>
        <w:t>r</w:t>
      </w:r>
      <w:r>
        <w:t>sona.</w:t>
      </w:r>
    </w:p>
    <w:p w:rsidR="00224567" w:rsidRDefault="00224567">
      <w:pPr>
        <w:pStyle w:val="Textoindependiente"/>
        <w:spacing w:line="600" w:lineRule="auto"/>
        <w:ind w:firstLine="2835"/>
      </w:pPr>
      <w:r>
        <w:t>El representante del Ministerio P</w:t>
      </w:r>
      <w:r>
        <w:t>ú</w:t>
      </w:r>
      <w:r>
        <w:t>blico Fiscal calificó la conducta de Carlos Alberto Telleldín, como incursa en el delito previsto en el art. 292, 2º p</w:t>
      </w:r>
      <w:r>
        <w:t>á</w:t>
      </w:r>
      <w:r>
        <w:t>rrafo, del Código Penal, en calidad de partícipe neces</w:t>
      </w:r>
      <w:r>
        <w:t>a</w:t>
      </w:r>
      <w:r>
        <w:t>rio.</w:t>
      </w:r>
    </w:p>
    <w:p w:rsidR="00224567" w:rsidRDefault="00224567">
      <w:pPr>
        <w:pStyle w:val="Textoindependiente"/>
        <w:spacing w:line="600" w:lineRule="auto"/>
        <w:ind w:firstLine="2835"/>
      </w:pPr>
      <w:r>
        <w:t>Con relación a la participación de Ca</w:t>
      </w:r>
      <w:r>
        <w:t>r</w:t>
      </w:r>
      <w:r>
        <w:t>los Alberto Telleldín en el atentado cometido el 18 de j</w:t>
      </w:r>
      <w:r>
        <w:t>u</w:t>
      </w:r>
      <w:r>
        <w:t xml:space="preserve">lio de 1994 contra la sede de </w:t>
      </w:r>
      <w:smartTag w:uri="urn:schemas-microsoft-com:office:smarttags" w:element="PersonName">
        <w:smartTagPr>
          <w:attr w:name="ProductID" w:val="la A.M"/>
        </w:smartTagPr>
        <w:r>
          <w:t>la A.M</w:t>
        </w:r>
      </w:smartTag>
      <w:r>
        <w:t>.I.A., el fiscal gen</w:t>
      </w:r>
      <w:r>
        <w:t>e</w:t>
      </w:r>
      <w:r>
        <w:t>ral Miguel Ángel Romero realizó un análisis de la person</w:t>
      </w:r>
      <w:r>
        <w:t>a</w:t>
      </w:r>
      <w:r>
        <w:t>lidad del imputado y de sus reiteradas conductas, que cal</w:t>
      </w:r>
      <w:r>
        <w:t>i</w:t>
      </w:r>
      <w:r>
        <w:t>ficó de mendaces durante toda la inve</w:t>
      </w:r>
      <w:r>
        <w:t>s</w:t>
      </w:r>
      <w:r>
        <w:t>tigación.</w:t>
      </w:r>
    </w:p>
    <w:p w:rsidR="00224567" w:rsidRDefault="00224567">
      <w:pPr>
        <w:pStyle w:val="Textoindependiente"/>
        <w:spacing w:line="600" w:lineRule="auto"/>
        <w:ind w:firstLine="2835"/>
      </w:pPr>
      <w:r>
        <w:t>En ese sentido, destacó la eficiente habilidad de Telleldín para “mezclar situaciones, enreda</w:t>
      </w:r>
      <w:r>
        <w:t>r</w:t>
      </w:r>
      <w:r>
        <w:t>las y presentarlas de una manera di</w:t>
      </w:r>
      <w:r>
        <w:t>s</w:t>
      </w:r>
      <w:r>
        <w:t>tinta”.</w:t>
      </w:r>
    </w:p>
    <w:p w:rsidR="00224567" w:rsidRDefault="00224567">
      <w:pPr>
        <w:pStyle w:val="Textoindependiente"/>
        <w:spacing w:line="600" w:lineRule="auto"/>
        <w:ind w:firstLine="2835"/>
      </w:pPr>
      <w:r>
        <w:t>Como bien se dijo en el debate, e</w:t>
      </w:r>
      <w:r>
        <w:t>x</w:t>
      </w:r>
      <w:r>
        <w:t>presó el fiscal, “Telleldín era un proxeneta y doblador de a</w:t>
      </w:r>
      <w:r>
        <w:t>u</w:t>
      </w:r>
      <w:r>
        <w:t>tos”, pero, entendió, “era en ese tiempo –1994- algo más, sabía muy bien su trabajo y no desdeñaba nada que no le diera dinero”.</w:t>
      </w:r>
    </w:p>
    <w:p w:rsidR="00224567" w:rsidRDefault="00224567">
      <w:pPr>
        <w:pStyle w:val="Textoindependiente"/>
        <w:spacing w:line="600" w:lineRule="auto"/>
        <w:ind w:firstLine="2835"/>
      </w:pPr>
      <w:r>
        <w:t xml:space="preserve">Consideró aquellas circunstancias, a </w:t>
      </w:r>
      <w:r>
        <w:lastRenderedPageBreak/>
        <w:t>las que agregó “sus actividades marginales enredadas en ocasiones con otras que no lo eran, su clara inclin</w:t>
      </w:r>
      <w:r>
        <w:t>a</w:t>
      </w:r>
      <w:r>
        <w:t>ción a una suerte de vivir peligrosamente conforme a sus partic</w:t>
      </w:r>
      <w:r>
        <w:t>u</w:t>
      </w:r>
      <w:r>
        <w:t>lares pautas de vida, habilidades manifie</w:t>
      </w:r>
      <w:r>
        <w:t>s</w:t>
      </w:r>
      <w:r>
        <w:t>tas [vinculadas] al armado de automotores y una evidente falta de escrúp</w:t>
      </w:r>
      <w:r>
        <w:t>u</w:t>
      </w:r>
      <w:r>
        <w:t>los para desarrollar actividades que proporcionasen gana</w:t>
      </w:r>
      <w:r>
        <w:t>n</w:t>
      </w:r>
      <w:r>
        <w:t>cias, aún exponiendo a integrantes de su círculo afect</w:t>
      </w:r>
      <w:r>
        <w:t>i</w:t>
      </w:r>
      <w:r>
        <w:t>vo”, como datos relevantes para que Telleldín fuera tenido en cuenta, dentro del medio en el que actuaba, como “un elemento alt</w:t>
      </w:r>
      <w:r>
        <w:t>a</w:t>
      </w:r>
      <w:r>
        <w:t>mente idóneo para su participación en la m</w:t>
      </w:r>
      <w:r>
        <w:t>a</w:t>
      </w:r>
      <w:r>
        <w:t>sacre”.</w:t>
      </w:r>
    </w:p>
    <w:p w:rsidR="00224567" w:rsidRDefault="00224567">
      <w:pPr>
        <w:widowControl w:val="0"/>
        <w:tabs>
          <w:tab w:val="left" w:pos="0"/>
        </w:tabs>
        <w:ind w:firstLine="2835"/>
      </w:pPr>
      <w:r>
        <w:t xml:space="preserve">Expresó que poco tiempo había pasado del atentado con un cochebomba a </w:t>
      </w:r>
      <w:smartTag w:uri="urn:schemas-microsoft-com:office:smarttags" w:element="PersonName">
        <w:smartTagPr>
          <w:attr w:name="ProductID" w:val="la Embajada"/>
        </w:smartTagPr>
        <w:r>
          <w:t>la Embajada</w:t>
        </w:r>
      </w:smartTag>
      <w:r>
        <w:t xml:space="preserve"> de Israel, por lo que “una persona con la basta experiencia en el a</w:t>
      </w:r>
      <w:r>
        <w:t>r</w:t>
      </w:r>
      <w:r>
        <w:t>mado de automotores y actividades ilícitas relacionadas con ese rubro, no podía ni debía desconocer que el enca</w:t>
      </w:r>
      <w:r>
        <w:t>r</w:t>
      </w:r>
      <w:r>
        <w:t>go que le efectuaran no iba a tener otro destino que el de un atentado”. En ese sentido, puntu</w:t>
      </w:r>
      <w:r>
        <w:t>a</w:t>
      </w:r>
      <w:r>
        <w:t>lizó, que la utilización de cochebombas como “herramientas de ideologías criminales sustentadoras del desprecio total de la vida humana” se veía reflejada en diversos noticieros televisivos, peri</w:t>
      </w:r>
      <w:r>
        <w:t>ó</w:t>
      </w:r>
      <w:r>
        <w:t>dicos, radios y hasta en películas y series de telev</w:t>
      </w:r>
      <w:r>
        <w:t>i</w:t>
      </w:r>
      <w:r>
        <w:t>sión.</w:t>
      </w:r>
    </w:p>
    <w:p w:rsidR="00224567" w:rsidRDefault="00224567">
      <w:pPr>
        <w:widowControl w:val="0"/>
        <w:tabs>
          <w:tab w:val="left" w:pos="0"/>
        </w:tabs>
        <w:ind w:firstLine="2835"/>
      </w:pPr>
      <w:r>
        <w:lastRenderedPageBreak/>
        <w:t>A criterio de la fiscalía, el hecho de “reparar y/o transformar una camioneta Renault Trafic co</w:t>
      </w:r>
      <w:r>
        <w:t>r</w:t>
      </w:r>
      <w:r>
        <w:t>ta en larga, mediante el adit</w:t>
      </w:r>
      <w:r>
        <w:t>a</w:t>
      </w:r>
      <w:r>
        <w:t>mento de elementos mecánicos apropiados, manteniendo a su vez un motor de igual marca, pero de una cilindrada menor al que le correspondería”, dado que devenía inadecuado para una camioneta larga, “i</w:t>
      </w:r>
      <w:r>
        <w:t>m</w:t>
      </w:r>
      <w:r>
        <w:t>plica senc</w:t>
      </w:r>
      <w:r>
        <w:t>i</w:t>
      </w:r>
      <w:r>
        <w:t>llamente que eso lo hace para poder transportar un peso considerable” y, agregó que “el rodado no tendría una vida útil prolo</w:t>
      </w:r>
      <w:r>
        <w:t>n</w:t>
      </w:r>
      <w:r>
        <w:t>gada”.</w:t>
      </w:r>
    </w:p>
    <w:p w:rsidR="00224567" w:rsidRDefault="00224567">
      <w:pPr>
        <w:widowControl w:val="0"/>
        <w:tabs>
          <w:tab w:val="left" w:pos="0"/>
        </w:tabs>
        <w:ind w:firstLine="2835"/>
      </w:pPr>
      <w:r>
        <w:t>De igual modo, sostuvo que “la adecu</w:t>
      </w:r>
      <w:r>
        <w:t>a</w:t>
      </w:r>
      <w:r>
        <w:t>ción interna del vehículo era demostrativa que lo que se le colocaría en el interior era un material muy pes</w:t>
      </w:r>
      <w:r>
        <w:t>a</w:t>
      </w:r>
      <w:r>
        <w:t>do...para que el peso no se notase del exterior”, razón por la cual, eran necesarios los elásticos refo</w:t>
      </w:r>
      <w:r>
        <w:t>r</w:t>
      </w:r>
      <w:r>
        <w:t>zados.</w:t>
      </w:r>
    </w:p>
    <w:p w:rsidR="00224567" w:rsidRDefault="00224567">
      <w:pPr>
        <w:widowControl w:val="0"/>
        <w:tabs>
          <w:tab w:val="left" w:pos="0"/>
        </w:tabs>
        <w:ind w:firstLine="2835"/>
      </w:pPr>
      <w:r>
        <w:t>En suma, dijo, “no importaba e</w:t>
      </w:r>
      <w:r>
        <w:t>s</w:t>
      </w:r>
      <w:r>
        <w:t>forzar el motor, dado que el vehículo, con el cu</w:t>
      </w:r>
      <w:r>
        <w:t>m</w:t>
      </w:r>
      <w:r>
        <w:t>plimiento de su siniestra misión, finalizaría su existencia”.</w:t>
      </w:r>
    </w:p>
    <w:p w:rsidR="00224567" w:rsidRDefault="00224567">
      <w:pPr>
        <w:widowControl w:val="0"/>
        <w:tabs>
          <w:tab w:val="left" w:pos="0"/>
        </w:tabs>
        <w:ind w:firstLine="2835"/>
      </w:pPr>
      <w:r>
        <w:t>Tales razones, a juicio del fiscal, determinaron la elección de Carlos Alberto T</w:t>
      </w:r>
      <w:r>
        <w:t>e</w:t>
      </w:r>
      <w:r>
        <w:t>lleldín para la comisión del atentado, en razón de su noción ace</w:t>
      </w:r>
      <w:r>
        <w:t>r</w:t>
      </w:r>
      <w:r>
        <w:t xml:space="preserve">ca de </w:t>
      </w:r>
      <w:r>
        <w:lastRenderedPageBreak/>
        <w:t>la mecánica de las camionetas Renault Trafic; es decir, “ese conjunto de conocimientos y contactos los tenía T</w:t>
      </w:r>
      <w:r>
        <w:t>e</w:t>
      </w:r>
      <w:r>
        <w:t>lleldín y nadie más que Telleldín”.</w:t>
      </w:r>
    </w:p>
    <w:p w:rsidR="00224567" w:rsidRDefault="00224567">
      <w:pPr>
        <w:widowControl w:val="0"/>
        <w:tabs>
          <w:tab w:val="left" w:pos="0"/>
        </w:tabs>
        <w:ind w:firstLine="2835"/>
      </w:pPr>
      <w:r>
        <w:t>Además el nombrado, según expresó la fiscalía, “presentaba las características de poseer vinc</w:t>
      </w:r>
      <w:r>
        <w:t>u</w:t>
      </w:r>
      <w:r>
        <w:t>lación con elementos marginales fuera y dentro de determ</w:t>
      </w:r>
      <w:r>
        <w:t>i</w:t>
      </w:r>
      <w:r>
        <w:t>nadas instituciones policiales”, lo que config</w:t>
      </w:r>
      <w:r>
        <w:t>u</w:t>
      </w:r>
      <w:r>
        <w:t>ró el marco ideal y óptimo para su ele</w:t>
      </w:r>
      <w:r>
        <w:t>c</w:t>
      </w:r>
      <w:r>
        <w:t xml:space="preserve">ción. </w:t>
      </w:r>
    </w:p>
    <w:p w:rsidR="00224567" w:rsidRDefault="00224567">
      <w:pPr>
        <w:widowControl w:val="0"/>
        <w:tabs>
          <w:tab w:val="left" w:pos="0"/>
        </w:tabs>
        <w:ind w:firstLine="2835"/>
      </w:pPr>
      <w:r>
        <w:t>Señaló que quienes encargaron a T</w:t>
      </w:r>
      <w:r>
        <w:t>e</w:t>
      </w:r>
      <w:r>
        <w:t>lleldín el trabajo de armado de la camioneta, sobre la b</w:t>
      </w:r>
      <w:r>
        <w:t>a</w:t>
      </w:r>
      <w:r>
        <w:t>se de sus conocimientos sobre automotores “sin duda alguna debieron explicarles aspectos sobre las tareas a realizar, que no hizo otra cosa que aumentar sus conocimientos en relación a lo que se estaba gestando”; no obstante, el imputado guardó s</w:t>
      </w:r>
      <w:r>
        <w:t>i</w:t>
      </w:r>
      <w:r>
        <w:t>lencio.</w:t>
      </w:r>
    </w:p>
    <w:p w:rsidR="00224567" w:rsidRDefault="00224567">
      <w:pPr>
        <w:widowControl w:val="0"/>
        <w:tabs>
          <w:tab w:val="left" w:pos="0"/>
        </w:tabs>
        <w:ind w:firstLine="2835"/>
      </w:pPr>
      <w:r>
        <w:t>El fiscal general realizó una s</w:t>
      </w:r>
      <w:r>
        <w:t>e</w:t>
      </w:r>
      <w:r>
        <w:t>rie de consideraciones acerca de la metodología e</w:t>
      </w:r>
      <w:r>
        <w:t>m</w:t>
      </w:r>
      <w:r>
        <w:t>pleada por las organizaciones terroristas relativas a su estructura cel</w:t>
      </w:r>
      <w:r>
        <w:t>u</w:t>
      </w:r>
      <w:r>
        <w:t>lar y tabicada, como así también a la falta de conocimie</w:t>
      </w:r>
      <w:r>
        <w:t>n</w:t>
      </w:r>
      <w:r>
        <w:t>to entre los propios int</w:t>
      </w:r>
      <w:r>
        <w:t>e</w:t>
      </w:r>
      <w:r>
        <w:t>grantes de la asociación y de las planific</w:t>
      </w:r>
      <w:r>
        <w:t>a</w:t>
      </w:r>
      <w:r>
        <w:t>ciones de los crímenes que se dispone cometer.</w:t>
      </w:r>
    </w:p>
    <w:p w:rsidR="00224567" w:rsidRDefault="00224567">
      <w:pPr>
        <w:pStyle w:val="Textoindependiente2"/>
        <w:widowControl w:val="0"/>
        <w:tabs>
          <w:tab w:val="left" w:pos="0"/>
        </w:tabs>
        <w:ind w:firstLine="2835"/>
        <w:rPr>
          <w:rFonts w:ascii="Courier New" w:hAnsi="Courier New" w:cs="Courier New"/>
          <w:szCs w:val="24"/>
        </w:rPr>
      </w:pPr>
      <w:r>
        <w:rPr>
          <w:rFonts w:ascii="Courier New" w:hAnsi="Courier New" w:cs="Courier New"/>
          <w:szCs w:val="24"/>
        </w:rPr>
        <w:lastRenderedPageBreak/>
        <w:t>Dentro de ese marco, señaló que el imputado Telleldín “presumiblemente no estaba en un con</w:t>
      </w:r>
      <w:r>
        <w:rPr>
          <w:rFonts w:ascii="Courier New" w:hAnsi="Courier New" w:cs="Courier New"/>
          <w:szCs w:val="24"/>
        </w:rPr>
        <w:t>o</w:t>
      </w:r>
      <w:r>
        <w:rPr>
          <w:rFonts w:ascii="Courier New" w:hAnsi="Courier New" w:cs="Courier New"/>
          <w:szCs w:val="24"/>
        </w:rPr>
        <w:t>cimiento total del lugar del atentado, ni tampoco sabía contra quién estaba dirigido”, pese a lo cual consideró que no había que ser muy perspicaz para evaluar la s</w:t>
      </w:r>
      <w:r>
        <w:rPr>
          <w:rFonts w:ascii="Courier New" w:hAnsi="Courier New" w:cs="Courier New"/>
          <w:szCs w:val="24"/>
        </w:rPr>
        <w:t>i</w:t>
      </w:r>
      <w:r>
        <w:rPr>
          <w:rFonts w:ascii="Courier New" w:hAnsi="Courier New" w:cs="Courier New"/>
          <w:szCs w:val="24"/>
        </w:rPr>
        <w:t>guiente ecuación: encargo de una camioneta para ser e</w:t>
      </w:r>
      <w:r>
        <w:rPr>
          <w:rFonts w:ascii="Courier New" w:hAnsi="Courier New" w:cs="Courier New"/>
          <w:szCs w:val="24"/>
        </w:rPr>
        <w:t>m</w:t>
      </w:r>
      <w:r>
        <w:rPr>
          <w:rFonts w:ascii="Courier New" w:hAnsi="Courier New" w:cs="Courier New"/>
          <w:szCs w:val="24"/>
        </w:rPr>
        <w:t>pleada por desconocidos; adecuación del rodado para sopo</w:t>
      </w:r>
      <w:r>
        <w:rPr>
          <w:rFonts w:ascii="Courier New" w:hAnsi="Courier New" w:cs="Courier New"/>
          <w:szCs w:val="24"/>
        </w:rPr>
        <w:t>r</w:t>
      </w:r>
      <w:r>
        <w:rPr>
          <w:rFonts w:ascii="Courier New" w:hAnsi="Courier New" w:cs="Courier New"/>
          <w:szCs w:val="24"/>
        </w:rPr>
        <w:t>tar un peso excesivo; encargo sobre una base ilícita que se trad</w:t>
      </w:r>
      <w:r>
        <w:rPr>
          <w:rFonts w:ascii="Courier New" w:hAnsi="Courier New" w:cs="Courier New"/>
          <w:szCs w:val="24"/>
        </w:rPr>
        <w:t>u</w:t>
      </w:r>
      <w:r>
        <w:rPr>
          <w:rFonts w:ascii="Courier New" w:hAnsi="Courier New" w:cs="Courier New"/>
          <w:szCs w:val="24"/>
        </w:rPr>
        <w:t>ce en este interrogante: ¿para qué pedir el armado de un vehículo de modo que no pudiera identificarse?; d</w:t>
      </w:r>
      <w:r>
        <w:rPr>
          <w:rFonts w:ascii="Courier New" w:hAnsi="Courier New" w:cs="Courier New"/>
          <w:szCs w:val="24"/>
        </w:rPr>
        <w:t>i</w:t>
      </w:r>
      <w:r>
        <w:rPr>
          <w:rFonts w:ascii="Courier New" w:hAnsi="Courier New" w:cs="Courier New"/>
          <w:szCs w:val="24"/>
        </w:rPr>
        <w:t>nero suficiente para emplear en la tarea encomendada; c</w:t>
      </w:r>
      <w:r>
        <w:rPr>
          <w:rFonts w:ascii="Courier New" w:hAnsi="Courier New" w:cs="Courier New"/>
          <w:szCs w:val="24"/>
        </w:rPr>
        <w:t>o</w:t>
      </w:r>
      <w:r>
        <w:rPr>
          <w:rFonts w:ascii="Courier New" w:hAnsi="Courier New" w:cs="Courier New"/>
          <w:szCs w:val="24"/>
        </w:rPr>
        <w:t>nocimiento de la persona que lo recluta para la op</w:t>
      </w:r>
      <w:r>
        <w:rPr>
          <w:rFonts w:ascii="Courier New" w:hAnsi="Courier New" w:cs="Courier New"/>
          <w:szCs w:val="24"/>
        </w:rPr>
        <w:t>e</w:t>
      </w:r>
      <w:r>
        <w:rPr>
          <w:rFonts w:ascii="Courier New" w:hAnsi="Courier New" w:cs="Courier New"/>
          <w:szCs w:val="24"/>
        </w:rPr>
        <w:t>ración del armado de la camioneta, lo que indicaría una logística de cierta importancia; indicaciones recibidas para el tr</w:t>
      </w:r>
      <w:r>
        <w:rPr>
          <w:rFonts w:ascii="Courier New" w:hAnsi="Courier New" w:cs="Courier New"/>
          <w:szCs w:val="24"/>
        </w:rPr>
        <w:t>a</w:t>
      </w:r>
      <w:r>
        <w:rPr>
          <w:rFonts w:ascii="Courier New" w:hAnsi="Courier New" w:cs="Courier New"/>
          <w:szCs w:val="24"/>
        </w:rPr>
        <w:t>bajo de arm</w:t>
      </w:r>
      <w:r>
        <w:rPr>
          <w:rFonts w:ascii="Courier New" w:hAnsi="Courier New" w:cs="Courier New"/>
          <w:szCs w:val="24"/>
        </w:rPr>
        <w:t>a</w:t>
      </w:r>
      <w:r>
        <w:rPr>
          <w:rFonts w:ascii="Courier New" w:hAnsi="Courier New" w:cs="Courier New"/>
          <w:szCs w:val="24"/>
        </w:rPr>
        <w:t>do de la camioneta; comparación elemental con lo sucedido en el ataque contra la embajada de Israel en nuestro país (operación mental que arrojaría similitudes entre ese atentado y el que se estaba preparando) y co</w:t>
      </w:r>
      <w:r>
        <w:rPr>
          <w:rFonts w:ascii="Courier New" w:hAnsi="Courier New" w:cs="Courier New"/>
          <w:szCs w:val="24"/>
        </w:rPr>
        <w:t>m</w:t>
      </w:r>
      <w:r>
        <w:rPr>
          <w:rFonts w:ascii="Courier New" w:hAnsi="Courier New" w:cs="Courier New"/>
          <w:szCs w:val="24"/>
        </w:rPr>
        <w:t>probación de un sistema compartimentado propio de una o</w:t>
      </w:r>
      <w:r>
        <w:rPr>
          <w:rFonts w:ascii="Courier New" w:hAnsi="Courier New" w:cs="Courier New"/>
          <w:szCs w:val="24"/>
        </w:rPr>
        <w:t>r</w:t>
      </w:r>
      <w:r>
        <w:rPr>
          <w:rFonts w:ascii="Courier New" w:hAnsi="Courier New" w:cs="Courier New"/>
          <w:szCs w:val="24"/>
        </w:rPr>
        <w:t>ganización t</w:t>
      </w:r>
      <w:r>
        <w:rPr>
          <w:rFonts w:ascii="Courier New" w:hAnsi="Courier New" w:cs="Courier New"/>
          <w:szCs w:val="24"/>
        </w:rPr>
        <w:t>e</w:t>
      </w:r>
      <w:r>
        <w:rPr>
          <w:rFonts w:ascii="Courier New" w:hAnsi="Courier New" w:cs="Courier New"/>
          <w:szCs w:val="24"/>
        </w:rPr>
        <w:t xml:space="preserve">rrorista, que por su desempeño e inteligencia </w:t>
      </w:r>
      <w:r>
        <w:rPr>
          <w:rFonts w:ascii="Courier New" w:hAnsi="Courier New" w:cs="Courier New"/>
          <w:szCs w:val="24"/>
        </w:rPr>
        <w:lastRenderedPageBreak/>
        <w:t>no le resultaba dificultoso desconocer a Carlos Alberto Telleldín.</w:t>
      </w:r>
    </w:p>
    <w:p w:rsidR="00224567" w:rsidRDefault="00224567">
      <w:pPr>
        <w:widowControl w:val="0"/>
        <w:tabs>
          <w:tab w:val="left" w:pos="0"/>
        </w:tabs>
        <w:ind w:firstLine="2835"/>
      </w:pPr>
      <w:r>
        <w:t>Opinó que “en realidad en 1994 y aún hoy, el encargo de obtener una camioneta con las caract</w:t>
      </w:r>
      <w:r>
        <w:t>e</w:t>
      </w:r>
      <w:r>
        <w:t>rísticas precitadas llamaría la atención y la prevención de cualquier persona común”, resultando inadmisible, la negativa del imputado en torno al conocimiento de lo que “se estaba perg</w:t>
      </w:r>
      <w:r>
        <w:t>e</w:t>
      </w:r>
      <w:r>
        <w:t>ñando”.</w:t>
      </w:r>
    </w:p>
    <w:p w:rsidR="00224567" w:rsidRDefault="00224567">
      <w:pPr>
        <w:widowControl w:val="0"/>
        <w:tabs>
          <w:tab w:val="left" w:pos="0"/>
        </w:tabs>
        <w:ind w:firstLine="2835"/>
      </w:pPr>
      <w:r>
        <w:t>Además, argumentó que “quizás no pos</w:t>
      </w:r>
      <w:r>
        <w:t>e</w:t>
      </w:r>
      <w:r>
        <w:t>yó un conocimiento total, pero sí aquél conformado por su experiencia, relaciones, contactos y demás circunsta</w:t>
      </w:r>
      <w:r>
        <w:t>n</w:t>
      </w:r>
      <w:r>
        <w:t>cias que adornan su persona; así, co</w:t>
      </w:r>
      <w:r>
        <w:t>n</w:t>
      </w:r>
      <w:r>
        <w:t xml:space="preserve">fluye, por su parte, </w:t>
      </w:r>
      <w:r>
        <w:rPr>
          <w:u w:val="single"/>
        </w:rPr>
        <w:t>modus operandi</w:t>
      </w:r>
      <w:r>
        <w:t>, relaciones marginales y esa especial predispos</w:t>
      </w:r>
      <w:r>
        <w:t>i</w:t>
      </w:r>
      <w:r>
        <w:t>ción de su parte para evitar todo escrúpulo que se gener</w:t>
      </w:r>
      <w:r>
        <w:t>a</w:t>
      </w:r>
      <w:r>
        <w:t>se desde su conciencia; daba el perfil requerido por los intervinientes directos de este horror”. Ello const</w:t>
      </w:r>
      <w:r>
        <w:t>i</w:t>
      </w:r>
      <w:r>
        <w:t>tuye, según el fiscal, el “aspecto cognitivo que ha de tenerse en cuenta”.</w:t>
      </w:r>
    </w:p>
    <w:p w:rsidR="00224567" w:rsidRDefault="00224567">
      <w:pPr>
        <w:widowControl w:val="0"/>
        <w:tabs>
          <w:tab w:val="left" w:pos="0"/>
        </w:tabs>
        <w:ind w:firstLine="2835"/>
      </w:pPr>
      <w:r>
        <w:t>Sobre la base de lo expuesto, concl</w:t>
      </w:r>
      <w:r>
        <w:t>u</w:t>
      </w:r>
      <w:r>
        <w:t>yó el acusador que el imputado Carlos Alberto Telleldín no pudo dejar de representarse el result</w:t>
      </w:r>
      <w:r>
        <w:t>a</w:t>
      </w:r>
      <w:r>
        <w:t xml:space="preserve">do; es decir, dijo, </w:t>
      </w:r>
      <w:r>
        <w:lastRenderedPageBreak/>
        <w:t>actuó con dolo.</w:t>
      </w:r>
    </w:p>
    <w:p w:rsidR="00224567" w:rsidRDefault="00224567">
      <w:pPr>
        <w:pStyle w:val="Textoindependiente2"/>
        <w:widowControl w:val="0"/>
        <w:tabs>
          <w:tab w:val="left" w:pos="0"/>
        </w:tabs>
        <w:ind w:firstLine="2835"/>
        <w:rPr>
          <w:rFonts w:ascii="Courier New" w:hAnsi="Courier New" w:cs="Courier New"/>
          <w:szCs w:val="24"/>
        </w:rPr>
      </w:pPr>
      <w:r>
        <w:rPr>
          <w:rFonts w:ascii="Courier New" w:hAnsi="Courier New" w:cs="Courier New"/>
          <w:szCs w:val="24"/>
        </w:rPr>
        <w:t>Tras realizar un análisis acerca de las diversas posiciones doctrinales relativas a las ex</w:t>
      </w:r>
      <w:r>
        <w:rPr>
          <w:rFonts w:ascii="Courier New" w:hAnsi="Courier New" w:cs="Courier New"/>
          <w:szCs w:val="24"/>
        </w:rPr>
        <w:t>i</w:t>
      </w:r>
      <w:r>
        <w:rPr>
          <w:rFonts w:ascii="Courier New" w:hAnsi="Courier New" w:cs="Courier New"/>
          <w:szCs w:val="24"/>
        </w:rPr>
        <w:t>gencias para la determinación del dolo dire</w:t>
      </w:r>
      <w:r>
        <w:rPr>
          <w:rFonts w:ascii="Courier New" w:hAnsi="Courier New" w:cs="Courier New"/>
          <w:szCs w:val="24"/>
        </w:rPr>
        <w:t>c</w:t>
      </w:r>
      <w:r>
        <w:rPr>
          <w:rFonts w:ascii="Courier New" w:hAnsi="Courier New" w:cs="Courier New"/>
          <w:szCs w:val="24"/>
        </w:rPr>
        <w:t>to y del dolo eventual, entendió que de la prueba colectada en el debate no se desprende “un compromiso por parte de Telleldín de ejecutar la acción r</w:t>
      </w:r>
      <w:r>
        <w:rPr>
          <w:rFonts w:ascii="Courier New" w:hAnsi="Courier New" w:cs="Courier New"/>
          <w:szCs w:val="24"/>
        </w:rPr>
        <w:t>e</w:t>
      </w:r>
      <w:r>
        <w:rPr>
          <w:rFonts w:ascii="Courier New" w:hAnsi="Courier New" w:cs="Courier New"/>
          <w:szCs w:val="24"/>
        </w:rPr>
        <w:t>querida por el art. 80, inc. 5º, del Código Penal ”, sino que, “su compr</w:t>
      </w:r>
      <w:r>
        <w:rPr>
          <w:rFonts w:ascii="Courier New" w:hAnsi="Courier New" w:cs="Courier New"/>
          <w:szCs w:val="24"/>
        </w:rPr>
        <w:t>o</w:t>
      </w:r>
      <w:r>
        <w:rPr>
          <w:rFonts w:ascii="Courier New" w:hAnsi="Courier New" w:cs="Courier New"/>
          <w:szCs w:val="24"/>
        </w:rPr>
        <w:t>miso, en principio, se limitó a un aporte sobre la base de sus conocimientos té</w:t>
      </w:r>
      <w:r>
        <w:rPr>
          <w:rFonts w:ascii="Courier New" w:hAnsi="Courier New" w:cs="Courier New"/>
          <w:szCs w:val="24"/>
        </w:rPr>
        <w:t>c</w:t>
      </w:r>
      <w:r>
        <w:rPr>
          <w:rFonts w:ascii="Courier New" w:hAnsi="Courier New" w:cs="Courier New"/>
          <w:szCs w:val="24"/>
        </w:rPr>
        <w:t>nicos”. Además, dijo, que el imputado “debió evaluar cuál era en realidad su cometido y cuál era la finalidad del comite</w:t>
      </w:r>
      <w:r>
        <w:rPr>
          <w:rFonts w:ascii="Courier New" w:hAnsi="Courier New" w:cs="Courier New"/>
          <w:szCs w:val="24"/>
        </w:rPr>
        <w:t>n</w:t>
      </w:r>
      <w:r>
        <w:rPr>
          <w:rFonts w:ascii="Courier New" w:hAnsi="Courier New" w:cs="Courier New"/>
          <w:szCs w:val="24"/>
        </w:rPr>
        <w:t>te”.</w:t>
      </w:r>
    </w:p>
    <w:p w:rsidR="00224567" w:rsidRDefault="00224567">
      <w:pPr>
        <w:pStyle w:val="Textoindependiente2"/>
        <w:widowControl w:val="0"/>
        <w:tabs>
          <w:tab w:val="left" w:pos="0"/>
        </w:tabs>
        <w:rPr>
          <w:rFonts w:ascii="Courier New" w:hAnsi="Courier New" w:cs="Courier New"/>
        </w:rPr>
      </w:pPr>
      <w:r>
        <w:rPr>
          <w:rFonts w:ascii="Courier New" w:hAnsi="Courier New" w:cs="Courier New"/>
          <w:szCs w:val="24"/>
        </w:rPr>
        <w:t>Por las consideraciones expuestas, afirmó que Telleldín “</w:t>
      </w:r>
      <w:r>
        <w:rPr>
          <w:rFonts w:ascii="Courier New" w:hAnsi="Courier New" w:cs="Courier New"/>
        </w:rPr>
        <w:t>no podía desconocer cuál era en verdad la gestación en curso, a lo que se adita que en modo alguno, en nombre de su experiencia, podría descon</w:t>
      </w:r>
      <w:r>
        <w:rPr>
          <w:rFonts w:ascii="Courier New" w:hAnsi="Courier New" w:cs="Courier New"/>
        </w:rPr>
        <w:t>o</w:t>
      </w:r>
      <w:r>
        <w:rPr>
          <w:rFonts w:ascii="Courier New" w:hAnsi="Courier New" w:cs="Courier New"/>
        </w:rPr>
        <w:t>cer que no se trataba de un mero encargue de vender u obtener un vehículo, sino que éste debía poseer características especiales, en grado tal que tornara probable la utilización del rodado en un il</w:t>
      </w:r>
      <w:r>
        <w:rPr>
          <w:rFonts w:ascii="Courier New" w:hAnsi="Courier New" w:cs="Courier New"/>
        </w:rPr>
        <w:t>í</w:t>
      </w:r>
      <w:r>
        <w:rPr>
          <w:rFonts w:ascii="Courier New" w:hAnsi="Courier New" w:cs="Courier New"/>
        </w:rPr>
        <w:t>cito”. Enfatizó que “cuando se arma una camioneta con pa</w:t>
      </w:r>
      <w:r>
        <w:rPr>
          <w:rFonts w:ascii="Courier New" w:hAnsi="Courier New" w:cs="Courier New"/>
        </w:rPr>
        <w:t>r</w:t>
      </w:r>
      <w:r>
        <w:rPr>
          <w:rFonts w:ascii="Courier New" w:hAnsi="Courier New" w:cs="Courier New"/>
        </w:rPr>
        <w:lastRenderedPageBreak/>
        <w:t>tes de otra, cuando se acondiciona su interior, se le i</w:t>
      </w:r>
      <w:r>
        <w:rPr>
          <w:rFonts w:ascii="Courier New" w:hAnsi="Courier New" w:cs="Courier New"/>
        </w:rPr>
        <w:t>n</w:t>
      </w:r>
      <w:r>
        <w:rPr>
          <w:rFonts w:ascii="Courier New" w:hAnsi="Courier New" w:cs="Courier New"/>
        </w:rPr>
        <w:t>sertan elásticos [para] reforzar la carrocería manteniendo un motor no adecuado, y demás circun</w:t>
      </w:r>
      <w:r>
        <w:rPr>
          <w:rFonts w:ascii="Courier New" w:hAnsi="Courier New" w:cs="Courier New"/>
        </w:rPr>
        <w:t>s</w:t>
      </w:r>
      <w:r>
        <w:rPr>
          <w:rFonts w:ascii="Courier New" w:hAnsi="Courier New" w:cs="Courier New"/>
        </w:rPr>
        <w:t>tancias evaluadas, el fin ilícito lleva nombre y es el de atentado t</w:t>
      </w:r>
      <w:r>
        <w:rPr>
          <w:rFonts w:ascii="Courier New" w:hAnsi="Courier New" w:cs="Courier New"/>
        </w:rPr>
        <w:t>e</w:t>
      </w:r>
      <w:r>
        <w:rPr>
          <w:rFonts w:ascii="Courier New" w:hAnsi="Courier New" w:cs="Courier New"/>
        </w:rPr>
        <w:t>rrorista”.</w:t>
      </w:r>
    </w:p>
    <w:p w:rsidR="00224567" w:rsidRDefault="00224567">
      <w:pPr>
        <w:pStyle w:val="Textoindependiente2"/>
        <w:widowControl w:val="0"/>
        <w:tabs>
          <w:tab w:val="left" w:pos="0"/>
        </w:tabs>
        <w:rPr>
          <w:rFonts w:ascii="Courier New" w:hAnsi="Courier New" w:cs="Courier New"/>
        </w:rPr>
      </w:pPr>
      <w:r>
        <w:rPr>
          <w:rFonts w:ascii="Courier New" w:hAnsi="Courier New" w:cs="Courier New"/>
        </w:rPr>
        <w:tab/>
        <w:t>Apreció que por las particularidades del elemento a transportar –explosivos de muy alto p</w:t>
      </w:r>
      <w:r>
        <w:rPr>
          <w:rFonts w:ascii="Courier New" w:hAnsi="Courier New" w:cs="Courier New"/>
        </w:rPr>
        <w:t>o</w:t>
      </w:r>
      <w:r>
        <w:rPr>
          <w:rFonts w:ascii="Courier New" w:hAnsi="Courier New" w:cs="Courier New"/>
        </w:rPr>
        <w:t>der-, el imputado debió ser instruido en fo</w:t>
      </w:r>
      <w:r>
        <w:rPr>
          <w:rFonts w:ascii="Courier New" w:hAnsi="Courier New" w:cs="Courier New"/>
        </w:rPr>
        <w:t>r</w:t>
      </w:r>
      <w:r>
        <w:rPr>
          <w:rFonts w:ascii="Courier New" w:hAnsi="Courier New" w:cs="Courier New"/>
        </w:rPr>
        <w:t>ma precisa acerca de sus cualidades y calidades, para el adecuado acondicion</w:t>
      </w:r>
      <w:r>
        <w:rPr>
          <w:rFonts w:ascii="Courier New" w:hAnsi="Courier New" w:cs="Courier New"/>
        </w:rPr>
        <w:t>a</w:t>
      </w:r>
      <w:r>
        <w:rPr>
          <w:rFonts w:ascii="Courier New" w:hAnsi="Courier New" w:cs="Courier New"/>
        </w:rPr>
        <w:t>miento de la camioneta. Ello por cuanto, argumentó, el transporte de explosivos por una zona cé</w:t>
      </w:r>
      <w:r>
        <w:rPr>
          <w:rFonts w:ascii="Courier New" w:hAnsi="Courier New" w:cs="Courier New"/>
        </w:rPr>
        <w:t>n</w:t>
      </w:r>
      <w:r>
        <w:rPr>
          <w:rFonts w:ascii="Courier New" w:hAnsi="Courier New" w:cs="Courier New"/>
        </w:rPr>
        <w:t>trica, populosa y comercial como la calle Pa</w:t>
      </w:r>
      <w:r>
        <w:rPr>
          <w:rFonts w:ascii="Courier New" w:hAnsi="Courier New" w:cs="Courier New"/>
        </w:rPr>
        <w:t>s</w:t>
      </w:r>
      <w:r>
        <w:rPr>
          <w:rFonts w:ascii="Courier New" w:hAnsi="Courier New" w:cs="Courier New"/>
        </w:rPr>
        <w:t>teur “en la que por la densidad del tránsito se incurre incluso de una manera brusca a la utilización de las velocidades primera y segunda de los vehículos en forma constante”, implica proveer al utilit</w:t>
      </w:r>
      <w:r>
        <w:rPr>
          <w:rFonts w:ascii="Courier New" w:hAnsi="Courier New" w:cs="Courier New"/>
        </w:rPr>
        <w:t>a</w:t>
      </w:r>
      <w:r>
        <w:rPr>
          <w:rFonts w:ascii="Courier New" w:hAnsi="Courier New" w:cs="Courier New"/>
        </w:rPr>
        <w:t>rio de un acondicionamiento tal que impida la detonación accidental de su carga explos</w:t>
      </w:r>
      <w:r>
        <w:rPr>
          <w:rFonts w:ascii="Courier New" w:hAnsi="Courier New" w:cs="Courier New"/>
        </w:rPr>
        <w:t>i</w:t>
      </w:r>
      <w:r>
        <w:rPr>
          <w:rFonts w:ascii="Courier New" w:hAnsi="Courier New" w:cs="Courier New"/>
        </w:rPr>
        <w:t>va.</w:t>
      </w:r>
    </w:p>
    <w:p w:rsidR="00224567" w:rsidRDefault="00224567">
      <w:pPr>
        <w:pStyle w:val="Textoindependiente2"/>
        <w:widowControl w:val="0"/>
        <w:tabs>
          <w:tab w:val="left" w:pos="0"/>
        </w:tabs>
        <w:rPr>
          <w:rFonts w:ascii="Courier New" w:hAnsi="Courier New" w:cs="Courier New"/>
        </w:rPr>
      </w:pPr>
      <w:r>
        <w:rPr>
          <w:rFonts w:ascii="Courier New" w:hAnsi="Courier New" w:cs="Courier New"/>
        </w:rPr>
        <w:tab/>
        <w:t>Sostuvo, entonces, que al tener con</w:t>
      </w:r>
      <w:r>
        <w:rPr>
          <w:rFonts w:ascii="Courier New" w:hAnsi="Courier New" w:cs="Courier New"/>
        </w:rPr>
        <w:t>o</w:t>
      </w:r>
      <w:r>
        <w:rPr>
          <w:rFonts w:ascii="Courier New" w:hAnsi="Courier New" w:cs="Courier New"/>
        </w:rPr>
        <w:t>cimiento el imputado de lo que se iba a transportar, se representó claramente el destino final del “vehículo de la muerte” y, consecuentemente, hubo una decisión de real</w:t>
      </w:r>
      <w:r>
        <w:rPr>
          <w:rFonts w:ascii="Courier New" w:hAnsi="Courier New" w:cs="Courier New"/>
        </w:rPr>
        <w:t>i</w:t>
      </w:r>
      <w:r>
        <w:rPr>
          <w:rFonts w:ascii="Courier New" w:hAnsi="Courier New" w:cs="Courier New"/>
        </w:rPr>
        <w:t>zar y aprobar lo encomendado, por parte de Carlos Alberto T</w:t>
      </w:r>
      <w:r>
        <w:rPr>
          <w:rFonts w:ascii="Courier New" w:hAnsi="Courier New" w:cs="Courier New"/>
        </w:rPr>
        <w:t>e</w:t>
      </w:r>
      <w:r>
        <w:rPr>
          <w:rFonts w:ascii="Courier New" w:hAnsi="Courier New" w:cs="Courier New"/>
        </w:rPr>
        <w:lastRenderedPageBreak/>
        <w:t>lleldín.</w:t>
      </w:r>
    </w:p>
    <w:p w:rsidR="00224567" w:rsidRDefault="00224567">
      <w:pPr>
        <w:pStyle w:val="Textoindependiente2"/>
        <w:widowControl w:val="0"/>
        <w:tabs>
          <w:tab w:val="left" w:pos="0"/>
        </w:tabs>
        <w:rPr>
          <w:rFonts w:ascii="Courier New" w:hAnsi="Courier New" w:cs="Courier New"/>
        </w:rPr>
      </w:pPr>
      <w:r>
        <w:rPr>
          <w:rFonts w:ascii="Courier New" w:hAnsi="Courier New" w:cs="Courier New"/>
        </w:rPr>
        <w:tab/>
        <w:t>En tales condiciones, el fiscal cons</w:t>
      </w:r>
      <w:r>
        <w:rPr>
          <w:rFonts w:ascii="Courier New" w:hAnsi="Courier New" w:cs="Courier New"/>
        </w:rPr>
        <w:t>i</w:t>
      </w:r>
      <w:r>
        <w:rPr>
          <w:rFonts w:ascii="Courier New" w:hAnsi="Courier New" w:cs="Courier New"/>
        </w:rPr>
        <w:t>deró que Telleldín, debía responder en calidad de partíc</w:t>
      </w:r>
      <w:r>
        <w:rPr>
          <w:rFonts w:ascii="Courier New" w:hAnsi="Courier New" w:cs="Courier New"/>
        </w:rPr>
        <w:t>i</w:t>
      </w:r>
      <w:r>
        <w:rPr>
          <w:rFonts w:ascii="Courier New" w:hAnsi="Courier New" w:cs="Courier New"/>
        </w:rPr>
        <w:t>pe necesario en orden al delito de homicidio agravado, por haberse cometido por un medio id</w:t>
      </w:r>
      <w:r>
        <w:rPr>
          <w:rFonts w:ascii="Courier New" w:hAnsi="Courier New" w:cs="Courier New"/>
        </w:rPr>
        <w:t>ó</w:t>
      </w:r>
      <w:r>
        <w:rPr>
          <w:rFonts w:ascii="Courier New" w:hAnsi="Courier New" w:cs="Courier New"/>
        </w:rPr>
        <w:t>neo para crear un peligro común (art. 80 inc. 5º, del C. P.), en tanto que su aporte –obtención, armado, acondicionamiento y entrega de la c</w:t>
      </w:r>
      <w:r>
        <w:rPr>
          <w:rFonts w:ascii="Courier New" w:hAnsi="Courier New" w:cs="Courier New"/>
        </w:rPr>
        <w:t>a</w:t>
      </w:r>
      <w:r>
        <w:rPr>
          <w:rFonts w:ascii="Courier New" w:hAnsi="Courier New" w:cs="Courier New"/>
        </w:rPr>
        <w:t>mioneta- constituyó una col</w:t>
      </w:r>
      <w:r>
        <w:rPr>
          <w:rFonts w:ascii="Courier New" w:hAnsi="Courier New" w:cs="Courier New"/>
        </w:rPr>
        <w:t>a</w:t>
      </w:r>
      <w:r>
        <w:rPr>
          <w:rFonts w:ascii="Courier New" w:hAnsi="Courier New" w:cs="Courier New"/>
        </w:rPr>
        <w:t>boración sin la cual el hecho no habría podido comete</w:t>
      </w:r>
      <w:r>
        <w:rPr>
          <w:rFonts w:ascii="Courier New" w:hAnsi="Courier New" w:cs="Courier New"/>
        </w:rPr>
        <w:t>r</w:t>
      </w:r>
      <w:r>
        <w:rPr>
          <w:rFonts w:ascii="Courier New" w:hAnsi="Courier New" w:cs="Courier New"/>
        </w:rPr>
        <w:t>se (art. 45 del C.P.).</w:t>
      </w:r>
    </w:p>
    <w:p w:rsidR="00224567" w:rsidRDefault="00224567">
      <w:r>
        <w:tab/>
        <w:t>Por otra parte, rechazó la agravante contenida en el inc. 4º de la figura legal e</w:t>
      </w:r>
      <w:r>
        <w:t>s</w:t>
      </w:r>
      <w:r>
        <w:t>cogida –odio racial o religioso- puesto que consid</w:t>
      </w:r>
      <w:r>
        <w:t>e</w:t>
      </w:r>
      <w:r>
        <w:t>ró que ese especial elemento subjetivo, distinto del dolo, no se pudo acred</w:t>
      </w:r>
      <w:r>
        <w:t>i</w:t>
      </w:r>
      <w:r>
        <w:t>tar.</w:t>
      </w:r>
    </w:p>
    <w:p w:rsidR="00224567" w:rsidRDefault="00224567">
      <w:pPr>
        <w:pStyle w:val="Textoindependiente"/>
        <w:spacing w:line="600" w:lineRule="auto"/>
        <w:ind w:firstLine="2835"/>
      </w:pPr>
      <w:r>
        <w:t>Como prueba de lo expuesto enum</w:t>
      </w:r>
      <w:r>
        <w:t>e</w:t>
      </w:r>
      <w:r>
        <w:t>ró una serie de circunstancias relativas a la conducta del imp</w:t>
      </w:r>
      <w:r>
        <w:t>u</w:t>
      </w:r>
      <w:r>
        <w:t>tado a lo largo del proceso que, a su juicio, resultaban demostrativas de su conocimiento acerca del destino final de la camioneta.</w:t>
      </w:r>
    </w:p>
    <w:p w:rsidR="00224567" w:rsidRDefault="00224567">
      <w:pPr>
        <w:pStyle w:val="Textoindependiente"/>
        <w:spacing w:line="600" w:lineRule="auto"/>
        <w:ind w:firstLine="2835"/>
      </w:pPr>
      <w:r>
        <w:t xml:space="preserve">Así, valoró como actitudes llamativas </w:t>
      </w:r>
      <w:r>
        <w:lastRenderedPageBreak/>
        <w:t xml:space="preserve">el hecho de haber conformado “un verdadero ‘pool’ de vehículos” para el posterior armado de uno; el ofrecimiento a Ariel Nitzcaner de un automóvil Renault </w:t>
      </w:r>
      <w:smartTag w:uri="urn:schemas-microsoft-com:office:smarttags" w:element="metricconverter">
        <w:smartTagPr>
          <w:attr w:name="ProductID" w:val="12 a"/>
        </w:smartTagPr>
        <w:r>
          <w:t>12 a</w:t>
        </w:r>
      </w:smartTag>
      <w:r>
        <w:t xml:space="preserve"> cambio de manifestar una falsedad, consistente en que había reparado una camioneta R</w:t>
      </w:r>
      <w:r>
        <w:t>e</w:t>
      </w:r>
      <w:r>
        <w:t xml:space="preserve">nault Trafic quemada; la omisión de borrar el número del motor puesto que “bien pudo deberse a una cortada originada sobre la base de la venta de </w:t>
      </w:r>
      <w:smartTag w:uri="urn:schemas-microsoft-com:office:smarttags" w:element="PersonName">
        <w:smartTagPr>
          <w:attr w:name="ProductID" w:val="la Renault Trafic"/>
        </w:smartTagPr>
        <w:r>
          <w:t>la Renault Trafic</w:t>
        </w:r>
      </w:smartTag>
      <w:r>
        <w:t xml:space="preserve"> de buena fe” y la consecuente preconstitución de prueba y montaje de “una puesta en escena” para que terc</w:t>
      </w:r>
      <w:r>
        <w:t>e</w:t>
      </w:r>
      <w:r>
        <w:t>ros avalaran un eve</w:t>
      </w:r>
      <w:r>
        <w:t>n</w:t>
      </w:r>
      <w:r>
        <w:t>tual descargo ante la justicia.</w:t>
      </w:r>
    </w:p>
    <w:p w:rsidR="00224567" w:rsidRDefault="00224567">
      <w:pPr>
        <w:pStyle w:val="Textoindependiente"/>
        <w:spacing w:line="600" w:lineRule="auto"/>
        <w:ind w:firstLine="2835"/>
      </w:pPr>
      <w:r>
        <w:t>En igual sentido, agregó que la vec</w:t>
      </w:r>
      <w:r>
        <w:t>i</w:t>
      </w:r>
      <w:r>
        <w:t>na de Carlos Alberto Telleldín, Mirta Giménez, declaró que e</w:t>
      </w:r>
      <w:r>
        <w:t>s</w:t>
      </w:r>
      <w:r>
        <w:t xml:space="preserve">cuchó a su tío decir que el imputado le solicitó a aquél, un par de días después del atentado, que expresara que </w:t>
      </w:r>
      <w:smartTag w:uri="urn:schemas-microsoft-com:office:smarttags" w:element="PersonName">
        <w:smartTagPr>
          <w:attr w:name="ProductID" w:val="la Renault Trafic"/>
        </w:smartTagPr>
        <w:r>
          <w:t>la Renault Trafic</w:t>
        </w:r>
      </w:smartTag>
      <w:r>
        <w:t xml:space="preserve"> se había vendido, aludiendo a la camioneta que había est</w:t>
      </w:r>
      <w:r>
        <w:t>a</w:t>
      </w:r>
      <w:r>
        <w:t>do en el domicilio de República 107; versión que, a juicio del fiscal, se corroboró con los dichos de Natalia Belusic, también vecina de Telle</w:t>
      </w:r>
      <w:r>
        <w:t>l</w:t>
      </w:r>
      <w:r>
        <w:t>dín, quien recibió el mismo comentario.</w:t>
      </w:r>
    </w:p>
    <w:p w:rsidR="00224567" w:rsidRDefault="00224567">
      <w:pPr>
        <w:pStyle w:val="Textoindependiente"/>
        <w:spacing w:line="600" w:lineRule="auto"/>
        <w:ind w:firstLine="2835"/>
      </w:pPr>
      <w:r>
        <w:t>El fiscal resaltó, en esa misma l</w:t>
      </w:r>
      <w:r>
        <w:t>í</w:t>
      </w:r>
      <w:r>
        <w:t>nea, los dichos de Alfredo Perrona, testigo que mantuvo relaci</w:t>
      </w:r>
      <w:r>
        <w:t>o</w:t>
      </w:r>
      <w:r>
        <w:lastRenderedPageBreak/>
        <w:t xml:space="preserve">nes comerciales con </w:t>
      </w:r>
      <w:smartTag w:uri="urn:schemas-microsoft-com:office:smarttags" w:element="PersonName">
        <w:smartTagPr>
          <w:attr w:name="ProductID" w:val="la Rep￺blica Isl￡mica"/>
        </w:smartTagPr>
        <w:r>
          <w:t>la República Islámica</w:t>
        </w:r>
      </w:smartTag>
      <w:r>
        <w:t xml:space="preserve"> de Irán y que h</w:t>
      </w:r>
      <w:r>
        <w:t>a</w:t>
      </w:r>
      <w:r>
        <w:t>bía conocido al agregado cultural de la embajada de ese país, Moshen Rabbani, quien manifestó que en oportunidad de concurrir a la mezquita donde el nombrado se desempeñaba como “Sheik”, escuchó junto con su socio Eduardo Martínez una conversación entre tres personas, en la que una mujer comentó a Rabbani “es culpa tuya lo que ha pasado por man</w:t>
      </w:r>
      <w:r>
        <w:t>e</w:t>
      </w:r>
      <w:r>
        <w:t>jar caprichosamente las cosas” y le reprochó, ad</w:t>
      </w:r>
      <w:r>
        <w:t>e</w:t>
      </w:r>
      <w:r>
        <w:t>más, “vos fuiste el que te serviste y te mandaste la ‘macana’ con T</w:t>
      </w:r>
      <w:r>
        <w:t>e</w:t>
      </w:r>
      <w:r>
        <w:t>lleldín y con los Ha</w:t>
      </w:r>
      <w:r>
        <w:t>d</w:t>
      </w:r>
      <w:r>
        <w:t>dad”.</w:t>
      </w:r>
    </w:p>
    <w:p w:rsidR="00224567" w:rsidRDefault="00224567">
      <w:pPr>
        <w:pStyle w:val="Textoindependiente"/>
        <w:spacing w:line="600" w:lineRule="auto"/>
        <w:ind w:firstLine="2835"/>
      </w:pPr>
      <w:r>
        <w:t>También valoró los dichos del periodi</w:t>
      </w:r>
      <w:r>
        <w:t>s</w:t>
      </w:r>
      <w:r>
        <w:t>ta Raúl Kollmann, quien refirió -según el fiscal- que en varias oportunidades conversó con Hugo Pérez. En una de ellas, éste último le comentó que nunca creyó que la cami</w:t>
      </w:r>
      <w:r>
        <w:t>o</w:t>
      </w:r>
      <w:r>
        <w:t>neta había sido vendida y que una vez T</w:t>
      </w:r>
      <w:r>
        <w:t>e</w:t>
      </w:r>
      <w:r>
        <w:t xml:space="preserve">lleldín “lo mandó a entregar la documentación de </w:t>
      </w:r>
      <w:smartTag w:uri="urn:schemas-microsoft-com:office:smarttags" w:element="PersonName">
        <w:smartTagPr>
          <w:attr w:name="ProductID" w:val="la Renault Trafic"/>
        </w:smartTagPr>
        <w:r>
          <w:t>la Renault Trafic</w:t>
        </w:r>
      </w:smartTag>
      <w:r>
        <w:t xml:space="preserve"> a una dire</w:t>
      </w:r>
      <w:r>
        <w:t>c</w:t>
      </w:r>
      <w:r>
        <w:t>ción en donde no encontró a n</w:t>
      </w:r>
      <w:r>
        <w:t>a</w:t>
      </w:r>
      <w:r>
        <w:t>die”. Kollmann dijo –expresó el fiscal- que según Pérez, “Telleldín hizo esto para c</w:t>
      </w:r>
      <w:r>
        <w:t>u</w:t>
      </w:r>
      <w:r>
        <w:t>brirse, ya que esos detalles a Telleldín no se le escap</w:t>
      </w:r>
      <w:r>
        <w:t>a</w:t>
      </w:r>
      <w:r>
        <w:t xml:space="preserve">ban”, como así también que “Telleldín estaba muy nervioso </w:t>
      </w:r>
      <w:r>
        <w:lastRenderedPageBreak/>
        <w:t>el día del atentado, que el mismo se había com</w:t>
      </w:r>
      <w:r>
        <w:t>e</w:t>
      </w:r>
      <w:r>
        <w:t>tido con su Renault Trafic y que había histeria en la c</w:t>
      </w:r>
      <w:r>
        <w:t>a</w:t>
      </w:r>
      <w:r>
        <w:t>sa”.</w:t>
      </w:r>
    </w:p>
    <w:p w:rsidR="00224567" w:rsidRDefault="00224567">
      <w:pPr>
        <w:pStyle w:val="Textoindependiente"/>
        <w:spacing w:line="600" w:lineRule="auto"/>
        <w:ind w:firstLine="2835"/>
      </w:pPr>
      <w:r>
        <w:t>El fiscal alegó como circunstancia d</w:t>
      </w:r>
      <w:r>
        <w:t>e</w:t>
      </w:r>
      <w:r>
        <w:t>mostrativa de la preconstitución de prueba por parte del imputado que “Telleldín habla de una venta; dio detalles que nunca daba; sacaba el tema con la intención de que qu</w:t>
      </w:r>
      <w:r>
        <w:t>e</w:t>
      </w:r>
      <w:r>
        <w:t>dara en la memoria de aqu</w:t>
      </w:r>
      <w:r>
        <w:t>é</w:t>
      </w:r>
      <w:r>
        <w:t>llos con los que hablara que los hechos habían sucedido como él los contó; puso como presu</w:t>
      </w:r>
      <w:r>
        <w:t>n</w:t>
      </w:r>
      <w:r>
        <w:t>to comprador [en el boleto de co</w:t>
      </w:r>
      <w:r>
        <w:t>m</w:t>
      </w:r>
      <w:r>
        <w:t>pra venta] a una persona a la cual conocía; colocando una dirección a una cuadra de donde [éste] efectivame</w:t>
      </w:r>
      <w:r>
        <w:t>n</w:t>
      </w:r>
      <w:r>
        <w:t xml:space="preserve">te vivía”. </w:t>
      </w:r>
    </w:p>
    <w:p w:rsidR="00224567" w:rsidRDefault="00224567">
      <w:pPr>
        <w:pStyle w:val="Textoindependiente"/>
        <w:spacing w:line="600" w:lineRule="auto"/>
        <w:ind w:firstLine="2835"/>
      </w:pPr>
      <w:r>
        <w:t>Añadió, que Hugo Pérez -quién s</w:t>
      </w:r>
      <w:r>
        <w:t>a</w:t>
      </w:r>
      <w:r>
        <w:t>bía que no se trataba de una venta- refirió a Miriam Salinas “que no fueron a buscar a ningún presunto comprador a la calle San José, sino a dar una vuelta, porque sabían que no exi</w:t>
      </w:r>
      <w:r>
        <w:t>s</w:t>
      </w:r>
      <w:r>
        <w:t>tía tal dirección” y que Telleldín solicitó a Alejandro Monjo, dueño de la agencia donde adquirió el utilitario, que cambiara el nombre del adqu</w:t>
      </w:r>
      <w:r>
        <w:t>i</w:t>
      </w:r>
      <w:r>
        <w:t xml:space="preserve">rente de </w:t>
      </w:r>
      <w:smartTag w:uri="urn:schemas-microsoft-com:office:smarttags" w:element="PersonName">
        <w:smartTagPr>
          <w:attr w:name="ProductID" w:val="la Renault Trafic"/>
        </w:smartTagPr>
        <w:r>
          <w:t>la Renault Trafic</w:t>
        </w:r>
      </w:smartTag>
      <w:r>
        <w:t xml:space="preserve"> “para no figurar Telleldín y que colocara como co</w:t>
      </w:r>
      <w:r>
        <w:t>m</w:t>
      </w:r>
      <w:r>
        <w:t>prador a Pérez”.</w:t>
      </w:r>
    </w:p>
    <w:p w:rsidR="00224567" w:rsidRDefault="00224567">
      <w:pPr>
        <w:pStyle w:val="Textoindependiente"/>
        <w:spacing w:line="600" w:lineRule="auto"/>
        <w:ind w:firstLine="2835"/>
      </w:pPr>
      <w:r>
        <w:t>Asimismo, indicó como prueba en c</w:t>
      </w:r>
      <w:r>
        <w:t>o</w:t>
      </w:r>
      <w:r>
        <w:t xml:space="preserve">ntra </w:t>
      </w:r>
      <w:r>
        <w:lastRenderedPageBreak/>
        <w:t>del imputado Telleldín, el hecho que la c</w:t>
      </w:r>
      <w:r>
        <w:t>a</w:t>
      </w:r>
      <w:r>
        <w:t>mioneta -que a la postre se utilizó como coch</w:t>
      </w:r>
      <w:r>
        <w:t>e</w:t>
      </w:r>
      <w:r>
        <w:t>bomba- fue armada por éste con el chasis de una y el motor de otra, como así también sus propios dichos exculpatorios, donde abundan los datos i</w:t>
      </w:r>
      <w:r>
        <w:t>n</w:t>
      </w:r>
      <w:r>
        <w:t>ciertos, mentiras y “alguna que otra verdad”, dirigidos a crear confusión, desviar y obstaculizar la investigación. Se podría decir, expresó el fiscal, “que la camioneta que estalló es fiel cre</w:t>
      </w:r>
      <w:r>
        <w:t>a</w:t>
      </w:r>
      <w:r>
        <w:t>ción de su padre”.</w:t>
      </w:r>
    </w:p>
    <w:p w:rsidR="00224567" w:rsidRDefault="00224567">
      <w:pPr>
        <w:pStyle w:val="Textoindependiente"/>
        <w:spacing w:line="600" w:lineRule="auto"/>
        <w:ind w:firstLine="2835"/>
      </w:pPr>
      <w:r>
        <w:t>En particular, mencionó que el imp</w:t>
      </w:r>
      <w:r>
        <w:t>u</w:t>
      </w:r>
      <w:r>
        <w:t>tado Telleldín en su declaración del 30 de julio de 1994 r</w:t>
      </w:r>
      <w:r>
        <w:t>e</w:t>
      </w:r>
      <w:r>
        <w:t>firió que llevó el motor al taller de Ariel Nitzcaner; sin emba</w:t>
      </w:r>
      <w:r>
        <w:t>r</w:t>
      </w:r>
      <w:r>
        <w:t xml:space="preserve">go, el fiscal afirmó, que la camioneta que estalló en </w:t>
      </w:r>
      <w:smartTag w:uri="urn:schemas-microsoft-com:office:smarttags" w:element="PersonName">
        <w:smartTagPr>
          <w:attr w:name="ProductID" w:val="la A.M"/>
        </w:smartTagPr>
        <w:r>
          <w:t>la A.M</w:t>
        </w:r>
      </w:smartTag>
      <w:r>
        <w:t>.I.A. no fue armada en ese lugar, puesto que allí se e</w:t>
      </w:r>
      <w:r>
        <w:t>x</w:t>
      </w:r>
      <w:r>
        <w:t>trajo el motor a la de S</w:t>
      </w:r>
      <w:r>
        <w:t>a</w:t>
      </w:r>
      <w:r>
        <w:t>rapura y se le colocó otro.</w:t>
      </w:r>
    </w:p>
    <w:p w:rsidR="00224567" w:rsidRDefault="00224567">
      <w:pPr>
        <w:pStyle w:val="Textoindependiente"/>
        <w:spacing w:line="600" w:lineRule="auto"/>
        <w:ind w:firstLine="2835"/>
      </w:pPr>
      <w:r>
        <w:t>Además, resaltó como llamativo, las r</w:t>
      </w:r>
      <w:r>
        <w:t>e</w:t>
      </w:r>
      <w:r>
        <w:t>ferencias que hizo Telleldín relacionadas a las distintas nacionalidades de las personas que, supuestamente, se pr</w:t>
      </w:r>
      <w:r>
        <w:t>e</w:t>
      </w:r>
      <w:r>
        <w:t>sentaron en su domicilio a efectos de adquirir la c</w:t>
      </w:r>
      <w:r>
        <w:t>a</w:t>
      </w:r>
      <w:r>
        <w:t>mioneta en cuestión; esto es, un coreano, un centroamericano y un español.</w:t>
      </w:r>
    </w:p>
    <w:p w:rsidR="00224567" w:rsidRDefault="00224567">
      <w:pPr>
        <w:pStyle w:val="Textoindependiente"/>
        <w:spacing w:line="600" w:lineRule="auto"/>
        <w:ind w:firstLine="2835"/>
      </w:pPr>
      <w:r>
        <w:lastRenderedPageBreak/>
        <w:t>Por otra parte, el imputado ind</w:t>
      </w:r>
      <w:r>
        <w:t>i</w:t>
      </w:r>
      <w:r>
        <w:t>có que sus vecinos Antonio Malacchia y su mujer, p</w:t>
      </w:r>
      <w:r>
        <w:t>u</w:t>
      </w:r>
      <w:r>
        <w:t>dieron observar a la persona que adquirió el r</w:t>
      </w:r>
      <w:r>
        <w:t>o</w:t>
      </w:r>
      <w:r>
        <w:t>dado el 10 de julio de 1994; dicha circunstancia, expresó el fiscal, fue n</w:t>
      </w:r>
      <w:r>
        <w:t>e</w:t>
      </w:r>
      <w:r>
        <w:t>gada por los nombrados.</w:t>
      </w:r>
    </w:p>
    <w:p w:rsidR="00224567" w:rsidRDefault="00224567">
      <w:pPr>
        <w:pStyle w:val="Textoindependiente"/>
        <w:spacing w:line="600" w:lineRule="auto"/>
        <w:ind w:firstLine="2835"/>
      </w:pPr>
      <w:r>
        <w:t>Señaló Telleldín que no conocía a ni</w:t>
      </w:r>
      <w:r>
        <w:t>n</w:t>
      </w:r>
      <w:r>
        <w:t xml:space="preserve">gún miembro de la embajada de Irán en </w:t>
      </w:r>
      <w:smartTag w:uri="urn:schemas-microsoft-com:office:smarttags" w:element="PersonName">
        <w:smartTagPr>
          <w:attr w:name="ProductID" w:val="la Argentina"/>
        </w:smartTagPr>
        <w:r>
          <w:t>la Argentina</w:t>
        </w:r>
      </w:smartTag>
      <w:r>
        <w:t>; pero esa afirmación, rebatió la fiscalía, no se condice con el papel que tenía inscripto el nombre de dicha represe</w:t>
      </w:r>
      <w:r>
        <w:t>n</w:t>
      </w:r>
      <w:r>
        <w:t>tación diplomática, secuestrado en su domicilio el 28 de j</w:t>
      </w:r>
      <w:r>
        <w:t>u</w:t>
      </w:r>
      <w:r>
        <w:t>lio de 1994.</w:t>
      </w:r>
    </w:p>
    <w:p w:rsidR="00224567" w:rsidRDefault="00224567">
      <w:pPr>
        <w:pStyle w:val="Textoindependiente"/>
        <w:spacing w:line="600" w:lineRule="auto"/>
        <w:ind w:firstLine="2835"/>
      </w:pPr>
      <w:r>
        <w:t>Asimismo, explicó que varias  refere</w:t>
      </w:r>
      <w:r>
        <w:t>n</w:t>
      </w:r>
      <w:r>
        <w:t>cias que dio Telleldín en sus indagatorias no encontraron sustento lógico. A saber, el imputado dijo que debían m</w:t>
      </w:r>
      <w:r>
        <w:t>u</w:t>
      </w:r>
      <w:r>
        <w:t xml:space="preserve">darse de su domicilio por tener problemas con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y que el 18 de julio de 1994 averiguó sobre inmuebles en alquiler en la localidad de R</w:t>
      </w:r>
      <w:r>
        <w:t>a</w:t>
      </w:r>
      <w:r>
        <w:t>mos Mejía; sin embargo, argumentó el fiscal, “si tenía pr</w:t>
      </w:r>
      <w:r>
        <w:t>o</w:t>
      </w:r>
      <w:r>
        <w:t xml:space="preserve">blemas con </w:t>
      </w:r>
      <w:smartTag w:uri="urn:schemas-microsoft-com:office:smarttags" w:element="PersonName">
        <w:smartTagPr>
          <w:attr w:name="ProductID" w:val="la Polic￭a Bonaerense"/>
        </w:smartTagPr>
        <w:r>
          <w:t>la Policía Bonaerense</w:t>
        </w:r>
      </w:smartTag>
      <w:r>
        <w:t xml:space="preserve">, para qué se quedan en provincia; por qué no se fue a Córdoba; por qué no se fue a </w:t>
      </w:r>
      <w:smartTag w:uri="urn:schemas-microsoft-com:office:smarttags" w:element="PersonName">
        <w:smartTagPr>
          <w:attr w:name="ProductID" w:val="la Capital"/>
        </w:smartTagPr>
        <w:r>
          <w:t>la Capital</w:t>
        </w:r>
      </w:smartTag>
      <w:r>
        <w:t xml:space="preserve">”. </w:t>
      </w:r>
    </w:p>
    <w:p w:rsidR="00224567" w:rsidRDefault="00224567">
      <w:pPr>
        <w:pStyle w:val="Textoindependiente"/>
        <w:spacing w:line="600" w:lineRule="auto"/>
        <w:ind w:firstLine="2835"/>
      </w:pPr>
      <w:r>
        <w:lastRenderedPageBreak/>
        <w:t>El imputado señaló que el 22 de aquél mes pagó la seña por la locación de una vivienda; cua</w:t>
      </w:r>
      <w:r>
        <w:t>n</w:t>
      </w:r>
      <w:r>
        <w:t xml:space="preserve">do en realidad aconteció el 21 de julio de 1994. </w:t>
      </w:r>
    </w:p>
    <w:p w:rsidR="00224567" w:rsidRDefault="00224567">
      <w:pPr>
        <w:pStyle w:val="Textoindependiente"/>
        <w:spacing w:line="600" w:lineRule="auto"/>
        <w:ind w:firstLine="2835"/>
      </w:pPr>
      <w:r>
        <w:t>Destacó también que Telleldín expresó que “siempre se m</w:t>
      </w:r>
      <w:r>
        <w:t>a</w:t>
      </w:r>
      <w:r>
        <w:t>nejó a través del diario Clarín” para la búsqueda de propiedades; entonces, se preguntó, “¿qué si</w:t>
      </w:r>
      <w:r>
        <w:t>g</w:t>
      </w:r>
      <w:r>
        <w:t>nifican las inmobiliarias Richter y Lauría?”. Presumió, además, teniendo en cuenta que el imputado afirmó que gan</w:t>
      </w:r>
      <w:r>
        <w:t>a</w:t>
      </w:r>
      <w:r>
        <w:t>ba $ 20.000 por mes, que éste no tenía necesidad de muda</w:t>
      </w:r>
      <w:r>
        <w:t>r</w:t>
      </w:r>
      <w:r>
        <w:t>se.</w:t>
      </w:r>
    </w:p>
    <w:p w:rsidR="00224567" w:rsidRDefault="00224567">
      <w:pPr>
        <w:pStyle w:val="Textoindependiente"/>
        <w:spacing w:line="600" w:lineRule="auto"/>
        <w:ind w:firstLine="2835"/>
      </w:pPr>
      <w:r>
        <w:t>Otras manifestaciones, a juicio del fiscal, no fueron corroboradas por la prueba producida en el debate. Así, dijo, el imputado insistió con vehemencia que la camioneta, a la cual se insertó el motor de aquélla cuyo último titular r</w:t>
      </w:r>
      <w:r>
        <w:t>e</w:t>
      </w:r>
      <w:r>
        <w:t>gistral fue la firma “Messin S.R.L.”, era la que había pertenecido a Pedro Sarapura. Sin embargo, observó, la carrocería de este último utilitario no se c</w:t>
      </w:r>
      <w:r>
        <w:t>o</w:t>
      </w:r>
      <w:r>
        <w:t>rrespondía con los repuestos de vehículos enco</w:t>
      </w:r>
      <w:r>
        <w:t>n</w:t>
      </w:r>
      <w:r>
        <w:t>trados en el lugar del hecho, destacando en particular el hallazgo de una pieza que indicaba la presencia de una puerta lat</w:t>
      </w:r>
      <w:r>
        <w:t>e</w:t>
      </w:r>
      <w:r>
        <w:t>ral –</w:t>
      </w:r>
      <w:r>
        <w:lastRenderedPageBreak/>
        <w:t>pieza “U”- en el vehículo utilizado como cochebomba.</w:t>
      </w:r>
    </w:p>
    <w:p w:rsidR="00224567" w:rsidRDefault="00224567">
      <w:pPr>
        <w:pStyle w:val="Textoindependiente"/>
        <w:spacing w:line="600" w:lineRule="auto"/>
        <w:ind w:firstLine="2835"/>
      </w:pPr>
      <w:r>
        <w:t>También aludió a las contradi</w:t>
      </w:r>
      <w:r>
        <w:t>c</w:t>
      </w:r>
      <w:r>
        <w:t>ciones en que incurrieron, tanto el imputado, como los testigos Ana María Boragni, Hugo Antonio Pérez y Humberto Pérez Mejía, en punto a la circunstancia en que fue trasladado el motor al taller de Ariel Nitzcaner. De igual manera, señaló que el imputado manifestó que “el motor de Sarapura” no funci</w:t>
      </w:r>
      <w:r>
        <w:t>o</w:t>
      </w:r>
      <w:r>
        <w:t>naba; ello, replicó, no se compadeció con los dichos de P</w:t>
      </w:r>
      <w:r>
        <w:t>e</w:t>
      </w:r>
      <w:r>
        <w:t>dro Sarapura en el deb</w:t>
      </w:r>
      <w:r>
        <w:t>a</w:t>
      </w:r>
      <w:r>
        <w:t>te.</w:t>
      </w:r>
    </w:p>
    <w:p w:rsidR="00224567" w:rsidRDefault="00224567">
      <w:pPr>
        <w:pStyle w:val="Textoindependiente"/>
        <w:spacing w:line="600" w:lineRule="auto"/>
        <w:ind w:firstLine="2835"/>
      </w:pPr>
      <w:r>
        <w:t>Destacó como llamativo el preciso r</w:t>
      </w:r>
      <w:r>
        <w:t>e</w:t>
      </w:r>
      <w:r>
        <w:t>cuerdo de Telleldín en punto a los detalles de su huída y del recorrido que hizo a la ciudad de Córdoba, a Luján, a Posadas y a Buenos Aires; como así también los pormenores que dio de la descripción física, de la ve</w:t>
      </w:r>
      <w:r>
        <w:t>s</w:t>
      </w:r>
      <w:r>
        <w:t>timenta y de los rasgos faciales de los supuestos adquirentes del ut</w:t>
      </w:r>
      <w:r>
        <w:t>i</w:t>
      </w:r>
      <w:r>
        <w:t>litario en su declaración del 21 de diciembre de 1994. Además, me</w:t>
      </w:r>
      <w:r>
        <w:t>n</w:t>
      </w:r>
      <w:r>
        <w:t xml:space="preserve">cionó que el 7 de agosto de 1994 Telleldín dijo que las personas que pudieron avistar al comprador de </w:t>
      </w:r>
      <w:smartTag w:uri="urn:schemas-microsoft-com:office:smarttags" w:element="PersonName">
        <w:smartTagPr>
          <w:attr w:name="ProductID" w:val="la Renault Trafic"/>
        </w:smartTagPr>
        <w:r>
          <w:t>la Renault Trafic</w:t>
        </w:r>
      </w:smartTag>
      <w:r>
        <w:t xml:space="preserve"> fueron su hija Jesica y su amigo Humberto Pérez M</w:t>
      </w:r>
      <w:r>
        <w:t>e</w:t>
      </w:r>
      <w:r>
        <w:t>jía, intentando con ello utilizar a testigos de su entorno, los cuáles, a su juicio, fueron previamente pr</w:t>
      </w:r>
      <w:r>
        <w:t>e</w:t>
      </w:r>
      <w:r>
        <w:t>parados.</w:t>
      </w:r>
    </w:p>
    <w:p w:rsidR="00224567" w:rsidRDefault="00224567">
      <w:pPr>
        <w:pStyle w:val="Textoindependiente"/>
        <w:spacing w:line="600" w:lineRule="auto"/>
        <w:ind w:firstLine="2835"/>
      </w:pPr>
      <w:r>
        <w:lastRenderedPageBreak/>
        <w:t>Argumentó que todo aquello que compr</w:t>
      </w:r>
      <w:r>
        <w:t>o</w:t>
      </w:r>
      <w:r>
        <w:t>metía al imputado, éste se limitó a decir que fue “plant</w:t>
      </w:r>
      <w:r>
        <w:t>a</w:t>
      </w:r>
      <w:r>
        <w:t>do”, como ser la pieza correspondiente a una puerta lateral de modelo Trafic, denominada “U”, los elásticos refo</w:t>
      </w:r>
      <w:r>
        <w:t>r</w:t>
      </w:r>
      <w:r>
        <w:t>zados o “el papelito que reza: Embajada de Irán”.</w:t>
      </w:r>
    </w:p>
    <w:p w:rsidR="00224567" w:rsidRDefault="00224567">
      <w:pPr>
        <w:pStyle w:val="Textoindependiente"/>
        <w:spacing w:line="600" w:lineRule="auto"/>
        <w:ind w:firstLine="2835"/>
      </w:pPr>
      <w:r>
        <w:t>Consideró como prueba que incr</w:t>
      </w:r>
      <w:r>
        <w:t>i</w:t>
      </w:r>
      <w:r>
        <w:t>minaba a Telleldín, sus comentarios efectuados cuatro o cinco días antes de la tragedia, con relación “a lo extraño que le p</w:t>
      </w:r>
      <w:r>
        <w:t>a</w:t>
      </w:r>
      <w:r>
        <w:t xml:space="preserve">recía el comprador de </w:t>
      </w:r>
      <w:smartTag w:uri="urn:schemas-microsoft-com:office:smarttags" w:element="PersonName">
        <w:smartTagPr>
          <w:attr w:name="ProductID" w:val="la Renault Trafic"/>
        </w:smartTagPr>
        <w:r>
          <w:t>la R</w:t>
        </w:r>
        <w:r>
          <w:t>e</w:t>
        </w:r>
        <w:r>
          <w:t>nault Trafic</w:t>
        </w:r>
      </w:smartTag>
      <w:r>
        <w:t>” y el hecho de que éste y su mujer “hacían bromas con relación a la posibil</w:t>
      </w:r>
      <w:r>
        <w:t>i</w:t>
      </w:r>
      <w:r>
        <w:t xml:space="preserve">dad que </w:t>
      </w:r>
      <w:smartTag w:uri="urn:schemas-microsoft-com:office:smarttags" w:element="PersonName">
        <w:smartTagPr>
          <w:attr w:name="ProductID" w:val="la Renault Trafic"/>
        </w:smartTagPr>
        <w:r>
          <w:t>la Renault Trafic</w:t>
        </w:r>
      </w:smartTag>
      <w:r>
        <w:t xml:space="preserve"> vendida fuera la que estalló en A.M.I.A.”.</w:t>
      </w:r>
    </w:p>
    <w:p w:rsidR="00224567" w:rsidRDefault="00224567">
      <w:pPr>
        <w:pStyle w:val="Textoindependiente"/>
        <w:spacing w:line="600" w:lineRule="auto"/>
        <w:ind w:firstLine="2835"/>
      </w:pPr>
      <w:r>
        <w:t>Afirmó, además, que el imputado adm</w:t>
      </w:r>
      <w:r>
        <w:t>i</w:t>
      </w:r>
      <w:r>
        <w:t>tió que se dirigió al domicilio que figuraba en el boleto de compraventa –calle San José- para llevar el formulario “</w:t>
      </w:r>
      <w:smartTag w:uri="urn:schemas-microsoft-com:office:smarttags" w:element="metricconverter">
        <w:smartTagPr>
          <w:attr w:name="ProductID" w:val="08”"/>
        </w:smartTagPr>
        <w:r>
          <w:t>08”</w:t>
        </w:r>
      </w:smartTag>
      <w:r>
        <w:t>, pese a que la camioneta “se la sacaron”. El e</w:t>
      </w:r>
      <w:r>
        <w:t>x</w:t>
      </w:r>
      <w:r>
        <w:t>tremo, adujo el fiscal, no resiste el menor análisis.</w:t>
      </w:r>
    </w:p>
    <w:p w:rsidR="00224567" w:rsidRDefault="00224567">
      <w:pPr>
        <w:pStyle w:val="Textoindependiente"/>
        <w:spacing w:line="600" w:lineRule="auto"/>
        <w:ind w:firstLine="2835"/>
      </w:pPr>
      <w:r>
        <w:t>También confutó su afirmación en pu</w:t>
      </w:r>
      <w:r>
        <w:t>n</w:t>
      </w:r>
      <w:r>
        <w:t xml:space="preserve">to a que los papeles y las chapas de la camioneta de “Messin” quedaron en el taller de Nitzcaner, puesto que, afirmó el </w:t>
      </w:r>
      <w:r>
        <w:lastRenderedPageBreak/>
        <w:t>acusador, dichos elementos se secuestraron en el de Cot</w:t>
      </w:r>
      <w:r>
        <w:t>o</w:t>
      </w:r>
      <w:r>
        <w:t>ras; como así también sus dichos vi</w:t>
      </w:r>
      <w:r>
        <w:t>n</w:t>
      </w:r>
      <w:r>
        <w:t xml:space="preserve">culados al ofrecimiento de los fiscales de $ </w:t>
      </w:r>
      <w:smartTag w:uri="urn:schemas-microsoft-com:office:smarttags" w:element="metricconverter">
        <w:smartTagPr>
          <w:attr w:name="ProductID" w:val="100.000 a"/>
        </w:smartTagPr>
        <w:r>
          <w:t>100.000 a</w:t>
        </w:r>
      </w:smartTag>
      <w:r>
        <w:t xml:space="preserve"> Cotoras “para que fueran a robar a mi casa y que Cotoras no aceptó”, lo cual fue de</w:t>
      </w:r>
      <w:r>
        <w:t>s</w:t>
      </w:r>
      <w:r>
        <w:t>ment</w:t>
      </w:r>
      <w:r>
        <w:t>i</w:t>
      </w:r>
      <w:r>
        <w:t>do por éste último.</w:t>
      </w:r>
    </w:p>
    <w:p w:rsidR="00224567" w:rsidRDefault="00224567">
      <w:pPr>
        <w:pStyle w:val="Textoindependiente"/>
        <w:spacing w:line="600" w:lineRule="auto"/>
        <w:ind w:firstLine="2835"/>
      </w:pPr>
      <w:r>
        <w:t>Indicó que el imputado también se pr</w:t>
      </w:r>
      <w:r>
        <w:t>o</w:t>
      </w:r>
      <w:r>
        <w:t>nunció con falsedad al afirmar que “su vecino Malacchia s</w:t>
      </w:r>
      <w:r>
        <w:t>a</w:t>
      </w:r>
      <w:r>
        <w:t>bía que lo iban a citar como testigo y tenía miedo”, en tanto ésta última circunstancia fue desmentida por el te</w:t>
      </w:r>
      <w:r>
        <w:t>s</w:t>
      </w:r>
      <w:r>
        <w:t>tigo en la audiencia de debate.</w:t>
      </w:r>
    </w:p>
    <w:p w:rsidR="00224567" w:rsidRDefault="00224567">
      <w:pPr>
        <w:pStyle w:val="Textoindependiente"/>
        <w:spacing w:line="600" w:lineRule="auto"/>
        <w:ind w:firstLine="2835"/>
      </w:pPr>
      <w:r>
        <w:t>En suma, en razón de las “idas y ven</w:t>
      </w:r>
      <w:r>
        <w:t>i</w:t>
      </w:r>
      <w:r>
        <w:t>das” que trasuntan los dichos de Carlos Alberto T</w:t>
      </w:r>
      <w:r>
        <w:t>e</w:t>
      </w:r>
      <w:r>
        <w:t>lleldín, el fiscal se preguntó “¿por qué lo ha hecho?”, entendiendo que sólo “lo debe saber él” y que “es dable suponer que ese ocultamiento responde a hechos más oscuros, a hechos más terribles”. La tarea realizada, opinó el fiscal, “fue la búsqueda de indicios con un valor tal que permitan con</w:t>
      </w:r>
      <w:r>
        <w:t>s</w:t>
      </w:r>
      <w:r>
        <w:t>truir, como eslabones de una gruesa cadena, la prueba que permita sindicar a los culpables”.</w:t>
      </w:r>
    </w:p>
    <w:p w:rsidR="00224567" w:rsidRDefault="00224567">
      <w:pPr>
        <w:pStyle w:val="Textoindependiente"/>
        <w:spacing w:line="600" w:lineRule="auto"/>
        <w:ind w:firstLine="2835"/>
      </w:pPr>
      <w:r>
        <w:t>Por todo ello, solicitó al trib</w:t>
      </w:r>
      <w:r>
        <w:t>u</w:t>
      </w:r>
      <w:r>
        <w:t>nal la imposición a Carlos Alberto Telleldín de la pena de recl</w:t>
      </w:r>
      <w:r>
        <w:t>u</w:t>
      </w:r>
      <w:r>
        <w:lastRenderedPageBreak/>
        <w:t>sión perpetua, fundado en la modalidad de la comisión del hecho y en la pluralidad de víctimas, demostrativas de un desprecio absoluto por la vida humana; como así también, en las demás pautas mensurativas, previstas en los arts. 40 y 41 del C</w:t>
      </w:r>
      <w:r>
        <w:t>ó</w:t>
      </w:r>
      <w:r>
        <w:t>digo Penal.</w:t>
      </w:r>
    </w:p>
    <w:p w:rsidR="00224567" w:rsidRDefault="00224567">
      <w:pPr>
        <w:pStyle w:val="Textoindependiente"/>
        <w:spacing w:line="600" w:lineRule="auto"/>
        <w:ind w:firstLine="2835"/>
        <w:rPr>
          <w:lang w:val="es-AR"/>
        </w:rPr>
      </w:pPr>
      <w:r w:rsidRPr="00A21112">
        <w:rPr>
          <w:highlight w:val="yellow"/>
          <w:lang w:val="es-AR"/>
        </w:rPr>
        <w:t>En punto a las conductas de Ariel R</w:t>
      </w:r>
      <w:r w:rsidRPr="00A21112">
        <w:rPr>
          <w:highlight w:val="yellow"/>
          <w:lang w:val="es-AR"/>
        </w:rPr>
        <w:t>o</w:t>
      </w:r>
      <w:r w:rsidRPr="00A21112">
        <w:rPr>
          <w:highlight w:val="yellow"/>
          <w:lang w:val="es-AR"/>
        </w:rPr>
        <w:t>dolfo Nitzcaner, Hugo Antonio Pérez y Guillermo Gustavo Jaimes, consistentes  en haber ocultado el vehículo que perteneció a Pedro Sarapura y haber introducido en él un motor correspondiente a otro automotor, hecho que se cal</w:t>
      </w:r>
      <w:r w:rsidRPr="00A21112">
        <w:rPr>
          <w:highlight w:val="yellow"/>
          <w:lang w:val="es-AR"/>
        </w:rPr>
        <w:t>i</w:t>
      </w:r>
      <w:r w:rsidRPr="00A21112">
        <w:rPr>
          <w:highlight w:val="yellow"/>
          <w:lang w:val="es-AR"/>
        </w:rPr>
        <w:t>ficó al momento de elevar la causa a juicio como constit</w:t>
      </w:r>
      <w:r w:rsidRPr="00A21112">
        <w:rPr>
          <w:highlight w:val="yellow"/>
          <w:lang w:val="es-AR"/>
        </w:rPr>
        <w:t>u</w:t>
      </w:r>
      <w:r w:rsidRPr="00A21112">
        <w:rPr>
          <w:highlight w:val="yellow"/>
          <w:lang w:val="es-AR"/>
        </w:rPr>
        <w:t>tivo del delito de encubrimiento, el representante del M</w:t>
      </w:r>
      <w:r w:rsidRPr="00A21112">
        <w:rPr>
          <w:highlight w:val="yellow"/>
          <w:lang w:val="es-AR"/>
        </w:rPr>
        <w:t>i</w:t>
      </w:r>
      <w:r w:rsidRPr="00A21112">
        <w:rPr>
          <w:highlight w:val="yellow"/>
          <w:lang w:val="es-AR"/>
        </w:rPr>
        <w:t>nisterio Público Fiscal entendió que la acción penal se e</w:t>
      </w:r>
      <w:r w:rsidRPr="00A21112">
        <w:rPr>
          <w:highlight w:val="yellow"/>
          <w:lang w:val="es-AR"/>
        </w:rPr>
        <w:t>n</w:t>
      </w:r>
      <w:r w:rsidRPr="00A21112">
        <w:rPr>
          <w:highlight w:val="yellow"/>
          <w:lang w:val="es-AR"/>
        </w:rPr>
        <w:t>contraba extinguida por prescripción, en tanto transc</w:t>
      </w:r>
      <w:r w:rsidRPr="00A21112">
        <w:rPr>
          <w:highlight w:val="yellow"/>
          <w:lang w:val="es-AR"/>
        </w:rPr>
        <w:t>u</w:t>
      </w:r>
      <w:r w:rsidRPr="00A21112">
        <w:rPr>
          <w:highlight w:val="yellow"/>
          <w:lang w:val="es-AR"/>
        </w:rPr>
        <w:t>rrió holgadamente, entre los proces</w:t>
      </w:r>
      <w:r w:rsidRPr="00A21112">
        <w:rPr>
          <w:highlight w:val="yellow"/>
          <w:lang w:val="es-AR"/>
        </w:rPr>
        <w:t>a</w:t>
      </w:r>
      <w:r w:rsidRPr="00A21112">
        <w:rPr>
          <w:highlight w:val="yellow"/>
          <w:lang w:val="es-AR"/>
        </w:rPr>
        <w:t>mientos de los nombrados –9 de agosto de 1994 (Nitzc</w:t>
      </w:r>
      <w:r w:rsidRPr="00A21112">
        <w:rPr>
          <w:highlight w:val="yellow"/>
          <w:lang w:val="es-AR"/>
        </w:rPr>
        <w:t>a</w:t>
      </w:r>
      <w:r w:rsidRPr="00A21112">
        <w:rPr>
          <w:highlight w:val="yellow"/>
          <w:lang w:val="es-AR"/>
        </w:rPr>
        <w:t>ner) y 31 de enero de 1995 (Pérez y Jaimes)- y el requerimiento de elevación a ju</w:t>
      </w:r>
      <w:r w:rsidRPr="00A21112">
        <w:rPr>
          <w:highlight w:val="yellow"/>
          <w:lang w:val="es-AR"/>
        </w:rPr>
        <w:t>i</w:t>
      </w:r>
      <w:r w:rsidRPr="00A21112">
        <w:rPr>
          <w:highlight w:val="yellow"/>
          <w:lang w:val="es-AR"/>
        </w:rPr>
        <w:t>cio –14 de julio de 1999-, el té</w:t>
      </w:r>
      <w:r w:rsidRPr="00A21112">
        <w:rPr>
          <w:highlight w:val="yellow"/>
          <w:lang w:val="es-AR"/>
        </w:rPr>
        <w:t>r</w:t>
      </w:r>
      <w:r w:rsidRPr="00A21112">
        <w:rPr>
          <w:highlight w:val="yellow"/>
          <w:lang w:val="es-AR"/>
        </w:rPr>
        <w:t>mino previsto en el art. 62, inc. 2º, del Código Penal. Por ello, solicitó que al momento de di</w:t>
      </w:r>
      <w:r w:rsidRPr="00A21112">
        <w:rPr>
          <w:highlight w:val="yellow"/>
          <w:lang w:val="es-AR"/>
        </w:rPr>
        <w:t>c</w:t>
      </w:r>
      <w:r w:rsidRPr="00A21112">
        <w:rPr>
          <w:highlight w:val="yellow"/>
          <w:lang w:val="es-AR"/>
        </w:rPr>
        <w:t>tar sentencia se sobresea a los nombrados conforme lo est</w:t>
      </w:r>
      <w:r w:rsidRPr="00A21112">
        <w:rPr>
          <w:highlight w:val="yellow"/>
          <w:lang w:val="es-AR"/>
        </w:rPr>
        <w:t>a</w:t>
      </w:r>
      <w:r w:rsidRPr="00A21112">
        <w:rPr>
          <w:highlight w:val="yellow"/>
          <w:lang w:val="es-AR"/>
        </w:rPr>
        <w:lastRenderedPageBreak/>
        <w:t>blecido en el art. 336, inc. 1º, del Código</w:t>
      </w:r>
      <w:r>
        <w:rPr>
          <w:lang w:val="es-AR"/>
        </w:rPr>
        <w:t xml:space="preserve"> Pr</w:t>
      </w:r>
      <w:r>
        <w:rPr>
          <w:lang w:val="es-AR"/>
        </w:rPr>
        <w:t>o</w:t>
      </w:r>
      <w:r>
        <w:rPr>
          <w:lang w:val="es-AR"/>
        </w:rPr>
        <w:t xml:space="preserve">cesal Penal de </w:t>
      </w:r>
      <w:smartTag w:uri="urn:schemas-microsoft-com:office:smarttags" w:element="PersonName">
        <w:smartTagPr>
          <w:attr w:name="ProductID" w:val="la Naci￳n."/>
        </w:smartTagPr>
        <w:r>
          <w:rPr>
            <w:lang w:val="es-AR"/>
          </w:rPr>
          <w:t>la Nación.</w:t>
        </w:r>
      </w:smartTag>
      <w:r>
        <w:rPr>
          <w:lang w:val="es-AR"/>
        </w:rPr>
        <w:t xml:space="preserve"> </w:t>
      </w:r>
    </w:p>
    <w:p w:rsidR="00224567" w:rsidRDefault="00224567">
      <w:pPr>
        <w:pStyle w:val="Textoindependiente"/>
        <w:spacing w:line="600" w:lineRule="auto"/>
        <w:ind w:firstLine="2835"/>
      </w:pPr>
      <w:r>
        <w:rPr>
          <w:lang w:val="es-AR"/>
        </w:rPr>
        <w:t>Luego, el Dr. Romero alegó con rel</w:t>
      </w:r>
      <w:r>
        <w:rPr>
          <w:lang w:val="es-AR"/>
        </w:rPr>
        <w:t>a</w:t>
      </w:r>
      <w:r>
        <w:rPr>
          <w:lang w:val="es-AR"/>
        </w:rPr>
        <w:t>ción a la causa nº 496, cuyas consideraciones se expr</w:t>
      </w:r>
      <w:r>
        <w:rPr>
          <w:lang w:val="es-AR"/>
        </w:rPr>
        <w:t>e</w:t>
      </w:r>
      <w:r>
        <w:rPr>
          <w:lang w:val="es-AR"/>
        </w:rPr>
        <w:t>san en el título II de esta sentencia.</w:t>
      </w:r>
    </w:p>
    <w:p w:rsidR="00224567" w:rsidRDefault="00224567">
      <w:pPr>
        <w:pStyle w:val="Textoindependiente"/>
        <w:spacing w:line="600" w:lineRule="auto"/>
        <w:ind w:firstLine="2835"/>
      </w:pPr>
      <w:r w:rsidRPr="00A21112">
        <w:rPr>
          <w:highlight w:val="yellow"/>
        </w:rPr>
        <w:t>Seguidamente, el fiscal general A</w:t>
      </w:r>
      <w:r w:rsidRPr="00A21112">
        <w:rPr>
          <w:highlight w:val="yellow"/>
        </w:rPr>
        <w:t>l</w:t>
      </w:r>
      <w:r w:rsidRPr="00A21112">
        <w:rPr>
          <w:highlight w:val="yellow"/>
        </w:rPr>
        <w:t>berto Nisman se refirió acerca de los sucesos acaecidos el 15 de marzo y el 4 de abril de 1994</w:t>
      </w:r>
      <w:r>
        <w:t>.</w:t>
      </w:r>
    </w:p>
    <w:p w:rsidR="00224567" w:rsidRDefault="00224567">
      <w:pPr>
        <w:pStyle w:val="Textoindependiente"/>
        <w:spacing w:line="600" w:lineRule="auto"/>
        <w:ind w:firstLine="2835"/>
      </w:pPr>
      <w:r>
        <w:t>Al respecto, sostuvo que en el debate se probó que el 15 de marzo de 1994, aprox</w:t>
      </w:r>
      <w:r>
        <w:t>i</w:t>
      </w:r>
      <w:r>
        <w:t>madamente a las 21.00, Juan José Ribelli y Raúl Edilio Ibarra, mediante i</w:t>
      </w:r>
      <w:r>
        <w:t>n</w:t>
      </w:r>
      <w:r>
        <w:t>timidación, procuraron obligar a Carlos Alberto Telle</w:t>
      </w:r>
      <w:r>
        <w:t>l</w:t>
      </w:r>
      <w:r>
        <w:t>dín a entregar bienes y dinero bajo la amenaza de sufrir un mal mayor. Para ello, y mediando abuso de sus funciones, inte</w:t>
      </w:r>
      <w:r>
        <w:t>n</w:t>
      </w:r>
      <w:r>
        <w:t>taron privarlo de su libertad ambulatoria, obj</w:t>
      </w:r>
      <w:r>
        <w:t>e</w:t>
      </w:r>
      <w:r>
        <w:t>tivo que no lograron consumar por causas ajenas a su v</w:t>
      </w:r>
      <w:r>
        <w:t>o</w:t>
      </w:r>
      <w:r>
        <w:t xml:space="preserve">luntad. </w:t>
      </w:r>
    </w:p>
    <w:p w:rsidR="00224567" w:rsidRDefault="00224567">
      <w:pPr>
        <w:pStyle w:val="Textoindependiente"/>
        <w:spacing w:line="600" w:lineRule="auto"/>
        <w:ind w:firstLine="2835"/>
      </w:pPr>
      <w:r>
        <w:t>Manifestó que a fin de dar acabado cu</w:t>
      </w:r>
      <w:r>
        <w:t>m</w:t>
      </w:r>
      <w:r>
        <w:t xml:space="preserve">plimiento con el plan previamente acordado, una comisión policial perteneciente a </w:t>
      </w:r>
      <w:smartTag w:uri="urn:schemas-microsoft-com:office:smarttags" w:element="PersonName">
        <w:smartTagPr>
          <w:attr w:name="ProductID" w:val="la Brigada"/>
        </w:smartTagPr>
        <w:r>
          <w:t>la Brigada</w:t>
        </w:r>
      </w:smartTag>
      <w:r>
        <w:t xml:space="preserve"> de Investigaciones de Lanús, a cuyo mando se encontraba el subcomisario Raúl Ed</w:t>
      </w:r>
      <w:r>
        <w:t>i</w:t>
      </w:r>
      <w:r>
        <w:t xml:space="preserve">lio Ibarra y bajo cuyas órdenes estaban los suboficiales </w:t>
      </w:r>
      <w:r>
        <w:lastRenderedPageBreak/>
        <w:t>Víctor Carlos Cruz y Eduardo Diego Toledo, todos ellos a bordo de un vehículo Volkswagen Senda, juntamente con el suboficial Marcelo Darío Casas, en un Ford Falcon, se con</w:t>
      </w:r>
      <w:r>
        <w:t>s</w:t>
      </w:r>
      <w:r>
        <w:t>tituyeron en las inm</w:t>
      </w:r>
      <w:r>
        <w:t>e</w:t>
      </w:r>
      <w:r>
        <w:t xml:space="preserve">diaciones de la parrilla “El Barril”, ubicada en </w:t>
      </w:r>
      <w:smartTag w:uri="urn:schemas-microsoft-com:office:smarttags" w:element="PersonName">
        <w:smartTagPr>
          <w:attr w:name="ProductID" w:val="la Av. Maip￺"/>
        </w:smartTagPr>
        <w:r>
          <w:t>la Av. Maipú</w:t>
        </w:r>
      </w:smartTag>
      <w:r>
        <w:t xml:space="preserve"> al 2400 de Ol</w:t>
      </w:r>
      <w:r>
        <w:t>i</w:t>
      </w:r>
      <w:r>
        <w:t>vos, con el propósito de llevar adelante la reseñada maniobra extors</w:t>
      </w:r>
      <w:r>
        <w:t>i</w:t>
      </w:r>
      <w:r>
        <w:t>va.</w:t>
      </w:r>
    </w:p>
    <w:p w:rsidR="00224567" w:rsidRDefault="00224567">
      <w:pPr>
        <w:pStyle w:val="Textoindependiente"/>
        <w:spacing w:line="600" w:lineRule="auto"/>
        <w:ind w:firstLine="2835"/>
      </w:pPr>
      <w:r>
        <w:t>Señaló, que allí esperaron la llegada de Carlos Alberto Telleldín, quien lo hizo a bordo de un vehículo Renault 18; que éste previamente había acordado encontrarse con su esposa Ana María Boragni, de quien se encontraba en ese momento separado; que la nombrada est</w:t>
      </w:r>
      <w:r>
        <w:t>a</w:t>
      </w:r>
      <w:r>
        <w:t>cionó su vehículo Ford Escort, descendió y en el momento en que subió al rodado de Telleldín, dos de los policías se aproximaron con la intención de interceptarlos; que Telle</w:t>
      </w:r>
      <w:r>
        <w:t>l</w:t>
      </w:r>
      <w:r>
        <w:t>dín, al advertir la maniobra, arrancó su vehículo, dio ma</w:t>
      </w:r>
      <w:r>
        <w:t>r</w:t>
      </w:r>
      <w:r>
        <w:t>cha atrás, embistió a un taxi marca Fiat, modelo Duna, co</w:t>
      </w:r>
      <w:r>
        <w:t>n</w:t>
      </w:r>
      <w:r>
        <w:t xml:space="preserve">ducido por Héctor Sexto y huyó hacia </w:t>
      </w:r>
      <w:smartTag w:uri="urn:schemas-microsoft-com:office:smarttags" w:element="PersonName">
        <w:smartTagPr>
          <w:attr w:name="ProductID" w:val="la Capital Federal."/>
        </w:smartTagPr>
        <w:r>
          <w:t>la Capital Fed</w:t>
        </w:r>
        <w:r>
          <w:t>e</w:t>
        </w:r>
        <w:r>
          <w:t>ral.</w:t>
        </w:r>
      </w:smartTag>
      <w:r>
        <w:t xml:space="preserve"> El suboficial Marcelo Darío Casas, con la intención de det</w:t>
      </w:r>
      <w:r>
        <w:t>e</w:t>
      </w:r>
      <w:r>
        <w:t>nerlo, ingresó una parte de su cuerpo del lado de la vent</w:t>
      </w:r>
      <w:r>
        <w:t>a</w:t>
      </w:r>
      <w:r>
        <w:t xml:space="preserve">nilla del conductor y fue arrastrado por espacio de </w:t>
      </w:r>
      <w:smartTag w:uri="urn:schemas-microsoft-com:office:smarttags" w:element="metricconverter">
        <w:smartTagPr>
          <w:attr w:name="ProductID" w:val="50 metros"/>
        </w:smartTagPr>
        <w:r>
          <w:t>50 m</w:t>
        </w:r>
        <w:r>
          <w:t>e</w:t>
        </w:r>
        <w:r>
          <w:lastRenderedPageBreak/>
          <w:t>tros</w:t>
        </w:r>
      </w:smartTag>
      <w:r>
        <w:t>, produciéndose diversas lesiones.</w:t>
      </w:r>
    </w:p>
    <w:p w:rsidR="00224567" w:rsidRDefault="00224567" w:rsidP="00E231AE">
      <w:pPr>
        <w:pStyle w:val="Textoindependiente"/>
        <w:spacing w:line="600" w:lineRule="auto"/>
        <w:ind w:firstLine="2835"/>
      </w:pPr>
      <w:r>
        <w:t>Sostuvo, además, que la prueba acr</w:t>
      </w:r>
      <w:r>
        <w:t>e</w:t>
      </w:r>
      <w:r>
        <w:t xml:space="preserve">ditó que el 4 de abril de 1994, aproximadamente a las 20.00, </w:t>
      </w:r>
      <w:r w:rsidR="00E231AE">
        <w:t xml:space="preserve"> </w:t>
      </w:r>
      <w:r>
        <w:t>Raúl Edilio Ibarra, Juan José Ribelli y Marcelo Gustavo A</w:t>
      </w:r>
      <w:r>
        <w:t>l</w:t>
      </w:r>
      <w:r>
        <w:t>barracín, en carácter de coautores, junto con Bautista A</w:t>
      </w:r>
      <w:r>
        <w:t>l</w:t>
      </w:r>
      <w:r>
        <w:t>berto Huici, en calidad de partícipe necesario, retuvi</w:t>
      </w:r>
      <w:r>
        <w:t>e</w:t>
      </w:r>
      <w:r>
        <w:t>ron ilegítimamente a Carlos Alberto Telleldín y a Sandra Marisa Petrucci, con el propósito logrado de cobrar un re</w:t>
      </w:r>
      <w:r>
        <w:t>s</w:t>
      </w:r>
      <w:r>
        <w:t>cate. En la maniobra, indicó, Alejandro Burguete, José Miguel Ara</w:t>
      </w:r>
      <w:r>
        <w:t>n</w:t>
      </w:r>
      <w:r>
        <w:t>cibia y Oscar Eugenio Bacigalupo hicieron insertar en un docume</w:t>
      </w:r>
      <w:r>
        <w:t>n</w:t>
      </w:r>
      <w:r>
        <w:t>to público aserciones falsas que el documento estaba destinado a probar; en el caso de Burguete, resaltó el fi</w:t>
      </w:r>
      <w:r>
        <w:t>s</w:t>
      </w:r>
      <w:r>
        <w:t xml:space="preserve">cal, la conducta se reiteró en dos oportunidades. </w:t>
      </w:r>
    </w:p>
    <w:p w:rsidR="00224567" w:rsidRDefault="00224567">
      <w:pPr>
        <w:pStyle w:val="Textoindependiente"/>
        <w:spacing w:line="600" w:lineRule="auto"/>
        <w:ind w:firstLine="2835"/>
      </w:pPr>
      <w:r>
        <w:t>También afirmó que Bautista Alberto Huici prestó falso testimonio agravado en perjuicio de Ca</w:t>
      </w:r>
      <w:r>
        <w:t>r</w:t>
      </w:r>
      <w:r>
        <w:t>los Alberto Telleldín, en el marco de la causa nº 5681 del Juzgado en lo Criminal y Correccional nº 5 del Depart</w:t>
      </w:r>
      <w:r>
        <w:t>a</w:t>
      </w:r>
      <w:r>
        <w:t>mento Judicial de Quilmes, causa en la que se investigaba el d</w:t>
      </w:r>
      <w:r>
        <w:t>e</w:t>
      </w:r>
      <w:r>
        <w:t>lito de homicidio en ocasión de robo, ocurrido el 29 de n</w:t>
      </w:r>
      <w:r>
        <w:t>o</w:t>
      </w:r>
      <w:r>
        <w:t xml:space="preserve">viembre de 1993, en una sodería de Florencio Varela, del que fue víctima el cabo de </w:t>
      </w:r>
      <w:smartTag w:uri="urn:schemas-microsoft-com:office:smarttags" w:element="PersonName">
        <w:smartTagPr>
          <w:attr w:name="ProductID" w:val="la Polic￭a Bonaerense"/>
        </w:smartTagPr>
        <w:r>
          <w:t>la Policía Bonaerense</w:t>
        </w:r>
      </w:smartTag>
      <w:r>
        <w:t>, Abel C</w:t>
      </w:r>
      <w:r>
        <w:t>a</w:t>
      </w:r>
      <w:r>
        <w:lastRenderedPageBreak/>
        <w:t xml:space="preserve">talino Muñoz. </w:t>
      </w:r>
    </w:p>
    <w:p w:rsidR="00224567" w:rsidRDefault="00224567">
      <w:pPr>
        <w:pStyle w:val="Textoindependiente"/>
        <w:spacing w:line="600" w:lineRule="auto"/>
        <w:ind w:firstLine="2835"/>
        <w:rPr>
          <w:lang w:val="es-AR"/>
        </w:rPr>
      </w:pPr>
      <w:r>
        <w:t>Alegó que Juan José Ribelli instigó y determinó a Bautista Alberto Huici a prestar falso testim</w:t>
      </w:r>
      <w:r>
        <w:t>o</w:t>
      </w:r>
      <w:r>
        <w:t>nio en perjuicio del imputado Carlos Alberto T</w:t>
      </w:r>
      <w:r>
        <w:t>e</w:t>
      </w:r>
      <w:r>
        <w:t>lleldín, en la mencionada causa.</w:t>
      </w:r>
    </w:p>
    <w:p w:rsidR="00224567" w:rsidRDefault="00224567">
      <w:pPr>
        <w:pStyle w:val="Textoindependiente"/>
        <w:spacing w:line="600" w:lineRule="auto"/>
        <w:ind w:firstLine="2835"/>
      </w:pPr>
      <w:r>
        <w:rPr>
          <w:lang w:val="es-AR"/>
        </w:rPr>
        <w:t>Sentado ello, señaló</w:t>
      </w:r>
      <w:r>
        <w:t xml:space="preserve"> que ante el r</w:t>
      </w:r>
      <w:r>
        <w:t>e</w:t>
      </w:r>
      <w:r>
        <w:t>vés sufrido por el personal policial en el intento del 15 de marzo de 1994, se continuó la búsqueda de Telleldín para consumar la finalidad extorsiva.</w:t>
      </w:r>
    </w:p>
    <w:p w:rsidR="00224567" w:rsidRDefault="00224567">
      <w:pPr>
        <w:pStyle w:val="Textoindependiente"/>
        <w:spacing w:line="600" w:lineRule="auto"/>
        <w:ind w:firstLine="2835"/>
      </w:pPr>
      <w:r>
        <w:t xml:space="preserve">Así, dijo, el 4 de abril de 1994, una nueva comisión, también de </w:t>
      </w:r>
      <w:smartTag w:uri="urn:schemas-microsoft-com:office:smarttags" w:element="PersonName">
        <w:smartTagPr>
          <w:attr w:name="ProductID" w:val="la Brigada"/>
        </w:smartTagPr>
        <w:r>
          <w:t>la Brigada</w:t>
        </w:r>
      </w:smartTag>
      <w:r>
        <w:t xml:space="preserve"> de Investigaci</w:t>
      </w:r>
      <w:r>
        <w:t>o</w:t>
      </w:r>
      <w:r>
        <w:t>nes de Lanús, integrada por Ibarra, acompañ</w:t>
      </w:r>
      <w:r>
        <w:t>a</w:t>
      </w:r>
      <w:r>
        <w:t>do por el subcomisario Marcelo Gustavo Albarracín y el oficial Walter Claudio Ar</w:t>
      </w:r>
      <w:r>
        <w:t>a</w:t>
      </w:r>
      <w:r>
        <w:t>ya, todos ellos a bordo de un Volkswagen Senda, junto con el cabo primero Walter Alejandro Castro, en un Renault 12, se con</w:t>
      </w:r>
      <w:r>
        <w:t>s</w:t>
      </w:r>
      <w:r>
        <w:t>tituyeron en la zona de Tortuguitas, a la altura de la calle Moreno al 1100. Allí, observaron a Telleldín, quien se encontraba a bordo de un Renault 18, dominio B 2.270.130, junto con Sandra Marisa Petru</w:t>
      </w:r>
      <w:r>
        <w:t>c</w:t>
      </w:r>
      <w:r>
        <w:t>ci, por entonces, su conviviente. Ambos fueron ide</w:t>
      </w:r>
      <w:r>
        <w:t>n</w:t>
      </w:r>
      <w:r>
        <w:t xml:space="preserve">tificados por el personal </w:t>
      </w:r>
      <w:r>
        <w:lastRenderedPageBreak/>
        <w:t xml:space="preserve">policial y trasladados a </w:t>
      </w:r>
      <w:smartTag w:uri="urn:schemas-microsoft-com:office:smarttags" w:element="PersonName">
        <w:smartTagPr>
          <w:attr w:name="ProductID" w:val="la Brigada"/>
        </w:smartTagPr>
        <w:r>
          <w:t>la Brigada</w:t>
        </w:r>
      </w:smartTag>
      <w:r>
        <w:t xml:space="preserve"> de Investigaciones de Lanús, ingresando por averiguación de antecede</w:t>
      </w:r>
      <w:r>
        <w:t>n</w:t>
      </w:r>
      <w:r>
        <w:t xml:space="preserve">tes. </w:t>
      </w:r>
    </w:p>
    <w:p w:rsidR="00224567" w:rsidRDefault="00224567">
      <w:pPr>
        <w:pStyle w:val="Textoindependiente"/>
        <w:spacing w:line="600" w:lineRule="auto"/>
        <w:ind w:firstLine="2835"/>
      </w:pPr>
      <w:r>
        <w:t>Agregó, que Carlos Alberto Telleldín fue registrado con el nombre de Carlos A</w:t>
      </w:r>
      <w:r>
        <w:t>l</w:t>
      </w:r>
      <w:r>
        <w:t>berto Teccedin y, aunque  sabían su verdadera identidad, el propósito consi</w:t>
      </w:r>
      <w:r>
        <w:t>s</w:t>
      </w:r>
      <w:r>
        <w:t>tía en evitar, o cuanto menos demorar, la aparición de los antecedentes que registraba y que los policías no descon</w:t>
      </w:r>
      <w:r>
        <w:t>o</w:t>
      </w:r>
      <w:r>
        <w:t>cían. Tal, sostuvo, era la forma de llevar adelante la e</w:t>
      </w:r>
      <w:r>
        <w:t>x</w:t>
      </w:r>
      <w:r>
        <w:t>torsión.</w:t>
      </w:r>
    </w:p>
    <w:p w:rsidR="00224567" w:rsidRDefault="00224567">
      <w:pPr>
        <w:pStyle w:val="Textoindependiente"/>
        <w:spacing w:line="600" w:lineRule="auto"/>
        <w:ind w:firstLine="2835"/>
      </w:pPr>
      <w:r>
        <w:t>Afirmó que en la maniobra expoliat</w:t>
      </w:r>
      <w:r>
        <w:t>i</w:t>
      </w:r>
      <w:r>
        <w:t>va, Burguete, Arancibia y Bacigalupo se encargaron de susta</w:t>
      </w:r>
      <w:r>
        <w:t>n</w:t>
      </w:r>
      <w:r>
        <w:t>ciar las actuaciones administrativas. Por su parte, el e</w:t>
      </w:r>
      <w:r>
        <w:t>n</w:t>
      </w:r>
      <w:r>
        <w:t xml:space="preserve">tonces jefe de operaciones de </w:t>
      </w:r>
      <w:smartTag w:uri="urn:schemas-microsoft-com:office:smarttags" w:element="PersonName">
        <w:smartTagPr>
          <w:attr w:name="ProductID" w:val="la Brigada"/>
        </w:smartTagPr>
        <w:r>
          <w:t>la Brigada</w:t>
        </w:r>
      </w:smartTag>
      <w:r>
        <w:t xml:space="preserve"> de Invest</w:t>
      </w:r>
      <w:r>
        <w:t>i</w:t>
      </w:r>
      <w:r>
        <w:t>gaciones de Lanús, el ex comisario Juan José Ribelli, exigió a T</w:t>
      </w:r>
      <w:r>
        <w:t>e</w:t>
      </w:r>
      <w:r>
        <w:t xml:space="preserve">lleldín la suma de USD </w:t>
      </w:r>
      <w:smartTag w:uri="urn:schemas-microsoft-com:office:smarttags" w:element="metricconverter">
        <w:smartTagPr>
          <w:attr w:name="ProductID" w:val="50.000 a"/>
        </w:smartTagPr>
        <w:r>
          <w:t>50.000 a</w:t>
        </w:r>
      </w:smartTag>
      <w:r>
        <w:t xml:space="preserve"> cambio de su libertad, e</w:t>
      </w:r>
      <w:r>
        <w:t>x</w:t>
      </w:r>
      <w:r>
        <w:t>presando “poné lo que tenés que poner y te vas”.</w:t>
      </w:r>
    </w:p>
    <w:p w:rsidR="00224567" w:rsidRDefault="00224567">
      <w:pPr>
        <w:pStyle w:val="Textoindependiente"/>
        <w:spacing w:line="600" w:lineRule="auto"/>
        <w:ind w:firstLine="2835"/>
      </w:pPr>
      <w:r>
        <w:t>La libertad, dijo, sólo podía concede</w:t>
      </w:r>
      <w:r>
        <w:t>r</w:t>
      </w:r>
      <w:r>
        <w:t>se evitando la aparición de los pedidos de captura que r</w:t>
      </w:r>
      <w:r>
        <w:t>e</w:t>
      </w:r>
      <w:r>
        <w:t>gistraba Telleldín; de modo que, el hecho de ase</w:t>
      </w:r>
      <w:r>
        <w:t>n</w:t>
      </w:r>
      <w:r>
        <w:t>tarlo con la falsa identidad y requerir sus antecedentes en forma n</w:t>
      </w:r>
      <w:r>
        <w:t>o</w:t>
      </w:r>
      <w:r>
        <w:t>minativa, fue funcional para lograr el objet</w:t>
      </w:r>
      <w:r>
        <w:t>i</w:t>
      </w:r>
      <w:r>
        <w:t xml:space="preserve">vo. </w:t>
      </w:r>
    </w:p>
    <w:p w:rsidR="00224567" w:rsidRDefault="00224567">
      <w:pPr>
        <w:pStyle w:val="Textoindependiente"/>
        <w:spacing w:line="600" w:lineRule="auto"/>
        <w:ind w:firstLine="2835"/>
      </w:pPr>
      <w:r>
        <w:lastRenderedPageBreak/>
        <w:t>Por ese motivo, sostuvo, las fichas dactiloscópicas de Telleldín no se enviaron al día siguie</w:t>
      </w:r>
      <w:r>
        <w:t>n</w:t>
      </w:r>
      <w:r>
        <w:t>te de su detención, sino después de que recuperara su l</w:t>
      </w:r>
      <w:r>
        <w:t>i</w:t>
      </w:r>
      <w:r>
        <w:t>bertad. De adverso, se hubiera impedido consumar la final</w:t>
      </w:r>
      <w:r>
        <w:t>i</w:t>
      </w:r>
      <w:r>
        <w:t>dad extorsiva; ése, dijo, fue el argumento del que se valió el personal policial: “si Telleldín no p</w:t>
      </w:r>
      <w:r>
        <w:t>a</w:t>
      </w:r>
      <w:r>
        <w:t>gaba, las capturas obviamente aparecían y la libertad no se efect</w:t>
      </w:r>
      <w:r>
        <w:t>i</w:t>
      </w:r>
      <w:r>
        <w:t>vizaba”.</w:t>
      </w:r>
    </w:p>
    <w:p w:rsidR="00224567" w:rsidRDefault="00224567">
      <w:pPr>
        <w:pStyle w:val="Textoindependiente"/>
        <w:spacing w:line="600" w:lineRule="auto"/>
        <w:ind w:firstLine="2835"/>
      </w:pPr>
      <w:r>
        <w:t>También, formuló acusación contra R</w:t>
      </w:r>
      <w:r>
        <w:t>a</w:t>
      </w:r>
      <w:r>
        <w:t>úl Edilio Ibarra, por realizar falsas manifestaciones en pe</w:t>
      </w:r>
      <w:r>
        <w:t>r</w:t>
      </w:r>
      <w:r>
        <w:t>juicio de Carlos Alberto Telleldín el día 15 de marzo de 1994, en el marco de la referida causa nº 5681 y por haber instigado a Marcelo Darío Casas para que prestara falso testimonio agravado, también en perju</w:t>
      </w:r>
      <w:r>
        <w:t>i</w:t>
      </w:r>
      <w:r>
        <w:t>cio de Telleldín y en esa misma causa; tales declaraciones, si bien fueron tom</w:t>
      </w:r>
      <w:r>
        <w:t>a</w:t>
      </w:r>
      <w:r>
        <w:t>das en sede policial, fueron agregadas a esas actuaci</w:t>
      </w:r>
      <w:r>
        <w:t>o</w:t>
      </w:r>
      <w:r>
        <w:t>nes.</w:t>
      </w:r>
    </w:p>
    <w:p w:rsidR="00224567" w:rsidRDefault="00224567">
      <w:pPr>
        <w:pStyle w:val="Textoindependiente"/>
        <w:spacing w:line="600" w:lineRule="auto"/>
        <w:ind w:firstLine="2835"/>
      </w:pPr>
      <w:r>
        <w:t>Además, imputó a Ibarra el hecho de h</w:t>
      </w:r>
      <w:r>
        <w:t>a</w:t>
      </w:r>
      <w:r>
        <w:t>ber instigado a Eduardo Diego Toledo, para que prestara falso testimonio simple en la “Dirección de Sum</w:t>
      </w:r>
      <w:r>
        <w:t>a</w:t>
      </w:r>
      <w:r>
        <w:t xml:space="preserve">rios de </w:t>
      </w:r>
      <w:smartTag w:uri="urn:schemas-microsoft-com:office:smarttags" w:element="PersonName">
        <w:smartTagPr>
          <w:attr w:name="ProductID" w:val="La Plata"/>
        </w:smartTagPr>
        <w:r>
          <w:t>La Plata</w:t>
        </w:r>
      </w:smartTag>
      <w:r>
        <w:t xml:space="preserve">”, donde se investigaba la actuación administrativa del personal de </w:t>
      </w:r>
      <w:smartTag w:uri="urn:schemas-microsoft-com:office:smarttags" w:element="PersonName">
        <w:smartTagPr>
          <w:attr w:name="ProductID" w:val="la Brigada"/>
        </w:smartTagPr>
        <w:r>
          <w:t>la Brigada</w:t>
        </w:r>
      </w:smartTag>
      <w:r>
        <w:t xml:space="preserve"> de Lanús, declaración que se </w:t>
      </w:r>
      <w:r>
        <w:lastRenderedPageBreak/>
        <w:t>llevó a cabo el día 15 de agosto de 1995.</w:t>
      </w:r>
    </w:p>
    <w:p w:rsidR="00224567" w:rsidRDefault="00224567">
      <w:pPr>
        <w:pStyle w:val="Textoindependiente"/>
        <w:spacing w:line="600" w:lineRule="auto"/>
        <w:ind w:firstLine="2835"/>
      </w:pPr>
      <w:r>
        <w:t>Tanto el procedimiento del 15 de ma</w:t>
      </w:r>
      <w:r>
        <w:t>r</w:t>
      </w:r>
      <w:r>
        <w:t>zo, como el del 4 de abril, sostuvo el fiscal, tuvieron como finalidad las señaladas maniobras confiscatorias. Para eso, explicó que se utilizó el a</w:t>
      </w:r>
      <w:r>
        <w:t>m</w:t>
      </w:r>
      <w:r>
        <w:t>paro protector que consistió en vincular falsamente a Carlos Alberto Telleldín a la refer</w:t>
      </w:r>
      <w:r>
        <w:t>i</w:t>
      </w:r>
      <w:r>
        <w:t>da causa nº 5681, mediante una falsa declaración testim</w:t>
      </w:r>
      <w:r>
        <w:t>o</w:t>
      </w:r>
      <w:r>
        <w:t>nial prestada por Bautista Alberto Huici, en la que afi</w:t>
      </w:r>
      <w:r>
        <w:t>r</w:t>
      </w:r>
      <w:r>
        <w:t>mó que Carlos Buján -uno de los detenidos en esa causa- le r</w:t>
      </w:r>
      <w:r>
        <w:t>e</w:t>
      </w:r>
      <w:r>
        <w:t>firió que conocía a una persona apodada “el Enano”, que p</w:t>
      </w:r>
      <w:r>
        <w:t>a</w:t>
      </w:r>
      <w:r>
        <w:t>raba en varias confiterías de la zona de Olivos, entre ellas, “El Barril”, ubicada en Maipú y Ugarte; que éste guardaba vehículos robados en su vivienda de la calle Rep</w:t>
      </w:r>
      <w:r>
        <w:t>ú</w:t>
      </w:r>
      <w:r>
        <w:t>blica 107 de Villa Ballester; que la banda que integraba Buján se intercambiaba autos con Telleldín y que el Pe</w:t>
      </w:r>
      <w:r>
        <w:t>u</w:t>
      </w:r>
      <w:r>
        <w:t>geot 505 utilizado para cometer el robo que derivó en el homic</w:t>
      </w:r>
      <w:r>
        <w:t>i</w:t>
      </w:r>
      <w:r>
        <w:t>dio, había sido provisto por “el Enano” T</w:t>
      </w:r>
      <w:r>
        <w:t>e</w:t>
      </w:r>
      <w:r>
        <w:t>lleldín.</w:t>
      </w:r>
    </w:p>
    <w:p w:rsidR="00224567" w:rsidRDefault="00224567">
      <w:pPr>
        <w:pStyle w:val="Textoindependiente"/>
        <w:spacing w:line="600" w:lineRule="auto"/>
        <w:ind w:firstLine="2835"/>
        <w:rPr>
          <w:lang w:val="es-AR"/>
        </w:rPr>
      </w:pPr>
      <w:r>
        <w:t>Sin embargo, sostuvo que nunca existi</w:t>
      </w:r>
      <w:r>
        <w:t>e</w:t>
      </w:r>
      <w:r>
        <w:t>ron las manifestaciones espontáneos por parte de Buján a Huici y que su incorporación a la causa, tuvo c</w:t>
      </w:r>
      <w:r>
        <w:t>o</w:t>
      </w:r>
      <w:r>
        <w:t xml:space="preserve">mo única y exclusiva finalidad la de convertirse en la vía apta para </w:t>
      </w:r>
      <w:r>
        <w:lastRenderedPageBreak/>
        <w:t>dotar de aparente legalidad el procedimiento de detención de Carlos Alberto Telleldín. El único propósito que pers</w:t>
      </w:r>
      <w:r>
        <w:t>e</w:t>
      </w:r>
      <w:r>
        <w:t>guían los policías era extorsionarlo y quitarle bienes y dinero para que pudiera seguir delinquiendo con tranquil</w:t>
      </w:r>
      <w:r>
        <w:t>i</w:t>
      </w:r>
      <w:r>
        <w:t>dad.</w:t>
      </w:r>
    </w:p>
    <w:p w:rsidR="00224567" w:rsidRDefault="00224567">
      <w:pPr>
        <w:widowControl w:val="0"/>
        <w:tabs>
          <w:tab w:val="left" w:pos="0"/>
        </w:tabs>
        <w:ind w:firstLine="2835"/>
      </w:pPr>
      <w:r>
        <w:t>Una vez perfeccionado este acue</w:t>
      </w:r>
      <w:r>
        <w:t>r</w:t>
      </w:r>
      <w:r>
        <w:t>do en Lanús, se hizo presente Eduardo Telleldín, quien había s</w:t>
      </w:r>
      <w:r>
        <w:t>i</w:t>
      </w:r>
      <w:r>
        <w:t>do llamado por su hermano Carlos. Para ello, se le facil</w:t>
      </w:r>
      <w:r>
        <w:t>i</w:t>
      </w:r>
      <w:r>
        <w:t>taron dos teléfonos celulares, uno a nombre de Juan José Ribelli y otro a nombre de Walter Alejandro Castro. El propósito no era avisar a su familia para comunicar su d</w:t>
      </w:r>
      <w:r>
        <w:t>e</w:t>
      </w:r>
      <w:r>
        <w:t>tención sino que, en realidad, tenía por objeto que se gestionaran los bienes económicos que s</w:t>
      </w:r>
      <w:r>
        <w:t>e</w:t>
      </w:r>
      <w:r>
        <w:t>rían entregados a la brig</w:t>
      </w:r>
      <w:r>
        <w:t>a</w:t>
      </w:r>
      <w:r>
        <w:t>da, a cambio de su libertad.</w:t>
      </w:r>
    </w:p>
    <w:p w:rsidR="00224567" w:rsidRDefault="00224567">
      <w:pPr>
        <w:widowControl w:val="0"/>
        <w:tabs>
          <w:tab w:val="left" w:pos="0"/>
        </w:tabs>
        <w:ind w:firstLine="2835"/>
      </w:pPr>
      <w:r>
        <w:t>Así fue, sostuvo el fiscal, que T</w:t>
      </w:r>
      <w:r>
        <w:t>e</w:t>
      </w:r>
      <w:r>
        <w:t>lleldín entregó a cambio un vehículo Ford Falcon, dom</w:t>
      </w:r>
      <w:r>
        <w:t>i</w:t>
      </w:r>
      <w:r>
        <w:t>nio B 1.213.656, un Renault 18, dominio B 2.270.130, una moto Kawasaki, dominio 320 APX y 2000 pesos o dólares, compr</w:t>
      </w:r>
      <w:r>
        <w:t>o</w:t>
      </w:r>
      <w:r>
        <w:t>metiéndose, además, a cancelar a la brevedad el saldo pe</w:t>
      </w:r>
      <w:r>
        <w:t>n</w:t>
      </w:r>
      <w:r>
        <w:t xml:space="preserve">diente, puesto que el reclamo inicial era de USD 50.000 y </w:t>
      </w:r>
      <w:r>
        <w:lastRenderedPageBreak/>
        <w:t>entre esos bienes se llegó a una valuación total de USD 30.000. En consecuencia, sostuvo el fiscal, se exigió a Telleldín un compromiso de saldar los restantes 20.000 p</w:t>
      </w:r>
      <w:r>
        <w:t>e</w:t>
      </w:r>
      <w:r>
        <w:t>sos o dólares, al recuperar su libertad.</w:t>
      </w:r>
    </w:p>
    <w:p w:rsidR="00224567" w:rsidRDefault="00224567">
      <w:pPr>
        <w:widowControl w:val="0"/>
        <w:tabs>
          <w:tab w:val="left" w:pos="0"/>
        </w:tabs>
        <w:ind w:firstLine="2835"/>
      </w:pPr>
      <w:r>
        <w:t>Sostuvo el fiscal que las versiones exculpatorias esgrimidas por los imputados en sus respe</w:t>
      </w:r>
      <w:r>
        <w:t>c</w:t>
      </w:r>
      <w:r>
        <w:t>tivas declaraciones indagatorias, giraron en torno a un denomin</w:t>
      </w:r>
      <w:r>
        <w:t>a</w:t>
      </w:r>
      <w:r>
        <w:t>dor común: Telleldín estaba vinculado con la causa nº 5681 de Quilmes y que realizaron averiguaciones respe</w:t>
      </w:r>
      <w:r>
        <w:t>c</w:t>
      </w:r>
      <w:r>
        <w:t>to de una persona vi</w:t>
      </w:r>
      <w:r>
        <w:t>n</w:t>
      </w:r>
      <w:r>
        <w:t>culada a un delito.</w:t>
      </w:r>
    </w:p>
    <w:p w:rsidR="00224567" w:rsidRDefault="00224567">
      <w:pPr>
        <w:pStyle w:val="Sangra2detindependiente"/>
        <w:widowControl w:val="0"/>
        <w:spacing w:line="600" w:lineRule="auto"/>
        <w:ind w:firstLine="2835"/>
      </w:pPr>
      <w:r>
        <w:t>Sin perjuicio de la negativa en la que se encerraron los imputados, argumentó que existía un c</w:t>
      </w:r>
      <w:r>
        <w:t>ú</w:t>
      </w:r>
      <w:r>
        <w:t>mulo de elementos de juicio que permiten desvirtuarla, en particular, la versión de la víctima del suceso, Carlos Alberto Telleldín, que corroboró los hechos antes descri</w:t>
      </w:r>
      <w:r>
        <w:t>p</w:t>
      </w:r>
      <w:r>
        <w:t>tos.</w:t>
      </w:r>
    </w:p>
    <w:p w:rsidR="00224567" w:rsidRDefault="00224567">
      <w:pPr>
        <w:widowControl w:val="0"/>
        <w:tabs>
          <w:tab w:val="left" w:pos="0"/>
        </w:tabs>
        <w:ind w:firstLine="2835"/>
      </w:pPr>
      <w:r>
        <w:t>Destacó que el nombrado, según lo d</w:t>
      </w:r>
      <w:r>
        <w:t>e</w:t>
      </w:r>
      <w:r>
        <w:t xml:space="preserve">claró en el debate, una vez detenido en </w:t>
      </w:r>
      <w:smartTag w:uri="urn:schemas-microsoft-com:office:smarttags" w:element="PersonName">
        <w:smartTagPr>
          <w:attr w:name="ProductID" w:val="la Brigada"/>
        </w:smartTagPr>
        <w:r>
          <w:t>la Brigada</w:t>
        </w:r>
      </w:smartTag>
      <w:r>
        <w:t xml:space="preserve"> de L</w:t>
      </w:r>
      <w:r>
        <w:t>a</w:t>
      </w:r>
      <w:r>
        <w:t xml:space="preserve">nús, se enteró por comentarios que Ibarra había ordenado no disparar ni un solo tiro pues, de ese modo, tendrían que “blanquear” la situación ocurrida el 15 de marzo de </w:t>
      </w:r>
      <w:r>
        <w:lastRenderedPageBreak/>
        <w:t>1994. El extremo resulta demostrativo, dijo el acusador, de la ilegalidad del proc</w:t>
      </w:r>
      <w:r>
        <w:t>e</w:t>
      </w:r>
      <w:r>
        <w:t xml:space="preserve">dimiento. </w:t>
      </w:r>
    </w:p>
    <w:p w:rsidR="00224567" w:rsidRDefault="00224567">
      <w:pPr>
        <w:widowControl w:val="0"/>
        <w:tabs>
          <w:tab w:val="left" w:pos="0"/>
        </w:tabs>
        <w:ind w:firstLine="2835"/>
      </w:pPr>
      <w:r>
        <w:t>En igual sentido, señaló los d</w:t>
      </w:r>
      <w:r>
        <w:t>i</w:t>
      </w:r>
      <w:r>
        <w:t>chos de Telleldín en cuanto manifestó que al ser detenido en To</w:t>
      </w:r>
      <w:r>
        <w:t>r</w:t>
      </w:r>
      <w:r>
        <w:t>tuguitas –4 de abril de 1994-, fue conducido en la parte trasera del vehículo, tirado en el piso, tapado con una frazada, con indicaciones de que fuera callado y sin hacer ruido. Concretamente, le dijeron los pol</w:t>
      </w:r>
      <w:r>
        <w:t>i</w:t>
      </w:r>
      <w:r>
        <w:t xml:space="preserve">cías que “si nos llegan a parar o interceptar </w:t>
      </w:r>
      <w:smartTag w:uri="urn:schemas-microsoft-com:office:smarttags" w:element="PersonName">
        <w:smartTagPr>
          <w:attr w:name="ProductID" w:val="la Polic￭a Federal"/>
        </w:smartTagPr>
        <w:r>
          <w:t>la Policía Federal</w:t>
        </w:r>
      </w:smartTag>
      <w:r>
        <w:t>, vos c</w:t>
      </w:r>
      <w:r>
        <w:t>a</w:t>
      </w:r>
      <w:r>
        <w:t>llate y no te muevas”.</w:t>
      </w:r>
    </w:p>
    <w:p w:rsidR="00224567" w:rsidRDefault="00224567">
      <w:pPr>
        <w:widowControl w:val="0"/>
        <w:tabs>
          <w:tab w:val="left" w:pos="0"/>
        </w:tabs>
        <w:ind w:firstLine="2835"/>
      </w:pPr>
      <w:r>
        <w:t xml:space="preserve">Manifestó, que Telleldín –según sus dichos- fue conducido al despacho de Juan José Ribelli, quien le exigió la entrega de USD 50.000 para obtener su libertad; que luego lo llevaron a </w:t>
      </w:r>
      <w:smartTag w:uri="urn:schemas-microsoft-com:office:smarttags" w:element="PersonName">
        <w:smartTagPr>
          <w:attr w:name="ProductID" w:val="la Divisi￳n Operaciones"/>
        </w:smartTagPr>
        <w:r>
          <w:t>la División Oper</w:t>
        </w:r>
        <w:r>
          <w:t>a</w:t>
        </w:r>
        <w:r>
          <w:t>ciones</w:t>
        </w:r>
      </w:smartTag>
      <w:r>
        <w:t xml:space="preserve"> de </w:t>
      </w:r>
      <w:smartTag w:uri="urn:schemas-microsoft-com:office:smarttags" w:element="PersonName">
        <w:smartTagPr>
          <w:attr w:name="ProductID" w:val="la Brigada"/>
        </w:smartTagPr>
        <w:r>
          <w:t>la Brigada</w:t>
        </w:r>
      </w:smartTag>
      <w:r>
        <w:t xml:space="preserve"> donde estaban “los dos comisarios que lo d</w:t>
      </w:r>
      <w:r>
        <w:t>e</w:t>
      </w:r>
      <w:r>
        <w:t>tuvieron”, aludiendo, a juicio del fiscal, a Ibarra y A</w:t>
      </w:r>
      <w:r>
        <w:t>l</w:t>
      </w:r>
      <w:r>
        <w:t>barracín; que allí le entregaron un celular para que ll</w:t>
      </w:r>
      <w:r>
        <w:t>a</w:t>
      </w:r>
      <w:r>
        <w:t>mara a su casa a fin de hacer saber a sus allegados la exigencia efectuada por el personal policial; que se com</w:t>
      </w:r>
      <w:r>
        <w:t>u</w:t>
      </w:r>
      <w:r>
        <w:t xml:space="preserve">nicó con la hija de su concubina, Jesica Schiavone, a </w:t>
      </w:r>
      <w:r>
        <w:lastRenderedPageBreak/>
        <w:t>quien le manifestó todo lo que estaba ocurriendo, solic</w:t>
      </w:r>
      <w:r>
        <w:t>i</w:t>
      </w:r>
      <w:r>
        <w:t>tándole que se lo transmita a algún familiar; que al día siguiente de su detención –5 de abril de 1994- tomó co</w:t>
      </w:r>
      <w:r>
        <w:t>n</w:t>
      </w:r>
      <w:r>
        <w:t>tacto en la brigada con el Dr. Alberto Fabián Spagnuolo, a quien puso al tanto acerca del diálogo que había mantenido con Ribelli y de la exigencia de la suma dineraria, ind</w:t>
      </w:r>
      <w:r>
        <w:t>i</w:t>
      </w:r>
      <w:r>
        <w:t>cándole Spagnuolo que “de ninguna manera arreglaría”, tras lo cual se r</w:t>
      </w:r>
      <w:r>
        <w:t>e</w:t>
      </w:r>
      <w:r>
        <w:t xml:space="preserve">tiró. </w:t>
      </w:r>
    </w:p>
    <w:p w:rsidR="00224567" w:rsidRDefault="00224567">
      <w:pPr>
        <w:widowControl w:val="0"/>
        <w:tabs>
          <w:tab w:val="left" w:pos="0"/>
        </w:tabs>
        <w:ind w:firstLine="2835"/>
      </w:pPr>
      <w:r>
        <w:t>También relató que en la noche de ese mismo día, se presentó en la brigada el abogado Gustavo Semorile, persona que tuvo una activa participación y un rol preponderante en el acuerdo económico al que se arr</w:t>
      </w:r>
      <w:r>
        <w:t>i</w:t>
      </w:r>
      <w:r>
        <w:t>bó. El nombrado, afirmó el fiscal, cuando llegó a la d</w:t>
      </w:r>
      <w:r>
        <w:t>e</w:t>
      </w:r>
      <w:r>
        <w:t>pendencia policial, se dirigió a la oficina de judici</w:t>
      </w:r>
      <w:r>
        <w:t>a</w:t>
      </w:r>
      <w:r>
        <w:t>les, donde estaban Albarracín, Eduardo Telleldín y luego se i</w:t>
      </w:r>
      <w:r>
        <w:t>n</w:t>
      </w:r>
      <w:r>
        <w:t>corporó el entonces comisario Luis Salvador Botel, un am</w:t>
      </w:r>
      <w:r>
        <w:t>i</w:t>
      </w:r>
      <w:r>
        <w:t>go de la familia que intentó acercar a las partes para arribar a un acuerdo. En esa oportunidad, Albarracín fac</w:t>
      </w:r>
      <w:r>
        <w:t>i</w:t>
      </w:r>
      <w:r>
        <w:t>litó nuevamente un teléfono a Telleldín para que se com</w:t>
      </w:r>
      <w:r>
        <w:t>u</w:t>
      </w:r>
      <w:r>
        <w:t>nique con José Luis Lo Preiato –por entonces socio de T</w:t>
      </w:r>
      <w:r>
        <w:t>e</w:t>
      </w:r>
      <w:r>
        <w:t>lleldín en un lavadero de autos- porque “el acuerdo se h</w:t>
      </w:r>
      <w:r>
        <w:t>a</w:t>
      </w:r>
      <w:r>
        <w:lastRenderedPageBreak/>
        <w:t>bía arreglado” y el nombrado poseía gran parte de los bi</w:t>
      </w:r>
      <w:r>
        <w:t>e</w:t>
      </w:r>
      <w:r>
        <w:t>nes que se entregarían. En concreto, dijo el fiscal, le reclamó un vehículo Ford Falcon y una moto para ser entr</w:t>
      </w:r>
      <w:r>
        <w:t>e</w:t>
      </w:r>
      <w:r>
        <w:t>gada en la brigada como parte del acuerdo.</w:t>
      </w:r>
    </w:p>
    <w:p w:rsidR="00224567" w:rsidRDefault="00224567">
      <w:pPr>
        <w:pStyle w:val="Textoindependiente"/>
        <w:spacing w:line="600" w:lineRule="auto"/>
        <w:ind w:firstLine="2835"/>
      </w:pPr>
      <w:r>
        <w:t>Indicó que luego Eduardo Telleldín ju</w:t>
      </w:r>
      <w:r>
        <w:t>n</w:t>
      </w:r>
      <w:r>
        <w:t xml:space="preserve">to con Héctor Banga y un fletero de nombre Oscar Setaro, trasladaron dichos vehículos desde el domicilio de Lo Preiato a </w:t>
      </w:r>
      <w:smartTag w:uri="urn:schemas-microsoft-com:office:smarttags" w:element="PersonName">
        <w:smartTagPr>
          <w:attr w:name="ProductID" w:val="la Brigada"/>
        </w:smartTagPr>
        <w:r>
          <w:t>la Brigada</w:t>
        </w:r>
      </w:smartTag>
      <w:r>
        <w:t xml:space="preserve"> de Lanús y los entregaron al personal policial, junto con el R</w:t>
      </w:r>
      <w:r>
        <w:t>e</w:t>
      </w:r>
      <w:r>
        <w:t>nault 18, propiedad de Telleldín, y USD 2000. Previo a obtener su libertad, dijo el fiscal, Telleldín firmó en blanco la documentación que autorizaba la transferencia de dichos rodados y, pese a ello, quedó pendiente una deuda de 20.000 p</w:t>
      </w:r>
      <w:r>
        <w:t>e</w:t>
      </w:r>
      <w:r>
        <w:t>sos o dólares.</w:t>
      </w:r>
    </w:p>
    <w:p w:rsidR="00224567" w:rsidRDefault="00224567">
      <w:pPr>
        <w:pStyle w:val="Textoindependiente"/>
        <w:spacing w:line="600" w:lineRule="auto"/>
        <w:ind w:firstLine="2835"/>
      </w:pPr>
      <w:r>
        <w:t>Según los dichos de Carlos Alberto T</w:t>
      </w:r>
      <w:r>
        <w:t>e</w:t>
      </w:r>
      <w:r>
        <w:t>lleldín, señaló el acusador, el abogado Gustavo Sem</w:t>
      </w:r>
      <w:r>
        <w:t>o</w:t>
      </w:r>
      <w:r>
        <w:t>rile se apropió de la motocicleta y parte del dinero entregado; aquella, a su vez, fue entregada a Pablo Ibáñez, otro cliente de Semorile, para que la vendiera.</w:t>
      </w:r>
    </w:p>
    <w:p w:rsidR="00224567" w:rsidRDefault="00224567">
      <w:pPr>
        <w:pStyle w:val="Textoindependiente"/>
        <w:spacing w:line="600" w:lineRule="auto"/>
        <w:ind w:firstLine="2835"/>
      </w:pPr>
      <w:r>
        <w:t>La versión de Telleldín, apuntó, se c</w:t>
      </w:r>
      <w:r>
        <w:t>o</w:t>
      </w:r>
      <w:r>
        <w:t>rroboró con los dichos de su concubina Ana María B</w:t>
      </w:r>
      <w:r>
        <w:t>o</w:t>
      </w:r>
      <w:r>
        <w:t xml:space="preserve">ragni en </w:t>
      </w:r>
      <w:r>
        <w:lastRenderedPageBreak/>
        <w:t>punto a las circunstancias que rode</w:t>
      </w:r>
      <w:r>
        <w:t>a</w:t>
      </w:r>
      <w:r>
        <w:t xml:space="preserve">ron el hecho del 15 de marzo de 1994, la detención de Telleldín en </w:t>
      </w:r>
      <w:smartTag w:uri="urn:schemas-microsoft-com:office:smarttags" w:element="PersonName">
        <w:smartTagPr>
          <w:attr w:name="ProductID" w:val="la Brigada"/>
        </w:smartTagPr>
        <w:r>
          <w:t>la Brigada</w:t>
        </w:r>
      </w:smartTag>
      <w:r>
        <w:t xml:space="preserve"> de Lanús el 4 de abril de ese mismo año y la exigencia diner</w:t>
      </w:r>
      <w:r>
        <w:t>a</w:t>
      </w:r>
      <w:r>
        <w:t>ria para recuperar la libe</w:t>
      </w:r>
      <w:r>
        <w:t>r</w:t>
      </w:r>
      <w:r>
        <w:t>tad.</w:t>
      </w:r>
    </w:p>
    <w:p w:rsidR="00224567" w:rsidRDefault="00224567">
      <w:pPr>
        <w:pStyle w:val="Textoindependiente"/>
        <w:spacing w:line="600" w:lineRule="auto"/>
        <w:ind w:firstLine="2835"/>
      </w:pPr>
      <w:r>
        <w:t>También refirió Boragni –según la fi</w:t>
      </w:r>
      <w:r>
        <w:t>s</w:t>
      </w:r>
      <w:r>
        <w:t>calía- que con Eduardo Telleldín decidieron que intervini</w:t>
      </w:r>
      <w:r>
        <w:t>e</w:t>
      </w:r>
      <w:r>
        <w:t>ra el abogado Semorile en el arreglo esp</w:t>
      </w:r>
      <w:r>
        <w:t>u</w:t>
      </w:r>
      <w:r>
        <w:t>rio propuesto por el personal policial; que se entregó a la brigada dos aut</w:t>
      </w:r>
      <w:r>
        <w:t>o</w:t>
      </w:r>
      <w:r>
        <w:t>motores y una motocicleta para que Telleldín obtenga su l</w:t>
      </w:r>
      <w:r>
        <w:t>i</w:t>
      </w:r>
      <w:r>
        <w:t>bertad; que el traslado fue efectuado por Eduardo Telle</w:t>
      </w:r>
      <w:r>
        <w:t>l</w:t>
      </w:r>
      <w:r>
        <w:t>dín, Banga y Setaro; que Lo Preiato fue quién dispuso de esos bienes; que había quedado una deuda pendiente de  20.000 pesos o dólares y que Telleldín, estando detenido, habló con su hija Jesica desde un teléfono que le fue fac</w:t>
      </w:r>
      <w:r>
        <w:t>i</w:t>
      </w:r>
      <w:r>
        <w:t>litado por Juan José Ribelli.</w:t>
      </w:r>
    </w:p>
    <w:p w:rsidR="00224567" w:rsidRDefault="00224567">
      <w:pPr>
        <w:pStyle w:val="Textoindependiente"/>
        <w:spacing w:line="600" w:lineRule="auto"/>
        <w:ind w:firstLine="2835"/>
      </w:pPr>
      <w:r>
        <w:t>Sostuvo que el taxista Héctor Sexto completó la versión de Telleldín y Boragni, en punto al choque que sufrió en ocasión de la huída en el procedimie</w:t>
      </w:r>
      <w:r>
        <w:t>n</w:t>
      </w:r>
      <w:r>
        <w:t>to llevado a cabo en Olivos, y a las lesiones que sufrió Marcelo Darío Casas, por haber sido arrastrado por el vehículo varios m</w:t>
      </w:r>
      <w:r>
        <w:t>e</w:t>
      </w:r>
      <w:r>
        <w:t>tros.</w:t>
      </w:r>
    </w:p>
    <w:p w:rsidR="00224567" w:rsidRDefault="00224567">
      <w:pPr>
        <w:pStyle w:val="Textoindependiente"/>
        <w:spacing w:line="600" w:lineRule="auto"/>
        <w:ind w:firstLine="2835"/>
      </w:pPr>
      <w:r>
        <w:lastRenderedPageBreak/>
        <w:t xml:space="preserve">Con relación al pago del rescate, el fiscal trajo a colación los testimonios de las siguientes personas: </w:t>
      </w:r>
    </w:p>
    <w:p w:rsidR="00224567" w:rsidRDefault="00224567">
      <w:pPr>
        <w:pStyle w:val="Textoindependiente"/>
        <w:spacing w:line="600" w:lineRule="auto"/>
        <w:ind w:firstLine="2835"/>
      </w:pPr>
      <w:r>
        <w:t>a) Ricardo Pistone, que corroboró la titularidad por parte de Telleldín y Lo Preiato del vehíc</w:t>
      </w:r>
      <w:r>
        <w:t>u</w:t>
      </w:r>
      <w:r>
        <w:t>lo Ford Falcon y la motocicleta Kaw</w:t>
      </w:r>
      <w:r>
        <w:t>a</w:t>
      </w:r>
      <w:r>
        <w:t xml:space="preserve">saki; </w:t>
      </w:r>
    </w:p>
    <w:p w:rsidR="00224567" w:rsidRDefault="00224567">
      <w:pPr>
        <w:pStyle w:val="Textoindependiente"/>
        <w:spacing w:line="600" w:lineRule="auto"/>
        <w:ind w:firstLine="2835"/>
      </w:pPr>
      <w:r>
        <w:t xml:space="preserve">b) José Luis Lo Preiato, que recordó haber recibido un llamado telefónico de Telleldín para anoticiarlo que estaba detenido en </w:t>
      </w:r>
      <w:smartTag w:uri="urn:schemas-microsoft-com:office:smarttags" w:element="PersonName">
        <w:smartTagPr>
          <w:attr w:name="ProductID" w:val="la Brigada"/>
        </w:smartTagPr>
        <w:r>
          <w:t>la Brigada</w:t>
        </w:r>
      </w:smartTag>
      <w:r>
        <w:t xml:space="preserve"> de Lanús; que poco menos le imploró por esos bienes para obtener su l</w:t>
      </w:r>
      <w:r>
        <w:t>i</w:t>
      </w:r>
      <w:r>
        <w:t>bertad; que esa misma noche el hermano y el herm</w:t>
      </w:r>
      <w:r>
        <w:t>a</w:t>
      </w:r>
      <w:r>
        <w:t>nastro de Carlos Telleldín co</w:t>
      </w:r>
      <w:r>
        <w:t>n</w:t>
      </w:r>
      <w:r>
        <w:t>currieron a su domicilio y que su padre entregó el vehículo Ford Falcon y la motocicleta K</w:t>
      </w:r>
      <w:r>
        <w:t>a</w:t>
      </w:r>
      <w:r>
        <w:t xml:space="preserve">wasaki; </w:t>
      </w:r>
    </w:p>
    <w:p w:rsidR="00224567" w:rsidRDefault="00224567">
      <w:pPr>
        <w:pStyle w:val="Textoindependiente"/>
        <w:spacing w:line="600" w:lineRule="auto"/>
        <w:ind w:firstLine="2835"/>
      </w:pPr>
      <w:r>
        <w:t>c) Antonio Lo Preiato, padre de José Luis, que ratificó las circunstancias expuestas por su h</w:t>
      </w:r>
      <w:r>
        <w:t>i</w:t>
      </w:r>
      <w:r>
        <w:t xml:space="preserve">jo; </w:t>
      </w:r>
    </w:p>
    <w:p w:rsidR="00224567" w:rsidRDefault="00224567">
      <w:pPr>
        <w:pStyle w:val="Textoindependiente"/>
        <w:spacing w:line="600" w:lineRule="auto"/>
        <w:ind w:firstLine="2835"/>
      </w:pPr>
      <w:r>
        <w:t>d) Héctor Banga, hermanastro de Telle</w:t>
      </w:r>
      <w:r>
        <w:t>l</w:t>
      </w:r>
      <w:r>
        <w:t>dín, que sostuvo que concurrió junto con Eduardo T</w:t>
      </w:r>
      <w:r>
        <w:t>e</w:t>
      </w:r>
      <w:r>
        <w:t xml:space="preserve">lleldín y el comisario Botel a la brigada, donde Gustavo Semorile estaba negociando para llegar a un acuerdo y que finalmente </w:t>
      </w:r>
      <w:r>
        <w:lastRenderedPageBreak/>
        <w:t>entregaron los vehículos mencionados, previo r</w:t>
      </w:r>
      <w:r>
        <w:t>e</w:t>
      </w:r>
      <w:r>
        <w:t xml:space="preserve">cogerlos del domicilio de Lo Preiato junto con el fletero Setaro; </w:t>
      </w:r>
    </w:p>
    <w:p w:rsidR="00224567" w:rsidRDefault="00224567">
      <w:pPr>
        <w:pStyle w:val="Textoindependiente"/>
        <w:spacing w:line="600" w:lineRule="auto"/>
        <w:ind w:firstLine="2835"/>
      </w:pPr>
      <w:r>
        <w:t>e) Luis Salvador Botey, que d</w:t>
      </w:r>
      <w:r>
        <w:t>e</w:t>
      </w:r>
      <w:r>
        <w:t xml:space="preserve">claró que se presentó en </w:t>
      </w:r>
      <w:smartTag w:uri="urn:schemas-microsoft-com:office:smarttags" w:element="PersonName">
        <w:smartTagPr>
          <w:attr w:name="ProductID" w:val="la Brigada"/>
        </w:smartTagPr>
        <w:r>
          <w:t>la Brigada</w:t>
        </w:r>
      </w:smartTag>
      <w:r>
        <w:t xml:space="preserve"> de Lanús donde se enteró que T</w:t>
      </w:r>
      <w:r>
        <w:t>e</w:t>
      </w:r>
      <w:r>
        <w:t>lleldín negociaba junto con Semorile por el dinero que se adeudaba a la dependencia pol</w:t>
      </w:r>
      <w:r>
        <w:t>i</w:t>
      </w:r>
      <w:r>
        <w:t xml:space="preserve">cial y, </w:t>
      </w:r>
    </w:p>
    <w:p w:rsidR="00224567" w:rsidRDefault="00224567">
      <w:pPr>
        <w:pStyle w:val="Textoindependiente"/>
        <w:spacing w:line="600" w:lineRule="auto"/>
        <w:ind w:firstLine="2835"/>
      </w:pPr>
      <w:r>
        <w:t>f) Liliana Fernández, esposa de Eduardo Telleldín, que confirmó las exigencias dinerarias de las que era objeto su cuñado Carlos.</w:t>
      </w:r>
    </w:p>
    <w:p w:rsidR="00224567" w:rsidRDefault="00224567">
      <w:pPr>
        <w:pStyle w:val="Textoindependiente"/>
        <w:spacing w:line="600" w:lineRule="auto"/>
        <w:ind w:firstLine="2835"/>
      </w:pPr>
      <w:r>
        <w:t>A los que agregó, los dichos de A</w:t>
      </w:r>
      <w:r>
        <w:t>l</w:t>
      </w:r>
      <w:r>
        <w:t xml:space="preserve">berto Spagnuolo, ex socio de Semorile, quien declaró que recibió un llamado del nombrado para que concurriera a </w:t>
      </w:r>
      <w:smartTag w:uri="urn:schemas-microsoft-com:office:smarttags" w:element="PersonName">
        <w:smartTagPr>
          <w:attr w:name="ProductID" w:val="la Brigada"/>
        </w:smartTagPr>
        <w:r>
          <w:t>la Brigada</w:t>
        </w:r>
      </w:smartTag>
      <w:r>
        <w:t xml:space="preserve"> de Lanús, a fin de interi</w:t>
      </w:r>
      <w:r>
        <w:t>o</w:t>
      </w:r>
      <w:r>
        <w:t>rizarse de la situación de Carlos Alberto Telleldín; que éste le comentó que le solicitaron USD 50.000 para obtener la libertad; que lo aconsejó para no pagar, lo cual también transmitió a su socio Gustavo S</w:t>
      </w:r>
      <w:r>
        <w:t>e</w:t>
      </w:r>
      <w:r>
        <w:t>morile; que en defin</w:t>
      </w:r>
      <w:r>
        <w:t>i</w:t>
      </w:r>
      <w:r>
        <w:t>tiva, éste último asumió el asunto, se puso a la cabeza del acuerdo y llevó adelante la negoci</w:t>
      </w:r>
      <w:r>
        <w:t>a</w:t>
      </w:r>
      <w:r>
        <w:t>ción; que Semorile obtuvo la libe</w:t>
      </w:r>
      <w:r>
        <w:t>r</w:t>
      </w:r>
      <w:r>
        <w:t>tad de Telleldín a cambio de la entrega de dos aut</w:t>
      </w:r>
      <w:r>
        <w:t>o</w:t>
      </w:r>
      <w:r>
        <w:t xml:space="preserve">móviles y una motocicleta; que el nombrado le comentó que se había quedado con una moto y </w:t>
      </w:r>
      <w:r>
        <w:lastRenderedPageBreak/>
        <w:t>que, según creía, en el juzgado instructor a cargo del Dr. Galeano, Semorile debió confesar ese hecho para no recon</w:t>
      </w:r>
      <w:r>
        <w:t>o</w:t>
      </w:r>
      <w:r>
        <w:t>cer uno más grave.</w:t>
      </w:r>
    </w:p>
    <w:p w:rsidR="00224567" w:rsidRDefault="00224567">
      <w:pPr>
        <w:pStyle w:val="Textoindependiente"/>
        <w:spacing w:line="600" w:lineRule="auto"/>
        <w:ind w:firstLine="2835"/>
      </w:pPr>
      <w:r>
        <w:t>El fiscal consideró relevante, la afi</w:t>
      </w:r>
      <w:r>
        <w:t>r</w:t>
      </w:r>
      <w:r>
        <w:t>mación del testigo en cuanto a que, en la brigada, ningún funcionario le habló de la causa nº 5681;  d</w:t>
      </w:r>
      <w:r>
        <w:t>e</w:t>
      </w:r>
      <w:r>
        <w:t>mostrativo que dichas actuaciones se utilizaron como excusa para mantener detenido ilegalmente a Telleldín. En ese sentido, recordó los dichos del oficial Marcelo Antonio Bressi, que tomó servicio el 5 de julio de 1994, en cuanto declaró que en la brigada nunca se habló de ninguna causa penal que invol</w:t>
      </w:r>
      <w:r>
        <w:t>u</w:t>
      </w:r>
      <w:r>
        <w:t xml:space="preserve">crara a Carlos Alberto Telleldín. </w:t>
      </w:r>
    </w:p>
    <w:p w:rsidR="00224567" w:rsidRDefault="00224567">
      <w:pPr>
        <w:pStyle w:val="Textoindependiente"/>
        <w:spacing w:line="600" w:lineRule="auto"/>
        <w:ind w:firstLine="2835"/>
      </w:pPr>
      <w:r>
        <w:t>Destacó que el personal policial i</w:t>
      </w:r>
      <w:r>
        <w:t>m</w:t>
      </w:r>
      <w:r>
        <w:t>puso al abogado acerca de la adulteración del Documento N</w:t>
      </w:r>
      <w:r>
        <w:t>a</w:t>
      </w:r>
      <w:r>
        <w:t>cional de Identidad de Telleldín, lo que demostró el conocimiento de aquellos acerca de la verdadera ident</w:t>
      </w:r>
      <w:r>
        <w:t>i</w:t>
      </w:r>
      <w:r>
        <w:t>dad del nombrado.</w:t>
      </w:r>
    </w:p>
    <w:p w:rsidR="00224567" w:rsidRDefault="00224567">
      <w:pPr>
        <w:pStyle w:val="Textoindependiente"/>
        <w:spacing w:line="600" w:lineRule="auto"/>
        <w:ind w:firstLine="2835"/>
      </w:pPr>
      <w:r>
        <w:t xml:space="preserve">Afirmó además, que Germán Rodríguez, policía que prestaba servicios en </w:t>
      </w:r>
      <w:smartTag w:uri="urn:schemas-microsoft-com:office:smarttags" w:element="PersonName">
        <w:smartTagPr>
          <w:attr w:name="ProductID" w:val="la Brigada"/>
        </w:smartTagPr>
        <w:r>
          <w:t>la Brigada</w:t>
        </w:r>
      </w:smartTag>
      <w:r>
        <w:t xml:space="preserve"> de Lanús, so</w:t>
      </w:r>
      <w:r>
        <w:t>s</w:t>
      </w:r>
      <w:r>
        <w:t>tuvo que en ningún momento se dejó constancia del secuestro del vehículo Renault 18, donde se detuvo a Telleldín, s</w:t>
      </w:r>
      <w:r>
        <w:t>i</w:t>
      </w:r>
      <w:r>
        <w:lastRenderedPageBreak/>
        <w:t>tuación que resultó compatible con su e</w:t>
      </w:r>
      <w:r>
        <w:t>x</w:t>
      </w:r>
      <w:r>
        <w:t xml:space="preserve">poliación. </w:t>
      </w:r>
    </w:p>
    <w:p w:rsidR="00224567" w:rsidRDefault="00224567">
      <w:pPr>
        <w:pStyle w:val="Textoindependiente"/>
        <w:spacing w:line="600" w:lineRule="auto"/>
        <w:ind w:firstLine="2835"/>
      </w:pPr>
      <w:r>
        <w:t>En tanto, dijo el fiscal, Jorge Vo</w:t>
      </w:r>
      <w:r>
        <w:t>l</w:t>
      </w:r>
      <w:r>
        <w:t>pi, propietario del videoclub de Tortuguitas en el que fueron detenidos Telleldín y Petrucci, y Claudio Vascelli, dueño de un bar de la zona, dieron cuenta de las circunstancias de sus interceptaciones. Sin embargo, expresó, ambos neg</w:t>
      </w:r>
      <w:r>
        <w:t>a</w:t>
      </w:r>
      <w:r>
        <w:t>ron haber visto policías haciendo averiguaciones sobre T</w:t>
      </w:r>
      <w:r>
        <w:t>e</w:t>
      </w:r>
      <w:r>
        <w:t>lleldín, ni tampoco al momento de su detención. Esa ci</w:t>
      </w:r>
      <w:r>
        <w:t>r</w:t>
      </w:r>
      <w:r>
        <w:t>cunstancia probó, según su criterio, que el personal pol</w:t>
      </w:r>
      <w:r>
        <w:t>i</w:t>
      </w:r>
      <w:r>
        <w:t>cial ya sabía qué día y a qué hora, tanto en Olivos como en Tortuguitas, iban a encontrar a Telleldín, en un caso con Boragni, y en el otro con Petrucci.</w:t>
      </w:r>
    </w:p>
    <w:p w:rsidR="00224567" w:rsidRDefault="00224567">
      <w:pPr>
        <w:pStyle w:val="Textoindependiente"/>
        <w:spacing w:line="600" w:lineRule="auto"/>
        <w:ind w:firstLine="2835"/>
      </w:pPr>
      <w:r>
        <w:t>El fiscal consideró que los testim</w:t>
      </w:r>
      <w:r>
        <w:t>o</w:t>
      </w:r>
      <w:r>
        <w:t>nios de Sandra Petrucci y el fletero Oscar Setaro co</w:t>
      </w:r>
      <w:r>
        <w:t>m</w:t>
      </w:r>
      <w:r>
        <w:t>pletaron el cuadro probatorio antes reseñado, en tanto corr</w:t>
      </w:r>
      <w:r>
        <w:t>o</w:t>
      </w:r>
      <w:r>
        <w:t xml:space="preserve">boraron las circunstancias expuestas. </w:t>
      </w:r>
    </w:p>
    <w:p w:rsidR="00224567" w:rsidRDefault="00224567">
      <w:pPr>
        <w:pStyle w:val="Sangradetextonormal"/>
        <w:widowControl w:val="0"/>
        <w:tabs>
          <w:tab w:val="left" w:pos="0"/>
        </w:tabs>
        <w:ind w:firstLine="2835"/>
      </w:pPr>
      <w:r>
        <w:t>A la vez, indicó como relevantes los testimonios de  los  suboficiales  que  integraban el gr</w:t>
      </w:r>
      <w:r>
        <w:t>u</w:t>
      </w:r>
      <w:r>
        <w:t>po operativo   de Bautista  Alberto Hu</w:t>
      </w:r>
      <w:r>
        <w:t>i</w:t>
      </w:r>
      <w:r>
        <w:t>ci, Javier  Smurro -incorporado por lectura- y Oscar Lorenzo Díaz, que corr</w:t>
      </w:r>
      <w:r>
        <w:t>o</w:t>
      </w:r>
      <w:r>
        <w:t>boraron la exigencia que Rib</w:t>
      </w:r>
      <w:r>
        <w:t>e</w:t>
      </w:r>
      <w:r>
        <w:t xml:space="preserve">lli efectuó a Huici, en punto </w:t>
      </w:r>
      <w:r>
        <w:lastRenderedPageBreak/>
        <w:t>a que prestara una falsa declaración el 15 de marzo de 1994 en la causa nº 5681 de Quilmes, suceso que posterio</w:t>
      </w:r>
      <w:r>
        <w:t>r</w:t>
      </w:r>
      <w:r>
        <w:t>mente confesó el último de los nombrados. Al respecto, mencionó que en esa fecha, mie</w:t>
      </w:r>
      <w:r>
        <w:t>n</w:t>
      </w:r>
      <w:r>
        <w:t xml:space="preserve">tras se encontraban Smurro y Díaz en un bar cercano de </w:t>
      </w:r>
      <w:smartTag w:uri="urn:schemas-microsoft-com:office:smarttags" w:element="PersonName">
        <w:smartTagPr>
          <w:attr w:name="ProductID" w:val="la Brigada"/>
        </w:smartTagPr>
        <w:r>
          <w:t>la Brigada</w:t>
        </w:r>
      </w:smartTag>
      <w:r>
        <w:t xml:space="preserve"> de Lanús, se pr</w:t>
      </w:r>
      <w:r>
        <w:t>e</w:t>
      </w:r>
      <w:r>
        <w:t>sentó el nombr</w:t>
      </w:r>
      <w:r>
        <w:t>a</w:t>
      </w:r>
      <w:r>
        <w:t>do Huici y les comentó lo antes detallado, encontrándose muy m</w:t>
      </w:r>
      <w:r>
        <w:t>o</w:t>
      </w:r>
      <w:r>
        <w:t>lesto y ofuscado.</w:t>
      </w:r>
    </w:p>
    <w:p w:rsidR="00224567" w:rsidRDefault="00224567">
      <w:pPr>
        <w:pStyle w:val="Sangradetextonormal"/>
        <w:widowControl w:val="0"/>
        <w:tabs>
          <w:tab w:val="left" w:pos="0"/>
        </w:tabs>
        <w:ind w:firstLine="2835"/>
      </w:pPr>
      <w:r>
        <w:t>Como prueba del hecho del 4 de marzo de 1994, mencionó la declaración del oficial del Depart</w:t>
      </w:r>
      <w:r>
        <w:t>a</w:t>
      </w:r>
      <w:r>
        <w:t>mento Unidad de Investigaciones Antiterroristas, Eduardo Aguilera, quien constató que Telleldín era socio del v</w:t>
      </w:r>
      <w:r>
        <w:t>i</w:t>
      </w:r>
      <w:r>
        <w:t>deoclub de Tortuguitas y que había alquilado una quinta en esa zona, mediante la inmobiliaria “F</w:t>
      </w:r>
      <w:r>
        <w:t>a</w:t>
      </w:r>
      <w:r>
        <w:t>jardo”.</w:t>
      </w:r>
    </w:p>
    <w:p w:rsidR="00224567" w:rsidRDefault="00224567">
      <w:pPr>
        <w:pStyle w:val="Textoindependiente"/>
        <w:spacing w:line="600" w:lineRule="auto"/>
        <w:ind w:firstLine="2835"/>
      </w:pPr>
      <w:r>
        <w:t>Por otra parte, sostuvo que Juan Ca</w:t>
      </w:r>
      <w:r>
        <w:t>r</w:t>
      </w:r>
      <w:r>
        <w:t>los Nicolau, ex suboficial y mano derecha de Juan José Ribelli con quien trabajó durante 16 años, r</w:t>
      </w:r>
      <w:r>
        <w:t>e</w:t>
      </w:r>
      <w:r>
        <w:t xml:space="preserve">conoció que “estaba al tanto” de los pormenores de la entrega de los dos vehículos y de la moto en </w:t>
      </w:r>
      <w:smartTag w:uri="urn:schemas-microsoft-com:office:smarttags" w:element="PersonName">
        <w:smartTagPr>
          <w:attr w:name="ProductID" w:val="la Brigada"/>
        </w:smartTagPr>
        <w:r>
          <w:t>la Brigada</w:t>
        </w:r>
      </w:smartTag>
      <w:r>
        <w:t xml:space="preserve"> de Lanús, agr</w:t>
      </w:r>
      <w:r>
        <w:t>e</w:t>
      </w:r>
      <w:r>
        <w:t xml:space="preserve">gando que “no era más que la operatoria común, el </w:t>
      </w:r>
      <w:r>
        <w:rPr>
          <w:u w:val="single"/>
        </w:rPr>
        <w:t>modus operandi</w:t>
      </w:r>
      <w:r>
        <w:t>” de Ribelli. Agregó el testigo que permanentemente se recibían automot</w:t>
      </w:r>
      <w:r>
        <w:t>o</w:t>
      </w:r>
      <w:r>
        <w:lastRenderedPageBreak/>
        <w:t>res como pagos de arreglos.</w:t>
      </w:r>
    </w:p>
    <w:p w:rsidR="00224567" w:rsidRDefault="00224567">
      <w:pPr>
        <w:pStyle w:val="Textoindependiente"/>
        <w:spacing w:line="600" w:lineRule="auto"/>
        <w:ind w:firstLine="2835"/>
      </w:pPr>
      <w:r>
        <w:t>La entrega de los autos, apuntó el fi</w:t>
      </w:r>
      <w:r>
        <w:t>s</w:t>
      </w:r>
      <w:r>
        <w:t xml:space="preserve">cal, fue ratificada también por la testigo Miriam Salinas, quien se enteró de lo sucedido tanto por Telleldín, como por Ana María Boragni. </w:t>
      </w:r>
    </w:p>
    <w:p w:rsidR="00224567" w:rsidRDefault="00224567">
      <w:pPr>
        <w:pStyle w:val="Textoindependiente"/>
        <w:spacing w:line="600" w:lineRule="auto"/>
        <w:ind w:firstLine="2835"/>
      </w:pPr>
      <w:r>
        <w:t>El fiscal se refirió al testim</w:t>
      </w:r>
      <w:r>
        <w:t>o</w:t>
      </w:r>
      <w:r>
        <w:t>nio que prestó en el debate Gustavo Semorile, quien expresó que d</w:t>
      </w:r>
      <w:r>
        <w:t>e</w:t>
      </w:r>
      <w:r>
        <w:t>trás de las maniobras antes expuestas estaba Juan José R</w:t>
      </w:r>
      <w:r>
        <w:t>i</w:t>
      </w:r>
      <w:r>
        <w:t>belli y que tras la fuga de Telleldín en Olivos y la l</w:t>
      </w:r>
      <w:r>
        <w:t>e</w:t>
      </w:r>
      <w:r>
        <w:t>sión del suboficial Casas, aquél quería ubicar a Telleldín para llegar a un acuerdo. Agregó Semorile que Ribelli le contó que, por el accidente de Casas, debió “blanquear” la situ</w:t>
      </w:r>
      <w:r>
        <w:t>a</w:t>
      </w:r>
      <w:r>
        <w:t>ción, entendiéndose por ello, documentar lo que había oc</w:t>
      </w:r>
      <w:r>
        <w:t>u</w:t>
      </w:r>
      <w:r>
        <w:t xml:space="preserve">rrido. </w:t>
      </w:r>
    </w:p>
    <w:p w:rsidR="00224567" w:rsidRDefault="00224567">
      <w:pPr>
        <w:pStyle w:val="Textoindependiente"/>
        <w:spacing w:line="600" w:lineRule="auto"/>
        <w:ind w:firstLine="2835"/>
      </w:pPr>
      <w:r>
        <w:t>Los dichos de Semorile, afirmó el fi</w:t>
      </w:r>
      <w:r>
        <w:t>s</w:t>
      </w:r>
      <w:r>
        <w:t>cal, confirmaron lo manifestado por Huici, en cuanto a que Ribelli para poder llevar adelante sus objetivos, decidió vincular a Telleldín con el homicidio acaecido en la sod</w:t>
      </w:r>
      <w:r>
        <w:t>e</w:t>
      </w:r>
      <w:r>
        <w:t xml:space="preserve">ría. </w:t>
      </w:r>
    </w:p>
    <w:p w:rsidR="00224567" w:rsidRDefault="00224567">
      <w:pPr>
        <w:pStyle w:val="Textoindependiente"/>
        <w:spacing w:line="600" w:lineRule="auto"/>
        <w:ind w:firstLine="2835"/>
      </w:pPr>
      <w:r>
        <w:t xml:space="preserve">De todo lo expuesto, entendió el Dr. Nisman, que se desprende claramente la finalidad que guiaba </w:t>
      </w:r>
      <w:r>
        <w:lastRenderedPageBreak/>
        <w:t>al personal policial en los hechos acaecidos tanto en el mes de marzo, como en el de abril de 1994. Sus actos est</w:t>
      </w:r>
      <w:r>
        <w:t>a</w:t>
      </w:r>
      <w:r>
        <w:t>ban muy alejados de las funciones y obligaciones pr</w:t>
      </w:r>
      <w:r>
        <w:t>o</w:t>
      </w:r>
      <w:r>
        <w:t>pias de un policía y dispusieron, para conseguir sus espurios obj</w:t>
      </w:r>
      <w:r>
        <w:t>e</w:t>
      </w:r>
      <w:r>
        <w:t>tivos, de los medios que la s</w:t>
      </w:r>
      <w:r>
        <w:t>o</w:t>
      </w:r>
      <w:r>
        <w:t>ciedad puso a su alcance.</w:t>
      </w:r>
    </w:p>
    <w:p w:rsidR="00224567" w:rsidRDefault="00224567">
      <w:pPr>
        <w:pStyle w:val="Textoindependiente"/>
        <w:spacing w:line="600" w:lineRule="auto"/>
        <w:ind w:firstLine="2835"/>
      </w:pPr>
      <w:r>
        <w:t>Afirmó que como no podían “blanquear” el procedimiento que llevarían a cabo, las órdenes impart</w:t>
      </w:r>
      <w:r>
        <w:t>i</w:t>
      </w:r>
      <w:r>
        <w:t>das por Ibarra, en cuanto a evitar disparos de armas de fuego en Olivos, hallaban sentido. Sostuvo, ad</w:t>
      </w:r>
      <w:r>
        <w:t>e</w:t>
      </w:r>
      <w:r>
        <w:t>más, que las lesiones producidas a Casas y el choque contra el taxi de Sexto, conspiró contra sus objetivos, por lo que debieron “bla</w:t>
      </w:r>
      <w:r>
        <w:t>n</w:t>
      </w:r>
      <w:r>
        <w:t>quear” la situación.</w:t>
      </w:r>
    </w:p>
    <w:p w:rsidR="00224567" w:rsidRDefault="00224567">
      <w:pPr>
        <w:pStyle w:val="Textoindependiente"/>
        <w:spacing w:line="600" w:lineRule="auto"/>
        <w:ind w:firstLine="2835"/>
      </w:pPr>
      <w:r>
        <w:t>En ese mismo marco, resaltó la forma en que fue trasladado Telleldín el 4 de abril de 1994 desde Tortuguitas hacia la zona sur, oculto con una frazada en un vehículo y con la expresa mención de que no se moviera ni dijera nada en caso de ser interceptados o parados por a</w:t>
      </w:r>
      <w:r>
        <w:t>l</w:t>
      </w:r>
      <w:r>
        <w:t>gún control policial por cuanto, en caso contrario, de</w:t>
      </w:r>
      <w:r>
        <w:t>b</w:t>
      </w:r>
      <w:r>
        <w:t>ían documentar el supuesto procedimiento, lo que conspiraría contra el objetivo extorsivo que los gui</w:t>
      </w:r>
      <w:r>
        <w:t>a</w:t>
      </w:r>
      <w:r>
        <w:t xml:space="preserve">ba. </w:t>
      </w:r>
    </w:p>
    <w:p w:rsidR="00224567" w:rsidRDefault="00224567">
      <w:pPr>
        <w:pStyle w:val="Textoindependiente"/>
        <w:spacing w:line="600" w:lineRule="auto"/>
        <w:ind w:firstLine="2835"/>
      </w:pPr>
      <w:r>
        <w:lastRenderedPageBreak/>
        <w:t>Sostuvo que Raúl Edilio Ibarra fue quien comandó ambos procedimientos; sabía donde habría de encontrar a Carlos Alberto Telleldín tanto el 15 de marzo, como el 4 de abril; conocía los horarios y los lugares que frecuentaba, pero en modo alguno por haber realizado tareas previas, ya que éstas nunca existi</w:t>
      </w:r>
      <w:r>
        <w:t>e</w:t>
      </w:r>
      <w:r>
        <w:t>ron.</w:t>
      </w:r>
    </w:p>
    <w:p w:rsidR="00224567" w:rsidRDefault="00224567">
      <w:pPr>
        <w:pStyle w:val="Textoindependiente"/>
        <w:spacing w:line="600" w:lineRule="auto"/>
        <w:ind w:firstLine="2835"/>
      </w:pPr>
      <w:r>
        <w:t>Es obvio, afirmó el fiscal, que si la idea era detener a una persona vinculada con el homicidio de un policía, no habrían de utilizar a una persona en di</w:t>
      </w:r>
      <w:r>
        <w:t>s</w:t>
      </w:r>
      <w:r>
        <w:t>ponibilidad preventiva –Víctor Carlos Cruz-, a otra que nunca había hecho un procedimiento y que man</w:t>
      </w:r>
      <w:r>
        <w:t>e</w:t>
      </w:r>
      <w:r>
        <w:t>jaba camiones de detenidos –Eduardo Diego Toledo- y a un tercero que s</w:t>
      </w:r>
      <w:r>
        <w:t>ó</w:t>
      </w:r>
      <w:r>
        <w:t>lo trabajaba en una oficina de antecedentes –Marcelo Darío C</w:t>
      </w:r>
      <w:r>
        <w:t>a</w:t>
      </w:r>
      <w:r>
        <w:t xml:space="preserve">sas-. </w:t>
      </w:r>
    </w:p>
    <w:p w:rsidR="00224567" w:rsidRDefault="00224567">
      <w:pPr>
        <w:pStyle w:val="Textoindependiente"/>
        <w:spacing w:line="600" w:lineRule="auto"/>
        <w:ind w:firstLine="2835"/>
      </w:pPr>
      <w:r>
        <w:t>A juicio del representante del Minist</w:t>
      </w:r>
      <w:r>
        <w:t>e</w:t>
      </w:r>
      <w:r>
        <w:t>rio Público Fiscal, los extremos incriminantes se vieron fortalecidos, con los cruces telefón</w:t>
      </w:r>
      <w:r>
        <w:t>i</w:t>
      </w:r>
      <w:r>
        <w:t>cos del abonado 768-0902, de Carlos Alberto Telle</w:t>
      </w:r>
      <w:r>
        <w:t>l</w:t>
      </w:r>
      <w:r>
        <w:t>dín, con el 412-6165, de Juan José Ribelli, el 4 de abril de 1994 –fecha en que fue det</w:t>
      </w:r>
      <w:r>
        <w:t>e</w:t>
      </w:r>
      <w:r>
        <w:t>nido-, a las 22.03, 22.04 y 22.19, y el cruce de la primera línea telefónica mencionada con el 412-4179, de Walter Al</w:t>
      </w:r>
      <w:r>
        <w:t>e</w:t>
      </w:r>
      <w:r>
        <w:lastRenderedPageBreak/>
        <w:t>jandro Castro, el mismo día, a las 22.47.</w:t>
      </w:r>
    </w:p>
    <w:p w:rsidR="00224567" w:rsidRDefault="00224567">
      <w:pPr>
        <w:pStyle w:val="Textoindependiente"/>
        <w:spacing w:line="600" w:lineRule="auto"/>
        <w:ind w:firstLine="2835"/>
      </w:pPr>
      <w:r>
        <w:t>Señaló que tales contactos, result</w:t>
      </w:r>
      <w:r>
        <w:t>a</w:t>
      </w:r>
      <w:r>
        <w:t>ron coincidentes con el relato de Carlos Alberto Telleldín en cuanto a que le facilitaron un teléfono celular para que llamara a su casa y consiguiera el dinero o los bienes ex</w:t>
      </w:r>
      <w:r>
        <w:t>i</w:t>
      </w:r>
      <w:r>
        <w:t>gidos.</w:t>
      </w:r>
    </w:p>
    <w:p w:rsidR="00224567" w:rsidRDefault="00224567">
      <w:pPr>
        <w:pStyle w:val="Textoindependiente"/>
        <w:spacing w:line="600" w:lineRule="auto"/>
        <w:ind w:firstLine="2835"/>
      </w:pPr>
      <w:r>
        <w:t>Sostuvo que la falsa declaración test</w:t>
      </w:r>
      <w:r>
        <w:t>i</w:t>
      </w:r>
      <w:r>
        <w:t>monial vertida por Bautista Alberto Huici permitió dar c</w:t>
      </w:r>
      <w:r>
        <w:t>o</w:t>
      </w:r>
      <w:r>
        <w:t>bertura legal al ilícito accionar de los policías, puesto que las supuestas imputaciones contra Carlos Alberto T</w:t>
      </w:r>
      <w:r>
        <w:t>e</w:t>
      </w:r>
      <w:r>
        <w:t>lleldín, que aquél refirió haber escuchado de Carlos Buján, permitían vincularlo a la causa nº 5681. Sobre esa base, dijo el fiscal, se estructuró la mani</w:t>
      </w:r>
      <w:r>
        <w:t>o</w:t>
      </w:r>
      <w:r>
        <w:t>bra extorsiva.</w:t>
      </w:r>
    </w:p>
    <w:p w:rsidR="00224567" w:rsidRDefault="00224567">
      <w:pPr>
        <w:pStyle w:val="Textoindependiente2"/>
        <w:widowControl w:val="0"/>
        <w:tabs>
          <w:tab w:val="left" w:pos="0"/>
        </w:tabs>
        <w:ind w:firstLine="2835"/>
        <w:rPr>
          <w:rFonts w:ascii="Courier New" w:hAnsi="Courier New" w:cs="Courier New"/>
        </w:rPr>
      </w:pPr>
      <w:r>
        <w:rPr>
          <w:rFonts w:ascii="Courier New" w:hAnsi="Courier New" w:cs="Courier New"/>
          <w:szCs w:val="24"/>
        </w:rPr>
        <w:t>En esa misma línea, merituó la conf</w:t>
      </w:r>
      <w:r>
        <w:rPr>
          <w:rFonts w:ascii="Courier New" w:hAnsi="Courier New" w:cs="Courier New"/>
          <w:szCs w:val="24"/>
        </w:rPr>
        <w:t>e</w:t>
      </w:r>
      <w:r>
        <w:rPr>
          <w:rFonts w:ascii="Courier New" w:hAnsi="Courier New" w:cs="Courier New"/>
          <w:szCs w:val="24"/>
        </w:rPr>
        <w:t>sión que Bautista Alberto Huici, quien admitió haber re</w:t>
      </w:r>
      <w:r>
        <w:rPr>
          <w:rFonts w:ascii="Courier New" w:hAnsi="Courier New" w:cs="Courier New"/>
          <w:szCs w:val="24"/>
        </w:rPr>
        <w:t>a</w:t>
      </w:r>
      <w:r>
        <w:rPr>
          <w:rFonts w:ascii="Courier New" w:hAnsi="Courier New" w:cs="Courier New"/>
          <w:szCs w:val="24"/>
        </w:rPr>
        <w:t>lizado la falsa declaración en contra de Telleldín por p</w:t>
      </w:r>
      <w:r>
        <w:rPr>
          <w:rFonts w:ascii="Courier New" w:hAnsi="Courier New" w:cs="Courier New"/>
          <w:szCs w:val="24"/>
        </w:rPr>
        <w:t>e</w:t>
      </w:r>
      <w:r>
        <w:rPr>
          <w:rFonts w:ascii="Courier New" w:hAnsi="Courier New" w:cs="Courier New"/>
          <w:szCs w:val="24"/>
        </w:rPr>
        <w:t>dido de Ribelli, como así también los dichos de Carlos D</w:t>
      </w:r>
      <w:r>
        <w:rPr>
          <w:rFonts w:ascii="Courier New" w:hAnsi="Courier New" w:cs="Courier New"/>
          <w:szCs w:val="24"/>
        </w:rPr>
        <w:t>a</w:t>
      </w:r>
      <w:r>
        <w:rPr>
          <w:rFonts w:ascii="Courier New" w:hAnsi="Courier New" w:cs="Courier New"/>
          <w:szCs w:val="24"/>
        </w:rPr>
        <w:t xml:space="preserve">niel Buján y Enrique Alejandro Ambrosi, quienes en forma conteste </w:t>
      </w:r>
      <w:r>
        <w:rPr>
          <w:rFonts w:ascii="Courier New" w:hAnsi="Courier New" w:cs="Courier New"/>
        </w:rPr>
        <w:t>señalaron que no conocían a ninguna persona ap</w:t>
      </w:r>
      <w:r>
        <w:rPr>
          <w:rFonts w:ascii="Courier New" w:hAnsi="Courier New" w:cs="Courier New"/>
        </w:rPr>
        <w:t>o</w:t>
      </w:r>
      <w:r>
        <w:rPr>
          <w:rFonts w:ascii="Courier New" w:hAnsi="Courier New" w:cs="Courier New"/>
        </w:rPr>
        <w:t>dada “el Enano” y, m</w:t>
      </w:r>
      <w:r>
        <w:rPr>
          <w:rFonts w:ascii="Courier New" w:hAnsi="Courier New" w:cs="Courier New"/>
        </w:rPr>
        <w:t>e</w:t>
      </w:r>
      <w:r>
        <w:rPr>
          <w:rFonts w:ascii="Courier New" w:hAnsi="Courier New" w:cs="Courier New"/>
        </w:rPr>
        <w:t xml:space="preserve">nos aún, a Carlos Alberto Telleldín; </w:t>
      </w:r>
      <w:r>
        <w:rPr>
          <w:rFonts w:ascii="Courier New" w:hAnsi="Courier New" w:cs="Courier New"/>
        </w:rPr>
        <w:lastRenderedPageBreak/>
        <w:t>que no conocían la parrilla “El Barril” y que nunca efe</w:t>
      </w:r>
      <w:r>
        <w:rPr>
          <w:rFonts w:ascii="Courier New" w:hAnsi="Courier New" w:cs="Courier New"/>
        </w:rPr>
        <w:t>c</w:t>
      </w:r>
      <w:r>
        <w:rPr>
          <w:rFonts w:ascii="Courier New" w:hAnsi="Courier New" w:cs="Courier New"/>
        </w:rPr>
        <w:t>tuaron manifestación alguna al mencionado Huici, ni a ni</w:t>
      </w:r>
      <w:r>
        <w:rPr>
          <w:rFonts w:ascii="Courier New" w:hAnsi="Courier New" w:cs="Courier New"/>
        </w:rPr>
        <w:t>n</w:t>
      </w:r>
      <w:r>
        <w:rPr>
          <w:rFonts w:ascii="Courier New" w:hAnsi="Courier New" w:cs="Courier New"/>
        </w:rPr>
        <w:t>guna otra persona.</w:t>
      </w:r>
    </w:p>
    <w:p w:rsidR="00224567" w:rsidRDefault="00224567">
      <w:pPr>
        <w:pStyle w:val="Textoindependiente2"/>
        <w:widowControl w:val="0"/>
        <w:tabs>
          <w:tab w:val="left" w:pos="0"/>
        </w:tabs>
        <w:ind w:firstLine="2835"/>
        <w:rPr>
          <w:rFonts w:ascii="Courier New" w:hAnsi="Courier New" w:cs="Courier New"/>
          <w:szCs w:val="24"/>
        </w:rPr>
      </w:pPr>
      <w:r>
        <w:rPr>
          <w:rFonts w:ascii="Courier New" w:hAnsi="Courier New" w:cs="Courier New"/>
          <w:szCs w:val="24"/>
        </w:rPr>
        <w:t>Señaló que este último, al a</w:t>
      </w:r>
      <w:r>
        <w:rPr>
          <w:rFonts w:ascii="Courier New" w:hAnsi="Courier New" w:cs="Courier New"/>
          <w:szCs w:val="24"/>
        </w:rPr>
        <w:t>m</w:t>
      </w:r>
      <w:r>
        <w:rPr>
          <w:rFonts w:ascii="Courier New" w:hAnsi="Courier New" w:cs="Courier New"/>
          <w:szCs w:val="24"/>
        </w:rPr>
        <w:t>pliar su indagatoria, manifestó que no pudo negarse ante el p</w:t>
      </w:r>
      <w:r>
        <w:rPr>
          <w:rFonts w:ascii="Courier New" w:hAnsi="Courier New" w:cs="Courier New"/>
          <w:szCs w:val="24"/>
        </w:rPr>
        <w:t>e</w:t>
      </w:r>
      <w:r>
        <w:rPr>
          <w:rFonts w:ascii="Courier New" w:hAnsi="Courier New" w:cs="Courier New"/>
          <w:szCs w:val="24"/>
        </w:rPr>
        <w:t xml:space="preserve">dido de Juan José Ribelli por el poder que tenía dentro de </w:t>
      </w:r>
      <w:smartTag w:uri="urn:schemas-microsoft-com:office:smarttags" w:element="PersonName">
        <w:smartTagPr>
          <w:attr w:name="ProductID" w:val="la Polic￭a Bonaerense"/>
        </w:smartTagPr>
        <w:r>
          <w:rPr>
            <w:rFonts w:ascii="Courier New" w:hAnsi="Courier New" w:cs="Courier New"/>
            <w:szCs w:val="24"/>
          </w:rPr>
          <w:t>la Policía Bonaerense</w:t>
        </w:r>
      </w:smartTag>
      <w:r>
        <w:rPr>
          <w:rFonts w:ascii="Courier New" w:hAnsi="Courier New" w:cs="Courier New"/>
          <w:szCs w:val="24"/>
        </w:rPr>
        <w:t xml:space="preserve"> y que, de hacerlo, sería trasladado a distintos destinos, con el consecuente perjuicio que le provocaría e</w:t>
      </w:r>
      <w:r>
        <w:rPr>
          <w:rFonts w:ascii="Courier New" w:hAnsi="Courier New" w:cs="Courier New"/>
          <w:szCs w:val="24"/>
        </w:rPr>
        <w:t>s</w:t>
      </w:r>
      <w:r>
        <w:rPr>
          <w:rFonts w:ascii="Courier New" w:hAnsi="Courier New" w:cs="Courier New"/>
          <w:szCs w:val="24"/>
        </w:rPr>
        <w:t>tar alejado de sus hijos y de su mujer, quién para ese entonces estaba gravemente enfe</w:t>
      </w:r>
      <w:r>
        <w:rPr>
          <w:rFonts w:ascii="Courier New" w:hAnsi="Courier New" w:cs="Courier New"/>
          <w:szCs w:val="24"/>
        </w:rPr>
        <w:t>r</w:t>
      </w:r>
      <w:r>
        <w:rPr>
          <w:rFonts w:ascii="Courier New" w:hAnsi="Courier New" w:cs="Courier New"/>
          <w:szCs w:val="24"/>
        </w:rPr>
        <w:t>ma.</w:t>
      </w:r>
    </w:p>
    <w:p w:rsidR="00224567" w:rsidRDefault="00224567">
      <w:pPr>
        <w:widowControl w:val="0"/>
        <w:tabs>
          <w:tab w:val="left" w:pos="0"/>
        </w:tabs>
        <w:ind w:firstLine="2835"/>
      </w:pPr>
      <w:r>
        <w:t>Empero, consideró que el temor aleg</w:t>
      </w:r>
      <w:r>
        <w:t>a</w:t>
      </w:r>
      <w:r>
        <w:t>do por Huici no fue invencible en tanto que pudo haber obr</w:t>
      </w:r>
      <w:r>
        <w:t>a</w:t>
      </w:r>
      <w:r>
        <w:t xml:space="preserve">do en sentido contrario y, a pesar de ello, optó por mentir en una declaración juramentada, razón por la cual debía responder por su conducta ilícita, en tanto que Ribelli como instigador. </w:t>
      </w:r>
    </w:p>
    <w:p w:rsidR="00224567" w:rsidRDefault="00224567">
      <w:pPr>
        <w:widowControl w:val="0"/>
        <w:tabs>
          <w:tab w:val="left" w:pos="0"/>
        </w:tabs>
        <w:ind w:firstLine="2835"/>
      </w:pPr>
      <w:r>
        <w:t>Por otra parte, entendió que las i</w:t>
      </w:r>
      <w:r>
        <w:t>n</w:t>
      </w:r>
      <w:r>
        <w:t>tervenciones de Alejandro Burguete, José Miguel Aranc</w:t>
      </w:r>
      <w:r>
        <w:t>i</w:t>
      </w:r>
      <w:r>
        <w:t>bia y Oscar Eusebio Bacigalupo se pusieron de manifiesto en las falsedades emergentes de las actuaciones que labr</w:t>
      </w:r>
      <w:r>
        <w:t>a</w:t>
      </w:r>
      <w:r>
        <w:t xml:space="preserve">ron. </w:t>
      </w:r>
    </w:p>
    <w:p w:rsidR="00224567" w:rsidRDefault="00224567">
      <w:pPr>
        <w:widowControl w:val="0"/>
        <w:tabs>
          <w:tab w:val="left" w:pos="0"/>
        </w:tabs>
        <w:ind w:firstLine="2835"/>
      </w:pPr>
      <w:r>
        <w:t>Al respecto, dijo que Burguete y Ara</w:t>
      </w:r>
      <w:r>
        <w:t>n</w:t>
      </w:r>
      <w:r>
        <w:lastRenderedPageBreak/>
        <w:t>cibia, al recibir declaración testimonial a Bautista A</w:t>
      </w:r>
      <w:r>
        <w:t>l</w:t>
      </w:r>
      <w:r>
        <w:t>berto Huici en la causa 5681 (fs. 678), hicieron insertar datos falsos que el documento e</w:t>
      </w:r>
      <w:r>
        <w:t>s</w:t>
      </w:r>
      <w:r>
        <w:t>taba destinado a probar, a sabiendas de la finalidad con que habría de utilizarse.</w:t>
      </w:r>
    </w:p>
    <w:p w:rsidR="00224567" w:rsidRDefault="00224567">
      <w:pPr>
        <w:widowControl w:val="0"/>
        <w:tabs>
          <w:tab w:val="left" w:pos="0"/>
        </w:tabs>
        <w:ind w:firstLine="2835"/>
      </w:pPr>
      <w:r>
        <w:t>Aclaró que la fecha que se co</w:t>
      </w:r>
      <w:r>
        <w:t>n</w:t>
      </w:r>
      <w:r>
        <w:t>signó en esa declaración testimonial puso de manifiesto su fals</w:t>
      </w:r>
      <w:r>
        <w:t>e</w:t>
      </w:r>
      <w:r>
        <w:t>dad, por que si bien figuraba como rendida el 14 de marzo de 1994 -un día antes del procedimiento en el cual Telle</w:t>
      </w:r>
      <w:r>
        <w:t>l</w:t>
      </w:r>
      <w:r>
        <w:t>dín se fugó-, en realidad, fue recibida el día 15 de marzo de 1994. De ello no existen dudas, argumentó, por cuanto Bautista Alberto Huici admitió en su indagatoria que en el momento en que se llevó a cabo la declaración jur</w:t>
      </w:r>
      <w:r>
        <w:t>a</w:t>
      </w:r>
      <w:r>
        <w:t>mentada observó a Casas lesionado, lo que demostró que el intento de detener a Telleldín ya había oc</w:t>
      </w:r>
      <w:r>
        <w:t>u</w:t>
      </w:r>
      <w:r>
        <w:t>rrido.</w:t>
      </w:r>
    </w:p>
    <w:p w:rsidR="00224567" w:rsidRDefault="00224567">
      <w:pPr>
        <w:pStyle w:val="Textoindependiente"/>
        <w:spacing w:line="600" w:lineRule="auto"/>
        <w:ind w:firstLine="2835"/>
      </w:pPr>
      <w:r>
        <w:t>El hecho que la declaración haya oc</w:t>
      </w:r>
      <w:r>
        <w:t>u</w:t>
      </w:r>
      <w:r>
        <w:t>rrido el 15 y que se intentara figurar como realizada un día antes, tenía por finalidad legitimar la búsqueda de T</w:t>
      </w:r>
      <w:r>
        <w:t>e</w:t>
      </w:r>
      <w:r>
        <w:t>lleldín; ello se hizo, dijo el fiscal, para salvar el i</w:t>
      </w:r>
      <w:r>
        <w:t>m</w:t>
      </w:r>
      <w:r>
        <w:t>previsto que consistió en la lesión del suboficial Casas y el choque del autom</w:t>
      </w:r>
      <w:r>
        <w:t>ó</w:t>
      </w:r>
      <w:r>
        <w:t xml:space="preserve">vil de alquiler de Sexto, ocurridos al </w:t>
      </w:r>
      <w:r>
        <w:lastRenderedPageBreak/>
        <w:t>intentarse la detención de T</w:t>
      </w:r>
      <w:r>
        <w:t>e</w:t>
      </w:r>
      <w:r>
        <w:t>lleldín.</w:t>
      </w:r>
    </w:p>
    <w:p w:rsidR="00224567" w:rsidRDefault="00224567">
      <w:pPr>
        <w:pStyle w:val="Textoindependiente"/>
        <w:spacing w:line="600" w:lineRule="auto"/>
        <w:ind w:firstLine="2835"/>
      </w:pPr>
      <w:r>
        <w:t>En idéntica situación, afirmó el acus</w:t>
      </w:r>
      <w:r>
        <w:t>a</w:t>
      </w:r>
      <w:r>
        <w:t>dor, se encuentran Alejandro Burguete y Oscar Eusebio Bac</w:t>
      </w:r>
      <w:r>
        <w:t>i</w:t>
      </w:r>
      <w:r>
        <w:t>galupo, quienes hicieron insertar un dato falso en un in</w:t>
      </w:r>
      <w:r>
        <w:t>s</w:t>
      </w:r>
      <w:r>
        <w:t>trumento público; concretamente, en el decreto que obra agregado a fs. 37.377 vta. que da cuenta que “Carlos Tecc</w:t>
      </w:r>
      <w:r>
        <w:t>e</w:t>
      </w:r>
      <w:r>
        <w:t xml:space="preserve">din” no registraba “impedimento alguno”, aludiendo a que no surgían capturas pendientes. Dicha circunstancia autorizó su libertad. </w:t>
      </w:r>
    </w:p>
    <w:p w:rsidR="00224567" w:rsidRDefault="00224567">
      <w:pPr>
        <w:pStyle w:val="Textoindependiente"/>
        <w:spacing w:line="600" w:lineRule="auto"/>
        <w:ind w:firstLine="2835"/>
      </w:pPr>
      <w:r>
        <w:t>Sin embargo, expuso que tanto Burgu</w:t>
      </w:r>
      <w:r>
        <w:t>e</w:t>
      </w:r>
      <w:r>
        <w:t>te como Bacigalupo sabían que el nombrado registraba pedidos de capturas y, a pesar de ello, insertaron falsamente el dato. Tal circunstancia permitió cerrar la maniobra exto</w:t>
      </w:r>
      <w:r>
        <w:t>r</w:t>
      </w:r>
      <w:r>
        <w:t>siva.</w:t>
      </w:r>
    </w:p>
    <w:p w:rsidR="00224567" w:rsidRDefault="00224567">
      <w:pPr>
        <w:pStyle w:val="Textoindependiente"/>
        <w:spacing w:line="600" w:lineRule="auto"/>
        <w:ind w:firstLine="2835"/>
      </w:pPr>
      <w:r>
        <w:t>Afirmó el fiscal que Carlos Alberto T</w:t>
      </w:r>
      <w:r>
        <w:t>e</w:t>
      </w:r>
      <w:r>
        <w:t>lleldín fue detenido en la localidad de To</w:t>
      </w:r>
      <w:r>
        <w:t>r</w:t>
      </w:r>
      <w:r>
        <w:t>tuguitas el 4 de abril de 1994 y obtuvo su libertad el día siguiente. Ad</w:t>
      </w:r>
      <w:r>
        <w:t>e</w:t>
      </w:r>
      <w:r>
        <w:t>más, que las fichas dactiloscópicas que permitían conocer su verdadera identidad y la averiguación de sus antecede</w:t>
      </w:r>
      <w:r>
        <w:t>n</w:t>
      </w:r>
      <w:r>
        <w:t>tes –circunstancia que los policías no podían descon</w:t>
      </w:r>
      <w:r>
        <w:t>o</w:t>
      </w:r>
      <w:r>
        <w:t>cer-, fueron e</w:t>
      </w:r>
      <w:r>
        <w:t>n</w:t>
      </w:r>
      <w:r>
        <w:t>viadas el 6 de abril de ese año.</w:t>
      </w:r>
    </w:p>
    <w:p w:rsidR="00224567" w:rsidRDefault="00224567">
      <w:pPr>
        <w:pStyle w:val="Textoindependiente"/>
        <w:spacing w:line="600" w:lineRule="auto"/>
        <w:ind w:firstLine="2835"/>
      </w:pPr>
      <w:r>
        <w:lastRenderedPageBreak/>
        <w:t>El informe respectivo estableció que correspondían a Carlos Alberto Telleldín, quien efectiv</w:t>
      </w:r>
      <w:r>
        <w:t>a</w:t>
      </w:r>
      <w:r>
        <w:t>mente registraba antecedentes, pero a esa altura, refirió el fiscal, el dato no era relevante, en tanto que el no</w:t>
      </w:r>
      <w:r>
        <w:t>m</w:t>
      </w:r>
      <w:r>
        <w:t>brado había recuperado su libertad y los policías habían cobrado, a cambio, dos vehículos, una moto, dinero en efe</w:t>
      </w:r>
      <w:r>
        <w:t>c</w:t>
      </w:r>
      <w:r>
        <w:t xml:space="preserve">tivo y restaba un saldo de USD </w:t>
      </w:r>
      <w:smartTag w:uri="urn:schemas-microsoft-com:office:smarttags" w:element="metricconverter">
        <w:smartTagPr>
          <w:attr w:name="ProductID" w:val="20.000 a"/>
        </w:smartTagPr>
        <w:r>
          <w:t>20.000 a</w:t>
        </w:r>
      </w:smartTag>
      <w:r>
        <w:t xml:space="preserve"> su favor.</w:t>
      </w:r>
    </w:p>
    <w:p w:rsidR="00224567" w:rsidRDefault="00224567">
      <w:pPr>
        <w:pStyle w:val="Textoindependiente"/>
        <w:spacing w:line="600" w:lineRule="auto"/>
        <w:ind w:firstLine="2835"/>
      </w:pPr>
      <w:r>
        <w:t>Agregó que resulta llamativo que quién llevó las fichas al registro de antecedentes el 6 de abril de 1994 fue la misma persona que hizo lo propio con ped</w:t>
      </w:r>
      <w:r>
        <w:t>i</w:t>
      </w:r>
      <w:r>
        <w:t>dos de informes de otros detenidos el día anterior, estando T</w:t>
      </w:r>
      <w:r>
        <w:t>e</w:t>
      </w:r>
      <w:r>
        <w:t>lleldín detenido, según surgía del libro de guardia de la brigada. Remarcó que ningún i</w:t>
      </w:r>
      <w:r>
        <w:t>m</w:t>
      </w:r>
      <w:r>
        <w:t>pedimento había para que esas fichas fueran remitidas el 5 de abril de 1994; sin embargo, ello no ocurrió porque el objetivo fue demorar el dilige</w:t>
      </w:r>
      <w:r>
        <w:t>n</w:t>
      </w:r>
      <w:r>
        <w:t>ciamiento de los antecedentes de Telleldín, de modo de n</w:t>
      </w:r>
      <w:r>
        <w:t>e</w:t>
      </w:r>
      <w:r>
        <w:t>gociar un acuerdo.</w:t>
      </w:r>
    </w:p>
    <w:p w:rsidR="00224567" w:rsidRDefault="00224567">
      <w:pPr>
        <w:pStyle w:val="Textoindependiente"/>
        <w:spacing w:line="600" w:lineRule="auto"/>
        <w:ind w:firstLine="2835"/>
      </w:pPr>
      <w:r>
        <w:t>Consideró sugestivo el informe elabor</w:t>
      </w:r>
      <w:r>
        <w:t>a</w:t>
      </w:r>
      <w:r>
        <w:t xml:space="preserve">do por Bautista Huici con relación al requerimiento del juzgado donde tramitaba la referida causa 5681, en el que </w:t>
      </w:r>
      <w:r>
        <w:lastRenderedPageBreak/>
        <w:t>consignó –en agosto o septiembre de 1994- que todas las t</w:t>
      </w:r>
      <w:r>
        <w:t>a</w:t>
      </w:r>
      <w:r>
        <w:t>reas realizadas para individualizar a Carlos Teccedin h</w:t>
      </w:r>
      <w:r>
        <w:t>a</w:t>
      </w:r>
      <w:r>
        <w:t>bían arrojado un resultado negativo. Ello, por cuanto que para esa época Telleldín estaba detenido por su particip</w:t>
      </w:r>
      <w:r>
        <w:t>a</w:t>
      </w:r>
      <w:r>
        <w:t>ción en el atentado terrorista, su rostro había sido tapa de todos los diarios y la brigada que integraba Huici lo había detenido unos m</w:t>
      </w:r>
      <w:r>
        <w:t>e</w:t>
      </w:r>
      <w:r>
        <w:t>ses antes.</w:t>
      </w:r>
    </w:p>
    <w:p w:rsidR="00224567" w:rsidRDefault="00224567">
      <w:pPr>
        <w:pStyle w:val="Textoindependiente"/>
        <w:spacing w:line="600" w:lineRule="auto"/>
        <w:ind w:firstLine="2835"/>
      </w:pPr>
      <w:r>
        <w:t>Puntualizó que Juan José Ribelli o</w:t>
      </w:r>
      <w:r>
        <w:t>r</w:t>
      </w:r>
      <w:r>
        <w:t>denó que se llevaran adelante los operativos del 15 de marzo y del 4 de abril de 1994, instruyó a Bautista Alberto Huici para que prestara falso testimonio, impa</w:t>
      </w:r>
      <w:r>
        <w:t>r</w:t>
      </w:r>
      <w:r>
        <w:t>tió a Raúl Edilio Ibarra las directivas que debía cu</w:t>
      </w:r>
      <w:r>
        <w:t>m</w:t>
      </w:r>
      <w:r>
        <w:t>plimentar para llevar a cabo los procedimientos y personalmente exigió a Carlos A</w:t>
      </w:r>
      <w:r>
        <w:t>l</w:t>
      </w:r>
      <w:r>
        <w:t>berto Telleldín la entrega de USD 50.000 para rec</w:t>
      </w:r>
      <w:r>
        <w:t>u</w:t>
      </w:r>
      <w:r>
        <w:t>perar su libertad; Raúl Edilio Ibarra fue el brazo ejecutor de los  operativos, comandó ambos procedimientos y, junto con Alb</w:t>
      </w:r>
      <w:r>
        <w:t>a</w:t>
      </w:r>
      <w:r>
        <w:t>rracín, facilitó el teléfono celular a T</w:t>
      </w:r>
      <w:r>
        <w:t>e</w:t>
      </w:r>
      <w:r>
        <w:t>lleldín para  que llamara a su casa con el fin de cons</w:t>
      </w:r>
      <w:r>
        <w:t>e</w:t>
      </w:r>
      <w:r>
        <w:t>guir el dinero que se le exigía; Alejandro Burguete, Miguel José Arancibia y O</w:t>
      </w:r>
      <w:r>
        <w:t>s</w:t>
      </w:r>
      <w:r>
        <w:t>car Eusebio Bacigalupo confeccionaron las falsas actuaci</w:t>
      </w:r>
      <w:r>
        <w:t>o</w:t>
      </w:r>
      <w:r>
        <w:t xml:space="preserve">nes antes reseñadas; Bautista Alberto Huici prestó falso </w:t>
      </w:r>
      <w:r>
        <w:lastRenderedPageBreak/>
        <w:t>testimonio agravado en perjuicio de Telleldín, que se ut</w:t>
      </w:r>
      <w:r>
        <w:t>i</w:t>
      </w:r>
      <w:r>
        <w:t>lizó como medio idóneo para llevar adelante el secuestro extorsivo que se materializó el día 4 de abril de 1994; Marcelo Gustavo Albarracín intervino en la detención de Carlos Alberto Telleldín en la localidad de Tortuguitas, conociendo la finalidad extorsiva que la guiaba y formó parte de la reunión en la que se llegó al acuerdo diner</w:t>
      </w:r>
      <w:r>
        <w:t>a</w:t>
      </w:r>
      <w:r>
        <w:t>rio, realizada en la brigada con Carlos y Eduardo Telle</w:t>
      </w:r>
      <w:r>
        <w:t>l</w:t>
      </w:r>
      <w:r>
        <w:t xml:space="preserve">dín, Semorile y Botey. </w:t>
      </w:r>
    </w:p>
    <w:p w:rsidR="00224567" w:rsidRDefault="00224567">
      <w:pPr>
        <w:pStyle w:val="Textoindependiente"/>
        <w:spacing w:line="600" w:lineRule="auto"/>
        <w:ind w:firstLine="2835"/>
      </w:pPr>
      <w:r>
        <w:t>En cuanto a la situación de Víctor Ca</w:t>
      </w:r>
      <w:r>
        <w:t>r</w:t>
      </w:r>
      <w:r>
        <w:t>los Cruz, requerido a juicio por los hechos ocurr</w:t>
      </w:r>
      <w:r>
        <w:t>i</w:t>
      </w:r>
      <w:r>
        <w:t>dos el 15 de marzo de 1994, calificados como constitutivos de los d</w:t>
      </w:r>
      <w:r>
        <w:t>e</w:t>
      </w:r>
      <w:r>
        <w:t>litos de extorsión y privación ilegal de la libertad, en grado de tentativa, entendió que los elementos oportuname</w:t>
      </w:r>
      <w:r>
        <w:t>n</w:t>
      </w:r>
      <w:r>
        <w:t>te valorados y que autorizaban su elevación a juicio, no fueron corroborados en el debate con la certeza que requi</w:t>
      </w:r>
      <w:r>
        <w:t>e</w:t>
      </w:r>
      <w:r>
        <w:t>re todo  pronunciamiento condenatorio, por lo que corre</w:t>
      </w:r>
      <w:r>
        <w:t>s</w:t>
      </w:r>
      <w:r>
        <w:t>pondía su absolución.</w:t>
      </w:r>
    </w:p>
    <w:p w:rsidR="00224567" w:rsidRDefault="00224567">
      <w:pPr>
        <w:pStyle w:val="Textoindependiente"/>
        <w:spacing w:line="600" w:lineRule="auto"/>
        <w:ind w:firstLine="2835"/>
      </w:pPr>
      <w:r>
        <w:t xml:space="preserve">Sostuvo que Cruz integró la comisión policial cumpliendo órdenes de Raúl Edilio Ibarra en el </w:t>
      </w:r>
      <w:r>
        <w:lastRenderedPageBreak/>
        <w:t>convencimiento de que se trataba de un procedimiento rut</w:t>
      </w:r>
      <w:r>
        <w:t>i</w:t>
      </w:r>
      <w:r>
        <w:t>nario, no tuvo intervención en la investigación previa del hecho, ni conocimiento sobre la finalidad expoliativa que guiaba a Ibarra y a Ribelli.</w:t>
      </w:r>
    </w:p>
    <w:p w:rsidR="00224567" w:rsidRDefault="00224567">
      <w:pPr>
        <w:pStyle w:val="Textoindependiente"/>
        <w:spacing w:line="600" w:lineRule="auto"/>
        <w:ind w:firstLine="2835"/>
      </w:pPr>
      <w:r>
        <w:t>En cuanto a Bautista Alberto Huici, e</w:t>
      </w:r>
      <w:r>
        <w:t>n</w:t>
      </w:r>
      <w:r>
        <w:t>tendió que correspondía su absolución respecto del hecho ocurrido el 15 de marzo de 1994, por el cual se le formuló imputación en el requerimiento de elevación a juicio, el que fue calificado como extorsión en concurso real con pr</w:t>
      </w:r>
      <w:r>
        <w:t>i</w:t>
      </w:r>
      <w:r>
        <w:t>vación ilegal de la libertad, ambos en grado de tent</w:t>
      </w:r>
      <w:r>
        <w:t>a</w:t>
      </w:r>
      <w:r>
        <w:t>tiva.</w:t>
      </w:r>
    </w:p>
    <w:p w:rsidR="00224567" w:rsidRDefault="00224567">
      <w:pPr>
        <w:pStyle w:val="Textoindependiente"/>
        <w:spacing w:line="600" w:lineRule="auto"/>
        <w:ind w:firstLine="2835"/>
      </w:pPr>
      <w:r>
        <w:t>Consideró que el imputado Huici actuó con posterioridad al procedimiento llevado a cabo en la f</w:t>
      </w:r>
      <w:r>
        <w:t>e</w:t>
      </w:r>
      <w:r>
        <w:t>cha indicada y sin promesas previas al suceso, por lo que mal se podría responsabilizarlo por un hecho ocurrido el día anterior a que comenz</w:t>
      </w:r>
      <w:r>
        <w:t>a</w:t>
      </w:r>
      <w:r>
        <w:t>ra su participación.</w:t>
      </w:r>
    </w:p>
    <w:p w:rsidR="00224567" w:rsidRDefault="00224567">
      <w:pPr>
        <w:pStyle w:val="Textoindependiente"/>
        <w:spacing w:line="600" w:lineRule="auto"/>
        <w:ind w:firstLine="2835"/>
      </w:pPr>
      <w:r>
        <w:t>Peticionó igual temperamento con re</w:t>
      </w:r>
      <w:r>
        <w:t>s</w:t>
      </w:r>
      <w:r>
        <w:t>pecto a Claudio Walter Araya en orden a la imp</w:t>
      </w:r>
      <w:r>
        <w:t>u</w:t>
      </w:r>
      <w:r>
        <w:t>tación -delito de secuestro extorsivo cometido el 4 de abril de 1994- formulada en el requerimiento de elevación a ju</w:t>
      </w:r>
      <w:r>
        <w:t>i</w:t>
      </w:r>
      <w:r>
        <w:t>cio. Si bien el nombrado integró el grupo que detuvo a Carlos Alberto Telleldín en la localidad de Tortuguitas, el fi</w:t>
      </w:r>
      <w:r>
        <w:t>s</w:t>
      </w:r>
      <w:r>
        <w:t xml:space="preserve">cal </w:t>
      </w:r>
      <w:r>
        <w:lastRenderedPageBreak/>
        <w:t>alegó que no se pudo descartar que hubiera concurrido cu</w:t>
      </w:r>
      <w:r>
        <w:t>m</w:t>
      </w:r>
      <w:r>
        <w:t>pliendo exclusivas órdenes de Ibarra. Además, consid</w:t>
      </w:r>
      <w:r>
        <w:t>e</w:t>
      </w:r>
      <w:r>
        <w:t>ró que no se probó su participación en la investigación pr</w:t>
      </w:r>
      <w:r>
        <w:t>e</w:t>
      </w:r>
      <w:r>
        <w:t>via al suceso, como tampoco que estuviera al tanto de sus pormen</w:t>
      </w:r>
      <w:r>
        <w:t>o</w:t>
      </w:r>
      <w:r>
        <w:t>res. Señaló, que cuando arribaron a la dependencia policial junto con el detenido Telleldín, Araya no intervino en ni</w:t>
      </w:r>
      <w:r>
        <w:t>n</w:t>
      </w:r>
      <w:r>
        <w:t>gún accionar, ni participó en ninguna conversación; ta</w:t>
      </w:r>
      <w:r>
        <w:t>m</w:t>
      </w:r>
      <w:r>
        <w:t>poco fue mencionado ni involucrado por algún testigo o i</w:t>
      </w:r>
      <w:r>
        <w:t>m</w:t>
      </w:r>
      <w:r>
        <w:t>putado y ni pudo acreditarse que hubiera realizado alguna activ</w:t>
      </w:r>
      <w:r>
        <w:t>i</w:t>
      </w:r>
      <w:r>
        <w:t>dad coactiva o alguna exigencia dineraria. Por lo e</w:t>
      </w:r>
      <w:r>
        <w:t>x</w:t>
      </w:r>
      <w:r>
        <w:t>puesto, solicitó su libre absolución.</w:t>
      </w:r>
    </w:p>
    <w:p w:rsidR="00224567" w:rsidRDefault="00224567">
      <w:pPr>
        <w:pStyle w:val="Textoindependiente"/>
        <w:spacing w:line="600" w:lineRule="auto"/>
        <w:ind w:firstLine="2835"/>
      </w:pPr>
      <w:r>
        <w:t>Por las consideraciones que efectuó, entendió el fiscal que los hechos ocurridos el 15 de marzo de 1994 encuentran adecuación típica en los delitos de pr</w:t>
      </w:r>
      <w:r>
        <w:t>i</w:t>
      </w:r>
      <w:r>
        <w:t>vación ilegítima de la libertad y extorsión (arts. 144 bis, inc. 1º, y 168 del Código Penal), ambos en grado de conato y en concu</w:t>
      </w:r>
      <w:r>
        <w:t>r</w:t>
      </w:r>
      <w:r>
        <w:t>so real, mientras que el hecho del 4 de abril de ese mismo año, encuentra adecuación legal en la figura de secuestro extorsivo.</w:t>
      </w:r>
    </w:p>
    <w:p w:rsidR="00224567" w:rsidRDefault="00224567">
      <w:pPr>
        <w:pStyle w:val="Textoindependiente"/>
        <w:spacing w:line="600" w:lineRule="auto"/>
        <w:ind w:firstLine="2835"/>
      </w:pPr>
      <w:r>
        <w:t xml:space="preserve">El fiscal general sostuvo que la prueba </w:t>
      </w:r>
      <w:r>
        <w:lastRenderedPageBreak/>
        <w:t>rendida en el debate acreditó que el abogado Gustavo Sem</w:t>
      </w:r>
      <w:r>
        <w:t>o</w:t>
      </w:r>
      <w:r>
        <w:t xml:space="preserve">rile fue quien negoció en </w:t>
      </w:r>
      <w:smartTag w:uri="urn:schemas-microsoft-com:office:smarttags" w:element="PersonName">
        <w:smartTagPr>
          <w:attr w:name="ProductID" w:val="la Brigada"/>
        </w:smartTagPr>
        <w:r>
          <w:t>la Brigada</w:t>
        </w:r>
      </w:smartTag>
      <w:r>
        <w:t xml:space="preserve"> de Investigaci</w:t>
      </w:r>
      <w:r>
        <w:t>o</w:t>
      </w:r>
      <w:r>
        <w:t>nes de Lanús el acuerdo económico para que Carlos Alberto Telle</w:t>
      </w:r>
      <w:r>
        <w:t>l</w:t>
      </w:r>
      <w:r>
        <w:t>dín obtuviera su libertad; fue quien acercó a las pa</w:t>
      </w:r>
      <w:r>
        <w:t>r</w:t>
      </w:r>
      <w:r>
        <w:t>tes y se encargó de buscar el vehículo Ford Falcon y la moto K</w:t>
      </w:r>
      <w:r>
        <w:t>a</w:t>
      </w:r>
      <w:r>
        <w:t>wasaki en la casa de Lo Preiato y fue uno de los que llevó esos bienes a la dependencia policial. Por su gestión, se quedó con la moto Kawasaki, circunstancia que intentó di</w:t>
      </w:r>
      <w:r>
        <w:t>s</w:t>
      </w:r>
      <w:r>
        <w:t>frazar, burdamente, como un pago de honorarios a</w:t>
      </w:r>
      <w:r>
        <w:t>n</w:t>
      </w:r>
      <w:r>
        <w:t>teriores.</w:t>
      </w:r>
    </w:p>
    <w:p w:rsidR="00224567" w:rsidRDefault="00224567">
      <w:pPr>
        <w:pStyle w:val="Textoindependiente"/>
        <w:spacing w:line="600" w:lineRule="auto"/>
        <w:ind w:firstLine="2835"/>
      </w:pPr>
      <w:r>
        <w:t>En otros casos, señaló el fiscal, Gu</w:t>
      </w:r>
      <w:r>
        <w:t>s</w:t>
      </w:r>
      <w:r>
        <w:t xml:space="preserve">tavo Semorile ofició de notificador </w:t>
      </w:r>
      <w:r>
        <w:rPr>
          <w:u w:val="single"/>
        </w:rPr>
        <w:t>ad hoc</w:t>
      </w:r>
      <w:r>
        <w:t xml:space="preserve"> del juzgado in</w:t>
      </w:r>
      <w:r>
        <w:t>s</w:t>
      </w:r>
      <w:r>
        <w:t>tructor a cargo del Dr. Galeano, como se constató en los sucesos referenciados por su ex socio Alberto Spagnuolo y el imputado Jo</w:t>
      </w:r>
      <w:r>
        <w:t>r</w:t>
      </w:r>
      <w:r>
        <w:t>ge Horacio Rago.</w:t>
      </w:r>
    </w:p>
    <w:p w:rsidR="00224567" w:rsidRDefault="00224567">
      <w:pPr>
        <w:pStyle w:val="Textoindependiente"/>
        <w:spacing w:line="600" w:lineRule="auto"/>
        <w:ind w:firstLine="2835"/>
      </w:pPr>
      <w:r>
        <w:t>Indicó además, con cita del testim</w:t>
      </w:r>
      <w:r>
        <w:t>o</w:t>
      </w:r>
      <w:r>
        <w:t>nio de Spagnuolo, que Semorile comentó al nombrado que “había tenido que confesar un hecho para no admitir otro de mayor gravedad”; dicha circun</w:t>
      </w:r>
      <w:r>
        <w:t>s</w:t>
      </w:r>
      <w:r>
        <w:t>tancia, dijo, se corroboró con los dichos de Claudio Adrián Lifschitz, ex prosecretario del juzgado in</w:t>
      </w:r>
      <w:r>
        <w:t>s</w:t>
      </w:r>
      <w:r>
        <w:t>tructor.</w:t>
      </w:r>
    </w:p>
    <w:p w:rsidR="00224567" w:rsidRDefault="00224567">
      <w:pPr>
        <w:pStyle w:val="Textoindependiente2"/>
        <w:widowControl w:val="0"/>
        <w:tabs>
          <w:tab w:val="left" w:pos="0"/>
        </w:tabs>
        <w:ind w:firstLine="2835"/>
        <w:rPr>
          <w:rFonts w:ascii="Courier New" w:hAnsi="Courier New" w:cs="Courier New"/>
          <w:szCs w:val="24"/>
        </w:rPr>
      </w:pPr>
      <w:r>
        <w:rPr>
          <w:rFonts w:ascii="Courier New" w:hAnsi="Courier New" w:cs="Courier New"/>
          <w:szCs w:val="24"/>
        </w:rPr>
        <w:t>El Dr. Nisman consideró que el ex fu</w:t>
      </w:r>
      <w:r>
        <w:rPr>
          <w:rFonts w:ascii="Courier New" w:hAnsi="Courier New" w:cs="Courier New"/>
          <w:szCs w:val="24"/>
        </w:rPr>
        <w:t>n</w:t>
      </w:r>
      <w:r>
        <w:rPr>
          <w:rFonts w:ascii="Courier New" w:hAnsi="Courier New" w:cs="Courier New"/>
          <w:szCs w:val="24"/>
        </w:rPr>
        <w:lastRenderedPageBreak/>
        <w:t>cionario judicial describió “un accionar a todas luces irregular y que evidencia, para el caso de acreditarse, una práctica franc</w:t>
      </w:r>
      <w:r>
        <w:rPr>
          <w:rFonts w:ascii="Courier New" w:hAnsi="Courier New" w:cs="Courier New"/>
          <w:szCs w:val="24"/>
        </w:rPr>
        <w:t>a</w:t>
      </w:r>
      <w:r>
        <w:rPr>
          <w:rFonts w:ascii="Courier New" w:hAnsi="Courier New" w:cs="Courier New"/>
          <w:szCs w:val="24"/>
        </w:rPr>
        <w:t>mente repugnante, además de delictiva y que habrá de d</w:t>
      </w:r>
      <w:r>
        <w:rPr>
          <w:rFonts w:ascii="Courier New" w:hAnsi="Courier New" w:cs="Courier New"/>
          <w:szCs w:val="24"/>
        </w:rPr>
        <w:t>e</w:t>
      </w:r>
      <w:r>
        <w:rPr>
          <w:rFonts w:ascii="Courier New" w:hAnsi="Courier New" w:cs="Courier New"/>
          <w:szCs w:val="24"/>
        </w:rPr>
        <w:t>nunciarse”. Así, Claudio Lifschitz dijo que Semorile se entrevistó con el juez Juan José G</w:t>
      </w:r>
      <w:r>
        <w:rPr>
          <w:rFonts w:ascii="Courier New" w:hAnsi="Courier New" w:cs="Courier New"/>
          <w:szCs w:val="24"/>
        </w:rPr>
        <w:t>a</w:t>
      </w:r>
      <w:r>
        <w:rPr>
          <w:rFonts w:ascii="Courier New" w:hAnsi="Courier New" w:cs="Courier New"/>
          <w:szCs w:val="24"/>
        </w:rPr>
        <w:t>leano y que esa charla había sido filmada. En la oportunidad, el ab</w:t>
      </w:r>
      <w:r>
        <w:rPr>
          <w:rFonts w:ascii="Courier New" w:hAnsi="Courier New" w:cs="Courier New"/>
          <w:szCs w:val="24"/>
        </w:rPr>
        <w:t>o</w:t>
      </w:r>
      <w:r>
        <w:rPr>
          <w:rFonts w:ascii="Courier New" w:hAnsi="Courier New" w:cs="Courier New"/>
          <w:szCs w:val="24"/>
        </w:rPr>
        <w:t>gado de mención reconoció ante el magistrado su particip</w:t>
      </w:r>
      <w:r>
        <w:rPr>
          <w:rFonts w:ascii="Courier New" w:hAnsi="Courier New" w:cs="Courier New"/>
          <w:szCs w:val="24"/>
        </w:rPr>
        <w:t>a</w:t>
      </w:r>
      <w:r>
        <w:rPr>
          <w:rFonts w:ascii="Courier New" w:hAnsi="Courier New" w:cs="Courier New"/>
          <w:szCs w:val="24"/>
        </w:rPr>
        <w:t>ción en la extorsión imputada a los policías que integr</w:t>
      </w:r>
      <w:r>
        <w:rPr>
          <w:rFonts w:ascii="Courier New" w:hAnsi="Courier New" w:cs="Courier New"/>
          <w:szCs w:val="24"/>
        </w:rPr>
        <w:t>a</w:t>
      </w:r>
      <w:r>
        <w:rPr>
          <w:rFonts w:ascii="Courier New" w:hAnsi="Courier New" w:cs="Courier New"/>
          <w:szCs w:val="24"/>
        </w:rPr>
        <w:t xml:space="preserve">ban </w:t>
      </w:r>
      <w:smartTag w:uri="urn:schemas-microsoft-com:office:smarttags" w:element="PersonName">
        <w:smartTagPr>
          <w:attr w:name="ProductID" w:val="la Brigada"/>
        </w:smartTagPr>
        <w:r>
          <w:rPr>
            <w:rFonts w:ascii="Courier New" w:hAnsi="Courier New" w:cs="Courier New"/>
            <w:szCs w:val="24"/>
          </w:rPr>
          <w:t>la Brigada</w:t>
        </w:r>
      </w:smartTag>
      <w:r>
        <w:rPr>
          <w:rFonts w:ascii="Courier New" w:hAnsi="Courier New" w:cs="Courier New"/>
          <w:szCs w:val="24"/>
        </w:rPr>
        <w:t xml:space="preserve"> de Investigaci</w:t>
      </w:r>
      <w:r>
        <w:rPr>
          <w:rFonts w:ascii="Courier New" w:hAnsi="Courier New" w:cs="Courier New"/>
          <w:szCs w:val="24"/>
        </w:rPr>
        <w:t>o</w:t>
      </w:r>
      <w:r>
        <w:rPr>
          <w:rFonts w:ascii="Courier New" w:hAnsi="Courier New" w:cs="Courier New"/>
          <w:szCs w:val="24"/>
        </w:rPr>
        <w:t>nes de Lanús, asumiendo que se había quedado con la moto Kawasaki. Lifschitz declaró, dijo el fiscal, que “en el juzgado sabían todo esto” por los dichos de Miriam Salinas y Pablo Ibáñez. También e</w:t>
      </w:r>
      <w:r>
        <w:rPr>
          <w:rFonts w:ascii="Courier New" w:hAnsi="Courier New" w:cs="Courier New"/>
          <w:szCs w:val="24"/>
        </w:rPr>
        <w:t>x</w:t>
      </w:r>
      <w:r>
        <w:rPr>
          <w:rFonts w:ascii="Courier New" w:hAnsi="Courier New" w:cs="Courier New"/>
          <w:szCs w:val="24"/>
        </w:rPr>
        <w:t>presó el ex prosecretario que en una post</w:t>
      </w:r>
      <w:r>
        <w:rPr>
          <w:rFonts w:ascii="Courier New" w:hAnsi="Courier New" w:cs="Courier New"/>
          <w:szCs w:val="24"/>
        </w:rPr>
        <w:t>e</w:t>
      </w:r>
      <w:r>
        <w:rPr>
          <w:rFonts w:ascii="Courier New" w:hAnsi="Courier New" w:cs="Courier New"/>
          <w:szCs w:val="24"/>
        </w:rPr>
        <w:t>rior reunión con el juez, se exhibió a Gustavo Semorile el video que cont</w:t>
      </w:r>
      <w:r>
        <w:rPr>
          <w:rFonts w:ascii="Courier New" w:hAnsi="Courier New" w:cs="Courier New"/>
          <w:szCs w:val="24"/>
        </w:rPr>
        <w:t>e</w:t>
      </w:r>
      <w:r>
        <w:rPr>
          <w:rFonts w:ascii="Courier New" w:hAnsi="Courier New" w:cs="Courier New"/>
          <w:szCs w:val="24"/>
        </w:rPr>
        <w:t>nía su confesión, de modo de intimidarlo; tras ello, el juez le ordenó que le recibiera a Semorile una d</w:t>
      </w:r>
      <w:r>
        <w:rPr>
          <w:rFonts w:ascii="Courier New" w:hAnsi="Courier New" w:cs="Courier New"/>
          <w:szCs w:val="24"/>
        </w:rPr>
        <w:t>e</w:t>
      </w:r>
      <w:r>
        <w:rPr>
          <w:rFonts w:ascii="Courier New" w:hAnsi="Courier New" w:cs="Courier New"/>
          <w:szCs w:val="24"/>
        </w:rPr>
        <w:t>claración testimonial con reserva de identidad, con expresa indic</w:t>
      </w:r>
      <w:r>
        <w:rPr>
          <w:rFonts w:ascii="Courier New" w:hAnsi="Courier New" w:cs="Courier New"/>
          <w:szCs w:val="24"/>
        </w:rPr>
        <w:t>a</w:t>
      </w:r>
      <w:r>
        <w:rPr>
          <w:rFonts w:ascii="Courier New" w:hAnsi="Courier New" w:cs="Courier New"/>
          <w:szCs w:val="24"/>
        </w:rPr>
        <w:t>ción de que omitiera asentar la circunstancia de que la moto Kawasaki había quedado en su poder. Finalmente, so</w:t>
      </w:r>
      <w:r>
        <w:rPr>
          <w:rFonts w:ascii="Courier New" w:hAnsi="Courier New" w:cs="Courier New"/>
          <w:szCs w:val="24"/>
        </w:rPr>
        <w:t>s</w:t>
      </w:r>
      <w:r>
        <w:rPr>
          <w:rFonts w:ascii="Courier New" w:hAnsi="Courier New" w:cs="Courier New"/>
          <w:szCs w:val="24"/>
        </w:rPr>
        <w:t>tuvo que el testigo Lifschitz evocó que durante la decl</w:t>
      </w:r>
      <w:r>
        <w:rPr>
          <w:rFonts w:ascii="Courier New" w:hAnsi="Courier New" w:cs="Courier New"/>
          <w:szCs w:val="24"/>
        </w:rPr>
        <w:t>a</w:t>
      </w:r>
      <w:r>
        <w:rPr>
          <w:rFonts w:ascii="Courier New" w:hAnsi="Courier New" w:cs="Courier New"/>
          <w:szCs w:val="24"/>
        </w:rPr>
        <w:lastRenderedPageBreak/>
        <w:t>ración, Semorile reconoció que “otra no le qued</w:t>
      </w:r>
      <w:r>
        <w:rPr>
          <w:rFonts w:ascii="Courier New" w:hAnsi="Courier New" w:cs="Courier New"/>
          <w:szCs w:val="24"/>
        </w:rPr>
        <w:t>a</w:t>
      </w:r>
      <w:r>
        <w:rPr>
          <w:rFonts w:ascii="Courier New" w:hAnsi="Courier New" w:cs="Courier New"/>
          <w:szCs w:val="24"/>
        </w:rPr>
        <w:t>ba, tenía que decir eso, que sino iba preso”.</w:t>
      </w:r>
    </w:p>
    <w:p w:rsidR="00224567" w:rsidRDefault="00224567">
      <w:pPr>
        <w:pStyle w:val="Textoindependiente"/>
        <w:spacing w:line="600" w:lineRule="auto"/>
        <w:ind w:firstLine="2835"/>
      </w:pPr>
      <w:r>
        <w:t>El fiscal también trajo a col</w:t>
      </w:r>
      <w:r>
        <w:t>a</w:t>
      </w:r>
      <w:r>
        <w:t>ción los dichos de Carlos Alberto Telleldín en el debate, en cuanto sostuvo que Gustavo Semorile fue quien aportó los datos a Juan José Ribelli para que lo detuvieran, como así también los del nombrado Lifschitz, quien dijo que Miriam Salinas y Pablo Ibáñez le comentaron esa misma circunstancia, motiv</w:t>
      </w:r>
      <w:r>
        <w:t>a</w:t>
      </w:r>
      <w:r>
        <w:t>da en que Ana María Boragni estaba resentida con su conc</w:t>
      </w:r>
      <w:r>
        <w:t>u</w:t>
      </w:r>
      <w:r>
        <w:t>bino porque éste mantenía una relación amorosa con Sandra Petrucci y que por eso, decidió entregarlo a la pol</w:t>
      </w:r>
      <w:r>
        <w:t>i</w:t>
      </w:r>
      <w:r>
        <w:t>cía.</w:t>
      </w:r>
    </w:p>
    <w:p w:rsidR="00224567" w:rsidRDefault="00224567">
      <w:pPr>
        <w:pStyle w:val="Textoindependiente"/>
        <w:spacing w:line="600" w:lineRule="auto"/>
        <w:ind w:firstLine="2835"/>
      </w:pPr>
      <w:r>
        <w:t>De tal manera, entendió el fiscal, no existieron tareas previas para ubicar a Telleldín en Ol</w:t>
      </w:r>
      <w:r>
        <w:t>i</w:t>
      </w:r>
      <w:r>
        <w:t>vos, ni en Tortuguitas, ni tampoco en República 107. Ello por cuanto el 15 de marzo de 1994, en modo alguno los pr</w:t>
      </w:r>
      <w:r>
        <w:t>e</w:t>
      </w:r>
      <w:r>
        <w:t>ventores estaban en condiciones de saber que Telleldín co</w:t>
      </w:r>
      <w:r>
        <w:t>n</w:t>
      </w:r>
      <w:r>
        <w:t xml:space="preserve">curriría a la intersección de </w:t>
      </w:r>
      <w:smartTag w:uri="urn:schemas-microsoft-com:office:smarttags" w:element="PersonName">
        <w:smartTagPr>
          <w:attr w:name="ProductID" w:val="la Av. Maip￺"/>
        </w:smartTagPr>
        <w:r>
          <w:t>la Av. Maipú</w:t>
        </w:r>
      </w:smartTag>
      <w:r>
        <w:t xml:space="preserve"> con Ugarte, a determinada hora, ni tampoco en el vehículo en que lo h</w:t>
      </w:r>
      <w:r>
        <w:t>a</w:t>
      </w:r>
      <w:r>
        <w:t xml:space="preserve">ría; no obstante, Ibarra contaba con esos datos y se los indicó a los integrantes de la comitiva que lo habría de detener. La única forma que tenía Ibarra de conocerlos, </w:t>
      </w:r>
      <w:r>
        <w:lastRenderedPageBreak/>
        <w:t>consistía en que alguien se los dijera y, según apreció, no existe ninguna duda que fue el abogado Gustavo Semor</w:t>
      </w:r>
      <w:r>
        <w:t>i</w:t>
      </w:r>
      <w:r>
        <w:t>le.</w:t>
      </w:r>
    </w:p>
    <w:p w:rsidR="00224567" w:rsidRDefault="00224567">
      <w:pPr>
        <w:pStyle w:val="Textoindependiente"/>
        <w:spacing w:line="600" w:lineRule="auto"/>
        <w:ind w:firstLine="2835"/>
      </w:pPr>
      <w:r>
        <w:t>Sostuvo que lo mismo ocurrió el 4 de abril de 1994, puesto que en aquella oportunidad tras s</w:t>
      </w:r>
      <w:r>
        <w:t>a</w:t>
      </w:r>
      <w:r>
        <w:t>lir de su casaquinta en Tortuguitas y sin que nadie lo sigui</w:t>
      </w:r>
      <w:r>
        <w:t>e</w:t>
      </w:r>
      <w:r>
        <w:t>ra, Telleldín se dirigió a un videoclub. Explicó que los policías arribaron a ese lugar en el mismo horario en que Telleldín estaba alquilando una película, porque Semorile ya los había i</w:t>
      </w:r>
      <w:r>
        <w:t>n</w:t>
      </w:r>
      <w:r>
        <w:t>formado.</w:t>
      </w:r>
    </w:p>
    <w:p w:rsidR="00224567" w:rsidRDefault="00224567">
      <w:pPr>
        <w:pStyle w:val="Textoindependiente"/>
        <w:spacing w:line="600" w:lineRule="auto"/>
        <w:ind w:firstLine="2835"/>
      </w:pPr>
      <w:r>
        <w:t>En ese sentido señaló que tanto el t</w:t>
      </w:r>
      <w:r>
        <w:t>i</w:t>
      </w:r>
      <w:r>
        <w:t>tular del videoclub, como el de un bar de las ady</w:t>
      </w:r>
      <w:r>
        <w:t>a</w:t>
      </w:r>
      <w:r>
        <w:t>cencias, previo al procedimiento, no observaron tareas de vigilancia o seguimientos por parte de p</w:t>
      </w:r>
      <w:r>
        <w:t>o</w:t>
      </w:r>
      <w:r>
        <w:t>licías.</w:t>
      </w:r>
    </w:p>
    <w:p w:rsidR="00224567" w:rsidRDefault="00224567">
      <w:pPr>
        <w:pStyle w:val="Textoindependiente"/>
        <w:spacing w:line="600" w:lineRule="auto"/>
        <w:ind w:firstLine="2835"/>
      </w:pPr>
      <w:r>
        <w:t>Destacó, además, numerosos cruces tel</w:t>
      </w:r>
      <w:r>
        <w:t>e</w:t>
      </w:r>
      <w:r>
        <w:t>fónicos agregados a fs. 931 del legajo nº 310, producidos los días 4 y 5 de abril de 1994, entre los abonados de Gu</w:t>
      </w:r>
      <w:r>
        <w:t>s</w:t>
      </w:r>
      <w:r>
        <w:t>tavo Semorile y Juan José Ribelli, en particular, en los momentos previos, contemporáneos y posteriores a la dete</w:t>
      </w:r>
      <w:r>
        <w:t>n</w:t>
      </w:r>
      <w:r>
        <w:t>ción de Carlos A</w:t>
      </w:r>
      <w:r>
        <w:t>l</w:t>
      </w:r>
      <w:r>
        <w:t>berto Telleldín.</w:t>
      </w:r>
    </w:p>
    <w:p w:rsidR="00224567" w:rsidRDefault="00224567">
      <w:pPr>
        <w:pStyle w:val="Textoindependiente"/>
        <w:spacing w:line="600" w:lineRule="auto"/>
        <w:ind w:firstLine="2835"/>
      </w:pPr>
      <w:r>
        <w:t xml:space="preserve">Dichos entrecruzamientos demostraron </w:t>
      </w:r>
      <w:r>
        <w:lastRenderedPageBreak/>
        <w:t>que los nombrados ultimaron los detalles, en un caso, para efectivizar la  intercepción de Telleldín y de su acomp</w:t>
      </w:r>
      <w:r>
        <w:t>a</w:t>
      </w:r>
      <w:r>
        <w:t>ñante y, en otro, para arreglar la entrega de los bienes exigidos por los pr</w:t>
      </w:r>
      <w:r>
        <w:t>e</w:t>
      </w:r>
      <w:r>
        <w:t xml:space="preserve">ventores. </w:t>
      </w:r>
    </w:p>
    <w:p w:rsidR="00224567" w:rsidRDefault="00224567">
      <w:pPr>
        <w:pStyle w:val="Textoindependiente"/>
        <w:spacing w:line="600" w:lineRule="auto"/>
        <w:ind w:firstLine="2835"/>
      </w:pPr>
      <w:r>
        <w:t>Resaltó que Telleldín fue deten</w:t>
      </w:r>
      <w:r>
        <w:t>i</w:t>
      </w:r>
      <w:r>
        <w:t>do a la salida del videoclub que su abogado Gustavo Semorile le h</w:t>
      </w:r>
      <w:r>
        <w:t>a</w:t>
      </w:r>
      <w:r>
        <w:t>bía recomendado y del que también figuraba como asociado, según declaró en el debate su titular Jorge Volpi, quien agregó, además, que el abogado era vecino de la quinta que Telleldín alquiló en la localidad de Tortugu</w:t>
      </w:r>
      <w:r>
        <w:t>i</w:t>
      </w:r>
      <w:r>
        <w:t>tas.</w:t>
      </w:r>
    </w:p>
    <w:p w:rsidR="00224567" w:rsidRDefault="00224567">
      <w:pPr>
        <w:pStyle w:val="Textoindependiente"/>
        <w:spacing w:line="600" w:lineRule="auto"/>
        <w:ind w:firstLine="2835"/>
      </w:pPr>
      <w:r>
        <w:t>En punto a los hechos atribuidos a Raúl Edilio Ibarra, Marcelo Darío Casas y Eduardo Diego Toledo, por los cuales se formuló requerimiento de elevación a ju</w:t>
      </w:r>
      <w:r>
        <w:t>i</w:t>
      </w:r>
      <w:r>
        <w:t>cio en la causa nº 502/03, el representante del M</w:t>
      </w:r>
      <w:r>
        <w:t>i</w:t>
      </w:r>
      <w:r>
        <w:t>nisterio Público Fiscal sostuvo que la prueba del debate acreditó que Ibarra prestó falso testimonio agravado en perjuicio del imputado –Telleldín-, por su deposición en la referida causa nº 5681; instigó a Marcelo Darío Casas y a Eduardo Diego Toledo a cometer falso testimonio simple, por sus respectivas declaraciones prestadas en el sumario admini</w:t>
      </w:r>
      <w:r>
        <w:t>s</w:t>
      </w:r>
      <w:r>
        <w:t xml:space="preserve">trativo labrado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Bonaerense"/>
        </w:smartTagPr>
        <w:r>
          <w:t xml:space="preserve">la Policía </w:t>
        </w:r>
        <w:r>
          <w:lastRenderedPageBreak/>
          <w:t>Bonaerense</w:t>
        </w:r>
      </w:smartTag>
      <w:r>
        <w:t xml:space="preserve">, ubicada en la ciudad de </w:t>
      </w:r>
      <w:smartTag w:uri="urn:schemas-microsoft-com:office:smarttags" w:element="PersonName">
        <w:smartTagPr>
          <w:attr w:name="ProductID" w:val="La Plata"/>
        </w:smartTagPr>
        <w:r>
          <w:t>La Plata</w:t>
        </w:r>
      </w:smartTag>
      <w:r>
        <w:t>, e instigó al último de los nombrado a cometer el delito de falso test</w:t>
      </w:r>
      <w:r>
        <w:t>i</w:t>
      </w:r>
      <w:r>
        <w:t>monio agravado por ser en perjuicio del imput</w:t>
      </w:r>
      <w:r>
        <w:t>a</w:t>
      </w:r>
      <w:r>
        <w:t>do -Telleldín-, en la mencionada causa nº 5681; que Marcelo D</w:t>
      </w:r>
      <w:r>
        <w:t>a</w:t>
      </w:r>
      <w:r>
        <w:t>río Casas prestó falso testimonio agravado en su declar</w:t>
      </w:r>
      <w:r>
        <w:t>a</w:t>
      </w:r>
      <w:r>
        <w:t>ción del día 15 de marzo de 1994 en la causa de referencia y fa</w:t>
      </w:r>
      <w:r>
        <w:t>l</w:t>
      </w:r>
      <w:r>
        <w:t xml:space="preserve">so testimonio simple, el 15 de agosto de 1995, en las actuaciones que se labraron en </w:t>
      </w:r>
      <w:smartTag w:uri="urn:schemas-microsoft-com:office:smarttags" w:element="PersonName">
        <w:smartTagPr>
          <w:attr w:name="ProductID" w:val="la Direcci￳n"/>
        </w:smartTagPr>
        <w:r>
          <w:t>la Dirección</w:t>
        </w:r>
      </w:smartTag>
      <w:r>
        <w:t xml:space="preserve"> de S</w:t>
      </w:r>
      <w:r>
        <w:t>u</w:t>
      </w:r>
      <w:r>
        <w:t>marios; y que Eduardo Diego Toledo prestó falso test</w:t>
      </w:r>
      <w:r>
        <w:t>i</w:t>
      </w:r>
      <w:r>
        <w:t>monio simple en su declaración ante el organismo citado precede</w:t>
      </w:r>
      <w:r>
        <w:t>n</w:t>
      </w:r>
      <w:r>
        <w:t>temente el 15 de agosto de 1995.</w:t>
      </w:r>
    </w:p>
    <w:p w:rsidR="00224567" w:rsidRDefault="00224567">
      <w:pPr>
        <w:pStyle w:val="Textoindependiente"/>
        <w:spacing w:line="600" w:lineRule="auto"/>
        <w:ind w:firstLine="2835"/>
      </w:pPr>
      <w:r>
        <w:t>Señaló que las falsas circunstancias vertidas por Ibarra, Casas y Toledo, estos últimos por ma</w:t>
      </w:r>
      <w:r>
        <w:t>n</w:t>
      </w:r>
      <w:r>
        <w:t>dato del primero, consistieron en afirmar que el proced</w:t>
      </w:r>
      <w:r>
        <w:t>i</w:t>
      </w:r>
      <w:r>
        <w:t>miento del 15 de marzo de 1994, es decir, el frustrado i</w:t>
      </w:r>
      <w:r>
        <w:t>n</w:t>
      </w:r>
      <w:r>
        <w:t>tento de detención de Telleldín en Olivos, había sido el resultado de tareas de inteligencia previas realizadas en la calle República 107 de Villa Ballester; sin embargo se probó que por el dato que se les había aportado, se dir</w:t>
      </w:r>
      <w:r>
        <w:t>i</w:t>
      </w:r>
      <w:r>
        <w:t>gieron directamente a la localidad de Olivos con la final</w:t>
      </w:r>
      <w:r>
        <w:t>i</w:t>
      </w:r>
      <w:r>
        <w:lastRenderedPageBreak/>
        <w:t>dad antes me</w:t>
      </w:r>
      <w:r>
        <w:t>n</w:t>
      </w:r>
      <w:r>
        <w:t>cionada.</w:t>
      </w:r>
    </w:p>
    <w:p w:rsidR="00224567" w:rsidRDefault="00224567">
      <w:pPr>
        <w:pStyle w:val="Textoindependiente"/>
        <w:spacing w:line="600" w:lineRule="auto"/>
        <w:ind w:firstLine="2835"/>
      </w:pPr>
      <w:r>
        <w:t>Como prueba de su conclusión, el fi</w:t>
      </w:r>
      <w:r>
        <w:t>s</w:t>
      </w:r>
      <w:r>
        <w:t>cal señaló las confesiones de Bautista Alberto Huici, Marcelo Darío Casas y Eduardo Diego Tol</w:t>
      </w:r>
      <w:r>
        <w:t>e</w:t>
      </w:r>
      <w:r>
        <w:t>do.</w:t>
      </w:r>
    </w:p>
    <w:p w:rsidR="00224567" w:rsidRDefault="00224567">
      <w:pPr>
        <w:pStyle w:val="Textoindependiente"/>
        <w:spacing w:line="600" w:lineRule="auto"/>
        <w:ind w:firstLine="2835"/>
      </w:pPr>
      <w:r>
        <w:t>Al respecto, dijo que Casas y Toledo fueron contestes en afirmar que habían sido conv</w:t>
      </w:r>
      <w:r>
        <w:t>o</w:t>
      </w:r>
      <w:r>
        <w:t>cados por Ibarra para realizar el procedimiento de detención de T</w:t>
      </w:r>
      <w:r>
        <w:t>e</w:t>
      </w:r>
      <w:r>
        <w:t>lleldín; que no pararon en ningún otro lugar antes de ll</w:t>
      </w:r>
      <w:r>
        <w:t>e</w:t>
      </w:r>
      <w:r>
        <w:t>gar a la parrilla “El Barril” ubicada en la localidad de Olivos y que Ibarra les había adelantado que se present</w:t>
      </w:r>
      <w:r>
        <w:t>a</w:t>
      </w:r>
      <w:r>
        <w:t>ría una persona en un Renault 18 oscuro con vidrios polariz</w:t>
      </w:r>
      <w:r>
        <w:t>a</w:t>
      </w:r>
      <w:r>
        <w:t>dos. También señalaron que cuando fueron citados a d</w:t>
      </w:r>
      <w:r>
        <w:t>e</w:t>
      </w:r>
      <w:r>
        <w:t xml:space="preserve">clarar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Bonaerense"/>
        </w:smartTagPr>
        <w:r>
          <w:t>la Policía Bonaerense</w:t>
        </w:r>
      </w:smartTag>
      <w:r>
        <w:t>, d</w:t>
      </w:r>
      <w:r>
        <w:t>u</w:t>
      </w:r>
      <w:r>
        <w:t>rante al vi</w:t>
      </w:r>
      <w:r>
        <w:t>a</w:t>
      </w:r>
      <w:r>
        <w:t xml:space="preserve">je a la ciudad de </w:t>
      </w:r>
      <w:smartTag w:uri="urn:schemas-microsoft-com:office:smarttags" w:element="PersonName">
        <w:smartTagPr>
          <w:attr w:name="ProductID" w:val="La Plata Ibarra"/>
        </w:smartTagPr>
        <w:r>
          <w:t>La Plata Ibarra</w:t>
        </w:r>
      </w:smartTag>
      <w:r>
        <w:t xml:space="preserve"> los determinó a referir las falsas ci</w:t>
      </w:r>
      <w:r>
        <w:t>r</w:t>
      </w:r>
      <w:r>
        <w:t>cunstancias expuestas.</w:t>
      </w:r>
    </w:p>
    <w:p w:rsidR="00224567" w:rsidRDefault="00224567">
      <w:pPr>
        <w:pStyle w:val="Textoindependiente2"/>
        <w:widowControl w:val="0"/>
        <w:tabs>
          <w:tab w:val="left" w:pos="0"/>
        </w:tabs>
        <w:ind w:firstLine="2835"/>
        <w:rPr>
          <w:rFonts w:ascii="Courier New" w:hAnsi="Courier New" w:cs="Courier New"/>
        </w:rPr>
      </w:pPr>
      <w:r w:rsidRPr="005C7FCF">
        <w:rPr>
          <w:rFonts w:ascii="Courier New" w:hAnsi="Courier New" w:cs="Courier New"/>
          <w:highlight w:val="yellow"/>
        </w:rPr>
        <w:t>Seguidamente el fiscal general Albe</w:t>
      </w:r>
      <w:r w:rsidRPr="005C7FCF">
        <w:rPr>
          <w:rFonts w:ascii="Courier New" w:hAnsi="Courier New" w:cs="Courier New"/>
          <w:highlight w:val="yellow"/>
        </w:rPr>
        <w:t>r</w:t>
      </w:r>
      <w:r w:rsidRPr="005C7FCF">
        <w:rPr>
          <w:rFonts w:ascii="Courier New" w:hAnsi="Courier New" w:cs="Courier New"/>
          <w:highlight w:val="yellow"/>
        </w:rPr>
        <w:t>to Nisman alegó acerca de la intervención que cupo a Carlos Alberto Telleldín, Juan José Ribelli, Raúl Ed</w:t>
      </w:r>
      <w:r w:rsidRPr="005C7FCF">
        <w:rPr>
          <w:rFonts w:ascii="Courier New" w:hAnsi="Courier New" w:cs="Courier New"/>
          <w:highlight w:val="yellow"/>
        </w:rPr>
        <w:t>i</w:t>
      </w:r>
      <w:r w:rsidRPr="005C7FCF">
        <w:rPr>
          <w:rFonts w:ascii="Courier New" w:hAnsi="Courier New" w:cs="Courier New"/>
          <w:highlight w:val="yellow"/>
        </w:rPr>
        <w:t>lio Ibarra, Anastasio Ireneo Leal y Mario Norberto Bareiro en el ate</w:t>
      </w:r>
      <w:r w:rsidRPr="005C7FCF">
        <w:rPr>
          <w:rFonts w:ascii="Courier New" w:hAnsi="Courier New" w:cs="Courier New"/>
          <w:highlight w:val="yellow"/>
        </w:rPr>
        <w:t>n</w:t>
      </w:r>
      <w:r w:rsidRPr="005C7FCF">
        <w:rPr>
          <w:rFonts w:ascii="Courier New" w:hAnsi="Courier New" w:cs="Courier New"/>
          <w:highlight w:val="yellow"/>
        </w:rPr>
        <w:t>tado terrorista.</w:t>
      </w:r>
    </w:p>
    <w:p w:rsidR="00224567" w:rsidRPr="005C7FCF" w:rsidRDefault="00224567">
      <w:pPr>
        <w:pStyle w:val="Textoindependiente2"/>
        <w:widowControl w:val="0"/>
        <w:tabs>
          <w:tab w:val="left" w:pos="0"/>
        </w:tabs>
        <w:ind w:firstLine="2835"/>
        <w:rPr>
          <w:rFonts w:ascii="Courier New" w:hAnsi="Courier New" w:cs="Courier New"/>
          <w:highlight w:val="yellow"/>
        </w:rPr>
      </w:pPr>
      <w:r>
        <w:rPr>
          <w:rFonts w:ascii="Courier New" w:hAnsi="Courier New" w:cs="Courier New"/>
        </w:rPr>
        <w:t xml:space="preserve">Sin embargo y previo a valorar las </w:t>
      </w:r>
      <w:r>
        <w:rPr>
          <w:rFonts w:ascii="Courier New" w:hAnsi="Courier New" w:cs="Courier New"/>
        </w:rPr>
        <w:lastRenderedPageBreak/>
        <w:t>pruebas, entendió que no se podía dejar de desarrollar y evaluar una serie de irregularidades que han acont</w:t>
      </w:r>
      <w:r>
        <w:rPr>
          <w:rFonts w:ascii="Courier New" w:hAnsi="Courier New" w:cs="Courier New"/>
        </w:rPr>
        <w:t>e</w:t>
      </w:r>
      <w:r>
        <w:rPr>
          <w:rFonts w:ascii="Courier New" w:hAnsi="Courier New" w:cs="Courier New"/>
        </w:rPr>
        <w:t>cido a lo largo de la investigación y que han surgido de manera manifiesta durante el juicio oral y público, para luego determinar qué incidencia habrán de tener los hechos co</w:t>
      </w:r>
      <w:r>
        <w:rPr>
          <w:rFonts w:ascii="Courier New" w:hAnsi="Courier New" w:cs="Courier New"/>
        </w:rPr>
        <w:t>m</w:t>
      </w:r>
      <w:r>
        <w:rPr>
          <w:rFonts w:ascii="Courier New" w:hAnsi="Courier New" w:cs="Courier New"/>
        </w:rPr>
        <w:t>probados en el debate</w:t>
      </w:r>
      <w:r w:rsidRPr="005C7FCF">
        <w:rPr>
          <w:rFonts w:ascii="Courier New" w:hAnsi="Courier New" w:cs="Courier New"/>
          <w:highlight w:val="yellow"/>
        </w:rPr>
        <w:t xml:space="preserve">. </w:t>
      </w:r>
    </w:p>
    <w:p w:rsidR="00224567" w:rsidRDefault="00224567">
      <w:pPr>
        <w:pStyle w:val="Textoindependiente"/>
        <w:spacing w:line="600" w:lineRule="auto"/>
        <w:ind w:firstLine="2835"/>
      </w:pPr>
      <w:r w:rsidRPr="005C7FCF">
        <w:rPr>
          <w:highlight w:val="yellow"/>
        </w:rPr>
        <w:t>El fiscal dejó a salvo la interve</w:t>
      </w:r>
      <w:r w:rsidRPr="005C7FCF">
        <w:rPr>
          <w:highlight w:val="yellow"/>
        </w:rPr>
        <w:t>n</w:t>
      </w:r>
      <w:r w:rsidRPr="005C7FCF">
        <w:rPr>
          <w:highlight w:val="yellow"/>
        </w:rPr>
        <w:t>ción del Ministerio Público Fiscal durante la instrucción y el desarrollo del debate “como gua</w:t>
      </w:r>
      <w:r w:rsidRPr="005C7FCF">
        <w:rPr>
          <w:highlight w:val="yellow"/>
        </w:rPr>
        <w:t>r</w:t>
      </w:r>
      <w:r w:rsidRPr="005C7FCF">
        <w:rPr>
          <w:highlight w:val="yellow"/>
        </w:rPr>
        <w:t>dián de la legalidad”.</w:t>
      </w:r>
    </w:p>
    <w:p w:rsidR="00224567" w:rsidRDefault="00224567">
      <w:pPr>
        <w:pStyle w:val="Textoindependiente"/>
        <w:spacing w:line="600" w:lineRule="auto"/>
        <w:ind w:firstLine="2835"/>
      </w:pPr>
      <w:r>
        <w:t>De ese modo, sostuvo que algunas cue</w:t>
      </w:r>
      <w:r>
        <w:t>s</w:t>
      </w:r>
      <w:r>
        <w:t>tiones que, al inicio del juicio, generaban d</w:t>
      </w:r>
      <w:r>
        <w:t>u</w:t>
      </w:r>
      <w:r>
        <w:t>das, a medida que se produjo la prueba adquirieron certeza. En algunos casos, lo sucedido distaba bastante de lo que estaba escr</w:t>
      </w:r>
      <w:r>
        <w:t>i</w:t>
      </w:r>
      <w:r>
        <w:t>to en el expediente. En esa misma inteligencia, mencionó los dichos en el debate del ex dip</w:t>
      </w:r>
      <w:r>
        <w:t>u</w:t>
      </w:r>
      <w:r>
        <w:t>tado Juan Pablo Cafiero, quien expresó que “por más bronca que se tuviera no nos p</w:t>
      </w:r>
      <w:r>
        <w:t>o</w:t>
      </w:r>
      <w:r>
        <w:t>díamos enojar con la realidad, que la realidad estaba ahí, de nada servía negarla, ni enemistarnos con ella”.</w:t>
      </w:r>
    </w:p>
    <w:p w:rsidR="00224567" w:rsidRDefault="00224567">
      <w:pPr>
        <w:pStyle w:val="Textoindependiente"/>
        <w:spacing w:line="600" w:lineRule="auto"/>
        <w:ind w:firstLine="2835"/>
      </w:pPr>
      <w:r>
        <w:t>Dentro de ese marco referencial, abo</w:t>
      </w:r>
      <w:r>
        <w:t>r</w:t>
      </w:r>
      <w:r>
        <w:t>dó la incidencia que tuvo el pago de USD 400.000, en dos cu</w:t>
      </w:r>
      <w:r>
        <w:t>o</w:t>
      </w:r>
      <w:r>
        <w:lastRenderedPageBreak/>
        <w:t>tas, a Carlos Alberto Telleldín, en la val</w:t>
      </w:r>
      <w:r>
        <w:t>i</w:t>
      </w:r>
      <w:r>
        <w:t>dez del acta que instrumentó la ampliación de su declaración indag</w:t>
      </w:r>
      <w:r>
        <w:t>a</w:t>
      </w:r>
      <w:r>
        <w:t>toria del 5 de julio de 1996.</w:t>
      </w:r>
    </w:p>
    <w:p w:rsidR="00224567" w:rsidRDefault="00224567">
      <w:pPr>
        <w:pStyle w:val="Textoindependiente"/>
        <w:spacing w:line="600" w:lineRule="auto"/>
        <w:ind w:firstLine="2835"/>
      </w:pPr>
      <w:r>
        <w:t>Señaló que con el propósito de que Ca</w:t>
      </w:r>
      <w:r>
        <w:t>r</w:t>
      </w:r>
      <w:r>
        <w:t>los Alberto Telleldín volcara en una ampliación de su d</w:t>
      </w:r>
      <w:r>
        <w:t>e</w:t>
      </w:r>
      <w:r>
        <w:t>claración indagatoria la versión de los hechos que ya había aportado a la entonces jueza de cámara María Luisa Riva Aramayo y a diversos peri</w:t>
      </w:r>
      <w:r>
        <w:t>o</w:t>
      </w:r>
      <w:r>
        <w:t xml:space="preserve">distas, el juez Galeano  dispuso que se le abonara la suma de 400.000 dólares o pesos, </w:t>
      </w:r>
      <w:r w:rsidRPr="005C7FCF">
        <w:rPr>
          <w:highlight w:val="yellow"/>
        </w:rPr>
        <w:t>ut</w:t>
      </w:r>
      <w:r w:rsidRPr="005C7FCF">
        <w:rPr>
          <w:highlight w:val="yellow"/>
        </w:rPr>
        <w:t>i</w:t>
      </w:r>
      <w:r w:rsidRPr="005C7FCF">
        <w:rPr>
          <w:highlight w:val="yellow"/>
        </w:rPr>
        <w:t xml:space="preserve">lizando como brazo ejecutor al entonces grupo Sala Patria de </w:t>
      </w:r>
      <w:smartTag w:uri="urn:schemas-microsoft-com:office:smarttags" w:element="PersonName">
        <w:smartTagPr>
          <w:attr w:name="ProductID" w:val="la Secretar￭a"/>
        </w:smartTagPr>
        <w:r w:rsidRPr="005C7FCF">
          <w:rPr>
            <w:highlight w:val="yellow"/>
          </w:rPr>
          <w:t>la Secretaría</w:t>
        </w:r>
      </w:smartTag>
      <w:r w:rsidRPr="005C7FCF">
        <w:rPr>
          <w:highlight w:val="yellow"/>
        </w:rPr>
        <w:t xml:space="preserve"> de Intelige</w:t>
      </w:r>
      <w:r w:rsidRPr="005C7FCF">
        <w:rPr>
          <w:highlight w:val="yellow"/>
        </w:rPr>
        <w:t>n</w:t>
      </w:r>
      <w:r w:rsidRPr="005C7FCF">
        <w:rPr>
          <w:highlight w:val="yellow"/>
        </w:rPr>
        <w:t>cia de Estado.</w:t>
      </w:r>
      <w:r>
        <w:t xml:space="preserve"> </w:t>
      </w:r>
    </w:p>
    <w:p w:rsidR="00224567" w:rsidRDefault="00224567">
      <w:pPr>
        <w:pStyle w:val="Textoindependiente"/>
        <w:spacing w:line="600" w:lineRule="auto"/>
        <w:ind w:firstLine="2835"/>
      </w:pPr>
      <w:r w:rsidRPr="005C7FCF">
        <w:rPr>
          <w:highlight w:val="yellow"/>
        </w:rPr>
        <w:t>A fin de llevar adelante el objetivo, relató que el magistrado requirió al entonces secret</w:t>
      </w:r>
      <w:r w:rsidRPr="005C7FCF">
        <w:rPr>
          <w:highlight w:val="yellow"/>
        </w:rPr>
        <w:t>a</w:t>
      </w:r>
      <w:r w:rsidRPr="005C7FCF">
        <w:rPr>
          <w:highlight w:val="yellow"/>
        </w:rPr>
        <w:t>rio de Inteligencia, Hugo Alfredo Anzorreguy, la entrega de esa suma de dinero, siendo esa secretaría de Estado, a través de sus agentes Patricio Miguel Finnen y Alejandro Alberto Brousson, la que se encargó de instrumentar el p</w:t>
      </w:r>
      <w:r w:rsidRPr="005C7FCF">
        <w:rPr>
          <w:highlight w:val="yellow"/>
        </w:rPr>
        <w:t>a</w:t>
      </w:r>
      <w:r w:rsidRPr="005C7FCF">
        <w:rPr>
          <w:highlight w:val="yellow"/>
        </w:rPr>
        <w:t>go.</w:t>
      </w:r>
    </w:p>
    <w:p w:rsidR="00224567" w:rsidRDefault="00224567">
      <w:pPr>
        <w:pStyle w:val="Textoindependiente"/>
        <w:spacing w:line="600" w:lineRule="auto"/>
        <w:ind w:firstLine="2835"/>
      </w:pPr>
      <w:r>
        <w:t>Señaló que Brousson aconsejó que la e</w:t>
      </w:r>
      <w:r>
        <w:t>n</w:t>
      </w:r>
      <w:r>
        <w:t>trega del dinero se efectuara en cuotas, de modo de verif</w:t>
      </w:r>
      <w:r>
        <w:t>i</w:t>
      </w:r>
      <w:r>
        <w:t>car la información que habría de aportar Carlos Alberto T</w:t>
      </w:r>
      <w:r>
        <w:t>e</w:t>
      </w:r>
      <w:r>
        <w:t xml:space="preserve">lleldín, a lo cual el juez se opuso, argumentando que el </w:t>
      </w:r>
      <w:r>
        <w:lastRenderedPageBreak/>
        <w:t xml:space="preserve">imputado no lo aceptaría. Pese a todo, agregó, </w:t>
      </w:r>
      <w:smartTag w:uri="urn:schemas-microsoft-com:office:smarttags" w:element="PersonName">
        <w:smartTagPr>
          <w:attr w:name="ProductID" w:val="la S.I"/>
        </w:smartTagPr>
        <w:r>
          <w:t>la S.I</w:t>
        </w:r>
      </w:smartTag>
      <w:r>
        <w:t>.D.E. nunca pudo verificar, ni analizar el contenido de la ve</w:t>
      </w:r>
      <w:r>
        <w:t>r</w:t>
      </w:r>
      <w:r>
        <w:t>sión de Telleldín en la causa, ya que el juez sólo le enc</w:t>
      </w:r>
      <w:r>
        <w:t>o</w:t>
      </w:r>
      <w:r>
        <w:t>me</w:t>
      </w:r>
      <w:r>
        <w:t>n</w:t>
      </w:r>
      <w:r>
        <w:t>dó la instrumentación del pago.</w:t>
      </w:r>
    </w:p>
    <w:p w:rsidR="00224567" w:rsidRDefault="00224567">
      <w:pPr>
        <w:widowControl w:val="0"/>
        <w:tabs>
          <w:tab w:val="left" w:pos="0"/>
        </w:tabs>
        <w:ind w:firstLine="2835"/>
      </w:pPr>
      <w:r>
        <w:t>Afirmó que toda la decisión, de acue</w:t>
      </w:r>
      <w:r>
        <w:t>r</w:t>
      </w:r>
      <w:r>
        <w:t>do a los testimonios obtenidos en el debate, rec</w:t>
      </w:r>
      <w:r>
        <w:t>a</w:t>
      </w:r>
      <w:r>
        <w:t xml:space="preserve">yó en el juez instructor, en tanto que la función de </w:t>
      </w:r>
      <w:smartTag w:uri="urn:schemas-microsoft-com:office:smarttags" w:element="PersonName">
        <w:smartTagPr>
          <w:attr w:name="ProductID" w:val="la S.I"/>
        </w:smartTagPr>
        <w:r>
          <w:t>la S.I</w:t>
        </w:r>
      </w:smartTag>
      <w:r>
        <w:t>.D.E. consistió en llevar adelante de la mejor manera la e</w:t>
      </w:r>
      <w:r>
        <w:t>n</w:t>
      </w:r>
      <w:r>
        <w:t xml:space="preserve">trega del dinero a manos de Ana María Boragni. </w:t>
      </w:r>
    </w:p>
    <w:p w:rsidR="00224567" w:rsidRDefault="00224567">
      <w:pPr>
        <w:widowControl w:val="0"/>
        <w:tabs>
          <w:tab w:val="left" w:pos="0"/>
        </w:tabs>
        <w:ind w:firstLine="2835"/>
      </w:pPr>
      <w:r>
        <w:t>Prueba de que se pago a Carlos Albe</w:t>
      </w:r>
      <w:r>
        <w:t>r</w:t>
      </w:r>
      <w:r>
        <w:t>to Telleldín para que ampliara su declaración, resultó el operativo que se montó para llevar a cabo la entrega del dinero. Al respecto, dijo que en oportunidad de presenta</w:t>
      </w:r>
      <w:r>
        <w:t>r</w:t>
      </w:r>
      <w:r>
        <w:t xml:space="preserve">se el imputado en el juzgado para ampliar su declaración indagatoria, el agente de </w:t>
      </w:r>
      <w:smartTag w:uri="urn:schemas-microsoft-com:office:smarttags" w:element="PersonName">
        <w:smartTagPr>
          <w:attr w:name="ProductID" w:val="la S.I"/>
        </w:smartTagPr>
        <w:r>
          <w:t>la S.I</w:t>
        </w:r>
      </w:smartTag>
      <w:r>
        <w:t>.D.E. Ca</w:t>
      </w:r>
      <w:r>
        <w:t>r</w:t>
      </w:r>
      <w:r>
        <w:t>los Aníbal Molina Quiroga, le facilitó un teléfono c</w:t>
      </w:r>
      <w:r>
        <w:t>e</w:t>
      </w:r>
      <w:r>
        <w:t>lular, con el objeto de que tuviera la expresa confirmación de Ana María Boragni en el preciso instante en que había recibido el dinero. Como cons</w:t>
      </w:r>
      <w:r>
        <w:t>e</w:t>
      </w:r>
      <w:r>
        <w:t>cuencia del aviso de su concubina, el 5 de julio de 1996 Telleldín firmó la declaración indagatoria instr</w:t>
      </w:r>
      <w:r>
        <w:t>u</w:t>
      </w:r>
      <w:r>
        <w:lastRenderedPageBreak/>
        <w:t>mentada en la ca</w:t>
      </w:r>
      <w:r>
        <w:t>u</w:t>
      </w:r>
      <w:r>
        <w:t>sa.</w:t>
      </w:r>
    </w:p>
    <w:p w:rsidR="00224567" w:rsidRDefault="00224567">
      <w:pPr>
        <w:widowControl w:val="0"/>
        <w:tabs>
          <w:tab w:val="left" w:pos="0"/>
        </w:tabs>
        <w:ind w:firstLine="2835"/>
      </w:pPr>
      <w:r>
        <w:t>Descartó la justificación que se qu</w:t>
      </w:r>
      <w:r>
        <w:t>i</w:t>
      </w:r>
      <w:r>
        <w:t>so invocar en el sentido de que el dinero tenía como propós</w:t>
      </w:r>
      <w:r>
        <w:t>i</w:t>
      </w:r>
      <w:r>
        <w:t>to garantizar la seguridad del imputado y su familia, puesto que la custodia que en forma encubierta se le había asignado a Ana María Boragni, cesó precis</w:t>
      </w:r>
      <w:r>
        <w:t>a</w:t>
      </w:r>
      <w:r>
        <w:t>mente cuando la lógica indicaba que ésta debía incrementarse; esto es, luego de que Telleldín amplió su declaración realizando imputaciones a los policías bona</w:t>
      </w:r>
      <w:r>
        <w:t>e</w:t>
      </w:r>
      <w:r>
        <w:t xml:space="preserve">renses. </w:t>
      </w:r>
    </w:p>
    <w:p w:rsidR="00224567" w:rsidRDefault="00224567">
      <w:pPr>
        <w:widowControl w:val="0"/>
        <w:tabs>
          <w:tab w:val="left" w:pos="0"/>
        </w:tabs>
        <w:ind w:firstLine="2835"/>
      </w:pPr>
      <w:r>
        <w:t>En orden al alegado propósito de s</w:t>
      </w:r>
      <w:r>
        <w:t>a</w:t>
      </w:r>
      <w:r>
        <w:t>car a Telleldín del país para garantizar su seguridad, r</w:t>
      </w:r>
      <w:r>
        <w:t>e</w:t>
      </w:r>
      <w:r>
        <w:t>saltó que ello nunca se instrumentó y que no existió dato alguno que indicara que tal finalidad tuvo un m</w:t>
      </w:r>
      <w:r>
        <w:t>í</w:t>
      </w:r>
      <w:r>
        <w:t>nimo de seriedad o fue, cuanto menos, discutida.</w:t>
      </w:r>
    </w:p>
    <w:p w:rsidR="00224567" w:rsidRDefault="00224567">
      <w:pPr>
        <w:widowControl w:val="0"/>
        <w:tabs>
          <w:tab w:val="left" w:pos="0"/>
        </w:tabs>
        <w:ind w:firstLine="2835"/>
      </w:pPr>
      <w:r>
        <w:t>Entendió que antes del pago, fue dej</w:t>
      </w:r>
      <w:r>
        <w:t>a</w:t>
      </w:r>
      <w:r>
        <w:t>da de lado la idea de comprar los derechos de autor de Carlos Alberto Telleldín por un libro que estaba escr</w:t>
      </w:r>
      <w:r>
        <w:t>i</w:t>
      </w:r>
      <w:r>
        <w:t>biendo, conforme lo sostuvo en el debate Patricio Miguel Finnen, al referir que el juez lo había llamado solicitá</w:t>
      </w:r>
      <w:r>
        <w:t>n</w:t>
      </w:r>
      <w:r>
        <w:t>dole el dinero por cuanto “lo del libro no había salido”.</w:t>
      </w:r>
    </w:p>
    <w:p w:rsidR="00224567" w:rsidRDefault="00224567">
      <w:pPr>
        <w:widowControl w:val="0"/>
        <w:tabs>
          <w:tab w:val="left" w:pos="0"/>
        </w:tabs>
        <w:ind w:firstLine="2835"/>
      </w:pPr>
      <w:r w:rsidRPr="005C7FCF">
        <w:rPr>
          <w:highlight w:val="green"/>
        </w:rPr>
        <w:t>De igual manera, señaló la convers</w:t>
      </w:r>
      <w:r w:rsidRPr="005C7FCF">
        <w:rPr>
          <w:highlight w:val="green"/>
        </w:rPr>
        <w:t>a</w:t>
      </w:r>
      <w:r w:rsidRPr="005C7FCF">
        <w:rPr>
          <w:highlight w:val="green"/>
        </w:rPr>
        <w:lastRenderedPageBreak/>
        <w:t>ción telefónica mantenida por José Fernando Mariano Pere</w:t>
      </w:r>
      <w:r w:rsidRPr="005C7FCF">
        <w:rPr>
          <w:highlight w:val="green"/>
        </w:rPr>
        <w:t>y</w:t>
      </w:r>
      <w:r w:rsidRPr="005C7FCF">
        <w:rPr>
          <w:highlight w:val="green"/>
        </w:rPr>
        <w:t>ra, secretario del juzgado instructor, en la que éste m</w:t>
      </w:r>
      <w:r w:rsidRPr="005C7FCF">
        <w:rPr>
          <w:highlight w:val="green"/>
        </w:rPr>
        <w:t>a</w:t>
      </w:r>
      <w:r w:rsidRPr="005C7FCF">
        <w:rPr>
          <w:highlight w:val="green"/>
        </w:rPr>
        <w:t>nifestó que se había decidido que el dinero no “salía” de la editorial sino del Estado.</w:t>
      </w:r>
      <w:r>
        <w:t xml:space="preserve"> </w:t>
      </w:r>
    </w:p>
    <w:p w:rsidR="00224567" w:rsidRDefault="00224567">
      <w:pPr>
        <w:widowControl w:val="0"/>
        <w:tabs>
          <w:tab w:val="left" w:pos="0"/>
        </w:tabs>
        <w:ind w:firstLine="2835"/>
      </w:pPr>
      <w:r>
        <w:t>Calificó de sugestiva la prese</w:t>
      </w:r>
      <w:r>
        <w:t>n</w:t>
      </w:r>
      <w:r>
        <w:t>tación de un pedido de recompensa formulado por la defensa de T</w:t>
      </w:r>
      <w:r>
        <w:t>e</w:t>
      </w:r>
      <w:r>
        <w:t>lleldín el día 6 de mayo de 1997, invocando el decreto 2023/94 y su colaboración para el procesamiento de los imputados Ribelli, Ibarra, Bareiro y Leal, por cuanto la incidencia procesal ocurrió poco tiempo después de que se hiciera pública la aparición del video que daba cuenta de la entrevista mantenida entre el juez Galeano y el imp</w:t>
      </w:r>
      <w:r>
        <w:t>u</w:t>
      </w:r>
      <w:r>
        <w:t>tado Telleldín, y a esa altura los intervinientes en el trámite –juez e imputado- t</w:t>
      </w:r>
      <w:r>
        <w:t>e</w:t>
      </w:r>
      <w:r>
        <w:t>nían efectivo conocimiento de que el pago se había re</w:t>
      </w:r>
      <w:r>
        <w:t>a</w:t>
      </w:r>
      <w:r>
        <w:t>lizado.</w:t>
      </w:r>
    </w:p>
    <w:p w:rsidR="00224567" w:rsidRDefault="00224567">
      <w:pPr>
        <w:widowControl w:val="0"/>
        <w:tabs>
          <w:tab w:val="left" w:pos="0"/>
        </w:tabs>
        <w:ind w:firstLine="2835"/>
      </w:pPr>
      <w:r>
        <w:t>Enfatizó, que se trató de un pago oculto e ilegal. Dijo que se pudo haber salvaguardado la cuestión dejando debida constancia en un legajo s</w:t>
      </w:r>
      <w:r>
        <w:t>e</w:t>
      </w:r>
      <w:r>
        <w:t>creto o reservado, como muchos de los que tramitaron en la etapa instructoria.</w:t>
      </w:r>
    </w:p>
    <w:p w:rsidR="00224567" w:rsidRDefault="00224567">
      <w:pPr>
        <w:pStyle w:val="Sangradetextonormal"/>
        <w:widowControl w:val="0"/>
        <w:tabs>
          <w:tab w:val="left" w:pos="0"/>
        </w:tabs>
        <w:ind w:firstLine="2835"/>
      </w:pPr>
      <w:r>
        <w:lastRenderedPageBreak/>
        <w:t>Resaltó que no sólo en ningún tramo del expediente se asentó dicha circunstancia sino que, además, existen sospechas de que se habría tergiversado el contenido de alguna constancia para omitir, deliberadame</w:t>
      </w:r>
      <w:r>
        <w:t>n</w:t>
      </w:r>
      <w:r>
        <w:t>te, plasmar lo realmente aco</w:t>
      </w:r>
      <w:r>
        <w:t>n</w:t>
      </w:r>
      <w:r>
        <w:t>tecido.</w:t>
      </w:r>
    </w:p>
    <w:p w:rsidR="00224567" w:rsidRDefault="00224567">
      <w:pPr>
        <w:pStyle w:val="Sangradetextonormal"/>
        <w:widowControl w:val="0"/>
        <w:tabs>
          <w:tab w:val="left" w:pos="0"/>
        </w:tabs>
        <w:ind w:firstLine="2835"/>
      </w:pPr>
      <w:r>
        <w:t>Producto de este accionar jurisdicci</w:t>
      </w:r>
      <w:r>
        <w:t>o</w:t>
      </w:r>
      <w:r>
        <w:t>nal, adoptado con las mejores inte</w:t>
      </w:r>
      <w:r>
        <w:t>n</w:t>
      </w:r>
      <w:r>
        <w:t>ciones de avanzar en la pesquisa pero no por ello menos il</w:t>
      </w:r>
      <w:r>
        <w:t>e</w:t>
      </w:r>
      <w:r>
        <w:t>gal, es que se dejó en manos de Carlos Alberto Telleldín “la llave que abría o cerraba a su antojo, la posibilidad de contar con eleme</w:t>
      </w:r>
      <w:r>
        <w:t>n</w:t>
      </w:r>
      <w:r>
        <w:t>tos de juicio p</w:t>
      </w:r>
      <w:r>
        <w:t>a</w:t>
      </w:r>
      <w:r>
        <w:t>ra dilucidar este delicado tema”.</w:t>
      </w:r>
    </w:p>
    <w:p w:rsidR="00224567" w:rsidRDefault="00224567">
      <w:pPr>
        <w:pStyle w:val="Sangradetextonormal"/>
        <w:widowControl w:val="0"/>
        <w:tabs>
          <w:tab w:val="left" w:pos="0"/>
        </w:tabs>
        <w:ind w:firstLine="2835"/>
      </w:pPr>
      <w:r>
        <w:t>Consideró que el juez nada debía neg</w:t>
      </w:r>
      <w:r>
        <w:t>o</w:t>
      </w:r>
      <w:r>
        <w:t>ciar para que Telleldín ampliara su declaración indagat</w:t>
      </w:r>
      <w:r>
        <w:t>o</w:t>
      </w:r>
      <w:r>
        <w:t>ria, añadiendo que “no se debió haber pagado ya que el juez contaba con los elementos que Telleldín le volcó en la cuestionada declaración indagatoria. Bastaba que doc</w:t>
      </w:r>
      <w:r>
        <w:t>u</w:t>
      </w:r>
      <w:r>
        <w:t>mentara el contenido de los videos y a partir de allí s</w:t>
      </w:r>
      <w:r>
        <w:t>e</w:t>
      </w:r>
      <w:r>
        <w:t>guir la investigación. P</w:t>
      </w:r>
      <w:r>
        <w:t>e</w:t>
      </w:r>
      <w:r>
        <w:t>ro, si en definitiva entendió que igual debió haber pagado, porque él era el juez en ese m</w:t>
      </w:r>
      <w:r>
        <w:t>o</w:t>
      </w:r>
      <w:r>
        <w:t>mento, no nosotros, el marco adecuado lo era el decreto 2023/94, que injustificadamente fue d</w:t>
      </w:r>
      <w:r>
        <w:t>e</w:t>
      </w:r>
      <w:r>
        <w:t>jado de lado”.</w:t>
      </w:r>
    </w:p>
    <w:p w:rsidR="00224567" w:rsidRDefault="00224567">
      <w:pPr>
        <w:pStyle w:val="Sangradetextonormal"/>
        <w:widowControl w:val="0"/>
        <w:tabs>
          <w:tab w:val="left" w:pos="0"/>
        </w:tabs>
        <w:ind w:firstLine="2835"/>
      </w:pPr>
      <w:r w:rsidRPr="005C7FCF">
        <w:rPr>
          <w:highlight w:val="yellow"/>
        </w:rPr>
        <w:lastRenderedPageBreak/>
        <w:t>En consecuencia, el fiscal sol</w:t>
      </w:r>
      <w:r w:rsidRPr="005C7FCF">
        <w:rPr>
          <w:highlight w:val="yellow"/>
        </w:rPr>
        <w:t>i</w:t>
      </w:r>
      <w:r w:rsidRPr="005C7FCF">
        <w:rPr>
          <w:highlight w:val="yellow"/>
        </w:rPr>
        <w:t>citó la nulidad de la declaración indagatoria pre</w:t>
      </w:r>
      <w:r w:rsidRPr="005C7FCF">
        <w:rPr>
          <w:highlight w:val="yellow"/>
        </w:rPr>
        <w:t>s</w:t>
      </w:r>
      <w:r w:rsidRPr="005C7FCF">
        <w:rPr>
          <w:highlight w:val="yellow"/>
        </w:rPr>
        <w:t>tada por Carlos Alberto Telleldín el 5 de julio de 1996 por haber sido d</w:t>
      </w:r>
      <w:r w:rsidRPr="005C7FCF">
        <w:rPr>
          <w:highlight w:val="yellow"/>
        </w:rPr>
        <w:t>e</w:t>
      </w:r>
      <w:r w:rsidRPr="005C7FCF">
        <w:rPr>
          <w:highlight w:val="yellow"/>
        </w:rPr>
        <w:t>terminado a declarar contra su voluntad, valiéndose para ello de un pago de 400.000 dólares o pesos</w:t>
      </w:r>
      <w:r>
        <w:t xml:space="preserve"> (art. 167, inc. 3º, 168 y 296 del C.P.P.N.) </w:t>
      </w:r>
      <w:r w:rsidRPr="005C7FCF">
        <w:rPr>
          <w:highlight w:val="yellow"/>
        </w:rPr>
        <w:t>y requirió, además, que se d</w:t>
      </w:r>
      <w:r w:rsidRPr="005C7FCF">
        <w:rPr>
          <w:highlight w:val="yellow"/>
        </w:rPr>
        <w:t>e</w:t>
      </w:r>
      <w:r w:rsidRPr="005C7FCF">
        <w:rPr>
          <w:highlight w:val="yellow"/>
        </w:rPr>
        <w:t>jara sin efecto el embargo oportunamente dispuesto sobre su persona, procediendo sin más tramite a la incautación de esa suma de dinero para su restitución a las arcas del Estado Nacional, por haber sido obtenido como provecho del delito com</w:t>
      </w:r>
      <w:r w:rsidRPr="005C7FCF">
        <w:rPr>
          <w:highlight w:val="yellow"/>
        </w:rPr>
        <w:t>e</w:t>
      </w:r>
      <w:r w:rsidRPr="005C7FCF">
        <w:rPr>
          <w:highlight w:val="yellow"/>
        </w:rPr>
        <w:t>tido (art. 23 del</w:t>
      </w:r>
      <w:r>
        <w:t xml:space="preserve"> C.P.). </w:t>
      </w:r>
    </w:p>
    <w:p w:rsidR="00224567" w:rsidRDefault="00224567">
      <w:pPr>
        <w:pStyle w:val="Sangradetextonormal"/>
        <w:widowControl w:val="0"/>
        <w:tabs>
          <w:tab w:val="left" w:pos="0"/>
        </w:tabs>
        <w:ind w:firstLine="2835"/>
      </w:pPr>
      <w:r w:rsidRPr="00BE188E">
        <w:rPr>
          <w:highlight w:val="yellow"/>
        </w:rPr>
        <w:t>Sin perjuicio de lo expuesto con rel</w:t>
      </w:r>
      <w:r w:rsidRPr="00BE188E">
        <w:rPr>
          <w:highlight w:val="yellow"/>
        </w:rPr>
        <w:t>a</w:t>
      </w:r>
      <w:r w:rsidRPr="00BE188E">
        <w:rPr>
          <w:highlight w:val="yellow"/>
        </w:rPr>
        <w:t>ción al acreditado pago a Carlos Alberto Telleldín, el fiscal remarcó que concurren elementos independientes de la declaración cuya nulidad solicitó, que conforman un cuadro convictivo que acredita la responsab</w:t>
      </w:r>
      <w:r w:rsidRPr="00BE188E">
        <w:rPr>
          <w:highlight w:val="yellow"/>
        </w:rPr>
        <w:t>i</w:t>
      </w:r>
      <w:r w:rsidRPr="00BE188E">
        <w:rPr>
          <w:highlight w:val="yellow"/>
        </w:rPr>
        <w:t>lidad de Juan José Ribelli, Anastasio Ireneo Leal, Mario Norberto Bare</w:t>
      </w:r>
      <w:r w:rsidRPr="00BE188E">
        <w:rPr>
          <w:highlight w:val="yellow"/>
        </w:rPr>
        <w:t>i</w:t>
      </w:r>
      <w:r w:rsidRPr="00BE188E">
        <w:rPr>
          <w:highlight w:val="yellow"/>
        </w:rPr>
        <w:t>ro y Raúl Edilio Ibarra en el atentado terrori</w:t>
      </w:r>
      <w:r w:rsidRPr="00BE188E">
        <w:rPr>
          <w:highlight w:val="yellow"/>
        </w:rPr>
        <w:t>s</w:t>
      </w:r>
      <w:r w:rsidRPr="00BE188E">
        <w:rPr>
          <w:highlight w:val="yellow"/>
        </w:rPr>
        <w:t>ta.</w:t>
      </w:r>
    </w:p>
    <w:p w:rsidR="00224567" w:rsidRDefault="00224567">
      <w:pPr>
        <w:pStyle w:val="Sangradetextonormal"/>
        <w:widowControl w:val="0"/>
        <w:tabs>
          <w:tab w:val="left" w:pos="0"/>
        </w:tabs>
        <w:ind w:firstLine="2835"/>
      </w:pPr>
      <w:r>
        <w:t>Quedó demostrado, a juicio de la fi</w:t>
      </w:r>
      <w:r>
        <w:t>s</w:t>
      </w:r>
      <w:r>
        <w:t xml:space="preserve">calía, </w:t>
      </w:r>
      <w:r w:rsidRPr="00BE188E">
        <w:rPr>
          <w:highlight w:val="yellow"/>
        </w:rPr>
        <w:t xml:space="preserve">que el 10 de julio de </w:t>
      </w:r>
      <w:smartTag w:uri="urn:schemas-microsoft-com:office:smarttags" w:element="metricconverter">
        <w:smartTagPr>
          <w:attr w:name="ProductID" w:val="1994, a"/>
        </w:smartTagPr>
        <w:r w:rsidRPr="00BE188E">
          <w:rPr>
            <w:highlight w:val="yellow"/>
          </w:rPr>
          <w:t>1994, a</w:t>
        </w:r>
      </w:smartTag>
      <w:r w:rsidRPr="00BE188E">
        <w:rPr>
          <w:highlight w:val="yellow"/>
        </w:rPr>
        <w:t xml:space="preserve"> las 14.30, en el d</w:t>
      </w:r>
      <w:r w:rsidRPr="00BE188E">
        <w:rPr>
          <w:highlight w:val="yellow"/>
        </w:rPr>
        <w:t>o</w:t>
      </w:r>
      <w:r w:rsidRPr="00BE188E">
        <w:rPr>
          <w:highlight w:val="yellow"/>
        </w:rPr>
        <w:lastRenderedPageBreak/>
        <w:t>micilio de la calle República 107 de Villa Ballester, Ca</w:t>
      </w:r>
      <w:r w:rsidRPr="00BE188E">
        <w:rPr>
          <w:highlight w:val="yellow"/>
        </w:rPr>
        <w:t>r</w:t>
      </w:r>
      <w:r w:rsidRPr="00BE188E">
        <w:rPr>
          <w:highlight w:val="yellow"/>
        </w:rPr>
        <w:t>los Alberto Telleldín entregó a Raúl Edilio Ibarra y a Anastasio Ireneo Leal</w:t>
      </w:r>
      <w:r>
        <w:t>, acompañados en esa oportunidad por otras personas cuyas ident</w:t>
      </w:r>
      <w:r>
        <w:t>i</w:t>
      </w:r>
      <w:r>
        <w:t>dades hasta la fecha no se pudo establecer, la c</w:t>
      </w:r>
      <w:r>
        <w:t>a</w:t>
      </w:r>
      <w:r>
        <w:t xml:space="preserve">mioneta Renault Trafic, motor colocado nº 2.831.467, debidamente acondicionada para soportar una carga explosiva de alrededor de </w:t>
      </w:r>
      <w:smartTag w:uri="urn:schemas-microsoft-com:office:smarttags" w:element="metricconverter">
        <w:smartTagPr>
          <w:attr w:name="ProductID" w:val="300 kg"/>
        </w:smartTagPr>
        <w:r>
          <w:t>300 kg</w:t>
        </w:r>
      </w:smartTag>
      <w:r>
        <w:t>, mediante el r</w:t>
      </w:r>
      <w:r>
        <w:t>e</w:t>
      </w:r>
      <w:r>
        <w:t>fuerzo de sus amortiguadores traseros, tal como le había sido encargada y a sabiendas del destino final que se le iba a dar.</w:t>
      </w:r>
    </w:p>
    <w:p w:rsidR="00224567" w:rsidRPr="00BE188E" w:rsidRDefault="00224567">
      <w:pPr>
        <w:pStyle w:val="Sangradetextonormal"/>
        <w:widowControl w:val="0"/>
        <w:tabs>
          <w:tab w:val="left" w:pos="0"/>
        </w:tabs>
        <w:ind w:firstLine="2835"/>
        <w:rPr>
          <w:highlight w:val="yellow"/>
        </w:rPr>
      </w:pPr>
      <w:r w:rsidRPr="00BE188E">
        <w:rPr>
          <w:highlight w:val="yellow"/>
        </w:rPr>
        <w:t>Sostuvo también, que en diversos tr</w:t>
      </w:r>
      <w:r w:rsidRPr="00BE188E">
        <w:rPr>
          <w:highlight w:val="yellow"/>
        </w:rPr>
        <w:t>a</w:t>
      </w:r>
      <w:r w:rsidRPr="00BE188E">
        <w:rPr>
          <w:highlight w:val="yellow"/>
        </w:rPr>
        <w:t>mos</w:t>
      </w:r>
      <w:r>
        <w:t xml:space="preserve"> </w:t>
      </w:r>
      <w:r w:rsidRPr="00BE188E">
        <w:rPr>
          <w:highlight w:val="yellow"/>
        </w:rPr>
        <w:t xml:space="preserve">del </w:t>
      </w:r>
      <w:r w:rsidRPr="00BE188E">
        <w:rPr>
          <w:highlight w:val="yellow"/>
          <w:u w:val="single"/>
        </w:rPr>
        <w:t>iter criminis</w:t>
      </w:r>
      <w:r w:rsidRPr="00BE188E">
        <w:rPr>
          <w:highlight w:val="yellow"/>
        </w:rPr>
        <w:t xml:space="preserve"> participaron Juan José Ribelli y M</w:t>
      </w:r>
      <w:r w:rsidRPr="00BE188E">
        <w:rPr>
          <w:highlight w:val="yellow"/>
        </w:rPr>
        <w:t>a</w:t>
      </w:r>
      <w:r w:rsidRPr="00BE188E">
        <w:rPr>
          <w:highlight w:val="yellow"/>
        </w:rPr>
        <w:t>rio Norberto Bareiro, quienes estaban al tanto de la e</w:t>
      </w:r>
      <w:r w:rsidRPr="00BE188E">
        <w:rPr>
          <w:highlight w:val="yellow"/>
        </w:rPr>
        <w:t>n</w:t>
      </w:r>
      <w:r w:rsidRPr="00BE188E">
        <w:rPr>
          <w:highlight w:val="yellow"/>
        </w:rPr>
        <w:t xml:space="preserve">trega de la camioneta. </w:t>
      </w:r>
    </w:p>
    <w:p w:rsidR="00224567" w:rsidRDefault="00224567">
      <w:pPr>
        <w:pStyle w:val="Sangradetextonormal"/>
        <w:widowControl w:val="0"/>
        <w:tabs>
          <w:tab w:val="left" w:pos="0"/>
        </w:tabs>
        <w:ind w:firstLine="2835"/>
      </w:pPr>
      <w:r w:rsidRPr="00BE188E">
        <w:rPr>
          <w:highlight w:val="yellow"/>
        </w:rPr>
        <w:t>Tales</w:t>
      </w:r>
      <w:r>
        <w:t xml:space="preserve"> </w:t>
      </w:r>
      <w:r w:rsidRPr="00BE188E">
        <w:rPr>
          <w:highlight w:val="yellow"/>
        </w:rPr>
        <w:t>conclusiones se desprenden, a juicio de la fiscalía, de los dichos que el imputado Ca</w:t>
      </w:r>
      <w:r w:rsidRPr="00BE188E">
        <w:rPr>
          <w:highlight w:val="yellow"/>
        </w:rPr>
        <w:t>r</w:t>
      </w:r>
      <w:r w:rsidRPr="00BE188E">
        <w:rPr>
          <w:highlight w:val="yellow"/>
        </w:rPr>
        <w:t>los Alberto Telleldín “viene vertiendo desde poco tiempo después de estar detenido” que, según su apreciación, p</w:t>
      </w:r>
      <w:r w:rsidRPr="00BE188E">
        <w:rPr>
          <w:highlight w:val="yellow"/>
        </w:rPr>
        <w:t>o</w:t>
      </w:r>
      <w:r w:rsidRPr="00BE188E">
        <w:rPr>
          <w:highlight w:val="yellow"/>
        </w:rPr>
        <w:t xml:space="preserve">dían reconstruirse a partir de las declaraciones de los periodistas del diario “Página </w:t>
      </w:r>
      <w:smartTag w:uri="urn:schemas-microsoft-com:office:smarttags" w:element="metricconverter">
        <w:smartTagPr>
          <w:attr w:name="ProductID" w:val="12”"/>
        </w:smartTagPr>
        <w:r w:rsidRPr="00BE188E">
          <w:rPr>
            <w:highlight w:val="yellow"/>
          </w:rPr>
          <w:t>12”</w:t>
        </w:r>
      </w:smartTag>
      <w:r w:rsidRPr="00BE188E">
        <w:rPr>
          <w:highlight w:val="yellow"/>
        </w:rPr>
        <w:t xml:space="preserve">, Raúl Kollmann y Román Lejtman, por haber sido los primeros que entrevistaron a </w:t>
      </w:r>
      <w:r w:rsidRPr="00BE188E">
        <w:rPr>
          <w:highlight w:val="yellow"/>
        </w:rPr>
        <w:lastRenderedPageBreak/>
        <w:t>Telleldín por teléfono en su lugar de detención. Los no</w:t>
      </w:r>
      <w:r w:rsidRPr="00BE188E">
        <w:rPr>
          <w:highlight w:val="yellow"/>
        </w:rPr>
        <w:t>m</w:t>
      </w:r>
      <w:r w:rsidRPr="00BE188E">
        <w:rPr>
          <w:highlight w:val="yellow"/>
        </w:rPr>
        <w:t>brados, afirmó, por las versiones</w:t>
      </w:r>
      <w:r>
        <w:t xml:space="preserve"> que habían recibido de boca de Telleldín, manejaron la versión de que la camion</w:t>
      </w:r>
      <w:r>
        <w:t>e</w:t>
      </w:r>
      <w:r>
        <w:t>ta había pasado por manos de los policías bonaerenses m</w:t>
      </w:r>
      <w:r>
        <w:t>u</w:t>
      </w:r>
      <w:r>
        <w:t>cho antes de que éstos fueran det</w:t>
      </w:r>
      <w:r>
        <w:t>e</w:t>
      </w:r>
      <w:r>
        <w:t>nidos.</w:t>
      </w:r>
    </w:p>
    <w:p w:rsidR="00224567" w:rsidRDefault="00224567">
      <w:pPr>
        <w:pStyle w:val="Sangradetextonormal"/>
        <w:widowControl w:val="0"/>
        <w:tabs>
          <w:tab w:val="left" w:pos="0"/>
        </w:tabs>
        <w:ind w:firstLine="2835"/>
      </w:pPr>
      <w:r>
        <w:t>Así fue como lo relató Kollmann en el debate, dijo el fiscal. Añadió el testigo que al pri</w:t>
      </w:r>
      <w:r>
        <w:t>n</w:t>
      </w:r>
      <w:r>
        <w:t>cipio Telleldín daba a entender dicha versión y que, a medida que el tiempo avanzaba, la manifestó sin ambages, prec</w:t>
      </w:r>
      <w:r>
        <w:t>i</w:t>
      </w:r>
      <w:r>
        <w:t>sando a quien había entregado la camioneta. Además, dijo el fiscal, Kollmann nunca creyó en la hipótesis de la ve</w:t>
      </w:r>
      <w:r>
        <w:t>n</w:t>
      </w:r>
      <w:r>
        <w:t>ta, conforme lo declarado en el d</w:t>
      </w:r>
      <w:r>
        <w:t>e</w:t>
      </w:r>
      <w:r>
        <w:t>bate.</w:t>
      </w:r>
    </w:p>
    <w:p w:rsidR="00224567" w:rsidRDefault="00224567">
      <w:pPr>
        <w:pStyle w:val="Sangradetextonormal"/>
        <w:widowControl w:val="0"/>
        <w:tabs>
          <w:tab w:val="left" w:pos="0"/>
        </w:tabs>
        <w:ind w:firstLine="2835"/>
      </w:pPr>
      <w:r>
        <w:t>Abundó que el mencionado periodista conocía cómo era la operatoria de las bandas mixtas e</w:t>
      </w:r>
      <w:r>
        <w:t>n</w:t>
      </w:r>
      <w:r>
        <w:t>tre policías y ladrones de autos, agregando que “la relación que se daba entre Telleldín y el grupo de Ribelli enc</w:t>
      </w:r>
      <w:r>
        <w:t>a</w:t>
      </w:r>
      <w:r>
        <w:t>jaba perfectamente en esta mecánica, en esta relación ilegít</w:t>
      </w:r>
      <w:r>
        <w:t>i</w:t>
      </w:r>
      <w:r>
        <w:t>ma, en esta relación espuria de Telle</w:t>
      </w:r>
      <w:r>
        <w:t>l</w:t>
      </w:r>
      <w:r>
        <w:t>dín con el grupo de policías que le permitía delinquir a cambio del pago de una suma d</w:t>
      </w:r>
      <w:r>
        <w:t>i</w:t>
      </w:r>
      <w:r>
        <w:t>neraria”.</w:t>
      </w:r>
    </w:p>
    <w:p w:rsidR="00224567" w:rsidRDefault="00224567">
      <w:pPr>
        <w:pStyle w:val="Sangradetextonormal"/>
        <w:widowControl w:val="0"/>
        <w:tabs>
          <w:tab w:val="left" w:pos="0"/>
        </w:tabs>
        <w:ind w:firstLine="2835"/>
      </w:pPr>
      <w:r w:rsidRPr="00BE188E">
        <w:rPr>
          <w:highlight w:val="yellow"/>
        </w:rPr>
        <w:lastRenderedPageBreak/>
        <w:t>Fue claro Kollmann en la audiencia, alegó el fiscal, cuando dijo que con bastante antel</w:t>
      </w:r>
      <w:r w:rsidRPr="00BE188E">
        <w:rPr>
          <w:highlight w:val="yellow"/>
        </w:rPr>
        <w:t>a</w:t>
      </w:r>
      <w:r w:rsidRPr="00BE188E">
        <w:rPr>
          <w:highlight w:val="yellow"/>
        </w:rPr>
        <w:t>ción a las referencias que Telleldín hizo a Riva Aramayo –antes de agosto de 1995- éste les había adelantado a los peri</w:t>
      </w:r>
      <w:r w:rsidRPr="00BE188E">
        <w:rPr>
          <w:highlight w:val="yellow"/>
        </w:rPr>
        <w:t>o</w:t>
      </w:r>
      <w:r w:rsidRPr="00BE188E">
        <w:rPr>
          <w:highlight w:val="yellow"/>
        </w:rPr>
        <w:t>distas “la versión de la entrega a los policías”, ident</w:t>
      </w:r>
      <w:r w:rsidRPr="00BE188E">
        <w:rPr>
          <w:highlight w:val="yellow"/>
        </w:rPr>
        <w:t>i</w:t>
      </w:r>
      <w:r w:rsidRPr="00BE188E">
        <w:rPr>
          <w:highlight w:val="yellow"/>
        </w:rPr>
        <w:t>ficando a uno de ellos como “Pino”. En el debate, señaló el fiscal, “de manera demoledora quedó demostrado que P</w:t>
      </w:r>
      <w:r w:rsidRPr="00BE188E">
        <w:rPr>
          <w:highlight w:val="yellow"/>
        </w:rPr>
        <w:t>i</w:t>
      </w:r>
      <w:r w:rsidRPr="00BE188E">
        <w:rPr>
          <w:highlight w:val="yellow"/>
        </w:rPr>
        <w:t>no no es otro que el aquí imputado, el aquí procesado, Ana</w:t>
      </w:r>
      <w:r w:rsidRPr="00BE188E">
        <w:rPr>
          <w:highlight w:val="yellow"/>
        </w:rPr>
        <w:t>s</w:t>
      </w:r>
      <w:r w:rsidRPr="00BE188E">
        <w:rPr>
          <w:highlight w:val="yellow"/>
        </w:rPr>
        <w:t>tasio Ireneo Leal”.</w:t>
      </w:r>
    </w:p>
    <w:p w:rsidR="00224567" w:rsidRDefault="00224567">
      <w:pPr>
        <w:pStyle w:val="Sangradetextonormal"/>
        <w:widowControl w:val="0"/>
        <w:tabs>
          <w:tab w:val="left" w:pos="0"/>
        </w:tabs>
        <w:ind w:firstLine="2835"/>
      </w:pPr>
      <w:r>
        <w:t>Asimismo, afirmó que al ser pregunt</w:t>
      </w:r>
      <w:r>
        <w:t>a</w:t>
      </w:r>
      <w:r>
        <w:t>do el testigo Kollmann acerca del video que d</w:t>
      </w:r>
      <w:r>
        <w:t>a</w:t>
      </w:r>
      <w:r>
        <w:t>ba cuenta de la entrevista entre el juez y el imputado, aquél d</w:t>
      </w:r>
      <w:r>
        <w:t>i</w:t>
      </w:r>
      <w:r>
        <w:t>jo que “si bien le sorprendió haber visto esa imagen en la tele, el contenido en modo alguno le sorprendió porque se compad</w:t>
      </w:r>
      <w:r>
        <w:t>e</w:t>
      </w:r>
      <w:r>
        <w:t>cía absolutamente con todo lo que Telleldín le venía man</w:t>
      </w:r>
      <w:r>
        <w:t>i</w:t>
      </w:r>
      <w:r>
        <w:t xml:space="preserve">festando en las charlas previas”, aludiendo a la entrega de </w:t>
      </w:r>
      <w:smartTag w:uri="urn:schemas-microsoft-com:office:smarttags" w:element="PersonName">
        <w:smartTagPr>
          <w:attr w:name="ProductID" w:val="la Trafic"/>
        </w:smartTagPr>
        <w:r>
          <w:t>la Trafic</w:t>
        </w:r>
      </w:smartTag>
      <w:r>
        <w:t xml:space="preserve"> a los policías bona</w:t>
      </w:r>
      <w:r>
        <w:t>e</w:t>
      </w:r>
      <w:r>
        <w:t>renses.</w:t>
      </w:r>
    </w:p>
    <w:p w:rsidR="00224567" w:rsidRDefault="00224567">
      <w:pPr>
        <w:pStyle w:val="Sangradetextonormal"/>
        <w:widowControl w:val="0"/>
        <w:tabs>
          <w:tab w:val="left" w:pos="0"/>
        </w:tabs>
        <w:ind w:firstLine="2835"/>
      </w:pPr>
      <w:r>
        <w:t>En igual sentido, prosiguió el fi</w:t>
      </w:r>
      <w:r>
        <w:t>s</w:t>
      </w:r>
      <w:r>
        <w:t>cal, el testigo refirió que en una charla con Eduardo Telle</w:t>
      </w:r>
      <w:r>
        <w:t>l</w:t>
      </w:r>
      <w:r>
        <w:t xml:space="preserve">dín, éste le comentó que a su hermano Carlos “lo estaban apretando ese domingo, pero no por la entrega de un auto </w:t>
      </w:r>
      <w:r>
        <w:lastRenderedPageBreak/>
        <w:t>Renault 19, como se hablaba, sino concretamente por la e</w:t>
      </w:r>
      <w:r>
        <w:t>n</w:t>
      </w:r>
      <w:r>
        <w:t>trega de una camioneta Renault Trafic”. Asimismo, el ac</w:t>
      </w:r>
      <w:r>
        <w:t>u</w:t>
      </w:r>
      <w:r>
        <w:t>sador destacó que Mario Norberto Bareiro y Diego Barreda admitieron ese extremo a Kollmann en oportunidad de entr</w:t>
      </w:r>
      <w:r>
        <w:t>e</w:t>
      </w:r>
      <w:r>
        <w:t>vistarse con ellos, cuando confesaron “que el apri</w:t>
      </w:r>
      <w:r>
        <w:t>e</w:t>
      </w:r>
      <w:r>
        <w:t>te –fue el término que utilizó- que se estaba realizando a Telle</w:t>
      </w:r>
      <w:r>
        <w:t>l</w:t>
      </w:r>
      <w:r>
        <w:t xml:space="preserve">dín en el mes de julio era por </w:t>
      </w:r>
      <w:smartTag w:uri="urn:schemas-microsoft-com:office:smarttags" w:element="PersonName">
        <w:smartTagPr>
          <w:attr w:name="ProductID" w:val="la Trafic"/>
        </w:smartTagPr>
        <w:r>
          <w:t>la Trafic</w:t>
        </w:r>
      </w:smartTag>
      <w:r>
        <w:t xml:space="preserve"> y que </w:t>
      </w:r>
      <w:smartTag w:uri="urn:schemas-microsoft-com:office:smarttags" w:element="PersonName">
        <w:smartTagPr>
          <w:attr w:name="ProductID" w:val="la Trafic"/>
        </w:smartTagPr>
        <w:r>
          <w:t>la Trafic</w:t>
        </w:r>
      </w:smartTag>
      <w:r>
        <w:t xml:space="preserve"> pasó a manos de policías bona</w:t>
      </w:r>
      <w:r>
        <w:t>e</w:t>
      </w:r>
      <w:r>
        <w:t>renses”.</w:t>
      </w:r>
    </w:p>
    <w:p w:rsidR="00224567" w:rsidRDefault="00224567">
      <w:pPr>
        <w:pStyle w:val="Sangradetextonormal"/>
        <w:widowControl w:val="0"/>
        <w:tabs>
          <w:tab w:val="left" w:pos="0"/>
        </w:tabs>
        <w:ind w:firstLine="2835"/>
      </w:pPr>
      <w:r w:rsidRPr="00BE188E">
        <w:rPr>
          <w:highlight w:val="yellow"/>
        </w:rPr>
        <w:t>Refirió el fiscal que Román Lej</w:t>
      </w:r>
      <w:r w:rsidRPr="00BE188E">
        <w:rPr>
          <w:highlight w:val="yellow"/>
        </w:rPr>
        <w:t>t</w:t>
      </w:r>
      <w:r w:rsidRPr="00BE188E">
        <w:rPr>
          <w:highlight w:val="yellow"/>
        </w:rPr>
        <w:t>man se pronunció en igual sentido que su colega y que las ci</w:t>
      </w:r>
      <w:r w:rsidRPr="00BE188E">
        <w:rPr>
          <w:highlight w:val="yellow"/>
        </w:rPr>
        <w:t>r</w:t>
      </w:r>
      <w:r w:rsidRPr="00BE188E">
        <w:rPr>
          <w:highlight w:val="yellow"/>
        </w:rPr>
        <w:t>cunstancias apuntadas por ambos fueron publicadas en las notas periodísticas exhibidas d</w:t>
      </w:r>
      <w:r w:rsidRPr="00BE188E">
        <w:rPr>
          <w:highlight w:val="yellow"/>
        </w:rPr>
        <w:t>u</w:t>
      </w:r>
      <w:r w:rsidRPr="00BE188E">
        <w:rPr>
          <w:highlight w:val="yellow"/>
        </w:rPr>
        <w:t>rante el alegato</w:t>
      </w:r>
      <w:r>
        <w:t>.</w:t>
      </w:r>
    </w:p>
    <w:p w:rsidR="00224567" w:rsidRDefault="00224567">
      <w:pPr>
        <w:pStyle w:val="Sangradetextonormal"/>
        <w:widowControl w:val="0"/>
        <w:tabs>
          <w:tab w:val="left" w:pos="0"/>
        </w:tabs>
        <w:ind w:firstLine="2835"/>
      </w:pPr>
      <w:r>
        <w:t>También mencionó el testimonio del p</w:t>
      </w:r>
      <w:r>
        <w:t>e</w:t>
      </w:r>
      <w:r>
        <w:t>riodista del diario Clarín, Gerardo Young, quien dijo que días antes de que Telleldín prestara declaración en el d</w:t>
      </w:r>
      <w:r>
        <w:t>e</w:t>
      </w:r>
      <w:r>
        <w:t>bate, éste lo llamó desde la unidad penitenciaria para d</w:t>
      </w:r>
      <w:r>
        <w:t>e</w:t>
      </w:r>
      <w:r>
        <w:t>cirle que “la camioneta se la había entregado la gente de Ribelli”. Agregó el fiscal que el imputado T</w:t>
      </w:r>
      <w:r>
        <w:t>e</w:t>
      </w:r>
      <w:r>
        <w:t>lleldín, más allá de las aclaraciones que efectuó sobre el punto, rec</w:t>
      </w:r>
      <w:r>
        <w:t>o</w:t>
      </w:r>
      <w:r>
        <w:t>noció d</w:t>
      </w:r>
      <w:r>
        <w:t>i</w:t>
      </w:r>
      <w:r>
        <w:t>cha entrevista.</w:t>
      </w:r>
    </w:p>
    <w:p w:rsidR="00224567" w:rsidRDefault="00224567">
      <w:pPr>
        <w:pStyle w:val="Sangradetextonormal"/>
        <w:widowControl w:val="0"/>
        <w:tabs>
          <w:tab w:val="left" w:pos="0"/>
        </w:tabs>
        <w:ind w:firstLine="2835"/>
      </w:pPr>
      <w:r>
        <w:lastRenderedPageBreak/>
        <w:t>El Dr. Nisman consideró que los d</w:t>
      </w:r>
      <w:r>
        <w:t>i</w:t>
      </w:r>
      <w:r>
        <w:t>chos de los periodistas, corroboran las versiones que Carlos Alberto Telleldín hizo saber a pa</w:t>
      </w:r>
      <w:r>
        <w:t>r</w:t>
      </w:r>
      <w:r>
        <w:t xml:space="preserve">tir del mes de agosto de </w:t>
      </w:r>
      <w:smartTag w:uri="urn:schemas-microsoft-com:office:smarttags" w:element="metricconverter">
        <w:smartTagPr>
          <w:attr w:name="ProductID" w:val="1995 a"/>
        </w:smartTagPr>
        <w:r>
          <w:t>1995 a</w:t>
        </w:r>
      </w:smartTag>
      <w:r>
        <w:t xml:space="preserve"> la entonces camarista María Luisa Riva Aramayo, conforme surge de las constancias que el juez instructor asentó en el expediente acerca de las referencias que la nombrada le man</w:t>
      </w:r>
      <w:r>
        <w:t>i</w:t>
      </w:r>
      <w:r>
        <w:t xml:space="preserve">festó. </w:t>
      </w:r>
    </w:p>
    <w:p w:rsidR="00224567" w:rsidRDefault="00224567">
      <w:pPr>
        <w:pStyle w:val="Sangradetextonormal"/>
        <w:widowControl w:val="0"/>
        <w:tabs>
          <w:tab w:val="left" w:pos="0"/>
        </w:tabs>
        <w:ind w:firstLine="2835"/>
      </w:pPr>
      <w:r>
        <w:t>De allí se desprende, señaló, que T</w:t>
      </w:r>
      <w:r>
        <w:t>e</w:t>
      </w:r>
      <w:r>
        <w:t xml:space="preserve">lleldín le dijo a la magistrada que Ramón Martínez, la persona que aparece en el boleto de compraventa como el adquirente de </w:t>
      </w:r>
      <w:smartTag w:uri="urn:schemas-microsoft-com:office:smarttags" w:element="PersonName">
        <w:smartTagPr>
          <w:attr w:name="ProductID" w:val="la Trafic"/>
        </w:smartTagPr>
        <w:r>
          <w:t>la Trafic</w:t>
        </w:r>
      </w:smartTag>
      <w:r>
        <w:t>, no existía; que el mencionado b</w:t>
      </w:r>
      <w:r>
        <w:t>o</w:t>
      </w:r>
      <w:r>
        <w:t xml:space="preserve">leto era falso y que la camioneta fue entregada a </w:t>
      </w:r>
      <w:smartTag w:uri="urn:schemas-microsoft-com:office:smarttags" w:element="PersonName">
        <w:smartTagPr>
          <w:attr w:name="ProductID" w:val="la Polic￭a"/>
        </w:smartTagPr>
        <w:r>
          <w:t>la Pol</w:t>
        </w:r>
        <w:r>
          <w:t>i</w:t>
        </w:r>
        <w:r>
          <w:t>cía</w:t>
        </w:r>
      </w:smartTag>
      <w:r>
        <w:t xml:space="preserve"> de </w:t>
      </w:r>
      <w:smartTag w:uri="urn:schemas-microsoft-com:office:smarttags" w:element="PersonName">
        <w:smartTagPr>
          <w:attr w:name="ProductID" w:val="la Provincia"/>
        </w:smartTagPr>
        <w:r>
          <w:t>la Provincia</w:t>
        </w:r>
      </w:smartTag>
      <w:r>
        <w:t xml:space="preserve"> de Buenos Aires, concretamente a una persona apodada “Pino”.</w:t>
      </w:r>
    </w:p>
    <w:p w:rsidR="00224567" w:rsidRDefault="00224567">
      <w:pPr>
        <w:pStyle w:val="Sangradetextonormal"/>
        <w:widowControl w:val="0"/>
        <w:tabs>
          <w:tab w:val="left" w:pos="0"/>
        </w:tabs>
        <w:ind w:firstLine="2835"/>
      </w:pPr>
      <w:r w:rsidRPr="00BE188E">
        <w:rPr>
          <w:highlight w:val="yellow"/>
        </w:rPr>
        <w:t>Esgrimió, además, que las imputaci</w:t>
      </w:r>
      <w:r w:rsidRPr="00BE188E">
        <w:rPr>
          <w:highlight w:val="yellow"/>
        </w:rPr>
        <w:t>o</w:t>
      </w:r>
      <w:r w:rsidRPr="00BE188E">
        <w:rPr>
          <w:highlight w:val="yellow"/>
        </w:rPr>
        <w:t>nes a los policías bonaerenses por parte de Carlos Telleldín no comenzaron con el pago, con Riva Aramayo, ni con los dichos de Kollmann y Lejtman, sino que mucho antes; esto es, con la declaración indagatoria de Carlos Alberto T</w:t>
      </w:r>
      <w:r w:rsidRPr="00BE188E">
        <w:rPr>
          <w:highlight w:val="yellow"/>
        </w:rPr>
        <w:t>e</w:t>
      </w:r>
      <w:r w:rsidRPr="00BE188E">
        <w:rPr>
          <w:highlight w:val="yellow"/>
        </w:rPr>
        <w:t>lleldín el 6 de agosto de 1994, nueve días después de su detención y apenas veinte del atentado. En esa oportun</w:t>
      </w:r>
      <w:r w:rsidRPr="00BE188E">
        <w:rPr>
          <w:highlight w:val="yellow"/>
        </w:rPr>
        <w:t>i</w:t>
      </w:r>
      <w:r w:rsidRPr="00BE188E">
        <w:rPr>
          <w:highlight w:val="yellow"/>
        </w:rPr>
        <w:lastRenderedPageBreak/>
        <w:t>dad, el imputado relató con lujo de detalles la persec</w:t>
      </w:r>
      <w:r w:rsidRPr="00BE188E">
        <w:rPr>
          <w:highlight w:val="yellow"/>
        </w:rPr>
        <w:t>u</w:t>
      </w:r>
      <w:r w:rsidRPr="00BE188E">
        <w:rPr>
          <w:highlight w:val="yellow"/>
        </w:rPr>
        <w:t>ción que sufrió por parte del personal policial el 14 de julio de 1994; la privación ilegal de la libertad de su compañero de trabajo Hugo Pérez y la entrega de la emba</w:t>
      </w:r>
      <w:r w:rsidRPr="00BE188E">
        <w:rPr>
          <w:highlight w:val="yellow"/>
        </w:rPr>
        <w:t>r</w:t>
      </w:r>
      <w:r w:rsidRPr="00BE188E">
        <w:rPr>
          <w:highlight w:val="yellow"/>
        </w:rPr>
        <w:t>cación “Gonzalo” al abogado J</w:t>
      </w:r>
      <w:r>
        <w:t xml:space="preserve">uan Alberto Bottegal, como producto de la extorsión de la que fue víctima por parte de </w:t>
      </w:r>
      <w:smartTag w:uri="urn:schemas-microsoft-com:office:smarttags" w:element="PersonName">
        <w:smartTagPr>
          <w:attr w:name="ProductID" w:val="la Brigada"/>
        </w:smartTagPr>
        <w:r>
          <w:t>la Brigada</w:t>
        </w:r>
      </w:smartTag>
      <w:r>
        <w:t xml:space="preserve"> de Vicente L</w:t>
      </w:r>
      <w:r>
        <w:t>ó</w:t>
      </w:r>
      <w:r>
        <w:t>pez.</w:t>
      </w:r>
    </w:p>
    <w:p w:rsidR="00224567" w:rsidRDefault="00224567">
      <w:pPr>
        <w:pStyle w:val="Sangradetextonormal"/>
        <w:widowControl w:val="0"/>
        <w:tabs>
          <w:tab w:val="left" w:pos="0"/>
        </w:tabs>
        <w:ind w:firstLine="2835"/>
      </w:pPr>
      <w:r>
        <w:t>Sostuvo la fiscalía, entonces, que la prueba que surgió a partir de la declaración indagatoria puesta en crisis “estaba desde muchísimo tiempo antes: e</w:t>
      </w:r>
      <w:r>
        <w:t>s</w:t>
      </w:r>
      <w:r>
        <w:t>taba en boca de los periodistas, estaba en boca de Riva Aramayo y estaba volcada en el mismo expedie</w:t>
      </w:r>
      <w:r>
        <w:t>n</w:t>
      </w:r>
      <w:r>
        <w:t>te”.</w:t>
      </w:r>
    </w:p>
    <w:p w:rsidR="00224567" w:rsidRDefault="00224567">
      <w:pPr>
        <w:pStyle w:val="Sangradetextonormal"/>
        <w:widowControl w:val="0"/>
        <w:tabs>
          <w:tab w:val="left" w:pos="0"/>
        </w:tabs>
        <w:ind w:firstLine="2835"/>
      </w:pPr>
      <w:r>
        <w:t>Por último, Carlos Alberto Telleldín sostuvo en el debate “que si bien no estaba cien por cie</w:t>
      </w:r>
      <w:r>
        <w:t>n</w:t>
      </w:r>
      <w:r>
        <w:t>to seguro, creía que Raúl Edilio Ibarra [era] la persona que estaba en el interior del vehículo Fiat D</w:t>
      </w:r>
      <w:r>
        <w:t>u</w:t>
      </w:r>
      <w:r>
        <w:t>na que el 10 de julio, cuando se llevan la camioneta estaba en la pue</w:t>
      </w:r>
      <w:r>
        <w:t>r</w:t>
      </w:r>
      <w:r>
        <w:t>ta de su casa” y que “creía que esa misma persona la vo</w:t>
      </w:r>
      <w:r>
        <w:t>l</w:t>
      </w:r>
      <w:r>
        <w:t xml:space="preserve">vió a ver en </w:t>
      </w:r>
      <w:smartTag w:uri="urn:schemas-microsoft-com:office:smarttags" w:element="PersonName">
        <w:smartTagPr>
          <w:attr w:name="ProductID" w:val="la Brigada"/>
        </w:smartTagPr>
        <w:r>
          <w:t>la Brigada</w:t>
        </w:r>
      </w:smartTag>
      <w:r>
        <w:t xml:space="preserve"> de Investig</w:t>
      </w:r>
      <w:r>
        <w:t>a</w:t>
      </w:r>
      <w:r>
        <w:t xml:space="preserve">ciones de Lanús”. Tal extremo, según dijo el fiscal, era muy probable porque </w:t>
      </w:r>
      <w:r>
        <w:lastRenderedPageBreak/>
        <w:t>Raúl Edilio Ibarra era subcomisario de esa dependencia p</w:t>
      </w:r>
      <w:r>
        <w:t>o</w:t>
      </w:r>
      <w:r>
        <w:t>licial.</w:t>
      </w:r>
    </w:p>
    <w:p w:rsidR="00224567" w:rsidRDefault="00224567">
      <w:pPr>
        <w:pStyle w:val="Sangradetextonormal"/>
        <w:widowControl w:val="0"/>
        <w:tabs>
          <w:tab w:val="left" w:pos="0"/>
        </w:tabs>
        <w:ind w:firstLine="2835"/>
      </w:pPr>
      <w:r>
        <w:t>Las probanzas señaladas, alegó, se fortalecieron con el video del 10 de abril de 1996 -en particular, minuto 40-, en el que se observa al imputado Telleldín refiriendo que “cuando se llevan la camioneta, al volante, estaba el mismo subcomisario que le había s</w:t>
      </w:r>
      <w:r>
        <w:t>a</w:t>
      </w:r>
      <w:r>
        <w:t>cado la plata y los autos”, haciendo alusión, al rol pr</w:t>
      </w:r>
      <w:r>
        <w:t>e</w:t>
      </w:r>
      <w:r>
        <w:t>ponderante que tuvo Raúl Edilio Ibarra en los hechos imp</w:t>
      </w:r>
      <w:r>
        <w:t>u</w:t>
      </w:r>
      <w:r>
        <w:t xml:space="preserve">tados al personal de </w:t>
      </w:r>
      <w:smartTag w:uri="urn:schemas-microsoft-com:office:smarttags" w:element="PersonName">
        <w:smartTagPr>
          <w:attr w:name="ProductID" w:val="la Brigada"/>
        </w:smartTagPr>
        <w:r>
          <w:t>la Brigada</w:t>
        </w:r>
      </w:smartTag>
      <w:r>
        <w:t xml:space="preserve"> de Investigaciones de L</w:t>
      </w:r>
      <w:r>
        <w:t>a</w:t>
      </w:r>
      <w:r>
        <w:t xml:space="preserve">nús, ocurridos los días 15 de marzo y 4 de abril, ambos de 1994. </w:t>
      </w:r>
    </w:p>
    <w:p w:rsidR="00224567" w:rsidRDefault="00224567">
      <w:pPr>
        <w:pStyle w:val="Sangradetextonormal"/>
        <w:widowControl w:val="0"/>
        <w:tabs>
          <w:tab w:val="left" w:pos="0"/>
        </w:tabs>
        <w:ind w:firstLine="2835"/>
      </w:pPr>
      <w:r w:rsidRPr="00EE4E0C">
        <w:rPr>
          <w:highlight w:val="yellow"/>
        </w:rPr>
        <w:t>Si bien a lo largo del alegato han s</w:t>
      </w:r>
      <w:r w:rsidRPr="00EE4E0C">
        <w:rPr>
          <w:highlight w:val="yellow"/>
        </w:rPr>
        <w:t>i</w:t>
      </w:r>
      <w:r w:rsidRPr="00EE4E0C">
        <w:rPr>
          <w:highlight w:val="yellow"/>
        </w:rPr>
        <w:t>do expuestas las mentiras de Carlos Alberto Telleldín vi</w:t>
      </w:r>
      <w:r w:rsidRPr="00EE4E0C">
        <w:rPr>
          <w:highlight w:val="yellow"/>
        </w:rPr>
        <w:t>n</w:t>
      </w:r>
      <w:r w:rsidRPr="00EE4E0C">
        <w:rPr>
          <w:highlight w:val="yellow"/>
        </w:rPr>
        <w:t>culadas a su participación en el atentado, el fiscal co</w:t>
      </w:r>
      <w:r w:rsidRPr="00EE4E0C">
        <w:rPr>
          <w:highlight w:val="yellow"/>
        </w:rPr>
        <w:t>n</w:t>
      </w:r>
      <w:r w:rsidRPr="00EE4E0C">
        <w:rPr>
          <w:highlight w:val="yellow"/>
        </w:rPr>
        <w:t xml:space="preserve">sideró que al relatar la entrega de la camioneta a los funcionarios de </w:t>
      </w:r>
      <w:smartTag w:uri="urn:schemas-microsoft-com:office:smarttags" w:element="PersonName">
        <w:smartTagPr>
          <w:attr w:name="ProductID" w:val="la Polic￭a Bonaerense"/>
        </w:smartTagPr>
        <w:r w:rsidRPr="00EE4E0C">
          <w:rPr>
            <w:highlight w:val="yellow"/>
          </w:rPr>
          <w:t>la Policía Bonaerense</w:t>
        </w:r>
      </w:smartTag>
      <w:r w:rsidRPr="00EE4E0C">
        <w:rPr>
          <w:highlight w:val="yellow"/>
        </w:rPr>
        <w:t>, el nombrado se ha expresado con v</w:t>
      </w:r>
      <w:r w:rsidRPr="00EE4E0C">
        <w:rPr>
          <w:highlight w:val="yellow"/>
        </w:rPr>
        <w:t>e</w:t>
      </w:r>
      <w:r w:rsidRPr="00EE4E0C">
        <w:rPr>
          <w:highlight w:val="yellow"/>
        </w:rPr>
        <w:t>racidad, en tanto que sus dichos se vieron</w:t>
      </w:r>
      <w:r>
        <w:t xml:space="preserve"> corroborados por un sinnúmero de pruebas.</w:t>
      </w:r>
    </w:p>
    <w:p w:rsidR="00224567" w:rsidRDefault="00224567">
      <w:pPr>
        <w:pStyle w:val="Sangradetextonormal"/>
        <w:widowControl w:val="0"/>
        <w:tabs>
          <w:tab w:val="left" w:pos="0"/>
        </w:tabs>
        <w:ind w:firstLine="2835"/>
      </w:pPr>
      <w:r>
        <w:t>En esa inteligencia, señaló que resu</w:t>
      </w:r>
      <w:r>
        <w:t>l</w:t>
      </w:r>
      <w:r>
        <w:t xml:space="preserve">taba difícil creer que, para el caso de que no sea cierto </w:t>
      </w:r>
      <w:r>
        <w:lastRenderedPageBreak/>
        <w:t>que haya entregado la camioneta al grupo de policías imp</w:t>
      </w:r>
      <w:r>
        <w:t>u</w:t>
      </w:r>
      <w:r>
        <w:t>tados, Telleldín se busque enemigos, sin motivo alg</w:t>
      </w:r>
      <w:r>
        <w:t>u</w:t>
      </w:r>
      <w:r>
        <w:t>no, a personas o grupos de la potencialidad de los que incrim</w:t>
      </w:r>
      <w:r>
        <w:t>i</w:t>
      </w:r>
      <w:r>
        <w:t>nó; es decir, dijo, “realmente a nadie le gustaría tener como enemigos gratuitamente a n</w:t>
      </w:r>
      <w:r>
        <w:t>a</w:t>
      </w:r>
      <w:r>
        <w:t>die y mucho menos a gente que en ese entonces ostentaba el poder y la fuerza que t</w:t>
      </w:r>
      <w:r>
        <w:t>e</w:t>
      </w:r>
      <w:r>
        <w:t>nían los aquí juzgados”.</w:t>
      </w:r>
    </w:p>
    <w:p w:rsidR="00224567" w:rsidRDefault="00224567">
      <w:pPr>
        <w:pStyle w:val="Sangradetextonormal"/>
        <w:widowControl w:val="0"/>
        <w:tabs>
          <w:tab w:val="left" w:pos="0"/>
        </w:tabs>
        <w:ind w:firstLine="2835"/>
      </w:pPr>
      <w:r w:rsidRPr="00EE4E0C">
        <w:rPr>
          <w:highlight w:val="yellow"/>
        </w:rPr>
        <w:t>Los dichos de Telleldín, indicó la fiscalía, fueron corroborados en el debate por Ana María Boragni. Si bien la</w:t>
      </w:r>
      <w:r>
        <w:t xml:space="preserve"> nombrada en su deposición comenzó r</w:t>
      </w:r>
      <w:r>
        <w:t>e</w:t>
      </w:r>
      <w:r>
        <w:t>latando lo ocurrido el 10 de julio de 1994 como una venta más de las que habitualmente su marido realizaba como e</w:t>
      </w:r>
      <w:r>
        <w:t>s</w:t>
      </w:r>
      <w:r>
        <w:t>tafador, entendió el acus</w:t>
      </w:r>
      <w:r>
        <w:t>a</w:t>
      </w:r>
      <w:r>
        <w:t>dor que, tras verse cercada por el interrogatorio al que fue somet</w:t>
      </w:r>
      <w:r>
        <w:t>i</w:t>
      </w:r>
      <w:r>
        <w:t>da, terminó admitiendo que su declaración del año 1995 fue mendaz en punto a la venta de la camioneta.</w:t>
      </w:r>
    </w:p>
    <w:p w:rsidR="00224567" w:rsidRDefault="00224567">
      <w:pPr>
        <w:pStyle w:val="Sangradetextonormal"/>
        <w:widowControl w:val="0"/>
        <w:tabs>
          <w:tab w:val="left" w:pos="0"/>
        </w:tabs>
        <w:ind w:firstLine="2835"/>
      </w:pPr>
      <w:r>
        <w:t>La testigo sostuvo en el juicio que la venta no existió; que su marido le admitió un tiempo de</w:t>
      </w:r>
      <w:r>
        <w:t>s</w:t>
      </w:r>
      <w:r>
        <w:t>pués que el utilitario había sido llevado por la pol</w:t>
      </w:r>
      <w:r>
        <w:t>i</w:t>
      </w:r>
      <w:r>
        <w:t xml:space="preserve">cía y que estaba “apretado” y que cuando se produjo el “pase </w:t>
      </w:r>
      <w:r>
        <w:lastRenderedPageBreak/>
        <w:t>mano” de la camioneta, no vio dinero. Esta última circun</w:t>
      </w:r>
      <w:r>
        <w:t>s</w:t>
      </w:r>
      <w:r>
        <w:t xml:space="preserve">tancia, argumentó el fiscal, resulta demostrativa de que no hubo venta. Agregó que “mal se puede pagar algo que no se vende, sino que se entrega producto de un encargue de una deuda ya pendiente, como era la deuda que tenía con </w:t>
      </w:r>
      <w:smartTag w:uri="urn:schemas-microsoft-com:office:smarttags" w:element="PersonName">
        <w:smartTagPr>
          <w:attr w:name="ProductID" w:val="la Brigada"/>
        </w:smartTagPr>
        <w:r>
          <w:t>la Brigada</w:t>
        </w:r>
      </w:smartTag>
      <w:r>
        <w:t xml:space="preserve"> de Lanús”.</w:t>
      </w:r>
    </w:p>
    <w:p w:rsidR="00224567" w:rsidRDefault="00224567">
      <w:pPr>
        <w:pStyle w:val="Sangradetextonormal"/>
        <w:widowControl w:val="0"/>
        <w:tabs>
          <w:tab w:val="left" w:pos="0"/>
        </w:tabs>
        <w:ind w:firstLine="2835"/>
      </w:pPr>
      <w:r>
        <w:t>Señaló, además, que Boragni recordó “la llegada de Guillermo Cotoras” y que éste, en una opo</w:t>
      </w:r>
      <w:r>
        <w:t>r</w:t>
      </w:r>
      <w:r>
        <w:t>tunidad posterior, le corroboró “todo lo que le había d</w:t>
      </w:r>
      <w:r>
        <w:t>i</w:t>
      </w:r>
      <w:r>
        <w:t>cho Carlos” en punto a que “no había habido una venta, que había habido una entrega, que la camioneta se la llevaron los policías y que era producto –en la terminología de e</w:t>
      </w:r>
      <w:r>
        <w:t>s</w:t>
      </w:r>
      <w:r>
        <w:t>ta gente- de un apriete”.</w:t>
      </w:r>
    </w:p>
    <w:p w:rsidR="00224567" w:rsidRDefault="00224567">
      <w:pPr>
        <w:pStyle w:val="Sangradetextonormal"/>
        <w:widowControl w:val="0"/>
        <w:tabs>
          <w:tab w:val="left" w:pos="0"/>
        </w:tabs>
        <w:ind w:firstLine="2835"/>
      </w:pPr>
      <w:r>
        <w:t>El fiscal aseguró que Boragni ratif</w:t>
      </w:r>
      <w:r>
        <w:t>i</w:t>
      </w:r>
      <w:r>
        <w:t>có el reconocimiento por fotografías que había efectuado en la etapa instructoria, donde creyó r</w:t>
      </w:r>
      <w:r>
        <w:t>e</w:t>
      </w:r>
      <w:r>
        <w:t>conocer a Raúl Edilio Ibarra como una de aquellas personas que el 10 de julio de 1994 se encontraba en el exterior de su vivienda cuando se llevaron la camioneta. La testigo, aclaró, ninguna indic</w:t>
      </w:r>
      <w:r>
        <w:t>a</w:t>
      </w:r>
      <w:r>
        <w:t>ción había recibido respecto de los reconocimientos fot</w:t>
      </w:r>
      <w:r>
        <w:t>o</w:t>
      </w:r>
      <w:r>
        <w:t>gráficos y que esas placas nunca las había visto con ant</w:t>
      </w:r>
      <w:r>
        <w:t>e</w:t>
      </w:r>
      <w:r>
        <w:lastRenderedPageBreak/>
        <w:t>rioridad al momento en que le fueron exhibidas.</w:t>
      </w:r>
    </w:p>
    <w:p w:rsidR="00224567" w:rsidRDefault="00224567">
      <w:pPr>
        <w:pStyle w:val="Sangradetextonormal"/>
        <w:widowControl w:val="0"/>
        <w:tabs>
          <w:tab w:val="left" w:pos="0"/>
        </w:tabs>
        <w:ind w:firstLine="2835"/>
      </w:pPr>
      <w:r>
        <w:t>Por último, afirmó que la conc</w:t>
      </w:r>
      <w:r>
        <w:t>u</w:t>
      </w:r>
      <w:r>
        <w:t>bina de Telleldín relató acerca de las reiteradas vigilancias en su domicilio que se verifican dura</w:t>
      </w:r>
      <w:r>
        <w:t>n</w:t>
      </w:r>
      <w:r>
        <w:t>te los días previos al atentado por parte del adelante personal policial y cal</w:t>
      </w:r>
      <w:r>
        <w:t>i</w:t>
      </w:r>
      <w:r>
        <w:t>ficó de llamativo el hecho de que para esa misma fecha la camioneta estuviera estacionada en la puerta de la calle República 107 de Villa Balle</w:t>
      </w:r>
      <w:r>
        <w:t>s</w:t>
      </w:r>
      <w:r>
        <w:t>ter.</w:t>
      </w:r>
    </w:p>
    <w:p w:rsidR="00224567" w:rsidRDefault="00224567">
      <w:pPr>
        <w:pStyle w:val="Sangradetextonormal"/>
        <w:widowControl w:val="0"/>
        <w:tabs>
          <w:tab w:val="left" w:pos="0"/>
        </w:tabs>
        <w:ind w:firstLine="2835"/>
      </w:pPr>
      <w:r>
        <w:t>Destacó, por otra parte, el testim</w:t>
      </w:r>
      <w:r>
        <w:t>o</w:t>
      </w:r>
      <w:r>
        <w:t>nio de la esposa de Guillermo Cotoras, Laura Scillone, quién manifestó en el juicio la relación comercial que unía a su marido con Carlos Telleldín en el rubro de la mecánica y sostuvo que Cotoras le comentó que “estaba muy atemoriz</w:t>
      </w:r>
      <w:r>
        <w:t>a</w:t>
      </w:r>
      <w:r>
        <w:t>do, que tenía mi</w:t>
      </w:r>
      <w:r>
        <w:t>e</w:t>
      </w:r>
      <w:r>
        <w:t>do, ya que había visto al ir a la casa de Telleldín... como Telleldín era apret</w:t>
      </w:r>
      <w:r>
        <w:t>a</w:t>
      </w:r>
      <w:r>
        <w:t>do y presionado por personal policial”. Añadió que en esa charla su marido le manifestó que “Telleldín le dijo que estaba presionado y le me</w:t>
      </w:r>
      <w:r>
        <w:t>n</w:t>
      </w:r>
      <w:r>
        <w:t xml:space="preserve">cionó el apellido de Ribelli”. </w:t>
      </w:r>
    </w:p>
    <w:p w:rsidR="00224567" w:rsidRDefault="00224567">
      <w:pPr>
        <w:pStyle w:val="Sangradetextonormal"/>
        <w:widowControl w:val="0"/>
        <w:tabs>
          <w:tab w:val="left" w:pos="0"/>
        </w:tabs>
        <w:ind w:firstLine="2835"/>
      </w:pPr>
      <w:r>
        <w:t>Si bien Scillone no pudo ubicar temp</w:t>
      </w:r>
      <w:r>
        <w:t>o</w:t>
      </w:r>
      <w:r>
        <w:t xml:space="preserve">ralmente la fecha en que Cotoras presenció el hecho que le </w:t>
      </w:r>
      <w:r>
        <w:lastRenderedPageBreak/>
        <w:t>relató, otros elementos de juicio, señaló el fiscal, d</w:t>
      </w:r>
      <w:r>
        <w:t>e</w:t>
      </w:r>
      <w:r>
        <w:t>muestran que no fue otro día que el 10 de julio de 1994, el mismo en que Raúl Edilio Ibarra y Ana</w:t>
      </w:r>
      <w:r>
        <w:t>s</w:t>
      </w:r>
      <w:r>
        <w:t>tasio Ireneo Leal se llevaron la camioneta que ocho d</w:t>
      </w:r>
      <w:r>
        <w:t>í</w:t>
      </w:r>
      <w:r>
        <w:t xml:space="preserve">as después explotaría en la sede de </w:t>
      </w:r>
      <w:smartTag w:uri="urn:schemas-microsoft-com:office:smarttags" w:element="PersonName">
        <w:smartTagPr>
          <w:attr w:name="ProductID" w:val="la A.M"/>
        </w:smartTagPr>
        <w:r>
          <w:t>la A.M</w:t>
        </w:r>
      </w:smartTag>
      <w:r>
        <w:t>.I.A.</w:t>
      </w:r>
    </w:p>
    <w:p w:rsidR="00224567" w:rsidRDefault="00224567">
      <w:pPr>
        <w:pStyle w:val="Sangradetextonormal"/>
        <w:widowControl w:val="0"/>
        <w:tabs>
          <w:tab w:val="left" w:pos="0"/>
        </w:tabs>
        <w:ind w:firstLine="2835"/>
      </w:pPr>
      <w:r>
        <w:t xml:space="preserve">Miriam Salinas, a quien calificó como un extraño personaje amiga de Telleldín y de su mujer, y que permitió que </w:t>
      </w:r>
      <w:smartTag w:uri="urn:schemas-microsoft-com:office:smarttags" w:element="PersonName">
        <w:smartTagPr>
          <w:attr w:name="ProductID" w:val="la S.I"/>
        </w:smartTagPr>
        <w:r>
          <w:t>la S.I</w:t>
        </w:r>
      </w:smartTag>
      <w:r>
        <w:t>.D.E. colocara cámaras filmadoras para grabar a los allegados del mencionado matrimonio, s</w:t>
      </w:r>
      <w:r>
        <w:t>e</w:t>
      </w:r>
      <w:r>
        <w:t>ñaló que Guillermo Cotoras, en una conversación que fue grabada “le dijo y quedó registrado en ese video que había visto él personalmente a los policías que el día 10 de j</w:t>
      </w:r>
      <w:r>
        <w:t>u</w:t>
      </w:r>
      <w:r>
        <w:t>lio se llevan la camioneta”. Sugestivamente, dijo, ese v</w:t>
      </w:r>
      <w:r>
        <w:t>i</w:t>
      </w:r>
      <w:r>
        <w:t>deo fue el único de todos los que grabó que se había pe</w:t>
      </w:r>
      <w:r>
        <w:t>r</w:t>
      </w:r>
      <w:r>
        <w:t>dido.</w:t>
      </w:r>
    </w:p>
    <w:p w:rsidR="00224567" w:rsidRDefault="00224567">
      <w:pPr>
        <w:pStyle w:val="Sangradetextonormal"/>
        <w:widowControl w:val="0"/>
        <w:tabs>
          <w:tab w:val="left" w:pos="0"/>
        </w:tabs>
        <w:ind w:firstLine="2835"/>
      </w:pPr>
      <w:r>
        <w:t>Cotoras contó a Salinas, según el ac</w:t>
      </w:r>
      <w:r>
        <w:t>u</w:t>
      </w:r>
      <w:r>
        <w:t>sador, que el motivo de su concurrencia se debía al cobro de un dinero que T</w:t>
      </w:r>
      <w:r>
        <w:t>e</w:t>
      </w:r>
      <w:r>
        <w:t>lleldín le adeudaba.</w:t>
      </w:r>
    </w:p>
    <w:p w:rsidR="00224567" w:rsidRDefault="00224567">
      <w:pPr>
        <w:pStyle w:val="Sangradetextonormal"/>
        <w:widowControl w:val="0"/>
        <w:tabs>
          <w:tab w:val="left" w:pos="0"/>
        </w:tabs>
        <w:ind w:firstLine="2835"/>
      </w:pPr>
      <w:r>
        <w:t>Asimismo, el fiscal señaló que Juan Carlos Nicolau, suboficial de máxima confianza de Juan J</w:t>
      </w:r>
      <w:r>
        <w:t>o</w:t>
      </w:r>
      <w:r>
        <w:t xml:space="preserve">sé Ribelli, que lo había acompañado en los destinos de sus </w:t>
      </w:r>
      <w:r>
        <w:lastRenderedPageBreak/>
        <w:t>últimos 16 años de carrera, reseñó las amenazas que sufrió en dos oportunidades por parte del hermano de Ribelli; d</w:t>
      </w:r>
      <w:r>
        <w:t>i</w:t>
      </w:r>
      <w:r>
        <w:t>jo que, primero, fue amenazado para que no dijera lo que sabía y, después, para que cambiara la versión que había aportado ante el juzgado. Agregó, además, que había esc</w:t>
      </w:r>
      <w:r>
        <w:t>u</w:t>
      </w:r>
      <w:r>
        <w:t xml:space="preserve">chado varios comentarios que vinculaban a Ribelli con la camioneta que explotó en </w:t>
      </w:r>
      <w:smartTag w:uri="urn:schemas-microsoft-com:office:smarttags" w:element="PersonName">
        <w:smartTagPr>
          <w:attr w:name="ProductID" w:val="la A.M"/>
        </w:smartTagPr>
        <w:r>
          <w:t>la A.M</w:t>
        </w:r>
      </w:smartTag>
      <w:r>
        <w:t>.I.A.</w:t>
      </w:r>
    </w:p>
    <w:p w:rsidR="00224567" w:rsidRDefault="00224567">
      <w:pPr>
        <w:pStyle w:val="Sangradetextonormal"/>
        <w:widowControl w:val="0"/>
        <w:tabs>
          <w:tab w:val="left" w:pos="0"/>
        </w:tabs>
        <w:ind w:firstLine="2835"/>
      </w:pPr>
      <w:r>
        <w:t>Consideró como prueba de cargo en co</w:t>
      </w:r>
      <w:r>
        <w:t>n</w:t>
      </w:r>
      <w:r>
        <w:t>tra de Ribelli, la conversación telefónica mantenida e</w:t>
      </w:r>
      <w:r>
        <w:t>n</w:t>
      </w:r>
      <w:r>
        <w:t>tre Nicolau y Carmelo Juan Ionno –socio de aquél en la j</w:t>
      </w:r>
      <w:r>
        <w:t>o</w:t>
      </w:r>
      <w:r>
        <w:t>yería “El Padrino”- de la cual surge que la camioneta que expl</w:t>
      </w:r>
      <w:r>
        <w:t>o</w:t>
      </w:r>
      <w:r>
        <w:t xml:space="preserve">tó en </w:t>
      </w:r>
      <w:smartTag w:uri="urn:schemas-microsoft-com:office:smarttags" w:element="PersonName">
        <w:smartTagPr>
          <w:attr w:name="ProductID" w:val="la A.M"/>
        </w:smartTagPr>
        <w:r>
          <w:t>la A.M</w:t>
        </w:r>
      </w:smartTag>
      <w:r>
        <w:t>.I.A. había pasado por las manos del gr</w:t>
      </w:r>
      <w:r>
        <w:t>u</w:t>
      </w:r>
      <w:r>
        <w:t>po de policías encabez</w:t>
      </w:r>
      <w:r>
        <w:t>a</w:t>
      </w:r>
      <w:r>
        <w:t xml:space="preserve">do por Juan José Ribelli. </w:t>
      </w:r>
    </w:p>
    <w:p w:rsidR="00224567" w:rsidRDefault="00224567">
      <w:pPr>
        <w:pStyle w:val="Sangradetextonormal"/>
        <w:widowControl w:val="0"/>
        <w:tabs>
          <w:tab w:val="left" w:pos="0"/>
        </w:tabs>
        <w:ind w:firstLine="2835"/>
      </w:pPr>
      <w:r>
        <w:t>En apoyo de lo expuesto, señaló el testimonio de Catalino José Humerez, mozo de una pizz</w:t>
      </w:r>
      <w:r>
        <w:t>e</w:t>
      </w:r>
      <w:r>
        <w:t>ría situada a escasos metros de la agencia de automóviles “Paola”, propiedad de Ribelli, donde se reunían a diario el nombrado junto con sus compañeros de la br</w:t>
      </w:r>
      <w:r>
        <w:t>i</w:t>
      </w:r>
      <w:r>
        <w:t>gada.</w:t>
      </w:r>
    </w:p>
    <w:p w:rsidR="00224567" w:rsidRDefault="00224567">
      <w:pPr>
        <w:pStyle w:val="Sangradetextonormal"/>
        <w:widowControl w:val="0"/>
        <w:tabs>
          <w:tab w:val="left" w:pos="0"/>
        </w:tabs>
        <w:ind w:firstLine="2835"/>
      </w:pPr>
      <w:r>
        <w:t>Al respecto, dijo, Humerez reco</w:t>
      </w:r>
      <w:r>
        <w:t>r</w:t>
      </w:r>
      <w:r>
        <w:t xml:space="preserve">dó que el 9 de julio de 1994 -precisión que pudo retener porque </w:t>
      </w:r>
      <w:r>
        <w:lastRenderedPageBreak/>
        <w:t>era oriundo de 9 de julio y porque ese día no había trab</w:t>
      </w:r>
      <w:r>
        <w:t>a</w:t>
      </w:r>
      <w:r>
        <w:t>jado- se dirigió a unas cuadras de la agencia en cue</w:t>
      </w:r>
      <w:r>
        <w:t>s</w:t>
      </w:r>
      <w:r>
        <w:t>tión porque había sido invitado a comer un asado y que, al p</w:t>
      </w:r>
      <w:r>
        <w:t>a</w:t>
      </w:r>
      <w:r>
        <w:t>sar por su frente, observó tres camionetas Tr</w:t>
      </w:r>
      <w:r>
        <w:t>a</w:t>
      </w:r>
      <w:r>
        <w:t>fic blancas, circunstancia que llamó su atención porque nunca había visto con anterioridad utilitarios de ese tipo en ese l</w:t>
      </w:r>
      <w:r>
        <w:t>u</w:t>
      </w:r>
      <w:r>
        <w:t>gar. Más llamó su atención, remarcó el fiscal, que en un momento se le cayó algo y que al ag</w:t>
      </w:r>
      <w:r>
        <w:t>a</w:t>
      </w:r>
      <w:r>
        <w:t>charse vio que una de las Trafic estaba desmantelada en la parte de abajo y no tenía piso.</w:t>
      </w:r>
    </w:p>
    <w:p w:rsidR="00224567" w:rsidRDefault="00224567">
      <w:pPr>
        <w:pStyle w:val="Sangradetextonormal"/>
        <w:widowControl w:val="0"/>
        <w:tabs>
          <w:tab w:val="left" w:pos="0"/>
        </w:tabs>
        <w:ind w:firstLine="2835"/>
      </w:pPr>
      <w:r>
        <w:t>Además, el testigo recordó, según el representante del Ministerio Público Fiscal, que al día siguiente, domingo 10 de julio –fecha en que se retiró la camioneta de República 107-, fue invitado a jugar un pa</w:t>
      </w:r>
      <w:r>
        <w:t>r</w:t>
      </w:r>
      <w:r>
        <w:t>tido de fútbol a unas cuadras de otra de las agencias de Ribelli, de nombre “Aut</w:t>
      </w:r>
      <w:r>
        <w:t>o</w:t>
      </w:r>
      <w:r>
        <w:t>prix”, y que al pasar por allí en horas de la mañana, vio a Juan José Ribelli manejando un utilitario Trafic de color bla</w:t>
      </w:r>
      <w:r>
        <w:t>n</w:t>
      </w:r>
      <w:r>
        <w:t>co.</w:t>
      </w:r>
    </w:p>
    <w:p w:rsidR="00224567" w:rsidRDefault="00224567">
      <w:pPr>
        <w:widowControl w:val="0"/>
        <w:tabs>
          <w:tab w:val="left" w:pos="0"/>
        </w:tabs>
        <w:ind w:firstLine="2835"/>
      </w:pPr>
      <w:r>
        <w:t>Consideró el fiscal que el citado te</w:t>
      </w:r>
      <w:r>
        <w:t>s</w:t>
      </w:r>
      <w:r>
        <w:t>timonio es de suma relevancia, ya que Humerez era una pe</w:t>
      </w:r>
      <w:r>
        <w:t>r</w:t>
      </w:r>
      <w:r>
        <w:t>sona que no pertenecía al entorno de ninguno de los imp</w:t>
      </w:r>
      <w:r>
        <w:t>u</w:t>
      </w:r>
      <w:r>
        <w:lastRenderedPageBreak/>
        <w:t>tados, tratándose de una versión caracterizada por su e</w:t>
      </w:r>
      <w:r>
        <w:t>s</w:t>
      </w:r>
      <w:r>
        <w:t>pontaneidad y credibilidad, proveniente de un hombre se</w:t>
      </w:r>
      <w:r>
        <w:t>n</w:t>
      </w:r>
      <w:r>
        <w:t>cillo y humilde, guiado por el único propósito de contar aquello que percibió con sus sentidos. Tan cierta era la habitualidad con que Humerez veía y trataba al personal policial, argumentó, que aportó una fotografía que ilu</w:t>
      </w:r>
      <w:r>
        <w:t>s</w:t>
      </w:r>
      <w:r>
        <w:t>traba a toda esa gente reunida en la pizzería en la que éste trabajaba.</w:t>
      </w:r>
    </w:p>
    <w:p w:rsidR="00224567" w:rsidRDefault="00224567">
      <w:pPr>
        <w:widowControl w:val="0"/>
        <w:tabs>
          <w:tab w:val="left" w:pos="0"/>
        </w:tabs>
        <w:ind w:firstLine="2835"/>
      </w:pPr>
      <w:r>
        <w:t>Sin embargo, señaló que Humerez inc</w:t>
      </w:r>
      <w:r>
        <w:t>u</w:t>
      </w:r>
      <w:r>
        <w:t>rrió en un error al referir que había visto a Juan José Ribelli el 10 de julio a la mañana, toda vez que éste y su esposa reconocieron que ese día, luego del mediodía, r</w:t>
      </w:r>
      <w:r>
        <w:t>e</w:t>
      </w:r>
      <w:r>
        <w:t>gresaron de las Cataratas del Iguazú donde habían vacaci</w:t>
      </w:r>
      <w:r>
        <w:t>o</w:t>
      </w:r>
      <w:r>
        <w:t>nado con su fam</w:t>
      </w:r>
      <w:r>
        <w:t>i</w:t>
      </w:r>
      <w:r>
        <w:t xml:space="preserve">lia. </w:t>
      </w:r>
    </w:p>
    <w:p w:rsidR="00224567" w:rsidRDefault="00224567">
      <w:pPr>
        <w:widowControl w:val="0"/>
        <w:tabs>
          <w:tab w:val="left" w:pos="0"/>
        </w:tabs>
        <w:ind w:firstLine="2835"/>
      </w:pPr>
      <w:r>
        <w:t>Dicha circunstancia, indicó el fi</w:t>
      </w:r>
      <w:r>
        <w:t>s</w:t>
      </w:r>
      <w:r>
        <w:t>cal, encontró apoyatura, además, en los cruces telef</w:t>
      </w:r>
      <w:r>
        <w:t>ó</w:t>
      </w:r>
      <w:r>
        <w:t>nicos del celular de Ribelli -440-6746- el cual comenzó a operar luego del mediodía del 10 de julio, aproxim</w:t>
      </w:r>
      <w:r>
        <w:t>a</w:t>
      </w:r>
      <w:r>
        <w:t xml:space="preserve">damente a las 14.20. </w:t>
      </w:r>
    </w:p>
    <w:p w:rsidR="00224567" w:rsidRDefault="00224567">
      <w:pPr>
        <w:pStyle w:val="Sangradetextonormal"/>
        <w:widowControl w:val="0"/>
        <w:tabs>
          <w:tab w:val="left" w:pos="0"/>
        </w:tabs>
        <w:ind w:firstLine="2835"/>
      </w:pPr>
      <w:r>
        <w:t xml:space="preserve">Resaltó que los dichos de Humerez se </w:t>
      </w:r>
      <w:r>
        <w:lastRenderedPageBreak/>
        <w:t>vieron corroborados por los de Rodolfo Carmelo Dipolto y Eugenio Gómez, dueños de la pizzería, y del mozo Cristian Medina, en punto a que en ese local de comida se reunía asiduamente Juan José Ribelli junto con el personal pol</w:t>
      </w:r>
      <w:r>
        <w:t>i</w:t>
      </w:r>
      <w:r>
        <w:t>cial.</w:t>
      </w:r>
    </w:p>
    <w:p w:rsidR="00224567" w:rsidRDefault="00224567">
      <w:pPr>
        <w:pStyle w:val="Sangradetextonormal"/>
        <w:widowControl w:val="0"/>
        <w:tabs>
          <w:tab w:val="left" w:pos="0"/>
        </w:tabs>
        <w:ind w:firstLine="2835"/>
      </w:pPr>
      <w:r>
        <w:t>El fiscal expresó que el accionar de los policías imputados, materializado el 10 de julio de 1994, tiene como antecedente y apoyatura las vigila</w:t>
      </w:r>
      <w:r>
        <w:t>n</w:t>
      </w:r>
      <w:r>
        <w:t>cias a las que Carlos Alberto Telleldín venía siendo sometido desde tiempo antes y que, ll</w:t>
      </w:r>
      <w:r>
        <w:t>a</w:t>
      </w:r>
      <w:r>
        <w:t>mativamente, se incrementaron entre quince y veinte días antes del atentado.</w:t>
      </w:r>
    </w:p>
    <w:p w:rsidR="00224567" w:rsidRDefault="00224567">
      <w:pPr>
        <w:pStyle w:val="Sangradetextonormal"/>
        <w:widowControl w:val="0"/>
        <w:tabs>
          <w:tab w:val="left" w:pos="0"/>
        </w:tabs>
        <w:ind w:firstLine="2835"/>
      </w:pPr>
      <w:r>
        <w:t>En tal sentido, resaltó los d</w:t>
      </w:r>
      <w:r>
        <w:t>i</w:t>
      </w:r>
      <w:r>
        <w:t>chos de la peletera Zulema Filomena Leoni de Duday, quien d</w:t>
      </w:r>
      <w:r>
        <w:t>e</w:t>
      </w:r>
      <w:r>
        <w:t>claró que la policía vigilaba el domicilio de Telleldín y que en una oportunidad Boragni le habló de ellos, mencionando en particular un Ford Galaxy azul que controlaba la casa. C</w:t>
      </w:r>
      <w:r>
        <w:t>o</w:t>
      </w:r>
      <w:r>
        <w:t>rroboró lo expuesto en punto a las vigilancias, según el fiscal, los dichos de Nicolás Duday, incorporados por le</w:t>
      </w:r>
      <w:r>
        <w:t>c</w:t>
      </w:r>
      <w:r>
        <w:t>tura, y los de los policías que colaboraron en la pesqu</w:t>
      </w:r>
      <w:r>
        <w:t>i</w:t>
      </w:r>
      <w:r>
        <w:t>sa, Miguel Galassi y Robe</w:t>
      </w:r>
      <w:r>
        <w:t>r</w:t>
      </w:r>
      <w:r>
        <w:t>to de Lucía.</w:t>
      </w:r>
    </w:p>
    <w:p w:rsidR="00224567" w:rsidRDefault="00224567">
      <w:pPr>
        <w:widowControl w:val="0"/>
        <w:tabs>
          <w:tab w:val="left" w:pos="0"/>
        </w:tabs>
        <w:ind w:firstLine="2835"/>
      </w:pPr>
      <w:r>
        <w:t>Estos dos últimos, dijo el fiscal, e</w:t>
      </w:r>
      <w:r>
        <w:t>n</w:t>
      </w:r>
      <w:r>
        <w:lastRenderedPageBreak/>
        <w:t>trevistaron a los nombrados Duday antes de que presten d</w:t>
      </w:r>
      <w:r>
        <w:t>e</w:t>
      </w:r>
      <w:r>
        <w:t>claración en el juzgado; la versión que les aportaron coincidía con la antes expuesta, añadiendo que Nicolás D</w:t>
      </w:r>
      <w:r>
        <w:t>u</w:t>
      </w:r>
      <w:r>
        <w:t>day les comentó que el control policial se hacía en un Ford Falcon.</w:t>
      </w:r>
    </w:p>
    <w:p w:rsidR="00224567" w:rsidRDefault="00224567">
      <w:pPr>
        <w:widowControl w:val="0"/>
        <w:tabs>
          <w:tab w:val="left" w:pos="0"/>
        </w:tabs>
        <w:ind w:firstLine="2835"/>
      </w:pPr>
      <w:r>
        <w:t>Trajo a colación, también, los dichos del testigo José Luis Álvarez Matus, empleado de la age</w:t>
      </w:r>
      <w:r>
        <w:t>n</w:t>
      </w:r>
      <w:r>
        <w:t>cia “Autoprix”, quien observó cuatro c</w:t>
      </w:r>
      <w:r>
        <w:t>a</w:t>
      </w:r>
      <w:r>
        <w:t>mionetas Trafic de color blanco los días previos al atentado, refiriendo que una de ellas se la había llevado Rib</w:t>
      </w:r>
      <w:r>
        <w:t>e</w:t>
      </w:r>
      <w:r>
        <w:t>lli.</w:t>
      </w:r>
    </w:p>
    <w:p w:rsidR="00224567" w:rsidRDefault="00224567">
      <w:pPr>
        <w:widowControl w:val="0"/>
        <w:tabs>
          <w:tab w:val="left" w:pos="0"/>
        </w:tabs>
        <w:ind w:firstLine="2835"/>
      </w:pPr>
      <w:r>
        <w:t>Mencionó, además, la conversación t</w:t>
      </w:r>
      <w:r>
        <w:t>e</w:t>
      </w:r>
      <w:r>
        <w:t>lefónica que Álvarez Matus mantuvo con Sandra Cardeal –novia del encargado de la otra agencia de R</w:t>
      </w:r>
      <w:r>
        <w:t>i</w:t>
      </w:r>
      <w:r>
        <w:t>belli- que fue reconocida por ambos tanto en la etapa instructoria como en el debate, y de la cual se desprende el conoc</w:t>
      </w:r>
      <w:r>
        <w:t>i</w:t>
      </w:r>
      <w:r>
        <w:t>miento de Alvarez Matus y Ca</w:t>
      </w:r>
      <w:r>
        <w:t>r</w:t>
      </w:r>
      <w:r>
        <w:t xml:space="preserve">deal respecto a que </w:t>
      </w:r>
      <w:smartTag w:uri="urn:schemas-microsoft-com:office:smarttags" w:element="PersonName">
        <w:smartTagPr>
          <w:attr w:name="ProductID" w:val="la Trafic"/>
        </w:smartTagPr>
        <w:r>
          <w:t>la Trafic</w:t>
        </w:r>
      </w:smartTag>
      <w:r>
        <w:t xml:space="preserve"> usada en el atentado había pasado por las manos de Ribelli. Así, afirmó el fi</w:t>
      </w:r>
      <w:r>
        <w:t>s</w:t>
      </w:r>
      <w:r>
        <w:t xml:space="preserve">cal, el nombrado expresó: “cuando hicieron lo de </w:t>
      </w:r>
      <w:smartTag w:uri="urn:schemas-microsoft-com:office:smarttags" w:element="PersonName">
        <w:smartTagPr>
          <w:attr w:name="ProductID" w:val="la A.M"/>
        </w:smartTagPr>
        <w:r>
          <w:t>la A.M</w:t>
        </w:r>
      </w:smartTag>
      <w:r>
        <w:t xml:space="preserve">.I.A., viste, de </w:t>
      </w:r>
      <w:smartTag w:uri="urn:schemas-microsoft-com:office:smarttags" w:element="PersonName">
        <w:smartTagPr>
          <w:attr w:name="ProductID" w:val="la Trafic"/>
        </w:smartTagPr>
        <w:r>
          <w:t>la Trafic</w:t>
        </w:r>
      </w:smartTag>
      <w:r>
        <w:t>, ellos estuvieron en un auto particular”, aludiendo con “ellos” a Juan José R</w:t>
      </w:r>
      <w:r>
        <w:t>i</w:t>
      </w:r>
      <w:r>
        <w:lastRenderedPageBreak/>
        <w:t>belli y Oscar Eusebio Bacig</w:t>
      </w:r>
      <w:r>
        <w:t>a</w:t>
      </w:r>
      <w:r>
        <w:t xml:space="preserve">lupo (abonado 242-2098, casete 113, del 21 de agosto de 1997). </w:t>
      </w:r>
    </w:p>
    <w:p w:rsidR="00224567" w:rsidRDefault="00224567">
      <w:pPr>
        <w:widowControl w:val="0"/>
        <w:tabs>
          <w:tab w:val="left" w:pos="0"/>
        </w:tabs>
        <w:ind w:firstLine="2835"/>
      </w:pPr>
      <w:r>
        <w:t>Añadió la fiscalía que Álvarez Matus declaró ante la instrucción que para la época del ate</w:t>
      </w:r>
      <w:r>
        <w:t>n</w:t>
      </w:r>
      <w:r>
        <w:t>tado vio llegar a Ribelli a la agencia acompañado por dos pe</w:t>
      </w:r>
      <w:r>
        <w:t>r</w:t>
      </w:r>
      <w:r>
        <w:t>sonas que se llevaron una de las Trafic, siendo seguidos por el nombrado en un Monza; automóvil, cuya marca coinc</w:t>
      </w:r>
      <w:r>
        <w:t>i</w:t>
      </w:r>
      <w:r>
        <w:t>día con el que pertenecía al imputado Rib</w:t>
      </w:r>
      <w:r>
        <w:t>e</w:t>
      </w:r>
      <w:r>
        <w:t xml:space="preserve">lli. </w:t>
      </w:r>
    </w:p>
    <w:p w:rsidR="00224567" w:rsidRDefault="00224567">
      <w:pPr>
        <w:widowControl w:val="0"/>
        <w:tabs>
          <w:tab w:val="left" w:pos="0"/>
        </w:tabs>
        <w:ind w:firstLine="2835"/>
      </w:pPr>
      <w:r>
        <w:t>En punto al extremo antes señal</w:t>
      </w:r>
      <w:r>
        <w:t>a</w:t>
      </w:r>
      <w:r>
        <w:t>do por el testigo, aclaró que si bien éste no lo expresó en la audiencia de debate, sí lo hizo ante la instru</w:t>
      </w:r>
      <w:r>
        <w:t>c</w:t>
      </w:r>
      <w:r>
        <w:t>ción y que ese testimonio fue incorporado por la declaración del te</w:t>
      </w:r>
      <w:r>
        <w:t>s</w:t>
      </w:r>
      <w:r>
        <w:t>tigo</w:t>
      </w:r>
      <w:r>
        <w:rPr>
          <w:lang w:val="es-ES_tradnl"/>
        </w:rPr>
        <w:t xml:space="preserve"> Eduardo Fernando Bazet</w:t>
      </w:r>
      <w:r>
        <w:t>, quien firmó a ruego el acta que la instrumentó. En el debate, e</w:t>
      </w:r>
      <w:r>
        <w:t>x</w:t>
      </w:r>
      <w:r>
        <w:t>presó el fiscal, Bazet recordó que la circunstancia a</w:t>
      </w:r>
      <w:r>
        <w:t>n</w:t>
      </w:r>
      <w:r>
        <w:t>tes apuntada fue expresada por el testigo Álvarez Matus al deponer ante la instru</w:t>
      </w:r>
      <w:r>
        <w:t>c</w:t>
      </w:r>
      <w:r>
        <w:t>ción.</w:t>
      </w:r>
    </w:p>
    <w:p w:rsidR="00224567" w:rsidRDefault="00224567">
      <w:pPr>
        <w:pStyle w:val="Sangradetextonormal"/>
        <w:widowControl w:val="0"/>
        <w:tabs>
          <w:tab w:val="left" w:pos="0"/>
        </w:tabs>
        <w:ind w:firstLine="2835"/>
      </w:pPr>
      <w:r>
        <w:t>Señaló que mas allá de la senc</w:t>
      </w:r>
      <w:r>
        <w:t>i</w:t>
      </w:r>
      <w:r>
        <w:t>llez y la escasa instrucción evidenciada por Álvarez Matus, su</w:t>
      </w:r>
      <w:r>
        <w:t>r</w:t>
      </w:r>
      <w:r>
        <w:t>gía claramente de los dichos de Bazet y del tenor de la conversación telefónica antes cit</w:t>
      </w:r>
      <w:r>
        <w:t>a</w:t>
      </w:r>
      <w:r>
        <w:t xml:space="preserve">da, que el testigo lejos </w:t>
      </w:r>
      <w:r>
        <w:lastRenderedPageBreak/>
        <w:t>estaba de ser una persona con algún tipo de disminución mental.</w:t>
      </w:r>
    </w:p>
    <w:p w:rsidR="00224567" w:rsidRDefault="00224567">
      <w:pPr>
        <w:pStyle w:val="Textoindependiente"/>
        <w:spacing w:line="600" w:lineRule="auto"/>
        <w:ind w:firstLine="2835"/>
      </w:pPr>
      <w:r w:rsidRPr="00883E49">
        <w:rPr>
          <w:highlight w:val="yellow"/>
        </w:rPr>
        <w:t>Con lo expuesto, a juicio de la fisc</w:t>
      </w:r>
      <w:r w:rsidRPr="00883E49">
        <w:rPr>
          <w:highlight w:val="yellow"/>
        </w:rPr>
        <w:t>a</w:t>
      </w:r>
      <w:r w:rsidRPr="00883E49">
        <w:rPr>
          <w:highlight w:val="yellow"/>
        </w:rPr>
        <w:t>lía, se demostró que Raúl Edilio Ibarra y Anastasio Ireneo Leal fueron dos de las personas que r</w:t>
      </w:r>
      <w:r w:rsidRPr="00883E49">
        <w:rPr>
          <w:highlight w:val="yellow"/>
        </w:rPr>
        <w:t>e</w:t>
      </w:r>
      <w:r w:rsidRPr="00883E49">
        <w:rPr>
          <w:highlight w:val="yellow"/>
        </w:rPr>
        <w:t>cibieron de manos de Carlos Alberto Telleldín la camioneta R</w:t>
      </w:r>
      <w:r w:rsidRPr="00883E49">
        <w:rPr>
          <w:highlight w:val="yellow"/>
        </w:rPr>
        <w:t>e</w:t>
      </w:r>
      <w:r w:rsidRPr="00883E49">
        <w:rPr>
          <w:highlight w:val="yellow"/>
        </w:rPr>
        <w:t xml:space="preserve">nault Trafic con el motor que luego explotó en la sede de </w:t>
      </w:r>
      <w:smartTag w:uri="urn:schemas-microsoft-com:office:smarttags" w:element="PersonName">
        <w:smartTagPr>
          <w:attr w:name="ProductID" w:val="la A.M"/>
        </w:smartTagPr>
        <w:r w:rsidRPr="00883E49">
          <w:rPr>
            <w:highlight w:val="yellow"/>
          </w:rPr>
          <w:t>la A.M</w:t>
        </w:r>
      </w:smartTag>
      <w:r w:rsidRPr="00883E49">
        <w:rPr>
          <w:highlight w:val="yellow"/>
        </w:rPr>
        <w:t>.I.A. y que d</w:t>
      </w:r>
      <w:r w:rsidRPr="00883E49">
        <w:rPr>
          <w:highlight w:val="yellow"/>
        </w:rPr>
        <w:t>i</w:t>
      </w:r>
      <w:r w:rsidRPr="00883E49">
        <w:rPr>
          <w:highlight w:val="yellow"/>
        </w:rPr>
        <w:t>cho utilitario fue entreg</w:t>
      </w:r>
      <w:r>
        <w:t>ado momentos después a Juan José Ribelli.</w:t>
      </w:r>
    </w:p>
    <w:p w:rsidR="00224567" w:rsidRDefault="00224567">
      <w:pPr>
        <w:widowControl w:val="0"/>
        <w:tabs>
          <w:tab w:val="left" w:pos="0"/>
        </w:tabs>
        <w:ind w:firstLine="2835"/>
      </w:pPr>
      <w:r>
        <w:t>Ha sido suficientemente recreado lo ocurrido el 10 de julio de 1994, concluyó el fiscal; no obstante, dijo, ello si solo no alcanza para comprobar el dolo de Anastasio Ireneo Leal, Raúl Edilio Ibarra, Juan José Ribelli y Mario Norberto Bareiro en la part</w:t>
      </w:r>
      <w:r>
        <w:t>i</w:t>
      </w:r>
      <w:r>
        <w:t>cipación que se les imputa en el atentado. Hace falta, señaló, un plus que acredite que había un interés muy particular en obtener un vehículo de estas características para dest</w:t>
      </w:r>
      <w:r>
        <w:t>i</w:t>
      </w:r>
      <w:r>
        <w:t>narlo a un fin determinado, en el caso de autos, la expl</w:t>
      </w:r>
      <w:r>
        <w:t>o</w:t>
      </w:r>
      <w:r>
        <w:t>sión y la producción de un número i</w:t>
      </w:r>
      <w:r>
        <w:t>n</w:t>
      </w:r>
      <w:r>
        <w:t xml:space="preserve">determinado de muertes y que dicha finalidad fuera a su vez conocida y querida </w:t>
      </w:r>
      <w:r>
        <w:lastRenderedPageBreak/>
        <w:t>por los acus</w:t>
      </w:r>
      <w:r>
        <w:t>a</w:t>
      </w:r>
      <w:r>
        <w:t>dos.</w:t>
      </w:r>
    </w:p>
    <w:p w:rsidR="00224567" w:rsidRDefault="00224567">
      <w:pPr>
        <w:widowControl w:val="0"/>
        <w:tabs>
          <w:tab w:val="left" w:pos="0"/>
        </w:tabs>
        <w:ind w:firstLine="2835"/>
      </w:pPr>
      <w:r>
        <w:t>En ese sentido, el acusador señ</w:t>
      </w:r>
      <w:r>
        <w:t>a</w:t>
      </w:r>
      <w:r>
        <w:t>ló que un mes y medio antes de que los ex policías retiraran la camioneta Trafic de República 107, esto es, el 28 de mayo de 1994, Telleldín recibió dos llamados t</w:t>
      </w:r>
      <w:r>
        <w:t>e</w:t>
      </w:r>
      <w:r>
        <w:t>lefónicos en su domicilio (abonado 768-0902), desde el celular 448-0447 de Juan José Rib</w:t>
      </w:r>
      <w:r>
        <w:t>e</w:t>
      </w:r>
      <w:r>
        <w:t>lli, con motivo del aviso publicado para la venta de otro vehículo Renault, modelo Trafic, “en cons</w:t>
      </w:r>
      <w:r>
        <w:t>o</w:t>
      </w:r>
      <w:r>
        <w:t>nancia con el encargue de una camioneta acondicionada para llevar explosivos y com</w:t>
      </w:r>
      <w:r>
        <w:t>e</w:t>
      </w:r>
      <w:r>
        <w:t>ter un atentado”.</w:t>
      </w:r>
    </w:p>
    <w:p w:rsidR="00224567" w:rsidRDefault="00224567">
      <w:pPr>
        <w:widowControl w:val="0"/>
        <w:tabs>
          <w:tab w:val="left" w:pos="0"/>
        </w:tabs>
        <w:ind w:firstLine="2835"/>
      </w:pPr>
      <w:r>
        <w:t>Afirmó que se i</w:t>
      </w:r>
      <w:r>
        <w:t>n</w:t>
      </w:r>
      <w:r>
        <w:t>tentó demostrar en el juicio que quien efectuó los llamados no fue Ribelli, sino el encargado de una de sus agencias, Reinaldo Á</w:t>
      </w:r>
      <w:r>
        <w:t>l</w:t>
      </w:r>
      <w:r>
        <w:t>varez, lo que el fiscal calificó como un invento de la defensa de Ribelli para acomodar sus d</w:t>
      </w:r>
      <w:r>
        <w:t>i</w:t>
      </w:r>
      <w:r>
        <w:t xml:space="preserve">chos a la prueba ya producida. </w:t>
      </w:r>
    </w:p>
    <w:p w:rsidR="00224567" w:rsidRDefault="00224567">
      <w:pPr>
        <w:widowControl w:val="0"/>
        <w:tabs>
          <w:tab w:val="left" w:pos="0"/>
        </w:tabs>
        <w:ind w:firstLine="2835"/>
      </w:pPr>
      <w:r>
        <w:t>Indicó que lo afirmado no era lo ún</w:t>
      </w:r>
      <w:r>
        <w:t>i</w:t>
      </w:r>
      <w:r>
        <w:t>co que demuestra el interés previo de los polic</w:t>
      </w:r>
      <w:r>
        <w:t>í</w:t>
      </w:r>
      <w:r>
        <w:t>as en obtener una camioneta; tenían “millones de formas de conseguirlas, pero evidentemente hay un interés muy particular en util</w:t>
      </w:r>
      <w:r>
        <w:t>i</w:t>
      </w:r>
      <w:r>
        <w:t>zar una persona de las características de Telle</w:t>
      </w:r>
      <w:r>
        <w:t>l</w:t>
      </w:r>
      <w:r>
        <w:t xml:space="preserve">dín”. </w:t>
      </w:r>
    </w:p>
    <w:p w:rsidR="00224567" w:rsidRDefault="00224567">
      <w:pPr>
        <w:widowControl w:val="0"/>
        <w:tabs>
          <w:tab w:val="left" w:pos="0"/>
        </w:tabs>
        <w:ind w:firstLine="2835"/>
      </w:pPr>
      <w:r>
        <w:t xml:space="preserve">Sobre el punto mencionó, una vez más, </w:t>
      </w:r>
      <w:r>
        <w:lastRenderedPageBreak/>
        <w:t>el testimonio de Zulema Filomena Leoni de Duday, quien r</w:t>
      </w:r>
      <w:r>
        <w:t>e</w:t>
      </w:r>
      <w:r>
        <w:t>lató que previo al atentado tenía una Trafic que usaba p</w:t>
      </w:r>
      <w:r>
        <w:t>a</w:t>
      </w:r>
      <w:r>
        <w:t>ra su trabajo y que en una oportunidad los polic</w:t>
      </w:r>
      <w:r>
        <w:t>í</w:t>
      </w:r>
      <w:r>
        <w:t>as que en forma reiterada vigilaban la casa de Telle</w:t>
      </w:r>
      <w:r>
        <w:t>l</w:t>
      </w:r>
      <w:r>
        <w:t>dín, ingresaron a su comercio para preguntar si esa c</w:t>
      </w:r>
      <w:r>
        <w:t>a</w:t>
      </w:r>
      <w:r>
        <w:t xml:space="preserve">mioneta estaba a la venta. </w:t>
      </w:r>
    </w:p>
    <w:p w:rsidR="00224567" w:rsidRDefault="00224567">
      <w:pPr>
        <w:widowControl w:val="0"/>
        <w:tabs>
          <w:tab w:val="left" w:pos="0"/>
        </w:tabs>
        <w:ind w:firstLine="2835"/>
      </w:pPr>
      <w:r>
        <w:t>Argumentó el acusador que nada te</w:t>
      </w:r>
      <w:r>
        <w:t>n</w:t>
      </w:r>
      <w:r>
        <w:t>dría de llamativo, si no fuera porque a esa fecha, Telleldín todavía no había publicado su cami</w:t>
      </w:r>
      <w:r>
        <w:t>o</w:t>
      </w:r>
      <w:r>
        <w:t>neta; dijo “no había a esa fecha ninguna Trafic a la venta, no se puede pr</w:t>
      </w:r>
      <w:r>
        <w:t>e</w:t>
      </w:r>
      <w:r>
        <w:t xml:space="preserve">guntar si esa era </w:t>
      </w:r>
      <w:smartTag w:uri="urn:schemas-microsoft-com:office:smarttags" w:element="PersonName">
        <w:smartTagPr>
          <w:attr w:name="ProductID" w:val="la Trafic"/>
        </w:smartTagPr>
        <w:r>
          <w:t>la Trafic</w:t>
        </w:r>
      </w:smartTag>
      <w:r>
        <w:t xml:space="preserve"> que estaba a la venta cuando esta persona no la iba a vender y cuando Telleldín tampoco la tenía a la venta, porque estábamos un tiempito antes del 10 de j</w:t>
      </w:r>
      <w:r>
        <w:t>u</w:t>
      </w:r>
      <w:r>
        <w:t>lio”.</w:t>
      </w:r>
    </w:p>
    <w:p w:rsidR="00224567" w:rsidRDefault="00224567">
      <w:pPr>
        <w:widowControl w:val="0"/>
        <w:tabs>
          <w:tab w:val="left" w:pos="0"/>
        </w:tabs>
        <w:ind w:firstLine="2835"/>
      </w:pPr>
      <w:r>
        <w:t>Esa indicación, esa pregunta, consid</w:t>
      </w:r>
      <w:r>
        <w:t>e</w:t>
      </w:r>
      <w:r>
        <w:t>ró el fiscal, evidencia que quienes iban a retirar el vehículo “estaban esperando ese aviso; ese aviso operaba como una señal de que la camioneta ya estaba lista”. “Lo último que se pretendía con ese aviso era vender la cami</w:t>
      </w:r>
      <w:r>
        <w:t>o</w:t>
      </w:r>
      <w:r>
        <w:t xml:space="preserve">neta, era un claro mensaje que fue entendido, el apuro del </w:t>
      </w:r>
      <w:r>
        <w:lastRenderedPageBreak/>
        <w:t>personal policial lo llevó a obrar imprudentemente en la forma que lo hicieron y efectuar esta pregunta”.</w:t>
      </w:r>
    </w:p>
    <w:p w:rsidR="00224567" w:rsidRDefault="00224567">
      <w:pPr>
        <w:widowControl w:val="0"/>
        <w:tabs>
          <w:tab w:val="left" w:pos="0"/>
        </w:tabs>
        <w:ind w:firstLine="2835"/>
      </w:pPr>
      <w:r>
        <w:t>Respecto de los dichos de Leoni, tr</w:t>
      </w:r>
      <w:r>
        <w:t>a</w:t>
      </w:r>
      <w:r>
        <w:t>jo a colación los testimonios de los oficiales Galassi y De Lucía, en cuanto recordaron las referencias que aquella les efectuó en punto al interés de los policías por una Trafic y que éstos, según la versión de la testigo, co</w:t>
      </w:r>
      <w:r>
        <w:t>n</w:t>
      </w:r>
      <w:r>
        <w:t>fundieron su c</w:t>
      </w:r>
      <w:r>
        <w:t>a</w:t>
      </w:r>
      <w:r>
        <w:t>mioneta con la de Telleldín.</w:t>
      </w:r>
    </w:p>
    <w:p w:rsidR="00224567" w:rsidRDefault="00224567">
      <w:pPr>
        <w:pStyle w:val="Textoindependiente2"/>
        <w:widowControl w:val="0"/>
        <w:tabs>
          <w:tab w:val="left" w:pos="0"/>
        </w:tabs>
        <w:ind w:firstLine="2835"/>
        <w:rPr>
          <w:rFonts w:ascii="Courier New" w:hAnsi="Courier New" w:cs="Courier New"/>
        </w:rPr>
      </w:pPr>
      <w:r>
        <w:rPr>
          <w:rFonts w:ascii="Courier New" w:hAnsi="Courier New" w:cs="Courier New"/>
        </w:rPr>
        <w:t>Expresó que “no hay ninguna duda que los policías estaban interesados en esa Trafic, querían saber simplemente si esa era la que estaba a la venta, p</w:t>
      </w:r>
      <w:r>
        <w:rPr>
          <w:rFonts w:ascii="Courier New" w:hAnsi="Courier New" w:cs="Courier New"/>
        </w:rPr>
        <w:t>e</w:t>
      </w:r>
      <w:r>
        <w:rPr>
          <w:rFonts w:ascii="Courier New" w:hAnsi="Courier New" w:cs="Courier New"/>
        </w:rPr>
        <w:t>ro lamentablemente esto fue antes del 9 de julio, día [en] que estaba a la venta la camioneta de Telleldín; [ento</w:t>
      </w:r>
      <w:r>
        <w:rPr>
          <w:rFonts w:ascii="Courier New" w:hAnsi="Courier New" w:cs="Courier New"/>
        </w:rPr>
        <w:t>n</w:t>
      </w:r>
      <w:r>
        <w:rPr>
          <w:rFonts w:ascii="Courier New" w:hAnsi="Courier New" w:cs="Courier New"/>
        </w:rPr>
        <w:t>ces] mal podían saberlo, si no fue porque realmente est</w:t>
      </w:r>
      <w:r>
        <w:rPr>
          <w:rFonts w:ascii="Courier New" w:hAnsi="Courier New" w:cs="Courier New"/>
        </w:rPr>
        <w:t>a</w:t>
      </w:r>
      <w:r>
        <w:rPr>
          <w:rFonts w:ascii="Courier New" w:hAnsi="Courier New" w:cs="Courier New"/>
        </w:rPr>
        <w:t>ban esperando este aviso, estaban esperando que la cami</w:t>
      </w:r>
      <w:r>
        <w:rPr>
          <w:rFonts w:ascii="Courier New" w:hAnsi="Courier New" w:cs="Courier New"/>
        </w:rPr>
        <w:t>o</w:t>
      </w:r>
      <w:r>
        <w:rPr>
          <w:rFonts w:ascii="Courier New" w:hAnsi="Courier New" w:cs="Courier New"/>
        </w:rPr>
        <w:t>neta fuera acond</w:t>
      </w:r>
      <w:r>
        <w:rPr>
          <w:rFonts w:ascii="Courier New" w:hAnsi="Courier New" w:cs="Courier New"/>
        </w:rPr>
        <w:t>i</w:t>
      </w:r>
      <w:r>
        <w:rPr>
          <w:rFonts w:ascii="Courier New" w:hAnsi="Courier New" w:cs="Courier New"/>
        </w:rPr>
        <w:t>cionada”.</w:t>
      </w:r>
    </w:p>
    <w:p w:rsidR="00224567" w:rsidRDefault="00224567">
      <w:pPr>
        <w:pStyle w:val="Textoindependiente2"/>
        <w:widowControl w:val="0"/>
        <w:tabs>
          <w:tab w:val="left" w:pos="0"/>
        </w:tabs>
        <w:ind w:firstLine="2835"/>
        <w:rPr>
          <w:rFonts w:ascii="Courier New" w:hAnsi="Courier New" w:cs="Courier New"/>
        </w:rPr>
      </w:pPr>
      <w:r>
        <w:rPr>
          <w:rFonts w:ascii="Courier New" w:hAnsi="Courier New" w:cs="Courier New"/>
        </w:rPr>
        <w:t>Con relación a la participación de los imputados, el fi</w:t>
      </w:r>
      <w:r>
        <w:rPr>
          <w:rFonts w:ascii="Courier New" w:hAnsi="Courier New" w:cs="Courier New"/>
        </w:rPr>
        <w:t>s</w:t>
      </w:r>
      <w:r>
        <w:rPr>
          <w:rFonts w:ascii="Courier New" w:hAnsi="Courier New" w:cs="Courier New"/>
        </w:rPr>
        <w:t xml:space="preserve">cal valoró los dichos del oficial Armando Calabró, quien en su condición de alto jefe de </w:t>
      </w:r>
      <w:smartTag w:uri="urn:schemas-microsoft-com:office:smarttags" w:element="PersonName">
        <w:smartTagPr>
          <w:attr w:name="ProductID" w:val="la Polic￭a Bonaerense"/>
        </w:smartTagPr>
        <w:r>
          <w:rPr>
            <w:rFonts w:ascii="Courier New" w:hAnsi="Courier New" w:cs="Courier New"/>
          </w:rPr>
          <w:t>la Policía Bonaerense</w:t>
        </w:r>
      </w:smartTag>
      <w:r>
        <w:rPr>
          <w:rFonts w:ascii="Courier New" w:hAnsi="Courier New" w:cs="Courier New"/>
        </w:rPr>
        <w:t>, manifestó que “no descartaba que por un tema económico, Ribelli se haya llevado la camioneta de Telle</w:t>
      </w:r>
      <w:r>
        <w:rPr>
          <w:rFonts w:ascii="Courier New" w:hAnsi="Courier New" w:cs="Courier New"/>
        </w:rPr>
        <w:t>l</w:t>
      </w:r>
      <w:r>
        <w:rPr>
          <w:rFonts w:ascii="Courier New" w:hAnsi="Courier New" w:cs="Courier New"/>
        </w:rPr>
        <w:lastRenderedPageBreak/>
        <w:t xml:space="preserve">dín”. Acotó que la declaración de Pedro Anastasio </w:t>
      </w:r>
      <w:r>
        <w:rPr>
          <w:rFonts w:ascii="Courier New" w:hAnsi="Courier New" w:cs="Courier New"/>
          <w:lang w:val="es-ES_tradnl"/>
        </w:rPr>
        <w:t>Klodczyk</w:t>
      </w:r>
      <w:r>
        <w:rPr>
          <w:rFonts w:ascii="Courier New" w:hAnsi="Courier New" w:cs="Courier New"/>
        </w:rPr>
        <w:t xml:space="preserve"> –incorporada por lectura- corroboró dicha circunstancia, en cuanto sostuvo que sabía que Ribelli tenía una agencia de compraventa de vehículos en sociedad con Federico Can</w:t>
      </w:r>
      <w:r>
        <w:rPr>
          <w:rFonts w:ascii="Courier New" w:hAnsi="Courier New" w:cs="Courier New"/>
        </w:rPr>
        <w:t>e</w:t>
      </w:r>
      <w:r>
        <w:rPr>
          <w:rFonts w:ascii="Courier New" w:hAnsi="Courier New" w:cs="Courier New"/>
        </w:rPr>
        <w:t>va; que nunca tuvo dudas de la negociación que Ribelli h</w:t>
      </w:r>
      <w:r>
        <w:rPr>
          <w:rFonts w:ascii="Courier New" w:hAnsi="Courier New" w:cs="Courier New"/>
        </w:rPr>
        <w:t>a</w:t>
      </w:r>
      <w:r>
        <w:rPr>
          <w:rFonts w:ascii="Courier New" w:hAnsi="Courier New" w:cs="Courier New"/>
        </w:rPr>
        <w:t xml:space="preserve">bía entablado con Telleldín en </w:t>
      </w:r>
      <w:smartTag w:uri="urn:schemas-microsoft-com:office:smarttags" w:element="PersonName">
        <w:smartTagPr>
          <w:attr w:name="ProductID" w:val="la Brigada"/>
        </w:smartTagPr>
        <w:r>
          <w:rPr>
            <w:rFonts w:ascii="Courier New" w:hAnsi="Courier New" w:cs="Courier New"/>
          </w:rPr>
          <w:t>la Brigada</w:t>
        </w:r>
      </w:smartTag>
      <w:r>
        <w:rPr>
          <w:rFonts w:ascii="Courier New" w:hAnsi="Courier New" w:cs="Courier New"/>
        </w:rPr>
        <w:t xml:space="preserve"> de Lanús; que esa extorsión existió o, al menos, de acuerdo a la modal</w:t>
      </w:r>
      <w:r>
        <w:rPr>
          <w:rFonts w:ascii="Courier New" w:hAnsi="Courier New" w:cs="Courier New"/>
        </w:rPr>
        <w:t>i</w:t>
      </w:r>
      <w:r>
        <w:rPr>
          <w:rFonts w:ascii="Courier New" w:hAnsi="Courier New" w:cs="Courier New"/>
        </w:rPr>
        <w:t xml:space="preserve">dad de la brigada, pudo haber existido; que no tenía la misma certeza respecto de la recepción de </w:t>
      </w:r>
      <w:smartTag w:uri="urn:schemas-microsoft-com:office:smarttags" w:element="PersonName">
        <w:smartTagPr>
          <w:attr w:name="ProductID" w:val="la Trafic"/>
        </w:smartTagPr>
        <w:r>
          <w:rPr>
            <w:rFonts w:ascii="Courier New" w:hAnsi="Courier New" w:cs="Courier New"/>
          </w:rPr>
          <w:t>la Tr</w:t>
        </w:r>
        <w:r>
          <w:rPr>
            <w:rFonts w:ascii="Courier New" w:hAnsi="Courier New" w:cs="Courier New"/>
          </w:rPr>
          <w:t>a</w:t>
        </w:r>
        <w:r>
          <w:rPr>
            <w:rFonts w:ascii="Courier New" w:hAnsi="Courier New" w:cs="Courier New"/>
          </w:rPr>
          <w:t>fic</w:t>
        </w:r>
      </w:smartTag>
      <w:r>
        <w:rPr>
          <w:rFonts w:ascii="Courier New" w:hAnsi="Courier New" w:cs="Courier New"/>
        </w:rPr>
        <w:t xml:space="preserve"> usada para el atentado, aclarando, luego de conocer otras ci</w:t>
      </w:r>
      <w:r>
        <w:rPr>
          <w:rFonts w:ascii="Courier New" w:hAnsi="Courier New" w:cs="Courier New"/>
        </w:rPr>
        <w:t>r</w:t>
      </w:r>
      <w:r>
        <w:rPr>
          <w:rFonts w:ascii="Courier New" w:hAnsi="Courier New" w:cs="Courier New"/>
        </w:rPr>
        <w:t>cunstancias, que creyó como una hipótesis viable la part</w:t>
      </w:r>
      <w:r>
        <w:rPr>
          <w:rFonts w:ascii="Courier New" w:hAnsi="Courier New" w:cs="Courier New"/>
        </w:rPr>
        <w:t>i</w:t>
      </w:r>
      <w:r>
        <w:rPr>
          <w:rFonts w:ascii="Courier New" w:hAnsi="Courier New" w:cs="Courier New"/>
        </w:rPr>
        <w:t>cipación de Ribelli en el atentado y que el aspecto econ</w:t>
      </w:r>
      <w:r>
        <w:rPr>
          <w:rFonts w:ascii="Courier New" w:hAnsi="Courier New" w:cs="Courier New"/>
        </w:rPr>
        <w:t>ó</w:t>
      </w:r>
      <w:r>
        <w:rPr>
          <w:rFonts w:ascii="Courier New" w:hAnsi="Courier New" w:cs="Courier New"/>
        </w:rPr>
        <w:t>mico lo debía haber movilizado. También sostuvo que según los dichos del testigo, las actitudes de Juan José Ribelli han demostrado que podía ser responsable del ate</w:t>
      </w:r>
      <w:r>
        <w:rPr>
          <w:rFonts w:ascii="Courier New" w:hAnsi="Courier New" w:cs="Courier New"/>
        </w:rPr>
        <w:t>n</w:t>
      </w:r>
      <w:r>
        <w:rPr>
          <w:rFonts w:ascii="Courier New" w:hAnsi="Courier New" w:cs="Courier New"/>
        </w:rPr>
        <w:t>tado.</w:t>
      </w:r>
    </w:p>
    <w:p w:rsidR="00224567" w:rsidRDefault="00224567">
      <w:pPr>
        <w:pStyle w:val="Textoindependiente2"/>
        <w:widowControl w:val="0"/>
        <w:tabs>
          <w:tab w:val="left" w:pos="0"/>
        </w:tabs>
        <w:ind w:firstLine="2835"/>
        <w:rPr>
          <w:rFonts w:ascii="Courier New" w:hAnsi="Courier New" w:cs="Courier New"/>
          <w:lang w:val="es-ES_tradnl"/>
        </w:rPr>
      </w:pPr>
      <w:r>
        <w:rPr>
          <w:rFonts w:ascii="Courier New" w:hAnsi="Courier New" w:cs="Courier New"/>
        </w:rPr>
        <w:t xml:space="preserve">El ex socio de </w:t>
      </w:r>
      <w:r>
        <w:rPr>
          <w:rFonts w:ascii="Courier New" w:hAnsi="Courier New" w:cs="Courier New"/>
          <w:lang w:val="es-ES_tradnl"/>
        </w:rPr>
        <w:t>Klodczyk, José Rubén Cirocco, alegó el fiscal, escuchó una charla que aquél mantenía con el entonces segundo jefe Norberto José Pad</w:t>
      </w:r>
      <w:r>
        <w:rPr>
          <w:rFonts w:ascii="Courier New" w:hAnsi="Courier New" w:cs="Courier New"/>
          <w:lang w:val="es-ES_tradnl"/>
        </w:rPr>
        <w:t>i</w:t>
      </w:r>
      <w:r>
        <w:rPr>
          <w:rFonts w:ascii="Courier New" w:hAnsi="Courier New" w:cs="Courier New"/>
          <w:lang w:val="es-ES_tradnl"/>
        </w:rPr>
        <w:t>lla, en la cual comentaba que sentía temor de que Anast</w:t>
      </w:r>
      <w:r>
        <w:rPr>
          <w:rFonts w:ascii="Courier New" w:hAnsi="Courier New" w:cs="Courier New"/>
          <w:lang w:val="es-ES_tradnl"/>
        </w:rPr>
        <w:t>a</w:t>
      </w:r>
      <w:r>
        <w:rPr>
          <w:rFonts w:ascii="Courier New" w:hAnsi="Courier New" w:cs="Courier New"/>
          <w:lang w:val="es-ES_tradnl"/>
        </w:rPr>
        <w:t xml:space="preserve">sio Ireneo Leal se quebrara, en alusión a la posibilidad </w:t>
      </w:r>
      <w:r>
        <w:rPr>
          <w:rFonts w:ascii="Courier New" w:hAnsi="Courier New" w:cs="Courier New"/>
          <w:lang w:val="es-ES_tradnl"/>
        </w:rPr>
        <w:lastRenderedPageBreak/>
        <w:t>de que el nombrado exponga acerca de “todo lo que sabe”.</w:t>
      </w:r>
    </w:p>
    <w:p w:rsidR="00224567" w:rsidRDefault="00224567">
      <w:pPr>
        <w:pStyle w:val="Textoindependiente2"/>
        <w:widowControl w:val="0"/>
        <w:tabs>
          <w:tab w:val="left" w:pos="0"/>
        </w:tabs>
        <w:ind w:firstLine="2835"/>
        <w:rPr>
          <w:rFonts w:ascii="Courier New" w:hAnsi="Courier New" w:cs="Courier New"/>
          <w:lang w:val="es-ES_tradnl"/>
        </w:rPr>
      </w:pPr>
      <w:r>
        <w:rPr>
          <w:rFonts w:ascii="Courier New" w:hAnsi="Courier New" w:cs="Courier New"/>
          <w:lang w:val="es-ES_tradnl"/>
        </w:rPr>
        <w:t>Resaltó que el testimonio de Klodczyk resultó trascendente no sólo por su cont</w:t>
      </w:r>
      <w:r>
        <w:rPr>
          <w:rFonts w:ascii="Courier New" w:hAnsi="Courier New" w:cs="Courier New"/>
          <w:lang w:val="es-ES_tradnl"/>
        </w:rPr>
        <w:t>e</w:t>
      </w:r>
      <w:r>
        <w:rPr>
          <w:rFonts w:ascii="Courier New" w:hAnsi="Courier New" w:cs="Courier New"/>
          <w:lang w:val="es-ES_tradnl"/>
        </w:rPr>
        <w:t>nido, sino porque se trataba del jefe de policía que, además, había compa</w:t>
      </w:r>
      <w:r>
        <w:rPr>
          <w:rFonts w:ascii="Courier New" w:hAnsi="Courier New" w:cs="Courier New"/>
          <w:lang w:val="es-ES_tradnl"/>
        </w:rPr>
        <w:t>r</w:t>
      </w:r>
      <w:r>
        <w:rPr>
          <w:rFonts w:ascii="Courier New" w:hAnsi="Courier New" w:cs="Courier New"/>
          <w:lang w:val="es-ES_tradnl"/>
        </w:rPr>
        <w:t>tido diversos destinos con el imputado Ribelli a partir del año 1987 y mantenían una estrecha relación, cuanto m</w:t>
      </w:r>
      <w:r>
        <w:rPr>
          <w:rFonts w:ascii="Courier New" w:hAnsi="Courier New" w:cs="Courier New"/>
          <w:lang w:val="es-ES_tradnl"/>
        </w:rPr>
        <w:t>e</w:t>
      </w:r>
      <w:r>
        <w:rPr>
          <w:rFonts w:ascii="Courier New" w:hAnsi="Courier New" w:cs="Courier New"/>
          <w:lang w:val="es-ES_tradnl"/>
        </w:rPr>
        <w:t>nos, funcional.</w:t>
      </w:r>
    </w:p>
    <w:p w:rsidR="00224567" w:rsidRDefault="00224567">
      <w:pPr>
        <w:pStyle w:val="Textoindependiente2"/>
        <w:widowControl w:val="0"/>
        <w:tabs>
          <w:tab w:val="left" w:pos="0"/>
        </w:tabs>
        <w:ind w:firstLine="2835"/>
        <w:rPr>
          <w:rFonts w:ascii="Courier New" w:hAnsi="Courier New" w:cs="Courier New"/>
        </w:rPr>
      </w:pPr>
      <w:r>
        <w:rPr>
          <w:rFonts w:ascii="Courier New" w:hAnsi="Courier New" w:cs="Courier New"/>
          <w:lang w:val="es-ES_tradnl"/>
        </w:rPr>
        <w:t>Altamente intimidatorias result</w:t>
      </w:r>
      <w:r>
        <w:rPr>
          <w:rFonts w:ascii="Courier New" w:hAnsi="Courier New" w:cs="Courier New"/>
          <w:lang w:val="es-ES_tradnl"/>
        </w:rPr>
        <w:t>a</w:t>
      </w:r>
      <w:r>
        <w:rPr>
          <w:rFonts w:ascii="Courier New" w:hAnsi="Courier New" w:cs="Courier New"/>
          <w:lang w:val="es-ES_tradnl"/>
        </w:rPr>
        <w:t>ron, a su juicio, las conversaciones telefónicas mantenidas entre los imputados previo a sus detenciones. Las escuchas, ad</w:t>
      </w:r>
      <w:r>
        <w:rPr>
          <w:rFonts w:ascii="Courier New" w:hAnsi="Courier New" w:cs="Courier New"/>
          <w:lang w:val="es-ES_tradnl"/>
        </w:rPr>
        <w:t>e</w:t>
      </w:r>
      <w:r>
        <w:rPr>
          <w:rFonts w:ascii="Courier New" w:hAnsi="Courier New" w:cs="Courier New"/>
          <w:lang w:val="es-ES_tradnl"/>
        </w:rPr>
        <w:t>más de dejar al descubierto una fuerte presunción de c</w:t>
      </w:r>
      <w:r>
        <w:rPr>
          <w:rFonts w:ascii="Courier New" w:hAnsi="Courier New" w:cs="Courier New"/>
          <w:lang w:val="es-ES_tradnl"/>
        </w:rPr>
        <w:t>o</w:t>
      </w:r>
      <w:r>
        <w:rPr>
          <w:rFonts w:ascii="Courier New" w:hAnsi="Courier New" w:cs="Courier New"/>
          <w:lang w:val="es-ES_tradnl"/>
        </w:rPr>
        <w:t>rrupción que guiaba el proceder de los policías imput</w:t>
      </w:r>
      <w:r>
        <w:rPr>
          <w:rFonts w:ascii="Courier New" w:hAnsi="Courier New" w:cs="Courier New"/>
          <w:lang w:val="es-ES_tradnl"/>
        </w:rPr>
        <w:t>a</w:t>
      </w:r>
      <w:r>
        <w:rPr>
          <w:rFonts w:ascii="Courier New" w:hAnsi="Courier New" w:cs="Courier New"/>
          <w:lang w:val="es-ES_tradnl"/>
        </w:rPr>
        <w:t>dos, respaldan el compromiso que algunos de ellos tenían dire</w:t>
      </w:r>
      <w:r>
        <w:rPr>
          <w:rFonts w:ascii="Courier New" w:hAnsi="Courier New" w:cs="Courier New"/>
          <w:lang w:val="es-ES_tradnl"/>
        </w:rPr>
        <w:t>c</w:t>
      </w:r>
      <w:r>
        <w:rPr>
          <w:rFonts w:ascii="Courier New" w:hAnsi="Courier New" w:cs="Courier New"/>
          <w:lang w:val="es-ES_tradnl"/>
        </w:rPr>
        <w:t>tamente con el atentado, en la medida que evidencian -de manera inequívoca- la preocupación por un nuevo anivers</w:t>
      </w:r>
      <w:r>
        <w:rPr>
          <w:rFonts w:ascii="Courier New" w:hAnsi="Courier New" w:cs="Courier New"/>
          <w:lang w:val="es-ES_tradnl"/>
        </w:rPr>
        <w:t>a</w:t>
      </w:r>
      <w:r>
        <w:rPr>
          <w:rFonts w:ascii="Courier New" w:hAnsi="Courier New" w:cs="Courier New"/>
          <w:lang w:val="es-ES_tradnl"/>
        </w:rPr>
        <w:t>rio del acto terrorista y, a su vez, dejan en claro la planificación de una estrategia para afro</w:t>
      </w:r>
      <w:r>
        <w:rPr>
          <w:rFonts w:ascii="Courier New" w:hAnsi="Courier New" w:cs="Courier New"/>
          <w:lang w:val="es-ES_tradnl"/>
        </w:rPr>
        <w:t>n</w:t>
      </w:r>
      <w:r>
        <w:rPr>
          <w:rFonts w:ascii="Courier New" w:hAnsi="Courier New" w:cs="Courier New"/>
          <w:lang w:val="es-ES_tradnl"/>
        </w:rPr>
        <w:t>tar con éxito la investigación.</w:t>
      </w:r>
    </w:p>
    <w:p w:rsidR="00224567" w:rsidRDefault="00224567">
      <w:pPr>
        <w:pStyle w:val="Textoindependiente"/>
        <w:spacing w:line="600" w:lineRule="auto"/>
        <w:ind w:firstLine="2835"/>
      </w:pPr>
      <w:r>
        <w:t>Al respecto, aludió a las siguientes conversaciones telefónicas: a) entre Rib</w:t>
      </w:r>
      <w:r>
        <w:t>e</w:t>
      </w:r>
      <w:r>
        <w:t xml:space="preserve">lli e Ibarra, del día 5 de julio de 1996 (casete 34, lado “A”, vuelta 1200, </w:t>
      </w:r>
      <w:r>
        <w:lastRenderedPageBreak/>
        <w:t>abonado  425-8982), dónde aquél advirtió que ante la cerc</w:t>
      </w:r>
      <w:r>
        <w:t>a</w:t>
      </w:r>
      <w:r>
        <w:t>nía del aniversario había que tener todo prolijo, a lo que Ibarra asintió, vislumbrando una actitud de resign</w:t>
      </w:r>
      <w:r>
        <w:t>a</w:t>
      </w:r>
      <w:r>
        <w:t xml:space="preserve">ción, al decir “cuando llegue lo que imaginaban, lo que podía llegar a ocurrir”; b) entre Ibarra y una persona de nombre Raúl, del 8 de julio de 1996 (casete 12, lado “A”, vuelta 1222, mismo abonado), en la que aquél refirió, aludiendo a Juan José Ribelli, que “está que corta bulones con el ‘orto’” por el tema de </w:t>
      </w:r>
      <w:smartTag w:uri="urn:schemas-microsoft-com:office:smarttags" w:element="PersonName">
        <w:smartTagPr>
          <w:attr w:name="ProductID" w:val="la A.M"/>
        </w:smartTagPr>
        <w:r>
          <w:t>la A.M</w:t>
        </w:r>
      </w:smartTag>
      <w:r>
        <w:t>.I.A., insistiendo que está muy ne</w:t>
      </w:r>
      <w:r>
        <w:t>r</w:t>
      </w:r>
      <w:r>
        <w:t>vioso por la cercanía del aniversario; c) entre Ribelli y Jorge Sebastián Menno, del 12 de julio de 1996 (c</w:t>
      </w:r>
      <w:r>
        <w:t>e</w:t>
      </w:r>
      <w:r>
        <w:t>lular nº  440-6746), en la cual éste hizo saber que el jefe de pol</w:t>
      </w:r>
      <w:r>
        <w:t>i</w:t>
      </w:r>
      <w:r>
        <w:t>cía había convocado a una reunión con Alberto Piotti “ya que había una mala noticia, coligiendo Ribelli automátic</w:t>
      </w:r>
      <w:r>
        <w:t>a</w:t>
      </w:r>
      <w:r>
        <w:t>mente que debía tratarse del tema “Baci”, en alusión al oficial Bacigalupo, y la cercanía del segu</w:t>
      </w:r>
      <w:r>
        <w:t>n</w:t>
      </w:r>
      <w:r>
        <w:t>do aniversario; agregó Ribelli que “si se verificaba la existencia de d</w:t>
      </w:r>
      <w:r>
        <w:t>e</w:t>
      </w:r>
      <w:r>
        <w:t>tenciones para el personal, estaba todo el mundo para p</w:t>
      </w:r>
      <w:r>
        <w:t>o</w:t>
      </w:r>
      <w:r>
        <w:t>ner el pecho” y, d) entre Ribelli e Ibarra, del mismo día (c</w:t>
      </w:r>
      <w:r>
        <w:t>a</w:t>
      </w:r>
      <w:r>
        <w:t xml:space="preserve">sete 60, lado “A”, vuelta 100) en la que Ribelli vincula </w:t>
      </w:r>
      <w:r>
        <w:lastRenderedPageBreak/>
        <w:t>dicha reunión con la cercanía del segundo aniversario y, según dice, le origina un mal presentimie</w:t>
      </w:r>
      <w:r>
        <w:t>n</w:t>
      </w:r>
      <w:r>
        <w:t>to.</w:t>
      </w:r>
    </w:p>
    <w:p w:rsidR="00224567" w:rsidRDefault="00224567">
      <w:pPr>
        <w:pStyle w:val="Textoindependiente"/>
        <w:spacing w:line="600" w:lineRule="auto"/>
        <w:ind w:firstLine="2835"/>
      </w:pPr>
      <w:r>
        <w:t>Consideró que era sumamente sugestivo el desvelo y nerviosismo evidenciado por los interloc</w:t>
      </w:r>
      <w:r>
        <w:t>u</w:t>
      </w:r>
      <w:r>
        <w:t>tores por el sólo hecho de que se av</w:t>
      </w:r>
      <w:r>
        <w:t>e</w:t>
      </w:r>
      <w:r>
        <w:t>cinara un nuevo 18 de julio, puesto que hasta ese entonces no sabían que sus detenciones estaban próximas a ser ordenadas, tampoco se encontraban imputados de delito alguno, ni c</w:t>
      </w:r>
      <w:r>
        <w:t>o</w:t>
      </w:r>
      <w:r>
        <w:t>nocían de la investigación en trám</w:t>
      </w:r>
      <w:r>
        <w:t>i</w:t>
      </w:r>
      <w:r>
        <w:t>te.</w:t>
      </w:r>
    </w:p>
    <w:p w:rsidR="00224567" w:rsidRDefault="00224567">
      <w:pPr>
        <w:pStyle w:val="Textoindependiente"/>
        <w:spacing w:line="600" w:lineRule="auto"/>
        <w:ind w:firstLine="2835"/>
      </w:pPr>
      <w:r>
        <w:t>Se preguntó, entonces, ¿qué era lo que realmente los preocupaba? y ¿a qué se debía la intranquil</w:t>
      </w:r>
      <w:r>
        <w:t>i</w:t>
      </w:r>
      <w:r>
        <w:t>dad que dejaban traslucir en cada uno de sus diálogos?. Ello obedecía, según su criterio, al conocimiento que t</w:t>
      </w:r>
      <w:r>
        <w:t>e</w:t>
      </w:r>
      <w:r>
        <w:t>nían sobre los extremos investigados, por la intervención que a cada uno cupo en el hecho princ</w:t>
      </w:r>
      <w:r>
        <w:t>i</w:t>
      </w:r>
      <w:r>
        <w:t xml:space="preserve">pal. </w:t>
      </w:r>
    </w:p>
    <w:p w:rsidR="00224567" w:rsidRDefault="00224567">
      <w:pPr>
        <w:pStyle w:val="Textoindependiente"/>
        <w:spacing w:line="600" w:lineRule="auto"/>
        <w:ind w:firstLine="2835"/>
      </w:pPr>
      <w:r>
        <w:t xml:space="preserve"> A mayor abundamiento, citó la conve</w:t>
      </w:r>
      <w:r>
        <w:t>r</w:t>
      </w:r>
      <w:r>
        <w:t>sación registrada en el casete 62, lado “A”, vuelta 480, en la que Juan José Ribelli intentó nuevamente tomar conoc</w:t>
      </w:r>
      <w:r>
        <w:t>i</w:t>
      </w:r>
      <w:r>
        <w:t>miento acerca de los pormenores de la mentada reunión, r</w:t>
      </w:r>
      <w:r>
        <w:t>e</w:t>
      </w:r>
      <w:r>
        <w:t>firiendo que no había ningún problema porque estaban ment</w:t>
      </w:r>
      <w:r>
        <w:t>a</w:t>
      </w:r>
      <w:r>
        <w:t>lizados que si pasaba algo se iban a presentar con el  pr</w:t>
      </w:r>
      <w:r>
        <w:t>o</w:t>
      </w:r>
      <w:r>
        <w:lastRenderedPageBreak/>
        <w:t>pósito  “de ver hasta qué nivel a</w:t>
      </w:r>
      <w:r>
        <w:t>l</w:t>
      </w:r>
      <w:r>
        <w:t>canza”.</w:t>
      </w:r>
    </w:p>
    <w:p w:rsidR="00224567" w:rsidRDefault="00224567">
      <w:pPr>
        <w:pStyle w:val="Textoindependiente"/>
        <w:spacing w:line="600" w:lineRule="auto"/>
        <w:ind w:firstLine="2835"/>
      </w:pPr>
      <w:r>
        <w:t>El fiscal argumentó que si desconoc</w:t>
      </w:r>
      <w:r>
        <w:t>í</w:t>
      </w:r>
      <w:r>
        <w:t>an de qué se trataba y no tenían participación en el hecho, entonces “¿cuál era la intención de presentarse para ver hasta que nivel alcanza la i</w:t>
      </w:r>
      <w:r>
        <w:t>n</w:t>
      </w:r>
      <w:r>
        <w:t>vestigación?”.</w:t>
      </w:r>
    </w:p>
    <w:p w:rsidR="00224567" w:rsidRDefault="00224567">
      <w:pPr>
        <w:pStyle w:val="Textoindependiente"/>
        <w:spacing w:line="600" w:lineRule="auto"/>
        <w:ind w:firstLine="2835"/>
      </w:pPr>
      <w:r>
        <w:t>En suma, refirió que las palabras de los interlocutores dejaron bien en claro que estaban al tanto de que se trataba del tema A.M.I.A. y la preoc</w:t>
      </w:r>
      <w:r>
        <w:t>u</w:t>
      </w:r>
      <w:r>
        <w:t>pación que los aquejaba era  justamente por la participación que tuvieron.</w:t>
      </w:r>
    </w:p>
    <w:p w:rsidR="00224567" w:rsidRDefault="00224567">
      <w:pPr>
        <w:widowControl w:val="0"/>
        <w:tabs>
          <w:tab w:val="left" w:pos="0"/>
        </w:tabs>
        <w:ind w:firstLine="2835"/>
      </w:pPr>
      <w:r>
        <w:t>Tras hacer mención a otra convers</w:t>
      </w:r>
      <w:r>
        <w:t>a</w:t>
      </w:r>
      <w:r>
        <w:t>ción telefónica del 12 de julio de 1996 entre Juan José Ribelli y el comisario Miqueleitz (casete 65, lado “A”, vuelta 90), y la de aquél con Bautista Alberto Huici, en la que lo instruyó acerca de la negativa a declarar en caso de que se ordenara su d</w:t>
      </w:r>
      <w:r>
        <w:t>e</w:t>
      </w:r>
      <w:r>
        <w:t>tención, el fiscal arribó a la misma conclusión: “esa preocupación que evidenciaban responde claramente a la participación que tuvieron en el atent</w:t>
      </w:r>
      <w:r>
        <w:t>a</w:t>
      </w:r>
      <w:r>
        <w:t>do”; preocupación que, dijo, “va de la mano” al fracaso, para ese entonces, de dos de</w:t>
      </w:r>
      <w:r>
        <w:t>s</w:t>
      </w:r>
      <w:r>
        <w:t xml:space="preserve">víos introducidos para evitar </w:t>
      </w:r>
      <w:r>
        <w:lastRenderedPageBreak/>
        <w:t>que se llegara a los ac</w:t>
      </w:r>
      <w:r>
        <w:t>u</w:t>
      </w:r>
      <w:r>
        <w:t>sados, los de Solari y Salguero.</w:t>
      </w:r>
    </w:p>
    <w:p w:rsidR="00224567" w:rsidRDefault="00224567">
      <w:pPr>
        <w:widowControl w:val="0"/>
        <w:tabs>
          <w:tab w:val="left" w:pos="0"/>
        </w:tabs>
        <w:ind w:firstLine="2835"/>
      </w:pPr>
      <w:r>
        <w:t>Indicó el representante del Minist</w:t>
      </w:r>
      <w:r>
        <w:t>e</w:t>
      </w:r>
      <w:r>
        <w:t>rio Público Fiscal que a tal punto llegó la preocupación de Juan José Ribelli que, anticipándose a lo que vendría, el 21 de junio de 1996, días antes de las conversaciones t</w:t>
      </w:r>
      <w:r>
        <w:t>e</w:t>
      </w:r>
      <w:r>
        <w:t>lefónicas citadas, y menos de un mes antes de su dete</w:t>
      </w:r>
      <w:r>
        <w:t>n</w:t>
      </w:r>
      <w:r>
        <w:t>ción, firmó un poder de administración y disposición de bienes en favor de Federico Caneva, cua</w:t>
      </w:r>
      <w:r>
        <w:t>n</w:t>
      </w:r>
      <w:r>
        <w:t>do nunca antes lo había hecho. Todo indica, señaló el fiscal, que la final</w:t>
      </w:r>
      <w:r>
        <w:t>i</w:t>
      </w:r>
      <w:r>
        <w:t>dad de este poder estaba asociada con la posibilidad de que se efectivice su detención que, con muy buen tino, avizoró.</w:t>
      </w:r>
    </w:p>
    <w:p w:rsidR="00224567" w:rsidRDefault="00224567">
      <w:pPr>
        <w:widowControl w:val="0"/>
        <w:tabs>
          <w:tab w:val="left" w:pos="0"/>
        </w:tabs>
        <w:ind w:firstLine="2835"/>
      </w:pPr>
      <w:r>
        <w:t>En otro orden, el fiscal afirmó que Juan José Ribelli recibió como pago total o pa</w:t>
      </w:r>
      <w:r>
        <w:t>r</w:t>
      </w:r>
      <w:r>
        <w:t xml:space="preserve">cial por el atentado, la suma de USD 2.500.000. </w:t>
      </w:r>
    </w:p>
    <w:p w:rsidR="00224567" w:rsidRDefault="00224567">
      <w:pPr>
        <w:widowControl w:val="0"/>
        <w:tabs>
          <w:tab w:val="left" w:pos="0"/>
        </w:tabs>
        <w:ind w:firstLine="2835"/>
      </w:pPr>
      <w:r>
        <w:t>Al respecto, sostuvo que la pru</w:t>
      </w:r>
      <w:r>
        <w:t>e</w:t>
      </w:r>
      <w:r>
        <w:t>ba del debate acreditó que el 11 de julio de 1994, un día después de que Ribelli recibiera la camioneta Renault, modelo Tr</w:t>
      </w:r>
      <w:r>
        <w:t>a</w:t>
      </w:r>
      <w:r>
        <w:t>fic, de manos de Raúl Edilio Ibarra y de Anast</w:t>
      </w:r>
      <w:r>
        <w:t>a</w:t>
      </w:r>
      <w:r>
        <w:t xml:space="preserve">sio Ireneo Leal, siete días antes del atentado y entre dos de sus viajes, su padre Miguel Gregorio Ribelli compareció ante </w:t>
      </w:r>
      <w:r>
        <w:lastRenderedPageBreak/>
        <w:t>la escribana Juana María V</w:t>
      </w:r>
      <w:r>
        <w:t>a</w:t>
      </w:r>
      <w:r>
        <w:t>quer Garmendia para manifestar que había realizado una partición anticipada de bienes y un reparto entre sus cinco hijos, entre ellos Juan José, corre</w:t>
      </w:r>
      <w:r>
        <w:t>s</w:t>
      </w:r>
      <w:r>
        <w:t xml:space="preserve">pondiéndoles USD </w:t>
      </w:r>
      <w:smartTag w:uri="urn:schemas-microsoft-com:office:smarttags" w:element="metricconverter">
        <w:smartTagPr>
          <w:attr w:name="ProductID" w:val="500.000 a"/>
        </w:smartTagPr>
        <w:r>
          <w:t>500.000 a</w:t>
        </w:r>
      </w:smartTag>
      <w:r>
        <w:t xml:space="preserve"> cada uno. </w:t>
      </w:r>
    </w:p>
    <w:p w:rsidR="00224567" w:rsidRDefault="00224567">
      <w:pPr>
        <w:widowControl w:val="0"/>
        <w:tabs>
          <w:tab w:val="left" w:pos="0"/>
        </w:tabs>
        <w:ind w:firstLine="2835"/>
      </w:pPr>
      <w:r>
        <w:t>La escritura que lo instrumentó -la nº 152, agregada entre los folios 382/4 del protocolo-, fue secuestrada en la sede de la escribanía Vaquer Garmendia en el mes de noviembre de 1997.</w:t>
      </w:r>
    </w:p>
    <w:p w:rsidR="00224567" w:rsidRDefault="00224567">
      <w:pPr>
        <w:widowControl w:val="0"/>
        <w:tabs>
          <w:tab w:val="left" w:pos="0"/>
        </w:tabs>
        <w:ind w:firstLine="2835"/>
        <w:rPr>
          <w:lang w:val="es-AR"/>
        </w:rPr>
      </w:pPr>
      <w:r>
        <w:rPr>
          <w:lang w:val="es-AR"/>
        </w:rPr>
        <w:t>A criterio de la fiscalía, la escrit</w:t>
      </w:r>
      <w:r>
        <w:rPr>
          <w:lang w:val="es-AR"/>
        </w:rPr>
        <w:t>u</w:t>
      </w:r>
      <w:r>
        <w:rPr>
          <w:lang w:val="es-AR"/>
        </w:rPr>
        <w:t>ra documentó un hecho a todas luces incierto, por cuanto es harto dificultoso que el progenitor del imputado Rib</w:t>
      </w:r>
      <w:r>
        <w:rPr>
          <w:lang w:val="es-AR"/>
        </w:rPr>
        <w:t>e</w:t>
      </w:r>
      <w:r>
        <w:rPr>
          <w:lang w:val="es-AR"/>
        </w:rPr>
        <w:t>lli, quien se desempeñó y se jubiló como empleado ferr</w:t>
      </w:r>
      <w:r>
        <w:rPr>
          <w:lang w:val="es-AR"/>
        </w:rPr>
        <w:t>o</w:t>
      </w:r>
      <w:r>
        <w:rPr>
          <w:lang w:val="es-AR"/>
        </w:rPr>
        <w:t xml:space="preserve">viario, pudiera reunir semejante fortuna con sus alicaídos sueldos. Por la prueba que mencionó –testimonios de Jaime Leonardo Mecikovsky, Carlos Alberto Gesto, Jorge Daniel Ferra y Carmelo Juan Ionno, como así también el informe de </w:t>
      </w:r>
      <w:smartTag w:uri="urn:schemas-microsoft-com:office:smarttags" w:element="PersonName">
        <w:smartTagPr>
          <w:attr w:name="ProductID" w:val="la Caja"/>
        </w:smartTagPr>
        <w:r>
          <w:rPr>
            <w:lang w:val="es-AR"/>
          </w:rPr>
          <w:t>la Caja</w:t>
        </w:r>
      </w:smartTag>
      <w:r>
        <w:rPr>
          <w:lang w:val="es-AR"/>
        </w:rPr>
        <w:t xml:space="preserve"> de Valores de fs. 59.680 y la fotografía de la c</w:t>
      </w:r>
      <w:r>
        <w:rPr>
          <w:lang w:val="es-AR"/>
        </w:rPr>
        <w:t>a</w:t>
      </w:r>
      <w:r>
        <w:rPr>
          <w:lang w:val="es-AR"/>
        </w:rPr>
        <w:t>sa de Miguel Gregorio Ribelli- descartó que éste tuviera en su haber esa s</w:t>
      </w:r>
      <w:r>
        <w:rPr>
          <w:lang w:val="es-AR"/>
        </w:rPr>
        <w:t>u</w:t>
      </w:r>
      <w:r>
        <w:rPr>
          <w:lang w:val="es-AR"/>
        </w:rPr>
        <w:t>ma de dinero.</w:t>
      </w:r>
    </w:p>
    <w:p w:rsidR="00224567" w:rsidRDefault="00224567">
      <w:pPr>
        <w:widowControl w:val="0"/>
        <w:tabs>
          <w:tab w:val="left" w:pos="0"/>
        </w:tabs>
        <w:ind w:firstLine="2835"/>
      </w:pPr>
      <w:r>
        <w:rPr>
          <w:lang w:val="es-AR"/>
        </w:rPr>
        <w:t xml:space="preserve">También consideró significativo que </w:t>
      </w:r>
      <w:r>
        <w:t xml:space="preserve">la </w:t>
      </w:r>
      <w:r>
        <w:lastRenderedPageBreak/>
        <w:t>escritura se re</w:t>
      </w:r>
      <w:r>
        <w:t>a</w:t>
      </w:r>
      <w:r>
        <w:t>lizara en la ciudad de Buenos Aires, y no en el pueblo de Lobos, como era dable suponer por la edad y estado de salud de Miguel Gregorio Ribelli; ello tenía por objeto, a su juicio, que la operación no trascendiera como sucede a menudo en pueblos de reduc</w:t>
      </w:r>
      <w:r>
        <w:t>i</w:t>
      </w:r>
      <w:r>
        <w:t>das dimensiones. Además, dijo, la elección de la escribanía Vaquer Garme</w:t>
      </w:r>
      <w:r>
        <w:t>n</w:t>
      </w:r>
      <w:r>
        <w:t>dia respondió al hecho de que su titular “de i</w:t>
      </w:r>
      <w:r>
        <w:t>n</w:t>
      </w:r>
      <w:r>
        <w:t>discreta no tenía absolutamente nada”, conforme su</w:t>
      </w:r>
      <w:r>
        <w:t>r</w:t>
      </w:r>
      <w:r>
        <w:t>gió del debate.</w:t>
      </w:r>
    </w:p>
    <w:p w:rsidR="00224567" w:rsidRDefault="00224567">
      <w:pPr>
        <w:widowControl w:val="0"/>
        <w:tabs>
          <w:tab w:val="left" w:pos="0"/>
        </w:tabs>
        <w:ind w:firstLine="2835"/>
      </w:pPr>
      <w:r>
        <w:t>Otra de las circunstancias que resa</w:t>
      </w:r>
      <w:r>
        <w:t>l</w:t>
      </w:r>
      <w:r>
        <w:t>tó el fiscal fue la fecha en que se realizó la oper</w:t>
      </w:r>
      <w:r>
        <w:t>a</w:t>
      </w:r>
      <w:r>
        <w:t>ción. Más allá que se concretó un día después de la entrega de la camioneta y siete días antes del atentado, lo relevante, remarcó la fiscalía, fue la actividad de Juan José Ribelli previa y posterior a la escritur</w:t>
      </w:r>
      <w:r>
        <w:t>a</w:t>
      </w:r>
      <w:r>
        <w:t>ción. Así, dijo, Ribelli arribó de Puerto Iguazú el día 10 de julio después del m</w:t>
      </w:r>
      <w:r>
        <w:t>e</w:t>
      </w:r>
      <w:r>
        <w:t>diodía, el 11 concurrió a la escribanía y tres días de</w:t>
      </w:r>
      <w:r>
        <w:t>s</w:t>
      </w:r>
      <w:r>
        <w:t>pués viajó al Brasil.</w:t>
      </w:r>
    </w:p>
    <w:p w:rsidR="00224567" w:rsidRDefault="00224567">
      <w:pPr>
        <w:widowControl w:val="0"/>
        <w:tabs>
          <w:tab w:val="left" w:pos="0"/>
        </w:tabs>
        <w:ind w:firstLine="2835"/>
        <w:rPr>
          <w:lang w:val="es-AR"/>
        </w:rPr>
      </w:pPr>
      <w:r>
        <w:t>Si se tiene en cuenta que para la c</w:t>
      </w:r>
      <w:r>
        <w:t>e</w:t>
      </w:r>
      <w:r>
        <w:t xml:space="preserve">lebración del acto se debe dar contenido al documento, realizar toda la tramitación previa y hacer comparecer a todos los intervinientes, entonces, se preguntó el fiscal, </w:t>
      </w:r>
      <w:r>
        <w:lastRenderedPageBreak/>
        <w:t>¿cuál era la</w:t>
      </w:r>
      <w:r>
        <w:rPr>
          <w:lang w:val="es-AR"/>
        </w:rPr>
        <w:t xml:space="preserve"> urgencia que movilizó a documentar esta ci</w:t>
      </w:r>
      <w:r>
        <w:rPr>
          <w:lang w:val="es-AR"/>
        </w:rPr>
        <w:t>r</w:t>
      </w:r>
      <w:r>
        <w:rPr>
          <w:lang w:val="es-AR"/>
        </w:rPr>
        <w:t>cunstancia con tanto apuro y despliegue en apenas unos días en los que Ribelli estuvo en Buenos Aires?. La razón, sostuvo, estaba dada “en que se trataba de una entrada de dinero no habitual, era una suma de dinero que no estaba acostumbrado a r</w:t>
      </w:r>
      <w:r>
        <w:rPr>
          <w:lang w:val="es-AR"/>
        </w:rPr>
        <w:t>e</w:t>
      </w:r>
      <w:r>
        <w:rPr>
          <w:lang w:val="es-AR"/>
        </w:rPr>
        <w:t>cibir, no sólo por el monto, sino por la procedencia”.</w:t>
      </w:r>
    </w:p>
    <w:p w:rsidR="00224567" w:rsidRDefault="00224567">
      <w:pPr>
        <w:widowControl w:val="0"/>
        <w:tabs>
          <w:tab w:val="left" w:pos="0"/>
        </w:tabs>
        <w:ind w:firstLine="2835"/>
        <w:rPr>
          <w:lang w:val="es-AR"/>
        </w:rPr>
      </w:pPr>
      <w:r>
        <w:rPr>
          <w:lang w:val="es-AR"/>
        </w:rPr>
        <w:t>“Esta no habitualidad lo llevó a Rib</w:t>
      </w:r>
      <w:r>
        <w:rPr>
          <w:lang w:val="es-AR"/>
        </w:rPr>
        <w:t>e</w:t>
      </w:r>
      <w:r>
        <w:rPr>
          <w:lang w:val="es-AR"/>
        </w:rPr>
        <w:t>lli a la urgencia para documentar esta circunstancia con el objeto de diluir eventuales sospechas posteriores”, d</w:t>
      </w:r>
      <w:r>
        <w:rPr>
          <w:lang w:val="es-AR"/>
        </w:rPr>
        <w:t>i</w:t>
      </w:r>
      <w:r>
        <w:rPr>
          <w:lang w:val="es-AR"/>
        </w:rPr>
        <w:t xml:space="preserve">jo el fiscal. </w:t>
      </w:r>
    </w:p>
    <w:p w:rsidR="00224567" w:rsidRDefault="00224567">
      <w:pPr>
        <w:widowControl w:val="0"/>
        <w:tabs>
          <w:tab w:val="left" w:pos="0"/>
        </w:tabs>
        <w:ind w:firstLine="2835"/>
        <w:rPr>
          <w:lang w:val="es-AR"/>
        </w:rPr>
      </w:pPr>
      <w:r>
        <w:rPr>
          <w:lang w:val="es-AR"/>
        </w:rPr>
        <w:t>Tan sospechoso e inusual era el ingr</w:t>
      </w:r>
      <w:r>
        <w:rPr>
          <w:lang w:val="es-AR"/>
        </w:rPr>
        <w:t>e</w:t>
      </w:r>
      <w:r>
        <w:rPr>
          <w:lang w:val="es-AR"/>
        </w:rPr>
        <w:t>so de ese dinero, esgrimió, que la escrituración se hizo al día siguiente de que Ribelli volvi</w:t>
      </w:r>
      <w:r>
        <w:rPr>
          <w:lang w:val="es-AR"/>
        </w:rPr>
        <w:t>e</w:t>
      </w:r>
      <w:r>
        <w:rPr>
          <w:lang w:val="es-AR"/>
        </w:rPr>
        <w:t xml:space="preserve">ra de Puerto Iguazú, donde aprovechó para ir a </w:t>
      </w:r>
      <w:smartTag w:uri="urn:schemas-microsoft-com:office:smarttags" w:element="PersonName">
        <w:smartTagPr>
          <w:attr w:name="ProductID" w:val="la Triple Frontera"/>
        </w:smartTagPr>
        <w:r>
          <w:rPr>
            <w:lang w:val="es-AR"/>
          </w:rPr>
          <w:t>la Triple Frontera</w:t>
        </w:r>
      </w:smartTag>
      <w:r>
        <w:rPr>
          <w:lang w:val="es-AR"/>
        </w:rPr>
        <w:t>, como lo a</w:t>
      </w:r>
      <w:r>
        <w:rPr>
          <w:lang w:val="es-AR"/>
        </w:rPr>
        <w:t>d</w:t>
      </w:r>
      <w:r>
        <w:rPr>
          <w:lang w:val="es-AR"/>
        </w:rPr>
        <w:t>mitió el imputado en su indagat</w:t>
      </w:r>
      <w:r>
        <w:rPr>
          <w:lang w:val="es-AR"/>
        </w:rPr>
        <w:t>o</w:t>
      </w:r>
      <w:r>
        <w:rPr>
          <w:lang w:val="es-AR"/>
        </w:rPr>
        <w:t xml:space="preserve">ria. </w:t>
      </w:r>
    </w:p>
    <w:p w:rsidR="00224567" w:rsidRDefault="00224567">
      <w:pPr>
        <w:widowControl w:val="0"/>
        <w:tabs>
          <w:tab w:val="left" w:pos="0"/>
        </w:tabs>
        <w:ind w:firstLine="2835"/>
        <w:rPr>
          <w:lang w:val="es-AR"/>
        </w:rPr>
      </w:pPr>
      <w:r>
        <w:rPr>
          <w:lang w:val="es-AR"/>
        </w:rPr>
        <w:t>“Nada que no fuera lo anteriormente expuesto, pudo habe</w:t>
      </w:r>
      <w:r>
        <w:rPr>
          <w:lang w:val="es-AR"/>
        </w:rPr>
        <w:t>r</w:t>
      </w:r>
      <w:r>
        <w:rPr>
          <w:lang w:val="es-AR"/>
        </w:rPr>
        <w:t>lo llevado a efectuar ese blanqueo de urgencia”. Tal es así, indicó, que el contador Armando Raúl Brema relató que Ribelli recién en abril de 1996 d</w:t>
      </w:r>
      <w:r>
        <w:rPr>
          <w:lang w:val="es-AR"/>
        </w:rPr>
        <w:t>e</w:t>
      </w:r>
      <w:r>
        <w:rPr>
          <w:lang w:val="es-AR"/>
        </w:rPr>
        <w:lastRenderedPageBreak/>
        <w:t>cidió ordenar sus papeles y presentar su primera declar</w:t>
      </w:r>
      <w:r>
        <w:rPr>
          <w:lang w:val="es-AR"/>
        </w:rPr>
        <w:t>a</w:t>
      </w:r>
      <w:r>
        <w:rPr>
          <w:lang w:val="es-AR"/>
        </w:rPr>
        <w:t xml:space="preserve">ción jurada. </w:t>
      </w:r>
    </w:p>
    <w:p w:rsidR="00224567" w:rsidRDefault="00224567">
      <w:pPr>
        <w:widowControl w:val="0"/>
        <w:tabs>
          <w:tab w:val="left" w:pos="0"/>
        </w:tabs>
        <w:ind w:firstLine="2835"/>
      </w:pPr>
      <w:r>
        <w:rPr>
          <w:lang w:val="es-AR"/>
        </w:rPr>
        <w:t>Argumentó que ninguno de los i</w:t>
      </w:r>
      <w:r>
        <w:rPr>
          <w:lang w:val="es-AR"/>
        </w:rPr>
        <w:t>n</w:t>
      </w:r>
      <w:r>
        <w:rPr>
          <w:lang w:val="es-AR"/>
        </w:rPr>
        <w:t>gresos provenientes de las actividades habituales –sean líc</w:t>
      </w:r>
      <w:r>
        <w:rPr>
          <w:lang w:val="es-AR"/>
        </w:rPr>
        <w:t>i</w:t>
      </w:r>
      <w:r>
        <w:rPr>
          <w:lang w:val="es-AR"/>
        </w:rPr>
        <w:t>tas o ilícitas</w:t>
      </w:r>
      <w:r>
        <w:t>- preocuparon tanto al imp</w:t>
      </w:r>
      <w:r>
        <w:t>u</w:t>
      </w:r>
      <w:r>
        <w:t>tado desde el punto de vista de su regularización patrimonial; ci</w:t>
      </w:r>
      <w:r>
        <w:t>r</w:t>
      </w:r>
      <w:r>
        <w:t>cunstancia que demostró, según el fiscal, que dicha entrada de dinero t</w:t>
      </w:r>
      <w:r>
        <w:t>e</w:t>
      </w:r>
      <w:r>
        <w:t>nía una proc</w:t>
      </w:r>
      <w:r>
        <w:t>e</w:t>
      </w:r>
      <w:r>
        <w:t>dencia distinta.</w:t>
      </w:r>
    </w:p>
    <w:p w:rsidR="00224567" w:rsidRDefault="00224567">
      <w:pPr>
        <w:widowControl w:val="0"/>
        <w:tabs>
          <w:tab w:val="left" w:pos="0"/>
        </w:tabs>
        <w:ind w:firstLine="2835"/>
      </w:pPr>
      <w:r>
        <w:t xml:space="preserve">El fiscal sostuvo, además, que todo el dinero invocado como donación era propiedad de Juan José Ribelli. </w:t>
      </w:r>
    </w:p>
    <w:p w:rsidR="00224567" w:rsidRDefault="00224567">
      <w:pPr>
        <w:widowControl w:val="0"/>
        <w:tabs>
          <w:tab w:val="left" w:pos="0"/>
        </w:tabs>
        <w:ind w:firstLine="2835"/>
      </w:pPr>
      <w:r>
        <w:t>En ese sentido, dijo que no hubo div</w:t>
      </w:r>
      <w:r>
        <w:t>i</w:t>
      </w:r>
      <w:r>
        <w:t>sión de bienes entre sus hermanos, puesto que, según se probó, ninguno de aquellos poseía “un n</w:t>
      </w:r>
      <w:r>
        <w:t>i</w:t>
      </w:r>
      <w:r>
        <w:t>vel de vida acorde con la posición de medio millón de dólares”, ni existió después de la supuesta donación un ostensible cambio de vida.</w:t>
      </w:r>
    </w:p>
    <w:p w:rsidR="00224567" w:rsidRDefault="00224567">
      <w:pPr>
        <w:widowControl w:val="0"/>
        <w:tabs>
          <w:tab w:val="left" w:pos="0"/>
        </w:tabs>
        <w:ind w:firstLine="2835"/>
        <w:rPr>
          <w:lang w:val="es-AR"/>
        </w:rPr>
      </w:pPr>
      <w:r>
        <w:t>Agregó que fue Juan José Ribelli quien aportó todos los datos para que la operación se efectiv</w:t>
      </w:r>
      <w:r>
        <w:t>i</w:t>
      </w:r>
      <w:r>
        <w:t>zara, quien solicitó a la escribana que hiciera el instr</w:t>
      </w:r>
      <w:r>
        <w:t>u</w:t>
      </w:r>
      <w:r>
        <w:t>mento público, quien retiró los testimonios, quien propo</w:t>
      </w:r>
      <w:r>
        <w:t>r</w:t>
      </w:r>
      <w:r>
        <w:lastRenderedPageBreak/>
        <w:t>cionó la información para pedir los certificados de inh</w:t>
      </w:r>
      <w:r>
        <w:t>i</w:t>
      </w:r>
      <w:r>
        <w:t>bición, quien suministró el contenido de la escritura, quien abonó y r</w:t>
      </w:r>
      <w:r>
        <w:t>e</w:t>
      </w:r>
      <w:r>
        <w:t>tiró la factura. Siendo ello así, dijo, el papel que cumplieron sus hermanos fue netamente pasivo y se limitó a firmar la escritura para “cumplir la nec</w:t>
      </w:r>
      <w:r>
        <w:t>e</w:t>
      </w:r>
      <w:r>
        <w:t>sidad del</w:t>
      </w:r>
      <w:r>
        <w:rPr>
          <w:lang w:val="es-AR"/>
        </w:rPr>
        <w:t xml:space="preserve"> verdadero pensante, artífice y beneficiario de todo esto” que no era otro que Juan José R</w:t>
      </w:r>
      <w:r>
        <w:rPr>
          <w:lang w:val="es-AR"/>
        </w:rPr>
        <w:t>i</w:t>
      </w:r>
      <w:r>
        <w:rPr>
          <w:lang w:val="es-AR"/>
        </w:rPr>
        <w:t>belli.</w:t>
      </w:r>
    </w:p>
    <w:p w:rsidR="00224567" w:rsidRDefault="00224567">
      <w:pPr>
        <w:widowControl w:val="0"/>
        <w:tabs>
          <w:tab w:val="left" w:pos="0"/>
        </w:tabs>
        <w:ind w:firstLine="2835"/>
        <w:rPr>
          <w:lang w:val="es-AR"/>
        </w:rPr>
      </w:pPr>
      <w:r>
        <w:rPr>
          <w:lang w:val="es-AR"/>
        </w:rPr>
        <w:t>Dijo el fiscal que nadie que partic</w:t>
      </w:r>
      <w:r>
        <w:rPr>
          <w:lang w:val="es-AR"/>
        </w:rPr>
        <w:t>i</w:t>
      </w:r>
      <w:r>
        <w:rPr>
          <w:lang w:val="es-AR"/>
        </w:rPr>
        <w:t>pa en un hecho de estas características dejaría un recibo firmado o algún elemento que lo autoincr</w:t>
      </w:r>
      <w:r>
        <w:rPr>
          <w:lang w:val="es-AR"/>
        </w:rPr>
        <w:t>i</w:t>
      </w:r>
      <w:r>
        <w:rPr>
          <w:lang w:val="es-AR"/>
        </w:rPr>
        <w:t>mine. “La prueba perfecta aquí es absolutamente imposible”, razón por la cual, señaló, corresponde demostrar que el din</w:t>
      </w:r>
      <w:r>
        <w:rPr>
          <w:lang w:val="es-AR"/>
        </w:rPr>
        <w:t>e</w:t>
      </w:r>
      <w:r>
        <w:rPr>
          <w:lang w:val="es-AR"/>
        </w:rPr>
        <w:t>ro no pudo haber provenido de ningún otro lado que no sea del pago parcial o total por su colaboración en el atent</w:t>
      </w:r>
      <w:r>
        <w:rPr>
          <w:lang w:val="es-AR"/>
        </w:rPr>
        <w:t>a</w:t>
      </w:r>
      <w:r>
        <w:rPr>
          <w:lang w:val="es-AR"/>
        </w:rPr>
        <w:t xml:space="preserve">do. </w:t>
      </w:r>
    </w:p>
    <w:p w:rsidR="00224567" w:rsidRDefault="00224567">
      <w:pPr>
        <w:widowControl w:val="0"/>
        <w:tabs>
          <w:tab w:val="left" w:pos="0"/>
        </w:tabs>
        <w:ind w:firstLine="2835"/>
      </w:pPr>
      <w:r>
        <w:rPr>
          <w:lang w:val="es-AR"/>
        </w:rPr>
        <w:t xml:space="preserve">Así, destacó que el informe de </w:t>
      </w:r>
      <w:smartTag w:uri="urn:schemas-microsoft-com:office:smarttags" w:element="PersonName">
        <w:smartTagPr>
          <w:attr w:name="ProductID" w:val="la Divisi￳n Inmuebles"/>
        </w:smartTagPr>
        <w:r>
          <w:rPr>
            <w:lang w:val="es-AR"/>
          </w:rPr>
          <w:t>la D</w:t>
        </w:r>
        <w:r>
          <w:rPr>
            <w:lang w:val="es-AR"/>
          </w:rPr>
          <w:t>i</w:t>
        </w:r>
        <w:r>
          <w:rPr>
            <w:lang w:val="es-AR"/>
          </w:rPr>
          <w:t>visión Inmuebles</w:t>
        </w:r>
      </w:smartTag>
      <w:r>
        <w:rPr>
          <w:lang w:val="es-AR"/>
        </w:rPr>
        <w:t xml:space="preserve"> de </w:t>
      </w:r>
      <w:smartTag w:uri="urn:schemas-microsoft-com:office:smarttags" w:element="PersonName">
        <w:smartTagPr>
          <w:attr w:name="ProductID" w:val="la Polic￭a Federal"/>
        </w:smartTagPr>
        <w:r>
          <w:rPr>
            <w:lang w:val="es-AR"/>
          </w:rPr>
          <w:t>la Policía Federal</w:t>
        </w:r>
      </w:smartTag>
      <w:r>
        <w:rPr>
          <w:lang w:val="es-AR"/>
        </w:rPr>
        <w:t xml:space="preserve"> Argentina que realizó una valoración económica de los bienes de Juan J</w:t>
      </w:r>
      <w:r>
        <w:rPr>
          <w:lang w:val="es-AR"/>
        </w:rPr>
        <w:t>o</w:t>
      </w:r>
      <w:r>
        <w:rPr>
          <w:lang w:val="es-AR"/>
        </w:rPr>
        <w:t>sé Ribelli, de sus convivientes Marcela Alejandra Bouzón y Alicia Correa, y de los allegados que bien p</w:t>
      </w:r>
      <w:r>
        <w:rPr>
          <w:lang w:val="es-AR"/>
        </w:rPr>
        <w:t>u</w:t>
      </w:r>
      <w:r>
        <w:rPr>
          <w:lang w:val="es-AR"/>
        </w:rPr>
        <w:t>dieron actuar como testaferros, alcanzó momentos pr</w:t>
      </w:r>
      <w:r>
        <w:rPr>
          <w:lang w:val="es-AR"/>
        </w:rPr>
        <w:t>e</w:t>
      </w:r>
      <w:r>
        <w:rPr>
          <w:lang w:val="es-AR"/>
        </w:rPr>
        <w:t xml:space="preserve">vios a su detención, </w:t>
      </w:r>
      <w:r>
        <w:rPr>
          <w:lang w:val="es-AR"/>
        </w:rPr>
        <w:lastRenderedPageBreak/>
        <w:t>la suma de un millón de dólares; suma que, consideró el fiscal, además de no ser despreciable, no guarda r</w:t>
      </w:r>
      <w:r>
        <w:rPr>
          <w:lang w:val="es-AR"/>
        </w:rPr>
        <w:t>e</w:t>
      </w:r>
      <w:r>
        <w:rPr>
          <w:lang w:val="es-AR"/>
        </w:rPr>
        <w:t xml:space="preserve">lación con el ingreso no habitual de un día para el otro de USD 2.500.000. Tal </w:t>
      </w:r>
      <w:r>
        <w:t>desproporción resulta evidente, lo que pe</w:t>
      </w:r>
      <w:r>
        <w:t>r</w:t>
      </w:r>
      <w:r>
        <w:t>mite descartar, a ju</w:t>
      </w:r>
      <w:r>
        <w:t>i</w:t>
      </w:r>
      <w:r>
        <w:t>cio de la fiscalía, que el dinero en cuestión haya sido obtenido como pr</w:t>
      </w:r>
      <w:r>
        <w:t>o</w:t>
      </w:r>
      <w:r>
        <w:t>ducto de su actividad, aún la ilícita.</w:t>
      </w:r>
    </w:p>
    <w:p w:rsidR="00224567" w:rsidRDefault="00224567">
      <w:pPr>
        <w:widowControl w:val="0"/>
        <w:tabs>
          <w:tab w:val="left" w:pos="0"/>
        </w:tabs>
        <w:ind w:firstLine="2835"/>
        <w:rPr>
          <w:lang w:val="es-AR"/>
        </w:rPr>
      </w:pPr>
      <w:r>
        <w:rPr>
          <w:lang w:val="es-AR"/>
        </w:rPr>
        <w:t>El fiscal mencionó una serie de estr</w:t>
      </w:r>
      <w:r>
        <w:rPr>
          <w:lang w:val="es-AR"/>
        </w:rPr>
        <w:t>a</w:t>
      </w:r>
      <w:r>
        <w:rPr>
          <w:lang w:val="es-AR"/>
        </w:rPr>
        <w:t xml:space="preserve">tegias de personas allegadas a los imputados con el objeto de direccionar la investigación hacia un punto que los alejara del centro de la escena y, de ese modo, </w:t>
      </w:r>
      <w:r>
        <w:t>l</w:t>
      </w:r>
      <w:r>
        <w:t>o</w:t>
      </w:r>
      <w:r>
        <w:t>grar la impunidad de éstos.</w:t>
      </w:r>
    </w:p>
    <w:p w:rsidR="00224567" w:rsidRDefault="00224567">
      <w:pPr>
        <w:pStyle w:val="Textoindependiente"/>
        <w:spacing w:line="600" w:lineRule="auto"/>
        <w:ind w:firstLine="2835"/>
      </w:pPr>
      <w:r>
        <w:rPr>
          <w:lang w:val="es-AR"/>
        </w:rPr>
        <w:t xml:space="preserve">Sostuvo que la prueba producida en el debate acreditó que el ex comisario de </w:t>
      </w:r>
      <w:smartTag w:uri="urn:schemas-microsoft-com:office:smarttags" w:element="PersonName">
        <w:smartTagPr>
          <w:attr w:name="ProductID" w:val="la Polic￭a Bonaerense"/>
        </w:smartTagPr>
        <w:r>
          <w:rPr>
            <w:lang w:val="es-AR"/>
          </w:rPr>
          <w:t>la Policía Bonaere</w:t>
        </w:r>
        <w:r>
          <w:rPr>
            <w:lang w:val="es-AR"/>
          </w:rPr>
          <w:t>n</w:t>
        </w:r>
        <w:r>
          <w:rPr>
            <w:lang w:val="es-AR"/>
          </w:rPr>
          <w:t>se</w:t>
        </w:r>
      </w:smartTag>
      <w:r>
        <w:rPr>
          <w:lang w:val="es-AR"/>
        </w:rPr>
        <w:t xml:space="preserve"> Ángel Roberto Salguero incorporó al proceso lo que se ha dado en llamar la “pista Carapintada” o la “causa armas”, que consistía en una línea de investig</w:t>
      </w:r>
      <w:r>
        <w:rPr>
          <w:lang w:val="es-AR"/>
        </w:rPr>
        <w:t>a</w:t>
      </w:r>
      <w:r>
        <w:rPr>
          <w:lang w:val="es-AR"/>
        </w:rPr>
        <w:t>ción que involucraba en el atentado a algunos de los miembros del partido pol</w:t>
      </w:r>
      <w:r>
        <w:rPr>
          <w:lang w:val="es-AR"/>
        </w:rPr>
        <w:t>í</w:t>
      </w:r>
      <w:r>
        <w:rPr>
          <w:lang w:val="es-AR"/>
        </w:rPr>
        <w:t>tico MODIN y del sector “Carapintada” del Ejército Arge</w:t>
      </w:r>
      <w:r>
        <w:rPr>
          <w:lang w:val="es-AR"/>
        </w:rPr>
        <w:t>n</w:t>
      </w:r>
      <w:r>
        <w:rPr>
          <w:lang w:val="es-AR"/>
        </w:rPr>
        <w:t xml:space="preserve">tino, a los que se les asignaba un pensamiento cercano al antisemitismo y presuntamente comercializaban ilegalmente </w:t>
      </w:r>
      <w:r>
        <w:rPr>
          <w:lang w:val="es-AR"/>
        </w:rPr>
        <w:lastRenderedPageBreak/>
        <w:t>armas, municiones y explosivos. A pesar de que el nombrado conocía de la existencia de dicho accionar con anterior</w:t>
      </w:r>
      <w:r>
        <w:rPr>
          <w:lang w:val="es-AR"/>
        </w:rPr>
        <w:t>i</w:t>
      </w:r>
      <w:r>
        <w:rPr>
          <w:lang w:val="es-AR"/>
        </w:rPr>
        <w:t xml:space="preserve">dad, decidió introducir la hipótesis como algo novedoso, </w:t>
      </w:r>
      <w:r>
        <w:t xml:space="preserve">con el objeto de alejar de la pesquisa al personal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w:t>
        </w:r>
        <w:r>
          <w:t>o</w:t>
        </w:r>
        <w:r>
          <w:t>vincia</w:t>
        </w:r>
      </w:smartTag>
      <w:r>
        <w:t xml:space="preserve"> de Buenos Aires.</w:t>
      </w:r>
    </w:p>
    <w:p w:rsidR="00224567" w:rsidRDefault="00224567">
      <w:pPr>
        <w:widowControl w:val="0"/>
        <w:tabs>
          <w:tab w:val="left" w:pos="0"/>
        </w:tabs>
        <w:ind w:firstLine="2835"/>
      </w:pPr>
      <w:r>
        <w:t>Indicó que Salguero tomó conoc</w:t>
      </w:r>
      <w:r>
        <w:t>i</w:t>
      </w:r>
      <w:r>
        <w:t>miento de la información de esa hipótesis de investigación en 1994 y recién la introdujo al proceso en octubre del año siguiente.</w:t>
      </w:r>
    </w:p>
    <w:p w:rsidR="00224567" w:rsidRDefault="00224567">
      <w:pPr>
        <w:pStyle w:val="Textoindependiente"/>
        <w:spacing w:line="600" w:lineRule="auto"/>
        <w:ind w:firstLine="2835"/>
        <w:rPr>
          <w:lang w:val="es-AR"/>
        </w:rPr>
      </w:pPr>
      <w:r>
        <w:t>Calificó como mendaz la declar</w:t>
      </w:r>
      <w:r>
        <w:t>a</w:t>
      </w:r>
      <w:r>
        <w:t>ción del nombrado Salguero, en cuanto dijo que la línea de invest</w:t>
      </w:r>
      <w:r>
        <w:t>i</w:t>
      </w:r>
      <w:r>
        <w:t xml:space="preserve">gación se inició por un llamado anónimo de una mujer; </w:t>
      </w:r>
      <w:r>
        <w:rPr>
          <w:lang w:val="es-AR"/>
        </w:rPr>
        <w:t>en realidad, dijo el fiscal, esa denunciante se trataba de E</w:t>
      </w:r>
      <w:r>
        <w:rPr>
          <w:lang w:val="es-AR"/>
        </w:rPr>
        <w:t>l</w:t>
      </w:r>
      <w:r>
        <w:rPr>
          <w:lang w:val="es-AR"/>
        </w:rPr>
        <w:t>ba Fernández, persona que el entonces c</w:t>
      </w:r>
      <w:r>
        <w:rPr>
          <w:lang w:val="es-AR"/>
        </w:rPr>
        <w:t>o</w:t>
      </w:r>
      <w:r>
        <w:rPr>
          <w:lang w:val="es-AR"/>
        </w:rPr>
        <w:t>misario conocía de tiempo antes por haberla detenido en ocasión de un qu</w:t>
      </w:r>
      <w:r>
        <w:rPr>
          <w:lang w:val="es-AR"/>
        </w:rPr>
        <w:t>e</w:t>
      </w:r>
      <w:r>
        <w:rPr>
          <w:lang w:val="es-AR"/>
        </w:rPr>
        <w:t>hacer delictivo. En el mismo sentido, el chofer de la nombrada, Ángel Suárez, sostuvo que aquellos eran amantes y que h</w:t>
      </w:r>
      <w:r>
        <w:rPr>
          <w:lang w:val="es-AR"/>
        </w:rPr>
        <w:t>a</w:t>
      </w:r>
      <w:r>
        <w:rPr>
          <w:lang w:val="es-AR"/>
        </w:rPr>
        <w:t>bían tenido un hijo.</w:t>
      </w:r>
    </w:p>
    <w:p w:rsidR="00224567" w:rsidRDefault="00224567">
      <w:pPr>
        <w:pStyle w:val="Textoindependiente"/>
        <w:spacing w:line="600" w:lineRule="auto"/>
        <w:ind w:firstLine="2835"/>
        <w:rPr>
          <w:lang w:val="es-AR"/>
        </w:rPr>
      </w:pPr>
      <w:r>
        <w:rPr>
          <w:lang w:val="es-AR"/>
        </w:rPr>
        <w:t>Entendió el fiscal que Salguero ta</w:t>
      </w:r>
      <w:r>
        <w:rPr>
          <w:lang w:val="es-AR"/>
        </w:rPr>
        <w:t>m</w:t>
      </w:r>
      <w:r>
        <w:rPr>
          <w:lang w:val="es-AR"/>
        </w:rPr>
        <w:t xml:space="preserve">bién mintió al decir que no conocía a Emilio Morello antes de </w:t>
      </w:r>
      <w:r>
        <w:rPr>
          <w:lang w:val="es-AR"/>
        </w:rPr>
        <w:lastRenderedPageBreak/>
        <w:t>proceder a su allanamiento, por cuanto tal desconoc</w:t>
      </w:r>
      <w:r>
        <w:rPr>
          <w:lang w:val="es-AR"/>
        </w:rPr>
        <w:t>i</w:t>
      </w:r>
      <w:r>
        <w:rPr>
          <w:lang w:val="es-AR"/>
        </w:rPr>
        <w:t>miento se desvanece a poco que se repare que Morello vivía en B</w:t>
      </w:r>
      <w:r>
        <w:rPr>
          <w:lang w:val="es-AR"/>
        </w:rPr>
        <w:t>e</w:t>
      </w:r>
      <w:r>
        <w:rPr>
          <w:lang w:val="es-AR"/>
        </w:rPr>
        <w:t>lla Vista, jurisdicción donde aquél prestaba servicio, m</w:t>
      </w:r>
      <w:r>
        <w:rPr>
          <w:lang w:val="es-AR"/>
        </w:rPr>
        <w:t>i</w:t>
      </w:r>
      <w:r>
        <w:rPr>
          <w:lang w:val="es-AR"/>
        </w:rPr>
        <w:t>litaba en un partido de gran poder electoral en esa zona, era diputado nacional de esa fuerza y los afiches con su rostro estaban en gran pa</w:t>
      </w:r>
      <w:r>
        <w:rPr>
          <w:lang w:val="es-AR"/>
        </w:rPr>
        <w:t>r</w:t>
      </w:r>
      <w:r>
        <w:rPr>
          <w:lang w:val="es-AR"/>
        </w:rPr>
        <w:t>te de la jurisdicción, “hasta en la puerta de la comisaría”, llegó a decir Mor</w:t>
      </w:r>
      <w:r>
        <w:rPr>
          <w:lang w:val="es-AR"/>
        </w:rPr>
        <w:t>e</w:t>
      </w:r>
      <w:r>
        <w:rPr>
          <w:lang w:val="es-AR"/>
        </w:rPr>
        <w:t xml:space="preserve">llo. </w:t>
      </w:r>
    </w:p>
    <w:p w:rsidR="00224567" w:rsidRDefault="00224567">
      <w:pPr>
        <w:pStyle w:val="Textoindependiente"/>
        <w:spacing w:line="600" w:lineRule="auto"/>
        <w:ind w:firstLine="2835"/>
        <w:rPr>
          <w:lang w:val="es-AR"/>
        </w:rPr>
      </w:pPr>
      <w:r>
        <w:rPr>
          <w:lang w:val="es-AR"/>
        </w:rPr>
        <w:t>Consideró que Salguero ocultó deliber</w:t>
      </w:r>
      <w:r>
        <w:rPr>
          <w:lang w:val="es-AR"/>
        </w:rPr>
        <w:t>a</w:t>
      </w:r>
      <w:r>
        <w:rPr>
          <w:lang w:val="es-AR"/>
        </w:rPr>
        <w:t>damente haber comunicado al juez la condición de diputado de Morello, para mantener viva la investigación de la hip</w:t>
      </w:r>
      <w:r>
        <w:rPr>
          <w:lang w:val="es-AR"/>
        </w:rPr>
        <w:t>ó</w:t>
      </w:r>
      <w:r>
        <w:rPr>
          <w:lang w:val="es-AR"/>
        </w:rPr>
        <w:t>tesis introducida.</w:t>
      </w:r>
    </w:p>
    <w:p w:rsidR="00224567" w:rsidRDefault="00224567">
      <w:pPr>
        <w:pStyle w:val="Textoindependiente"/>
        <w:spacing w:line="600" w:lineRule="auto"/>
        <w:ind w:firstLine="2835"/>
      </w:pPr>
      <w:r>
        <w:t>También mencionó los dichos de los m</w:t>
      </w:r>
      <w:r>
        <w:t>i</w:t>
      </w:r>
      <w:r>
        <w:t>litantes del referido partido político, a saber: Miguel Á</w:t>
      </w:r>
      <w:r>
        <w:t>n</w:t>
      </w:r>
      <w:r>
        <w:t>gel Calvete, quien en el debate adm</w:t>
      </w:r>
      <w:r>
        <w:t>i</w:t>
      </w:r>
      <w:r>
        <w:t xml:space="preserve">tió que la pista era un claro desvío para favorecer a </w:t>
      </w:r>
      <w:smartTag w:uri="urn:schemas-microsoft-com:office:smarttags" w:element="PersonName">
        <w:smartTagPr>
          <w:attr w:name="ProductID" w:val="la Polic￭a Bonaerense"/>
        </w:smartTagPr>
        <w:r>
          <w:t>la Policía Bonaerense</w:t>
        </w:r>
      </w:smartTag>
      <w:r>
        <w:t>; Jorge Rodríguez Day, quien sindicó a Salguero como la pe</w:t>
      </w:r>
      <w:r>
        <w:t>r</w:t>
      </w:r>
      <w:r>
        <w:t xml:space="preserve">sona que motorizó el desvío sobre la base de información aportada por el agente de </w:t>
      </w:r>
      <w:smartTag w:uri="urn:schemas-microsoft-com:office:smarttags" w:element="PersonName">
        <w:smartTagPr>
          <w:attr w:name="ProductID" w:val="la S.I"/>
        </w:smartTagPr>
        <w:r>
          <w:t>la S.I</w:t>
        </w:r>
      </w:smartTag>
      <w:r>
        <w:t>.D.E. Daniel Romero y por un infi</w:t>
      </w:r>
      <w:r>
        <w:t>l</w:t>
      </w:r>
      <w:r>
        <w:t>trado del MODIN, de apellido Nantillo y Emilio Morello, quien sostuvo que el allanamiento de su vivienda t</w:t>
      </w:r>
      <w:r>
        <w:t>u</w:t>
      </w:r>
      <w:r>
        <w:t xml:space="preserve">vo como propósito desviar la investigación, por cuanto el personal </w:t>
      </w:r>
      <w:r>
        <w:lastRenderedPageBreak/>
        <w:t>policial omitió comunicar al juez instructor su condición de diputado.</w:t>
      </w:r>
    </w:p>
    <w:p w:rsidR="00224567" w:rsidRDefault="00224567">
      <w:pPr>
        <w:pStyle w:val="Textoindependiente"/>
        <w:spacing w:line="600" w:lineRule="auto"/>
        <w:ind w:firstLine="2835"/>
      </w:pPr>
      <w:r>
        <w:rPr>
          <w:lang w:val="es-AR"/>
        </w:rPr>
        <w:t xml:space="preserve">Cuando la pista no dio los resultados esperados, el entonces comisario Salguero introdujo </w:t>
      </w:r>
      <w:r>
        <w:t xml:space="preserve">“como caído del cielo” </w:t>
      </w:r>
      <w:r>
        <w:rPr>
          <w:lang w:val="es-AR"/>
        </w:rPr>
        <w:t xml:space="preserve">el testimonio del hijo de Elba Fernández, </w:t>
      </w:r>
      <w:r>
        <w:t xml:space="preserve">Claudio Cañete, quien </w:t>
      </w:r>
      <w:r w:rsidRPr="00EF7D0C">
        <w:rPr>
          <w:highlight w:val="yellow"/>
        </w:rPr>
        <w:t>vinculó a Jorge Pacífico –o</w:t>
      </w:r>
      <w:r>
        <w:t>tro imp</w:t>
      </w:r>
      <w:r>
        <w:t>u</w:t>
      </w:r>
      <w:r>
        <w:t>tado en la causa “Carapintadas”- con la embajada de Irán, con la finalidad que la investigación de la pista pros</w:t>
      </w:r>
      <w:r>
        <w:t>i</w:t>
      </w:r>
      <w:r>
        <w:t>guiera.</w:t>
      </w:r>
    </w:p>
    <w:p w:rsidR="00224567" w:rsidRDefault="00224567">
      <w:pPr>
        <w:pStyle w:val="Sangra2detindependiente"/>
        <w:widowControl w:val="0"/>
        <w:spacing w:line="600" w:lineRule="auto"/>
        <w:ind w:firstLine="2835"/>
        <w:rPr>
          <w:lang w:val="es-AR"/>
        </w:rPr>
      </w:pPr>
      <w:r>
        <w:rPr>
          <w:lang w:val="es-AR"/>
        </w:rPr>
        <w:t xml:space="preserve">Al ser convocado Salguero a </w:t>
      </w:r>
      <w:smartTag w:uri="urn:schemas-microsoft-com:office:smarttags" w:element="PersonName">
        <w:smartTagPr>
          <w:attr w:name="ProductID" w:val="la Comisi￳n Bicameral"/>
        </w:smartTagPr>
        <w:r>
          <w:rPr>
            <w:lang w:val="es-AR"/>
          </w:rPr>
          <w:t xml:space="preserve">la </w:t>
        </w:r>
        <w:r>
          <w:t>Com</w:t>
        </w:r>
        <w:r>
          <w:t>i</w:t>
        </w:r>
        <w:r>
          <w:t>sión Bicameral</w:t>
        </w:r>
      </w:smartTag>
      <w:r>
        <w:t xml:space="preserve">, </w:t>
      </w:r>
      <w:r>
        <w:rPr>
          <w:lang w:val="es-AR"/>
        </w:rPr>
        <w:t>acompañó un video en el cual se veía a C</w:t>
      </w:r>
      <w:r>
        <w:rPr>
          <w:lang w:val="es-AR"/>
        </w:rPr>
        <w:t>a</w:t>
      </w:r>
      <w:r>
        <w:rPr>
          <w:lang w:val="es-AR"/>
        </w:rPr>
        <w:t>ñete realizando manifestaciones que involucraban a Pacíf</w:t>
      </w:r>
      <w:r>
        <w:rPr>
          <w:lang w:val="es-AR"/>
        </w:rPr>
        <w:t>i</w:t>
      </w:r>
      <w:r>
        <w:rPr>
          <w:lang w:val="es-AR"/>
        </w:rPr>
        <w:t>co y a todos los “Carapintadas”; sin embargo, lo que no reparó Salguero, dijo el fiscal, fue que en las charlas previas que reflejó el video, el personal de su brigada aparece conversando con Cañete diciéndole que hiciera de cuenta que nunca antes habían hablado del tema. Ello, afirmó, resultó demostrativo de la burda preparación del testigo.</w:t>
      </w:r>
    </w:p>
    <w:p w:rsidR="00224567" w:rsidRDefault="00224567">
      <w:pPr>
        <w:pStyle w:val="Textoindependiente"/>
        <w:spacing w:line="600" w:lineRule="auto"/>
        <w:ind w:firstLine="2835"/>
      </w:pPr>
      <w:r>
        <w:rPr>
          <w:lang w:val="es-AR"/>
        </w:rPr>
        <w:t>Otra de las hijas de Elba Fernández,</w:t>
      </w:r>
      <w:r>
        <w:t xml:space="preserve"> </w:t>
      </w:r>
      <w:r>
        <w:lastRenderedPageBreak/>
        <w:t xml:space="preserve">Roxana Gabriela Cañete, era concubina y tenía un hijo en común con el oficial de </w:t>
      </w:r>
      <w:smartTag w:uri="urn:schemas-microsoft-com:office:smarttags" w:element="PersonName">
        <w:smartTagPr>
          <w:attr w:name="ProductID" w:val="la Polic￭a Bonaerense"/>
        </w:smartTagPr>
        <w:r>
          <w:t>la Policía Bonaerense</w:t>
        </w:r>
      </w:smartTag>
      <w:r>
        <w:t xml:space="preserve"> Roberto Ma</w:t>
      </w:r>
      <w:r>
        <w:t>n</w:t>
      </w:r>
      <w:r>
        <w:t>tel, quien, a su vez, era la mano derecha de Juan José R</w:t>
      </w:r>
      <w:r>
        <w:t>i</w:t>
      </w:r>
      <w:r>
        <w:t>belli y, justamente, uno de los beneficiarios de la mani</w:t>
      </w:r>
      <w:r>
        <w:t>o</w:t>
      </w:r>
      <w:r>
        <w:t>bra pergeñada para direccionar la pesquisa hacia otros imputados, señaló el fiscal.</w:t>
      </w:r>
    </w:p>
    <w:p w:rsidR="00224567" w:rsidRDefault="00224567">
      <w:pPr>
        <w:widowControl w:val="0"/>
        <w:tabs>
          <w:tab w:val="left" w:pos="0"/>
        </w:tabs>
        <w:ind w:firstLine="2835"/>
      </w:pPr>
      <w:r>
        <w:rPr>
          <w:lang w:val="es-AR"/>
        </w:rPr>
        <w:t>Lo expuesto evidencia, a su juicio, que más allá de que el grupo que integraba d</w:t>
      </w:r>
      <w:r>
        <w:rPr>
          <w:lang w:val="es-AR"/>
        </w:rPr>
        <w:t>i</w:t>
      </w:r>
      <w:r>
        <w:rPr>
          <w:lang w:val="es-AR"/>
        </w:rPr>
        <w:t>cha línea de investigación podía dedicarse a actividades delictivas c</w:t>
      </w:r>
      <w:r>
        <w:rPr>
          <w:lang w:val="es-AR"/>
        </w:rPr>
        <w:t>o</w:t>
      </w:r>
      <w:r>
        <w:rPr>
          <w:lang w:val="es-AR"/>
        </w:rPr>
        <w:t xml:space="preserve">munes –venta de armas-, </w:t>
      </w:r>
      <w:r>
        <w:t>el ex comisario Roberto Salguero poseía la información desde bastante tiempo antes y dec</w:t>
      </w:r>
      <w:r>
        <w:t>i</w:t>
      </w:r>
      <w:r>
        <w:t>dió utilizarla sólo cuando la necesitó, cuando le fue fu</w:t>
      </w:r>
      <w:r>
        <w:t>n</w:t>
      </w:r>
      <w:r>
        <w:t>cional a sus necesidades o a la de las personas que est</w:t>
      </w:r>
      <w:r>
        <w:t>a</w:t>
      </w:r>
      <w:r>
        <w:t>ban acusadas en el atentado. Es decir, fabricó esta vinc</w:t>
      </w:r>
      <w:r>
        <w:t>u</w:t>
      </w:r>
      <w:r>
        <w:t>lación con el claro propósito de de</w:t>
      </w:r>
      <w:r>
        <w:t>s</w:t>
      </w:r>
      <w:r>
        <w:t>viar la atención sobre el personal policial.</w:t>
      </w:r>
    </w:p>
    <w:p w:rsidR="00224567" w:rsidRDefault="00224567">
      <w:pPr>
        <w:widowControl w:val="0"/>
        <w:tabs>
          <w:tab w:val="left" w:pos="0"/>
        </w:tabs>
        <w:ind w:firstLine="2835"/>
      </w:pPr>
      <w:r>
        <w:t>Señaló que si bien la línea investig</w:t>
      </w:r>
      <w:r>
        <w:t>a</w:t>
      </w:r>
      <w:r>
        <w:t>tiva que conducía a Juan José Ribelli y todo su grupo no estaba del todo avanzada a la fecha en que Salguero intr</w:t>
      </w:r>
      <w:r>
        <w:t>o</w:t>
      </w:r>
      <w:r>
        <w:t>dujo la hipótesis “Carapintada”, lo cierto es que “ya h</w:t>
      </w:r>
      <w:r>
        <w:t>a</w:t>
      </w:r>
      <w:r>
        <w:t>bían comenzado las manifestaciones de Telleldín vinc</w:t>
      </w:r>
      <w:r>
        <w:t>u</w:t>
      </w:r>
      <w:r>
        <w:t xml:space="preserve">lando </w:t>
      </w:r>
      <w:r>
        <w:lastRenderedPageBreak/>
        <w:t xml:space="preserve">a </w:t>
      </w:r>
      <w:smartTag w:uri="urn:schemas-microsoft-com:office:smarttags" w:element="PersonName">
        <w:smartTagPr>
          <w:attr w:name="ProductID" w:val="la Polic￭a Bonaerense"/>
        </w:smartTagPr>
        <w:r>
          <w:t>la Policía Bonaerense</w:t>
        </w:r>
      </w:smartTag>
      <w:r>
        <w:t xml:space="preserve"> con el suceso, ya había T</w:t>
      </w:r>
      <w:r>
        <w:t>e</w:t>
      </w:r>
      <w:r>
        <w:t>lleldín comenzado a mencionar a Barreda y a Bareiro vinc</w:t>
      </w:r>
      <w:r>
        <w:t>u</w:t>
      </w:r>
      <w:r>
        <w:t xml:space="preserve">lados con </w:t>
      </w:r>
      <w:smartTag w:uri="urn:schemas-microsoft-com:office:smarttags" w:element="PersonName">
        <w:smartTagPr>
          <w:attr w:name="ProductID" w:val="la Trafic"/>
        </w:smartTagPr>
        <w:r>
          <w:t>la Trafic</w:t>
        </w:r>
      </w:smartTag>
      <w:r>
        <w:t xml:space="preserve"> y también se había mencionado a ‘P</w:t>
      </w:r>
      <w:r>
        <w:t>i</w:t>
      </w:r>
      <w:r>
        <w:t>no’”.</w:t>
      </w:r>
    </w:p>
    <w:p w:rsidR="00224567" w:rsidRDefault="00224567">
      <w:pPr>
        <w:widowControl w:val="0"/>
        <w:tabs>
          <w:tab w:val="left" w:pos="0"/>
        </w:tabs>
        <w:ind w:firstLine="2835"/>
      </w:pPr>
      <w:r>
        <w:t>Por último, resaltó que el imputado Ribelli y el ex comisario Salguero no eran personas desc</w:t>
      </w:r>
      <w:r>
        <w:t>o</w:t>
      </w:r>
      <w:r>
        <w:t>nocidas, puesto que habían participado juntos en el all</w:t>
      </w:r>
      <w:r>
        <w:t>a</w:t>
      </w:r>
      <w:r>
        <w:t>namiento de Campo de Mayo con motivo de la pesquisa “Car</w:t>
      </w:r>
      <w:r>
        <w:t>a</w:t>
      </w:r>
      <w:r>
        <w:t>pintada” y además ambos co</w:t>
      </w:r>
      <w:r>
        <w:t>m</w:t>
      </w:r>
      <w:r>
        <w:t xml:space="preserve">partieron destino en </w:t>
      </w:r>
      <w:smartTag w:uri="urn:schemas-microsoft-com:office:smarttags" w:element="PersonName">
        <w:smartTagPr>
          <w:attr w:name="ProductID" w:val="la Brigada"/>
        </w:smartTagPr>
        <w:r>
          <w:t>la Brigada</w:t>
        </w:r>
      </w:smartTag>
      <w:r>
        <w:t xml:space="preserve"> de Lanús entre los años 1980 y 1984.</w:t>
      </w:r>
    </w:p>
    <w:p w:rsidR="00224567" w:rsidRDefault="00224567">
      <w:pPr>
        <w:widowControl w:val="0"/>
        <w:tabs>
          <w:tab w:val="left" w:pos="0"/>
        </w:tabs>
        <w:ind w:firstLine="2835"/>
      </w:pPr>
      <w:r>
        <w:t>Otro de los intentos llevados a cabo para desviar la investigación fue la hipótesis introd</w:t>
      </w:r>
      <w:r>
        <w:t>u</w:t>
      </w:r>
      <w:r>
        <w:t>cida por Ramón Emilio Solari Torres.</w:t>
      </w:r>
    </w:p>
    <w:p w:rsidR="00224567" w:rsidRDefault="00224567">
      <w:pPr>
        <w:widowControl w:val="0"/>
        <w:tabs>
          <w:tab w:val="left" w:pos="0"/>
        </w:tabs>
        <w:ind w:firstLine="2835"/>
      </w:pPr>
      <w:r>
        <w:t xml:space="preserve">Precisó el fiscal que Solari mientras se encontraba detenido en </w:t>
      </w:r>
      <w:smartTag w:uri="urn:schemas-microsoft-com:office:smarttags" w:element="PersonName">
        <w:smartTagPr>
          <w:attr w:name="ProductID" w:val="la Brigada"/>
        </w:smartTagPr>
        <w:r>
          <w:t>la Brigada</w:t>
        </w:r>
      </w:smartTag>
      <w:r>
        <w:t xml:space="preserve"> de I</w:t>
      </w:r>
      <w:r>
        <w:t>n</w:t>
      </w:r>
      <w:r>
        <w:t>vestigaciones de Vicente López –acusado por homic</w:t>
      </w:r>
      <w:r>
        <w:t>i</w:t>
      </w:r>
      <w:r>
        <w:t>dio calificado-, presentó el 9 de enero de 1995 una carta dirigida al embajador de Israel ante el Juzgado Criminal nº 1 del Departamento J</w:t>
      </w:r>
      <w:r>
        <w:t>u</w:t>
      </w:r>
      <w:r>
        <w:t xml:space="preserve">dicial de San Isidro, en la cual ofrecía una versión de los hechos vinculados con el atentado. Posteriormente fue escuchado en los términos del art. 73 del Código Procesal </w:t>
      </w:r>
      <w:r>
        <w:lastRenderedPageBreak/>
        <w:t xml:space="preserve">Penal de </w:t>
      </w:r>
      <w:smartTag w:uri="urn:schemas-microsoft-com:office:smarttags" w:element="PersonName">
        <w:smartTagPr>
          <w:attr w:name="ProductID" w:val="la Naci￳n"/>
        </w:smartTagPr>
        <w:r>
          <w:t>la Nación</w:t>
        </w:r>
      </w:smartTag>
      <w:r>
        <w:t>, ante el ju</w:t>
      </w:r>
      <w:r>
        <w:t>z</w:t>
      </w:r>
      <w:r>
        <w:t>gado instructor.</w:t>
      </w:r>
    </w:p>
    <w:p w:rsidR="00224567" w:rsidRDefault="00224567">
      <w:pPr>
        <w:widowControl w:val="0"/>
        <w:tabs>
          <w:tab w:val="left" w:pos="0"/>
        </w:tabs>
        <w:ind w:firstLine="2835"/>
      </w:pPr>
      <w:r>
        <w:t>El fiscal señaló que en esa oportun</w:t>
      </w:r>
      <w:r>
        <w:t>i</w:t>
      </w:r>
      <w:r>
        <w:t>dad Solari manifestó que estuvo presente junto con una persona de nombre Husein, cuando Ramón Martínez adquirió la camioneta Trafic a Carlos Alberto Telleldín; que dicho utilitario le fue encargado a cambio de USD 3000 y, fina</w:t>
      </w:r>
      <w:r>
        <w:t>l</w:t>
      </w:r>
      <w:r>
        <w:t>mente, admitió que fue él quien adquirió la camion</w:t>
      </w:r>
      <w:r>
        <w:t>e</w:t>
      </w:r>
      <w:r>
        <w:t xml:space="preserve">ta. </w:t>
      </w:r>
    </w:p>
    <w:p w:rsidR="00224567" w:rsidRDefault="00224567">
      <w:pPr>
        <w:widowControl w:val="0"/>
        <w:tabs>
          <w:tab w:val="left" w:pos="0"/>
        </w:tabs>
        <w:ind w:firstLine="2835"/>
      </w:pPr>
      <w:r>
        <w:t>Sostuvo el fiscal que muchas de las circunstancias que Ramón Emilio Solari Torres vertió no eran reales y que su versión fue preparada por el pe</w:t>
      </w:r>
      <w:r>
        <w:t>r</w:t>
      </w:r>
      <w:r>
        <w:t xml:space="preserve">sonal policial de </w:t>
      </w:r>
      <w:smartTag w:uri="urn:schemas-microsoft-com:office:smarttags" w:element="PersonName">
        <w:smartTagPr>
          <w:attr w:name="ProductID" w:val="la Brigada"/>
        </w:smartTagPr>
        <w:r>
          <w:t>la Brigada</w:t>
        </w:r>
      </w:smartTag>
      <w:r>
        <w:t xml:space="preserve"> de Investigaciones de Vicente L</w:t>
      </w:r>
      <w:r>
        <w:t>ó</w:t>
      </w:r>
      <w:r>
        <w:t>pez.</w:t>
      </w:r>
    </w:p>
    <w:p w:rsidR="00224567" w:rsidRDefault="00224567">
      <w:pPr>
        <w:widowControl w:val="0"/>
        <w:tabs>
          <w:tab w:val="left" w:pos="0"/>
        </w:tabs>
        <w:ind w:firstLine="2835"/>
        <w:rPr>
          <w:lang w:val="es-AR"/>
        </w:rPr>
      </w:pPr>
      <w:r>
        <w:rPr>
          <w:lang w:val="es-AR"/>
        </w:rPr>
        <w:t>Al respecto, señaló que del testim</w:t>
      </w:r>
      <w:r>
        <w:rPr>
          <w:lang w:val="es-AR"/>
        </w:rPr>
        <w:t>o</w:t>
      </w:r>
      <w:r>
        <w:rPr>
          <w:lang w:val="es-AR"/>
        </w:rPr>
        <w:t>nio  de los hermanos Cristaldo Brizuela, personas que compa</w:t>
      </w:r>
      <w:r>
        <w:rPr>
          <w:lang w:val="es-AR"/>
        </w:rPr>
        <w:t>r</w:t>
      </w:r>
      <w:r>
        <w:rPr>
          <w:lang w:val="es-AR"/>
        </w:rPr>
        <w:t>tieron alojamiento con Solari, surgía que el nombrado g</w:t>
      </w:r>
      <w:r>
        <w:rPr>
          <w:lang w:val="es-AR"/>
        </w:rPr>
        <w:t>o</w:t>
      </w:r>
      <w:r>
        <w:rPr>
          <w:lang w:val="es-AR"/>
        </w:rPr>
        <w:t>zaba de un trato preferencial por parte del personal pol</w:t>
      </w:r>
      <w:r>
        <w:rPr>
          <w:lang w:val="es-AR"/>
        </w:rPr>
        <w:t>i</w:t>
      </w:r>
      <w:r>
        <w:rPr>
          <w:lang w:val="es-AR"/>
        </w:rPr>
        <w:t>cial, que le era permitido salir de su celda con asidu</w:t>
      </w:r>
      <w:r>
        <w:rPr>
          <w:lang w:val="es-AR"/>
        </w:rPr>
        <w:t>i</w:t>
      </w:r>
      <w:r>
        <w:rPr>
          <w:lang w:val="es-AR"/>
        </w:rPr>
        <w:t>dad, que en dos oportunidades salió de la brigada y que tenía papeles con anotaciones vinculadas con la investig</w:t>
      </w:r>
      <w:r>
        <w:rPr>
          <w:lang w:val="es-AR"/>
        </w:rPr>
        <w:t>a</w:t>
      </w:r>
      <w:r>
        <w:rPr>
          <w:lang w:val="es-AR"/>
        </w:rPr>
        <w:t>ción de la causa A.M.I.A.</w:t>
      </w:r>
    </w:p>
    <w:p w:rsidR="00224567" w:rsidRDefault="00224567">
      <w:pPr>
        <w:widowControl w:val="0"/>
        <w:tabs>
          <w:tab w:val="left" w:pos="0"/>
        </w:tabs>
        <w:ind w:firstLine="2835"/>
        <w:rPr>
          <w:lang w:val="es-AR"/>
        </w:rPr>
      </w:pPr>
      <w:r>
        <w:rPr>
          <w:lang w:val="es-AR"/>
        </w:rPr>
        <w:t xml:space="preserve">Puntualizó que Alejandro Cristaldo </w:t>
      </w:r>
      <w:r>
        <w:rPr>
          <w:lang w:val="es-AR"/>
        </w:rPr>
        <w:lastRenderedPageBreak/>
        <w:t>Brizuela recordó que generalmente por la tarde o noche S</w:t>
      </w:r>
      <w:r>
        <w:rPr>
          <w:lang w:val="es-AR"/>
        </w:rPr>
        <w:t>o</w:t>
      </w:r>
      <w:r>
        <w:rPr>
          <w:lang w:val="es-AR"/>
        </w:rPr>
        <w:t>lari era visitado para conversar por un policía cuya de</w:t>
      </w:r>
      <w:r>
        <w:rPr>
          <w:lang w:val="es-AR"/>
        </w:rPr>
        <w:t>s</w:t>
      </w:r>
      <w:r>
        <w:rPr>
          <w:lang w:val="es-AR"/>
        </w:rPr>
        <w:t>cripción coincide plenamente con Mario Norberto Bareiro, quien para esa fecha, prestaba servicios en esa brigada. Además, señaló que en una oportunidad se cruzó con Carlos Alberto Telleldín en la cárcel de Caseros, quien le ref</w:t>
      </w:r>
      <w:r>
        <w:rPr>
          <w:lang w:val="es-AR"/>
        </w:rPr>
        <w:t>i</w:t>
      </w:r>
      <w:r>
        <w:rPr>
          <w:lang w:val="es-AR"/>
        </w:rPr>
        <w:t>rió que había visto a otro detenido que se quería hacer cargo del atentado; según el fiscal, se refería a Ramón Emilio Solari T</w:t>
      </w:r>
      <w:r>
        <w:rPr>
          <w:lang w:val="es-AR"/>
        </w:rPr>
        <w:t>o</w:t>
      </w:r>
      <w:r>
        <w:rPr>
          <w:lang w:val="es-AR"/>
        </w:rPr>
        <w:t>rres.</w:t>
      </w:r>
    </w:p>
    <w:p w:rsidR="00224567" w:rsidRDefault="00224567">
      <w:pPr>
        <w:widowControl w:val="0"/>
        <w:tabs>
          <w:tab w:val="left" w:pos="0"/>
        </w:tabs>
        <w:ind w:firstLine="2835"/>
        <w:rPr>
          <w:lang w:val="es-AR"/>
        </w:rPr>
      </w:pPr>
      <w:r>
        <w:rPr>
          <w:lang w:val="es-AR"/>
        </w:rPr>
        <w:t>En igual sentido, sostuvo el ac</w:t>
      </w:r>
      <w:r>
        <w:rPr>
          <w:lang w:val="es-AR"/>
        </w:rPr>
        <w:t>u</w:t>
      </w:r>
      <w:r>
        <w:rPr>
          <w:lang w:val="es-AR"/>
        </w:rPr>
        <w:t>sador que Virginia Morri, novia de Bareiro, en ocasión de vis</w:t>
      </w:r>
      <w:r>
        <w:rPr>
          <w:lang w:val="es-AR"/>
        </w:rPr>
        <w:t>i</w:t>
      </w:r>
      <w:r>
        <w:rPr>
          <w:lang w:val="es-AR"/>
        </w:rPr>
        <w:t>tar a Telleldín junto con Boragni, le comentó a ésta ace</w:t>
      </w:r>
      <w:r>
        <w:rPr>
          <w:lang w:val="es-AR"/>
        </w:rPr>
        <w:t>r</w:t>
      </w:r>
      <w:r>
        <w:rPr>
          <w:lang w:val="es-AR"/>
        </w:rPr>
        <w:t>ca de la aparición de un detenido en Vicente López que d</w:t>
      </w:r>
      <w:r>
        <w:rPr>
          <w:lang w:val="es-AR"/>
        </w:rPr>
        <w:t>e</w:t>
      </w:r>
      <w:r>
        <w:rPr>
          <w:lang w:val="es-AR"/>
        </w:rPr>
        <w:t xml:space="preserve">cía haber intervenido en el tema de </w:t>
      </w:r>
      <w:smartTag w:uri="urn:schemas-microsoft-com:office:smarttags" w:element="PersonName">
        <w:smartTagPr>
          <w:attr w:name="ProductID" w:val="la A.M"/>
        </w:smartTagPr>
        <w:r>
          <w:rPr>
            <w:lang w:val="es-AR"/>
          </w:rPr>
          <w:t>la A.M</w:t>
        </w:r>
      </w:smartTag>
      <w:r>
        <w:rPr>
          <w:lang w:val="es-AR"/>
        </w:rPr>
        <w:t xml:space="preserve">.I.A.; tal el propósito, concluyó el fiscal, que guió a Morri a acudir en busca de una persona “para poder despegar todos un poco de este tema de </w:t>
      </w:r>
      <w:smartTag w:uri="urn:schemas-microsoft-com:office:smarttags" w:element="PersonName">
        <w:smartTagPr>
          <w:attr w:name="ProductID" w:val="la A.M"/>
        </w:smartTagPr>
        <w:r>
          <w:rPr>
            <w:lang w:val="es-AR"/>
          </w:rPr>
          <w:t>la A.M</w:t>
        </w:r>
      </w:smartTag>
      <w:r>
        <w:rPr>
          <w:lang w:val="es-AR"/>
        </w:rPr>
        <w:t>.I.A.”.</w:t>
      </w:r>
    </w:p>
    <w:p w:rsidR="00224567" w:rsidRDefault="00224567">
      <w:pPr>
        <w:widowControl w:val="0"/>
        <w:tabs>
          <w:tab w:val="left" w:pos="0"/>
        </w:tabs>
        <w:ind w:firstLine="2835"/>
        <w:rPr>
          <w:lang w:val="es-AR"/>
        </w:rPr>
      </w:pPr>
      <w:r>
        <w:rPr>
          <w:lang w:val="es-AR"/>
        </w:rPr>
        <w:t xml:space="preserve">Mario Norberto Bareiro, por su parte, señaló que conoció en la brigada a un detenido de nombre Solari, que le dijo que tenía información de la causa </w:t>
      </w:r>
      <w:r>
        <w:rPr>
          <w:lang w:val="es-AR"/>
        </w:rPr>
        <w:lastRenderedPageBreak/>
        <w:t>A.M.I.A. Entendió el fiscal que el imputado invirtió la cuestión; es decir, lo que Bareiro le contó a Solari lo hizo figurar como contado por éste último. No obstante, indicó, Bareiro reconoció que Solari tenía diálogo perm</w:t>
      </w:r>
      <w:r>
        <w:rPr>
          <w:lang w:val="es-AR"/>
        </w:rPr>
        <w:t>a</w:t>
      </w:r>
      <w:r>
        <w:rPr>
          <w:lang w:val="es-AR"/>
        </w:rPr>
        <w:t>nente con muchos de los oficiales de la brigada y, de a</w:t>
      </w:r>
      <w:r>
        <w:rPr>
          <w:lang w:val="es-AR"/>
        </w:rPr>
        <w:t>l</w:t>
      </w:r>
      <w:r>
        <w:rPr>
          <w:lang w:val="es-AR"/>
        </w:rPr>
        <w:t>guna manera, corroboró el trato preferencial que se le otorgaba, aclarando que “él nada p</w:t>
      </w:r>
      <w:r>
        <w:rPr>
          <w:lang w:val="es-AR"/>
        </w:rPr>
        <w:t>o</w:t>
      </w:r>
      <w:r>
        <w:rPr>
          <w:lang w:val="es-AR"/>
        </w:rPr>
        <w:t>día hacer porque venía i</w:t>
      </w:r>
      <w:r>
        <w:rPr>
          <w:lang w:val="es-AR"/>
        </w:rPr>
        <w:t>m</w:t>
      </w:r>
      <w:r>
        <w:rPr>
          <w:lang w:val="es-AR"/>
        </w:rPr>
        <w:t>puesto por órdenes de arriba”.</w:t>
      </w:r>
    </w:p>
    <w:p w:rsidR="00224567" w:rsidRDefault="00224567">
      <w:pPr>
        <w:widowControl w:val="0"/>
        <w:tabs>
          <w:tab w:val="left" w:pos="0"/>
        </w:tabs>
        <w:ind w:firstLine="2835"/>
      </w:pPr>
      <w:r>
        <w:rPr>
          <w:lang w:val="es-AR"/>
        </w:rPr>
        <w:t>También trajo a colación el testim</w:t>
      </w:r>
      <w:r>
        <w:rPr>
          <w:lang w:val="es-AR"/>
        </w:rPr>
        <w:t>o</w:t>
      </w:r>
      <w:r>
        <w:rPr>
          <w:lang w:val="es-AR"/>
        </w:rPr>
        <w:t xml:space="preserve">nio de </w:t>
      </w:r>
      <w:r>
        <w:t>Raúl Benito Levaggi, consorte de causa y compañero de alojamiento de Solari, quien relató que éste le expresó que “si se tenía que involucrar en la causa A.M.I.A., lo haría”; además, que mantenía buen trato con los encargados de su custodia; que nunca escuchó quejas ni malos tratos hacia el nombrado; que Ramón Solari tenía acceso a todos los diarios y revistas que llevaban a la brigada y que p</w:t>
      </w:r>
      <w:r>
        <w:t>o</w:t>
      </w:r>
      <w:r>
        <w:t>día utilizar el teléfono, prerrogativa que estaba vedada a los demás detenidos. Dichas circunstancias fueron confi</w:t>
      </w:r>
      <w:r>
        <w:t>r</w:t>
      </w:r>
      <w:r>
        <w:t>madas por Luis Ca</w:t>
      </w:r>
      <w:r>
        <w:t>r</w:t>
      </w:r>
      <w:r>
        <w:t>los Derruvo.</w:t>
      </w:r>
    </w:p>
    <w:p w:rsidR="00224567" w:rsidRDefault="00224567">
      <w:pPr>
        <w:widowControl w:val="0"/>
        <w:tabs>
          <w:tab w:val="left" w:pos="0"/>
        </w:tabs>
        <w:ind w:firstLine="2835"/>
      </w:pPr>
      <w:r>
        <w:t>Además, dijo, el testigo Levaggi c</w:t>
      </w:r>
      <w:r>
        <w:t>o</w:t>
      </w:r>
      <w:r>
        <w:t xml:space="preserve">rroboró las conversaciones mantenidas entre Ramón Emilio </w:t>
      </w:r>
      <w:r>
        <w:lastRenderedPageBreak/>
        <w:t>Solari Torres y el personal policial en la celda de éste, destacando como llamativo el hecho de que hici</w:t>
      </w:r>
      <w:r>
        <w:t>e</w:t>
      </w:r>
      <w:r>
        <w:t>ran salir a los restantes detenidos para que nadie escuchara los té</w:t>
      </w:r>
      <w:r>
        <w:t>r</w:t>
      </w:r>
      <w:r>
        <w:t>minos de los diál</w:t>
      </w:r>
      <w:r>
        <w:t>o</w:t>
      </w:r>
      <w:r>
        <w:t>gos.</w:t>
      </w:r>
    </w:p>
    <w:p w:rsidR="00224567" w:rsidRDefault="00224567">
      <w:pPr>
        <w:widowControl w:val="0"/>
        <w:tabs>
          <w:tab w:val="left" w:pos="0"/>
        </w:tabs>
        <w:ind w:firstLine="2835"/>
      </w:pPr>
      <w:r>
        <w:t>Con respecto a la situación de L</w:t>
      </w:r>
      <w:r>
        <w:t>e</w:t>
      </w:r>
      <w:r>
        <w:t>vaggi, el fiscal cons</w:t>
      </w:r>
      <w:r>
        <w:t>i</w:t>
      </w:r>
      <w:r>
        <w:t>deró como llamativo el hecho de que el nombrado, detenido por el mismo delito y en la misma causa que Ramón Emilio Solari Torres, fuera trasladado a una unidad carcelaria mucho antes que su consorte de ca</w:t>
      </w:r>
      <w:r>
        <w:t>u</w:t>
      </w:r>
      <w:r>
        <w:t>sa. El extremo, dijo, evide</w:t>
      </w:r>
      <w:r>
        <w:t>n</w:t>
      </w:r>
      <w:r>
        <w:t>cia la clara finalidad de que Solari “tenía que permanecer en la brigada por el aporte, el ap</w:t>
      </w:r>
      <w:r>
        <w:t>o</w:t>
      </w:r>
      <w:r>
        <w:t>yo, que iba a hacer respecto a los ex policías aquí imp</w:t>
      </w:r>
      <w:r>
        <w:t>u</w:t>
      </w:r>
      <w:r>
        <w:t>tados”.</w:t>
      </w:r>
    </w:p>
    <w:p w:rsidR="00224567" w:rsidRDefault="00224567">
      <w:pPr>
        <w:widowControl w:val="0"/>
        <w:tabs>
          <w:tab w:val="left" w:pos="0"/>
        </w:tabs>
        <w:ind w:firstLine="2835"/>
      </w:pPr>
      <w:r>
        <w:t>Refirió que el testigo Luis Roa, cu</w:t>
      </w:r>
      <w:r>
        <w:t>s</w:t>
      </w:r>
      <w:r>
        <w:t>todio de la brigada, expresó que la conducta de Solari era normal, como la de cualquier detenido; que Ignacio Ojeda, quien cumplía igual función, s</w:t>
      </w:r>
      <w:r>
        <w:t>e</w:t>
      </w:r>
      <w:r>
        <w:t>ñaló que era un preso como cualquier otro y que le estaba permitido el privilegio de hablar por teléf</w:t>
      </w:r>
      <w:r>
        <w:t>o</w:t>
      </w:r>
      <w:r>
        <w:t xml:space="preserve">no, y que José Aurelio Ferrari afirmó que Bareiro le comentó que varias veces a la noche ingresó a </w:t>
      </w:r>
      <w:r>
        <w:lastRenderedPageBreak/>
        <w:t xml:space="preserve">la celda de Solari para conversar del tema de </w:t>
      </w:r>
      <w:smartTag w:uri="urn:schemas-microsoft-com:office:smarttags" w:element="PersonName">
        <w:smartTagPr>
          <w:attr w:name="ProductID" w:val="la A.M"/>
        </w:smartTagPr>
        <w:r>
          <w:t>la A.M</w:t>
        </w:r>
      </w:smartTag>
      <w:r>
        <w:t>.I.A. y del imputado Telleldín, agregando que era comentario g</w:t>
      </w:r>
      <w:r>
        <w:t>e</w:t>
      </w:r>
      <w:r>
        <w:t>neral en la brigada que quien aportó los datos al detenido Solari para que preste las falsas declaraciones no era otro que Mario Norberto Bareiro.</w:t>
      </w:r>
    </w:p>
    <w:p w:rsidR="00224567" w:rsidRDefault="00224567">
      <w:pPr>
        <w:widowControl w:val="0"/>
        <w:tabs>
          <w:tab w:val="left" w:pos="0"/>
        </w:tabs>
        <w:ind w:firstLine="2835"/>
      </w:pPr>
      <w:r>
        <w:t>Entendió que el motivo que justificó el involucramiento de Ramón Emilio Solari Torres en la causa fue dado a conocer por el nombrado al prestar decl</w:t>
      </w:r>
      <w:r>
        <w:t>a</w:t>
      </w:r>
      <w:r>
        <w:t xml:space="preserve">ración en </w:t>
      </w:r>
      <w:smartTag w:uri="urn:schemas-microsoft-com:office:smarttags" w:element="PersonName">
        <w:smartTagPr>
          <w:attr w:name="ProductID" w:val="la Unidad Penitenciaria"/>
        </w:smartTagPr>
        <w:r>
          <w:t>la Unidad Penitenciaria</w:t>
        </w:r>
      </w:smartTag>
      <w:r>
        <w:t xml:space="preserve"> de Sierra Chica ante los  miembros de </w:t>
      </w:r>
      <w:smartTag w:uri="urn:schemas-microsoft-com:office:smarttags" w:element="PersonName">
        <w:smartTagPr>
          <w:attr w:name="ProductID" w:val="la Comisi￳n Bicameral"/>
        </w:smartTagPr>
        <w:r>
          <w:t>la Comisión Bic</w:t>
        </w:r>
        <w:r>
          <w:t>a</w:t>
        </w:r>
        <w:r>
          <w:t>meral</w:t>
        </w:r>
      </w:smartTag>
      <w:r>
        <w:t xml:space="preserve">, como así también en el debate. </w:t>
      </w:r>
    </w:p>
    <w:p w:rsidR="00224567" w:rsidRDefault="00224567">
      <w:pPr>
        <w:widowControl w:val="0"/>
        <w:tabs>
          <w:tab w:val="left" w:pos="0"/>
        </w:tabs>
        <w:ind w:firstLine="2835"/>
      </w:pPr>
      <w:r>
        <w:t>Así, dijo, Solari reconoció que en o</w:t>
      </w:r>
      <w:r>
        <w:t>c</w:t>
      </w:r>
      <w:r>
        <w:t xml:space="preserve">tubre de 1994 fue trasladado a </w:t>
      </w:r>
      <w:smartTag w:uri="urn:schemas-microsoft-com:office:smarttags" w:element="PersonName">
        <w:smartTagPr>
          <w:attr w:name="ProductID" w:val="la Brigada"/>
        </w:smartTagPr>
        <w:r>
          <w:t>la Brigada</w:t>
        </w:r>
      </w:smartTag>
      <w:r>
        <w:t xml:space="preserve"> de Vicente López por las relaciones anteriores que mantenía con el subcom</w:t>
      </w:r>
      <w:r>
        <w:t>i</w:t>
      </w:r>
      <w:r>
        <w:t>sario Jorge Horacio Rago; que comenzó a tener un trato preferencial consistente en salir de la celda, usar el t</w:t>
      </w:r>
      <w:r>
        <w:t>e</w:t>
      </w:r>
      <w:r>
        <w:t>léfono, recibir diarios y revistas y acceder a visitas í</w:t>
      </w:r>
      <w:r>
        <w:t>n</w:t>
      </w:r>
      <w:r>
        <w:t>timas; que en una oportunidad Bareiro le dijo que estaba siendo involucrado en el “tema A.M.I.A.”, a lo que le co</w:t>
      </w:r>
      <w:r>
        <w:t>n</w:t>
      </w:r>
      <w:r>
        <w:t>testó que</w:t>
      </w:r>
      <w:r>
        <w:rPr>
          <w:lang w:val="es-AR"/>
        </w:rPr>
        <w:t xml:space="preserve"> “si se tenía que hacer cargo de algo a cambio de algún beneficio que pudiera brindarle en la brigada de i</w:t>
      </w:r>
      <w:r>
        <w:rPr>
          <w:lang w:val="es-AR"/>
        </w:rPr>
        <w:t>n</w:t>
      </w:r>
      <w:r>
        <w:rPr>
          <w:lang w:val="es-AR"/>
        </w:rPr>
        <w:lastRenderedPageBreak/>
        <w:t>vestigaci</w:t>
      </w:r>
      <w:r>
        <w:rPr>
          <w:lang w:val="es-AR"/>
        </w:rPr>
        <w:t>o</w:t>
      </w:r>
      <w:r>
        <w:rPr>
          <w:lang w:val="es-AR"/>
        </w:rPr>
        <w:t>nes, lo haría sin ningún problema”</w:t>
      </w:r>
      <w:r>
        <w:t>; que en otra charla con Bareiro y Rago, éstos le d</w:t>
      </w:r>
      <w:r>
        <w:t>i</w:t>
      </w:r>
      <w:r>
        <w:t>jeron que en el tema también estaba involucrado Juan José Ribelli; que unos días después fue conducido a una oficina de la brigada donde estaban Ribelli</w:t>
      </w:r>
      <w:r>
        <w:rPr>
          <w:lang w:val="es-AR"/>
        </w:rPr>
        <w:t>, Rago y una mujer, para proponerle la entrega de USD 100.000 y su libertad a cambio del de</w:t>
      </w:r>
      <w:r>
        <w:rPr>
          <w:lang w:val="es-AR"/>
        </w:rPr>
        <w:t>s</w:t>
      </w:r>
      <w:r>
        <w:rPr>
          <w:lang w:val="es-AR"/>
        </w:rPr>
        <w:t xml:space="preserve">vío de la investigación; que, aparte de esa oportunidad, a Ribelli lo vio una o dos veces más; </w:t>
      </w:r>
      <w:r>
        <w:t>que en una de esas ocasiones también concurrieron Bareiro, Rago y Leal para entregarle el libreto, que consistía en admitir ante el juez instructor que había comprado la camioneta con Ramón Martínez; que Rago y Bareiro actuaban como enlace con R</w:t>
      </w:r>
      <w:r>
        <w:t>i</w:t>
      </w:r>
      <w:r>
        <w:t>belli; que los policías le e</w:t>
      </w:r>
      <w:r>
        <w:t>x</w:t>
      </w:r>
      <w:r>
        <w:t>hibieron fotos de Telleldín, un croquis de la casa del nombrado, le dieron indicaciones acerca de la distribución de los ambientes y le entregaron recortes de diarios vincul</w:t>
      </w:r>
      <w:r>
        <w:t>a</w:t>
      </w:r>
      <w:r>
        <w:t>dos con la causa A.M.I.A. y que durante su detención en la unidad carcelaria t</w:t>
      </w:r>
      <w:r>
        <w:t>o</w:t>
      </w:r>
      <w:r>
        <w:t>mó contacto con los abogados del personal policial, quienes “lo iban poniendo al tanto de las últimas novedades de la causa”.</w:t>
      </w:r>
    </w:p>
    <w:p w:rsidR="00224567" w:rsidRDefault="00224567">
      <w:pPr>
        <w:widowControl w:val="0"/>
        <w:tabs>
          <w:tab w:val="left" w:pos="0"/>
        </w:tabs>
        <w:ind w:firstLine="2835"/>
        <w:rPr>
          <w:lang w:val="es-AR"/>
        </w:rPr>
      </w:pPr>
      <w:r>
        <w:rPr>
          <w:lang w:val="es-AR"/>
        </w:rPr>
        <w:t>El desvío consistía en decir que R</w:t>
      </w:r>
      <w:r>
        <w:rPr>
          <w:lang w:val="es-AR"/>
        </w:rPr>
        <w:t>a</w:t>
      </w:r>
      <w:r>
        <w:rPr>
          <w:lang w:val="es-AR"/>
        </w:rPr>
        <w:t xml:space="preserve">món </w:t>
      </w:r>
      <w:r>
        <w:rPr>
          <w:lang w:val="es-AR"/>
        </w:rPr>
        <w:lastRenderedPageBreak/>
        <w:t>Emilio Solari Torres era una de las personas que había a</w:t>
      </w:r>
      <w:r>
        <w:rPr>
          <w:lang w:val="es-AR"/>
        </w:rPr>
        <w:t>d</w:t>
      </w:r>
      <w:r>
        <w:rPr>
          <w:lang w:val="es-AR"/>
        </w:rPr>
        <w:t>quirido la camioneta Trafic, de manera de alejar la ate</w:t>
      </w:r>
      <w:r>
        <w:rPr>
          <w:lang w:val="es-AR"/>
        </w:rPr>
        <w:t>n</w:t>
      </w:r>
      <w:r>
        <w:rPr>
          <w:lang w:val="es-AR"/>
        </w:rPr>
        <w:t>ción sobre los policías bonaerenses; “habiendo venta, no hubo extorsión, no hubo acuerdo, no hubo nada, la camion</w:t>
      </w:r>
      <w:r>
        <w:rPr>
          <w:lang w:val="es-AR"/>
        </w:rPr>
        <w:t>e</w:t>
      </w:r>
      <w:r>
        <w:rPr>
          <w:lang w:val="es-AR"/>
        </w:rPr>
        <w:t>ta nunca pasó por los bonaerenses”, esgrimió el fi</w:t>
      </w:r>
      <w:r>
        <w:rPr>
          <w:lang w:val="es-AR"/>
        </w:rPr>
        <w:t>s</w:t>
      </w:r>
      <w:r>
        <w:rPr>
          <w:lang w:val="es-AR"/>
        </w:rPr>
        <w:t>cal.</w:t>
      </w:r>
    </w:p>
    <w:p w:rsidR="00224567" w:rsidRDefault="00224567">
      <w:pPr>
        <w:widowControl w:val="0"/>
        <w:tabs>
          <w:tab w:val="left" w:pos="0"/>
        </w:tabs>
        <w:ind w:firstLine="2835"/>
        <w:rPr>
          <w:lang w:val="es-AR"/>
        </w:rPr>
      </w:pPr>
      <w:r>
        <w:rPr>
          <w:lang w:val="es-AR"/>
        </w:rPr>
        <w:t>Con ese objetivo, alegó, el personal policial dotó al supuesto testigo de una serie de eleme</w:t>
      </w:r>
      <w:r>
        <w:rPr>
          <w:lang w:val="es-AR"/>
        </w:rPr>
        <w:t>n</w:t>
      </w:r>
      <w:r>
        <w:rPr>
          <w:lang w:val="es-AR"/>
        </w:rPr>
        <w:t>tos y aportes para que no aparezca declarando como un i</w:t>
      </w:r>
      <w:r>
        <w:rPr>
          <w:lang w:val="es-AR"/>
        </w:rPr>
        <w:t>m</w:t>
      </w:r>
      <w:r>
        <w:rPr>
          <w:lang w:val="es-AR"/>
        </w:rPr>
        <w:t>provisado, sino, cuanto menos, sobre circunsta</w:t>
      </w:r>
      <w:r>
        <w:rPr>
          <w:lang w:val="es-AR"/>
        </w:rPr>
        <w:t>n</w:t>
      </w:r>
      <w:r>
        <w:rPr>
          <w:lang w:val="es-AR"/>
        </w:rPr>
        <w:t>cias de las cuales tenía acabado conoc</w:t>
      </w:r>
      <w:r>
        <w:rPr>
          <w:lang w:val="es-AR"/>
        </w:rPr>
        <w:t>i</w:t>
      </w:r>
      <w:r>
        <w:rPr>
          <w:lang w:val="es-AR"/>
        </w:rPr>
        <w:t>miento.</w:t>
      </w:r>
    </w:p>
    <w:p w:rsidR="00224567" w:rsidRDefault="00224567">
      <w:pPr>
        <w:widowControl w:val="0"/>
        <w:tabs>
          <w:tab w:val="left" w:pos="0"/>
        </w:tabs>
        <w:ind w:firstLine="2835"/>
      </w:pPr>
      <w:r>
        <w:rPr>
          <w:lang w:val="es-AR"/>
        </w:rPr>
        <w:t>A tal punto complicaron a los ex pol</w:t>
      </w:r>
      <w:r>
        <w:rPr>
          <w:lang w:val="es-AR"/>
        </w:rPr>
        <w:t>i</w:t>
      </w:r>
      <w:r>
        <w:rPr>
          <w:lang w:val="es-AR"/>
        </w:rPr>
        <w:t>cías bonaerenses los dichos de</w:t>
      </w:r>
      <w:r>
        <w:t xml:space="preserve"> Solari ante los mie</w:t>
      </w:r>
      <w:r>
        <w:t>m</w:t>
      </w:r>
      <w:r>
        <w:t xml:space="preserve">bros de </w:t>
      </w:r>
      <w:smartTag w:uri="urn:schemas-microsoft-com:office:smarttags" w:element="PersonName">
        <w:smartTagPr>
          <w:attr w:name="ProductID" w:val="la Comisi￳n Bicameral"/>
        </w:smartTagPr>
        <w:r>
          <w:t>la Comisión Bicameral</w:t>
        </w:r>
      </w:smartTag>
      <w:r>
        <w:t>, señaló el fi</w:t>
      </w:r>
      <w:r>
        <w:t>s</w:t>
      </w:r>
      <w:r>
        <w:t>cal, que se intentó en dos oportunidades terminar con su vida, conforme testim</w:t>
      </w:r>
      <w:r>
        <w:t>o</w:t>
      </w:r>
      <w:r>
        <w:t>niaron en el debate Leandro Fabio Incaminato, Rafael Ant</w:t>
      </w:r>
      <w:r>
        <w:t>o</w:t>
      </w:r>
      <w:r>
        <w:t>nio Domínguez, Benigna Rosa Barrionuevo y Daniel Carlos Mira</w:t>
      </w:r>
      <w:r>
        <w:t>n</w:t>
      </w:r>
      <w:r>
        <w:t>da.</w:t>
      </w:r>
    </w:p>
    <w:p w:rsidR="00224567" w:rsidRDefault="00224567">
      <w:pPr>
        <w:widowControl w:val="0"/>
        <w:tabs>
          <w:tab w:val="left" w:pos="0"/>
        </w:tabs>
        <w:ind w:firstLine="2835"/>
      </w:pPr>
      <w:r>
        <w:t>En virtud de dichas tentativas, señ</w:t>
      </w:r>
      <w:r>
        <w:t>a</w:t>
      </w:r>
      <w:r>
        <w:t>ló, los denunciantes se presentaron ante el fiscal de las causas iniciadas por ese motivo, para acompañar la llave de la celda de Solari que, según dijeron, el personal p</w:t>
      </w:r>
      <w:r>
        <w:t>e</w:t>
      </w:r>
      <w:r>
        <w:lastRenderedPageBreak/>
        <w:t>nitenciario les había aportado con el propósito de que p</w:t>
      </w:r>
      <w:r>
        <w:t>u</w:t>
      </w:r>
      <w:r>
        <w:t>dieran ingresar sin problemas y cumplir su c</w:t>
      </w:r>
      <w:r>
        <w:t>o</w:t>
      </w:r>
      <w:r>
        <w:t>metido.</w:t>
      </w:r>
    </w:p>
    <w:p w:rsidR="00224567" w:rsidRDefault="00224567">
      <w:pPr>
        <w:pStyle w:val="Textoindependiente"/>
        <w:spacing w:line="600" w:lineRule="auto"/>
        <w:ind w:firstLine="2835"/>
      </w:pPr>
      <w:r>
        <w:t>Sostuvo el fiscal que a las pru</w:t>
      </w:r>
      <w:r>
        <w:t>e</w:t>
      </w:r>
      <w:r>
        <w:t>bas que acreditan el adoctrinamiento de Ramón Emilio Solari Torres para favorecer a los imputados, se aditan los intentos de homicidio para que callara lo que sabía, por cuanto su ú</w:t>
      </w:r>
      <w:r>
        <w:t>l</w:t>
      </w:r>
      <w:r>
        <w:t>tima versión comprometía aún mas a quienes lo prep</w:t>
      </w:r>
      <w:r>
        <w:t>a</w:t>
      </w:r>
      <w:r>
        <w:t xml:space="preserve">raron. </w:t>
      </w:r>
    </w:p>
    <w:p w:rsidR="00224567" w:rsidRDefault="00224567">
      <w:pPr>
        <w:widowControl w:val="0"/>
        <w:tabs>
          <w:tab w:val="left" w:pos="0"/>
        </w:tabs>
        <w:ind w:firstLine="2835"/>
      </w:pPr>
      <w:r>
        <w:t>A pesar de su condición de homicida, hizo hincapié en la credibilidad de Solari, en tanto que sus dichos encontraron correlato en las pruebas s</w:t>
      </w:r>
      <w:r>
        <w:t>e</w:t>
      </w:r>
      <w:r>
        <w:t>ñaladas. Además, argumentó que los datos que aportó Solari a la causa nunca podrían haber sido obtenidos por él, sino fu</w:t>
      </w:r>
      <w:r>
        <w:t>e</w:t>
      </w:r>
      <w:r>
        <w:t>ra porque alguien se lo suministró, tenie</w:t>
      </w:r>
      <w:r>
        <w:t>n</w:t>
      </w:r>
      <w:r>
        <w:t>do en cuenta su condición de det</w:t>
      </w:r>
      <w:r>
        <w:t>e</w:t>
      </w:r>
      <w:r>
        <w:t>nido.</w:t>
      </w:r>
    </w:p>
    <w:p w:rsidR="00224567" w:rsidRDefault="00224567">
      <w:pPr>
        <w:widowControl w:val="0"/>
        <w:tabs>
          <w:tab w:val="left" w:pos="0"/>
        </w:tabs>
        <w:ind w:firstLine="2835"/>
      </w:pPr>
      <w:r>
        <w:t>Por último, consideró que de no haber sido preparado S</w:t>
      </w:r>
      <w:r>
        <w:t>o</w:t>
      </w:r>
      <w:r>
        <w:t>lari, no se explicarían las menciones que efectuó de la escribanía Benincasa en su declaración, quien, según se acreditó, era conocida de Raúl Edilio Ib</w:t>
      </w:r>
      <w:r>
        <w:t>a</w:t>
      </w:r>
      <w:r>
        <w:t>rra, ni el aporte que hizo del teléfono del entonces su</w:t>
      </w:r>
      <w:r>
        <w:t>b</w:t>
      </w:r>
      <w:r>
        <w:t xml:space="preserve">secretario de </w:t>
      </w:r>
      <w:smartTag w:uri="urn:schemas-microsoft-com:office:smarttags" w:element="PersonName">
        <w:smartTagPr>
          <w:attr w:name="ProductID" w:val="la S.I"/>
        </w:smartTagPr>
        <w:r>
          <w:t>la S.I</w:t>
        </w:r>
      </w:smartTag>
      <w:r>
        <w:t>.D.E. Juan Carlos Anchézar, ni la o</w:t>
      </w:r>
      <w:r>
        <w:t>b</w:t>
      </w:r>
      <w:r>
        <w:lastRenderedPageBreak/>
        <w:t>tención de datos que habían sido publ</w:t>
      </w:r>
      <w:r>
        <w:t>i</w:t>
      </w:r>
      <w:r>
        <w:t>cados por los medios de comunicación mucho antes de que fuera det</w:t>
      </w:r>
      <w:r>
        <w:t>e</w:t>
      </w:r>
      <w:r>
        <w:t>nido.</w:t>
      </w:r>
    </w:p>
    <w:p w:rsidR="00224567" w:rsidRDefault="00224567">
      <w:pPr>
        <w:pStyle w:val="Sangra2detindependiente"/>
        <w:widowControl w:val="0"/>
        <w:spacing w:line="600" w:lineRule="auto"/>
        <w:ind w:firstLine="2835"/>
      </w:pPr>
      <w:r>
        <w:t>Sostuvo el fiscal que ante el fracaso del desvío anteriormente expuesto, sucedió otro más elab</w:t>
      </w:r>
      <w:r>
        <w:t>o</w:t>
      </w:r>
      <w:r>
        <w:t>rado.</w:t>
      </w:r>
    </w:p>
    <w:p w:rsidR="00224567" w:rsidRDefault="00224567">
      <w:pPr>
        <w:pStyle w:val="Sangra2detindependiente"/>
        <w:widowControl w:val="0"/>
        <w:spacing w:line="600" w:lineRule="auto"/>
        <w:ind w:firstLine="2835"/>
      </w:pPr>
      <w:r>
        <w:t>Al respecto, con mención de la decl</w:t>
      </w:r>
      <w:r>
        <w:t>a</w:t>
      </w:r>
      <w:r>
        <w:t>ración de Mónica Chirivín, esposa del policía de la pr</w:t>
      </w:r>
      <w:r>
        <w:t>o</w:t>
      </w:r>
      <w:r>
        <w:t>vincia de Buenos Aires llamado Abel Ibrahim Alí, de su abogado Daniel Serafín, de la nota periodística p</w:t>
      </w:r>
      <w:r>
        <w:t>u</w:t>
      </w:r>
      <w:r>
        <w:t>blicada por Gabriel Pasquini en el diario Clarín en 1997 y del v</w:t>
      </w:r>
      <w:r>
        <w:t>i</w:t>
      </w:r>
      <w:r>
        <w:t xml:space="preserve">deo que ilustró acerca de la entrevista entre el Dr. Cúneo Libarona y el agente de </w:t>
      </w:r>
      <w:smartTag w:uri="urn:schemas-microsoft-com:office:smarttags" w:element="PersonName">
        <w:smartTagPr>
          <w:attr w:name="ProductID" w:val="la S.I"/>
        </w:smartTagPr>
        <w:r>
          <w:t>la S.I</w:t>
        </w:r>
      </w:smartTag>
      <w:r>
        <w:t>.D.E. Alejandro Brousson, el fiscal afirmó que se intentó una maniobra de desvío de la investigación, consistente en involucrar al nombrado Alí en la entrega de la camioneta por parte de Carlos A</w:t>
      </w:r>
      <w:r>
        <w:t>l</w:t>
      </w:r>
      <w:r>
        <w:t>berto Telleldín, con sustento en el parecido físico de éste con Raúl Edilio Ibarra, en el origen árabe de su apellido y en su condición de Policía Bona</w:t>
      </w:r>
      <w:r>
        <w:t>e</w:t>
      </w:r>
      <w:r>
        <w:t xml:space="preserve">rense. </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Destacó que en forma simultánea a la entrevista y a la nota periodística antes menci</w:t>
      </w:r>
      <w:r>
        <w:rPr>
          <w:rFonts w:ascii="Courier New" w:hAnsi="Courier New" w:cs="Courier New"/>
          <w:b w:val="0"/>
          <w:sz w:val="24"/>
        </w:rPr>
        <w:t>o</w:t>
      </w:r>
      <w:r>
        <w:rPr>
          <w:rFonts w:ascii="Courier New" w:hAnsi="Courier New" w:cs="Courier New"/>
          <w:b w:val="0"/>
          <w:sz w:val="24"/>
        </w:rPr>
        <w:t>nada, Juan José Ribelli solicitó ampliar su declaración ind</w:t>
      </w:r>
      <w:r>
        <w:rPr>
          <w:rFonts w:ascii="Courier New" w:hAnsi="Courier New" w:cs="Courier New"/>
          <w:b w:val="0"/>
          <w:sz w:val="24"/>
        </w:rPr>
        <w:t>a</w:t>
      </w:r>
      <w:r>
        <w:rPr>
          <w:rFonts w:ascii="Courier New" w:hAnsi="Courier New" w:cs="Courier New"/>
          <w:b w:val="0"/>
          <w:sz w:val="24"/>
        </w:rPr>
        <w:t xml:space="preserve">gatoria, </w:t>
      </w:r>
      <w:r>
        <w:rPr>
          <w:rFonts w:ascii="Courier New" w:hAnsi="Courier New" w:cs="Courier New"/>
          <w:b w:val="0"/>
          <w:sz w:val="24"/>
        </w:rPr>
        <w:lastRenderedPageBreak/>
        <w:t>ocasión en que coaccionó al juez con la entr</w:t>
      </w:r>
      <w:r>
        <w:rPr>
          <w:rFonts w:ascii="Courier New" w:hAnsi="Courier New" w:cs="Courier New"/>
          <w:b w:val="0"/>
          <w:sz w:val="24"/>
        </w:rPr>
        <w:t>e</w:t>
      </w:r>
      <w:r>
        <w:rPr>
          <w:rFonts w:ascii="Courier New" w:hAnsi="Courier New" w:cs="Courier New"/>
          <w:b w:val="0"/>
          <w:sz w:val="24"/>
        </w:rPr>
        <w:t>ga del video que documentaba la entrevista del 1º de julio de 1996.</w:t>
      </w:r>
      <w:r>
        <w:rPr>
          <w:rFonts w:ascii="Courier New" w:hAnsi="Courier New" w:cs="Courier New"/>
          <w:b w:val="0"/>
          <w:sz w:val="24"/>
        </w:rPr>
        <w:tab/>
        <w:t>E</w:t>
      </w:r>
      <w:r>
        <w:rPr>
          <w:rFonts w:ascii="Courier New" w:hAnsi="Courier New" w:cs="Courier New"/>
          <w:b w:val="0"/>
          <w:sz w:val="24"/>
        </w:rPr>
        <w:t>x</w:t>
      </w:r>
      <w:r>
        <w:rPr>
          <w:rFonts w:ascii="Courier New" w:hAnsi="Courier New" w:cs="Courier New"/>
          <w:b w:val="0"/>
          <w:sz w:val="24"/>
        </w:rPr>
        <w:t>plicó que la idea buscada era pla</w:t>
      </w:r>
      <w:r>
        <w:rPr>
          <w:rFonts w:ascii="Courier New" w:hAnsi="Courier New" w:cs="Courier New"/>
          <w:b w:val="0"/>
          <w:sz w:val="24"/>
        </w:rPr>
        <w:t>n</w:t>
      </w:r>
      <w:r>
        <w:rPr>
          <w:rFonts w:ascii="Courier New" w:hAnsi="Courier New" w:cs="Courier New"/>
          <w:b w:val="0"/>
          <w:sz w:val="24"/>
        </w:rPr>
        <w:t xml:space="preserve">tear la misma hipótesis –entrega de la camioneta a </w:t>
      </w:r>
      <w:smartTag w:uri="urn:schemas-microsoft-com:office:smarttags" w:element="PersonName">
        <w:smartTagPr>
          <w:attr w:name="ProductID" w:val="la Polic￭a Bonaerense-"/>
        </w:smartTagPr>
        <w:r>
          <w:rPr>
            <w:rFonts w:ascii="Courier New" w:hAnsi="Courier New" w:cs="Courier New"/>
            <w:b w:val="0"/>
            <w:sz w:val="24"/>
          </w:rPr>
          <w:t>la Policía Bonaerense-</w:t>
        </w:r>
      </w:smartTag>
      <w:r>
        <w:rPr>
          <w:rFonts w:ascii="Courier New" w:hAnsi="Courier New" w:cs="Courier New"/>
          <w:b w:val="0"/>
          <w:sz w:val="24"/>
        </w:rPr>
        <w:t xml:space="preserve"> con la sola diferencia del cambio de personajes; esto es, sust</w:t>
      </w:r>
      <w:r>
        <w:rPr>
          <w:rFonts w:ascii="Courier New" w:hAnsi="Courier New" w:cs="Courier New"/>
          <w:b w:val="0"/>
          <w:sz w:val="24"/>
        </w:rPr>
        <w:t>i</w:t>
      </w:r>
      <w:r>
        <w:rPr>
          <w:rFonts w:ascii="Courier New" w:hAnsi="Courier New" w:cs="Courier New"/>
          <w:b w:val="0"/>
          <w:sz w:val="24"/>
        </w:rPr>
        <w:t>tuir a Raúl Edilio Ibarra por Abel Ibrahim Alí y de esa manera hacer desaparecer de la escena a Juan J</w:t>
      </w:r>
      <w:r>
        <w:rPr>
          <w:rFonts w:ascii="Courier New" w:hAnsi="Courier New" w:cs="Courier New"/>
          <w:b w:val="0"/>
          <w:sz w:val="24"/>
        </w:rPr>
        <w:t>o</w:t>
      </w:r>
      <w:r>
        <w:rPr>
          <w:rFonts w:ascii="Courier New" w:hAnsi="Courier New" w:cs="Courier New"/>
          <w:b w:val="0"/>
          <w:sz w:val="24"/>
        </w:rPr>
        <w:t>sé Ribelli.</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Agregó que, por un lado, se e</w:t>
      </w:r>
      <w:r>
        <w:rPr>
          <w:rFonts w:ascii="Courier New" w:hAnsi="Courier New" w:cs="Courier New"/>
          <w:b w:val="0"/>
          <w:sz w:val="24"/>
        </w:rPr>
        <w:t>n</w:t>
      </w:r>
      <w:r>
        <w:rPr>
          <w:rFonts w:ascii="Courier New" w:hAnsi="Courier New" w:cs="Courier New"/>
          <w:b w:val="0"/>
          <w:sz w:val="24"/>
        </w:rPr>
        <w:t>tregaba al juez una salida decorosa para que disponga la libe</w:t>
      </w:r>
      <w:r>
        <w:rPr>
          <w:rFonts w:ascii="Courier New" w:hAnsi="Courier New" w:cs="Courier New"/>
          <w:b w:val="0"/>
          <w:sz w:val="24"/>
        </w:rPr>
        <w:t>r</w:t>
      </w:r>
      <w:r>
        <w:rPr>
          <w:rFonts w:ascii="Courier New" w:hAnsi="Courier New" w:cs="Courier New"/>
          <w:b w:val="0"/>
          <w:sz w:val="24"/>
        </w:rPr>
        <w:t>tad de los imputados y, por el otro, se lo coaccionó con la entrega del video. En palabras del fiscal, se dio al juez una salida elegante, “todo el menú servido”; esto es, d</w:t>
      </w:r>
      <w:r>
        <w:rPr>
          <w:rFonts w:ascii="Courier New" w:hAnsi="Courier New" w:cs="Courier New"/>
          <w:b w:val="0"/>
          <w:sz w:val="24"/>
        </w:rPr>
        <w:t>i</w:t>
      </w:r>
      <w:r>
        <w:rPr>
          <w:rFonts w:ascii="Courier New" w:hAnsi="Courier New" w:cs="Courier New"/>
          <w:b w:val="0"/>
          <w:sz w:val="24"/>
        </w:rPr>
        <w:t>jo, los policías esperaban que el juzgado aceptara la e</w:t>
      </w:r>
      <w:r>
        <w:rPr>
          <w:rFonts w:ascii="Courier New" w:hAnsi="Courier New" w:cs="Courier New"/>
          <w:b w:val="0"/>
          <w:sz w:val="24"/>
        </w:rPr>
        <w:t>x</w:t>
      </w:r>
      <w:r>
        <w:rPr>
          <w:rFonts w:ascii="Courier New" w:hAnsi="Courier New" w:cs="Courier New"/>
          <w:b w:val="0"/>
          <w:sz w:val="24"/>
        </w:rPr>
        <w:t>torsión y “co</w:t>
      </w:r>
      <w:r>
        <w:rPr>
          <w:rFonts w:ascii="Courier New" w:hAnsi="Courier New" w:cs="Courier New"/>
          <w:b w:val="0"/>
          <w:sz w:val="24"/>
        </w:rPr>
        <w:t>m</w:t>
      </w:r>
      <w:r>
        <w:rPr>
          <w:rFonts w:ascii="Courier New" w:hAnsi="Courier New" w:cs="Courier New"/>
          <w:b w:val="0"/>
          <w:sz w:val="24"/>
        </w:rPr>
        <w:t>praran de alguna forma esta hipótesis” y, de esa manera, no publicar el video que comprometía al juez instructor. Empero, señaló, la maniobra no fue aceptada por el magistrado y el plan no pudo concreta</w:t>
      </w:r>
      <w:r>
        <w:rPr>
          <w:rFonts w:ascii="Courier New" w:hAnsi="Courier New" w:cs="Courier New"/>
          <w:b w:val="0"/>
          <w:sz w:val="24"/>
        </w:rPr>
        <w:t>r</w:t>
      </w:r>
      <w:r>
        <w:rPr>
          <w:rFonts w:ascii="Courier New" w:hAnsi="Courier New" w:cs="Courier New"/>
          <w:b w:val="0"/>
          <w:sz w:val="24"/>
        </w:rPr>
        <w:t>se.</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En el mismo sentido, expresó el fi</w:t>
      </w:r>
      <w:r>
        <w:rPr>
          <w:rFonts w:ascii="Courier New" w:hAnsi="Courier New" w:cs="Courier New"/>
          <w:b w:val="0"/>
          <w:sz w:val="24"/>
        </w:rPr>
        <w:t>s</w:t>
      </w:r>
      <w:r>
        <w:rPr>
          <w:rFonts w:ascii="Courier New" w:hAnsi="Courier New" w:cs="Courier New"/>
          <w:b w:val="0"/>
          <w:sz w:val="24"/>
        </w:rPr>
        <w:t>cal, también debe interpretarse la información aportada por Julio Gatto y Marcelo Valenga al comisario Hugo Vacc</w:t>
      </w:r>
      <w:r>
        <w:rPr>
          <w:rFonts w:ascii="Courier New" w:hAnsi="Courier New" w:cs="Courier New"/>
          <w:b w:val="0"/>
          <w:sz w:val="24"/>
        </w:rPr>
        <w:t>a</w:t>
      </w:r>
      <w:r>
        <w:rPr>
          <w:rFonts w:ascii="Courier New" w:hAnsi="Courier New" w:cs="Courier New"/>
          <w:b w:val="0"/>
          <w:sz w:val="24"/>
        </w:rPr>
        <w:lastRenderedPageBreak/>
        <w:t>rezza, que indicaba que la camioneta de Carlos Alberto T</w:t>
      </w:r>
      <w:r>
        <w:rPr>
          <w:rFonts w:ascii="Courier New" w:hAnsi="Courier New" w:cs="Courier New"/>
          <w:b w:val="0"/>
          <w:sz w:val="24"/>
        </w:rPr>
        <w:t>e</w:t>
      </w:r>
      <w:r>
        <w:rPr>
          <w:rFonts w:ascii="Courier New" w:hAnsi="Courier New" w:cs="Courier New"/>
          <w:b w:val="0"/>
          <w:sz w:val="24"/>
        </w:rPr>
        <w:t>lleldín estaba en circulación y en poder de un policía de apellido López.</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Argumentó que el propósito de ese aporte era desvincular a Juan José Ribelli y a su grupo, puesto que “si la camioneta que tuvo Telleldín estaba en circulación, esa camioneta obviamente no había explotado, por lo cual se la hubiese llevado la policía o no se la hubiera llevado, no fue utilizada para el atentado”.</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Sostuvo que la investigación emprend</w:t>
      </w:r>
      <w:r>
        <w:rPr>
          <w:rFonts w:ascii="Courier New" w:hAnsi="Courier New" w:cs="Courier New"/>
          <w:b w:val="0"/>
          <w:sz w:val="24"/>
        </w:rPr>
        <w:t>i</w:t>
      </w:r>
      <w:r>
        <w:rPr>
          <w:rFonts w:ascii="Courier New" w:hAnsi="Courier New" w:cs="Courier New"/>
          <w:b w:val="0"/>
          <w:sz w:val="24"/>
        </w:rPr>
        <w:t>da para verificar la hipótesis planteada en ese sentido, descartó de plano que el vehículo en cuestión haya pasado por las manos de Telleldín.</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Los mencionados Gatto y Valenga, r</w:t>
      </w:r>
      <w:r>
        <w:rPr>
          <w:rFonts w:ascii="Courier New" w:hAnsi="Courier New" w:cs="Courier New"/>
          <w:b w:val="0"/>
          <w:sz w:val="24"/>
        </w:rPr>
        <w:t>e</w:t>
      </w:r>
      <w:r>
        <w:rPr>
          <w:rFonts w:ascii="Courier New" w:hAnsi="Courier New" w:cs="Courier New"/>
          <w:b w:val="0"/>
          <w:sz w:val="24"/>
        </w:rPr>
        <w:t>marcó, eran personas muy allegadas a Juan José Ribelli y habían cumplido destino en los mismos lugares, conforme surgió de los dichos de Marcelo Antonio Bressi, Catalino José Humerez, Marcela Bouzón, Hugo Vaccarezza, entre otros.</w:t>
      </w:r>
    </w:p>
    <w:p w:rsidR="00224567" w:rsidRDefault="00224567">
      <w:pPr>
        <w:pStyle w:val="Textoindependiente3"/>
        <w:widowControl w:val="0"/>
        <w:tabs>
          <w:tab w:val="left" w:pos="0"/>
        </w:tabs>
        <w:ind w:firstLine="2835"/>
        <w:rPr>
          <w:rFonts w:ascii="Courier New" w:hAnsi="Courier New" w:cs="Courier New"/>
          <w:b w:val="0"/>
          <w:sz w:val="24"/>
        </w:rPr>
      </w:pPr>
      <w:r w:rsidRPr="00EF7D0C">
        <w:rPr>
          <w:rFonts w:ascii="Courier New" w:hAnsi="Courier New" w:cs="Courier New"/>
          <w:b w:val="0"/>
          <w:sz w:val="24"/>
          <w:highlight w:val="yellow"/>
        </w:rPr>
        <w:t>La fiscalía entendió que todos los</w:t>
      </w:r>
      <w:r>
        <w:rPr>
          <w:rFonts w:ascii="Courier New" w:hAnsi="Courier New" w:cs="Courier New"/>
          <w:b w:val="0"/>
          <w:sz w:val="24"/>
        </w:rPr>
        <w:t xml:space="preserve"> </w:t>
      </w:r>
      <w:r w:rsidRPr="00EF7D0C">
        <w:rPr>
          <w:rFonts w:ascii="Courier New" w:hAnsi="Courier New" w:cs="Courier New"/>
          <w:b w:val="0"/>
          <w:sz w:val="24"/>
          <w:highlight w:val="yellow"/>
        </w:rPr>
        <w:t>desvíos de la investigación que involucraban a los pol</w:t>
      </w:r>
      <w:r w:rsidRPr="00EF7D0C">
        <w:rPr>
          <w:rFonts w:ascii="Courier New" w:hAnsi="Courier New" w:cs="Courier New"/>
          <w:b w:val="0"/>
          <w:sz w:val="24"/>
          <w:highlight w:val="yellow"/>
        </w:rPr>
        <w:t>i</w:t>
      </w:r>
      <w:r w:rsidRPr="00EF7D0C">
        <w:rPr>
          <w:rFonts w:ascii="Courier New" w:hAnsi="Courier New" w:cs="Courier New"/>
          <w:b w:val="0"/>
          <w:sz w:val="24"/>
          <w:highlight w:val="yellow"/>
        </w:rPr>
        <w:lastRenderedPageBreak/>
        <w:t>cías</w:t>
      </w:r>
      <w:r>
        <w:rPr>
          <w:rFonts w:ascii="Courier New" w:hAnsi="Courier New" w:cs="Courier New"/>
          <w:b w:val="0"/>
          <w:sz w:val="24"/>
        </w:rPr>
        <w:t xml:space="preserve"> bonaerenses, evidencian el comportamiento de los imputados luego de cometer el delito reprochado con el claro propósito de obtener su impunidad. Tienen un denom</w:t>
      </w:r>
      <w:r>
        <w:rPr>
          <w:rFonts w:ascii="Courier New" w:hAnsi="Courier New" w:cs="Courier New"/>
          <w:b w:val="0"/>
          <w:sz w:val="24"/>
        </w:rPr>
        <w:t>i</w:t>
      </w:r>
      <w:r>
        <w:rPr>
          <w:rFonts w:ascii="Courier New" w:hAnsi="Courier New" w:cs="Courier New"/>
          <w:b w:val="0"/>
          <w:sz w:val="24"/>
        </w:rPr>
        <w:t>nador común, a saber: “fueron planificados por et</w:t>
      </w:r>
      <w:r>
        <w:rPr>
          <w:rFonts w:ascii="Courier New" w:hAnsi="Courier New" w:cs="Courier New"/>
          <w:b w:val="0"/>
          <w:sz w:val="24"/>
        </w:rPr>
        <w:t>a</w:t>
      </w:r>
      <w:r>
        <w:rPr>
          <w:rFonts w:ascii="Courier New" w:hAnsi="Courier New" w:cs="Courier New"/>
          <w:b w:val="0"/>
          <w:sz w:val="24"/>
        </w:rPr>
        <w:t>pas, es decir, ante el fracaso de uno sobrevenía otro más elabor</w:t>
      </w:r>
      <w:r>
        <w:rPr>
          <w:rFonts w:ascii="Courier New" w:hAnsi="Courier New" w:cs="Courier New"/>
          <w:b w:val="0"/>
          <w:sz w:val="24"/>
        </w:rPr>
        <w:t>a</w:t>
      </w:r>
      <w:r>
        <w:rPr>
          <w:rFonts w:ascii="Courier New" w:hAnsi="Courier New" w:cs="Courier New"/>
          <w:b w:val="0"/>
          <w:sz w:val="24"/>
        </w:rPr>
        <w:t>do” y fueron pensados por la misma persona, puesto que tanto Salguero, Gatto, Valenga y Solari conducían inexor</w:t>
      </w:r>
      <w:r>
        <w:rPr>
          <w:rFonts w:ascii="Courier New" w:hAnsi="Courier New" w:cs="Courier New"/>
          <w:b w:val="0"/>
          <w:sz w:val="24"/>
        </w:rPr>
        <w:t>a</w:t>
      </w:r>
      <w:r>
        <w:rPr>
          <w:rFonts w:ascii="Courier New" w:hAnsi="Courier New" w:cs="Courier New"/>
          <w:b w:val="0"/>
          <w:sz w:val="24"/>
        </w:rPr>
        <w:t>blemente a Juan José Ribelli. Además, por sus funciones, sus c</w:t>
      </w:r>
      <w:r>
        <w:rPr>
          <w:rFonts w:ascii="Courier New" w:hAnsi="Courier New" w:cs="Courier New"/>
          <w:b w:val="0"/>
          <w:sz w:val="24"/>
        </w:rPr>
        <w:t>o</w:t>
      </w:r>
      <w:r>
        <w:rPr>
          <w:rFonts w:ascii="Courier New" w:hAnsi="Courier New" w:cs="Courier New"/>
          <w:b w:val="0"/>
          <w:sz w:val="24"/>
        </w:rPr>
        <w:t>nocimientos y su manera de desenvolverse, Juan José Ribelli encajaba perfectamente en el e</w:t>
      </w:r>
      <w:r>
        <w:rPr>
          <w:rFonts w:ascii="Courier New" w:hAnsi="Courier New" w:cs="Courier New"/>
          <w:b w:val="0"/>
          <w:sz w:val="24"/>
        </w:rPr>
        <w:t>s</w:t>
      </w:r>
      <w:r>
        <w:rPr>
          <w:rFonts w:ascii="Courier New" w:hAnsi="Courier New" w:cs="Courier New"/>
          <w:b w:val="0"/>
          <w:sz w:val="24"/>
        </w:rPr>
        <w:t>quema descripto.</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 xml:space="preserve">En punto a la participación de Juan José Ribelli en el atentado terrorista del 18 de julio de 1994, el fiscal expresó que luego de los sucesos ocurridos el 4 y 5 de abril de 1994 en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Investig</w:t>
      </w:r>
      <w:r>
        <w:rPr>
          <w:rFonts w:ascii="Courier New" w:hAnsi="Courier New" w:cs="Courier New"/>
          <w:b w:val="0"/>
          <w:sz w:val="24"/>
        </w:rPr>
        <w:t>a</w:t>
      </w:r>
      <w:r>
        <w:rPr>
          <w:rFonts w:ascii="Courier New" w:hAnsi="Courier New" w:cs="Courier New"/>
          <w:b w:val="0"/>
          <w:sz w:val="24"/>
        </w:rPr>
        <w:t>ciones de Lanús, quedó una deuda pendiente de Carlos Alberto T</w:t>
      </w:r>
      <w:r>
        <w:rPr>
          <w:rFonts w:ascii="Courier New" w:hAnsi="Courier New" w:cs="Courier New"/>
          <w:b w:val="0"/>
          <w:sz w:val="24"/>
        </w:rPr>
        <w:t>e</w:t>
      </w:r>
      <w:r>
        <w:rPr>
          <w:rFonts w:ascii="Courier New" w:hAnsi="Courier New" w:cs="Courier New"/>
          <w:b w:val="0"/>
          <w:sz w:val="24"/>
        </w:rPr>
        <w:t>lleldín con el personal policial de USD 20.000; que como parte de ese pago, se le requ</w:t>
      </w:r>
      <w:r>
        <w:rPr>
          <w:rFonts w:ascii="Courier New" w:hAnsi="Courier New" w:cs="Courier New"/>
          <w:b w:val="0"/>
          <w:sz w:val="24"/>
        </w:rPr>
        <w:t>i</w:t>
      </w:r>
      <w:r>
        <w:rPr>
          <w:rFonts w:ascii="Courier New" w:hAnsi="Courier New" w:cs="Courier New"/>
          <w:b w:val="0"/>
          <w:sz w:val="24"/>
        </w:rPr>
        <w:t>rió al nombrado Telleldín la entrega de una camioneta especialmente acond</w:t>
      </w:r>
      <w:r>
        <w:rPr>
          <w:rFonts w:ascii="Courier New" w:hAnsi="Courier New" w:cs="Courier New"/>
          <w:b w:val="0"/>
          <w:sz w:val="24"/>
        </w:rPr>
        <w:t>i</w:t>
      </w:r>
      <w:r>
        <w:rPr>
          <w:rFonts w:ascii="Courier New" w:hAnsi="Courier New" w:cs="Courier New"/>
          <w:b w:val="0"/>
          <w:sz w:val="24"/>
        </w:rPr>
        <w:t>cionada para soportar una importante carga, sabiendo todos los interv</w:t>
      </w:r>
      <w:r>
        <w:rPr>
          <w:rFonts w:ascii="Courier New" w:hAnsi="Courier New" w:cs="Courier New"/>
          <w:b w:val="0"/>
          <w:sz w:val="24"/>
        </w:rPr>
        <w:t>i</w:t>
      </w:r>
      <w:r>
        <w:rPr>
          <w:rFonts w:ascii="Courier New" w:hAnsi="Courier New" w:cs="Courier New"/>
          <w:b w:val="0"/>
          <w:sz w:val="24"/>
        </w:rPr>
        <w:t>nientes del destino que se le habría de dar; que el llam</w:t>
      </w:r>
      <w:r>
        <w:rPr>
          <w:rFonts w:ascii="Courier New" w:hAnsi="Courier New" w:cs="Courier New"/>
          <w:b w:val="0"/>
          <w:sz w:val="24"/>
        </w:rPr>
        <w:t>a</w:t>
      </w:r>
      <w:r>
        <w:rPr>
          <w:rFonts w:ascii="Courier New" w:hAnsi="Courier New" w:cs="Courier New"/>
          <w:b w:val="0"/>
          <w:sz w:val="24"/>
        </w:rPr>
        <w:lastRenderedPageBreak/>
        <w:t>do de Ribelli a Telle</w:t>
      </w:r>
      <w:r>
        <w:rPr>
          <w:rFonts w:ascii="Courier New" w:hAnsi="Courier New" w:cs="Courier New"/>
          <w:b w:val="0"/>
          <w:sz w:val="24"/>
        </w:rPr>
        <w:t>l</w:t>
      </w:r>
      <w:r>
        <w:rPr>
          <w:rFonts w:ascii="Courier New" w:hAnsi="Courier New" w:cs="Courier New"/>
          <w:b w:val="0"/>
          <w:sz w:val="24"/>
        </w:rPr>
        <w:t>dín del 28 de mayo de 1994 respondía al interés del primero en conseguir una Trafic; que T</w:t>
      </w:r>
      <w:r>
        <w:rPr>
          <w:rFonts w:ascii="Courier New" w:hAnsi="Courier New" w:cs="Courier New"/>
          <w:b w:val="0"/>
          <w:sz w:val="24"/>
        </w:rPr>
        <w:t>e</w:t>
      </w:r>
      <w:r>
        <w:rPr>
          <w:rFonts w:ascii="Courier New" w:hAnsi="Courier New" w:cs="Courier New"/>
          <w:b w:val="0"/>
          <w:sz w:val="24"/>
        </w:rPr>
        <w:t>lleldín preconstituyó prueba con el propósito de hacer aparecer la entrega co</w:t>
      </w:r>
      <w:r>
        <w:rPr>
          <w:rFonts w:ascii="Courier New" w:hAnsi="Courier New" w:cs="Courier New"/>
          <w:b w:val="0"/>
          <w:sz w:val="24"/>
        </w:rPr>
        <w:t>n</w:t>
      </w:r>
      <w:r>
        <w:rPr>
          <w:rFonts w:ascii="Courier New" w:hAnsi="Courier New" w:cs="Courier New"/>
          <w:b w:val="0"/>
          <w:sz w:val="24"/>
        </w:rPr>
        <w:t>sensuada como una venta; que por el acuerdo, los policías involucrados, sea personalmente, c</w:t>
      </w:r>
      <w:r>
        <w:rPr>
          <w:rFonts w:ascii="Courier New" w:hAnsi="Courier New" w:cs="Courier New"/>
          <w:b w:val="0"/>
          <w:sz w:val="24"/>
        </w:rPr>
        <w:t>o</w:t>
      </w:r>
      <w:r>
        <w:rPr>
          <w:rFonts w:ascii="Courier New" w:hAnsi="Courier New" w:cs="Courier New"/>
          <w:b w:val="0"/>
          <w:sz w:val="24"/>
        </w:rPr>
        <w:t>mo en el caso de Anastasio Ireneo Leal y Raúl Edilio Ib</w:t>
      </w:r>
      <w:r>
        <w:rPr>
          <w:rFonts w:ascii="Courier New" w:hAnsi="Courier New" w:cs="Courier New"/>
          <w:b w:val="0"/>
          <w:sz w:val="24"/>
        </w:rPr>
        <w:t>a</w:t>
      </w:r>
      <w:r>
        <w:rPr>
          <w:rFonts w:ascii="Courier New" w:hAnsi="Courier New" w:cs="Courier New"/>
          <w:b w:val="0"/>
          <w:sz w:val="24"/>
        </w:rPr>
        <w:t>rra, sea a través de sus subordinados, controlaban a T</w:t>
      </w:r>
      <w:r>
        <w:rPr>
          <w:rFonts w:ascii="Courier New" w:hAnsi="Courier New" w:cs="Courier New"/>
          <w:b w:val="0"/>
          <w:sz w:val="24"/>
        </w:rPr>
        <w:t>e</w:t>
      </w:r>
      <w:r>
        <w:rPr>
          <w:rFonts w:ascii="Courier New" w:hAnsi="Courier New" w:cs="Courier New"/>
          <w:b w:val="0"/>
          <w:sz w:val="24"/>
        </w:rPr>
        <w:t>lleldín y vigilaban su domicilio, incrementándose en los días previos al atent</w:t>
      </w:r>
      <w:r>
        <w:rPr>
          <w:rFonts w:ascii="Courier New" w:hAnsi="Courier New" w:cs="Courier New"/>
          <w:b w:val="0"/>
          <w:sz w:val="24"/>
        </w:rPr>
        <w:t>a</w:t>
      </w:r>
      <w:r>
        <w:rPr>
          <w:rFonts w:ascii="Courier New" w:hAnsi="Courier New" w:cs="Courier New"/>
          <w:b w:val="0"/>
          <w:sz w:val="24"/>
        </w:rPr>
        <w:t>do, cuando la camioneta estaba en la casa del nombrado; que el día 10 de julio de 1994, en h</w:t>
      </w:r>
      <w:r>
        <w:rPr>
          <w:rFonts w:ascii="Courier New" w:hAnsi="Courier New" w:cs="Courier New"/>
          <w:b w:val="0"/>
          <w:sz w:val="24"/>
        </w:rPr>
        <w:t>o</w:t>
      </w:r>
      <w:r>
        <w:rPr>
          <w:rFonts w:ascii="Courier New" w:hAnsi="Courier New" w:cs="Courier New"/>
          <w:b w:val="0"/>
          <w:sz w:val="24"/>
        </w:rPr>
        <w:t>ras del mediodía, Ibarra y Leal retiraron la camioneta Trafic de la calle República 107 de Villa Ballester; que Juan José Ribelli supervisó esa entrega, a tal punto que en el transcurso de la tarde del 10 de julio de 1994, poco tiempo después de arribar a Buenos Aires desde Puerto Iguazú, recibió el utilitario, lo tuvo en su poder y lo manejó, según el testimonio de Catalino Humerez y las co</w:t>
      </w:r>
      <w:r>
        <w:rPr>
          <w:rFonts w:ascii="Courier New" w:hAnsi="Courier New" w:cs="Courier New"/>
          <w:b w:val="0"/>
          <w:sz w:val="24"/>
        </w:rPr>
        <w:t>n</w:t>
      </w:r>
      <w:r>
        <w:rPr>
          <w:rFonts w:ascii="Courier New" w:hAnsi="Courier New" w:cs="Courier New"/>
          <w:b w:val="0"/>
          <w:sz w:val="24"/>
        </w:rPr>
        <w:t>versaciones telefónicas antes citadas; que en esa fecha Ribelli llegó a su agencia de compra venta de vehículo y, junto con otras dos personas, se llevaron una de las Tr</w:t>
      </w:r>
      <w:r>
        <w:rPr>
          <w:rFonts w:ascii="Courier New" w:hAnsi="Courier New" w:cs="Courier New"/>
          <w:b w:val="0"/>
          <w:sz w:val="24"/>
        </w:rPr>
        <w:t>a</w:t>
      </w:r>
      <w:r>
        <w:rPr>
          <w:rFonts w:ascii="Courier New" w:hAnsi="Courier New" w:cs="Courier New"/>
          <w:b w:val="0"/>
          <w:sz w:val="24"/>
        </w:rPr>
        <w:t>fic, siendo s</w:t>
      </w:r>
      <w:r>
        <w:rPr>
          <w:rFonts w:ascii="Courier New" w:hAnsi="Courier New" w:cs="Courier New"/>
          <w:b w:val="0"/>
          <w:sz w:val="24"/>
        </w:rPr>
        <w:t>e</w:t>
      </w:r>
      <w:r>
        <w:rPr>
          <w:rFonts w:ascii="Courier New" w:hAnsi="Courier New" w:cs="Courier New"/>
          <w:b w:val="0"/>
          <w:sz w:val="24"/>
        </w:rPr>
        <w:t xml:space="preserve">guido por aquél en su vehículo Monza; que al </w:t>
      </w:r>
      <w:r>
        <w:rPr>
          <w:rFonts w:ascii="Courier New" w:hAnsi="Courier New" w:cs="Courier New"/>
          <w:b w:val="0"/>
          <w:sz w:val="24"/>
        </w:rPr>
        <w:lastRenderedPageBreak/>
        <w:t>día siguiente, Ribelli recibió USD 2.500.000 como pago t</w:t>
      </w:r>
      <w:r>
        <w:rPr>
          <w:rFonts w:ascii="Courier New" w:hAnsi="Courier New" w:cs="Courier New"/>
          <w:b w:val="0"/>
          <w:sz w:val="24"/>
        </w:rPr>
        <w:t>o</w:t>
      </w:r>
      <w:r>
        <w:rPr>
          <w:rFonts w:ascii="Courier New" w:hAnsi="Courier New" w:cs="Courier New"/>
          <w:b w:val="0"/>
          <w:sz w:val="24"/>
        </w:rPr>
        <w:t>tal o parcial por su participación en el atentado, en las circunstancias antes expuestas; que de las conversaciones telefónicas antes referidas, surgió la preocupación de R</w:t>
      </w:r>
      <w:r>
        <w:rPr>
          <w:rFonts w:ascii="Courier New" w:hAnsi="Courier New" w:cs="Courier New"/>
          <w:b w:val="0"/>
          <w:sz w:val="24"/>
        </w:rPr>
        <w:t>i</w:t>
      </w:r>
      <w:r>
        <w:rPr>
          <w:rFonts w:ascii="Courier New" w:hAnsi="Courier New" w:cs="Courier New"/>
          <w:b w:val="0"/>
          <w:sz w:val="24"/>
        </w:rPr>
        <w:t>belli e Ibarra por la cercanía de un nuevo aniversario del atentado, lo que evidenció el grado de compromiso que a</w:t>
      </w:r>
      <w:r>
        <w:rPr>
          <w:rFonts w:ascii="Courier New" w:hAnsi="Courier New" w:cs="Courier New"/>
          <w:b w:val="0"/>
          <w:sz w:val="24"/>
        </w:rPr>
        <w:t>m</w:t>
      </w:r>
      <w:r>
        <w:rPr>
          <w:rFonts w:ascii="Courier New" w:hAnsi="Courier New" w:cs="Courier New"/>
          <w:b w:val="0"/>
          <w:sz w:val="24"/>
        </w:rPr>
        <w:t xml:space="preserve">bos tenían en ese hecho y que para evitar su vinculación con la causa, Juan José Ribelli, Anastasio Ireneo Leal y Mario Norberto Bareiro ofrecieron a Ramón Solari la suma de USD 100.000 y su libertad a cambio de que declare que adquirió con Ramón Martínez a Telleldín la camioneta que luego explotó en </w:t>
      </w:r>
      <w:smartTag w:uri="urn:schemas-microsoft-com:office:smarttags" w:element="PersonName">
        <w:smartTagPr>
          <w:attr w:name="ProductID" w:val="la A.M"/>
        </w:smartTagPr>
        <w:r>
          <w:rPr>
            <w:rFonts w:ascii="Courier New" w:hAnsi="Courier New" w:cs="Courier New"/>
            <w:b w:val="0"/>
            <w:sz w:val="24"/>
          </w:rPr>
          <w:t>la A.M</w:t>
        </w:r>
      </w:smartTag>
      <w:r>
        <w:rPr>
          <w:rFonts w:ascii="Courier New" w:hAnsi="Courier New" w:cs="Courier New"/>
          <w:b w:val="0"/>
          <w:sz w:val="24"/>
        </w:rPr>
        <w:t>.I.A.</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Con respecto a la participación de Anastasio Ireneo Leal en el atentado terrorista del 18 de julio de 1994, sostuvo que el nombrado vigiló el d</w:t>
      </w:r>
      <w:r>
        <w:rPr>
          <w:rFonts w:ascii="Courier New" w:hAnsi="Courier New" w:cs="Courier New"/>
          <w:b w:val="0"/>
          <w:sz w:val="24"/>
        </w:rPr>
        <w:t>o</w:t>
      </w:r>
      <w:r>
        <w:rPr>
          <w:rFonts w:ascii="Courier New" w:hAnsi="Courier New" w:cs="Courier New"/>
          <w:b w:val="0"/>
          <w:sz w:val="24"/>
        </w:rPr>
        <w:t>micilio de Telleldín los días previos al 10 de julio de 1994 con el propósito de controlar la llegada y post</w:t>
      </w:r>
      <w:r>
        <w:rPr>
          <w:rFonts w:ascii="Courier New" w:hAnsi="Courier New" w:cs="Courier New"/>
          <w:b w:val="0"/>
          <w:sz w:val="24"/>
        </w:rPr>
        <w:t>e</w:t>
      </w:r>
      <w:r>
        <w:rPr>
          <w:rFonts w:ascii="Courier New" w:hAnsi="Courier New" w:cs="Courier New"/>
          <w:b w:val="0"/>
          <w:sz w:val="24"/>
        </w:rPr>
        <w:t xml:space="preserve">rior entrega a los ex policías de </w:t>
      </w:r>
      <w:smartTag w:uri="urn:schemas-microsoft-com:office:smarttags" w:element="PersonName">
        <w:smartTagPr>
          <w:attr w:name="ProductID" w:val="la Trafic"/>
        </w:smartTagPr>
        <w:r>
          <w:rPr>
            <w:rFonts w:ascii="Courier New" w:hAnsi="Courier New" w:cs="Courier New"/>
            <w:b w:val="0"/>
            <w:sz w:val="24"/>
          </w:rPr>
          <w:t>la Trafic</w:t>
        </w:r>
      </w:smartTag>
      <w:r>
        <w:rPr>
          <w:rFonts w:ascii="Courier New" w:hAnsi="Courier New" w:cs="Courier New"/>
          <w:b w:val="0"/>
          <w:sz w:val="24"/>
        </w:rPr>
        <w:t xml:space="preserve"> para que no sufriera percance alguno; que para ello utilizó su v</w:t>
      </w:r>
      <w:r>
        <w:rPr>
          <w:rFonts w:ascii="Courier New" w:hAnsi="Courier New" w:cs="Courier New"/>
          <w:b w:val="0"/>
          <w:sz w:val="24"/>
        </w:rPr>
        <w:t>e</w:t>
      </w:r>
      <w:r>
        <w:rPr>
          <w:rFonts w:ascii="Courier New" w:hAnsi="Courier New" w:cs="Courier New"/>
          <w:b w:val="0"/>
          <w:sz w:val="24"/>
        </w:rPr>
        <w:t xml:space="preserve">hículo Ford Galaxy; que retiró la camioneta de la casa de Telleldín junto con Raúl </w:t>
      </w:r>
      <w:r>
        <w:rPr>
          <w:rFonts w:ascii="Courier New" w:hAnsi="Courier New" w:cs="Courier New"/>
          <w:b w:val="0"/>
          <w:sz w:val="24"/>
        </w:rPr>
        <w:lastRenderedPageBreak/>
        <w:t>Edilio Ibarra, luego del mediodía del 10 de julio de 1994; que pr</w:t>
      </w:r>
      <w:r>
        <w:rPr>
          <w:rFonts w:ascii="Courier New" w:hAnsi="Courier New" w:cs="Courier New"/>
          <w:b w:val="0"/>
          <w:sz w:val="24"/>
        </w:rPr>
        <w:t>e</w:t>
      </w:r>
      <w:r>
        <w:rPr>
          <w:rFonts w:ascii="Courier New" w:hAnsi="Courier New" w:cs="Courier New"/>
          <w:b w:val="0"/>
          <w:sz w:val="24"/>
        </w:rPr>
        <w:t xml:space="preserve">paró el desvío de Ramón Emilio Solari Torres en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Investigaciones de Vicente López, indicándole aquello que debía decir; que una semana después del ate</w:t>
      </w:r>
      <w:r>
        <w:rPr>
          <w:rFonts w:ascii="Courier New" w:hAnsi="Courier New" w:cs="Courier New"/>
          <w:b w:val="0"/>
          <w:sz w:val="24"/>
        </w:rPr>
        <w:t>n</w:t>
      </w:r>
      <w:r>
        <w:rPr>
          <w:rFonts w:ascii="Courier New" w:hAnsi="Courier New" w:cs="Courier New"/>
          <w:b w:val="0"/>
          <w:sz w:val="24"/>
        </w:rPr>
        <w:t>tado -26 de julio de 1994-, en horas de la noche, estando prófugo Telleldín, concurrió al domicilio de éste donde se encontraban Diego Enrique Barreda y Mario Norberto Bare</w:t>
      </w:r>
      <w:r>
        <w:rPr>
          <w:rFonts w:ascii="Courier New" w:hAnsi="Courier New" w:cs="Courier New"/>
          <w:b w:val="0"/>
          <w:sz w:val="24"/>
        </w:rPr>
        <w:t>i</w:t>
      </w:r>
      <w:r>
        <w:rPr>
          <w:rFonts w:ascii="Courier New" w:hAnsi="Courier New" w:cs="Courier New"/>
          <w:b w:val="0"/>
          <w:sz w:val="24"/>
        </w:rPr>
        <w:t>ro, con quienes conversó “alejado de los oídos indi</w:t>
      </w:r>
      <w:r>
        <w:rPr>
          <w:rFonts w:ascii="Courier New" w:hAnsi="Courier New" w:cs="Courier New"/>
          <w:b w:val="0"/>
          <w:sz w:val="24"/>
        </w:rPr>
        <w:t>s</w:t>
      </w:r>
      <w:r>
        <w:rPr>
          <w:rFonts w:ascii="Courier New" w:hAnsi="Courier New" w:cs="Courier New"/>
          <w:b w:val="0"/>
          <w:sz w:val="24"/>
        </w:rPr>
        <w:t xml:space="preserve">cretos del personal de </w:t>
      </w:r>
      <w:smartTag w:uri="urn:schemas-microsoft-com:office:smarttags" w:element="PersonName">
        <w:smartTagPr>
          <w:attr w:name="ProductID" w:val="la S.I"/>
        </w:smartTagPr>
        <w:r>
          <w:rPr>
            <w:rFonts w:ascii="Courier New" w:hAnsi="Courier New" w:cs="Courier New"/>
            <w:b w:val="0"/>
            <w:sz w:val="24"/>
          </w:rPr>
          <w:t>la S.I</w:t>
        </w:r>
      </w:smartTag>
      <w:r>
        <w:rPr>
          <w:rFonts w:ascii="Courier New" w:hAnsi="Courier New" w:cs="Courier New"/>
          <w:b w:val="0"/>
          <w:sz w:val="24"/>
        </w:rPr>
        <w:t>.D.E.”; que al día siguiente, esta</w:t>
      </w:r>
      <w:r>
        <w:rPr>
          <w:rFonts w:ascii="Courier New" w:hAnsi="Courier New" w:cs="Courier New"/>
          <w:b w:val="0"/>
          <w:sz w:val="24"/>
        </w:rPr>
        <w:t>n</w:t>
      </w:r>
      <w:r>
        <w:rPr>
          <w:rFonts w:ascii="Courier New" w:hAnsi="Courier New" w:cs="Courier New"/>
          <w:b w:val="0"/>
          <w:sz w:val="24"/>
        </w:rPr>
        <w:t>do Telleldín detenido, llamó en tres oportunidades a su domicilio –22.43, 22.53 y 23.42 hs.-, lo que demuestra que intentó verificar con su m</w:t>
      </w:r>
      <w:r>
        <w:rPr>
          <w:rFonts w:ascii="Courier New" w:hAnsi="Courier New" w:cs="Courier New"/>
          <w:b w:val="0"/>
          <w:sz w:val="24"/>
        </w:rPr>
        <w:t>u</w:t>
      </w:r>
      <w:r>
        <w:rPr>
          <w:rFonts w:ascii="Courier New" w:hAnsi="Courier New" w:cs="Courier New"/>
          <w:b w:val="0"/>
          <w:sz w:val="24"/>
        </w:rPr>
        <w:t>jer o algún allegado la versión que Telleldín daría de lo ocurrido el 10 de julio de 1994 y ver hasta que pu</w:t>
      </w:r>
      <w:r>
        <w:rPr>
          <w:rFonts w:ascii="Courier New" w:hAnsi="Courier New" w:cs="Courier New"/>
          <w:b w:val="0"/>
          <w:sz w:val="24"/>
        </w:rPr>
        <w:t>n</w:t>
      </w:r>
      <w:r>
        <w:rPr>
          <w:rFonts w:ascii="Courier New" w:hAnsi="Courier New" w:cs="Courier New"/>
          <w:b w:val="0"/>
          <w:sz w:val="24"/>
        </w:rPr>
        <w:t>to quedaría eventualmente comprometido o involucrado en el atentado.</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El fiscal afirmó que intervini</w:t>
      </w:r>
      <w:r>
        <w:rPr>
          <w:rFonts w:ascii="Courier New" w:hAnsi="Courier New" w:cs="Courier New"/>
          <w:b w:val="0"/>
          <w:sz w:val="24"/>
        </w:rPr>
        <w:t>e</w:t>
      </w:r>
      <w:r>
        <w:rPr>
          <w:rFonts w:ascii="Courier New" w:hAnsi="Courier New" w:cs="Courier New"/>
          <w:b w:val="0"/>
          <w:sz w:val="24"/>
        </w:rPr>
        <w:t xml:space="preserve">ron en el citado retiro de </w:t>
      </w:r>
      <w:smartTag w:uri="urn:schemas-microsoft-com:office:smarttags" w:element="PersonName">
        <w:smartTagPr>
          <w:attr w:name="ProductID" w:val="la Trafic"/>
        </w:smartTagPr>
        <w:r>
          <w:rPr>
            <w:rFonts w:ascii="Courier New" w:hAnsi="Courier New" w:cs="Courier New"/>
            <w:b w:val="0"/>
            <w:sz w:val="24"/>
          </w:rPr>
          <w:t>la Trafic</w:t>
        </w:r>
      </w:smartTag>
      <w:r>
        <w:rPr>
          <w:rFonts w:ascii="Courier New" w:hAnsi="Courier New" w:cs="Courier New"/>
          <w:b w:val="0"/>
          <w:sz w:val="24"/>
        </w:rPr>
        <w:t xml:space="preserve"> un policía de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Investigaciones de Lanús, Raúl Edilio Ibarra, y otro de la de Vicente López, Anastasio Ireneo Leal.</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 xml:space="preserve">En cuanto a la vinculación de ambas brigadas, señaló que Leal antes de cumplir servicios en </w:t>
      </w:r>
      <w:r>
        <w:rPr>
          <w:rFonts w:ascii="Courier New" w:hAnsi="Courier New" w:cs="Courier New"/>
          <w:b w:val="0"/>
          <w:sz w:val="24"/>
        </w:rPr>
        <w:lastRenderedPageBreak/>
        <w:t>Vicente López, lo había hecho en Lanús; que el subof</w:t>
      </w:r>
      <w:r>
        <w:rPr>
          <w:rFonts w:ascii="Courier New" w:hAnsi="Courier New" w:cs="Courier New"/>
          <w:b w:val="0"/>
          <w:sz w:val="24"/>
        </w:rPr>
        <w:t>i</w:t>
      </w:r>
      <w:r>
        <w:rPr>
          <w:rFonts w:ascii="Courier New" w:hAnsi="Courier New" w:cs="Courier New"/>
          <w:b w:val="0"/>
          <w:sz w:val="24"/>
        </w:rPr>
        <w:t>cial Manuel García, de Vicente López, afirmó que era normal que se realizaran trabajos conjuntos entre varias brigadas; que, como ejemplo de ello mencionó la intervención de Di</w:t>
      </w:r>
      <w:r>
        <w:rPr>
          <w:rFonts w:ascii="Courier New" w:hAnsi="Courier New" w:cs="Courier New"/>
          <w:b w:val="0"/>
          <w:sz w:val="24"/>
        </w:rPr>
        <w:t>e</w:t>
      </w:r>
      <w:r>
        <w:rPr>
          <w:rFonts w:ascii="Courier New" w:hAnsi="Courier New" w:cs="Courier New"/>
          <w:b w:val="0"/>
          <w:sz w:val="24"/>
        </w:rPr>
        <w:t xml:space="preserve">go Enrique Barreda, integrante de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San Ma</w:t>
      </w:r>
      <w:r>
        <w:rPr>
          <w:rFonts w:ascii="Courier New" w:hAnsi="Courier New" w:cs="Courier New"/>
          <w:b w:val="0"/>
          <w:sz w:val="24"/>
        </w:rPr>
        <w:t>r</w:t>
      </w:r>
      <w:r>
        <w:rPr>
          <w:rFonts w:ascii="Courier New" w:hAnsi="Courier New" w:cs="Courier New"/>
          <w:b w:val="0"/>
          <w:sz w:val="24"/>
        </w:rPr>
        <w:t>tín, en el hecho del 14 de julio de 1994 en Vicente López; que Leal admitió esta circunstancia; que Pablo Such, pol</w:t>
      </w:r>
      <w:r>
        <w:rPr>
          <w:rFonts w:ascii="Courier New" w:hAnsi="Courier New" w:cs="Courier New"/>
          <w:b w:val="0"/>
          <w:sz w:val="24"/>
        </w:rPr>
        <w:t>i</w:t>
      </w:r>
      <w:r>
        <w:rPr>
          <w:rFonts w:ascii="Courier New" w:hAnsi="Courier New" w:cs="Courier New"/>
          <w:b w:val="0"/>
          <w:sz w:val="24"/>
        </w:rPr>
        <w:t>cía colaborador del juez, dijo que se habían detectado vínculos entre las brigadas de Lanús y Vicente López, en tanto que algunos miembros de una habían prestado serv</w:t>
      </w:r>
      <w:r>
        <w:rPr>
          <w:rFonts w:ascii="Courier New" w:hAnsi="Courier New" w:cs="Courier New"/>
          <w:b w:val="0"/>
          <w:sz w:val="24"/>
        </w:rPr>
        <w:t>i</w:t>
      </w:r>
      <w:r>
        <w:rPr>
          <w:rFonts w:ascii="Courier New" w:hAnsi="Courier New" w:cs="Courier New"/>
          <w:b w:val="0"/>
          <w:sz w:val="24"/>
        </w:rPr>
        <w:t>cios en otra; que Leal y Ribelli se conocían y prestaron servicios juntos, conforme los dichos de Oscar Lorenzo Díaz y Marcelo Bressi; que Leal y Ribelli prepararon ju</w:t>
      </w:r>
      <w:r>
        <w:rPr>
          <w:rFonts w:ascii="Courier New" w:hAnsi="Courier New" w:cs="Courier New"/>
          <w:b w:val="0"/>
          <w:sz w:val="24"/>
        </w:rPr>
        <w:t>n</w:t>
      </w:r>
      <w:r>
        <w:rPr>
          <w:rFonts w:ascii="Courier New" w:hAnsi="Courier New" w:cs="Courier New"/>
          <w:b w:val="0"/>
          <w:sz w:val="24"/>
        </w:rPr>
        <w:t xml:space="preserve">tos en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Investigaciones de Vicente López el testimonio de Solari y que de los respectivos legajos p</w:t>
      </w:r>
      <w:r>
        <w:rPr>
          <w:rFonts w:ascii="Courier New" w:hAnsi="Courier New" w:cs="Courier New"/>
          <w:b w:val="0"/>
          <w:sz w:val="24"/>
        </w:rPr>
        <w:t>o</w:t>
      </w:r>
      <w:r>
        <w:rPr>
          <w:rFonts w:ascii="Courier New" w:hAnsi="Courier New" w:cs="Courier New"/>
          <w:b w:val="0"/>
          <w:sz w:val="24"/>
        </w:rPr>
        <w:t>liciales surgía que Leal había compartido destino con R</w:t>
      </w:r>
      <w:r>
        <w:rPr>
          <w:rFonts w:ascii="Courier New" w:hAnsi="Courier New" w:cs="Courier New"/>
          <w:b w:val="0"/>
          <w:sz w:val="24"/>
        </w:rPr>
        <w:t>i</w:t>
      </w:r>
      <w:r>
        <w:rPr>
          <w:rFonts w:ascii="Courier New" w:hAnsi="Courier New" w:cs="Courier New"/>
          <w:b w:val="0"/>
          <w:sz w:val="24"/>
        </w:rPr>
        <w:t>belli e Ibarra.</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En el mismo sentido, el fiscal hizo alusión a algunas circunstancias manifestadas por Telle</w:t>
      </w:r>
      <w:r>
        <w:rPr>
          <w:rFonts w:ascii="Courier New" w:hAnsi="Courier New" w:cs="Courier New"/>
          <w:b w:val="0"/>
          <w:sz w:val="24"/>
        </w:rPr>
        <w:t>l</w:t>
      </w:r>
      <w:r>
        <w:rPr>
          <w:rFonts w:ascii="Courier New" w:hAnsi="Courier New" w:cs="Courier New"/>
          <w:b w:val="0"/>
          <w:sz w:val="24"/>
        </w:rPr>
        <w:t xml:space="preserve">dín en su última ampliación indagatoria, en las que dio </w:t>
      </w:r>
      <w:r>
        <w:rPr>
          <w:rFonts w:ascii="Courier New" w:hAnsi="Courier New" w:cs="Courier New"/>
          <w:b w:val="0"/>
          <w:sz w:val="24"/>
        </w:rPr>
        <w:lastRenderedPageBreak/>
        <w:t>cuenta de la conexión entre las brigadas de Vicente López y Lanús. En esa oportunidad, el nombrado expresó que cua</w:t>
      </w:r>
      <w:r>
        <w:rPr>
          <w:rFonts w:ascii="Courier New" w:hAnsi="Courier New" w:cs="Courier New"/>
          <w:b w:val="0"/>
          <w:sz w:val="24"/>
        </w:rPr>
        <w:t>n</w:t>
      </w:r>
      <w:r>
        <w:rPr>
          <w:rFonts w:ascii="Courier New" w:hAnsi="Courier New" w:cs="Courier New"/>
          <w:b w:val="0"/>
          <w:sz w:val="24"/>
        </w:rPr>
        <w:t>do llegó detenido a la brigada de Lanús el 4 de abril de 1994 y vio a Marcelo Darío Casas enyesado, lo reconoció como la persona que había atropellado cuando huyó en Ol</w:t>
      </w:r>
      <w:r>
        <w:rPr>
          <w:rFonts w:ascii="Courier New" w:hAnsi="Courier New" w:cs="Courier New"/>
          <w:b w:val="0"/>
          <w:sz w:val="24"/>
        </w:rPr>
        <w:t>i</w:t>
      </w:r>
      <w:r>
        <w:rPr>
          <w:rFonts w:ascii="Courier New" w:hAnsi="Courier New" w:cs="Courier New"/>
          <w:b w:val="0"/>
          <w:sz w:val="24"/>
        </w:rPr>
        <w:t>vos, hecho ocurrido el 15 de marzo de 1994. Telleldín i</w:t>
      </w:r>
      <w:r>
        <w:rPr>
          <w:rFonts w:ascii="Courier New" w:hAnsi="Courier New" w:cs="Courier New"/>
          <w:b w:val="0"/>
          <w:sz w:val="24"/>
        </w:rPr>
        <w:t>n</w:t>
      </w:r>
      <w:r>
        <w:rPr>
          <w:rFonts w:ascii="Courier New" w:hAnsi="Courier New" w:cs="Courier New"/>
          <w:b w:val="0"/>
          <w:sz w:val="24"/>
        </w:rPr>
        <w:t>tentó justificar su conducta en esa oportunidad d</w:t>
      </w:r>
      <w:r>
        <w:rPr>
          <w:rFonts w:ascii="Courier New" w:hAnsi="Courier New" w:cs="Courier New"/>
          <w:b w:val="0"/>
          <w:sz w:val="24"/>
        </w:rPr>
        <w:t>i</w:t>
      </w:r>
      <w:r>
        <w:rPr>
          <w:rFonts w:ascii="Courier New" w:hAnsi="Courier New" w:cs="Courier New"/>
          <w:b w:val="0"/>
          <w:sz w:val="24"/>
        </w:rPr>
        <w:t>ciendo a Casas que, en realidad, escapó porque pensó que se trat</w:t>
      </w:r>
      <w:r>
        <w:rPr>
          <w:rFonts w:ascii="Courier New" w:hAnsi="Courier New" w:cs="Courier New"/>
          <w:b w:val="0"/>
          <w:sz w:val="24"/>
        </w:rPr>
        <w:t>a</w:t>
      </w:r>
      <w:r>
        <w:rPr>
          <w:rFonts w:ascii="Courier New" w:hAnsi="Courier New" w:cs="Courier New"/>
          <w:b w:val="0"/>
          <w:sz w:val="24"/>
        </w:rPr>
        <w:t>ban de ladrones, ya que no se habían identificado como p</w:t>
      </w:r>
      <w:r>
        <w:rPr>
          <w:rFonts w:ascii="Courier New" w:hAnsi="Courier New" w:cs="Courier New"/>
          <w:b w:val="0"/>
          <w:sz w:val="24"/>
        </w:rPr>
        <w:t>o</w:t>
      </w:r>
      <w:r>
        <w:rPr>
          <w:rFonts w:ascii="Courier New" w:hAnsi="Courier New" w:cs="Courier New"/>
          <w:b w:val="0"/>
          <w:sz w:val="24"/>
        </w:rPr>
        <w:t xml:space="preserve">licías. </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 xml:space="preserve">Además, Telleldín explicó que el 14 de julio de 1994, cuando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Vicente López intentó detenerlo, los policías antes de sacar las a</w:t>
      </w:r>
      <w:r>
        <w:rPr>
          <w:rFonts w:ascii="Courier New" w:hAnsi="Courier New" w:cs="Courier New"/>
          <w:b w:val="0"/>
          <w:sz w:val="24"/>
        </w:rPr>
        <w:t>r</w:t>
      </w:r>
      <w:r>
        <w:rPr>
          <w:rFonts w:ascii="Courier New" w:hAnsi="Courier New" w:cs="Courier New"/>
          <w:b w:val="0"/>
          <w:sz w:val="24"/>
        </w:rPr>
        <w:t>mas colocaron la credencial en el parabrisas de su a</w:t>
      </w:r>
      <w:r>
        <w:rPr>
          <w:rFonts w:ascii="Courier New" w:hAnsi="Courier New" w:cs="Courier New"/>
          <w:b w:val="0"/>
          <w:sz w:val="24"/>
        </w:rPr>
        <w:t>u</w:t>
      </w:r>
      <w:r>
        <w:rPr>
          <w:rFonts w:ascii="Courier New" w:hAnsi="Courier New" w:cs="Courier New"/>
          <w:b w:val="0"/>
          <w:sz w:val="24"/>
        </w:rPr>
        <w:t>tomóvil; el mensaje era claro, dijo el fiscal, no tenía que quedar ninguna d</w:t>
      </w:r>
      <w:r>
        <w:rPr>
          <w:rFonts w:ascii="Courier New" w:hAnsi="Courier New" w:cs="Courier New"/>
          <w:b w:val="0"/>
          <w:sz w:val="24"/>
        </w:rPr>
        <w:t>u</w:t>
      </w:r>
      <w:r>
        <w:rPr>
          <w:rFonts w:ascii="Courier New" w:hAnsi="Courier New" w:cs="Courier New"/>
          <w:b w:val="0"/>
          <w:sz w:val="24"/>
        </w:rPr>
        <w:t>da que en ese caso intervenían p</w:t>
      </w:r>
      <w:r>
        <w:rPr>
          <w:rFonts w:ascii="Courier New" w:hAnsi="Courier New" w:cs="Courier New"/>
          <w:b w:val="0"/>
          <w:sz w:val="24"/>
        </w:rPr>
        <w:t>o</w:t>
      </w:r>
      <w:r>
        <w:rPr>
          <w:rFonts w:ascii="Courier New" w:hAnsi="Courier New" w:cs="Courier New"/>
          <w:b w:val="0"/>
          <w:sz w:val="24"/>
        </w:rPr>
        <w:t xml:space="preserve">licías. </w:t>
      </w:r>
    </w:p>
    <w:p w:rsidR="00224567" w:rsidRDefault="00224567">
      <w:pPr>
        <w:pStyle w:val="Textoindependiente3"/>
        <w:widowControl w:val="0"/>
        <w:tabs>
          <w:tab w:val="left" w:pos="0"/>
        </w:tabs>
        <w:ind w:firstLine="2835"/>
        <w:rPr>
          <w:rFonts w:ascii="Courier New" w:hAnsi="Courier New" w:cs="Courier New"/>
          <w:b w:val="0"/>
          <w:sz w:val="24"/>
        </w:rPr>
      </w:pPr>
      <w:r>
        <w:rPr>
          <w:rFonts w:ascii="Courier New" w:hAnsi="Courier New" w:cs="Courier New"/>
          <w:b w:val="0"/>
          <w:sz w:val="24"/>
        </w:rPr>
        <w:t>Agregó, que el personal policial había entendido la advertencia que Telleldín había efectuado a Casas y, consecuentemente, se habían transmitido el mens</w:t>
      </w:r>
      <w:r>
        <w:rPr>
          <w:rFonts w:ascii="Courier New" w:hAnsi="Courier New" w:cs="Courier New"/>
          <w:b w:val="0"/>
          <w:sz w:val="24"/>
        </w:rPr>
        <w:t>a</w:t>
      </w:r>
      <w:r>
        <w:rPr>
          <w:rFonts w:ascii="Courier New" w:hAnsi="Courier New" w:cs="Courier New"/>
          <w:b w:val="0"/>
          <w:sz w:val="24"/>
        </w:rPr>
        <w:t>je entre ambas brigadas. De esta forma, concluyó, la con</w:t>
      </w:r>
      <w:r>
        <w:rPr>
          <w:rFonts w:ascii="Courier New" w:hAnsi="Courier New" w:cs="Courier New"/>
          <w:b w:val="0"/>
          <w:sz w:val="24"/>
        </w:rPr>
        <w:t>e</w:t>
      </w:r>
      <w:r>
        <w:rPr>
          <w:rFonts w:ascii="Courier New" w:hAnsi="Courier New" w:cs="Courier New"/>
          <w:b w:val="0"/>
          <w:sz w:val="24"/>
        </w:rPr>
        <w:t>xión entre ellas resultó evidente.</w:t>
      </w:r>
    </w:p>
    <w:p w:rsidR="00224567" w:rsidRDefault="00224567">
      <w:pPr>
        <w:pStyle w:val="Textoindependiente"/>
        <w:spacing w:line="600" w:lineRule="auto"/>
        <w:ind w:firstLine="2835"/>
      </w:pPr>
      <w:r>
        <w:lastRenderedPageBreak/>
        <w:t>En lo atinente a la participación de Raúl Edilio Ibarra en el atentado del 18 de julio de 1994, el fiscal sostuvo que el nombrado tuvo un rol prepondera</w:t>
      </w:r>
      <w:r>
        <w:t>n</w:t>
      </w:r>
      <w:r>
        <w:t xml:space="preserve">te “como brazo ejecutor de Ribelli” en relación a los hechos del 15 de marzo y del 4 de abril de </w:t>
      </w:r>
      <w:smartTag w:uri="urn:schemas-microsoft-com:office:smarttags" w:element="metricconverter">
        <w:smartTagPr>
          <w:attr w:name="ProductID" w:val="1994, a"/>
        </w:smartTagPr>
        <w:r>
          <w:t>1994, a</w:t>
        </w:r>
      </w:smartTag>
      <w:r>
        <w:t xml:space="preserve"> raíz de los cuales quedó pendiente una deuda de Telleldín con </w:t>
      </w:r>
      <w:smartTag w:uri="urn:schemas-microsoft-com:office:smarttags" w:element="PersonName">
        <w:smartTagPr>
          <w:attr w:name="ProductID" w:val="la Brigada"/>
        </w:smartTagPr>
        <w:r>
          <w:t>la Brig</w:t>
        </w:r>
        <w:r>
          <w:t>a</w:t>
        </w:r>
        <w:r>
          <w:t>da</w:t>
        </w:r>
      </w:smartTag>
      <w:r>
        <w:t xml:space="preserve"> de Lanús de USD 20.000; que como parte de ese pago se exigió a Carlos Alberto Telleldín la entrega de una cami</w:t>
      </w:r>
      <w:r>
        <w:t>o</w:t>
      </w:r>
      <w:r>
        <w:t>neta Renault Trafic especialmente acondicionada para sopo</w:t>
      </w:r>
      <w:r>
        <w:t>r</w:t>
      </w:r>
      <w:r>
        <w:t>tar una importante carga explosiva y que todos los interv</w:t>
      </w:r>
      <w:r>
        <w:t>i</w:t>
      </w:r>
      <w:r>
        <w:t>nientes conocían el dest</w:t>
      </w:r>
      <w:r>
        <w:t>i</w:t>
      </w:r>
      <w:r>
        <w:t xml:space="preserve">no que se habría de dar; que el 10 de julio de 1994, alrededor de las 14.30, junto con su ex compañero de </w:t>
      </w:r>
      <w:smartTag w:uri="urn:schemas-microsoft-com:office:smarttags" w:element="PersonName">
        <w:smartTagPr>
          <w:attr w:name="ProductID" w:val="la Brigada"/>
        </w:smartTagPr>
        <w:r>
          <w:t>la Brigada</w:t>
        </w:r>
      </w:smartTag>
      <w:r>
        <w:t xml:space="preserve"> de Investigaciones de Lanús, Ana</w:t>
      </w:r>
      <w:r>
        <w:t>s</w:t>
      </w:r>
      <w:r>
        <w:t>tasio Ireneo Leal, retiró la camioneta de la casa de T</w:t>
      </w:r>
      <w:r>
        <w:t>e</w:t>
      </w:r>
      <w:r>
        <w:t>lleldín, que tiempo después pasó a estar en poder de Juan José Ribelli y que las citadas conversaciones telefónicas demostraron su vinculación con el atentado, en ta</w:t>
      </w:r>
      <w:r>
        <w:t>n</w:t>
      </w:r>
      <w:r>
        <w:t>to tenía cabal conocimiento de las preocupaciones de Ribelli por el arribo de un nuevo aniversario del atent</w:t>
      </w:r>
      <w:r>
        <w:t>a</w:t>
      </w:r>
      <w:r>
        <w:t>do.</w:t>
      </w:r>
    </w:p>
    <w:p w:rsidR="00224567" w:rsidRDefault="00224567">
      <w:pPr>
        <w:pStyle w:val="Textoindependiente"/>
        <w:spacing w:line="600" w:lineRule="auto"/>
        <w:ind w:firstLine="2835"/>
      </w:pPr>
      <w:r>
        <w:t xml:space="preserve">En cuanto a la participación de Mario </w:t>
      </w:r>
      <w:r>
        <w:lastRenderedPageBreak/>
        <w:t>Norberto Bareiro en el atentado del 18 de j</w:t>
      </w:r>
      <w:r>
        <w:t>u</w:t>
      </w:r>
      <w:r>
        <w:t>lio de 1994, el fiscal expresó que el nombrado informó que Carlos Alberto Telleldín tenía una camioneta Trafic en su domicilio e i</w:t>
      </w:r>
      <w:r>
        <w:t>n</w:t>
      </w:r>
      <w:r>
        <w:t xml:space="preserve">dicó el momento en que </w:t>
      </w:r>
      <w:smartTag w:uri="urn:schemas-microsoft-com:office:smarttags" w:element="PersonName">
        <w:smartTagPr>
          <w:attr w:name="ProductID" w:val="la Trafic"/>
        </w:smartTagPr>
        <w:r>
          <w:t>la Trafic</w:t>
        </w:r>
      </w:smartTag>
      <w:r>
        <w:t xml:space="preserve"> salió del taller do</w:t>
      </w:r>
      <w:r>
        <w:t>n</w:t>
      </w:r>
      <w:r>
        <w:t>de se estaba preparando y pasó a estar en dominio directo de T</w:t>
      </w:r>
      <w:r>
        <w:t>e</w:t>
      </w:r>
      <w:r>
        <w:t>lleldín; que controló y vigiló la casa del nombrado los días previos a la entrega de la camioneta, con el propósito de evitar que se frustrara la recepción del rodado por pa</w:t>
      </w:r>
      <w:r>
        <w:t>r</w:t>
      </w:r>
      <w:r>
        <w:t>te de la policías; garantizó que la camioneta no sufriera ningún percance entre la recepción por parte de Telleldín y su entrega a manos de la policías; que participó activame</w:t>
      </w:r>
      <w:r>
        <w:t>n</w:t>
      </w:r>
      <w:r>
        <w:t>te de todos los preparativos que culminaron en el traspaso del vehículo que en definitiva terminó en manos de Juan J</w:t>
      </w:r>
      <w:r>
        <w:t>o</w:t>
      </w:r>
      <w:r>
        <w:t>sé Ribelli; que se presentó en el domicilio de T</w:t>
      </w:r>
      <w:r>
        <w:t>e</w:t>
      </w:r>
      <w:r>
        <w:t>lleldín el 26 de julio de 1994, cuando el nombrado estaba todavía pr</w:t>
      </w:r>
      <w:r>
        <w:t>ó</w:t>
      </w:r>
      <w:r>
        <w:t xml:space="preserve">fugo, con la intención de acordar una estrategia común con Ana María Boragni para no verse involucrado en el hecho; que junto con Diego Enrique Barreda informó la situación que se estaba viviendo en la calle República </w:t>
      </w:r>
      <w:smartTag w:uri="urn:schemas-microsoft-com:office:smarttags" w:element="metricconverter">
        <w:smartTagPr>
          <w:attr w:name="ProductID" w:val="107 a"/>
        </w:smartTagPr>
        <w:r>
          <w:t>107 a</w:t>
        </w:r>
      </w:smartTag>
      <w:r>
        <w:t xml:space="preserve"> Anast</w:t>
      </w:r>
      <w:r>
        <w:t>a</w:t>
      </w:r>
      <w:r>
        <w:t>sio Ireneo Leal, también preocupado por idéntico grado de involucramiento con el atentado; que participó en la prep</w:t>
      </w:r>
      <w:r>
        <w:t>a</w:t>
      </w:r>
      <w:r>
        <w:lastRenderedPageBreak/>
        <w:t>ración de Ramón Emilio Solari Torres, como se señaló ant</w:t>
      </w:r>
      <w:r>
        <w:t>e</w:t>
      </w:r>
      <w:r>
        <w:t>riormente y que intervino para que su novia Virginia Morri, acercara la versión de Solari a Ana María Boragni, circun</w:t>
      </w:r>
      <w:r>
        <w:t>s</w:t>
      </w:r>
      <w:r>
        <w:t>tancia demostrativa del grado de preocupación que tenía a</w:t>
      </w:r>
      <w:r>
        <w:t>n</w:t>
      </w:r>
      <w:r>
        <w:t>te la posibilidad de verse involucrado en el ate</w:t>
      </w:r>
      <w:r>
        <w:t>n</w:t>
      </w:r>
      <w:r>
        <w:t>tado.</w:t>
      </w:r>
    </w:p>
    <w:p w:rsidR="00224567" w:rsidRDefault="00224567">
      <w:pPr>
        <w:pStyle w:val="Textoindependiente"/>
        <w:spacing w:line="600" w:lineRule="auto"/>
        <w:ind w:firstLine="2835"/>
      </w:pPr>
      <w:r>
        <w:t>En esta división de tareas, dijo el fiscal, Mario Norberto Bareiro cumplió acabadamente la fu</w:t>
      </w:r>
      <w:r>
        <w:t>n</w:t>
      </w:r>
      <w:r>
        <w:t>ción que le fue asignada, contribuyendo al logro del obj</w:t>
      </w:r>
      <w:r>
        <w:t>e</w:t>
      </w:r>
      <w:r>
        <w:t>tivo común que, además, no le era ajeno. Por eso, el no</w:t>
      </w:r>
      <w:r>
        <w:t>m</w:t>
      </w:r>
      <w:r>
        <w:t>brado también participó en forma primaria en el hecho imp</w:t>
      </w:r>
      <w:r>
        <w:t>u</w:t>
      </w:r>
      <w:r>
        <w:t xml:space="preserve">tado. </w:t>
      </w:r>
    </w:p>
    <w:p w:rsidR="00224567" w:rsidRDefault="00224567">
      <w:pPr>
        <w:pStyle w:val="Textoindependiente"/>
        <w:spacing w:line="600" w:lineRule="auto"/>
        <w:ind w:firstLine="2835"/>
      </w:pPr>
      <w:r>
        <w:t>La fiscalía afirmó que los indicios reunidos respecto de los acusados Ribelli, Ibarra, Leal y Bareiro conforman un sólido cuadro probatorio que conduce inexorablemente a la conclusión de que los nombrados no s</w:t>
      </w:r>
      <w:r>
        <w:t>ó</w:t>
      </w:r>
      <w:r>
        <w:t>lo tuvieron conocimiento del destino último de la camioneta que encargaron a Carlos Alberto Telleldín, debidamente acondicionada y reforzada para soportar el peso del expl</w:t>
      </w:r>
      <w:r>
        <w:t>o</w:t>
      </w:r>
      <w:r>
        <w:t>sivo, s</w:t>
      </w:r>
      <w:r>
        <w:t>i</w:t>
      </w:r>
      <w:r>
        <w:t>no que además su voluntad estuvo encaminada en esa d</w:t>
      </w:r>
      <w:r>
        <w:t>i</w:t>
      </w:r>
      <w:r>
        <w:t>rección.</w:t>
      </w:r>
    </w:p>
    <w:p w:rsidR="00224567" w:rsidRDefault="00224567">
      <w:pPr>
        <w:pStyle w:val="Textoindependiente"/>
        <w:spacing w:line="600" w:lineRule="auto"/>
        <w:ind w:firstLine="2835"/>
      </w:pPr>
      <w:r>
        <w:lastRenderedPageBreak/>
        <w:t>La contribución de cada uno de ellos constituyó un eslabón necesario e indispens</w:t>
      </w:r>
      <w:r>
        <w:t>a</w:t>
      </w:r>
      <w:r>
        <w:t>ble para que el atentado pueda ser llevado a cabo. Los partícipes mencion</w:t>
      </w:r>
      <w:r>
        <w:t>a</w:t>
      </w:r>
      <w:r>
        <w:t>dos no sólo se representaron como posible la ocurre</w:t>
      </w:r>
      <w:r>
        <w:t>n</w:t>
      </w:r>
      <w:r>
        <w:t>cia del hecho, sino que se acreditó una verdadera voluntad de pr</w:t>
      </w:r>
      <w:r>
        <w:t>o</w:t>
      </w:r>
      <w:r>
        <w:t>ducir el r</w:t>
      </w:r>
      <w:r>
        <w:t>e</w:t>
      </w:r>
      <w:r>
        <w:t xml:space="preserve">sultado, en tanto sus conductas antes, durante y después de acaecido constituyen la más clara expresión de su criminal decisión, expresó. </w:t>
      </w:r>
    </w:p>
    <w:p w:rsidR="00224567" w:rsidRDefault="00224567">
      <w:pPr>
        <w:pStyle w:val="Textoindependiente"/>
        <w:spacing w:line="600" w:lineRule="auto"/>
        <w:ind w:firstLine="2835"/>
      </w:pPr>
      <w:r>
        <w:t>Por lo expuesto, sostuvo que Juan J</w:t>
      </w:r>
      <w:r>
        <w:t>o</w:t>
      </w:r>
      <w:r>
        <w:t>sé Ribelli, Anastasio Ireneo Leal, Raúl Edilio Ibarra y Mario Norberto Bareiro actuaron con dolo directo en el hecho imputado, en sus distintos niveles de particip</w:t>
      </w:r>
      <w:r>
        <w:t>a</w:t>
      </w:r>
      <w:r>
        <w:t xml:space="preserve">ción. </w:t>
      </w:r>
    </w:p>
    <w:p w:rsidR="00224567" w:rsidRDefault="00224567">
      <w:pPr>
        <w:pStyle w:val="Textoindependiente"/>
        <w:spacing w:line="600" w:lineRule="auto"/>
        <w:ind w:firstLine="2835"/>
      </w:pPr>
      <w:r>
        <w:t>Para llevar a cabo el atentado, señ</w:t>
      </w:r>
      <w:r>
        <w:t>a</w:t>
      </w:r>
      <w:r>
        <w:t>ló el fiscal, se contó con el accionar de quien ejecutó dire</w:t>
      </w:r>
      <w:r>
        <w:t>c</w:t>
      </w:r>
      <w:r>
        <w:t>tamente el hecho, quien desplegó la conducta típ</w:t>
      </w:r>
      <w:r>
        <w:t>i</w:t>
      </w:r>
      <w:r>
        <w:t>ca, que no es otro que el autor mat</w:t>
      </w:r>
      <w:r>
        <w:t>e</w:t>
      </w:r>
      <w:r>
        <w:t>rial; con quienes tuvieron bajo su dominio total o parcialmente la toma de decisión, planif</w:t>
      </w:r>
      <w:r>
        <w:t>i</w:t>
      </w:r>
      <w:r>
        <w:t>cación, diagramación y ejecución del hecho, esto es los coautores, y finalmente, con quienes prestaron un auxilio y colaboración indispensable pero que no inte</w:t>
      </w:r>
      <w:r>
        <w:t>r</w:t>
      </w:r>
      <w:r>
        <w:t>vinieron en la diagramación del suceso, denominados partíc</w:t>
      </w:r>
      <w:r>
        <w:t>i</w:t>
      </w:r>
      <w:r>
        <w:t xml:space="preserve">pes necesarios. </w:t>
      </w:r>
    </w:p>
    <w:p w:rsidR="00224567" w:rsidRDefault="00224567">
      <w:pPr>
        <w:pStyle w:val="Textoindependiente"/>
        <w:spacing w:line="600" w:lineRule="auto"/>
        <w:ind w:firstLine="2835"/>
      </w:pPr>
      <w:r>
        <w:lastRenderedPageBreak/>
        <w:t>En el caso de autos, señaló, Ribelli, Ibarra, Bareiro y Leal fueron cooperadores necesarios en la etapa preparatoria del delito investigado, ente</w:t>
      </w:r>
      <w:r>
        <w:t>n</w:t>
      </w:r>
      <w:r>
        <w:t>diendo como tal, aquélla en que se entregó la camioneta acondicionada para su utiliz</w:t>
      </w:r>
      <w:r>
        <w:t>a</w:t>
      </w:r>
      <w:r>
        <w:t>ción, con conocimiento del destino que se le habría de dar.</w:t>
      </w:r>
    </w:p>
    <w:p w:rsidR="00224567" w:rsidRDefault="00224567">
      <w:pPr>
        <w:pStyle w:val="Textoindependiente"/>
        <w:spacing w:line="600" w:lineRule="auto"/>
        <w:ind w:firstLine="2835"/>
      </w:pPr>
      <w:r>
        <w:t>El hecho no se hubiera podido com</w:t>
      </w:r>
      <w:r>
        <w:t>e</w:t>
      </w:r>
      <w:r>
        <w:t>ter, al menos en la forma que sucedió, si no se hubiera contado con el auxilio indispensable de los nombrados, expresó el fiscal.</w:t>
      </w:r>
    </w:p>
    <w:p w:rsidR="00224567" w:rsidRDefault="00224567">
      <w:pPr>
        <w:pStyle w:val="Textoindependiente"/>
        <w:spacing w:line="600" w:lineRule="auto"/>
        <w:ind w:firstLine="2835"/>
      </w:pPr>
      <w:r>
        <w:t>Sin perjuicio de todo lo expuesto, de</w:t>
      </w:r>
      <w:r>
        <w:t>s</w:t>
      </w:r>
      <w:r>
        <w:t>tacó que los acusados participaron en un pequeño tramo, s</w:t>
      </w:r>
      <w:r>
        <w:t>ó</w:t>
      </w:r>
      <w:r>
        <w:t>lo un segmento del diagrama del hecho terrorista, consi</w:t>
      </w:r>
      <w:r>
        <w:t>s</w:t>
      </w:r>
      <w:r>
        <w:t>tente en la provisión del arma homicida. No fueron ellos quienes tomaron la decisión de llevar adelante el crimen, ni quienes planificaron su ejecución, ni quienes interv</w:t>
      </w:r>
      <w:r>
        <w:t>i</w:t>
      </w:r>
      <w:r>
        <w:t>nieron en su diseño, ni quienes aportaron los recursos h</w:t>
      </w:r>
      <w:r>
        <w:t>u</w:t>
      </w:r>
      <w:r>
        <w:t xml:space="preserve">manos para que el atentado se llevara adelante. </w:t>
      </w:r>
    </w:p>
    <w:p w:rsidR="00224567" w:rsidRDefault="00224567">
      <w:pPr>
        <w:pStyle w:val="Textoindependiente"/>
        <w:spacing w:line="600" w:lineRule="auto"/>
        <w:ind w:firstLine="2835"/>
      </w:pPr>
      <w:r w:rsidRPr="00EF7D0C">
        <w:rPr>
          <w:highlight w:val="yellow"/>
        </w:rPr>
        <w:t>Este camino, admitió el fiscal, aún resta recorrerlo y es por ello que la culminación del ju</w:t>
      </w:r>
      <w:r w:rsidRPr="00EF7D0C">
        <w:rPr>
          <w:highlight w:val="yellow"/>
        </w:rPr>
        <w:t>i</w:t>
      </w:r>
      <w:r w:rsidRPr="00EF7D0C">
        <w:rPr>
          <w:highlight w:val="yellow"/>
        </w:rPr>
        <w:lastRenderedPageBreak/>
        <w:t>cio oral debe entenderse como el “comienzo de otra etapa cuyos cimientos deberán edificarse a partir del pronunci</w:t>
      </w:r>
      <w:r w:rsidRPr="00EF7D0C">
        <w:rPr>
          <w:highlight w:val="yellow"/>
        </w:rPr>
        <w:t>a</w:t>
      </w:r>
      <w:r w:rsidRPr="00EF7D0C">
        <w:rPr>
          <w:highlight w:val="yellow"/>
        </w:rPr>
        <w:t>miento que recaiga en esta causa”. “Esta tarea de continuar en la búsqueda de lo acontecido debe re</w:t>
      </w:r>
      <w:r w:rsidRPr="00EF7D0C">
        <w:rPr>
          <w:highlight w:val="yellow"/>
        </w:rPr>
        <w:t>a</w:t>
      </w:r>
      <w:r w:rsidRPr="00EF7D0C">
        <w:rPr>
          <w:highlight w:val="yellow"/>
        </w:rPr>
        <w:t xml:space="preserve">lizarse entre otras vertientes, alrededor de algunas personas que han sido reiteradamente mencionadas en este juicio, con epicentro, a nuestro modo de ver y esto no excluye obviamente a otros... en el ex agregado cultural de </w:t>
      </w:r>
      <w:smartTag w:uri="urn:schemas-microsoft-com:office:smarttags" w:element="PersonName">
        <w:smartTagPr>
          <w:attr w:name="ProductID" w:val="la Embajada"/>
        </w:smartTagPr>
        <w:r w:rsidRPr="00EF7D0C">
          <w:rPr>
            <w:highlight w:val="yellow"/>
          </w:rPr>
          <w:t>la Embajada</w:t>
        </w:r>
      </w:smartTag>
      <w:r w:rsidRPr="00EF7D0C">
        <w:rPr>
          <w:highlight w:val="yellow"/>
        </w:rPr>
        <w:t xml:space="preserve"> de </w:t>
      </w:r>
      <w:smartTag w:uri="urn:schemas-microsoft-com:office:smarttags" w:element="PersonName">
        <w:smartTagPr>
          <w:attr w:name="ProductID" w:val="la Rep￺blica Isl￡mica"/>
        </w:smartTagPr>
        <w:r w:rsidRPr="00EF7D0C">
          <w:rPr>
            <w:highlight w:val="yellow"/>
          </w:rPr>
          <w:t>la República Islámica</w:t>
        </w:r>
      </w:smartTag>
      <w:r w:rsidRPr="00EF7D0C">
        <w:rPr>
          <w:highlight w:val="yellow"/>
        </w:rPr>
        <w:t xml:space="preserve"> de Irán en Buenos Aires, Moshen Rabb</w:t>
      </w:r>
      <w:r w:rsidRPr="00EF7D0C">
        <w:rPr>
          <w:highlight w:val="yellow"/>
        </w:rPr>
        <w:t>a</w:t>
      </w:r>
      <w:r w:rsidRPr="00EF7D0C">
        <w:rPr>
          <w:highlight w:val="yellow"/>
        </w:rPr>
        <w:t>ni”.</w:t>
      </w:r>
    </w:p>
    <w:p w:rsidR="00224567" w:rsidRDefault="00224567">
      <w:pPr>
        <w:pStyle w:val="Textoindependiente"/>
        <w:spacing w:line="600" w:lineRule="auto"/>
        <w:ind w:firstLine="2835"/>
      </w:pPr>
      <w:r>
        <w:t>Acreditado, como se vio, que la e</w:t>
      </w:r>
      <w:r>
        <w:t>n</w:t>
      </w:r>
      <w:r>
        <w:t xml:space="preserve">trega de </w:t>
      </w:r>
      <w:smartTag w:uri="urn:schemas-microsoft-com:office:smarttags" w:element="PersonName">
        <w:smartTagPr>
          <w:attr w:name="ProductID" w:val="la Trafic"/>
        </w:smartTagPr>
        <w:r>
          <w:t>la Trafic</w:t>
        </w:r>
      </w:smartTag>
      <w:r>
        <w:t xml:space="preserve"> el 10 de julio de 1994 fue conse</w:t>
      </w:r>
      <w:r>
        <w:t>n</w:t>
      </w:r>
      <w:r>
        <w:t>suada, que no hubo extorsión por parte de los policías hacia Carlos A</w:t>
      </w:r>
      <w:r>
        <w:t>l</w:t>
      </w:r>
      <w:r>
        <w:t>berto Telleldín, que hubo un encargo, un acuerdo previame</w:t>
      </w:r>
      <w:r>
        <w:t>n</w:t>
      </w:r>
      <w:r>
        <w:t>te celebrado, el fiscal concluyó que se impone la libre a</w:t>
      </w:r>
      <w:r>
        <w:t>b</w:t>
      </w:r>
      <w:r>
        <w:t>solución de Juan José Ribelli, Raúl Edilio Ibarra, Anast</w:t>
      </w:r>
      <w:r>
        <w:t>a</w:t>
      </w:r>
      <w:r>
        <w:t>sio Ireneo Leal y Mario Norbe</w:t>
      </w:r>
      <w:r>
        <w:t>r</w:t>
      </w:r>
      <w:r>
        <w:t>to Bareiro en orden al hecho que en el requerimiento de elevación a juicio fue calific</w:t>
      </w:r>
      <w:r>
        <w:t>a</w:t>
      </w:r>
      <w:r>
        <w:t>do como constitutivo del delito de extorsión en perjuicio del primero de los nombrados.</w:t>
      </w:r>
    </w:p>
    <w:p w:rsidR="00224567" w:rsidRDefault="00224567">
      <w:pPr>
        <w:pStyle w:val="Textoindependiente"/>
        <w:spacing w:line="600" w:lineRule="auto"/>
        <w:ind w:firstLine="2835"/>
      </w:pPr>
      <w:r w:rsidRPr="00EF7D0C">
        <w:rPr>
          <w:highlight w:val="yellow"/>
        </w:rPr>
        <w:t>Calificó las conductas atribuidas a</w:t>
      </w:r>
      <w:r>
        <w:t xml:space="preserve"> </w:t>
      </w:r>
      <w:r w:rsidRPr="00EF7D0C">
        <w:rPr>
          <w:highlight w:val="yellow"/>
        </w:rPr>
        <w:t>Carlos Alberto Telleldín, Juan José Ribelli, Anastasio Ir</w:t>
      </w:r>
      <w:r w:rsidRPr="00EF7D0C">
        <w:rPr>
          <w:highlight w:val="yellow"/>
        </w:rPr>
        <w:t>e</w:t>
      </w:r>
      <w:r w:rsidRPr="00EF7D0C">
        <w:rPr>
          <w:highlight w:val="yellow"/>
        </w:rPr>
        <w:lastRenderedPageBreak/>
        <w:t>neo Leal, Mario Norberto Bareiro y Raúl Edilio Ibarra, en orden al hecho del 18 de julio de 1994, como const</w:t>
      </w:r>
      <w:r w:rsidRPr="00EF7D0C">
        <w:rPr>
          <w:highlight w:val="yellow"/>
        </w:rPr>
        <w:t>i</w:t>
      </w:r>
      <w:r w:rsidRPr="00EF7D0C">
        <w:rPr>
          <w:highlight w:val="yellow"/>
        </w:rPr>
        <w:t>tutivas de los delitos de homicidio calificado por haber sido com</w:t>
      </w:r>
      <w:r w:rsidRPr="00EF7D0C">
        <w:rPr>
          <w:highlight w:val="yellow"/>
        </w:rPr>
        <w:t>e</w:t>
      </w:r>
      <w:r w:rsidRPr="00EF7D0C">
        <w:rPr>
          <w:highlight w:val="yellow"/>
        </w:rPr>
        <w:t>tido por un medio idóneo para crear un peligro común, en perjuicio de 85 víctimas; lesiones leves en pe</w:t>
      </w:r>
      <w:r w:rsidRPr="00EF7D0C">
        <w:rPr>
          <w:highlight w:val="yellow"/>
        </w:rPr>
        <w:t>r</w:t>
      </w:r>
      <w:r w:rsidRPr="00EF7D0C">
        <w:rPr>
          <w:highlight w:val="yellow"/>
        </w:rPr>
        <w:t>juicio de 40 y graves en perjuicio de 31 víctimas, agravadas por lo di</w:t>
      </w:r>
      <w:r w:rsidRPr="00EF7D0C">
        <w:rPr>
          <w:highlight w:val="yellow"/>
        </w:rPr>
        <w:t>s</w:t>
      </w:r>
      <w:r w:rsidRPr="00EF7D0C">
        <w:rPr>
          <w:highlight w:val="yellow"/>
        </w:rPr>
        <w:t>puesto en el art. 92 del Código Penal y daños múltiples (arts. 80, inc. 5º, 89, 90, 92 y 183 del C.P.), en concurso ideal (art. 54 del C.P.), en calidad de partícipes neces</w:t>
      </w:r>
      <w:r w:rsidRPr="00EF7D0C">
        <w:rPr>
          <w:highlight w:val="yellow"/>
        </w:rPr>
        <w:t>a</w:t>
      </w:r>
      <w:r w:rsidRPr="00EF7D0C">
        <w:rPr>
          <w:highlight w:val="yellow"/>
        </w:rPr>
        <w:t>rios.</w:t>
      </w:r>
    </w:p>
    <w:p w:rsidR="00224567" w:rsidRDefault="00224567">
      <w:pPr>
        <w:pStyle w:val="Textoindependiente"/>
        <w:spacing w:line="600" w:lineRule="auto"/>
        <w:ind w:firstLine="2835"/>
      </w:pPr>
      <w:r>
        <w:t>Puntualizó que no se ha podido acred</w:t>
      </w:r>
      <w:r>
        <w:t>i</w:t>
      </w:r>
      <w:r>
        <w:t>tar en el debate, con el grado de certeza necesario que r</w:t>
      </w:r>
      <w:r>
        <w:t>e</w:t>
      </w:r>
      <w:r>
        <w:t>quiere un pronunciamiento condenatorio, que los nombrados tuvieron efectivo conocimiento –como si lo sabían los aut</w:t>
      </w:r>
      <w:r>
        <w:t>o</w:t>
      </w:r>
      <w:r>
        <w:t>res directos- que el destino final de la explosión habría de ser el ed</w:t>
      </w:r>
      <w:r>
        <w:t>i</w:t>
      </w:r>
      <w:r>
        <w:t xml:space="preserve">ficio que albergaba a la sede de </w:t>
      </w:r>
      <w:smartTag w:uri="urn:schemas-microsoft-com:office:smarttags" w:element="PersonName">
        <w:smartTagPr>
          <w:attr w:name="ProductID" w:val="la A.M"/>
        </w:smartTagPr>
        <w:r>
          <w:t>la A.M</w:t>
        </w:r>
      </w:smartTag>
      <w:r>
        <w:t xml:space="preserve">.I.A. y de </w:t>
      </w:r>
      <w:smartTag w:uri="urn:schemas-microsoft-com:office:smarttags" w:element="PersonName">
        <w:smartTagPr>
          <w:attr w:name="ProductID" w:val="la D.A"/>
        </w:smartTagPr>
        <w:r>
          <w:t>la D.A</w:t>
        </w:r>
      </w:smartTag>
      <w:r>
        <w:t xml:space="preserve">.I.A.; “sabían que era un atentado, sabían que se iba a cometer por medio de una explosión y sabían que esto se iba a cometer por un medio idóneo para crear un peligro común y también sabían que esto iba a ocasionar un número </w:t>
      </w:r>
      <w:r>
        <w:lastRenderedPageBreak/>
        <w:t>indeterminado de muertes y lesiones, lo que no sabían era en el lugar que se iba a producir”.</w:t>
      </w:r>
    </w:p>
    <w:p w:rsidR="00224567" w:rsidRDefault="00224567">
      <w:pPr>
        <w:pStyle w:val="Textoindependiente"/>
        <w:spacing w:line="600" w:lineRule="auto"/>
        <w:ind w:firstLine="2835"/>
        <w:rPr>
          <w:color w:val="000000"/>
        </w:rPr>
      </w:pPr>
      <w:r>
        <w:t>Por tal motivo descartó, para el caso de los acusados que participaron en el hecho, el agr</w:t>
      </w:r>
      <w:r>
        <w:t>a</w:t>
      </w:r>
      <w:r>
        <w:t>vante de odio racial o religioso.</w:t>
      </w:r>
      <w:r>
        <w:rPr>
          <w:color w:val="000000"/>
        </w:rPr>
        <w:t xml:space="preserve"> </w:t>
      </w:r>
    </w:p>
    <w:p w:rsidR="00224567" w:rsidRDefault="00224567">
      <w:pPr>
        <w:pStyle w:val="Textoindependiente"/>
        <w:spacing w:line="600" w:lineRule="auto"/>
        <w:ind w:firstLine="2835"/>
      </w:pPr>
      <w:r>
        <w:t>El fiscal general Alberto Nisman afi</w:t>
      </w:r>
      <w:r>
        <w:t>r</w:t>
      </w:r>
      <w:r>
        <w:t>mó que la prueba del debate acreditó que el 14 de julio de 1994, aproximadamente a las 22.00, Anastasio Ireneo Leal, Jorge Horacio Rago y Mario Norberto Bare</w:t>
      </w:r>
      <w:r>
        <w:t>i</w:t>
      </w:r>
      <w:r>
        <w:t>ro, todos ellos en carácter de coautores, junto con Diego Enrique Barreda y Juan Alberto Bottegal, estos dos últimos como partícipes necesarios, retuvieron ilegítimamente a Hugo Antonio P</w:t>
      </w:r>
      <w:r>
        <w:t>é</w:t>
      </w:r>
      <w:r>
        <w:t>rez, con el logrado propósito de cobrar un rescate para su lib</w:t>
      </w:r>
      <w:r>
        <w:t>e</w:t>
      </w:r>
      <w:r>
        <w:t>ración.</w:t>
      </w:r>
    </w:p>
    <w:p w:rsidR="00224567" w:rsidRDefault="00224567">
      <w:pPr>
        <w:widowControl w:val="0"/>
        <w:tabs>
          <w:tab w:val="left" w:pos="0"/>
        </w:tabs>
        <w:ind w:firstLine="2835"/>
        <w:rPr>
          <w:color w:val="000000"/>
        </w:rPr>
      </w:pPr>
      <w:r>
        <w:rPr>
          <w:color w:val="000000"/>
        </w:rPr>
        <w:t>Asimismo, que Jorge Horacio Rago hizo insertar falsas aseveraciones en un instrumento público concerniente al hecho que el doc</w:t>
      </w:r>
      <w:r>
        <w:rPr>
          <w:color w:val="000000"/>
        </w:rPr>
        <w:t>u</w:t>
      </w:r>
      <w:r>
        <w:rPr>
          <w:color w:val="000000"/>
        </w:rPr>
        <w:t xml:space="preserve">mento debía probar. </w:t>
      </w:r>
    </w:p>
    <w:p w:rsidR="00224567" w:rsidRDefault="00224567">
      <w:pPr>
        <w:widowControl w:val="0"/>
        <w:tabs>
          <w:tab w:val="left" w:pos="0"/>
        </w:tabs>
        <w:ind w:firstLine="2835"/>
        <w:rPr>
          <w:color w:val="000000"/>
        </w:rPr>
      </w:pPr>
      <w:r>
        <w:rPr>
          <w:color w:val="000000"/>
        </w:rPr>
        <w:t>Además, que Anastasio Ireneo Leal, Jorge Horacio Rago, Mario Norberto Bareiro y Diego E</w:t>
      </w:r>
      <w:r>
        <w:rPr>
          <w:color w:val="000000"/>
        </w:rPr>
        <w:t>n</w:t>
      </w:r>
      <w:r>
        <w:rPr>
          <w:color w:val="000000"/>
        </w:rPr>
        <w:t>rique Barreda, mediante intimidación, intentaron obligar a Ca</w:t>
      </w:r>
      <w:r>
        <w:rPr>
          <w:color w:val="000000"/>
        </w:rPr>
        <w:t>r</w:t>
      </w:r>
      <w:r>
        <w:rPr>
          <w:color w:val="000000"/>
        </w:rPr>
        <w:t>los Alberto Telleldín a entregar bienes y d</w:t>
      </w:r>
      <w:r>
        <w:rPr>
          <w:color w:val="000000"/>
        </w:rPr>
        <w:t>i</w:t>
      </w:r>
      <w:r>
        <w:rPr>
          <w:color w:val="000000"/>
        </w:rPr>
        <w:t xml:space="preserve">nero, bajo la </w:t>
      </w:r>
      <w:r>
        <w:rPr>
          <w:color w:val="000000"/>
        </w:rPr>
        <w:lastRenderedPageBreak/>
        <w:t>amenaza de sufrir un mal mayor; para ello y mediando ab</w:t>
      </w:r>
      <w:r>
        <w:rPr>
          <w:color w:val="000000"/>
        </w:rPr>
        <w:t>u</w:t>
      </w:r>
      <w:r>
        <w:rPr>
          <w:color w:val="000000"/>
        </w:rPr>
        <w:t>sos en sus funciones específicas, sostuvo el fiscal, i</w:t>
      </w:r>
      <w:r>
        <w:rPr>
          <w:color w:val="000000"/>
        </w:rPr>
        <w:t>n</w:t>
      </w:r>
      <w:r>
        <w:rPr>
          <w:color w:val="000000"/>
        </w:rPr>
        <w:t>tentaron privarlo de su libertad ambulat</w:t>
      </w:r>
      <w:r>
        <w:rPr>
          <w:color w:val="000000"/>
        </w:rPr>
        <w:t>o</w:t>
      </w:r>
      <w:r>
        <w:rPr>
          <w:color w:val="000000"/>
        </w:rPr>
        <w:t>ria, extremo que no consiguieron por causas ajenas a la voluntad de los nombrados.</w:t>
      </w:r>
    </w:p>
    <w:p w:rsidR="00224567" w:rsidRDefault="00224567">
      <w:pPr>
        <w:widowControl w:val="0"/>
        <w:tabs>
          <w:tab w:val="left" w:pos="0"/>
        </w:tabs>
        <w:ind w:firstLine="2835"/>
        <w:rPr>
          <w:color w:val="000000"/>
        </w:rPr>
      </w:pPr>
      <w:r>
        <w:rPr>
          <w:color w:val="000000"/>
        </w:rPr>
        <w:t xml:space="preserve">Indicó que para cumplir el objetivo, una comisión de </w:t>
      </w:r>
      <w:smartTag w:uri="urn:schemas-microsoft-com:office:smarttags" w:element="PersonName">
        <w:smartTagPr>
          <w:attr w:name="ProductID" w:val="la Brigada"/>
        </w:smartTagPr>
        <w:r>
          <w:rPr>
            <w:color w:val="000000"/>
          </w:rPr>
          <w:t>la Brigada</w:t>
        </w:r>
      </w:smartTag>
      <w:r>
        <w:rPr>
          <w:color w:val="000000"/>
        </w:rPr>
        <w:t xml:space="preserve"> de investigaciones de Vicente López,  al mando del subcomisario Anastasio Ireneo Leal, integrada por los suboficiales Manuel Enrique García y A</w:t>
      </w:r>
      <w:r>
        <w:rPr>
          <w:color w:val="000000"/>
        </w:rPr>
        <w:t>r</w:t>
      </w:r>
      <w:r>
        <w:rPr>
          <w:color w:val="000000"/>
        </w:rPr>
        <w:t>gentino  Gabriel Lasala, se constituyó en las inmediaci</w:t>
      </w:r>
      <w:r>
        <w:rPr>
          <w:color w:val="000000"/>
        </w:rPr>
        <w:t>o</w:t>
      </w:r>
      <w:r>
        <w:rPr>
          <w:color w:val="000000"/>
        </w:rPr>
        <w:t>nes del domicilio de Carlos Alberto T</w:t>
      </w:r>
      <w:r>
        <w:rPr>
          <w:color w:val="000000"/>
        </w:rPr>
        <w:t>e</w:t>
      </w:r>
      <w:r>
        <w:rPr>
          <w:color w:val="000000"/>
        </w:rPr>
        <w:t>lleldín, sito en la calle  República 107 de Villa B</w:t>
      </w:r>
      <w:r>
        <w:rPr>
          <w:color w:val="000000"/>
        </w:rPr>
        <w:t>a</w:t>
      </w:r>
      <w:r>
        <w:rPr>
          <w:color w:val="000000"/>
        </w:rPr>
        <w:t xml:space="preserve">llester, con el propósito de obligar al nombrado a saldar una de las tantas deudas pendientes que  mantenía con el personal policial. </w:t>
      </w:r>
    </w:p>
    <w:p w:rsidR="00224567" w:rsidRDefault="00224567">
      <w:pPr>
        <w:widowControl w:val="0"/>
        <w:tabs>
          <w:tab w:val="left" w:pos="0"/>
        </w:tabs>
        <w:ind w:firstLine="2835"/>
        <w:rPr>
          <w:color w:val="000000"/>
        </w:rPr>
      </w:pPr>
      <w:r>
        <w:rPr>
          <w:color w:val="000000"/>
        </w:rPr>
        <w:t>Que luego de una persecución en que Telleldín logró huir a bordo de un Renault 19 junto con su mujer Ana María Boragni, el personal policial detuvo a H</w:t>
      </w:r>
      <w:r>
        <w:rPr>
          <w:color w:val="000000"/>
        </w:rPr>
        <w:t>u</w:t>
      </w:r>
      <w:r>
        <w:rPr>
          <w:color w:val="000000"/>
        </w:rPr>
        <w:t>go Antonio Pérez, en momentos en que éste salía de la casa de Telleldín hacia una remisería, situada a unos pocos m</w:t>
      </w:r>
      <w:r>
        <w:rPr>
          <w:color w:val="000000"/>
        </w:rPr>
        <w:t>e</w:t>
      </w:r>
      <w:r>
        <w:rPr>
          <w:color w:val="000000"/>
        </w:rPr>
        <w:t>tros del l</w:t>
      </w:r>
      <w:r>
        <w:rPr>
          <w:color w:val="000000"/>
        </w:rPr>
        <w:t>u</w:t>
      </w:r>
      <w:r>
        <w:rPr>
          <w:color w:val="000000"/>
        </w:rPr>
        <w:t>gar.</w:t>
      </w:r>
    </w:p>
    <w:p w:rsidR="00224567" w:rsidRDefault="00224567">
      <w:pPr>
        <w:widowControl w:val="0"/>
        <w:tabs>
          <w:tab w:val="left" w:pos="0"/>
        </w:tabs>
        <w:ind w:firstLine="2835"/>
        <w:rPr>
          <w:color w:val="000000"/>
        </w:rPr>
      </w:pPr>
      <w:r>
        <w:rPr>
          <w:color w:val="000000"/>
        </w:rPr>
        <w:lastRenderedPageBreak/>
        <w:t>El fiscal sostuvo que Hugo Antonio P</w:t>
      </w:r>
      <w:r>
        <w:rPr>
          <w:color w:val="000000"/>
        </w:rPr>
        <w:t>é</w:t>
      </w:r>
      <w:r>
        <w:rPr>
          <w:color w:val="000000"/>
        </w:rPr>
        <w:t>rez permaneció en el auto de uno de los policías por esp</w:t>
      </w:r>
      <w:r>
        <w:rPr>
          <w:color w:val="000000"/>
        </w:rPr>
        <w:t>a</w:t>
      </w:r>
      <w:r>
        <w:rPr>
          <w:color w:val="000000"/>
        </w:rPr>
        <w:t>cio de tres horas a la espera de que Telleldín regres</w:t>
      </w:r>
      <w:r>
        <w:rPr>
          <w:color w:val="000000"/>
        </w:rPr>
        <w:t>a</w:t>
      </w:r>
      <w:r>
        <w:rPr>
          <w:color w:val="000000"/>
        </w:rPr>
        <w:t>ra. Al no retornar y transcurrido dicho lapso, Pérez fue co</w:t>
      </w:r>
      <w:r>
        <w:rPr>
          <w:color w:val="000000"/>
        </w:rPr>
        <w:t>n</w:t>
      </w:r>
      <w:r>
        <w:rPr>
          <w:color w:val="000000"/>
        </w:rPr>
        <w:t xml:space="preserve">ducido por averiguación de antecedentes a </w:t>
      </w:r>
      <w:smartTag w:uri="urn:schemas-microsoft-com:office:smarttags" w:element="PersonName">
        <w:smartTagPr>
          <w:attr w:name="ProductID" w:val="la Brigada"/>
        </w:smartTagPr>
        <w:r>
          <w:rPr>
            <w:color w:val="000000"/>
          </w:rPr>
          <w:t>la Brigada</w:t>
        </w:r>
      </w:smartTag>
      <w:r>
        <w:rPr>
          <w:color w:val="000000"/>
        </w:rPr>
        <w:t xml:space="preserve"> de Investigaciones de Vicente López. Señaló que el registro del ingreso a la brigada dató de la 1.30 del 15 de julio de 1994 y obtuvo la libertad a las 21.20 o 21.25 del mismo día.</w:t>
      </w:r>
    </w:p>
    <w:p w:rsidR="00224567" w:rsidRDefault="00224567">
      <w:pPr>
        <w:widowControl w:val="0"/>
        <w:tabs>
          <w:tab w:val="left" w:pos="0"/>
        </w:tabs>
        <w:ind w:firstLine="2835"/>
        <w:rPr>
          <w:color w:val="000000"/>
        </w:rPr>
      </w:pPr>
      <w:r>
        <w:rPr>
          <w:color w:val="000000"/>
        </w:rPr>
        <w:t>Consideró que el procedimiento de av</w:t>
      </w:r>
      <w:r>
        <w:rPr>
          <w:color w:val="000000"/>
        </w:rPr>
        <w:t>e</w:t>
      </w:r>
      <w:r>
        <w:rPr>
          <w:color w:val="000000"/>
        </w:rPr>
        <w:t>riguación de antecedentes de Hugo Antonio Pérez fue el r</w:t>
      </w:r>
      <w:r>
        <w:rPr>
          <w:color w:val="000000"/>
        </w:rPr>
        <w:t>o</w:t>
      </w:r>
      <w:r>
        <w:rPr>
          <w:color w:val="000000"/>
        </w:rPr>
        <w:t>paje utilizado para presionar a Carlos T</w:t>
      </w:r>
      <w:r>
        <w:rPr>
          <w:color w:val="000000"/>
        </w:rPr>
        <w:t>e</w:t>
      </w:r>
      <w:r>
        <w:rPr>
          <w:color w:val="000000"/>
        </w:rPr>
        <w:t>lleldín para que efectivizara los reclamos dinerarios. En def</w:t>
      </w:r>
      <w:r>
        <w:rPr>
          <w:color w:val="000000"/>
        </w:rPr>
        <w:t>i</w:t>
      </w:r>
      <w:r>
        <w:rPr>
          <w:color w:val="000000"/>
        </w:rPr>
        <w:t xml:space="preserve">nitiva, dijo el fiscal, Telleldín transfirió a Juan Alberto Bottegal, para que luego sea entregada a </w:t>
      </w:r>
      <w:smartTag w:uri="urn:schemas-microsoft-com:office:smarttags" w:element="PersonName">
        <w:smartTagPr>
          <w:attr w:name="ProductID" w:val="la Brigada"/>
        </w:smartTagPr>
        <w:r>
          <w:rPr>
            <w:color w:val="000000"/>
          </w:rPr>
          <w:t>la Brigada</w:t>
        </w:r>
      </w:smartTag>
      <w:r>
        <w:rPr>
          <w:color w:val="000000"/>
        </w:rPr>
        <w:t xml:space="preserve"> de Vicente L</w:t>
      </w:r>
      <w:r>
        <w:rPr>
          <w:color w:val="000000"/>
        </w:rPr>
        <w:t>ó</w:t>
      </w:r>
      <w:r>
        <w:rPr>
          <w:color w:val="000000"/>
        </w:rPr>
        <w:t>pez, una e</w:t>
      </w:r>
      <w:r>
        <w:rPr>
          <w:color w:val="000000"/>
        </w:rPr>
        <w:t>m</w:t>
      </w:r>
      <w:r>
        <w:rPr>
          <w:color w:val="000000"/>
        </w:rPr>
        <w:t>barcación de su propiedad que tenía amarrada en la guardería náutica denominada “Lalos”.</w:t>
      </w:r>
    </w:p>
    <w:p w:rsidR="00224567" w:rsidRDefault="00224567">
      <w:pPr>
        <w:widowControl w:val="0"/>
        <w:tabs>
          <w:tab w:val="left" w:pos="0"/>
        </w:tabs>
        <w:ind w:firstLine="2835"/>
        <w:rPr>
          <w:color w:val="000000"/>
        </w:rPr>
      </w:pPr>
      <w:r>
        <w:rPr>
          <w:color w:val="000000"/>
        </w:rPr>
        <w:t>Expresó que se veía impedido de co</w:t>
      </w:r>
      <w:r>
        <w:rPr>
          <w:color w:val="000000"/>
        </w:rPr>
        <w:t>n</w:t>
      </w:r>
      <w:r>
        <w:rPr>
          <w:color w:val="000000"/>
        </w:rPr>
        <w:t>tar con los dichos testimoniales de Hugo Antonio Pérez, víct</w:t>
      </w:r>
      <w:r>
        <w:rPr>
          <w:color w:val="000000"/>
        </w:rPr>
        <w:t>i</w:t>
      </w:r>
      <w:r>
        <w:rPr>
          <w:color w:val="000000"/>
        </w:rPr>
        <w:t xml:space="preserve">ma del suceso, puesto que el nombrado fue escuchado como testigo y, al ser imputado en el juicio por otro hecho, su </w:t>
      </w:r>
      <w:r>
        <w:rPr>
          <w:color w:val="000000"/>
        </w:rPr>
        <w:lastRenderedPageBreak/>
        <w:t xml:space="preserve">incorporación estaba vedada. No obstante, dijo que la prueba del debate permite la efectiva reconstrucción del hecho.  </w:t>
      </w:r>
    </w:p>
    <w:p w:rsidR="00224567" w:rsidRDefault="00224567">
      <w:pPr>
        <w:widowControl w:val="0"/>
        <w:tabs>
          <w:tab w:val="left" w:pos="0"/>
        </w:tabs>
        <w:ind w:firstLine="2835"/>
        <w:rPr>
          <w:color w:val="000000"/>
        </w:rPr>
      </w:pPr>
      <w:r>
        <w:rPr>
          <w:color w:val="000000"/>
        </w:rPr>
        <w:t>Así, hizo referencia a los dichos de Carlos Alberto Telleldín y su concubina Ana María B</w:t>
      </w:r>
      <w:r>
        <w:rPr>
          <w:color w:val="000000"/>
        </w:rPr>
        <w:t>o</w:t>
      </w:r>
      <w:r>
        <w:rPr>
          <w:color w:val="000000"/>
        </w:rPr>
        <w:t xml:space="preserve">ragni, en cuanto sostuvieron que el día indicado fueron víctima de una persecución por parte de personal de </w:t>
      </w:r>
      <w:smartTag w:uri="urn:schemas-microsoft-com:office:smarttags" w:element="PersonName">
        <w:smartTagPr>
          <w:attr w:name="ProductID" w:val="la Brigada"/>
        </w:smartTagPr>
        <w:r>
          <w:rPr>
            <w:color w:val="000000"/>
          </w:rPr>
          <w:t>la Br</w:t>
        </w:r>
        <w:r>
          <w:rPr>
            <w:color w:val="000000"/>
          </w:rPr>
          <w:t>i</w:t>
        </w:r>
        <w:r>
          <w:rPr>
            <w:color w:val="000000"/>
          </w:rPr>
          <w:t>gada</w:t>
        </w:r>
      </w:smartTag>
      <w:r>
        <w:rPr>
          <w:color w:val="000000"/>
        </w:rPr>
        <w:t xml:space="preserve"> de Investigaciones de Vicente López, de la que logró escapar; que los policías se desplazaron en tres automóviles, un Peugeot 505, un Fiat Duna, color bla</w:t>
      </w:r>
      <w:r>
        <w:rPr>
          <w:color w:val="000000"/>
        </w:rPr>
        <w:t>n</w:t>
      </w:r>
      <w:r>
        <w:rPr>
          <w:color w:val="000000"/>
        </w:rPr>
        <w:t>co, y un Ford Galaxy, color azul, éste último propiedad de Anastasio Ireneo Leal; que en esas circunstancias, chocó a los dos primeros automóviles nombrados; que a cambio de la libertad de su amigo Hugo Antonio Pérez fue obligado a entregar la emba</w:t>
      </w:r>
      <w:r>
        <w:rPr>
          <w:color w:val="000000"/>
        </w:rPr>
        <w:t>r</w:t>
      </w:r>
      <w:r>
        <w:rPr>
          <w:color w:val="000000"/>
        </w:rPr>
        <w:t>cación “Gonzalo” de su propiedad, mediante su transfere</w:t>
      </w:r>
      <w:r>
        <w:rPr>
          <w:color w:val="000000"/>
        </w:rPr>
        <w:t>n</w:t>
      </w:r>
      <w:r>
        <w:rPr>
          <w:color w:val="000000"/>
        </w:rPr>
        <w:t>cia a nombre del abogado Juan Alberto Bottegal; que ello se acordó en un bar del barrio de Belgrado y se efectivizó en una co</w:t>
      </w:r>
      <w:r>
        <w:rPr>
          <w:color w:val="000000"/>
        </w:rPr>
        <w:t>n</w:t>
      </w:r>
      <w:r>
        <w:rPr>
          <w:color w:val="000000"/>
        </w:rPr>
        <w:t>fitería de la localidad de San Martín, donde se entr</w:t>
      </w:r>
      <w:r>
        <w:rPr>
          <w:color w:val="000000"/>
        </w:rPr>
        <w:t>e</w:t>
      </w:r>
      <w:r>
        <w:rPr>
          <w:color w:val="000000"/>
        </w:rPr>
        <w:t>vistó con el mencionado abogado y que el contacto con Bottegal, según la versión de Telleldín, se llevó a c</w:t>
      </w:r>
      <w:r>
        <w:rPr>
          <w:color w:val="000000"/>
        </w:rPr>
        <w:t>a</w:t>
      </w:r>
      <w:r>
        <w:rPr>
          <w:color w:val="000000"/>
        </w:rPr>
        <w:t xml:space="preserve">bo a </w:t>
      </w:r>
      <w:r>
        <w:rPr>
          <w:color w:val="000000"/>
        </w:rPr>
        <w:lastRenderedPageBreak/>
        <w:t>instancias de Diego Enrique Barreda, quien recomendó que lo viera “para solucionar el tema”.</w:t>
      </w:r>
    </w:p>
    <w:p w:rsidR="00224567" w:rsidRDefault="00224567">
      <w:pPr>
        <w:widowControl w:val="0"/>
        <w:tabs>
          <w:tab w:val="left" w:pos="0"/>
        </w:tabs>
        <w:ind w:firstLine="2835"/>
        <w:rPr>
          <w:color w:val="000000"/>
        </w:rPr>
      </w:pPr>
      <w:r>
        <w:rPr>
          <w:color w:val="000000"/>
        </w:rPr>
        <w:t>Agregó Boragni, según el fiscal, que Pérez relató que antes de ser trasladado a la brigada pe</w:t>
      </w:r>
      <w:r>
        <w:rPr>
          <w:color w:val="000000"/>
        </w:rPr>
        <w:t>r</w:t>
      </w:r>
      <w:r>
        <w:rPr>
          <w:color w:val="000000"/>
        </w:rPr>
        <w:t>maneció durante tres horas detenido adentro de un vehíc</w:t>
      </w:r>
      <w:r>
        <w:rPr>
          <w:color w:val="000000"/>
        </w:rPr>
        <w:t>u</w:t>
      </w:r>
      <w:r>
        <w:rPr>
          <w:color w:val="000000"/>
        </w:rPr>
        <w:t>lo y que en esas circunstancias vio a Diego Enrique Barreda pasar en varias oportunidades y conversar con el of</w:t>
      </w:r>
      <w:r>
        <w:rPr>
          <w:color w:val="000000"/>
        </w:rPr>
        <w:t>i</w:t>
      </w:r>
      <w:r>
        <w:rPr>
          <w:color w:val="000000"/>
        </w:rPr>
        <w:t>cial a cargo. Por último, que el citado automóvil Galaxy lo había visto con anterioridad y que ese rodado permanentemente vigilaba el domicilio de Telle</w:t>
      </w:r>
      <w:r>
        <w:rPr>
          <w:color w:val="000000"/>
        </w:rPr>
        <w:t>l</w:t>
      </w:r>
      <w:r>
        <w:rPr>
          <w:color w:val="000000"/>
        </w:rPr>
        <w:t>dín.</w:t>
      </w:r>
    </w:p>
    <w:p w:rsidR="00224567" w:rsidRDefault="00224567">
      <w:pPr>
        <w:widowControl w:val="0"/>
        <w:tabs>
          <w:tab w:val="left" w:pos="0"/>
        </w:tabs>
        <w:ind w:firstLine="2835"/>
        <w:rPr>
          <w:color w:val="000000"/>
        </w:rPr>
      </w:pPr>
      <w:r>
        <w:rPr>
          <w:color w:val="000000"/>
        </w:rPr>
        <w:t>Asimismo, el testimonio de Conrado Alejandro Dubs, dueño de la remisería a la que se dir</w:t>
      </w:r>
      <w:r>
        <w:rPr>
          <w:color w:val="000000"/>
        </w:rPr>
        <w:t>i</w:t>
      </w:r>
      <w:r>
        <w:rPr>
          <w:color w:val="000000"/>
        </w:rPr>
        <w:t>gió Hugo Pérez, confirmó que éste se prese</w:t>
      </w:r>
      <w:r>
        <w:rPr>
          <w:color w:val="000000"/>
        </w:rPr>
        <w:t>n</w:t>
      </w:r>
      <w:r>
        <w:rPr>
          <w:color w:val="000000"/>
        </w:rPr>
        <w:t>tó alrededor de las 22.00 y que luego de un lapso, s</w:t>
      </w:r>
      <w:r>
        <w:rPr>
          <w:color w:val="000000"/>
        </w:rPr>
        <w:t>e</w:t>
      </w:r>
      <w:r>
        <w:rPr>
          <w:color w:val="000000"/>
        </w:rPr>
        <w:t>gún le refirió uno de los chóferes, una persona que se identificó como policía lo agarró de los pelos y se lo llevó detenido.</w:t>
      </w:r>
    </w:p>
    <w:p w:rsidR="00224567" w:rsidRDefault="00224567">
      <w:pPr>
        <w:widowControl w:val="0"/>
        <w:tabs>
          <w:tab w:val="left" w:pos="0"/>
        </w:tabs>
        <w:ind w:firstLine="2835"/>
        <w:rPr>
          <w:color w:val="000000"/>
        </w:rPr>
      </w:pPr>
      <w:r>
        <w:rPr>
          <w:color w:val="000000"/>
        </w:rPr>
        <w:t>Añadió, además, los dichos de E</w:t>
      </w:r>
      <w:r>
        <w:rPr>
          <w:color w:val="000000"/>
        </w:rPr>
        <w:t>n</w:t>
      </w:r>
      <w:r>
        <w:rPr>
          <w:color w:val="000000"/>
        </w:rPr>
        <w:t xml:space="preserve">rique Forgione, jefe de </w:t>
      </w:r>
      <w:smartTag w:uri="urn:schemas-microsoft-com:office:smarttags" w:element="PersonName">
        <w:smartTagPr>
          <w:attr w:name="ProductID" w:val="la Brigada"/>
        </w:smartTagPr>
        <w:r>
          <w:rPr>
            <w:color w:val="000000"/>
          </w:rPr>
          <w:t>la Brigada</w:t>
        </w:r>
      </w:smartTag>
      <w:r>
        <w:rPr>
          <w:color w:val="000000"/>
        </w:rPr>
        <w:t xml:space="preserve"> de Vicente López, en cuanto sostuvo que la información vinculada a Telleldín fue apo</w:t>
      </w:r>
      <w:r>
        <w:rPr>
          <w:color w:val="000000"/>
        </w:rPr>
        <w:t>r</w:t>
      </w:r>
      <w:r>
        <w:rPr>
          <w:color w:val="000000"/>
        </w:rPr>
        <w:t>tada por Mario Norberto Bareiro; que, con relación a esa investigación, sólo mantuvo comunicación con Jo</w:t>
      </w:r>
      <w:r>
        <w:rPr>
          <w:color w:val="000000"/>
        </w:rPr>
        <w:t>r</w:t>
      </w:r>
      <w:r>
        <w:rPr>
          <w:color w:val="000000"/>
        </w:rPr>
        <w:t xml:space="preserve">ge Horacio </w:t>
      </w:r>
      <w:r>
        <w:rPr>
          <w:color w:val="000000"/>
        </w:rPr>
        <w:lastRenderedPageBreak/>
        <w:t>Rago y que cuando fue informado acerca de la fuga de T</w:t>
      </w:r>
      <w:r>
        <w:rPr>
          <w:color w:val="000000"/>
        </w:rPr>
        <w:t>e</w:t>
      </w:r>
      <w:r>
        <w:rPr>
          <w:color w:val="000000"/>
        </w:rPr>
        <w:t>lleldín, se omitió hacerle saber todo lo relativo al di</w:t>
      </w:r>
      <w:r>
        <w:rPr>
          <w:color w:val="000000"/>
        </w:rPr>
        <w:t>s</w:t>
      </w:r>
      <w:r>
        <w:rPr>
          <w:color w:val="000000"/>
        </w:rPr>
        <w:t>paro del arma de fuego, el choque de uno de los autos y la rotura del vehículo de Argentino G</w:t>
      </w:r>
      <w:r>
        <w:rPr>
          <w:color w:val="000000"/>
        </w:rPr>
        <w:t>a</w:t>
      </w:r>
      <w:r>
        <w:rPr>
          <w:color w:val="000000"/>
        </w:rPr>
        <w:t>briel Lasala.</w:t>
      </w:r>
    </w:p>
    <w:p w:rsidR="00224567" w:rsidRDefault="00224567">
      <w:pPr>
        <w:widowControl w:val="0"/>
        <w:tabs>
          <w:tab w:val="left" w:pos="0"/>
        </w:tabs>
        <w:ind w:firstLine="2835"/>
        <w:rPr>
          <w:color w:val="000000"/>
        </w:rPr>
      </w:pPr>
      <w:r>
        <w:rPr>
          <w:color w:val="000000"/>
        </w:rPr>
        <w:t>No se anoticiaron tales circunsta</w:t>
      </w:r>
      <w:r>
        <w:rPr>
          <w:color w:val="000000"/>
        </w:rPr>
        <w:t>n</w:t>
      </w:r>
      <w:r>
        <w:rPr>
          <w:color w:val="000000"/>
        </w:rPr>
        <w:t>cias, argumentó el fiscal, para evitar el hecho de l</w:t>
      </w:r>
      <w:r>
        <w:rPr>
          <w:color w:val="000000"/>
        </w:rPr>
        <w:t>a</w:t>
      </w:r>
      <w:r>
        <w:rPr>
          <w:color w:val="000000"/>
        </w:rPr>
        <w:t>brar actuaciones -al igual que ocurrió en el caso del 4 de abril de 1994- puesto que ello implicaba dejar al desc</w:t>
      </w:r>
      <w:r>
        <w:rPr>
          <w:color w:val="000000"/>
        </w:rPr>
        <w:t>u</w:t>
      </w:r>
      <w:r>
        <w:rPr>
          <w:color w:val="000000"/>
        </w:rPr>
        <w:t>bierto la maniobra extorsiva.</w:t>
      </w:r>
    </w:p>
    <w:p w:rsidR="00224567" w:rsidRDefault="00224567">
      <w:pPr>
        <w:widowControl w:val="0"/>
        <w:tabs>
          <w:tab w:val="left" w:pos="0"/>
        </w:tabs>
        <w:ind w:firstLine="2835"/>
        <w:rPr>
          <w:color w:val="000000"/>
        </w:rPr>
      </w:pPr>
      <w:r>
        <w:rPr>
          <w:color w:val="000000"/>
        </w:rPr>
        <w:t>En igual sentido, entendió que el h</w:t>
      </w:r>
      <w:r>
        <w:rPr>
          <w:color w:val="000000"/>
        </w:rPr>
        <w:t>e</w:t>
      </w:r>
      <w:r>
        <w:rPr>
          <w:color w:val="000000"/>
        </w:rPr>
        <w:t>cho de que Anastasio Ireneo Leal omitiera comunicar la f</w:t>
      </w:r>
      <w:r>
        <w:rPr>
          <w:color w:val="000000"/>
        </w:rPr>
        <w:t>u</w:t>
      </w:r>
      <w:r>
        <w:rPr>
          <w:color w:val="000000"/>
        </w:rPr>
        <w:t>ga de Telleldín al comando radioeléctrico, máxime cuando éste se desplazaba en un auto presuntamente de origen il</w:t>
      </w:r>
      <w:r>
        <w:rPr>
          <w:color w:val="000000"/>
        </w:rPr>
        <w:t>í</w:t>
      </w:r>
      <w:r>
        <w:rPr>
          <w:color w:val="000000"/>
        </w:rPr>
        <w:t>cito, resultaba demostrativo de la finalidad extorsiva que guiaba el proc</w:t>
      </w:r>
      <w:r>
        <w:rPr>
          <w:color w:val="000000"/>
        </w:rPr>
        <w:t>e</w:t>
      </w:r>
      <w:r>
        <w:rPr>
          <w:color w:val="000000"/>
        </w:rPr>
        <w:t>dimiento. Por ese motivo, sostuvo, tampoco se comunicó al juez provincial de tu</w:t>
      </w:r>
      <w:r>
        <w:rPr>
          <w:color w:val="000000"/>
        </w:rPr>
        <w:t>r</w:t>
      </w:r>
      <w:r>
        <w:rPr>
          <w:color w:val="000000"/>
        </w:rPr>
        <w:t>no, ni se continuó en la búsqueda del presunto sosp</w:t>
      </w:r>
      <w:r>
        <w:rPr>
          <w:color w:val="000000"/>
        </w:rPr>
        <w:t>e</w:t>
      </w:r>
      <w:r>
        <w:rPr>
          <w:color w:val="000000"/>
        </w:rPr>
        <w:t>choso.</w:t>
      </w:r>
    </w:p>
    <w:p w:rsidR="00224567" w:rsidRDefault="00224567">
      <w:pPr>
        <w:widowControl w:val="0"/>
        <w:tabs>
          <w:tab w:val="left" w:pos="0"/>
        </w:tabs>
        <w:ind w:firstLine="2835"/>
        <w:rPr>
          <w:color w:val="000000"/>
        </w:rPr>
      </w:pPr>
      <w:r>
        <w:rPr>
          <w:color w:val="000000"/>
        </w:rPr>
        <w:t>La omisión de dar cuenta de todos los detalles del operativo a Forgione, comprometió a Jorge H</w:t>
      </w:r>
      <w:r>
        <w:rPr>
          <w:color w:val="000000"/>
        </w:rPr>
        <w:t>o</w:t>
      </w:r>
      <w:r>
        <w:rPr>
          <w:color w:val="000000"/>
        </w:rPr>
        <w:t>racio Rago y a Anastasio Ireneo Leal y las anomalías ver</w:t>
      </w:r>
      <w:r>
        <w:rPr>
          <w:color w:val="000000"/>
        </w:rPr>
        <w:t>i</w:t>
      </w:r>
      <w:r>
        <w:rPr>
          <w:color w:val="000000"/>
        </w:rPr>
        <w:lastRenderedPageBreak/>
        <w:t>ficadas, a todos los imputados por igual, indicó el fi</w:t>
      </w:r>
      <w:r>
        <w:rPr>
          <w:color w:val="000000"/>
        </w:rPr>
        <w:t>s</w:t>
      </w:r>
      <w:r>
        <w:rPr>
          <w:color w:val="000000"/>
        </w:rPr>
        <w:t>cal.</w:t>
      </w:r>
    </w:p>
    <w:p w:rsidR="00224567" w:rsidRDefault="00224567">
      <w:pPr>
        <w:widowControl w:val="0"/>
        <w:tabs>
          <w:tab w:val="left" w:pos="0"/>
        </w:tabs>
        <w:ind w:firstLine="2835"/>
        <w:rPr>
          <w:color w:val="000000"/>
        </w:rPr>
      </w:pPr>
      <w:r>
        <w:rPr>
          <w:color w:val="000000"/>
        </w:rPr>
        <w:t>Refirió que Argentino Gabriel L</w:t>
      </w:r>
      <w:r>
        <w:rPr>
          <w:color w:val="000000"/>
        </w:rPr>
        <w:t>a</w:t>
      </w:r>
      <w:r>
        <w:rPr>
          <w:color w:val="000000"/>
        </w:rPr>
        <w:t>sala, en su declaración indagatoria incorporada por lectura, sostuvo que había sido Leal quién indicó el domicilio s</w:t>
      </w:r>
      <w:r>
        <w:rPr>
          <w:color w:val="000000"/>
        </w:rPr>
        <w:t>o</w:t>
      </w:r>
      <w:r>
        <w:rPr>
          <w:color w:val="000000"/>
        </w:rPr>
        <w:t>bre el cual debían hacer la vigilancia; que el nombrado también dio la orden de detener a la persona que había s</w:t>
      </w:r>
      <w:r>
        <w:rPr>
          <w:color w:val="000000"/>
        </w:rPr>
        <w:t>a</w:t>
      </w:r>
      <w:r>
        <w:rPr>
          <w:color w:val="000000"/>
        </w:rPr>
        <w:t>lido del domicilio y que el objetivo era detener a cua</w:t>
      </w:r>
      <w:r>
        <w:rPr>
          <w:color w:val="000000"/>
        </w:rPr>
        <w:t>l</w:t>
      </w:r>
      <w:r>
        <w:rPr>
          <w:color w:val="000000"/>
        </w:rPr>
        <w:t>quier individuo que saliera de la casa de Telleldín, una vez que éste se dio a la fuga.</w:t>
      </w:r>
    </w:p>
    <w:p w:rsidR="00224567" w:rsidRDefault="00224567">
      <w:pPr>
        <w:widowControl w:val="0"/>
        <w:tabs>
          <w:tab w:val="left" w:pos="0"/>
        </w:tabs>
        <w:ind w:firstLine="2835"/>
        <w:rPr>
          <w:color w:val="000000"/>
        </w:rPr>
      </w:pPr>
      <w:r>
        <w:rPr>
          <w:color w:val="000000"/>
        </w:rPr>
        <w:t>De tales extremos, dedujo el fiscal, se desprende la finalidad extorsiva del proc</w:t>
      </w:r>
      <w:r>
        <w:rPr>
          <w:color w:val="000000"/>
        </w:rPr>
        <w:t>e</w:t>
      </w:r>
      <w:r>
        <w:rPr>
          <w:color w:val="000000"/>
        </w:rPr>
        <w:t>dimiento, por cuanto era necesario detener a una persona allegada a Ca</w:t>
      </w:r>
      <w:r>
        <w:rPr>
          <w:color w:val="000000"/>
        </w:rPr>
        <w:t>r</w:t>
      </w:r>
      <w:r>
        <w:rPr>
          <w:color w:val="000000"/>
        </w:rPr>
        <w:t>los Alberto Telleldín para que éste pagara su re</w:t>
      </w:r>
      <w:r>
        <w:rPr>
          <w:color w:val="000000"/>
        </w:rPr>
        <w:t>s</w:t>
      </w:r>
      <w:r>
        <w:rPr>
          <w:color w:val="000000"/>
        </w:rPr>
        <w:t>cate.</w:t>
      </w:r>
    </w:p>
    <w:p w:rsidR="00224567" w:rsidRDefault="00224567">
      <w:pPr>
        <w:widowControl w:val="0"/>
        <w:tabs>
          <w:tab w:val="left" w:pos="0"/>
        </w:tabs>
        <w:ind w:firstLine="2835"/>
        <w:rPr>
          <w:color w:val="000000"/>
        </w:rPr>
      </w:pPr>
      <w:r>
        <w:rPr>
          <w:color w:val="000000"/>
        </w:rPr>
        <w:t>Indicó que Manuel Enrique García se expidió en consonancia con la versión aportada por L</w:t>
      </w:r>
      <w:r>
        <w:rPr>
          <w:color w:val="000000"/>
        </w:rPr>
        <w:t>a</w:t>
      </w:r>
      <w:r>
        <w:rPr>
          <w:color w:val="000000"/>
        </w:rPr>
        <w:t>sala, agregando que se enteró que Telleldín había e</w:t>
      </w:r>
      <w:r>
        <w:rPr>
          <w:color w:val="000000"/>
        </w:rPr>
        <w:t>n</w:t>
      </w:r>
      <w:r>
        <w:rPr>
          <w:color w:val="000000"/>
        </w:rPr>
        <w:t>tregado una embarcación a Bottegal y éste a la brigada; que tomó con</w:t>
      </w:r>
      <w:r>
        <w:rPr>
          <w:color w:val="000000"/>
        </w:rPr>
        <w:t>o</w:t>
      </w:r>
      <w:r>
        <w:rPr>
          <w:color w:val="000000"/>
        </w:rPr>
        <w:t>cimiento que Telleldín había publicado una Trafic para la venta; que éste había recibido un llamado de Leal o de B</w:t>
      </w:r>
      <w:r>
        <w:rPr>
          <w:color w:val="000000"/>
        </w:rPr>
        <w:t>a</w:t>
      </w:r>
      <w:r>
        <w:rPr>
          <w:color w:val="000000"/>
        </w:rPr>
        <w:t>reiro; que mientras estaba haciendo la vigilancia en Rep</w:t>
      </w:r>
      <w:r>
        <w:rPr>
          <w:color w:val="000000"/>
        </w:rPr>
        <w:t>ú</w:t>
      </w:r>
      <w:r>
        <w:rPr>
          <w:color w:val="000000"/>
        </w:rPr>
        <w:lastRenderedPageBreak/>
        <w:t>blica 107, se acercó una persona con un yeso que le dijo “yo soy el buche”, aludiendo a Diego Enrique Barreda y que llamativamente Leal le ordenó abandonar el l</w:t>
      </w:r>
      <w:r>
        <w:rPr>
          <w:color w:val="000000"/>
        </w:rPr>
        <w:t>u</w:t>
      </w:r>
      <w:r>
        <w:rPr>
          <w:color w:val="000000"/>
        </w:rPr>
        <w:t>gar sin dejar ningún relevo, lo que le hizo sospechar, por cuanto allí había un auto de procedencia ilegal, que no buscaban re</w:t>
      </w:r>
      <w:r>
        <w:rPr>
          <w:color w:val="000000"/>
        </w:rPr>
        <w:t>a</w:t>
      </w:r>
      <w:r>
        <w:rPr>
          <w:color w:val="000000"/>
        </w:rPr>
        <w:t>lizar un procedimiento policial, sino que se intentó e</w:t>
      </w:r>
      <w:r>
        <w:rPr>
          <w:color w:val="000000"/>
        </w:rPr>
        <w:t>x</w:t>
      </w:r>
      <w:r>
        <w:rPr>
          <w:color w:val="000000"/>
        </w:rPr>
        <w:t>torsionar al dueño de la casa.</w:t>
      </w:r>
    </w:p>
    <w:p w:rsidR="00224567" w:rsidRDefault="00224567">
      <w:pPr>
        <w:widowControl w:val="0"/>
        <w:tabs>
          <w:tab w:val="left" w:pos="0"/>
        </w:tabs>
        <w:ind w:firstLine="2835"/>
        <w:rPr>
          <w:color w:val="000000"/>
        </w:rPr>
      </w:pPr>
      <w:r>
        <w:rPr>
          <w:color w:val="000000"/>
        </w:rPr>
        <w:t>Valoró el testimonio del galeno Rica</w:t>
      </w:r>
      <w:r>
        <w:rPr>
          <w:color w:val="000000"/>
        </w:rPr>
        <w:t>r</w:t>
      </w:r>
      <w:r>
        <w:rPr>
          <w:color w:val="000000"/>
        </w:rPr>
        <w:t>do Gómez quien negó su firma en el supuesto i</w:t>
      </w:r>
      <w:r>
        <w:rPr>
          <w:color w:val="000000"/>
        </w:rPr>
        <w:t>n</w:t>
      </w:r>
      <w:r>
        <w:rPr>
          <w:color w:val="000000"/>
        </w:rPr>
        <w:t>forme médico realizado a Hugo Antonio Pérez, circunstancia que fue c</w:t>
      </w:r>
      <w:r>
        <w:rPr>
          <w:color w:val="000000"/>
        </w:rPr>
        <w:t>o</w:t>
      </w:r>
      <w:r>
        <w:rPr>
          <w:color w:val="000000"/>
        </w:rPr>
        <w:t>rroborada por el peritaje caligráfico. Además, Gómez e</w:t>
      </w:r>
      <w:r>
        <w:rPr>
          <w:color w:val="000000"/>
        </w:rPr>
        <w:t>x</w:t>
      </w:r>
      <w:r>
        <w:rPr>
          <w:color w:val="000000"/>
        </w:rPr>
        <w:t>plicó que se enteró del tema cuando el hermano del imp</w:t>
      </w:r>
      <w:r>
        <w:rPr>
          <w:color w:val="000000"/>
        </w:rPr>
        <w:t>u</w:t>
      </w:r>
      <w:r>
        <w:rPr>
          <w:color w:val="000000"/>
        </w:rPr>
        <w:t>tado Rago, Daniel, lo llamó para anoticiarlo y “ver de que manera podían solucionarlo”.</w:t>
      </w:r>
    </w:p>
    <w:p w:rsidR="00224567" w:rsidRDefault="00224567">
      <w:pPr>
        <w:widowControl w:val="0"/>
        <w:tabs>
          <w:tab w:val="left" w:pos="0"/>
        </w:tabs>
        <w:ind w:firstLine="2835"/>
        <w:rPr>
          <w:color w:val="000000"/>
        </w:rPr>
      </w:pPr>
      <w:r>
        <w:rPr>
          <w:color w:val="000000"/>
        </w:rPr>
        <w:t>Señaló que la expoliación del barco  “Gonzalo” encontró sustento en la confesión de Juan Albe</w:t>
      </w:r>
      <w:r>
        <w:rPr>
          <w:color w:val="000000"/>
        </w:rPr>
        <w:t>r</w:t>
      </w:r>
      <w:r>
        <w:rPr>
          <w:color w:val="000000"/>
        </w:rPr>
        <w:t>to Bottegal, incorporada al debate por lectura, que adm</w:t>
      </w:r>
      <w:r>
        <w:rPr>
          <w:color w:val="000000"/>
        </w:rPr>
        <w:t>i</w:t>
      </w:r>
      <w:r>
        <w:rPr>
          <w:color w:val="000000"/>
        </w:rPr>
        <w:t>tió que Bareiro y Barreda lo pusi</w:t>
      </w:r>
      <w:r>
        <w:rPr>
          <w:color w:val="000000"/>
        </w:rPr>
        <w:t>e</w:t>
      </w:r>
      <w:r>
        <w:rPr>
          <w:color w:val="000000"/>
        </w:rPr>
        <w:t>ron al tanto de la fuga de Telleldín; que le propusieron que se reuniera con el último de los nombrados y le exigiera una d</w:t>
      </w:r>
      <w:r>
        <w:rPr>
          <w:color w:val="000000"/>
        </w:rPr>
        <w:t>e</w:t>
      </w:r>
      <w:r>
        <w:rPr>
          <w:color w:val="000000"/>
        </w:rPr>
        <w:t xml:space="preserve">terminada suma </w:t>
      </w:r>
      <w:r>
        <w:rPr>
          <w:color w:val="000000"/>
        </w:rPr>
        <w:lastRenderedPageBreak/>
        <w:t>de dinero que habría de repartirse entre todos los que i</w:t>
      </w:r>
      <w:r>
        <w:rPr>
          <w:color w:val="000000"/>
        </w:rPr>
        <w:t>n</w:t>
      </w:r>
      <w:r>
        <w:rPr>
          <w:color w:val="000000"/>
        </w:rPr>
        <w:t>tervinieron en la maniobra extorsiva; que en una confit</w:t>
      </w:r>
      <w:r>
        <w:rPr>
          <w:color w:val="000000"/>
        </w:rPr>
        <w:t>e</w:t>
      </w:r>
      <w:r>
        <w:rPr>
          <w:color w:val="000000"/>
        </w:rPr>
        <w:t>ría del barrio de Belgrano efectuó a Telleldín tal exige</w:t>
      </w:r>
      <w:r>
        <w:rPr>
          <w:color w:val="000000"/>
        </w:rPr>
        <w:t>n</w:t>
      </w:r>
      <w:r>
        <w:rPr>
          <w:color w:val="000000"/>
        </w:rPr>
        <w:t>cia, quien le propuso la entrega de una embarc</w:t>
      </w:r>
      <w:r>
        <w:rPr>
          <w:color w:val="000000"/>
        </w:rPr>
        <w:t>a</w:t>
      </w:r>
      <w:r>
        <w:rPr>
          <w:color w:val="000000"/>
        </w:rPr>
        <w:t>ción de su propiedad; que en virtud de ello, se presentó en la casa de Telleldín, donde una chica le entregó un m</w:t>
      </w:r>
      <w:r>
        <w:rPr>
          <w:color w:val="000000"/>
        </w:rPr>
        <w:t>a</w:t>
      </w:r>
      <w:r>
        <w:rPr>
          <w:color w:val="000000"/>
        </w:rPr>
        <w:t>letín con el título de propiedad del crucero y que, finalmente, el no</w:t>
      </w:r>
      <w:r>
        <w:rPr>
          <w:color w:val="000000"/>
        </w:rPr>
        <w:t>m</w:t>
      </w:r>
      <w:r>
        <w:rPr>
          <w:color w:val="000000"/>
        </w:rPr>
        <w:t>brado firmó el boleto de compraventa para su transfere</w:t>
      </w:r>
      <w:r>
        <w:rPr>
          <w:color w:val="000000"/>
        </w:rPr>
        <w:t>n</w:t>
      </w:r>
      <w:r>
        <w:rPr>
          <w:color w:val="000000"/>
        </w:rPr>
        <w:t>cia.</w:t>
      </w:r>
    </w:p>
    <w:p w:rsidR="00224567" w:rsidRDefault="00224567">
      <w:pPr>
        <w:widowControl w:val="0"/>
        <w:tabs>
          <w:tab w:val="left" w:pos="0"/>
        </w:tabs>
        <w:ind w:firstLine="2835"/>
        <w:rPr>
          <w:color w:val="000000"/>
        </w:rPr>
      </w:pPr>
      <w:r>
        <w:rPr>
          <w:color w:val="000000"/>
        </w:rPr>
        <w:t>Además, Bottegal confesó que en dos oportunidades concurrió a la guardería náutica donde est</w:t>
      </w:r>
      <w:r>
        <w:rPr>
          <w:color w:val="000000"/>
        </w:rPr>
        <w:t>a</w:t>
      </w:r>
      <w:r>
        <w:rPr>
          <w:color w:val="000000"/>
        </w:rPr>
        <w:t>ba la embarcación y que en una de ellas lo hizo acompañado por Bareiro y Barreda.</w:t>
      </w:r>
    </w:p>
    <w:p w:rsidR="00224567" w:rsidRDefault="00224567">
      <w:pPr>
        <w:widowControl w:val="0"/>
        <w:tabs>
          <w:tab w:val="left" w:pos="0"/>
        </w:tabs>
        <w:ind w:firstLine="2835"/>
        <w:rPr>
          <w:color w:val="000000"/>
        </w:rPr>
      </w:pPr>
      <w:r>
        <w:rPr>
          <w:color w:val="000000"/>
        </w:rPr>
        <w:t>Dicha versión se encuentra avalada, señaló el fiscal, por los testimonios de Jesica y Ant</w:t>
      </w:r>
      <w:r>
        <w:rPr>
          <w:color w:val="000000"/>
        </w:rPr>
        <w:t>o</w:t>
      </w:r>
      <w:r>
        <w:rPr>
          <w:color w:val="000000"/>
        </w:rPr>
        <w:t>nio Schiavone, quienes corroboraron la entrega del m</w:t>
      </w:r>
      <w:r>
        <w:rPr>
          <w:color w:val="000000"/>
        </w:rPr>
        <w:t>a</w:t>
      </w:r>
      <w:r>
        <w:rPr>
          <w:color w:val="000000"/>
        </w:rPr>
        <w:t>letín con la documentación del barco y por los dichos de Mario Ul</w:t>
      </w:r>
      <w:r>
        <w:rPr>
          <w:color w:val="000000"/>
        </w:rPr>
        <w:t>i</w:t>
      </w:r>
      <w:r>
        <w:rPr>
          <w:color w:val="000000"/>
        </w:rPr>
        <w:t>ses Colman, encargado de la gua</w:t>
      </w:r>
      <w:r>
        <w:rPr>
          <w:color w:val="000000"/>
        </w:rPr>
        <w:t>r</w:t>
      </w:r>
      <w:r>
        <w:rPr>
          <w:color w:val="000000"/>
        </w:rPr>
        <w:t>dería, quien confirmó que Telleldín guardaba allí una embarcación y que el abogado en cuestión se pr</w:t>
      </w:r>
      <w:r>
        <w:rPr>
          <w:color w:val="000000"/>
        </w:rPr>
        <w:t>e</w:t>
      </w:r>
      <w:r>
        <w:rPr>
          <w:color w:val="000000"/>
        </w:rPr>
        <w:t xml:space="preserve">sentó con un boleto de compra venta para retirarla, lo que le fue denegado porque la situación le </w:t>
      </w:r>
      <w:r>
        <w:rPr>
          <w:color w:val="000000"/>
        </w:rPr>
        <w:lastRenderedPageBreak/>
        <w:t>generó serias sosp</w:t>
      </w:r>
      <w:r>
        <w:rPr>
          <w:color w:val="000000"/>
        </w:rPr>
        <w:t>e</w:t>
      </w:r>
      <w:r>
        <w:rPr>
          <w:color w:val="000000"/>
        </w:rPr>
        <w:t>chas.</w:t>
      </w:r>
    </w:p>
    <w:p w:rsidR="00224567" w:rsidRDefault="00224567">
      <w:pPr>
        <w:widowControl w:val="0"/>
        <w:tabs>
          <w:tab w:val="left" w:pos="0"/>
        </w:tabs>
        <w:ind w:firstLine="2835"/>
        <w:rPr>
          <w:color w:val="000000"/>
        </w:rPr>
      </w:pPr>
      <w:r>
        <w:rPr>
          <w:color w:val="000000"/>
        </w:rPr>
        <w:t>El testimonio de Colman, expresó, se confirmó, además, por los dichos de Eduardo Aguilera, p</w:t>
      </w:r>
      <w:r>
        <w:rPr>
          <w:color w:val="000000"/>
        </w:rPr>
        <w:t>o</w:t>
      </w:r>
      <w:r>
        <w:rPr>
          <w:color w:val="000000"/>
        </w:rPr>
        <w:t>licía del D.U.I.A., quien al entrevistar al encargado de la guardería, éste le refirió las mismas circunsta</w:t>
      </w:r>
      <w:r>
        <w:rPr>
          <w:color w:val="000000"/>
        </w:rPr>
        <w:t>n</w:t>
      </w:r>
      <w:r>
        <w:rPr>
          <w:color w:val="000000"/>
        </w:rPr>
        <w:t xml:space="preserve">cias. </w:t>
      </w:r>
    </w:p>
    <w:p w:rsidR="00224567" w:rsidRDefault="00224567">
      <w:pPr>
        <w:widowControl w:val="0"/>
        <w:tabs>
          <w:tab w:val="left" w:pos="0"/>
        </w:tabs>
        <w:ind w:firstLine="2835"/>
        <w:rPr>
          <w:color w:val="000000"/>
        </w:rPr>
      </w:pPr>
      <w:r>
        <w:rPr>
          <w:color w:val="000000"/>
        </w:rPr>
        <w:t>Al allanarse el estudio jurídico del letrado, añadió el acusador, se secuestró el mencionado boleto de compra venta de la embarc</w:t>
      </w:r>
      <w:r>
        <w:rPr>
          <w:color w:val="000000"/>
        </w:rPr>
        <w:t>a</w:t>
      </w:r>
      <w:r>
        <w:rPr>
          <w:color w:val="000000"/>
        </w:rPr>
        <w:t>ción.</w:t>
      </w:r>
    </w:p>
    <w:p w:rsidR="00224567" w:rsidRDefault="00224567">
      <w:pPr>
        <w:widowControl w:val="0"/>
        <w:tabs>
          <w:tab w:val="left" w:pos="0"/>
        </w:tabs>
        <w:ind w:firstLine="2835"/>
        <w:rPr>
          <w:color w:val="000000"/>
        </w:rPr>
      </w:pPr>
      <w:r>
        <w:rPr>
          <w:color w:val="000000"/>
        </w:rPr>
        <w:t>Mencionó, por último, los test</w:t>
      </w:r>
      <w:r>
        <w:rPr>
          <w:color w:val="000000"/>
        </w:rPr>
        <w:t>i</w:t>
      </w:r>
      <w:r>
        <w:rPr>
          <w:color w:val="000000"/>
        </w:rPr>
        <w:t>monios de Gabriela Schirripa, novia de Barreda, y de Virginia M</w:t>
      </w:r>
      <w:r>
        <w:rPr>
          <w:color w:val="000000"/>
        </w:rPr>
        <w:t>o</w:t>
      </w:r>
      <w:r>
        <w:rPr>
          <w:color w:val="000000"/>
        </w:rPr>
        <w:t>rri, pareja de Bareiro, quienes confirmaron la rel</w:t>
      </w:r>
      <w:r>
        <w:rPr>
          <w:color w:val="000000"/>
        </w:rPr>
        <w:t>a</w:t>
      </w:r>
      <w:r>
        <w:rPr>
          <w:color w:val="000000"/>
        </w:rPr>
        <w:t>ción de conocimiento entre los nombrados y el abogado Bottegal. Agregó la última de las nombradas los pormenores de la e</w:t>
      </w:r>
      <w:r>
        <w:rPr>
          <w:color w:val="000000"/>
        </w:rPr>
        <w:t>n</w:t>
      </w:r>
      <w:r>
        <w:rPr>
          <w:color w:val="000000"/>
        </w:rPr>
        <w:t>trega del barco y que en una oportunidad, por pedido de Barreda y Bareiro, concurrió al edificio Guardacostas a tramitar un libre deuda de la embarcación, cuya document</w:t>
      </w:r>
      <w:r>
        <w:rPr>
          <w:color w:val="000000"/>
        </w:rPr>
        <w:t>a</w:t>
      </w:r>
      <w:r>
        <w:rPr>
          <w:color w:val="000000"/>
        </w:rPr>
        <w:t>ción entregó al abogado Juan Albe</w:t>
      </w:r>
      <w:r>
        <w:rPr>
          <w:color w:val="000000"/>
        </w:rPr>
        <w:t>r</w:t>
      </w:r>
      <w:r>
        <w:rPr>
          <w:color w:val="000000"/>
        </w:rPr>
        <w:t>to Bottegal.</w:t>
      </w:r>
    </w:p>
    <w:p w:rsidR="00224567" w:rsidRDefault="00224567">
      <w:pPr>
        <w:widowControl w:val="0"/>
        <w:tabs>
          <w:tab w:val="left" w:pos="0"/>
        </w:tabs>
        <w:ind w:firstLine="2835"/>
        <w:rPr>
          <w:color w:val="000000"/>
        </w:rPr>
      </w:pPr>
      <w:r>
        <w:rPr>
          <w:color w:val="000000"/>
        </w:rPr>
        <w:t xml:space="preserve">En punto a la participación de los imputados en el hecho descripto, el fiscal sostuvo que Jorge Horacio Rago y Anastasio Ireneo Leal fueron dos de </w:t>
      </w:r>
      <w:r>
        <w:rPr>
          <w:color w:val="000000"/>
        </w:rPr>
        <w:lastRenderedPageBreak/>
        <w:t>las personas que dispusieron llevar adelante el operativo de detención de Carlos Alberto Telleldín para extorsiona</w:t>
      </w:r>
      <w:r>
        <w:rPr>
          <w:color w:val="000000"/>
        </w:rPr>
        <w:t>r</w:t>
      </w:r>
      <w:r>
        <w:rPr>
          <w:color w:val="000000"/>
        </w:rPr>
        <w:t>lo y, ante su fuga, decidieron detener a Hugo Antonio P</w:t>
      </w:r>
      <w:r>
        <w:rPr>
          <w:color w:val="000000"/>
        </w:rPr>
        <w:t>é</w:t>
      </w:r>
      <w:r>
        <w:rPr>
          <w:color w:val="000000"/>
        </w:rPr>
        <w:t>rez, lo que ocurrió varias horas antes de la asentada en el r</w:t>
      </w:r>
      <w:r>
        <w:rPr>
          <w:color w:val="000000"/>
        </w:rPr>
        <w:t>e</w:t>
      </w:r>
      <w:r>
        <w:rPr>
          <w:color w:val="000000"/>
        </w:rPr>
        <w:t>gistro de la brigada. Esto es, a las 22.00, conforme surgió del citado testimonio de Dubs y de los dichos de Ana María Boragni, que sostuvo que Pérez le comentó que fue detenido alrededor de ese horario.</w:t>
      </w:r>
    </w:p>
    <w:p w:rsidR="00224567" w:rsidRDefault="00224567">
      <w:pPr>
        <w:widowControl w:val="0"/>
        <w:tabs>
          <w:tab w:val="left" w:pos="0"/>
        </w:tabs>
        <w:ind w:firstLine="2835"/>
        <w:rPr>
          <w:color w:val="000000"/>
        </w:rPr>
      </w:pPr>
      <w:r>
        <w:rPr>
          <w:color w:val="000000"/>
        </w:rPr>
        <w:t>Despeja toda duda acerca de ese extr</w:t>
      </w:r>
      <w:r>
        <w:rPr>
          <w:color w:val="000000"/>
        </w:rPr>
        <w:t>e</w:t>
      </w:r>
      <w:r>
        <w:rPr>
          <w:color w:val="000000"/>
        </w:rPr>
        <w:t>mo, a juicio del fiscal, el cruce telefónico del 14 de j</w:t>
      </w:r>
      <w:r>
        <w:rPr>
          <w:color w:val="000000"/>
        </w:rPr>
        <w:t>u</w:t>
      </w:r>
      <w:r>
        <w:rPr>
          <w:color w:val="000000"/>
        </w:rPr>
        <w:t xml:space="preserve">lio de </w:t>
      </w:r>
      <w:smartTag w:uri="urn:schemas-microsoft-com:office:smarttags" w:element="metricconverter">
        <w:smartTagPr>
          <w:attr w:name="ProductID" w:val="1994, a"/>
        </w:smartTagPr>
        <w:r>
          <w:rPr>
            <w:color w:val="000000"/>
          </w:rPr>
          <w:t>1994, a</w:t>
        </w:r>
      </w:smartTag>
      <w:r>
        <w:rPr>
          <w:color w:val="000000"/>
        </w:rPr>
        <w:t xml:space="preserve"> las 21.55, entre el cel</w:t>
      </w:r>
      <w:r>
        <w:rPr>
          <w:color w:val="000000"/>
        </w:rPr>
        <w:t>u</w:t>
      </w:r>
      <w:r>
        <w:rPr>
          <w:color w:val="000000"/>
        </w:rPr>
        <w:t xml:space="preserve">lar de Leal -440-2132- y el teléfono de </w:t>
      </w:r>
      <w:smartTag w:uri="urn:schemas-microsoft-com:office:smarttags" w:element="PersonName">
        <w:smartTagPr>
          <w:attr w:name="ProductID" w:val="la Brigada"/>
        </w:smartTagPr>
        <w:r>
          <w:rPr>
            <w:color w:val="000000"/>
          </w:rPr>
          <w:t>la Brigada</w:t>
        </w:r>
      </w:smartTag>
      <w:r>
        <w:rPr>
          <w:color w:val="000000"/>
        </w:rPr>
        <w:t xml:space="preserve"> de Investigaciones de Vicente López -742-6333- (fs. 39.510). Además, los dichos de Leal, en cuanto admitió haberse comunicado con Jorge Horacio Rago, también prueban la detención de Pérez fue anoticiada por medio de esa llamada.</w:t>
      </w:r>
    </w:p>
    <w:p w:rsidR="00224567" w:rsidRDefault="00224567">
      <w:pPr>
        <w:widowControl w:val="0"/>
        <w:tabs>
          <w:tab w:val="left" w:pos="0"/>
        </w:tabs>
        <w:ind w:firstLine="2835"/>
        <w:rPr>
          <w:color w:val="000000"/>
        </w:rPr>
      </w:pPr>
      <w:r>
        <w:rPr>
          <w:color w:val="000000"/>
        </w:rPr>
        <w:t>Si bien del citado celular surgió otra comunicación a la dependencia policial a las 3.51 del día siguiente, el horario en que fue ase</w:t>
      </w:r>
      <w:r>
        <w:rPr>
          <w:color w:val="000000"/>
        </w:rPr>
        <w:t>n</w:t>
      </w:r>
      <w:r>
        <w:rPr>
          <w:color w:val="000000"/>
        </w:rPr>
        <w:t>tada la detención de Hugo Antonio Pérez en los r</w:t>
      </w:r>
      <w:r>
        <w:rPr>
          <w:color w:val="000000"/>
        </w:rPr>
        <w:t>e</w:t>
      </w:r>
      <w:r>
        <w:rPr>
          <w:color w:val="000000"/>
        </w:rPr>
        <w:t xml:space="preserve">gistros de la brigada –1.30-, autoriza a descartar que ésa fuera la comunicación que </w:t>
      </w:r>
      <w:r>
        <w:rPr>
          <w:color w:val="000000"/>
        </w:rPr>
        <w:lastRenderedPageBreak/>
        <w:t>Leal admitió haber efectuado a Rago, argumentó el fi</w:t>
      </w:r>
      <w:r>
        <w:rPr>
          <w:color w:val="000000"/>
        </w:rPr>
        <w:t>s</w:t>
      </w:r>
      <w:r>
        <w:rPr>
          <w:color w:val="000000"/>
        </w:rPr>
        <w:t>cal.</w:t>
      </w:r>
    </w:p>
    <w:p w:rsidR="00224567" w:rsidRDefault="00224567">
      <w:pPr>
        <w:widowControl w:val="0"/>
        <w:tabs>
          <w:tab w:val="left" w:pos="0"/>
        </w:tabs>
        <w:ind w:firstLine="2835"/>
        <w:rPr>
          <w:color w:val="000000"/>
        </w:rPr>
      </w:pPr>
      <w:r>
        <w:rPr>
          <w:color w:val="000000"/>
        </w:rPr>
        <w:t>Por su parte, sostuvo, fue Diego Enr</w:t>
      </w:r>
      <w:r>
        <w:rPr>
          <w:color w:val="000000"/>
        </w:rPr>
        <w:t>i</w:t>
      </w:r>
      <w:r>
        <w:rPr>
          <w:color w:val="000000"/>
        </w:rPr>
        <w:t>que Barreda quien proporcionó los datos para llevar ad</w:t>
      </w:r>
      <w:r>
        <w:rPr>
          <w:color w:val="000000"/>
        </w:rPr>
        <w:t>e</w:t>
      </w:r>
      <w:r>
        <w:rPr>
          <w:color w:val="000000"/>
        </w:rPr>
        <w:t>lante la maniobra extorsiva, estuvo enyesado contr</w:t>
      </w:r>
      <w:r>
        <w:rPr>
          <w:color w:val="000000"/>
        </w:rPr>
        <w:t>o</w:t>
      </w:r>
      <w:r>
        <w:rPr>
          <w:color w:val="000000"/>
        </w:rPr>
        <w:t>lando y verificando cómo se llevaba adelante el procedimiento, junto con Mario Norberto B</w:t>
      </w:r>
      <w:r>
        <w:rPr>
          <w:color w:val="000000"/>
        </w:rPr>
        <w:t>a</w:t>
      </w:r>
      <w:r>
        <w:rPr>
          <w:color w:val="000000"/>
        </w:rPr>
        <w:t xml:space="preserve">reiro estuvo al tanto de todo, presentó e intervino en los contactos entre Telleldín y Bottegal e indicó a éste último que podía solicitar USD 50.000. </w:t>
      </w:r>
    </w:p>
    <w:p w:rsidR="00224567" w:rsidRDefault="00224567">
      <w:pPr>
        <w:widowControl w:val="0"/>
        <w:tabs>
          <w:tab w:val="left" w:pos="0"/>
        </w:tabs>
        <w:ind w:firstLine="2835"/>
        <w:rPr>
          <w:color w:val="000000"/>
        </w:rPr>
      </w:pPr>
      <w:r>
        <w:rPr>
          <w:color w:val="000000"/>
        </w:rPr>
        <w:t>Resaltó que Bareiro admitió lisa y llanamente en su declaración incorporada por le</w:t>
      </w:r>
      <w:r>
        <w:rPr>
          <w:color w:val="000000"/>
        </w:rPr>
        <w:t>c</w:t>
      </w:r>
      <w:r>
        <w:rPr>
          <w:color w:val="000000"/>
        </w:rPr>
        <w:t>tura, que la finalidad perseguida era llevar a cabo una maniobra e</w:t>
      </w:r>
      <w:r>
        <w:rPr>
          <w:color w:val="000000"/>
        </w:rPr>
        <w:t>x</w:t>
      </w:r>
      <w:r>
        <w:rPr>
          <w:color w:val="000000"/>
        </w:rPr>
        <w:t>torsiva, y que García y Bottegal atribuyeron a Bareiro una decisiva participación en el armado de la trama destinada a extorsionar a Telleldín y repartir sus bienes entre Leal,  Rago y Barreda.</w:t>
      </w:r>
    </w:p>
    <w:p w:rsidR="00224567" w:rsidRDefault="00224567">
      <w:pPr>
        <w:widowControl w:val="0"/>
        <w:tabs>
          <w:tab w:val="left" w:pos="0"/>
        </w:tabs>
        <w:ind w:firstLine="2835"/>
        <w:rPr>
          <w:color w:val="000000"/>
        </w:rPr>
      </w:pPr>
      <w:r>
        <w:rPr>
          <w:color w:val="000000"/>
        </w:rPr>
        <w:t>Afirmó que Jorge Horacio Rago, además de participar en el secuestro extorsivo, labró el sum</w:t>
      </w:r>
      <w:r>
        <w:rPr>
          <w:color w:val="000000"/>
        </w:rPr>
        <w:t>a</w:t>
      </w:r>
      <w:r>
        <w:rPr>
          <w:color w:val="000000"/>
        </w:rPr>
        <w:t>rio por averiguación  de antecedentes con el propósito de e</w:t>
      </w:r>
      <w:r>
        <w:rPr>
          <w:color w:val="000000"/>
        </w:rPr>
        <w:t>n</w:t>
      </w:r>
      <w:r>
        <w:rPr>
          <w:color w:val="000000"/>
        </w:rPr>
        <w:t>cubrir el secuestro de Hugo Ant</w:t>
      </w:r>
      <w:r>
        <w:rPr>
          <w:color w:val="000000"/>
        </w:rPr>
        <w:t>o</w:t>
      </w:r>
      <w:r>
        <w:rPr>
          <w:color w:val="000000"/>
        </w:rPr>
        <w:t xml:space="preserve">nio Pérez e hizo insertar </w:t>
      </w:r>
      <w:r>
        <w:rPr>
          <w:color w:val="000000"/>
        </w:rPr>
        <w:lastRenderedPageBreak/>
        <w:t>aseveraciones falsas en la declaración testimonial prest</w:t>
      </w:r>
      <w:r>
        <w:rPr>
          <w:color w:val="000000"/>
        </w:rPr>
        <w:t>a</w:t>
      </w:r>
      <w:r>
        <w:rPr>
          <w:color w:val="000000"/>
        </w:rPr>
        <w:t>da por Anastasio Ir</w:t>
      </w:r>
      <w:r>
        <w:rPr>
          <w:color w:val="000000"/>
        </w:rPr>
        <w:t>e</w:t>
      </w:r>
      <w:r>
        <w:rPr>
          <w:color w:val="000000"/>
        </w:rPr>
        <w:t>neo Leal,  obrante a fs. 37.128.</w:t>
      </w:r>
    </w:p>
    <w:p w:rsidR="00224567" w:rsidRDefault="00224567">
      <w:pPr>
        <w:widowControl w:val="0"/>
        <w:tabs>
          <w:tab w:val="left" w:pos="0"/>
        </w:tabs>
        <w:ind w:firstLine="2835"/>
        <w:rPr>
          <w:color w:val="000000"/>
        </w:rPr>
      </w:pPr>
      <w:r>
        <w:rPr>
          <w:color w:val="000000"/>
        </w:rPr>
        <w:t>En dicha declaración, vertida el mi</w:t>
      </w:r>
      <w:r>
        <w:rPr>
          <w:color w:val="000000"/>
        </w:rPr>
        <w:t>s</w:t>
      </w:r>
      <w:r>
        <w:rPr>
          <w:color w:val="000000"/>
        </w:rPr>
        <w:t>mo día del procedimiento –14 de julio de 1994-, el nombrado afirmó que había tomado conocimiento de la existencia de Telleldín, quien tenía un vehículo “doblado”.</w:t>
      </w:r>
    </w:p>
    <w:p w:rsidR="00224567" w:rsidRDefault="00224567">
      <w:pPr>
        <w:widowControl w:val="0"/>
        <w:tabs>
          <w:tab w:val="left" w:pos="0"/>
        </w:tabs>
        <w:ind w:firstLine="2835"/>
        <w:rPr>
          <w:color w:val="000000"/>
        </w:rPr>
      </w:pPr>
      <w:r>
        <w:rPr>
          <w:color w:val="000000"/>
        </w:rPr>
        <w:t>Entendió que Rago sabía de la fals</w:t>
      </w:r>
      <w:r>
        <w:rPr>
          <w:color w:val="000000"/>
        </w:rPr>
        <w:t>e</w:t>
      </w:r>
      <w:r>
        <w:rPr>
          <w:color w:val="000000"/>
        </w:rPr>
        <w:t>dad de la versión aportada por Leal, puesto que en su declar</w:t>
      </w:r>
      <w:r>
        <w:rPr>
          <w:color w:val="000000"/>
        </w:rPr>
        <w:t>a</w:t>
      </w:r>
      <w:r>
        <w:rPr>
          <w:color w:val="000000"/>
        </w:rPr>
        <w:t>ción indagatoria admitió que los datos del vehículo adu</w:t>
      </w:r>
      <w:r>
        <w:rPr>
          <w:color w:val="000000"/>
        </w:rPr>
        <w:t>l</w:t>
      </w:r>
      <w:r>
        <w:rPr>
          <w:color w:val="000000"/>
        </w:rPr>
        <w:t>terado no habían sido averiguados por aquél, sino que h</w:t>
      </w:r>
      <w:r>
        <w:rPr>
          <w:color w:val="000000"/>
        </w:rPr>
        <w:t>a</w:t>
      </w:r>
      <w:r>
        <w:rPr>
          <w:color w:val="000000"/>
        </w:rPr>
        <w:t>bían sido aportados por Mario Norberto B</w:t>
      </w:r>
      <w:r>
        <w:rPr>
          <w:color w:val="000000"/>
        </w:rPr>
        <w:t>a</w:t>
      </w:r>
      <w:r>
        <w:rPr>
          <w:color w:val="000000"/>
        </w:rPr>
        <w:t>reiro desde hacía  varios días antes del proced</w:t>
      </w:r>
      <w:r>
        <w:rPr>
          <w:color w:val="000000"/>
        </w:rPr>
        <w:t>i</w:t>
      </w:r>
      <w:r>
        <w:rPr>
          <w:color w:val="000000"/>
        </w:rPr>
        <w:t>miento.</w:t>
      </w:r>
    </w:p>
    <w:p w:rsidR="00224567" w:rsidRDefault="00224567">
      <w:pPr>
        <w:widowControl w:val="0"/>
        <w:tabs>
          <w:tab w:val="left" w:pos="0"/>
        </w:tabs>
        <w:ind w:firstLine="2835"/>
        <w:rPr>
          <w:color w:val="000000"/>
        </w:rPr>
      </w:pPr>
      <w:r>
        <w:rPr>
          <w:color w:val="000000"/>
        </w:rPr>
        <w:t>En igual sentido, agregó el fi</w:t>
      </w:r>
      <w:r>
        <w:rPr>
          <w:color w:val="000000"/>
        </w:rPr>
        <w:t>s</w:t>
      </w:r>
      <w:r>
        <w:rPr>
          <w:color w:val="000000"/>
        </w:rPr>
        <w:t>cal, de los dichos de Leal surgía que se detectó a través de t</w:t>
      </w:r>
      <w:r>
        <w:rPr>
          <w:color w:val="000000"/>
        </w:rPr>
        <w:t>a</w:t>
      </w:r>
      <w:r>
        <w:rPr>
          <w:color w:val="000000"/>
        </w:rPr>
        <w:t>reas de inteligencia realizadas en la calle República 107, la presencia de un vehículo Renault 19 adulterado, ci</w:t>
      </w:r>
      <w:r>
        <w:rPr>
          <w:color w:val="000000"/>
        </w:rPr>
        <w:t>r</w:t>
      </w:r>
      <w:r>
        <w:rPr>
          <w:color w:val="000000"/>
        </w:rPr>
        <w:t>cunstancia que Rago conocía con anterioridad –según su d</w:t>
      </w:r>
      <w:r>
        <w:rPr>
          <w:color w:val="000000"/>
        </w:rPr>
        <w:t>e</w:t>
      </w:r>
      <w:r>
        <w:rPr>
          <w:color w:val="000000"/>
        </w:rPr>
        <w:t>claración indagatoria- por cuanto ese dato había sido aportado por Bareiro bastantes días a</w:t>
      </w:r>
      <w:r>
        <w:rPr>
          <w:color w:val="000000"/>
        </w:rPr>
        <w:t>n</w:t>
      </w:r>
      <w:r>
        <w:rPr>
          <w:color w:val="000000"/>
        </w:rPr>
        <w:t>tes.</w:t>
      </w:r>
    </w:p>
    <w:p w:rsidR="00224567" w:rsidRDefault="00224567">
      <w:pPr>
        <w:widowControl w:val="0"/>
        <w:tabs>
          <w:tab w:val="left" w:pos="0"/>
        </w:tabs>
        <w:ind w:firstLine="2835"/>
        <w:rPr>
          <w:color w:val="000000"/>
        </w:rPr>
      </w:pPr>
      <w:r>
        <w:rPr>
          <w:color w:val="000000"/>
        </w:rPr>
        <w:t>Anastasio Ireneo Leal admitió que los datos para realizar el procedimiento habían sido facilit</w:t>
      </w:r>
      <w:r>
        <w:rPr>
          <w:color w:val="000000"/>
        </w:rPr>
        <w:t>a</w:t>
      </w:r>
      <w:r>
        <w:rPr>
          <w:color w:val="000000"/>
        </w:rPr>
        <w:lastRenderedPageBreak/>
        <w:t>dos por Mario Norberto Bareiro y que, al transm</w:t>
      </w:r>
      <w:r>
        <w:rPr>
          <w:color w:val="000000"/>
        </w:rPr>
        <w:t>i</w:t>
      </w:r>
      <w:r>
        <w:rPr>
          <w:color w:val="000000"/>
        </w:rPr>
        <w:t>tírselos a Jorge Horacio Rago, éste ordenó que fuera a marcar la c</w:t>
      </w:r>
      <w:r>
        <w:rPr>
          <w:color w:val="000000"/>
        </w:rPr>
        <w:t>a</w:t>
      </w:r>
      <w:r>
        <w:rPr>
          <w:color w:val="000000"/>
        </w:rPr>
        <w:t>sa. Además, el imputado reconoció que días antes del pr</w:t>
      </w:r>
      <w:r>
        <w:rPr>
          <w:color w:val="000000"/>
        </w:rPr>
        <w:t>o</w:t>
      </w:r>
      <w:r>
        <w:rPr>
          <w:color w:val="000000"/>
        </w:rPr>
        <w:t>cedimiento, Bareiro llamó a la casa de R</w:t>
      </w:r>
      <w:r>
        <w:rPr>
          <w:color w:val="000000"/>
        </w:rPr>
        <w:t>e</w:t>
      </w:r>
      <w:r>
        <w:rPr>
          <w:color w:val="000000"/>
        </w:rPr>
        <w:t xml:space="preserve">pública 107 para cerciorar si Telleldín aún tenía </w:t>
      </w:r>
      <w:smartTag w:uri="urn:schemas-microsoft-com:office:smarttags" w:element="PersonName">
        <w:smartTagPr>
          <w:attr w:name="ProductID" w:val="la Trafic"/>
        </w:smartTagPr>
        <w:r>
          <w:rPr>
            <w:color w:val="000000"/>
          </w:rPr>
          <w:t>la Trafic</w:t>
        </w:r>
      </w:smartTag>
      <w:r>
        <w:rPr>
          <w:color w:val="000000"/>
        </w:rPr>
        <w:t>, obteniendo c</w:t>
      </w:r>
      <w:r>
        <w:rPr>
          <w:color w:val="000000"/>
        </w:rPr>
        <w:t>o</w:t>
      </w:r>
      <w:r>
        <w:rPr>
          <w:color w:val="000000"/>
        </w:rPr>
        <w:t>mo r</w:t>
      </w:r>
      <w:r>
        <w:rPr>
          <w:color w:val="000000"/>
        </w:rPr>
        <w:t>e</w:t>
      </w:r>
      <w:r>
        <w:rPr>
          <w:color w:val="000000"/>
        </w:rPr>
        <w:t>sultado que la había vendido. No obstante ello, dijo el fiscal, decidieron realizar el procedimie</w:t>
      </w:r>
      <w:r>
        <w:rPr>
          <w:color w:val="000000"/>
        </w:rPr>
        <w:t>n</w:t>
      </w:r>
      <w:r>
        <w:rPr>
          <w:color w:val="000000"/>
        </w:rPr>
        <w:t>to.</w:t>
      </w:r>
    </w:p>
    <w:p w:rsidR="00224567" w:rsidRDefault="00224567">
      <w:pPr>
        <w:widowControl w:val="0"/>
        <w:tabs>
          <w:tab w:val="left" w:pos="0"/>
        </w:tabs>
        <w:ind w:firstLine="2835"/>
        <w:rPr>
          <w:color w:val="000000"/>
        </w:rPr>
      </w:pPr>
      <w:r>
        <w:rPr>
          <w:color w:val="000000"/>
        </w:rPr>
        <w:t>Tampoco pudo explicar Leal las tres llamadas antes me</w:t>
      </w:r>
      <w:r>
        <w:rPr>
          <w:color w:val="000000"/>
        </w:rPr>
        <w:t>n</w:t>
      </w:r>
      <w:r>
        <w:rPr>
          <w:color w:val="000000"/>
        </w:rPr>
        <w:t>cionadas del 27 de julio de 1994, ni el motivo por el cual no dispuso la captura de Carlos Alberto Telleldín cuando estaba individu</w:t>
      </w:r>
      <w:r>
        <w:rPr>
          <w:color w:val="000000"/>
        </w:rPr>
        <w:t>a</w:t>
      </w:r>
      <w:r>
        <w:rPr>
          <w:color w:val="000000"/>
        </w:rPr>
        <w:t>lizado.</w:t>
      </w:r>
    </w:p>
    <w:p w:rsidR="00224567" w:rsidRDefault="00224567">
      <w:pPr>
        <w:widowControl w:val="0"/>
        <w:tabs>
          <w:tab w:val="left" w:pos="0"/>
        </w:tabs>
        <w:ind w:firstLine="2835"/>
        <w:rPr>
          <w:color w:val="000000"/>
        </w:rPr>
      </w:pPr>
      <w:r>
        <w:rPr>
          <w:color w:val="000000"/>
        </w:rPr>
        <w:t>El fiscal argumentó que Bareiro se e</w:t>
      </w:r>
      <w:r>
        <w:rPr>
          <w:color w:val="000000"/>
        </w:rPr>
        <w:t>n</w:t>
      </w:r>
      <w:r>
        <w:rPr>
          <w:color w:val="000000"/>
        </w:rPr>
        <w:t>teró por Barreda de la actividad ilícita que desplegaba Telleldín y que aquél se lo hizo saber a Leal, conforme sus dichos indagatorios. Además, Bareiro admitió que la finalidad de esa información era utilizarla en provecho propio para obtener un rédito económico y repartirlo entre Rago, Leal, Barreda y él. Indicó, por otro lado, que B</w:t>
      </w:r>
      <w:r>
        <w:rPr>
          <w:color w:val="000000"/>
        </w:rPr>
        <w:t>a</w:t>
      </w:r>
      <w:r>
        <w:rPr>
          <w:color w:val="000000"/>
        </w:rPr>
        <w:t>reiro i</w:t>
      </w:r>
      <w:r>
        <w:rPr>
          <w:color w:val="000000"/>
        </w:rPr>
        <w:t>n</w:t>
      </w:r>
      <w:r>
        <w:rPr>
          <w:color w:val="000000"/>
        </w:rPr>
        <w:t>tervino en la presentación de Bottegal y Telleldín con el objeto de concretar la ex</w:t>
      </w:r>
      <w:r>
        <w:rPr>
          <w:color w:val="000000"/>
        </w:rPr>
        <w:t>i</w:t>
      </w:r>
      <w:r>
        <w:rPr>
          <w:color w:val="000000"/>
        </w:rPr>
        <w:t>gencia dineraria.</w:t>
      </w:r>
    </w:p>
    <w:p w:rsidR="00224567" w:rsidRDefault="00224567">
      <w:pPr>
        <w:widowControl w:val="0"/>
        <w:tabs>
          <w:tab w:val="left" w:pos="0"/>
        </w:tabs>
        <w:ind w:firstLine="2835"/>
        <w:rPr>
          <w:color w:val="000000"/>
        </w:rPr>
      </w:pPr>
      <w:r>
        <w:rPr>
          <w:color w:val="000000"/>
        </w:rPr>
        <w:lastRenderedPageBreak/>
        <w:t>Jorge Horacio Rago, por su parte, d</w:t>
      </w:r>
      <w:r>
        <w:rPr>
          <w:color w:val="000000"/>
        </w:rPr>
        <w:t>i</w:t>
      </w:r>
      <w:r>
        <w:rPr>
          <w:color w:val="000000"/>
        </w:rPr>
        <w:t>jo que autorizó a Leal a realizar tareas de intelige</w:t>
      </w:r>
      <w:r>
        <w:rPr>
          <w:color w:val="000000"/>
        </w:rPr>
        <w:t>n</w:t>
      </w:r>
      <w:r>
        <w:rPr>
          <w:color w:val="000000"/>
        </w:rPr>
        <w:t>cia para corroborar la información aportada por Bareiro. Sin emba</w:t>
      </w:r>
      <w:r>
        <w:rPr>
          <w:color w:val="000000"/>
        </w:rPr>
        <w:t>r</w:t>
      </w:r>
      <w:r>
        <w:rPr>
          <w:color w:val="000000"/>
        </w:rPr>
        <w:t>go, afirmó el fiscal, el nombrado omitió disponer que se labraran actuaciones para investigar a Telleldín, ni ado</w:t>
      </w:r>
      <w:r>
        <w:rPr>
          <w:color w:val="000000"/>
        </w:rPr>
        <w:t>p</w:t>
      </w:r>
      <w:r>
        <w:rPr>
          <w:color w:val="000000"/>
        </w:rPr>
        <w:t>tó temperamento alguno al enterarse de la fuga del nombr</w:t>
      </w:r>
      <w:r>
        <w:rPr>
          <w:color w:val="000000"/>
        </w:rPr>
        <w:t>a</w:t>
      </w:r>
      <w:r>
        <w:rPr>
          <w:color w:val="000000"/>
        </w:rPr>
        <w:t>do, tampoco avisó al comando radioeléctrico, ni ordenó mantener la vigilancia sobre la casa de Telleldín a s</w:t>
      </w:r>
      <w:r>
        <w:rPr>
          <w:color w:val="000000"/>
        </w:rPr>
        <w:t>a</w:t>
      </w:r>
      <w:r>
        <w:rPr>
          <w:color w:val="000000"/>
        </w:rPr>
        <w:t>biendas de que allí había otro auto “doblado”. Además, d</w:t>
      </w:r>
      <w:r>
        <w:rPr>
          <w:color w:val="000000"/>
        </w:rPr>
        <w:t>i</w:t>
      </w:r>
      <w:r>
        <w:rPr>
          <w:color w:val="000000"/>
        </w:rPr>
        <w:t>jo el fiscal, ocultó todas esas circunstancias al jefe de la brigada Enrique Carlos Fo</w:t>
      </w:r>
      <w:r>
        <w:rPr>
          <w:color w:val="000000"/>
        </w:rPr>
        <w:t>r</w:t>
      </w:r>
      <w:r>
        <w:rPr>
          <w:color w:val="000000"/>
        </w:rPr>
        <w:t>gione.</w:t>
      </w:r>
    </w:p>
    <w:p w:rsidR="00224567" w:rsidRDefault="00224567">
      <w:pPr>
        <w:widowControl w:val="0"/>
        <w:tabs>
          <w:tab w:val="left" w:pos="0"/>
        </w:tabs>
        <w:ind w:firstLine="2835"/>
        <w:rPr>
          <w:color w:val="000000"/>
        </w:rPr>
      </w:pPr>
      <w:r>
        <w:rPr>
          <w:color w:val="000000"/>
        </w:rPr>
        <w:t>Lo expuesto, afirmó, demostró que R</w:t>
      </w:r>
      <w:r>
        <w:rPr>
          <w:color w:val="000000"/>
        </w:rPr>
        <w:t>a</w:t>
      </w:r>
      <w:r>
        <w:rPr>
          <w:color w:val="000000"/>
        </w:rPr>
        <w:t>go estaba al tanto y que participó de la maniobra e</w:t>
      </w:r>
      <w:r>
        <w:rPr>
          <w:color w:val="000000"/>
        </w:rPr>
        <w:t>x</w:t>
      </w:r>
      <w:r>
        <w:rPr>
          <w:color w:val="000000"/>
        </w:rPr>
        <w:t>torsiva.</w:t>
      </w:r>
    </w:p>
    <w:p w:rsidR="00224567" w:rsidRDefault="00224567">
      <w:pPr>
        <w:widowControl w:val="0"/>
        <w:tabs>
          <w:tab w:val="left" w:pos="0"/>
        </w:tabs>
        <w:ind w:firstLine="2835"/>
        <w:rPr>
          <w:color w:val="000000"/>
        </w:rPr>
      </w:pPr>
      <w:r>
        <w:rPr>
          <w:color w:val="000000"/>
        </w:rPr>
        <w:t>En punto a la participación de Daniel Emilio Quinteros en el delito de falsedad ideológica de instrumento público por el cual se formuló requerimiento de elevación a juicio, expresó que si bien éste i</w:t>
      </w:r>
      <w:r>
        <w:rPr>
          <w:color w:val="000000"/>
        </w:rPr>
        <w:t>n</w:t>
      </w:r>
      <w:r>
        <w:rPr>
          <w:color w:val="000000"/>
        </w:rPr>
        <w:t>tervino junto con Rago en la recepción de la falsa declaración testimonial de Anastasio Ireneo Leal, cons</w:t>
      </w:r>
      <w:r>
        <w:rPr>
          <w:color w:val="000000"/>
        </w:rPr>
        <w:t>i</w:t>
      </w:r>
      <w:r>
        <w:rPr>
          <w:color w:val="000000"/>
        </w:rPr>
        <w:t>deró que de la prueba producida en el debate no surgió elemento alguno que demostrara que el nombrado tuviera efectivo conoc</w:t>
      </w:r>
      <w:r>
        <w:rPr>
          <w:color w:val="000000"/>
        </w:rPr>
        <w:t>i</w:t>
      </w:r>
      <w:r>
        <w:rPr>
          <w:color w:val="000000"/>
        </w:rPr>
        <w:lastRenderedPageBreak/>
        <w:t>miento acerca de los extremos falsos vertidos en aquella ocasión. Además, dijo, no participó en ningún tramo de la maniobra extorsiva, ni fue incrim</w:t>
      </w:r>
      <w:r>
        <w:rPr>
          <w:color w:val="000000"/>
        </w:rPr>
        <w:t>i</w:t>
      </w:r>
      <w:r>
        <w:rPr>
          <w:color w:val="000000"/>
        </w:rPr>
        <w:t>nado por algún testigo o imputado; sólo se limitó a cumplir su función como int</w:t>
      </w:r>
      <w:r>
        <w:rPr>
          <w:color w:val="000000"/>
        </w:rPr>
        <w:t>e</w:t>
      </w:r>
      <w:r>
        <w:rPr>
          <w:color w:val="000000"/>
        </w:rPr>
        <w:t>grante de la oficina de j</w:t>
      </w:r>
      <w:r>
        <w:rPr>
          <w:color w:val="000000"/>
        </w:rPr>
        <w:t>u</w:t>
      </w:r>
      <w:r>
        <w:rPr>
          <w:color w:val="000000"/>
        </w:rPr>
        <w:t xml:space="preserve">diciales de la brigada. </w:t>
      </w:r>
    </w:p>
    <w:p w:rsidR="00224567" w:rsidRDefault="00224567">
      <w:pPr>
        <w:widowControl w:val="0"/>
        <w:tabs>
          <w:tab w:val="left" w:pos="0"/>
        </w:tabs>
        <w:ind w:firstLine="2835"/>
        <w:rPr>
          <w:color w:val="000000"/>
        </w:rPr>
      </w:pPr>
      <w:r>
        <w:rPr>
          <w:color w:val="000000"/>
        </w:rPr>
        <w:t>Por lo expuesto, solicitó  su libre absolución.</w:t>
      </w:r>
    </w:p>
    <w:p w:rsidR="00224567" w:rsidRDefault="00224567">
      <w:pPr>
        <w:widowControl w:val="0"/>
        <w:tabs>
          <w:tab w:val="left" w:pos="0"/>
        </w:tabs>
        <w:ind w:firstLine="2835"/>
      </w:pPr>
      <w:r w:rsidRPr="00877F61">
        <w:rPr>
          <w:highlight w:val="yellow"/>
        </w:rPr>
        <w:t>El fiscal general Dr. Miguel Ángel R</w:t>
      </w:r>
      <w:r w:rsidRPr="00877F61">
        <w:rPr>
          <w:highlight w:val="yellow"/>
        </w:rPr>
        <w:t>o</w:t>
      </w:r>
      <w:r w:rsidRPr="00877F61">
        <w:rPr>
          <w:highlight w:val="yellow"/>
        </w:rPr>
        <w:t>mero formuló acusación contra Juan José Ribelli, Al</w:t>
      </w:r>
      <w:r w:rsidRPr="00877F61">
        <w:rPr>
          <w:highlight w:val="yellow"/>
        </w:rPr>
        <w:t>e</w:t>
      </w:r>
      <w:r w:rsidRPr="00877F61">
        <w:rPr>
          <w:highlight w:val="yellow"/>
        </w:rPr>
        <w:t>jandro Burguete, Bautista Alberto Huici, Raúl Edilio Ibarra, Jo</w:t>
      </w:r>
      <w:r w:rsidRPr="00877F61">
        <w:rPr>
          <w:highlight w:val="yellow"/>
        </w:rPr>
        <w:t>r</w:t>
      </w:r>
      <w:r w:rsidRPr="00877F61">
        <w:rPr>
          <w:highlight w:val="yellow"/>
        </w:rPr>
        <w:t>ge Horacio Rago, Anastasio Ireneo Leal, José Miguel Ara</w:t>
      </w:r>
      <w:r w:rsidRPr="00877F61">
        <w:rPr>
          <w:highlight w:val="yellow"/>
        </w:rPr>
        <w:t>n</w:t>
      </w:r>
      <w:r w:rsidRPr="00877F61">
        <w:rPr>
          <w:highlight w:val="yellow"/>
        </w:rPr>
        <w:t>cibia, Oscar Eusebio Bacigalupo, Diego Enrique Barrera, Marcelo Gustavo Albarracín y Mario Norberto Bareiro, en orden al delito de asociación ilíc</w:t>
      </w:r>
      <w:r w:rsidRPr="00877F61">
        <w:rPr>
          <w:highlight w:val="yellow"/>
        </w:rPr>
        <w:t>i</w:t>
      </w:r>
      <w:r w:rsidRPr="00877F61">
        <w:rPr>
          <w:highlight w:val="yellow"/>
        </w:rPr>
        <w:t>ta previsto en el art. 210 del Código Penal.</w:t>
      </w:r>
    </w:p>
    <w:p w:rsidR="00224567" w:rsidRDefault="00224567">
      <w:pPr>
        <w:widowControl w:val="0"/>
        <w:tabs>
          <w:tab w:val="left" w:pos="0"/>
        </w:tabs>
        <w:ind w:firstLine="2835"/>
      </w:pPr>
      <w:r>
        <w:t>Tras realizar consideraciones dogmát</w:t>
      </w:r>
      <w:r>
        <w:t>i</w:t>
      </w:r>
      <w:r>
        <w:t>cas jurídico penales acerca de los requisitos exigidos p</w:t>
      </w:r>
      <w:r>
        <w:t>a</w:t>
      </w:r>
      <w:r>
        <w:t>ra la configuración del tipo legal en cuestión, sostuvo que “del conjunto de sucesos ilegales palmariamente demo</w:t>
      </w:r>
      <w:r>
        <w:t>s</w:t>
      </w:r>
      <w:r>
        <w:t>trados surge con nitidez circunstancias d</w:t>
      </w:r>
      <w:r>
        <w:t>e</w:t>
      </w:r>
      <w:r>
        <w:t xml:space="preserve">mostrativas del </w:t>
      </w:r>
      <w:r>
        <w:lastRenderedPageBreak/>
        <w:t>obrar asociados a los imputados, orientados a la prest</w:t>
      </w:r>
      <w:r>
        <w:t>a</w:t>
      </w:r>
      <w:r>
        <w:t>ción de objetivos delictivos previ</w:t>
      </w:r>
      <w:r>
        <w:t>a</w:t>
      </w:r>
      <w:r>
        <w:t xml:space="preserve">mente planeados”. </w:t>
      </w:r>
    </w:p>
    <w:p w:rsidR="00224567" w:rsidRDefault="00224567">
      <w:pPr>
        <w:widowControl w:val="0"/>
        <w:tabs>
          <w:tab w:val="left" w:pos="0"/>
        </w:tabs>
        <w:ind w:firstLine="2835"/>
      </w:pPr>
      <w:r>
        <w:t>Consideró que “los objetivos ex</w:t>
      </w:r>
      <w:r>
        <w:t>i</w:t>
      </w:r>
      <w:r>
        <w:t>gidos por el tipo penal en cuestión se encuentran manifiestame</w:t>
      </w:r>
      <w:r>
        <w:t>n</w:t>
      </w:r>
      <w:r>
        <w:t>te configurados en la  especie: en primer lugar, tomaron parte activa en la asociación delictiva los e</w:t>
      </w:r>
      <w:r>
        <w:t>n</w:t>
      </w:r>
      <w:r>
        <w:t>cartados ya mencionados; esto es, once personas conociendo perfect</w:t>
      </w:r>
      <w:r>
        <w:t>a</w:t>
      </w:r>
      <w:r>
        <w:t>mente cada uno de ellos sus respectivas pertenencias al grupo y, en lo que hace fundamentalmente al aspecto subj</w:t>
      </w:r>
      <w:r>
        <w:t>e</w:t>
      </w:r>
      <w:r>
        <w:t>tivo del tipo, la finalidad de la misma”.</w:t>
      </w:r>
    </w:p>
    <w:p w:rsidR="00224567" w:rsidRDefault="00224567">
      <w:pPr>
        <w:widowControl w:val="0"/>
        <w:tabs>
          <w:tab w:val="left" w:pos="0"/>
        </w:tabs>
        <w:ind w:firstLine="2835"/>
      </w:pPr>
      <w:r>
        <w:t>“La circunstancia de advertir que el conjunto de hechos ilícitos tratados en forma individual demuestra la existencia de un acuerdo asociativo encamin</w:t>
      </w:r>
      <w:r>
        <w:t>a</w:t>
      </w:r>
      <w:r>
        <w:t xml:space="preserve">do a la comisión de delitos, en modo alguno constituye una doble imputación respecto de un mismo hecho”, argumentó. </w:t>
      </w:r>
    </w:p>
    <w:p w:rsidR="00224567" w:rsidRDefault="00224567">
      <w:pPr>
        <w:widowControl w:val="0"/>
        <w:tabs>
          <w:tab w:val="left" w:pos="0"/>
        </w:tabs>
        <w:ind w:firstLine="2835"/>
      </w:pPr>
      <w:r>
        <w:t>Señaló que “la participación de los imputados debe satisfacer los requisitos exigidos refer</w:t>
      </w:r>
      <w:r>
        <w:t>i</w:t>
      </w:r>
      <w:r>
        <w:t>dos a un número, organización, voluntad y permane</w:t>
      </w:r>
      <w:r>
        <w:t>n</w:t>
      </w:r>
      <w:r>
        <w:t>cia. Así las cosas, por tratarse de una figura autónoma en la que no se castigan los delitos que la misma pe</w:t>
      </w:r>
      <w:r>
        <w:t>r</w:t>
      </w:r>
      <w:r>
        <w:t>petró, sino el hecho en sí de formar parte de la agrupación, hace que r</w:t>
      </w:r>
      <w:r>
        <w:t>e</w:t>
      </w:r>
      <w:r>
        <w:lastRenderedPageBreak/>
        <w:t>sulte irrelevante a los fines de la incursión el rol o p</w:t>
      </w:r>
      <w:r>
        <w:t>a</w:t>
      </w:r>
      <w:r>
        <w:t>pel, reitero, que cada encartado desplegó”.</w:t>
      </w:r>
    </w:p>
    <w:p w:rsidR="00224567" w:rsidRDefault="00224567">
      <w:pPr>
        <w:widowControl w:val="0"/>
        <w:tabs>
          <w:tab w:val="left" w:pos="0"/>
        </w:tabs>
        <w:ind w:firstLine="2835"/>
      </w:pPr>
      <w:r>
        <w:t>Indicó además que “no es preciso que esta asociación se forme por el trato personal y directo de los asociados, basta que el sujeto sea consciente de formar parte de una asociación cuya existencia y finalid</w:t>
      </w:r>
      <w:r>
        <w:t>a</w:t>
      </w:r>
      <w:r>
        <w:t>des le son conocidas”, agregando que “ese acuerdo entre los componentes, aunque sea en forma relativa, debe ev</w:t>
      </w:r>
      <w:r>
        <w:t>i</w:t>
      </w:r>
      <w:r>
        <w:t>denciar una cierta continuidad” .</w:t>
      </w:r>
    </w:p>
    <w:p w:rsidR="00224567" w:rsidRDefault="00224567">
      <w:pPr>
        <w:widowControl w:val="0"/>
        <w:tabs>
          <w:tab w:val="left" w:pos="0"/>
        </w:tabs>
        <w:ind w:firstLine="2835"/>
      </w:pPr>
      <w:r>
        <w:t>Por ello, consideró que los hechos ventilados en el debate y las pruebas producidas demostr</w:t>
      </w:r>
      <w:r>
        <w:t>a</w:t>
      </w:r>
      <w:r>
        <w:t>ron que “las conductas desplegadas por los procesados r</w:t>
      </w:r>
      <w:r>
        <w:t>e</w:t>
      </w:r>
      <w:r>
        <w:t>velan la presencia de un plan delictivo previamente pref</w:t>
      </w:r>
      <w:r>
        <w:t>i</w:t>
      </w:r>
      <w:r>
        <w:t>jado con las exigencias  propias de un tipo legal, ponie</w:t>
      </w:r>
      <w:r>
        <w:t>n</w:t>
      </w:r>
      <w:r>
        <w:t>do en peligro el o</w:t>
      </w:r>
      <w:r>
        <w:t>r</w:t>
      </w:r>
      <w:r>
        <w:t>den social sin el cual no es posible la convivencia, vulnerando los sentimientos de seguridad y tranquilidad indispensables para el libre y completo des</w:t>
      </w:r>
      <w:r>
        <w:t>a</w:t>
      </w:r>
      <w:r>
        <w:t>rrollo de las actividades hum</w:t>
      </w:r>
      <w:r>
        <w:t>a</w:t>
      </w:r>
      <w:r>
        <w:t xml:space="preserve">nas”. </w:t>
      </w:r>
    </w:p>
    <w:p w:rsidR="00224567" w:rsidRDefault="00224567">
      <w:pPr>
        <w:widowControl w:val="0"/>
        <w:tabs>
          <w:tab w:val="left" w:pos="0"/>
        </w:tabs>
        <w:ind w:firstLine="2835"/>
      </w:pPr>
      <w:r>
        <w:t>En ese sentido entendió que “las r</w:t>
      </w:r>
      <w:r>
        <w:t>e</w:t>
      </w:r>
      <w:r>
        <w:t>glas de la sana crítica racional permiten sostener que c</w:t>
      </w:r>
      <w:r>
        <w:t>a</w:t>
      </w:r>
      <w:r>
        <w:lastRenderedPageBreak/>
        <w:t>da uno de los imputados ha tenido plena conciencia, no s</w:t>
      </w:r>
      <w:r>
        <w:t>ó</w:t>
      </w:r>
      <w:r>
        <w:t>lo de su pertenencia a la organización, sino del prop</w:t>
      </w:r>
      <w:r>
        <w:t>ó</w:t>
      </w:r>
      <w:r>
        <w:t>sito de cometer delitos que la misma perseguía. Los enca</w:t>
      </w:r>
      <w:r>
        <w:t>r</w:t>
      </w:r>
      <w:r>
        <w:t>tados voluntariamente crearon lazos de entendimiento, acordando un objetivo común, desarrollando tareas conjuntas, ind</w:t>
      </w:r>
      <w:r>
        <w:t>e</w:t>
      </w:r>
      <w:r>
        <w:t>pendientes, en pos del resultado querido, siendo en el c</w:t>
      </w:r>
      <w:r>
        <w:t>a</w:t>
      </w:r>
      <w:r>
        <w:t>so de autos, entre otros, los delitos de extorsión, s</w:t>
      </w:r>
      <w:r>
        <w:t>e</w:t>
      </w:r>
      <w:r>
        <w:t>cuestro extorsivo, privación ilegal de la libertad, fals</w:t>
      </w:r>
      <w:r>
        <w:t>e</w:t>
      </w:r>
      <w:r>
        <w:t>dades ideológicas de instrumentos públicos, falso testim</w:t>
      </w:r>
      <w:r>
        <w:t>o</w:t>
      </w:r>
      <w:r>
        <w:t xml:space="preserve">nio”. </w:t>
      </w:r>
    </w:p>
    <w:p w:rsidR="00224567" w:rsidRDefault="00224567">
      <w:pPr>
        <w:widowControl w:val="0"/>
        <w:tabs>
          <w:tab w:val="left" w:pos="0"/>
        </w:tabs>
        <w:ind w:firstLine="2835"/>
      </w:pPr>
      <w:r>
        <w:t>Señaló que con la “organización co</w:t>
      </w:r>
      <w:r>
        <w:t>n</w:t>
      </w:r>
      <w:r>
        <w:t>formada por al menos once oficiales y suboficiales de la policía de la provincia de Buenos Aires tenían asignados un rol y actividad propia dentro de la misma, necesario para la consumación del ilícito que aquí se r</w:t>
      </w:r>
      <w:r>
        <w:t>e</w:t>
      </w:r>
      <w:r>
        <w:t>procha”.</w:t>
      </w:r>
    </w:p>
    <w:p w:rsidR="00224567" w:rsidRDefault="00224567">
      <w:pPr>
        <w:pStyle w:val="Sangra2detindependiente"/>
        <w:widowControl w:val="0"/>
        <w:spacing w:line="600" w:lineRule="auto"/>
        <w:ind w:firstLine="2835"/>
      </w:pPr>
      <w:r>
        <w:t>En cuanto al requisito de perm</w:t>
      </w:r>
      <w:r>
        <w:t>a</w:t>
      </w:r>
      <w:r>
        <w:t>nencia exigido por el tipo legal, el fiscal dijo que “se encue</w:t>
      </w:r>
      <w:r>
        <w:t>n</w:t>
      </w:r>
      <w:r>
        <w:t>tra acreditado en autos toda vez que son múltiples las a</w:t>
      </w:r>
      <w:r>
        <w:t>c</w:t>
      </w:r>
      <w:r>
        <w:t>ciones que desarrollaron en el tie</w:t>
      </w:r>
      <w:r>
        <w:t>m</w:t>
      </w:r>
      <w:r>
        <w:t xml:space="preserve">po, las cuales guardan relación en cuanto a su duración con el plan delictivo concreto, excediendo el acuerdo propio de la participación </w:t>
      </w:r>
      <w:r>
        <w:lastRenderedPageBreak/>
        <w:t>criminal”.</w:t>
      </w:r>
    </w:p>
    <w:p w:rsidR="00224567" w:rsidRDefault="00224567">
      <w:pPr>
        <w:widowControl w:val="0"/>
        <w:tabs>
          <w:tab w:val="left" w:pos="0"/>
        </w:tabs>
        <w:ind w:firstLine="2835"/>
      </w:pPr>
      <w:r>
        <w:t>Con remisión a lo expresado por su c</w:t>
      </w:r>
      <w:r>
        <w:t>o</w:t>
      </w:r>
      <w:r>
        <w:t>lega, el Dr. Alberto Nisman, expresó que “los roles y t</w:t>
      </w:r>
      <w:r>
        <w:t>a</w:t>
      </w:r>
      <w:r>
        <w:t>reas que desempeñaron cada uno de los nombrados se hall</w:t>
      </w:r>
      <w:r>
        <w:t>a</w:t>
      </w:r>
      <w:r>
        <w:t>ban previamente determinados de acuerdo al rango que de</w:t>
      </w:r>
      <w:r>
        <w:t>n</w:t>
      </w:r>
      <w:r>
        <w:t>tro de la fuerza policial tenían” y que “si bien puede afirmarse que la tot</w:t>
      </w:r>
      <w:r>
        <w:t>a</w:t>
      </w:r>
      <w:r>
        <w:t>lidad de los encausados no mantenían contacto directo entre sí, lo cierto es que basta con la tácita adhesión a este tipo de organizaciones y la cons</w:t>
      </w:r>
      <w:r>
        <w:t>e</w:t>
      </w:r>
      <w:r>
        <w:t>cuente conducta reveladora de lo consentido voluntariame</w:t>
      </w:r>
      <w:r>
        <w:t>n</w:t>
      </w:r>
      <w:r>
        <w:t>te, como así también la existencia de un e</w:t>
      </w:r>
      <w:r>
        <w:t>s</w:t>
      </w:r>
      <w:r>
        <w:t>quema a modo de organización en la que cada uno de sus integrantes tuvo roles claramente asignados como para determinar el funci</w:t>
      </w:r>
      <w:r>
        <w:t>o</w:t>
      </w:r>
      <w:r>
        <w:t>namiento de la asociación il</w:t>
      </w:r>
      <w:r>
        <w:t>í</w:t>
      </w:r>
      <w:r>
        <w:t xml:space="preserve">cita”. </w:t>
      </w:r>
    </w:p>
    <w:p w:rsidR="00224567" w:rsidRDefault="00224567">
      <w:pPr>
        <w:widowControl w:val="0"/>
        <w:tabs>
          <w:tab w:val="left" w:pos="0"/>
        </w:tabs>
        <w:ind w:firstLine="2835"/>
      </w:pPr>
      <w:r>
        <w:t>Por ello, entendió que se enco</w:t>
      </w:r>
      <w:r>
        <w:t>n</w:t>
      </w:r>
      <w:r>
        <w:t>traban reunidos en autos las exigencias previstas en el art. 210 del C.P. respecto de las conductas de Albarracín, Burgu</w:t>
      </w:r>
      <w:r>
        <w:t>e</w:t>
      </w:r>
      <w:r>
        <w:t>te, Huici, Ibarra, Rago, Leal, Ribelli, Arancibia, Barr</w:t>
      </w:r>
      <w:r>
        <w:t>e</w:t>
      </w:r>
      <w:r>
        <w:t xml:space="preserve">da, Bacigalupo y Bareiro. </w:t>
      </w:r>
    </w:p>
    <w:p w:rsidR="00224567" w:rsidRDefault="00224567">
      <w:pPr>
        <w:widowControl w:val="0"/>
        <w:tabs>
          <w:tab w:val="left" w:pos="0"/>
        </w:tabs>
        <w:ind w:firstLine="2835"/>
      </w:pPr>
      <w:r>
        <w:t xml:space="preserve">En tanto, dijo, que tales exigencias </w:t>
      </w:r>
      <w:r>
        <w:lastRenderedPageBreak/>
        <w:t>no se encontraban configuradas respecto de los proces</w:t>
      </w:r>
      <w:r>
        <w:t>a</w:t>
      </w:r>
      <w:r>
        <w:t>dos Claudio Walter Araya, Daniel Emilio Quinteros, Víctor Ca</w:t>
      </w:r>
      <w:r>
        <w:t>r</w:t>
      </w:r>
      <w:r>
        <w:t>los Cruz y Argentino Gabriel Lasala, por lo que solicitó la libre absolución de los nombrados.</w:t>
      </w:r>
    </w:p>
    <w:p w:rsidR="00224567" w:rsidRDefault="00224567">
      <w:pPr>
        <w:pStyle w:val="Textoindependiente"/>
        <w:spacing w:line="600" w:lineRule="auto"/>
        <w:ind w:firstLine="2835"/>
      </w:pPr>
      <w:r>
        <w:t>A fin de mensurar la pena a imponer a los imputados de ser partícipes necesarios del atent</w:t>
      </w:r>
      <w:r>
        <w:t>a</w:t>
      </w:r>
      <w:r>
        <w:t>do, el representante del Ministerio Público Fiscal, Dr. Alberto Nisman, señaló como circunsta</w:t>
      </w:r>
      <w:r>
        <w:t>n</w:t>
      </w:r>
      <w:r>
        <w:t>cia agravante el hecho de que se haya tratado del más grave acto terrorista que sufrió nuestro país, con un alto número de víctimas, llevado ad</w:t>
      </w:r>
      <w:r>
        <w:t>e</w:t>
      </w:r>
      <w:r>
        <w:t>lante en un lugar de intenso movimiento y tránsito de pe</w:t>
      </w:r>
      <w:r>
        <w:t>r</w:t>
      </w:r>
      <w:r>
        <w:t>sonas y vehículos, elementos que evidencian un notorio de</w:t>
      </w:r>
      <w:r>
        <w:t>s</w:t>
      </w:r>
      <w:r>
        <w:t xml:space="preserve">precio por la vida humana y un grado de desaprensión sin límites. </w:t>
      </w:r>
    </w:p>
    <w:p w:rsidR="00224567" w:rsidRDefault="00224567">
      <w:pPr>
        <w:pStyle w:val="Textoindependiente"/>
        <w:spacing w:line="600" w:lineRule="auto"/>
        <w:ind w:firstLine="2835"/>
      </w:pPr>
      <w:r>
        <w:t>También evaluó el medio empleado para cometerlo, esto es “la utilización de un cochebomba que produjo la explosión de manera artera y aprovechando la i</w:t>
      </w:r>
      <w:r>
        <w:t>n</w:t>
      </w:r>
      <w:r>
        <w:t xml:space="preserve">defensión que tal medio ocasionaba en las víctimas”. </w:t>
      </w:r>
    </w:p>
    <w:p w:rsidR="00224567" w:rsidRDefault="00224567">
      <w:pPr>
        <w:pStyle w:val="Textoindependiente"/>
        <w:spacing w:line="600" w:lineRule="auto"/>
        <w:ind w:firstLine="2835"/>
      </w:pPr>
      <w:r>
        <w:t>Asimismo, “el daño causado cuya magn</w:t>
      </w:r>
      <w:r>
        <w:t>i</w:t>
      </w:r>
      <w:r>
        <w:t>tud y extensión no pueden soslayarse a la hora de evaluar este acontecer” y “la condición de fu</w:t>
      </w:r>
      <w:r>
        <w:t>n</w:t>
      </w:r>
      <w:r>
        <w:t xml:space="preserve">cionarios públicos de </w:t>
      </w:r>
      <w:r>
        <w:lastRenderedPageBreak/>
        <w:t>cuatro de los aquí imputados por el atent</w:t>
      </w:r>
      <w:r>
        <w:t>a</w:t>
      </w:r>
      <w:r>
        <w:t>do, no es un dato menor y debe ser considerada también un agravante ya que aquellos en que la ciudadanía dep</w:t>
      </w:r>
      <w:r>
        <w:t>o</w:t>
      </w:r>
      <w:r>
        <w:t>sita su confianza en aras de su seguridad y protección se han valido de las herr</w:t>
      </w:r>
      <w:r>
        <w:t>a</w:t>
      </w:r>
      <w:r>
        <w:t>mientas que le brinda el estado en pos de esos obj</w:t>
      </w:r>
      <w:r>
        <w:t>e</w:t>
      </w:r>
      <w:r>
        <w:t>tivos y del cargo que ostentaban para volverlos en contra de la s</w:t>
      </w:r>
      <w:r>
        <w:t>o</w:t>
      </w:r>
      <w:r>
        <w:t>ciedad a la cual debían proteger y amparar”.</w:t>
      </w:r>
    </w:p>
    <w:p w:rsidR="00224567" w:rsidRDefault="00224567">
      <w:pPr>
        <w:pStyle w:val="Textoindependiente"/>
        <w:spacing w:line="600" w:lineRule="auto"/>
        <w:ind w:firstLine="2835"/>
      </w:pPr>
      <w:r>
        <w:t>Idénticos parámetros, refirió, habrán de valorarse en los restantes hechos delictivos, teniendo en cuenta la naturaleza de la acción, los medios empleados para ejecutarla, el daño causado, las circunstancias pers</w:t>
      </w:r>
      <w:r>
        <w:t>o</w:t>
      </w:r>
      <w:r>
        <w:t>nales  de los imputados y la participación que cada uno h</w:t>
      </w:r>
      <w:r>
        <w:t>a</w:t>
      </w:r>
      <w:r>
        <w:t>ya tenido en el hecho.</w:t>
      </w:r>
    </w:p>
    <w:p w:rsidR="00224567" w:rsidRDefault="00224567">
      <w:pPr>
        <w:pStyle w:val="Textoindependiente"/>
        <w:spacing w:line="600" w:lineRule="auto"/>
        <w:ind w:firstLine="2835"/>
      </w:pPr>
      <w:r>
        <w:t>Tales consideraciones, indicó, incl</w:t>
      </w:r>
      <w:r>
        <w:t>i</w:t>
      </w:r>
      <w:r>
        <w:t>na la imposición de la pena de reclusión perp</w:t>
      </w:r>
      <w:r>
        <w:t>e</w:t>
      </w:r>
      <w:r>
        <w:t>tua.</w:t>
      </w:r>
    </w:p>
    <w:p w:rsidR="00224567" w:rsidRDefault="00224567">
      <w:pPr>
        <w:pStyle w:val="Textoindependiente"/>
        <w:spacing w:line="600" w:lineRule="auto"/>
        <w:ind w:firstLine="2835"/>
      </w:pPr>
      <w:r>
        <w:t>En el caso de Carlos Alberto Telle</w:t>
      </w:r>
      <w:r>
        <w:t>l</w:t>
      </w:r>
      <w:r>
        <w:t>dín, expresó que si bien registraba otras condenas, algunas de ellas unificadas, sólo tendría en cuenta como agravante aquéllas que al momento de la comisión de este hecho se e</w:t>
      </w:r>
      <w:r>
        <w:t>n</w:t>
      </w:r>
      <w:r>
        <w:t xml:space="preserve">contraban firmes. En tal sentido, consideró la condena de </w:t>
      </w:r>
      <w:r>
        <w:lastRenderedPageBreak/>
        <w:t>dos años de prisión impuesta por el Juzgado en lo Criminal nº 6 del Departamento Jud</w:t>
      </w:r>
      <w:r>
        <w:t>i</w:t>
      </w:r>
      <w:r>
        <w:t>cial de San Martín, dictada el 8 de febrero de 1990 en la causa nº 16.245 en orden al delito de corrupción de m</w:t>
      </w:r>
      <w:r>
        <w:t>e</w:t>
      </w:r>
      <w:r>
        <w:t>nores.</w:t>
      </w:r>
    </w:p>
    <w:p w:rsidR="00224567" w:rsidRDefault="00224567">
      <w:pPr>
        <w:pStyle w:val="Textoindependiente"/>
        <w:spacing w:line="600" w:lineRule="auto"/>
      </w:pPr>
      <w:r>
        <w:tab/>
        <w:t>Sobre la base de las consideraciones efectu</w:t>
      </w:r>
      <w:r>
        <w:t>a</w:t>
      </w:r>
      <w:r>
        <w:t>das en el alegato, el fiscal general Dr. Alberto Nisman r</w:t>
      </w:r>
      <w:r>
        <w:t>e</w:t>
      </w:r>
      <w:r>
        <w:t xml:space="preserve">quirió: </w:t>
      </w:r>
    </w:p>
    <w:p w:rsidR="00224567" w:rsidRDefault="00224567">
      <w:pPr>
        <w:pStyle w:val="Textoindependiente"/>
        <w:spacing w:line="600" w:lineRule="auto"/>
      </w:pPr>
      <w:r>
        <w:tab/>
        <w:t>1) Se condene a Carlos Alberto Telle</w:t>
      </w:r>
      <w:r>
        <w:t>l</w:t>
      </w:r>
      <w:r>
        <w:t>dín a la pena de reclusión perpetua, accesorias legales y costas, por considerarlo partícipe necesario de los delitos de h</w:t>
      </w:r>
      <w:r>
        <w:t>o</w:t>
      </w:r>
      <w:r>
        <w:t>micidio calificado por haber sido cometido por un medio idóneo para causar un peligro común, en perjuicio de 85 víctimas; lesiones leves y graves, ambas agravadas: las l</w:t>
      </w:r>
      <w:r>
        <w:t>e</w:t>
      </w:r>
      <w:r>
        <w:t>ves en perjuicio de 40 personas y las graves en perjuicio de 31; y daños múltiples, todos ellos en concurso ideal; los que a su vez concurren realmente con el delito de adu</w:t>
      </w:r>
      <w:r>
        <w:t>l</w:t>
      </w:r>
      <w:r>
        <w:t>teración de documento público destinado a acreditar la identidad de las personas, en calidad de partícipe neces</w:t>
      </w:r>
      <w:r>
        <w:t>a</w:t>
      </w:r>
      <w:r>
        <w:t>rio (arts. 12, 29, inc. 3°, 45, 54, 55, 80, inc. 5°, 89 y 90, en función del art. 92, 183 y 292, 2° párrafo, todos ellos del C</w:t>
      </w:r>
      <w:r>
        <w:t>ó</w:t>
      </w:r>
      <w:r>
        <w:t xml:space="preserve">digo Penal); </w:t>
      </w:r>
    </w:p>
    <w:p w:rsidR="00224567" w:rsidRDefault="00224567">
      <w:pPr>
        <w:pStyle w:val="Textoindependiente"/>
        <w:spacing w:line="600" w:lineRule="auto"/>
      </w:pPr>
      <w:r>
        <w:lastRenderedPageBreak/>
        <w:tab/>
        <w:t>2) Se condene a Juan José Ribelli a la pena de reclusión perpetua, accesorias legales y costas, por considerarlo partícipe necesario de los delitos de homic</w:t>
      </w:r>
      <w:r>
        <w:t>i</w:t>
      </w:r>
      <w:r>
        <w:t>dio calificado por haber sido cometido por un m</w:t>
      </w:r>
      <w:r>
        <w:t>e</w:t>
      </w:r>
      <w:r>
        <w:t>dio idóneo para causar un peligro común, en pe</w:t>
      </w:r>
      <w:r>
        <w:t>r</w:t>
      </w:r>
      <w:r>
        <w:t>juicio de 85 víctimas; lesiones leves y graves, ambas agravadas: las leves en pe</w:t>
      </w:r>
      <w:r>
        <w:t>r</w:t>
      </w:r>
      <w:r>
        <w:t>juicio de 40 personas y las graves en perjuicio de 31; y daños múltiples, todos ellos en concurso ideal; los que a su vez concurren materialme</w:t>
      </w:r>
      <w:r>
        <w:t>n</w:t>
      </w:r>
      <w:r>
        <w:t>te con los delitos de privación ilegal de la libertad agravada y exto</w:t>
      </w:r>
      <w:r>
        <w:t>r</w:t>
      </w:r>
      <w:r>
        <w:t>sión, ambos en grado de tentativa y en calidad de coa</w:t>
      </w:r>
      <w:r>
        <w:t>u</w:t>
      </w:r>
      <w:r>
        <w:t>tor –hecho del 15 de marzo de 1994 en perjuicio de Carlos Alberto Telleldín-; instig</w:t>
      </w:r>
      <w:r>
        <w:t>a</w:t>
      </w:r>
      <w:r>
        <w:t>ción al falso testimonio agravado prestado por Bautista A</w:t>
      </w:r>
      <w:r>
        <w:t>l</w:t>
      </w:r>
      <w:r>
        <w:t>berto Huici en perjuicio de Carlos Alberto Telleldín; s</w:t>
      </w:r>
      <w:r>
        <w:t>e</w:t>
      </w:r>
      <w:r>
        <w:t>cuestro extorsivo en calidad de coautor material –hecho del 4 de abril de 1994 en perjuicio de Carlos Alberto T</w:t>
      </w:r>
      <w:r>
        <w:t>e</w:t>
      </w:r>
      <w:r>
        <w:t xml:space="preserve">lleldín y Sandra Marisa Petrucci-; asociación ilícita; y coacción agravada en perjuicio de Juan José Galeano, en calidad de autor (arts. 12, 29, inc. 3°, 42, 45, 54, 55, 80, inc. 5°, 89, 90, en función del 92; 144 bis, inc. 1º; 149 ter, inc. </w:t>
      </w:r>
      <w:r>
        <w:lastRenderedPageBreak/>
        <w:t>2°, acápite “a”, 168, 170, 183, 210 y 275, 2° párrafo, t</w:t>
      </w:r>
      <w:r>
        <w:t>o</w:t>
      </w:r>
      <w:r>
        <w:t>dos del Código P</w:t>
      </w:r>
      <w:r>
        <w:t>e</w:t>
      </w:r>
      <w:r>
        <w:t>nal);</w:t>
      </w:r>
    </w:p>
    <w:p w:rsidR="00224567" w:rsidRDefault="00224567">
      <w:pPr>
        <w:pStyle w:val="Textoindependiente"/>
        <w:spacing w:line="600" w:lineRule="auto"/>
      </w:pPr>
      <w:r>
        <w:tab/>
        <w:t>3) Se condene a Raúl Edilio Ibarra a la pena de reclusión perpetua, accesorias legales y costas, por considerarlo partícipe necesario de los delitos de homic</w:t>
      </w:r>
      <w:r>
        <w:t>i</w:t>
      </w:r>
      <w:r>
        <w:t>dio calificado por haber sido com</w:t>
      </w:r>
      <w:r>
        <w:t>e</w:t>
      </w:r>
      <w:r>
        <w:t>tido por un medio idóneo para causar un peligro común, en pe</w:t>
      </w:r>
      <w:r>
        <w:t>r</w:t>
      </w:r>
      <w:r>
        <w:t>juicio de 85 víctimas; lesiones leves y graves, ambas agravadas: las leves en pe</w:t>
      </w:r>
      <w:r>
        <w:t>r</w:t>
      </w:r>
      <w:r>
        <w:t>juicio de 40 personas y las graves en perjuicio de 31; y daños múltiples, todos ellos en concurso ideal; los que a su vez concurren m</w:t>
      </w:r>
      <w:r>
        <w:t>a</w:t>
      </w:r>
      <w:r>
        <w:t>terialmente con los delitos de privación ilegal de la libertad agravada y exto</w:t>
      </w:r>
      <w:r>
        <w:t>r</w:t>
      </w:r>
      <w:r>
        <w:t>sión, ambos en grado de tentativa y en calidad de coa</w:t>
      </w:r>
      <w:r>
        <w:t>u</w:t>
      </w:r>
      <w:r>
        <w:t>tor –hecho del 15 de marzo de 1994 en perjuicio de Carlos Alberto Telleldín-; falso testimonio agravado en perjuicio de Carlos Alberto Telle</w:t>
      </w:r>
      <w:r>
        <w:t>l</w:t>
      </w:r>
      <w:r>
        <w:t>dín –hecho del 15 de marzo de 1994 en la citada causa nº 5681-; instigación al falso testimonio simple, r</w:t>
      </w:r>
      <w:r>
        <w:t>e</w:t>
      </w:r>
      <w:r>
        <w:t xml:space="preserve">iterado en dos oportunidades, cometidos por Marcelo Darío Casas y Eduardo Diego Toledo –hecho del 15 de agosto de 1995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Bonaerense-"/>
        </w:smartTagPr>
        <w:r>
          <w:t>la Policía Bonaerense-</w:t>
        </w:r>
      </w:smartTag>
      <w:r>
        <w:t>; instig</w:t>
      </w:r>
      <w:r>
        <w:t>a</w:t>
      </w:r>
      <w:r>
        <w:t>ción al delito de falso test</w:t>
      </w:r>
      <w:r>
        <w:t>i</w:t>
      </w:r>
      <w:r>
        <w:t xml:space="preserve">monio agravado en perjuicio de </w:t>
      </w:r>
      <w:r>
        <w:lastRenderedPageBreak/>
        <w:t>Carlos Alberto Telleldín, por los dichos vertidos por Ma</w:t>
      </w:r>
      <w:r>
        <w:t>r</w:t>
      </w:r>
      <w:r>
        <w:t>celo Darío Casas –hecho del 15 de marzo de 1994 en la cit</w:t>
      </w:r>
      <w:r>
        <w:t>a</w:t>
      </w:r>
      <w:r>
        <w:t>da causa nº 5681-; secuestro extorsivo en calidad de coa</w:t>
      </w:r>
      <w:r>
        <w:t>u</w:t>
      </w:r>
      <w:r>
        <w:t>tor –hecho del 4 de abril de 1994 en perjuicio de Carlos Alberto Telleldín y Sandra Marisa Petrucci- y asociación ilíc</w:t>
      </w:r>
      <w:r>
        <w:t>i</w:t>
      </w:r>
      <w:r>
        <w:t>ta (arts. 12, 29, inc. 3°, 45, 54, 55, 80, inc. 5°, 89 y 90, en función del art. 92, 183, 149 bis, inc. 1°, 168, 170, 210, 275, primera y segunda parte, todos ellos del C</w:t>
      </w:r>
      <w:r>
        <w:t>ó</w:t>
      </w:r>
      <w:r>
        <w:t>digo Penal);</w:t>
      </w:r>
    </w:p>
    <w:p w:rsidR="00224567" w:rsidRDefault="00224567">
      <w:pPr>
        <w:pStyle w:val="Textoindependiente"/>
        <w:spacing w:line="600" w:lineRule="auto"/>
      </w:pPr>
      <w:r>
        <w:tab/>
        <w:t>4) Se condene a Mario Norberto Bareiro a la pena de reclusión perpetua, accesorias legales y costas, por considerarlo partícipe necesario de los delitos de h</w:t>
      </w:r>
      <w:r>
        <w:t>o</w:t>
      </w:r>
      <w:r>
        <w:t>micidio calificado por haber sido cometido por un medio idóneo para causar un peligro común, en perjuicio de 85 víctimas; lesiones leves y graves, ambas agravadas: las l</w:t>
      </w:r>
      <w:r>
        <w:t>e</w:t>
      </w:r>
      <w:r>
        <w:t>ves en perjuicio de 40 personas y las graves en perjuicio de 31; y daños múltiples, todos ellos en concurso ideal; los que a su vez concurren m</w:t>
      </w:r>
      <w:r>
        <w:t>a</w:t>
      </w:r>
      <w:r>
        <w:t>terialmente con los delitos de secuestro exto</w:t>
      </w:r>
      <w:r>
        <w:t>r</w:t>
      </w:r>
      <w:r>
        <w:t>sivo en calidad de coautor –hecho del 14 de julio de 1994 en perjuicio de Hugo Antonio Pérez-; priv</w:t>
      </w:r>
      <w:r>
        <w:t>a</w:t>
      </w:r>
      <w:r>
        <w:lastRenderedPageBreak/>
        <w:t>ción ilegal de libertad agravada y extorsión, ambos en gr</w:t>
      </w:r>
      <w:r>
        <w:t>a</w:t>
      </w:r>
      <w:r>
        <w:t>do de tentativa y en calidad de coautor –hecho del 14 de julio de 1994 en perjuicio de Carlos Alberto Telleldín y Ana María Boragni-; y asociación ilícita (arts. 12, 29, inc. 3°, 42, 45, 54, 55, 80, inc. 5°, 89 y 90, en función del art. 92, 183, 149 bis, inc. 1°, 168, 170 y 210, todos ellos del Código Penal);</w:t>
      </w:r>
    </w:p>
    <w:p w:rsidR="00224567" w:rsidRDefault="00224567">
      <w:pPr>
        <w:pStyle w:val="Textoindependiente"/>
        <w:spacing w:line="600" w:lineRule="auto"/>
      </w:pPr>
      <w:r>
        <w:tab/>
        <w:t>5) Se condene a Anastasio Ireneo Leal a la pena de reclusión perpetua, accesorias legales y costas, por considerarlo partícipe necesario de los delitos de h</w:t>
      </w:r>
      <w:r>
        <w:t>o</w:t>
      </w:r>
      <w:r>
        <w:t>micidio calificado por haber sido cometido por un medio idóneo para causar un peligro común, en perjuicio de 85 víctimas; lesiones leves y graves, ambas agravadas: las l</w:t>
      </w:r>
      <w:r>
        <w:t>e</w:t>
      </w:r>
      <w:r>
        <w:t>ves en perjuicio de 40 personas y las graves en perjuicio de 31; y daños múltiples, todos ellos en concurso ideal; los que a su vez concurren m</w:t>
      </w:r>
      <w:r>
        <w:t>a</w:t>
      </w:r>
      <w:r>
        <w:t>terialmente con los delitos de secuestro extorsivo –hecho del 14 de julio de 1994 en pe</w:t>
      </w:r>
      <w:r>
        <w:t>r</w:t>
      </w:r>
      <w:r>
        <w:t>juicio de Hugo Antonio Pérez-; privación il</w:t>
      </w:r>
      <w:r>
        <w:t>e</w:t>
      </w:r>
      <w:r>
        <w:t>gal de libertad agravada y extorsión, ambos en grado de tentativa –hecho del 14 de julio de 1994 en perjuicio de Carlos Alberto T</w:t>
      </w:r>
      <w:r>
        <w:t>e</w:t>
      </w:r>
      <w:r>
        <w:t xml:space="preserve">lleldín y Ana María Boragni- y asociación ilícita (arts. </w:t>
      </w:r>
      <w:r>
        <w:lastRenderedPageBreak/>
        <w:t>12, 29, inc. 3°, 42; 45; 54; 55; 80, inc. 5°; 89 y 90, en función del art. 92, 183, 149 bis, inc. 1°, 168, 170 y 210, todos ellos del Código P</w:t>
      </w:r>
      <w:r>
        <w:t>e</w:t>
      </w:r>
      <w:r>
        <w:t>nal);</w:t>
      </w:r>
    </w:p>
    <w:p w:rsidR="00224567" w:rsidRDefault="00224567">
      <w:pPr>
        <w:pStyle w:val="Textoindependiente"/>
        <w:spacing w:line="600" w:lineRule="auto"/>
      </w:pPr>
      <w:r>
        <w:tab/>
        <w:t>6) Se condene a Bautista Alberto Huici a la pena de nueve años de reclusión, accesorias legales y co</w:t>
      </w:r>
      <w:r>
        <w:t>s</w:t>
      </w:r>
      <w:r>
        <w:t>tas, por considerarlo partícipe necesario del delito de s</w:t>
      </w:r>
      <w:r>
        <w:t>e</w:t>
      </w:r>
      <w:r>
        <w:t>cuestro extorsivo –hecho del 4 de abril de 1994 en perju</w:t>
      </w:r>
      <w:r>
        <w:t>i</w:t>
      </w:r>
      <w:r>
        <w:t>cio de Carlos Alberto Telleldín y Sandra Marisa Petru</w:t>
      </w:r>
      <w:r>
        <w:t>c</w:t>
      </w:r>
      <w:r>
        <w:t>ci-; autor del delito de falso testimonio agravado en perjuicio de Carlos Alberto Telleldín y asociación ilícita, todos ellos en concurso material entre sí (arts. 12, 29, inc. 3°, 45, 55, 170, 210 y 275, segundo párrafo, todos del Código Penal);</w:t>
      </w:r>
    </w:p>
    <w:p w:rsidR="00224567" w:rsidRDefault="00224567">
      <w:pPr>
        <w:pStyle w:val="Textoindependiente"/>
        <w:spacing w:line="600" w:lineRule="auto"/>
      </w:pPr>
      <w:r>
        <w:tab/>
        <w:t>7) Se condene a Marcelo Gustavo Alb</w:t>
      </w:r>
      <w:r>
        <w:t>a</w:t>
      </w:r>
      <w:r>
        <w:t>rracín a la pena de diez años de reclusión, accesorias legales y costas, por considerarlo coautor del delito de secuestro extorsivo –hecho del 4 de abril de 1994 en perjuicio de Carlos Alberto Telleldín y Sandra Marisa Petrucci-, en co</w:t>
      </w:r>
      <w:r>
        <w:t>n</w:t>
      </w:r>
      <w:r>
        <w:t>curso real con el delito de asociación ilícita (arts. 12, 29, inc. 3°, 45, 55, 170 y 210 del Código P</w:t>
      </w:r>
      <w:r>
        <w:t>e</w:t>
      </w:r>
      <w:r>
        <w:t>nal);</w:t>
      </w:r>
    </w:p>
    <w:p w:rsidR="00224567" w:rsidRDefault="00224567">
      <w:pPr>
        <w:pStyle w:val="Textoindependiente"/>
        <w:spacing w:line="600" w:lineRule="auto"/>
      </w:pPr>
      <w:r>
        <w:lastRenderedPageBreak/>
        <w:tab/>
        <w:t>8) Se condene a Alejandro Burguete a la pena de siete años de reclusión, accesorias legales y costas, por cons</w:t>
      </w:r>
      <w:r>
        <w:t>i</w:t>
      </w:r>
      <w:r>
        <w:t>derarlo coautor del delito de falsedad ideológica de instrumento público, reiter</w:t>
      </w:r>
      <w:r>
        <w:t>a</w:t>
      </w:r>
      <w:r>
        <w:t>do en dos oportunidades, en concurso real con el delito de asociación ilícita (arts. 12, 29, inc. 3°, 45, 55, 210 y 293 del C</w:t>
      </w:r>
      <w:r>
        <w:t>ó</w:t>
      </w:r>
      <w:r>
        <w:t>digo Penal);</w:t>
      </w:r>
    </w:p>
    <w:p w:rsidR="00224567" w:rsidRDefault="00224567">
      <w:pPr>
        <w:pStyle w:val="Textoindependiente"/>
        <w:spacing w:line="600" w:lineRule="auto"/>
      </w:pPr>
      <w:r>
        <w:tab/>
        <w:t>9) Se condene a José Miguel Arancibia a la pena de seis años de reclusión, accesorias legales y co</w:t>
      </w:r>
      <w:r>
        <w:t>s</w:t>
      </w:r>
      <w:r>
        <w:t>tas, por considerarlo coautor del delito de falsedad ide</w:t>
      </w:r>
      <w:r>
        <w:t>o</w:t>
      </w:r>
      <w:r>
        <w:t>lógica de instrumento público, en concurso real con el d</w:t>
      </w:r>
      <w:r>
        <w:t>e</w:t>
      </w:r>
      <w:r>
        <w:t>lito de asociación il</w:t>
      </w:r>
      <w:r>
        <w:t>í</w:t>
      </w:r>
      <w:r>
        <w:t>cita (arts. 12, 29, inc. 3°, 45, 55, 210 y 293 del Código Penal);</w:t>
      </w:r>
    </w:p>
    <w:p w:rsidR="00224567" w:rsidRDefault="00224567">
      <w:pPr>
        <w:pStyle w:val="Textoindependiente"/>
        <w:spacing w:line="600" w:lineRule="auto"/>
      </w:pPr>
      <w:r>
        <w:tab/>
        <w:t>10) Se condene a Oscar Eusebio Bacigalupo a la pena de seis años de reclusión, accesorias legales y costas, por considerarlo coautor del delito de falsedad ideológica de instrumento público, en concurso real con el delito de asociación ilícita (arts. 12, 29, inc. 3°, 45, 55, 210 y 293 del Código Penal);</w:t>
      </w:r>
    </w:p>
    <w:p w:rsidR="00224567" w:rsidRDefault="00224567">
      <w:pPr>
        <w:pStyle w:val="Textoindependiente"/>
        <w:spacing w:line="600" w:lineRule="auto"/>
      </w:pPr>
      <w:r>
        <w:tab/>
        <w:t>11) Se condene a Jorge Horacio Rago a la pena de trece años de reclusión, accesorias legales y costas, por considerarlo coautor de los delitos de secuestro exto</w:t>
      </w:r>
      <w:r>
        <w:t>r</w:t>
      </w:r>
      <w:r>
        <w:lastRenderedPageBreak/>
        <w:t>sivo -hecho del 14 de julio de 1994 en perjuicio de Hugo Antonio Pérez-; extorsión y privación ilegal de la libertad agravada, estos dos últimos en grado de tentativa –hecho del 14 de julio de 1994 en perjuicio de Carlos Alberto T</w:t>
      </w:r>
      <w:r>
        <w:t>e</w:t>
      </w:r>
      <w:r>
        <w:t>lleldín y Ana María Boragni-; falsedad ideológica de in</w:t>
      </w:r>
      <w:r>
        <w:t>s</w:t>
      </w:r>
      <w:r>
        <w:t>trumento público; y asociación ilícita, los que concurren materialmente e</w:t>
      </w:r>
      <w:r>
        <w:t>n</w:t>
      </w:r>
      <w:r>
        <w:t>tre sí (arts. 12, 29, inc. 3°, 42, 45, 55, 149 bis, inc. 1°, 168, 170, 210 y 293 del Código Penal);</w:t>
      </w:r>
    </w:p>
    <w:p w:rsidR="00224567" w:rsidRDefault="00224567">
      <w:pPr>
        <w:pStyle w:val="Textoindependiente"/>
        <w:spacing w:line="600" w:lineRule="auto"/>
      </w:pPr>
      <w:r>
        <w:tab/>
        <w:t>12) Se condene a Juan Alberto Bottegal a la pena de diez años de reclusión, accesorias legales y co</w:t>
      </w:r>
      <w:r>
        <w:t>s</w:t>
      </w:r>
      <w:r>
        <w:t>tas, por considerarlo partícipe necesario del delito de s</w:t>
      </w:r>
      <w:r>
        <w:t>e</w:t>
      </w:r>
      <w:r>
        <w:t>cuestro extorsivo –hecho del 14 de julio de 1994 en perju</w:t>
      </w:r>
      <w:r>
        <w:t>i</w:t>
      </w:r>
      <w:r>
        <w:t>cio de Hugo Antonio Pérez- (arts. 12, 29, inc. 3°, 45 y 170 del Código Penal);</w:t>
      </w:r>
    </w:p>
    <w:p w:rsidR="00224567" w:rsidRDefault="00224567">
      <w:pPr>
        <w:pStyle w:val="Textoindependiente"/>
        <w:spacing w:line="600" w:lineRule="auto"/>
      </w:pPr>
      <w:r>
        <w:tab/>
        <w:t>13) Se condene a Diego Enrique Barreda a la pena de quince años de reclusión, accesorias legales y co</w:t>
      </w:r>
      <w:r>
        <w:t>s</w:t>
      </w:r>
      <w:r>
        <w:t>tas, por considerarlo partícipe necesario de los d</w:t>
      </w:r>
      <w:r>
        <w:t>e</w:t>
      </w:r>
      <w:r>
        <w:t>litos de secuestro extorsivo –hecho del 14 de julio de 1994 en pe</w:t>
      </w:r>
      <w:r>
        <w:t>r</w:t>
      </w:r>
      <w:r>
        <w:t>juicio de Hugo Antonio Pérez-; privación ilegal de la l</w:t>
      </w:r>
      <w:r>
        <w:t>i</w:t>
      </w:r>
      <w:r>
        <w:t>bertad agravada y e</w:t>
      </w:r>
      <w:r>
        <w:t>x</w:t>
      </w:r>
      <w:r>
        <w:t xml:space="preserve">torsión, estos dos últimos en grado de </w:t>
      </w:r>
      <w:r>
        <w:lastRenderedPageBreak/>
        <w:t>tentativa –hecho del 14 de julio de 1994 en perjuicio de Carlos Alberto Telleldín y Ana M</w:t>
      </w:r>
      <w:r>
        <w:t>a</w:t>
      </w:r>
      <w:r>
        <w:t>ría Boragni-, y asociación ilícita, todos ellos en concurso real (arts. 12, 29, inc. 3°, 42, 45, 55, 144 bis, inc. 1°, 168, 170 y 210 del Código Penal);</w:t>
      </w:r>
    </w:p>
    <w:p w:rsidR="00224567" w:rsidRDefault="00224567">
      <w:pPr>
        <w:pStyle w:val="Textoindependiente"/>
        <w:spacing w:line="600" w:lineRule="auto"/>
      </w:pPr>
      <w:r>
        <w:tab/>
        <w:t>14) Se condene a Marcelo Darío Casas a la p</w:t>
      </w:r>
      <w:r>
        <w:t>e</w:t>
      </w:r>
      <w:r>
        <w:t>na de tres años de prisión, cuyo cumplimiento puede ser d</w:t>
      </w:r>
      <w:r>
        <w:t>e</w:t>
      </w:r>
      <w:r>
        <w:t>jado en suspenso, y costas, por considerarlo autor pena</w:t>
      </w:r>
      <w:r>
        <w:t>l</w:t>
      </w:r>
      <w:r>
        <w:t>mente responsable de los delitos de falso testimonio agr</w:t>
      </w:r>
      <w:r>
        <w:t>a</w:t>
      </w:r>
      <w:r>
        <w:t>vado en perjuicio de Carlos Alberto Telle</w:t>
      </w:r>
      <w:r>
        <w:t>l</w:t>
      </w:r>
      <w:r>
        <w:t>dín –hecho del 15 de marzo de 1994 en la citada causa 5681-, en concurso m</w:t>
      </w:r>
      <w:r>
        <w:t>a</w:t>
      </w:r>
      <w:r>
        <w:t xml:space="preserve">terial con  el  delito de falso testimonio simple –hecho del 15 de agosto de 1995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Bonaerense-"/>
        </w:smartTagPr>
        <w:r>
          <w:t>la Policía Bonaerense-</w:t>
        </w:r>
      </w:smartTag>
      <w:r>
        <w:t xml:space="preserve"> (arts. 29, inc. 3°, 55 y 275, primer y segu</w:t>
      </w:r>
      <w:r>
        <w:t>n</w:t>
      </w:r>
      <w:r>
        <w:t>do párrafo, del Código Penal);</w:t>
      </w:r>
    </w:p>
    <w:p w:rsidR="00224567" w:rsidRDefault="00224567">
      <w:pPr>
        <w:pStyle w:val="Textoindependiente"/>
        <w:spacing w:line="600" w:lineRule="auto"/>
      </w:pPr>
      <w:r>
        <w:tab/>
        <w:t>15) Se condene a Eduardo Diego Toledo a la pena de un año de prisión, cuyo cumplimiento puede ser d</w:t>
      </w:r>
      <w:r>
        <w:t>e</w:t>
      </w:r>
      <w:r>
        <w:t>jado en suspenso, y costas, por considerarlo autor pena</w:t>
      </w:r>
      <w:r>
        <w:t>l</w:t>
      </w:r>
      <w:r>
        <w:t>mente responsable del delito de falso testimonio si</w:t>
      </w:r>
      <w:r>
        <w:t>m</w:t>
      </w:r>
      <w:r>
        <w:t xml:space="preserve">ple –hecho de 15 de agosto de 1995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Bonaerense-"/>
        </w:smartTagPr>
        <w:r>
          <w:t>la Policía Bona</w:t>
        </w:r>
        <w:r>
          <w:t>e</w:t>
        </w:r>
        <w:r>
          <w:t>rense-</w:t>
        </w:r>
      </w:smartTag>
      <w:r>
        <w:t xml:space="preserve"> (arts. 29, inc. 3° y 275, primer </w:t>
      </w:r>
      <w:r>
        <w:lastRenderedPageBreak/>
        <w:t xml:space="preserve">párrafo, del Código Penal); </w:t>
      </w:r>
    </w:p>
    <w:p w:rsidR="00224567" w:rsidRDefault="00224567">
      <w:pPr>
        <w:pStyle w:val="Textoindependiente"/>
        <w:spacing w:line="600" w:lineRule="auto"/>
      </w:pPr>
      <w:r>
        <w:tab/>
        <w:t>16) Se absuelva libremente y sin costas a Claudio Walter Araya en orden a los delitos de secuestro extorsivo –hecho del 4 de abril de 1994-, en co</w:t>
      </w:r>
      <w:r>
        <w:t>n</w:t>
      </w:r>
      <w:r>
        <w:t>curso real con el de asociación ilícita, por el que fue requerida su elevación a juicio;</w:t>
      </w:r>
    </w:p>
    <w:p w:rsidR="00224567" w:rsidRDefault="00224567">
      <w:pPr>
        <w:pStyle w:val="Textoindependiente"/>
        <w:spacing w:line="600" w:lineRule="auto"/>
      </w:pPr>
      <w:r>
        <w:tab/>
        <w:t>17) Se absuelva libremente y sin costas a Víctor Carlos Cruz, en orden a los delitos de extorsión y privación ilegal de la libertad agravada, en grado de te</w:t>
      </w:r>
      <w:r>
        <w:t>n</w:t>
      </w:r>
      <w:r>
        <w:t>tativa –hecho del 15 de marzo de 1994-; en concurso real con el delito de asociación ilícita, por el que fue requ</w:t>
      </w:r>
      <w:r>
        <w:t>e</w:t>
      </w:r>
      <w:r>
        <w:t>rida su elev</w:t>
      </w:r>
      <w:r>
        <w:t>a</w:t>
      </w:r>
      <w:r>
        <w:t>ción a juicio;</w:t>
      </w:r>
    </w:p>
    <w:p w:rsidR="00224567" w:rsidRDefault="00224567">
      <w:pPr>
        <w:pStyle w:val="Textoindependiente"/>
        <w:spacing w:line="600" w:lineRule="auto"/>
      </w:pPr>
      <w:r>
        <w:tab/>
        <w:t>18) Se absuelva libremente y sin costas a A</w:t>
      </w:r>
      <w:r>
        <w:t>r</w:t>
      </w:r>
      <w:r>
        <w:t>gentino Gabriel Lasala en orden al delito de asociación ilícita, por el que fue requerida su elevación a ju</w:t>
      </w:r>
      <w:r>
        <w:t>i</w:t>
      </w:r>
      <w:r>
        <w:t>cio;</w:t>
      </w:r>
    </w:p>
    <w:p w:rsidR="00224567" w:rsidRDefault="00224567">
      <w:pPr>
        <w:pStyle w:val="Textoindependiente"/>
        <w:spacing w:line="600" w:lineRule="auto"/>
      </w:pPr>
      <w:r>
        <w:tab/>
        <w:t>19) Se absuelva libremente y sin costas a D</w:t>
      </w:r>
      <w:r>
        <w:t>a</w:t>
      </w:r>
      <w:r>
        <w:t>niel Emilio Quinteros en orden a los delitos de falsedad ideológica de instrumento público y asociación ilícita, por los que fue requerida su elevación a ju</w:t>
      </w:r>
      <w:r>
        <w:t>i</w:t>
      </w:r>
      <w:r>
        <w:t>cio;</w:t>
      </w:r>
    </w:p>
    <w:p w:rsidR="00224567" w:rsidRDefault="00224567">
      <w:pPr>
        <w:pStyle w:val="Textoindependiente"/>
        <w:spacing w:line="600" w:lineRule="auto"/>
      </w:pPr>
      <w:r>
        <w:tab/>
        <w:t>20) Se declare extinguida por prescri</w:t>
      </w:r>
      <w:r>
        <w:t>p</w:t>
      </w:r>
      <w:r>
        <w:t xml:space="preserve">ción la </w:t>
      </w:r>
      <w:r>
        <w:lastRenderedPageBreak/>
        <w:t>acción penal respecto de Ariel Rodolfo Nitzcaner, Hugo A</w:t>
      </w:r>
      <w:r>
        <w:t>n</w:t>
      </w:r>
      <w:r>
        <w:t>tonio Pérez y Miguel Gustavo Jaimes, y se los absuelva l</w:t>
      </w:r>
      <w:r>
        <w:t>i</w:t>
      </w:r>
      <w:r>
        <w:t>bremente y sin costas en orden al delito de e</w:t>
      </w:r>
      <w:r>
        <w:t>n</w:t>
      </w:r>
      <w:r>
        <w:t>cubrimiento, por el que fue requerida su elevación a ju</w:t>
      </w:r>
      <w:r>
        <w:t>i</w:t>
      </w:r>
      <w:r>
        <w:t>cio;</w:t>
      </w:r>
    </w:p>
    <w:p w:rsidR="00224567" w:rsidRDefault="00224567">
      <w:pPr>
        <w:pStyle w:val="Textoindependiente"/>
        <w:spacing w:line="600" w:lineRule="auto"/>
      </w:pPr>
      <w:r>
        <w:tab/>
        <w:t>21) Se absuelva libremente y sin costas a Carlos Alberto Telleldín, Juan José Ribelli, Raúl Edilio Ibarra, Mario Norberto Bareiro y Anastasio Ireneo Leal, en orden al delito de lesiones gravísimas reiteradas y agrav</w:t>
      </w:r>
      <w:r>
        <w:t>a</w:t>
      </w:r>
      <w:r>
        <w:t>das por i</w:t>
      </w:r>
      <w:r>
        <w:t>m</w:t>
      </w:r>
      <w:r>
        <w:t>perio de la ley 23.592, por el cual fue requerida su el</w:t>
      </w:r>
      <w:r>
        <w:t>e</w:t>
      </w:r>
      <w:r>
        <w:t>vación a juicio;</w:t>
      </w:r>
    </w:p>
    <w:p w:rsidR="00224567" w:rsidRDefault="00224567">
      <w:pPr>
        <w:pStyle w:val="Textoindependiente"/>
        <w:spacing w:line="600" w:lineRule="auto"/>
      </w:pPr>
      <w:r>
        <w:tab/>
        <w:t>22) Se absuelva libremente y sin costas a Juan José Ribelli, Raúl Edilio Ibarra, Mario Norberto B</w:t>
      </w:r>
      <w:r>
        <w:t>a</w:t>
      </w:r>
      <w:r>
        <w:t>reiro y a Anastasio Ireneo Leal, en orden al delito de e</w:t>
      </w:r>
      <w:r>
        <w:t>x</w:t>
      </w:r>
      <w:r>
        <w:t>torsión –hecho del 10 de julio de 1994 en perjuicio de Ca</w:t>
      </w:r>
      <w:r>
        <w:t>r</w:t>
      </w:r>
      <w:r>
        <w:t xml:space="preserve">los Telleldín-, por el que fue requerida su elevación a juicio y, </w:t>
      </w:r>
    </w:p>
    <w:p w:rsidR="00224567" w:rsidRDefault="00224567">
      <w:pPr>
        <w:pStyle w:val="Textoindependiente"/>
        <w:spacing w:line="600" w:lineRule="auto"/>
      </w:pPr>
      <w:r>
        <w:tab/>
        <w:t>23) Se absuelva libremente y sin costas a Bautista Alberto Huici, en orden al delito de extorsión y privación ilegal de la libertad agravada, ambos en grado de tentat</w:t>
      </w:r>
      <w:r>
        <w:t>i</w:t>
      </w:r>
      <w:r>
        <w:t>va - hecho del 15 de marzo de 1994-, por el que fue requ</w:t>
      </w:r>
      <w:r>
        <w:t>e</w:t>
      </w:r>
      <w:r>
        <w:t>rida su elevación a juicio.</w:t>
      </w:r>
    </w:p>
    <w:p w:rsidR="00224567" w:rsidRDefault="00224567">
      <w:pPr>
        <w:pStyle w:val="Textoindependiente"/>
        <w:spacing w:line="600" w:lineRule="auto"/>
        <w:ind w:firstLine="2835"/>
      </w:pPr>
      <w:r>
        <w:lastRenderedPageBreak/>
        <w:t>Asimismo, por las consideraciones efe</w:t>
      </w:r>
      <w:r>
        <w:t>c</w:t>
      </w:r>
      <w:r>
        <w:t>tuadas a lo largo del alegato, el fiscal general pet</w:t>
      </w:r>
      <w:r>
        <w:t>i</w:t>
      </w:r>
      <w:r>
        <w:t>cionó:</w:t>
      </w:r>
    </w:p>
    <w:p w:rsidR="00224567" w:rsidRDefault="00224567">
      <w:pPr>
        <w:pStyle w:val="Textoindependiente"/>
        <w:spacing w:line="600" w:lineRule="auto"/>
        <w:ind w:firstLine="2835"/>
      </w:pPr>
      <w:r>
        <w:t>1) Que se compute el tiempo de dete</w:t>
      </w:r>
      <w:r>
        <w:t>n</w:t>
      </w:r>
      <w:r>
        <w:t>ción sufrido por los imputados de acuerdo a lo normado en el art. 24 del Código Penal, por cuanto la ley 25.430 der</w:t>
      </w:r>
      <w:r>
        <w:t>o</w:t>
      </w:r>
      <w:r>
        <w:t>gó el art. 8º de la ley 24.390;</w:t>
      </w:r>
    </w:p>
    <w:p w:rsidR="00224567" w:rsidRPr="00877F61" w:rsidRDefault="00224567">
      <w:pPr>
        <w:pStyle w:val="Textoindependiente"/>
        <w:spacing w:line="600" w:lineRule="auto"/>
        <w:ind w:firstLine="2835"/>
        <w:rPr>
          <w:highlight w:val="yellow"/>
        </w:rPr>
      </w:pPr>
      <w:r w:rsidRPr="00877F61">
        <w:rPr>
          <w:highlight w:val="yellow"/>
        </w:rPr>
        <w:t>2) Se declare la nulidad de la declar</w:t>
      </w:r>
      <w:r w:rsidRPr="00877F61">
        <w:rPr>
          <w:highlight w:val="yellow"/>
        </w:rPr>
        <w:t>a</w:t>
      </w:r>
      <w:r w:rsidRPr="00877F61">
        <w:rPr>
          <w:highlight w:val="yellow"/>
        </w:rPr>
        <w:t>ción indagatoria prestada por Carlos Alberto Telleldín el día 5 de julio de 1996, agregada a fs 38.601/627;</w:t>
      </w:r>
    </w:p>
    <w:p w:rsidR="00224567" w:rsidRDefault="00224567">
      <w:pPr>
        <w:pStyle w:val="Textoindependiente"/>
        <w:spacing w:line="600" w:lineRule="auto"/>
        <w:ind w:firstLine="2835"/>
      </w:pPr>
      <w:r w:rsidRPr="00877F61">
        <w:rPr>
          <w:highlight w:val="yellow"/>
        </w:rPr>
        <w:t>3) Se disponga la incautación de la s</w:t>
      </w:r>
      <w:r w:rsidRPr="00877F61">
        <w:rPr>
          <w:highlight w:val="yellow"/>
        </w:rPr>
        <w:t>u</w:t>
      </w:r>
      <w:r w:rsidRPr="00877F61">
        <w:rPr>
          <w:highlight w:val="yellow"/>
        </w:rPr>
        <w:t>ma de 400.000 dólares o pesos entregada a Carlos Alberto Telleldín a cambio de la declaración mencionada precedent</w:t>
      </w:r>
      <w:r w:rsidRPr="00877F61">
        <w:rPr>
          <w:highlight w:val="yellow"/>
        </w:rPr>
        <w:t>e</w:t>
      </w:r>
      <w:r w:rsidRPr="00877F61">
        <w:rPr>
          <w:highlight w:val="yellow"/>
        </w:rPr>
        <w:t>mente, como así también su restitución al Estado Naci</w:t>
      </w:r>
      <w:r w:rsidRPr="00877F61">
        <w:rPr>
          <w:highlight w:val="yellow"/>
        </w:rPr>
        <w:t>o</w:t>
      </w:r>
      <w:r w:rsidRPr="00877F61">
        <w:rPr>
          <w:highlight w:val="yellow"/>
        </w:rPr>
        <w:t>nal y se tenga por desistida la petición efectuada por la fisc</w:t>
      </w:r>
      <w:r w:rsidRPr="00877F61">
        <w:rPr>
          <w:highlight w:val="yellow"/>
        </w:rPr>
        <w:t>a</w:t>
      </w:r>
      <w:r w:rsidRPr="00877F61">
        <w:rPr>
          <w:highlight w:val="yellow"/>
        </w:rPr>
        <w:t>lía relativa a que dicho importe fuera afectado al embargo</w:t>
      </w:r>
      <w:r>
        <w:t xml:space="preserve"> dispuesto;</w:t>
      </w:r>
    </w:p>
    <w:p w:rsidR="00224567" w:rsidRDefault="00224567">
      <w:pPr>
        <w:pStyle w:val="Textoindependiente"/>
        <w:spacing w:line="600" w:lineRule="auto"/>
        <w:ind w:firstLine="2835"/>
      </w:pPr>
      <w:r>
        <w:t>4) Se declare la nulidad del acta de secuestro de fs. 224 del Informe Preliminar del Departame</w:t>
      </w:r>
      <w:r>
        <w:t>n</w:t>
      </w:r>
      <w:r>
        <w:t xml:space="preserve">to Explosivos y Riesgos Especiales de </w:t>
      </w:r>
      <w:smartTag w:uri="urn:schemas-microsoft-com:office:smarttags" w:element="PersonName">
        <w:smartTagPr>
          <w:attr w:name="ProductID" w:val="la Superintendencia"/>
        </w:smartTagPr>
        <w:r>
          <w:t>la Superintendencia</w:t>
        </w:r>
      </w:smartTag>
      <w:r>
        <w:t xml:space="preserve"> de Bomberos de </w:t>
      </w:r>
      <w:smartTag w:uri="urn:schemas-microsoft-com:office:smarttags" w:element="PersonName">
        <w:smartTagPr>
          <w:attr w:name="ProductID" w:val="la Polic￭a Federal"/>
        </w:smartTagPr>
        <w:r>
          <w:t>la Policía Federal</w:t>
        </w:r>
      </w:smartTag>
      <w:r>
        <w:t xml:space="preserve"> Argentina;</w:t>
      </w:r>
    </w:p>
    <w:p w:rsidR="00224567" w:rsidRDefault="00224567">
      <w:pPr>
        <w:pStyle w:val="Textoindependiente"/>
        <w:spacing w:line="600" w:lineRule="auto"/>
        <w:ind w:firstLine="2835"/>
      </w:pPr>
      <w:r>
        <w:lastRenderedPageBreak/>
        <w:t>5) Se obtengan testimonios a fin de i</w:t>
      </w:r>
      <w:r>
        <w:t>n</w:t>
      </w:r>
      <w:r>
        <w:t>vestigar la posible comisión de un delito de acción p</w:t>
      </w:r>
      <w:r>
        <w:t>ú</w:t>
      </w:r>
      <w:r>
        <w:t>blica que pudieran surgir de los dichos vertidos en la audiencia por Pablo Garris y Gustavo Moragues, y se invest</w:t>
      </w:r>
      <w:r>
        <w:t>i</w:t>
      </w:r>
      <w:r>
        <w:t>gue si se ha violado alguna normativa penal en el acta labrada por el oficial Horacio Ángel Lopardo que corre a fs. 224 del i</w:t>
      </w:r>
      <w:r>
        <w:t>n</w:t>
      </w:r>
      <w:r>
        <w:t>forme antes señalado;</w:t>
      </w:r>
    </w:p>
    <w:p w:rsidR="00224567" w:rsidRDefault="00224567">
      <w:pPr>
        <w:pStyle w:val="Textoindependiente"/>
        <w:spacing w:line="600" w:lineRule="auto"/>
        <w:ind w:firstLine="2835"/>
      </w:pPr>
      <w:r>
        <w:t>6) Se investigue la posible com</w:t>
      </w:r>
      <w:r>
        <w:t>i</w:t>
      </w:r>
      <w:r>
        <w:t>sión de un delito de acción pública que pudiera surgir de los d</w:t>
      </w:r>
      <w:r>
        <w:t>i</w:t>
      </w:r>
      <w:r>
        <w:t>chos vertidos por Mario Jorge Sagarzazu en la a</w:t>
      </w:r>
      <w:r>
        <w:t>u</w:t>
      </w:r>
      <w:r>
        <w:t>diencia de debate del 17 de abril de 2002, con relación al hecho por el cual descon</w:t>
      </w:r>
      <w:r>
        <w:t>o</w:t>
      </w:r>
      <w:r>
        <w:t>ciera la firma que se le atribuye en el acta que fue exhibida en esa oportun</w:t>
      </w:r>
      <w:r>
        <w:t>i</w:t>
      </w:r>
      <w:r>
        <w:t>dad;</w:t>
      </w:r>
    </w:p>
    <w:p w:rsidR="00224567" w:rsidRDefault="00224567">
      <w:pPr>
        <w:pStyle w:val="Textoindependiente"/>
        <w:spacing w:line="600" w:lineRule="auto"/>
        <w:ind w:firstLine="2835"/>
      </w:pPr>
      <w:r>
        <w:t>7</w:t>
      </w:r>
      <w:r w:rsidRPr="001377E5">
        <w:rPr>
          <w:highlight w:val="yellow"/>
        </w:rPr>
        <w:t>) Se obtengan testimonios de los d</w:t>
      </w:r>
      <w:r w:rsidRPr="001377E5">
        <w:rPr>
          <w:highlight w:val="yellow"/>
        </w:rPr>
        <w:t>i</w:t>
      </w:r>
      <w:r w:rsidRPr="001377E5">
        <w:rPr>
          <w:highlight w:val="yellow"/>
        </w:rPr>
        <w:t>chos de Carlos Alberto Telleldín, vertidos en las audie</w:t>
      </w:r>
      <w:r w:rsidRPr="001377E5">
        <w:rPr>
          <w:highlight w:val="yellow"/>
        </w:rPr>
        <w:t>n</w:t>
      </w:r>
      <w:r w:rsidRPr="001377E5">
        <w:rPr>
          <w:highlight w:val="yellow"/>
        </w:rPr>
        <w:t>cias de los días 29 de abril de 2002 y 9 de diciembre de 2003 y se remitan al Juzgado Nacional en lo Criminal y C</w:t>
      </w:r>
      <w:r w:rsidRPr="001377E5">
        <w:rPr>
          <w:highlight w:val="yellow"/>
        </w:rPr>
        <w:t>o</w:t>
      </w:r>
      <w:r w:rsidRPr="001377E5">
        <w:rPr>
          <w:highlight w:val="yellow"/>
        </w:rPr>
        <w:t>rreccional Federal n° 11, par</w:t>
      </w:r>
      <w:r>
        <w:t>a ser agregados a la causa 9789;</w:t>
      </w:r>
    </w:p>
    <w:p w:rsidR="00224567" w:rsidRDefault="00224567">
      <w:pPr>
        <w:pStyle w:val="Textoindependiente"/>
        <w:spacing w:line="600" w:lineRule="auto"/>
        <w:ind w:firstLine="2835"/>
      </w:pPr>
      <w:r>
        <w:t>8) Se obtengan testimonios de las pi</w:t>
      </w:r>
      <w:r>
        <w:t>e</w:t>
      </w:r>
      <w:r>
        <w:t>zas de interés y se remitan al juzgado instru</w:t>
      </w:r>
      <w:r>
        <w:t>c</w:t>
      </w:r>
      <w:r>
        <w:t xml:space="preserve">tor, a fin de </w:t>
      </w:r>
      <w:r>
        <w:lastRenderedPageBreak/>
        <w:t xml:space="preserve">que se </w:t>
      </w:r>
      <w:r w:rsidRPr="001377E5">
        <w:rPr>
          <w:highlight w:val="yellow"/>
        </w:rPr>
        <w:t>investigue la participación del Dr. Gu</w:t>
      </w:r>
      <w:r w:rsidRPr="001377E5">
        <w:rPr>
          <w:highlight w:val="yellow"/>
        </w:rPr>
        <w:t>s</w:t>
      </w:r>
      <w:r w:rsidRPr="001377E5">
        <w:rPr>
          <w:highlight w:val="yellow"/>
        </w:rPr>
        <w:t>tavo Semorile en el delito de secuestro extorsivo cometido en perjuicio de Carlos Alberto Telleldín y</w:t>
      </w:r>
      <w:r>
        <w:t xml:space="preserve"> de Sandra Mar</w:t>
      </w:r>
      <w:r>
        <w:t>i</w:t>
      </w:r>
      <w:r>
        <w:t>sa Petrucci el 4 de abril de 1994;</w:t>
      </w:r>
    </w:p>
    <w:p w:rsidR="00224567" w:rsidRDefault="00224567">
      <w:pPr>
        <w:pStyle w:val="Textoindependiente"/>
        <w:spacing w:line="600" w:lineRule="auto"/>
        <w:ind w:firstLine="2835"/>
      </w:pPr>
      <w:r>
        <w:t>9) Se obtengan testimonios y se rem</w:t>
      </w:r>
      <w:r>
        <w:t>i</w:t>
      </w:r>
      <w:r>
        <w:t xml:space="preserve">tan al Juzgado Nacional en lo Criminal y Correccional Federal n° </w:t>
      </w:r>
      <w:smartTag w:uri="urn:schemas-microsoft-com:office:smarttags" w:element="metricconverter">
        <w:smartTagPr>
          <w:attr w:name="ProductID" w:val="11, a"/>
        </w:smartTagPr>
        <w:r>
          <w:t>11, a</w:t>
        </w:r>
      </w:smartTag>
      <w:r>
        <w:t xml:space="preserve"> fin que se investiguen los pormenores que determ</w:t>
      </w:r>
      <w:r>
        <w:t>i</w:t>
      </w:r>
      <w:r>
        <w:t>naron que Gustavo Semorile fuera escuchado en declaración testimonial, debiéndose remitir los testimonios de Carlos Alberto Telleldín, Ana María Boragni, Sandra Marisa Petru</w:t>
      </w:r>
      <w:r>
        <w:t>c</w:t>
      </w:r>
      <w:r>
        <w:t>ci, Alberto Fabián Spagnuolo, Alfredo Setaro, José Luis Lo Preiato, Luis Botey, Héctor Omar Banga y Claudio Adrián Lifschitz;</w:t>
      </w:r>
    </w:p>
    <w:p w:rsidR="00224567" w:rsidRDefault="00224567">
      <w:pPr>
        <w:pStyle w:val="Textoindependiente"/>
        <w:spacing w:line="600" w:lineRule="auto"/>
        <w:ind w:firstLine="2835"/>
      </w:pPr>
      <w:r>
        <w:t xml:space="preserve">10) </w:t>
      </w:r>
      <w:r w:rsidRPr="001377E5">
        <w:rPr>
          <w:highlight w:val="yellow"/>
        </w:rPr>
        <w:t>Se obtengan testimonios y se rem</w:t>
      </w:r>
      <w:r w:rsidRPr="001377E5">
        <w:rPr>
          <w:highlight w:val="yellow"/>
        </w:rPr>
        <w:t>i</w:t>
      </w:r>
      <w:r w:rsidRPr="001377E5">
        <w:rPr>
          <w:highlight w:val="yellow"/>
        </w:rPr>
        <w:t>tan al Juzgado Nacional en lo Criminal y Correccional Fed</w:t>
      </w:r>
      <w:r w:rsidRPr="001377E5">
        <w:rPr>
          <w:highlight w:val="yellow"/>
        </w:rPr>
        <w:t>e</w:t>
      </w:r>
      <w:r w:rsidRPr="001377E5">
        <w:rPr>
          <w:highlight w:val="yellow"/>
        </w:rPr>
        <w:t xml:space="preserve">ral n° 11, de la totalidad de las declaraciones prestadas por los agentes de </w:t>
      </w:r>
      <w:smartTag w:uri="urn:schemas-microsoft-com:office:smarttags" w:element="PersonName">
        <w:smartTagPr>
          <w:attr w:name="ProductID" w:val="la Secretar￭a"/>
        </w:smartTagPr>
        <w:r w:rsidRPr="001377E5">
          <w:rPr>
            <w:highlight w:val="yellow"/>
          </w:rPr>
          <w:t>la Secretaría</w:t>
        </w:r>
      </w:smartTag>
      <w:r w:rsidRPr="001377E5">
        <w:rPr>
          <w:highlight w:val="yellow"/>
        </w:rPr>
        <w:t xml:space="preserve"> de Intel</w:t>
      </w:r>
      <w:r w:rsidRPr="001377E5">
        <w:rPr>
          <w:highlight w:val="yellow"/>
        </w:rPr>
        <w:t>i</w:t>
      </w:r>
      <w:r w:rsidRPr="001377E5">
        <w:rPr>
          <w:highlight w:val="yellow"/>
        </w:rPr>
        <w:t xml:space="preserve">gencia de Estado, como así también de todas las constancias mencionadas al tratar el pago de USD </w:t>
      </w:r>
      <w:smartTag w:uri="urn:schemas-microsoft-com:office:smarttags" w:element="metricconverter">
        <w:smartTagPr>
          <w:attr w:name="ProductID" w:val="400.000 a"/>
        </w:smartTagPr>
        <w:r w:rsidRPr="001377E5">
          <w:rPr>
            <w:highlight w:val="yellow"/>
          </w:rPr>
          <w:t>400.000 a</w:t>
        </w:r>
      </w:smartTag>
      <w:r w:rsidRPr="001377E5">
        <w:rPr>
          <w:highlight w:val="yellow"/>
        </w:rPr>
        <w:t xml:space="preserve"> Carlos Alberto Telleldín y del pedido de nulidad de la declaración indagatoria form</w:t>
      </w:r>
      <w:r w:rsidRPr="001377E5">
        <w:rPr>
          <w:highlight w:val="yellow"/>
        </w:rPr>
        <w:t>u</w:t>
      </w:r>
      <w:r w:rsidRPr="001377E5">
        <w:rPr>
          <w:highlight w:val="yellow"/>
        </w:rPr>
        <w:lastRenderedPageBreak/>
        <w:t>lado;</w:t>
      </w:r>
    </w:p>
    <w:p w:rsidR="00224567" w:rsidRDefault="00224567">
      <w:pPr>
        <w:pStyle w:val="Textoindependiente"/>
        <w:spacing w:line="600" w:lineRule="auto"/>
        <w:ind w:firstLine="2835"/>
      </w:pPr>
      <w:r>
        <w:t>11) Se obtengan testimonios de las pi</w:t>
      </w:r>
      <w:r>
        <w:t>e</w:t>
      </w:r>
      <w:r>
        <w:t>zas de interés y se remitan al juzgado instructor, a fin que allí se reciba declaración indagatoria a Ana María B</w:t>
      </w:r>
      <w:r>
        <w:t>o</w:t>
      </w:r>
      <w:r>
        <w:t>ragni por su participación necesaria en el atentado ocurr</w:t>
      </w:r>
      <w:r>
        <w:t>i</w:t>
      </w:r>
      <w:r>
        <w:t>do el 18 de julio de 1994; a tal fin, indicaron como rel</w:t>
      </w:r>
      <w:r>
        <w:t>e</w:t>
      </w:r>
      <w:r>
        <w:t>vantes los dichos de Horacio Antonio Stiuso, Aldo Alfredo Álvarez, Francisco Bonnefon, Alberto Mario Chueco, Vi</w:t>
      </w:r>
      <w:r>
        <w:t>r</w:t>
      </w:r>
      <w:r>
        <w:t>ginia Morri, Miriam Salinas, Hugo Antonio Pérez, Ariel Rodolfo Nitzcaner, Miguel Gustavo Jaimes, Marcelo Fabián Jouce, Mirta Alicia Giménez, Natalia Belusic, Olga Richter, Ant</w:t>
      </w:r>
      <w:r>
        <w:t>o</w:t>
      </w:r>
      <w:r>
        <w:t>nio Lauría y José Antonio Portaluri, entre otros, los que deberán agregarse a la oportuna petición que ese Ministerio Público fo</w:t>
      </w:r>
      <w:r>
        <w:t>r</w:t>
      </w:r>
      <w:r>
        <w:t>muló en el año 1995;</w:t>
      </w:r>
    </w:p>
    <w:p w:rsidR="00224567" w:rsidRDefault="00224567">
      <w:pPr>
        <w:pStyle w:val="Textoindependiente"/>
        <w:spacing w:line="600" w:lineRule="auto"/>
        <w:ind w:firstLine="2835"/>
      </w:pPr>
      <w:r>
        <w:t>12) Se remitan testimonios al Juzgado Nacional en lo Criminal y Correccional Fed</w:t>
      </w:r>
      <w:r>
        <w:t>e</w:t>
      </w:r>
      <w:r>
        <w:t xml:space="preserve">ral n° </w:t>
      </w:r>
      <w:smartTag w:uri="urn:schemas-microsoft-com:office:smarttags" w:element="metricconverter">
        <w:smartTagPr>
          <w:attr w:name="ProductID" w:val="5, a"/>
        </w:smartTagPr>
        <w:r>
          <w:t>5, a</w:t>
        </w:r>
      </w:smartTag>
      <w:r>
        <w:t xml:space="preserve"> fin de que se investiguen las circunstancias que rodearon la recepción </w:t>
      </w:r>
      <w:r w:rsidRPr="001377E5">
        <w:rPr>
          <w:highlight w:val="yellow"/>
        </w:rPr>
        <w:t>de la declaración testimonial a Miriam Salinas -cuya nulidad se declaró por haber sido rece</w:t>
      </w:r>
      <w:r w:rsidRPr="001377E5">
        <w:rPr>
          <w:highlight w:val="yellow"/>
        </w:rPr>
        <w:t>p</w:t>
      </w:r>
      <w:r w:rsidRPr="001377E5">
        <w:rPr>
          <w:highlight w:val="yellow"/>
        </w:rPr>
        <w:t>cionada cuando no estaba fi</w:t>
      </w:r>
      <w:r w:rsidRPr="001377E5">
        <w:rPr>
          <w:highlight w:val="yellow"/>
        </w:rPr>
        <w:t>r</w:t>
      </w:r>
      <w:r w:rsidRPr="001377E5">
        <w:rPr>
          <w:highlight w:val="yellow"/>
        </w:rPr>
        <w:t>me su sobreseimiento-, en razón de los dichos de Claudio Adrián Lifschitz, quien sostuvo qu</w:t>
      </w:r>
      <w:r>
        <w:t xml:space="preserve">e la nombrada </w:t>
      </w:r>
      <w:r>
        <w:lastRenderedPageBreak/>
        <w:t xml:space="preserve">fue sobreseída a cambio de imputar a terceras personas; </w:t>
      </w:r>
      <w:r>
        <w:tab/>
        <w:t>13) Se obtengan testimonios a fin de invest</w:t>
      </w:r>
      <w:r>
        <w:t>i</w:t>
      </w:r>
      <w:r>
        <w:t>gar la totalidad de las escuchas telefónicas realizadas presuntamente sin respaldo judicial, cuyas órdenes de con</w:t>
      </w:r>
      <w:r>
        <w:t>e</w:t>
      </w:r>
      <w:r>
        <w:t>xión habrían sido firmadas por Juan Carlos Anchézar, ind</w:t>
      </w:r>
      <w:r>
        <w:t>i</w:t>
      </w:r>
      <w:r>
        <w:t>cadas en la declaración indagatoria de Juan José Ribelli del 4 noviembre de 2002 y en la documentación aportada en esa oportun</w:t>
      </w:r>
      <w:r>
        <w:t>i</w:t>
      </w:r>
      <w:r>
        <w:t>dad;</w:t>
      </w:r>
    </w:p>
    <w:p w:rsidR="00224567" w:rsidRDefault="00224567">
      <w:pPr>
        <w:pStyle w:val="Textoindependiente"/>
        <w:spacing w:line="600" w:lineRule="auto"/>
        <w:ind w:firstLine="2835"/>
      </w:pPr>
      <w:r>
        <w:t>14) Se obtengan testimonios a fin de investigar los delitos denunciados por Juan José Rib</w:t>
      </w:r>
      <w:r>
        <w:t>e</w:t>
      </w:r>
      <w:r>
        <w:t>lli en la audiencia del 4 de diciembre de 2002;</w:t>
      </w:r>
    </w:p>
    <w:p w:rsidR="00224567" w:rsidRDefault="00224567">
      <w:pPr>
        <w:pStyle w:val="Textoindependiente"/>
        <w:spacing w:line="600" w:lineRule="auto"/>
        <w:ind w:firstLine="2835"/>
      </w:pPr>
      <w:r>
        <w:t>15) Se obtengan testimonios a fin de investigar los delitos de acción pública denunciados por Juan Carlos Nicolau  en la audiencia del 5 de d</w:t>
      </w:r>
      <w:r>
        <w:t>i</w:t>
      </w:r>
      <w:r>
        <w:t>ciembre de 2002, relativo a las presiones que sufrió por parte del hermano de Juan José Ribelli para modificar su declar</w:t>
      </w:r>
      <w:r>
        <w:t>a</w:t>
      </w:r>
      <w:r>
        <w:t>ción;</w:t>
      </w:r>
    </w:p>
    <w:p w:rsidR="00224567" w:rsidRDefault="00224567">
      <w:pPr>
        <w:pStyle w:val="Textoindependiente"/>
        <w:spacing w:line="600" w:lineRule="auto"/>
        <w:ind w:firstLine="2835"/>
      </w:pPr>
      <w:r>
        <w:t>16) Se obtengan testimonios a fin de investigar los delitos de acción pública denunciados por Marcela Alejandra Bouzón en la audie</w:t>
      </w:r>
      <w:r>
        <w:t>n</w:t>
      </w:r>
      <w:r>
        <w:t xml:space="preserve">cia del 16 de enero de 2003, vinculados con los presuntos hechos intimidatorios </w:t>
      </w:r>
      <w:r>
        <w:lastRenderedPageBreak/>
        <w:t>atribuidos al ex comisario Luis Vicat, con el prop</w:t>
      </w:r>
      <w:r>
        <w:t>ó</w:t>
      </w:r>
      <w:r>
        <w:t>sito de imputar a su marido Juan José Ribelli;</w:t>
      </w:r>
    </w:p>
    <w:p w:rsidR="00224567" w:rsidRDefault="00224567">
      <w:pPr>
        <w:pStyle w:val="Textoindependiente"/>
        <w:spacing w:line="600" w:lineRule="auto"/>
        <w:ind w:firstLine="2835"/>
      </w:pPr>
      <w:r>
        <w:t>17</w:t>
      </w:r>
      <w:r w:rsidRPr="001377E5">
        <w:rPr>
          <w:highlight w:val="yellow"/>
        </w:rPr>
        <w:t>) Se obtengan testimonios de las pa</w:t>
      </w:r>
      <w:r w:rsidRPr="001377E5">
        <w:rPr>
          <w:highlight w:val="yellow"/>
        </w:rPr>
        <w:t>r</w:t>
      </w:r>
      <w:r w:rsidRPr="001377E5">
        <w:rPr>
          <w:highlight w:val="yellow"/>
        </w:rPr>
        <w:t>tes pertinentes con el objeto de que se investigue el del</w:t>
      </w:r>
      <w:r w:rsidRPr="001377E5">
        <w:rPr>
          <w:highlight w:val="yellow"/>
        </w:rPr>
        <w:t>i</w:t>
      </w:r>
      <w:r w:rsidRPr="001377E5">
        <w:rPr>
          <w:highlight w:val="yellow"/>
        </w:rPr>
        <w:t>to de falso testim</w:t>
      </w:r>
      <w:r w:rsidRPr="001377E5">
        <w:rPr>
          <w:highlight w:val="yellow"/>
        </w:rPr>
        <w:t>o</w:t>
      </w:r>
      <w:r w:rsidRPr="001377E5">
        <w:rPr>
          <w:highlight w:val="yellow"/>
        </w:rPr>
        <w:t>nio en que habría incurrido Héctor Pedro Vergéz en la audiencia del 30 de enero 2003;</w:t>
      </w:r>
      <w:r>
        <w:t xml:space="preserve"> </w:t>
      </w:r>
      <w:r>
        <w:tab/>
        <w:t>18) Se investiguen las circunstancias que r</w:t>
      </w:r>
      <w:r>
        <w:t>o</w:t>
      </w:r>
      <w:r>
        <w:t>dearon la presentación en el juzgado de Héctor Pedro Ve</w:t>
      </w:r>
      <w:r>
        <w:t>r</w:t>
      </w:r>
      <w:r>
        <w:t>géz, donde se identificó como pariente del imputado Telle</w:t>
      </w:r>
      <w:r>
        <w:t>l</w:t>
      </w:r>
      <w:r>
        <w:t>dín -conforme surge de lo actuado a fs. 8206, 8619, 8749 y cc.-, como así también todo lo relativo a la activ</w:t>
      </w:r>
      <w:r>
        <w:t>i</w:t>
      </w:r>
      <w:r>
        <w:t>dad que el nombrado desplegó en la causa ante la posible comisión de delitos de acción públ</w:t>
      </w:r>
      <w:r>
        <w:t>i</w:t>
      </w:r>
      <w:r>
        <w:t>ca;</w:t>
      </w:r>
    </w:p>
    <w:p w:rsidR="00224567" w:rsidRDefault="00224567">
      <w:pPr>
        <w:pStyle w:val="Textoindependiente"/>
        <w:spacing w:line="600" w:lineRule="auto"/>
        <w:ind w:firstLine="2835"/>
      </w:pPr>
      <w:r>
        <w:t>19) Se investiguen los delitos que su</w:t>
      </w:r>
      <w:r>
        <w:t>r</w:t>
      </w:r>
      <w:r>
        <w:t>gen de la declaración de José Carlos Bretschneider, in</w:t>
      </w:r>
      <w:r>
        <w:t>s</w:t>
      </w:r>
      <w:r>
        <w:t>tructor de varios de los sumarios adm</w:t>
      </w:r>
      <w:r>
        <w:t>i</w:t>
      </w:r>
      <w:r>
        <w:t>nistrativos labrados contra el personal policial, en cuanto al disímil trato procesal y resolución recaída respecto de personas sobre las que pesaba la misma imputación delictiva; una, expuls</w:t>
      </w:r>
      <w:r>
        <w:t>a</w:t>
      </w:r>
      <w:r>
        <w:t>da de la fuerza, como es el caso de Bacigalupo, y otra en activ</w:t>
      </w:r>
      <w:r>
        <w:t>i</w:t>
      </w:r>
      <w:r>
        <w:t>dad, como el supuesto de Burguete;</w:t>
      </w:r>
    </w:p>
    <w:p w:rsidR="00224567" w:rsidRDefault="00224567">
      <w:pPr>
        <w:pStyle w:val="Textoindependiente"/>
        <w:spacing w:line="600" w:lineRule="auto"/>
        <w:ind w:firstLine="2835"/>
      </w:pPr>
      <w:r>
        <w:lastRenderedPageBreak/>
        <w:t>20) Se investiguen los dichos de Albe</w:t>
      </w:r>
      <w:r>
        <w:t>r</w:t>
      </w:r>
      <w:r>
        <w:t>to Enrique Barreda y de Miguel Gargano Mendoza con r</w:t>
      </w:r>
      <w:r>
        <w:t>e</w:t>
      </w:r>
      <w:r>
        <w:t>lación a la oferta que el ex comisario Luis Vicat habría efectuado al imputado Diego Enrique B</w:t>
      </w:r>
      <w:r>
        <w:t>a</w:t>
      </w:r>
      <w:r>
        <w:t>rreda;</w:t>
      </w:r>
    </w:p>
    <w:p w:rsidR="00224567" w:rsidRDefault="00224567">
      <w:pPr>
        <w:pStyle w:val="Textoindependiente"/>
        <w:spacing w:line="600" w:lineRule="auto"/>
        <w:ind w:firstLine="2835"/>
      </w:pPr>
      <w:r>
        <w:t>21</w:t>
      </w:r>
      <w:r w:rsidRPr="001377E5">
        <w:rPr>
          <w:highlight w:val="yellow"/>
        </w:rPr>
        <w:t>) Se extraigan testimonios y se rem</w:t>
      </w:r>
      <w:r w:rsidRPr="001377E5">
        <w:rPr>
          <w:highlight w:val="yellow"/>
        </w:rPr>
        <w:t>i</w:t>
      </w:r>
      <w:r w:rsidRPr="001377E5">
        <w:rPr>
          <w:highlight w:val="yellow"/>
        </w:rPr>
        <w:t>tan al juez competente a fin de investigar la condu</w:t>
      </w:r>
      <w:r w:rsidRPr="001377E5">
        <w:rPr>
          <w:highlight w:val="yellow"/>
        </w:rPr>
        <w:t>c</w:t>
      </w:r>
      <w:r w:rsidRPr="001377E5">
        <w:rPr>
          <w:highlight w:val="yellow"/>
        </w:rPr>
        <w:t xml:space="preserve">ta del Dr. Federico Domínguez, en virtud de las manifestaciones vertidas en el debate por el ex jefe de </w:t>
      </w:r>
      <w:smartTag w:uri="urn:schemas-microsoft-com:office:smarttags" w:element="PersonName">
        <w:smartTagPr>
          <w:attr w:name="ProductID" w:val="la Polic￭a Bonaerense"/>
        </w:smartTagPr>
        <w:r w:rsidRPr="001377E5">
          <w:rPr>
            <w:highlight w:val="yellow"/>
          </w:rPr>
          <w:t>la Policía Bona</w:t>
        </w:r>
        <w:r w:rsidRPr="001377E5">
          <w:rPr>
            <w:highlight w:val="yellow"/>
          </w:rPr>
          <w:t>e</w:t>
        </w:r>
        <w:r w:rsidRPr="001377E5">
          <w:rPr>
            <w:highlight w:val="yellow"/>
          </w:rPr>
          <w:t>rense</w:t>
        </w:r>
      </w:smartTag>
      <w:r w:rsidRPr="001377E5">
        <w:rPr>
          <w:highlight w:val="yellow"/>
        </w:rPr>
        <w:t>, Adolfo Hugo Vitelli, y por Hugo</w:t>
      </w:r>
      <w:r>
        <w:t xml:space="preserve"> Alberto Vacc</w:t>
      </w:r>
      <w:r>
        <w:t>a</w:t>
      </w:r>
      <w:r>
        <w:t>rezza;</w:t>
      </w:r>
    </w:p>
    <w:p w:rsidR="00224567" w:rsidRDefault="00224567">
      <w:pPr>
        <w:pStyle w:val="Textoindependiente"/>
        <w:spacing w:line="600" w:lineRule="auto"/>
        <w:ind w:firstLine="2835"/>
      </w:pPr>
      <w:r>
        <w:t>22) Se disponga investigar los del</w:t>
      </w:r>
      <w:r>
        <w:t>i</w:t>
      </w:r>
      <w:r>
        <w:t>tos que emergen de la declaración del Dr. Marcelo Eduardo Ga</w:t>
      </w:r>
      <w:r>
        <w:t>r</w:t>
      </w:r>
      <w:r>
        <w:t>cía prestada el 13 de febrero del 2003, entre las que se cuentan imputaciones contra el ex comisario Luis V</w:t>
      </w:r>
      <w:r>
        <w:t>i</w:t>
      </w:r>
      <w:r>
        <w:t>cat y el Dr. Federico Domínguez; deben valorarse, además, las man</w:t>
      </w:r>
      <w:r>
        <w:t>i</w:t>
      </w:r>
      <w:r>
        <w:t>festaciones que al respecto formuló Ba</w:t>
      </w:r>
      <w:r>
        <w:t>u</w:t>
      </w:r>
      <w:r>
        <w:t xml:space="preserve">tista Alberto Huici el 9 de febrero de 1998; asimismo, se remitan copias de las piezas de interés a </w:t>
      </w:r>
      <w:smartTag w:uri="urn:schemas-microsoft-com:office:smarttags" w:element="PersonName">
        <w:smartTagPr>
          <w:attr w:name="ProductID" w:val="la Suprema Corte"/>
        </w:smartTagPr>
        <w:r>
          <w:t>la Suprema Corte</w:t>
        </w:r>
      </w:smartTag>
      <w:r>
        <w:t xml:space="preserve"> de Justicia de </w:t>
      </w:r>
      <w:smartTag w:uri="urn:schemas-microsoft-com:office:smarttags" w:element="PersonName">
        <w:smartTagPr>
          <w:attr w:name="ProductID" w:val="la Provincia"/>
        </w:smartTagPr>
        <w:r>
          <w:t>la Pr</w:t>
        </w:r>
        <w:r>
          <w:t>o</w:t>
        </w:r>
        <w:r>
          <w:t>vincia</w:t>
        </w:r>
      </w:smartTag>
      <w:r>
        <w:t xml:space="preserve"> de Buenos Aires, a los fines que correspo</w:t>
      </w:r>
      <w:r>
        <w:t>n</w:t>
      </w:r>
      <w:r>
        <w:t>dan;</w:t>
      </w:r>
    </w:p>
    <w:p w:rsidR="00224567" w:rsidRDefault="00224567">
      <w:pPr>
        <w:pStyle w:val="Textoindependiente"/>
        <w:spacing w:line="600" w:lineRule="auto"/>
        <w:ind w:firstLine="2835"/>
      </w:pPr>
      <w:r w:rsidRPr="001377E5">
        <w:rPr>
          <w:highlight w:val="yellow"/>
        </w:rPr>
        <w:t>23) Se ordene investigar la co</w:t>
      </w:r>
      <w:r w:rsidRPr="001377E5">
        <w:rPr>
          <w:highlight w:val="yellow"/>
        </w:rPr>
        <w:t>n</w:t>
      </w:r>
      <w:r w:rsidRPr="001377E5">
        <w:rPr>
          <w:highlight w:val="yellow"/>
        </w:rPr>
        <w:t xml:space="preserve">ducta de Aldo Andrés Spicacci Citarella, por su intervención en la </w:t>
      </w:r>
      <w:r w:rsidRPr="001377E5">
        <w:rPr>
          <w:highlight w:val="yellow"/>
        </w:rPr>
        <w:lastRenderedPageBreak/>
        <w:t>presunta falsedad de las actas obrantes a fs. 84.710 y 84.721, y que se determine si el nombrado pa</w:t>
      </w:r>
      <w:r w:rsidRPr="001377E5">
        <w:rPr>
          <w:highlight w:val="yellow"/>
        </w:rPr>
        <w:t>r</w:t>
      </w:r>
      <w:r w:rsidRPr="001377E5">
        <w:rPr>
          <w:highlight w:val="yellow"/>
        </w:rPr>
        <w:t>ticipó en las conductas desplegadas por Federico Domí</w:t>
      </w:r>
      <w:r w:rsidRPr="001377E5">
        <w:rPr>
          <w:highlight w:val="yellow"/>
        </w:rPr>
        <w:t>n</w:t>
      </w:r>
      <w:r w:rsidRPr="001377E5">
        <w:rPr>
          <w:highlight w:val="yellow"/>
        </w:rPr>
        <w:t>guez y Luis Vicat, presuntamente enderezadas a obtener testimonios bajo pr</w:t>
      </w:r>
      <w:r w:rsidRPr="001377E5">
        <w:rPr>
          <w:highlight w:val="yellow"/>
        </w:rPr>
        <w:t>e</w:t>
      </w:r>
      <w:r w:rsidRPr="001377E5">
        <w:rPr>
          <w:highlight w:val="yellow"/>
        </w:rPr>
        <w:t>sión para imputar a Juan José Rib</w:t>
      </w:r>
      <w:r w:rsidRPr="001377E5">
        <w:rPr>
          <w:highlight w:val="yellow"/>
        </w:rPr>
        <w:t>e</w:t>
      </w:r>
      <w:r w:rsidRPr="001377E5">
        <w:rPr>
          <w:highlight w:val="yellow"/>
        </w:rPr>
        <w:t>lli;</w:t>
      </w:r>
    </w:p>
    <w:p w:rsidR="00224567" w:rsidRDefault="00224567">
      <w:pPr>
        <w:pStyle w:val="Textoindependiente"/>
        <w:spacing w:line="600" w:lineRule="auto"/>
        <w:ind w:firstLine="2835"/>
      </w:pPr>
      <w:r>
        <w:t>24) Se ordene la extracción de testim</w:t>
      </w:r>
      <w:r>
        <w:t>o</w:t>
      </w:r>
      <w:r>
        <w:t>nios de la declaración prestada por Ramón Emilio Solari T</w:t>
      </w:r>
      <w:r>
        <w:t>o</w:t>
      </w:r>
      <w:r>
        <w:t>rres el 22 de abril de 2003 en el debate, a fin de invest</w:t>
      </w:r>
      <w:r>
        <w:t>i</w:t>
      </w:r>
      <w:r>
        <w:t>gar la posible participación de Jorge Horacio Rago en el delito de encubrimiento del atent</w:t>
      </w:r>
      <w:r>
        <w:t>a</w:t>
      </w:r>
      <w:r>
        <w:t>do;</w:t>
      </w:r>
    </w:p>
    <w:p w:rsidR="00224567" w:rsidRDefault="00224567">
      <w:pPr>
        <w:pStyle w:val="Textoindependiente"/>
        <w:spacing w:line="600" w:lineRule="auto"/>
        <w:ind w:firstLine="2835"/>
      </w:pPr>
      <w:r>
        <w:t>25) Se extraigan testimonios a fin de investigar la posible comisión de delitos de acción p</w:t>
      </w:r>
      <w:r>
        <w:t>ú</w:t>
      </w:r>
      <w:r>
        <w:t>blica por parte de Ángel Roberto Salguero, en atención a sus m</w:t>
      </w:r>
      <w:r>
        <w:t>a</w:t>
      </w:r>
      <w:r>
        <w:t>nifestaciones en el debate acerca del contenido de las a</w:t>
      </w:r>
      <w:r>
        <w:t>c</w:t>
      </w:r>
      <w:r>
        <w:t>tas instrume</w:t>
      </w:r>
      <w:r>
        <w:t>n</w:t>
      </w:r>
      <w:r>
        <w:t>tadas a fs. 84.701, 51.536, 51.541 y 18.800;</w:t>
      </w:r>
    </w:p>
    <w:p w:rsidR="00224567" w:rsidRDefault="00224567">
      <w:pPr>
        <w:pStyle w:val="Textoindependiente"/>
        <w:spacing w:line="600" w:lineRule="auto"/>
        <w:ind w:firstLine="2835"/>
      </w:pPr>
      <w:r>
        <w:t>26) Se extraigan testimonios a fin de investigar si Claudio Cañete cometió el delito de falso testimonio agravado en perjuicio de un i</w:t>
      </w:r>
      <w:r>
        <w:t>m</w:t>
      </w:r>
      <w:r>
        <w:t>putado y si Ángel Roberto Salguero actuó como su instigador;</w:t>
      </w:r>
    </w:p>
    <w:p w:rsidR="00224567" w:rsidRDefault="00224567">
      <w:pPr>
        <w:pStyle w:val="Textoindependiente"/>
        <w:spacing w:line="600" w:lineRule="auto"/>
        <w:ind w:firstLine="2835"/>
      </w:pPr>
      <w:r w:rsidRPr="001377E5">
        <w:t>27</w:t>
      </w:r>
      <w:r w:rsidRPr="001377E5">
        <w:rPr>
          <w:highlight w:val="yellow"/>
        </w:rPr>
        <w:t>) Se extraigan testimonios a fin de investigar la posible comisión de delitos de acción p</w:t>
      </w:r>
      <w:r w:rsidRPr="001377E5">
        <w:rPr>
          <w:highlight w:val="yellow"/>
        </w:rPr>
        <w:t>ú</w:t>
      </w:r>
      <w:r w:rsidRPr="001377E5">
        <w:rPr>
          <w:highlight w:val="yellow"/>
        </w:rPr>
        <w:t xml:space="preserve">blica </w:t>
      </w:r>
      <w:r w:rsidRPr="001377E5">
        <w:rPr>
          <w:highlight w:val="yellow"/>
        </w:rPr>
        <w:lastRenderedPageBreak/>
        <w:t>emergentes de la constancia actu</w:t>
      </w:r>
      <w:r w:rsidRPr="001377E5">
        <w:rPr>
          <w:highlight w:val="yellow"/>
        </w:rPr>
        <w:t>a</w:t>
      </w:r>
      <w:r w:rsidRPr="001377E5">
        <w:rPr>
          <w:highlight w:val="yellow"/>
        </w:rPr>
        <w:t>rial obrante a fs. 41.289, en atención a los dichos vertidos el 13 de agosto de 2003 por Jaquelina Gisela Araya y Gabriela Le</w:t>
      </w:r>
      <w:r w:rsidRPr="001377E5">
        <w:rPr>
          <w:highlight w:val="yellow"/>
        </w:rPr>
        <w:t>o</w:t>
      </w:r>
      <w:r w:rsidRPr="001377E5">
        <w:rPr>
          <w:highlight w:val="yellow"/>
        </w:rPr>
        <w:t>ne;</w:t>
      </w:r>
    </w:p>
    <w:p w:rsidR="00224567" w:rsidRDefault="00224567">
      <w:pPr>
        <w:pStyle w:val="Textoindependiente"/>
        <w:spacing w:line="600" w:lineRule="auto"/>
        <w:ind w:firstLine="2835"/>
      </w:pPr>
      <w:r>
        <w:t>28) Se investigue la posible comisión de delitos de acción pública en los oficios judiciales l</w:t>
      </w:r>
      <w:r>
        <w:t>i</w:t>
      </w:r>
      <w:r>
        <w:t>brados presu</w:t>
      </w:r>
      <w:r>
        <w:t>n</w:t>
      </w:r>
      <w:r>
        <w:t xml:space="preserve">tamente los días 25 y 26 de julio de </w:t>
      </w:r>
      <w:smartTag w:uri="urn:schemas-microsoft-com:office:smarttags" w:element="metricconverter">
        <w:smartTagPr>
          <w:attr w:name="ProductID" w:val="1994 a"/>
        </w:smartTagPr>
        <w:r>
          <w:t>1994 a</w:t>
        </w:r>
      </w:smartTag>
      <w:r>
        <w:t xml:space="preserve"> </w:t>
      </w:r>
      <w:smartTag w:uri="urn:schemas-microsoft-com:office:smarttags" w:element="PersonName">
        <w:smartTagPr>
          <w:attr w:name="ProductID" w:val="la Direcci￳n"/>
        </w:smartTagPr>
        <w:r>
          <w:t>la Dirección</w:t>
        </w:r>
      </w:smartTag>
      <w:r>
        <w:t xml:space="preserve"> de Observaciones J</w:t>
      </w:r>
      <w:r>
        <w:t>u</w:t>
      </w:r>
      <w:r>
        <w:t xml:space="preserve">diciales de </w:t>
      </w:r>
      <w:smartTag w:uri="urn:schemas-microsoft-com:office:smarttags" w:element="PersonName">
        <w:smartTagPr>
          <w:attr w:name="ProductID" w:val="la S.I"/>
        </w:smartTagPr>
        <w:r>
          <w:t>la S.I</w:t>
        </w:r>
      </w:smartTag>
      <w:r>
        <w:t>.D.E., cuyo original, en un caso, luce a fs. 872 y, en el otro, rese</w:t>
      </w:r>
      <w:r>
        <w:t>r</w:t>
      </w:r>
      <w:r>
        <w:t>vado en secretaría, correspondientes a la intervención de los ab</w:t>
      </w:r>
      <w:r>
        <w:t>o</w:t>
      </w:r>
      <w:r>
        <w:t>nados 201-4637, 941-8060, 942-9181 y 449-4706;</w:t>
      </w:r>
    </w:p>
    <w:p w:rsidR="00224567" w:rsidRDefault="00224567">
      <w:pPr>
        <w:pStyle w:val="Textoindependiente"/>
        <w:spacing w:line="600" w:lineRule="auto"/>
        <w:ind w:firstLine="2835"/>
      </w:pPr>
      <w:r>
        <w:t>29) Se remita copia de los dichos de Rodolfo Rigamonti prestados en el debate al Juzgado Naci</w:t>
      </w:r>
      <w:r>
        <w:t>o</w:t>
      </w:r>
      <w:r>
        <w:t xml:space="preserve">nal en lo Criminal y Correccional Federal n° 11; </w:t>
      </w:r>
      <w:r>
        <w:tab/>
        <w:t>30) Se remita copia de la ampliación de la declaración indagatoria vertida por Argentino Gabriel L</w:t>
      </w:r>
      <w:r>
        <w:t>a</w:t>
      </w:r>
      <w:r>
        <w:t>sala el 18 de noviembre de 2003, al juzgado Nacional en lo Criminal y Correccional Federal n° 11, por la presunta c</w:t>
      </w:r>
      <w:r>
        <w:t>o</w:t>
      </w:r>
      <w:r>
        <w:t>misión del delito de acción pública emergente de sus d</w:t>
      </w:r>
      <w:r>
        <w:t>i</w:t>
      </w:r>
      <w:r>
        <w:t xml:space="preserve">chos, con el </w:t>
      </w:r>
      <w:r w:rsidRPr="001377E5">
        <w:rPr>
          <w:highlight w:val="yellow"/>
        </w:rPr>
        <w:t>objeto</w:t>
      </w:r>
      <w:r>
        <w:t xml:space="preserve"> de que se disponga su inve</w:t>
      </w:r>
      <w:r>
        <w:t>s</w:t>
      </w:r>
      <w:r>
        <w:t>tigación;</w:t>
      </w:r>
    </w:p>
    <w:p w:rsidR="00224567" w:rsidRDefault="00224567">
      <w:pPr>
        <w:pStyle w:val="Textoindependiente"/>
        <w:spacing w:line="600" w:lineRule="auto"/>
        <w:ind w:firstLine="2835"/>
      </w:pPr>
      <w:r w:rsidRPr="001377E5">
        <w:rPr>
          <w:highlight w:val="yellow"/>
        </w:rPr>
        <w:t xml:space="preserve">31) Se disponga extraer testimonios y </w:t>
      </w:r>
      <w:r w:rsidRPr="001377E5">
        <w:rPr>
          <w:highlight w:val="yellow"/>
        </w:rPr>
        <w:lastRenderedPageBreak/>
        <w:t>se remitan al Juzgado Nacional en lo Criminal y Correcci</w:t>
      </w:r>
      <w:r w:rsidRPr="001377E5">
        <w:rPr>
          <w:highlight w:val="yellow"/>
        </w:rPr>
        <w:t>o</w:t>
      </w:r>
      <w:r w:rsidRPr="001377E5">
        <w:rPr>
          <w:highlight w:val="yellow"/>
        </w:rPr>
        <w:t xml:space="preserve">nal Federal n° </w:t>
      </w:r>
      <w:smartTag w:uri="urn:schemas-microsoft-com:office:smarttags" w:element="metricconverter">
        <w:smartTagPr>
          <w:attr w:name="ProductID" w:val="11, a"/>
        </w:smartTagPr>
        <w:r w:rsidRPr="001377E5">
          <w:rPr>
            <w:highlight w:val="yellow"/>
          </w:rPr>
          <w:t>11, a</w:t>
        </w:r>
      </w:smartTag>
      <w:r w:rsidRPr="001377E5">
        <w:rPr>
          <w:highlight w:val="yellow"/>
        </w:rPr>
        <w:t xml:space="preserve"> fin que se investigue la posible com</w:t>
      </w:r>
      <w:r w:rsidRPr="001377E5">
        <w:rPr>
          <w:highlight w:val="yellow"/>
        </w:rPr>
        <w:t>i</w:t>
      </w:r>
      <w:r w:rsidRPr="001377E5">
        <w:rPr>
          <w:highlight w:val="yellow"/>
        </w:rPr>
        <w:t>sión de delitos de acción pública emergentes de los dichos de Horacio Luis Manzanares y de Claudio Adrián Lifschitz, como así también se determine si la constancia suscripta por Manzanares que luce a fs. 18.935 evidencia la realidad de lo acontecido y,</w:t>
      </w:r>
    </w:p>
    <w:p w:rsidR="00224567" w:rsidRDefault="00224567">
      <w:pPr>
        <w:pStyle w:val="Textoindependiente"/>
        <w:spacing w:line="600" w:lineRule="auto"/>
        <w:ind w:firstLine="2835"/>
      </w:pPr>
      <w:r w:rsidRPr="001377E5">
        <w:rPr>
          <w:highlight w:val="yellow"/>
        </w:rPr>
        <w:t>32) Se remita al Juzgado Naci</w:t>
      </w:r>
      <w:r w:rsidRPr="001377E5">
        <w:rPr>
          <w:highlight w:val="yellow"/>
        </w:rPr>
        <w:t>o</w:t>
      </w:r>
      <w:r w:rsidRPr="001377E5">
        <w:rPr>
          <w:highlight w:val="yellow"/>
        </w:rPr>
        <w:t>nal en lo Criminal y Correccional Federal n° 11 la rendición de cue</w:t>
      </w:r>
      <w:r w:rsidRPr="001377E5">
        <w:rPr>
          <w:highlight w:val="yellow"/>
        </w:rPr>
        <w:t>n</w:t>
      </w:r>
      <w:r w:rsidRPr="001377E5">
        <w:rPr>
          <w:highlight w:val="yellow"/>
        </w:rPr>
        <w:t xml:space="preserve">tas efectuada por la denominada “Sala Patria” de </w:t>
      </w:r>
      <w:smartTag w:uri="urn:schemas-microsoft-com:office:smarttags" w:element="PersonName">
        <w:smartTagPr>
          <w:attr w:name="ProductID" w:val="la Secretar￭a"/>
        </w:smartTagPr>
        <w:r w:rsidRPr="001377E5">
          <w:rPr>
            <w:highlight w:val="yellow"/>
          </w:rPr>
          <w:t>la Secr</w:t>
        </w:r>
        <w:r w:rsidRPr="001377E5">
          <w:rPr>
            <w:highlight w:val="yellow"/>
          </w:rPr>
          <w:t>e</w:t>
        </w:r>
        <w:r w:rsidRPr="001377E5">
          <w:rPr>
            <w:highlight w:val="yellow"/>
          </w:rPr>
          <w:t>taría</w:t>
        </w:r>
      </w:smartTag>
      <w:r w:rsidRPr="001377E5">
        <w:rPr>
          <w:highlight w:val="yellow"/>
        </w:rPr>
        <w:t xml:space="preserve"> de Inteligencia de Estado, aportada en el d</w:t>
      </w:r>
      <w:r w:rsidRPr="001377E5">
        <w:rPr>
          <w:highlight w:val="yellow"/>
        </w:rPr>
        <w:t>e</w:t>
      </w:r>
      <w:r w:rsidRPr="001377E5">
        <w:rPr>
          <w:highlight w:val="yellow"/>
        </w:rPr>
        <w:t>bate por el Director General de Operaciones de esa secretaría, Hor</w:t>
      </w:r>
      <w:r w:rsidRPr="001377E5">
        <w:rPr>
          <w:highlight w:val="yellow"/>
        </w:rPr>
        <w:t>a</w:t>
      </w:r>
      <w:r w:rsidRPr="001377E5">
        <w:rPr>
          <w:highlight w:val="yellow"/>
        </w:rPr>
        <w:t>cio Antonio Sti</w:t>
      </w:r>
      <w:r w:rsidRPr="001377E5">
        <w:rPr>
          <w:highlight w:val="yellow"/>
        </w:rPr>
        <w:t>u</w:t>
      </w:r>
      <w:r w:rsidRPr="001377E5">
        <w:rPr>
          <w:highlight w:val="yellow"/>
        </w:rPr>
        <w:t>so, como así también la nota obrante a fs. 117.419 y el completo testimonio del nombrado, por entender que guarda relación con el pago investigado en ese órgano judicial, para que se determine si Carlos A</w:t>
      </w:r>
      <w:r w:rsidRPr="001377E5">
        <w:rPr>
          <w:highlight w:val="yellow"/>
        </w:rPr>
        <w:t>l</w:t>
      </w:r>
      <w:r w:rsidRPr="001377E5">
        <w:rPr>
          <w:highlight w:val="yellow"/>
        </w:rPr>
        <w:t>berto Telleldín recibió del Estado Nacional un sue</w:t>
      </w:r>
      <w:r w:rsidRPr="001377E5">
        <w:rPr>
          <w:highlight w:val="yellow"/>
        </w:rPr>
        <w:t>l</w:t>
      </w:r>
      <w:r w:rsidRPr="001377E5">
        <w:rPr>
          <w:highlight w:val="yellow"/>
        </w:rPr>
        <w:t>do de USD 5.000 por mes, entre abril de 1996 y se</w:t>
      </w:r>
      <w:r w:rsidRPr="001377E5">
        <w:rPr>
          <w:highlight w:val="yellow"/>
        </w:rPr>
        <w:t>p</w:t>
      </w:r>
      <w:r w:rsidRPr="001377E5">
        <w:rPr>
          <w:highlight w:val="yellow"/>
        </w:rPr>
        <w:t>tiembre de 1997.</w:t>
      </w:r>
    </w:p>
    <w:p w:rsidR="00224567" w:rsidRDefault="00224567"/>
    <w:p w:rsidR="00224567" w:rsidRDefault="00224567">
      <w:pPr>
        <w:pStyle w:val="Ttulo3"/>
      </w:pPr>
      <w:r>
        <w:t>C) Alegatos de las defensas.</w:t>
      </w:r>
    </w:p>
    <w:p w:rsidR="00224567" w:rsidRDefault="00224567">
      <w:pPr>
        <w:pStyle w:val="Textoindependiente"/>
        <w:spacing w:line="600" w:lineRule="auto"/>
        <w:ind w:firstLine="2835"/>
      </w:pPr>
      <w:r>
        <w:rPr>
          <w:b/>
          <w:bCs/>
          <w:spacing w:val="0"/>
          <w:lang w:val="es-ES"/>
        </w:rPr>
        <w:t>C.1)</w:t>
      </w:r>
      <w:r>
        <w:t xml:space="preserve"> En la oportunidad prevista en el </w:t>
      </w:r>
      <w:r>
        <w:lastRenderedPageBreak/>
        <w:t xml:space="preserve">art. 393 del Código Procesal Penal de </w:t>
      </w:r>
      <w:smartTag w:uri="urn:schemas-microsoft-com:office:smarttags" w:element="PersonName">
        <w:smartTagPr>
          <w:attr w:name="ProductID" w:val="la Naci￳n"/>
        </w:smartTagPr>
        <w:r>
          <w:t>la Nación</w:t>
        </w:r>
      </w:smartTag>
      <w:r>
        <w:t xml:space="preserve"> la d</w:t>
      </w:r>
      <w:r>
        <w:t>e</w:t>
      </w:r>
      <w:r>
        <w:t>fensa de Carlos Alberto Telleldín solicitó su libre a</w:t>
      </w:r>
      <w:r>
        <w:t>b</w:t>
      </w:r>
      <w:r>
        <w:t>solución de culpa y cargo.</w:t>
      </w:r>
    </w:p>
    <w:p w:rsidR="00224567" w:rsidRDefault="00224567">
      <w:pPr>
        <w:pStyle w:val="Textoindependiente"/>
        <w:spacing w:line="600" w:lineRule="auto"/>
        <w:ind w:firstLine="2835"/>
      </w:pPr>
      <w:r>
        <w:t>En primer orden, argumentó que el ate</w:t>
      </w:r>
      <w:r>
        <w:t>n</w:t>
      </w:r>
      <w:r>
        <w:t>tado objeto de i</w:t>
      </w:r>
      <w:r>
        <w:t>n</w:t>
      </w:r>
      <w:r>
        <w:t>vestigación se inscribió en un contexto de guerra internacional, a raíz del co</w:t>
      </w:r>
      <w:r>
        <w:t>n</w:t>
      </w:r>
      <w:r>
        <w:t>flicto suscitado en el Medio Oriente entre el llamado mundo islámico e</w:t>
      </w:r>
      <w:r>
        <w:t>x</w:t>
      </w:r>
      <w:r>
        <w:t>tremista y el Estado de Israel. Mencionó que tanto la utilización de un cochebomba, como el prof</w:t>
      </w:r>
      <w:r>
        <w:t>e</w:t>
      </w:r>
      <w:r>
        <w:t>sionalismo, la infraestructura y el soporte económico y de agentes fanáticos verificados en el hecho motivo de juicio son elementos demostr</w:t>
      </w:r>
      <w:r>
        <w:t>a</w:t>
      </w:r>
      <w:r>
        <w:t xml:space="preserve">tivos de los ataques producidos por los grupos apoyados por </w:t>
      </w:r>
      <w:smartTag w:uri="urn:schemas-microsoft-com:office:smarttags" w:element="PersonName">
        <w:smartTagPr>
          <w:attr w:name="ProductID" w:val="la Rep￺blica Isl￡mica"/>
        </w:smartTagPr>
        <w:r>
          <w:t>la Rep</w:t>
        </w:r>
        <w:r>
          <w:t>ú</w:t>
        </w:r>
        <w:r>
          <w:t>blica Islámica</w:t>
        </w:r>
      </w:smartTag>
      <w:r>
        <w:t xml:space="preserve"> de Irán (Hezbollah, Jihad Islámico, Ansar</w:t>
      </w:r>
      <w:r>
        <w:t>a</w:t>
      </w:r>
      <w:r>
        <w:t>llah, Hamas, entre otros).</w:t>
      </w:r>
    </w:p>
    <w:p w:rsidR="00224567" w:rsidRDefault="00224567">
      <w:pPr>
        <w:ind w:firstLine="2835"/>
        <w:rPr>
          <w:lang w:val="es-ES_tradnl"/>
        </w:rPr>
      </w:pPr>
      <w:r>
        <w:rPr>
          <w:lang w:val="es-ES_tradnl"/>
        </w:rPr>
        <w:t>En ese sentido, con mención del test</w:t>
      </w:r>
      <w:r>
        <w:rPr>
          <w:lang w:val="es-ES_tradnl"/>
        </w:rPr>
        <w:t>i</w:t>
      </w:r>
      <w:r>
        <w:rPr>
          <w:lang w:val="es-ES_tradnl"/>
        </w:rPr>
        <w:t xml:space="preserve">monio de Abolghasem Mesbahi, </w:t>
      </w:r>
      <w:r>
        <w:rPr>
          <w:lang w:val="es-MX"/>
        </w:rPr>
        <w:t xml:space="preserve">desertor del Ministerio de Información de Irán, </w:t>
      </w:r>
      <w:r>
        <w:rPr>
          <w:lang w:val="es-ES_tradnl"/>
        </w:rPr>
        <w:t xml:space="preserve">destacó que </w:t>
      </w:r>
      <w:r>
        <w:rPr>
          <w:lang w:val="es-MX"/>
        </w:rPr>
        <w:t>el a</w:t>
      </w:r>
      <w:r>
        <w:rPr>
          <w:lang w:val="es-MX"/>
        </w:rPr>
        <w:t>c</w:t>
      </w:r>
      <w:r>
        <w:rPr>
          <w:lang w:val="es-MX"/>
        </w:rPr>
        <w:t>cionar de los grupos fundamentalistas descartaba la necesidad de ap</w:t>
      </w:r>
      <w:r>
        <w:rPr>
          <w:lang w:val="es-MX"/>
        </w:rPr>
        <w:t>o</w:t>
      </w:r>
      <w:r>
        <w:rPr>
          <w:lang w:val="es-MX"/>
        </w:rPr>
        <w:t>yo local de los nacionales del territorio objetivo del ataque, agr</w:t>
      </w:r>
      <w:r>
        <w:rPr>
          <w:lang w:val="es-MX"/>
        </w:rPr>
        <w:t>e</w:t>
      </w:r>
      <w:r>
        <w:rPr>
          <w:lang w:val="es-MX"/>
        </w:rPr>
        <w:t>gando que para el éxito de las operaciones no es compat</w:t>
      </w:r>
      <w:r>
        <w:rPr>
          <w:lang w:val="es-MX"/>
        </w:rPr>
        <w:t>i</w:t>
      </w:r>
      <w:r>
        <w:rPr>
          <w:lang w:val="es-MX"/>
        </w:rPr>
        <w:lastRenderedPageBreak/>
        <w:t>ble la utilización de terceros ajenos al conflicto y, m</w:t>
      </w:r>
      <w:r>
        <w:rPr>
          <w:lang w:val="es-MX"/>
        </w:rPr>
        <w:t>u</w:t>
      </w:r>
      <w:r>
        <w:rPr>
          <w:lang w:val="es-MX"/>
        </w:rPr>
        <w:t>cho menos, según lo aseguró la acus</w:t>
      </w:r>
      <w:r>
        <w:rPr>
          <w:lang w:val="es-MX"/>
        </w:rPr>
        <w:t>a</w:t>
      </w:r>
      <w:r>
        <w:rPr>
          <w:lang w:val="es-MX"/>
        </w:rPr>
        <w:t>ción, de personas que sólo tengan motivaciones económ</w:t>
      </w:r>
      <w:r>
        <w:rPr>
          <w:lang w:val="es-MX"/>
        </w:rPr>
        <w:t>i</w:t>
      </w:r>
      <w:r>
        <w:rPr>
          <w:lang w:val="es-MX"/>
        </w:rPr>
        <w:t>cas.</w:t>
      </w:r>
    </w:p>
    <w:p w:rsidR="00224567" w:rsidRDefault="00224567">
      <w:pPr>
        <w:ind w:firstLine="2835"/>
        <w:rPr>
          <w:lang w:val="es-MX"/>
        </w:rPr>
      </w:pPr>
      <w:r>
        <w:rPr>
          <w:lang w:val="es-MX"/>
        </w:rPr>
        <w:t>Mesbahi -apuntó la defensa- si</w:t>
      </w:r>
      <w:r>
        <w:rPr>
          <w:lang w:val="es-MX"/>
        </w:rPr>
        <w:t>n</w:t>
      </w:r>
      <w:r>
        <w:rPr>
          <w:lang w:val="es-MX"/>
        </w:rPr>
        <w:t>dicó al Estado de Irán como el responsable del atentado pe</w:t>
      </w:r>
      <w:r>
        <w:rPr>
          <w:lang w:val="es-MX"/>
        </w:rPr>
        <w:t>r</w:t>
      </w:r>
      <w:r>
        <w:rPr>
          <w:lang w:val="es-MX"/>
        </w:rPr>
        <w:t xml:space="preserve">petrado contra </w:t>
      </w:r>
      <w:smartTag w:uri="urn:schemas-microsoft-com:office:smarttags" w:element="PersonName">
        <w:smartTagPr>
          <w:attr w:name="ProductID" w:val="la A.M"/>
        </w:smartTagPr>
        <w:r>
          <w:rPr>
            <w:lang w:val="es-MX"/>
          </w:rPr>
          <w:t>la A.M</w:t>
        </w:r>
      </w:smartTag>
      <w:r>
        <w:rPr>
          <w:lang w:val="es-MX"/>
        </w:rPr>
        <w:t>.I.A.. Así, según sus dichos, el agregado cultural Moshen Rabbani fue el encargado de realizar la investigación e inteligencia previa en nuestro país y el grupo ejecutor i</w:t>
      </w:r>
      <w:r>
        <w:rPr>
          <w:lang w:val="es-MX"/>
        </w:rPr>
        <w:t>n</w:t>
      </w:r>
      <w:r>
        <w:rPr>
          <w:lang w:val="es-MX"/>
        </w:rPr>
        <w:t>gresó apenas unos días antes, para  luego retirarse. Señaló que cada grupo tenía a su cargo disti</w:t>
      </w:r>
      <w:r>
        <w:rPr>
          <w:lang w:val="es-MX"/>
        </w:rPr>
        <w:t>n</w:t>
      </w:r>
      <w:r>
        <w:rPr>
          <w:lang w:val="es-MX"/>
        </w:rPr>
        <w:t>tos sujetos y ninguno –salvo los altos niveles que organ</w:t>
      </w:r>
      <w:r>
        <w:rPr>
          <w:lang w:val="es-MX"/>
        </w:rPr>
        <w:t>i</w:t>
      </w:r>
      <w:r>
        <w:rPr>
          <w:lang w:val="es-MX"/>
        </w:rPr>
        <w:t>zaron la operación- sabía de los movimientos, ni de los actos, ni de los planes a cumplir, ni de la totalidad de la operación pergeñada. Eran perfectos compartimentos e</w:t>
      </w:r>
      <w:r>
        <w:rPr>
          <w:lang w:val="es-MX"/>
        </w:rPr>
        <w:t>s</w:t>
      </w:r>
      <w:r>
        <w:rPr>
          <w:lang w:val="es-MX"/>
        </w:rPr>
        <w:t>tancos y cerrados.</w:t>
      </w:r>
    </w:p>
    <w:p w:rsidR="00224567" w:rsidRDefault="00224567">
      <w:pPr>
        <w:ind w:firstLine="2835"/>
        <w:rPr>
          <w:highlight w:val="yellow"/>
          <w:lang w:val="es-MX"/>
        </w:rPr>
      </w:pPr>
      <w:r>
        <w:rPr>
          <w:lang w:val="es-MX"/>
        </w:rPr>
        <w:t>El éxito de la operación –según d</w:t>
      </w:r>
      <w:r>
        <w:rPr>
          <w:lang w:val="es-MX"/>
        </w:rPr>
        <w:t>i</w:t>
      </w:r>
      <w:r>
        <w:rPr>
          <w:lang w:val="es-MX"/>
        </w:rPr>
        <w:t>chos del citado testigo- dependía del secreto e</w:t>
      </w:r>
      <w:r>
        <w:rPr>
          <w:lang w:val="es-MX"/>
        </w:rPr>
        <w:t>n</w:t>
      </w:r>
      <w:r>
        <w:rPr>
          <w:lang w:val="es-MX"/>
        </w:rPr>
        <w:t>tre los propios componentes de los grupos terroristas. En igual sentido, señaló los informes de fs. 2176/2177 y fs. 109.424/109.428, las opiniones de Bruce Hoffman, Ph</w:t>
      </w:r>
      <w:r>
        <w:rPr>
          <w:lang w:val="es-MX"/>
        </w:rPr>
        <w:t>i</w:t>
      </w:r>
      <w:r>
        <w:rPr>
          <w:lang w:val="es-MX"/>
        </w:rPr>
        <w:t>llips Wilcox, del Dr. Halm, Udo Stinbach, Kenneth Ti</w:t>
      </w:r>
      <w:r>
        <w:rPr>
          <w:lang w:val="es-MX"/>
        </w:rPr>
        <w:t>m</w:t>
      </w:r>
      <w:r>
        <w:rPr>
          <w:lang w:val="es-MX"/>
        </w:rPr>
        <w:t xml:space="preserve">merman, Yvs </w:t>
      </w:r>
      <w:r>
        <w:rPr>
          <w:lang w:val="es-MX"/>
        </w:rPr>
        <w:lastRenderedPageBreak/>
        <w:t>Bonnet y del testigo “A”, todos estos, reseñados en la r</w:t>
      </w:r>
      <w:r>
        <w:rPr>
          <w:lang w:val="es-MX"/>
        </w:rPr>
        <w:t>e</w:t>
      </w:r>
      <w:r>
        <w:rPr>
          <w:lang w:val="es-MX"/>
        </w:rPr>
        <w:t>solución del juez instructor del 5 de marzo de 2003, obrante a partir de fs. 113.468.</w:t>
      </w:r>
    </w:p>
    <w:p w:rsidR="00224567" w:rsidRDefault="00224567">
      <w:pPr>
        <w:ind w:firstLine="2835"/>
        <w:rPr>
          <w:lang w:val="es-MX"/>
        </w:rPr>
      </w:pPr>
      <w:r>
        <w:rPr>
          <w:lang w:val="es-MX"/>
        </w:rPr>
        <w:t>Sobre esa base, los letrados enfatiz</w:t>
      </w:r>
      <w:r>
        <w:rPr>
          <w:lang w:val="es-MX"/>
        </w:rPr>
        <w:t>a</w:t>
      </w:r>
      <w:r>
        <w:rPr>
          <w:lang w:val="es-MX"/>
        </w:rPr>
        <w:t>ron que el resguardo del secreto se cumplía, con mucha m</w:t>
      </w:r>
      <w:r>
        <w:rPr>
          <w:lang w:val="es-MX"/>
        </w:rPr>
        <w:t>a</w:t>
      </w:r>
      <w:r>
        <w:rPr>
          <w:lang w:val="es-MX"/>
        </w:rPr>
        <w:t>yor razón, respecto de terceros ajenos al plan a ejecutar; circunstancia que demuestra la desvinculación de Carlos Alberto Telleldín del hecho imputado.</w:t>
      </w:r>
    </w:p>
    <w:p w:rsidR="00224567" w:rsidRDefault="00224567">
      <w:pPr>
        <w:rPr>
          <w:lang w:val="es-MX"/>
        </w:rPr>
      </w:pPr>
      <w:r>
        <w:rPr>
          <w:lang w:val="es-MX"/>
        </w:rPr>
        <w:tab/>
        <w:t>Por otra parte, la defensa consideró que se intentó, desde los propios órganos del estado, de</w:t>
      </w:r>
      <w:r>
        <w:rPr>
          <w:lang w:val="es-MX"/>
        </w:rPr>
        <w:t>s</w:t>
      </w:r>
      <w:r>
        <w:rPr>
          <w:lang w:val="es-MX"/>
        </w:rPr>
        <w:t>viar la investigación alejándose de los verdaderos culp</w:t>
      </w:r>
      <w:r>
        <w:rPr>
          <w:lang w:val="es-MX"/>
        </w:rPr>
        <w:t>a</w:t>
      </w:r>
      <w:r>
        <w:rPr>
          <w:lang w:val="es-MX"/>
        </w:rPr>
        <w:t>bles, para evitar el riesgo de otros atent</w:t>
      </w:r>
      <w:r>
        <w:rPr>
          <w:lang w:val="es-MX"/>
        </w:rPr>
        <w:t>a</w:t>
      </w:r>
      <w:r>
        <w:rPr>
          <w:lang w:val="es-MX"/>
        </w:rPr>
        <w:t>dos.</w:t>
      </w:r>
    </w:p>
    <w:p w:rsidR="00224567" w:rsidRDefault="00224567">
      <w:pPr>
        <w:rPr>
          <w:lang w:val="es-MX"/>
        </w:rPr>
      </w:pPr>
      <w:r>
        <w:rPr>
          <w:lang w:val="es-MX"/>
        </w:rPr>
        <w:tab/>
        <w:t>En el caso particular de autos, la d</w:t>
      </w:r>
      <w:r>
        <w:rPr>
          <w:lang w:val="es-MX"/>
        </w:rPr>
        <w:t>e</w:t>
      </w:r>
      <w:r>
        <w:rPr>
          <w:lang w:val="es-MX"/>
        </w:rPr>
        <w:t>fensa afirmó que hubo un conocimiento previo de que el atentado habría de ocurrir tanto por parte de los dirige</w:t>
      </w:r>
      <w:r>
        <w:rPr>
          <w:lang w:val="es-MX"/>
        </w:rPr>
        <w:t>n</w:t>
      </w:r>
      <w:r>
        <w:rPr>
          <w:lang w:val="es-MX"/>
        </w:rPr>
        <w:t>tes comunitarios como de los poderes públicos y, en ese sentido, se encubrió a los verdad</w:t>
      </w:r>
      <w:r>
        <w:rPr>
          <w:lang w:val="es-MX"/>
        </w:rPr>
        <w:t>e</w:t>
      </w:r>
      <w:r>
        <w:rPr>
          <w:lang w:val="es-MX"/>
        </w:rPr>
        <w:t>ros culpables.</w:t>
      </w:r>
    </w:p>
    <w:p w:rsidR="00224567" w:rsidRDefault="00224567">
      <w:pPr>
        <w:rPr>
          <w:lang w:val="es-MX"/>
        </w:rPr>
      </w:pPr>
      <w:r>
        <w:rPr>
          <w:lang w:val="es-MX"/>
        </w:rPr>
        <w:tab/>
        <w:t xml:space="preserve">En esa línea argumental, la defensa sostuvo que previo al atentado se venía siguiendo a los </w:t>
      </w:r>
      <w:r>
        <w:rPr>
          <w:lang w:val="es-MX"/>
        </w:rPr>
        <w:lastRenderedPageBreak/>
        <w:t>terroristas hasta que, en un determinado momento, se pe</w:t>
      </w:r>
      <w:r>
        <w:rPr>
          <w:lang w:val="es-MX"/>
        </w:rPr>
        <w:t>r</w:t>
      </w:r>
      <w:r>
        <w:rPr>
          <w:lang w:val="es-MX"/>
        </w:rPr>
        <w:t>dieron de vista.</w:t>
      </w:r>
    </w:p>
    <w:p w:rsidR="00224567" w:rsidRDefault="00224567">
      <w:pPr>
        <w:rPr>
          <w:lang w:val="es-MX"/>
        </w:rPr>
      </w:pPr>
      <w:r>
        <w:rPr>
          <w:lang w:val="es-MX"/>
        </w:rPr>
        <w:tab/>
        <w:t>Para demostrar el conocimiento pr</w:t>
      </w:r>
      <w:r>
        <w:rPr>
          <w:lang w:val="es-MX"/>
        </w:rPr>
        <w:t>e</w:t>
      </w:r>
      <w:r>
        <w:rPr>
          <w:lang w:val="es-MX"/>
        </w:rPr>
        <w:t>vio y el encubrimiento alegado, la defensa indicó que la pru</w:t>
      </w:r>
      <w:r>
        <w:rPr>
          <w:lang w:val="es-MX"/>
        </w:rPr>
        <w:t>e</w:t>
      </w:r>
      <w:r>
        <w:rPr>
          <w:lang w:val="es-MX"/>
        </w:rPr>
        <w:t>ba producida en el debate acreditó la presencia de un h</w:t>
      </w:r>
      <w:r>
        <w:rPr>
          <w:lang w:val="es-MX"/>
        </w:rPr>
        <w:t>e</w:t>
      </w:r>
      <w:r>
        <w:rPr>
          <w:lang w:val="es-MX"/>
        </w:rPr>
        <w:t xml:space="preserve">licóptero sobre </w:t>
      </w:r>
      <w:smartTag w:uri="urn:schemas-microsoft-com:office:smarttags" w:element="PersonName">
        <w:smartTagPr>
          <w:attr w:name="ProductID" w:val="la A.M"/>
        </w:smartTagPr>
        <w:r>
          <w:rPr>
            <w:lang w:val="es-MX"/>
          </w:rPr>
          <w:t>la A.M</w:t>
        </w:r>
      </w:smartTag>
      <w:r>
        <w:rPr>
          <w:lang w:val="es-MX"/>
        </w:rPr>
        <w:t>.I.A. durante la noche previa al ataque; que la embajada de nuestro país en el Líbano ale</w:t>
      </w:r>
      <w:r>
        <w:rPr>
          <w:lang w:val="es-MX"/>
        </w:rPr>
        <w:t>r</w:t>
      </w:r>
      <w:r>
        <w:rPr>
          <w:lang w:val="es-MX"/>
        </w:rPr>
        <w:t>tó acerca de la posible comisión de un atentado en Buenos Aires, según comunicaciones obrantes en la “carpeta de c</w:t>
      </w:r>
      <w:r>
        <w:rPr>
          <w:lang w:val="es-MX"/>
        </w:rPr>
        <w:t>a</w:t>
      </w:r>
      <w:r>
        <w:rPr>
          <w:lang w:val="es-MX"/>
        </w:rPr>
        <w:t>bles” (en particular, las del 21 de mayo de 1994, c</w:t>
      </w:r>
      <w:r>
        <w:rPr>
          <w:lang w:val="es-MX"/>
        </w:rPr>
        <w:t>a</w:t>
      </w:r>
      <w:r>
        <w:rPr>
          <w:lang w:val="es-MX"/>
        </w:rPr>
        <w:t>ble nº 010.207/94 y del 4 de julio de 1994, cable nº 010.307) y la reticencia con que se produjeron los funci</w:t>
      </w:r>
      <w:r>
        <w:rPr>
          <w:lang w:val="es-MX"/>
        </w:rPr>
        <w:t>o</w:t>
      </w:r>
      <w:r>
        <w:rPr>
          <w:lang w:val="es-MX"/>
        </w:rPr>
        <w:t xml:space="preserve">narios de </w:t>
      </w:r>
      <w:smartTag w:uri="urn:schemas-microsoft-com:office:smarttags" w:element="PersonName">
        <w:smartTagPr>
          <w:attr w:name="ProductID" w:val="la Secretar￭a"/>
        </w:smartTagPr>
        <w:r>
          <w:rPr>
            <w:lang w:val="es-MX"/>
          </w:rPr>
          <w:t>la Secretaría</w:t>
        </w:r>
      </w:smartTag>
      <w:r>
        <w:rPr>
          <w:lang w:val="es-MX"/>
        </w:rPr>
        <w:t xml:space="preserve"> de Inteligencia y del Poder Ejec</w:t>
      </w:r>
      <w:r>
        <w:rPr>
          <w:lang w:val="es-MX"/>
        </w:rPr>
        <w:t>u</w:t>
      </w:r>
      <w:r>
        <w:rPr>
          <w:lang w:val="es-MX"/>
        </w:rPr>
        <w:t>tivo Nacional a fin de evitar dar respuesta en el debate acerca de las actividades que realizaron en virtud de las alertas.</w:t>
      </w:r>
    </w:p>
    <w:p w:rsidR="00224567" w:rsidRDefault="00224567">
      <w:pPr>
        <w:rPr>
          <w:lang w:val="es-MX"/>
        </w:rPr>
      </w:pPr>
      <w:r>
        <w:rPr>
          <w:lang w:val="es-MX"/>
        </w:rPr>
        <w:tab/>
        <w:t xml:space="preserve">Afirmó que </w:t>
      </w:r>
      <w:smartTag w:uri="urn:schemas-microsoft-com:office:smarttags" w:element="PersonName">
        <w:smartTagPr>
          <w:attr w:name="ProductID" w:val="la S.I"/>
        </w:smartTagPr>
        <w:r>
          <w:rPr>
            <w:lang w:val="es-MX"/>
          </w:rPr>
          <w:t>la S.I</w:t>
        </w:r>
      </w:smartTag>
      <w:r>
        <w:rPr>
          <w:lang w:val="es-MX"/>
        </w:rPr>
        <w:t>.D.E., antes de que aconteciera el atentado, estaba tras la pista de los ve</w:t>
      </w:r>
      <w:r>
        <w:rPr>
          <w:lang w:val="es-MX"/>
        </w:rPr>
        <w:t>r</w:t>
      </w:r>
      <w:r>
        <w:rPr>
          <w:lang w:val="es-MX"/>
        </w:rPr>
        <w:t>dades culpables, conforme lo revelaban, a su juicio, las siguientes circunstancias: la detención del ciudadano ir</w:t>
      </w:r>
      <w:r>
        <w:rPr>
          <w:lang w:val="es-MX"/>
        </w:rPr>
        <w:t>a</w:t>
      </w:r>
      <w:r>
        <w:rPr>
          <w:lang w:val="es-MX"/>
        </w:rPr>
        <w:t xml:space="preserve">ní Khalil Ghatea el 4 de abril de 1994 por el intento de salida del país con pasaporte falso y su vinculación con </w:t>
      </w:r>
      <w:r>
        <w:rPr>
          <w:lang w:val="es-MX"/>
        </w:rPr>
        <w:lastRenderedPageBreak/>
        <w:t>Ali Reza Halvaei y con el diplomático iraní Moshen Rabb</w:t>
      </w:r>
      <w:r>
        <w:rPr>
          <w:lang w:val="es-MX"/>
        </w:rPr>
        <w:t>a</w:t>
      </w:r>
      <w:r>
        <w:rPr>
          <w:lang w:val="es-MX"/>
        </w:rPr>
        <w:t>ni; las escuchas “clandestinas” por sospechas de activid</w:t>
      </w:r>
      <w:r>
        <w:rPr>
          <w:lang w:val="es-MX"/>
        </w:rPr>
        <w:t>a</w:t>
      </w:r>
      <w:r>
        <w:rPr>
          <w:lang w:val="es-MX"/>
        </w:rPr>
        <w:t xml:space="preserve">des fundamentalistas tanto de los nombrados como de </w:t>
      </w:r>
      <w:smartTag w:uri="urn:schemas-microsoft-com:office:smarttags" w:element="PersonName">
        <w:smartTagPr>
          <w:attr w:name="ProductID" w:val="la Embajada"/>
        </w:smartTagPr>
        <w:r>
          <w:rPr>
            <w:lang w:val="es-MX"/>
          </w:rPr>
          <w:t>la E</w:t>
        </w:r>
        <w:r>
          <w:rPr>
            <w:lang w:val="es-MX"/>
          </w:rPr>
          <w:t>m</w:t>
        </w:r>
        <w:r>
          <w:rPr>
            <w:lang w:val="es-MX"/>
          </w:rPr>
          <w:t>bajada</w:t>
        </w:r>
      </w:smartTag>
      <w:r>
        <w:rPr>
          <w:lang w:val="es-MX"/>
        </w:rPr>
        <w:t xml:space="preserve"> de </w:t>
      </w:r>
      <w:smartTag w:uri="urn:schemas-microsoft-com:office:smarttags" w:element="PersonName">
        <w:smartTagPr>
          <w:attr w:name="ProductID" w:val="la Rep￺blica"/>
        </w:smartTagPr>
        <w:r>
          <w:rPr>
            <w:lang w:val="es-MX"/>
          </w:rPr>
          <w:t>la República</w:t>
        </w:r>
      </w:smartTag>
      <w:r>
        <w:rPr>
          <w:lang w:val="es-MX"/>
        </w:rPr>
        <w:t xml:space="preserve"> de Irán en </w:t>
      </w:r>
      <w:smartTag w:uri="urn:schemas-microsoft-com:office:smarttags" w:element="PersonName">
        <w:smartTagPr>
          <w:attr w:name="ProductID" w:val="la Argentina"/>
        </w:smartTagPr>
        <w:r>
          <w:rPr>
            <w:lang w:val="es-MX"/>
          </w:rPr>
          <w:t>la Argentina</w:t>
        </w:r>
      </w:smartTag>
      <w:r>
        <w:rPr>
          <w:lang w:val="es-MX"/>
        </w:rPr>
        <w:t xml:space="preserve"> y de Kian Ghorbani, motivadas en las causas nº 1395 y 1627 del Ju</w:t>
      </w:r>
      <w:r>
        <w:rPr>
          <w:lang w:val="es-MX"/>
        </w:rPr>
        <w:t>z</w:t>
      </w:r>
      <w:r>
        <w:rPr>
          <w:lang w:val="es-MX"/>
        </w:rPr>
        <w:t>gado de Lomas de Zamora; el dato de que la embajada de mención había modificado su forma de correos diplomáticos desde el año 1991 y que desde el mes de junio del 1994 i</w:t>
      </w:r>
      <w:r>
        <w:rPr>
          <w:lang w:val="es-MX"/>
        </w:rPr>
        <w:t>n</w:t>
      </w:r>
      <w:r>
        <w:rPr>
          <w:lang w:val="es-MX"/>
        </w:rPr>
        <w:t xml:space="preserve">gresaron gran cantidad de funcionarios del régimen iraní vinculados con el Hezbollah, como ser Abbas Khorasani, Mahvash Gholamreza, Ahmed Reza Asghari y Falsafi Allameh Ahmed; la infiltración de informantes de </w:t>
      </w:r>
      <w:smartTag w:uri="urn:schemas-microsoft-com:office:smarttags" w:element="PersonName">
        <w:smartTagPr>
          <w:attr w:name="ProductID" w:val="la S.I"/>
        </w:smartTagPr>
        <w:r>
          <w:rPr>
            <w:lang w:val="es-MX"/>
          </w:rPr>
          <w:t>la S.I</w:t>
        </w:r>
      </w:smartTag>
      <w:r>
        <w:rPr>
          <w:lang w:val="es-MX"/>
        </w:rPr>
        <w:t>.D.E. y la investigación emprendida re</w:t>
      </w:r>
      <w:r>
        <w:rPr>
          <w:lang w:val="es-MX"/>
        </w:rPr>
        <w:t>s</w:t>
      </w:r>
      <w:r>
        <w:rPr>
          <w:lang w:val="es-MX"/>
        </w:rPr>
        <w:t xml:space="preserve">pecto de Moshen Rabbani, tales como su concurrencia a </w:t>
      </w:r>
      <w:smartTag w:uri="urn:schemas-microsoft-com:office:smarttags" w:element="PersonName">
        <w:smartTagPr>
          <w:attr w:name="ProductID" w:val="la Mezquita"/>
        </w:smartTagPr>
        <w:r>
          <w:rPr>
            <w:lang w:val="es-MX"/>
          </w:rPr>
          <w:t>la Mezquita</w:t>
        </w:r>
      </w:smartTag>
      <w:r>
        <w:rPr>
          <w:lang w:val="es-MX"/>
        </w:rPr>
        <w:t xml:space="preserve"> de Flores, sus ví</w:t>
      </w:r>
      <w:r>
        <w:rPr>
          <w:lang w:val="es-MX"/>
        </w:rPr>
        <w:t>n</w:t>
      </w:r>
      <w:r>
        <w:rPr>
          <w:lang w:val="es-MX"/>
        </w:rPr>
        <w:t xml:space="preserve">culos con la jefatura del Hezbollah, sus comunicaciones con </w:t>
      </w:r>
      <w:smartTag w:uri="urn:schemas-microsoft-com:office:smarttags" w:element="PersonName">
        <w:smartTagPr>
          <w:attr w:name="ProductID" w:val="la Mezquita Sh￭ita"/>
        </w:smartTagPr>
        <w:r>
          <w:rPr>
            <w:lang w:val="es-MX"/>
          </w:rPr>
          <w:t>la Mezquita Shíita</w:t>
        </w:r>
      </w:smartTag>
      <w:r>
        <w:rPr>
          <w:lang w:val="es-MX"/>
        </w:rPr>
        <w:t xml:space="preserve"> de Foz de Iguazú y con la oficina del l</w:t>
      </w:r>
      <w:r>
        <w:rPr>
          <w:lang w:val="es-MX"/>
        </w:rPr>
        <w:t>í</w:t>
      </w:r>
      <w:r>
        <w:rPr>
          <w:lang w:val="es-MX"/>
        </w:rPr>
        <w:t>der religioso del Hezbollah, Fadlallah, en el cuartel g</w:t>
      </w:r>
      <w:r>
        <w:rPr>
          <w:lang w:val="es-MX"/>
        </w:rPr>
        <w:t>e</w:t>
      </w:r>
      <w:r>
        <w:rPr>
          <w:lang w:val="es-MX"/>
        </w:rPr>
        <w:t>neral de esa agrupación en el Líbano.</w:t>
      </w:r>
    </w:p>
    <w:p w:rsidR="00224567" w:rsidRDefault="00224567">
      <w:pPr>
        <w:rPr>
          <w:lang w:val="es-MX"/>
        </w:rPr>
      </w:pPr>
      <w:r>
        <w:rPr>
          <w:lang w:val="es-MX"/>
        </w:rPr>
        <w:tab/>
        <w:t xml:space="preserve">Además, mencionó que el organismo de inteligencia tenía conocimiento de que Rabbani estaba en </w:t>
      </w:r>
      <w:r>
        <w:rPr>
          <w:lang w:val="es-MX"/>
        </w:rPr>
        <w:lastRenderedPageBreak/>
        <w:t>la búsqueda de camionetas desde 1993, conforme las fot</w:t>
      </w:r>
      <w:r>
        <w:rPr>
          <w:lang w:val="es-MX"/>
        </w:rPr>
        <w:t>o</w:t>
      </w:r>
      <w:r>
        <w:rPr>
          <w:lang w:val="es-MX"/>
        </w:rPr>
        <w:t>grafías donde se lo observa en distintas age</w:t>
      </w:r>
      <w:r>
        <w:rPr>
          <w:lang w:val="es-MX"/>
        </w:rPr>
        <w:t>n</w:t>
      </w:r>
      <w:r>
        <w:rPr>
          <w:lang w:val="es-MX"/>
        </w:rPr>
        <w:t>cias de autos y que había estado en las inmediaciones de la playa de e</w:t>
      </w:r>
      <w:r>
        <w:rPr>
          <w:lang w:val="es-MX"/>
        </w:rPr>
        <w:t>s</w:t>
      </w:r>
      <w:r>
        <w:rPr>
          <w:lang w:val="es-MX"/>
        </w:rPr>
        <w:t>tacionamiento “Jet Pa</w:t>
      </w:r>
      <w:r>
        <w:rPr>
          <w:lang w:val="es-MX"/>
        </w:rPr>
        <w:t>r</w:t>
      </w:r>
      <w:r>
        <w:rPr>
          <w:lang w:val="es-MX"/>
        </w:rPr>
        <w:t>king”, el 15 de julio de 1994, fecha en que se estacionó el cochebo</w:t>
      </w:r>
      <w:r>
        <w:rPr>
          <w:lang w:val="es-MX"/>
        </w:rPr>
        <w:t>m</w:t>
      </w:r>
      <w:r>
        <w:rPr>
          <w:lang w:val="es-MX"/>
        </w:rPr>
        <w:t>ba.</w:t>
      </w:r>
    </w:p>
    <w:p w:rsidR="00224567" w:rsidRDefault="00224567">
      <w:pPr>
        <w:rPr>
          <w:lang w:val="es-MX"/>
        </w:rPr>
      </w:pPr>
      <w:r>
        <w:rPr>
          <w:lang w:val="es-MX"/>
        </w:rPr>
        <w:tab/>
        <w:t>Los datos expuestos, destacó la defe</w:t>
      </w:r>
      <w:r>
        <w:rPr>
          <w:lang w:val="es-MX"/>
        </w:rPr>
        <w:t>n</w:t>
      </w:r>
      <w:r>
        <w:rPr>
          <w:lang w:val="es-MX"/>
        </w:rPr>
        <w:t>sa, obran en los distintos legajos anexos a la causa, se contaban con ellos antes del ataque y fueron ocultados a las defensas por el juez instructor. Agregó, en igual se</w:t>
      </w:r>
      <w:r>
        <w:rPr>
          <w:lang w:val="es-MX"/>
        </w:rPr>
        <w:t>n</w:t>
      </w:r>
      <w:r>
        <w:rPr>
          <w:lang w:val="es-MX"/>
        </w:rPr>
        <w:t xml:space="preserve">tido, que ningún agente de </w:t>
      </w:r>
      <w:smartTag w:uri="urn:schemas-microsoft-com:office:smarttags" w:element="PersonName">
        <w:smartTagPr>
          <w:attr w:name="ProductID" w:val="la S.I"/>
        </w:smartTagPr>
        <w:r>
          <w:rPr>
            <w:lang w:val="es-MX"/>
          </w:rPr>
          <w:t>la S.I</w:t>
        </w:r>
      </w:smartTag>
      <w:r>
        <w:rPr>
          <w:lang w:val="es-MX"/>
        </w:rPr>
        <w:t>.D.E. explicó en el deb</w:t>
      </w:r>
      <w:r>
        <w:rPr>
          <w:lang w:val="es-MX"/>
        </w:rPr>
        <w:t>a</w:t>
      </w:r>
      <w:r>
        <w:rPr>
          <w:lang w:val="es-MX"/>
        </w:rPr>
        <w:t>te cuáles eran concretamente las tareas de seguimiento, cuáles las casas seguras, qué actividad se realizaba en ellas, quienes las realizaban, ni qué información brindó Ras</w:t>
      </w:r>
      <w:r>
        <w:rPr>
          <w:lang w:val="es-MX"/>
        </w:rPr>
        <w:t>h</w:t>
      </w:r>
      <w:r>
        <w:rPr>
          <w:lang w:val="es-MX"/>
        </w:rPr>
        <w:t>many u otros infiltrados, con la evidente finalidad de ocultar las acciones emprendidas por la secretaría en pr</w:t>
      </w:r>
      <w:r>
        <w:rPr>
          <w:lang w:val="es-MX"/>
        </w:rPr>
        <w:t>o</w:t>
      </w:r>
      <w:r>
        <w:rPr>
          <w:lang w:val="es-MX"/>
        </w:rPr>
        <w:t>cura de evitar el atentado, el cual –recalcó- sabían que habría de oc</w:t>
      </w:r>
      <w:r>
        <w:rPr>
          <w:lang w:val="es-MX"/>
        </w:rPr>
        <w:t>u</w:t>
      </w:r>
      <w:r>
        <w:rPr>
          <w:lang w:val="es-MX"/>
        </w:rPr>
        <w:t>rrir.</w:t>
      </w:r>
    </w:p>
    <w:p w:rsidR="00224567" w:rsidRDefault="00224567">
      <w:pPr>
        <w:widowControl w:val="0"/>
        <w:rPr>
          <w:lang w:val="es-MX"/>
        </w:rPr>
      </w:pPr>
      <w:r>
        <w:rPr>
          <w:lang w:val="es-MX"/>
        </w:rPr>
        <w:tab/>
        <w:t>La defensa alegó que prueba el enc</w:t>
      </w:r>
      <w:r>
        <w:rPr>
          <w:lang w:val="es-MX"/>
        </w:rPr>
        <w:t>u</w:t>
      </w:r>
      <w:r>
        <w:rPr>
          <w:lang w:val="es-MX"/>
        </w:rPr>
        <w:t xml:space="preserve">brimiento, además, la destrucción de las grabaciones de las escuchas telefónicas a </w:t>
      </w:r>
      <w:smartTag w:uri="urn:schemas-microsoft-com:office:smarttags" w:element="PersonName">
        <w:smartTagPr>
          <w:attr w:name="ProductID" w:val="la Embajada"/>
        </w:smartTagPr>
        <w:r>
          <w:rPr>
            <w:lang w:val="es-MX"/>
          </w:rPr>
          <w:t>la Embajada</w:t>
        </w:r>
      </w:smartTag>
      <w:r>
        <w:rPr>
          <w:lang w:val="es-MX"/>
        </w:rPr>
        <w:t xml:space="preserve"> de Irán, justific</w:t>
      </w:r>
      <w:r>
        <w:rPr>
          <w:lang w:val="es-MX"/>
        </w:rPr>
        <w:t>a</w:t>
      </w:r>
      <w:r>
        <w:rPr>
          <w:lang w:val="es-MX"/>
        </w:rPr>
        <w:t xml:space="preserve">da, según el agente Horacio Stiuso, en que no existía un </w:t>
      </w:r>
      <w:r>
        <w:rPr>
          <w:lang w:val="es-MX"/>
        </w:rPr>
        <w:lastRenderedPageBreak/>
        <w:t>traductor del idioma farsi; circunstancia falsa si se ti</w:t>
      </w:r>
      <w:r>
        <w:rPr>
          <w:lang w:val="es-MX"/>
        </w:rPr>
        <w:t>e</w:t>
      </w:r>
      <w:r>
        <w:rPr>
          <w:lang w:val="es-MX"/>
        </w:rPr>
        <w:t>ne en cuenta la traducción que, en esa misma lengua, efe</w:t>
      </w:r>
      <w:r>
        <w:rPr>
          <w:lang w:val="es-MX"/>
        </w:rPr>
        <w:t>c</w:t>
      </w:r>
      <w:r>
        <w:rPr>
          <w:lang w:val="es-MX"/>
        </w:rPr>
        <w:t>tuó el organismo de inteligencia de la entrevista manten</w:t>
      </w:r>
      <w:r>
        <w:rPr>
          <w:lang w:val="es-MX"/>
        </w:rPr>
        <w:t>i</w:t>
      </w:r>
      <w:r>
        <w:rPr>
          <w:lang w:val="es-MX"/>
        </w:rPr>
        <w:t>da con Moatamer Manoucher (citó fs. 2352/vta.), cuya fi</w:t>
      </w:r>
      <w:r>
        <w:rPr>
          <w:lang w:val="es-MX"/>
        </w:rPr>
        <w:t>l</w:t>
      </w:r>
      <w:r>
        <w:rPr>
          <w:lang w:val="es-MX"/>
        </w:rPr>
        <w:t>mación, añadió, también fue de</w:t>
      </w:r>
      <w:r>
        <w:rPr>
          <w:lang w:val="es-MX"/>
        </w:rPr>
        <w:t>s</w:t>
      </w:r>
      <w:r>
        <w:rPr>
          <w:lang w:val="es-MX"/>
        </w:rPr>
        <w:t>truida.</w:t>
      </w:r>
    </w:p>
    <w:p w:rsidR="00224567" w:rsidRDefault="00224567">
      <w:pPr>
        <w:widowControl w:val="0"/>
        <w:rPr>
          <w:lang w:val="es-MX"/>
        </w:rPr>
      </w:pPr>
      <w:r>
        <w:rPr>
          <w:lang w:val="es-MX"/>
        </w:rPr>
        <w:tab/>
        <w:t>La defensa conjeturó que en la re</w:t>
      </w:r>
      <w:r>
        <w:rPr>
          <w:lang w:val="es-MX"/>
        </w:rPr>
        <w:t>u</w:t>
      </w:r>
      <w:r>
        <w:rPr>
          <w:lang w:val="es-MX"/>
        </w:rPr>
        <w:t>nión llevada a cabo el 25 de julio de 1994 en la residencia presidencial de Olivos entre el juez instructor, su secr</w:t>
      </w:r>
      <w:r>
        <w:rPr>
          <w:lang w:val="es-MX"/>
        </w:rPr>
        <w:t>e</w:t>
      </w:r>
      <w:r>
        <w:rPr>
          <w:lang w:val="es-MX"/>
        </w:rPr>
        <w:t>taria, los fiscales, los miembros del Poder Ejecutivo N</w:t>
      </w:r>
      <w:r>
        <w:rPr>
          <w:lang w:val="es-MX"/>
        </w:rPr>
        <w:t>a</w:t>
      </w:r>
      <w:r>
        <w:rPr>
          <w:lang w:val="es-MX"/>
        </w:rPr>
        <w:t>cional y las fuerzas de seguridad e intel</w:t>
      </w:r>
      <w:r>
        <w:rPr>
          <w:lang w:val="es-MX"/>
        </w:rPr>
        <w:t>i</w:t>
      </w:r>
      <w:r>
        <w:rPr>
          <w:lang w:val="es-MX"/>
        </w:rPr>
        <w:t>gencia se habló de los verdaderos responsables del ataque, en base a las tareas que habían realizado los se</w:t>
      </w:r>
      <w:r>
        <w:rPr>
          <w:lang w:val="es-MX"/>
        </w:rPr>
        <w:t>r</w:t>
      </w:r>
      <w:r>
        <w:rPr>
          <w:lang w:val="es-MX"/>
        </w:rPr>
        <w:t>vicios de inteligencia nacion</w:t>
      </w:r>
      <w:r>
        <w:rPr>
          <w:lang w:val="es-MX"/>
        </w:rPr>
        <w:t>a</w:t>
      </w:r>
      <w:r>
        <w:rPr>
          <w:lang w:val="es-MX"/>
        </w:rPr>
        <w:t>les y colaterales y que, a pesar de eso, el ataque no se pudo evitar.</w:t>
      </w:r>
    </w:p>
    <w:p w:rsidR="00224567" w:rsidRDefault="00224567">
      <w:pPr>
        <w:widowControl w:val="0"/>
        <w:rPr>
          <w:lang w:val="es-MX"/>
        </w:rPr>
      </w:pPr>
      <w:r>
        <w:rPr>
          <w:lang w:val="es-MX"/>
        </w:rPr>
        <w:tab/>
        <w:t>Dedujo ello a partir de las manifest</w:t>
      </w:r>
      <w:r>
        <w:rPr>
          <w:lang w:val="es-MX"/>
        </w:rPr>
        <w:t>a</w:t>
      </w:r>
      <w:r>
        <w:rPr>
          <w:lang w:val="es-MX"/>
        </w:rPr>
        <w:t>ciones, que calificó de reticentes, de los testigos Hugo Anzorreguy, Andrés Antonietti y Susana Spina que partic</w:t>
      </w:r>
      <w:r>
        <w:rPr>
          <w:lang w:val="es-MX"/>
        </w:rPr>
        <w:t>i</w:t>
      </w:r>
      <w:r>
        <w:rPr>
          <w:lang w:val="es-MX"/>
        </w:rPr>
        <w:t>paron en el encuentro, con el propósito de ocultar el ve</w:t>
      </w:r>
      <w:r>
        <w:rPr>
          <w:lang w:val="es-MX"/>
        </w:rPr>
        <w:t>r</w:t>
      </w:r>
      <w:r>
        <w:rPr>
          <w:lang w:val="es-MX"/>
        </w:rPr>
        <w:t>dadero contenido de la e</w:t>
      </w:r>
      <w:r>
        <w:rPr>
          <w:lang w:val="es-MX"/>
        </w:rPr>
        <w:t>n</w:t>
      </w:r>
      <w:r>
        <w:rPr>
          <w:lang w:val="es-MX"/>
        </w:rPr>
        <w:t>trevista, como así también en la omisión del juez de volcarlo en el acta.</w:t>
      </w:r>
    </w:p>
    <w:p w:rsidR="00224567" w:rsidRDefault="00224567">
      <w:pPr>
        <w:widowControl w:val="0"/>
        <w:rPr>
          <w:lang w:val="es-MX"/>
        </w:rPr>
      </w:pPr>
      <w:r>
        <w:rPr>
          <w:lang w:val="es-MX"/>
        </w:rPr>
        <w:lastRenderedPageBreak/>
        <w:tab/>
        <w:t>Desde ese instante, afirmó la defe</w:t>
      </w:r>
      <w:r>
        <w:rPr>
          <w:lang w:val="es-MX"/>
        </w:rPr>
        <w:t>n</w:t>
      </w:r>
      <w:r>
        <w:rPr>
          <w:lang w:val="es-MX"/>
        </w:rPr>
        <w:t>sa, el juez instructor cedió a la pretensiones del Poder Ej</w:t>
      </w:r>
      <w:r>
        <w:rPr>
          <w:lang w:val="es-MX"/>
        </w:rPr>
        <w:t>e</w:t>
      </w:r>
      <w:r>
        <w:rPr>
          <w:lang w:val="es-MX"/>
        </w:rPr>
        <w:t>cutivo Nacional.</w:t>
      </w:r>
    </w:p>
    <w:p w:rsidR="00224567" w:rsidRDefault="00224567">
      <w:pPr>
        <w:widowControl w:val="0"/>
        <w:rPr>
          <w:lang w:val="es-MX"/>
        </w:rPr>
      </w:pPr>
      <w:r>
        <w:rPr>
          <w:lang w:val="es-MX"/>
        </w:rPr>
        <w:tab/>
        <w:t>Otro dato revelador del ocultamiento de la investigación fue, según el parecer de la defensa, la omisión por parte del juez Santa M</w:t>
      </w:r>
      <w:r>
        <w:rPr>
          <w:lang w:val="es-MX"/>
        </w:rPr>
        <w:t>a</w:t>
      </w:r>
      <w:r>
        <w:rPr>
          <w:lang w:val="es-MX"/>
        </w:rPr>
        <w:t>rina y del servicio de inteligencia de informar oficialmente acerca de la d</w:t>
      </w:r>
      <w:r>
        <w:rPr>
          <w:lang w:val="es-MX"/>
        </w:rPr>
        <w:t>e</w:t>
      </w:r>
      <w:r>
        <w:rPr>
          <w:lang w:val="es-MX"/>
        </w:rPr>
        <w:t>tención de Khalil Ghatea el 25 de julio de 1994 al juez instructor, a pesar de la evidente vinc</w:t>
      </w:r>
      <w:r>
        <w:rPr>
          <w:lang w:val="es-MX"/>
        </w:rPr>
        <w:t>u</w:t>
      </w:r>
      <w:r>
        <w:rPr>
          <w:lang w:val="es-MX"/>
        </w:rPr>
        <w:t>lación de éste con Alí Reza Halvaei y Moshen Rabb</w:t>
      </w:r>
      <w:r>
        <w:rPr>
          <w:lang w:val="es-MX"/>
        </w:rPr>
        <w:t>a</w:t>
      </w:r>
      <w:r>
        <w:rPr>
          <w:lang w:val="es-MX"/>
        </w:rPr>
        <w:t>ni.</w:t>
      </w:r>
    </w:p>
    <w:p w:rsidR="00224567" w:rsidRDefault="00224567">
      <w:pPr>
        <w:widowControl w:val="0"/>
        <w:rPr>
          <w:lang w:val="es-MX"/>
        </w:rPr>
      </w:pPr>
      <w:r>
        <w:rPr>
          <w:lang w:val="es-MX"/>
        </w:rPr>
        <w:tab/>
        <w:t>En el mismo orden de ideas, los letr</w:t>
      </w:r>
      <w:r>
        <w:rPr>
          <w:lang w:val="es-MX"/>
        </w:rPr>
        <w:t>a</w:t>
      </w:r>
      <w:r>
        <w:rPr>
          <w:lang w:val="es-MX"/>
        </w:rPr>
        <w:t>dos enumeraron una serie de actos de ocult</w:t>
      </w:r>
      <w:r>
        <w:rPr>
          <w:lang w:val="es-MX"/>
        </w:rPr>
        <w:t>a</w:t>
      </w:r>
      <w:r>
        <w:rPr>
          <w:lang w:val="es-MX"/>
        </w:rPr>
        <w:t>miento a cargo del agente Stiuso; a saber, la prueba recogida por esa s</w:t>
      </w:r>
      <w:r>
        <w:rPr>
          <w:lang w:val="es-MX"/>
        </w:rPr>
        <w:t>e</w:t>
      </w:r>
      <w:r>
        <w:rPr>
          <w:lang w:val="es-MX"/>
        </w:rPr>
        <w:t>cretaría en el lugar del hecho, la documentación que des</w:t>
      </w:r>
      <w:r>
        <w:rPr>
          <w:lang w:val="es-MX"/>
        </w:rPr>
        <w:t>a</w:t>
      </w:r>
      <w:r>
        <w:rPr>
          <w:lang w:val="es-MX"/>
        </w:rPr>
        <w:t>pareció del Hotel de las Américas, la om</w:t>
      </w:r>
      <w:r>
        <w:rPr>
          <w:lang w:val="es-MX"/>
        </w:rPr>
        <w:t>i</w:t>
      </w:r>
      <w:r>
        <w:rPr>
          <w:lang w:val="es-MX"/>
        </w:rPr>
        <w:t xml:space="preserve">sión de explicar los reales motivos que determinaron la observación de su asistido, la exhibición a Elena </w:t>
      </w:r>
      <w:r>
        <w:rPr>
          <w:lang w:val="es-ES_tradnl"/>
        </w:rPr>
        <w:t>Schargorodsky</w:t>
      </w:r>
      <w:r>
        <w:rPr>
          <w:lang w:val="es-MX"/>
        </w:rPr>
        <w:t xml:space="preserve"> y José Ant</w:t>
      </w:r>
      <w:r>
        <w:rPr>
          <w:lang w:val="es-MX"/>
        </w:rPr>
        <w:t>o</w:t>
      </w:r>
      <w:r>
        <w:rPr>
          <w:lang w:val="es-MX"/>
        </w:rPr>
        <w:t>nio Díaz, empleados de “Jet Parking”, de fotografías de personas para su reconoc</w:t>
      </w:r>
      <w:r>
        <w:rPr>
          <w:lang w:val="es-MX"/>
        </w:rPr>
        <w:t>i</w:t>
      </w:r>
      <w:r>
        <w:rPr>
          <w:lang w:val="es-MX"/>
        </w:rPr>
        <w:t>miento y el secuestro y posterior desaparición del disco rígido del locutorio de la ciudad de Posadas, desde donde su asistido había llamado por t</w:t>
      </w:r>
      <w:r>
        <w:rPr>
          <w:lang w:val="es-MX"/>
        </w:rPr>
        <w:t>e</w:t>
      </w:r>
      <w:r>
        <w:rPr>
          <w:lang w:val="es-MX"/>
        </w:rPr>
        <w:lastRenderedPageBreak/>
        <w:t>léfono antes de su detención.</w:t>
      </w:r>
    </w:p>
    <w:p w:rsidR="00224567" w:rsidRDefault="00224567">
      <w:pPr>
        <w:widowControl w:val="0"/>
        <w:rPr>
          <w:lang w:val="es-MX"/>
        </w:rPr>
      </w:pPr>
      <w:r>
        <w:rPr>
          <w:lang w:val="es-MX"/>
        </w:rPr>
        <w:tab/>
        <w:t>La defensa calificó los hechos menci</w:t>
      </w:r>
      <w:r>
        <w:rPr>
          <w:lang w:val="es-MX"/>
        </w:rPr>
        <w:t>o</w:t>
      </w:r>
      <w:r>
        <w:rPr>
          <w:lang w:val="es-MX"/>
        </w:rPr>
        <w:t>nados como incursos en el delito de destrucción de pru</w:t>
      </w:r>
      <w:r>
        <w:rPr>
          <w:lang w:val="es-MX"/>
        </w:rPr>
        <w:t>e</w:t>
      </w:r>
      <w:r>
        <w:rPr>
          <w:lang w:val="es-MX"/>
        </w:rPr>
        <w:t>bas, de los cuales, dijo, el juez no era ajeno y los fi</w:t>
      </w:r>
      <w:r>
        <w:rPr>
          <w:lang w:val="es-MX"/>
        </w:rPr>
        <w:t>s</w:t>
      </w:r>
      <w:r>
        <w:rPr>
          <w:lang w:val="es-MX"/>
        </w:rPr>
        <w:t>cales Mullen y Barbaccia omitieron denunciar en forma d</w:t>
      </w:r>
      <w:r>
        <w:rPr>
          <w:lang w:val="es-MX"/>
        </w:rPr>
        <w:t>o</w:t>
      </w:r>
      <w:r>
        <w:rPr>
          <w:lang w:val="es-MX"/>
        </w:rPr>
        <w:t>losa.</w:t>
      </w:r>
    </w:p>
    <w:p w:rsidR="00224567" w:rsidRDefault="00224567">
      <w:pPr>
        <w:widowControl w:val="0"/>
        <w:ind w:firstLine="2835"/>
        <w:rPr>
          <w:lang w:val="es-MX"/>
        </w:rPr>
      </w:pPr>
      <w:r>
        <w:rPr>
          <w:lang w:val="es-MX"/>
        </w:rPr>
        <w:t>Mencionó que la querella de D.A.I.A. también tenía conocimiento del ocultamiento porque su t</w:t>
      </w:r>
      <w:r>
        <w:rPr>
          <w:lang w:val="es-MX"/>
        </w:rPr>
        <w:t>i</w:t>
      </w:r>
      <w:r>
        <w:rPr>
          <w:lang w:val="es-MX"/>
        </w:rPr>
        <w:t>tular, el Dr. Rubén Beraja, participó de la mencionada reunión de Olivos y, además, porque tanto esa inst</w:t>
      </w:r>
      <w:r>
        <w:rPr>
          <w:lang w:val="es-MX"/>
        </w:rPr>
        <w:t>i</w:t>
      </w:r>
      <w:r>
        <w:rPr>
          <w:lang w:val="es-MX"/>
        </w:rPr>
        <w:t>tución como A.M.I.A. estuvieron desde el inicio “encima del exp</w:t>
      </w:r>
      <w:r>
        <w:rPr>
          <w:lang w:val="es-MX"/>
        </w:rPr>
        <w:t>e</w:t>
      </w:r>
      <w:r>
        <w:rPr>
          <w:lang w:val="es-MX"/>
        </w:rPr>
        <w:t>diente”.</w:t>
      </w:r>
    </w:p>
    <w:p w:rsidR="00224567" w:rsidRDefault="00224567">
      <w:pPr>
        <w:widowControl w:val="0"/>
        <w:rPr>
          <w:bCs/>
          <w:iCs/>
          <w:lang w:val="es-MX"/>
        </w:rPr>
      </w:pPr>
      <w:r>
        <w:rPr>
          <w:lang w:val="es-MX"/>
        </w:rPr>
        <w:tab/>
        <w:t>De haberse investigado oportunamente tales actos delictivos, sostuvo, otras serían las pe</w:t>
      </w:r>
      <w:r>
        <w:rPr>
          <w:lang w:val="es-MX"/>
        </w:rPr>
        <w:t>r</w:t>
      </w:r>
      <w:r>
        <w:rPr>
          <w:lang w:val="es-MX"/>
        </w:rPr>
        <w:t>sonas juzgadas y otro el curso de la pesquisa. Agregó, además, que tal accionar perjudicó a la defensa porque más allá de la absoluta inocencia de Telleldín es ev</w:t>
      </w:r>
      <w:r>
        <w:rPr>
          <w:lang w:val="es-MX"/>
        </w:rPr>
        <w:t>i</w:t>
      </w:r>
      <w:r>
        <w:rPr>
          <w:lang w:val="es-MX"/>
        </w:rPr>
        <w:t>dente que existía más información que la que su</w:t>
      </w:r>
      <w:r>
        <w:rPr>
          <w:lang w:val="es-MX"/>
        </w:rPr>
        <w:t>r</w:t>
      </w:r>
      <w:r>
        <w:rPr>
          <w:lang w:val="es-MX"/>
        </w:rPr>
        <w:t>ge de las constancias de la causa y de sus innumerables leg</w:t>
      </w:r>
      <w:r>
        <w:rPr>
          <w:lang w:val="es-MX"/>
        </w:rPr>
        <w:t>a</w:t>
      </w:r>
      <w:r>
        <w:rPr>
          <w:lang w:val="es-MX"/>
        </w:rPr>
        <w:t>jos. Quizás, argumentó la defensa, esa información demostraba la verdadera respons</w:t>
      </w:r>
      <w:r>
        <w:rPr>
          <w:lang w:val="es-MX"/>
        </w:rPr>
        <w:t>a</w:t>
      </w:r>
      <w:r>
        <w:rPr>
          <w:lang w:val="es-MX"/>
        </w:rPr>
        <w:lastRenderedPageBreak/>
        <w:t>bilidad de los autores del atentado y el motivo del enc</w:t>
      </w:r>
      <w:r>
        <w:rPr>
          <w:lang w:val="es-MX"/>
        </w:rPr>
        <w:t>u</w:t>
      </w:r>
      <w:r>
        <w:rPr>
          <w:lang w:val="es-MX"/>
        </w:rPr>
        <w:t>brimiento</w:t>
      </w:r>
      <w:r>
        <w:rPr>
          <w:bCs/>
          <w:iCs/>
          <w:lang w:val="es-MX"/>
        </w:rPr>
        <w:t>.</w:t>
      </w:r>
    </w:p>
    <w:p w:rsidR="00224567" w:rsidRDefault="00224567">
      <w:pPr>
        <w:widowControl w:val="0"/>
        <w:rPr>
          <w:lang w:val="es-MX"/>
        </w:rPr>
      </w:pPr>
      <w:r>
        <w:rPr>
          <w:lang w:val="es-MX"/>
        </w:rPr>
        <w:tab/>
        <w:t>Continuó manifestando que la prueba palmaria del encubr</w:t>
      </w:r>
      <w:r>
        <w:rPr>
          <w:lang w:val="es-MX"/>
        </w:rPr>
        <w:t>i</w:t>
      </w:r>
      <w:r>
        <w:rPr>
          <w:lang w:val="es-MX"/>
        </w:rPr>
        <w:t>miento la constituye la resolución del 5 de marzo de 2003 del juez instructor, quien a modo de sinceramiento -o quizás como método para adelantar una d</w:t>
      </w:r>
      <w:r>
        <w:rPr>
          <w:lang w:val="es-MX"/>
        </w:rPr>
        <w:t>e</w:t>
      </w:r>
      <w:r>
        <w:rPr>
          <w:lang w:val="es-MX"/>
        </w:rPr>
        <w:t>fensa a la responsabilidad del desvío que le cabe en la investigación- d</w:t>
      </w:r>
      <w:r>
        <w:rPr>
          <w:lang w:val="es-MX"/>
        </w:rPr>
        <w:t>e</w:t>
      </w:r>
      <w:r>
        <w:rPr>
          <w:lang w:val="es-MX"/>
        </w:rPr>
        <w:t>jó expresado quienes son, a su entender, los verdaderos responsables del terrible atentado, esto es, los integrantes del Hezbollah, diplomáticos res</w:t>
      </w:r>
      <w:r>
        <w:rPr>
          <w:lang w:val="es-MX"/>
        </w:rPr>
        <w:t>i</w:t>
      </w:r>
      <w:r>
        <w:rPr>
          <w:lang w:val="es-MX"/>
        </w:rPr>
        <w:t xml:space="preserve">dentes en </w:t>
      </w:r>
      <w:smartTag w:uri="urn:schemas-microsoft-com:office:smarttags" w:element="PersonName">
        <w:smartTagPr>
          <w:attr w:name="ProductID" w:val="la Argentina"/>
        </w:smartTagPr>
        <w:r>
          <w:rPr>
            <w:lang w:val="es-MX"/>
          </w:rPr>
          <w:t>la Argentina</w:t>
        </w:r>
      </w:smartTag>
      <w:r>
        <w:rPr>
          <w:lang w:val="es-MX"/>
        </w:rPr>
        <w:t xml:space="preserve"> y funcionarios de la embajada de Irán. Sin embargo, omitió vincular a dichos individuos –sobre qui</w:t>
      </w:r>
      <w:r>
        <w:rPr>
          <w:lang w:val="es-MX"/>
        </w:rPr>
        <w:t>e</w:t>
      </w:r>
      <w:r>
        <w:rPr>
          <w:lang w:val="es-MX"/>
        </w:rPr>
        <w:t>nes pesa un pedido de captura- con su asistido, cuestión que tampoco pudieron hacerlo los acusadores.</w:t>
      </w:r>
    </w:p>
    <w:p w:rsidR="00224567" w:rsidRDefault="00224567">
      <w:pPr>
        <w:widowControl w:val="0"/>
        <w:ind w:firstLine="2835"/>
        <w:rPr>
          <w:lang w:val="es-MX"/>
        </w:rPr>
      </w:pPr>
      <w:r>
        <w:rPr>
          <w:lang w:val="es-MX"/>
        </w:rPr>
        <w:t>En ese decisorio, observó la defe</w:t>
      </w:r>
      <w:r>
        <w:rPr>
          <w:lang w:val="es-MX"/>
        </w:rPr>
        <w:t>n</w:t>
      </w:r>
      <w:r>
        <w:rPr>
          <w:lang w:val="es-MX"/>
        </w:rPr>
        <w:t>sa, el juez intentó regularizar la investigación y “bla</w:t>
      </w:r>
      <w:r>
        <w:rPr>
          <w:lang w:val="es-MX"/>
        </w:rPr>
        <w:t>n</w:t>
      </w:r>
      <w:r>
        <w:rPr>
          <w:lang w:val="es-MX"/>
        </w:rPr>
        <w:t>quear” los datos que se tenían desde tie</w:t>
      </w:r>
      <w:r>
        <w:rPr>
          <w:lang w:val="es-MX"/>
        </w:rPr>
        <w:t>m</w:t>
      </w:r>
      <w:r>
        <w:rPr>
          <w:lang w:val="es-MX"/>
        </w:rPr>
        <w:t>po antes del 18 de julio de 1994, como así también los que se ocultaron con post</w:t>
      </w:r>
      <w:r>
        <w:rPr>
          <w:lang w:val="es-MX"/>
        </w:rPr>
        <w:t>e</w:t>
      </w:r>
      <w:r>
        <w:rPr>
          <w:lang w:val="es-MX"/>
        </w:rPr>
        <w:t>rioridad en la formación de legajos i</w:t>
      </w:r>
      <w:r>
        <w:rPr>
          <w:lang w:val="es-MX"/>
        </w:rPr>
        <w:t>n</w:t>
      </w:r>
      <w:r>
        <w:rPr>
          <w:lang w:val="es-MX"/>
        </w:rPr>
        <w:t>accesibles (mencionó los nros. 313, 204, 267, 261 y las causas nros. 1627 y 1323).</w:t>
      </w:r>
    </w:p>
    <w:p w:rsidR="00224567" w:rsidRDefault="00224567">
      <w:pPr>
        <w:widowControl w:val="0"/>
        <w:rPr>
          <w:lang w:val="es-MX"/>
        </w:rPr>
      </w:pPr>
      <w:r>
        <w:rPr>
          <w:lang w:val="es-MX"/>
        </w:rPr>
        <w:lastRenderedPageBreak/>
        <w:tab/>
        <w:t>En esa oportunidad, el juez señ</w:t>
      </w:r>
      <w:r>
        <w:rPr>
          <w:lang w:val="es-MX"/>
        </w:rPr>
        <w:t>a</w:t>
      </w:r>
      <w:r>
        <w:rPr>
          <w:lang w:val="es-MX"/>
        </w:rPr>
        <w:t xml:space="preserve">ló que “todos los elementos que componen las distintas fases de un atentado terrorista no necesariamente </w:t>
      </w:r>
      <w:r>
        <w:rPr>
          <w:bCs/>
          <w:iCs/>
          <w:lang w:val="es-MX"/>
        </w:rPr>
        <w:t>deben ser conoc</w:t>
      </w:r>
      <w:r>
        <w:rPr>
          <w:bCs/>
          <w:iCs/>
          <w:lang w:val="es-MX"/>
        </w:rPr>
        <w:t>i</w:t>
      </w:r>
      <w:r>
        <w:rPr>
          <w:bCs/>
          <w:iCs/>
          <w:lang w:val="es-MX"/>
        </w:rPr>
        <w:t>dos por quienes intervienen en uno de los tramos indispe</w:t>
      </w:r>
      <w:r>
        <w:rPr>
          <w:bCs/>
          <w:iCs/>
          <w:lang w:val="es-MX"/>
        </w:rPr>
        <w:t>n</w:t>
      </w:r>
      <w:r>
        <w:rPr>
          <w:bCs/>
          <w:iCs/>
          <w:lang w:val="es-MX"/>
        </w:rPr>
        <w:t>sables para la ocurrencia del evento”</w:t>
      </w:r>
      <w:r>
        <w:rPr>
          <w:lang w:val="es-MX"/>
        </w:rPr>
        <w:t>. Con esta afirm</w:t>
      </w:r>
      <w:r>
        <w:rPr>
          <w:lang w:val="es-MX"/>
        </w:rPr>
        <w:t>a</w:t>
      </w:r>
      <w:r>
        <w:rPr>
          <w:lang w:val="es-MX"/>
        </w:rPr>
        <w:t>ción, después de 10 años, el magistrado reconoció el ve</w:t>
      </w:r>
      <w:r>
        <w:rPr>
          <w:lang w:val="es-MX"/>
        </w:rPr>
        <w:t>r</w:t>
      </w:r>
      <w:r>
        <w:rPr>
          <w:lang w:val="es-MX"/>
        </w:rPr>
        <w:t xml:space="preserve">dadero </w:t>
      </w:r>
      <w:r>
        <w:rPr>
          <w:u w:val="single"/>
          <w:lang w:val="es-MX"/>
        </w:rPr>
        <w:t>modus operandi</w:t>
      </w:r>
      <w:r>
        <w:rPr>
          <w:lang w:val="es-MX"/>
        </w:rPr>
        <w:t xml:space="preserve"> de los actos t</w:t>
      </w:r>
      <w:r>
        <w:rPr>
          <w:lang w:val="es-MX"/>
        </w:rPr>
        <w:t>e</w:t>
      </w:r>
      <w:r>
        <w:rPr>
          <w:lang w:val="es-MX"/>
        </w:rPr>
        <w:t>rroristas, basado en el desconocimiento de los eslabones y planes terr</w:t>
      </w:r>
      <w:r>
        <w:rPr>
          <w:lang w:val="es-MX"/>
        </w:rPr>
        <w:t>o</w:t>
      </w:r>
      <w:r>
        <w:rPr>
          <w:lang w:val="es-MX"/>
        </w:rPr>
        <w:t>ristas y en el máximo secreto en su desarrollo para evitar que se frustren.</w:t>
      </w:r>
    </w:p>
    <w:p w:rsidR="00224567" w:rsidRDefault="00224567">
      <w:pPr>
        <w:widowControl w:val="0"/>
        <w:ind w:firstLine="2835"/>
        <w:rPr>
          <w:lang w:val="es-MX"/>
        </w:rPr>
      </w:pPr>
      <w:r>
        <w:rPr>
          <w:lang w:val="es-MX"/>
        </w:rPr>
        <w:t>En la resolución el juez presumió que los autores de la masacre eligieron a Carlos Telleldín p</w:t>
      </w:r>
      <w:r>
        <w:rPr>
          <w:lang w:val="es-MX"/>
        </w:rPr>
        <w:t>a</w:t>
      </w:r>
      <w:r>
        <w:rPr>
          <w:lang w:val="es-MX"/>
        </w:rPr>
        <w:t>ra comprar la camioneta, sin ningún conocimiento ad</w:t>
      </w:r>
      <w:r>
        <w:rPr>
          <w:lang w:val="es-MX"/>
        </w:rPr>
        <w:t>i</w:t>
      </w:r>
      <w:r>
        <w:rPr>
          <w:lang w:val="es-MX"/>
        </w:rPr>
        <w:t>cional a una simple venta, para que una vez hallado el m</w:t>
      </w:r>
      <w:r>
        <w:rPr>
          <w:lang w:val="es-MX"/>
        </w:rPr>
        <w:t>o</w:t>
      </w:r>
      <w:r>
        <w:rPr>
          <w:lang w:val="es-MX"/>
        </w:rPr>
        <w:t>tor, la investigación se distrajera en la persecución de delitos comunes a</w:t>
      </w:r>
      <w:r>
        <w:rPr>
          <w:lang w:val="es-MX"/>
        </w:rPr>
        <w:t>n</w:t>
      </w:r>
      <w:r>
        <w:rPr>
          <w:lang w:val="es-MX"/>
        </w:rPr>
        <w:t>tes de llegar a los verdaderos y únicos autores.</w:t>
      </w:r>
    </w:p>
    <w:p w:rsidR="00224567" w:rsidRDefault="00224567">
      <w:pPr>
        <w:widowControl w:val="0"/>
        <w:rPr>
          <w:lang w:val="es-MX"/>
        </w:rPr>
      </w:pPr>
      <w:r>
        <w:rPr>
          <w:lang w:val="es-MX"/>
        </w:rPr>
        <w:tab/>
        <w:t xml:space="preserve">En realidad -continuó la defensa- el instructor pretendió justificar con esa argumentación el desvío que hizo de la investigación, en tanto que desde el inicio dejó de investigar a los verdaderos responsables, </w:t>
      </w:r>
      <w:r>
        <w:rPr>
          <w:lang w:val="es-MX"/>
        </w:rPr>
        <w:lastRenderedPageBreak/>
        <w:t>para preferir los delitos de doblado de automotores, est</w:t>
      </w:r>
      <w:r>
        <w:rPr>
          <w:lang w:val="es-MX"/>
        </w:rPr>
        <w:t>a</w:t>
      </w:r>
      <w:r>
        <w:rPr>
          <w:lang w:val="es-MX"/>
        </w:rPr>
        <w:t>fas a las compañías de seguro y un sinnúmero de pesquisas ajenas al hecho terrorista.</w:t>
      </w:r>
    </w:p>
    <w:p w:rsidR="00224567" w:rsidRDefault="00224567">
      <w:pPr>
        <w:pStyle w:val="Textoindependiente"/>
        <w:spacing w:line="600" w:lineRule="auto"/>
        <w:rPr>
          <w:lang w:val="es-MX"/>
        </w:rPr>
      </w:pPr>
      <w:r>
        <w:rPr>
          <w:lang w:val="es-MX"/>
        </w:rPr>
        <w:tab/>
        <w:t>Por ello, la defensa solicitó que se extra</w:t>
      </w:r>
      <w:r>
        <w:rPr>
          <w:lang w:val="es-MX"/>
        </w:rPr>
        <w:t>i</w:t>
      </w:r>
      <w:r>
        <w:rPr>
          <w:lang w:val="es-MX"/>
        </w:rPr>
        <w:t>gan testimonios de las partes pertinentes a fin de invest</w:t>
      </w:r>
      <w:r>
        <w:rPr>
          <w:lang w:val="es-MX"/>
        </w:rPr>
        <w:t>i</w:t>
      </w:r>
      <w:r>
        <w:rPr>
          <w:lang w:val="es-MX"/>
        </w:rPr>
        <w:t>gar los hechos reseñados, constitutivos del delito de enc</w:t>
      </w:r>
      <w:r>
        <w:rPr>
          <w:lang w:val="es-MX"/>
        </w:rPr>
        <w:t>u</w:t>
      </w:r>
      <w:r>
        <w:rPr>
          <w:lang w:val="es-MX"/>
        </w:rPr>
        <w:t>brimiento doloso de la pesqu</w:t>
      </w:r>
      <w:r>
        <w:rPr>
          <w:lang w:val="es-MX"/>
        </w:rPr>
        <w:t>i</w:t>
      </w:r>
      <w:r>
        <w:rPr>
          <w:lang w:val="es-MX"/>
        </w:rPr>
        <w:t>sa.</w:t>
      </w:r>
    </w:p>
    <w:p w:rsidR="00224567" w:rsidRDefault="00224567">
      <w:pPr>
        <w:widowControl w:val="0"/>
      </w:pPr>
      <w:r>
        <w:rPr>
          <w:lang w:val="es-MX"/>
        </w:rPr>
        <w:tab/>
        <w:t>Requirió, por otra parte, que “</w:t>
      </w:r>
      <w:r>
        <w:t>se d</w:t>
      </w:r>
      <w:r>
        <w:t>e</w:t>
      </w:r>
      <w:r>
        <w:t>clare la nulidad de todos los secuestros efectuados en e</w:t>
      </w:r>
      <w:r>
        <w:t>s</w:t>
      </w:r>
      <w:r>
        <w:t xml:space="preserve">ta causa, tanto de repuestos de mecánica como de chapas, en virtud de lo normado en los arts. 138, 139, 140, 166, y </w:t>
      </w:r>
      <w:smartTag w:uri="urn:schemas-microsoft-com:office:smarttags" w:element="metricconverter">
        <w:smartTagPr>
          <w:attr w:name="ProductID" w:val="168 C"/>
        </w:smartTagPr>
        <w:r>
          <w:t>168 C</w:t>
        </w:r>
      </w:smartTag>
      <w:r>
        <w:t>.P.P.N.” (sic), como así también la del secuestro de “un elástico de automotor”, pieza identificada con el nº 34. Realizó, además, una serie de cuestionamientos relat</w:t>
      </w:r>
      <w:r>
        <w:t>i</w:t>
      </w:r>
      <w:r>
        <w:t>vos a la modalidad emprendida por el personal de bomberos para la recolección de evidencias en el lugar del hecho, concluyendo que “los procedimientos utilizados no fueron simplemente negligentes, sino que por alguna razón han s</w:t>
      </w:r>
      <w:r>
        <w:t>i</w:t>
      </w:r>
      <w:r>
        <w:t>do dolosamente irregulares”.</w:t>
      </w:r>
    </w:p>
    <w:p w:rsidR="00224567" w:rsidRDefault="00224567">
      <w:pPr>
        <w:pStyle w:val="Textoindependiente"/>
        <w:spacing w:line="600" w:lineRule="auto"/>
        <w:ind w:firstLine="2835"/>
      </w:pPr>
      <w:r>
        <w:t>Sobre la base de las discordancias a</w:t>
      </w:r>
      <w:r>
        <w:t>d</w:t>
      </w:r>
      <w:r>
        <w:t>vertidas en los distintos peritajes practic</w:t>
      </w:r>
      <w:r>
        <w:t>a</w:t>
      </w:r>
      <w:r>
        <w:t xml:space="preserve">dos en la etapa </w:t>
      </w:r>
      <w:r>
        <w:lastRenderedPageBreak/>
        <w:t xml:space="preserve">instructoria acerca de la mecánica de la explosión, como ser el enviado por el Estado de </w:t>
      </w:r>
      <w:r>
        <w:rPr>
          <w:bCs/>
        </w:rPr>
        <w:t>Israel</w:t>
      </w:r>
      <w:r>
        <w:t xml:space="preserve">, el realizado por Charles </w:t>
      </w:r>
      <w:r>
        <w:rPr>
          <w:bCs/>
        </w:rPr>
        <w:t>Hunter</w:t>
      </w:r>
      <w:r>
        <w:t xml:space="preserve">, el estudio del perito de parte Osvaldo </w:t>
      </w:r>
      <w:r>
        <w:rPr>
          <w:bCs/>
        </w:rPr>
        <w:t>L</w:t>
      </w:r>
      <w:r>
        <w:rPr>
          <w:bCs/>
        </w:rPr>
        <w:t>a</w:t>
      </w:r>
      <w:r>
        <w:rPr>
          <w:bCs/>
        </w:rPr>
        <w:t>borda</w:t>
      </w:r>
      <w:r>
        <w:t xml:space="preserve"> y el presentado por el personal de bomberos de </w:t>
      </w:r>
      <w:smartTag w:uri="urn:schemas-microsoft-com:office:smarttags" w:element="PersonName">
        <w:smartTagPr>
          <w:attr w:name="ProductID" w:val="la P.F"/>
        </w:smartTagPr>
        <w:r>
          <w:t>la P.F</w:t>
        </w:r>
      </w:smartTag>
      <w:r>
        <w:t>.A., la defensa puso en crisis los siguientes puntos: la existencia de un cráter dejado por la explosión; la ubic</w:t>
      </w:r>
      <w:r>
        <w:t>a</w:t>
      </w:r>
      <w:r>
        <w:t>ción del supuesto coche bomba; la cantidad de explosivo utilizado; su composición química y el direccionamiento del explos</w:t>
      </w:r>
      <w:r>
        <w:t>i</w:t>
      </w:r>
      <w:r>
        <w:t>vo.</w:t>
      </w:r>
    </w:p>
    <w:p w:rsidR="00224567" w:rsidRDefault="00224567">
      <w:pPr>
        <w:pStyle w:val="Textoindependiente"/>
        <w:spacing w:line="600" w:lineRule="auto"/>
      </w:pPr>
      <w:r>
        <w:tab/>
        <w:t>Tampoco pudieron sostener cómo ingresó la c</w:t>
      </w:r>
      <w:r>
        <w:t>a</w:t>
      </w:r>
      <w:r>
        <w:t xml:space="preserve">mioneta al edificio de </w:t>
      </w:r>
      <w:smartTag w:uri="urn:schemas-microsoft-com:office:smarttags" w:element="PersonName">
        <w:smartTagPr>
          <w:attr w:name="ProductID" w:val="la A.M"/>
        </w:smartTagPr>
        <w:r>
          <w:t>la A.M</w:t>
        </w:r>
      </w:smartTag>
      <w:r>
        <w:t xml:space="preserve">.I.A., teniendo en cuenta la posición de los automóviles estacionados, el volquete, la dimensión de la vereda, el ancho y largo de </w:t>
      </w:r>
      <w:smartTag w:uri="urn:schemas-microsoft-com:office:smarttags" w:element="PersonName">
        <w:smartTagPr>
          <w:attr w:name="ProductID" w:val="la Trafic"/>
        </w:smartTagPr>
        <w:r>
          <w:t>la Trafic</w:t>
        </w:r>
      </w:smartTag>
      <w:r>
        <w:t>, la ubicación de las columnas que sostenían la puerta del ed</w:t>
      </w:r>
      <w:r>
        <w:t>i</w:t>
      </w:r>
      <w:r>
        <w:t>ficio y el ancho de la puerta de acc</w:t>
      </w:r>
      <w:r>
        <w:t>e</w:t>
      </w:r>
      <w:r>
        <w:t>so.</w:t>
      </w:r>
    </w:p>
    <w:p w:rsidR="00224567" w:rsidRDefault="00224567">
      <w:pPr>
        <w:pStyle w:val="Textoindependiente"/>
        <w:spacing w:line="600" w:lineRule="auto"/>
      </w:pPr>
      <w:r>
        <w:tab/>
        <w:t>La defensa se preguntó, entonces, por qué no buscar otra explicación, más que forzar la existe</w:t>
      </w:r>
      <w:r>
        <w:t>n</w:t>
      </w:r>
      <w:r>
        <w:t>cia de un coche bomba que, por otra parte, ningún te</w:t>
      </w:r>
      <w:r>
        <w:t>s</w:t>
      </w:r>
      <w:r>
        <w:t>tigo pudo verla. Sólo se cuentan con los dichos de N</w:t>
      </w:r>
      <w:r>
        <w:t>i</w:t>
      </w:r>
      <w:r>
        <w:t xml:space="preserve">colasa Romero y Carlos Heindenreich, cuyos testimonios quedaron desdibujados por </w:t>
      </w:r>
      <w:r>
        <w:lastRenderedPageBreak/>
        <w:t>las declaraciones de Daniel Joffe, Juan Carlos Álvarez, Adriana Mena, Rosa Montano de Barreiro y muchos otros que estuvieron en el mismo instante de la explosión mirando h</w:t>
      </w:r>
      <w:r>
        <w:t>a</w:t>
      </w:r>
      <w:r>
        <w:t>cia la mutual y no observaron el paso de ninguna camion</w:t>
      </w:r>
      <w:r>
        <w:t>e</w:t>
      </w:r>
      <w:r>
        <w:t>ta.</w:t>
      </w:r>
    </w:p>
    <w:p w:rsidR="00224567" w:rsidRDefault="00224567">
      <w:pPr>
        <w:pStyle w:val="Textoindependiente"/>
        <w:spacing w:line="600" w:lineRule="auto"/>
      </w:pPr>
      <w:r>
        <w:tab/>
        <w:t>En ese orden de ideas, dijo que no se anal</w:t>
      </w:r>
      <w:r>
        <w:t>i</w:t>
      </w:r>
      <w:r>
        <w:t>zaron otras hipótesis, como ser la posibilidad de que la carga explosiva haya sido ingresada en la institución di</w:t>
      </w:r>
      <w:r>
        <w:t>s</w:t>
      </w:r>
      <w:r>
        <w:t>frazada de materiales de construcción, en bolsas de cal, cemento o yeso.</w:t>
      </w:r>
    </w:p>
    <w:p w:rsidR="00224567" w:rsidRDefault="00224567">
      <w:pPr>
        <w:pStyle w:val="Textoindependiente"/>
        <w:spacing w:line="600" w:lineRule="auto"/>
      </w:pPr>
      <w:r>
        <w:tab/>
        <w:t>Cuestionó, además, que una vez que su asist</w:t>
      </w:r>
      <w:r>
        <w:t>i</w:t>
      </w:r>
      <w:r>
        <w:t>do y otras personas se encontraban detenidas e indagadas como autores del atentado “nunca se los notificó de la re</w:t>
      </w:r>
      <w:r>
        <w:t>a</w:t>
      </w:r>
      <w:r>
        <w:t>lización de las pericias, ni se los puso en conocimiento que tenían el derecho de designar un perito de parte, tal como lo había hecho la querella” y que “la falta de notif</w:t>
      </w:r>
      <w:r>
        <w:t>i</w:t>
      </w:r>
      <w:r>
        <w:t>cación de la realización de las pericias lleva a solicitar la nulidad de las mismas, en virtud de lo normado en el a</w:t>
      </w:r>
      <w:r>
        <w:t>r</w:t>
      </w:r>
      <w:r>
        <w:t>tículo 258 del C.P.P.N.”.</w:t>
      </w:r>
    </w:p>
    <w:p w:rsidR="00224567" w:rsidRDefault="00224567">
      <w:pPr>
        <w:pStyle w:val="Textoindependiente"/>
        <w:spacing w:line="600" w:lineRule="auto"/>
        <w:rPr>
          <w:bCs/>
          <w:iCs/>
          <w:lang w:val="es-MX"/>
        </w:rPr>
      </w:pPr>
      <w:r>
        <w:tab/>
        <w:t>La defensa también impetró la nulidad del a</w:t>
      </w:r>
      <w:r>
        <w:t>c</w:t>
      </w:r>
      <w:r>
        <w:t>ta de fs. 224 del informe preliminar del Departamento E</w:t>
      </w:r>
      <w:r>
        <w:t>x</w:t>
      </w:r>
      <w:r>
        <w:t xml:space="preserve">plosivos y Riesgos Especiales de </w:t>
      </w:r>
      <w:smartTag w:uri="urn:schemas-microsoft-com:office:smarttags" w:element="PersonName">
        <w:smartTagPr>
          <w:attr w:name="ProductID" w:val="la Superintendencia"/>
        </w:smartTagPr>
        <w:r>
          <w:t>la Superintendencia</w:t>
        </w:r>
      </w:smartTag>
      <w:r>
        <w:t xml:space="preserve"> de </w:t>
      </w:r>
      <w:r>
        <w:lastRenderedPageBreak/>
        <w:t xml:space="preserve">Bomberos de </w:t>
      </w:r>
      <w:smartTag w:uri="urn:schemas-microsoft-com:office:smarttags" w:element="PersonName">
        <w:smartTagPr>
          <w:attr w:name="ProductID" w:val="la Polic￭a Federal"/>
        </w:smartTagPr>
        <w:r>
          <w:t>la Policía Federal</w:t>
        </w:r>
      </w:smartTag>
      <w:r>
        <w:t xml:space="preserve"> Argentina que documentó el hallazgo, el 25 de julio de 1994, del motor nº </w:t>
      </w:r>
      <w:r>
        <w:rPr>
          <w:bCs/>
          <w:iCs/>
          <w:lang w:val="es-MX"/>
        </w:rPr>
        <w:t>2.831.467, llevado a cabo por Horacio Lopardo, en presencia de los testigos Pablo Garris y Gustavo M</w:t>
      </w:r>
      <w:r>
        <w:rPr>
          <w:bCs/>
          <w:iCs/>
          <w:lang w:val="es-MX"/>
        </w:rPr>
        <w:t>o</w:t>
      </w:r>
      <w:r>
        <w:rPr>
          <w:bCs/>
          <w:iCs/>
          <w:lang w:val="es-MX"/>
        </w:rPr>
        <w:t>ragues.</w:t>
      </w:r>
    </w:p>
    <w:p w:rsidR="00224567" w:rsidRDefault="00224567">
      <w:pPr>
        <w:pStyle w:val="Textoindependiente"/>
        <w:spacing w:line="600" w:lineRule="auto"/>
        <w:rPr>
          <w:bCs/>
          <w:iCs/>
          <w:lang w:val="es-MX"/>
        </w:rPr>
      </w:pPr>
      <w:r>
        <w:rPr>
          <w:bCs/>
          <w:iCs/>
          <w:lang w:val="es-MX"/>
        </w:rPr>
        <w:tab/>
        <w:t>Por las cuestiones de hecho y de der</w:t>
      </w:r>
      <w:r>
        <w:rPr>
          <w:bCs/>
          <w:iCs/>
          <w:lang w:val="es-MX"/>
        </w:rPr>
        <w:t>e</w:t>
      </w:r>
      <w:r>
        <w:rPr>
          <w:bCs/>
          <w:iCs/>
          <w:lang w:val="es-MX"/>
        </w:rPr>
        <w:t>cho que explicitó, consideró que el instrumento es ideol</w:t>
      </w:r>
      <w:r>
        <w:rPr>
          <w:bCs/>
          <w:iCs/>
          <w:lang w:val="es-MX"/>
        </w:rPr>
        <w:t>ó</w:t>
      </w:r>
      <w:r>
        <w:rPr>
          <w:bCs/>
          <w:iCs/>
          <w:lang w:val="es-MX"/>
        </w:rPr>
        <w:t>gicamente falso y denunció a quienes participaron del acto por la c</w:t>
      </w:r>
      <w:r>
        <w:rPr>
          <w:bCs/>
          <w:iCs/>
          <w:lang w:val="es-MX"/>
        </w:rPr>
        <w:t>o</w:t>
      </w:r>
      <w:r>
        <w:rPr>
          <w:bCs/>
          <w:iCs/>
          <w:lang w:val="es-MX"/>
        </w:rPr>
        <w:t>misión del delito de falsificación de documento público y falso testimonio.</w:t>
      </w:r>
    </w:p>
    <w:p w:rsidR="00224567" w:rsidRDefault="00224567">
      <w:pPr>
        <w:pStyle w:val="Textoindependiente"/>
        <w:spacing w:line="600" w:lineRule="auto"/>
        <w:rPr>
          <w:lang w:val="es-MX"/>
        </w:rPr>
      </w:pPr>
      <w:r>
        <w:rPr>
          <w:bCs/>
          <w:iCs/>
          <w:lang w:val="es-MX"/>
        </w:rPr>
        <w:tab/>
        <w:t xml:space="preserve">Asimismo, entendió que </w:t>
      </w:r>
      <w:r>
        <w:rPr>
          <w:lang w:val="es-MX"/>
        </w:rPr>
        <w:t>el personal del juzg</w:t>
      </w:r>
      <w:r>
        <w:rPr>
          <w:lang w:val="es-MX"/>
        </w:rPr>
        <w:t>a</w:t>
      </w:r>
      <w:r>
        <w:rPr>
          <w:lang w:val="es-MX"/>
        </w:rPr>
        <w:t>do de instrucción tenía pleno conocimiento de la falsedad del acta y de las declaración de los test</w:t>
      </w:r>
      <w:r>
        <w:rPr>
          <w:lang w:val="es-MX"/>
        </w:rPr>
        <w:t>i</w:t>
      </w:r>
      <w:r>
        <w:rPr>
          <w:lang w:val="es-MX"/>
        </w:rPr>
        <w:t>gos señalados y, probablemente, como se hizo en otras ocasiones, se haya a</w:t>
      </w:r>
      <w:r>
        <w:rPr>
          <w:lang w:val="es-MX"/>
        </w:rPr>
        <w:t>r</w:t>
      </w:r>
      <w:r>
        <w:rPr>
          <w:lang w:val="es-MX"/>
        </w:rPr>
        <w:t>mado con su consentimie</w:t>
      </w:r>
      <w:r>
        <w:rPr>
          <w:lang w:val="es-MX"/>
        </w:rPr>
        <w:t>n</w:t>
      </w:r>
      <w:r>
        <w:rPr>
          <w:lang w:val="es-MX"/>
        </w:rPr>
        <w:t>to. Por esa razón, solicitó que se investigue la posible com</w:t>
      </w:r>
      <w:r>
        <w:rPr>
          <w:lang w:val="es-MX"/>
        </w:rPr>
        <w:t>i</w:t>
      </w:r>
      <w:r>
        <w:rPr>
          <w:lang w:val="es-MX"/>
        </w:rPr>
        <w:t>sión del delito de falsificación de documento público e instigación al falso testimonio en que podría haber incurrido los integrantes del juzgado in</w:t>
      </w:r>
      <w:r>
        <w:rPr>
          <w:lang w:val="es-MX"/>
        </w:rPr>
        <w:t>s</w:t>
      </w:r>
      <w:r>
        <w:rPr>
          <w:lang w:val="es-MX"/>
        </w:rPr>
        <w:t>tructor, en particular, quienes suscribieron las declar</w:t>
      </w:r>
      <w:r>
        <w:rPr>
          <w:lang w:val="es-MX"/>
        </w:rPr>
        <w:t>a</w:t>
      </w:r>
      <w:r>
        <w:rPr>
          <w:lang w:val="es-MX"/>
        </w:rPr>
        <w:t>ciones testim</w:t>
      </w:r>
      <w:r>
        <w:rPr>
          <w:lang w:val="es-MX"/>
        </w:rPr>
        <w:t>o</w:t>
      </w:r>
      <w:r>
        <w:rPr>
          <w:lang w:val="es-MX"/>
        </w:rPr>
        <w:t>niales puestas en crisis.</w:t>
      </w:r>
    </w:p>
    <w:p w:rsidR="00224567" w:rsidRDefault="00224567">
      <w:pPr>
        <w:widowControl w:val="0"/>
        <w:rPr>
          <w:lang w:val="es-MX"/>
        </w:rPr>
      </w:pPr>
      <w:r>
        <w:tab/>
        <w:t xml:space="preserve">En subsidio, la defensa adujo que de </w:t>
      </w:r>
      <w:r>
        <w:lastRenderedPageBreak/>
        <w:t>la valoración de los testimonios de quienes se pronunci</w:t>
      </w:r>
      <w:r>
        <w:t>a</w:t>
      </w:r>
      <w:r>
        <w:t>ron en la audiencias acerca del secuestro del m</w:t>
      </w:r>
      <w:r>
        <w:t>o</w:t>
      </w:r>
      <w:r>
        <w:t>tor no es posible acreditar el extremo, en razón que se v</w:t>
      </w:r>
      <w:r>
        <w:t>e</w:t>
      </w:r>
      <w:r>
        <w:t>rificaron cuantiosas contradicciones entre los dichos de Horacio L</w:t>
      </w:r>
      <w:r>
        <w:t>o</w:t>
      </w:r>
      <w:r>
        <w:t xml:space="preserve">pardo, Daniel Seara, Guillermo </w:t>
      </w:r>
      <w:r>
        <w:rPr>
          <w:lang w:val="es-MX"/>
        </w:rPr>
        <w:t>Scartascini, Alberto Szwarc,</w:t>
      </w:r>
      <w:r>
        <w:t xml:space="preserve"> Zeev </w:t>
      </w:r>
      <w:r>
        <w:rPr>
          <w:lang w:val="es-MX"/>
        </w:rPr>
        <w:t>Livne, Dani Dror y Nahum Fre</w:t>
      </w:r>
      <w:r>
        <w:rPr>
          <w:lang w:val="es-MX"/>
        </w:rPr>
        <w:t>n</w:t>
      </w:r>
      <w:r>
        <w:rPr>
          <w:lang w:val="es-MX"/>
        </w:rPr>
        <w:t>kel</w:t>
      </w:r>
      <w:r>
        <w:t>, respecto a diversas cuestiones tales como la ca</w:t>
      </w:r>
      <w:r>
        <w:t>n</w:t>
      </w:r>
      <w:r>
        <w:t>tidad de personas que observaron el motor entre los escombros, el tamaño de la supuesta viga que lo aprisionaba, el modo en que é</w:t>
      </w:r>
      <w:r>
        <w:t>s</w:t>
      </w:r>
      <w:r>
        <w:t>te fue extraído del lugar o la existencia o no de entusiasmo, gritos o entredichos por su hallazgo, entre otras. Tales imprecisiones, sostuvo,</w:t>
      </w:r>
      <w:r>
        <w:rPr>
          <w:lang w:val="es-MX"/>
        </w:rPr>
        <w:t xml:space="preserve"> demostraron que los nombrados qu</w:t>
      </w:r>
      <w:r>
        <w:rPr>
          <w:lang w:val="es-MX"/>
        </w:rPr>
        <w:t>i</w:t>
      </w:r>
      <w:r>
        <w:rPr>
          <w:lang w:val="es-MX"/>
        </w:rPr>
        <w:t>sieron just</w:t>
      </w:r>
      <w:r>
        <w:rPr>
          <w:lang w:val="es-MX"/>
        </w:rPr>
        <w:t>i</w:t>
      </w:r>
      <w:r>
        <w:rPr>
          <w:lang w:val="es-MX"/>
        </w:rPr>
        <w:t>ficar un falso hallazgo.</w:t>
      </w:r>
    </w:p>
    <w:p w:rsidR="00224567" w:rsidRDefault="00224567">
      <w:pPr>
        <w:pStyle w:val="Textoindependiente"/>
        <w:spacing w:line="600" w:lineRule="auto"/>
      </w:pPr>
      <w:r>
        <w:tab/>
        <w:t xml:space="preserve">Además, arguyó que los dichos de Iván </w:t>
      </w:r>
      <w:r>
        <w:rPr>
          <w:lang w:val="es-MX"/>
        </w:rPr>
        <w:t>Z</w:t>
      </w:r>
      <w:r>
        <w:rPr>
          <w:lang w:val="es-MX"/>
        </w:rPr>
        <w:t>i</w:t>
      </w:r>
      <w:r>
        <w:rPr>
          <w:lang w:val="es-MX"/>
        </w:rPr>
        <w:t>minov Kramanov, Néstor Corsetti, Héctor Rago y Luis Alberto Alv</w:t>
      </w:r>
      <w:r>
        <w:rPr>
          <w:lang w:val="es-MX"/>
        </w:rPr>
        <w:t>a</w:t>
      </w:r>
      <w:r>
        <w:rPr>
          <w:lang w:val="es-MX"/>
        </w:rPr>
        <w:t>rez</w:t>
      </w:r>
      <w:r>
        <w:t xml:space="preserve"> generaron mayor desconcierto en tanto afirmaron que el motor se encontró en circunsta</w:t>
      </w:r>
      <w:r>
        <w:t>n</w:t>
      </w:r>
      <w:r>
        <w:t>cias de tiempo, modo y lugar totalmente diferentes a las señaladas por los testigos a</w:t>
      </w:r>
      <w:r>
        <w:t>n</w:t>
      </w:r>
      <w:r>
        <w:t>tes mencion</w:t>
      </w:r>
      <w:r>
        <w:t>a</w:t>
      </w:r>
      <w:r>
        <w:t>dos.</w:t>
      </w:r>
    </w:p>
    <w:p w:rsidR="00224567" w:rsidRDefault="00224567">
      <w:pPr>
        <w:widowControl w:val="0"/>
      </w:pPr>
      <w:r>
        <w:rPr>
          <w:bCs/>
        </w:rPr>
        <w:tab/>
        <w:t>Dejó entrever, además, que Fre</w:t>
      </w:r>
      <w:r>
        <w:rPr>
          <w:bCs/>
        </w:rPr>
        <w:t>n</w:t>
      </w:r>
      <w:r>
        <w:rPr>
          <w:bCs/>
        </w:rPr>
        <w:t>kel era un agente del Mo</w:t>
      </w:r>
      <w:r>
        <w:rPr>
          <w:bCs/>
        </w:rPr>
        <w:t>s</w:t>
      </w:r>
      <w:r>
        <w:rPr>
          <w:bCs/>
        </w:rPr>
        <w:t xml:space="preserve">sad y afirmó que observó el motor en las </w:t>
      </w:r>
      <w:r>
        <w:rPr>
          <w:bCs/>
        </w:rPr>
        <w:lastRenderedPageBreak/>
        <w:t xml:space="preserve">ruinas de </w:t>
      </w:r>
      <w:smartTag w:uri="urn:schemas-microsoft-com:office:smarttags" w:element="PersonName">
        <w:smartTagPr>
          <w:attr w:name="ProductID" w:val="la A.M"/>
        </w:smartTagPr>
        <w:r>
          <w:rPr>
            <w:bCs/>
          </w:rPr>
          <w:t>la A.M</w:t>
        </w:r>
      </w:smartTag>
      <w:r>
        <w:rPr>
          <w:bCs/>
        </w:rPr>
        <w:t>.I.A. para generar una vía a</w:t>
      </w:r>
      <w:r>
        <w:rPr>
          <w:bCs/>
        </w:rPr>
        <w:t>l</w:t>
      </w:r>
      <w:r>
        <w:rPr>
          <w:bCs/>
        </w:rPr>
        <w:t xml:space="preserve">ternativa con el fin de probar la circunstancia del hallazgo por si se descubría la falsedad del acta que lo documentaba. </w:t>
      </w:r>
      <w:r>
        <w:t>Sólo así se explicaría que haya sido convocado desde Israel c</w:t>
      </w:r>
      <w:r>
        <w:t>o</w:t>
      </w:r>
      <w:r>
        <w:t>mo testigo para declarar en la causa cuando, en verdad, no figuraba en ninguna constancia relacionada con el secue</w:t>
      </w:r>
      <w:r>
        <w:t>s</w:t>
      </w:r>
      <w:r>
        <w:t>tro del motor.</w:t>
      </w:r>
    </w:p>
    <w:p w:rsidR="00224567" w:rsidRDefault="00224567">
      <w:pPr>
        <w:widowControl w:val="0"/>
      </w:pPr>
      <w:r>
        <w:tab/>
        <w:t>Se falseó dicho hallazgo, sostuvo, p</w:t>
      </w:r>
      <w:r>
        <w:t>a</w:t>
      </w:r>
      <w:r>
        <w:t>ra blanquear la investigación previa que llevaba ad</w:t>
      </w:r>
      <w:r>
        <w:t>e</w:t>
      </w:r>
      <w:r>
        <w:t xml:space="preserve">lante </w:t>
      </w:r>
      <w:smartTag w:uri="urn:schemas-microsoft-com:office:smarttags" w:element="PersonName">
        <w:smartTagPr>
          <w:attr w:name="ProductID" w:val="la S.I"/>
        </w:smartTagPr>
        <w:r>
          <w:t>la S.I</w:t>
        </w:r>
      </w:smartTag>
      <w:r>
        <w:t>.D.E. y otros servicios de inteligencia, sobre pe</w:t>
      </w:r>
      <w:r>
        <w:t>r</w:t>
      </w:r>
      <w:r>
        <w:t>sonas sospechosas de planificar el atentado, como ser Kh</w:t>
      </w:r>
      <w:r>
        <w:t>a</w:t>
      </w:r>
      <w:r>
        <w:t>lil Ghatea, Kanoore Edul o Rabbani.</w:t>
      </w:r>
    </w:p>
    <w:p w:rsidR="00224567" w:rsidRDefault="00224567">
      <w:pPr>
        <w:widowControl w:val="0"/>
      </w:pPr>
      <w:r>
        <w:tab/>
        <w:t>Señaló que antes del atentado e</w:t>
      </w:r>
      <w:r>
        <w:t>s</w:t>
      </w:r>
      <w:r>
        <w:t>taban sobre la pista concreta de los terroristas, pero como no tuvieron éxito, se decidió ocultar esas investigaciones. Mencionó, al respecto, que las intervenci</w:t>
      </w:r>
      <w:r>
        <w:t>o</w:t>
      </w:r>
      <w:r>
        <w:t>nes clandestinas las llevó a cabo el sector de contraint</w:t>
      </w:r>
      <w:r>
        <w:t>e</w:t>
      </w:r>
      <w:r>
        <w:t>ligencia, mediante el juzgado a cargo del Dr. Santa Marina, conforme lo so</w:t>
      </w:r>
      <w:r>
        <w:t>s</w:t>
      </w:r>
      <w:r>
        <w:t>tuvo en el d</w:t>
      </w:r>
      <w:r>
        <w:t>e</w:t>
      </w:r>
      <w:r>
        <w:t>bate Lifschitz y Stiuso.</w:t>
      </w:r>
    </w:p>
    <w:p w:rsidR="00224567" w:rsidRDefault="00224567">
      <w:pPr>
        <w:widowControl w:val="0"/>
      </w:pPr>
      <w:r>
        <w:tab/>
        <w:t>Indicó que el 25 de julio de 1994, f</w:t>
      </w:r>
      <w:r>
        <w:t>e</w:t>
      </w:r>
      <w:r>
        <w:lastRenderedPageBreak/>
        <w:t>cha en que Khalil Ghatea intentó salir del país con de</w:t>
      </w:r>
      <w:r>
        <w:t>s</w:t>
      </w:r>
      <w:r>
        <w:t xml:space="preserve">tino a Irán, hecho que fue impedido por </w:t>
      </w:r>
      <w:smartTag w:uri="urn:schemas-microsoft-com:office:smarttags" w:element="PersonName">
        <w:smartTagPr>
          <w:attr w:name="ProductID" w:val="la C￡mara Federal"/>
        </w:smartTagPr>
        <w:r>
          <w:t>la Cámara Federal</w:t>
        </w:r>
      </w:smartTag>
      <w:r>
        <w:t xml:space="preserve"> de </w:t>
      </w:r>
      <w:smartTag w:uri="urn:schemas-microsoft-com:office:smarttags" w:element="PersonName">
        <w:smartTagPr>
          <w:attr w:name="ProductID" w:val="La Plata"/>
        </w:smartTagPr>
        <w:r>
          <w:t>La Plata</w:t>
        </w:r>
      </w:smartTag>
      <w:r>
        <w:t xml:space="preserve"> a pesar de que éste contaba con la autoriz</w:t>
      </w:r>
      <w:r>
        <w:t>a</w:t>
      </w:r>
      <w:r>
        <w:t>ción del juez de la causa, ocurrieron muchos hechos que sólo tienen explicación en la hipótesis a</w:t>
      </w:r>
      <w:r>
        <w:t>n</w:t>
      </w:r>
      <w:r>
        <w:t>tes señalada.</w:t>
      </w:r>
    </w:p>
    <w:p w:rsidR="00224567" w:rsidRDefault="00224567">
      <w:pPr>
        <w:widowControl w:val="0"/>
        <w:ind w:firstLine="2835"/>
      </w:pPr>
      <w:r>
        <w:t>Entre esos acontecimientos, señ</w:t>
      </w:r>
      <w:r>
        <w:t>a</w:t>
      </w:r>
      <w:r>
        <w:t xml:space="preserve">ló la solicitud del jefe del Departamento Protección del Orden Constitucional de </w:t>
      </w:r>
      <w:smartTag w:uri="urn:schemas-microsoft-com:office:smarttags" w:element="PersonName">
        <w:smartTagPr>
          <w:attr w:name="ProductID" w:val="la P.F"/>
        </w:smartTagPr>
        <w:r>
          <w:t>la P.F</w:t>
        </w:r>
      </w:smartTag>
      <w:r>
        <w:t>.A. (D.P.O.C.) para inte</w:t>
      </w:r>
      <w:r>
        <w:t>r</w:t>
      </w:r>
      <w:r>
        <w:t>venir 32 abonados telefónicos que ninguna vincul</w:t>
      </w:r>
      <w:r>
        <w:t>a</w:t>
      </w:r>
      <w:r>
        <w:t>ción tenían con la causa (fs. 114). Los tit</w:t>
      </w:r>
      <w:r>
        <w:t>u</w:t>
      </w:r>
      <w:r>
        <w:t>lares de esas líneas eran, por un lado, Carlos y Eduardo Telleldín y la agencia “Alejandro Automotores” y, por el otro, un grupo de iraníes, entre los que se contaban a Rabbani, Reza Harati, Rashm</w:t>
      </w:r>
      <w:r>
        <w:t>a</w:t>
      </w:r>
      <w:r>
        <w:t>ny, como así también los abonados de la embajada de Irán.</w:t>
      </w:r>
    </w:p>
    <w:p w:rsidR="00224567" w:rsidRDefault="00224567">
      <w:pPr>
        <w:widowControl w:val="0"/>
        <w:ind w:firstLine="2835"/>
      </w:pPr>
      <w:r>
        <w:t>Los integrantes del D.P.O.C., además de no poder explicar el motivo por el cual la solicitud carecía de fecha -aunque atribuible al 25 de julio de 1994 por la cronología en que la actuación fue agregada al e</w:t>
      </w:r>
      <w:r>
        <w:t>x</w:t>
      </w:r>
      <w:r>
        <w:t xml:space="preserve">pediente-, dijeron que de ninguna forma sabían a quienes pertenecían esas líneas telefónicas y que el pedido se realizó a requerimiento de </w:t>
      </w:r>
      <w:smartTag w:uri="urn:schemas-microsoft-com:office:smarttags" w:element="PersonName">
        <w:smartTagPr>
          <w:attr w:name="ProductID" w:val="la S.I"/>
        </w:smartTagPr>
        <w:r>
          <w:t>la S.I</w:t>
        </w:r>
      </w:smartTag>
      <w:r>
        <w:t>.D.E.; ci</w:t>
      </w:r>
      <w:r>
        <w:t>r</w:t>
      </w:r>
      <w:r>
        <w:t xml:space="preserve">cunstancia que, </w:t>
      </w:r>
      <w:r>
        <w:lastRenderedPageBreak/>
        <w:t>a juicio de la defensa, demuestra que el servicio de i</w:t>
      </w:r>
      <w:r>
        <w:t>n</w:t>
      </w:r>
      <w:r>
        <w:t>formaciones tenía interés de judici</w:t>
      </w:r>
      <w:r>
        <w:t>a</w:t>
      </w:r>
      <w:r>
        <w:t>lizar la medida.</w:t>
      </w:r>
    </w:p>
    <w:p w:rsidR="00224567" w:rsidRDefault="00224567">
      <w:pPr>
        <w:widowControl w:val="0"/>
        <w:ind w:firstLine="2835"/>
      </w:pPr>
      <w:r>
        <w:t>A fs. 2818 surge que los teléfonos fueron efectivamente intervenidos y el 22 de agosto de 1994 se solicitó la desintervención. El producido de esas escuchas, dijo, se destruyó para ocultar la prueba con la excusa de que estaban en farsi.</w:t>
      </w:r>
    </w:p>
    <w:p w:rsidR="00224567" w:rsidRDefault="00224567">
      <w:pPr>
        <w:widowControl w:val="0"/>
        <w:ind w:firstLine="2835"/>
      </w:pPr>
      <w:r>
        <w:t>Explicó, además, que el 25 de j</w:t>
      </w:r>
      <w:r>
        <w:t>u</w:t>
      </w:r>
      <w:r>
        <w:t xml:space="preserve">lio de </w:t>
      </w:r>
      <w:smartTag w:uri="urn:schemas-microsoft-com:office:smarttags" w:element="metricconverter">
        <w:smartTagPr>
          <w:attr w:name="ProductID" w:val="1994, a"/>
        </w:smartTagPr>
        <w:r>
          <w:t>1994, a</w:t>
        </w:r>
      </w:smartTag>
      <w:r>
        <w:t xml:space="preserve"> fs. 865, </w:t>
      </w:r>
      <w:smartTag w:uri="urn:schemas-microsoft-com:office:smarttags" w:element="PersonName">
        <w:smartTagPr>
          <w:attr w:name="ProductID" w:val="la Secretar￭a"/>
        </w:smartTagPr>
        <w:r>
          <w:t>la Secretaría</w:t>
        </w:r>
      </w:smartTag>
      <w:r>
        <w:t xml:space="preserve"> de Inteligencia requirió las intervenciones de algunos de los titulares de esos abonados –los hermanos Telleldín y la agencia de automot</w:t>
      </w:r>
      <w:r>
        <w:t>o</w:t>
      </w:r>
      <w:r>
        <w:t>res-, sin hacer ninguna mención de los “ir</w:t>
      </w:r>
      <w:r>
        <w:t>a</w:t>
      </w:r>
      <w:r>
        <w:t>níes”.</w:t>
      </w:r>
    </w:p>
    <w:p w:rsidR="00224567" w:rsidRDefault="00224567">
      <w:pPr>
        <w:widowControl w:val="0"/>
      </w:pPr>
      <w:r>
        <w:tab/>
        <w:t>A esa altura de la investigación, pu</w:t>
      </w:r>
      <w:r>
        <w:t>n</w:t>
      </w:r>
      <w:r>
        <w:t>tualizó la defensa, no existía información, al menos que surgiera de la causa, que permitiera conocer la vincul</w:t>
      </w:r>
      <w:r>
        <w:t>a</w:t>
      </w:r>
      <w:r>
        <w:t>ción de esas personas con el atentado.</w:t>
      </w:r>
    </w:p>
    <w:p w:rsidR="00224567" w:rsidRDefault="00224567">
      <w:pPr>
        <w:widowControl w:val="0"/>
      </w:pPr>
      <w:r>
        <w:tab/>
        <w:t>El pedido de intervención, también i</w:t>
      </w:r>
      <w:r>
        <w:t>n</w:t>
      </w:r>
      <w:r>
        <w:t>cluía un requerimiento a las empresas prestatarias del servicio de telefonía móvil sobre las llamadas entrantes al abonado 768-0902 de Carlos T</w:t>
      </w:r>
      <w:r>
        <w:t>e</w:t>
      </w:r>
      <w:r>
        <w:t xml:space="preserve">lleldín, entre los días 9 </w:t>
      </w:r>
      <w:r>
        <w:lastRenderedPageBreak/>
        <w:t>y 11 de julio de 1994, en particular, el día 10 de julio, entre las 9.00 y las 14.00 horas.</w:t>
      </w:r>
    </w:p>
    <w:p w:rsidR="00224567" w:rsidRDefault="00224567">
      <w:pPr>
        <w:widowControl w:val="0"/>
      </w:pPr>
      <w:r>
        <w:tab/>
        <w:t>La defensa se preguntó, entonces, c</w:t>
      </w:r>
      <w:r>
        <w:t>ó</w:t>
      </w:r>
      <w:r>
        <w:t xml:space="preserve">mo fue posible que </w:t>
      </w:r>
      <w:smartTag w:uri="urn:schemas-microsoft-com:office:smarttags" w:element="PersonName">
        <w:smartTagPr>
          <w:attr w:name="ProductID" w:val="la S.I"/>
        </w:smartTagPr>
        <w:r>
          <w:t>la S.I</w:t>
        </w:r>
      </w:smartTag>
      <w:r>
        <w:t>.D.E. antes de que haya apar</w:t>
      </w:r>
      <w:r>
        <w:t>e</w:t>
      </w:r>
      <w:r>
        <w:t>cido el motor cuya numeración conducía a Telleldín, supiera que ese día se había desprendido de la camioneta, por cuanto la primera información que surge en la causa con relación a lo ocurrido en esa fecha la brindó Ana María Boragni en su declaración de la madrugada del 27 de julio de 1994.</w:t>
      </w:r>
    </w:p>
    <w:p w:rsidR="00224567" w:rsidRDefault="00224567">
      <w:pPr>
        <w:widowControl w:val="0"/>
      </w:pPr>
      <w:r>
        <w:tab/>
        <w:t>Aún admitiendo la posibilidad de co</w:t>
      </w:r>
      <w:r>
        <w:t>n</w:t>
      </w:r>
      <w:r>
        <w:t>tar con información previa a través de interrogatorios a Boragni cuando la contactaron en su casa, la defensa e</w:t>
      </w:r>
      <w:r>
        <w:t>x</w:t>
      </w:r>
      <w:r>
        <w:t>plicó que sólo podrían haber obtenido el dato el día 26 de julio en horas de la tarde.</w:t>
      </w:r>
    </w:p>
    <w:p w:rsidR="00224567" w:rsidRDefault="00224567">
      <w:pPr>
        <w:widowControl w:val="0"/>
      </w:pPr>
      <w:r>
        <w:tab/>
        <w:t>Ni siquiera aún cuando el requerimie</w:t>
      </w:r>
      <w:r>
        <w:t>n</w:t>
      </w:r>
      <w:r>
        <w:t>to fuera recibido el 26 de julio –a estar a la rectific</w:t>
      </w:r>
      <w:r>
        <w:t>a</w:t>
      </w:r>
      <w:r>
        <w:t>ción que del auto hizo el juez federal- porque si se contó con esa información a la tarde, difícilmente se haya pod</w:t>
      </w:r>
      <w:r>
        <w:t>i</w:t>
      </w:r>
      <w:r>
        <w:t>do confeccionar el oficio, llevarlo al juzgado, despacha</w:t>
      </w:r>
      <w:r>
        <w:t>r</w:t>
      </w:r>
      <w:r>
        <w:t>lo y confeccionar los oficios para las empresas telefón</w:t>
      </w:r>
      <w:r>
        <w:t>i</w:t>
      </w:r>
      <w:r>
        <w:t>cas.</w:t>
      </w:r>
    </w:p>
    <w:p w:rsidR="00224567" w:rsidRDefault="00224567">
      <w:pPr>
        <w:widowControl w:val="0"/>
      </w:pPr>
      <w:r>
        <w:lastRenderedPageBreak/>
        <w:tab/>
        <w:t xml:space="preserve">Conjeturó la defensa, en aras de dar una explicación a esas situaciones, que </w:t>
      </w:r>
      <w:smartTag w:uri="urn:schemas-microsoft-com:office:smarttags" w:element="PersonName">
        <w:smartTagPr>
          <w:attr w:name="ProductID" w:val="la S.I"/>
        </w:smartTagPr>
        <w:r>
          <w:t>la S.I</w:t>
        </w:r>
      </w:smartTag>
      <w:r>
        <w:t>.D.E. v</w:t>
      </w:r>
      <w:r>
        <w:t>e</w:t>
      </w:r>
      <w:r>
        <w:t>nía siguiendo las operaciones terroristas y, probablemente, sus agentes concurrieron a la casa de Telleldín el 10 de julio de 1994, oportunidad en que prese</w:t>
      </w:r>
      <w:r>
        <w:t>n</w:t>
      </w:r>
      <w:r>
        <w:t>ciaron la venta de la camioneta a Ramón Martínez. Posibleme</w:t>
      </w:r>
      <w:r>
        <w:t>n</w:t>
      </w:r>
      <w:r>
        <w:t>te, también hayan visto también a los policías de la provincia de Buenos A</w:t>
      </w:r>
      <w:r>
        <w:t>i</w:t>
      </w:r>
      <w:r>
        <w:t>res en las inmediaciones de Rep</w:t>
      </w:r>
      <w:r>
        <w:t>ú</w:t>
      </w:r>
      <w:r>
        <w:t>blica 107.</w:t>
      </w:r>
    </w:p>
    <w:p w:rsidR="00224567" w:rsidRDefault="00224567">
      <w:pPr>
        <w:widowControl w:val="0"/>
      </w:pPr>
      <w:r>
        <w:tab/>
        <w:t>Aunque la hipótesis parezca dem</w:t>
      </w:r>
      <w:r>
        <w:t>a</w:t>
      </w:r>
      <w:r>
        <w:t>siado arriesgada, señaló que también la sostuvo en alguna m</w:t>
      </w:r>
      <w:r>
        <w:t>e</w:t>
      </w:r>
      <w:r>
        <w:t>dida el testigo Claudio Lifschitz y se compadece con algunas situaciones que, de otro modo, no tendrían explic</w:t>
      </w:r>
      <w:r>
        <w:t>a</w:t>
      </w:r>
      <w:r>
        <w:t>ción.</w:t>
      </w:r>
    </w:p>
    <w:p w:rsidR="00224567" w:rsidRDefault="00224567">
      <w:pPr>
        <w:widowControl w:val="0"/>
      </w:pPr>
      <w:r>
        <w:tab/>
        <w:t>En apoyo de ello, indicó que en la d</w:t>
      </w:r>
      <w:r>
        <w:t>e</w:t>
      </w:r>
      <w:r>
        <w:t>nuncia que Telleldín ratificó en el debate, se expr</w:t>
      </w:r>
      <w:r>
        <w:t>e</w:t>
      </w:r>
      <w:r>
        <w:t>só que el día en que se desprendió de la camioneta había dos a</w:t>
      </w:r>
      <w:r>
        <w:t>u</w:t>
      </w:r>
      <w:r>
        <w:t>tomóviles marca Galaxy en las inmediaciones de su domic</w:t>
      </w:r>
      <w:r>
        <w:t>i</w:t>
      </w:r>
      <w:r>
        <w:t xml:space="preserve">lio; uno, de color azul y el otro, de color claro. Este último, no identificado, podría haber pertenecido a </w:t>
      </w:r>
      <w:smartTag w:uri="urn:schemas-microsoft-com:office:smarttags" w:element="PersonName">
        <w:smartTagPr>
          <w:attr w:name="ProductID" w:val="la S.I"/>
        </w:smartTagPr>
        <w:r>
          <w:t>la S.I</w:t>
        </w:r>
      </w:smartTag>
      <w:r>
        <w:t xml:space="preserve">.D.E., no sólo porque en esa época se usaban ese tipo de automóviles en el organismo, sino porque además el </w:t>
      </w:r>
      <w:r>
        <w:lastRenderedPageBreak/>
        <w:t>gruero Albe</w:t>
      </w:r>
      <w:r>
        <w:t>r</w:t>
      </w:r>
      <w:r>
        <w:t>to Chueco dijo haber sido detenido ilegalmente por orden del juez instructor, oportunidad en la cual lo “secuestraron” en un autom</w:t>
      </w:r>
      <w:r>
        <w:t>ó</w:t>
      </w:r>
      <w:r>
        <w:t>vil modelo Galaxy.</w:t>
      </w:r>
    </w:p>
    <w:p w:rsidR="00224567" w:rsidRDefault="00224567">
      <w:pPr>
        <w:pStyle w:val="Textoindependiente"/>
        <w:spacing w:line="600" w:lineRule="auto"/>
      </w:pPr>
      <w:r>
        <w:tab/>
        <w:t>La desaparición del disco rígido que r</w:t>
      </w:r>
      <w:r>
        <w:t>e</w:t>
      </w:r>
      <w:r>
        <w:t>gistró las llamadas efectuadas desde el locutorio de Posadas, e</w:t>
      </w:r>
      <w:r>
        <w:t>n</w:t>
      </w:r>
      <w:r>
        <w:t>tendió la defensa, constituye otro indicio de que el org</w:t>
      </w:r>
      <w:r>
        <w:t>a</w:t>
      </w:r>
      <w:r>
        <w:t>nismo de inteligencia siguió los p</w:t>
      </w:r>
      <w:r>
        <w:t>a</w:t>
      </w:r>
      <w:r>
        <w:t>sos de su asistido antes del hallazgo del motor. Probableme</w:t>
      </w:r>
      <w:r>
        <w:t>n</w:t>
      </w:r>
      <w:r>
        <w:t>te, argumentaron, siendo el único locutorio de esa ciudad, quienes siguieron a T</w:t>
      </w:r>
      <w:r>
        <w:t>e</w:t>
      </w:r>
      <w:r>
        <w:t>lleldín habían realizado llamadas a algún contacto o a la propia base y, con ese accionar, pretendieron no ser desc</w:t>
      </w:r>
      <w:r>
        <w:t>u</w:t>
      </w:r>
      <w:r>
        <w:t>biertos.</w:t>
      </w:r>
    </w:p>
    <w:p w:rsidR="00224567" w:rsidRDefault="00224567">
      <w:pPr>
        <w:widowControl w:val="0"/>
      </w:pPr>
      <w:r>
        <w:tab/>
        <w:t>También hizo mérito del escrito del organismo de intel</w:t>
      </w:r>
      <w:r>
        <w:t>i</w:t>
      </w:r>
      <w:r>
        <w:t>gencia de fs. 870, de fecha 26 de julio de 1994. Allí se observa, dijo, sin nada que lo justif</w:t>
      </w:r>
      <w:r>
        <w:t>i</w:t>
      </w:r>
      <w:r>
        <w:t>que, que se solicitó al juez instructor la intervención telefónica de los abonados de Jacinto Kanoore Edul y las llamadas verificadas a través de esas l</w:t>
      </w:r>
      <w:r>
        <w:t>í</w:t>
      </w:r>
      <w:r>
        <w:t>neas.</w:t>
      </w:r>
    </w:p>
    <w:p w:rsidR="00224567" w:rsidRDefault="00224567">
      <w:pPr>
        <w:widowControl w:val="0"/>
      </w:pPr>
      <w:r>
        <w:tab/>
        <w:t>A pesar de que para esa fecha no se advertía ninguna vi</w:t>
      </w:r>
      <w:r>
        <w:t>n</w:t>
      </w:r>
      <w:r>
        <w:t>culación de Kanoore Edul con el hecho investigado, señaló que, evidentemente, por el conocimie</w:t>
      </w:r>
      <w:r>
        <w:t>n</w:t>
      </w:r>
      <w:r>
        <w:lastRenderedPageBreak/>
        <w:t>to previo, la información tenía alguna rel</w:t>
      </w:r>
      <w:r>
        <w:t>e</w:t>
      </w:r>
      <w:r>
        <w:t>vancia.</w:t>
      </w:r>
    </w:p>
    <w:p w:rsidR="00224567" w:rsidRDefault="00224567">
      <w:pPr>
        <w:widowControl w:val="0"/>
      </w:pPr>
      <w:r>
        <w:tab/>
        <w:t>La relación que Horacio Stiuso y Né</w:t>
      </w:r>
      <w:r>
        <w:t>s</w:t>
      </w:r>
      <w:r>
        <w:t>tor Hernández dijeron que Kanoore Edul tenía con Telle</w:t>
      </w:r>
      <w:r>
        <w:t>l</w:t>
      </w:r>
      <w:r>
        <w:t>dín, a partir de una comunicación telefónica efe</w:t>
      </w:r>
      <w:r>
        <w:t>c</w:t>
      </w:r>
      <w:r>
        <w:t>tuada el 10 de julio de 1994, se determinó casi cuatro días de</w:t>
      </w:r>
      <w:r>
        <w:t>s</w:t>
      </w:r>
      <w:r>
        <w:t>pués del pedido de intervención, esto es, con el envío de los listados de llamadas del celular de Edul que obra a fs. 1345. Afirmó que la llamada de Kanoore no ha sido conte</w:t>
      </w:r>
      <w:r>
        <w:t>s</w:t>
      </w:r>
      <w:r>
        <w:t>tada por su asistido en razón que éste no estaba en su d</w:t>
      </w:r>
      <w:r>
        <w:t>o</w:t>
      </w:r>
      <w:r>
        <w:t>micilio y quedó un mensaje grabado en el contestador tel</w:t>
      </w:r>
      <w:r>
        <w:t>e</w:t>
      </w:r>
      <w:r>
        <w:t>fónico, conforme los dichos de Telleldín y las transcri</w:t>
      </w:r>
      <w:r>
        <w:t>p</w:t>
      </w:r>
      <w:r>
        <w:t>ciones del abonado 768-0902, donde Boragni se expidió en igual sentido en una conversación que mantuvo con su ab</w:t>
      </w:r>
      <w:r>
        <w:t>o</w:t>
      </w:r>
      <w:r>
        <w:t>gado.</w:t>
      </w:r>
    </w:p>
    <w:p w:rsidR="00224567" w:rsidRDefault="00224567">
      <w:pPr>
        <w:widowControl w:val="0"/>
      </w:pPr>
      <w:r>
        <w:tab/>
        <w:t>Probablemente, supuso la defensa, K</w:t>
      </w:r>
      <w:r>
        <w:t>a</w:t>
      </w:r>
      <w:r>
        <w:t>noore envió a Ramón Martínez a comprar la camioneta y ll</w:t>
      </w:r>
      <w:r>
        <w:t>a</w:t>
      </w:r>
      <w:r>
        <w:t>mó para averiguar si la operación se realizó correct</w:t>
      </w:r>
      <w:r>
        <w:t>a</w:t>
      </w:r>
      <w:r>
        <w:t xml:space="preserve">mente o, tal vez, fuera un infiltrado de </w:t>
      </w:r>
      <w:smartTag w:uri="urn:schemas-microsoft-com:office:smarttags" w:element="PersonName">
        <w:smartTagPr>
          <w:attr w:name="ProductID" w:val="la S.I"/>
        </w:smartTagPr>
        <w:r>
          <w:t>la S.I</w:t>
        </w:r>
      </w:smartTag>
      <w:r>
        <w:t>.D.E. Lamentabl</w:t>
      </w:r>
      <w:r>
        <w:t>e</w:t>
      </w:r>
      <w:r>
        <w:t>mente, dijo, el casete del contestador automático que r</w:t>
      </w:r>
      <w:r>
        <w:t>e</w:t>
      </w:r>
      <w:r>
        <w:t xml:space="preserve">gistraba el contenido de la llamada desapareció de la casa </w:t>
      </w:r>
      <w:r>
        <w:lastRenderedPageBreak/>
        <w:t>de Telleldín antes del allanamie</w:t>
      </w:r>
      <w:r>
        <w:t>n</w:t>
      </w:r>
      <w:r>
        <w:t>to.</w:t>
      </w:r>
    </w:p>
    <w:p w:rsidR="00224567" w:rsidRDefault="00224567">
      <w:pPr>
        <w:widowControl w:val="0"/>
      </w:pPr>
      <w:r>
        <w:tab/>
        <w:t>La defensa sostuvo que se necesitaba “blanquear” el hallazgo del motor para poder introducir entre teléfonos que sí tenían justific</w:t>
      </w:r>
      <w:r>
        <w:t>a</w:t>
      </w:r>
      <w:r>
        <w:t>ción, otros que no la tenían. Es por eso que entre los teléfonos de Telle</w:t>
      </w:r>
      <w:r>
        <w:t>l</w:t>
      </w:r>
      <w:r>
        <w:t>dín, Monjo y su entorno, se mezclaron los de los “iraníes” investigados en la causa paralela nº 1223, en trámite ante el juzgado a cargo del Dr. Santa Marina</w:t>
      </w:r>
      <w:r>
        <w:rPr>
          <w:b/>
          <w:bCs/>
        </w:rPr>
        <w:t xml:space="preserve">. </w:t>
      </w:r>
      <w:r>
        <w:t>El juez instru</w:t>
      </w:r>
      <w:r>
        <w:t>c</w:t>
      </w:r>
      <w:r>
        <w:t>tor omitió solicitar dicha pesquisa o indagar acerca de los abonados plasmados en la fs. 114 y corrigió la fecha del auto de fs. 866 porque desde ese momento, a juicio de la defensa, decidió no investigar nada de lo que, en ve</w:t>
      </w:r>
      <w:r>
        <w:t>r</w:t>
      </w:r>
      <w:r>
        <w:t>dad, ocurrió.</w:t>
      </w:r>
    </w:p>
    <w:p w:rsidR="00224567" w:rsidRDefault="00224567">
      <w:pPr>
        <w:pStyle w:val="Textoindependiente"/>
        <w:spacing w:line="600" w:lineRule="auto"/>
        <w:rPr>
          <w:lang w:val="es-ES"/>
        </w:rPr>
      </w:pPr>
      <w:r>
        <w:rPr>
          <w:lang w:val="es-ES"/>
        </w:rPr>
        <w:tab/>
        <w:t xml:space="preserve">El 25 de julio de </w:t>
      </w:r>
      <w:smartTag w:uri="urn:schemas-microsoft-com:office:smarttags" w:element="metricconverter">
        <w:smartTagPr>
          <w:attr w:name="ProductID" w:val="1994, a"/>
        </w:smartTagPr>
        <w:r>
          <w:rPr>
            <w:lang w:val="es-ES"/>
          </w:rPr>
          <w:t>1994, a</w:t>
        </w:r>
      </w:smartTag>
      <w:r>
        <w:rPr>
          <w:lang w:val="es-ES"/>
        </w:rPr>
        <w:t xml:space="preserve"> partir de la dete</w:t>
      </w:r>
      <w:r>
        <w:rPr>
          <w:lang w:val="es-ES"/>
        </w:rPr>
        <w:t>n</w:t>
      </w:r>
      <w:r>
        <w:rPr>
          <w:lang w:val="es-ES"/>
        </w:rPr>
        <w:t>ción Khalil Ghatea -persona investigada con anteri</w:t>
      </w:r>
      <w:r>
        <w:rPr>
          <w:lang w:val="es-ES"/>
        </w:rPr>
        <w:t>o</w:t>
      </w:r>
      <w:r>
        <w:rPr>
          <w:lang w:val="es-ES"/>
        </w:rPr>
        <w:t>ridad al atentado- se introdujo información en forma subrepticia p</w:t>
      </w:r>
      <w:r>
        <w:rPr>
          <w:lang w:val="es-ES"/>
        </w:rPr>
        <w:t>a</w:t>
      </w:r>
      <w:r>
        <w:rPr>
          <w:lang w:val="es-ES"/>
        </w:rPr>
        <w:t>ra borrar todo elemento que involucre al Estado y se pr</w:t>
      </w:r>
      <w:r>
        <w:rPr>
          <w:lang w:val="es-ES"/>
        </w:rPr>
        <w:t>e</w:t>
      </w:r>
      <w:r>
        <w:rPr>
          <w:lang w:val="es-ES"/>
        </w:rPr>
        <w:t>tendió introducir en el expediente una investigación extr</w:t>
      </w:r>
      <w:r>
        <w:rPr>
          <w:lang w:val="es-ES"/>
        </w:rPr>
        <w:t>a</w:t>
      </w:r>
      <w:r>
        <w:rPr>
          <w:lang w:val="es-ES"/>
        </w:rPr>
        <w:t xml:space="preserve">oficial. </w:t>
      </w:r>
    </w:p>
    <w:p w:rsidR="00224567" w:rsidRDefault="00224567">
      <w:pPr>
        <w:pStyle w:val="Textoindependiente"/>
        <w:spacing w:line="600" w:lineRule="auto"/>
        <w:ind w:firstLine="2835"/>
      </w:pPr>
      <w:r>
        <w:t>Por la falta de claridad de cómo su</w:t>
      </w:r>
      <w:r>
        <w:t>r</w:t>
      </w:r>
      <w:r>
        <w:t>gen los teléfonos plasmados en las fojas 114, 865 y 870 la d</w:t>
      </w:r>
      <w:r>
        <w:t>e</w:t>
      </w:r>
      <w:r>
        <w:lastRenderedPageBreak/>
        <w:t>fensa solicitó su nulidad y la de las medidas que se tom</w:t>
      </w:r>
      <w:r>
        <w:t>a</w:t>
      </w:r>
      <w:r>
        <w:t>ron en consecuencia. Afirmó que esas fojas constituyen fa</w:t>
      </w:r>
      <w:r>
        <w:t>l</w:t>
      </w:r>
      <w:r>
        <w:t>sedades ideológicas porque no obstante exi</w:t>
      </w:r>
      <w:r>
        <w:t>s</w:t>
      </w:r>
      <w:r>
        <w:t>tir información relativa a esas líneas telefónicas, ésta no fue volcada a la causa.</w:t>
      </w:r>
    </w:p>
    <w:p w:rsidR="00224567" w:rsidRDefault="00224567">
      <w:pPr>
        <w:widowControl w:val="0"/>
      </w:pPr>
      <w:r>
        <w:tab/>
        <w:t>Solicitó, además, que se invest</w:t>
      </w:r>
      <w:r>
        <w:t>i</w:t>
      </w:r>
      <w:r>
        <w:t>gue la presunta comisión del delito de falsedad ideológica de t</w:t>
      </w:r>
      <w:r>
        <w:t>a</w:t>
      </w:r>
      <w:r>
        <w:t>les actuaciones, como así también la responsabilidad que le cupo al juez instructor, sus secretarios Carlos Vela</w:t>
      </w:r>
      <w:r>
        <w:t>s</w:t>
      </w:r>
      <w:r>
        <w:t xml:space="preserve">co, Susana Spina y Javier De Gamas Soler, el personal de </w:t>
      </w:r>
      <w:smartTag w:uri="urn:schemas-microsoft-com:office:smarttags" w:element="PersonName">
        <w:smartTagPr>
          <w:attr w:name="ProductID" w:val="la Secretar￭a"/>
        </w:smartTagPr>
        <w:r>
          <w:t>la Secretaría</w:t>
        </w:r>
      </w:smartTag>
      <w:r>
        <w:t xml:space="preserve"> de Intel</w:t>
      </w:r>
      <w:r>
        <w:t>i</w:t>
      </w:r>
      <w:r>
        <w:t>gencia de Estado y del Departamento Protección del Orden Constituci</w:t>
      </w:r>
      <w:r>
        <w:t>o</w:t>
      </w:r>
      <w:r>
        <w:t>nal.</w:t>
      </w:r>
    </w:p>
    <w:p w:rsidR="00224567" w:rsidRDefault="00224567">
      <w:pPr>
        <w:widowControl w:val="0"/>
        <w:rPr>
          <w:lang w:val="es-MX"/>
        </w:rPr>
      </w:pPr>
      <w:r>
        <w:rPr>
          <w:lang w:val="es-MX"/>
        </w:rPr>
        <w:tab/>
        <w:t>La investigación acerca de la ubic</w:t>
      </w:r>
      <w:r>
        <w:rPr>
          <w:lang w:val="es-MX"/>
        </w:rPr>
        <w:t>a</w:t>
      </w:r>
      <w:r>
        <w:rPr>
          <w:lang w:val="es-MX"/>
        </w:rPr>
        <w:t>ción del domicilio y de la línea telefónica de su asi</w:t>
      </w:r>
      <w:r>
        <w:rPr>
          <w:lang w:val="es-MX"/>
        </w:rPr>
        <w:t>s</w:t>
      </w:r>
      <w:r>
        <w:rPr>
          <w:lang w:val="es-MX"/>
        </w:rPr>
        <w:t>tido resultó sospechosa en tanto, argumentó, las agencias de investigación contaba con esa información desde antes de que apareciera el motor.</w:t>
      </w:r>
    </w:p>
    <w:p w:rsidR="00224567" w:rsidRDefault="00224567">
      <w:pPr>
        <w:widowControl w:val="0"/>
        <w:ind w:firstLine="2835"/>
        <w:rPr>
          <w:lang w:val="es-MX"/>
        </w:rPr>
      </w:pPr>
      <w:r>
        <w:rPr>
          <w:lang w:val="es-MX"/>
        </w:rPr>
        <w:t>En ese sentido, indicó que Fabián Strancar, Aldo Álvarez y Ricardo Morano concurrieron a la vivienda de su asistido a las 10.00 de la mañ</w:t>
      </w:r>
      <w:r>
        <w:rPr>
          <w:lang w:val="es-MX"/>
        </w:rPr>
        <w:t>a</w:t>
      </w:r>
      <w:r>
        <w:rPr>
          <w:lang w:val="es-MX"/>
        </w:rPr>
        <w:t xml:space="preserve">na del 27 de </w:t>
      </w:r>
      <w:r>
        <w:rPr>
          <w:lang w:val="es-MX"/>
        </w:rPr>
        <w:lastRenderedPageBreak/>
        <w:t>julio de 1994, mientras que los agentes de inteligencia Néstor Hernández y Horacio Stiuso recordaron que la info</w:t>
      </w:r>
      <w:r>
        <w:rPr>
          <w:lang w:val="es-MX"/>
        </w:rPr>
        <w:t>r</w:t>
      </w:r>
      <w:r>
        <w:rPr>
          <w:lang w:val="es-MX"/>
        </w:rPr>
        <w:t>mación se obtuvo en horas del mediodía.</w:t>
      </w:r>
    </w:p>
    <w:p w:rsidR="00224567" w:rsidRDefault="00224567">
      <w:pPr>
        <w:widowControl w:val="0"/>
        <w:rPr>
          <w:lang w:val="es-MX"/>
        </w:rPr>
      </w:pPr>
      <w:r>
        <w:rPr>
          <w:lang w:val="es-MX"/>
        </w:rPr>
        <w:tab/>
        <w:t>Tampoco se explicó el llamado de He</w:t>
      </w:r>
      <w:r>
        <w:rPr>
          <w:lang w:val="es-MX"/>
        </w:rPr>
        <w:t>r</w:t>
      </w:r>
      <w:r>
        <w:rPr>
          <w:lang w:val="es-MX"/>
        </w:rPr>
        <w:t xml:space="preserve">nández a las 10.43 de la mañana, ni que en la causa no se produjo ninguna diligencia en la calle Jonas Salk, cuándo éste era, en realidad, el domicilio de Telleldín plasmado en la factura de compra de </w:t>
      </w:r>
      <w:smartTag w:uri="urn:schemas-microsoft-com:office:smarttags" w:element="PersonName">
        <w:smartTagPr>
          <w:attr w:name="ProductID" w:val="la Trafic"/>
        </w:smartTagPr>
        <w:r>
          <w:rPr>
            <w:lang w:val="es-MX"/>
          </w:rPr>
          <w:t>la Trafic</w:t>
        </w:r>
      </w:smartTag>
      <w:r>
        <w:rPr>
          <w:lang w:val="es-MX"/>
        </w:rPr>
        <w:t>, secuestrada en el allanamiento de la agencia “Monjo Automot</w:t>
      </w:r>
      <w:r>
        <w:rPr>
          <w:lang w:val="es-MX"/>
        </w:rPr>
        <w:t>o</w:t>
      </w:r>
      <w:r>
        <w:rPr>
          <w:lang w:val="es-MX"/>
        </w:rPr>
        <w:t>res”.</w:t>
      </w:r>
    </w:p>
    <w:p w:rsidR="00224567" w:rsidRDefault="00224567">
      <w:pPr>
        <w:widowControl w:val="0"/>
        <w:rPr>
          <w:lang w:val="es-MX"/>
        </w:rPr>
      </w:pPr>
      <w:r>
        <w:rPr>
          <w:lang w:val="es-MX"/>
        </w:rPr>
        <w:tab/>
        <w:t>También alegó la defensa que result</w:t>
      </w:r>
      <w:r>
        <w:rPr>
          <w:lang w:val="es-MX"/>
        </w:rPr>
        <w:t>a</w:t>
      </w:r>
      <w:r>
        <w:rPr>
          <w:lang w:val="es-MX"/>
        </w:rPr>
        <w:t>ron inexplicables las medidas de investigaciones ado</w:t>
      </w:r>
      <w:r>
        <w:rPr>
          <w:lang w:val="es-MX"/>
        </w:rPr>
        <w:t>p</w:t>
      </w:r>
      <w:r>
        <w:rPr>
          <w:lang w:val="es-MX"/>
        </w:rPr>
        <w:t>tadas por las fuerzas de seguridad y de i</w:t>
      </w:r>
      <w:r>
        <w:rPr>
          <w:lang w:val="es-MX"/>
        </w:rPr>
        <w:t>n</w:t>
      </w:r>
      <w:r>
        <w:rPr>
          <w:lang w:val="es-MX"/>
        </w:rPr>
        <w:t>teligencia en relación al domicilio de República 107. Señaló que en vez de all</w:t>
      </w:r>
      <w:r>
        <w:rPr>
          <w:lang w:val="es-MX"/>
        </w:rPr>
        <w:t>a</w:t>
      </w:r>
      <w:r>
        <w:rPr>
          <w:lang w:val="es-MX"/>
        </w:rPr>
        <w:t>nar la vivienda y detener al presunto terrorista, perman</w:t>
      </w:r>
      <w:r>
        <w:rPr>
          <w:lang w:val="es-MX"/>
        </w:rPr>
        <w:t>e</w:t>
      </w:r>
      <w:r>
        <w:rPr>
          <w:lang w:val="es-MX"/>
        </w:rPr>
        <w:t>cieron casi seis horas en el exterior p</w:t>
      </w:r>
      <w:r>
        <w:rPr>
          <w:lang w:val="es-MX"/>
        </w:rPr>
        <w:t>a</w:t>
      </w:r>
      <w:r>
        <w:rPr>
          <w:lang w:val="es-MX"/>
        </w:rPr>
        <w:t>ra luego ingresar y conversar amigablemente con los policía Barreda y Bare</w:t>
      </w:r>
      <w:r>
        <w:rPr>
          <w:lang w:val="es-MX"/>
        </w:rPr>
        <w:t>i</w:t>
      </w:r>
      <w:r>
        <w:rPr>
          <w:lang w:val="es-MX"/>
        </w:rPr>
        <w:t>ro.</w:t>
      </w:r>
    </w:p>
    <w:p w:rsidR="00224567" w:rsidRDefault="00224567">
      <w:pPr>
        <w:widowControl w:val="0"/>
        <w:rPr>
          <w:lang w:val="es-MX"/>
        </w:rPr>
      </w:pPr>
      <w:r>
        <w:rPr>
          <w:lang w:val="es-MX"/>
        </w:rPr>
        <w:tab/>
        <w:t>Destacó que, siendo amigos de la fam</w:t>
      </w:r>
      <w:r>
        <w:rPr>
          <w:lang w:val="es-MX"/>
        </w:rPr>
        <w:t>i</w:t>
      </w:r>
      <w:r>
        <w:rPr>
          <w:lang w:val="es-MX"/>
        </w:rPr>
        <w:t>lia buscada, debieron haberlos demorado o interr</w:t>
      </w:r>
      <w:r>
        <w:rPr>
          <w:lang w:val="es-MX"/>
        </w:rPr>
        <w:t>o</w:t>
      </w:r>
      <w:r>
        <w:rPr>
          <w:lang w:val="es-MX"/>
        </w:rPr>
        <w:t xml:space="preserve">gado con mayor seriedad. La única explicación posible es que los investigadores sabían que los habitantes de esa casa no </w:t>
      </w:r>
      <w:r>
        <w:rPr>
          <w:lang w:val="es-MX"/>
        </w:rPr>
        <w:lastRenderedPageBreak/>
        <w:t>tenían nada que ver con el atentado.</w:t>
      </w:r>
    </w:p>
    <w:p w:rsidR="00224567" w:rsidRDefault="00224567">
      <w:pPr>
        <w:widowControl w:val="0"/>
        <w:rPr>
          <w:lang w:val="es-MX"/>
        </w:rPr>
      </w:pPr>
      <w:r>
        <w:rPr>
          <w:lang w:val="es-MX"/>
        </w:rPr>
        <w:tab/>
        <w:t>La vigilancia del domicilio, en real</w:t>
      </w:r>
      <w:r>
        <w:rPr>
          <w:lang w:val="es-MX"/>
        </w:rPr>
        <w:t>i</w:t>
      </w:r>
      <w:r>
        <w:rPr>
          <w:lang w:val="es-MX"/>
        </w:rPr>
        <w:t>dad, tenía por finalidad verificar si se acercaban los verdaderos terroristas, sabiendo que Telleldín era el ún</w:t>
      </w:r>
      <w:r>
        <w:rPr>
          <w:lang w:val="es-MX"/>
        </w:rPr>
        <w:t>i</w:t>
      </w:r>
      <w:r>
        <w:rPr>
          <w:lang w:val="es-MX"/>
        </w:rPr>
        <w:t>co que tenía datos palpables sobre el comprador de la c</w:t>
      </w:r>
      <w:r>
        <w:rPr>
          <w:lang w:val="es-MX"/>
        </w:rPr>
        <w:t>a</w:t>
      </w:r>
      <w:r>
        <w:rPr>
          <w:lang w:val="es-MX"/>
        </w:rPr>
        <w:t>mioneta y eliminar la prueba.</w:t>
      </w:r>
    </w:p>
    <w:p w:rsidR="00224567" w:rsidRDefault="00224567">
      <w:pPr>
        <w:widowControl w:val="0"/>
        <w:ind w:firstLine="2835"/>
        <w:rPr>
          <w:lang w:val="es-MX"/>
        </w:rPr>
      </w:pPr>
      <w:r>
        <w:rPr>
          <w:lang w:val="es-MX"/>
        </w:rPr>
        <w:t>Pero lo más inexplicable, sost</w:t>
      </w:r>
      <w:r>
        <w:rPr>
          <w:lang w:val="es-MX"/>
        </w:rPr>
        <w:t>u</w:t>
      </w:r>
      <w:r>
        <w:rPr>
          <w:lang w:val="es-MX"/>
        </w:rPr>
        <w:t xml:space="preserve">vo, es que permanecieran dentro en la casa dos personas del D.P.O.C. y dos agentes de </w:t>
      </w:r>
      <w:smartTag w:uri="urn:schemas-microsoft-com:office:smarttags" w:element="PersonName">
        <w:smartTagPr>
          <w:attr w:name="ProductID" w:val="la S.I"/>
        </w:smartTagPr>
        <w:r>
          <w:rPr>
            <w:lang w:val="es-MX"/>
          </w:rPr>
          <w:t>la S.I</w:t>
        </w:r>
      </w:smartTag>
      <w:r>
        <w:rPr>
          <w:lang w:val="es-MX"/>
        </w:rPr>
        <w:t>.D.E. durante toda la n</w:t>
      </w:r>
      <w:r>
        <w:rPr>
          <w:lang w:val="es-MX"/>
        </w:rPr>
        <w:t>o</w:t>
      </w:r>
      <w:r>
        <w:rPr>
          <w:lang w:val="es-MX"/>
        </w:rPr>
        <w:t>che, acompañados por Diego Barreda y Mario Bareiro, bajo el pretexto de que debían cuidar a los hijos de Boragni.</w:t>
      </w:r>
    </w:p>
    <w:p w:rsidR="00224567" w:rsidRDefault="00224567">
      <w:pPr>
        <w:widowControl w:val="0"/>
        <w:rPr>
          <w:lang w:val="es-MX"/>
        </w:rPr>
      </w:pPr>
      <w:r>
        <w:rPr>
          <w:lang w:val="es-MX"/>
        </w:rPr>
        <w:tab/>
        <w:t>En el medio de la noche, relató la d</w:t>
      </w:r>
      <w:r>
        <w:rPr>
          <w:lang w:val="es-MX"/>
        </w:rPr>
        <w:t>e</w:t>
      </w:r>
      <w:r>
        <w:rPr>
          <w:lang w:val="es-MX"/>
        </w:rPr>
        <w:t>fensa, se presentó Eduardo Telleldín y, en vez de aband</w:t>
      </w:r>
      <w:r>
        <w:rPr>
          <w:lang w:val="es-MX"/>
        </w:rPr>
        <w:t>o</w:t>
      </w:r>
      <w:r>
        <w:rPr>
          <w:lang w:val="es-MX"/>
        </w:rPr>
        <w:t>nar el lugar y dejar a los chicos al cuid</w:t>
      </w:r>
      <w:r>
        <w:rPr>
          <w:lang w:val="es-MX"/>
        </w:rPr>
        <w:t>a</w:t>
      </w:r>
      <w:r>
        <w:rPr>
          <w:lang w:val="es-MX"/>
        </w:rPr>
        <w:t>do de su tío, se quedaron como dueños de casa y permitieron que éste se v</w:t>
      </w:r>
      <w:r>
        <w:rPr>
          <w:lang w:val="es-MX"/>
        </w:rPr>
        <w:t>a</w:t>
      </w:r>
      <w:r>
        <w:rPr>
          <w:lang w:val="es-MX"/>
        </w:rPr>
        <w:t>ya sin interrogarlo; máxime cuando la v</w:t>
      </w:r>
      <w:r>
        <w:rPr>
          <w:lang w:val="es-MX"/>
        </w:rPr>
        <w:t>i</w:t>
      </w:r>
      <w:r>
        <w:rPr>
          <w:lang w:val="es-MX"/>
        </w:rPr>
        <w:t>gilancia –a estar a los dichos de los policías y agentes de inteligencia- tenía por objeto constatar los movimientos producidos en la casa. Es decir, afirmó, entró el hermano del supuesto terr</w:t>
      </w:r>
      <w:r>
        <w:rPr>
          <w:lang w:val="es-MX"/>
        </w:rPr>
        <w:t>o</w:t>
      </w:r>
      <w:r>
        <w:rPr>
          <w:lang w:val="es-MX"/>
        </w:rPr>
        <w:t>rista y no hicieron nada.</w:t>
      </w:r>
    </w:p>
    <w:p w:rsidR="00224567" w:rsidRDefault="00224567">
      <w:pPr>
        <w:widowControl w:val="0"/>
        <w:rPr>
          <w:lang w:val="es-MX"/>
        </w:rPr>
      </w:pPr>
      <w:r>
        <w:rPr>
          <w:lang w:val="es-MX"/>
        </w:rPr>
        <w:lastRenderedPageBreak/>
        <w:tab/>
        <w:t>A pesar de haber interrogado a Ana B</w:t>
      </w:r>
      <w:r>
        <w:rPr>
          <w:lang w:val="es-MX"/>
        </w:rPr>
        <w:t>o</w:t>
      </w:r>
      <w:r>
        <w:rPr>
          <w:lang w:val="es-MX"/>
        </w:rPr>
        <w:t>ragni y tener en el mismo momento el boleto de co</w:t>
      </w:r>
      <w:r>
        <w:rPr>
          <w:lang w:val="es-MX"/>
        </w:rPr>
        <w:t>m</w:t>
      </w:r>
      <w:r>
        <w:rPr>
          <w:lang w:val="es-MX"/>
        </w:rPr>
        <w:t>praventa con el nombre y el domicilio del compr</w:t>
      </w:r>
      <w:r>
        <w:rPr>
          <w:lang w:val="es-MX"/>
        </w:rPr>
        <w:t>a</w:t>
      </w:r>
      <w:r>
        <w:rPr>
          <w:lang w:val="es-MX"/>
        </w:rPr>
        <w:t>dor de la camioneta y probable terrorista, no realizaron ni</w:t>
      </w:r>
      <w:r>
        <w:rPr>
          <w:lang w:val="es-MX"/>
        </w:rPr>
        <w:t>n</w:t>
      </w:r>
      <w:r>
        <w:rPr>
          <w:lang w:val="es-MX"/>
        </w:rPr>
        <w:t>guna medida en la calle San José, ni se i</w:t>
      </w:r>
      <w:r>
        <w:rPr>
          <w:lang w:val="es-MX"/>
        </w:rPr>
        <w:t>n</w:t>
      </w:r>
      <w:r>
        <w:rPr>
          <w:lang w:val="es-MX"/>
        </w:rPr>
        <w:t>vestigó en el Registro Nacional de las Personas el documento de ide</w:t>
      </w:r>
      <w:r>
        <w:rPr>
          <w:lang w:val="es-MX"/>
        </w:rPr>
        <w:t>n</w:t>
      </w:r>
      <w:r>
        <w:rPr>
          <w:lang w:val="es-MX"/>
        </w:rPr>
        <w:t>tidad de Ramón Martínez, ni se realizaron combin</w:t>
      </w:r>
      <w:r>
        <w:rPr>
          <w:lang w:val="es-MX"/>
        </w:rPr>
        <w:t>a</w:t>
      </w:r>
      <w:r>
        <w:rPr>
          <w:lang w:val="es-MX"/>
        </w:rPr>
        <w:t>ciones numéricas para averiguar a quién le pertenecía, ni fueron a los aeropuertos, ni a M</w:t>
      </w:r>
      <w:r>
        <w:rPr>
          <w:lang w:val="es-MX"/>
        </w:rPr>
        <w:t>i</w:t>
      </w:r>
      <w:r>
        <w:rPr>
          <w:lang w:val="es-MX"/>
        </w:rPr>
        <w:t>graciones, ni a los hot</w:t>
      </w:r>
      <w:r>
        <w:rPr>
          <w:lang w:val="es-MX"/>
        </w:rPr>
        <w:t>e</w:t>
      </w:r>
      <w:r>
        <w:rPr>
          <w:lang w:val="es-MX"/>
        </w:rPr>
        <w:t>les para buscarlo.</w:t>
      </w:r>
    </w:p>
    <w:p w:rsidR="00224567" w:rsidRDefault="00224567">
      <w:pPr>
        <w:widowControl w:val="0"/>
        <w:rPr>
          <w:lang w:val="es-MX"/>
        </w:rPr>
      </w:pPr>
      <w:r>
        <w:rPr>
          <w:lang w:val="es-MX"/>
        </w:rPr>
        <w:tab/>
        <w:t>Nada hicieron, dedujo la defensa, po</w:t>
      </w:r>
      <w:r>
        <w:rPr>
          <w:lang w:val="es-MX"/>
        </w:rPr>
        <w:t>r</w:t>
      </w:r>
      <w:r>
        <w:rPr>
          <w:lang w:val="es-MX"/>
        </w:rPr>
        <w:t xml:space="preserve">que se sabía desde un inicio -por la metodología utiliza por el terrorismo internacional- que todos los atentados se cometen </w:t>
      </w:r>
      <w:r>
        <w:rPr>
          <w:bCs/>
          <w:iCs/>
          <w:lang w:val="es-MX"/>
        </w:rPr>
        <w:t>utilizando una camioneta comprada con doc</w:t>
      </w:r>
      <w:r>
        <w:rPr>
          <w:bCs/>
          <w:iCs/>
          <w:lang w:val="es-MX"/>
        </w:rPr>
        <w:t>u</w:t>
      </w:r>
      <w:r>
        <w:rPr>
          <w:bCs/>
          <w:iCs/>
          <w:lang w:val="es-MX"/>
        </w:rPr>
        <w:t>mento falso a revendedores, conforme lo reconoció el juez in</w:t>
      </w:r>
      <w:r>
        <w:rPr>
          <w:bCs/>
          <w:iCs/>
          <w:lang w:val="es-MX"/>
        </w:rPr>
        <w:t>s</w:t>
      </w:r>
      <w:r>
        <w:rPr>
          <w:bCs/>
          <w:iCs/>
          <w:lang w:val="es-MX"/>
        </w:rPr>
        <w:t>tructor en su primera r</w:t>
      </w:r>
      <w:r>
        <w:rPr>
          <w:bCs/>
          <w:iCs/>
          <w:lang w:val="es-MX"/>
        </w:rPr>
        <w:t>e</w:t>
      </w:r>
      <w:r>
        <w:rPr>
          <w:bCs/>
          <w:iCs/>
          <w:lang w:val="es-MX"/>
        </w:rPr>
        <w:t>solución del 9 de agosto de 1994 y en la última, del 5 de marzo de 2003.</w:t>
      </w:r>
    </w:p>
    <w:p w:rsidR="00224567" w:rsidRDefault="00224567">
      <w:pPr>
        <w:widowControl w:val="0"/>
        <w:rPr>
          <w:lang w:val="es-MX"/>
        </w:rPr>
      </w:pPr>
      <w:r>
        <w:rPr>
          <w:lang w:val="es-MX"/>
        </w:rPr>
        <w:tab/>
        <w:t>La circunstancia de que no se haya allanado la vivienda ni el 26, ni el 27 de julio demo</w:t>
      </w:r>
      <w:r>
        <w:rPr>
          <w:lang w:val="es-MX"/>
        </w:rPr>
        <w:t>s</w:t>
      </w:r>
      <w:r>
        <w:rPr>
          <w:lang w:val="es-MX"/>
        </w:rPr>
        <w:t>tró, según el parecer de la letrada, que la inocencia de T</w:t>
      </w:r>
      <w:r>
        <w:rPr>
          <w:lang w:val="es-MX"/>
        </w:rPr>
        <w:t>e</w:t>
      </w:r>
      <w:r>
        <w:rPr>
          <w:lang w:val="es-MX"/>
        </w:rPr>
        <w:t>lleldín y de su familia era sabida desde un principio. También evidenció el extremo apuntado, expresó, el proc</w:t>
      </w:r>
      <w:r>
        <w:rPr>
          <w:lang w:val="es-MX"/>
        </w:rPr>
        <w:t>e</w:t>
      </w:r>
      <w:r>
        <w:rPr>
          <w:lang w:val="es-MX"/>
        </w:rPr>
        <w:lastRenderedPageBreak/>
        <w:t>der de las fuerzas de inteligencia y de seguridad en la detención de su asistido.</w:t>
      </w:r>
    </w:p>
    <w:p w:rsidR="00224567" w:rsidRDefault="00224567">
      <w:pPr>
        <w:widowControl w:val="0"/>
        <w:rPr>
          <w:lang w:val="es-MX"/>
        </w:rPr>
      </w:pPr>
      <w:r>
        <w:rPr>
          <w:lang w:val="es-MX"/>
        </w:rPr>
        <w:tab/>
        <w:t>Por otra parte y en razón de las co</w:t>
      </w:r>
      <w:r>
        <w:rPr>
          <w:lang w:val="es-MX"/>
        </w:rPr>
        <w:t>n</w:t>
      </w:r>
      <w:r>
        <w:rPr>
          <w:lang w:val="es-MX"/>
        </w:rPr>
        <w:t>sideraciones que explicitó, la defensa solicitó la n</w:t>
      </w:r>
      <w:r>
        <w:rPr>
          <w:lang w:val="es-MX"/>
        </w:rPr>
        <w:t>u</w:t>
      </w:r>
      <w:r>
        <w:rPr>
          <w:lang w:val="es-MX"/>
        </w:rPr>
        <w:t>lidad de la detención de su asistido; del allanamiento practic</w:t>
      </w:r>
      <w:r>
        <w:rPr>
          <w:lang w:val="es-MX"/>
        </w:rPr>
        <w:t>a</w:t>
      </w:r>
      <w:r>
        <w:rPr>
          <w:lang w:val="es-MX"/>
        </w:rPr>
        <w:t>do el 28 de julio de 1994 en el domicilio de Carlos Albe</w:t>
      </w:r>
      <w:r>
        <w:rPr>
          <w:lang w:val="es-MX"/>
        </w:rPr>
        <w:t>r</w:t>
      </w:r>
      <w:r>
        <w:rPr>
          <w:lang w:val="es-MX"/>
        </w:rPr>
        <w:t>to Telleldín y de la incorporación al pr</w:t>
      </w:r>
      <w:r>
        <w:rPr>
          <w:lang w:val="es-MX"/>
        </w:rPr>
        <w:t>o</w:t>
      </w:r>
      <w:r>
        <w:rPr>
          <w:lang w:val="es-MX"/>
        </w:rPr>
        <w:t>ceso de un papel que contenía la inscripción “Embajada Islámica de Irán”, un domicilio y dos números de teléfonos, supuestamente h</w:t>
      </w:r>
      <w:r>
        <w:rPr>
          <w:lang w:val="es-MX"/>
        </w:rPr>
        <w:t>a</w:t>
      </w:r>
      <w:r>
        <w:rPr>
          <w:lang w:val="es-MX"/>
        </w:rPr>
        <w:t>llados en oportunidad de dicho allanamiento. También co</w:t>
      </w:r>
      <w:r>
        <w:rPr>
          <w:lang w:val="es-MX"/>
        </w:rPr>
        <w:t>n</w:t>
      </w:r>
      <w:r>
        <w:rPr>
          <w:lang w:val="es-MX"/>
        </w:rPr>
        <w:t xml:space="preserve">sideró que su asistido fue interrogado ilegítimamente por agentes de </w:t>
      </w:r>
      <w:smartTag w:uri="urn:schemas-microsoft-com:office:smarttags" w:element="PersonName">
        <w:smartTagPr>
          <w:attr w:name="ProductID" w:val="la S.I"/>
        </w:smartTagPr>
        <w:r>
          <w:rPr>
            <w:lang w:val="es-MX"/>
          </w:rPr>
          <w:t>la S.I</w:t>
        </w:r>
      </w:smartTag>
      <w:r>
        <w:rPr>
          <w:lang w:val="es-MX"/>
        </w:rPr>
        <w:t xml:space="preserve">.D.E. y por </w:t>
      </w:r>
      <w:smartTag w:uri="urn:schemas-microsoft-com:office:smarttags" w:element="PersonName">
        <w:smartTagPr>
          <w:attr w:name="ProductID" w:val="la Polic￭a Federal"/>
        </w:smartTagPr>
        <w:r>
          <w:rPr>
            <w:lang w:val="es-MX"/>
          </w:rPr>
          <w:t>la Policía Federal</w:t>
        </w:r>
      </w:smartTag>
      <w:r>
        <w:rPr>
          <w:lang w:val="es-MX"/>
        </w:rPr>
        <w:t xml:space="preserve"> el día que fue detenido.</w:t>
      </w:r>
    </w:p>
    <w:p w:rsidR="00224567" w:rsidRDefault="00224567">
      <w:pPr>
        <w:widowControl w:val="0"/>
        <w:ind w:firstLine="2835"/>
        <w:rPr>
          <w:lang w:val="es-MX"/>
        </w:rPr>
      </w:pPr>
      <w:r>
        <w:rPr>
          <w:lang w:val="es-MX"/>
        </w:rPr>
        <w:t>Impetró, además, la nulidad de las d</w:t>
      </w:r>
      <w:r>
        <w:rPr>
          <w:lang w:val="es-MX"/>
        </w:rPr>
        <w:t>e</w:t>
      </w:r>
      <w:r>
        <w:rPr>
          <w:lang w:val="es-MX"/>
        </w:rPr>
        <w:t>claraciones indagatorias de su asistido prestadas a fs. 34.397 y 37.491 “en tanto se ha vulnerado el derecho de defensa en juicio, toda vez que fue inducida su declar</w:t>
      </w:r>
      <w:r>
        <w:rPr>
          <w:lang w:val="es-MX"/>
        </w:rPr>
        <w:t>a</w:t>
      </w:r>
      <w:r>
        <w:rPr>
          <w:lang w:val="es-MX"/>
        </w:rPr>
        <w:t xml:space="preserve">ción, indicando el juez qué es lo que se pone y qué es lo que no debe figurar”, en violación al art. 296 del C.P.P.N. y 18 de </w:t>
      </w:r>
      <w:smartTag w:uri="urn:schemas-microsoft-com:office:smarttags" w:element="PersonName">
        <w:smartTagPr>
          <w:attr w:name="ProductID" w:val="la Constituci￳n Nacional."/>
        </w:smartTagPr>
        <w:r>
          <w:rPr>
            <w:lang w:val="es-MX"/>
          </w:rPr>
          <w:t>la Constitución Nacional.</w:t>
        </w:r>
      </w:smartTag>
      <w:r>
        <w:rPr>
          <w:lang w:val="es-MX"/>
        </w:rPr>
        <w:t xml:space="preserve"> Ello, por cua</w:t>
      </w:r>
      <w:r>
        <w:rPr>
          <w:lang w:val="es-MX"/>
        </w:rPr>
        <w:t>n</w:t>
      </w:r>
      <w:r>
        <w:rPr>
          <w:lang w:val="es-MX"/>
        </w:rPr>
        <w:lastRenderedPageBreak/>
        <w:t>to afirmó que se omitió volcar las expresiones de Telle</w:t>
      </w:r>
      <w:r>
        <w:rPr>
          <w:lang w:val="es-MX"/>
        </w:rPr>
        <w:t>l</w:t>
      </w:r>
      <w:r>
        <w:rPr>
          <w:lang w:val="es-MX"/>
        </w:rPr>
        <w:t>dín vinculadas a los hechos extorsivos que sufrió por pa</w:t>
      </w:r>
      <w:r>
        <w:rPr>
          <w:lang w:val="es-MX"/>
        </w:rPr>
        <w:t>r</w:t>
      </w:r>
      <w:r>
        <w:rPr>
          <w:lang w:val="es-MX"/>
        </w:rPr>
        <w:t>te de las brigadas de investigaciones de Lanús y Vicente López, como así también la presunta participación del ab</w:t>
      </w:r>
      <w:r>
        <w:rPr>
          <w:lang w:val="es-MX"/>
        </w:rPr>
        <w:t>o</w:t>
      </w:r>
      <w:r>
        <w:rPr>
          <w:lang w:val="es-MX"/>
        </w:rPr>
        <w:t>gado Gustavo Semorile en la compra de la camioneta Tr</w:t>
      </w:r>
      <w:r>
        <w:rPr>
          <w:lang w:val="es-MX"/>
        </w:rPr>
        <w:t>a</w:t>
      </w:r>
      <w:r>
        <w:rPr>
          <w:lang w:val="es-MX"/>
        </w:rPr>
        <w:t>fic el 10 de julio de 1994.</w:t>
      </w:r>
    </w:p>
    <w:p w:rsidR="00224567" w:rsidRDefault="00224567">
      <w:pPr>
        <w:widowControl w:val="0"/>
        <w:rPr>
          <w:lang w:val="es-MX"/>
        </w:rPr>
      </w:pPr>
      <w:r>
        <w:rPr>
          <w:lang w:val="es-MX"/>
        </w:rPr>
        <w:tab/>
        <w:t>Agregó que “las conductas del juez y de sus secretarios Spina, De Gamas y Velasco deben ser i</w:t>
      </w:r>
      <w:r>
        <w:rPr>
          <w:lang w:val="es-MX"/>
        </w:rPr>
        <w:t>n</w:t>
      </w:r>
      <w:r>
        <w:rPr>
          <w:lang w:val="es-MX"/>
        </w:rPr>
        <w:t>vestigadas por ser constitutivas de los delitos de enc</w:t>
      </w:r>
      <w:r>
        <w:rPr>
          <w:lang w:val="es-MX"/>
        </w:rPr>
        <w:t>u</w:t>
      </w:r>
      <w:r>
        <w:rPr>
          <w:lang w:val="es-MX"/>
        </w:rPr>
        <w:t>brimiento de la posible participación de Semorile en el atentado, incumplimiento de los deberes de funcionario p</w:t>
      </w:r>
      <w:r>
        <w:rPr>
          <w:lang w:val="es-MX"/>
        </w:rPr>
        <w:t>ú</w:t>
      </w:r>
      <w:r>
        <w:rPr>
          <w:lang w:val="es-MX"/>
        </w:rPr>
        <w:t>blico por la omisión de denunciar los delitos de exto</w:t>
      </w:r>
      <w:r>
        <w:rPr>
          <w:lang w:val="es-MX"/>
        </w:rPr>
        <w:t>r</w:t>
      </w:r>
      <w:r>
        <w:rPr>
          <w:lang w:val="es-MX"/>
        </w:rPr>
        <w:t>sión cometidos por la policía bonaerense y probable desvío de la investigación, a través del manejo doloso e irrespons</w:t>
      </w:r>
      <w:r>
        <w:rPr>
          <w:lang w:val="es-MX"/>
        </w:rPr>
        <w:t>a</w:t>
      </w:r>
      <w:r>
        <w:rPr>
          <w:lang w:val="es-MX"/>
        </w:rPr>
        <w:t>ble de los elementos de prueba que se acercaron a la i</w:t>
      </w:r>
      <w:r>
        <w:rPr>
          <w:lang w:val="es-MX"/>
        </w:rPr>
        <w:t>n</w:t>
      </w:r>
      <w:r>
        <w:rPr>
          <w:lang w:val="es-MX"/>
        </w:rPr>
        <w:t>vestig</w:t>
      </w:r>
      <w:r>
        <w:rPr>
          <w:lang w:val="es-MX"/>
        </w:rPr>
        <w:t>a</w:t>
      </w:r>
      <w:r>
        <w:rPr>
          <w:lang w:val="es-MX"/>
        </w:rPr>
        <w:t>ción”.</w:t>
      </w:r>
    </w:p>
    <w:p w:rsidR="00224567" w:rsidRDefault="00224567">
      <w:pPr>
        <w:widowControl w:val="0"/>
        <w:rPr>
          <w:lang w:val="es-MX"/>
        </w:rPr>
      </w:pPr>
      <w:r>
        <w:rPr>
          <w:lang w:val="es-MX"/>
        </w:rPr>
        <w:tab/>
        <w:t>La maniobra de encubrimiento de todo aquello que se acercara al comprador de la camioneta se repitió, a juicio de la defensa, con el proceder del juez instructor respecto del reconocimiento que realizó Telle</w:t>
      </w:r>
      <w:r>
        <w:rPr>
          <w:lang w:val="es-MX"/>
        </w:rPr>
        <w:t>l</w:t>
      </w:r>
      <w:r>
        <w:rPr>
          <w:lang w:val="es-MX"/>
        </w:rPr>
        <w:t>dín sobre un alto funcion</w:t>
      </w:r>
      <w:r>
        <w:rPr>
          <w:lang w:val="es-MX"/>
        </w:rPr>
        <w:t>a</w:t>
      </w:r>
      <w:r>
        <w:rPr>
          <w:lang w:val="es-MX"/>
        </w:rPr>
        <w:t xml:space="preserve">rio de la embajada de Irán, Reza </w:t>
      </w:r>
      <w:r>
        <w:rPr>
          <w:lang w:val="es-MX"/>
        </w:rPr>
        <w:lastRenderedPageBreak/>
        <w:t>Ashgari. En definitiva, mencionó que su asistido de</w:t>
      </w:r>
      <w:r>
        <w:rPr>
          <w:lang w:val="es-MX"/>
        </w:rPr>
        <w:t>s</w:t>
      </w:r>
      <w:r>
        <w:rPr>
          <w:lang w:val="es-MX"/>
        </w:rPr>
        <w:t>de el primer momento dijo toda la verdad de los hechos y de sus hipótesis.</w:t>
      </w:r>
    </w:p>
    <w:p w:rsidR="00224567" w:rsidRDefault="00224567">
      <w:pPr>
        <w:widowControl w:val="0"/>
        <w:rPr>
          <w:lang w:val="es-MX"/>
        </w:rPr>
      </w:pPr>
      <w:r>
        <w:rPr>
          <w:lang w:val="es-MX"/>
        </w:rPr>
        <w:tab/>
        <w:t>En otro orden de cosas, afirmó que su asistido recibió un agravamiento en las condiciones de d</w:t>
      </w:r>
      <w:r>
        <w:rPr>
          <w:lang w:val="es-MX"/>
        </w:rPr>
        <w:t>e</w:t>
      </w:r>
      <w:r>
        <w:rPr>
          <w:lang w:val="es-MX"/>
        </w:rPr>
        <w:t>tención con el objeto de presionarlo de modo de que no d</w:t>
      </w:r>
      <w:r>
        <w:rPr>
          <w:lang w:val="es-MX"/>
        </w:rPr>
        <w:t>i</w:t>
      </w:r>
      <w:r>
        <w:rPr>
          <w:lang w:val="es-MX"/>
        </w:rPr>
        <w:t>jera lo que sabía y “para que accediera a los p</w:t>
      </w:r>
      <w:r>
        <w:rPr>
          <w:lang w:val="es-MX"/>
        </w:rPr>
        <w:t>e</w:t>
      </w:r>
      <w:r>
        <w:rPr>
          <w:lang w:val="es-MX"/>
        </w:rPr>
        <w:t>didos que le iban a hacer”. Explicó que tenían que inventar un cu</w:t>
      </w:r>
      <w:r>
        <w:rPr>
          <w:lang w:val="es-MX"/>
        </w:rPr>
        <w:t>l</w:t>
      </w:r>
      <w:r>
        <w:rPr>
          <w:lang w:val="es-MX"/>
        </w:rPr>
        <w:t>pable porque “necesitaban alguien que cerrara aunque sea un poco más la investigación”.</w:t>
      </w:r>
    </w:p>
    <w:p w:rsidR="00224567" w:rsidRDefault="00224567">
      <w:pPr>
        <w:widowControl w:val="0"/>
      </w:pPr>
      <w:r>
        <w:rPr>
          <w:lang w:val="es-MX"/>
        </w:rPr>
        <w:tab/>
        <w:t>Alegó que se lo coaccionó media</w:t>
      </w:r>
      <w:r>
        <w:rPr>
          <w:lang w:val="es-MX"/>
        </w:rPr>
        <w:t>n</w:t>
      </w:r>
      <w:r>
        <w:rPr>
          <w:lang w:val="es-MX"/>
        </w:rPr>
        <w:t>te los allanamientos de los domicilio de sus fam</w:t>
      </w:r>
      <w:r>
        <w:rPr>
          <w:lang w:val="es-MX"/>
        </w:rPr>
        <w:t>i</w:t>
      </w:r>
      <w:r>
        <w:rPr>
          <w:lang w:val="es-MX"/>
        </w:rPr>
        <w:t>liares, como así también con la detención de su m</w:t>
      </w:r>
      <w:r>
        <w:rPr>
          <w:lang w:val="es-MX"/>
        </w:rPr>
        <w:t>a</w:t>
      </w:r>
      <w:r>
        <w:rPr>
          <w:lang w:val="es-MX"/>
        </w:rPr>
        <w:t>dre, Lidia Seeb, y de su hermano Eduardo durante el mes de dicie</w:t>
      </w:r>
      <w:r>
        <w:rPr>
          <w:lang w:val="es-MX"/>
        </w:rPr>
        <w:t>m</w:t>
      </w:r>
      <w:r>
        <w:rPr>
          <w:lang w:val="es-MX"/>
        </w:rPr>
        <w:t xml:space="preserve">bre de 1994. </w:t>
      </w:r>
      <w:r>
        <w:t>Esas medidas, adujo, no tenían ninguna justificación en el co</w:t>
      </w:r>
      <w:r>
        <w:t>n</w:t>
      </w:r>
      <w:r>
        <w:t xml:space="preserve">texto del atentado y fueron preparadas con anterioridad entre </w:t>
      </w:r>
      <w:smartTag w:uri="urn:schemas-microsoft-com:office:smarttags" w:element="PersonName">
        <w:smartTagPr>
          <w:attr w:name="ProductID" w:val="la S.I"/>
        </w:smartTagPr>
        <w:r>
          <w:t>la S.I</w:t>
        </w:r>
      </w:smartTag>
      <w:r>
        <w:t>.D.E.</w:t>
      </w:r>
    </w:p>
    <w:p w:rsidR="00224567" w:rsidRDefault="00224567">
      <w:pPr>
        <w:widowControl w:val="0"/>
      </w:pPr>
      <w:r>
        <w:tab/>
        <w:t>En ese sentido, mencionó que Mario B</w:t>
      </w:r>
      <w:r>
        <w:t>a</w:t>
      </w:r>
      <w:r>
        <w:t>reiro, quien para esa época trabajaba para el org</w:t>
      </w:r>
      <w:r>
        <w:t>a</w:t>
      </w:r>
      <w:r>
        <w:t>nismo de inteligencia y mantenía una relación amistosa con la fam</w:t>
      </w:r>
      <w:r>
        <w:t>i</w:t>
      </w:r>
      <w:r>
        <w:lastRenderedPageBreak/>
        <w:t>lia del imputado, ofreció a Eduardo Telleldín un arma de fuego para que la pol</w:t>
      </w:r>
      <w:r>
        <w:t>i</w:t>
      </w:r>
      <w:r>
        <w:t>cía requisara su domicilio antes de que éste regi</w:t>
      </w:r>
      <w:r>
        <w:t>s</w:t>
      </w:r>
      <w:r>
        <w:t>trara la compra. En respaldo de ello indicó la co</w:t>
      </w:r>
      <w:r>
        <w:t>n</w:t>
      </w:r>
      <w:r>
        <w:t>versación mantenida entre Eduardo Telleldín y Mario Bareiro en oportunidad del allanamiento, y la de éste ú</w:t>
      </w:r>
      <w:r>
        <w:t>l</w:t>
      </w:r>
      <w:r>
        <w:t>timo con el oficial Loci</w:t>
      </w:r>
      <w:r>
        <w:t>e</w:t>
      </w:r>
      <w:r>
        <w:t>go, a quien le comentó que “yo no estoy ajeno a la investigación que estás haciendo... estoy aportando un granito, y estoy trabajando con un o</w:t>
      </w:r>
      <w:r>
        <w:t>r</w:t>
      </w:r>
      <w:r>
        <w:t>ganismo, que está trabajando con Uds. A eso se debe la continuidad de la confraternización con esta gente...” y “quedate tranquilo, que esto es así, e inclusive yo llamé donde t</w:t>
      </w:r>
      <w:r>
        <w:t>e</w:t>
      </w:r>
      <w:r>
        <w:t>nía que llamar para explicar cuál era la situación y me dijeron que me quedara tranquilo, que Galeano está al ta</w:t>
      </w:r>
      <w:r>
        <w:t>n</w:t>
      </w:r>
      <w:r>
        <w:t>to del acercamiento con esta gente, y todo...”.</w:t>
      </w:r>
    </w:p>
    <w:p w:rsidR="00224567" w:rsidRDefault="00224567">
      <w:pPr>
        <w:widowControl w:val="0"/>
        <w:ind w:firstLine="2835"/>
        <w:rPr>
          <w:lang w:val="es-MX"/>
        </w:rPr>
      </w:pPr>
      <w:r>
        <w:t xml:space="preserve">Además, indicó que Bareiro y Eduardo Telleldín fueron condenados por </w:t>
      </w:r>
      <w:r>
        <w:rPr>
          <w:lang w:val="es-MX"/>
        </w:rPr>
        <w:t>motivo de la tenencia de ese arma de fuego.</w:t>
      </w:r>
    </w:p>
    <w:p w:rsidR="00224567" w:rsidRDefault="00224567">
      <w:pPr>
        <w:widowControl w:val="0"/>
        <w:rPr>
          <w:lang w:val="es-MX"/>
        </w:rPr>
      </w:pPr>
      <w:r>
        <w:rPr>
          <w:bCs/>
          <w:iCs/>
        </w:rPr>
        <w:tab/>
        <w:t>Sostuvo que e</w:t>
      </w:r>
      <w:r>
        <w:rPr>
          <w:lang w:val="es-MX"/>
        </w:rPr>
        <w:t>l resto de los allan</w:t>
      </w:r>
      <w:r>
        <w:rPr>
          <w:lang w:val="es-MX"/>
        </w:rPr>
        <w:t>a</w:t>
      </w:r>
      <w:r>
        <w:rPr>
          <w:lang w:val="es-MX"/>
        </w:rPr>
        <w:t>mientos dispuestos el 26 de diciembre de 1994 (fs. 6831), no tenían ningún fundamento válido, razón por la cual s</w:t>
      </w:r>
      <w:r>
        <w:rPr>
          <w:lang w:val="es-MX"/>
        </w:rPr>
        <w:t>o</w:t>
      </w:r>
      <w:r>
        <w:rPr>
          <w:lang w:val="es-MX"/>
        </w:rPr>
        <w:t xml:space="preserve">licitó la nulidad de las diligencias efectuadas. Recalcó </w:t>
      </w:r>
      <w:r>
        <w:rPr>
          <w:lang w:val="es-MX"/>
        </w:rPr>
        <w:lastRenderedPageBreak/>
        <w:t>que con dichas medidas se pretendía, en realidad, presi</w:t>
      </w:r>
      <w:r>
        <w:rPr>
          <w:lang w:val="es-MX"/>
        </w:rPr>
        <w:t>o</w:t>
      </w:r>
      <w:r>
        <w:rPr>
          <w:lang w:val="es-MX"/>
        </w:rPr>
        <w:t>nar a su defendido.</w:t>
      </w:r>
    </w:p>
    <w:p w:rsidR="00224567" w:rsidRDefault="00224567">
      <w:pPr>
        <w:widowControl w:val="0"/>
        <w:rPr>
          <w:lang w:val="es-MX"/>
        </w:rPr>
      </w:pPr>
      <w:r>
        <w:rPr>
          <w:lang w:val="es-MX"/>
        </w:rPr>
        <w:tab/>
        <w:t>Mencionó como “un nuevo método de pr</w:t>
      </w:r>
      <w:r>
        <w:rPr>
          <w:lang w:val="es-MX"/>
        </w:rPr>
        <w:t>e</w:t>
      </w:r>
      <w:r>
        <w:rPr>
          <w:lang w:val="es-MX"/>
        </w:rPr>
        <w:t>sión” el traslado de su asistido a la unidad carc</w:t>
      </w:r>
      <w:r>
        <w:rPr>
          <w:lang w:val="es-MX"/>
        </w:rPr>
        <w:t>e</w:t>
      </w:r>
      <w:r>
        <w:rPr>
          <w:lang w:val="es-MX"/>
        </w:rPr>
        <w:t>laria nº 1 del Servicio Penitenciario Fedderal, ocurrido en enero de 1995. En ese lugar, dijo, se concretó la primera exto</w:t>
      </w:r>
      <w:r>
        <w:rPr>
          <w:lang w:val="es-MX"/>
        </w:rPr>
        <w:t>r</w:t>
      </w:r>
      <w:r>
        <w:rPr>
          <w:lang w:val="es-MX"/>
        </w:rPr>
        <w:t>sión a Telleldín para solucionar la inve</w:t>
      </w:r>
      <w:r>
        <w:rPr>
          <w:lang w:val="es-MX"/>
        </w:rPr>
        <w:t>s</w:t>
      </w:r>
      <w:r>
        <w:rPr>
          <w:lang w:val="es-MX"/>
        </w:rPr>
        <w:t>tigación.</w:t>
      </w:r>
    </w:p>
    <w:p w:rsidR="00224567" w:rsidRDefault="00224567">
      <w:pPr>
        <w:widowControl w:val="0"/>
        <w:rPr>
          <w:lang w:val="es-MX"/>
        </w:rPr>
      </w:pPr>
      <w:r>
        <w:rPr>
          <w:lang w:val="es-MX"/>
        </w:rPr>
        <w:tab/>
        <w:t>Al respecto, afirmó que según la ce</w:t>
      </w:r>
      <w:r>
        <w:rPr>
          <w:lang w:val="es-MX"/>
        </w:rPr>
        <w:t>r</w:t>
      </w:r>
      <w:r>
        <w:rPr>
          <w:lang w:val="es-MX"/>
        </w:rPr>
        <w:t>tificación de fs. 8206 se presentó el capitán Ve</w:t>
      </w:r>
      <w:r>
        <w:rPr>
          <w:lang w:val="es-MX"/>
        </w:rPr>
        <w:t>r</w:t>
      </w:r>
      <w:r>
        <w:rPr>
          <w:lang w:val="es-MX"/>
        </w:rPr>
        <w:t>géz ante el juez instructor para solicitar una entrevista con T</w:t>
      </w:r>
      <w:r>
        <w:rPr>
          <w:lang w:val="es-MX"/>
        </w:rPr>
        <w:t>e</w:t>
      </w:r>
      <w:r>
        <w:rPr>
          <w:lang w:val="es-MX"/>
        </w:rPr>
        <w:t>lleldín, aduciendo que era pariente del nombrado. Añadió que el juez facilitó las instalaciones del juzgado para que la entrevista se ll</w:t>
      </w:r>
      <w:r>
        <w:rPr>
          <w:lang w:val="es-MX"/>
        </w:rPr>
        <w:t>e</w:t>
      </w:r>
      <w:r>
        <w:rPr>
          <w:lang w:val="es-MX"/>
        </w:rPr>
        <w:t>vara a cabo.</w:t>
      </w:r>
    </w:p>
    <w:p w:rsidR="00224567" w:rsidRDefault="00224567">
      <w:pPr>
        <w:widowControl w:val="0"/>
        <w:ind w:firstLine="2835"/>
        <w:rPr>
          <w:lang w:val="es-MX"/>
        </w:rPr>
      </w:pPr>
      <w:r>
        <w:rPr>
          <w:lang w:val="es-MX"/>
        </w:rPr>
        <w:t>Tampoco existe ninguna constancia de que se haya acreditado el parentesco aludido por Vergéz, ni que se haya pedido la aprobación de Telle</w:t>
      </w:r>
      <w:r>
        <w:rPr>
          <w:lang w:val="es-MX"/>
        </w:rPr>
        <w:t>l</w:t>
      </w:r>
      <w:r>
        <w:rPr>
          <w:lang w:val="es-MX"/>
        </w:rPr>
        <w:t>dín, a pesar de que éste no tenía ningún interés en mantener la entr</w:t>
      </w:r>
      <w:r>
        <w:rPr>
          <w:lang w:val="es-MX"/>
        </w:rPr>
        <w:t>e</w:t>
      </w:r>
      <w:r>
        <w:rPr>
          <w:lang w:val="es-MX"/>
        </w:rPr>
        <w:t>vista.</w:t>
      </w:r>
    </w:p>
    <w:p w:rsidR="00224567" w:rsidRDefault="00224567">
      <w:pPr>
        <w:widowControl w:val="0"/>
        <w:rPr>
          <w:lang w:val="es-MX"/>
        </w:rPr>
      </w:pPr>
      <w:r>
        <w:rPr>
          <w:lang w:val="es-MX"/>
        </w:rPr>
        <w:tab/>
        <w:t>La constancia de la solicitud de esa entrevista fue suscripta por el secretario V</w:t>
      </w:r>
      <w:r>
        <w:rPr>
          <w:lang w:val="es-MX"/>
        </w:rPr>
        <w:t>e</w:t>
      </w:r>
      <w:r>
        <w:rPr>
          <w:lang w:val="es-MX"/>
        </w:rPr>
        <w:t xml:space="preserve">lasco quien, </w:t>
      </w:r>
      <w:r>
        <w:rPr>
          <w:lang w:val="es-MX"/>
        </w:rPr>
        <w:lastRenderedPageBreak/>
        <w:t>al ser interrogado en el debate, no supo expl</w:t>
      </w:r>
      <w:r>
        <w:rPr>
          <w:lang w:val="es-MX"/>
        </w:rPr>
        <w:t>i</w:t>
      </w:r>
      <w:r>
        <w:rPr>
          <w:lang w:val="es-MX"/>
        </w:rPr>
        <w:t>car por qué motivo consignó que Vergéz era pariente de Telleldín. As</w:t>
      </w:r>
      <w:r>
        <w:rPr>
          <w:lang w:val="es-MX"/>
        </w:rPr>
        <w:t>i</w:t>
      </w:r>
      <w:r>
        <w:rPr>
          <w:lang w:val="es-MX"/>
        </w:rPr>
        <w:t>mismo, el referido capitán tampoco confirmó que se haya presentado como un pariente, sino como un conocido del p</w:t>
      </w:r>
      <w:r>
        <w:rPr>
          <w:lang w:val="es-MX"/>
        </w:rPr>
        <w:t>a</w:t>
      </w:r>
      <w:r>
        <w:rPr>
          <w:lang w:val="es-MX"/>
        </w:rPr>
        <w:t>dre.</w:t>
      </w:r>
    </w:p>
    <w:p w:rsidR="00224567" w:rsidRDefault="00224567">
      <w:pPr>
        <w:widowControl w:val="0"/>
        <w:rPr>
          <w:lang w:val="es-MX"/>
        </w:rPr>
      </w:pPr>
      <w:r>
        <w:rPr>
          <w:lang w:val="es-MX"/>
        </w:rPr>
        <w:tab/>
        <w:t>Refirió que en la entrevista que ma</w:t>
      </w:r>
      <w:r>
        <w:rPr>
          <w:lang w:val="es-MX"/>
        </w:rPr>
        <w:t>n</w:t>
      </w:r>
      <w:r>
        <w:rPr>
          <w:lang w:val="es-MX"/>
        </w:rPr>
        <w:t>tuvieron en el juzgado, en conocimiento del magistrado instructor, Vergéz tenía colocado micrófonos y, lament</w:t>
      </w:r>
      <w:r>
        <w:rPr>
          <w:lang w:val="es-MX"/>
        </w:rPr>
        <w:t>a</w:t>
      </w:r>
      <w:r>
        <w:rPr>
          <w:lang w:val="es-MX"/>
        </w:rPr>
        <w:t>blemente, expresó la defensa, la cinta que registró la e</w:t>
      </w:r>
      <w:r>
        <w:rPr>
          <w:lang w:val="es-MX"/>
        </w:rPr>
        <w:t>s</w:t>
      </w:r>
      <w:r>
        <w:rPr>
          <w:lang w:val="es-MX"/>
        </w:rPr>
        <w:t>cucha no fue aportada a la causa. Tuvo por cierto, además, que el juzgado participó en la operación al autorizar a Vergéz, Romero y una persona de apellido Luna para que grabaran la conversación con Telleldín en la cárcel de C</w:t>
      </w:r>
      <w:r>
        <w:rPr>
          <w:lang w:val="es-MX"/>
        </w:rPr>
        <w:t>a</w:t>
      </w:r>
      <w:r>
        <w:rPr>
          <w:lang w:val="es-MX"/>
        </w:rPr>
        <w:t>seros.</w:t>
      </w:r>
    </w:p>
    <w:p w:rsidR="00224567" w:rsidRDefault="00224567">
      <w:pPr>
        <w:widowControl w:val="0"/>
        <w:rPr>
          <w:lang w:val="es-MX"/>
        </w:rPr>
      </w:pPr>
      <w:r>
        <w:rPr>
          <w:lang w:val="es-MX"/>
        </w:rPr>
        <w:tab/>
        <w:t>En realidad, afirmó la defensa, los nombrados intentaron entrar en confianza con su defe</w:t>
      </w:r>
      <w:r>
        <w:rPr>
          <w:lang w:val="es-MX"/>
        </w:rPr>
        <w:t>n</w:t>
      </w:r>
      <w:r>
        <w:rPr>
          <w:lang w:val="es-MX"/>
        </w:rPr>
        <w:t>dido para después extorsionarlo. Asumieron que mantuvieron a</w:t>
      </w:r>
      <w:r>
        <w:rPr>
          <w:lang w:val="es-MX"/>
        </w:rPr>
        <w:t>l</w:t>
      </w:r>
      <w:r>
        <w:rPr>
          <w:lang w:val="es-MX"/>
        </w:rPr>
        <w:t>rededor de cuatro o cinco entrevistas con Telleldín pero de ninguna forma admitieron, por resultar autoincriminat</w:t>
      </w:r>
      <w:r>
        <w:rPr>
          <w:lang w:val="es-MX"/>
        </w:rPr>
        <w:t>o</w:t>
      </w:r>
      <w:r>
        <w:rPr>
          <w:lang w:val="es-MX"/>
        </w:rPr>
        <w:t>rio, el ofrecimiento extorsivo que hicieron al imputado, consistente en que reconociera a tres personas de nacion</w:t>
      </w:r>
      <w:r>
        <w:rPr>
          <w:lang w:val="es-MX"/>
        </w:rPr>
        <w:t>a</w:t>
      </w:r>
      <w:r>
        <w:rPr>
          <w:lang w:val="es-MX"/>
        </w:rPr>
        <w:lastRenderedPageBreak/>
        <w:t xml:space="preserve">lidad libanesa que habían sido detenidos en </w:t>
      </w:r>
      <w:smartTag w:uri="urn:schemas-microsoft-com:office:smarttags" w:element="PersonName">
        <w:smartTagPr>
          <w:attr w:name="ProductID" w:val="la Rep￺blica"/>
        </w:smartTagPr>
        <w:r>
          <w:rPr>
            <w:lang w:val="es-MX"/>
          </w:rPr>
          <w:t>la República</w:t>
        </w:r>
      </w:smartTag>
      <w:r>
        <w:rPr>
          <w:lang w:val="es-MX"/>
        </w:rPr>
        <w:t xml:space="preserve"> del Paraguay por tráfico de drogas como aquellos que se habían llevado la camioneta de su domicilio, a cambio de USD 1.000.000.</w:t>
      </w:r>
    </w:p>
    <w:p w:rsidR="00224567" w:rsidRDefault="00224567">
      <w:pPr>
        <w:widowControl w:val="0"/>
        <w:ind w:firstLine="2835"/>
        <w:rPr>
          <w:lang w:val="es-MX"/>
        </w:rPr>
      </w:pPr>
      <w:r>
        <w:rPr>
          <w:lang w:val="es-MX"/>
        </w:rPr>
        <w:t>Como su asistido no aceptó el ofrec</w:t>
      </w:r>
      <w:r>
        <w:rPr>
          <w:lang w:val="es-MX"/>
        </w:rPr>
        <w:t>i</w:t>
      </w:r>
      <w:r>
        <w:rPr>
          <w:lang w:val="es-MX"/>
        </w:rPr>
        <w:t>miento, Vergéz lo amenazó con complicarle la situ</w:t>
      </w:r>
      <w:r>
        <w:rPr>
          <w:lang w:val="es-MX"/>
        </w:rPr>
        <w:t>a</w:t>
      </w:r>
      <w:r>
        <w:rPr>
          <w:lang w:val="es-MX"/>
        </w:rPr>
        <w:t>ción en la causa y colocar droga en el domicilio de su esposa, r</w:t>
      </w:r>
      <w:r>
        <w:rPr>
          <w:lang w:val="es-MX"/>
        </w:rPr>
        <w:t>e</w:t>
      </w:r>
      <w:r>
        <w:rPr>
          <w:lang w:val="es-MX"/>
        </w:rPr>
        <w:t>cordando que Boragni, al declarar en la audiencia, r</w:t>
      </w:r>
      <w:r>
        <w:rPr>
          <w:lang w:val="es-MX"/>
        </w:rPr>
        <w:t>e</w:t>
      </w:r>
      <w:r>
        <w:rPr>
          <w:lang w:val="es-MX"/>
        </w:rPr>
        <w:t>firió que Vergéz quiso colocar micrófonos en su vivienda, vis</w:t>
      </w:r>
      <w:r>
        <w:rPr>
          <w:lang w:val="es-MX"/>
        </w:rPr>
        <w:t>i</w:t>
      </w:r>
      <w:r>
        <w:rPr>
          <w:lang w:val="es-MX"/>
        </w:rPr>
        <w:t>tándola en más de una oportunidad.</w:t>
      </w:r>
    </w:p>
    <w:p w:rsidR="00224567" w:rsidRDefault="00224567">
      <w:pPr>
        <w:widowControl w:val="0"/>
        <w:rPr>
          <w:lang w:val="es-MX"/>
        </w:rPr>
      </w:pPr>
      <w:r>
        <w:rPr>
          <w:lang w:val="es-MX"/>
        </w:rPr>
        <w:tab/>
        <w:t>Telleldín denunció la extorsión en el mes de abril del 1995 ante el juez Bergesio y lo hizo p</w:t>
      </w:r>
      <w:r>
        <w:rPr>
          <w:lang w:val="es-MX"/>
        </w:rPr>
        <w:t>ú</w:t>
      </w:r>
      <w:r>
        <w:rPr>
          <w:lang w:val="es-MX"/>
        </w:rPr>
        <w:t>blicamente en junio del mismo año para evitar que la m</w:t>
      </w:r>
      <w:r>
        <w:rPr>
          <w:lang w:val="es-MX"/>
        </w:rPr>
        <w:t>a</w:t>
      </w:r>
      <w:r>
        <w:rPr>
          <w:lang w:val="es-MX"/>
        </w:rPr>
        <w:t xml:space="preserve">niobra del juzgado y de </w:t>
      </w:r>
      <w:smartTag w:uri="urn:schemas-microsoft-com:office:smarttags" w:element="PersonName">
        <w:smartTagPr>
          <w:attr w:name="ProductID" w:val="la S.I"/>
        </w:smartTagPr>
        <w:r>
          <w:rPr>
            <w:lang w:val="es-MX"/>
          </w:rPr>
          <w:t>la S.I</w:t>
        </w:r>
      </w:smartTag>
      <w:r>
        <w:rPr>
          <w:lang w:val="es-MX"/>
        </w:rPr>
        <w:t>.D.E. se concretara. Dijo que esa noticia inquietó al nombrado Vergéz, tal como su</w:t>
      </w:r>
      <w:r>
        <w:rPr>
          <w:lang w:val="es-MX"/>
        </w:rPr>
        <w:t>r</w:t>
      </w:r>
      <w:r>
        <w:rPr>
          <w:lang w:val="es-MX"/>
        </w:rPr>
        <w:t>ge en la escucha que mantuvieron éste y Boragni, reprod</w:t>
      </w:r>
      <w:r>
        <w:rPr>
          <w:lang w:val="es-MX"/>
        </w:rPr>
        <w:t>u</w:t>
      </w:r>
      <w:r>
        <w:rPr>
          <w:lang w:val="es-MX"/>
        </w:rPr>
        <w:t>cida en la audiencia de debate. Ante ello, Vergéz negó su intervención en las grabaciones puesto que no podía dar ninguna explicación sin compr</w:t>
      </w:r>
      <w:r>
        <w:rPr>
          <w:lang w:val="es-MX"/>
        </w:rPr>
        <w:t>o</w:t>
      </w:r>
      <w:r>
        <w:rPr>
          <w:lang w:val="es-MX"/>
        </w:rPr>
        <w:t>meterse.</w:t>
      </w:r>
    </w:p>
    <w:p w:rsidR="00224567" w:rsidRDefault="00224567">
      <w:pPr>
        <w:widowControl w:val="0"/>
        <w:rPr>
          <w:lang w:val="es-MX"/>
        </w:rPr>
      </w:pPr>
      <w:r>
        <w:rPr>
          <w:lang w:val="es-MX"/>
        </w:rPr>
        <w:tab/>
        <w:t>Explicó la defensa que la causa in</w:t>
      </w:r>
      <w:r>
        <w:rPr>
          <w:lang w:val="es-MX"/>
        </w:rPr>
        <w:t>i</w:t>
      </w:r>
      <w:r>
        <w:rPr>
          <w:lang w:val="es-MX"/>
        </w:rPr>
        <w:lastRenderedPageBreak/>
        <w:t>ciada con motivo de esa denuncia fue enviada para su i</w:t>
      </w:r>
      <w:r>
        <w:rPr>
          <w:lang w:val="es-MX"/>
        </w:rPr>
        <w:t>n</w:t>
      </w:r>
      <w:r>
        <w:rPr>
          <w:lang w:val="es-MX"/>
        </w:rPr>
        <w:t>vestigación al juzgado a cargo del Dr. Galeano, en virtud de la conexidad con la causa A.M.I.A.. El juez no dio ni</w:t>
      </w:r>
      <w:r>
        <w:rPr>
          <w:lang w:val="es-MX"/>
        </w:rPr>
        <w:t>n</w:t>
      </w:r>
      <w:r>
        <w:rPr>
          <w:lang w:val="es-MX"/>
        </w:rPr>
        <w:t>gún trámite a esa causa, omitió investigar a Vergéz y a Romero ni tampoco realizó medidas de prueba para determ</w:t>
      </w:r>
      <w:r>
        <w:rPr>
          <w:lang w:val="es-MX"/>
        </w:rPr>
        <w:t>i</w:t>
      </w:r>
      <w:r>
        <w:rPr>
          <w:lang w:val="es-MX"/>
        </w:rPr>
        <w:t>nar quién estaba detrás del ofrec</w:t>
      </w:r>
      <w:r>
        <w:rPr>
          <w:lang w:val="es-MX"/>
        </w:rPr>
        <w:t>i</w:t>
      </w:r>
      <w:r>
        <w:rPr>
          <w:lang w:val="es-MX"/>
        </w:rPr>
        <w:t>miento.</w:t>
      </w:r>
    </w:p>
    <w:p w:rsidR="00224567" w:rsidRDefault="00224567">
      <w:pPr>
        <w:widowControl w:val="0"/>
        <w:rPr>
          <w:lang w:val="es-MX"/>
        </w:rPr>
      </w:pPr>
      <w:r>
        <w:rPr>
          <w:lang w:val="es-MX"/>
        </w:rPr>
        <w:tab/>
        <w:t>Ello evidencia, a juicio de la defe</w:t>
      </w:r>
      <w:r>
        <w:rPr>
          <w:lang w:val="es-MX"/>
        </w:rPr>
        <w:t>n</w:t>
      </w:r>
      <w:r>
        <w:rPr>
          <w:lang w:val="es-MX"/>
        </w:rPr>
        <w:t>sa, que el juez tenían pleno conocimiento de la mani</w:t>
      </w:r>
      <w:r>
        <w:rPr>
          <w:lang w:val="es-MX"/>
        </w:rPr>
        <w:t>o</w:t>
      </w:r>
      <w:r>
        <w:rPr>
          <w:lang w:val="es-MX"/>
        </w:rPr>
        <w:t>bra y que fue partícipe en el delito. Además, se introdujeron datos falsos en la certificación de fs. 8206, en lo rel</w:t>
      </w:r>
      <w:r>
        <w:rPr>
          <w:lang w:val="es-MX"/>
        </w:rPr>
        <w:t>a</w:t>
      </w:r>
      <w:r>
        <w:rPr>
          <w:lang w:val="es-MX"/>
        </w:rPr>
        <w:t>tivo a que Vergéz era familiar de Telleldín cuando, en realidad, sabían que no era cierto; es más, los empleados del juzgado reconocieron en el debate que el nombrado no se había presentado aludiendo tal parentesco y que se d</w:t>
      </w:r>
      <w:r>
        <w:rPr>
          <w:lang w:val="es-MX"/>
        </w:rPr>
        <w:t>e</w:t>
      </w:r>
      <w:r>
        <w:rPr>
          <w:lang w:val="es-MX"/>
        </w:rPr>
        <w:t>bió a un error.</w:t>
      </w:r>
    </w:p>
    <w:p w:rsidR="00224567" w:rsidRDefault="00224567">
      <w:pPr>
        <w:pStyle w:val="Textoindependiente"/>
        <w:spacing w:line="600" w:lineRule="auto"/>
        <w:rPr>
          <w:lang w:val="es-MX"/>
        </w:rPr>
      </w:pPr>
      <w:r>
        <w:rPr>
          <w:lang w:val="es-MX"/>
        </w:rPr>
        <w:tab/>
        <w:t>La defensa expresó que, según las declaraci</w:t>
      </w:r>
      <w:r>
        <w:rPr>
          <w:lang w:val="es-MX"/>
        </w:rPr>
        <w:t>o</w:t>
      </w:r>
      <w:r>
        <w:rPr>
          <w:lang w:val="es-MX"/>
        </w:rPr>
        <w:t>nes de Vergéz y de Romero, quien estaba detrás de todas e</w:t>
      </w:r>
      <w:r>
        <w:rPr>
          <w:lang w:val="es-MX"/>
        </w:rPr>
        <w:t>s</w:t>
      </w:r>
      <w:r>
        <w:rPr>
          <w:lang w:val="es-MX"/>
        </w:rPr>
        <w:t xml:space="preserve">tas maniobras era la propia Secretaría de Inteligencia de Estado que, no sólo pagó al primero, sino que a través de él se dio a la familia Telleldín una suma mensual para su manutención de alrededor de $ 5.000, como así también el </w:t>
      </w:r>
      <w:r>
        <w:rPr>
          <w:lang w:val="es-MX"/>
        </w:rPr>
        <w:lastRenderedPageBreak/>
        <w:t>monto necesario para pagar una fianza de Boragni en una causa criminal.</w:t>
      </w:r>
    </w:p>
    <w:p w:rsidR="00224567" w:rsidRDefault="00224567">
      <w:pPr>
        <w:widowControl w:val="0"/>
        <w:rPr>
          <w:lang w:val="es-MX"/>
        </w:rPr>
      </w:pPr>
      <w:r>
        <w:rPr>
          <w:lang w:val="es-MX"/>
        </w:rPr>
        <w:tab/>
        <w:t>Así lo declaró Telleldín, desmintie</w:t>
      </w:r>
      <w:r>
        <w:rPr>
          <w:lang w:val="es-MX"/>
        </w:rPr>
        <w:t>n</w:t>
      </w:r>
      <w:r>
        <w:rPr>
          <w:lang w:val="es-MX"/>
        </w:rPr>
        <w:t>do al agente Stiuso, quien adjudicó el pago al sector de “S</w:t>
      </w:r>
      <w:r>
        <w:rPr>
          <w:lang w:val="es-MX"/>
        </w:rPr>
        <w:t>a</w:t>
      </w:r>
      <w:r>
        <w:rPr>
          <w:lang w:val="es-MX"/>
        </w:rPr>
        <w:t>la Patria”, de modo de desligarse de su respons</w:t>
      </w:r>
      <w:r>
        <w:rPr>
          <w:lang w:val="es-MX"/>
        </w:rPr>
        <w:t>a</w:t>
      </w:r>
      <w:r>
        <w:rPr>
          <w:lang w:val="es-MX"/>
        </w:rPr>
        <w:t>bilidad en tanto en esa época estaba a cargo de la investigación. Destacó que la fiscalía dio por probado el salario de Ve</w:t>
      </w:r>
      <w:r>
        <w:rPr>
          <w:lang w:val="es-MX"/>
        </w:rPr>
        <w:t>r</w:t>
      </w:r>
      <w:r>
        <w:rPr>
          <w:lang w:val="es-MX"/>
        </w:rPr>
        <w:t>géz.</w:t>
      </w:r>
    </w:p>
    <w:p w:rsidR="00224567" w:rsidRDefault="00224567">
      <w:pPr>
        <w:widowControl w:val="0"/>
        <w:rPr>
          <w:lang w:val="es-MX"/>
        </w:rPr>
      </w:pPr>
      <w:r>
        <w:rPr>
          <w:lang w:val="es-MX"/>
        </w:rPr>
        <w:tab/>
        <w:t>Por todo ello, solicitó que se extra</w:t>
      </w:r>
      <w:r>
        <w:rPr>
          <w:lang w:val="es-MX"/>
        </w:rPr>
        <w:t>i</w:t>
      </w:r>
      <w:r>
        <w:rPr>
          <w:lang w:val="es-MX"/>
        </w:rPr>
        <w:t>gan testimonios y se remitan a la cámara del fuero a fin de que se investigue la comisión de los delitos de amen</w:t>
      </w:r>
      <w:r>
        <w:rPr>
          <w:lang w:val="es-MX"/>
        </w:rPr>
        <w:t>a</w:t>
      </w:r>
      <w:r>
        <w:rPr>
          <w:lang w:val="es-MX"/>
        </w:rPr>
        <w:t>zas coactivas, por parte de Vergéz, Daniel Romero, una persona de apellido Luna y los Dres. Galeano, Velasco, Spina y De Gamas, como partícipes necesarios del hecho descripto y autores de los delitos de fals</w:t>
      </w:r>
      <w:r>
        <w:rPr>
          <w:lang w:val="es-MX"/>
        </w:rPr>
        <w:t>e</w:t>
      </w:r>
      <w:r>
        <w:rPr>
          <w:lang w:val="es-MX"/>
        </w:rPr>
        <w:t>dad ideológica de instrumento público e incumplimiento de los deberes de funcion</w:t>
      </w:r>
      <w:r>
        <w:rPr>
          <w:lang w:val="es-MX"/>
        </w:rPr>
        <w:t>a</w:t>
      </w:r>
      <w:r>
        <w:rPr>
          <w:lang w:val="es-MX"/>
        </w:rPr>
        <w:t xml:space="preserve">rio público. También requirió que se investigue el funcionario de </w:t>
      </w:r>
      <w:smartTag w:uri="urn:schemas-microsoft-com:office:smarttags" w:element="PersonName">
        <w:smartTagPr>
          <w:attr w:name="ProductID" w:val="la S.I"/>
        </w:smartTagPr>
        <w:r>
          <w:rPr>
            <w:lang w:val="es-MX"/>
          </w:rPr>
          <w:t>la S.I</w:t>
        </w:r>
      </w:smartTag>
      <w:r>
        <w:rPr>
          <w:lang w:val="es-MX"/>
        </w:rPr>
        <w:t>.D.E. que ordenó o tenía con</w:t>
      </w:r>
      <w:r>
        <w:rPr>
          <w:lang w:val="es-MX"/>
        </w:rPr>
        <w:t>o</w:t>
      </w:r>
      <w:r>
        <w:rPr>
          <w:lang w:val="es-MX"/>
        </w:rPr>
        <w:t>cimiento del ofrecimiento, así como también el que efectuó los p</w:t>
      </w:r>
      <w:r>
        <w:rPr>
          <w:lang w:val="es-MX"/>
        </w:rPr>
        <w:t>a</w:t>
      </w:r>
      <w:r>
        <w:rPr>
          <w:lang w:val="es-MX"/>
        </w:rPr>
        <w:t>gos.</w:t>
      </w:r>
    </w:p>
    <w:p w:rsidR="00224567" w:rsidRDefault="00224567">
      <w:pPr>
        <w:widowControl w:val="0"/>
        <w:ind w:firstLine="2835"/>
        <w:rPr>
          <w:lang w:val="es-MX"/>
        </w:rPr>
      </w:pPr>
      <w:r>
        <w:rPr>
          <w:lang w:val="es-MX"/>
        </w:rPr>
        <w:lastRenderedPageBreak/>
        <w:t>Exigió, además, que se investigue la conducta de los fiscales Mullen y Barbaccia por cuanto t</w:t>
      </w:r>
      <w:r>
        <w:rPr>
          <w:lang w:val="es-MX"/>
        </w:rPr>
        <w:t>e</w:t>
      </w:r>
      <w:r>
        <w:rPr>
          <w:lang w:val="es-MX"/>
        </w:rPr>
        <w:t>nían conocimiento de la maniobra y encubrieron el hecho. Por último, manifestó que el Dr. Nisman reconoció la e</w:t>
      </w:r>
      <w:r>
        <w:rPr>
          <w:lang w:val="es-MX"/>
        </w:rPr>
        <w:t>x</w:t>
      </w:r>
      <w:r>
        <w:rPr>
          <w:lang w:val="es-MX"/>
        </w:rPr>
        <w:t>torsión de Vergéz y realizó las denuncias correspondie</w:t>
      </w:r>
      <w:r>
        <w:rPr>
          <w:lang w:val="es-MX"/>
        </w:rPr>
        <w:t>n</w:t>
      </w:r>
      <w:r>
        <w:rPr>
          <w:lang w:val="es-MX"/>
        </w:rPr>
        <w:t>tes.</w:t>
      </w:r>
    </w:p>
    <w:p w:rsidR="00224567" w:rsidRDefault="00224567">
      <w:pPr>
        <w:widowControl w:val="0"/>
        <w:rPr>
          <w:lang w:val="es-MX"/>
        </w:rPr>
      </w:pPr>
      <w:r>
        <w:rPr>
          <w:lang w:val="es-MX"/>
        </w:rPr>
        <w:tab/>
        <w:t>La defensa sostuvo que en el mes de marzo de 1995 su asistido, bajo el pretexto de un recon</w:t>
      </w:r>
      <w:r>
        <w:rPr>
          <w:lang w:val="es-MX"/>
        </w:rPr>
        <w:t>o</w:t>
      </w:r>
      <w:r>
        <w:rPr>
          <w:lang w:val="es-MX"/>
        </w:rPr>
        <w:t>cimiento por parte del Cuerpo Médico Forense (según fs. 10.321), fue trasladado al juzgado federal a fin de ser interrogarlo más de una vez sobre los mismos temas, para recabar prueba clandestina y recibir información que te</w:t>
      </w:r>
      <w:r>
        <w:rPr>
          <w:lang w:val="es-MX"/>
        </w:rPr>
        <w:t>r</w:t>
      </w:r>
      <w:r>
        <w:rPr>
          <w:lang w:val="es-MX"/>
        </w:rPr>
        <w:t>minaban conociendo sólo el juez, sus secretarios, los fi</w:t>
      </w:r>
      <w:r>
        <w:rPr>
          <w:lang w:val="es-MX"/>
        </w:rPr>
        <w:t>s</w:t>
      </w:r>
      <w:r>
        <w:rPr>
          <w:lang w:val="es-MX"/>
        </w:rPr>
        <w:t>cales y, probablemente, los representantes de las quer</w:t>
      </w:r>
      <w:r>
        <w:rPr>
          <w:lang w:val="es-MX"/>
        </w:rPr>
        <w:t>e</w:t>
      </w:r>
      <w:r>
        <w:rPr>
          <w:lang w:val="es-MX"/>
        </w:rPr>
        <w:t>llas Rubén B</w:t>
      </w:r>
      <w:r>
        <w:rPr>
          <w:lang w:val="es-MX"/>
        </w:rPr>
        <w:t>e</w:t>
      </w:r>
      <w:r>
        <w:rPr>
          <w:lang w:val="es-MX"/>
        </w:rPr>
        <w:t xml:space="preserve">raja y Luis </w:t>
      </w:r>
      <w:r>
        <w:rPr>
          <w:lang w:val="es-ES_tradnl"/>
        </w:rPr>
        <w:t>Dobniewski</w:t>
      </w:r>
      <w:r>
        <w:rPr>
          <w:lang w:val="es-MX"/>
        </w:rPr>
        <w:t>.</w:t>
      </w:r>
    </w:p>
    <w:p w:rsidR="00224567" w:rsidRDefault="00224567">
      <w:pPr>
        <w:widowControl w:val="0"/>
        <w:rPr>
          <w:lang w:val="es-MX"/>
        </w:rPr>
      </w:pPr>
      <w:r>
        <w:rPr>
          <w:lang w:val="es-MX"/>
        </w:rPr>
        <w:tab/>
        <w:t>También, expresó, lo convocaban al juzgado para mantener entrevistas con todo aquél que lo solicitara, “tal como si fuera un testigo de la causa”, como sucedió con el procurador general de Israel, co</w:t>
      </w:r>
      <w:r>
        <w:rPr>
          <w:lang w:val="es-MX"/>
        </w:rPr>
        <w:t>n</w:t>
      </w:r>
      <w:r>
        <w:rPr>
          <w:lang w:val="es-MX"/>
        </w:rPr>
        <w:t>forme surge de la constancia de fs. 10.357.</w:t>
      </w:r>
    </w:p>
    <w:p w:rsidR="00224567" w:rsidRDefault="00224567">
      <w:pPr>
        <w:widowControl w:val="0"/>
        <w:ind w:firstLine="2835"/>
        <w:rPr>
          <w:lang w:val="es-MX"/>
        </w:rPr>
      </w:pPr>
      <w:r>
        <w:rPr>
          <w:lang w:val="es-MX"/>
        </w:rPr>
        <w:t>Entendió la defensa que el código pr</w:t>
      </w:r>
      <w:r>
        <w:rPr>
          <w:lang w:val="es-MX"/>
        </w:rPr>
        <w:t>o</w:t>
      </w:r>
      <w:r>
        <w:rPr>
          <w:lang w:val="es-MX"/>
        </w:rPr>
        <w:lastRenderedPageBreak/>
        <w:t>cesal autoriza solamente al juez y a los fiscales prese</w:t>
      </w:r>
      <w:r>
        <w:rPr>
          <w:lang w:val="es-MX"/>
        </w:rPr>
        <w:t>n</w:t>
      </w:r>
      <w:r>
        <w:rPr>
          <w:lang w:val="es-MX"/>
        </w:rPr>
        <w:t>ciar las declaraciones indagatorias y que no regula otra forma para entrevistar a un imputado. En el caso, apuntó, tampoco se solicitó la autorización del imputado, ni se convocó al abogado defensor para que presenciara el acto.</w:t>
      </w:r>
    </w:p>
    <w:p w:rsidR="00224567" w:rsidRDefault="00224567">
      <w:pPr>
        <w:widowControl w:val="0"/>
        <w:rPr>
          <w:lang w:val="es-MX"/>
        </w:rPr>
      </w:pPr>
      <w:r>
        <w:rPr>
          <w:lang w:val="es-MX"/>
        </w:rPr>
        <w:tab/>
        <w:t>Señaló que esa situación puso en ev</w:t>
      </w:r>
      <w:r>
        <w:rPr>
          <w:lang w:val="es-MX"/>
        </w:rPr>
        <w:t>i</w:t>
      </w:r>
      <w:r>
        <w:rPr>
          <w:lang w:val="es-MX"/>
        </w:rPr>
        <w:t>dencia que el juez instructor cedió a las presiones del Estado de Israel y era contemplativo con t</w:t>
      </w:r>
      <w:r>
        <w:rPr>
          <w:lang w:val="es-MX"/>
        </w:rPr>
        <w:t>o</w:t>
      </w:r>
      <w:r>
        <w:rPr>
          <w:lang w:val="es-MX"/>
        </w:rPr>
        <w:t>dos y cada uno de los requerimientos que se le fo</w:t>
      </w:r>
      <w:r>
        <w:rPr>
          <w:lang w:val="es-MX"/>
        </w:rPr>
        <w:t>r</w:t>
      </w:r>
      <w:r>
        <w:rPr>
          <w:lang w:val="es-MX"/>
        </w:rPr>
        <w:t>mulaban.</w:t>
      </w:r>
    </w:p>
    <w:p w:rsidR="00224567" w:rsidRDefault="00224567">
      <w:pPr>
        <w:widowControl w:val="0"/>
        <w:rPr>
          <w:lang w:val="es-MX"/>
        </w:rPr>
      </w:pPr>
      <w:r>
        <w:rPr>
          <w:lang w:val="es-MX"/>
        </w:rPr>
        <w:tab/>
        <w:t>Expresó la letrada que el juez aprov</w:t>
      </w:r>
      <w:r>
        <w:rPr>
          <w:lang w:val="es-MX"/>
        </w:rPr>
        <w:t>e</w:t>
      </w:r>
      <w:r>
        <w:rPr>
          <w:lang w:val="es-MX"/>
        </w:rPr>
        <w:t>chó todas las hipótesis que Telleldín le había come</w:t>
      </w:r>
      <w:r>
        <w:rPr>
          <w:lang w:val="es-MX"/>
        </w:rPr>
        <w:t>n</w:t>
      </w:r>
      <w:r>
        <w:rPr>
          <w:lang w:val="es-MX"/>
        </w:rPr>
        <w:t>tado y muchas de esas personas fueron usadas para armar prueba por el propio juzgado en contra de Telleldín a través de Gustavo Semorile, Miriam Salinas, Pablo Ibáñez, Hebert N</w:t>
      </w:r>
      <w:r>
        <w:rPr>
          <w:lang w:val="es-MX"/>
        </w:rPr>
        <w:t>ú</w:t>
      </w:r>
      <w:r>
        <w:rPr>
          <w:lang w:val="es-MX"/>
        </w:rPr>
        <w:t>ñez y el coimp</w:t>
      </w:r>
      <w:r>
        <w:rPr>
          <w:lang w:val="es-MX"/>
        </w:rPr>
        <w:t>u</w:t>
      </w:r>
      <w:r>
        <w:rPr>
          <w:lang w:val="es-MX"/>
        </w:rPr>
        <w:t>tado Ariel Nitzcaner.</w:t>
      </w:r>
    </w:p>
    <w:p w:rsidR="00224567" w:rsidRDefault="00224567">
      <w:pPr>
        <w:widowControl w:val="0"/>
        <w:ind w:firstLine="2835"/>
        <w:rPr>
          <w:lang w:val="es-MX"/>
        </w:rPr>
      </w:pPr>
      <w:r>
        <w:rPr>
          <w:lang w:val="es-MX"/>
        </w:rPr>
        <w:t>Al respecto, refirió que misterios</w:t>
      </w:r>
      <w:r>
        <w:rPr>
          <w:lang w:val="es-MX"/>
        </w:rPr>
        <w:t>a</w:t>
      </w:r>
      <w:r>
        <w:rPr>
          <w:lang w:val="es-MX"/>
        </w:rPr>
        <w:t>mente aparecieron Salinas e Ibáñez como imput</w:t>
      </w:r>
      <w:r>
        <w:rPr>
          <w:lang w:val="es-MX"/>
        </w:rPr>
        <w:t>a</w:t>
      </w:r>
      <w:r>
        <w:rPr>
          <w:lang w:val="es-MX"/>
        </w:rPr>
        <w:t>dos en esta causa y que el juez instructor -aún cuando no consta en la causa- mantuvo una entrevista “clandest</w:t>
      </w:r>
      <w:r>
        <w:rPr>
          <w:lang w:val="es-MX"/>
        </w:rPr>
        <w:t>i</w:t>
      </w:r>
      <w:r>
        <w:rPr>
          <w:lang w:val="es-MX"/>
        </w:rPr>
        <w:t>na” con el abogado Semorile, conforme lo declaró Claudio Lifschitz en el ju</w:t>
      </w:r>
      <w:r>
        <w:rPr>
          <w:lang w:val="es-MX"/>
        </w:rPr>
        <w:t>i</w:t>
      </w:r>
      <w:r>
        <w:rPr>
          <w:lang w:val="es-MX"/>
        </w:rPr>
        <w:lastRenderedPageBreak/>
        <w:t>cio. Por lo demás, señaló que las maniobras del juez con Semorile fueron reconocidas por el Ministerio Público Fi</w:t>
      </w:r>
      <w:r>
        <w:rPr>
          <w:lang w:val="es-MX"/>
        </w:rPr>
        <w:t>s</w:t>
      </w:r>
      <w:r>
        <w:rPr>
          <w:lang w:val="es-MX"/>
        </w:rPr>
        <w:t>cal en su alegato.</w:t>
      </w:r>
    </w:p>
    <w:p w:rsidR="00224567" w:rsidRDefault="00224567">
      <w:pPr>
        <w:widowControl w:val="0"/>
        <w:rPr>
          <w:lang w:val="es-MX"/>
        </w:rPr>
      </w:pPr>
      <w:r>
        <w:rPr>
          <w:lang w:val="es-MX"/>
        </w:rPr>
        <w:tab/>
        <w:t>Expresó que en una primera entr</w:t>
      </w:r>
      <w:r>
        <w:rPr>
          <w:lang w:val="es-MX"/>
        </w:rPr>
        <w:t>e</w:t>
      </w:r>
      <w:r>
        <w:rPr>
          <w:lang w:val="es-MX"/>
        </w:rPr>
        <w:t>vista el juez interrogó a Semorile sobre la exto</w:t>
      </w:r>
      <w:r>
        <w:rPr>
          <w:lang w:val="es-MX"/>
        </w:rPr>
        <w:t>r</w:t>
      </w:r>
      <w:r>
        <w:rPr>
          <w:lang w:val="es-MX"/>
        </w:rPr>
        <w:t xml:space="preserve">sión que había sufrido Telleldín en </w:t>
      </w:r>
      <w:smartTag w:uri="urn:schemas-microsoft-com:office:smarttags" w:element="PersonName">
        <w:smartTagPr>
          <w:attr w:name="ProductID" w:val="la Brigada"/>
        </w:smartTagPr>
        <w:r>
          <w:rPr>
            <w:lang w:val="es-MX"/>
          </w:rPr>
          <w:t>la Brigada</w:t>
        </w:r>
      </w:smartTag>
      <w:r>
        <w:rPr>
          <w:lang w:val="es-MX"/>
        </w:rPr>
        <w:t xml:space="preserve"> de Investigaciones de L</w:t>
      </w:r>
      <w:r>
        <w:rPr>
          <w:lang w:val="es-MX"/>
        </w:rPr>
        <w:t>a</w:t>
      </w:r>
      <w:r>
        <w:rPr>
          <w:lang w:val="es-MX"/>
        </w:rPr>
        <w:t>nús. El abogado le refirió que lo “entregó” a esa div</w:t>
      </w:r>
      <w:r>
        <w:rPr>
          <w:lang w:val="es-MX"/>
        </w:rPr>
        <w:t>i</w:t>
      </w:r>
      <w:r>
        <w:rPr>
          <w:lang w:val="es-MX"/>
        </w:rPr>
        <w:t>sión policial para que lo extorsionaran porque sabía que en ese momento contaba con dinero por la venta de un lav</w:t>
      </w:r>
      <w:r>
        <w:rPr>
          <w:lang w:val="es-MX"/>
        </w:rPr>
        <w:t>a</w:t>
      </w:r>
      <w:r>
        <w:rPr>
          <w:lang w:val="es-MX"/>
        </w:rPr>
        <w:t>dero en la local</w:t>
      </w:r>
      <w:r>
        <w:rPr>
          <w:lang w:val="es-MX"/>
        </w:rPr>
        <w:t>i</w:t>
      </w:r>
      <w:r>
        <w:rPr>
          <w:lang w:val="es-MX"/>
        </w:rPr>
        <w:t>dad de Olivos.</w:t>
      </w:r>
    </w:p>
    <w:p w:rsidR="00224567" w:rsidRDefault="00224567">
      <w:pPr>
        <w:widowControl w:val="0"/>
        <w:rPr>
          <w:lang w:val="es-MX"/>
        </w:rPr>
      </w:pPr>
      <w:r>
        <w:rPr>
          <w:lang w:val="es-MX"/>
        </w:rPr>
        <w:tab/>
        <w:t>Si bien no se cuenta con el video de esa entrevista porque el juez ordenó su incineración, la defensa dijo que los detalles que Semorile e</w:t>
      </w:r>
      <w:r>
        <w:rPr>
          <w:lang w:val="es-MX"/>
        </w:rPr>
        <w:t>x</w:t>
      </w:r>
      <w:r>
        <w:rPr>
          <w:lang w:val="es-MX"/>
        </w:rPr>
        <w:t>presó al juez fueron recreados en el debate a partir de las declaraci</w:t>
      </w:r>
      <w:r>
        <w:rPr>
          <w:lang w:val="es-MX"/>
        </w:rPr>
        <w:t>o</w:t>
      </w:r>
      <w:r>
        <w:rPr>
          <w:lang w:val="es-MX"/>
        </w:rPr>
        <w:t>nes Claudio Lifschitz, Alberto Spagnuolo y Carlos Telle</w:t>
      </w:r>
      <w:r>
        <w:rPr>
          <w:lang w:val="es-MX"/>
        </w:rPr>
        <w:t>l</w:t>
      </w:r>
      <w:r>
        <w:rPr>
          <w:lang w:val="es-MX"/>
        </w:rPr>
        <w:t>dín; éste último, por los comentarios que le efectuó el secretario De Gamas. Por otra parte, se probó que Sem</w:t>
      </w:r>
      <w:r>
        <w:rPr>
          <w:lang w:val="es-MX"/>
        </w:rPr>
        <w:t>o</w:t>
      </w:r>
      <w:r>
        <w:rPr>
          <w:lang w:val="es-MX"/>
        </w:rPr>
        <w:t>rile retuvo la motocicleta Kawasaki que Telleldín entregó a la brig</w:t>
      </w:r>
      <w:r>
        <w:rPr>
          <w:lang w:val="es-MX"/>
        </w:rPr>
        <w:t>a</w:t>
      </w:r>
      <w:r>
        <w:rPr>
          <w:lang w:val="es-MX"/>
        </w:rPr>
        <w:t>da policial.</w:t>
      </w:r>
    </w:p>
    <w:p w:rsidR="00224567" w:rsidRDefault="00224567">
      <w:pPr>
        <w:widowControl w:val="0"/>
        <w:rPr>
          <w:lang w:val="es-MX"/>
        </w:rPr>
      </w:pPr>
      <w:r>
        <w:rPr>
          <w:lang w:val="es-MX"/>
        </w:rPr>
        <w:tab/>
        <w:t>Lifschitz reconoció que el juez exh</w:t>
      </w:r>
      <w:r>
        <w:rPr>
          <w:lang w:val="es-MX"/>
        </w:rPr>
        <w:t>i</w:t>
      </w:r>
      <w:r>
        <w:rPr>
          <w:lang w:val="es-MX"/>
        </w:rPr>
        <w:t xml:space="preserve">bió el video a Semorile de modo de lograr que cediera a </w:t>
      </w:r>
      <w:r>
        <w:rPr>
          <w:lang w:val="es-MX"/>
        </w:rPr>
        <w:lastRenderedPageBreak/>
        <w:t>todas sus peticiones, esto es, dijo la d</w:t>
      </w:r>
      <w:r>
        <w:rPr>
          <w:lang w:val="es-MX"/>
        </w:rPr>
        <w:t>e</w:t>
      </w:r>
      <w:r>
        <w:rPr>
          <w:lang w:val="es-MX"/>
        </w:rPr>
        <w:t>fensa, una nueva extorsión en la causa efectuada directamente por el magi</w:t>
      </w:r>
      <w:r>
        <w:rPr>
          <w:lang w:val="es-MX"/>
        </w:rPr>
        <w:t>s</w:t>
      </w:r>
      <w:r>
        <w:rPr>
          <w:lang w:val="es-MX"/>
        </w:rPr>
        <w:t>trado instructor. Es por eso que en tono sarcástico y t</w:t>
      </w:r>
      <w:r>
        <w:rPr>
          <w:lang w:val="es-MX"/>
        </w:rPr>
        <w:t>í</w:t>
      </w:r>
      <w:r>
        <w:rPr>
          <w:lang w:val="es-MX"/>
        </w:rPr>
        <w:t>pico de la mafia, el secretario De Gamas expresó a su asistido que “el estúpido de Bottegal no quiso declarar bajo identidad reservada y quedó preso. Si hubiera acept</w:t>
      </w:r>
      <w:r>
        <w:rPr>
          <w:lang w:val="es-MX"/>
        </w:rPr>
        <w:t>a</w:t>
      </w:r>
      <w:r>
        <w:rPr>
          <w:lang w:val="es-MX"/>
        </w:rPr>
        <w:t>do, estaría como Semorile”. Aclaró que Bottegal había of</w:t>
      </w:r>
      <w:r>
        <w:rPr>
          <w:lang w:val="es-MX"/>
        </w:rPr>
        <w:t>i</w:t>
      </w:r>
      <w:r>
        <w:rPr>
          <w:lang w:val="es-MX"/>
        </w:rPr>
        <w:t xml:space="preserve">ciado de abogado de Telleldín frente a </w:t>
      </w:r>
      <w:smartTag w:uri="urn:schemas-microsoft-com:office:smarttags" w:element="PersonName">
        <w:smartTagPr>
          <w:attr w:name="ProductID" w:val="la Brigada"/>
        </w:smartTagPr>
        <w:r>
          <w:rPr>
            <w:lang w:val="es-MX"/>
          </w:rPr>
          <w:t>la Brigada</w:t>
        </w:r>
      </w:smartTag>
      <w:r>
        <w:rPr>
          <w:lang w:val="es-MX"/>
        </w:rPr>
        <w:t xml:space="preserve"> de V</w:t>
      </w:r>
      <w:r>
        <w:rPr>
          <w:lang w:val="es-MX"/>
        </w:rPr>
        <w:t>i</w:t>
      </w:r>
      <w:r>
        <w:rPr>
          <w:lang w:val="es-MX"/>
        </w:rPr>
        <w:t>cente López por la extorsión sufrida el día 14 de julio de 1994.</w:t>
      </w:r>
    </w:p>
    <w:p w:rsidR="00224567" w:rsidRDefault="00224567">
      <w:pPr>
        <w:widowControl w:val="0"/>
        <w:rPr>
          <w:lang w:val="es-MX"/>
        </w:rPr>
      </w:pPr>
      <w:r>
        <w:rPr>
          <w:lang w:val="es-MX"/>
        </w:rPr>
        <w:tab/>
        <w:t>De este modo, adujo la defensa, Sem</w:t>
      </w:r>
      <w:r>
        <w:rPr>
          <w:lang w:val="es-MX"/>
        </w:rPr>
        <w:t>o</w:t>
      </w:r>
      <w:r>
        <w:rPr>
          <w:lang w:val="es-MX"/>
        </w:rPr>
        <w:t>rile colaboró con el juzgado en armar prueba en c</w:t>
      </w:r>
      <w:r>
        <w:rPr>
          <w:lang w:val="es-MX"/>
        </w:rPr>
        <w:t>o</w:t>
      </w:r>
      <w:r>
        <w:rPr>
          <w:lang w:val="es-MX"/>
        </w:rPr>
        <w:t>ntra de Telleldín, Ribelli y Rago. Contra el pr</w:t>
      </w:r>
      <w:r>
        <w:rPr>
          <w:lang w:val="es-MX"/>
        </w:rPr>
        <w:t>i</w:t>
      </w:r>
      <w:r>
        <w:rPr>
          <w:lang w:val="es-MX"/>
        </w:rPr>
        <w:t>mero, acercó a sus entonces clientes Miriam Salinas, Pablo Ibáñez y Hebert Núñez -que eran del entorno de su mujer y que tenían una enemistad manifiesta en su contra- para que declaren fa</w:t>
      </w:r>
      <w:r>
        <w:rPr>
          <w:lang w:val="es-MX"/>
        </w:rPr>
        <w:t>l</w:t>
      </w:r>
      <w:r>
        <w:rPr>
          <w:lang w:val="es-MX"/>
        </w:rPr>
        <w:t>samente en contra de Telle</w:t>
      </w:r>
      <w:r>
        <w:rPr>
          <w:lang w:val="es-MX"/>
        </w:rPr>
        <w:t>l</w:t>
      </w:r>
      <w:r>
        <w:rPr>
          <w:lang w:val="es-MX"/>
        </w:rPr>
        <w:t>dín.</w:t>
      </w:r>
    </w:p>
    <w:p w:rsidR="00224567" w:rsidRDefault="00224567">
      <w:pPr>
        <w:widowControl w:val="0"/>
        <w:ind w:firstLine="2835"/>
        <w:rPr>
          <w:lang w:val="es-MX"/>
        </w:rPr>
      </w:pPr>
      <w:r>
        <w:rPr>
          <w:lang w:val="es-MX"/>
        </w:rPr>
        <w:t>Consideró que Semorile colaboró en e</w:t>
      </w:r>
      <w:r>
        <w:rPr>
          <w:lang w:val="es-MX"/>
        </w:rPr>
        <w:t>s</w:t>
      </w:r>
      <w:r>
        <w:rPr>
          <w:lang w:val="es-MX"/>
        </w:rPr>
        <w:t>ta causa a cambio de no ser imputado como partícipe nec</w:t>
      </w:r>
      <w:r>
        <w:rPr>
          <w:lang w:val="es-MX"/>
        </w:rPr>
        <w:t>e</w:t>
      </w:r>
      <w:r>
        <w:rPr>
          <w:lang w:val="es-MX"/>
        </w:rPr>
        <w:t xml:space="preserve">sario en el hecho extorsivo cometido por </w:t>
      </w:r>
      <w:smartTag w:uri="urn:schemas-microsoft-com:office:smarttags" w:element="PersonName">
        <w:smartTagPr>
          <w:attr w:name="ProductID" w:val="la Brigada"/>
        </w:smartTagPr>
        <w:r>
          <w:rPr>
            <w:lang w:val="es-MX"/>
          </w:rPr>
          <w:t>la Brigada</w:t>
        </w:r>
      </w:smartTag>
      <w:r>
        <w:rPr>
          <w:lang w:val="es-MX"/>
        </w:rPr>
        <w:t xml:space="preserve"> de L</w:t>
      </w:r>
      <w:r>
        <w:rPr>
          <w:lang w:val="es-MX"/>
        </w:rPr>
        <w:t>a</w:t>
      </w:r>
      <w:r>
        <w:rPr>
          <w:lang w:val="es-MX"/>
        </w:rPr>
        <w:lastRenderedPageBreak/>
        <w:t>nús y, probablemente, para no ser investigado en todas las sospechas que tenía Telleldín sobre él en r</w:t>
      </w:r>
      <w:r>
        <w:rPr>
          <w:lang w:val="es-MX"/>
        </w:rPr>
        <w:t>e</w:t>
      </w:r>
      <w:r>
        <w:rPr>
          <w:lang w:val="es-MX"/>
        </w:rPr>
        <w:t xml:space="preserve">lación con el atentado. Además, dijo que trabajó como informante del agente de </w:t>
      </w:r>
      <w:smartTag w:uri="urn:schemas-microsoft-com:office:smarttags" w:element="PersonName">
        <w:smartTagPr>
          <w:attr w:name="ProductID" w:val="la S.I"/>
        </w:smartTagPr>
        <w:r>
          <w:rPr>
            <w:lang w:val="es-MX"/>
          </w:rPr>
          <w:t>la S.I</w:t>
        </w:r>
      </w:smartTag>
      <w:r>
        <w:rPr>
          <w:lang w:val="es-MX"/>
        </w:rPr>
        <w:t>.D.E. Luis González, alias Pinocho, que a partir de 1995 fue la mano derecha del juez instructor.</w:t>
      </w:r>
    </w:p>
    <w:p w:rsidR="00224567" w:rsidRDefault="00224567">
      <w:pPr>
        <w:widowControl w:val="0"/>
        <w:rPr>
          <w:lang w:val="es-MX"/>
        </w:rPr>
      </w:pPr>
      <w:r>
        <w:rPr>
          <w:lang w:val="es-MX"/>
        </w:rPr>
        <w:tab/>
        <w:t>Por otra parte, la defensa entendió que se presionó a los testigos aludidos para que acc</w:t>
      </w:r>
      <w:r>
        <w:rPr>
          <w:lang w:val="es-MX"/>
        </w:rPr>
        <w:t>e</w:t>
      </w:r>
      <w:r>
        <w:rPr>
          <w:lang w:val="es-MX"/>
        </w:rPr>
        <w:t>dan a las peticiones del juez. Por esa razón, dedujo, Ibáñez t</w:t>
      </w:r>
      <w:r>
        <w:rPr>
          <w:lang w:val="es-MX"/>
        </w:rPr>
        <w:t>o</w:t>
      </w:r>
      <w:r>
        <w:rPr>
          <w:lang w:val="es-MX"/>
        </w:rPr>
        <w:t>davía continúa imputado por el atentado, con falta de m</w:t>
      </w:r>
      <w:r>
        <w:rPr>
          <w:lang w:val="es-MX"/>
        </w:rPr>
        <w:t>é</w:t>
      </w:r>
      <w:r>
        <w:rPr>
          <w:lang w:val="es-MX"/>
        </w:rPr>
        <w:t>rito.</w:t>
      </w:r>
    </w:p>
    <w:p w:rsidR="00224567" w:rsidRDefault="00224567">
      <w:pPr>
        <w:widowControl w:val="0"/>
        <w:rPr>
          <w:lang w:val="es-MX"/>
        </w:rPr>
      </w:pPr>
      <w:r>
        <w:rPr>
          <w:lang w:val="es-MX"/>
        </w:rPr>
        <w:tab/>
        <w:t>En ese orden de ideas, consideró que se allanó el domicilio de Ibáñez y Salinas, encargándose la diligencia al comisario Salguero, quién ingresó a la investigación de mano de los fiscales. En el cateo se s</w:t>
      </w:r>
      <w:r>
        <w:rPr>
          <w:lang w:val="es-MX"/>
        </w:rPr>
        <w:t>e</w:t>
      </w:r>
      <w:r>
        <w:rPr>
          <w:lang w:val="es-MX"/>
        </w:rPr>
        <w:t xml:space="preserve">cuestraron </w:t>
      </w:r>
      <w:smartTag w:uri="urn:schemas-microsoft-com:office:smarttags" w:element="metricconverter">
        <w:smartTagPr>
          <w:attr w:name="ProductID" w:val="483 gramos"/>
        </w:smartTagPr>
        <w:r>
          <w:rPr>
            <w:lang w:val="es-MX"/>
          </w:rPr>
          <w:t>483 gramos</w:t>
        </w:r>
      </w:smartTag>
      <w:r>
        <w:rPr>
          <w:lang w:val="es-MX"/>
        </w:rPr>
        <w:t xml:space="preserve"> de cocaína (según el acta de fs. 18.569), lo que significaba una considerable cantidad de dosis y constituía un motivo para presionar a Ibáñez y a su mujer para que declaren como el juez instructor les r</w:t>
      </w:r>
      <w:r>
        <w:rPr>
          <w:lang w:val="es-MX"/>
        </w:rPr>
        <w:t>e</w:t>
      </w:r>
      <w:r>
        <w:rPr>
          <w:lang w:val="es-MX"/>
        </w:rPr>
        <w:t>quería.</w:t>
      </w:r>
    </w:p>
    <w:p w:rsidR="00224567" w:rsidRDefault="00224567">
      <w:pPr>
        <w:widowControl w:val="0"/>
        <w:rPr>
          <w:lang w:val="es-MX"/>
        </w:rPr>
      </w:pPr>
      <w:r>
        <w:rPr>
          <w:lang w:val="es-MX"/>
        </w:rPr>
        <w:tab/>
        <w:t xml:space="preserve">Refirió que el allanamiento se había realizado con la finalidad de buscar elementos de prueba </w:t>
      </w:r>
      <w:r>
        <w:rPr>
          <w:lang w:val="es-MX"/>
        </w:rPr>
        <w:lastRenderedPageBreak/>
        <w:t>relacionados con el hecho motivo de juzg</w:t>
      </w:r>
      <w:r>
        <w:rPr>
          <w:lang w:val="es-MX"/>
        </w:rPr>
        <w:t>a</w:t>
      </w:r>
      <w:r>
        <w:rPr>
          <w:lang w:val="es-MX"/>
        </w:rPr>
        <w:t>miento y, a pesar de no encontrar ningún elemento de interés, a a</w:t>
      </w:r>
      <w:r>
        <w:rPr>
          <w:lang w:val="es-MX"/>
        </w:rPr>
        <w:t>m</w:t>
      </w:r>
      <w:r>
        <w:rPr>
          <w:lang w:val="es-MX"/>
        </w:rPr>
        <w:t>bos se les imputó la participación necesaria en el atentado; inte</w:t>
      </w:r>
      <w:r>
        <w:rPr>
          <w:lang w:val="es-MX"/>
        </w:rPr>
        <w:t>r</w:t>
      </w:r>
      <w:r>
        <w:rPr>
          <w:lang w:val="es-MX"/>
        </w:rPr>
        <w:t>pretación que, a juicio de la defensa, fue utilizado por el magistrado como un método de pr</w:t>
      </w:r>
      <w:r>
        <w:rPr>
          <w:lang w:val="es-MX"/>
        </w:rPr>
        <w:t>e</w:t>
      </w:r>
      <w:r>
        <w:rPr>
          <w:lang w:val="es-MX"/>
        </w:rPr>
        <w:t>sión.</w:t>
      </w:r>
    </w:p>
    <w:p w:rsidR="00224567" w:rsidRDefault="00224567">
      <w:pPr>
        <w:widowControl w:val="0"/>
        <w:ind w:firstLine="2835"/>
        <w:rPr>
          <w:lang w:val="es-MX"/>
        </w:rPr>
      </w:pPr>
      <w:r>
        <w:rPr>
          <w:lang w:val="es-MX"/>
        </w:rPr>
        <w:t>Indicó que ambos se negaron a decl</w:t>
      </w:r>
      <w:r>
        <w:rPr>
          <w:lang w:val="es-MX"/>
        </w:rPr>
        <w:t>a</w:t>
      </w:r>
      <w:r>
        <w:rPr>
          <w:lang w:val="es-MX"/>
        </w:rPr>
        <w:t>rar (fs. 16.861 y fs. 16.863); oportunidad en la que fueron asistidos por el abogado Gustavo Semorile. No obstante, sin haber cambiado en nada la imputación que se le efe</w:t>
      </w:r>
      <w:r>
        <w:rPr>
          <w:lang w:val="es-MX"/>
        </w:rPr>
        <w:t>c</w:t>
      </w:r>
      <w:r>
        <w:rPr>
          <w:lang w:val="es-MX"/>
        </w:rPr>
        <w:t>tuó y sin ninguna prueba que demostrara su inocencia, Miriam Salinas fue automáticamente  sobr</w:t>
      </w:r>
      <w:r>
        <w:rPr>
          <w:lang w:val="es-MX"/>
        </w:rPr>
        <w:t>e</w:t>
      </w:r>
      <w:r>
        <w:rPr>
          <w:lang w:val="es-MX"/>
        </w:rPr>
        <w:t>seída, previo permanecer encerrada en las dependencias de la fiscalía por más de 24 horas.</w:t>
      </w:r>
    </w:p>
    <w:p w:rsidR="00224567" w:rsidRDefault="00224567">
      <w:pPr>
        <w:widowControl w:val="0"/>
        <w:rPr>
          <w:lang w:val="es-MX"/>
        </w:rPr>
      </w:pPr>
      <w:r>
        <w:rPr>
          <w:lang w:val="es-MX"/>
        </w:rPr>
        <w:tab/>
        <w:t>En el juicio, Salinas declaró que no le fue permitido ver a su marido, ni llamar por teléfono para comunicar su situación a algún familiar y que la i</w:t>
      </w:r>
      <w:r>
        <w:rPr>
          <w:lang w:val="es-MX"/>
        </w:rPr>
        <w:t>n</w:t>
      </w:r>
      <w:r>
        <w:rPr>
          <w:lang w:val="es-MX"/>
        </w:rPr>
        <w:t>terrogaron incesantemente sobre cosas que no tenía ni idea; es más, añadió, en el juzgado la atormentaron con las conversaciones que había mantenido con Boragni acerca de sus relaciones sexuales. Por su parte, el abogado Sem</w:t>
      </w:r>
      <w:r>
        <w:rPr>
          <w:lang w:val="es-MX"/>
        </w:rPr>
        <w:t>o</w:t>
      </w:r>
      <w:r>
        <w:rPr>
          <w:lang w:val="es-MX"/>
        </w:rPr>
        <w:lastRenderedPageBreak/>
        <w:t>rile estuvo presente y nada hizo para detener esa situ</w:t>
      </w:r>
      <w:r>
        <w:rPr>
          <w:lang w:val="es-MX"/>
        </w:rPr>
        <w:t>a</w:t>
      </w:r>
      <w:r>
        <w:rPr>
          <w:lang w:val="es-MX"/>
        </w:rPr>
        <w:t>ción de tormento psicológico, constitutiva de apremios ilegales.</w:t>
      </w:r>
    </w:p>
    <w:p w:rsidR="00224567" w:rsidRDefault="00224567">
      <w:pPr>
        <w:widowControl w:val="0"/>
        <w:rPr>
          <w:lang w:val="es-MX"/>
        </w:rPr>
      </w:pPr>
      <w:r>
        <w:rPr>
          <w:lang w:val="es-MX"/>
        </w:rPr>
        <w:tab/>
        <w:t>Continuó mencionando la defensa que antes de encontrarse firme el sobreseimiento se tran</w:t>
      </w:r>
      <w:r>
        <w:rPr>
          <w:lang w:val="es-MX"/>
        </w:rPr>
        <w:t>s</w:t>
      </w:r>
      <w:r>
        <w:rPr>
          <w:lang w:val="es-MX"/>
        </w:rPr>
        <w:t>formó en testigo de identidad reservada y que su declaración también se filmó, según los dichos de Lifschitz y del fi</w:t>
      </w:r>
      <w:r>
        <w:rPr>
          <w:lang w:val="es-MX"/>
        </w:rPr>
        <w:t>s</w:t>
      </w:r>
      <w:r>
        <w:rPr>
          <w:lang w:val="es-MX"/>
        </w:rPr>
        <w:t>cal Barbaccia a fs. 5488 vta. de la causa 9789, que rec</w:t>
      </w:r>
      <w:r>
        <w:rPr>
          <w:lang w:val="es-MX"/>
        </w:rPr>
        <w:t>o</w:t>
      </w:r>
      <w:r>
        <w:rPr>
          <w:lang w:val="es-MX"/>
        </w:rPr>
        <w:t>noció que se efectuó en d</w:t>
      </w:r>
      <w:r>
        <w:rPr>
          <w:lang w:val="es-MX"/>
        </w:rPr>
        <w:t>e</w:t>
      </w:r>
      <w:r>
        <w:rPr>
          <w:lang w:val="es-MX"/>
        </w:rPr>
        <w:t>pendencias de la fiscalía.</w:t>
      </w:r>
    </w:p>
    <w:p w:rsidR="00224567" w:rsidRDefault="00224567">
      <w:pPr>
        <w:widowControl w:val="0"/>
        <w:ind w:firstLine="2835"/>
        <w:rPr>
          <w:lang w:val="es-MX"/>
        </w:rPr>
      </w:pPr>
      <w:r>
        <w:rPr>
          <w:lang w:val="es-MX"/>
        </w:rPr>
        <w:t>El extremo, dijo la defensa, demo</w:t>
      </w:r>
      <w:r>
        <w:rPr>
          <w:lang w:val="es-MX"/>
        </w:rPr>
        <w:t>s</w:t>
      </w:r>
      <w:r>
        <w:rPr>
          <w:lang w:val="es-MX"/>
        </w:rPr>
        <w:t>tró que también Mullen y Barbaccia estaban en conoc</w:t>
      </w:r>
      <w:r>
        <w:rPr>
          <w:lang w:val="es-MX"/>
        </w:rPr>
        <w:t>i</w:t>
      </w:r>
      <w:r>
        <w:rPr>
          <w:lang w:val="es-MX"/>
        </w:rPr>
        <w:t>miento de las maniobras de privación ilegal de la libertad, apremios ilegales y torturas psicológicas ejercidas c</w:t>
      </w:r>
      <w:r>
        <w:rPr>
          <w:lang w:val="es-MX"/>
        </w:rPr>
        <w:t>o</w:t>
      </w:r>
      <w:r>
        <w:rPr>
          <w:lang w:val="es-MX"/>
        </w:rPr>
        <w:t>ntra Salinas y, en lugar de denu</w:t>
      </w:r>
      <w:r>
        <w:rPr>
          <w:lang w:val="es-MX"/>
        </w:rPr>
        <w:t>n</w:t>
      </w:r>
      <w:r>
        <w:rPr>
          <w:lang w:val="es-MX"/>
        </w:rPr>
        <w:t>ciarlo, fueron parte y encubridores de la situ</w:t>
      </w:r>
      <w:r>
        <w:rPr>
          <w:lang w:val="es-MX"/>
        </w:rPr>
        <w:t>a</w:t>
      </w:r>
      <w:r>
        <w:rPr>
          <w:lang w:val="es-MX"/>
        </w:rPr>
        <w:t>ción.</w:t>
      </w:r>
    </w:p>
    <w:p w:rsidR="00224567" w:rsidRDefault="00224567">
      <w:pPr>
        <w:widowControl w:val="0"/>
        <w:rPr>
          <w:lang w:val="es-MX"/>
        </w:rPr>
      </w:pPr>
      <w:r>
        <w:rPr>
          <w:lang w:val="es-MX"/>
        </w:rPr>
        <w:tab/>
        <w:t>Dijo que las presiones tenían como f</w:t>
      </w:r>
      <w:r>
        <w:rPr>
          <w:lang w:val="es-MX"/>
        </w:rPr>
        <w:t>i</w:t>
      </w:r>
      <w:r>
        <w:rPr>
          <w:lang w:val="es-MX"/>
        </w:rPr>
        <w:t>nalidad lograr una declaración de Salinas en contra de Ana Boragni, Telleldín y Alejandro Monjo, intentando relaci</w:t>
      </w:r>
      <w:r>
        <w:rPr>
          <w:lang w:val="es-MX"/>
        </w:rPr>
        <w:t>o</w:t>
      </w:r>
      <w:r>
        <w:rPr>
          <w:lang w:val="es-MX"/>
        </w:rPr>
        <w:t>nar a estas personas con el atentado e inventa</w:t>
      </w:r>
      <w:r>
        <w:rPr>
          <w:lang w:val="es-MX"/>
        </w:rPr>
        <w:t>n</w:t>
      </w:r>
      <w:r>
        <w:rPr>
          <w:lang w:val="es-MX"/>
        </w:rPr>
        <w:t>do un viaje al Paraguay que después, en el juicio, la testigo rectif</w:t>
      </w:r>
      <w:r>
        <w:rPr>
          <w:lang w:val="es-MX"/>
        </w:rPr>
        <w:t>i</w:t>
      </w:r>
      <w:r>
        <w:rPr>
          <w:lang w:val="es-MX"/>
        </w:rPr>
        <w:t>có. Además, se la convenció para que grabara en forma s</w:t>
      </w:r>
      <w:r>
        <w:rPr>
          <w:lang w:val="es-MX"/>
        </w:rPr>
        <w:t>u</w:t>
      </w:r>
      <w:r>
        <w:rPr>
          <w:lang w:val="es-MX"/>
        </w:rPr>
        <w:lastRenderedPageBreak/>
        <w:t>brepticia a su entonces amiga Bora</w:t>
      </w:r>
      <w:r>
        <w:rPr>
          <w:lang w:val="es-MX"/>
        </w:rPr>
        <w:t>g</w:t>
      </w:r>
      <w:r>
        <w:rPr>
          <w:lang w:val="es-MX"/>
        </w:rPr>
        <w:t>ni y a Hugo Pérez.</w:t>
      </w:r>
    </w:p>
    <w:p w:rsidR="00224567" w:rsidRDefault="00224567">
      <w:pPr>
        <w:widowControl w:val="0"/>
        <w:rPr>
          <w:lang w:val="es-MX"/>
        </w:rPr>
      </w:pPr>
      <w:r>
        <w:rPr>
          <w:lang w:val="es-MX"/>
        </w:rPr>
        <w:tab/>
        <w:t>Consideró la letrada que Salinas acc</w:t>
      </w:r>
      <w:r>
        <w:rPr>
          <w:lang w:val="es-MX"/>
        </w:rPr>
        <w:t>e</w:t>
      </w:r>
      <w:r>
        <w:rPr>
          <w:lang w:val="es-MX"/>
        </w:rPr>
        <w:t>dió a los requerimientos en virtud de la terrible situ</w:t>
      </w:r>
      <w:r>
        <w:rPr>
          <w:lang w:val="es-MX"/>
        </w:rPr>
        <w:t>a</w:t>
      </w:r>
      <w:r>
        <w:rPr>
          <w:lang w:val="es-MX"/>
        </w:rPr>
        <w:t>ción que padeció en el juzgado y, ad</w:t>
      </w:r>
      <w:r>
        <w:rPr>
          <w:lang w:val="es-MX"/>
        </w:rPr>
        <w:t>e</w:t>
      </w:r>
      <w:r>
        <w:rPr>
          <w:lang w:val="es-MX"/>
        </w:rPr>
        <w:t>más, porque su marido se encontraba detenido, razón que la determ</w:t>
      </w:r>
      <w:r>
        <w:rPr>
          <w:lang w:val="es-MX"/>
        </w:rPr>
        <w:t>i</w:t>
      </w:r>
      <w:r>
        <w:rPr>
          <w:lang w:val="es-MX"/>
        </w:rPr>
        <w:t>nó a “entregar a su amiga y acceder a cualquier pet</w:t>
      </w:r>
      <w:r>
        <w:rPr>
          <w:lang w:val="es-MX"/>
        </w:rPr>
        <w:t>i</w:t>
      </w:r>
      <w:r>
        <w:rPr>
          <w:lang w:val="es-MX"/>
        </w:rPr>
        <w:t>ción”, aún a costa de incurrir en un falso testimonio.</w:t>
      </w:r>
    </w:p>
    <w:p w:rsidR="00224567" w:rsidRDefault="00224567">
      <w:pPr>
        <w:widowControl w:val="0"/>
        <w:rPr>
          <w:lang w:val="es-MX"/>
        </w:rPr>
      </w:pPr>
      <w:r>
        <w:rPr>
          <w:lang w:val="es-MX"/>
        </w:rPr>
        <w:tab/>
        <w:t>Mencionó que Ibáñez, por su pa</w:t>
      </w:r>
      <w:r>
        <w:rPr>
          <w:lang w:val="es-MX"/>
        </w:rPr>
        <w:t>r</w:t>
      </w:r>
      <w:r>
        <w:rPr>
          <w:lang w:val="es-MX"/>
        </w:rPr>
        <w:t>te, aún estando imputado por el atentado, declaró en el mismo l</w:t>
      </w:r>
      <w:r>
        <w:rPr>
          <w:lang w:val="es-MX"/>
        </w:rPr>
        <w:t>e</w:t>
      </w:r>
      <w:r>
        <w:rPr>
          <w:lang w:val="es-MX"/>
        </w:rPr>
        <w:t>gajo también como testigo de identidad reservada. Dijo que, en su caso, más encubierto aún, atento que se le asignó para identificarlo la misma letra que su mujer -la “K”- siendo su declaración casi un calco de la de su esp</w:t>
      </w:r>
      <w:r>
        <w:rPr>
          <w:lang w:val="es-MX"/>
        </w:rPr>
        <w:t>o</w:t>
      </w:r>
      <w:r>
        <w:rPr>
          <w:lang w:val="es-MX"/>
        </w:rPr>
        <w:t>sa.</w:t>
      </w:r>
    </w:p>
    <w:p w:rsidR="00224567" w:rsidRDefault="00224567">
      <w:pPr>
        <w:widowControl w:val="0"/>
        <w:rPr>
          <w:lang w:val="es-MX"/>
        </w:rPr>
      </w:pPr>
      <w:r>
        <w:rPr>
          <w:lang w:val="es-MX"/>
        </w:rPr>
        <w:tab/>
        <w:t>La defensa entendió que existían más elementos que autorizan a declarar la nulidad de la decl</w:t>
      </w:r>
      <w:r>
        <w:rPr>
          <w:lang w:val="es-MX"/>
        </w:rPr>
        <w:t>a</w:t>
      </w:r>
      <w:r>
        <w:rPr>
          <w:lang w:val="es-MX"/>
        </w:rPr>
        <w:t>ración testimonial de Salinas porque fue torturada por el propio juez, los secretarios y fiscales. También requ</w:t>
      </w:r>
      <w:r>
        <w:rPr>
          <w:lang w:val="es-MX"/>
        </w:rPr>
        <w:t>i</w:t>
      </w:r>
      <w:r>
        <w:rPr>
          <w:lang w:val="es-MX"/>
        </w:rPr>
        <w:t>rió la nulidad de la declaración que la nombrada prestó en el debate en ta</w:t>
      </w:r>
      <w:r>
        <w:rPr>
          <w:lang w:val="es-MX"/>
        </w:rPr>
        <w:t>n</w:t>
      </w:r>
      <w:r>
        <w:rPr>
          <w:lang w:val="es-MX"/>
        </w:rPr>
        <w:t xml:space="preserve">to no fue informada que la primera había sido </w:t>
      </w:r>
      <w:r>
        <w:rPr>
          <w:lang w:val="es-MX"/>
        </w:rPr>
        <w:lastRenderedPageBreak/>
        <w:t>anulada, lo que hubiera significado la ausencia de temor de incurrir en falso testimonio. Explicó, además, que si Salinas no declaraba en simil</w:t>
      </w:r>
      <w:r>
        <w:rPr>
          <w:lang w:val="es-MX"/>
        </w:rPr>
        <w:t>a</w:t>
      </w:r>
      <w:r>
        <w:rPr>
          <w:lang w:val="es-MX"/>
        </w:rPr>
        <w:t>res términos que en la etapa anterior, incurría en falso testimonio y si confesaba la presión que ejercieron el juez y su abogado, corría riesgo de que aquél le agravara la situación procesal a su mar</w:t>
      </w:r>
      <w:r>
        <w:rPr>
          <w:lang w:val="es-MX"/>
        </w:rPr>
        <w:t>i</w:t>
      </w:r>
      <w:r>
        <w:rPr>
          <w:lang w:val="es-MX"/>
        </w:rPr>
        <w:t>do, imputándolo como partícipe n</w:t>
      </w:r>
      <w:r>
        <w:rPr>
          <w:lang w:val="es-MX"/>
        </w:rPr>
        <w:t>e</w:t>
      </w:r>
      <w:r>
        <w:rPr>
          <w:lang w:val="es-MX"/>
        </w:rPr>
        <w:t>cesario en el atentado.</w:t>
      </w:r>
    </w:p>
    <w:p w:rsidR="00224567" w:rsidRDefault="00224567">
      <w:pPr>
        <w:widowControl w:val="0"/>
        <w:ind w:firstLine="2835"/>
        <w:rPr>
          <w:lang w:val="es-MX"/>
        </w:rPr>
      </w:pPr>
      <w:r>
        <w:rPr>
          <w:lang w:val="es-MX"/>
        </w:rPr>
        <w:t>En esas condiciones, la testigo no d</w:t>
      </w:r>
      <w:r>
        <w:rPr>
          <w:lang w:val="es-MX"/>
        </w:rPr>
        <w:t>e</w:t>
      </w:r>
      <w:r>
        <w:rPr>
          <w:lang w:val="es-MX"/>
        </w:rPr>
        <w:t>claró con total libertad y, por esa circunstancia, debía ser anulada su declaración.</w:t>
      </w:r>
    </w:p>
    <w:p w:rsidR="00224567" w:rsidRDefault="00224567">
      <w:pPr>
        <w:widowControl w:val="0"/>
        <w:rPr>
          <w:lang w:val="es-MX"/>
        </w:rPr>
      </w:pPr>
      <w:r>
        <w:rPr>
          <w:lang w:val="es-MX"/>
        </w:rPr>
        <w:tab/>
        <w:t>También solicitó que se descarten las valoraciones que efectuaron tanto las querellas A.M.I.A. y D.A.I.A. como la fiscalía de los dichos de Salinas en la instrucción porque a pesar de encontrarse anulada, las partes se remitieron a esa prueba inválida que, de ninguna forma, puede ser utilizada para fundar el alegato.</w:t>
      </w:r>
    </w:p>
    <w:p w:rsidR="00224567" w:rsidRDefault="00224567">
      <w:pPr>
        <w:widowControl w:val="0"/>
        <w:rPr>
          <w:lang w:val="es-MX"/>
        </w:rPr>
      </w:pPr>
      <w:r>
        <w:rPr>
          <w:lang w:val="es-MX"/>
        </w:rPr>
        <w:tab/>
        <w:t>Mencionó que otra colaboración de S</w:t>
      </w:r>
      <w:r>
        <w:rPr>
          <w:lang w:val="es-MX"/>
        </w:rPr>
        <w:t>e</w:t>
      </w:r>
      <w:r>
        <w:rPr>
          <w:lang w:val="es-MX"/>
        </w:rPr>
        <w:t>morile, a cambio de su impunidad, fue la presentación de Hebert Núñez, un amigo de Salinas e Ibáñez y cliente de aquél. Sostuvo que el nombrado también fue utilizado en el armado de la prueba en contra de Telleldín.</w:t>
      </w:r>
    </w:p>
    <w:p w:rsidR="00224567" w:rsidRDefault="00224567">
      <w:pPr>
        <w:widowControl w:val="0"/>
        <w:rPr>
          <w:lang w:val="es-MX"/>
        </w:rPr>
      </w:pPr>
      <w:r>
        <w:rPr>
          <w:lang w:val="es-MX"/>
        </w:rPr>
        <w:lastRenderedPageBreak/>
        <w:tab/>
        <w:t>Dijo que Hebert Núñez, de escaso n</w:t>
      </w:r>
      <w:r>
        <w:rPr>
          <w:lang w:val="es-MX"/>
        </w:rPr>
        <w:t>i</w:t>
      </w:r>
      <w:r>
        <w:rPr>
          <w:lang w:val="es-MX"/>
        </w:rPr>
        <w:t>vel intelectual, ni siquiera pudo declarar en el ju</w:t>
      </w:r>
      <w:r>
        <w:rPr>
          <w:lang w:val="es-MX"/>
        </w:rPr>
        <w:t>i</w:t>
      </w:r>
      <w:r>
        <w:rPr>
          <w:lang w:val="es-MX"/>
        </w:rPr>
        <w:t>cio porque acostumbrado a las promesas y a los tratos en el juzgado de instrucción, solicitó previa a su d</w:t>
      </w:r>
      <w:r>
        <w:rPr>
          <w:lang w:val="es-MX"/>
        </w:rPr>
        <w:t>e</w:t>
      </w:r>
      <w:r>
        <w:rPr>
          <w:lang w:val="es-MX"/>
        </w:rPr>
        <w:t>posición que se le hiciera una constancia para que se le reduzca la pena o que se le otorgue salidas transitorias en otra causa. Al denegársele la petición y en virtud de la reticencia del testigo, se lo arrestó a fin de que recapacitara en su a</w:t>
      </w:r>
      <w:r>
        <w:rPr>
          <w:lang w:val="es-MX"/>
        </w:rPr>
        <w:t>c</w:t>
      </w:r>
      <w:r>
        <w:rPr>
          <w:lang w:val="es-MX"/>
        </w:rPr>
        <w:t>titud. Citado nuevamente, expresó la defensa, volvió a r</w:t>
      </w:r>
      <w:r>
        <w:rPr>
          <w:lang w:val="es-MX"/>
        </w:rPr>
        <w:t>e</w:t>
      </w:r>
      <w:r>
        <w:rPr>
          <w:lang w:val="es-MX"/>
        </w:rPr>
        <w:t>petir sus peticiones y solicitó una entrevista con la fi</w:t>
      </w:r>
      <w:r>
        <w:rPr>
          <w:lang w:val="es-MX"/>
        </w:rPr>
        <w:t>s</w:t>
      </w:r>
      <w:r>
        <w:rPr>
          <w:lang w:val="es-MX"/>
        </w:rPr>
        <w:t>calía.</w:t>
      </w:r>
    </w:p>
    <w:p w:rsidR="00224567" w:rsidRDefault="00224567">
      <w:pPr>
        <w:widowControl w:val="0"/>
        <w:rPr>
          <w:lang w:val="es-MX"/>
        </w:rPr>
      </w:pPr>
      <w:r>
        <w:rPr>
          <w:lang w:val="es-MX"/>
        </w:rPr>
        <w:tab/>
        <w:t>Si bien el testigo no explicó el mot</w:t>
      </w:r>
      <w:r>
        <w:rPr>
          <w:lang w:val="es-MX"/>
        </w:rPr>
        <w:t>i</w:t>
      </w:r>
      <w:r>
        <w:rPr>
          <w:lang w:val="es-MX"/>
        </w:rPr>
        <w:t>vo de su pedido, probablemente, conjeturó la defensa, h</w:t>
      </w:r>
      <w:r>
        <w:rPr>
          <w:lang w:val="es-MX"/>
        </w:rPr>
        <w:t>a</w:t>
      </w:r>
      <w:r>
        <w:rPr>
          <w:lang w:val="es-MX"/>
        </w:rPr>
        <w:t>yan sido los fiscales quienes hicieron los arreglos en la instrucción junto con el juzgado y, por ello, quería r</w:t>
      </w:r>
      <w:r>
        <w:rPr>
          <w:lang w:val="es-MX"/>
        </w:rPr>
        <w:t>e</w:t>
      </w:r>
      <w:r>
        <w:rPr>
          <w:lang w:val="es-MX"/>
        </w:rPr>
        <w:t>clamar alguna promesa incumplida. Frente a la persiste</w:t>
      </w:r>
      <w:r>
        <w:rPr>
          <w:lang w:val="es-MX"/>
        </w:rPr>
        <w:t>n</w:t>
      </w:r>
      <w:r>
        <w:rPr>
          <w:lang w:val="es-MX"/>
        </w:rPr>
        <w:t>te reticencia, dijo, el tribunal dejó sin efecto su declar</w:t>
      </w:r>
      <w:r>
        <w:rPr>
          <w:lang w:val="es-MX"/>
        </w:rPr>
        <w:t>a</w:t>
      </w:r>
      <w:r>
        <w:rPr>
          <w:lang w:val="es-MX"/>
        </w:rPr>
        <w:t>ción.</w:t>
      </w:r>
    </w:p>
    <w:p w:rsidR="00224567" w:rsidRDefault="00224567">
      <w:pPr>
        <w:widowControl w:val="0"/>
        <w:rPr>
          <w:lang w:val="es-MX"/>
        </w:rPr>
      </w:pPr>
      <w:r>
        <w:rPr>
          <w:lang w:val="es-MX"/>
        </w:rPr>
        <w:tab/>
        <w:t xml:space="preserve">Expresó que las escuchas telefónicas practicadas a Hebert Núñez en el marco de otra causa y que </w:t>
      </w:r>
      <w:r>
        <w:rPr>
          <w:lang w:val="es-MX"/>
        </w:rPr>
        <w:lastRenderedPageBreak/>
        <w:t>fueron agregadas a la causa, evidenci</w:t>
      </w:r>
      <w:r>
        <w:rPr>
          <w:lang w:val="es-MX"/>
        </w:rPr>
        <w:t>a</w:t>
      </w:r>
      <w:r>
        <w:rPr>
          <w:lang w:val="es-MX"/>
        </w:rPr>
        <w:t>ron el armado de la maniobra. Así, Hebert Núñez hablando con su madre, pidió que Pablo, en obvia referencia a Pablo Ibáñez, le diga a Gustavo, por Gustavo Semorile, que se presenten en la pr</w:t>
      </w:r>
      <w:r>
        <w:rPr>
          <w:lang w:val="es-MX"/>
        </w:rPr>
        <w:t>i</w:t>
      </w:r>
      <w:r>
        <w:rPr>
          <w:lang w:val="es-MX"/>
        </w:rPr>
        <w:t>sión porque había sido convocado a declarar como testigo en el juicio oral y que, de no hacerlo, se iba a descubrir todo (según fs. 113.369/113.393).</w:t>
      </w:r>
    </w:p>
    <w:p w:rsidR="00224567" w:rsidRDefault="00224567">
      <w:pPr>
        <w:widowControl w:val="0"/>
        <w:ind w:firstLine="2835"/>
        <w:rPr>
          <w:lang w:val="es-MX"/>
        </w:rPr>
      </w:pPr>
      <w:r>
        <w:rPr>
          <w:lang w:val="es-MX"/>
        </w:rPr>
        <w:t>Por esa razón, dedujo la defensa, el testigo no se animó a prestar declaración test</w:t>
      </w:r>
      <w:r>
        <w:rPr>
          <w:lang w:val="es-MX"/>
        </w:rPr>
        <w:t>i</w:t>
      </w:r>
      <w:r>
        <w:rPr>
          <w:lang w:val="es-MX"/>
        </w:rPr>
        <w:t>monial -pese a las claras advertencias del trib</w:t>
      </w:r>
      <w:r>
        <w:rPr>
          <w:lang w:val="es-MX"/>
        </w:rPr>
        <w:t>u</w:t>
      </w:r>
      <w:r>
        <w:rPr>
          <w:lang w:val="es-MX"/>
        </w:rPr>
        <w:t>nal acerca de las consecuencias que su actitud- puesto que “era mejor nega</w:t>
      </w:r>
      <w:r>
        <w:rPr>
          <w:lang w:val="es-MX"/>
        </w:rPr>
        <w:t>r</w:t>
      </w:r>
      <w:r>
        <w:rPr>
          <w:lang w:val="es-MX"/>
        </w:rPr>
        <w:t>se a declarar que confesar que había decl</w:t>
      </w:r>
      <w:r>
        <w:rPr>
          <w:lang w:val="es-MX"/>
        </w:rPr>
        <w:t>a</w:t>
      </w:r>
      <w:r>
        <w:rPr>
          <w:lang w:val="es-MX"/>
        </w:rPr>
        <w:t>rado falsamente en contra de un imput</w:t>
      </w:r>
      <w:r>
        <w:rPr>
          <w:lang w:val="es-MX"/>
        </w:rPr>
        <w:t>a</w:t>
      </w:r>
      <w:r>
        <w:rPr>
          <w:lang w:val="es-MX"/>
        </w:rPr>
        <w:t>do”.</w:t>
      </w:r>
    </w:p>
    <w:p w:rsidR="00224567" w:rsidRDefault="00224567">
      <w:pPr>
        <w:widowControl w:val="0"/>
        <w:rPr>
          <w:lang w:val="es-MX"/>
        </w:rPr>
      </w:pPr>
      <w:r>
        <w:rPr>
          <w:lang w:val="es-MX"/>
        </w:rPr>
        <w:tab/>
        <w:t>La defensa señaló que “después de dar toda esta delincuente colaboración, entregando a sus pr</w:t>
      </w:r>
      <w:r>
        <w:rPr>
          <w:lang w:val="es-MX"/>
        </w:rPr>
        <w:t>o</w:t>
      </w:r>
      <w:r>
        <w:rPr>
          <w:lang w:val="es-MX"/>
        </w:rPr>
        <w:t>pios clientes para los tratos más sucios” e inst</w:t>
      </w:r>
      <w:r>
        <w:rPr>
          <w:lang w:val="es-MX"/>
        </w:rPr>
        <w:t>i</w:t>
      </w:r>
      <w:r>
        <w:rPr>
          <w:lang w:val="es-MX"/>
        </w:rPr>
        <w:t>garlos a cometer falso testimonio, fue el propio Sem</w:t>
      </w:r>
      <w:r>
        <w:rPr>
          <w:lang w:val="es-MX"/>
        </w:rPr>
        <w:t>o</w:t>
      </w:r>
      <w:r>
        <w:rPr>
          <w:lang w:val="es-MX"/>
        </w:rPr>
        <w:t>rile quien se prestó a la maniobra, declarando bajo r</w:t>
      </w:r>
      <w:r>
        <w:rPr>
          <w:lang w:val="es-MX"/>
        </w:rPr>
        <w:t>e</w:t>
      </w:r>
      <w:r>
        <w:rPr>
          <w:lang w:val="es-MX"/>
        </w:rPr>
        <w:t>serva de identidad en contra de Ribelli. Así, el juez, debiendo imputar a S</w:t>
      </w:r>
      <w:r>
        <w:rPr>
          <w:lang w:val="es-MX"/>
        </w:rPr>
        <w:t>e</w:t>
      </w:r>
      <w:r>
        <w:rPr>
          <w:lang w:val="es-MX"/>
        </w:rPr>
        <w:t xml:space="preserve">morile la extorsión de </w:t>
      </w:r>
      <w:smartTag w:uri="urn:schemas-microsoft-com:office:smarttags" w:element="PersonName">
        <w:smartTagPr>
          <w:attr w:name="ProductID" w:val="la Brigada"/>
        </w:smartTagPr>
        <w:r>
          <w:rPr>
            <w:lang w:val="es-MX"/>
          </w:rPr>
          <w:t>la Brigada</w:t>
        </w:r>
      </w:smartTag>
      <w:r>
        <w:rPr>
          <w:lang w:val="es-MX"/>
        </w:rPr>
        <w:t xml:space="preserve"> de Lanús, le tomó decl</w:t>
      </w:r>
      <w:r>
        <w:rPr>
          <w:lang w:val="es-MX"/>
        </w:rPr>
        <w:t>a</w:t>
      </w:r>
      <w:r>
        <w:rPr>
          <w:lang w:val="es-MX"/>
        </w:rPr>
        <w:t xml:space="preserve">ración testimonial en la que se arreglaron y convinieron </w:t>
      </w:r>
      <w:r>
        <w:rPr>
          <w:lang w:val="es-MX"/>
        </w:rPr>
        <w:lastRenderedPageBreak/>
        <w:t>los términos.</w:t>
      </w:r>
    </w:p>
    <w:p w:rsidR="00224567" w:rsidRDefault="00224567">
      <w:pPr>
        <w:widowControl w:val="0"/>
      </w:pPr>
      <w:r>
        <w:rPr>
          <w:lang w:val="es-MX"/>
        </w:rPr>
        <w:tab/>
        <w:t>Al ser peguntado Semorile en el deb</w:t>
      </w:r>
      <w:r>
        <w:rPr>
          <w:lang w:val="es-MX"/>
        </w:rPr>
        <w:t>a</w:t>
      </w:r>
      <w:r>
        <w:rPr>
          <w:lang w:val="es-MX"/>
        </w:rPr>
        <w:t>te acerca de la motocicleta Kawasaki que recibió “c</w:t>
      </w:r>
      <w:r>
        <w:rPr>
          <w:lang w:val="es-MX"/>
        </w:rPr>
        <w:t>o</w:t>
      </w:r>
      <w:r>
        <w:rPr>
          <w:lang w:val="es-MX"/>
        </w:rPr>
        <w:t>mo parte del botín” y frente a todo lo que T</w:t>
      </w:r>
      <w:r>
        <w:rPr>
          <w:lang w:val="es-MX"/>
        </w:rPr>
        <w:t>e</w:t>
      </w:r>
      <w:r>
        <w:rPr>
          <w:lang w:val="es-MX"/>
        </w:rPr>
        <w:t>lleldín había hablado en la prensa sobre el tema, éste admitió que tuvo la mot</w:t>
      </w:r>
      <w:r>
        <w:rPr>
          <w:lang w:val="es-MX"/>
        </w:rPr>
        <w:t>o</w:t>
      </w:r>
      <w:r>
        <w:rPr>
          <w:lang w:val="es-MX"/>
        </w:rPr>
        <w:t>cicleta en su poder como parte de pago de los honorarios profesionales. Tal circunstancia, expresó la defensa, no es cierta en tanto en el expediente que tramitó ante la justicia de Gualeguaychú el nombrado no actuó como abog</w:t>
      </w:r>
      <w:r>
        <w:rPr>
          <w:lang w:val="es-MX"/>
        </w:rPr>
        <w:t>a</w:t>
      </w:r>
      <w:r>
        <w:rPr>
          <w:lang w:val="es-MX"/>
        </w:rPr>
        <w:t>do de Telleldín (conforme las constancia agregadas a la causa 9789).</w:t>
      </w:r>
    </w:p>
    <w:p w:rsidR="00224567" w:rsidRDefault="00224567">
      <w:pPr>
        <w:widowControl w:val="0"/>
        <w:ind w:firstLine="2835"/>
        <w:rPr>
          <w:lang w:val="es-MX"/>
        </w:rPr>
      </w:pPr>
      <w:r>
        <w:rPr>
          <w:lang w:val="es-MX"/>
        </w:rPr>
        <w:t>Por lo expuesto, la defensa solicitó que se extraigan testimonios y se remitan a la cám</w:t>
      </w:r>
      <w:r>
        <w:rPr>
          <w:lang w:val="es-MX"/>
        </w:rPr>
        <w:t>a</w:t>
      </w:r>
      <w:r>
        <w:rPr>
          <w:lang w:val="es-MX"/>
        </w:rPr>
        <w:t>ra del fuero a fin de que se investigue la comisión de los del</w:t>
      </w:r>
      <w:r>
        <w:rPr>
          <w:lang w:val="es-MX"/>
        </w:rPr>
        <w:t>i</w:t>
      </w:r>
      <w:r>
        <w:rPr>
          <w:lang w:val="es-MX"/>
        </w:rPr>
        <w:t>tos de encubrimiento, amenaza coactiva, privación ilegít</w:t>
      </w:r>
      <w:r>
        <w:rPr>
          <w:lang w:val="es-MX"/>
        </w:rPr>
        <w:t>i</w:t>
      </w:r>
      <w:r>
        <w:rPr>
          <w:lang w:val="es-MX"/>
        </w:rPr>
        <w:t>ma de la libertad, tortura, instigación al falso testim</w:t>
      </w:r>
      <w:r>
        <w:rPr>
          <w:lang w:val="es-MX"/>
        </w:rPr>
        <w:t>o</w:t>
      </w:r>
      <w:r>
        <w:rPr>
          <w:lang w:val="es-MX"/>
        </w:rPr>
        <w:t>nio agravado, manipulación de la prueba y asociación il</w:t>
      </w:r>
      <w:r>
        <w:rPr>
          <w:lang w:val="es-MX"/>
        </w:rPr>
        <w:t>í</w:t>
      </w:r>
      <w:r>
        <w:rPr>
          <w:lang w:val="es-MX"/>
        </w:rPr>
        <w:t>cita contra Juan José Galeano, los secretarios Susana Sp</w:t>
      </w:r>
      <w:r>
        <w:rPr>
          <w:lang w:val="es-MX"/>
        </w:rPr>
        <w:t>i</w:t>
      </w:r>
      <w:r>
        <w:rPr>
          <w:lang w:val="es-MX"/>
        </w:rPr>
        <w:t>na, Carlos Velasco y Javier De Gamas, los fiscales Eamon Mullen y José Barbaccia, y Gustavo Semorile.</w:t>
      </w:r>
    </w:p>
    <w:p w:rsidR="00224567" w:rsidRDefault="00224567">
      <w:pPr>
        <w:widowControl w:val="0"/>
        <w:rPr>
          <w:lang w:val="es-MX"/>
        </w:rPr>
      </w:pPr>
      <w:r>
        <w:rPr>
          <w:lang w:val="es-MX"/>
        </w:rPr>
        <w:lastRenderedPageBreak/>
        <w:tab/>
        <w:t>La defensa sostuvo, en otro orden de cosas, que los fiscales de mención inventaron una nueva prueba en contra de su asistido, presionando a Ariel Nit</w:t>
      </w:r>
      <w:r>
        <w:rPr>
          <w:lang w:val="es-MX"/>
        </w:rPr>
        <w:t>z</w:t>
      </w:r>
      <w:r>
        <w:rPr>
          <w:lang w:val="es-MX"/>
        </w:rPr>
        <w:t>caner para que modificara su declaración indagat</w:t>
      </w:r>
      <w:r>
        <w:rPr>
          <w:lang w:val="es-MX"/>
        </w:rPr>
        <w:t>o</w:t>
      </w:r>
      <w:r>
        <w:rPr>
          <w:lang w:val="es-MX"/>
        </w:rPr>
        <w:t>ria.</w:t>
      </w:r>
    </w:p>
    <w:p w:rsidR="00224567" w:rsidRDefault="00224567">
      <w:pPr>
        <w:widowControl w:val="0"/>
        <w:rPr>
          <w:lang w:val="es-MX"/>
        </w:rPr>
      </w:pPr>
      <w:r>
        <w:rPr>
          <w:lang w:val="es-MX"/>
        </w:rPr>
        <w:tab/>
        <w:t>Esta vez, dijo, utilizaron prom</w:t>
      </w:r>
      <w:r>
        <w:rPr>
          <w:lang w:val="es-MX"/>
        </w:rPr>
        <w:t>e</w:t>
      </w:r>
      <w:r>
        <w:rPr>
          <w:lang w:val="es-MX"/>
        </w:rPr>
        <w:t>sas y generaron confianza en el imputado para que diga que la camioneta que había reparado no tenía el motor qu</w:t>
      </w:r>
      <w:r>
        <w:rPr>
          <w:lang w:val="es-MX"/>
        </w:rPr>
        <w:t>e</w:t>
      </w:r>
      <w:r>
        <w:rPr>
          <w:lang w:val="es-MX"/>
        </w:rPr>
        <w:t>mado de “Messin”.</w:t>
      </w:r>
    </w:p>
    <w:p w:rsidR="00224567" w:rsidRDefault="00224567">
      <w:pPr>
        <w:widowControl w:val="0"/>
        <w:rPr>
          <w:lang w:val="es-MX"/>
        </w:rPr>
      </w:pPr>
      <w:r>
        <w:rPr>
          <w:lang w:val="es-MX"/>
        </w:rPr>
        <w:tab/>
        <w:t>Expresó que Nitzcaner, una vez deten</w:t>
      </w:r>
      <w:r>
        <w:rPr>
          <w:lang w:val="es-MX"/>
        </w:rPr>
        <w:t>i</w:t>
      </w:r>
      <w:r>
        <w:rPr>
          <w:lang w:val="es-MX"/>
        </w:rPr>
        <w:t xml:space="preserve">do, fue torturado en </w:t>
      </w:r>
      <w:smartTag w:uri="urn:schemas-microsoft-com:office:smarttags" w:element="PersonName">
        <w:smartTagPr>
          <w:attr w:name="ProductID" w:val="la Brigada"/>
        </w:smartTagPr>
        <w:r>
          <w:rPr>
            <w:lang w:val="es-MX"/>
          </w:rPr>
          <w:t>la Brigada</w:t>
        </w:r>
      </w:smartTag>
      <w:r>
        <w:rPr>
          <w:lang w:val="es-MX"/>
        </w:rPr>
        <w:t xml:space="preserve"> de San Martín, co</w:t>
      </w:r>
      <w:r>
        <w:rPr>
          <w:lang w:val="es-MX"/>
        </w:rPr>
        <w:t>n</w:t>
      </w:r>
      <w:r>
        <w:rPr>
          <w:lang w:val="es-MX"/>
        </w:rPr>
        <w:t>forme lo declaró en la audiencia de debate, citando c</w:t>
      </w:r>
      <w:r>
        <w:rPr>
          <w:lang w:val="es-MX"/>
        </w:rPr>
        <w:t>o</w:t>
      </w:r>
      <w:r>
        <w:rPr>
          <w:lang w:val="es-MX"/>
        </w:rPr>
        <w:t>mo prueba de ello las escuchas del teléfono 768-0902 donde su herm</w:t>
      </w:r>
      <w:r>
        <w:rPr>
          <w:lang w:val="es-MX"/>
        </w:rPr>
        <w:t>a</w:t>
      </w:r>
      <w:r>
        <w:rPr>
          <w:lang w:val="es-MX"/>
        </w:rPr>
        <w:t>no y abogado le explicó a Ana Boragni los detalles de la tort</w:t>
      </w:r>
      <w:r>
        <w:rPr>
          <w:lang w:val="es-MX"/>
        </w:rPr>
        <w:t>u</w:t>
      </w:r>
      <w:r>
        <w:rPr>
          <w:lang w:val="es-MX"/>
        </w:rPr>
        <w:t>ra.</w:t>
      </w:r>
    </w:p>
    <w:p w:rsidR="00224567" w:rsidRDefault="00224567">
      <w:pPr>
        <w:pStyle w:val="Textoindependiente"/>
        <w:spacing w:line="600" w:lineRule="auto"/>
      </w:pPr>
      <w:r>
        <w:rPr>
          <w:lang w:val="es-MX"/>
        </w:rPr>
        <w:tab/>
        <w:t>Por otra parte, sostuvo que los fiscales s</w:t>
      </w:r>
      <w:r>
        <w:rPr>
          <w:lang w:val="es-MX"/>
        </w:rPr>
        <w:t>a</w:t>
      </w:r>
      <w:r>
        <w:rPr>
          <w:lang w:val="es-MX"/>
        </w:rPr>
        <w:t xml:space="preserve">bían que podían presionarlo de cualquier forma por cuanto conocían su personalidad a partir de las propias escuchas. Así, mencionó que a fs. 108 de las transcripciones del D.P.O.C., en una conversación entre Boragni y Nitzcaner, mientras relata las torturas, dijo: </w:t>
      </w:r>
      <w:r>
        <w:t>“... Vos sabés lo que es que te boxeen, me dice él, y le d</w:t>
      </w:r>
      <w:r>
        <w:t>i</w:t>
      </w:r>
      <w:r>
        <w:t xml:space="preserve">go hermano que querés </w:t>
      </w:r>
      <w:r>
        <w:lastRenderedPageBreak/>
        <w:t>que te firme, vos escribís la d</w:t>
      </w:r>
      <w:r>
        <w:t>e</w:t>
      </w:r>
      <w:r>
        <w:t>claración y yo te la firmo, me dicen no, quiero que la describas vos y que la firmes vos, y le contesto traeme un papel que te la escribo y te la fi</w:t>
      </w:r>
      <w:r>
        <w:t>r</w:t>
      </w:r>
      <w:r>
        <w:t>mo ya ... yo le dije, mirá te pido un favor loco, yo me hago cargo de todo, pero largame al chapista, me hago cargo de lo que quieras, estos duermen en todo lo que te imaginás, yo te firmo lo que vos quieras, hago lo que vos quieras, pero lárg</w:t>
      </w:r>
      <w:r>
        <w:t>a</w:t>
      </w:r>
      <w:r>
        <w:t>melo es un tipo jovato... colombiano que no tiene radicación, le arruinás la vida me ente</w:t>
      </w:r>
      <w:r>
        <w:t>n</w:t>
      </w:r>
      <w:r>
        <w:t>dés...”.</w:t>
      </w:r>
    </w:p>
    <w:p w:rsidR="00224567" w:rsidRDefault="00224567">
      <w:pPr>
        <w:widowControl w:val="0"/>
        <w:rPr>
          <w:lang w:val="es-MX"/>
        </w:rPr>
      </w:pPr>
      <w:r>
        <w:rPr>
          <w:lang w:val="es-MX"/>
        </w:rPr>
        <w:tab/>
        <w:t>La defensa señaló que en enero de 1995 los fiscales Mullen y Barbaccia llamaron por teléfono a Ariel Nitzcaner, avisando que irían a su casa. Sin la pr</w:t>
      </w:r>
      <w:r>
        <w:rPr>
          <w:lang w:val="es-MX"/>
        </w:rPr>
        <w:t>e</w:t>
      </w:r>
      <w:r>
        <w:rPr>
          <w:lang w:val="es-MX"/>
        </w:rPr>
        <w:t>sencia de su abogado defensor hicieron, según la defe</w:t>
      </w:r>
      <w:r>
        <w:rPr>
          <w:lang w:val="es-MX"/>
        </w:rPr>
        <w:t>n</w:t>
      </w:r>
      <w:r>
        <w:rPr>
          <w:lang w:val="es-MX"/>
        </w:rPr>
        <w:t>sa, un fino trabajo psicológico, generándole confianza para que declarara falsamente en contra de Telleldín.</w:t>
      </w:r>
    </w:p>
    <w:p w:rsidR="00224567" w:rsidRDefault="00224567">
      <w:pPr>
        <w:widowControl w:val="0"/>
        <w:rPr>
          <w:lang w:val="es-MX"/>
        </w:rPr>
      </w:pPr>
      <w:r>
        <w:rPr>
          <w:lang w:val="es-MX"/>
        </w:rPr>
        <w:tab/>
        <w:t>La visita de los fiscales a su casa, relató, fue denunciada por Nitzcaner en el juicio y para acreditarlo se convocó como testigo a la madre del imp</w:t>
      </w:r>
      <w:r>
        <w:rPr>
          <w:lang w:val="es-MX"/>
        </w:rPr>
        <w:t>u</w:t>
      </w:r>
      <w:r>
        <w:rPr>
          <w:lang w:val="es-MX"/>
        </w:rPr>
        <w:t>tado, quien refirió los detalles de la visita, comentando que comieron empanadas en su casa. En esa e</w:t>
      </w:r>
      <w:r>
        <w:rPr>
          <w:lang w:val="es-MX"/>
        </w:rPr>
        <w:t>n</w:t>
      </w:r>
      <w:r>
        <w:rPr>
          <w:lang w:val="es-MX"/>
        </w:rPr>
        <w:t xml:space="preserve">trevista, que </w:t>
      </w:r>
      <w:r>
        <w:rPr>
          <w:lang w:val="es-MX"/>
        </w:rPr>
        <w:lastRenderedPageBreak/>
        <w:t>duró aproximadamente una hora, los representantes del M</w:t>
      </w:r>
      <w:r>
        <w:rPr>
          <w:lang w:val="es-MX"/>
        </w:rPr>
        <w:t>i</w:t>
      </w:r>
      <w:r>
        <w:rPr>
          <w:lang w:val="es-MX"/>
        </w:rPr>
        <w:t>nisterio Público Fiscal explicaron a Nitzcaner que ampli</w:t>
      </w:r>
      <w:r>
        <w:rPr>
          <w:lang w:val="es-MX"/>
        </w:rPr>
        <w:t>a</w:t>
      </w:r>
      <w:r>
        <w:rPr>
          <w:lang w:val="es-MX"/>
        </w:rPr>
        <w:t>ra su declaración indagatoria y conversaron acerca del m</w:t>
      </w:r>
      <w:r>
        <w:rPr>
          <w:lang w:val="es-MX"/>
        </w:rPr>
        <w:t>o</w:t>
      </w:r>
      <w:r>
        <w:rPr>
          <w:lang w:val="es-MX"/>
        </w:rPr>
        <w:t>tor y de la camioneta; esto es, del hecho por el que está imputado.</w:t>
      </w:r>
    </w:p>
    <w:p w:rsidR="00224567" w:rsidRDefault="00224567">
      <w:pPr>
        <w:widowControl w:val="0"/>
        <w:rPr>
          <w:lang w:val="es-MX"/>
        </w:rPr>
      </w:pPr>
      <w:r>
        <w:rPr>
          <w:lang w:val="es-MX"/>
        </w:rPr>
        <w:tab/>
        <w:t>Por su parte, Ariel Nitzcaner en el juicio expresó que los fiscales se presentaron para a</w:t>
      </w:r>
      <w:r>
        <w:rPr>
          <w:lang w:val="es-MX"/>
        </w:rPr>
        <w:t>r</w:t>
      </w:r>
      <w:r>
        <w:rPr>
          <w:lang w:val="es-MX"/>
        </w:rPr>
        <w:t>mar lo que iba a ser la ampliación de la i</w:t>
      </w:r>
      <w:r>
        <w:rPr>
          <w:lang w:val="es-MX"/>
        </w:rPr>
        <w:t>n</w:t>
      </w:r>
      <w:r>
        <w:rPr>
          <w:lang w:val="es-MX"/>
        </w:rPr>
        <w:t>dagatoria.</w:t>
      </w:r>
    </w:p>
    <w:p w:rsidR="00224567" w:rsidRDefault="00224567">
      <w:pPr>
        <w:widowControl w:val="0"/>
        <w:rPr>
          <w:lang w:val="es-MX"/>
        </w:rPr>
      </w:pPr>
      <w:r>
        <w:rPr>
          <w:lang w:val="es-MX"/>
        </w:rPr>
        <w:tab/>
        <w:t>Al día siguiente, según mencionó la defensa, Mullen y Barbaccia enviaron un automóvil con un chofer en su busca. En dependencias de la fiscalía, le e</w:t>
      </w:r>
      <w:r>
        <w:rPr>
          <w:lang w:val="es-MX"/>
        </w:rPr>
        <w:t>x</w:t>
      </w:r>
      <w:r>
        <w:rPr>
          <w:lang w:val="es-MX"/>
        </w:rPr>
        <w:t>hibieron las fotografías del motor de “Messin” para co</w:t>
      </w:r>
      <w:r>
        <w:rPr>
          <w:lang w:val="es-MX"/>
        </w:rPr>
        <w:t>n</w:t>
      </w:r>
      <w:r>
        <w:rPr>
          <w:lang w:val="es-MX"/>
        </w:rPr>
        <w:t>vencerlo que ése no era el que se colocó en la carrocería de la camioneta cuyo titular había sido Pedro Sarapura. Para ello –prosiguió citando sus dichos- se utilizó una lupa y le explicaron que allí se veía “la tapa de cili</w:t>
      </w:r>
      <w:r>
        <w:rPr>
          <w:lang w:val="es-MX"/>
        </w:rPr>
        <w:t>n</w:t>
      </w:r>
      <w:r>
        <w:rPr>
          <w:lang w:val="es-MX"/>
        </w:rPr>
        <w:t>dros y todo el material plástico qu</w:t>
      </w:r>
      <w:r>
        <w:rPr>
          <w:lang w:val="es-MX"/>
        </w:rPr>
        <w:t>e</w:t>
      </w:r>
      <w:r>
        <w:rPr>
          <w:lang w:val="es-MX"/>
        </w:rPr>
        <w:t>mado y derretido como un helado y que el motor que él vio no estaba en esas co</w:t>
      </w:r>
      <w:r>
        <w:rPr>
          <w:lang w:val="es-MX"/>
        </w:rPr>
        <w:t>n</w:t>
      </w:r>
      <w:r>
        <w:rPr>
          <w:lang w:val="es-MX"/>
        </w:rPr>
        <w:t>diciones”. Nitzcaner, en la audiencia, dijo que Mullen h</w:t>
      </w:r>
      <w:r>
        <w:rPr>
          <w:lang w:val="es-MX"/>
        </w:rPr>
        <w:t>i</w:t>
      </w:r>
      <w:r>
        <w:rPr>
          <w:lang w:val="es-MX"/>
        </w:rPr>
        <w:t>zo alarde de la buena idea que había tenido en comprar la lente; luego de ello, se dirigieron al juzgado para a</w:t>
      </w:r>
      <w:r>
        <w:rPr>
          <w:lang w:val="es-MX"/>
        </w:rPr>
        <w:t>m</w:t>
      </w:r>
      <w:r>
        <w:rPr>
          <w:lang w:val="es-MX"/>
        </w:rPr>
        <w:lastRenderedPageBreak/>
        <w:t>pliar la declaración indag</w:t>
      </w:r>
      <w:r>
        <w:rPr>
          <w:lang w:val="es-MX"/>
        </w:rPr>
        <w:t>a</w:t>
      </w:r>
      <w:r>
        <w:rPr>
          <w:lang w:val="es-MX"/>
        </w:rPr>
        <w:t>toria.</w:t>
      </w:r>
    </w:p>
    <w:p w:rsidR="00224567" w:rsidRDefault="00224567">
      <w:pPr>
        <w:widowControl w:val="0"/>
        <w:rPr>
          <w:lang w:val="es-MX"/>
        </w:rPr>
      </w:pPr>
      <w:r>
        <w:rPr>
          <w:lang w:val="es-MX"/>
        </w:rPr>
        <w:tab/>
        <w:t>Dijo que el imputado Nitzcaner decl</w:t>
      </w:r>
      <w:r>
        <w:rPr>
          <w:lang w:val="es-MX"/>
        </w:rPr>
        <w:t>a</w:t>
      </w:r>
      <w:r>
        <w:rPr>
          <w:lang w:val="es-MX"/>
        </w:rPr>
        <w:t>ró en el juicio mirando a la cara a los fiscales Mullen y Barbaccia, recordándoles que en la v</w:t>
      </w:r>
      <w:r>
        <w:rPr>
          <w:lang w:val="es-MX"/>
        </w:rPr>
        <w:t>i</w:t>
      </w:r>
      <w:r>
        <w:rPr>
          <w:lang w:val="es-MX"/>
        </w:rPr>
        <w:t>sita a su casa ellos le habían prometido que si c</w:t>
      </w:r>
      <w:r>
        <w:rPr>
          <w:lang w:val="es-MX"/>
        </w:rPr>
        <w:t>o</w:t>
      </w:r>
      <w:r>
        <w:rPr>
          <w:lang w:val="es-MX"/>
        </w:rPr>
        <w:t xml:space="preserve">laboraba no iba a estar en el juicio; concretamente dijo, ¿Y, doctor, no era que no iba a estar acá?. </w:t>
      </w:r>
    </w:p>
    <w:p w:rsidR="00224567" w:rsidRDefault="00224567">
      <w:pPr>
        <w:widowControl w:val="0"/>
        <w:ind w:firstLine="2835"/>
        <w:rPr>
          <w:lang w:val="es-MX"/>
        </w:rPr>
      </w:pPr>
      <w:r>
        <w:rPr>
          <w:lang w:val="es-MX"/>
        </w:rPr>
        <w:t>Quedó en claro, pues, que esa re</w:t>
      </w:r>
      <w:r>
        <w:rPr>
          <w:lang w:val="es-MX"/>
        </w:rPr>
        <w:t>u</w:t>
      </w:r>
      <w:r>
        <w:rPr>
          <w:lang w:val="es-MX"/>
        </w:rPr>
        <w:t>nión se materializó para armar la declaración que, en definit</w:t>
      </w:r>
      <w:r>
        <w:rPr>
          <w:lang w:val="es-MX"/>
        </w:rPr>
        <w:t>i</w:t>
      </w:r>
      <w:r>
        <w:rPr>
          <w:lang w:val="es-MX"/>
        </w:rPr>
        <w:t>va, se llevó a cabo el día siguie</w:t>
      </w:r>
      <w:r>
        <w:rPr>
          <w:lang w:val="es-MX"/>
        </w:rPr>
        <w:t>n</w:t>
      </w:r>
      <w:r>
        <w:rPr>
          <w:lang w:val="es-MX"/>
        </w:rPr>
        <w:t>te.</w:t>
      </w:r>
    </w:p>
    <w:p w:rsidR="00224567" w:rsidRDefault="00224567">
      <w:pPr>
        <w:widowControl w:val="0"/>
        <w:rPr>
          <w:lang w:val="es-MX"/>
        </w:rPr>
      </w:pPr>
      <w:r>
        <w:rPr>
          <w:lang w:val="es-MX"/>
        </w:rPr>
        <w:tab/>
        <w:t>En esa oportunidad, indicó la defe</w:t>
      </w:r>
      <w:r>
        <w:rPr>
          <w:lang w:val="es-MX"/>
        </w:rPr>
        <w:t>n</w:t>
      </w:r>
      <w:r>
        <w:rPr>
          <w:lang w:val="es-MX"/>
        </w:rPr>
        <w:t>sa, Nitzcaner se refirió al estado del motor que le fue entr</w:t>
      </w:r>
      <w:r>
        <w:rPr>
          <w:lang w:val="es-MX"/>
        </w:rPr>
        <w:t>e</w:t>
      </w:r>
      <w:r>
        <w:rPr>
          <w:lang w:val="es-MX"/>
        </w:rPr>
        <w:t>gado por su asistido y a un supuesto ofrecimiento de un automóvil Renault 12 que le habría efectuado Telleldín p</w:t>
      </w:r>
      <w:r>
        <w:rPr>
          <w:lang w:val="es-MX"/>
        </w:rPr>
        <w:t>a</w:t>
      </w:r>
      <w:r>
        <w:rPr>
          <w:lang w:val="es-MX"/>
        </w:rPr>
        <w:t>ra que declare falsamente en su primer declaración. No obstante, la defensa arguyó que dichas man</w:t>
      </w:r>
      <w:r>
        <w:rPr>
          <w:lang w:val="es-MX"/>
        </w:rPr>
        <w:t>i</w:t>
      </w:r>
      <w:r>
        <w:rPr>
          <w:lang w:val="es-MX"/>
        </w:rPr>
        <w:t>festaciones no fueron vertidas por Nitzcaner, puesto que se utilizó un vocabulario impropio del imputado, a juzgar por su decl</w:t>
      </w:r>
      <w:r>
        <w:rPr>
          <w:lang w:val="es-MX"/>
        </w:rPr>
        <w:t>a</w:t>
      </w:r>
      <w:r>
        <w:rPr>
          <w:lang w:val="es-MX"/>
        </w:rPr>
        <w:t>ración en el debate, y que demuestra, a su ju</w:t>
      </w:r>
      <w:r>
        <w:rPr>
          <w:lang w:val="es-MX"/>
        </w:rPr>
        <w:t>i</w:t>
      </w:r>
      <w:r>
        <w:rPr>
          <w:lang w:val="es-MX"/>
        </w:rPr>
        <w:t>cio, que la declaración fue armada a pedido de los fiscales de la et</w:t>
      </w:r>
      <w:r>
        <w:rPr>
          <w:lang w:val="es-MX"/>
        </w:rPr>
        <w:t>a</w:t>
      </w:r>
      <w:r>
        <w:rPr>
          <w:lang w:val="es-MX"/>
        </w:rPr>
        <w:lastRenderedPageBreak/>
        <w:t>pa anterior.</w:t>
      </w:r>
    </w:p>
    <w:p w:rsidR="00224567" w:rsidRDefault="00224567">
      <w:pPr>
        <w:widowControl w:val="0"/>
        <w:rPr>
          <w:lang w:val="es-MX"/>
        </w:rPr>
      </w:pPr>
      <w:r>
        <w:rPr>
          <w:lang w:val="es-MX"/>
        </w:rPr>
        <w:tab/>
        <w:t>Sostuvo la defensa que si los fisc</w:t>
      </w:r>
      <w:r>
        <w:rPr>
          <w:lang w:val="es-MX"/>
        </w:rPr>
        <w:t>a</w:t>
      </w:r>
      <w:r>
        <w:rPr>
          <w:lang w:val="es-MX"/>
        </w:rPr>
        <w:t>les no hubieran visitado a Nitzcaner y si no lo hubieran tra</w:t>
      </w:r>
      <w:r>
        <w:rPr>
          <w:lang w:val="es-MX"/>
        </w:rPr>
        <w:t>s</w:t>
      </w:r>
      <w:r>
        <w:rPr>
          <w:lang w:val="es-MX"/>
        </w:rPr>
        <w:t>ladado para que ampliara su declaración, el acto no se h</w:t>
      </w:r>
      <w:r>
        <w:rPr>
          <w:lang w:val="es-MX"/>
        </w:rPr>
        <w:t>u</w:t>
      </w:r>
      <w:r>
        <w:rPr>
          <w:lang w:val="es-MX"/>
        </w:rPr>
        <w:t>biera llevado a cabo. Dijo que “nada tenían que hacer los fiscales en la casa de un imputado, entrevistándose con él sin la presencia de sus ab</w:t>
      </w:r>
      <w:r>
        <w:rPr>
          <w:lang w:val="es-MX"/>
        </w:rPr>
        <w:t>o</w:t>
      </w:r>
      <w:r>
        <w:rPr>
          <w:lang w:val="es-MX"/>
        </w:rPr>
        <w:t>gados defensores”.</w:t>
      </w:r>
    </w:p>
    <w:p w:rsidR="00224567" w:rsidRDefault="00224567">
      <w:pPr>
        <w:widowControl w:val="0"/>
        <w:rPr>
          <w:lang w:val="es-MX"/>
        </w:rPr>
      </w:pPr>
      <w:r>
        <w:rPr>
          <w:lang w:val="es-MX"/>
        </w:rPr>
        <w:tab/>
        <w:t>Por todo ello, entendió que se viol</w:t>
      </w:r>
      <w:r>
        <w:rPr>
          <w:lang w:val="es-MX"/>
        </w:rPr>
        <w:t>a</w:t>
      </w:r>
      <w:r>
        <w:rPr>
          <w:lang w:val="es-MX"/>
        </w:rPr>
        <w:t>ron las garantías del debido proceso y la defensa en ju</w:t>
      </w:r>
      <w:r>
        <w:rPr>
          <w:lang w:val="es-MX"/>
        </w:rPr>
        <w:t>i</w:t>
      </w:r>
      <w:r>
        <w:rPr>
          <w:lang w:val="es-MX"/>
        </w:rPr>
        <w:t>cio, verificándose la “absoluta parcialidad y el a</w:t>
      </w:r>
      <w:r>
        <w:rPr>
          <w:lang w:val="es-MX"/>
        </w:rPr>
        <w:t>r</w:t>
      </w:r>
      <w:r>
        <w:rPr>
          <w:lang w:val="es-MX"/>
        </w:rPr>
        <w:t>mado de prueba falsa en contra de un imputado”. En esas condici</w:t>
      </w:r>
      <w:r>
        <w:rPr>
          <w:lang w:val="es-MX"/>
        </w:rPr>
        <w:t>o</w:t>
      </w:r>
      <w:r>
        <w:rPr>
          <w:lang w:val="es-MX"/>
        </w:rPr>
        <w:t>nes, la defensa impetró la nulidad de la declaración ind</w:t>
      </w:r>
      <w:r>
        <w:rPr>
          <w:lang w:val="es-MX"/>
        </w:rPr>
        <w:t>a</w:t>
      </w:r>
      <w:r>
        <w:rPr>
          <w:lang w:val="es-MX"/>
        </w:rPr>
        <w:t>gatoria de Ariel Nitzcaner prestada el 17 de enero de 1995 por contravenir los términos del art. 296 del C.P.P.N. Además, entendió que el imputado declaró bajo la promesa de no llegar a juicio.</w:t>
      </w:r>
    </w:p>
    <w:p w:rsidR="00224567" w:rsidRDefault="00224567">
      <w:pPr>
        <w:widowControl w:val="0"/>
        <w:rPr>
          <w:lang w:val="es-MX"/>
        </w:rPr>
      </w:pPr>
      <w:r>
        <w:rPr>
          <w:lang w:val="es-MX"/>
        </w:rPr>
        <w:tab/>
        <w:t>Expresó que el acto acarrea un perju</w:t>
      </w:r>
      <w:r>
        <w:rPr>
          <w:lang w:val="es-MX"/>
        </w:rPr>
        <w:t>i</w:t>
      </w:r>
      <w:r>
        <w:rPr>
          <w:lang w:val="es-MX"/>
        </w:rPr>
        <w:t>cio directo para la defensa de su asistido, en tanto los dichos de Nitzcaner fueron utilizado en su contra tanto en el procesamiento, como en el auto de elevación de juicio y en las acusaciones finales.</w:t>
      </w:r>
    </w:p>
    <w:p w:rsidR="00224567" w:rsidRDefault="00224567">
      <w:pPr>
        <w:widowControl w:val="0"/>
        <w:ind w:firstLine="2835"/>
        <w:rPr>
          <w:lang w:val="es-MX"/>
        </w:rPr>
      </w:pPr>
      <w:r>
        <w:rPr>
          <w:lang w:val="es-MX"/>
        </w:rPr>
        <w:lastRenderedPageBreak/>
        <w:t>Sin perjuicio de ello, la defensa s</w:t>
      </w:r>
      <w:r>
        <w:rPr>
          <w:lang w:val="es-MX"/>
        </w:rPr>
        <w:t>o</w:t>
      </w:r>
      <w:r>
        <w:rPr>
          <w:lang w:val="es-MX"/>
        </w:rPr>
        <w:t>licitó que se extraigan testimonios a fin de que se inve</w:t>
      </w:r>
      <w:r>
        <w:rPr>
          <w:lang w:val="es-MX"/>
        </w:rPr>
        <w:t>s</w:t>
      </w:r>
      <w:r>
        <w:rPr>
          <w:lang w:val="es-MX"/>
        </w:rPr>
        <w:t>tiguen las conductas de los mencionados fiscales y del juez instructor e incumplimiento de los deberes de funci</w:t>
      </w:r>
      <w:r>
        <w:rPr>
          <w:lang w:val="es-MX"/>
        </w:rPr>
        <w:t>o</w:t>
      </w:r>
      <w:r>
        <w:rPr>
          <w:lang w:val="es-MX"/>
        </w:rPr>
        <w:t>nario público por haber omitido denunciar las torturas s</w:t>
      </w:r>
      <w:r>
        <w:rPr>
          <w:lang w:val="es-MX"/>
        </w:rPr>
        <w:t>u</w:t>
      </w:r>
      <w:r>
        <w:rPr>
          <w:lang w:val="es-MX"/>
        </w:rPr>
        <w:t xml:space="preserve">fridas por Ariel Nitzcaner en </w:t>
      </w:r>
      <w:smartTag w:uri="urn:schemas-microsoft-com:office:smarttags" w:element="PersonName">
        <w:smartTagPr>
          <w:attr w:name="ProductID" w:val="la Brigada"/>
        </w:smartTagPr>
        <w:r>
          <w:rPr>
            <w:lang w:val="es-MX"/>
          </w:rPr>
          <w:t>la Brigada</w:t>
        </w:r>
      </w:smartTag>
      <w:r>
        <w:rPr>
          <w:lang w:val="es-MX"/>
        </w:rPr>
        <w:t xml:space="preserve"> de San Martín.</w:t>
      </w:r>
    </w:p>
    <w:p w:rsidR="00224567" w:rsidRDefault="00224567">
      <w:pPr>
        <w:widowControl w:val="0"/>
        <w:rPr>
          <w:lang w:val="es-MX"/>
        </w:rPr>
      </w:pPr>
      <w:r>
        <w:rPr>
          <w:lang w:val="es-MX"/>
        </w:rPr>
        <w:tab/>
        <w:t>La defensa, por otra parte, sostuvo que la pretensión de la fiscalía de ampliar el proces</w:t>
      </w:r>
      <w:r>
        <w:rPr>
          <w:lang w:val="es-MX"/>
        </w:rPr>
        <w:t>a</w:t>
      </w:r>
      <w:r>
        <w:rPr>
          <w:lang w:val="es-MX"/>
        </w:rPr>
        <w:t>miento de Telleldín y Pérez, como así también de det</w:t>
      </w:r>
      <w:r>
        <w:rPr>
          <w:lang w:val="es-MX"/>
        </w:rPr>
        <w:t>e</w:t>
      </w:r>
      <w:r>
        <w:rPr>
          <w:lang w:val="es-MX"/>
        </w:rPr>
        <w:t>ner a Ana María Boragni, formulada en el mes de junio de 1995, constituyó otra presión a su asistido motivada en el ace</w:t>
      </w:r>
      <w:r>
        <w:rPr>
          <w:lang w:val="es-MX"/>
        </w:rPr>
        <w:t>r</w:t>
      </w:r>
      <w:r>
        <w:rPr>
          <w:lang w:val="es-MX"/>
        </w:rPr>
        <w:t>camiento del primer aniversario del atentado para demo</w:t>
      </w:r>
      <w:r>
        <w:rPr>
          <w:lang w:val="es-MX"/>
        </w:rPr>
        <w:t>s</w:t>
      </w:r>
      <w:r>
        <w:rPr>
          <w:lang w:val="es-MX"/>
        </w:rPr>
        <w:t>trar a la sociedad avances en la pesqu</w:t>
      </w:r>
      <w:r>
        <w:rPr>
          <w:lang w:val="es-MX"/>
        </w:rPr>
        <w:t>i</w:t>
      </w:r>
      <w:r>
        <w:rPr>
          <w:lang w:val="es-MX"/>
        </w:rPr>
        <w:t>sa.</w:t>
      </w:r>
    </w:p>
    <w:p w:rsidR="00224567" w:rsidRDefault="00224567">
      <w:pPr>
        <w:widowControl w:val="0"/>
        <w:ind w:firstLine="2835"/>
        <w:rPr>
          <w:lang w:val="es-MX"/>
        </w:rPr>
      </w:pPr>
      <w:r>
        <w:rPr>
          <w:lang w:val="es-MX"/>
        </w:rPr>
        <w:t>Dijo que el pedido se realizó “con v</w:t>
      </w:r>
      <w:r>
        <w:rPr>
          <w:lang w:val="es-MX"/>
        </w:rPr>
        <w:t>a</w:t>
      </w:r>
      <w:r>
        <w:rPr>
          <w:lang w:val="es-MX"/>
        </w:rPr>
        <w:t>loraciones francamente irrisorias y aún constancias fa</w:t>
      </w:r>
      <w:r>
        <w:rPr>
          <w:lang w:val="es-MX"/>
        </w:rPr>
        <w:t>l</w:t>
      </w:r>
      <w:r>
        <w:rPr>
          <w:lang w:val="es-MX"/>
        </w:rPr>
        <w:t>sas”, como por ejemplo que Telleldín no había conc</w:t>
      </w:r>
      <w:r>
        <w:rPr>
          <w:lang w:val="es-MX"/>
        </w:rPr>
        <w:t>u</w:t>
      </w:r>
      <w:r>
        <w:rPr>
          <w:lang w:val="es-MX"/>
        </w:rPr>
        <w:t>rrido a la calle San José, cuando dicho extremo estaba acreditado. Muchas de sus valoraciones no podían probarse y, por esa razón, rec</w:t>
      </w:r>
      <w:r>
        <w:rPr>
          <w:lang w:val="es-MX"/>
        </w:rPr>
        <w:t>u</w:t>
      </w:r>
      <w:r>
        <w:rPr>
          <w:lang w:val="es-MX"/>
        </w:rPr>
        <w:t>rrieron en más de seis oportunidades a la frase “sin palabras” para no expl</w:t>
      </w:r>
      <w:r>
        <w:rPr>
          <w:lang w:val="es-MX"/>
        </w:rPr>
        <w:t>i</w:t>
      </w:r>
      <w:r>
        <w:rPr>
          <w:lang w:val="es-MX"/>
        </w:rPr>
        <w:t>car absolutamente nada.</w:t>
      </w:r>
    </w:p>
    <w:p w:rsidR="00224567" w:rsidRDefault="00224567">
      <w:pPr>
        <w:widowControl w:val="0"/>
        <w:rPr>
          <w:lang w:val="es-MX"/>
        </w:rPr>
      </w:pPr>
      <w:r>
        <w:rPr>
          <w:lang w:val="es-MX"/>
        </w:rPr>
        <w:lastRenderedPageBreak/>
        <w:tab/>
        <w:t>Afirmó que la “preocupación por el aniversario” se repitió durante todos los años de la in</w:t>
      </w:r>
      <w:r>
        <w:rPr>
          <w:lang w:val="es-MX"/>
        </w:rPr>
        <w:t>s</w:t>
      </w:r>
      <w:r>
        <w:rPr>
          <w:lang w:val="es-MX"/>
        </w:rPr>
        <w:t xml:space="preserve">trucción y para cada una de esas fechas se construyó una historia falsa. Así fue que para el 18 de julio de 1996 se intentó involucrar a </w:t>
      </w:r>
      <w:smartTag w:uri="urn:schemas-microsoft-com:office:smarttags" w:element="PersonName">
        <w:smartTagPr>
          <w:attr w:name="ProductID" w:val="la Polic￭a Bonaerense"/>
        </w:smartTagPr>
        <w:r>
          <w:rPr>
            <w:lang w:val="es-MX"/>
          </w:rPr>
          <w:t>la Policía Bonaerense</w:t>
        </w:r>
      </w:smartTag>
      <w:r>
        <w:rPr>
          <w:lang w:val="es-MX"/>
        </w:rPr>
        <w:t>; m</w:t>
      </w:r>
      <w:r>
        <w:rPr>
          <w:lang w:val="es-MX"/>
        </w:rPr>
        <w:t>a</w:t>
      </w:r>
      <w:r>
        <w:rPr>
          <w:lang w:val="es-MX"/>
        </w:rPr>
        <w:t>niobra que, a juicio de la d</w:t>
      </w:r>
      <w:r>
        <w:rPr>
          <w:lang w:val="es-MX"/>
        </w:rPr>
        <w:t>e</w:t>
      </w:r>
      <w:r>
        <w:rPr>
          <w:lang w:val="es-MX"/>
        </w:rPr>
        <w:t>fensa, fue realizada con la aquiescencia del Poder Ejecutivo Nacional, el Ministerio Público Fi</w:t>
      </w:r>
      <w:r>
        <w:rPr>
          <w:lang w:val="es-MX"/>
        </w:rPr>
        <w:t>s</w:t>
      </w:r>
      <w:r>
        <w:rPr>
          <w:lang w:val="es-MX"/>
        </w:rPr>
        <w:t xml:space="preserve">cal, el Poder Judicial y </w:t>
      </w:r>
      <w:smartTag w:uri="urn:schemas-microsoft-com:office:smarttags" w:element="PersonName">
        <w:smartTagPr>
          <w:attr w:name="ProductID" w:val="la Secretaria"/>
        </w:smartTagPr>
        <w:r>
          <w:rPr>
            <w:lang w:val="es-MX"/>
          </w:rPr>
          <w:t>la Secretaria</w:t>
        </w:r>
      </w:smartTag>
      <w:r>
        <w:rPr>
          <w:lang w:val="es-MX"/>
        </w:rPr>
        <w:t xml:space="preserve"> de I</w:t>
      </w:r>
      <w:r>
        <w:rPr>
          <w:lang w:val="es-MX"/>
        </w:rPr>
        <w:t>n</w:t>
      </w:r>
      <w:r>
        <w:rPr>
          <w:lang w:val="es-MX"/>
        </w:rPr>
        <w:t>teligencia de Estado.</w:t>
      </w:r>
    </w:p>
    <w:p w:rsidR="00224567" w:rsidRDefault="00224567">
      <w:pPr>
        <w:widowControl w:val="0"/>
        <w:ind w:firstLine="2835"/>
        <w:rPr>
          <w:lang w:val="es-MX"/>
        </w:rPr>
      </w:pPr>
      <w:r>
        <w:rPr>
          <w:lang w:val="es-MX"/>
        </w:rPr>
        <w:t>De esa manera se construyó lo que la defensa denominó “la historia oficial”, utilizando lo ún</w:t>
      </w:r>
      <w:r>
        <w:rPr>
          <w:lang w:val="es-MX"/>
        </w:rPr>
        <w:t>i</w:t>
      </w:r>
      <w:r>
        <w:rPr>
          <w:lang w:val="es-MX"/>
        </w:rPr>
        <w:t>co que tenían en ese momento; a saber “un único detenido que a todas luces insultaba la inteligencia i</w:t>
      </w:r>
      <w:r>
        <w:rPr>
          <w:lang w:val="es-MX"/>
        </w:rPr>
        <w:t>n</w:t>
      </w:r>
      <w:r>
        <w:rPr>
          <w:lang w:val="es-MX"/>
        </w:rPr>
        <w:t>ternacional al querer sostener que un doblador de autos era el terr</w:t>
      </w:r>
      <w:r>
        <w:rPr>
          <w:lang w:val="es-MX"/>
        </w:rPr>
        <w:t>o</w:t>
      </w:r>
      <w:r>
        <w:rPr>
          <w:lang w:val="es-MX"/>
        </w:rPr>
        <w:t xml:space="preserve">rista que había puesto la bomba en </w:t>
      </w:r>
      <w:smartTag w:uri="urn:schemas-microsoft-com:office:smarttags" w:element="PersonName">
        <w:smartTagPr>
          <w:attr w:name="ProductID" w:val="la A.M"/>
        </w:smartTagPr>
        <w:r>
          <w:rPr>
            <w:lang w:val="es-MX"/>
          </w:rPr>
          <w:t>la A.M</w:t>
        </w:r>
      </w:smartTag>
      <w:r>
        <w:rPr>
          <w:lang w:val="es-MX"/>
        </w:rPr>
        <w:t>.I.A.”.</w:t>
      </w:r>
    </w:p>
    <w:p w:rsidR="00224567" w:rsidRDefault="00224567">
      <w:pPr>
        <w:widowControl w:val="0"/>
        <w:rPr>
          <w:lang w:val="es-MX"/>
        </w:rPr>
      </w:pPr>
      <w:r>
        <w:rPr>
          <w:lang w:val="es-MX"/>
        </w:rPr>
        <w:tab/>
        <w:t>Reflexionó que se precisaba inventar culpables con más peso que, además, sirvieran a los i</w:t>
      </w:r>
      <w:r>
        <w:rPr>
          <w:lang w:val="es-MX"/>
        </w:rPr>
        <w:t>n</w:t>
      </w:r>
      <w:r>
        <w:rPr>
          <w:lang w:val="es-MX"/>
        </w:rPr>
        <w:t>tereses políticos de aquellos que armaron la historia, echando mano a las hipótesis iniciales de Telleldín -de ninguna forma confirmadas- y que habían mantenido “cla</w:t>
      </w:r>
      <w:r>
        <w:rPr>
          <w:lang w:val="es-MX"/>
        </w:rPr>
        <w:t>n</w:t>
      </w:r>
      <w:r>
        <w:rPr>
          <w:lang w:val="es-MX"/>
        </w:rPr>
        <w:t>destiname</w:t>
      </w:r>
      <w:r>
        <w:rPr>
          <w:lang w:val="es-MX"/>
        </w:rPr>
        <w:t>n</w:t>
      </w:r>
      <w:r>
        <w:rPr>
          <w:lang w:val="es-MX"/>
        </w:rPr>
        <w:t>te” entre ellos mismos.</w:t>
      </w:r>
    </w:p>
    <w:p w:rsidR="00224567" w:rsidRDefault="00224567">
      <w:pPr>
        <w:widowControl w:val="0"/>
        <w:rPr>
          <w:lang w:val="es-MX"/>
        </w:rPr>
      </w:pPr>
      <w:r>
        <w:rPr>
          <w:lang w:val="es-MX"/>
        </w:rPr>
        <w:lastRenderedPageBreak/>
        <w:tab/>
        <w:t>En ese entendimiento, afirmó, hasta se pensó en secuestrar a Nahuel Telleldín, el hijo de su asistido. El extremo fue reconocido por el juez in</w:t>
      </w:r>
      <w:r>
        <w:rPr>
          <w:lang w:val="es-MX"/>
        </w:rPr>
        <w:t>s</w:t>
      </w:r>
      <w:r>
        <w:rPr>
          <w:lang w:val="es-MX"/>
        </w:rPr>
        <w:t xml:space="preserve">tructor en la presentación que formuló ante </w:t>
      </w:r>
      <w:smartTag w:uri="urn:schemas-microsoft-com:office:smarttags" w:element="PersonName">
        <w:smartTagPr>
          <w:attr w:name="ProductID" w:val="la Comisi￳n Bicameral"/>
        </w:smartTagPr>
        <w:r>
          <w:rPr>
            <w:lang w:val="es-MX"/>
          </w:rPr>
          <w:t xml:space="preserve">la </w:t>
        </w:r>
        <w:r>
          <w:t>Comisión Bicameral</w:t>
        </w:r>
      </w:smartTag>
      <w:r>
        <w:t xml:space="preserve"> de Seguimiento de los Atentados de </w:t>
      </w:r>
      <w:smartTag w:uri="urn:schemas-microsoft-com:office:smarttags" w:element="PersonName">
        <w:smartTagPr>
          <w:attr w:name="ProductID" w:val="la Embajada"/>
        </w:smartTagPr>
        <w:r>
          <w:t>la Embaj</w:t>
        </w:r>
        <w:r>
          <w:t>a</w:t>
        </w:r>
        <w:r>
          <w:t>da</w:t>
        </w:r>
      </w:smartTag>
      <w:r>
        <w:t xml:space="preserve"> de Israel y de </w:t>
      </w:r>
      <w:smartTag w:uri="urn:schemas-microsoft-com:office:smarttags" w:element="PersonName">
        <w:smartTagPr>
          <w:attr w:name="ProductID" w:val="la A.M"/>
        </w:smartTagPr>
        <w:r>
          <w:t>la A.M</w:t>
        </w:r>
      </w:smartTag>
      <w:r>
        <w:t xml:space="preserve">.I.A. </w:t>
      </w:r>
      <w:r>
        <w:rPr>
          <w:lang w:val="es-MX"/>
        </w:rPr>
        <w:t>que obra en el expediente, adjudicando la idea a su entonces prosecretario Claudio Lifschitz. Tal propósito, esgrimió la defensa, demostró que entre los planes del juzgado se podía ll</w:t>
      </w:r>
      <w:r>
        <w:rPr>
          <w:lang w:val="es-MX"/>
        </w:rPr>
        <w:t>e</w:t>
      </w:r>
      <w:r>
        <w:rPr>
          <w:lang w:val="es-MX"/>
        </w:rPr>
        <w:t>gar a cualquier cosa y que todo era válido; máxime cuando el juez ni siquiera denu</w:t>
      </w:r>
      <w:r>
        <w:rPr>
          <w:lang w:val="es-MX"/>
        </w:rPr>
        <w:t>n</w:t>
      </w:r>
      <w:r>
        <w:rPr>
          <w:lang w:val="es-MX"/>
        </w:rPr>
        <w:t>ció o, al menos, apartó del tribunal al funcionario en cuestión.</w:t>
      </w:r>
    </w:p>
    <w:p w:rsidR="00224567" w:rsidRDefault="00224567">
      <w:pPr>
        <w:widowControl w:val="0"/>
        <w:rPr>
          <w:lang w:val="es-MX"/>
        </w:rPr>
      </w:pPr>
      <w:r>
        <w:rPr>
          <w:lang w:val="es-MX"/>
        </w:rPr>
        <w:tab/>
        <w:t>Sostuvo que el armado de la “hist</w:t>
      </w:r>
      <w:r>
        <w:rPr>
          <w:lang w:val="es-MX"/>
        </w:rPr>
        <w:t>o</w:t>
      </w:r>
      <w:r>
        <w:rPr>
          <w:lang w:val="es-MX"/>
        </w:rPr>
        <w:t xml:space="preserve">ria oficial” comenzó aproximadamente en el mes de mayo de 1995. Rubén Beraja reconoció que se reunió con </w:t>
      </w:r>
      <w:smartTag w:uri="urn:schemas-microsoft-com:office:smarttags" w:element="PersonName">
        <w:smartTagPr>
          <w:attr w:name="ProductID" w:val="la Dra. Mar￭a"/>
        </w:smartTagPr>
        <w:r>
          <w:rPr>
            <w:lang w:val="es-MX"/>
          </w:rPr>
          <w:t>la Dra. M</w:t>
        </w:r>
        <w:r>
          <w:rPr>
            <w:lang w:val="es-MX"/>
          </w:rPr>
          <w:t>a</w:t>
        </w:r>
        <w:r>
          <w:rPr>
            <w:lang w:val="es-MX"/>
          </w:rPr>
          <w:t>ría</w:t>
        </w:r>
      </w:smartTag>
      <w:r>
        <w:rPr>
          <w:lang w:val="es-MX"/>
        </w:rPr>
        <w:t xml:space="preserve"> Luisa Riva Aramayo para hablar del tema “Brigadas” y la posible participación de policías bonaerenses en el atentado. Apuntó que hasta ese momento no surgía en la causa ninguna hipótesis acerca de la relación entre T</w:t>
      </w:r>
      <w:r>
        <w:rPr>
          <w:lang w:val="es-MX"/>
        </w:rPr>
        <w:t>e</w:t>
      </w:r>
      <w:r>
        <w:rPr>
          <w:lang w:val="es-MX"/>
        </w:rPr>
        <w:t>lleldín y esa fuerza policial, ni tampoco la n</w:t>
      </w:r>
      <w:r>
        <w:rPr>
          <w:lang w:val="es-MX"/>
        </w:rPr>
        <w:t>o</w:t>
      </w:r>
      <w:r>
        <w:rPr>
          <w:lang w:val="es-MX"/>
        </w:rPr>
        <w:t xml:space="preserve">ticia había </w:t>
      </w:r>
      <w:r>
        <w:rPr>
          <w:lang w:val="es-MX"/>
        </w:rPr>
        <w:lastRenderedPageBreak/>
        <w:t>sido publicada en los medios de comunic</w:t>
      </w:r>
      <w:r>
        <w:rPr>
          <w:lang w:val="es-MX"/>
        </w:rPr>
        <w:t>a</w:t>
      </w:r>
      <w:r>
        <w:rPr>
          <w:lang w:val="es-MX"/>
        </w:rPr>
        <w:t>ción.</w:t>
      </w:r>
    </w:p>
    <w:p w:rsidR="00224567" w:rsidRDefault="00224567">
      <w:pPr>
        <w:widowControl w:val="0"/>
        <w:rPr>
          <w:lang w:val="es-MX"/>
        </w:rPr>
      </w:pPr>
      <w:r>
        <w:rPr>
          <w:lang w:val="es-MX"/>
        </w:rPr>
        <w:tab/>
        <w:t>La reunión mencionada, expresó la d</w:t>
      </w:r>
      <w:r>
        <w:rPr>
          <w:lang w:val="es-MX"/>
        </w:rPr>
        <w:t>e</w:t>
      </w:r>
      <w:r>
        <w:rPr>
          <w:lang w:val="es-MX"/>
        </w:rPr>
        <w:t>fensa, exteriorizó el conocimiento de los representantes de las querellas de todo lo que ocurría dentro del juzg</w:t>
      </w:r>
      <w:r>
        <w:rPr>
          <w:lang w:val="es-MX"/>
        </w:rPr>
        <w:t>a</w:t>
      </w:r>
      <w:r>
        <w:rPr>
          <w:lang w:val="es-MX"/>
        </w:rPr>
        <w:t>do.</w:t>
      </w:r>
    </w:p>
    <w:p w:rsidR="00224567" w:rsidRDefault="00224567">
      <w:pPr>
        <w:widowControl w:val="0"/>
        <w:rPr>
          <w:lang w:val="es-MX"/>
        </w:rPr>
      </w:pPr>
      <w:r>
        <w:rPr>
          <w:lang w:val="es-MX"/>
        </w:rPr>
        <w:tab/>
        <w:t>Refirió que el 6 de junio de 1995 el juez ordenó el traslado de Telleldín a la cárcel de D</w:t>
      </w:r>
      <w:r>
        <w:rPr>
          <w:lang w:val="es-MX"/>
        </w:rPr>
        <w:t>e</w:t>
      </w:r>
      <w:r>
        <w:rPr>
          <w:lang w:val="es-MX"/>
        </w:rPr>
        <w:t>voto con la intención de presionar con un nuevo agrav</w:t>
      </w:r>
      <w:r>
        <w:rPr>
          <w:lang w:val="es-MX"/>
        </w:rPr>
        <w:t>a</w:t>
      </w:r>
      <w:r>
        <w:rPr>
          <w:lang w:val="es-MX"/>
        </w:rPr>
        <w:t>miento de las condiciones de detención, que calificó como “casi una tortura”. Para justificar el cambio de unidad, se constr</w:t>
      </w:r>
      <w:r>
        <w:rPr>
          <w:lang w:val="es-MX"/>
        </w:rPr>
        <w:t>u</w:t>
      </w:r>
      <w:r>
        <w:rPr>
          <w:lang w:val="es-MX"/>
        </w:rPr>
        <w:t>yó una denuncia que formuló un inte</w:t>
      </w:r>
      <w:r>
        <w:rPr>
          <w:lang w:val="es-MX"/>
        </w:rPr>
        <w:t>r</w:t>
      </w:r>
      <w:r>
        <w:rPr>
          <w:lang w:val="es-MX"/>
        </w:rPr>
        <w:t xml:space="preserve">no de </w:t>
      </w:r>
      <w:smartTag w:uri="urn:schemas-microsoft-com:office:smarttags" w:element="PersonName">
        <w:smartTagPr>
          <w:attr w:name="ProductID" w:val="la Unidad"/>
        </w:smartTagPr>
        <w:r>
          <w:rPr>
            <w:lang w:val="es-MX"/>
          </w:rPr>
          <w:t>la Unidad</w:t>
        </w:r>
      </w:smartTag>
      <w:r>
        <w:rPr>
          <w:lang w:val="es-MX"/>
        </w:rPr>
        <w:t xml:space="preserve"> nº 16 del Servicio Penitenciario Federal ante el juez in</w:t>
      </w:r>
      <w:r>
        <w:rPr>
          <w:lang w:val="es-MX"/>
        </w:rPr>
        <w:t>s</w:t>
      </w:r>
      <w:r>
        <w:rPr>
          <w:lang w:val="es-MX"/>
        </w:rPr>
        <w:t>tructor alerta</w:t>
      </w:r>
      <w:r>
        <w:rPr>
          <w:lang w:val="es-MX"/>
        </w:rPr>
        <w:t>n</w:t>
      </w:r>
      <w:r>
        <w:rPr>
          <w:lang w:val="es-MX"/>
        </w:rPr>
        <w:t>do que la vida de Telleldín corría peligro.</w:t>
      </w:r>
    </w:p>
    <w:p w:rsidR="00224567" w:rsidRDefault="00224567">
      <w:pPr>
        <w:widowControl w:val="0"/>
        <w:rPr>
          <w:lang w:val="es-MX"/>
        </w:rPr>
      </w:pPr>
      <w:r>
        <w:rPr>
          <w:lang w:val="es-MX"/>
        </w:rPr>
        <w:tab/>
        <w:t>El detenido, de nombre Barragán, c</w:t>
      </w:r>
      <w:r>
        <w:rPr>
          <w:lang w:val="es-MX"/>
        </w:rPr>
        <w:t>a</w:t>
      </w:r>
      <w:r>
        <w:rPr>
          <w:lang w:val="es-MX"/>
        </w:rPr>
        <w:t>sualmente estaba a disposición del juez Juan José G</w:t>
      </w:r>
      <w:r>
        <w:rPr>
          <w:lang w:val="es-MX"/>
        </w:rPr>
        <w:t>a</w:t>
      </w:r>
      <w:r>
        <w:rPr>
          <w:lang w:val="es-MX"/>
        </w:rPr>
        <w:t xml:space="preserve">leano, secretaría de </w:t>
      </w:r>
      <w:smartTag w:uri="urn:schemas-microsoft-com:office:smarttags" w:element="PersonName">
        <w:smartTagPr>
          <w:attr w:name="ProductID" w:val="la Dra. Susana"/>
        </w:smartTagPr>
        <w:r>
          <w:rPr>
            <w:lang w:val="es-MX"/>
          </w:rPr>
          <w:t>la Dra. Susana</w:t>
        </w:r>
      </w:smartTag>
      <w:r>
        <w:rPr>
          <w:lang w:val="es-MX"/>
        </w:rPr>
        <w:t xml:space="preserve"> Spina. Segur</w:t>
      </w:r>
      <w:r>
        <w:rPr>
          <w:lang w:val="es-MX"/>
        </w:rPr>
        <w:t>a</w:t>
      </w:r>
      <w:r>
        <w:rPr>
          <w:lang w:val="es-MX"/>
        </w:rPr>
        <w:t>mente, especuló la defensa, en el caso se le prometió mejorar su situ</w:t>
      </w:r>
      <w:r>
        <w:rPr>
          <w:lang w:val="es-MX"/>
        </w:rPr>
        <w:t>a</w:t>
      </w:r>
      <w:r>
        <w:rPr>
          <w:lang w:val="es-MX"/>
        </w:rPr>
        <w:t>ción, razón por la cual solicitó que se extraigan testim</w:t>
      </w:r>
      <w:r>
        <w:rPr>
          <w:lang w:val="es-MX"/>
        </w:rPr>
        <w:t>o</w:t>
      </w:r>
      <w:r>
        <w:rPr>
          <w:lang w:val="es-MX"/>
        </w:rPr>
        <w:t>nios para su i</w:t>
      </w:r>
      <w:r>
        <w:rPr>
          <w:lang w:val="es-MX"/>
        </w:rPr>
        <w:t>n</w:t>
      </w:r>
      <w:r>
        <w:rPr>
          <w:lang w:val="es-MX"/>
        </w:rPr>
        <w:t>vestigación.</w:t>
      </w:r>
    </w:p>
    <w:p w:rsidR="00224567" w:rsidRDefault="00224567">
      <w:pPr>
        <w:widowControl w:val="0"/>
        <w:ind w:firstLine="2835"/>
        <w:rPr>
          <w:lang w:val="es-MX"/>
        </w:rPr>
      </w:pPr>
      <w:r>
        <w:rPr>
          <w:lang w:val="es-MX"/>
        </w:rPr>
        <w:t>Ese mismo día su asistido recusó al magistrado instructor por prejuzgamiento, siendo rech</w:t>
      </w:r>
      <w:r>
        <w:rPr>
          <w:lang w:val="es-MX"/>
        </w:rPr>
        <w:t>a</w:t>
      </w:r>
      <w:r>
        <w:rPr>
          <w:lang w:val="es-MX"/>
        </w:rPr>
        <w:t xml:space="preserve">zada </w:t>
      </w:r>
      <w:r>
        <w:rPr>
          <w:lang w:val="es-MX"/>
        </w:rPr>
        <w:lastRenderedPageBreak/>
        <w:t xml:space="preserve">la pretensión. Empero, expresó que </w:t>
      </w:r>
      <w:smartTag w:uri="urn:schemas-microsoft-com:office:smarttags" w:element="PersonName">
        <w:smartTagPr>
          <w:attr w:name="ProductID" w:val="la Dra. Riva"/>
        </w:smartTagPr>
        <w:r>
          <w:rPr>
            <w:lang w:val="es-MX"/>
          </w:rPr>
          <w:t>la Dra. Riva</w:t>
        </w:r>
      </w:smartTag>
      <w:r>
        <w:rPr>
          <w:lang w:val="es-MX"/>
        </w:rPr>
        <w:t xml:space="preserve"> Aramayo solicitó a Telleldín una reunión privada antes de tener lugar la audiencia formal de rec</w:t>
      </w:r>
      <w:r>
        <w:rPr>
          <w:lang w:val="es-MX"/>
        </w:rPr>
        <w:t>u</w:t>
      </w:r>
      <w:r>
        <w:rPr>
          <w:lang w:val="es-MX"/>
        </w:rPr>
        <w:t>sación. En el encuentro, dijo, la camarista requirió que desista de la recusación, convenciéndolo con el argumento de que en caso de prosp</w:t>
      </w:r>
      <w:r>
        <w:rPr>
          <w:lang w:val="es-MX"/>
        </w:rPr>
        <w:t>e</w:t>
      </w:r>
      <w:r>
        <w:rPr>
          <w:lang w:val="es-MX"/>
        </w:rPr>
        <w:t>rar el apartamiento, se perdería todo el avance de la ca</w:t>
      </w:r>
      <w:r>
        <w:rPr>
          <w:lang w:val="es-MX"/>
        </w:rPr>
        <w:t>u</w:t>
      </w:r>
      <w:r>
        <w:rPr>
          <w:lang w:val="es-MX"/>
        </w:rPr>
        <w:t>sa y se demoraría su libertad que, le prometió, era inm</w:t>
      </w:r>
      <w:r>
        <w:rPr>
          <w:lang w:val="es-MX"/>
        </w:rPr>
        <w:t>i</w:t>
      </w:r>
      <w:r>
        <w:rPr>
          <w:lang w:val="es-MX"/>
        </w:rPr>
        <w:t>nente.</w:t>
      </w:r>
    </w:p>
    <w:p w:rsidR="00224567" w:rsidRDefault="00224567">
      <w:pPr>
        <w:widowControl w:val="0"/>
        <w:rPr>
          <w:lang w:val="es-MX"/>
        </w:rPr>
      </w:pPr>
      <w:r>
        <w:rPr>
          <w:lang w:val="es-MX"/>
        </w:rPr>
        <w:tab/>
        <w:t>Indicó que su asistido, acostumbr</w:t>
      </w:r>
      <w:r>
        <w:rPr>
          <w:lang w:val="es-MX"/>
        </w:rPr>
        <w:t>a</w:t>
      </w:r>
      <w:r>
        <w:rPr>
          <w:lang w:val="es-MX"/>
        </w:rPr>
        <w:t>do a que se manejen sus declaraciones y su defensa al libre a</w:t>
      </w:r>
      <w:r>
        <w:rPr>
          <w:lang w:val="es-MX"/>
        </w:rPr>
        <w:t>r</w:t>
      </w:r>
      <w:r>
        <w:rPr>
          <w:lang w:val="es-MX"/>
        </w:rPr>
        <w:t>bitrio de los jueces, accedió a desi</w:t>
      </w:r>
      <w:r>
        <w:rPr>
          <w:lang w:val="es-MX"/>
        </w:rPr>
        <w:t>s</w:t>
      </w:r>
      <w:r>
        <w:rPr>
          <w:lang w:val="es-MX"/>
        </w:rPr>
        <w:t>tir de la recusación.</w:t>
      </w:r>
    </w:p>
    <w:p w:rsidR="00224567" w:rsidRDefault="00224567">
      <w:pPr>
        <w:widowControl w:val="0"/>
        <w:rPr>
          <w:lang w:val="es-MX"/>
        </w:rPr>
      </w:pPr>
      <w:r>
        <w:rPr>
          <w:lang w:val="es-MX"/>
        </w:rPr>
        <w:tab/>
        <w:t>No obstante, prosiguió la defe</w:t>
      </w:r>
      <w:r>
        <w:rPr>
          <w:lang w:val="es-MX"/>
        </w:rPr>
        <w:t>n</w:t>
      </w:r>
      <w:r>
        <w:rPr>
          <w:lang w:val="es-MX"/>
        </w:rPr>
        <w:t>sa, las condiciones de detención de Telleldín eran terribles; pe</w:t>
      </w:r>
      <w:r>
        <w:rPr>
          <w:lang w:val="es-MX"/>
        </w:rPr>
        <w:t>r</w:t>
      </w:r>
      <w:r>
        <w:rPr>
          <w:lang w:val="es-MX"/>
        </w:rPr>
        <w:t>manecía encerrado prácticamente las veinticuatro horas, sin siquiera poder salir al patio, extremo que, según afirmó, fue confirmado por el testigo Jorge Damonte. Ad</w:t>
      </w:r>
      <w:r>
        <w:rPr>
          <w:lang w:val="es-MX"/>
        </w:rPr>
        <w:t>e</w:t>
      </w:r>
      <w:r>
        <w:rPr>
          <w:lang w:val="es-MX"/>
        </w:rPr>
        <w:t>más, dijo, Telleldín había presentado un habeas corpus, como consta en estas actuaciones, el cual no fue tramitado por orden del juez, conforme lo expuso su asistido en la denuncia que formuló.</w:t>
      </w:r>
    </w:p>
    <w:p w:rsidR="00224567" w:rsidRDefault="00224567">
      <w:pPr>
        <w:pStyle w:val="Textoindependiente"/>
        <w:spacing w:line="600" w:lineRule="auto"/>
        <w:rPr>
          <w:lang w:val="es-MX"/>
        </w:rPr>
      </w:pPr>
      <w:r>
        <w:lastRenderedPageBreak/>
        <w:tab/>
        <w:t>Indicó que la jueza Riva Aramayo se pr</w:t>
      </w:r>
      <w:r>
        <w:t>e</w:t>
      </w:r>
      <w:r>
        <w:t>sentó en la unidad carcelaria y, en una reunión en la que Telle</w:t>
      </w:r>
      <w:r>
        <w:t>l</w:t>
      </w:r>
      <w:r>
        <w:t>dín estuvo presente -tal como lo d</w:t>
      </w:r>
      <w:r>
        <w:t>e</w:t>
      </w:r>
      <w:r>
        <w:t>nunció- el director del establecimiento explicó que el juez Galeano dio la orden telefónica de no dar curso a los habeas corpus prese</w:t>
      </w:r>
      <w:r>
        <w:t>n</w:t>
      </w:r>
      <w:r>
        <w:t>tados por Telleldín y mantener esas condiciones de encierro. F</w:t>
      </w:r>
      <w:r>
        <w:t>i</w:t>
      </w:r>
      <w:r>
        <w:t xml:space="preserve">nalmente, </w:t>
      </w:r>
      <w:r>
        <w:rPr>
          <w:lang w:val="es-MX"/>
        </w:rPr>
        <w:t>se inició una causa judicial, modificándose las condiciones de dete</w:t>
      </w:r>
      <w:r>
        <w:rPr>
          <w:lang w:val="es-MX"/>
        </w:rPr>
        <w:t>n</w:t>
      </w:r>
      <w:r>
        <w:rPr>
          <w:lang w:val="es-MX"/>
        </w:rPr>
        <w:t>ción.</w:t>
      </w:r>
    </w:p>
    <w:p w:rsidR="00224567" w:rsidRDefault="00224567">
      <w:pPr>
        <w:widowControl w:val="0"/>
        <w:rPr>
          <w:lang w:val="es-MX"/>
        </w:rPr>
      </w:pPr>
      <w:r>
        <w:rPr>
          <w:lang w:val="es-MX"/>
        </w:rPr>
        <w:tab/>
        <w:t>Con esas acciones, más otra vis</w:t>
      </w:r>
      <w:r>
        <w:rPr>
          <w:lang w:val="es-MX"/>
        </w:rPr>
        <w:t>i</w:t>
      </w:r>
      <w:r>
        <w:rPr>
          <w:lang w:val="es-MX"/>
        </w:rPr>
        <w:t>ta que efectuó en la unidad carcelaria donde se encontraba su asistido, la jueza en cuestión se ganó la confianza de T</w:t>
      </w:r>
      <w:r>
        <w:rPr>
          <w:lang w:val="es-MX"/>
        </w:rPr>
        <w:t>e</w:t>
      </w:r>
      <w:r>
        <w:rPr>
          <w:lang w:val="es-MX"/>
        </w:rPr>
        <w:t>lleldín. Para entonces, agregó, el juez Galeano “no tenía ninguna llegada como para hacerle ninguna presión, ni am</w:t>
      </w:r>
      <w:r>
        <w:rPr>
          <w:lang w:val="es-MX"/>
        </w:rPr>
        <w:t>e</w:t>
      </w:r>
      <w:r>
        <w:rPr>
          <w:lang w:val="es-MX"/>
        </w:rPr>
        <w:t>naza nueva”.</w:t>
      </w:r>
    </w:p>
    <w:p w:rsidR="00224567" w:rsidRDefault="00224567">
      <w:pPr>
        <w:widowControl w:val="0"/>
        <w:rPr>
          <w:lang w:val="es-MX"/>
        </w:rPr>
      </w:pPr>
      <w:r>
        <w:rPr>
          <w:lang w:val="es-MX"/>
        </w:rPr>
        <w:tab/>
        <w:t>La ruptura de la relación entre T</w:t>
      </w:r>
      <w:r>
        <w:rPr>
          <w:lang w:val="es-MX"/>
        </w:rPr>
        <w:t>e</w:t>
      </w:r>
      <w:r>
        <w:rPr>
          <w:lang w:val="es-MX"/>
        </w:rPr>
        <w:t>lleldín y el juez, indicó, fue explicada por Rubén B</w:t>
      </w:r>
      <w:r>
        <w:rPr>
          <w:lang w:val="es-MX"/>
        </w:rPr>
        <w:t>e</w:t>
      </w:r>
      <w:r>
        <w:rPr>
          <w:lang w:val="es-MX"/>
        </w:rPr>
        <w:t>raja en oportunidad de prestar testimonio en el debate, dicie</w:t>
      </w:r>
      <w:r>
        <w:rPr>
          <w:lang w:val="es-MX"/>
        </w:rPr>
        <w:t>n</w:t>
      </w:r>
      <w:r>
        <w:rPr>
          <w:lang w:val="es-MX"/>
        </w:rPr>
        <w:t>do que “se generó por las presiones que había ejercido el juez respecto del imputado”; relación que habría de r</w:t>
      </w:r>
      <w:r>
        <w:rPr>
          <w:lang w:val="es-MX"/>
        </w:rPr>
        <w:t>e</w:t>
      </w:r>
      <w:r>
        <w:rPr>
          <w:lang w:val="es-MX"/>
        </w:rPr>
        <w:t>construirse -de acue</w:t>
      </w:r>
      <w:r>
        <w:rPr>
          <w:lang w:val="es-MX"/>
        </w:rPr>
        <w:t>r</w:t>
      </w:r>
      <w:r>
        <w:rPr>
          <w:lang w:val="es-MX"/>
        </w:rPr>
        <w:t xml:space="preserve">do a las palabras de Beraja- después de la intervención de la camarista. El nombrado también </w:t>
      </w:r>
      <w:r>
        <w:rPr>
          <w:lang w:val="es-MX"/>
        </w:rPr>
        <w:lastRenderedPageBreak/>
        <w:t>hizo hincapié en la confianza que ésta infundiría a T</w:t>
      </w:r>
      <w:r>
        <w:rPr>
          <w:lang w:val="es-MX"/>
        </w:rPr>
        <w:t>e</w:t>
      </w:r>
      <w:r>
        <w:rPr>
          <w:lang w:val="es-MX"/>
        </w:rPr>
        <w:t>lleldín.</w:t>
      </w:r>
    </w:p>
    <w:p w:rsidR="00224567" w:rsidRDefault="00224567">
      <w:pPr>
        <w:widowControl w:val="0"/>
        <w:rPr>
          <w:lang w:val="es-MX"/>
        </w:rPr>
      </w:pPr>
      <w:r>
        <w:rPr>
          <w:lang w:val="es-MX"/>
        </w:rPr>
        <w:tab/>
        <w:t>En rigor, se preguntó la defensa, ¿por qué una jueza tenía que ir a visitar a un detenido para generar confianza?; ¿qué necesidad de tener una relación de esa naturaleza con un detenido?, apuntando que ni</w:t>
      </w:r>
      <w:r>
        <w:rPr>
          <w:lang w:val="es-MX"/>
        </w:rPr>
        <w:t>n</w:t>
      </w:r>
      <w:r>
        <w:rPr>
          <w:lang w:val="es-MX"/>
        </w:rPr>
        <w:t>guna relación cabe entre jueces e imputados más allá de la que establece el código procesal; esto es, el juez llama al detenido en indagatoria y este declara o no, según su v</w:t>
      </w:r>
      <w:r>
        <w:rPr>
          <w:lang w:val="es-MX"/>
        </w:rPr>
        <w:t>o</w:t>
      </w:r>
      <w:r>
        <w:rPr>
          <w:lang w:val="es-MX"/>
        </w:rPr>
        <w:t>luntad. “Probar la hipótesis acusat</w:t>
      </w:r>
      <w:r>
        <w:rPr>
          <w:lang w:val="es-MX"/>
        </w:rPr>
        <w:t>o</w:t>
      </w:r>
      <w:r>
        <w:rPr>
          <w:lang w:val="es-MX"/>
        </w:rPr>
        <w:t>ria es tarea del juez y de los fiscales, independient</w:t>
      </w:r>
      <w:r>
        <w:rPr>
          <w:lang w:val="es-MX"/>
        </w:rPr>
        <w:t>e</w:t>
      </w:r>
      <w:r>
        <w:rPr>
          <w:lang w:val="es-MX"/>
        </w:rPr>
        <w:t>mente de los derechos que ejerza el imputado”, expresó la defensa en su alegato.</w:t>
      </w:r>
    </w:p>
    <w:p w:rsidR="00224567" w:rsidRDefault="00224567">
      <w:pPr>
        <w:widowControl w:val="0"/>
        <w:ind w:firstLine="2835"/>
        <w:rPr>
          <w:lang w:val="es-MX"/>
        </w:rPr>
      </w:pPr>
      <w:r>
        <w:rPr>
          <w:lang w:val="es-MX"/>
        </w:rPr>
        <w:t>Consideró que “cualquier conducta fu</w:t>
      </w:r>
      <w:r>
        <w:rPr>
          <w:lang w:val="es-MX"/>
        </w:rPr>
        <w:t>e</w:t>
      </w:r>
      <w:r>
        <w:rPr>
          <w:lang w:val="es-MX"/>
        </w:rPr>
        <w:t>ra de estos parámetros es absolutamente nula, pero si ti</w:t>
      </w:r>
      <w:r>
        <w:rPr>
          <w:lang w:val="es-MX"/>
        </w:rPr>
        <w:t>e</w:t>
      </w:r>
      <w:r>
        <w:rPr>
          <w:lang w:val="es-MX"/>
        </w:rPr>
        <w:t>ne una finalidad detrás, como en este caso, es delictiva”.</w:t>
      </w:r>
    </w:p>
    <w:p w:rsidR="00224567" w:rsidRDefault="00224567">
      <w:pPr>
        <w:widowControl w:val="0"/>
        <w:rPr>
          <w:lang w:val="es-MX"/>
        </w:rPr>
      </w:pPr>
      <w:r>
        <w:rPr>
          <w:lang w:val="es-MX"/>
        </w:rPr>
        <w:tab/>
        <w:t xml:space="preserve">Alegó la letrada que la confianza que </w:t>
      </w:r>
      <w:smartTag w:uri="urn:schemas-microsoft-com:office:smarttags" w:element="PersonName">
        <w:smartTagPr>
          <w:attr w:name="ProductID" w:val="la Dra. Riva"/>
        </w:smartTagPr>
        <w:r>
          <w:rPr>
            <w:lang w:val="es-MX"/>
          </w:rPr>
          <w:t>la Dra. Riva</w:t>
        </w:r>
      </w:smartTag>
      <w:r>
        <w:rPr>
          <w:lang w:val="es-MX"/>
        </w:rPr>
        <w:t xml:space="preserve"> Aramayo quería infundir en Telleldín tenía por objeto que éste expresara la imputaciones que, a la postre, efectuó el 5 de julio de 1996 contra los pol</w:t>
      </w:r>
      <w:r>
        <w:rPr>
          <w:lang w:val="es-MX"/>
        </w:rPr>
        <w:t>i</w:t>
      </w:r>
      <w:r>
        <w:rPr>
          <w:lang w:val="es-MX"/>
        </w:rPr>
        <w:t>cías bonaerenses.</w:t>
      </w:r>
    </w:p>
    <w:p w:rsidR="00224567" w:rsidRDefault="00224567">
      <w:pPr>
        <w:pStyle w:val="Textoindependiente2"/>
        <w:widowControl w:val="0"/>
        <w:rPr>
          <w:rFonts w:ascii="Courier New" w:hAnsi="Courier New" w:cs="Courier New"/>
          <w:lang w:val="es-MX"/>
        </w:rPr>
      </w:pPr>
      <w:r>
        <w:rPr>
          <w:rFonts w:ascii="Courier New" w:hAnsi="Courier New" w:cs="Courier New"/>
        </w:rPr>
        <w:lastRenderedPageBreak/>
        <w:tab/>
        <w:t>Es por esa razón la jueza dijo a T</w:t>
      </w:r>
      <w:r>
        <w:rPr>
          <w:rFonts w:ascii="Courier New" w:hAnsi="Courier New" w:cs="Courier New"/>
        </w:rPr>
        <w:t>e</w:t>
      </w:r>
      <w:r>
        <w:rPr>
          <w:rFonts w:ascii="Courier New" w:hAnsi="Courier New" w:cs="Courier New"/>
        </w:rPr>
        <w:t>lleldín –según lo reconoció Beraja- que “estaba tomando un riesgo que no le correspondía pero que lo hacía porque comprendía la importancia de la causa y porque creía que ella tenía, por experiencia, capacidades como para enco</w:t>
      </w:r>
      <w:r>
        <w:rPr>
          <w:rFonts w:ascii="Courier New" w:hAnsi="Courier New" w:cs="Courier New"/>
        </w:rPr>
        <w:t>n</w:t>
      </w:r>
      <w:r>
        <w:rPr>
          <w:rFonts w:ascii="Courier New" w:hAnsi="Courier New" w:cs="Courier New"/>
        </w:rPr>
        <w:t>trar nuevos caminos en lo que se refiere a las declaraci</w:t>
      </w:r>
      <w:r>
        <w:rPr>
          <w:rFonts w:ascii="Courier New" w:hAnsi="Courier New" w:cs="Courier New"/>
        </w:rPr>
        <w:t>o</w:t>
      </w:r>
      <w:r>
        <w:rPr>
          <w:rFonts w:ascii="Courier New" w:hAnsi="Courier New" w:cs="Courier New"/>
        </w:rPr>
        <w:t>nes de Telleldín”.</w:t>
      </w:r>
    </w:p>
    <w:p w:rsidR="00224567" w:rsidRDefault="00224567">
      <w:pPr>
        <w:widowControl w:val="0"/>
        <w:rPr>
          <w:lang w:val="es-MX"/>
        </w:rPr>
      </w:pPr>
      <w:r>
        <w:rPr>
          <w:lang w:val="es-MX"/>
        </w:rPr>
        <w:tab/>
        <w:t xml:space="preserve">Refirió la defensa que </w:t>
      </w:r>
      <w:smartTag w:uri="urn:schemas-microsoft-com:office:smarttags" w:element="PersonName">
        <w:smartTagPr>
          <w:attr w:name="ProductID" w:val="la Dra. Riva"/>
        </w:smartTagPr>
        <w:r>
          <w:rPr>
            <w:lang w:val="es-MX"/>
          </w:rPr>
          <w:t>la Dra. Riva</w:t>
        </w:r>
      </w:smartTag>
      <w:r>
        <w:rPr>
          <w:lang w:val="es-MX"/>
        </w:rPr>
        <w:t xml:space="preserve"> Aramayo volvió a entrevistar a su asistido y comenzó a i</w:t>
      </w:r>
      <w:r>
        <w:rPr>
          <w:lang w:val="es-MX"/>
        </w:rPr>
        <w:t>n</w:t>
      </w:r>
      <w:r>
        <w:rPr>
          <w:lang w:val="es-MX"/>
        </w:rPr>
        <w:t>teriorizarse de la causa, en particular, de las extorsi</w:t>
      </w:r>
      <w:r>
        <w:rPr>
          <w:lang w:val="es-MX"/>
        </w:rPr>
        <w:t>o</w:t>
      </w:r>
      <w:r>
        <w:rPr>
          <w:lang w:val="es-MX"/>
        </w:rPr>
        <w:t>nes de la policía bonaerense de las cuales había sido ví</w:t>
      </w:r>
      <w:r>
        <w:rPr>
          <w:lang w:val="es-MX"/>
        </w:rPr>
        <w:t>c</w:t>
      </w:r>
      <w:r>
        <w:rPr>
          <w:lang w:val="es-MX"/>
        </w:rPr>
        <w:t>tima. Le dijo, además, que quería su colaboración y que sabía de su in</w:t>
      </w:r>
      <w:r>
        <w:rPr>
          <w:lang w:val="es-MX"/>
        </w:rPr>
        <w:t>o</w:t>
      </w:r>
      <w:r>
        <w:rPr>
          <w:lang w:val="es-MX"/>
        </w:rPr>
        <w:t>cencia. Por su parte, su asistido le relató todos los episodios vividos.</w:t>
      </w:r>
    </w:p>
    <w:p w:rsidR="00224567" w:rsidRDefault="00224567">
      <w:pPr>
        <w:widowControl w:val="0"/>
        <w:rPr>
          <w:lang w:val="es-MX"/>
        </w:rPr>
      </w:pPr>
      <w:r>
        <w:rPr>
          <w:lang w:val="es-MX"/>
        </w:rPr>
        <w:tab/>
        <w:t>Afirmó la abogada defensora que en ese momento comenzó la coacción. Las palabras textuales prof</w:t>
      </w:r>
      <w:r>
        <w:rPr>
          <w:lang w:val="es-MX"/>
        </w:rPr>
        <w:t>e</w:t>
      </w:r>
      <w:r>
        <w:rPr>
          <w:lang w:val="es-MX"/>
        </w:rPr>
        <w:t>ridas por la camarista en la oport</w:t>
      </w:r>
      <w:r>
        <w:rPr>
          <w:lang w:val="es-MX"/>
        </w:rPr>
        <w:t>u</w:t>
      </w:r>
      <w:r>
        <w:rPr>
          <w:lang w:val="es-MX"/>
        </w:rPr>
        <w:t xml:space="preserve">nidad, según consta en la denuncia de Telleldín, fueron: </w:t>
      </w:r>
      <w:r>
        <w:rPr>
          <w:bCs/>
          <w:iCs/>
          <w:lang w:val="es-MX"/>
        </w:rPr>
        <w:t>“...tenemos que armar una historia creíble, no queremos más ladr</w:t>
      </w:r>
      <w:r>
        <w:rPr>
          <w:bCs/>
          <w:iCs/>
          <w:lang w:val="es-MX"/>
        </w:rPr>
        <w:t>o</w:t>
      </w:r>
      <w:r>
        <w:rPr>
          <w:bCs/>
          <w:iCs/>
          <w:lang w:val="es-MX"/>
        </w:rPr>
        <w:t>nes de autos ni de estéreos, co</w:t>
      </w:r>
      <w:r>
        <w:rPr>
          <w:bCs/>
          <w:iCs/>
          <w:lang w:val="es-MX"/>
        </w:rPr>
        <w:t>n</w:t>
      </w:r>
      <w:r>
        <w:rPr>
          <w:bCs/>
          <w:iCs/>
          <w:lang w:val="es-MX"/>
        </w:rPr>
        <w:t>migo no se jode, te traigo la palabra del presidente Menem y de Corach, p</w:t>
      </w:r>
      <w:r>
        <w:rPr>
          <w:bCs/>
          <w:iCs/>
          <w:lang w:val="es-MX"/>
        </w:rPr>
        <w:t>e</w:t>
      </w:r>
      <w:r>
        <w:rPr>
          <w:bCs/>
          <w:iCs/>
          <w:lang w:val="es-MX"/>
        </w:rPr>
        <w:t xml:space="preserve">dí el funcionario que vos </w:t>
      </w:r>
      <w:r>
        <w:rPr>
          <w:bCs/>
          <w:iCs/>
          <w:lang w:val="es-MX"/>
        </w:rPr>
        <w:lastRenderedPageBreak/>
        <w:t>quieras que lo traigo para que te confirme lo que te d</w:t>
      </w:r>
      <w:r>
        <w:rPr>
          <w:bCs/>
          <w:iCs/>
          <w:lang w:val="es-MX"/>
        </w:rPr>
        <w:t>i</w:t>
      </w:r>
      <w:r>
        <w:rPr>
          <w:bCs/>
          <w:iCs/>
          <w:lang w:val="es-MX"/>
        </w:rPr>
        <w:t xml:space="preserve">go...”. El </w:t>
      </w:r>
      <w:r>
        <w:rPr>
          <w:lang w:val="es-MX"/>
        </w:rPr>
        <w:t>vocabulario ut</w:t>
      </w:r>
      <w:r>
        <w:rPr>
          <w:lang w:val="es-MX"/>
        </w:rPr>
        <w:t>i</w:t>
      </w:r>
      <w:r>
        <w:rPr>
          <w:lang w:val="es-MX"/>
        </w:rPr>
        <w:t xml:space="preserve">lizado, indicó, era el típico de </w:t>
      </w:r>
      <w:smartTag w:uri="urn:schemas-microsoft-com:office:smarttags" w:element="PersonName">
        <w:smartTagPr>
          <w:attr w:name="ProductID" w:val="la Dra. Mar￭a"/>
        </w:smartTagPr>
        <w:r>
          <w:rPr>
            <w:lang w:val="es-MX"/>
          </w:rPr>
          <w:t>la Dra. María</w:t>
        </w:r>
      </w:smartTag>
      <w:r>
        <w:rPr>
          <w:lang w:val="es-MX"/>
        </w:rPr>
        <w:t xml:space="preserve"> Luisa Riva Aramayo.</w:t>
      </w:r>
    </w:p>
    <w:p w:rsidR="00224567" w:rsidRDefault="00224567">
      <w:pPr>
        <w:widowControl w:val="0"/>
        <w:rPr>
          <w:lang w:val="es-MX"/>
        </w:rPr>
      </w:pPr>
      <w:r>
        <w:rPr>
          <w:lang w:val="es-MX"/>
        </w:rPr>
        <w:tab/>
        <w:t>É</w:t>
      </w:r>
      <w:r>
        <w:t>ste, señaló la defensa, era el nuevo camino que tomarían las declaraciones de Telleldín; un c</w:t>
      </w:r>
      <w:r>
        <w:t>a</w:t>
      </w:r>
      <w:r>
        <w:t xml:space="preserve">mino absolutamente ilegal y que </w:t>
      </w:r>
      <w:r>
        <w:rPr>
          <w:lang w:val="es-MX"/>
        </w:rPr>
        <w:t>consistía en armar, a tr</w:t>
      </w:r>
      <w:r>
        <w:rPr>
          <w:lang w:val="es-MX"/>
        </w:rPr>
        <w:t>a</w:t>
      </w:r>
      <w:r>
        <w:rPr>
          <w:lang w:val="es-MX"/>
        </w:rPr>
        <w:t>vés del único imputado, una historia que “cierre tanto la causa como la responsabilidad sobre encontrar un culp</w:t>
      </w:r>
      <w:r>
        <w:rPr>
          <w:lang w:val="es-MX"/>
        </w:rPr>
        <w:t>a</w:t>
      </w:r>
      <w:r>
        <w:rPr>
          <w:lang w:val="es-MX"/>
        </w:rPr>
        <w:t>ble. Que cierre todas las sospechas que había sobre el pres</w:t>
      </w:r>
      <w:r>
        <w:rPr>
          <w:lang w:val="es-MX"/>
        </w:rPr>
        <w:t>i</w:t>
      </w:r>
      <w:r>
        <w:rPr>
          <w:lang w:val="es-MX"/>
        </w:rPr>
        <w:t>dente Menem. Que cierre absolutamente t</w:t>
      </w:r>
      <w:r>
        <w:rPr>
          <w:lang w:val="es-MX"/>
        </w:rPr>
        <w:t>o</w:t>
      </w:r>
      <w:r>
        <w:rPr>
          <w:lang w:val="es-MX"/>
        </w:rPr>
        <w:t>do”.</w:t>
      </w:r>
    </w:p>
    <w:p w:rsidR="00224567" w:rsidRDefault="00224567">
      <w:pPr>
        <w:widowControl w:val="0"/>
        <w:rPr>
          <w:lang w:val="es-MX"/>
        </w:rPr>
      </w:pPr>
      <w:r>
        <w:rPr>
          <w:lang w:val="es-MX"/>
        </w:rPr>
        <w:tab/>
        <w:t>A entender de la defensa, fue la ju</w:t>
      </w:r>
      <w:r>
        <w:rPr>
          <w:lang w:val="es-MX"/>
        </w:rPr>
        <w:t>e</w:t>
      </w:r>
      <w:r>
        <w:rPr>
          <w:lang w:val="es-MX"/>
        </w:rPr>
        <w:t>za de la cámara federal quien en verdad “intentó utilizar episodios de la realidad para conve</w:t>
      </w:r>
      <w:r>
        <w:rPr>
          <w:lang w:val="es-MX"/>
        </w:rPr>
        <w:t>r</w:t>
      </w:r>
      <w:r>
        <w:rPr>
          <w:lang w:val="es-MX"/>
        </w:rPr>
        <w:t>tirlos en una historia creíble, junto con las mentiras que se fueron arma</w:t>
      </w:r>
      <w:r>
        <w:rPr>
          <w:lang w:val="es-MX"/>
        </w:rPr>
        <w:t>n</w:t>
      </w:r>
      <w:r>
        <w:rPr>
          <w:lang w:val="es-MX"/>
        </w:rPr>
        <w:t>do”.</w:t>
      </w:r>
    </w:p>
    <w:p w:rsidR="00224567" w:rsidRDefault="00224567">
      <w:pPr>
        <w:widowControl w:val="0"/>
        <w:rPr>
          <w:lang w:val="es-MX"/>
        </w:rPr>
      </w:pPr>
      <w:r>
        <w:rPr>
          <w:lang w:val="es-MX"/>
        </w:rPr>
        <w:tab/>
        <w:t>En esa época, explicó, había transc</w:t>
      </w:r>
      <w:r>
        <w:rPr>
          <w:lang w:val="es-MX"/>
        </w:rPr>
        <w:t>u</w:t>
      </w:r>
      <w:r>
        <w:rPr>
          <w:lang w:val="es-MX"/>
        </w:rPr>
        <w:t xml:space="preserve">rrido el </w:t>
      </w:r>
      <w:r>
        <w:rPr>
          <w:bCs/>
          <w:iCs/>
          <w:lang w:val="es-MX"/>
        </w:rPr>
        <w:t>primer aniversario del atentado</w:t>
      </w:r>
      <w:r>
        <w:rPr>
          <w:b/>
          <w:i/>
          <w:lang w:val="es-MX"/>
        </w:rPr>
        <w:t xml:space="preserve"> </w:t>
      </w:r>
      <w:r>
        <w:rPr>
          <w:lang w:val="es-MX"/>
        </w:rPr>
        <w:t>y, ante toda la comunidad judía, Rubén Beraja dio una respuesta que sólo la podía conocer si era parte de la maniobra que se estaba gestando. Así, el 18 de julio de 1995 el no</w:t>
      </w:r>
      <w:r>
        <w:rPr>
          <w:lang w:val="es-MX"/>
        </w:rPr>
        <w:t>m</w:t>
      </w:r>
      <w:r>
        <w:rPr>
          <w:lang w:val="es-MX"/>
        </w:rPr>
        <w:t>brado dijo que “</w:t>
      </w:r>
      <w:smartTag w:uri="urn:schemas-microsoft-com:office:smarttags" w:element="PersonName">
        <w:smartTagPr>
          <w:attr w:name="ProductID" w:val="la Polic￭a Bonaerense"/>
        </w:smartTagPr>
        <w:r>
          <w:rPr>
            <w:bCs/>
            <w:iCs/>
            <w:lang w:val="es-MX"/>
          </w:rPr>
          <w:t>la Policía Bonaerense</w:t>
        </w:r>
      </w:smartTag>
      <w:r>
        <w:rPr>
          <w:bCs/>
          <w:iCs/>
          <w:lang w:val="es-MX"/>
        </w:rPr>
        <w:t xml:space="preserve"> está involucrada en el atentado, </w:t>
      </w:r>
      <w:r>
        <w:rPr>
          <w:bCs/>
          <w:iCs/>
          <w:lang w:val="es-MX"/>
        </w:rPr>
        <w:lastRenderedPageBreak/>
        <w:t>que Telleldín diga lo que tiene que d</w:t>
      </w:r>
      <w:r>
        <w:rPr>
          <w:bCs/>
          <w:iCs/>
          <w:lang w:val="es-MX"/>
        </w:rPr>
        <w:t>e</w:t>
      </w:r>
      <w:r>
        <w:rPr>
          <w:bCs/>
          <w:iCs/>
          <w:lang w:val="es-MX"/>
        </w:rPr>
        <w:t>cir y que se vaya a su casa”.</w:t>
      </w:r>
    </w:p>
    <w:p w:rsidR="00224567" w:rsidRDefault="00224567">
      <w:pPr>
        <w:widowControl w:val="0"/>
        <w:ind w:firstLine="2835"/>
        <w:rPr>
          <w:lang w:val="es-MX"/>
        </w:rPr>
      </w:pPr>
      <w:r>
        <w:rPr>
          <w:lang w:val="es-MX"/>
        </w:rPr>
        <w:t>Es claro, argumentó, que el nombrado tenía conocimiento directo de la imputación por parte de la mencionada camarista y el juez instructor, razón que explica que, un año antes de la declaración indagatoria del 5 de julio de 1996 y sin que mediara ninguna consta</w:t>
      </w:r>
      <w:r>
        <w:rPr>
          <w:lang w:val="es-MX"/>
        </w:rPr>
        <w:t>n</w:t>
      </w:r>
      <w:r>
        <w:rPr>
          <w:lang w:val="es-MX"/>
        </w:rPr>
        <w:t>cia en la causa, el e</w:t>
      </w:r>
      <w:r>
        <w:rPr>
          <w:lang w:val="es-MX"/>
        </w:rPr>
        <w:t>n</w:t>
      </w:r>
      <w:r>
        <w:rPr>
          <w:lang w:val="es-MX"/>
        </w:rPr>
        <w:t>tonces representante de la querella involucrara a los policías bonaere</w:t>
      </w:r>
      <w:r>
        <w:rPr>
          <w:lang w:val="es-MX"/>
        </w:rPr>
        <w:t>n</w:t>
      </w:r>
      <w:r>
        <w:rPr>
          <w:lang w:val="es-MX"/>
        </w:rPr>
        <w:t>ses.</w:t>
      </w:r>
    </w:p>
    <w:p w:rsidR="00224567" w:rsidRDefault="00224567">
      <w:pPr>
        <w:pStyle w:val="Textoindependiente"/>
        <w:spacing w:line="600" w:lineRule="auto"/>
      </w:pPr>
      <w:r>
        <w:tab/>
        <w:t xml:space="preserve">La frase antedicha, expresó la defensa, era en realidad un mensaje a Telleldín en el sentido </w:t>
      </w:r>
      <w:r>
        <w:rPr>
          <w:bCs/>
          <w:iCs/>
        </w:rPr>
        <w:t>que los representantes de la comunidad judía sabían claramente de su inocencia –como tantas veces se lo dijo pers</w:t>
      </w:r>
      <w:r>
        <w:rPr>
          <w:bCs/>
          <w:iCs/>
        </w:rPr>
        <w:t>o</w:t>
      </w:r>
      <w:r>
        <w:rPr>
          <w:bCs/>
          <w:iCs/>
        </w:rPr>
        <w:t xml:space="preserve">nalmente-, pero que tenía que cumplir con lo que le pedía </w:t>
      </w:r>
      <w:smartTag w:uri="urn:schemas-microsoft-com:office:smarttags" w:element="PersonName">
        <w:smartTagPr>
          <w:attr w:name="ProductID" w:val="la Dra. Riva"/>
        </w:smartTagPr>
        <w:r>
          <w:rPr>
            <w:bCs/>
            <w:iCs/>
          </w:rPr>
          <w:t>la Dra. Riva</w:t>
        </w:r>
      </w:smartTag>
      <w:r>
        <w:rPr>
          <w:bCs/>
          <w:iCs/>
        </w:rPr>
        <w:t xml:space="preserve"> Aramayo; a saber, alinea</w:t>
      </w:r>
      <w:r>
        <w:rPr>
          <w:bCs/>
          <w:iCs/>
        </w:rPr>
        <w:t>r</w:t>
      </w:r>
      <w:r>
        <w:rPr>
          <w:bCs/>
          <w:iCs/>
        </w:rPr>
        <w:t>se a la historia creíble de la que hablaba.</w:t>
      </w:r>
    </w:p>
    <w:p w:rsidR="00224567" w:rsidRDefault="00224567">
      <w:pPr>
        <w:pStyle w:val="Textoindependiente"/>
        <w:spacing w:line="600" w:lineRule="auto"/>
      </w:pPr>
      <w:r>
        <w:tab/>
        <w:t>Su asistido, continúo relatando, decidió e</w:t>
      </w:r>
      <w:r>
        <w:t>n</w:t>
      </w:r>
      <w:r>
        <w:t>tonces escribir un manuscrito con la ayuda de Damo</w:t>
      </w:r>
      <w:r>
        <w:t>n</w:t>
      </w:r>
      <w:r>
        <w:t>te, tal como se lo pidió Riva Aramayo. Sin embargo, T</w:t>
      </w:r>
      <w:r>
        <w:t>e</w:t>
      </w:r>
      <w:r>
        <w:t>lleldín volcó en ese documento toda la verdad de lo ocurrido, la misma que contó desde el primer día. Esto es, “la venta de la c</w:t>
      </w:r>
      <w:r>
        <w:t>a</w:t>
      </w:r>
      <w:r>
        <w:lastRenderedPageBreak/>
        <w:t xml:space="preserve">mioneta a Ramón Martínez y la presencia sospechosa de </w:t>
      </w:r>
      <w:smartTag w:uri="urn:schemas-microsoft-com:office:smarttags" w:element="PersonName">
        <w:smartTagPr>
          <w:attr w:name="ProductID" w:val="la Polic￭a Bonaerense"/>
        </w:smartTagPr>
        <w:r>
          <w:t>la Policía Bonaerense</w:t>
        </w:r>
      </w:smartTag>
      <w:r>
        <w:t xml:space="preserve"> el mismo 10 de julio de 1994 en las i</w:t>
      </w:r>
      <w:r>
        <w:t>n</w:t>
      </w:r>
      <w:r>
        <w:t>mediaciones del lugar y de otros automóviles no identific</w:t>
      </w:r>
      <w:r>
        <w:t>a</w:t>
      </w:r>
      <w:r>
        <w:t>bles”. La única verdad, señaló, eran sus si</w:t>
      </w:r>
      <w:r>
        <w:t>m</w:t>
      </w:r>
      <w:r>
        <w:t>ples sospechas.</w:t>
      </w:r>
    </w:p>
    <w:p w:rsidR="00224567" w:rsidRDefault="00224567">
      <w:pPr>
        <w:pStyle w:val="Textoindependiente"/>
        <w:spacing w:line="600" w:lineRule="auto"/>
      </w:pPr>
      <w:r>
        <w:tab/>
        <w:t xml:space="preserve">Afirmó que </w:t>
      </w:r>
      <w:smartTag w:uri="urn:schemas-microsoft-com:office:smarttags" w:element="PersonName">
        <w:smartTagPr>
          <w:attr w:name="ProductID" w:val="la Dra. Riva"/>
        </w:smartTagPr>
        <w:r>
          <w:t>la Dra. Riva</w:t>
        </w:r>
      </w:smartTag>
      <w:r>
        <w:t xml:space="preserve"> Aramayo concret</w:t>
      </w:r>
      <w:r>
        <w:t>a</w:t>
      </w:r>
      <w:r>
        <w:t>mente pidió a Telleldín que declare que Ramón Ma</w:t>
      </w:r>
      <w:r>
        <w:t>r</w:t>
      </w:r>
      <w:r>
        <w:t>tínez no existe; que sostenga que el firmante del boleto fue Eduardo Telle</w:t>
      </w:r>
      <w:r>
        <w:t>l</w:t>
      </w:r>
      <w:r>
        <w:t>dín; que mantenga las extorsiones de la brigadas de Lanús y Vicente López declaradas ante la cámara; que niegue defin</w:t>
      </w:r>
      <w:r>
        <w:t>i</w:t>
      </w:r>
      <w:r>
        <w:t>tivamente la venta del 10 de julio de 1994 y que sostenga que los policías bonaerenses le sacaron la camioneta por medio de una extorsión.</w:t>
      </w:r>
    </w:p>
    <w:p w:rsidR="00224567" w:rsidRDefault="00224567">
      <w:pPr>
        <w:pStyle w:val="Textoindependiente"/>
        <w:spacing w:line="600" w:lineRule="auto"/>
        <w:rPr>
          <w:bCs/>
          <w:iCs/>
        </w:rPr>
      </w:pPr>
      <w:r>
        <w:tab/>
        <w:t xml:space="preserve">Dijo que “la historia que a ella le parecía creíble, era el famoso efecto dominó: </w:t>
      </w:r>
      <w:r>
        <w:rPr>
          <w:bCs/>
          <w:iCs/>
        </w:rPr>
        <w:t>los policías te e</w:t>
      </w:r>
      <w:r>
        <w:rPr>
          <w:bCs/>
          <w:iCs/>
        </w:rPr>
        <w:t>x</w:t>
      </w:r>
      <w:r>
        <w:rPr>
          <w:bCs/>
          <w:iCs/>
        </w:rPr>
        <w:t>torsionaron acá, te extorsionaron acá, ento</w:t>
      </w:r>
      <w:r>
        <w:rPr>
          <w:bCs/>
          <w:iCs/>
        </w:rPr>
        <w:t>n</w:t>
      </w:r>
      <w:r>
        <w:rPr>
          <w:bCs/>
          <w:iCs/>
        </w:rPr>
        <w:t>ces es creíble que te extorsionaron acá”, al</w:t>
      </w:r>
      <w:r>
        <w:rPr>
          <w:bCs/>
          <w:iCs/>
        </w:rPr>
        <w:t>u</w:t>
      </w:r>
      <w:r>
        <w:rPr>
          <w:bCs/>
          <w:iCs/>
        </w:rPr>
        <w:t>diendo al día 10 de julio de 1994.</w:t>
      </w:r>
    </w:p>
    <w:p w:rsidR="00224567" w:rsidRDefault="00224567">
      <w:pPr>
        <w:pStyle w:val="Textoindependiente"/>
        <w:spacing w:line="600" w:lineRule="auto"/>
        <w:ind w:firstLine="2835"/>
      </w:pPr>
      <w:r>
        <w:t>Una vez armada la “historia”, se co</w:t>
      </w:r>
      <w:r>
        <w:t>n</w:t>
      </w:r>
      <w:r>
        <w:t>feccionó un croquis con todo lo acontecido el 10 de julio de 1994. Además, expresó, exigieron a su asistido que apo</w:t>
      </w:r>
      <w:r>
        <w:t>r</w:t>
      </w:r>
      <w:r>
        <w:lastRenderedPageBreak/>
        <w:t xml:space="preserve">tara un testigo que pudiera confirmar sus dichos para que sea más creíble. Como prueba de ello, la defensa expresó que en el video del 1º de julio de 1996 Telleldín comentó al secretario Javier De Gamas “tengo el testigo clave que me pidió </w:t>
      </w:r>
      <w:smartTag w:uri="urn:schemas-microsoft-com:office:smarttags" w:element="PersonName">
        <w:smartTagPr>
          <w:attr w:name="ProductID" w:val="la Dra. Riva"/>
        </w:smartTagPr>
        <w:r>
          <w:t>la Dra. Riva</w:t>
        </w:r>
      </w:smartTag>
      <w:r>
        <w:t xml:space="preserve"> Aramayo”.</w:t>
      </w:r>
    </w:p>
    <w:p w:rsidR="00224567" w:rsidRDefault="00224567">
      <w:pPr>
        <w:pStyle w:val="Textoindependiente"/>
        <w:spacing w:line="600" w:lineRule="auto"/>
      </w:pPr>
      <w:r>
        <w:tab/>
        <w:t>La defensa sostuvo que su asistido “estaba acorralado” porque “le estaban  inventando  prueba en su contra y los fiscales y querellas amenazaban con poner pr</w:t>
      </w:r>
      <w:r>
        <w:t>e</w:t>
      </w:r>
      <w:r>
        <w:t>sa a su esposa Ana Boragni”. La letrada indicó que, esta vez, la presión provenía -según los dichos de la camarista- del “pres</w:t>
      </w:r>
      <w:r>
        <w:t>i</w:t>
      </w:r>
      <w:r>
        <w:t xml:space="preserve">dente de </w:t>
      </w:r>
      <w:smartTag w:uri="urn:schemas-microsoft-com:office:smarttags" w:element="PersonName">
        <w:smartTagPr>
          <w:attr w:name="ProductID" w:val="la Naci￳n"/>
        </w:smartTagPr>
        <w:r>
          <w:t>la Nación</w:t>
        </w:r>
      </w:smartTag>
      <w:r>
        <w:t>, el ministro más poderoso del momento –Carlos Corach-, la presidente de la cámara que, además, pertenecía a la sala superior de Gale</w:t>
      </w:r>
      <w:r>
        <w:t>a</w:t>
      </w:r>
      <w:r>
        <w:t>no, el juez y los representantes de A.M.I.A. y D.A.I.A.”.</w:t>
      </w:r>
    </w:p>
    <w:p w:rsidR="00224567" w:rsidRDefault="00224567">
      <w:pPr>
        <w:pStyle w:val="Textoindependiente"/>
        <w:spacing w:line="600" w:lineRule="auto"/>
      </w:pPr>
      <w:r>
        <w:tab/>
        <w:t>Para completar la maniobra, expr</w:t>
      </w:r>
      <w:r>
        <w:t>e</w:t>
      </w:r>
      <w:r>
        <w:t>só, se gestó una operación de prensa exponiendo los dichos que, supue</w:t>
      </w:r>
      <w:r>
        <w:t>s</w:t>
      </w:r>
      <w:r>
        <w:t xml:space="preserve">tamente, Telleldín dijo a </w:t>
      </w:r>
      <w:smartTag w:uri="urn:schemas-microsoft-com:office:smarttags" w:element="PersonName">
        <w:smartTagPr>
          <w:attr w:name="ProductID" w:val="la Dra. Riva"/>
        </w:smartTagPr>
        <w:r>
          <w:t>la Dra. Riva</w:t>
        </w:r>
      </w:smartTag>
      <w:r>
        <w:t xml:space="preserve"> Aramayo cuando, en realidad, se plasmaban las propias exigencias del poder. Ante ello, el juez instructor se comunicó con la jueza de referencia y dejó constancia de que ésta había mantenido reuniones con Telleldín.</w:t>
      </w:r>
    </w:p>
    <w:p w:rsidR="00224567" w:rsidRDefault="00224567">
      <w:pPr>
        <w:pStyle w:val="Textoindependiente"/>
        <w:spacing w:line="600" w:lineRule="auto"/>
        <w:rPr>
          <w:bCs/>
          <w:iCs/>
        </w:rPr>
      </w:pPr>
      <w:r>
        <w:lastRenderedPageBreak/>
        <w:tab/>
        <w:t>A fs. 37.376, el 15 de agosto de 1994, el m</w:t>
      </w:r>
      <w:r>
        <w:t>a</w:t>
      </w:r>
      <w:r>
        <w:t>gistrado instructor asentó que ésta le hizo saber que ma</w:t>
      </w:r>
      <w:r>
        <w:t>n</w:t>
      </w:r>
      <w:r>
        <w:t>tuvo entrevistas con Telleldín, a requerimiento de la d</w:t>
      </w:r>
      <w:r>
        <w:t>e</w:t>
      </w:r>
      <w:r>
        <w:t>fensa, informando que “</w:t>
      </w:r>
      <w:r>
        <w:rPr>
          <w:bCs/>
          <w:iCs/>
        </w:rPr>
        <w:t>el nombrado le dijo que no existía Ramón Martínez, y que el boleto de compraventa era falso, que el nombrado le había trazado un plano a mano alzada en una hoja de la agenda de la magistrada que se comprometió a entregarme a la brevedad, pues Telleldín le indicó que si Galeano y su equ</w:t>
      </w:r>
      <w:r>
        <w:rPr>
          <w:bCs/>
          <w:iCs/>
        </w:rPr>
        <w:t>i</w:t>
      </w:r>
      <w:r>
        <w:rPr>
          <w:bCs/>
          <w:iCs/>
        </w:rPr>
        <w:t>po lo veían se darían cuenta de todo”.</w:t>
      </w:r>
    </w:p>
    <w:p w:rsidR="00224567" w:rsidRDefault="00224567">
      <w:pPr>
        <w:pStyle w:val="Textoindependiente"/>
        <w:spacing w:line="600" w:lineRule="auto"/>
        <w:ind w:firstLine="2835"/>
      </w:pPr>
      <w:r>
        <w:t>Expresó la abogada defensora de Telle</w:t>
      </w:r>
      <w:r>
        <w:t>l</w:t>
      </w:r>
      <w:r>
        <w:t>dín que fue el “broche de oro” puesto que Riva Aramayo s</w:t>
      </w:r>
      <w:r>
        <w:t>u</w:t>
      </w:r>
      <w:r>
        <w:t>puestamente transmitía al juez a cargo de la causa lo que le había manifestado su asistido, a pesar de que “nada de esto era cierto”. En realidad, dijo, eran las bases de lo que la jueza había sol</w:t>
      </w:r>
      <w:r>
        <w:t>i</w:t>
      </w:r>
      <w:r>
        <w:t>citado a Telleldín.</w:t>
      </w:r>
    </w:p>
    <w:p w:rsidR="00224567" w:rsidRDefault="00224567">
      <w:pPr>
        <w:pStyle w:val="Textoindependiente"/>
        <w:spacing w:line="600" w:lineRule="auto"/>
      </w:pPr>
      <w:r>
        <w:tab/>
        <w:t>De ninguna forma, enfatizó la l</w:t>
      </w:r>
      <w:r>
        <w:t>e</w:t>
      </w:r>
      <w:r>
        <w:t>trada, el Dr. Stinfale solicitó la entrevista a la jueza Riva Aramayo. Sostuvo que, tal como lo declaró Rubén Beraja, fue una idea de la nombrada para buscar un nuevo camino porque “ella s</w:t>
      </w:r>
      <w:r>
        <w:t>a</w:t>
      </w:r>
      <w:r>
        <w:t>bía como tratarlo”. Además, observó la defensora, la ju</w:t>
      </w:r>
      <w:r>
        <w:t>e</w:t>
      </w:r>
      <w:r>
        <w:t xml:space="preserve">za </w:t>
      </w:r>
      <w:r>
        <w:lastRenderedPageBreak/>
        <w:t>no podía justificar que visitaba al imputado sin dejar constancia en la causa, ni contar con la autorización del magistrado instru</w:t>
      </w:r>
      <w:r>
        <w:t>c</w:t>
      </w:r>
      <w:r>
        <w:t>tor.</w:t>
      </w:r>
    </w:p>
    <w:p w:rsidR="00224567" w:rsidRDefault="00224567">
      <w:pPr>
        <w:pStyle w:val="Textoindependiente"/>
        <w:spacing w:line="600" w:lineRule="auto"/>
        <w:ind w:firstLine="2835"/>
      </w:pPr>
      <w:r>
        <w:t>De todos modos, añadió, la entrevista en esas condiciones no estaba permitida por las disposici</w:t>
      </w:r>
      <w:r>
        <w:t>o</w:t>
      </w:r>
      <w:r>
        <w:t>nes procesales.</w:t>
      </w:r>
    </w:p>
    <w:p w:rsidR="00224567" w:rsidRDefault="00224567">
      <w:pPr>
        <w:pStyle w:val="Textoindependiente"/>
        <w:spacing w:line="600" w:lineRule="auto"/>
      </w:pPr>
      <w:r>
        <w:tab/>
        <w:t>Explicó la letrada que para entonces “no e</w:t>
      </w:r>
      <w:r>
        <w:t>s</w:t>
      </w:r>
      <w:r>
        <w:t>taba armada toda la historia” y por eso transcurri</w:t>
      </w:r>
      <w:r>
        <w:t>e</w:t>
      </w:r>
      <w:r>
        <w:t>ron unos veinte días más para que Riva Aramayo acercara el mentado croquis. Resultó llamativo que el juez instructor no hubi</w:t>
      </w:r>
      <w:r>
        <w:t>e</w:t>
      </w:r>
      <w:r>
        <w:t>ra solicitado en forma urgente la e</w:t>
      </w:r>
      <w:r>
        <w:t>n</w:t>
      </w:r>
      <w:r>
        <w:t>trega del plano; máxime cuando, supue</w:t>
      </w:r>
      <w:r>
        <w:t>s</w:t>
      </w:r>
      <w:r>
        <w:t>tamente, era la clave de la causa. Lo que es pero aún, expresó, “pusieron en su boca palabras que eran de la camarista y blanquearon el invento como si hubiera sido idea de T</w:t>
      </w:r>
      <w:r>
        <w:t>e</w:t>
      </w:r>
      <w:r>
        <w:t>lleldín”.</w:t>
      </w:r>
    </w:p>
    <w:p w:rsidR="00224567" w:rsidRDefault="00224567">
      <w:pPr>
        <w:pStyle w:val="Textoindependiente"/>
        <w:spacing w:line="600" w:lineRule="auto"/>
      </w:pPr>
      <w:r>
        <w:tab/>
        <w:t>Indicó que el 5 de septiembre de 1995 (fs. 37.382), el juez instructor dejó constancia del supuesto relato que Telleldín habría efectuado a Riva Aramayo e, i</w:t>
      </w:r>
      <w:r>
        <w:t>n</w:t>
      </w:r>
      <w:r>
        <w:t>cluso, aportó el plano que, según la constancia antes ind</w:t>
      </w:r>
      <w:r>
        <w:t>i</w:t>
      </w:r>
      <w:r>
        <w:t>cada, su asistido habría confeccionado en la agenda de la magistrada.</w:t>
      </w:r>
    </w:p>
    <w:p w:rsidR="00224567" w:rsidRDefault="00224567">
      <w:pPr>
        <w:pStyle w:val="Textoindependiente"/>
        <w:spacing w:line="600" w:lineRule="auto"/>
      </w:pPr>
      <w:r>
        <w:lastRenderedPageBreak/>
        <w:tab/>
        <w:t>Sin embargo, expresó, los peritajes caligr</w:t>
      </w:r>
      <w:r>
        <w:t>á</w:t>
      </w:r>
      <w:r>
        <w:t>ficos realizados sobre el croquis descartaron la a</w:t>
      </w:r>
      <w:r>
        <w:t>u</w:t>
      </w:r>
      <w:r>
        <w:t xml:space="preserve">toría de Telleldín en su confección. Siendo ello así, concluyó la letrada, no queda otra alternativa que afirmar que lo realizó </w:t>
      </w:r>
      <w:smartTag w:uri="urn:schemas-microsoft-com:office:smarttags" w:element="PersonName">
        <w:smartTagPr>
          <w:attr w:name="ProductID" w:val="la Dra. Riva"/>
        </w:smartTagPr>
        <w:r>
          <w:t>la Dra. Riva</w:t>
        </w:r>
      </w:smartTag>
      <w:r>
        <w:t xml:space="preserve"> Aramayo de su puño y letra, tal como lo denunció su asistido.</w:t>
      </w:r>
    </w:p>
    <w:p w:rsidR="00224567" w:rsidRDefault="00224567">
      <w:pPr>
        <w:pStyle w:val="Textoindependiente"/>
        <w:spacing w:line="600" w:lineRule="auto"/>
      </w:pPr>
      <w:r>
        <w:tab/>
        <w:t>En el croquis se describió la supuesta exto</w:t>
      </w:r>
      <w:r>
        <w:t>r</w:t>
      </w:r>
      <w:r>
        <w:t>sión del 10 de julio de 1994 por medio de la cual su asi</w:t>
      </w:r>
      <w:r>
        <w:t>s</w:t>
      </w:r>
      <w:r>
        <w:t>tido entregó la camioneta a los policías bonaerenses imp</w:t>
      </w:r>
      <w:r>
        <w:t>u</w:t>
      </w:r>
      <w:r>
        <w:t>tados en la causa.</w:t>
      </w:r>
    </w:p>
    <w:p w:rsidR="00224567" w:rsidRDefault="00224567">
      <w:pPr>
        <w:pStyle w:val="Textoindependiente"/>
        <w:spacing w:line="600" w:lineRule="auto"/>
      </w:pPr>
      <w:r>
        <w:tab/>
        <w:t>El extremo, afirmó la defensa, constituye “prueba palmaria que la historia fue inventada por el pr</w:t>
      </w:r>
      <w:r>
        <w:t>o</w:t>
      </w:r>
      <w:r>
        <w:t>pio Poder Judicial”, sobre todo, dijo, porque en la con</w:t>
      </w:r>
      <w:r>
        <w:t>s</w:t>
      </w:r>
      <w:r>
        <w:t xml:space="preserve">tancia judicial que certifica los dichos de la camarista, ésta habría manifestado que </w:t>
      </w:r>
      <w:r>
        <w:rPr>
          <w:bCs/>
          <w:iCs/>
        </w:rPr>
        <w:t>el plano fue co</w:t>
      </w:r>
      <w:r>
        <w:rPr>
          <w:bCs/>
          <w:iCs/>
        </w:rPr>
        <w:t>n</w:t>
      </w:r>
      <w:r>
        <w:rPr>
          <w:bCs/>
          <w:iCs/>
        </w:rPr>
        <w:t>feccionado por Telleldín a mano a</w:t>
      </w:r>
      <w:r>
        <w:rPr>
          <w:bCs/>
          <w:iCs/>
        </w:rPr>
        <w:t>l</w:t>
      </w:r>
      <w:r>
        <w:rPr>
          <w:bCs/>
          <w:iCs/>
        </w:rPr>
        <w:t>zada.</w:t>
      </w:r>
      <w:r>
        <w:t xml:space="preserve"> </w:t>
      </w:r>
    </w:p>
    <w:p w:rsidR="00224567" w:rsidRDefault="00224567">
      <w:pPr>
        <w:pStyle w:val="Textoindependiente"/>
        <w:spacing w:line="600" w:lineRule="auto"/>
      </w:pPr>
      <w:r>
        <w:tab/>
        <w:t xml:space="preserve">Entonces, concluyó, quien mintió fue </w:t>
      </w:r>
      <w:smartTag w:uri="urn:schemas-microsoft-com:office:smarttags" w:element="PersonName">
        <w:smartTagPr>
          <w:attr w:name="ProductID" w:val="la Dra. Riva"/>
        </w:smartTagPr>
        <w:r>
          <w:t>la Dra. Riva</w:t>
        </w:r>
      </w:smartTag>
      <w:r>
        <w:t xml:space="preserve"> Aramayo con la complicidad del juez Gale</w:t>
      </w:r>
      <w:r>
        <w:t>a</w:t>
      </w:r>
      <w:r>
        <w:t>no y, dedujo, que no se le tomó declaración testimonial a la jueza alud</w:t>
      </w:r>
      <w:r>
        <w:t>i</w:t>
      </w:r>
      <w:r>
        <w:t>da para no involucrarla en un falso testimonio o, en su c</w:t>
      </w:r>
      <w:r>
        <w:t>a</w:t>
      </w:r>
      <w:r>
        <w:lastRenderedPageBreak/>
        <w:t xml:space="preserve">so, evitar exponerla a un posible careo con el imputado. </w:t>
      </w:r>
    </w:p>
    <w:p w:rsidR="00224567" w:rsidRDefault="00224567">
      <w:pPr>
        <w:pStyle w:val="Textoindependiente"/>
        <w:spacing w:line="600" w:lineRule="auto"/>
        <w:ind w:firstLine="2835"/>
        <w:rPr>
          <w:bCs/>
          <w:iCs/>
        </w:rPr>
      </w:pPr>
      <w:r>
        <w:t>Expuso la defensa que, supuestamente, en septiembre de 1995 Telleldín había explicado el de</w:t>
      </w:r>
      <w:r>
        <w:t>s</w:t>
      </w:r>
      <w:r>
        <w:t xml:space="preserve">tino que tuvo la camioneta involucrada en el atentado </w:t>
      </w:r>
      <w:r>
        <w:rPr>
          <w:bCs/>
          <w:iCs/>
        </w:rPr>
        <w:t>y el m</w:t>
      </w:r>
      <w:r>
        <w:rPr>
          <w:bCs/>
          <w:iCs/>
        </w:rPr>
        <w:t>a</w:t>
      </w:r>
      <w:r>
        <w:rPr>
          <w:bCs/>
          <w:iCs/>
        </w:rPr>
        <w:t>gistrado instructor aguardó hasta el mes de julio del año siguiente, es decir casi un año, para ampliar su declar</w:t>
      </w:r>
      <w:r>
        <w:rPr>
          <w:bCs/>
          <w:iCs/>
        </w:rPr>
        <w:t>a</w:t>
      </w:r>
      <w:r>
        <w:rPr>
          <w:bCs/>
          <w:iCs/>
        </w:rPr>
        <w:t>ción indagat</w:t>
      </w:r>
      <w:r>
        <w:rPr>
          <w:bCs/>
          <w:iCs/>
        </w:rPr>
        <w:t>o</w:t>
      </w:r>
      <w:r>
        <w:rPr>
          <w:bCs/>
          <w:iCs/>
        </w:rPr>
        <w:t>ria.</w:t>
      </w:r>
    </w:p>
    <w:p w:rsidR="00224567" w:rsidRDefault="00224567">
      <w:pPr>
        <w:pStyle w:val="Textoindependiente"/>
        <w:spacing w:line="600" w:lineRule="auto"/>
        <w:rPr>
          <w:bCs/>
          <w:iCs/>
        </w:rPr>
      </w:pPr>
      <w:r>
        <w:tab/>
        <w:t xml:space="preserve">Por otra parte, sostuvo que la maniobra de dejar constancia de las falsedades expuestas por </w:t>
      </w:r>
      <w:smartTag w:uri="urn:schemas-microsoft-com:office:smarttags" w:element="PersonName">
        <w:smartTagPr>
          <w:attr w:name="ProductID" w:val="la Dra. Riva"/>
        </w:smartTagPr>
        <w:r>
          <w:t>la Dra. Riva</w:t>
        </w:r>
      </w:smartTag>
      <w:r>
        <w:t xml:space="preserve"> Aramayo respondía a la necesidad de “acorralar a T</w:t>
      </w:r>
      <w:r>
        <w:t>e</w:t>
      </w:r>
      <w:r>
        <w:t>lleldín” puesto que, cualquier otra cosa que dijera trata</w:t>
      </w:r>
      <w:r>
        <w:t>n</w:t>
      </w:r>
      <w:r>
        <w:t>do de desmentir los dichos de una camarista del prestigio que tenía la nombrada en aquella ép</w:t>
      </w:r>
      <w:r>
        <w:t>o</w:t>
      </w:r>
      <w:r>
        <w:t xml:space="preserve">ca, nadie lo creería y </w:t>
      </w:r>
      <w:r>
        <w:rPr>
          <w:bCs/>
          <w:iCs/>
        </w:rPr>
        <w:t>otra vez, se diría que Telle</w:t>
      </w:r>
      <w:r>
        <w:rPr>
          <w:bCs/>
          <w:iCs/>
        </w:rPr>
        <w:t>l</w:t>
      </w:r>
      <w:r>
        <w:rPr>
          <w:bCs/>
          <w:iCs/>
        </w:rPr>
        <w:t>dín es un mentiroso.</w:t>
      </w:r>
    </w:p>
    <w:p w:rsidR="00224567" w:rsidRDefault="00224567">
      <w:pPr>
        <w:pStyle w:val="Textoindependiente"/>
        <w:spacing w:line="600" w:lineRule="auto"/>
      </w:pPr>
      <w:r>
        <w:tab/>
        <w:t>En esas condiciones, la defensa sostuvo que su pupilo no tenía más alternativa que alinearse a la “hi</w:t>
      </w:r>
      <w:r>
        <w:t>s</w:t>
      </w:r>
      <w:r>
        <w:t>toria oficial”; de lo contrario, arguyó, toda su familia sería detenida por un hecho que, en realidad, no había c</w:t>
      </w:r>
      <w:r>
        <w:t>o</w:t>
      </w:r>
      <w:r>
        <w:t>metido.</w:t>
      </w:r>
    </w:p>
    <w:p w:rsidR="00224567" w:rsidRDefault="00224567">
      <w:pPr>
        <w:pStyle w:val="Textoindependiente"/>
        <w:spacing w:line="600" w:lineRule="auto"/>
      </w:pPr>
      <w:r>
        <w:tab/>
        <w:t>En la última declaración indagatoria de T</w:t>
      </w:r>
      <w:r>
        <w:t>e</w:t>
      </w:r>
      <w:r>
        <w:t>lleldín en el debate hizo referencia a todas las pr</w:t>
      </w:r>
      <w:r>
        <w:t>e</w:t>
      </w:r>
      <w:r>
        <w:t xml:space="preserve">siones </w:t>
      </w:r>
      <w:r>
        <w:lastRenderedPageBreak/>
        <w:t>que sufrió en la causa y entregó un Cód</w:t>
      </w:r>
      <w:r>
        <w:t>i</w:t>
      </w:r>
      <w:r>
        <w:t>go Penal suscripto por el magistrado instructor, que se lo había dado para que estudie las penas que le serían impuestas en caso de no alinearse.</w:t>
      </w:r>
    </w:p>
    <w:p w:rsidR="00224567" w:rsidRDefault="00224567">
      <w:pPr>
        <w:pStyle w:val="Textoindependiente"/>
        <w:spacing w:line="600" w:lineRule="auto"/>
      </w:pPr>
      <w:r>
        <w:tab/>
        <w:t>El 9 de abril de 1996, manifestó la defe</w:t>
      </w:r>
      <w:r>
        <w:t>n</w:t>
      </w:r>
      <w:r>
        <w:t>sa, el juez junto con el prosecretario Pereyra, se pr</w:t>
      </w:r>
      <w:r>
        <w:t>e</w:t>
      </w:r>
      <w:r>
        <w:t>sentó en el lugar de detención de su asistido, oportunidad en que Telleldín asintió a colaborar con sus p</w:t>
      </w:r>
      <w:r>
        <w:t>e</w:t>
      </w:r>
      <w:r>
        <w:t>ticiones.</w:t>
      </w:r>
    </w:p>
    <w:p w:rsidR="00224567" w:rsidRDefault="00224567">
      <w:pPr>
        <w:pStyle w:val="Textoindependiente"/>
        <w:spacing w:line="600" w:lineRule="auto"/>
        <w:ind w:firstLine="2835"/>
      </w:pPr>
      <w:r>
        <w:t>Señaló que el juez, mediante falsed</w:t>
      </w:r>
      <w:r>
        <w:t>a</w:t>
      </w:r>
      <w:r>
        <w:t>des ideológicas, dejó constancia en la causa de todas sus m</w:t>
      </w:r>
      <w:r>
        <w:t>a</w:t>
      </w:r>
      <w:r>
        <w:t>niobras; así, en ocasión de realizar la entrevista de me</w:t>
      </w:r>
      <w:r>
        <w:t>n</w:t>
      </w:r>
      <w:r>
        <w:t xml:space="preserve">ción, explicó a fs. 23.085 que </w:t>
      </w:r>
      <w:r>
        <w:rPr>
          <w:bCs/>
          <w:iCs/>
        </w:rPr>
        <w:t>“cuando concurrió a la vis</w:t>
      </w:r>
      <w:r>
        <w:rPr>
          <w:bCs/>
          <w:iCs/>
        </w:rPr>
        <w:t>i</w:t>
      </w:r>
      <w:r>
        <w:rPr>
          <w:bCs/>
          <w:iCs/>
        </w:rPr>
        <w:t>ta de cárceles en la unidad 2 del S.P.F., donde se encue</w:t>
      </w:r>
      <w:r>
        <w:rPr>
          <w:bCs/>
          <w:iCs/>
        </w:rPr>
        <w:t>n</w:t>
      </w:r>
      <w:r>
        <w:rPr>
          <w:bCs/>
          <w:iCs/>
        </w:rPr>
        <w:t>tran alojados los detenidos Telleldín y Saldaña. En diálogo mantenido con Telleldín éste le solicitó si era factible que concurriera al día siguiente al tribunal con el fin de entrevistarse con su señoría y le manifestó que tenía i</w:t>
      </w:r>
      <w:r>
        <w:rPr>
          <w:bCs/>
          <w:iCs/>
        </w:rPr>
        <w:t>n</w:t>
      </w:r>
      <w:r>
        <w:rPr>
          <w:bCs/>
          <w:iCs/>
        </w:rPr>
        <w:t>convenientes con el agua c</w:t>
      </w:r>
      <w:r>
        <w:rPr>
          <w:bCs/>
          <w:iCs/>
        </w:rPr>
        <w:t>a</w:t>
      </w:r>
      <w:r>
        <w:rPr>
          <w:bCs/>
          <w:iCs/>
        </w:rPr>
        <w:t>liente”.</w:t>
      </w:r>
    </w:p>
    <w:p w:rsidR="00224567" w:rsidRDefault="00224567">
      <w:pPr>
        <w:pStyle w:val="Textoindependiente"/>
        <w:spacing w:line="600" w:lineRule="auto"/>
      </w:pPr>
      <w:r>
        <w:tab/>
        <w:t>Su asistido, prosiguió, explicó que el cont</w:t>
      </w:r>
      <w:r>
        <w:t>e</w:t>
      </w:r>
      <w:r>
        <w:t>nido de la constancia era falso puesto que “el agua calie</w:t>
      </w:r>
      <w:r>
        <w:t>n</w:t>
      </w:r>
      <w:r>
        <w:lastRenderedPageBreak/>
        <w:t>te la había colocado Caserta, que había estado detenido a</w:t>
      </w:r>
      <w:r>
        <w:t>n</w:t>
      </w:r>
      <w:r>
        <w:t>teriormente en ese pabellón”. Además, argumentó, que era absurdo que el imputado solicitara una entrevista cuando, en realidad, el juez se enco</w:t>
      </w:r>
      <w:r>
        <w:t>n</w:t>
      </w:r>
      <w:r>
        <w:t>traba en persona en ese mismo momento; máxime si se tiene en cuenta lo incómodo que son los traslados jud</w:t>
      </w:r>
      <w:r>
        <w:t>i</w:t>
      </w:r>
      <w:r>
        <w:t>ciales para los detenidos.</w:t>
      </w:r>
    </w:p>
    <w:p w:rsidR="00224567" w:rsidRDefault="00224567">
      <w:pPr>
        <w:pStyle w:val="Textoindependiente"/>
        <w:spacing w:line="600" w:lineRule="auto"/>
      </w:pPr>
      <w:r>
        <w:tab/>
        <w:t xml:space="preserve">En definitiva, expresó la defensa, el juez le recalcó al imputado las mismas amenazas proferidas por </w:t>
      </w:r>
      <w:smartTag w:uri="urn:schemas-microsoft-com:office:smarttags" w:element="PersonName">
        <w:smartTagPr>
          <w:attr w:name="ProductID" w:val="la Dra. Riva"/>
        </w:smartTagPr>
        <w:r>
          <w:t>la Dra. Riva</w:t>
        </w:r>
      </w:smartTag>
      <w:r>
        <w:t xml:space="preserve"> Aramayo, diciéndole que “se acercaba un nuevo aniversario y que si él no tenía su colaboración para pr</w:t>
      </w:r>
      <w:r>
        <w:t>o</w:t>
      </w:r>
      <w:r>
        <w:t>ducir detenciones en la causa, entonces procedería a dar curso al pedido de los fisc</w:t>
      </w:r>
      <w:r>
        <w:t>a</w:t>
      </w:r>
      <w:r>
        <w:t>les, de detener a su mujer y a su amigo Hugo Pérez”.</w:t>
      </w:r>
    </w:p>
    <w:p w:rsidR="00224567" w:rsidRDefault="00224567">
      <w:pPr>
        <w:pStyle w:val="Textoindependiente"/>
        <w:spacing w:line="600" w:lineRule="auto"/>
      </w:pPr>
      <w:r>
        <w:tab/>
        <w:t>Frente a esa circunstancia y tal como su asistido lo explicó en su declaración indagat</w:t>
      </w:r>
      <w:r>
        <w:t>o</w:t>
      </w:r>
      <w:r>
        <w:t>ria en el mes de mayo de 2002, Telleldín evaluó que “si tenía que quedar presa gente inocente por este atentado, prefirió que sean los policías que lo habían exto</w:t>
      </w:r>
      <w:r>
        <w:t>r</w:t>
      </w:r>
      <w:r>
        <w:t>sionado y le habían sacado dinero y bienes, antes que quedara presa su familia, su m</w:t>
      </w:r>
      <w:r>
        <w:t>u</w:t>
      </w:r>
      <w:r>
        <w:t>jer y su he</w:t>
      </w:r>
      <w:r>
        <w:t>r</w:t>
      </w:r>
      <w:r>
        <w:t xml:space="preserve">mano”. </w:t>
      </w:r>
    </w:p>
    <w:p w:rsidR="00224567" w:rsidRDefault="00224567">
      <w:pPr>
        <w:pStyle w:val="Textoindependiente"/>
        <w:spacing w:line="600" w:lineRule="auto"/>
      </w:pPr>
      <w:r>
        <w:tab/>
        <w:t xml:space="preserve">Por lo expuesto, solicitó que se investigue </w:t>
      </w:r>
      <w:r>
        <w:lastRenderedPageBreak/>
        <w:t xml:space="preserve">la comisión del delito de falsedad ideológica de documento público en relación a las constancias que lucen a fs. 37.376, 37.382 y 23.085. </w:t>
      </w:r>
    </w:p>
    <w:p w:rsidR="00224567" w:rsidRDefault="00224567">
      <w:pPr>
        <w:pStyle w:val="Textoindependiente"/>
        <w:spacing w:line="600" w:lineRule="auto"/>
      </w:pPr>
      <w:r>
        <w:tab/>
        <w:t>A fs. 5450 de la causa 9789 –expre- só la d</w:t>
      </w:r>
      <w:r>
        <w:t>e</w:t>
      </w:r>
      <w:r>
        <w:t>fensa- la secretaria Susana Spina justificó la maniobra sosteniendo que cuando Telleldín fue convocado el 10 de abril de 1996, no se efectuó acta de comparecencia por cuanto los pedidos ya habían sido canalizados y la inte</w:t>
      </w:r>
      <w:r>
        <w:t>n</w:t>
      </w:r>
      <w:r>
        <w:t>ción del imputado era hablar sobre las constancias del s</w:t>
      </w:r>
      <w:r>
        <w:t>u</w:t>
      </w:r>
      <w:r>
        <w:t>mario, tal como surge del video fi</w:t>
      </w:r>
      <w:r>
        <w:t>l</w:t>
      </w:r>
      <w:r>
        <w:t>mado en la oportunidad.</w:t>
      </w:r>
    </w:p>
    <w:p w:rsidR="00224567" w:rsidRDefault="00224567">
      <w:pPr>
        <w:pStyle w:val="Textoindependiente"/>
        <w:spacing w:line="600" w:lineRule="auto"/>
      </w:pPr>
      <w:r>
        <w:tab/>
        <w:t>La letrada calificó a la explicación como ilógica y autoincriminatoria puesto que, si el imputado pretendía hablar de la causa, al revestir ese carácter, d</w:t>
      </w:r>
      <w:r>
        <w:t>e</w:t>
      </w:r>
      <w:r>
        <w:t>bió haberse volcado todo lo actuado en un acta de declar</w:t>
      </w:r>
      <w:r>
        <w:t>a</w:t>
      </w:r>
      <w:r>
        <w:t>ción indagatoria. Con esa explic</w:t>
      </w:r>
      <w:r>
        <w:t>a</w:t>
      </w:r>
      <w:r>
        <w:t>ción, dijo la abogada, se dejó en claro que lo normal era hablar de la causa sin d</w:t>
      </w:r>
      <w:r>
        <w:t>e</w:t>
      </w:r>
      <w:r>
        <w:t>jar constancia a</w:t>
      </w:r>
      <w:r>
        <w:t>l</w:t>
      </w:r>
      <w:r>
        <w:t>guna.</w:t>
      </w:r>
    </w:p>
    <w:p w:rsidR="00224567" w:rsidRDefault="00224567">
      <w:pPr>
        <w:pStyle w:val="Textoindependiente"/>
        <w:spacing w:line="600" w:lineRule="auto"/>
      </w:pPr>
      <w:r>
        <w:tab/>
        <w:t>En el video en cuestión se advierte lo que la defensa calificó como un “ensayo de la indagatoria”; T</w:t>
      </w:r>
      <w:r>
        <w:t>e</w:t>
      </w:r>
      <w:r>
        <w:t>lleldín, dijo, relató todo lo que había hablado con la ju</w:t>
      </w:r>
      <w:r>
        <w:t>e</w:t>
      </w:r>
      <w:r>
        <w:lastRenderedPageBreak/>
        <w:t>za Riva Aramayo.</w:t>
      </w:r>
    </w:p>
    <w:p w:rsidR="00224567" w:rsidRDefault="00224567">
      <w:pPr>
        <w:pStyle w:val="Textoindependiente"/>
        <w:spacing w:line="600" w:lineRule="auto"/>
        <w:ind w:firstLine="2835"/>
      </w:pPr>
      <w:r>
        <w:t>Señaló la defensa que la cinta no r</w:t>
      </w:r>
      <w:r>
        <w:t>e</w:t>
      </w:r>
      <w:r>
        <w:t>flejaba la totalidad de la entrevista porque -según se o</w:t>
      </w:r>
      <w:r>
        <w:t>b</w:t>
      </w:r>
      <w:r>
        <w:t>servó en el video- la conversación entre el juez y Telle</w:t>
      </w:r>
      <w:r>
        <w:t>l</w:t>
      </w:r>
      <w:r>
        <w:t>dín estaba adelantada y, obviamente, especuló que pr</w:t>
      </w:r>
      <w:r>
        <w:t>e</w:t>
      </w:r>
      <w:r>
        <w:t>vio a esa escena debió haberse visto, al menos, el ingreso de T</w:t>
      </w:r>
      <w:r>
        <w:t>e</w:t>
      </w:r>
      <w:r>
        <w:t>lleldín al despacho y el saludo del juez. Por su pa</w:t>
      </w:r>
      <w:r>
        <w:t>r</w:t>
      </w:r>
      <w:r>
        <w:t>te, su asistido explicó que, incluso, al inicio “se había hablado de todo el tema policial” y se le habían exhibido fotogr</w:t>
      </w:r>
      <w:r>
        <w:t>a</w:t>
      </w:r>
      <w:r>
        <w:t>fías.</w:t>
      </w:r>
    </w:p>
    <w:p w:rsidR="00224567" w:rsidRDefault="00224567">
      <w:pPr>
        <w:pStyle w:val="Textoindependiente"/>
        <w:spacing w:line="600" w:lineRule="auto"/>
      </w:pPr>
      <w:r>
        <w:tab/>
        <w:t>Sostuvo que el video fue editado y que quien lo hizo, colocó un copete de inicio y de final. Quiere d</w:t>
      </w:r>
      <w:r>
        <w:t>e</w:t>
      </w:r>
      <w:r>
        <w:t>cir, pues, que alguien se tomó el trabajo de dejar las im</w:t>
      </w:r>
      <w:r>
        <w:t>á</w:t>
      </w:r>
      <w:r>
        <w:t>genes desde un determinado momento y, para hacerlo más pr</w:t>
      </w:r>
      <w:r>
        <w:t>o</w:t>
      </w:r>
      <w:r>
        <w:t>lijo, hizo una edición completa. En ese sentido, entendió que el juez instructor era quien t</w:t>
      </w:r>
      <w:r>
        <w:t>e</w:t>
      </w:r>
      <w:r>
        <w:t>nía intención de cortar las im</w:t>
      </w:r>
      <w:r>
        <w:t>á</w:t>
      </w:r>
      <w:r>
        <w:t>genes previas. Además, dijo, no se debe olvidar que el video fue aportado con posterioridad a la elevación de la causa y que el magistrado instructor lo remitió cuando le convino.</w:t>
      </w:r>
    </w:p>
    <w:p w:rsidR="00224567" w:rsidRDefault="00224567">
      <w:pPr>
        <w:pStyle w:val="Textoindependiente"/>
        <w:spacing w:line="600" w:lineRule="auto"/>
      </w:pPr>
      <w:r>
        <w:tab/>
        <w:t>Indicó que tanto las querellas como los fi</w:t>
      </w:r>
      <w:r>
        <w:t>s</w:t>
      </w:r>
      <w:r>
        <w:lastRenderedPageBreak/>
        <w:t>cales Mullen y Barbaccia hicieron alarde de la espontane</w:t>
      </w:r>
      <w:r>
        <w:t>i</w:t>
      </w:r>
      <w:r>
        <w:t>dad de Telleldín en esas imágenes. Incl</w:t>
      </w:r>
      <w:r>
        <w:t>u</w:t>
      </w:r>
      <w:r>
        <w:t>so, el juez invocó esa circunstancia para guardar la pru</w:t>
      </w:r>
      <w:r>
        <w:t>e</w:t>
      </w:r>
      <w:r>
        <w:t>ba, conforme surge de la constancia de fs. 1551 de la causa 9789, del 7 de N</w:t>
      </w:r>
      <w:r>
        <w:t>o</w:t>
      </w:r>
      <w:r>
        <w:t>viembre de 2001.</w:t>
      </w:r>
    </w:p>
    <w:p w:rsidR="00224567" w:rsidRDefault="00224567">
      <w:pPr>
        <w:pStyle w:val="Textoindependiente"/>
        <w:spacing w:line="600" w:lineRule="auto"/>
      </w:pPr>
      <w:r>
        <w:tab/>
        <w:t>En verdad, sostuvo la defensa, de las imág</w:t>
      </w:r>
      <w:r>
        <w:t>e</w:t>
      </w:r>
      <w:r>
        <w:t>nes se desprende que el juez “le está tomando lección”; é</w:t>
      </w:r>
      <w:r>
        <w:t>s</w:t>
      </w:r>
      <w:r>
        <w:t>te comienza la frase o el tema y el imputado sigue expl</w:t>
      </w:r>
      <w:r>
        <w:t>i</w:t>
      </w:r>
      <w:r>
        <w:t>cando al respecto.</w:t>
      </w:r>
    </w:p>
    <w:p w:rsidR="00224567" w:rsidRDefault="00224567">
      <w:pPr>
        <w:pStyle w:val="Textoindependiente"/>
        <w:spacing w:line="600" w:lineRule="auto"/>
      </w:pPr>
      <w:r>
        <w:tab/>
        <w:t>En esa oportunidad, Telleldín d</w:t>
      </w:r>
      <w:r>
        <w:t>e</w:t>
      </w:r>
      <w:r>
        <w:t>claró acerca de las extorsiones de las brigadas de investigaciones de Lanús y Vicente López. Es más, el i</w:t>
      </w:r>
      <w:r>
        <w:t>m</w:t>
      </w:r>
      <w:r>
        <w:t>putado expresó al juez que Gustavo Semorile “tiene que quedar preso por la part</w:t>
      </w:r>
      <w:r>
        <w:t>i</w:t>
      </w:r>
      <w:r>
        <w:t xml:space="preserve">cipación que tuvo en la extorsión de Lanús”, a lo que el magistrado asiente que fue el nombrado quien se llevó la motocicleta. </w:t>
      </w:r>
    </w:p>
    <w:p w:rsidR="00224567" w:rsidRDefault="00224567">
      <w:pPr>
        <w:pStyle w:val="Textoindependiente"/>
        <w:spacing w:line="600" w:lineRule="auto"/>
      </w:pPr>
      <w:r>
        <w:tab/>
        <w:t>Luego, continuó la defensa, se o</w:t>
      </w:r>
      <w:r>
        <w:t>b</w:t>
      </w:r>
      <w:r>
        <w:t>servó cuando le exhibe el álbum de fotografías de la pol</w:t>
      </w:r>
      <w:r>
        <w:t>i</w:t>
      </w:r>
      <w:r>
        <w:t>cía bonaerense y Telleldín no reconoce a ninguno, con e</w:t>
      </w:r>
      <w:r>
        <w:t>x</w:t>
      </w:r>
      <w:r>
        <w:t xml:space="preserve">cepción de Casas. El video, afirmó, demostró una inducción clara y palmaria </w:t>
      </w:r>
      <w:r>
        <w:lastRenderedPageBreak/>
        <w:t>por parte del juez al imp</w:t>
      </w:r>
      <w:r>
        <w:t>u</w:t>
      </w:r>
      <w:r>
        <w:t>tado.</w:t>
      </w:r>
    </w:p>
    <w:p w:rsidR="00224567" w:rsidRDefault="00224567">
      <w:pPr>
        <w:pStyle w:val="Textoindependiente"/>
        <w:spacing w:line="600" w:lineRule="auto"/>
      </w:pPr>
      <w:r>
        <w:tab/>
        <w:t>Tanto la filmación como la entrevista han s</w:t>
      </w:r>
      <w:r>
        <w:t>i</w:t>
      </w:r>
      <w:r>
        <w:t>do “clandestinas”; se trasladó al imputado para conversar con el juez acerca de hechos relativos a la causa sin not</w:t>
      </w:r>
      <w:r>
        <w:t>i</w:t>
      </w:r>
      <w:r>
        <w:t>ficar al abogado defensor ni dejar consta</w:t>
      </w:r>
      <w:r>
        <w:t>n</w:t>
      </w:r>
      <w:r>
        <w:t>cia alguna en el expediente. No se otorgó, en definitiva, la única forma p</w:t>
      </w:r>
      <w:r>
        <w:t>o</w:t>
      </w:r>
      <w:r>
        <w:t>sible a cualquier entrevista entre el juez y el imputado, que es la indagat</w:t>
      </w:r>
      <w:r>
        <w:t>o</w:t>
      </w:r>
      <w:r>
        <w:t xml:space="preserve">ria. </w:t>
      </w:r>
    </w:p>
    <w:p w:rsidR="00224567" w:rsidRDefault="00224567">
      <w:pPr>
        <w:pStyle w:val="Textoindependiente"/>
        <w:spacing w:line="600" w:lineRule="auto"/>
      </w:pPr>
      <w:r>
        <w:tab/>
        <w:t>Señaló que la entrevista tenía por o</w:t>
      </w:r>
      <w:r>
        <w:t>b</w:t>
      </w:r>
      <w:r>
        <w:t>jeto la preparación de una declaración que, a la postre, el imp</w:t>
      </w:r>
      <w:r>
        <w:t>u</w:t>
      </w:r>
      <w:r>
        <w:t>tado brindó el 5 de julio de 1996; por esa razón, argume</w:t>
      </w:r>
      <w:r>
        <w:t>n</w:t>
      </w:r>
      <w:r>
        <w:t>tó, se omitió realizarla en ese mismo momento, teniendo en cuenta que Telleldín estaba dispuesto a explicar todo lo que “tenía para decir”.</w:t>
      </w:r>
    </w:p>
    <w:p w:rsidR="00224567" w:rsidRDefault="00224567">
      <w:pPr>
        <w:pStyle w:val="Textoindependiente"/>
        <w:spacing w:line="600" w:lineRule="auto"/>
      </w:pPr>
      <w:r>
        <w:tab/>
        <w:t>Expresó la defensa que en el mes de j</w:t>
      </w:r>
      <w:r>
        <w:t>u</w:t>
      </w:r>
      <w:r>
        <w:t>nio de 1996 hubo otra reunión “clandestina”, según surge del ce</w:t>
      </w:r>
      <w:r>
        <w:t>r</w:t>
      </w:r>
      <w:r>
        <w:t>tificado de fs. 23.957, donde se dejó constancia que el Dr. Stinfale solicitó una entrevista entre el juez y su asist</w:t>
      </w:r>
      <w:r>
        <w:t>i</w:t>
      </w:r>
      <w:r>
        <w:t>do el 7 de junio de 1996.</w:t>
      </w:r>
    </w:p>
    <w:p w:rsidR="00224567" w:rsidRDefault="00224567">
      <w:pPr>
        <w:pStyle w:val="Textoindependiente"/>
        <w:spacing w:line="600" w:lineRule="auto"/>
      </w:pPr>
      <w:r>
        <w:tab/>
        <w:t>Sostuvo que en ella, que también fue fi</w:t>
      </w:r>
      <w:r>
        <w:t>l</w:t>
      </w:r>
      <w:r>
        <w:t xml:space="preserve">mada conforme lo reconocieron algunos secretarios, se preparó </w:t>
      </w:r>
      <w:r>
        <w:lastRenderedPageBreak/>
        <w:t>definitivamente la declaración de Telleldín. Sin embargo, adujo, el video fue quemado sin ninguna explicación. Es claro, a entender de la defensa, que la entrevista era más comprometed</w:t>
      </w:r>
      <w:r>
        <w:t>o</w:t>
      </w:r>
      <w:r>
        <w:t>ra.</w:t>
      </w:r>
    </w:p>
    <w:p w:rsidR="00224567" w:rsidRDefault="00224567">
      <w:pPr>
        <w:pStyle w:val="Textoindependiente"/>
        <w:spacing w:line="600" w:lineRule="auto"/>
      </w:pPr>
      <w:r>
        <w:tab/>
        <w:t>En la reunión del 1º de julio de 1996, d</w:t>
      </w:r>
      <w:r>
        <w:t>i</w:t>
      </w:r>
      <w:r>
        <w:t>jo, el juez y el i</w:t>
      </w:r>
      <w:r>
        <w:t>m</w:t>
      </w:r>
      <w:r>
        <w:t>putado no hablaron más de los hechos sino de la forma de pago, conforme su</w:t>
      </w:r>
      <w:r>
        <w:t>r</w:t>
      </w:r>
      <w:r>
        <w:t>ge del video que la refleja. Refirió que el secretario Javier De Gamas Soler, un poco más ansioso, se mostró interesado en r</w:t>
      </w:r>
      <w:r>
        <w:t>e</w:t>
      </w:r>
      <w:r>
        <w:t>pasar la versión de Telleldín aparentando, por sus comentarios, que tenía en claro toda la situ</w:t>
      </w:r>
      <w:r>
        <w:t>a</w:t>
      </w:r>
      <w:r>
        <w:t>ción. Hizo alusión al testigo clave, al empresario y otras cosas más que, después, fueron mencion</w:t>
      </w:r>
      <w:r>
        <w:t>a</w:t>
      </w:r>
      <w:r>
        <w:t>das en la declaración indagatoria por su asistido.</w:t>
      </w:r>
    </w:p>
    <w:p w:rsidR="00224567" w:rsidRDefault="00224567">
      <w:pPr>
        <w:pStyle w:val="Textoindependiente"/>
        <w:spacing w:line="600" w:lineRule="auto"/>
        <w:rPr>
          <w:b/>
          <w:iCs/>
        </w:rPr>
      </w:pPr>
      <w:r>
        <w:tab/>
        <w:t>Por su parte, la defensa señaló que el in</w:t>
      </w:r>
      <w:r>
        <w:t>s</w:t>
      </w:r>
      <w:r>
        <w:t>tructor comentó al imputado que tenía “la gente que quiere comprar los derechos del libro; que esa gente quiere cert</w:t>
      </w:r>
      <w:r>
        <w:t>e</w:t>
      </w:r>
      <w:r>
        <w:t>zas, no quiere hipótesis”, entr</w:t>
      </w:r>
      <w:r>
        <w:t>e</w:t>
      </w:r>
      <w:r>
        <w:t>gándole además una hoja que sólo puede verse el reverso en blanco. Le explicó a Telle</w:t>
      </w:r>
      <w:r>
        <w:t>l</w:t>
      </w:r>
      <w:r>
        <w:t xml:space="preserve">dín “que la gente que pone el dinero quiere saber si puede contestar esas preguntas”, a lo que éste le respondió que </w:t>
      </w:r>
      <w:r>
        <w:rPr>
          <w:bCs/>
          <w:iCs/>
        </w:rPr>
        <w:lastRenderedPageBreak/>
        <w:t>“sobre la mayoría de las preguntas no tiene cert</w:t>
      </w:r>
      <w:r>
        <w:rPr>
          <w:bCs/>
          <w:iCs/>
        </w:rPr>
        <w:t>e</w:t>
      </w:r>
      <w:r>
        <w:rPr>
          <w:bCs/>
          <w:iCs/>
        </w:rPr>
        <w:t xml:space="preserve">zas”, que </w:t>
      </w:r>
      <w:r>
        <w:t>la mayoría de las cosas no las puede contestar con la ve</w:t>
      </w:r>
      <w:r>
        <w:t>r</w:t>
      </w:r>
      <w:r>
        <w:t>dad y que hay algunas cosas que e</w:t>
      </w:r>
      <w:r>
        <w:t>s</w:t>
      </w:r>
      <w:r>
        <w:t xml:space="preserve">tán en la causa, </w:t>
      </w:r>
      <w:r>
        <w:rPr>
          <w:bCs/>
          <w:iCs/>
        </w:rPr>
        <w:t>como por ejemplo todo lo r</w:t>
      </w:r>
      <w:r>
        <w:rPr>
          <w:bCs/>
          <w:iCs/>
        </w:rPr>
        <w:t>e</w:t>
      </w:r>
      <w:r>
        <w:rPr>
          <w:bCs/>
          <w:iCs/>
        </w:rPr>
        <w:t>ferido a Ramón Martínez.</w:t>
      </w:r>
    </w:p>
    <w:p w:rsidR="00224567" w:rsidRDefault="00224567">
      <w:pPr>
        <w:pStyle w:val="Textoindependiente"/>
        <w:spacing w:line="600" w:lineRule="auto"/>
      </w:pPr>
      <w:r>
        <w:tab/>
        <w:t>En la entrevista se advierte que el juez pr</w:t>
      </w:r>
      <w:r>
        <w:t>e</w:t>
      </w:r>
      <w:r>
        <w:t>tendía que el pago se realizara en varias cuotas bajo el subterfugio de que “lo mejor es pagar por capítulos”. Sin embargo, adujo, la indagatoria no tuvo ningún capítulo, s</w:t>
      </w:r>
      <w:r>
        <w:t>ó</w:t>
      </w:r>
      <w:r>
        <w:t>lo declaró el 5 de julio de 1996.</w:t>
      </w:r>
    </w:p>
    <w:p w:rsidR="00224567" w:rsidRDefault="00224567">
      <w:pPr>
        <w:pStyle w:val="Textoindependiente"/>
        <w:spacing w:line="600" w:lineRule="auto"/>
      </w:pPr>
      <w:r>
        <w:tab/>
        <w:t>Afirmó que la intención del magistrado co</w:t>
      </w:r>
      <w:r>
        <w:t>n</w:t>
      </w:r>
      <w:r>
        <w:t>sistía en pagar una vez que todos los testigos hayan co</w:t>
      </w:r>
      <w:r>
        <w:t>n</w:t>
      </w:r>
      <w:r>
        <w:t>firmado la versión del imputado, porque sabía qui</w:t>
      </w:r>
      <w:r>
        <w:t>é</w:t>
      </w:r>
      <w:r>
        <w:t>nes eran éstos y conocía la función que se había encomendado a T</w:t>
      </w:r>
      <w:r>
        <w:t>e</w:t>
      </w:r>
      <w:r>
        <w:t xml:space="preserve">lleldín. En ese sentido, resaltó que </w:t>
      </w:r>
      <w:smartTag w:uri="urn:schemas-microsoft-com:office:smarttags" w:element="PersonName">
        <w:smartTagPr>
          <w:attr w:name="ProductID" w:val="la Dra. Riva"/>
        </w:smartTagPr>
        <w:r>
          <w:t>la Dra. Riva</w:t>
        </w:r>
      </w:smartTag>
      <w:r>
        <w:t xml:space="preserve"> Aramayo había pedido al imp</w:t>
      </w:r>
      <w:r>
        <w:t>u</w:t>
      </w:r>
      <w:r>
        <w:t>tado el testigo clave.</w:t>
      </w:r>
    </w:p>
    <w:p w:rsidR="00224567" w:rsidRDefault="00224567">
      <w:pPr>
        <w:pStyle w:val="Textoindependiente"/>
        <w:spacing w:line="600" w:lineRule="auto"/>
      </w:pPr>
      <w:r>
        <w:tab/>
        <w:t>Comentó que su asistido “tuvo que pr</w:t>
      </w:r>
      <w:r>
        <w:t>e</w:t>
      </w:r>
      <w:r>
        <w:t>parar a los testigos po</w:t>
      </w:r>
      <w:r>
        <w:t>r</w:t>
      </w:r>
      <w:r>
        <w:t>que no tenía opción”. Se le requirió que su versión fuera confirmada pero había gente que declaró como testigo otra cosa distinta. Necesariamente, dijo, debían desdecirse de sus propias palabras. Además, conforme lo e</w:t>
      </w:r>
      <w:r>
        <w:t>x</w:t>
      </w:r>
      <w:r>
        <w:t xml:space="preserve">plicó Telleldín y surge en la filmación, los testigos no </w:t>
      </w:r>
      <w:r>
        <w:lastRenderedPageBreak/>
        <w:t>querían saber nada ni confiaban en el juez que los había presionado con detenciones injustas o imputaciones que su</w:t>
      </w:r>
      <w:r>
        <w:t>b</w:t>
      </w:r>
      <w:r>
        <w:t>sistían con falta de mérito.</w:t>
      </w:r>
    </w:p>
    <w:p w:rsidR="00224567" w:rsidRDefault="00224567">
      <w:pPr>
        <w:pStyle w:val="Textoindependiente"/>
        <w:spacing w:line="600" w:lineRule="auto"/>
      </w:pPr>
      <w:r>
        <w:tab/>
        <w:t>En definitiva, expresó la defensa, quienes declararon como testigo acerca de lo acontecido el 10 de julio de 1996 en el mismo sentido que Telleldín fueron, n</w:t>
      </w:r>
      <w:r>
        <w:t>a</w:t>
      </w:r>
      <w:r>
        <w:t>da más y nada menos, que Ana Boragni, Eduardo Telleldín y Guillermo Cotoras, personas del e</w:t>
      </w:r>
      <w:r>
        <w:t>n</w:t>
      </w:r>
      <w:r>
        <w:t>torno de Telleldín. Eran los únicos individuos que, a juicio de la defensa, podían confirmar falsamente la versión armada por el juez de la extorsión que se volcaría en la declar</w:t>
      </w:r>
      <w:r>
        <w:t>a</w:t>
      </w:r>
      <w:r>
        <w:t>ción del 5 de julio de 1996.</w:t>
      </w:r>
    </w:p>
    <w:p w:rsidR="00224567" w:rsidRDefault="00224567">
      <w:pPr>
        <w:pStyle w:val="Textoindependiente"/>
        <w:spacing w:line="600" w:lineRule="auto"/>
        <w:ind w:firstLine="2835"/>
      </w:pPr>
      <w:r>
        <w:t>Sostuvo que su asistido fue traslad</w:t>
      </w:r>
      <w:r>
        <w:t>a</w:t>
      </w:r>
      <w:r>
        <w:t>do para hablar previamente en cada una de las declar</w:t>
      </w:r>
      <w:r>
        <w:t>a</w:t>
      </w:r>
      <w:r>
        <w:t>ciones de dichos testigos –conforme éste lo reconoció en el debate-, para que transmitiera lo que juez in</w:t>
      </w:r>
      <w:r>
        <w:t>s</w:t>
      </w:r>
      <w:r>
        <w:t>tructor le pedía; esto es, “o declaran esto y reconocen la foto nº 6, o quedan d</w:t>
      </w:r>
      <w:r>
        <w:t>e</w:t>
      </w:r>
      <w:r>
        <w:t>tenidos por el atentado, los testigos tenían que tener ce</w:t>
      </w:r>
      <w:r>
        <w:t>r</w:t>
      </w:r>
      <w:r>
        <w:t>tezas”.</w:t>
      </w:r>
    </w:p>
    <w:p w:rsidR="00224567" w:rsidRDefault="00224567">
      <w:pPr>
        <w:pStyle w:val="Textoindependiente"/>
        <w:spacing w:line="600" w:lineRule="auto"/>
      </w:pPr>
      <w:r>
        <w:tab/>
        <w:t>Agregó que las personas que terminaron de c</w:t>
      </w:r>
      <w:r>
        <w:t>e</w:t>
      </w:r>
      <w:r>
        <w:lastRenderedPageBreak/>
        <w:t>rrar la “historia oficial” sobre lo acontecido el 10 de j</w:t>
      </w:r>
      <w:r>
        <w:t>u</w:t>
      </w:r>
      <w:r>
        <w:t>lio de 1994 estaban relacionadas con las extorsiones verd</w:t>
      </w:r>
      <w:r>
        <w:t>a</w:t>
      </w:r>
      <w:r>
        <w:t xml:space="preserve">deramente sufridas por Telleldín en marzo y en julio de ese año. Además, </w:t>
      </w:r>
      <w:r>
        <w:rPr>
          <w:bCs/>
          <w:iCs/>
        </w:rPr>
        <w:t>Boragni</w:t>
      </w:r>
      <w:r>
        <w:rPr>
          <w:b/>
          <w:i/>
        </w:rPr>
        <w:t xml:space="preserve"> </w:t>
      </w:r>
      <w:r>
        <w:t>tenía un pedido de detención de los fiscales y se le exigía que cambiara la versión acerca de la venta para que concordara con lo que había afirmado su esposo; su hermano Eduardo Telleldín, estaba imputado por el atentado con falta de mérito y Guillermo Cotoras, en esa misma situación pr</w:t>
      </w:r>
      <w:r>
        <w:t>o</w:t>
      </w:r>
      <w:r>
        <w:t>cesal, había sido coaccionado por Mullen y Barbaccia para “r</w:t>
      </w:r>
      <w:r>
        <w:t>o</w:t>
      </w:r>
      <w:r>
        <w:t>bar” información a su amiga Boragni en su propia casa. Esa circunstancia se desprende de las esc</w:t>
      </w:r>
      <w:r>
        <w:t>u</w:t>
      </w:r>
      <w:r>
        <w:t>chas del teléfono de Boragni y existe una causa en tr</w:t>
      </w:r>
      <w:r>
        <w:t>á</w:t>
      </w:r>
      <w:r>
        <w:t>mite en las que se encuentran imputados los fi</w:t>
      </w:r>
      <w:r>
        <w:t>s</w:t>
      </w:r>
      <w:r>
        <w:t>cales de mención.</w:t>
      </w:r>
    </w:p>
    <w:p w:rsidR="00224567" w:rsidRDefault="00224567">
      <w:pPr>
        <w:pStyle w:val="Textoindependiente"/>
        <w:spacing w:line="600" w:lineRule="auto"/>
      </w:pPr>
      <w:r>
        <w:tab/>
        <w:t>A todos ellos, agregó la defensa, aún siendo imputados por esos mismos hechos, se les recibió declar</w:t>
      </w:r>
      <w:r>
        <w:t>a</w:t>
      </w:r>
      <w:r>
        <w:t>ción testimonial acerca del destino de la camioneta util</w:t>
      </w:r>
      <w:r>
        <w:t>i</w:t>
      </w:r>
      <w:r>
        <w:t>zada en el atentado. Tales declaraciones fueron anuladas pero se las utilizaron para obtener pruebas más contunde</w:t>
      </w:r>
      <w:r>
        <w:t>n</w:t>
      </w:r>
      <w:r>
        <w:t>tes y, fundamentalmente, tenían por finalidad callar a t</w:t>
      </w:r>
      <w:r>
        <w:t>o</w:t>
      </w:r>
      <w:r>
        <w:t>dos esos testigos para que omitan referirse a la metodol</w:t>
      </w:r>
      <w:r>
        <w:t>o</w:t>
      </w:r>
      <w:r>
        <w:t>gía e</w:t>
      </w:r>
      <w:r>
        <w:t>m</w:t>
      </w:r>
      <w:r>
        <w:t xml:space="preserve">prendida para armar sus dichos porque, de hacerlo, se </w:t>
      </w:r>
      <w:r>
        <w:lastRenderedPageBreak/>
        <w:t>incriminarían por falso testimonio.</w:t>
      </w:r>
    </w:p>
    <w:p w:rsidR="00224567" w:rsidRDefault="00224567">
      <w:pPr>
        <w:pStyle w:val="Textoindependiente"/>
        <w:spacing w:line="600" w:lineRule="auto"/>
      </w:pPr>
      <w:r>
        <w:tab/>
        <w:t>Por esa razón, arguyó la defensa, el juez mantiene actualmente la falta de mérito por su responsab</w:t>
      </w:r>
      <w:r>
        <w:t>i</w:t>
      </w:r>
      <w:r>
        <w:t>lidad en el atentado de Eduardo Telleldín y Cotoras, mec</w:t>
      </w:r>
      <w:r>
        <w:t>a</w:t>
      </w:r>
      <w:r>
        <w:t>nismo utilizado para coaccionar a lo nombrados de modo de evitar que fueran testigos en el ju</w:t>
      </w:r>
      <w:r>
        <w:t>i</w:t>
      </w:r>
      <w:r>
        <w:t>cio oral y público.</w:t>
      </w:r>
    </w:p>
    <w:p w:rsidR="00224567" w:rsidRDefault="00224567">
      <w:pPr>
        <w:pStyle w:val="Textoindependiente"/>
        <w:spacing w:line="600" w:lineRule="auto"/>
      </w:pPr>
      <w:r>
        <w:tab/>
        <w:t>En punto a la filmación del 1º de julio de 1996, la defensa señaló que ninguno de los secr</w:t>
      </w:r>
      <w:r>
        <w:t>e</w:t>
      </w:r>
      <w:r>
        <w:t>tarios del juzgado quiso decir en la audie</w:t>
      </w:r>
      <w:r>
        <w:t>n</w:t>
      </w:r>
      <w:r>
        <w:t>cia de debate qué preguntas contenía el papel que le fue exhibido al imputado en esa oportunidad; tampoco explicaron a qué se refería el juez cuando hablaba de los derechos del libro y negaron tener conocimiento de que a Telleldín se le haya efectuado un p</w:t>
      </w:r>
      <w:r>
        <w:t>a</w:t>
      </w:r>
      <w:r>
        <w:t>go por su declaración indagat</w:t>
      </w:r>
      <w:r>
        <w:t>o</w:t>
      </w:r>
      <w:r>
        <w:t>ria.</w:t>
      </w:r>
    </w:p>
    <w:p w:rsidR="00224567" w:rsidRDefault="00224567">
      <w:pPr>
        <w:pStyle w:val="Textoindependiente"/>
        <w:spacing w:line="600" w:lineRule="auto"/>
      </w:pPr>
      <w:r>
        <w:tab/>
        <w:t>Al respecto, los secretarios explicaron que era “una puesta en escena” en razón que en las e</w:t>
      </w:r>
      <w:r>
        <w:t>s</w:t>
      </w:r>
      <w:r>
        <w:t>cuchas el imputado hablaba de vender un libro, “se le seguía la c</w:t>
      </w:r>
      <w:r>
        <w:t>o</w:t>
      </w:r>
      <w:r>
        <w:t>rriente como a los locos”. La defensa calificó a la expl</w:t>
      </w:r>
      <w:r>
        <w:t>i</w:t>
      </w:r>
      <w:r>
        <w:t>cación brindada de infantil y mentira absurda; fue a su e</w:t>
      </w:r>
      <w:r>
        <w:t>n</w:t>
      </w:r>
      <w:r>
        <w:t>tender, “definitivamente una falta de respeto a la just</w:t>
      </w:r>
      <w:r>
        <w:t>i</w:t>
      </w:r>
      <w:r>
        <w:lastRenderedPageBreak/>
        <w:t>cia, a la investidura de V.E. y de todos los presentes en la sala”.</w:t>
      </w:r>
    </w:p>
    <w:p w:rsidR="00224567" w:rsidRDefault="00224567">
      <w:pPr>
        <w:pStyle w:val="Textoindependiente"/>
        <w:spacing w:line="600" w:lineRule="auto"/>
      </w:pPr>
      <w:r>
        <w:tab/>
        <w:t>Los secretarios, prosiguió la defensa, pr</w:t>
      </w:r>
      <w:r>
        <w:t>e</w:t>
      </w:r>
      <w:r>
        <w:t>tendieron hacer creer que Telleldín hablaba “como los l</w:t>
      </w:r>
      <w:r>
        <w:t>o</w:t>
      </w:r>
      <w:r>
        <w:t>cos” y que no tenían idea que, luego, a los cuatro días, ampliaría su declaración indagatoria. En realidad, dijo, “no pudieron dar ninguna explicación porque se autoincrim</w:t>
      </w:r>
      <w:r>
        <w:t>i</w:t>
      </w:r>
      <w:r>
        <w:t>naban”.</w:t>
      </w:r>
    </w:p>
    <w:p w:rsidR="00224567" w:rsidRDefault="00224567">
      <w:pPr>
        <w:pStyle w:val="Textoindependiente"/>
        <w:spacing w:line="600" w:lineRule="auto"/>
      </w:pPr>
      <w:r>
        <w:tab/>
        <w:t>Sostuvo la defensa que las conversaciones i</w:t>
      </w:r>
      <w:r>
        <w:t>n</w:t>
      </w:r>
      <w:r>
        <w:t>terceptadas de su asistido estaban referidas al m</w:t>
      </w:r>
      <w:r>
        <w:t>a</w:t>
      </w:r>
      <w:r>
        <w:t>nuscrito que escribió en la prisión con la ayuda de Damonte. Ento</w:t>
      </w:r>
      <w:r>
        <w:t>n</w:t>
      </w:r>
      <w:r>
        <w:t>ces, no se explica, por qué omitieron realizar alguna dil</w:t>
      </w:r>
      <w:r>
        <w:t>i</w:t>
      </w:r>
      <w:r>
        <w:t>gencia en procura de s</w:t>
      </w:r>
      <w:r>
        <w:t>e</w:t>
      </w:r>
      <w:r>
        <w:t>cuestrar esas anotaciones o citar al nombrado p</w:t>
      </w:r>
      <w:r>
        <w:t>a</w:t>
      </w:r>
      <w:r>
        <w:t>ra que explicara su contenido.</w:t>
      </w:r>
    </w:p>
    <w:p w:rsidR="00224567" w:rsidRDefault="00224567">
      <w:pPr>
        <w:pStyle w:val="Textoindependiente"/>
        <w:spacing w:line="600" w:lineRule="auto"/>
      </w:pPr>
      <w:r>
        <w:tab/>
        <w:t>La defensa esgrimió que a pesar del “i</w:t>
      </w:r>
      <w:r>
        <w:t>n</w:t>
      </w:r>
      <w:r>
        <w:t>tento desesperado de las querellas de A.M.I.A. y D.A.I.A.” que requirieron la incorporación del manuscrito “para ver si podían agarrares de algo que hubiera allí escrito para s</w:t>
      </w:r>
      <w:r>
        <w:t>e</w:t>
      </w:r>
      <w:r>
        <w:t>guir manteniendo la historia oficial”, el documento en cuestión desmentía definitivamente que Telleldín haya e</w:t>
      </w:r>
      <w:r>
        <w:t>n</w:t>
      </w:r>
      <w:r>
        <w:t xml:space="preserve">tregado por su voluntad o mediante extorsión la camioneta a </w:t>
      </w:r>
      <w:r>
        <w:lastRenderedPageBreak/>
        <w:t>los policías bona</w:t>
      </w:r>
      <w:r>
        <w:t>e</w:t>
      </w:r>
      <w:r>
        <w:t>renses.</w:t>
      </w:r>
    </w:p>
    <w:p w:rsidR="00224567" w:rsidRDefault="00224567">
      <w:pPr>
        <w:pStyle w:val="Textoindependiente"/>
        <w:spacing w:line="600" w:lineRule="auto"/>
      </w:pPr>
      <w:r>
        <w:tab/>
        <w:t>También intentaron hacer creer que Telle</w:t>
      </w:r>
      <w:r>
        <w:t>l</w:t>
      </w:r>
      <w:r>
        <w:t>dín en su última declaración indagatoria había ratificado la extorsión del 10 de julio de 1994 cuando, claramente, el imputado denunció la coacción ejercida en su contra por el juez Galeano, expresando que fue e</w:t>
      </w:r>
      <w:r>
        <w:t>x</w:t>
      </w:r>
      <w:r>
        <w:t>torsionado para declarar falsame</w:t>
      </w:r>
      <w:r>
        <w:t>n</w:t>
      </w:r>
      <w:r>
        <w:t>te.</w:t>
      </w:r>
    </w:p>
    <w:p w:rsidR="00224567" w:rsidRDefault="00224567">
      <w:pPr>
        <w:pStyle w:val="Textoindependiente"/>
        <w:spacing w:line="600" w:lineRule="auto"/>
        <w:ind w:firstLine="2835"/>
      </w:pPr>
      <w:r>
        <w:t>Así, adujo que en las conclusi</w:t>
      </w:r>
      <w:r>
        <w:t>o</w:t>
      </w:r>
      <w:r>
        <w:t>nes del capítulo “Bronceado en Julio” del referido manuscrito, T</w:t>
      </w:r>
      <w:r>
        <w:t>e</w:t>
      </w:r>
      <w:r>
        <w:t>lleldín se preguntó, con relación al hecho i</w:t>
      </w:r>
      <w:r>
        <w:t>n</w:t>
      </w:r>
      <w:r>
        <w:t>vestigado “si la habitualidad de esta gente de las fuerzas de seguridad era prepararme camas para cobrarme peajes. Por qué no pr</w:t>
      </w:r>
      <w:r>
        <w:t>o</w:t>
      </w:r>
      <w:r>
        <w:t>cedieron a abortar la venta y quedarse con el dinero? O es que el comprador era enviado por ellos y comenzaron a i</w:t>
      </w:r>
      <w:r>
        <w:t>n</w:t>
      </w:r>
      <w:r>
        <w:t>quietarse por la ta</w:t>
      </w:r>
      <w:r>
        <w:t>r</w:t>
      </w:r>
      <w:r>
        <w:t>danza del mismo?...”. De lo expuesto se infiere, según la defensa, que la posibilidad de que la c</w:t>
      </w:r>
      <w:r>
        <w:t>a</w:t>
      </w:r>
      <w:r>
        <w:t>mioneta se la hubieran llevado policías b</w:t>
      </w:r>
      <w:r>
        <w:t>o</w:t>
      </w:r>
      <w:r>
        <w:t>naerenses era una simple hipótesis que, desde 1994, nadie se molestó en i</w:t>
      </w:r>
      <w:r>
        <w:t>n</w:t>
      </w:r>
      <w:r>
        <w:t>vest</w:t>
      </w:r>
      <w:r>
        <w:t>i</w:t>
      </w:r>
      <w:r>
        <w:t>gar.</w:t>
      </w:r>
    </w:p>
    <w:p w:rsidR="00224567" w:rsidRDefault="00224567">
      <w:pPr>
        <w:pStyle w:val="Textoindependiente"/>
        <w:spacing w:line="600" w:lineRule="auto"/>
      </w:pPr>
      <w:r>
        <w:tab/>
        <w:t xml:space="preserve">Expresó que a fs. 24.184 se dejó constancia </w:t>
      </w:r>
      <w:r>
        <w:lastRenderedPageBreak/>
        <w:t>de las peticiones que realizó Telleldín al final de la e</w:t>
      </w:r>
      <w:r>
        <w:t>n</w:t>
      </w:r>
      <w:r>
        <w:t>trevista que mantuvo el 1º de julio de 1996, como ser la autorización para ingresar comestibles al lugar de su d</w:t>
      </w:r>
      <w:r>
        <w:t>e</w:t>
      </w:r>
      <w:r>
        <w:t>tención, entre otras cuestiones. Pero de la conversación con el juez, no se volcó nada.</w:t>
      </w:r>
    </w:p>
    <w:p w:rsidR="00224567" w:rsidRDefault="00224567">
      <w:pPr>
        <w:pStyle w:val="Textoindependiente"/>
        <w:spacing w:line="600" w:lineRule="auto"/>
      </w:pPr>
      <w:r>
        <w:tab/>
        <w:t>Cuatro días después, señaló la letrada, T</w:t>
      </w:r>
      <w:r>
        <w:t>e</w:t>
      </w:r>
      <w:r>
        <w:t>lleldín amplió su indagatoria. El acto también fue filmado, según lo reconocieron los empleados del juzg</w:t>
      </w:r>
      <w:r>
        <w:t>a</w:t>
      </w:r>
      <w:r>
        <w:t>do, y la cinta fue incinerada con el justific</w:t>
      </w:r>
      <w:r>
        <w:t>a</w:t>
      </w:r>
      <w:r>
        <w:t>tivo de que “era como papel de trabajo”. Además, los testigos adujeron que el juez t</w:t>
      </w:r>
      <w:r>
        <w:t>e</w:t>
      </w:r>
      <w:r>
        <w:t>nía temor a que fuera su</w:t>
      </w:r>
      <w:r>
        <w:t>s</w:t>
      </w:r>
      <w:r>
        <w:t>traído; explicación que la defensa juzgó de absurda si se tiene en consideración que el magi</w:t>
      </w:r>
      <w:r>
        <w:t>s</w:t>
      </w:r>
      <w:r>
        <w:t>trado contaba con todas las herramientas a su disposición para mantener esos objetos con la debida cu</w:t>
      </w:r>
      <w:r>
        <w:t>s</w:t>
      </w:r>
      <w:r>
        <w:t>todia.</w:t>
      </w:r>
    </w:p>
    <w:p w:rsidR="00224567" w:rsidRDefault="00224567">
      <w:pPr>
        <w:pStyle w:val="Textoindependiente"/>
        <w:spacing w:line="600" w:lineRule="auto"/>
      </w:pPr>
      <w:r>
        <w:tab/>
        <w:t>Además, alegó que si se dejaba consta</w:t>
      </w:r>
      <w:r>
        <w:t>n</w:t>
      </w:r>
      <w:r>
        <w:t>cia en el acta de indagatoria el reflejo fiel de lo ocurrido, no existía motivo alguno para tener más papeles de trabajo que el acta misma. Tampoco existían razones para temer una p</w:t>
      </w:r>
      <w:r>
        <w:t>o</w:t>
      </w:r>
      <w:r>
        <w:t>sible sustracción del video, si resultaba ser el acta, s</w:t>
      </w:r>
      <w:r>
        <w:t>e</w:t>
      </w:r>
      <w:r>
        <w:t>gún dijeron, el fiel refl</w:t>
      </w:r>
      <w:r>
        <w:t>e</w:t>
      </w:r>
      <w:r>
        <w:t>jo de lo filmado.</w:t>
      </w:r>
    </w:p>
    <w:p w:rsidR="00224567" w:rsidRDefault="00224567">
      <w:pPr>
        <w:pStyle w:val="Textoindependiente"/>
        <w:spacing w:line="600" w:lineRule="auto"/>
      </w:pPr>
      <w:r>
        <w:tab/>
        <w:t>En realidad, sostuvo la abogada, el v</w:t>
      </w:r>
      <w:r>
        <w:t>i</w:t>
      </w:r>
      <w:r>
        <w:t xml:space="preserve">deo se </w:t>
      </w:r>
      <w:r>
        <w:lastRenderedPageBreak/>
        <w:t>destruyó porque no podía ser visto por ninguna persona aj</w:t>
      </w:r>
      <w:r>
        <w:t>e</w:t>
      </w:r>
      <w:r>
        <w:t>na a la “historia oficial” y, menos aún, correr el riesgo de que se hiciera público. Argumentó, en tal sentido, que en caso de haber sido regular el acto, frente a la declar</w:t>
      </w:r>
      <w:r>
        <w:t>a</w:t>
      </w:r>
      <w:r>
        <w:t>ción más importante de toda la causa, el video debería h</w:t>
      </w:r>
      <w:r>
        <w:t>a</w:t>
      </w:r>
      <w:r>
        <w:t>ber sido celosamente guardado por el juez como prueba pa</w:t>
      </w:r>
      <w:r>
        <w:t>l</w:t>
      </w:r>
      <w:r>
        <w:t>maria de que los dichos del imputado eran a</w:t>
      </w:r>
      <w:r>
        <w:t>u</w:t>
      </w:r>
      <w:r>
        <w:t>ténticos.</w:t>
      </w:r>
    </w:p>
    <w:p w:rsidR="00224567" w:rsidRDefault="00224567">
      <w:pPr>
        <w:pStyle w:val="Textoindependiente"/>
        <w:spacing w:line="600" w:lineRule="auto"/>
      </w:pPr>
      <w:r>
        <w:tab/>
        <w:t>Añadió que la filmación demostraba que toda la declaración fue armada y consensuada por el juez y los que estuvieron presentes. Telleldín, por su pa</w:t>
      </w:r>
      <w:r>
        <w:t>r</w:t>
      </w:r>
      <w:r>
        <w:t>te, explicó que el Dr. Galeano estaba en otro desp</w:t>
      </w:r>
      <w:r>
        <w:t>a</w:t>
      </w:r>
      <w:r>
        <w:t>cho y lo hacía salir “para darle letra de lo que tenía que quedar en su declar</w:t>
      </w:r>
      <w:r>
        <w:t>a</w:t>
      </w:r>
      <w:r>
        <w:t>ción”.</w:t>
      </w:r>
    </w:p>
    <w:p w:rsidR="00224567" w:rsidRDefault="00224567">
      <w:pPr>
        <w:pStyle w:val="Textoindependiente"/>
        <w:spacing w:line="600" w:lineRule="auto"/>
      </w:pPr>
      <w:r>
        <w:tab/>
        <w:t xml:space="preserve">En la indagatoria -prosiguió la defensa- el juez hizo desmentir a Telleldín la nota periodística que publicó “Página </w:t>
      </w:r>
      <w:smartTag w:uri="urn:schemas-microsoft-com:office:smarttags" w:element="metricconverter">
        <w:smartTagPr>
          <w:attr w:name="ProductID" w:val="12”"/>
        </w:smartTagPr>
        <w:r>
          <w:t>12”</w:t>
        </w:r>
      </w:smartTag>
      <w:r>
        <w:t xml:space="preserve"> en el mes de julio de 1995, donde su asistido aseguraba que los p</w:t>
      </w:r>
      <w:r>
        <w:t>o</w:t>
      </w:r>
      <w:r>
        <w:t>licías no se habían llevado la camioneta. Además, añadió, la filmación reflejaba los rec</w:t>
      </w:r>
      <w:r>
        <w:t>o</w:t>
      </w:r>
      <w:r>
        <w:t>nocimientos fotográficos induc</w:t>
      </w:r>
      <w:r>
        <w:t>i</w:t>
      </w:r>
      <w:r>
        <w:t>dos que fueron anulados por falta de control de la d</w:t>
      </w:r>
      <w:r>
        <w:t>e</w:t>
      </w:r>
      <w:r>
        <w:t>fensa.</w:t>
      </w:r>
    </w:p>
    <w:p w:rsidR="00224567" w:rsidRDefault="00224567">
      <w:pPr>
        <w:pStyle w:val="Textoindependiente"/>
        <w:spacing w:line="600" w:lineRule="auto"/>
      </w:pPr>
      <w:r>
        <w:lastRenderedPageBreak/>
        <w:tab/>
        <w:t>En otro orden de cosas, la letrada mencionó que de la lectura de la declaración indagatoria no surge que Telleldín hubiera recibido un llamado telefónico, int</w:t>
      </w:r>
      <w:r>
        <w:t>e</w:t>
      </w:r>
      <w:r>
        <w:t>rrumpiéndose la incomunicación obligatoria del acto. El e</w:t>
      </w:r>
      <w:r>
        <w:t>x</w:t>
      </w:r>
      <w:r>
        <w:t>tremo, dijo, evidencia que el acta no es fiel reflejo de lo ocurrido.</w:t>
      </w:r>
    </w:p>
    <w:p w:rsidR="00224567" w:rsidRDefault="00224567">
      <w:pPr>
        <w:pStyle w:val="Textoindependiente"/>
        <w:spacing w:line="600" w:lineRule="auto"/>
        <w:ind w:firstLine="2835"/>
      </w:pPr>
      <w:r>
        <w:t>El fiscal Barbaccia que firmó la decl</w:t>
      </w:r>
      <w:r>
        <w:t>a</w:t>
      </w:r>
      <w:r>
        <w:t>ración indagatoria omitió denunciar su falsedad, la quema del video y el llamado telefónico, circunstancias que a juicio de la defensa demostró de que “estaba al tanto de todo, incluso del pago”.</w:t>
      </w:r>
    </w:p>
    <w:p w:rsidR="00224567" w:rsidRDefault="00224567">
      <w:pPr>
        <w:pStyle w:val="Textoindependiente"/>
        <w:spacing w:line="600" w:lineRule="auto"/>
      </w:pPr>
      <w:r>
        <w:tab/>
        <w:t>Relató la abogada defensora que luego de la indagatoria del 5 de julio de 1996, Telleldín hizo lo que el juez le requirió, esto es, aportó las declaraciones de los testigos. Y días después, se detuvo a los policías b</w:t>
      </w:r>
      <w:r>
        <w:t>o</w:t>
      </w:r>
      <w:r>
        <w:t>naerenses, coincidiendo con el segundo aniversario del atentado.</w:t>
      </w:r>
    </w:p>
    <w:p w:rsidR="00224567" w:rsidRDefault="00224567">
      <w:pPr>
        <w:pStyle w:val="Textoindependiente"/>
        <w:spacing w:line="600" w:lineRule="auto"/>
      </w:pPr>
      <w:r>
        <w:tab/>
        <w:t>Relató la defensa que su asistido fue nuev</w:t>
      </w:r>
      <w:r>
        <w:t>a</w:t>
      </w:r>
      <w:r>
        <w:t>mente coaccionado cuando el juez instructor tomó conoc</w:t>
      </w:r>
      <w:r>
        <w:t>i</w:t>
      </w:r>
      <w:r>
        <w:t>miento de la desaparición del video que reflejaba la entr</w:t>
      </w:r>
      <w:r>
        <w:t>e</w:t>
      </w:r>
      <w:r>
        <w:t>vista realizada el 1º de julio de 1996.</w:t>
      </w:r>
    </w:p>
    <w:p w:rsidR="00224567" w:rsidRDefault="00224567">
      <w:pPr>
        <w:pStyle w:val="Textoindependiente"/>
        <w:spacing w:line="600" w:lineRule="auto"/>
      </w:pPr>
      <w:r>
        <w:lastRenderedPageBreak/>
        <w:tab/>
        <w:t>Señaló que el magistrado inició una causa por el robo del v</w:t>
      </w:r>
      <w:r>
        <w:t>i</w:t>
      </w:r>
      <w:r>
        <w:t xml:space="preserve">deo y, con el objeto de que no tomara estado público su conducta reflejada en las imágenes, convocó a una reunión urgente de </w:t>
      </w:r>
      <w:smartTag w:uri="urn:schemas-microsoft-com:office:smarttags" w:element="PersonName">
        <w:smartTagPr>
          <w:attr w:name="ProductID" w:val="la Comisi￳n Bicameral"/>
        </w:smartTagPr>
        <w:r>
          <w:t>la Comisión B</w:t>
        </w:r>
        <w:r>
          <w:t>i</w:t>
        </w:r>
        <w:r>
          <w:t>cameral</w:t>
        </w:r>
      </w:smartTag>
      <w:r>
        <w:t xml:space="preserve"> de Seguimiento de los Atentados de </w:t>
      </w:r>
      <w:smartTag w:uri="urn:schemas-microsoft-com:office:smarttags" w:element="PersonName">
        <w:smartTagPr>
          <w:attr w:name="ProductID" w:val="la Embajada"/>
        </w:smartTagPr>
        <w:r>
          <w:t>la Embajada</w:t>
        </w:r>
      </w:smartTag>
      <w:r>
        <w:t xml:space="preserve"> de I</w:t>
      </w:r>
      <w:r>
        <w:t>s</w:t>
      </w:r>
      <w:r>
        <w:t xml:space="preserve">rael y de </w:t>
      </w:r>
      <w:smartTag w:uri="urn:schemas-microsoft-com:office:smarttags" w:element="PersonName">
        <w:smartTagPr>
          <w:attr w:name="ProductID" w:val="la A.M"/>
        </w:smartTagPr>
        <w:r>
          <w:t>la A.M</w:t>
        </w:r>
      </w:smartTag>
      <w:r>
        <w:t>.I.A.. La convocatoria fue selectiva, habida cuenta de que no se llamó a todos sus miembros y que, en la oportunidad, se r</w:t>
      </w:r>
      <w:r>
        <w:t>e</w:t>
      </w:r>
      <w:r>
        <w:t>produjo una parte de la grabación.</w:t>
      </w:r>
    </w:p>
    <w:p w:rsidR="00224567" w:rsidRDefault="00224567">
      <w:pPr>
        <w:pStyle w:val="Textoindependiente"/>
        <w:spacing w:line="600" w:lineRule="auto"/>
      </w:pPr>
      <w:r>
        <w:tab/>
        <w:t>Mencionó que todos los miembros de esa com</w:t>
      </w:r>
      <w:r>
        <w:t>i</w:t>
      </w:r>
      <w:r>
        <w:t>sión negaron haber conocido el hecho del pago, no obstante que la mayoría afirmó que, con posterioridad, en algún m</w:t>
      </w:r>
      <w:r>
        <w:t>e</w:t>
      </w:r>
      <w:r>
        <w:t>dio habían escuchado a T</w:t>
      </w:r>
      <w:r>
        <w:t>e</w:t>
      </w:r>
      <w:r>
        <w:t>lleldín decir que había recibido $ 400.000. En particular, exigió que se investigue el falso testimonio del entonces legislador Carlos Soria, porque además de negar cualquier conocimiento acerca del pago, afirmó que ni siquiera en los medios de comunicación esc</w:t>
      </w:r>
      <w:r>
        <w:t>u</w:t>
      </w:r>
      <w:r>
        <w:t>chó hablar a Telleldín acerca de la entrega de dinero. De</w:t>
      </w:r>
      <w:r>
        <w:t>s</w:t>
      </w:r>
      <w:r>
        <w:t>de su punto de vista, el aducido desconocimiento era ina</w:t>
      </w:r>
      <w:r>
        <w:t>d</w:t>
      </w:r>
      <w:r>
        <w:t>misible si se considera que el nombrado fue Secretario de Inteligencia de Estado y, dada su situ</w:t>
      </w:r>
      <w:r>
        <w:t>a</w:t>
      </w:r>
      <w:r>
        <w:t xml:space="preserve">ción, debió conocer </w:t>
      </w:r>
      <w:r>
        <w:lastRenderedPageBreak/>
        <w:t>sus pormenores.</w:t>
      </w:r>
    </w:p>
    <w:p w:rsidR="00224567" w:rsidRDefault="00224567">
      <w:pPr>
        <w:pStyle w:val="Textoindependiente"/>
        <w:spacing w:line="600" w:lineRule="auto"/>
      </w:pPr>
      <w:r>
        <w:tab/>
        <w:t>La defensa entendió que del propio video su</w:t>
      </w:r>
      <w:r>
        <w:t>r</w:t>
      </w:r>
      <w:r>
        <w:t>gía una conducta por demás irregular y, al ser los mie</w:t>
      </w:r>
      <w:r>
        <w:t>m</w:t>
      </w:r>
      <w:r>
        <w:t>bros de la comisión bicameral quienes estaban asignados al s</w:t>
      </w:r>
      <w:r>
        <w:t>e</w:t>
      </w:r>
      <w:r>
        <w:t>guimiento de la causa, debieron haber requerido explicaci</w:t>
      </w:r>
      <w:r>
        <w:t>o</w:t>
      </w:r>
      <w:r>
        <w:t>nes al juez sobre su proceder. Aún denunciado el comport</w:t>
      </w:r>
      <w:r>
        <w:t>a</w:t>
      </w:r>
      <w:r>
        <w:t>miento del juez por parte de su entonces prosecretario Lifschitz, omitieron investigar y mantuvieron una actitud contemplativa, a excepción de la senadora Cristina Ferná</w:t>
      </w:r>
      <w:r>
        <w:t>n</w:t>
      </w:r>
      <w:r>
        <w:t>dez de Kirchner y, en alguna medida, el entonces diputado Juan Pablo Cafiero.</w:t>
      </w:r>
    </w:p>
    <w:p w:rsidR="00224567" w:rsidRDefault="00224567">
      <w:pPr>
        <w:pStyle w:val="Textoindependiente"/>
        <w:spacing w:line="600" w:lineRule="auto"/>
      </w:pPr>
      <w:r>
        <w:tab/>
        <w:t>En ese sentido, entendió la defensa, los l</w:t>
      </w:r>
      <w:r>
        <w:t>e</w:t>
      </w:r>
      <w:r>
        <w:t>gisladores que tuvieron conocimiento del video y suscribi</w:t>
      </w:r>
      <w:r>
        <w:t>e</w:t>
      </w:r>
      <w:r>
        <w:t>ron el dictamen en mayoría fueron encubridores del delito del juez instructor, al igual que los repr</w:t>
      </w:r>
      <w:r>
        <w:t>e</w:t>
      </w:r>
      <w:r>
        <w:t>sentantes de las querellas y los fiscales, en razón que en lugar de solic</w:t>
      </w:r>
      <w:r>
        <w:t>i</w:t>
      </w:r>
      <w:r>
        <w:t>tar que se investigue la conducta irregular del juez, “s</w:t>
      </w:r>
      <w:r>
        <w:t>a</w:t>
      </w:r>
      <w:r>
        <w:t>lieron a cubrirlo”. Públicamente hicieron una campaña de apoyo al magistrado, desprestigiando la conducta de R</w:t>
      </w:r>
      <w:r>
        <w:t>i</w:t>
      </w:r>
      <w:r>
        <w:t>belli que no era lo importante; lo fundamental, dijo la abogada defensora, debió ser la conducta del in</w:t>
      </w:r>
      <w:r>
        <w:t>s</w:t>
      </w:r>
      <w:r>
        <w:t>tructor.</w:t>
      </w:r>
    </w:p>
    <w:p w:rsidR="00224567" w:rsidRDefault="00224567">
      <w:pPr>
        <w:pStyle w:val="Textoindependiente"/>
        <w:spacing w:line="600" w:lineRule="auto"/>
      </w:pPr>
      <w:r>
        <w:lastRenderedPageBreak/>
        <w:tab/>
        <w:t>Sostuvo la defensa que los representa</w:t>
      </w:r>
      <w:r>
        <w:t>n</w:t>
      </w:r>
      <w:r>
        <w:t>tes de las querellas de A.M.I.A. y D.A.I.A. y el juez Galeano pr</w:t>
      </w:r>
      <w:r>
        <w:t>e</w:t>
      </w:r>
      <w:r>
        <w:t>sionaron tanto a Telleldín como a su abogado, para que d</w:t>
      </w:r>
      <w:r>
        <w:t>e</w:t>
      </w:r>
      <w:r>
        <w:t>clararan bajo juramento en la causa que se inició con mot</w:t>
      </w:r>
      <w:r>
        <w:t>i</w:t>
      </w:r>
      <w:r>
        <w:t>vo de la supuesta su</w:t>
      </w:r>
      <w:r>
        <w:t>s</w:t>
      </w:r>
      <w:r>
        <w:t>tracción del video de mención.</w:t>
      </w:r>
    </w:p>
    <w:p w:rsidR="00224567" w:rsidRDefault="00224567">
      <w:pPr>
        <w:pStyle w:val="Textoindependiente"/>
        <w:spacing w:line="600" w:lineRule="auto"/>
      </w:pPr>
      <w:r>
        <w:tab/>
        <w:t>Así, narró, Rubén Beraja pidió a ambos que negaran el pago, mencionando como prueba el entrecruzamie</w:t>
      </w:r>
      <w:r>
        <w:t>n</w:t>
      </w:r>
      <w:r>
        <w:t>to telefónico entre Rogelio Cichowolsky y Víctor Stinfale el mismo día en que éste declaró en la causa que tramitó ante el juzgado del Dr. Cavallo, co</w:t>
      </w:r>
      <w:r>
        <w:t>n</w:t>
      </w:r>
      <w:r>
        <w:t>forme surge de la causa 9789. Dijo que a</w:t>
      </w:r>
      <w:r>
        <w:t>m</w:t>
      </w:r>
      <w:r>
        <w:t>bos declararon bajo presión; el imputado, por encontrarse amenazado, y el abogado, porque no podía oponerse a la estrategia de su cliente.</w:t>
      </w:r>
    </w:p>
    <w:p w:rsidR="00224567" w:rsidRDefault="00224567">
      <w:pPr>
        <w:pStyle w:val="Textoindependiente"/>
        <w:spacing w:line="600" w:lineRule="auto"/>
      </w:pPr>
      <w:r>
        <w:tab/>
        <w:t>La defensa sostuvo que luego del tercer aniversario por el atentado, Rubén Beraja y Luis Dobniewski pidieron una entrevista con Telleldín. Si bien en la con</w:t>
      </w:r>
      <w:r>
        <w:t>s</w:t>
      </w:r>
      <w:r>
        <w:t>tancia de fs. 26.641 se indicó que ésta fue a requerimiento de la defensa, en realidad, expresó, B</w:t>
      </w:r>
      <w:r>
        <w:t>e</w:t>
      </w:r>
      <w:r>
        <w:t xml:space="preserve">raja reconoció en el juicio lo contrario. No así, el Dr. Dobniewski, razón por la cual solicitó se investigue la comisión del delito de </w:t>
      </w:r>
      <w:r>
        <w:lastRenderedPageBreak/>
        <w:t>falso testimonio. Asimismo, afirmó que los querellantes r</w:t>
      </w:r>
      <w:r>
        <w:t>e</w:t>
      </w:r>
      <w:r>
        <w:t>quirieron que no estuviera presente “Memoria Activa” po</w:t>
      </w:r>
      <w:r>
        <w:t>r</w:t>
      </w:r>
      <w:r>
        <w:t>que “no siempre compartían las mismas estr</w:t>
      </w:r>
      <w:r>
        <w:t>a</w:t>
      </w:r>
      <w:r>
        <w:t>tegias”, según dijo Beraja en la audiencia.</w:t>
      </w:r>
    </w:p>
    <w:p w:rsidR="00224567" w:rsidRDefault="00224567">
      <w:pPr>
        <w:pStyle w:val="Textoindependiente"/>
        <w:spacing w:line="600" w:lineRule="auto"/>
      </w:pPr>
      <w:r>
        <w:tab/>
        <w:t>Sostuvo que la reunión se llevó a cabo en las dependencias del juzgado y tuvo como finalidad presionar nuevamente a Telleldín para que ampliara su declaración i</w:t>
      </w:r>
      <w:r>
        <w:t>n</w:t>
      </w:r>
      <w:r>
        <w:t>dagatoria e involucrara a Piotti en el atentado. Al salir de la reunión, Rubén Beraja convocó a toda la prensa para insistir en que Telleldín no tenía responsabilidad en el atentado y anunció que ampliaría su declaración indagat</w:t>
      </w:r>
      <w:r>
        <w:t>o</w:t>
      </w:r>
      <w:r>
        <w:t>ria. Si bien Telleldín el 22 de agosto de 1997 hizo lo pr</w:t>
      </w:r>
      <w:r>
        <w:t>o</w:t>
      </w:r>
      <w:r>
        <w:t>pio, no accedió a la petición formulada.</w:t>
      </w:r>
    </w:p>
    <w:p w:rsidR="00224567" w:rsidRDefault="00224567">
      <w:pPr>
        <w:pStyle w:val="Textoindependiente"/>
        <w:spacing w:line="600" w:lineRule="auto"/>
        <w:ind w:firstLine="2835"/>
      </w:pPr>
      <w:r>
        <w:t>Mencionó la defensa que el 31 de oct</w:t>
      </w:r>
      <w:r>
        <w:t>u</w:t>
      </w:r>
      <w:r>
        <w:t>bre de 1997 Telleldín presentó su excarcelación y el juez instructor, a pesar de haber dado su palabra, resolvió d</w:t>
      </w:r>
      <w:r>
        <w:t>e</w:t>
      </w:r>
      <w:r>
        <w:t>negarla. Frente a la actitud del magistrado, Telleldín reaccionó a los gritos, diciendo que haría público que “le habían pagado para mentir en la declaración contra los p</w:t>
      </w:r>
      <w:r>
        <w:t>o</w:t>
      </w:r>
      <w:r>
        <w:t>licías y que había mentido en el juzgado de Cavallo porque estaba presionado por el pr</w:t>
      </w:r>
      <w:r>
        <w:t>o</w:t>
      </w:r>
      <w:r>
        <w:t>pio juez”.</w:t>
      </w:r>
    </w:p>
    <w:p w:rsidR="00224567" w:rsidRDefault="00224567">
      <w:pPr>
        <w:pStyle w:val="Textoindependiente"/>
        <w:spacing w:line="600" w:lineRule="auto"/>
      </w:pPr>
      <w:r>
        <w:lastRenderedPageBreak/>
        <w:tab/>
        <w:t>El Dr. Galeano, por su parte, decidió dejar constancia de sus manifestaciones en un acta, obl</w:t>
      </w:r>
      <w:r>
        <w:t>i</w:t>
      </w:r>
      <w:r>
        <w:t>gando al abogado a pedir disculpas por el e</w:t>
      </w:r>
      <w:r>
        <w:t>x</w:t>
      </w:r>
      <w:r>
        <w:t>abrupto de su defendido. No obstante, dijo la defensa, en lugar de hacerlo en el e</w:t>
      </w:r>
      <w:r>
        <w:t>x</w:t>
      </w:r>
      <w:r>
        <w:t>pediente principal y de remitir la constancia al juez Cav</w:t>
      </w:r>
      <w:r>
        <w:t>a</w:t>
      </w:r>
      <w:r>
        <w:t>llo como correspondía, se incorporó en el incidente de e</w:t>
      </w:r>
      <w:r>
        <w:t>x</w:t>
      </w:r>
      <w:r>
        <w:t>carc</w:t>
      </w:r>
      <w:r>
        <w:t>e</w:t>
      </w:r>
      <w:r>
        <w:t>lación para que nadie pudiera tomar conocimiento.</w:t>
      </w:r>
    </w:p>
    <w:p w:rsidR="00224567" w:rsidRDefault="00224567">
      <w:pPr>
        <w:pStyle w:val="Textoindependiente"/>
        <w:spacing w:line="600" w:lineRule="auto"/>
      </w:pPr>
      <w:r>
        <w:tab/>
        <w:t>Además, afirmó que el acta se labró el 31 de octubre de 1997, mientras que la fiscalía, a través del Dr. Barbaccia, se notificó tres días más tarde, razón por la cual necesariamente tuvieron en sus manos las denuncias de Telleldín. Nada hicieron en consecue</w:t>
      </w:r>
      <w:r>
        <w:t>n</w:t>
      </w:r>
      <w:r>
        <w:t>cia, ni ordenaron una investigación, ni solicitaron la comunicación al Dr. Cav</w:t>
      </w:r>
      <w:r>
        <w:t>a</w:t>
      </w:r>
      <w:r>
        <w:t>llo, ni rec</w:t>
      </w:r>
      <w:r>
        <w:t>u</w:t>
      </w:r>
      <w:r>
        <w:t>saron al juez.</w:t>
      </w:r>
    </w:p>
    <w:p w:rsidR="00224567" w:rsidRDefault="00224567">
      <w:pPr>
        <w:pStyle w:val="Textoindependiente"/>
        <w:spacing w:line="600" w:lineRule="auto"/>
      </w:pPr>
      <w:r>
        <w:tab/>
        <w:t>Para simular el conocimiento, dedujo la d</w:t>
      </w:r>
      <w:r>
        <w:t>e</w:t>
      </w:r>
      <w:r>
        <w:t>fensa, se intercalaron las fojas; la notific</w:t>
      </w:r>
      <w:r>
        <w:t>a</w:t>
      </w:r>
      <w:r>
        <w:t>ción se agregó a fs. 49 y el acta, si bien anterior, f</w:t>
      </w:r>
      <w:r>
        <w:t>i</w:t>
      </w:r>
      <w:r>
        <w:t>gura a fs. 53.</w:t>
      </w:r>
    </w:p>
    <w:p w:rsidR="00224567" w:rsidRDefault="00224567">
      <w:pPr>
        <w:pStyle w:val="Textoindependiente"/>
        <w:spacing w:line="600" w:lineRule="auto"/>
      </w:pPr>
      <w:r>
        <w:tab/>
        <w:t>Por otra parte, la defensa afirmó que se c</w:t>
      </w:r>
      <w:r>
        <w:t>o</w:t>
      </w:r>
      <w:r>
        <w:t>metió el delito de falsedad ideológica en el auto de elev</w:t>
      </w:r>
      <w:r>
        <w:t>a</w:t>
      </w:r>
      <w:r>
        <w:t>ción a juicio. Así, sostuvo que para seguir enc</w:t>
      </w:r>
      <w:r>
        <w:t>u</w:t>
      </w:r>
      <w:r>
        <w:t xml:space="preserve">briendo al </w:t>
      </w:r>
      <w:r>
        <w:lastRenderedPageBreak/>
        <w:t>Dr. Semorile, la resolución describió la motocicleta que Telleldín había entr</w:t>
      </w:r>
      <w:r>
        <w:t>e</w:t>
      </w:r>
      <w:r>
        <w:t xml:space="preserve">gado a </w:t>
      </w:r>
      <w:smartTag w:uri="urn:schemas-microsoft-com:office:smarttags" w:element="PersonName">
        <w:smartTagPr>
          <w:attr w:name="ProductID" w:val="la Brigada"/>
        </w:smartTagPr>
        <w:r>
          <w:t>la Brigada</w:t>
        </w:r>
      </w:smartTag>
      <w:r>
        <w:t xml:space="preserve"> de Lanús como modelo “APX” cuando éste era, en realidad, el número de patente. Además, el juez sostuvo que no se pudo determinar el primer poseedor de la moto porque “se llegó a un tal Ledesma que a su vez ident</w:t>
      </w:r>
      <w:r>
        <w:t>i</w:t>
      </w:r>
      <w:r>
        <w:t>ficó a un tal Ibáñez que no pudo ubicarse”.</w:t>
      </w:r>
    </w:p>
    <w:p w:rsidR="00224567" w:rsidRDefault="00224567">
      <w:pPr>
        <w:pStyle w:val="Textoindependiente"/>
        <w:spacing w:line="600" w:lineRule="auto"/>
      </w:pPr>
      <w:r>
        <w:tab/>
        <w:t>En esa oportunidad, expresó, Telleldín real</w:t>
      </w:r>
      <w:r>
        <w:t>i</w:t>
      </w:r>
      <w:r>
        <w:t>zó la pertinente denuncia de falsedad ante el juez Mari</w:t>
      </w:r>
      <w:r>
        <w:t>a</w:t>
      </w:r>
      <w:r>
        <w:t>no Bergés, quien tras declinar la comp</w:t>
      </w:r>
      <w:r>
        <w:t>e</w:t>
      </w:r>
      <w:r>
        <w:t>tencia, la remitió a la justicia federal. Una vez designado el juez Urso, éste e</w:t>
      </w:r>
      <w:r>
        <w:t>n</w:t>
      </w:r>
      <w:r>
        <w:t>tendió que Telleldín “estaba preconstituyendo prueba para el juicio oral y archivó las a</w:t>
      </w:r>
      <w:r>
        <w:t>c</w:t>
      </w:r>
      <w:r>
        <w:t>tuaciones”.</w:t>
      </w:r>
    </w:p>
    <w:p w:rsidR="00224567" w:rsidRDefault="00224567">
      <w:pPr>
        <w:pStyle w:val="Textoindependiente"/>
        <w:spacing w:line="600" w:lineRule="auto"/>
      </w:pPr>
      <w:r>
        <w:tab/>
        <w:t>Sin embargo, expresó la defensa, en el juicio se probó la me</w:t>
      </w:r>
      <w:r>
        <w:t>n</w:t>
      </w:r>
      <w:r>
        <w:t>cionada falsedad en tanto el juez instructor sabía que “el tal Ibáñez” no era otro que Pablo Ibáñez, testigo de identidad reservada. Y, según explicó, en la oportunidad Ledesma lo acompañó al juzgado, omitiéndose r</w:t>
      </w:r>
      <w:r>
        <w:t>e</w:t>
      </w:r>
      <w:r>
        <w:t>cibirle testim</w:t>
      </w:r>
      <w:r>
        <w:t>o</w:t>
      </w:r>
      <w:r>
        <w:t>nio.</w:t>
      </w:r>
    </w:p>
    <w:p w:rsidR="00224567" w:rsidRDefault="00224567">
      <w:pPr>
        <w:pStyle w:val="Textoindependiente"/>
        <w:spacing w:line="600" w:lineRule="auto"/>
      </w:pPr>
      <w:r>
        <w:tab/>
        <w:t>En síntesis, el juez sabía que la motoc</w:t>
      </w:r>
      <w:r>
        <w:t>i</w:t>
      </w:r>
      <w:r>
        <w:t>cleta fue entregada al abogado Semorile y cumplió su promesa de encubrir el hecho.</w:t>
      </w:r>
    </w:p>
    <w:p w:rsidR="00224567" w:rsidRDefault="00224567">
      <w:pPr>
        <w:widowControl w:val="0"/>
        <w:rPr>
          <w:lang w:val="es-MX"/>
        </w:rPr>
      </w:pPr>
      <w:r>
        <w:lastRenderedPageBreak/>
        <w:tab/>
        <w:t>Resaltó la defensa que se cometieron otros delitos que de alguna manera afectaron a Telle</w:t>
      </w:r>
      <w:r>
        <w:t>l</w:t>
      </w:r>
      <w:r>
        <w:t xml:space="preserve">dín, </w:t>
      </w:r>
      <w:r w:rsidRPr="00224567">
        <w:rPr>
          <w:highlight w:val="yellow"/>
        </w:rPr>
        <w:t xml:space="preserve">como ser el </w:t>
      </w:r>
      <w:r w:rsidRPr="00224567">
        <w:rPr>
          <w:highlight w:val="yellow"/>
          <w:lang w:val="es-MX"/>
        </w:rPr>
        <w:t>secuestro y tortura que se utilizó para det</w:t>
      </w:r>
      <w:r w:rsidRPr="00224567">
        <w:rPr>
          <w:highlight w:val="yellow"/>
          <w:lang w:val="es-MX"/>
        </w:rPr>
        <w:t>e</w:t>
      </w:r>
      <w:r w:rsidRPr="00224567">
        <w:rPr>
          <w:highlight w:val="yellow"/>
          <w:lang w:val="es-MX"/>
        </w:rPr>
        <w:t>ner a César Fernández, quien vendió a Telleldín la cami</w:t>
      </w:r>
      <w:r w:rsidRPr="00224567">
        <w:rPr>
          <w:highlight w:val="yellow"/>
          <w:lang w:val="es-MX"/>
        </w:rPr>
        <w:t>o</w:t>
      </w:r>
      <w:r w:rsidRPr="00224567">
        <w:rPr>
          <w:highlight w:val="yellow"/>
          <w:lang w:val="es-MX"/>
        </w:rPr>
        <w:t xml:space="preserve">neta robada a Pedro Sarapura. Según su apreciación, tal circunstancia se probó con las declaraciones testimoniales del agente de </w:t>
      </w:r>
      <w:smartTag w:uri="urn:schemas-microsoft-com:office:smarttags" w:element="PersonName">
        <w:smartTagPr>
          <w:attr w:name="ProductID" w:val="la S.I"/>
        </w:smartTagPr>
        <w:r w:rsidRPr="00224567">
          <w:rPr>
            <w:highlight w:val="yellow"/>
            <w:lang w:val="es-MX"/>
          </w:rPr>
          <w:t>la S.I</w:t>
        </w:r>
      </w:smartTag>
      <w:r w:rsidRPr="00224567">
        <w:rPr>
          <w:highlight w:val="yellow"/>
          <w:lang w:val="es-MX"/>
        </w:rPr>
        <w:t>.D.E. Horacio Stiuso, que reconoció tareas de inteligencia real</w:t>
      </w:r>
      <w:r w:rsidRPr="00224567">
        <w:rPr>
          <w:highlight w:val="yellow"/>
          <w:lang w:val="es-MX"/>
        </w:rPr>
        <w:t>i</w:t>
      </w:r>
      <w:r w:rsidRPr="00224567">
        <w:rPr>
          <w:highlight w:val="yellow"/>
          <w:lang w:val="es-MX"/>
        </w:rPr>
        <w:t>zadas en la provincia de Entre Ríos con relación al nombrado; de Luis Horacio Manzan</w:t>
      </w:r>
      <w:r w:rsidRPr="00224567">
        <w:rPr>
          <w:highlight w:val="yellow"/>
          <w:lang w:val="es-MX"/>
        </w:rPr>
        <w:t>a</w:t>
      </w:r>
      <w:r w:rsidRPr="00224567">
        <w:rPr>
          <w:highlight w:val="yellow"/>
          <w:lang w:val="es-MX"/>
        </w:rPr>
        <w:t>res, que afirmó que Hugo Anzorreguy ordenó su segu</w:t>
      </w:r>
      <w:r w:rsidRPr="00224567">
        <w:rPr>
          <w:highlight w:val="yellow"/>
          <w:lang w:val="es-MX"/>
        </w:rPr>
        <w:t>i</w:t>
      </w:r>
      <w:r w:rsidRPr="00224567">
        <w:rPr>
          <w:highlight w:val="yellow"/>
          <w:lang w:val="es-MX"/>
        </w:rPr>
        <w:t>miento; del comisario Salguero, que dijo que el juez Galeano avisó que César Fernández estaba tirado en la calle en su jurisdi</w:t>
      </w:r>
      <w:r w:rsidRPr="00224567">
        <w:rPr>
          <w:highlight w:val="yellow"/>
          <w:lang w:val="es-MX"/>
        </w:rPr>
        <w:t>c</w:t>
      </w:r>
      <w:r w:rsidRPr="00224567">
        <w:rPr>
          <w:highlight w:val="yellow"/>
          <w:lang w:val="es-MX"/>
        </w:rPr>
        <w:t xml:space="preserve">ción y que lo había detenido el personal de </w:t>
      </w:r>
      <w:smartTag w:uri="urn:schemas-microsoft-com:office:smarttags" w:element="PersonName">
        <w:smartTagPr>
          <w:attr w:name="ProductID" w:val="la Secretar￭a"/>
        </w:smartTagPr>
        <w:r w:rsidRPr="00224567">
          <w:rPr>
            <w:highlight w:val="yellow"/>
            <w:lang w:val="es-MX"/>
          </w:rPr>
          <w:t>la Secretaría</w:t>
        </w:r>
      </w:smartTag>
      <w:r w:rsidRPr="00224567">
        <w:rPr>
          <w:highlight w:val="yellow"/>
          <w:lang w:val="es-MX"/>
        </w:rPr>
        <w:t xml:space="preserve"> de Inteligencia; de Carlos Yrigoitía, que declaró que el nombrado fue secuestrado en la ciudad de Gualeguaychú y las denuncias de torturas referidas por César Ferná</w:t>
      </w:r>
      <w:r w:rsidRPr="00224567">
        <w:rPr>
          <w:highlight w:val="yellow"/>
          <w:lang w:val="es-MX"/>
        </w:rPr>
        <w:t>n</w:t>
      </w:r>
      <w:r w:rsidRPr="00224567">
        <w:rPr>
          <w:highlight w:val="yellow"/>
          <w:lang w:val="es-MX"/>
        </w:rPr>
        <w:t>dez.</w:t>
      </w:r>
    </w:p>
    <w:p w:rsidR="00224567" w:rsidRDefault="00224567">
      <w:pPr>
        <w:widowControl w:val="0"/>
        <w:rPr>
          <w:lang w:val="es-MX"/>
        </w:rPr>
      </w:pPr>
      <w:r>
        <w:rPr>
          <w:lang w:val="es-MX"/>
        </w:rPr>
        <w:tab/>
        <w:t>Señaló que para dejar asentado en la causa el procedimiento ilegal, el juez inventó un ll</w:t>
      </w:r>
      <w:r>
        <w:rPr>
          <w:lang w:val="es-MX"/>
        </w:rPr>
        <w:t>a</w:t>
      </w:r>
      <w:r>
        <w:rPr>
          <w:lang w:val="es-MX"/>
        </w:rPr>
        <w:t>mado anónimo y lo plasmó en una constancia falsa. Por otro l</w:t>
      </w:r>
      <w:r>
        <w:rPr>
          <w:lang w:val="es-MX"/>
        </w:rPr>
        <w:t>a</w:t>
      </w:r>
      <w:r>
        <w:rPr>
          <w:lang w:val="es-MX"/>
        </w:rPr>
        <w:t xml:space="preserve">do, mencionó que el nombrado Fernández no fue procesado </w:t>
      </w:r>
      <w:r>
        <w:rPr>
          <w:lang w:val="es-MX"/>
        </w:rPr>
        <w:lastRenderedPageBreak/>
        <w:t>por el robo de la camioneta de Pedro Sarap</w:t>
      </w:r>
      <w:r>
        <w:rPr>
          <w:lang w:val="es-MX"/>
        </w:rPr>
        <w:t>u</w:t>
      </w:r>
      <w:r>
        <w:rPr>
          <w:lang w:val="es-MX"/>
        </w:rPr>
        <w:t>ra, recibiendo un tratamiento diferente al de Telleldín, Nitzcaner y P</w:t>
      </w:r>
      <w:r>
        <w:rPr>
          <w:lang w:val="es-MX"/>
        </w:rPr>
        <w:t>é</w:t>
      </w:r>
      <w:r>
        <w:rPr>
          <w:lang w:val="es-MX"/>
        </w:rPr>
        <w:t>rez que soportaron la imputación de encubrimiento por ese mismo hecho.</w:t>
      </w:r>
    </w:p>
    <w:p w:rsidR="00224567" w:rsidRDefault="00224567">
      <w:pPr>
        <w:widowControl w:val="0"/>
        <w:rPr>
          <w:lang w:val="es-MX"/>
        </w:rPr>
      </w:pPr>
      <w:r>
        <w:rPr>
          <w:lang w:val="es-MX"/>
        </w:rPr>
        <w:tab/>
        <w:t>Adujo que el instructor temía que Fe</w:t>
      </w:r>
      <w:r>
        <w:rPr>
          <w:lang w:val="es-MX"/>
        </w:rPr>
        <w:t>r</w:t>
      </w:r>
      <w:r>
        <w:rPr>
          <w:lang w:val="es-MX"/>
        </w:rPr>
        <w:t>nández se explayara en el debate oral acerca de las tort</w:t>
      </w:r>
      <w:r>
        <w:rPr>
          <w:lang w:val="es-MX"/>
        </w:rPr>
        <w:t>u</w:t>
      </w:r>
      <w:r>
        <w:rPr>
          <w:lang w:val="es-MX"/>
        </w:rPr>
        <w:t>ras y el secuestro que sufrió en esa oportunidad. En co</w:t>
      </w:r>
      <w:r>
        <w:rPr>
          <w:lang w:val="es-MX"/>
        </w:rPr>
        <w:t>n</w:t>
      </w:r>
      <w:r>
        <w:rPr>
          <w:lang w:val="es-MX"/>
        </w:rPr>
        <w:t>secuencia, solicitó que se investigue la partic</w:t>
      </w:r>
      <w:r>
        <w:rPr>
          <w:lang w:val="es-MX"/>
        </w:rPr>
        <w:t>i</w:t>
      </w:r>
      <w:r>
        <w:rPr>
          <w:lang w:val="es-MX"/>
        </w:rPr>
        <w:t>pación de Horacio Stiuso, Ángel Salguero, Juan José Galeano y Hugo Anzorreguy en los ilícitos alud</w:t>
      </w:r>
      <w:r>
        <w:rPr>
          <w:lang w:val="es-MX"/>
        </w:rPr>
        <w:t>i</w:t>
      </w:r>
      <w:r>
        <w:rPr>
          <w:lang w:val="es-MX"/>
        </w:rPr>
        <w:t>dos.</w:t>
      </w:r>
    </w:p>
    <w:p w:rsidR="00224567" w:rsidRDefault="00224567">
      <w:pPr>
        <w:widowControl w:val="0"/>
        <w:ind w:firstLine="2835"/>
        <w:rPr>
          <w:lang w:val="es-MX"/>
        </w:rPr>
      </w:pPr>
      <w:r>
        <w:rPr>
          <w:lang w:val="es-MX"/>
        </w:rPr>
        <w:t>La defensa sostuvo que de igual forma se procedió con el gruero Alberto Chueco, quién explicó que se le requirió un traslado de un vehículo y en el c</w:t>
      </w:r>
      <w:r>
        <w:rPr>
          <w:lang w:val="es-MX"/>
        </w:rPr>
        <w:t>a</w:t>
      </w:r>
      <w:r>
        <w:rPr>
          <w:lang w:val="es-MX"/>
        </w:rPr>
        <w:t>mino se cruzó un automóvil Galaxi, pensando que se trat</w:t>
      </w:r>
      <w:r>
        <w:rPr>
          <w:lang w:val="es-MX"/>
        </w:rPr>
        <w:t>a</w:t>
      </w:r>
      <w:r>
        <w:rPr>
          <w:lang w:val="es-MX"/>
        </w:rPr>
        <w:t>ban de ladrones. Continuó diciendo que lo “meti</w:t>
      </w:r>
      <w:r>
        <w:rPr>
          <w:lang w:val="es-MX"/>
        </w:rPr>
        <w:t>e</w:t>
      </w:r>
      <w:r>
        <w:rPr>
          <w:lang w:val="es-MX"/>
        </w:rPr>
        <w:t xml:space="preserve">ron dentro de un auto, lo llevaron a </w:t>
      </w:r>
      <w:smartTag w:uri="urn:schemas-microsoft-com:office:smarttags" w:element="PersonName">
        <w:smartTagPr>
          <w:attr w:name="ProductID" w:val="la Brigada"/>
        </w:smartTagPr>
        <w:r>
          <w:rPr>
            <w:lang w:val="es-MX"/>
          </w:rPr>
          <w:t>la Brigada</w:t>
        </w:r>
      </w:smartTag>
      <w:r>
        <w:rPr>
          <w:lang w:val="es-MX"/>
        </w:rPr>
        <w:t xml:space="preserve"> de San Martín y de</w:t>
      </w:r>
      <w:r>
        <w:rPr>
          <w:lang w:val="es-MX"/>
        </w:rPr>
        <w:t>s</w:t>
      </w:r>
      <w:r>
        <w:rPr>
          <w:lang w:val="es-MX"/>
        </w:rPr>
        <w:t>pués de torturarlo mediante golpes y pat</w:t>
      </w:r>
      <w:r>
        <w:rPr>
          <w:lang w:val="es-MX"/>
        </w:rPr>
        <w:t>a</w:t>
      </w:r>
      <w:r>
        <w:rPr>
          <w:lang w:val="es-MX"/>
        </w:rPr>
        <w:t xml:space="preserve">das, lo pusieron a disposición de Galeano”. En forma absurda, calificó la defensa, se imputó al nombrado la participación en el atentado a </w:t>
      </w:r>
      <w:smartTag w:uri="urn:schemas-microsoft-com:office:smarttags" w:element="PersonName">
        <w:smartTagPr>
          <w:attr w:name="ProductID" w:val="la A.M"/>
        </w:smartTagPr>
        <w:r>
          <w:rPr>
            <w:lang w:val="es-MX"/>
          </w:rPr>
          <w:t>la A.M</w:t>
        </w:r>
      </w:smartTag>
      <w:r>
        <w:rPr>
          <w:lang w:val="es-MX"/>
        </w:rPr>
        <w:t>.I.A.</w:t>
      </w:r>
    </w:p>
    <w:p w:rsidR="00224567" w:rsidRDefault="00224567">
      <w:pPr>
        <w:widowControl w:val="0"/>
        <w:rPr>
          <w:lang w:val="es-MX"/>
        </w:rPr>
      </w:pPr>
      <w:r>
        <w:rPr>
          <w:lang w:val="es-MX"/>
        </w:rPr>
        <w:tab/>
        <w:t xml:space="preserve">Otro de los delitos cometidos por el </w:t>
      </w:r>
      <w:r>
        <w:rPr>
          <w:lang w:val="es-MX"/>
        </w:rPr>
        <w:lastRenderedPageBreak/>
        <w:t>juez instructor y sus secretarios, aludió, constituyó el ocultamiento de la adulteración del motor del automóvil Renault 19. Mencionó que en la entrevista del 1º de j</w:t>
      </w:r>
      <w:r>
        <w:rPr>
          <w:lang w:val="es-MX"/>
        </w:rPr>
        <w:t>u</w:t>
      </w:r>
      <w:r>
        <w:rPr>
          <w:lang w:val="es-MX"/>
        </w:rPr>
        <w:t>lio de 1996 que reflejó el video exhibido en el debate, su asistido asumió ante el juez y sus secretarios que dicho rodado era “trucho”. El ilícito, dijo, no fue motivo de investigación por parte de dichos funcionarios públ</w:t>
      </w:r>
      <w:r>
        <w:rPr>
          <w:lang w:val="es-MX"/>
        </w:rPr>
        <w:t>i</w:t>
      </w:r>
      <w:r>
        <w:rPr>
          <w:lang w:val="es-MX"/>
        </w:rPr>
        <w:t>cos y, en oportunidad de elevar la causa a juicio, el juez sost</w:t>
      </w:r>
      <w:r>
        <w:rPr>
          <w:lang w:val="es-MX"/>
        </w:rPr>
        <w:t>u</w:t>
      </w:r>
      <w:r>
        <w:rPr>
          <w:lang w:val="es-MX"/>
        </w:rPr>
        <w:t>vo que el automóvil era legít</w:t>
      </w:r>
      <w:r>
        <w:rPr>
          <w:lang w:val="es-MX"/>
        </w:rPr>
        <w:t>i</w:t>
      </w:r>
      <w:r>
        <w:rPr>
          <w:lang w:val="es-MX"/>
        </w:rPr>
        <w:t xml:space="preserve">mo. </w:t>
      </w:r>
    </w:p>
    <w:p w:rsidR="00224567" w:rsidRDefault="00224567">
      <w:pPr>
        <w:widowControl w:val="0"/>
        <w:rPr>
          <w:lang w:val="es-MX"/>
        </w:rPr>
      </w:pPr>
      <w:r>
        <w:rPr>
          <w:lang w:val="es-MX"/>
        </w:rPr>
        <w:tab/>
        <w:t>Explicó que a pesar de que los perit</w:t>
      </w:r>
      <w:r>
        <w:rPr>
          <w:lang w:val="es-MX"/>
        </w:rPr>
        <w:t>a</w:t>
      </w:r>
      <w:r>
        <w:rPr>
          <w:lang w:val="es-MX"/>
        </w:rPr>
        <w:t xml:space="preserve">jes de revenido químico practicados por </w:t>
      </w:r>
      <w:smartTag w:uri="urn:schemas-microsoft-com:office:smarttags" w:element="PersonName">
        <w:smartTagPr>
          <w:attr w:name="ProductID" w:val="la Polic￭a Federal"/>
        </w:smartTagPr>
        <w:r>
          <w:rPr>
            <w:lang w:val="es-MX"/>
          </w:rPr>
          <w:t>la Policía Fed</w:t>
        </w:r>
        <w:r>
          <w:rPr>
            <w:lang w:val="es-MX"/>
          </w:rPr>
          <w:t>e</w:t>
        </w:r>
        <w:r>
          <w:rPr>
            <w:lang w:val="es-MX"/>
          </w:rPr>
          <w:t>ral</w:t>
        </w:r>
      </w:smartTag>
      <w:r>
        <w:rPr>
          <w:lang w:val="es-MX"/>
        </w:rPr>
        <w:t>, los técnicos de C.I.A.D.E.A. S.A. y de Gendarmería Nacional habían determinado que las numeraciones eran a</w:t>
      </w:r>
      <w:r>
        <w:rPr>
          <w:lang w:val="es-MX"/>
        </w:rPr>
        <w:t>u</w:t>
      </w:r>
      <w:r>
        <w:rPr>
          <w:lang w:val="es-MX"/>
        </w:rPr>
        <w:t>ténticas, en un nuevo peritaje ordenado en la etapa del juicio -contando con las explicaciones de T</w:t>
      </w:r>
      <w:r>
        <w:rPr>
          <w:lang w:val="es-MX"/>
        </w:rPr>
        <w:t>e</w:t>
      </w:r>
      <w:r>
        <w:rPr>
          <w:lang w:val="es-MX"/>
        </w:rPr>
        <w:t>lleldín y las fotografías del automóvil siniestrado- los peritos concl</w:t>
      </w:r>
      <w:r>
        <w:rPr>
          <w:lang w:val="es-MX"/>
        </w:rPr>
        <w:t>u</w:t>
      </w:r>
      <w:r>
        <w:rPr>
          <w:lang w:val="es-MX"/>
        </w:rPr>
        <w:t>yeron que la numeración del chasis estaba adulterada.</w:t>
      </w:r>
    </w:p>
    <w:p w:rsidR="00224567" w:rsidRDefault="00224567">
      <w:pPr>
        <w:widowControl w:val="0"/>
        <w:rPr>
          <w:lang w:val="es-MX"/>
        </w:rPr>
      </w:pPr>
      <w:r>
        <w:rPr>
          <w:lang w:val="es-MX"/>
        </w:rPr>
        <w:tab/>
        <w:t>Explicó que la finalidad del juez in</w:t>
      </w:r>
      <w:r>
        <w:rPr>
          <w:lang w:val="es-MX"/>
        </w:rPr>
        <w:t>s</w:t>
      </w:r>
      <w:r>
        <w:rPr>
          <w:lang w:val="es-MX"/>
        </w:rPr>
        <w:t>tructor para sostener la legitimidad del chasis co</w:t>
      </w:r>
      <w:r>
        <w:rPr>
          <w:lang w:val="es-MX"/>
        </w:rPr>
        <w:t>n</w:t>
      </w:r>
      <w:r>
        <w:rPr>
          <w:lang w:val="es-MX"/>
        </w:rPr>
        <w:t>sistía en producir prueba en contra de los policías b</w:t>
      </w:r>
      <w:r>
        <w:rPr>
          <w:lang w:val="es-MX"/>
        </w:rPr>
        <w:t>o</w:t>
      </w:r>
      <w:r>
        <w:rPr>
          <w:lang w:val="es-MX"/>
        </w:rPr>
        <w:t>naerenses.</w:t>
      </w:r>
    </w:p>
    <w:p w:rsidR="00224567" w:rsidRDefault="00224567">
      <w:pPr>
        <w:pStyle w:val="Textoindependiente"/>
        <w:spacing w:line="600" w:lineRule="auto"/>
      </w:pPr>
      <w:r>
        <w:lastRenderedPageBreak/>
        <w:tab/>
        <w:t>Por otra parte, afirmó, que el denominado “desvío Solari” fue utilizado por la querella en contra de su asistido. Así, pretendió sostener que Ribelli había de</w:t>
      </w:r>
      <w:r>
        <w:t>s</w:t>
      </w:r>
      <w:r>
        <w:t>viado la investigación a través de Ramón Em</w:t>
      </w:r>
      <w:r>
        <w:t>i</w:t>
      </w:r>
      <w:r>
        <w:t>lio Solari para beneficiar a Telleldín y lograr su libertad, evitando que éste los involucrara en el atent</w:t>
      </w:r>
      <w:r>
        <w:t>a</w:t>
      </w:r>
      <w:r>
        <w:t>do.</w:t>
      </w:r>
    </w:p>
    <w:p w:rsidR="00224567" w:rsidRDefault="00224567">
      <w:pPr>
        <w:pStyle w:val="Textoindependiente"/>
        <w:spacing w:line="600" w:lineRule="auto"/>
      </w:pPr>
      <w:r>
        <w:tab/>
        <w:t>Dijo que la hipótesis “es otra de las con</w:t>
      </w:r>
      <w:r>
        <w:t>s</w:t>
      </w:r>
      <w:r>
        <w:t>trucciones efectuadas sin sustento probatorio” y demostró que por la “absoluta orfandad probatoria” los acusadores debieron recurrir a la imaginación. Primero, señaló, la querella sostuvo que Mario Bareiro preparó a Solari; de</w:t>
      </w:r>
      <w:r>
        <w:t>s</w:t>
      </w:r>
      <w:r>
        <w:t>pués, dijeron que Juan José Ribelli a través de Bareiro, armó la coartada con la intención de evitar la imputación de los policías bonaerenses, mientras que en la acusación final sostuvieron que con ello se procuró obtener la libe</w:t>
      </w:r>
      <w:r>
        <w:t>r</w:t>
      </w:r>
      <w:r>
        <w:t>tad de T</w:t>
      </w:r>
      <w:r>
        <w:t>e</w:t>
      </w:r>
      <w:r>
        <w:t>lleldín.</w:t>
      </w:r>
    </w:p>
    <w:p w:rsidR="00224567" w:rsidRDefault="00224567">
      <w:pPr>
        <w:pStyle w:val="Textoindependiente"/>
        <w:spacing w:line="600" w:lineRule="auto"/>
      </w:pPr>
      <w:r>
        <w:tab/>
        <w:t>Entendió la letrada que se acreditó en el d</w:t>
      </w:r>
      <w:r>
        <w:t>e</w:t>
      </w:r>
      <w:r>
        <w:t>bate que su defendido denunció el desvío, circunsta</w:t>
      </w:r>
      <w:r>
        <w:t>n</w:t>
      </w:r>
      <w:r>
        <w:t xml:space="preserve">cia que reconoció también </w:t>
      </w:r>
      <w:smartTag w:uri="urn:schemas-microsoft-com:office:smarttags" w:element="PersonName">
        <w:smartTagPr>
          <w:attr w:name="ProductID" w:val="la Dra. Riva"/>
        </w:smartTagPr>
        <w:r>
          <w:t>la Dra. Riva</w:t>
        </w:r>
      </w:smartTag>
      <w:r>
        <w:t xml:space="preserve"> Aramayo. Incl</w:t>
      </w:r>
      <w:r>
        <w:t>u</w:t>
      </w:r>
      <w:r>
        <w:t>so, afirmó, su asistido convenció a los testigos Brizuela para que soste</w:t>
      </w:r>
      <w:r>
        <w:t>n</w:t>
      </w:r>
      <w:r>
        <w:t>gan la verdad de lo que sabían s</w:t>
      </w:r>
      <w:r>
        <w:t>o</w:t>
      </w:r>
      <w:r>
        <w:t>bre la cuestión debatida.</w:t>
      </w:r>
    </w:p>
    <w:p w:rsidR="00224567" w:rsidRDefault="00224567">
      <w:pPr>
        <w:pStyle w:val="Textoindependiente"/>
        <w:spacing w:line="600" w:lineRule="auto"/>
      </w:pPr>
      <w:r>
        <w:lastRenderedPageBreak/>
        <w:tab/>
        <w:t xml:space="preserve">Señaló, en otro orden, que </w:t>
      </w:r>
      <w:smartTag w:uri="urn:schemas-microsoft-com:office:smarttags" w:element="PersonName">
        <w:smartTagPr>
          <w:attr w:name="ProductID" w:val="la Secretar￭a"/>
        </w:smartTagPr>
        <w:r>
          <w:t>la Secretaría</w:t>
        </w:r>
      </w:smartTag>
      <w:r>
        <w:t xml:space="preserve"> de Inteligencia de Estado contrató a Mario Bareiro para que colaborara en la investigación y, después, el juez instru</w:t>
      </w:r>
      <w:r>
        <w:t>c</w:t>
      </w:r>
      <w:r>
        <w:t>tor elevó la causa a juicio a su respecto por considerarlo partícipe necesario del atentado, util</w:t>
      </w:r>
      <w:r>
        <w:t>i</w:t>
      </w:r>
      <w:r>
        <w:t>zando como elemento de cargo el armado de la hipótesis del desvío.</w:t>
      </w:r>
    </w:p>
    <w:p w:rsidR="00224567" w:rsidRDefault="00224567">
      <w:pPr>
        <w:pStyle w:val="Textoindependiente"/>
        <w:spacing w:line="600" w:lineRule="auto"/>
      </w:pPr>
      <w:r>
        <w:tab/>
        <w:t>Mencionó la defensa que una vez que se co</w:t>
      </w:r>
      <w:r>
        <w:t>m</w:t>
      </w:r>
      <w:r>
        <w:t>probó la entrega de dinero a Telleldín por su decl</w:t>
      </w:r>
      <w:r>
        <w:t>a</w:t>
      </w:r>
      <w:r>
        <w:t>ración, los acusadores sostuvieron que, en realidad, se le pagó p</w:t>
      </w:r>
      <w:r>
        <w:t>a</w:t>
      </w:r>
      <w:r>
        <w:t>ra decir la verdad, aún cuando Telleldín había denunciado al juez instructor por haberlo obligado a firmar una decl</w:t>
      </w:r>
      <w:r>
        <w:t>a</w:t>
      </w:r>
      <w:r>
        <w:t>ración fa</w:t>
      </w:r>
      <w:r>
        <w:t>l</w:t>
      </w:r>
      <w:r>
        <w:t>sa.</w:t>
      </w:r>
    </w:p>
    <w:p w:rsidR="00224567" w:rsidRDefault="00224567">
      <w:pPr>
        <w:pStyle w:val="Textoindependiente"/>
        <w:spacing w:line="600" w:lineRule="auto"/>
        <w:ind w:firstLine="2835"/>
      </w:pPr>
      <w:r>
        <w:t>Expresó que a su asistido no le inter</w:t>
      </w:r>
      <w:r>
        <w:t>e</w:t>
      </w:r>
      <w:r>
        <w:t>saba el dinero, sino que se realizara el pago ilegal para demostrar que el único que tenía i</w:t>
      </w:r>
      <w:r>
        <w:t>n</w:t>
      </w:r>
      <w:r>
        <w:t xml:space="preserve">terés en una declaración falsa era el juez instructor, </w:t>
      </w:r>
      <w:smartTag w:uri="urn:schemas-microsoft-com:office:smarttags" w:element="PersonName">
        <w:smartTagPr>
          <w:attr w:name="ProductID" w:val="la S.I"/>
        </w:smartTagPr>
        <w:r>
          <w:t>la S.I</w:t>
        </w:r>
      </w:smartTag>
      <w:r>
        <w:t>.D.E. y el poder pol</w:t>
      </w:r>
      <w:r>
        <w:t>í</w:t>
      </w:r>
      <w:r>
        <w:t>tico. Señaló, en esa intelige</w:t>
      </w:r>
      <w:r>
        <w:t>n</w:t>
      </w:r>
      <w:r>
        <w:t>cia, que ni el magistrado, ni los secretarios, ni las quer</w:t>
      </w:r>
      <w:r>
        <w:t>e</w:t>
      </w:r>
      <w:r>
        <w:t>llas, ni los fiscales pudieron explicar el motivo por el cual la entrega de dinero no se canalizó por la vía legal contemplada en el decreto que a</w:t>
      </w:r>
      <w:r>
        <w:t>u</w:t>
      </w:r>
      <w:r>
        <w:lastRenderedPageBreak/>
        <w:t>torizaba una recompensa a quién brindara información para la causa.</w:t>
      </w:r>
    </w:p>
    <w:p w:rsidR="00224567" w:rsidRDefault="00224567">
      <w:pPr>
        <w:pStyle w:val="Textoindependiente"/>
        <w:spacing w:line="600" w:lineRule="auto"/>
      </w:pPr>
      <w:r>
        <w:tab/>
        <w:t>Prueba de que la causa fue un de</w:t>
      </w:r>
      <w:r>
        <w:t>s</w:t>
      </w:r>
      <w:r>
        <w:t>vío y que a cualquier precio se imputaba a personas inocentes fue la mentira de todos los involucrados, negando el pago; a s</w:t>
      </w:r>
      <w:r>
        <w:t>a</w:t>
      </w:r>
      <w:r>
        <w:t>ber, Rubén Beraja, el juez Galeano, los fiscales, los s</w:t>
      </w:r>
      <w:r>
        <w:t>e</w:t>
      </w:r>
      <w:r>
        <w:t>cretarios y los prosecretarios que testimoniaron en el ju</w:t>
      </w:r>
      <w:r>
        <w:t>i</w:t>
      </w:r>
      <w:r>
        <w:t>cio. Quizás, dedujo, por esa r</w:t>
      </w:r>
      <w:r>
        <w:t>a</w:t>
      </w:r>
      <w:r>
        <w:t>zón la querella de D.A.I.A. protegió al juez instructor n</w:t>
      </w:r>
      <w:r>
        <w:t>e</w:t>
      </w:r>
      <w:r>
        <w:t>gándose al levantamiento del secreto de Estado porque muchos dirigentes “colaboraron a</w:t>
      </w:r>
      <w:r>
        <w:t>c</w:t>
      </w:r>
      <w:r>
        <w:t>tivamente para que todo este de</w:t>
      </w:r>
      <w:r>
        <w:t>s</w:t>
      </w:r>
      <w:r>
        <w:t>vío pudiera realizarse”.</w:t>
      </w:r>
    </w:p>
    <w:p w:rsidR="00224567" w:rsidRDefault="00224567">
      <w:pPr>
        <w:widowControl w:val="0"/>
        <w:rPr>
          <w:lang w:val="es-MX"/>
        </w:rPr>
      </w:pPr>
      <w:r>
        <w:rPr>
          <w:lang w:val="es-MX"/>
        </w:rPr>
        <w:tab/>
        <w:t>La defensora solicitó que se invest</w:t>
      </w:r>
      <w:r>
        <w:rPr>
          <w:lang w:val="es-MX"/>
        </w:rPr>
        <w:t>i</w:t>
      </w:r>
      <w:r>
        <w:rPr>
          <w:lang w:val="es-MX"/>
        </w:rPr>
        <w:t>gue también la conducta del entonces prosecr</w:t>
      </w:r>
      <w:r>
        <w:rPr>
          <w:lang w:val="es-MX"/>
        </w:rPr>
        <w:t>e</w:t>
      </w:r>
      <w:r>
        <w:rPr>
          <w:lang w:val="es-MX"/>
        </w:rPr>
        <w:t>tario Claudio Lifschitz por haber sido partícipe y encubridor de muchos delitos. Al respecto, mencionó que el funci</w:t>
      </w:r>
      <w:r>
        <w:rPr>
          <w:lang w:val="es-MX"/>
        </w:rPr>
        <w:t>o</w:t>
      </w:r>
      <w:r>
        <w:rPr>
          <w:lang w:val="es-MX"/>
        </w:rPr>
        <w:t xml:space="preserve">nario le tomó declaración por duplicado a Luis Horacio Manzanares, como se lo pidió </w:t>
      </w:r>
      <w:smartTag w:uri="urn:schemas-microsoft-com:office:smarttags" w:element="PersonName">
        <w:smartTagPr>
          <w:attr w:name="ProductID" w:val="la S.I"/>
        </w:smartTagPr>
        <w:r>
          <w:rPr>
            <w:lang w:val="es-MX"/>
          </w:rPr>
          <w:t>la S.I</w:t>
        </w:r>
      </w:smartTag>
      <w:r>
        <w:rPr>
          <w:lang w:val="es-MX"/>
        </w:rPr>
        <w:t>.D.E., consignando en cada una de ellas cosas distintas; que confeccionó un constancia falsa, a pedido del juez, con relación a la denuncia efectu</w:t>
      </w:r>
      <w:r>
        <w:rPr>
          <w:lang w:val="es-MX"/>
        </w:rPr>
        <w:t>a</w:t>
      </w:r>
      <w:r>
        <w:rPr>
          <w:lang w:val="es-MX"/>
        </w:rPr>
        <w:t>da por Rodolfo Rigamonti y que tuvo conocimiento de la filmación y extorsión a Semorile, Salinas e Ib</w:t>
      </w:r>
      <w:r>
        <w:rPr>
          <w:lang w:val="es-MX"/>
        </w:rPr>
        <w:t>á</w:t>
      </w:r>
      <w:r>
        <w:rPr>
          <w:lang w:val="es-MX"/>
        </w:rPr>
        <w:t xml:space="preserve">ñez, del pago y de la </w:t>
      </w:r>
      <w:r>
        <w:rPr>
          <w:lang w:val="es-MX"/>
        </w:rPr>
        <w:lastRenderedPageBreak/>
        <w:t>falsedad de la declaración indagatoria del 5 de julio de 1996, de la existencia de legajos secretos para alguna de las pa</w:t>
      </w:r>
      <w:r>
        <w:rPr>
          <w:lang w:val="es-MX"/>
        </w:rPr>
        <w:t>r</w:t>
      </w:r>
      <w:r>
        <w:rPr>
          <w:lang w:val="es-MX"/>
        </w:rPr>
        <w:t xml:space="preserve">tes, de las maniobras de </w:t>
      </w:r>
      <w:smartTag w:uri="urn:schemas-microsoft-com:office:smarttags" w:element="PersonName">
        <w:smartTagPr>
          <w:attr w:name="ProductID" w:val="la S.I"/>
        </w:smartTagPr>
        <w:r>
          <w:rPr>
            <w:lang w:val="es-MX"/>
          </w:rPr>
          <w:t>la S.I</w:t>
        </w:r>
      </w:smartTag>
      <w:r>
        <w:rPr>
          <w:lang w:val="es-MX"/>
        </w:rPr>
        <w:t>.D.E. en las causas que tr</w:t>
      </w:r>
      <w:r>
        <w:rPr>
          <w:lang w:val="es-MX"/>
        </w:rPr>
        <w:t>a</w:t>
      </w:r>
      <w:r>
        <w:rPr>
          <w:lang w:val="es-MX"/>
        </w:rPr>
        <w:t>mitaron ante el juzgado del Dr. Santa Marina y, por último, la propuesta al juez instructor de secuestrar a Nahuel Telleldín y de negociar con Navarre, según consta en su declaración ante la comisión b</w:t>
      </w:r>
      <w:r>
        <w:rPr>
          <w:lang w:val="es-MX"/>
        </w:rPr>
        <w:t>i</w:t>
      </w:r>
      <w:r>
        <w:rPr>
          <w:lang w:val="es-MX"/>
        </w:rPr>
        <w:t>cameral.</w:t>
      </w:r>
    </w:p>
    <w:p w:rsidR="00224567" w:rsidRDefault="00224567">
      <w:pPr>
        <w:widowControl w:val="0"/>
        <w:rPr>
          <w:lang w:val="es-MX"/>
        </w:rPr>
      </w:pPr>
      <w:r>
        <w:rPr>
          <w:lang w:val="es-MX"/>
        </w:rPr>
        <w:tab/>
        <w:t>Sabía todo lo que sucedía en la in</w:t>
      </w:r>
      <w:r>
        <w:rPr>
          <w:lang w:val="es-MX"/>
        </w:rPr>
        <w:t>s</w:t>
      </w:r>
      <w:r>
        <w:rPr>
          <w:lang w:val="es-MX"/>
        </w:rPr>
        <w:t>trucción y, si bien le adjudicó el mérito de formular la denuncia, la defensa señaló que tuvo una finalidad desi</w:t>
      </w:r>
      <w:r>
        <w:rPr>
          <w:lang w:val="es-MX"/>
        </w:rPr>
        <w:t>n</w:t>
      </w:r>
      <w:r>
        <w:rPr>
          <w:lang w:val="es-MX"/>
        </w:rPr>
        <w:t>criminatoria, haciendo la veces de un arrepe</w:t>
      </w:r>
      <w:r>
        <w:rPr>
          <w:lang w:val="es-MX"/>
        </w:rPr>
        <w:t>n</w:t>
      </w:r>
      <w:r>
        <w:rPr>
          <w:lang w:val="es-MX"/>
        </w:rPr>
        <w:t>tido.</w:t>
      </w:r>
    </w:p>
    <w:p w:rsidR="00224567" w:rsidRDefault="00224567">
      <w:pPr>
        <w:widowControl w:val="0"/>
      </w:pPr>
      <w:r>
        <w:tab/>
        <w:t>La letrada señaló que la querella de D.A.I.A. y el fiscal José Barbaccia se valieron en su ac</w:t>
      </w:r>
      <w:r>
        <w:t>u</w:t>
      </w:r>
      <w:r>
        <w:t>sación de publicaciones periodísticas para probar los h</w:t>
      </w:r>
      <w:r>
        <w:t>e</w:t>
      </w:r>
      <w:r>
        <w:t>chos, exhibiendo sólo algunas de las notas en forma inco</w:t>
      </w:r>
      <w:r>
        <w:t>m</w:t>
      </w:r>
      <w:r>
        <w:t>pleta y extrayendo frases fuera de su co</w:t>
      </w:r>
      <w:r>
        <w:t>n</w:t>
      </w:r>
      <w:r>
        <w:t>texto.</w:t>
      </w:r>
    </w:p>
    <w:p w:rsidR="00224567" w:rsidRDefault="00224567">
      <w:pPr>
        <w:widowControl w:val="0"/>
      </w:pPr>
      <w:r>
        <w:tab/>
        <w:t>Así, expresó que las publicaciones d</w:t>
      </w:r>
      <w:r>
        <w:t>e</w:t>
      </w:r>
      <w:r>
        <w:t>mostraron, en realidad, que la fiscalía de instrucción participó en el armado de la “historia oficial” a través del periodista Raúl Kollmann.</w:t>
      </w:r>
    </w:p>
    <w:p w:rsidR="00224567" w:rsidRDefault="00224567">
      <w:pPr>
        <w:widowControl w:val="0"/>
      </w:pPr>
      <w:r>
        <w:lastRenderedPageBreak/>
        <w:tab/>
        <w:t>Mencionó que en la publicación del p</w:t>
      </w:r>
      <w:r>
        <w:t>e</w:t>
      </w:r>
      <w:r>
        <w:t xml:space="preserve">riódico “Página </w:t>
      </w:r>
      <w:smartTag w:uri="urn:schemas-microsoft-com:office:smarttags" w:element="metricconverter">
        <w:smartTagPr>
          <w:attr w:name="ProductID" w:val="12”"/>
        </w:smartTagPr>
        <w:r>
          <w:t>12”</w:t>
        </w:r>
      </w:smartTag>
      <w:r>
        <w:t>, del 8 de junio del 95, bajo el t</w:t>
      </w:r>
      <w:r>
        <w:t>í</w:t>
      </w:r>
      <w:r>
        <w:t xml:space="preserve">tulo “Dos Policías en </w:t>
      </w:r>
      <w:smartTag w:uri="urn:schemas-microsoft-com:office:smarttags" w:element="PersonName">
        <w:smartTagPr>
          <w:attr w:name="ProductID" w:val="la Mira"/>
        </w:smartTagPr>
        <w:r>
          <w:t>la Mira</w:t>
        </w:r>
      </w:smartTag>
      <w:r>
        <w:t>”, referidos a Barreda y Bareiro, el periodista señaló que la c</w:t>
      </w:r>
      <w:r>
        <w:t>o</w:t>
      </w:r>
      <w:r>
        <w:t xml:space="preserve">laboración de los nombrados “se habría extendido al hecho mismo del atentado y ya existe una </w:t>
      </w:r>
      <w:r>
        <w:rPr>
          <w:bCs/>
        </w:rPr>
        <w:t>hipótesis de máxima que han diseñado el juez federal Juan José Galeano y los fisc</w:t>
      </w:r>
      <w:r>
        <w:rPr>
          <w:bCs/>
        </w:rPr>
        <w:t>a</w:t>
      </w:r>
      <w:r>
        <w:rPr>
          <w:bCs/>
        </w:rPr>
        <w:t xml:space="preserve">les José Barbaccia y Eamon Mullen...” y que </w:t>
      </w:r>
      <w:r>
        <w:t>“para estos funcionarios judici</w:t>
      </w:r>
      <w:r>
        <w:t>a</w:t>
      </w:r>
      <w:r>
        <w:t>les, los dos policías conocen mucha información sobre el atentado y en algún punto habrían utilizado su cargo y e</w:t>
      </w:r>
      <w:r>
        <w:t>x</w:t>
      </w:r>
      <w:r>
        <w:t>periencia para facilitar la preparación del coche bo</w:t>
      </w:r>
      <w:r>
        <w:t>m</w:t>
      </w:r>
      <w:r>
        <w:t>ba...”.</w:t>
      </w:r>
    </w:p>
    <w:p w:rsidR="00224567" w:rsidRDefault="00224567">
      <w:pPr>
        <w:widowControl w:val="0"/>
        <w:ind w:firstLine="2835"/>
      </w:pPr>
      <w:r>
        <w:t>Argumentó la abogada que en la fecha en que apareció la nota no existía en la causa ninguna constancia acerca de la intervención de policías bonaere</w:t>
      </w:r>
      <w:r>
        <w:t>n</w:t>
      </w:r>
      <w:r>
        <w:t>ses en el atentado. Expresó que sólo eran simples hipót</w:t>
      </w:r>
      <w:r>
        <w:t>e</w:t>
      </w:r>
      <w:r>
        <w:t>sis de Telleldín que el juez instructor omitió plasmar y que no incluían ni a Barreda ni a Bare</w:t>
      </w:r>
      <w:r>
        <w:t>i</w:t>
      </w:r>
      <w:r>
        <w:t>ro.</w:t>
      </w:r>
    </w:p>
    <w:p w:rsidR="00224567" w:rsidRDefault="00224567">
      <w:pPr>
        <w:widowControl w:val="0"/>
      </w:pPr>
      <w:r>
        <w:tab/>
        <w:t xml:space="preserve">Al día siguiente -9 de junio del 1995-, dijo la defensa, se agregó otra nota a fs. 37.812 en la que también se insistió en una posible participación de </w:t>
      </w:r>
      <w:r>
        <w:lastRenderedPageBreak/>
        <w:t>ambos policías bonaerenses sin dar ninguna explicación. Con ello, afirmó, se comenzó a instalar la “historia of</w:t>
      </w:r>
      <w:r>
        <w:t>i</w:t>
      </w:r>
      <w:r>
        <w:t>cial”.</w:t>
      </w:r>
    </w:p>
    <w:p w:rsidR="00224567" w:rsidRDefault="00224567">
      <w:pPr>
        <w:widowControl w:val="0"/>
      </w:pPr>
      <w:r>
        <w:tab/>
        <w:t>Precisó que el 15 de junio de 1995 se publicó otra nota en el mismo medio de comunicación, e</w:t>
      </w:r>
      <w:r>
        <w:t>s</w:t>
      </w:r>
      <w:r>
        <w:t>clarecedora, a su juicio, de los manejos espurios que se realizaron en contra de su asistido y que no fue mencion</w:t>
      </w:r>
      <w:r>
        <w:t>a</w:t>
      </w:r>
      <w:r>
        <w:t>da en el alegato del fiscal.</w:t>
      </w:r>
    </w:p>
    <w:p w:rsidR="00224567" w:rsidRDefault="00224567">
      <w:pPr>
        <w:widowControl w:val="0"/>
        <w:ind w:firstLine="2835"/>
        <w:rPr>
          <w:bCs/>
          <w:iCs/>
        </w:rPr>
      </w:pPr>
      <w:r>
        <w:t>Bajo el título “Galeano quiere a T</w:t>
      </w:r>
      <w:r>
        <w:t>e</w:t>
      </w:r>
      <w:r>
        <w:t>lleldin adentro – Tironeos por el único preso” se e</w:t>
      </w:r>
      <w:r>
        <w:t>x</w:t>
      </w:r>
      <w:r>
        <w:t xml:space="preserve">presó que </w:t>
      </w:r>
      <w:r>
        <w:rPr>
          <w:bCs/>
          <w:iCs/>
        </w:rPr>
        <w:t>“...si la justicia no obtiene ev</w:t>
      </w:r>
      <w:r>
        <w:rPr>
          <w:bCs/>
          <w:iCs/>
        </w:rPr>
        <w:t>i</w:t>
      </w:r>
      <w:r>
        <w:rPr>
          <w:bCs/>
          <w:iCs/>
        </w:rPr>
        <w:t>dencias que permitan vincularlo al ataque terrorista Telleldín debería aband</w:t>
      </w:r>
      <w:r>
        <w:rPr>
          <w:bCs/>
          <w:iCs/>
        </w:rPr>
        <w:t>o</w:t>
      </w:r>
      <w:r>
        <w:rPr>
          <w:bCs/>
          <w:iCs/>
        </w:rPr>
        <w:t>nar Devoto en cuatro meses, una alternativa que el Juez Federal Galeano conoce y por eso trata de evitar... Mie</w:t>
      </w:r>
      <w:r>
        <w:rPr>
          <w:bCs/>
          <w:iCs/>
        </w:rPr>
        <w:t>n</w:t>
      </w:r>
      <w:r>
        <w:rPr>
          <w:bCs/>
          <w:iCs/>
        </w:rPr>
        <w:t>tras la defensa del único detenido pretende cerrar todos los expedientes que investigan delitos con autos tr</w:t>
      </w:r>
      <w:r>
        <w:rPr>
          <w:bCs/>
          <w:iCs/>
        </w:rPr>
        <w:t>u</w:t>
      </w:r>
      <w:r>
        <w:rPr>
          <w:bCs/>
          <w:iCs/>
        </w:rPr>
        <w:t>chos, el juez federal mueve sus influencias para resucitar vi</w:t>
      </w:r>
      <w:r>
        <w:rPr>
          <w:bCs/>
          <w:iCs/>
        </w:rPr>
        <w:t>e</w:t>
      </w:r>
      <w:r>
        <w:rPr>
          <w:bCs/>
          <w:iCs/>
        </w:rPr>
        <w:t>jas ca</w:t>
      </w:r>
      <w:r>
        <w:rPr>
          <w:bCs/>
          <w:iCs/>
        </w:rPr>
        <w:t>u</w:t>
      </w:r>
      <w:r>
        <w:rPr>
          <w:bCs/>
          <w:iCs/>
        </w:rPr>
        <w:t>sas que ya juntaban polvo en el archivo” y que “La estrategia de los abogados de Telleldín, es conocida en Balcarce 50 y por eso desde allí empujan distintas alte</w:t>
      </w:r>
      <w:r>
        <w:rPr>
          <w:bCs/>
          <w:iCs/>
        </w:rPr>
        <w:t>r</w:t>
      </w:r>
      <w:r>
        <w:rPr>
          <w:bCs/>
          <w:iCs/>
        </w:rPr>
        <w:lastRenderedPageBreak/>
        <w:t>nativas para evitar que la investigación quede sin su ún</w:t>
      </w:r>
      <w:r>
        <w:rPr>
          <w:bCs/>
          <w:iCs/>
        </w:rPr>
        <w:t>i</w:t>
      </w:r>
      <w:r>
        <w:rPr>
          <w:bCs/>
          <w:iCs/>
        </w:rPr>
        <w:t>co detenido. Para un ministro y un secretario de la adm</w:t>
      </w:r>
      <w:r>
        <w:rPr>
          <w:bCs/>
          <w:iCs/>
        </w:rPr>
        <w:t>i</w:t>
      </w:r>
      <w:r>
        <w:rPr>
          <w:bCs/>
          <w:iCs/>
        </w:rPr>
        <w:t>nistración men</w:t>
      </w:r>
      <w:r>
        <w:rPr>
          <w:bCs/>
          <w:iCs/>
        </w:rPr>
        <w:t>e</w:t>
      </w:r>
      <w:r>
        <w:rPr>
          <w:bCs/>
          <w:iCs/>
        </w:rPr>
        <w:t>mista, el camino probable sería que Galeano respaldara la posición de los fiscales José Barbaccia y Eamon Mullen, una posibilidad que el juez no terminó de mast</w:t>
      </w:r>
      <w:r>
        <w:rPr>
          <w:bCs/>
          <w:iCs/>
        </w:rPr>
        <w:t>i</w:t>
      </w:r>
      <w:r>
        <w:rPr>
          <w:bCs/>
          <w:iCs/>
        </w:rPr>
        <w:t>car...”.</w:t>
      </w:r>
    </w:p>
    <w:p w:rsidR="00224567" w:rsidRDefault="00224567">
      <w:pPr>
        <w:widowControl w:val="0"/>
      </w:pPr>
      <w:r>
        <w:tab/>
        <w:t>La defensa sostuvo que el cont</w:t>
      </w:r>
      <w:r>
        <w:t>e</w:t>
      </w:r>
      <w:r>
        <w:t>nido de la nota puso de manifiesto que el juez y los fiscales “cumplieron su función de encontrar supuestos cu</w:t>
      </w:r>
      <w:r>
        <w:t>l</w:t>
      </w:r>
      <w:r>
        <w:t>pables en esta causa”. Entonces, dijo, se advertía que no había ni</w:t>
      </w:r>
      <w:r>
        <w:t>n</w:t>
      </w:r>
      <w:r>
        <w:t>gún elemento contra Telleldín y que era imposible enco</w:t>
      </w:r>
      <w:r>
        <w:t>n</w:t>
      </w:r>
      <w:r>
        <w:t xml:space="preserve">trar pruebas sobre su participación en el atentado. Por eso, expresó, </w:t>
      </w:r>
      <w:smartTag w:uri="urn:schemas-microsoft-com:office:smarttags" w:element="PersonName">
        <w:smartTagPr>
          <w:attr w:name="ProductID" w:val="la Dra. Riva"/>
        </w:smartTagPr>
        <w:r>
          <w:t>la Dra. Riva</w:t>
        </w:r>
      </w:smartTag>
      <w:r>
        <w:t xml:space="preserve"> Aramayo dijo que no quería más dobladores de autos y se buscó policías bonaerenses como el com</w:t>
      </w:r>
      <w:r>
        <w:t>i</w:t>
      </w:r>
      <w:r>
        <w:t>sario Juan José Ribelli que a la vez que tenían más peso, armaban una historia creíble, según la expr</w:t>
      </w:r>
      <w:r>
        <w:t>e</w:t>
      </w:r>
      <w:r>
        <w:t>sión de la camarista.</w:t>
      </w:r>
    </w:p>
    <w:p w:rsidR="00224567" w:rsidRDefault="00224567">
      <w:pPr>
        <w:widowControl w:val="0"/>
      </w:pPr>
      <w:r>
        <w:tab/>
        <w:t>Expresó la defensa que días antes del aniversario se publicó un reportaje a Telleldín en la un</w:t>
      </w:r>
      <w:r>
        <w:t>i</w:t>
      </w:r>
      <w:r>
        <w:t xml:space="preserve">dad penitenciaria bajo el título “Esta involucrada”, con relación a </w:t>
      </w:r>
      <w:smartTag w:uri="urn:schemas-microsoft-com:office:smarttags" w:element="PersonName">
        <w:smartTagPr>
          <w:attr w:name="ProductID" w:val="la Polic￭a Bonaerense"/>
        </w:smartTagPr>
        <w:r>
          <w:t>la Policía Bonaerense</w:t>
        </w:r>
      </w:smartTag>
      <w:r>
        <w:t xml:space="preserve"> (fs. 37.815).</w:t>
      </w:r>
    </w:p>
    <w:p w:rsidR="00224567" w:rsidRDefault="00224567">
      <w:pPr>
        <w:widowControl w:val="0"/>
      </w:pPr>
      <w:r>
        <w:lastRenderedPageBreak/>
        <w:tab/>
        <w:t>La nota, sostuvo, fue exhibida pa</w:t>
      </w:r>
      <w:r>
        <w:t>r</w:t>
      </w:r>
      <w:r>
        <w:t>cialmente por el fiscal Barbaccia en procura de acred</w:t>
      </w:r>
      <w:r>
        <w:t>i</w:t>
      </w:r>
      <w:r>
        <w:t>tar que Telleldín, para ese entonces, invol</w:t>
      </w:r>
      <w:r>
        <w:t>u</w:t>
      </w:r>
      <w:r>
        <w:t>craba a la policía bonaerense y que tanto él como su colega Eamon Mullen se enteraban de la causa por los medios.</w:t>
      </w:r>
    </w:p>
    <w:p w:rsidR="00224567" w:rsidRDefault="00224567">
      <w:pPr>
        <w:widowControl w:val="0"/>
      </w:pPr>
      <w:r>
        <w:tab/>
        <w:t>Aclaró que en esa ocasión su asi</w:t>
      </w:r>
      <w:r>
        <w:t>s</w:t>
      </w:r>
      <w:r>
        <w:t xml:space="preserve">tido se refirió a las extorsiones de </w:t>
      </w:r>
      <w:smartTag w:uri="urn:schemas-microsoft-com:office:smarttags" w:element="PersonName">
        <w:smartTagPr>
          <w:attr w:name="ProductID" w:val="la Polic￭a Bonaerense."/>
        </w:smartTagPr>
        <w:r>
          <w:t>la Policía Bonaerense.</w:t>
        </w:r>
      </w:smartTag>
      <w:r>
        <w:t xml:space="preserve"> Así, Telleldín respondió a los periodistas que no era cierto que hubiera indicios en la causa que i</w:t>
      </w:r>
      <w:r>
        <w:t>n</w:t>
      </w:r>
      <w:r>
        <w:t xml:space="preserve">dicaran que entregó </w:t>
      </w:r>
      <w:smartTag w:uri="urn:schemas-microsoft-com:office:smarttags" w:element="PersonName">
        <w:smartTagPr>
          <w:attr w:name="ProductID" w:val="la Trafic"/>
        </w:smartTagPr>
        <w:r>
          <w:t>la Trafic</w:t>
        </w:r>
      </w:smartTag>
      <w:r>
        <w:t xml:space="preserve"> a oficiales de la policía bonaerense, “Si fuera verdad, lo hubiera declarado”, dijo.</w:t>
      </w:r>
    </w:p>
    <w:p w:rsidR="00224567" w:rsidRDefault="00224567">
      <w:pPr>
        <w:pStyle w:val="Sangradetextonormal"/>
        <w:widowControl w:val="0"/>
        <w:ind w:firstLine="0"/>
        <w:rPr>
          <w:bCs/>
          <w:iCs/>
        </w:rPr>
      </w:pPr>
      <w:r>
        <w:tab/>
        <w:t>Al finalizar dicha entrevista que, r</w:t>
      </w:r>
      <w:r>
        <w:t>e</w:t>
      </w:r>
      <w:r>
        <w:t xml:space="preserve">calcó, el fiscal utilizó parcialmente, Telleldín dijo: </w:t>
      </w:r>
      <w:r>
        <w:rPr>
          <w:bCs/>
          <w:iCs/>
        </w:rPr>
        <w:t>“una vez los fiscales me llamaron y me propusieron un acuerdo, si yo marcaba a un oficial de la policía o a un carapintada del Ejército, salía en libertad. Pero yo no soy un buchón”.</w:t>
      </w:r>
    </w:p>
    <w:p w:rsidR="00224567" w:rsidRDefault="00224567">
      <w:pPr>
        <w:pStyle w:val="Sangradetextonormal"/>
        <w:widowControl w:val="0"/>
        <w:ind w:firstLine="0"/>
      </w:pPr>
      <w:r>
        <w:tab/>
        <w:t>Además, la nota alude a que había más información en la causa y se comenzó a hablar del pago de una deuda al entregar la camioneta, a pesar que para e</w:t>
      </w:r>
      <w:r>
        <w:t>n</w:t>
      </w:r>
      <w:r>
        <w:lastRenderedPageBreak/>
        <w:t>tonces no había ninguna información en ese sentido en el expediente; extremo, dijo, que demostró que los datos fu</w:t>
      </w:r>
      <w:r>
        <w:t>e</w:t>
      </w:r>
      <w:r>
        <w:t>ron aportados por los fiscales de la etapa ant</w:t>
      </w:r>
      <w:r>
        <w:t>e</w:t>
      </w:r>
      <w:r>
        <w:t>rior.</w:t>
      </w:r>
    </w:p>
    <w:p w:rsidR="00224567" w:rsidRDefault="00224567">
      <w:pPr>
        <w:pStyle w:val="Sangradetextonormal"/>
        <w:widowControl w:val="0"/>
        <w:ind w:firstLine="0"/>
        <w:rPr>
          <w:bCs/>
          <w:iCs/>
        </w:rPr>
      </w:pPr>
      <w:r>
        <w:tab/>
        <w:t>Señaló que la fiscalía valoró la p</w:t>
      </w:r>
      <w:r>
        <w:t>u</w:t>
      </w:r>
      <w:r>
        <w:t>blicación periodística del 27 de septiembre de 1995, obrante a fs. 16.044; empero, dijo, no hizo alusión a la columna derecha titulada “La interna de tribunales”, donde los informadores públicos expresaron lo que sigue: “</w:t>
      </w:r>
      <w:r>
        <w:rPr>
          <w:bCs/>
          <w:iCs/>
        </w:rPr>
        <w:t>La inesperada mediación de Luisa Riva Aramayo puso al desc</w:t>
      </w:r>
      <w:r>
        <w:rPr>
          <w:bCs/>
          <w:iCs/>
        </w:rPr>
        <w:t>u</w:t>
      </w:r>
      <w:r>
        <w:rPr>
          <w:bCs/>
          <w:iCs/>
        </w:rPr>
        <w:t>bierto la hasta ahora escasa capacidad d</w:t>
      </w:r>
      <w:r>
        <w:rPr>
          <w:bCs/>
          <w:iCs/>
        </w:rPr>
        <w:t>e</w:t>
      </w:r>
      <w:r>
        <w:rPr>
          <w:bCs/>
          <w:iCs/>
        </w:rPr>
        <w:t xml:space="preserve">mostrada por Juan José Galeano para obtener información relevante de Carlos Alberto Telleldín, único detenido por el atentado de </w:t>
      </w:r>
      <w:smartTag w:uri="urn:schemas-microsoft-com:office:smarttags" w:element="PersonName">
        <w:smartTagPr>
          <w:attr w:name="ProductID" w:val="la A.M"/>
        </w:smartTagPr>
        <w:r>
          <w:rPr>
            <w:bCs/>
            <w:iCs/>
          </w:rPr>
          <w:t>la A.M</w:t>
        </w:r>
      </w:smartTag>
      <w:r>
        <w:rPr>
          <w:bCs/>
          <w:iCs/>
        </w:rPr>
        <w:t xml:space="preserve">.I.A.. El déficit del juez federal ya era conocido en Balcarce 50 y por eso </w:t>
      </w:r>
      <w:smartTag w:uri="urn:schemas-microsoft-com:office:smarttags" w:element="PersonName">
        <w:smartTagPr>
          <w:attr w:name="ProductID" w:val="la S.I"/>
        </w:smartTagPr>
        <w:r>
          <w:rPr>
            <w:bCs/>
            <w:iCs/>
          </w:rPr>
          <w:t>la S.I</w:t>
        </w:r>
      </w:smartTag>
      <w:r>
        <w:rPr>
          <w:bCs/>
          <w:iCs/>
        </w:rPr>
        <w:t>.D.E. activó la participación del ex torturador Hé</w:t>
      </w:r>
      <w:r>
        <w:rPr>
          <w:bCs/>
          <w:iCs/>
        </w:rPr>
        <w:t>c</w:t>
      </w:r>
      <w:r>
        <w:rPr>
          <w:bCs/>
          <w:iCs/>
        </w:rPr>
        <w:t>tor Vergés, que fracasó en su intento de que Telleldín señale a dos libaneses detenidos en Par</w:t>
      </w:r>
      <w:r>
        <w:rPr>
          <w:bCs/>
          <w:iCs/>
        </w:rPr>
        <w:t>a</w:t>
      </w:r>
      <w:r>
        <w:rPr>
          <w:bCs/>
          <w:iCs/>
        </w:rPr>
        <w:t>guay y como responsables del ataque. La casa rosada dec</w:t>
      </w:r>
      <w:r>
        <w:rPr>
          <w:bCs/>
          <w:iCs/>
        </w:rPr>
        <w:t>i</w:t>
      </w:r>
      <w:r>
        <w:rPr>
          <w:bCs/>
          <w:iCs/>
        </w:rPr>
        <w:t>dió entonces apoyar el nuevo intento promovido desde tr</w:t>
      </w:r>
      <w:r>
        <w:rPr>
          <w:bCs/>
          <w:iCs/>
        </w:rPr>
        <w:t>i</w:t>
      </w:r>
      <w:r>
        <w:rPr>
          <w:bCs/>
          <w:iCs/>
        </w:rPr>
        <w:t xml:space="preserve">bunales. Riva Aramayo tiene 25 años de carrera judicial y una sólida amistad con Lorenzo Miguel y Carlos Corach...” y que “sabe cómo moverse detrás del cortinado. Antes que </w:t>
      </w:r>
      <w:r>
        <w:rPr>
          <w:bCs/>
          <w:iCs/>
        </w:rPr>
        <w:lastRenderedPageBreak/>
        <w:t>Telleldín comenzara su confesión, Riva Aramayo explicó en su porteño básico, que si la giraba –la engañaba- soñaría con ella de por vida. Telleldín conoce los c</w:t>
      </w:r>
      <w:r>
        <w:rPr>
          <w:bCs/>
          <w:iCs/>
        </w:rPr>
        <w:t>ó</w:t>
      </w:r>
      <w:r>
        <w:rPr>
          <w:bCs/>
          <w:iCs/>
        </w:rPr>
        <w:t>digos, y muy confiado con su interlocutora, habló de todo lo que se h</w:t>
      </w:r>
      <w:r>
        <w:rPr>
          <w:bCs/>
          <w:iCs/>
        </w:rPr>
        <w:t>a</w:t>
      </w:r>
      <w:r>
        <w:rPr>
          <w:bCs/>
          <w:iCs/>
        </w:rPr>
        <w:t>bía negado a hablar frente al juez Galeano. El imputado reveló nombres, situaciones, y dio a entender que tenía testigos que podían avalar sus declaraciones. Las reuni</w:t>
      </w:r>
      <w:r>
        <w:rPr>
          <w:bCs/>
          <w:iCs/>
        </w:rPr>
        <w:t>o</w:t>
      </w:r>
      <w:r>
        <w:rPr>
          <w:bCs/>
          <w:iCs/>
        </w:rPr>
        <w:t>nes entre Telleldín y Riva Aramayo irritaron a Galeano, quien decidió mantener su p</w:t>
      </w:r>
      <w:r>
        <w:rPr>
          <w:bCs/>
          <w:iCs/>
        </w:rPr>
        <w:t>o</w:t>
      </w:r>
      <w:r>
        <w:rPr>
          <w:bCs/>
          <w:iCs/>
        </w:rPr>
        <w:t>sición, restar toda veracidad a los testimonios del único detenido en la causa. Esta i</w:t>
      </w:r>
      <w:r>
        <w:rPr>
          <w:bCs/>
          <w:iCs/>
        </w:rPr>
        <w:t>n</w:t>
      </w:r>
      <w:r>
        <w:rPr>
          <w:bCs/>
          <w:iCs/>
        </w:rPr>
        <w:t>transigencia coloca en un brete a Riva Aramayo y a Telle</w:t>
      </w:r>
      <w:r>
        <w:rPr>
          <w:bCs/>
          <w:iCs/>
        </w:rPr>
        <w:t>l</w:t>
      </w:r>
      <w:r>
        <w:rPr>
          <w:bCs/>
          <w:iCs/>
        </w:rPr>
        <w:t>dín, porque sin Galeano no se puede blanquear la co</w:t>
      </w:r>
      <w:r>
        <w:rPr>
          <w:bCs/>
          <w:iCs/>
        </w:rPr>
        <w:t>n</w:t>
      </w:r>
      <w:r>
        <w:rPr>
          <w:bCs/>
          <w:iCs/>
        </w:rPr>
        <w:t>fesión que por lo tanto seguirá sin ser incorporada a la causa. El vendedor de autos, pretende que la comunidad judía i</w:t>
      </w:r>
      <w:r>
        <w:rPr>
          <w:bCs/>
          <w:iCs/>
        </w:rPr>
        <w:t>n</w:t>
      </w:r>
      <w:r>
        <w:rPr>
          <w:bCs/>
          <w:iCs/>
        </w:rPr>
        <w:t>terceda entre el juez Galeano... y Riva Aramayo quiere j</w:t>
      </w:r>
      <w:r>
        <w:rPr>
          <w:bCs/>
          <w:iCs/>
        </w:rPr>
        <w:t>u</w:t>
      </w:r>
      <w:r>
        <w:rPr>
          <w:bCs/>
          <w:iCs/>
        </w:rPr>
        <w:t>gar una de sus cartas en el Poder Ejecutivo para esperar la estrategia de su inesperado confidente. Si Galeano ca</w:t>
      </w:r>
      <w:r>
        <w:rPr>
          <w:bCs/>
          <w:iCs/>
        </w:rPr>
        <w:t>m</w:t>
      </w:r>
      <w:r>
        <w:rPr>
          <w:bCs/>
          <w:iCs/>
        </w:rPr>
        <w:t>bia de posición Telleldín declararía la próxima semana y la investigación tendría un nuevo ru</w:t>
      </w:r>
      <w:r>
        <w:rPr>
          <w:bCs/>
          <w:iCs/>
        </w:rPr>
        <w:t>m</w:t>
      </w:r>
      <w:r>
        <w:rPr>
          <w:bCs/>
          <w:iCs/>
        </w:rPr>
        <w:t>bo...”.</w:t>
      </w:r>
    </w:p>
    <w:p w:rsidR="00224567" w:rsidRDefault="00224567">
      <w:pPr>
        <w:pStyle w:val="Sangradetextonormal"/>
        <w:widowControl w:val="0"/>
        <w:ind w:firstLine="0"/>
      </w:pPr>
      <w:r>
        <w:rPr>
          <w:bCs/>
          <w:iCs/>
        </w:rPr>
        <w:tab/>
      </w:r>
      <w:r>
        <w:t>Señaló la defensa que la nota es rev</w:t>
      </w:r>
      <w:r>
        <w:t>e</w:t>
      </w:r>
      <w:r>
        <w:lastRenderedPageBreak/>
        <w:t>ladora de la manera en que se armó la “historia of</w:t>
      </w:r>
      <w:r>
        <w:t>i</w:t>
      </w:r>
      <w:r>
        <w:t>cial”, de la participación que cupo al Poder Ejec</w:t>
      </w:r>
      <w:r>
        <w:t>u</w:t>
      </w:r>
      <w:r>
        <w:t xml:space="preserve">tivo, del apoyo de Beraja y de </w:t>
      </w:r>
      <w:smartTag w:uri="urn:schemas-microsoft-com:office:smarttags" w:element="PersonName">
        <w:smartTagPr>
          <w:attr w:name="ProductID" w:val="la D.A"/>
        </w:smartTagPr>
        <w:r>
          <w:t>la D.A</w:t>
        </w:r>
      </w:smartTag>
      <w:r>
        <w:t>.I.A. y, por sobre todas las cosas, del enojo del Dr. Galeano porque se había filtrado en la prensa la e</w:t>
      </w:r>
      <w:r>
        <w:t>s</w:t>
      </w:r>
      <w:r>
        <w:t>trategia que después terminó dando forma a la declaración indagatoria para plasmar en la causa “la hi</w:t>
      </w:r>
      <w:r>
        <w:t>s</w:t>
      </w:r>
      <w:r>
        <w:t>toria con los datos finales, reconocimientos, nombres de pol</w:t>
      </w:r>
      <w:r>
        <w:t>i</w:t>
      </w:r>
      <w:r>
        <w:t>cías”.</w:t>
      </w:r>
    </w:p>
    <w:p w:rsidR="00224567" w:rsidRDefault="00224567">
      <w:pPr>
        <w:pStyle w:val="Sangradetextonormal"/>
        <w:widowControl w:val="0"/>
        <w:ind w:firstLine="0"/>
      </w:pPr>
      <w:r>
        <w:tab/>
        <w:t>Refirió la defensa que tiempo de</w:t>
      </w:r>
      <w:r>
        <w:t>s</w:t>
      </w:r>
      <w:r>
        <w:t>pués -mes de octubre de 1995- se ofreció a su asistido la e</w:t>
      </w:r>
      <w:r>
        <w:t>n</w:t>
      </w:r>
      <w:r>
        <w:t>trega de una suma de dinero y éste exigió como condición de su declaración que el juez hiciera directamente el p</w:t>
      </w:r>
      <w:r>
        <w:t>a</w:t>
      </w:r>
      <w:r>
        <w:t>go. Las notas de ese entonces, esgrimió, también son rev</w:t>
      </w:r>
      <w:r>
        <w:t>e</w:t>
      </w:r>
      <w:r>
        <w:t>ladoras de tal e</w:t>
      </w:r>
      <w:r>
        <w:t>x</w:t>
      </w:r>
      <w:r>
        <w:t>tremo.</w:t>
      </w:r>
    </w:p>
    <w:p w:rsidR="00224567" w:rsidRDefault="00224567">
      <w:pPr>
        <w:pStyle w:val="Sangradetextonormal"/>
        <w:widowControl w:val="0"/>
        <w:ind w:firstLine="0"/>
      </w:pPr>
      <w:r>
        <w:tab/>
        <w:t>Así, dijo que el 6 de octubre se p</w:t>
      </w:r>
      <w:r>
        <w:t>u</w:t>
      </w:r>
      <w:r>
        <w:t xml:space="preserve">blicó en “Página </w:t>
      </w:r>
      <w:smartTag w:uri="urn:schemas-microsoft-com:office:smarttags" w:element="metricconverter">
        <w:smartTagPr>
          <w:attr w:name="ProductID" w:val="12”"/>
        </w:smartTagPr>
        <w:r>
          <w:t>12”</w:t>
        </w:r>
      </w:smartTag>
      <w:r>
        <w:t xml:space="preserve"> que Rubén Beraja se ofreció a ser el garante de Telleldín, con relación a la exige</w:t>
      </w:r>
      <w:r>
        <w:t>n</w:t>
      </w:r>
      <w:r>
        <w:t>cia del pago y que el juez nuevamente había agr</w:t>
      </w:r>
      <w:r>
        <w:t>a</w:t>
      </w:r>
      <w:r>
        <w:t>vado sus condiciones de detención; el 11 de ese mes, bajo el t</w:t>
      </w:r>
      <w:r>
        <w:t>í</w:t>
      </w:r>
      <w:r>
        <w:t xml:space="preserve">tulo “Beraja enfrió la negociación con Telleldín”, el periódico hizo público que el juez se negó a prestar su despacho a la querella </w:t>
      </w:r>
      <w:r>
        <w:lastRenderedPageBreak/>
        <w:t>para r</w:t>
      </w:r>
      <w:r>
        <w:t>e</w:t>
      </w:r>
      <w:r>
        <w:t>unirse con el abogado de Telleldín; ese mismo día, en otra nota, se informó que “para Galeano y sus refere</w:t>
      </w:r>
      <w:r>
        <w:t>n</w:t>
      </w:r>
      <w:r>
        <w:t xml:space="preserve">tes en </w:t>
      </w:r>
      <w:smartTag w:uri="urn:schemas-microsoft-com:office:smarttags" w:element="PersonName">
        <w:smartTagPr>
          <w:attr w:name="ProductID" w:val="la Casa Rosada"/>
        </w:smartTagPr>
        <w:r>
          <w:t>la Casa Rosada</w:t>
        </w:r>
      </w:smartTag>
      <w:r>
        <w:t xml:space="preserve"> no es conveniente aceptar las cond</w:t>
      </w:r>
      <w:r>
        <w:t>i</w:t>
      </w:r>
      <w:r>
        <w:t xml:space="preserve">ciones de Telleldín porque igual se va a quebrar después de </w:t>
      </w:r>
      <w:smartTag w:uri="urn:schemas-microsoft-com:office:smarttags" w:element="PersonName">
        <w:smartTagPr>
          <w:attr w:name="ProductID" w:val="la Navidad"/>
        </w:smartTagPr>
        <w:r>
          <w:t>la Navidad</w:t>
        </w:r>
      </w:smartTag>
      <w:r>
        <w:t>”.</w:t>
      </w:r>
    </w:p>
    <w:p w:rsidR="00224567" w:rsidRDefault="00224567">
      <w:pPr>
        <w:pStyle w:val="Sangradetextonormal"/>
        <w:widowControl w:val="0"/>
        <w:ind w:firstLine="0"/>
      </w:pPr>
      <w:r>
        <w:tab/>
        <w:t xml:space="preserve">La defensa expresó que las noticias que se señalaron en el periódico “Página </w:t>
      </w:r>
      <w:smartTag w:uri="urn:schemas-microsoft-com:office:smarttags" w:element="metricconverter">
        <w:smartTagPr>
          <w:attr w:name="ProductID" w:val="12”"/>
        </w:smartTagPr>
        <w:r>
          <w:t>12”</w:t>
        </w:r>
      </w:smartTag>
      <w:r>
        <w:t xml:space="preserve"> señalaban que “la trama macabra” se perpetró desde los más elevados se</w:t>
      </w:r>
      <w:r>
        <w:t>c</w:t>
      </w:r>
      <w:r>
        <w:t>tores del poder, con la partic</w:t>
      </w:r>
      <w:r>
        <w:t>i</w:t>
      </w:r>
      <w:r>
        <w:t xml:space="preserve">pación de Rubén Beraja, el gobierno y </w:t>
      </w:r>
      <w:smartTag w:uri="urn:schemas-microsoft-com:office:smarttags" w:element="PersonName">
        <w:smartTagPr>
          <w:attr w:name="ProductID" w:val="la Secretar￭a"/>
        </w:smartTagPr>
        <w:r>
          <w:t>la Secretaría</w:t>
        </w:r>
      </w:smartTag>
      <w:r>
        <w:t xml:space="preserve"> de Inteligencia de Estado.</w:t>
      </w:r>
    </w:p>
    <w:p w:rsidR="00224567" w:rsidRDefault="00224567">
      <w:pPr>
        <w:pStyle w:val="Sangradetextonormal"/>
        <w:widowControl w:val="0"/>
        <w:ind w:firstLine="0"/>
      </w:pPr>
      <w:r>
        <w:tab/>
        <w:t>Indicó que surgió la idea de la co</w:t>
      </w:r>
      <w:r>
        <w:t>m</w:t>
      </w:r>
      <w:r>
        <w:t>pra de los derechos de un libro por la persistente r</w:t>
      </w:r>
      <w:r>
        <w:t>e</w:t>
      </w:r>
      <w:r>
        <w:t>ticencia de Telleldín en aceptar el pago en manos de otra persona que no fuera el juez; es por eso que en el video e</w:t>
      </w:r>
      <w:r>
        <w:t>x</w:t>
      </w:r>
      <w:r>
        <w:t>hibido en el debate, el juez Galeano hizo referencia a esa cue</w:t>
      </w:r>
      <w:r>
        <w:t>s</w:t>
      </w:r>
      <w:r>
        <w:t>tión como forma de cubrirse frente a la propia prueba que estaba gen</w:t>
      </w:r>
      <w:r>
        <w:t>e</w:t>
      </w:r>
      <w:r>
        <w:t>rando.</w:t>
      </w:r>
    </w:p>
    <w:p w:rsidR="00224567" w:rsidRDefault="00224567">
      <w:pPr>
        <w:pStyle w:val="Sangradetextonormal"/>
        <w:widowControl w:val="0"/>
        <w:ind w:firstLine="0"/>
      </w:pPr>
      <w:r>
        <w:tab/>
        <w:t>La razón de producir esas filmaci</w:t>
      </w:r>
      <w:r>
        <w:t>o</w:t>
      </w:r>
      <w:r>
        <w:t xml:space="preserve">nes –dijo- consistía en exhibir los avances de su gestión al Poder Ejecutivo Nacional, a la querella, a </w:t>
      </w:r>
      <w:smartTag w:uri="urn:schemas-microsoft-com:office:smarttags" w:element="PersonName">
        <w:smartTagPr>
          <w:attr w:name="ProductID" w:val="la Dra. Riva"/>
        </w:smartTagPr>
        <w:r>
          <w:t>la Dra. Riva</w:t>
        </w:r>
      </w:smartTag>
      <w:r>
        <w:t xml:space="preserve"> </w:t>
      </w:r>
      <w:r>
        <w:lastRenderedPageBreak/>
        <w:t xml:space="preserve">Aramayo y a </w:t>
      </w:r>
      <w:smartTag w:uri="urn:schemas-microsoft-com:office:smarttags" w:element="PersonName">
        <w:smartTagPr>
          <w:attr w:name="ProductID" w:val="la Secretar￭a"/>
        </w:smartTagPr>
        <w:r>
          <w:t>la Secretaría</w:t>
        </w:r>
      </w:smartTag>
      <w:r>
        <w:t xml:space="preserve"> de Inteligencia de Estado, org</w:t>
      </w:r>
      <w:r>
        <w:t>a</w:t>
      </w:r>
      <w:r>
        <w:t>nismo encargado de efectuar la entrega del d</w:t>
      </w:r>
      <w:r>
        <w:t>i</w:t>
      </w:r>
      <w:r>
        <w:t>nero.</w:t>
      </w:r>
    </w:p>
    <w:p w:rsidR="00224567" w:rsidRDefault="00224567">
      <w:pPr>
        <w:pStyle w:val="Sangradetextonormal"/>
        <w:widowControl w:val="0"/>
        <w:ind w:firstLine="0"/>
      </w:pPr>
      <w:r>
        <w:tab/>
        <w:t>Por lo expuesto, solicitó que se pr</w:t>
      </w:r>
      <w:r>
        <w:t>o</w:t>
      </w:r>
      <w:r>
        <w:t>fundice la investigación de la denuncia de su asistido contra el juez instructor y se amplíe respecto de los fi</w:t>
      </w:r>
      <w:r>
        <w:t>s</w:t>
      </w:r>
      <w:r>
        <w:t>cales que intervinieron en la etapa anterior y de todos los partícipes, solicitando que se extraigan te</w:t>
      </w:r>
      <w:r>
        <w:t>s</w:t>
      </w:r>
      <w:r>
        <w:t>timonios -incluyendo las notas periodísticas refer</w:t>
      </w:r>
      <w:r>
        <w:t>i</w:t>
      </w:r>
      <w:r>
        <w:t>das- y se remitan a la justicia federal, al organismo de e</w:t>
      </w:r>
      <w:r>
        <w:t>n</w:t>
      </w:r>
      <w:r>
        <w:t>juiciamiento del Minist</w:t>
      </w:r>
      <w:r>
        <w:t>e</w:t>
      </w:r>
      <w:r>
        <w:t xml:space="preserve">rio Público y al Consejo de </w:t>
      </w:r>
      <w:smartTag w:uri="urn:schemas-microsoft-com:office:smarttags" w:element="PersonName">
        <w:smartTagPr>
          <w:attr w:name="ProductID" w:val="la Magistratura."/>
        </w:smartTagPr>
        <w:r>
          <w:t>la Magistratura.</w:t>
        </w:r>
      </w:smartTag>
    </w:p>
    <w:p w:rsidR="00224567" w:rsidRDefault="00224567">
      <w:pPr>
        <w:widowControl w:val="0"/>
        <w:ind w:firstLine="2835"/>
        <w:rPr>
          <w:lang w:val="es-MX"/>
        </w:rPr>
      </w:pPr>
      <w:r>
        <w:rPr>
          <w:lang w:val="es-MX"/>
        </w:rPr>
        <w:t>La defensa de Carlos Alberto Telle</w:t>
      </w:r>
      <w:r>
        <w:rPr>
          <w:lang w:val="es-MX"/>
        </w:rPr>
        <w:t>l</w:t>
      </w:r>
      <w:r>
        <w:rPr>
          <w:lang w:val="es-MX"/>
        </w:rPr>
        <w:t>dín también denunció que desde el primer momento de la inve</w:t>
      </w:r>
      <w:r>
        <w:rPr>
          <w:lang w:val="es-MX"/>
        </w:rPr>
        <w:t>s</w:t>
      </w:r>
      <w:r>
        <w:rPr>
          <w:lang w:val="es-MX"/>
        </w:rPr>
        <w:t>tigación Ana María Boragni fue visitada e interrogada il</w:t>
      </w:r>
      <w:r>
        <w:rPr>
          <w:lang w:val="es-MX"/>
        </w:rPr>
        <w:t>e</w:t>
      </w:r>
      <w:r>
        <w:rPr>
          <w:lang w:val="es-MX"/>
        </w:rPr>
        <w:t>galmente por los servicios de inteligencia nacionales y extranjeros. Citó, al respecto, las esc</w:t>
      </w:r>
      <w:r>
        <w:rPr>
          <w:lang w:val="es-MX"/>
        </w:rPr>
        <w:t>u</w:t>
      </w:r>
      <w:r>
        <w:rPr>
          <w:lang w:val="es-MX"/>
        </w:rPr>
        <w:t>chas obtenidas de su teléfono, donde se advierte la insi</w:t>
      </w:r>
      <w:r>
        <w:rPr>
          <w:lang w:val="es-MX"/>
        </w:rPr>
        <w:t>s</w:t>
      </w:r>
      <w:r>
        <w:rPr>
          <w:lang w:val="es-MX"/>
        </w:rPr>
        <w:t>tente presencia del Mossad en su casa y los interrogatorios que efectuaron a sus hijos menores de edad, sin su presencia. Además, señ</w:t>
      </w:r>
      <w:r>
        <w:rPr>
          <w:lang w:val="es-MX"/>
        </w:rPr>
        <w:t>a</w:t>
      </w:r>
      <w:r>
        <w:rPr>
          <w:lang w:val="es-MX"/>
        </w:rPr>
        <w:t xml:space="preserve">ló que el F.B.I. y </w:t>
      </w:r>
      <w:smartTag w:uri="urn:schemas-microsoft-com:office:smarttags" w:element="PersonName">
        <w:smartTagPr>
          <w:attr w:name="ProductID" w:val="la S.I"/>
        </w:smartTagPr>
        <w:r>
          <w:rPr>
            <w:lang w:val="es-MX"/>
          </w:rPr>
          <w:t>la S.I</w:t>
        </w:r>
      </w:smartTag>
      <w:r>
        <w:rPr>
          <w:lang w:val="es-MX"/>
        </w:rPr>
        <w:t>.D.E. también interrogaron a la nombr</w:t>
      </w:r>
      <w:r>
        <w:rPr>
          <w:lang w:val="es-MX"/>
        </w:rPr>
        <w:t>a</w:t>
      </w:r>
      <w:r>
        <w:rPr>
          <w:lang w:val="es-MX"/>
        </w:rPr>
        <w:t>da en forma incansable.</w:t>
      </w:r>
    </w:p>
    <w:p w:rsidR="00224567" w:rsidRDefault="00224567">
      <w:pPr>
        <w:widowControl w:val="0"/>
        <w:rPr>
          <w:lang w:val="es-MX"/>
        </w:rPr>
      </w:pPr>
      <w:r>
        <w:rPr>
          <w:lang w:val="es-MX"/>
        </w:rPr>
        <w:tab/>
        <w:t xml:space="preserve">Tiempo después, afirmó, apareció el </w:t>
      </w:r>
      <w:r>
        <w:rPr>
          <w:lang w:val="es-MX"/>
        </w:rPr>
        <w:lastRenderedPageBreak/>
        <w:t>capitán Vergéz con la intención de colocarla en riesgo, como método de presionar a su marido para que aceptara las propuestas delictivas que le form</w:t>
      </w:r>
      <w:r>
        <w:rPr>
          <w:lang w:val="es-MX"/>
        </w:rPr>
        <w:t>u</w:t>
      </w:r>
      <w:r>
        <w:rPr>
          <w:lang w:val="es-MX"/>
        </w:rPr>
        <w:t>laban.</w:t>
      </w:r>
    </w:p>
    <w:p w:rsidR="00224567" w:rsidRDefault="00224567">
      <w:pPr>
        <w:widowControl w:val="0"/>
        <w:rPr>
          <w:lang w:val="es-MX"/>
        </w:rPr>
      </w:pPr>
      <w:r>
        <w:rPr>
          <w:lang w:val="es-MX"/>
        </w:rPr>
        <w:tab/>
        <w:t>Sostuvo que el organismo de intelige</w:t>
      </w:r>
      <w:r>
        <w:rPr>
          <w:lang w:val="es-MX"/>
        </w:rPr>
        <w:t>n</w:t>
      </w:r>
      <w:r>
        <w:rPr>
          <w:lang w:val="es-MX"/>
        </w:rPr>
        <w:t>cia, infiltró a Virginia Morri, esposa de Mario Bareiro, conforme lo declaró en el debate; a la nombrada se le e</w:t>
      </w:r>
      <w:r>
        <w:rPr>
          <w:lang w:val="es-MX"/>
        </w:rPr>
        <w:t>n</w:t>
      </w:r>
      <w:r>
        <w:rPr>
          <w:lang w:val="es-MX"/>
        </w:rPr>
        <w:t>cargó que revisara la casa y que abriera un m</w:t>
      </w:r>
      <w:r>
        <w:rPr>
          <w:lang w:val="es-MX"/>
        </w:rPr>
        <w:t>a</w:t>
      </w:r>
      <w:r>
        <w:rPr>
          <w:lang w:val="es-MX"/>
        </w:rPr>
        <w:t>letín.</w:t>
      </w:r>
    </w:p>
    <w:p w:rsidR="00224567" w:rsidRDefault="00224567">
      <w:pPr>
        <w:widowControl w:val="0"/>
        <w:rPr>
          <w:lang w:val="es-MX"/>
        </w:rPr>
      </w:pPr>
      <w:r>
        <w:rPr>
          <w:lang w:val="es-MX"/>
        </w:rPr>
        <w:tab/>
        <w:t>Miriam Salinas, dijo la defensa, ta</w:t>
      </w:r>
      <w:r>
        <w:rPr>
          <w:lang w:val="es-MX"/>
        </w:rPr>
        <w:t>m</w:t>
      </w:r>
      <w:r>
        <w:rPr>
          <w:lang w:val="es-MX"/>
        </w:rPr>
        <w:t>bién fue útil para todas las maniobras y, siendo amiga de Boragni, fue impulsada a traicionarla con el prop</w:t>
      </w:r>
      <w:r>
        <w:rPr>
          <w:lang w:val="es-MX"/>
        </w:rPr>
        <w:t>ó</w:t>
      </w:r>
      <w:r>
        <w:rPr>
          <w:lang w:val="es-MX"/>
        </w:rPr>
        <w:t>sito de “salvar a su marido Ibáñez” de las presiones del juez G</w:t>
      </w:r>
      <w:r>
        <w:rPr>
          <w:lang w:val="es-MX"/>
        </w:rPr>
        <w:t>a</w:t>
      </w:r>
      <w:r>
        <w:rPr>
          <w:lang w:val="es-MX"/>
        </w:rPr>
        <w:t>leano. Esta cedió, inclusive, a filmar a Boragni y a e</w:t>
      </w:r>
      <w:r>
        <w:rPr>
          <w:lang w:val="es-MX"/>
        </w:rPr>
        <w:t>n</w:t>
      </w:r>
      <w:r>
        <w:rPr>
          <w:lang w:val="es-MX"/>
        </w:rPr>
        <w:t>tregar las grab</w:t>
      </w:r>
      <w:r>
        <w:rPr>
          <w:lang w:val="es-MX"/>
        </w:rPr>
        <w:t>a</w:t>
      </w:r>
      <w:r>
        <w:rPr>
          <w:lang w:val="es-MX"/>
        </w:rPr>
        <w:t>ciones al juzgado.</w:t>
      </w:r>
    </w:p>
    <w:p w:rsidR="00224567" w:rsidRDefault="00224567">
      <w:pPr>
        <w:widowControl w:val="0"/>
        <w:rPr>
          <w:lang w:val="es-MX"/>
        </w:rPr>
      </w:pPr>
      <w:r>
        <w:rPr>
          <w:lang w:val="es-MX"/>
        </w:rPr>
        <w:tab/>
        <w:t>Mientras tanto la nombrada era asedi</w:t>
      </w:r>
      <w:r>
        <w:rPr>
          <w:lang w:val="es-MX"/>
        </w:rPr>
        <w:t>a</w:t>
      </w:r>
      <w:r>
        <w:rPr>
          <w:lang w:val="es-MX"/>
        </w:rPr>
        <w:t>da por los agentes del servicio de inteligencia que mer</w:t>
      </w:r>
      <w:r>
        <w:rPr>
          <w:lang w:val="es-MX"/>
        </w:rPr>
        <w:t>o</w:t>
      </w:r>
      <w:r>
        <w:rPr>
          <w:lang w:val="es-MX"/>
        </w:rPr>
        <w:t>deaban su domicilio, vulnerando su seg</w:t>
      </w:r>
      <w:r>
        <w:rPr>
          <w:lang w:val="es-MX"/>
        </w:rPr>
        <w:t>u</w:t>
      </w:r>
      <w:r>
        <w:rPr>
          <w:lang w:val="es-MX"/>
        </w:rPr>
        <w:t>ridad, para hacerle creer que había personas que la vigilaban y que su vida podía ser puesta en riesgo.</w:t>
      </w:r>
    </w:p>
    <w:p w:rsidR="00224567" w:rsidRDefault="00224567">
      <w:pPr>
        <w:widowControl w:val="0"/>
        <w:ind w:firstLine="2835"/>
        <w:rPr>
          <w:lang w:val="es-MX"/>
        </w:rPr>
      </w:pPr>
      <w:r>
        <w:rPr>
          <w:lang w:val="es-MX"/>
        </w:rPr>
        <w:t>Todas esas maniobras, alegó, fueron realizadas en procura que su esposo se alinee a los requ</w:t>
      </w:r>
      <w:r>
        <w:rPr>
          <w:lang w:val="es-MX"/>
        </w:rPr>
        <w:t>e</w:t>
      </w:r>
      <w:r>
        <w:rPr>
          <w:lang w:val="es-MX"/>
        </w:rPr>
        <w:lastRenderedPageBreak/>
        <w:t xml:space="preserve">rimiento de </w:t>
      </w:r>
      <w:smartTag w:uri="urn:schemas-microsoft-com:office:smarttags" w:element="PersonName">
        <w:smartTagPr>
          <w:attr w:name="ProductID" w:val="la Dra. Riva"/>
        </w:smartTagPr>
        <w:r>
          <w:rPr>
            <w:lang w:val="es-MX"/>
          </w:rPr>
          <w:t>la Dra. Riva</w:t>
        </w:r>
      </w:smartTag>
      <w:r>
        <w:rPr>
          <w:lang w:val="es-MX"/>
        </w:rPr>
        <w:t xml:space="preserve"> Aramayo en razón que su familia podía estar en peligro y, así, justificar falsamente que el dinero que se entregaría a Telleldín tenía por objeto su seguridad.</w:t>
      </w:r>
    </w:p>
    <w:p w:rsidR="00224567" w:rsidRDefault="00224567">
      <w:pPr>
        <w:widowControl w:val="0"/>
        <w:rPr>
          <w:lang w:val="es-MX"/>
        </w:rPr>
      </w:pPr>
      <w:r>
        <w:rPr>
          <w:lang w:val="es-MX"/>
        </w:rPr>
        <w:tab/>
        <w:t>Consideró que se procuró que Boragni no tuviera otra alternativa que “alinearse”, de modo que se desdijera de la versión de la venta de la cami</w:t>
      </w:r>
      <w:r>
        <w:rPr>
          <w:lang w:val="es-MX"/>
        </w:rPr>
        <w:t>o</w:t>
      </w:r>
      <w:r>
        <w:rPr>
          <w:lang w:val="es-MX"/>
        </w:rPr>
        <w:t>neta el día 10 de julio, aportada en sus primeras declaraciones testimoniales, a la vez que corroborara los nuevos dichos de su marido, en punto a que la camioneta fue entregada en razón de las extorsiones de los pol</w:t>
      </w:r>
      <w:r>
        <w:rPr>
          <w:lang w:val="es-MX"/>
        </w:rPr>
        <w:t>i</w:t>
      </w:r>
      <w:r>
        <w:rPr>
          <w:lang w:val="es-MX"/>
        </w:rPr>
        <w:t>cías bonaerenses.</w:t>
      </w:r>
    </w:p>
    <w:p w:rsidR="00224567" w:rsidRDefault="00224567">
      <w:pPr>
        <w:widowControl w:val="0"/>
        <w:ind w:firstLine="2835"/>
        <w:rPr>
          <w:lang w:val="es-MX"/>
        </w:rPr>
      </w:pPr>
      <w:r>
        <w:rPr>
          <w:lang w:val="es-MX"/>
        </w:rPr>
        <w:t>De la misma forma, expresó, procedi</w:t>
      </w:r>
      <w:r>
        <w:rPr>
          <w:lang w:val="es-MX"/>
        </w:rPr>
        <w:t>e</w:t>
      </w:r>
      <w:r>
        <w:rPr>
          <w:lang w:val="es-MX"/>
        </w:rPr>
        <w:t>ron con Eduardo Telleldín y Guillermo Cotoras, a qui</w:t>
      </w:r>
      <w:r>
        <w:rPr>
          <w:lang w:val="es-MX"/>
        </w:rPr>
        <w:t>e</w:t>
      </w:r>
      <w:r>
        <w:rPr>
          <w:lang w:val="es-MX"/>
        </w:rPr>
        <w:t>nes, pese a estar imputados por su presunta particip</w:t>
      </w:r>
      <w:r>
        <w:rPr>
          <w:lang w:val="es-MX"/>
        </w:rPr>
        <w:t>a</w:t>
      </w:r>
      <w:r>
        <w:rPr>
          <w:lang w:val="es-MX"/>
        </w:rPr>
        <w:t>ción en el atentado, el juez instructor les recibió declaración te</w:t>
      </w:r>
      <w:r>
        <w:rPr>
          <w:lang w:val="es-MX"/>
        </w:rPr>
        <w:t>s</w:t>
      </w:r>
      <w:r>
        <w:rPr>
          <w:lang w:val="es-MX"/>
        </w:rPr>
        <w:t>timonial.</w:t>
      </w:r>
    </w:p>
    <w:p w:rsidR="00224567" w:rsidRDefault="00224567">
      <w:pPr>
        <w:widowControl w:val="0"/>
        <w:rPr>
          <w:lang w:val="es-MX"/>
        </w:rPr>
      </w:pPr>
      <w:r>
        <w:rPr>
          <w:lang w:val="es-MX"/>
        </w:rPr>
        <w:tab/>
        <w:t>Se procuró que el relato que había i</w:t>
      </w:r>
      <w:r>
        <w:rPr>
          <w:lang w:val="es-MX"/>
        </w:rPr>
        <w:t>n</w:t>
      </w:r>
      <w:r>
        <w:rPr>
          <w:lang w:val="es-MX"/>
        </w:rPr>
        <w:t>ventado el juez junto con los fiscales y el resto del p</w:t>
      </w:r>
      <w:r>
        <w:rPr>
          <w:lang w:val="es-MX"/>
        </w:rPr>
        <w:t>o</w:t>
      </w:r>
      <w:r>
        <w:rPr>
          <w:lang w:val="es-MX"/>
        </w:rPr>
        <w:t>der político, no fuera avalado solamente por dichos del único imputado, con relativo valor probatorio. En ese e</w:t>
      </w:r>
      <w:r>
        <w:rPr>
          <w:lang w:val="es-MX"/>
        </w:rPr>
        <w:t>n</w:t>
      </w:r>
      <w:r>
        <w:rPr>
          <w:lang w:val="es-MX"/>
        </w:rPr>
        <w:t>tendimiento, afirmó que Carlos y Eduardo Telleldín, Bora</w:t>
      </w:r>
      <w:r>
        <w:rPr>
          <w:lang w:val="es-MX"/>
        </w:rPr>
        <w:t>g</w:t>
      </w:r>
      <w:r>
        <w:rPr>
          <w:lang w:val="es-MX"/>
        </w:rPr>
        <w:lastRenderedPageBreak/>
        <w:t>ni y Cotoras fueron coaccionados para decl</w:t>
      </w:r>
      <w:r>
        <w:rPr>
          <w:lang w:val="es-MX"/>
        </w:rPr>
        <w:t>a</w:t>
      </w:r>
      <w:r>
        <w:rPr>
          <w:lang w:val="es-MX"/>
        </w:rPr>
        <w:t>rar en julio de 1996.</w:t>
      </w:r>
    </w:p>
    <w:p w:rsidR="00224567" w:rsidRDefault="00224567">
      <w:pPr>
        <w:widowControl w:val="0"/>
        <w:rPr>
          <w:lang w:val="es-MX"/>
        </w:rPr>
      </w:pPr>
      <w:r>
        <w:rPr>
          <w:lang w:val="es-MX"/>
        </w:rPr>
        <w:tab/>
        <w:t>Dijo que los fiscales no solicitaron al juez ninguna medida ni en favor ni en contra de ellos y, a pesar de no existir ninguna dil</w:t>
      </w:r>
      <w:r>
        <w:rPr>
          <w:lang w:val="es-MX"/>
        </w:rPr>
        <w:t>i</w:t>
      </w:r>
      <w:r>
        <w:rPr>
          <w:lang w:val="es-MX"/>
        </w:rPr>
        <w:t>gencia que realizar, Eduardo Telleldín y Cotoras llevan diez años con fa</w:t>
      </w:r>
      <w:r>
        <w:rPr>
          <w:lang w:val="es-MX"/>
        </w:rPr>
        <w:t>l</w:t>
      </w:r>
      <w:r>
        <w:rPr>
          <w:lang w:val="es-MX"/>
        </w:rPr>
        <w:t>ta de mérito con relación al atentado y no obstante que el tr</w:t>
      </w:r>
      <w:r>
        <w:rPr>
          <w:lang w:val="es-MX"/>
        </w:rPr>
        <w:t>i</w:t>
      </w:r>
      <w:r>
        <w:rPr>
          <w:lang w:val="es-MX"/>
        </w:rPr>
        <w:t>bunal instó al magistrado instructor para que resolviera la cuestión, éste no lo hizo.</w:t>
      </w:r>
    </w:p>
    <w:p w:rsidR="00224567" w:rsidRDefault="00224567">
      <w:pPr>
        <w:widowControl w:val="0"/>
        <w:rPr>
          <w:lang w:val="es-MX"/>
        </w:rPr>
      </w:pPr>
      <w:r>
        <w:rPr>
          <w:lang w:val="es-MX"/>
        </w:rPr>
        <w:tab/>
        <w:t>Explicó que ni el juez, ni los fisc</w:t>
      </w:r>
      <w:r>
        <w:rPr>
          <w:lang w:val="es-MX"/>
        </w:rPr>
        <w:t>a</w:t>
      </w:r>
      <w:r>
        <w:rPr>
          <w:lang w:val="es-MX"/>
        </w:rPr>
        <w:t>les, ni tampoco las querellas querían que Guillermo Cot</w:t>
      </w:r>
      <w:r>
        <w:rPr>
          <w:lang w:val="es-MX"/>
        </w:rPr>
        <w:t>o</w:t>
      </w:r>
      <w:r>
        <w:rPr>
          <w:lang w:val="es-MX"/>
        </w:rPr>
        <w:t>ras y Eduardo Telleldín fueran testigos en el juicio po</w:t>
      </w:r>
      <w:r>
        <w:rPr>
          <w:lang w:val="es-MX"/>
        </w:rPr>
        <w:t>r</w:t>
      </w:r>
      <w:r>
        <w:rPr>
          <w:lang w:val="es-MX"/>
        </w:rPr>
        <w:t>que ellos de ninguna forma mantendrían “la mentira” y h</w:t>
      </w:r>
      <w:r>
        <w:rPr>
          <w:lang w:val="es-MX"/>
        </w:rPr>
        <w:t>a</w:t>
      </w:r>
      <w:r>
        <w:rPr>
          <w:lang w:val="es-MX"/>
        </w:rPr>
        <w:t>bía grandes probabilidades que ambos se quebraran y expl</w:t>
      </w:r>
      <w:r>
        <w:rPr>
          <w:lang w:val="es-MX"/>
        </w:rPr>
        <w:t>i</w:t>
      </w:r>
      <w:r>
        <w:rPr>
          <w:lang w:val="es-MX"/>
        </w:rPr>
        <w:t>caran la verdad.</w:t>
      </w:r>
    </w:p>
    <w:p w:rsidR="00224567" w:rsidRDefault="00224567">
      <w:pPr>
        <w:widowControl w:val="0"/>
        <w:rPr>
          <w:lang w:val="es-MX"/>
        </w:rPr>
      </w:pPr>
      <w:r>
        <w:rPr>
          <w:lang w:val="es-MX"/>
        </w:rPr>
        <w:tab/>
        <w:t>Las presiones, señaló, continúan aún hoy porque “nadie puede sentirse libre de decl</w:t>
      </w:r>
      <w:r>
        <w:rPr>
          <w:lang w:val="es-MX"/>
        </w:rPr>
        <w:t>a</w:t>
      </w:r>
      <w:r>
        <w:rPr>
          <w:lang w:val="es-MX"/>
        </w:rPr>
        <w:t>rar si está imputado durante diez años en la causa más esti</w:t>
      </w:r>
      <w:r>
        <w:rPr>
          <w:lang w:val="es-MX"/>
        </w:rPr>
        <w:t>g</w:t>
      </w:r>
      <w:r>
        <w:rPr>
          <w:lang w:val="es-MX"/>
        </w:rPr>
        <w:t>matizante que pueda existir en el mundo”.</w:t>
      </w:r>
    </w:p>
    <w:p w:rsidR="00224567" w:rsidRDefault="00224567">
      <w:pPr>
        <w:widowControl w:val="0"/>
        <w:rPr>
          <w:lang w:val="es-MX"/>
        </w:rPr>
      </w:pPr>
      <w:r>
        <w:rPr>
          <w:lang w:val="es-MX"/>
        </w:rPr>
        <w:tab/>
        <w:t xml:space="preserve">Aclaró, por otra parte, que a juzgar </w:t>
      </w:r>
      <w:r>
        <w:rPr>
          <w:lang w:val="es-MX"/>
        </w:rPr>
        <w:lastRenderedPageBreak/>
        <w:t>por el alegato de la fiscalía, la única mentira que dijo su asistido fue que vendió la camioneta. Para el r</w:t>
      </w:r>
      <w:r>
        <w:rPr>
          <w:lang w:val="es-MX"/>
        </w:rPr>
        <w:t>e</w:t>
      </w:r>
      <w:r>
        <w:rPr>
          <w:lang w:val="es-MX"/>
        </w:rPr>
        <w:t>sto de las situaciones acreditadas p</w:t>
      </w:r>
      <w:r>
        <w:rPr>
          <w:lang w:val="es-MX"/>
        </w:rPr>
        <w:t>a</w:t>
      </w:r>
      <w:r>
        <w:rPr>
          <w:lang w:val="es-MX"/>
        </w:rPr>
        <w:t>ra la fiscalía, por ejemplo las cuestiones referidas acerca de Vergés, Semorile, el pago o las extorsi</w:t>
      </w:r>
      <w:r>
        <w:rPr>
          <w:lang w:val="es-MX"/>
        </w:rPr>
        <w:t>o</w:t>
      </w:r>
      <w:r>
        <w:rPr>
          <w:lang w:val="es-MX"/>
        </w:rPr>
        <w:t>nes, Telleldín fue el mejor testigo.</w:t>
      </w:r>
    </w:p>
    <w:p w:rsidR="00224567" w:rsidRDefault="00224567">
      <w:pPr>
        <w:widowControl w:val="0"/>
        <w:rPr>
          <w:lang w:val="es-MX"/>
        </w:rPr>
      </w:pPr>
      <w:r>
        <w:rPr>
          <w:lang w:val="es-MX"/>
        </w:rPr>
        <w:tab/>
        <w:t>Al utilizar a Ana Boragni en calidad de testigo, con relación a los hechos acont</w:t>
      </w:r>
      <w:r>
        <w:rPr>
          <w:lang w:val="es-MX"/>
        </w:rPr>
        <w:t>e</w:t>
      </w:r>
      <w:r>
        <w:rPr>
          <w:lang w:val="es-MX"/>
        </w:rPr>
        <w:t>cidos el 10 de julio de 1994 y valorar sus discordancias con el r</w:t>
      </w:r>
      <w:r>
        <w:rPr>
          <w:lang w:val="es-MX"/>
        </w:rPr>
        <w:t>e</w:t>
      </w:r>
      <w:r>
        <w:rPr>
          <w:lang w:val="es-MX"/>
        </w:rPr>
        <w:t>lato de su concubino, es decir la venta, no cabe otra conclusión de que los dichos de ésta fueron utilizados en perjuicio del imputado, vulnerando la norma del art. 243 del C.P.P.N., cuya aplicación fue est</w:t>
      </w:r>
      <w:r>
        <w:rPr>
          <w:lang w:val="es-MX"/>
        </w:rPr>
        <w:t>a</w:t>
      </w:r>
      <w:r>
        <w:rPr>
          <w:lang w:val="es-MX"/>
        </w:rPr>
        <w:t>blecida por el tribunal y que, por lo tanto, no pueden ser valorados para fundar la acusación.</w:t>
      </w:r>
    </w:p>
    <w:p w:rsidR="00224567" w:rsidRDefault="00224567">
      <w:pPr>
        <w:widowControl w:val="0"/>
        <w:ind w:firstLine="2835"/>
        <w:rPr>
          <w:lang w:val="es-MX"/>
        </w:rPr>
      </w:pPr>
      <w:r>
        <w:rPr>
          <w:lang w:val="es-MX"/>
        </w:rPr>
        <w:t>Sin perjuicio de ello, señaló que ta</w:t>
      </w:r>
      <w:r>
        <w:rPr>
          <w:lang w:val="es-MX"/>
        </w:rPr>
        <w:t>n</w:t>
      </w:r>
      <w:r>
        <w:rPr>
          <w:lang w:val="es-MX"/>
        </w:rPr>
        <w:t>to su declaración en la etapa instructoria como la que prestó en el juicio son nulas, en virtud que en ambas oc</w:t>
      </w:r>
      <w:r>
        <w:rPr>
          <w:lang w:val="es-MX"/>
        </w:rPr>
        <w:t>a</w:t>
      </w:r>
      <w:r>
        <w:rPr>
          <w:lang w:val="es-MX"/>
        </w:rPr>
        <w:t>siones fue presionada para declarar en contra de su volu</w:t>
      </w:r>
      <w:r>
        <w:rPr>
          <w:lang w:val="es-MX"/>
        </w:rPr>
        <w:t>n</w:t>
      </w:r>
      <w:r>
        <w:rPr>
          <w:lang w:val="es-MX"/>
        </w:rPr>
        <w:t xml:space="preserve">tad, bajo juramento de decir verdad, “instigada al falso testimonio y lo hizo bajo coacción”. Además, argumentó que en el debate sabía positivamente que si decía la verdad </w:t>
      </w:r>
      <w:r>
        <w:rPr>
          <w:lang w:val="es-MX"/>
        </w:rPr>
        <w:lastRenderedPageBreak/>
        <w:t>quedaría imputada por falso testimonio agravado y su s</w:t>
      </w:r>
      <w:r>
        <w:rPr>
          <w:lang w:val="es-MX"/>
        </w:rPr>
        <w:t>i</w:t>
      </w:r>
      <w:r>
        <w:rPr>
          <w:lang w:val="es-MX"/>
        </w:rPr>
        <w:t>tuación se vería complicada en la ca</w:t>
      </w:r>
      <w:r>
        <w:rPr>
          <w:lang w:val="es-MX"/>
        </w:rPr>
        <w:t>u</w:t>
      </w:r>
      <w:r>
        <w:rPr>
          <w:lang w:val="es-MX"/>
        </w:rPr>
        <w:t>sa.</w:t>
      </w:r>
    </w:p>
    <w:p w:rsidR="00224567" w:rsidRDefault="00224567">
      <w:pPr>
        <w:widowControl w:val="0"/>
        <w:rPr>
          <w:lang w:val="es-MX"/>
        </w:rPr>
      </w:pPr>
      <w:r>
        <w:rPr>
          <w:lang w:val="es-MX"/>
        </w:rPr>
        <w:tab/>
        <w:t>Agregó que la fiscalía y las quer</w:t>
      </w:r>
      <w:r>
        <w:rPr>
          <w:lang w:val="es-MX"/>
        </w:rPr>
        <w:t>e</w:t>
      </w:r>
      <w:r>
        <w:rPr>
          <w:lang w:val="es-MX"/>
        </w:rPr>
        <w:t>llas, luego de valorar los dichos de Ana Boragni como te</w:t>
      </w:r>
      <w:r>
        <w:rPr>
          <w:lang w:val="es-MX"/>
        </w:rPr>
        <w:t>s</w:t>
      </w:r>
      <w:r>
        <w:rPr>
          <w:lang w:val="es-MX"/>
        </w:rPr>
        <w:t>tigo, solicitaron que se ordenara su declaración indagat</w:t>
      </w:r>
      <w:r>
        <w:rPr>
          <w:lang w:val="es-MX"/>
        </w:rPr>
        <w:t>o</w:t>
      </w:r>
      <w:r>
        <w:rPr>
          <w:lang w:val="es-MX"/>
        </w:rPr>
        <w:t>ria como partícipe del atentado. Tal postura, sostuvo, es inadmisible de quienes tienen la obligación de controlar la legalidad del proceso.</w:t>
      </w:r>
    </w:p>
    <w:p w:rsidR="00224567" w:rsidRDefault="00224567">
      <w:pPr>
        <w:widowControl w:val="0"/>
        <w:ind w:firstLine="2835"/>
        <w:rPr>
          <w:lang w:val="es-MX"/>
        </w:rPr>
      </w:pPr>
      <w:r>
        <w:rPr>
          <w:lang w:val="es-MX"/>
        </w:rPr>
        <w:t>Por todo ello, impetró la nulidad de las declaraciones testimoniales de Ana María Boragni pre</w:t>
      </w:r>
      <w:r>
        <w:rPr>
          <w:lang w:val="es-MX"/>
        </w:rPr>
        <w:t>s</w:t>
      </w:r>
      <w:r>
        <w:rPr>
          <w:lang w:val="es-MX"/>
        </w:rPr>
        <w:t>tadas ante la instrucción en julio de 1996 y en el debate y que se extraigan testimonios de las partes pertinentes a fin de que se investigue los delitos de coacción denunci</w:t>
      </w:r>
      <w:r>
        <w:rPr>
          <w:lang w:val="es-MX"/>
        </w:rPr>
        <w:t>a</w:t>
      </w:r>
      <w:r>
        <w:rPr>
          <w:lang w:val="es-MX"/>
        </w:rPr>
        <w:t>dos contra la nombrada. También requirió que se declare improcedente el pedido de las quer</w:t>
      </w:r>
      <w:r>
        <w:rPr>
          <w:lang w:val="es-MX"/>
        </w:rPr>
        <w:t>e</w:t>
      </w:r>
      <w:r>
        <w:rPr>
          <w:lang w:val="es-MX"/>
        </w:rPr>
        <w:t>llas y de la fiscalía, en punto a que Boragni sea imputada como partícipe del atent</w:t>
      </w:r>
      <w:r>
        <w:rPr>
          <w:lang w:val="es-MX"/>
        </w:rPr>
        <w:t>a</w:t>
      </w:r>
      <w:r>
        <w:rPr>
          <w:lang w:val="es-MX"/>
        </w:rPr>
        <w:t>do.</w:t>
      </w:r>
    </w:p>
    <w:p w:rsidR="00224567" w:rsidRDefault="00224567">
      <w:pPr>
        <w:widowControl w:val="0"/>
        <w:rPr>
          <w:lang w:val="es-MX"/>
        </w:rPr>
      </w:pPr>
      <w:r>
        <w:rPr>
          <w:lang w:val="es-MX"/>
        </w:rPr>
        <w:tab/>
        <w:t>Por otra parte, la defensa sol</w:t>
      </w:r>
      <w:r>
        <w:rPr>
          <w:lang w:val="es-MX"/>
        </w:rPr>
        <w:t>i</w:t>
      </w:r>
      <w:r>
        <w:rPr>
          <w:lang w:val="es-MX"/>
        </w:rPr>
        <w:t>citó la nulidad de los videos que registran sendas entrevistas e</w:t>
      </w:r>
      <w:r>
        <w:rPr>
          <w:lang w:val="es-MX"/>
        </w:rPr>
        <w:t>n</w:t>
      </w:r>
      <w:r>
        <w:rPr>
          <w:lang w:val="es-MX"/>
        </w:rPr>
        <w:t xml:space="preserve">tre el juez y su asistido producidas en abril y julio de </w:t>
      </w:r>
      <w:r>
        <w:rPr>
          <w:lang w:val="es-MX"/>
        </w:rPr>
        <w:lastRenderedPageBreak/>
        <w:t>1996.</w:t>
      </w:r>
    </w:p>
    <w:p w:rsidR="00224567" w:rsidRDefault="00224567">
      <w:pPr>
        <w:widowControl w:val="0"/>
        <w:rPr>
          <w:lang w:val="es-MX"/>
        </w:rPr>
      </w:pPr>
      <w:r>
        <w:rPr>
          <w:lang w:val="es-MX"/>
        </w:rPr>
        <w:tab/>
        <w:t>Argumentó que a pesar de que durante el juicio los empleados del juzgado, el juez -por e</w:t>
      </w:r>
      <w:r>
        <w:rPr>
          <w:lang w:val="es-MX"/>
        </w:rPr>
        <w:t>s</w:t>
      </w:r>
      <w:r>
        <w:rPr>
          <w:lang w:val="es-MX"/>
        </w:rPr>
        <w:t>crito- y los fiscales en sus declaraciones en la causa 9789 afi</w:t>
      </w:r>
      <w:r>
        <w:rPr>
          <w:lang w:val="es-MX"/>
        </w:rPr>
        <w:t>r</w:t>
      </w:r>
      <w:r>
        <w:rPr>
          <w:lang w:val="es-MX"/>
        </w:rPr>
        <w:t>maron que las filmaciones no constituían prueba, las pa</w:t>
      </w:r>
      <w:r>
        <w:rPr>
          <w:lang w:val="es-MX"/>
        </w:rPr>
        <w:t>r</w:t>
      </w:r>
      <w:r>
        <w:rPr>
          <w:lang w:val="es-MX"/>
        </w:rPr>
        <w:t>tes acusadoras echaron mano de ellas para intentar probar la respo</w:t>
      </w:r>
      <w:r>
        <w:rPr>
          <w:lang w:val="es-MX"/>
        </w:rPr>
        <w:t>n</w:t>
      </w:r>
      <w:r>
        <w:rPr>
          <w:lang w:val="es-MX"/>
        </w:rPr>
        <w:t>sabilidad de Telleldín.</w:t>
      </w:r>
    </w:p>
    <w:p w:rsidR="00224567" w:rsidRDefault="00224567">
      <w:pPr>
        <w:widowControl w:val="0"/>
        <w:ind w:firstLine="2835"/>
        <w:rPr>
          <w:lang w:val="es-MX"/>
        </w:rPr>
      </w:pPr>
      <w:r>
        <w:rPr>
          <w:lang w:val="es-MX"/>
        </w:rPr>
        <w:t>No obstante, expresó, ninguno de esos videos perjudicaron a Telleldín; a</w:t>
      </w:r>
      <w:r>
        <w:t xml:space="preserve">l contrario, sostuvo, son pruebas de los delitos del juez en tanto demostraron que </w:t>
      </w:r>
      <w:r>
        <w:rPr>
          <w:lang w:val="es-MX"/>
        </w:rPr>
        <w:t>se vulneraron todos los derechos del imputado. Telle</w:t>
      </w:r>
      <w:r>
        <w:rPr>
          <w:lang w:val="es-MX"/>
        </w:rPr>
        <w:t>l</w:t>
      </w:r>
      <w:r>
        <w:rPr>
          <w:lang w:val="es-MX"/>
        </w:rPr>
        <w:t>dín nunca supo que era filmado, tampoco se convocó a su defensor y se lo hacían hablar de los hechos de los cuales estaba imputado. Son pruebas, señaló, de la coa</w:t>
      </w:r>
      <w:r>
        <w:rPr>
          <w:lang w:val="es-MX"/>
        </w:rPr>
        <w:t>c</w:t>
      </w:r>
      <w:r>
        <w:rPr>
          <w:lang w:val="es-MX"/>
        </w:rPr>
        <w:t>ción y del armado de la declaración indagatoria del 5 de julio de 1996.</w:t>
      </w:r>
    </w:p>
    <w:p w:rsidR="00224567" w:rsidRDefault="00224567">
      <w:pPr>
        <w:widowControl w:val="0"/>
        <w:rPr>
          <w:lang w:val="es-MX"/>
        </w:rPr>
      </w:pPr>
      <w:r>
        <w:rPr>
          <w:lang w:val="es-MX"/>
        </w:rPr>
        <w:tab/>
        <w:t>Consideró que al haber sido utiliz</w:t>
      </w:r>
      <w:r>
        <w:rPr>
          <w:lang w:val="es-MX"/>
        </w:rPr>
        <w:t>a</w:t>
      </w:r>
      <w:r>
        <w:rPr>
          <w:lang w:val="es-MX"/>
        </w:rPr>
        <w:t>dos los videos en contra de su asistido, no sólo le dieron e</w:t>
      </w:r>
      <w:r>
        <w:rPr>
          <w:lang w:val="es-MX"/>
        </w:rPr>
        <w:t>n</w:t>
      </w:r>
      <w:r>
        <w:rPr>
          <w:lang w:val="es-MX"/>
        </w:rPr>
        <w:t>tidad de prueba, sino que además aport</w:t>
      </w:r>
      <w:r>
        <w:rPr>
          <w:lang w:val="es-MX"/>
        </w:rPr>
        <w:t>a</w:t>
      </w:r>
      <w:r>
        <w:rPr>
          <w:lang w:val="es-MX"/>
        </w:rPr>
        <w:t>ron el elemento que faltaba para efectuar el planteo nulif</w:t>
      </w:r>
      <w:r>
        <w:rPr>
          <w:lang w:val="es-MX"/>
        </w:rPr>
        <w:t>i</w:t>
      </w:r>
      <w:r>
        <w:rPr>
          <w:lang w:val="es-MX"/>
        </w:rPr>
        <w:t>cante; esto es, el perjuicio.</w:t>
      </w:r>
    </w:p>
    <w:p w:rsidR="00224567" w:rsidRDefault="00224567">
      <w:pPr>
        <w:widowControl w:val="0"/>
        <w:rPr>
          <w:lang w:val="es-MX"/>
        </w:rPr>
      </w:pPr>
      <w:r>
        <w:rPr>
          <w:lang w:val="es-MX"/>
        </w:rPr>
        <w:lastRenderedPageBreak/>
        <w:tab/>
        <w:t>En ese sentido, entendió que la exi</w:t>
      </w:r>
      <w:r>
        <w:rPr>
          <w:lang w:val="es-MX"/>
        </w:rPr>
        <w:t>s</w:t>
      </w:r>
      <w:r>
        <w:rPr>
          <w:lang w:val="es-MX"/>
        </w:rPr>
        <w:t>tencia de tales videos demuestran que se violó el debido proceso y el derecho de defensa en juicio material y té</w:t>
      </w:r>
      <w:r>
        <w:rPr>
          <w:lang w:val="es-MX"/>
        </w:rPr>
        <w:t>c</w:t>
      </w:r>
      <w:r>
        <w:rPr>
          <w:lang w:val="es-MX"/>
        </w:rPr>
        <w:t>nica. Ni siquiera, dijo, se tiene certeza de que la film</w:t>
      </w:r>
      <w:r>
        <w:rPr>
          <w:lang w:val="es-MX"/>
        </w:rPr>
        <w:t>a</w:t>
      </w:r>
      <w:r>
        <w:rPr>
          <w:lang w:val="es-MX"/>
        </w:rPr>
        <w:t>ción de abril sea completa.</w:t>
      </w:r>
    </w:p>
    <w:p w:rsidR="00224567" w:rsidRDefault="00224567">
      <w:pPr>
        <w:widowControl w:val="0"/>
        <w:rPr>
          <w:lang w:val="es-MX"/>
        </w:rPr>
      </w:pPr>
      <w:r>
        <w:rPr>
          <w:lang w:val="es-MX"/>
        </w:rPr>
        <w:tab/>
        <w:t xml:space="preserve">Solicitó, entonces, la nulidad de la incorporación de dichas filmaciones como prueba legítima al proceso en virtud de haberse violado lo prescripto en los arts. 18 de </w:t>
      </w:r>
      <w:smartTag w:uri="urn:schemas-microsoft-com:office:smarttags" w:element="PersonName">
        <w:smartTagPr>
          <w:attr w:name="ProductID" w:val="la Constituci￳n Nacional"/>
        </w:smartTagPr>
        <w:r>
          <w:rPr>
            <w:lang w:val="es-MX"/>
          </w:rPr>
          <w:t>la Constitución Naci</w:t>
        </w:r>
        <w:r>
          <w:rPr>
            <w:lang w:val="es-MX"/>
          </w:rPr>
          <w:t>o</w:t>
        </w:r>
        <w:r>
          <w:rPr>
            <w:lang w:val="es-MX"/>
          </w:rPr>
          <w:t>nal</w:t>
        </w:r>
      </w:smartTag>
      <w:r>
        <w:rPr>
          <w:lang w:val="es-MX"/>
        </w:rPr>
        <w:t xml:space="preserve"> y 296, 297, 298, 299, 300, 301, 304, del C.P.P.N., como así también las g</w:t>
      </w:r>
      <w:r>
        <w:rPr>
          <w:lang w:val="es-MX"/>
        </w:rPr>
        <w:t>a</w:t>
      </w:r>
      <w:r>
        <w:rPr>
          <w:lang w:val="es-MX"/>
        </w:rPr>
        <w:t>rantías contenidas en los pactos intern</w:t>
      </w:r>
      <w:r>
        <w:rPr>
          <w:lang w:val="es-MX"/>
        </w:rPr>
        <w:t>a</w:t>
      </w:r>
      <w:r>
        <w:rPr>
          <w:lang w:val="es-MX"/>
        </w:rPr>
        <w:t>cionales.</w:t>
      </w:r>
    </w:p>
    <w:p w:rsidR="00224567" w:rsidRDefault="00224567">
      <w:pPr>
        <w:pStyle w:val="Textoindependiente"/>
        <w:spacing w:line="600" w:lineRule="auto"/>
      </w:pPr>
      <w:r>
        <w:rPr>
          <w:bCs/>
          <w:iCs/>
        </w:rPr>
        <w:tab/>
        <w:t xml:space="preserve">La defensa también planteó la nulidad de la declaración indagatoria de su asistido del 5 de julio de 1996 y, </w:t>
      </w:r>
      <w:r>
        <w:t>consecuentemente, la del proc</w:t>
      </w:r>
      <w:r>
        <w:t>e</w:t>
      </w:r>
      <w:r>
        <w:t>samiento de Telleldín y de los requerimientos y auto de elev</w:t>
      </w:r>
      <w:r>
        <w:t>a</w:t>
      </w:r>
      <w:r>
        <w:t>ción a juicio.</w:t>
      </w:r>
    </w:p>
    <w:p w:rsidR="00224567" w:rsidRDefault="00224567">
      <w:pPr>
        <w:widowControl w:val="0"/>
        <w:rPr>
          <w:lang w:val="es-MX"/>
        </w:rPr>
      </w:pPr>
      <w:r>
        <w:rPr>
          <w:lang w:val="es-MX"/>
        </w:rPr>
        <w:tab/>
        <w:t>Expresó que la nulidad de la indagat</w:t>
      </w:r>
      <w:r>
        <w:rPr>
          <w:lang w:val="es-MX"/>
        </w:rPr>
        <w:t>o</w:t>
      </w:r>
      <w:r>
        <w:rPr>
          <w:lang w:val="es-MX"/>
        </w:rPr>
        <w:t>ria fue reconocida implícitamente por las partes quer</w:t>
      </w:r>
      <w:r>
        <w:rPr>
          <w:lang w:val="es-MX"/>
        </w:rPr>
        <w:t>e</w:t>
      </w:r>
      <w:r>
        <w:rPr>
          <w:lang w:val="es-MX"/>
        </w:rPr>
        <w:t>llantes -aunque ninguna de ellas la planteó- y por la fi</w:t>
      </w:r>
      <w:r>
        <w:rPr>
          <w:lang w:val="es-MX"/>
        </w:rPr>
        <w:t>s</w:t>
      </w:r>
      <w:r>
        <w:rPr>
          <w:lang w:val="es-MX"/>
        </w:rPr>
        <w:t>calía que así lo solicitó, tras admitir que Telle</w:t>
      </w:r>
      <w:r>
        <w:rPr>
          <w:lang w:val="es-MX"/>
        </w:rPr>
        <w:t>l</w:t>
      </w:r>
      <w:r>
        <w:rPr>
          <w:lang w:val="es-MX"/>
        </w:rPr>
        <w:t xml:space="preserve">dín fue obligado a declarar en contra de su voluntad a cambio de </w:t>
      </w:r>
      <w:r>
        <w:rPr>
          <w:lang w:val="es-MX"/>
        </w:rPr>
        <w:lastRenderedPageBreak/>
        <w:t>un pago clandestino e ilegal.</w:t>
      </w:r>
    </w:p>
    <w:p w:rsidR="00224567" w:rsidRDefault="00224567">
      <w:pPr>
        <w:widowControl w:val="0"/>
        <w:rPr>
          <w:lang w:val="es-MX"/>
        </w:rPr>
      </w:pPr>
      <w:r>
        <w:rPr>
          <w:lang w:val="es-MX"/>
        </w:rPr>
        <w:tab/>
        <w:t>Alegó que si bien en la declaración inducida no había manifestaciones autoincrim</w:t>
      </w:r>
      <w:r>
        <w:rPr>
          <w:lang w:val="es-MX"/>
        </w:rPr>
        <w:t>i</w:t>
      </w:r>
      <w:r>
        <w:rPr>
          <w:lang w:val="es-MX"/>
        </w:rPr>
        <w:t>natorias, lo cierto es que, una vez volcados los dichos, fueron valor</w:t>
      </w:r>
      <w:r>
        <w:rPr>
          <w:lang w:val="es-MX"/>
        </w:rPr>
        <w:t>a</w:t>
      </w:r>
      <w:r>
        <w:rPr>
          <w:lang w:val="es-MX"/>
        </w:rPr>
        <w:t>dos en contra del imputado tanto en el proces</w:t>
      </w:r>
      <w:r>
        <w:rPr>
          <w:lang w:val="es-MX"/>
        </w:rPr>
        <w:t>a</w:t>
      </w:r>
      <w:r>
        <w:rPr>
          <w:lang w:val="es-MX"/>
        </w:rPr>
        <w:t>miento del 2 de noviembre de 1998 como en el requer</w:t>
      </w:r>
      <w:r>
        <w:rPr>
          <w:lang w:val="es-MX"/>
        </w:rPr>
        <w:t>i</w:t>
      </w:r>
      <w:r>
        <w:rPr>
          <w:lang w:val="es-MX"/>
        </w:rPr>
        <w:t>miento de elevación a juicio y en el auto de elevación a juicio, ocasionando un perjuicio a la defensa del i</w:t>
      </w:r>
      <w:r>
        <w:rPr>
          <w:lang w:val="es-MX"/>
        </w:rPr>
        <w:t>m</w:t>
      </w:r>
      <w:r>
        <w:rPr>
          <w:lang w:val="es-MX"/>
        </w:rPr>
        <w:t>putado.</w:t>
      </w:r>
    </w:p>
    <w:p w:rsidR="00224567" w:rsidRDefault="00224567">
      <w:pPr>
        <w:pStyle w:val="Textoindependiente"/>
        <w:spacing w:line="600" w:lineRule="auto"/>
        <w:rPr>
          <w:lang w:val="es-MX"/>
        </w:rPr>
      </w:pPr>
      <w:r>
        <w:rPr>
          <w:lang w:val="es-MX"/>
        </w:rPr>
        <w:tab/>
        <w:t>En la resolución que resolvió el procesamie</w:t>
      </w:r>
      <w:r>
        <w:rPr>
          <w:lang w:val="es-MX"/>
        </w:rPr>
        <w:t>n</w:t>
      </w:r>
      <w:r>
        <w:rPr>
          <w:lang w:val="es-MX"/>
        </w:rPr>
        <w:t>to de Telleldín como partícipe del atentado el juez utilizó la indagatoria como elemento de convi</w:t>
      </w:r>
      <w:r>
        <w:rPr>
          <w:lang w:val="es-MX"/>
        </w:rPr>
        <w:t>c</w:t>
      </w:r>
      <w:r>
        <w:rPr>
          <w:lang w:val="es-MX"/>
        </w:rPr>
        <w:t>ción en su contra al sostener que “...en su declaración indagatoria del 5 de j</w:t>
      </w:r>
      <w:r>
        <w:rPr>
          <w:lang w:val="es-MX"/>
        </w:rPr>
        <w:t>u</w:t>
      </w:r>
      <w:r>
        <w:rPr>
          <w:lang w:val="es-MX"/>
        </w:rPr>
        <w:t>lio de 1996, el no</w:t>
      </w:r>
      <w:r>
        <w:rPr>
          <w:lang w:val="es-MX"/>
        </w:rPr>
        <w:t>m</w:t>
      </w:r>
      <w:r>
        <w:rPr>
          <w:lang w:val="es-MX"/>
        </w:rPr>
        <w:t>brado refirió su intención de sincerarse con el Tribunal, oportunidad en la que si bien admitió d</w:t>
      </w:r>
      <w:r>
        <w:rPr>
          <w:lang w:val="es-MX"/>
        </w:rPr>
        <w:t>e</w:t>
      </w:r>
      <w:r>
        <w:rPr>
          <w:lang w:val="es-MX"/>
        </w:rPr>
        <w:t>terminadas circunstancias en relación a los hechos invest</w:t>
      </w:r>
      <w:r>
        <w:rPr>
          <w:lang w:val="es-MX"/>
        </w:rPr>
        <w:t>i</w:t>
      </w:r>
      <w:r>
        <w:rPr>
          <w:lang w:val="es-MX"/>
        </w:rPr>
        <w:t>gados, muchos de estos ya se encontraban judicialmente co</w:t>
      </w:r>
      <w:r>
        <w:rPr>
          <w:lang w:val="es-MX"/>
        </w:rPr>
        <w:t>m</w:t>
      </w:r>
      <w:r>
        <w:rPr>
          <w:lang w:val="es-MX"/>
        </w:rPr>
        <w:t>probados. A ello limitó su pretendida colaboración, no ob</w:t>
      </w:r>
      <w:r>
        <w:rPr>
          <w:lang w:val="es-MX"/>
        </w:rPr>
        <w:t>s</w:t>
      </w:r>
      <w:r>
        <w:rPr>
          <w:lang w:val="es-MX"/>
        </w:rPr>
        <w:t>tante haber manifestado su intención de expedirse con la verdad aún cua</w:t>
      </w:r>
      <w:r>
        <w:rPr>
          <w:lang w:val="es-MX"/>
        </w:rPr>
        <w:t>n</w:t>
      </w:r>
      <w:r>
        <w:rPr>
          <w:lang w:val="es-MX"/>
        </w:rPr>
        <w:t>do debiera confesar actividades ilícitas”.</w:t>
      </w:r>
    </w:p>
    <w:p w:rsidR="00224567" w:rsidRDefault="00224567">
      <w:pPr>
        <w:widowControl w:val="0"/>
        <w:rPr>
          <w:lang w:val="es-MX"/>
        </w:rPr>
      </w:pPr>
      <w:r>
        <w:rPr>
          <w:lang w:val="es-MX"/>
        </w:rPr>
        <w:tab/>
        <w:t>En síntesis, la conducta del magistr</w:t>
      </w:r>
      <w:r>
        <w:rPr>
          <w:lang w:val="es-MX"/>
        </w:rPr>
        <w:t>a</w:t>
      </w:r>
      <w:r>
        <w:rPr>
          <w:lang w:val="es-MX"/>
        </w:rPr>
        <w:t>do, además de ilícita, quedó atrapada por las normas pr</w:t>
      </w:r>
      <w:r>
        <w:rPr>
          <w:lang w:val="es-MX"/>
        </w:rPr>
        <w:t>o</w:t>
      </w:r>
      <w:r>
        <w:rPr>
          <w:lang w:val="es-MX"/>
        </w:rPr>
        <w:lastRenderedPageBreak/>
        <w:t>cesales antes aludidas, transformando en nula no s</w:t>
      </w:r>
      <w:r>
        <w:rPr>
          <w:lang w:val="es-MX"/>
        </w:rPr>
        <w:t>o</w:t>
      </w:r>
      <w:r>
        <w:rPr>
          <w:lang w:val="es-MX"/>
        </w:rPr>
        <w:t>lamente la declaración indagatoria sino también su valoración en el procesamiento y, por tanto, todo el acto procesal.</w:t>
      </w:r>
    </w:p>
    <w:p w:rsidR="00224567" w:rsidRDefault="00224567">
      <w:pPr>
        <w:widowControl w:val="0"/>
        <w:ind w:firstLine="2835"/>
        <w:rPr>
          <w:lang w:val="es-MX"/>
        </w:rPr>
      </w:pPr>
      <w:r>
        <w:rPr>
          <w:lang w:val="es-MX"/>
        </w:rPr>
        <w:t>Sostuvo que las mismas valoraci</w:t>
      </w:r>
      <w:r>
        <w:rPr>
          <w:lang w:val="es-MX"/>
        </w:rPr>
        <w:t>o</w:t>
      </w:r>
      <w:r>
        <w:rPr>
          <w:lang w:val="es-MX"/>
        </w:rPr>
        <w:t>nes se efectuaron en los requerimientos de elevación a juicio y en el auto respectivo, debiéndose adunar que se tuvo en cuenta una “sociedad con roces” entre Telleldín y los p</w:t>
      </w:r>
      <w:r>
        <w:rPr>
          <w:lang w:val="es-MX"/>
        </w:rPr>
        <w:t>o</w:t>
      </w:r>
      <w:r>
        <w:rPr>
          <w:lang w:val="es-MX"/>
        </w:rPr>
        <w:t>licías bonaerenses que supuestamente lo extorsionaron ll</w:t>
      </w:r>
      <w:r>
        <w:rPr>
          <w:lang w:val="es-MX"/>
        </w:rPr>
        <w:t>e</w:t>
      </w:r>
      <w:r>
        <w:rPr>
          <w:lang w:val="es-MX"/>
        </w:rPr>
        <w:t>vándose la camioneta; sociedad que reconocieron razón en los dichos de T</w:t>
      </w:r>
      <w:r>
        <w:rPr>
          <w:lang w:val="es-MX"/>
        </w:rPr>
        <w:t>e</w:t>
      </w:r>
      <w:r>
        <w:rPr>
          <w:lang w:val="es-MX"/>
        </w:rPr>
        <w:t>lleldín.</w:t>
      </w:r>
    </w:p>
    <w:p w:rsidR="00224567" w:rsidRDefault="00224567">
      <w:pPr>
        <w:widowControl w:val="0"/>
        <w:rPr>
          <w:lang w:val="es-MX"/>
        </w:rPr>
      </w:pPr>
      <w:r>
        <w:rPr>
          <w:lang w:val="es-MX"/>
        </w:rPr>
        <w:tab/>
        <w:t>Entonces, expresó la defensa, el M</w:t>
      </w:r>
      <w:r>
        <w:rPr>
          <w:lang w:val="es-MX"/>
        </w:rPr>
        <w:t>i</w:t>
      </w:r>
      <w:r>
        <w:rPr>
          <w:lang w:val="es-MX"/>
        </w:rPr>
        <w:t>nisterio Público Fiscal reconoció a medias las consecue</w:t>
      </w:r>
      <w:r>
        <w:rPr>
          <w:lang w:val="es-MX"/>
        </w:rPr>
        <w:t>n</w:t>
      </w:r>
      <w:r>
        <w:rPr>
          <w:lang w:val="es-MX"/>
        </w:rPr>
        <w:t>cias del proceder ilícito del juez instru</w:t>
      </w:r>
      <w:r>
        <w:rPr>
          <w:lang w:val="es-MX"/>
        </w:rPr>
        <w:t>c</w:t>
      </w:r>
      <w:r>
        <w:rPr>
          <w:lang w:val="es-MX"/>
        </w:rPr>
        <w:t>tor, por cuanto deben extenderse, necesariamente, al proces</w:t>
      </w:r>
      <w:r>
        <w:rPr>
          <w:lang w:val="es-MX"/>
        </w:rPr>
        <w:t>a</w:t>
      </w:r>
      <w:r>
        <w:rPr>
          <w:lang w:val="es-MX"/>
        </w:rPr>
        <w:t>miento y a las acusaciones. Argumentó la ab</w:t>
      </w:r>
      <w:r>
        <w:rPr>
          <w:lang w:val="es-MX"/>
        </w:rPr>
        <w:t>o</w:t>
      </w:r>
      <w:r>
        <w:rPr>
          <w:lang w:val="es-MX"/>
        </w:rPr>
        <w:t>gada que sin procesamiento y sin acusación válida que abra la etapa del debate, cua</w:t>
      </w:r>
      <w:r>
        <w:rPr>
          <w:lang w:val="es-MX"/>
        </w:rPr>
        <w:t>l</w:t>
      </w:r>
      <w:r>
        <w:rPr>
          <w:lang w:val="es-MX"/>
        </w:rPr>
        <w:t>quier sentencia condenatoria será también nula por falta de sus r</w:t>
      </w:r>
      <w:r>
        <w:rPr>
          <w:lang w:val="es-MX"/>
        </w:rPr>
        <w:t>e</w:t>
      </w:r>
      <w:r>
        <w:rPr>
          <w:lang w:val="es-MX"/>
        </w:rPr>
        <w:t>quisitos esenciales.</w:t>
      </w:r>
    </w:p>
    <w:p w:rsidR="00224567" w:rsidRDefault="00224567">
      <w:pPr>
        <w:pStyle w:val="Textoindependiente"/>
        <w:spacing w:line="600" w:lineRule="auto"/>
      </w:pPr>
      <w:r>
        <w:rPr>
          <w:lang w:val="es-MX"/>
        </w:rPr>
        <w:tab/>
        <w:t>A pesar de que las acusadores expres</w:t>
      </w:r>
      <w:r>
        <w:rPr>
          <w:lang w:val="es-MX"/>
        </w:rPr>
        <w:t>a</w:t>
      </w:r>
      <w:r>
        <w:rPr>
          <w:lang w:val="es-MX"/>
        </w:rPr>
        <w:t xml:space="preserve">ron que no considerarían la cuestionada declaración indagatoria, </w:t>
      </w:r>
      <w:r>
        <w:rPr>
          <w:lang w:val="es-MX"/>
        </w:rPr>
        <w:lastRenderedPageBreak/>
        <w:t>sostuvieron de una u otra manera que la camioneta fue e</w:t>
      </w:r>
      <w:r>
        <w:rPr>
          <w:lang w:val="es-MX"/>
        </w:rPr>
        <w:t>n</w:t>
      </w:r>
      <w:r>
        <w:rPr>
          <w:lang w:val="es-MX"/>
        </w:rPr>
        <w:t>tregada por Telleldín a los policías bonaerenses y menci</w:t>
      </w:r>
      <w:r>
        <w:rPr>
          <w:lang w:val="es-MX"/>
        </w:rPr>
        <w:t>o</w:t>
      </w:r>
      <w:r>
        <w:rPr>
          <w:lang w:val="es-MX"/>
        </w:rPr>
        <w:t>naron la existencia de una s</w:t>
      </w:r>
      <w:r>
        <w:rPr>
          <w:lang w:val="es-MX"/>
        </w:rPr>
        <w:t>u</w:t>
      </w:r>
      <w:r>
        <w:rPr>
          <w:lang w:val="es-MX"/>
        </w:rPr>
        <w:t xml:space="preserve">puesta deuda –saldo pendiente a </w:t>
      </w:r>
      <w:smartTag w:uri="urn:schemas-microsoft-com:office:smarttags" w:element="PersonName">
        <w:smartTagPr>
          <w:attr w:name="ProductID" w:val="la Brigada"/>
        </w:smartTagPr>
        <w:r>
          <w:rPr>
            <w:lang w:val="es-MX"/>
          </w:rPr>
          <w:t>la Brigada</w:t>
        </w:r>
      </w:smartTag>
      <w:r>
        <w:rPr>
          <w:lang w:val="es-MX"/>
        </w:rPr>
        <w:t xml:space="preserve"> de Lanús- que sólo surgen de los dichos de su asistido puestos en crisis. Además, dichas circunstancias se utilizaron en contra de T</w:t>
      </w:r>
      <w:r>
        <w:rPr>
          <w:lang w:val="es-MX"/>
        </w:rPr>
        <w:t>e</w:t>
      </w:r>
      <w:r>
        <w:rPr>
          <w:lang w:val="es-MX"/>
        </w:rPr>
        <w:t xml:space="preserve">lleldín en tanto afirmaron que </w:t>
      </w:r>
      <w:r>
        <w:t>entregó voluntaria o forzadamente la camioneta para saldar la deuda.</w:t>
      </w:r>
    </w:p>
    <w:p w:rsidR="00224567" w:rsidRDefault="00224567">
      <w:pPr>
        <w:pStyle w:val="Sangradetextonormal"/>
        <w:widowControl w:val="0"/>
        <w:ind w:firstLine="0"/>
      </w:pPr>
      <w:r>
        <w:tab/>
        <w:t>Por otra parte, la defensa sol</w:t>
      </w:r>
      <w:r>
        <w:t>i</w:t>
      </w:r>
      <w:r>
        <w:t>citó la nulidad de lo actuado en la causa en función de la viol</w:t>
      </w:r>
      <w:r>
        <w:t>a</w:t>
      </w:r>
      <w:r>
        <w:t>ción de las garantías de imparcialidad e indepe</w:t>
      </w:r>
      <w:r>
        <w:t>n</w:t>
      </w:r>
      <w:r>
        <w:t>dencia del juzgador. Fundó su petición sobre la base de la recusación interpuesta por la querella “Memoria A</w:t>
      </w:r>
      <w:r>
        <w:t>c</w:t>
      </w:r>
      <w:r>
        <w:t>tiva” que apartó al juez de la investig</w:t>
      </w:r>
      <w:r>
        <w:t>a</w:t>
      </w:r>
      <w:r>
        <w:t xml:space="preserve">ción. </w:t>
      </w:r>
    </w:p>
    <w:p w:rsidR="00224567" w:rsidRDefault="00224567">
      <w:pPr>
        <w:pStyle w:val="Sangradetextonormal"/>
        <w:widowControl w:val="0"/>
        <w:ind w:firstLine="0"/>
      </w:pPr>
      <w:r>
        <w:tab/>
        <w:t>En ese entendimiento, sostuvo que a partir del pago efectuado por el juez, todos los actos r</w:t>
      </w:r>
      <w:r>
        <w:t>e</w:t>
      </w:r>
      <w:r>
        <w:t>lacionados con Telleldín son nulos en tanto que ut</w:t>
      </w:r>
      <w:r>
        <w:t>i</w:t>
      </w:r>
      <w:r>
        <w:t>lizó la investigación en su propia defensa para preconstituir prueba y procurar encubrir sus propios del</w:t>
      </w:r>
      <w:r>
        <w:t>i</w:t>
      </w:r>
      <w:r>
        <w:t>tos.</w:t>
      </w:r>
    </w:p>
    <w:p w:rsidR="00224567" w:rsidRDefault="00224567">
      <w:pPr>
        <w:pStyle w:val="Sangradetextonormal"/>
        <w:widowControl w:val="0"/>
        <w:ind w:firstLine="0"/>
      </w:pPr>
      <w:r>
        <w:tab/>
        <w:t>También mencionó que el magistrado a</w:t>
      </w:r>
      <w:r>
        <w:t>c</w:t>
      </w:r>
      <w:r>
        <w:t>tuó con falta de independencia del Poder Ejecutivo Naci</w:t>
      </w:r>
      <w:r>
        <w:t>o</w:t>
      </w:r>
      <w:r>
        <w:lastRenderedPageBreak/>
        <w:t>nal y de las querellas, destacando en particular la sum</w:t>
      </w:r>
      <w:r>
        <w:t>i</w:t>
      </w:r>
      <w:r>
        <w:t>sión respecto de Rubén Beraja, Luis Dobniewski y Rogelio Cichowolski, según los dichos de Claudio Lif</w:t>
      </w:r>
      <w:r>
        <w:t>s</w:t>
      </w:r>
      <w:r>
        <w:t>chitz.</w:t>
      </w:r>
    </w:p>
    <w:p w:rsidR="00224567" w:rsidRDefault="00224567">
      <w:pPr>
        <w:pStyle w:val="Sangradetextonormal"/>
        <w:widowControl w:val="0"/>
        <w:ind w:firstLine="0"/>
      </w:pPr>
      <w:r>
        <w:tab/>
        <w:t>Sostuvo que se vulneró la aludida g</w:t>
      </w:r>
      <w:r>
        <w:t>a</w:t>
      </w:r>
      <w:r>
        <w:t>rantía a partir del 25 de julio de 1994, día en que se llevó a cabo una reunión entre el juez y el poder pol</w:t>
      </w:r>
      <w:r>
        <w:t>í</w:t>
      </w:r>
      <w:r>
        <w:t>tico en la residencia presidencial de Olivos. Por ese motivo, impetró la nulidad de todos los actos produc</w:t>
      </w:r>
      <w:r>
        <w:t>i</w:t>
      </w:r>
      <w:r>
        <w:t>dos a partir de esa fecha.</w:t>
      </w:r>
    </w:p>
    <w:p w:rsidR="00224567" w:rsidRDefault="00224567">
      <w:pPr>
        <w:widowControl w:val="0"/>
      </w:pPr>
      <w:r>
        <w:tab/>
        <w:t>Las nulidades planteadas, expr</w:t>
      </w:r>
      <w:r>
        <w:t>e</w:t>
      </w:r>
      <w:r>
        <w:t>só, son absolutas e insubsanables por violar garantías constit</w:t>
      </w:r>
      <w:r>
        <w:t>u</w:t>
      </w:r>
      <w:r>
        <w:t>cionales de su defendido (art. 168 del C.P.P.N.) y, al no existir una vía alternativa e ind</w:t>
      </w:r>
      <w:r>
        <w:t>e</w:t>
      </w:r>
      <w:r>
        <w:t>pendiente que justifique la validez del procedimiento, solicitó la absolución de Carlos Alberto T</w:t>
      </w:r>
      <w:r>
        <w:t>e</w:t>
      </w:r>
      <w:r>
        <w:t>lleldín.</w:t>
      </w:r>
    </w:p>
    <w:p w:rsidR="00224567" w:rsidRDefault="00224567">
      <w:pPr>
        <w:widowControl w:val="0"/>
        <w:ind w:firstLine="2835"/>
        <w:rPr>
          <w:lang w:val="es-MX"/>
        </w:rPr>
      </w:pPr>
      <w:r>
        <w:t>Por otra parte, la defensa señaló que en las acusaciones formuladas en contra de su asi</w:t>
      </w:r>
      <w:r>
        <w:t>s</w:t>
      </w:r>
      <w:r>
        <w:t xml:space="preserve">tido no indicaron cuál es la conducta que mereció reproche penal ni el hecho que habría cometido. </w:t>
      </w:r>
      <w:r>
        <w:rPr>
          <w:lang w:val="es-MX"/>
        </w:rPr>
        <w:t xml:space="preserve">En ese sentido, explicó que no cumplieron con la exigencia legal de efectuar una </w:t>
      </w:r>
      <w:r>
        <w:rPr>
          <w:lang w:val="es-MX"/>
        </w:rPr>
        <w:lastRenderedPageBreak/>
        <w:t>relación clara, precisa y circunstanciada de la conducta atribuida a su defendido.</w:t>
      </w:r>
    </w:p>
    <w:p w:rsidR="00224567" w:rsidRDefault="00224567">
      <w:pPr>
        <w:widowControl w:val="0"/>
        <w:rPr>
          <w:lang w:val="es-MX"/>
        </w:rPr>
      </w:pPr>
      <w:r>
        <w:rPr>
          <w:lang w:val="es-MX"/>
        </w:rPr>
        <w:tab/>
        <w:t>Antes del debate, se sostuvo en las requisitorias de elevación de la causa a juicio que T</w:t>
      </w:r>
      <w:r>
        <w:rPr>
          <w:lang w:val="es-MX"/>
        </w:rPr>
        <w:t>e</w:t>
      </w:r>
      <w:r>
        <w:rPr>
          <w:lang w:val="es-MX"/>
        </w:rPr>
        <w:t>lleldín había sido víctima de una extorsión por parte de los policías de las brigadas de inve</w:t>
      </w:r>
      <w:r>
        <w:rPr>
          <w:lang w:val="es-MX"/>
        </w:rPr>
        <w:t>s</w:t>
      </w:r>
      <w:r>
        <w:rPr>
          <w:lang w:val="es-MX"/>
        </w:rPr>
        <w:t xml:space="preserve">tigaciones de Vicente López y de Lanús de </w:t>
      </w:r>
      <w:smartTag w:uri="urn:schemas-microsoft-com:office:smarttags" w:element="PersonName">
        <w:smartTagPr>
          <w:attr w:name="ProductID" w:val="la Polic￭a Bonaerense"/>
        </w:smartTagPr>
        <w:r>
          <w:rPr>
            <w:lang w:val="es-MX"/>
          </w:rPr>
          <w:t>la Policía Bonaerense</w:t>
        </w:r>
      </w:smartTag>
      <w:r>
        <w:rPr>
          <w:lang w:val="es-MX"/>
        </w:rPr>
        <w:t>, mediante la cual lo obligaron a entregar la camioneta que explotó en la mutual israelita. Por no existir en el hecho descripto una conducta voluntaria que merezca r</w:t>
      </w:r>
      <w:r>
        <w:rPr>
          <w:lang w:val="es-MX"/>
        </w:rPr>
        <w:t>e</w:t>
      </w:r>
      <w:r>
        <w:rPr>
          <w:lang w:val="es-MX"/>
        </w:rPr>
        <w:t>proche penal, dijo, se añadió el aditamento de que su asistido mantenía con sus e</w:t>
      </w:r>
      <w:r>
        <w:rPr>
          <w:lang w:val="es-MX"/>
        </w:rPr>
        <w:t>x</w:t>
      </w:r>
      <w:r>
        <w:rPr>
          <w:lang w:val="es-MX"/>
        </w:rPr>
        <w:t xml:space="preserve">torsionadores </w:t>
      </w:r>
      <w:r>
        <w:rPr>
          <w:bCs/>
          <w:iCs/>
          <w:lang w:val="es-MX"/>
        </w:rPr>
        <w:t>una sociedad con roces.</w:t>
      </w:r>
    </w:p>
    <w:p w:rsidR="00224567" w:rsidRDefault="00224567">
      <w:pPr>
        <w:widowControl w:val="0"/>
        <w:ind w:firstLine="2835"/>
        <w:rPr>
          <w:lang w:val="es-MX"/>
        </w:rPr>
      </w:pPr>
      <w:r>
        <w:rPr>
          <w:lang w:val="es-MX"/>
        </w:rPr>
        <w:t>En la acusación final, sin embargo, suprimieron la mentada sociedad y, como si los relatos imputativos fueran descartables, sostuvieron otras hist</w:t>
      </w:r>
      <w:r>
        <w:rPr>
          <w:lang w:val="es-MX"/>
        </w:rPr>
        <w:t>o</w:t>
      </w:r>
      <w:r>
        <w:rPr>
          <w:lang w:val="es-MX"/>
        </w:rPr>
        <w:t>rias. En particular, dijo que la querella “Memoria Activa” en el requerimiento de elevación de la causa a juicio so</w:t>
      </w:r>
      <w:r>
        <w:rPr>
          <w:lang w:val="es-MX"/>
        </w:rPr>
        <w:t>s</w:t>
      </w:r>
      <w:r>
        <w:rPr>
          <w:lang w:val="es-MX"/>
        </w:rPr>
        <w:t>tuvo la entrega de la camioneta mediando extorsión por parte de los policías bona</w:t>
      </w:r>
      <w:r>
        <w:rPr>
          <w:lang w:val="es-MX"/>
        </w:rPr>
        <w:t>e</w:t>
      </w:r>
      <w:r>
        <w:rPr>
          <w:lang w:val="es-MX"/>
        </w:rPr>
        <w:t>renses y que no estaba probado el conocimiento de Telleldín acerca de su destino final, confiando que el debate descartaría o acreditaría la cue</w:t>
      </w:r>
      <w:r>
        <w:rPr>
          <w:lang w:val="es-MX"/>
        </w:rPr>
        <w:t>s</w:t>
      </w:r>
      <w:r>
        <w:rPr>
          <w:lang w:val="es-MX"/>
        </w:rPr>
        <w:lastRenderedPageBreak/>
        <w:t>tión.</w:t>
      </w:r>
    </w:p>
    <w:p w:rsidR="00224567" w:rsidRDefault="00224567">
      <w:pPr>
        <w:widowControl w:val="0"/>
        <w:rPr>
          <w:lang w:val="es-MX"/>
        </w:rPr>
      </w:pPr>
      <w:r>
        <w:rPr>
          <w:lang w:val="es-MX"/>
        </w:rPr>
        <w:tab/>
        <w:t>En cambio, en su alegato, la mencion</w:t>
      </w:r>
      <w:r>
        <w:rPr>
          <w:lang w:val="es-MX"/>
        </w:rPr>
        <w:t>a</w:t>
      </w:r>
      <w:r>
        <w:rPr>
          <w:lang w:val="es-MX"/>
        </w:rPr>
        <w:t>da querella omitió referir la extorsión y sólo afirmó que Telleldín armó dos camionetas, una de ellas en el taller de Ariel Nitzcaner, que no es la que se utilizó para ll</w:t>
      </w:r>
      <w:r>
        <w:rPr>
          <w:lang w:val="es-MX"/>
        </w:rPr>
        <w:t>e</w:t>
      </w:r>
      <w:r>
        <w:rPr>
          <w:lang w:val="es-MX"/>
        </w:rPr>
        <w:t>var a cabo el atentado. A p</w:t>
      </w:r>
      <w:r>
        <w:rPr>
          <w:lang w:val="es-MX"/>
        </w:rPr>
        <w:t>e</w:t>
      </w:r>
      <w:r>
        <w:rPr>
          <w:lang w:val="es-MX"/>
        </w:rPr>
        <w:t>sar de ello, acerca de la otra camioneta que supuestamente se utilizó en el suceso no d</w:t>
      </w:r>
      <w:r>
        <w:rPr>
          <w:lang w:val="es-MX"/>
        </w:rPr>
        <w:t>i</w:t>
      </w:r>
      <w:r>
        <w:rPr>
          <w:lang w:val="es-MX"/>
        </w:rPr>
        <w:t>jo ni dónde ni quién la armó, ni qué carr</w:t>
      </w:r>
      <w:r>
        <w:rPr>
          <w:lang w:val="es-MX"/>
        </w:rPr>
        <w:t>o</w:t>
      </w:r>
      <w:r>
        <w:rPr>
          <w:lang w:val="es-MX"/>
        </w:rPr>
        <w:t>cería contenía. Intentó, además, sostener que el vehículo que co</w:t>
      </w:r>
      <w:r>
        <w:rPr>
          <w:lang w:val="es-MX"/>
        </w:rPr>
        <w:t>n</w:t>
      </w:r>
      <w:r>
        <w:rPr>
          <w:lang w:val="es-MX"/>
        </w:rPr>
        <w:t>tenía el explosivo tenía los elásticos reforzados; empero, r</w:t>
      </w:r>
      <w:r>
        <w:rPr>
          <w:lang w:val="es-MX"/>
        </w:rPr>
        <w:t>e</w:t>
      </w:r>
      <w:r>
        <w:rPr>
          <w:lang w:val="es-MX"/>
        </w:rPr>
        <w:t>batió la defensa, no dijo quién los reforzó, ni dónde se hizo la repar</w:t>
      </w:r>
      <w:r>
        <w:rPr>
          <w:lang w:val="es-MX"/>
        </w:rPr>
        <w:t>a</w:t>
      </w:r>
      <w:r>
        <w:rPr>
          <w:lang w:val="es-MX"/>
        </w:rPr>
        <w:t>ción, ni quién y dónde adquirió los repuestos.</w:t>
      </w:r>
    </w:p>
    <w:p w:rsidR="00224567" w:rsidRDefault="00224567">
      <w:pPr>
        <w:widowControl w:val="0"/>
        <w:rPr>
          <w:lang w:val="es-MX"/>
        </w:rPr>
      </w:pPr>
      <w:r>
        <w:rPr>
          <w:lang w:val="es-MX"/>
        </w:rPr>
        <w:tab/>
        <w:t>Sostuvo que además de no haber expr</w:t>
      </w:r>
      <w:r>
        <w:rPr>
          <w:lang w:val="es-MX"/>
        </w:rPr>
        <w:t>e</w:t>
      </w:r>
      <w:r>
        <w:rPr>
          <w:lang w:val="es-MX"/>
        </w:rPr>
        <w:t>sado nada de la hipótesis que intentó dar por acredit</w:t>
      </w:r>
      <w:r>
        <w:rPr>
          <w:lang w:val="es-MX"/>
        </w:rPr>
        <w:t>a</w:t>
      </w:r>
      <w:r>
        <w:rPr>
          <w:lang w:val="es-MX"/>
        </w:rPr>
        <w:t>da, la querella “Memoria Activa” ni siquiera dijo si la cami</w:t>
      </w:r>
      <w:r>
        <w:rPr>
          <w:lang w:val="es-MX"/>
        </w:rPr>
        <w:t>o</w:t>
      </w:r>
      <w:r>
        <w:rPr>
          <w:lang w:val="es-MX"/>
        </w:rPr>
        <w:t>neta fue vendida, regalada, cedida, alquilada ni cómo es que terminó siendo utilizada en el atentado. Tampoco apo</w:t>
      </w:r>
      <w:r>
        <w:rPr>
          <w:lang w:val="es-MX"/>
        </w:rPr>
        <w:t>r</w:t>
      </w:r>
      <w:r>
        <w:rPr>
          <w:lang w:val="es-MX"/>
        </w:rPr>
        <w:t>tó ningún dato para identificarla, como ser el número de patente, motor o chasis. Menos aún, afirmó, recreó las circunstancias de tiempo, modo y lugar, ni los datos pe</w:t>
      </w:r>
      <w:r>
        <w:rPr>
          <w:lang w:val="es-MX"/>
        </w:rPr>
        <w:t>r</w:t>
      </w:r>
      <w:r>
        <w:rPr>
          <w:lang w:val="es-MX"/>
        </w:rPr>
        <w:lastRenderedPageBreak/>
        <w:t>sonales de quien obtuvo la camioneta que, según su acus</w:t>
      </w:r>
      <w:r>
        <w:rPr>
          <w:lang w:val="es-MX"/>
        </w:rPr>
        <w:t>a</w:t>
      </w:r>
      <w:r>
        <w:rPr>
          <w:lang w:val="es-MX"/>
        </w:rPr>
        <w:t>ción, Telleldín debió suponer que se utilizaría para ate</w:t>
      </w:r>
      <w:r>
        <w:rPr>
          <w:lang w:val="es-MX"/>
        </w:rPr>
        <w:t>n</w:t>
      </w:r>
      <w:r>
        <w:rPr>
          <w:lang w:val="es-MX"/>
        </w:rPr>
        <w:t>tar contra la m</w:t>
      </w:r>
      <w:r>
        <w:rPr>
          <w:lang w:val="es-MX"/>
        </w:rPr>
        <w:t>u</w:t>
      </w:r>
      <w:r>
        <w:rPr>
          <w:lang w:val="es-MX"/>
        </w:rPr>
        <w:t>tual.</w:t>
      </w:r>
    </w:p>
    <w:p w:rsidR="00224567" w:rsidRDefault="00224567">
      <w:pPr>
        <w:widowControl w:val="0"/>
        <w:rPr>
          <w:lang w:val="es-MX"/>
        </w:rPr>
      </w:pPr>
      <w:r>
        <w:rPr>
          <w:lang w:val="es-MX"/>
        </w:rPr>
        <w:tab/>
        <w:t>En esas condiciones, expresó, no se puede saber el hecho imputado en la acusación de “Mem</w:t>
      </w:r>
      <w:r>
        <w:rPr>
          <w:lang w:val="es-MX"/>
        </w:rPr>
        <w:t>o</w:t>
      </w:r>
      <w:r>
        <w:rPr>
          <w:lang w:val="es-MX"/>
        </w:rPr>
        <w:t>ria Activa”; es imposible, afirmó, determ</w:t>
      </w:r>
      <w:r>
        <w:rPr>
          <w:lang w:val="es-MX"/>
        </w:rPr>
        <w:t>i</w:t>
      </w:r>
      <w:r>
        <w:rPr>
          <w:lang w:val="es-MX"/>
        </w:rPr>
        <w:t>nar siquiera, no ya si está probado el hecho, sino cuál es el hecho que se le reprocha.</w:t>
      </w:r>
    </w:p>
    <w:p w:rsidR="00224567" w:rsidRDefault="00224567">
      <w:pPr>
        <w:widowControl w:val="0"/>
        <w:rPr>
          <w:lang w:val="es-MX"/>
        </w:rPr>
      </w:pPr>
      <w:r>
        <w:rPr>
          <w:lang w:val="es-MX"/>
        </w:rPr>
        <w:tab/>
        <w:t>Por su parte, la querella A.M.I.A. y D.A.I.A. descartó la sociedad con roces que tuvieron por acreditado al momento de la elev</w:t>
      </w:r>
      <w:r>
        <w:rPr>
          <w:lang w:val="es-MX"/>
        </w:rPr>
        <w:t>a</w:t>
      </w:r>
      <w:r>
        <w:rPr>
          <w:lang w:val="es-MX"/>
        </w:rPr>
        <w:t>ción de la causa a juicio y la “ficticia extorsión del 10 de julio”.  En la acus</w:t>
      </w:r>
      <w:r>
        <w:rPr>
          <w:lang w:val="es-MX"/>
        </w:rPr>
        <w:t>a</w:t>
      </w:r>
      <w:r>
        <w:rPr>
          <w:lang w:val="es-MX"/>
        </w:rPr>
        <w:t>ción final, dijo, con “una increíble imaginación y fuera del más mínimo recaudo legal” inventó una historia disti</w:t>
      </w:r>
      <w:r>
        <w:rPr>
          <w:lang w:val="es-MX"/>
        </w:rPr>
        <w:t>n</w:t>
      </w:r>
      <w:r>
        <w:rPr>
          <w:lang w:val="es-MX"/>
        </w:rPr>
        <w:t>ta consistente en que entre Telleldín y Ribelli había un contrato que, según dejó deslizar, provenía de una deuda por extorsiones anteriores. Ad</w:t>
      </w:r>
      <w:r>
        <w:rPr>
          <w:lang w:val="es-MX"/>
        </w:rPr>
        <w:t>e</w:t>
      </w:r>
      <w:r>
        <w:rPr>
          <w:lang w:val="es-MX"/>
        </w:rPr>
        <w:t xml:space="preserve">más, señaló que la garantía de pago consistía en la causa de homicidio que falsamente imputaron a Telleldín los integrantes de </w:t>
      </w:r>
      <w:smartTag w:uri="urn:schemas-microsoft-com:office:smarttags" w:element="PersonName">
        <w:smartTagPr>
          <w:attr w:name="ProductID" w:val="la Brigada"/>
        </w:smartTagPr>
        <w:r>
          <w:rPr>
            <w:lang w:val="es-MX"/>
          </w:rPr>
          <w:t>la Brigada</w:t>
        </w:r>
      </w:smartTag>
      <w:r>
        <w:rPr>
          <w:lang w:val="es-MX"/>
        </w:rPr>
        <w:t xml:space="preserve"> de I</w:t>
      </w:r>
      <w:r>
        <w:rPr>
          <w:lang w:val="es-MX"/>
        </w:rPr>
        <w:t>n</w:t>
      </w:r>
      <w:r>
        <w:rPr>
          <w:lang w:val="es-MX"/>
        </w:rPr>
        <w:t>vestigaciones de L</w:t>
      </w:r>
      <w:r>
        <w:rPr>
          <w:lang w:val="es-MX"/>
        </w:rPr>
        <w:t>a</w:t>
      </w:r>
      <w:r>
        <w:rPr>
          <w:lang w:val="es-MX"/>
        </w:rPr>
        <w:t>nús.</w:t>
      </w:r>
    </w:p>
    <w:p w:rsidR="00224567" w:rsidRDefault="00224567">
      <w:pPr>
        <w:widowControl w:val="0"/>
        <w:rPr>
          <w:lang w:val="es-MX"/>
        </w:rPr>
      </w:pPr>
      <w:r>
        <w:rPr>
          <w:lang w:val="es-MX"/>
        </w:rPr>
        <w:tab/>
        <w:t xml:space="preserve">Entendió la defensa que la hipótesis </w:t>
      </w:r>
      <w:r>
        <w:rPr>
          <w:lang w:val="es-MX"/>
        </w:rPr>
        <w:lastRenderedPageBreak/>
        <w:t>“choca con cualquier actitud proveniente de un co</w:t>
      </w:r>
      <w:r>
        <w:rPr>
          <w:lang w:val="es-MX"/>
        </w:rPr>
        <w:t>n</w:t>
      </w:r>
      <w:r>
        <w:rPr>
          <w:lang w:val="es-MX"/>
        </w:rPr>
        <w:t>trato en el que ambas partes actúan en forma voluntaria”; en tal caso, expresó, Telleldín habría obrado bajo la misma coa</w:t>
      </w:r>
      <w:r>
        <w:rPr>
          <w:lang w:val="es-MX"/>
        </w:rPr>
        <w:t>c</w:t>
      </w:r>
      <w:r>
        <w:rPr>
          <w:lang w:val="es-MX"/>
        </w:rPr>
        <w:t>ción que al entregar los bienes a la brigada de Lanús en abril de 1994. En definitiva, argumentó, ese tipo de co</w:t>
      </w:r>
      <w:r>
        <w:rPr>
          <w:lang w:val="es-MX"/>
        </w:rPr>
        <w:t>n</w:t>
      </w:r>
      <w:r>
        <w:rPr>
          <w:lang w:val="es-MX"/>
        </w:rPr>
        <w:t>tratos no cumple los recaudos del derecho penal para con</w:t>
      </w:r>
      <w:r>
        <w:rPr>
          <w:lang w:val="es-MX"/>
        </w:rPr>
        <w:t>s</w:t>
      </w:r>
      <w:r>
        <w:rPr>
          <w:lang w:val="es-MX"/>
        </w:rPr>
        <w:t>tituir una conducta delictiva.</w:t>
      </w:r>
    </w:p>
    <w:p w:rsidR="00224567" w:rsidRDefault="00224567">
      <w:pPr>
        <w:widowControl w:val="0"/>
        <w:rPr>
          <w:lang w:val="es-MX"/>
        </w:rPr>
      </w:pPr>
      <w:r>
        <w:rPr>
          <w:lang w:val="es-MX"/>
        </w:rPr>
        <w:tab/>
        <w:t>Argumentó que si se trató de un co</w:t>
      </w:r>
      <w:r>
        <w:rPr>
          <w:lang w:val="es-MX"/>
        </w:rPr>
        <w:t>n</w:t>
      </w:r>
      <w:r>
        <w:rPr>
          <w:lang w:val="es-MX"/>
        </w:rPr>
        <w:t>trato especial entre Ribelli y Telleldín, en el cual dej</w:t>
      </w:r>
      <w:r>
        <w:rPr>
          <w:lang w:val="es-MX"/>
        </w:rPr>
        <w:t>a</w:t>
      </w:r>
      <w:r>
        <w:rPr>
          <w:lang w:val="es-MX"/>
        </w:rPr>
        <w:t>ron de lado todos los “aprietes” para esta ocasión, no se expresó ni cuándo se hizo, ni dónde se perfeccionó, ni quiénes participaron y, ni siquiera, en qué consistió; fundamentalmente, no se expresó cuál era la contraprest</w:t>
      </w:r>
      <w:r>
        <w:rPr>
          <w:lang w:val="es-MX"/>
        </w:rPr>
        <w:t>a</w:t>
      </w:r>
      <w:r>
        <w:rPr>
          <w:lang w:val="es-MX"/>
        </w:rPr>
        <w:t>ción que correspo</w:t>
      </w:r>
      <w:r>
        <w:rPr>
          <w:lang w:val="es-MX"/>
        </w:rPr>
        <w:t>n</w:t>
      </w:r>
      <w:r>
        <w:rPr>
          <w:lang w:val="es-MX"/>
        </w:rPr>
        <w:t>dió a Ribelli para con la otra parte.</w:t>
      </w:r>
    </w:p>
    <w:p w:rsidR="00224567" w:rsidRDefault="00224567">
      <w:pPr>
        <w:widowControl w:val="0"/>
        <w:rPr>
          <w:lang w:val="es-MX"/>
        </w:rPr>
      </w:pPr>
      <w:r>
        <w:rPr>
          <w:lang w:val="es-MX"/>
        </w:rPr>
        <w:tab/>
        <w:t>Sostuvo que la querella “yendo más l</w:t>
      </w:r>
      <w:r>
        <w:rPr>
          <w:lang w:val="es-MX"/>
        </w:rPr>
        <w:t>e</w:t>
      </w:r>
      <w:r>
        <w:rPr>
          <w:lang w:val="es-MX"/>
        </w:rPr>
        <w:t>jos aún en la imaginación”, indicó que había un contrato previo entre Juan José Ribelli y Moshen Rabbani, por e</w:t>
      </w:r>
      <w:r>
        <w:rPr>
          <w:lang w:val="es-MX"/>
        </w:rPr>
        <w:t>n</w:t>
      </w:r>
      <w:r>
        <w:rPr>
          <w:lang w:val="es-MX"/>
        </w:rPr>
        <w:t xml:space="preserve">tonces agregado cultural de </w:t>
      </w:r>
      <w:smartTag w:uri="urn:schemas-microsoft-com:office:smarttags" w:element="PersonName">
        <w:smartTagPr>
          <w:attr w:name="ProductID" w:val="la Embajada"/>
        </w:smartTagPr>
        <w:r>
          <w:rPr>
            <w:lang w:val="es-MX"/>
          </w:rPr>
          <w:t>la Embajada</w:t>
        </w:r>
      </w:smartTag>
      <w:r>
        <w:rPr>
          <w:lang w:val="es-MX"/>
        </w:rPr>
        <w:t xml:space="preserve"> de </w:t>
      </w:r>
      <w:smartTag w:uri="urn:schemas-microsoft-com:office:smarttags" w:element="PersonName">
        <w:smartTagPr>
          <w:attr w:name="ProductID" w:val="la Rep￺blica"/>
        </w:smartTagPr>
        <w:r>
          <w:rPr>
            <w:lang w:val="es-MX"/>
          </w:rPr>
          <w:t>la R</w:t>
        </w:r>
        <w:r>
          <w:rPr>
            <w:lang w:val="es-MX"/>
          </w:rPr>
          <w:t>e</w:t>
        </w:r>
        <w:r>
          <w:rPr>
            <w:lang w:val="es-MX"/>
          </w:rPr>
          <w:t>pública</w:t>
        </w:r>
      </w:smartTag>
      <w:r>
        <w:rPr>
          <w:lang w:val="es-MX"/>
        </w:rPr>
        <w:t xml:space="preserve"> de Irán en nuestro país, sin señalar en qué basaron esa rel</w:t>
      </w:r>
      <w:r>
        <w:rPr>
          <w:lang w:val="es-MX"/>
        </w:rPr>
        <w:t>a</w:t>
      </w:r>
      <w:r>
        <w:rPr>
          <w:lang w:val="es-MX"/>
        </w:rPr>
        <w:t>ción, ni prese</w:t>
      </w:r>
      <w:r>
        <w:rPr>
          <w:lang w:val="es-MX"/>
        </w:rPr>
        <w:t>n</w:t>
      </w:r>
      <w:r>
        <w:rPr>
          <w:lang w:val="es-MX"/>
        </w:rPr>
        <w:t>tar indicio alguno en ese sentido.</w:t>
      </w:r>
    </w:p>
    <w:p w:rsidR="00224567" w:rsidRDefault="00224567">
      <w:pPr>
        <w:widowControl w:val="0"/>
      </w:pPr>
      <w:r>
        <w:lastRenderedPageBreak/>
        <w:tab/>
        <w:t>Sostuvieron, además, que el contrato de Telleldín con Ribelli tenía como antecede</w:t>
      </w:r>
      <w:r>
        <w:t>n</w:t>
      </w:r>
      <w:r>
        <w:t>te el de éste con Rabbani y, según dejó deslizar la querella, su asist</w:t>
      </w:r>
      <w:r>
        <w:t>i</w:t>
      </w:r>
      <w:r>
        <w:t>do conocía el destino final de la cami</w:t>
      </w:r>
      <w:r>
        <w:t>o</w:t>
      </w:r>
      <w:r>
        <w:t>neta.</w:t>
      </w:r>
    </w:p>
    <w:p w:rsidR="00224567" w:rsidRDefault="00224567">
      <w:pPr>
        <w:widowControl w:val="0"/>
        <w:rPr>
          <w:lang w:val="es-MX"/>
        </w:rPr>
      </w:pPr>
      <w:r>
        <w:rPr>
          <w:lang w:val="es-MX"/>
        </w:rPr>
        <w:tab/>
        <w:t>El relato de la querella en cue</w:t>
      </w:r>
      <w:r>
        <w:rPr>
          <w:lang w:val="es-MX"/>
        </w:rPr>
        <w:t>s</w:t>
      </w:r>
      <w:r>
        <w:rPr>
          <w:lang w:val="es-MX"/>
        </w:rPr>
        <w:t>tión –prosiguió reseñando la defensa- aludió a que Rabbani, a través de alguien, encargó a Ribelli una camioneta y, s</w:t>
      </w:r>
      <w:r>
        <w:rPr>
          <w:lang w:val="es-MX"/>
        </w:rPr>
        <w:t>u</w:t>
      </w:r>
      <w:r>
        <w:rPr>
          <w:lang w:val="es-MX"/>
        </w:rPr>
        <w:t xml:space="preserve">puestamente, le dijo que era para atentar contra </w:t>
      </w:r>
      <w:smartTag w:uri="urn:schemas-microsoft-com:office:smarttags" w:element="PersonName">
        <w:smartTagPr>
          <w:attr w:name="ProductID" w:val="la A.M"/>
        </w:smartTagPr>
        <w:r>
          <w:rPr>
            <w:lang w:val="es-MX"/>
          </w:rPr>
          <w:t>la A.M</w:t>
        </w:r>
      </w:smartTag>
      <w:r>
        <w:rPr>
          <w:lang w:val="es-MX"/>
        </w:rPr>
        <w:t>.I.A.; que Ribelli encargó a Telleldín dos camion</w:t>
      </w:r>
      <w:r>
        <w:rPr>
          <w:lang w:val="es-MX"/>
        </w:rPr>
        <w:t>e</w:t>
      </w:r>
      <w:r>
        <w:rPr>
          <w:lang w:val="es-MX"/>
        </w:rPr>
        <w:t>tas, una para Rabbani y otra que, a pesar de no ser muy en cl</w:t>
      </w:r>
      <w:r>
        <w:rPr>
          <w:lang w:val="es-MX"/>
        </w:rPr>
        <w:t>a</w:t>
      </w:r>
      <w:r>
        <w:rPr>
          <w:lang w:val="es-MX"/>
        </w:rPr>
        <w:t>ro, supuestamente era para despistar. El armado de dos c</w:t>
      </w:r>
      <w:r>
        <w:rPr>
          <w:lang w:val="es-MX"/>
        </w:rPr>
        <w:t>a</w:t>
      </w:r>
      <w:r>
        <w:rPr>
          <w:lang w:val="es-MX"/>
        </w:rPr>
        <w:t>mionetas fue para la querella la supuesta preparación “e</w:t>
      </w:r>
      <w:r>
        <w:rPr>
          <w:lang w:val="es-MX"/>
        </w:rPr>
        <w:t>s</w:t>
      </w:r>
      <w:r>
        <w:rPr>
          <w:lang w:val="es-MX"/>
        </w:rPr>
        <w:t>pecial” que tenía el encargo; ya no el elástico como so</w:t>
      </w:r>
      <w:r>
        <w:rPr>
          <w:lang w:val="es-MX"/>
        </w:rPr>
        <w:t>s</w:t>
      </w:r>
      <w:r>
        <w:rPr>
          <w:lang w:val="es-MX"/>
        </w:rPr>
        <w:t>tuviera “Memoria Activa”.</w:t>
      </w:r>
    </w:p>
    <w:p w:rsidR="00224567" w:rsidRDefault="00224567">
      <w:pPr>
        <w:widowControl w:val="0"/>
        <w:rPr>
          <w:lang w:val="es-MX"/>
        </w:rPr>
      </w:pPr>
      <w:r>
        <w:rPr>
          <w:lang w:val="es-MX"/>
        </w:rPr>
        <w:tab/>
        <w:t>La defensa señaló –en relación a la imputación que formuló la querella unificada- que supue</w:t>
      </w:r>
      <w:r>
        <w:rPr>
          <w:lang w:val="es-MX"/>
        </w:rPr>
        <w:t>s</w:t>
      </w:r>
      <w:r>
        <w:rPr>
          <w:lang w:val="es-MX"/>
        </w:rPr>
        <w:t>tamente Telleldín armó dos camionetas y que la fueron a buscar Anastasio Leal e Raúl Ibarra; que, supuestamente, Mario Bareiro controló junto con Diego Barreda el armado de las dos camionetas y que, además, se sim</w:t>
      </w:r>
      <w:r>
        <w:rPr>
          <w:lang w:val="es-MX"/>
        </w:rPr>
        <w:t>u</w:t>
      </w:r>
      <w:r>
        <w:rPr>
          <w:lang w:val="es-MX"/>
        </w:rPr>
        <w:t>ló una venta.</w:t>
      </w:r>
    </w:p>
    <w:p w:rsidR="00224567" w:rsidRDefault="00224567">
      <w:pPr>
        <w:widowControl w:val="0"/>
        <w:rPr>
          <w:lang w:val="es-MX"/>
        </w:rPr>
      </w:pPr>
      <w:r>
        <w:rPr>
          <w:lang w:val="es-MX"/>
        </w:rPr>
        <w:tab/>
        <w:t xml:space="preserve">Afirmó que la hipótesis sostenida en </w:t>
      </w:r>
      <w:r>
        <w:rPr>
          <w:lang w:val="es-MX"/>
        </w:rPr>
        <w:lastRenderedPageBreak/>
        <w:t>ese sentido resultó “tan imaginativa como incompleta” po</w:t>
      </w:r>
      <w:r>
        <w:rPr>
          <w:lang w:val="es-MX"/>
        </w:rPr>
        <w:t>r</w:t>
      </w:r>
      <w:r>
        <w:rPr>
          <w:lang w:val="es-MX"/>
        </w:rPr>
        <w:t>que hay una serie de secuencias que ni siquiera las expl</w:t>
      </w:r>
      <w:r>
        <w:rPr>
          <w:lang w:val="es-MX"/>
        </w:rPr>
        <w:t>i</w:t>
      </w:r>
      <w:r>
        <w:rPr>
          <w:lang w:val="es-MX"/>
        </w:rPr>
        <w:t>caron. En tal caso, dijo, nuevamente se afirmó que se a</w:t>
      </w:r>
      <w:r>
        <w:rPr>
          <w:lang w:val="es-MX"/>
        </w:rPr>
        <w:t>r</w:t>
      </w:r>
      <w:r>
        <w:rPr>
          <w:lang w:val="es-MX"/>
        </w:rPr>
        <w:t>maron dos camionetas sin haber explicado –al igual que “Memoria Activa”- y, por tanto no se puede saber, de qué camioneta se trat</w:t>
      </w:r>
      <w:r>
        <w:rPr>
          <w:lang w:val="es-MX"/>
        </w:rPr>
        <w:t>a</w:t>
      </w:r>
      <w:r>
        <w:rPr>
          <w:lang w:val="es-MX"/>
        </w:rPr>
        <w:t xml:space="preserve">ba. </w:t>
      </w:r>
    </w:p>
    <w:p w:rsidR="00224567" w:rsidRDefault="00224567">
      <w:pPr>
        <w:widowControl w:val="0"/>
        <w:rPr>
          <w:lang w:val="es-MX"/>
        </w:rPr>
      </w:pPr>
      <w:r>
        <w:rPr>
          <w:lang w:val="es-MX"/>
        </w:rPr>
        <w:tab/>
        <w:t>Tampoco explicaron cuál es la carroc</w:t>
      </w:r>
      <w:r>
        <w:rPr>
          <w:lang w:val="es-MX"/>
        </w:rPr>
        <w:t>e</w:t>
      </w:r>
      <w:r>
        <w:rPr>
          <w:lang w:val="es-MX"/>
        </w:rPr>
        <w:t>ría de la camioneta que fue utilizada para cometer el atentado; qué motor se colocó en la carrocería de Pedro Sarapura ni en qué condiciones se entregó la camioneta a Leal, sea que abonó el precio o fue un regalo o el produ</w:t>
      </w:r>
      <w:r>
        <w:rPr>
          <w:lang w:val="es-MX"/>
        </w:rPr>
        <w:t>c</w:t>
      </w:r>
      <w:r>
        <w:rPr>
          <w:lang w:val="es-MX"/>
        </w:rPr>
        <w:t>to de la deuda. En este último caso, coligió la defensa, por qué motivo T</w:t>
      </w:r>
      <w:r>
        <w:rPr>
          <w:lang w:val="es-MX"/>
        </w:rPr>
        <w:t>e</w:t>
      </w:r>
      <w:r>
        <w:rPr>
          <w:lang w:val="es-MX"/>
        </w:rPr>
        <w:t>lleldín no requirió destruir las pruebas de la causa del homicidio una vez que cumplió su prest</w:t>
      </w:r>
      <w:r>
        <w:rPr>
          <w:lang w:val="es-MX"/>
        </w:rPr>
        <w:t>a</w:t>
      </w:r>
      <w:r>
        <w:rPr>
          <w:lang w:val="es-MX"/>
        </w:rPr>
        <w:t>ción teniendo en cuenta que esa falsa i</w:t>
      </w:r>
      <w:r>
        <w:rPr>
          <w:lang w:val="es-MX"/>
        </w:rPr>
        <w:t>m</w:t>
      </w:r>
      <w:r>
        <w:rPr>
          <w:lang w:val="es-MX"/>
        </w:rPr>
        <w:t>putación hacía las veces de garantía del cumplimiento de la actividad de T</w:t>
      </w:r>
      <w:r>
        <w:rPr>
          <w:lang w:val="es-MX"/>
        </w:rPr>
        <w:t>e</w:t>
      </w:r>
      <w:r>
        <w:rPr>
          <w:lang w:val="es-MX"/>
        </w:rPr>
        <w:t>lleldín.</w:t>
      </w:r>
    </w:p>
    <w:p w:rsidR="00224567" w:rsidRDefault="00224567">
      <w:pPr>
        <w:widowControl w:val="0"/>
        <w:ind w:firstLine="2835"/>
        <w:rPr>
          <w:lang w:val="es-MX"/>
        </w:rPr>
      </w:pPr>
      <w:r>
        <w:rPr>
          <w:lang w:val="es-MX"/>
        </w:rPr>
        <w:t>No se supo, desde la hipótesis pla</w:t>
      </w:r>
      <w:r>
        <w:rPr>
          <w:lang w:val="es-MX"/>
        </w:rPr>
        <w:t>n</w:t>
      </w:r>
      <w:r>
        <w:rPr>
          <w:lang w:val="es-MX"/>
        </w:rPr>
        <w:t>teada por la querella unificada, cómo es que Telleldín s</w:t>
      </w:r>
      <w:r>
        <w:rPr>
          <w:lang w:val="es-MX"/>
        </w:rPr>
        <w:t>a</w:t>
      </w:r>
      <w:r>
        <w:rPr>
          <w:lang w:val="es-MX"/>
        </w:rPr>
        <w:t>bía que tenía que dar la camioneta a Anastasio Leal, co</w:t>
      </w:r>
      <w:r>
        <w:rPr>
          <w:lang w:val="es-MX"/>
        </w:rPr>
        <w:t>n</w:t>
      </w:r>
      <w:r>
        <w:rPr>
          <w:lang w:val="es-MX"/>
        </w:rPr>
        <w:lastRenderedPageBreak/>
        <w:t>siderando que éste pertenecía a una brig</w:t>
      </w:r>
      <w:r>
        <w:rPr>
          <w:lang w:val="es-MX"/>
        </w:rPr>
        <w:t>a</w:t>
      </w:r>
      <w:r>
        <w:rPr>
          <w:lang w:val="es-MX"/>
        </w:rPr>
        <w:t>da distinta a la de Lanús, y se ignora cuándo, cómo y dónde se combinó la supuesta entrega del rodado. Dijo que la acusación no e</w:t>
      </w:r>
      <w:r>
        <w:rPr>
          <w:lang w:val="es-MX"/>
        </w:rPr>
        <w:t>x</w:t>
      </w:r>
      <w:r>
        <w:rPr>
          <w:lang w:val="es-MX"/>
        </w:rPr>
        <w:t>plicitó si el utilitario que, s</w:t>
      </w:r>
      <w:r>
        <w:rPr>
          <w:lang w:val="es-MX"/>
        </w:rPr>
        <w:t>e</w:t>
      </w:r>
      <w:r>
        <w:rPr>
          <w:lang w:val="es-MX"/>
        </w:rPr>
        <w:t>gún se probó, estuvo en el domicilio de Telleldín fue el utilizado en el hecho m</w:t>
      </w:r>
      <w:r>
        <w:rPr>
          <w:lang w:val="es-MX"/>
        </w:rPr>
        <w:t>o</w:t>
      </w:r>
      <w:r>
        <w:rPr>
          <w:lang w:val="es-MX"/>
        </w:rPr>
        <w:t>tivo de juicio o se trató de la otra cami</w:t>
      </w:r>
      <w:r>
        <w:rPr>
          <w:lang w:val="es-MX"/>
        </w:rPr>
        <w:t>o</w:t>
      </w:r>
      <w:r>
        <w:rPr>
          <w:lang w:val="es-MX"/>
        </w:rPr>
        <w:t>neta mencionada en su alegato.</w:t>
      </w:r>
    </w:p>
    <w:p w:rsidR="00224567" w:rsidRDefault="00224567">
      <w:pPr>
        <w:widowControl w:val="0"/>
        <w:rPr>
          <w:lang w:val="es-MX"/>
        </w:rPr>
      </w:pPr>
      <w:r>
        <w:rPr>
          <w:lang w:val="es-MX"/>
        </w:rPr>
        <w:tab/>
        <w:t>Expresó que la acusación omitió acl</w:t>
      </w:r>
      <w:r>
        <w:rPr>
          <w:lang w:val="es-MX"/>
        </w:rPr>
        <w:t>a</w:t>
      </w:r>
      <w:r>
        <w:rPr>
          <w:lang w:val="es-MX"/>
        </w:rPr>
        <w:t>rar si Juan José Ribelli dijo a su asistido que una de esas camionetas era para realizar el atent</w:t>
      </w:r>
      <w:r>
        <w:rPr>
          <w:lang w:val="es-MX"/>
        </w:rPr>
        <w:t>a</w:t>
      </w:r>
      <w:r>
        <w:rPr>
          <w:lang w:val="es-MX"/>
        </w:rPr>
        <w:t>do.</w:t>
      </w:r>
    </w:p>
    <w:p w:rsidR="00224567" w:rsidRDefault="00224567">
      <w:pPr>
        <w:widowControl w:val="0"/>
        <w:rPr>
          <w:lang w:val="es-MX"/>
        </w:rPr>
      </w:pPr>
      <w:r>
        <w:rPr>
          <w:lang w:val="es-MX"/>
        </w:rPr>
        <w:tab/>
        <w:t>Por otra parte, la querella un</w:t>
      </w:r>
      <w:r>
        <w:rPr>
          <w:lang w:val="es-MX"/>
        </w:rPr>
        <w:t>i</w:t>
      </w:r>
      <w:r>
        <w:rPr>
          <w:lang w:val="es-MX"/>
        </w:rPr>
        <w:t xml:space="preserve">ficada sostuvo que Ribelli cobró, no se sabe de quién, $ 2.500.000 por aportar </w:t>
      </w:r>
      <w:smartTag w:uri="urn:schemas-microsoft-com:office:smarttags" w:element="PersonName">
        <w:smartTagPr>
          <w:attr w:name="ProductID" w:val="la Renault Trafic."/>
        </w:smartTagPr>
        <w:r>
          <w:rPr>
            <w:lang w:val="es-MX"/>
          </w:rPr>
          <w:t>la Renault Trafic.</w:t>
        </w:r>
      </w:smartTag>
      <w:r>
        <w:rPr>
          <w:lang w:val="es-MX"/>
        </w:rPr>
        <w:t xml:space="preserve"> Siendo así, se preguntó la defensa: ¿Telleldín, que supuestamente tenía conocimiento del destino final, habrá c</w:t>
      </w:r>
      <w:r>
        <w:rPr>
          <w:lang w:val="es-MX"/>
        </w:rPr>
        <w:t>o</w:t>
      </w:r>
      <w:r>
        <w:rPr>
          <w:lang w:val="es-MX"/>
        </w:rPr>
        <w:t>brado por entregar dos camionetas?; ¿la segunda cami</w:t>
      </w:r>
      <w:r>
        <w:rPr>
          <w:lang w:val="es-MX"/>
        </w:rPr>
        <w:t>o</w:t>
      </w:r>
      <w:r>
        <w:rPr>
          <w:lang w:val="es-MX"/>
        </w:rPr>
        <w:t>neta, la tendrá Ribelli o también fue para Rabbani? Afirmó que se ignoran las re</w:t>
      </w:r>
      <w:r>
        <w:rPr>
          <w:lang w:val="es-MX"/>
        </w:rPr>
        <w:t>s</w:t>
      </w:r>
      <w:r>
        <w:rPr>
          <w:lang w:val="es-MX"/>
        </w:rPr>
        <w:t>puestas porque “ni siqui</w:t>
      </w:r>
      <w:r>
        <w:rPr>
          <w:lang w:val="es-MX"/>
        </w:rPr>
        <w:t>e</w:t>
      </w:r>
      <w:r>
        <w:rPr>
          <w:lang w:val="es-MX"/>
        </w:rPr>
        <w:t>ra sabemos cuál fue la operación para la historia de A.M.I.A. D.A.I.A.”.</w:t>
      </w:r>
    </w:p>
    <w:p w:rsidR="00224567" w:rsidRDefault="00224567">
      <w:pPr>
        <w:widowControl w:val="0"/>
        <w:rPr>
          <w:lang w:val="es-MX"/>
        </w:rPr>
      </w:pPr>
      <w:r>
        <w:rPr>
          <w:lang w:val="es-MX"/>
        </w:rPr>
        <w:tab/>
        <w:t>En este punto, dijo la defensa, la querella “Memoria Activa” señaló que su asistido part</w:t>
      </w:r>
      <w:r>
        <w:rPr>
          <w:lang w:val="es-MX"/>
        </w:rPr>
        <w:t>i</w:t>
      </w:r>
      <w:r>
        <w:rPr>
          <w:lang w:val="es-MX"/>
        </w:rPr>
        <w:t xml:space="preserve">cipó </w:t>
      </w:r>
      <w:r>
        <w:rPr>
          <w:lang w:val="es-MX"/>
        </w:rPr>
        <w:lastRenderedPageBreak/>
        <w:t>en el atentado por un desmedido ánimo de lucro pero no mencionó si cobró algún dinero a cambio de su supuesta participación.</w:t>
      </w:r>
    </w:p>
    <w:p w:rsidR="00224567" w:rsidRDefault="00224567">
      <w:pPr>
        <w:widowControl w:val="0"/>
        <w:rPr>
          <w:lang w:val="es-MX"/>
        </w:rPr>
      </w:pPr>
      <w:r>
        <w:rPr>
          <w:lang w:val="es-MX"/>
        </w:rPr>
        <w:tab/>
        <w:t>En suma, explicó que todas las cue</w:t>
      </w:r>
      <w:r>
        <w:rPr>
          <w:lang w:val="es-MX"/>
        </w:rPr>
        <w:t>s</w:t>
      </w:r>
      <w:r>
        <w:rPr>
          <w:lang w:val="es-MX"/>
        </w:rPr>
        <w:t>tiones enunciadas no tienen respuesta porque nada de lo afirmado ocurrió, razón por la cual ni siquiera el más m</w:t>
      </w:r>
      <w:r>
        <w:rPr>
          <w:lang w:val="es-MX"/>
        </w:rPr>
        <w:t>í</w:t>
      </w:r>
      <w:r>
        <w:rPr>
          <w:lang w:val="es-MX"/>
        </w:rPr>
        <w:t>nimo de los hechos que conforman las acusaciones encue</w:t>
      </w:r>
      <w:r>
        <w:rPr>
          <w:lang w:val="es-MX"/>
        </w:rPr>
        <w:t>n</w:t>
      </w:r>
      <w:r>
        <w:rPr>
          <w:lang w:val="es-MX"/>
        </w:rPr>
        <w:t>tra sustento probatorio en la ca</w:t>
      </w:r>
      <w:r>
        <w:rPr>
          <w:lang w:val="es-MX"/>
        </w:rPr>
        <w:t>u</w:t>
      </w:r>
      <w:r>
        <w:rPr>
          <w:lang w:val="es-MX"/>
        </w:rPr>
        <w:t>sa.</w:t>
      </w:r>
    </w:p>
    <w:p w:rsidR="00224567" w:rsidRDefault="00224567">
      <w:pPr>
        <w:widowControl w:val="0"/>
        <w:rPr>
          <w:lang w:val="es-MX"/>
        </w:rPr>
      </w:pPr>
      <w:r>
        <w:rPr>
          <w:lang w:val="es-MX"/>
        </w:rPr>
        <w:tab/>
        <w:t>Sostuvo que “fueron diez años de i</w:t>
      </w:r>
      <w:r>
        <w:rPr>
          <w:lang w:val="es-MX"/>
        </w:rPr>
        <w:t>n</w:t>
      </w:r>
      <w:r>
        <w:rPr>
          <w:lang w:val="es-MX"/>
        </w:rPr>
        <w:t>vestigar a Telleldín y a todo su entorno; fueron diez años de revisarle hasta el más mínimo papel a toda su familia; no se ha encontrado ningún elemento que lo relacione con el hecho, a excepción claro e</w:t>
      </w:r>
      <w:r>
        <w:rPr>
          <w:lang w:val="es-MX"/>
        </w:rPr>
        <w:t>s</w:t>
      </w:r>
      <w:r>
        <w:rPr>
          <w:lang w:val="es-MX"/>
        </w:rPr>
        <w:t>tá, del motor hallado en las ruinas”. A partir de ese hallazgo, sostuvo, se han inve</w:t>
      </w:r>
      <w:r>
        <w:rPr>
          <w:lang w:val="es-MX"/>
        </w:rPr>
        <w:t>n</w:t>
      </w:r>
      <w:r>
        <w:rPr>
          <w:lang w:val="es-MX"/>
        </w:rPr>
        <w:t>tado todas las historias que confo</w:t>
      </w:r>
      <w:r>
        <w:rPr>
          <w:lang w:val="es-MX"/>
        </w:rPr>
        <w:t>r</w:t>
      </w:r>
      <w:r>
        <w:rPr>
          <w:lang w:val="es-MX"/>
        </w:rPr>
        <w:t>man las acusaciones.</w:t>
      </w:r>
    </w:p>
    <w:p w:rsidR="00224567" w:rsidRDefault="00224567">
      <w:pPr>
        <w:widowControl w:val="0"/>
        <w:rPr>
          <w:lang w:val="es-MX"/>
        </w:rPr>
      </w:pPr>
      <w:r>
        <w:rPr>
          <w:lang w:val="es-MX"/>
        </w:rPr>
        <w:tab/>
        <w:t>Enfatizó que “no existe elemento a</w:t>
      </w:r>
      <w:r>
        <w:rPr>
          <w:lang w:val="es-MX"/>
        </w:rPr>
        <w:t>l</w:t>
      </w:r>
      <w:r>
        <w:rPr>
          <w:lang w:val="es-MX"/>
        </w:rPr>
        <w:t>guno que acredite semejantes relatos de ninguna de las tres acusaciones, no tenemos una conducta, tenemos supos</w:t>
      </w:r>
      <w:r>
        <w:rPr>
          <w:lang w:val="es-MX"/>
        </w:rPr>
        <w:t>i</w:t>
      </w:r>
      <w:r>
        <w:rPr>
          <w:lang w:val="es-MX"/>
        </w:rPr>
        <w:t>ciones varias, tenemos variadas historias y ninguna de ellas s</w:t>
      </w:r>
      <w:r>
        <w:rPr>
          <w:lang w:val="es-MX"/>
        </w:rPr>
        <w:t>i</w:t>
      </w:r>
      <w:r>
        <w:rPr>
          <w:lang w:val="es-MX"/>
        </w:rPr>
        <w:t>quiera circunstanciadas en tiempo, modo y lugar”.</w:t>
      </w:r>
    </w:p>
    <w:p w:rsidR="00224567" w:rsidRDefault="00224567">
      <w:pPr>
        <w:widowControl w:val="0"/>
        <w:rPr>
          <w:lang w:val="es-MX"/>
        </w:rPr>
      </w:pPr>
      <w:r>
        <w:rPr>
          <w:lang w:val="es-MX"/>
        </w:rPr>
        <w:lastRenderedPageBreak/>
        <w:tab/>
        <w:t>Coligió que “debieron idear estas hi</w:t>
      </w:r>
      <w:r>
        <w:rPr>
          <w:lang w:val="es-MX"/>
        </w:rPr>
        <w:t>s</w:t>
      </w:r>
      <w:r>
        <w:rPr>
          <w:lang w:val="es-MX"/>
        </w:rPr>
        <w:t>torias, por llamarlas de alguna manera, que cierren al m</w:t>
      </w:r>
      <w:r>
        <w:rPr>
          <w:lang w:val="es-MX"/>
        </w:rPr>
        <w:t>e</w:t>
      </w:r>
      <w:r>
        <w:rPr>
          <w:lang w:val="es-MX"/>
        </w:rPr>
        <w:t>nos una forma comisiva de los hechos” por que su asistido no ha participado en el atentado; razón por la cual, ad</w:t>
      </w:r>
      <w:r>
        <w:rPr>
          <w:lang w:val="es-MX"/>
        </w:rPr>
        <w:t>e</w:t>
      </w:r>
      <w:r>
        <w:rPr>
          <w:lang w:val="es-MX"/>
        </w:rPr>
        <w:t>más, “no tienen ni siquiera una mínima prueba, ni ind</w:t>
      </w:r>
      <w:r>
        <w:rPr>
          <w:lang w:val="es-MX"/>
        </w:rPr>
        <w:t>i</w:t>
      </w:r>
      <w:r>
        <w:rPr>
          <w:lang w:val="es-MX"/>
        </w:rPr>
        <w:t>cio que acredite su vinculación”. Sin un relato imputat</w:t>
      </w:r>
      <w:r>
        <w:rPr>
          <w:lang w:val="es-MX"/>
        </w:rPr>
        <w:t>i</w:t>
      </w:r>
      <w:r>
        <w:rPr>
          <w:lang w:val="es-MX"/>
        </w:rPr>
        <w:t>vo, no es posible formular acusación y de ninguna forma, consid</w:t>
      </w:r>
      <w:r>
        <w:rPr>
          <w:lang w:val="es-MX"/>
        </w:rPr>
        <w:t>e</w:t>
      </w:r>
      <w:r>
        <w:rPr>
          <w:lang w:val="es-MX"/>
        </w:rPr>
        <w:t>ró, se ha destruido el estado de inocencia de T</w:t>
      </w:r>
      <w:r>
        <w:rPr>
          <w:lang w:val="es-MX"/>
        </w:rPr>
        <w:t>e</w:t>
      </w:r>
      <w:r>
        <w:rPr>
          <w:lang w:val="es-MX"/>
        </w:rPr>
        <w:t>lleldín.</w:t>
      </w:r>
    </w:p>
    <w:p w:rsidR="00224567" w:rsidRDefault="00224567">
      <w:pPr>
        <w:widowControl w:val="0"/>
        <w:rPr>
          <w:lang w:val="es-MX"/>
        </w:rPr>
      </w:pPr>
      <w:r>
        <w:rPr>
          <w:lang w:val="es-MX"/>
        </w:rPr>
        <w:tab/>
        <w:t>Sostuvo que “la ausencia de certeza positiva que exige la sentencia, surge del simple cotejo de las diversas acusaciones... que son entre sí, difere</w:t>
      </w:r>
      <w:r>
        <w:rPr>
          <w:lang w:val="es-MX"/>
        </w:rPr>
        <w:t>n</w:t>
      </w:r>
      <w:r>
        <w:rPr>
          <w:lang w:val="es-MX"/>
        </w:rPr>
        <w:t>tes, lo que desde ya descarta la posibilidad de que los hechos hayan ocurrido de una sola manera”.</w:t>
      </w:r>
    </w:p>
    <w:p w:rsidR="00224567" w:rsidRDefault="00224567">
      <w:pPr>
        <w:widowControl w:val="0"/>
        <w:rPr>
          <w:lang w:val="es-MX"/>
        </w:rPr>
      </w:pPr>
      <w:r>
        <w:rPr>
          <w:lang w:val="es-MX"/>
        </w:rPr>
        <w:tab/>
        <w:t>“No existe la posibilidad que los h</w:t>
      </w:r>
      <w:r>
        <w:rPr>
          <w:lang w:val="es-MX"/>
        </w:rPr>
        <w:t>e</w:t>
      </w:r>
      <w:r>
        <w:rPr>
          <w:lang w:val="es-MX"/>
        </w:rPr>
        <w:t>chos se hayan producido de tres maneras diferentes...” lo que demuestra “que no hay certezas y, no la hay, porque los hechos están forzados, sólo para pedir condenas”; esto es, argumentó, “si el requerimiento de elevación es dif</w:t>
      </w:r>
      <w:r>
        <w:rPr>
          <w:lang w:val="es-MX"/>
        </w:rPr>
        <w:t>e</w:t>
      </w:r>
      <w:r>
        <w:rPr>
          <w:lang w:val="es-MX"/>
        </w:rPr>
        <w:t>rente a la acusación final de “Memoria Activa” y si para A.M.I.A. y D.A.I.A. los hechos ocurri</w:t>
      </w:r>
      <w:r>
        <w:rPr>
          <w:lang w:val="es-MX"/>
        </w:rPr>
        <w:t>e</w:t>
      </w:r>
      <w:r>
        <w:rPr>
          <w:lang w:val="es-MX"/>
        </w:rPr>
        <w:t>ron de otra manera y para la fiscalía de otra forma diferente, es que no exi</w:t>
      </w:r>
      <w:r>
        <w:rPr>
          <w:lang w:val="es-MX"/>
        </w:rPr>
        <w:t>s</w:t>
      </w:r>
      <w:r>
        <w:rPr>
          <w:lang w:val="es-MX"/>
        </w:rPr>
        <w:t xml:space="preserve">te </w:t>
      </w:r>
      <w:r>
        <w:rPr>
          <w:lang w:val="es-MX"/>
        </w:rPr>
        <w:lastRenderedPageBreak/>
        <w:t>certeza... no sólo acerca de la responsabilidad; falta certeza de cómo se suc</w:t>
      </w:r>
      <w:r>
        <w:rPr>
          <w:lang w:val="es-MX"/>
        </w:rPr>
        <w:t>e</w:t>
      </w:r>
      <w:r>
        <w:rPr>
          <w:lang w:val="es-MX"/>
        </w:rPr>
        <w:t>dieron los hechos”.</w:t>
      </w:r>
    </w:p>
    <w:p w:rsidR="00224567" w:rsidRDefault="00224567">
      <w:pPr>
        <w:widowControl w:val="0"/>
        <w:ind w:firstLine="2835"/>
        <w:rPr>
          <w:lang w:val="es-MX"/>
        </w:rPr>
      </w:pPr>
      <w:r>
        <w:rPr>
          <w:lang w:val="es-MX"/>
        </w:rPr>
        <w:t>Sostuvo que “la falta absoluta de ce</w:t>
      </w:r>
      <w:r>
        <w:rPr>
          <w:lang w:val="es-MX"/>
        </w:rPr>
        <w:t>r</w:t>
      </w:r>
      <w:r>
        <w:rPr>
          <w:lang w:val="es-MX"/>
        </w:rPr>
        <w:t>teza, ha hecho que la querella A.M.I.A. sostuviera que aquí existen casualidades que llevan a formar una causal</w:t>
      </w:r>
      <w:r>
        <w:rPr>
          <w:lang w:val="es-MX"/>
        </w:rPr>
        <w:t>i</w:t>
      </w:r>
      <w:r>
        <w:rPr>
          <w:lang w:val="es-MX"/>
        </w:rPr>
        <w:t>dad”; rebatió la argumentación expresando que “las casu</w:t>
      </w:r>
      <w:r>
        <w:rPr>
          <w:lang w:val="es-MX"/>
        </w:rPr>
        <w:t>a</w:t>
      </w:r>
      <w:r>
        <w:rPr>
          <w:lang w:val="es-MX"/>
        </w:rPr>
        <w:t>lidades son justamente casualidades, hechos que de ninguna forma pueden explicarse por la causalidad y por eso son casuales... la casualidad no tiene explicación en un hecho que le sirve de a</w:t>
      </w:r>
      <w:r>
        <w:rPr>
          <w:lang w:val="es-MX"/>
        </w:rPr>
        <w:t>n</w:t>
      </w:r>
      <w:r>
        <w:rPr>
          <w:lang w:val="es-MX"/>
        </w:rPr>
        <w:t xml:space="preserve">tecedente y, justamente por ser casual, es un hecho que no genera una consecuencia encadenada por las leyes de la lógica y de la naturaleza.... la suma de casualidades puede generar sólo una </w:t>
      </w:r>
      <w:r>
        <w:rPr>
          <w:bCs/>
          <w:iCs/>
          <w:lang w:val="es-MX"/>
        </w:rPr>
        <w:t>gran casualidad pero de ninguna forma puede generar una causalidad... l</w:t>
      </w:r>
      <w:r>
        <w:rPr>
          <w:lang w:val="es-MX"/>
        </w:rPr>
        <w:t>a caus</w:t>
      </w:r>
      <w:r>
        <w:rPr>
          <w:lang w:val="es-MX"/>
        </w:rPr>
        <w:t>a</w:t>
      </w:r>
      <w:r>
        <w:rPr>
          <w:lang w:val="es-MX"/>
        </w:rPr>
        <w:t>lidad es una suma de sucesos que entre sí son antecedente y cons</w:t>
      </w:r>
      <w:r>
        <w:rPr>
          <w:lang w:val="es-MX"/>
        </w:rPr>
        <w:t>e</w:t>
      </w:r>
      <w:r>
        <w:rPr>
          <w:lang w:val="es-MX"/>
        </w:rPr>
        <w:t>cuencia, razón por la cual de ninguna forma puede, mediante una casual</w:t>
      </w:r>
      <w:r>
        <w:rPr>
          <w:lang w:val="es-MX"/>
        </w:rPr>
        <w:t>i</w:t>
      </w:r>
      <w:r>
        <w:rPr>
          <w:lang w:val="es-MX"/>
        </w:rPr>
        <w:t>dad, explicarse una causalidad”</w:t>
      </w:r>
    </w:p>
    <w:p w:rsidR="00224567" w:rsidRDefault="00224567">
      <w:pPr>
        <w:widowControl w:val="0"/>
        <w:rPr>
          <w:lang w:val="es-MX"/>
        </w:rPr>
      </w:pPr>
      <w:r>
        <w:rPr>
          <w:lang w:val="es-MX"/>
        </w:rPr>
        <w:tab/>
        <w:t>Finalizó diciendo que “la causalidad generada entre distintos hechos tiene explicación en las reglas de la lógica o de la naturaleza, mediante estas l</w:t>
      </w:r>
      <w:r>
        <w:rPr>
          <w:lang w:val="es-MX"/>
        </w:rPr>
        <w:t>e</w:t>
      </w:r>
      <w:r>
        <w:rPr>
          <w:lang w:val="es-MX"/>
        </w:rPr>
        <w:lastRenderedPageBreak/>
        <w:t>yes se llega a un encadenamiento de hechos que necesari</w:t>
      </w:r>
      <w:r>
        <w:rPr>
          <w:lang w:val="es-MX"/>
        </w:rPr>
        <w:t>a</w:t>
      </w:r>
      <w:r>
        <w:rPr>
          <w:lang w:val="es-MX"/>
        </w:rPr>
        <w:t>mente uno es consecuencia de otro. Esto no ocurre con h</w:t>
      </w:r>
      <w:r>
        <w:rPr>
          <w:lang w:val="es-MX"/>
        </w:rPr>
        <w:t>e</w:t>
      </w:r>
      <w:r>
        <w:rPr>
          <w:lang w:val="es-MX"/>
        </w:rPr>
        <w:t>chos casuales que, como el término lo indica, se dan sin que exista una explicación lóg</w:t>
      </w:r>
      <w:r>
        <w:rPr>
          <w:lang w:val="es-MX"/>
        </w:rPr>
        <w:t>i</w:t>
      </w:r>
      <w:r>
        <w:rPr>
          <w:lang w:val="es-MX"/>
        </w:rPr>
        <w:t>ca”.</w:t>
      </w:r>
    </w:p>
    <w:p w:rsidR="00224567" w:rsidRDefault="00224567">
      <w:pPr>
        <w:widowControl w:val="0"/>
        <w:rPr>
          <w:lang w:val="es-MX"/>
        </w:rPr>
      </w:pPr>
      <w:r>
        <w:rPr>
          <w:lang w:val="es-MX"/>
        </w:rPr>
        <w:tab/>
        <w:t>Dijo que frente a la imposibil</w:t>
      </w:r>
      <w:r>
        <w:rPr>
          <w:lang w:val="es-MX"/>
        </w:rPr>
        <w:t>i</w:t>
      </w:r>
      <w:r>
        <w:rPr>
          <w:lang w:val="es-MX"/>
        </w:rPr>
        <w:t>dad de adecuar los hechos comunes de la vida de Telleldín, los acusadores transformaron los episodios vividos -que resu</w:t>
      </w:r>
      <w:r>
        <w:rPr>
          <w:lang w:val="es-MX"/>
        </w:rPr>
        <w:t>l</w:t>
      </w:r>
      <w:r>
        <w:rPr>
          <w:lang w:val="es-MX"/>
        </w:rPr>
        <w:t>tan absolutamente verdaderos y comunes-, en indicios inexistentes, intentando crear una hipótesis cr</w:t>
      </w:r>
      <w:r>
        <w:rPr>
          <w:lang w:val="es-MX"/>
        </w:rPr>
        <w:t>i</w:t>
      </w:r>
      <w:r>
        <w:rPr>
          <w:lang w:val="es-MX"/>
        </w:rPr>
        <w:t>minal.</w:t>
      </w:r>
    </w:p>
    <w:p w:rsidR="00224567" w:rsidRDefault="00224567">
      <w:pPr>
        <w:widowControl w:val="0"/>
        <w:rPr>
          <w:lang w:val="es-MX"/>
        </w:rPr>
      </w:pPr>
      <w:r>
        <w:rPr>
          <w:lang w:val="es-MX"/>
        </w:rPr>
        <w:tab/>
        <w:t>Los recursos utilizados por las quer</w:t>
      </w:r>
      <w:r>
        <w:rPr>
          <w:lang w:val="es-MX"/>
        </w:rPr>
        <w:t>e</w:t>
      </w:r>
      <w:r>
        <w:rPr>
          <w:lang w:val="es-MX"/>
        </w:rPr>
        <w:t>llas y los fiscales, sumado al invento de ind</w:t>
      </w:r>
      <w:r>
        <w:rPr>
          <w:lang w:val="es-MX"/>
        </w:rPr>
        <w:t>i</w:t>
      </w:r>
      <w:r>
        <w:rPr>
          <w:lang w:val="es-MX"/>
        </w:rPr>
        <w:t xml:space="preserve">cios, al uso de prueba prohibida y a su exhibición (como la nota de “Página </w:t>
      </w:r>
      <w:smartTag w:uri="urn:schemas-microsoft-com:office:smarttags" w:element="metricconverter">
        <w:smartTagPr>
          <w:attr w:name="ProductID" w:val="12”"/>
        </w:smartTagPr>
        <w:r>
          <w:rPr>
            <w:lang w:val="es-MX"/>
          </w:rPr>
          <w:t>12”</w:t>
        </w:r>
      </w:smartTag>
      <w:r>
        <w:rPr>
          <w:lang w:val="es-MX"/>
        </w:rPr>
        <w:t xml:space="preserve"> del 16 de julio de 1995), demostraron, según la defensa, que “a cualquier costo necesitan acusar a e</w:t>
      </w:r>
      <w:r>
        <w:rPr>
          <w:lang w:val="es-MX"/>
        </w:rPr>
        <w:t>s</w:t>
      </w:r>
      <w:r>
        <w:rPr>
          <w:lang w:val="es-MX"/>
        </w:rPr>
        <w:t>tas personas para seguir dando re</w:t>
      </w:r>
      <w:r>
        <w:rPr>
          <w:lang w:val="es-MX"/>
        </w:rPr>
        <w:t>s</w:t>
      </w:r>
      <w:r>
        <w:rPr>
          <w:lang w:val="es-MX"/>
        </w:rPr>
        <w:t>puestas mentirosas”.</w:t>
      </w:r>
    </w:p>
    <w:p w:rsidR="00224567" w:rsidRDefault="00224567">
      <w:pPr>
        <w:widowControl w:val="0"/>
        <w:rPr>
          <w:lang w:val="es-MX"/>
        </w:rPr>
      </w:pPr>
      <w:r>
        <w:rPr>
          <w:lang w:val="es-MX"/>
        </w:rPr>
        <w:tab/>
        <w:t>Consideró, por otra parte, que todo aquello que su asistido explicó en su declaración indag</w:t>
      </w:r>
      <w:r>
        <w:rPr>
          <w:lang w:val="es-MX"/>
        </w:rPr>
        <w:t>a</w:t>
      </w:r>
      <w:r>
        <w:rPr>
          <w:lang w:val="es-MX"/>
        </w:rPr>
        <w:t>toria y que fue acreditado con pruebas concretas, las ac</w:t>
      </w:r>
      <w:r>
        <w:rPr>
          <w:lang w:val="es-MX"/>
        </w:rPr>
        <w:t>u</w:t>
      </w:r>
      <w:r>
        <w:rPr>
          <w:lang w:val="es-MX"/>
        </w:rPr>
        <w:t>saciones lo transformaron en indicios, alegando que T</w:t>
      </w:r>
      <w:r>
        <w:rPr>
          <w:lang w:val="es-MX"/>
        </w:rPr>
        <w:t>e</w:t>
      </w:r>
      <w:r>
        <w:rPr>
          <w:lang w:val="es-MX"/>
        </w:rPr>
        <w:t>lleldín preconstituyó prueba, en tanto que por las otras circunstancias que refirió y que “no quisieron probar po</w:t>
      </w:r>
      <w:r>
        <w:rPr>
          <w:lang w:val="es-MX"/>
        </w:rPr>
        <w:t>r</w:t>
      </w:r>
      <w:r>
        <w:rPr>
          <w:lang w:val="es-MX"/>
        </w:rPr>
        <w:lastRenderedPageBreak/>
        <w:t>que ni siquiera se molestaron en hacer las medidas”, dij</w:t>
      </w:r>
      <w:r>
        <w:rPr>
          <w:lang w:val="es-MX"/>
        </w:rPr>
        <w:t>e</w:t>
      </w:r>
      <w:r>
        <w:rPr>
          <w:lang w:val="es-MX"/>
        </w:rPr>
        <w:t>ron que Telleldín era un mentiroso. A ello agregaron las querellas y fiscales las frases “T</w:t>
      </w:r>
      <w:r>
        <w:rPr>
          <w:lang w:val="es-MX"/>
        </w:rPr>
        <w:t>e</w:t>
      </w:r>
      <w:r>
        <w:rPr>
          <w:lang w:val="es-MX"/>
        </w:rPr>
        <w:t>lleldín sabe mas de lo que dice”, “Telleldín va y viene” y “Telleldín no quiere decir a quien le dio la camion</w:t>
      </w:r>
      <w:r>
        <w:rPr>
          <w:lang w:val="es-MX"/>
        </w:rPr>
        <w:t>e</w:t>
      </w:r>
      <w:r>
        <w:rPr>
          <w:lang w:val="es-MX"/>
        </w:rPr>
        <w:t>ta”.</w:t>
      </w:r>
    </w:p>
    <w:p w:rsidR="00224567" w:rsidRDefault="00224567">
      <w:pPr>
        <w:widowControl w:val="0"/>
        <w:rPr>
          <w:lang w:val="es-MX"/>
        </w:rPr>
      </w:pPr>
      <w:r>
        <w:rPr>
          <w:lang w:val="es-MX"/>
        </w:rPr>
        <w:tab/>
        <w:t>Afirmó que su defendido dijo a quién vendió la camioneta de manera incansable; en cada una de sus indagatorias y hasta en los medios de prensa T</w:t>
      </w:r>
      <w:r>
        <w:rPr>
          <w:lang w:val="es-MX"/>
        </w:rPr>
        <w:t>e</w:t>
      </w:r>
      <w:r>
        <w:rPr>
          <w:lang w:val="es-MX"/>
        </w:rPr>
        <w:t>lleldín afirmó que fue vendida a Ramón Martínez, ci</w:t>
      </w:r>
      <w:r>
        <w:rPr>
          <w:lang w:val="es-MX"/>
        </w:rPr>
        <w:t>r</w:t>
      </w:r>
      <w:r>
        <w:rPr>
          <w:lang w:val="es-MX"/>
        </w:rPr>
        <w:t>cunstancia que reconoció hasta en la indagatoria que le hicieron firmar mediante coacción. Sostuvo que la existencia de esta pe</w:t>
      </w:r>
      <w:r>
        <w:rPr>
          <w:lang w:val="es-MX"/>
        </w:rPr>
        <w:t>r</w:t>
      </w:r>
      <w:r>
        <w:rPr>
          <w:lang w:val="es-MX"/>
        </w:rPr>
        <w:t>sona no fue un inve</w:t>
      </w:r>
      <w:r>
        <w:rPr>
          <w:lang w:val="es-MX"/>
        </w:rPr>
        <w:t>n</w:t>
      </w:r>
      <w:r>
        <w:rPr>
          <w:lang w:val="es-MX"/>
        </w:rPr>
        <w:t>to ni una mentira de su asistido, pues existe un individuo –con nombre verdadero o falso- que suscribió el boleto de compr</w:t>
      </w:r>
      <w:r>
        <w:rPr>
          <w:lang w:val="es-MX"/>
        </w:rPr>
        <w:t>a</w:t>
      </w:r>
      <w:r>
        <w:rPr>
          <w:lang w:val="es-MX"/>
        </w:rPr>
        <w:t>venta, que tiene una cara, un cuerpo y una fisonomía que Telleldín describió al detalle. Posee, además, una cal</w:t>
      </w:r>
      <w:r>
        <w:rPr>
          <w:lang w:val="es-MX"/>
        </w:rPr>
        <w:t>i</w:t>
      </w:r>
      <w:r>
        <w:rPr>
          <w:lang w:val="es-MX"/>
        </w:rPr>
        <w:t>grafía propia, razón por la cual se han efectuados cuerpos de escritura durante diez años a casi todos los que pasaron por el juzgado.</w:t>
      </w:r>
    </w:p>
    <w:p w:rsidR="00224567" w:rsidRDefault="00224567">
      <w:pPr>
        <w:widowControl w:val="0"/>
        <w:rPr>
          <w:lang w:val="es-MX"/>
        </w:rPr>
      </w:pPr>
      <w:r>
        <w:rPr>
          <w:lang w:val="es-MX"/>
        </w:rPr>
        <w:t xml:space="preserve"> </w:t>
      </w:r>
      <w:r>
        <w:rPr>
          <w:lang w:val="es-MX"/>
        </w:rPr>
        <w:tab/>
        <w:t>En suma, aún elevada la causa a ju</w:t>
      </w:r>
      <w:r>
        <w:rPr>
          <w:lang w:val="es-MX"/>
        </w:rPr>
        <w:t>i</w:t>
      </w:r>
      <w:r>
        <w:rPr>
          <w:lang w:val="es-MX"/>
        </w:rPr>
        <w:t>cio y en la actualidad, el juez de instrucción prosigue bu</w:t>
      </w:r>
      <w:r>
        <w:rPr>
          <w:lang w:val="es-MX"/>
        </w:rPr>
        <w:t>s</w:t>
      </w:r>
      <w:r>
        <w:rPr>
          <w:lang w:val="es-MX"/>
        </w:rPr>
        <w:lastRenderedPageBreak/>
        <w:t>cando a dicha persona con el identikit que confe</w:t>
      </w:r>
      <w:r>
        <w:rPr>
          <w:lang w:val="es-MX"/>
        </w:rPr>
        <w:t>c</w:t>
      </w:r>
      <w:r>
        <w:rPr>
          <w:lang w:val="es-MX"/>
        </w:rPr>
        <w:t>cionó su asistido, extremo que demuestra que Telleldín en este a</w:t>
      </w:r>
      <w:r>
        <w:rPr>
          <w:lang w:val="es-MX"/>
        </w:rPr>
        <w:t>s</w:t>
      </w:r>
      <w:r>
        <w:rPr>
          <w:lang w:val="es-MX"/>
        </w:rPr>
        <w:t>pecto fue veraz.</w:t>
      </w:r>
    </w:p>
    <w:p w:rsidR="00224567" w:rsidRDefault="00224567">
      <w:pPr>
        <w:widowControl w:val="0"/>
        <w:rPr>
          <w:lang w:val="es-MX"/>
        </w:rPr>
      </w:pPr>
      <w:r>
        <w:rPr>
          <w:lang w:val="es-MX"/>
        </w:rPr>
        <w:tab/>
        <w:t>Indicó que las acusaciones formul</w:t>
      </w:r>
      <w:r>
        <w:rPr>
          <w:lang w:val="es-MX"/>
        </w:rPr>
        <w:t>a</w:t>
      </w:r>
      <w:r>
        <w:rPr>
          <w:lang w:val="es-MX"/>
        </w:rPr>
        <w:t>das no expresaron con claridad qué es lo que supuestamente s</w:t>
      </w:r>
      <w:r>
        <w:rPr>
          <w:lang w:val="es-MX"/>
        </w:rPr>
        <w:t>a</w:t>
      </w:r>
      <w:r>
        <w:rPr>
          <w:lang w:val="es-MX"/>
        </w:rPr>
        <w:t>be Telleldín y cómo es que los acusadores saben que éste conoce algo más de aquello que declaró; tampoco señal</w:t>
      </w:r>
      <w:r>
        <w:rPr>
          <w:lang w:val="es-MX"/>
        </w:rPr>
        <w:t>a</w:t>
      </w:r>
      <w:r>
        <w:rPr>
          <w:lang w:val="es-MX"/>
        </w:rPr>
        <w:t>ron en qué mintió su asistido y las pruebas que demostrarían ese extremo.</w:t>
      </w:r>
    </w:p>
    <w:p w:rsidR="00224567" w:rsidRDefault="00224567">
      <w:pPr>
        <w:widowControl w:val="0"/>
        <w:rPr>
          <w:lang w:val="es-MX"/>
        </w:rPr>
      </w:pPr>
      <w:r>
        <w:rPr>
          <w:lang w:val="es-MX"/>
        </w:rPr>
        <w:tab/>
        <w:t>Refirió que, paradójicamente, la ún</w:t>
      </w:r>
      <w:r>
        <w:rPr>
          <w:lang w:val="es-MX"/>
        </w:rPr>
        <w:t>i</w:t>
      </w:r>
      <w:r>
        <w:rPr>
          <w:lang w:val="es-MX"/>
        </w:rPr>
        <w:t>ca vez que Telleldín mintió fue en la oportunidad en que se ejerció coacción por parte del propio magistrado y los fiscales, “con el conocimiento y co</w:t>
      </w:r>
      <w:r>
        <w:rPr>
          <w:lang w:val="es-MX"/>
        </w:rPr>
        <w:t>n</w:t>
      </w:r>
      <w:r>
        <w:rPr>
          <w:lang w:val="es-MX"/>
        </w:rPr>
        <w:t>sentimiento de todo el poder y de los representantes de las quer</w:t>
      </w:r>
      <w:r>
        <w:rPr>
          <w:lang w:val="es-MX"/>
        </w:rPr>
        <w:t>e</w:t>
      </w:r>
      <w:r>
        <w:rPr>
          <w:lang w:val="es-MX"/>
        </w:rPr>
        <w:t>llas”. Aún así, expresó, “ellos sostienen esta mentira, sostienen que T</w:t>
      </w:r>
      <w:r>
        <w:rPr>
          <w:lang w:val="es-MX"/>
        </w:rPr>
        <w:t>e</w:t>
      </w:r>
      <w:r>
        <w:rPr>
          <w:lang w:val="es-MX"/>
        </w:rPr>
        <w:t>lleldín aseguró que le entregó la camioneta a los pol</w:t>
      </w:r>
      <w:r>
        <w:rPr>
          <w:lang w:val="es-MX"/>
        </w:rPr>
        <w:t>i</w:t>
      </w:r>
      <w:r>
        <w:rPr>
          <w:lang w:val="es-MX"/>
        </w:rPr>
        <w:t xml:space="preserve">cías, cuando esto era sólo una hipótesis”. A pesar de que “Telleldín es un mentiroso”, la acusación se basó en sus declaraciones periodísticas ante el diario “Página </w:t>
      </w:r>
      <w:smartTag w:uri="urn:schemas-microsoft-com:office:smarttags" w:element="metricconverter">
        <w:smartTagPr>
          <w:attr w:name="ProductID" w:val="12”"/>
        </w:smartTagPr>
        <w:r>
          <w:rPr>
            <w:lang w:val="es-MX"/>
          </w:rPr>
          <w:t>12”</w:t>
        </w:r>
      </w:smartTag>
      <w:r>
        <w:rPr>
          <w:lang w:val="es-MX"/>
        </w:rPr>
        <w:t xml:space="preserve"> porque descartaron sus dichos del 5 de j</w:t>
      </w:r>
      <w:r>
        <w:rPr>
          <w:lang w:val="es-MX"/>
        </w:rPr>
        <w:t>u</w:t>
      </w:r>
      <w:r>
        <w:rPr>
          <w:lang w:val="es-MX"/>
        </w:rPr>
        <w:t>lio de 1996.</w:t>
      </w:r>
    </w:p>
    <w:p w:rsidR="00224567" w:rsidRDefault="00224567">
      <w:pPr>
        <w:widowControl w:val="0"/>
        <w:rPr>
          <w:lang w:val="es-MX"/>
        </w:rPr>
      </w:pPr>
      <w:r>
        <w:rPr>
          <w:lang w:val="es-MX"/>
        </w:rPr>
        <w:tab/>
        <w:t xml:space="preserve">Por otra parte, sostuvo, que si la </w:t>
      </w:r>
      <w:r>
        <w:rPr>
          <w:lang w:val="es-MX"/>
        </w:rPr>
        <w:lastRenderedPageBreak/>
        <w:t>querella A.M.I.A., D.A.I.A. y “Grupo de Familiares” cons</w:t>
      </w:r>
      <w:r>
        <w:rPr>
          <w:lang w:val="es-MX"/>
        </w:rPr>
        <w:t>i</w:t>
      </w:r>
      <w:r>
        <w:rPr>
          <w:lang w:val="es-MX"/>
        </w:rPr>
        <w:t>deró probado que Juan José Ribelli solicitó la c</w:t>
      </w:r>
      <w:r>
        <w:rPr>
          <w:lang w:val="es-MX"/>
        </w:rPr>
        <w:t>a</w:t>
      </w:r>
      <w:r>
        <w:rPr>
          <w:lang w:val="es-MX"/>
        </w:rPr>
        <w:t>mioneta a Telleldín, debieron existir, entonces, comunicaciones t</w:t>
      </w:r>
      <w:r>
        <w:rPr>
          <w:lang w:val="es-MX"/>
        </w:rPr>
        <w:t>e</w:t>
      </w:r>
      <w:r>
        <w:rPr>
          <w:lang w:val="es-MX"/>
        </w:rPr>
        <w:t>lefónicas o, al menos, testigos presenciales de esa rel</w:t>
      </w:r>
      <w:r>
        <w:rPr>
          <w:lang w:val="es-MX"/>
        </w:rPr>
        <w:t>a</w:t>
      </w:r>
      <w:r>
        <w:rPr>
          <w:lang w:val="es-MX"/>
        </w:rPr>
        <w:t>ción. Además, si Mo</w:t>
      </w:r>
      <w:r>
        <w:rPr>
          <w:lang w:val="es-MX"/>
        </w:rPr>
        <w:t>s</w:t>
      </w:r>
      <w:r>
        <w:rPr>
          <w:lang w:val="es-MX"/>
        </w:rPr>
        <w:t>hen Rabbani y Carlos Alberto Telleldín planearon el atentado, al menos debieron existir comunic</w:t>
      </w:r>
      <w:r>
        <w:rPr>
          <w:lang w:val="es-MX"/>
        </w:rPr>
        <w:t>a</w:t>
      </w:r>
      <w:r>
        <w:rPr>
          <w:lang w:val="es-MX"/>
        </w:rPr>
        <w:t>ciones telefónicas y personales entre ambos. En ese sent</w:t>
      </w:r>
      <w:r>
        <w:rPr>
          <w:lang w:val="es-MX"/>
        </w:rPr>
        <w:t>i</w:t>
      </w:r>
      <w:r>
        <w:rPr>
          <w:lang w:val="es-MX"/>
        </w:rPr>
        <w:t>do, se preguntó la defensa ¿cómo es que Rabbani y Ribelli se conocieron?, ¿en qué lugares se encontraban?, ¿en qué fecha le pidió la c</w:t>
      </w:r>
      <w:r>
        <w:rPr>
          <w:lang w:val="es-MX"/>
        </w:rPr>
        <w:t>a</w:t>
      </w:r>
      <w:r>
        <w:rPr>
          <w:lang w:val="es-MX"/>
        </w:rPr>
        <w:t>mioneta?, ¿cómo es que le dijo que era para un atentado? y ¿cómo es que se lo dijo Ribelli a T</w:t>
      </w:r>
      <w:r>
        <w:rPr>
          <w:lang w:val="es-MX"/>
        </w:rPr>
        <w:t>e</w:t>
      </w:r>
      <w:r>
        <w:rPr>
          <w:lang w:val="es-MX"/>
        </w:rPr>
        <w:t>lleldín?</w:t>
      </w:r>
    </w:p>
    <w:p w:rsidR="00224567" w:rsidRDefault="00224567">
      <w:pPr>
        <w:widowControl w:val="0"/>
        <w:rPr>
          <w:lang w:val="es-MX"/>
        </w:rPr>
      </w:pPr>
      <w:r>
        <w:rPr>
          <w:lang w:val="es-MX"/>
        </w:rPr>
        <w:tab/>
        <w:t>Dijo que ninguno de esos interroga</w:t>
      </w:r>
      <w:r>
        <w:rPr>
          <w:lang w:val="es-MX"/>
        </w:rPr>
        <w:t>n</w:t>
      </w:r>
      <w:r>
        <w:rPr>
          <w:lang w:val="es-MX"/>
        </w:rPr>
        <w:t>tes fueron explicados en el alegato acusatorio. Aún más, e</w:t>
      </w:r>
      <w:r>
        <w:rPr>
          <w:lang w:val="es-MX"/>
        </w:rPr>
        <w:t>x</w:t>
      </w:r>
      <w:r>
        <w:rPr>
          <w:lang w:val="es-MX"/>
        </w:rPr>
        <w:t>presó que si Moshen Rabbani era objeto de inve</w:t>
      </w:r>
      <w:r>
        <w:rPr>
          <w:lang w:val="es-MX"/>
        </w:rPr>
        <w:t>s</w:t>
      </w:r>
      <w:r>
        <w:rPr>
          <w:lang w:val="es-MX"/>
        </w:rPr>
        <w:t xml:space="preserve">tigaciones por parte de </w:t>
      </w:r>
      <w:smartTag w:uri="urn:schemas-microsoft-com:office:smarttags" w:element="PersonName">
        <w:smartTagPr>
          <w:attr w:name="ProductID" w:val="la S.I"/>
        </w:smartTagPr>
        <w:r>
          <w:rPr>
            <w:lang w:val="es-MX"/>
          </w:rPr>
          <w:t>la S.I</w:t>
        </w:r>
      </w:smartTag>
      <w:r>
        <w:rPr>
          <w:lang w:val="es-MX"/>
        </w:rPr>
        <w:t>.D.E. desde el año 1992, ¿cómo es que ningún agente de inteligencia lo vio r</w:t>
      </w:r>
      <w:r>
        <w:rPr>
          <w:lang w:val="es-MX"/>
        </w:rPr>
        <w:t>e</w:t>
      </w:r>
      <w:r>
        <w:rPr>
          <w:lang w:val="es-MX"/>
        </w:rPr>
        <w:t>unido con Ribelli o con Telleldín?.</w:t>
      </w:r>
    </w:p>
    <w:p w:rsidR="00224567" w:rsidRDefault="00224567">
      <w:pPr>
        <w:widowControl w:val="0"/>
        <w:rPr>
          <w:lang w:val="es-MX"/>
        </w:rPr>
      </w:pPr>
      <w:r>
        <w:rPr>
          <w:lang w:val="es-MX"/>
        </w:rPr>
        <w:tab/>
        <w:t>Dijo que las vinculaciones mencion</w:t>
      </w:r>
      <w:r>
        <w:rPr>
          <w:lang w:val="es-MX"/>
        </w:rPr>
        <w:t>a</w:t>
      </w:r>
      <w:r>
        <w:rPr>
          <w:lang w:val="es-MX"/>
        </w:rPr>
        <w:t xml:space="preserve">das en la acusación de la querella unificada no son ciertas y </w:t>
      </w:r>
      <w:r>
        <w:rPr>
          <w:lang w:val="es-MX"/>
        </w:rPr>
        <w:lastRenderedPageBreak/>
        <w:t>“son pura imaginación que de ninguna fo</w:t>
      </w:r>
      <w:r>
        <w:rPr>
          <w:lang w:val="es-MX"/>
        </w:rPr>
        <w:t>r</w:t>
      </w:r>
      <w:r>
        <w:rPr>
          <w:lang w:val="es-MX"/>
        </w:rPr>
        <w:t>ma pueden generar responsabilidades penales”. Resaltó que en el alegato de la mencionada acusación dijeron “que en estos hechos no es posible tener una fotografía como prueba, como señalando la imposibilidad de la prueba directa”; no obstante, exh</w:t>
      </w:r>
      <w:r>
        <w:rPr>
          <w:lang w:val="es-MX"/>
        </w:rPr>
        <w:t>i</w:t>
      </w:r>
      <w:r>
        <w:rPr>
          <w:lang w:val="es-MX"/>
        </w:rPr>
        <w:t>bió la fotografía de Moshen Rabbani en algunas agencias de venta de vehículos consultando por camionetas. Así, arg</w:t>
      </w:r>
      <w:r>
        <w:rPr>
          <w:lang w:val="es-MX"/>
        </w:rPr>
        <w:t>u</w:t>
      </w:r>
      <w:r>
        <w:rPr>
          <w:lang w:val="es-MX"/>
        </w:rPr>
        <w:t>mentó, “como se tenía esta foto de la misma manera se p</w:t>
      </w:r>
      <w:r>
        <w:rPr>
          <w:lang w:val="es-MX"/>
        </w:rPr>
        <w:t>o</w:t>
      </w:r>
      <w:r>
        <w:rPr>
          <w:lang w:val="es-MX"/>
        </w:rPr>
        <w:t>día tener la de Rabbani con Ribelli y la de Ribelli con Telleldín”.</w:t>
      </w:r>
    </w:p>
    <w:p w:rsidR="00224567" w:rsidRDefault="00224567">
      <w:pPr>
        <w:widowControl w:val="0"/>
        <w:rPr>
          <w:lang w:val="es-MX"/>
        </w:rPr>
      </w:pPr>
      <w:r>
        <w:rPr>
          <w:lang w:val="es-MX"/>
        </w:rPr>
        <w:tab/>
        <w:t>Explicó que la única explicación de que la querella D.A.I.A., A.M.I.A. y “Grupo de Famili</w:t>
      </w:r>
      <w:r>
        <w:rPr>
          <w:lang w:val="es-MX"/>
        </w:rPr>
        <w:t>a</w:t>
      </w:r>
      <w:r>
        <w:rPr>
          <w:lang w:val="es-MX"/>
        </w:rPr>
        <w:t>res” insistan en tales vinculaciones estuvo dada en que afirm</w:t>
      </w:r>
      <w:r>
        <w:rPr>
          <w:lang w:val="es-MX"/>
        </w:rPr>
        <w:t>a</w:t>
      </w:r>
      <w:r>
        <w:rPr>
          <w:lang w:val="es-MX"/>
        </w:rPr>
        <w:t>ron que Rabbani era el autor ideológico del ate</w:t>
      </w:r>
      <w:r>
        <w:rPr>
          <w:lang w:val="es-MX"/>
        </w:rPr>
        <w:t>n</w:t>
      </w:r>
      <w:r>
        <w:rPr>
          <w:lang w:val="es-MX"/>
        </w:rPr>
        <w:t>tado y no podían dejar insoluble el problema de la r</w:t>
      </w:r>
      <w:r>
        <w:rPr>
          <w:lang w:val="es-MX"/>
        </w:rPr>
        <w:t>e</w:t>
      </w:r>
      <w:r>
        <w:rPr>
          <w:lang w:val="es-MX"/>
        </w:rPr>
        <w:t>lación de éste con la conexión local. La hipótesis, dijo, es como “inse</w:t>
      </w:r>
      <w:r>
        <w:rPr>
          <w:lang w:val="es-MX"/>
        </w:rPr>
        <w:t>r</w:t>
      </w:r>
      <w:r>
        <w:rPr>
          <w:lang w:val="es-MX"/>
        </w:rPr>
        <w:t>tar un cubo en un cuadrado” y “escapa a todas las leyes de la lógica”.</w:t>
      </w:r>
    </w:p>
    <w:p w:rsidR="00224567" w:rsidRDefault="00224567">
      <w:pPr>
        <w:widowControl w:val="0"/>
        <w:ind w:firstLine="2835"/>
        <w:rPr>
          <w:lang w:val="es-MX"/>
        </w:rPr>
      </w:pPr>
      <w:r>
        <w:rPr>
          <w:lang w:val="es-MX"/>
        </w:rPr>
        <w:t>Expresó que no se probó ni “una sola mentira de Telleldín”; por el contrario, todo aquello que declaró fue acreditado en el deb</w:t>
      </w:r>
      <w:r>
        <w:rPr>
          <w:lang w:val="es-MX"/>
        </w:rPr>
        <w:t>a</w:t>
      </w:r>
      <w:r>
        <w:rPr>
          <w:lang w:val="es-MX"/>
        </w:rPr>
        <w:t xml:space="preserve">te. En definitiva, dijo, </w:t>
      </w:r>
      <w:r>
        <w:rPr>
          <w:lang w:val="es-MX"/>
        </w:rPr>
        <w:lastRenderedPageBreak/>
        <w:t>el derecho de defensa en juicio de Telleldín de d</w:t>
      </w:r>
      <w:r>
        <w:rPr>
          <w:lang w:val="es-MX"/>
        </w:rPr>
        <w:t>e</w:t>
      </w:r>
      <w:r>
        <w:rPr>
          <w:lang w:val="es-MX"/>
        </w:rPr>
        <w:t>clarar y explicar cómo ocurrieron los hechos fue utilizado en su contra, b</w:t>
      </w:r>
      <w:r>
        <w:rPr>
          <w:lang w:val="es-MX"/>
        </w:rPr>
        <w:t>a</w:t>
      </w:r>
      <w:r>
        <w:rPr>
          <w:lang w:val="es-MX"/>
        </w:rPr>
        <w:t>jo el pretexto formulado por la acusación en el sentido de que “si lo probamos es porque preconstituyó prueba, si no lo probamos, es ment</w:t>
      </w:r>
      <w:r>
        <w:rPr>
          <w:lang w:val="es-MX"/>
        </w:rPr>
        <w:t>i</w:t>
      </w:r>
      <w:r>
        <w:rPr>
          <w:lang w:val="es-MX"/>
        </w:rPr>
        <w:t>ra”.</w:t>
      </w:r>
    </w:p>
    <w:p w:rsidR="00224567" w:rsidRDefault="00224567">
      <w:pPr>
        <w:widowControl w:val="0"/>
        <w:rPr>
          <w:lang w:val="es-MX"/>
        </w:rPr>
      </w:pPr>
      <w:r>
        <w:rPr>
          <w:lang w:val="es-MX"/>
        </w:rPr>
        <w:tab/>
        <w:t>En virtud de las razones esgrim</w:t>
      </w:r>
      <w:r>
        <w:rPr>
          <w:lang w:val="es-MX"/>
        </w:rPr>
        <w:t>i</w:t>
      </w:r>
      <w:r>
        <w:rPr>
          <w:lang w:val="es-MX"/>
        </w:rPr>
        <w:t>das en la oportunidad de alegar, la defensa de Carlos Alberto T</w:t>
      </w:r>
      <w:r>
        <w:rPr>
          <w:lang w:val="es-MX"/>
        </w:rPr>
        <w:t>e</w:t>
      </w:r>
      <w:r>
        <w:rPr>
          <w:lang w:val="es-MX"/>
        </w:rPr>
        <w:t>lleldín objetó los indicios señalados por las acusaciones para acreditar la responsabilidad penal de éste en el h</w:t>
      </w:r>
      <w:r>
        <w:rPr>
          <w:lang w:val="es-MX"/>
        </w:rPr>
        <w:t>e</w:t>
      </w:r>
      <w:r>
        <w:rPr>
          <w:lang w:val="es-MX"/>
        </w:rPr>
        <w:t>cho imputado; a saber: el supuesto armado de dos camion</w:t>
      </w:r>
      <w:r>
        <w:rPr>
          <w:lang w:val="es-MX"/>
        </w:rPr>
        <w:t>e</w:t>
      </w:r>
      <w:r>
        <w:rPr>
          <w:lang w:val="es-MX"/>
        </w:rPr>
        <w:t xml:space="preserve">tas, el refuerzo de los elásticos para soportar el peso de la carga explosiva, la falsedad referida por su asistido en punto a que vendió la camioneta y que concurrió a la calle San José 972 para entregar la documentación del vehículo a su comprador, la supuesta fuga que emprendió su pupilo, el nerviosismo que denotó antes y después del atentado, la expresión </w:t>
      </w:r>
      <w:r>
        <w:t>“estos hijos de puta me c</w:t>
      </w:r>
      <w:r>
        <w:t>a</w:t>
      </w:r>
      <w:r>
        <w:t xml:space="preserve">garon la vida” </w:t>
      </w:r>
      <w:r>
        <w:rPr>
          <w:lang w:val="es-MX"/>
        </w:rPr>
        <w:t>adjudicada a Telleldín, su cambio de residencia con posterioridad al hecho investigado y el desvío de la i</w:t>
      </w:r>
      <w:r>
        <w:rPr>
          <w:lang w:val="es-MX"/>
        </w:rPr>
        <w:t>n</w:t>
      </w:r>
      <w:r>
        <w:rPr>
          <w:lang w:val="es-MX"/>
        </w:rPr>
        <w:t>vestigación mediante la co</w:t>
      </w:r>
      <w:r>
        <w:rPr>
          <w:lang w:val="es-MX"/>
        </w:rPr>
        <w:t>m</w:t>
      </w:r>
      <w:r>
        <w:rPr>
          <w:lang w:val="es-MX"/>
        </w:rPr>
        <w:t xml:space="preserve">pra de la camioneta a Alejandro </w:t>
      </w:r>
      <w:r>
        <w:rPr>
          <w:lang w:val="es-MX"/>
        </w:rPr>
        <w:lastRenderedPageBreak/>
        <w:t>Monjo con la falsa identidad de “Teccedín”.</w:t>
      </w:r>
    </w:p>
    <w:p w:rsidR="00224567" w:rsidRDefault="00224567">
      <w:pPr>
        <w:widowControl w:val="0"/>
        <w:ind w:firstLine="2835"/>
        <w:rPr>
          <w:bCs/>
          <w:iCs/>
          <w:lang w:val="es-MX"/>
        </w:rPr>
      </w:pPr>
      <w:r>
        <w:rPr>
          <w:lang w:val="es-MX"/>
        </w:rPr>
        <w:t>Consideró que la acusación no logró destruir el estado de inocencia de su asistido, citando en apoyo de ello, las palabras del Dr. Co</w:t>
      </w:r>
      <w:r>
        <w:rPr>
          <w:lang w:val="es-MX"/>
        </w:rPr>
        <w:t>r</w:t>
      </w:r>
      <w:r>
        <w:rPr>
          <w:lang w:val="es-MX"/>
        </w:rPr>
        <w:t>telezzi, juez de la cámara del fuero, plasmadas en su disidencia en la resol</w:t>
      </w:r>
      <w:r>
        <w:rPr>
          <w:lang w:val="es-MX"/>
        </w:rPr>
        <w:t>u</w:t>
      </w:r>
      <w:r>
        <w:rPr>
          <w:lang w:val="es-MX"/>
        </w:rPr>
        <w:t xml:space="preserve">ción del 28 de diciembre de 1994, en cuanto expresó que </w:t>
      </w:r>
      <w:r>
        <w:rPr>
          <w:bCs/>
          <w:iCs/>
          <w:lang w:val="es-MX"/>
        </w:rPr>
        <w:t>“a la carencia de prueba que pudiera mín</w:t>
      </w:r>
      <w:r>
        <w:rPr>
          <w:bCs/>
          <w:iCs/>
          <w:lang w:val="es-MX"/>
        </w:rPr>
        <w:t>i</w:t>
      </w:r>
      <w:r>
        <w:rPr>
          <w:bCs/>
          <w:iCs/>
          <w:lang w:val="es-MX"/>
        </w:rPr>
        <w:t>mamente acreditar la participación de Telleldín en el atentado, se suma la r</w:t>
      </w:r>
      <w:r>
        <w:rPr>
          <w:bCs/>
          <w:iCs/>
          <w:lang w:val="es-MX"/>
        </w:rPr>
        <w:t>e</w:t>
      </w:r>
      <w:r>
        <w:rPr>
          <w:bCs/>
          <w:iCs/>
          <w:lang w:val="es-MX"/>
        </w:rPr>
        <w:t>ferencia a tres circunstancias que en rigor lo distanci</w:t>
      </w:r>
      <w:r>
        <w:rPr>
          <w:bCs/>
          <w:iCs/>
          <w:lang w:val="es-MX"/>
        </w:rPr>
        <w:t>a</w:t>
      </w:r>
      <w:r>
        <w:rPr>
          <w:bCs/>
          <w:iCs/>
          <w:lang w:val="es-MX"/>
        </w:rPr>
        <w:t>rían, en principio al menos, de la sospecha de su colab</w:t>
      </w:r>
      <w:r>
        <w:rPr>
          <w:bCs/>
          <w:iCs/>
          <w:lang w:val="es-MX"/>
        </w:rPr>
        <w:t>o</w:t>
      </w:r>
      <w:r>
        <w:rPr>
          <w:bCs/>
          <w:iCs/>
          <w:lang w:val="es-MX"/>
        </w:rPr>
        <w:t>ración, a saber: 1) es inexplicable que quien participa de un atentado de esta naturaleza mediante la provisión del vehículo adecuado para ser utilizado como coche-bomba, h</w:t>
      </w:r>
      <w:r>
        <w:rPr>
          <w:bCs/>
          <w:iCs/>
          <w:lang w:val="es-MX"/>
        </w:rPr>
        <w:t>a</w:t>
      </w:r>
      <w:r>
        <w:rPr>
          <w:bCs/>
          <w:iCs/>
          <w:lang w:val="es-MX"/>
        </w:rPr>
        <w:t>ya puesto a la venta ese mismo automotor, anunciándolo c</w:t>
      </w:r>
      <w:r>
        <w:rPr>
          <w:bCs/>
          <w:iCs/>
          <w:lang w:val="es-MX"/>
        </w:rPr>
        <w:t>o</w:t>
      </w:r>
      <w:r>
        <w:rPr>
          <w:bCs/>
          <w:iCs/>
          <w:lang w:val="es-MX"/>
        </w:rPr>
        <w:t>mo habitualmente se hace y requiriendo por él el valor real según la plaza, ofreciendo con esto una pista más p</w:t>
      </w:r>
      <w:r>
        <w:rPr>
          <w:bCs/>
          <w:iCs/>
          <w:lang w:val="es-MX"/>
        </w:rPr>
        <w:t>a</w:t>
      </w:r>
      <w:r>
        <w:rPr>
          <w:bCs/>
          <w:iCs/>
          <w:lang w:val="es-MX"/>
        </w:rPr>
        <w:t>ra ser habido; 2) es inexplicable, también, que quien co</w:t>
      </w:r>
      <w:r>
        <w:rPr>
          <w:bCs/>
          <w:iCs/>
          <w:lang w:val="es-MX"/>
        </w:rPr>
        <w:t>m</w:t>
      </w:r>
      <w:r>
        <w:rPr>
          <w:bCs/>
          <w:iCs/>
          <w:lang w:val="es-MX"/>
        </w:rPr>
        <w:t>prometa su actuación en un episodio de esta magnitud, no haya procurado siquiera eliminar toda posibilidad de ide</w:t>
      </w:r>
      <w:r>
        <w:rPr>
          <w:bCs/>
          <w:iCs/>
          <w:lang w:val="es-MX"/>
        </w:rPr>
        <w:t>n</w:t>
      </w:r>
      <w:r>
        <w:rPr>
          <w:bCs/>
          <w:iCs/>
          <w:lang w:val="es-MX"/>
        </w:rPr>
        <w:t>tificación del vehículo, suprimiendo, por ejemplo, el n</w:t>
      </w:r>
      <w:r>
        <w:rPr>
          <w:bCs/>
          <w:iCs/>
          <w:lang w:val="es-MX"/>
        </w:rPr>
        <w:t>ú</w:t>
      </w:r>
      <w:r>
        <w:rPr>
          <w:bCs/>
          <w:iCs/>
          <w:lang w:val="es-MX"/>
        </w:rPr>
        <w:t xml:space="preserve">mero de motor; adviértase, según ya se dijo, que hasta el </w:t>
      </w:r>
      <w:r>
        <w:rPr>
          <w:bCs/>
          <w:iCs/>
          <w:lang w:val="es-MX"/>
        </w:rPr>
        <w:lastRenderedPageBreak/>
        <w:t>momento, el logro de mayor trascendencia de la investig</w:t>
      </w:r>
      <w:r>
        <w:rPr>
          <w:bCs/>
          <w:iCs/>
          <w:lang w:val="es-MX"/>
        </w:rPr>
        <w:t>a</w:t>
      </w:r>
      <w:r>
        <w:rPr>
          <w:bCs/>
          <w:iCs/>
          <w:lang w:val="es-MX"/>
        </w:rPr>
        <w:t>ción ha sido la determinación del automotor utilizado, a la que se llega, precisamente, por este número; 3) es ta</w:t>
      </w:r>
      <w:r>
        <w:rPr>
          <w:bCs/>
          <w:iCs/>
          <w:lang w:val="es-MX"/>
        </w:rPr>
        <w:t>m</w:t>
      </w:r>
      <w:r>
        <w:rPr>
          <w:bCs/>
          <w:iCs/>
          <w:lang w:val="es-MX"/>
        </w:rPr>
        <w:t>bién poco razonable pensar que un partícipe, enterado de la sospecha que sobre él recaía, haya retornado desde M</w:t>
      </w:r>
      <w:r>
        <w:rPr>
          <w:bCs/>
          <w:iCs/>
          <w:lang w:val="es-MX"/>
        </w:rPr>
        <w:t>i</w:t>
      </w:r>
      <w:r>
        <w:rPr>
          <w:bCs/>
          <w:iCs/>
          <w:lang w:val="es-MX"/>
        </w:rPr>
        <w:t xml:space="preserve">siones a </w:t>
      </w:r>
      <w:smartTag w:uri="urn:schemas-microsoft-com:office:smarttags" w:element="PersonName">
        <w:smartTagPr>
          <w:attr w:name="ProductID" w:val="la Capital Federal"/>
        </w:smartTagPr>
        <w:r>
          <w:rPr>
            <w:bCs/>
            <w:iCs/>
            <w:lang w:val="es-MX"/>
          </w:rPr>
          <w:t>la Capital Federal</w:t>
        </w:r>
      </w:smartTag>
      <w:r>
        <w:rPr>
          <w:bCs/>
          <w:iCs/>
          <w:lang w:val="es-MX"/>
        </w:rPr>
        <w:t xml:space="preserve"> por su propia y libre dec</w:t>
      </w:r>
      <w:r>
        <w:rPr>
          <w:bCs/>
          <w:iCs/>
          <w:lang w:val="es-MX"/>
        </w:rPr>
        <w:t>i</w:t>
      </w:r>
      <w:r>
        <w:rPr>
          <w:bCs/>
          <w:iCs/>
          <w:lang w:val="es-MX"/>
        </w:rPr>
        <w:t>sión”.</w:t>
      </w:r>
    </w:p>
    <w:p w:rsidR="00224567" w:rsidRDefault="00224567">
      <w:pPr>
        <w:pStyle w:val="Textoindependiente"/>
        <w:spacing w:line="600" w:lineRule="auto"/>
        <w:rPr>
          <w:lang w:val="es-MX"/>
        </w:rPr>
      </w:pPr>
      <w:r>
        <w:rPr>
          <w:bCs/>
          <w:iCs/>
        </w:rPr>
        <w:tab/>
        <w:t>También sostuvo dicho magistrado que “el imputado Telleldín, actuó precisamente de este modo, no se ocupó de procurar borrar toda huella que condujera a la identificación del vehículo, sino que suma a esta actitud su retorno, conciente del riesgo de detención que ello i</w:t>
      </w:r>
      <w:r>
        <w:rPr>
          <w:bCs/>
          <w:iCs/>
        </w:rPr>
        <w:t>m</w:t>
      </w:r>
      <w:r>
        <w:rPr>
          <w:bCs/>
          <w:iCs/>
        </w:rPr>
        <w:t xml:space="preserve">portaba...”, para finalizar que </w:t>
      </w:r>
      <w:r>
        <w:rPr>
          <w:lang w:val="es-MX"/>
        </w:rPr>
        <w:t>“no es tolerable sostener un auto de procesamiento, mucho m</w:t>
      </w:r>
      <w:r>
        <w:rPr>
          <w:lang w:val="es-MX"/>
        </w:rPr>
        <w:t>e</w:t>
      </w:r>
      <w:r>
        <w:rPr>
          <w:lang w:val="es-MX"/>
        </w:rPr>
        <w:t>nos de detención cautelar de un imputado, media</w:t>
      </w:r>
      <w:r>
        <w:rPr>
          <w:lang w:val="es-MX"/>
        </w:rPr>
        <w:t>n</w:t>
      </w:r>
      <w:r>
        <w:rPr>
          <w:lang w:val="es-MX"/>
        </w:rPr>
        <w:t>do sólo una íntima sospecha, carente de toda prueba valedera de la participación de Telleldín en el atentado, por cuanto ello importaría una verdadera apuesta a la culpabilidad. Al respecto, y si de expectat</w:t>
      </w:r>
      <w:r>
        <w:rPr>
          <w:lang w:val="es-MX"/>
        </w:rPr>
        <w:t>i</w:t>
      </w:r>
      <w:r>
        <w:rPr>
          <w:lang w:val="es-MX"/>
        </w:rPr>
        <w:t>vas se trata, bueno es tener en cuenta que, desde el auto de procesamiento al presente, han transcurrido más de 4 m</w:t>
      </w:r>
      <w:r>
        <w:rPr>
          <w:lang w:val="es-MX"/>
        </w:rPr>
        <w:t>e</w:t>
      </w:r>
      <w:r>
        <w:rPr>
          <w:lang w:val="es-MX"/>
        </w:rPr>
        <w:lastRenderedPageBreak/>
        <w:t>ses, y se han agregado más de 4000 folios, sin que la s</w:t>
      </w:r>
      <w:r>
        <w:rPr>
          <w:lang w:val="es-MX"/>
        </w:rPr>
        <w:t>i</w:t>
      </w:r>
      <w:r>
        <w:rPr>
          <w:lang w:val="es-MX"/>
        </w:rPr>
        <w:t>tuación de los imputados se haya visto alterada”.</w:t>
      </w:r>
    </w:p>
    <w:p w:rsidR="00224567" w:rsidRDefault="00224567">
      <w:pPr>
        <w:widowControl w:val="0"/>
        <w:tabs>
          <w:tab w:val="left" w:pos="0"/>
        </w:tabs>
        <w:rPr>
          <w:lang w:val="es-MX"/>
        </w:rPr>
      </w:pPr>
      <w:r>
        <w:rPr>
          <w:lang w:val="es-MX"/>
        </w:rPr>
        <w:tab/>
        <w:t>En conclusión, señaló que “no existen indicios, ni aislados, ni en conjunto, ni de cargo, ni concordantes, ni unívocos, ni precisos contra Carlos T</w:t>
      </w:r>
      <w:r>
        <w:rPr>
          <w:lang w:val="es-MX"/>
        </w:rPr>
        <w:t>e</w:t>
      </w:r>
      <w:r>
        <w:rPr>
          <w:lang w:val="es-MX"/>
        </w:rPr>
        <w:t>lleldín como partícipe de este atent</w:t>
      </w:r>
      <w:r>
        <w:rPr>
          <w:lang w:val="es-MX"/>
        </w:rPr>
        <w:t>a</w:t>
      </w:r>
      <w:r>
        <w:rPr>
          <w:lang w:val="es-MX"/>
        </w:rPr>
        <w:t>do terrorista”, razón por la cual solicitó su libre absolución de culpa y cargo.</w:t>
      </w:r>
    </w:p>
    <w:p w:rsidR="00224567" w:rsidRDefault="00224567">
      <w:pPr>
        <w:widowControl w:val="0"/>
        <w:rPr>
          <w:lang w:val="es-ES_tradnl"/>
        </w:rPr>
      </w:pPr>
      <w:r>
        <w:rPr>
          <w:lang w:val="es-ES_tradnl"/>
        </w:rPr>
        <w:tab/>
        <w:t>Respecto de la imputación efectuada como partícipe necesario de la falsificación de un Doc</w:t>
      </w:r>
      <w:r>
        <w:rPr>
          <w:lang w:val="es-ES_tradnl"/>
        </w:rPr>
        <w:t>u</w:t>
      </w:r>
      <w:r>
        <w:rPr>
          <w:lang w:val="es-ES_tradnl"/>
        </w:rPr>
        <w:t>mento Nacional de Identidad, la defensa solicitó la libre absolución de su asistido.</w:t>
      </w:r>
    </w:p>
    <w:p w:rsidR="00224567" w:rsidRDefault="00224567">
      <w:pPr>
        <w:widowControl w:val="0"/>
        <w:ind w:firstLine="2835"/>
        <w:rPr>
          <w:lang w:val="es-ES_tradnl"/>
        </w:rPr>
      </w:pPr>
      <w:r>
        <w:rPr>
          <w:lang w:val="es-ES_tradnl"/>
        </w:rPr>
        <w:t>Fundó su pretensión sobre la base de los cuatro peritajes producidos en la causa y de las d</w:t>
      </w:r>
      <w:r>
        <w:rPr>
          <w:lang w:val="es-ES_tradnl"/>
        </w:rPr>
        <w:t>e</w:t>
      </w:r>
      <w:r>
        <w:rPr>
          <w:lang w:val="es-ES_tradnl"/>
        </w:rPr>
        <w:t>claraciones de los empleados del Registro N</w:t>
      </w:r>
      <w:r>
        <w:rPr>
          <w:lang w:val="es-ES_tradnl"/>
        </w:rPr>
        <w:t>a</w:t>
      </w:r>
      <w:r>
        <w:rPr>
          <w:lang w:val="es-ES_tradnl"/>
        </w:rPr>
        <w:t>cional de las Personas que demostraron que el documento fue em</w:t>
      </w:r>
      <w:r>
        <w:rPr>
          <w:lang w:val="es-ES_tradnl"/>
        </w:rPr>
        <w:t>i</w:t>
      </w:r>
      <w:r>
        <w:rPr>
          <w:lang w:val="es-ES_tradnl"/>
        </w:rPr>
        <w:t>tido por ese organismo en forma err</w:t>
      </w:r>
      <w:r>
        <w:rPr>
          <w:lang w:val="es-ES_tradnl"/>
        </w:rPr>
        <w:t>ó</w:t>
      </w:r>
      <w:r>
        <w:rPr>
          <w:lang w:val="es-ES_tradnl"/>
        </w:rPr>
        <w:t>nea. Precisó que, aún cuando no existieran las barras superiores que conforman la letra “C”, el apellido estaba mal escrito porque se leería “T</w:t>
      </w:r>
      <w:r>
        <w:rPr>
          <w:lang w:val="es-ES_tradnl"/>
        </w:rPr>
        <w:t>e</w:t>
      </w:r>
      <w:r>
        <w:rPr>
          <w:lang w:val="es-ES_tradnl"/>
        </w:rPr>
        <w:t>lledin”.</w:t>
      </w:r>
    </w:p>
    <w:p w:rsidR="00224567" w:rsidRDefault="00224567">
      <w:pPr>
        <w:widowControl w:val="0"/>
        <w:rPr>
          <w:lang w:val="es-ES_tradnl"/>
        </w:rPr>
      </w:pPr>
      <w:r>
        <w:rPr>
          <w:lang w:val="es-ES_tradnl"/>
        </w:rPr>
        <w:tab/>
        <w:t>La defensa negó la supuesta sustit</w:t>
      </w:r>
      <w:r>
        <w:rPr>
          <w:lang w:val="es-ES_tradnl"/>
        </w:rPr>
        <w:t>u</w:t>
      </w:r>
      <w:r>
        <w:rPr>
          <w:lang w:val="es-ES_tradnl"/>
        </w:rPr>
        <w:t>ción de fotografía achacada a su asistido, e</w:t>
      </w:r>
      <w:r>
        <w:rPr>
          <w:lang w:val="es-ES_tradnl"/>
        </w:rPr>
        <w:t>x</w:t>
      </w:r>
      <w:r>
        <w:rPr>
          <w:lang w:val="es-ES_tradnl"/>
        </w:rPr>
        <w:t xml:space="preserve">plicando que </w:t>
      </w:r>
      <w:r>
        <w:rPr>
          <w:lang w:val="es-ES_tradnl"/>
        </w:rPr>
        <w:lastRenderedPageBreak/>
        <w:t>por el transcurso del tiempo se borraron de su p</w:t>
      </w:r>
      <w:r>
        <w:rPr>
          <w:lang w:val="es-ES_tradnl"/>
        </w:rPr>
        <w:t>e</w:t>
      </w:r>
      <w:r>
        <w:rPr>
          <w:lang w:val="es-ES_tradnl"/>
        </w:rPr>
        <w:t>lícula la huella y la firma del funcionario del registro. Aún así, los defensores argumentaron que no se advierte ninguna conducta ilícita por parte de su asistido en tanto la f</w:t>
      </w:r>
      <w:r>
        <w:rPr>
          <w:lang w:val="es-ES_tradnl"/>
        </w:rPr>
        <w:t>o</w:t>
      </w:r>
      <w:r>
        <w:rPr>
          <w:lang w:val="es-ES_tradnl"/>
        </w:rPr>
        <w:t>tografía inserta en el documento retrataba al verdadero titular del doc</w:t>
      </w:r>
      <w:r>
        <w:rPr>
          <w:lang w:val="es-ES_tradnl"/>
        </w:rPr>
        <w:t>u</w:t>
      </w:r>
      <w:r>
        <w:rPr>
          <w:lang w:val="es-ES_tradnl"/>
        </w:rPr>
        <w:t>mento.</w:t>
      </w:r>
    </w:p>
    <w:p w:rsidR="00224567" w:rsidRDefault="00224567">
      <w:pPr>
        <w:widowControl w:val="0"/>
        <w:rPr>
          <w:lang w:val="es-ES_tradnl"/>
        </w:rPr>
      </w:pPr>
      <w:r>
        <w:rPr>
          <w:lang w:val="es-ES_tradnl"/>
        </w:rPr>
        <w:tab/>
        <w:t>Por otra parte, alegó que el n</w:t>
      </w:r>
      <w:r>
        <w:rPr>
          <w:lang w:val="es-ES_tradnl"/>
        </w:rPr>
        <w:t>ú</w:t>
      </w:r>
      <w:r>
        <w:rPr>
          <w:lang w:val="es-ES_tradnl"/>
        </w:rPr>
        <w:t>mero de documento inserto en la cartilla pertenece a Carlos Albe</w:t>
      </w:r>
      <w:r>
        <w:rPr>
          <w:lang w:val="es-ES_tradnl"/>
        </w:rPr>
        <w:t>r</w:t>
      </w:r>
      <w:r>
        <w:rPr>
          <w:lang w:val="es-ES_tradnl"/>
        </w:rPr>
        <w:t>to Telleldín, demostrando que el documento cumplía las f</w:t>
      </w:r>
      <w:r>
        <w:rPr>
          <w:lang w:val="es-ES_tradnl"/>
        </w:rPr>
        <w:t>i</w:t>
      </w:r>
      <w:r>
        <w:rPr>
          <w:lang w:val="es-ES_tradnl"/>
        </w:rPr>
        <w:t>nalidades para las que fue creado por cuanto permitía la identificación de su po</w:t>
      </w:r>
      <w:r>
        <w:rPr>
          <w:lang w:val="es-ES_tradnl"/>
        </w:rPr>
        <w:t>r</w:t>
      </w:r>
      <w:r>
        <w:rPr>
          <w:lang w:val="es-ES_tradnl"/>
        </w:rPr>
        <w:t xml:space="preserve">tador. </w:t>
      </w:r>
    </w:p>
    <w:p w:rsidR="00224567" w:rsidRDefault="00224567">
      <w:pPr>
        <w:pStyle w:val="Textoindependiente"/>
        <w:spacing w:line="600" w:lineRule="auto"/>
      </w:pPr>
      <w:r>
        <w:tab/>
        <w:t>Por último, la asistencia técnica de Telle</w:t>
      </w:r>
      <w:r>
        <w:t>l</w:t>
      </w:r>
      <w:r>
        <w:t>dín planteó la extinción de la acción penal por prescri</w:t>
      </w:r>
      <w:r>
        <w:t>p</w:t>
      </w:r>
      <w:r>
        <w:t>ción respecto del delito de encubrimiento de la camioneta sustraída a Pedro Sarapura, sosteniendo que tras el proc</w:t>
      </w:r>
      <w:r>
        <w:t>e</w:t>
      </w:r>
      <w:r>
        <w:t>samiento de su asistido no existió ningún acto int</w:t>
      </w:r>
      <w:r>
        <w:t>e</w:t>
      </w:r>
      <w:r>
        <w:t>rruptivo hasta febrero de 2000, oportunidad en que la causa fue el</w:t>
      </w:r>
      <w:r>
        <w:t>e</w:t>
      </w:r>
      <w:r>
        <w:t>vada a juicio, superando ampliamente el plazo previsto en el art. 62, inc. 2º, del Código Penal. En consecuencia, s</w:t>
      </w:r>
      <w:r>
        <w:t>o</w:t>
      </w:r>
      <w:r>
        <w:t>licitó la libre absolución de Carlos Alberto T</w:t>
      </w:r>
      <w:r>
        <w:t>e</w:t>
      </w:r>
      <w:r>
        <w:t>lleldín.</w:t>
      </w:r>
    </w:p>
    <w:p w:rsidR="00224567" w:rsidRDefault="00224567">
      <w:pPr>
        <w:widowControl w:val="0"/>
        <w:rPr>
          <w:lang w:val="es-ES_tradnl"/>
        </w:rPr>
      </w:pPr>
    </w:p>
    <w:p w:rsidR="00224567" w:rsidRDefault="00224567">
      <w:pPr>
        <w:widowControl w:val="0"/>
        <w:ind w:firstLine="2835"/>
        <w:rPr>
          <w:color w:val="000000"/>
        </w:rPr>
      </w:pPr>
      <w:r>
        <w:rPr>
          <w:b/>
          <w:bCs/>
        </w:rPr>
        <w:tab/>
        <w:t>C.2)</w:t>
      </w:r>
      <w:r>
        <w:rPr>
          <w:color w:val="000000"/>
        </w:rPr>
        <w:t xml:space="preserve"> Al efectuar su alegato, el Dr. José Manuel Ubeira, defensor de confianza de Juan José R</w:t>
      </w:r>
      <w:r>
        <w:rPr>
          <w:color w:val="000000"/>
        </w:rPr>
        <w:t>i</w:t>
      </w:r>
      <w:r>
        <w:rPr>
          <w:color w:val="000000"/>
        </w:rPr>
        <w:t>belli, entendió que era necesario valorar la prueba para terminar de desenmascarar a quienes, encubriéndose tras los muertos inocentes, hicieron carreras políticas y pr</w:t>
      </w:r>
      <w:r>
        <w:rPr>
          <w:color w:val="000000"/>
        </w:rPr>
        <w:t>o</w:t>
      </w:r>
      <w:r>
        <w:rPr>
          <w:color w:val="000000"/>
        </w:rPr>
        <w:t>fesionales, estafaron ética y moralmente a su propia c</w:t>
      </w:r>
      <w:r>
        <w:rPr>
          <w:color w:val="000000"/>
        </w:rPr>
        <w:t>o</w:t>
      </w:r>
      <w:r>
        <w:rPr>
          <w:color w:val="000000"/>
        </w:rPr>
        <w:t>lectividad encubriendo la verdad y se enriquecieron en forma directa o indirecta con esta tr</w:t>
      </w:r>
      <w:r>
        <w:rPr>
          <w:color w:val="000000"/>
        </w:rPr>
        <w:t>a</w:t>
      </w:r>
      <w:r>
        <w:rPr>
          <w:color w:val="000000"/>
        </w:rPr>
        <w:t>gedia.</w:t>
      </w:r>
    </w:p>
    <w:p w:rsidR="00224567" w:rsidRDefault="00224567">
      <w:pPr>
        <w:widowControl w:val="0"/>
        <w:rPr>
          <w:color w:val="000000"/>
        </w:rPr>
      </w:pPr>
      <w:r>
        <w:rPr>
          <w:color w:val="000000"/>
        </w:rPr>
        <w:tab/>
        <w:t>Sostuvo que el método utilizado fue el encubrimiento y el engaño, fabricando un grupo de culp</w:t>
      </w:r>
      <w:r>
        <w:rPr>
          <w:color w:val="000000"/>
        </w:rPr>
        <w:t>a</w:t>
      </w:r>
      <w:r>
        <w:rPr>
          <w:color w:val="000000"/>
        </w:rPr>
        <w:t>bles que sirvieran como medio para mantener lo que denom</w:t>
      </w:r>
      <w:r>
        <w:rPr>
          <w:color w:val="000000"/>
        </w:rPr>
        <w:t>i</w:t>
      </w:r>
      <w:r>
        <w:rPr>
          <w:color w:val="000000"/>
        </w:rPr>
        <w:t>nó la “historia oficial”.</w:t>
      </w:r>
    </w:p>
    <w:p w:rsidR="00224567" w:rsidRDefault="00224567">
      <w:pPr>
        <w:widowControl w:val="0"/>
        <w:ind w:firstLine="2835"/>
        <w:rPr>
          <w:color w:val="000000"/>
        </w:rPr>
      </w:pPr>
      <w:r>
        <w:rPr>
          <w:color w:val="000000"/>
        </w:rPr>
        <w:t>Consideró que en este proceso hubo cuestiones verdaderamente llamativas; la prim</w:t>
      </w:r>
      <w:r>
        <w:rPr>
          <w:color w:val="000000"/>
        </w:rPr>
        <w:t>e</w:t>
      </w:r>
      <w:r>
        <w:rPr>
          <w:color w:val="000000"/>
        </w:rPr>
        <w:t>ra de ellas se produjo cuando el juez Galeano, al regreso de Venezuela después de interrogar a quien aparentemente era una fuente del terrorismo y del conocimiento de la inteligencia ir</w:t>
      </w:r>
      <w:r>
        <w:rPr>
          <w:color w:val="000000"/>
        </w:rPr>
        <w:t>a</w:t>
      </w:r>
      <w:r>
        <w:rPr>
          <w:color w:val="000000"/>
        </w:rPr>
        <w:t>ní, en lugar de dirigirse a su juzgado, concurrió a la quinta de Olivos, violando así la prim</w:t>
      </w:r>
      <w:r>
        <w:rPr>
          <w:color w:val="000000"/>
        </w:rPr>
        <w:t>e</w:t>
      </w:r>
      <w:r>
        <w:rPr>
          <w:color w:val="000000"/>
        </w:rPr>
        <w:t>ra regla, que es la i</w:t>
      </w:r>
      <w:r>
        <w:rPr>
          <w:color w:val="000000"/>
        </w:rPr>
        <w:t>n</w:t>
      </w:r>
      <w:r>
        <w:rPr>
          <w:color w:val="000000"/>
        </w:rPr>
        <w:t>dependencia del Poder Judicial.</w:t>
      </w:r>
    </w:p>
    <w:p w:rsidR="00224567" w:rsidRDefault="00224567">
      <w:pPr>
        <w:widowControl w:val="0"/>
        <w:rPr>
          <w:color w:val="000000"/>
        </w:rPr>
      </w:pPr>
      <w:r>
        <w:rPr>
          <w:color w:val="000000"/>
        </w:rPr>
        <w:lastRenderedPageBreak/>
        <w:tab/>
        <w:t>Dijo que a partir de entonces, fueron claras las directivas que se le dieron al juez instru</w:t>
      </w:r>
      <w:r>
        <w:rPr>
          <w:color w:val="000000"/>
        </w:rPr>
        <w:t>c</w:t>
      </w:r>
      <w:r>
        <w:rPr>
          <w:color w:val="000000"/>
        </w:rPr>
        <w:t>tor y si bien hasta ese momento, 25 de julio, todas las sosp</w:t>
      </w:r>
      <w:r>
        <w:rPr>
          <w:color w:val="000000"/>
        </w:rPr>
        <w:t>e</w:t>
      </w:r>
      <w:r>
        <w:rPr>
          <w:color w:val="000000"/>
        </w:rPr>
        <w:t xml:space="preserve">chas y las intervenciones telefónicas por parte de </w:t>
      </w:r>
      <w:smartTag w:uri="urn:schemas-microsoft-com:office:smarttags" w:element="PersonName">
        <w:smartTagPr>
          <w:attr w:name="ProductID" w:val="la S.I"/>
        </w:smartTagPr>
        <w:r>
          <w:rPr>
            <w:color w:val="000000"/>
          </w:rPr>
          <w:t>la S.I</w:t>
        </w:r>
      </w:smartTag>
      <w:r>
        <w:rPr>
          <w:color w:val="000000"/>
        </w:rPr>
        <w:t>.D.E. estaban dirigidas a iraníes, después de ese día se dejaron sin efecto esas intervenciones relaci</w:t>
      </w:r>
      <w:r>
        <w:rPr>
          <w:color w:val="000000"/>
        </w:rPr>
        <w:t>o</w:t>
      </w:r>
      <w:r>
        <w:rPr>
          <w:color w:val="000000"/>
        </w:rPr>
        <w:t>nadas con la embajada de Irán y las personas vinculadas al entorno de Rabbani y se siguió con la pista Telleldín, que fina</w:t>
      </w:r>
      <w:r>
        <w:rPr>
          <w:color w:val="000000"/>
        </w:rPr>
        <w:t>l</w:t>
      </w:r>
      <w:r>
        <w:rPr>
          <w:color w:val="000000"/>
        </w:rPr>
        <w:t>mente vinculó a Ribelli a esta causa.</w:t>
      </w:r>
    </w:p>
    <w:p w:rsidR="00224567" w:rsidRDefault="00224567">
      <w:pPr>
        <w:widowControl w:val="0"/>
        <w:rPr>
          <w:color w:val="000000"/>
        </w:rPr>
      </w:pPr>
      <w:r>
        <w:rPr>
          <w:color w:val="000000"/>
        </w:rPr>
        <w:tab/>
        <w:t>También mencionó al secretario de I</w:t>
      </w:r>
      <w:r>
        <w:rPr>
          <w:color w:val="000000"/>
        </w:rPr>
        <w:t>n</w:t>
      </w:r>
      <w:r>
        <w:rPr>
          <w:color w:val="000000"/>
        </w:rPr>
        <w:t>teligencia de Estado, Hugo Anzorreguy, como participante de este cambio de rumbo en el proceso. Hizo referencia a Carlos Corach y sus vinculaciones con la camari</w:t>
      </w:r>
      <w:r>
        <w:rPr>
          <w:color w:val="000000"/>
        </w:rPr>
        <w:t>s</w:t>
      </w:r>
      <w:r>
        <w:rPr>
          <w:color w:val="000000"/>
        </w:rPr>
        <w:t>ta federal Luisa Riva Aramayo, considerándolos verdad</w:t>
      </w:r>
      <w:r>
        <w:rPr>
          <w:color w:val="000000"/>
        </w:rPr>
        <w:t>e</w:t>
      </w:r>
      <w:r>
        <w:rPr>
          <w:color w:val="000000"/>
        </w:rPr>
        <w:t>ros mentores de la “historia of</w:t>
      </w:r>
      <w:r>
        <w:rPr>
          <w:color w:val="000000"/>
        </w:rPr>
        <w:t>i</w:t>
      </w:r>
      <w:r>
        <w:rPr>
          <w:color w:val="000000"/>
        </w:rPr>
        <w:t>cial”.</w:t>
      </w:r>
    </w:p>
    <w:p w:rsidR="00224567" w:rsidRDefault="00224567">
      <w:pPr>
        <w:widowControl w:val="0"/>
        <w:rPr>
          <w:color w:val="000000"/>
        </w:rPr>
      </w:pPr>
      <w:r>
        <w:rPr>
          <w:color w:val="000000"/>
        </w:rPr>
        <w:tab/>
        <w:t>En el mismo sentido, señaló los d</w:t>
      </w:r>
      <w:r>
        <w:rPr>
          <w:color w:val="000000"/>
        </w:rPr>
        <w:t>i</w:t>
      </w:r>
      <w:r>
        <w:rPr>
          <w:color w:val="000000"/>
        </w:rPr>
        <w:t>chos del ministro del Interior de la época, Carlos Ru</w:t>
      </w:r>
      <w:r>
        <w:rPr>
          <w:color w:val="000000"/>
        </w:rPr>
        <w:t>c</w:t>
      </w:r>
      <w:r>
        <w:rPr>
          <w:color w:val="000000"/>
        </w:rPr>
        <w:t xml:space="preserve">kauf, de Andrés Antonietti -a cargo de </w:t>
      </w:r>
      <w:smartTag w:uri="urn:schemas-microsoft-com:office:smarttags" w:element="PersonName">
        <w:smartTagPr>
          <w:attr w:name="ProductID" w:val="la Secretar￭a"/>
        </w:smartTagPr>
        <w:r>
          <w:rPr>
            <w:color w:val="000000"/>
          </w:rPr>
          <w:t>la Secr</w:t>
        </w:r>
        <w:r>
          <w:rPr>
            <w:color w:val="000000"/>
          </w:rPr>
          <w:t>e</w:t>
        </w:r>
        <w:r>
          <w:rPr>
            <w:color w:val="000000"/>
          </w:rPr>
          <w:t>taría</w:t>
        </w:r>
      </w:smartTag>
      <w:r>
        <w:rPr>
          <w:color w:val="000000"/>
        </w:rPr>
        <w:t xml:space="preserve"> de Seguridad- y del Director Nacional de Migraciones Hugo Franco, qui</w:t>
      </w:r>
      <w:r>
        <w:rPr>
          <w:color w:val="000000"/>
        </w:rPr>
        <w:t>e</w:t>
      </w:r>
      <w:r>
        <w:rPr>
          <w:color w:val="000000"/>
        </w:rPr>
        <w:t>nes, desde sus funciones, no aportaron a</w:t>
      </w:r>
      <w:r>
        <w:rPr>
          <w:color w:val="000000"/>
        </w:rPr>
        <w:t>b</w:t>
      </w:r>
      <w:r>
        <w:rPr>
          <w:color w:val="000000"/>
        </w:rPr>
        <w:t xml:space="preserve">solutamente nada </w:t>
      </w:r>
      <w:r>
        <w:rPr>
          <w:color w:val="000000"/>
        </w:rPr>
        <w:lastRenderedPageBreak/>
        <w:t>para el esclarec</w:t>
      </w:r>
      <w:r>
        <w:rPr>
          <w:color w:val="000000"/>
        </w:rPr>
        <w:t>i</w:t>
      </w:r>
      <w:r>
        <w:rPr>
          <w:color w:val="000000"/>
        </w:rPr>
        <w:t>miento del hecho.</w:t>
      </w:r>
    </w:p>
    <w:p w:rsidR="00224567" w:rsidRDefault="00224567">
      <w:pPr>
        <w:widowControl w:val="0"/>
        <w:rPr>
          <w:color w:val="000000"/>
        </w:rPr>
      </w:pPr>
      <w:r>
        <w:rPr>
          <w:color w:val="000000"/>
        </w:rPr>
        <w:tab/>
        <w:t xml:space="preserve">Comentó que los ex jefes de policía Jorge Luis Passero y Adrián Juan Pelacchi expusieron que </w:t>
      </w:r>
      <w:smartTag w:uri="urn:schemas-microsoft-com:office:smarttags" w:element="PersonName">
        <w:smartTagPr>
          <w:attr w:name="ProductID" w:val="la Polic￭a Federal"/>
        </w:smartTagPr>
        <w:r>
          <w:rPr>
            <w:color w:val="000000"/>
          </w:rPr>
          <w:t>la Policía Federal</w:t>
        </w:r>
      </w:smartTag>
      <w:r>
        <w:rPr>
          <w:color w:val="000000"/>
        </w:rPr>
        <w:t>, mas allá de su participación en las tareas relacionadas con bomb</w:t>
      </w:r>
      <w:r>
        <w:rPr>
          <w:color w:val="000000"/>
        </w:rPr>
        <w:t>e</w:t>
      </w:r>
      <w:r>
        <w:rPr>
          <w:color w:val="000000"/>
        </w:rPr>
        <w:t>ros y explosivos, se mantuvo prácticamente inmóvil frente a la posibilidad de la reit</w:t>
      </w:r>
      <w:r>
        <w:rPr>
          <w:color w:val="000000"/>
        </w:rPr>
        <w:t>e</w:t>
      </w:r>
      <w:r>
        <w:rPr>
          <w:color w:val="000000"/>
        </w:rPr>
        <w:t xml:space="preserve">ración de un atentado, ya que nunca tuvo ningún contacto con </w:t>
      </w:r>
      <w:smartTag w:uri="urn:schemas-microsoft-com:office:smarttags" w:element="PersonName">
        <w:smartTagPr>
          <w:attr w:name="ProductID" w:val="la S.I"/>
        </w:smartTagPr>
        <w:r>
          <w:rPr>
            <w:color w:val="000000"/>
          </w:rPr>
          <w:t>la S.I</w:t>
        </w:r>
      </w:smartTag>
      <w:r>
        <w:rPr>
          <w:color w:val="000000"/>
        </w:rPr>
        <w:t>.D.E.</w:t>
      </w:r>
    </w:p>
    <w:p w:rsidR="00224567" w:rsidRDefault="00224567">
      <w:pPr>
        <w:widowControl w:val="0"/>
        <w:rPr>
          <w:color w:val="000000"/>
        </w:rPr>
      </w:pPr>
      <w:r>
        <w:rPr>
          <w:color w:val="000000"/>
        </w:rPr>
        <w:tab/>
        <w:t>Consideró que todos los sectores de poder y operadores políticos se disciplinaron para entr</w:t>
      </w:r>
      <w:r>
        <w:rPr>
          <w:color w:val="000000"/>
        </w:rPr>
        <w:t>e</w:t>
      </w:r>
      <w:r>
        <w:rPr>
          <w:color w:val="000000"/>
        </w:rPr>
        <w:t>gar a su defendido. Que el juez Galeano, Luis Ernesto V</w:t>
      </w:r>
      <w:r>
        <w:rPr>
          <w:color w:val="000000"/>
        </w:rPr>
        <w:t>i</w:t>
      </w:r>
      <w:r>
        <w:rPr>
          <w:color w:val="000000"/>
        </w:rPr>
        <w:t>cat, Guillermo Federico Domínguez, Eduardo Néstor De La</w:t>
      </w:r>
      <w:r>
        <w:rPr>
          <w:color w:val="000000"/>
        </w:rPr>
        <w:t>z</w:t>
      </w:r>
      <w:r>
        <w:rPr>
          <w:color w:val="000000"/>
        </w:rPr>
        <w:t>zari y Adolfo Hugo Vitelli fueron la d</w:t>
      </w:r>
      <w:r>
        <w:rPr>
          <w:color w:val="000000"/>
        </w:rPr>
        <w:t>e</w:t>
      </w:r>
      <w:r>
        <w:rPr>
          <w:color w:val="000000"/>
        </w:rPr>
        <w:t>mostración clara de cómo se pergeñó un s</w:t>
      </w:r>
      <w:r>
        <w:rPr>
          <w:color w:val="000000"/>
        </w:rPr>
        <w:t>u</w:t>
      </w:r>
      <w:r>
        <w:rPr>
          <w:color w:val="000000"/>
        </w:rPr>
        <w:t>mario sólo direccionado para sacar a Ribelli fuera de la fuerza. Lamentó no p</w:t>
      </w:r>
      <w:r>
        <w:rPr>
          <w:color w:val="000000"/>
        </w:rPr>
        <w:t>o</w:t>
      </w:r>
      <w:r>
        <w:rPr>
          <w:color w:val="000000"/>
        </w:rPr>
        <w:t>der contar con la declaración del fallecido</w:t>
      </w:r>
      <w:r>
        <w:t xml:space="preserve"> Klodczyk y mencionó</w:t>
      </w:r>
      <w:r>
        <w:rPr>
          <w:color w:val="000000"/>
        </w:rPr>
        <w:t xml:space="preserve"> los dichos de Armando Antonio Calabró, quien, teniendo la mejor op</w:t>
      </w:r>
      <w:r>
        <w:rPr>
          <w:color w:val="000000"/>
        </w:rPr>
        <w:t>i</w:t>
      </w:r>
      <w:r>
        <w:rPr>
          <w:color w:val="000000"/>
        </w:rPr>
        <w:t>nión de su defendido, al momento de declarar en el debate contó cómo había sido la verdad de la forma en que se ll</w:t>
      </w:r>
      <w:r>
        <w:rPr>
          <w:color w:val="000000"/>
        </w:rPr>
        <w:t>e</w:t>
      </w:r>
      <w:r>
        <w:rPr>
          <w:color w:val="000000"/>
        </w:rPr>
        <w:t>gó al arresto de Ribelli y que todos trabajaron para e</w:t>
      </w:r>
      <w:r>
        <w:rPr>
          <w:color w:val="000000"/>
        </w:rPr>
        <w:t>n</w:t>
      </w:r>
      <w:r>
        <w:rPr>
          <w:color w:val="000000"/>
        </w:rPr>
        <w:t>tregarlo como prenda de cambio del problema A.M.I.A.</w:t>
      </w:r>
    </w:p>
    <w:p w:rsidR="00224567" w:rsidRDefault="00224567">
      <w:pPr>
        <w:widowControl w:val="0"/>
        <w:rPr>
          <w:color w:val="000000"/>
        </w:rPr>
      </w:pPr>
      <w:r>
        <w:rPr>
          <w:color w:val="000000"/>
        </w:rPr>
        <w:lastRenderedPageBreak/>
        <w:tab/>
        <w:t xml:space="preserve">Indicó que tampoco estuvo ausente el poder legislativo, ya que los integrantes de </w:t>
      </w:r>
      <w:smartTag w:uri="urn:schemas-microsoft-com:office:smarttags" w:element="PersonName">
        <w:smartTagPr>
          <w:attr w:name="ProductID" w:val="la Comisi￳n Bicameral"/>
        </w:smartTagPr>
        <w:r>
          <w:rPr>
            <w:color w:val="000000"/>
          </w:rPr>
          <w:t>la Comisión Bicameral</w:t>
        </w:r>
      </w:smartTag>
      <w:r>
        <w:rPr>
          <w:color w:val="000000"/>
        </w:rPr>
        <w:t>, a excepción de Cristina Ferná</w:t>
      </w:r>
      <w:r>
        <w:rPr>
          <w:color w:val="000000"/>
        </w:rPr>
        <w:t>n</w:t>
      </w:r>
      <w:r>
        <w:rPr>
          <w:color w:val="000000"/>
        </w:rPr>
        <w:t>dez de Kirchner, una vez que tomaron conocimiento del episodio del video fueron responsables de encubrir las actividades del juez Galeano.</w:t>
      </w:r>
    </w:p>
    <w:p w:rsidR="00224567" w:rsidRDefault="00224567">
      <w:pPr>
        <w:widowControl w:val="0"/>
        <w:rPr>
          <w:color w:val="000000"/>
        </w:rPr>
      </w:pPr>
      <w:r>
        <w:rPr>
          <w:color w:val="000000"/>
        </w:rPr>
        <w:tab/>
        <w:t>En ese sentido, hizo mención de v</w:t>
      </w:r>
      <w:r>
        <w:rPr>
          <w:color w:val="000000"/>
        </w:rPr>
        <w:t>a</w:t>
      </w:r>
      <w:r>
        <w:rPr>
          <w:color w:val="000000"/>
        </w:rPr>
        <w:t>rias declaraciones te</w:t>
      </w:r>
      <w:r>
        <w:rPr>
          <w:color w:val="000000"/>
        </w:rPr>
        <w:t>s</w:t>
      </w:r>
      <w:r>
        <w:rPr>
          <w:color w:val="000000"/>
        </w:rPr>
        <w:t>timoniales. Así, se refirió a los dichos de Carlos Erne</w:t>
      </w:r>
      <w:r>
        <w:rPr>
          <w:color w:val="000000"/>
        </w:rPr>
        <w:t>s</w:t>
      </w:r>
      <w:r>
        <w:rPr>
          <w:color w:val="000000"/>
        </w:rPr>
        <w:t>to Soria quien dijo que no quería escuchar otras palabras que las relacionadas con lo s</w:t>
      </w:r>
      <w:r>
        <w:rPr>
          <w:color w:val="000000"/>
        </w:rPr>
        <w:t>u</w:t>
      </w:r>
      <w:r>
        <w:rPr>
          <w:color w:val="000000"/>
        </w:rPr>
        <w:t>cedido con la camioneta y la participación de “ellos” en el atentado, aclarando que no le interesaba “el ve</w:t>
      </w:r>
      <w:r>
        <w:rPr>
          <w:color w:val="000000"/>
        </w:rPr>
        <w:t>r</w:t>
      </w:r>
      <w:r>
        <w:rPr>
          <w:color w:val="000000"/>
        </w:rPr>
        <w:t>so” de las defensas. El letrado sostuvo que a Soria no le importó la verdad de la causa, sino el mantenimiento de la “verdad oficial”, prestando al efecto su aporte político.</w:t>
      </w:r>
    </w:p>
    <w:p w:rsidR="00224567" w:rsidRDefault="00224567">
      <w:pPr>
        <w:widowControl w:val="0"/>
        <w:rPr>
          <w:color w:val="000000"/>
        </w:rPr>
      </w:pPr>
      <w:r>
        <w:rPr>
          <w:color w:val="000000"/>
        </w:rPr>
        <w:tab/>
        <w:t>Luego, destacó que Marcelo St</w:t>
      </w:r>
      <w:r>
        <w:rPr>
          <w:color w:val="000000"/>
        </w:rPr>
        <w:t>u</w:t>
      </w:r>
      <w:r>
        <w:rPr>
          <w:color w:val="000000"/>
        </w:rPr>
        <w:t>brin no estuvo presente en oportunidad de llevarse a cabo la video conferencia para tomarle declaración testimonial al test</w:t>
      </w:r>
      <w:r>
        <w:rPr>
          <w:color w:val="000000"/>
        </w:rPr>
        <w:t>i</w:t>
      </w:r>
      <w:r>
        <w:rPr>
          <w:color w:val="000000"/>
        </w:rPr>
        <w:t>go “C”, pese a que el diputado, en reiteradas oportunid</w:t>
      </w:r>
      <w:r>
        <w:rPr>
          <w:color w:val="000000"/>
        </w:rPr>
        <w:t>a</w:t>
      </w:r>
      <w:r>
        <w:rPr>
          <w:color w:val="000000"/>
        </w:rPr>
        <w:t xml:space="preserve">des previas, manifestó su interés en viajar a la ciudad de </w:t>
      </w:r>
      <w:r>
        <w:rPr>
          <w:color w:val="000000"/>
        </w:rPr>
        <w:lastRenderedPageBreak/>
        <w:t>Berlín para prese</w:t>
      </w:r>
      <w:r>
        <w:rPr>
          <w:color w:val="000000"/>
        </w:rPr>
        <w:t>n</w:t>
      </w:r>
      <w:r>
        <w:rPr>
          <w:color w:val="000000"/>
        </w:rPr>
        <w:t>ciar el interrogatorio de este testigo. El letrado indicó que dicho testimonio sólo le i</w:t>
      </w:r>
      <w:r>
        <w:rPr>
          <w:color w:val="000000"/>
        </w:rPr>
        <w:t>n</w:t>
      </w:r>
      <w:r>
        <w:rPr>
          <w:color w:val="000000"/>
        </w:rPr>
        <w:t>teresaba a Stubrin en la medida en que parte de ese viaje a Alem</w:t>
      </w:r>
      <w:r>
        <w:rPr>
          <w:color w:val="000000"/>
        </w:rPr>
        <w:t>a</w:t>
      </w:r>
      <w:r>
        <w:rPr>
          <w:color w:val="000000"/>
        </w:rPr>
        <w:t>nia implicara un poco de turismo.</w:t>
      </w:r>
    </w:p>
    <w:p w:rsidR="00224567" w:rsidRDefault="00224567">
      <w:pPr>
        <w:widowControl w:val="0"/>
        <w:ind w:firstLine="2835"/>
        <w:rPr>
          <w:color w:val="000000"/>
        </w:rPr>
      </w:pPr>
      <w:r>
        <w:rPr>
          <w:color w:val="000000"/>
        </w:rPr>
        <w:t>También reseñó la actuación de Me</w:t>
      </w:r>
      <w:r>
        <w:rPr>
          <w:color w:val="000000"/>
        </w:rPr>
        <w:t>l</w:t>
      </w:r>
      <w:r>
        <w:rPr>
          <w:color w:val="000000"/>
        </w:rPr>
        <w:t>chor René Cruchaga y Juan Pablo Cafiero con relación a estas actuaciones.</w:t>
      </w:r>
    </w:p>
    <w:p w:rsidR="00224567" w:rsidRDefault="00224567">
      <w:pPr>
        <w:widowControl w:val="0"/>
        <w:rPr>
          <w:color w:val="000000"/>
        </w:rPr>
      </w:pPr>
      <w:r>
        <w:rPr>
          <w:color w:val="000000"/>
        </w:rPr>
        <w:tab/>
        <w:t>Asimismo, criticó la actuación de los Representantes del Ministerio Público Fiscal en la etapa instructoria, Dres. Mullen y Barbaccia, quienes, a su cr</w:t>
      </w:r>
      <w:r>
        <w:rPr>
          <w:color w:val="000000"/>
        </w:rPr>
        <w:t>i</w:t>
      </w:r>
      <w:r>
        <w:rPr>
          <w:color w:val="000000"/>
        </w:rPr>
        <w:t>terio, no cumplieron con los mandatos constit</w:t>
      </w:r>
      <w:r>
        <w:rPr>
          <w:color w:val="000000"/>
        </w:rPr>
        <w:t>u</w:t>
      </w:r>
      <w:r>
        <w:rPr>
          <w:color w:val="000000"/>
        </w:rPr>
        <w:t>cionales –art. 120- ni con la ley que reglamenta su a</w:t>
      </w:r>
      <w:r>
        <w:rPr>
          <w:color w:val="000000"/>
        </w:rPr>
        <w:t>c</w:t>
      </w:r>
      <w:r>
        <w:rPr>
          <w:color w:val="000000"/>
        </w:rPr>
        <w:t>tividad –art. 25-. Así, aludió a la declaración indag</w:t>
      </w:r>
      <w:r>
        <w:rPr>
          <w:color w:val="000000"/>
        </w:rPr>
        <w:t>a</w:t>
      </w:r>
      <w:r>
        <w:rPr>
          <w:color w:val="000000"/>
        </w:rPr>
        <w:t>toria del imputado Ariel Nitzcaner y el episodio de las empanadas, y al i</w:t>
      </w:r>
      <w:r>
        <w:rPr>
          <w:color w:val="000000"/>
        </w:rPr>
        <w:t>n</w:t>
      </w:r>
      <w:r>
        <w:rPr>
          <w:color w:val="000000"/>
        </w:rPr>
        <w:t>tercalado de la resolución de sobreseimiento de Miriam S</w:t>
      </w:r>
      <w:r>
        <w:rPr>
          <w:color w:val="000000"/>
        </w:rPr>
        <w:t>a</w:t>
      </w:r>
      <w:r>
        <w:rPr>
          <w:color w:val="000000"/>
        </w:rPr>
        <w:t>linas, circunstancia que consideró irregular y que actua</w:t>
      </w:r>
      <w:r>
        <w:rPr>
          <w:color w:val="000000"/>
        </w:rPr>
        <w:t>l</w:t>
      </w:r>
      <w:r>
        <w:rPr>
          <w:color w:val="000000"/>
        </w:rPr>
        <w:t>mente se sigue investigando. Explicó que a lo largo del proceso estos fiscales mintieron de todas las formas pos</w:t>
      </w:r>
      <w:r>
        <w:rPr>
          <w:color w:val="000000"/>
        </w:rPr>
        <w:t>i</w:t>
      </w:r>
      <w:r>
        <w:rPr>
          <w:color w:val="000000"/>
        </w:rPr>
        <w:t>bles, tuvieron actitudes personales incorrectas, pact</w:t>
      </w:r>
      <w:r>
        <w:rPr>
          <w:color w:val="000000"/>
        </w:rPr>
        <w:t>a</w:t>
      </w:r>
      <w:r>
        <w:rPr>
          <w:color w:val="000000"/>
        </w:rPr>
        <w:t>ron con algunos imputados y dieron golpes b</w:t>
      </w:r>
      <w:r>
        <w:rPr>
          <w:color w:val="000000"/>
        </w:rPr>
        <w:t>a</w:t>
      </w:r>
      <w:r>
        <w:rPr>
          <w:color w:val="000000"/>
        </w:rPr>
        <w:t>jos.</w:t>
      </w:r>
    </w:p>
    <w:p w:rsidR="00224567" w:rsidRDefault="00224567">
      <w:pPr>
        <w:widowControl w:val="0"/>
        <w:rPr>
          <w:color w:val="000000"/>
        </w:rPr>
      </w:pPr>
      <w:r>
        <w:rPr>
          <w:color w:val="000000"/>
        </w:rPr>
        <w:tab/>
        <w:t>Sostuvo que la única querella que v</w:t>
      </w:r>
      <w:r>
        <w:rPr>
          <w:color w:val="000000"/>
        </w:rPr>
        <w:t>e</w:t>
      </w:r>
      <w:r>
        <w:rPr>
          <w:color w:val="000000"/>
        </w:rPr>
        <w:t xml:space="preserve">ló </w:t>
      </w:r>
      <w:r>
        <w:rPr>
          <w:color w:val="000000"/>
        </w:rPr>
        <w:lastRenderedPageBreak/>
        <w:t>por la independencia y la verdad fue la que repr</w:t>
      </w:r>
      <w:r>
        <w:rPr>
          <w:color w:val="000000"/>
        </w:rPr>
        <w:t>e</w:t>
      </w:r>
      <w:r>
        <w:rPr>
          <w:color w:val="000000"/>
        </w:rPr>
        <w:t>senta el Dr. Jacoby, aún no coincidiendo en muchos a</w:t>
      </w:r>
      <w:r>
        <w:rPr>
          <w:color w:val="000000"/>
        </w:rPr>
        <w:t>s</w:t>
      </w:r>
      <w:r>
        <w:rPr>
          <w:color w:val="000000"/>
        </w:rPr>
        <w:t>pectos.</w:t>
      </w:r>
    </w:p>
    <w:p w:rsidR="00224567" w:rsidRDefault="00224567">
      <w:pPr>
        <w:widowControl w:val="0"/>
        <w:rPr>
          <w:color w:val="000000"/>
        </w:rPr>
      </w:pPr>
      <w:r>
        <w:rPr>
          <w:color w:val="000000"/>
        </w:rPr>
        <w:tab/>
        <w:t>Contrariamente, consideró que la qu</w:t>
      </w:r>
      <w:r>
        <w:rPr>
          <w:color w:val="000000"/>
        </w:rPr>
        <w:t>e</w:t>
      </w:r>
      <w:r>
        <w:rPr>
          <w:color w:val="000000"/>
        </w:rPr>
        <w:t>rella A.M.I.A. y D.A.I.A. tuvo la actitud de apuntalar la “historia oficial” a cualquier pr</w:t>
      </w:r>
      <w:r>
        <w:rPr>
          <w:color w:val="000000"/>
        </w:rPr>
        <w:t>e</w:t>
      </w:r>
      <w:r>
        <w:rPr>
          <w:color w:val="000000"/>
        </w:rPr>
        <w:t>cio. Hizo mención de la actitud del ex presidente de la mutual judía, Dr. Rubén Beraja, a quien tildó de traidor de su comunidad. Desapr</w:t>
      </w:r>
      <w:r>
        <w:rPr>
          <w:color w:val="000000"/>
        </w:rPr>
        <w:t>o</w:t>
      </w:r>
      <w:r>
        <w:rPr>
          <w:color w:val="000000"/>
        </w:rPr>
        <w:t>bó la actu</w:t>
      </w:r>
      <w:r>
        <w:rPr>
          <w:color w:val="000000"/>
        </w:rPr>
        <w:t>a</w:t>
      </w:r>
      <w:r>
        <w:rPr>
          <w:color w:val="000000"/>
        </w:rPr>
        <w:t xml:space="preserve">ción de </w:t>
      </w:r>
      <w:smartTag w:uri="urn:schemas-microsoft-com:office:smarttags" w:element="PersonName">
        <w:smartTagPr>
          <w:attr w:name="ProductID" w:val="La Dra. Nercellas"/>
        </w:smartTagPr>
        <w:r>
          <w:rPr>
            <w:color w:val="000000"/>
          </w:rPr>
          <w:t>la Dra. Nercellas</w:t>
        </w:r>
      </w:smartTag>
      <w:r>
        <w:rPr>
          <w:color w:val="000000"/>
        </w:rPr>
        <w:t xml:space="preserve"> en el transcurso del proceso, considerando que su conducta –en alusión al gr</w:t>
      </w:r>
      <w:r>
        <w:rPr>
          <w:color w:val="000000"/>
        </w:rPr>
        <w:t>a</w:t>
      </w:r>
      <w:r>
        <w:rPr>
          <w:color w:val="000000"/>
        </w:rPr>
        <w:t>bado en forma subrepticia y clandestina a uno de los imp</w:t>
      </w:r>
      <w:r>
        <w:rPr>
          <w:color w:val="000000"/>
        </w:rPr>
        <w:t>u</w:t>
      </w:r>
      <w:r>
        <w:rPr>
          <w:color w:val="000000"/>
        </w:rPr>
        <w:t>tados- debe ser valorada por un tribunal de ética del C</w:t>
      </w:r>
      <w:r>
        <w:rPr>
          <w:color w:val="000000"/>
        </w:rPr>
        <w:t>o</w:t>
      </w:r>
      <w:r>
        <w:rPr>
          <w:color w:val="000000"/>
        </w:rPr>
        <w:t>legio Público de Abogados; agregó que su actividad demo</w:t>
      </w:r>
      <w:r>
        <w:rPr>
          <w:color w:val="000000"/>
        </w:rPr>
        <w:t>s</w:t>
      </w:r>
      <w:r>
        <w:rPr>
          <w:color w:val="000000"/>
        </w:rPr>
        <w:t>tró la complicidad de los abogados de la mutual judía con el juez instructor.</w:t>
      </w:r>
    </w:p>
    <w:p w:rsidR="00224567" w:rsidRDefault="00224567">
      <w:pPr>
        <w:widowControl w:val="0"/>
      </w:pPr>
      <w:r>
        <w:rPr>
          <w:color w:val="000000"/>
        </w:rPr>
        <w:tab/>
        <w:t>También explicó que el Dr. Juan José Galeano prevaricó, rompió las reglas de impa</w:t>
      </w:r>
      <w:r>
        <w:rPr>
          <w:color w:val="000000"/>
        </w:rPr>
        <w:t>r</w:t>
      </w:r>
      <w:r>
        <w:rPr>
          <w:color w:val="000000"/>
        </w:rPr>
        <w:t xml:space="preserve">cialidad </w:t>
      </w:r>
      <w:r>
        <w:t>por ser esclavo del Poder Ejecutivo y de los que, a su crit</w:t>
      </w:r>
      <w:r>
        <w:t>e</w:t>
      </w:r>
      <w:r>
        <w:t>rio, “mandan” en esta causa, s</w:t>
      </w:r>
      <w:r>
        <w:t>u</w:t>
      </w:r>
      <w:r>
        <w:t>mándose a lo que llamó una verdadera estafa procesal, que tuvo como r</w:t>
      </w:r>
      <w:r>
        <w:t>e</w:t>
      </w:r>
      <w:r>
        <w:t xml:space="preserve">sultado engañar a los jueces del proceso. Censuró la actuación del resto </w:t>
      </w:r>
      <w:r>
        <w:lastRenderedPageBreak/>
        <w:t>de los jueces federales de instru</w:t>
      </w:r>
      <w:r>
        <w:t>c</w:t>
      </w:r>
      <w:r>
        <w:t>ción de esta ciudad.</w:t>
      </w:r>
    </w:p>
    <w:p w:rsidR="00224567" w:rsidRDefault="00224567">
      <w:pPr>
        <w:widowControl w:val="0"/>
      </w:pPr>
      <w:r>
        <w:tab/>
        <w:t>Señaló que no se puede comparar o tr</w:t>
      </w:r>
      <w:r>
        <w:t>a</w:t>
      </w:r>
      <w:r>
        <w:t>tar de vincular este proceso con la causa nº 13, el juicio de Nüremberg o el caso Eichmann. Criticó el  dictamen  elaborado por los Dres. Zaffaroni, Gil Lav</w:t>
      </w:r>
      <w:r>
        <w:t>e</w:t>
      </w:r>
      <w:r>
        <w:t>dra, Arslanian y D´Alessio. Sostuvo que la independe</w:t>
      </w:r>
      <w:r>
        <w:t>n</w:t>
      </w:r>
      <w:r>
        <w:t>cia periodística fue vendida al mejor postor, encargándose de propagar y afi</w:t>
      </w:r>
      <w:r>
        <w:t>r</w:t>
      </w:r>
      <w:r>
        <w:t>mar la “historia oficial” y transformando a los chivos e</w:t>
      </w:r>
      <w:r>
        <w:t>x</w:t>
      </w:r>
      <w:r>
        <w:t>piatorios de esta causa en los responsables de la expl</w:t>
      </w:r>
      <w:r>
        <w:t>o</w:t>
      </w:r>
      <w:r>
        <w:t>sión.</w:t>
      </w:r>
    </w:p>
    <w:p w:rsidR="00224567" w:rsidRDefault="00224567">
      <w:pPr>
        <w:pStyle w:val="Sangra3detindependiente"/>
        <w:widowControl w:val="0"/>
        <w:spacing w:line="600" w:lineRule="auto"/>
        <w:ind w:firstLine="0"/>
      </w:pPr>
      <w:r>
        <w:tab/>
        <w:t>Consideró que era necesario reflexi</w:t>
      </w:r>
      <w:r>
        <w:t>o</w:t>
      </w:r>
      <w:r>
        <w:t>nar sobre la actuación del Estado argentino antes y de</w:t>
      </w:r>
      <w:r>
        <w:t>s</w:t>
      </w:r>
      <w:r>
        <w:t xml:space="preserve">pués del atentado a </w:t>
      </w:r>
      <w:smartTag w:uri="urn:schemas-microsoft-com:office:smarttags" w:element="PersonName">
        <w:smartTagPr>
          <w:attr w:name="ProductID" w:val="la A.M"/>
        </w:smartTagPr>
        <w:r>
          <w:t>la A.M</w:t>
        </w:r>
      </w:smartTag>
      <w:r>
        <w:t>.I.A.</w:t>
      </w:r>
    </w:p>
    <w:p w:rsidR="00224567" w:rsidRDefault="00224567">
      <w:pPr>
        <w:widowControl w:val="0"/>
      </w:pPr>
      <w:r>
        <w:tab/>
        <w:t>Indicó que en esta causa se sostuvo que el atentado fue un acto terrorista, dirigido y perg</w:t>
      </w:r>
      <w:r>
        <w:t>e</w:t>
      </w:r>
      <w:r>
        <w:t>ñado por potencias o grupos extranjeros que aún hoy no se sabe quiénes son, aunque las sospechas recaen sobre el E</w:t>
      </w:r>
      <w:r>
        <w:t>s</w:t>
      </w:r>
      <w:r>
        <w:t>tado de Irán, y que evidentemente hubo una c</w:t>
      </w:r>
      <w:r>
        <w:t>o</w:t>
      </w:r>
      <w:r>
        <w:t>nexión local, imputándose a su defendido formar parte de ella.</w:t>
      </w:r>
    </w:p>
    <w:p w:rsidR="00224567" w:rsidRDefault="00224567">
      <w:pPr>
        <w:widowControl w:val="0"/>
      </w:pPr>
      <w:r>
        <w:tab/>
        <w:t>Reseñó que en el año 2000 el comis</w:t>
      </w:r>
      <w:r>
        <w:t>a</w:t>
      </w:r>
      <w:r>
        <w:t>rio Jorge Alberto Palacios publicó un libro titulado “Terr</w:t>
      </w:r>
      <w:r>
        <w:t>o</w:t>
      </w:r>
      <w:r>
        <w:lastRenderedPageBreak/>
        <w:t xml:space="preserve">rismo en </w:t>
      </w:r>
      <w:smartTag w:uri="urn:schemas-microsoft-com:office:smarttags" w:element="PersonName">
        <w:smartTagPr>
          <w:attr w:name="ProductID" w:val="la Aldea Global"/>
        </w:smartTagPr>
        <w:r>
          <w:t>la Aldea Global</w:t>
        </w:r>
      </w:smartTag>
      <w:r>
        <w:t xml:space="preserve">”, en el que narró lo acontecido con relación al atentado de </w:t>
      </w:r>
      <w:smartTag w:uri="urn:schemas-microsoft-com:office:smarttags" w:element="PersonName">
        <w:smartTagPr>
          <w:attr w:name="ProductID" w:val="la A.M"/>
        </w:smartTagPr>
        <w:r>
          <w:t>la A.M</w:t>
        </w:r>
      </w:smartTag>
      <w:r>
        <w:t>.I.A., p</w:t>
      </w:r>
      <w:r>
        <w:t>e</w:t>
      </w:r>
      <w:r>
        <w:t>ro no mencionó la llamada conexión l</w:t>
      </w:r>
      <w:r>
        <w:t>o</w:t>
      </w:r>
      <w:r>
        <w:t>cal.</w:t>
      </w:r>
    </w:p>
    <w:p w:rsidR="00224567" w:rsidRDefault="00224567">
      <w:pPr>
        <w:widowControl w:val="0"/>
      </w:pPr>
      <w:r>
        <w:tab/>
        <w:t>Sostuvo que, en base a lo expue</w:t>
      </w:r>
      <w:r>
        <w:t>s</w:t>
      </w:r>
      <w:r>
        <w:t xml:space="preserve">to por los agentes de </w:t>
      </w:r>
      <w:smartTag w:uri="urn:schemas-microsoft-com:office:smarttags" w:element="PersonName">
        <w:smartTagPr>
          <w:attr w:name="ProductID" w:val="la S.I"/>
        </w:smartTagPr>
        <w:r>
          <w:t>la S.I</w:t>
        </w:r>
      </w:smartTag>
      <w:r>
        <w:t>.D.E., el Estado argentino no hizo absolutamente nada para tratar de pr</w:t>
      </w:r>
      <w:r>
        <w:t>e</w:t>
      </w:r>
      <w:r>
        <w:t>venir el atentado.</w:t>
      </w:r>
    </w:p>
    <w:p w:rsidR="00224567" w:rsidRDefault="00224567">
      <w:pPr>
        <w:widowControl w:val="0"/>
      </w:pPr>
      <w:r>
        <w:tab/>
        <w:t>Refirió que una vez producido el at</w:t>
      </w:r>
      <w:r>
        <w:t>a</w:t>
      </w:r>
      <w:r>
        <w:t>que, la tesis del Estado, según lo planteado por los ac</w:t>
      </w:r>
      <w:r>
        <w:t>u</w:t>
      </w:r>
      <w:r>
        <w:t>sadores, fue que el 18 de julio de 1994, a</w:t>
      </w:r>
      <w:r>
        <w:t>l</w:t>
      </w:r>
      <w:r>
        <w:t>rededor de las 10.00, ingresó por la calle Pasteur una camion</w:t>
      </w:r>
      <w:r>
        <w:t>e</w:t>
      </w:r>
      <w:r>
        <w:t>ta Trafic, color “blanco chapelco”, con un co</w:t>
      </w:r>
      <w:r>
        <w:t>n</w:t>
      </w:r>
      <w:r>
        <w:t>ductor suicida a bordo -que pudo haber muerto en el momento del atentado- y ca</w:t>
      </w:r>
      <w:r>
        <w:t>r</w:t>
      </w:r>
      <w:r>
        <w:t>gada con una dete</w:t>
      </w:r>
      <w:r>
        <w:t>r</w:t>
      </w:r>
      <w:r>
        <w:t>minada cantidad de explosivos –300 kg de amonal- con un atraque determinado para direccionar la e</w:t>
      </w:r>
      <w:r>
        <w:t>x</w:t>
      </w:r>
      <w:r>
        <w:t>plosión, colocando dos de sus gomas delanteras sobre el cordón de la vereda de la calle referida para explotar s</w:t>
      </w:r>
      <w:r>
        <w:t>o</w:t>
      </w:r>
      <w:r>
        <w:t>bre el edificio y provocar los muertos y heridos ya con</w:t>
      </w:r>
      <w:r>
        <w:t>o</w:t>
      </w:r>
      <w:r>
        <w:t>cidos.</w:t>
      </w:r>
    </w:p>
    <w:p w:rsidR="00224567" w:rsidRDefault="00224567">
      <w:pPr>
        <w:widowControl w:val="0"/>
      </w:pPr>
      <w:r>
        <w:tab/>
        <w:t>Remarcó que esa defensa tenía muchas dudas respecto a d</w:t>
      </w:r>
      <w:r>
        <w:t>i</w:t>
      </w:r>
      <w:r>
        <w:t>cha tesis.</w:t>
      </w:r>
    </w:p>
    <w:p w:rsidR="00224567" w:rsidRDefault="00224567">
      <w:pPr>
        <w:widowControl w:val="0"/>
      </w:pPr>
      <w:r>
        <w:lastRenderedPageBreak/>
        <w:tab/>
        <w:t>En ese sentido, señaló que fue llam</w:t>
      </w:r>
      <w:r>
        <w:t>a</w:t>
      </w:r>
      <w:r>
        <w:t>tivo que ningún testigo visualizó la existencia de una Trafic blanca, esa mañana, en la calle Pasteur. Al respe</w:t>
      </w:r>
      <w:r>
        <w:t>c</w:t>
      </w:r>
      <w:r>
        <w:t>to, contra el testimonio único de N</w:t>
      </w:r>
      <w:r>
        <w:t>i</w:t>
      </w:r>
      <w:r>
        <w:t>colasa Romero que dijo haber visto una Trafic de color beige, el letrado hizo alusión a los dichos de Adelina Filomena Romero, Daniel Eduardo Joffe, Gabriel Alberto Villalba, Leonor Marina Fuster, Juan Carlos Álvarez, Jorge Edua</w:t>
      </w:r>
      <w:r>
        <w:t>r</w:t>
      </w:r>
      <w:r>
        <w:t>do Bordón, Adriana Inés Mena, Daniel Osvaldo Saravia, María Josefa Vicente, Omar Corsetti y Juan Canale, quienes, destacó, fueron coincidentes en declarar no haber visto, escuchado o a</w:t>
      </w:r>
      <w:r>
        <w:t>d</w:t>
      </w:r>
      <w:r>
        <w:t>vertido la presencia de una Trafic en el lugar.</w:t>
      </w:r>
    </w:p>
    <w:p w:rsidR="00224567" w:rsidRDefault="00224567">
      <w:pPr>
        <w:widowControl w:val="0"/>
      </w:pPr>
      <w:r>
        <w:tab/>
        <w:t>Hizo referencia a que en la causa hay una serie de peritajes que determinaron en forma clara y concreta que los elementos que hacían a la prueba de que existió una Trafic estaban contaminados de amonal; que i</w:t>
      </w:r>
      <w:r>
        <w:t>n</w:t>
      </w:r>
      <w:r>
        <w:t>cluso el amortiguador incrust</w:t>
      </w:r>
      <w:r>
        <w:t>a</w:t>
      </w:r>
      <w:r>
        <w:t>do en el cuerpo de Díaz fue la prueba más clara, evidente y definitiva que demostraba que hubo una Trafic, hasta que se hizo la autopsia del cuerpo del nombrado y la experticia de la pieza r</w:t>
      </w:r>
      <w:r>
        <w:t>e</w:t>
      </w:r>
      <w:r>
        <w:t>ferida.</w:t>
      </w:r>
    </w:p>
    <w:p w:rsidR="00224567" w:rsidRDefault="00224567">
      <w:pPr>
        <w:widowControl w:val="0"/>
      </w:pPr>
      <w:r>
        <w:tab/>
        <w:t xml:space="preserve">Consideró que no había dudas de que el </w:t>
      </w:r>
      <w:r>
        <w:lastRenderedPageBreak/>
        <w:t>encargado Ramón Norberto Díaz se encontraba en las inm</w:t>
      </w:r>
      <w:r>
        <w:t>e</w:t>
      </w:r>
      <w:r>
        <w:t xml:space="preserve">diaciones de </w:t>
      </w:r>
      <w:smartTag w:uri="urn:schemas-microsoft-com:office:smarttags" w:element="PersonName">
        <w:smartTagPr>
          <w:attr w:name="ProductID" w:val="la A.M"/>
        </w:smartTagPr>
        <w:r>
          <w:t>la A.M</w:t>
        </w:r>
      </w:smartTag>
      <w:r>
        <w:t>.I.A. ese 18 de julio y fue ví</w:t>
      </w:r>
      <w:r>
        <w:t>c</w:t>
      </w:r>
      <w:r>
        <w:t>tima de la explosión, y que ta</w:t>
      </w:r>
      <w:r>
        <w:t>m</w:t>
      </w:r>
      <w:r>
        <w:t>poco había dudas que su cuerpo sin vida fue manipulado por un grupo de personas no identif</w:t>
      </w:r>
      <w:r>
        <w:t>i</w:t>
      </w:r>
      <w:r>
        <w:t>cadas.</w:t>
      </w:r>
    </w:p>
    <w:p w:rsidR="00224567" w:rsidRDefault="00224567">
      <w:pPr>
        <w:widowControl w:val="0"/>
      </w:pPr>
      <w:r>
        <w:tab/>
        <w:t>Sostuvo que no se supo dónde e</w:t>
      </w:r>
      <w:r>
        <w:t>s</w:t>
      </w:r>
      <w:r>
        <w:t xml:space="preserve">tuvo el cuerpo de Díaz ni quién lo tuvo, pero sí que nunca pasó por </w:t>
      </w:r>
      <w:smartTag w:uri="urn:schemas-microsoft-com:office:smarttags" w:element="PersonName">
        <w:smartTagPr>
          <w:attr w:name="ProductID" w:val="la Comisar￭a"/>
        </w:smartTagPr>
        <w:r>
          <w:t>la Comisaría</w:t>
        </w:r>
      </w:smartTag>
      <w:r>
        <w:t xml:space="preserve"> 5ª ni por ningún hospital o san</w:t>
      </w:r>
      <w:r>
        <w:t>a</w:t>
      </w:r>
      <w:r>
        <w:t>torio de la zona. Explicó que los cuerpos que estaban sobre la v</w:t>
      </w:r>
      <w:r>
        <w:t>e</w:t>
      </w:r>
      <w:r>
        <w:t>reda fueron llevados inmediatamente a la mencionada se</w:t>
      </w:r>
      <w:r>
        <w:t>c</w:t>
      </w:r>
      <w:r>
        <w:t>cional, donde los fotografiaron. Luego, dijo, el juez di</w:t>
      </w:r>
      <w:r>
        <w:t>s</w:t>
      </w:r>
      <w:r>
        <w:t>puso que se remitieran a la morgue j</w:t>
      </w:r>
      <w:r>
        <w:t>u</w:t>
      </w:r>
      <w:r>
        <w:t>dicial y que los que se encontraran a partir de ese momento entre los e</w:t>
      </w:r>
      <w:r>
        <w:t>s</w:t>
      </w:r>
      <w:r>
        <w:t>combros también se enviaran a ese lugar, sin pasar por la depe</w:t>
      </w:r>
      <w:r>
        <w:t>n</w:t>
      </w:r>
      <w:r>
        <w:t>dencia policial referida. Agregó que los cuerpos que est</w:t>
      </w:r>
      <w:r>
        <w:t>u</w:t>
      </w:r>
      <w:r>
        <w:t>vieron en la comisaría fu</w:t>
      </w:r>
      <w:r>
        <w:t>e</w:t>
      </w:r>
      <w:r>
        <w:t>ron once -ninguno de ellos el de Díaz- e ingresaron a la mo</w:t>
      </w:r>
      <w:r>
        <w:t>r</w:t>
      </w:r>
      <w:r>
        <w:t>gue a las 15.00, conforme surge del listado de registro de expediente de fs. 1312 del l</w:t>
      </w:r>
      <w:r>
        <w:t>e</w:t>
      </w:r>
      <w:r>
        <w:t>gajo de in</w:t>
      </w:r>
      <w:r>
        <w:t>s</w:t>
      </w:r>
      <w:r>
        <w:t>trucción suplementaria.</w:t>
      </w:r>
    </w:p>
    <w:p w:rsidR="00224567" w:rsidRDefault="00224567">
      <w:pPr>
        <w:widowControl w:val="0"/>
      </w:pPr>
      <w:r>
        <w:tab/>
        <w:t>Explicó que en el patio de esa secci</w:t>
      </w:r>
      <w:r>
        <w:t>o</w:t>
      </w:r>
      <w:r>
        <w:lastRenderedPageBreak/>
        <w:t>nal se obtuvieron fotografías de los once c</w:t>
      </w:r>
      <w:r>
        <w:t>a</w:t>
      </w:r>
      <w:r>
        <w:t>dáveres –anexos 1 y 6 que corren por cuerda- y ninguna corre</w:t>
      </w:r>
      <w:r>
        <w:t>s</w:t>
      </w:r>
      <w:r>
        <w:t>pondía a Díaz. Consideró que por el lugar donde estaba trabajando Díaz y el bajo nivel de escombros que había en la vereda de su edificio debió necesariamente ser uno de los prim</w:t>
      </w:r>
      <w:r>
        <w:t>e</w:t>
      </w:r>
      <w:r>
        <w:t>ros cuerpos hallados, pese a lo cual nunca fue llevado a la c</w:t>
      </w:r>
      <w:r>
        <w:t>o</w:t>
      </w:r>
      <w:r>
        <w:t>misaría referida.</w:t>
      </w:r>
    </w:p>
    <w:p w:rsidR="00224567" w:rsidRDefault="00224567">
      <w:pPr>
        <w:widowControl w:val="0"/>
      </w:pPr>
      <w:r>
        <w:tab/>
        <w:t>En ese sentido, mencionó los testim</w:t>
      </w:r>
      <w:r>
        <w:t>o</w:t>
      </w:r>
      <w:r>
        <w:t xml:space="preserve">nios del jefe de judiciales de </w:t>
      </w:r>
      <w:smartTag w:uri="urn:schemas-microsoft-com:office:smarttags" w:element="PersonName">
        <w:smartTagPr>
          <w:attr w:name="ProductID" w:val="la Comisar￭a"/>
        </w:smartTagPr>
        <w:r>
          <w:t>la Comisaría</w:t>
        </w:r>
      </w:smartTag>
      <w:r>
        <w:t xml:space="preserve"> 5ª, Ángel Eduardo Pignato, y del oficial Miguel Á</w:t>
      </w:r>
      <w:r>
        <w:t>n</w:t>
      </w:r>
      <w:r>
        <w:t>gel Castro -encargado de recibir los cuerpos en la morgue- quienes confirmaron enfáticamente que Díaz nunca pasó por esa se</w:t>
      </w:r>
      <w:r>
        <w:t>c</w:t>
      </w:r>
      <w:r>
        <w:t>cional, así como también el de Hilda Ester Delescabe, e</w:t>
      </w:r>
      <w:r>
        <w:t>s</w:t>
      </w:r>
      <w:r>
        <w:t>posa del portero Díaz, quien declaró haber concurrido v</w:t>
      </w:r>
      <w:r>
        <w:t>a</w:t>
      </w:r>
      <w:r>
        <w:t>rias veces a la d</w:t>
      </w:r>
      <w:r>
        <w:t>e</w:t>
      </w:r>
      <w:r>
        <w:t>pendencia policial, donde nunca encontró el cuerpo.</w:t>
      </w:r>
    </w:p>
    <w:p w:rsidR="00224567" w:rsidRDefault="00224567">
      <w:pPr>
        <w:widowControl w:val="0"/>
      </w:pPr>
      <w:r>
        <w:tab/>
        <w:t>Sostuvo, conforme los testimonios r</w:t>
      </w:r>
      <w:r>
        <w:t>e</w:t>
      </w:r>
      <w:r>
        <w:t>señados y demás con</w:t>
      </w:r>
      <w:r>
        <w:t>s</w:t>
      </w:r>
      <w:r>
        <w:t>tancias de la causa, que el cuerpo de Díaz ingresó a la morgue recién a las 17.00, sin poder d</w:t>
      </w:r>
      <w:r>
        <w:t>e</w:t>
      </w:r>
      <w:r>
        <w:t>terminarse de qué forma lo hizo. Consideró fuera de toda lógica suponer que el cadáver fue e</w:t>
      </w:r>
      <w:r>
        <w:t>n</w:t>
      </w:r>
      <w:r>
        <w:t xml:space="preserve">contrado cerca de ese </w:t>
      </w:r>
      <w:r>
        <w:lastRenderedPageBreak/>
        <w:t>horario entre los escombros y de allí remitido directame</w:t>
      </w:r>
      <w:r>
        <w:t>n</w:t>
      </w:r>
      <w:r>
        <w:t>te a la morgue, porque el edificio donde él trabajaba no se derrumbó; según las fotos y videos el nivel de esco</w:t>
      </w:r>
      <w:r>
        <w:t>m</w:t>
      </w:r>
      <w:r>
        <w:t>bros existente en esa zona no era suficiente como para ocultar un cuerpo sin vida e impedir identificarlo rápid</w:t>
      </w:r>
      <w:r>
        <w:t>a</w:t>
      </w:r>
      <w:r>
        <w:t>mente. Agregó que varios habitantes de Pasteur 632 evacu</w:t>
      </w:r>
      <w:r>
        <w:t>a</w:t>
      </w:r>
      <w:r>
        <w:t>ron el edificio inmediatamente después de la explosión y no vieron el cue</w:t>
      </w:r>
      <w:r>
        <w:t>r</w:t>
      </w:r>
      <w:r>
        <w:t>po del portero, su mujer llegó al lugar a los pocos minutos de la explosión y tampoco lo e</w:t>
      </w:r>
      <w:r>
        <w:t>n</w:t>
      </w:r>
      <w:r>
        <w:t>contró y ninguna de las personas que llegaron al lugar inmediat</w:t>
      </w:r>
      <w:r>
        <w:t>a</w:t>
      </w:r>
      <w:r>
        <w:t>mente, como el personal del S.A.M.E., bomberos, policías y socorristas, vieron el cuerpo, pese a que supuestamente presentaba las particulares características descriptas en párrafos anteriores.</w:t>
      </w:r>
    </w:p>
    <w:p w:rsidR="00224567" w:rsidRDefault="00224567">
      <w:pPr>
        <w:widowControl w:val="0"/>
      </w:pPr>
      <w:r>
        <w:tab/>
        <w:t>Alegó que lo relacionado con el amo</w:t>
      </w:r>
      <w:r>
        <w:t>r</w:t>
      </w:r>
      <w:r>
        <w:t>tiguador era verdaderamente llamativo, destacando una ci</w:t>
      </w:r>
      <w:r>
        <w:t>r</w:t>
      </w:r>
      <w:r>
        <w:t>cunstancia inadvertida tanto para la fiscalía como para las querellas: en el peritaje obra</w:t>
      </w:r>
      <w:r>
        <w:t>n</w:t>
      </w:r>
      <w:r>
        <w:t xml:space="preserve">te a fs. 58 del informe preliminar de bomberos, el perito Marcelo Leguizamón, a diferencia de otras pruebas periciales, determinó que en </w:t>
      </w:r>
      <w:r>
        <w:lastRenderedPageBreak/>
        <w:t>esa pieza no se detectó la presencia de sustancias const</w:t>
      </w:r>
      <w:r>
        <w:t>i</w:t>
      </w:r>
      <w:r>
        <w:t>tutivas de bajos explosivos, como así tampoco vestigios de a</w:t>
      </w:r>
      <w:r>
        <w:t>l</w:t>
      </w:r>
      <w:r>
        <w:t xml:space="preserve">tos explosivos. </w:t>
      </w:r>
    </w:p>
    <w:p w:rsidR="00224567" w:rsidRDefault="00224567">
      <w:pPr>
        <w:widowControl w:val="0"/>
      </w:pPr>
      <w:r>
        <w:tab/>
        <w:t xml:space="preserve">Señaló que ese fue el único peritaje practicado sobre supuestas piezas pertenecientes a </w:t>
      </w:r>
      <w:smartTag w:uri="urn:schemas-microsoft-com:office:smarttags" w:element="PersonName">
        <w:smartTagPr>
          <w:attr w:name="ProductID" w:val="la Trafic"/>
        </w:smartTagPr>
        <w:r>
          <w:t>la Tr</w:t>
        </w:r>
        <w:r>
          <w:t>a</w:t>
        </w:r>
        <w:r>
          <w:t>fic</w:t>
        </w:r>
      </w:smartTag>
      <w:r>
        <w:t xml:space="preserve"> cuyo resultado dio negativo, concluyendo que ese amo</w:t>
      </w:r>
      <w:r>
        <w:t>r</w:t>
      </w:r>
      <w:r>
        <w:t>tiguador nunca formó parte del contenedor explosivo util</w:t>
      </w:r>
      <w:r>
        <w:t>i</w:t>
      </w:r>
      <w:r>
        <w:t>zado porque, evidentemente, si hubi</w:t>
      </w:r>
      <w:r>
        <w:t>e</w:t>
      </w:r>
      <w:r>
        <w:t>ra pertenecido tendría que estar impregnado de alguna sustancia expl</w:t>
      </w:r>
      <w:r>
        <w:t>o</w:t>
      </w:r>
      <w:r>
        <w:t>siva. En el mismo se</w:t>
      </w:r>
      <w:r>
        <w:t>n</w:t>
      </w:r>
      <w:r>
        <w:t>tido, agregó que varios testigos dijeron que por la composición molecular y una serie de e</w:t>
      </w:r>
      <w:r>
        <w:t>x</w:t>
      </w:r>
      <w:r>
        <w:t>plicaciones era prácticamente imposible despegar el amonal de los cuerpos metálicos, ya que como consecuencia de una altísima expl</w:t>
      </w:r>
      <w:r>
        <w:t>o</w:t>
      </w:r>
      <w:r>
        <w:t>sión el calor funde el metal con el componente explosivo.</w:t>
      </w:r>
    </w:p>
    <w:p w:rsidR="00224567" w:rsidRDefault="00224567">
      <w:pPr>
        <w:widowControl w:val="0"/>
      </w:pPr>
      <w:r>
        <w:tab/>
        <w:t>Argumentó que nunca el amortiguador pudo haber ingresado al cuerpo de Díaz de esa manera si se encontraba barriendo la vereda y la camioneta explotó en la forma en que lo explicó el cuerpo de explosivos de bo</w:t>
      </w:r>
      <w:r>
        <w:t>m</w:t>
      </w:r>
      <w:r>
        <w:t>beros. Asimismo, consideró probado que para que el amort</w:t>
      </w:r>
      <w:r>
        <w:t>i</w:t>
      </w:r>
      <w:r>
        <w:t>guador ingresase en el cuerpo de Díaz se necesitaba una fuerza determ</w:t>
      </w:r>
      <w:r>
        <w:t>i</w:t>
      </w:r>
      <w:r>
        <w:t xml:space="preserve">nada y la explosión no es la única forma de </w:t>
      </w:r>
      <w:r>
        <w:lastRenderedPageBreak/>
        <w:t>generar esa fuerza, concluyendo que quien colocó una bomba para matar a ochenta y cinco personas inocentes y trata de justificar el hecho, no tendría problemas en cometer cua</w:t>
      </w:r>
      <w:r>
        <w:t>l</w:t>
      </w:r>
      <w:r>
        <w:t>quier hecho de carácter ab</w:t>
      </w:r>
      <w:r>
        <w:t>e</w:t>
      </w:r>
      <w:r>
        <w:t>rrante, tal como introducir un amortiguador en el cuerpo de un muerto.</w:t>
      </w:r>
    </w:p>
    <w:p w:rsidR="00224567" w:rsidRDefault="00224567">
      <w:pPr>
        <w:widowControl w:val="0"/>
      </w:pPr>
      <w:r>
        <w:tab/>
        <w:t>Seguidamente hizo referencia a los s</w:t>
      </w:r>
      <w:r>
        <w:t>e</w:t>
      </w:r>
      <w:r>
        <w:t>cuestros de piezas y confección de actas. Al respecto co</w:t>
      </w:r>
      <w:r>
        <w:t>n</w:t>
      </w:r>
      <w:r>
        <w:t>sideró que estos procedimientos deberían haberse hecho de acuerdo a las prescripciones del código de forma, pero, ante la falta de instrucciones claras y precisas al re</w:t>
      </w:r>
      <w:r>
        <w:t>s</w:t>
      </w:r>
      <w:r>
        <w:t>pecto por parte del juez instructor, quienes confeccion</w:t>
      </w:r>
      <w:r>
        <w:t>a</w:t>
      </w:r>
      <w:r>
        <w:t>ron dichas actas hicieron lo que les p</w:t>
      </w:r>
      <w:r>
        <w:t>a</w:t>
      </w:r>
      <w:r>
        <w:t>reció.</w:t>
      </w:r>
    </w:p>
    <w:p w:rsidR="00224567" w:rsidRDefault="00224567">
      <w:pPr>
        <w:widowControl w:val="0"/>
      </w:pPr>
      <w:r>
        <w:tab/>
        <w:t>Dedujo que luego de los primeros m</w:t>
      </w:r>
      <w:r>
        <w:t>o</w:t>
      </w:r>
      <w:r>
        <w:t>mentos después de la explosión, una vez que se i</w:t>
      </w:r>
      <w:r>
        <w:t>m</w:t>
      </w:r>
      <w:r>
        <w:t>plantó el orden en el lugar, los secuestros de elementos debieron haberse realizado de la forma en que lo especificaba el Código Procesal Penal y, de hecho, muchísimos secuestros fueron hechos en lugares supuestamente peligrosos o alt</w:t>
      </w:r>
      <w:r>
        <w:t>a</w:t>
      </w:r>
      <w:r>
        <w:t>mente peligrosos y con testigos.</w:t>
      </w:r>
    </w:p>
    <w:p w:rsidR="00224567" w:rsidRDefault="00224567">
      <w:pPr>
        <w:widowControl w:val="0"/>
      </w:pPr>
      <w:r>
        <w:tab/>
        <w:t>Destacó que para determinar las irr</w:t>
      </w:r>
      <w:r>
        <w:t>e</w:t>
      </w:r>
      <w:r>
        <w:lastRenderedPageBreak/>
        <w:t>gularidades de estas actuaciones habría que r</w:t>
      </w:r>
      <w:r>
        <w:t>e</w:t>
      </w:r>
      <w:r>
        <w:t>montarse al inicio de la causa. En este sentido, consideró que este expediente es falso ideológicamente desde el acta de fs. 1, ya que si bien tiene fecha del 18 de julio de 1994, d</w:t>
      </w:r>
      <w:r>
        <w:t>e</w:t>
      </w:r>
      <w:r>
        <w:t>bió haberse confeccionado entre el 21 ó 22 de ese mismo mes y año. Sustentó dicha afirmación en los testimonios de José Antonio Daniel Portaluri, quien dijo que había trab</w:t>
      </w:r>
      <w:r>
        <w:t>a</w:t>
      </w:r>
      <w:r>
        <w:t>jado en la confección de ese instrumento pero no firmaba por hallarse bajo sumario administrativo, y Carlos Aleja</w:t>
      </w:r>
      <w:r>
        <w:t>n</w:t>
      </w:r>
      <w:r>
        <w:t>dro Heise, quien manifestó que tres o cuatro días después de ocurrido el atentado fue destinado al Departamento Pr</w:t>
      </w:r>
      <w:r>
        <w:t>o</w:t>
      </w:r>
      <w:r>
        <w:t>tección del Orden Const</w:t>
      </w:r>
      <w:r>
        <w:t>i</w:t>
      </w:r>
      <w:r>
        <w:t>tucional para redactar el acta en cuestión.</w:t>
      </w:r>
    </w:p>
    <w:p w:rsidR="00224567" w:rsidRDefault="00224567">
      <w:pPr>
        <w:widowControl w:val="0"/>
      </w:pPr>
      <w:r>
        <w:tab/>
        <w:t>Luego cuestionó el hallazgo del motor basándose para ello en el análisis de los testimonios de Carlos Alberto Bianco, Héctor Omar Rago, Roberto Omar Co</w:t>
      </w:r>
      <w:r>
        <w:t>r</w:t>
      </w:r>
      <w:r>
        <w:t>setti, Alberto Szwarc, Horacio Ángel Lopardo, Oscar Albe</w:t>
      </w:r>
      <w:r>
        <w:t>r</w:t>
      </w:r>
      <w:r>
        <w:t>to Urgu, Daniel Roberto Seara, Daniel Carlos Capra, Gu</w:t>
      </w:r>
      <w:r>
        <w:t>i</w:t>
      </w:r>
      <w:r>
        <w:t>llermo Pedro Scartascini, Zeev Livne, Dani Dror, Nahum Frenkel y del acta de fs. 226 del Informe Preliminar de Bomberos.</w:t>
      </w:r>
    </w:p>
    <w:p w:rsidR="00224567" w:rsidRDefault="00224567">
      <w:pPr>
        <w:widowControl w:val="0"/>
      </w:pPr>
      <w:r>
        <w:lastRenderedPageBreak/>
        <w:tab/>
        <w:t>Así, sostuvo que el testigo Bianco n</w:t>
      </w:r>
      <w:r>
        <w:t>a</w:t>
      </w:r>
      <w:r>
        <w:t>rró que a pocos minutos de producido el atentado entrevi</w:t>
      </w:r>
      <w:r>
        <w:t>s</w:t>
      </w:r>
      <w:r>
        <w:t>tó a un sujeto que recogía restos de elementos de alum</w:t>
      </w:r>
      <w:r>
        <w:t>i</w:t>
      </w:r>
      <w:r>
        <w:t>nio, como un bloque de motor. Respecto de Rago y Corse</w:t>
      </w:r>
      <w:r>
        <w:t>t</w:t>
      </w:r>
      <w:r>
        <w:t>ti, indicó que ambos señalaron que el hallazgo del motor se produjo con anterioridad al sábado 23 de j</w:t>
      </w:r>
      <w:r>
        <w:t>u</w:t>
      </w:r>
      <w:r>
        <w:t>lio de 1994.</w:t>
      </w:r>
    </w:p>
    <w:p w:rsidR="00224567" w:rsidRDefault="00224567">
      <w:pPr>
        <w:widowControl w:val="0"/>
      </w:pPr>
      <w:r>
        <w:tab/>
        <w:t>El letrado también indicó que Szwarc, al prestar declar</w:t>
      </w:r>
      <w:r>
        <w:t>a</w:t>
      </w:r>
      <w:r>
        <w:t>ción testimonial en el año 1996 ante el juez instructor, relató que el equipo de rescate israelí arribó al lugar de los hechos el 20 de julio de 1994 y el sábado siguiente, es decir el 23, presenció cuando se h</w:t>
      </w:r>
      <w:r>
        <w:t>a</w:t>
      </w:r>
      <w:r>
        <w:t>lló el motor cerca de los baños de la planta baja del ed</w:t>
      </w:r>
      <w:r>
        <w:t>i</w:t>
      </w:r>
      <w:r>
        <w:t>ficio derrumbado, siendo trasladado a la carpa de esa fuerza extranjera, donde se le pasó una tiza para ident</w:t>
      </w:r>
      <w:r>
        <w:t>i</w:t>
      </w:r>
      <w:r>
        <w:t>ficar el número de motor y se le sacaron fotografías, agregando que ese motor tenía bujías y fue trasladado de</w:t>
      </w:r>
      <w:r>
        <w:t>s</w:t>
      </w:r>
      <w:r>
        <w:t>de el lugar del hallazgo por cuatro o cinco personas, i</w:t>
      </w:r>
      <w:r>
        <w:t>n</w:t>
      </w:r>
      <w:r>
        <w:t>cluido él.</w:t>
      </w:r>
    </w:p>
    <w:p w:rsidR="00224567" w:rsidRDefault="00224567">
      <w:pPr>
        <w:widowControl w:val="0"/>
      </w:pPr>
      <w:r>
        <w:tab/>
        <w:t xml:space="preserve">El defensor refirió que cuando Szwarc declaró durante el debate, manifestó que el hallazgo había </w:t>
      </w:r>
      <w:r>
        <w:lastRenderedPageBreak/>
        <w:t>sido un día lunes y, al ser confro</w:t>
      </w:r>
      <w:r>
        <w:t>n</w:t>
      </w:r>
      <w:r>
        <w:t>tado con su declaración prestada en la etapa del sumario, dio una serie de expl</w:t>
      </w:r>
      <w:r>
        <w:t>i</w:t>
      </w:r>
      <w:r>
        <w:t>caciones y detalles al respecto.</w:t>
      </w:r>
    </w:p>
    <w:p w:rsidR="00224567" w:rsidRDefault="00224567">
      <w:pPr>
        <w:widowControl w:val="0"/>
      </w:pPr>
      <w:r>
        <w:tab/>
        <w:t>Así, el letrado manifestó que le ll</w:t>
      </w:r>
      <w:r>
        <w:t>a</w:t>
      </w:r>
      <w:r>
        <w:t>maba la atención que el testigo no hubiera narrado esos pormenores ante la instrucción para ubicar efectivamente la fecha del hallazgo del m</w:t>
      </w:r>
      <w:r>
        <w:t>o</w:t>
      </w:r>
      <w:r>
        <w:t>tor.</w:t>
      </w:r>
    </w:p>
    <w:p w:rsidR="00224567" w:rsidRDefault="00224567">
      <w:pPr>
        <w:widowControl w:val="0"/>
      </w:pPr>
      <w:r>
        <w:tab/>
        <w:t>Finalmente, hizo alusión a que el te</w:t>
      </w:r>
      <w:r>
        <w:t>s</w:t>
      </w:r>
      <w:r>
        <w:t>tigo de referencia dijo que cuando se encontró el motor había dos o tres bomberos y un civil de explosivos, ci</w:t>
      </w:r>
      <w:r>
        <w:t>r</w:t>
      </w:r>
      <w:r>
        <w:t>cunstancia que, a criterio del abogado, no fue corroborada por ninguno de los bomberos que declararon en la audie</w:t>
      </w:r>
      <w:r>
        <w:t>n</w:t>
      </w:r>
      <w:r>
        <w:t>cia.</w:t>
      </w:r>
    </w:p>
    <w:p w:rsidR="00224567" w:rsidRDefault="00224567">
      <w:pPr>
        <w:widowControl w:val="0"/>
      </w:pPr>
      <w:r>
        <w:tab/>
        <w:t>Por otra parte, señaló que, respecto al traslado del motor, Lopardo declaró que lo levantó él solo y lo llevó hasta el negocio de Moragues. Ante ello, el letrado se preguntó si era tan pesado para trasl</w:t>
      </w:r>
      <w:r>
        <w:t>a</w:t>
      </w:r>
      <w:r>
        <w:t>darlo entre cuatro o cinco como dijo Szwarc o si se trataba de otro motor.</w:t>
      </w:r>
    </w:p>
    <w:p w:rsidR="00224567" w:rsidRDefault="00224567">
      <w:pPr>
        <w:widowControl w:val="0"/>
      </w:pPr>
      <w:r>
        <w:tab/>
        <w:t>También mencionó el testimonio de U</w:t>
      </w:r>
      <w:r>
        <w:t>r</w:t>
      </w:r>
      <w:r>
        <w:t>gu, señalando que, si bien estuvo en el lugar de los h</w:t>
      </w:r>
      <w:r>
        <w:t>e</w:t>
      </w:r>
      <w:r>
        <w:lastRenderedPageBreak/>
        <w:t>chos desde el 18 de julio, dijo que no presenció el h</w:t>
      </w:r>
      <w:r>
        <w:t>a</w:t>
      </w:r>
      <w:r>
        <w:t>llazgo del motor.</w:t>
      </w:r>
    </w:p>
    <w:p w:rsidR="00224567" w:rsidRDefault="00224567">
      <w:pPr>
        <w:widowControl w:val="0"/>
      </w:pPr>
      <w:r>
        <w:tab/>
        <w:t>Apuntó que Seara declaró que el día del hallazgo del motor fue el 25 de julio de 1994, reco</w:t>
      </w:r>
      <w:r>
        <w:t>r</w:t>
      </w:r>
      <w:r>
        <w:t>dando que mientras se encontraba en Pa</w:t>
      </w:r>
      <w:r>
        <w:t>s</w:t>
      </w:r>
      <w:r>
        <w:t>teur entre Tucumán y Viamonte junto al subcomisario Capra observ</w:t>
      </w:r>
      <w:r>
        <w:t>a</w:t>
      </w:r>
      <w:r>
        <w:t>ron un grupo de personas del ejército israelí reunidos alrededor de a</w:t>
      </w:r>
      <w:r>
        <w:t>l</w:t>
      </w:r>
      <w:r>
        <w:t>go que, al acercarse, observaron que se trataba de un m</w:t>
      </w:r>
      <w:r>
        <w:t>o</w:t>
      </w:r>
      <w:r>
        <w:t>tor, a lo que el declarante les dijo que no se lo podían llevar, observando que los rescatistas no lo ente</w:t>
      </w:r>
      <w:r>
        <w:t>n</w:t>
      </w:r>
      <w:r>
        <w:t>dían por lo que solicitó a los gritos un intérprete, acercá</w:t>
      </w:r>
      <w:r>
        <w:t>n</w:t>
      </w:r>
      <w:r>
        <w:t>dose al lugar Szwarc para oficiar como traductor.</w:t>
      </w:r>
    </w:p>
    <w:p w:rsidR="00224567" w:rsidRDefault="00224567">
      <w:pPr>
        <w:widowControl w:val="0"/>
        <w:ind w:firstLine="708"/>
      </w:pPr>
      <w:r>
        <w:tab/>
        <w:t>El letrado consideró que dicha ci</w:t>
      </w:r>
      <w:r>
        <w:t>r</w:t>
      </w:r>
      <w:r>
        <w:t>cunstancia demostraba que si Szwarc hubiera est</w:t>
      </w:r>
      <w:r>
        <w:t>a</w:t>
      </w:r>
      <w:r>
        <w:t>do atento a lo que ocurría o junto al motor, tal como lo relatara, se hubiera percatado de la situación violenta narrada por Seara.</w:t>
      </w:r>
    </w:p>
    <w:p w:rsidR="00224567" w:rsidRDefault="00224567">
      <w:pPr>
        <w:widowControl w:val="0"/>
      </w:pPr>
      <w:r>
        <w:tab/>
        <w:t>Luego mencionó los testimonios de C</w:t>
      </w:r>
      <w:r>
        <w:t>a</w:t>
      </w:r>
      <w:r>
        <w:t>pra, quien manifestó se enteró del hallazgo del motor sin saber dónde se encontró, ya que no participó de dicha op</w:t>
      </w:r>
      <w:r>
        <w:t>e</w:t>
      </w:r>
      <w:r>
        <w:lastRenderedPageBreak/>
        <w:t>ración, aclarando que este testigo en ningún momento n</w:t>
      </w:r>
      <w:r>
        <w:t>a</w:t>
      </w:r>
      <w:r>
        <w:t>rró la circunstancia relatada por Seara, Lopardo o Szwarc re</w:t>
      </w:r>
      <w:r>
        <w:t>s</w:t>
      </w:r>
      <w:r>
        <w:t>pecto a la di</w:t>
      </w:r>
      <w:r>
        <w:t>s</w:t>
      </w:r>
      <w:r>
        <w:t>cusión por la posesión de la pieza entre la policía y los rescatistas israelíes; y de Scartascini, s</w:t>
      </w:r>
      <w:r>
        <w:t>e</w:t>
      </w:r>
      <w:r>
        <w:t xml:space="preserve">ñalando que relató que próximo a una carpa frente a </w:t>
      </w:r>
      <w:smartTag w:uri="urn:schemas-microsoft-com:office:smarttags" w:element="PersonName">
        <w:smartTagPr>
          <w:attr w:name="ProductID" w:val="la A.M"/>
        </w:smartTagPr>
        <w:r>
          <w:t>la A.M</w:t>
        </w:r>
      </w:smartTag>
      <w:r>
        <w:t>.I.A. estaban los restos de un motor de una sola pieza, con polvo, y restos de mampostería adosados, y que se su</w:t>
      </w:r>
      <w:r>
        <w:t>s</w:t>
      </w:r>
      <w:r>
        <w:t>citó una discusión entre el personal israelí y el de e</w:t>
      </w:r>
      <w:r>
        <w:t>x</w:t>
      </w:r>
      <w:r>
        <w:t>plosivos, agregando que no sabía ni quién ni dónde fue h</w:t>
      </w:r>
      <w:r>
        <w:t>a</w:t>
      </w:r>
      <w:r>
        <w:t>llado ese motor que estaba muy dañado, era casi un trozo de hierro cilíndrico. Ante ello, el Dr. Ubeira se preguntó cómo hizo Szwarc p</w:t>
      </w:r>
      <w:r>
        <w:t>a</w:t>
      </w:r>
      <w:r>
        <w:t>ra ver las bujías si era todo una masa uniforme de hierro.</w:t>
      </w:r>
    </w:p>
    <w:p w:rsidR="00224567" w:rsidRDefault="00224567">
      <w:pPr>
        <w:widowControl w:val="0"/>
      </w:pPr>
      <w:r>
        <w:tab/>
        <w:t>Seguidamente hizo referencia a los d</w:t>
      </w:r>
      <w:r>
        <w:t>i</w:t>
      </w:r>
      <w:r>
        <w:t>chos de Livne quien refirió que el personal de rescate i</w:t>
      </w:r>
      <w:r>
        <w:t>s</w:t>
      </w:r>
      <w:r>
        <w:t>raelí encontró el motor a las 18.30 del 25 de julio de 1994, y de Dror, quien manifestó que cuando se halló el motor estaba dentro de un comercio cercano al edificio d</w:t>
      </w:r>
      <w:r>
        <w:t>e</w:t>
      </w:r>
      <w:r>
        <w:t>rrumbado, aclarando que no le fue entregado a él, sino que lo vio por primera vez en el piso; agr</w:t>
      </w:r>
      <w:r>
        <w:t>e</w:t>
      </w:r>
      <w:r>
        <w:t>gó que el motor lo encontró Frenkel.</w:t>
      </w:r>
    </w:p>
    <w:p w:rsidR="00224567" w:rsidRDefault="00224567">
      <w:pPr>
        <w:pStyle w:val="Sangra3detindependiente"/>
        <w:widowControl w:val="0"/>
        <w:spacing w:line="600" w:lineRule="auto"/>
        <w:ind w:firstLine="0"/>
      </w:pPr>
      <w:r>
        <w:lastRenderedPageBreak/>
        <w:tab/>
        <w:t>También valoró el testimonio de este último, quien opo</w:t>
      </w:r>
      <w:r>
        <w:t>r</w:t>
      </w:r>
      <w:r>
        <w:t>tunamente relató que una vez ubicado el motor procedió a llamar a unos so</w:t>
      </w:r>
      <w:r>
        <w:t>l</w:t>
      </w:r>
      <w:r>
        <w:t>dados israelíes para que lo extrajeran de debajo de una viga, para lo que utiliz</w:t>
      </w:r>
      <w:r>
        <w:t>a</w:t>
      </w:r>
      <w:r>
        <w:t>ron una máquina tractor pequeña, detallando que el motor tenía barro y estaba todo sucio.</w:t>
      </w:r>
    </w:p>
    <w:p w:rsidR="00224567" w:rsidRDefault="00224567">
      <w:pPr>
        <w:widowControl w:val="0"/>
      </w:pPr>
      <w:r>
        <w:tab/>
        <w:t>Al respecto, el letrado concluyó que este relato se contradecía con los dichos de Szwarc, L</w:t>
      </w:r>
      <w:r>
        <w:t>o</w:t>
      </w:r>
      <w:r>
        <w:t>pardo y Seara y se preguntó cuál era la verdad de las ci</w:t>
      </w:r>
      <w:r>
        <w:t>r</w:t>
      </w:r>
      <w:r>
        <w:t>cunstancias relatadas por los te</w:t>
      </w:r>
      <w:r>
        <w:t>s</w:t>
      </w:r>
      <w:r>
        <w:t>tigos presenciales de ese hecho y si el motor exhibido en la audiencia sería mismo que el secuestr</w:t>
      </w:r>
      <w:r>
        <w:t>a</w:t>
      </w:r>
      <w:r>
        <w:t xml:space="preserve">do entre los escombros de </w:t>
      </w:r>
      <w:smartTag w:uri="urn:schemas-microsoft-com:office:smarttags" w:element="PersonName">
        <w:smartTagPr>
          <w:attr w:name="ProductID" w:val="la A.M"/>
        </w:smartTagPr>
        <w:r>
          <w:t>la A.M</w:t>
        </w:r>
      </w:smartTag>
      <w:r>
        <w:t>.I.A.</w:t>
      </w:r>
    </w:p>
    <w:p w:rsidR="00224567" w:rsidRDefault="00224567">
      <w:pPr>
        <w:widowControl w:val="0"/>
      </w:pPr>
      <w:r>
        <w:tab/>
        <w:t>Asimismo, el Dr. Ubeira planteó el s</w:t>
      </w:r>
      <w:r>
        <w:t>i</w:t>
      </w:r>
      <w:r>
        <w:t>guiente interrogante: ¿por qué el juez instru</w:t>
      </w:r>
      <w:r>
        <w:t>c</w:t>
      </w:r>
      <w:r>
        <w:t>tor no pudo darle instrucciones al jefe de los bo</w:t>
      </w:r>
      <w:r>
        <w:t>m</w:t>
      </w:r>
      <w:r>
        <w:t xml:space="preserve">beros de </w:t>
      </w:r>
      <w:smartTag w:uri="urn:schemas-microsoft-com:office:smarttags" w:element="PersonName">
        <w:smartTagPr>
          <w:attr w:name="ProductID" w:val="la Polic￭a Federal"/>
        </w:smartTagPr>
        <w:r>
          <w:t>la Policía Federal</w:t>
        </w:r>
      </w:smartTag>
      <w:r>
        <w:t xml:space="preserve"> que estuviera en el lugar, para que cuando apar</w:t>
      </w:r>
      <w:r>
        <w:t>e</w:t>
      </w:r>
      <w:r>
        <w:t>ciera el motor que supuestamente estaba colocado en el c</w:t>
      </w:r>
      <w:r>
        <w:t>o</w:t>
      </w:r>
      <w:r>
        <w:t>chebomba, nadie tocara absolutamente nada hasta que él personalmente, sus secretarios, alguna autoridad judicial o un fi</w:t>
      </w:r>
      <w:r>
        <w:t>s</w:t>
      </w:r>
      <w:r>
        <w:t>cal se hiciera presente?</w:t>
      </w:r>
    </w:p>
    <w:p w:rsidR="00224567" w:rsidRDefault="00224567">
      <w:pPr>
        <w:widowControl w:val="0"/>
      </w:pPr>
      <w:r>
        <w:lastRenderedPageBreak/>
        <w:tab/>
        <w:t>Respecto del acta de secuestro del m</w:t>
      </w:r>
      <w:r>
        <w:t>o</w:t>
      </w:r>
      <w:r>
        <w:t xml:space="preserve">tor obrante a fs. 224 del Informe Preliminar de </w:t>
      </w:r>
      <w:smartTag w:uri="urn:schemas-microsoft-com:office:smarttags" w:element="PersonName">
        <w:smartTagPr>
          <w:attr w:name="ProductID" w:val="la Superintendencia"/>
        </w:smartTagPr>
        <w:r>
          <w:t>la Supe</w:t>
        </w:r>
        <w:r>
          <w:t>r</w:t>
        </w:r>
        <w:r>
          <w:t>intendencia</w:t>
        </w:r>
      </w:smartTag>
      <w:r>
        <w:t xml:space="preserve"> de Bomberos, narró que fue confeccionada por Lopardo en presencia de los testigos Gustavo Hernán Mor</w:t>
      </w:r>
      <w:r>
        <w:t>a</w:t>
      </w:r>
      <w:r>
        <w:t>gues y Pablo Marcelo Garris. Cuestionó su validez, man</w:t>
      </w:r>
      <w:r>
        <w:t>i</w:t>
      </w:r>
      <w:r>
        <w:t>festando no coincidir con lo expresado por el Dr. Jacoby en su alegato, en cuanto a que si bien el acta no es vál</w:t>
      </w:r>
      <w:r>
        <w:t>i</w:t>
      </w:r>
      <w:r>
        <w:t>da, el secuestro se podría probar con los dichos de los testigos, circunstancia que, a su criterio, tampoco s</w:t>
      </w:r>
      <w:r>
        <w:t>e</w:t>
      </w:r>
      <w:r>
        <w:t>ría válida conforme el análisis de las declaraciones testim</w:t>
      </w:r>
      <w:r>
        <w:t>o</w:t>
      </w:r>
      <w:r>
        <w:t>niales referido en los párrafos ant</w:t>
      </w:r>
      <w:r>
        <w:t>e</w:t>
      </w:r>
      <w:r>
        <w:t>riores.</w:t>
      </w:r>
    </w:p>
    <w:p w:rsidR="00224567" w:rsidRDefault="00224567">
      <w:pPr>
        <w:widowControl w:val="0"/>
      </w:pPr>
      <w:r>
        <w:tab/>
        <w:t>El abogado se preguntó por qué en e</w:t>
      </w:r>
      <w:r>
        <w:t>s</w:t>
      </w:r>
      <w:r>
        <w:t>te caso los testigos servían y no cuando descartaban haber visto una Trafic.</w:t>
      </w:r>
    </w:p>
    <w:p w:rsidR="00224567" w:rsidRDefault="00224567">
      <w:pPr>
        <w:widowControl w:val="0"/>
      </w:pPr>
      <w:r>
        <w:tab/>
        <w:t>Sostuvo que el acta en cuestión no r</w:t>
      </w:r>
      <w:r>
        <w:t>e</w:t>
      </w:r>
      <w:r>
        <w:t>flejaba la verdad de lo acontecido. Basó dicha afi</w:t>
      </w:r>
      <w:r>
        <w:t>r</w:t>
      </w:r>
      <w:r>
        <w:t>mación en los dichos de Moragues y Garris, quienes fueron conte</w:t>
      </w:r>
      <w:r>
        <w:t>s</w:t>
      </w:r>
      <w:r>
        <w:t>tes en declarar que vieron el motor por pr</w:t>
      </w:r>
      <w:r>
        <w:t>i</w:t>
      </w:r>
      <w:r>
        <w:t>mera vez en el interior del comercio del primero de ellos, y también v</w:t>
      </w:r>
      <w:r>
        <w:t>a</w:t>
      </w:r>
      <w:r>
        <w:t>loró los testimonios de Corsetti, Szwarc y Scartascini, quienes, a su crit</w:t>
      </w:r>
      <w:r>
        <w:t>e</w:t>
      </w:r>
      <w:r>
        <w:t xml:space="preserve">rio, si bien hablaron de un motor, cada </w:t>
      </w:r>
      <w:r>
        <w:lastRenderedPageBreak/>
        <w:t>uno describió tres motores completamente difere</w:t>
      </w:r>
      <w:r>
        <w:t>n</w:t>
      </w:r>
      <w:r>
        <w:t>tes.</w:t>
      </w:r>
    </w:p>
    <w:p w:rsidR="00224567" w:rsidRDefault="00224567">
      <w:pPr>
        <w:widowControl w:val="0"/>
      </w:pPr>
      <w:r>
        <w:tab/>
        <w:t>Agregó que obran en la causa otras a</w:t>
      </w:r>
      <w:r>
        <w:t>c</w:t>
      </w:r>
      <w:r>
        <w:t>tas firmadas por Moragues y Garris, quienes a pesar de ello nunca presenciaron el secuestro de las piezas que d</w:t>
      </w:r>
      <w:r>
        <w:t>a</w:t>
      </w:r>
      <w:r>
        <w:t>ban cuenta, tal como lo explicara el último de los nombr</w:t>
      </w:r>
      <w:r>
        <w:t>a</w:t>
      </w:r>
      <w:r>
        <w:t>dos, citando como ejemplo la de fs. 209 del Informe Prel</w:t>
      </w:r>
      <w:r>
        <w:t>i</w:t>
      </w:r>
      <w:r>
        <w:t>minar de Bomberos.</w:t>
      </w:r>
    </w:p>
    <w:p w:rsidR="00224567" w:rsidRDefault="00224567">
      <w:pPr>
        <w:widowControl w:val="0"/>
      </w:pPr>
      <w:r>
        <w:tab/>
        <w:t>También cuestionó que si bien el mi</w:t>
      </w:r>
      <w:r>
        <w:t>s</w:t>
      </w:r>
      <w:r>
        <w:t>mo día fueron labradas muchas actas, algunas se confeccion</w:t>
      </w:r>
      <w:r>
        <w:t>a</w:t>
      </w:r>
      <w:r>
        <w:t>ron en presencia de testigos y otras no con la e</w:t>
      </w:r>
      <w:r>
        <w:t>x</w:t>
      </w:r>
      <w:r>
        <w:t>cusa del peligro inminente de d</w:t>
      </w:r>
      <w:r>
        <w:t>e</w:t>
      </w:r>
      <w:r>
        <w:t>rrumbes, la ausencia de civiles en la zona y las extremas med</w:t>
      </w:r>
      <w:r>
        <w:t>i</w:t>
      </w:r>
      <w:r>
        <w:t>das de seguridad. Al respecto, mencionó las actas de fs. 26, 37, 62, 65 y 66 del Informe Preliminar de Bomberos y las fs. 1044, 1046, 1057 y 1096.</w:t>
      </w:r>
    </w:p>
    <w:p w:rsidR="00224567" w:rsidRDefault="00224567">
      <w:pPr>
        <w:widowControl w:val="0"/>
      </w:pPr>
      <w:r>
        <w:tab/>
        <w:t>El letrado defensor se preguntó cómo era posible que los bomberos no convocaran te</w:t>
      </w:r>
      <w:r>
        <w:t>s</w:t>
      </w:r>
      <w:r>
        <w:t>tigos cuando había una gran cantidad de personas de Defensa Civil, c</w:t>
      </w:r>
      <w:r>
        <w:t>o</w:t>
      </w:r>
      <w:r>
        <w:t>laboradores y gente de la colectividad judía que trabajó entre los escombros, al momento del secuestro y hallazgo de elementos.</w:t>
      </w:r>
    </w:p>
    <w:p w:rsidR="00224567" w:rsidRDefault="00224567">
      <w:pPr>
        <w:widowControl w:val="0"/>
      </w:pPr>
      <w:r>
        <w:lastRenderedPageBreak/>
        <w:tab/>
        <w:t>Hizo referencia al cráter que d</w:t>
      </w:r>
      <w:r>
        <w:t>e</w:t>
      </w:r>
      <w:r>
        <w:t>jó la explosión, alegando que hubo muchas dudas respecto a su dimensión, ubicación e incluso a su exi</w:t>
      </w:r>
      <w:r>
        <w:t>s</w:t>
      </w:r>
      <w:r>
        <w:t>tencia misma.</w:t>
      </w:r>
    </w:p>
    <w:p w:rsidR="00224567" w:rsidRDefault="00224567">
      <w:pPr>
        <w:widowControl w:val="0"/>
      </w:pPr>
      <w:r>
        <w:tab/>
        <w:t xml:space="preserve">Agregó que también dudó con relación al tema de </w:t>
      </w:r>
      <w:smartTag w:uri="urn:schemas-microsoft-com:office:smarttags" w:element="PersonName">
        <w:smartTagPr>
          <w:attr w:name="ProductID" w:val="la Trafic"/>
        </w:smartTagPr>
        <w:r>
          <w:t>la Tr</w:t>
        </w:r>
        <w:r>
          <w:t>a</w:t>
        </w:r>
        <w:r>
          <w:t>fic</w:t>
        </w:r>
      </w:smartTag>
      <w:r>
        <w:t>, respecto de la que se sostuvo que la carrocería que contenía el motor hallado entre los esco</w:t>
      </w:r>
      <w:r>
        <w:t>m</w:t>
      </w:r>
      <w:r>
        <w:t xml:space="preserve">bros de </w:t>
      </w:r>
      <w:smartTag w:uri="urn:schemas-microsoft-com:office:smarttags" w:element="PersonName">
        <w:smartTagPr>
          <w:attr w:name="ProductID" w:val="la A.M"/>
        </w:smartTagPr>
        <w:r>
          <w:t>la A.M</w:t>
        </w:r>
      </w:smartTag>
      <w:r>
        <w:t>.I.A. perten</w:t>
      </w:r>
      <w:r>
        <w:t>e</w:t>
      </w:r>
      <w:r>
        <w:t>cería a Sarapura. Si bien esta Trafic no tenía puerta lateral, señaló que todo indicaba que el rodado que explotó sí la tenía, ya que se encontró la caj</w:t>
      </w:r>
      <w:r>
        <w:t>o</w:t>
      </w:r>
      <w:r>
        <w:t>nera “U” correspondiente a esa pieza.</w:t>
      </w:r>
    </w:p>
    <w:p w:rsidR="00224567" w:rsidRDefault="00224567">
      <w:pPr>
        <w:widowControl w:val="0"/>
      </w:pPr>
      <w:r>
        <w:tab/>
        <w:t xml:space="preserve">Respecto a la identificación de </w:t>
      </w:r>
      <w:smartTag w:uri="urn:schemas-microsoft-com:office:smarttags" w:element="PersonName">
        <w:smartTagPr>
          <w:attr w:name="ProductID" w:val="la Trafic"/>
        </w:smartTagPr>
        <w:r>
          <w:t>la Trafic</w:t>
        </w:r>
      </w:smartTag>
      <w:r>
        <w:t>, refirió que para el año 2000 no se sabía clarame</w:t>
      </w:r>
      <w:r>
        <w:t>n</w:t>
      </w:r>
      <w:r>
        <w:t>te cual había sido la carrocería que conformó el coche bomba, calificando dicha circunstancia como vergonzosa. Para ello se basó en los dichos de Horacio Ant</w:t>
      </w:r>
      <w:r>
        <w:t>o</w:t>
      </w:r>
      <w:r>
        <w:t>nio Stiuso, quien manifestó que no se había podido determinar efect</w:t>
      </w:r>
      <w:r>
        <w:t>i</w:t>
      </w:r>
      <w:r>
        <w:t>vamente qué camioneta fue la que utilizó Telleldín para colocar el motor quemado, y en el oficio de fs. 5483/5485 obrante en la causa nº 9789/00 del Juzgado Nacional en lo Criminal y Correccional Federal nº 11, Secretaría nº 22, del 9 de mayo de 2000, remit</w:t>
      </w:r>
      <w:r>
        <w:t>i</w:t>
      </w:r>
      <w:r>
        <w:t xml:space="preserve">do por los fiscales Mullen y </w:t>
      </w:r>
      <w:r>
        <w:lastRenderedPageBreak/>
        <w:t>Barbaccia al ministro del Interior, en el que se solicitó profundizar la investigación rel</w:t>
      </w:r>
      <w:r>
        <w:t>a</w:t>
      </w:r>
      <w:r>
        <w:t xml:space="preserve">cionada con el derrotero seguido por </w:t>
      </w:r>
      <w:smartTag w:uri="urn:schemas-microsoft-com:office:smarttags" w:element="PersonName">
        <w:smartTagPr>
          <w:attr w:name="ProductID" w:val="la Trafic"/>
        </w:smartTagPr>
        <w:r>
          <w:t>la Trafic</w:t>
        </w:r>
      </w:smartTag>
      <w:r>
        <w:t xml:space="preserve"> desde que fuera recibida por su asistido y su gr</w:t>
      </w:r>
      <w:r>
        <w:t>u</w:t>
      </w:r>
      <w:r>
        <w:t>po, como así también el destino que éstos le habrían dado a dicha camioneta.</w:t>
      </w:r>
    </w:p>
    <w:p w:rsidR="00224567" w:rsidRDefault="00224567">
      <w:pPr>
        <w:widowControl w:val="0"/>
      </w:pPr>
      <w:r>
        <w:tab/>
        <w:t>Si bien el letrado destacó el i</w:t>
      </w:r>
      <w:r>
        <w:t>n</w:t>
      </w:r>
      <w:r>
        <w:t xml:space="preserve">forme pericial confeccionado por miembros de </w:t>
      </w:r>
      <w:smartTag w:uri="urn:schemas-microsoft-com:office:smarttags" w:element="PersonName">
        <w:smartTagPr>
          <w:attr w:name="ProductID" w:val="la Universidad"/>
        </w:smartTagPr>
        <w:r>
          <w:t>la Universidad</w:t>
        </w:r>
      </w:smartTag>
      <w:r>
        <w:t xml:space="preserve"> de Tucumán, también hizo referencia a la opinión de uno de los expertos del F.B.I. en cuanto a que la tecnología ut</w:t>
      </w:r>
      <w:r>
        <w:t>i</w:t>
      </w:r>
      <w:r>
        <w:t>lizada por aquellos no tenía absolutamente ni</w:t>
      </w:r>
      <w:r>
        <w:t>n</w:t>
      </w:r>
      <w:r>
        <w:t>guna entidad para poder determinar la forma en que pudo producirse la explosión, concluyendo que de esa forma se estableció la duda respecto de ese peritaje. Resaltó que no era inte</w:t>
      </w:r>
      <w:r>
        <w:t>n</w:t>
      </w:r>
      <w:r>
        <w:t>ción de esa defensa cuestionar la exi</w:t>
      </w:r>
      <w:r>
        <w:t>s</w:t>
      </w:r>
      <w:r>
        <w:t>tencia de una Trafic o si la expl</w:t>
      </w:r>
      <w:r>
        <w:t>o</w:t>
      </w:r>
      <w:r>
        <w:t>sión se produjo con amonal u otro explosivo.</w:t>
      </w:r>
    </w:p>
    <w:p w:rsidR="00224567" w:rsidRDefault="00224567">
      <w:pPr>
        <w:widowControl w:val="0"/>
      </w:pPr>
      <w:r>
        <w:tab/>
        <w:t>Reseñó tener dudas sobre si esa cami</w:t>
      </w:r>
      <w:r>
        <w:t>o</w:t>
      </w:r>
      <w:r>
        <w:t>neta, o los restos hallados entre los escombros, eran exactamente el fiel reflejo de un cochebomba. Destacó la experiencia de la explosión llevada a cabo en Azul y la similitud de unos restos con los otros, lo que no signif</w:t>
      </w:r>
      <w:r>
        <w:t>i</w:t>
      </w:r>
      <w:r>
        <w:lastRenderedPageBreak/>
        <w:t>caba que la explosión hubiera ocurrido de la manera en que el Estado argentino consideró que oc</w:t>
      </w:r>
      <w:r>
        <w:t>u</w:t>
      </w:r>
      <w:r>
        <w:t>rrió, sino que por el contrario, a criterio de esa d</w:t>
      </w:r>
      <w:r>
        <w:t>e</w:t>
      </w:r>
      <w:r>
        <w:t>fensa, las dudas eran cada vez mayores.</w:t>
      </w:r>
    </w:p>
    <w:p w:rsidR="00224567" w:rsidRDefault="00224567">
      <w:pPr>
        <w:widowControl w:val="0"/>
      </w:pPr>
      <w:r>
        <w:tab/>
        <w:t xml:space="preserve">Señaló la actividad desplegada por </w:t>
      </w:r>
      <w:smartTag w:uri="urn:schemas-microsoft-com:office:smarttags" w:element="PersonName">
        <w:smartTagPr>
          <w:attr w:name="ProductID" w:val="la S.I"/>
        </w:smartTagPr>
        <w:r>
          <w:t>la S.I</w:t>
        </w:r>
      </w:smartTag>
      <w:r>
        <w:t>.D.E. con posterioridad al atentado, considerando ll</w:t>
      </w:r>
      <w:r>
        <w:t>a</w:t>
      </w:r>
      <w:r>
        <w:t>mativa la visita de sus agentes a la playa de estacion</w:t>
      </w:r>
      <w:r>
        <w:t>a</w:t>
      </w:r>
      <w:r>
        <w:t>miento del Sanatorio Otamendi y la circunstancia de no h</w:t>
      </w:r>
      <w:r>
        <w:t>a</w:t>
      </w:r>
      <w:r>
        <w:t xml:space="preserve">ber secuestrado la cinta de video que pudo registrar </w:t>
      </w:r>
      <w:smartTag w:uri="urn:schemas-microsoft-com:office:smarttags" w:element="PersonName">
        <w:smartTagPr>
          <w:attr w:name="ProductID" w:val="la Trafic"/>
        </w:smartTagPr>
        <w:r>
          <w:t>la Trafic</w:t>
        </w:r>
      </w:smartTag>
      <w:r>
        <w:t xml:space="preserve"> del atentado, tal como lo relató el testigo F</w:t>
      </w:r>
      <w:r>
        <w:t>a</w:t>
      </w:r>
      <w:r>
        <w:t>bián Alfredo Bustos.</w:t>
      </w:r>
    </w:p>
    <w:p w:rsidR="00224567" w:rsidRDefault="00224567">
      <w:pPr>
        <w:widowControl w:val="0"/>
      </w:pPr>
      <w:r>
        <w:tab/>
        <w:t>Agregó que también fue llamativo el tema Kanoore Edul, preguntándose cómo era posible que el 25 de julio de 1994 el juez Galeano firmara la solicitud de intervención telefónica del celular del nombrado si t</w:t>
      </w:r>
      <w:r>
        <w:t>o</w:t>
      </w:r>
      <w:r>
        <w:t>davía no había aparecido el bloque del motor y, por ende, el contacto telefónico por celular del 10 de ese mes con Telleldín. Con rel</w:t>
      </w:r>
      <w:r>
        <w:t>a</w:t>
      </w:r>
      <w:r>
        <w:t>ción a los oficios de fecha 25 y 26 de julio ese año, sostuvo que existía la posibilidad de com</w:t>
      </w:r>
      <w:r>
        <w:t>i</w:t>
      </w:r>
      <w:r>
        <w:t>sión del delito de falsificación de documento público y encubrimiento por parte del juez instructor y sus secret</w:t>
      </w:r>
      <w:r>
        <w:t>a</w:t>
      </w:r>
      <w:r>
        <w:lastRenderedPageBreak/>
        <w:t>rios, considerando necesario que se investigase para d</w:t>
      </w:r>
      <w:r>
        <w:t>e</w:t>
      </w:r>
      <w:r>
        <w:t>terminar si lo que ocurrió fue real. En ese sentido, me</w:t>
      </w:r>
      <w:r>
        <w:t>n</w:t>
      </w:r>
      <w:r>
        <w:t>cionó los testimonios del jefe de Observaciones Judici</w:t>
      </w:r>
      <w:r>
        <w:t>a</w:t>
      </w:r>
      <w:r>
        <w:t>les, Carlos María Pablo Lavie, quien explicó que el 9 de febrero de 2003 rem</w:t>
      </w:r>
      <w:r>
        <w:t>i</w:t>
      </w:r>
      <w:r>
        <w:t>tió un oficio a este Tribunal diciendo que su igual del 25 de julio se había traspapelado, ind</w:t>
      </w:r>
      <w:r>
        <w:t>i</w:t>
      </w:r>
      <w:r>
        <w:t>cando el letrado que este testigo no tuvo en cuenta que su predecesor ya había enviado el original en el 2001. Ta</w:t>
      </w:r>
      <w:r>
        <w:t>m</w:t>
      </w:r>
      <w:r>
        <w:t>bién valoró los dichos de María Susana Spina, quien decl</w:t>
      </w:r>
      <w:r>
        <w:t>a</w:t>
      </w:r>
      <w:r>
        <w:t>ró que era imposible que el 25 de julio de 1994 hubiera firmado ese oficio porque en esa fecha estaba en Venezu</w:t>
      </w:r>
      <w:r>
        <w:t>e</w:t>
      </w:r>
      <w:r>
        <w:t>la, y de Horacio Antonio Stiuso, que explicó la forma en que se obtuvo información de las compañías de telefonía celular.</w:t>
      </w:r>
    </w:p>
    <w:p w:rsidR="00224567" w:rsidRDefault="00224567">
      <w:pPr>
        <w:widowControl w:val="0"/>
      </w:pPr>
      <w:r>
        <w:tab/>
        <w:t xml:space="preserve">Indicó que personal de </w:t>
      </w:r>
      <w:smartTag w:uri="urn:schemas-microsoft-com:office:smarttags" w:element="PersonName">
        <w:smartTagPr>
          <w:attr w:name="ProductID" w:val="la S.I"/>
        </w:smartTagPr>
        <w:r>
          <w:t>la S.I</w:t>
        </w:r>
      </w:smartTag>
      <w:r>
        <w:t>.D.E. también estuvo en el Hotel Las Américas y solicitó la d</w:t>
      </w:r>
      <w:r>
        <w:t>o</w:t>
      </w:r>
      <w:r>
        <w:t>cumentación del 10 de julio en adelante, fecha que coinc</w:t>
      </w:r>
      <w:r>
        <w:t>i</w:t>
      </w:r>
      <w:r>
        <w:t xml:space="preserve">día con aquella en que supuestamente se vendió </w:t>
      </w:r>
      <w:smartTag w:uri="urn:schemas-microsoft-com:office:smarttags" w:element="PersonName">
        <w:smartTagPr>
          <w:attr w:name="ProductID" w:val="la Trafic."/>
        </w:smartTagPr>
        <w:r>
          <w:t>la Tr</w:t>
        </w:r>
        <w:r>
          <w:t>a</w:t>
        </w:r>
        <w:r>
          <w:t>fic.</w:t>
        </w:r>
      </w:smartTag>
    </w:p>
    <w:p w:rsidR="00224567" w:rsidRDefault="00224567">
      <w:pPr>
        <w:widowControl w:val="0"/>
      </w:pPr>
      <w:r>
        <w:tab/>
        <w:t xml:space="preserve">Consideró que </w:t>
      </w:r>
      <w:smartTag w:uri="urn:schemas-microsoft-com:office:smarttags" w:element="PersonName">
        <w:smartTagPr>
          <w:attr w:name="ProductID" w:val="la S.I"/>
        </w:smartTagPr>
        <w:r>
          <w:t>la S.I</w:t>
        </w:r>
      </w:smartTag>
      <w:r>
        <w:t>.D.E. se manejó con total impunidad durante la investigación, no apo</w:t>
      </w:r>
      <w:r>
        <w:t>r</w:t>
      </w:r>
      <w:r>
        <w:t xml:space="preserve">tando </w:t>
      </w:r>
      <w:r>
        <w:lastRenderedPageBreak/>
        <w:t>nunca las escuchas de los teléfonos que figuran en la foja 114. Agregó que ese organismo de intelige</w:t>
      </w:r>
      <w:r>
        <w:t>n</w:t>
      </w:r>
      <w:r>
        <w:t>cia del Estado, por lo menos durante cuarenta días a</w:t>
      </w:r>
      <w:r>
        <w:t>n</w:t>
      </w:r>
      <w:r>
        <w:t>tes de la explosión, estuvo monitoreando los movimie</w:t>
      </w:r>
      <w:r>
        <w:t>n</w:t>
      </w:r>
      <w:r>
        <w:t>tos de quien, según dijo, hoy aparece como responsable directo del atentado: Moshen Rabb</w:t>
      </w:r>
      <w:r>
        <w:t>a</w:t>
      </w:r>
      <w:r>
        <w:t>ni.</w:t>
      </w:r>
    </w:p>
    <w:p w:rsidR="00224567" w:rsidRDefault="00224567">
      <w:pPr>
        <w:widowControl w:val="0"/>
      </w:pPr>
      <w:r>
        <w:tab/>
        <w:t>Sostuvo que no surge de la causa ni</w:t>
      </w:r>
      <w:r>
        <w:t>n</w:t>
      </w:r>
      <w:r>
        <w:t>guna constancia de algún acto realizado por Ra</w:t>
      </w:r>
      <w:r>
        <w:t>b</w:t>
      </w:r>
      <w:r>
        <w:t>bani que lo vincule concretamente con actos de terrorismo, y m</w:t>
      </w:r>
      <w:r>
        <w:t>e</w:t>
      </w:r>
      <w:r>
        <w:t>nos aún surge una vinculación entre éste y Ribelli.</w:t>
      </w:r>
    </w:p>
    <w:p w:rsidR="00224567" w:rsidRDefault="00224567">
      <w:pPr>
        <w:widowControl w:val="0"/>
      </w:pPr>
      <w:r>
        <w:tab/>
        <w:t>Aseguró que tanto su defendido como el resto de los pol</w:t>
      </w:r>
      <w:r>
        <w:t>i</w:t>
      </w:r>
      <w:r>
        <w:t xml:space="preserve">cías no tenían nada que ver con </w:t>
      </w:r>
      <w:smartTag w:uri="urn:schemas-microsoft-com:office:smarttags" w:element="PersonName">
        <w:smartTagPr>
          <w:attr w:name="ProductID" w:val="la Trafic"/>
        </w:smartTagPr>
        <w:r>
          <w:t>la Trafic</w:t>
        </w:r>
      </w:smartTag>
      <w:r>
        <w:t xml:space="preserve"> ni con la conexión local del ate</w:t>
      </w:r>
      <w:r>
        <w:t>n</w:t>
      </w:r>
      <w:r>
        <w:t>tado.</w:t>
      </w:r>
    </w:p>
    <w:p w:rsidR="00224567" w:rsidRDefault="00224567">
      <w:pPr>
        <w:widowControl w:val="0"/>
      </w:pPr>
      <w:r>
        <w:tab/>
        <w:t>Respecto de la materialidad del hecho, concluyó que por la prueba reunida no hay ning</w:t>
      </w:r>
      <w:r>
        <w:t>u</w:t>
      </w:r>
      <w:r>
        <w:t>na certeza de que los hechos hayan ocurrido s</w:t>
      </w:r>
      <w:r>
        <w:t>e</w:t>
      </w:r>
      <w:r>
        <w:t>gún la versión oficial, ya sea por la ausencia de una prueba testimonial sólida que determine la existencia de una camioneta Trafic, o porque el amortiguador quedó co</w:t>
      </w:r>
      <w:r>
        <w:t>n</w:t>
      </w:r>
      <w:r>
        <w:t>trovertido por las propias pericias, o por el labrado de las actas; que tampoco hay certeza respecto al chasis del cochebomba que supuestame</w:t>
      </w:r>
      <w:r>
        <w:t>n</w:t>
      </w:r>
      <w:r>
        <w:lastRenderedPageBreak/>
        <w:t>te explotó. Agregó que la reconstrucción del hecho según los peritajes tampoco demostró la real</w:t>
      </w:r>
      <w:r>
        <w:t>i</w:t>
      </w:r>
      <w:r>
        <w:t>dad de cómo ocurrió la explosión porque también fueron controvertidos. Así, concl</w:t>
      </w:r>
      <w:r>
        <w:t>u</w:t>
      </w:r>
      <w:r>
        <w:t>yó que sólo hay dudas que, sumadas al comportamiento del servicio de inteligencia de E</w:t>
      </w:r>
      <w:r>
        <w:t>s</w:t>
      </w:r>
      <w:r>
        <w:t>tado antes y después del atentado, la conducta del juez Galeano cuando llegó de V</w:t>
      </w:r>
      <w:r>
        <w:t>e</w:t>
      </w:r>
      <w:r>
        <w:t>nezuela, lo relacionado con las intervenciones t</w:t>
      </w:r>
      <w:r>
        <w:t>e</w:t>
      </w:r>
      <w:r>
        <w:t>lefónicas de fs. 114 y el resultado de fs. 2818, hacían imposible llegar a algo concreto en esta causa. Añadió que esa re</w:t>
      </w:r>
      <w:r>
        <w:t>s</w:t>
      </w:r>
      <w:r>
        <w:t>ponsabilidad no era de su defendido Ribelli, sino del E</w:t>
      </w:r>
      <w:r>
        <w:t>s</w:t>
      </w:r>
      <w:r>
        <w:t>tado argentino -incluyendo a jueces, fiscales y servicio de inteligencia- y de las quer</w:t>
      </w:r>
      <w:r>
        <w:t>e</w:t>
      </w:r>
      <w:r>
        <w:t>llas.</w:t>
      </w:r>
    </w:p>
    <w:p w:rsidR="00224567" w:rsidRDefault="00224567">
      <w:pPr>
        <w:widowControl w:val="0"/>
      </w:pPr>
      <w:r>
        <w:tab/>
        <w:t>Seguidamente planteó que la falta de imparcialidad del juez instructor afectó el des</w:t>
      </w:r>
      <w:r>
        <w:t>a</w:t>
      </w:r>
      <w:r>
        <w:t>rrollo de la causa desde el 25 de julio de 1994, f</w:t>
      </w:r>
      <w:r>
        <w:t>e</w:t>
      </w:r>
      <w:r>
        <w:t>cha en la que el juez violó dicha regla porque decidió no seguir el anál</w:t>
      </w:r>
      <w:r>
        <w:t>i</w:t>
      </w:r>
      <w:r>
        <w:t>sis de la investigación co</w:t>
      </w:r>
      <w:r>
        <w:t>n</w:t>
      </w:r>
      <w:r>
        <w:t>forme a las pruebas objetivas, sino que lo hizo de acuerdo a las indicaciones del Poder Ejecutivo.</w:t>
      </w:r>
    </w:p>
    <w:p w:rsidR="00224567" w:rsidRDefault="00224567">
      <w:pPr>
        <w:widowControl w:val="0"/>
      </w:pPr>
      <w:r>
        <w:tab/>
        <w:t>Sostuvo que una prueba de la viol</w:t>
      </w:r>
      <w:r>
        <w:t>a</w:t>
      </w:r>
      <w:r>
        <w:t xml:space="preserve">ción </w:t>
      </w:r>
      <w:r>
        <w:lastRenderedPageBreak/>
        <w:t>de la regla de imparcialidad fue la resol</w:t>
      </w:r>
      <w:r>
        <w:t>u</w:t>
      </w:r>
      <w:r>
        <w:t xml:space="preserve">ción de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Federal"/>
        </w:smartTagPr>
        <w:r>
          <w:t>la Cámara Federal</w:t>
        </w:r>
      </w:smartTag>
      <w:r>
        <w:t xml:space="preserve"> de Apelaciones de Capital Federal de diciembre del 2003, en la que se hizo lugar a la rec</w:t>
      </w:r>
      <w:r>
        <w:t>u</w:t>
      </w:r>
      <w:r>
        <w:t>sación del Dr. Galeano siendo apart</w:t>
      </w:r>
      <w:r>
        <w:t>a</w:t>
      </w:r>
      <w:r>
        <w:t>do de la causa.</w:t>
      </w:r>
    </w:p>
    <w:p w:rsidR="00224567" w:rsidRDefault="00224567">
      <w:pPr>
        <w:widowControl w:val="0"/>
      </w:pPr>
      <w:r>
        <w:tab/>
        <w:t>Consideró que la declaración de T</w:t>
      </w:r>
      <w:r>
        <w:t>e</w:t>
      </w:r>
      <w:r>
        <w:t>lleldín del 5 de julio de 1996 era un colofón de una act</w:t>
      </w:r>
      <w:r>
        <w:t>i</w:t>
      </w:r>
      <w:r>
        <w:t>vidad iniciada con la visita del juez instructor a la quinta de Olivos al regresar de Ven</w:t>
      </w:r>
      <w:r>
        <w:t>e</w:t>
      </w:r>
      <w:r>
        <w:t>zuela.</w:t>
      </w:r>
    </w:p>
    <w:p w:rsidR="00224567" w:rsidRDefault="00224567">
      <w:pPr>
        <w:widowControl w:val="0"/>
      </w:pPr>
      <w:r>
        <w:tab/>
        <w:t>El abogado indicó que la prisión pr</w:t>
      </w:r>
      <w:r>
        <w:t>e</w:t>
      </w:r>
      <w:r>
        <w:t>ventiva cumplida por su defendido fue una forma de ev</w:t>
      </w:r>
      <w:r>
        <w:t>i</w:t>
      </w:r>
      <w:r>
        <w:t>tar que, a través de su defensa, pudiera cuestionar al juez; incluso, agregó, lo privó de ejercer el derecho de defe</w:t>
      </w:r>
      <w:r>
        <w:t>n</w:t>
      </w:r>
      <w:r>
        <w:t>sa, ya que Ribelli no tenía acceso a la totalidad de la causa pues le negaban conocer la prueba a su favor, los legajos de intervenciones telefón</w:t>
      </w:r>
      <w:r>
        <w:t>i</w:t>
      </w:r>
      <w:r>
        <w:t>cas y los videos, no le entregaban fotocopias de la causa y le negaban la entrega de los registros de las empresas telefónicas. Agregó que se utilizó la “monstruosidad” de la causa para ocultar prueba y así perjudicar a su defendido, puesto que no p</w:t>
      </w:r>
      <w:r>
        <w:t>o</w:t>
      </w:r>
      <w:r>
        <w:t>día tener todos los elementos a su disposición para con</w:t>
      </w:r>
      <w:r>
        <w:t>o</w:t>
      </w:r>
      <w:r>
        <w:t>cer las actuaciones.</w:t>
      </w:r>
    </w:p>
    <w:p w:rsidR="00224567" w:rsidRDefault="00224567">
      <w:pPr>
        <w:widowControl w:val="0"/>
      </w:pPr>
      <w:r>
        <w:lastRenderedPageBreak/>
        <w:tab/>
        <w:t>Añadió que en el auto de procesamie</w:t>
      </w:r>
      <w:r>
        <w:t>n</w:t>
      </w:r>
      <w:r>
        <w:t>to de Ribelli, el Dr. Galeano volcó datos ine</w:t>
      </w:r>
      <w:r>
        <w:t>x</w:t>
      </w:r>
      <w:r>
        <w:t>actos y falsos.</w:t>
      </w:r>
    </w:p>
    <w:p w:rsidR="00224567" w:rsidRDefault="00224567">
      <w:pPr>
        <w:widowControl w:val="0"/>
      </w:pPr>
      <w:r>
        <w:tab/>
        <w:t>Sostuvo que la violación de la regla de imparcialidad afectó gravemente la instrucción, base sobre la que se sustenta el proceso oral. El letrado d</w:t>
      </w:r>
      <w:r>
        <w:t>e</w:t>
      </w:r>
      <w:r>
        <w:t>fensor consideró que durante esa etapa su defendido no e</w:t>
      </w:r>
      <w:r>
        <w:t>s</w:t>
      </w:r>
      <w:r>
        <w:t xml:space="preserve">tuvo amparado por las garantías del art. 18 de </w:t>
      </w:r>
      <w:smartTag w:uri="urn:schemas-microsoft-com:office:smarttags" w:element="PersonName">
        <w:smartTagPr>
          <w:attr w:name="ProductID" w:val="la Constituci￳n Nacional"/>
        </w:smartTagPr>
        <w:r>
          <w:t>la Const</w:t>
        </w:r>
        <w:r>
          <w:t>i</w:t>
        </w:r>
        <w:r>
          <w:t>tución Nacional</w:t>
        </w:r>
      </w:smartTag>
      <w:r>
        <w:t xml:space="preserve">, art. 10 de </w:t>
      </w:r>
      <w:smartTag w:uri="urn:schemas-microsoft-com:office:smarttags" w:element="PersonName">
        <w:smartTagPr>
          <w:attr w:name="ProductID" w:val="la Declaraci￳n Universal"/>
        </w:smartTagPr>
        <w:r>
          <w:t>la Declaración Universal</w:t>
        </w:r>
      </w:smartTag>
      <w:r>
        <w:t xml:space="preserve"> de Derechos Humanos, arts. 7, inc. 3º, y 8, inc. 1º, de </w:t>
      </w:r>
      <w:smartTag w:uri="urn:schemas-microsoft-com:office:smarttags" w:element="PersonName">
        <w:smartTagPr>
          <w:attr w:name="ProductID" w:val="la Convenci￳n Americana"/>
        </w:smartTagPr>
        <w:r>
          <w:t>la Convención Americana</w:t>
        </w:r>
      </w:smartTag>
      <w:r>
        <w:t xml:space="preserve"> de Derechos Humanos -Pacto de San J</w:t>
      </w:r>
      <w:r>
        <w:t>o</w:t>
      </w:r>
      <w:r>
        <w:t>sé de Costa Rica-, y arts. 9, inc. 3º, y 14 del Pacto I</w:t>
      </w:r>
      <w:r>
        <w:t>n</w:t>
      </w:r>
      <w:r>
        <w:t>ternacional de Derechos Civiles y Pol</w:t>
      </w:r>
      <w:r>
        <w:t>í</w:t>
      </w:r>
      <w:r>
        <w:t>ticos.</w:t>
      </w:r>
    </w:p>
    <w:p w:rsidR="00224567" w:rsidRDefault="00224567">
      <w:pPr>
        <w:widowControl w:val="0"/>
      </w:pPr>
      <w:r>
        <w:tab/>
        <w:t>Alegó que la prisión preventiva de R</w:t>
      </w:r>
      <w:r>
        <w:t>i</w:t>
      </w:r>
      <w:r>
        <w:t>belli era la secuela natural de un acto totalmente ileg</w:t>
      </w:r>
      <w:r>
        <w:t>í</w:t>
      </w:r>
      <w:r>
        <w:t>timo que fue su detención, ordenada el 12 de julio de 1996, auto que, a su entender, estaba afectado gr</w:t>
      </w:r>
      <w:r>
        <w:t>a</w:t>
      </w:r>
      <w:r>
        <w:t>vemente porque era a su vez la secuela de la declaración indagat</w:t>
      </w:r>
      <w:r>
        <w:t>o</w:t>
      </w:r>
      <w:r>
        <w:t>ria de Telleldín del 5 de julio de ese año.</w:t>
      </w:r>
    </w:p>
    <w:p w:rsidR="00224567" w:rsidRDefault="00224567">
      <w:pPr>
        <w:widowControl w:val="0"/>
      </w:pPr>
      <w:r>
        <w:tab/>
        <w:t>Planteó la nulidad de todo el proceso vinculado a su d</w:t>
      </w:r>
      <w:r>
        <w:t>e</w:t>
      </w:r>
      <w:r>
        <w:t xml:space="preserve">fendido y no sólo a partir del 5 de julio </w:t>
      </w:r>
      <w:r>
        <w:lastRenderedPageBreak/>
        <w:t>de 1996, considerando que en esa fecha finalizó una s</w:t>
      </w:r>
      <w:r>
        <w:t>e</w:t>
      </w:r>
      <w:r>
        <w:t>cuencia de actos preparatorios que se inició en mayo de 1995. Indicó que surgía claramente de este pr</w:t>
      </w:r>
      <w:r>
        <w:t>o</w:t>
      </w:r>
      <w:r>
        <w:t>ceso que se violaron todos los principios y garantías de su defendido, vulnerándose el principio de defensa en juicio, el debido proceso y la garantía de juez i</w:t>
      </w:r>
      <w:r>
        <w:t>m</w:t>
      </w:r>
      <w:r>
        <w:t>parcial.</w:t>
      </w:r>
    </w:p>
    <w:p w:rsidR="00224567" w:rsidRDefault="00224567">
      <w:pPr>
        <w:widowControl w:val="0"/>
      </w:pPr>
      <w:r>
        <w:tab/>
        <w:t>En el mismo sentido, hizo ref</w:t>
      </w:r>
      <w:r>
        <w:t>e</w:t>
      </w:r>
      <w:r>
        <w:t xml:space="preserve">rencia a los dichos de María Susana Spina y al alegato de </w:t>
      </w:r>
      <w:smartTag w:uri="urn:schemas-microsoft-com:office:smarttags" w:element="PersonName">
        <w:smartTagPr>
          <w:attr w:name="ProductID" w:val="La Dra. Nercellas"/>
        </w:smartTagPr>
        <w:r>
          <w:t>la Dra. Nercellas</w:t>
        </w:r>
      </w:smartTag>
      <w:r>
        <w:t>, respecto a que como éste era un proceso extr</w:t>
      </w:r>
      <w:r>
        <w:t>a</w:t>
      </w:r>
      <w:r>
        <w:t>ordinario, era necesario adoptar medidas extraordin</w:t>
      </w:r>
      <w:r>
        <w:t>a</w:t>
      </w:r>
      <w:r>
        <w:t>rias. Consideró que si bien el Tribunal tomó este tipo de med</w:t>
      </w:r>
      <w:r>
        <w:t>i</w:t>
      </w:r>
      <w:r>
        <w:t>das fue en cuanto a plazos prorrogables e interpretación de algunas normas del código, pero en lo esencial no fu</w:t>
      </w:r>
      <w:r>
        <w:t>e</w:t>
      </w:r>
      <w:r>
        <w:t>ron abandonadas las formas, circunstancia que sí ocurrió en el juzgado instructor, donde i</w:t>
      </w:r>
      <w:r>
        <w:t>n</w:t>
      </w:r>
      <w:r>
        <w:t>cluso esas reglas fueron quebra</w:t>
      </w:r>
      <w:r>
        <w:t>n</w:t>
      </w:r>
      <w:r>
        <w:t>tadas.</w:t>
      </w:r>
    </w:p>
    <w:p w:rsidR="00224567" w:rsidRDefault="00224567">
      <w:pPr>
        <w:widowControl w:val="0"/>
      </w:pPr>
      <w:r>
        <w:tab/>
        <w:t>Indicó que ese quebrantamiento fue justificado por la cantidad de muertos y heridos, la co</w:t>
      </w:r>
      <w:r>
        <w:t>n</w:t>
      </w:r>
      <w:r>
        <w:t>moción de la seguridad nacional y el rescate de víctimas y, si bien ello era comprensible en las primeras veint</w:t>
      </w:r>
      <w:r>
        <w:t>i</w:t>
      </w:r>
      <w:r>
        <w:t xml:space="preserve">cuatro o cuarenta y ocho horas de acaecida la explosión, </w:t>
      </w:r>
      <w:r>
        <w:lastRenderedPageBreak/>
        <w:t>luego continuaron abandonando las reglas del procedimie</w:t>
      </w:r>
      <w:r>
        <w:t>n</w:t>
      </w:r>
      <w:r>
        <w:t>to.</w:t>
      </w:r>
    </w:p>
    <w:p w:rsidR="00224567" w:rsidRDefault="00224567">
      <w:pPr>
        <w:widowControl w:val="0"/>
      </w:pPr>
      <w:r>
        <w:tab/>
        <w:t>Sostuvo que el Dr. Galeano prevaricó durante todo el proceso, pues no respetó ninguna de las garantías ni formas del código de proced</w:t>
      </w:r>
      <w:r>
        <w:t>i</w:t>
      </w:r>
      <w:r>
        <w:t>mientos.</w:t>
      </w:r>
    </w:p>
    <w:p w:rsidR="00224567" w:rsidRDefault="00224567">
      <w:pPr>
        <w:widowControl w:val="0"/>
      </w:pPr>
      <w:r>
        <w:tab/>
        <w:t>Seguidamente, el letrado defensor hizo una extensa y d</w:t>
      </w:r>
      <w:r>
        <w:t>e</w:t>
      </w:r>
      <w:r>
        <w:t>tallada reseña cronológica de cómo se fue gestando la causa “Brigadas" a partir de mayo de 1995, hasta marzo de 1998.</w:t>
      </w:r>
    </w:p>
    <w:p w:rsidR="00224567" w:rsidRDefault="00224567">
      <w:pPr>
        <w:widowControl w:val="0"/>
      </w:pPr>
      <w:r>
        <w:tab/>
        <w:t>Resaltó que esa reseña tendía a apu</w:t>
      </w:r>
      <w:r>
        <w:t>n</w:t>
      </w:r>
      <w:r>
        <w:t>talar la motivación de la nulidad sostenida, i</w:t>
      </w:r>
      <w:r>
        <w:t>n</w:t>
      </w:r>
      <w:r>
        <w:t>dicando que el perjuicio a su defendido era que llevaba siete años y algunos meses detenido como consecuencia de una causa a</w:t>
      </w:r>
      <w:r>
        <w:t>r</w:t>
      </w:r>
      <w:r>
        <w:t>mada por un juez parcial que prevaricó, coaccionó, creó testigos de identidad reservada y gestionó políticamente el pago de una suma de dinero para que se imputara a Rib</w:t>
      </w:r>
      <w:r>
        <w:t>e</w:t>
      </w:r>
      <w:r>
        <w:t>lli.</w:t>
      </w:r>
    </w:p>
    <w:p w:rsidR="00224567" w:rsidRDefault="00224567">
      <w:pPr>
        <w:widowControl w:val="0"/>
      </w:pPr>
      <w:r>
        <w:tab/>
        <w:t xml:space="preserve">Sostuvo que a la actividad del juez debía sumarse la de los fiscales, quienes actuaron fuera de los límites marcados por la ley para que su defendido </w:t>
      </w:r>
      <w:r>
        <w:lastRenderedPageBreak/>
        <w:t>estuviese en las cond</w:t>
      </w:r>
      <w:r>
        <w:t>i</w:t>
      </w:r>
      <w:r>
        <w:t>ciones que se encontraba al momento del alegato.</w:t>
      </w:r>
    </w:p>
    <w:p w:rsidR="00224567" w:rsidRDefault="00224567">
      <w:pPr>
        <w:widowControl w:val="0"/>
      </w:pPr>
      <w:r>
        <w:tab/>
        <w:t xml:space="preserve">Señaló que se conculcó el derecho de defensa en juicio, el debido proceso y el art. 18 de </w:t>
      </w:r>
      <w:smartTag w:uri="urn:schemas-microsoft-com:office:smarttags" w:element="PersonName">
        <w:smartTagPr>
          <w:attr w:name="ProductID" w:val="la Constituci￳n Nacional"/>
        </w:smartTagPr>
        <w:r>
          <w:t>la Constitución Nacional</w:t>
        </w:r>
      </w:smartTag>
      <w:r>
        <w:t xml:space="preserve"> y, por lo tanto, a pa</w:t>
      </w:r>
      <w:r>
        <w:t>r</w:t>
      </w:r>
      <w:r>
        <w:t>tir de mayo de 1995 todo el proceso era insanabl</w:t>
      </w:r>
      <w:r>
        <w:t>e</w:t>
      </w:r>
      <w:r>
        <w:t>mente nulo.</w:t>
      </w:r>
    </w:p>
    <w:p w:rsidR="00224567" w:rsidRDefault="00224567">
      <w:pPr>
        <w:widowControl w:val="0"/>
      </w:pPr>
      <w:r>
        <w:tab/>
        <w:t>Hizo referencia a la falsedad del r</w:t>
      </w:r>
      <w:r>
        <w:t>e</w:t>
      </w:r>
      <w:r>
        <w:t>conocimiento fotográfico efectuado por Guillermo Cot</w:t>
      </w:r>
      <w:r>
        <w:t>o</w:t>
      </w:r>
      <w:r>
        <w:t>ras, sindicando a Ibarra como uno de los polic</w:t>
      </w:r>
      <w:r>
        <w:t>í</w:t>
      </w:r>
      <w:r>
        <w:t xml:space="preserve">as que retiró </w:t>
      </w:r>
      <w:smartTag w:uri="urn:schemas-microsoft-com:office:smarttags" w:element="PersonName">
        <w:smartTagPr>
          <w:attr w:name="ProductID" w:val="la Trafic"/>
        </w:smartTagPr>
        <w:r>
          <w:t>la Trafic</w:t>
        </w:r>
      </w:smartTag>
      <w:r>
        <w:t xml:space="preserve"> el 10 de julio de 1994 de la casa de Telleldín. P</w:t>
      </w:r>
      <w:r>
        <w:t>a</w:t>
      </w:r>
      <w:r>
        <w:t>ra tal afirmación, más allá de los dichos de Telleldín, se basó en que el testigo mencionado era del entorno directo de Telleldín y fue diseñado para brindar una versión d</w:t>
      </w:r>
      <w:r>
        <w:t>e</w:t>
      </w:r>
      <w:r>
        <w:t>terminada en estas actuaciones.</w:t>
      </w:r>
    </w:p>
    <w:p w:rsidR="00224567" w:rsidRDefault="00224567">
      <w:pPr>
        <w:widowControl w:val="0"/>
      </w:pPr>
      <w:r>
        <w:tab/>
        <w:t>También hizo alusión al video del 1º de julio, donde se registró claramente al juez Galeano y el secretario De Gamas negociando con T</w:t>
      </w:r>
      <w:r>
        <w:t>e</w:t>
      </w:r>
      <w:r>
        <w:t>lleldín la suma de los USD 400.000 y consensuando la declaración para i</w:t>
      </w:r>
      <w:r>
        <w:t>m</w:t>
      </w:r>
      <w:r>
        <w:t>putar a su defendido y al resto de los policías, a la vez que mostró cómo Telleldín coordinaba con el juzgado el recon</w:t>
      </w:r>
      <w:r>
        <w:t>o</w:t>
      </w:r>
      <w:r>
        <w:t>cimiento fotogr</w:t>
      </w:r>
      <w:r>
        <w:t>á</w:t>
      </w:r>
      <w:r>
        <w:t>fico de Ibarra.</w:t>
      </w:r>
    </w:p>
    <w:p w:rsidR="00224567" w:rsidRDefault="00224567">
      <w:pPr>
        <w:widowControl w:val="0"/>
      </w:pPr>
      <w:r>
        <w:lastRenderedPageBreak/>
        <w:tab/>
        <w:t>Consideró que hubo otros testimonios que avalaron la falsedad del reconocimiento, como ser el del periodista Román Lejtman y su alusión a la e</w:t>
      </w:r>
      <w:r>
        <w:t>n</w:t>
      </w:r>
      <w:r>
        <w:t>trevista mantenida con Telleldín y el de Claudio Adrián Lifschitz, ex prosecretario del juzgado instructor, a</w:t>
      </w:r>
      <w:r>
        <w:t>n</w:t>
      </w:r>
      <w:r>
        <w:t xml:space="preserve">te </w:t>
      </w:r>
      <w:smartTag w:uri="urn:schemas-microsoft-com:office:smarttags" w:element="PersonName">
        <w:smartTagPr>
          <w:attr w:name="ProductID" w:val="la Comisi￳n Bicameral."/>
        </w:smartTagPr>
        <w:r>
          <w:t>la Comisión Bicameral.</w:t>
        </w:r>
      </w:smartTag>
      <w:r>
        <w:t xml:space="preserve"> También hizo mención del i</w:t>
      </w:r>
      <w:r>
        <w:t>n</w:t>
      </w:r>
      <w:r>
        <w:t xml:space="preserve">forme pericial de </w:t>
      </w:r>
      <w:smartTag w:uri="urn:schemas-microsoft-com:office:smarttags" w:element="PersonName">
        <w:smartTagPr>
          <w:attr w:name="ProductID" w:val="la Direcci￳n"/>
        </w:smartTagPr>
        <w:r>
          <w:t>la Dirección</w:t>
        </w:r>
      </w:smartTag>
      <w:r>
        <w:t xml:space="preserve"> de Policía Científica de Gendarmería Nacional obrante a fs. 5095/5126 del legajo de instrucción supl</w:t>
      </w:r>
      <w:r>
        <w:t>e</w:t>
      </w:r>
      <w:r>
        <w:t>mentaria, que determinó que en las fotografías de los imputados, entre las que se encontraba la nº 6 correspo</w:t>
      </w:r>
      <w:r>
        <w:t>n</w:t>
      </w:r>
      <w:r>
        <w:t>diente a Ibarra, las firmas habían sido estampadas con posterioridad a la imposición del número, circunstancia que, a criterio del letrado defensor, demostraba que sin dudas en el juzgado instructor se colocaron los números en dichas vistas fotográf</w:t>
      </w:r>
      <w:r>
        <w:t>i</w:t>
      </w:r>
      <w:r>
        <w:t>cas.</w:t>
      </w:r>
    </w:p>
    <w:p w:rsidR="00224567" w:rsidRDefault="00224567">
      <w:pPr>
        <w:widowControl w:val="0"/>
      </w:pPr>
      <w:r>
        <w:tab/>
        <w:t>Destacó algunos puntos para probar c</w:t>
      </w:r>
      <w:r>
        <w:t>ó</w:t>
      </w:r>
      <w:r>
        <w:t>mo esta causa fue toda una maniobra para perjudicar a R</w:t>
      </w:r>
      <w:r>
        <w:t>i</w:t>
      </w:r>
      <w:r>
        <w:t>belli.</w:t>
      </w:r>
    </w:p>
    <w:p w:rsidR="00224567" w:rsidRDefault="00224567">
      <w:pPr>
        <w:widowControl w:val="0"/>
      </w:pPr>
      <w:r>
        <w:tab/>
        <w:t>Así, hizo mención de la relación e</w:t>
      </w:r>
      <w:r>
        <w:t>n</w:t>
      </w:r>
      <w:r>
        <w:t>tre la ex camarista Riva Aramayo, el Dr. Beraja y Hugo Anz</w:t>
      </w:r>
      <w:r>
        <w:t>o</w:t>
      </w:r>
      <w:r>
        <w:lastRenderedPageBreak/>
        <w:t>rreguy.</w:t>
      </w:r>
    </w:p>
    <w:p w:rsidR="00224567" w:rsidRDefault="00224567">
      <w:pPr>
        <w:widowControl w:val="0"/>
      </w:pPr>
      <w:r>
        <w:tab/>
        <w:t>Señaló que a criterio de esa defensa existían en la causa distintos elementos objetivos que permitían pensar que una decisión del mas alto nivel pol</w:t>
      </w:r>
      <w:r>
        <w:t>í</w:t>
      </w:r>
      <w:r>
        <w:t>tico del país fue instrumentada por diferentes funcion</w:t>
      </w:r>
      <w:r>
        <w:t>a</w:t>
      </w:r>
      <w:r>
        <w:t>rios y partes con el fin de que, cumpliendo diferentes r</w:t>
      </w:r>
      <w:r>
        <w:t>o</w:t>
      </w:r>
      <w:r>
        <w:t>les, se llevara adelante una maniobra ilícita, que consi</w:t>
      </w:r>
      <w:r>
        <w:t>s</w:t>
      </w:r>
      <w:r>
        <w:t>tía en imputar falsamente a su defendido, generándose todo lo relacionado con la extorsión mediante la cual los pol</w:t>
      </w:r>
      <w:r>
        <w:t>i</w:t>
      </w:r>
      <w:r>
        <w:t>cías se apoderaron de una camioneta que, supuestamente, según los acusad</w:t>
      </w:r>
      <w:r>
        <w:t>o</w:t>
      </w:r>
      <w:r>
        <w:t xml:space="preserve">res, explotó en </w:t>
      </w:r>
      <w:smartTag w:uri="urn:schemas-microsoft-com:office:smarttags" w:element="PersonName">
        <w:smartTagPr>
          <w:attr w:name="ProductID" w:val="la A.M"/>
        </w:smartTagPr>
        <w:r>
          <w:t>la A.M</w:t>
        </w:r>
      </w:smartTag>
      <w:r>
        <w:t>.I.A.</w:t>
      </w:r>
    </w:p>
    <w:p w:rsidR="00224567" w:rsidRDefault="00224567">
      <w:pPr>
        <w:widowControl w:val="0"/>
      </w:pPr>
      <w:r>
        <w:tab/>
        <w:t xml:space="preserve">El abogado consideró que después de que </w:t>
      </w:r>
      <w:smartTag w:uri="urn:schemas-microsoft-com:office:smarttags" w:element="PersonName">
        <w:smartTagPr>
          <w:attr w:name="ProductID" w:val="la Dra. Riva"/>
        </w:smartTagPr>
        <w:r>
          <w:t>la Dra. Riva</w:t>
        </w:r>
      </w:smartTag>
      <w:r>
        <w:t xml:space="preserve"> Aramayo, el ministro Corach y el secret</w:t>
      </w:r>
      <w:r>
        <w:t>a</w:t>
      </w:r>
      <w:r>
        <w:t xml:space="preserve">rio de </w:t>
      </w:r>
      <w:smartTag w:uri="urn:schemas-microsoft-com:office:smarttags" w:element="PersonName">
        <w:smartTagPr>
          <w:attr w:name="ProductID" w:val="la S.I"/>
        </w:smartTagPr>
        <w:r>
          <w:t>la S.I</w:t>
        </w:r>
      </w:smartTag>
      <w:r>
        <w:t>.D.E. previnieron al juez in</w:t>
      </w:r>
      <w:r>
        <w:t>s</w:t>
      </w:r>
      <w:r>
        <w:t>tructor sobre lo que iba a hacer en estas actuaciones, se advirtió un ca</w:t>
      </w:r>
      <w:r>
        <w:t>m</w:t>
      </w:r>
      <w:r>
        <w:t>bio radical en la instrucción del proceso. Remarcó como llamativo que el Dr. G</w:t>
      </w:r>
      <w:r>
        <w:t>a</w:t>
      </w:r>
      <w:r>
        <w:t>leano no le tomara declaración a la ex camarista, sino que siempre extendiera notas sobre lo que ésta le manifestaba. También subrayó como suge</w:t>
      </w:r>
      <w:r>
        <w:t>s</w:t>
      </w:r>
      <w:r>
        <w:t>tivo el plano a mano alzada supuestamente realizado por T</w:t>
      </w:r>
      <w:r>
        <w:t>e</w:t>
      </w:r>
      <w:r>
        <w:t xml:space="preserve">lleldín, aportado por la nombrada y que resultó no corresponder al </w:t>
      </w:r>
      <w:r>
        <w:lastRenderedPageBreak/>
        <w:t>puño y letra del pr</w:t>
      </w:r>
      <w:r>
        <w:t>i</w:t>
      </w:r>
      <w:r>
        <w:t>mero. Destacó la presión de la opinión pública nacional e internacional ante la falta de result</w:t>
      </w:r>
      <w:r>
        <w:t>a</w:t>
      </w:r>
      <w:r>
        <w:t>dos en la causa A.M.I.A.</w:t>
      </w:r>
    </w:p>
    <w:p w:rsidR="00224567" w:rsidRDefault="00224567">
      <w:pPr>
        <w:widowControl w:val="0"/>
      </w:pPr>
      <w:r>
        <w:tab/>
        <w:t>Señaló que todo ello implicó que los factores de poder político y judicial se unieran bu</w:t>
      </w:r>
      <w:r>
        <w:t>s</w:t>
      </w:r>
      <w:r>
        <w:t>cando interlocutores y medios para plasmar, en pruebas fragu</w:t>
      </w:r>
      <w:r>
        <w:t>a</w:t>
      </w:r>
      <w:r>
        <w:t xml:space="preserve">das, la solución deseada. Así, sostuvo que cada personaje desempeñaba un rol: </w:t>
      </w:r>
      <w:smartTag w:uri="urn:schemas-microsoft-com:office:smarttags" w:element="PersonName">
        <w:smartTagPr>
          <w:attr w:name="ProductID" w:val="la Dra. Riva"/>
        </w:smartTagPr>
        <w:r>
          <w:t>la Dra. Riva</w:t>
        </w:r>
      </w:smartTag>
      <w:r>
        <w:t xml:space="preserve"> Aramayo cu</w:t>
      </w:r>
      <w:r>
        <w:t>m</w:t>
      </w:r>
      <w:r>
        <w:t>plía la tarea de “ablandamiento y confianza” con Telleldín, siendo d</w:t>
      </w:r>
      <w:r>
        <w:t>i</w:t>
      </w:r>
      <w:r>
        <w:t>recta interlocutora entre las instrucciones emanadas del poder ejecutivo y sus colegas de la cámara del fuero y el Dr. Galeano; Anzorreguy, que fue el mentor del juez in</w:t>
      </w:r>
      <w:r>
        <w:t>s</w:t>
      </w:r>
      <w:r>
        <w:t xml:space="preserve">tructor, en ese momento necesitaba de sus servicios para cumplimentar el plan ideado con el presidente de </w:t>
      </w:r>
      <w:smartTag w:uri="urn:schemas-microsoft-com:office:smarttags" w:element="PersonName">
        <w:smartTagPr>
          <w:attr w:name="ProductID" w:val="la Naci￳n"/>
        </w:smartTagPr>
        <w:r>
          <w:t>la N</w:t>
        </w:r>
        <w:r>
          <w:t>a</w:t>
        </w:r>
        <w:r>
          <w:t>ción</w:t>
        </w:r>
      </w:smartTag>
      <w:r>
        <w:t>, colocando los medios económicos y desplaza</w:t>
      </w:r>
      <w:r>
        <w:t>n</w:t>
      </w:r>
      <w:r>
        <w:t xml:space="preserve">do dentro de </w:t>
      </w:r>
      <w:smartTag w:uri="urn:schemas-microsoft-com:office:smarttags" w:element="PersonName">
        <w:smartTagPr>
          <w:attr w:name="ProductID" w:val="la S.I"/>
        </w:smartTagPr>
        <w:r>
          <w:t>la S.I</w:t>
        </w:r>
      </w:smartTag>
      <w:r>
        <w:t>.D.E. a cualquier opositor al plan maestro; Ber</w:t>
      </w:r>
      <w:r>
        <w:t>a</w:t>
      </w:r>
      <w:r>
        <w:t>ja, a cambio de determinados beneficios económicos a sus emprendimientos privados, se comprometía y lograba disc</w:t>
      </w:r>
      <w:r>
        <w:t>i</w:t>
      </w:r>
      <w:r>
        <w:t>plinar a la comunidad j</w:t>
      </w:r>
      <w:r>
        <w:t>u</w:t>
      </w:r>
      <w:r>
        <w:t>día; Corach, amigo de Beraja y de Riva Aramayo, sirvió como medio para implementar polític</w:t>
      </w:r>
      <w:r>
        <w:t>a</w:t>
      </w:r>
      <w:r>
        <w:lastRenderedPageBreak/>
        <w:t>mente no tener resistencia en su propio partido, en la c</w:t>
      </w:r>
      <w:r>
        <w:t>o</w:t>
      </w:r>
      <w:r>
        <w:t>lectividad e incluso en la opos</w:t>
      </w:r>
      <w:r>
        <w:t>i</w:t>
      </w:r>
      <w:r>
        <w:t>ción.</w:t>
      </w:r>
    </w:p>
    <w:p w:rsidR="00224567" w:rsidRDefault="00224567">
      <w:pPr>
        <w:widowControl w:val="0"/>
      </w:pPr>
      <w:r>
        <w:tab/>
        <w:t>Consideró que se violaron las dispos</w:t>
      </w:r>
      <w:r>
        <w:t>i</w:t>
      </w:r>
      <w:r>
        <w:t xml:space="preserve">ciones del art. 120 de </w:t>
      </w:r>
      <w:smartTag w:uri="urn:schemas-microsoft-com:office:smarttags" w:element="PersonName">
        <w:smartTagPr>
          <w:attr w:name="ProductID" w:val="la Constituci￳n Nacional"/>
        </w:smartTagPr>
        <w:r>
          <w:t>la Constitución Nacional</w:t>
        </w:r>
      </w:smartTag>
      <w:r>
        <w:t xml:space="preserve"> y el 25, inc. “h”, de la ley orgánica del Ministerio Público, ya que los fiscales Mullen y Barba</w:t>
      </w:r>
      <w:r>
        <w:t>c</w:t>
      </w:r>
      <w:r>
        <w:t>cia no hicieron nada de lo que expresan dichas normas, sino que por el contrario se asociaron a esta trama, participando y conociendo todos los pormen</w:t>
      </w:r>
      <w:r>
        <w:t>o</w:t>
      </w:r>
      <w:r>
        <w:t>res relacionados con el pago de Telleldín.</w:t>
      </w:r>
    </w:p>
    <w:p w:rsidR="00224567" w:rsidRDefault="00224567">
      <w:pPr>
        <w:widowControl w:val="0"/>
      </w:pPr>
      <w:r>
        <w:tab/>
        <w:t>En el mismo sentido, hizo alusión a la declaración de Miriam Salinas y a la manera vergo</w:t>
      </w:r>
      <w:r>
        <w:t>n</w:t>
      </w:r>
      <w:r>
        <w:t>zosa en que se usaron figuras como la de los testigos con ident</w:t>
      </w:r>
      <w:r>
        <w:t>i</w:t>
      </w:r>
      <w:r>
        <w:t>dad protegida.</w:t>
      </w:r>
    </w:p>
    <w:p w:rsidR="00224567" w:rsidRDefault="00224567">
      <w:pPr>
        <w:widowControl w:val="0"/>
      </w:pPr>
      <w:r>
        <w:tab/>
        <w:t>Resaltó lo promiscuo de las relaci</w:t>
      </w:r>
      <w:r>
        <w:t>o</w:t>
      </w:r>
      <w:r>
        <w:t xml:space="preserve">nes entre el juez Galeano, los fiscales y los agentes de </w:t>
      </w:r>
      <w:smartTag w:uri="urn:schemas-microsoft-com:office:smarttags" w:element="PersonName">
        <w:smartTagPr>
          <w:attr w:name="ProductID" w:val="la S.I"/>
        </w:smartTagPr>
        <w:r>
          <w:t>la S.I</w:t>
        </w:r>
      </w:smartTag>
      <w:r>
        <w:t>.D.E. durante t</w:t>
      </w:r>
      <w:r>
        <w:t>o</w:t>
      </w:r>
      <w:r>
        <w:t>da la instrucción de la causa.</w:t>
      </w:r>
    </w:p>
    <w:p w:rsidR="00224567" w:rsidRDefault="00224567">
      <w:pPr>
        <w:widowControl w:val="0"/>
      </w:pPr>
      <w:r>
        <w:tab/>
        <w:t>Remarcó que los fiscales Mullen y Ba</w:t>
      </w:r>
      <w:r>
        <w:t>r</w:t>
      </w:r>
      <w:r>
        <w:t>baccia conocían sobre el pago a Telleldín, circunstancia que fue ratificada por los dichos de Lifschitz, Stiuso y De Gamas.</w:t>
      </w:r>
    </w:p>
    <w:p w:rsidR="00224567" w:rsidRDefault="00224567">
      <w:pPr>
        <w:pStyle w:val="Sangra3detindependiente"/>
        <w:widowControl w:val="0"/>
        <w:spacing w:line="600" w:lineRule="auto"/>
        <w:ind w:firstLine="0"/>
      </w:pPr>
      <w:r>
        <w:tab/>
        <w:t xml:space="preserve">Señaló que el Dr. Barbaccia estuvo </w:t>
      </w:r>
      <w:r>
        <w:lastRenderedPageBreak/>
        <w:t xml:space="preserve">presente en la indagatoria de Telleldín y cuando ingresó un funcionario de </w:t>
      </w:r>
      <w:smartTag w:uri="urn:schemas-microsoft-com:office:smarttags" w:element="PersonName">
        <w:smartTagPr>
          <w:attr w:name="ProductID" w:val="la S.I"/>
        </w:smartTagPr>
        <w:r>
          <w:t>la S.I</w:t>
        </w:r>
      </w:smartTag>
      <w:r>
        <w:t>.D.E. con un celular a la audie</w:t>
      </w:r>
      <w:r>
        <w:t>n</w:t>
      </w:r>
      <w:r>
        <w:t>cia, al que llamó Boragni para avisarle a su m</w:t>
      </w:r>
      <w:r>
        <w:t>a</w:t>
      </w:r>
      <w:r>
        <w:t>rido que ya había cobrado el pago convenido, el fiscal, garante de la legalidad del proceso, no hizo dejar constancia de lo oc</w:t>
      </w:r>
      <w:r>
        <w:t>u</w:t>
      </w:r>
      <w:r>
        <w:t>rrido en el acta, concluyendo la defensa que el nombrado era partícipe del delito de falsedad ideológica de instr</w:t>
      </w:r>
      <w:r>
        <w:t>u</w:t>
      </w:r>
      <w:r>
        <w:t>mento público. En consecuencia, solicitó se extraigan te</w:t>
      </w:r>
      <w:r>
        <w:t>s</w:t>
      </w:r>
      <w:r>
        <w:t>timonios de las piezas procesales respectivas y se rem</w:t>
      </w:r>
      <w:r>
        <w:t>i</w:t>
      </w:r>
      <w:r>
        <w:t xml:space="preserve">tan al Consejo de </w:t>
      </w:r>
      <w:smartTag w:uri="urn:schemas-microsoft-com:office:smarttags" w:element="PersonName">
        <w:smartTagPr>
          <w:attr w:name="ProductID" w:val="la Magistratura"/>
        </w:smartTagPr>
        <w:r>
          <w:t>la Magistratura</w:t>
        </w:r>
      </w:smartTag>
      <w:r>
        <w:t xml:space="preserve"> y al Juzgado N</w:t>
      </w:r>
      <w:r>
        <w:t>a</w:t>
      </w:r>
      <w:r>
        <w:t>cional en lo Criminal y Correccional Federal nº 11 cargo del Dr. Bon</w:t>
      </w:r>
      <w:r>
        <w:t>a</w:t>
      </w:r>
      <w:r>
        <w:t>dío, a sus efectos.</w:t>
      </w:r>
    </w:p>
    <w:p w:rsidR="00224567" w:rsidRDefault="00224567">
      <w:pPr>
        <w:pStyle w:val="Sangra3detindependiente"/>
        <w:widowControl w:val="0"/>
        <w:spacing w:line="600" w:lineRule="auto"/>
        <w:ind w:firstLine="0"/>
      </w:pPr>
      <w:r>
        <w:tab/>
        <w:t>Insistió con lo vergonzosa que fue la actuación de los fiscales Mullen y Barbaccia, haciendo r</w:t>
      </w:r>
      <w:r>
        <w:t>e</w:t>
      </w:r>
      <w:r>
        <w:t>ferencia al oficio del 9 de mayo de 2000, remitido por é</w:t>
      </w:r>
      <w:r>
        <w:t>s</w:t>
      </w:r>
      <w:r>
        <w:t>tos al ministro del Interior de esa época, Federico Stor</w:t>
      </w:r>
      <w:r>
        <w:t>a</w:t>
      </w:r>
      <w:r>
        <w:t>ni, solicitando la realización de una serie de medidas i</w:t>
      </w:r>
      <w:r>
        <w:t>n</w:t>
      </w:r>
      <w:r>
        <w:t>vestigativas a seis años de producido el atentado, a cr</w:t>
      </w:r>
      <w:r>
        <w:t>i</w:t>
      </w:r>
      <w:r>
        <w:t>terio del defensor, inoportunas.</w:t>
      </w:r>
    </w:p>
    <w:p w:rsidR="00224567" w:rsidRDefault="00224567">
      <w:pPr>
        <w:pStyle w:val="Sangra3detindependiente"/>
        <w:widowControl w:val="0"/>
        <w:spacing w:line="600" w:lineRule="auto"/>
        <w:ind w:firstLine="0"/>
      </w:pPr>
      <w:r>
        <w:tab/>
        <w:t xml:space="preserve">Seguidamente el Dr. Ubeira hizo una </w:t>
      </w:r>
      <w:r>
        <w:lastRenderedPageBreak/>
        <w:t>nueva reseña cronológica relacionada con la forma en que fue incorporado su defendido a estas a</w:t>
      </w:r>
      <w:r>
        <w:t>c</w:t>
      </w:r>
      <w:r>
        <w:t>tuaciones, a partir de junio de 1995 en adelante. Al respecto, hizo hincapié en el sumario administrativo nº 266.506/96.</w:t>
      </w:r>
    </w:p>
    <w:p w:rsidR="00224567" w:rsidRDefault="00224567">
      <w:pPr>
        <w:widowControl w:val="0"/>
      </w:pPr>
      <w:r>
        <w:tab/>
        <w:t>Hizo mención del decreto de fs. 4 de la causa “Brigadas”, obrante a fs. 37.104, firm</w:t>
      </w:r>
      <w:r>
        <w:t>a</w:t>
      </w:r>
      <w:r>
        <w:t>do por el comisario mayor Ramón Oreste Verón, de la actuación de J</w:t>
      </w:r>
      <w:r>
        <w:t>o</w:t>
      </w:r>
      <w:r>
        <w:t>sé Carlos Bretschneider y Graciela Gómez en el marco de ese sumario.</w:t>
      </w:r>
    </w:p>
    <w:p w:rsidR="00224567" w:rsidRDefault="00224567">
      <w:pPr>
        <w:widowControl w:val="0"/>
      </w:pPr>
      <w:r>
        <w:tab/>
        <w:t>Al respecto, el letrado ilustró que Bretschneider imputó falsamente a Petrucci y T</w:t>
      </w:r>
      <w:r>
        <w:t>e</w:t>
      </w:r>
      <w:r>
        <w:t>lleldín, ya que el informe firmado por Gómez no decía que no habían ingresado sus fichas, sino que con un “juego de pal</w:t>
      </w:r>
      <w:r>
        <w:t>a</w:t>
      </w:r>
      <w:r>
        <w:t>bras” se agregó copia de las fichas de la nombrada y con los mismos datos de Teccedin se encontró un prontuario a no</w:t>
      </w:r>
      <w:r>
        <w:t>m</w:t>
      </w:r>
      <w:r>
        <w:t>bre de Telleldín, quien registraba varias órdenes de ca</w:t>
      </w:r>
      <w:r>
        <w:t>p</w:t>
      </w:r>
      <w:r>
        <w:t>tura vigentes.</w:t>
      </w:r>
    </w:p>
    <w:p w:rsidR="00224567" w:rsidRDefault="00224567">
      <w:pPr>
        <w:widowControl w:val="0"/>
      </w:pPr>
      <w:r>
        <w:tab/>
        <w:t xml:space="preserve">El Dr. Ubeira narró que quedó probado en el transcurso del debate que Teccedin fue fichado junto con Petrucci y ambas fichas fueron entregadas, mediante correo policial, a </w:t>
      </w:r>
      <w:smartTag w:uri="urn:schemas-microsoft-com:office:smarttags" w:element="PersonName">
        <w:smartTagPr>
          <w:attr w:name="ProductID" w:val="la Divisi￳n Antecedentes"/>
        </w:smartTagPr>
        <w:r>
          <w:t>la División Antecedentes</w:t>
        </w:r>
      </w:smartTag>
      <w:r>
        <w:t xml:space="preserve">, dependencia </w:t>
      </w:r>
      <w:r>
        <w:lastRenderedPageBreak/>
        <w:t>que, después de cinco días, contestó que carecían de ant</w:t>
      </w:r>
      <w:r>
        <w:t>e</w:t>
      </w:r>
      <w:r>
        <w:t>cedentes.</w:t>
      </w:r>
    </w:p>
    <w:p w:rsidR="00224567" w:rsidRDefault="00224567">
      <w:pPr>
        <w:widowControl w:val="0"/>
        <w:ind w:firstLine="2835"/>
      </w:pPr>
      <w:r>
        <w:t>Al respecto, hizo mérito de los test</w:t>
      </w:r>
      <w:r>
        <w:t>i</w:t>
      </w:r>
      <w:r>
        <w:t>monios de Enrique Luis Filipponi, Liliana Beatriz Guerr</w:t>
      </w:r>
      <w:r>
        <w:t>e</w:t>
      </w:r>
      <w:r>
        <w:t>ro, Heraldo Ezequiel Gullino, Jorge Luis García, Juan Ca</w:t>
      </w:r>
      <w:r>
        <w:t>r</w:t>
      </w:r>
      <w:r>
        <w:t>los Negrón, Marcelo José Ariz, Luis Ariel Rodríguez Rithaud, Rubén Alberto Vertúa y Jo</w:t>
      </w:r>
      <w:r>
        <w:t>r</w:t>
      </w:r>
      <w:r>
        <w:t>ge Daniel Acuña.</w:t>
      </w:r>
    </w:p>
    <w:p w:rsidR="00224567" w:rsidRDefault="00224567">
      <w:pPr>
        <w:widowControl w:val="0"/>
        <w:ind w:firstLine="2835"/>
      </w:pPr>
      <w:r>
        <w:t>Así, el letrado subrayó que F</w:t>
      </w:r>
      <w:r>
        <w:t>i</w:t>
      </w:r>
      <w:r>
        <w:t xml:space="preserve">lipponi dijo que enviaba correspondencia a otras jurisdicciones por intermedio de correos de otras brigadas y aclaró que en el libro de correo de </w:t>
      </w:r>
      <w:smartTag w:uri="urn:schemas-microsoft-com:office:smarttags" w:element="PersonName">
        <w:smartTagPr>
          <w:attr w:name="ProductID" w:val="la Brigada"/>
        </w:smartTagPr>
        <w:r>
          <w:t>la Brigada</w:t>
        </w:r>
      </w:smartTag>
      <w:r>
        <w:t xml:space="preserve"> de Lanús estaba ase</w:t>
      </w:r>
      <w:r>
        <w:t>n</w:t>
      </w:r>
      <w:r>
        <w:t>tada la entrega de las fichas de Petrucci y Tecc</w:t>
      </w:r>
      <w:r>
        <w:t>e</w:t>
      </w:r>
      <w:r>
        <w:t>din, con fecha 6 de abril de 1994, agregando que a los dos o tres días se pasaba a buscar la respuesta.</w:t>
      </w:r>
    </w:p>
    <w:p w:rsidR="00224567" w:rsidRDefault="00224567">
      <w:pPr>
        <w:widowControl w:val="0"/>
        <w:ind w:firstLine="2835"/>
      </w:pPr>
      <w:r>
        <w:t>Luego narró como Guerrero explicó la forma en que recibía la correspondencia; con relación al informe que carecía de antecedentes, hizo referencia al adelanto telefónico de Vertúa, como así también al correo electrónico transmitido por Gullino, quien contó que se encargaba de copiar en forma textual el despacho que rec</w:t>
      </w:r>
      <w:r>
        <w:t>i</w:t>
      </w:r>
      <w:r>
        <w:lastRenderedPageBreak/>
        <w:t>bía de la división antecedentes y  retransmitirlo a la j</w:t>
      </w:r>
      <w:r>
        <w:t>u</w:t>
      </w:r>
      <w:r>
        <w:t>risidicción que correspondiera.</w:t>
      </w:r>
    </w:p>
    <w:p w:rsidR="00224567" w:rsidRDefault="00224567">
      <w:pPr>
        <w:widowControl w:val="0"/>
        <w:ind w:firstLine="2835"/>
      </w:pPr>
      <w:r>
        <w:t>También hizo mención de los d</w:t>
      </w:r>
      <w:r>
        <w:t>i</w:t>
      </w:r>
      <w:r>
        <w:t>chos de García cuando explicó que al examinar las fichas dactilo</w:t>
      </w:r>
      <w:r>
        <w:t>s</w:t>
      </w:r>
      <w:r>
        <w:t>cópicas le asignaba un número de prontuario y los de P</w:t>
      </w:r>
      <w:r>
        <w:t>e</w:t>
      </w:r>
      <w:r>
        <w:t>trucci y Teccedin salieron sin antecedentes.</w:t>
      </w:r>
    </w:p>
    <w:p w:rsidR="00224567" w:rsidRDefault="00224567">
      <w:pPr>
        <w:widowControl w:val="0"/>
      </w:pPr>
      <w:r>
        <w:tab/>
        <w:t>Finalmente dijo que los policías N</w:t>
      </w:r>
      <w:r>
        <w:t>e</w:t>
      </w:r>
      <w:r>
        <w:t>grón, Rodríguez Rithaud, Acuña y Ariz fueron coincide</w:t>
      </w:r>
      <w:r>
        <w:t>n</w:t>
      </w:r>
      <w:r>
        <w:t xml:space="preserve">tes en cómo las fichas de Teccedin y Petrucci ingresaron el 6 de abril de </w:t>
      </w:r>
      <w:smartTag w:uri="urn:schemas-microsoft-com:office:smarttags" w:element="metricconverter">
        <w:smartTagPr>
          <w:attr w:name="ProductID" w:val="1994 a"/>
        </w:smartTagPr>
        <w:r>
          <w:t>1994 a</w:t>
        </w:r>
      </w:smartTag>
      <w:r>
        <w:t xml:space="preserve"> </w:t>
      </w:r>
      <w:smartTag w:uri="urn:schemas-microsoft-com:office:smarttags" w:element="PersonName">
        <w:smartTagPr>
          <w:attr w:name="ProductID" w:val="la Divisi￳n Antecedentes"/>
        </w:smartTagPr>
        <w:r>
          <w:t>la División Antecedentes</w:t>
        </w:r>
      </w:smartTag>
      <w:r>
        <w:t xml:space="preserve"> y la re</w:t>
      </w:r>
      <w:r>
        <w:t>s</w:t>
      </w:r>
      <w:r>
        <w:t>puesta fue enviada por correo electrónico el 12 del mismo mes y año.</w:t>
      </w:r>
    </w:p>
    <w:p w:rsidR="00224567" w:rsidRDefault="00224567">
      <w:pPr>
        <w:widowControl w:val="0"/>
        <w:ind w:firstLine="2835"/>
      </w:pPr>
      <w:r>
        <w:t xml:space="preserve">Señaló que la ineficacia de </w:t>
      </w:r>
      <w:smartTag w:uri="urn:schemas-microsoft-com:office:smarttags" w:element="PersonName">
        <w:smartTagPr>
          <w:attr w:name="ProductID" w:val="la Polic￭a Bonaerense"/>
        </w:smartTagPr>
        <w:r>
          <w:t>la Pol</w:t>
        </w:r>
        <w:r>
          <w:t>i</w:t>
        </w:r>
        <w:r>
          <w:t>cía Bonaerense</w:t>
        </w:r>
      </w:smartTag>
      <w:r>
        <w:t xml:space="preserve"> en su departamento de antecedentes causó un gran perjuicio a su defendido, agregando que todos los i</w:t>
      </w:r>
      <w:r>
        <w:t>n</w:t>
      </w:r>
      <w:r>
        <w:t>formes falsos confeccionados por Bretschneider, sumado a la incapacidad de esa división, fueron utilizados como elementos cargosos para crear sospechas s</w:t>
      </w:r>
      <w:r>
        <w:t>o</w:t>
      </w:r>
      <w:r>
        <w:t xml:space="preserve">bre el accionar de </w:t>
      </w:r>
      <w:smartTag w:uri="urn:schemas-microsoft-com:office:smarttags" w:element="PersonName">
        <w:smartTagPr>
          <w:attr w:name="ProductID" w:val="la Brigada"/>
        </w:smartTagPr>
        <w:r>
          <w:t>la Brigada</w:t>
        </w:r>
      </w:smartTag>
      <w:r>
        <w:t xml:space="preserve"> de Lanús y, por ello, su asistido estaba preso.</w:t>
      </w:r>
    </w:p>
    <w:p w:rsidR="00224567" w:rsidRDefault="00224567">
      <w:pPr>
        <w:widowControl w:val="0"/>
        <w:ind w:firstLine="2835"/>
      </w:pPr>
      <w:r>
        <w:t xml:space="preserve">Consideró que se perpetraron delitos </w:t>
      </w:r>
      <w:r>
        <w:lastRenderedPageBreak/>
        <w:t>de acción pública, por lo que solicitó la extracción de testimonios para que se desinsaculase un juzgado para i</w:t>
      </w:r>
      <w:r>
        <w:t>n</w:t>
      </w:r>
      <w:r>
        <w:t>vestigar la presunta comisión de los delitos de falsedad ideológica en instrumento público y encubrimiento, sin perjuicio de que los ilíc</w:t>
      </w:r>
      <w:r>
        <w:t>i</w:t>
      </w:r>
      <w:r>
        <w:t>tos fueran alcanzados por otras figuras contempladas en el Código Penal, respecto de Br</w:t>
      </w:r>
      <w:r>
        <w:t>e</w:t>
      </w:r>
      <w:r>
        <w:t>tschneider por su actuación en el sumario administrativo nº 266.506/96 y de Graciela Gómez o de quienes surgieran de la correspo</w:t>
      </w:r>
      <w:r>
        <w:t>n</w:t>
      </w:r>
      <w:r>
        <w:t>diente investigación.</w:t>
      </w:r>
    </w:p>
    <w:p w:rsidR="00224567" w:rsidRDefault="00224567">
      <w:pPr>
        <w:widowControl w:val="0"/>
      </w:pPr>
      <w:r>
        <w:tab/>
        <w:t>Señaló que las casualidades o causal</w:t>
      </w:r>
      <w:r>
        <w:t>i</w:t>
      </w:r>
      <w:r>
        <w:t>dades referidas por el Dr. Ávila sólo tenían importancia como tales. Marcó como casualidad la circunsta</w:t>
      </w:r>
      <w:r>
        <w:t>n</w:t>
      </w:r>
      <w:r>
        <w:t>cia de que el Dr. Cortelezzi –ex camarista que interv</w:t>
      </w:r>
      <w:r>
        <w:t>i</w:t>
      </w:r>
      <w:r>
        <w:t>no en la causa- trabaja en el estudio del Dr. Dobniewski –ex querellante en estas a</w:t>
      </w:r>
      <w:r>
        <w:t>c</w:t>
      </w:r>
      <w:r>
        <w:t>tuaciones- y la pregunta que se hizo la defensa fue cómo se sentiría un pr</w:t>
      </w:r>
      <w:r>
        <w:t>e</w:t>
      </w:r>
      <w:r>
        <w:t>so al ver que aquel juez que le dictó la prisión preventiva, luego se desempeña como ab</w:t>
      </w:r>
      <w:r>
        <w:t>o</w:t>
      </w:r>
      <w:r>
        <w:t>gado en el estudio del que era querellante.</w:t>
      </w:r>
    </w:p>
    <w:p w:rsidR="00224567" w:rsidRDefault="00224567">
      <w:pPr>
        <w:widowControl w:val="0"/>
      </w:pPr>
      <w:r>
        <w:tab/>
        <w:t>También hizo mención de algunas ci</w:t>
      </w:r>
      <w:r>
        <w:t>r</w:t>
      </w:r>
      <w:r>
        <w:t>cunstancias que, si bien el letrado consideró no hacer m</w:t>
      </w:r>
      <w:r>
        <w:t>é</w:t>
      </w:r>
      <w:r>
        <w:lastRenderedPageBreak/>
        <w:t>rito de ellas, dijo que era necesario que los jueces las conocieran, tales como la pi</w:t>
      </w:r>
      <w:r>
        <w:t>s</w:t>
      </w:r>
      <w:r>
        <w:t>ta falsa arrimada a la causa por Dobniewsky, relacionada con el comisario m</w:t>
      </w:r>
      <w:r>
        <w:t>a</w:t>
      </w:r>
      <w:r>
        <w:t>yor García y Kesseler; la r</w:t>
      </w:r>
      <w:r>
        <w:t>e</w:t>
      </w:r>
      <w:r>
        <w:t>lación del ex querellante con el letrado defensor de Telleldín, Stinfale, y el llamado desde un c</w:t>
      </w:r>
      <w:r>
        <w:t>e</w:t>
      </w:r>
      <w:r>
        <w:t xml:space="preserve">lular del estudio de Dobniewski a la casa de Telleldín días antes del atentado; la relación de los doctores Riva Aramayo y Cortelezzi con </w:t>
      </w:r>
      <w:smartTag w:uri="urn:schemas-microsoft-com:office:smarttags" w:element="PersonName">
        <w:smartTagPr>
          <w:attr w:name="ProductID" w:val="la S.I"/>
        </w:smartTagPr>
        <w:r>
          <w:t>la S.I</w:t>
        </w:r>
      </w:smartTag>
      <w:r>
        <w:t>.D.E.; la circunsta</w:t>
      </w:r>
      <w:r>
        <w:t>n</w:t>
      </w:r>
      <w:r>
        <w:t>cia de que Beraja, Corach y Riva Aramayo habitaran en el mismo “country”; los llamados de Cichowolsky del 5 de julio de 1996 cuando se efectuó el pago a Telleldín y el 20 de agosto de 1997 cuando Stinfale le fue a mentir al Dr. C</w:t>
      </w:r>
      <w:r>
        <w:t>a</w:t>
      </w:r>
      <w:r>
        <w:t>vallo en favor del juez Galeano d</w:t>
      </w:r>
      <w:r>
        <w:t>i</w:t>
      </w:r>
      <w:r>
        <w:t>ciendo que jamás hubo un pago; la relación de Beraja con Kian Gorbani, un iraní c</w:t>
      </w:r>
      <w:r>
        <w:t>i</w:t>
      </w:r>
      <w:r>
        <w:t>tado por el juez instructor en la resolución del 5 de ma</w:t>
      </w:r>
      <w:r>
        <w:t>r</w:t>
      </w:r>
      <w:r>
        <w:t>zo de 2003 como integrante de la conexión internacional; la dete</w:t>
      </w:r>
      <w:r>
        <w:t>n</w:t>
      </w:r>
      <w:r>
        <w:t>ción del Dr. De Gamas por falso testimonio después de la audiencia en la que prestó declaración y su post</w:t>
      </w:r>
      <w:r>
        <w:t>e</w:t>
      </w:r>
      <w:r>
        <w:t>rior y rápido sobreseimiento; el rol de Beraja en los m</w:t>
      </w:r>
      <w:r>
        <w:t>e</w:t>
      </w:r>
      <w:r>
        <w:t xml:space="preserve">dios de comunicación pregonando en el discurso del 18 de julio de 1995 que ya había personal de </w:t>
      </w:r>
      <w:smartTag w:uri="urn:schemas-microsoft-com:office:smarttags" w:element="PersonName">
        <w:smartTagPr>
          <w:attr w:name="ProductID" w:val="la Polic￭a Bonaerense"/>
        </w:smartTagPr>
        <w:r>
          <w:t>la Policía Bona</w:t>
        </w:r>
        <w:r>
          <w:t>e</w:t>
        </w:r>
        <w:r>
          <w:lastRenderedPageBreak/>
          <w:t>rense</w:t>
        </w:r>
      </w:smartTag>
      <w:r>
        <w:t xml:space="preserve"> vinculado al atentado; la actuación de los periodi</w:t>
      </w:r>
      <w:r>
        <w:t>s</w:t>
      </w:r>
      <w:r>
        <w:t xml:space="preserve">tas Raúl Kollmann y Román Lejtman, que para ese entonces escribían en “Página </w:t>
      </w:r>
      <w:smartTag w:uri="urn:schemas-microsoft-com:office:smarttags" w:element="metricconverter">
        <w:smartTagPr>
          <w:attr w:name="ProductID" w:val="12”"/>
        </w:smartTagPr>
        <w:r>
          <w:t>12”</w:t>
        </w:r>
      </w:smartTag>
      <w:r>
        <w:t>, desde donde transmitían, aún a</w:t>
      </w:r>
      <w:r>
        <w:t>n</w:t>
      </w:r>
      <w:r>
        <w:t>tes de que se volcara en el expediente, la estructura f</w:t>
      </w:r>
      <w:r>
        <w:t>u</w:t>
      </w:r>
      <w:r>
        <w:t>tura de la “historia oficial”.</w:t>
      </w:r>
    </w:p>
    <w:p w:rsidR="00224567" w:rsidRDefault="00224567">
      <w:pPr>
        <w:widowControl w:val="0"/>
        <w:ind w:firstLine="2835"/>
      </w:pPr>
      <w:r>
        <w:t>Seguidamente trató lo relacionado con la empresa Movicom y las celdas, señalando que cuando se procesó a su defendido por ser partícipe del atent</w:t>
      </w:r>
      <w:r>
        <w:t>a</w:t>
      </w:r>
      <w:r>
        <w:t>do, el juez instructor utilizó como elemento principal para imp</w:t>
      </w:r>
      <w:r>
        <w:t>u</w:t>
      </w:r>
      <w:r>
        <w:t>tarle responsabilidad la información sumini</w:t>
      </w:r>
      <w:r>
        <w:t>s</w:t>
      </w:r>
      <w:r>
        <w:t>trada por esa compañía telefón</w:t>
      </w:r>
      <w:r>
        <w:t>i</w:t>
      </w:r>
      <w:r>
        <w:t>ca, de la que surgía que varios celulares de Ribelli habían operado en la celda del domicilio de T</w:t>
      </w:r>
      <w:r>
        <w:t>e</w:t>
      </w:r>
      <w:r>
        <w:t xml:space="preserve">lleldín en Villa Ballester el día de la supuesta entrega de </w:t>
      </w:r>
      <w:smartTag w:uri="urn:schemas-microsoft-com:office:smarttags" w:element="PersonName">
        <w:smartTagPr>
          <w:attr w:name="ProductID" w:val="la Trafic"/>
        </w:smartTagPr>
        <w:r>
          <w:t>la Trafic</w:t>
        </w:r>
      </w:smartTag>
      <w:r>
        <w:t xml:space="preserve"> y en los diez días anteriores. Con el tran</w:t>
      </w:r>
      <w:r>
        <w:t>s</w:t>
      </w:r>
      <w:r>
        <w:t>curso del tiempo, con la totalidad de la información que daba cuenta de las ubicaciones de celdas en que operaban los celulares en el período cuestionado, el letrado sost</w:t>
      </w:r>
      <w:r>
        <w:t>u</w:t>
      </w:r>
      <w:r>
        <w:t>vo que se determinó que era imposible que su defendido p</w:t>
      </w:r>
      <w:r>
        <w:t>u</w:t>
      </w:r>
      <w:r>
        <w:t xml:space="preserve">diera estar en dos lugares al mismo tiempo. Ejemplificó que el 4 de julio de 1994 el celular 440-6746 operó en </w:t>
      </w:r>
      <w:r>
        <w:lastRenderedPageBreak/>
        <w:t>celda 13 de V</w:t>
      </w:r>
      <w:r>
        <w:t>i</w:t>
      </w:r>
      <w:r>
        <w:t>lla Ballester, a las 8:06:25, y el mismo día ese mismo celular, a las 8:15:29, o sea nueve minutos de</w:t>
      </w:r>
      <w:r>
        <w:t>s</w:t>
      </w:r>
      <w:r>
        <w:t>pués, op</w:t>
      </w:r>
      <w:r>
        <w:t>e</w:t>
      </w:r>
      <w:r>
        <w:t>raba en la celda de Wilde.</w:t>
      </w:r>
    </w:p>
    <w:p w:rsidR="00224567" w:rsidRDefault="00224567">
      <w:pPr>
        <w:widowControl w:val="0"/>
      </w:pPr>
      <w:r>
        <w:tab/>
        <w:t>Al respecto, el Dr. Ubeira consideró que cuando el juez instructor dictó el auto de proces</w:t>
      </w:r>
      <w:r>
        <w:t>a</w:t>
      </w:r>
      <w:r>
        <w:t>miento pudieron darse dos situaciones: que obrando de bu</w:t>
      </w:r>
      <w:r>
        <w:t>e</w:t>
      </w:r>
      <w:r>
        <w:t>na fe confió en los informes de Movicom, lo que demostr</w:t>
      </w:r>
      <w:r>
        <w:t>a</w:t>
      </w:r>
      <w:r>
        <w:t>ría que el personal que investigaba carecía de la mínima idoneidad requerida para trabajar en la instru</w:t>
      </w:r>
      <w:r>
        <w:t>c</w:t>
      </w:r>
      <w:r>
        <w:t>ción de una causa, o que el Dr. Galeano utilizaba todo elemento falso, dudoso o erróneo que pudiera perjudicar a Ribelli, i</w:t>
      </w:r>
      <w:r>
        <w:t>n</w:t>
      </w:r>
      <w:r>
        <w:t>cluso sin importar si el mismo era obtenido en forma ilegal, c</w:t>
      </w:r>
      <w:r>
        <w:t>o</w:t>
      </w:r>
      <w:r>
        <w:t>mo lo fueron alg</w:t>
      </w:r>
      <w:r>
        <w:t>u</w:t>
      </w:r>
      <w:r>
        <w:t>nos testimonios.</w:t>
      </w:r>
    </w:p>
    <w:p w:rsidR="00224567" w:rsidRDefault="00224567">
      <w:pPr>
        <w:widowControl w:val="0"/>
        <w:ind w:firstLine="2835"/>
      </w:pPr>
      <w:r>
        <w:t>Agregó que se había deslizado que su defendido había manipulado los elementos relaci</w:t>
      </w:r>
      <w:r>
        <w:t>o</w:t>
      </w:r>
      <w:r>
        <w:t>nados con Movicom. Incluso, acotó, cuando dicha empresa remitió nu</w:t>
      </w:r>
      <w:r>
        <w:t>e</w:t>
      </w:r>
      <w:r>
        <w:t>vos informes diferentes, el juez Galeano, con el solo fin de seguir causando perjuicio a Ribelli, tejió otro manto de sospecha prete</w:t>
      </w:r>
      <w:r>
        <w:t>n</w:t>
      </w:r>
      <w:r>
        <w:t>diendo que los registros de esa compañía de telefonía celular pudieron haber s</w:t>
      </w:r>
      <w:r>
        <w:t>i</w:t>
      </w:r>
      <w:r>
        <w:t>do alterados por el accionar de personas vinculadas a su asistido y envió te</w:t>
      </w:r>
      <w:r>
        <w:t>s</w:t>
      </w:r>
      <w:r>
        <w:lastRenderedPageBreak/>
        <w:t>timonios al juzgado del Dr. Bonadío, formándose actuaci</w:t>
      </w:r>
      <w:r>
        <w:t>o</w:t>
      </w:r>
      <w:r>
        <w:t>nes en las que en septiembre de 2002 se dictó una resol</w:t>
      </w:r>
      <w:r>
        <w:t>u</w:t>
      </w:r>
      <w:r>
        <w:t>ción que decía que todo lo a</w:t>
      </w:r>
      <w:r>
        <w:t>c</w:t>
      </w:r>
      <w:r>
        <w:t>tuado lo llevaba a considerar que se encontraba ante un error material, grave por la i</w:t>
      </w:r>
      <w:r>
        <w:t>m</w:t>
      </w:r>
      <w:r>
        <w:t>plicancia que tenía en una causa de extrema importancia política, social y humana, como era la que llevara adela</w:t>
      </w:r>
      <w:r>
        <w:t>n</w:t>
      </w:r>
      <w:r>
        <w:t>te el Dr. Gale</w:t>
      </w:r>
      <w:r>
        <w:t>a</w:t>
      </w:r>
      <w:r>
        <w:t>no.</w:t>
      </w:r>
    </w:p>
    <w:p w:rsidR="00224567" w:rsidRDefault="00224567">
      <w:pPr>
        <w:widowControl w:val="0"/>
      </w:pPr>
      <w:r>
        <w:tab/>
        <w:t>En el mismo sentido, hizo mención de los testimonios del técnico de Movicom Enrique Javier Fe</w:t>
      </w:r>
      <w:r>
        <w:t>r</w:t>
      </w:r>
      <w:r>
        <w:t>nández, el apoderado de la empresa Gustavo Gache Pirán y su presidente Mauricio Elías Wior, quienes coi</w:t>
      </w:r>
      <w:r>
        <w:t>n</w:t>
      </w:r>
      <w:r>
        <w:t>cidieron en que hubo un error en la información brindada por esa fi</w:t>
      </w:r>
      <w:r>
        <w:t>r</w:t>
      </w:r>
      <w:r>
        <w:t>ma. También se refirió a los dichos de Claudio Adrián Lifschitz, quien d</w:t>
      </w:r>
      <w:r>
        <w:t>e</w:t>
      </w:r>
      <w:r>
        <w:t>claró que junto con el empleado Gamboa advirtieron el error de los datos telefónicos al momento de redactar el auto de proces</w:t>
      </w:r>
      <w:r>
        <w:t>a</w:t>
      </w:r>
      <w:r>
        <w:t>miento.</w:t>
      </w:r>
    </w:p>
    <w:p w:rsidR="00224567" w:rsidRDefault="00224567">
      <w:pPr>
        <w:pStyle w:val="Sangra3detindependiente"/>
        <w:widowControl w:val="0"/>
        <w:spacing w:line="600" w:lineRule="auto"/>
        <w:ind w:firstLine="2835"/>
      </w:pPr>
      <w:r>
        <w:t xml:space="preserve">Seguidamente hizo referencia al papel relevante de </w:t>
      </w:r>
      <w:smartTag w:uri="urn:schemas-microsoft-com:office:smarttags" w:element="PersonName">
        <w:smartTagPr>
          <w:attr w:name="ProductID" w:val="la S.I"/>
        </w:smartTagPr>
        <w:r>
          <w:t>la S.I</w:t>
        </w:r>
      </w:smartTag>
      <w:r>
        <w:t>.D.E. en el desarrollo de la investig</w:t>
      </w:r>
      <w:r>
        <w:t>a</w:t>
      </w:r>
      <w:r>
        <w:t xml:space="preserve">ción, calificando a dicho organismo como nefasto para la política nacional y la vida de los ciudadanos. También </w:t>
      </w:r>
      <w:r>
        <w:lastRenderedPageBreak/>
        <w:t>mencionó lo relacionado con la titularidad de los bienes inmuebles donde funcionaban las distintas depende</w:t>
      </w:r>
      <w:r>
        <w:t>n</w:t>
      </w:r>
      <w:r>
        <w:t>cias de ese organismo, la participación de sus agentes en lo rel</w:t>
      </w:r>
      <w:r>
        <w:t>a</w:t>
      </w:r>
      <w:r>
        <w:t>cionado con las intervenciones telefónicas y su colabor</w:t>
      </w:r>
      <w:r>
        <w:t>a</w:t>
      </w:r>
      <w:r>
        <w:t xml:space="preserve">ción en el pago a Telleldín y la mujer iraní traída a </w:t>
      </w:r>
      <w:smartTag w:uri="urn:schemas-microsoft-com:office:smarttags" w:element="PersonName">
        <w:smartTagPr>
          <w:attr w:name="ProductID" w:val="la Argentina"/>
        </w:smartTagPr>
        <w:r>
          <w:t>la Argentina</w:t>
        </w:r>
      </w:smartTag>
      <w:r>
        <w:t xml:space="preserve"> desde Suiza, a la que vincularon al proceso sin ninguna utilidad para la i</w:t>
      </w:r>
      <w:r>
        <w:t>n</w:t>
      </w:r>
      <w:r>
        <w:t>vestigación, tal como surgió de los dichos de Luis Go</w:t>
      </w:r>
      <w:r>
        <w:t>n</w:t>
      </w:r>
      <w:r>
        <w:t>zález.</w:t>
      </w:r>
    </w:p>
    <w:p w:rsidR="00224567" w:rsidRDefault="00224567">
      <w:pPr>
        <w:pStyle w:val="Sangra3detindependiente"/>
        <w:widowControl w:val="0"/>
        <w:spacing w:line="600" w:lineRule="auto"/>
        <w:ind w:firstLine="2835"/>
      </w:pPr>
      <w:r>
        <w:t xml:space="preserve">Con relación al pago de los USD </w:t>
      </w:r>
      <w:smartTag w:uri="urn:schemas-microsoft-com:office:smarttags" w:element="metricconverter">
        <w:smartTagPr>
          <w:attr w:name="ProductID" w:val="400.000 a"/>
        </w:smartTagPr>
        <w:r>
          <w:t>400.000 a</w:t>
        </w:r>
      </w:smartTag>
      <w:r>
        <w:t xml:space="preserve"> Telleldín, el letrado defensor relató los porm</w:t>
      </w:r>
      <w:r>
        <w:t>e</w:t>
      </w:r>
      <w:r>
        <w:t>nores de la interve</w:t>
      </w:r>
      <w:r>
        <w:t>n</w:t>
      </w:r>
      <w:r>
        <w:t xml:space="preserve">ción de los agentes de </w:t>
      </w:r>
      <w:smartTag w:uri="urn:schemas-microsoft-com:office:smarttags" w:element="PersonName">
        <w:smartTagPr>
          <w:attr w:name="ProductID" w:val="la S.I"/>
        </w:smartTagPr>
        <w:r>
          <w:t>la S.I</w:t>
        </w:r>
      </w:smartTag>
      <w:r>
        <w:t>.D.E. en ese hecho, resaltando que Alejandro Brousson, Patricio Finnen, el mencionado González y Héctor Salvador Maiolo negaron el pago en sus declaraciones prestadas en el sum</w:t>
      </w:r>
      <w:r>
        <w:t>a</w:t>
      </w:r>
      <w:r>
        <w:t>rio administrativo llevado adelante por ese organismo y con ello favorecieron al Dr. Gale</w:t>
      </w:r>
      <w:r>
        <w:t>a</w:t>
      </w:r>
      <w:r>
        <w:t>no e intentaron no dejar al de</w:t>
      </w:r>
      <w:r>
        <w:t>s</w:t>
      </w:r>
      <w:r>
        <w:t>cubierto un pago oculto e ilegal llevado a cabo por ellos mismos, pero por expreso mandato de Hugo Anz</w:t>
      </w:r>
      <w:r>
        <w:t>o</w:t>
      </w:r>
      <w:r>
        <w:t>rreguy.</w:t>
      </w:r>
    </w:p>
    <w:p w:rsidR="00224567" w:rsidRDefault="00224567">
      <w:pPr>
        <w:pStyle w:val="Sangra3detindependiente"/>
        <w:widowControl w:val="0"/>
        <w:spacing w:line="600" w:lineRule="auto"/>
        <w:ind w:firstLine="2835"/>
      </w:pPr>
      <w:r>
        <w:t xml:space="preserve">Sostuvo que en esta causa </w:t>
      </w:r>
      <w:smartTag w:uri="urn:schemas-microsoft-com:office:smarttags" w:element="PersonName">
        <w:smartTagPr>
          <w:attr w:name="ProductID" w:val="la Secretar￭a"/>
        </w:smartTagPr>
        <w:r>
          <w:t>la Secret</w:t>
        </w:r>
        <w:r>
          <w:t>a</w:t>
        </w:r>
        <w:r>
          <w:t>ría</w:t>
        </w:r>
      </w:smartTag>
      <w:r>
        <w:t xml:space="preserve"> de Inteligencia de Estado no solamente no prestó ni</w:t>
      </w:r>
      <w:r>
        <w:t>n</w:t>
      </w:r>
      <w:r>
        <w:t xml:space="preserve">guna colaboración para descubrir la verdad, sino que se </w:t>
      </w:r>
      <w:r>
        <w:lastRenderedPageBreak/>
        <w:t>plegó a una maniobra polít</w:t>
      </w:r>
      <w:r>
        <w:t>i</w:t>
      </w:r>
      <w:r>
        <w:t>ca.</w:t>
      </w:r>
    </w:p>
    <w:p w:rsidR="00224567" w:rsidRDefault="00224567">
      <w:pPr>
        <w:widowControl w:val="0"/>
        <w:ind w:firstLine="2835"/>
      </w:pPr>
      <w:r>
        <w:t>Concluyó que si bien los agentes de ese organismo que declararon en la audiencia eran simpl</w:t>
      </w:r>
      <w:r>
        <w:t>e</w:t>
      </w:r>
      <w:r>
        <w:t>mente ejecutores y siguieron expresas instrucciones -por lo que sus responsabilidades estaban absolutamente limit</w:t>
      </w:r>
      <w:r>
        <w:t>a</w:t>
      </w:r>
      <w:r>
        <w:t>das- lo cierto era que quien pensó esta maniobra de dejar a su defendido de por vida en la cárcel lo hizo con mucha precisión y razonándolo como realmente lo hace un crim</w:t>
      </w:r>
      <w:r>
        <w:t>i</w:t>
      </w:r>
      <w:r>
        <w:t>nal. Agregó que la única forma de que un pago nunca se p</w:t>
      </w:r>
      <w:r>
        <w:t>u</w:t>
      </w:r>
      <w:r>
        <w:t>diera llegar a conocer era hacerlo a través de un organi</w:t>
      </w:r>
      <w:r>
        <w:t>s</w:t>
      </w:r>
      <w:r>
        <w:t>mo que por una ley nacional est</w:t>
      </w:r>
      <w:r>
        <w:t>u</w:t>
      </w:r>
      <w:r>
        <w:t>viera impedido de informar a cualquier autoridad y sobre todo a la autoridad jud</w:t>
      </w:r>
      <w:r>
        <w:t>i</w:t>
      </w:r>
      <w:r>
        <w:t>cial.</w:t>
      </w:r>
    </w:p>
    <w:p w:rsidR="00224567" w:rsidRDefault="00224567">
      <w:pPr>
        <w:widowControl w:val="0"/>
        <w:ind w:firstLine="2835"/>
      </w:pPr>
      <w:r>
        <w:t xml:space="preserve">Agregó que después de que se levantó el secreto de </w:t>
      </w:r>
      <w:smartTag w:uri="urn:schemas-microsoft-com:office:smarttags" w:element="PersonName">
        <w:smartTagPr>
          <w:attr w:name="ProductID" w:val="la S.I"/>
        </w:smartTagPr>
        <w:r>
          <w:t>la S.I</w:t>
        </w:r>
      </w:smartTag>
      <w:r>
        <w:t>.D.E. se pudo conocer la totalidad de la historia, considerando que fue ve</w:t>
      </w:r>
      <w:r>
        <w:t>r</w:t>
      </w:r>
      <w:r>
        <w:t>daderamente llamativo que la fiscalía, que supuestamente era la que tendría que haber estado más interesada en que el s</w:t>
      </w:r>
      <w:r>
        <w:t>e</w:t>
      </w:r>
      <w:r>
        <w:t xml:space="preserve">creto se levantara para garantizar la seguridad del Estado, al igual que </w:t>
      </w:r>
      <w:smartTag w:uri="urn:schemas-microsoft-com:office:smarttags" w:element="PersonName">
        <w:smartTagPr>
          <w:attr w:name="ProductID" w:val="La Dra. Nercellas"/>
        </w:smartTagPr>
        <w:r>
          <w:t>la Dra. Nercellas</w:t>
        </w:r>
      </w:smartTag>
      <w:r>
        <w:t xml:space="preserve"> como representante de </w:t>
      </w:r>
      <w:smartTag w:uri="urn:schemas-microsoft-com:office:smarttags" w:element="PersonName">
        <w:smartTagPr>
          <w:attr w:name="ProductID" w:val="la D.A"/>
        </w:smartTagPr>
        <w:r>
          <w:t>la D.A</w:t>
        </w:r>
      </w:smartTag>
      <w:r>
        <w:t xml:space="preserve">.I.A., fueron </w:t>
      </w:r>
      <w:r>
        <w:lastRenderedPageBreak/>
        <w:t>las dos únicas partes que se n</w:t>
      </w:r>
      <w:r>
        <w:t>e</w:t>
      </w:r>
      <w:r>
        <w:t>garon.</w:t>
      </w:r>
    </w:p>
    <w:p w:rsidR="00224567" w:rsidRDefault="00224567">
      <w:pPr>
        <w:widowControl w:val="0"/>
        <w:ind w:firstLine="2835"/>
      </w:pPr>
      <w:r>
        <w:t>Señaló que estas actuaciones fueron usadas por el Dr. Galeano para satisfacción de intereses personales y de allegados. A modo de ejemplo, el letrado hizo referencia al legajo nº 161 del que surge, a su cr</w:t>
      </w:r>
      <w:r>
        <w:t>i</w:t>
      </w:r>
      <w:r>
        <w:t>terio, que el juez instructor preconstituyó prueba para defenderse de la denuncia que para ese momento radicó Lifschitz en su contra; el nº 148, utilizado por Galeano para encubrir el accionar ilegal de Vicat; el nº 292 in</w:t>
      </w:r>
      <w:r>
        <w:t>i</w:t>
      </w:r>
      <w:r>
        <w:t>ciado para que el comisario Pal</w:t>
      </w:r>
      <w:r>
        <w:t>a</w:t>
      </w:r>
      <w:r>
        <w:t>cios, con conocimiento del juez Galeano, se valiera de la causa A.M.I.A. para det</w:t>
      </w:r>
      <w:r>
        <w:t>e</w:t>
      </w:r>
      <w:r>
        <w:t>ner a un prófugo sin ninguna vinculación con dichas actuaci</w:t>
      </w:r>
      <w:r>
        <w:t>o</w:t>
      </w:r>
      <w:r>
        <w:t>nes; el nº 220 utilizado para proteger al entonces dip</w:t>
      </w:r>
      <w:r>
        <w:t>u</w:t>
      </w:r>
      <w:r>
        <w:t xml:space="preserve">tado Soria ante cualquier dato comprometedor que surgiera del entrecruzamiento de unas escuchas telefónicas; el nº </w:t>
      </w:r>
      <w:smartTag w:uri="urn:schemas-microsoft-com:office:smarttags" w:element="metricconverter">
        <w:smartTagPr>
          <w:attr w:name="ProductID" w:val="39 A"/>
        </w:smartTagPr>
        <w:r>
          <w:t>39 A</w:t>
        </w:r>
      </w:smartTag>
      <w:r>
        <w:t xml:space="preserve"> iniciado para ben</w:t>
      </w:r>
      <w:r>
        <w:t>e</w:t>
      </w:r>
      <w:r>
        <w:t>ficiar a un suboficial bonaerense a cambio de su ofrecimiento de contactos con relación a la causa A.M.I.A.. Finalmente, hizo una breve referencia a los leg</w:t>
      </w:r>
      <w:r>
        <w:t>a</w:t>
      </w:r>
      <w:r>
        <w:t xml:space="preserve">jos nº </w:t>
      </w:r>
      <w:smartTag w:uri="urn:schemas-microsoft-com:office:smarttags" w:element="metricconverter">
        <w:smartTagPr>
          <w:attr w:name="ProductID" w:val="38 A"/>
        </w:smartTagPr>
        <w:r>
          <w:t>38 A</w:t>
        </w:r>
      </w:smartTag>
      <w:r>
        <w:t xml:space="preserve">, </w:t>
      </w:r>
      <w:smartTag w:uri="urn:schemas-microsoft-com:office:smarttags" w:element="metricconverter">
        <w:smartTagPr>
          <w:attr w:name="ProductID" w:val="36 A"/>
        </w:smartTagPr>
        <w:r>
          <w:t>36 A</w:t>
        </w:r>
      </w:smartTag>
      <w:r>
        <w:t xml:space="preserve">, </w:t>
      </w:r>
      <w:smartTag w:uri="urn:schemas-microsoft-com:office:smarttags" w:element="metricconverter">
        <w:smartTagPr>
          <w:attr w:name="ProductID" w:val="16 A"/>
        </w:smartTagPr>
        <w:r>
          <w:t>16 A</w:t>
        </w:r>
      </w:smartTag>
      <w:r>
        <w:t xml:space="preserve"> y 144 bis, que a criterio del letrado, también fueron utilizados por el Dr. G</w:t>
      </w:r>
      <w:r>
        <w:t>a</w:t>
      </w:r>
      <w:r>
        <w:t>leano para su conveniencia.</w:t>
      </w:r>
    </w:p>
    <w:p w:rsidR="00224567" w:rsidRDefault="00224567">
      <w:pPr>
        <w:pStyle w:val="Sangra3detindependiente"/>
        <w:widowControl w:val="0"/>
        <w:spacing w:line="600" w:lineRule="auto"/>
        <w:ind w:firstLine="2835"/>
      </w:pPr>
      <w:r>
        <w:lastRenderedPageBreak/>
        <w:t>Resaltó la actuación de los fiscales instructores y el juez Galeano en el desarrollo de la ca</w:t>
      </w:r>
      <w:r>
        <w:t>u</w:t>
      </w:r>
      <w:r>
        <w:t>sa “Maisú”.</w:t>
      </w:r>
    </w:p>
    <w:p w:rsidR="00224567" w:rsidRDefault="00224567">
      <w:pPr>
        <w:widowControl w:val="0"/>
        <w:ind w:firstLine="2835"/>
      </w:pPr>
      <w:r>
        <w:t>En otro orden, calificó al incidente de pedido de reco</w:t>
      </w:r>
      <w:r>
        <w:t>m</w:t>
      </w:r>
      <w:r>
        <w:t>pensa promovido por el Dr. Stinfale que corre por cuerda como una “fantochada”, una farsa, una simple maniobra de ocultamiento, por lo que cons</w:t>
      </w:r>
      <w:r>
        <w:t>i</w:t>
      </w:r>
      <w:r>
        <w:t>deró que ese pedido debía ser rechazado.</w:t>
      </w:r>
    </w:p>
    <w:p w:rsidR="00224567" w:rsidRDefault="00224567">
      <w:pPr>
        <w:widowControl w:val="0"/>
        <w:ind w:firstLine="2835"/>
      </w:pPr>
      <w:r>
        <w:t>Sostuvo que los representantes del m</w:t>
      </w:r>
      <w:r>
        <w:t>i</w:t>
      </w:r>
      <w:r>
        <w:t>nisterio público siempre intentaron complicar la s</w:t>
      </w:r>
      <w:r>
        <w:t>i</w:t>
      </w:r>
      <w:r>
        <w:t>tuación de su defendido y por ello acudieron a su familia, hacie</w:t>
      </w:r>
      <w:r>
        <w:t>n</w:t>
      </w:r>
      <w:r>
        <w:t>do referencia al respecto a la solicitud de recon</w:t>
      </w:r>
      <w:r>
        <w:t>o</w:t>
      </w:r>
      <w:r>
        <w:t>cimiento de personas del hermano de Ribelli, Juan Carlos, por parte de Telleldín, Boragni y demás pers</w:t>
      </w:r>
      <w:r>
        <w:t>o</w:t>
      </w:r>
      <w:r>
        <w:t>nas que estaban en los alrededores de Repúbl</w:t>
      </w:r>
      <w:r>
        <w:t>i</w:t>
      </w:r>
      <w:r>
        <w:t>ca 107. Agregó que para el año 1999 la estrategia de los fiscales era incriminar también al hermano de su defendido, quien actualmente goza de una falta de mérito en estas actuaciones, circunstancia que servía para seguir presionando a su asi</w:t>
      </w:r>
      <w:r>
        <w:t>s</w:t>
      </w:r>
      <w:r>
        <w:t>tido. En el mismo sentido, refirieron que los fisc</w:t>
      </w:r>
      <w:r>
        <w:t>a</w:t>
      </w:r>
      <w:r>
        <w:t xml:space="preserve">les acercaron al proceso </w:t>
      </w:r>
      <w:r>
        <w:lastRenderedPageBreak/>
        <w:t>la línea investigativa relacionada con los testigos de identidad reservada 11 y 12 –detenidos en Caseros junto con Ribelli-, quienes, sin saber con qué promesas, prest</w:t>
      </w:r>
      <w:r>
        <w:t>a</w:t>
      </w:r>
      <w:r>
        <w:t>ron testim</w:t>
      </w:r>
      <w:r>
        <w:t>o</w:t>
      </w:r>
      <w:r>
        <w:t>nios cargados de sospecha en contra del hermano de su asistido. Señaló que se dio una situación similar cuando el juez Galeano i</w:t>
      </w:r>
      <w:r>
        <w:t>n</w:t>
      </w:r>
      <w:r>
        <w:t>volucró a Ana María Ribelli en la resolución de la conexión inte</w:t>
      </w:r>
      <w:r>
        <w:t>r</w:t>
      </w:r>
      <w:r>
        <w:t>nacional.</w:t>
      </w:r>
    </w:p>
    <w:p w:rsidR="00224567" w:rsidRDefault="00224567">
      <w:pPr>
        <w:widowControl w:val="0"/>
        <w:ind w:firstLine="2835"/>
      </w:pPr>
      <w:r>
        <w:t>Con relación a la imputación fiscal del delito de instigación a Huici a manifestarse con fa</w:t>
      </w:r>
      <w:r>
        <w:t>l</w:t>
      </w:r>
      <w:r>
        <w:t>sedad con respecto a la inclusión de Telleldín dentro de un proceso que tramitaba en la local</w:t>
      </w:r>
      <w:r>
        <w:t>i</w:t>
      </w:r>
      <w:r>
        <w:t>dad de Quilmes, hizo referencia a la resolución obrante a fs. 80.263/80.264.</w:t>
      </w:r>
    </w:p>
    <w:p w:rsidR="00224567" w:rsidRDefault="00224567">
      <w:pPr>
        <w:widowControl w:val="0"/>
        <w:ind w:firstLine="2835"/>
      </w:pPr>
      <w:r>
        <w:t>Sostuvo que en el decisorio referido el tribunal recurrió a la cuestión de la “inconsecue</w:t>
      </w:r>
      <w:r>
        <w:t>n</w:t>
      </w:r>
      <w:r>
        <w:t>cia”, la que no está regulada en el código de forma, por lo que la solución a adoptarse debería haber sido declarar la n</w:t>
      </w:r>
      <w:r>
        <w:t>u</w:t>
      </w:r>
      <w:r>
        <w:t>lidad del requerimiento de elevación a juicio y reenviar las actuaciones al juzgado instructor para que volviese a instruir lo pertinente, cumpliendo así con todas las fo</w:t>
      </w:r>
      <w:r>
        <w:t>r</w:t>
      </w:r>
      <w:r>
        <w:t>malidades garantizadas a su defe</w:t>
      </w:r>
      <w:r>
        <w:t>n</w:t>
      </w:r>
      <w:r>
        <w:t>dido.</w:t>
      </w:r>
    </w:p>
    <w:p w:rsidR="00224567" w:rsidRDefault="00224567">
      <w:pPr>
        <w:widowControl w:val="0"/>
        <w:ind w:firstLine="2835"/>
      </w:pPr>
      <w:r>
        <w:t>Agregó que ello incluso present</w:t>
      </w:r>
      <w:r>
        <w:t>a</w:t>
      </w:r>
      <w:r>
        <w:t xml:space="preserve">ba un </w:t>
      </w:r>
      <w:r>
        <w:lastRenderedPageBreak/>
        <w:t>gran inconveniente, como ser lo relacionado con los pri</w:t>
      </w:r>
      <w:r>
        <w:t>n</w:t>
      </w:r>
      <w:r>
        <w:t>cipios de progr</w:t>
      </w:r>
      <w:r>
        <w:t>e</w:t>
      </w:r>
      <w:r>
        <w:t>sividad y de preclusión, ya que de ninguna manera se podía reenviar la causa al juzgado instructor para que a su defendido se le ampliara su declaración i</w:t>
      </w:r>
      <w:r>
        <w:t>n</w:t>
      </w:r>
      <w:r>
        <w:t xml:space="preserve">dagatoria, todo por la negligencia o impericia previa de los acusadores. Citó en este sentido el fallo “Mattei”, resuelto por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p>
    <w:p w:rsidR="00224567" w:rsidRDefault="00224567">
      <w:pPr>
        <w:widowControl w:val="0"/>
        <w:ind w:firstLine="2835"/>
      </w:pPr>
      <w:r>
        <w:t>Consideró que en oportunidad de pre</w:t>
      </w:r>
      <w:r>
        <w:t>s</w:t>
      </w:r>
      <w:r>
        <w:t>tar declaración indagatoria, Ribelli nunca fue intimado por el delito de instigación al falso testimonio, ni s</w:t>
      </w:r>
      <w:r>
        <w:t>i</w:t>
      </w:r>
      <w:r>
        <w:t>quiera con posterioridad al reenvío de las actuaci</w:t>
      </w:r>
      <w:r>
        <w:t>o</w:t>
      </w:r>
      <w:r>
        <w:t xml:space="preserve">nes al juzgado instructor. </w:t>
      </w:r>
    </w:p>
    <w:p w:rsidR="00224567" w:rsidRDefault="00224567">
      <w:pPr>
        <w:widowControl w:val="0"/>
        <w:ind w:firstLine="2835"/>
      </w:pPr>
      <w:r>
        <w:t>En este punto, reiteró el tema rel</w:t>
      </w:r>
      <w:r>
        <w:t>a</w:t>
      </w:r>
      <w:r>
        <w:t>cionado con la violación a la regla de imparcialidad del juez instructor.</w:t>
      </w:r>
    </w:p>
    <w:p w:rsidR="00224567" w:rsidRDefault="00224567">
      <w:pPr>
        <w:widowControl w:val="0"/>
        <w:ind w:firstLine="2835"/>
      </w:pPr>
      <w:r>
        <w:t>La defensa sostuvo que al no ser ind</w:t>
      </w:r>
      <w:r>
        <w:t>a</w:t>
      </w:r>
      <w:r>
        <w:t>gado su defendido conforme a las especificaciones del c</w:t>
      </w:r>
      <w:r>
        <w:t>ó</w:t>
      </w:r>
      <w:r>
        <w:t>digo de procedimientos se violó la regla constitucional del art. 18 referida a la defensa en juicio y debido pr</w:t>
      </w:r>
      <w:r>
        <w:t>o</w:t>
      </w:r>
      <w:r>
        <w:t>ceso.</w:t>
      </w:r>
    </w:p>
    <w:p w:rsidR="00224567" w:rsidRDefault="00224567">
      <w:pPr>
        <w:widowControl w:val="0"/>
        <w:ind w:firstLine="2835"/>
      </w:pPr>
      <w:r>
        <w:lastRenderedPageBreak/>
        <w:t>Seguidamente, trató el fondo de la cuestión, desarrollando brevemente los hechos que ca</w:t>
      </w:r>
      <w:r>
        <w:t>u</w:t>
      </w:r>
      <w:r>
        <w:t>saron la imputación de referencia.</w:t>
      </w:r>
    </w:p>
    <w:p w:rsidR="00224567" w:rsidRDefault="00224567">
      <w:pPr>
        <w:widowControl w:val="0"/>
        <w:ind w:firstLine="2835"/>
      </w:pPr>
      <w:r>
        <w:t>Sostuvo que con la declaración in</w:t>
      </w:r>
      <w:r>
        <w:t>i</w:t>
      </w:r>
      <w:r>
        <w:t>cial del 14 de marzo de 1994 de Huici se llegó a Telleldín, p</w:t>
      </w:r>
      <w:r>
        <w:t>e</w:t>
      </w:r>
      <w:r>
        <w:t>ro luego modificó su versión, motivada dicha conducta por su situación de detención. Hizo mención de las declaraci</w:t>
      </w:r>
      <w:r>
        <w:t>o</w:t>
      </w:r>
      <w:r>
        <w:t>nes de Javier Roberto Smurro y Oscar Lorenzo Díaz, que avalaban los d</w:t>
      </w:r>
      <w:r>
        <w:t>i</w:t>
      </w:r>
      <w:r>
        <w:t>chos de Huici.</w:t>
      </w:r>
    </w:p>
    <w:p w:rsidR="00224567" w:rsidRDefault="00224567">
      <w:pPr>
        <w:widowControl w:val="0"/>
        <w:ind w:firstLine="2835"/>
      </w:pPr>
      <w:r>
        <w:t>Señaló que en agosto de 1996 el juez Zukop de Lomas de Zamora remitió al Dr. Galeano una s</w:t>
      </w:r>
      <w:r>
        <w:t>e</w:t>
      </w:r>
      <w:r>
        <w:t>rie de escuchas telefónicas sobre el abonado 246-3006, en el marco de la causa nº 40.607, teléfono que pertenecería a Huici. El letrado consideró que si bien no podía asegurar que dichas escuchas tuvieron incidencia en el cambio de actitud de Huici, después que se ordenó un inmediato an</w:t>
      </w:r>
      <w:r>
        <w:t>á</w:t>
      </w:r>
      <w:r>
        <w:t>lisis de las mismas, el nombrado señaló que todo lo que había dicho era mentira, que Buján y Ambrosi no habían m</w:t>
      </w:r>
      <w:r>
        <w:t>a</w:t>
      </w:r>
      <w:r>
        <w:t>nifestado nada y que esa declaración falsa fue hecha con motivo de la presión de Ribelli sobre su pers</w:t>
      </w:r>
      <w:r>
        <w:t>o</w:t>
      </w:r>
      <w:r>
        <w:t>na.</w:t>
      </w:r>
    </w:p>
    <w:p w:rsidR="00224567" w:rsidRDefault="00224567">
      <w:pPr>
        <w:widowControl w:val="0"/>
        <w:ind w:firstLine="2835"/>
      </w:pPr>
      <w:r>
        <w:t>Agregó que sin poder afirmar si rea</w:t>
      </w:r>
      <w:r>
        <w:t>l</w:t>
      </w:r>
      <w:r>
        <w:lastRenderedPageBreak/>
        <w:t>mente esas escuchas fueron determinantes o no para que Huici cambiara su testimonio, lo cierto fue que el juez instructor las mantuvo en la caja fuerte de la secret</w:t>
      </w:r>
      <w:r>
        <w:t>a</w:t>
      </w:r>
      <w:r>
        <w:t>ría y ni siquiera las agregó a la causa, mientras que su act</w:t>
      </w:r>
      <w:r>
        <w:t>i</w:t>
      </w:r>
      <w:r>
        <w:t>tud fue diferente respecto a escuchas de su defendido y otros imputados.</w:t>
      </w:r>
    </w:p>
    <w:p w:rsidR="00224567" w:rsidRDefault="00224567">
      <w:pPr>
        <w:widowControl w:val="0"/>
        <w:ind w:firstLine="2835"/>
      </w:pPr>
      <w:r>
        <w:t>Aseguró que del análisis de esas esc</w:t>
      </w:r>
      <w:r>
        <w:t>u</w:t>
      </w:r>
      <w:r>
        <w:t>chas telefónicas se desprendería la posible comisión de delitos, como así también una íntima rel</w:t>
      </w:r>
      <w:r>
        <w:t>a</w:t>
      </w:r>
      <w:r>
        <w:t>ción entre Huici y Smurro, quien mintió para favorecer la actuación del primero.</w:t>
      </w:r>
    </w:p>
    <w:p w:rsidR="00224567" w:rsidRDefault="00224567">
      <w:pPr>
        <w:pStyle w:val="Sangra3detindependiente"/>
        <w:widowControl w:val="0"/>
        <w:spacing w:line="600" w:lineRule="auto"/>
        <w:ind w:firstLine="2835"/>
      </w:pPr>
      <w:r>
        <w:t>Seguidamente hizo referencia al sum</w:t>
      </w:r>
      <w:r>
        <w:t>a</w:t>
      </w:r>
      <w:r>
        <w:t>rio adm</w:t>
      </w:r>
      <w:r>
        <w:t>i</w:t>
      </w:r>
      <w:r>
        <w:t>nistrativo nº 266.505/96, señalando que Huici hizo su descargo manteniendo su primigenia d</w:t>
      </w:r>
      <w:r>
        <w:t>e</w:t>
      </w:r>
      <w:r>
        <w:t>claración prestada en sede judicial, ello a pesar de que tres meses antes h</w:t>
      </w:r>
      <w:r>
        <w:t>a</w:t>
      </w:r>
      <w:r>
        <w:t>bía dicho lo contrario frente al Dr. Galeano. El letrado concluyó que ma</w:t>
      </w:r>
      <w:r>
        <w:t>n</w:t>
      </w:r>
      <w:r>
        <w:t>tenía la imputación a su defendido ante el juez porque era la única forma de seguir alojado en una dependencia segura y agregó que si bien meses más tarde Huici fue modificando sus declar</w:t>
      </w:r>
      <w:r>
        <w:t>a</w:t>
      </w:r>
      <w:r>
        <w:t xml:space="preserve">ciones, circunstancias en </w:t>
      </w:r>
      <w:r>
        <w:lastRenderedPageBreak/>
        <w:t xml:space="preserve">las que intervinieron el juez de casación Dr. Domínguez, </w:t>
      </w:r>
      <w:smartTag w:uri="urn:schemas-microsoft-com:office:smarttags" w:element="PersonName">
        <w:smartTagPr>
          <w:attr w:name="ProductID" w:val="la Dra. Parasc￡ndolo"/>
        </w:smartTagPr>
        <w:r>
          <w:t>la Dra. Parascándolo</w:t>
        </w:r>
      </w:smartTag>
      <w:r>
        <w:t xml:space="preserve">, </w:t>
      </w:r>
      <w:smartTag w:uri="urn:schemas-microsoft-com:office:smarttags" w:element="PersonName">
        <w:smartTagPr>
          <w:attr w:name="ProductID" w:val="La Dra. Nercellas"/>
        </w:smartTagPr>
        <w:r>
          <w:t>la Dra. Nercellas</w:t>
        </w:r>
      </w:smartTag>
      <w:r>
        <w:t>, Luis Vicat, se retractó de algunos indicios pero siempre mantuvo la imp</w:t>
      </w:r>
      <w:r>
        <w:t>u</w:t>
      </w:r>
      <w:r>
        <w:t>tación a su defend</w:t>
      </w:r>
      <w:r>
        <w:t>i</w:t>
      </w:r>
      <w:r>
        <w:t>do.</w:t>
      </w:r>
    </w:p>
    <w:p w:rsidR="00224567" w:rsidRDefault="00224567">
      <w:pPr>
        <w:widowControl w:val="0"/>
        <w:ind w:firstLine="2835"/>
      </w:pPr>
      <w:r>
        <w:t>Señaló que Huici también mintió cua</w:t>
      </w:r>
      <w:r>
        <w:t>n</w:t>
      </w:r>
      <w:r>
        <w:t>do dijo que su declaración fue tomada por Bac</w:t>
      </w:r>
      <w:r>
        <w:t>i</w:t>
      </w:r>
      <w:r>
        <w:t>galupo el 14 ó 15 de marzo, ya que se probó que en esas fechas este últ</w:t>
      </w:r>
      <w:r>
        <w:t>i</w:t>
      </w:r>
      <w:r>
        <w:t>mo estaba gozando de licencia y se encontraba de vacaci</w:t>
      </w:r>
      <w:r>
        <w:t>o</w:t>
      </w:r>
      <w:r>
        <w:t xml:space="preserve">nes en Carlos Paz, provincia de Córdoba, e incluso fue víctima de un robo durante esos días. En ese sentido, hizo referencia a las fs. 249/250 del libro de guardia de </w:t>
      </w:r>
      <w:smartTag w:uri="urn:schemas-microsoft-com:office:smarttags" w:element="PersonName">
        <w:smartTagPr>
          <w:attr w:name="ProductID" w:val="la Brigada"/>
        </w:smartTagPr>
        <w:r>
          <w:t>la Brigada</w:t>
        </w:r>
      </w:smartTag>
      <w:r>
        <w:t xml:space="preserve"> de Lanús y al informe del Hotel “Molino de Oro” de la ciudad mencionada.</w:t>
      </w:r>
    </w:p>
    <w:p w:rsidR="00224567" w:rsidRDefault="00224567">
      <w:pPr>
        <w:widowControl w:val="0"/>
      </w:pPr>
      <w:r>
        <w:tab/>
        <w:t>Con relación a la modificación de las indagat</w:t>
      </w:r>
      <w:r>
        <w:t>o</w:t>
      </w:r>
      <w:r>
        <w:t>rias de Huici, narró que éste dijo que había sido presionado por los Dres. Domínguez y Parascándolo para d</w:t>
      </w:r>
      <w:r>
        <w:t>e</w:t>
      </w:r>
      <w:r>
        <w:t>clarar diferentes mentiras e incorporar cuestiones que desconocía, como las referidas a Burguete, a negocios e</w:t>
      </w:r>
      <w:r>
        <w:t>s</w:t>
      </w:r>
      <w:r>
        <w:t>purios en los que estaba involucrado su defendido, la r</w:t>
      </w:r>
      <w:r>
        <w:t>e</w:t>
      </w:r>
      <w:r>
        <w:t>lación entre Ribelli y los jueces Llermanos y González Elicabe.</w:t>
      </w:r>
    </w:p>
    <w:p w:rsidR="00224567" w:rsidRDefault="00224567">
      <w:pPr>
        <w:pStyle w:val="Sangra3detindependiente"/>
        <w:widowControl w:val="0"/>
        <w:spacing w:line="600" w:lineRule="auto"/>
        <w:ind w:firstLine="2835"/>
      </w:pPr>
      <w:r>
        <w:lastRenderedPageBreak/>
        <w:t>Concluyó que Huici, al igual que Bu</w:t>
      </w:r>
      <w:r>
        <w:t>r</w:t>
      </w:r>
      <w:r>
        <w:t>guete, no fue libre al hacer sus manifestaciones. Asimi</w:t>
      </w:r>
      <w:r>
        <w:t>s</w:t>
      </w:r>
      <w:r>
        <w:t>mo, consideró dificultoso defenderse de un acto de inst</w:t>
      </w:r>
      <w:r>
        <w:t>i</w:t>
      </w:r>
      <w:r>
        <w:t>gación porque se analizan d</w:t>
      </w:r>
      <w:r>
        <w:t>i</w:t>
      </w:r>
      <w:r>
        <w:t>chos contra dichos. El letrado afirmó que se basó en todas las constancias de la causa para demostrar co</w:t>
      </w:r>
      <w:r>
        <w:t>n</w:t>
      </w:r>
      <w:r>
        <w:t>cretamente que nada de lo que pretendió Huici posteriormente podía ser cierto y que realmente t</w:t>
      </w:r>
      <w:r>
        <w:t>o</w:t>
      </w:r>
      <w:r>
        <w:t>das sus manifestaciones le fueron inducidas con dif</w:t>
      </w:r>
      <w:r>
        <w:t>e</w:t>
      </w:r>
      <w:r>
        <w:t>rentes grados coacción, no solamente por parte del juzgado, sino también por sus secuaces.</w:t>
      </w:r>
    </w:p>
    <w:p w:rsidR="00224567" w:rsidRDefault="00224567">
      <w:pPr>
        <w:widowControl w:val="0"/>
        <w:ind w:firstLine="2835"/>
      </w:pPr>
      <w:r>
        <w:t>Destacó finalmente como releva</w:t>
      </w:r>
      <w:r>
        <w:t>n</w:t>
      </w:r>
      <w:r>
        <w:t>tes los dichos de Huici en el sumario administrativo ref</w:t>
      </w:r>
      <w:r>
        <w:t>e</w:t>
      </w:r>
      <w:r>
        <w:t>renciado, resaltando que cuando el nombrado d</w:t>
      </w:r>
      <w:r>
        <w:t>e</w:t>
      </w:r>
      <w:r>
        <w:t>claró sin la presencia del juez no lo hizo ampliamente en contra de Rib</w:t>
      </w:r>
      <w:r>
        <w:t>e</w:t>
      </w:r>
      <w:r>
        <w:t>lli.</w:t>
      </w:r>
    </w:p>
    <w:p w:rsidR="00224567" w:rsidRDefault="00224567">
      <w:pPr>
        <w:widowControl w:val="0"/>
        <w:rPr>
          <w:lang w:val="es-ES_tradnl"/>
        </w:rPr>
      </w:pPr>
      <w:r>
        <w:tab/>
        <w:t>Seguidamente, consideró que las</w:t>
      </w:r>
      <w:r>
        <w:rPr>
          <w:lang w:val="es-ES_tradnl"/>
        </w:rPr>
        <w:t xml:space="preserve"> ci</w:t>
      </w:r>
      <w:r>
        <w:rPr>
          <w:lang w:val="es-ES_tradnl"/>
        </w:rPr>
        <w:t>r</w:t>
      </w:r>
      <w:r>
        <w:rPr>
          <w:lang w:val="es-ES_tradnl"/>
        </w:rPr>
        <w:t>cunstancias alegadas por los acusadores respecto a su d</w:t>
      </w:r>
      <w:r>
        <w:rPr>
          <w:lang w:val="es-ES_tradnl"/>
        </w:rPr>
        <w:t>e</w:t>
      </w:r>
      <w:r>
        <w:rPr>
          <w:lang w:val="es-ES_tradnl"/>
        </w:rPr>
        <w:t>fendido sobre el hecho del 15 de marzo de 1994, se enco</w:t>
      </w:r>
      <w:r>
        <w:rPr>
          <w:lang w:val="es-ES_tradnl"/>
        </w:rPr>
        <w:t>n</w:t>
      </w:r>
      <w:r>
        <w:rPr>
          <w:lang w:val="es-ES_tradnl"/>
        </w:rPr>
        <w:t>traban íntimamente relacionadas con lo expuesto sobre la instigación al falso testimonio, por lo que se remitió a lo expresado oportun</w:t>
      </w:r>
      <w:r>
        <w:rPr>
          <w:lang w:val="es-ES_tradnl"/>
        </w:rPr>
        <w:t>a</w:t>
      </w:r>
      <w:r>
        <w:rPr>
          <w:lang w:val="es-ES_tradnl"/>
        </w:rPr>
        <w:t>mente.</w:t>
      </w:r>
    </w:p>
    <w:p w:rsidR="00224567" w:rsidRDefault="00224567">
      <w:pPr>
        <w:widowControl w:val="0"/>
      </w:pPr>
      <w:r>
        <w:rPr>
          <w:lang w:val="es-ES_tradnl"/>
        </w:rPr>
        <w:lastRenderedPageBreak/>
        <w:tab/>
        <w:t xml:space="preserve">Narró algunos detalles del hecho en cuestión, como cuando Telleldín chocó al taxista Héctor Sexto, resaltando que si </w:t>
      </w:r>
      <w:smartTag w:uri="urn:schemas-microsoft-com:office:smarttags" w:element="PersonName">
        <w:smartTagPr>
          <w:attr w:name="ProductID" w:val="la Brigada"/>
        </w:smartTagPr>
        <w:r>
          <w:rPr>
            <w:lang w:val="es-ES_tradnl"/>
          </w:rPr>
          <w:t>la Brigada</w:t>
        </w:r>
      </w:smartTag>
      <w:r>
        <w:rPr>
          <w:lang w:val="es-ES_tradnl"/>
        </w:rPr>
        <w:t xml:space="preserve"> de Lanús hubiera a</w:t>
      </w:r>
      <w:r>
        <w:rPr>
          <w:lang w:val="es-ES_tradnl"/>
        </w:rPr>
        <w:t>c</w:t>
      </w:r>
      <w:r>
        <w:rPr>
          <w:lang w:val="es-ES_tradnl"/>
        </w:rPr>
        <w:t>cionado clandestinamente, Ibarra</w:t>
      </w:r>
      <w:r>
        <w:t xml:space="preserve"> no hubiera labrado un a</w:t>
      </w:r>
      <w:r>
        <w:t>c</w:t>
      </w:r>
      <w:r>
        <w:t>ta circunstanciada para que este hombre se quedara tra</w:t>
      </w:r>
      <w:r>
        <w:t>n</w:t>
      </w:r>
      <w:r>
        <w:t>quilo y supiera que su auto sería reparado por los daños causados. Afirmó que una brigada no procede así cuando i</w:t>
      </w:r>
      <w:r>
        <w:t>n</w:t>
      </w:r>
      <w:r>
        <w:t>tentan extorsionar o producir algún acto verdaderamente dañoso.</w:t>
      </w:r>
    </w:p>
    <w:p w:rsidR="00224567" w:rsidRDefault="00224567">
      <w:pPr>
        <w:widowControl w:val="0"/>
        <w:ind w:firstLine="2835"/>
        <w:rPr>
          <w:lang w:val="es-ES_tradnl"/>
        </w:rPr>
      </w:pPr>
      <w:r>
        <w:rPr>
          <w:lang w:val="es-ES_tradnl"/>
        </w:rPr>
        <w:t>Agregó que los dichos del taxista Se</w:t>
      </w:r>
      <w:r>
        <w:rPr>
          <w:lang w:val="es-ES_tradnl"/>
        </w:rPr>
        <w:t>x</w:t>
      </w:r>
      <w:r>
        <w:rPr>
          <w:lang w:val="es-ES_tradnl"/>
        </w:rPr>
        <w:t>to fueron incorporados por lectura, pese a su oposición, con sustento en el fallo “Abasto”, rescatando que en su deposición se advierte que n</w:t>
      </w:r>
      <w:r>
        <w:rPr>
          <w:lang w:val="es-ES_tradnl"/>
        </w:rPr>
        <w:t>a</w:t>
      </w:r>
      <w:r>
        <w:rPr>
          <w:lang w:val="es-ES_tradnl"/>
        </w:rPr>
        <w:t>da dice sobre la presencia de una mujer en el Renault 18 en que se fug</w:t>
      </w:r>
      <w:r>
        <w:rPr>
          <w:lang w:val="es-ES_tradnl"/>
        </w:rPr>
        <w:t>a</w:t>
      </w:r>
      <w:r>
        <w:rPr>
          <w:lang w:val="es-ES_tradnl"/>
        </w:rPr>
        <w:t>ra Telleldín; no pudo haber pasado desapercibido ante sus ojos que una “r</w:t>
      </w:r>
      <w:r>
        <w:rPr>
          <w:lang w:val="es-ES_tradnl"/>
        </w:rPr>
        <w:t>u</w:t>
      </w:r>
      <w:r>
        <w:rPr>
          <w:lang w:val="es-ES_tradnl"/>
        </w:rPr>
        <w:t>bia llamativa” ascendiera a ese rodado inmediatamente a</w:t>
      </w:r>
      <w:r>
        <w:rPr>
          <w:lang w:val="es-ES_tradnl"/>
        </w:rPr>
        <w:t>n</w:t>
      </w:r>
      <w:r>
        <w:rPr>
          <w:lang w:val="es-ES_tradnl"/>
        </w:rPr>
        <w:t>tes que se produjera el incide</w:t>
      </w:r>
      <w:r>
        <w:rPr>
          <w:lang w:val="es-ES_tradnl"/>
        </w:rPr>
        <w:t>n</w:t>
      </w:r>
      <w:r>
        <w:rPr>
          <w:lang w:val="es-ES_tradnl"/>
        </w:rPr>
        <w:t>te, lo que, a su entender, permitió considerar que B</w:t>
      </w:r>
      <w:r>
        <w:rPr>
          <w:lang w:val="es-ES_tradnl"/>
        </w:rPr>
        <w:t>o</w:t>
      </w:r>
      <w:r>
        <w:rPr>
          <w:lang w:val="es-ES_tradnl"/>
        </w:rPr>
        <w:t xml:space="preserve">ragni no iba en ese rodado. </w:t>
      </w:r>
    </w:p>
    <w:p w:rsidR="00224567" w:rsidRDefault="00224567">
      <w:pPr>
        <w:widowControl w:val="0"/>
      </w:pPr>
      <w:r>
        <w:rPr>
          <w:lang w:val="es-ES_tradnl"/>
        </w:rPr>
        <w:tab/>
        <w:t>Con relación a estos incidentes, co</w:t>
      </w:r>
      <w:r>
        <w:rPr>
          <w:lang w:val="es-ES_tradnl"/>
        </w:rPr>
        <w:t>n</w:t>
      </w:r>
      <w:r>
        <w:rPr>
          <w:lang w:val="es-ES_tradnl"/>
        </w:rPr>
        <w:t>sideró que el fiscal Nisman adujo como indicio cargoso que no era cierto que Ibarra hubiera hecho tareas de intel</w:t>
      </w:r>
      <w:r>
        <w:rPr>
          <w:lang w:val="es-ES_tradnl"/>
        </w:rPr>
        <w:t>i</w:t>
      </w:r>
      <w:r>
        <w:rPr>
          <w:lang w:val="es-ES_tradnl"/>
        </w:rPr>
        <w:lastRenderedPageBreak/>
        <w:t>gencia en República 107 de Villa Ballester antes de ir a Olivos, porque “...</w:t>
      </w:r>
      <w:r>
        <w:t>se hubiera dado cuenta que no hubiera encontrado nunca a Telleldín. Telleldín ya hacía tiempo que no vivía ahí, porque estaba viviendo en Santa María, Sandra María Petrucci en la localidad de Tortuguitas...”, concluyendo que dicho funcionario mintió, ya que lo co</w:t>
      </w:r>
      <w:r>
        <w:t>n</w:t>
      </w:r>
      <w:r>
        <w:t>trario surgía de la declaración testimonial de Ib</w:t>
      </w:r>
      <w:r>
        <w:t>a</w:t>
      </w:r>
      <w:r>
        <w:t>rra del 15 de marzo de 1994, prestada a fs. 233 de la causa 5681 del juzgado de Quilmes.</w:t>
      </w:r>
    </w:p>
    <w:p w:rsidR="00224567" w:rsidRDefault="00224567">
      <w:pPr>
        <w:widowControl w:val="0"/>
        <w:rPr>
          <w:lang w:val="es-ES_tradnl"/>
        </w:rPr>
      </w:pPr>
      <w:r>
        <w:tab/>
        <w:t>Subrayó que era clarísimo que la ún</w:t>
      </w:r>
      <w:r>
        <w:t>i</w:t>
      </w:r>
      <w:r>
        <w:t>ca misión de su d</w:t>
      </w:r>
      <w:r>
        <w:t>e</w:t>
      </w:r>
      <w:r>
        <w:t>fendido en este hecho fue nada más que dar una instrucción para determinar si una persona vivía o existía en esa localidad.</w:t>
      </w:r>
    </w:p>
    <w:p w:rsidR="00224567" w:rsidRDefault="00224567">
      <w:pPr>
        <w:widowControl w:val="0"/>
        <w:ind w:firstLine="2835"/>
      </w:pPr>
      <w:r>
        <w:rPr>
          <w:lang w:val="es-ES_tradnl"/>
        </w:rPr>
        <w:t xml:space="preserve">Señaló, con </w:t>
      </w:r>
      <w:r>
        <w:t>relación al hecho del 4 de abril de 1994, que si bien los fiscales consideraron que había uniformados en la brigada de i</w:t>
      </w:r>
      <w:r>
        <w:t>n</w:t>
      </w:r>
      <w:r>
        <w:t>vestigaciones, dicha circunstancia quedó desvirtuada con el testimonio de Ma</w:t>
      </w:r>
      <w:r>
        <w:t>r</w:t>
      </w:r>
      <w:r>
        <w:t>celo Antonio Bressi.</w:t>
      </w:r>
    </w:p>
    <w:p w:rsidR="00224567" w:rsidRDefault="00224567">
      <w:pPr>
        <w:widowControl w:val="0"/>
      </w:pPr>
      <w:r>
        <w:tab/>
        <w:t>Sostuvo que no obstante que en este hecho se habló sobre la entrega de un Renault 18 dom</w:t>
      </w:r>
      <w:r>
        <w:t>i</w:t>
      </w:r>
      <w:r>
        <w:t xml:space="preserve">nio B </w:t>
      </w:r>
      <w:r>
        <w:lastRenderedPageBreak/>
        <w:t>2.270.130, un Ford Falcon C 1.213.656, una moto Kawasaki 328-APX y unos $ 2000 que tenía Petrucci, se desvirtuaron dichas circunstancias con los testimonios de la nombrada –respecto del dinero- y la presencia de los testigos  J</w:t>
      </w:r>
      <w:r>
        <w:t>u</w:t>
      </w:r>
      <w:r>
        <w:t>lián  Roberto Uriona y Romualdo Edelmiro Goyeneche –con relación a la moto- cuyos dichos p</w:t>
      </w:r>
      <w:r>
        <w:t>u</w:t>
      </w:r>
      <w:r>
        <w:t xml:space="preserve">sieron en evidencia la mendacidad mantenida por Semorile, que no tenía otro fin que comprometer a Ribelli y </w:t>
      </w:r>
      <w:smartTag w:uri="urn:schemas-microsoft-com:office:smarttags" w:element="PersonName">
        <w:smartTagPr>
          <w:attr w:name="ProductID" w:val="la Brigada"/>
        </w:smartTagPr>
        <w:r>
          <w:t>la Brigada</w:t>
        </w:r>
      </w:smartTag>
      <w:r>
        <w:t xml:space="preserve"> de Lanús, ya que era parte de lo pactado con el juez Galeano en 1996.</w:t>
      </w:r>
    </w:p>
    <w:p w:rsidR="00224567" w:rsidRDefault="00224567">
      <w:pPr>
        <w:widowControl w:val="0"/>
      </w:pPr>
      <w:r>
        <w:tab/>
        <w:t>Respecto del Renault 18 y del Ford Falcon, consideró que nunca pasaron por manos policiales porque pese a que el juez instructor efectuó averiguaci</w:t>
      </w:r>
      <w:r>
        <w:t>o</w:t>
      </w:r>
      <w:r>
        <w:t xml:space="preserve">nes en todas las compañías de seguros, municipalidades, Rentas y Registro Nacional de </w:t>
      </w:r>
      <w:smartTag w:uri="urn:schemas-microsoft-com:office:smarttags" w:element="PersonName">
        <w:smartTagPr>
          <w:attr w:name="ProductID" w:val="la Propiedad Automotor"/>
        </w:smartTagPr>
        <w:r>
          <w:t>la Propiedad Automotor</w:t>
        </w:r>
      </w:smartTag>
      <w:r>
        <w:t>, tr</w:t>
      </w:r>
      <w:r>
        <w:t>a</w:t>
      </w:r>
      <w:r>
        <w:t>tando de ubicar transferencias, pedidos de informes, mu</w:t>
      </w:r>
      <w:r>
        <w:t>l</w:t>
      </w:r>
      <w:r>
        <w:t>tas, pagos de patente o algún indicio de venta –fs. 963, 964, 992, 997, 1002 y 4088 de la causa “Brigadas”, entre otras-, todo ello arrojó resultado negativo.</w:t>
      </w:r>
    </w:p>
    <w:p w:rsidR="00224567" w:rsidRDefault="00224567">
      <w:pPr>
        <w:widowControl w:val="0"/>
      </w:pPr>
      <w:r>
        <w:tab/>
        <w:t>El Dr. Ubeira se preguntó cómo era p</w:t>
      </w:r>
      <w:r>
        <w:t>o</w:t>
      </w:r>
      <w:r>
        <w:t>sible que esos rodados que supuestamente se quedaron los policías no fueran hallados o mínimamente no hubiera ni</w:t>
      </w:r>
      <w:r>
        <w:t>n</w:t>
      </w:r>
      <w:r>
        <w:lastRenderedPageBreak/>
        <w:t>gún indicio de transacción, circunstancia lógica para r</w:t>
      </w:r>
      <w:r>
        <w:t>e</w:t>
      </w:r>
      <w:r>
        <w:t>partir el botín. Entendió que si el fiscal consideraba que los fraccionaron y vendieron sus repuestos, tendría que demostrar todo ese proceso con pru</w:t>
      </w:r>
      <w:r>
        <w:t>e</w:t>
      </w:r>
      <w:r>
        <w:t>bas.</w:t>
      </w:r>
    </w:p>
    <w:p w:rsidR="00224567" w:rsidRDefault="00224567">
      <w:pPr>
        <w:widowControl w:val="0"/>
      </w:pPr>
      <w:r>
        <w:tab/>
        <w:t>También destacó las contradicciones existentes entre el fletero Setaro y Petrucci, las versi</w:t>
      </w:r>
      <w:r>
        <w:t>o</w:t>
      </w:r>
      <w:r>
        <w:t>nes de Héctor Banga y Semorile, como así también las de Eduardo Telleldín, que no pudieron ser incorporadas por lectura porque el Dr. Galeano aún no resolvió su situación procesal, los dichos de Botey y las escuchas telefónicas del abonado 780-0520. Consideró que si bien todos ellos intentaban armar una única versión de los hechos, no lo lograron porque un análisis minucioso de todos esos el</w:t>
      </w:r>
      <w:r>
        <w:t>e</w:t>
      </w:r>
      <w:r>
        <w:t>mentos de cargo mostraba innumerables contradicci</w:t>
      </w:r>
      <w:r>
        <w:t>o</w:t>
      </w:r>
      <w:r>
        <w:t xml:space="preserve">nes que evidenciaban que mintieron. </w:t>
      </w:r>
    </w:p>
    <w:p w:rsidR="00224567" w:rsidRDefault="00224567">
      <w:pPr>
        <w:widowControl w:val="0"/>
      </w:pPr>
      <w:r>
        <w:tab/>
        <w:t>Señaló que también se utilizaron los dichos de Alberto Fabián Spagnuolo como indicios de cargo en contra de su defendido, resaltando que el no</w:t>
      </w:r>
      <w:r>
        <w:t>m</w:t>
      </w:r>
      <w:r>
        <w:t>brado era socio de Semorile, por lo que no descartó que se haya pr</w:t>
      </w:r>
      <w:r>
        <w:t>o</w:t>
      </w:r>
      <w:r>
        <w:t>nunciado ante el juez instructor en simil</w:t>
      </w:r>
      <w:r>
        <w:t>a</w:t>
      </w:r>
      <w:r>
        <w:t xml:space="preserve">res términos que </w:t>
      </w:r>
      <w:r>
        <w:lastRenderedPageBreak/>
        <w:t>este último, tratando de perjudicar a Rib</w:t>
      </w:r>
      <w:r>
        <w:t>e</w:t>
      </w:r>
      <w:r>
        <w:t>lli con el solo motivo de no quedar involucrado en estas actuaci</w:t>
      </w:r>
      <w:r>
        <w:t>o</w:t>
      </w:r>
      <w:r>
        <w:t>nes.</w:t>
      </w:r>
    </w:p>
    <w:p w:rsidR="00224567" w:rsidRDefault="00224567">
      <w:pPr>
        <w:widowControl w:val="0"/>
        <w:ind w:firstLine="2835"/>
      </w:pPr>
      <w:r>
        <w:t>Narró lo relacionado con la d</w:t>
      </w:r>
      <w:r>
        <w:t>e</w:t>
      </w:r>
      <w:r>
        <w:t xml:space="preserve">tención y fichaje de Telleldín en </w:t>
      </w:r>
      <w:smartTag w:uri="urn:schemas-microsoft-com:office:smarttags" w:element="PersonName">
        <w:smartTagPr>
          <w:attr w:name="ProductID" w:val="la Brigada"/>
        </w:smartTagPr>
        <w:r>
          <w:t>la Brigada</w:t>
        </w:r>
      </w:smartTag>
      <w:r>
        <w:t xml:space="preserve"> de Lanús e hizo al</w:t>
      </w:r>
      <w:r>
        <w:t>u</w:t>
      </w:r>
      <w:r>
        <w:t>sión al alegato del Dr. Romero y la posterior rectific</w:t>
      </w:r>
      <w:r>
        <w:t>a</w:t>
      </w:r>
      <w:r>
        <w:t>ción de sus dichos por parte del Dr. Nisman, por lo que sostuvo que si existen contradicciones respecto a las po</w:t>
      </w:r>
      <w:r>
        <w:t>s</w:t>
      </w:r>
      <w:r>
        <w:t>turas de los fiscales frente a temas tan trascendentes, ello constituía una muestra más que todo en su conjunto no cerraba e iban “emparchando” los baches oscuros que su</w:t>
      </w:r>
      <w:r>
        <w:t>r</w:t>
      </w:r>
      <w:r>
        <w:t>gían evide</w:t>
      </w:r>
      <w:r>
        <w:t>n</w:t>
      </w:r>
      <w:r>
        <w:t>tes.</w:t>
      </w:r>
    </w:p>
    <w:p w:rsidR="00224567" w:rsidRDefault="00224567">
      <w:pPr>
        <w:widowControl w:val="0"/>
        <w:ind w:firstLine="2835"/>
      </w:pPr>
      <w:r>
        <w:t>Agregó que también existieron contr</w:t>
      </w:r>
      <w:r>
        <w:t>a</w:t>
      </w:r>
      <w:r>
        <w:t>dicciones en la ac</w:t>
      </w:r>
      <w:r>
        <w:t>u</w:t>
      </w:r>
      <w:r>
        <w:t>sación de la querella que representa a D.A.I.A., citando como ejemplo que en un primer momento esa parte sostuvo que Ribelli había sido comisionado d</w:t>
      </w:r>
      <w:r>
        <w:t>i</w:t>
      </w:r>
      <w:r>
        <w:t>rectamente por Rabbani para que le entregara una camion</w:t>
      </w:r>
      <w:r>
        <w:t>e</w:t>
      </w:r>
      <w:r>
        <w:t>ta, para luego rectificarse y referirse a que había sido una persona, sin individualizar de quién se trataba.</w:t>
      </w:r>
    </w:p>
    <w:p w:rsidR="00224567" w:rsidRDefault="00224567">
      <w:pPr>
        <w:widowControl w:val="0"/>
        <w:ind w:firstLine="2835"/>
      </w:pPr>
      <w:r>
        <w:t>Seguidamente hizo una referencia a las inco</w:t>
      </w:r>
      <w:r>
        <w:t>n</w:t>
      </w:r>
      <w:r>
        <w:t>gruencias existentes en la exposición del Dr. Nisman, específicamente sobre los dichos de T</w:t>
      </w:r>
      <w:r>
        <w:t>e</w:t>
      </w:r>
      <w:r>
        <w:t>lleldín.</w:t>
      </w:r>
    </w:p>
    <w:p w:rsidR="00224567" w:rsidRDefault="00224567">
      <w:pPr>
        <w:widowControl w:val="0"/>
        <w:ind w:firstLine="2835"/>
      </w:pPr>
      <w:r>
        <w:lastRenderedPageBreak/>
        <w:t>Al respecto, el letrado defensor se preguntó cómo la fiscalía pretendía utilizar como el</w:t>
      </w:r>
      <w:r>
        <w:t>e</w:t>
      </w:r>
      <w:r>
        <w:t>mento de cargo la declaración de Telleldín del 5 de julio de 1996 cuando el mismo Ministerio Público solicitó la nul</w:t>
      </w:r>
      <w:r>
        <w:t>i</w:t>
      </w:r>
      <w:r>
        <w:t>dad de dicha indagatoria; si creía la fiscalía que por el solo hecho de que Telleldín ratificó esa declaración d</w:t>
      </w:r>
      <w:r>
        <w:t>u</w:t>
      </w:r>
      <w:r>
        <w:t>rante la audiencia oral y pública la habilitaba a consid</w:t>
      </w:r>
      <w:r>
        <w:t>e</w:t>
      </w:r>
      <w:r>
        <w:t>rarla como válida y cómo se podía ratificar un acto nulo cuando seguía existiendo el mismo vicio que afectó la v</w:t>
      </w:r>
      <w:r>
        <w:t>o</w:t>
      </w:r>
      <w:r>
        <w:t>luntad de Telle</w:t>
      </w:r>
      <w:r>
        <w:t>l</w:t>
      </w:r>
      <w:r>
        <w:t>dín.</w:t>
      </w:r>
    </w:p>
    <w:p w:rsidR="00224567" w:rsidRDefault="00224567">
      <w:pPr>
        <w:widowControl w:val="0"/>
        <w:ind w:firstLine="2835"/>
      </w:pPr>
      <w:r>
        <w:t>Consideró que el Dr. Romero dijo que en las exposiciones de Telleldín “...abundan datos incie</w:t>
      </w:r>
      <w:r>
        <w:t>r</w:t>
      </w:r>
      <w:r>
        <w:t>tos, mentiras ... y alguna que otra verdad... todo dirig</w:t>
      </w:r>
      <w:r>
        <w:t>i</w:t>
      </w:r>
      <w:r>
        <w:t>do a crear confusión y obstaculizar la investig</w:t>
      </w:r>
      <w:r>
        <w:t>a</w:t>
      </w:r>
      <w:r>
        <w:t>ción...” y que el nombrado tiene “...habilidad para mezclar situaci</w:t>
      </w:r>
      <w:r>
        <w:t>o</w:t>
      </w:r>
      <w:r>
        <w:t>nes ... enredarlas... y presentarlas hoy de manera disti</w:t>
      </w:r>
      <w:r>
        <w:t>n</w:t>
      </w:r>
      <w:r>
        <w:t>ta a ayer...”; ante ello, la defensa de Ribelli se pregu</w:t>
      </w:r>
      <w:r>
        <w:t>n</w:t>
      </w:r>
      <w:r>
        <w:t>tó cómo sabían los fiscales cuándo Telleldín mentía y cuándo decía la verdad.</w:t>
      </w:r>
    </w:p>
    <w:p w:rsidR="00224567" w:rsidRDefault="00224567">
      <w:pPr>
        <w:widowControl w:val="0"/>
        <w:ind w:firstLine="2835"/>
      </w:pPr>
      <w:r>
        <w:t>Sostuvo que si bien el Dr. Nisman d</w:t>
      </w:r>
      <w:r>
        <w:t>i</w:t>
      </w:r>
      <w:r>
        <w:t xml:space="preserve">jo </w:t>
      </w:r>
      <w:r>
        <w:lastRenderedPageBreak/>
        <w:t>que las verdades se apoyaban en otros elementos de prueba, tales como te</w:t>
      </w:r>
      <w:r>
        <w:t>s</w:t>
      </w:r>
      <w:r>
        <w:t>timonios, éstos eran de personas del entorno de Telleldín y surgieron como consecuencia de la negoci</w:t>
      </w:r>
      <w:r>
        <w:t>a</w:t>
      </w:r>
      <w:r>
        <w:t>ción entre el Estado argentino y el nombrado, sea por i</w:t>
      </w:r>
      <w:r>
        <w:t>n</w:t>
      </w:r>
      <w:r>
        <w:t xml:space="preserve">termedio de </w:t>
      </w:r>
      <w:smartTag w:uri="urn:schemas-microsoft-com:office:smarttags" w:element="PersonName">
        <w:smartTagPr>
          <w:attr w:name="ProductID" w:val="la Dra. Riva"/>
        </w:smartTagPr>
        <w:r>
          <w:t>la Dra. Riva</w:t>
        </w:r>
      </w:smartTag>
      <w:r>
        <w:t xml:space="preserve"> Aramayo, el juez instructor u otros.</w:t>
      </w:r>
    </w:p>
    <w:p w:rsidR="00224567" w:rsidRDefault="00224567">
      <w:pPr>
        <w:widowControl w:val="0"/>
        <w:ind w:firstLine="2835"/>
      </w:pPr>
      <w:r>
        <w:t>Concluyó que si se sostenía que la d</w:t>
      </w:r>
      <w:r>
        <w:t>e</w:t>
      </w:r>
      <w:r>
        <w:t>claración en cuestión era nula porque poseía vicios re</w:t>
      </w:r>
      <w:r>
        <w:t>s</w:t>
      </w:r>
      <w:r>
        <w:t>pecto de la voluntad del declarante, las testimoni</w:t>
      </w:r>
      <w:r>
        <w:t>a</w:t>
      </w:r>
      <w:r>
        <w:t>les que el fiscal intentaba valorar como apoyatura de las supue</w:t>
      </w:r>
      <w:r>
        <w:t>s</w:t>
      </w:r>
      <w:r>
        <w:t>tas verdades que dijo Telleldín, eran fruto del árbol e</w:t>
      </w:r>
      <w:r>
        <w:t>n</w:t>
      </w:r>
      <w:r>
        <w:t>venenado, sin perjuicio que los testimonios de las pers</w:t>
      </w:r>
      <w:r>
        <w:t>o</w:t>
      </w:r>
      <w:r>
        <w:t>nas del entorno del nombrado carecían de entidad suficie</w:t>
      </w:r>
      <w:r>
        <w:t>n</w:t>
      </w:r>
      <w:r>
        <w:t>te como para ser tenidos en cuenta.</w:t>
      </w:r>
    </w:p>
    <w:p w:rsidR="00224567" w:rsidRDefault="00224567">
      <w:pPr>
        <w:widowControl w:val="0"/>
        <w:ind w:firstLine="2835"/>
      </w:pPr>
      <w:r>
        <w:t>Luego, el letrado defensor ref</w:t>
      </w:r>
      <w:r>
        <w:t>i</w:t>
      </w:r>
      <w:r>
        <w:t>rió que tanto el fiscal Nisman como el Dr. Ávila introduj</w:t>
      </w:r>
      <w:r>
        <w:t>e</w:t>
      </w:r>
      <w:r>
        <w:t>ron como elemento de cargo en contra de su defendido distintos e</w:t>
      </w:r>
      <w:r>
        <w:t>n</w:t>
      </w:r>
      <w:r>
        <w:t>trecruzamientos telefónicos atribuidos a Semorile y Rib</w:t>
      </w:r>
      <w:r>
        <w:t>e</w:t>
      </w:r>
      <w:r>
        <w:t>lli entre los días 4 y 5 de abril de 1994, detallados a fs. 931 del legajo 310, mediante una certificación actu</w:t>
      </w:r>
      <w:r>
        <w:t>a</w:t>
      </w:r>
      <w:r>
        <w:t>rial del 8 de abril de 2002.</w:t>
      </w:r>
    </w:p>
    <w:p w:rsidR="00224567" w:rsidRDefault="00224567">
      <w:pPr>
        <w:pStyle w:val="Sangra3detindependiente"/>
        <w:widowControl w:val="0"/>
        <w:spacing w:line="600" w:lineRule="auto"/>
        <w:ind w:firstLine="2835"/>
      </w:pPr>
      <w:r>
        <w:lastRenderedPageBreak/>
        <w:t>Advirtió que dicha certificación fue hecha a más de dos años de cerrada la instrucción de la causa y a dos años de la fecha en que a su defendido le negaron la posibilidad de controlar la prueba que se pr</w:t>
      </w:r>
      <w:r>
        <w:t>o</w:t>
      </w:r>
      <w:r>
        <w:t>ducía en los testimonios de la causa A.M.I.A. y legajos, por lo que sostuvo que no se puede incorporar y valorar prueba que fue producida sin su co</w:t>
      </w:r>
      <w:r>
        <w:t>n</w:t>
      </w:r>
      <w:r>
        <w:t>trol.</w:t>
      </w:r>
    </w:p>
    <w:p w:rsidR="00224567" w:rsidRDefault="00224567">
      <w:pPr>
        <w:widowControl w:val="0"/>
        <w:ind w:firstLine="2835"/>
      </w:pPr>
      <w:r>
        <w:t>Agregó que si esos cruces telef</w:t>
      </w:r>
      <w:r>
        <w:t>ó</w:t>
      </w:r>
      <w:r>
        <w:t>nicos se hallaban en poder del doctor Galeano desde el momento de la detención de Ribelli, nunca fueron esgrimidos como elementos de cargo en ninguna de las indagatorias para que su defendido pudiera dar alguna expl</w:t>
      </w:r>
      <w:r>
        <w:t>i</w:t>
      </w:r>
      <w:r>
        <w:t>cación al respecto.</w:t>
      </w:r>
    </w:p>
    <w:p w:rsidR="00224567" w:rsidRDefault="00224567">
      <w:pPr>
        <w:widowControl w:val="0"/>
        <w:ind w:firstLine="2835"/>
      </w:pPr>
      <w:r>
        <w:t>Consideró que estos entrecruz</w:t>
      </w:r>
      <w:r>
        <w:t>a</w:t>
      </w:r>
      <w:r>
        <w:t>mientos no fueron incorporados oportunamente por dos razones; en primer término, porque obviamente quer</w:t>
      </w:r>
      <w:r>
        <w:t>í</w:t>
      </w:r>
      <w:r>
        <w:t>an ocultar el tema relacionado con Semorile, dado que era un testigo de ide</w:t>
      </w:r>
      <w:r>
        <w:t>n</w:t>
      </w:r>
      <w:r>
        <w:t>tidad reservada y, en segundo lugar, porque si se le h</w:t>
      </w:r>
      <w:r>
        <w:t>u</w:t>
      </w:r>
      <w:r>
        <w:t>biera permitido a R</w:t>
      </w:r>
      <w:r>
        <w:t>i</w:t>
      </w:r>
      <w:r>
        <w:t xml:space="preserve">belli hacer el descargo con respecto a todos esos cruces telefónicos, habría podido dar decenas de razones explicando por qué Semorile lo llamaba a la </w:t>
      </w:r>
      <w:r>
        <w:lastRenderedPageBreak/>
        <w:t>brigada, como seguramente pudo haberlo hecho cualquier otro abogado que ejerciera en esa j</w:t>
      </w:r>
      <w:r>
        <w:t>u</w:t>
      </w:r>
      <w:r>
        <w:t>risdicción preguntando por la ubicación de un detenido, una actuación o una ca</w:t>
      </w:r>
      <w:r>
        <w:t>u</w:t>
      </w:r>
      <w:r>
        <w:t>sa.</w:t>
      </w:r>
    </w:p>
    <w:p w:rsidR="00224567" w:rsidRDefault="00224567">
      <w:pPr>
        <w:widowControl w:val="0"/>
        <w:ind w:firstLine="2835"/>
      </w:pPr>
      <w:r>
        <w:t>Insistió en que tampoco durante el juicio el Ministerio Público Fiscal hizo saber a Rib</w:t>
      </w:r>
      <w:r>
        <w:t>e</w:t>
      </w:r>
      <w:r>
        <w:t>lli, en las indagatorias prestadas, que a su criterio había o</w:t>
      </w:r>
      <w:r>
        <w:t>b</w:t>
      </w:r>
      <w:r>
        <w:t>tenido este nuevo elemento de cargo para que el nombrado tomara conocimiento y pudiera tener la oport</w:t>
      </w:r>
      <w:r>
        <w:t>u</w:t>
      </w:r>
      <w:r>
        <w:t>nidad de dar explicaciones. Agregó que no puede alega</w:t>
      </w:r>
      <w:r>
        <w:t>r</w:t>
      </w:r>
      <w:r>
        <w:t>se a su favor que no lo hicieron porque Ribelli no respondía preguntas, ya que la obligación de los acusadores era solicitar que su defendido pasase al estrado para hacerle conocer los nu</w:t>
      </w:r>
      <w:r>
        <w:t>e</w:t>
      </w:r>
      <w:r>
        <w:t>vos elementos de cargo y luego Ribelli les respondería o no según lo decidiera en ese m</w:t>
      </w:r>
      <w:r>
        <w:t>o</w:t>
      </w:r>
      <w:r>
        <w:t>mento.</w:t>
      </w:r>
    </w:p>
    <w:p w:rsidR="00224567" w:rsidRDefault="00224567">
      <w:pPr>
        <w:widowControl w:val="0"/>
        <w:ind w:firstLine="2835"/>
      </w:pPr>
      <w:r>
        <w:t>Finalmente, refirió que el fiscal hizo alusión a cruces telefónicos entre el celular de Semorile y Ribelli, pero del testimonio del letrado mencionado y del resto de las probanzas producidas d</w:t>
      </w:r>
      <w:r>
        <w:t>u</w:t>
      </w:r>
      <w:r>
        <w:t>rante el debate no surgió, a su criterio, con la cert</w:t>
      </w:r>
      <w:r>
        <w:t>e</w:t>
      </w:r>
      <w:r>
        <w:t>za necesaria que exige una sentencia d</w:t>
      </w:r>
      <w:r>
        <w:t>e</w:t>
      </w:r>
      <w:r>
        <w:t xml:space="preserve">finitiva, que el celular en cuestión haya </w:t>
      </w:r>
      <w:r>
        <w:lastRenderedPageBreak/>
        <w:t>sido utilizado efectivamente por el primero de los nombr</w:t>
      </w:r>
      <w:r>
        <w:t>a</w:t>
      </w:r>
      <w:r>
        <w:t>dos.</w:t>
      </w:r>
    </w:p>
    <w:p w:rsidR="00224567" w:rsidRDefault="00224567">
      <w:pPr>
        <w:widowControl w:val="0"/>
        <w:ind w:firstLine="2835"/>
      </w:pPr>
      <w:r>
        <w:t>Señaló que la incorporación por lect</w:t>
      </w:r>
      <w:r>
        <w:t>u</w:t>
      </w:r>
      <w:r>
        <w:t>ra de las indagatorias de su defendido, prestadas d</w:t>
      </w:r>
      <w:r>
        <w:t>u</w:t>
      </w:r>
      <w:r>
        <w:t>rante la instrucción aún cuando declarara d</w:t>
      </w:r>
      <w:r>
        <w:t>u</w:t>
      </w:r>
      <w:r>
        <w:t>rante el debate, era un acto de clara violación de disposiciones constitucion</w:t>
      </w:r>
      <w:r>
        <w:t>a</w:t>
      </w:r>
      <w:r>
        <w:t>les y fundamentalmente de la garantía del debido proceso, considerando que al ser un acto propio del imputado debía ser él quien pusiera los lím</w:t>
      </w:r>
      <w:r>
        <w:t>i</w:t>
      </w:r>
      <w:r>
        <w:t>tes.</w:t>
      </w:r>
    </w:p>
    <w:p w:rsidR="00224567" w:rsidRDefault="00224567">
      <w:pPr>
        <w:widowControl w:val="0"/>
        <w:ind w:firstLine="2835"/>
      </w:pPr>
      <w:r>
        <w:t>Agregó que la negativa a contestar preguntas por parte de su defendido se debió a que cons</w:t>
      </w:r>
      <w:r>
        <w:t>i</w:t>
      </w:r>
      <w:r>
        <w:t xml:space="preserve">deraba que los fiscales Nisman, Barbaccia y Mullen, al igual que </w:t>
      </w:r>
      <w:smartTag w:uri="urn:schemas-microsoft-com:office:smarttags" w:element="PersonName">
        <w:smartTagPr>
          <w:attr w:name="ProductID" w:val="La Dra. Nercellas"/>
        </w:smartTagPr>
        <w:r>
          <w:t>la Dra. Nercellas</w:t>
        </w:r>
      </w:smartTag>
      <w:r>
        <w:t>, no tenían autoridad moral p</w:t>
      </w:r>
      <w:r>
        <w:t>a</w:t>
      </w:r>
      <w:r>
        <w:t>ra i</w:t>
      </w:r>
      <w:r>
        <w:t>n</w:t>
      </w:r>
      <w:r>
        <w:t>terrogarlo.</w:t>
      </w:r>
    </w:p>
    <w:p w:rsidR="00224567" w:rsidRDefault="00224567">
      <w:pPr>
        <w:widowControl w:val="0"/>
        <w:ind w:firstLine="2835"/>
      </w:pPr>
      <w:r>
        <w:t>Señaló que si bien los Dres. Ni</w:t>
      </w:r>
      <w:r>
        <w:t>s</w:t>
      </w:r>
      <w:r>
        <w:t>man y Ávila quisieron indicar que Leal y Ribelli trabajaron ju</w:t>
      </w:r>
      <w:r>
        <w:t>n</w:t>
      </w:r>
      <w:r>
        <w:t xml:space="preserve">tos, dicha circunstancia era falsa con fundamento en el informe de </w:t>
      </w:r>
      <w:smartTag w:uri="urn:schemas-microsoft-com:office:smarttags" w:element="PersonName">
        <w:smartTagPr>
          <w:attr w:name="ProductID" w:val="la Polic￭a Bonaerense"/>
        </w:smartTagPr>
        <w:r>
          <w:t>la Policía B</w:t>
        </w:r>
        <w:r>
          <w:t>o</w:t>
        </w:r>
        <w:r>
          <w:t>naerense</w:t>
        </w:r>
      </w:smartTag>
      <w:r>
        <w:t xml:space="preserve"> obrantes a fs. 1790 y ss. del legajo de instrucción supl</w:t>
      </w:r>
      <w:r>
        <w:t>e</w:t>
      </w:r>
      <w:r>
        <w:t>mentaria.</w:t>
      </w:r>
    </w:p>
    <w:p w:rsidR="00224567" w:rsidRDefault="00224567">
      <w:pPr>
        <w:widowControl w:val="0"/>
        <w:ind w:firstLine="2835"/>
      </w:pPr>
      <w:r>
        <w:t xml:space="preserve">También descartó, contrariamente a lo </w:t>
      </w:r>
      <w:r>
        <w:lastRenderedPageBreak/>
        <w:t>sostenido por los acusadores, que Ribelli e Ibarra compa</w:t>
      </w:r>
      <w:r>
        <w:t>r</w:t>
      </w:r>
      <w:r>
        <w:t xml:space="preserve">tieron destino junto al subinspector Sabino en </w:t>
      </w:r>
      <w:smartTag w:uri="urn:schemas-microsoft-com:office:smarttags" w:element="PersonName">
        <w:smartTagPr>
          <w:attr w:name="ProductID" w:val="la Brigada"/>
        </w:smartTagPr>
        <w:r>
          <w:t>la Brigada</w:t>
        </w:r>
      </w:smartTag>
      <w:r>
        <w:t xml:space="preserve"> de Lanús, circunstancia tratada  por  el  Dr. Ávila p</w:t>
      </w:r>
      <w:r>
        <w:t>a</w:t>
      </w:r>
      <w:r>
        <w:t>ra  vincular  la detención  de  Telleldín -practicada en ago</w:t>
      </w:r>
      <w:r>
        <w:t>s</w:t>
      </w:r>
      <w:r>
        <w:t xml:space="preserve">to de 1987 en la localidad de Olivos, por </w:t>
      </w:r>
      <w:smartTag w:uri="urn:schemas-microsoft-com:office:smarttags" w:element="PersonName">
        <w:smartTagPr>
          <w:attr w:name="ProductID" w:val="la Divisi￳n Homicidios"/>
        </w:smartTagPr>
        <w:r>
          <w:t>la División H</w:t>
        </w:r>
        <w:r>
          <w:t>o</w:t>
        </w:r>
        <w:r>
          <w:t>micidios</w:t>
        </w:r>
      </w:smartTag>
      <w:r>
        <w:t xml:space="preserve"> de Banfield, integrada por Sabino- con la dete</w:t>
      </w:r>
      <w:r>
        <w:t>n</w:t>
      </w:r>
      <w:r>
        <w:t>ción de 1994. Basó dicha afirmación en las constancias obrantes a fs. 1790/1791 del legajo referido en el párrafo anterior.</w:t>
      </w:r>
    </w:p>
    <w:p w:rsidR="00224567" w:rsidRDefault="00224567">
      <w:pPr>
        <w:widowControl w:val="0"/>
        <w:ind w:firstLine="2835"/>
      </w:pPr>
      <w:r>
        <w:t>Luego, explicó que cuando Juan Carlos Nicolau tuvo la oportunidad de manifestarse con algún gr</w:t>
      </w:r>
      <w:r>
        <w:t>a</w:t>
      </w:r>
      <w:r>
        <w:t>do de libertad nada dijo en contra de su defendido, tal como contrariamente había sostenido el fiscal Nisman. En el mismo sentido, hizo ref</w:t>
      </w:r>
      <w:r>
        <w:t>e</w:t>
      </w:r>
      <w:r>
        <w:t>rencia al testimonio de Héctor Sobico.</w:t>
      </w:r>
    </w:p>
    <w:p w:rsidR="00224567" w:rsidRDefault="00224567">
      <w:pPr>
        <w:widowControl w:val="0"/>
        <w:ind w:firstLine="2835"/>
      </w:pPr>
      <w:r>
        <w:t>Respecto a la calificación legal de los hechos endilgados a su defendido, sostuvo que ni</w:t>
      </w:r>
      <w:r>
        <w:t>n</w:t>
      </w:r>
      <w:r>
        <w:t>guna de las conductas atribuidas estaban sostenidas por la prueba arrimada a la causa. Señaló que ello se veía refl</w:t>
      </w:r>
      <w:r>
        <w:t>e</w:t>
      </w:r>
      <w:r>
        <w:t>jado en los distintos cambios de postura de la fiscalía, el juez instructor y la a</w:t>
      </w:r>
      <w:r>
        <w:t>l</w:t>
      </w:r>
      <w:r>
        <w:t xml:space="preserve">zada en cuanto a la calificación </w:t>
      </w:r>
      <w:r>
        <w:lastRenderedPageBreak/>
        <w:t>de los hechos del 15 de marzo y el 4 de abril de 1994, por lo que el letrado defensor se planteó un interrogante acerca de qué cambió desde el momento de la detención de su defendido hasta la actual</w:t>
      </w:r>
      <w:r>
        <w:t>i</w:t>
      </w:r>
      <w:r>
        <w:t>dad y qué nuevos elementos se adunaron a la causa para que se verificaran todas estas transformaciones, concluyendo que sólo era necesario que hubiera varios policías como rehenes dentro del sistema judicial para mantener la “historia oficial”.</w:t>
      </w:r>
    </w:p>
    <w:p w:rsidR="00224567" w:rsidRDefault="00224567">
      <w:pPr>
        <w:widowControl w:val="0"/>
        <w:ind w:firstLine="2835"/>
      </w:pPr>
      <w:r>
        <w:t>Seguidamente hizo alusión a la imp</w:t>
      </w:r>
      <w:r>
        <w:t>u</w:t>
      </w:r>
      <w:r>
        <w:t>tación de su defendido de haber participado en el ate</w:t>
      </w:r>
      <w:r>
        <w:t>n</w:t>
      </w:r>
      <w:r>
        <w:t>tado a la mutual judía, considerando dicha circunstancia como un verdadero “disparate” utilizado por el Estado argentino para decir que su defendido era la c</w:t>
      </w:r>
      <w:r>
        <w:t>o</w:t>
      </w:r>
      <w:r>
        <w:t>nexión local.</w:t>
      </w:r>
    </w:p>
    <w:p w:rsidR="00224567" w:rsidRDefault="00224567">
      <w:pPr>
        <w:widowControl w:val="0"/>
        <w:ind w:firstLine="2835"/>
        <w:rPr>
          <w:color w:val="000000"/>
        </w:rPr>
      </w:pPr>
      <w:r>
        <w:rPr>
          <w:color w:val="000000"/>
        </w:rPr>
        <w:t>Hizo un análisis de la cuestión rel</w:t>
      </w:r>
      <w:r>
        <w:rPr>
          <w:color w:val="000000"/>
        </w:rPr>
        <w:t>a</w:t>
      </w:r>
      <w:r>
        <w:rPr>
          <w:color w:val="000000"/>
        </w:rPr>
        <w:t>tiva al dolo en el atentado. Señaló que el Ministerio P</w:t>
      </w:r>
      <w:r>
        <w:rPr>
          <w:color w:val="000000"/>
        </w:rPr>
        <w:t>ú</w:t>
      </w:r>
      <w:r>
        <w:rPr>
          <w:color w:val="000000"/>
        </w:rPr>
        <w:t>blico Fiscal, siguiendo la postura de las querellas D.A.I.A., A.M.I.A. y “Grupo de Famili</w:t>
      </w:r>
      <w:r>
        <w:rPr>
          <w:color w:val="000000"/>
        </w:rPr>
        <w:t>a</w:t>
      </w:r>
      <w:r>
        <w:rPr>
          <w:color w:val="000000"/>
        </w:rPr>
        <w:t>res”, sostuvo que se encontraba demostrada la existencia de dolo en su defend</w:t>
      </w:r>
      <w:r>
        <w:rPr>
          <w:color w:val="000000"/>
        </w:rPr>
        <w:t>i</w:t>
      </w:r>
      <w:r>
        <w:rPr>
          <w:color w:val="000000"/>
        </w:rPr>
        <w:t>do y demás partícipes del hecho, atribuyendo pleno conoc</w:t>
      </w:r>
      <w:r>
        <w:rPr>
          <w:color w:val="000000"/>
        </w:rPr>
        <w:t>i</w:t>
      </w:r>
      <w:r>
        <w:rPr>
          <w:color w:val="000000"/>
        </w:rPr>
        <w:t xml:space="preserve">miento de que la supuesta Trafic que habría pasado por sus </w:t>
      </w:r>
      <w:r>
        <w:rPr>
          <w:color w:val="000000"/>
        </w:rPr>
        <w:lastRenderedPageBreak/>
        <w:t>manos se iba a utilizar en un atentado donde iba a morir gran cantidad de  personas, por lo que la requirieron r</w:t>
      </w:r>
      <w:r>
        <w:rPr>
          <w:color w:val="000000"/>
        </w:rPr>
        <w:t>e</w:t>
      </w:r>
      <w:r>
        <w:rPr>
          <w:color w:val="000000"/>
        </w:rPr>
        <w:t>forzada en los elásticos y para soportar el peso del e</w:t>
      </w:r>
      <w:r>
        <w:rPr>
          <w:color w:val="000000"/>
        </w:rPr>
        <w:t>x</w:t>
      </w:r>
      <w:r>
        <w:rPr>
          <w:color w:val="000000"/>
        </w:rPr>
        <w:t>plosivo, cuidándose de no atribui</w:t>
      </w:r>
      <w:r>
        <w:rPr>
          <w:color w:val="000000"/>
        </w:rPr>
        <w:t>r</w:t>
      </w:r>
      <w:r>
        <w:rPr>
          <w:color w:val="000000"/>
        </w:rPr>
        <w:t>les el agravante de odio racial y religioso, porque evidentemente no conocían el lugar donde se iba a cometer el atent</w:t>
      </w:r>
      <w:r>
        <w:rPr>
          <w:color w:val="000000"/>
        </w:rPr>
        <w:t>a</w:t>
      </w:r>
      <w:r>
        <w:rPr>
          <w:color w:val="000000"/>
        </w:rPr>
        <w:t>do.</w:t>
      </w:r>
    </w:p>
    <w:p w:rsidR="00224567" w:rsidRDefault="00224567">
      <w:pPr>
        <w:widowControl w:val="0"/>
        <w:ind w:firstLine="2835"/>
        <w:rPr>
          <w:color w:val="000000"/>
        </w:rPr>
      </w:pPr>
      <w:r>
        <w:rPr>
          <w:color w:val="000000"/>
        </w:rPr>
        <w:t>Sostuvo que no existía en toda la ca</w:t>
      </w:r>
      <w:r>
        <w:rPr>
          <w:color w:val="000000"/>
        </w:rPr>
        <w:t>u</w:t>
      </w:r>
      <w:r>
        <w:rPr>
          <w:color w:val="000000"/>
        </w:rPr>
        <w:t>sa, legajos, testimonios producidos durante la a</w:t>
      </w:r>
      <w:r>
        <w:rPr>
          <w:color w:val="000000"/>
        </w:rPr>
        <w:t>u</w:t>
      </w:r>
      <w:r>
        <w:rPr>
          <w:color w:val="000000"/>
        </w:rPr>
        <w:t>diencia y demás agregados, un mínimo dato que demostrase el odio r</w:t>
      </w:r>
      <w:r>
        <w:rPr>
          <w:color w:val="000000"/>
        </w:rPr>
        <w:t>a</w:t>
      </w:r>
      <w:r>
        <w:rPr>
          <w:color w:val="000000"/>
        </w:rPr>
        <w:t>cial y religioso con el que estigmatizaron a su defe</w:t>
      </w:r>
      <w:r>
        <w:rPr>
          <w:color w:val="000000"/>
        </w:rPr>
        <w:t>n</w:t>
      </w:r>
      <w:r>
        <w:rPr>
          <w:color w:val="000000"/>
        </w:rPr>
        <w:t>dido durante años.</w:t>
      </w:r>
    </w:p>
    <w:p w:rsidR="00224567" w:rsidRDefault="00224567">
      <w:pPr>
        <w:widowControl w:val="0"/>
        <w:ind w:firstLine="2835"/>
        <w:rPr>
          <w:color w:val="000000"/>
        </w:rPr>
      </w:pPr>
      <w:r>
        <w:rPr>
          <w:color w:val="000000"/>
        </w:rPr>
        <w:t>El letrado señaló que la supuesta Tr</w:t>
      </w:r>
      <w:r>
        <w:rPr>
          <w:color w:val="000000"/>
        </w:rPr>
        <w:t>a</w:t>
      </w:r>
      <w:r>
        <w:rPr>
          <w:color w:val="000000"/>
        </w:rPr>
        <w:t>fic nunca pasó por manos de su asistido y seguidamente h</w:t>
      </w:r>
      <w:r>
        <w:rPr>
          <w:color w:val="000000"/>
        </w:rPr>
        <w:t>i</w:t>
      </w:r>
      <w:r>
        <w:rPr>
          <w:color w:val="000000"/>
        </w:rPr>
        <w:t>zo un análisis detallado de cómo debía haber sido el des</w:t>
      </w:r>
      <w:r>
        <w:rPr>
          <w:color w:val="000000"/>
        </w:rPr>
        <w:t>a</w:t>
      </w:r>
      <w:r>
        <w:rPr>
          <w:color w:val="000000"/>
        </w:rPr>
        <w:t>rrollo de los hechos desde la perspectiva de los acusad</w:t>
      </w:r>
      <w:r>
        <w:rPr>
          <w:color w:val="000000"/>
        </w:rPr>
        <w:t>o</w:t>
      </w:r>
      <w:r>
        <w:rPr>
          <w:color w:val="000000"/>
        </w:rPr>
        <w:t>res para considerar la existencia de dolo en el hecho en cuestión por parte de su defendido y el resto de los pa</w:t>
      </w:r>
      <w:r>
        <w:rPr>
          <w:color w:val="000000"/>
        </w:rPr>
        <w:t>r</w:t>
      </w:r>
      <w:r>
        <w:rPr>
          <w:color w:val="000000"/>
        </w:rPr>
        <w:t>tícipes, considerando a toda esa secuencia un verdadero esperpe</w:t>
      </w:r>
      <w:r>
        <w:rPr>
          <w:color w:val="000000"/>
        </w:rPr>
        <w:t>n</w:t>
      </w:r>
      <w:r>
        <w:rPr>
          <w:color w:val="000000"/>
        </w:rPr>
        <w:t>to.</w:t>
      </w:r>
    </w:p>
    <w:p w:rsidR="00224567" w:rsidRDefault="00224567">
      <w:pPr>
        <w:widowControl w:val="0"/>
        <w:ind w:firstLine="2835"/>
        <w:rPr>
          <w:color w:val="000000"/>
        </w:rPr>
      </w:pPr>
      <w:r>
        <w:rPr>
          <w:color w:val="000000"/>
        </w:rPr>
        <w:t>Así, narró que seguramente Rib</w:t>
      </w:r>
      <w:r>
        <w:rPr>
          <w:color w:val="000000"/>
        </w:rPr>
        <w:t>e</w:t>
      </w:r>
      <w:r>
        <w:rPr>
          <w:color w:val="000000"/>
        </w:rPr>
        <w:t>lli fue reclutado por Rabbani quien le solicitó una cami</w:t>
      </w:r>
      <w:r>
        <w:rPr>
          <w:color w:val="000000"/>
        </w:rPr>
        <w:t>o</w:t>
      </w:r>
      <w:r>
        <w:rPr>
          <w:color w:val="000000"/>
        </w:rPr>
        <w:t xml:space="preserve">neta para </w:t>
      </w:r>
      <w:r>
        <w:rPr>
          <w:color w:val="000000"/>
        </w:rPr>
        <w:lastRenderedPageBreak/>
        <w:t>cometer un atentado, con elásticos reforzados para sopo</w:t>
      </w:r>
      <w:r>
        <w:rPr>
          <w:color w:val="000000"/>
        </w:rPr>
        <w:t>r</w:t>
      </w:r>
      <w:r>
        <w:rPr>
          <w:color w:val="000000"/>
        </w:rPr>
        <w:t>tar gran cantidad de explos</w:t>
      </w:r>
      <w:r>
        <w:rPr>
          <w:color w:val="000000"/>
        </w:rPr>
        <w:t>i</w:t>
      </w:r>
      <w:r>
        <w:rPr>
          <w:color w:val="000000"/>
        </w:rPr>
        <w:t>vos, por lo que le pagarían la suma de USD 2.500.000 o más, según la fiscalía. Continuó su relato indicando que Ribelli, tentado por esa suma, aceptó participar en el atentado terrorista, i</w:t>
      </w:r>
      <w:r>
        <w:rPr>
          <w:color w:val="000000"/>
        </w:rPr>
        <w:t>n</w:t>
      </w:r>
      <w:r>
        <w:rPr>
          <w:color w:val="000000"/>
        </w:rPr>
        <w:t>formándole de todo a Ibarra. Que juntos acordaron ofrecerle a Telle</w:t>
      </w:r>
      <w:r>
        <w:rPr>
          <w:color w:val="000000"/>
        </w:rPr>
        <w:t>l</w:t>
      </w:r>
      <w:r>
        <w:rPr>
          <w:color w:val="000000"/>
        </w:rPr>
        <w:t>dín que participara de la operación y, teniendo en cuenta la deuda que éste último mantenía con la brigada, le ofr</w:t>
      </w:r>
      <w:r>
        <w:rPr>
          <w:color w:val="000000"/>
        </w:rPr>
        <w:t>e</w:t>
      </w:r>
      <w:r>
        <w:rPr>
          <w:color w:val="000000"/>
        </w:rPr>
        <w:t>cieron saldarla mediante la preparación de una Tr</w:t>
      </w:r>
      <w:r>
        <w:rPr>
          <w:color w:val="000000"/>
        </w:rPr>
        <w:t>a</w:t>
      </w:r>
      <w:r>
        <w:rPr>
          <w:color w:val="000000"/>
        </w:rPr>
        <w:t>fic, con puerta lateral y elásticos reforzados para soportar el p</w:t>
      </w:r>
      <w:r>
        <w:rPr>
          <w:color w:val="000000"/>
        </w:rPr>
        <w:t>e</w:t>
      </w:r>
      <w:r>
        <w:rPr>
          <w:color w:val="000000"/>
        </w:rPr>
        <w:t>so de los explosivos, para cometer un atentado en el que morir</w:t>
      </w:r>
      <w:r>
        <w:rPr>
          <w:color w:val="000000"/>
        </w:rPr>
        <w:t>í</w:t>
      </w:r>
      <w:r>
        <w:rPr>
          <w:color w:val="000000"/>
        </w:rPr>
        <w:t>an muchas personas.</w:t>
      </w:r>
    </w:p>
    <w:p w:rsidR="00224567" w:rsidRDefault="00224567">
      <w:pPr>
        <w:widowControl w:val="0"/>
        <w:ind w:firstLine="2835"/>
        <w:rPr>
          <w:color w:val="000000"/>
        </w:rPr>
      </w:pPr>
      <w:r>
        <w:rPr>
          <w:color w:val="000000"/>
        </w:rPr>
        <w:t>Agregó que también le debían haber d</w:t>
      </w:r>
      <w:r>
        <w:rPr>
          <w:color w:val="000000"/>
        </w:rPr>
        <w:t>i</w:t>
      </w:r>
      <w:r>
        <w:rPr>
          <w:color w:val="000000"/>
        </w:rPr>
        <w:t>cho a Telleldín que publicara la camioneta para la venta en el “Clarín” para saber que ya la tenía lista; que e</w:t>
      </w:r>
      <w:r>
        <w:rPr>
          <w:color w:val="000000"/>
        </w:rPr>
        <w:t>n</w:t>
      </w:r>
      <w:r>
        <w:rPr>
          <w:color w:val="000000"/>
        </w:rPr>
        <w:t>tonces le mandarían un supuesto comprador para que par</w:t>
      </w:r>
      <w:r>
        <w:rPr>
          <w:color w:val="000000"/>
        </w:rPr>
        <w:t>e</w:t>
      </w:r>
      <w:r>
        <w:rPr>
          <w:color w:val="000000"/>
        </w:rPr>
        <w:t>ciera una venta de buena fe. Que Telleldín aceptó y le d</w:t>
      </w:r>
      <w:r>
        <w:rPr>
          <w:color w:val="000000"/>
        </w:rPr>
        <w:t>i</w:t>
      </w:r>
      <w:r>
        <w:rPr>
          <w:color w:val="000000"/>
        </w:rPr>
        <w:t>jeron que debía preparar dos o tres Tr</w:t>
      </w:r>
      <w:r>
        <w:rPr>
          <w:color w:val="000000"/>
        </w:rPr>
        <w:t>a</w:t>
      </w:r>
      <w:r>
        <w:rPr>
          <w:color w:val="000000"/>
        </w:rPr>
        <w:t>fic para el caso de que la policía no le creyera la hist</w:t>
      </w:r>
      <w:r>
        <w:rPr>
          <w:color w:val="000000"/>
        </w:rPr>
        <w:t>o</w:t>
      </w:r>
      <w:r>
        <w:rPr>
          <w:color w:val="000000"/>
        </w:rPr>
        <w:t>ria original.</w:t>
      </w:r>
    </w:p>
    <w:p w:rsidR="00224567" w:rsidRDefault="00224567">
      <w:pPr>
        <w:widowControl w:val="0"/>
        <w:ind w:firstLine="2835"/>
        <w:rPr>
          <w:color w:val="000000"/>
        </w:rPr>
      </w:pPr>
      <w:r>
        <w:rPr>
          <w:color w:val="000000"/>
        </w:rPr>
        <w:t>Ilustró que su defendido e Ibarra fu</w:t>
      </w:r>
      <w:r>
        <w:rPr>
          <w:color w:val="000000"/>
        </w:rPr>
        <w:t>e</w:t>
      </w:r>
      <w:r>
        <w:rPr>
          <w:color w:val="000000"/>
        </w:rPr>
        <w:lastRenderedPageBreak/>
        <w:t>ron al domicilio de Telleldín donde observaron rodados sospechosos, cuyos tripulantes resultaron ser pol</w:t>
      </w:r>
      <w:r>
        <w:rPr>
          <w:color w:val="000000"/>
        </w:rPr>
        <w:t>i</w:t>
      </w:r>
      <w:r>
        <w:rPr>
          <w:color w:val="000000"/>
        </w:rPr>
        <w:t xml:space="preserve">cías, a cargo de Leal. Que seguramente éste se identificó ante Ibarra como de </w:t>
      </w:r>
      <w:smartTag w:uri="urn:schemas-microsoft-com:office:smarttags" w:element="PersonName">
        <w:smartTagPr>
          <w:attr w:name="ProductID" w:val="la Brigada"/>
        </w:smartTagPr>
        <w:r>
          <w:rPr>
            <w:color w:val="000000"/>
          </w:rPr>
          <w:t>la Brigada</w:t>
        </w:r>
      </w:smartTag>
      <w:r>
        <w:rPr>
          <w:color w:val="000000"/>
        </w:rPr>
        <w:t xml:space="preserve"> de Vicente López explicándole que estaban haciendo una “capacha” para “voltear” a T</w:t>
      </w:r>
      <w:r>
        <w:rPr>
          <w:color w:val="000000"/>
        </w:rPr>
        <w:t>e</w:t>
      </w:r>
      <w:r>
        <w:rPr>
          <w:color w:val="000000"/>
        </w:rPr>
        <w:t xml:space="preserve">lleldín; que Ibarra, para captar a Leal, le sugirió que se olvidara de ese procedimiento. Ante ello, relató, Leal aceptó y resolvió demorar el procedimiento hasta que </w:t>
      </w:r>
      <w:smartTag w:uri="urn:schemas-microsoft-com:office:smarttags" w:element="PersonName">
        <w:smartTagPr>
          <w:attr w:name="ProductID" w:val="la Trafic"/>
        </w:smartTagPr>
        <w:r>
          <w:rPr>
            <w:color w:val="000000"/>
          </w:rPr>
          <w:t>la Trafic</w:t>
        </w:r>
      </w:smartTag>
      <w:r>
        <w:rPr>
          <w:color w:val="000000"/>
        </w:rPr>
        <w:t xml:space="preserve"> fuese entr</w:t>
      </w:r>
      <w:r>
        <w:rPr>
          <w:color w:val="000000"/>
        </w:rPr>
        <w:t>e</w:t>
      </w:r>
      <w:r>
        <w:rPr>
          <w:color w:val="000000"/>
        </w:rPr>
        <w:t>gada, acordando que se quedaría por unos días vigilando ese domicilio junto con Bareiro, a quien hizo partícipe de la oper</w:t>
      </w:r>
      <w:r>
        <w:rPr>
          <w:color w:val="000000"/>
        </w:rPr>
        <w:t>a</w:t>
      </w:r>
      <w:r>
        <w:rPr>
          <w:color w:val="000000"/>
        </w:rPr>
        <w:t>ción.</w:t>
      </w:r>
    </w:p>
    <w:p w:rsidR="00224567" w:rsidRDefault="00224567">
      <w:pPr>
        <w:widowControl w:val="0"/>
        <w:ind w:firstLine="2835"/>
        <w:rPr>
          <w:color w:val="000000"/>
        </w:rPr>
      </w:pPr>
      <w:r>
        <w:rPr>
          <w:color w:val="000000"/>
        </w:rPr>
        <w:t>Añadió que el 10 de julio de 1994, a</w:t>
      </w:r>
      <w:r>
        <w:rPr>
          <w:color w:val="000000"/>
        </w:rPr>
        <w:t>l</w:t>
      </w:r>
      <w:r>
        <w:rPr>
          <w:color w:val="000000"/>
        </w:rPr>
        <w:t>rededor de las 14.30, retiraron la camioneta del d</w:t>
      </w:r>
      <w:r>
        <w:rPr>
          <w:color w:val="000000"/>
        </w:rPr>
        <w:t>o</w:t>
      </w:r>
      <w:r>
        <w:rPr>
          <w:color w:val="000000"/>
        </w:rPr>
        <w:t>micilio de Telleldín, entregándosela Ibarra y Leal a Ribelli y é</w:t>
      </w:r>
      <w:r>
        <w:rPr>
          <w:color w:val="000000"/>
        </w:rPr>
        <w:t>s</w:t>
      </w:r>
      <w:r>
        <w:rPr>
          <w:color w:val="000000"/>
        </w:rPr>
        <w:t>te a su vez a Rabbani, quien le pagó a su defendido la s</w:t>
      </w:r>
      <w:r>
        <w:rPr>
          <w:color w:val="000000"/>
        </w:rPr>
        <w:t>u</w:t>
      </w:r>
      <w:r>
        <w:rPr>
          <w:color w:val="000000"/>
        </w:rPr>
        <w:t>ma acordada. Finalmente, sostuvo que Ribelli concurrió a una e</w:t>
      </w:r>
      <w:r>
        <w:rPr>
          <w:color w:val="000000"/>
        </w:rPr>
        <w:t>s</w:t>
      </w:r>
      <w:r>
        <w:rPr>
          <w:color w:val="000000"/>
        </w:rPr>
        <w:t>cribanía con su padre y sus hermanos para blanquear el dinero recibido por el ate</w:t>
      </w:r>
      <w:r>
        <w:rPr>
          <w:color w:val="000000"/>
        </w:rPr>
        <w:t>n</w:t>
      </w:r>
      <w:r>
        <w:rPr>
          <w:color w:val="000000"/>
        </w:rPr>
        <w:t>tado.</w:t>
      </w:r>
    </w:p>
    <w:p w:rsidR="00224567" w:rsidRDefault="00224567">
      <w:pPr>
        <w:widowControl w:val="0"/>
        <w:ind w:firstLine="2835"/>
        <w:rPr>
          <w:color w:val="000000"/>
        </w:rPr>
      </w:pPr>
      <w:r>
        <w:rPr>
          <w:color w:val="000000"/>
        </w:rPr>
        <w:t>Concluyó que este relato reflejaba c</w:t>
      </w:r>
      <w:r>
        <w:rPr>
          <w:color w:val="000000"/>
        </w:rPr>
        <w:t>ó</w:t>
      </w:r>
      <w:r>
        <w:rPr>
          <w:color w:val="000000"/>
        </w:rPr>
        <w:t>mo los acusadores plantearon la forma en que ocurrieron los hechos.</w:t>
      </w:r>
    </w:p>
    <w:p w:rsidR="00224567" w:rsidRDefault="00224567">
      <w:pPr>
        <w:widowControl w:val="0"/>
        <w:ind w:firstLine="2835"/>
        <w:rPr>
          <w:color w:val="000000"/>
        </w:rPr>
      </w:pPr>
      <w:r>
        <w:rPr>
          <w:color w:val="000000"/>
        </w:rPr>
        <w:lastRenderedPageBreak/>
        <w:t>Luego, señaló que si bien el Dr. Áv</w:t>
      </w:r>
      <w:r>
        <w:rPr>
          <w:color w:val="000000"/>
        </w:rPr>
        <w:t>i</w:t>
      </w:r>
      <w:r>
        <w:rPr>
          <w:color w:val="000000"/>
        </w:rPr>
        <w:t>la intentó vincular a la familia de Ribelli con la mezquita de Cañuelas, los testigos que prestaron declaración al respecto en la audiencia, entre ellos Stiuso, Jorge Albe</w:t>
      </w:r>
      <w:r>
        <w:rPr>
          <w:color w:val="000000"/>
        </w:rPr>
        <w:t>r</w:t>
      </w:r>
      <w:r>
        <w:rPr>
          <w:color w:val="000000"/>
        </w:rPr>
        <w:t>to Palacios, Alfredo Miguel Barcia y José Antonio Cortés expresaron lo contrario. Consideró una actividad sádica por parte del juez Galeano incluir a la hermana de Rib</w:t>
      </w:r>
      <w:r>
        <w:rPr>
          <w:color w:val="000000"/>
        </w:rPr>
        <w:t>e</w:t>
      </w:r>
      <w:r>
        <w:rPr>
          <w:color w:val="000000"/>
        </w:rPr>
        <w:t>lli –Ana María- y su familia en los pedidos de capturas inte</w:t>
      </w:r>
      <w:r>
        <w:rPr>
          <w:color w:val="000000"/>
        </w:rPr>
        <w:t>r</w:t>
      </w:r>
      <w:r>
        <w:rPr>
          <w:color w:val="000000"/>
        </w:rPr>
        <w:t>naci</w:t>
      </w:r>
      <w:r>
        <w:rPr>
          <w:color w:val="000000"/>
        </w:rPr>
        <w:t>o</w:t>
      </w:r>
      <w:r>
        <w:rPr>
          <w:color w:val="000000"/>
        </w:rPr>
        <w:t>nales.</w:t>
      </w:r>
    </w:p>
    <w:p w:rsidR="00224567" w:rsidRDefault="00224567">
      <w:pPr>
        <w:widowControl w:val="0"/>
        <w:ind w:firstLine="2835"/>
        <w:rPr>
          <w:color w:val="000000"/>
        </w:rPr>
      </w:pPr>
      <w:r>
        <w:rPr>
          <w:color w:val="000000"/>
        </w:rPr>
        <w:t>Sostuvo que el 10 de julio de 1994 R</w:t>
      </w:r>
      <w:r>
        <w:rPr>
          <w:color w:val="000000"/>
        </w:rPr>
        <w:t>i</w:t>
      </w:r>
      <w:r>
        <w:rPr>
          <w:color w:val="000000"/>
        </w:rPr>
        <w:t>belli estaba de vacaciones con su familia, circunstancia que se encontraba avalada por prueba documental oportun</w:t>
      </w:r>
      <w:r>
        <w:rPr>
          <w:color w:val="000000"/>
        </w:rPr>
        <w:t>a</w:t>
      </w:r>
      <w:r>
        <w:rPr>
          <w:color w:val="000000"/>
        </w:rPr>
        <w:t>mente aportada –facturas de pasajes y de hoteles- y v</w:t>
      </w:r>
      <w:r>
        <w:rPr>
          <w:color w:val="000000"/>
        </w:rPr>
        <w:t>i</w:t>
      </w:r>
      <w:r>
        <w:rPr>
          <w:color w:val="000000"/>
        </w:rPr>
        <w:t>deos, más que suficiente para comprobar que si realmente su defendido hubiera estado detrás de un atentado, no e</w:t>
      </w:r>
      <w:r>
        <w:rPr>
          <w:color w:val="000000"/>
        </w:rPr>
        <w:t>s</w:t>
      </w:r>
      <w:r>
        <w:rPr>
          <w:color w:val="000000"/>
        </w:rPr>
        <w:t>taría de vacaciones en las Cataratas del Iguazú.</w:t>
      </w:r>
    </w:p>
    <w:p w:rsidR="00224567" w:rsidRDefault="00224567">
      <w:pPr>
        <w:widowControl w:val="0"/>
        <w:ind w:firstLine="2835"/>
        <w:rPr>
          <w:color w:val="000000"/>
        </w:rPr>
      </w:pPr>
      <w:r>
        <w:rPr>
          <w:color w:val="000000"/>
        </w:rPr>
        <w:t>Agregó que no era lógico que una pe</w:t>
      </w:r>
      <w:r>
        <w:rPr>
          <w:color w:val="000000"/>
        </w:rPr>
        <w:t>r</w:t>
      </w:r>
      <w:r>
        <w:rPr>
          <w:color w:val="000000"/>
        </w:rPr>
        <w:t>sona que fuera a cometer un acto de esta naturaleza se fuera a la zona de la triple frontera, dejando así un ra</w:t>
      </w:r>
      <w:r>
        <w:rPr>
          <w:color w:val="000000"/>
        </w:rPr>
        <w:t>s</w:t>
      </w:r>
      <w:r>
        <w:rPr>
          <w:color w:val="000000"/>
        </w:rPr>
        <w:t>tro o sospecha que lo pudiera vincular con el ate</w:t>
      </w:r>
      <w:r>
        <w:rPr>
          <w:color w:val="000000"/>
        </w:rPr>
        <w:t>n</w:t>
      </w:r>
      <w:r>
        <w:rPr>
          <w:color w:val="000000"/>
        </w:rPr>
        <w:t>tado.</w:t>
      </w:r>
    </w:p>
    <w:p w:rsidR="00224567" w:rsidRDefault="00224567">
      <w:pPr>
        <w:widowControl w:val="0"/>
        <w:ind w:firstLine="2835"/>
        <w:rPr>
          <w:color w:val="000000"/>
        </w:rPr>
      </w:pPr>
      <w:r>
        <w:rPr>
          <w:color w:val="000000"/>
        </w:rPr>
        <w:lastRenderedPageBreak/>
        <w:t>También hizo referencia a la prese</w:t>
      </w:r>
      <w:r>
        <w:rPr>
          <w:color w:val="000000"/>
        </w:rPr>
        <w:t>n</w:t>
      </w:r>
      <w:r>
        <w:rPr>
          <w:color w:val="000000"/>
        </w:rPr>
        <w:t>cia de Ribelli en la ciudad de Río de Janeiro el día 18 de j</w:t>
      </w:r>
      <w:r>
        <w:rPr>
          <w:color w:val="000000"/>
        </w:rPr>
        <w:t>u</w:t>
      </w:r>
      <w:r>
        <w:rPr>
          <w:color w:val="000000"/>
        </w:rPr>
        <w:t>lio de 1994.</w:t>
      </w:r>
    </w:p>
    <w:p w:rsidR="00224567" w:rsidRDefault="00224567">
      <w:pPr>
        <w:widowControl w:val="0"/>
      </w:pPr>
      <w:r>
        <w:tab/>
        <w:t>Seguidamente, trató lo relacion</w:t>
      </w:r>
      <w:r>
        <w:t>a</w:t>
      </w:r>
      <w:r>
        <w:t>do con los “desvíos” y consideró que parecía que no eran sino otra forma de haber llevado a la instrucción y a los señ</w:t>
      </w:r>
      <w:r>
        <w:t>o</w:t>
      </w:r>
      <w:r>
        <w:t>res fiscales por un derrotero completamente diferente al que se pronosticaba o se preveía en la ca</w:t>
      </w:r>
      <w:r>
        <w:t>u</w:t>
      </w:r>
      <w:r>
        <w:t>sa.</w:t>
      </w:r>
    </w:p>
    <w:p w:rsidR="00224567" w:rsidRDefault="00224567">
      <w:pPr>
        <w:widowControl w:val="0"/>
        <w:ind w:firstLine="2835"/>
      </w:pPr>
      <w:r>
        <w:t>Señaló que hubo cuatro: “Solari”, “A</w:t>
      </w:r>
      <w:r>
        <w:t>r</w:t>
      </w:r>
      <w:r>
        <w:t>mas”, “Gatto y Valenga” y el video de Cuneo Libar</w:t>
      </w:r>
      <w:r>
        <w:t>o</w:t>
      </w:r>
      <w:r>
        <w:t>na.</w:t>
      </w:r>
    </w:p>
    <w:p w:rsidR="00224567" w:rsidRDefault="00224567">
      <w:pPr>
        <w:widowControl w:val="0"/>
        <w:ind w:firstLine="2835"/>
      </w:pPr>
      <w:r>
        <w:t>Respecto   del   primero   de   ellos –“Solari”-consideró que no era cierta la intervención de su defendido en este desvío, ya que ello sería un agravio a su inteligencia.</w:t>
      </w:r>
    </w:p>
    <w:p w:rsidR="00224567" w:rsidRDefault="00224567">
      <w:pPr>
        <w:widowControl w:val="0"/>
        <w:ind w:firstLine="2835"/>
      </w:pPr>
      <w:r>
        <w:t>Concluyó que era imposible la v</w:t>
      </w:r>
      <w:r>
        <w:t>i</w:t>
      </w:r>
      <w:r>
        <w:t>sita a Solari en donde estaba alojado tal como éste lo rel</w:t>
      </w:r>
      <w:r>
        <w:t>a</w:t>
      </w:r>
      <w:r>
        <w:t>tara; que las personas que estuvieron detenidas con él no ref</w:t>
      </w:r>
      <w:r>
        <w:t>i</w:t>
      </w:r>
      <w:r>
        <w:t>rieron absolutamente nada al respecto y lo único que dij</w:t>
      </w:r>
      <w:r>
        <w:t>e</w:t>
      </w:r>
      <w:r>
        <w:t>ron fue que seguramente, informado a través de los di</w:t>
      </w:r>
      <w:r>
        <w:t>a</w:t>
      </w:r>
      <w:r>
        <w:t>rios, Solari fue armando algo y a lo mejor hasta fue i</w:t>
      </w:r>
      <w:r>
        <w:t>n</w:t>
      </w:r>
      <w:r>
        <w:t>formado desde otro lugar, ya que uno de los cuestionamie</w:t>
      </w:r>
      <w:r>
        <w:t>n</w:t>
      </w:r>
      <w:r>
        <w:lastRenderedPageBreak/>
        <w:t xml:space="preserve">tos fue cómo era posible que tuviera el teléfono celular de algunos de los funcionarios de más alto rango de </w:t>
      </w:r>
      <w:smartTag w:uri="urn:schemas-microsoft-com:office:smarttags" w:element="PersonName">
        <w:smartTagPr>
          <w:attr w:name="ProductID" w:val="la S.I"/>
        </w:smartTagPr>
        <w:r>
          <w:t>la S.I</w:t>
        </w:r>
      </w:smartTag>
      <w:r>
        <w:t>.D.E.. Agregó que por las característ</w:t>
      </w:r>
      <w:r>
        <w:t>i</w:t>
      </w:r>
      <w:r>
        <w:t>cas y la forma en que se armó el montaje de Solari, no era extraño que a</w:t>
      </w:r>
      <w:r>
        <w:t>l</w:t>
      </w:r>
      <w:r>
        <w:t>guien le suministrara información, mencionando como prueba de ello los dichos de Sti</w:t>
      </w:r>
      <w:r>
        <w:t>u</w:t>
      </w:r>
      <w:r>
        <w:t>so.</w:t>
      </w:r>
    </w:p>
    <w:p w:rsidR="00224567" w:rsidRDefault="00224567">
      <w:pPr>
        <w:widowControl w:val="0"/>
        <w:ind w:firstLine="2835"/>
      </w:pPr>
      <w:r>
        <w:t>Seguidamente hizo referencia a la ca</w:t>
      </w:r>
      <w:r>
        <w:t>r</w:t>
      </w:r>
      <w:r>
        <w:t xml:space="preserve">ta recibida por Ribelli en </w:t>
      </w:r>
      <w:smartTag w:uri="urn:schemas-microsoft-com:office:smarttags" w:element="PersonName">
        <w:smartTagPr>
          <w:attr w:name="ProductID" w:val="la Unidad"/>
        </w:smartTagPr>
        <w:r>
          <w:t>la Unidad</w:t>
        </w:r>
      </w:smartTag>
      <w:r>
        <w:t xml:space="preserve"> nº 16, el 27 de ago</w:t>
      </w:r>
      <w:r>
        <w:t>s</w:t>
      </w:r>
      <w:r>
        <w:t>to de 1997, en cuyo remitente figuraba el nombre y dire</w:t>
      </w:r>
      <w:r>
        <w:t>c</w:t>
      </w:r>
      <w:r>
        <w:t>ción de la abogada de Solari, Dra. Graciela Be</w:t>
      </w:r>
      <w:r>
        <w:t>r</w:t>
      </w:r>
      <w:r>
        <w:t>nal.</w:t>
      </w:r>
    </w:p>
    <w:p w:rsidR="00224567" w:rsidRDefault="00224567">
      <w:pPr>
        <w:widowControl w:val="0"/>
        <w:ind w:firstLine="2835"/>
      </w:pPr>
      <w:r>
        <w:t>Al respecto señaló que para la fecha en que apareció esa carta el juez instructor no era co</w:t>
      </w:r>
      <w:r>
        <w:t>n</w:t>
      </w:r>
      <w:r>
        <w:t>fiable, ya que prueba que presentaba su defendido trataba de tergiversarla o desvirtuarla de cualquier modo para perjudicarlo; por ello, señaló, esperaron que se sorteara un tribunal de derecho e imparcial para acompañar dicha carta en el momento de la citación a juicio.</w:t>
      </w:r>
    </w:p>
    <w:p w:rsidR="00224567" w:rsidRDefault="00224567">
      <w:pPr>
        <w:widowControl w:val="0"/>
        <w:ind w:firstLine="2835"/>
      </w:pPr>
      <w:r>
        <w:t xml:space="preserve">También consideró que si bien dicha misiva fue atacada de falsedad e incluso Solari dijo que fue dictada por policías de una brigada de San Martín, a </w:t>
      </w:r>
      <w:r>
        <w:lastRenderedPageBreak/>
        <w:t>fs. 2669/2671 del legajo de instrucción suplementaria obraba una peritaje del Cuerpo de Cal</w:t>
      </w:r>
      <w:r>
        <w:t>í</w:t>
      </w:r>
      <w:r>
        <w:t xml:space="preserve">grafos Oficiales de </w:t>
      </w:r>
      <w:smartTag w:uri="urn:schemas-microsoft-com:office:smarttags" w:element="PersonName">
        <w:smartTagPr>
          <w:attr w:name="ProductID" w:val="la Justicia Nacional"/>
        </w:smartTagPr>
        <w:r>
          <w:t>la Justicia Nacional</w:t>
        </w:r>
      </w:smartTag>
      <w:r>
        <w:t xml:space="preserve"> que d</w:t>
      </w:r>
      <w:r>
        <w:t>e</w:t>
      </w:r>
      <w:r>
        <w:t>mostró que la letra con la que fue corregida a mano la carta pertenecía a Solari, al igual que en la existente en el sobre, por lo que la d</w:t>
      </w:r>
      <w:r>
        <w:t>e</w:t>
      </w:r>
      <w:r>
        <w:t>fensa concluyó que Solari mintió. Ello, avalado por los informes de la policía de San Martín, el testimonio de Cristina Fernández de Kirchner; quien dijo que no apoy</w:t>
      </w:r>
      <w:r>
        <w:t>a</w:t>
      </w:r>
      <w:r>
        <w:t>ba el crédito que le habían dado sus compañeros de la com</w:t>
      </w:r>
      <w:r>
        <w:t>i</w:t>
      </w:r>
      <w:r>
        <w:t>sión bicameral a los dichos de Solari, y los testimonios de los médicos psiquiatras de las distintas unidades en donde Solari estuvo alojado, quienes fueron contestes y contundentes en afirmar que era un fabulador, con todas las características de un psicópata, calificando como bu</w:t>
      </w:r>
      <w:r>
        <w:t>e</w:t>
      </w:r>
      <w:r>
        <w:t>na su conducta formal, pero como mala y manipuladora su influencia respecto del resto de la pobl</w:t>
      </w:r>
      <w:r>
        <w:t>a</w:t>
      </w:r>
      <w:r>
        <w:t>ción penal.</w:t>
      </w:r>
    </w:p>
    <w:p w:rsidR="00224567" w:rsidRDefault="00224567">
      <w:pPr>
        <w:widowControl w:val="0"/>
        <w:ind w:firstLine="2835"/>
      </w:pPr>
      <w:r>
        <w:t>Sostuvo que Ribelli no vio a S</w:t>
      </w:r>
      <w:r>
        <w:t>o</w:t>
      </w:r>
      <w:r>
        <w:t>lari y que esta pista se debió mucho más a la frondosa imagin</w:t>
      </w:r>
      <w:r>
        <w:t>a</w:t>
      </w:r>
      <w:r>
        <w:t>ción de la manipul</w:t>
      </w:r>
      <w:r>
        <w:t>a</w:t>
      </w:r>
      <w:r>
        <w:t>ción que hicieron las acusaciones, que las que realmente llevó su defend</w:t>
      </w:r>
      <w:r>
        <w:t>i</w:t>
      </w:r>
      <w:r>
        <w:t>do adelante.</w:t>
      </w:r>
    </w:p>
    <w:p w:rsidR="00224567" w:rsidRDefault="00224567">
      <w:pPr>
        <w:widowControl w:val="0"/>
        <w:ind w:firstLine="2835"/>
      </w:pPr>
      <w:r>
        <w:t xml:space="preserve">Seguidamente, hizo alusión a la causa </w:t>
      </w:r>
      <w:r>
        <w:lastRenderedPageBreak/>
        <w:t>“Armas” y respecto de la presencia de Ribelli en el all</w:t>
      </w:r>
      <w:r>
        <w:t>a</w:t>
      </w:r>
      <w:r>
        <w:t>namiento en Campo de Mayo manifestó que fue absol</w:t>
      </w:r>
      <w:r>
        <w:t>u</w:t>
      </w:r>
      <w:r>
        <w:t>tamente inocua y su comparecencia fue para tener una brigada de apoyo, conforme lo manifestaron Armando A</w:t>
      </w:r>
      <w:r>
        <w:t>n</w:t>
      </w:r>
      <w:r>
        <w:t>tonio Calabró y Ángel Roberto Sa</w:t>
      </w:r>
      <w:r>
        <w:t>l</w:t>
      </w:r>
      <w:r>
        <w:t>guero.</w:t>
      </w:r>
    </w:p>
    <w:p w:rsidR="00224567" w:rsidRDefault="00224567">
      <w:pPr>
        <w:widowControl w:val="0"/>
        <w:ind w:firstLine="2835"/>
      </w:pPr>
      <w:r>
        <w:t>Consideró que según constancias de la causa el tema “Armas” fue utilizado sistemát</w:t>
      </w:r>
      <w:r>
        <w:t>i</w:t>
      </w:r>
      <w:r>
        <w:t>camente como un argumento de la querella unificada y el Ministerio P</w:t>
      </w:r>
      <w:r>
        <w:t>ú</w:t>
      </w:r>
      <w:r>
        <w:t>blico Fiscal de que dicha causa fue un claro desvío para favorecer a Ribelli y fundaron su an</w:t>
      </w:r>
      <w:r>
        <w:t>á</w:t>
      </w:r>
      <w:r>
        <w:t>lisis en que quienes aportaron la información originaria fu</w:t>
      </w:r>
      <w:r>
        <w:t>e</w:t>
      </w:r>
      <w:r>
        <w:t>ron Elba Fernández y su hija Mónica Cañete, al</w:t>
      </w:r>
      <w:r>
        <w:t>u</w:t>
      </w:r>
      <w:r>
        <w:t>diendo a que otra de sus hijas fue conc</w:t>
      </w:r>
      <w:r>
        <w:t>u</w:t>
      </w:r>
      <w:r>
        <w:t>bina de Roberto Mantel, involucrado en la masacre de Wilde y por ende allegado a su defendido.</w:t>
      </w:r>
    </w:p>
    <w:p w:rsidR="00224567" w:rsidRDefault="00224567">
      <w:pPr>
        <w:widowControl w:val="0"/>
        <w:ind w:firstLine="2835"/>
      </w:pPr>
      <w:r>
        <w:t xml:space="preserve">Para sostener lo contrario, el Dr. Ubeira hizo mérito del legajo </w:t>
      </w:r>
      <w:smartTag w:uri="urn:schemas-microsoft-com:office:smarttags" w:element="metricconverter">
        <w:smartTagPr>
          <w:attr w:name="ProductID" w:val="34 A"/>
        </w:smartTagPr>
        <w:r>
          <w:t>34 A</w:t>
        </w:r>
      </w:smartTag>
      <w:r>
        <w:t>; de una constancia obrante a fs. 76.511 de la causa en donde consta que de los entrecruzamientos telefónicos realizados no surgi</w:t>
      </w:r>
      <w:r>
        <w:t>e</w:t>
      </w:r>
      <w:r>
        <w:t xml:space="preserve">ron vinculaciones entre Salguero con Ribelli o Mantel, como para desarrollar la hipótesis de un supuesto “armado” de </w:t>
      </w:r>
      <w:r>
        <w:lastRenderedPageBreak/>
        <w:t>la pista “Armas” dirigido a desviar la investigación, agregando que carecía de toda lógica la fabricación de pistas por parte de Mantel en complicidad con Elba Ferná</w:t>
      </w:r>
      <w:r>
        <w:t>n</w:t>
      </w:r>
      <w:r>
        <w:t>dez en el mismo sentido, dada la pésima relación existente entre ellos; y del testimonio de Jorge Alberto Palacios, quien ratificó dicha inform</w:t>
      </w:r>
      <w:r>
        <w:t>a</w:t>
      </w:r>
      <w:r>
        <w:t>ción.</w:t>
      </w:r>
    </w:p>
    <w:p w:rsidR="00224567" w:rsidRDefault="00224567">
      <w:pPr>
        <w:widowControl w:val="0"/>
        <w:ind w:firstLine="2835"/>
      </w:pPr>
      <w:r>
        <w:t>Con relación al desvío denominado “Gatto y Valenga”, sostuvo que los nombrados tenían una relación de afecto con su defendido, simplemente porque cuando estuvieron detenidos por la masacre de Wilde Rib</w:t>
      </w:r>
      <w:r>
        <w:t>e</w:t>
      </w:r>
      <w:r>
        <w:t>lli les prestó la mínima colaboración que se le brinda a un detenido.</w:t>
      </w:r>
    </w:p>
    <w:p w:rsidR="00224567" w:rsidRDefault="00224567">
      <w:pPr>
        <w:widowControl w:val="0"/>
        <w:ind w:firstLine="2835"/>
      </w:pPr>
      <w:r>
        <w:t>Agregó que así como su defendido se preocupó por los mencionados, también lo hizo por Bacig</w:t>
      </w:r>
      <w:r>
        <w:t>a</w:t>
      </w:r>
      <w:r>
        <w:t>lupo –no por su responsabilidad en el atentado-, Ah</w:t>
      </w:r>
      <w:r>
        <w:t>u</w:t>
      </w:r>
      <w:r>
        <w:t>mada o cualquier otro funcionario que hubiera estado a sus órd</w:t>
      </w:r>
      <w:r>
        <w:t>e</w:t>
      </w:r>
      <w:r>
        <w:t>nes y sostuvo que “una actitud caritativa fue utilizada como de complicidad mafi</w:t>
      </w:r>
      <w:r>
        <w:t>o</w:t>
      </w:r>
      <w:r>
        <w:t>sa”.</w:t>
      </w:r>
    </w:p>
    <w:p w:rsidR="00224567" w:rsidRDefault="00224567">
      <w:pPr>
        <w:widowControl w:val="0"/>
        <w:ind w:firstLine="2835"/>
      </w:pPr>
      <w:r>
        <w:t>Hizo un análisis de esta cuestión r</w:t>
      </w:r>
      <w:r>
        <w:t>e</w:t>
      </w:r>
      <w:r>
        <w:t>lacionándola con Alí, invocando para ello el of</w:t>
      </w:r>
      <w:r>
        <w:t>i</w:t>
      </w:r>
      <w:r>
        <w:t xml:space="preserve">cio de </w:t>
      </w:r>
      <w:smartTag w:uri="urn:schemas-microsoft-com:office:smarttags" w:element="PersonName">
        <w:smartTagPr>
          <w:attr w:name="ProductID" w:val="la S.I"/>
        </w:smartTagPr>
        <w:r>
          <w:t>la S.I</w:t>
        </w:r>
      </w:smartTag>
      <w:r>
        <w:t>.D.E. obrante a fs. 72.615, los dichos de Patricio M</w:t>
      </w:r>
      <w:r>
        <w:t>i</w:t>
      </w:r>
      <w:r>
        <w:lastRenderedPageBreak/>
        <w:t>guel Finnen y la declaración indagat</w:t>
      </w:r>
      <w:r>
        <w:t>o</w:t>
      </w:r>
      <w:r>
        <w:t>ria de Mario Bareiro de fs. 2618/2620 –causa “Brigadas”-. También hizo refere</w:t>
      </w:r>
      <w:r>
        <w:t>n</w:t>
      </w:r>
      <w:r>
        <w:t xml:space="preserve">cia a la presencia del “japonés” López –2º jefe de </w:t>
      </w:r>
      <w:smartTag w:uri="urn:schemas-microsoft-com:office:smarttags" w:element="PersonName">
        <w:smartTagPr>
          <w:attr w:name="ProductID" w:val="la Brigada"/>
        </w:smartTagPr>
        <w:r>
          <w:t>la Br</w:t>
        </w:r>
        <w:r>
          <w:t>i</w:t>
        </w:r>
        <w:r>
          <w:t>gada</w:t>
        </w:r>
      </w:smartTag>
      <w:r>
        <w:t xml:space="preserve"> de San Martín- en la casa de Telleldín la noche del 26 de j</w:t>
      </w:r>
      <w:r>
        <w:t>u</w:t>
      </w:r>
      <w:r>
        <w:t>lio de 1994.</w:t>
      </w:r>
    </w:p>
    <w:p w:rsidR="00224567" w:rsidRDefault="00224567">
      <w:pPr>
        <w:widowControl w:val="0"/>
        <w:ind w:firstLine="2835"/>
      </w:pPr>
      <w:r>
        <w:t>Consideró que lo relacionado con “Ga</w:t>
      </w:r>
      <w:r>
        <w:t>t</w:t>
      </w:r>
      <w:r>
        <w:t>to y V</w:t>
      </w:r>
      <w:r>
        <w:t>a</w:t>
      </w:r>
      <w:r>
        <w:t>lenga” y la posterior creación del desvío “Alí” fue obra del propio juzgado instructor para martirizar a su defendido.</w:t>
      </w:r>
    </w:p>
    <w:p w:rsidR="00224567" w:rsidRDefault="00224567">
      <w:pPr>
        <w:widowControl w:val="0"/>
        <w:ind w:firstLine="2835"/>
      </w:pPr>
      <w:r>
        <w:t>Finalmente, sostuvo que con la apar</w:t>
      </w:r>
      <w:r>
        <w:t>i</w:t>
      </w:r>
      <w:r>
        <w:t>ción del video “Cuneo Libarona-Brousson” se verificó la violación del derecho de defensa en juicio, debido pr</w:t>
      </w:r>
      <w:r>
        <w:t>o</w:t>
      </w:r>
      <w:r>
        <w:t>ceso y el principio de igua</w:t>
      </w:r>
      <w:r>
        <w:t>l</w:t>
      </w:r>
      <w:r>
        <w:t>dad.</w:t>
      </w:r>
    </w:p>
    <w:p w:rsidR="00224567" w:rsidRDefault="00224567">
      <w:pPr>
        <w:widowControl w:val="0"/>
        <w:ind w:firstLine="2835"/>
      </w:pPr>
      <w:r>
        <w:t>Señaló que los fiscales y la qu</w:t>
      </w:r>
      <w:r>
        <w:t>e</w:t>
      </w:r>
      <w:r>
        <w:t xml:space="preserve">rella que representaba a </w:t>
      </w:r>
      <w:smartTag w:uri="urn:schemas-microsoft-com:office:smarttags" w:element="PersonName">
        <w:smartTagPr>
          <w:attr w:name="ProductID" w:val="la D.A"/>
        </w:smartTagPr>
        <w:r>
          <w:t>la D.A</w:t>
        </w:r>
      </w:smartTag>
      <w:r>
        <w:t>.I.A. tuvieron conocimiento de este video con anterioridad a que esa defensa lo supi</w:t>
      </w:r>
      <w:r>
        <w:t>e</w:t>
      </w:r>
      <w:r>
        <w:t>se. Remarcó que la principal razón de ese ocultamiento fue que era una prueba ilegal, efectuada por Brousson sin conse</w:t>
      </w:r>
      <w:r>
        <w:t>n</w:t>
      </w:r>
      <w:r>
        <w:t>timiento del juez de la causa y sin conocimiento ni co</w:t>
      </w:r>
      <w:r>
        <w:t>n</w:t>
      </w:r>
      <w:r>
        <w:t>formidad del abogado Cuneo Libar</w:t>
      </w:r>
      <w:r>
        <w:t>o</w:t>
      </w:r>
      <w:r>
        <w:t>na.</w:t>
      </w:r>
    </w:p>
    <w:p w:rsidR="00224567" w:rsidRDefault="00224567">
      <w:pPr>
        <w:widowControl w:val="0"/>
        <w:ind w:firstLine="2835"/>
      </w:pPr>
      <w:r>
        <w:lastRenderedPageBreak/>
        <w:t>Agregó que considerar ilegal dicha prueba no era una especulación, ya que surgía del testim</w:t>
      </w:r>
      <w:r>
        <w:t>o</w:t>
      </w:r>
      <w:r>
        <w:t>nio de Brousson en oportunidad de decl</w:t>
      </w:r>
      <w:r>
        <w:t>a</w:t>
      </w:r>
      <w:r>
        <w:t>rar en la audiencia oral y pública y del decreto de elevación del video de f</w:t>
      </w:r>
      <w:r>
        <w:t>e</w:t>
      </w:r>
      <w:r>
        <w:t>cha 11 de noviembre de 2003 obrante en la causa.</w:t>
      </w:r>
    </w:p>
    <w:p w:rsidR="00224567" w:rsidRDefault="00224567">
      <w:pPr>
        <w:widowControl w:val="0"/>
        <w:ind w:firstLine="2835"/>
      </w:pPr>
      <w:r>
        <w:t>Señaló que dicho video era la prueba material de los ilícitos cometidos por el nombrado Brou</w:t>
      </w:r>
      <w:r>
        <w:t>s</w:t>
      </w:r>
      <w:r>
        <w:t>son, quien violando sus deberes de funcionario público y garantías constitucionales filmó sin autorización jud</w:t>
      </w:r>
      <w:r>
        <w:t>i</w:t>
      </w:r>
      <w:r>
        <w:t>cial a un abogado en el ejercicio de su profesión y del enc</w:t>
      </w:r>
      <w:r>
        <w:t>u</w:t>
      </w:r>
      <w:r>
        <w:t>brimiento de los Dres. Galeano, Mullen y Velasco al omitir denunciar, sin perjuicio que puedan ser alcanzadas sus condu</w:t>
      </w:r>
      <w:r>
        <w:t>c</w:t>
      </w:r>
      <w:r>
        <w:t>tas por otra figuras penales.</w:t>
      </w:r>
    </w:p>
    <w:p w:rsidR="00224567" w:rsidRDefault="00224567">
      <w:pPr>
        <w:widowControl w:val="0"/>
        <w:ind w:firstLine="2835"/>
      </w:pPr>
      <w:r>
        <w:t>Consideró que los acusadores estaban equivocados al pretender usar como elemento de cargo o i</w:t>
      </w:r>
      <w:r>
        <w:t>n</w:t>
      </w:r>
      <w:r>
        <w:t>dicio en perjuicio de su asistido el video cuestion</w:t>
      </w:r>
      <w:r>
        <w:t>a</w:t>
      </w:r>
      <w:r>
        <w:t>do, ya que se trataba de una prueba obtenida ilegalmente y, por lo tanto, imposible de poder valorarse en detrimento de los derechos del imput</w:t>
      </w:r>
      <w:r>
        <w:t>a</w:t>
      </w:r>
      <w:r>
        <w:t>do. Señaló que si bien esto era una prueba, constituía el elemento principal para corroborar cómo Brousson lo obtuvo ilegalmente y luego el juez in</w:t>
      </w:r>
      <w:r>
        <w:t>s</w:t>
      </w:r>
      <w:r>
        <w:lastRenderedPageBreak/>
        <w:t>tructor, secretarios y fisc</w:t>
      </w:r>
      <w:r>
        <w:t>a</w:t>
      </w:r>
      <w:r>
        <w:t>les lo encubrieron.</w:t>
      </w:r>
    </w:p>
    <w:p w:rsidR="00224567" w:rsidRDefault="00224567">
      <w:pPr>
        <w:widowControl w:val="0"/>
        <w:ind w:firstLine="2835"/>
      </w:pPr>
      <w:r>
        <w:t>Seguidamente, el letrado hizo refere</w:t>
      </w:r>
      <w:r>
        <w:t>n</w:t>
      </w:r>
      <w:r>
        <w:t>cia a la actuación en la investigación del c</w:t>
      </w:r>
      <w:r>
        <w:t>o</w:t>
      </w:r>
      <w:r>
        <w:t xml:space="preserve">misario de </w:t>
      </w:r>
      <w:smartTag w:uri="urn:schemas-microsoft-com:office:smarttags" w:element="PersonName">
        <w:smartTagPr>
          <w:attr w:name="ProductID" w:val="la Polic￭a Bonaerense"/>
        </w:smartTagPr>
        <w:r>
          <w:t>la Policía Bonaerense</w:t>
        </w:r>
      </w:smartTag>
      <w:r>
        <w:t xml:space="preserve"> Carlos García, quien apareció de la mano del Dr. Dobniewski y con la excusa de que tenía i</w:t>
      </w:r>
      <w:r>
        <w:t>n</w:t>
      </w:r>
      <w:r>
        <w:t>formación para el esclarecimiento del atentado y sobre el destino dado a la supuesta Trafic. Así, el no</w:t>
      </w:r>
      <w:r>
        <w:t>m</w:t>
      </w:r>
      <w:r>
        <w:t>brado junto con José Dattoli introdujeron una pista falsa relacionada a Fidian Enrique Kesseler, quien decía que Ribelli se h</w:t>
      </w:r>
      <w:r>
        <w:t>a</w:t>
      </w:r>
      <w:r>
        <w:t xml:space="preserve">bía llevado </w:t>
      </w:r>
      <w:smartTag w:uri="urn:schemas-microsoft-com:office:smarttags" w:element="PersonName">
        <w:smartTagPr>
          <w:attr w:name="ProductID" w:val="la Trafic"/>
        </w:smartTagPr>
        <w:r>
          <w:t>la Trafic</w:t>
        </w:r>
      </w:smartTag>
      <w:r>
        <w:t xml:space="preserve"> acondicion</w:t>
      </w:r>
      <w:r>
        <w:t>a</w:t>
      </w:r>
      <w:r>
        <w:t>da.</w:t>
      </w:r>
    </w:p>
    <w:p w:rsidR="00224567" w:rsidRDefault="00224567">
      <w:pPr>
        <w:widowControl w:val="0"/>
        <w:ind w:firstLine="2835"/>
      </w:pPr>
      <w:r>
        <w:t>Señaló que Kesseler, detenido por h</w:t>
      </w:r>
      <w:r>
        <w:t>o</w:t>
      </w:r>
      <w:r>
        <w:t>micidio a disposición del juzgado de Quilmes, sólo que</w:t>
      </w:r>
      <w:r>
        <w:t>r</w:t>
      </w:r>
      <w:r>
        <w:t>ía recuperar su libertad, por lo que García movió todos sus contactos políticos para ello, tras lo cual recuperó su libertad y declaró en la causa.</w:t>
      </w:r>
    </w:p>
    <w:p w:rsidR="00224567" w:rsidRDefault="00224567">
      <w:pPr>
        <w:widowControl w:val="0"/>
        <w:ind w:firstLine="2835"/>
      </w:pPr>
      <w:r>
        <w:t>El Dr. Ubeira resaltó que lo sorpre</w:t>
      </w:r>
      <w:r>
        <w:t>n</w:t>
      </w:r>
      <w:r>
        <w:t>dente fue que el Dr. Galeano no se opuso a todos estos a</w:t>
      </w:r>
      <w:r>
        <w:t>c</w:t>
      </w:r>
      <w:r>
        <w:t>tos, más aún cuando del legajo 97 surgía que Kesseler era considerado antisemita y que había sido procesado años atrás por el atentado al cementerio judío de Ber</w:t>
      </w:r>
      <w:r>
        <w:t>a</w:t>
      </w:r>
      <w:r>
        <w:t>zategui.</w:t>
      </w:r>
    </w:p>
    <w:p w:rsidR="00224567" w:rsidRDefault="00224567">
      <w:pPr>
        <w:widowControl w:val="0"/>
        <w:ind w:firstLine="2835"/>
      </w:pPr>
      <w:r>
        <w:lastRenderedPageBreak/>
        <w:t>Señaló que otro de los elementos ca</w:t>
      </w:r>
      <w:r>
        <w:t>r</w:t>
      </w:r>
      <w:r>
        <w:t>gosos utilizados en contra de Ribelli fue lo relacionado con su dinero, la donación de $ 2.500.000, las age</w:t>
      </w:r>
      <w:r>
        <w:t>n</w:t>
      </w:r>
      <w:r>
        <w:t>cias y todo lo que hacía a su situación p</w:t>
      </w:r>
      <w:r>
        <w:t>a</w:t>
      </w:r>
      <w:r>
        <w:t>trimonial.</w:t>
      </w:r>
    </w:p>
    <w:p w:rsidR="00224567" w:rsidRDefault="00224567">
      <w:pPr>
        <w:widowControl w:val="0"/>
        <w:ind w:firstLine="2835"/>
      </w:pPr>
      <w:r>
        <w:t>Resaltó que la cuestión esa cuestión fue desd</w:t>
      </w:r>
      <w:r>
        <w:t>o</w:t>
      </w:r>
      <w:r>
        <w:t>blada en dos partes. Señaló que la primera fue la relacionada con las agencias de autos, acerca de la cual la defensa consideró que Ribelli nunca fue interrogado s</w:t>
      </w:r>
      <w:r>
        <w:t>o</w:t>
      </w:r>
      <w:r>
        <w:t>bre ese tema en oportunidad de prestar declaración indag</w:t>
      </w:r>
      <w:r>
        <w:t>a</w:t>
      </w:r>
      <w:r>
        <w:t xml:space="preserve">toria, nunca se envió un oficio al Registro de </w:t>
      </w:r>
      <w:smartTag w:uri="urn:schemas-microsoft-com:office:smarttags" w:element="PersonName">
        <w:smartTagPr>
          <w:attr w:name="ProductID" w:val="la Propiedad Inmueble"/>
        </w:smartTagPr>
        <w:r>
          <w:t>la Propi</w:t>
        </w:r>
        <w:r>
          <w:t>e</w:t>
        </w:r>
        <w:r>
          <w:t>dad Inmueble</w:t>
        </w:r>
      </w:smartTag>
      <w:r>
        <w:t xml:space="preserve"> para averiguar sobre la titularidad de esos comercios y nunca se acompañó una disposición reglament</w:t>
      </w:r>
      <w:r>
        <w:t>a</w:t>
      </w:r>
      <w:r>
        <w:t>ria o una ley provincial que di</w:t>
      </w:r>
      <w:r>
        <w:t>s</w:t>
      </w:r>
      <w:r>
        <w:t>pusiera que una actividad comercial de un policía bonaerense fuese una infracción, delito o motivo de apartamiento de la fuerza; agregó que lo único que se dijo fue que respecto a esas agencias h</w:t>
      </w:r>
      <w:r>
        <w:t>a</w:t>
      </w:r>
      <w:r>
        <w:t>bía como un panorama tenebroso y que eran un antro util</w:t>
      </w:r>
      <w:r>
        <w:t>i</w:t>
      </w:r>
      <w:r>
        <w:t>zado para d</w:t>
      </w:r>
      <w:r>
        <w:t>i</w:t>
      </w:r>
      <w:r>
        <w:t>ferentes fines.</w:t>
      </w:r>
    </w:p>
    <w:p w:rsidR="00224567" w:rsidRDefault="00224567">
      <w:pPr>
        <w:widowControl w:val="0"/>
        <w:ind w:firstLine="2835"/>
      </w:pPr>
      <w:r>
        <w:t>Con respecto a la segunda cuestión, entendió que su defendido era beneficiario de una quinta parte de la donación realizada en vida por su padre Greg</w:t>
      </w:r>
      <w:r>
        <w:t>o</w:t>
      </w:r>
      <w:r>
        <w:lastRenderedPageBreak/>
        <w:t>rio.</w:t>
      </w:r>
    </w:p>
    <w:p w:rsidR="00224567" w:rsidRDefault="00224567">
      <w:pPr>
        <w:widowControl w:val="0"/>
        <w:ind w:firstLine="2835"/>
      </w:pPr>
      <w:r>
        <w:t>Señaló que tanto las querellas como los fiscales, nunca interrogaron a Gregorio Ribelli s</w:t>
      </w:r>
      <w:r>
        <w:t>o</w:t>
      </w:r>
      <w:r>
        <w:t>bre este tema. Agregó que el nombrado ahorró dinero durante años y las explicaciones que debían dar al respecto sólo las darían en la jurisdicción y oportunidad que correspo</w:t>
      </w:r>
      <w:r>
        <w:t>n</w:t>
      </w:r>
      <w:r>
        <w:t>diese.</w:t>
      </w:r>
    </w:p>
    <w:p w:rsidR="00224567" w:rsidRDefault="00224567">
      <w:pPr>
        <w:widowControl w:val="0"/>
        <w:ind w:firstLine="2835"/>
      </w:pPr>
      <w:r>
        <w:t>Sostuvo que si bien el hermano de su defendido, Juan Carlos, presentó un escrito –fs. 7364 ca</w:t>
      </w:r>
      <w:r>
        <w:t>u</w:t>
      </w:r>
      <w:r>
        <w:t>sa “Brigadas”- poniéndose a disposición del juez instru</w:t>
      </w:r>
      <w:r>
        <w:t>c</w:t>
      </w:r>
      <w:r>
        <w:t>tor para explicar lo relacionado con la donación, simpl</w:t>
      </w:r>
      <w:r>
        <w:t>e</w:t>
      </w:r>
      <w:r>
        <w:t>mente fue agregado a la causa sin más trámite. Concluyó que si Ribelli hubiera demo</w:t>
      </w:r>
      <w:r>
        <w:t>s</w:t>
      </w:r>
      <w:r>
        <w:t>trado la forma en que su padre había ahorrado una cantidad de dinero semejante, el fiscal Nisman no tendría oportunidad de considerar a esa suma c</w:t>
      </w:r>
      <w:r>
        <w:t>o</w:t>
      </w:r>
      <w:r>
        <w:t>mo el pago por el atentado, ya que a la parte acusadora solo le servía el silencio de su asistido acerca de esa cuestión.</w:t>
      </w:r>
    </w:p>
    <w:p w:rsidR="00224567" w:rsidRDefault="00224567">
      <w:pPr>
        <w:widowControl w:val="0"/>
        <w:ind w:firstLine="2835"/>
      </w:pPr>
      <w:r>
        <w:t>Al respecto hizo mérito de los test</w:t>
      </w:r>
      <w:r>
        <w:t>i</w:t>
      </w:r>
      <w:r>
        <w:t xml:space="preserve">monios del contador de </w:t>
      </w:r>
      <w:smartTag w:uri="urn:schemas-microsoft-com:office:smarttags" w:element="PersonName">
        <w:smartTagPr>
          <w:attr w:name="ProductID" w:val="la A.F"/>
        </w:smartTagPr>
        <w:r>
          <w:t>la A.F</w:t>
        </w:r>
      </w:smartTag>
      <w:r>
        <w:t>.I.P. Eduardo Blanco Álv</w:t>
      </w:r>
      <w:r>
        <w:t>a</w:t>
      </w:r>
      <w:r>
        <w:t xml:space="preserve">rez </w:t>
      </w:r>
      <w:r>
        <w:lastRenderedPageBreak/>
        <w:t>quien señaló que Gregorio Ribelli no tenía conducta banc</w:t>
      </w:r>
      <w:r>
        <w:t>a</w:t>
      </w:r>
      <w:r>
        <w:t>ria ni financiera y que ese dinero era “plata negra”, y Leticia María Labado, quien destacó que en el año 1993, en ocasión de viajar junto a su defendido, lo escuchó hablar con su hermana sobre inversiones de d</w:t>
      </w:r>
      <w:r>
        <w:t>i</w:t>
      </w:r>
      <w:r>
        <w:t>nero.</w:t>
      </w:r>
    </w:p>
    <w:p w:rsidR="00224567" w:rsidRDefault="00224567">
      <w:pPr>
        <w:widowControl w:val="0"/>
        <w:ind w:firstLine="2835"/>
      </w:pPr>
      <w:r>
        <w:t>Señaló que había una imputación a su defendido que merecía ser contestada por las apreci</w:t>
      </w:r>
      <w:r>
        <w:t>a</w:t>
      </w:r>
      <w:r>
        <w:t xml:space="preserve">ciones realizadas por la apoderada de </w:t>
      </w:r>
      <w:smartTag w:uri="urn:schemas-microsoft-com:office:smarttags" w:element="PersonName">
        <w:smartTagPr>
          <w:attr w:name="ProductID" w:val="la D.A"/>
        </w:smartTagPr>
        <w:r>
          <w:t>la D.A</w:t>
        </w:r>
      </w:smartTag>
      <w:r>
        <w:t>.I.A., Dra. Nerc</w:t>
      </w:r>
      <w:r>
        <w:t>e</w:t>
      </w:r>
      <w:r>
        <w:t>llas, vinculada al episodio del hotel “Conte”.</w:t>
      </w:r>
    </w:p>
    <w:p w:rsidR="00224567" w:rsidRDefault="00224567">
      <w:pPr>
        <w:widowControl w:val="0"/>
        <w:ind w:firstLine="2835"/>
      </w:pPr>
      <w:r>
        <w:t>Dijo que Ribelli concurría a ese hotel sólo a pernoctar y era cliente desde hacía dos años antes de la fecha del atentado y hasta un año después aproxim</w:t>
      </w:r>
      <w:r>
        <w:t>a</w:t>
      </w:r>
      <w:r>
        <w:t>damente, registrándose con nombre y ap</w:t>
      </w:r>
      <w:r>
        <w:t>e</w:t>
      </w:r>
      <w:r>
        <w:t>llido, documento de identidad, acompañado por Leticia Labado y abonando la e</w:t>
      </w:r>
      <w:r>
        <w:t>s</w:t>
      </w:r>
      <w:r>
        <w:t>tadía con su tarjeta American Express, por lo que quedaría descartada la sospecha de que Ribelli se alojó coincide</w:t>
      </w:r>
      <w:r>
        <w:t>n</w:t>
      </w:r>
      <w:r>
        <w:t>temente con los agentes del grupo israelí de re</w:t>
      </w:r>
      <w:r>
        <w:t>s</w:t>
      </w:r>
      <w:r>
        <w:t>cate para espiarlos.</w:t>
      </w:r>
    </w:p>
    <w:p w:rsidR="00224567" w:rsidRDefault="00224567">
      <w:pPr>
        <w:widowControl w:val="0"/>
        <w:ind w:firstLine="2835"/>
      </w:pPr>
      <w:r>
        <w:t xml:space="preserve">Señaló que </w:t>
      </w:r>
      <w:smartTag w:uri="urn:schemas-microsoft-com:office:smarttags" w:element="PersonName">
        <w:smartTagPr>
          <w:attr w:name="ProductID" w:val="La Dra. Nercellas"/>
        </w:smartTagPr>
        <w:r>
          <w:t>la Dra. Nercellas</w:t>
        </w:r>
      </w:smartTag>
      <w:r>
        <w:t xml:space="preserve"> al</w:t>
      </w:r>
      <w:r>
        <w:t>e</w:t>
      </w:r>
      <w:r>
        <w:t>gó que Labado –amante de Ribelli- se comunicó telefónic</w:t>
      </w:r>
      <w:r>
        <w:t>a</w:t>
      </w:r>
      <w:r>
        <w:t>mente con la empresa “Anselmo International” en reiteradas oportun</w:t>
      </w:r>
      <w:r>
        <w:t>i</w:t>
      </w:r>
      <w:r>
        <w:lastRenderedPageBreak/>
        <w:t>dades, firma que tenía vínculos con Kanoore Edul; i</w:t>
      </w:r>
      <w:r>
        <w:t>n</w:t>
      </w:r>
      <w:r>
        <w:t>cluso mientras Ribelli estuvo hospedado en el hotel “Preside</w:t>
      </w:r>
      <w:r>
        <w:t>n</w:t>
      </w:r>
      <w:r>
        <w:t>te”, se hizo un llamado desde su habitación a la compañía referida.</w:t>
      </w:r>
    </w:p>
    <w:p w:rsidR="00224567" w:rsidRDefault="00224567">
      <w:pPr>
        <w:widowControl w:val="0"/>
        <w:ind w:firstLine="2835"/>
      </w:pPr>
      <w:r>
        <w:t>Sostuvo el letrado que si bien el D.U.I.A. efectuó un informe sobre el tema, no averiguó quien era el titular de los abonados en cuestión al año 1994, lo que se vio corroborado con los informes de Tel</w:t>
      </w:r>
      <w:r>
        <w:t>e</w:t>
      </w:r>
      <w:r>
        <w:t>fónica de Argentina del año 1997, que efectivamente co</w:t>
      </w:r>
      <w:r>
        <w:t>n</w:t>
      </w:r>
      <w:r>
        <w:t>firmaron que el titular de esos teléfonos era “Anselmo I</w:t>
      </w:r>
      <w:r>
        <w:t>n</w:t>
      </w:r>
      <w:r>
        <w:t>ternational”; el problema era que para ese año Ribelli e</w:t>
      </w:r>
      <w:r>
        <w:t>s</w:t>
      </w:r>
      <w:r>
        <w:t xml:space="preserve">taba detenido en </w:t>
      </w:r>
      <w:smartTag w:uri="urn:schemas-microsoft-com:office:smarttags" w:element="PersonName">
        <w:smartTagPr>
          <w:attr w:name="ProductID" w:val="la Unidad"/>
        </w:smartTagPr>
        <w:r>
          <w:t>la Unidad</w:t>
        </w:r>
      </w:smartTag>
      <w:r>
        <w:t xml:space="preserve"> nº 1 de Caseros. Concluyó que el D.U.I.A. no se preocupó por certificar los dichos de Labado, ya que era un elemento de sosp</w:t>
      </w:r>
      <w:r>
        <w:t>e</w:t>
      </w:r>
      <w:r>
        <w:t>cha que servía para utilizar en contra de su defendido.</w:t>
      </w:r>
    </w:p>
    <w:p w:rsidR="00224567" w:rsidRDefault="00224567">
      <w:pPr>
        <w:widowControl w:val="0"/>
        <w:ind w:firstLine="2835"/>
      </w:pPr>
      <w:r>
        <w:t>Todo ello el letrado defensor lo ded</w:t>
      </w:r>
      <w:r>
        <w:t>u</w:t>
      </w:r>
      <w:r>
        <w:t>jo luego de analizar distintas probanzas: los info</w:t>
      </w:r>
      <w:r>
        <w:t>r</w:t>
      </w:r>
      <w:r>
        <w:t>mes del D.U.I.A. y de la empresa telefónica r</w:t>
      </w:r>
      <w:r>
        <w:t>e</w:t>
      </w:r>
      <w:r>
        <w:t>feridos, los dichos de Leticia Labado, la tarjeta de “Apartur S.A.” que aco</w:t>
      </w:r>
      <w:r>
        <w:t>m</w:t>
      </w:r>
      <w:r>
        <w:t>pañó y la certificación de fs. 58.891.</w:t>
      </w:r>
    </w:p>
    <w:p w:rsidR="00224567" w:rsidRDefault="00224567">
      <w:pPr>
        <w:widowControl w:val="0"/>
        <w:ind w:firstLine="2835"/>
      </w:pPr>
      <w:r>
        <w:lastRenderedPageBreak/>
        <w:t>Recalcó que dicha investigación del D.U.I.A. no solo no fue hecha con seriedad, sino que fue direccionada a efectos de sostener datos falsos que se v</w:t>
      </w:r>
      <w:r>
        <w:t>a</w:t>
      </w:r>
      <w:r>
        <w:t>loraron para vincular a Labado con Kanoore Edul y a éste con Ribelli, por lo que solicitó que se extrajeran test</w:t>
      </w:r>
      <w:r>
        <w:t>i</w:t>
      </w:r>
      <w:r>
        <w:t>monios de las piezas procesales pertinentes para remitir esa información al nuevo juez que entiende en la instru</w:t>
      </w:r>
      <w:r>
        <w:t>c</w:t>
      </w:r>
      <w:r>
        <w:t>ción de la causa A.M.I.A., para que no s</w:t>
      </w:r>
      <w:r>
        <w:t>i</w:t>
      </w:r>
      <w:r>
        <w:t>ga incurriendo en errores respecto de este desvío, como así también se e</w:t>
      </w:r>
      <w:r>
        <w:t>x</w:t>
      </w:r>
      <w:r>
        <w:t xml:space="preserve">traigan testimonios de lo que corresponda para remitir a </w:t>
      </w:r>
      <w:smartTag w:uri="urn:schemas-microsoft-com:office:smarttags" w:element="PersonName">
        <w:smartTagPr>
          <w:attr w:name="ProductID" w:val="la C￡mara"/>
        </w:smartTagPr>
        <w:r>
          <w:t>la Cámara</w:t>
        </w:r>
      </w:smartTag>
      <w:r>
        <w:t xml:space="preserve"> del fuero a fin de que se desins</w:t>
      </w:r>
      <w:r>
        <w:t>a</w:t>
      </w:r>
      <w:r>
        <w:t>cule el juzgado para investigar este desvío y a los responsables de no h</w:t>
      </w:r>
      <w:r>
        <w:t>a</w:t>
      </w:r>
      <w:r>
        <w:t>ber investigado y de haber introducido datos falsos en las actuaci</w:t>
      </w:r>
      <w:r>
        <w:t>o</w:t>
      </w:r>
      <w:r>
        <w:t>nes.</w:t>
      </w:r>
    </w:p>
    <w:p w:rsidR="00224567" w:rsidRDefault="00224567">
      <w:pPr>
        <w:widowControl w:val="0"/>
        <w:ind w:firstLine="2835"/>
      </w:pPr>
      <w:r>
        <w:t>Luego hizo alusión a la declaración del testigo Claudio Álvarez Matus, alias “el Feo”, ex e</w:t>
      </w:r>
      <w:r>
        <w:t>m</w:t>
      </w:r>
      <w:r>
        <w:t>pleado de las agencias “Paola” y “Autoprix”, quien man</w:t>
      </w:r>
      <w:r>
        <w:t>i</w:t>
      </w:r>
      <w:r>
        <w:t xml:space="preserve">festó haber visto en una de las agencias cuando Ribelli, junto con Albarracín y “el Pulpo” César Eduardo Córdoba, seguía con su Monza bordó a una Trafic que habían retirado de ese comercio, testimonio que fuera utilizado por el </w:t>
      </w:r>
      <w:r>
        <w:lastRenderedPageBreak/>
        <w:t>juez instructor y los fiscales como elemento cargoso en contra de su defendido.</w:t>
      </w:r>
    </w:p>
    <w:p w:rsidR="00224567" w:rsidRDefault="00224567">
      <w:pPr>
        <w:widowControl w:val="0"/>
        <w:ind w:firstLine="2835"/>
      </w:pPr>
      <w:r>
        <w:t>En base a los dichos de Álvarez M</w:t>
      </w:r>
      <w:r>
        <w:t>a</w:t>
      </w:r>
      <w:r>
        <w:t>tus, el testimonio de Federico Caneva y Reinaldo Álvarez, las fotografías del Monza dominio ACX-101, el legajo B acum</w:t>
      </w:r>
      <w:r>
        <w:t>u</w:t>
      </w:r>
      <w:r>
        <w:t>lado como prueba, la fs. 1144 del legajo de instrucción suplementaria, la factura de compra del r</w:t>
      </w:r>
      <w:r>
        <w:t>o</w:t>
      </w:r>
      <w:r>
        <w:t>dado en cuestión que data del 5 de enero de 1995 y la constancia de fs. 56.742, la defensa concluyó que Ribelli nunca pudo haber seguido con su Monza bordó a esa Trafic en una fecha ce</w:t>
      </w:r>
      <w:r>
        <w:t>r</w:t>
      </w:r>
      <w:r>
        <w:t>cana al atentado y que Álvarez Matus incurrió en una equ</w:t>
      </w:r>
      <w:r>
        <w:t>i</w:t>
      </w:r>
      <w:r>
        <w:t>vocación cuando declaró, pr</w:t>
      </w:r>
      <w:r>
        <w:t>o</w:t>
      </w:r>
      <w:r>
        <w:t>ducto de su mala memoria y su condición personal.</w:t>
      </w:r>
    </w:p>
    <w:p w:rsidR="00224567" w:rsidRDefault="00224567">
      <w:pPr>
        <w:widowControl w:val="0"/>
        <w:ind w:firstLine="2835"/>
      </w:pPr>
      <w:r>
        <w:t>Seguidamente, trató la cuestión rel</w:t>
      </w:r>
      <w:r>
        <w:t>a</w:t>
      </w:r>
      <w:r>
        <w:t>cionada con la actividad del comisario Jorge Alberto Pal</w:t>
      </w:r>
      <w:r>
        <w:t>a</w:t>
      </w:r>
      <w:r>
        <w:t>cios en el desarrollo de esta causa y los comentarios i</w:t>
      </w:r>
      <w:r>
        <w:t>n</w:t>
      </w:r>
      <w:r>
        <w:t>sidiosos que pudo introducir en todo aquello que no se fundaba en pruebas claras y definitivas, basadas en regi</w:t>
      </w:r>
      <w:r>
        <w:t>s</w:t>
      </w:r>
      <w:r>
        <w:t>tros y document</w:t>
      </w:r>
      <w:r>
        <w:t>a</w:t>
      </w:r>
      <w:r>
        <w:t xml:space="preserve">ción. </w:t>
      </w:r>
    </w:p>
    <w:p w:rsidR="00224567" w:rsidRDefault="00224567">
      <w:pPr>
        <w:widowControl w:val="0"/>
        <w:ind w:firstLine="2835"/>
      </w:pPr>
      <w:r>
        <w:t xml:space="preserve">Señaló que las partes hicieron mérito </w:t>
      </w:r>
      <w:r>
        <w:lastRenderedPageBreak/>
        <w:t>sobre las escuchas telefónicas vinculadas a su defend</w:t>
      </w:r>
      <w:r>
        <w:t>i</w:t>
      </w:r>
      <w:r>
        <w:t>do, que si bien fueron utilizadas plenamente como elementos cargosos, las invocaron para demostrar que los policías, antes de ser detenidos, se dedicaban a cometer todo tipo de delitos.</w:t>
      </w:r>
    </w:p>
    <w:p w:rsidR="00224567" w:rsidRDefault="00224567">
      <w:pPr>
        <w:widowControl w:val="0"/>
        <w:ind w:firstLine="2835"/>
      </w:pPr>
      <w:r>
        <w:t>Al respecto, resaltó que era dudoso que dichas escuchas gozaran de legitimidad, ya que fu</w:t>
      </w:r>
      <w:r>
        <w:t>e</w:t>
      </w:r>
      <w:r>
        <w:t xml:space="preserve">ron producidas por </w:t>
      </w:r>
      <w:smartTag w:uri="urn:schemas-microsoft-com:office:smarttags" w:element="PersonName">
        <w:smartTagPr>
          <w:attr w:name="ProductID" w:val="la S.I"/>
        </w:smartTagPr>
        <w:r>
          <w:t>la S.I</w:t>
        </w:r>
      </w:smartTag>
      <w:r>
        <w:t>.D.E., es decir el mismo organismo que, dirigido por Hugo Anz</w:t>
      </w:r>
      <w:r>
        <w:t>o</w:t>
      </w:r>
      <w:r>
        <w:t>rreguy, se encargó del pago de los USD 400.000 para que Ribelli fuera deten</w:t>
      </w:r>
      <w:r>
        <w:t>i</w:t>
      </w:r>
      <w:r>
        <w:t>do.</w:t>
      </w:r>
    </w:p>
    <w:p w:rsidR="00224567" w:rsidRDefault="00224567">
      <w:pPr>
        <w:widowControl w:val="0"/>
        <w:ind w:firstLine="2835"/>
      </w:pPr>
      <w:r>
        <w:t>Consideró que la cuestión rel</w:t>
      </w:r>
      <w:r>
        <w:t>a</w:t>
      </w:r>
      <w:r>
        <w:t>cionada con las escuchas telefónicas se desdoblaba en dos pa</w:t>
      </w:r>
      <w:r>
        <w:t>r</w:t>
      </w:r>
      <w:r>
        <w:t>tes; una de ellas referida a las actas que eran las transcri</w:t>
      </w:r>
      <w:r>
        <w:t>p</w:t>
      </w:r>
      <w:r>
        <w:t>ciones de las escuchas y la otra a las cintas magnetofón</w:t>
      </w:r>
      <w:r>
        <w:t>i</w:t>
      </w:r>
      <w:r>
        <w:t>cas, legisladas en los arts. 138 y 231 del Código Procesal Penal, respectivamente, siendo el último referido a las formalidades del secuestro de las cintas.</w:t>
      </w:r>
    </w:p>
    <w:p w:rsidR="00224567" w:rsidRDefault="00224567">
      <w:pPr>
        <w:widowControl w:val="0"/>
        <w:ind w:firstLine="2835"/>
      </w:pPr>
      <w:r>
        <w:t>El letrado defensor señaló que la e</w:t>
      </w:r>
      <w:r>
        <w:t>s</w:t>
      </w:r>
      <w:r>
        <w:t>cucha era un método excepcional e invasivo de la vida pr</w:t>
      </w:r>
      <w:r>
        <w:t>i</w:t>
      </w:r>
      <w:r>
        <w:t>vada y sostuvo que las realizadas respecto de su defend</w:t>
      </w:r>
      <w:r>
        <w:t>i</w:t>
      </w:r>
      <w:r>
        <w:t>do, familiares y allegados fueron hechas sin límite a</w:t>
      </w:r>
      <w:r>
        <w:t>l</w:t>
      </w:r>
      <w:r>
        <w:lastRenderedPageBreak/>
        <w:t>guno, haciendo alusión al respecto a la intervención de los abonados 252-2892 y 264-2313, pertenecientes a la e</w:t>
      </w:r>
      <w:r>
        <w:t>s</w:t>
      </w:r>
      <w:r>
        <w:t>posa de Ribelli, y al teléfono de la testigo Sandra Ca</w:t>
      </w:r>
      <w:r>
        <w:t>r</w:t>
      </w:r>
      <w:r>
        <w:t>deal.</w:t>
      </w:r>
    </w:p>
    <w:p w:rsidR="00224567" w:rsidRDefault="00224567">
      <w:pPr>
        <w:widowControl w:val="0"/>
        <w:ind w:firstLine="2835"/>
      </w:pPr>
      <w:r>
        <w:t>Remarcó que no había ninguna motiv</w:t>
      </w:r>
      <w:r>
        <w:t>a</w:t>
      </w:r>
      <w:r>
        <w:t>ción para intervenir las líneas telefónicas de Ribelli, sencillamente porque la razón que había era ni más ni m</w:t>
      </w:r>
      <w:r>
        <w:t>e</w:t>
      </w:r>
      <w:r>
        <w:t>nos que la consecuencia del armado de esta causa, o sea que los teléfonos fueron escuchados sin ningún tipo de control o límite.</w:t>
      </w:r>
    </w:p>
    <w:p w:rsidR="00224567" w:rsidRDefault="00224567">
      <w:pPr>
        <w:widowControl w:val="0"/>
        <w:ind w:firstLine="2835"/>
      </w:pPr>
      <w:r>
        <w:t>Destacó que el art. 236 de la ley de forma era una disposición procesal prácticamente en bla</w:t>
      </w:r>
      <w:r>
        <w:t>n</w:t>
      </w:r>
      <w:r>
        <w:t>co, que le permitía al juez utilizar en forma abusiva y desproporcionada el plazo de intervención, porque no le fijaba concretamente ningún límite.</w:t>
      </w:r>
    </w:p>
    <w:p w:rsidR="00224567" w:rsidRDefault="00224567">
      <w:pPr>
        <w:pStyle w:val="Sangra3detindependiente"/>
        <w:widowControl w:val="0"/>
        <w:spacing w:line="600" w:lineRule="auto"/>
        <w:ind w:firstLine="2835"/>
      </w:pPr>
      <w:r>
        <w:t>En lo que respecta a las transcripci</w:t>
      </w:r>
      <w:r>
        <w:t>o</w:t>
      </w:r>
      <w:r>
        <w:t>nes de las escuchas, consideró que si bien no con</w:t>
      </w:r>
      <w:r>
        <w:t>s</w:t>
      </w:r>
      <w:r>
        <w:t>tituían un dictamen pericial, debían tener t</w:t>
      </w:r>
      <w:r>
        <w:t>o</w:t>
      </w:r>
      <w:r>
        <w:t>das las formalidades propias de las actas, circunstancia que no ocurrió en e</w:t>
      </w:r>
      <w:r>
        <w:t>s</w:t>
      </w:r>
      <w:r>
        <w:t>tas actuaciones, en que se cuenta con papeles confeccion</w:t>
      </w:r>
      <w:r>
        <w:t>a</w:t>
      </w:r>
      <w:r>
        <w:lastRenderedPageBreak/>
        <w:t xml:space="preserve">dos con total desprolijidad por miembros de </w:t>
      </w:r>
      <w:smartTag w:uri="urn:schemas-microsoft-com:office:smarttags" w:element="PersonName">
        <w:smartTagPr>
          <w:attr w:name="ProductID" w:val="la S.I"/>
        </w:smartTagPr>
        <w:r>
          <w:t>la S.I</w:t>
        </w:r>
      </w:smartTag>
      <w:r>
        <w:t>.D.E., sin individualización de sus autores, ni control jud</w:t>
      </w:r>
      <w:r>
        <w:t>i</w:t>
      </w:r>
      <w:r>
        <w:t>cial alguno. En tal sentido, hizo referencia a los dichos de Carlos María Pablo Lavie, quien narró que de una tran</w:t>
      </w:r>
      <w:r>
        <w:t>s</w:t>
      </w:r>
      <w:r>
        <w:t>cripción no surgía ningún dato que permitiera identif</w:t>
      </w:r>
      <w:r>
        <w:t>i</w:t>
      </w:r>
      <w:r>
        <w:t>car a la persona que la hubiera confeccionado, ya que no t</w:t>
      </w:r>
      <w:r>
        <w:t>e</w:t>
      </w:r>
      <w:r>
        <w:t>nían ninguna tecnología para dicha individualiz</w:t>
      </w:r>
      <w:r>
        <w:t>a</w:t>
      </w:r>
      <w:r>
        <w:t>ción.</w:t>
      </w:r>
    </w:p>
    <w:p w:rsidR="00224567" w:rsidRDefault="00224567">
      <w:pPr>
        <w:widowControl w:val="0"/>
        <w:ind w:firstLine="2835"/>
      </w:pPr>
      <w:r>
        <w:t xml:space="preserve">Cuestionó la actuación y parcialidad de Lavie, director de Observaciones Judiciales de </w:t>
      </w:r>
      <w:smartTag w:uri="urn:schemas-microsoft-com:office:smarttags" w:element="PersonName">
        <w:smartTagPr>
          <w:attr w:name="ProductID" w:val="la S.I"/>
        </w:smartTagPr>
        <w:r>
          <w:t>la S.I</w:t>
        </w:r>
      </w:smartTag>
      <w:r>
        <w:t>.D.E., que debía velar por la seguridad de las cas</w:t>
      </w:r>
      <w:r>
        <w:t>e</w:t>
      </w:r>
      <w:r>
        <w:t>tes de escuchas telefónicas, señalando algunas de las irreg</w:t>
      </w:r>
      <w:r>
        <w:t>u</w:t>
      </w:r>
      <w:r>
        <w:t>laridades en las que intervino el no</w:t>
      </w:r>
      <w:r>
        <w:t>m</w:t>
      </w:r>
      <w:r>
        <w:t>brado.</w:t>
      </w:r>
    </w:p>
    <w:p w:rsidR="00224567" w:rsidRDefault="00224567">
      <w:pPr>
        <w:widowControl w:val="0"/>
        <w:ind w:firstLine="2835"/>
        <w:rPr>
          <w:color w:val="000000"/>
        </w:rPr>
      </w:pPr>
      <w:r>
        <w:rPr>
          <w:color w:val="000000"/>
        </w:rPr>
        <w:t>Solicitó que se extrajeran testim</w:t>
      </w:r>
      <w:r>
        <w:rPr>
          <w:color w:val="000000"/>
        </w:rPr>
        <w:t>o</w:t>
      </w:r>
      <w:r>
        <w:rPr>
          <w:color w:val="000000"/>
        </w:rPr>
        <w:t>nios de las piezas pertinentes para investigar los delitos de falta a los deberes de funcionario públ</w:t>
      </w:r>
      <w:r>
        <w:rPr>
          <w:color w:val="000000"/>
        </w:rPr>
        <w:t>i</w:t>
      </w:r>
      <w:r>
        <w:rPr>
          <w:color w:val="000000"/>
        </w:rPr>
        <w:t>co y encubrimiento por parte  de Juan Carlos Anchézar, el nombrado L</w:t>
      </w:r>
      <w:r>
        <w:rPr>
          <w:color w:val="000000"/>
        </w:rPr>
        <w:t>a</w:t>
      </w:r>
      <w:r>
        <w:rPr>
          <w:color w:val="000000"/>
        </w:rPr>
        <w:t>vie y de todo otro funcionario responsable, relacionado con las e</w:t>
      </w:r>
      <w:r>
        <w:rPr>
          <w:color w:val="000000"/>
        </w:rPr>
        <w:t>s</w:t>
      </w:r>
      <w:r>
        <w:rPr>
          <w:color w:val="000000"/>
        </w:rPr>
        <w:t>cuchas telefónicas efectuadas s</w:t>
      </w:r>
      <w:r>
        <w:rPr>
          <w:color w:val="000000"/>
        </w:rPr>
        <w:t>o</w:t>
      </w:r>
      <w:r>
        <w:rPr>
          <w:color w:val="000000"/>
        </w:rPr>
        <w:t>bre las Embajadas de Irán y Cuba y varios abonados que surgían de fs. 114, debiénd</w:t>
      </w:r>
      <w:r>
        <w:rPr>
          <w:color w:val="000000"/>
        </w:rPr>
        <w:t>o</w:t>
      </w:r>
      <w:r>
        <w:rPr>
          <w:color w:val="000000"/>
        </w:rPr>
        <w:t xml:space="preserve">se investigar la desaparición de la totalidad de casetes de grabación correspondientes al período que se extendió </w:t>
      </w:r>
      <w:r>
        <w:rPr>
          <w:color w:val="000000"/>
        </w:rPr>
        <w:lastRenderedPageBreak/>
        <w:t>por un año, hasta julio de 1995.</w:t>
      </w:r>
    </w:p>
    <w:p w:rsidR="00224567" w:rsidRDefault="00224567">
      <w:pPr>
        <w:widowControl w:val="0"/>
        <w:ind w:firstLine="2835"/>
        <w:rPr>
          <w:color w:val="000000"/>
        </w:rPr>
      </w:pPr>
      <w:r>
        <w:rPr>
          <w:color w:val="000000"/>
        </w:rPr>
        <w:t>Consideró que hubo una gran manipul</w:t>
      </w:r>
      <w:r>
        <w:rPr>
          <w:color w:val="000000"/>
        </w:rPr>
        <w:t>a</w:t>
      </w:r>
      <w:r>
        <w:rPr>
          <w:color w:val="000000"/>
        </w:rPr>
        <w:t xml:space="preserve">ción por parte de </w:t>
      </w:r>
      <w:smartTag w:uri="urn:schemas-microsoft-com:office:smarttags" w:element="PersonName">
        <w:smartTagPr>
          <w:attr w:name="ProductID" w:val="la S.I"/>
        </w:smartTagPr>
        <w:r>
          <w:rPr>
            <w:color w:val="000000"/>
          </w:rPr>
          <w:t>la S.I</w:t>
        </w:r>
      </w:smartTag>
      <w:r>
        <w:rPr>
          <w:color w:val="000000"/>
        </w:rPr>
        <w:t>.D.E. con respecto a algunas co</w:t>
      </w:r>
      <w:r>
        <w:rPr>
          <w:color w:val="000000"/>
        </w:rPr>
        <w:t>n</w:t>
      </w:r>
      <w:r>
        <w:rPr>
          <w:color w:val="000000"/>
        </w:rPr>
        <w:t>versaciones de su defendido, porque más allá de que tanto Ribelli como Ibarra no reconocieron sus voces, tampoco r</w:t>
      </w:r>
      <w:r>
        <w:rPr>
          <w:color w:val="000000"/>
        </w:rPr>
        <w:t>e</w:t>
      </w:r>
      <w:r>
        <w:rPr>
          <w:color w:val="000000"/>
        </w:rPr>
        <w:t>conocieron algunas de las convers</w:t>
      </w:r>
      <w:r>
        <w:rPr>
          <w:color w:val="000000"/>
        </w:rPr>
        <w:t>a</w:t>
      </w:r>
      <w:r>
        <w:rPr>
          <w:color w:val="000000"/>
        </w:rPr>
        <w:t>ciones.</w:t>
      </w:r>
    </w:p>
    <w:p w:rsidR="00224567" w:rsidRDefault="00224567">
      <w:pPr>
        <w:widowControl w:val="0"/>
        <w:ind w:firstLine="2835"/>
        <w:rPr>
          <w:color w:val="000000"/>
        </w:rPr>
      </w:pPr>
      <w:r>
        <w:rPr>
          <w:color w:val="000000"/>
        </w:rPr>
        <w:t>Hizo mérito de una de las conversaci</w:t>
      </w:r>
      <w:r>
        <w:rPr>
          <w:color w:val="000000"/>
        </w:rPr>
        <w:t>o</w:t>
      </w:r>
      <w:r>
        <w:rPr>
          <w:color w:val="000000"/>
        </w:rPr>
        <w:t xml:space="preserve">nes telefónicas que </w:t>
      </w:r>
      <w:smartTag w:uri="urn:schemas-microsoft-com:office:smarttags" w:element="PersonName">
        <w:smartTagPr>
          <w:attr w:name="ProductID" w:val="La Dra. Nercellas"/>
        </w:smartTagPr>
        <w:r>
          <w:rPr>
            <w:color w:val="000000"/>
          </w:rPr>
          <w:t>la Dra. Nercellas</w:t>
        </w:r>
      </w:smartTag>
      <w:r>
        <w:rPr>
          <w:color w:val="000000"/>
        </w:rPr>
        <w:t xml:space="preserve"> analizó en su aleg</w:t>
      </w:r>
      <w:r>
        <w:rPr>
          <w:color w:val="000000"/>
        </w:rPr>
        <w:t>a</w:t>
      </w:r>
      <w:r>
        <w:rPr>
          <w:color w:val="000000"/>
        </w:rPr>
        <w:t>to, referida a cómo Ribelli dictaba las conclusi</w:t>
      </w:r>
      <w:r>
        <w:rPr>
          <w:color w:val="000000"/>
        </w:rPr>
        <w:t>o</w:t>
      </w:r>
      <w:r>
        <w:rPr>
          <w:color w:val="000000"/>
        </w:rPr>
        <w:t>nes de un peritaje en la causa de la mas</w:t>
      </w:r>
      <w:r>
        <w:rPr>
          <w:color w:val="000000"/>
        </w:rPr>
        <w:t>a</w:t>
      </w:r>
      <w:r>
        <w:rPr>
          <w:color w:val="000000"/>
        </w:rPr>
        <w:t>cre de Monte Chingolo.</w:t>
      </w:r>
    </w:p>
    <w:p w:rsidR="00224567" w:rsidRDefault="00224567">
      <w:pPr>
        <w:widowControl w:val="0"/>
        <w:ind w:firstLine="2835"/>
        <w:rPr>
          <w:color w:val="000000"/>
        </w:rPr>
      </w:pPr>
      <w:r>
        <w:rPr>
          <w:color w:val="000000"/>
        </w:rPr>
        <w:t>Al respecto, narró que Ribelli aún se encuentra procesado en el departamento judicial de Lomas de Zamora, pero, a su criterio, tendrá un resultado fav</w:t>
      </w:r>
      <w:r>
        <w:rPr>
          <w:color w:val="000000"/>
        </w:rPr>
        <w:t>o</w:t>
      </w:r>
      <w:r>
        <w:rPr>
          <w:color w:val="000000"/>
        </w:rPr>
        <w:t>rable, ya que con el transcurso del tiempo quedó demostr</w:t>
      </w:r>
      <w:r>
        <w:rPr>
          <w:color w:val="000000"/>
        </w:rPr>
        <w:t>a</w:t>
      </w:r>
      <w:r>
        <w:rPr>
          <w:color w:val="000000"/>
        </w:rPr>
        <w:t>do que el peritaje referido respondía a la re</w:t>
      </w:r>
      <w:r>
        <w:rPr>
          <w:color w:val="000000"/>
        </w:rPr>
        <w:t>a</w:t>
      </w:r>
      <w:r>
        <w:rPr>
          <w:color w:val="000000"/>
        </w:rPr>
        <w:t>lidad de los hechos. Sostuvo que de esa causa surgía un e</w:t>
      </w:r>
      <w:r>
        <w:rPr>
          <w:color w:val="000000"/>
        </w:rPr>
        <w:t>n</w:t>
      </w:r>
      <w:r>
        <w:rPr>
          <w:color w:val="000000"/>
        </w:rPr>
        <w:t>frentamiento policial en el que intervinieron los oficiales Paz, Ahum</w:t>
      </w:r>
      <w:r>
        <w:rPr>
          <w:color w:val="000000"/>
        </w:rPr>
        <w:t>a</w:t>
      </w:r>
      <w:r>
        <w:rPr>
          <w:color w:val="000000"/>
        </w:rPr>
        <w:t>da y Aguilera, muriendo dos personas y, si bien esos fu</w:t>
      </w:r>
      <w:r>
        <w:rPr>
          <w:color w:val="000000"/>
        </w:rPr>
        <w:t>n</w:t>
      </w:r>
      <w:r>
        <w:rPr>
          <w:color w:val="000000"/>
        </w:rPr>
        <w:t>cionarios fueran sobreseídos provisoriamente, cuando est</w:t>
      </w:r>
      <w:r>
        <w:rPr>
          <w:color w:val="000000"/>
        </w:rPr>
        <w:t>a</w:t>
      </w:r>
      <w:r>
        <w:rPr>
          <w:color w:val="000000"/>
        </w:rPr>
        <w:t>ba por prescr</w:t>
      </w:r>
      <w:r>
        <w:rPr>
          <w:color w:val="000000"/>
        </w:rPr>
        <w:t>i</w:t>
      </w:r>
      <w:r>
        <w:rPr>
          <w:color w:val="000000"/>
        </w:rPr>
        <w:t xml:space="preserve">bir la acción aparecieron testigos sólo para </w:t>
      </w:r>
      <w:r>
        <w:rPr>
          <w:color w:val="000000"/>
        </w:rPr>
        <w:lastRenderedPageBreak/>
        <w:t>mantener abierta esa causa. Agregó que luego de la dete</w:t>
      </w:r>
      <w:r>
        <w:rPr>
          <w:color w:val="000000"/>
        </w:rPr>
        <w:t>n</w:t>
      </w:r>
      <w:r>
        <w:rPr>
          <w:color w:val="000000"/>
        </w:rPr>
        <w:t>ción de su defendido se usó esa e</w:t>
      </w:r>
      <w:r>
        <w:rPr>
          <w:color w:val="000000"/>
        </w:rPr>
        <w:t>s</w:t>
      </w:r>
      <w:r>
        <w:rPr>
          <w:color w:val="000000"/>
        </w:rPr>
        <w:t>cucha para darle impulso a la causa de Lomas de Zamora y también fue utilizada en estas actuaciones para que se procediera a la detención del prófugo Ahumada, por tener relación con Ribelli y su posible vinculación al atentado. Continuó el letrado rel</w:t>
      </w:r>
      <w:r>
        <w:rPr>
          <w:color w:val="000000"/>
        </w:rPr>
        <w:t>a</w:t>
      </w:r>
      <w:r>
        <w:rPr>
          <w:color w:val="000000"/>
        </w:rPr>
        <w:t>tando que los policías fueron condenados en primera in</w:t>
      </w:r>
      <w:r>
        <w:rPr>
          <w:color w:val="000000"/>
        </w:rPr>
        <w:t>s</w:t>
      </w:r>
      <w:r>
        <w:rPr>
          <w:color w:val="000000"/>
        </w:rPr>
        <w:t>tancia y luego absue</w:t>
      </w:r>
      <w:r>
        <w:rPr>
          <w:color w:val="000000"/>
        </w:rPr>
        <w:t>l</w:t>
      </w:r>
      <w:r>
        <w:rPr>
          <w:color w:val="000000"/>
        </w:rPr>
        <w:t xml:space="preserve">tos por </w:t>
      </w:r>
      <w:smartTag w:uri="urn:schemas-microsoft-com:office:smarttags" w:element="PersonName">
        <w:smartTagPr>
          <w:attr w:name="ProductID" w:val="la C￡mara"/>
        </w:smartTagPr>
        <w:r>
          <w:rPr>
            <w:color w:val="000000"/>
          </w:rPr>
          <w:t>la Cámara</w:t>
        </w:r>
      </w:smartTag>
      <w:r>
        <w:rPr>
          <w:color w:val="000000"/>
        </w:rPr>
        <w:t xml:space="preserve"> del fuero de Lomas de Zamora, justamente con fundamento en las pericias mu</w:t>
      </w:r>
      <w:r>
        <w:rPr>
          <w:color w:val="000000"/>
        </w:rPr>
        <w:t>l</w:t>
      </w:r>
      <w:r>
        <w:rPr>
          <w:color w:val="000000"/>
        </w:rPr>
        <w:t>tidisciplinarias oportunamente ordenadas en esa causa. El Dr. Ubeira concluyó que Ribelli sólo trataba de que sus subordinados pudieran demo</w:t>
      </w:r>
      <w:r>
        <w:rPr>
          <w:color w:val="000000"/>
        </w:rPr>
        <w:t>s</w:t>
      </w:r>
      <w:r>
        <w:rPr>
          <w:color w:val="000000"/>
        </w:rPr>
        <w:t>trar su inocencia.</w:t>
      </w:r>
    </w:p>
    <w:p w:rsidR="00224567" w:rsidRDefault="00224567">
      <w:pPr>
        <w:widowControl w:val="0"/>
        <w:ind w:firstLine="2835"/>
        <w:rPr>
          <w:color w:val="000000"/>
        </w:rPr>
      </w:pPr>
      <w:r>
        <w:rPr>
          <w:color w:val="000000"/>
        </w:rPr>
        <w:t>Sostuvo que las escuchas telefónicas fueron obtenidas por un organismo, que no solamente fue parcial desde el punto de vista administrativo, sino que conspiró concretamente en la detención de Ribelli; el d</w:t>
      </w:r>
      <w:r>
        <w:rPr>
          <w:color w:val="000000"/>
        </w:rPr>
        <w:t>e</w:t>
      </w:r>
      <w:r>
        <w:rPr>
          <w:color w:val="000000"/>
        </w:rPr>
        <w:t>fensor consideró que las escuchas no eran más que indicios que debían estar respaldados directamente por pruebas, y que las pruebas existentes en la causa, por lo menos, de cómo se gestaron las escuchas, decían exactamente lo co</w:t>
      </w:r>
      <w:r>
        <w:rPr>
          <w:color w:val="000000"/>
        </w:rPr>
        <w:t>n</w:t>
      </w:r>
      <w:r>
        <w:rPr>
          <w:color w:val="000000"/>
        </w:rPr>
        <w:t>trario. Agregó que de las escuchas que se valoraron dura</w:t>
      </w:r>
      <w:r>
        <w:rPr>
          <w:color w:val="000000"/>
        </w:rPr>
        <w:t>n</w:t>
      </w:r>
      <w:r>
        <w:rPr>
          <w:color w:val="000000"/>
        </w:rPr>
        <w:lastRenderedPageBreak/>
        <w:t>te los alegatos, no hubo una sola que reflejara una co</w:t>
      </w:r>
      <w:r>
        <w:rPr>
          <w:color w:val="000000"/>
        </w:rPr>
        <w:t>n</w:t>
      </w:r>
      <w:r>
        <w:rPr>
          <w:color w:val="000000"/>
        </w:rPr>
        <w:t>versación entre Ribelli y Telle</w:t>
      </w:r>
      <w:r>
        <w:rPr>
          <w:color w:val="000000"/>
        </w:rPr>
        <w:t>l</w:t>
      </w:r>
      <w:r>
        <w:rPr>
          <w:color w:val="000000"/>
        </w:rPr>
        <w:t>dín, con Leal o con Ibarra referidas al tema del ate</w:t>
      </w:r>
      <w:r>
        <w:rPr>
          <w:color w:val="000000"/>
        </w:rPr>
        <w:t>n</w:t>
      </w:r>
      <w:r>
        <w:rPr>
          <w:color w:val="000000"/>
        </w:rPr>
        <w:t>tado.</w:t>
      </w:r>
    </w:p>
    <w:p w:rsidR="00224567" w:rsidRDefault="00224567">
      <w:pPr>
        <w:widowControl w:val="0"/>
        <w:ind w:firstLine="2835"/>
        <w:rPr>
          <w:color w:val="000000"/>
        </w:rPr>
      </w:pPr>
      <w:r>
        <w:rPr>
          <w:color w:val="000000"/>
        </w:rPr>
        <w:t>Seguidamente, hizo hincapié en la imputación del delito de asociación ilícita.</w:t>
      </w:r>
    </w:p>
    <w:p w:rsidR="00224567" w:rsidRDefault="00224567">
      <w:pPr>
        <w:widowControl w:val="0"/>
        <w:ind w:firstLine="2835"/>
        <w:rPr>
          <w:color w:val="000000"/>
        </w:rPr>
      </w:pPr>
      <w:r>
        <w:rPr>
          <w:color w:val="000000"/>
        </w:rPr>
        <w:t>El letrado defensor consideró que no podía ejercer una defensa respecto de esta imputación po</w:t>
      </w:r>
      <w:r>
        <w:rPr>
          <w:color w:val="000000"/>
        </w:rPr>
        <w:t>r</w:t>
      </w:r>
      <w:r>
        <w:rPr>
          <w:color w:val="000000"/>
        </w:rPr>
        <w:t>que, tal como fue planteada la figura p</w:t>
      </w:r>
      <w:r>
        <w:rPr>
          <w:color w:val="000000"/>
        </w:rPr>
        <w:t>e</w:t>
      </w:r>
      <w:r>
        <w:rPr>
          <w:color w:val="000000"/>
        </w:rPr>
        <w:t>nal por el fiscal Romero, no sabía de qué defender a su asistido, ya que el representante del Ministerio Público no detalló cuándo c</w:t>
      </w:r>
      <w:r>
        <w:rPr>
          <w:color w:val="000000"/>
        </w:rPr>
        <w:t>o</w:t>
      </w:r>
      <w:r>
        <w:rPr>
          <w:color w:val="000000"/>
        </w:rPr>
        <w:t>menzó esta asociación, ni si cesó en sus actividades con la detención de su defendido, así como tampoco s</w:t>
      </w:r>
      <w:r>
        <w:rPr>
          <w:color w:val="000000"/>
        </w:rPr>
        <w:t>e</w:t>
      </w:r>
      <w:r>
        <w:rPr>
          <w:color w:val="000000"/>
        </w:rPr>
        <w:t>ñaló las funciones de Ribelli dentro de esa organización delictiva, ni hizo referencia a la plur</w:t>
      </w:r>
      <w:r>
        <w:rPr>
          <w:color w:val="000000"/>
        </w:rPr>
        <w:t>a</w:t>
      </w:r>
      <w:r>
        <w:rPr>
          <w:color w:val="000000"/>
        </w:rPr>
        <w:t>lidad de planes.</w:t>
      </w:r>
    </w:p>
    <w:p w:rsidR="00224567" w:rsidRDefault="00224567">
      <w:pPr>
        <w:widowControl w:val="0"/>
        <w:ind w:firstLine="2835"/>
        <w:rPr>
          <w:color w:val="000000"/>
        </w:rPr>
      </w:pPr>
      <w:r>
        <w:rPr>
          <w:color w:val="000000"/>
        </w:rPr>
        <w:t>Dijo que el art. 210 del Código Penal era un tipo penal abierto, una suerte de ley penal en blanco, utilizada con fines cuasi políticos para denegar excarcelaciones. Agregó que dicha figura penal no podía ser usada para “ajustar cuentas” en forma indi</w:t>
      </w:r>
      <w:r>
        <w:rPr>
          <w:color w:val="000000"/>
        </w:rPr>
        <w:t>s</w:t>
      </w:r>
      <w:r>
        <w:rPr>
          <w:color w:val="000000"/>
        </w:rPr>
        <w:t xml:space="preserve">criminada, mencionando al respecto lo resuelto por </w:t>
      </w:r>
      <w:smartTag w:uri="urn:schemas-microsoft-com:office:smarttags" w:element="PersonName">
        <w:smartTagPr>
          <w:attr w:name="ProductID" w:val="la Corte Suprema"/>
        </w:smartTagPr>
        <w:r>
          <w:rPr>
            <w:color w:val="000000"/>
          </w:rPr>
          <w:t>la Corte Suprema</w:t>
        </w:r>
      </w:smartTag>
      <w:r>
        <w:rPr>
          <w:color w:val="000000"/>
        </w:rPr>
        <w:t xml:space="preserve"> </w:t>
      </w:r>
      <w:r>
        <w:rPr>
          <w:color w:val="000000"/>
        </w:rPr>
        <w:lastRenderedPageBreak/>
        <w:t xml:space="preserve">de Justicia de </w:t>
      </w:r>
      <w:smartTag w:uri="urn:schemas-microsoft-com:office:smarttags" w:element="PersonName">
        <w:smartTagPr>
          <w:attr w:name="ProductID" w:val="la Naci￳n"/>
        </w:smartTagPr>
        <w:r>
          <w:rPr>
            <w:color w:val="000000"/>
          </w:rPr>
          <w:t>la Nación</w:t>
        </w:r>
      </w:smartTag>
      <w:r>
        <w:rPr>
          <w:color w:val="000000"/>
        </w:rPr>
        <w:t xml:space="preserve"> en las causas “Yoma” y “M</w:t>
      </w:r>
      <w:r>
        <w:rPr>
          <w:color w:val="000000"/>
        </w:rPr>
        <w:t>e</w:t>
      </w:r>
      <w:r>
        <w:rPr>
          <w:color w:val="000000"/>
        </w:rPr>
        <w:t>nem”.</w:t>
      </w:r>
    </w:p>
    <w:p w:rsidR="00224567" w:rsidRDefault="00224567">
      <w:pPr>
        <w:widowControl w:val="0"/>
        <w:ind w:firstLine="2835"/>
        <w:rPr>
          <w:color w:val="000000"/>
        </w:rPr>
      </w:pPr>
      <w:r>
        <w:rPr>
          <w:color w:val="000000"/>
        </w:rPr>
        <w:t>Comparó lo sucedido en la causa A.M.I.A. con la causa nº 174, caratulada “Martínez de V</w:t>
      </w:r>
      <w:r>
        <w:rPr>
          <w:color w:val="000000"/>
        </w:rPr>
        <w:t>i</w:t>
      </w:r>
      <w:r>
        <w:rPr>
          <w:color w:val="000000"/>
        </w:rPr>
        <w:t xml:space="preserve">vas, Ana María y otros s/asoc. ilícita e inf. ley </w:t>
      </w:r>
      <w:smartTag w:uri="urn:schemas-microsoft-com:office:smarttags" w:element="metricconverter">
        <w:smartTagPr>
          <w:attr w:name="ProductID" w:val="23.737”"/>
        </w:smartTagPr>
        <w:r>
          <w:rPr>
            <w:color w:val="000000"/>
          </w:rPr>
          <w:t>23.737”</w:t>
        </w:r>
      </w:smartTag>
      <w:r>
        <w:rPr>
          <w:color w:val="000000"/>
        </w:rPr>
        <w:t>, del Tribunal Oral en lo Criminal Federal nº 1 de esta ci</w:t>
      </w:r>
      <w:r>
        <w:rPr>
          <w:color w:val="000000"/>
        </w:rPr>
        <w:t>u</w:t>
      </w:r>
      <w:r>
        <w:rPr>
          <w:color w:val="000000"/>
        </w:rPr>
        <w:t>dad y, más allá de que las personas allí juzgadas no t</w:t>
      </w:r>
      <w:r>
        <w:rPr>
          <w:color w:val="000000"/>
        </w:rPr>
        <w:t>e</w:t>
      </w:r>
      <w:r>
        <w:rPr>
          <w:color w:val="000000"/>
        </w:rPr>
        <w:t>nían ninguna relación con los imputados en esta causa y el delito era compl</w:t>
      </w:r>
      <w:r>
        <w:rPr>
          <w:color w:val="000000"/>
        </w:rPr>
        <w:t>e</w:t>
      </w:r>
      <w:r>
        <w:rPr>
          <w:color w:val="000000"/>
        </w:rPr>
        <w:t>tamente diferente, tenían en común que en ambas intervinieron el juez G</w:t>
      </w:r>
      <w:r>
        <w:rPr>
          <w:color w:val="000000"/>
        </w:rPr>
        <w:t>a</w:t>
      </w:r>
      <w:r>
        <w:rPr>
          <w:color w:val="000000"/>
        </w:rPr>
        <w:t>leano, el comisario Palacios y los fiscales Mullen y Barbaccia, demostrándose que d</w:t>
      </w:r>
      <w:r>
        <w:rPr>
          <w:color w:val="000000"/>
        </w:rPr>
        <w:t>i</w:t>
      </w:r>
      <w:r>
        <w:rPr>
          <w:color w:val="000000"/>
        </w:rPr>
        <w:t>chas actuaciones fueron un armado tan siniestro como la causa A.M.I.A.</w:t>
      </w:r>
    </w:p>
    <w:p w:rsidR="00224567" w:rsidRDefault="00224567">
      <w:pPr>
        <w:widowControl w:val="0"/>
        <w:ind w:firstLine="2835"/>
        <w:rPr>
          <w:color w:val="000000"/>
        </w:rPr>
      </w:pPr>
      <w:r>
        <w:rPr>
          <w:color w:val="000000"/>
        </w:rPr>
        <w:t>Señaló que si bien se habló de asoci</w:t>
      </w:r>
      <w:r>
        <w:rPr>
          <w:color w:val="000000"/>
        </w:rPr>
        <w:t>a</w:t>
      </w:r>
      <w:r>
        <w:rPr>
          <w:color w:val="000000"/>
        </w:rPr>
        <w:t>ción ilícita respecto de su defendido y el resto de los imputados, no existía una prueba que condujera concret</w:t>
      </w:r>
      <w:r>
        <w:rPr>
          <w:color w:val="000000"/>
        </w:rPr>
        <w:t>a</w:t>
      </w:r>
      <w:r>
        <w:rPr>
          <w:color w:val="000000"/>
        </w:rPr>
        <w:t>mente a una figura asociativa; ni siquiera se pudo est</w:t>
      </w:r>
      <w:r>
        <w:rPr>
          <w:color w:val="000000"/>
        </w:rPr>
        <w:t>a</w:t>
      </w:r>
      <w:r>
        <w:rPr>
          <w:color w:val="000000"/>
        </w:rPr>
        <w:t>blecer una relación entre las Brigadas de Lanús y Vicente López, ya que los registros, probanzas y la doc</w:t>
      </w:r>
      <w:r>
        <w:rPr>
          <w:color w:val="000000"/>
        </w:rPr>
        <w:t>u</w:t>
      </w:r>
      <w:r>
        <w:rPr>
          <w:color w:val="000000"/>
        </w:rPr>
        <w:t>mentación obrante en este proceso, demostraron exactamente lo co</w:t>
      </w:r>
      <w:r>
        <w:rPr>
          <w:color w:val="000000"/>
        </w:rPr>
        <w:t>n</w:t>
      </w:r>
      <w:r>
        <w:rPr>
          <w:color w:val="000000"/>
        </w:rPr>
        <w:t>trario.</w:t>
      </w:r>
    </w:p>
    <w:p w:rsidR="00224567" w:rsidRDefault="00224567">
      <w:pPr>
        <w:widowControl w:val="0"/>
        <w:ind w:firstLine="2835"/>
      </w:pPr>
      <w:r>
        <w:t xml:space="preserve">Consideró que el Dr. Romero, en su </w:t>
      </w:r>
      <w:r>
        <w:lastRenderedPageBreak/>
        <w:t>alegato respecto de este tema, no cumplió con los mín</w:t>
      </w:r>
      <w:r>
        <w:t>i</w:t>
      </w:r>
      <w:r>
        <w:t>mos requisitos para sostener la estructura básica del tipo p</w:t>
      </w:r>
      <w:r>
        <w:t>e</w:t>
      </w:r>
      <w:r>
        <w:t>nal.</w:t>
      </w:r>
    </w:p>
    <w:p w:rsidR="00224567" w:rsidRDefault="00224567">
      <w:pPr>
        <w:widowControl w:val="0"/>
        <w:ind w:firstLine="2835"/>
        <w:rPr>
          <w:lang w:val="es-ES_tradnl"/>
        </w:rPr>
      </w:pPr>
      <w:r>
        <w:rPr>
          <w:color w:val="000000"/>
        </w:rPr>
        <w:t xml:space="preserve">Finalmente, el Dr. Ubeira dio lectura a su petitorio, solicitando: </w:t>
      </w:r>
      <w:r>
        <w:t>1) se absuelva a Juan José Ribelli en orden a los delitos por los que fuera requ</w:t>
      </w:r>
      <w:r>
        <w:t>e</w:t>
      </w:r>
      <w:r>
        <w:t>rida su elevación a juicio en las causas nº 487/00 y 501/01 del registro del tribunal; 2) se declare la nulidad del proc</w:t>
      </w:r>
      <w:r>
        <w:t>e</w:t>
      </w:r>
      <w:r>
        <w:t xml:space="preserve">so a partir de mayo de 1995 y de todo lo actuado en su consecuencia, en virtud de constituir dichas diligencias actos preparatorios del delito que se consuma con el pago de la primer cuota de USD </w:t>
      </w:r>
      <w:smartTag w:uri="urn:schemas-microsoft-com:office:smarttags" w:element="metricconverter">
        <w:smartTagPr>
          <w:attr w:name="ProductID" w:val="200.000 a"/>
        </w:smartTagPr>
        <w:r>
          <w:t>200.000 a</w:t>
        </w:r>
      </w:smartTag>
      <w:r>
        <w:t xml:space="preserve"> Carlos Alberto Telle</w:t>
      </w:r>
      <w:r>
        <w:t>l</w:t>
      </w:r>
      <w:r>
        <w:t>dín y se perfecciona con el segundo pago el 17 de o</w:t>
      </w:r>
      <w:r>
        <w:t>c</w:t>
      </w:r>
      <w:r>
        <w:t>tubre y posterior ocultamiento; 3) se declare la nulidad de t</w:t>
      </w:r>
      <w:r>
        <w:t>o</w:t>
      </w:r>
      <w:r>
        <w:t>dos los actos llevados adelante por el magistrado instru</w:t>
      </w:r>
      <w:r>
        <w:t>c</w:t>
      </w:r>
      <w:r>
        <w:t>tor a partir del 25 de julio de 1994, luego de la reunión con el ex presidente Menem en la quinta de Olivos, por h</w:t>
      </w:r>
      <w:r>
        <w:t>a</w:t>
      </w:r>
      <w:r>
        <w:t>ber violado las reglas de independencia e imparcialidad que deben imperar en el juez natural; 4) se declare la n</w:t>
      </w:r>
      <w:r>
        <w:t>u</w:t>
      </w:r>
      <w:r>
        <w:t xml:space="preserve">lidad de todos los actos procesales vinculados al delito </w:t>
      </w:r>
      <w:r>
        <w:lastRenderedPageBreak/>
        <w:t>de instigación al falso testimonio agravado en la causa n° 501/01; 5) se extraigan testimonios de las partes pert</w:t>
      </w:r>
      <w:r>
        <w:t>i</w:t>
      </w:r>
      <w:r>
        <w:t>nentes a fin de investigar los delitos de falsedad ideol</w:t>
      </w:r>
      <w:r>
        <w:t>ó</w:t>
      </w:r>
      <w:r>
        <w:t>gica de instrumento público y falso testimonio, respecto de los firmantes del acta de hallazgo del motor y por pr</w:t>
      </w:r>
      <w:r>
        <w:t>o</w:t>
      </w:r>
      <w:r>
        <w:t>ducirse con falsedad durante la instrucción, debiendo e</w:t>
      </w:r>
      <w:r>
        <w:t>s</w:t>
      </w:r>
      <w:r>
        <w:t>tablecerse asimismo si el Dr. Galeano, los secretarios y los Dres. Mullen y Barbaccia pudieron instigar o determ</w:t>
      </w:r>
      <w:r>
        <w:t>i</w:t>
      </w:r>
      <w:r>
        <w:t>nar a Horacio Ángel Lopardo, Gustavo Hernán Moragues y P</w:t>
      </w:r>
      <w:r>
        <w:t>a</w:t>
      </w:r>
      <w:r>
        <w:t>blo Marcelo Garris a pronunciarse con falsedad; 6) se e</w:t>
      </w:r>
      <w:r>
        <w:t>x</w:t>
      </w:r>
      <w:r>
        <w:t>traigan testimonios de las partes pertinentes, a fin de investigar la posible comisión del delito de falso test</w:t>
      </w:r>
      <w:r>
        <w:t>i</w:t>
      </w:r>
      <w:r>
        <w:t>monio por parte de Nahum Frenkel, Alberto Szwarc, Daniel Alberto Seara y Guillermo Pedro Scartascini; 7) se extra</w:t>
      </w:r>
      <w:r>
        <w:t>i</w:t>
      </w:r>
      <w:r>
        <w:t>gan testimonios de las piezas pertinentes, a fin de inve</w:t>
      </w:r>
      <w:r>
        <w:t>s</w:t>
      </w:r>
      <w:r>
        <w:t xml:space="preserve">tigar los delitos cometidos por el ex subsecretario de </w:t>
      </w:r>
      <w:smartTag w:uri="urn:schemas-microsoft-com:office:smarttags" w:element="PersonName">
        <w:smartTagPr>
          <w:attr w:name="ProductID" w:val="la S.I"/>
        </w:smartTagPr>
        <w:r>
          <w:t>la S.I</w:t>
        </w:r>
      </w:smartTag>
      <w:r>
        <w:t>.D.E. Juan Carlos Anchézar y por el director de obse</w:t>
      </w:r>
      <w:r>
        <w:t>r</w:t>
      </w:r>
      <w:r>
        <w:t>vaciones judiciales Carlos María Pablo Lavie, rel</w:t>
      </w:r>
      <w:r>
        <w:t>a</w:t>
      </w:r>
      <w:r>
        <w:t>cionados con las escuchas telefónicas efectuadas sobre las Embaj</w:t>
      </w:r>
      <w:r>
        <w:t>a</w:t>
      </w:r>
      <w:r>
        <w:t xml:space="preserve">das de Irán y de </w:t>
      </w:r>
      <w:smartTag w:uri="urn:schemas-microsoft-com:office:smarttags" w:element="PersonName">
        <w:smartTagPr>
          <w:attr w:name="ProductID" w:val="la Rep￺blica"/>
        </w:smartTagPr>
        <w:r>
          <w:t>la República</w:t>
        </w:r>
      </w:smartTag>
      <w:r>
        <w:t xml:space="preserve"> de Cuba y sobre varios ab</w:t>
      </w:r>
      <w:r>
        <w:t>o</w:t>
      </w:r>
      <w:r>
        <w:t xml:space="preserve">nados que surgen de la foja 114, debiendo extenderse la </w:t>
      </w:r>
      <w:r>
        <w:lastRenderedPageBreak/>
        <w:t>investigación a la desaparición de la totalidad de cas</w:t>
      </w:r>
      <w:r>
        <w:t>e</w:t>
      </w:r>
      <w:r>
        <w:t>tes de grabación correspondientes al período que se extiende por un año, hasta julio de 1995. Asimismo, deberá invest</w:t>
      </w:r>
      <w:r>
        <w:t>i</w:t>
      </w:r>
      <w:r>
        <w:t>garse el delito de encubr</w:t>
      </w:r>
      <w:r>
        <w:t>i</w:t>
      </w:r>
      <w:r>
        <w:t>miento por parte del Dr. Galeano y de los fiscales, Dres. Mullen y Barbaccia, al omitir, durante la instrucción, una profunda investigación al re</w:t>
      </w:r>
      <w:r>
        <w:t>s</w:t>
      </w:r>
      <w:r>
        <w:t>pecto; 8) se extraigan testimonios de la causa, a fin de que se investiguen los delitos de falsedad ideológica de instrumento público y encubrimiento por parte del magi</w:t>
      </w:r>
      <w:r>
        <w:t>s</w:t>
      </w:r>
      <w:r>
        <w:t>trado instructor, con relación a los dos oficios origin</w:t>
      </w:r>
      <w:r>
        <w:t>a</w:t>
      </w:r>
      <w:r>
        <w:t>les, uno fechado el 25 y el otro el 26 de julio de 1994, pidiendo la intervención telefónica de abonados perten</w:t>
      </w:r>
      <w:r>
        <w:t>e</w:t>
      </w:r>
      <w:r>
        <w:t>cientes a Kanoore Edul, debiendo extenderse dicha invest</w:t>
      </w:r>
      <w:r>
        <w:t>i</w:t>
      </w:r>
      <w:r>
        <w:t>gación a fin de determinar quién aportó los datos allí consignados, ya que quedó probado que a Kanoore Edul se llegó el día 27 de julio de 1994. Asimismo, deberá inve</w:t>
      </w:r>
      <w:r>
        <w:t>s</w:t>
      </w:r>
      <w:r>
        <w:t>tigarse la posible comisión del delito de encubrimiento por parte de los fi</w:t>
      </w:r>
      <w:r>
        <w:t>s</w:t>
      </w:r>
      <w:r>
        <w:t xml:space="preserve">cales, Dres. Mullen y Barbaccia; 9) se extraigan testimonios de las piezas de interés, a fin de investigar la comisión del delito de falso testimonio </w:t>
      </w:r>
      <w:r>
        <w:lastRenderedPageBreak/>
        <w:t>agravado por parte de Gustavo Alberto Semorile, tanto en la instrucción como en este debate. La misma deberá exte</w:t>
      </w:r>
      <w:r>
        <w:t>n</w:t>
      </w:r>
      <w:r>
        <w:t>derse respecto del Dr. Galeano, los secretarios y los fi</w:t>
      </w:r>
      <w:r>
        <w:t>s</w:t>
      </w:r>
      <w:r>
        <w:t>cales Mullen y Barba</w:t>
      </w:r>
      <w:r>
        <w:t>c</w:t>
      </w:r>
      <w:r>
        <w:t>cia, para establecer si instigaron o determinaron a Semorile a pronunciarse con falsedad contra Juan José Ribelli; 10) se extraigan testimonios de las partes pertinentes, a fin de investigar la comisión del delito de falso testimonio agravado en perjuicio de Juan José Ribelli por parte de Ana María Boragni, por haberse pronunciado con falsedad tanto en la instrucción como el debate oral; 11) se extraigan testimonios de la causa, a fin de investigar los delitos cometidos en torno a la d</w:t>
      </w:r>
      <w:r>
        <w:t>e</w:t>
      </w:r>
      <w:r>
        <w:t>claración bajo reserva de identidad de Miriam Raquel Sal</w:t>
      </w:r>
      <w:r>
        <w:t>i</w:t>
      </w:r>
      <w:r>
        <w:t xml:space="preserve">nas en dependencias de </w:t>
      </w:r>
      <w:smartTag w:uri="urn:schemas-microsoft-com:office:smarttags" w:element="PersonName">
        <w:smartTagPr>
          <w:attr w:name="ProductID" w:val="la Fiscal￭a Nacional"/>
        </w:smartTagPr>
        <w:r>
          <w:t>la Fiscalía Nacional</w:t>
        </w:r>
      </w:smartTag>
      <w:r>
        <w:t xml:space="preserve"> en lo Criminal y Correccional F</w:t>
      </w:r>
      <w:r>
        <w:t>e</w:t>
      </w:r>
      <w:r>
        <w:t>deral n° 9, con la participación del Dr. Galeano, s</w:t>
      </w:r>
      <w:r>
        <w:t>e</w:t>
      </w:r>
      <w:r>
        <w:t>cretarios y fiscales Mullen y Barbaccia; 12) se extraigan testimonios de las piezas de interés a fin de investigar los presuntos delitos de falsedad ideológica de instrumento público y encubrimiento, sin perjuicio de ve</w:t>
      </w:r>
      <w:r>
        <w:t>r</w:t>
      </w:r>
      <w:r>
        <w:t>se alcanzado por otras figuras contempladas en el Código Penal, respecto de José Carlos Bretsc</w:t>
      </w:r>
      <w:r>
        <w:t>h</w:t>
      </w:r>
      <w:r>
        <w:t xml:space="preserve">neider, por el acto </w:t>
      </w:r>
      <w:r>
        <w:lastRenderedPageBreak/>
        <w:t>administrativo que falsamente imputa a Burguete y a Bac</w:t>
      </w:r>
      <w:r>
        <w:t>i</w:t>
      </w:r>
      <w:r>
        <w:t>galupo, por no enviar las fichas dactiloscópicas de Tecc</w:t>
      </w:r>
      <w:r>
        <w:t>e</w:t>
      </w:r>
      <w:r>
        <w:t>din y por omitir investigar a Graciela Gómez y otros fu</w:t>
      </w:r>
      <w:r>
        <w:t>n</w:t>
      </w:r>
      <w:r>
        <w:t xml:space="preserve">cionarios de </w:t>
      </w:r>
      <w:smartTag w:uri="urn:schemas-microsoft-com:office:smarttags" w:element="PersonName">
        <w:smartTagPr>
          <w:attr w:name="ProductID" w:val="la Divisi￳n"/>
        </w:smartTagPr>
        <w:r>
          <w:t>la División</w:t>
        </w:r>
      </w:smartTag>
      <w:r>
        <w:t xml:space="preserve"> de Antecedentes de </w:t>
      </w:r>
      <w:smartTag w:uri="urn:schemas-microsoft-com:office:smarttags" w:element="PersonName">
        <w:smartTagPr>
          <w:attr w:name="ProductID" w:val="la Polic￭a Bonaerense"/>
        </w:smartTagPr>
        <w:r>
          <w:t>la Policía B</w:t>
        </w:r>
        <w:r>
          <w:t>o</w:t>
        </w:r>
        <w:r>
          <w:t>naerense</w:t>
        </w:r>
      </w:smartTag>
      <w:r>
        <w:t xml:space="preserve"> que no adjuntaron y ocultaron las fichas menci</w:t>
      </w:r>
      <w:r>
        <w:t>o</w:t>
      </w:r>
      <w:r>
        <w:t>nadas, todo ello en el marco del sumario administrativo n° 266.506/96; 13) se extraigan testimonios de la causa, a fin de investigar los delitos de falta a los deberes de funcionario público, privación ilegal de la libertad y coacción, sin perjuicio de verse alcanzado por otros tipos penales, respecto del comisario general Armando Antonio Calabró y los delitos de falta a los deberes de funcion</w:t>
      </w:r>
      <w:r>
        <w:t>a</w:t>
      </w:r>
      <w:r>
        <w:t>rio público, encubrimiento y omisión de d</w:t>
      </w:r>
      <w:r>
        <w:t>e</w:t>
      </w:r>
      <w:r>
        <w:t>nuncia respecto del Dr. Galeano y los fiscales Mullen y Barbaccia, por h</w:t>
      </w:r>
      <w:r>
        <w:t>a</w:t>
      </w:r>
      <w:r>
        <w:t>ber mantenido una actitud pasiva frente a los delitos c</w:t>
      </w:r>
      <w:r>
        <w:t>o</w:t>
      </w:r>
      <w:r>
        <w:t>metidos por Calabró al interrogar ilegalmente a Juan Ca</w:t>
      </w:r>
      <w:r>
        <w:t>r</w:t>
      </w:r>
      <w:r>
        <w:t>los Nicolau, Carmelo Juan Ionno y al hermano del imp</w:t>
      </w:r>
      <w:r>
        <w:t>u</w:t>
      </w:r>
      <w:r>
        <w:t>tado Ribelli; 14) se extraigan testimonios de las partes pert</w:t>
      </w:r>
      <w:r>
        <w:t>i</w:t>
      </w:r>
      <w:r>
        <w:t>nentes, a fin de investigar la coacción efectuada por el Dr. Galeano, los secretarios y los fiscales Mullen y Ba</w:t>
      </w:r>
      <w:r>
        <w:t>r</w:t>
      </w:r>
      <w:r>
        <w:lastRenderedPageBreak/>
        <w:t>baccia sobre el imputado Alejandro Burguete, que lo dete</w:t>
      </w:r>
      <w:r>
        <w:t>r</w:t>
      </w:r>
      <w:r>
        <w:t>minaron a ampliar su indagatoria en perjuicio de Juan José Ribelli, debiendo comprender dicha investigación la part</w:t>
      </w:r>
      <w:r>
        <w:t>i</w:t>
      </w:r>
      <w:r>
        <w:t>cipación que le cupo a la abogada Dra. Marta Nélida Para</w:t>
      </w:r>
      <w:r>
        <w:t>s</w:t>
      </w:r>
      <w:r>
        <w:t>cándolo; 15) se extraigan testimonios de las piezas de i</w:t>
      </w:r>
      <w:r>
        <w:t>n</w:t>
      </w:r>
      <w:r>
        <w:t>terés, a fin de investigar la coacción efectuada por el magistrado instructor, secretarios y fiscales Mullen y Barbaccia s</w:t>
      </w:r>
      <w:r>
        <w:t>o</w:t>
      </w:r>
      <w:r>
        <w:t>bre el imputado Bautista Alberto Huici, que lo determinaron a ampliar la indagatoria en perjuicio de R</w:t>
      </w:r>
      <w:r>
        <w:t>i</w:t>
      </w:r>
      <w:r>
        <w:t>belli, debiendo investigarse asimismo la part</w:t>
      </w:r>
      <w:r>
        <w:t>i</w:t>
      </w:r>
      <w:r>
        <w:t xml:space="preserve">cipación que le cupo a </w:t>
      </w:r>
      <w:smartTag w:uri="urn:schemas-microsoft-com:office:smarttags" w:element="PersonName">
        <w:smartTagPr>
          <w:attr w:name="ProductID" w:val="la Dra. Marta"/>
        </w:smartTagPr>
        <w:r>
          <w:t>la Dra. Marta</w:t>
        </w:r>
      </w:smartTag>
      <w:r>
        <w:t xml:space="preserve"> Nélida Parascándolo, al Dr. Fed</w:t>
      </w:r>
      <w:r>
        <w:t>e</w:t>
      </w:r>
      <w:r>
        <w:t>rico Guillermo Domínguez y al Dr. De Lazzari, actual M</w:t>
      </w:r>
      <w:r>
        <w:t>i</w:t>
      </w:r>
      <w:r>
        <w:t xml:space="preserve">nistro de </w:t>
      </w:r>
      <w:smartTag w:uri="urn:schemas-microsoft-com:office:smarttags" w:element="PersonName">
        <w:smartTagPr>
          <w:attr w:name="ProductID" w:val="la Suprema Corte"/>
        </w:smartTagPr>
        <w:r>
          <w:t>la Suprema Corte</w:t>
        </w:r>
      </w:smartTag>
      <w:r>
        <w:t xml:space="preserve"> de Justicia de </w:t>
      </w:r>
      <w:smartTag w:uri="urn:schemas-microsoft-com:office:smarttags" w:element="PersonName">
        <w:smartTagPr>
          <w:attr w:name="ProductID" w:val="la Provincia"/>
        </w:smartTagPr>
        <w:r>
          <w:t>la Provi</w:t>
        </w:r>
        <w:r>
          <w:t>n</w:t>
        </w:r>
        <w:r>
          <w:t>cia</w:t>
        </w:r>
      </w:smartTag>
      <w:r>
        <w:t xml:space="preserve"> de Buenos Aires; 16) se extraigan testimonios de la causa a fin de investigar la coacción efectuada sobre el imp</w:t>
      </w:r>
      <w:r>
        <w:t>u</w:t>
      </w:r>
      <w:r>
        <w:t xml:space="preserve">tado Diego Enrique Barreda, por parte de Luis Ernesto Vicat, con la participación de Aldo </w:t>
      </w:r>
      <w:r>
        <w:rPr>
          <w:lang w:val="es-ES_tradnl"/>
        </w:rPr>
        <w:t>Andrés</w:t>
      </w:r>
      <w:r>
        <w:t xml:space="preserve"> Spicacci Citarella</w:t>
      </w:r>
      <w:r>
        <w:rPr>
          <w:lang w:val="es-ES_tradnl"/>
        </w:rPr>
        <w:t xml:space="preserve"> </w:t>
      </w:r>
      <w:r>
        <w:t>y del comisario Miguel Ángel Márquez, tendientes a lograr una declaración c</w:t>
      </w:r>
      <w:r>
        <w:t>o</w:t>
      </w:r>
      <w:r>
        <w:t>ntra Ribelli a cambio de dinero, cambio de identidad y de trabajo en el exterior. Asimismo, deberá investigarse el encubr</w:t>
      </w:r>
      <w:r>
        <w:t>i</w:t>
      </w:r>
      <w:r>
        <w:t xml:space="preserve">miento de dicho accionar por parte </w:t>
      </w:r>
      <w:r>
        <w:lastRenderedPageBreak/>
        <w:t>del Dr. Juan José Gale</w:t>
      </w:r>
      <w:r>
        <w:t>a</w:t>
      </w:r>
      <w:r>
        <w:t>no, secretarios y fiscales Mullen y Barbaccia; 17) se extraigan testimonios de las partes pe</w:t>
      </w:r>
      <w:r>
        <w:t>r</w:t>
      </w:r>
      <w:r>
        <w:t>tinentes, a fin de investigar la coacción efectuada sobre el imputado Bautista Alberto Huici, por parte del comis</w:t>
      </w:r>
      <w:r>
        <w:t>a</w:t>
      </w:r>
      <w:r>
        <w:t>rio Luis Ernesto Vicat, con la participación de los abog</w:t>
      </w:r>
      <w:r>
        <w:t>a</w:t>
      </w:r>
      <w:r>
        <w:t>dos Claudio Gabriel Lupiano y Federico Guillermo Domí</w:t>
      </w:r>
      <w:r>
        <w:t>n</w:t>
      </w:r>
      <w:r>
        <w:t>guez, tendiente a lograr una declaración contra Ribelli a cambio de dinero y beneficios en la causa. Dicha invest</w:t>
      </w:r>
      <w:r>
        <w:t>i</w:t>
      </w:r>
      <w:r>
        <w:t>gación deberá alcanzar al Dr. Galeano, a los s</w:t>
      </w:r>
      <w:r>
        <w:t>e</w:t>
      </w:r>
      <w:r>
        <w:t>cretarios y a los fiscales Mullen y Barbaccia, por haber encubierto tal accionar; 18) se declare improcedente el pedido efe</w:t>
      </w:r>
      <w:r>
        <w:t>c</w:t>
      </w:r>
      <w:r>
        <w:t>tuado por el M</w:t>
      </w:r>
      <w:r>
        <w:t>i</w:t>
      </w:r>
      <w:r>
        <w:t>nisterio Público Fiscal en el punto 36) de su pet</w:t>
      </w:r>
      <w:r>
        <w:t>i</w:t>
      </w:r>
      <w:r>
        <w:t>torio, en función de que al declarar en este juicio Juan Carlos Nicolau dijo que no se sintió presionado; 19) se extraigan testimonios de las piezas de interés, a fin de investigar la comisión del delito de falso testimonio agravado por parte de Catalino José Humerez, debiendo a</w:t>
      </w:r>
      <w:r>
        <w:t>m</w:t>
      </w:r>
      <w:r>
        <w:t>pliarse la investigación respecto del Dr. Galeano, los s</w:t>
      </w:r>
      <w:r>
        <w:t>e</w:t>
      </w:r>
      <w:r>
        <w:t>cretarios y los fiscales Mullen y Barbaccia, por los del</w:t>
      </w:r>
      <w:r>
        <w:t>i</w:t>
      </w:r>
      <w:r>
        <w:t xml:space="preserve">tos de violación de los deberes de funcionario público, </w:t>
      </w:r>
      <w:r>
        <w:lastRenderedPageBreak/>
        <w:t>encubrimiento y ocultamiento de prueba, sin perjuicio de ser alcanzados por otras figuras penales, ya que valiénd</w:t>
      </w:r>
      <w:r>
        <w:t>o</w:t>
      </w:r>
      <w:r>
        <w:t>se del carácter secreto del legajo de ident</w:t>
      </w:r>
      <w:r>
        <w:t>i</w:t>
      </w:r>
      <w:r>
        <w:t>dad reservada, ocultaron las fechas exactas que c</w:t>
      </w:r>
      <w:r>
        <w:t>i</w:t>
      </w:r>
      <w:r>
        <w:t>taba el testigo Humerez al contar circunstancias de cómo había visto al imputado Juan José Ribelli el 10 y el 18 de julio de 1994, privá</w:t>
      </w:r>
      <w:r>
        <w:t>n</w:t>
      </w:r>
      <w:r>
        <w:t>dose a Ribelli de ejercer el der</w:t>
      </w:r>
      <w:r>
        <w:t>e</w:t>
      </w:r>
      <w:r>
        <w:t>cho de defensa oportuno; 20) se extraigan testim</w:t>
      </w:r>
      <w:r>
        <w:t>o</w:t>
      </w:r>
      <w:r>
        <w:t xml:space="preserve">nios de las partes pertinentes, a fin de investigar la coacción efectuada por </w:t>
      </w:r>
      <w:smartTag w:uri="urn:schemas-microsoft-com:office:smarttags" w:element="PersonName">
        <w:smartTagPr>
          <w:attr w:name="ProductID" w:val="la Dra. Marta"/>
        </w:smartTagPr>
        <w:r>
          <w:t>la Dra. Ma</w:t>
        </w:r>
        <w:r>
          <w:t>r</w:t>
        </w:r>
        <w:r>
          <w:t>ta</w:t>
        </w:r>
      </w:smartTag>
      <w:r>
        <w:t xml:space="preserve"> Nélida Parascándolo con la participación del secretario, Dr. Javier Ignacio De Gamas Soler, sobre la hermana y s</w:t>
      </w:r>
      <w:r>
        <w:t>e</w:t>
      </w:r>
      <w:r>
        <w:t>ñora del imputado Claudio Walter Araya, quienes firmaron el acta del 18 de octubre de 1996, imputando fa</w:t>
      </w:r>
      <w:r>
        <w:t>l</w:t>
      </w:r>
      <w:r>
        <w:t>samente a Juan José Ribelli con el fin de lograr el traslado de Ar</w:t>
      </w:r>
      <w:r>
        <w:t>a</w:t>
      </w:r>
      <w:r>
        <w:t xml:space="preserve">ya al Departamento Cuerpo Policía Montada de </w:t>
      </w:r>
      <w:smartTag w:uri="urn:schemas-microsoft-com:office:smarttags" w:element="PersonName">
        <w:smartTagPr>
          <w:attr w:name="ProductID" w:val="la Polic￭a Federal"/>
        </w:smartTagPr>
        <w:r>
          <w:t>la Policía Federal</w:t>
        </w:r>
      </w:smartTag>
      <w:r>
        <w:t>; 21) se extraigan testimonios de las piezas de i</w:t>
      </w:r>
      <w:r>
        <w:t>n</w:t>
      </w:r>
      <w:r>
        <w:t>terés, a fin de investigar el del</w:t>
      </w:r>
      <w:r>
        <w:t>i</w:t>
      </w:r>
      <w:r>
        <w:t>to de coacción por parte del Dr. Juan José Galeano y su secretario, el Dr. Javier Ignacio De Gamas Soler, por las presiones eje</w:t>
      </w:r>
      <w:r>
        <w:t>r</w:t>
      </w:r>
      <w:r>
        <w:t>cidas sobre Juan Carlos Nicolau que lo determinaron a declarar en pe</w:t>
      </w:r>
      <w:r>
        <w:t>r</w:t>
      </w:r>
      <w:r>
        <w:t>juicio del imputado Ribelli; 22) se e</w:t>
      </w:r>
      <w:r>
        <w:t>x</w:t>
      </w:r>
      <w:r>
        <w:t xml:space="preserve">traigan testimonios </w:t>
      </w:r>
      <w:r>
        <w:lastRenderedPageBreak/>
        <w:t>de la causa, y se remitan al juzg</w:t>
      </w:r>
      <w:r>
        <w:t>a</w:t>
      </w:r>
      <w:r>
        <w:t>do n° 6 del fuero, para evitar que el Dr. Canicoba Corral siga incurriendo en el desvío de investigación originado por un informe falso del D.U.I.A., obrante a fs. 58.891 y 58.896, que atrib</w:t>
      </w:r>
      <w:r>
        <w:t>u</w:t>
      </w:r>
      <w:r>
        <w:t>ye como titular de un teléfono a la firma “Anse</w:t>
      </w:r>
      <w:r>
        <w:t>l</w:t>
      </w:r>
      <w:r>
        <w:t>mo Internacional” al año 1994, cuando quedó pr</w:t>
      </w:r>
      <w:r>
        <w:t>o</w:t>
      </w:r>
      <w:r>
        <w:t xml:space="preserve">bado en el debate que era de la firma “Apartur”; como así también se remitan copias a </w:t>
      </w:r>
      <w:smartTag w:uri="urn:schemas-microsoft-com:office:smarttags" w:element="PersonName">
        <w:smartTagPr>
          <w:attr w:name="ProductID" w:val="la C￡mara Nacional"/>
        </w:smartTagPr>
        <w:r>
          <w:t>la Cámara Nacional</w:t>
        </w:r>
      </w:smartTag>
      <w:r>
        <w:t xml:space="preserve"> de Apelaciones en lo Criminal y Corre</w:t>
      </w:r>
      <w:r>
        <w:t>c</w:t>
      </w:r>
      <w:r>
        <w:t>cional Federal para que desinsacule el juzgado que deberá intervenir en la investigación de dicha falsedad y del desvío cometidos por el comisario Jorge Alberto Palacios y por todo otro funcionario que surja de la investigación; 23) se extraigan testimonios de las partes de interés, a fin de investigar la comisión del delito de falso testim</w:t>
      </w:r>
      <w:r>
        <w:t>o</w:t>
      </w:r>
      <w:r>
        <w:t>nio agravado en perjuicio de Juan José Ribelli por parte de Rubén Ezra Beraja, por la d</w:t>
      </w:r>
      <w:r>
        <w:t>e</w:t>
      </w:r>
      <w:r>
        <w:t>claración prestada ante el Dr. Cavallo a fs. 168 de la causa n° 3150 del registro del Juzgado Nacional en lo Criminal y Correcci</w:t>
      </w:r>
      <w:r>
        <w:t>o</w:t>
      </w:r>
      <w:r>
        <w:t>nal Federal n° 4 y por la prestada en estos estrados, ya que en dichas declaraciones no efectuó ninguna referencia al conocimie</w:t>
      </w:r>
      <w:r>
        <w:t>n</w:t>
      </w:r>
      <w:r>
        <w:lastRenderedPageBreak/>
        <w:t>to que tenía sobre el pago a Carlos Alberto Telleldín; por el contrario, dicha circunstancia fue negada; 24) se e</w:t>
      </w:r>
      <w:r>
        <w:t>x</w:t>
      </w:r>
      <w:r>
        <w:t>traigan testimonios de la causa, a fin de investigar el delito de falso testimonio agravado que habría cometido Víctor Stinfale al declarar ante el Dr. Cavallo a fs. 164/166 de la causa n° 3150 del juzgado nº 4 del fuero y por su testimonial prestada ante el Dr. Bonadío en la ca</w:t>
      </w:r>
      <w:r>
        <w:t>u</w:t>
      </w:r>
      <w:r>
        <w:t>sa n° 9789/00, por los mismos fundamentos que los esgrim</w:t>
      </w:r>
      <w:r>
        <w:t>i</w:t>
      </w:r>
      <w:r>
        <w:t>dos en el pedido re</w:t>
      </w:r>
      <w:r>
        <w:t>s</w:t>
      </w:r>
      <w:r>
        <w:t>pecto del Dr. Beraja; 25) se extraigan testimonios de las piezas de interés, a fin de investigar la comisión del delito de falso testimonio agravado por parte de Carlos Alberto Telleldín, por su declaración te</w:t>
      </w:r>
      <w:r>
        <w:t>s</w:t>
      </w:r>
      <w:r>
        <w:t>timonial prestada a</w:t>
      </w:r>
      <w:r>
        <w:t>n</w:t>
      </w:r>
      <w:r>
        <w:t>te el Dr. Cavallo a fs. 174/175 de la causa n° 3150 del registro del Juzgado Nacional en lo Cr</w:t>
      </w:r>
      <w:r>
        <w:t>i</w:t>
      </w:r>
      <w:r>
        <w:t>minal y Correccional Federal n° 4; 26) se extraigan test</w:t>
      </w:r>
      <w:r>
        <w:t>i</w:t>
      </w:r>
      <w:r>
        <w:t>monios de las partes pertinentes, a fin de investigar el delito de falso te</w:t>
      </w:r>
      <w:r>
        <w:t>s</w:t>
      </w:r>
      <w:r>
        <w:t>timonio agravado que habría cometido el Dr. Carlos Alfredo Velasco al pre</w:t>
      </w:r>
      <w:r>
        <w:t>s</w:t>
      </w:r>
      <w:r>
        <w:t>tar declaración en este debate, ya que en ella negó todo conocimiento del pago efectuado a Carlos Alberto Telleldín, lo cual recae en perjuicio de Juan José Ribelli; 27) se extraigan testim</w:t>
      </w:r>
      <w:r>
        <w:t>o</w:t>
      </w:r>
      <w:r>
        <w:lastRenderedPageBreak/>
        <w:t>nios de la causa, a fin de investigar la comisión del d</w:t>
      </w:r>
      <w:r>
        <w:t>e</w:t>
      </w:r>
      <w:r>
        <w:t>lito de instig</w:t>
      </w:r>
      <w:r>
        <w:t>a</w:t>
      </w:r>
      <w:r>
        <w:t>ción al falso testimonio agravado por parte de los Dres. Juan José Galeano y Javier Ignacio De Gamas Soler, por los dichos vertidos por Carlos Alberto Telle</w:t>
      </w:r>
      <w:r>
        <w:t>l</w:t>
      </w:r>
      <w:r>
        <w:t>dín y Víctor Stinfale; 28) se extraigan test</w:t>
      </w:r>
      <w:r>
        <w:t>i</w:t>
      </w:r>
      <w:r>
        <w:t>monios de las partes de interés a fin de investigar la comisión del d</w:t>
      </w:r>
      <w:r>
        <w:t>e</w:t>
      </w:r>
      <w:r>
        <w:t>lito de malversación de caudales públicos por parte de Carlos Saúl Menem, Hugo Alfr</w:t>
      </w:r>
      <w:r>
        <w:t>e</w:t>
      </w:r>
      <w:r>
        <w:t>do Anzorreguy, Carlos Corach, Patricio Finnen, Alejandro Brousson y Juan José Galeano por el pago efectuado a Telleldín y del encubrimiento de dicho delito por parte de  los fiscales Eamon Mullen y J</w:t>
      </w:r>
      <w:r>
        <w:t>o</w:t>
      </w:r>
      <w:r>
        <w:t>sé Barbaccia; 29) se extraigan testimonios de las partes pertinentes, a fin de investigar el delito de falso test</w:t>
      </w:r>
      <w:r>
        <w:t>i</w:t>
      </w:r>
      <w:r>
        <w:t>monio que habrían cometido Alejandro Brousson, Patricio Finnen, Luis Gonz</w:t>
      </w:r>
      <w:r>
        <w:t>á</w:t>
      </w:r>
      <w:r>
        <w:t>lez y Héctor Salvador Maiolo, por haber negado el pago efectuado al imputado Telleldín en sus d</w:t>
      </w:r>
      <w:r>
        <w:t>e</w:t>
      </w:r>
      <w:r>
        <w:t>claraciones prestadas en el sumario adm</w:t>
      </w:r>
      <w:r>
        <w:t>i</w:t>
      </w:r>
      <w:r>
        <w:t xml:space="preserve">nistrativo llevado adelante por </w:t>
      </w:r>
      <w:smartTag w:uri="urn:schemas-microsoft-com:office:smarttags" w:element="PersonName">
        <w:smartTagPr>
          <w:attr w:name="ProductID" w:val="la S.I"/>
        </w:smartTagPr>
        <w:r>
          <w:t>la S.I</w:t>
        </w:r>
      </w:smartTag>
      <w:r>
        <w:t>.D.E.; 30) se extraigan testimonios de la causa, a fin de investigar la comisión del delito de privación ilegítima de la libertad por parte de los age</w:t>
      </w:r>
      <w:r>
        <w:t>n</w:t>
      </w:r>
      <w:r>
        <w:lastRenderedPageBreak/>
        <w:t xml:space="preserve">tes de </w:t>
      </w:r>
      <w:smartTag w:uri="urn:schemas-microsoft-com:office:smarttags" w:element="PersonName">
        <w:smartTagPr>
          <w:attr w:name="ProductID" w:val="la S.I"/>
        </w:smartTagPr>
        <w:r>
          <w:t>la S.I</w:t>
        </w:r>
      </w:smartTag>
      <w:r>
        <w:t>.D.E. respecto de la ciudadana iraní Nasrim Mokhtari, tal como surgió del relato de Luis González; 31) se extraigan testimonios de las partes pertinentes, a fin de investigar los delitos de viol</w:t>
      </w:r>
      <w:r>
        <w:t>a</w:t>
      </w:r>
      <w:r>
        <w:t>ción e incumplimiento de los deberes de funcionario p</w:t>
      </w:r>
      <w:r>
        <w:t>ú</w:t>
      </w:r>
      <w:r>
        <w:t>blico que habría cometido el ex jefe de policía, comisario Adolfo Hugo Vitelli por i</w:t>
      </w:r>
      <w:r>
        <w:t>n</w:t>
      </w:r>
      <w:r>
        <w:t>dicación de los Dres. Federico Guillermo Domínguez y Eduardo Néstor De Lazzari, tendiente a favorecer al imp</w:t>
      </w:r>
      <w:r>
        <w:t>u</w:t>
      </w:r>
      <w:r>
        <w:t>tado Burguete y exonerar, entre otros, a Juan José Rib</w:t>
      </w:r>
      <w:r>
        <w:t>e</w:t>
      </w:r>
      <w:r>
        <w:t>lli; 32) se extraigan testimonios de las partes de int</w:t>
      </w:r>
      <w:r>
        <w:t>e</w:t>
      </w:r>
      <w:r>
        <w:t>rés, a fin de investigar el delito de encubrimiento e i</w:t>
      </w:r>
      <w:r>
        <w:t>n</w:t>
      </w:r>
      <w:r>
        <w:t>fracción del art. 274 del Código Penal por parte de los fiscales Mullen y Barbaccia por haber omitido denunciar los elementos existentes en las escuchas telefónicas de los abonados de Ana María Boragni, habiéndose probado en el debate que el pago a Telleldín existió; 33) se extra</w:t>
      </w:r>
      <w:r>
        <w:t>i</w:t>
      </w:r>
      <w:r>
        <w:t>gan testimonios del legajo n° 308 y de la declaración te</w:t>
      </w:r>
      <w:r>
        <w:t>s</w:t>
      </w:r>
      <w:r>
        <w:t>timonial brindada ante este tribunal por el Dr. Marcelo Eduardo García, a fin de ser remitidos al Colegio P</w:t>
      </w:r>
      <w:r>
        <w:t>ú</w:t>
      </w:r>
      <w:r>
        <w:t xml:space="preserve">blico de Abogados de </w:t>
      </w:r>
      <w:smartTag w:uri="urn:schemas-microsoft-com:office:smarttags" w:element="PersonName">
        <w:smartTagPr>
          <w:attr w:name="ProductID" w:val="la Ciudad Aut￳noma"/>
        </w:smartTagPr>
        <w:r>
          <w:t>la Ciudad Autónoma</w:t>
        </w:r>
      </w:smartTag>
      <w:r>
        <w:t xml:space="preserve"> de Buenos Aires con el objeto de que se investigue ante el Tribunal de Ética c</w:t>
      </w:r>
      <w:r>
        <w:t>o</w:t>
      </w:r>
      <w:r>
        <w:lastRenderedPageBreak/>
        <w:t>rrespondiente la conducta desarrollada por los abogados Marta Elsa Nercellas y Roberto Zaidemberg; 34) se extra</w:t>
      </w:r>
      <w:r>
        <w:t>i</w:t>
      </w:r>
      <w:r>
        <w:t>gan testimonios de las piezas de interés, a fin de ser r</w:t>
      </w:r>
      <w:r>
        <w:t>e</w:t>
      </w:r>
      <w:r>
        <w:t xml:space="preserve">mitidos al Colegio Público de Abogados de </w:t>
      </w:r>
      <w:smartTag w:uri="urn:schemas-microsoft-com:office:smarttags" w:element="PersonName">
        <w:smartTagPr>
          <w:attr w:name="ProductID" w:val="la Ciudad Aut￳noma"/>
        </w:smartTagPr>
        <w:r>
          <w:t>la Ciudad Aut</w:t>
        </w:r>
        <w:r>
          <w:t>ó</w:t>
        </w:r>
        <w:r>
          <w:t>noma</w:t>
        </w:r>
      </w:smartTag>
      <w:r>
        <w:t xml:space="preserve"> de Buenos Aires, para que se investigue ante el Tr</w:t>
      </w:r>
      <w:r>
        <w:t>i</w:t>
      </w:r>
      <w:r>
        <w:t>bunal de Ética correspondiente la conducta desarrollada por los abogados Marta Nélida Parascándolo, Federico Gu</w:t>
      </w:r>
      <w:r>
        <w:t>i</w:t>
      </w:r>
      <w:r>
        <w:t>llermo Domínguez y Claudio Gabriel Lupiano, en torno a la forma en que se obtuvieron las decl</w:t>
      </w:r>
      <w:r>
        <w:t>a</w:t>
      </w:r>
      <w:r>
        <w:t>raciones indagatorias de Burguete y Huici; 35) se solicite el jury de enjuici</w:t>
      </w:r>
      <w:r>
        <w:t>a</w:t>
      </w:r>
      <w:r>
        <w:t>miento para los fiscales José Barbaccia y Eamon Mullen, por los motivos expuestos en los distintos pedidos de i</w:t>
      </w:r>
      <w:r>
        <w:t>n</w:t>
      </w:r>
      <w:r>
        <w:t>vestigación de ilíc</w:t>
      </w:r>
      <w:r>
        <w:t>i</w:t>
      </w:r>
      <w:r>
        <w:t>tos sobre los nombrados, efectuados en los puntos pr</w:t>
      </w:r>
      <w:r>
        <w:t>e</w:t>
      </w:r>
      <w:r>
        <w:t xml:space="preserve">cedentes; 36) se remita copia certificada de este alegato al Consejo de </w:t>
      </w:r>
      <w:smartTag w:uri="urn:schemas-microsoft-com:office:smarttags" w:element="PersonName">
        <w:smartTagPr>
          <w:attr w:name="ProductID" w:val="la Magistratura"/>
        </w:smartTagPr>
        <w:r>
          <w:t>la Magistratura</w:t>
        </w:r>
      </w:smartTag>
      <w:r>
        <w:t>, a fin de ser agregado a los antecedentes allí obrantes relativos a la postulación como juez federal del Dr. Barbaccia, sin pe</w:t>
      </w:r>
      <w:r>
        <w:t>r</w:t>
      </w:r>
      <w:r>
        <w:t>juicio de solicitar que se remita luego copia de la se</w:t>
      </w:r>
      <w:r>
        <w:t>n</w:t>
      </w:r>
      <w:r>
        <w:t xml:space="preserve">tencia que dicte el Tribunal; </w:t>
      </w:r>
      <w:r>
        <w:rPr>
          <w:lang w:val="es-ES_tradnl"/>
        </w:rPr>
        <w:t>37) se extraigan te</w:t>
      </w:r>
      <w:r>
        <w:rPr>
          <w:lang w:val="es-ES_tradnl"/>
        </w:rPr>
        <w:t>s</w:t>
      </w:r>
      <w:r>
        <w:rPr>
          <w:lang w:val="es-ES_tradnl"/>
        </w:rPr>
        <w:t xml:space="preserve">timonios a fin de presentar ante el Consejo de </w:t>
      </w:r>
      <w:smartTag w:uri="urn:schemas-microsoft-com:office:smarttags" w:element="PersonName">
        <w:smartTagPr>
          <w:attr w:name="ProductID" w:val="la Magistratura"/>
        </w:smartTagPr>
        <w:r>
          <w:rPr>
            <w:lang w:val="es-ES_tradnl"/>
          </w:rPr>
          <w:t>la Magistratura</w:t>
        </w:r>
      </w:smartTag>
      <w:r>
        <w:rPr>
          <w:lang w:val="es-ES_tradnl"/>
        </w:rPr>
        <w:t xml:space="preserve"> el </w:t>
      </w:r>
      <w:r>
        <w:rPr>
          <w:lang w:val="es-ES_tradnl"/>
        </w:rPr>
        <w:lastRenderedPageBreak/>
        <w:t>pedido de juicio político respecto del Dr. Norberto Oya</w:t>
      </w:r>
      <w:r>
        <w:rPr>
          <w:lang w:val="es-ES_tradnl"/>
        </w:rPr>
        <w:t>r</w:t>
      </w:r>
      <w:r>
        <w:rPr>
          <w:lang w:val="es-ES_tradnl"/>
        </w:rPr>
        <w:t xml:space="preserve">bide; 38) se remita copia certificada del alegato de esa defensa al Consejo de </w:t>
      </w:r>
      <w:smartTag w:uri="urn:schemas-microsoft-com:office:smarttags" w:element="PersonName">
        <w:smartTagPr>
          <w:attr w:name="ProductID" w:val="la Magistratura"/>
        </w:smartTagPr>
        <w:r>
          <w:rPr>
            <w:lang w:val="es-ES_tradnl"/>
          </w:rPr>
          <w:t>la Magistrat</w:t>
        </w:r>
        <w:r>
          <w:rPr>
            <w:lang w:val="es-ES_tradnl"/>
          </w:rPr>
          <w:t>u</w:t>
        </w:r>
        <w:r>
          <w:rPr>
            <w:lang w:val="es-ES_tradnl"/>
          </w:rPr>
          <w:t>ra</w:t>
        </w:r>
      </w:smartTag>
      <w:r>
        <w:rPr>
          <w:lang w:val="es-ES_tradnl"/>
        </w:rPr>
        <w:t xml:space="preserve"> para ser agregado al expediente de pedido de juicio político respecto del Dr. Juan José Galeano que allí se encuentra en trámite; sin perjuicio de solicitar que oportunamente se remita copia de la sentencia; 39) se impongan las co</w:t>
      </w:r>
      <w:r>
        <w:rPr>
          <w:lang w:val="es-ES_tradnl"/>
        </w:rPr>
        <w:t>s</w:t>
      </w:r>
      <w:r>
        <w:rPr>
          <w:lang w:val="es-ES_tradnl"/>
        </w:rPr>
        <w:t>tas del proceso a la querella unificada D.A.I.A., A.M.I.A. y “Grupo de Fam</w:t>
      </w:r>
      <w:r>
        <w:rPr>
          <w:lang w:val="es-ES_tradnl"/>
        </w:rPr>
        <w:t>i</w:t>
      </w:r>
      <w:r>
        <w:rPr>
          <w:lang w:val="es-ES_tradnl"/>
        </w:rPr>
        <w:t>liares”, en caso de resultar vencida, en virtud del con</w:t>
      </w:r>
      <w:r>
        <w:rPr>
          <w:lang w:val="es-ES_tradnl"/>
        </w:rPr>
        <w:t>o</w:t>
      </w:r>
      <w:r>
        <w:rPr>
          <w:lang w:val="es-ES_tradnl"/>
        </w:rPr>
        <w:t>cimiento y participación que tuvo en las maniobras ilíc</w:t>
      </w:r>
      <w:r>
        <w:rPr>
          <w:lang w:val="es-ES_tradnl"/>
        </w:rPr>
        <w:t>i</w:t>
      </w:r>
      <w:r>
        <w:rPr>
          <w:lang w:val="es-ES_tradnl"/>
        </w:rPr>
        <w:t>tas desplegadas por el juez instructor; y 40) hacer rese</w:t>
      </w:r>
      <w:r>
        <w:rPr>
          <w:lang w:val="es-ES_tradnl"/>
        </w:rPr>
        <w:t>r</w:t>
      </w:r>
      <w:r>
        <w:rPr>
          <w:lang w:val="es-ES_tradnl"/>
        </w:rPr>
        <w:t>va de recurrir en casación, del caso federal y de acudir ante los organismos internacionales en caso que la sente</w:t>
      </w:r>
      <w:r>
        <w:rPr>
          <w:lang w:val="es-ES_tradnl"/>
        </w:rPr>
        <w:t>n</w:t>
      </w:r>
      <w:r>
        <w:rPr>
          <w:lang w:val="es-ES_tradnl"/>
        </w:rPr>
        <w:t>cia sea adversa a lo solicit</w:t>
      </w:r>
      <w:r>
        <w:rPr>
          <w:lang w:val="es-ES_tradnl"/>
        </w:rPr>
        <w:t>a</w:t>
      </w:r>
      <w:r>
        <w:rPr>
          <w:lang w:val="es-ES_tradnl"/>
        </w:rPr>
        <w:t>do por esa defensa.</w:t>
      </w:r>
    </w:p>
    <w:p w:rsidR="00224567" w:rsidRDefault="00224567">
      <w:pPr>
        <w:widowControl w:val="0"/>
        <w:ind w:firstLine="2835"/>
        <w:rPr>
          <w:lang w:val="es-ES_tradnl"/>
        </w:rPr>
      </w:pPr>
      <w:r>
        <w:rPr>
          <w:lang w:val="es-ES_tradnl"/>
        </w:rPr>
        <w:t>Las consideraciones efectuadas por la defensa respecto de la causa nº 496/00, serán tratadas en el título II de la presente.</w:t>
      </w:r>
    </w:p>
    <w:p w:rsidR="00224567" w:rsidRDefault="00224567">
      <w:pPr>
        <w:widowControl w:val="0"/>
        <w:ind w:firstLine="2835"/>
        <w:rPr>
          <w:lang w:val="es-ES_tradnl"/>
        </w:rPr>
      </w:pPr>
    </w:p>
    <w:p w:rsidR="00224567" w:rsidRDefault="00224567">
      <w:pPr>
        <w:widowControl w:val="0"/>
        <w:tabs>
          <w:tab w:val="left" w:pos="2835"/>
        </w:tabs>
        <w:rPr>
          <w:bCs/>
        </w:rPr>
      </w:pPr>
      <w:r>
        <w:rPr>
          <w:b/>
          <w:bCs/>
          <w:lang w:val="es-ES_tradnl"/>
        </w:rPr>
        <w:tab/>
        <w:t>C.3)</w:t>
      </w:r>
      <w:r>
        <w:rPr>
          <w:lang w:val="es-ES_tradnl"/>
        </w:rPr>
        <w:t xml:space="preserve"> </w:t>
      </w:r>
      <w:r>
        <w:rPr>
          <w:bCs/>
        </w:rPr>
        <w:t>El defensor público oficial, Dr. Víctor Enrique Valle, inició su alegato ref</w:t>
      </w:r>
      <w:r>
        <w:rPr>
          <w:bCs/>
        </w:rPr>
        <w:t>i</w:t>
      </w:r>
      <w:r>
        <w:rPr>
          <w:bCs/>
        </w:rPr>
        <w:t>riéndose a la actuación del titular del Juzgado N</w:t>
      </w:r>
      <w:r>
        <w:rPr>
          <w:bCs/>
        </w:rPr>
        <w:t>a</w:t>
      </w:r>
      <w:r>
        <w:rPr>
          <w:bCs/>
        </w:rPr>
        <w:t xml:space="preserve">cional en lo Criminal </w:t>
      </w:r>
      <w:r>
        <w:rPr>
          <w:bCs/>
        </w:rPr>
        <w:lastRenderedPageBreak/>
        <w:t>y Correccional Federal nº9; así, sostuvo que los terribles desatinos de esta causa obedecen a la i</w:t>
      </w:r>
      <w:r>
        <w:rPr>
          <w:bCs/>
        </w:rPr>
        <w:t>n</w:t>
      </w:r>
      <w:r>
        <w:rPr>
          <w:bCs/>
        </w:rPr>
        <w:t>conducta moral y a la falta de idoneidad té</w:t>
      </w:r>
      <w:r>
        <w:rPr>
          <w:bCs/>
        </w:rPr>
        <w:t>c</w:t>
      </w:r>
      <w:r>
        <w:rPr>
          <w:bCs/>
        </w:rPr>
        <w:t>nica del juez, las que, a juicio del abogado, “entran de lleno en el campo del derecho p</w:t>
      </w:r>
      <w:r>
        <w:rPr>
          <w:bCs/>
        </w:rPr>
        <w:t>e</w:t>
      </w:r>
      <w:r>
        <w:rPr>
          <w:bCs/>
        </w:rPr>
        <w:t>nal”.</w:t>
      </w:r>
    </w:p>
    <w:p w:rsidR="00224567" w:rsidRDefault="00224567">
      <w:pPr>
        <w:widowControl w:val="0"/>
        <w:tabs>
          <w:tab w:val="left" w:pos="2835"/>
        </w:tabs>
        <w:rPr>
          <w:bCs/>
        </w:rPr>
      </w:pPr>
      <w:r>
        <w:rPr>
          <w:bCs/>
        </w:rPr>
        <w:tab/>
        <w:t>Señaló que se pergeño una mani</w:t>
      </w:r>
      <w:r>
        <w:rPr>
          <w:bCs/>
        </w:rPr>
        <w:t>o</w:t>
      </w:r>
      <w:r>
        <w:rPr>
          <w:bCs/>
        </w:rPr>
        <w:t xml:space="preserve">bra con la intervención </w:t>
      </w:r>
      <w:smartTag w:uri="urn:schemas-microsoft-com:office:smarttags" w:element="PersonName">
        <w:smartTagPr>
          <w:attr w:name="ProductID" w:val="la Dra. Riva"/>
        </w:smartTagPr>
        <w:r>
          <w:rPr>
            <w:bCs/>
          </w:rPr>
          <w:t>la Dra. Riva</w:t>
        </w:r>
      </w:smartTag>
      <w:r>
        <w:rPr>
          <w:bCs/>
        </w:rPr>
        <w:t xml:space="preserve"> Aramayo, integrante de </w:t>
      </w:r>
      <w:smartTag w:uri="urn:schemas-microsoft-com:office:smarttags" w:element="PersonName">
        <w:smartTagPr>
          <w:attr w:name="ProductID" w:val="la C￡mara Federal"/>
        </w:smartTagPr>
        <w:r>
          <w:rPr>
            <w:bCs/>
          </w:rPr>
          <w:t>la C</w:t>
        </w:r>
        <w:r>
          <w:rPr>
            <w:bCs/>
          </w:rPr>
          <w:t>á</w:t>
        </w:r>
        <w:r>
          <w:rPr>
            <w:bCs/>
          </w:rPr>
          <w:t>mara Federal</w:t>
        </w:r>
      </w:smartTag>
      <w:r>
        <w:rPr>
          <w:bCs/>
        </w:rPr>
        <w:t>, que, a criterio de esa defensa, no comenzó el 5 de julio de 1996.</w:t>
      </w:r>
    </w:p>
    <w:p w:rsidR="00224567" w:rsidRDefault="00224567">
      <w:pPr>
        <w:widowControl w:val="0"/>
        <w:tabs>
          <w:tab w:val="left" w:pos="2835"/>
        </w:tabs>
        <w:rPr>
          <w:bCs/>
        </w:rPr>
      </w:pPr>
      <w:r>
        <w:rPr>
          <w:bCs/>
        </w:rPr>
        <w:tab/>
        <w:t>Sostuvo que no fue una camioneta Tr</w:t>
      </w:r>
      <w:r>
        <w:rPr>
          <w:bCs/>
        </w:rPr>
        <w:t>a</w:t>
      </w:r>
      <w:r>
        <w:rPr>
          <w:bCs/>
        </w:rPr>
        <w:t>fic con motor nº 2.831.467 el contenedor del explosivo utilizado para perpetrar la voladura de la sede de Pa</w:t>
      </w:r>
      <w:r>
        <w:rPr>
          <w:bCs/>
        </w:rPr>
        <w:t>s</w:t>
      </w:r>
      <w:r>
        <w:rPr>
          <w:bCs/>
        </w:rPr>
        <w:t>teur 633 y, por ello, solicitó la libre absolución de Ibarra por el hecho pri</w:t>
      </w:r>
      <w:r>
        <w:rPr>
          <w:bCs/>
        </w:rPr>
        <w:t>n</w:t>
      </w:r>
      <w:r>
        <w:rPr>
          <w:bCs/>
        </w:rPr>
        <w:t>cipal por el que viene acusado.</w:t>
      </w:r>
    </w:p>
    <w:p w:rsidR="00224567" w:rsidRDefault="00224567">
      <w:pPr>
        <w:widowControl w:val="0"/>
        <w:tabs>
          <w:tab w:val="left" w:pos="2835"/>
        </w:tabs>
        <w:rPr>
          <w:bCs/>
        </w:rPr>
      </w:pPr>
      <w:r>
        <w:rPr>
          <w:bCs/>
        </w:rPr>
        <w:tab/>
        <w:t>Calificó como inconcebible que el juez instructor no haya convocado a declarar a todas las pers</w:t>
      </w:r>
      <w:r>
        <w:rPr>
          <w:bCs/>
        </w:rPr>
        <w:t>o</w:t>
      </w:r>
      <w:r>
        <w:rPr>
          <w:bCs/>
        </w:rPr>
        <w:t>nas que se encontraban en el lugar el día del hecho, máx</w:t>
      </w:r>
      <w:r>
        <w:rPr>
          <w:bCs/>
        </w:rPr>
        <w:t>i</w:t>
      </w:r>
      <w:r>
        <w:rPr>
          <w:bCs/>
        </w:rPr>
        <w:t>me cuando en su mayoría sus nombres surgían del expedie</w:t>
      </w:r>
      <w:r>
        <w:rPr>
          <w:bCs/>
        </w:rPr>
        <w:t>n</w:t>
      </w:r>
      <w:r>
        <w:rPr>
          <w:bCs/>
        </w:rPr>
        <w:t>te y ellas eran quienes podían haber visto la camioneta e</w:t>
      </w:r>
      <w:r>
        <w:rPr>
          <w:bCs/>
        </w:rPr>
        <w:t>s</w:t>
      </w:r>
      <w:r>
        <w:rPr>
          <w:bCs/>
        </w:rPr>
        <w:t xml:space="preserve">trellándose contra la puerta de </w:t>
      </w:r>
      <w:smartTag w:uri="urn:schemas-microsoft-com:office:smarttags" w:element="PersonName">
        <w:smartTagPr>
          <w:attr w:name="ProductID" w:val="la A.M"/>
        </w:smartTagPr>
        <w:r>
          <w:rPr>
            <w:bCs/>
          </w:rPr>
          <w:t>la A.M</w:t>
        </w:r>
      </w:smartTag>
      <w:r>
        <w:rPr>
          <w:bCs/>
        </w:rPr>
        <w:t>.I.A. o aportar i</w:t>
      </w:r>
      <w:r>
        <w:rPr>
          <w:bCs/>
        </w:rPr>
        <w:t>n</w:t>
      </w:r>
      <w:r>
        <w:rPr>
          <w:bCs/>
        </w:rPr>
        <w:lastRenderedPageBreak/>
        <w:t>formación útil para la investig</w:t>
      </w:r>
      <w:r>
        <w:rPr>
          <w:bCs/>
        </w:rPr>
        <w:t>a</w:t>
      </w:r>
      <w:r>
        <w:rPr>
          <w:bCs/>
        </w:rPr>
        <w:t>ción; entendiendo que esa omisión const</w:t>
      </w:r>
      <w:r>
        <w:rPr>
          <w:bCs/>
        </w:rPr>
        <w:t>i</w:t>
      </w:r>
      <w:r>
        <w:rPr>
          <w:bCs/>
        </w:rPr>
        <w:t>tuye una falta gravísima en la instrucción, que fue rem</w:t>
      </w:r>
      <w:r>
        <w:rPr>
          <w:bCs/>
        </w:rPr>
        <w:t>e</w:t>
      </w:r>
      <w:r>
        <w:rPr>
          <w:bCs/>
        </w:rPr>
        <w:t>diada en la audiencia.</w:t>
      </w:r>
    </w:p>
    <w:p w:rsidR="00224567" w:rsidRDefault="00224567">
      <w:pPr>
        <w:widowControl w:val="0"/>
        <w:tabs>
          <w:tab w:val="left" w:pos="2835"/>
        </w:tabs>
        <w:rPr>
          <w:bCs/>
        </w:rPr>
      </w:pPr>
      <w:r>
        <w:rPr>
          <w:bCs/>
        </w:rPr>
        <w:tab/>
        <w:t>Manifestó que ninguno vio la s</w:t>
      </w:r>
      <w:r>
        <w:rPr>
          <w:bCs/>
        </w:rPr>
        <w:t>u</w:t>
      </w:r>
      <w:r>
        <w:rPr>
          <w:bCs/>
        </w:rPr>
        <w:t>puesta camioneta Trafic pese a que, a su criterio, las caract</w:t>
      </w:r>
      <w:r>
        <w:rPr>
          <w:bCs/>
        </w:rPr>
        <w:t>e</w:t>
      </w:r>
      <w:r>
        <w:rPr>
          <w:bCs/>
        </w:rPr>
        <w:t>rísticas de la cuadra, el horario, las condiciones clim</w:t>
      </w:r>
      <w:r>
        <w:rPr>
          <w:bCs/>
        </w:rPr>
        <w:t>á</w:t>
      </w:r>
      <w:r>
        <w:rPr>
          <w:bCs/>
        </w:rPr>
        <w:t>ticas, el tránsito y la afluencia de personas, en nada m</w:t>
      </w:r>
      <w:r>
        <w:rPr>
          <w:bCs/>
        </w:rPr>
        <w:t>o</w:t>
      </w:r>
      <w:r>
        <w:rPr>
          <w:bCs/>
        </w:rPr>
        <w:t>rigeraba la posibilidad de avistarla.</w:t>
      </w:r>
    </w:p>
    <w:p w:rsidR="00224567" w:rsidRDefault="00224567">
      <w:pPr>
        <w:widowControl w:val="0"/>
        <w:tabs>
          <w:tab w:val="left" w:pos="2835"/>
        </w:tabs>
        <w:rPr>
          <w:bCs/>
        </w:rPr>
      </w:pPr>
      <w:r>
        <w:rPr>
          <w:bCs/>
        </w:rPr>
        <w:tab/>
        <w:t>Señaló la defensa que los test</w:t>
      </w:r>
      <w:r>
        <w:rPr>
          <w:bCs/>
        </w:rPr>
        <w:t>i</w:t>
      </w:r>
      <w:r>
        <w:rPr>
          <w:bCs/>
        </w:rPr>
        <w:t>monios de María Nicolasa Romero, Carlos H</w:t>
      </w:r>
      <w:r>
        <w:t>eindenreich</w:t>
      </w:r>
      <w:r>
        <w:rPr>
          <w:bCs/>
        </w:rPr>
        <w:t>, Mónica Y</w:t>
      </w:r>
      <w:r>
        <w:rPr>
          <w:bCs/>
        </w:rPr>
        <w:t>a</w:t>
      </w:r>
      <w:r>
        <w:rPr>
          <w:bCs/>
        </w:rPr>
        <w:t>biansky, Salomón Selzer, Carlos Dolmatzian y Ljudmila B</w:t>
      </w:r>
      <w:r>
        <w:rPr>
          <w:bCs/>
        </w:rPr>
        <w:t>i</w:t>
      </w:r>
      <w:r>
        <w:rPr>
          <w:bCs/>
        </w:rPr>
        <w:t>rukov no son suficientes para afirmar la presencia en el lugar antes de la explosión de la camioneta Trafic antes mencionada.</w:t>
      </w:r>
    </w:p>
    <w:p w:rsidR="00224567" w:rsidRDefault="00224567">
      <w:pPr>
        <w:widowControl w:val="0"/>
        <w:tabs>
          <w:tab w:val="left" w:pos="2835"/>
        </w:tabs>
        <w:rPr>
          <w:bCs/>
        </w:rPr>
      </w:pPr>
      <w:r>
        <w:rPr>
          <w:bCs/>
        </w:rPr>
        <w:tab/>
        <w:t>Afirmó la defensa de Ibarra, que al momento de requ</w:t>
      </w:r>
      <w:r>
        <w:rPr>
          <w:bCs/>
        </w:rPr>
        <w:t>e</w:t>
      </w:r>
      <w:r>
        <w:rPr>
          <w:bCs/>
        </w:rPr>
        <w:t>rir la elevación de la causa a juicio los acusadores hicieron mérito de los dichos de H</w:t>
      </w:r>
      <w:r>
        <w:t>ei</w:t>
      </w:r>
      <w:r>
        <w:t>n</w:t>
      </w:r>
      <w:r>
        <w:t>denreich</w:t>
      </w:r>
      <w:r>
        <w:rPr>
          <w:bCs/>
        </w:rPr>
        <w:t xml:space="preserve"> y Romero, pese a que brindaron versiones que se excluían e</w:t>
      </w:r>
      <w:r>
        <w:rPr>
          <w:bCs/>
        </w:rPr>
        <w:t>n</w:t>
      </w:r>
      <w:r>
        <w:rPr>
          <w:bCs/>
        </w:rPr>
        <w:t>tre sí, eran contradictorios con otros testimonios o fu</w:t>
      </w:r>
      <w:r>
        <w:rPr>
          <w:bCs/>
        </w:rPr>
        <w:t>e</w:t>
      </w:r>
      <w:r>
        <w:rPr>
          <w:bCs/>
        </w:rPr>
        <w:t>ron tergivers</w:t>
      </w:r>
      <w:r>
        <w:rPr>
          <w:bCs/>
        </w:rPr>
        <w:t>a</w:t>
      </w:r>
      <w:r>
        <w:rPr>
          <w:bCs/>
        </w:rPr>
        <w:t>dos.</w:t>
      </w:r>
    </w:p>
    <w:p w:rsidR="00224567" w:rsidRDefault="00224567">
      <w:pPr>
        <w:widowControl w:val="0"/>
        <w:tabs>
          <w:tab w:val="left" w:pos="2835"/>
        </w:tabs>
        <w:rPr>
          <w:bCs/>
        </w:rPr>
      </w:pPr>
      <w:r>
        <w:rPr>
          <w:bCs/>
        </w:rPr>
        <w:tab/>
        <w:t>Aseveró el defensor, que una ca</w:t>
      </w:r>
      <w:r>
        <w:rPr>
          <w:bCs/>
        </w:rPr>
        <w:t>n</w:t>
      </w:r>
      <w:r>
        <w:rPr>
          <w:bCs/>
        </w:rPr>
        <w:t xml:space="preserve">tidad </w:t>
      </w:r>
      <w:r>
        <w:rPr>
          <w:bCs/>
        </w:rPr>
        <w:lastRenderedPageBreak/>
        <w:t>innumerable de personas que se encontraban en una pos</w:t>
      </w:r>
      <w:r>
        <w:rPr>
          <w:bCs/>
        </w:rPr>
        <w:t>i</w:t>
      </w:r>
      <w:r>
        <w:rPr>
          <w:bCs/>
        </w:rPr>
        <w:t>ción lamentablemente privilegiada, algunos de ellos mirando h</w:t>
      </w:r>
      <w:r>
        <w:rPr>
          <w:bCs/>
        </w:rPr>
        <w:t>a</w:t>
      </w:r>
      <w:r>
        <w:rPr>
          <w:bCs/>
        </w:rPr>
        <w:t xml:space="preserve">cia la puerta de </w:t>
      </w:r>
      <w:smartTag w:uri="urn:schemas-microsoft-com:office:smarttags" w:element="PersonName">
        <w:smartTagPr>
          <w:attr w:name="ProductID" w:val="la A.M"/>
        </w:smartTagPr>
        <w:r>
          <w:rPr>
            <w:bCs/>
          </w:rPr>
          <w:t>la A.M</w:t>
        </w:r>
      </w:smartTag>
      <w:r>
        <w:rPr>
          <w:bCs/>
        </w:rPr>
        <w:t>.I.A., no observaron camioneta a</w:t>
      </w:r>
      <w:r>
        <w:rPr>
          <w:bCs/>
        </w:rPr>
        <w:t>l</w:t>
      </w:r>
      <w:r>
        <w:rPr>
          <w:bCs/>
        </w:rPr>
        <w:t>guna estrellándose contra esa puerta, como tampoco esc</w:t>
      </w:r>
      <w:r>
        <w:rPr>
          <w:bCs/>
        </w:rPr>
        <w:t>u</w:t>
      </w:r>
      <w:r>
        <w:rPr>
          <w:bCs/>
        </w:rPr>
        <w:t>charon ni ruido ni voces.</w:t>
      </w:r>
    </w:p>
    <w:p w:rsidR="00224567" w:rsidRDefault="00224567">
      <w:pPr>
        <w:widowControl w:val="0"/>
        <w:tabs>
          <w:tab w:val="left" w:pos="2835"/>
        </w:tabs>
        <w:rPr>
          <w:bCs/>
        </w:rPr>
      </w:pPr>
      <w:r>
        <w:rPr>
          <w:bCs/>
        </w:rPr>
        <w:tab/>
        <w:t>Añadió la defensa que si bien no ll</w:t>
      </w:r>
      <w:r>
        <w:rPr>
          <w:bCs/>
        </w:rPr>
        <w:t>a</w:t>
      </w:r>
      <w:r>
        <w:rPr>
          <w:bCs/>
        </w:rPr>
        <w:t>maría la atención en ese lugar el tránsito de un veh</w:t>
      </w:r>
      <w:r>
        <w:rPr>
          <w:bCs/>
        </w:rPr>
        <w:t>í</w:t>
      </w:r>
      <w:r>
        <w:rPr>
          <w:bCs/>
        </w:rPr>
        <w:t>culo, con las características del implicado en la ac</w:t>
      </w:r>
      <w:r>
        <w:rPr>
          <w:bCs/>
        </w:rPr>
        <w:t>u</w:t>
      </w:r>
      <w:r>
        <w:rPr>
          <w:bCs/>
        </w:rPr>
        <w:t>sación, sí lo haría uno que efectuase la maniobra necesaria para i</w:t>
      </w:r>
      <w:r>
        <w:rPr>
          <w:bCs/>
        </w:rPr>
        <w:t>n</w:t>
      </w:r>
      <w:r>
        <w:rPr>
          <w:bCs/>
        </w:rPr>
        <w:t>gresar en la puerta de entrada del edif</w:t>
      </w:r>
      <w:r>
        <w:rPr>
          <w:bCs/>
        </w:rPr>
        <w:t>i</w:t>
      </w:r>
      <w:r>
        <w:rPr>
          <w:bCs/>
        </w:rPr>
        <w:t>cio derruido.</w:t>
      </w:r>
    </w:p>
    <w:p w:rsidR="00224567" w:rsidRDefault="00224567">
      <w:pPr>
        <w:widowControl w:val="0"/>
        <w:tabs>
          <w:tab w:val="left" w:pos="2835"/>
        </w:tabs>
        <w:rPr>
          <w:bCs/>
        </w:rPr>
      </w:pPr>
      <w:r>
        <w:rPr>
          <w:bCs/>
        </w:rPr>
        <w:tab/>
        <w:t>A fin de sustentar la ausencia de un cochebomba momentos antes de la explosión, analizó los d</w:t>
      </w:r>
      <w:r>
        <w:rPr>
          <w:bCs/>
        </w:rPr>
        <w:t>i</w:t>
      </w:r>
      <w:r>
        <w:rPr>
          <w:bCs/>
        </w:rPr>
        <w:t>chos de Adriana Inés Mena, Gabriel Alberto Villalba, Fra</w:t>
      </w:r>
      <w:r>
        <w:rPr>
          <w:bCs/>
        </w:rPr>
        <w:t>n</w:t>
      </w:r>
      <w:r>
        <w:rPr>
          <w:bCs/>
        </w:rPr>
        <w:t>cisco Alberto Rossi, Maria Josefa Vicente, Jorge Eduardo Bordón, Rosa Montano de Barreiro, Daniel Eduardo Joffe, Juan Carlos Álvarez, Daniel Osvaldo Saravia, Gustavo A</w:t>
      </w:r>
      <w:r>
        <w:rPr>
          <w:bCs/>
        </w:rPr>
        <w:t>l</w:t>
      </w:r>
      <w:r>
        <w:rPr>
          <w:bCs/>
        </w:rPr>
        <w:t>berto Acuña, Alejandro Benavídez, Isidro Horacio Neuah, Leonor Marina Fuster, Osvaldo Héctor Pérez, Gustavo Gu</w:t>
      </w:r>
      <w:r>
        <w:rPr>
          <w:bCs/>
        </w:rPr>
        <w:t>i</w:t>
      </w:r>
      <w:r>
        <w:rPr>
          <w:bCs/>
        </w:rPr>
        <w:t xml:space="preserve">llermo Spinelli, Jorge Enrique Kaiser, Carlos Romagnani, Carlos Félix Larracochea, Angélica Ester Leiva, Claudio </w:t>
      </w:r>
      <w:r>
        <w:rPr>
          <w:bCs/>
        </w:rPr>
        <w:lastRenderedPageBreak/>
        <w:t>Alejandro Castro, Juan Carlos Espadas, José Eduardo Marzilli, Juan Sergio Terranova, Rodolfo Ariel Caballero, los colectiveros Juan Segundo Canale y Néstor Omar Corse</w:t>
      </w:r>
      <w:r>
        <w:rPr>
          <w:bCs/>
        </w:rPr>
        <w:t>t</w:t>
      </w:r>
      <w:r>
        <w:rPr>
          <w:bCs/>
        </w:rPr>
        <w:t>ti, Marcial Peleteyro.</w:t>
      </w:r>
    </w:p>
    <w:p w:rsidR="00224567" w:rsidRDefault="00224567">
      <w:pPr>
        <w:widowControl w:val="0"/>
        <w:tabs>
          <w:tab w:val="left" w:pos="2835"/>
        </w:tabs>
        <w:rPr>
          <w:bCs/>
        </w:rPr>
      </w:pPr>
      <w:r>
        <w:rPr>
          <w:bCs/>
        </w:rPr>
        <w:tab/>
        <w:t>Refirió que no puede afirmarse sin mas que los testigos presenciales, debido al shock traumático, tengan la memoria bloqueada respecto del suceso, ya que ninguna prueba en ese se</w:t>
      </w:r>
      <w:r>
        <w:rPr>
          <w:bCs/>
        </w:rPr>
        <w:t>n</w:t>
      </w:r>
      <w:r>
        <w:rPr>
          <w:bCs/>
        </w:rPr>
        <w:t>tido se arrimó al debate.</w:t>
      </w:r>
    </w:p>
    <w:p w:rsidR="00224567" w:rsidRDefault="00224567">
      <w:pPr>
        <w:widowControl w:val="0"/>
        <w:tabs>
          <w:tab w:val="left" w:pos="2835"/>
        </w:tabs>
        <w:rPr>
          <w:bCs/>
        </w:rPr>
      </w:pPr>
      <w:r>
        <w:rPr>
          <w:bCs/>
        </w:rPr>
        <w:tab/>
        <w:t>Afirmó la defensa que la peritación mas trascendente de la causa es la practicada por los p</w:t>
      </w:r>
      <w:r>
        <w:rPr>
          <w:bCs/>
        </w:rPr>
        <w:t>e</w:t>
      </w:r>
      <w:r>
        <w:rPr>
          <w:bCs/>
        </w:rPr>
        <w:t xml:space="preserve">ritos de </w:t>
      </w:r>
      <w:smartTag w:uri="urn:schemas-microsoft-com:office:smarttags" w:element="PersonName">
        <w:smartTagPr>
          <w:attr w:name="ProductID" w:val="la Brigada"/>
        </w:smartTagPr>
        <w:r>
          <w:rPr>
            <w:bCs/>
          </w:rPr>
          <w:t>la Brigada</w:t>
        </w:r>
      </w:smartTag>
      <w:r>
        <w:rPr>
          <w:bCs/>
        </w:rPr>
        <w:t xml:space="preserve"> de Explosivos de </w:t>
      </w:r>
      <w:smartTag w:uri="urn:schemas-microsoft-com:office:smarttags" w:element="PersonName">
        <w:smartTagPr>
          <w:attr w:name="ProductID" w:val="la Superintendencia"/>
        </w:smartTagPr>
        <w:r>
          <w:rPr>
            <w:bCs/>
          </w:rPr>
          <w:t>la Superintendencia</w:t>
        </w:r>
      </w:smartTag>
      <w:r>
        <w:rPr>
          <w:bCs/>
        </w:rPr>
        <w:t xml:space="preserve"> de Bomberos de </w:t>
      </w:r>
      <w:smartTag w:uri="urn:schemas-microsoft-com:office:smarttags" w:element="PersonName">
        <w:smartTagPr>
          <w:attr w:name="ProductID" w:val="la Polic￭a Federal"/>
        </w:smartTagPr>
        <w:r>
          <w:rPr>
            <w:bCs/>
          </w:rPr>
          <w:t>la Pol</w:t>
        </w:r>
        <w:r>
          <w:rPr>
            <w:bCs/>
          </w:rPr>
          <w:t>i</w:t>
        </w:r>
        <w:r>
          <w:rPr>
            <w:bCs/>
          </w:rPr>
          <w:t>cía Federal</w:t>
        </w:r>
      </w:smartTag>
      <w:r>
        <w:rPr>
          <w:bCs/>
        </w:rPr>
        <w:t xml:space="preserve"> Argentina, ya que ellos fueron los únicos que conc</w:t>
      </w:r>
      <w:r>
        <w:rPr>
          <w:bCs/>
        </w:rPr>
        <w:t>u</w:t>
      </w:r>
      <w:r>
        <w:rPr>
          <w:bCs/>
        </w:rPr>
        <w:t>rrieron al lugar de los hechos apenas producida la explosión y que todos los estudios posteriores se basaron en éste.</w:t>
      </w:r>
    </w:p>
    <w:p w:rsidR="00224567" w:rsidRDefault="00224567">
      <w:pPr>
        <w:widowControl w:val="0"/>
        <w:tabs>
          <w:tab w:val="left" w:pos="2835"/>
        </w:tabs>
        <w:rPr>
          <w:bCs/>
        </w:rPr>
      </w:pPr>
      <w:r>
        <w:rPr>
          <w:bCs/>
        </w:rPr>
        <w:tab/>
        <w:t>Recalcó que la labor de estos técn</w:t>
      </w:r>
      <w:r>
        <w:rPr>
          <w:bCs/>
        </w:rPr>
        <w:t>i</w:t>
      </w:r>
      <w:r>
        <w:rPr>
          <w:bCs/>
        </w:rPr>
        <w:t>cos fue lamentable, lo que hizo prácticamente imposible r</w:t>
      </w:r>
      <w:r>
        <w:rPr>
          <w:bCs/>
        </w:rPr>
        <w:t>e</w:t>
      </w:r>
      <w:r>
        <w:rPr>
          <w:bCs/>
        </w:rPr>
        <w:t>construir lo que realmente pasó y que sus testimonios en la audiencia fueron incongruentes, irresponsables y mend</w:t>
      </w:r>
      <w:r>
        <w:rPr>
          <w:bCs/>
        </w:rPr>
        <w:t>a</w:t>
      </w:r>
      <w:r>
        <w:rPr>
          <w:bCs/>
        </w:rPr>
        <w:t>ces.</w:t>
      </w:r>
    </w:p>
    <w:p w:rsidR="00224567" w:rsidRDefault="00224567">
      <w:pPr>
        <w:widowControl w:val="0"/>
        <w:tabs>
          <w:tab w:val="left" w:pos="2835"/>
        </w:tabs>
        <w:rPr>
          <w:bCs/>
        </w:rPr>
      </w:pPr>
      <w:r>
        <w:rPr>
          <w:bCs/>
        </w:rPr>
        <w:tab/>
        <w:t xml:space="preserve">Manifestó el letrado que a fs. 233/234 </w:t>
      </w:r>
      <w:r>
        <w:rPr>
          <w:bCs/>
        </w:rPr>
        <w:lastRenderedPageBreak/>
        <w:t>del Informe Prel</w:t>
      </w:r>
      <w:r>
        <w:rPr>
          <w:bCs/>
        </w:rPr>
        <w:t>i</w:t>
      </w:r>
      <w:r>
        <w:rPr>
          <w:bCs/>
        </w:rPr>
        <w:t>minar, remitido al juzgado el 2 de agosto de 1994, se encuentran agregadas las conclusiones prelim</w:t>
      </w:r>
      <w:r>
        <w:rPr>
          <w:bCs/>
        </w:rPr>
        <w:t>i</w:t>
      </w:r>
      <w:r>
        <w:rPr>
          <w:bCs/>
        </w:rPr>
        <w:t>nares, huérfanas de estudios y trabajos que las determ</w:t>
      </w:r>
      <w:r>
        <w:rPr>
          <w:bCs/>
        </w:rPr>
        <w:t>i</w:t>
      </w:r>
      <w:r>
        <w:rPr>
          <w:bCs/>
        </w:rPr>
        <w:t>nan.</w:t>
      </w:r>
    </w:p>
    <w:p w:rsidR="00224567" w:rsidRDefault="00224567">
      <w:pPr>
        <w:widowControl w:val="0"/>
        <w:tabs>
          <w:tab w:val="left" w:pos="2835"/>
        </w:tabs>
        <w:rPr>
          <w:bCs/>
        </w:rPr>
      </w:pPr>
      <w:r>
        <w:rPr>
          <w:bCs/>
        </w:rPr>
        <w:tab/>
        <w:t>Sostuvo que se afirma que el v</w:t>
      </w:r>
      <w:r>
        <w:rPr>
          <w:bCs/>
        </w:rPr>
        <w:t>e</w:t>
      </w:r>
      <w:r>
        <w:rPr>
          <w:bCs/>
        </w:rPr>
        <w:t>hículo utilizado en el atentado fue una camioneta Renault Tr</w:t>
      </w:r>
      <w:r>
        <w:rPr>
          <w:bCs/>
        </w:rPr>
        <w:t>a</w:t>
      </w:r>
      <w:r>
        <w:rPr>
          <w:bCs/>
        </w:rPr>
        <w:t>fic T310, corta, con portón lateral, motor nº 2.831.467, dom</w:t>
      </w:r>
      <w:r>
        <w:rPr>
          <w:bCs/>
        </w:rPr>
        <w:t>i</w:t>
      </w:r>
      <w:r>
        <w:rPr>
          <w:bCs/>
        </w:rPr>
        <w:t>nio C 1.498.506, sin ventanillas laterales, con doble puerta trasera, de color aparentemente blanco, cuando la prueba de que la supuesta camioneta tenía puerta lateral surgió mucho después, es decir en el momento en que se identificó la cajonera “U”, 4 de mayo de 1995, conforme surge de fs. 14.320.</w:t>
      </w:r>
    </w:p>
    <w:p w:rsidR="00224567" w:rsidRDefault="00224567">
      <w:pPr>
        <w:widowControl w:val="0"/>
        <w:tabs>
          <w:tab w:val="left" w:pos="2835"/>
        </w:tabs>
        <w:rPr>
          <w:bCs/>
        </w:rPr>
      </w:pPr>
      <w:r>
        <w:rPr>
          <w:bCs/>
        </w:rPr>
        <w:tab/>
        <w:t>Agregó que, a esa altura, tampoco era posible est</w:t>
      </w:r>
      <w:r>
        <w:rPr>
          <w:bCs/>
        </w:rPr>
        <w:t>a</w:t>
      </w:r>
      <w:r>
        <w:rPr>
          <w:bCs/>
        </w:rPr>
        <w:t>blecer si la camioneta era corta o larga, y la investigación demostró que la carrocería supuestamente utilizada no era la de “Messin” y por consiguiente no se correspo</w:t>
      </w:r>
      <w:r>
        <w:rPr>
          <w:bCs/>
        </w:rPr>
        <w:t>n</w:t>
      </w:r>
      <w:r>
        <w:rPr>
          <w:bCs/>
        </w:rPr>
        <w:t>día con ese número de motor.</w:t>
      </w:r>
    </w:p>
    <w:p w:rsidR="00224567" w:rsidRDefault="00224567">
      <w:pPr>
        <w:widowControl w:val="0"/>
        <w:tabs>
          <w:tab w:val="left" w:pos="2835"/>
        </w:tabs>
        <w:rPr>
          <w:bCs/>
        </w:rPr>
      </w:pPr>
      <w:r>
        <w:rPr>
          <w:bCs/>
        </w:rPr>
        <w:tab/>
        <w:t>Afirmó que a partir de la identific</w:t>
      </w:r>
      <w:r>
        <w:rPr>
          <w:bCs/>
        </w:rPr>
        <w:t>a</w:t>
      </w:r>
      <w:r>
        <w:rPr>
          <w:bCs/>
        </w:rPr>
        <w:t xml:space="preserve">ción del número de motor, los bomberos se limitaron a </w:t>
      </w:r>
      <w:r>
        <w:rPr>
          <w:bCs/>
        </w:rPr>
        <w:lastRenderedPageBreak/>
        <w:t>transcribir el resto de los datos del chasis que origina</w:t>
      </w:r>
      <w:r>
        <w:rPr>
          <w:bCs/>
        </w:rPr>
        <w:t>l</w:t>
      </w:r>
      <w:r>
        <w:rPr>
          <w:bCs/>
        </w:rPr>
        <w:t>mente le correspondía, disfrazando así de labor pericial esta simple asociación.</w:t>
      </w:r>
    </w:p>
    <w:p w:rsidR="00224567" w:rsidRDefault="00224567">
      <w:pPr>
        <w:widowControl w:val="0"/>
        <w:tabs>
          <w:tab w:val="left" w:pos="2835"/>
        </w:tabs>
        <w:rPr>
          <w:bCs/>
        </w:rPr>
      </w:pPr>
      <w:r>
        <w:rPr>
          <w:bCs/>
        </w:rPr>
        <w:tab/>
        <w:t>En el informe, según explicó la defe</w:t>
      </w:r>
      <w:r>
        <w:rPr>
          <w:bCs/>
        </w:rPr>
        <w:t>n</w:t>
      </w:r>
      <w:r>
        <w:rPr>
          <w:bCs/>
        </w:rPr>
        <w:t>sa, los técnicos no ensayaron ninguna explic</w:t>
      </w:r>
      <w:r>
        <w:rPr>
          <w:bCs/>
        </w:rPr>
        <w:t>a</w:t>
      </w:r>
      <w:r>
        <w:rPr>
          <w:bCs/>
        </w:rPr>
        <w:t>ción de cómo llegaron a afirmar cuál fue el recorr</w:t>
      </w:r>
      <w:r>
        <w:rPr>
          <w:bCs/>
        </w:rPr>
        <w:t>i</w:t>
      </w:r>
      <w:r>
        <w:rPr>
          <w:bCs/>
        </w:rPr>
        <w:t>do efectuado por el supuesto cochebomba y no se preocuparon por determinar c</w:t>
      </w:r>
      <w:r>
        <w:rPr>
          <w:bCs/>
        </w:rPr>
        <w:t>ó</w:t>
      </w:r>
      <w:r>
        <w:rPr>
          <w:bCs/>
        </w:rPr>
        <w:t xml:space="preserve">mo era la zona de ingreso a </w:t>
      </w:r>
      <w:smartTag w:uri="urn:schemas-microsoft-com:office:smarttags" w:element="PersonName">
        <w:smartTagPr>
          <w:attr w:name="ProductID" w:val="la A.M"/>
        </w:smartTagPr>
        <w:r>
          <w:rPr>
            <w:bCs/>
          </w:rPr>
          <w:t>la A.M</w:t>
        </w:r>
      </w:smartTag>
      <w:r>
        <w:rPr>
          <w:bCs/>
        </w:rPr>
        <w:t>.I.A., agregando que ningún testigo relató haber visto la m</w:t>
      </w:r>
      <w:r>
        <w:rPr>
          <w:bCs/>
        </w:rPr>
        <w:t>a</w:t>
      </w:r>
      <w:r>
        <w:rPr>
          <w:bCs/>
        </w:rPr>
        <w:t>niobra.</w:t>
      </w:r>
    </w:p>
    <w:p w:rsidR="00224567" w:rsidRDefault="00224567">
      <w:pPr>
        <w:widowControl w:val="0"/>
        <w:tabs>
          <w:tab w:val="left" w:pos="2835"/>
        </w:tabs>
        <w:rPr>
          <w:bCs/>
        </w:rPr>
      </w:pPr>
      <w:r>
        <w:rPr>
          <w:bCs/>
        </w:rPr>
        <w:tab/>
        <w:t>Destacó que los peritos intentaron justificar esta conclusión con la valoración de los d</w:t>
      </w:r>
      <w:r>
        <w:rPr>
          <w:bCs/>
        </w:rPr>
        <w:t>a</w:t>
      </w:r>
      <w:r>
        <w:rPr>
          <w:bCs/>
        </w:rPr>
        <w:t>ños y la diseminación de las piezas, pero no explicaron qué relación guardaban los daños ocasionados en el ed</w:t>
      </w:r>
      <w:r>
        <w:rPr>
          <w:bCs/>
        </w:rPr>
        <w:t>i</w:t>
      </w:r>
      <w:r>
        <w:rPr>
          <w:bCs/>
        </w:rPr>
        <w:t xml:space="preserve">ficio de </w:t>
      </w:r>
      <w:smartTag w:uri="urn:schemas-microsoft-com:office:smarttags" w:element="PersonName">
        <w:smartTagPr>
          <w:attr w:name="ProductID" w:val="la A.M"/>
        </w:smartTagPr>
        <w:r>
          <w:rPr>
            <w:bCs/>
          </w:rPr>
          <w:t>la A.M</w:t>
        </w:r>
      </w:smartTag>
      <w:r>
        <w:rPr>
          <w:bCs/>
        </w:rPr>
        <w:t>.I.A. y los circundantes, con la supue</w:t>
      </w:r>
      <w:r>
        <w:rPr>
          <w:bCs/>
        </w:rPr>
        <w:t>s</w:t>
      </w:r>
      <w:r>
        <w:rPr>
          <w:bCs/>
        </w:rPr>
        <w:t>ta explosión de una c</w:t>
      </w:r>
      <w:r>
        <w:rPr>
          <w:bCs/>
        </w:rPr>
        <w:t>a</w:t>
      </w:r>
      <w:r>
        <w:rPr>
          <w:bCs/>
        </w:rPr>
        <w:t>mioneta en la posición por ellos indicada.</w:t>
      </w:r>
    </w:p>
    <w:p w:rsidR="00224567" w:rsidRDefault="00224567">
      <w:pPr>
        <w:widowControl w:val="0"/>
        <w:tabs>
          <w:tab w:val="left" w:pos="2835"/>
        </w:tabs>
        <w:rPr>
          <w:bCs/>
        </w:rPr>
      </w:pPr>
      <w:r>
        <w:rPr>
          <w:bCs/>
        </w:rPr>
        <w:tab/>
        <w:t>Resaltó que se pudo probar en el deb</w:t>
      </w:r>
      <w:r>
        <w:rPr>
          <w:bCs/>
        </w:rPr>
        <w:t>a</w:t>
      </w:r>
      <w:r>
        <w:rPr>
          <w:bCs/>
        </w:rPr>
        <w:t>te la imposibilidad de determinar el lugar –ni exacto ni aproximado- en que se hallaron cada una de las piezas, d</w:t>
      </w:r>
      <w:r>
        <w:rPr>
          <w:bCs/>
        </w:rPr>
        <w:t>e</w:t>
      </w:r>
      <w:r>
        <w:rPr>
          <w:bCs/>
        </w:rPr>
        <w:t>bido a la negl</w:t>
      </w:r>
      <w:r>
        <w:rPr>
          <w:bCs/>
        </w:rPr>
        <w:t>i</w:t>
      </w:r>
      <w:r>
        <w:rPr>
          <w:bCs/>
        </w:rPr>
        <w:t>gencia absoluta del personal de bomberos.</w:t>
      </w:r>
    </w:p>
    <w:p w:rsidR="00224567" w:rsidRDefault="00224567">
      <w:pPr>
        <w:widowControl w:val="0"/>
        <w:tabs>
          <w:tab w:val="left" w:pos="2835"/>
        </w:tabs>
        <w:rPr>
          <w:bCs/>
        </w:rPr>
      </w:pPr>
      <w:r>
        <w:rPr>
          <w:bCs/>
        </w:rPr>
        <w:tab/>
        <w:t>Subrayó la defensa que a fs. 71/74 del Informe Final, r</w:t>
      </w:r>
      <w:r>
        <w:rPr>
          <w:bCs/>
        </w:rPr>
        <w:t>e</w:t>
      </w:r>
      <w:r>
        <w:rPr>
          <w:bCs/>
        </w:rPr>
        <w:t xml:space="preserve">cibido por el juzgado instructor el 29 de </w:t>
      </w:r>
      <w:r>
        <w:rPr>
          <w:bCs/>
        </w:rPr>
        <w:lastRenderedPageBreak/>
        <w:t>diciembre de 1994, se realizó una evaluación final, afi</w:t>
      </w:r>
      <w:r>
        <w:rPr>
          <w:bCs/>
        </w:rPr>
        <w:t>r</w:t>
      </w:r>
      <w:r>
        <w:rPr>
          <w:bCs/>
        </w:rPr>
        <w:t>mándose que la reacción de la carga explosiva produjo s</w:t>
      </w:r>
      <w:r>
        <w:rPr>
          <w:bCs/>
        </w:rPr>
        <w:t>o</w:t>
      </w:r>
      <w:r>
        <w:rPr>
          <w:bCs/>
        </w:rPr>
        <w:t>bre la acera y parte de la calzada un cráter de alred</w:t>
      </w:r>
      <w:r>
        <w:rPr>
          <w:bCs/>
        </w:rPr>
        <w:t>e</w:t>
      </w:r>
      <w:r>
        <w:rPr>
          <w:bCs/>
        </w:rPr>
        <w:t xml:space="preserve">dor de </w:t>
      </w:r>
      <w:smartTag w:uri="urn:schemas-microsoft-com:office:smarttags" w:element="metricconverter">
        <w:smartTagPr>
          <w:attr w:name="ProductID" w:val="1,80 m"/>
        </w:smartTagPr>
        <w:r>
          <w:rPr>
            <w:bCs/>
          </w:rPr>
          <w:t>1,80 m</w:t>
        </w:r>
      </w:smartTag>
      <w:r>
        <w:rPr>
          <w:bCs/>
        </w:rPr>
        <w:t xml:space="preserve"> por </w:t>
      </w:r>
      <w:smartTag w:uri="urn:schemas-microsoft-com:office:smarttags" w:element="metricconverter">
        <w:smartTagPr>
          <w:attr w:name="ProductID" w:val="5,90 m"/>
        </w:smartTagPr>
        <w:r>
          <w:rPr>
            <w:bCs/>
          </w:rPr>
          <w:t>5,90 m</w:t>
        </w:r>
      </w:smartTag>
      <w:r>
        <w:rPr>
          <w:bCs/>
        </w:rPr>
        <w:t xml:space="preserve"> por </w:t>
      </w:r>
      <w:smartTag w:uri="urn:schemas-microsoft-com:office:smarttags" w:element="metricconverter">
        <w:smartTagPr>
          <w:attr w:name="ProductID" w:val="1,40 m"/>
        </w:smartTagPr>
        <w:r>
          <w:rPr>
            <w:bCs/>
          </w:rPr>
          <w:t>1,40 m</w:t>
        </w:r>
      </w:smartTag>
      <w:r>
        <w:rPr>
          <w:bCs/>
        </w:rPr>
        <w:t xml:space="preserve"> de profundidad, y que se encontraba próximo a la puerta de acceso.</w:t>
      </w:r>
    </w:p>
    <w:p w:rsidR="00224567" w:rsidRDefault="00224567">
      <w:pPr>
        <w:widowControl w:val="0"/>
        <w:tabs>
          <w:tab w:val="left" w:pos="2835"/>
        </w:tabs>
        <w:rPr>
          <w:bCs/>
        </w:rPr>
      </w:pPr>
      <w:r>
        <w:rPr>
          <w:bCs/>
        </w:rPr>
        <w:tab/>
        <w:t>Respecto a esta afirmación –agregó el defensor- en el informe no se aclara quién lo midió, ni cómo, ni cuándo se hizo ese trabajo, como tampoco a qué correspo</w:t>
      </w:r>
      <w:r>
        <w:rPr>
          <w:bCs/>
        </w:rPr>
        <w:t>n</w:t>
      </w:r>
      <w:r>
        <w:rPr>
          <w:bCs/>
        </w:rPr>
        <w:t>dían cada una de estas medidas.</w:t>
      </w:r>
    </w:p>
    <w:p w:rsidR="00224567" w:rsidRDefault="00224567">
      <w:pPr>
        <w:widowControl w:val="0"/>
        <w:tabs>
          <w:tab w:val="left" w:pos="2835"/>
        </w:tabs>
        <w:rPr>
          <w:bCs/>
        </w:rPr>
      </w:pPr>
      <w:r>
        <w:rPr>
          <w:bCs/>
        </w:rPr>
        <w:tab/>
        <w:t>Agregó que la información sobre el cráter es tan imprecisa que impide conocer fehacient</w:t>
      </w:r>
      <w:r>
        <w:rPr>
          <w:bCs/>
        </w:rPr>
        <w:t>e</w:t>
      </w:r>
      <w:r>
        <w:rPr>
          <w:bCs/>
        </w:rPr>
        <w:t>mente su ubicación, afirmando que sorprende que no se haya pla</w:t>
      </w:r>
      <w:r>
        <w:rPr>
          <w:bCs/>
        </w:rPr>
        <w:t>s</w:t>
      </w:r>
      <w:r>
        <w:rPr>
          <w:bCs/>
        </w:rPr>
        <w:t>mado su posición precisa (con f</w:t>
      </w:r>
      <w:r>
        <w:rPr>
          <w:bCs/>
        </w:rPr>
        <w:t>o</w:t>
      </w:r>
      <w:r>
        <w:rPr>
          <w:bCs/>
        </w:rPr>
        <w:t>tografías o filmaciones), que no se haya labrado ningún tipo de actuación respecto de su hallazgo y de la toma de medidas, o que no se haya preservado la zona donde supue</w:t>
      </w:r>
      <w:r>
        <w:rPr>
          <w:bCs/>
        </w:rPr>
        <w:t>s</w:t>
      </w:r>
      <w:r>
        <w:rPr>
          <w:bCs/>
        </w:rPr>
        <w:t>tamente estaba localizado, permitiéndose el trabajo de maquinarias pesadas en la z</w:t>
      </w:r>
      <w:r>
        <w:rPr>
          <w:bCs/>
        </w:rPr>
        <w:t>o</w:t>
      </w:r>
      <w:r>
        <w:rPr>
          <w:bCs/>
        </w:rPr>
        <w:t>na, sin ningún tipo de prevención; todo ello a pesar de tratarse de un elemento tan importante para la investig</w:t>
      </w:r>
      <w:r>
        <w:rPr>
          <w:bCs/>
        </w:rPr>
        <w:t>a</w:t>
      </w:r>
      <w:r>
        <w:rPr>
          <w:bCs/>
        </w:rPr>
        <w:t>ción.</w:t>
      </w:r>
    </w:p>
    <w:p w:rsidR="00224567" w:rsidRDefault="00224567">
      <w:pPr>
        <w:widowControl w:val="0"/>
        <w:tabs>
          <w:tab w:val="left" w:pos="2835"/>
        </w:tabs>
        <w:rPr>
          <w:bCs/>
        </w:rPr>
      </w:pPr>
      <w:r>
        <w:rPr>
          <w:bCs/>
        </w:rPr>
        <w:lastRenderedPageBreak/>
        <w:tab/>
        <w:t>Valoró la defensa que el testimonio prestado al respecto por Carlos Néstor López fue totalme</w:t>
      </w:r>
      <w:r>
        <w:rPr>
          <w:bCs/>
        </w:rPr>
        <w:t>n</w:t>
      </w:r>
      <w:r>
        <w:rPr>
          <w:bCs/>
        </w:rPr>
        <w:t>te mendaz. Ello, debido a que el testigo afirmó que en la noche del mismo día de la explosión, sólo intuyó la pr</w:t>
      </w:r>
      <w:r>
        <w:rPr>
          <w:bCs/>
        </w:rPr>
        <w:t>e</w:t>
      </w:r>
      <w:r>
        <w:rPr>
          <w:bCs/>
        </w:rPr>
        <w:t>sencia del cráter, y con el transcurrir de su d</w:t>
      </w:r>
      <w:r>
        <w:rPr>
          <w:bCs/>
        </w:rPr>
        <w:t>e</w:t>
      </w:r>
      <w:r>
        <w:rPr>
          <w:bCs/>
        </w:rPr>
        <w:t>claración, fue mod</w:t>
      </w:r>
      <w:r>
        <w:rPr>
          <w:bCs/>
        </w:rPr>
        <w:t>i</w:t>
      </w:r>
      <w:r>
        <w:rPr>
          <w:bCs/>
        </w:rPr>
        <w:t>ficando esta versión afirmando que esa misma tarde un principal pudo advertir sus bordes, que abarcaba parte de la vereda avanzando un metro o más sobre la calle; para luego mutar su versión afi</w:t>
      </w:r>
      <w:r>
        <w:rPr>
          <w:bCs/>
        </w:rPr>
        <w:t>r</w:t>
      </w:r>
      <w:r>
        <w:rPr>
          <w:bCs/>
        </w:rPr>
        <w:t>mando que el cráter “no se vio nunca porque la loza de la planta baja cedió con la dem</w:t>
      </w:r>
      <w:r>
        <w:rPr>
          <w:bCs/>
        </w:rPr>
        <w:t>o</w:t>
      </w:r>
      <w:r>
        <w:rPr>
          <w:bCs/>
        </w:rPr>
        <w:t>lición del edificio”. Agregó que, a su criterio, los per</w:t>
      </w:r>
      <w:r>
        <w:rPr>
          <w:bCs/>
        </w:rPr>
        <w:t>i</w:t>
      </w:r>
      <w:r>
        <w:rPr>
          <w:bCs/>
        </w:rPr>
        <w:t>tos Helguero y Arbor se expresaron tan contradictoriamente como su ento</w:t>
      </w:r>
      <w:r>
        <w:rPr>
          <w:bCs/>
        </w:rPr>
        <w:t>n</w:t>
      </w:r>
      <w:r>
        <w:rPr>
          <w:bCs/>
        </w:rPr>
        <w:t>ces jefe.</w:t>
      </w:r>
    </w:p>
    <w:p w:rsidR="00224567" w:rsidRDefault="00224567">
      <w:pPr>
        <w:widowControl w:val="0"/>
        <w:tabs>
          <w:tab w:val="left" w:pos="2835"/>
        </w:tabs>
        <w:rPr>
          <w:bCs/>
        </w:rPr>
      </w:pPr>
      <w:r>
        <w:rPr>
          <w:bCs/>
        </w:rPr>
        <w:tab/>
        <w:t>Concluyó la defensa que no pudo dete</w:t>
      </w:r>
      <w:r>
        <w:rPr>
          <w:bCs/>
        </w:rPr>
        <w:t>r</w:t>
      </w:r>
      <w:r>
        <w:rPr>
          <w:bCs/>
        </w:rPr>
        <w:t>minarse ni las características ni ubicación del cráter, adjudicando la responsabilidad de esta falencia a los p</w:t>
      </w:r>
      <w:r>
        <w:rPr>
          <w:bCs/>
        </w:rPr>
        <w:t>e</w:t>
      </w:r>
      <w:r>
        <w:rPr>
          <w:bCs/>
        </w:rPr>
        <w:t xml:space="preserve">ritos de </w:t>
      </w:r>
      <w:smartTag w:uri="urn:schemas-microsoft-com:office:smarttags" w:element="PersonName">
        <w:smartTagPr>
          <w:attr w:name="ProductID" w:val="la Brigada"/>
        </w:smartTagPr>
        <w:r>
          <w:rPr>
            <w:bCs/>
          </w:rPr>
          <w:t>la Br</w:t>
        </w:r>
        <w:r>
          <w:rPr>
            <w:bCs/>
          </w:rPr>
          <w:t>i</w:t>
        </w:r>
        <w:r>
          <w:rPr>
            <w:bCs/>
          </w:rPr>
          <w:t>gada</w:t>
        </w:r>
      </w:smartTag>
      <w:r>
        <w:rPr>
          <w:bCs/>
        </w:rPr>
        <w:t xml:space="preserve"> de Explosivos y al juez.</w:t>
      </w:r>
    </w:p>
    <w:p w:rsidR="00224567" w:rsidRDefault="00224567">
      <w:pPr>
        <w:widowControl w:val="0"/>
        <w:tabs>
          <w:tab w:val="left" w:pos="2835"/>
        </w:tabs>
        <w:rPr>
          <w:bCs/>
        </w:rPr>
      </w:pPr>
      <w:r>
        <w:rPr>
          <w:bCs/>
        </w:rPr>
        <w:tab/>
        <w:t>Matizó el letrado que las contradi</w:t>
      </w:r>
      <w:r>
        <w:rPr>
          <w:bCs/>
        </w:rPr>
        <w:t>c</w:t>
      </w:r>
      <w:r>
        <w:rPr>
          <w:bCs/>
        </w:rPr>
        <w:t>ciones en que incurrieron los peritos interv</w:t>
      </w:r>
      <w:r>
        <w:rPr>
          <w:bCs/>
        </w:rPr>
        <w:t>i</w:t>
      </w:r>
      <w:r>
        <w:rPr>
          <w:bCs/>
        </w:rPr>
        <w:t>nientes en la causa, respecto de un supuesto direccionamiento de la ca</w:t>
      </w:r>
      <w:r>
        <w:rPr>
          <w:bCs/>
        </w:rPr>
        <w:t>r</w:t>
      </w:r>
      <w:r>
        <w:rPr>
          <w:bCs/>
        </w:rPr>
        <w:t>ga explosiva, pone en cuestión la misma existencia del c</w:t>
      </w:r>
      <w:r>
        <w:rPr>
          <w:bCs/>
        </w:rPr>
        <w:t>o</w:t>
      </w:r>
      <w:r>
        <w:rPr>
          <w:bCs/>
        </w:rPr>
        <w:lastRenderedPageBreak/>
        <w:t>chebomba.</w:t>
      </w:r>
    </w:p>
    <w:p w:rsidR="00224567" w:rsidRDefault="00224567">
      <w:pPr>
        <w:widowControl w:val="0"/>
        <w:tabs>
          <w:tab w:val="left" w:pos="2835"/>
        </w:tabs>
        <w:rPr>
          <w:bCs/>
        </w:rPr>
      </w:pPr>
      <w:r>
        <w:rPr>
          <w:bCs/>
        </w:rPr>
        <w:tab/>
        <w:t>En ese sentido, indicó que los per</w:t>
      </w:r>
      <w:r>
        <w:rPr>
          <w:bCs/>
        </w:rPr>
        <w:t>i</w:t>
      </w:r>
      <w:r>
        <w:rPr>
          <w:bCs/>
        </w:rPr>
        <w:t>tos policiales establecieron que el rodado, al arribar a la altura de la entrada del edificio, a</w:t>
      </w:r>
      <w:r>
        <w:rPr>
          <w:bCs/>
        </w:rPr>
        <w:t>s</w:t>
      </w:r>
      <w:r>
        <w:rPr>
          <w:bCs/>
        </w:rPr>
        <w:t>cendió a la acera en un ángulo aproximado a los 45º, introduciendo parte de su trompa y que dicha conclusión se desprende de las proye</w:t>
      </w:r>
      <w:r>
        <w:rPr>
          <w:bCs/>
        </w:rPr>
        <w:t>c</w:t>
      </w:r>
      <w:r>
        <w:rPr>
          <w:bCs/>
        </w:rPr>
        <w:t>ciones de los restos de la camioneta que lo determinan en forma indubit</w:t>
      </w:r>
      <w:r>
        <w:rPr>
          <w:bCs/>
        </w:rPr>
        <w:t>a</w:t>
      </w:r>
      <w:r>
        <w:rPr>
          <w:bCs/>
        </w:rPr>
        <w:t>ble.</w:t>
      </w:r>
    </w:p>
    <w:p w:rsidR="00224567" w:rsidRDefault="00224567">
      <w:pPr>
        <w:widowControl w:val="0"/>
        <w:tabs>
          <w:tab w:val="left" w:pos="2835"/>
        </w:tabs>
        <w:rPr>
          <w:bCs/>
        </w:rPr>
      </w:pPr>
      <w:r>
        <w:rPr>
          <w:bCs/>
        </w:rPr>
        <w:tab/>
        <w:t>Agregó que los peritos afirmaron d</w:t>
      </w:r>
      <w:r>
        <w:rPr>
          <w:bCs/>
        </w:rPr>
        <w:t>e</w:t>
      </w:r>
      <w:r>
        <w:rPr>
          <w:bCs/>
        </w:rPr>
        <w:t>terminar el recorrido de las piezas y su posición final a través de dos procedimientos: el primero, mediante una evaluación sobre dete</w:t>
      </w:r>
      <w:r>
        <w:rPr>
          <w:bCs/>
        </w:rPr>
        <w:t>r</w:t>
      </w:r>
      <w:r>
        <w:rPr>
          <w:bCs/>
        </w:rPr>
        <w:t>minadas piezas, y el segundo, con el análisis de los planos de ubicación que obran a fs. 116/117 del Informe Prel</w:t>
      </w:r>
      <w:r>
        <w:rPr>
          <w:bCs/>
        </w:rPr>
        <w:t>i</w:t>
      </w:r>
      <w:r>
        <w:rPr>
          <w:bCs/>
        </w:rPr>
        <w:t>minar.</w:t>
      </w:r>
    </w:p>
    <w:p w:rsidR="00224567" w:rsidRDefault="00224567">
      <w:pPr>
        <w:widowControl w:val="0"/>
        <w:tabs>
          <w:tab w:val="left" w:pos="2835"/>
        </w:tabs>
        <w:rPr>
          <w:bCs/>
        </w:rPr>
      </w:pPr>
      <w:r>
        <w:rPr>
          <w:bCs/>
        </w:rPr>
        <w:tab/>
        <w:t>Ante esta conclusión, la defensa so</w:t>
      </w:r>
      <w:r>
        <w:rPr>
          <w:bCs/>
        </w:rPr>
        <w:t>s</w:t>
      </w:r>
      <w:r>
        <w:rPr>
          <w:bCs/>
        </w:rPr>
        <w:t>tuvo que se valoraron sólo diecisiete piezas de un total de ciento veinticinco, omitiendo incluir en esta evalu</w:t>
      </w:r>
      <w:r>
        <w:rPr>
          <w:bCs/>
        </w:rPr>
        <w:t>a</w:t>
      </w:r>
      <w:r>
        <w:rPr>
          <w:bCs/>
        </w:rPr>
        <w:t>ción gran cantidad de elementos que desarrollaron un rec</w:t>
      </w:r>
      <w:r>
        <w:rPr>
          <w:bCs/>
        </w:rPr>
        <w:t>o</w:t>
      </w:r>
      <w:r>
        <w:rPr>
          <w:bCs/>
        </w:rPr>
        <w:t xml:space="preserve">rrido totalmente distinto al previsto, de acuerdo con la ubicación que los técnicos le asignaron a </w:t>
      </w:r>
      <w:smartTag w:uri="urn:schemas-microsoft-com:office:smarttags" w:element="PersonName">
        <w:smartTagPr>
          <w:attr w:name="ProductID" w:val="la Trafic. Agreg￳"/>
        </w:smartTagPr>
        <w:r>
          <w:rPr>
            <w:bCs/>
          </w:rPr>
          <w:t>la Trafic. Agr</w:t>
        </w:r>
        <w:r>
          <w:rPr>
            <w:bCs/>
          </w:rPr>
          <w:t>e</w:t>
        </w:r>
        <w:r>
          <w:rPr>
            <w:bCs/>
          </w:rPr>
          <w:lastRenderedPageBreak/>
          <w:t>gó</w:t>
        </w:r>
      </w:smartTag>
      <w:r>
        <w:rPr>
          <w:bCs/>
        </w:rPr>
        <w:t xml:space="preserve"> que luego de ser interrogados los peritos sobre el plano obrante a fs. 117, quedó demostrado que no reflejaba de ningún modo la realidad, y que dada la muy deficiente tarea en la recolección de evidencia, no era posible saber dónde fueron halladas cada una de las autopartes.</w:t>
      </w:r>
    </w:p>
    <w:p w:rsidR="00224567" w:rsidRDefault="00224567">
      <w:pPr>
        <w:widowControl w:val="0"/>
        <w:tabs>
          <w:tab w:val="left" w:pos="2835"/>
        </w:tabs>
        <w:rPr>
          <w:bCs/>
        </w:rPr>
      </w:pPr>
      <w:r>
        <w:rPr>
          <w:bCs/>
        </w:rPr>
        <w:tab/>
        <w:t>La asistencia técnica de Ibarra basó dicha aseveración en la vaguedad con la que fueron de</w:t>
      </w:r>
      <w:r>
        <w:rPr>
          <w:bCs/>
        </w:rPr>
        <w:t>s</w:t>
      </w:r>
      <w:r>
        <w:rPr>
          <w:bCs/>
        </w:rPr>
        <w:t>criptas las piezas en cada una de las a</w:t>
      </w:r>
      <w:r>
        <w:rPr>
          <w:bCs/>
        </w:rPr>
        <w:t>c</w:t>
      </w:r>
      <w:r>
        <w:rPr>
          <w:bCs/>
        </w:rPr>
        <w:t>tas; en que no se individualizó el lugar del hallazgo de esos eleme</w:t>
      </w:r>
      <w:r>
        <w:rPr>
          <w:bCs/>
        </w:rPr>
        <w:t>n</w:t>
      </w:r>
      <w:r>
        <w:rPr>
          <w:bCs/>
        </w:rPr>
        <w:t>tos; en que las actas no reflejan la realidad de lo acontecido; en que no se dispuso un sistema de numer</w:t>
      </w:r>
      <w:r>
        <w:rPr>
          <w:bCs/>
        </w:rPr>
        <w:t>a</w:t>
      </w:r>
      <w:r>
        <w:rPr>
          <w:bCs/>
        </w:rPr>
        <w:t>ción correlativa de las mismas; en que no todos los hallazgos fueron docume</w:t>
      </w:r>
      <w:r>
        <w:rPr>
          <w:bCs/>
        </w:rPr>
        <w:t>n</w:t>
      </w:r>
      <w:r>
        <w:rPr>
          <w:bCs/>
        </w:rPr>
        <w:t>tados en actas; y en que hay piezas que no figuran en el pizarrón utilizado en el local de Moragues.</w:t>
      </w:r>
    </w:p>
    <w:p w:rsidR="00224567" w:rsidRDefault="00224567">
      <w:pPr>
        <w:widowControl w:val="0"/>
        <w:tabs>
          <w:tab w:val="left" w:pos="2835"/>
        </w:tabs>
        <w:rPr>
          <w:bCs/>
        </w:rPr>
      </w:pPr>
      <w:r>
        <w:rPr>
          <w:bCs/>
        </w:rPr>
        <w:tab/>
        <w:t>Así, la defensa aseguró, que este c</w:t>
      </w:r>
      <w:r>
        <w:rPr>
          <w:bCs/>
        </w:rPr>
        <w:t>ú</w:t>
      </w:r>
      <w:r>
        <w:rPr>
          <w:bCs/>
        </w:rPr>
        <w:t>mulo de desatinos hizo que resulte imposible conocer cuá</w:t>
      </w:r>
      <w:r>
        <w:rPr>
          <w:bCs/>
        </w:rPr>
        <w:t>n</w:t>
      </w:r>
      <w:r>
        <w:rPr>
          <w:bCs/>
        </w:rPr>
        <w:t>do, quién y en qué lugar se hallaron cada uno de los el</w:t>
      </w:r>
      <w:r>
        <w:rPr>
          <w:bCs/>
        </w:rPr>
        <w:t>e</w:t>
      </w:r>
      <w:r>
        <w:rPr>
          <w:bCs/>
        </w:rPr>
        <w:t>mentos, adicionando que lo declarado por los p</w:t>
      </w:r>
      <w:r>
        <w:rPr>
          <w:bCs/>
        </w:rPr>
        <w:t>e</w:t>
      </w:r>
      <w:r>
        <w:rPr>
          <w:bCs/>
        </w:rPr>
        <w:t>ritos en la audiencia sobre el punto agregó mayores d</w:t>
      </w:r>
      <w:r>
        <w:rPr>
          <w:bCs/>
        </w:rPr>
        <w:t>u</w:t>
      </w:r>
      <w:r>
        <w:rPr>
          <w:bCs/>
        </w:rPr>
        <w:t>das.</w:t>
      </w:r>
    </w:p>
    <w:p w:rsidR="00224567" w:rsidRDefault="00224567">
      <w:pPr>
        <w:widowControl w:val="0"/>
        <w:tabs>
          <w:tab w:val="left" w:pos="2835"/>
        </w:tabs>
        <w:rPr>
          <w:bCs/>
        </w:rPr>
      </w:pPr>
      <w:r>
        <w:rPr>
          <w:bCs/>
        </w:rPr>
        <w:tab/>
        <w:t>Respecto al tipo de explosivo utiliz</w:t>
      </w:r>
      <w:r>
        <w:rPr>
          <w:bCs/>
        </w:rPr>
        <w:t>a</w:t>
      </w:r>
      <w:r>
        <w:rPr>
          <w:bCs/>
        </w:rPr>
        <w:t>do, destacó la asistencia técnica que los bomberos afirm</w:t>
      </w:r>
      <w:r>
        <w:rPr>
          <w:bCs/>
        </w:rPr>
        <w:t>a</w:t>
      </w:r>
      <w:r>
        <w:rPr>
          <w:bCs/>
        </w:rPr>
        <w:lastRenderedPageBreak/>
        <w:t>ron que fue una mezcla en base a nitrato de amonio, agr</w:t>
      </w:r>
      <w:r>
        <w:rPr>
          <w:bCs/>
        </w:rPr>
        <w:t>e</w:t>
      </w:r>
      <w:r>
        <w:rPr>
          <w:bCs/>
        </w:rPr>
        <w:t>gando que uno de los encargados de los peritajes, Ma</w:t>
      </w:r>
      <w:r>
        <w:rPr>
          <w:bCs/>
        </w:rPr>
        <w:t>r</w:t>
      </w:r>
      <w:r>
        <w:rPr>
          <w:bCs/>
        </w:rPr>
        <w:t>celo Leguizamón, desconoció su firma en seis informes perici</w:t>
      </w:r>
      <w:r>
        <w:rPr>
          <w:bCs/>
        </w:rPr>
        <w:t>a</w:t>
      </w:r>
      <w:r>
        <w:rPr>
          <w:bCs/>
        </w:rPr>
        <w:t>les agregados a fs. 47/52 del Informe Preliminar de Bomb</w:t>
      </w:r>
      <w:r>
        <w:rPr>
          <w:bCs/>
        </w:rPr>
        <w:t>e</w:t>
      </w:r>
      <w:r>
        <w:rPr>
          <w:bCs/>
        </w:rPr>
        <w:t>ros.</w:t>
      </w:r>
    </w:p>
    <w:p w:rsidR="00224567" w:rsidRDefault="00224567">
      <w:pPr>
        <w:widowControl w:val="0"/>
        <w:tabs>
          <w:tab w:val="left" w:pos="2835"/>
        </w:tabs>
        <w:rPr>
          <w:bCs/>
        </w:rPr>
      </w:pPr>
      <w:r>
        <w:rPr>
          <w:bCs/>
        </w:rPr>
        <w:tab/>
        <w:t>Resaltó que el peritaje caligráfico ordenado por el tribunal a ese respecto corroboró la d</w:t>
      </w:r>
      <w:r>
        <w:rPr>
          <w:bCs/>
        </w:rPr>
        <w:t>e</w:t>
      </w:r>
      <w:r>
        <w:rPr>
          <w:bCs/>
        </w:rPr>
        <w:t>nuncia y que ello es otra de las incógnitas no reveladas en el e</w:t>
      </w:r>
      <w:r>
        <w:rPr>
          <w:bCs/>
        </w:rPr>
        <w:t>x</w:t>
      </w:r>
      <w:r>
        <w:rPr>
          <w:bCs/>
        </w:rPr>
        <w:t>pediente.</w:t>
      </w:r>
    </w:p>
    <w:p w:rsidR="00224567" w:rsidRDefault="00224567">
      <w:pPr>
        <w:widowControl w:val="0"/>
        <w:tabs>
          <w:tab w:val="left" w:pos="2835"/>
        </w:tabs>
        <w:rPr>
          <w:bCs/>
        </w:rPr>
      </w:pPr>
      <w:r>
        <w:rPr>
          <w:bCs/>
        </w:rPr>
        <w:tab/>
        <w:t>Agregó la defensa que el laboratorio químico de A.T.F. de los Estados Unidos de América re</w:t>
      </w:r>
      <w:r>
        <w:rPr>
          <w:bCs/>
        </w:rPr>
        <w:t>a</w:t>
      </w:r>
      <w:r>
        <w:rPr>
          <w:bCs/>
        </w:rPr>
        <w:t xml:space="preserve">lizó peritajes sobre algunas muestras y sus resultados fueron totalmente distintos de los obtenidos por </w:t>
      </w:r>
      <w:smartTag w:uri="urn:schemas-microsoft-com:office:smarttags" w:element="PersonName">
        <w:smartTagPr>
          <w:attr w:name="ProductID" w:val="la Polic￭a Federal"/>
        </w:smartTagPr>
        <w:r>
          <w:rPr>
            <w:bCs/>
          </w:rPr>
          <w:t>la Policía Fed</w:t>
        </w:r>
        <w:r>
          <w:rPr>
            <w:bCs/>
          </w:rPr>
          <w:t>e</w:t>
        </w:r>
        <w:r>
          <w:rPr>
            <w:bCs/>
          </w:rPr>
          <w:t>ral</w:t>
        </w:r>
      </w:smartTag>
      <w:r>
        <w:rPr>
          <w:bCs/>
        </w:rPr>
        <w:t xml:space="preserve"> Argentina.</w:t>
      </w:r>
    </w:p>
    <w:p w:rsidR="00224567" w:rsidRDefault="00224567">
      <w:pPr>
        <w:widowControl w:val="0"/>
        <w:tabs>
          <w:tab w:val="left" w:pos="2835"/>
        </w:tabs>
        <w:rPr>
          <w:bCs/>
        </w:rPr>
      </w:pPr>
      <w:r>
        <w:rPr>
          <w:bCs/>
        </w:rPr>
        <w:tab/>
        <w:t>Resaltó la defensa, como una irregul</w:t>
      </w:r>
      <w:r>
        <w:rPr>
          <w:bCs/>
        </w:rPr>
        <w:t>a</w:t>
      </w:r>
      <w:r>
        <w:rPr>
          <w:bCs/>
        </w:rPr>
        <w:t>ridad más en el trámite de la instrucción, que nunca se analizó químicamente el motor y que no se conservaron ad</w:t>
      </w:r>
      <w:r>
        <w:rPr>
          <w:bCs/>
        </w:rPr>
        <w:t>e</w:t>
      </w:r>
      <w:r>
        <w:rPr>
          <w:bCs/>
        </w:rPr>
        <w:t xml:space="preserve">cuadamente los elementos, tal como lo impone el art. 161 del Código Procesal Penal de </w:t>
      </w:r>
      <w:smartTag w:uri="urn:schemas-microsoft-com:office:smarttags" w:element="PersonName">
        <w:smartTagPr>
          <w:attr w:name="ProductID" w:val="la Naci￳n."/>
        </w:smartTagPr>
        <w:r>
          <w:rPr>
            <w:bCs/>
          </w:rPr>
          <w:t>la Nación.</w:t>
        </w:r>
      </w:smartTag>
    </w:p>
    <w:p w:rsidR="00224567" w:rsidRDefault="00224567">
      <w:pPr>
        <w:widowControl w:val="0"/>
        <w:tabs>
          <w:tab w:val="left" w:pos="2835"/>
        </w:tabs>
        <w:rPr>
          <w:bCs/>
        </w:rPr>
      </w:pPr>
      <w:r>
        <w:rPr>
          <w:bCs/>
        </w:rPr>
        <w:tab/>
        <w:t>Aseveró que las piezas fueron manip</w:t>
      </w:r>
      <w:r>
        <w:rPr>
          <w:bCs/>
        </w:rPr>
        <w:t>u</w:t>
      </w:r>
      <w:r>
        <w:rPr>
          <w:bCs/>
        </w:rPr>
        <w:lastRenderedPageBreak/>
        <w:t>ladas sin ningún tipo de control por parte del personal de bomberos, laboratorio químico, agencias extranjeras, “C.I.A.D.E.A.” y muchos otros.</w:t>
      </w:r>
    </w:p>
    <w:p w:rsidR="00224567" w:rsidRDefault="00224567">
      <w:pPr>
        <w:widowControl w:val="0"/>
        <w:tabs>
          <w:tab w:val="left" w:pos="2835"/>
        </w:tabs>
        <w:rPr>
          <w:bCs/>
        </w:rPr>
      </w:pPr>
      <w:r>
        <w:rPr>
          <w:bCs/>
        </w:rPr>
        <w:tab/>
        <w:t>Resaltó también que las autopartes fueron apiladas en un cuarto del Departamento Central sin que se tomara ningún recaudo, ya que no se las colocó en bolsas individuales, ni se las preservó de cualquier alt</w:t>
      </w:r>
      <w:r>
        <w:rPr>
          <w:bCs/>
        </w:rPr>
        <w:t>e</w:t>
      </w:r>
      <w:r>
        <w:rPr>
          <w:bCs/>
        </w:rPr>
        <w:t>ración que pudiera causar la humedad u otras condiciones ambientales, y el motor fue “mangu</w:t>
      </w:r>
      <w:r>
        <w:rPr>
          <w:bCs/>
        </w:rPr>
        <w:t>e</w:t>
      </w:r>
      <w:r>
        <w:rPr>
          <w:bCs/>
        </w:rPr>
        <w:t>reado” por los peritos encargados del revenido químico, soportando también ll</w:t>
      </w:r>
      <w:r>
        <w:rPr>
          <w:bCs/>
        </w:rPr>
        <w:t>u</w:t>
      </w:r>
      <w:r>
        <w:rPr>
          <w:bCs/>
        </w:rPr>
        <w:t>vias durante las tareas de rem</w:t>
      </w:r>
      <w:r>
        <w:rPr>
          <w:bCs/>
        </w:rPr>
        <w:t>o</w:t>
      </w:r>
      <w:r>
        <w:rPr>
          <w:bCs/>
        </w:rPr>
        <w:t>ción.</w:t>
      </w:r>
    </w:p>
    <w:p w:rsidR="00224567" w:rsidRDefault="00224567">
      <w:pPr>
        <w:widowControl w:val="0"/>
        <w:tabs>
          <w:tab w:val="left" w:pos="2835"/>
        </w:tabs>
        <w:rPr>
          <w:bCs/>
        </w:rPr>
      </w:pPr>
      <w:r>
        <w:rPr>
          <w:bCs/>
        </w:rPr>
        <w:tab/>
        <w:t>Dichas afirmaciones, a juicio del d</w:t>
      </w:r>
      <w:r>
        <w:rPr>
          <w:bCs/>
        </w:rPr>
        <w:t>e</w:t>
      </w:r>
      <w:r>
        <w:rPr>
          <w:bCs/>
        </w:rPr>
        <w:t>fensor, quitan certeza a las conclusiones arrib</w:t>
      </w:r>
      <w:r>
        <w:rPr>
          <w:bCs/>
        </w:rPr>
        <w:t>a</w:t>
      </w:r>
      <w:r>
        <w:rPr>
          <w:bCs/>
        </w:rPr>
        <w:t>das en el año 2002 por personal de al Gendarmería Nacional al per</w:t>
      </w:r>
      <w:r>
        <w:rPr>
          <w:bCs/>
        </w:rPr>
        <w:t>i</w:t>
      </w:r>
      <w:r>
        <w:rPr>
          <w:bCs/>
        </w:rPr>
        <w:t>tarse el motor junto unas otras ch</w:t>
      </w:r>
      <w:r>
        <w:rPr>
          <w:bCs/>
        </w:rPr>
        <w:t>a</w:t>
      </w:r>
      <w:r>
        <w:rPr>
          <w:bCs/>
        </w:rPr>
        <w:t>pas.</w:t>
      </w:r>
    </w:p>
    <w:p w:rsidR="00224567" w:rsidRDefault="00224567">
      <w:pPr>
        <w:widowControl w:val="0"/>
        <w:tabs>
          <w:tab w:val="left" w:pos="2835"/>
        </w:tabs>
        <w:rPr>
          <w:bCs/>
        </w:rPr>
      </w:pPr>
      <w:r>
        <w:rPr>
          <w:bCs/>
        </w:rPr>
        <w:tab/>
        <w:t>Respecto al esquirlamiento, r</w:t>
      </w:r>
      <w:r>
        <w:rPr>
          <w:bCs/>
        </w:rPr>
        <w:t>e</w:t>
      </w:r>
      <w:r>
        <w:rPr>
          <w:bCs/>
        </w:rPr>
        <w:t>calcó la defensa que nada se dijo en los informes escritos, y no hubo un análisis de los daños que este fenómeno pudo pr</w:t>
      </w:r>
      <w:r>
        <w:rPr>
          <w:bCs/>
        </w:rPr>
        <w:t>o</w:t>
      </w:r>
      <w:r>
        <w:rPr>
          <w:bCs/>
        </w:rPr>
        <w:t>vocar en la zona; sin embargo, destacó que en la a</w:t>
      </w:r>
      <w:r>
        <w:rPr>
          <w:bCs/>
        </w:rPr>
        <w:t>u</w:t>
      </w:r>
      <w:r>
        <w:rPr>
          <w:bCs/>
        </w:rPr>
        <w:t>diencia de debate los peritos dijeron que el esquirlamiento era muy importante a los fines periciales, ci</w:t>
      </w:r>
      <w:r>
        <w:rPr>
          <w:bCs/>
        </w:rPr>
        <w:t>r</w:t>
      </w:r>
      <w:r>
        <w:rPr>
          <w:bCs/>
        </w:rPr>
        <w:t xml:space="preserve">cunstancia que, </w:t>
      </w:r>
      <w:r>
        <w:rPr>
          <w:bCs/>
        </w:rPr>
        <w:lastRenderedPageBreak/>
        <w:t>a su juicio, no debía ser consid</w:t>
      </w:r>
      <w:r>
        <w:rPr>
          <w:bCs/>
        </w:rPr>
        <w:t>e</w:t>
      </w:r>
      <w:r>
        <w:rPr>
          <w:bCs/>
        </w:rPr>
        <w:t>rada.</w:t>
      </w:r>
    </w:p>
    <w:p w:rsidR="00224567" w:rsidRDefault="00224567">
      <w:pPr>
        <w:widowControl w:val="0"/>
        <w:tabs>
          <w:tab w:val="left" w:pos="2835"/>
        </w:tabs>
        <w:rPr>
          <w:bCs/>
        </w:rPr>
      </w:pPr>
      <w:r>
        <w:rPr>
          <w:bCs/>
        </w:rPr>
        <w:tab/>
        <w:t>El letrado hizo mención de la recon</w:t>
      </w:r>
      <w:r>
        <w:rPr>
          <w:bCs/>
        </w:rPr>
        <w:t>s</w:t>
      </w:r>
      <w:r>
        <w:rPr>
          <w:bCs/>
        </w:rPr>
        <w:t>trucción efectu</w:t>
      </w:r>
      <w:r>
        <w:rPr>
          <w:bCs/>
        </w:rPr>
        <w:t>a</w:t>
      </w:r>
      <w:r>
        <w:rPr>
          <w:bCs/>
        </w:rPr>
        <w:t>da en la localidad bonaerense de Azul, de la que los peritos y la fiscalía en su ac</w:t>
      </w:r>
      <w:r>
        <w:rPr>
          <w:bCs/>
        </w:rPr>
        <w:t>u</w:t>
      </w:r>
      <w:r>
        <w:rPr>
          <w:bCs/>
        </w:rPr>
        <w:t>sación hicieron mérito, remarcando que fue incorp</w:t>
      </w:r>
      <w:r>
        <w:rPr>
          <w:bCs/>
        </w:rPr>
        <w:t>o</w:t>
      </w:r>
      <w:r>
        <w:rPr>
          <w:bCs/>
        </w:rPr>
        <w:t>rada seis meses después de su realización una vez conocido su supuesto exitoso r</w:t>
      </w:r>
      <w:r>
        <w:rPr>
          <w:bCs/>
        </w:rPr>
        <w:t>e</w:t>
      </w:r>
      <w:r>
        <w:rPr>
          <w:bCs/>
        </w:rPr>
        <w:t>sultado, ya que según el instructor corroboraba la tesis of</w:t>
      </w:r>
      <w:r>
        <w:rPr>
          <w:bCs/>
        </w:rPr>
        <w:t>i</w:t>
      </w:r>
      <w:r>
        <w:rPr>
          <w:bCs/>
        </w:rPr>
        <w:t>cial.</w:t>
      </w:r>
    </w:p>
    <w:p w:rsidR="00224567" w:rsidRDefault="00224567">
      <w:pPr>
        <w:widowControl w:val="0"/>
        <w:tabs>
          <w:tab w:val="left" w:pos="2835"/>
        </w:tabs>
        <w:rPr>
          <w:bCs/>
        </w:rPr>
      </w:pPr>
      <w:r>
        <w:rPr>
          <w:bCs/>
        </w:rPr>
        <w:tab/>
        <w:t>La defensa calificó como insólito que se concluya que la diseminación y la deformación de las piezas, así como la cantidad, calidad, ubicación y disp</w:t>
      </w:r>
      <w:r>
        <w:rPr>
          <w:bCs/>
        </w:rPr>
        <w:t>o</w:t>
      </w:r>
      <w:r>
        <w:rPr>
          <w:bCs/>
        </w:rPr>
        <w:t>sición de la carga, guardan extraordinaria similitud con lo que se pudo visu</w:t>
      </w:r>
      <w:r>
        <w:rPr>
          <w:bCs/>
        </w:rPr>
        <w:t>a</w:t>
      </w:r>
      <w:r>
        <w:rPr>
          <w:bCs/>
        </w:rPr>
        <w:t>lizar en A.M.I.A..</w:t>
      </w:r>
    </w:p>
    <w:p w:rsidR="00224567" w:rsidRDefault="00224567">
      <w:pPr>
        <w:widowControl w:val="0"/>
        <w:tabs>
          <w:tab w:val="left" w:pos="2835"/>
        </w:tabs>
        <w:rPr>
          <w:bCs/>
        </w:rPr>
      </w:pPr>
      <w:r>
        <w:rPr>
          <w:bCs/>
        </w:rPr>
        <w:tab/>
        <w:t>Agregó que esas conclusiones fueron falsas ya que no hubo prácticamente coincidencia entre una y otra explosión, destacando que en aquella exp</w:t>
      </w:r>
      <w:r>
        <w:rPr>
          <w:bCs/>
        </w:rPr>
        <w:t>e</w:t>
      </w:r>
      <w:r>
        <w:rPr>
          <w:bCs/>
        </w:rPr>
        <w:t>riencia no se reprodujeron en lo más mínimo las condiciones en las que se prod</w:t>
      </w:r>
      <w:r>
        <w:rPr>
          <w:bCs/>
        </w:rPr>
        <w:t>u</w:t>
      </w:r>
      <w:r>
        <w:rPr>
          <w:bCs/>
        </w:rPr>
        <w:t>jo la explosión en la calle Pasteur.</w:t>
      </w:r>
    </w:p>
    <w:p w:rsidR="00224567" w:rsidRDefault="00224567">
      <w:pPr>
        <w:widowControl w:val="0"/>
        <w:tabs>
          <w:tab w:val="left" w:pos="2835"/>
        </w:tabs>
      </w:pPr>
      <w:r>
        <w:tab/>
        <w:t xml:space="preserve">La asistencia técnica resaltó que los mismos peritos reconocieron en la audiencia que para lo </w:t>
      </w:r>
      <w:r>
        <w:lastRenderedPageBreak/>
        <w:t>único que servía esta experiencia era para aprender y s</w:t>
      </w:r>
      <w:r>
        <w:t>a</w:t>
      </w:r>
      <w:r>
        <w:t>tisfacer inquietudes profesionales, y que de ninguna man</w:t>
      </w:r>
      <w:r>
        <w:t>e</w:t>
      </w:r>
      <w:r>
        <w:t>ra son comparables las situaci</w:t>
      </w:r>
      <w:r>
        <w:t>o</w:t>
      </w:r>
      <w:r>
        <w:t>nes.</w:t>
      </w:r>
    </w:p>
    <w:p w:rsidR="00224567" w:rsidRDefault="00224567">
      <w:pPr>
        <w:widowControl w:val="0"/>
        <w:tabs>
          <w:tab w:val="left" w:pos="2835"/>
        </w:tabs>
      </w:pPr>
      <w:r>
        <w:tab/>
        <w:t>Para concluir, la defensa afirmó que los peritos relat</w:t>
      </w:r>
      <w:r>
        <w:t>i</w:t>
      </w:r>
      <w:r>
        <w:t>vizaron determinados aspectos que de la lectura de sus informes aparecían como relevantes, y por el contrario temas que no habían s</w:t>
      </w:r>
      <w:r>
        <w:t>i</w:t>
      </w:r>
      <w:r>
        <w:t>do ni siquiera tratados en esos informes cobraron en la audiencia una súbita i</w:t>
      </w:r>
      <w:r>
        <w:t>m</w:t>
      </w:r>
      <w:r>
        <w:t>portancia, demostrando todas esas contradi</w:t>
      </w:r>
      <w:r>
        <w:t>c</w:t>
      </w:r>
      <w:r>
        <w:t>ciones que las conclusiones a las que arribaron carecen de cualquier tipo de ap</w:t>
      </w:r>
      <w:r>
        <w:t>o</w:t>
      </w:r>
      <w:r>
        <w:t>yo fáctico y científico.</w:t>
      </w:r>
    </w:p>
    <w:p w:rsidR="00224567" w:rsidRDefault="00224567">
      <w:pPr>
        <w:widowControl w:val="0"/>
        <w:tabs>
          <w:tab w:val="left" w:pos="2835"/>
        </w:tabs>
        <w:rPr>
          <w:bCs/>
          <w:color w:val="000000"/>
        </w:rPr>
      </w:pPr>
      <w:r>
        <w:tab/>
      </w:r>
      <w:r>
        <w:rPr>
          <w:bCs/>
          <w:color w:val="000000"/>
        </w:rPr>
        <w:t>El Dr. Valle recordó que en el párr</w:t>
      </w:r>
      <w:r>
        <w:rPr>
          <w:bCs/>
          <w:color w:val="000000"/>
        </w:rPr>
        <w:t>a</w:t>
      </w:r>
      <w:r>
        <w:rPr>
          <w:bCs/>
          <w:color w:val="000000"/>
        </w:rPr>
        <w:t>fo noveno del decreto obrante a fs. 1233 del legajo de in</w:t>
      </w:r>
      <w:r>
        <w:rPr>
          <w:bCs/>
          <w:color w:val="000000"/>
        </w:rPr>
        <w:t>s</w:t>
      </w:r>
      <w:r>
        <w:rPr>
          <w:bCs/>
          <w:color w:val="000000"/>
        </w:rPr>
        <w:t>trucción suplementaria, se ordenó la reconstrucción del recorrido seguido por el cochebomba, supuestamente util</w:t>
      </w:r>
      <w:r>
        <w:rPr>
          <w:bCs/>
          <w:color w:val="000000"/>
        </w:rPr>
        <w:t>i</w:t>
      </w:r>
      <w:r>
        <w:rPr>
          <w:bCs/>
          <w:color w:val="000000"/>
        </w:rPr>
        <w:t>zado, hasta su explosión, y de la mecánica del suceso co</w:t>
      </w:r>
      <w:r>
        <w:rPr>
          <w:bCs/>
          <w:color w:val="000000"/>
        </w:rPr>
        <w:t>m</w:t>
      </w:r>
      <w:r>
        <w:rPr>
          <w:bCs/>
          <w:color w:val="000000"/>
        </w:rPr>
        <w:t>pleto.</w:t>
      </w:r>
    </w:p>
    <w:p w:rsidR="00224567" w:rsidRDefault="00224567">
      <w:pPr>
        <w:widowControl w:val="0"/>
        <w:tabs>
          <w:tab w:val="left" w:pos="2835"/>
        </w:tabs>
        <w:rPr>
          <w:bCs/>
          <w:color w:val="000000"/>
        </w:rPr>
      </w:pPr>
      <w:r>
        <w:rPr>
          <w:bCs/>
          <w:color w:val="000000"/>
        </w:rPr>
        <w:tab/>
        <w:t>Sostuvo que pese a los claros térm</w:t>
      </w:r>
      <w:r>
        <w:rPr>
          <w:bCs/>
          <w:color w:val="000000"/>
        </w:rPr>
        <w:t>i</w:t>
      </w:r>
      <w:r>
        <w:rPr>
          <w:bCs/>
          <w:color w:val="000000"/>
        </w:rPr>
        <w:t>nos en los que estaba planteada la cuestión, los per</w:t>
      </w:r>
      <w:r>
        <w:rPr>
          <w:bCs/>
          <w:color w:val="000000"/>
        </w:rPr>
        <w:t>i</w:t>
      </w:r>
      <w:r>
        <w:rPr>
          <w:bCs/>
          <w:color w:val="000000"/>
        </w:rPr>
        <w:t xml:space="preserve">tos de </w:t>
      </w:r>
      <w:smartTag w:uri="urn:schemas-microsoft-com:office:smarttags" w:element="PersonName">
        <w:smartTagPr>
          <w:attr w:name="ProductID" w:val="la Universidad Nacional"/>
        </w:smartTagPr>
        <w:r>
          <w:rPr>
            <w:bCs/>
            <w:color w:val="000000"/>
          </w:rPr>
          <w:t>la Universidad Nacional</w:t>
        </w:r>
      </w:smartTag>
      <w:r>
        <w:rPr>
          <w:bCs/>
          <w:color w:val="000000"/>
        </w:rPr>
        <w:t xml:space="preserve"> de Tucumán formularon un juicio de probabilidad sobre la ubicación y magnitud de la carga e</w:t>
      </w:r>
      <w:r>
        <w:rPr>
          <w:bCs/>
          <w:color w:val="000000"/>
        </w:rPr>
        <w:t>x</w:t>
      </w:r>
      <w:r>
        <w:rPr>
          <w:bCs/>
          <w:color w:val="000000"/>
        </w:rPr>
        <w:lastRenderedPageBreak/>
        <w:t>plosiva, circunstancia que a su parecer re</w:t>
      </w:r>
      <w:r>
        <w:rPr>
          <w:bCs/>
          <w:color w:val="000000"/>
        </w:rPr>
        <w:t>s</w:t>
      </w:r>
      <w:r>
        <w:rPr>
          <w:bCs/>
          <w:color w:val="000000"/>
        </w:rPr>
        <w:t>ta relevancia a las conclusi</w:t>
      </w:r>
      <w:r>
        <w:rPr>
          <w:bCs/>
          <w:color w:val="000000"/>
        </w:rPr>
        <w:t>o</w:t>
      </w:r>
      <w:r>
        <w:rPr>
          <w:bCs/>
          <w:color w:val="000000"/>
        </w:rPr>
        <w:t>nes, cuando menos, en los términos en el que le asign</w:t>
      </w:r>
      <w:r>
        <w:rPr>
          <w:bCs/>
          <w:color w:val="000000"/>
        </w:rPr>
        <w:t>a</w:t>
      </w:r>
      <w:r>
        <w:rPr>
          <w:bCs/>
          <w:color w:val="000000"/>
        </w:rPr>
        <w:t>ran las partes acusadoras.</w:t>
      </w:r>
    </w:p>
    <w:p w:rsidR="00224567" w:rsidRDefault="00224567">
      <w:pPr>
        <w:widowControl w:val="0"/>
        <w:tabs>
          <w:tab w:val="left" w:pos="2835"/>
        </w:tabs>
        <w:rPr>
          <w:bCs/>
          <w:color w:val="000000"/>
        </w:rPr>
      </w:pPr>
      <w:r>
        <w:rPr>
          <w:bCs/>
          <w:color w:val="000000"/>
        </w:rPr>
        <w:tab/>
        <w:t>Agregó que la determinación de la ub</w:t>
      </w:r>
      <w:r>
        <w:rPr>
          <w:bCs/>
          <w:color w:val="000000"/>
        </w:rPr>
        <w:t>i</w:t>
      </w:r>
      <w:r>
        <w:rPr>
          <w:bCs/>
          <w:color w:val="000000"/>
        </w:rPr>
        <w:t>cación y la magnitud más probable de la carga explosiva era otro punto de pericia ordenado a los ingenieros mil</w:t>
      </w:r>
      <w:r>
        <w:rPr>
          <w:bCs/>
          <w:color w:val="000000"/>
        </w:rPr>
        <w:t>i</w:t>
      </w:r>
      <w:r>
        <w:rPr>
          <w:bCs/>
          <w:color w:val="000000"/>
        </w:rPr>
        <w:t>tares, y que no co</w:t>
      </w:r>
      <w:r>
        <w:rPr>
          <w:bCs/>
          <w:color w:val="000000"/>
        </w:rPr>
        <w:t>n</w:t>
      </w:r>
      <w:r>
        <w:rPr>
          <w:bCs/>
          <w:color w:val="000000"/>
        </w:rPr>
        <w:t>testaron, como lo prescribe el art. 221 del C.P.P.N., cual era la mecánica completa del suceso, omitiendo toda consid</w:t>
      </w:r>
      <w:r>
        <w:rPr>
          <w:bCs/>
          <w:color w:val="000000"/>
        </w:rPr>
        <w:t>e</w:t>
      </w:r>
      <w:r>
        <w:rPr>
          <w:bCs/>
          <w:color w:val="000000"/>
        </w:rPr>
        <w:t>ración al cochebomba.</w:t>
      </w:r>
    </w:p>
    <w:p w:rsidR="00224567" w:rsidRDefault="00224567">
      <w:pPr>
        <w:widowControl w:val="0"/>
        <w:tabs>
          <w:tab w:val="left" w:pos="2835"/>
        </w:tabs>
        <w:rPr>
          <w:bCs/>
          <w:color w:val="000000"/>
        </w:rPr>
      </w:pPr>
      <w:r>
        <w:rPr>
          <w:bCs/>
          <w:color w:val="000000"/>
        </w:rPr>
        <w:tab/>
        <w:t>Manifestó que los ingenieros, en sus cálculos, ubicaron la carga explosiva a un metro de a</w:t>
      </w:r>
      <w:r>
        <w:rPr>
          <w:bCs/>
          <w:color w:val="000000"/>
        </w:rPr>
        <w:t>l</w:t>
      </w:r>
      <w:r>
        <w:rPr>
          <w:bCs/>
          <w:color w:val="000000"/>
        </w:rPr>
        <w:t>tura sin expl</w:t>
      </w:r>
      <w:r>
        <w:rPr>
          <w:bCs/>
          <w:color w:val="000000"/>
        </w:rPr>
        <w:t>i</w:t>
      </w:r>
      <w:r>
        <w:rPr>
          <w:bCs/>
          <w:color w:val="000000"/>
        </w:rPr>
        <w:t>car la razón de ello.</w:t>
      </w:r>
    </w:p>
    <w:p w:rsidR="00224567" w:rsidRDefault="00224567">
      <w:pPr>
        <w:widowControl w:val="0"/>
        <w:tabs>
          <w:tab w:val="left" w:pos="2835"/>
        </w:tabs>
        <w:ind w:firstLine="708"/>
        <w:rPr>
          <w:bCs/>
          <w:color w:val="000000"/>
        </w:rPr>
      </w:pPr>
      <w:r>
        <w:rPr>
          <w:bCs/>
          <w:color w:val="000000"/>
        </w:rPr>
        <w:tab/>
        <w:t>Afirmó que al haberse basado el info</w:t>
      </w:r>
      <w:r>
        <w:rPr>
          <w:bCs/>
          <w:color w:val="000000"/>
        </w:rPr>
        <w:t>r</w:t>
      </w:r>
      <w:r>
        <w:rPr>
          <w:bCs/>
          <w:color w:val="000000"/>
        </w:rPr>
        <w:t>me en los demás análisis, puestos en duda, el peritaje adolece de las mismas fallas que los que lo sustentan; también, efectuó reparos a la tecnología empleada para llevar adelante el estudio, ello en virtud de los dichos del agente especial técnico de expl</w:t>
      </w:r>
      <w:r>
        <w:rPr>
          <w:bCs/>
          <w:color w:val="000000"/>
        </w:rPr>
        <w:t>o</w:t>
      </w:r>
      <w:r>
        <w:rPr>
          <w:bCs/>
          <w:color w:val="000000"/>
        </w:rPr>
        <w:t>sivos del F.B.I. David Richard Willians y del experto en explos</w:t>
      </w:r>
      <w:r>
        <w:rPr>
          <w:bCs/>
          <w:color w:val="000000"/>
        </w:rPr>
        <w:t>i</w:t>
      </w:r>
      <w:r>
        <w:rPr>
          <w:bCs/>
          <w:color w:val="000000"/>
        </w:rPr>
        <w:t xml:space="preserve">vos de la policía del Estado de Israel, Dani Dror, quienes desconocían los </w:t>
      </w:r>
      <w:r>
        <w:rPr>
          <w:bCs/>
          <w:color w:val="000000"/>
        </w:rPr>
        <w:lastRenderedPageBreak/>
        <w:t xml:space="preserve">medios técnicos utilizados por los profesores de </w:t>
      </w:r>
      <w:smartTag w:uri="urn:schemas-microsoft-com:office:smarttags" w:element="PersonName">
        <w:smartTagPr>
          <w:attr w:name="ProductID" w:val="la Universidad Nacional"/>
        </w:smartTagPr>
        <w:r>
          <w:rPr>
            <w:bCs/>
            <w:color w:val="000000"/>
          </w:rPr>
          <w:t>la Un</w:t>
        </w:r>
        <w:r>
          <w:rPr>
            <w:bCs/>
            <w:color w:val="000000"/>
          </w:rPr>
          <w:t>i</w:t>
        </w:r>
        <w:r>
          <w:rPr>
            <w:bCs/>
            <w:color w:val="000000"/>
          </w:rPr>
          <w:t>versidad Nacional</w:t>
        </w:r>
      </w:smartTag>
      <w:r>
        <w:rPr>
          <w:bCs/>
          <w:color w:val="000000"/>
        </w:rPr>
        <w:t xml:space="preserve"> de Tucumán, efectuando consideraciones negativas respecto al uso de programas de comp</w:t>
      </w:r>
      <w:r>
        <w:rPr>
          <w:bCs/>
          <w:color w:val="000000"/>
        </w:rPr>
        <w:t>u</w:t>
      </w:r>
      <w:r>
        <w:rPr>
          <w:bCs/>
          <w:color w:val="000000"/>
        </w:rPr>
        <w:t>tación para la reconstrucción virtual de sucesos como el de autos, añadiendo que los propios peritos reconocieron que las fórmulas empleadas poseen muchas limitaciones en el t</w:t>
      </w:r>
      <w:r>
        <w:rPr>
          <w:bCs/>
          <w:color w:val="000000"/>
        </w:rPr>
        <w:t>e</w:t>
      </w:r>
      <w:r>
        <w:rPr>
          <w:bCs/>
          <w:color w:val="000000"/>
        </w:rPr>
        <w:t>rreno del campo cercano.</w:t>
      </w:r>
    </w:p>
    <w:p w:rsidR="00224567" w:rsidRDefault="00224567">
      <w:pPr>
        <w:widowControl w:val="0"/>
        <w:tabs>
          <w:tab w:val="left" w:pos="2835"/>
        </w:tabs>
        <w:ind w:firstLine="708"/>
        <w:rPr>
          <w:bCs/>
          <w:color w:val="000000"/>
        </w:rPr>
      </w:pPr>
      <w:r>
        <w:rPr>
          <w:bCs/>
          <w:color w:val="000000"/>
        </w:rPr>
        <w:tab/>
        <w:t>Resaltó también que los peritos ace</w:t>
      </w:r>
      <w:r>
        <w:rPr>
          <w:bCs/>
          <w:color w:val="000000"/>
        </w:rPr>
        <w:t>p</w:t>
      </w:r>
      <w:r>
        <w:rPr>
          <w:bCs/>
          <w:color w:val="000000"/>
        </w:rPr>
        <w:t>taron el cará</w:t>
      </w:r>
      <w:r>
        <w:rPr>
          <w:bCs/>
          <w:color w:val="000000"/>
        </w:rPr>
        <w:t>c</w:t>
      </w:r>
      <w:r>
        <w:rPr>
          <w:bCs/>
          <w:color w:val="000000"/>
        </w:rPr>
        <w:t xml:space="preserve">ter provisorio y tentativo de los planos de estructura de </w:t>
      </w:r>
      <w:smartTag w:uri="urn:schemas-microsoft-com:office:smarttags" w:element="PersonName">
        <w:smartTagPr>
          <w:attr w:name="ProductID" w:val="la A.M"/>
        </w:smartTagPr>
        <w:r>
          <w:rPr>
            <w:bCs/>
            <w:color w:val="000000"/>
          </w:rPr>
          <w:t>la A.M</w:t>
        </w:r>
      </w:smartTag>
      <w:r>
        <w:rPr>
          <w:bCs/>
          <w:color w:val="000000"/>
        </w:rPr>
        <w:t>.I.A. y la necesidad que tuvieron de retocarlos p</w:t>
      </w:r>
      <w:r>
        <w:rPr>
          <w:bCs/>
          <w:color w:val="000000"/>
        </w:rPr>
        <w:t>a</w:t>
      </w:r>
      <w:r>
        <w:rPr>
          <w:bCs/>
          <w:color w:val="000000"/>
        </w:rPr>
        <w:t>ra acercarse a lo que según ellos entendieron era la realidad. Ello, a juicio de la asi</w:t>
      </w:r>
      <w:r>
        <w:rPr>
          <w:bCs/>
          <w:color w:val="000000"/>
        </w:rPr>
        <w:t>s</w:t>
      </w:r>
      <w:r>
        <w:rPr>
          <w:bCs/>
          <w:color w:val="000000"/>
        </w:rPr>
        <w:t>tencia técnica, resta rigor científico al peritaje, ya que cualquier v</w:t>
      </w:r>
      <w:r>
        <w:rPr>
          <w:bCs/>
          <w:color w:val="000000"/>
        </w:rPr>
        <w:t>a</w:t>
      </w:r>
      <w:r>
        <w:rPr>
          <w:bCs/>
          <w:color w:val="000000"/>
        </w:rPr>
        <w:t>riación de las estructuras haría variar sus conclusiones.</w:t>
      </w:r>
    </w:p>
    <w:p w:rsidR="00224567" w:rsidRDefault="00224567">
      <w:pPr>
        <w:widowControl w:val="0"/>
        <w:tabs>
          <w:tab w:val="left" w:pos="2835"/>
        </w:tabs>
        <w:ind w:firstLine="708"/>
        <w:rPr>
          <w:bCs/>
          <w:color w:val="000000"/>
        </w:rPr>
      </w:pPr>
      <w:r>
        <w:rPr>
          <w:bCs/>
          <w:color w:val="000000"/>
        </w:rPr>
        <w:tab/>
        <w:t>Afirmó que los ingenieros tampoco t</w:t>
      </w:r>
      <w:r>
        <w:rPr>
          <w:bCs/>
          <w:color w:val="000000"/>
        </w:rPr>
        <w:t>u</w:t>
      </w:r>
      <w:r>
        <w:rPr>
          <w:bCs/>
          <w:color w:val="000000"/>
        </w:rPr>
        <w:t>vieron en cuenta que el edificio fue construido en disti</w:t>
      </w:r>
      <w:r>
        <w:rPr>
          <w:bCs/>
          <w:color w:val="000000"/>
        </w:rPr>
        <w:t>n</w:t>
      </w:r>
      <w:r>
        <w:rPr>
          <w:bCs/>
          <w:color w:val="000000"/>
        </w:rPr>
        <w:t>tas etapas y que había sido remodelado utilizándose horm</w:t>
      </w:r>
      <w:r>
        <w:rPr>
          <w:bCs/>
          <w:color w:val="000000"/>
        </w:rPr>
        <w:t>i</w:t>
      </w:r>
      <w:r>
        <w:rPr>
          <w:bCs/>
          <w:color w:val="000000"/>
        </w:rPr>
        <w:t>gones de disti</w:t>
      </w:r>
      <w:r>
        <w:rPr>
          <w:bCs/>
          <w:color w:val="000000"/>
        </w:rPr>
        <w:t>n</w:t>
      </w:r>
      <w:r>
        <w:rPr>
          <w:bCs/>
          <w:color w:val="000000"/>
        </w:rPr>
        <w:t>ta calidad.</w:t>
      </w:r>
    </w:p>
    <w:p w:rsidR="00224567" w:rsidRDefault="00224567">
      <w:pPr>
        <w:widowControl w:val="0"/>
        <w:tabs>
          <w:tab w:val="left" w:pos="2835"/>
        </w:tabs>
        <w:ind w:firstLine="708"/>
        <w:rPr>
          <w:bCs/>
          <w:color w:val="000000"/>
        </w:rPr>
      </w:pPr>
      <w:r>
        <w:rPr>
          <w:bCs/>
          <w:color w:val="000000"/>
        </w:rPr>
        <w:tab/>
        <w:t>Concluyó que el sistema de comput</w:t>
      </w:r>
      <w:r>
        <w:rPr>
          <w:bCs/>
          <w:color w:val="000000"/>
        </w:rPr>
        <w:t>a</w:t>
      </w:r>
      <w:r>
        <w:rPr>
          <w:bCs/>
          <w:color w:val="000000"/>
        </w:rPr>
        <w:t>ción fue calibrado utilizándose niveles ideales y, como cons</w:t>
      </w:r>
      <w:r>
        <w:rPr>
          <w:bCs/>
          <w:color w:val="000000"/>
        </w:rPr>
        <w:t>e</w:t>
      </w:r>
      <w:r>
        <w:rPr>
          <w:bCs/>
          <w:color w:val="000000"/>
        </w:rPr>
        <w:t>cuencia, difícilmente las simulaci</w:t>
      </w:r>
      <w:r>
        <w:rPr>
          <w:bCs/>
          <w:color w:val="000000"/>
        </w:rPr>
        <w:t>o</w:t>
      </w:r>
      <w:r>
        <w:rPr>
          <w:bCs/>
          <w:color w:val="000000"/>
        </w:rPr>
        <w:t xml:space="preserve">nes computadas pudieron </w:t>
      </w:r>
      <w:r>
        <w:rPr>
          <w:bCs/>
          <w:color w:val="000000"/>
        </w:rPr>
        <w:lastRenderedPageBreak/>
        <w:t>reflejar el colapso como rea</w:t>
      </w:r>
      <w:r>
        <w:rPr>
          <w:bCs/>
          <w:color w:val="000000"/>
        </w:rPr>
        <w:t>l</w:t>
      </w:r>
      <w:r>
        <w:rPr>
          <w:bCs/>
          <w:color w:val="000000"/>
        </w:rPr>
        <w:t>mente ocurrió.</w:t>
      </w:r>
    </w:p>
    <w:p w:rsidR="00224567" w:rsidRDefault="00224567">
      <w:pPr>
        <w:widowControl w:val="0"/>
        <w:tabs>
          <w:tab w:val="left" w:pos="2835"/>
        </w:tabs>
        <w:ind w:firstLine="708"/>
        <w:rPr>
          <w:bCs/>
        </w:rPr>
      </w:pPr>
      <w:r>
        <w:rPr>
          <w:bCs/>
        </w:rPr>
        <w:tab/>
        <w:t>Por otra parte, adhirió a la nulidad planteada por la defensa de Telleldín respecto de todas las actas de secuestro agregadas en los Informes Prelim</w:t>
      </w:r>
      <w:r>
        <w:rPr>
          <w:bCs/>
        </w:rPr>
        <w:t>i</w:t>
      </w:r>
      <w:r>
        <w:rPr>
          <w:bCs/>
        </w:rPr>
        <w:t>nar y Final de Bomberos. Agregó que para el caso que se considere que la nulidad planteada no es de carácter abs</w:t>
      </w:r>
      <w:r>
        <w:rPr>
          <w:bCs/>
        </w:rPr>
        <w:t>o</w:t>
      </w:r>
      <w:r>
        <w:rPr>
          <w:bCs/>
        </w:rPr>
        <w:t>luto, no ha operado la caducidad del artículo 170 del C.P.P.N., toda vez que la comprobación de las circunsta</w:t>
      </w:r>
      <w:r>
        <w:rPr>
          <w:bCs/>
        </w:rPr>
        <w:t>n</w:t>
      </w:r>
      <w:r>
        <w:rPr>
          <w:bCs/>
        </w:rPr>
        <w:t>cias que dieron sustento al planteo de la defensa de T</w:t>
      </w:r>
      <w:r>
        <w:rPr>
          <w:bCs/>
        </w:rPr>
        <w:t>e</w:t>
      </w:r>
      <w:r>
        <w:rPr>
          <w:bCs/>
        </w:rPr>
        <w:t>lleldín ocurrieron en el debate. También adhirió a la n</w:t>
      </w:r>
      <w:r>
        <w:rPr>
          <w:bCs/>
        </w:rPr>
        <w:t>u</w:t>
      </w:r>
      <w:r>
        <w:rPr>
          <w:bCs/>
        </w:rPr>
        <w:t>lidad articulada por el ab</w:t>
      </w:r>
      <w:r>
        <w:rPr>
          <w:bCs/>
        </w:rPr>
        <w:t>o</w:t>
      </w:r>
      <w:r>
        <w:rPr>
          <w:bCs/>
        </w:rPr>
        <w:t>gado de Memoria Activa y por la fiscalía respecto del acta de secuestro del bloque de m</w:t>
      </w:r>
      <w:r>
        <w:rPr>
          <w:bCs/>
        </w:rPr>
        <w:t>o</w:t>
      </w:r>
      <w:r>
        <w:rPr>
          <w:bCs/>
        </w:rPr>
        <w:t>tor.</w:t>
      </w:r>
    </w:p>
    <w:p w:rsidR="00224567" w:rsidRDefault="00224567">
      <w:pPr>
        <w:widowControl w:val="0"/>
        <w:tabs>
          <w:tab w:val="left" w:pos="2835"/>
        </w:tabs>
        <w:ind w:firstLine="708"/>
        <w:rPr>
          <w:bCs/>
        </w:rPr>
      </w:pPr>
      <w:r>
        <w:rPr>
          <w:bCs/>
        </w:rPr>
        <w:tab/>
        <w:t>Agregó la defensa de Ibarra que los secuestros no pueden probarse por otros medios debido a la clara disposición del artículo 138 del Código Procesal P</w:t>
      </w:r>
      <w:r>
        <w:rPr>
          <w:bCs/>
        </w:rPr>
        <w:t>e</w:t>
      </w:r>
      <w:r>
        <w:rPr>
          <w:bCs/>
        </w:rPr>
        <w:t xml:space="preserve">nal de </w:t>
      </w:r>
      <w:smartTag w:uri="urn:schemas-microsoft-com:office:smarttags" w:element="PersonName">
        <w:smartTagPr>
          <w:attr w:name="ProductID" w:val="la Naci￳n. Afirm￳"/>
        </w:smartTagPr>
        <w:r>
          <w:rPr>
            <w:bCs/>
          </w:rPr>
          <w:t>la Nación. Afirmó</w:t>
        </w:r>
      </w:smartTag>
      <w:r>
        <w:rPr>
          <w:bCs/>
        </w:rPr>
        <w:t xml:space="preserve"> que en el caso, no hay ninguna otra vía por la cual se puedan probar los hallazgos, b</w:t>
      </w:r>
      <w:r>
        <w:rPr>
          <w:bCs/>
        </w:rPr>
        <w:t>a</w:t>
      </w:r>
      <w:r>
        <w:rPr>
          <w:bCs/>
        </w:rPr>
        <w:t>sándose en que los distintos testimonios recibidos y el</w:t>
      </w:r>
      <w:r>
        <w:rPr>
          <w:bCs/>
        </w:rPr>
        <w:t>e</w:t>
      </w:r>
      <w:r>
        <w:rPr>
          <w:bCs/>
        </w:rPr>
        <w:t xml:space="preserve">mentos incorporados al debate, no permiten determinar las </w:t>
      </w:r>
      <w:r>
        <w:rPr>
          <w:bCs/>
        </w:rPr>
        <w:lastRenderedPageBreak/>
        <w:t>circunstancias de modo, tiempo y lugar en que supuestame</w:t>
      </w:r>
      <w:r>
        <w:rPr>
          <w:bCs/>
        </w:rPr>
        <w:t>n</w:t>
      </w:r>
      <w:r>
        <w:rPr>
          <w:bCs/>
        </w:rPr>
        <w:t>te se produjo la recolección de cada una de las pi</w:t>
      </w:r>
      <w:r>
        <w:rPr>
          <w:bCs/>
        </w:rPr>
        <w:t>e</w:t>
      </w:r>
      <w:r>
        <w:rPr>
          <w:bCs/>
        </w:rPr>
        <w:t>zas de la c</w:t>
      </w:r>
      <w:r>
        <w:rPr>
          <w:bCs/>
        </w:rPr>
        <w:t>a</w:t>
      </w:r>
      <w:r>
        <w:rPr>
          <w:bCs/>
        </w:rPr>
        <w:t>mioneta.</w:t>
      </w:r>
    </w:p>
    <w:p w:rsidR="00224567" w:rsidRDefault="00224567">
      <w:pPr>
        <w:widowControl w:val="0"/>
        <w:tabs>
          <w:tab w:val="left" w:pos="2835"/>
        </w:tabs>
        <w:ind w:firstLine="708"/>
        <w:rPr>
          <w:bCs/>
        </w:rPr>
      </w:pPr>
      <w:r>
        <w:rPr>
          <w:bCs/>
        </w:rPr>
        <w:tab/>
        <w:t>Destacó la defensa que hay una gran cantidad de piezas que no cuentan con la correspondiente acta y que su búsqueda se hizo de una manera tan desafo</w:t>
      </w:r>
      <w:r>
        <w:rPr>
          <w:bCs/>
        </w:rPr>
        <w:t>r</w:t>
      </w:r>
      <w:r>
        <w:rPr>
          <w:bCs/>
        </w:rPr>
        <w:t>tunada que imp</w:t>
      </w:r>
      <w:r>
        <w:rPr>
          <w:bCs/>
        </w:rPr>
        <w:t>i</w:t>
      </w:r>
      <w:r>
        <w:rPr>
          <w:bCs/>
        </w:rPr>
        <w:t xml:space="preserve">dió determinar quién, cómo, dónde y cuándo se halló cada uno de los elementos que conformaban </w:t>
      </w:r>
      <w:smartTag w:uri="urn:schemas-microsoft-com:office:smarttags" w:element="PersonName">
        <w:smartTagPr>
          <w:attr w:name="ProductID" w:val="la Trafic."/>
        </w:smartTagPr>
        <w:r>
          <w:rPr>
            <w:bCs/>
          </w:rPr>
          <w:t>la Tr</w:t>
        </w:r>
        <w:r>
          <w:rPr>
            <w:bCs/>
          </w:rPr>
          <w:t>a</w:t>
        </w:r>
        <w:r>
          <w:rPr>
            <w:bCs/>
          </w:rPr>
          <w:t>fic.</w:t>
        </w:r>
      </w:smartTag>
    </w:p>
    <w:p w:rsidR="00224567" w:rsidRDefault="00224567">
      <w:pPr>
        <w:widowControl w:val="0"/>
        <w:tabs>
          <w:tab w:val="left" w:pos="2835"/>
        </w:tabs>
        <w:ind w:firstLine="708"/>
        <w:rPr>
          <w:bCs/>
        </w:rPr>
      </w:pPr>
      <w:r>
        <w:rPr>
          <w:bCs/>
        </w:rPr>
        <w:tab/>
        <w:t>Afirmó que se desconoce cuál fue el criterio utilizado en la selección de las piezas a secue</w:t>
      </w:r>
      <w:r>
        <w:rPr>
          <w:bCs/>
        </w:rPr>
        <w:t>s</w:t>
      </w:r>
      <w:r>
        <w:rPr>
          <w:bCs/>
        </w:rPr>
        <w:t>trar en el centro de operaciones armado en el local de M</w:t>
      </w:r>
      <w:r>
        <w:rPr>
          <w:bCs/>
        </w:rPr>
        <w:t>o</w:t>
      </w:r>
      <w:r>
        <w:rPr>
          <w:bCs/>
        </w:rPr>
        <w:t>ragues, y que nada se sabe de las piezas descartadas, ya que éstas no fueron registradas, ni inventariadas fotogr</w:t>
      </w:r>
      <w:r>
        <w:rPr>
          <w:bCs/>
        </w:rPr>
        <w:t>a</w:t>
      </w:r>
      <w:r>
        <w:rPr>
          <w:bCs/>
        </w:rPr>
        <w:t>fiadas o consign</w:t>
      </w:r>
      <w:r>
        <w:rPr>
          <w:bCs/>
        </w:rPr>
        <w:t>a</w:t>
      </w:r>
      <w:r>
        <w:rPr>
          <w:bCs/>
        </w:rPr>
        <w:t>das en un acta general.</w:t>
      </w:r>
    </w:p>
    <w:p w:rsidR="00224567" w:rsidRDefault="00224567">
      <w:pPr>
        <w:widowControl w:val="0"/>
        <w:tabs>
          <w:tab w:val="left" w:pos="2835"/>
        </w:tabs>
        <w:ind w:firstLine="708"/>
        <w:rPr>
          <w:bCs/>
        </w:rPr>
      </w:pPr>
      <w:r>
        <w:rPr>
          <w:bCs/>
        </w:rPr>
        <w:tab/>
        <w:t>Consideró probado que en ese ce</w:t>
      </w:r>
      <w:r>
        <w:rPr>
          <w:bCs/>
        </w:rPr>
        <w:t>n</w:t>
      </w:r>
      <w:r>
        <w:rPr>
          <w:bCs/>
        </w:rPr>
        <w:t>tro de operaciones se les asignaba una numeración a las piezas en el piz</w:t>
      </w:r>
      <w:r>
        <w:rPr>
          <w:bCs/>
        </w:rPr>
        <w:t>a</w:t>
      </w:r>
      <w:r>
        <w:rPr>
          <w:bCs/>
        </w:rPr>
        <w:t>rrón, donde se representaba el lugar aproximado de los supuestos hallazgos, no pudiéndose determinar de man</w:t>
      </w:r>
      <w:r>
        <w:rPr>
          <w:bCs/>
        </w:rPr>
        <w:t>e</w:t>
      </w:r>
      <w:r>
        <w:rPr>
          <w:bCs/>
        </w:rPr>
        <w:t>ra fehaciente qué era lo que anotaban los bomberos en ese lugar: si eran t</w:t>
      </w:r>
      <w:r>
        <w:rPr>
          <w:bCs/>
        </w:rPr>
        <w:t>o</w:t>
      </w:r>
      <w:r>
        <w:rPr>
          <w:bCs/>
        </w:rPr>
        <w:t xml:space="preserve">das las piezas que se llevaban al centro </w:t>
      </w:r>
      <w:r>
        <w:rPr>
          <w:bCs/>
        </w:rPr>
        <w:lastRenderedPageBreak/>
        <w:t>de operaciones; si sólo se anotaban las que no descart</w:t>
      </w:r>
      <w:r>
        <w:rPr>
          <w:bCs/>
        </w:rPr>
        <w:t>a</w:t>
      </w:r>
      <w:r>
        <w:rPr>
          <w:bCs/>
        </w:rPr>
        <w:t>ban; o si se anotaba el número de bolsa en la que se col</w:t>
      </w:r>
      <w:r>
        <w:rPr>
          <w:bCs/>
        </w:rPr>
        <w:t>o</w:t>
      </w:r>
      <w:r>
        <w:rPr>
          <w:bCs/>
        </w:rPr>
        <w:t>caban varios el</w:t>
      </w:r>
      <w:r>
        <w:rPr>
          <w:bCs/>
        </w:rPr>
        <w:t>e</w:t>
      </w:r>
      <w:r>
        <w:rPr>
          <w:bCs/>
        </w:rPr>
        <w:t>mentos a la vez.</w:t>
      </w:r>
    </w:p>
    <w:p w:rsidR="00224567" w:rsidRDefault="00224567">
      <w:pPr>
        <w:widowControl w:val="0"/>
        <w:tabs>
          <w:tab w:val="left" w:pos="2835"/>
        </w:tabs>
        <w:ind w:firstLine="708"/>
        <w:rPr>
          <w:bCs/>
        </w:rPr>
      </w:pPr>
      <w:r>
        <w:rPr>
          <w:bCs/>
        </w:rPr>
        <w:tab/>
        <w:t>Destacó que además de la numeración que se le asignaba a cada una de las piezas había simult</w:t>
      </w:r>
      <w:r>
        <w:rPr>
          <w:bCs/>
        </w:rPr>
        <w:t>á</w:t>
      </w:r>
      <w:r>
        <w:rPr>
          <w:bCs/>
        </w:rPr>
        <w:t>neamente otra, ya que éstas eran colocadas en una misma bolsa, y a esa bolsa se le asignaba una nueva n</w:t>
      </w:r>
      <w:r>
        <w:rPr>
          <w:bCs/>
        </w:rPr>
        <w:t>u</w:t>
      </w:r>
      <w:r>
        <w:rPr>
          <w:bCs/>
        </w:rPr>
        <w:t>meración. Ello surge claramente –a criterio de la defensa- del an</w:t>
      </w:r>
      <w:r>
        <w:rPr>
          <w:bCs/>
        </w:rPr>
        <w:t>á</w:t>
      </w:r>
      <w:r>
        <w:rPr>
          <w:bCs/>
        </w:rPr>
        <w:t>lisis de las a</w:t>
      </w:r>
      <w:r>
        <w:rPr>
          <w:bCs/>
        </w:rPr>
        <w:t>c</w:t>
      </w:r>
      <w:r>
        <w:rPr>
          <w:bCs/>
        </w:rPr>
        <w:t>tas de reconocimiento de “C.I.A.D.E.A.”, ya que luego de la selección de piezas, y con esta doble n</w:t>
      </w:r>
      <w:r>
        <w:rPr>
          <w:bCs/>
        </w:rPr>
        <w:t>u</w:t>
      </w:r>
      <w:r>
        <w:rPr>
          <w:bCs/>
        </w:rPr>
        <w:t>meración, las mismas eran trasladadas al Departamento Ce</w:t>
      </w:r>
      <w:r>
        <w:rPr>
          <w:bCs/>
        </w:rPr>
        <w:t>n</w:t>
      </w:r>
      <w:r>
        <w:rPr>
          <w:bCs/>
        </w:rPr>
        <w:t>tral donde el personal de la empresa automotriz más cap</w:t>
      </w:r>
      <w:r>
        <w:rPr>
          <w:bCs/>
        </w:rPr>
        <w:t>a</w:t>
      </w:r>
      <w:r>
        <w:rPr>
          <w:bCs/>
        </w:rPr>
        <w:t>citado realizaba un examen de esos elementos dete</w:t>
      </w:r>
      <w:r>
        <w:rPr>
          <w:bCs/>
        </w:rPr>
        <w:t>r</w:t>
      </w:r>
      <w:r>
        <w:rPr>
          <w:bCs/>
        </w:rPr>
        <w:t>minando cuáles eran componentes de una Tr</w:t>
      </w:r>
      <w:r>
        <w:rPr>
          <w:bCs/>
        </w:rPr>
        <w:t>a</w:t>
      </w:r>
      <w:r>
        <w:rPr>
          <w:bCs/>
        </w:rPr>
        <w:t>fic.</w:t>
      </w:r>
    </w:p>
    <w:p w:rsidR="00224567" w:rsidRDefault="00224567">
      <w:pPr>
        <w:widowControl w:val="0"/>
        <w:tabs>
          <w:tab w:val="left" w:pos="2835"/>
        </w:tabs>
        <w:ind w:firstLine="708"/>
        <w:rPr>
          <w:bCs/>
        </w:rPr>
      </w:pPr>
      <w:r>
        <w:rPr>
          <w:bCs/>
        </w:rPr>
        <w:tab/>
        <w:t>Debido a todas esas omisiones y conf</w:t>
      </w:r>
      <w:r>
        <w:rPr>
          <w:bCs/>
        </w:rPr>
        <w:t>u</w:t>
      </w:r>
      <w:r>
        <w:rPr>
          <w:bCs/>
        </w:rPr>
        <w:t>siones, sumadas a las imprecisiones y ambigüedad de las actas, consideró imposible seguir el rastro que recorri</w:t>
      </w:r>
      <w:r>
        <w:rPr>
          <w:bCs/>
        </w:rPr>
        <w:t>e</w:t>
      </w:r>
      <w:r>
        <w:rPr>
          <w:bCs/>
        </w:rPr>
        <w:t>ron las piezas desde que fueron halladas, y puso de resa</w:t>
      </w:r>
      <w:r>
        <w:rPr>
          <w:bCs/>
        </w:rPr>
        <w:t>l</w:t>
      </w:r>
      <w:r>
        <w:rPr>
          <w:bCs/>
        </w:rPr>
        <w:t xml:space="preserve">to la defensa que otra cuestión  destacable al respecto era lo relativo a la actuación de los agentes de </w:t>
      </w:r>
      <w:smartTag w:uri="urn:schemas-microsoft-com:office:smarttags" w:element="PersonName">
        <w:smartTagPr>
          <w:attr w:name="ProductID" w:val="la S.I"/>
        </w:smartTagPr>
        <w:r>
          <w:rPr>
            <w:bCs/>
          </w:rPr>
          <w:t xml:space="preserve">la </w:t>
        </w:r>
        <w:r>
          <w:rPr>
            <w:bCs/>
          </w:rPr>
          <w:lastRenderedPageBreak/>
          <w:t>S.I</w:t>
        </w:r>
      </w:smartTag>
      <w:r>
        <w:rPr>
          <w:bCs/>
        </w:rPr>
        <w:t>.D.E. en el l</w:t>
      </w:r>
      <w:r>
        <w:rPr>
          <w:bCs/>
        </w:rPr>
        <w:t>u</w:t>
      </w:r>
      <w:r>
        <w:rPr>
          <w:bCs/>
        </w:rPr>
        <w:t>gar del hecho.</w:t>
      </w:r>
    </w:p>
    <w:p w:rsidR="00224567" w:rsidRDefault="00224567">
      <w:pPr>
        <w:widowControl w:val="0"/>
        <w:tabs>
          <w:tab w:val="left" w:pos="2835"/>
        </w:tabs>
        <w:ind w:firstLine="708"/>
        <w:rPr>
          <w:bCs/>
        </w:rPr>
      </w:pPr>
      <w:r>
        <w:rPr>
          <w:bCs/>
        </w:rPr>
        <w:tab/>
        <w:t>Así, la asistencia técnica reco</w:t>
      </w:r>
      <w:r>
        <w:rPr>
          <w:bCs/>
        </w:rPr>
        <w:t>r</w:t>
      </w:r>
      <w:r>
        <w:rPr>
          <w:bCs/>
        </w:rPr>
        <w:t>dó que Néstor Ricardo Hernández y Daniel Alberto Fernández dij</w:t>
      </w:r>
      <w:r>
        <w:rPr>
          <w:bCs/>
        </w:rPr>
        <w:t>e</w:t>
      </w:r>
      <w:r>
        <w:rPr>
          <w:bCs/>
        </w:rPr>
        <w:t>ron que el mismo día del atentado recogieron un resto de chapa de la supuesta camioneta de un estacionamiento ub</w:t>
      </w:r>
      <w:r>
        <w:rPr>
          <w:bCs/>
        </w:rPr>
        <w:t>i</w:t>
      </w:r>
      <w:r>
        <w:rPr>
          <w:bCs/>
        </w:rPr>
        <w:t>cado en L</w:t>
      </w:r>
      <w:r>
        <w:rPr>
          <w:bCs/>
        </w:rPr>
        <w:t>a</w:t>
      </w:r>
      <w:r>
        <w:rPr>
          <w:bCs/>
        </w:rPr>
        <w:t>rrea y Tucumán y que durante esa primera semana, otros integrantes del grupo de contrainteligencia recole</w:t>
      </w:r>
      <w:r>
        <w:rPr>
          <w:bCs/>
        </w:rPr>
        <w:t>c</w:t>
      </w:r>
      <w:r>
        <w:rPr>
          <w:bCs/>
        </w:rPr>
        <w:t>taron diez ch</w:t>
      </w:r>
      <w:r>
        <w:rPr>
          <w:bCs/>
        </w:rPr>
        <w:t>a</w:t>
      </w:r>
      <w:r>
        <w:rPr>
          <w:bCs/>
        </w:rPr>
        <w:t>pas y un pedazo de volquete de cinco o seis kilos que hallaron en una terraza a doscientos o trescie</w:t>
      </w:r>
      <w:r>
        <w:rPr>
          <w:bCs/>
        </w:rPr>
        <w:t>n</w:t>
      </w:r>
      <w:r>
        <w:rPr>
          <w:bCs/>
        </w:rPr>
        <w:t>tos metros del lugar, sin labrar actuación alguna y sin que se diera cuenta a personal policial o de bo</w:t>
      </w:r>
      <w:r>
        <w:rPr>
          <w:bCs/>
        </w:rPr>
        <w:t>m</w:t>
      </w:r>
      <w:r>
        <w:rPr>
          <w:bCs/>
        </w:rPr>
        <w:t>beros.</w:t>
      </w:r>
    </w:p>
    <w:p w:rsidR="00224567" w:rsidRDefault="00224567">
      <w:pPr>
        <w:widowControl w:val="0"/>
        <w:tabs>
          <w:tab w:val="left" w:pos="2835"/>
        </w:tabs>
        <w:ind w:firstLine="708"/>
        <w:rPr>
          <w:bCs/>
        </w:rPr>
      </w:pPr>
      <w:r>
        <w:rPr>
          <w:bCs/>
        </w:rPr>
        <w:tab/>
        <w:t>Respecto del primer hallazgo produc</w:t>
      </w:r>
      <w:r>
        <w:rPr>
          <w:bCs/>
        </w:rPr>
        <w:t>i</w:t>
      </w:r>
      <w:r>
        <w:rPr>
          <w:bCs/>
        </w:rPr>
        <w:t>do en el estacionamiento de la calle Larrea 553, destacó la defensa que era curioso que un acta de fecha 21 de julio de 1994 firmada por el subinspector Scalise del Depart</w:t>
      </w:r>
      <w:r>
        <w:rPr>
          <w:bCs/>
        </w:rPr>
        <w:t>a</w:t>
      </w:r>
      <w:r>
        <w:rPr>
          <w:bCs/>
        </w:rPr>
        <w:t>mento de Explosivos obrante a fs. 204 del Informe Prelim</w:t>
      </w:r>
      <w:r>
        <w:rPr>
          <w:bCs/>
        </w:rPr>
        <w:t>i</w:t>
      </w:r>
      <w:r>
        <w:rPr>
          <w:bCs/>
        </w:rPr>
        <w:t>nar de bomberos, de cuenta que se secuestraron restos m</w:t>
      </w:r>
      <w:r>
        <w:rPr>
          <w:bCs/>
        </w:rPr>
        <w:t>e</w:t>
      </w:r>
      <w:r>
        <w:rPr>
          <w:bCs/>
        </w:rPr>
        <w:t>tálicos en ese lugar en presencia del testigo Juan López.</w:t>
      </w:r>
    </w:p>
    <w:p w:rsidR="00224567" w:rsidRDefault="00224567">
      <w:pPr>
        <w:widowControl w:val="0"/>
        <w:tabs>
          <w:tab w:val="left" w:pos="2835"/>
        </w:tabs>
        <w:ind w:firstLine="708"/>
        <w:rPr>
          <w:bCs/>
        </w:rPr>
      </w:pPr>
      <w:r>
        <w:rPr>
          <w:bCs/>
        </w:rPr>
        <w:tab/>
        <w:t>Afirmó el defensor que, indudableme</w:t>
      </w:r>
      <w:r>
        <w:rPr>
          <w:bCs/>
        </w:rPr>
        <w:t>n</w:t>
      </w:r>
      <w:r>
        <w:rPr>
          <w:bCs/>
        </w:rPr>
        <w:t>te, el acta es falsa por no reflejar la realidad del suc</w:t>
      </w:r>
      <w:r>
        <w:rPr>
          <w:bCs/>
        </w:rPr>
        <w:t>e</w:t>
      </w:r>
      <w:r>
        <w:rPr>
          <w:bCs/>
        </w:rPr>
        <w:t>so que pretende documentar y que su contenido es ideológ</w:t>
      </w:r>
      <w:r>
        <w:rPr>
          <w:bCs/>
        </w:rPr>
        <w:t>i</w:t>
      </w:r>
      <w:r>
        <w:rPr>
          <w:bCs/>
        </w:rPr>
        <w:lastRenderedPageBreak/>
        <w:t>camente falso, en virtud de lo declarado por el testigo López quien, si bien recon</w:t>
      </w:r>
      <w:r>
        <w:rPr>
          <w:bCs/>
        </w:rPr>
        <w:t>o</w:t>
      </w:r>
      <w:r>
        <w:rPr>
          <w:bCs/>
        </w:rPr>
        <w:t>ció su firma en el acta, aclaró lo ocurrido realme</w:t>
      </w:r>
      <w:r>
        <w:rPr>
          <w:bCs/>
        </w:rPr>
        <w:t>n</w:t>
      </w:r>
      <w:r>
        <w:rPr>
          <w:bCs/>
        </w:rPr>
        <w:t>te.</w:t>
      </w:r>
    </w:p>
    <w:p w:rsidR="00224567" w:rsidRDefault="00224567">
      <w:pPr>
        <w:widowControl w:val="0"/>
        <w:tabs>
          <w:tab w:val="left" w:pos="2835"/>
        </w:tabs>
        <w:ind w:firstLine="708"/>
        <w:rPr>
          <w:bCs/>
        </w:rPr>
      </w:pPr>
      <w:r>
        <w:rPr>
          <w:bCs/>
        </w:rPr>
        <w:tab/>
        <w:t>Según la defensa, esta maniobra pru</w:t>
      </w:r>
      <w:r>
        <w:rPr>
          <w:bCs/>
        </w:rPr>
        <w:t>e</w:t>
      </w:r>
      <w:r>
        <w:rPr>
          <w:bCs/>
        </w:rPr>
        <w:t>ba que no se puede saber si las demás piezas secuestr</w:t>
      </w:r>
      <w:r>
        <w:rPr>
          <w:bCs/>
        </w:rPr>
        <w:t>a</w:t>
      </w:r>
      <w:r>
        <w:rPr>
          <w:bCs/>
        </w:rPr>
        <w:t xml:space="preserve">das por personal de </w:t>
      </w:r>
      <w:smartTag w:uri="urn:schemas-microsoft-com:office:smarttags" w:element="PersonName">
        <w:smartTagPr>
          <w:attr w:name="ProductID" w:val="la Secretar￭a"/>
        </w:smartTagPr>
        <w:r>
          <w:rPr>
            <w:bCs/>
          </w:rPr>
          <w:t>la Secretaría</w:t>
        </w:r>
      </w:smartTag>
      <w:r>
        <w:rPr>
          <w:bCs/>
        </w:rPr>
        <w:t xml:space="preserve"> de Intel</w:t>
      </w:r>
      <w:r>
        <w:rPr>
          <w:bCs/>
        </w:rPr>
        <w:t>i</w:t>
      </w:r>
      <w:r>
        <w:rPr>
          <w:bCs/>
        </w:rPr>
        <w:t>gencia de Estado fueron incorporadas al informe pericial, si fueron reconocidas por “C.I.A.D.E.A.”, y dónde fueron halladas cada una de ellas o, lo que sería peor, que el personal de bomberos labró actas de secuestros respecto de los hallazgos así producidos en atención a la impunidad e irre</w:t>
      </w:r>
      <w:r>
        <w:rPr>
          <w:bCs/>
        </w:rPr>
        <w:t>s</w:t>
      </w:r>
      <w:r>
        <w:rPr>
          <w:bCs/>
        </w:rPr>
        <w:t>ponsabilidad con la que se manejaron. Inclusive, afirmó, es probable que hayan confeccionado actas adjudicándose falsamente el hallazgo de estas piezas y que estén agregadas en alguno de los informes.</w:t>
      </w:r>
    </w:p>
    <w:p w:rsidR="00224567" w:rsidRDefault="00224567">
      <w:pPr>
        <w:widowControl w:val="0"/>
        <w:tabs>
          <w:tab w:val="left" w:pos="2835"/>
        </w:tabs>
        <w:ind w:firstLine="708"/>
        <w:rPr>
          <w:bCs/>
        </w:rPr>
      </w:pPr>
      <w:r>
        <w:rPr>
          <w:bCs/>
        </w:rPr>
        <w:tab/>
        <w:t>Otro de los secuestros cuestionados por la defensa fue el de una tapa de cilindros sobre la que declaró el gruero Iván Ziminov, quién la reconoció c</w:t>
      </w:r>
      <w:r>
        <w:rPr>
          <w:bCs/>
        </w:rPr>
        <w:t>o</w:t>
      </w:r>
      <w:r>
        <w:rPr>
          <w:bCs/>
        </w:rPr>
        <w:t xml:space="preserve">mo la pieza nº 56 y cuyos dichos contradicen lo plasmado en el acta de fs. 226 del Informe Preliminar, donde el </w:t>
      </w:r>
      <w:r>
        <w:rPr>
          <w:bCs/>
        </w:rPr>
        <w:lastRenderedPageBreak/>
        <w:t>sargento Félix Estévez documenta el secuestro.</w:t>
      </w:r>
    </w:p>
    <w:p w:rsidR="00224567" w:rsidRDefault="00224567">
      <w:pPr>
        <w:widowControl w:val="0"/>
        <w:tabs>
          <w:tab w:val="left" w:pos="2835"/>
        </w:tabs>
        <w:ind w:firstLine="708"/>
        <w:rPr>
          <w:bCs/>
        </w:rPr>
      </w:pPr>
      <w:r>
        <w:rPr>
          <w:bCs/>
        </w:rPr>
        <w:tab/>
        <w:t>Añadió el defensor que las obj</w:t>
      </w:r>
      <w:r>
        <w:rPr>
          <w:bCs/>
        </w:rPr>
        <w:t>e</w:t>
      </w:r>
      <w:r>
        <w:rPr>
          <w:bCs/>
        </w:rPr>
        <w:t>ciones que efectuó respecto de las tareas de recolección de ev</w:t>
      </w:r>
      <w:r>
        <w:rPr>
          <w:bCs/>
        </w:rPr>
        <w:t>i</w:t>
      </w:r>
      <w:r>
        <w:rPr>
          <w:bCs/>
        </w:rPr>
        <w:t>dencias, son aplicables también a las piezas supue</w:t>
      </w:r>
      <w:r>
        <w:rPr>
          <w:bCs/>
        </w:rPr>
        <w:t>s</w:t>
      </w:r>
      <w:r>
        <w:rPr>
          <w:bCs/>
        </w:rPr>
        <w:t>tamente halladas en Ciudad Universitaria, en virtud de una cust</w:t>
      </w:r>
      <w:r>
        <w:rPr>
          <w:bCs/>
        </w:rPr>
        <w:t>o</w:t>
      </w:r>
      <w:r>
        <w:rPr>
          <w:bCs/>
        </w:rPr>
        <w:t>dia absolutamente deficiente y que algunas a</w:t>
      </w:r>
      <w:r>
        <w:rPr>
          <w:bCs/>
        </w:rPr>
        <w:t>c</w:t>
      </w:r>
      <w:r>
        <w:rPr>
          <w:bCs/>
        </w:rPr>
        <w:t>tas labradas en ese lugar, lo fueron sin testigos o con uno solo.</w:t>
      </w:r>
    </w:p>
    <w:p w:rsidR="00224567" w:rsidRDefault="00224567">
      <w:pPr>
        <w:widowControl w:val="0"/>
        <w:tabs>
          <w:tab w:val="left" w:pos="2835"/>
        </w:tabs>
        <w:ind w:firstLine="708"/>
        <w:rPr>
          <w:bCs/>
        </w:rPr>
      </w:pPr>
      <w:r>
        <w:rPr>
          <w:bCs/>
        </w:rPr>
        <w:tab/>
        <w:t>Resaltó que todas las personas que oficiaron como testigos y que declararon en la audiencia afirmaron enfáticamente que no presenciaron el m</w:t>
      </w:r>
      <w:r>
        <w:rPr>
          <w:bCs/>
        </w:rPr>
        <w:t>o</w:t>
      </w:r>
      <w:r>
        <w:rPr>
          <w:bCs/>
        </w:rPr>
        <w:t>mento de los hallazgos, sino que fueron convocados con posterior</w:t>
      </w:r>
      <w:r>
        <w:rPr>
          <w:bCs/>
        </w:rPr>
        <w:t>i</w:t>
      </w:r>
      <w:r>
        <w:rPr>
          <w:bCs/>
        </w:rPr>
        <w:t>dad.</w:t>
      </w:r>
    </w:p>
    <w:p w:rsidR="00224567" w:rsidRDefault="00224567">
      <w:pPr>
        <w:widowControl w:val="0"/>
        <w:tabs>
          <w:tab w:val="left" w:pos="2835"/>
        </w:tabs>
        <w:ind w:firstLine="708"/>
        <w:rPr>
          <w:bCs/>
        </w:rPr>
      </w:pPr>
      <w:r>
        <w:rPr>
          <w:bCs/>
        </w:rPr>
        <w:tab/>
        <w:t>A criterio de la defensa, lo hecho con los restos de carrocería supera en irregularidad al desa</w:t>
      </w:r>
      <w:r>
        <w:rPr>
          <w:bCs/>
        </w:rPr>
        <w:t>s</w:t>
      </w:r>
      <w:r>
        <w:rPr>
          <w:bCs/>
        </w:rPr>
        <w:t>tre que se hizo con las partes mec</w:t>
      </w:r>
      <w:r>
        <w:rPr>
          <w:bCs/>
        </w:rPr>
        <w:t>á</w:t>
      </w:r>
      <w:r>
        <w:rPr>
          <w:bCs/>
        </w:rPr>
        <w:t>nicas. Así, sostuvo que en el I</w:t>
      </w:r>
      <w:r>
        <w:rPr>
          <w:bCs/>
        </w:rPr>
        <w:t>n</w:t>
      </w:r>
      <w:r>
        <w:rPr>
          <w:bCs/>
        </w:rPr>
        <w:t>forme Preeliminar se menciona qué restos de chapa se r</w:t>
      </w:r>
      <w:r>
        <w:rPr>
          <w:bCs/>
        </w:rPr>
        <w:t>e</w:t>
      </w:r>
      <w:r>
        <w:rPr>
          <w:bCs/>
        </w:rPr>
        <w:t>mitieron a “C.I.A.D.E.A.” en la provincia de Córdoba para ser an</w:t>
      </w:r>
      <w:r>
        <w:rPr>
          <w:bCs/>
        </w:rPr>
        <w:t>a</w:t>
      </w:r>
      <w:r>
        <w:rPr>
          <w:bCs/>
        </w:rPr>
        <w:t>lizados por expertos.</w:t>
      </w:r>
    </w:p>
    <w:p w:rsidR="00224567" w:rsidRDefault="00224567">
      <w:pPr>
        <w:widowControl w:val="0"/>
        <w:tabs>
          <w:tab w:val="left" w:pos="2835"/>
        </w:tabs>
        <w:ind w:firstLine="708"/>
        <w:rPr>
          <w:bCs/>
        </w:rPr>
      </w:pPr>
      <w:r>
        <w:rPr>
          <w:bCs/>
        </w:rPr>
        <w:tab/>
        <w:t>Agregó que hubo dos envíos de chapas pintadas y de diferentes tamaños y que, además de la a</w:t>
      </w:r>
      <w:r>
        <w:rPr>
          <w:bCs/>
        </w:rPr>
        <w:t>u</w:t>
      </w:r>
      <w:r>
        <w:rPr>
          <w:bCs/>
        </w:rPr>
        <w:t xml:space="preserve">sencia de las actas respectivas, el personal de bomberos </w:t>
      </w:r>
      <w:r>
        <w:rPr>
          <w:bCs/>
        </w:rPr>
        <w:lastRenderedPageBreak/>
        <w:t>no documentó dichas remisiones, por lo que resulta impos</w:t>
      </w:r>
      <w:r>
        <w:rPr>
          <w:bCs/>
        </w:rPr>
        <w:t>i</w:t>
      </w:r>
      <w:r>
        <w:rPr>
          <w:bCs/>
        </w:rPr>
        <w:t>ble determinar la cantidad de chapa enviada, su forma, y cuá</w:t>
      </w:r>
      <w:r>
        <w:rPr>
          <w:bCs/>
        </w:rPr>
        <w:t>n</w:t>
      </w:r>
      <w:r>
        <w:rPr>
          <w:bCs/>
        </w:rPr>
        <w:t>do, dónde o cómo fueron halladas.</w:t>
      </w:r>
    </w:p>
    <w:p w:rsidR="00224567" w:rsidRDefault="00224567">
      <w:pPr>
        <w:widowControl w:val="0"/>
        <w:tabs>
          <w:tab w:val="left" w:pos="2835"/>
        </w:tabs>
        <w:ind w:firstLine="708"/>
        <w:rPr>
          <w:bCs/>
        </w:rPr>
      </w:pPr>
      <w:r>
        <w:rPr>
          <w:bCs/>
        </w:rPr>
        <w:tab/>
        <w:t>Destacó la defensa que en “C.I.A.D.E.A.” se reconocieron doscientos sesenta restos de chapa, como surge del informe de fs. 14.304 y que es imposible saber si existe algún acta que documente el h</w:t>
      </w:r>
      <w:r>
        <w:rPr>
          <w:bCs/>
        </w:rPr>
        <w:t>a</w:t>
      </w:r>
      <w:r>
        <w:rPr>
          <w:bCs/>
        </w:rPr>
        <w:t>llazgo de alguno de estos restos. Sobre el particular, el defensor hizo mención a la presentación efectuada a fs. 6093/6098 por el periodista Jorge Lanata con la que se aportaron 101 restos de chapa con pi</w:t>
      </w:r>
      <w:r>
        <w:rPr>
          <w:bCs/>
        </w:rPr>
        <w:t>n</w:t>
      </w:r>
      <w:r>
        <w:rPr>
          <w:bCs/>
        </w:rPr>
        <w:t>tura blanca y beige, de tamaño variable, oxidadas y con sus bordes irregulares, producto de desgarres. Destacó que el juez ordenó, a fs. 6126, remitir estos restos al departamento de explosivos para que sean perit</w:t>
      </w:r>
      <w:r>
        <w:rPr>
          <w:bCs/>
        </w:rPr>
        <w:t>a</w:t>
      </w:r>
      <w:r>
        <w:rPr>
          <w:bCs/>
        </w:rPr>
        <w:t>dos, agregando que estos elementos no fueron identific</w:t>
      </w:r>
      <w:r>
        <w:rPr>
          <w:bCs/>
        </w:rPr>
        <w:t>a</w:t>
      </w:r>
      <w:r>
        <w:rPr>
          <w:bCs/>
        </w:rPr>
        <w:t>dos, por lo que no se sabe si se cumplió con lo ordenado, o si fueron reconocidos, como perten</w:t>
      </w:r>
      <w:r>
        <w:rPr>
          <w:bCs/>
        </w:rPr>
        <w:t>e</w:t>
      </w:r>
      <w:r>
        <w:rPr>
          <w:bCs/>
        </w:rPr>
        <w:t>cientes a una camioneta Trafic. En igual sentido, se e</w:t>
      </w:r>
      <w:r>
        <w:rPr>
          <w:bCs/>
        </w:rPr>
        <w:t>x</w:t>
      </w:r>
      <w:r>
        <w:rPr>
          <w:bCs/>
        </w:rPr>
        <w:t>presó respecto a los pedazos de chapa cuyo secuestro se doc</w:t>
      </w:r>
      <w:r>
        <w:rPr>
          <w:bCs/>
        </w:rPr>
        <w:t>u</w:t>
      </w:r>
      <w:r>
        <w:rPr>
          <w:bCs/>
        </w:rPr>
        <w:t>mentó a fs. 8777.</w:t>
      </w:r>
    </w:p>
    <w:p w:rsidR="00224567" w:rsidRDefault="00224567">
      <w:pPr>
        <w:widowControl w:val="0"/>
        <w:tabs>
          <w:tab w:val="left" w:pos="2835"/>
        </w:tabs>
        <w:ind w:firstLine="708"/>
        <w:rPr>
          <w:bCs/>
        </w:rPr>
      </w:pPr>
      <w:r>
        <w:rPr>
          <w:bCs/>
        </w:rPr>
        <w:lastRenderedPageBreak/>
        <w:tab/>
        <w:t>La asistencia técnica resaltó que, en un informe de rec</w:t>
      </w:r>
      <w:r>
        <w:rPr>
          <w:bCs/>
        </w:rPr>
        <w:t>o</w:t>
      </w:r>
      <w:r>
        <w:rPr>
          <w:bCs/>
        </w:rPr>
        <w:t>nocimiento de piezas de “C.I.A.D.E.A.”, de fecha 19 de diciembre de 1994, se les asignó una num</w:t>
      </w:r>
      <w:r>
        <w:rPr>
          <w:bCs/>
        </w:rPr>
        <w:t>e</w:t>
      </w:r>
      <w:r>
        <w:rPr>
          <w:bCs/>
        </w:rPr>
        <w:t>ración que va desde el 99 hasta el 108 y en un informe a</w:t>
      </w:r>
      <w:r>
        <w:rPr>
          <w:bCs/>
        </w:rPr>
        <w:t>n</w:t>
      </w:r>
      <w:r>
        <w:rPr>
          <w:bCs/>
        </w:rPr>
        <w:t>terior, del 31 de agosto del mismo año, la numeración asignada va del 109 al 117.</w:t>
      </w:r>
    </w:p>
    <w:p w:rsidR="00224567" w:rsidRDefault="00224567">
      <w:pPr>
        <w:widowControl w:val="0"/>
        <w:tabs>
          <w:tab w:val="left" w:pos="2835"/>
        </w:tabs>
        <w:ind w:firstLine="708"/>
        <w:rPr>
          <w:bCs/>
        </w:rPr>
      </w:pPr>
      <w:r>
        <w:rPr>
          <w:bCs/>
        </w:rPr>
        <w:tab/>
        <w:t>Respecto del hallazgo del amortigu</w:t>
      </w:r>
      <w:r>
        <w:rPr>
          <w:bCs/>
        </w:rPr>
        <w:t>a</w:t>
      </w:r>
      <w:r>
        <w:rPr>
          <w:bCs/>
        </w:rPr>
        <w:t>dor en el cuerpo de Ramón Norlberto Díaz, perteneciente al s</w:t>
      </w:r>
      <w:r>
        <w:rPr>
          <w:bCs/>
        </w:rPr>
        <w:t>u</w:t>
      </w:r>
      <w:r>
        <w:rPr>
          <w:bCs/>
        </w:rPr>
        <w:t>puesto cochebomba, la defensa de Ibarra adhirió a lo e</w:t>
      </w:r>
      <w:r>
        <w:rPr>
          <w:bCs/>
        </w:rPr>
        <w:t>x</w:t>
      </w:r>
      <w:r>
        <w:rPr>
          <w:bCs/>
        </w:rPr>
        <w:t>presado por el Dr. Ubeira en su alegato, manife</w:t>
      </w:r>
      <w:r>
        <w:rPr>
          <w:bCs/>
        </w:rPr>
        <w:t>s</w:t>
      </w:r>
      <w:r>
        <w:rPr>
          <w:bCs/>
        </w:rPr>
        <w:t>tando que existe incertidumbre ace</w:t>
      </w:r>
      <w:r>
        <w:rPr>
          <w:bCs/>
        </w:rPr>
        <w:t>r</w:t>
      </w:r>
      <w:r>
        <w:rPr>
          <w:bCs/>
        </w:rPr>
        <w:t xml:space="preserve">ca del derrotero del cuerpo de la víctima hasta que ingresó a </w:t>
      </w:r>
      <w:smartTag w:uri="urn:schemas-microsoft-com:office:smarttags" w:element="PersonName">
        <w:smartTagPr>
          <w:attr w:name="ProductID" w:val="la Morgue Judicial."/>
        </w:smartTagPr>
        <w:r>
          <w:rPr>
            <w:bCs/>
          </w:rPr>
          <w:t>la Morgue J</w:t>
        </w:r>
        <w:r>
          <w:rPr>
            <w:bCs/>
          </w:rPr>
          <w:t>u</w:t>
        </w:r>
        <w:r>
          <w:rPr>
            <w:bCs/>
          </w:rPr>
          <w:t>dicial.</w:t>
        </w:r>
      </w:smartTag>
    </w:p>
    <w:p w:rsidR="00224567" w:rsidRDefault="00224567">
      <w:pPr>
        <w:widowControl w:val="0"/>
        <w:tabs>
          <w:tab w:val="left" w:pos="2835"/>
        </w:tabs>
        <w:ind w:firstLine="708"/>
        <w:rPr>
          <w:bCs/>
        </w:rPr>
      </w:pPr>
      <w:r>
        <w:rPr>
          <w:bCs/>
        </w:rPr>
        <w:tab/>
        <w:t>Consideró probado que el cadáver de Díaz ingresó a dicha dependencia con un trozo metálico i</w:t>
      </w:r>
      <w:r>
        <w:rPr>
          <w:bCs/>
        </w:rPr>
        <w:t>n</w:t>
      </w:r>
      <w:r>
        <w:rPr>
          <w:bCs/>
        </w:rPr>
        <w:t>crustado en su tórax, sin perjuicio de r</w:t>
      </w:r>
      <w:r>
        <w:rPr>
          <w:bCs/>
        </w:rPr>
        <w:t>e</w:t>
      </w:r>
      <w:r>
        <w:rPr>
          <w:bCs/>
        </w:rPr>
        <w:t>marcar que no se detectaron ve</w:t>
      </w:r>
      <w:r>
        <w:rPr>
          <w:bCs/>
        </w:rPr>
        <w:t>s</w:t>
      </w:r>
      <w:r>
        <w:rPr>
          <w:bCs/>
        </w:rPr>
        <w:t>tigios de explosivos en esa pieza metálica; que se desc</w:t>
      </w:r>
      <w:r>
        <w:rPr>
          <w:bCs/>
        </w:rPr>
        <w:t>o</w:t>
      </w:r>
      <w:r>
        <w:rPr>
          <w:bCs/>
        </w:rPr>
        <w:t xml:space="preserve">noce dónde estuvo el cuerpo del nombrado desde que se produjo el atentado hasta las 17.00 horas en que una persona, cuya identidad se desconoce, lo depositó en la morgue; y que no estuvo en </w:t>
      </w:r>
      <w:smartTag w:uri="urn:schemas-microsoft-com:office:smarttags" w:element="PersonName">
        <w:smartTagPr>
          <w:attr w:name="ProductID" w:val="la Comisar￭a"/>
        </w:smartTagPr>
        <w:r>
          <w:rPr>
            <w:bCs/>
          </w:rPr>
          <w:t>la Comisaría</w:t>
        </w:r>
      </w:smartTag>
      <w:r>
        <w:rPr>
          <w:bCs/>
        </w:rPr>
        <w:t xml:space="preserve"> 5ta. donde se trasl</w:t>
      </w:r>
      <w:r>
        <w:rPr>
          <w:bCs/>
        </w:rPr>
        <w:t>a</w:t>
      </w:r>
      <w:r>
        <w:rPr>
          <w:bCs/>
        </w:rPr>
        <w:t>daban los cuerpos.</w:t>
      </w:r>
    </w:p>
    <w:p w:rsidR="00224567" w:rsidRDefault="00224567">
      <w:pPr>
        <w:widowControl w:val="0"/>
        <w:tabs>
          <w:tab w:val="left" w:pos="2835"/>
        </w:tabs>
        <w:ind w:firstLine="708"/>
        <w:rPr>
          <w:bCs/>
        </w:rPr>
      </w:pPr>
      <w:r>
        <w:rPr>
          <w:bCs/>
        </w:rPr>
        <w:lastRenderedPageBreak/>
        <w:tab/>
        <w:t>Mencionó también que instantes de</w:t>
      </w:r>
      <w:r>
        <w:rPr>
          <w:bCs/>
        </w:rPr>
        <w:t>s</w:t>
      </w:r>
      <w:r>
        <w:rPr>
          <w:bCs/>
        </w:rPr>
        <w:t>pués de la explosión, su mujer y su hijo lo bu</w:t>
      </w:r>
      <w:r>
        <w:rPr>
          <w:bCs/>
        </w:rPr>
        <w:t>s</w:t>
      </w:r>
      <w:r>
        <w:rPr>
          <w:bCs/>
        </w:rPr>
        <w:t>caron en la zona de ingr</w:t>
      </w:r>
      <w:r>
        <w:rPr>
          <w:bCs/>
        </w:rPr>
        <w:t>e</w:t>
      </w:r>
      <w:r>
        <w:rPr>
          <w:bCs/>
        </w:rPr>
        <w:t>so al edificio de Pasteur 632 donde se encontraba barriendo la vereda y ya no estaba, dest</w:t>
      </w:r>
      <w:r>
        <w:rPr>
          <w:bCs/>
        </w:rPr>
        <w:t>a</w:t>
      </w:r>
      <w:r>
        <w:rPr>
          <w:bCs/>
        </w:rPr>
        <w:t>cando que tampoco lo vieron los vecinos del edificio donde era encargado.</w:t>
      </w:r>
    </w:p>
    <w:p w:rsidR="00224567" w:rsidRDefault="00224567">
      <w:pPr>
        <w:widowControl w:val="0"/>
        <w:tabs>
          <w:tab w:val="left" w:pos="2835"/>
        </w:tabs>
        <w:ind w:firstLine="708"/>
        <w:rPr>
          <w:bCs/>
        </w:rPr>
      </w:pPr>
      <w:r>
        <w:rPr>
          <w:bCs/>
        </w:rPr>
        <w:tab/>
        <w:t>Sostuvo la defensa que el principal Castro, quien tuvo a su cargo todo lo relativo a los cad</w:t>
      </w:r>
      <w:r>
        <w:rPr>
          <w:bCs/>
        </w:rPr>
        <w:t>á</w:t>
      </w:r>
      <w:r>
        <w:rPr>
          <w:bCs/>
        </w:rPr>
        <w:t>veres dentro de la morgue, dijo claramente que vio como ingresaba el cuerpo de Díaz a esa dependencia y que no h</w:t>
      </w:r>
      <w:r>
        <w:rPr>
          <w:bCs/>
        </w:rPr>
        <w:t>a</w:t>
      </w:r>
      <w:r>
        <w:rPr>
          <w:bCs/>
        </w:rPr>
        <w:t xml:space="preserve">bía estado antes en </w:t>
      </w:r>
      <w:smartTag w:uri="urn:schemas-microsoft-com:office:smarttags" w:element="PersonName">
        <w:smartTagPr>
          <w:attr w:name="ProductID" w:val="la Comisar￭a"/>
        </w:smartTagPr>
        <w:r>
          <w:rPr>
            <w:bCs/>
          </w:rPr>
          <w:t>la Comis</w:t>
        </w:r>
        <w:r>
          <w:rPr>
            <w:bCs/>
          </w:rPr>
          <w:t>a</w:t>
        </w:r>
        <w:r>
          <w:rPr>
            <w:bCs/>
          </w:rPr>
          <w:t>ría</w:t>
        </w:r>
      </w:smartTag>
      <w:r>
        <w:rPr>
          <w:bCs/>
        </w:rPr>
        <w:t xml:space="preserve"> 5ta.</w:t>
      </w:r>
    </w:p>
    <w:p w:rsidR="00224567" w:rsidRDefault="00224567">
      <w:pPr>
        <w:widowControl w:val="0"/>
        <w:tabs>
          <w:tab w:val="left" w:pos="2835"/>
        </w:tabs>
        <w:ind w:firstLine="708"/>
        <w:rPr>
          <w:bCs/>
        </w:rPr>
      </w:pPr>
      <w:r>
        <w:rPr>
          <w:bCs/>
        </w:rPr>
        <w:tab/>
        <w:t>Otro interrogante planteado por la d</w:t>
      </w:r>
      <w:r>
        <w:rPr>
          <w:bCs/>
        </w:rPr>
        <w:t>e</w:t>
      </w:r>
      <w:r>
        <w:rPr>
          <w:bCs/>
        </w:rPr>
        <w:t>fensa, fue ref</w:t>
      </w:r>
      <w:r>
        <w:rPr>
          <w:bCs/>
        </w:rPr>
        <w:t>e</w:t>
      </w:r>
      <w:r>
        <w:rPr>
          <w:bCs/>
        </w:rPr>
        <w:t>rido a la supuesta trayectoria que hubo de realizar el amortiguador para ingresar en el cuerpo y cuál era la posición de Díaz para que ese el</w:t>
      </w:r>
      <w:r>
        <w:rPr>
          <w:bCs/>
        </w:rPr>
        <w:t>e</w:t>
      </w:r>
      <w:r>
        <w:rPr>
          <w:bCs/>
        </w:rPr>
        <w:t>mento se incruste de la forma que lo hizo. En ese se</w:t>
      </w:r>
      <w:r>
        <w:rPr>
          <w:bCs/>
        </w:rPr>
        <w:t>n</w:t>
      </w:r>
      <w:r>
        <w:rPr>
          <w:bCs/>
        </w:rPr>
        <w:t>tido, tuvo en cuenta el testimonio de Elida Norma Gri</w:t>
      </w:r>
      <w:r>
        <w:rPr>
          <w:bCs/>
        </w:rPr>
        <w:t>s</w:t>
      </w:r>
      <w:r>
        <w:rPr>
          <w:bCs/>
        </w:rPr>
        <w:t>pan, vecina de Pasteur 651, quien manifestó haber visto luego de la explosión, como una c</w:t>
      </w:r>
      <w:r>
        <w:rPr>
          <w:bCs/>
        </w:rPr>
        <w:t>o</w:t>
      </w:r>
      <w:r>
        <w:rPr>
          <w:bCs/>
        </w:rPr>
        <w:t>lumna caía sobre el portero cuando aún estaba vivo.</w:t>
      </w:r>
    </w:p>
    <w:p w:rsidR="00224567" w:rsidRDefault="00224567">
      <w:pPr>
        <w:widowControl w:val="0"/>
        <w:tabs>
          <w:tab w:val="left" w:pos="2835"/>
        </w:tabs>
        <w:ind w:firstLine="708"/>
        <w:rPr>
          <w:bCs/>
        </w:rPr>
      </w:pPr>
      <w:r>
        <w:rPr>
          <w:bCs/>
        </w:rPr>
        <w:tab/>
        <w:t>Con relación al secuestro del bloque de motor, adhirió al planteo de nulidad artic</w:t>
      </w:r>
      <w:r>
        <w:rPr>
          <w:bCs/>
        </w:rPr>
        <w:t>u</w:t>
      </w:r>
      <w:r>
        <w:rPr>
          <w:bCs/>
        </w:rPr>
        <w:t xml:space="preserve">lado, tanto </w:t>
      </w:r>
      <w:r>
        <w:rPr>
          <w:bCs/>
        </w:rPr>
        <w:lastRenderedPageBreak/>
        <w:t>por la fiscalía como por la defensa de Telleldín. Agregó que resultaba extraño que sea la única acta de secuestro labrada en un formulario impreso, resaltando que todo lo que siguió al supuesto hallazgo del motor también fue e</w:t>
      </w:r>
      <w:r>
        <w:rPr>
          <w:bCs/>
        </w:rPr>
        <w:t>x</w:t>
      </w:r>
      <w:r>
        <w:rPr>
          <w:bCs/>
        </w:rPr>
        <w:t>traño, ya que nunca se documentó cómo se obtuvo su numer</w:t>
      </w:r>
      <w:r>
        <w:rPr>
          <w:bCs/>
        </w:rPr>
        <w:t>a</w:t>
      </w:r>
      <w:r>
        <w:rPr>
          <w:bCs/>
        </w:rPr>
        <w:t>ción, desconociéndose si esta diligencia se hizo, y cuá</w:t>
      </w:r>
      <w:r>
        <w:rPr>
          <w:bCs/>
        </w:rPr>
        <w:t>n</w:t>
      </w:r>
      <w:r>
        <w:rPr>
          <w:bCs/>
        </w:rPr>
        <w:t>do y quién la realizó.</w:t>
      </w:r>
    </w:p>
    <w:p w:rsidR="00224567" w:rsidRDefault="00224567">
      <w:pPr>
        <w:widowControl w:val="0"/>
        <w:tabs>
          <w:tab w:val="left" w:pos="2835"/>
        </w:tabs>
        <w:ind w:firstLine="708"/>
        <w:rPr>
          <w:bCs/>
        </w:rPr>
      </w:pPr>
      <w:r>
        <w:rPr>
          <w:bCs/>
        </w:rPr>
        <w:tab/>
        <w:t>Puso también en duda la defensa de Ibarra, la forma en que se obtuvo la titularidad del motor nº 2.831.467, destacando que a fs. 215 el comisario Cast</w:t>
      </w:r>
      <w:r>
        <w:rPr>
          <w:bCs/>
        </w:rPr>
        <w:t>a</w:t>
      </w:r>
      <w:r>
        <w:rPr>
          <w:bCs/>
        </w:rPr>
        <w:t>ñeda dejó constancia que se procedió a requ</w:t>
      </w:r>
      <w:r>
        <w:rPr>
          <w:bCs/>
        </w:rPr>
        <w:t>e</w:t>
      </w:r>
      <w:r>
        <w:rPr>
          <w:bCs/>
        </w:rPr>
        <w:t xml:space="preserve">rir informes a </w:t>
      </w:r>
      <w:smartTag w:uri="urn:schemas-microsoft-com:office:smarttags" w:element="PersonName">
        <w:smartTagPr>
          <w:attr w:name="ProductID" w:val="la Divisi￳n Sustracci￳n"/>
        </w:smartTagPr>
        <w:r>
          <w:rPr>
            <w:bCs/>
          </w:rPr>
          <w:t>la División Sustracción</w:t>
        </w:r>
      </w:smartTag>
      <w:r>
        <w:rPr>
          <w:bCs/>
        </w:rPr>
        <w:t xml:space="preserve"> de Automotores, dependencia que indicó que el número de motor corre</w:t>
      </w:r>
      <w:r>
        <w:rPr>
          <w:bCs/>
        </w:rPr>
        <w:t>s</w:t>
      </w:r>
      <w:r>
        <w:rPr>
          <w:bCs/>
        </w:rPr>
        <w:t>pondía a la camioneta Renault Trafic dominio C 1.498.506 cuyo titular era “Me</w:t>
      </w:r>
      <w:r>
        <w:rPr>
          <w:bCs/>
        </w:rPr>
        <w:t>s</w:t>
      </w:r>
      <w:r>
        <w:rPr>
          <w:bCs/>
        </w:rPr>
        <w:t>sin S.R.L.”. Agregó que dicha constancia se contradice con lo afirmado por el comisario Alfredo Daniel Díaz, en esa época jefe de esa división, que desmintió categóricamente lo allí consign</w:t>
      </w:r>
      <w:r>
        <w:rPr>
          <w:bCs/>
        </w:rPr>
        <w:t>a</w:t>
      </w:r>
      <w:r>
        <w:rPr>
          <w:bCs/>
        </w:rPr>
        <w:t>do.</w:t>
      </w:r>
    </w:p>
    <w:p w:rsidR="00224567" w:rsidRDefault="00224567">
      <w:pPr>
        <w:widowControl w:val="0"/>
        <w:tabs>
          <w:tab w:val="left" w:pos="2835"/>
        </w:tabs>
        <w:ind w:firstLine="708"/>
        <w:rPr>
          <w:bCs/>
        </w:rPr>
      </w:pPr>
      <w:r>
        <w:rPr>
          <w:bCs/>
        </w:rPr>
        <w:tab/>
        <w:t xml:space="preserve">El defensor destacó que, además todos los empleados del Registro de </w:t>
      </w:r>
      <w:smartTag w:uri="urn:schemas-microsoft-com:office:smarttags" w:element="PersonName">
        <w:smartTagPr>
          <w:attr w:name="ProductID" w:val="la Propiedad Automotor"/>
        </w:smartTagPr>
        <w:r>
          <w:rPr>
            <w:bCs/>
          </w:rPr>
          <w:t>la Propiedad Automotor</w:t>
        </w:r>
      </w:smartTag>
      <w:r>
        <w:rPr>
          <w:bCs/>
        </w:rPr>
        <w:t xml:space="preserve"> coi</w:t>
      </w:r>
      <w:r>
        <w:rPr>
          <w:bCs/>
        </w:rPr>
        <w:t>n</w:t>
      </w:r>
      <w:r>
        <w:rPr>
          <w:bCs/>
        </w:rPr>
        <w:t xml:space="preserve">cidieron, en oportunidad de declarar en el debate, en que </w:t>
      </w:r>
      <w:r>
        <w:rPr>
          <w:bCs/>
        </w:rPr>
        <w:lastRenderedPageBreak/>
        <w:t>no evacuaron una consulta puntual respecto de un número de motor completo, sino de n</w:t>
      </w:r>
      <w:r>
        <w:rPr>
          <w:bCs/>
        </w:rPr>
        <w:t>ú</w:t>
      </w:r>
      <w:r>
        <w:rPr>
          <w:bCs/>
        </w:rPr>
        <w:t>meros parciales.</w:t>
      </w:r>
    </w:p>
    <w:p w:rsidR="00224567" w:rsidRDefault="00224567">
      <w:pPr>
        <w:widowControl w:val="0"/>
        <w:tabs>
          <w:tab w:val="left" w:pos="2835"/>
        </w:tabs>
        <w:ind w:firstLine="708"/>
        <w:rPr>
          <w:bCs/>
        </w:rPr>
      </w:pPr>
      <w:r>
        <w:rPr>
          <w:bCs/>
        </w:rPr>
        <w:tab/>
        <w:t>Sobre el particular, consideró que las confusas explicaciones dadas por Stiuso durante la audie</w:t>
      </w:r>
      <w:r>
        <w:rPr>
          <w:bCs/>
        </w:rPr>
        <w:t>n</w:t>
      </w:r>
      <w:r>
        <w:rPr>
          <w:bCs/>
        </w:rPr>
        <w:t>cia fueron desmentidas por personal de ese registro, co</w:t>
      </w:r>
      <w:r>
        <w:rPr>
          <w:bCs/>
        </w:rPr>
        <w:t>n</w:t>
      </w:r>
      <w:r>
        <w:rPr>
          <w:bCs/>
        </w:rPr>
        <w:t>cluyendo, por ello, que no se pudo determinar cómo la in</w:t>
      </w:r>
      <w:r>
        <w:rPr>
          <w:bCs/>
        </w:rPr>
        <w:t>s</w:t>
      </w:r>
      <w:r>
        <w:rPr>
          <w:bCs/>
        </w:rPr>
        <w:t>trucción dio con el titular de la camioneta. La defensa destacó que dicha circunstancia no se trataba de un dato anecdótico o menor, sino que guardaba relación con el inexplic</w:t>
      </w:r>
      <w:r>
        <w:rPr>
          <w:bCs/>
        </w:rPr>
        <w:t>a</w:t>
      </w:r>
      <w:r>
        <w:rPr>
          <w:bCs/>
        </w:rPr>
        <w:t>ble pedido de la foja 865.</w:t>
      </w:r>
    </w:p>
    <w:p w:rsidR="00224567" w:rsidRDefault="00224567">
      <w:pPr>
        <w:widowControl w:val="0"/>
        <w:tabs>
          <w:tab w:val="left" w:pos="2835"/>
        </w:tabs>
        <w:ind w:firstLine="708"/>
        <w:rPr>
          <w:bCs/>
        </w:rPr>
      </w:pPr>
      <w:r>
        <w:rPr>
          <w:bCs/>
        </w:rPr>
        <w:tab/>
        <w:t>Consideró el letrado que tampoco se puede explicar el modo en que la investigación llegó al número de teléfono y a la dirección de Carlos Alberto T</w:t>
      </w:r>
      <w:r>
        <w:rPr>
          <w:bCs/>
        </w:rPr>
        <w:t>e</w:t>
      </w:r>
      <w:r>
        <w:rPr>
          <w:bCs/>
        </w:rPr>
        <w:t>lleldín.</w:t>
      </w:r>
    </w:p>
    <w:p w:rsidR="00224567" w:rsidRDefault="00224567">
      <w:pPr>
        <w:widowControl w:val="0"/>
        <w:tabs>
          <w:tab w:val="left" w:pos="2835"/>
        </w:tabs>
        <w:ind w:firstLine="708"/>
        <w:rPr>
          <w:bCs/>
        </w:rPr>
      </w:pPr>
      <w:r>
        <w:rPr>
          <w:bCs/>
        </w:rPr>
        <w:tab/>
        <w:t>Sostuvo que a las diez de mañana del 26 de julio de 1994 la investigación ya estaba sobre T</w:t>
      </w:r>
      <w:r>
        <w:rPr>
          <w:bCs/>
        </w:rPr>
        <w:t>e</w:t>
      </w:r>
      <w:r>
        <w:rPr>
          <w:bCs/>
        </w:rPr>
        <w:t>lleldín y que nadie dio una explicación satisfactoria re</w:t>
      </w:r>
      <w:r>
        <w:rPr>
          <w:bCs/>
        </w:rPr>
        <w:t>s</w:t>
      </w:r>
      <w:r>
        <w:rPr>
          <w:bCs/>
        </w:rPr>
        <w:t>pecto del modo en que se lo pudo ub</w:t>
      </w:r>
      <w:r>
        <w:rPr>
          <w:bCs/>
        </w:rPr>
        <w:t>i</w:t>
      </w:r>
      <w:r>
        <w:rPr>
          <w:bCs/>
        </w:rPr>
        <w:t>car.</w:t>
      </w:r>
    </w:p>
    <w:p w:rsidR="00224567" w:rsidRDefault="00224567">
      <w:pPr>
        <w:widowControl w:val="0"/>
        <w:tabs>
          <w:tab w:val="left" w:pos="2835"/>
        </w:tabs>
        <w:ind w:firstLine="708"/>
        <w:rPr>
          <w:bCs/>
        </w:rPr>
      </w:pPr>
      <w:r>
        <w:rPr>
          <w:bCs/>
        </w:rPr>
        <w:tab/>
        <w:t xml:space="preserve">Dijo también que todo lo relativo a la foja 865 es mucho mas grave de lo que se desprende de la </w:t>
      </w:r>
      <w:r>
        <w:rPr>
          <w:bCs/>
        </w:rPr>
        <w:lastRenderedPageBreak/>
        <w:t xml:space="preserve">foja 114, ya que allí hay un pedido de </w:t>
      </w:r>
      <w:smartTag w:uri="urn:schemas-microsoft-com:office:smarttags" w:element="PersonName">
        <w:smartTagPr>
          <w:attr w:name="ProductID" w:val="la S.I"/>
        </w:smartTagPr>
        <w:r>
          <w:rPr>
            <w:bCs/>
          </w:rPr>
          <w:t>la S.I</w:t>
        </w:r>
      </w:smartTag>
      <w:r>
        <w:rPr>
          <w:bCs/>
        </w:rPr>
        <w:t>.D.E., un a</w:t>
      </w:r>
      <w:r>
        <w:rPr>
          <w:bCs/>
        </w:rPr>
        <w:t>u</w:t>
      </w:r>
      <w:r>
        <w:rPr>
          <w:bCs/>
        </w:rPr>
        <w:t>to que ordena las intervenciones y copias de algunos de los oficios, que son de fecha, 25 de julio.</w:t>
      </w:r>
    </w:p>
    <w:p w:rsidR="00224567" w:rsidRDefault="00224567">
      <w:pPr>
        <w:widowControl w:val="0"/>
        <w:tabs>
          <w:tab w:val="left" w:pos="2835"/>
        </w:tabs>
        <w:ind w:firstLine="708"/>
        <w:rPr>
          <w:bCs/>
        </w:rPr>
      </w:pPr>
      <w:r>
        <w:rPr>
          <w:bCs/>
        </w:rPr>
        <w:tab/>
        <w:t>Relató que la explicación del juez respecto a que todo se debió a un error mat</w:t>
      </w:r>
      <w:r>
        <w:rPr>
          <w:bCs/>
        </w:rPr>
        <w:t>e</w:t>
      </w:r>
      <w:r>
        <w:rPr>
          <w:bCs/>
        </w:rPr>
        <w:t>rial y que la fecha del auto en realidad es 26, ta</w:t>
      </w:r>
      <w:r>
        <w:rPr>
          <w:bCs/>
        </w:rPr>
        <w:t>m</w:t>
      </w:r>
      <w:r>
        <w:rPr>
          <w:bCs/>
        </w:rPr>
        <w:t>poco satisface a esa defensa, que co</w:t>
      </w:r>
      <w:r>
        <w:rPr>
          <w:bCs/>
        </w:rPr>
        <w:t>n</w:t>
      </w:r>
      <w:r>
        <w:rPr>
          <w:bCs/>
        </w:rPr>
        <w:t xml:space="preserve">sideró aún así que ese día a las 10.00 de la mañana, horario del cargo que tiene la solicitud, </w:t>
      </w:r>
      <w:smartTag w:uri="urn:schemas-microsoft-com:office:smarttags" w:element="PersonName">
        <w:smartTagPr>
          <w:attr w:name="ProductID" w:val="la S.I"/>
        </w:smartTagPr>
        <w:r>
          <w:rPr>
            <w:bCs/>
          </w:rPr>
          <w:t>la S.I</w:t>
        </w:r>
      </w:smartTag>
      <w:r>
        <w:rPr>
          <w:bCs/>
        </w:rPr>
        <w:t>.D.E. no estaba en posición de pedir el listado de ll</w:t>
      </w:r>
      <w:r>
        <w:rPr>
          <w:bCs/>
        </w:rPr>
        <w:t>a</w:t>
      </w:r>
      <w:r>
        <w:rPr>
          <w:bCs/>
        </w:rPr>
        <w:t>madas entrantes al teléfono de Telleldín, pues ese dato solamente pudo surgir de los dichos de Boragni prestados por la noche de ese día en el Departamento Central de P</w:t>
      </w:r>
      <w:r>
        <w:rPr>
          <w:bCs/>
        </w:rPr>
        <w:t>o</w:t>
      </w:r>
      <w:r>
        <w:rPr>
          <w:bCs/>
        </w:rPr>
        <w:t>licía.</w:t>
      </w:r>
    </w:p>
    <w:p w:rsidR="00224567" w:rsidRDefault="00224567">
      <w:pPr>
        <w:widowControl w:val="0"/>
        <w:tabs>
          <w:tab w:val="left" w:pos="2835"/>
        </w:tabs>
        <w:ind w:firstLine="708"/>
        <w:rPr>
          <w:bCs/>
        </w:rPr>
      </w:pPr>
      <w:r>
        <w:rPr>
          <w:bCs/>
        </w:rPr>
        <w:tab/>
        <w:t>Destacó la defensa que la actu</w:t>
      </w:r>
      <w:r>
        <w:rPr>
          <w:bCs/>
        </w:rPr>
        <w:t>a</w:t>
      </w:r>
      <w:r>
        <w:rPr>
          <w:bCs/>
        </w:rPr>
        <w:t xml:space="preserve">ción de </w:t>
      </w:r>
      <w:smartTag w:uri="urn:schemas-microsoft-com:office:smarttags" w:element="PersonName">
        <w:smartTagPr>
          <w:attr w:name="ProductID" w:val="la S.I"/>
        </w:smartTagPr>
        <w:r>
          <w:rPr>
            <w:bCs/>
          </w:rPr>
          <w:t>la S.I</w:t>
        </w:r>
      </w:smartTag>
      <w:r>
        <w:rPr>
          <w:bCs/>
        </w:rPr>
        <w:t>.D.E. en la causa no se plasmaba deb</w:t>
      </w:r>
      <w:r>
        <w:rPr>
          <w:bCs/>
        </w:rPr>
        <w:t>i</w:t>
      </w:r>
      <w:r>
        <w:rPr>
          <w:bCs/>
        </w:rPr>
        <w:t>do a que “algo” se ocult</w:t>
      </w:r>
      <w:r>
        <w:rPr>
          <w:bCs/>
        </w:rPr>
        <w:t>a</w:t>
      </w:r>
      <w:r>
        <w:rPr>
          <w:bCs/>
        </w:rPr>
        <w:t>ba.</w:t>
      </w:r>
    </w:p>
    <w:p w:rsidR="00224567" w:rsidRDefault="00224567">
      <w:pPr>
        <w:widowControl w:val="0"/>
        <w:tabs>
          <w:tab w:val="left" w:pos="2835"/>
        </w:tabs>
        <w:ind w:firstLine="708"/>
        <w:rPr>
          <w:bCs/>
        </w:rPr>
      </w:pPr>
      <w:r>
        <w:rPr>
          <w:bCs/>
        </w:rPr>
        <w:tab/>
        <w:t>Por esta primera cuestión mat</w:t>
      </w:r>
      <w:r>
        <w:rPr>
          <w:bCs/>
        </w:rPr>
        <w:t>e</w:t>
      </w:r>
      <w:r>
        <w:rPr>
          <w:bCs/>
        </w:rPr>
        <w:t>rial, y ante la supuesta duda respecto del modo en que se re</w:t>
      </w:r>
      <w:r>
        <w:rPr>
          <w:bCs/>
        </w:rPr>
        <w:t>a</w:t>
      </w:r>
      <w:r>
        <w:rPr>
          <w:bCs/>
        </w:rPr>
        <w:t>lizó el delito, el Dr. Valle solicitó la libre absolución de Ibarra.</w:t>
      </w:r>
    </w:p>
    <w:p w:rsidR="00224567" w:rsidRDefault="00224567">
      <w:pPr>
        <w:widowControl w:val="0"/>
        <w:tabs>
          <w:tab w:val="left" w:pos="2835"/>
        </w:tabs>
        <w:ind w:firstLine="708"/>
        <w:rPr>
          <w:bCs/>
        </w:rPr>
      </w:pPr>
      <w:r>
        <w:rPr>
          <w:bCs/>
        </w:rPr>
        <w:tab/>
        <w:t xml:space="preserve">Sin perjuicio de ello, y en caso que </w:t>
      </w:r>
      <w:r>
        <w:rPr>
          <w:bCs/>
        </w:rPr>
        <w:lastRenderedPageBreak/>
        <w:t>se considere probado el modo comisivo propuesto por los acusadores, agregó que igual temperamento liberatorio debe adoptarse respecto de su asistido ya que de ning</w:t>
      </w:r>
      <w:r>
        <w:rPr>
          <w:bCs/>
        </w:rPr>
        <w:t>u</w:t>
      </w:r>
      <w:r>
        <w:rPr>
          <w:bCs/>
        </w:rPr>
        <w:t>na manera está probada su responsab</w:t>
      </w:r>
      <w:r>
        <w:rPr>
          <w:bCs/>
        </w:rPr>
        <w:t>i</w:t>
      </w:r>
      <w:r>
        <w:rPr>
          <w:bCs/>
        </w:rPr>
        <w:t>lidad en el hecho.</w:t>
      </w:r>
    </w:p>
    <w:p w:rsidR="00224567" w:rsidRDefault="00224567">
      <w:pPr>
        <w:widowControl w:val="0"/>
        <w:tabs>
          <w:tab w:val="left" w:pos="2835"/>
        </w:tabs>
        <w:ind w:firstLine="708"/>
        <w:rPr>
          <w:bCs/>
        </w:rPr>
      </w:pPr>
      <w:r>
        <w:rPr>
          <w:bCs/>
        </w:rPr>
        <w:tab/>
        <w:t>Recordó que el testigo “C”, Abol</w:t>
      </w:r>
      <w:r>
        <w:rPr>
          <w:bCs/>
        </w:rPr>
        <w:t>g</w:t>
      </w:r>
      <w:r>
        <w:rPr>
          <w:bCs/>
        </w:rPr>
        <w:t xml:space="preserve">hasem Mesbahi, afirmó que el atentado a </w:t>
      </w:r>
      <w:smartTag w:uri="urn:schemas-microsoft-com:office:smarttags" w:element="PersonName">
        <w:smartTagPr>
          <w:attr w:name="ProductID" w:val="la A.M"/>
        </w:smartTagPr>
        <w:r>
          <w:rPr>
            <w:bCs/>
          </w:rPr>
          <w:t>la A.M</w:t>
        </w:r>
      </w:smartTag>
      <w:r>
        <w:rPr>
          <w:bCs/>
        </w:rPr>
        <w:t>.I.A. fue lider</w:t>
      </w:r>
      <w:r>
        <w:rPr>
          <w:bCs/>
        </w:rPr>
        <w:t>a</w:t>
      </w:r>
      <w:r>
        <w:rPr>
          <w:bCs/>
        </w:rPr>
        <w:t>do, operado y ejecutado por Irán, añadiendo que nu</w:t>
      </w:r>
      <w:r>
        <w:rPr>
          <w:bCs/>
        </w:rPr>
        <w:t>n</w:t>
      </w:r>
      <w:r>
        <w:rPr>
          <w:bCs/>
        </w:rPr>
        <w:t xml:space="preserve">ca pudo haber estado informado o involucrado nadie en </w:t>
      </w:r>
      <w:smartTag w:uri="urn:schemas-microsoft-com:office:smarttags" w:element="PersonName">
        <w:smartTagPr>
          <w:attr w:name="ProductID" w:val="la Argentina"/>
        </w:smartTagPr>
        <w:r>
          <w:rPr>
            <w:bCs/>
          </w:rPr>
          <w:t>la Argentina</w:t>
        </w:r>
      </w:smartTag>
      <w:r>
        <w:rPr>
          <w:bCs/>
        </w:rPr>
        <w:t xml:space="preserve"> de este acto t</w:t>
      </w:r>
      <w:r>
        <w:rPr>
          <w:bCs/>
        </w:rPr>
        <w:t>e</w:t>
      </w:r>
      <w:r>
        <w:rPr>
          <w:bCs/>
        </w:rPr>
        <w:t>rrorista.</w:t>
      </w:r>
    </w:p>
    <w:p w:rsidR="00224567" w:rsidRDefault="00224567">
      <w:pPr>
        <w:widowControl w:val="0"/>
        <w:tabs>
          <w:tab w:val="left" w:pos="2835"/>
        </w:tabs>
        <w:ind w:firstLine="708"/>
        <w:rPr>
          <w:bCs/>
        </w:rPr>
      </w:pPr>
      <w:r>
        <w:rPr>
          <w:bCs/>
        </w:rPr>
        <w:tab/>
        <w:t>Destacó que el testigo “C” dijo que Rabbani fue quien organizó el atentado y que nadie puede pensar que ese testigo tenga algún interés en ben</w:t>
      </w:r>
      <w:r>
        <w:rPr>
          <w:bCs/>
        </w:rPr>
        <w:t>e</w:t>
      </w:r>
      <w:r>
        <w:rPr>
          <w:bCs/>
        </w:rPr>
        <w:t>ficiar o desincr</w:t>
      </w:r>
      <w:r>
        <w:rPr>
          <w:bCs/>
        </w:rPr>
        <w:t>i</w:t>
      </w:r>
      <w:r>
        <w:rPr>
          <w:bCs/>
        </w:rPr>
        <w:t>minar, tan claramente, a los policías imputados y en pa</w:t>
      </w:r>
      <w:r>
        <w:rPr>
          <w:bCs/>
        </w:rPr>
        <w:t>r</w:t>
      </w:r>
      <w:r>
        <w:rPr>
          <w:bCs/>
        </w:rPr>
        <w:t>ticular a Ibarra.</w:t>
      </w:r>
    </w:p>
    <w:p w:rsidR="00224567" w:rsidRDefault="00224567">
      <w:pPr>
        <w:widowControl w:val="0"/>
        <w:tabs>
          <w:tab w:val="left" w:pos="2835"/>
        </w:tabs>
        <w:ind w:firstLine="708"/>
        <w:rPr>
          <w:bCs/>
        </w:rPr>
      </w:pPr>
      <w:r>
        <w:rPr>
          <w:bCs/>
        </w:rPr>
        <w:tab/>
        <w:t>Asimismo, recordó que Mesbahi afirmó que se habían tergiversado manifestaciones suyas en decl</w:t>
      </w:r>
      <w:r>
        <w:rPr>
          <w:bCs/>
        </w:rPr>
        <w:t>a</w:t>
      </w:r>
      <w:r>
        <w:rPr>
          <w:bCs/>
        </w:rPr>
        <w:t>raciones anteriores, que había tenido grandes problemas con los tradu</w:t>
      </w:r>
      <w:r>
        <w:rPr>
          <w:bCs/>
        </w:rPr>
        <w:t>c</w:t>
      </w:r>
      <w:r>
        <w:rPr>
          <w:bCs/>
        </w:rPr>
        <w:t>tores y que era la primera vez en ocho años que lo e</w:t>
      </w:r>
      <w:r>
        <w:rPr>
          <w:bCs/>
        </w:rPr>
        <w:t>s</w:t>
      </w:r>
      <w:r>
        <w:rPr>
          <w:bCs/>
        </w:rPr>
        <w:t>taban interrogando de manera seria.</w:t>
      </w:r>
    </w:p>
    <w:p w:rsidR="00224567" w:rsidRDefault="00224567">
      <w:pPr>
        <w:widowControl w:val="0"/>
        <w:tabs>
          <w:tab w:val="left" w:pos="2835"/>
        </w:tabs>
        <w:ind w:firstLine="708"/>
        <w:rPr>
          <w:bCs/>
        </w:rPr>
      </w:pPr>
      <w:r>
        <w:rPr>
          <w:bCs/>
        </w:rPr>
        <w:tab/>
        <w:t>El Dr. Valle calificó como absolut</w:t>
      </w:r>
      <w:r>
        <w:rPr>
          <w:bCs/>
        </w:rPr>
        <w:t>a</w:t>
      </w:r>
      <w:r>
        <w:rPr>
          <w:bCs/>
        </w:rPr>
        <w:lastRenderedPageBreak/>
        <w:t>mente irrazonable, ilógica e inverosímil la imputación efectuada por el señor fiscal y la querella a los pol</w:t>
      </w:r>
      <w:r>
        <w:rPr>
          <w:bCs/>
        </w:rPr>
        <w:t>i</w:t>
      </w:r>
      <w:r>
        <w:rPr>
          <w:bCs/>
        </w:rPr>
        <w:t>cías por su supuesta part</w:t>
      </w:r>
      <w:r>
        <w:rPr>
          <w:bCs/>
        </w:rPr>
        <w:t>i</w:t>
      </w:r>
      <w:r>
        <w:rPr>
          <w:bCs/>
        </w:rPr>
        <w:t>cipación en el atentado.</w:t>
      </w:r>
    </w:p>
    <w:p w:rsidR="00224567" w:rsidRDefault="00224567">
      <w:pPr>
        <w:widowControl w:val="0"/>
        <w:tabs>
          <w:tab w:val="left" w:pos="2835"/>
        </w:tabs>
        <w:ind w:firstLine="708"/>
        <w:rPr>
          <w:bCs/>
        </w:rPr>
      </w:pPr>
      <w:r>
        <w:rPr>
          <w:bCs/>
        </w:rPr>
        <w:tab/>
        <w:t>Destacó la obviedad de dicha circun</w:t>
      </w:r>
      <w:r>
        <w:rPr>
          <w:bCs/>
        </w:rPr>
        <w:t>s</w:t>
      </w:r>
      <w:r>
        <w:rPr>
          <w:bCs/>
        </w:rPr>
        <w:t>tancia, ya que se pudo recurrir a una compra con falsa identidad, metodología empleada con l</w:t>
      </w:r>
      <w:r>
        <w:rPr>
          <w:bCs/>
        </w:rPr>
        <w:t>a</w:t>
      </w:r>
      <w:r>
        <w:rPr>
          <w:bCs/>
        </w:rPr>
        <w:t xml:space="preserve">mentable éxito en el luctuoso atentado a </w:t>
      </w:r>
      <w:smartTag w:uri="urn:schemas-microsoft-com:office:smarttags" w:element="PersonName">
        <w:smartTagPr>
          <w:attr w:name="ProductID" w:val="la Embajada"/>
        </w:smartTagPr>
        <w:r>
          <w:rPr>
            <w:bCs/>
          </w:rPr>
          <w:t>la Embajada</w:t>
        </w:r>
      </w:smartTag>
      <w:r>
        <w:rPr>
          <w:bCs/>
        </w:rPr>
        <w:t xml:space="preserve"> de Israel, o a un método todavía menos on</w:t>
      </w:r>
      <w:r>
        <w:rPr>
          <w:bCs/>
        </w:rPr>
        <w:t>e</w:t>
      </w:r>
      <w:r>
        <w:rPr>
          <w:bCs/>
        </w:rPr>
        <w:t>roso como el robo.</w:t>
      </w:r>
    </w:p>
    <w:p w:rsidR="00224567" w:rsidRDefault="00224567">
      <w:pPr>
        <w:widowControl w:val="0"/>
        <w:tabs>
          <w:tab w:val="left" w:pos="2835"/>
        </w:tabs>
        <w:ind w:firstLine="708"/>
        <w:rPr>
          <w:bCs/>
        </w:rPr>
      </w:pPr>
      <w:r>
        <w:rPr>
          <w:bCs/>
        </w:rPr>
        <w:tab/>
        <w:t>Analizó el defensor que contrad</w:t>
      </w:r>
      <w:r>
        <w:rPr>
          <w:bCs/>
        </w:rPr>
        <w:t>i</w:t>
      </w:r>
      <w:r>
        <w:rPr>
          <w:bCs/>
        </w:rPr>
        <w:t>ce la lógica elemental afirmar que Rabbani le confíe un acto t</w:t>
      </w:r>
      <w:r>
        <w:rPr>
          <w:bCs/>
        </w:rPr>
        <w:t>e</w:t>
      </w:r>
      <w:r>
        <w:rPr>
          <w:bCs/>
        </w:rPr>
        <w:t>rrorista de semejante envergadura a un funcionario enca</w:t>
      </w:r>
      <w:r>
        <w:rPr>
          <w:bCs/>
        </w:rPr>
        <w:t>r</w:t>
      </w:r>
      <w:r>
        <w:rPr>
          <w:bCs/>
        </w:rPr>
        <w:t>gado de la prevención y de la represión de los d</w:t>
      </w:r>
      <w:r>
        <w:rPr>
          <w:bCs/>
        </w:rPr>
        <w:t>e</w:t>
      </w:r>
      <w:r>
        <w:rPr>
          <w:bCs/>
        </w:rPr>
        <w:t>litos; y  menos aún que le delegue totalmente el armado de una o mas camion</w:t>
      </w:r>
      <w:r>
        <w:rPr>
          <w:bCs/>
        </w:rPr>
        <w:t>e</w:t>
      </w:r>
      <w:r>
        <w:rPr>
          <w:bCs/>
        </w:rPr>
        <w:t>tas.</w:t>
      </w:r>
    </w:p>
    <w:p w:rsidR="00224567" w:rsidRDefault="00224567">
      <w:pPr>
        <w:widowControl w:val="0"/>
        <w:tabs>
          <w:tab w:val="left" w:pos="2835"/>
        </w:tabs>
        <w:ind w:firstLine="708"/>
        <w:rPr>
          <w:bCs/>
        </w:rPr>
      </w:pPr>
      <w:r>
        <w:rPr>
          <w:bCs/>
        </w:rPr>
        <w:tab/>
        <w:t>Agregó que igualmente disparatado es sostener que Ribelli, a quien se le atribuye una intel</w:t>
      </w:r>
      <w:r>
        <w:rPr>
          <w:bCs/>
        </w:rPr>
        <w:t>i</w:t>
      </w:r>
      <w:r>
        <w:rPr>
          <w:bCs/>
        </w:rPr>
        <w:t>gencia “cercana al infinito”, delegue el armado de una o varias camionetas en Telleldín, quien según el fiscal de ju</w:t>
      </w:r>
      <w:r>
        <w:rPr>
          <w:bCs/>
        </w:rPr>
        <w:t>i</w:t>
      </w:r>
      <w:r>
        <w:rPr>
          <w:bCs/>
        </w:rPr>
        <w:t>cio, hace de la mentira una profesión de fe.</w:t>
      </w:r>
    </w:p>
    <w:p w:rsidR="00224567" w:rsidRDefault="00224567">
      <w:pPr>
        <w:widowControl w:val="0"/>
        <w:tabs>
          <w:tab w:val="left" w:pos="2835"/>
        </w:tabs>
        <w:ind w:firstLine="708"/>
        <w:rPr>
          <w:bCs/>
        </w:rPr>
      </w:pPr>
      <w:r>
        <w:rPr>
          <w:bCs/>
        </w:rPr>
        <w:tab/>
        <w:t>Al concluir su análisis, consid</w:t>
      </w:r>
      <w:r>
        <w:rPr>
          <w:bCs/>
        </w:rPr>
        <w:t>e</w:t>
      </w:r>
      <w:r>
        <w:rPr>
          <w:bCs/>
        </w:rPr>
        <w:t xml:space="preserve">ró que es una barbaridad sostener que Ribelli, a quien se había </w:t>
      </w:r>
      <w:r>
        <w:rPr>
          <w:bCs/>
        </w:rPr>
        <w:lastRenderedPageBreak/>
        <w:t>seleccionado por su carácter reserv</w:t>
      </w:r>
      <w:r>
        <w:rPr>
          <w:bCs/>
        </w:rPr>
        <w:t>a</w:t>
      </w:r>
      <w:r>
        <w:rPr>
          <w:bCs/>
        </w:rPr>
        <w:t>do y se le pagó por su silencio, ponga el plan en conocimiento de otros p</w:t>
      </w:r>
      <w:r>
        <w:rPr>
          <w:bCs/>
        </w:rPr>
        <w:t>o</w:t>
      </w:r>
      <w:r>
        <w:rPr>
          <w:bCs/>
        </w:rPr>
        <w:t>licías, y de publicidad del pago mediante una escritura pública.</w:t>
      </w:r>
    </w:p>
    <w:p w:rsidR="00224567" w:rsidRDefault="00224567">
      <w:pPr>
        <w:widowControl w:val="0"/>
        <w:tabs>
          <w:tab w:val="left" w:pos="2835"/>
        </w:tabs>
        <w:ind w:firstLine="708"/>
        <w:rPr>
          <w:bCs/>
        </w:rPr>
      </w:pPr>
      <w:r>
        <w:rPr>
          <w:bCs/>
        </w:rPr>
        <w:tab/>
        <w:t>Respecto de la vinculación de R</w:t>
      </w:r>
      <w:r>
        <w:rPr>
          <w:bCs/>
        </w:rPr>
        <w:t>i</w:t>
      </w:r>
      <w:r>
        <w:rPr>
          <w:bCs/>
        </w:rPr>
        <w:t xml:space="preserve">belli con el agregado cultural de </w:t>
      </w:r>
      <w:smartTag w:uri="urn:schemas-microsoft-com:office:smarttags" w:element="PersonName">
        <w:smartTagPr>
          <w:attr w:name="ProductID" w:val="la Embajada"/>
        </w:smartTagPr>
        <w:r>
          <w:rPr>
            <w:bCs/>
          </w:rPr>
          <w:t>la Embajada</w:t>
        </w:r>
      </w:smartTag>
      <w:r>
        <w:rPr>
          <w:bCs/>
        </w:rPr>
        <w:t xml:space="preserve"> de Irán –destacó el Dr. Valle- se intentaron explic</w:t>
      </w:r>
      <w:r>
        <w:rPr>
          <w:bCs/>
        </w:rPr>
        <w:t>a</w:t>
      </w:r>
      <w:r>
        <w:rPr>
          <w:bCs/>
        </w:rPr>
        <w:t>ciones que sólo pueden ser producto de lo que llamó “el voluntarismo de la imag</w:t>
      </w:r>
      <w:r>
        <w:rPr>
          <w:bCs/>
        </w:rPr>
        <w:t>i</w:t>
      </w:r>
      <w:r>
        <w:rPr>
          <w:bCs/>
        </w:rPr>
        <w:t>nación de la quer</w:t>
      </w:r>
      <w:r>
        <w:rPr>
          <w:bCs/>
        </w:rPr>
        <w:t>e</w:t>
      </w:r>
      <w:r>
        <w:rPr>
          <w:bCs/>
        </w:rPr>
        <w:t>lla”.</w:t>
      </w:r>
    </w:p>
    <w:p w:rsidR="00224567" w:rsidRDefault="00224567">
      <w:pPr>
        <w:widowControl w:val="0"/>
        <w:tabs>
          <w:tab w:val="left" w:pos="2835"/>
        </w:tabs>
        <w:ind w:firstLine="708"/>
        <w:rPr>
          <w:bCs/>
        </w:rPr>
      </w:pPr>
      <w:r>
        <w:rPr>
          <w:bCs/>
        </w:rPr>
        <w:tab/>
        <w:t>A continuación, el defensor sostuvo que es un gran equívoco lo afirmado por el Dr. Barbaccia en su alegato, respecto al supuesto armado de dos o mas camionetas, y que ello no esta probado, agregando que de ninguna manera puede probarse que la camioneta que supue</w:t>
      </w:r>
      <w:r>
        <w:rPr>
          <w:bCs/>
        </w:rPr>
        <w:t>s</w:t>
      </w:r>
      <w:r>
        <w:rPr>
          <w:bCs/>
        </w:rPr>
        <w:t xml:space="preserve">tamente se entregara a los policías el día 10 de julio, tuviese colocado el motor quemado que perteneciera a </w:t>
      </w:r>
      <w:smartTag w:uri="urn:schemas-microsoft-com:office:smarttags" w:element="PersonName">
        <w:smartTagPr>
          <w:attr w:name="ProductID" w:val="la Trafic"/>
        </w:smartTagPr>
        <w:r>
          <w:rPr>
            <w:bCs/>
          </w:rPr>
          <w:t>la Trafic</w:t>
        </w:r>
      </w:smartTag>
      <w:r>
        <w:rPr>
          <w:bCs/>
        </w:rPr>
        <w:t xml:space="preserve"> de “Me</w:t>
      </w:r>
      <w:r>
        <w:rPr>
          <w:bCs/>
        </w:rPr>
        <w:t>s</w:t>
      </w:r>
      <w:r>
        <w:rPr>
          <w:bCs/>
        </w:rPr>
        <w:t>sin”.</w:t>
      </w:r>
    </w:p>
    <w:p w:rsidR="00224567" w:rsidRDefault="00224567">
      <w:pPr>
        <w:widowControl w:val="0"/>
        <w:tabs>
          <w:tab w:val="left" w:pos="2835"/>
        </w:tabs>
        <w:ind w:firstLine="708"/>
        <w:rPr>
          <w:bCs/>
        </w:rPr>
      </w:pPr>
      <w:r>
        <w:rPr>
          <w:bCs/>
        </w:rPr>
        <w:tab/>
        <w:t>Destacó también que en el requerimie</w:t>
      </w:r>
      <w:r>
        <w:rPr>
          <w:bCs/>
        </w:rPr>
        <w:t>n</w:t>
      </w:r>
      <w:r>
        <w:rPr>
          <w:bCs/>
        </w:rPr>
        <w:t>to de elevación a juicio, dentro del capítulo de Telle</w:t>
      </w:r>
      <w:r>
        <w:rPr>
          <w:bCs/>
        </w:rPr>
        <w:t>l</w:t>
      </w:r>
      <w:r>
        <w:rPr>
          <w:bCs/>
        </w:rPr>
        <w:t>dín, sostuvieron los fiscales firmantes que “debe ente</w:t>
      </w:r>
      <w:r>
        <w:rPr>
          <w:bCs/>
        </w:rPr>
        <w:t>n</w:t>
      </w:r>
      <w:r>
        <w:rPr>
          <w:bCs/>
        </w:rPr>
        <w:t xml:space="preserve">derse la responsabilidad que se le enrostra a Telleldín </w:t>
      </w:r>
      <w:r>
        <w:rPr>
          <w:bCs/>
        </w:rPr>
        <w:lastRenderedPageBreak/>
        <w:t>por su particip</w:t>
      </w:r>
      <w:r>
        <w:rPr>
          <w:bCs/>
        </w:rPr>
        <w:t>a</w:t>
      </w:r>
      <w:r>
        <w:rPr>
          <w:bCs/>
        </w:rPr>
        <w:t>ción en el atentado, con la circunstancia de haber resultado víctima del delito de extorsión comet</w:t>
      </w:r>
      <w:r>
        <w:rPr>
          <w:bCs/>
        </w:rPr>
        <w:t>i</w:t>
      </w:r>
      <w:r>
        <w:rPr>
          <w:bCs/>
        </w:rPr>
        <w:t>da el 10 de julio de 1994, extremo que de modo alguno se auto excl</w:t>
      </w:r>
      <w:r>
        <w:rPr>
          <w:bCs/>
        </w:rPr>
        <w:t>u</w:t>
      </w:r>
      <w:r>
        <w:rPr>
          <w:bCs/>
        </w:rPr>
        <w:t xml:space="preserve">yen”. Afirmó el defensor que ello constituye una incoherencia, recordando que los fiscales citan a </w:t>
      </w:r>
      <w:smartTag w:uri="urn:schemas-microsoft-com:office:smarttags" w:element="PersonName">
        <w:smartTagPr>
          <w:attr w:name="ProductID" w:val="la Sala I"/>
        </w:smartTagPr>
        <w:r>
          <w:rPr>
            <w:bCs/>
          </w:rPr>
          <w:t>la Sala I</w:t>
        </w:r>
      </w:smartTag>
      <w:r>
        <w:rPr>
          <w:bCs/>
        </w:rPr>
        <w:t xml:space="preserve"> de </w:t>
      </w:r>
      <w:smartTag w:uri="urn:schemas-microsoft-com:office:smarttags" w:element="PersonName">
        <w:smartTagPr>
          <w:attr w:name="ProductID" w:val="la C￡mara Federal"/>
        </w:smartTagPr>
        <w:r>
          <w:rPr>
            <w:bCs/>
          </w:rPr>
          <w:t>la Cámara Federal</w:t>
        </w:r>
      </w:smartTag>
      <w:r>
        <w:rPr>
          <w:bCs/>
        </w:rPr>
        <w:t xml:space="preserve"> que sostuvo que debe valorarse la ambigua situación que vinculaba a Telleldín con los no</w:t>
      </w:r>
      <w:r>
        <w:rPr>
          <w:bCs/>
        </w:rPr>
        <w:t>m</w:t>
      </w:r>
      <w:r>
        <w:rPr>
          <w:bCs/>
        </w:rPr>
        <w:t>brados sin que quepa excluir la extorsión ni la particip</w:t>
      </w:r>
      <w:r>
        <w:rPr>
          <w:bCs/>
        </w:rPr>
        <w:t>a</w:t>
      </w:r>
      <w:r>
        <w:rPr>
          <w:bCs/>
        </w:rPr>
        <w:t>ción de aquél en el armado de una camioneta cuyo destino conocía, admitiéndose así una acusación que contiene hip</w:t>
      </w:r>
      <w:r>
        <w:rPr>
          <w:bCs/>
        </w:rPr>
        <w:t>ó</w:t>
      </w:r>
      <w:r>
        <w:rPr>
          <w:bCs/>
        </w:rPr>
        <w:t>tesis subsidiarias o alternativas que se excluyen entre sí.</w:t>
      </w:r>
    </w:p>
    <w:p w:rsidR="00224567" w:rsidRDefault="00224567">
      <w:pPr>
        <w:widowControl w:val="0"/>
        <w:tabs>
          <w:tab w:val="left" w:pos="2835"/>
        </w:tabs>
        <w:ind w:firstLine="708"/>
        <w:rPr>
          <w:bCs/>
        </w:rPr>
      </w:pPr>
      <w:r>
        <w:rPr>
          <w:bCs/>
        </w:rPr>
        <w:tab/>
        <w:t>Aclaró el defensor que en la resol</w:t>
      </w:r>
      <w:r>
        <w:rPr>
          <w:bCs/>
        </w:rPr>
        <w:t>u</w:t>
      </w:r>
      <w:r>
        <w:rPr>
          <w:bCs/>
        </w:rPr>
        <w:t>ción de la alzada, se citó la obra “Derecho Procesal P</w:t>
      </w:r>
      <w:r>
        <w:rPr>
          <w:bCs/>
        </w:rPr>
        <w:t>e</w:t>
      </w:r>
      <w:r>
        <w:rPr>
          <w:bCs/>
        </w:rPr>
        <w:t>nal” de Julio Maier (Tomo I, pág. 574, Buenos Aires, 1996), donde el autor trata las acusaciones alternat</w:t>
      </w:r>
      <w:r>
        <w:rPr>
          <w:bCs/>
        </w:rPr>
        <w:t>i</w:t>
      </w:r>
      <w:r>
        <w:rPr>
          <w:bCs/>
        </w:rPr>
        <w:t>vas o subsidiarias como una práctica impuesta en las ofensas progresivas contra el honor, calumnias o injurias y que sólo rige en concreto para los casos de co</w:t>
      </w:r>
      <w:r>
        <w:rPr>
          <w:bCs/>
        </w:rPr>
        <w:t>n</w:t>
      </w:r>
      <w:r>
        <w:rPr>
          <w:bCs/>
        </w:rPr>
        <w:t>cursos de leyes penales referidos a una misma persona que se le imputan diversos del</w:t>
      </w:r>
      <w:r>
        <w:rPr>
          <w:bCs/>
        </w:rPr>
        <w:t>i</w:t>
      </w:r>
      <w:r>
        <w:rPr>
          <w:bCs/>
        </w:rPr>
        <w:t>tos.</w:t>
      </w:r>
    </w:p>
    <w:p w:rsidR="00224567" w:rsidRDefault="00224567">
      <w:pPr>
        <w:widowControl w:val="0"/>
        <w:tabs>
          <w:tab w:val="left" w:pos="2835"/>
        </w:tabs>
        <w:ind w:firstLine="708"/>
        <w:rPr>
          <w:bCs/>
        </w:rPr>
      </w:pPr>
      <w:r>
        <w:rPr>
          <w:bCs/>
        </w:rPr>
        <w:lastRenderedPageBreak/>
        <w:tab/>
        <w:t>Por ello, sostuvo el defensor, la qu</w:t>
      </w:r>
      <w:r>
        <w:rPr>
          <w:bCs/>
        </w:rPr>
        <w:t>e</w:t>
      </w:r>
      <w:r>
        <w:rPr>
          <w:bCs/>
        </w:rPr>
        <w:t>rella imaginativamente dio el sorprendente argumento de que el 10 de julio de 1994, Telleldín entrego la c</w:t>
      </w:r>
      <w:r>
        <w:rPr>
          <w:bCs/>
        </w:rPr>
        <w:t>a</w:t>
      </w:r>
      <w:r>
        <w:rPr>
          <w:bCs/>
        </w:rPr>
        <w:t xml:space="preserve">mioneta como parte de pago. </w:t>
      </w:r>
    </w:p>
    <w:p w:rsidR="00224567" w:rsidRDefault="00224567">
      <w:pPr>
        <w:widowControl w:val="0"/>
        <w:tabs>
          <w:tab w:val="left" w:pos="2835"/>
        </w:tabs>
        <w:ind w:firstLine="708"/>
        <w:rPr>
          <w:bCs/>
        </w:rPr>
      </w:pPr>
      <w:r>
        <w:rPr>
          <w:bCs/>
        </w:rPr>
        <w:tab/>
        <w:t>Observó el defensor que ese arg</w:t>
      </w:r>
      <w:r>
        <w:rPr>
          <w:bCs/>
        </w:rPr>
        <w:t>u</w:t>
      </w:r>
      <w:r>
        <w:rPr>
          <w:bCs/>
        </w:rPr>
        <w:t>mento está expuesto a un elemental ataque: si la entrega es v</w:t>
      </w:r>
      <w:r>
        <w:rPr>
          <w:bCs/>
        </w:rPr>
        <w:t>o</w:t>
      </w:r>
      <w:r>
        <w:rPr>
          <w:bCs/>
        </w:rPr>
        <w:t>luntaria ¿qué hacía ese “estrafalario” personaje, Mart</w:t>
      </w:r>
      <w:r>
        <w:rPr>
          <w:bCs/>
        </w:rPr>
        <w:t>í</w:t>
      </w:r>
      <w:r>
        <w:rPr>
          <w:bCs/>
        </w:rPr>
        <w:t>nez, en el medio?; ¿a santo de qué había dos su</w:t>
      </w:r>
      <w:r>
        <w:rPr>
          <w:bCs/>
        </w:rPr>
        <w:t>b</w:t>
      </w:r>
      <w:r>
        <w:rPr>
          <w:bCs/>
        </w:rPr>
        <w:t>comisarios merodeando la zona y uno de ellos le preguntó si la cami</w:t>
      </w:r>
      <w:r>
        <w:rPr>
          <w:bCs/>
        </w:rPr>
        <w:t>o</w:t>
      </w:r>
      <w:r>
        <w:rPr>
          <w:bCs/>
        </w:rPr>
        <w:t>neta estaba vend</w:t>
      </w:r>
      <w:r>
        <w:rPr>
          <w:bCs/>
        </w:rPr>
        <w:t>i</w:t>
      </w:r>
      <w:r>
        <w:rPr>
          <w:bCs/>
        </w:rPr>
        <w:t>da?.</w:t>
      </w:r>
    </w:p>
    <w:p w:rsidR="00224567" w:rsidRDefault="00224567">
      <w:pPr>
        <w:widowControl w:val="0"/>
        <w:tabs>
          <w:tab w:val="left" w:pos="2835"/>
        </w:tabs>
        <w:ind w:firstLine="708"/>
        <w:rPr>
          <w:bCs/>
        </w:rPr>
      </w:pPr>
      <w:r>
        <w:rPr>
          <w:bCs/>
        </w:rPr>
        <w:tab/>
        <w:t>Reparó el defensor en que el Sr. fi</w:t>
      </w:r>
      <w:r>
        <w:rPr>
          <w:bCs/>
        </w:rPr>
        <w:t>s</w:t>
      </w:r>
      <w:r>
        <w:rPr>
          <w:bCs/>
        </w:rPr>
        <w:t>cal se empecino en acusar sin pruebas, y no tuvo otro r</w:t>
      </w:r>
      <w:r>
        <w:rPr>
          <w:bCs/>
        </w:rPr>
        <w:t>e</w:t>
      </w:r>
      <w:r>
        <w:rPr>
          <w:bCs/>
        </w:rPr>
        <w:t>medio que adherir a la creación de la querella, y lo que lo obligó a pedir la absolución de los policías por el h</w:t>
      </w:r>
      <w:r>
        <w:rPr>
          <w:bCs/>
        </w:rPr>
        <w:t>e</w:t>
      </w:r>
      <w:r>
        <w:rPr>
          <w:bCs/>
        </w:rPr>
        <w:t>cho de la supuesta extorsión del 10 de julio.</w:t>
      </w:r>
    </w:p>
    <w:p w:rsidR="00224567" w:rsidRDefault="00224567">
      <w:pPr>
        <w:widowControl w:val="0"/>
        <w:tabs>
          <w:tab w:val="left" w:pos="2835"/>
        </w:tabs>
        <w:ind w:firstLine="708"/>
        <w:rPr>
          <w:bCs/>
        </w:rPr>
      </w:pPr>
      <w:r>
        <w:rPr>
          <w:bCs/>
        </w:rPr>
        <w:tab/>
        <w:t>Recalcó que el 10 de julio no hubo e</w:t>
      </w:r>
      <w:r>
        <w:rPr>
          <w:bCs/>
        </w:rPr>
        <w:t>n</w:t>
      </w:r>
      <w:r>
        <w:rPr>
          <w:bCs/>
        </w:rPr>
        <w:t>trega alguna, ni extorsión ni nada, considerando que el armado de este episodio obligó a los fiscales a incons</w:t>
      </w:r>
      <w:r>
        <w:rPr>
          <w:bCs/>
        </w:rPr>
        <w:t>e</w:t>
      </w:r>
      <w:r>
        <w:rPr>
          <w:bCs/>
        </w:rPr>
        <w:t>cuencias insuperables, ya que estaba todo pergeñado para imputar a los policías ese hecho como una extorsión, qu</w:t>
      </w:r>
      <w:r>
        <w:rPr>
          <w:bCs/>
        </w:rPr>
        <w:t>e</w:t>
      </w:r>
      <w:r>
        <w:rPr>
          <w:bCs/>
        </w:rPr>
        <w:lastRenderedPageBreak/>
        <w:t>dando así desacomodados todos los argume</w:t>
      </w:r>
      <w:r>
        <w:rPr>
          <w:bCs/>
        </w:rPr>
        <w:t>n</w:t>
      </w:r>
      <w:r>
        <w:rPr>
          <w:bCs/>
        </w:rPr>
        <w:t>tos.</w:t>
      </w:r>
    </w:p>
    <w:p w:rsidR="00224567" w:rsidRDefault="00224567">
      <w:pPr>
        <w:widowControl w:val="0"/>
        <w:tabs>
          <w:tab w:val="left" w:pos="2835"/>
        </w:tabs>
        <w:ind w:firstLine="708"/>
        <w:rPr>
          <w:bCs/>
        </w:rPr>
      </w:pPr>
      <w:r>
        <w:rPr>
          <w:bCs/>
        </w:rPr>
        <w:tab/>
        <w:t>Sostuvo que esto obligó también a t</w:t>
      </w:r>
      <w:r>
        <w:rPr>
          <w:bCs/>
        </w:rPr>
        <w:t>a</w:t>
      </w:r>
      <w:r>
        <w:rPr>
          <w:bCs/>
        </w:rPr>
        <w:t xml:space="preserve">sar alegremente los bienes en $ 30.000, para así decir que quedaba un saldo de 20.000 y completar los </w:t>
      </w:r>
      <w:smartTag w:uri="urn:schemas-microsoft-com:office:smarttags" w:element="metricconverter">
        <w:smartTagPr>
          <w:attr w:name="ProductID" w:val="50.000 a"/>
        </w:smartTagPr>
        <w:r>
          <w:rPr>
            <w:bCs/>
          </w:rPr>
          <w:t>50.000 a</w:t>
        </w:r>
      </w:smartTag>
      <w:r>
        <w:rPr>
          <w:bCs/>
        </w:rPr>
        <w:t xml:space="preserve"> los que se refirió Telleldín en su indagatoria del 5 de j</w:t>
      </w:r>
      <w:r>
        <w:rPr>
          <w:bCs/>
        </w:rPr>
        <w:t>u</w:t>
      </w:r>
      <w:r>
        <w:rPr>
          <w:bCs/>
        </w:rPr>
        <w:t>lio.</w:t>
      </w:r>
    </w:p>
    <w:p w:rsidR="00224567" w:rsidRDefault="00224567">
      <w:pPr>
        <w:widowControl w:val="0"/>
        <w:tabs>
          <w:tab w:val="left" w:pos="2835"/>
        </w:tabs>
        <w:ind w:firstLine="708"/>
        <w:rPr>
          <w:bCs/>
        </w:rPr>
      </w:pPr>
      <w:r>
        <w:rPr>
          <w:bCs/>
        </w:rPr>
        <w:tab/>
        <w:t>Agregó que, al articularse la n</w:t>
      </w:r>
      <w:r>
        <w:rPr>
          <w:bCs/>
        </w:rPr>
        <w:t>u</w:t>
      </w:r>
      <w:r>
        <w:rPr>
          <w:bCs/>
        </w:rPr>
        <w:t>lidad absoluta de dicha declaración, ésto sufrió más complic</w:t>
      </w:r>
      <w:r>
        <w:rPr>
          <w:bCs/>
        </w:rPr>
        <w:t>a</w:t>
      </w:r>
      <w:r>
        <w:rPr>
          <w:bCs/>
        </w:rPr>
        <w:t xml:space="preserve">ciones aún, ya que allí Telleldín dijo que debía $ 25.000 del “arreglo” con </w:t>
      </w:r>
      <w:smartTag w:uri="urn:schemas-microsoft-com:office:smarttags" w:element="PersonName">
        <w:smartTagPr>
          <w:attr w:name="ProductID" w:val="la Brigada"/>
        </w:smartTagPr>
        <w:r>
          <w:rPr>
            <w:bCs/>
          </w:rPr>
          <w:t>la Brigada</w:t>
        </w:r>
      </w:smartTag>
      <w:r>
        <w:rPr>
          <w:bCs/>
        </w:rPr>
        <w:t xml:space="preserve"> de L</w:t>
      </w:r>
      <w:r>
        <w:rPr>
          <w:bCs/>
        </w:rPr>
        <w:t>a</w:t>
      </w:r>
      <w:r>
        <w:rPr>
          <w:bCs/>
        </w:rPr>
        <w:t>nús.</w:t>
      </w:r>
    </w:p>
    <w:p w:rsidR="00224567" w:rsidRDefault="00224567">
      <w:pPr>
        <w:widowControl w:val="0"/>
        <w:tabs>
          <w:tab w:val="left" w:pos="2835"/>
        </w:tabs>
        <w:ind w:firstLine="708"/>
        <w:rPr>
          <w:bCs/>
        </w:rPr>
      </w:pPr>
      <w:r>
        <w:rPr>
          <w:bCs/>
        </w:rPr>
        <w:tab/>
        <w:t>Por ello, a criterio del Dr. V</w:t>
      </w:r>
      <w:r>
        <w:rPr>
          <w:bCs/>
        </w:rPr>
        <w:t>a</w:t>
      </w:r>
      <w:r>
        <w:rPr>
          <w:bCs/>
        </w:rPr>
        <w:t>lle, es imposible determinar cuándo se arregló esa entrega y, a modo de hipótesis, analizó la posibilidad de que se haya consensuado en abril, remarcando que para ello debería afirmarse que en ese mes le había encargado Rabbani a R</w:t>
      </w:r>
      <w:r>
        <w:rPr>
          <w:bCs/>
        </w:rPr>
        <w:t>i</w:t>
      </w:r>
      <w:r>
        <w:rPr>
          <w:bCs/>
        </w:rPr>
        <w:t>belli el armado de una o varias camionetas; que al exto</w:t>
      </w:r>
      <w:r>
        <w:rPr>
          <w:bCs/>
        </w:rPr>
        <w:t>r</w:t>
      </w:r>
      <w:r>
        <w:rPr>
          <w:bCs/>
        </w:rPr>
        <w:t>sionar a Telleldín pensó que el doblador de autos era la persona mas idónea para delegarle la cuestión; y que fue allí que a Ribelli se le ocurrió que Telleldín tenía el perfil para colaborar con un atent</w:t>
      </w:r>
      <w:r>
        <w:rPr>
          <w:bCs/>
        </w:rPr>
        <w:t>a</w:t>
      </w:r>
      <w:r>
        <w:rPr>
          <w:bCs/>
        </w:rPr>
        <w:t>do terrorista.</w:t>
      </w:r>
    </w:p>
    <w:p w:rsidR="00224567" w:rsidRDefault="00224567">
      <w:pPr>
        <w:widowControl w:val="0"/>
        <w:tabs>
          <w:tab w:val="left" w:pos="2835"/>
        </w:tabs>
        <w:ind w:firstLine="708"/>
        <w:rPr>
          <w:bCs/>
        </w:rPr>
      </w:pPr>
      <w:r>
        <w:rPr>
          <w:bCs/>
        </w:rPr>
        <w:tab/>
        <w:t>Añadió que ésto es imposible de afi</w:t>
      </w:r>
      <w:r>
        <w:rPr>
          <w:bCs/>
        </w:rPr>
        <w:t>r</w:t>
      </w:r>
      <w:r>
        <w:rPr>
          <w:bCs/>
        </w:rPr>
        <w:t>mar, ya que si Rib</w:t>
      </w:r>
      <w:r>
        <w:rPr>
          <w:bCs/>
        </w:rPr>
        <w:t>e</w:t>
      </w:r>
      <w:r>
        <w:rPr>
          <w:bCs/>
        </w:rPr>
        <w:t xml:space="preserve">lli sabía que iba a cobrar 2.500.000 de </w:t>
      </w:r>
      <w:r>
        <w:rPr>
          <w:bCs/>
        </w:rPr>
        <w:lastRenderedPageBreak/>
        <w:t>dólares o de pesos, era innecesario que se apoderara de los autos viejos que supuestamente quitó a Telle</w:t>
      </w:r>
      <w:r>
        <w:rPr>
          <w:bCs/>
        </w:rPr>
        <w:t>l</w:t>
      </w:r>
      <w:r>
        <w:rPr>
          <w:bCs/>
        </w:rPr>
        <w:t>dín, y se enemistara con él, ya que, justamente era a quien iba a confiar semejante e</w:t>
      </w:r>
      <w:r>
        <w:rPr>
          <w:bCs/>
        </w:rPr>
        <w:t>m</w:t>
      </w:r>
      <w:r>
        <w:rPr>
          <w:bCs/>
        </w:rPr>
        <w:t>presa.</w:t>
      </w:r>
    </w:p>
    <w:p w:rsidR="00224567" w:rsidRDefault="00224567">
      <w:pPr>
        <w:widowControl w:val="0"/>
        <w:tabs>
          <w:tab w:val="left" w:pos="2835"/>
        </w:tabs>
        <w:ind w:firstLine="708"/>
        <w:rPr>
          <w:bCs/>
        </w:rPr>
      </w:pPr>
      <w:r>
        <w:rPr>
          <w:bCs/>
        </w:rPr>
        <w:tab/>
        <w:t>Alegó que no existe ningún el</w:t>
      </w:r>
      <w:r>
        <w:rPr>
          <w:bCs/>
        </w:rPr>
        <w:t>e</w:t>
      </w:r>
      <w:r>
        <w:rPr>
          <w:bCs/>
        </w:rPr>
        <w:t>mento de convicción que sustente lo afirmado por los acusadores y destacó que la prueba de esa tesis se basa sol</w:t>
      </w:r>
      <w:r>
        <w:rPr>
          <w:bCs/>
        </w:rPr>
        <w:t>a</w:t>
      </w:r>
      <w:r>
        <w:rPr>
          <w:bCs/>
        </w:rPr>
        <w:t>mente en lo que dicen T</w:t>
      </w:r>
      <w:r>
        <w:rPr>
          <w:bCs/>
        </w:rPr>
        <w:t>e</w:t>
      </w:r>
      <w:r>
        <w:rPr>
          <w:bCs/>
        </w:rPr>
        <w:t>lleldín y su mujer.</w:t>
      </w:r>
    </w:p>
    <w:p w:rsidR="00224567" w:rsidRDefault="00224567">
      <w:pPr>
        <w:widowControl w:val="0"/>
        <w:tabs>
          <w:tab w:val="left" w:pos="2835"/>
        </w:tabs>
        <w:ind w:firstLine="708"/>
        <w:rPr>
          <w:bCs/>
        </w:rPr>
      </w:pPr>
      <w:r>
        <w:rPr>
          <w:bCs/>
        </w:rPr>
        <w:tab/>
        <w:t>Recalcó que no hay prueba independie</w:t>
      </w:r>
      <w:r>
        <w:rPr>
          <w:bCs/>
        </w:rPr>
        <w:t>n</w:t>
      </w:r>
      <w:r>
        <w:rPr>
          <w:bCs/>
        </w:rPr>
        <w:t xml:space="preserve">te del hecho ya que la fuente de todo este armado fue siempre Telleldín, ya sea por la vía de </w:t>
      </w:r>
      <w:smartTag w:uri="urn:schemas-microsoft-com:office:smarttags" w:element="PersonName">
        <w:smartTagPr>
          <w:attr w:name="ProductID" w:val="la Dra. Riva"/>
        </w:smartTagPr>
        <w:r>
          <w:rPr>
            <w:bCs/>
          </w:rPr>
          <w:t>la Dra. Riva</w:t>
        </w:r>
      </w:smartTag>
      <w:r>
        <w:rPr>
          <w:bCs/>
        </w:rPr>
        <w:t xml:space="preserve"> Ar</w:t>
      </w:r>
      <w:r>
        <w:rPr>
          <w:bCs/>
        </w:rPr>
        <w:t>a</w:t>
      </w:r>
      <w:r>
        <w:rPr>
          <w:bCs/>
        </w:rPr>
        <w:t>mayo, por vía de los periodistas, por la vía del manuscr</w:t>
      </w:r>
      <w:r>
        <w:rPr>
          <w:bCs/>
        </w:rPr>
        <w:t>i</w:t>
      </w:r>
      <w:r>
        <w:rPr>
          <w:bCs/>
        </w:rPr>
        <w:t>to, o a través de los videos.</w:t>
      </w:r>
    </w:p>
    <w:p w:rsidR="00224567" w:rsidRDefault="00224567">
      <w:pPr>
        <w:widowControl w:val="0"/>
        <w:tabs>
          <w:tab w:val="left" w:pos="2835"/>
        </w:tabs>
        <w:ind w:firstLine="708"/>
        <w:rPr>
          <w:bCs/>
        </w:rPr>
      </w:pPr>
      <w:r>
        <w:rPr>
          <w:bCs/>
        </w:rPr>
        <w:tab/>
        <w:t>Añadió que, a criterio de los acusad</w:t>
      </w:r>
      <w:r>
        <w:rPr>
          <w:bCs/>
        </w:rPr>
        <w:t>o</w:t>
      </w:r>
      <w:r>
        <w:rPr>
          <w:bCs/>
        </w:rPr>
        <w:t>res, Telleldín es un “terrible” mentiroso, pero que se vuelve sincero, fehaciente y auténtico cuando menciona a Ib</w:t>
      </w:r>
      <w:r>
        <w:rPr>
          <w:bCs/>
        </w:rPr>
        <w:t>a</w:t>
      </w:r>
      <w:r>
        <w:rPr>
          <w:bCs/>
        </w:rPr>
        <w:t>rra y a los otros policías; que por ello sus dichos no pueden ser tenidos en cuenta, al igual que los de Ana M</w:t>
      </w:r>
      <w:r>
        <w:rPr>
          <w:bCs/>
        </w:rPr>
        <w:t>a</w:t>
      </w:r>
      <w:r>
        <w:rPr>
          <w:bCs/>
        </w:rPr>
        <w:t>ría Boragni. Recordó también que Telleldín efectuó estas afirmaciones solamente cuando Molina Qu</w:t>
      </w:r>
      <w:r>
        <w:rPr>
          <w:bCs/>
        </w:rPr>
        <w:t>i</w:t>
      </w:r>
      <w:r>
        <w:rPr>
          <w:bCs/>
        </w:rPr>
        <w:t xml:space="preserve">roga le acercó el </w:t>
      </w:r>
      <w:r>
        <w:rPr>
          <w:bCs/>
        </w:rPr>
        <w:lastRenderedPageBreak/>
        <w:t>celular y se cercioró del pago de la primera parte del d</w:t>
      </w:r>
      <w:r>
        <w:rPr>
          <w:bCs/>
        </w:rPr>
        <w:t>i</w:t>
      </w:r>
      <w:r>
        <w:rPr>
          <w:bCs/>
        </w:rPr>
        <w:t>nero que el Estado le entregara.</w:t>
      </w:r>
    </w:p>
    <w:p w:rsidR="00224567" w:rsidRDefault="00224567">
      <w:pPr>
        <w:widowControl w:val="0"/>
        <w:tabs>
          <w:tab w:val="left" w:pos="2835"/>
        </w:tabs>
        <w:ind w:firstLine="708"/>
        <w:rPr>
          <w:bCs/>
        </w:rPr>
      </w:pPr>
      <w:r>
        <w:rPr>
          <w:bCs/>
        </w:rPr>
        <w:tab/>
        <w:t>Por otra parte destacó que Telleldín fue detenido por los policías y que en otra oportunidad huyó, por lo que sería razonable que ninguna simpatía o</w:t>
      </w:r>
      <w:r>
        <w:rPr>
          <w:bCs/>
        </w:rPr>
        <w:t>s</w:t>
      </w:r>
      <w:r>
        <w:rPr>
          <w:bCs/>
        </w:rPr>
        <w:t>tentaría a las personas que lo detuvieron y tampoco te</w:t>
      </w:r>
      <w:r>
        <w:rPr>
          <w:bCs/>
        </w:rPr>
        <w:t>n</w:t>
      </w:r>
      <w:r>
        <w:rPr>
          <w:bCs/>
        </w:rPr>
        <w:t>dría ningún problema en i</w:t>
      </w:r>
      <w:r>
        <w:rPr>
          <w:bCs/>
        </w:rPr>
        <w:t>m</w:t>
      </w:r>
      <w:r>
        <w:rPr>
          <w:bCs/>
        </w:rPr>
        <w:t>putarlos.</w:t>
      </w:r>
    </w:p>
    <w:p w:rsidR="00224567" w:rsidRDefault="00224567">
      <w:pPr>
        <w:widowControl w:val="0"/>
        <w:tabs>
          <w:tab w:val="left" w:pos="2835"/>
        </w:tabs>
        <w:ind w:firstLine="708"/>
        <w:rPr>
          <w:bCs/>
        </w:rPr>
      </w:pPr>
      <w:r>
        <w:rPr>
          <w:bCs/>
        </w:rPr>
        <w:tab/>
        <w:t>Añadió el defensor que los tramos esenciales de la r</w:t>
      </w:r>
      <w:r>
        <w:rPr>
          <w:bCs/>
        </w:rPr>
        <w:t>e</w:t>
      </w:r>
      <w:r>
        <w:rPr>
          <w:bCs/>
        </w:rPr>
        <w:t>construcción histórica del hecho por el que se le imputa a su asistido la participación en el atentado, sólo surgen de la declaración que se predica a</w:t>
      </w:r>
      <w:r>
        <w:rPr>
          <w:bCs/>
        </w:rPr>
        <w:t>b</w:t>
      </w:r>
      <w:r>
        <w:rPr>
          <w:bCs/>
        </w:rPr>
        <w:t>solutamente n</w:t>
      </w:r>
      <w:r>
        <w:rPr>
          <w:bCs/>
        </w:rPr>
        <w:t>u</w:t>
      </w:r>
      <w:r>
        <w:rPr>
          <w:bCs/>
        </w:rPr>
        <w:t>la.</w:t>
      </w:r>
    </w:p>
    <w:p w:rsidR="00224567" w:rsidRDefault="00224567">
      <w:pPr>
        <w:widowControl w:val="0"/>
        <w:tabs>
          <w:tab w:val="left" w:pos="2835"/>
        </w:tabs>
        <w:ind w:firstLine="708"/>
        <w:rPr>
          <w:bCs/>
        </w:rPr>
      </w:pPr>
      <w:r>
        <w:rPr>
          <w:bCs/>
        </w:rPr>
        <w:tab/>
        <w:t>Consideró que los representantes del ministerio público plantearon una nulidad absoluta, re</w:t>
      </w:r>
      <w:r>
        <w:rPr>
          <w:bCs/>
        </w:rPr>
        <w:t>s</w:t>
      </w:r>
      <w:r>
        <w:rPr>
          <w:bCs/>
        </w:rPr>
        <w:t xml:space="preserve">pecto de la declaración del 5 de julio, ya que ello se desprende de la cita de los artículos 167 inc. 3 y 168 del Código Procesal Penal de </w:t>
      </w:r>
      <w:smartTag w:uri="urn:schemas-microsoft-com:office:smarttags" w:element="PersonName">
        <w:smartTagPr>
          <w:attr w:name="ProductID" w:val="la Naci￳n"/>
        </w:smartTagPr>
        <w:r>
          <w:rPr>
            <w:bCs/>
          </w:rPr>
          <w:t>la N</w:t>
        </w:r>
        <w:r>
          <w:rPr>
            <w:bCs/>
          </w:rPr>
          <w:t>a</w:t>
        </w:r>
        <w:r>
          <w:rPr>
            <w:bCs/>
          </w:rPr>
          <w:t>ción</w:t>
        </w:r>
      </w:smartTag>
      <w:r>
        <w:rPr>
          <w:bCs/>
        </w:rPr>
        <w:t>, que prevé nulidades de orden general, y que afectan los derechos de defensa que hacen al debido pr</w:t>
      </w:r>
      <w:r>
        <w:rPr>
          <w:bCs/>
        </w:rPr>
        <w:t>o</w:t>
      </w:r>
      <w:r>
        <w:rPr>
          <w:bCs/>
        </w:rPr>
        <w:t>ceso.</w:t>
      </w:r>
    </w:p>
    <w:p w:rsidR="00224567" w:rsidRDefault="00224567">
      <w:pPr>
        <w:widowControl w:val="0"/>
        <w:tabs>
          <w:tab w:val="left" w:pos="2835"/>
        </w:tabs>
        <w:ind w:firstLine="708"/>
        <w:rPr>
          <w:bCs/>
        </w:rPr>
      </w:pPr>
      <w:r>
        <w:rPr>
          <w:bCs/>
        </w:rPr>
        <w:tab/>
        <w:t>Asimismo agregó que dicha declar</w:t>
      </w:r>
      <w:r>
        <w:rPr>
          <w:bCs/>
        </w:rPr>
        <w:t>a</w:t>
      </w:r>
      <w:r>
        <w:rPr>
          <w:bCs/>
        </w:rPr>
        <w:t>ción, es nula en su totalidad y no en forma parcial como lo so</w:t>
      </w:r>
      <w:r>
        <w:rPr>
          <w:bCs/>
        </w:rPr>
        <w:t>s</w:t>
      </w:r>
      <w:r>
        <w:rPr>
          <w:bCs/>
        </w:rPr>
        <w:lastRenderedPageBreak/>
        <w:t>tuvo la defe</w:t>
      </w:r>
      <w:r>
        <w:rPr>
          <w:bCs/>
        </w:rPr>
        <w:t>n</w:t>
      </w:r>
      <w:r>
        <w:rPr>
          <w:bCs/>
        </w:rPr>
        <w:t>sa de Telleldín.</w:t>
      </w:r>
    </w:p>
    <w:p w:rsidR="00224567" w:rsidRDefault="00224567">
      <w:pPr>
        <w:widowControl w:val="0"/>
        <w:tabs>
          <w:tab w:val="left" w:pos="2835"/>
        </w:tabs>
        <w:ind w:firstLine="708"/>
        <w:rPr>
          <w:bCs/>
        </w:rPr>
      </w:pPr>
      <w:r>
        <w:rPr>
          <w:bCs/>
        </w:rPr>
        <w:tab/>
        <w:t>Destacó enfáticamente que no hay vía alternativa suficiente, e indicó que, si bien la declar</w:t>
      </w:r>
      <w:r>
        <w:rPr>
          <w:bCs/>
        </w:rPr>
        <w:t>a</w:t>
      </w:r>
      <w:r>
        <w:rPr>
          <w:bCs/>
        </w:rPr>
        <w:t>ción de Telleldín del 5 del julio es nula, calificándola como “muerta”, ni aún analizando su contenido puede pr</w:t>
      </w:r>
      <w:r>
        <w:rPr>
          <w:bCs/>
        </w:rPr>
        <w:t>o</w:t>
      </w:r>
      <w:r>
        <w:rPr>
          <w:bCs/>
        </w:rPr>
        <w:t>barse la supuesta participación de su asistido en el ate</w:t>
      </w:r>
      <w:r>
        <w:rPr>
          <w:bCs/>
        </w:rPr>
        <w:t>n</w:t>
      </w:r>
      <w:r>
        <w:rPr>
          <w:bCs/>
        </w:rPr>
        <w:t>tado, lo que sería un “di</w:t>
      </w:r>
      <w:r>
        <w:rPr>
          <w:bCs/>
        </w:rPr>
        <w:t>s</w:t>
      </w:r>
      <w:r>
        <w:rPr>
          <w:bCs/>
        </w:rPr>
        <w:t>parate cósmico”.</w:t>
      </w:r>
    </w:p>
    <w:p w:rsidR="00224567" w:rsidRDefault="00224567">
      <w:pPr>
        <w:widowControl w:val="0"/>
        <w:tabs>
          <w:tab w:val="left" w:pos="2835"/>
        </w:tabs>
        <w:ind w:firstLine="708"/>
        <w:rPr>
          <w:bCs/>
        </w:rPr>
      </w:pPr>
      <w:r>
        <w:rPr>
          <w:bCs/>
        </w:rPr>
        <w:tab/>
        <w:t>Al iniciar el análisis de los dichos que simbolizó como “autopsia” de la declaración “mue</w:t>
      </w:r>
      <w:r>
        <w:rPr>
          <w:bCs/>
        </w:rPr>
        <w:t>r</w:t>
      </w:r>
      <w:r>
        <w:rPr>
          <w:bCs/>
        </w:rPr>
        <w:t>ta”, destacó el l</w:t>
      </w:r>
      <w:r>
        <w:rPr>
          <w:bCs/>
        </w:rPr>
        <w:t>e</w:t>
      </w:r>
      <w:r>
        <w:rPr>
          <w:bCs/>
        </w:rPr>
        <w:t>trado que en el comienzo de la misma se dejó constancia que el imputado manifestó que no había declar</w:t>
      </w:r>
      <w:r>
        <w:rPr>
          <w:bCs/>
        </w:rPr>
        <w:t>a</w:t>
      </w:r>
      <w:r>
        <w:rPr>
          <w:bCs/>
        </w:rPr>
        <w:t xml:space="preserve">do antes lo de la entrega de la camioneta dado que sentía temor a represalias contra él o su familia, toda vez que se proponía involucrar en este hecho a </w:t>
      </w:r>
      <w:smartTag w:uri="urn:schemas-microsoft-com:office:smarttags" w:element="PersonName">
        <w:smartTagPr>
          <w:attr w:name="ProductID" w:val="la Polic￭a Bonaerense."/>
        </w:smartTagPr>
        <w:r>
          <w:rPr>
            <w:bCs/>
          </w:rPr>
          <w:t>la Policía Bona</w:t>
        </w:r>
        <w:r>
          <w:rPr>
            <w:bCs/>
          </w:rPr>
          <w:t>e</w:t>
        </w:r>
        <w:r>
          <w:rPr>
            <w:bCs/>
          </w:rPr>
          <w:t>rense.</w:t>
        </w:r>
      </w:smartTag>
    </w:p>
    <w:p w:rsidR="00224567" w:rsidRDefault="00224567">
      <w:pPr>
        <w:widowControl w:val="0"/>
        <w:tabs>
          <w:tab w:val="left" w:pos="2835"/>
        </w:tabs>
        <w:ind w:firstLine="708"/>
        <w:rPr>
          <w:bCs/>
        </w:rPr>
      </w:pPr>
      <w:r>
        <w:rPr>
          <w:bCs/>
        </w:rPr>
        <w:tab/>
        <w:t>Respecto de ello, además de recordar que Telleldín en la audiencia manifestó que la primera parte de su declaración ya estaba redactada, el defensor calificó esa aseveración como inverosímil desde t</w:t>
      </w:r>
      <w:r>
        <w:rPr>
          <w:bCs/>
        </w:rPr>
        <w:t>o</w:t>
      </w:r>
      <w:r>
        <w:rPr>
          <w:bCs/>
        </w:rPr>
        <w:t>do punto de vista, ya que no era la primera vez que dirigía imp</w:t>
      </w:r>
      <w:r>
        <w:rPr>
          <w:bCs/>
        </w:rPr>
        <w:t>u</w:t>
      </w:r>
      <w:r>
        <w:rPr>
          <w:bCs/>
        </w:rPr>
        <w:lastRenderedPageBreak/>
        <w:t xml:space="preserve">taciones contra integrantes de </w:t>
      </w:r>
      <w:smartTag w:uri="urn:schemas-microsoft-com:office:smarttags" w:element="PersonName">
        <w:smartTagPr>
          <w:attr w:name="ProductID" w:val="la Brigada"/>
        </w:smartTagPr>
        <w:r>
          <w:rPr>
            <w:bCs/>
          </w:rPr>
          <w:t>la Brigada</w:t>
        </w:r>
      </w:smartTag>
      <w:r>
        <w:rPr>
          <w:bCs/>
        </w:rPr>
        <w:t xml:space="preserve"> de Vicente L</w:t>
      </w:r>
      <w:r>
        <w:rPr>
          <w:bCs/>
        </w:rPr>
        <w:t>ó</w:t>
      </w:r>
      <w:r>
        <w:rPr>
          <w:bCs/>
        </w:rPr>
        <w:t xml:space="preserve">pez, pues en su declaración del 6 de agosto de </w:t>
      </w:r>
      <w:smartTag w:uri="urn:schemas-microsoft-com:office:smarttags" w:element="metricconverter">
        <w:smartTagPr>
          <w:attr w:name="ProductID" w:val="1994, a"/>
        </w:smartTagPr>
        <w:r>
          <w:rPr>
            <w:bCs/>
          </w:rPr>
          <w:t>1994, a</w:t>
        </w:r>
      </w:smartTag>
      <w:r>
        <w:rPr>
          <w:bCs/>
        </w:rPr>
        <w:t xml:space="preserve"> e</w:t>
      </w:r>
      <w:r>
        <w:rPr>
          <w:bCs/>
        </w:rPr>
        <w:t>s</w:t>
      </w:r>
      <w:r>
        <w:rPr>
          <w:bCs/>
        </w:rPr>
        <w:t>casos días de ser detenido, relató el procedimiento del 14 de julio, del que supuestamente fue víctima.</w:t>
      </w:r>
    </w:p>
    <w:p w:rsidR="00224567" w:rsidRDefault="00224567">
      <w:pPr>
        <w:widowControl w:val="0"/>
        <w:tabs>
          <w:tab w:val="left" w:pos="2835"/>
        </w:tabs>
        <w:ind w:firstLine="708"/>
        <w:rPr>
          <w:bCs/>
        </w:rPr>
      </w:pPr>
      <w:r>
        <w:rPr>
          <w:bCs/>
        </w:rPr>
        <w:tab/>
        <w:t>Agregó el defensor, que Telleldín nu</w:t>
      </w:r>
      <w:r>
        <w:rPr>
          <w:bCs/>
        </w:rPr>
        <w:t>n</w:t>
      </w:r>
      <w:r>
        <w:rPr>
          <w:bCs/>
        </w:rPr>
        <w:t>ca mostró una preocupación especial por la seg</w:t>
      </w:r>
      <w:r>
        <w:rPr>
          <w:bCs/>
        </w:rPr>
        <w:t>u</w:t>
      </w:r>
      <w:r>
        <w:rPr>
          <w:bCs/>
        </w:rPr>
        <w:t>ridad de su familia, ni antes ni después de esa d</w:t>
      </w:r>
      <w:r>
        <w:rPr>
          <w:bCs/>
        </w:rPr>
        <w:t>e</w:t>
      </w:r>
      <w:r>
        <w:rPr>
          <w:bCs/>
        </w:rPr>
        <w:t>claración.</w:t>
      </w:r>
    </w:p>
    <w:p w:rsidR="00224567" w:rsidRDefault="00224567">
      <w:pPr>
        <w:widowControl w:val="0"/>
        <w:tabs>
          <w:tab w:val="left" w:pos="2835"/>
        </w:tabs>
        <w:ind w:firstLine="708"/>
        <w:rPr>
          <w:bCs/>
        </w:rPr>
      </w:pPr>
      <w:r>
        <w:rPr>
          <w:bCs/>
        </w:rPr>
        <w:tab/>
        <w:t>Seguidamente el letrado sostuvo que en esa exposición se le atribuye a Telleldín haber d</w:t>
      </w:r>
      <w:r>
        <w:rPr>
          <w:bCs/>
        </w:rPr>
        <w:t>i</w:t>
      </w:r>
      <w:r>
        <w:rPr>
          <w:bCs/>
        </w:rPr>
        <w:t xml:space="preserve">cho que el 10 de julio de </w:t>
      </w:r>
      <w:smartTag w:uri="urn:schemas-microsoft-com:office:smarttags" w:element="metricconverter">
        <w:smartTagPr>
          <w:attr w:name="ProductID" w:val="1994 a"/>
        </w:smartTagPr>
        <w:r>
          <w:rPr>
            <w:bCs/>
          </w:rPr>
          <w:t>1994 a</w:t>
        </w:r>
      </w:smartTag>
      <w:r>
        <w:rPr>
          <w:bCs/>
        </w:rPr>
        <w:t xml:space="preserve"> las 14.30 horas aproximadamente, se presentó en su casa una persona i</w:t>
      </w:r>
      <w:r>
        <w:rPr>
          <w:bCs/>
        </w:rPr>
        <w:t>n</w:t>
      </w:r>
      <w:r>
        <w:rPr>
          <w:bCs/>
        </w:rPr>
        <w:t xml:space="preserve">teresada en </w:t>
      </w:r>
      <w:smartTag w:uri="urn:schemas-microsoft-com:office:smarttags" w:element="PersonName">
        <w:smartTagPr>
          <w:attr w:name="ProductID" w:val="la Trafic"/>
        </w:smartTagPr>
        <w:r>
          <w:rPr>
            <w:bCs/>
          </w:rPr>
          <w:t>la Trafic</w:t>
        </w:r>
      </w:smartTag>
      <w:r>
        <w:rPr>
          <w:bCs/>
        </w:rPr>
        <w:t xml:space="preserve"> p</w:t>
      </w:r>
      <w:r>
        <w:rPr>
          <w:bCs/>
        </w:rPr>
        <w:t>u</w:t>
      </w:r>
      <w:r>
        <w:rPr>
          <w:bCs/>
        </w:rPr>
        <w:t>blicada para la venta, por lo que salió a la calle y en ese momento esa persona le exhibió una credencial verde de policía, diciéndole que a</w:t>
      </w:r>
      <w:r>
        <w:rPr>
          <w:bCs/>
        </w:rPr>
        <w:t>l</w:t>
      </w:r>
      <w:r>
        <w:rPr>
          <w:bCs/>
        </w:rPr>
        <w:t>guien lo quería ver.</w:t>
      </w:r>
    </w:p>
    <w:p w:rsidR="00224567" w:rsidRDefault="00224567">
      <w:pPr>
        <w:widowControl w:val="0"/>
        <w:tabs>
          <w:tab w:val="left" w:pos="2835"/>
        </w:tabs>
        <w:ind w:firstLine="708"/>
        <w:rPr>
          <w:bCs/>
        </w:rPr>
      </w:pPr>
      <w:r>
        <w:rPr>
          <w:bCs/>
        </w:rPr>
        <w:tab/>
        <w:t>A criterio del defensor lo rel</w:t>
      </w:r>
      <w:r>
        <w:rPr>
          <w:bCs/>
        </w:rPr>
        <w:t>a</w:t>
      </w:r>
      <w:r>
        <w:rPr>
          <w:bCs/>
        </w:rPr>
        <w:t>tado no es razonable con una entrega acordada, ya que de ser así, es ilógico que aquél se haya presentado de esa forma en República 107, haciéndose pasar, incluso, por un comprador que venía por el av</w:t>
      </w:r>
      <w:r>
        <w:rPr>
          <w:bCs/>
        </w:rPr>
        <w:t>i</w:t>
      </w:r>
      <w:r>
        <w:rPr>
          <w:bCs/>
        </w:rPr>
        <w:t>so.</w:t>
      </w:r>
    </w:p>
    <w:p w:rsidR="00224567" w:rsidRDefault="00224567">
      <w:pPr>
        <w:widowControl w:val="0"/>
        <w:tabs>
          <w:tab w:val="left" w:pos="2835"/>
        </w:tabs>
        <w:ind w:firstLine="708"/>
        <w:rPr>
          <w:bCs/>
        </w:rPr>
      </w:pPr>
      <w:r>
        <w:rPr>
          <w:bCs/>
        </w:rPr>
        <w:tab/>
        <w:t>Añadió la defensa que si como se pr</w:t>
      </w:r>
      <w:r>
        <w:rPr>
          <w:bCs/>
        </w:rPr>
        <w:t>e</w:t>
      </w:r>
      <w:r>
        <w:rPr>
          <w:bCs/>
        </w:rPr>
        <w:t>tende en el requerimiento de elevación a juicio, la cami</w:t>
      </w:r>
      <w:r>
        <w:rPr>
          <w:bCs/>
        </w:rPr>
        <w:t>o</w:t>
      </w:r>
      <w:r>
        <w:rPr>
          <w:bCs/>
        </w:rPr>
        <w:lastRenderedPageBreak/>
        <w:t>neta le fue sacada por la fuerza, esta forma de presenta</w:t>
      </w:r>
      <w:r>
        <w:rPr>
          <w:bCs/>
        </w:rPr>
        <w:t>r</w:t>
      </w:r>
      <w:r>
        <w:rPr>
          <w:bCs/>
        </w:rPr>
        <w:t>se es tan inapropiada como la anterior, ya que no fue de ese modo como supuestamente se manejaron los policías el 15 de ma</w:t>
      </w:r>
      <w:r>
        <w:rPr>
          <w:bCs/>
        </w:rPr>
        <w:t>r</w:t>
      </w:r>
      <w:r>
        <w:rPr>
          <w:bCs/>
        </w:rPr>
        <w:t>zo, el 4 de abril y el 14 de julio.</w:t>
      </w:r>
    </w:p>
    <w:p w:rsidR="00224567" w:rsidRDefault="00224567">
      <w:pPr>
        <w:widowControl w:val="0"/>
        <w:tabs>
          <w:tab w:val="left" w:pos="2835"/>
        </w:tabs>
        <w:ind w:firstLine="708"/>
        <w:rPr>
          <w:bCs/>
        </w:rPr>
      </w:pPr>
      <w:r>
        <w:rPr>
          <w:bCs/>
        </w:rPr>
        <w:tab/>
        <w:t>Respecto de la descripción del compr</w:t>
      </w:r>
      <w:r>
        <w:rPr>
          <w:bCs/>
        </w:rPr>
        <w:t>a</w:t>
      </w:r>
      <w:r>
        <w:rPr>
          <w:bCs/>
        </w:rPr>
        <w:t>dor, plasmada en la declaración nula, donde consta que e</w:t>
      </w:r>
      <w:r>
        <w:rPr>
          <w:bCs/>
        </w:rPr>
        <w:t>s</w:t>
      </w:r>
      <w:r>
        <w:rPr>
          <w:bCs/>
        </w:rPr>
        <w:t>taba disfrazada con peluca, anteojos y gorra, concluyó que la innecesariedad de dichos a</w:t>
      </w:r>
      <w:r>
        <w:rPr>
          <w:bCs/>
        </w:rPr>
        <w:t>c</w:t>
      </w:r>
      <w:r>
        <w:rPr>
          <w:bCs/>
        </w:rPr>
        <w:t>cesorios, en el marco de una entrega acordada, es evidente.</w:t>
      </w:r>
    </w:p>
    <w:p w:rsidR="00224567" w:rsidRDefault="00224567">
      <w:pPr>
        <w:widowControl w:val="0"/>
        <w:tabs>
          <w:tab w:val="left" w:pos="2835"/>
        </w:tabs>
        <w:ind w:firstLine="708"/>
        <w:rPr>
          <w:bCs/>
        </w:rPr>
      </w:pPr>
      <w:r>
        <w:rPr>
          <w:bCs/>
        </w:rPr>
        <w:tab/>
        <w:t>Con relación a la supuesta asever</w:t>
      </w:r>
      <w:r>
        <w:rPr>
          <w:bCs/>
        </w:rPr>
        <w:t>a</w:t>
      </w:r>
      <w:r>
        <w:rPr>
          <w:bCs/>
        </w:rPr>
        <w:t xml:space="preserve">ción del imputado de que se subieron a </w:t>
      </w:r>
      <w:smartTag w:uri="urn:schemas-microsoft-com:office:smarttags" w:element="PersonName">
        <w:smartTagPr>
          <w:attr w:name="ProductID" w:val="la Trafic"/>
        </w:smartTagPr>
        <w:r>
          <w:rPr>
            <w:bCs/>
          </w:rPr>
          <w:t>la Trafic</w:t>
        </w:r>
      </w:smartTag>
      <w:r>
        <w:rPr>
          <w:bCs/>
        </w:rPr>
        <w:t xml:space="preserve"> est</w:t>
      </w:r>
      <w:r>
        <w:rPr>
          <w:bCs/>
        </w:rPr>
        <w:t>a</w:t>
      </w:r>
      <w:r>
        <w:rPr>
          <w:bCs/>
        </w:rPr>
        <w:t>cionada en la vereda de enfrente, y que conducida por él, fueron ha</w:t>
      </w:r>
      <w:r>
        <w:rPr>
          <w:bCs/>
        </w:rPr>
        <w:t>s</w:t>
      </w:r>
      <w:r>
        <w:rPr>
          <w:bCs/>
        </w:rPr>
        <w:t>ta la vuelta de su casa parando detrás de un Fiat Duna blanco, donde una persona que se identificó como el of</w:t>
      </w:r>
      <w:r>
        <w:rPr>
          <w:bCs/>
        </w:rPr>
        <w:t>i</w:t>
      </w:r>
      <w:r>
        <w:rPr>
          <w:bCs/>
        </w:rPr>
        <w:t xml:space="preserve">cial Pino de </w:t>
      </w:r>
      <w:smartTag w:uri="urn:schemas-microsoft-com:office:smarttags" w:element="PersonName">
        <w:smartTagPr>
          <w:attr w:name="ProductID" w:val="la Brigada"/>
        </w:smartTagPr>
        <w:r>
          <w:rPr>
            <w:bCs/>
          </w:rPr>
          <w:t>la Brigada</w:t>
        </w:r>
      </w:smartTag>
      <w:r>
        <w:rPr>
          <w:bCs/>
        </w:rPr>
        <w:t xml:space="preserve"> de Investigaciones le dijo “ten</w:t>
      </w:r>
      <w:r>
        <w:rPr>
          <w:bCs/>
        </w:rPr>
        <w:t>e</w:t>
      </w:r>
      <w:r>
        <w:rPr>
          <w:bCs/>
        </w:rPr>
        <w:t>mos la manzana rodeada, sabemos como laburás y tenés que pagar lo que d</w:t>
      </w:r>
      <w:r>
        <w:rPr>
          <w:bCs/>
        </w:rPr>
        <w:t>e</w:t>
      </w:r>
      <w:r>
        <w:rPr>
          <w:bCs/>
        </w:rPr>
        <w:t xml:space="preserve">bés”, pidiéndole </w:t>
      </w:r>
      <w:smartTag w:uri="urn:schemas-microsoft-com:office:smarttags" w:element="PersonName">
        <w:smartTagPr>
          <w:attr w:name="ProductID" w:val="la Trafic"/>
        </w:smartTagPr>
        <w:r>
          <w:rPr>
            <w:bCs/>
          </w:rPr>
          <w:t>la Trafic</w:t>
        </w:r>
      </w:smartTag>
      <w:r>
        <w:rPr>
          <w:bCs/>
        </w:rPr>
        <w:t xml:space="preserve"> y el Renault 19, el letrado sostuvo que dicha versión no condice tampoco con una entrega programada como argumentó la querella un</w:t>
      </w:r>
      <w:r>
        <w:rPr>
          <w:bCs/>
        </w:rPr>
        <w:t>i</w:t>
      </w:r>
      <w:r>
        <w:rPr>
          <w:bCs/>
        </w:rPr>
        <w:t>ficada.</w:t>
      </w:r>
    </w:p>
    <w:p w:rsidR="00224567" w:rsidRDefault="00224567">
      <w:pPr>
        <w:widowControl w:val="0"/>
        <w:tabs>
          <w:tab w:val="left" w:pos="2835"/>
        </w:tabs>
        <w:ind w:firstLine="708"/>
        <w:rPr>
          <w:bCs/>
        </w:rPr>
      </w:pPr>
      <w:r>
        <w:rPr>
          <w:bCs/>
        </w:rPr>
        <w:lastRenderedPageBreak/>
        <w:tab/>
        <w:t>No es razonable, a sentir de la defe</w:t>
      </w:r>
      <w:r>
        <w:rPr>
          <w:bCs/>
        </w:rPr>
        <w:t>n</w:t>
      </w:r>
      <w:r>
        <w:rPr>
          <w:bCs/>
        </w:rPr>
        <w:t>sa, que si se estaban por llevar una camioneta, a sabie</w:t>
      </w:r>
      <w:r>
        <w:rPr>
          <w:bCs/>
        </w:rPr>
        <w:t>n</w:t>
      </w:r>
      <w:r>
        <w:rPr>
          <w:bCs/>
        </w:rPr>
        <w:t>das que iba a ser utilizada en el atentado, además le ex</w:t>
      </w:r>
      <w:r>
        <w:rPr>
          <w:bCs/>
        </w:rPr>
        <w:t>i</w:t>
      </w:r>
      <w:r>
        <w:rPr>
          <w:bCs/>
        </w:rPr>
        <w:t>gieran la e</w:t>
      </w:r>
      <w:r>
        <w:rPr>
          <w:bCs/>
        </w:rPr>
        <w:t>n</w:t>
      </w:r>
      <w:r>
        <w:rPr>
          <w:bCs/>
        </w:rPr>
        <w:t>trega de otro vehículo como el Renault 19.</w:t>
      </w:r>
    </w:p>
    <w:p w:rsidR="00224567" w:rsidRDefault="00224567">
      <w:pPr>
        <w:widowControl w:val="0"/>
        <w:tabs>
          <w:tab w:val="left" w:pos="2835"/>
        </w:tabs>
        <w:ind w:firstLine="708"/>
        <w:rPr>
          <w:bCs/>
        </w:rPr>
      </w:pPr>
      <w:r>
        <w:rPr>
          <w:bCs/>
        </w:rPr>
        <w:tab/>
        <w:t>Respecto a la afirmación de T</w:t>
      </w:r>
      <w:r>
        <w:rPr>
          <w:bCs/>
        </w:rPr>
        <w:t>e</w:t>
      </w:r>
      <w:r>
        <w:rPr>
          <w:bCs/>
        </w:rPr>
        <w:t>lleldín sobre que en el interior del Duna estaba un subcomisario que había conocido en la detención de Lanús -al que de</w:t>
      </w:r>
      <w:r>
        <w:rPr>
          <w:bCs/>
        </w:rPr>
        <w:t>s</w:t>
      </w:r>
      <w:r>
        <w:rPr>
          <w:bCs/>
        </w:rPr>
        <w:t>cribió como el más alto, con bigotes-, que sin bajar del auto miraba girando la cabeza, valoró el defensor que, aunque no lo nombró, es clara la alusión a Ibarra. Ello, pese a haberse referido a él por su nombre en esta misma declaración en la foja 21.226, y que el ap</w:t>
      </w:r>
      <w:r>
        <w:rPr>
          <w:bCs/>
        </w:rPr>
        <w:t>e</w:t>
      </w:r>
      <w:r>
        <w:rPr>
          <w:bCs/>
        </w:rPr>
        <w:t>llido Ibarra lo conocía por boca del juez y su secretaria, según se advi</w:t>
      </w:r>
      <w:r>
        <w:rPr>
          <w:bCs/>
        </w:rPr>
        <w:t>r</w:t>
      </w:r>
      <w:r>
        <w:rPr>
          <w:bCs/>
        </w:rPr>
        <w:t>tiera en el video del mes de abril. Resaltó el defensor que esta circunstancia, por demás llamat</w:t>
      </w:r>
      <w:r>
        <w:rPr>
          <w:bCs/>
        </w:rPr>
        <w:t>i</w:t>
      </w:r>
      <w:r>
        <w:rPr>
          <w:bCs/>
        </w:rPr>
        <w:t>va, demuestra lo poco espontáneo y mal armada que fue esa indagatoria.</w:t>
      </w:r>
    </w:p>
    <w:p w:rsidR="00224567" w:rsidRDefault="00224567">
      <w:pPr>
        <w:widowControl w:val="0"/>
        <w:tabs>
          <w:tab w:val="left" w:pos="2835"/>
        </w:tabs>
        <w:ind w:firstLine="708"/>
        <w:rPr>
          <w:bCs/>
        </w:rPr>
      </w:pPr>
      <w:r>
        <w:rPr>
          <w:bCs/>
        </w:rPr>
        <w:tab/>
        <w:t>Recalcó que esa supuesta actitud de Ibarra de aquel día, de ninguna manera se compadece con una entrega acordada, ni con una extorsión, como tampoco con la actitud que después se le endilga, de haberse pr</w:t>
      </w:r>
      <w:r>
        <w:rPr>
          <w:bCs/>
        </w:rPr>
        <w:t>e</w:t>
      </w:r>
      <w:r>
        <w:rPr>
          <w:bCs/>
        </w:rPr>
        <w:t>sentado y tocado el timbre en R</w:t>
      </w:r>
      <w:r>
        <w:rPr>
          <w:bCs/>
        </w:rPr>
        <w:t>e</w:t>
      </w:r>
      <w:r>
        <w:rPr>
          <w:bCs/>
        </w:rPr>
        <w:t>pública 107.</w:t>
      </w:r>
    </w:p>
    <w:p w:rsidR="00224567" w:rsidRDefault="00224567">
      <w:pPr>
        <w:widowControl w:val="0"/>
        <w:tabs>
          <w:tab w:val="left" w:pos="2835"/>
        </w:tabs>
        <w:ind w:firstLine="708"/>
        <w:rPr>
          <w:bCs/>
        </w:rPr>
      </w:pPr>
      <w:r>
        <w:rPr>
          <w:bCs/>
        </w:rPr>
        <w:lastRenderedPageBreak/>
        <w:tab/>
        <w:t>El letrado dijo que Telleldín d</w:t>
      </w:r>
      <w:r>
        <w:rPr>
          <w:bCs/>
        </w:rPr>
        <w:t>e</w:t>
      </w:r>
      <w:r>
        <w:rPr>
          <w:bCs/>
        </w:rPr>
        <w:t>claró el 5 de julio haber arreglado con los policías que entr</w:t>
      </w:r>
      <w:r>
        <w:rPr>
          <w:bCs/>
        </w:rPr>
        <w:t>e</w:t>
      </w:r>
      <w:r>
        <w:rPr>
          <w:bCs/>
        </w:rPr>
        <w:t>garía nada más que la camioneta Trafic por un valor de $ 10.000, aclarando que debía 25.000 del “arr</w:t>
      </w:r>
      <w:r>
        <w:rPr>
          <w:bCs/>
        </w:rPr>
        <w:t>e</w:t>
      </w:r>
      <w:r>
        <w:rPr>
          <w:bCs/>
        </w:rPr>
        <w:t>glo” de Lanús, y que por eso pidió que le dieran unos días, accediendo los funcionarios policiales a otorgarle cuatro o cinco días para cumplir con la totalidad del p</w:t>
      </w:r>
      <w:r>
        <w:rPr>
          <w:bCs/>
        </w:rPr>
        <w:t>a</w:t>
      </w:r>
      <w:r>
        <w:rPr>
          <w:bCs/>
        </w:rPr>
        <w:t>go.</w:t>
      </w:r>
    </w:p>
    <w:p w:rsidR="00224567" w:rsidRDefault="00224567">
      <w:pPr>
        <w:widowControl w:val="0"/>
        <w:tabs>
          <w:tab w:val="left" w:pos="2835"/>
        </w:tabs>
        <w:ind w:firstLine="708"/>
        <w:rPr>
          <w:bCs/>
        </w:rPr>
      </w:pPr>
      <w:r>
        <w:rPr>
          <w:bCs/>
        </w:rPr>
        <w:tab/>
        <w:t>Enunció el letrado que esa convers</w:t>
      </w:r>
      <w:r>
        <w:rPr>
          <w:bCs/>
        </w:rPr>
        <w:t>a</w:t>
      </w:r>
      <w:r>
        <w:rPr>
          <w:bCs/>
        </w:rPr>
        <w:t>ción, de tono coactivo, llena de rispideces y nada amist</w:t>
      </w:r>
      <w:r>
        <w:rPr>
          <w:bCs/>
        </w:rPr>
        <w:t>o</w:t>
      </w:r>
      <w:r>
        <w:rPr>
          <w:bCs/>
        </w:rPr>
        <w:t>sa, no se compadecía con una entrega voluntaria o un acuerdo, mostrando claramente que cuando se armó, estaba vigente el pacto en el cual Telleldín aparecía como víct</w:t>
      </w:r>
      <w:r>
        <w:rPr>
          <w:bCs/>
        </w:rPr>
        <w:t>i</w:t>
      </w:r>
      <w:r>
        <w:rPr>
          <w:bCs/>
        </w:rPr>
        <w:t>ma de una extorsión y sólo como encubridor del armado de una camioneta, Boragni como testigo, y ambos con USD 400.000.</w:t>
      </w:r>
    </w:p>
    <w:p w:rsidR="00224567" w:rsidRDefault="00224567">
      <w:pPr>
        <w:widowControl w:val="0"/>
        <w:tabs>
          <w:tab w:val="left" w:pos="2835"/>
        </w:tabs>
        <w:ind w:firstLine="708"/>
        <w:rPr>
          <w:bCs/>
        </w:rPr>
      </w:pPr>
      <w:r>
        <w:rPr>
          <w:bCs/>
        </w:rPr>
        <w:tab/>
        <w:t>Sostuvo que con relación a la afirm</w:t>
      </w:r>
      <w:r>
        <w:rPr>
          <w:bCs/>
        </w:rPr>
        <w:t>a</w:t>
      </w:r>
      <w:r>
        <w:rPr>
          <w:bCs/>
        </w:rPr>
        <w:t>ción atribuida a Telleldín, respecto que cua</w:t>
      </w:r>
      <w:r>
        <w:rPr>
          <w:bCs/>
        </w:rPr>
        <w:t>n</w:t>
      </w:r>
      <w:r>
        <w:rPr>
          <w:bCs/>
        </w:rPr>
        <w:t>do estaba con Ramón Martínez afuera discutiendo apareció Guillermo Cot</w:t>
      </w:r>
      <w:r>
        <w:rPr>
          <w:bCs/>
        </w:rPr>
        <w:t>o</w:t>
      </w:r>
      <w:r>
        <w:rPr>
          <w:bCs/>
        </w:rPr>
        <w:t>ras a quien le dijo que había problemas, que t</w:t>
      </w:r>
      <w:r>
        <w:rPr>
          <w:bCs/>
        </w:rPr>
        <w:t>e</w:t>
      </w:r>
      <w:r>
        <w:rPr>
          <w:bCs/>
        </w:rPr>
        <w:t xml:space="preserve">nía la casa rodeada y autos truchos adentro y que no entrara porque </w:t>
      </w:r>
      <w:r>
        <w:rPr>
          <w:bCs/>
        </w:rPr>
        <w:lastRenderedPageBreak/>
        <w:t>podían allanarle la casa, cabe la misma reflexión que en el tramo anterior. Ello en virtud de que si el que le dijo a T</w:t>
      </w:r>
      <w:r>
        <w:rPr>
          <w:bCs/>
        </w:rPr>
        <w:t>e</w:t>
      </w:r>
      <w:r>
        <w:rPr>
          <w:bCs/>
        </w:rPr>
        <w:t>lleldín que la casa estaba rodeada era “Pino”, no era posible que lo viera antes y hablara con él, para luego hacerle esa observ</w:t>
      </w:r>
      <w:r>
        <w:rPr>
          <w:bCs/>
        </w:rPr>
        <w:t>a</w:t>
      </w:r>
      <w:r>
        <w:rPr>
          <w:bCs/>
        </w:rPr>
        <w:t>ción a Cotoras.</w:t>
      </w:r>
    </w:p>
    <w:p w:rsidR="00224567" w:rsidRDefault="00224567">
      <w:pPr>
        <w:widowControl w:val="0"/>
        <w:tabs>
          <w:tab w:val="left" w:pos="2835"/>
        </w:tabs>
        <w:ind w:firstLine="708"/>
        <w:rPr>
          <w:bCs/>
        </w:rPr>
      </w:pPr>
      <w:r>
        <w:rPr>
          <w:bCs/>
        </w:rPr>
        <w:tab/>
        <w:t>También calificó como ridículo que le haya dicho a Cot</w:t>
      </w:r>
      <w:r>
        <w:rPr>
          <w:bCs/>
        </w:rPr>
        <w:t>o</w:t>
      </w:r>
      <w:r>
        <w:rPr>
          <w:bCs/>
        </w:rPr>
        <w:t>ras, delante de alguien a quien él creía policía, que adentro había autos truchos o que llamara a Barreda y le avisara que estaba siendo visitado por una brigada al mando de “Pino”, justamente delante de Mart</w:t>
      </w:r>
      <w:r>
        <w:rPr>
          <w:bCs/>
        </w:rPr>
        <w:t>í</w:t>
      </w:r>
      <w:r>
        <w:rPr>
          <w:bCs/>
        </w:rPr>
        <w:t>nez, que según los acusadores era su subordinado y que también estaba al tanto de que esa c</w:t>
      </w:r>
      <w:r>
        <w:rPr>
          <w:bCs/>
        </w:rPr>
        <w:t>a</w:t>
      </w:r>
      <w:r>
        <w:rPr>
          <w:bCs/>
        </w:rPr>
        <w:t>mioneta se iba a usar en el ate</w:t>
      </w:r>
      <w:r>
        <w:rPr>
          <w:bCs/>
        </w:rPr>
        <w:t>n</w:t>
      </w:r>
      <w:r>
        <w:rPr>
          <w:bCs/>
        </w:rPr>
        <w:t>tado.</w:t>
      </w:r>
    </w:p>
    <w:p w:rsidR="00224567" w:rsidRDefault="00224567">
      <w:pPr>
        <w:widowControl w:val="0"/>
        <w:tabs>
          <w:tab w:val="left" w:pos="2835"/>
        </w:tabs>
        <w:ind w:firstLine="708"/>
        <w:rPr>
          <w:bCs/>
        </w:rPr>
      </w:pPr>
      <w:r>
        <w:rPr>
          <w:bCs/>
        </w:rPr>
        <w:tab/>
        <w:t>Destacó como mucho más llamativo que le haya dado a Cotoras un papel con el número de tel</w:t>
      </w:r>
      <w:r>
        <w:rPr>
          <w:bCs/>
        </w:rPr>
        <w:t>é</w:t>
      </w:r>
      <w:r>
        <w:rPr>
          <w:bCs/>
        </w:rPr>
        <w:t>fono de Barreda, en presencia de una “patota” que, según rel</w:t>
      </w:r>
      <w:r>
        <w:rPr>
          <w:bCs/>
        </w:rPr>
        <w:t>a</w:t>
      </w:r>
      <w:r>
        <w:rPr>
          <w:bCs/>
        </w:rPr>
        <w:t>tó, no tenía ningún propósito amist</w:t>
      </w:r>
      <w:r>
        <w:rPr>
          <w:bCs/>
        </w:rPr>
        <w:t>o</w:t>
      </w:r>
      <w:r>
        <w:rPr>
          <w:bCs/>
        </w:rPr>
        <w:t>so.</w:t>
      </w:r>
    </w:p>
    <w:p w:rsidR="00224567" w:rsidRDefault="00224567">
      <w:pPr>
        <w:widowControl w:val="0"/>
        <w:tabs>
          <w:tab w:val="left" w:pos="2835"/>
        </w:tabs>
        <w:ind w:firstLine="708"/>
        <w:rPr>
          <w:bCs/>
        </w:rPr>
      </w:pPr>
      <w:r>
        <w:rPr>
          <w:bCs/>
        </w:rPr>
        <w:tab/>
        <w:t>Alegó también que de la afirm</w:t>
      </w:r>
      <w:r>
        <w:rPr>
          <w:bCs/>
        </w:rPr>
        <w:t>a</w:t>
      </w:r>
      <w:r>
        <w:rPr>
          <w:bCs/>
        </w:rPr>
        <w:t>ción de Telleldín respecto que “Ana puede declarar a quienes ate</w:t>
      </w:r>
      <w:r>
        <w:rPr>
          <w:bCs/>
        </w:rPr>
        <w:t>n</w:t>
      </w:r>
      <w:r>
        <w:rPr>
          <w:bCs/>
        </w:rPr>
        <w:t>dió y recon</w:t>
      </w:r>
      <w:r>
        <w:rPr>
          <w:bCs/>
        </w:rPr>
        <w:t>o</w:t>
      </w:r>
      <w:r>
        <w:rPr>
          <w:bCs/>
        </w:rPr>
        <w:t>cer a las dos personas que tocaron el timbre”, se desprende que esa circunstancia “descolgada” const</w:t>
      </w:r>
      <w:r>
        <w:rPr>
          <w:bCs/>
        </w:rPr>
        <w:t>i</w:t>
      </w:r>
      <w:r>
        <w:rPr>
          <w:bCs/>
        </w:rPr>
        <w:t xml:space="preserve">tuye </w:t>
      </w:r>
      <w:r>
        <w:rPr>
          <w:bCs/>
        </w:rPr>
        <w:lastRenderedPageBreak/>
        <w:t>una prueba más de que en esa declaración “metieron manos” muchas pers</w:t>
      </w:r>
      <w:r>
        <w:rPr>
          <w:bCs/>
        </w:rPr>
        <w:t>o</w:t>
      </w:r>
      <w:r>
        <w:rPr>
          <w:bCs/>
        </w:rPr>
        <w:t>nas sin una coordinación suficiente.</w:t>
      </w:r>
    </w:p>
    <w:p w:rsidR="00224567" w:rsidRDefault="00224567">
      <w:pPr>
        <w:widowControl w:val="0"/>
        <w:tabs>
          <w:tab w:val="left" w:pos="2835"/>
        </w:tabs>
        <w:ind w:firstLine="708"/>
        <w:rPr>
          <w:bCs/>
        </w:rPr>
      </w:pPr>
      <w:r>
        <w:rPr>
          <w:bCs/>
        </w:rPr>
        <w:tab/>
        <w:t>Valoró el defensor, que el matr</w:t>
      </w:r>
      <w:r>
        <w:rPr>
          <w:bCs/>
        </w:rPr>
        <w:t>i</w:t>
      </w:r>
      <w:r>
        <w:rPr>
          <w:bCs/>
        </w:rPr>
        <w:t>monio Malacchia negó e</w:t>
      </w:r>
      <w:r>
        <w:rPr>
          <w:bCs/>
        </w:rPr>
        <w:t>n</w:t>
      </w:r>
      <w:r>
        <w:rPr>
          <w:bCs/>
        </w:rPr>
        <w:t>fáticamente haber presenciado los hechos que, según la versión de Telleldín, habrían observado y hasta en cierta medida  participado moviendo un vehículo del lugar donde estaba e</w:t>
      </w:r>
      <w:r>
        <w:rPr>
          <w:bCs/>
        </w:rPr>
        <w:t>s</w:t>
      </w:r>
      <w:r>
        <w:rPr>
          <w:bCs/>
        </w:rPr>
        <w:t>tacionado.</w:t>
      </w:r>
    </w:p>
    <w:p w:rsidR="00224567" w:rsidRDefault="00224567">
      <w:pPr>
        <w:widowControl w:val="0"/>
        <w:tabs>
          <w:tab w:val="left" w:pos="2835"/>
        </w:tabs>
        <w:ind w:firstLine="708"/>
        <w:rPr>
          <w:bCs/>
        </w:rPr>
      </w:pPr>
      <w:r>
        <w:rPr>
          <w:bCs/>
        </w:rPr>
        <w:tab/>
        <w:t>Llegado a ese punto de la decl</w:t>
      </w:r>
      <w:r>
        <w:rPr>
          <w:bCs/>
        </w:rPr>
        <w:t>a</w:t>
      </w:r>
      <w:r>
        <w:rPr>
          <w:bCs/>
        </w:rPr>
        <w:t>ración de Telleldín, el Dr. Valle estimó que la historia a</w:t>
      </w:r>
      <w:r>
        <w:rPr>
          <w:bCs/>
        </w:rPr>
        <w:t>d</w:t>
      </w:r>
      <w:r>
        <w:rPr>
          <w:bCs/>
        </w:rPr>
        <w:t>quiere ribetes fantásticos incorporando el dato que una persona de apellido Barg, fue quien se presentó ante el d</w:t>
      </w:r>
      <w:r>
        <w:rPr>
          <w:bCs/>
        </w:rPr>
        <w:t>e</w:t>
      </w:r>
      <w:r>
        <w:rPr>
          <w:bCs/>
        </w:rPr>
        <w:t>clarante como Ramón Martínez, aportando algunos datos para ident</w:t>
      </w:r>
      <w:r>
        <w:rPr>
          <w:bCs/>
        </w:rPr>
        <w:t>i</w:t>
      </w:r>
      <w:r>
        <w:rPr>
          <w:bCs/>
        </w:rPr>
        <w:t>ficarlo.</w:t>
      </w:r>
    </w:p>
    <w:p w:rsidR="00224567" w:rsidRDefault="00224567">
      <w:pPr>
        <w:widowControl w:val="0"/>
        <w:tabs>
          <w:tab w:val="left" w:pos="2835"/>
        </w:tabs>
        <w:ind w:firstLine="708"/>
        <w:rPr>
          <w:bCs/>
        </w:rPr>
      </w:pPr>
      <w:r>
        <w:rPr>
          <w:bCs/>
        </w:rPr>
        <w:tab/>
        <w:t>Destacó que es insostenible que r</w:t>
      </w:r>
      <w:r>
        <w:rPr>
          <w:bCs/>
        </w:rPr>
        <w:t>e</w:t>
      </w:r>
      <w:r>
        <w:rPr>
          <w:bCs/>
        </w:rPr>
        <w:t>cién allí mencione que conoció la identidad de quien se hizo pasar por Ramón Martínez, máxime cuando en la misma decl</w:t>
      </w:r>
      <w:r>
        <w:rPr>
          <w:bCs/>
        </w:rPr>
        <w:t>a</w:t>
      </w:r>
      <w:r>
        <w:rPr>
          <w:bCs/>
        </w:rPr>
        <w:t>ración se consi</w:t>
      </w:r>
      <w:r>
        <w:rPr>
          <w:bCs/>
        </w:rPr>
        <w:t>g</w:t>
      </w:r>
      <w:r>
        <w:rPr>
          <w:bCs/>
        </w:rPr>
        <w:t>nó que respecto del supuesto comprador se remitía a las descripciones que había hecho en sus ant</w:t>
      </w:r>
      <w:r>
        <w:rPr>
          <w:bCs/>
        </w:rPr>
        <w:t>e</w:t>
      </w:r>
      <w:r>
        <w:rPr>
          <w:bCs/>
        </w:rPr>
        <w:t>riores ve</w:t>
      </w:r>
      <w:r>
        <w:rPr>
          <w:bCs/>
        </w:rPr>
        <w:t>r</w:t>
      </w:r>
      <w:r>
        <w:rPr>
          <w:bCs/>
        </w:rPr>
        <w:t>siones.</w:t>
      </w:r>
    </w:p>
    <w:p w:rsidR="00224567" w:rsidRDefault="00224567">
      <w:pPr>
        <w:widowControl w:val="0"/>
        <w:tabs>
          <w:tab w:val="left" w:pos="2835"/>
        </w:tabs>
        <w:ind w:firstLine="708"/>
        <w:rPr>
          <w:bCs/>
        </w:rPr>
      </w:pPr>
      <w:r>
        <w:rPr>
          <w:bCs/>
        </w:rPr>
        <w:tab/>
        <w:t xml:space="preserve">Otra de las circunstancias reseñadas </w:t>
      </w:r>
      <w:r>
        <w:rPr>
          <w:bCs/>
        </w:rPr>
        <w:lastRenderedPageBreak/>
        <w:t>por Telleldín en su declaración, y que el defensor calif</w:t>
      </w:r>
      <w:r>
        <w:rPr>
          <w:bCs/>
        </w:rPr>
        <w:t>i</w:t>
      </w:r>
      <w:r>
        <w:rPr>
          <w:bCs/>
        </w:rPr>
        <w:t xml:space="preserve">có como un dislate, fue que el Mitsubishi Galant de los chinos, que habían ido a ver </w:t>
      </w:r>
      <w:smartTag w:uri="urn:schemas-microsoft-com:office:smarttags" w:element="PersonName">
        <w:smartTagPr>
          <w:attr w:name="ProductID" w:val="la Trafic"/>
        </w:smartTagPr>
        <w:r>
          <w:rPr>
            <w:bCs/>
          </w:rPr>
          <w:t>la Trafic</w:t>
        </w:r>
      </w:smartTag>
      <w:r>
        <w:rPr>
          <w:bCs/>
        </w:rPr>
        <w:t xml:space="preserve"> el día anterior, podía pertenecer a Semorile ya que este tenía uno igual, pero rojo y el de los chinos, si bien era negro, parecía recién pi</w:t>
      </w:r>
      <w:r>
        <w:rPr>
          <w:bCs/>
        </w:rPr>
        <w:t>n</w:t>
      </w:r>
      <w:r>
        <w:rPr>
          <w:bCs/>
        </w:rPr>
        <w:t>tado.</w:t>
      </w:r>
    </w:p>
    <w:p w:rsidR="00224567" w:rsidRDefault="00224567">
      <w:pPr>
        <w:widowControl w:val="0"/>
        <w:tabs>
          <w:tab w:val="left" w:pos="2835"/>
        </w:tabs>
        <w:ind w:firstLine="708"/>
        <w:rPr>
          <w:bCs/>
        </w:rPr>
      </w:pPr>
      <w:r>
        <w:rPr>
          <w:bCs/>
        </w:rPr>
        <w:tab/>
        <w:t>Con relación a la afirmación de T</w:t>
      </w:r>
      <w:r>
        <w:rPr>
          <w:bCs/>
        </w:rPr>
        <w:t>e</w:t>
      </w:r>
      <w:r>
        <w:rPr>
          <w:bCs/>
        </w:rPr>
        <w:t>lleldín, de que la camioneta que se llevaron los pol</w:t>
      </w:r>
      <w:r>
        <w:rPr>
          <w:bCs/>
        </w:rPr>
        <w:t>i</w:t>
      </w:r>
      <w:r>
        <w:rPr>
          <w:bCs/>
        </w:rPr>
        <w:t>cías era la armada en el taller de Nitzcaner y que tenía col</w:t>
      </w:r>
      <w:r>
        <w:rPr>
          <w:bCs/>
        </w:rPr>
        <w:t>o</w:t>
      </w:r>
      <w:r>
        <w:rPr>
          <w:bCs/>
        </w:rPr>
        <w:t>cado el motor de la de “Me</w:t>
      </w:r>
      <w:r>
        <w:rPr>
          <w:bCs/>
        </w:rPr>
        <w:t>s</w:t>
      </w:r>
      <w:r>
        <w:rPr>
          <w:bCs/>
        </w:rPr>
        <w:t>sin”, el defensor consideró que tampoco es cierta, ya que quedó claro en el debate que la camioneta armada en lo del mecánico referido nunca contuvo ese m</w:t>
      </w:r>
      <w:r>
        <w:rPr>
          <w:bCs/>
        </w:rPr>
        <w:t>o</w:t>
      </w:r>
      <w:r>
        <w:rPr>
          <w:bCs/>
        </w:rPr>
        <w:t>tor.</w:t>
      </w:r>
    </w:p>
    <w:p w:rsidR="00224567" w:rsidRDefault="00224567">
      <w:pPr>
        <w:widowControl w:val="0"/>
        <w:tabs>
          <w:tab w:val="left" w:pos="2835"/>
        </w:tabs>
        <w:ind w:firstLine="708"/>
        <w:rPr>
          <w:bCs/>
        </w:rPr>
      </w:pPr>
      <w:r>
        <w:rPr>
          <w:bCs/>
        </w:rPr>
        <w:tab/>
        <w:t>Para concluir el análisis, la d</w:t>
      </w:r>
      <w:r>
        <w:rPr>
          <w:bCs/>
        </w:rPr>
        <w:t>e</w:t>
      </w:r>
      <w:r>
        <w:rPr>
          <w:bCs/>
        </w:rPr>
        <w:t>fensa sostuvo que la declaración en cuestión “es un conjunto desordenado de falsedades, incongruencias y anacronismos que nunca debió ser tomado en serio”, y que no se alca</w:t>
      </w:r>
      <w:r>
        <w:rPr>
          <w:bCs/>
        </w:rPr>
        <w:t>n</w:t>
      </w:r>
      <w:r>
        <w:rPr>
          <w:bCs/>
        </w:rPr>
        <w:t>za a entender cómo, una vez comprobadas, se haya hecho efe</w:t>
      </w:r>
      <w:r>
        <w:rPr>
          <w:bCs/>
        </w:rPr>
        <w:t>c</w:t>
      </w:r>
      <w:r>
        <w:rPr>
          <w:bCs/>
        </w:rPr>
        <w:t>tiva en el mes de octubre la segunda cuota de $ 200.000.</w:t>
      </w:r>
    </w:p>
    <w:p w:rsidR="00224567" w:rsidRDefault="00224567">
      <w:pPr>
        <w:widowControl w:val="0"/>
        <w:tabs>
          <w:tab w:val="left" w:pos="2835"/>
        </w:tabs>
        <w:ind w:firstLine="708"/>
        <w:rPr>
          <w:bCs/>
        </w:rPr>
      </w:pPr>
      <w:r>
        <w:rPr>
          <w:bCs/>
        </w:rPr>
        <w:tab/>
        <w:t>Calificó de irrazonable que el juez autorizara el pago de esa suma, especialmente, como dij</w:t>
      </w:r>
      <w:r>
        <w:rPr>
          <w:bCs/>
        </w:rPr>
        <w:t>e</w:t>
      </w:r>
      <w:r>
        <w:rPr>
          <w:bCs/>
        </w:rPr>
        <w:lastRenderedPageBreak/>
        <w:t xml:space="preserve">ron los mismos agentes de </w:t>
      </w:r>
      <w:smartTag w:uri="urn:schemas-microsoft-com:office:smarttags" w:element="PersonName">
        <w:smartTagPr>
          <w:attr w:name="ProductID" w:val="la S.I"/>
        </w:smartTagPr>
        <w:r>
          <w:rPr>
            <w:bCs/>
          </w:rPr>
          <w:t>la S.I</w:t>
        </w:r>
      </w:smartTag>
      <w:r>
        <w:rPr>
          <w:bCs/>
        </w:rPr>
        <w:t>.D.E., nunca se verific</w:t>
      </w:r>
      <w:r>
        <w:rPr>
          <w:bCs/>
        </w:rPr>
        <w:t>a</w:t>
      </w:r>
      <w:r>
        <w:rPr>
          <w:bCs/>
        </w:rPr>
        <w:t>ron si los extremos aportados por Telleldín eran cie</w:t>
      </w:r>
      <w:r>
        <w:rPr>
          <w:bCs/>
        </w:rPr>
        <w:t>r</w:t>
      </w:r>
      <w:r>
        <w:rPr>
          <w:bCs/>
        </w:rPr>
        <w:t>tos o no.</w:t>
      </w:r>
    </w:p>
    <w:p w:rsidR="00224567" w:rsidRDefault="00224567">
      <w:pPr>
        <w:widowControl w:val="0"/>
        <w:tabs>
          <w:tab w:val="left" w:pos="2835"/>
        </w:tabs>
        <w:ind w:firstLine="708"/>
        <w:rPr>
          <w:bCs/>
        </w:rPr>
      </w:pPr>
      <w:r>
        <w:rPr>
          <w:bCs/>
        </w:rPr>
        <w:tab/>
        <w:t xml:space="preserve">Sostuvo que es inentendible que el personal de </w:t>
      </w:r>
      <w:smartTag w:uri="urn:schemas-microsoft-com:office:smarttags" w:element="PersonName">
        <w:smartTagPr>
          <w:attr w:name="ProductID" w:val="la Brigada"/>
        </w:smartTagPr>
        <w:r>
          <w:rPr>
            <w:bCs/>
          </w:rPr>
          <w:t>la Brigada</w:t>
        </w:r>
      </w:smartTag>
      <w:r>
        <w:rPr>
          <w:bCs/>
        </w:rPr>
        <w:t xml:space="preserve"> de Lanús haya ido a cobrar la deuda contraída el 4 de abril después de más de tres meses, cuando en ese ínterin Telleldín vendió innumerables vehículos, reca</w:t>
      </w:r>
      <w:r>
        <w:rPr>
          <w:bCs/>
        </w:rPr>
        <w:t>l</w:t>
      </w:r>
      <w:r>
        <w:rPr>
          <w:bCs/>
        </w:rPr>
        <w:t>cando que si la entrega estaba acordada no era lógico que no lo hayan hecho antes, ya que también t</w:t>
      </w:r>
      <w:r>
        <w:rPr>
          <w:bCs/>
        </w:rPr>
        <w:t>u</w:t>
      </w:r>
      <w:r>
        <w:rPr>
          <w:bCs/>
        </w:rPr>
        <w:t>vo y publicó otras camionetas Trafic, tal como la que ve</w:t>
      </w:r>
      <w:r>
        <w:rPr>
          <w:bCs/>
        </w:rPr>
        <w:t>n</w:t>
      </w:r>
      <w:r>
        <w:rPr>
          <w:bCs/>
        </w:rPr>
        <w:t>dió a la señora Tor</w:t>
      </w:r>
      <w:r>
        <w:rPr>
          <w:bCs/>
        </w:rPr>
        <w:t>e</w:t>
      </w:r>
      <w:r>
        <w:rPr>
          <w:bCs/>
        </w:rPr>
        <w:t>ta.</w:t>
      </w:r>
    </w:p>
    <w:p w:rsidR="00224567" w:rsidRDefault="00224567">
      <w:pPr>
        <w:widowControl w:val="0"/>
        <w:tabs>
          <w:tab w:val="left" w:pos="2835"/>
        </w:tabs>
        <w:ind w:firstLine="708"/>
        <w:rPr>
          <w:bCs/>
        </w:rPr>
      </w:pPr>
      <w:r>
        <w:rPr>
          <w:bCs/>
        </w:rPr>
        <w:tab/>
        <w:t>Destacó que a quienes particip</w:t>
      </w:r>
      <w:r>
        <w:rPr>
          <w:bCs/>
        </w:rPr>
        <w:t>a</w:t>
      </w:r>
      <w:r>
        <w:rPr>
          <w:bCs/>
        </w:rPr>
        <w:t>ron de la instrucción no les importó si lo declarado por Telle</w:t>
      </w:r>
      <w:r>
        <w:rPr>
          <w:bCs/>
        </w:rPr>
        <w:t>l</w:t>
      </w:r>
      <w:r>
        <w:rPr>
          <w:bCs/>
        </w:rPr>
        <w:t>dín era cierto o no y que sabían, no sólo que esa declar</w:t>
      </w:r>
      <w:r>
        <w:rPr>
          <w:bCs/>
        </w:rPr>
        <w:t>a</w:t>
      </w:r>
      <w:r>
        <w:rPr>
          <w:bCs/>
        </w:rPr>
        <w:t>ción había sido pagada, sino que su contenido era falso.</w:t>
      </w:r>
    </w:p>
    <w:p w:rsidR="00224567" w:rsidRDefault="00224567">
      <w:pPr>
        <w:widowControl w:val="0"/>
        <w:tabs>
          <w:tab w:val="left" w:pos="2835"/>
        </w:tabs>
        <w:ind w:firstLine="708"/>
        <w:rPr>
          <w:bCs/>
        </w:rPr>
      </w:pPr>
      <w:r>
        <w:rPr>
          <w:bCs/>
        </w:rPr>
        <w:tab/>
        <w:t>Agregó que si el día 10 Leal fue a buscar la camioneta que sabía se iba a utilizar en el atentado, no es razonable que tres días después intente detener a Telleldín para quitarle un bote que no funcion</w:t>
      </w:r>
      <w:r>
        <w:rPr>
          <w:bCs/>
        </w:rPr>
        <w:t>a</w:t>
      </w:r>
      <w:r>
        <w:rPr>
          <w:bCs/>
        </w:rPr>
        <w:t>ba y que tenía más deudas que valor, ya que con esta s</w:t>
      </w:r>
      <w:r>
        <w:rPr>
          <w:bCs/>
        </w:rPr>
        <w:t>u</w:t>
      </w:r>
      <w:r>
        <w:rPr>
          <w:bCs/>
        </w:rPr>
        <w:lastRenderedPageBreak/>
        <w:t>puesta extorsión ponía en riesgo el silencio que debía mantener Telleldín respecto de los hechos ant</w:t>
      </w:r>
      <w:r>
        <w:rPr>
          <w:bCs/>
        </w:rPr>
        <w:t>e</w:t>
      </w:r>
      <w:r>
        <w:rPr>
          <w:bCs/>
        </w:rPr>
        <w:t>riores.</w:t>
      </w:r>
    </w:p>
    <w:p w:rsidR="00224567" w:rsidRDefault="00224567">
      <w:pPr>
        <w:widowControl w:val="0"/>
        <w:tabs>
          <w:tab w:val="left" w:pos="2835"/>
        </w:tabs>
        <w:ind w:firstLine="708"/>
        <w:rPr>
          <w:bCs/>
        </w:rPr>
      </w:pPr>
      <w:r>
        <w:rPr>
          <w:bCs/>
        </w:rPr>
        <w:tab/>
        <w:t>Terminó su análisis sosteniendo que por esa declaración se pagaron USD 400.000 y se consumó una mentira a toda la sociedad que duró nu</w:t>
      </w:r>
      <w:r>
        <w:rPr>
          <w:bCs/>
        </w:rPr>
        <w:t>e</w:t>
      </w:r>
      <w:r>
        <w:rPr>
          <w:bCs/>
        </w:rPr>
        <w:t>ve años.</w:t>
      </w:r>
    </w:p>
    <w:p w:rsidR="00224567" w:rsidRDefault="00224567">
      <w:pPr>
        <w:widowControl w:val="0"/>
        <w:tabs>
          <w:tab w:val="left" w:pos="2835"/>
        </w:tabs>
        <w:ind w:firstLine="708"/>
        <w:rPr>
          <w:bCs/>
        </w:rPr>
      </w:pPr>
      <w:r>
        <w:rPr>
          <w:bCs/>
        </w:rPr>
        <w:tab/>
        <w:t>En otro orden de ideas, el Dr. Valle, añadió que se pretende hacer valer la existencia de el</w:t>
      </w:r>
      <w:r>
        <w:rPr>
          <w:bCs/>
        </w:rPr>
        <w:t>e</w:t>
      </w:r>
      <w:r>
        <w:rPr>
          <w:bCs/>
        </w:rPr>
        <w:t>mentos independientes, como el llamado manuscrito, menci</w:t>
      </w:r>
      <w:r>
        <w:rPr>
          <w:bCs/>
        </w:rPr>
        <w:t>o</w:t>
      </w:r>
      <w:r>
        <w:rPr>
          <w:bCs/>
        </w:rPr>
        <w:t>nado por la querella unificada, el video de abril y el v</w:t>
      </w:r>
      <w:r>
        <w:rPr>
          <w:bCs/>
        </w:rPr>
        <w:t>i</w:t>
      </w:r>
      <w:r>
        <w:rPr>
          <w:bCs/>
        </w:rPr>
        <w:t>deo de “Cúneo, Brousson y Pasquini”, que no estaban i</w:t>
      </w:r>
      <w:r>
        <w:rPr>
          <w:bCs/>
        </w:rPr>
        <w:t>n</w:t>
      </w:r>
      <w:r>
        <w:rPr>
          <w:bCs/>
        </w:rPr>
        <w:t>cluidos ni en el requerimie</w:t>
      </w:r>
      <w:r>
        <w:rPr>
          <w:bCs/>
        </w:rPr>
        <w:t>n</w:t>
      </w:r>
      <w:r>
        <w:rPr>
          <w:bCs/>
        </w:rPr>
        <w:t>to, ni en el auto de elevación a juicio.</w:t>
      </w:r>
    </w:p>
    <w:p w:rsidR="00224567" w:rsidRDefault="00224567">
      <w:pPr>
        <w:widowControl w:val="0"/>
        <w:tabs>
          <w:tab w:val="left" w:pos="2835"/>
        </w:tabs>
        <w:ind w:firstLine="708"/>
        <w:rPr>
          <w:bCs/>
        </w:rPr>
      </w:pPr>
      <w:r>
        <w:rPr>
          <w:bCs/>
        </w:rPr>
        <w:tab/>
        <w:t>Destacó que la requisitoria y el auto de elevación a juicio además de poner fin a la instru</w:t>
      </w:r>
      <w:r>
        <w:rPr>
          <w:bCs/>
        </w:rPr>
        <w:t>c</w:t>
      </w:r>
      <w:r>
        <w:rPr>
          <w:bCs/>
        </w:rPr>
        <w:t>ción, fijan la imputación y por ende, el á</w:t>
      </w:r>
      <w:r>
        <w:rPr>
          <w:bCs/>
        </w:rPr>
        <w:t>m</w:t>
      </w:r>
      <w:r>
        <w:rPr>
          <w:bCs/>
        </w:rPr>
        <w:t>bito dentro del que se desarrollará el debate y sobre el cual deberá ve</w:t>
      </w:r>
      <w:r>
        <w:rPr>
          <w:bCs/>
        </w:rPr>
        <w:t>r</w:t>
      </w:r>
      <w:r>
        <w:rPr>
          <w:bCs/>
        </w:rPr>
        <w:t>sar la sentencia y, consecuentemente, la prueba y la di</w:t>
      </w:r>
      <w:r>
        <w:rPr>
          <w:bCs/>
        </w:rPr>
        <w:t>s</w:t>
      </w:r>
      <w:r>
        <w:rPr>
          <w:bCs/>
        </w:rPr>
        <w:t>cusión.</w:t>
      </w:r>
    </w:p>
    <w:p w:rsidR="00224567" w:rsidRDefault="00224567">
      <w:pPr>
        <w:widowControl w:val="0"/>
        <w:tabs>
          <w:tab w:val="left" w:pos="2835"/>
        </w:tabs>
        <w:ind w:firstLine="708"/>
        <w:rPr>
          <w:bCs/>
        </w:rPr>
      </w:pPr>
      <w:r>
        <w:rPr>
          <w:bCs/>
        </w:rPr>
        <w:tab/>
        <w:t>Agregó que en general, la mayoría de estos elementos independientes tienen como fuente al pr</w:t>
      </w:r>
      <w:r>
        <w:rPr>
          <w:bCs/>
        </w:rPr>
        <w:t>o</w:t>
      </w:r>
      <w:r>
        <w:rPr>
          <w:bCs/>
        </w:rPr>
        <w:t xml:space="preserve">pio Telleldín: lo que le habría dicho a </w:t>
      </w:r>
      <w:smartTag w:uri="urn:schemas-microsoft-com:office:smarttags" w:element="PersonName">
        <w:smartTagPr>
          <w:attr w:name="ProductID" w:val="la Dra. Riva"/>
        </w:smartTagPr>
        <w:r>
          <w:rPr>
            <w:bCs/>
          </w:rPr>
          <w:t>la Dra. Riva</w:t>
        </w:r>
      </w:smartTag>
      <w:r>
        <w:rPr>
          <w:bCs/>
        </w:rPr>
        <w:t xml:space="preserve"> Ar</w:t>
      </w:r>
      <w:r>
        <w:rPr>
          <w:bCs/>
        </w:rPr>
        <w:t>a</w:t>
      </w:r>
      <w:r>
        <w:rPr>
          <w:bCs/>
        </w:rPr>
        <w:lastRenderedPageBreak/>
        <w:t>mayo, a los periodistas, o lo que estos infirieron, o lo supuestamente dijo y escribió D</w:t>
      </w:r>
      <w:r>
        <w:rPr>
          <w:bCs/>
        </w:rPr>
        <w:t>a</w:t>
      </w:r>
      <w:r>
        <w:rPr>
          <w:bCs/>
        </w:rPr>
        <w:t>monte.</w:t>
      </w:r>
    </w:p>
    <w:p w:rsidR="00224567" w:rsidRDefault="00224567">
      <w:pPr>
        <w:widowControl w:val="0"/>
        <w:tabs>
          <w:tab w:val="left" w:pos="2835"/>
        </w:tabs>
        <w:ind w:firstLine="708"/>
        <w:rPr>
          <w:bCs/>
        </w:rPr>
      </w:pPr>
      <w:r>
        <w:rPr>
          <w:bCs/>
        </w:rPr>
        <w:tab/>
        <w:t>Evaluó que dichos elementos no perm</w:t>
      </w:r>
      <w:r>
        <w:rPr>
          <w:bCs/>
        </w:rPr>
        <w:t>i</w:t>
      </w:r>
      <w:r>
        <w:rPr>
          <w:bCs/>
        </w:rPr>
        <w:t>ten hacer, ni siquiera en forma suficiente, una descri</w:t>
      </w:r>
      <w:r>
        <w:rPr>
          <w:bCs/>
        </w:rPr>
        <w:t>p</w:t>
      </w:r>
      <w:r>
        <w:rPr>
          <w:bCs/>
        </w:rPr>
        <w:t>ción de lo que se le imputa a Ibarra.</w:t>
      </w:r>
    </w:p>
    <w:p w:rsidR="00224567" w:rsidRDefault="00224567">
      <w:pPr>
        <w:widowControl w:val="0"/>
        <w:tabs>
          <w:tab w:val="left" w:pos="2835"/>
        </w:tabs>
        <w:ind w:firstLine="708"/>
        <w:rPr>
          <w:bCs/>
        </w:rPr>
      </w:pPr>
      <w:r>
        <w:rPr>
          <w:bCs/>
        </w:rPr>
        <w:tab/>
        <w:t>Destacó que el manuscrito, al que la querella unificada otorga una alta dosis de credibil</w:t>
      </w:r>
      <w:r>
        <w:rPr>
          <w:bCs/>
        </w:rPr>
        <w:t>i</w:t>
      </w:r>
      <w:r>
        <w:rPr>
          <w:bCs/>
        </w:rPr>
        <w:t>dad, fue confeccionado por Telleldín a instancia de la camari</w:t>
      </w:r>
      <w:r>
        <w:rPr>
          <w:bCs/>
        </w:rPr>
        <w:t>s</w:t>
      </w:r>
      <w:r>
        <w:rPr>
          <w:bCs/>
        </w:rPr>
        <w:t>ta Riva Aramayo, tal como lo manifestó la propia defensa del nombrado.</w:t>
      </w:r>
    </w:p>
    <w:p w:rsidR="00224567" w:rsidRDefault="00224567">
      <w:pPr>
        <w:widowControl w:val="0"/>
        <w:tabs>
          <w:tab w:val="left" w:pos="2835"/>
        </w:tabs>
        <w:ind w:firstLine="708"/>
        <w:rPr>
          <w:bCs/>
        </w:rPr>
      </w:pPr>
      <w:r>
        <w:rPr>
          <w:bCs/>
        </w:rPr>
        <w:tab/>
        <w:t>Subrayó el defensor que en el e</w:t>
      </w:r>
      <w:r>
        <w:rPr>
          <w:bCs/>
        </w:rPr>
        <w:t>s</w:t>
      </w:r>
      <w:r>
        <w:rPr>
          <w:bCs/>
        </w:rPr>
        <w:t>crito efectuado por Damonte, Telleldín cuenta que estuvo c</w:t>
      </w:r>
      <w:r>
        <w:rPr>
          <w:bCs/>
        </w:rPr>
        <w:t>a</w:t>
      </w:r>
      <w:r>
        <w:rPr>
          <w:bCs/>
        </w:rPr>
        <w:t>sado con la “Miss Mundo” Silvana Suárez; que era el m</w:t>
      </w:r>
      <w:r>
        <w:rPr>
          <w:bCs/>
        </w:rPr>
        <w:t>e</w:t>
      </w:r>
      <w:r>
        <w:rPr>
          <w:bCs/>
        </w:rPr>
        <w:t>jor amigo del ex presidente, o del hijo del ex presidente, Jorge R</w:t>
      </w:r>
      <w:r>
        <w:rPr>
          <w:bCs/>
        </w:rPr>
        <w:t>a</w:t>
      </w:r>
      <w:r>
        <w:rPr>
          <w:bCs/>
        </w:rPr>
        <w:t>fael Videla; que en vidas anteriores fue fenicio; que es un aficionado a la pintura; que realizó un viaje a Saint Martin con una famosa a</w:t>
      </w:r>
      <w:r>
        <w:rPr>
          <w:bCs/>
        </w:rPr>
        <w:t>c</w:t>
      </w:r>
      <w:r>
        <w:rPr>
          <w:bCs/>
        </w:rPr>
        <w:t>triz, de quien no reveló el nombre para no perjudicar su carrera, aunque luego resultó ser Sandra Petru</w:t>
      </w:r>
      <w:r>
        <w:rPr>
          <w:bCs/>
        </w:rPr>
        <w:t>c</w:t>
      </w:r>
      <w:r>
        <w:rPr>
          <w:bCs/>
        </w:rPr>
        <w:t>ci.</w:t>
      </w:r>
    </w:p>
    <w:p w:rsidR="00224567" w:rsidRDefault="00224567">
      <w:pPr>
        <w:widowControl w:val="0"/>
        <w:tabs>
          <w:tab w:val="left" w:pos="2835"/>
        </w:tabs>
        <w:ind w:firstLine="708"/>
        <w:rPr>
          <w:bCs/>
        </w:rPr>
      </w:pPr>
      <w:r>
        <w:rPr>
          <w:bCs/>
        </w:rPr>
        <w:tab/>
        <w:t>Recreó el defensor que también la qu</w:t>
      </w:r>
      <w:r>
        <w:rPr>
          <w:bCs/>
        </w:rPr>
        <w:t>e</w:t>
      </w:r>
      <w:r>
        <w:rPr>
          <w:bCs/>
        </w:rPr>
        <w:lastRenderedPageBreak/>
        <w:t>rella unificada mencionó que el manuscrito era ant</w:t>
      </w:r>
      <w:r>
        <w:rPr>
          <w:bCs/>
        </w:rPr>
        <w:t>e</w:t>
      </w:r>
      <w:r>
        <w:rPr>
          <w:bCs/>
        </w:rPr>
        <w:t>rior a la declaración del 5 de julio y que prestaba apoyo a esa versión esencialmente cierta. Calificó a este argumento como olvidable ya que esa declaración comenzó a armarse antes del 5 de julio y que el manuscrito comienza a escr</w:t>
      </w:r>
      <w:r>
        <w:rPr>
          <w:bCs/>
        </w:rPr>
        <w:t>i</w:t>
      </w:r>
      <w:r>
        <w:rPr>
          <w:bCs/>
        </w:rPr>
        <w:t>birse luego del inicio de la causa Brigadas, pues a fs. 116.716/vta. destacó que llev</w:t>
      </w:r>
      <w:r>
        <w:rPr>
          <w:bCs/>
        </w:rPr>
        <w:t>a</w:t>
      </w:r>
      <w:r>
        <w:rPr>
          <w:bCs/>
        </w:rPr>
        <w:t>ba diecisiete meses detenido y agregó que del análisis del capítulo titulado “Bro</w:t>
      </w:r>
      <w:r>
        <w:rPr>
          <w:bCs/>
        </w:rPr>
        <w:t>n</w:t>
      </w:r>
      <w:r>
        <w:rPr>
          <w:bCs/>
        </w:rPr>
        <w:t>ceado en Julio”, se advierte que los hechos que supuestamente narra no tenían nada que ver con el relato que hace en la declar</w:t>
      </w:r>
      <w:r>
        <w:rPr>
          <w:bCs/>
        </w:rPr>
        <w:t>a</w:t>
      </w:r>
      <w:r>
        <w:rPr>
          <w:bCs/>
        </w:rPr>
        <w:t>ción del 5 de julio.</w:t>
      </w:r>
    </w:p>
    <w:p w:rsidR="00224567" w:rsidRDefault="00224567">
      <w:pPr>
        <w:widowControl w:val="0"/>
        <w:tabs>
          <w:tab w:val="left" w:pos="2835"/>
        </w:tabs>
        <w:ind w:firstLine="708"/>
        <w:rPr>
          <w:bCs/>
        </w:rPr>
      </w:pPr>
      <w:r>
        <w:rPr>
          <w:bCs/>
        </w:rPr>
        <w:tab/>
        <w:t>Recordó que allí Telleldín consignó que el día domi</w:t>
      </w:r>
      <w:r>
        <w:rPr>
          <w:bCs/>
        </w:rPr>
        <w:t>n</w:t>
      </w:r>
      <w:r>
        <w:rPr>
          <w:bCs/>
        </w:rPr>
        <w:t>go debió permanecer tiempo completo en su casa, ya que se podía presentar un comprador de la cami</w:t>
      </w:r>
      <w:r>
        <w:rPr>
          <w:bCs/>
        </w:rPr>
        <w:t>o</w:t>
      </w:r>
      <w:r>
        <w:rPr>
          <w:bCs/>
        </w:rPr>
        <w:t>neta, cuando debió consignar que estaba esperando para p</w:t>
      </w:r>
      <w:r>
        <w:rPr>
          <w:bCs/>
        </w:rPr>
        <w:t>a</w:t>
      </w:r>
      <w:r>
        <w:rPr>
          <w:bCs/>
        </w:rPr>
        <w:t>gar el saldo de la e</w:t>
      </w:r>
      <w:r>
        <w:rPr>
          <w:bCs/>
        </w:rPr>
        <w:t>x</w:t>
      </w:r>
      <w:r>
        <w:rPr>
          <w:bCs/>
        </w:rPr>
        <w:t>torsión del mes de abril.</w:t>
      </w:r>
    </w:p>
    <w:p w:rsidR="00224567" w:rsidRDefault="00224567">
      <w:pPr>
        <w:widowControl w:val="0"/>
        <w:tabs>
          <w:tab w:val="left" w:pos="2835"/>
        </w:tabs>
        <w:ind w:firstLine="708"/>
        <w:rPr>
          <w:bCs/>
        </w:rPr>
      </w:pPr>
      <w:r>
        <w:rPr>
          <w:bCs/>
        </w:rPr>
        <w:tab/>
        <w:t>Continuando con el análisis, el defe</w:t>
      </w:r>
      <w:r>
        <w:rPr>
          <w:bCs/>
        </w:rPr>
        <w:t>n</w:t>
      </w:r>
      <w:r>
        <w:rPr>
          <w:bCs/>
        </w:rPr>
        <w:t>sor destacó que en dicho escrito consta que cuando se pr</w:t>
      </w:r>
      <w:r>
        <w:rPr>
          <w:bCs/>
        </w:rPr>
        <w:t>e</w:t>
      </w:r>
      <w:r>
        <w:rPr>
          <w:bCs/>
        </w:rPr>
        <w:t>sentó el co</w:t>
      </w:r>
      <w:r>
        <w:rPr>
          <w:bCs/>
        </w:rPr>
        <w:t>m</w:t>
      </w:r>
      <w:r>
        <w:rPr>
          <w:bCs/>
        </w:rPr>
        <w:t xml:space="preserve">prador no exhibió ninguna credencial verde de policía, ni hizo referencia alguna a personal policial, contradiciendo lo sostenido en la versión paga; por el </w:t>
      </w:r>
      <w:r>
        <w:rPr>
          <w:bCs/>
        </w:rPr>
        <w:lastRenderedPageBreak/>
        <w:t>contrario, agregó, Telleldín afirmó que hizo todo lo pos</w:t>
      </w:r>
      <w:r>
        <w:rPr>
          <w:bCs/>
        </w:rPr>
        <w:t>i</w:t>
      </w:r>
      <w:r>
        <w:rPr>
          <w:bCs/>
        </w:rPr>
        <w:t>ble para que el supuesto comprador no not</w:t>
      </w:r>
      <w:r>
        <w:rPr>
          <w:bCs/>
        </w:rPr>
        <w:t>a</w:t>
      </w:r>
      <w:r>
        <w:rPr>
          <w:bCs/>
        </w:rPr>
        <w:t>ra la presencia policial.</w:t>
      </w:r>
    </w:p>
    <w:p w:rsidR="00224567" w:rsidRDefault="00224567">
      <w:pPr>
        <w:widowControl w:val="0"/>
        <w:tabs>
          <w:tab w:val="left" w:pos="2835"/>
        </w:tabs>
        <w:ind w:firstLine="708"/>
        <w:rPr>
          <w:bCs/>
        </w:rPr>
      </w:pPr>
      <w:r>
        <w:rPr>
          <w:bCs/>
        </w:rPr>
        <w:tab/>
        <w:t>Dijo el defensor que del manuscrito surge que se trató de una venta y que Telleldín incluso detalló que se llevó a cabo en USD 11.500; que su señora se ocupó de contar el dinero y que detectó un billete de cien dólares que no le gustaba, haciéndoselo notar al co</w:t>
      </w:r>
      <w:r>
        <w:rPr>
          <w:bCs/>
        </w:rPr>
        <w:t>m</w:t>
      </w:r>
      <w:r>
        <w:rPr>
          <w:bCs/>
        </w:rPr>
        <w:t>prador quien, sin ningún miramiento, sacó otro billete y se lo cambió, circunstancia que a nadie se le olvidó y que no figura en la declaración compr</w:t>
      </w:r>
      <w:r>
        <w:rPr>
          <w:bCs/>
        </w:rPr>
        <w:t>a</w:t>
      </w:r>
      <w:r>
        <w:rPr>
          <w:bCs/>
        </w:rPr>
        <w:t>da.</w:t>
      </w:r>
    </w:p>
    <w:p w:rsidR="00224567" w:rsidRDefault="00224567">
      <w:pPr>
        <w:widowControl w:val="0"/>
        <w:tabs>
          <w:tab w:val="left" w:pos="2835"/>
        </w:tabs>
        <w:ind w:firstLine="708"/>
        <w:rPr>
          <w:bCs/>
        </w:rPr>
      </w:pPr>
      <w:r>
        <w:rPr>
          <w:bCs/>
        </w:rPr>
        <w:tab/>
        <w:t>Destacó el defensor que en el manu</w:t>
      </w:r>
      <w:r>
        <w:rPr>
          <w:bCs/>
        </w:rPr>
        <w:t>s</w:t>
      </w:r>
      <w:r>
        <w:rPr>
          <w:bCs/>
        </w:rPr>
        <w:t>crito Cotoras no aparecía y en la versión comprada es un testigo, valorando que su inclusión fue pensada después con la superv</w:t>
      </w:r>
      <w:r>
        <w:rPr>
          <w:bCs/>
        </w:rPr>
        <w:t>i</w:t>
      </w:r>
      <w:r>
        <w:rPr>
          <w:bCs/>
        </w:rPr>
        <w:t>sión del juez de la causa.</w:t>
      </w:r>
    </w:p>
    <w:p w:rsidR="00224567" w:rsidRDefault="00224567">
      <w:pPr>
        <w:widowControl w:val="0"/>
        <w:tabs>
          <w:tab w:val="left" w:pos="2835"/>
        </w:tabs>
        <w:ind w:firstLine="708"/>
        <w:rPr>
          <w:bCs/>
        </w:rPr>
      </w:pPr>
      <w:r>
        <w:rPr>
          <w:bCs/>
        </w:rPr>
        <w:tab/>
        <w:t>Concluyó que el manuscrito no es un medio de prueba.</w:t>
      </w:r>
    </w:p>
    <w:p w:rsidR="00224567" w:rsidRDefault="00224567">
      <w:pPr>
        <w:widowControl w:val="0"/>
        <w:tabs>
          <w:tab w:val="left" w:pos="2835"/>
        </w:tabs>
        <w:ind w:firstLine="708"/>
        <w:rPr>
          <w:bCs/>
        </w:rPr>
      </w:pPr>
      <w:r>
        <w:rPr>
          <w:bCs/>
        </w:rPr>
        <w:tab/>
        <w:t>Respecto de los videos donde se pla</w:t>
      </w:r>
      <w:r>
        <w:rPr>
          <w:bCs/>
        </w:rPr>
        <w:t>s</w:t>
      </w:r>
      <w:r>
        <w:rPr>
          <w:bCs/>
        </w:rPr>
        <w:t>maron entrevistas entre el imputado Telleldín y el Dr. G</w:t>
      </w:r>
      <w:r>
        <w:rPr>
          <w:bCs/>
        </w:rPr>
        <w:t>a</w:t>
      </w:r>
      <w:r>
        <w:rPr>
          <w:bCs/>
        </w:rPr>
        <w:t xml:space="preserve">leano dijo el defensor que, éste, mediante oficio del 13 </w:t>
      </w:r>
      <w:r>
        <w:rPr>
          <w:bCs/>
        </w:rPr>
        <w:lastRenderedPageBreak/>
        <w:t>de agosto de 2001 agregado a fs. 827 del legajo de in</w:t>
      </w:r>
      <w:r>
        <w:rPr>
          <w:bCs/>
        </w:rPr>
        <w:t>s</w:t>
      </w:r>
      <w:r>
        <w:rPr>
          <w:bCs/>
        </w:rPr>
        <w:t>trucción suplementaria, hizo saber que en su juzgado se filmaron algunas de ellas, como las mantenidas el 10 de abril y el 1º de julio de 1996, y que a partir de la ut</w:t>
      </w:r>
      <w:r>
        <w:rPr>
          <w:bCs/>
        </w:rPr>
        <w:t>i</w:t>
      </w:r>
      <w:r>
        <w:rPr>
          <w:bCs/>
        </w:rPr>
        <w:t>lización indebida de una de ellas advirtió el riesgo para la investigación y para él mismo, y como su cal</w:t>
      </w:r>
      <w:r>
        <w:rPr>
          <w:bCs/>
        </w:rPr>
        <w:t>i</w:t>
      </w:r>
      <w:r>
        <w:rPr>
          <w:bCs/>
        </w:rPr>
        <w:t>dad sonora no era buena encomendó su destru</w:t>
      </w:r>
      <w:r>
        <w:rPr>
          <w:bCs/>
        </w:rPr>
        <w:t>c</w:t>
      </w:r>
      <w:r>
        <w:rPr>
          <w:bCs/>
        </w:rPr>
        <w:t>ción.</w:t>
      </w:r>
    </w:p>
    <w:p w:rsidR="00224567" w:rsidRDefault="00224567">
      <w:pPr>
        <w:widowControl w:val="0"/>
        <w:tabs>
          <w:tab w:val="left" w:pos="2835"/>
        </w:tabs>
        <w:ind w:firstLine="708"/>
        <w:rPr>
          <w:bCs/>
        </w:rPr>
      </w:pPr>
      <w:r>
        <w:rPr>
          <w:bCs/>
        </w:rPr>
        <w:tab/>
        <w:t>Respecto del video de abril, que fu</w:t>
      </w:r>
      <w:r>
        <w:rPr>
          <w:bCs/>
        </w:rPr>
        <w:t>e</w:t>
      </w:r>
      <w:r>
        <w:rPr>
          <w:bCs/>
        </w:rPr>
        <w:t>ra reproducido en la audiencia, el letrado consideró que no es posible que del mismo video pueda desprenderse la com</w:t>
      </w:r>
      <w:r>
        <w:rPr>
          <w:bCs/>
        </w:rPr>
        <w:t>i</w:t>
      </w:r>
      <w:r>
        <w:rPr>
          <w:bCs/>
        </w:rPr>
        <w:t>sión de delitos por parte del juez, o que éste sea usado como medio de prueba</w:t>
      </w:r>
      <w:r>
        <w:t xml:space="preserve"> </w:t>
      </w:r>
      <w:r>
        <w:rPr>
          <w:bCs/>
        </w:rPr>
        <w:t>en contra de Ibarra.</w:t>
      </w:r>
    </w:p>
    <w:p w:rsidR="00224567" w:rsidRDefault="00224567">
      <w:pPr>
        <w:pStyle w:val="Sangradetextonormal"/>
        <w:widowControl w:val="0"/>
        <w:tabs>
          <w:tab w:val="left" w:pos="2835"/>
        </w:tabs>
      </w:pPr>
      <w:r>
        <w:tab/>
        <w:t>A fin de precisar la validez de ese tipo de cintas de v</w:t>
      </w:r>
      <w:r>
        <w:t>i</w:t>
      </w:r>
      <w:r>
        <w:t>deo, recordó la defensa el caso de los videos ordenados por el juez respecto de Miriam S</w:t>
      </w:r>
      <w:r>
        <w:t>a</w:t>
      </w:r>
      <w:r>
        <w:t>linas, a los que el tribunal decidió no incorporar al debate, en virtud que comprendían dichos de Ana Boragni, quien reve</w:t>
      </w:r>
      <w:r>
        <w:t>s</w:t>
      </w:r>
      <w:r>
        <w:t>tía la calidad de imput</w:t>
      </w:r>
      <w:r>
        <w:t>a</w:t>
      </w:r>
      <w:r>
        <w:t xml:space="preserve">da, en función de la solicitud de los fiscales de fs. 12.183/12.211; comparó esa situación con la de Carlos Alberto Telleldín, destacando que se lo filmó sin su conocimiento, sin asistencia letrada y que </w:t>
      </w:r>
      <w:r>
        <w:lastRenderedPageBreak/>
        <w:t>además se encontraba imputado y detenido en la ca</w:t>
      </w:r>
      <w:r>
        <w:t>u</w:t>
      </w:r>
      <w:r>
        <w:t>sa.</w:t>
      </w:r>
    </w:p>
    <w:p w:rsidR="00224567" w:rsidRDefault="00224567">
      <w:pPr>
        <w:widowControl w:val="0"/>
        <w:tabs>
          <w:tab w:val="left" w:pos="2835"/>
        </w:tabs>
        <w:ind w:firstLine="708"/>
        <w:rPr>
          <w:bCs/>
        </w:rPr>
      </w:pPr>
      <w:r>
        <w:rPr>
          <w:bCs/>
        </w:rPr>
        <w:tab/>
        <w:t>Recordó que la acusación sostuvo que la versión dada en el video reviste suma impo</w:t>
      </w:r>
      <w:r>
        <w:rPr>
          <w:bCs/>
        </w:rPr>
        <w:t>r</w:t>
      </w:r>
      <w:r>
        <w:rPr>
          <w:bCs/>
        </w:rPr>
        <w:t>tancia y que el juez no debió haber pagado, pues bastaba que document</w:t>
      </w:r>
      <w:r>
        <w:rPr>
          <w:bCs/>
        </w:rPr>
        <w:t>a</w:t>
      </w:r>
      <w:r>
        <w:rPr>
          <w:bCs/>
        </w:rPr>
        <w:t>ra el contenido de los videos para de allí en adelante, proseguir la investigación. A ello, el letr</w:t>
      </w:r>
      <w:r>
        <w:rPr>
          <w:bCs/>
        </w:rPr>
        <w:t>a</w:t>
      </w:r>
      <w:r>
        <w:rPr>
          <w:bCs/>
        </w:rPr>
        <w:t>do respondió, que era imposible que el magistrado doc</w:t>
      </w:r>
      <w:r>
        <w:rPr>
          <w:bCs/>
        </w:rPr>
        <w:t>u</w:t>
      </w:r>
      <w:r>
        <w:rPr>
          <w:bCs/>
        </w:rPr>
        <w:t>mentara que había filmado a un imputado en forma clandestina y sin la pr</w:t>
      </w:r>
      <w:r>
        <w:rPr>
          <w:bCs/>
        </w:rPr>
        <w:t>e</w:t>
      </w:r>
      <w:r>
        <w:rPr>
          <w:bCs/>
        </w:rPr>
        <w:t>sencia del abogado, al que le había exhibido el álbum de fotos de los policías, identif</w:t>
      </w:r>
      <w:r>
        <w:rPr>
          <w:bCs/>
        </w:rPr>
        <w:t>i</w:t>
      </w:r>
      <w:r>
        <w:rPr>
          <w:bCs/>
        </w:rPr>
        <w:t>cando los nombres de Leal e Ibarra.</w:t>
      </w:r>
    </w:p>
    <w:p w:rsidR="00224567" w:rsidRDefault="00224567">
      <w:pPr>
        <w:widowControl w:val="0"/>
        <w:tabs>
          <w:tab w:val="left" w:pos="2835"/>
        </w:tabs>
        <w:ind w:firstLine="708"/>
        <w:rPr>
          <w:bCs/>
        </w:rPr>
      </w:pPr>
      <w:r>
        <w:rPr>
          <w:bCs/>
        </w:rPr>
        <w:tab/>
        <w:t>Pese a considerar que se trata de una prueba manifiestamente ilícita, el letrado realizó un an</w:t>
      </w:r>
      <w:r>
        <w:rPr>
          <w:bCs/>
        </w:rPr>
        <w:t>á</w:t>
      </w:r>
      <w:r>
        <w:rPr>
          <w:bCs/>
        </w:rPr>
        <w:t>lisis del contenido de la entrevista fi</w:t>
      </w:r>
      <w:r>
        <w:rPr>
          <w:bCs/>
        </w:rPr>
        <w:t>l</w:t>
      </w:r>
      <w:r>
        <w:rPr>
          <w:bCs/>
        </w:rPr>
        <w:t>mada.</w:t>
      </w:r>
    </w:p>
    <w:p w:rsidR="00224567" w:rsidRDefault="00224567">
      <w:pPr>
        <w:widowControl w:val="0"/>
        <w:tabs>
          <w:tab w:val="left" w:pos="2835"/>
        </w:tabs>
        <w:ind w:firstLine="708"/>
        <w:rPr>
          <w:bCs/>
        </w:rPr>
      </w:pPr>
      <w:r>
        <w:rPr>
          <w:bCs/>
        </w:rPr>
        <w:tab/>
        <w:t>Comenzó enunciando que en el minuto 34.56 aparecen p</w:t>
      </w:r>
      <w:r>
        <w:rPr>
          <w:bCs/>
        </w:rPr>
        <w:t>e</w:t>
      </w:r>
      <w:r>
        <w:rPr>
          <w:bCs/>
        </w:rPr>
        <w:t>leándose –o así lo parece- el imputado y la secretaria, que le indica a T</w:t>
      </w:r>
      <w:r>
        <w:rPr>
          <w:bCs/>
        </w:rPr>
        <w:t>e</w:t>
      </w:r>
      <w:r>
        <w:rPr>
          <w:bCs/>
        </w:rPr>
        <w:t>lleldín quien es Ibarra.</w:t>
      </w:r>
    </w:p>
    <w:p w:rsidR="00224567" w:rsidRDefault="00224567">
      <w:pPr>
        <w:widowControl w:val="0"/>
        <w:tabs>
          <w:tab w:val="left" w:pos="2835"/>
        </w:tabs>
        <w:ind w:firstLine="708"/>
        <w:rPr>
          <w:bCs/>
        </w:rPr>
      </w:pPr>
      <w:r>
        <w:rPr>
          <w:bCs/>
        </w:rPr>
        <w:tab/>
        <w:t>Sostuvo que en ese video se advierte claramente como se armó la declaración, se nombró a pers</w:t>
      </w:r>
      <w:r>
        <w:rPr>
          <w:bCs/>
        </w:rPr>
        <w:t>o</w:t>
      </w:r>
      <w:r>
        <w:rPr>
          <w:bCs/>
        </w:rPr>
        <w:t>nas, se mostraron fotografías y se habló en clave, lo mi</w:t>
      </w:r>
      <w:r>
        <w:rPr>
          <w:bCs/>
        </w:rPr>
        <w:t>s</w:t>
      </w:r>
      <w:r>
        <w:rPr>
          <w:bCs/>
        </w:rPr>
        <w:lastRenderedPageBreak/>
        <w:t>mo que en otras ocasiones.</w:t>
      </w:r>
    </w:p>
    <w:p w:rsidR="00224567" w:rsidRDefault="00224567">
      <w:pPr>
        <w:widowControl w:val="0"/>
        <w:tabs>
          <w:tab w:val="left" w:pos="2835"/>
        </w:tabs>
        <w:ind w:firstLine="708"/>
        <w:rPr>
          <w:bCs/>
        </w:rPr>
      </w:pPr>
      <w:r>
        <w:rPr>
          <w:bCs/>
        </w:rPr>
        <w:tab/>
        <w:t>Advirtió que no se trata de que el v</w:t>
      </w:r>
      <w:r>
        <w:rPr>
          <w:bCs/>
        </w:rPr>
        <w:t>i</w:t>
      </w:r>
      <w:r>
        <w:rPr>
          <w:bCs/>
        </w:rPr>
        <w:t>deo sea nulo, aunque en el terreno procesal quizás lo sea, sino que es una prueba ilícita, que contraviene claramente garantías constitucionales respecto del juicio pr</w:t>
      </w:r>
      <w:r>
        <w:rPr>
          <w:bCs/>
        </w:rPr>
        <w:t>e</w:t>
      </w:r>
      <w:r>
        <w:rPr>
          <w:bCs/>
        </w:rPr>
        <w:t>vio, del juez imparcial, los tratados internacionales y que de ni</w:t>
      </w:r>
      <w:r>
        <w:rPr>
          <w:bCs/>
        </w:rPr>
        <w:t>n</w:t>
      </w:r>
      <w:r>
        <w:rPr>
          <w:bCs/>
        </w:rPr>
        <w:t>guna manera debió habérselo considerado como elemento i</w:t>
      </w:r>
      <w:r>
        <w:rPr>
          <w:bCs/>
        </w:rPr>
        <w:t>n</w:t>
      </w:r>
      <w:r>
        <w:rPr>
          <w:bCs/>
        </w:rPr>
        <w:t>dependiente en las acusaci</w:t>
      </w:r>
      <w:r>
        <w:rPr>
          <w:bCs/>
        </w:rPr>
        <w:t>o</w:t>
      </w:r>
      <w:r>
        <w:rPr>
          <w:bCs/>
        </w:rPr>
        <w:t>nes.</w:t>
      </w:r>
    </w:p>
    <w:p w:rsidR="00224567" w:rsidRDefault="00224567">
      <w:pPr>
        <w:widowControl w:val="0"/>
        <w:tabs>
          <w:tab w:val="left" w:pos="2835"/>
        </w:tabs>
        <w:ind w:firstLine="708"/>
        <w:rPr>
          <w:bCs/>
        </w:rPr>
      </w:pPr>
      <w:r>
        <w:rPr>
          <w:bCs/>
        </w:rPr>
        <w:tab/>
        <w:t>Sostuvo el defensor que es i</w:t>
      </w:r>
      <w:r>
        <w:rPr>
          <w:bCs/>
        </w:rPr>
        <w:t>n</w:t>
      </w:r>
      <w:r>
        <w:rPr>
          <w:bCs/>
        </w:rPr>
        <w:t>cierta la fecha de realización de la entrevista reflejada en el v</w:t>
      </w:r>
      <w:r>
        <w:rPr>
          <w:bCs/>
        </w:rPr>
        <w:t>i</w:t>
      </w:r>
      <w:r>
        <w:rPr>
          <w:bCs/>
        </w:rPr>
        <w:t>deo, ya que eso sólo lo sostiene el mismo juez que ordenó la incineración de otros v</w:t>
      </w:r>
      <w:r>
        <w:rPr>
          <w:bCs/>
        </w:rPr>
        <w:t>i</w:t>
      </w:r>
      <w:r>
        <w:rPr>
          <w:bCs/>
        </w:rPr>
        <w:t>deos y que se quedó con el que plasmó la entrevista entre Brousson, Cúneo Libarona y Pa</w:t>
      </w:r>
      <w:r>
        <w:rPr>
          <w:bCs/>
        </w:rPr>
        <w:t>s</w:t>
      </w:r>
      <w:r>
        <w:rPr>
          <w:bCs/>
        </w:rPr>
        <w:t>quini; agregó que ese video constituía un “plan B”, ante la posibilidad de que saliera a la luz la maniobra de a</w:t>
      </w:r>
      <w:r>
        <w:rPr>
          <w:bCs/>
        </w:rPr>
        <w:t>r</w:t>
      </w:r>
      <w:r>
        <w:rPr>
          <w:bCs/>
        </w:rPr>
        <w:t>mado de la declaración del 5 de julio.</w:t>
      </w:r>
    </w:p>
    <w:p w:rsidR="00224567" w:rsidRDefault="00224567">
      <w:pPr>
        <w:widowControl w:val="0"/>
        <w:tabs>
          <w:tab w:val="left" w:pos="2835"/>
        </w:tabs>
        <w:ind w:firstLine="708"/>
        <w:rPr>
          <w:bCs/>
        </w:rPr>
      </w:pPr>
      <w:r>
        <w:rPr>
          <w:bCs/>
        </w:rPr>
        <w:tab/>
        <w:t>Continuando con el análisis de otro tramo de la filmación de la que se desprendería la part</w:t>
      </w:r>
      <w:r>
        <w:rPr>
          <w:bCs/>
        </w:rPr>
        <w:t>i</w:t>
      </w:r>
      <w:r>
        <w:rPr>
          <w:bCs/>
        </w:rPr>
        <w:t xml:space="preserve">cipación del magistrado en la maniobra de su armado, el defensor oficial recreó la conversación, recordando que cuando el Dr. Galeano preguntó “¿ellos en algún momento </w:t>
      </w:r>
      <w:r>
        <w:rPr>
          <w:bCs/>
        </w:rPr>
        <w:lastRenderedPageBreak/>
        <w:t>mencionan que venían de Lanús?”, Telleldín respondió “me dijeron de Vice</w:t>
      </w:r>
      <w:r>
        <w:rPr>
          <w:bCs/>
        </w:rPr>
        <w:t>n</w:t>
      </w:r>
      <w:r>
        <w:rPr>
          <w:bCs/>
        </w:rPr>
        <w:t>te López, pero para mi los tipos no se, no se, vos me d</w:t>
      </w:r>
      <w:r>
        <w:rPr>
          <w:bCs/>
        </w:rPr>
        <w:t>i</w:t>
      </w:r>
      <w:r>
        <w:rPr>
          <w:bCs/>
        </w:rPr>
        <w:t>jiste que trabajaban en conjunto”, y resaltó que ante semejante respuesta el juez no dijo nada, ni mo</w:t>
      </w:r>
      <w:r>
        <w:rPr>
          <w:bCs/>
        </w:rPr>
        <w:t>s</w:t>
      </w:r>
      <w:r>
        <w:rPr>
          <w:bCs/>
        </w:rPr>
        <w:t>tró sorpr</w:t>
      </w:r>
      <w:r>
        <w:rPr>
          <w:bCs/>
        </w:rPr>
        <w:t>e</w:t>
      </w:r>
      <w:r>
        <w:rPr>
          <w:bCs/>
        </w:rPr>
        <w:t>sa, ni lo echó a “patadas” a Telleldín.</w:t>
      </w:r>
    </w:p>
    <w:p w:rsidR="00224567" w:rsidRDefault="00224567">
      <w:pPr>
        <w:widowControl w:val="0"/>
        <w:tabs>
          <w:tab w:val="left" w:pos="2835"/>
        </w:tabs>
        <w:ind w:firstLine="708"/>
        <w:rPr>
          <w:bCs/>
        </w:rPr>
      </w:pPr>
      <w:r>
        <w:rPr>
          <w:bCs/>
        </w:rPr>
        <w:tab/>
        <w:t>Respecto a las entrevistas del imp</w:t>
      </w:r>
      <w:r>
        <w:rPr>
          <w:bCs/>
        </w:rPr>
        <w:t>u</w:t>
      </w:r>
      <w:r>
        <w:rPr>
          <w:bCs/>
        </w:rPr>
        <w:t>tado con la fall</w:t>
      </w:r>
      <w:r>
        <w:rPr>
          <w:bCs/>
        </w:rPr>
        <w:t>e</w:t>
      </w:r>
      <w:r>
        <w:rPr>
          <w:bCs/>
        </w:rPr>
        <w:t>cida camarista Riva Aramayo, recordó que el 11 de diciembre de 1995, desde el teléfono de la no</w:t>
      </w:r>
      <w:r>
        <w:rPr>
          <w:bCs/>
        </w:rPr>
        <w:t>m</w:t>
      </w:r>
      <w:r>
        <w:rPr>
          <w:bCs/>
        </w:rPr>
        <w:t xml:space="preserve">brada se realizó un llamado a una oficina de </w:t>
      </w:r>
      <w:smartTag w:uri="urn:schemas-microsoft-com:office:smarttags" w:element="PersonName">
        <w:smartTagPr>
          <w:attr w:name="ProductID" w:val="la S.I"/>
        </w:smartTagPr>
        <w:r>
          <w:rPr>
            <w:bCs/>
          </w:rPr>
          <w:t>la S.I</w:t>
        </w:r>
      </w:smartTag>
      <w:r>
        <w:rPr>
          <w:bCs/>
        </w:rPr>
        <w:t>.D.E. a la que también llamó el abogado de Telleldín el 27 de d</w:t>
      </w:r>
      <w:r>
        <w:rPr>
          <w:bCs/>
        </w:rPr>
        <w:t>i</w:t>
      </w:r>
      <w:r>
        <w:rPr>
          <w:bCs/>
        </w:rPr>
        <w:t>ciembre de ese año y el 16 de abril de 1996, y por ello, coligió el Dr. Valle, la camarista colaboró en el armado de esa declaración porque realizó el llamado a la misma oficina que l</w:t>
      </w:r>
      <w:r>
        <w:rPr>
          <w:bCs/>
        </w:rPr>
        <w:t>i</w:t>
      </w:r>
      <w:r>
        <w:rPr>
          <w:bCs/>
        </w:rPr>
        <w:t>beró los fondos pagados.</w:t>
      </w:r>
    </w:p>
    <w:p w:rsidR="00224567" w:rsidRDefault="00224567">
      <w:pPr>
        <w:widowControl w:val="0"/>
        <w:tabs>
          <w:tab w:val="left" w:pos="2835"/>
        </w:tabs>
        <w:ind w:firstLine="708"/>
        <w:rPr>
          <w:bCs/>
        </w:rPr>
      </w:pPr>
      <w:r>
        <w:rPr>
          <w:bCs/>
        </w:rPr>
        <w:tab/>
        <w:t>Sostuvo que resulta impertinente la justificación de las reuniones entre la camarista y el imputado, en que las relaciones de Telleldín y el juez “no eran buenas”, ya que las relaciones de un juez con un imputado no pueden recibir ese calificativo, sino que ti</w:t>
      </w:r>
      <w:r>
        <w:rPr>
          <w:bCs/>
        </w:rPr>
        <w:t>e</w:t>
      </w:r>
      <w:r>
        <w:rPr>
          <w:bCs/>
        </w:rPr>
        <w:t xml:space="preserve">nen que ser conforme lo disponen las leyes de </w:t>
      </w:r>
      <w:smartTag w:uri="urn:schemas-microsoft-com:office:smarttags" w:element="PersonName">
        <w:smartTagPr>
          <w:attr w:name="ProductID" w:val="la Rep￺blica. Remarc￳"/>
        </w:smartTagPr>
        <w:r>
          <w:rPr>
            <w:bCs/>
          </w:rPr>
          <w:t>la Repúbl</w:t>
        </w:r>
        <w:r>
          <w:rPr>
            <w:bCs/>
          </w:rPr>
          <w:t>i</w:t>
        </w:r>
        <w:r>
          <w:rPr>
            <w:bCs/>
          </w:rPr>
          <w:lastRenderedPageBreak/>
          <w:t>ca. Remarcó</w:t>
        </w:r>
      </w:smartTag>
      <w:r>
        <w:rPr>
          <w:bCs/>
        </w:rPr>
        <w:t xml:space="preserve"> que la camarista no poseía facultades para i</w:t>
      </w:r>
      <w:r>
        <w:rPr>
          <w:bCs/>
        </w:rPr>
        <w:t>n</w:t>
      </w:r>
      <w:r>
        <w:rPr>
          <w:bCs/>
        </w:rPr>
        <w:t>vadir la jurisdicción del juez, no se encontraba autoriz</w:t>
      </w:r>
      <w:r>
        <w:rPr>
          <w:bCs/>
        </w:rPr>
        <w:t>a</w:t>
      </w:r>
      <w:r>
        <w:rPr>
          <w:bCs/>
        </w:rPr>
        <w:t>da a interrogar a un imputado y menos a interrogarlo sin la presencia de un defensor y a espa</w:t>
      </w:r>
      <w:r>
        <w:rPr>
          <w:bCs/>
        </w:rPr>
        <w:t>l</w:t>
      </w:r>
      <w:r>
        <w:rPr>
          <w:bCs/>
        </w:rPr>
        <w:t>das del juez.</w:t>
      </w:r>
    </w:p>
    <w:p w:rsidR="00224567" w:rsidRDefault="00224567">
      <w:pPr>
        <w:widowControl w:val="0"/>
        <w:tabs>
          <w:tab w:val="left" w:pos="2835"/>
        </w:tabs>
        <w:ind w:firstLine="708"/>
        <w:rPr>
          <w:bCs/>
        </w:rPr>
      </w:pPr>
      <w:r>
        <w:rPr>
          <w:bCs/>
        </w:rPr>
        <w:tab/>
        <w:t xml:space="preserve">Recordó la defensa que el art. 239 del Código Procesal Penal de </w:t>
      </w:r>
      <w:smartTag w:uri="urn:schemas-microsoft-com:office:smarttags" w:element="PersonName">
        <w:smartTagPr>
          <w:attr w:name="ProductID" w:val="la Naci￳n"/>
        </w:smartTagPr>
        <w:r>
          <w:rPr>
            <w:bCs/>
          </w:rPr>
          <w:t>la Nación</w:t>
        </w:r>
      </w:smartTag>
      <w:r>
        <w:rPr>
          <w:bCs/>
        </w:rPr>
        <w:t>, impone al magistrado el deber de interrogar a toda persona que conozca los h</w:t>
      </w:r>
      <w:r>
        <w:rPr>
          <w:bCs/>
        </w:rPr>
        <w:t>e</w:t>
      </w:r>
      <w:r>
        <w:rPr>
          <w:bCs/>
        </w:rPr>
        <w:t xml:space="preserve">chos investigados, cuando su declaración pueda ser útil para descubrir la verdad y por ello sostuvo que, aquél, debió interrogar a </w:t>
      </w:r>
      <w:smartTag w:uri="urn:schemas-microsoft-com:office:smarttags" w:element="PersonName">
        <w:smartTagPr>
          <w:attr w:name="ProductID" w:val="la Dra. Riva"/>
        </w:smartTagPr>
        <w:r>
          <w:rPr>
            <w:bCs/>
          </w:rPr>
          <w:t>la Dra. Riva</w:t>
        </w:r>
      </w:smartTag>
      <w:r>
        <w:rPr>
          <w:bCs/>
        </w:rPr>
        <w:t xml:space="preserve"> Aram</w:t>
      </w:r>
      <w:r>
        <w:rPr>
          <w:bCs/>
        </w:rPr>
        <w:t>a</w:t>
      </w:r>
      <w:r>
        <w:rPr>
          <w:bCs/>
        </w:rPr>
        <w:t>yo y que esta omisión impide tener sus dichos como elemento independiente de prueba.</w:t>
      </w:r>
    </w:p>
    <w:p w:rsidR="00224567" w:rsidRDefault="00224567">
      <w:pPr>
        <w:widowControl w:val="0"/>
        <w:tabs>
          <w:tab w:val="left" w:pos="2835"/>
        </w:tabs>
        <w:ind w:firstLine="708"/>
        <w:rPr>
          <w:bCs/>
        </w:rPr>
      </w:pPr>
      <w:r>
        <w:rPr>
          <w:bCs/>
        </w:rPr>
        <w:tab/>
        <w:t>Respecto de las constancias de entr</w:t>
      </w:r>
      <w:r>
        <w:rPr>
          <w:bCs/>
        </w:rPr>
        <w:t>e</w:t>
      </w:r>
      <w:r>
        <w:rPr>
          <w:bCs/>
        </w:rPr>
        <w:t>vistas entre Riva Aramayo y el imputado, dest</w:t>
      </w:r>
      <w:r>
        <w:rPr>
          <w:bCs/>
        </w:rPr>
        <w:t>a</w:t>
      </w:r>
      <w:r>
        <w:rPr>
          <w:bCs/>
        </w:rPr>
        <w:t>có que no se aclaró ni cuántas, ni cuándo, ni dónde fueron, ni su co</w:t>
      </w:r>
      <w:r>
        <w:rPr>
          <w:bCs/>
        </w:rPr>
        <w:t>n</w:t>
      </w:r>
      <w:r>
        <w:rPr>
          <w:bCs/>
        </w:rPr>
        <w:t>tenido; que tampoco se grabaron ni filmaron, agr</w:t>
      </w:r>
      <w:r>
        <w:rPr>
          <w:bCs/>
        </w:rPr>
        <w:t>e</w:t>
      </w:r>
      <w:r>
        <w:rPr>
          <w:bCs/>
        </w:rPr>
        <w:t>gando que se desconocía cómo se gest</w:t>
      </w:r>
      <w:r>
        <w:rPr>
          <w:bCs/>
        </w:rPr>
        <w:t>a</w:t>
      </w:r>
      <w:r>
        <w:rPr>
          <w:bCs/>
        </w:rPr>
        <w:t>ron; que sólo pudo saberse qué fue lo ocurrido por lo que contó el Dr. B</w:t>
      </w:r>
      <w:r>
        <w:rPr>
          <w:bCs/>
        </w:rPr>
        <w:t>e</w:t>
      </w:r>
      <w:r>
        <w:rPr>
          <w:bCs/>
        </w:rPr>
        <w:t>raja cuando dijo que el abogado de Telleldín, para esa época, estaba en contacto con la magistrada.</w:t>
      </w:r>
    </w:p>
    <w:p w:rsidR="00224567" w:rsidRDefault="00224567">
      <w:pPr>
        <w:widowControl w:val="0"/>
        <w:tabs>
          <w:tab w:val="left" w:pos="2835"/>
        </w:tabs>
        <w:ind w:firstLine="708"/>
        <w:rPr>
          <w:bCs/>
        </w:rPr>
      </w:pPr>
      <w:r>
        <w:rPr>
          <w:bCs/>
        </w:rPr>
        <w:tab/>
        <w:t>Sostuvo también que ninguna credibil</w:t>
      </w:r>
      <w:r>
        <w:rPr>
          <w:bCs/>
        </w:rPr>
        <w:t>i</w:t>
      </w:r>
      <w:r>
        <w:rPr>
          <w:bCs/>
        </w:rPr>
        <w:lastRenderedPageBreak/>
        <w:t>dad pueden tener e</w:t>
      </w:r>
      <w:r>
        <w:rPr>
          <w:bCs/>
        </w:rPr>
        <w:t>s</w:t>
      </w:r>
      <w:r>
        <w:rPr>
          <w:bCs/>
        </w:rPr>
        <w:t xml:space="preserve">tas supuestas aseveraciones de </w:t>
      </w:r>
      <w:smartTag w:uri="urn:schemas-microsoft-com:office:smarttags" w:element="PersonName">
        <w:smartTagPr>
          <w:attr w:name="ProductID" w:val="la Dra. Riva"/>
        </w:smartTagPr>
        <w:r>
          <w:rPr>
            <w:bCs/>
          </w:rPr>
          <w:t>la Dra. Riva</w:t>
        </w:r>
      </w:smartTag>
      <w:r>
        <w:rPr>
          <w:bCs/>
        </w:rPr>
        <w:t xml:space="preserve"> Aramayo, ya que cuando al aportar a la in</w:t>
      </w:r>
      <w:r>
        <w:rPr>
          <w:bCs/>
        </w:rPr>
        <w:t>s</w:t>
      </w:r>
      <w:r>
        <w:rPr>
          <w:bCs/>
        </w:rPr>
        <w:t>trucción un croquis supuestamente confeccionado por Telleldín en su presencia, la prueba pericial, ratificada en forma test</w:t>
      </w:r>
      <w:r>
        <w:rPr>
          <w:bCs/>
        </w:rPr>
        <w:t>i</w:t>
      </w:r>
      <w:r>
        <w:rPr>
          <w:bCs/>
        </w:rPr>
        <w:t>monial en la audiencia, demostró sin ni</w:t>
      </w:r>
      <w:r>
        <w:rPr>
          <w:bCs/>
        </w:rPr>
        <w:t>n</w:t>
      </w:r>
      <w:r>
        <w:rPr>
          <w:bCs/>
        </w:rPr>
        <w:t>gún lugar a dudas que ese plano era falso y que no era de la autoría de T</w:t>
      </w:r>
      <w:r>
        <w:rPr>
          <w:bCs/>
        </w:rPr>
        <w:t>e</w:t>
      </w:r>
      <w:r>
        <w:rPr>
          <w:bCs/>
        </w:rPr>
        <w:t>lleldín.</w:t>
      </w:r>
    </w:p>
    <w:p w:rsidR="00224567" w:rsidRDefault="00224567">
      <w:pPr>
        <w:widowControl w:val="0"/>
        <w:tabs>
          <w:tab w:val="left" w:pos="2835"/>
        </w:tabs>
        <w:ind w:firstLine="708"/>
        <w:rPr>
          <w:bCs/>
        </w:rPr>
      </w:pPr>
      <w:r>
        <w:rPr>
          <w:bCs/>
        </w:rPr>
        <w:tab/>
        <w:t>Sostuvo el defensor que resulta disp</w:t>
      </w:r>
      <w:r>
        <w:rPr>
          <w:bCs/>
        </w:rPr>
        <w:t>a</w:t>
      </w:r>
      <w:r>
        <w:rPr>
          <w:bCs/>
        </w:rPr>
        <w:t>ratado que en una constancia de fecha 24 de agosto, la c</w:t>
      </w:r>
      <w:r>
        <w:rPr>
          <w:bCs/>
        </w:rPr>
        <w:t>a</w:t>
      </w:r>
      <w:r>
        <w:rPr>
          <w:bCs/>
        </w:rPr>
        <w:t>marista consi</w:t>
      </w:r>
      <w:r>
        <w:rPr>
          <w:bCs/>
        </w:rPr>
        <w:t>g</w:t>
      </w:r>
      <w:r>
        <w:rPr>
          <w:bCs/>
        </w:rPr>
        <w:t>ne que cuando recabe más datos se los haría saber al juez de la causa del mismo modo, valorando la obrante a fs. 37.382 donde el magistrado dejó constancia de unos supuestos dichos de Telleldín que aportara Riva Aramayo.</w:t>
      </w:r>
    </w:p>
    <w:p w:rsidR="00224567" w:rsidRDefault="00224567">
      <w:pPr>
        <w:widowControl w:val="0"/>
        <w:tabs>
          <w:tab w:val="left" w:pos="2835"/>
        </w:tabs>
        <w:ind w:firstLine="708"/>
        <w:rPr>
          <w:bCs/>
        </w:rPr>
      </w:pPr>
      <w:r>
        <w:rPr>
          <w:bCs/>
        </w:rPr>
        <w:tab/>
        <w:t>Destacó que en otra reunión, do</w:t>
      </w:r>
      <w:r>
        <w:rPr>
          <w:bCs/>
        </w:rPr>
        <w:t>n</w:t>
      </w:r>
      <w:r>
        <w:rPr>
          <w:bCs/>
        </w:rPr>
        <w:t>de se hizo referencia a lo que habría sucedido el 10 de julio, dio una versión distinta a todas las ant</w:t>
      </w:r>
      <w:r>
        <w:rPr>
          <w:bCs/>
        </w:rPr>
        <w:t>e</w:t>
      </w:r>
      <w:r>
        <w:rPr>
          <w:bCs/>
        </w:rPr>
        <w:t>riores y a la que luego se volcara el 5 de julio, rescatando que allí el imputado aseguró que la camioneta entregada no tenía pue</w:t>
      </w:r>
      <w:r>
        <w:rPr>
          <w:bCs/>
        </w:rPr>
        <w:t>r</w:t>
      </w:r>
      <w:r>
        <w:rPr>
          <w:bCs/>
        </w:rPr>
        <w:t>ta lat</w:t>
      </w:r>
      <w:r>
        <w:rPr>
          <w:bCs/>
        </w:rPr>
        <w:t>e</w:t>
      </w:r>
      <w:r>
        <w:rPr>
          <w:bCs/>
        </w:rPr>
        <w:t>ral.</w:t>
      </w:r>
    </w:p>
    <w:p w:rsidR="00224567" w:rsidRDefault="00224567">
      <w:pPr>
        <w:widowControl w:val="0"/>
        <w:tabs>
          <w:tab w:val="left" w:pos="2835"/>
        </w:tabs>
        <w:ind w:firstLine="708"/>
        <w:rPr>
          <w:bCs/>
        </w:rPr>
      </w:pPr>
      <w:r>
        <w:rPr>
          <w:bCs/>
        </w:rPr>
        <w:lastRenderedPageBreak/>
        <w:tab/>
        <w:t xml:space="preserve">Resaltó el defensor oficial que </w:t>
      </w:r>
      <w:smartTag w:uri="urn:schemas-microsoft-com:office:smarttags" w:element="PersonName">
        <w:smartTagPr>
          <w:attr w:name="ProductID" w:val="la Dra. Riva"/>
        </w:smartTagPr>
        <w:r>
          <w:rPr>
            <w:bCs/>
          </w:rPr>
          <w:t>la Dra. Riva</w:t>
        </w:r>
      </w:smartTag>
      <w:r>
        <w:rPr>
          <w:bCs/>
        </w:rPr>
        <w:t xml:space="preserve"> Aramayo dio cuenta de que la entrega de la c</w:t>
      </w:r>
      <w:r>
        <w:rPr>
          <w:bCs/>
        </w:rPr>
        <w:t>a</w:t>
      </w:r>
      <w:r>
        <w:rPr>
          <w:bCs/>
        </w:rPr>
        <w:t>mioneta fue una exigencia y nada dijo de una entrega pr</w:t>
      </w:r>
      <w:r>
        <w:rPr>
          <w:bCs/>
        </w:rPr>
        <w:t>e</w:t>
      </w:r>
      <w:r>
        <w:rPr>
          <w:bCs/>
        </w:rPr>
        <w:t>viamente acordada. Imputó ello a que se estaba armando t</w:t>
      </w:r>
      <w:r>
        <w:rPr>
          <w:bCs/>
        </w:rPr>
        <w:t>o</w:t>
      </w:r>
      <w:r>
        <w:rPr>
          <w:bCs/>
        </w:rPr>
        <w:t>do lo sucedido el 10 de julio como una exto</w:t>
      </w:r>
      <w:r>
        <w:rPr>
          <w:bCs/>
        </w:rPr>
        <w:t>r</w:t>
      </w:r>
      <w:r>
        <w:rPr>
          <w:bCs/>
        </w:rPr>
        <w:t>sión y es por ello, que a juicio de la defensa, se me</w:t>
      </w:r>
      <w:r>
        <w:rPr>
          <w:bCs/>
        </w:rPr>
        <w:t>n</w:t>
      </w:r>
      <w:r>
        <w:rPr>
          <w:bCs/>
        </w:rPr>
        <w:t xml:space="preserve">cionó la presencia de personal de </w:t>
      </w:r>
      <w:smartTag w:uri="urn:schemas-microsoft-com:office:smarttags" w:element="PersonName">
        <w:smartTagPr>
          <w:attr w:name="ProductID" w:val="la Comisar￭a"/>
        </w:smartTagPr>
        <w:r>
          <w:rPr>
            <w:bCs/>
          </w:rPr>
          <w:t>la Comisaría</w:t>
        </w:r>
      </w:smartTag>
      <w:r>
        <w:rPr>
          <w:bCs/>
        </w:rPr>
        <w:t xml:space="preserve"> de Concepción, y que uno de los oficiales intervinientes podría ser “El Turco”, el</w:t>
      </w:r>
      <w:r>
        <w:rPr>
          <w:bCs/>
        </w:rPr>
        <w:t>e</w:t>
      </w:r>
      <w:r>
        <w:rPr>
          <w:bCs/>
        </w:rPr>
        <w:t>mento que después desapareció de escena cuando éste pers</w:t>
      </w:r>
      <w:r>
        <w:rPr>
          <w:bCs/>
        </w:rPr>
        <w:t>o</w:t>
      </w:r>
      <w:r>
        <w:rPr>
          <w:bCs/>
        </w:rPr>
        <w:t>naje podría trata</w:t>
      </w:r>
      <w:r>
        <w:rPr>
          <w:bCs/>
        </w:rPr>
        <w:t>r</w:t>
      </w:r>
      <w:r>
        <w:rPr>
          <w:bCs/>
        </w:rPr>
        <w:t>se del mismo Alí.</w:t>
      </w:r>
    </w:p>
    <w:p w:rsidR="00224567" w:rsidRDefault="00224567">
      <w:pPr>
        <w:widowControl w:val="0"/>
        <w:tabs>
          <w:tab w:val="left" w:pos="2835"/>
        </w:tabs>
        <w:ind w:firstLine="708"/>
        <w:rPr>
          <w:bCs/>
        </w:rPr>
      </w:pPr>
      <w:r>
        <w:rPr>
          <w:bCs/>
        </w:rPr>
        <w:tab/>
        <w:t>Valoró la defensa de Ibarra que se trata de un grosero desencuentro con el sentido común, sostener que esto es un elemento válido de prueba, ya que esas constancias reflejan a una camarista que carecía de toda facultad investigativa, integrante del tribunal de alzada que convalidó las decisiones de Galeano, que i</w:t>
      </w:r>
      <w:r>
        <w:rPr>
          <w:bCs/>
        </w:rPr>
        <w:t>n</w:t>
      </w:r>
      <w:r>
        <w:rPr>
          <w:bCs/>
        </w:rPr>
        <w:t>creíblemente aportó un croquis falso, y a quien el juez no le tomó declar</w:t>
      </w:r>
      <w:r>
        <w:rPr>
          <w:bCs/>
        </w:rPr>
        <w:t>a</w:t>
      </w:r>
      <w:r>
        <w:rPr>
          <w:bCs/>
        </w:rPr>
        <w:t>ción.</w:t>
      </w:r>
    </w:p>
    <w:p w:rsidR="00224567" w:rsidRDefault="00224567">
      <w:pPr>
        <w:widowControl w:val="0"/>
        <w:tabs>
          <w:tab w:val="left" w:pos="2835"/>
        </w:tabs>
        <w:ind w:firstLine="708"/>
        <w:rPr>
          <w:bCs/>
        </w:rPr>
      </w:pPr>
      <w:r>
        <w:rPr>
          <w:bCs/>
        </w:rPr>
        <w:tab/>
        <w:t>Otros de los elementos analizados por el defensor, citados como prueba independiente por la ac</w:t>
      </w:r>
      <w:r>
        <w:rPr>
          <w:bCs/>
        </w:rPr>
        <w:t>u</w:t>
      </w:r>
      <w:r>
        <w:rPr>
          <w:bCs/>
        </w:rPr>
        <w:t>sación, son los artículos periodí</w:t>
      </w:r>
      <w:r>
        <w:rPr>
          <w:bCs/>
        </w:rPr>
        <w:t>s</w:t>
      </w:r>
      <w:r>
        <w:rPr>
          <w:bCs/>
        </w:rPr>
        <w:t xml:space="preserve">ticos, destacando que en </w:t>
      </w:r>
      <w:r>
        <w:rPr>
          <w:bCs/>
        </w:rPr>
        <w:lastRenderedPageBreak/>
        <w:t>varios casos la fuente ni siquiera era Telle</w:t>
      </w:r>
      <w:r>
        <w:rPr>
          <w:bCs/>
        </w:rPr>
        <w:t>l</w:t>
      </w:r>
      <w:r>
        <w:rPr>
          <w:bCs/>
        </w:rPr>
        <w:t>dín.</w:t>
      </w:r>
    </w:p>
    <w:p w:rsidR="00224567" w:rsidRDefault="00224567">
      <w:pPr>
        <w:widowControl w:val="0"/>
        <w:tabs>
          <w:tab w:val="left" w:pos="2835"/>
        </w:tabs>
        <w:ind w:firstLine="708"/>
        <w:rPr>
          <w:bCs/>
        </w:rPr>
      </w:pPr>
      <w:r>
        <w:rPr>
          <w:bCs/>
        </w:rPr>
        <w:tab/>
        <w:t>Destacó que los autores de esas notas contaban con información falsa que les iban acercando, pues de lo contrario no se entendía el tenor de muchas preguntas.</w:t>
      </w:r>
    </w:p>
    <w:p w:rsidR="00224567" w:rsidRDefault="00224567">
      <w:pPr>
        <w:widowControl w:val="0"/>
        <w:tabs>
          <w:tab w:val="left" w:pos="2835"/>
        </w:tabs>
        <w:ind w:firstLine="708"/>
        <w:rPr>
          <w:bCs/>
        </w:rPr>
      </w:pPr>
      <w:r>
        <w:rPr>
          <w:bCs/>
        </w:rPr>
        <w:tab/>
        <w:t>Sostuvo que se utilizó a la prensa p</w:t>
      </w:r>
      <w:r>
        <w:rPr>
          <w:bCs/>
        </w:rPr>
        <w:t>a</w:t>
      </w:r>
      <w:r>
        <w:rPr>
          <w:bCs/>
        </w:rPr>
        <w:t>ra ir instalando el tema, para presionar a Telleldín, y dejar la sensación de que la versión policial no ap</w:t>
      </w:r>
      <w:r>
        <w:rPr>
          <w:bCs/>
        </w:rPr>
        <w:t>a</w:t>
      </w:r>
      <w:r>
        <w:rPr>
          <w:bCs/>
        </w:rPr>
        <w:t>recía sólo sustentada en la declaración del único det</w:t>
      </w:r>
      <w:r>
        <w:rPr>
          <w:bCs/>
        </w:rPr>
        <w:t>e</w:t>
      </w:r>
      <w:r>
        <w:rPr>
          <w:bCs/>
        </w:rPr>
        <w:t>nido.</w:t>
      </w:r>
    </w:p>
    <w:p w:rsidR="00224567" w:rsidRDefault="00224567">
      <w:pPr>
        <w:widowControl w:val="0"/>
        <w:tabs>
          <w:tab w:val="left" w:pos="2835"/>
        </w:tabs>
        <w:ind w:firstLine="708"/>
        <w:rPr>
          <w:bCs/>
        </w:rPr>
      </w:pPr>
      <w:r>
        <w:rPr>
          <w:bCs/>
        </w:rPr>
        <w:tab/>
        <w:t>Remarcó que estas publicaciones come</w:t>
      </w:r>
      <w:r>
        <w:rPr>
          <w:bCs/>
        </w:rPr>
        <w:t>n</w:t>
      </w:r>
      <w:r>
        <w:rPr>
          <w:bCs/>
        </w:rPr>
        <w:t>zaron a apar</w:t>
      </w:r>
      <w:r>
        <w:rPr>
          <w:bCs/>
        </w:rPr>
        <w:t>e</w:t>
      </w:r>
      <w:r>
        <w:rPr>
          <w:bCs/>
        </w:rPr>
        <w:t>cer en la segunda mitad de año 1995, en forma simultánea con el manuscrito, y ya comenzadas las reuni</w:t>
      </w:r>
      <w:r>
        <w:rPr>
          <w:bCs/>
        </w:rPr>
        <w:t>o</w:t>
      </w:r>
      <w:r>
        <w:rPr>
          <w:bCs/>
        </w:rPr>
        <w:t>nes entre Beraja, Stinfale, Riva Aramayo y otros funcion</w:t>
      </w:r>
      <w:r>
        <w:rPr>
          <w:bCs/>
        </w:rPr>
        <w:t>a</w:t>
      </w:r>
      <w:r>
        <w:rPr>
          <w:bCs/>
        </w:rPr>
        <w:t>rios.</w:t>
      </w:r>
    </w:p>
    <w:p w:rsidR="00224567" w:rsidRDefault="00224567">
      <w:pPr>
        <w:widowControl w:val="0"/>
        <w:tabs>
          <w:tab w:val="left" w:pos="2835"/>
        </w:tabs>
        <w:ind w:firstLine="708"/>
        <w:rPr>
          <w:bCs/>
        </w:rPr>
      </w:pPr>
      <w:r>
        <w:rPr>
          <w:bCs/>
        </w:rPr>
        <w:tab/>
        <w:t>Hizo expresa indicación que en ning</w:t>
      </w:r>
      <w:r>
        <w:rPr>
          <w:bCs/>
        </w:rPr>
        <w:t>u</w:t>
      </w:r>
      <w:r>
        <w:rPr>
          <w:bCs/>
        </w:rPr>
        <w:t>na de estas publicaciones se mencionó el nombre de Ib</w:t>
      </w:r>
      <w:r>
        <w:rPr>
          <w:bCs/>
        </w:rPr>
        <w:t>a</w:t>
      </w:r>
      <w:r>
        <w:rPr>
          <w:bCs/>
        </w:rPr>
        <w:t xml:space="preserve">rra, ni se aludió a él de manera alguna, ni tampoco a </w:t>
      </w:r>
      <w:smartTag w:uri="urn:schemas-microsoft-com:office:smarttags" w:element="PersonName">
        <w:smartTagPr>
          <w:attr w:name="ProductID" w:val="la Brigada"/>
        </w:smartTagPr>
        <w:r>
          <w:rPr>
            <w:bCs/>
          </w:rPr>
          <w:t>la Brigada</w:t>
        </w:r>
      </w:smartTag>
      <w:r>
        <w:rPr>
          <w:bCs/>
        </w:rPr>
        <w:t xml:space="preserve"> de Lanús.</w:t>
      </w:r>
    </w:p>
    <w:p w:rsidR="00224567" w:rsidRDefault="00224567">
      <w:pPr>
        <w:widowControl w:val="0"/>
        <w:tabs>
          <w:tab w:val="left" w:pos="2835"/>
        </w:tabs>
        <w:ind w:firstLine="708"/>
        <w:rPr>
          <w:bCs/>
        </w:rPr>
      </w:pPr>
      <w:r>
        <w:rPr>
          <w:bCs/>
        </w:rPr>
        <w:tab/>
        <w:t xml:space="preserve">Observó que, en la nota publicada en el diario “Página </w:t>
      </w:r>
      <w:smartTag w:uri="urn:schemas-microsoft-com:office:smarttags" w:element="metricconverter">
        <w:smartTagPr>
          <w:attr w:name="ProductID" w:val="12”"/>
        </w:smartTagPr>
        <w:r>
          <w:rPr>
            <w:bCs/>
          </w:rPr>
          <w:t>12”</w:t>
        </w:r>
      </w:smartTag>
      <w:r>
        <w:rPr>
          <w:bCs/>
        </w:rPr>
        <w:t xml:space="preserve"> del 16 de julio de 1995, Telleldín </w:t>
      </w:r>
      <w:r>
        <w:rPr>
          <w:bCs/>
        </w:rPr>
        <w:lastRenderedPageBreak/>
        <w:t xml:space="preserve">dijo que de haber entregado </w:t>
      </w:r>
      <w:smartTag w:uri="urn:schemas-microsoft-com:office:smarttags" w:element="PersonName">
        <w:smartTagPr>
          <w:attr w:name="ProductID" w:val="la Trafic"/>
        </w:smartTagPr>
        <w:r>
          <w:rPr>
            <w:bCs/>
          </w:rPr>
          <w:t>la Trafic</w:t>
        </w:r>
      </w:smartTag>
      <w:r>
        <w:rPr>
          <w:bCs/>
        </w:rPr>
        <w:t xml:space="preserve"> a los polic</w:t>
      </w:r>
      <w:r>
        <w:rPr>
          <w:bCs/>
        </w:rPr>
        <w:t>í</w:t>
      </w:r>
      <w:r>
        <w:rPr>
          <w:bCs/>
        </w:rPr>
        <w:t>as ya lo hubiera declar</w:t>
      </w:r>
      <w:r>
        <w:rPr>
          <w:bCs/>
        </w:rPr>
        <w:t>a</w:t>
      </w:r>
      <w:r>
        <w:rPr>
          <w:bCs/>
        </w:rPr>
        <w:t>do, y que no era cierto que haya entregado la camioneta a oficiales de la bonaere</w:t>
      </w:r>
      <w:r>
        <w:rPr>
          <w:bCs/>
        </w:rPr>
        <w:t>n</w:t>
      </w:r>
      <w:r>
        <w:rPr>
          <w:bCs/>
        </w:rPr>
        <w:t>se.</w:t>
      </w:r>
    </w:p>
    <w:p w:rsidR="00224567" w:rsidRDefault="00224567">
      <w:pPr>
        <w:widowControl w:val="0"/>
        <w:tabs>
          <w:tab w:val="left" w:pos="2835"/>
        </w:tabs>
        <w:ind w:firstLine="708"/>
        <w:rPr>
          <w:bCs/>
        </w:rPr>
      </w:pPr>
      <w:r>
        <w:rPr>
          <w:bCs/>
        </w:rPr>
        <w:tab/>
        <w:t>La defensa manifestó que la asever</w:t>
      </w:r>
      <w:r>
        <w:rPr>
          <w:bCs/>
        </w:rPr>
        <w:t>a</w:t>
      </w:r>
      <w:r>
        <w:rPr>
          <w:bCs/>
        </w:rPr>
        <w:t>ción de la fiscalía y de la querella unificada sobre que Telleldín mandaba mensajes que involucraban a policías a través de la prensa, no es cierta, ya que existe sólo un reportaje que es tota</w:t>
      </w:r>
      <w:r>
        <w:rPr>
          <w:bCs/>
        </w:rPr>
        <w:t>l</w:t>
      </w:r>
      <w:r>
        <w:rPr>
          <w:bCs/>
        </w:rPr>
        <w:t>mente desincriminante.</w:t>
      </w:r>
    </w:p>
    <w:p w:rsidR="00224567" w:rsidRDefault="00224567">
      <w:pPr>
        <w:widowControl w:val="0"/>
        <w:tabs>
          <w:tab w:val="left" w:pos="2835"/>
        </w:tabs>
        <w:ind w:firstLine="708"/>
        <w:rPr>
          <w:bCs/>
        </w:rPr>
      </w:pPr>
      <w:r>
        <w:rPr>
          <w:bCs/>
        </w:rPr>
        <w:tab/>
        <w:t>Por otro lado, consideró un absurdo trasladar el debate judicial a la prensa ya que debería tenerse en cuenta la infinidad de veces que Telleldín e</w:t>
      </w:r>
      <w:r>
        <w:rPr>
          <w:bCs/>
        </w:rPr>
        <w:t>x</w:t>
      </w:r>
      <w:r>
        <w:rPr>
          <w:bCs/>
        </w:rPr>
        <w:t>presó en los medios de comunicación que la declar</w:t>
      </w:r>
      <w:r>
        <w:rPr>
          <w:bCs/>
        </w:rPr>
        <w:t>a</w:t>
      </w:r>
      <w:r>
        <w:rPr>
          <w:bCs/>
        </w:rPr>
        <w:t>ción fue armada en el juzgado y que allí se le indicó a quienes d</w:t>
      </w:r>
      <w:r>
        <w:rPr>
          <w:bCs/>
        </w:rPr>
        <w:t>e</w:t>
      </w:r>
      <w:r>
        <w:rPr>
          <w:bCs/>
        </w:rPr>
        <w:t>bían señalar; que todos los testigos tenían la orden de señalar la foto nº 6 correspondiente a Ibarra; y que, en definitiva, lo de la entrega era falso y sólo se prestó a afi</w:t>
      </w:r>
      <w:r>
        <w:rPr>
          <w:bCs/>
        </w:rPr>
        <w:t>r</w:t>
      </w:r>
      <w:r>
        <w:rPr>
          <w:bCs/>
        </w:rPr>
        <w:t>marlo porque le habían asegurado su libertad.</w:t>
      </w:r>
    </w:p>
    <w:p w:rsidR="00224567" w:rsidRDefault="00224567">
      <w:pPr>
        <w:widowControl w:val="0"/>
        <w:tabs>
          <w:tab w:val="left" w:pos="2835"/>
        </w:tabs>
        <w:ind w:firstLine="708"/>
        <w:rPr>
          <w:bCs/>
        </w:rPr>
      </w:pPr>
      <w:r>
        <w:rPr>
          <w:bCs/>
        </w:rPr>
        <w:tab/>
        <w:t>En prueba de ello, la defensa c</w:t>
      </w:r>
      <w:r>
        <w:rPr>
          <w:bCs/>
        </w:rPr>
        <w:t>i</w:t>
      </w:r>
      <w:r>
        <w:rPr>
          <w:bCs/>
        </w:rPr>
        <w:t xml:space="preserve">tó la nota de “Página </w:t>
      </w:r>
      <w:smartTag w:uri="urn:schemas-microsoft-com:office:smarttags" w:element="metricconverter">
        <w:smartTagPr>
          <w:attr w:name="ProductID" w:val="12”"/>
        </w:smartTagPr>
        <w:r>
          <w:rPr>
            <w:bCs/>
          </w:rPr>
          <w:t>12”</w:t>
        </w:r>
      </w:smartTag>
      <w:r>
        <w:rPr>
          <w:bCs/>
        </w:rPr>
        <w:t xml:space="preserve"> del 10 de noviembre de 1998; la entr</w:t>
      </w:r>
      <w:r>
        <w:rPr>
          <w:bCs/>
        </w:rPr>
        <w:t>e</w:t>
      </w:r>
      <w:r>
        <w:rPr>
          <w:bCs/>
        </w:rPr>
        <w:t>vista con Luis Majul del 16 de mayo de 2000; la e</w:t>
      </w:r>
      <w:r>
        <w:rPr>
          <w:bCs/>
        </w:rPr>
        <w:t>n</w:t>
      </w:r>
      <w:r>
        <w:rPr>
          <w:bCs/>
        </w:rPr>
        <w:t>trevista con el peri</w:t>
      </w:r>
      <w:r>
        <w:rPr>
          <w:bCs/>
        </w:rPr>
        <w:t>o</w:t>
      </w:r>
      <w:r>
        <w:rPr>
          <w:bCs/>
        </w:rPr>
        <w:t xml:space="preserve">dista Román Lejtman del 22 de agosto de 2000; </w:t>
      </w:r>
      <w:r>
        <w:rPr>
          <w:bCs/>
        </w:rPr>
        <w:lastRenderedPageBreak/>
        <w:t>la entrevista concedida al programa de televisión “Punto Doc” del 24 de marzo de 2000, donde además Telleldín afi</w:t>
      </w:r>
      <w:r>
        <w:rPr>
          <w:bCs/>
        </w:rPr>
        <w:t>r</w:t>
      </w:r>
      <w:r>
        <w:rPr>
          <w:bCs/>
        </w:rPr>
        <w:t>mó que si los testigos no reconocían la foto nº 6, p</w:t>
      </w:r>
      <w:r>
        <w:rPr>
          <w:bCs/>
        </w:rPr>
        <w:t>a</w:t>
      </w:r>
      <w:r>
        <w:rPr>
          <w:bCs/>
        </w:rPr>
        <w:t>saban a ser imputados, deten</w:t>
      </w:r>
      <w:r>
        <w:rPr>
          <w:bCs/>
        </w:rPr>
        <w:t>i</w:t>
      </w:r>
      <w:r>
        <w:rPr>
          <w:bCs/>
        </w:rPr>
        <w:t>dos, y que fue el propio juez quien le dijo a quien tenía que reconocer. También mencionó la entrevista concedida en el programa “El exprim</w:t>
      </w:r>
      <w:r>
        <w:rPr>
          <w:bCs/>
        </w:rPr>
        <w:t>i</w:t>
      </w:r>
      <w:r>
        <w:rPr>
          <w:bCs/>
        </w:rPr>
        <w:t>dor” del 24 de se</w:t>
      </w:r>
      <w:r>
        <w:rPr>
          <w:bCs/>
        </w:rPr>
        <w:t>p</w:t>
      </w:r>
      <w:r>
        <w:rPr>
          <w:bCs/>
        </w:rPr>
        <w:t>tiembre de 2003.</w:t>
      </w:r>
    </w:p>
    <w:p w:rsidR="00224567" w:rsidRDefault="00224567">
      <w:pPr>
        <w:widowControl w:val="0"/>
        <w:tabs>
          <w:tab w:val="left" w:pos="2835"/>
        </w:tabs>
        <w:ind w:firstLine="708"/>
        <w:rPr>
          <w:bCs/>
        </w:rPr>
      </w:pPr>
      <w:r>
        <w:rPr>
          <w:bCs/>
        </w:rPr>
        <w:tab/>
        <w:t>La defensa de Ibarra puso de resalto que las declaraciones de Telleldín en los medios periodí</w:t>
      </w:r>
      <w:r>
        <w:rPr>
          <w:bCs/>
        </w:rPr>
        <w:t>s</w:t>
      </w:r>
      <w:r>
        <w:rPr>
          <w:bCs/>
        </w:rPr>
        <w:t>ticos no prestan ningún auxilio a la hipótesis fi</w:t>
      </w:r>
      <w:r>
        <w:rPr>
          <w:bCs/>
        </w:rPr>
        <w:t>s</w:t>
      </w:r>
      <w:r>
        <w:rPr>
          <w:bCs/>
        </w:rPr>
        <w:t>cal.</w:t>
      </w:r>
    </w:p>
    <w:p w:rsidR="00224567" w:rsidRDefault="00224567">
      <w:pPr>
        <w:widowControl w:val="0"/>
        <w:tabs>
          <w:tab w:val="left" w:pos="2835"/>
        </w:tabs>
        <w:ind w:firstLine="708"/>
        <w:rPr>
          <w:bCs/>
        </w:rPr>
      </w:pPr>
      <w:r>
        <w:rPr>
          <w:bCs/>
        </w:rPr>
        <w:tab/>
        <w:t>Por último, recordó que la fiscalía hizo mérito de un reportaje que Telleldín había conc</w:t>
      </w:r>
      <w:r>
        <w:rPr>
          <w:bCs/>
        </w:rPr>
        <w:t>e</w:t>
      </w:r>
      <w:r>
        <w:rPr>
          <w:bCs/>
        </w:rPr>
        <w:t>dido a un periodista del diario Clarín, el 18 de febrero de 2002, donde ante la pregunta sobre si ratificaba que los policías de Ribelli se habían llevado la camioneta, co</w:t>
      </w:r>
      <w:r>
        <w:rPr>
          <w:bCs/>
        </w:rPr>
        <w:t>n</w:t>
      </w:r>
      <w:r>
        <w:rPr>
          <w:bCs/>
        </w:rPr>
        <w:t>testó “pero si...”, sosteniendo además que de la lectura del resto de la nota, surgía claro que Telleldín desvinc</w:t>
      </w:r>
      <w:r>
        <w:rPr>
          <w:bCs/>
        </w:rPr>
        <w:t>u</w:t>
      </w:r>
      <w:r>
        <w:rPr>
          <w:bCs/>
        </w:rPr>
        <w:t>la a la policía del atentado y los involucraba en otros hechos.</w:t>
      </w:r>
    </w:p>
    <w:p w:rsidR="00224567" w:rsidRDefault="00224567">
      <w:pPr>
        <w:widowControl w:val="0"/>
        <w:tabs>
          <w:tab w:val="left" w:pos="2835"/>
        </w:tabs>
        <w:ind w:firstLine="708"/>
        <w:rPr>
          <w:bCs/>
        </w:rPr>
      </w:pPr>
      <w:r>
        <w:rPr>
          <w:bCs/>
        </w:rPr>
        <w:tab/>
        <w:t>Mencionó también que el periodista G</w:t>
      </w:r>
      <w:r>
        <w:rPr>
          <w:bCs/>
        </w:rPr>
        <w:t>e</w:t>
      </w:r>
      <w:r>
        <w:rPr>
          <w:bCs/>
        </w:rPr>
        <w:lastRenderedPageBreak/>
        <w:t>rardo Young, citado específicamente por el fi</w:t>
      </w:r>
      <w:r>
        <w:rPr>
          <w:bCs/>
        </w:rPr>
        <w:t>s</w:t>
      </w:r>
      <w:r>
        <w:rPr>
          <w:bCs/>
        </w:rPr>
        <w:t>cal, declaró en la audiencia que recordaba la entr</w:t>
      </w:r>
      <w:r>
        <w:rPr>
          <w:bCs/>
        </w:rPr>
        <w:t>e</w:t>
      </w:r>
      <w:r>
        <w:rPr>
          <w:bCs/>
        </w:rPr>
        <w:t>vista y la pregunta pero no la respuesta y que sobre la entrega de la camion</w:t>
      </w:r>
      <w:r>
        <w:rPr>
          <w:bCs/>
        </w:rPr>
        <w:t>e</w:t>
      </w:r>
      <w:r>
        <w:rPr>
          <w:bCs/>
        </w:rPr>
        <w:t>ta en particular Telleldín no había quer</w:t>
      </w:r>
      <w:r>
        <w:rPr>
          <w:bCs/>
        </w:rPr>
        <w:t>i</w:t>
      </w:r>
      <w:r>
        <w:rPr>
          <w:bCs/>
        </w:rPr>
        <w:t>do hablar.</w:t>
      </w:r>
    </w:p>
    <w:p w:rsidR="00224567" w:rsidRDefault="00224567">
      <w:pPr>
        <w:widowControl w:val="0"/>
        <w:tabs>
          <w:tab w:val="left" w:pos="2835"/>
        </w:tabs>
        <w:ind w:firstLine="708"/>
        <w:rPr>
          <w:bCs/>
        </w:rPr>
      </w:pPr>
      <w:r>
        <w:rPr>
          <w:bCs/>
        </w:rPr>
        <w:tab/>
        <w:t xml:space="preserve">Respecto del video que documenta la entrevista entre el abogado Mariano Cúneo Libarona y el entonces agente de </w:t>
      </w:r>
      <w:smartTag w:uri="urn:schemas-microsoft-com:office:smarttags" w:element="PersonName">
        <w:smartTagPr>
          <w:attr w:name="ProductID" w:val="la S.I"/>
        </w:smartTagPr>
        <w:r>
          <w:rPr>
            <w:bCs/>
          </w:rPr>
          <w:t>la S.I</w:t>
        </w:r>
      </w:smartTag>
      <w:r>
        <w:rPr>
          <w:bCs/>
        </w:rPr>
        <w:t>.D.E., Alejandro Brousson, en presencia del periodista Pasquini, so</w:t>
      </w:r>
      <w:r>
        <w:rPr>
          <w:bCs/>
        </w:rPr>
        <w:t>s</w:t>
      </w:r>
      <w:r>
        <w:rPr>
          <w:bCs/>
        </w:rPr>
        <w:t>tuvo la defensa que las preguntas que formularon los representantes de la qu</w:t>
      </w:r>
      <w:r>
        <w:rPr>
          <w:bCs/>
        </w:rPr>
        <w:t>e</w:t>
      </w:r>
      <w:r>
        <w:rPr>
          <w:bCs/>
        </w:rPr>
        <w:t>rella unificada a este último, dieron la pauta de que no sólo conocían la existencia de esta reunión, sino que ad</w:t>
      </w:r>
      <w:r>
        <w:rPr>
          <w:bCs/>
        </w:rPr>
        <w:t>e</w:t>
      </w:r>
      <w:r>
        <w:rPr>
          <w:bCs/>
        </w:rPr>
        <w:t>más sabían que la misma había sido grabada mucho antes de que el juez encontrara la videocinta en el cajón de su e</w:t>
      </w:r>
      <w:r>
        <w:rPr>
          <w:bCs/>
        </w:rPr>
        <w:t>s</w:t>
      </w:r>
      <w:r>
        <w:rPr>
          <w:bCs/>
        </w:rPr>
        <w:t>critorio.</w:t>
      </w:r>
    </w:p>
    <w:p w:rsidR="00224567" w:rsidRDefault="00224567">
      <w:pPr>
        <w:widowControl w:val="0"/>
        <w:tabs>
          <w:tab w:val="left" w:pos="2835"/>
        </w:tabs>
        <w:ind w:firstLine="708"/>
        <w:rPr>
          <w:bCs/>
        </w:rPr>
      </w:pPr>
      <w:r>
        <w:rPr>
          <w:bCs/>
        </w:rPr>
        <w:tab/>
        <w:t>Evaluó también que el magistrado e</w:t>
      </w:r>
      <w:r>
        <w:rPr>
          <w:bCs/>
        </w:rPr>
        <w:t>n</w:t>
      </w:r>
      <w:r>
        <w:rPr>
          <w:bCs/>
        </w:rPr>
        <w:t>vió a este tribunal videocintas luego de haber dicho “una y mil veces” que ya no contaba con ellas, años después de haberlas filmado, y con la explicación de haberla enco</w:t>
      </w:r>
      <w:r>
        <w:rPr>
          <w:bCs/>
        </w:rPr>
        <w:t>n</w:t>
      </w:r>
      <w:r>
        <w:rPr>
          <w:bCs/>
        </w:rPr>
        <w:t>trado traspapelada en su escr</w:t>
      </w:r>
      <w:r>
        <w:rPr>
          <w:bCs/>
        </w:rPr>
        <w:t>i</w:t>
      </w:r>
      <w:r>
        <w:rPr>
          <w:bCs/>
        </w:rPr>
        <w:t>torio.</w:t>
      </w:r>
    </w:p>
    <w:p w:rsidR="00224567" w:rsidRDefault="00224567">
      <w:pPr>
        <w:widowControl w:val="0"/>
        <w:tabs>
          <w:tab w:val="left" w:pos="2835"/>
        </w:tabs>
        <w:ind w:firstLine="708"/>
        <w:rPr>
          <w:bCs/>
        </w:rPr>
      </w:pPr>
      <w:r>
        <w:rPr>
          <w:bCs/>
        </w:rPr>
        <w:tab/>
        <w:t>Dijo el defensor no encontrar pal</w:t>
      </w:r>
      <w:r>
        <w:rPr>
          <w:bCs/>
        </w:rPr>
        <w:t>a</w:t>
      </w:r>
      <w:r>
        <w:rPr>
          <w:bCs/>
        </w:rPr>
        <w:t>bras para descr</w:t>
      </w:r>
      <w:r>
        <w:rPr>
          <w:bCs/>
        </w:rPr>
        <w:t>i</w:t>
      </w:r>
      <w:r>
        <w:rPr>
          <w:bCs/>
        </w:rPr>
        <w:t xml:space="preserve">bir la suspicacia que despierta que, tanto este </w:t>
      </w:r>
      <w:r>
        <w:rPr>
          <w:bCs/>
        </w:rPr>
        <w:lastRenderedPageBreak/>
        <w:t>video como el manuscrito, hayan aparecido por arte de m</w:t>
      </w:r>
      <w:r>
        <w:rPr>
          <w:bCs/>
        </w:rPr>
        <w:t>a</w:t>
      </w:r>
      <w:r>
        <w:rPr>
          <w:bCs/>
        </w:rPr>
        <w:t>gia cuando se probó el pago en la parte final de la a</w:t>
      </w:r>
      <w:r>
        <w:rPr>
          <w:bCs/>
        </w:rPr>
        <w:t>u</w:t>
      </w:r>
      <w:r>
        <w:rPr>
          <w:bCs/>
        </w:rPr>
        <w:t>diencia, vinculando dicha circunstancia con lo que antes descr</w:t>
      </w:r>
      <w:r>
        <w:rPr>
          <w:bCs/>
        </w:rPr>
        <w:t>i</w:t>
      </w:r>
      <w:r>
        <w:rPr>
          <w:bCs/>
        </w:rPr>
        <w:t>biera como “plan B”.</w:t>
      </w:r>
    </w:p>
    <w:p w:rsidR="00224567" w:rsidRDefault="00224567">
      <w:pPr>
        <w:widowControl w:val="0"/>
        <w:tabs>
          <w:tab w:val="left" w:pos="2835"/>
        </w:tabs>
        <w:ind w:firstLine="708"/>
        <w:rPr>
          <w:bCs/>
        </w:rPr>
      </w:pPr>
      <w:r>
        <w:rPr>
          <w:bCs/>
        </w:rPr>
        <w:tab/>
        <w:t>Dicha conducta, a criterio de la d</w:t>
      </w:r>
      <w:r>
        <w:rPr>
          <w:bCs/>
        </w:rPr>
        <w:t>e</w:t>
      </w:r>
      <w:r>
        <w:rPr>
          <w:bCs/>
        </w:rPr>
        <w:t>fensa, desmerece aún más al juez, ya suficientemente cue</w:t>
      </w:r>
      <w:r>
        <w:rPr>
          <w:bCs/>
        </w:rPr>
        <w:t>s</w:t>
      </w:r>
      <w:r>
        <w:rPr>
          <w:bCs/>
        </w:rPr>
        <w:t>tionado, como para aportar un video filmado en forma cla</w:t>
      </w:r>
      <w:r>
        <w:rPr>
          <w:bCs/>
        </w:rPr>
        <w:t>n</w:t>
      </w:r>
      <w:r>
        <w:rPr>
          <w:bCs/>
        </w:rPr>
        <w:t xml:space="preserve">destina, entre el ex-abogado de una de las partes y un agente de </w:t>
      </w:r>
      <w:smartTag w:uri="urn:schemas-microsoft-com:office:smarttags" w:element="PersonName">
        <w:smartTagPr>
          <w:attr w:name="ProductID" w:val="la S.I"/>
        </w:smartTagPr>
        <w:r>
          <w:rPr>
            <w:bCs/>
          </w:rPr>
          <w:t>la S.I</w:t>
        </w:r>
      </w:smartTag>
      <w:r>
        <w:rPr>
          <w:bCs/>
        </w:rPr>
        <w:t>.D.E..</w:t>
      </w:r>
    </w:p>
    <w:p w:rsidR="00224567" w:rsidRDefault="00224567">
      <w:pPr>
        <w:widowControl w:val="0"/>
        <w:tabs>
          <w:tab w:val="left" w:pos="2835"/>
        </w:tabs>
        <w:ind w:firstLine="708"/>
        <w:rPr>
          <w:bCs/>
        </w:rPr>
      </w:pPr>
      <w:r>
        <w:rPr>
          <w:bCs/>
        </w:rPr>
        <w:tab/>
        <w:t>Aseguró el letrado que resulta parad</w:t>
      </w:r>
      <w:r>
        <w:rPr>
          <w:bCs/>
        </w:rPr>
        <w:t>ó</w:t>
      </w:r>
      <w:r>
        <w:rPr>
          <w:bCs/>
        </w:rPr>
        <w:t>jico observar, como Brousson, que recibió los $ 400.000 de manos de Finnen para lograr que Telleldín impute falsame</w:t>
      </w:r>
      <w:r>
        <w:rPr>
          <w:bCs/>
        </w:rPr>
        <w:t>n</w:t>
      </w:r>
      <w:r>
        <w:rPr>
          <w:bCs/>
        </w:rPr>
        <w:t>te a Ibarra y al resto de los policías, se haga el dese</w:t>
      </w:r>
      <w:r>
        <w:rPr>
          <w:bCs/>
        </w:rPr>
        <w:t>n</w:t>
      </w:r>
      <w:r>
        <w:rPr>
          <w:bCs/>
        </w:rPr>
        <w:t>tendido, pretendiendo sonsacarle a un abogado que le pr</w:t>
      </w:r>
      <w:r>
        <w:rPr>
          <w:bCs/>
        </w:rPr>
        <w:t>o</w:t>
      </w:r>
      <w:r>
        <w:rPr>
          <w:bCs/>
        </w:rPr>
        <w:t>ponía investigar como una hipótesis si había una vincul</w:t>
      </w:r>
      <w:r>
        <w:rPr>
          <w:bCs/>
        </w:rPr>
        <w:t>a</w:t>
      </w:r>
      <w:r>
        <w:rPr>
          <w:bCs/>
        </w:rPr>
        <w:t>ción entre Telle</w:t>
      </w:r>
      <w:r>
        <w:rPr>
          <w:bCs/>
        </w:rPr>
        <w:t>l</w:t>
      </w:r>
      <w:r>
        <w:rPr>
          <w:bCs/>
        </w:rPr>
        <w:t>dín y Alí.</w:t>
      </w:r>
    </w:p>
    <w:p w:rsidR="00224567" w:rsidRDefault="00224567">
      <w:pPr>
        <w:widowControl w:val="0"/>
        <w:tabs>
          <w:tab w:val="left" w:pos="2835"/>
        </w:tabs>
        <w:ind w:firstLine="708"/>
        <w:rPr>
          <w:bCs/>
        </w:rPr>
      </w:pPr>
      <w:r>
        <w:rPr>
          <w:bCs/>
        </w:rPr>
        <w:tab/>
        <w:t>Sostuvo que es palmario el desconoc</w:t>
      </w:r>
      <w:r>
        <w:rPr>
          <w:bCs/>
        </w:rPr>
        <w:t>i</w:t>
      </w:r>
      <w:r>
        <w:rPr>
          <w:bCs/>
        </w:rPr>
        <w:t>miento que tienen de la causa los interlocutores como el caso de Cúneo, situación que resulta razonable ya que no había aceptado el cargo, no había tenido acceso al exp</w:t>
      </w:r>
      <w:r>
        <w:rPr>
          <w:bCs/>
        </w:rPr>
        <w:t>e</w:t>
      </w:r>
      <w:r>
        <w:rPr>
          <w:bCs/>
        </w:rPr>
        <w:lastRenderedPageBreak/>
        <w:t>diente y, tal como el letrado lo r</w:t>
      </w:r>
      <w:r>
        <w:rPr>
          <w:bCs/>
        </w:rPr>
        <w:t>e</w:t>
      </w:r>
      <w:r>
        <w:rPr>
          <w:bCs/>
        </w:rPr>
        <w:t>lató en el juicio, sólo había leído el auto de proces</w:t>
      </w:r>
      <w:r>
        <w:rPr>
          <w:bCs/>
        </w:rPr>
        <w:t>a</w:t>
      </w:r>
      <w:r>
        <w:rPr>
          <w:bCs/>
        </w:rPr>
        <w:t>miento.</w:t>
      </w:r>
    </w:p>
    <w:p w:rsidR="00224567" w:rsidRDefault="00224567">
      <w:pPr>
        <w:widowControl w:val="0"/>
        <w:tabs>
          <w:tab w:val="left" w:pos="2835"/>
        </w:tabs>
        <w:ind w:firstLine="708"/>
        <w:rPr>
          <w:bCs/>
        </w:rPr>
      </w:pPr>
      <w:r>
        <w:rPr>
          <w:bCs/>
        </w:rPr>
        <w:tab/>
        <w:t>Agregó la defensa que en la entrevi</w:t>
      </w:r>
      <w:r>
        <w:rPr>
          <w:bCs/>
        </w:rPr>
        <w:t>s</w:t>
      </w:r>
      <w:r>
        <w:rPr>
          <w:bCs/>
        </w:rPr>
        <w:t>ta no se propuso nada turbio y se escucharon frases de Cúneo tales como “Te lo planteo, vos investigalo, fijate, inve</w:t>
      </w:r>
      <w:r>
        <w:rPr>
          <w:bCs/>
        </w:rPr>
        <w:t>s</w:t>
      </w:r>
      <w:r>
        <w:rPr>
          <w:bCs/>
        </w:rPr>
        <w:t>tigalo”, ocupándose de acl</w:t>
      </w:r>
      <w:r>
        <w:rPr>
          <w:bCs/>
        </w:rPr>
        <w:t>a</w:t>
      </w:r>
      <w:r>
        <w:rPr>
          <w:bCs/>
        </w:rPr>
        <w:t>rar que no quería “embarrar la cancha” ni “mediat</w:t>
      </w:r>
      <w:r>
        <w:rPr>
          <w:bCs/>
        </w:rPr>
        <w:t>i</w:t>
      </w:r>
      <w:r>
        <w:rPr>
          <w:bCs/>
        </w:rPr>
        <w:t>zarla”.</w:t>
      </w:r>
    </w:p>
    <w:p w:rsidR="00224567" w:rsidRDefault="00224567">
      <w:pPr>
        <w:widowControl w:val="0"/>
        <w:tabs>
          <w:tab w:val="left" w:pos="2835"/>
        </w:tabs>
        <w:ind w:firstLine="708"/>
        <w:rPr>
          <w:bCs/>
        </w:rPr>
      </w:pPr>
      <w:r>
        <w:rPr>
          <w:bCs/>
        </w:rPr>
        <w:tab/>
        <w:t>La defensa concluyó que se trat</w:t>
      </w:r>
      <w:r>
        <w:rPr>
          <w:bCs/>
        </w:rPr>
        <w:t>a</w:t>
      </w:r>
      <w:r>
        <w:rPr>
          <w:bCs/>
        </w:rPr>
        <w:t>ba de otra prueba ilegal, de imposible utilización en apoyo de la acusación, y menos aún por los representantes del Est</w:t>
      </w:r>
      <w:r>
        <w:rPr>
          <w:bCs/>
        </w:rPr>
        <w:t>a</w:t>
      </w:r>
      <w:r>
        <w:rPr>
          <w:bCs/>
        </w:rPr>
        <w:t>do quienes deben velar por la l</w:t>
      </w:r>
      <w:r>
        <w:rPr>
          <w:bCs/>
        </w:rPr>
        <w:t>e</w:t>
      </w:r>
      <w:r>
        <w:rPr>
          <w:bCs/>
        </w:rPr>
        <w:t>galidad.</w:t>
      </w:r>
    </w:p>
    <w:p w:rsidR="00224567" w:rsidRDefault="00224567">
      <w:pPr>
        <w:widowControl w:val="0"/>
        <w:tabs>
          <w:tab w:val="left" w:pos="2835"/>
        </w:tabs>
        <w:ind w:firstLine="708"/>
        <w:rPr>
          <w:bCs/>
        </w:rPr>
      </w:pPr>
      <w:r>
        <w:rPr>
          <w:bCs/>
        </w:rPr>
        <w:tab/>
        <w:t>Sostuvo el abogado defensor que, co</w:t>
      </w:r>
      <w:r>
        <w:rPr>
          <w:bCs/>
        </w:rPr>
        <w:t>n</w:t>
      </w:r>
      <w:r>
        <w:rPr>
          <w:bCs/>
        </w:rPr>
        <w:t>cediendo que se encuentra probado lo que hasta ese m</w:t>
      </w:r>
      <w:r>
        <w:rPr>
          <w:bCs/>
        </w:rPr>
        <w:t>o</w:t>
      </w:r>
      <w:r>
        <w:rPr>
          <w:bCs/>
        </w:rPr>
        <w:t>mento negó, y aunque se diera por cierto todo ello, no hay forma de relacionar a los policías con el atentado.</w:t>
      </w:r>
    </w:p>
    <w:p w:rsidR="00224567" w:rsidRDefault="00224567">
      <w:pPr>
        <w:widowControl w:val="0"/>
        <w:tabs>
          <w:tab w:val="left" w:pos="2835"/>
        </w:tabs>
        <w:ind w:firstLine="708"/>
        <w:rPr>
          <w:bCs/>
        </w:rPr>
      </w:pPr>
      <w:r>
        <w:rPr>
          <w:bCs/>
        </w:rPr>
        <w:tab/>
        <w:t>Consideró es cierto que al taller de Cotoras fue llevado el vehículo siniestrado de “Messin S.R.L.”, donde hubo un allanamiento y se encontraron pi</w:t>
      </w:r>
      <w:r>
        <w:rPr>
          <w:bCs/>
        </w:rPr>
        <w:t>e</w:t>
      </w:r>
      <w:r>
        <w:rPr>
          <w:bCs/>
        </w:rPr>
        <w:t>zas de la camioneta quemada, incluida la chapa patente. Resaltó que está en duda, a su criterio, cual fue el de</w:t>
      </w:r>
      <w:r>
        <w:rPr>
          <w:bCs/>
        </w:rPr>
        <w:t>s</w:t>
      </w:r>
      <w:r>
        <w:rPr>
          <w:bCs/>
        </w:rPr>
        <w:t>tino del motor, tal como lo reconocieron los propios fi</w:t>
      </w:r>
      <w:r>
        <w:rPr>
          <w:bCs/>
        </w:rPr>
        <w:t>s</w:t>
      </w:r>
      <w:r>
        <w:rPr>
          <w:bCs/>
        </w:rPr>
        <w:lastRenderedPageBreak/>
        <w:t>cales y las querellas, como así también el destino de la carroc</w:t>
      </w:r>
      <w:r>
        <w:rPr>
          <w:bCs/>
        </w:rPr>
        <w:t>e</w:t>
      </w:r>
      <w:r>
        <w:rPr>
          <w:bCs/>
        </w:rPr>
        <w:t>ría</w:t>
      </w:r>
    </w:p>
    <w:p w:rsidR="00224567" w:rsidRDefault="00224567">
      <w:pPr>
        <w:widowControl w:val="0"/>
        <w:tabs>
          <w:tab w:val="left" w:pos="2835"/>
        </w:tabs>
        <w:ind w:firstLine="708"/>
        <w:rPr>
          <w:bCs/>
        </w:rPr>
      </w:pPr>
      <w:r>
        <w:rPr>
          <w:bCs/>
        </w:rPr>
        <w:tab/>
        <w:t>Refirió que en el taller de Nit</w:t>
      </w:r>
      <w:r>
        <w:rPr>
          <w:bCs/>
        </w:rPr>
        <w:t>z</w:t>
      </w:r>
      <w:r>
        <w:rPr>
          <w:bCs/>
        </w:rPr>
        <w:t>caner se armó una camioneta con la carrocería del vehículo rob</w:t>
      </w:r>
      <w:r>
        <w:rPr>
          <w:bCs/>
        </w:rPr>
        <w:t>a</w:t>
      </w:r>
      <w:r>
        <w:rPr>
          <w:bCs/>
        </w:rPr>
        <w:t>do a Sarapura y con un motor distinto al quemado de “Me</w:t>
      </w:r>
      <w:r>
        <w:rPr>
          <w:bCs/>
        </w:rPr>
        <w:t>s</w:t>
      </w:r>
      <w:r>
        <w:rPr>
          <w:bCs/>
        </w:rPr>
        <w:t>sin”.</w:t>
      </w:r>
    </w:p>
    <w:p w:rsidR="00224567" w:rsidRDefault="00224567">
      <w:pPr>
        <w:widowControl w:val="0"/>
        <w:tabs>
          <w:tab w:val="left" w:pos="2835"/>
        </w:tabs>
        <w:ind w:firstLine="708"/>
        <w:rPr>
          <w:bCs/>
        </w:rPr>
      </w:pPr>
      <w:r>
        <w:rPr>
          <w:bCs/>
        </w:rPr>
        <w:tab/>
        <w:t xml:space="preserve">Sostuvo como totalmente probado que la carrocería de Sarapura, no fue la que estalló en </w:t>
      </w:r>
      <w:smartTag w:uri="urn:schemas-microsoft-com:office:smarttags" w:element="PersonName">
        <w:smartTagPr>
          <w:attr w:name="ProductID" w:val="la A.M"/>
        </w:smartTagPr>
        <w:r>
          <w:rPr>
            <w:bCs/>
          </w:rPr>
          <w:t>la A.M</w:t>
        </w:r>
      </w:smartTag>
      <w:r>
        <w:rPr>
          <w:bCs/>
        </w:rPr>
        <w:t>.I.A. y que solamente Telleldín, interes</w:t>
      </w:r>
      <w:r>
        <w:rPr>
          <w:bCs/>
        </w:rPr>
        <w:t>a</w:t>
      </w:r>
      <w:r>
        <w:rPr>
          <w:bCs/>
        </w:rPr>
        <w:t>damente, trató de decir lo co</w:t>
      </w:r>
      <w:r>
        <w:rPr>
          <w:bCs/>
        </w:rPr>
        <w:t>n</w:t>
      </w:r>
      <w:r>
        <w:rPr>
          <w:bCs/>
        </w:rPr>
        <w:t>trario.</w:t>
      </w:r>
    </w:p>
    <w:p w:rsidR="00224567" w:rsidRDefault="00224567">
      <w:pPr>
        <w:widowControl w:val="0"/>
        <w:tabs>
          <w:tab w:val="left" w:pos="2835"/>
        </w:tabs>
        <w:ind w:firstLine="708"/>
        <w:rPr>
          <w:bCs/>
        </w:rPr>
      </w:pPr>
      <w:r>
        <w:rPr>
          <w:bCs/>
        </w:rPr>
        <w:tab/>
        <w:t>Concluyó que si el 10 de julio de 1994 los policías se llevaron una camioneta del domicilio de Telleldín, ésta era la armada en el taller de Nitzcaner, con un motor de número desconocido y la carrocería de S</w:t>
      </w:r>
      <w:r>
        <w:rPr>
          <w:bCs/>
        </w:rPr>
        <w:t>a</w:t>
      </w:r>
      <w:r>
        <w:rPr>
          <w:bCs/>
        </w:rPr>
        <w:t>rapura, ya que no hay forma de probar otra cosa.</w:t>
      </w:r>
    </w:p>
    <w:p w:rsidR="00224567" w:rsidRDefault="00224567">
      <w:pPr>
        <w:widowControl w:val="0"/>
        <w:tabs>
          <w:tab w:val="left" w:pos="2835"/>
        </w:tabs>
        <w:ind w:firstLine="708"/>
        <w:rPr>
          <w:bCs/>
        </w:rPr>
      </w:pPr>
      <w:r>
        <w:rPr>
          <w:bCs/>
        </w:rPr>
        <w:tab/>
        <w:t>Para evaluar dicha circunstancia, el Dr. Carlevaro efectuó un análisis de la versión de Telle</w:t>
      </w:r>
      <w:r>
        <w:rPr>
          <w:bCs/>
        </w:rPr>
        <w:t>l</w:t>
      </w:r>
      <w:r>
        <w:rPr>
          <w:bCs/>
        </w:rPr>
        <w:t>dín al respecto, resaltando que es la misma que la sost</w:t>
      </w:r>
      <w:r>
        <w:rPr>
          <w:bCs/>
        </w:rPr>
        <w:t>e</w:t>
      </w:r>
      <w:r>
        <w:rPr>
          <w:bCs/>
        </w:rPr>
        <w:t xml:space="preserve">nida por los acusadores. Así el defensor relató que en el taller de Cotoras se habría sacado el motor quemado de </w:t>
      </w:r>
      <w:smartTag w:uri="urn:schemas-microsoft-com:office:smarttags" w:element="PersonName">
        <w:smartTagPr>
          <w:attr w:name="ProductID" w:val="la Trafic"/>
        </w:smartTagPr>
        <w:r>
          <w:rPr>
            <w:bCs/>
          </w:rPr>
          <w:t xml:space="preserve">la </w:t>
        </w:r>
        <w:r>
          <w:rPr>
            <w:bCs/>
          </w:rPr>
          <w:lastRenderedPageBreak/>
          <w:t>Trafic</w:t>
        </w:r>
      </w:smartTag>
      <w:r>
        <w:rPr>
          <w:bCs/>
        </w:rPr>
        <w:t xml:space="preserve"> de “Messin”; que éste fue llevado al taller de N</w:t>
      </w:r>
      <w:r>
        <w:rPr>
          <w:bCs/>
        </w:rPr>
        <w:t>i</w:t>
      </w:r>
      <w:r>
        <w:rPr>
          <w:bCs/>
        </w:rPr>
        <w:t>tzcaner desconociéndose cómo, cuándo o por quién; que a ese taller también se llevó un chasis robado, el de Sar</w:t>
      </w:r>
      <w:r>
        <w:rPr>
          <w:bCs/>
        </w:rPr>
        <w:t>a</w:t>
      </w:r>
      <w:r>
        <w:rPr>
          <w:bCs/>
        </w:rPr>
        <w:t>pura, en el que se colocó el motor incendiado, concl</w:t>
      </w:r>
      <w:r>
        <w:rPr>
          <w:bCs/>
        </w:rPr>
        <w:t>u</w:t>
      </w:r>
      <w:r>
        <w:rPr>
          <w:bCs/>
        </w:rPr>
        <w:t>yendo que, también según Telleldín, esa era la camioneta que e</w:t>
      </w:r>
      <w:r>
        <w:rPr>
          <w:bCs/>
        </w:rPr>
        <w:t>s</w:t>
      </w:r>
      <w:r>
        <w:rPr>
          <w:bCs/>
        </w:rPr>
        <w:t>tuvo para la venta el 10 de julio de 1994.</w:t>
      </w:r>
    </w:p>
    <w:p w:rsidR="00224567" w:rsidRDefault="00224567">
      <w:pPr>
        <w:widowControl w:val="0"/>
        <w:tabs>
          <w:tab w:val="left" w:pos="2835"/>
        </w:tabs>
        <w:ind w:firstLine="708"/>
        <w:rPr>
          <w:bCs/>
        </w:rPr>
      </w:pPr>
      <w:r>
        <w:rPr>
          <w:bCs/>
        </w:rPr>
        <w:tab/>
        <w:t>También recordó el defensor que los acusadores señalaron que en el taller de Nitzcaner se c</w:t>
      </w:r>
      <w:r>
        <w:rPr>
          <w:bCs/>
        </w:rPr>
        <w:t>o</w:t>
      </w:r>
      <w:r>
        <w:rPr>
          <w:bCs/>
        </w:rPr>
        <w:t>locó un motor desconocido en el chasis de Sarapura, pero que de ninguna manera era el motor incendiado de “Messin”.</w:t>
      </w:r>
    </w:p>
    <w:p w:rsidR="00224567" w:rsidRDefault="00224567">
      <w:pPr>
        <w:widowControl w:val="0"/>
        <w:tabs>
          <w:tab w:val="left" w:pos="2835"/>
        </w:tabs>
        <w:ind w:firstLine="708"/>
        <w:rPr>
          <w:bCs/>
        </w:rPr>
      </w:pPr>
      <w:r>
        <w:rPr>
          <w:bCs/>
        </w:rPr>
        <w:tab/>
        <w:t>Afirmó que la tesis de la acusación adolecía de una gran inconsecuencia, ya que sostenía que la camioneta armada en lo de Nitzcaner no era la que est</w:t>
      </w:r>
      <w:r>
        <w:rPr>
          <w:bCs/>
        </w:rPr>
        <w:t>u</w:t>
      </w:r>
      <w:r>
        <w:rPr>
          <w:bCs/>
        </w:rPr>
        <w:t>vo estacionada el 10 de julio frente a la casa de Telle</w:t>
      </w:r>
      <w:r>
        <w:rPr>
          <w:bCs/>
        </w:rPr>
        <w:t>l</w:t>
      </w:r>
      <w:r>
        <w:rPr>
          <w:bCs/>
        </w:rPr>
        <w:t>dín, agregando que los acusadores pretendían establecer que ese día estuvo allí estacionada una camioneta fa</w:t>
      </w:r>
      <w:r>
        <w:rPr>
          <w:bCs/>
        </w:rPr>
        <w:t>n</w:t>
      </w:r>
      <w:r>
        <w:rPr>
          <w:bCs/>
        </w:rPr>
        <w:t>tasma de la que nadie sabía si realmente existió, dónde ni quién la armó.</w:t>
      </w:r>
    </w:p>
    <w:p w:rsidR="00224567" w:rsidRDefault="00224567">
      <w:pPr>
        <w:widowControl w:val="0"/>
        <w:tabs>
          <w:tab w:val="left" w:pos="2835"/>
        </w:tabs>
        <w:ind w:firstLine="708"/>
        <w:rPr>
          <w:bCs/>
        </w:rPr>
      </w:pPr>
      <w:r>
        <w:rPr>
          <w:bCs/>
        </w:rPr>
        <w:tab/>
        <w:t>Consideró probado que en el t</w:t>
      </w:r>
      <w:r>
        <w:rPr>
          <w:bCs/>
        </w:rPr>
        <w:t>a</w:t>
      </w:r>
      <w:r>
        <w:rPr>
          <w:bCs/>
        </w:rPr>
        <w:t>ller de Cotoras se extrajo el motor de “Messin”; que en el de N</w:t>
      </w:r>
      <w:r>
        <w:rPr>
          <w:bCs/>
        </w:rPr>
        <w:t>i</w:t>
      </w:r>
      <w:r>
        <w:rPr>
          <w:bCs/>
        </w:rPr>
        <w:t xml:space="preserve">tzcaner estuvo la carrocería de Sarapura, y que a ésta se </w:t>
      </w:r>
      <w:r>
        <w:rPr>
          <w:bCs/>
        </w:rPr>
        <w:lastRenderedPageBreak/>
        <w:t>le colocó otro motor, no identificado por la investig</w:t>
      </w:r>
      <w:r>
        <w:rPr>
          <w:bCs/>
        </w:rPr>
        <w:t>a</w:t>
      </w:r>
      <w:r>
        <w:rPr>
          <w:bCs/>
        </w:rPr>
        <w:t>ción.</w:t>
      </w:r>
    </w:p>
    <w:p w:rsidR="00224567" w:rsidRDefault="00224567">
      <w:pPr>
        <w:widowControl w:val="0"/>
        <w:tabs>
          <w:tab w:val="left" w:pos="2835"/>
        </w:tabs>
        <w:ind w:firstLine="708"/>
        <w:rPr>
          <w:bCs/>
        </w:rPr>
      </w:pPr>
      <w:r>
        <w:rPr>
          <w:bCs/>
        </w:rPr>
        <w:tab/>
        <w:t>Así concluyó la defensa que si el 10 de julio rea</w:t>
      </w:r>
      <w:r>
        <w:rPr>
          <w:bCs/>
        </w:rPr>
        <w:t>l</w:t>
      </w:r>
      <w:r>
        <w:rPr>
          <w:bCs/>
        </w:rPr>
        <w:t>mente hubo una camioneta para la venta frente a República 107 fue la que se armó en el taller de Nit</w:t>
      </w:r>
      <w:r>
        <w:rPr>
          <w:bCs/>
        </w:rPr>
        <w:t>z</w:t>
      </w:r>
      <w:r>
        <w:rPr>
          <w:bCs/>
        </w:rPr>
        <w:t>caner, concluyendo que si el 10 de julio los policías se llevaron una camioneta, tanto por el chasis, como por el motor, no fue la que e</w:t>
      </w:r>
      <w:r>
        <w:rPr>
          <w:bCs/>
        </w:rPr>
        <w:t>x</w:t>
      </w:r>
      <w:r>
        <w:rPr>
          <w:bCs/>
        </w:rPr>
        <w:t xml:space="preserve">plotó en la sede de </w:t>
      </w:r>
      <w:smartTag w:uri="urn:schemas-microsoft-com:office:smarttags" w:element="PersonName">
        <w:smartTagPr>
          <w:attr w:name="ProductID" w:val="la A.M"/>
        </w:smartTagPr>
        <w:r>
          <w:rPr>
            <w:bCs/>
          </w:rPr>
          <w:t>la A.M</w:t>
        </w:r>
      </w:smartTag>
      <w:r>
        <w:rPr>
          <w:bCs/>
        </w:rPr>
        <w:t>.I.A.</w:t>
      </w:r>
    </w:p>
    <w:p w:rsidR="00224567" w:rsidRDefault="00224567">
      <w:pPr>
        <w:widowControl w:val="0"/>
        <w:tabs>
          <w:tab w:val="left" w:pos="2835"/>
        </w:tabs>
        <w:ind w:firstLine="708"/>
        <w:rPr>
          <w:bCs/>
        </w:rPr>
      </w:pPr>
      <w:r>
        <w:rPr>
          <w:bCs/>
        </w:rPr>
        <w:tab/>
        <w:t>En ese sentido la defensa valoró los dichos de Pedro Sarapura, Alejandro Ariel Nitzcaner, Fra</w:t>
      </w:r>
      <w:r>
        <w:rPr>
          <w:bCs/>
        </w:rPr>
        <w:t>n</w:t>
      </w:r>
      <w:r>
        <w:rPr>
          <w:bCs/>
        </w:rPr>
        <w:t>cisco Bonnefon y Marcelo Jouce, y los secuestros realiz</w:t>
      </w:r>
      <w:r>
        <w:rPr>
          <w:bCs/>
        </w:rPr>
        <w:t>a</w:t>
      </w:r>
      <w:r>
        <w:rPr>
          <w:bCs/>
        </w:rPr>
        <w:t>dos en los allan</w:t>
      </w:r>
      <w:r>
        <w:rPr>
          <w:bCs/>
        </w:rPr>
        <w:t>a</w:t>
      </w:r>
      <w:r>
        <w:rPr>
          <w:bCs/>
        </w:rPr>
        <w:t>mientos plasmados en las actas de fs. 409 y 10.561.</w:t>
      </w:r>
    </w:p>
    <w:p w:rsidR="00224567" w:rsidRDefault="00224567">
      <w:pPr>
        <w:widowControl w:val="0"/>
        <w:tabs>
          <w:tab w:val="left" w:pos="2835"/>
        </w:tabs>
        <w:ind w:firstLine="708"/>
        <w:rPr>
          <w:bCs/>
        </w:rPr>
      </w:pPr>
      <w:r>
        <w:rPr>
          <w:bCs/>
        </w:rPr>
        <w:tab/>
        <w:t>Añadió que está probado que la carr</w:t>
      </w:r>
      <w:r>
        <w:rPr>
          <w:bCs/>
        </w:rPr>
        <w:t>o</w:t>
      </w:r>
      <w:r>
        <w:rPr>
          <w:bCs/>
        </w:rPr>
        <w:t>cería de Sarap</w:t>
      </w:r>
      <w:r>
        <w:rPr>
          <w:bCs/>
        </w:rPr>
        <w:t>u</w:t>
      </w:r>
      <w:r>
        <w:rPr>
          <w:bCs/>
        </w:rPr>
        <w:t xml:space="preserve">ra no fue la que explotó en </w:t>
      </w:r>
      <w:smartTag w:uri="urn:schemas-microsoft-com:office:smarttags" w:element="PersonName">
        <w:smartTagPr>
          <w:attr w:name="ProductID" w:val="la A.M"/>
        </w:smartTagPr>
        <w:r>
          <w:rPr>
            <w:bCs/>
          </w:rPr>
          <w:t>la A.M</w:t>
        </w:r>
      </w:smartTag>
      <w:r>
        <w:rPr>
          <w:bCs/>
        </w:rPr>
        <w:t>.I.A. por tres motivos. En primer lugar dijo que a diferencia de la que explotó, la de Sarapura no tenía puerta lateral, ya que entre los escombros fue -supuestamente- hallada la pieza denominada –también supuestamente- cajonera “U” ut</w:t>
      </w:r>
      <w:r>
        <w:rPr>
          <w:bCs/>
        </w:rPr>
        <w:t>i</w:t>
      </w:r>
      <w:r>
        <w:rPr>
          <w:bCs/>
        </w:rPr>
        <w:t xml:space="preserve">lizada en los portones laterales de </w:t>
      </w:r>
      <w:smartTag w:uri="urn:schemas-microsoft-com:office:smarttags" w:element="PersonName">
        <w:smartTagPr>
          <w:attr w:name="ProductID" w:val="la Trafic. Luego"/>
        </w:smartTagPr>
        <w:r>
          <w:rPr>
            <w:bCs/>
          </w:rPr>
          <w:t>la Trafic. Luego</w:t>
        </w:r>
      </w:smartTag>
      <w:r>
        <w:rPr>
          <w:bCs/>
        </w:rPr>
        <w:t xml:space="preserve"> de</w:t>
      </w:r>
      <w:r>
        <w:rPr>
          <w:bCs/>
        </w:rPr>
        <w:t>s</w:t>
      </w:r>
      <w:r>
        <w:rPr>
          <w:bCs/>
        </w:rPr>
        <w:lastRenderedPageBreak/>
        <w:t>tacó que, según se desprende de los informes realizados por “C.I.A.D.E.A.”, y por Gendarm</w:t>
      </w:r>
      <w:r>
        <w:rPr>
          <w:bCs/>
        </w:rPr>
        <w:t>e</w:t>
      </w:r>
      <w:r>
        <w:rPr>
          <w:bCs/>
        </w:rPr>
        <w:t xml:space="preserve">ría Nacional, los restos de chapa encontrados en las inmediaciones de </w:t>
      </w:r>
      <w:smartTag w:uri="urn:schemas-microsoft-com:office:smarttags" w:element="PersonName">
        <w:smartTagPr>
          <w:attr w:name="ProductID" w:val="la A.M"/>
        </w:smartTagPr>
        <w:r>
          <w:rPr>
            <w:bCs/>
          </w:rPr>
          <w:t>la A.M</w:t>
        </w:r>
      </w:smartTag>
      <w:r>
        <w:rPr>
          <w:bCs/>
        </w:rPr>
        <w:t>.I.A. correspondían a un vehículo f</w:t>
      </w:r>
      <w:r>
        <w:rPr>
          <w:bCs/>
        </w:rPr>
        <w:t>a</w:t>
      </w:r>
      <w:r>
        <w:rPr>
          <w:bCs/>
        </w:rPr>
        <w:t>bricado entre marzo de 1987 y octubre de 1989, mientras que la camioneta que perten</w:t>
      </w:r>
      <w:r>
        <w:rPr>
          <w:bCs/>
        </w:rPr>
        <w:t>e</w:t>
      </w:r>
      <w:r>
        <w:rPr>
          <w:bCs/>
        </w:rPr>
        <w:t>cía a Sarapura era modelo 1991, fabricada en diciembre de 1990, agregando que de las declaraciones testimoniales brindadas por todo el personal de “C.I.A.D.E.A.” -Eduardo Magnano, Diego Eduardo Ricagno, Jorge Oscar Mamone y Fe</w:t>
      </w:r>
      <w:r>
        <w:rPr>
          <w:bCs/>
        </w:rPr>
        <w:t>r</w:t>
      </w:r>
      <w:r>
        <w:rPr>
          <w:bCs/>
        </w:rPr>
        <w:t>nando Ca</w:t>
      </w:r>
      <w:r>
        <w:rPr>
          <w:bCs/>
        </w:rPr>
        <w:t>r</w:t>
      </w:r>
      <w:r>
        <w:rPr>
          <w:bCs/>
        </w:rPr>
        <w:t>los Cingolani- de ninguna manera, una carrocería fabricada antes de octubre de 1989, podría ser comercial</w:t>
      </w:r>
      <w:r>
        <w:rPr>
          <w:bCs/>
        </w:rPr>
        <w:t>i</w:t>
      </w:r>
      <w:r>
        <w:rPr>
          <w:bCs/>
        </w:rPr>
        <w:t>zada como modelo 1991. Finalmente refirió que tanto “C.I.A.D.E.A.” como Gendarmería concluyeron que la pint</w:t>
      </w:r>
      <w:r>
        <w:rPr>
          <w:bCs/>
        </w:rPr>
        <w:t>u</w:t>
      </w:r>
      <w:r>
        <w:rPr>
          <w:bCs/>
        </w:rPr>
        <w:t xml:space="preserve">ra de las chapas encontradas en la sede de </w:t>
      </w:r>
      <w:smartTag w:uri="urn:schemas-microsoft-com:office:smarttags" w:element="PersonName">
        <w:smartTagPr>
          <w:attr w:name="ProductID" w:val="la A.M"/>
        </w:smartTagPr>
        <w:r>
          <w:rPr>
            <w:bCs/>
          </w:rPr>
          <w:t>la A.M</w:t>
        </w:r>
      </w:smartTag>
      <w:r>
        <w:rPr>
          <w:bCs/>
        </w:rPr>
        <w:t>.I.A. era original de fábrica y el personal de esa firma fue contu</w:t>
      </w:r>
      <w:r>
        <w:rPr>
          <w:bCs/>
        </w:rPr>
        <w:t>n</w:t>
      </w:r>
      <w:r>
        <w:rPr>
          <w:bCs/>
        </w:rPr>
        <w:t>dente en cuanto a que era imposible lograr un idéntico sistema de pintura original fuera de fábrica. R</w:t>
      </w:r>
      <w:r>
        <w:rPr>
          <w:bCs/>
        </w:rPr>
        <w:t>e</w:t>
      </w:r>
      <w:r>
        <w:rPr>
          <w:bCs/>
        </w:rPr>
        <w:t>saltó que ello indica que como la camioneta de Sarapura había sido repintada en numerosos sectores no pudo ser la que supue</w:t>
      </w:r>
      <w:r>
        <w:rPr>
          <w:bCs/>
        </w:rPr>
        <w:t>s</w:t>
      </w:r>
      <w:r>
        <w:rPr>
          <w:bCs/>
        </w:rPr>
        <w:t>tamente portara el explosivo que detonó en la sede de la mutual judía. Inclusive, agregó la defensa, el mismo Sar</w:t>
      </w:r>
      <w:r>
        <w:rPr>
          <w:bCs/>
        </w:rPr>
        <w:t>a</w:t>
      </w:r>
      <w:r>
        <w:rPr>
          <w:bCs/>
        </w:rPr>
        <w:lastRenderedPageBreak/>
        <w:t>pura relató que cuando compró la camioneta, ya había s</w:t>
      </w:r>
      <w:r>
        <w:rPr>
          <w:bCs/>
        </w:rPr>
        <w:t>o</w:t>
      </w:r>
      <w:r>
        <w:rPr>
          <w:bCs/>
        </w:rPr>
        <w:t>portado un choque i</w:t>
      </w:r>
      <w:r>
        <w:rPr>
          <w:bCs/>
        </w:rPr>
        <w:t>m</w:t>
      </w:r>
      <w:r>
        <w:rPr>
          <w:bCs/>
        </w:rPr>
        <w:t>portante con el consiguiente arreglo y repintado. En el mismo sentido valoró los dichos de M</w:t>
      </w:r>
      <w:r>
        <w:rPr>
          <w:bCs/>
        </w:rPr>
        <w:t>a</w:t>
      </w:r>
      <w:r>
        <w:rPr>
          <w:bCs/>
        </w:rPr>
        <w:t>nuel Iglesias quien relató que luego de un ch</w:t>
      </w:r>
      <w:r>
        <w:rPr>
          <w:bCs/>
        </w:rPr>
        <w:t>o</w:t>
      </w:r>
      <w:r>
        <w:rPr>
          <w:bCs/>
        </w:rPr>
        <w:t>que frontal, hubo que  realizarle importantes trabajos de chapa y pintura a la cami</w:t>
      </w:r>
      <w:r>
        <w:rPr>
          <w:bCs/>
        </w:rPr>
        <w:t>o</w:t>
      </w:r>
      <w:r>
        <w:rPr>
          <w:bCs/>
        </w:rPr>
        <w:t>neta de Sarapura.</w:t>
      </w:r>
    </w:p>
    <w:p w:rsidR="00224567" w:rsidRDefault="00224567">
      <w:pPr>
        <w:widowControl w:val="0"/>
        <w:tabs>
          <w:tab w:val="left" w:pos="2835"/>
        </w:tabs>
        <w:ind w:firstLine="708"/>
        <w:rPr>
          <w:bCs/>
        </w:rPr>
      </w:pPr>
      <w:r>
        <w:rPr>
          <w:bCs/>
        </w:rPr>
        <w:tab/>
        <w:t>Agregó el defensor, que de los info</w:t>
      </w:r>
      <w:r>
        <w:rPr>
          <w:bCs/>
        </w:rPr>
        <w:t>r</w:t>
      </w:r>
      <w:r>
        <w:rPr>
          <w:bCs/>
        </w:rPr>
        <w:t>mes de “C.I.A.D.E.A.” también resulta con cl</w:t>
      </w:r>
      <w:r>
        <w:rPr>
          <w:bCs/>
        </w:rPr>
        <w:t>a</w:t>
      </w:r>
      <w:r>
        <w:rPr>
          <w:bCs/>
        </w:rPr>
        <w:t xml:space="preserve">ridad que no fue la carrocería de “Messin” la que explotó en </w:t>
      </w:r>
      <w:smartTag w:uri="urn:schemas-microsoft-com:office:smarttags" w:element="PersonName">
        <w:smartTagPr>
          <w:attr w:name="ProductID" w:val="la A.M"/>
        </w:smartTagPr>
        <w:r>
          <w:rPr>
            <w:bCs/>
          </w:rPr>
          <w:t>la A.M</w:t>
        </w:r>
      </w:smartTag>
      <w:r>
        <w:rPr>
          <w:bCs/>
        </w:rPr>
        <w:t>.I.A. no sólo por la fecha de fabricación, sino ta</w:t>
      </w:r>
      <w:r>
        <w:rPr>
          <w:bCs/>
        </w:rPr>
        <w:t>m</w:t>
      </w:r>
      <w:r>
        <w:rPr>
          <w:bCs/>
        </w:rPr>
        <w:t>bién porque los restos, supuest</w:t>
      </w:r>
      <w:r>
        <w:rPr>
          <w:bCs/>
        </w:rPr>
        <w:t>a</w:t>
      </w:r>
      <w:r>
        <w:rPr>
          <w:bCs/>
        </w:rPr>
        <w:t>mente hallados en el lugar del hecho, no habían sido sometidos a temperatura sostenida como la generada en un incendio como el que había soport</w:t>
      </w:r>
      <w:r>
        <w:rPr>
          <w:bCs/>
        </w:rPr>
        <w:t>a</w:t>
      </w:r>
      <w:r>
        <w:rPr>
          <w:bCs/>
        </w:rPr>
        <w:t>do aquella carrocería.</w:t>
      </w:r>
    </w:p>
    <w:p w:rsidR="00224567" w:rsidRDefault="00224567">
      <w:pPr>
        <w:widowControl w:val="0"/>
        <w:tabs>
          <w:tab w:val="left" w:pos="2835"/>
        </w:tabs>
        <w:ind w:firstLine="708"/>
        <w:rPr>
          <w:bCs/>
        </w:rPr>
      </w:pPr>
      <w:r>
        <w:rPr>
          <w:bCs/>
        </w:rPr>
        <w:tab/>
        <w:t>A fin de explicar lo que a su p</w:t>
      </w:r>
      <w:r>
        <w:rPr>
          <w:bCs/>
        </w:rPr>
        <w:t>a</w:t>
      </w:r>
      <w:r>
        <w:rPr>
          <w:bCs/>
        </w:rPr>
        <w:t>recer ocurrió con la c</w:t>
      </w:r>
      <w:r>
        <w:rPr>
          <w:bCs/>
        </w:rPr>
        <w:t>a</w:t>
      </w:r>
      <w:r>
        <w:rPr>
          <w:bCs/>
        </w:rPr>
        <w:t>rrocería de la camioneta de Sarapura, la defensa de Ibarra hizo un análisis d</w:t>
      </w:r>
      <w:r>
        <w:rPr>
          <w:bCs/>
        </w:rPr>
        <w:t>e</w:t>
      </w:r>
      <w:r>
        <w:rPr>
          <w:bCs/>
        </w:rPr>
        <w:t xml:space="preserve">tallado de los hechos que demostraran que </w:t>
      </w:r>
      <w:smartTag w:uri="urn:schemas-microsoft-com:office:smarttags" w:element="PersonName">
        <w:smartTagPr>
          <w:attr w:name="ProductID" w:val="la Trafic"/>
        </w:smartTagPr>
        <w:r>
          <w:rPr>
            <w:bCs/>
          </w:rPr>
          <w:t>la Trafic</w:t>
        </w:r>
      </w:smartTag>
      <w:r>
        <w:rPr>
          <w:bCs/>
        </w:rPr>
        <w:t xml:space="preserve"> de “Messin” fue trasladada al taller de Cotoras do</w:t>
      </w:r>
      <w:r>
        <w:rPr>
          <w:bCs/>
        </w:rPr>
        <w:t>n</w:t>
      </w:r>
      <w:r>
        <w:rPr>
          <w:bCs/>
        </w:rPr>
        <w:t>de se le extrajo el motor.</w:t>
      </w:r>
    </w:p>
    <w:p w:rsidR="00224567" w:rsidRDefault="00224567">
      <w:pPr>
        <w:widowControl w:val="0"/>
        <w:tabs>
          <w:tab w:val="left" w:pos="2835"/>
        </w:tabs>
        <w:ind w:firstLine="708"/>
        <w:rPr>
          <w:bCs/>
        </w:rPr>
      </w:pPr>
      <w:r>
        <w:rPr>
          <w:bCs/>
        </w:rPr>
        <w:tab/>
        <w:t>Así, refirió que en el año 1994 la e</w:t>
      </w:r>
      <w:r>
        <w:rPr>
          <w:bCs/>
        </w:rPr>
        <w:t>m</w:t>
      </w:r>
      <w:r>
        <w:rPr>
          <w:bCs/>
        </w:rPr>
        <w:lastRenderedPageBreak/>
        <w:t>presa “Messin S.R.L.”, era propietaria de una Renault Tr</w:t>
      </w:r>
      <w:r>
        <w:rPr>
          <w:bCs/>
        </w:rPr>
        <w:t>a</w:t>
      </w:r>
      <w:r>
        <w:rPr>
          <w:bCs/>
        </w:rPr>
        <w:t>fic, dominio C 1.498.506, con puerta lateral y con motor nº 2.831.467, r</w:t>
      </w:r>
      <w:r>
        <w:rPr>
          <w:bCs/>
        </w:rPr>
        <w:t>o</w:t>
      </w:r>
      <w:r>
        <w:rPr>
          <w:bCs/>
        </w:rPr>
        <w:t>dado que el 7 de marzo de 1994 se incendió en una playa de estacionamiento ubicada en la calle Als</w:t>
      </w:r>
      <w:r>
        <w:rPr>
          <w:bCs/>
        </w:rPr>
        <w:t>i</w:t>
      </w:r>
      <w:r>
        <w:rPr>
          <w:bCs/>
        </w:rPr>
        <w:t>na.</w:t>
      </w:r>
    </w:p>
    <w:p w:rsidR="00224567" w:rsidRDefault="00224567">
      <w:pPr>
        <w:widowControl w:val="0"/>
        <w:tabs>
          <w:tab w:val="left" w:pos="2835"/>
        </w:tabs>
        <w:ind w:firstLine="708"/>
        <w:rPr>
          <w:bCs/>
        </w:rPr>
      </w:pPr>
      <w:r>
        <w:rPr>
          <w:bCs/>
        </w:rPr>
        <w:tab/>
        <w:t>Resaltó que tras el siniestro, la co</w:t>
      </w:r>
      <w:r>
        <w:rPr>
          <w:bCs/>
        </w:rPr>
        <w:t>m</w:t>
      </w:r>
      <w:r>
        <w:rPr>
          <w:bCs/>
        </w:rPr>
        <w:t>pañía “Solvencia” del “Grupo Juncal” –a su criterio ilíc</w:t>
      </w:r>
      <w:r>
        <w:rPr>
          <w:bCs/>
        </w:rPr>
        <w:t>i</w:t>
      </w:r>
      <w:r>
        <w:rPr>
          <w:bCs/>
        </w:rPr>
        <w:t>tamente- calificó lo daños como parciales en el trámite interno, e hizo creer al asegurado que ellos habían sido totales. Que mediante esta argucia se ev</w:t>
      </w:r>
      <w:r>
        <w:rPr>
          <w:bCs/>
        </w:rPr>
        <w:t>i</w:t>
      </w:r>
      <w:r>
        <w:rPr>
          <w:bCs/>
        </w:rPr>
        <w:t>to dar de baja el rodado, tal cual lo exigía la normativa v</w:t>
      </w:r>
      <w:r>
        <w:rPr>
          <w:bCs/>
        </w:rPr>
        <w:t>i</w:t>
      </w:r>
      <w:r>
        <w:rPr>
          <w:bCs/>
        </w:rPr>
        <w:t>gente.</w:t>
      </w:r>
    </w:p>
    <w:p w:rsidR="00224567" w:rsidRDefault="00224567">
      <w:pPr>
        <w:widowControl w:val="0"/>
        <w:tabs>
          <w:tab w:val="left" w:pos="2835"/>
        </w:tabs>
        <w:ind w:firstLine="708"/>
        <w:rPr>
          <w:bCs/>
        </w:rPr>
      </w:pPr>
      <w:r>
        <w:rPr>
          <w:bCs/>
        </w:rPr>
        <w:tab/>
        <w:t>Agregó que parte de la póliza fue ab</w:t>
      </w:r>
      <w:r>
        <w:rPr>
          <w:bCs/>
        </w:rPr>
        <w:t>o</w:t>
      </w:r>
      <w:r>
        <w:rPr>
          <w:bCs/>
        </w:rPr>
        <w:t>nada por la compañía de seguros y $ 3500 le fueron pag</w:t>
      </w:r>
      <w:r>
        <w:rPr>
          <w:bCs/>
        </w:rPr>
        <w:t>a</w:t>
      </w:r>
      <w:r>
        <w:rPr>
          <w:bCs/>
        </w:rPr>
        <w:t>dos por la firma “Automotores Alejandro S.R.L.” quedándose con los restos de la camioneta y sus pap</w:t>
      </w:r>
      <w:r>
        <w:rPr>
          <w:bCs/>
        </w:rPr>
        <w:t>e</w:t>
      </w:r>
      <w:r>
        <w:rPr>
          <w:bCs/>
        </w:rPr>
        <w:t>les.</w:t>
      </w:r>
    </w:p>
    <w:p w:rsidR="00224567" w:rsidRDefault="00224567">
      <w:pPr>
        <w:widowControl w:val="0"/>
        <w:tabs>
          <w:tab w:val="left" w:pos="2835"/>
        </w:tabs>
        <w:ind w:firstLine="708"/>
        <w:rPr>
          <w:bCs/>
        </w:rPr>
      </w:pPr>
      <w:r>
        <w:rPr>
          <w:bCs/>
        </w:rPr>
        <w:tab/>
        <w:t>Al respecto, hizo referencia a la d</w:t>
      </w:r>
      <w:r>
        <w:rPr>
          <w:bCs/>
        </w:rPr>
        <w:t>o</w:t>
      </w:r>
      <w:r>
        <w:rPr>
          <w:bCs/>
        </w:rPr>
        <w:t>cumentación obrante a fs. 227/239 del principal y los te</w:t>
      </w:r>
      <w:r>
        <w:rPr>
          <w:bCs/>
        </w:rPr>
        <w:t>s</w:t>
      </w:r>
      <w:r>
        <w:rPr>
          <w:bCs/>
        </w:rPr>
        <w:t>timonios de Isaac Pedro Meta, Aarón Daniel y Roberto S</w:t>
      </w:r>
      <w:r>
        <w:rPr>
          <w:bCs/>
        </w:rPr>
        <w:t>a</w:t>
      </w:r>
      <w:r>
        <w:rPr>
          <w:bCs/>
        </w:rPr>
        <w:t>muel Cassin, Luis Alberto Salinas, Marcelo Mariani y Juan José Horacio Oribe.</w:t>
      </w:r>
    </w:p>
    <w:p w:rsidR="00224567" w:rsidRDefault="00224567">
      <w:pPr>
        <w:widowControl w:val="0"/>
        <w:tabs>
          <w:tab w:val="left" w:pos="2835"/>
        </w:tabs>
        <w:ind w:firstLine="708"/>
        <w:rPr>
          <w:bCs/>
        </w:rPr>
      </w:pPr>
      <w:r>
        <w:rPr>
          <w:bCs/>
        </w:rPr>
        <w:tab/>
        <w:t>Agregó el defensor que desde f</w:t>
      </w:r>
      <w:r>
        <w:rPr>
          <w:bCs/>
        </w:rPr>
        <w:t>i</w:t>
      </w:r>
      <w:r>
        <w:rPr>
          <w:bCs/>
        </w:rPr>
        <w:t xml:space="preserve">nes de </w:t>
      </w:r>
      <w:r>
        <w:rPr>
          <w:bCs/>
        </w:rPr>
        <w:lastRenderedPageBreak/>
        <w:t xml:space="preserve">marzo los restos de </w:t>
      </w:r>
      <w:smartTag w:uri="urn:schemas-microsoft-com:office:smarttags" w:element="PersonName">
        <w:smartTagPr>
          <w:attr w:name="ProductID" w:val="la Trafic"/>
        </w:smartTagPr>
        <w:r>
          <w:rPr>
            <w:bCs/>
          </w:rPr>
          <w:t>la Trafic</w:t>
        </w:r>
      </w:smartTag>
      <w:r>
        <w:rPr>
          <w:bCs/>
        </w:rPr>
        <w:t xml:space="preserve"> en cuestión estuvieron en una playa de la firma “Automotores Al</w:t>
      </w:r>
      <w:r>
        <w:rPr>
          <w:bCs/>
        </w:rPr>
        <w:t>e</w:t>
      </w:r>
      <w:r>
        <w:rPr>
          <w:bCs/>
        </w:rPr>
        <w:t>jandro” y que a fs. 276 se agregó la factura de ve</w:t>
      </w:r>
      <w:r>
        <w:rPr>
          <w:bCs/>
        </w:rPr>
        <w:t>n</w:t>
      </w:r>
      <w:r>
        <w:rPr>
          <w:bCs/>
        </w:rPr>
        <w:t>ta de la camioneta a nombre de Carlos Tecc</w:t>
      </w:r>
      <w:r>
        <w:rPr>
          <w:bCs/>
        </w:rPr>
        <w:t>e</w:t>
      </w:r>
      <w:r>
        <w:rPr>
          <w:bCs/>
        </w:rPr>
        <w:t>dín.</w:t>
      </w:r>
    </w:p>
    <w:p w:rsidR="00224567" w:rsidRDefault="00224567">
      <w:pPr>
        <w:widowControl w:val="0"/>
        <w:tabs>
          <w:tab w:val="left" w:pos="2835"/>
        </w:tabs>
        <w:ind w:firstLine="708"/>
        <w:rPr>
          <w:bCs/>
        </w:rPr>
      </w:pPr>
      <w:r>
        <w:rPr>
          <w:bCs/>
        </w:rPr>
        <w:tab/>
        <w:t>Refirió que en una fecha cercana al 4 de julio, el empleado de “Automotores Alejandro”, Eus</w:t>
      </w:r>
      <w:r>
        <w:rPr>
          <w:bCs/>
        </w:rPr>
        <w:t>e</w:t>
      </w:r>
      <w:r>
        <w:rPr>
          <w:bCs/>
        </w:rPr>
        <w:t xml:space="preserve">bio Sanabria, trasladó </w:t>
      </w:r>
      <w:smartTag w:uri="urn:schemas-microsoft-com:office:smarttags" w:element="PersonName">
        <w:smartTagPr>
          <w:attr w:name="ProductID" w:val="la Trafic"/>
        </w:smartTagPr>
        <w:r>
          <w:rPr>
            <w:bCs/>
          </w:rPr>
          <w:t>la Trafic</w:t>
        </w:r>
      </w:smartTag>
      <w:r>
        <w:rPr>
          <w:bCs/>
        </w:rPr>
        <w:t xml:space="preserve"> al taller de Cotoras. Recordó que Sanabria manifestó que como no había nadie en el l</w:t>
      </w:r>
      <w:r>
        <w:rPr>
          <w:bCs/>
        </w:rPr>
        <w:t>u</w:t>
      </w:r>
      <w:r>
        <w:rPr>
          <w:bCs/>
        </w:rPr>
        <w:t>gar, luego de consultar por teléfono con la e</w:t>
      </w:r>
      <w:r>
        <w:rPr>
          <w:bCs/>
        </w:rPr>
        <w:t>m</w:t>
      </w:r>
      <w:r>
        <w:rPr>
          <w:bCs/>
        </w:rPr>
        <w:t>presa, dejó la camioneta en la c</w:t>
      </w:r>
      <w:r>
        <w:rPr>
          <w:bCs/>
        </w:rPr>
        <w:t>a</w:t>
      </w:r>
      <w:r>
        <w:rPr>
          <w:bCs/>
        </w:rPr>
        <w:t>lle, llevándose los documentos en un sobre. Destacó la defensa que el testigo afirmó que la c</w:t>
      </w:r>
      <w:r>
        <w:rPr>
          <w:bCs/>
        </w:rPr>
        <w:t>a</w:t>
      </w:r>
      <w:r>
        <w:rPr>
          <w:bCs/>
        </w:rPr>
        <w:t>mioneta tenía la parte mecánica incendi</w:t>
      </w:r>
      <w:r>
        <w:rPr>
          <w:bCs/>
        </w:rPr>
        <w:t>a</w:t>
      </w:r>
      <w:r>
        <w:rPr>
          <w:bCs/>
        </w:rPr>
        <w:t>da.</w:t>
      </w:r>
    </w:p>
    <w:p w:rsidR="00224567" w:rsidRDefault="00224567">
      <w:pPr>
        <w:widowControl w:val="0"/>
        <w:tabs>
          <w:tab w:val="left" w:pos="2835"/>
        </w:tabs>
        <w:ind w:firstLine="708"/>
        <w:rPr>
          <w:bCs/>
        </w:rPr>
      </w:pPr>
      <w:r>
        <w:rPr>
          <w:bCs/>
        </w:rPr>
        <w:tab/>
        <w:t>En apoyo de dicha circunstancia, ta</w:t>
      </w:r>
      <w:r>
        <w:rPr>
          <w:bCs/>
        </w:rPr>
        <w:t>m</w:t>
      </w:r>
      <w:r>
        <w:rPr>
          <w:bCs/>
        </w:rPr>
        <w:t>bién destacó que en el allanamiento practicado en ese t</w:t>
      </w:r>
      <w:r>
        <w:rPr>
          <w:bCs/>
        </w:rPr>
        <w:t>a</w:t>
      </w:r>
      <w:r>
        <w:rPr>
          <w:bCs/>
        </w:rPr>
        <w:t>ller se secuestraron la chapa patente de la camioneta ab</w:t>
      </w:r>
      <w:r>
        <w:rPr>
          <w:bCs/>
        </w:rPr>
        <w:t>o</w:t>
      </w:r>
      <w:r>
        <w:rPr>
          <w:bCs/>
        </w:rPr>
        <w:t>llada y retorcida, un paragolpes delantero color blanco oxidado, un arranque y un radiador con signos de incendio pertenecientes a una Tr</w:t>
      </w:r>
      <w:r>
        <w:rPr>
          <w:bCs/>
        </w:rPr>
        <w:t>a</w:t>
      </w:r>
      <w:r>
        <w:rPr>
          <w:bCs/>
        </w:rPr>
        <w:t>fic.</w:t>
      </w:r>
    </w:p>
    <w:p w:rsidR="00224567" w:rsidRDefault="00224567">
      <w:pPr>
        <w:widowControl w:val="0"/>
        <w:tabs>
          <w:tab w:val="left" w:pos="2835"/>
        </w:tabs>
        <w:ind w:firstLine="708"/>
        <w:rPr>
          <w:bCs/>
        </w:rPr>
      </w:pPr>
      <w:r>
        <w:rPr>
          <w:bCs/>
        </w:rPr>
        <w:tab/>
        <w:t>Advirtió el letrado que también T</w:t>
      </w:r>
      <w:r>
        <w:rPr>
          <w:bCs/>
        </w:rPr>
        <w:t>e</w:t>
      </w:r>
      <w:r>
        <w:rPr>
          <w:bCs/>
        </w:rPr>
        <w:t>lleldín, Pérez y Bora</w:t>
      </w:r>
      <w:r>
        <w:rPr>
          <w:bCs/>
        </w:rPr>
        <w:t>g</w:t>
      </w:r>
      <w:r>
        <w:rPr>
          <w:bCs/>
        </w:rPr>
        <w:t xml:space="preserve">ni manifestaron que la noche en que </w:t>
      </w:r>
      <w:r>
        <w:rPr>
          <w:bCs/>
        </w:rPr>
        <w:lastRenderedPageBreak/>
        <w:t>la camioneta fue dejada en el taller de Cotoras, éste ay</w:t>
      </w:r>
      <w:r>
        <w:rPr>
          <w:bCs/>
        </w:rPr>
        <w:t>u</w:t>
      </w:r>
      <w:r>
        <w:rPr>
          <w:bCs/>
        </w:rPr>
        <w:t>dado por el primero de los nombrados le quitó el motor, aunque destacó las contradicciones en que incurrieron e</w:t>
      </w:r>
      <w:r>
        <w:rPr>
          <w:bCs/>
        </w:rPr>
        <w:t>s</w:t>
      </w:r>
      <w:r>
        <w:rPr>
          <w:bCs/>
        </w:rPr>
        <w:t>tos sujetos con r</w:t>
      </w:r>
      <w:r>
        <w:rPr>
          <w:bCs/>
        </w:rPr>
        <w:t>e</w:t>
      </w:r>
      <w:r>
        <w:rPr>
          <w:bCs/>
        </w:rPr>
        <w:t>lación a esa extracción.</w:t>
      </w:r>
    </w:p>
    <w:p w:rsidR="00224567" w:rsidRDefault="00224567">
      <w:pPr>
        <w:widowControl w:val="0"/>
        <w:tabs>
          <w:tab w:val="left" w:pos="2835"/>
        </w:tabs>
        <w:ind w:firstLine="708"/>
        <w:rPr>
          <w:bCs/>
        </w:rPr>
      </w:pPr>
      <w:r>
        <w:rPr>
          <w:bCs/>
        </w:rPr>
        <w:tab/>
        <w:t>Concluyó el letrado que de la prueba colectada, sólo se puede afirmar que la camioneta estuvo en lo de Cotoras y debido al secuestro de distintos el</w:t>
      </w:r>
      <w:r>
        <w:rPr>
          <w:bCs/>
        </w:rPr>
        <w:t>e</w:t>
      </w:r>
      <w:r>
        <w:rPr>
          <w:bCs/>
        </w:rPr>
        <w:t>mentos se puede s</w:t>
      </w:r>
      <w:r>
        <w:rPr>
          <w:bCs/>
        </w:rPr>
        <w:t>u</w:t>
      </w:r>
      <w:r>
        <w:rPr>
          <w:bCs/>
        </w:rPr>
        <w:t>poner que allí se sacó el motor.</w:t>
      </w:r>
    </w:p>
    <w:p w:rsidR="00224567" w:rsidRDefault="00224567">
      <w:pPr>
        <w:widowControl w:val="0"/>
        <w:tabs>
          <w:tab w:val="left" w:pos="2835"/>
        </w:tabs>
        <w:ind w:firstLine="708"/>
        <w:rPr>
          <w:bCs/>
        </w:rPr>
      </w:pPr>
      <w:r>
        <w:rPr>
          <w:bCs/>
        </w:rPr>
        <w:tab/>
        <w:t>Al respecto, puso de manifiesto que la versión dada por Telleldín y su entorno, respecto de que el motor se colocó en el baúl del Ford Escort y que con este auto fue trasladado al taller de Nitzcaner, es falsa debido a que del libro de registro de automotores secue</w:t>
      </w:r>
      <w:r>
        <w:rPr>
          <w:bCs/>
        </w:rPr>
        <w:t>s</w:t>
      </w:r>
      <w:r>
        <w:rPr>
          <w:bCs/>
        </w:rPr>
        <w:t>trado en el taller de Nitzcaner -folio 3, renglón 12-, surgía que el 1º de julio de 1994 ingresó un E</w:t>
      </w:r>
      <w:r>
        <w:rPr>
          <w:bCs/>
        </w:rPr>
        <w:t>s</w:t>
      </w:r>
      <w:r>
        <w:rPr>
          <w:bCs/>
        </w:rPr>
        <w:t>cort a ese taller permaneciendo hasta el allanamiento practicado el 28 del mismo mes.</w:t>
      </w:r>
    </w:p>
    <w:p w:rsidR="00224567" w:rsidRDefault="00224567">
      <w:pPr>
        <w:widowControl w:val="0"/>
        <w:tabs>
          <w:tab w:val="left" w:pos="2835"/>
        </w:tabs>
        <w:ind w:firstLine="708"/>
        <w:rPr>
          <w:bCs/>
        </w:rPr>
      </w:pPr>
      <w:r>
        <w:rPr>
          <w:bCs/>
        </w:rPr>
        <w:tab/>
        <w:t>Remarcó la defensa que tampoco se d</w:t>
      </w:r>
      <w:r>
        <w:rPr>
          <w:bCs/>
        </w:rPr>
        <w:t>e</w:t>
      </w:r>
      <w:r>
        <w:rPr>
          <w:bCs/>
        </w:rPr>
        <w:t>terminó el destino del chasis de “Messin” ya que Chueco fue muy impreciso con las fechas y, debido a ello, la c</w:t>
      </w:r>
      <w:r>
        <w:rPr>
          <w:bCs/>
        </w:rPr>
        <w:t>a</w:t>
      </w:r>
      <w:r>
        <w:rPr>
          <w:bCs/>
        </w:rPr>
        <w:t>rrocería que remo</w:t>
      </w:r>
      <w:r>
        <w:rPr>
          <w:bCs/>
        </w:rPr>
        <w:t>l</w:t>
      </w:r>
      <w:r>
        <w:rPr>
          <w:bCs/>
        </w:rPr>
        <w:t xml:space="preserve">có pudo ser alguna de las otras con las </w:t>
      </w:r>
      <w:r>
        <w:rPr>
          <w:bCs/>
        </w:rPr>
        <w:lastRenderedPageBreak/>
        <w:t>que Telleldín había trabajado a</w:t>
      </w:r>
      <w:r>
        <w:rPr>
          <w:bCs/>
        </w:rPr>
        <w:t>n</w:t>
      </w:r>
      <w:r>
        <w:rPr>
          <w:bCs/>
        </w:rPr>
        <w:t>teriormente.</w:t>
      </w:r>
    </w:p>
    <w:p w:rsidR="00224567" w:rsidRDefault="00224567">
      <w:pPr>
        <w:widowControl w:val="0"/>
        <w:tabs>
          <w:tab w:val="left" w:pos="2835"/>
        </w:tabs>
        <w:ind w:firstLine="708"/>
        <w:rPr>
          <w:bCs/>
        </w:rPr>
      </w:pPr>
      <w:r>
        <w:rPr>
          <w:bCs/>
        </w:rPr>
        <w:tab/>
        <w:t>Agregó el defensor que según relató Nitzcaner, Telleldín le trajo un motor y le pidió que lo colocara en la camioneta de Sarapura retirando el que ya tenía instalado; dijo que el motor que le traj</w:t>
      </w:r>
      <w:r>
        <w:rPr>
          <w:bCs/>
        </w:rPr>
        <w:t>e</w:t>
      </w:r>
      <w:r>
        <w:rPr>
          <w:bCs/>
        </w:rPr>
        <w:t>ron estaba oxidado, como si hubiera estado a la inte</w:t>
      </w:r>
      <w:r>
        <w:rPr>
          <w:bCs/>
        </w:rPr>
        <w:t>m</w:t>
      </w:r>
      <w:r>
        <w:rPr>
          <w:bCs/>
        </w:rPr>
        <w:t>perie, sin grasa y “clavado”, que no era a gas y no presentaba orificio a</w:t>
      </w:r>
      <w:r>
        <w:rPr>
          <w:bCs/>
        </w:rPr>
        <w:t>l</w:t>
      </w:r>
      <w:r>
        <w:rPr>
          <w:bCs/>
        </w:rPr>
        <w:t>guno que hiciera suponer que el mismo hubiese trabajado alguna vez de esa manera, detallando que odiaba trabajar con motores a gas, por lo que de haber sido ese el caso, lo r</w:t>
      </w:r>
      <w:r>
        <w:rPr>
          <w:bCs/>
        </w:rPr>
        <w:t>e</w:t>
      </w:r>
      <w:r>
        <w:rPr>
          <w:bCs/>
        </w:rPr>
        <w:t>cordaría.</w:t>
      </w:r>
    </w:p>
    <w:p w:rsidR="00224567" w:rsidRDefault="00224567">
      <w:pPr>
        <w:widowControl w:val="0"/>
        <w:tabs>
          <w:tab w:val="left" w:pos="2835"/>
        </w:tabs>
        <w:ind w:firstLine="708"/>
        <w:rPr>
          <w:bCs/>
        </w:rPr>
      </w:pPr>
      <w:r>
        <w:rPr>
          <w:bCs/>
        </w:rPr>
        <w:tab/>
        <w:t>Añadió el letrado que a Nitzcaner se le exhibió la foto del motor de “Messin” y dijo que no era el que le había llevado “el Cordobés” a su taller ya que ese no estaba quemado, precisando que sus partes de ale</w:t>
      </w:r>
      <w:r>
        <w:rPr>
          <w:bCs/>
        </w:rPr>
        <w:t>a</w:t>
      </w:r>
      <w:r>
        <w:rPr>
          <w:bCs/>
        </w:rPr>
        <w:t>ción mediana estaban enteras y no presentaba daños, de</w:t>
      </w:r>
      <w:r>
        <w:rPr>
          <w:bCs/>
        </w:rPr>
        <w:t>s</w:t>
      </w:r>
      <w:r>
        <w:rPr>
          <w:bCs/>
        </w:rPr>
        <w:t>cribiéndolo como un “típico motor de desarmad</w:t>
      </w:r>
      <w:r>
        <w:rPr>
          <w:bCs/>
        </w:rPr>
        <w:t>e</w:t>
      </w:r>
      <w:r>
        <w:rPr>
          <w:bCs/>
        </w:rPr>
        <w:t>ro”.</w:t>
      </w:r>
    </w:p>
    <w:p w:rsidR="00224567" w:rsidRDefault="00224567">
      <w:pPr>
        <w:widowControl w:val="0"/>
        <w:tabs>
          <w:tab w:val="left" w:pos="2835"/>
        </w:tabs>
        <w:ind w:firstLine="708"/>
        <w:rPr>
          <w:bCs/>
        </w:rPr>
      </w:pPr>
      <w:r>
        <w:rPr>
          <w:bCs/>
        </w:rPr>
        <w:tab/>
        <w:t>Agregó el letrado que los dichos de Nitzcaner sobre ese punto fueron de una precisión absol</w:t>
      </w:r>
      <w:r>
        <w:rPr>
          <w:bCs/>
        </w:rPr>
        <w:t>u</w:t>
      </w:r>
      <w:r>
        <w:rPr>
          <w:bCs/>
        </w:rPr>
        <w:t>ta, descartando de plano, y con fund</w:t>
      </w:r>
      <w:r>
        <w:rPr>
          <w:bCs/>
        </w:rPr>
        <w:t>a</w:t>
      </w:r>
      <w:r>
        <w:rPr>
          <w:bCs/>
        </w:rPr>
        <w:t xml:space="preserve">mentos, que el motor </w:t>
      </w:r>
      <w:r>
        <w:rPr>
          <w:bCs/>
        </w:rPr>
        <w:lastRenderedPageBreak/>
        <w:t>de “Messin” haya p</w:t>
      </w:r>
      <w:r>
        <w:rPr>
          <w:bCs/>
        </w:rPr>
        <w:t>a</w:t>
      </w:r>
      <w:r>
        <w:rPr>
          <w:bCs/>
        </w:rPr>
        <w:t>sado por su taller.</w:t>
      </w:r>
    </w:p>
    <w:p w:rsidR="00224567" w:rsidRDefault="00224567">
      <w:pPr>
        <w:widowControl w:val="0"/>
        <w:tabs>
          <w:tab w:val="left" w:pos="2835"/>
        </w:tabs>
        <w:ind w:firstLine="708"/>
        <w:rPr>
          <w:bCs/>
        </w:rPr>
      </w:pPr>
      <w:r>
        <w:rPr>
          <w:bCs/>
        </w:rPr>
        <w:tab/>
        <w:t>En apoyo de los dichos de Nitzcaner recordó el careo realizado en la audiencia entre él y De Napoli; los d</w:t>
      </w:r>
      <w:r>
        <w:rPr>
          <w:bCs/>
        </w:rPr>
        <w:t>i</w:t>
      </w:r>
      <w:r>
        <w:rPr>
          <w:bCs/>
        </w:rPr>
        <w:t xml:space="preserve">chos de Raúl Kollmann, Marcelo Jouce, Pablo Mario De </w:t>
      </w:r>
      <w:smartTag w:uri="urn:schemas-microsoft-com:office:smarttags" w:element="PersonName">
        <w:smartTagPr>
          <w:attr w:name="ProductID" w:val="La Cruz Ar￩valo"/>
        </w:smartTagPr>
        <w:r>
          <w:rPr>
            <w:bCs/>
          </w:rPr>
          <w:t>la Cruz Arévalo</w:t>
        </w:r>
      </w:smartTag>
      <w:r>
        <w:rPr>
          <w:bCs/>
        </w:rPr>
        <w:t>; las declaraciones del perito m</w:t>
      </w:r>
      <w:r>
        <w:rPr>
          <w:bCs/>
        </w:rPr>
        <w:t>e</w:t>
      </w:r>
      <w:r>
        <w:rPr>
          <w:bCs/>
        </w:rPr>
        <w:t xml:space="preserve">cánico de </w:t>
      </w:r>
      <w:smartTag w:uri="urn:schemas-microsoft-com:office:smarttags" w:element="PersonName">
        <w:smartTagPr>
          <w:attr w:name="ProductID" w:val="la Polic￭a Federal"/>
        </w:smartTagPr>
        <w:r>
          <w:rPr>
            <w:bCs/>
          </w:rPr>
          <w:t>la Policía Federal</w:t>
        </w:r>
      </w:smartTag>
      <w:r>
        <w:rPr>
          <w:bCs/>
        </w:rPr>
        <w:t xml:space="preserve"> Ricardo López, del inspe</w:t>
      </w:r>
      <w:r>
        <w:rPr>
          <w:bCs/>
        </w:rPr>
        <w:t>c</w:t>
      </w:r>
      <w:r>
        <w:rPr>
          <w:bCs/>
        </w:rPr>
        <w:t xml:space="preserve">tor de siniestros de la compañía “Juncal”, </w:t>
      </w:r>
      <w:r>
        <w:t>Helmut German Wi</w:t>
      </w:r>
      <w:r>
        <w:t>n</w:t>
      </w:r>
      <w:r>
        <w:t xml:space="preserve">disch y del técnico de “C.I.A.D.E.A.” </w:t>
      </w:r>
      <w:r>
        <w:rPr>
          <w:bCs/>
        </w:rPr>
        <w:t>Bernardo Salcedo.</w:t>
      </w:r>
    </w:p>
    <w:p w:rsidR="00224567" w:rsidRDefault="00224567">
      <w:pPr>
        <w:widowControl w:val="0"/>
        <w:tabs>
          <w:tab w:val="left" w:pos="2835"/>
        </w:tabs>
        <w:ind w:firstLine="708"/>
        <w:rPr>
          <w:bCs/>
        </w:rPr>
      </w:pPr>
      <w:r>
        <w:rPr>
          <w:bCs/>
        </w:rPr>
        <w:tab/>
        <w:t>Destacó la defensa que ni siquiera B</w:t>
      </w:r>
      <w:r>
        <w:rPr>
          <w:bCs/>
        </w:rPr>
        <w:t>o</w:t>
      </w:r>
      <w:r>
        <w:rPr>
          <w:bCs/>
        </w:rPr>
        <w:t>ragni apoyó a Telleldín en cuanto a cuál fue el motor ll</w:t>
      </w:r>
      <w:r>
        <w:rPr>
          <w:bCs/>
        </w:rPr>
        <w:t>e</w:t>
      </w:r>
      <w:r>
        <w:rPr>
          <w:bCs/>
        </w:rPr>
        <w:t>vado a lo de Nitzcaner, ya que so</w:t>
      </w:r>
      <w:r>
        <w:rPr>
          <w:bCs/>
        </w:rPr>
        <w:t>s</w:t>
      </w:r>
      <w:r>
        <w:rPr>
          <w:bCs/>
        </w:rPr>
        <w:t>tuvo que fue su marido, tiempo de</w:t>
      </w:r>
      <w:r>
        <w:rPr>
          <w:bCs/>
        </w:rPr>
        <w:t>s</w:t>
      </w:r>
      <w:r>
        <w:rPr>
          <w:bCs/>
        </w:rPr>
        <w:t xml:space="preserve">pués, quien le contó que le puso el motor de </w:t>
      </w:r>
      <w:smartTag w:uri="urn:schemas-microsoft-com:office:smarttags" w:element="PersonName">
        <w:smartTagPr>
          <w:attr w:name="ProductID" w:val="la Trafic"/>
        </w:smartTagPr>
        <w:r>
          <w:rPr>
            <w:bCs/>
          </w:rPr>
          <w:t>la Trafic</w:t>
        </w:r>
      </w:smartTag>
      <w:r>
        <w:rPr>
          <w:bCs/>
        </w:rPr>
        <w:t xml:space="preserve"> incendiada al chasis de Sarapura, transformándose así en un testigo de oídas del principal interesado en mantener esta versión.</w:t>
      </w:r>
    </w:p>
    <w:p w:rsidR="00224567" w:rsidRDefault="00224567">
      <w:pPr>
        <w:widowControl w:val="0"/>
        <w:tabs>
          <w:tab w:val="left" w:pos="2835"/>
        </w:tabs>
        <w:ind w:firstLine="708"/>
        <w:rPr>
          <w:bCs/>
        </w:rPr>
      </w:pPr>
      <w:r>
        <w:rPr>
          <w:bCs/>
        </w:rPr>
        <w:tab/>
        <w:t>Resaltó el letrado que tanto Jouce c</w:t>
      </w:r>
      <w:r>
        <w:rPr>
          <w:bCs/>
        </w:rPr>
        <w:t>o</w:t>
      </w:r>
      <w:r>
        <w:rPr>
          <w:bCs/>
        </w:rPr>
        <w:t>mo Nitzcaner, coincidieron en que Telleldín les hizo un ofrecimiento económico para que dijeran que habían trab</w:t>
      </w:r>
      <w:r>
        <w:rPr>
          <w:bCs/>
        </w:rPr>
        <w:t>a</w:t>
      </w:r>
      <w:r>
        <w:rPr>
          <w:bCs/>
        </w:rPr>
        <w:t>jado con el m</w:t>
      </w:r>
      <w:r>
        <w:rPr>
          <w:bCs/>
        </w:rPr>
        <w:t>o</w:t>
      </w:r>
      <w:r>
        <w:rPr>
          <w:bCs/>
        </w:rPr>
        <w:t>tor de “Messin”.</w:t>
      </w:r>
    </w:p>
    <w:p w:rsidR="00224567" w:rsidRDefault="00224567">
      <w:pPr>
        <w:widowControl w:val="0"/>
        <w:tabs>
          <w:tab w:val="left" w:pos="2835"/>
        </w:tabs>
        <w:ind w:firstLine="708"/>
        <w:rPr>
          <w:bCs/>
        </w:rPr>
      </w:pPr>
      <w:r>
        <w:rPr>
          <w:bCs/>
        </w:rPr>
        <w:tab/>
        <w:t xml:space="preserve">Concluyó el defensor de Ibarra que quedó probado que el motor de “Messin” nunca pasó por el </w:t>
      </w:r>
      <w:r>
        <w:rPr>
          <w:bCs/>
        </w:rPr>
        <w:lastRenderedPageBreak/>
        <w:t>taller de Nitzcaner, porque estaba quemado, funcionaba a gas y giraba, y por el contrario el que se colocó en la carrocería de Sarapura no estaba quemado, se encontraba oxidado, clavado y no funci</w:t>
      </w:r>
      <w:r>
        <w:rPr>
          <w:bCs/>
        </w:rPr>
        <w:t>o</w:t>
      </w:r>
      <w:r>
        <w:rPr>
          <w:bCs/>
        </w:rPr>
        <w:t>naba ni funcionó a gas.</w:t>
      </w:r>
    </w:p>
    <w:p w:rsidR="00224567" w:rsidRDefault="00224567">
      <w:pPr>
        <w:widowControl w:val="0"/>
        <w:tabs>
          <w:tab w:val="left" w:pos="2835"/>
        </w:tabs>
        <w:ind w:firstLine="708"/>
        <w:rPr>
          <w:bCs/>
        </w:rPr>
      </w:pPr>
      <w:r>
        <w:rPr>
          <w:bCs/>
        </w:rPr>
        <w:tab/>
        <w:t>Otro elemento destacado por el abog</w:t>
      </w:r>
      <w:r>
        <w:rPr>
          <w:bCs/>
        </w:rPr>
        <w:t>a</w:t>
      </w:r>
      <w:r>
        <w:rPr>
          <w:bCs/>
        </w:rPr>
        <w:t xml:space="preserve">do defensor, fue que Nitzcaner, en su indagatoria de fojas 795 y 970 dijo recordar que la patente de </w:t>
      </w:r>
      <w:smartTag w:uri="urn:schemas-microsoft-com:office:smarttags" w:element="PersonName">
        <w:smartTagPr>
          <w:attr w:name="ProductID" w:val="la Trafic"/>
        </w:smartTagPr>
        <w:r>
          <w:rPr>
            <w:bCs/>
          </w:rPr>
          <w:t>la Trafic</w:t>
        </w:r>
      </w:smartTag>
      <w:r>
        <w:rPr>
          <w:bCs/>
        </w:rPr>
        <w:t xml:space="preserve"> que reparó en su taller no era dominio “B” ni “C”, creyendo que era “X”, detallando que s</w:t>
      </w:r>
      <w:r>
        <w:rPr>
          <w:bCs/>
        </w:rPr>
        <w:t>e</w:t>
      </w:r>
      <w:r>
        <w:rPr>
          <w:bCs/>
        </w:rPr>
        <w:t>gún la hipótesis oficial la camioneta que se estacionara el día viernes anterior al atentado en Jet Parking tenía colocada la patente de “Me</w:t>
      </w:r>
      <w:r>
        <w:rPr>
          <w:bCs/>
        </w:rPr>
        <w:t>s</w:t>
      </w:r>
      <w:r>
        <w:rPr>
          <w:bCs/>
        </w:rPr>
        <w:t>sin S.R.L.”</w:t>
      </w:r>
    </w:p>
    <w:p w:rsidR="00224567" w:rsidRDefault="00224567">
      <w:pPr>
        <w:widowControl w:val="0"/>
        <w:tabs>
          <w:tab w:val="left" w:pos="2835"/>
        </w:tabs>
        <w:ind w:firstLine="708"/>
        <w:rPr>
          <w:bCs/>
        </w:rPr>
      </w:pPr>
      <w:r>
        <w:rPr>
          <w:bCs/>
        </w:rPr>
        <w:tab/>
        <w:t>Enfatizó también que si hubo algo en lo que Telleldín siempre se mantuvo firme, fue en que la camioneta vendida o entregada el 10 de julio había sido armada en el taller de Nitzcaner con el motor de “Me</w:t>
      </w:r>
      <w:r>
        <w:rPr>
          <w:bCs/>
        </w:rPr>
        <w:t>s</w:t>
      </w:r>
      <w:r>
        <w:rPr>
          <w:bCs/>
        </w:rPr>
        <w:t>sin” y el chasis de Sarapura y que, estos dichos, no eran c</w:t>
      </w:r>
      <w:r>
        <w:rPr>
          <w:bCs/>
        </w:rPr>
        <w:t>a</w:t>
      </w:r>
      <w:r>
        <w:rPr>
          <w:bCs/>
        </w:rPr>
        <w:t>suales sino que estaban orientados al deseo de Telleldín de desprenderse del m</w:t>
      </w:r>
      <w:r>
        <w:rPr>
          <w:bCs/>
        </w:rPr>
        <w:t>o</w:t>
      </w:r>
      <w:r>
        <w:rPr>
          <w:bCs/>
        </w:rPr>
        <w:t>tor y no quedar como último tenedor del mi</w:t>
      </w:r>
      <w:r>
        <w:rPr>
          <w:bCs/>
        </w:rPr>
        <w:t>s</w:t>
      </w:r>
      <w:r>
        <w:rPr>
          <w:bCs/>
        </w:rPr>
        <w:t>mo.</w:t>
      </w:r>
    </w:p>
    <w:p w:rsidR="00224567" w:rsidRDefault="00224567">
      <w:pPr>
        <w:widowControl w:val="0"/>
        <w:tabs>
          <w:tab w:val="left" w:pos="2835"/>
        </w:tabs>
        <w:ind w:firstLine="708"/>
        <w:rPr>
          <w:bCs/>
        </w:rPr>
      </w:pPr>
      <w:r>
        <w:rPr>
          <w:bCs/>
        </w:rPr>
        <w:lastRenderedPageBreak/>
        <w:tab/>
        <w:t>Remarcó que la defensa de Telleldín cuestionó los peritajes y los dichos de Jouce y a Nit</w:t>
      </w:r>
      <w:r>
        <w:rPr>
          <w:bCs/>
        </w:rPr>
        <w:t>z</w:t>
      </w:r>
      <w:r>
        <w:rPr>
          <w:bCs/>
        </w:rPr>
        <w:t>caner, e insistió con relación a este punto, en que el m</w:t>
      </w:r>
      <w:r>
        <w:rPr>
          <w:bCs/>
        </w:rPr>
        <w:t>o</w:t>
      </w:r>
      <w:r>
        <w:rPr>
          <w:bCs/>
        </w:rPr>
        <w:t>tor de “Messin S.R.L.” se colocó en la carrocería de Sar</w:t>
      </w:r>
      <w:r>
        <w:rPr>
          <w:bCs/>
        </w:rPr>
        <w:t>a</w:t>
      </w:r>
      <w:r>
        <w:rPr>
          <w:bCs/>
        </w:rPr>
        <w:t xml:space="preserve">pura y que fue ésta la que explotó en </w:t>
      </w:r>
      <w:smartTag w:uri="urn:schemas-microsoft-com:office:smarttags" w:element="PersonName">
        <w:smartTagPr>
          <w:attr w:name="ProductID" w:val="la A.M"/>
        </w:smartTagPr>
        <w:r>
          <w:rPr>
            <w:bCs/>
          </w:rPr>
          <w:t>la A.M</w:t>
        </w:r>
      </w:smartTag>
      <w:r>
        <w:rPr>
          <w:bCs/>
        </w:rPr>
        <w:t>.I.A..</w:t>
      </w:r>
    </w:p>
    <w:p w:rsidR="00224567" w:rsidRDefault="00224567">
      <w:pPr>
        <w:widowControl w:val="0"/>
        <w:tabs>
          <w:tab w:val="left" w:pos="2835"/>
        </w:tabs>
        <w:ind w:firstLine="708"/>
        <w:rPr>
          <w:bCs/>
        </w:rPr>
      </w:pPr>
      <w:r>
        <w:rPr>
          <w:bCs/>
        </w:rPr>
        <w:tab/>
        <w:t>Sostuvo el letrado que dichos extr</w:t>
      </w:r>
      <w:r>
        <w:rPr>
          <w:bCs/>
        </w:rPr>
        <w:t>e</w:t>
      </w:r>
      <w:r>
        <w:rPr>
          <w:bCs/>
        </w:rPr>
        <w:t>mos fueron armados, al punto que Boragni en la audiencia d</w:t>
      </w:r>
      <w:r>
        <w:rPr>
          <w:bCs/>
        </w:rPr>
        <w:t>i</w:t>
      </w:r>
      <w:r>
        <w:rPr>
          <w:bCs/>
        </w:rPr>
        <w:t>jo cosas que nunca había mencionado, tal como que Cotoras h</w:t>
      </w:r>
      <w:r>
        <w:rPr>
          <w:bCs/>
        </w:rPr>
        <w:t>a</w:t>
      </w:r>
      <w:r>
        <w:rPr>
          <w:bCs/>
        </w:rPr>
        <w:t>bía limpiado el motor mientras ella cebaba mate y así ju</w:t>
      </w:r>
      <w:r>
        <w:rPr>
          <w:bCs/>
        </w:rPr>
        <w:t>s</w:t>
      </w:r>
      <w:r>
        <w:rPr>
          <w:bCs/>
        </w:rPr>
        <w:t>tificar el hecho de que la gente del taller de Nitzcaner no haya notado que r</w:t>
      </w:r>
      <w:r>
        <w:rPr>
          <w:bCs/>
        </w:rPr>
        <w:t>e</w:t>
      </w:r>
      <w:r>
        <w:rPr>
          <w:bCs/>
        </w:rPr>
        <w:t>cibía un motor quemado.</w:t>
      </w:r>
    </w:p>
    <w:p w:rsidR="00224567" w:rsidRDefault="00224567">
      <w:pPr>
        <w:widowControl w:val="0"/>
        <w:tabs>
          <w:tab w:val="left" w:pos="2835"/>
        </w:tabs>
        <w:ind w:firstLine="708"/>
        <w:rPr>
          <w:bCs/>
        </w:rPr>
      </w:pPr>
      <w:r>
        <w:rPr>
          <w:bCs/>
        </w:rPr>
        <w:tab/>
        <w:t>Remarcó la defensa que, en toda la causa, no hay prueba alguna que permita inferir que la c</w:t>
      </w:r>
      <w:r>
        <w:rPr>
          <w:bCs/>
        </w:rPr>
        <w:t>a</w:t>
      </w:r>
      <w:r>
        <w:rPr>
          <w:bCs/>
        </w:rPr>
        <w:t>mioneta que estaba frente a lo de T</w:t>
      </w:r>
      <w:r>
        <w:rPr>
          <w:bCs/>
        </w:rPr>
        <w:t>e</w:t>
      </w:r>
      <w:r>
        <w:rPr>
          <w:bCs/>
        </w:rPr>
        <w:t>lleldín el día 10 era una distinta a la de Sarapura y que, por el contr</w:t>
      </w:r>
      <w:r>
        <w:rPr>
          <w:bCs/>
        </w:rPr>
        <w:t>a</w:t>
      </w:r>
      <w:r>
        <w:rPr>
          <w:bCs/>
        </w:rPr>
        <w:t>rio, si aquel día hubo alguna camioneta en República ésta fue la que se armó en lo de Nit</w:t>
      </w:r>
      <w:r>
        <w:rPr>
          <w:bCs/>
        </w:rPr>
        <w:t>z</w:t>
      </w:r>
      <w:r>
        <w:rPr>
          <w:bCs/>
        </w:rPr>
        <w:t>caner.</w:t>
      </w:r>
    </w:p>
    <w:p w:rsidR="00224567" w:rsidRDefault="00224567">
      <w:pPr>
        <w:widowControl w:val="0"/>
        <w:tabs>
          <w:tab w:val="left" w:pos="2835"/>
        </w:tabs>
        <w:ind w:firstLine="708"/>
        <w:rPr>
          <w:bCs/>
        </w:rPr>
      </w:pPr>
      <w:r>
        <w:rPr>
          <w:bCs/>
        </w:rPr>
        <w:tab/>
        <w:t>Para sustentar dicha afirmación, r</w:t>
      </w:r>
      <w:r>
        <w:rPr>
          <w:bCs/>
        </w:rPr>
        <w:t>e</w:t>
      </w:r>
      <w:r>
        <w:rPr>
          <w:bCs/>
        </w:rPr>
        <w:t>cordó los dichos de los empleados del taller, en cuanto a que tanto Telleldín como Boragni eran insistentes en que se culminara rápid</w:t>
      </w:r>
      <w:r>
        <w:rPr>
          <w:bCs/>
        </w:rPr>
        <w:t>a</w:t>
      </w:r>
      <w:r>
        <w:rPr>
          <w:bCs/>
        </w:rPr>
        <w:t xml:space="preserve">mente con los trabajos ya que la tenían </w:t>
      </w:r>
      <w:r>
        <w:rPr>
          <w:bCs/>
        </w:rPr>
        <w:lastRenderedPageBreak/>
        <w:t>publicada para la venta; que el mismo sábado 9 de julio Boragni se llevó la camioneta del taller alr</w:t>
      </w:r>
      <w:r>
        <w:rPr>
          <w:bCs/>
        </w:rPr>
        <w:t>e</w:t>
      </w:r>
      <w:r>
        <w:rPr>
          <w:bCs/>
        </w:rPr>
        <w:t>dedor de las 11.00 con de</w:t>
      </w:r>
      <w:r>
        <w:rPr>
          <w:bCs/>
        </w:rPr>
        <w:t>s</w:t>
      </w:r>
      <w:r>
        <w:rPr>
          <w:bCs/>
        </w:rPr>
        <w:t>tino a su domicilio.</w:t>
      </w:r>
    </w:p>
    <w:p w:rsidR="00224567" w:rsidRDefault="00224567">
      <w:pPr>
        <w:widowControl w:val="0"/>
        <w:tabs>
          <w:tab w:val="left" w:pos="2835"/>
        </w:tabs>
        <w:ind w:firstLine="708"/>
        <w:rPr>
          <w:bCs/>
        </w:rPr>
      </w:pPr>
      <w:r>
        <w:rPr>
          <w:bCs/>
        </w:rPr>
        <w:tab/>
        <w:t>Resultó que estos dos aspectos son prueba suficiente de que si ese fin de semana hubo a</w:t>
      </w:r>
      <w:r>
        <w:rPr>
          <w:bCs/>
        </w:rPr>
        <w:t>l</w:t>
      </w:r>
      <w:r>
        <w:rPr>
          <w:bCs/>
        </w:rPr>
        <w:t>guna camioneta para la venta, fue la que se armó en el taller de Nitzcaner. A ello, el defensor adunó los dichos de Schonbrod, quien fue a la casa de Telleldín el sábado 9 de julio por la tarde, i</w:t>
      </w:r>
      <w:r>
        <w:rPr>
          <w:bCs/>
        </w:rPr>
        <w:t>n</w:t>
      </w:r>
      <w:r>
        <w:rPr>
          <w:bCs/>
        </w:rPr>
        <w:t>teresado en la compra de un Renault 19 y vio una camioneta Trafic estacionada, con una aboll</w:t>
      </w:r>
      <w:r>
        <w:rPr>
          <w:bCs/>
        </w:rPr>
        <w:t>a</w:t>
      </w:r>
      <w:r>
        <w:rPr>
          <w:bCs/>
        </w:rPr>
        <w:t>dura en la parte superior del par</w:t>
      </w:r>
      <w:r>
        <w:rPr>
          <w:bCs/>
        </w:rPr>
        <w:t>a</w:t>
      </w:r>
      <w:r>
        <w:rPr>
          <w:bCs/>
        </w:rPr>
        <w:t>brisas que no presentaba vestigios o marcas de ince</w:t>
      </w:r>
      <w:r>
        <w:rPr>
          <w:bCs/>
        </w:rPr>
        <w:t>n</w:t>
      </w:r>
      <w:r>
        <w:rPr>
          <w:bCs/>
        </w:rPr>
        <w:t>dio, tal como el mismo Sarapura la describiera y lo manifestara quien fuera su novia en esa época, María Magd</w:t>
      </w:r>
      <w:r>
        <w:rPr>
          <w:bCs/>
        </w:rPr>
        <w:t>a</w:t>
      </w:r>
      <w:r>
        <w:rPr>
          <w:bCs/>
        </w:rPr>
        <w:t>lena Dalbagni.</w:t>
      </w:r>
    </w:p>
    <w:p w:rsidR="00224567" w:rsidRDefault="00224567">
      <w:pPr>
        <w:widowControl w:val="0"/>
        <w:tabs>
          <w:tab w:val="left" w:pos="2835"/>
        </w:tabs>
        <w:ind w:firstLine="708"/>
        <w:rPr>
          <w:bCs/>
        </w:rPr>
      </w:pPr>
      <w:r>
        <w:rPr>
          <w:bCs/>
        </w:rPr>
        <w:tab/>
        <w:t>Sobre el particular, agregó el letr</w:t>
      </w:r>
      <w:r>
        <w:rPr>
          <w:bCs/>
        </w:rPr>
        <w:t>a</w:t>
      </w:r>
      <w:r>
        <w:rPr>
          <w:bCs/>
        </w:rPr>
        <w:t>do que la testigo Leoni manifestó que vio una camioneta Tr</w:t>
      </w:r>
      <w:r>
        <w:rPr>
          <w:bCs/>
        </w:rPr>
        <w:t>a</w:t>
      </w:r>
      <w:r>
        <w:rPr>
          <w:bCs/>
        </w:rPr>
        <w:t>fic frente a lo de Telleldín que tenía colocada una pate</w:t>
      </w:r>
      <w:r>
        <w:rPr>
          <w:bCs/>
        </w:rPr>
        <w:t>n</w:t>
      </w:r>
      <w:r>
        <w:rPr>
          <w:bCs/>
        </w:rPr>
        <w:t>te que fin</w:t>
      </w:r>
      <w:r>
        <w:rPr>
          <w:bCs/>
        </w:rPr>
        <w:t>a</w:t>
      </w:r>
      <w:r>
        <w:rPr>
          <w:bCs/>
        </w:rPr>
        <w:t>lizaba en 88, por lo que nunca pudo haber sido la que e</w:t>
      </w:r>
      <w:r>
        <w:rPr>
          <w:bCs/>
        </w:rPr>
        <w:t>x</w:t>
      </w:r>
      <w:r>
        <w:rPr>
          <w:bCs/>
        </w:rPr>
        <w:t xml:space="preserve">plotó en </w:t>
      </w:r>
      <w:smartTag w:uri="urn:schemas-microsoft-com:office:smarttags" w:element="PersonName">
        <w:smartTagPr>
          <w:attr w:name="ProductID" w:val="la A.M"/>
        </w:smartTagPr>
        <w:r>
          <w:rPr>
            <w:bCs/>
          </w:rPr>
          <w:t>la A.M</w:t>
        </w:r>
      </w:smartTag>
      <w:r>
        <w:rPr>
          <w:bCs/>
        </w:rPr>
        <w:t>.I.A.</w:t>
      </w:r>
    </w:p>
    <w:p w:rsidR="00224567" w:rsidRDefault="00224567">
      <w:pPr>
        <w:widowControl w:val="0"/>
        <w:tabs>
          <w:tab w:val="left" w:pos="2835"/>
        </w:tabs>
        <w:ind w:firstLine="708"/>
        <w:rPr>
          <w:bCs/>
        </w:rPr>
      </w:pPr>
      <w:r>
        <w:rPr>
          <w:bCs/>
        </w:rPr>
        <w:tab/>
        <w:t xml:space="preserve">Con todos esos elementos, sostuvo el </w:t>
      </w:r>
      <w:r>
        <w:rPr>
          <w:bCs/>
        </w:rPr>
        <w:lastRenderedPageBreak/>
        <w:t>defensor oficial que está probado que la camion</w:t>
      </w:r>
      <w:r>
        <w:rPr>
          <w:bCs/>
        </w:rPr>
        <w:t>e</w:t>
      </w:r>
      <w:r>
        <w:rPr>
          <w:bCs/>
        </w:rPr>
        <w:t>ta que se encontraba en la puerta de la casa de Telleldín el 10 de julio era la que se armó en el taller de Nitzc</w:t>
      </w:r>
      <w:r>
        <w:rPr>
          <w:bCs/>
        </w:rPr>
        <w:t>a</w:t>
      </w:r>
      <w:r>
        <w:rPr>
          <w:bCs/>
        </w:rPr>
        <w:t>ner, y esta estaba conformada por la carrocería de S</w:t>
      </w:r>
      <w:r>
        <w:rPr>
          <w:bCs/>
        </w:rPr>
        <w:t>a</w:t>
      </w:r>
      <w:r>
        <w:rPr>
          <w:bCs/>
        </w:rPr>
        <w:t>rapura y un motor del que se desconoce su origen, y si es que hubo una c</w:t>
      </w:r>
      <w:r>
        <w:rPr>
          <w:bCs/>
        </w:rPr>
        <w:t>a</w:t>
      </w:r>
      <w:r>
        <w:rPr>
          <w:bCs/>
        </w:rPr>
        <w:t>mioneta ese día, de ninguna manera contenía el motor que apareció e</w:t>
      </w:r>
      <w:r>
        <w:rPr>
          <w:bCs/>
        </w:rPr>
        <w:t>n</w:t>
      </w:r>
      <w:r>
        <w:rPr>
          <w:bCs/>
        </w:rPr>
        <w:t>tre los escombros de la mutual.</w:t>
      </w:r>
    </w:p>
    <w:p w:rsidR="00224567" w:rsidRDefault="00224567">
      <w:pPr>
        <w:widowControl w:val="0"/>
        <w:tabs>
          <w:tab w:val="left" w:pos="2835"/>
        </w:tabs>
        <w:ind w:firstLine="708"/>
        <w:rPr>
          <w:bCs/>
        </w:rPr>
      </w:pPr>
      <w:r>
        <w:rPr>
          <w:bCs/>
        </w:rPr>
        <w:tab/>
        <w:t>Destacó la defensa que nada rel</w:t>
      </w:r>
      <w:r>
        <w:rPr>
          <w:bCs/>
        </w:rPr>
        <w:t>e</w:t>
      </w:r>
      <w:r>
        <w:rPr>
          <w:bCs/>
        </w:rPr>
        <w:t>vante se hizo para determinar cuál fue la carrocería utilizada pues la comprobación de dicha circunstancia resultaba de vital importancia para acercarse a los autores del atent</w:t>
      </w:r>
      <w:r>
        <w:rPr>
          <w:bCs/>
        </w:rPr>
        <w:t>a</w:t>
      </w:r>
      <w:r>
        <w:rPr>
          <w:bCs/>
        </w:rPr>
        <w:t>do, e incluso siguiendo su recorrido se podría haber est</w:t>
      </w:r>
      <w:r>
        <w:rPr>
          <w:bCs/>
        </w:rPr>
        <w:t>a</w:t>
      </w:r>
      <w:r>
        <w:rPr>
          <w:bCs/>
        </w:rPr>
        <w:t>blecido dó</w:t>
      </w:r>
      <w:r>
        <w:rPr>
          <w:bCs/>
        </w:rPr>
        <w:t>n</w:t>
      </w:r>
      <w:r>
        <w:rPr>
          <w:bCs/>
        </w:rPr>
        <w:t>de, cómo y en qué momento se le colocó el motor que apareció entre los e</w:t>
      </w:r>
      <w:r>
        <w:rPr>
          <w:bCs/>
        </w:rPr>
        <w:t>s</w:t>
      </w:r>
      <w:r>
        <w:rPr>
          <w:bCs/>
        </w:rPr>
        <w:t xml:space="preserve">combros de </w:t>
      </w:r>
      <w:smartTag w:uri="urn:schemas-microsoft-com:office:smarttags" w:element="PersonName">
        <w:smartTagPr>
          <w:attr w:name="ProductID" w:val="la A.M"/>
        </w:smartTagPr>
        <w:r>
          <w:rPr>
            <w:bCs/>
          </w:rPr>
          <w:t>la A.M</w:t>
        </w:r>
      </w:smartTag>
      <w:r>
        <w:rPr>
          <w:bCs/>
        </w:rPr>
        <w:t>.I.A.</w:t>
      </w:r>
    </w:p>
    <w:p w:rsidR="00224567" w:rsidRDefault="00224567">
      <w:pPr>
        <w:widowControl w:val="0"/>
        <w:tabs>
          <w:tab w:val="left" w:pos="2835"/>
        </w:tabs>
        <w:ind w:firstLine="708"/>
        <w:rPr>
          <w:bCs/>
        </w:rPr>
      </w:pPr>
      <w:r>
        <w:rPr>
          <w:bCs/>
        </w:rPr>
        <w:tab/>
        <w:t>El letrado justificó este acci</w:t>
      </w:r>
      <w:r>
        <w:rPr>
          <w:bCs/>
        </w:rPr>
        <w:t>o</w:t>
      </w:r>
      <w:r>
        <w:rPr>
          <w:bCs/>
        </w:rPr>
        <w:t>nar, en que esta tarea no se hizo o por una negligencia i</w:t>
      </w:r>
      <w:r>
        <w:rPr>
          <w:bCs/>
        </w:rPr>
        <w:t>n</w:t>
      </w:r>
      <w:r>
        <w:rPr>
          <w:bCs/>
        </w:rPr>
        <w:t>finita, o porque no quería correrse el rie</w:t>
      </w:r>
      <w:r>
        <w:rPr>
          <w:bCs/>
        </w:rPr>
        <w:t>s</w:t>
      </w:r>
      <w:r>
        <w:rPr>
          <w:bCs/>
        </w:rPr>
        <w:t>go de que con la propia actividad de la instrucción se desmoronara la tesis of</w:t>
      </w:r>
      <w:r>
        <w:rPr>
          <w:bCs/>
        </w:rPr>
        <w:t>i</w:t>
      </w:r>
      <w:r>
        <w:rPr>
          <w:bCs/>
        </w:rPr>
        <w:t>cial.</w:t>
      </w:r>
    </w:p>
    <w:p w:rsidR="00224567" w:rsidRDefault="00224567">
      <w:pPr>
        <w:widowControl w:val="0"/>
        <w:tabs>
          <w:tab w:val="left" w:pos="2835"/>
        </w:tabs>
        <w:ind w:firstLine="708"/>
        <w:rPr>
          <w:bCs/>
        </w:rPr>
      </w:pPr>
      <w:r>
        <w:rPr>
          <w:bCs/>
        </w:rPr>
        <w:tab/>
        <w:t>En apoyo de esa postura, el defensor enumeró las diligencias que se hicieron al respecto, cal</w:t>
      </w:r>
      <w:r>
        <w:rPr>
          <w:bCs/>
        </w:rPr>
        <w:t>i</w:t>
      </w:r>
      <w:r>
        <w:rPr>
          <w:bCs/>
        </w:rPr>
        <w:lastRenderedPageBreak/>
        <w:t xml:space="preserve">ficándolas de incompletas e insuficientes, tales como el informe de fs. 21.409 firmado por Oscar Jorge Prícolo de </w:t>
      </w:r>
      <w:smartTag w:uri="urn:schemas-microsoft-com:office:smarttags" w:element="PersonName">
        <w:smartTagPr>
          <w:attr w:name="ProductID" w:val="la Divisi￳n Sustracci￳n"/>
        </w:smartTagPr>
        <w:r>
          <w:rPr>
            <w:bCs/>
          </w:rPr>
          <w:t>la División Sustracción</w:t>
        </w:r>
      </w:smartTag>
      <w:r>
        <w:rPr>
          <w:bCs/>
        </w:rPr>
        <w:t xml:space="preserve"> de Automotores de </w:t>
      </w:r>
      <w:smartTag w:uri="urn:schemas-microsoft-com:office:smarttags" w:element="PersonName">
        <w:smartTagPr>
          <w:attr w:name="ProductID" w:val="la Polic￭a Federal"/>
        </w:smartTagPr>
        <w:r>
          <w:rPr>
            <w:bCs/>
          </w:rPr>
          <w:t>la Policía Fed</w:t>
        </w:r>
        <w:r>
          <w:rPr>
            <w:bCs/>
          </w:rPr>
          <w:t>e</w:t>
        </w:r>
        <w:r>
          <w:rPr>
            <w:bCs/>
          </w:rPr>
          <w:t>ral</w:t>
        </w:r>
      </w:smartTag>
      <w:r>
        <w:rPr>
          <w:bCs/>
        </w:rPr>
        <w:t xml:space="preserve"> y el de fs. 14.030 firmado por Ramón Orestes Berón de </w:t>
      </w:r>
      <w:smartTag w:uri="urn:schemas-microsoft-com:office:smarttags" w:element="PersonName">
        <w:smartTagPr>
          <w:attr w:name="ProductID" w:val="la Divisi￳n Sustracci￳n"/>
        </w:smartTagPr>
        <w:r>
          <w:rPr>
            <w:bCs/>
          </w:rPr>
          <w:t>la División Sustracción</w:t>
        </w:r>
      </w:smartTag>
      <w:r>
        <w:rPr>
          <w:bCs/>
        </w:rPr>
        <w:t xml:space="preserve"> de Automotores de Vicente López. Agregó que Stiuso afirmó en la audiencia que si bien </w:t>
      </w:r>
      <w:smartTag w:uri="urn:schemas-microsoft-com:office:smarttags" w:element="PersonName">
        <w:smartTagPr>
          <w:attr w:name="ProductID" w:val="la S.I"/>
        </w:smartTagPr>
        <w:r>
          <w:rPr>
            <w:bCs/>
          </w:rPr>
          <w:t>la S.I</w:t>
        </w:r>
      </w:smartTag>
      <w:r>
        <w:rPr>
          <w:bCs/>
        </w:rPr>
        <w:t>.D.E. en un principio trató de determinar cuál fue la carrocería utilizada, esa tarea quedó inco</w:t>
      </w:r>
      <w:r>
        <w:rPr>
          <w:bCs/>
        </w:rPr>
        <w:t>n</w:t>
      </w:r>
      <w:r>
        <w:rPr>
          <w:bCs/>
        </w:rPr>
        <w:t>clusa cuando su equipo fue apartado de la investig</w:t>
      </w:r>
      <w:r>
        <w:rPr>
          <w:bCs/>
        </w:rPr>
        <w:t>a</w:t>
      </w:r>
      <w:r>
        <w:rPr>
          <w:bCs/>
        </w:rPr>
        <w:t>ción.</w:t>
      </w:r>
    </w:p>
    <w:p w:rsidR="00224567" w:rsidRDefault="00224567">
      <w:pPr>
        <w:widowControl w:val="0"/>
        <w:tabs>
          <w:tab w:val="left" w:pos="2835"/>
        </w:tabs>
        <w:ind w:firstLine="708"/>
        <w:rPr>
          <w:bCs/>
        </w:rPr>
      </w:pPr>
      <w:r>
        <w:rPr>
          <w:bCs/>
        </w:rPr>
        <w:tab/>
        <w:t>Respecto a la responsabilidad de Ib</w:t>
      </w:r>
      <w:r>
        <w:rPr>
          <w:bCs/>
        </w:rPr>
        <w:t>a</w:t>
      </w:r>
      <w:r>
        <w:rPr>
          <w:bCs/>
        </w:rPr>
        <w:t>rra, el Dr. Valle manifestó que los fiscales hicieron m</w:t>
      </w:r>
      <w:r>
        <w:rPr>
          <w:bCs/>
        </w:rPr>
        <w:t>é</w:t>
      </w:r>
      <w:r>
        <w:rPr>
          <w:bCs/>
        </w:rPr>
        <w:t xml:space="preserve">rito de los dichos de </w:t>
      </w:r>
      <w:r>
        <w:rPr>
          <w:lang w:val="es-ES_tradnl"/>
        </w:rPr>
        <w:t>Catalino José</w:t>
      </w:r>
      <w:r>
        <w:rPr>
          <w:bCs/>
        </w:rPr>
        <w:t xml:space="preserve"> Humerez, que a su cr</w:t>
      </w:r>
      <w:r>
        <w:rPr>
          <w:bCs/>
        </w:rPr>
        <w:t>i</w:t>
      </w:r>
      <w:r>
        <w:rPr>
          <w:bCs/>
        </w:rPr>
        <w:t>terio resultan extravagantes, contradictorios, y sin ni</w:t>
      </w:r>
      <w:r>
        <w:rPr>
          <w:bCs/>
        </w:rPr>
        <w:t>n</w:t>
      </w:r>
      <w:r>
        <w:rPr>
          <w:bCs/>
        </w:rPr>
        <w:t>guna credibil</w:t>
      </w:r>
      <w:r>
        <w:rPr>
          <w:bCs/>
        </w:rPr>
        <w:t>i</w:t>
      </w:r>
      <w:r>
        <w:rPr>
          <w:bCs/>
        </w:rPr>
        <w:t>dad.</w:t>
      </w:r>
    </w:p>
    <w:p w:rsidR="00224567" w:rsidRDefault="00224567">
      <w:pPr>
        <w:widowControl w:val="0"/>
        <w:tabs>
          <w:tab w:val="left" w:pos="2835"/>
        </w:tabs>
        <w:ind w:firstLine="708"/>
        <w:rPr>
          <w:bCs/>
        </w:rPr>
      </w:pPr>
      <w:r>
        <w:rPr>
          <w:bCs/>
        </w:rPr>
        <w:tab/>
        <w:t>Recordó que en el certificado de su declaración bajo identidad reservada, se omitieron ci</w:t>
      </w:r>
      <w:r>
        <w:rPr>
          <w:bCs/>
        </w:rPr>
        <w:t>r</w:t>
      </w:r>
      <w:r>
        <w:rPr>
          <w:bCs/>
        </w:rPr>
        <w:t>cunstancias que exculpaban a Ribelli, citando, a modo de ejemplo, que la secretaria del juzgado consignó que el testigo lo vio manejando una cami</w:t>
      </w:r>
      <w:r>
        <w:rPr>
          <w:bCs/>
        </w:rPr>
        <w:t>o</w:t>
      </w:r>
      <w:r>
        <w:rPr>
          <w:bCs/>
        </w:rPr>
        <w:t>neta el día 18 de julio, sin consignarse ningún otro dato.</w:t>
      </w:r>
    </w:p>
    <w:p w:rsidR="00224567" w:rsidRDefault="00224567">
      <w:pPr>
        <w:widowControl w:val="0"/>
        <w:tabs>
          <w:tab w:val="left" w:pos="2835"/>
        </w:tabs>
        <w:ind w:firstLine="708"/>
        <w:rPr>
          <w:bCs/>
        </w:rPr>
      </w:pPr>
      <w:r>
        <w:rPr>
          <w:bCs/>
        </w:rPr>
        <w:lastRenderedPageBreak/>
        <w:tab/>
        <w:t>Valoró el defensor que los funcion</w:t>
      </w:r>
      <w:r>
        <w:rPr>
          <w:bCs/>
        </w:rPr>
        <w:t>a</w:t>
      </w:r>
      <w:r>
        <w:rPr>
          <w:bCs/>
        </w:rPr>
        <w:t>rios del juzgado no consignaron en el acta el resto de las cuestiones, con una clara intención de ocultamiento y po</w:t>
      </w:r>
      <w:r>
        <w:rPr>
          <w:bCs/>
        </w:rPr>
        <w:t>r</w:t>
      </w:r>
      <w:r>
        <w:rPr>
          <w:bCs/>
        </w:rPr>
        <w:t>que ya conocían los detalles de la declaración i</w:t>
      </w:r>
      <w:r>
        <w:rPr>
          <w:bCs/>
        </w:rPr>
        <w:t>n</w:t>
      </w:r>
      <w:r>
        <w:rPr>
          <w:bCs/>
        </w:rPr>
        <w:t>dagatoria de Ribelli, que los contr</w:t>
      </w:r>
      <w:r>
        <w:rPr>
          <w:bCs/>
        </w:rPr>
        <w:t>a</w:t>
      </w:r>
      <w:r>
        <w:rPr>
          <w:bCs/>
        </w:rPr>
        <w:t>decían.</w:t>
      </w:r>
    </w:p>
    <w:p w:rsidR="00224567" w:rsidRDefault="00224567">
      <w:pPr>
        <w:widowControl w:val="0"/>
        <w:tabs>
          <w:tab w:val="left" w:pos="2835"/>
        </w:tabs>
        <w:ind w:firstLine="708"/>
        <w:rPr>
          <w:bCs/>
        </w:rPr>
      </w:pPr>
      <w:r>
        <w:rPr>
          <w:bCs/>
        </w:rPr>
        <w:tab/>
        <w:t>Destacó que con esta maniobra pudo utilizarse el testimonio de Humerez en contra de los int</w:t>
      </w:r>
      <w:r>
        <w:rPr>
          <w:bCs/>
        </w:rPr>
        <w:t>e</w:t>
      </w:r>
      <w:r>
        <w:rPr>
          <w:bCs/>
        </w:rPr>
        <w:t xml:space="preserve">grantes de </w:t>
      </w:r>
      <w:smartTag w:uri="urn:schemas-microsoft-com:office:smarttags" w:element="PersonName">
        <w:smartTagPr>
          <w:attr w:name="ProductID" w:val="la Brigada"/>
        </w:smartTagPr>
        <w:r>
          <w:rPr>
            <w:bCs/>
          </w:rPr>
          <w:t>la Brigada</w:t>
        </w:r>
      </w:smartTag>
      <w:r>
        <w:rPr>
          <w:bCs/>
        </w:rPr>
        <w:t xml:space="preserve"> de Lanús, poniendo de manifiesto que, a su criterio, lo mas serio fue que una vez desc</w:t>
      </w:r>
      <w:r>
        <w:rPr>
          <w:bCs/>
        </w:rPr>
        <w:t>u</w:t>
      </w:r>
      <w:r>
        <w:rPr>
          <w:bCs/>
        </w:rPr>
        <w:t>bierta la misma, cuando se levantó la reserva de identidad y con conocimiento de la declaración, se s</w:t>
      </w:r>
      <w:r>
        <w:rPr>
          <w:bCs/>
        </w:rPr>
        <w:t>i</w:t>
      </w:r>
      <w:r>
        <w:rPr>
          <w:bCs/>
        </w:rPr>
        <w:t>guió utilizando a este hombre como te</w:t>
      </w:r>
      <w:r>
        <w:rPr>
          <w:bCs/>
        </w:rPr>
        <w:t>s</w:t>
      </w:r>
      <w:r>
        <w:rPr>
          <w:bCs/>
        </w:rPr>
        <w:t>tigo de cargo.</w:t>
      </w:r>
    </w:p>
    <w:p w:rsidR="00224567" w:rsidRDefault="00224567">
      <w:pPr>
        <w:widowControl w:val="0"/>
        <w:tabs>
          <w:tab w:val="left" w:pos="2835"/>
        </w:tabs>
        <w:ind w:firstLine="708"/>
        <w:rPr>
          <w:bCs/>
        </w:rPr>
      </w:pPr>
      <w:r>
        <w:rPr>
          <w:bCs/>
        </w:rPr>
        <w:tab/>
        <w:t>Subrayó el defensor que Humerez fue un testigo de identidad reservada que mintió y que co</w:t>
      </w:r>
      <w:r>
        <w:rPr>
          <w:bCs/>
        </w:rPr>
        <w:t>n</w:t>
      </w:r>
      <w:r>
        <w:rPr>
          <w:bCs/>
        </w:rPr>
        <w:t>tó con la dolosa complacencia del juzgado para ocultar durante años datos fundamentales de su declaración, concluyendo que su testimonio resultaba un elemento a favor de la p</w:t>
      </w:r>
      <w:r>
        <w:rPr>
          <w:bCs/>
        </w:rPr>
        <w:t>o</w:t>
      </w:r>
      <w:r>
        <w:rPr>
          <w:bCs/>
        </w:rPr>
        <w:t>sición defensi</w:t>
      </w:r>
      <w:r>
        <w:rPr>
          <w:bCs/>
        </w:rPr>
        <w:t>s</w:t>
      </w:r>
      <w:r>
        <w:rPr>
          <w:bCs/>
        </w:rPr>
        <w:t>ta.</w:t>
      </w:r>
    </w:p>
    <w:p w:rsidR="00224567" w:rsidRDefault="00224567">
      <w:pPr>
        <w:widowControl w:val="0"/>
        <w:tabs>
          <w:tab w:val="left" w:pos="2835"/>
        </w:tabs>
        <w:ind w:firstLine="708"/>
        <w:rPr>
          <w:bCs/>
        </w:rPr>
      </w:pPr>
      <w:r>
        <w:rPr>
          <w:bCs/>
        </w:rPr>
        <w:tab/>
        <w:t>Respecto de Cotoras, consideró el l</w:t>
      </w:r>
      <w:r>
        <w:rPr>
          <w:bCs/>
        </w:rPr>
        <w:t>e</w:t>
      </w:r>
      <w:r>
        <w:rPr>
          <w:bCs/>
        </w:rPr>
        <w:t>trado que por su participación debió haber sido imput</w:t>
      </w:r>
      <w:r>
        <w:rPr>
          <w:bCs/>
        </w:rPr>
        <w:t>a</w:t>
      </w:r>
      <w:r>
        <w:rPr>
          <w:bCs/>
        </w:rPr>
        <w:t>do y así concurrir al juicio al igual que Nitzcaner.</w:t>
      </w:r>
    </w:p>
    <w:p w:rsidR="00224567" w:rsidRDefault="00224567">
      <w:pPr>
        <w:widowControl w:val="0"/>
        <w:tabs>
          <w:tab w:val="left" w:pos="2835"/>
        </w:tabs>
        <w:ind w:firstLine="708"/>
        <w:rPr>
          <w:bCs/>
        </w:rPr>
      </w:pPr>
      <w:r>
        <w:rPr>
          <w:bCs/>
        </w:rPr>
        <w:lastRenderedPageBreak/>
        <w:tab/>
        <w:t>Imputó esa irregularidad a la m</w:t>
      </w:r>
      <w:r>
        <w:rPr>
          <w:bCs/>
        </w:rPr>
        <w:t>a</w:t>
      </w:r>
      <w:r>
        <w:rPr>
          <w:bCs/>
        </w:rPr>
        <w:t>la fe del juez, ya que Cotoras apareció como testigo durante la instrucción, en virtud de que el juez a fs. 12.389 formó un sumario por separado -causa “Brigadas”-, para lograr que imputados en la causa A.M.I.A. o procesados como P</w:t>
      </w:r>
      <w:r>
        <w:rPr>
          <w:bCs/>
        </w:rPr>
        <w:t>é</w:t>
      </w:r>
      <w:r>
        <w:rPr>
          <w:bCs/>
        </w:rPr>
        <w:t>rez, pudieran declarar como testigos en las primeras a</w:t>
      </w:r>
      <w:r>
        <w:rPr>
          <w:bCs/>
        </w:rPr>
        <w:t>c</w:t>
      </w:r>
      <w:r>
        <w:rPr>
          <w:bCs/>
        </w:rPr>
        <w:t>tuaciones y utilizar así esos testimonios en contra de los pol</w:t>
      </w:r>
      <w:r>
        <w:rPr>
          <w:bCs/>
        </w:rPr>
        <w:t>i</w:t>
      </w:r>
      <w:r>
        <w:rPr>
          <w:bCs/>
        </w:rPr>
        <w:t>cías.</w:t>
      </w:r>
    </w:p>
    <w:p w:rsidR="00224567" w:rsidRDefault="00224567">
      <w:pPr>
        <w:widowControl w:val="0"/>
        <w:tabs>
          <w:tab w:val="left" w:pos="2835"/>
        </w:tabs>
        <w:ind w:firstLine="708"/>
        <w:rPr>
          <w:bCs/>
        </w:rPr>
      </w:pPr>
      <w:r>
        <w:rPr>
          <w:bCs/>
        </w:rPr>
        <w:tab/>
        <w:t>Maniobra, a juicio de la defensa, en la que se encontraban involucrados Cotoras, Eduardo T</w:t>
      </w:r>
      <w:r>
        <w:rPr>
          <w:bCs/>
        </w:rPr>
        <w:t>e</w:t>
      </w:r>
      <w:r>
        <w:rPr>
          <w:bCs/>
        </w:rPr>
        <w:t>lleldín y Hugo Pérez, que, entre otras cosas, debían rec</w:t>
      </w:r>
      <w:r>
        <w:rPr>
          <w:bCs/>
        </w:rPr>
        <w:t>o</w:t>
      </w:r>
      <w:r>
        <w:rPr>
          <w:bCs/>
        </w:rPr>
        <w:t>nocer la foto nº 6 correspondiente a Ibarra, que fue de</w:t>
      </w:r>
      <w:r>
        <w:rPr>
          <w:bCs/>
        </w:rPr>
        <w:t>s</w:t>
      </w:r>
      <w:r>
        <w:rPr>
          <w:bCs/>
        </w:rPr>
        <w:t>baratada por el tribunal cuando resolvió no i</w:t>
      </w:r>
      <w:r>
        <w:rPr>
          <w:bCs/>
        </w:rPr>
        <w:t>n</w:t>
      </w:r>
      <w:r>
        <w:rPr>
          <w:bCs/>
        </w:rPr>
        <w:t>corporar el testimonio prest</w:t>
      </w:r>
      <w:r>
        <w:rPr>
          <w:bCs/>
        </w:rPr>
        <w:t>a</w:t>
      </w:r>
      <w:r>
        <w:rPr>
          <w:bCs/>
        </w:rPr>
        <w:t>do por Cotoras en la causa “Brigadas” y, a raíz de ello, ahora, la fiscalía pretende introducir esos dichos a través de Scillone y S</w:t>
      </w:r>
      <w:r>
        <w:rPr>
          <w:bCs/>
        </w:rPr>
        <w:t>a</w:t>
      </w:r>
      <w:r>
        <w:rPr>
          <w:bCs/>
        </w:rPr>
        <w:t>linas.</w:t>
      </w:r>
    </w:p>
    <w:p w:rsidR="00224567" w:rsidRDefault="00224567">
      <w:pPr>
        <w:widowControl w:val="0"/>
        <w:tabs>
          <w:tab w:val="left" w:pos="2835"/>
        </w:tabs>
        <w:ind w:firstLine="708"/>
        <w:rPr>
          <w:bCs/>
        </w:rPr>
      </w:pPr>
      <w:r>
        <w:rPr>
          <w:bCs/>
        </w:rPr>
        <w:tab/>
        <w:t>Sin perjuicio de ello, la defensa r</w:t>
      </w:r>
      <w:r>
        <w:rPr>
          <w:bCs/>
        </w:rPr>
        <w:t>e</w:t>
      </w:r>
      <w:r>
        <w:rPr>
          <w:bCs/>
        </w:rPr>
        <w:t>cordó que de las afirmaciones de Scillone, respe</w:t>
      </w:r>
      <w:r>
        <w:rPr>
          <w:bCs/>
        </w:rPr>
        <w:t>c</w:t>
      </w:r>
      <w:r>
        <w:rPr>
          <w:bCs/>
        </w:rPr>
        <w:t>to a que Cotoras había tenido un taller en Libertador y Monroe de Villa Martelli, que no podía verse desde el e</w:t>
      </w:r>
      <w:r>
        <w:rPr>
          <w:bCs/>
        </w:rPr>
        <w:t>x</w:t>
      </w:r>
      <w:r>
        <w:rPr>
          <w:bCs/>
        </w:rPr>
        <w:t xml:space="preserve">terior y al </w:t>
      </w:r>
      <w:r>
        <w:rPr>
          <w:bCs/>
        </w:rPr>
        <w:lastRenderedPageBreak/>
        <w:t>que sólo concurrían personas conocidas, es fácil colegir que allí se dedicaba a actividades irregulares con Telle</w:t>
      </w:r>
      <w:r>
        <w:rPr>
          <w:bCs/>
        </w:rPr>
        <w:t>l</w:t>
      </w:r>
      <w:r>
        <w:rPr>
          <w:bCs/>
        </w:rPr>
        <w:t>dín.</w:t>
      </w:r>
    </w:p>
    <w:p w:rsidR="00224567" w:rsidRDefault="00224567">
      <w:pPr>
        <w:widowControl w:val="0"/>
        <w:tabs>
          <w:tab w:val="left" w:pos="2835"/>
        </w:tabs>
        <w:ind w:firstLine="708"/>
        <w:rPr>
          <w:bCs/>
        </w:rPr>
      </w:pPr>
      <w:r>
        <w:rPr>
          <w:bCs/>
        </w:rPr>
        <w:tab/>
        <w:t>A fin de valorar su testimonio, reco</w:t>
      </w:r>
      <w:r>
        <w:rPr>
          <w:bCs/>
        </w:rPr>
        <w:t>r</w:t>
      </w:r>
      <w:r>
        <w:rPr>
          <w:bCs/>
        </w:rPr>
        <w:t>dó que Laura Scillone era la mujer de Cotoras, que a pa</w:t>
      </w:r>
      <w:r>
        <w:rPr>
          <w:bCs/>
        </w:rPr>
        <w:t>r</w:t>
      </w:r>
      <w:r>
        <w:rPr>
          <w:bCs/>
        </w:rPr>
        <w:t>tir del año 1991 tuvo problemas de violencia familiar con él, y que durante dos años no pudo acercarse a la casa de su mujer, ni a sus hijos por prohibición del juzgado i</w:t>
      </w:r>
      <w:r>
        <w:rPr>
          <w:bCs/>
        </w:rPr>
        <w:t>n</w:t>
      </w:r>
      <w:r>
        <w:rPr>
          <w:bCs/>
        </w:rPr>
        <w:t>terviniente.</w:t>
      </w:r>
    </w:p>
    <w:p w:rsidR="00224567" w:rsidRDefault="00224567">
      <w:pPr>
        <w:widowControl w:val="0"/>
        <w:tabs>
          <w:tab w:val="left" w:pos="2835"/>
        </w:tabs>
        <w:ind w:firstLine="708"/>
        <w:rPr>
          <w:bCs/>
        </w:rPr>
      </w:pPr>
      <w:r>
        <w:rPr>
          <w:bCs/>
        </w:rPr>
        <w:tab/>
        <w:t>Respecto a lo sostenido por la acus</w:t>
      </w:r>
      <w:r>
        <w:rPr>
          <w:bCs/>
        </w:rPr>
        <w:t>a</w:t>
      </w:r>
      <w:r>
        <w:rPr>
          <w:bCs/>
        </w:rPr>
        <w:t>ción, que aseveró que Cotoras le contó a Scillone que e</w:t>
      </w:r>
      <w:r>
        <w:rPr>
          <w:bCs/>
        </w:rPr>
        <w:t>s</w:t>
      </w:r>
      <w:r>
        <w:rPr>
          <w:bCs/>
        </w:rPr>
        <w:t>taba muy atemorizado porque había visto en la casa de T</w:t>
      </w:r>
      <w:r>
        <w:rPr>
          <w:bCs/>
        </w:rPr>
        <w:t>e</w:t>
      </w:r>
      <w:r>
        <w:rPr>
          <w:bCs/>
        </w:rPr>
        <w:t>lleldín como éste era presionado por personal pol</w:t>
      </w:r>
      <w:r>
        <w:rPr>
          <w:bCs/>
        </w:rPr>
        <w:t>i</w:t>
      </w:r>
      <w:r>
        <w:rPr>
          <w:bCs/>
        </w:rPr>
        <w:t>cial, la defensa sostuvo que Scillone precisó que, de</w:t>
      </w:r>
      <w:r>
        <w:rPr>
          <w:bCs/>
        </w:rPr>
        <w:t>s</w:t>
      </w:r>
      <w:r>
        <w:rPr>
          <w:bCs/>
        </w:rPr>
        <w:t>pués de mucho tiempo del atentado, al salir en libertad, su marido le contó lo relacionado con un “apri</w:t>
      </w:r>
      <w:r>
        <w:rPr>
          <w:bCs/>
        </w:rPr>
        <w:t>e</w:t>
      </w:r>
      <w:r>
        <w:rPr>
          <w:bCs/>
        </w:rPr>
        <w:t>te”, sin darle detalles respecto de cuando ocurrió, ni mucho menos indicar a sus autores.</w:t>
      </w:r>
    </w:p>
    <w:p w:rsidR="00224567" w:rsidRDefault="00224567">
      <w:pPr>
        <w:widowControl w:val="0"/>
        <w:tabs>
          <w:tab w:val="left" w:pos="2835"/>
        </w:tabs>
        <w:ind w:firstLine="708"/>
        <w:rPr>
          <w:bCs/>
        </w:rPr>
      </w:pPr>
      <w:r>
        <w:rPr>
          <w:bCs/>
        </w:rPr>
        <w:tab/>
        <w:t>Recordó la defensa que esta señora también dijo que no le gustaba Telleldín, que su rel</w:t>
      </w:r>
      <w:r>
        <w:rPr>
          <w:bCs/>
        </w:rPr>
        <w:t>a</w:t>
      </w:r>
      <w:r>
        <w:rPr>
          <w:bCs/>
        </w:rPr>
        <w:t xml:space="preserve">ción con Cotoras era motivo de discusión diario, pero que su </w:t>
      </w:r>
      <w:r>
        <w:rPr>
          <w:bCs/>
        </w:rPr>
        <w:lastRenderedPageBreak/>
        <w:t>marido trabajaba para él precisando que creía que estaban “con el tema de los autos gemelos”. Por ello, coligió la defensa que el temor que Cotoras le refiriera a su mujer al salir de la cá</w:t>
      </w:r>
      <w:r>
        <w:rPr>
          <w:bCs/>
        </w:rPr>
        <w:t>r</w:t>
      </w:r>
      <w:r>
        <w:rPr>
          <w:bCs/>
        </w:rPr>
        <w:t>cel, debió estar inspirado por la acción de la ju</w:t>
      </w:r>
      <w:r>
        <w:rPr>
          <w:bCs/>
        </w:rPr>
        <w:t>s</w:t>
      </w:r>
      <w:r>
        <w:rPr>
          <w:bCs/>
        </w:rPr>
        <w:t>ticia.</w:t>
      </w:r>
    </w:p>
    <w:p w:rsidR="00224567" w:rsidRDefault="00224567">
      <w:pPr>
        <w:widowControl w:val="0"/>
        <w:tabs>
          <w:tab w:val="left" w:pos="2835"/>
        </w:tabs>
        <w:ind w:firstLine="708"/>
        <w:rPr>
          <w:bCs/>
        </w:rPr>
      </w:pPr>
      <w:r>
        <w:rPr>
          <w:bCs/>
        </w:rPr>
        <w:tab/>
        <w:t>Sobre el punto, destacó que la nombr</w:t>
      </w:r>
      <w:r>
        <w:rPr>
          <w:bCs/>
        </w:rPr>
        <w:t>a</w:t>
      </w:r>
      <w:r>
        <w:rPr>
          <w:bCs/>
        </w:rPr>
        <w:t>da dijo que días antes del atentado vio una camioneta qu</w:t>
      </w:r>
      <w:r>
        <w:rPr>
          <w:bCs/>
        </w:rPr>
        <w:t>e</w:t>
      </w:r>
      <w:r>
        <w:rPr>
          <w:bCs/>
        </w:rPr>
        <w:t>mada en lo de Cotoras, sin dar precisión de cuantos días permaneció allí.</w:t>
      </w:r>
    </w:p>
    <w:p w:rsidR="00224567" w:rsidRDefault="00224567">
      <w:pPr>
        <w:widowControl w:val="0"/>
        <w:tabs>
          <w:tab w:val="left" w:pos="2835"/>
        </w:tabs>
        <w:ind w:firstLine="708"/>
        <w:rPr>
          <w:bCs/>
        </w:rPr>
      </w:pPr>
      <w:r>
        <w:rPr>
          <w:bCs/>
        </w:rPr>
        <w:tab/>
        <w:t>Destacó que en el debate, al marcárs</w:t>
      </w:r>
      <w:r>
        <w:rPr>
          <w:bCs/>
        </w:rPr>
        <w:t>e</w:t>
      </w:r>
      <w:r>
        <w:rPr>
          <w:bCs/>
        </w:rPr>
        <w:t>le una contradicción con su declaración de fs. 27.881, donde le preguntaban cuántas Trafic le llevó Telleldín a Cotoras, contestó que no recordaba ninguna camioneta, la testigo se rectificó aclarando que al concurrir a la sede del juzgado fue acompañada por C</w:t>
      </w:r>
      <w:r>
        <w:rPr>
          <w:bCs/>
        </w:rPr>
        <w:t>o</w:t>
      </w:r>
      <w:r>
        <w:rPr>
          <w:bCs/>
        </w:rPr>
        <w:t>toras, quien la aconsejó que no dijera n</w:t>
      </w:r>
      <w:r>
        <w:rPr>
          <w:bCs/>
        </w:rPr>
        <w:t>a</w:t>
      </w:r>
      <w:r>
        <w:rPr>
          <w:bCs/>
        </w:rPr>
        <w:t>da.</w:t>
      </w:r>
    </w:p>
    <w:p w:rsidR="00224567" w:rsidRDefault="00224567">
      <w:pPr>
        <w:widowControl w:val="0"/>
        <w:tabs>
          <w:tab w:val="left" w:pos="2835"/>
        </w:tabs>
        <w:ind w:firstLine="708"/>
        <w:rPr>
          <w:bCs/>
        </w:rPr>
      </w:pPr>
      <w:r>
        <w:rPr>
          <w:bCs/>
        </w:rPr>
        <w:tab/>
        <w:t>Así, la defensa concluyó que la señ</w:t>
      </w:r>
      <w:r>
        <w:rPr>
          <w:bCs/>
        </w:rPr>
        <w:t>o</w:t>
      </w:r>
      <w:r>
        <w:rPr>
          <w:bCs/>
        </w:rPr>
        <w:t>ra de Cotoras fue instigada por su marido a que decl</w:t>
      </w:r>
      <w:r>
        <w:rPr>
          <w:bCs/>
        </w:rPr>
        <w:t>a</w:t>
      </w:r>
      <w:r>
        <w:rPr>
          <w:bCs/>
        </w:rPr>
        <w:t>rara una cosa di</w:t>
      </w:r>
      <w:r>
        <w:rPr>
          <w:bCs/>
        </w:rPr>
        <w:t>s</w:t>
      </w:r>
      <w:r>
        <w:rPr>
          <w:bCs/>
        </w:rPr>
        <w:t>tinta.</w:t>
      </w:r>
    </w:p>
    <w:p w:rsidR="00224567" w:rsidRDefault="00224567">
      <w:pPr>
        <w:widowControl w:val="0"/>
        <w:tabs>
          <w:tab w:val="left" w:pos="2835"/>
        </w:tabs>
        <w:ind w:firstLine="708"/>
        <w:rPr>
          <w:bCs/>
        </w:rPr>
      </w:pPr>
      <w:r>
        <w:rPr>
          <w:bCs/>
        </w:rPr>
        <w:tab/>
        <w:t>La maniobra detallada lejos de pr</w:t>
      </w:r>
      <w:r>
        <w:rPr>
          <w:bCs/>
        </w:rPr>
        <w:t>o</w:t>
      </w:r>
      <w:r>
        <w:rPr>
          <w:bCs/>
        </w:rPr>
        <w:t xml:space="preserve">bar, </w:t>
      </w:r>
      <w:r>
        <w:rPr>
          <w:bCs/>
        </w:rPr>
        <w:lastRenderedPageBreak/>
        <w:t>según la defensa, algo en contra de Ibarra, prueba el tipo de persona que era Cotoras y los pactos espurios armados durante la instrucción que lo llevaron a Ibarra a la cá</w:t>
      </w:r>
      <w:r>
        <w:rPr>
          <w:bCs/>
        </w:rPr>
        <w:t>r</w:t>
      </w:r>
      <w:r>
        <w:rPr>
          <w:bCs/>
        </w:rPr>
        <w:t>cel.</w:t>
      </w:r>
    </w:p>
    <w:p w:rsidR="00224567" w:rsidRDefault="00224567">
      <w:pPr>
        <w:widowControl w:val="0"/>
        <w:tabs>
          <w:tab w:val="left" w:pos="2835"/>
        </w:tabs>
        <w:ind w:firstLine="708"/>
        <w:rPr>
          <w:bCs/>
        </w:rPr>
      </w:pPr>
      <w:r>
        <w:rPr>
          <w:bCs/>
        </w:rPr>
        <w:tab/>
        <w:t>Remarcó que otra de las vías indire</w:t>
      </w:r>
      <w:r>
        <w:rPr>
          <w:bCs/>
        </w:rPr>
        <w:t>c</w:t>
      </w:r>
      <w:r>
        <w:rPr>
          <w:bCs/>
        </w:rPr>
        <w:t>tas, mediante las que se pretende introducir los dichos de Cotoras al proceso, es la declaración de Miriam Salinas que el fiscal utilizó como prueba del hecho s</w:t>
      </w:r>
      <w:r>
        <w:rPr>
          <w:bCs/>
        </w:rPr>
        <w:t>u</w:t>
      </w:r>
      <w:r>
        <w:rPr>
          <w:bCs/>
        </w:rPr>
        <w:t>puestamente acaecido el 10 de julio de 1994.</w:t>
      </w:r>
    </w:p>
    <w:p w:rsidR="00224567" w:rsidRDefault="00224567">
      <w:pPr>
        <w:widowControl w:val="0"/>
        <w:tabs>
          <w:tab w:val="left" w:pos="2835"/>
        </w:tabs>
        <w:ind w:firstLine="708"/>
        <w:rPr>
          <w:bCs/>
        </w:rPr>
      </w:pPr>
      <w:r>
        <w:rPr>
          <w:bCs/>
        </w:rPr>
        <w:tab/>
        <w:t>Para caracterizar a Salinas, la defe</w:t>
      </w:r>
      <w:r>
        <w:rPr>
          <w:bCs/>
        </w:rPr>
        <w:t>n</w:t>
      </w:r>
      <w:r>
        <w:rPr>
          <w:bCs/>
        </w:rPr>
        <w:t>sa remarcó que se trataba de una persona con antec</w:t>
      </w:r>
      <w:r>
        <w:rPr>
          <w:bCs/>
        </w:rPr>
        <w:t>e</w:t>
      </w:r>
      <w:r>
        <w:rPr>
          <w:bCs/>
        </w:rPr>
        <w:t>dentes penales por robo agravado, amiga de Boragni e indirect</w:t>
      </w:r>
      <w:r>
        <w:rPr>
          <w:bCs/>
        </w:rPr>
        <w:t>a</w:t>
      </w:r>
      <w:r>
        <w:rPr>
          <w:bCs/>
        </w:rPr>
        <w:t>mente de Carlos Telleldín, que vivía con Pablo Ibáñez, quien al tiempo de su declaración se encontraba prófugo, con antecedentes por robo, y secuestrándose en su taller medio kilo de cocaína. Recordó que Ibáñez, declaró en el legajo “K” sin que se haya dejado constancia en el princ</w:t>
      </w:r>
      <w:r>
        <w:rPr>
          <w:bCs/>
        </w:rPr>
        <w:t>i</w:t>
      </w:r>
      <w:r>
        <w:rPr>
          <w:bCs/>
        </w:rPr>
        <w:t>pal de sus dichos.</w:t>
      </w:r>
    </w:p>
    <w:p w:rsidR="00224567" w:rsidRDefault="00224567">
      <w:pPr>
        <w:pStyle w:val="Sangradetextonormal"/>
        <w:widowControl w:val="0"/>
        <w:tabs>
          <w:tab w:val="left" w:pos="2835"/>
        </w:tabs>
      </w:pPr>
      <w:r>
        <w:tab/>
        <w:t>Explicó la defensa que en septiembre de 1995 se o</w:t>
      </w:r>
      <w:r>
        <w:t>r</w:t>
      </w:r>
      <w:r>
        <w:t>denó la detención de Ibáñez, produciéndose el 2 de octubre de mismo año junto a M</w:t>
      </w:r>
      <w:r>
        <w:t>i</w:t>
      </w:r>
      <w:r>
        <w:t xml:space="preserve">riam Salinas y que en </w:t>
      </w:r>
      <w:r>
        <w:lastRenderedPageBreak/>
        <w:t>la audiencia, ésta relató los padecimientos sufridos en tribunales. Al respecto, relató que durmió sobre un co</w:t>
      </w:r>
      <w:r>
        <w:t>l</w:t>
      </w:r>
      <w:r>
        <w:t>chón en una de las oficinas de éste edificio, y cómo se armó un compilado de su declaración, en presencia de su abogado Semorile, quien lo llevó a prestar la primera d</w:t>
      </w:r>
      <w:r>
        <w:t>e</w:t>
      </w:r>
      <w:r>
        <w:t>claración el 17 de octubre de 2002.</w:t>
      </w:r>
    </w:p>
    <w:p w:rsidR="00224567" w:rsidRDefault="00224567">
      <w:pPr>
        <w:widowControl w:val="0"/>
        <w:tabs>
          <w:tab w:val="left" w:pos="2835"/>
        </w:tabs>
        <w:ind w:firstLine="708"/>
        <w:rPr>
          <w:bCs/>
        </w:rPr>
      </w:pPr>
      <w:r>
        <w:rPr>
          <w:bCs/>
        </w:rPr>
        <w:tab/>
        <w:t>El defensor oficial señaló que se le recibió declaración indagatoria a Salinas -con el asesor</w:t>
      </w:r>
      <w:r>
        <w:rPr>
          <w:bCs/>
        </w:rPr>
        <w:t>a</w:t>
      </w:r>
      <w:r>
        <w:rPr>
          <w:bCs/>
        </w:rPr>
        <w:t>miento de Semorile- imputándosele formar parte de una o</w:t>
      </w:r>
      <w:r>
        <w:rPr>
          <w:bCs/>
        </w:rPr>
        <w:t>r</w:t>
      </w:r>
      <w:r>
        <w:rPr>
          <w:bCs/>
        </w:rPr>
        <w:t>ganización destinada a cometer delitos relacion</w:t>
      </w:r>
      <w:r>
        <w:rPr>
          <w:bCs/>
        </w:rPr>
        <w:t>a</w:t>
      </w:r>
      <w:r>
        <w:rPr>
          <w:bCs/>
        </w:rPr>
        <w:t>dos con el decreto 6582/58, colaborar con la preparación de la cami</w:t>
      </w:r>
      <w:r>
        <w:rPr>
          <w:bCs/>
        </w:rPr>
        <w:t>o</w:t>
      </w:r>
      <w:r>
        <w:rPr>
          <w:bCs/>
        </w:rPr>
        <w:t>neta utilizada en el atentado, tener en su poder estupef</w:t>
      </w:r>
      <w:r>
        <w:rPr>
          <w:bCs/>
        </w:rPr>
        <w:t>a</w:t>
      </w:r>
      <w:r>
        <w:rPr>
          <w:bCs/>
        </w:rPr>
        <w:t>cientes con fines de comercialización y tener un Doc</w:t>
      </w:r>
      <w:r>
        <w:rPr>
          <w:bCs/>
        </w:rPr>
        <w:t>u</w:t>
      </w:r>
      <w:r>
        <w:rPr>
          <w:bCs/>
        </w:rPr>
        <w:t>mento Nacional de Identidad ajeno, remarcando que luego de d</w:t>
      </w:r>
      <w:r>
        <w:rPr>
          <w:bCs/>
        </w:rPr>
        <w:t>e</w:t>
      </w:r>
      <w:r>
        <w:rPr>
          <w:bCs/>
        </w:rPr>
        <w:t>clarar muy brevemente se suspendió la audiencia por lo avanzado de la hora, y que a fs. 17.407 obra su a</w:t>
      </w:r>
      <w:r>
        <w:rPr>
          <w:bCs/>
        </w:rPr>
        <w:t>m</w:t>
      </w:r>
      <w:r>
        <w:rPr>
          <w:bCs/>
        </w:rPr>
        <w:t>pliación indagatoria de fecha 6 de octubre de 1995, en la cual S</w:t>
      </w:r>
      <w:r>
        <w:rPr>
          <w:bCs/>
        </w:rPr>
        <w:t>a</w:t>
      </w:r>
      <w:r>
        <w:rPr>
          <w:bCs/>
        </w:rPr>
        <w:t>linas se negó a declarar, disponiéndose inmediat</w:t>
      </w:r>
      <w:r>
        <w:rPr>
          <w:bCs/>
        </w:rPr>
        <w:t>a</w:t>
      </w:r>
      <w:r>
        <w:rPr>
          <w:bCs/>
        </w:rPr>
        <w:t>mente su libertad y su falta de mérito.</w:t>
      </w:r>
    </w:p>
    <w:p w:rsidR="00224567" w:rsidRDefault="00224567">
      <w:pPr>
        <w:widowControl w:val="0"/>
        <w:tabs>
          <w:tab w:val="left" w:pos="2835"/>
        </w:tabs>
        <w:ind w:firstLine="708"/>
        <w:rPr>
          <w:bCs/>
        </w:rPr>
      </w:pPr>
      <w:r>
        <w:rPr>
          <w:bCs/>
        </w:rPr>
        <w:tab/>
        <w:t>Agregó que, en tiempo récord, con f</w:t>
      </w:r>
      <w:r>
        <w:rPr>
          <w:bCs/>
        </w:rPr>
        <w:t>e</w:t>
      </w:r>
      <w:r>
        <w:rPr>
          <w:bCs/>
        </w:rPr>
        <w:lastRenderedPageBreak/>
        <w:t>cha 10 de octubre de ese mismo año el juez sobreseyó a S</w:t>
      </w:r>
      <w:r>
        <w:rPr>
          <w:bCs/>
        </w:rPr>
        <w:t>a</w:t>
      </w:r>
      <w:r>
        <w:rPr>
          <w:bCs/>
        </w:rPr>
        <w:t>linas en orden a todos los delitos por los que fue indag</w:t>
      </w:r>
      <w:r>
        <w:rPr>
          <w:bCs/>
        </w:rPr>
        <w:t>a</w:t>
      </w:r>
      <w:r>
        <w:rPr>
          <w:bCs/>
        </w:rPr>
        <w:t>da, siendo éste el primer sobreseimiento con relación al atentado, resolución que se encuentra a fojas 17.268, i</w:t>
      </w:r>
      <w:r>
        <w:rPr>
          <w:bCs/>
        </w:rPr>
        <w:t>n</w:t>
      </w:r>
      <w:r>
        <w:rPr>
          <w:bCs/>
        </w:rPr>
        <w:t>tercalada entre fotocopias de billetes de dólares secue</w:t>
      </w:r>
      <w:r>
        <w:rPr>
          <w:bCs/>
        </w:rPr>
        <w:t>s</w:t>
      </w:r>
      <w:r>
        <w:rPr>
          <w:bCs/>
        </w:rPr>
        <w:t>trados en un proced</w:t>
      </w:r>
      <w:r>
        <w:rPr>
          <w:bCs/>
        </w:rPr>
        <w:t>i</w:t>
      </w:r>
      <w:r>
        <w:rPr>
          <w:bCs/>
        </w:rPr>
        <w:t>miento.</w:t>
      </w:r>
    </w:p>
    <w:p w:rsidR="00224567" w:rsidRDefault="00224567">
      <w:pPr>
        <w:widowControl w:val="0"/>
        <w:tabs>
          <w:tab w:val="left" w:pos="2835"/>
        </w:tabs>
        <w:ind w:firstLine="708"/>
        <w:rPr>
          <w:bCs/>
        </w:rPr>
      </w:pPr>
      <w:r>
        <w:rPr>
          <w:bCs/>
        </w:rPr>
        <w:tab/>
        <w:t>Por ello, remarcó la defensa, es ine</w:t>
      </w:r>
      <w:r>
        <w:rPr>
          <w:bCs/>
        </w:rPr>
        <w:t>n</w:t>
      </w:r>
      <w:r>
        <w:rPr>
          <w:bCs/>
        </w:rPr>
        <w:t>tendible cómo esta persona fue citada por el fiscal como testigo de oídas de Cotoras, habiendo devenido de partíc</w:t>
      </w:r>
      <w:r>
        <w:rPr>
          <w:bCs/>
        </w:rPr>
        <w:t>i</w:t>
      </w:r>
      <w:r>
        <w:rPr>
          <w:bCs/>
        </w:rPr>
        <w:t>pe del atentado, tenedora de drogas y de Documento Naci</w:t>
      </w:r>
      <w:r>
        <w:rPr>
          <w:bCs/>
        </w:rPr>
        <w:t>o</w:t>
      </w:r>
      <w:r>
        <w:rPr>
          <w:bCs/>
        </w:rPr>
        <w:t>nal de Identidad ajeno y complicada en cuestiones de aut</w:t>
      </w:r>
      <w:r>
        <w:rPr>
          <w:bCs/>
        </w:rPr>
        <w:t>o</w:t>
      </w:r>
      <w:r>
        <w:rPr>
          <w:bCs/>
        </w:rPr>
        <w:t>motores, en testigo de cargo, subrayando además que col</w:t>
      </w:r>
      <w:r>
        <w:rPr>
          <w:bCs/>
        </w:rPr>
        <w:t>a</w:t>
      </w:r>
      <w:r>
        <w:rPr>
          <w:bCs/>
        </w:rPr>
        <w:t>boraba con el juzgado filmando a su amiga Boragni y a otras pers</w:t>
      </w:r>
      <w:r>
        <w:rPr>
          <w:bCs/>
        </w:rPr>
        <w:t>o</w:t>
      </w:r>
      <w:r>
        <w:rPr>
          <w:bCs/>
        </w:rPr>
        <w:t>nas.</w:t>
      </w:r>
    </w:p>
    <w:p w:rsidR="00224567" w:rsidRDefault="00224567">
      <w:pPr>
        <w:widowControl w:val="0"/>
        <w:tabs>
          <w:tab w:val="left" w:pos="2835"/>
        </w:tabs>
        <w:ind w:firstLine="708"/>
        <w:rPr>
          <w:bCs/>
        </w:rPr>
      </w:pPr>
      <w:r>
        <w:rPr>
          <w:bCs/>
        </w:rPr>
        <w:tab/>
        <w:t>Remarcó también el defensor que al prestar declaración como testigo de identidad reservada, Miriam Salinas aún revestía la calidad de imputada, en una clara viol</w:t>
      </w:r>
      <w:r>
        <w:rPr>
          <w:bCs/>
        </w:rPr>
        <w:t>a</w:t>
      </w:r>
      <w:r>
        <w:rPr>
          <w:bCs/>
        </w:rPr>
        <w:t>ción de la garantía constitucional que prohíbe la autoincrim</w:t>
      </w:r>
      <w:r>
        <w:rPr>
          <w:bCs/>
        </w:rPr>
        <w:t>i</w:t>
      </w:r>
      <w:r>
        <w:rPr>
          <w:bCs/>
        </w:rPr>
        <w:t>nación.</w:t>
      </w:r>
    </w:p>
    <w:p w:rsidR="00224567" w:rsidRDefault="00224567">
      <w:pPr>
        <w:widowControl w:val="0"/>
        <w:tabs>
          <w:tab w:val="left" w:pos="2835"/>
        </w:tabs>
        <w:ind w:firstLine="708"/>
        <w:rPr>
          <w:bCs/>
        </w:rPr>
      </w:pPr>
      <w:r>
        <w:rPr>
          <w:bCs/>
        </w:rPr>
        <w:tab/>
        <w:t>Puso énfasis la defensa al definir que, el caso de Salinas es uno en los que mue</w:t>
      </w:r>
      <w:r>
        <w:rPr>
          <w:bCs/>
        </w:rPr>
        <w:t>s</w:t>
      </w:r>
      <w:r>
        <w:rPr>
          <w:bCs/>
        </w:rPr>
        <w:t xml:space="preserve">tra en forma </w:t>
      </w:r>
      <w:r>
        <w:rPr>
          <w:bCs/>
        </w:rPr>
        <w:lastRenderedPageBreak/>
        <w:t>paradigmática la incorrección moral y la inidoneidad del juez instructor.</w:t>
      </w:r>
    </w:p>
    <w:p w:rsidR="00224567" w:rsidRDefault="00224567">
      <w:pPr>
        <w:widowControl w:val="0"/>
        <w:tabs>
          <w:tab w:val="left" w:pos="2835"/>
        </w:tabs>
        <w:ind w:firstLine="708"/>
        <w:rPr>
          <w:bCs/>
        </w:rPr>
      </w:pPr>
      <w:r>
        <w:rPr>
          <w:bCs/>
        </w:rPr>
        <w:tab/>
        <w:t>Recordó el defensor los dichos del fiscal respecto a que una de las personas que Salinas fi</w:t>
      </w:r>
      <w:r>
        <w:rPr>
          <w:bCs/>
        </w:rPr>
        <w:t>l</w:t>
      </w:r>
      <w:r>
        <w:rPr>
          <w:bCs/>
        </w:rPr>
        <w:t>mó fue Cotoras y que quedó registrado en ese video que el mecánico había visto personalmente a los policías que el día 10 se llevaban la camion</w:t>
      </w:r>
      <w:r>
        <w:rPr>
          <w:bCs/>
        </w:rPr>
        <w:t>e</w:t>
      </w:r>
      <w:r>
        <w:rPr>
          <w:bCs/>
        </w:rPr>
        <w:t>ta.</w:t>
      </w:r>
    </w:p>
    <w:p w:rsidR="00224567" w:rsidRDefault="00224567">
      <w:pPr>
        <w:widowControl w:val="0"/>
        <w:tabs>
          <w:tab w:val="left" w:pos="2835"/>
        </w:tabs>
        <w:ind w:firstLine="708"/>
        <w:rPr>
          <w:bCs/>
        </w:rPr>
      </w:pPr>
      <w:r>
        <w:rPr>
          <w:bCs/>
        </w:rPr>
        <w:tab/>
        <w:t>Remarcó que si bien el video se pe</w:t>
      </w:r>
      <w:r>
        <w:rPr>
          <w:bCs/>
        </w:rPr>
        <w:t>r</w:t>
      </w:r>
      <w:r>
        <w:rPr>
          <w:bCs/>
        </w:rPr>
        <w:t>dió, Salinas, al ser interrogada, recordó que Cotoras siempre se refirió a los policías presentes en la casa de Telleldín como a los de “apellido parec</w:t>
      </w:r>
      <w:r>
        <w:rPr>
          <w:bCs/>
        </w:rPr>
        <w:t>i</w:t>
      </w:r>
      <w:r>
        <w:rPr>
          <w:bCs/>
        </w:rPr>
        <w:t>do”, y que precisó que era “esa gente que siempre estaba ahí, que siempre e</w:t>
      </w:r>
      <w:r>
        <w:rPr>
          <w:bCs/>
        </w:rPr>
        <w:t>s</w:t>
      </w:r>
      <w:r>
        <w:rPr>
          <w:bCs/>
        </w:rPr>
        <w:t>taba metida en la casa de Ana”. El letrado resaltó que S</w:t>
      </w:r>
      <w:r>
        <w:rPr>
          <w:bCs/>
        </w:rPr>
        <w:t>a</w:t>
      </w:r>
      <w:r>
        <w:rPr>
          <w:bCs/>
        </w:rPr>
        <w:t>linas no mencionó a Ibarra en ningún m</w:t>
      </w:r>
      <w:r>
        <w:rPr>
          <w:bCs/>
        </w:rPr>
        <w:t>o</w:t>
      </w:r>
      <w:r>
        <w:rPr>
          <w:bCs/>
        </w:rPr>
        <w:t>mento y agregó que Cotoras no le hizo ningún comentario sobre su presencia al momento de la venta de la cami</w:t>
      </w:r>
      <w:r>
        <w:rPr>
          <w:bCs/>
        </w:rPr>
        <w:t>o</w:t>
      </w:r>
      <w:r>
        <w:rPr>
          <w:bCs/>
        </w:rPr>
        <w:t>neta.</w:t>
      </w:r>
    </w:p>
    <w:p w:rsidR="00224567" w:rsidRDefault="00224567">
      <w:pPr>
        <w:widowControl w:val="0"/>
        <w:tabs>
          <w:tab w:val="left" w:pos="2835"/>
        </w:tabs>
        <w:ind w:firstLine="708"/>
        <w:rPr>
          <w:bCs/>
        </w:rPr>
      </w:pPr>
      <w:r>
        <w:rPr>
          <w:bCs/>
        </w:rPr>
        <w:tab/>
        <w:t>Por todo ello, consideró que el test</w:t>
      </w:r>
      <w:r>
        <w:rPr>
          <w:bCs/>
        </w:rPr>
        <w:t>i</w:t>
      </w:r>
      <w:r>
        <w:rPr>
          <w:bCs/>
        </w:rPr>
        <w:t>monio de Miriam Salinas no es idóneo para sostener la ac</w:t>
      </w:r>
      <w:r>
        <w:rPr>
          <w:bCs/>
        </w:rPr>
        <w:t>u</w:t>
      </w:r>
      <w:r>
        <w:rPr>
          <w:bCs/>
        </w:rPr>
        <w:t>sación que pesa sobre su asistido.</w:t>
      </w:r>
    </w:p>
    <w:p w:rsidR="00224567" w:rsidRDefault="00224567">
      <w:pPr>
        <w:widowControl w:val="0"/>
        <w:tabs>
          <w:tab w:val="left" w:pos="2835"/>
        </w:tabs>
        <w:ind w:firstLine="708"/>
        <w:rPr>
          <w:bCs/>
        </w:rPr>
      </w:pPr>
      <w:r>
        <w:rPr>
          <w:bCs/>
        </w:rPr>
        <w:tab/>
        <w:t>Respecto de otro de los elementos me</w:t>
      </w:r>
      <w:r>
        <w:rPr>
          <w:bCs/>
        </w:rPr>
        <w:t>n</w:t>
      </w:r>
      <w:r>
        <w:rPr>
          <w:bCs/>
        </w:rPr>
        <w:lastRenderedPageBreak/>
        <w:t>cionados en la acusación, como fue la grabación de una conversación supuestamente mantenida entre Nicolau y Rib</w:t>
      </w:r>
      <w:r>
        <w:rPr>
          <w:bCs/>
        </w:rPr>
        <w:t>e</w:t>
      </w:r>
      <w:r>
        <w:rPr>
          <w:bCs/>
        </w:rPr>
        <w:t>lli, la defensa oficial de Ibarra adhirió a los fundame</w:t>
      </w:r>
      <w:r>
        <w:rPr>
          <w:bCs/>
        </w:rPr>
        <w:t>n</w:t>
      </w:r>
      <w:r>
        <w:rPr>
          <w:bCs/>
        </w:rPr>
        <w:t>tos expresados por el Dr. Ubeira y a lo manifestado por éste con relación a las intervenciones telefónicas, dest</w:t>
      </w:r>
      <w:r>
        <w:rPr>
          <w:bCs/>
        </w:rPr>
        <w:t>a</w:t>
      </w:r>
      <w:r>
        <w:rPr>
          <w:bCs/>
        </w:rPr>
        <w:t>cando que en ellas no se mencionó a Ibarra, salvo “al p</w:t>
      </w:r>
      <w:r>
        <w:rPr>
          <w:bCs/>
        </w:rPr>
        <w:t>a</w:t>
      </w:r>
      <w:r>
        <w:rPr>
          <w:bCs/>
        </w:rPr>
        <w:t>sar”.</w:t>
      </w:r>
    </w:p>
    <w:p w:rsidR="00224567" w:rsidRDefault="00224567">
      <w:pPr>
        <w:widowControl w:val="0"/>
        <w:tabs>
          <w:tab w:val="left" w:pos="2835"/>
        </w:tabs>
        <w:ind w:firstLine="708"/>
        <w:rPr>
          <w:bCs/>
        </w:rPr>
      </w:pPr>
      <w:r>
        <w:rPr>
          <w:bCs/>
        </w:rPr>
        <w:tab/>
        <w:t>Con relación a Nicolás Zoilo Duday, citado como prueba de cargo por la fiscalía en la etapa instructoria, consideró la defensa que su inclusión fue infeliz y probatoria de la manera irregular en que se co</w:t>
      </w:r>
      <w:r>
        <w:rPr>
          <w:bCs/>
        </w:rPr>
        <w:t>n</w:t>
      </w:r>
      <w:r>
        <w:rPr>
          <w:bCs/>
        </w:rPr>
        <w:t>dujo el juez en la causa.</w:t>
      </w:r>
    </w:p>
    <w:p w:rsidR="00224567" w:rsidRDefault="00224567">
      <w:pPr>
        <w:widowControl w:val="0"/>
        <w:tabs>
          <w:tab w:val="left" w:pos="2835"/>
        </w:tabs>
        <w:ind w:firstLine="708"/>
        <w:rPr>
          <w:bCs/>
        </w:rPr>
      </w:pPr>
      <w:r>
        <w:rPr>
          <w:bCs/>
        </w:rPr>
        <w:tab/>
        <w:t>Recordó el letrado que en el requer</w:t>
      </w:r>
      <w:r>
        <w:rPr>
          <w:bCs/>
        </w:rPr>
        <w:t>i</w:t>
      </w:r>
      <w:r>
        <w:rPr>
          <w:bCs/>
        </w:rPr>
        <w:t>miento de elevación a juicio de la fiscalía, la única pa</w:t>
      </w:r>
      <w:r>
        <w:rPr>
          <w:bCs/>
        </w:rPr>
        <w:t>r</w:t>
      </w:r>
      <w:r>
        <w:rPr>
          <w:bCs/>
        </w:rPr>
        <w:t>te resaltada en negrita, es aquella en la que los fiscales consignaron que Ibarra le dijo al fotógrafo “Ya se va a acordar de nosotros porque va a ocurrir algo grande y se va a enterar por los di</w:t>
      </w:r>
      <w:r>
        <w:rPr>
          <w:bCs/>
        </w:rPr>
        <w:t>a</w:t>
      </w:r>
      <w:r>
        <w:rPr>
          <w:bCs/>
        </w:rPr>
        <w:t>rios”.</w:t>
      </w:r>
    </w:p>
    <w:p w:rsidR="00224567" w:rsidRDefault="00224567">
      <w:pPr>
        <w:widowControl w:val="0"/>
        <w:tabs>
          <w:tab w:val="left" w:pos="2835"/>
        </w:tabs>
        <w:ind w:firstLine="708"/>
        <w:rPr>
          <w:bCs/>
        </w:rPr>
      </w:pPr>
      <w:r>
        <w:rPr>
          <w:bCs/>
        </w:rPr>
        <w:tab/>
        <w:t>Consideró que ésta era la prueba más importante del dolo de Ibarra, en la versión anterior de la causa y de la que los querellantes también hici</w:t>
      </w:r>
      <w:r>
        <w:rPr>
          <w:bCs/>
        </w:rPr>
        <w:t>e</w:t>
      </w:r>
      <w:r>
        <w:rPr>
          <w:bCs/>
        </w:rPr>
        <w:t xml:space="preserve">ron una </w:t>
      </w:r>
      <w:r>
        <w:rPr>
          <w:bCs/>
        </w:rPr>
        <w:lastRenderedPageBreak/>
        <w:t>cuestión principal, aunque omitieran toda consideración sobre el punto en sus aleg</w:t>
      </w:r>
      <w:r>
        <w:rPr>
          <w:bCs/>
        </w:rPr>
        <w:t>a</w:t>
      </w:r>
      <w:r>
        <w:rPr>
          <w:bCs/>
        </w:rPr>
        <w:t>tos.</w:t>
      </w:r>
    </w:p>
    <w:p w:rsidR="00224567" w:rsidRDefault="00224567">
      <w:pPr>
        <w:widowControl w:val="0"/>
        <w:tabs>
          <w:tab w:val="left" w:pos="2835"/>
        </w:tabs>
        <w:ind w:firstLine="708"/>
        <w:rPr>
          <w:bCs/>
        </w:rPr>
      </w:pPr>
      <w:r>
        <w:rPr>
          <w:bCs/>
        </w:rPr>
        <w:tab/>
        <w:t>Remarcó que Duday prestó dos declar</w:t>
      </w:r>
      <w:r>
        <w:rPr>
          <w:bCs/>
        </w:rPr>
        <w:t>a</w:t>
      </w:r>
      <w:r>
        <w:rPr>
          <w:bCs/>
        </w:rPr>
        <w:t>ciones con identidad reservada, sin control alguno de la defensa, incorporándose sus dichos por lectura en virtud de su fallec</w:t>
      </w:r>
      <w:r>
        <w:rPr>
          <w:bCs/>
        </w:rPr>
        <w:t>i</w:t>
      </w:r>
      <w:r>
        <w:rPr>
          <w:bCs/>
        </w:rPr>
        <w:t>miento.</w:t>
      </w:r>
    </w:p>
    <w:p w:rsidR="00224567" w:rsidRDefault="00224567">
      <w:pPr>
        <w:widowControl w:val="0"/>
        <w:tabs>
          <w:tab w:val="left" w:pos="2835"/>
        </w:tabs>
        <w:ind w:firstLine="708"/>
        <w:rPr>
          <w:bCs/>
        </w:rPr>
      </w:pPr>
      <w:r>
        <w:rPr>
          <w:bCs/>
        </w:rPr>
        <w:tab/>
        <w:t>Rememoró que ese testigo fue ubicado por Lifschitz y los oficiales De Lucía y Galassi y que é</w:t>
      </w:r>
      <w:r>
        <w:rPr>
          <w:bCs/>
        </w:rPr>
        <w:t>s</w:t>
      </w:r>
      <w:r>
        <w:rPr>
          <w:bCs/>
        </w:rPr>
        <w:t>tos, al declarar en el juzgado, omitieron toda consider</w:t>
      </w:r>
      <w:r>
        <w:rPr>
          <w:bCs/>
        </w:rPr>
        <w:t>a</w:t>
      </w:r>
      <w:r>
        <w:rPr>
          <w:bCs/>
        </w:rPr>
        <w:t>ción al punto de “te vas a enterar por los diarios”, sin dar una explic</w:t>
      </w:r>
      <w:r>
        <w:rPr>
          <w:bCs/>
        </w:rPr>
        <w:t>a</w:t>
      </w:r>
      <w:r>
        <w:rPr>
          <w:bCs/>
        </w:rPr>
        <w:t>ción coherente al respecto.</w:t>
      </w:r>
    </w:p>
    <w:p w:rsidR="00224567" w:rsidRDefault="00224567">
      <w:pPr>
        <w:widowControl w:val="0"/>
        <w:tabs>
          <w:tab w:val="left" w:pos="2835"/>
        </w:tabs>
        <w:ind w:firstLine="708"/>
        <w:rPr>
          <w:bCs/>
        </w:rPr>
      </w:pPr>
      <w:r>
        <w:rPr>
          <w:bCs/>
        </w:rPr>
        <w:tab/>
        <w:t xml:space="preserve">También recordó el defensor que </w:t>
      </w:r>
      <w:smartTag w:uri="urn:schemas-microsoft-com:office:smarttags" w:element="PersonName">
        <w:smartTagPr>
          <w:attr w:name="ProductID" w:val="la Dra. Spina"/>
        </w:smartTagPr>
        <w:r>
          <w:rPr>
            <w:bCs/>
          </w:rPr>
          <w:t>la Dra. Spina</w:t>
        </w:r>
      </w:smartTag>
      <w:r>
        <w:rPr>
          <w:bCs/>
        </w:rPr>
        <w:t xml:space="preserve"> dijo que Duday había prestado dos declar</w:t>
      </w:r>
      <w:r>
        <w:rPr>
          <w:bCs/>
        </w:rPr>
        <w:t>a</w:t>
      </w:r>
      <w:r>
        <w:rPr>
          <w:bCs/>
        </w:rPr>
        <w:t>ciones debido a que concluida la primera, Leoni le dijo que Duday “tenía mucho mas para contar”, aunque destacó el letrado que la señora Leoni, al ser interrogada al respecto desc</w:t>
      </w:r>
      <w:r>
        <w:rPr>
          <w:bCs/>
        </w:rPr>
        <w:t>o</w:t>
      </w:r>
      <w:r>
        <w:rPr>
          <w:bCs/>
        </w:rPr>
        <w:t>noció esa situ</w:t>
      </w:r>
      <w:r>
        <w:rPr>
          <w:bCs/>
        </w:rPr>
        <w:t>a</w:t>
      </w:r>
      <w:r>
        <w:rPr>
          <w:bCs/>
        </w:rPr>
        <w:t>ción.</w:t>
      </w:r>
    </w:p>
    <w:p w:rsidR="00224567" w:rsidRDefault="00224567">
      <w:pPr>
        <w:widowControl w:val="0"/>
        <w:tabs>
          <w:tab w:val="left" w:pos="2835"/>
        </w:tabs>
        <w:ind w:firstLine="708"/>
        <w:rPr>
          <w:bCs/>
        </w:rPr>
      </w:pPr>
      <w:r>
        <w:rPr>
          <w:bCs/>
        </w:rPr>
        <w:tab/>
        <w:t>Sin perjuicio de todo ello, de</w:t>
      </w:r>
      <w:r>
        <w:rPr>
          <w:bCs/>
        </w:rPr>
        <w:t>s</w:t>
      </w:r>
      <w:r>
        <w:rPr>
          <w:bCs/>
        </w:rPr>
        <w:t>tacó el Dr. Valle, el fiscal sostuvo que Duday y Leoni habrían a</w:t>
      </w:r>
      <w:r>
        <w:rPr>
          <w:bCs/>
        </w:rPr>
        <w:t>d</w:t>
      </w:r>
      <w:r>
        <w:rPr>
          <w:bCs/>
        </w:rPr>
        <w:t>vertido las vigilancias que se hacían sobre la familia T</w:t>
      </w:r>
      <w:r>
        <w:rPr>
          <w:bCs/>
        </w:rPr>
        <w:t>e</w:t>
      </w:r>
      <w:r>
        <w:rPr>
          <w:bCs/>
        </w:rPr>
        <w:lastRenderedPageBreak/>
        <w:t>lleldín, con mayor énfasis, en los días previos al atent</w:t>
      </w:r>
      <w:r>
        <w:rPr>
          <w:bCs/>
        </w:rPr>
        <w:t>a</w:t>
      </w:r>
      <w:r>
        <w:rPr>
          <w:bCs/>
        </w:rPr>
        <w:t>do.</w:t>
      </w:r>
    </w:p>
    <w:p w:rsidR="00224567" w:rsidRDefault="00224567">
      <w:pPr>
        <w:widowControl w:val="0"/>
        <w:tabs>
          <w:tab w:val="left" w:pos="2835"/>
        </w:tabs>
        <w:ind w:firstLine="708"/>
        <w:rPr>
          <w:bCs/>
        </w:rPr>
      </w:pPr>
      <w:r>
        <w:rPr>
          <w:bCs/>
        </w:rPr>
        <w:tab/>
        <w:t>Nuevamente sostuvo el defensor que e</w:t>
      </w:r>
      <w:r>
        <w:rPr>
          <w:bCs/>
        </w:rPr>
        <w:t>s</w:t>
      </w:r>
      <w:r>
        <w:rPr>
          <w:bCs/>
        </w:rPr>
        <w:t>ta versión estaba pensada para el caso de una exto</w:t>
      </w:r>
      <w:r>
        <w:rPr>
          <w:bCs/>
        </w:rPr>
        <w:t>r</w:t>
      </w:r>
      <w:r>
        <w:rPr>
          <w:bCs/>
        </w:rPr>
        <w:t>sión el 10 de julio, por lo que al sostener que se trató de una entrega concertada la presencia de los policías deviene ilógica.</w:t>
      </w:r>
    </w:p>
    <w:p w:rsidR="00224567" w:rsidRDefault="00224567">
      <w:pPr>
        <w:widowControl w:val="0"/>
        <w:tabs>
          <w:tab w:val="left" w:pos="2835"/>
        </w:tabs>
        <w:ind w:firstLine="708"/>
        <w:rPr>
          <w:bCs/>
        </w:rPr>
      </w:pPr>
      <w:r>
        <w:rPr>
          <w:bCs/>
        </w:rPr>
        <w:tab/>
        <w:t>Destacó que lo que sí está claro es que se omitieron d</w:t>
      </w:r>
      <w:r>
        <w:rPr>
          <w:bCs/>
        </w:rPr>
        <w:t>a</w:t>
      </w:r>
      <w:r>
        <w:rPr>
          <w:bCs/>
        </w:rPr>
        <w:t>tos esenciales para ubicar la visita de Ibarra al negocio del fotógrafo. Así, recordó que Lifschitz dijo que había presenciado la declaración de D</w:t>
      </w:r>
      <w:r>
        <w:rPr>
          <w:bCs/>
        </w:rPr>
        <w:t>u</w:t>
      </w:r>
      <w:r>
        <w:rPr>
          <w:bCs/>
        </w:rPr>
        <w:t>day, y que éste había vinculado la presencia de la com</w:t>
      </w:r>
      <w:r>
        <w:rPr>
          <w:bCs/>
        </w:rPr>
        <w:t>i</w:t>
      </w:r>
      <w:r>
        <w:rPr>
          <w:bCs/>
        </w:rPr>
        <w:t>sión policial de Lanús con la fuga de unos presos de una comisa</w:t>
      </w:r>
      <w:r>
        <w:rPr>
          <w:bCs/>
        </w:rPr>
        <w:t>r</w:t>
      </w:r>
      <w:r>
        <w:rPr>
          <w:bCs/>
        </w:rPr>
        <w:t>ía de Villa Adelina, dato que no fue consignado en la declaración por De Gamas con la intención de poder c</w:t>
      </w:r>
      <w:r>
        <w:rPr>
          <w:bCs/>
        </w:rPr>
        <w:t>o</w:t>
      </w:r>
      <w:r>
        <w:rPr>
          <w:bCs/>
        </w:rPr>
        <w:t>rrer el suceso a la fecha que más le conviniera a la ve</w:t>
      </w:r>
      <w:r>
        <w:rPr>
          <w:bCs/>
        </w:rPr>
        <w:t>r</w:t>
      </w:r>
      <w:r>
        <w:rPr>
          <w:bCs/>
        </w:rPr>
        <w:t>sión of</w:t>
      </w:r>
      <w:r>
        <w:rPr>
          <w:bCs/>
        </w:rPr>
        <w:t>i</w:t>
      </w:r>
      <w:r>
        <w:rPr>
          <w:bCs/>
        </w:rPr>
        <w:t>cial.</w:t>
      </w:r>
    </w:p>
    <w:p w:rsidR="00224567" w:rsidRDefault="00224567">
      <w:pPr>
        <w:widowControl w:val="0"/>
        <w:tabs>
          <w:tab w:val="left" w:pos="2835"/>
        </w:tabs>
        <w:ind w:firstLine="708"/>
        <w:rPr>
          <w:bCs/>
        </w:rPr>
      </w:pPr>
      <w:r>
        <w:rPr>
          <w:bCs/>
        </w:rPr>
        <w:tab/>
        <w:t>Remarcó que a fs. 226.497 vta. obran las constancias que dan cuenta que la evasión de Heber N</w:t>
      </w:r>
      <w:r>
        <w:rPr>
          <w:bCs/>
        </w:rPr>
        <w:t>u</w:t>
      </w:r>
      <w:r>
        <w:rPr>
          <w:bCs/>
        </w:rPr>
        <w:t xml:space="preserve">ñez y otros presos de </w:t>
      </w:r>
      <w:smartTag w:uri="urn:schemas-microsoft-com:office:smarttags" w:element="PersonName">
        <w:smartTagPr>
          <w:attr w:name="ProductID" w:val="la Comisar￭a"/>
        </w:smartTagPr>
        <w:r>
          <w:rPr>
            <w:bCs/>
          </w:rPr>
          <w:t>la Comisaría</w:t>
        </w:r>
      </w:smartTag>
      <w:r>
        <w:rPr>
          <w:bCs/>
        </w:rPr>
        <w:t xml:space="preserve"> de V</w:t>
      </w:r>
      <w:r>
        <w:rPr>
          <w:bCs/>
        </w:rPr>
        <w:t>i</w:t>
      </w:r>
      <w:r>
        <w:rPr>
          <w:bCs/>
        </w:rPr>
        <w:t>lla Adelina fue el 12 de abril de 1994, lo que es contradictorio con la po</w:t>
      </w:r>
      <w:r>
        <w:rPr>
          <w:bCs/>
        </w:rPr>
        <w:t>s</w:t>
      </w:r>
      <w:r>
        <w:rPr>
          <w:bCs/>
        </w:rPr>
        <w:lastRenderedPageBreak/>
        <w:t>tura de los acusadores, a la luz de los d</w:t>
      </w:r>
      <w:r>
        <w:rPr>
          <w:bCs/>
        </w:rPr>
        <w:t>i</w:t>
      </w:r>
      <w:r>
        <w:rPr>
          <w:bCs/>
        </w:rPr>
        <w:t>chos de Duday a quien le hicieron saber que había sido día antes o en j</w:t>
      </w:r>
      <w:r>
        <w:rPr>
          <w:bCs/>
        </w:rPr>
        <w:t>u</w:t>
      </w:r>
      <w:r>
        <w:rPr>
          <w:bCs/>
        </w:rPr>
        <w:t>lio.</w:t>
      </w:r>
    </w:p>
    <w:p w:rsidR="00224567" w:rsidRDefault="00224567">
      <w:pPr>
        <w:widowControl w:val="0"/>
        <w:tabs>
          <w:tab w:val="left" w:pos="2835"/>
        </w:tabs>
        <w:ind w:firstLine="708"/>
        <w:rPr>
          <w:bCs/>
        </w:rPr>
      </w:pPr>
      <w:r>
        <w:rPr>
          <w:bCs/>
        </w:rPr>
        <w:tab/>
        <w:t>Otra circunstancia puesta de manifie</w:t>
      </w:r>
      <w:r>
        <w:rPr>
          <w:bCs/>
        </w:rPr>
        <w:t>s</w:t>
      </w:r>
      <w:r>
        <w:rPr>
          <w:bCs/>
        </w:rPr>
        <w:t>to por el defensor, y que a su juicio resulta decisiva p</w:t>
      </w:r>
      <w:r>
        <w:rPr>
          <w:bCs/>
        </w:rPr>
        <w:t>a</w:t>
      </w:r>
      <w:r>
        <w:rPr>
          <w:bCs/>
        </w:rPr>
        <w:t>ra ubicar temporalmente las tareas de vigilancia de Ib</w:t>
      </w:r>
      <w:r>
        <w:rPr>
          <w:bCs/>
        </w:rPr>
        <w:t>a</w:t>
      </w:r>
      <w:r>
        <w:rPr>
          <w:bCs/>
        </w:rPr>
        <w:t>rra, es que el vehículo Ford Falcon verde con que, según Duday, se trasladaba la policía, fue vendido en mayo. En apoyo de ello c</w:t>
      </w:r>
      <w:r>
        <w:rPr>
          <w:bCs/>
        </w:rPr>
        <w:t>i</w:t>
      </w:r>
      <w:r>
        <w:rPr>
          <w:bCs/>
        </w:rPr>
        <w:t>tó el testimonio de Daniel Alberto Ganin, testigo irreprochable, a juicio de la defensa, que recon</w:t>
      </w:r>
      <w:r>
        <w:rPr>
          <w:bCs/>
        </w:rPr>
        <w:t>o</w:t>
      </w:r>
      <w:r>
        <w:rPr>
          <w:bCs/>
        </w:rPr>
        <w:t>ció la documentación incorporada a la causa, de la que r</w:t>
      </w:r>
      <w:r>
        <w:rPr>
          <w:bCs/>
        </w:rPr>
        <w:t>e</w:t>
      </w:r>
      <w:r>
        <w:rPr>
          <w:bCs/>
        </w:rPr>
        <w:t>sultó sin ningún lugar a dudas que el dueño de la e</w:t>
      </w:r>
      <w:r>
        <w:rPr>
          <w:bCs/>
        </w:rPr>
        <w:t>s</w:t>
      </w:r>
      <w:r>
        <w:rPr>
          <w:bCs/>
        </w:rPr>
        <w:t>tancia “San José” compró para un puestero el Falcon de Cruz, da</w:t>
      </w:r>
      <w:r>
        <w:rPr>
          <w:bCs/>
        </w:rPr>
        <w:t>n</w:t>
      </w:r>
      <w:r>
        <w:rPr>
          <w:bCs/>
        </w:rPr>
        <w:t>do mayores precisiones temp</w:t>
      </w:r>
      <w:r>
        <w:rPr>
          <w:bCs/>
        </w:rPr>
        <w:t>o</w:t>
      </w:r>
      <w:r>
        <w:rPr>
          <w:bCs/>
        </w:rPr>
        <w:t>rales al respecto.</w:t>
      </w:r>
    </w:p>
    <w:p w:rsidR="00224567" w:rsidRDefault="00224567">
      <w:pPr>
        <w:widowControl w:val="0"/>
        <w:tabs>
          <w:tab w:val="left" w:pos="2835"/>
        </w:tabs>
        <w:ind w:firstLine="708"/>
        <w:rPr>
          <w:bCs/>
        </w:rPr>
      </w:pPr>
      <w:r>
        <w:rPr>
          <w:bCs/>
        </w:rPr>
        <w:tab/>
        <w:t>Evocó que con relación al testimonio de Leoni, el fiscal sostuvo que la testigo relató que, previo al atentado, tenía una Trafic que usaba para su trabajo y que en una oportunidad los policías, a quienes reiteradamente veía vigilando la casa, ingresaron a su c</w:t>
      </w:r>
      <w:r>
        <w:rPr>
          <w:bCs/>
        </w:rPr>
        <w:t>o</w:t>
      </w:r>
      <w:r>
        <w:rPr>
          <w:bCs/>
        </w:rPr>
        <w:t xml:space="preserve">mercio, preguntándole si su camioneta era la que estaba a </w:t>
      </w:r>
      <w:r>
        <w:rPr>
          <w:bCs/>
        </w:rPr>
        <w:lastRenderedPageBreak/>
        <w:t>la ve</w:t>
      </w:r>
      <w:r>
        <w:rPr>
          <w:bCs/>
        </w:rPr>
        <w:t>n</w:t>
      </w:r>
      <w:r>
        <w:rPr>
          <w:bCs/>
        </w:rPr>
        <w:t>ta.</w:t>
      </w:r>
    </w:p>
    <w:p w:rsidR="00224567" w:rsidRDefault="00224567">
      <w:pPr>
        <w:widowControl w:val="0"/>
        <w:tabs>
          <w:tab w:val="left" w:pos="2835"/>
        </w:tabs>
        <w:ind w:firstLine="708"/>
        <w:rPr>
          <w:bCs/>
        </w:rPr>
      </w:pPr>
      <w:r>
        <w:rPr>
          <w:bCs/>
        </w:rPr>
        <w:tab/>
        <w:t>Mencionó que la fiscalía concluyó que era llamativo que se preguntara por la camion</w:t>
      </w:r>
      <w:r>
        <w:rPr>
          <w:bCs/>
        </w:rPr>
        <w:t>e</w:t>
      </w:r>
      <w:r>
        <w:rPr>
          <w:bCs/>
        </w:rPr>
        <w:t xml:space="preserve">ta, ya que a esa fecha Telleldín todavía no había publicado </w:t>
      </w:r>
      <w:smartTag w:uri="urn:schemas-microsoft-com:office:smarttags" w:element="PersonName">
        <w:smartTagPr>
          <w:attr w:name="ProductID" w:val="la Trafic"/>
        </w:smartTagPr>
        <w:r>
          <w:rPr>
            <w:bCs/>
          </w:rPr>
          <w:t>la Trafic</w:t>
        </w:r>
      </w:smartTag>
      <w:r>
        <w:rPr>
          <w:bCs/>
        </w:rPr>
        <w:t xml:space="preserve"> para la venta y que, ello es indicativo de que estaban e</w:t>
      </w:r>
      <w:r>
        <w:rPr>
          <w:bCs/>
        </w:rPr>
        <w:t>s</w:t>
      </w:r>
      <w:r>
        <w:rPr>
          <w:bCs/>
        </w:rPr>
        <w:t>perando ese aviso, que operaba como una s</w:t>
      </w:r>
      <w:r>
        <w:rPr>
          <w:bCs/>
        </w:rPr>
        <w:t>e</w:t>
      </w:r>
      <w:r>
        <w:rPr>
          <w:bCs/>
        </w:rPr>
        <w:t>ñal, lo que hizo que el personal policial obrara imprudentemente al efe</w:t>
      </w:r>
      <w:r>
        <w:rPr>
          <w:bCs/>
        </w:rPr>
        <w:t>c</w:t>
      </w:r>
      <w:r>
        <w:rPr>
          <w:bCs/>
        </w:rPr>
        <w:t>tuar esa pr</w:t>
      </w:r>
      <w:r>
        <w:rPr>
          <w:bCs/>
        </w:rPr>
        <w:t>e</w:t>
      </w:r>
      <w:r>
        <w:rPr>
          <w:bCs/>
        </w:rPr>
        <w:t>gunta.</w:t>
      </w:r>
    </w:p>
    <w:p w:rsidR="00224567" w:rsidRDefault="00224567">
      <w:pPr>
        <w:widowControl w:val="0"/>
        <w:tabs>
          <w:tab w:val="left" w:pos="2835"/>
        </w:tabs>
        <w:ind w:firstLine="708"/>
        <w:rPr>
          <w:bCs/>
        </w:rPr>
      </w:pPr>
      <w:r>
        <w:rPr>
          <w:bCs/>
        </w:rPr>
        <w:tab/>
        <w:t>A este razonamiento del fiscal respo</w:t>
      </w:r>
      <w:r>
        <w:rPr>
          <w:bCs/>
        </w:rPr>
        <w:t>n</w:t>
      </w:r>
      <w:r>
        <w:rPr>
          <w:bCs/>
        </w:rPr>
        <w:t>dió el defensor, que si se entiende que la entrega ya e</w:t>
      </w:r>
      <w:r>
        <w:rPr>
          <w:bCs/>
        </w:rPr>
        <w:t>s</w:t>
      </w:r>
      <w:r>
        <w:rPr>
          <w:bCs/>
        </w:rPr>
        <w:t>taba acordada era irrisorio que fueran a ver a la señora de Leoni y no a Boragni o a Telle</w:t>
      </w:r>
      <w:r>
        <w:rPr>
          <w:bCs/>
        </w:rPr>
        <w:t>l</w:t>
      </w:r>
      <w:r>
        <w:rPr>
          <w:bCs/>
        </w:rPr>
        <w:t>dín, ya que si el aviso era una señal, no había motivo para que los policías co</w:t>
      </w:r>
      <w:r>
        <w:rPr>
          <w:bCs/>
        </w:rPr>
        <w:t>n</w:t>
      </w:r>
      <w:r>
        <w:rPr>
          <w:bCs/>
        </w:rPr>
        <w:t>curriesen antes de su publicación.</w:t>
      </w:r>
    </w:p>
    <w:p w:rsidR="00224567" w:rsidRDefault="00224567">
      <w:pPr>
        <w:widowControl w:val="0"/>
        <w:tabs>
          <w:tab w:val="left" w:pos="2835"/>
        </w:tabs>
        <w:ind w:firstLine="708"/>
        <w:rPr>
          <w:bCs/>
        </w:rPr>
      </w:pPr>
      <w:r>
        <w:rPr>
          <w:bCs/>
        </w:rPr>
        <w:tab/>
        <w:t>Destacó el defensor que Leoni nunca afirmó que esas personas hayan sido policías, sino que mencionó solamente a quienes estuvieron en su negocio el día 26 de julio de 1994 entre los que, dijo, había un ci</w:t>
      </w:r>
      <w:r>
        <w:rPr>
          <w:bCs/>
        </w:rPr>
        <w:t>u</w:t>
      </w:r>
      <w:r>
        <w:rPr>
          <w:bCs/>
        </w:rPr>
        <w:t>dad</w:t>
      </w:r>
      <w:r>
        <w:rPr>
          <w:bCs/>
        </w:rPr>
        <w:t>a</w:t>
      </w:r>
      <w:r>
        <w:rPr>
          <w:bCs/>
        </w:rPr>
        <w:t>no americano.</w:t>
      </w:r>
    </w:p>
    <w:p w:rsidR="00224567" w:rsidRDefault="00224567">
      <w:pPr>
        <w:widowControl w:val="0"/>
        <w:tabs>
          <w:tab w:val="left" w:pos="2835"/>
        </w:tabs>
        <w:ind w:firstLine="708"/>
        <w:rPr>
          <w:bCs/>
        </w:rPr>
      </w:pPr>
      <w:r>
        <w:rPr>
          <w:bCs/>
        </w:rPr>
        <w:tab/>
        <w:t>Además de ello, el defensor val</w:t>
      </w:r>
      <w:r>
        <w:rPr>
          <w:bCs/>
        </w:rPr>
        <w:t>o</w:t>
      </w:r>
      <w:r>
        <w:rPr>
          <w:bCs/>
        </w:rPr>
        <w:t xml:space="preserve">ró que la señora de Leoni afirmó que no fueron sólo un día sino </w:t>
      </w:r>
      <w:r>
        <w:rPr>
          <w:bCs/>
        </w:rPr>
        <w:lastRenderedPageBreak/>
        <w:t>varios, y que muchas fueron las personas que le pregunt</w:t>
      </w:r>
      <w:r>
        <w:rPr>
          <w:bCs/>
        </w:rPr>
        <w:t>a</w:t>
      </w:r>
      <w:r>
        <w:rPr>
          <w:bCs/>
        </w:rPr>
        <w:t>ron sobre el v</w:t>
      </w:r>
      <w:r>
        <w:rPr>
          <w:bCs/>
        </w:rPr>
        <w:t>e</w:t>
      </w:r>
      <w:r>
        <w:rPr>
          <w:bCs/>
        </w:rPr>
        <w:t>hículo.</w:t>
      </w:r>
    </w:p>
    <w:p w:rsidR="00224567" w:rsidRDefault="00224567">
      <w:pPr>
        <w:widowControl w:val="0"/>
        <w:tabs>
          <w:tab w:val="left" w:pos="2835"/>
        </w:tabs>
        <w:ind w:firstLine="708"/>
        <w:rPr>
          <w:bCs/>
        </w:rPr>
      </w:pPr>
      <w:r>
        <w:rPr>
          <w:bCs/>
        </w:rPr>
        <w:tab/>
        <w:t>Otro de los testimonios analiz</w:t>
      </w:r>
      <w:r>
        <w:rPr>
          <w:bCs/>
        </w:rPr>
        <w:t>a</w:t>
      </w:r>
      <w:r>
        <w:rPr>
          <w:bCs/>
        </w:rPr>
        <w:t>dos por la defensa, que fueron utilizados como pru</w:t>
      </w:r>
      <w:r>
        <w:rPr>
          <w:bCs/>
        </w:rPr>
        <w:t>e</w:t>
      </w:r>
      <w:r>
        <w:rPr>
          <w:bCs/>
        </w:rPr>
        <w:t>ba de cargo por la acusación, fue el brindado por Álvarez M</w:t>
      </w:r>
      <w:r>
        <w:rPr>
          <w:bCs/>
        </w:rPr>
        <w:t>a</w:t>
      </w:r>
      <w:r>
        <w:rPr>
          <w:bCs/>
        </w:rPr>
        <w:t>tus.</w:t>
      </w:r>
    </w:p>
    <w:p w:rsidR="00224567" w:rsidRDefault="00224567">
      <w:pPr>
        <w:widowControl w:val="0"/>
        <w:tabs>
          <w:tab w:val="left" w:pos="2835"/>
        </w:tabs>
        <w:ind w:firstLine="708"/>
        <w:rPr>
          <w:bCs/>
        </w:rPr>
      </w:pPr>
      <w:r>
        <w:rPr>
          <w:bCs/>
        </w:rPr>
        <w:tab/>
        <w:t>Relató que ese testigo sostuvo que p</w:t>
      </w:r>
      <w:r>
        <w:rPr>
          <w:bCs/>
        </w:rPr>
        <w:t>a</w:t>
      </w:r>
      <w:r>
        <w:rPr>
          <w:bCs/>
        </w:rPr>
        <w:t>ra la época del atentado vio llegar a Ribelli a la agencia de autos, acompañado de dos pe</w:t>
      </w:r>
      <w:r>
        <w:rPr>
          <w:bCs/>
        </w:rPr>
        <w:t>r</w:t>
      </w:r>
      <w:r>
        <w:rPr>
          <w:bCs/>
        </w:rPr>
        <w:t>sonas a los que no conocía, que se llevaron una de las camionetas Trafic, siendo s</w:t>
      </w:r>
      <w:r>
        <w:rPr>
          <w:bCs/>
        </w:rPr>
        <w:t>e</w:t>
      </w:r>
      <w:r>
        <w:rPr>
          <w:bCs/>
        </w:rPr>
        <w:t>guidos por Ribelli en un Chevrolet Monza. Al respecto r</w:t>
      </w:r>
      <w:r>
        <w:rPr>
          <w:bCs/>
        </w:rPr>
        <w:t>e</w:t>
      </w:r>
      <w:r>
        <w:rPr>
          <w:bCs/>
        </w:rPr>
        <w:t>cordó que en la causa obraba el legajo “B”, del que resu</w:t>
      </w:r>
      <w:r>
        <w:rPr>
          <w:bCs/>
        </w:rPr>
        <w:t>l</w:t>
      </w:r>
      <w:r>
        <w:rPr>
          <w:bCs/>
        </w:rPr>
        <w:t>ta que Ribelli compro este vehículo en enero de 1995.</w:t>
      </w:r>
    </w:p>
    <w:p w:rsidR="00224567" w:rsidRDefault="00224567">
      <w:pPr>
        <w:widowControl w:val="0"/>
        <w:tabs>
          <w:tab w:val="left" w:pos="2835"/>
        </w:tabs>
        <w:ind w:firstLine="708"/>
        <w:rPr>
          <w:bCs/>
        </w:rPr>
      </w:pPr>
      <w:r>
        <w:rPr>
          <w:bCs/>
        </w:rPr>
        <w:tab/>
        <w:t>Con relación a la declaración de Álv</w:t>
      </w:r>
      <w:r>
        <w:rPr>
          <w:bCs/>
        </w:rPr>
        <w:t>a</w:t>
      </w:r>
      <w:r>
        <w:rPr>
          <w:bCs/>
        </w:rPr>
        <w:t>rez Matus en la in</w:t>
      </w:r>
      <w:r>
        <w:rPr>
          <w:bCs/>
        </w:rPr>
        <w:t>s</w:t>
      </w:r>
      <w:r>
        <w:rPr>
          <w:bCs/>
        </w:rPr>
        <w:t>trucción, que a criterio de la fiscalía se encuentra incorporada al debate por la d</w:t>
      </w:r>
      <w:r>
        <w:rPr>
          <w:bCs/>
        </w:rPr>
        <w:t>e</w:t>
      </w:r>
      <w:r>
        <w:rPr>
          <w:bCs/>
        </w:rPr>
        <w:t>claración que prestó en la audiencia Eduardo Bazet, quien fue convocado en horas de la noche cuando el testigo estaba declarando para que presenciara dicho testimonio porque era analfab</w:t>
      </w:r>
      <w:r>
        <w:rPr>
          <w:bCs/>
        </w:rPr>
        <w:t>e</w:t>
      </w:r>
      <w:r>
        <w:rPr>
          <w:bCs/>
        </w:rPr>
        <w:t>to, sost</w:t>
      </w:r>
      <w:r>
        <w:rPr>
          <w:bCs/>
        </w:rPr>
        <w:t>u</w:t>
      </w:r>
      <w:r>
        <w:rPr>
          <w:bCs/>
        </w:rPr>
        <w:t xml:space="preserve">vo que el señor fiscal pretendía agregar un nuevo inciso al artículo 391 del Código Procesal Penal de </w:t>
      </w:r>
      <w:smartTag w:uri="urn:schemas-microsoft-com:office:smarttags" w:element="PersonName">
        <w:smartTagPr>
          <w:attr w:name="ProductID" w:val="la Naci￳n"/>
        </w:smartTagPr>
        <w:r>
          <w:rPr>
            <w:bCs/>
          </w:rPr>
          <w:t>la N</w:t>
        </w:r>
        <w:r>
          <w:rPr>
            <w:bCs/>
          </w:rPr>
          <w:t>a</w:t>
        </w:r>
        <w:r>
          <w:rPr>
            <w:bCs/>
          </w:rPr>
          <w:lastRenderedPageBreak/>
          <w:t>ción</w:t>
        </w:r>
      </w:smartTag>
      <w:r>
        <w:rPr>
          <w:bCs/>
        </w:rPr>
        <w:t>, como sería el supuesto de incorporar la declaración re</w:t>
      </w:r>
      <w:r>
        <w:rPr>
          <w:bCs/>
        </w:rPr>
        <w:t>n</w:t>
      </w:r>
      <w:r>
        <w:rPr>
          <w:bCs/>
        </w:rPr>
        <w:t>dida en instrucción por un testigo que no supiera leer y escribir y a</w:t>
      </w:r>
      <w:r>
        <w:rPr>
          <w:bCs/>
        </w:rPr>
        <w:t>l</w:t>
      </w:r>
      <w:r>
        <w:rPr>
          <w:bCs/>
        </w:rPr>
        <w:t>guien firmara a su ruego.</w:t>
      </w:r>
    </w:p>
    <w:p w:rsidR="00224567" w:rsidRDefault="00224567">
      <w:pPr>
        <w:widowControl w:val="0"/>
        <w:tabs>
          <w:tab w:val="left" w:pos="2835"/>
        </w:tabs>
        <w:ind w:firstLine="708"/>
        <w:rPr>
          <w:bCs/>
        </w:rPr>
      </w:pPr>
      <w:r>
        <w:rPr>
          <w:bCs/>
        </w:rPr>
        <w:tab/>
        <w:t>Así el defensor destacó que la fisc</w:t>
      </w:r>
      <w:r>
        <w:rPr>
          <w:bCs/>
        </w:rPr>
        <w:t>a</w:t>
      </w:r>
      <w:r>
        <w:rPr>
          <w:bCs/>
        </w:rPr>
        <w:t>lía sostuvo que tales elementos de juicio probaban el h</w:t>
      </w:r>
      <w:r>
        <w:rPr>
          <w:bCs/>
        </w:rPr>
        <w:t>e</w:t>
      </w:r>
      <w:r>
        <w:rPr>
          <w:bCs/>
        </w:rPr>
        <w:t xml:space="preserve">cho que Ibarra y sus compañeros fueron las personas que recibieron </w:t>
      </w:r>
      <w:smartTag w:uri="urn:schemas-microsoft-com:office:smarttags" w:element="PersonName">
        <w:smartTagPr>
          <w:attr w:name="ProductID" w:val="la Trafic"/>
        </w:smartTagPr>
        <w:r>
          <w:rPr>
            <w:bCs/>
          </w:rPr>
          <w:t>la Trafic</w:t>
        </w:r>
      </w:smartTag>
      <w:r>
        <w:rPr>
          <w:bCs/>
        </w:rPr>
        <w:t xml:space="preserve"> con el motor que explotó en la sede de </w:t>
      </w:r>
      <w:smartTag w:uri="urn:schemas-microsoft-com:office:smarttags" w:element="PersonName">
        <w:smartTagPr>
          <w:attr w:name="ProductID" w:val="la A.M"/>
        </w:smartTagPr>
        <w:r>
          <w:rPr>
            <w:bCs/>
          </w:rPr>
          <w:t>la A.M</w:t>
        </w:r>
      </w:smartTag>
      <w:r>
        <w:rPr>
          <w:bCs/>
        </w:rPr>
        <w:t>.I.A. y que la misma fue entregada después a R</w:t>
      </w:r>
      <w:r>
        <w:rPr>
          <w:bCs/>
        </w:rPr>
        <w:t>i</w:t>
      </w:r>
      <w:r>
        <w:rPr>
          <w:bCs/>
        </w:rPr>
        <w:t>belli; al respecto, consideró que aquellos no tenían ni</w:t>
      </w:r>
      <w:r>
        <w:rPr>
          <w:bCs/>
        </w:rPr>
        <w:t>n</w:t>
      </w:r>
      <w:r>
        <w:rPr>
          <w:bCs/>
        </w:rPr>
        <w:t>guna fuerza para probar dichos extr</w:t>
      </w:r>
      <w:r>
        <w:rPr>
          <w:bCs/>
        </w:rPr>
        <w:t>e</w:t>
      </w:r>
      <w:r>
        <w:rPr>
          <w:bCs/>
        </w:rPr>
        <w:t>mos.</w:t>
      </w:r>
    </w:p>
    <w:p w:rsidR="00224567" w:rsidRDefault="00224567">
      <w:pPr>
        <w:widowControl w:val="0"/>
        <w:tabs>
          <w:tab w:val="left" w:pos="2835"/>
        </w:tabs>
        <w:ind w:firstLine="708"/>
        <w:rPr>
          <w:bCs/>
        </w:rPr>
      </w:pPr>
      <w:r>
        <w:rPr>
          <w:bCs/>
        </w:rPr>
        <w:tab/>
        <w:t>Reinaldo Álvarez, recordó la d</w:t>
      </w:r>
      <w:r>
        <w:rPr>
          <w:bCs/>
        </w:rPr>
        <w:t>e</w:t>
      </w:r>
      <w:r>
        <w:rPr>
          <w:bCs/>
        </w:rPr>
        <w:t>fensa, dijo que se dedicaba a la compra y venta de autos us</w:t>
      </w:r>
      <w:r>
        <w:rPr>
          <w:bCs/>
        </w:rPr>
        <w:t>a</w:t>
      </w:r>
      <w:r>
        <w:rPr>
          <w:bCs/>
        </w:rPr>
        <w:t>dos y que, como muchos otros fines de semana, Ribelli le facil</w:t>
      </w:r>
      <w:r>
        <w:rPr>
          <w:bCs/>
        </w:rPr>
        <w:t>i</w:t>
      </w:r>
      <w:r>
        <w:rPr>
          <w:bCs/>
        </w:rPr>
        <w:t>tó -por intermedio de Caneva- el Movicom 448-0447, con el que practicó, el día 28 de mayo de 1994, una serie de ll</w:t>
      </w:r>
      <w:r>
        <w:rPr>
          <w:bCs/>
        </w:rPr>
        <w:t>a</w:t>
      </w:r>
      <w:r>
        <w:rPr>
          <w:bCs/>
        </w:rPr>
        <w:t>madas interesándose en la compra de una camioneta Tr</w:t>
      </w:r>
      <w:r>
        <w:rPr>
          <w:bCs/>
        </w:rPr>
        <w:t>a</w:t>
      </w:r>
      <w:r>
        <w:rPr>
          <w:bCs/>
        </w:rPr>
        <w:t>fic; que llamó a Telleldín en esa fecha, comunicándose también con otras personas que ese día habían publicado camionetas Trafic para la venta. Ello, además, fue corr</w:t>
      </w:r>
      <w:r>
        <w:rPr>
          <w:bCs/>
        </w:rPr>
        <w:t>o</w:t>
      </w:r>
      <w:r>
        <w:rPr>
          <w:bCs/>
        </w:rPr>
        <w:t>borado por el testigo César Cebrero –titular del abonado nº 521-8831- a quien finalmente le compró la camion</w:t>
      </w:r>
      <w:r>
        <w:rPr>
          <w:bCs/>
        </w:rPr>
        <w:t>e</w:t>
      </w:r>
      <w:r>
        <w:rPr>
          <w:bCs/>
        </w:rPr>
        <w:t>ta.</w:t>
      </w:r>
    </w:p>
    <w:p w:rsidR="00224567" w:rsidRDefault="00224567">
      <w:pPr>
        <w:widowControl w:val="0"/>
        <w:tabs>
          <w:tab w:val="left" w:pos="2835"/>
        </w:tabs>
        <w:ind w:firstLine="708"/>
        <w:rPr>
          <w:bCs/>
        </w:rPr>
      </w:pPr>
      <w:r>
        <w:rPr>
          <w:bCs/>
        </w:rPr>
        <w:lastRenderedPageBreak/>
        <w:tab/>
        <w:t>Recordó que en la audiencia la abog</w:t>
      </w:r>
      <w:r>
        <w:rPr>
          <w:bCs/>
        </w:rPr>
        <w:t>a</w:t>
      </w:r>
      <w:r>
        <w:rPr>
          <w:bCs/>
        </w:rPr>
        <w:t xml:space="preserve">da de D.A.I.A. sostuvo que Ibarra reconoció ser el </w:t>
      </w:r>
      <w:r>
        <w:rPr>
          <w:bCs/>
          <w:u w:val="single"/>
        </w:rPr>
        <w:t>a</w:t>
      </w:r>
      <w:r>
        <w:rPr>
          <w:bCs/>
          <w:u w:val="single"/>
        </w:rPr>
        <w:t>l</w:t>
      </w:r>
      <w:r>
        <w:rPr>
          <w:bCs/>
          <w:u w:val="single"/>
        </w:rPr>
        <w:t>ter ego</w:t>
      </w:r>
      <w:r>
        <w:rPr>
          <w:bCs/>
        </w:rPr>
        <w:t xml:space="preserve"> de Ribelli, deduciendo de ello que era razon</w:t>
      </w:r>
      <w:r>
        <w:rPr>
          <w:bCs/>
        </w:rPr>
        <w:t>a</w:t>
      </w:r>
      <w:r>
        <w:rPr>
          <w:bCs/>
        </w:rPr>
        <w:t>ble que éste le haya dado alguna pista sobre la importancia y destino de esta cami</w:t>
      </w:r>
      <w:r>
        <w:rPr>
          <w:bCs/>
        </w:rPr>
        <w:t>o</w:t>
      </w:r>
      <w:r>
        <w:rPr>
          <w:bCs/>
        </w:rPr>
        <w:t>neta.</w:t>
      </w:r>
    </w:p>
    <w:p w:rsidR="00224567" w:rsidRDefault="00224567">
      <w:pPr>
        <w:widowControl w:val="0"/>
        <w:tabs>
          <w:tab w:val="left" w:pos="2835"/>
        </w:tabs>
        <w:ind w:firstLine="708"/>
        <w:rPr>
          <w:bCs/>
        </w:rPr>
      </w:pPr>
      <w:r>
        <w:rPr>
          <w:bCs/>
        </w:rPr>
        <w:tab/>
        <w:t>Consideró insuficiente dicha argume</w:t>
      </w:r>
      <w:r>
        <w:rPr>
          <w:bCs/>
        </w:rPr>
        <w:t>n</w:t>
      </w:r>
      <w:r>
        <w:rPr>
          <w:bCs/>
        </w:rPr>
        <w:t>tación, ya que para determinar la tipicidad de una condu</w:t>
      </w:r>
      <w:r>
        <w:rPr>
          <w:bCs/>
        </w:rPr>
        <w:t>c</w:t>
      </w:r>
      <w:r>
        <w:rPr>
          <w:bCs/>
        </w:rPr>
        <w:t>ta hay que demostrar la adecuación objetiva y subj</w:t>
      </w:r>
      <w:r>
        <w:rPr>
          <w:bCs/>
        </w:rPr>
        <w:t>e</w:t>
      </w:r>
      <w:r>
        <w:rPr>
          <w:bCs/>
        </w:rPr>
        <w:t xml:space="preserve">tiva, y la alegada por </w:t>
      </w:r>
      <w:smartTag w:uri="urn:schemas-microsoft-com:office:smarttags" w:element="PersonName">
        <w:smartTagPr>
          <w:attr w:name="ProductID" w:val="La Dra. Nercellas"/>
        </w:smartTagPr>
        <w:r>
          <w:rPr>
            <w:bCs/>
          </w:rPr>
          <w:t>la Dra. Nercellas</w:t>
        </w:r>
      </w:smartTag>
      <w:r>
        <w:rPr>
          <w:bCs/>
        </w:rPr>
        <w:t xml:space="preserve"> sería sólo la segu</w:t>
      </w:r>
      <w:r>
        <w:rPr>
          <w:bCs/>
        </w:rPr>
        <w:t>n</w:t>
      </w:r>
      <w:r>
        <w:rPr>
          <w:bCs/>
        </w:rPr>
        <w:t>da.</w:t>
      </w:r>
    </w:p>
    <w:p w:rsidR="00224567" w:rsidRDefault="00224567">
      <w:pPr>
        <w:widowControl w:val="0"/>
        <w:tabs>
          <w:tab w:val="left" w:pos="2835"/>
        </w:tabs>
        <w:ind w:firstLine="708"/>
        <w:rPr>
          <w:bCs/>
        </w:rPr>
      </w:pPr>
      <w:r>
        <w:rPr>
          <w:bCs/>
        </w:rPr>
        <w:tab/>
        <w:t>Los fiscales, recordó la defensa, ta</w:t>
      </w:r>
      <w:r>
        <w:rPr>
          <w:bCs/>
        </w:rPr>
        <w:t>m</w:t>
      </w:r>
      <w:r>
        <w:rPr>
          <w:bCs/>
        </w:rPr>
        <w:t>bién mencionaron los testimonios de Klodczyk y Cal</w:t>
      </w:r>
      <w:r>
        <w:rPr>
          <w:bCs/>
        </w:rPr>
        <w:t>a</w:t>
      </w:r>
      <w:r>
        <w:rPr>
          <w:bCs/>
        </w:rPr>
        <w:t>bró en apoyo de la imputación dolosa a Ribelli. A ello, la defe</w:t>
      </w:r>
      <w:r>
        <w:rPr>
          <w:bCs/>
        </w:rPr>
        <w:t>n</w:t>
      </w:r>
      <w:r>
        <w:rPr>
          <w:bCs/>
        </w:rPr>
        <w:t>sa contestó que el jefe de la fuerza tenía un excelente concepto de Ribelli, que cambió a raíz de la información mediática. Que tampoco se puede extraer ninguna concl</w:t>
      </w:r>
      <w:r>
        <w:rPr>
          <w:bCs/>
        </w:rPr>
        <w:t>u</w:t>
      </w:r>
      <w:r>
        <w:rPr>
          <w:bCs/>
        </w:rPr>
        <w:t>sión de lo dicho por Calabró, como lo hacen los fiscales, au</w:t>
      </w:r>
      <w:r>
        <w:rPr>
          <w:bCs/>
        </w:rPr>
        <w:t>n</w:t>
      </w:r>
      <w:r>
        <w:rPr>
          <w:bCs/>
        </w:rPr>
        <w:t>que haya señalado que no descartaba que por un tema econ</w:t>
      </w:r>
      <w:r>
        <w:rPr>
          <w:bCs/>
        </w:rPr>
        <w:t>ó</w:t>
      </w:r>
      <w:r>
        <w:rPr>
          <w:bCs/>
        </w:rPr>
        <w:t>mico Ribelli se p</w:t>
      </w:r>
      <w:r>
        <w:rPr>
          <w:bCs/>
        </w:rPr>
        <w:t>u</w:t>
      </w:r>
      <w:r>
        <w:rPr>
          <w:bCs/>
        </w:rPr>
        <w:t>do haber llevado la camioneta.</w:t>
      </w:r>
    </w:p>
    <w:p w:rsidR="00224567" w:rsidRDefault="00224567">
      <w:pPr>
        <w:widowControl w:val="0"/>
        <w:tabs>
          <w:tab w:val="left" w:pos="2835"/>
        </w:tabs>
        <w:ind w:firstLine="708"/>
        <w:rPr>
          <w:bCs/>
        </w:rPr>
      </w:pPr>
      <w:r>
        <w:rPr>
          <w:bCs/>
        </w:rPr>
        <w:tab/>
        <w:t>Sostuvo el defensor que se trat</w:t>
      </w:r>
      <w:r>
        <w:rPr>
          <w:bCs/>
        </w:rPr>
        <w:t>a</w:t>
      </w:r>
      <w:r>
        <w:rPr>
          <w:bCs/>
        </w:rPr>
        <w:t>ba de una nueva tergiversación, sacándose de contexto una afi</w:t>
      </w:r>
      <w:r>
        <w:rPr>
          <w:bCs/>
        </w:rPr>
        <w:t>r</w:t>
      </w:r>
      <w:r>
        <w:rPr>
          <w:bCs/>
        </w:rPr>
        <w:lastRenderedPageBreak/>
        <w:t>mación que “por una cuestión económica podía haber sido, pero por una cuestión de acto terrorista lo descarto t</w:t>
      </w:r>
      <w:r>
        <w:rPr>
          <w:bCs/>
        </w:rPr>
        <w:t>o</w:t>
      </w:r>
      <w:r>
        <w:rPr>
          <w:bCs/>
        </w:rPr>
        <w:t>talmente”.</w:t>
      </w:r>
    </w:p>
    <w:p w:rsidR="00224567" w:rsidRDefault="00224567">
      <w:pPr>
        <w:widowControl w:val="0"/>
        <w:tabs>
          <w:tab w:val="left" w:pos="2835"/>
        </w:tabs>
        <w:ind w:firstLine="708"/>
        <w:rPr>
          <w:bCs/>
        </w:rPr>
      </w:pPr>
      <w:r>
        <w:rPr>
          <w:bCs/>
        </w:rPr>
        <w:tab/>
        <w:t>Si bien adhirió la defensa oficial a lo manifestado por el defensor de Ribelli, respecto de la conversación telefónica del 5 de julio de 1996, do</w:t>
      </w:r>
      <w:r>
        <w:rPr>
          <w:bCs/>
        </w:rPr>
        <w:t>n</w:t>
      </w:r>
      <w:r>
        <w:rPr>
          <w:bCs/>
        </w:rPr>
        <w:t>de los funcionarios policiales demostraban cierto nerviosismo o preocupación por la cercanía del aniversario del atentado, el Dr. V</w:t>
      </w:r>
      <w:r>
        <w:rPr>
          <w:bCs/>
        </w:rPr>
        <w:t>a</w:t>
      </w:r>
      <w:r>
        <w:rPr>
          <w:bCs/>
        </w:rPr>
        <w:t xml:space="preserve">lle sostuvo además que Ibarra prestó declaración en </w:t>
      </w:r>
      <w:smartTag w:uri="urn:schemas-microsoft-com:office:smarttags" w:element="PersonName">
        <w:smartTagPr>
          <w:attr w:name="ProductID" w:val="la Direcci￳n"/>
        </w:smartTagPr>
        <w:r>
          <w:rPr>
            <w:bCs/>
          </w:rPr>
          <w:t>la Dire</w:t>
        </w:r>
        <w:r>
          <w:rPr>
            <w:bCs/>
          </w:rPr>
          <w:t>c</w:t>
        </w:r>
        <w:r>
          <w:rPr>
            <w:bCs/>
          </w:rPr>
          <w:t>ción</w:t>
        </w:r>
      </w:smartTag>
      <w:r>
        <w:rPr>
          <w:bCs/>
        </w:rPr>
        <w:t xml:space="preserve"> de Sumarios de </w:t>
      </w:r>
      <w:smartTag w:uri="urn:schemas-microsoft-com:office:smarttags" w:element="PersonName">
        <w:smartTagPr>
          <w:attr w:name="ProductID" w:val="La Plata"/>
        </w:smartTagPr>
        <w:r>
          <w:rPr>
            <w:bCs/>
          </w:rPr>
          <w:t>La Plata</w:t>
        </w:r>
      </w:smartTag>
      <w:r>
        <w:rPr>
          <w:bCs/>
        </w:rPr>
        <w:t xml:space="preserve"> el 14 de agosto de 1995 y el 20 de septiembre del mismo año donde se le fo</w:t>
      </w:r>
      <w:r>
        <w:rPr>
          <w:bCs/>
        </w:rPr>
        <w:t>r</w:t>
      </w:r>
      <w:r>
        <w:rPr>
          <w:bCs/>
        </w:rPr>
        <w:t>mularon preguntas respecto de Telleldín y Petrucci en el marco de la investigación ordenada por el juzgado instru</w:t>
      </w:r>
      <w:r>
        <w:rPr>
          <w:bCs/>
        </w:rPr>
        <w:t>c</w:t>
      </w:r>
      <w:r>
        <w:rPr>
          <w:bCs/>
        </w:rPr>
        <w:t xml:space="preserve">tor. </w:t>
      </w:r>
    </w:p>
    <w:p w:rsidR="00224567" w:rsidRDefault="00224567">
      <w:pPr>
        <w:widowControl w:val="0"/>
        <w:tabs>
          <w:tab w:val="left" w:pos="2835"/>
        </w:tabs>
        <w:ind w:firstLine="708"/>
        <w:rPr>
          <w:bCs/>
        </w:rPr>
      </w:pPr>
      <w:r>
        <w:rPr>
          <w:bCs/>
        </w:rPr>
        <w:tab/>
        <w:t>Agregó que, con estos antecedentes, los policías acusados estaban totalmente al tanto de que eran investigados en el sumario y que en la causa “A.M.I.A.” se había detenido a Telleldín, por lo que es lógico que manifestaran su pr</w:t>
      </w:r>
      <w:r>
        <w:rPr>
          <w:bCs/>
        </w:rPr>
        <w:t>e</w:t>
      </w:r>
      <w:r>
        <w:rPr>
          <w:bCs/>
        </w:rPr>
        <w:t>ocupación.</w:t>
      </w:r>
    </w:p>
    <w:p w:rsidR="00224567" w:rsidRDefault="00224567">
      <w:pPr>
        <w:widowControl w:val="0"/>
        <w:tabs>
          <w:tab w:val="left" w:pos="2835"/>
        </w:tabs>
        <w:ind w:firstLine="708"/>
        <w:rPr>
          <w:bCs/>
        </w:rPr>
      </w:pPr>
      <w:r>
        <w:rPr>
          <w:bCs/>
        </w:rPr>
        <w:tab/>
        <w:t>Subrayó que deducir que el nerviosi</w:t>
      </w:r>
      <w:r>
        <w:rPr>
          <w:bCs/>
        </w:rPr>
        <w:t>s</w:t>
      </w:r>
      <w:r>
        <w:rPr>
          <w:bCs/>
        </w:rPr>
        <w:t>mo respondía a su participación en el atentado era insosten</w:t>
      </w:r>
      <w:r>
        <w:rPr>
          <w:bCs/>
        </w:rPr>
        <w:t>i</w:t>
      </w:r>
      <w:r>
        <w:rPr>
          <w:bCs/>
        </w:rPr>
        <w:lastRenderedPageBreak/>
        <w:t>ble y que era lo único que podía esgr</w:t>
      </w:r>
      <w:r>
        <w:rPr>
          <w:bCs/>
        </w:rPr>
        <w:t>i</w:t>
      </w:r>
      <w:r>
        <w:rPr>
          <w:bCs/>
        </w:rPr>
        <w:t>mirse para imputarle a Ibarra el atentado terrori</w:t>
      </w:r>
      <w:r>
        <w:rPr>
          <w:bCs/>
        </w:rPr>
        <w:t>s</w:t>
      </w:r>
      <w:r>
        <w:rPr>
          <w:bCs/>
        </w:rPr>
        <w:t>ta.</w:t>
      </w:r>
    </w:p>
    <w:p w:rsidR="00224567" w:rsidRDefault="00224567">
      <w:pPr>
        <w:widowControl w:val="0"/>
        <w:tabs>
          <w:tab w:val="left" w:pos="2835"/>
        </w:tabs>
        <w:ind w:firstLine="708"/>
        <w:rPr>
          <w:bCs/>
        </w:rPr>
      </w:pPr>
      <w:r>
        <w:rPr>
          <w:bCs/>
        </w:rPr>
        <w:tab/>
      </w:r>
      <w:r>
        <w:rPr>
          <w:bCs/>
        </w:rPr>
        <w:tab/>
        <w:t>El Dr. Valle también se ref</w:t>
      </w:r>
      <w:r>
        <w:rPr>
          <w:bCs/>
        </w:rPr>
        <w:t>i</w:t>
      </w:r>
      <w:r>
        <w:rPr>
          <w:bCs/>
        </w:rPr>
        <w:t>rió a los denominados “desvíos”, remitiéndose, en general, a lo so</w:t>
      </w:r>
      <w:r>
        <w:rPr>
          <w:bCs/>
        </w:rPr>
        <w:t>s</w:t>
      </w:r>
      <w:r>
        <w:rPr>
          <w:bCs/>
        </w:rPr>
        <w:t>tenido por la defensa de Rib</w:t>
      </w:r>
      <w:r>
        <w:rPr>
          <w:bCs/>
        </w:rPr>
        <w:t>e</w:t>
      </w:r>
      <w:r>
        <w:rPr>
          <w:bCs/>
        </w:rPr>
        <w:t>lli.</w:t>
      </w:r>
    </w:p>
    <w:p w:rsidR="00224567" w:rsidRDefault="00224567">
      <w:pPr>
        <w:widowControl w:val="0"/>
        <w:tabs>
          <w:tab w:val="left" w:pos="2835"/>
        </w:tabs>
        <w:ind w:firstLine="708"/>
        <w:rPr>
          <w:bCs/>
        </w:rPr>
      </w:pPr>
      <w:r>
        <w:rPr>
          <w:bCs/>
        </w:rPr>
        <w:tab/>
        <w:t>Sin perjuicio de ello, remarcó que m</w:t>
      </w:r>
      <w:r>
        <w:rPr>
          <w:bCs/>
        </w:rPr>
        <w:t>u</w:t>
      </w:r>
      <w:r>
        <w:rPr>
          <w:bCs/>
        </w:rPr>
        <w:t>cho antes de iniciarse la causa “Armas” ya se había inve</w:t>
      </w:r>
      <w:r>
        <w:rPr>
          <w:bCs/>
        </w:rPr>
        <w:t>s</w:t>
      </w:r>
      <w:r>
        <w:rPr>
          <w:bCs/>
        </w:rPr>
        <w:t>tigado a un grupo de personas sindicadas como “Carapint</w:t>
      </w:r>
      <w:r>
        <w:rPr>
          <w:bCs/>
        </w:rPr>
        <w:t>a</w:t>
      </w:r>
      <w:r>
        <w:rPr>
          <w:bCs/>
        </w:rPr>
        <w:t>das” que se encontraban en una ambulancia en las proxim</w:t>
      </w:r>
      <w:r>
        <w:rPr>
          <w:bCs/>
        </w:rPr>
        <w:t>i</w:t>
      </w:r>
      <w:r>
        <w:rPr>
          <w:bCs/>
        </w:rPr>
        <w:t>dades del lugar, y que también el abonado nº 806-7539 c</w:t>
      </w:r>
      <w:r>
        <w:rPr>
          <w:bCs/>
        </w:rPr>
        <w:t>o</w:t>
      </w:r>
      <w:r>
        <w:rPr>
          <w:bCs/>
        </w:rPr>
        <w:t>rrespondiente a Sergio Nantillo al año 1994, tal como su</w:t>
      </w:r>
      <w:r>
        <w:rPr>
          <w:bCs/>
        </w:rPr>
        <w:t>r</w:t>
      </w:r>
      <w:r>
        <w:rPr>
          <w:bCs/>
        </w:rPr>
        <w:t>ge del informe de fs. 7808 del legajo de instrucción s</w:t>
      </w:r>
      <w:r>
        <w:rPr>
          <w:bCs/>
        </w:rPr>
        <w:t>u</w:t>
      </w:r>
      <w:r>
        <w:rPr>
          <w:bCs/>
        </w:rPr>
        <w:t>plementaria, fue uno de los incluidos en la foja 114, r</w:t>
      </w:r>
      <w:r>
        <w:rPr>
          <w:bCs/>
        </w:rPr>
        <w:t>e</w:t>
      </w:r>
      <w:r>
        <w:rPr>
          <w:bCs/>
        </w:rPr>
        <w:t>marcando que esta persona trabajaba con Daniel Romero y era integrante del MODIN, tal como su</w:t>
      </w:r>
      <w:r>
        <w:rPr>
          <w:bCs/>
        </w:rPr>
        <w:t>r</w:t>
      </w:r>
      <w:r>
        <w:rPr>
          <w:bCs/>
        </w:rPr>
        <w:t>ge del legajo “M”.</w:t>
      </w:r>
    </w:p>
    <w:p w:rsidR="00224567" w:rsidRDefault="00224567">
      <w:pPr>
        <w:widowControl w:val="0"/>
        <w:tabs>
          <w:tab w:val="left" w:pos="2835"/>
        </w:tabs>
        <w:ind w:firstLine="708"/>
        <w:rPr>
          <w:bCs/>
        </w:rPr>
      </w:pPr>
      <w:r>
        <w:rPr>
          <w:bCs/>
        </w:rPr>
        <w:tab/>
        <w:t>Con relación al pretendido desvío de Gatto y Valenga, luego de narrar cómo fue generada esa pista, el Dr. Valle concluyó que nunca pudo tratarse de una maniobra de distracción ya que el comisario Vacc</w:t>
      </w:r>
      <w:r>
        <w:rPr>
          <w:bCs/>
        </w:rPr>
        <w:t>a</w:t>
      </w:r>
      <w:r>
        <w:rPr>
          <w:bCs/>
        </w:rPr>
        <w:t>rezza informó que, de acuerdo a tareas de inteligencia, la c</w:t>
      </w:r>
      <w:r>
        <w:rPr>
          <w:bCs/>
        </w:rPr>
        <w:t>a</w:t>
      </w:r>
      <w:r>
        <w:rPr>
          <w:bCs/>
        </w:rPr>
        <w:lastRenderedPageBreak/>
        <w:t>mioneta mencionada estaba en circulación y, en consecue</w:t>
      </w:r>
      <w:r>
        <w:rPr>
          <w:bCs/>
        </w:rPr>
        <w:t>n</w:t>
      </w:r>
      <w:r>
        <w:rPr>
          <w:bCs/>
        </w:rPr>
        <w:t xml:space="preserve">cia, no había sido utilizada en el atentado de </w:t>
      </w:r>
      <w:smartTag w:uri="urn:schemas-microsoft-com:office:smarttags" w:element="PersonName">
        <w:smartTagPr>
          <w:attr w:name="ProductID" w:val="la A.M"/>
        </w:smartTagPr>
        <w:r>
          <w:rPr>
            <w:bCs/>
          </w:rPr>
          <w:t>la A.M</w:t>
        </w:r>
      </w:smartTag>
      <w:r>
        <w:rPr>
          <w:bCs/>
        </w:rPr>
        <w:t>.I.A.</w:t>
      </w:r>
    </w:p>
    <w:p w:rsidR="00224567" w:rsidRDefault="00224567">
      <w:pPr>
        <w:widowControl w:val="0"/>
        <w:tabs>
          <w:tab w:val="left" w:pos="2835"/>
        </w:tabs>
        <w:ind w:firstLine="708"/>
        <w:rPr>
          <w:bCs/>
        </w:rPr>
      </w:pPr>
      <w:r>
        <w:rPr>
          <w:bCs/>
        </w:rPr>
        <w:tab/>
        <w:t>También destacó que Gatto y Valenga nunca mencionaron que la camioneta que ref</w:t>
      </w:r>
      <w:r>
        <w:rPr>
          <w:bCs/>
        </w:rPr>
        <w:t>e</w:t>
      </w:r>
      <w:r>
        <w:rPr>
          <w:bCs/>
        </w:rPr>
        <w:t>renciaron fuera la que entregara Telleldín a los p</w:t>
      </w:r>
      <w:r>
        <w:rPr>
          <w:bCs/>
        </w:rPr>
        <w:t>o</w:t>
      </w:r>
      <w:r>
        <w:rPr>
          <w:bCs/>
        </w:rPr>
        <w:t xml:space="preserve">licías el 10 de julio, sino que, de oídas, sabían que una camioneta roja le fue sacada al nombrado por una comisión policial, encabezada por “el Japonés” López, comisario de </w:t>
      </w:r>
      <w:smartTag w:uri="urn:schemas-microsoft-com:office:smarttags" w:element="PersonName">
        <w:smartTagPr>
          <w:attr w:name="ProductID" w:val="la Brigada"/>
        </w:smartTagPr>
        <w:r>
          <w:rPr>
            <w:bCs/>
          </w:rPr>
          <w:t>la Brigada</w:t>
        </w:r>
      </w:smartTag>
      <w:r>
        <w:rPr>
          <w:bCs/>
        </w:rPr>
        <w:t xml:space="preserve"> de Inve</w:t>
      </w:r>
      <w:r>
        <w:rPr>
          <w:bCs/>
        </w:rPr>
        <w:t>s</w:t>
      </w:r>
      <w:r>
        <w:rPr>
          <w:bCs/>
        </w:rPr>
        <w:t>tigaciones de San Martín, y que ce</w:t>
      </w:r>
      <w:r>
        <w:rPr>
          <w:bCs/>
        </w:rPr>
        <w:t>r</w:t>
      </w:r>
      <w:r>
        <w:rPr>
          <w:bCs/>
        </w:rPr>
        <w:t>ca del 22 de octubre de 1996 había sido vendida a otro policía de la misma brig</w:t>
      </w:r>
      <w:r>
        <w:rPr>
          <w:bCs/>
        </w:rPr>
        <w:t>a</w:t>
      </w:r>
      <w:r>
        <w:rPr>
          <w:bCs/>
        </w:rPr>
        <w:t>da. Resaltó que también dijeron que un informante les c</w:t>
      </w:r>
      <w:r>
        <w:rPr>
          <w:bCs/>
        </w:rPr>
        <w:t>o</w:t>
      </w:r>
      <w:r>
        <w:rPr>
          <w:bCs/>
        </w:rPr>
        <w:t>mentó que el oficial de apellido Alí había tenido partic</w:t>
      </w:r>
      <w:r>
        <w:rPr>
          <w:bCs/>
        </w:rPr>
        <w:t>i</w:t>
      </w:r>
      <w:r>
        <w:rPr>
          <w:bCs/>
        </w:rPr>
        <w:t>pación en los hechos.</w:t>
      </w:r>
    </w:p>
    <w:p w:rsidR="00224567" w:rsidRDefault="00224567">
      <w:pPr>
        <w:widowControl w:val="0"/>
        <w:tabs>
          <w:tab w:val="left" w:pos="2835"/>
        </w:tabs>
        <w:ind w:firstLine="708"/>
        <w:rPr>
          <w:bCs/>
        </w:rPr>
      </w:pPr>
      <w:r>
        <w:rPr>
          <w:bCs/>
        </w:rPr>
        <w:tab/>
        <w:t>Luego de enumerar prueba al re</w:t>
      </w:r>
      <w:r>
        <w:rPr>
          <w:bCs/>
        </w:rPr>
        <w:t>s</w:t>
      </w:r>
      <w:r>
        <w:rPr>
          <w:bCs/>
        </w:rPr>
        <w:t>pecto, evaluó el defensor que pudo determinarse que efectiv</w:t>
      </w:r>
      <w:r>
        <w:rPr>
          <w:bCs/>
        </w:rPr>
        <w:t>a</w:t>
      </w:r>
      <w:r>
        <w:rPr>
          <w:bCs/>
        </w:rPr>
        <w:t>mente una camioneta roja dominio B 2.345.347 fue transferida a López en el año 1994 y que, tal como dijo Vaccarezza, su</w:t>
      </w:r>
      <w:r>
        <w:rPr>
          <w:bCs/>
        </w:rPr>
        <w:t>r</w:t>
      </w:r>
      <w:r>
        <w:rPr>
          <w:bCs/>
        </w:rPr>
        <w:t>gían irregularidades en el legajo B del Registro de Pr</w:t>
      </w:r>
      <w:r>
        <w:rPr>
          <w:bCs/>
        </w:rPr>
        <w:t>o</w:t>
      </w:r>
      <w:r>
        <w:rPr>
          <w:bCs/>
        </w:rPr>
        <w:t>piedad Automotor, ya que a simple vista se veía que dif</w:t>
      </w:r>
      <w:r>
        <w:rPr>
          <w:bCs/>
        </w:rPr>
        <w:t>e</w:t>
      </w:r>
      <w:r>
        <w:rPr>
          <w:bCs/>
        </w:rPr>
        <w:t xml:space="preserve">ría el número de documento del supuesto vendedor –fs. 32.891 y sigs.- y podía apreciarse el efectivo traspaso de </w:t>
      </w:r>
      <w:r>
        <w:rPr>
          <w:bCs/>
        </w:rPr>
        <w:lastRenderedPageBreak/>
        <w:t xml:space="preserve">López a Gómez, médico de </w:t>
      </w:r>
      <w:smartTag w:uri="urn:schemas-microsoft-com:office:smarttags" w:element="PersonName">
        <w:smartTagPr>
          <w:attr w:name="ProductID" w:val="la Polic￭a Bonaerense."/>
        </w:smartTagPr>
        <w:r>
          <w:rPr>
            <w:bCs/>
          </w:rPr>
          <w:t>la Pol</w:t>
        </w:r>
        <w:r>
          <w:rPr>
            <w:bCs/>
          </w:rPr>
          <w:t>i</w:t>
        </w:r>
        <w:r>
          <w:rPr>
            <w:bCs/>
          </w:rPr>
          <w:t>cía Bonaerense.</w:t>
        </w:r>
      </w:smartTag>
    </w:p>
    <w:p w:rsidR="00224567" w:rsidRDefault="00224567">
      <w:pPr>
        <w:widowControl w:val="0"/>
        <w:tabs>
          <w:tab w:val="left" w:pos="2835"/>
        </w:tabs>
        <w:ind w:firstLine="708"/>
        <w:rPr>
          <w:bCs/>
        </w:rPr>
      </w:pPr>
      <w:r>
        <w:rPr>
          <w:bCs/>
        </w:rPr>
        <w:tab/>
        <w:t>También refirió el defensor que de los gráficos acompañados por los fiscales a fs. 33.249 surge que hubo otras Trafic que pasaron por las manos de López y de G</w:t>
      </w:r>
      <w:r>
        <w:rPr>
          <w:bCs/>
        </w:rPr>
        <w:t>ó</w:t>
      </w:r>
      <w:r>
        <w:rPr>
          <w:bCs/>
        </w:rPr>
        <w:t>mez. Así, mencionó que la camioneta que usaba López, al momento de la iniciación del legajo nº 133, era de c</w:t>
      </w:r>
      <w:r>
        <w:rPr>
          <w:bCs/>
        </w:rPr>
        <w:t>o</w:t>
      </w:r>
      <w:r>
        <w:rPr>
          <w:bCs/>
        </w:rPr>
        <w:t xml:space="preserve">lor blanca, dominio SBC 902 y poseía pedido de secuestro de </w:t>
      </w:r>
      <w:smartTag w:uri="urn:schemas-microsoft-com:office:smarttags" w:element="PersonName">
        <w:smartTagPr>
          <w:attr w:name="ProductID" w:val="la Comisar￭a"/>
        </w:smartTagPr>
        <w:r>
          <w:rPr>
            <w:bCs/>
          </w:rPr>
          <w:t>la Comisaría</w:t>
        </w:r>
      </w:smartTag>
      <w:r>
        <w:rPr>
          <w:bCs/>
        </w:rPr>
        <w:t xml:space="preserve"> 44ª de </w:t>
      </w:r>
      <w:smartTag w:uri="urn:schemas-microsoft-com:office:smarttags" w:element="PersonName">
        <w:smartTagPr>
          <w:attr w:name="ProductID" w:val="la Polic￭a Federal"/>
        </w:smartTagPr>
        <w:r>
          <w:rPr>
            <w:bCs/>
          </w:rPr>
          <w:t>la Policía F</w:t>
        </w:r>
        <w:r>
          <w:rPr>
            <w:bCs/>
          </w:rPr>
          <w:t>e</w:t>
        </w:r>
        <w:r>
          <w:rPr>
            <w:bCs/>
          </w:rPr>
          <w:t>deral</w:t>
        </w:r>
      </w:smartTag>
      <w:r>
        <w:rPr>
          <w:bCs/>
        </w:rPr>
        <w:t>, tal como surge de fs. 33.098; también señaló una tercera cami</w:t>
      </w:r>
      <w:r>
        <w:rPr>
          <w:bCs/>
        </w:rPr>
        <w:t>o</w:t>
      </w:r>
      <w:r>
        <w:rPr>
          <w:bCs/>
        </w:rPr>
        <w:t>neta Trafic dominio B 2.077.838 que pasó primero por manos del señor Iv</w:t>
      </w:r>
      <w:r>
        <w:rPr>
          <w:bCs/>
        </w:rPr>
        <w:t>a</w:t>
      </w:r>
      <w:r>
        <w:rPr>
          <w:bCs/>
        </w:rPr>
        <w:t>noff, quien a su vez le compró un auto a Carlos Alberto Telle</w:t>
      </w:r>
      <w:r>
        <w:rPr>
          <w:bCs/>
        </w:rPr>
        <w:t>l</w:t>
      </w:r>
      <w:r>
        <w:rPr>
          <w:bCs/>
        </w:rPr>
        <w:t>dín, (fs. 15.222 y sigs.).</w:t>
      </w:r>
    </w:p>
    <w:p w:rsidR="00224567" w:rsidRDefault="00224567">
      <w:pPr>
        <w:widowControl w:val="0"/>
        <w:tabs>
          <w:tab w:val="left" w:pos="2835"/>
        </w:tabs>
        <w:ind w:firstLine="708"/>
        <w:rPr>
          <w:bCs/>
        </w:rPr>
      </w:pPr>
      <w:r>
        <w:rPr>
          <w:bCs/>
        </w:rPr>
        <w:tab/>
        <w:t>Al respecto, la defensa agregó que Ivanoff en enero y febrero de 1994 y desde el teléfono 568-8055 hizo cinco llamadas a “Alejandro Automotores”, tal como se desprende del archivo “A.M.I.A. Teléfonos T</w:t>
      </w:r>
      <w:r>
        <w:rPr>
          <w:bCs/>
        </w:rPr>
        <w:t>e</w:t>
      </w:r>
      <w:r>
        <w:rPr>
          <w:bCs/>
        </w:rPr>
        <w:t xml:space="preserve">lecom TC </w:t>
      </w:r>
      <w:smartTag w:uri="urn:schemas-microsoft-com:office:smarttags" w:element="metricconverter">
        <w:smartTagPr>
          <w:attr w:name="ProductID" w:val="193”"/>
        </w:smartTagPr>
        <w:r>
          <w:rPr>
            <w:bCs/>
          </w:rPr>
          <w:t>193”</w:t>
        </w:r>
      </w:smartTag>
      <w:r>
        <w:rPr>
          <w:bCs/>
        </w:rPr>
        <w:t>.</w:t>
      </w:r>
    </w:p>
    <w:p w:rsidR="00224567" w:rsidRDefault="00224567">
      <w:pPr>
        <w:pStyle w:val="Sangradetextonormal"/>
        <w:widowControl w:val="0"/>
        <w:tabs>
          <w:tab w:val="left" w:pos="2835"/>
        </w:tabs>
      </w:pPr>
      <w:r>
        <w:tab/>
        <w:t>Puso de manifiesto el defensor que la relación Telleldín-Ivanoff no fue investigada por el ju</w:t>
      </w:r>
      <w:r>
        <w:t>z</w:t>
      </w:r>
      <w:r>
        <w:t>gado, aunque lo que si estaba claro era que Telleldín tr</w:t>
      </w:r>
      <w:r>
        <w:t>a</w:t>
      </w:r>
      <w:r>
        <w:lastRenderedPageBreak/>
        <w:t>taba con la dupla Gómez-“Japonés” López, quien a la sazón, era el comisario jurisdi</w:t>
      </w:r>
      <w:r>
        <w:t>c</w:t>
      </w:r>
      <w:r>
        <w:t>cional de República 107 de Villa Ballester y a quien Bottegal, en su amplio relato autoi</w:t>
      </w:r>
      <w:r>
        <w:t>n</w:t>
      </w:r>
      <w:r>
        <w:t>criminatorio, ubicó en la casa de Telle</w:t>
      </w:r>
      <w:r>
        <w:t>l</w:t>
      </w:r>
      <w:r>
        <w:t>dín el 26 de julio de 1994.</w:t>
      </w:r>
    </w:p>
    <w:p w:rsidR="00224567" w:rsidRDefault="00224567">
      <w:pPr>
        <w:widowControl w:val="0"/>
        <w:tabs>
          <w:tab w:val="left" w:pos="2835"/>
        </w:tabs>
        <w:ind w:firstLine="708"/>
        <w:rPr>
          <w:bCs/>
        </w:rPr>
      </w:pPr>
      <w:r>
        <w:rPr>
          <w:bCs/>
        </w:rPr>
        <w:tab/>
        <w:t>También remarcó la defensa, a fin de mostrar la entidad de esa pista, que de la lectura del l</w:t>
      </w:r>
      <w:r>
        <w:rPr>
          <w:bCs/>
        </w:rPr>
        <w:t>e</w:t>
      </w:r>
      <w:r>
        <w:rPr>
          <w:bCs/>
        </w:rPr>
        <w:t>gajo personal del comisario López surgía que para el año 1977 tenía un auto de procedencia ilícita (fs. 33.529).</w:t>
      </w:r>
    </w:p>
    <w:p w:rsidR="00224567" w:rsidRDefault="00224567">
      <w:pPr>
        <w:widowControl w:val="0"/>
        <w:tabs>
          <w:tab w:val="left" w:pos="2835"/>
        </w:tabs>
        <w:ind w:firstLine="708"/>
        <w:rPr>
          <w:bCs/>
        </w:rPr>
      </w:pPr>
      <w:r>
        <w:rPr>
          <w:bCs/>
        </w:rPr>
        <w:tab/>
        <w:t xml:space="preserve">Por otro lado, remarcó que Alí estaba siendo investigado por </w:t>
      </w:r>
      <w:smartTag w:uri="urn:schemas-microsoft-com:office:smarttags" w:element="PersonName">
        <w:smartTagPr>
          <w:attr w:name="ProductID" w:val="la S.I"/>
        </w:smartTagPr>
        <w:r>
          <w:rPr>
            <w:bCs/>
          </w:rPr>
          <w:t>la S.I</w:t>
        </w:r>
      </w:smartTag>
      <w:r>
        <w:rPr>
          <w:bCs/>
        </w:rPr>
        <w:t>.D.E., antes de las declar</w:t>
      </w:r>
      <w:r>
        <w:rPr>
          <w:bCs/>
        </w:rPr>
        <w:t>a</w:t>
      </w:r>
      <w:r>
        <w:rPr>
          <w:bCs/>
        </w:rPr>
        <w:t>ciones de Gatto y Valenga, tal como consta en el oficio del 10 de julio de 1996 mediante el que se solicitó la i</w:t>
      </w:r>
      <w:r>
        <w:rPr>
          <w:bCs/>
        </w:rPr>
        <w:t>n</w:t>
      </w:r>
      <w:r>
        <w:rPr>
          <w:bCs/>
        </w:rPr>
        <w:t>tervención del teléfono 666-8419 –fs. 39 del “Legajo de intervenciones telefónicas de la causa “Brigadas”” y fs. 72.615-.</w:t>
      </w:r>
    </w:p>
    <w:p w:rsidR="00224567" w:rsidRDefault="00224567">
      <w:pPr>
        <w:widowControl w:val="0"/>
        <w:tabs>
          <w:tab w:val="left" w:pos="2835"/>
        </w:tabs>
        <w:ind w:firstLine="708"/>
        <w:rPr>
          <w:bCs/>
        </w:rPr>
      </w:pPr>
      <w:r>
        <w:rPr>
          <w:bCs/>
        </w:rPr>
        <w:tab/>
        <w:t>Insistió el letrado sobre la importa</w:t>
      </w:r>
      <w:r>
        <w:rPr>
          <w:bCs/>
        </w:rPr>
        <w:t>n</w:t>
      </w:r>
      <w:r>
        <w:rPr>
          <w:bCs/>
        </w:rPr>
        <w:t>cia de esa pista al afirmar que de las declaraciones de Telleldín surgía que el mismo 10 de j</w:t>
      </w:r>
      <w:r>
        <w:rPr>
          <w:bCs/>
        </w:rPr>
        <w:t>u</w:t>
      </w:r>
      <w:r>
        <w:rPr>
          <w:bCs/>
        </w:rPr>
        <w:t>lio había un auto de Villa Conce</w:t>
      </w:r>
      <w:r>
        <w:rPr>
          <w:bCs/>
        </w:rPr>
        <w:t>p</w:t>
      </w:r>
      <w:r>
        <w:rPr>
          <w:bCs/>
        </w:rPr>
        <w:t xml:space="preserve">ción, destino por el que pasó Alí, y que a fs. 37.384 el juez afirmó que </w:t>
      </w:r>
      <w:smartTag w:uri="urn:schemas-microsoft-com:office:smarttags" w:element="PersonName">
        <w:smartTagPr>
          <w:attr w:name="ProductID" w:val="la Dra. Riva"/>
        </w:smartTagPr>
        <w:r>
          <w:rPr>
            <w:bCs/>
          </w:rPr>
          <w:t>la Dra. Riva</w:t>
        </w:r>
      </w:smartTag>
      <w:r>
        <w:rPr>
          <w:bCs/>
        </w:rPr>
        <w:t xml:space="preserve"> Ar</w:t>
      </w:r>
      <w:r>
        <w:rPr>
          <w:bCs/>
        </w:rPr>
        <w:t>a</w:t>
      </w:r>
      <w:r>
        <w:rPr>
          <w:bCs/>
        </w:rPr>
        <w:t xml:space="preserve">mayo le refirió </w:t>
      </w:r>
      <w:r>
        <w:rPr>
          <w:bCs/>
        </w:rPr>
        <w:lastRenderedPageBreak/>
        <w:t>que T</w:t>
      </w:r>
      <w:r>
        <w:rPr>
          <w:bCs/>
        </w:rPr>
        <w:t>e</w:t>
      </w:r>
      <w:r>
        <w:rPr>
          <w:bCs/>
        </w:rPr>
        <w:t>lleldín había expresado que uno de los policías que había señalado podría ser “tu</w:t>
      </w:r>
      <w:r>
        <w:rPr>
          <w:bCs/>
        </w:rPr>
        <w:t>r</w:t>
      </w:r>
      <w:r>
        <w:rPr>
          <w:bCs/>
        </w:rPr>
        <w:t>co”.</w:t>
      </w:r>
    </w:p>
    <w:p w:rsidR="00224567" w:rsidRDefault="00224567">
      <w:pPr>
        <w:widowControl w:val="0"/>
        <w:tabs>
          <w:tab w:val="left" w:pos="2835"/>
        </w:tabs>
        <w:ind w:firstLine="708"/>
        <w:rPr>
          <w:bCs/>
        </w:rPr>
      </w:pPr>
      <w:r>
        <w:rPr>
          <w:bCs/>
        </w:rPr>
        <w:tab/>
        <w:t>Concluyó el defensor que resultaba claro que el juez tendría que haber investigado a López, Ivanoff y la relación de éstos con Telleldín, lu</w:t>
      </w:r>
      <w:r>
        <w:rPr>
          <w:bCs/>
        </w:rPr>
        <w:t>e</w:t>
      </w:r>
      <w:r>
        <w:rPr>
          <w:bCs/>
        </w:rPr>
        <w:t>go de la breve de inte</w:t>
      </w:r>
      <w:r>
        <w:rPr>
          <w:bCs/>
        </w:rPr>
        <w:t>r</w:t>
      </w:r>
      <w:r>
        <w:rPr>
          <w:bCs/>
        </w:rPr>
        <w:t>vención de Vaccarezza.</w:t>
      </w:r>
    </w:p>
    <w:p w:rsidR="00224567" w:rsidRDefault="00224567">
      <w:pPr>
        <w:widowControl w:val="0"/>
        <w:tabs>
          <w:tab w:val="left" w:pos="2835"/>
        </w:tabs>
        <w:ind w:firstLine="708"/>
        <w:rPr>
          <w:bCs/>
        </w:rPr>
      </w:pPr>
      <w:r>
        <w:rPr>
          <w:bCs/>
        </w:rPr>
        <w:tab/>
        <w:t>Por las razones expuestas, el defe</w:t>
      </w:r>
      <w:r>
        <w:rPr>
          <w:bCs/>
        </w:rPr>
        <w:t>n</w:t>
      </w:r>
      <w:r>
        <w:rPr>
          <w:bCs/>
        </w:rPr>
        <w:t xml:space="preserve">sor propició la libre absolución de Raúl Edilio Ibarra, sin costas, en orden a la imputación del atentado a </w:t>
      </w:r>
      <w:smartTag w:uri="urn:schemas-microsoft-com:office:smarttags" w:element="PersonName">
        <w:smartTagPr>
          <w:attr w:name="ProductID" w:val="la A.M"/>
        </w:smartTagPr>
        <w:r>
          <w:rPr>
            <w:bCs/>
          </w:rPr>
          <w:t>la A.M</w:t>
        </w:r>
      </w:smartTag>
      <w:r>
        <w:rPr>
          <w:bCs/>
        </w:rPr>
        <w:t>.I.A.</w:t>
      </w:r>
    </w:p>
    <w:p w:rsidR="00224567" w:rsidRDefault="00224567">
      <w:pPr>
        <w:widowControl w:val="0"/>
        <w:tabs>
          <w:tab w:val="left" w:pos="2835"/>
        </w:tabs>
        <w:ind w:firstLine="708"/>
        <w:rPr>
          <w:bCs/>
          <w:color w:val="000000"/>
        </w:rPr>
      </w:pPr>
      <w:r>
        <w:rPr>
          <w:bCs/>
          <w:color w:val="000000"/>
        </w:rPr>
        <w:tab/>
        <w:t>Con relación a lo sucedido los días 15 de marzo y 4 y 5 de abril de 1994, la defensa consideró que debe valorarse, en primer término, la credib</w:t>
      </w:r>
      <w:r>
        <w:rPr>
          <w:bCs/>
          <w:color w:val="000000"/>
        </w:rPr>
        <w:t>i</w:t>
      </w:r>
      <w:r>
        <w:rPr>
          <w:bCs/>
          <w:color w:val="000000"/>
        </w:rPr>
        <w:t>lidad de las declaraciones de las personas que integraban el e</w:t>
      </w:r>
      <w:r>
        <w:rPr>
          <w:bCs/>
          <w:color w:val="000000"/>
        </w:rPr>
        <w:t>n</w:t>
      </w:r>
      <w:r>
        <w:rPr>
          <w:bCs/>
          <w:color w:val="000000"/>
        </w:rPr>
        <w:t>torno de Telleldín y, sobre la base de estos elementos y del análisis de sus dichos, puede conclui</w:t>
      </w:r>
      <w:r>
        <w:rPr>
          <w:bCs/>
          <w:color w:val="000000"/>
        </w:rPr>
        <w:t>r</w:t>
      </w:r>
      <w:r>
        <w:rPr>
          <w:bCs/>
          <w:color w:val="000000"/>
        </w:rPr>
        <w:t>se de qué manera se armó la imputación contra Ibarra, con un dudoso desd</w:t>
      </w:r>
      <w:r>
        <w:rPr>
          <w:bCs/>
          <w:color w:val="000000"/>
        </w:rPr>
        <w:t>o</w:t>
      </w:r>
      <w:r>
        <w:rPr>
          <w:bCs/>
          <w:color w:val="000000"/>
        </w:rPr>
        <w:t>blamiento de las supuestas extorsi</w:t>
      </w:r>
      <w:r>
        <w:rPr>
          <w:bCs/>
          <w:color w:val="000000"/>
        </w:rPr>
        <w:t>o</w:t>
      </w:r>
      <w:r>
        <w:rPr>
          <w:bCs/>
          <w:color w:val="000000"/>
        </w:rPr>
        <w:t>nes de marzo y abril.</w:t>
      </w:r>
    </w:p>
    <w:p w:rsidR="00224567" w:rsidRDefault="00224567">
      <w:pPr>
        <w:widowControl w:val="0"/>
        <w:tabs>
          <w:tab w:val="left" w:pos="2835"/>
        </w:tabs>
        <w:ind w:firstLine="708"/>
        <w:rPr>
          <w:bCs/>
          <w:color w:val="000000"/>
        </w:rPr>
      </w:pPr>
      <w:r>
        <w:rPr>
          <w:bCs/>
          <w:color w:val="000000"/>
        </w:rPr>
        <w:tab/>
        <w:t xml:space="preserve">Arribó la defensa a esa afirmación sosteniendo que, según la lógica de la propia acusación, </w:t>
      </w:r>
      <w:r>
        <w:rPr>
          <w:bCs/>
          <w:color w:val="000000"/>
        </w:rPr>
        <w:lastRenderedPageBreak/>
        <w:t>un hecho resulta ser consecuencia del otro y por ello los fiscales sostuvieron que ante el revés sufrido en la i</w:t>
      </w:r>
      <w:r>
        <w:rPr>
          <w:bCs/>
          <w:color w:val="000000"/>
        </w:rPr>
        <w:t>n</w:t>
      </w:r>
      <w:r>
        <w:rPr>
          <w:bCs/>
          <w:color w:val="000000"/>
        </w:rPr>
        <w:t xml:space="preserve">tentona del día 15 de marzo, personal de </w:t>
      </w:r>
      <w:smartTag w:uri="urn:schemas-microsoft-com:office:smarttags" w:element="PersonName">
        <w:smartTagPr>
          <w:attr w:name="ProductID" w:val="la Brigada"/>
        </w:smartTagPr>
        <w:r>
          <w:rPr>
            <w:bCs/>
            <w:color w:val="000000"/>
          </w:rPr>
          <w:t>la Brigada</w:t>
        </w:r>
      </w:smartTag>
      <w:r>
        <w:rPr>
          <w:bCs/>
          <w:color w:val="000000"/>
        </w:rPr>
        <w:t xml:space="preserve"> de I</w:t>
      </w:r>
      <w:r>
        <w:rPr>
          <w:bCs/>
          <w:color w:val="000000"/>
        </w:rPr>
        <w:t>n</w:t>
      </w:r>
      <w:r>
        <w:rPr>
          <w:bCs/>
          <w:color w:val="000000"/>
        </w:rPr>
        <w:t>vestigaciones de Lanús continuó la búsqueda tendiente a dar con el parad</w:t>
      </w:r>
      <w:r>
        <w:rPr>
          <w:bCs/>
          <w:color w:val="000000"/>
        </w:rPr>
        <w:t>e</w:t>
      </w:r>
      <w:r>
        <w:rPr>
          <w:bCs/>
          <w:color w:val="000000"/>
        </w:rPr>
        <w:t>ro de Carlos Telleldín, con la intención de consumar el pr</w:t>
      </w:r>
      <w:r>
        <w:rPr>
          <w:bCs/>
          <w:color w:val="000000"/>
        </w:rPr>
        <w:t>o</w:t>
      </w:r>
      <w:r>
        <w:rPr>
          <w:bCs/>
          <w:color w:val="000000"/>
        </w:rPr>
        <w:t>pósito frustrado por su fuga.</w:t>
      </w:r>
    </w:p>
    <w:p w:rsidR="00224567" w:rsidRDefault="00224567">
      <w:pPr>
        <w:widowControl w:val="0"/>
        <w:tabs>
          <w:tab w:val="left" w:pos="2835"/>
        </w:tabs>
        <w:ind w:firstLine="708"/>
        <w:rPr>
          <w:bCs/>
          <w:color w:val="000000"/>
        </w:rPr>
      </w:pPr>
      <w:r>
        <w:rPr>
          <w:bCs/>
          <w:color w:val="000000"/>
        </w:rPr>
        <w:tab/>
        <w:t>Puso de manifiesto la defensa que, en su requerimiento, los fiscales habían sost</w:t>
      </w:r>
      <w:r>
        <w:rPr>
          <w:bCs/>
          <w:color w:val="000000"/>
        </w:rPr>
        <w:t>e</w:t>
      </w:r>
      <w:r>
        <w:rPr>
          <w:bCs/>
          <w:color w:val="000000"/>
        </w:rPr>
        <w:t>nido que el día 15 de marzo de 1994, alrededor de las 21.00, Ib</w:t>
      </w:r>
      <w:r>
        <w:rPr>
          <w:bCs/>
          <w:color w:val="000000"/>
        </w:rPr>
        <w:t>a</w:t>
      </w:r>
      <w:r>
        <w:rPr>
          <w:bCs/>
          <w:color w:val="000000"/>
        </w:rPr>
        <w:t>rra, Cruz, Ribelli y Huici, mediante intimidación, obligaron a T</w:t>
      </w:r>
      <w:r>
        <w:rPr>
          <w:bCs/>
          <w:color w:val="000000"/>
        </w:rPr>
        <w:t>e</w:t>
      </w:r>
      <w:r>
        <w:rPr>
          <w:bCs/>
          <w:color w:val="000000"/>
        </w:rPr>
        <w:t>lleldín a entregarles bienes y dinero -teniendo así el h</w:t>
      </w:r>
      <w:r>
        <w:rPr>
          <w:bCs/>
          <w:color w:val="000000"/>
        </w:rPr>
        <w:t>e</w:t>
      </w:r>
      <w:r>
        <w:rPr>
          <w:bCs/>
          <w:color w:val="000000"/>
        </w:rPr>
        <w:t>cho por consumado- bajo la amenaza de sufrir un mal m</w:t>
      </w:r>
      <w:r>
        <w:rPr>
          <w:bCs/>
          <w:color w:val="000000"/>
        </w:rPr>
        <w:t>a</w:t>
      </w:r>
      <w:r>
        <w:rPr>
          <w:bCs/>
          <w:color w:val="000000"/>
        </w:rPr>
        <w:t>yor.</w:t>
      </w:r>
    </w:p>
    <w:p w:rsidR="00224567" w:rsidRDefault="00224567">
      <w:pPr>
        <w:widowControl w:val="0"/>
        <w:tabs>
          <w:tab w:val="left" w:pos="2835"/>
        </w:tabs>
        <w:ind w:firstLine="708"/>
        <w:rPr>
          <w:bCs/>
          <w:color w:val="000000"/>
        </w:rPr>
      </w:pPr>
      <w:r>
        <w:rPr>
          <w:bCs/>
          <w:color w:val="000000"/>
        </w:rPr>
        <w:tab/>
        <w:t>Consideró que dichas conclusiones y los elementos de cargo de que se valen para responsabil</w:t>
      </w:r>
      <w:r>
        <w:rPr>
          <w:bCs/>
          <w:color w:val="000000"/>
        </w:rPr>
        <w:t>i</w:t>
      </w:r>
      <w:r>
        <w:rPr>
          <w:bCs/>
          <w:color w:val="000000"/>
        </w:rPr>
        <w:t>zar a Ibarra, resultan falsos.</w:t>
      </w:r>
    </w:p>
    <w:p w:rsidR="00224567" w:rsidRDefault="00224567">
      <w:pPr>
        <w:widowControl w:val="0"/>
        <w:tabs>
          <w:tab w:val="left" w:pos="2835"/>
        </w:tabs>
        <w:ind w:firstLine="708"/>
        <w:rPr>
          <w:bCs/>
          <w:color w:val="000000"/>
        </w:rPr>
      </w:pPr>
      <w:r>
        <w:rPr>
          <w:bCs/>
          <w:color w:val="000000"/>
        </w:rPr>
        <w:tab/>
        <w:t>Afirmó el defensor que se encuentra probado que las fichas dactiloscópicas de Telleldín y P</w:t>
      </w:r>
      <w:r>
        <w:rPr>
          <w:bCs/>
          <w:color w:val="000000"/>
        </w:rPr>
        <w:t>e</w:t>
      </w:r>
      <w:r>
        <w:rPr>
          <w:bCs/>
          <w:color w:val="000000"/>
        </w:rPr>
        <w:t xml:space="preserve">trucci fueron remitidas en tiempo oportuno a la jefatura de </w:t>
      </w:r>
      <w:smartTag w:uri="urn:schemas-microsoft-com:office:smarttags" w:element="PersonName">
        <w:smartTagPr>
          <w:attr w:name="ProductID" w:val="la Polic￭a Bonaerense"/>
        </w:smartTagPr>
        <w:r>
          <w:rPr>
            <w:bCs/>
            <w:color w:val="000000"/>
          </w:rPr>
          <w:t>la Policía Bonaerense</w:t>
        </w:r>
      </w:smartTag>
      <w:r>
        <w:rPr>
          <w:bCs/>
          <w:color w:val="000000"/>
        </w:rPr>
        <w:t>, tal cual era de práctica, vía correo electrónico, y que ese organismo informó que no p</w:t>
      </w:r>
      <w:r>
        <w:rPr>
          <w:bCs/>
          <w:color w:val="000000"/>
        </w:rPr>
        <w:t>e</w:t>
      </w:r>
      <w:r>
        <w:rPr>
          <w:bCs/>
          <w:color w:val="000000"/>
        </w:rPr>
        <w:t xml:space="preserve">saban órdenes de captura, por lo que previa consulta con </w:t>
      </w:r>
      <w:r>
        <w:rPr>
          <w:bCs/>
          <w:color w:val="000000"/>
        </w:rPr>
        <w:lastRenderedPageBreak/>
        <w:t>el juzgado interviniente fueron liberados antes de tran</w:t>
      </w:r>
      <w:r>
        <w:rPr>
          <w:bCs/>
          <w:color w:val="000000"/>
        </w:rPr>
        <w:t>s</w:t>
      </w:r>
      <w:r>
        <w:rPr>
          <w:bCs/>
          <w:color w:val="000000"/>
        </w:rPr>
        <w:t>curridas 24 horas de producida la apr</w:t>
      </w:r>
      <w:r>
        <w:rPr>
          <w:bCs/>
          <w:color w:val="000000"/>
        </w:rPr>
        <w:t>e</w:t>
      </w:r>
      <w:r>
        <w:rPr>
          <w:bCs/>
          <w:color w:val="000000"/>
        </w:rPr>
        <w:t>hensión.</w:t>
      </w:r>
    </w:p>
    <w:p w:rsidR="00224567" w:rsidRDefault="00224567">
      <w:pPr>
        <w:widowControl w:val="0"/>
        <w:tabs>
          <w:tab w:val="left" w:pos="2835"/>
        </w:tabs>
        <w:ind w:firstLine="708"/>
        <w:rPr>
          <w:bCs/>
          <w:color w:val="000000"/>
        </w:rPr>
      </w:pPr>
      <w:r>
        <w:rPr>
          <w:bCs/>
          <w:color w:val="000000"/>
        </w:rPr>
        <w:tab/>
        <w:t>Agregó que también quedó probado que el suboficial Rubén Alberto Vertúa, alias “el Grillo”, existía realme</w:t>
      </w:r>
      <w:r>
        <w:rPr>
          <w:bCs/>
          <w:color w:val="000000"/>
        </w:rPr>
        <w:t>n</w:t>
      </w:r>
      <w:r>
        <w:rPr>
          <w:bCs/>
          <w:color w:val="000000"/>
        </w:rPr>
        <w:t>te y así fue como pudo ser escuchado en la audiencia y comprobarse categóricamente que nada hubo de irregular en la tramitación de las actuaciones labradas con motivo de las dete</w:t>
      </w:r>
      <w:r>
        <w:rPr>
          <w:bCs/>
          <w:color w:val="000000"/>
        </w:rPr>
        <w:t>n</w:t>
      </w:r>
      <w:r>
        <w:rPr>
          <w:bCs/>
          <w:color w:val="000000"/>
        </w:rPr>
        <w:t>ciones del 4 de abril de 1994.</w:t>
      </w:r>
    </w:p>
    <w:p w:rsidR="00224567" w:rsidRDefault="00224567">
      <w:pPr>
        <w:widowControl w:val="0"/>
        <w:tabs>
          <w:tab w:val="left" w:pos="2835"/>
        </w:tabs>
        <w:ind w:firstLine="708"/>
        <w:rPr>
          <w:bCs/>
          <w:color w:val="000000"/>
        </w:rPr>
      </w:pPr>
      <w:r>
        <w:rPr>
          <w:bCs/>
          <w:color w:val="000000"/>
        </w:rPr>
        <w:tab/>
        <w:t xml:space="preserve">Recordó que los fiscales, para dar por probado que en el marco de la investigación del homicidio del cabo Abel Catalino Muñoz </w:t>
      </w:r>
      <w:smartTag w:uri="urn:schemas-microsoft-com:office:smarttags" w:element="PersonName">
        <w:smartTagPr>
          <w:attr w:name="ProductID" w:val="la Brigada"/>
        </w:smartTagPr>
        <w:r>
          <w:rPr>
            <w:bCs/>
            <w:color w:val="000000"/>
          </w:rPr>
          <w:t>la Brigada</w:t>
        </w:r>
      </w:smartTag>
      <w:r>
        <w:rPr>
          <w:bCs/>
          <w:color w:val="000000"/>
        </w:rPr>
        <w:t xml:space="preserve"> de Lanús imputó falsamente a T</w:t>
      </w:r>
      <w:r>
        <w:rPr>
          <w:bCs/>
          <w:color w:val="000000"/>
        </w:rPr>
        <w:t>e</w:t>
      </w:r>
      <w:r>
        <w:rPr>
          <w:bCs/>
          <w:color w:val="000000"/>
        </w:rPr>
        <w:t>lleldín, hicieron especial hincapié en los dichos de Ambrosi y Buján, señalando que ambos fueron co</w:t>
      </w:r>
      <w:r>
        <w:rPr>
          <w:bCs/>
          <w:color w:val="000000"/>
        </w:rPr>
        <w:t>n</w:t>
      </w:r>
      <w:r>
        <w:rPr>
          <w:bCs/>
          <w:color w:val="000000"/>
        </w:rPr>
        <w:t>testes en afi</w:t>
      </w:r>
      <w:r>
        <w:rPr>
          <w:bCs/>
          <w:color w:val="000000"/>
        </w:rPr>
        <w:t>r</w:t>
      </w:r>
      <w:r>
        <w:rPr>
          <w:bCs/>
          <w:color w:val="000000"/>
        </w:rPr>
        <w:t xml:space="preserve">mar que no conocían en </w:t>
      </w:r>
      <w:smartTag w:uri="urn:schemas-microsoft-com:office:smarttags" w:element="metricconverter">
        <w:smartTagPr>
          <w:attr w:name="ProductID" w:val="1994 a"/>
        </w:smartTagPr>
        <w:r>
          <w:rPr>
            <w:bCs/>
            <w:color w:val="000000"/>
          </w:rPr>
          <w:t>1994 a</w:t>
        </w:r>
      </w:smartTag>
      <w:r>
        <w:rPr>
          <w:bCs/>
          <w:color w:val="000000"/>
        </w:rPr>
        <w:t xml:space="preserve"> Telleldín, ni a ninguna pers</w:t>
      </w:r>
      <w:r>
        <w:rPr>
          <w:bCs/>
          <w:color w:val="000000"/>
        </w:rPr>
        <w:t>o</w:t>
      </w:r>
      <w:r>
        <w:rPr>
          <w:bCs/>
          <w:color w:val="000000"/>
        </w:rPr>
        <w:t>na apodada “el Enano”, que no sabían de la existencia del restaurante “El Barril” de Olivos, y que nunca habían efectuado m</w:t>
      </w:r>
      <w:r>
        <w:rPr>
          <w:bCs/>
          <w:color w:val="000000"/>
        </w:rPr>
        <w:t>a</w:t>
      </w:r>
      <w:r>
        <w:rPr>
          <w:bCs/>
          <w:color w:val="000000"/>
        </w:rPr>
        <w:t>nifestaciones al oficial Huici.</w:t>
      </w:r>
    </w:p>
    <w:p w:rsidR="00224567" w:rsidRDefault="00224567">
      <w:pPr>
        <w:widowControl w:val="0"/>
        <w:tabs>
          <w:tab w:val="left" w:pos="2835"/>
        </w:tabs>
        <w:ind w:firstLine="708"/>
        <w:rPr>
          <w:bCs/>
          <w:color w:val="000000"/>
        </w:rPr>
      </w:pPr>
      <w:r>
        <w:rPr>
          <w:bCs/>
          <w:color w:val="000000"/>
        </w:rPr>
        <w:tab/>
        <w:t>A fin de apreciar la veracidad de e</w:t>
      </w:r>
      <w:r>
        <w:rPr>
          <w:bCs/>
          <w:color w:val="000000"/>
        </w:rPr>
        <w:t>s</w:t>
      </w:r>
      <w:r>
        <w:rPr>
          <w:bCs/>
          <w:color w:val="000000"/>
        </w:rPr>
        <w:t>tos testimonios, consignó que, según costa en autos y su</w:t>
      </w:r>
      <w:r>
        <w:rPr>
          <w:bCs/>
          <w:color w:val="000000"/>
        </w:rPr>
        <w:t>r</w:t>
      </w:r>
      <w:r>
        <w:rPr>
          <w:bCs/>
          <w:color w:val="000000"/>
        </w:rPr>
        <w:t xml:space="preserve">ge incluso de sus propios dichos rendidos en el debate, </w:t>
      </w:r>
      <w:r>
        <w:rPr>
          <w:bCs/>
          <w:color w:val="000000"/>
        </w:rPr>
        <w:lastRenderedPageBreak/>
        <w:t>Buján y Ambrosi resultaron ser delincuentes experiment</w:t>
      </w:r>
      <w:r>
        <w:rPr>
          <w:bCs/>
          <w:color w:val="000000"/>
        </w:rPr>
        <w:t>a</w:t>
      </w:r>
      <w:r>
        <w:rPr>
          <w:bCs/>
          <w:color w:val="000000"/>
        </w:rPr>
        <w:t>dos, registrando a</w:t>
      </w:r>
      <w:r>
        <w:rPr>
          <w:bCs/>
          <w:color w:val="000000"/>
        </w:rPr>
        <w:t>n</w:t>
      </w:r>
      <w:r>
        <w:rPr>
          <w:bCs/>
          <w:color w:val="000000"/>
        </w:rPr>
        <w:t>tecedentes por delitos muy graves.</w:t>
      </w:r>
    </w:p>
    <w:p w:rsidR="00224567" w:rsidRDefault="00224567">
      <w:pPr>
        <w:widowControl w:val="0"/>
        <w:tabs>
          <w:tab w:val="left" w:pos="2835"/>
        </w:tabs>
        <w:ind w:firstLine="708"/>
        <w:rPr>
          <w:bCs/>
          <w:color w:val="000000"/>
        </w:rPr>
      </w:pPr>
      <w:r>
        <w:rPr>
          <w:bCs/>
          <w:color w:val="000000"/>
        </w:rPr>
        <w:tab/>
        <w:t>Mencionó también que Ambrosi y Buján fueron escuchados en la audiencia, negando cualquier vi</w:t>
      </w:r>
      <w:r>
        <w:rPr>
          <w:bCs/>
          <w:color w:val="000000"/>
        </w:rPr>
        <w:t>n</w:t>
      </w:r>
      <w:r>
        <w:rPr>
          <w:bCs/>
          <w:color w:val="000000"/>
        </w:rPr>
        <w:t>culación con el resto de los hechos que se les imputaban en la causa 5681 del Juzgado Crim</w:t>
      </w:r>
      <w:r>
        <w:rPr>
          <w:bCs/>
          <w:color w:val="000000"/>
        </w:rPr>
        <w:t>i</w:t>
      </w:r>
      <w:r>
        <w:rPr>
          <w:bCs/>
          <w:color w:val="000000"/>
        </w:rPr>
        <w:t>nal nº 5 de Quilmes.</w:t>
      </w:r>
    </w:p>
    <w:p w:rsidR="00224567" w:rsidRDefault="00224567">
      <w:pPr>
        <w:widowControl w:val="0"/>
        <w:tabs>
          <w:tab w:val="left" w:pos="2835"/>
        </w:tabs>
        <w:ind w:firstLine="708"/>
        <w:rPr>
          <w:bCs/>
          <w:color w:val="000000"/>
        </w:rPr>
      </w:pPr>
      <w:r>
        <w:rPr>
          <w:bCs/>
          <w:color w:val="000000"/>
        </w:rPr>
        <w:tab/>
        <w:t>Resaltó que pudo demostrarse la fals</w:t>
      </w:r>
      <w:r>
        <w:rPr>
          <w:bCs/>
          <w:color w:val="000000"/>
        </w:rPr>
        <w:t>e</w:t>
      </w:r>
      <w:r>
        <w:rPr>
          <w:bCs/>
          <w:color w:val="000000"/>
        </w:rPr>
        <w:t>dad de este último extremo, ya que a través de dil</w:t>
      </w:r>
      <w:r>
        <w:rPr>
          <w:bCs/>
          <w:color w:val="000000"/>
        </w:rPr>
        <w:t>i</w:t>
      </w:r>
      <w:r>
        <w:rPr>
          <w:bCs/>
          <w:color w:val="000000"/>
        </w:rPr>
        <w:t>gencias realizadas en esa causa, pudo acredita</w:t>
      </w:r>
      <w:r>
        <w:rPr>
          <w:bCs/>
          <w:color w:val="000000"/>
        </w:rPr>
        <w:t>r</w:t>
      </w:r>
      <w:r>
        <w:rPr>
          <w:bCs/>
          <w:color w:val="000000"/>
        </w:rPr>
        <w:t>se la materialidad de varios de los hechos que Ambrosi confesara al oficial Huici. R</w:t>
      </w:r>
      <w:r>
        <w:rPr>
          <w:bCs/>
          <w:color w:val="000000"/>
        </w:rPr>
        <w:t>e</w:t>
      </w:r>
      <w:r>
        <w:rPr>
          <w:bCs/>
          <w:color w:val="000000"/>
        </w:rPr>
        <w:t>marcó que, según consta en la declaración de este último del 14 de marzo de 1994, quedó claro que éstos s</w:t>
      </w:r>
      <w:r>
        <w:rPr>
          <w:bCs/>
          <w:color w:val="000000"/>
        </w:rPr>
        <w:t>e</w:t>
      </w:r>
      <w:r>
        <w:rPr>
          <w:bCs/>
          <w:color w:val="000000"/>
        </w:rPr>
        <w:t xml:space="preserve">rían los responsables, entre otros delitos, del homicidio en ocasión de robo del suboficial Muñoz de </w:t>
      </w:r>
      <w:smartTag w:uri="urn:schemas-microsoft-com:office:smarttags" w:element="PersonName">
        <w:smartTagPr>
          <w:attr w:name="ProductID" w:val="la Polic￭a Bonaerense."/>
        </w:smartTagPr>
        <w:r>
          <w:rPr>
            <w:bCs/>
            <w:color w:val="000000"/>
          </w:rPr>
          <w:t>la Policía B</w:t>
        </w:r>
        <w:r>
          <w:rPr>
            <w:bCs/>
            <w:color w:val="000000"/>
          </w:rPr>
          <w:t>o</w:t>
        </w:r>
        <w:r>
          <w:rPr>
            <w:bCs/>
            <w:color w:val="000000"/>
          </w:rPr>
          <w:t>naerense.</w:t>
        </w:r>
      </w:smartTag>
      <w:r>
        <w:rPr>
          <w:bCs/>
          <w:color w:val="000000"/>
        </w:rPr>
        <w:t xml:space="preserve"> Memoró también que, por orden de la juez inte</w:t>
      </w:r>
      <w:r>
        <w:rPr>
          <w:bCs/>
          <w:color w:val="000000"/>
        </w:rPr>
        <w:t>r</w:t>
      </w:r>
      <w:r>
        <w:rPr>
          <w:bCs/>
          <w:color w:val="000000"/>
        </w:rPr>
        <w:t>viniente, se realizó un allanamiento en el domicilio de Ambrosi, lográndose el secuestro de armas de fuego, doc</w:t>
      </w:r>
      <w:r>
        <w:rPr>
          <w:bCs/>
          <w:color w:val="000000"/>
        </w:rPr>
        <w:t>u</w:t>
      </w:r>
      <w:r>
        <w:rPr>
          <w:bCs/>
          <w:color w:val="000000"/>
        </w:rPr>
        <w:t>mentación de un Ford Falcón, una cámara de fotos, un tap</w:t>
      </w:r>
      <w:r>
        <w:rPr>
          <w:bCs/>
          <w:color w:val="000000"/>
        </w:rPr>
        <w:t>a</w:t>
      </w:r>
      <w:r>
        <w:rPr>
          <w:bCs/>
          <w:color w:val="000000"/>
        </w:rPr>
        <w:t>do de piel, y otros efectos personales pertenecientes Gl</w:t>
      </w:r>
      <w:r>
        <w:rPr>
          <w:bCs/>
          <w:color w:val="000000"/>
        </w:rPr>
        <w:t>o</w:t>
      </w:r>
      <w:r>
        <w:rPr>
          <w:bCs/>
          <w:color w:val="000000"/>
        </w:rPr>
        <w:t>ria Elsa Mart</w:t>
      </w:r>
      <w:r>
        <w:rPr>
          <w:bCs/>
          <w:color w:val="000000"/>
        </w:rPr>
        <w:t>í</w:t>
      </w:r>
      <w:r>
        <w:rPr>
          <w:bCs/>
          <w:color w:val="000000"/>
        </w:rPr>
        <w:t>nez.</w:t>
      </w:r>
    </w:p>
    <w:p w:rsidR="00224567" w:rsidRDefault="00224567">
      <w:pPr>
        <w:widowControl w:val="0"/>
        <w:tabs>
          <w:tab w:val="left" w:pos="2835"/>
        </w:tabs>
        <w:ind w:firstLine="708"/>
        <w:rPr>
          <w:bCs/>
          <w:color w:val="000000"/>
        </w:rPr>
      </w:pPr>
      <w:r>
        <w:rPr>
          <w:bCs/>
          <w:color w:val="000000"/>
        </w:rPr>
        <w:tab/>
        <w:t>Mencionó el defensor los dichos de J</w:t>
      </w:r>
      <w:r>
        <w:rPr>
          <w:bCs/>
          <w:color w:val="000000"/>
        </w:rPr>
        <w:t>o</w:t>
      </w:r>
      <w:r>
        <w:rPr>
          <w:bCs/>
          <w:color w:val="000000"/>
        </w:rPr>
        <w:lastRenderedPageBreak/>
        <w:t>sé Luis Masculiate prestados en esa causa, recon</w:t>
      </w:r>
      <w:r>
        <w:rPr>
          <w:bCs/>
          <w:color w:val="000000"/>
        </w:rPr>
        <w:t>o</w:t>
      </w:r>
      <w:r>
        <w:rPr>
          <w:bCs/>
          <w:color w:val="000000"/>
        </w:rPr>
        <w:t>ciendo en rueda de personas a sus dos victimarios: Ambrosi y Buján.</w:t>
      </w:r>
    </w:p>
    <w:p w:rsidR="00224567" w:rsidRDefault="00224567">
      <w:pPr>
        <w:widowControl w:val="0"/>
        <w:tabs>
          <w:tab w:val="left" w:pos="2835"/>
        </w:tabs>
        <w:ind w:firstLine="708"/>
        <w:rPr>
          <w:bCs/>
          <w:color w:val="000000"/>
        </w:rPr>
      </w:pPr>
      <w:r>
        <w:rPr>
          <w:bCs/>
          <w:color w:val="000000"/>
        </w:rPr>
        <w:tab/>
        <w:t>Recordó también la defensa la testim</w:t>
      </w:r>
      <w:r>
        <w:rPr>
          <w:bCs/>
          <w:color w:val="000000"/>
        </w:rPr>
        <w:t>o</w:t>
      </w:r>
      <w:r>
        <w:rPr>
          <w:bCs/>
          <w:color w:val="000000"/>
        </w:rPr>
        <w:t>nial de Analía F</w:t>
      </w:r>
      <w:r>
        <w:rPr>
          <w:bCs/>
          <w:color w:val="000000"/>
        </w:rPr>
        <w:t>e</w:t>
      </w:r>
      <w:r>
        <w:rPr>
          <w:bCs/>
          <w:color w:val="000000"/>
        </w:rPr>
        <w:t>rreira, concubina de Ambrosi para el año 1994, quien r</w:t>
      </w:r>
      <w:r>
        <w:rPr>
          <w:bCs/>
          <w:color w:val="000000"/>
        </w:rPr>
        <w:t>e</w:t>
      </w:r>
      <w:r>
        <w:rPr>
          <w:bCs/>
          <w:color w:val="000000"/>
        </w:rPr>
        <w:t>lató como éste había sido detenido en muchas oportunidades por diferentes delitos, desmintiendo lo so</w:t>
      </w:r>
      <w:r>
        <w:rPr>
          <w:bCs/>
          <w:color w:val="000000"/>
        </w:rPr>
        <w:t>s</w:t>
      </w:r>
      <w:r>
        <w:rPr>
          <w:bCs/>
          <w:color w:val="000000"/>
        </w:rPr>
        <w:t>tenido por su concubino y por Buján, en el sentido de que éstos no se conocían hasta la imputación de los hechos que i</w:t>
      </w:r>
      <w:r>
        <w:rPr>
          <w:bCs/>
          <w:color w:val="000000"/>
        </w:rPr>
        <w:t>n</w:t>
      </w:r>
      <w:r>
        <w:rPr>
          <w:bCs/>
          <w:color w:val="000000"/>
        </w:rPr>
        <w:t xml:space="preserve">vestigó </w:t>
      </w:r>
      <w:smartTag w:uri="urn:schemas-microsoft-com:office:smarttags" w:element="PersonName">
        <w:smartTagPr>
          <w:attr w:name="ProductID" w:val="la Brigada"/>
        </w:smartTagPr>
        <w:r>
          <w:rPr>
            <w:bCs/>
            <w:color w:val="000000"/>
          </w:rPr>
          <w:t>la Brigada</w:t>
        </w:r>
      </w:smartTag>
      <w:r>
        <w:rPr>
          <w:bCs/>
          <w:color w:val="000000"/>
        </w:rPr>
        <w:t xml:space="preserve"> de Lanús en 1994.</w:t>
      </w:r>
    </w:p>
    <w:p w:rsidR="00224567" w:rsidRDefault="00224567">
      <w:pPr>
        <w:widowControl w:val="0"/>
        <w:tabs>
          <w:tab w:val="left" w:pos="2835"/>
        </w:tabs>
        <w:ind w:firstLine="708"/>
        <w:rPr>
          <w:bCs/>
          <w:color w:val="000000"/>
        </w:rPr>
      </w:pPr>
      <w:r>
        <w:rPr>
          <w:bCs/>
          <w:color w:val="000000"/>
        </w:rPr>
        <w:tab/>
        <w:t>Por último, el defensor trajo a col</w:t>
      </w:r>
      <w:r>
        <w:rPr>
          <w:bCs/>
          <w:color w:val="000000"/>
        </w:rPr>
        <w:t>a</w:t>
      </w:r>
      <w:r>
        <w:rPr>
          <w:bCs/>
          <w:color w:val="000000"/>
        </w:rPr>
        <w:t>ción las declaraciones testimoniales de quienes fueran víctimas de Ambrosi y Buján en el episodio de la sod</w:t>
      </w:r>
      <w:r>
        <w:rPr>
          <w:bCs/>
          <w:color w:val="000000"/>
        </w:rPr>
        <w:t>e</w:t>
      </w:r>
      <w:r>
        <w:rPr>
          <w:bCs/>
          <w:color w:val="000000"/>
        </w:rPr>
        <w:t>ría; así destacó que Ca</w:t>
      </w:r>
      <w:r>
        <w:rPr>
          <w:bCs/>
          <w:color w:val="000000"/>
        </w:rPr>
        <w:t>r</w:t>
      </w:r>
      <w:r>
        <w:rPr>
          <w:bCs/>
          <w:color w:val="000000"/>
        </w:rPr>
        <w:t xml:space="preserve">los Héctor </w:t>
      </w:r>
      <w:r>
        <w:t>Bieysse</w:t>
      </w:r>
      <w:r>
        <w:rPr>
          <w:bCs/>
          <w:color w:val="000000"/>
        </w:rPr>
        <w:t xml:space="preserve"> describió a Ambrosi y la vestimenta que usó el día del hecho, remarcando que luego se secuestró en el allanamiento del domicilio del imputado; y respecto de Cristian Martín Borda, sostuvo que mediante un recon</w:t>
      </w:r>
      <w:r>
        <w:rPr>
          <w:bCs/>
          <w:color w:val="000000"/>
        </w:rPr>
        <w:t>o</w:t>
      </w:r>
      <w:r>
        <w:rPr>
          <w:bCs/>
          <w:color w:val="000000"/>
        </w:rPr>
        <w:t>cimiento por fotos identificó a Ambrosi como uno de los autores del hecho, reconociendo también el s</w:t>
      </w:r>
      <w:r>
        <w:rPr>
          <w:bCs/>
          <w:color w:val="000000"/>
        </w:rPr>
        <w:t>a</w:t>
      </w:r>
      <w:r>
        <w:rPr>
          <w:bCs/>
          <w:color w:val="000000"/>
        </w:rPr>
        <w:t>co azul que llevaba el día del homicidio.</w:t>
      </w:r>
    </w:p>
    <w:p w:rsidR="00224567" w:rsidRDefault="00224567">
      <w:pPr>
        <w:widowControl w:val="0"/>
        <w:tabs>
          <w:tab w:val="left" w:pos="2835"/>
        </w:tabs>
        <w:ind w:firstLine="708"/>
        <w:rPr>
          <w:bCs/>
          <w:color w:val="000000"/>
        </w:rPr>
      </w:pPr>
      <w:r>
        <w:rPr>
          <w:bCs/>
          <w:color w:val="000000"/>
        </w:rPr>
        <w:tab/>
        <w:t>Recordó también que Enrique A</w:t>
      </w:r>
      <w:r>
        <w:rPr>
          <w:bCs/>
          <w:color w:val="000000"/>
        </w:rPr>
        <w:t>m</w:t>
      </w:r>
      <w:r>
        <w:rPr>
          <w:bCs/>
          <w:color w:val="000000"/>
        </w:rPr>
        <w:t xml:space="preserve">brosi se </w:t>
      </w:r>
      <w:r>
        <w:rPr>
          <w:bCs/>
          <w:color w:val="000000"/>
        </w:rPr>
        <w:lastRenderedPageBreak/>
        <w:t>presentó a declarar intentando complicar a los policías imputados a fin de ser beneficiado en las causas que se le seguían y que, luego de alegar que era víctima de una suerte de complot policial, se embarcó en un relato vinc</w:t>
      </w:r>
      <w:r>
        <w:rPr>
          <w:bCs/>
          <w:color w:val="000000"/>
        </w:rPr>
        <w:t>u</w:t>
      </w:r>
      <w:r>
        <w:rPr>
          <w:bCs/>
          <w:color w:val="000000"/>
        </w:rPr>
        <w:t>lado con una amenaza que había recibido en su lugar de d</w:t>
      </w:r>
      <w:r>
        <w:rPr>
          <w:bCs/>
          <w:color w:val="000000"/>
        </w:rPr>
        <w:t>e</w:t>
      </w:r>
      <w:r>
        <w:rPr>
          <w:bCs/>
          <w:color w:val="000000"/>
        </w:rPr>
        <w:t>tención -denuncia que mereció, increíblemente, amplia cr</w:t>
      </w:r>
      <w:r>
        <w:rPr>
          <w:bCs/>
          <w:color w:val="000000"/>
        </w:rPr>
        <w:t>e</w:t>
      </w:r>
      <w:r>
        <w:rPr>
          <w:bCs/>
          <w:color w:val="000000"/>
        </w:rPr>
        <w:t>dibilidad de parte de la fiscalía-, solicitando diversas medidas tendientes a investigar el desopilante episodio.</w:t>
      </w:r>
    </w:p>
    <w:p w:rsidR="00224567" w:rsidRDefault="00224567">
      <w:pPr>
        <w:widowControl w:val="0"/>
        <w:tabs>
          <w:tab w:val="left" w:pos="2835"/>
        </w:tabs>
        <w:ind w:firstLine="708"/>
        <w:rPr>
          <w:bCs/>
          <w:color w:val="000000"/>
        </w:rPr>
      </w:pPr>
      <w:r>
        <w:rPr>
          <w:bCs/>
          <w:color w:val="000000"/>
        </w:rPr>
        <w:tab/>
        <w:t>Por todo ello, el defensor consideró que la fiscalía no valoró la veracidad de los dichos de los testigos Ambrosi y Buján; a su criterio, debe repara</w:t>
      </w:r>
      <w:r>
        <w:rPr>
          <w:bCs/>
          <w:color w:val="000000"/>
        </w:rPr>
        <w:t>r</w:t>
      </w:r>
      <w:r>
        <w:rPr>
          <w:bCs/>
          <w:color w:val="000000"/>
        </w:rPr>
        <w:t>se que para lograr su impunidad resultaba menester que tanto Ambrosi como Buján negaran el haber realizado afi</w:t>
      </w:r>
      <w:r>
        <w:rPr>
          <w:bCs/>
          <w:color w:val="000000"/>
        </w:rPr>
        <w:t>r</w:t>
      </w:r>
      <w:r>
        <w:rPr>
          <w:bCs/>
          <w:color w:val="000000"/>
        </w:rPr>
        <w:t>maciones extrajud</w:t>
      </w:r>
      <w:r>
        <w:rPr>
          <w:bCs/>
          <w:color w:val="000000"/>
        </w:rPr>
        <w:t>i</w:t>
      </w:r>
      <w:r>
        <w:rPr>
          <w:bCs/>
          <w:color w:val="000000"/>
        </w:rPr>
        <w:t>ciales vinculadas con “el Enano” de zona norte, ya que si ratificaban lo que le habían dicho a Hu</w:t>
      </w:r>
      <w:r>
        <w:rPr>
          <w:bCs/>
          <w:color w:val="000000"/>
        </w:rPr>
        <w:t>i</w:t>
      </w:r>
      <w:r>
        <w:rPr>
          <w:bCs/>
          <w:color w:val="000000"/>
        </w:rPr>
        <w:t>ci el 14 de marzo, indirectamente estarían confesando el homicidio en ocasión de robo del agente policial M</w:t>
      </w:r>
      <w:r>
        <w:rPr>
          <w:bCs/>
          <w:color w:val="000000"/>
        </w:rPr>
        <w:t>u</w:t>
      </w:r>
      <w:r>
        <w:rPr>
          <w:bCs/>
          <w:color w:val="000000"/>
        </w:rPr>
        <w:t>ñoz.</w:t>
      </w:r>
    </w:p>
    <w:p w:rsidR="00224567" w:rsidRDefault="00224567">
      <w:pPr>
        <w:widowControl w:val="0"/>
        <w:tabs>
          <w:tab w:val="left" w:pos="2835"/>
        </w:tabs>
        <w:ind w:firstLine="708"/>
        <w:rPr>
          <w:bCs/>
          <w:color w:val="000000"/>
        </w:rPr>
      </w:pPr>
      <w:r>
        <w:rPr>
          <w:bCs/>
          <w:color w:val="000000"/>
        </w:rPr>
        <w:tab/>
        <w:t>La defensa de Ibarra, respecto de que ese supuesto dato falso fue ilegítimamente incorporado a las actuaciones por Huici ante el expreso pedido del Rib</w:t>
      </w:r>
      <w:r>
        <w:rPr>
          <w:bCs/>
          <w:color w:val="000000"/>
        </w:rPr>
        <w:t>e</w:t>
      </w:r>
      <w:r>
        <w:rPr>
          <w:bCs/>
          <w:color w:val="000000"/>
        </w:rPr>
        <w:t xml:space="preserve">lli a raíz de la fuga de Telleldín, consideró demostrado </w:t>
      </w:r>
      <w:r>
        <w:rPr>
          <w:bCs/>
          <w:color w:val="000000"/>
        </w:rPr>
        <w:lastRenderedPageBreak/>
        <w:t>que Huici mintió al mod</w:t>
      </w:r>
      <w:r>
        <w:rPr>
          <w:bCs/>
          <w:color w:val="000000"/>
        </w:rPr>
        <w:t>i</w:t>
      </w:r>
      <w:r>
        <w:rPr>
          <w:bCs/>
          <w:color w:val="000000"/>
        </w:rPr>
        <w:t>ficar sus dichos en la indagatoria del 14 de agosto de 1996, cuando negó las manifestaciones espontáneas de Buján con r</w:t>
      </w:r>
      <w:r>
        <w:rPr>
          <w:bCs/>
          <w:color w:val="000000"/>
        </w:rPr>
        <w:t>e</w:t>
      </w:r>
      <w:r>
        <w:rPr>
          <w:bCs/>
          <w:color w:val="000000"/>
        </w:rPr>
        <w:t>lación al “Enano” Telleldín, y que esta mentira pudo detectarse a partir del análisis de distintos elementos que surgían de la causa.</w:t>
      </w:r>
    </w:p>
    <w:p w:rsidR="00224567" w:rsidRDefault="00224567">
      <w:pPr>
        <w:widowControl w:val="0"/>
        <w:tabs>
          <w:tab w:val="left" w:pos="2835"/>
        </w:tabs>
        <w:ind w:firstLine="708"/>
        <w:rPr>
          <w:bCs/>
          <w:color w:val="000000"/>
        </w:rPr>
      </w:pPr>
      <w:r>
        <w:rPr>
          <w:bCs/>
          <w:color w:val="000000"/>
        </w:rPr>
        <w:tab/>
        <w:t>Sostuvo que era falso lo que dijo Hu</w:t>
      </w:r>
      <w:r>
        <w:rPr>
          <w:bCs/>
          <w:color w:val="000000"/>
        </w:rPr>
        <w:t>i</w:t>
      </w:r>
      <w:r>
        <w:rPr>
          <w:bCs/>
          <w:color w:val="000000"/>
        </w:rPr>
        <w:t>ci respecto a que la testimonial le fue tomada el 15 de marzo 1994 en presencia de Bacigalupo, ya que éste, en esa fecha, estaba de licencia, comprobánd</w:t>
      </w:r>
      <w:r>
        <w:rPr>
          <w:bCs/>
          <w:color w:val="000000"/>
        </w:rPr>
        <w:t>o</w:t>
      </w:r>
      <w:r>
        <w:rPr>
          <w:bCs/>
          <w:color w:val="000000"/>
        </w:rPr>
        <w:t>se que tan sólo dos o tres meses después, al declarar en el sumario admini</w:t>
      </w:r>
      <w:r>
        <w:rPr>
          <w:bCs/>
          <w:color w:val="000000"/>
        </w:rPr>
        <w:t>s</w:t>
      </w:r>
      <w:r>
        <w:rPr>
          <w:bCs/>
          <w:color w:val="000000"/>
        </w:rPr>
        <w:t>trativo nº 266.505/96, Huici volvió a bri</w:t>
      </w:r>
      <w:r>
        <w:rPr>
          <w:bCs/>
          <w:color w:val="000000"/>
        </w:rPr>
        <w:t>n</w:t>
      </w:r>
      <w:r>
        <w:rPr>
          <w:bCs/>
          <w:color w:val="000000"/>
        </w:rPr>
        <w:t>dar una versión sobre los hechos y, esta vez en ause</w:t>
      </w:r>
      <w:r>
        <w:rPr>
          <w:bCs/>
          <w:color w:val="000000"/>
        </w:rPr>
        <w:t>n</w:t>
      </w:r>
      <w:r>
        <w:rPr>
          <w:bCs/>
          <w:color w:val="000000"/>
        </w:rPr>
        <w:t>cia del Dr. Galeano, contó la verdad de lo ocurrido dando cuenta de las man</w:t>
      </w:r>
      <w:r>
        <w:rPr>
          <w:bCs/>
          <w:color w:val="000000"/>
        </w:rPr>
        <w:t>i</w:t>
      </w:r>
      <w:r>
        <w:rPr>
          <w:bCs/>
          <w:color w:val="000000"/>
        </w:rPr>
        <w:t>festaciones que le había hecho Buján respecto de Telle</w:t>
      </w:r>
      <w:r>
        <w:rPr>
          <w:bCs/>
          <w:color w:val="000000"/>
        </w:rPr>
        <w:t>l</w:t>
      </w:r>
      <w:r>
        <w:rPr>
          <w:bCs/>
          <w:color w:val="000000"/>
        </w:rPr>
        <w:t>dín, afirmando también que Oscar Lorenzo Díaz se prestó a mentir para apañarlo.</w:t>
      </w:r>
    </w:p>
    <w:p w:rsidR="00224567" w:rsidRDefault="00224567">
      <w:pPr>
        <w:widowControl w:val="0"/>
        <w:tabs>
          <w:tab w:val="left" w:pos="2835"/>
        </w:tabs>
        <w:ind w:firstLine="708"/>
        <w:rPr>
          <w:bCs/>
          <w:color w:val="000000"/>
        </w:rPr>
      </w:pPr>
      <w:r>
        <w:rPr>
          <w:bCs/>
          <w:color w:val="000000"/>
        </w:rPr>
        <w:tab/>
        <w:t>Remarcó el defensor que Díaz, en sus dos declaraciones rendidas ante el tribunal, fue quien afirmó que en la causa de Quilmes se le recibió testim</w:t>
      </w:r>
      <w:r>
        <w:rPr>
          <w:bCs/>
          <w:color w:val="000000"/>
        </w:rPr>
        <w:t>o</w:t>
      </w:r>
      <w:r>
        <w:rPr>
          <w:bCs/>
          <w:color w:val="000000"/>
        </w:rPr>
        <w:t>nial a Huici un lunes, el mismo día en que se pract</w:t>
      </w:r>
      <w:r>
        <w:rPr>
          <w:bCs/>
          <w:color w:val="000000"/>
        </w:rPr>
        <w:t>i</w:t>
      </w:r>
      <w:r>
        <w:rPr>
          <w:bCs/>
          <w:color w:val="000000"/>
        </w:rPr>
        <w:t xml:space="preserve">caron </w:t>
      </w:r>
      <w:r>
        <w:rPr>
          <w:bCs/>
          <w:color w:val="000000"/>
        </w:rPr>
        <w:lastRenderedPageBreak/>
        <w:t>las detenciones, lo que demostraba que esa decl</w:t>
      </w:r>
      <w:r>
        <w:rPr>
          <w:bCs/>
          <w:color w:val="000000"/>
        </w:rPr>
        <w:t>a</w:t>
      </w:r>
      <w:r>
        <w:rPr>
          <w:bCs/>
          <w:color w:val="000000"/>
        </w:rPr>
        <w:t>ración fue recibida el 14 de marzo de 1994 y no al día siguiente.</w:t>
      </w:r>
    </w:p>
    <w:p w:rsidR="00224567" w:rsidRDefault="00224567">
      <w:pPr>
        <w:widowControl w:val="0"/>
        <w:tabs>
          <w:tab w:val="left" w:pos="2835"/>
        </w:tabs>
        <w:ind w:firstLine="708"/>
        <w:rPr>
          <w:bCs/>
          <w:color w:val="000000"/>
        </w:rPr>
      </w:pPr>
      <w:r>
        <w:rPr>
          <w:bCs/>
          <w:color w:val="000000"/>
        </w:rPr>
        <w:tab/>
        <w:t>También, subrayó la defensa que Díaz había sido detenido por Ribelli en una oportunidad pr</w:t>
      </w:r>
      <w:r>
        <w:rPr>
          <w:bCs/>
          <w:color w:val="000000"/>
        </w:rPr>
        <w:t>e</w:t>
      </w:r>
      <w:r>
        <w:rPr>
          <w:bCs/>
          <w:color w:val="000000"/>
        </w:rPr>
        <w:t>via a su declaración y, que de la escucha del casete nº 12, lado A, conversación nº 3, vue</w:t>
      </w:r>
      <w:r>
        <w:rPr>
          <w:bCs/>
          <w:color w:val="000000"/>
        </w:rPr>
        <w:t>l</w:t>
      </w:r>
      <w:r>
        <w:rPr>
          <w:bCs/>
          <w:color w:val="000000"/>
        </w:rPr>
        <w:t>ta 314, del abonado 243-3006, del 29 de agosto de 1994, se desprende que Javier Smurro tendría una íntima relación con Huici. Destacó ta</w:t>
      </w:r>
      <w:r>
        <w:rPr>
          <w:bCs/>
          <w:color w:val="000000"/>
        </w:rPr>
        <w:t>m</w:t>
      </w:r>
      <w:r>
        <w:rPr>
          <w:bCs/>
          <w:color w:val="000000"/>
        </w:rPr>
        <w:t xml:space="preserve">bién que del debate surgieron elementos que demostraron que Smurro poseía vínculos con </w:t>
      </w:r>
      <w:smartTag w:uri="urn:schemas-microsoft-com:office:smarttags" w:element="PersonName">
        <w:smartTagPr>
          <w:attr w:name="ProductID" w:val="la Dra. Parasc￡ndalo"/>
        </w:smartTagPr>
        <w:r>
          <w:rPr>
            <w:bCs/>
            <w:color w:val="000000"/>
          </w:rPr>
          <w:t>la Dra. Parascá</w:t>
        </w:r>
        <w:r>
          <w:rPr>
            <w:bCs/>
            <w:color w:val="000000"/>
          </w:rPr>
          <w:t>n</w:t>
        </w:r>
        <w:r>
          <w:rPr>
            <w:bCs/>
            <w:color w:val="000000"/>
          </w:rPr>
          <w:t>dalo</w:t>
        </w:r>
      </w:smartTag>
      <w:r>
        <w:rPr>
          <w:bCs/>
          <w:color w:val="000000"/>
        </w:rPr>
        <w:t>, quien participó conjuntamente con el juzgado instructor en m</w:t>
      </w:r>
      <w:r>
        <w:rPr>
          <w:bCs/>
          <w:color w:val="000000"/>
        </w:rPr>
        <w:t>a</w:t>
      </w:r>
      <w:r>
        <w:rPr>
          <w:bCs/>
          <w:color w:val="000000"/>
        </w:rPr>
        <w:t>niobras irregulares enderezadas a perjudicar algunos pol</w:t>
      </w:r>
      <w:r>
        <w:rPr>
          <w:bCs/>
          <w:color w:val="000000"/>
        </w:rPr>
        <w:t>i</w:t>
      </w:r>
      <w:r>
        <w:rPr>
          <w:bCs/>
          <w:color w:val="000000"/>
        </w:rPr>
        <w:t>cías, entre los que se encontr</w:t>
      </w:r>
      <w:r>
        <w:rPr>
          <w:bCs/>
          <w:color w:val="000000"/>
        </w:rPr>
        <w:t>a</w:t>
      </w:r>
      <w:r>
        <w:rPr>
          <w:bCs/>
          <w:color w:val="000000"/>
        </w:rPr>
        <w:t>ba Raúl Ibarra.</w:t>
      </w:r>
    </w:p>
    <w:p w:rsidR="00224567" w:rsidRDefault="00224567">
      <w:pPr>
        <w:widowControl w:val="0"/>
        <w:tabs>
          <w:tab w:val="left" w:pos="2835"/>
        </w:tabs>
        <w:ind w:firstLine="708"/>
        <w:rPr>
          <w:bCs/>
          <w:color w:val="000000"/>
        </w:rPr>
      </w:pPr>
      <w:r>
        <w:rPr>
          <w:bCs/>
          <w:color w:val="000000"/>
        </w:rPr>
        <w:tab/>
        <w:t>Adhirió en un todo a las explicaci</w:t>
      </w:r>
      <w:r>
        <w:rPr>
          <w:bCs/>
          <w:color w:val="000000"/>
        </w:rPr>
        <w:t>o</w:t>
      </w:r>
      <w:r>
        <w:rPr>
          <w:bCs/>
          <w:color w:val="000000"/>
        </w:rPr>
        <w:t>nes dadas por el defensor de Ribelli en ocasión de demostrar la inexistencia de esta supuesta inst</w:t>
      </w:r>
      <w:r>
        <w:rPr>
          <w:bCs/>
          <w:color w:val="000000"/>
        </w:rPr>
        <w:t>i</w:t>
      </w:r>
      <w:r>
        <w:rPr>
          <w:bCs/>
          <w:color w:val="000000"/>
        </w:rPr>
        <w:t>gación a Huici, como así también a los motivos que lo llevaron a desdecirse a</w:t>
      </w:r>
      <w:r>
        <w:rPr>
          <w:bCs/>
          <w:color w:val="000000"/>
        </w:rPr>
        <w:t>n</w:t>
      </w:r>
      <w:r>
        <w:rPr>
          <w:bCs/>
          <w:color w:val="000000"/>
        </w:rPr>
        <w:t>te el juez Galeano con relación a las manifest</w:t>
      </w:r>
      <w:r>
        <w:rPr>
          <w:bCs/>
          <w:color w:val="000000"/>
        </w:rPr>
        <w:t>a</w:t>
      </w:r>
      <w:r>
        <w:rPr>
          <w:bCs/>
          <w:color w:val="000000"/>
        </w:rPr>
        <w:t xml:space="preserve">ciones que Buján le había hecho en </w:t>
      </w:r>
      <w:smartTag w:uri="urn:schemas-microsoft-com:office:smarttags" w:element="PersonName">
        <w:smartTagPr>
          <w:attr w:name="ProductID" w:val="la Brigada"/>
        </w:smartTagPr>
        <w:r>
          <w:rPr>
            <w:bCs/>
            <w:color w:val="000000"/>
          </w:rPr>
          <w:t>la Brigada</w:t>
        </w:r>
      </w:smartTag>
      <w:r>
        <w:rPr>
          <w:bCs/>
          <w:color w:val="000000"/>
        </w:rPr>
        <w:t xml:space="preserve"> de Lanús. Sin perju</w:t>
      </w:r>
      <w:r>
        <w:rPr>
          <w:bCs/>
          <w:color w:val="000000"/>
        </w:rPr>
        <w:t>i</w:t>
      </w:r>
      <w:r>
        <w:rPr>
          <w:bCs/>
          <w:color w:val="000000"/>
        </w:rPr>
        <w:t xml:space="preserve">cio de ello, en apoyo de su postura, citó lo resuelto por </w:t>
      </w:r>
      <w:smartTag w:uri="urn:schemas-microsoft-com:office:smarttags" w:element="PersonName">
        <w:smartTagPr>
          <w:attr w:name="ProductID" w:val="la Corte Suprema"/>
        </w:smartTagPr>
        <w:r>
          <w:rPr>
            <w:bCs/>
            <w:color w:val="000000"/>
          </w:rPr>
          <w:t>la Co</w:t>
        </w:r>
        <w:r>
          <w:rPr>
            <w:bCs/>
            <w:color w:val="000000"/>
          </w:rPr>
          <w:t>r</w:t>
        </w:r>
        <w:r>
          <w:rPr>
            <w:bCs/>
            <w:color w:val="000000"/>
          </w:rPr>
          <w:t>te Suprema</w:t>
        </w:r>
      </w:smartTag>
      <w:r>
        <w:rPr>
          <w:bCs/>
          <w:color w:val="000000"/>
        </w:rPr>
        <w:t xml:space="preserve"> de Justicia de </w:t>
      </w:r>
      <w:smartTag w:uri="urn:schemas-microsoft-com:office:smarttags" w:element="PersonName">
        <w:smartTagPr>
          <w:attr w:name="ProductID" w:val="la Naci￳n"/>
        </w:smartTagPr>
        <w:r>
          <w:rPr>
            <w:bCs/>
            <w:color w:val="000000"/>
          </w:rPr>
          <w:t>la Nación</w:t>
        </w:r>
      </w:smartTag>
      <w:r>
        <w:rPr>
          <w:bCs/>
          <w:color w:val="000000"/>
        </w:rPr>
        <w:t xml:space="preserve"> en Fallos 186:297 y </w:t>
      </w:r>
      <w:r>
        <w:rPr>
          <w:bCs/>
          <w:color w:val="000000"/>
        </w:rPr>
        <w:lastRenderedPageBreak/>
        <w:t>215:325.</w:t>
      </w:r>
    </w:p>
    <w:p w:rsidR="00224567" w:rsidRDefault="00224567">
      <w:pPr>
        <w:widowControl w:val="0"/>
        <w:tabs>
          <w:tab w:val="left" w:pos="2835"/>
        </w:tabs>
        <w:ind w:firstLine="708"/>
        <w:rPr>
          <w:bCs/>
          <w:color w:val="000000"/>
        </w:rPr>
      </w:pPr>
      <w:r>
        <w:rPr>
          <w:bCs/>
          <w:color w:val="000000"/>
        </w:rPr>
        <w:tab/>
        <w:t>En orden a lo predicado por la fisc</w:t>
      </w:r>
      <w:r>
        <w:rPr>
          <w:bCs/>
          <w:color w:val="000000"/>
        </w:rPr>
        <w:t>a</w:t>
      </w:r>
      <w:r>
        <w:rPr>
          <w:bCs/>
          <w:color w:val="000000"/>
        </w:rPr>
        <w:t>lía en su acusación respecto a que el objetivo perseguido por Ribelli al instigar a Huici a declarar falsamente en marzo de 1994 fue el de cubrir una irregularidad admini</w:t>
      </w:r>
      <w:r>
        <w:rPr>
          <w:bCs/>
          <w:color w:val="000000"/>
        </w:rPr>
        <w:t>s</w:t>
      </w:r>
      <w:r>
        <w:rPr>
          <w:bCs/>
          <w:color w:val="000000"/>
        </w:rPr>
        <w:t>trativa a raíz de las lesiones que habría sufrido el cabo Casas en el procedimiento de “El B</w:t>
      </w:r>
      <w:r>
        <w:rPr>
          <w:bCs/>
          <w:color w:val="000000"/>
        </w:rPr>
        <w:t>a</w:t>
      </w:r>
      <w:r>
        <w:rPr>
          <w:bCs/>
          <w:color w:val="000000"/>
        </w:rPr>
        <w:t>rril” de Olivos, afirmó el defensor que aquellas no lo inutilizaron para realizar su trabajo del día siguiente, razón por la cual no había ninguna actuación administrativa que labrar al respecto. En ese sentido, r</w:t>
      </w:r>
      <w:r>
        <w:rPr>
          <w:bCs/>
          <w:color w:val="000000"/>
        </w:rPr>
        <w:t>e</w:t>
      </w:r>
      <w:r>
        <w:rPr>
          <w:bCs/>
          <w:color w:val="000000"/>
        </w:rPr>
        <w:t>cordó el acta que confeccionó Ibarra ese día en la l</w:t>
      </w:r>
      <w:r>
        <w:rPr>
          <w:bCs/>
          <w:color w:val="000000"/>
        </w:rPr>
        <w:t>o</w:t>
      </w:r>
      <w:r>
        <w:rPr>
          <w:bCs/>
          <w:color w:val="000000"/>
        </w:rPr>
        <w:t>calidad de Olivos y el informe médico agregado a la causa del juzgado de Quilmes, donde no constató fra</w:t>
      </w:r>
      <w:r>
        <w:rPr>
          <w:bCs/>
          <w:color w:val="000000"/>
        </w:rPr>
        <w:t>c</w:t>
      </w:r>
      <w:r>
        <w:rPr>
          <w:bCs/>
          <w:color w:val="000000"/>
        </w:rPr>
        <w:t>tura alguna.</w:t>
      </w:r>
    </w:p>
    <w:p w:rsidR="00224567" w:rsidRDefault="00224567">
      <w:pPr>
        <w:widowControl w:val="0"/>
        <w:tabs>
          <w:tab w:val="left" w:pos="2835"/>
        </w:tabs>
        <w:ind w:firstLine="708"/>
        <w:rPr>
          <w:bCs/>
          <w:color w:val="000000"/>
        </w:rPr>
      </w:pPr>
      <w:r>
        <w:rPr>
          <w:bCs/>
          <w:color w:val="000000"/>
        </w:rPr>
        <w:tab/>
        <w:t>En virtud de ello, afirmó el letrado que no era cie</w:t>
      </w:r>
      <w:r>
        <w:rPr>
          <w:bCs/>
          <w:color w:val="000000"/>
        </w:rPr>
        <w:t>r</w:t>
      </w:r>
      <w:r>
        <w:rPr>
          <w:bCs/>
          <w:color w:val="000000"/>
        </w:rPr>
        <w:t>to lo que decían Telleldín y Petrucci en el sentido de que vieron enyesado a Casas el 4 de abril de</w:t>
      </w:r>
      <w:r>
        <w:rPr>
          <w:bCs/>
          <w:color w:val="000000"/>
        </w:rPr>
        <w:t>n</w:t>
      </w:r>
      <w:r>
        <w:rPr>
          <w:bCs/>
          <w:color w:val="000000"/>
        </w:rPr>
        <w:t>tro de la dependencia policial, y esta misma mentira, ta</w:t>
      </w:r>
      <w:r>
        <w:rPr>
          <w:bCs/>
          <w:color w:val="000000"/>
        </w:rPr>
        <w:t>m</w:t>
      </w:r>
      <w:r>
        <w:rPr>
          <w:bCs/>
          <w:color w:val="000000"/>
        </w:rPr>
        <w:t>bién señalada por el suboficial Díaz, fue desmentida por decenas de p</w:t>
      </w:r>
      <w:r>
        <w:rPr>
          <w:bCs/>
          <w:color w:val="000000"/>
        </w:rPr>
        <w:t>o</w:t>
      </w:r>
      <w:r>
        <w:rPr>
          <w:bCs/>
          <w:color w:val="000000"/>
        </w:rPr>
        <w:t>licías que declararon en la audiencia.</w:t>
      </w:r>
    </w:p>
    <w:p w:rsidR="00224567" w:rsidRDefault="00224567">
      <w:pPr>
        <w:widowControl w:val="0"/>
        <w:tabs>
          <w:tab w:val="left" w:pos="2835"/>
        </w:tabs>
        <w:ind w:firstLine="708"/>
        <w:rPr>
          <w:bCs/>
          <w:color w:val="000000"/>
        </w:rPr>
      </w:pPr>
      <w:r>
        <w:rPr>
          <w:bCs/>
          <w:color w:val="000000"/>
        </w:rPr>
        <w:lastRenderedPageBreak/>
        <w:tab/>
        <w:t>En lo que a la huída de Telleldín re</w:t>
      </w:r>
      <w:r>
        <w:rPr>
          <w:bCs/>
          <w:color w:val="000000"/>
        </w:rPr>
        <w:t>s</w:t>
      </w:r>
      <w:r>
        <w:rPr>
          <w:bCs/>
          <w:color w:val="000000"/>
        </w:rPr>
        <w:t>pecta, aclaró el letrado que no correspondía real</w:t>
      </w:r>
      <w:r>
        <w:rPr>
          <w:bCs/>
          <w:color w:val="000000"/>
        </w:rPr>
        <w:t>i</w:t>
      </w:r>
      <w:r>
        <w:rPr>
          <w:bCs/>
          <w:color w:val="000000"/>
        </w:rPr>
        <w:t>zar una denuncia penal autónoma frente a una eve</w:t>
      </w:r>
      <w:r>
        <w:rPr>
          <w:bCs/>
          <w:color w:val="000000"/>
        </w:rPr>
        <w:t>n</w:t>
      </w:r>
      <w:r>
        <w:rPr>
          <w:bCs/>
          <w:color w:val="000000"/>
        </w:rPr>
        <w:t>tual resistencia a la autoridad o lesiones, ya que la dil</w:t>
      </w:r>
      <w:r>
        <w:rPr>
          <w:bCs/>
          <w:color w:val="000000"/>
        </w:rPr>
        <w:t>i</w:t>
      </w:r>
      <w:r>
        <w:rPr>
          <w:bCs/>
          <w:color w:val="000000"/>
        </w:rPr>
        <w:t xml:space="preserve">gencia que fue a cumplir su asistido se realizó en el marco de una causa penal bajo la jurisdicción de </w:t>
      </w:r>
      <w:smartTag w:uri="urn:schemas-microsoft-com:office:smarttags" w:element="PersonName">
        <w:smartTagPr>
          <w:attr w:name="ProductID" w:val="la Dra. Ayaza"/>
        </w:smartTagPr>
        <w:r>
          <w:rPr>
            <w:bCs/>
            <w:color w:val="000000"/>
          </w:rPr>
          <w:t>la Dra. Ayaza</w:t>
        </w:r>
      </w:smartTag>
      <w:r>
        <w:rPr>
          <w:bCs/>
          <w:color w:val="000000"/>
        </w:rPr>
        <w:t xml:space="preserve"> de Iturb</w:t>
      </w:r>
      <w:r>
        <w:rPr>
          <w:bCs/>
          <w:color w:val="000000"/>
        </w:rPr>
        <w:t>u</w:t>
      </w:r>
      <w:r>
        <w:rPr>
          <w:bCs/>
          <w:color w:val="000000"/>
        </w:rPr>
        <w:t>ru, a quien se elevaron toda las actuaciones donde se relataban los pormenores del procedimiento, y que, era la nombrada quien debía adoptar algún temper</w:t>
      </w:r>
      <w:r>
        <w:rPr>
          <w:bCs/>
          <w:color w:val="000000"/>
        </w:rPr>
        <w:t>a</w:t>
      </w:r>
      <w:r>
        <w:rPr>
          <w:bCs/>
          <w:color w:val="000000"/>
        </w:rPr>
        <w:t>mento procesal en torno a esta cuestión.</w:t>
      </w:r>
    </w:p>
    <w:p w:rsidR="00224567" w:rsidRDefault="00224567">
      <w:pPr>
        <w:widowControl w:val="0"/>
        <w:tabs>
          <w:tab w:val="left" w:pos="2835"/>
        </w:tabs>
        <w:ind w:firstLine="708"/>
        <w:rPr>
          <w:bCs/>
          <w:color w:val="000000"/>
        </w:rPr>
      </w:pPr>
      <w:r>
        <w:rPr>
          <w:bCs/>
          <w:color w:val="000000"/>
        </w:rPr>
        <w:tab/>
        <w:t>A ello agregó que en caso de existir las supuestas lesiones, dado el tipo delictivo, era mene</w:t>
      </w:r>
      <w:r>
        <w:rPr>
          <w:bCs/>
          <w:color w:val="000000"/>
        </w:rPr>
        <w:t>s</w:t>
      </w:r>
      <w:r>
        <w:rPr>
          <w:bCs/>
          <w:color w:val="000000"/>
        </w:rPr>
        <w:t>ter que Casas instara la acción penal, al igual que su compañero Toledo y que fue el mismo Casas quien confirmó que eran de cará</w:t>
      </w:r>
      <w:r>
        <w:rPr>
          <w:bCs/>
          <w:color w:val="000000"/>
        </w:rPr>
        <w:t>c</w:t>
      </w:r>
      <w:r>
        <w:rPr>
          <w:bCs/>
          <w:color w:val="000000"/>
        </w:rPr>
        <w:t>ter leve y que no tuvo que ser enyesado.</w:t>
      </w:r>
    </w:p>
    <w:p w:rsidR="00224567" w:rsidRDefault="00224567">
      <w:pPr>
        <w:widowControl w:val="0"/>
        <w:tabs>
          <w:tab w:val="left" w:pos="2835"/>
        </w:tabs>
        <w:ind w:firstLine="708"/>
        <w:rPr>
          <w:bCs/>
          <w:color w:val="000000"/>
        </w:rPr>
      </w:pPr>
      <w:r>
        <w:rPr>
          <w:bCs/>
          <w:color w:val="000000"/>
        </w:rPr>
        <w:tab/>
        <w:t>Respecto de Cruz y su alegada dispon</w:t>
      </w:r>
      <w:r>
        <w:rPr>
          <w:bCs/>
          <w:color w:val="000000"/>
        </w:rPr>
        <w:t>i</w:t>
      </w:r>
      <w:r>
        <w:rPr>
          <w:bCs/>
          <w:color w:val="000000"/>
        </w:rPr>
        <w:t>bilidad preventiva, en la acusación se sostuvo que para llevar adelante ese procedimiento en Olivos, Ibarra lo convocó, cuando a la fecha se encontraba inhab</w:t>
      </w:r>
      <w:r>
        <w:rPr>
          <w:bCs/>
          <w:color w:val="000000"/>
        </w:rPr>
        <w:t>i</w:t>
      </w:r>
      <w:r>
        <w:rPr>
          <w:bCs/>
          <w:color w:val="000000"/>
        </w:rPr>
        <w:t>litado para actuar. Al respecto, recordó el defensor oficial que el decreto-ley 9550, reglamentario de la actividad del pers</w:t>
      </w:r>
      <w:r>
        <w:rPr>
          <w:bCs/>
          <w:color w:val="000000"/>
        </w:rPr>
        <w:t>o</w:t>
      </w:r>
      <w:r>
        <w:rPr>
          <w:bCs/>
          <w:color w:val="000000"/>
        </w:rPr>
        <w:lastRenderedPageBreak/>
        <w:t xml:space="preserve">nal de </w:t>
      </w:r>
      <w:smartTag w:uri="urn:schemas-microsoft-com:office:smarttags" w:element="PersonName">
        <w:smartTagPr>
          <w:attr w:name="ProductID" w:val="la Polic￭a Bonaerense"/>
        </w:smartTagPr>
        <w:r>
          <w:rPr>
            <w:bCs/>
            <w:color w:val="000000"/>
          </w:rPr>
          <w:t>la Policía Bonaerense</w:t>
        </w:r>
      </w:smartTag>
      <w:r>
        <w:rPr>
          <w:bCs/>
          <w:color w:val="000000"/>
        </w:rPr>
        <w:t>, en particular, en los a</w:t>
      </w:r>
      <w:r>
        <w:rPr>
          <w:bCs/>
          <w:color w:val="000000"/>
        </w:rPr>
        <w:t>r</w:t>
      </w:r>
      <w:r>
        <w:rPr>
          <w:bCs/>
          <w:color w:val="000000"/>
        </w:rPr>
        <w:t>tículos 14 y 15, legitiman la convocatoria efectuada por su asistido.</w:t>
      </w:r>
    </w:p>
    <w:p w:rsidR="00224567" w:rsidRDefault="00224567">
      <w:pPr>
        <w:widowControl w:val="0"/>
        <w:tabs>
          <w:tab w:val="left" w:pos="2835"/>
        </w:tabs>
        <w:ind w:firstLine="708"/>
        <w:rPr>
          <w:bCs/>
          <w:color w:val="000000"/>
        </w:rPr>
      </w:pPr>
      <w:r>
        <w:rPr>
          <w:bCs/>
          <w:color w:val="000000"/>
        </w:rPr>
        <w:tab/>
        <w:t>Así destacó que el motivo por el cual Cruz fue con Ibarra, Casas y Toledo a Villa Ballester, y luego a Olivos, fue simplemente el de llevar a los nombr</w:t>
      </w:r>
      <w:r>
        <w:rPr>
          <w:bCs/>
          <w:color w:val="000000"/>
        </w:rPr>
        <w:t>a</w:t>
      </w:r>
      <w:r>
        <w:rPr>
          <w:bCs/>
          <w:color w:val="000000"/>
        </w:rPr>
        <w:t>dos en su Ford Falcon, puesto que su asistido no contaba con otro vehículo. Agregó que Cruz no participó para nada en el intento de aprehensión de Telleldín en Olivos, pe</w:t>
      </w:r>
      <w:r>
        <w:rPr>
          <w:bCs/>
          <w:color w:val="000000"/>
        </w:rPr>
        <w:t>r</w:t>
      </w:r>
      <w:r>
        <w:rPr>
          <w:bCs/>
          <w:color w:val="000000"/>
        </w:rPr>
        <w:t>man</w:t>
      </w:r>
      <w:r>
        <w:rPr>
          <w:bCs/>
          <w:color w:val="000000"/>
        </w:rPr>
        <w:t>e</w:t>
      </w:r>
      <w:r>
        <w:rPr>
          <w:bCs/>
          <w:color w:val="000000"/>
        </w:rPr>
        <w:t xml:space="preserve">ciendo dentro de su rodado a unos 100 ó </w:t>
      </w:r>
      <w:smartTag w:uri="urn:schemas-microsoft-com:office:smarttags" w:element="metricconverter">
        <w:smartTagPr>
          <w:attr w:name="ProductID" w:val="150 metros"/>
        </w:smartTagPr>
        <w:r>
          <w:rPr>
            <w:bCs/>
            <w:color w:val="000000"/>
          </w:rPr>
          <w:t>150 metros</w:t>
        </w:r>
      </w:smartTag>
      <w:r>
        <w:rPr>
          <w:bCs/>
          <w:color w:val="000000"/>
        </w:rPr>
        <w:t xml:space="preserve"> del lugar y que por ello no suscribió el acta labrada por Ib</w:t>
      </w:r>
      <w:r>
        <w:rPr>
          <w:bCs/>
          <w:color w:val="000000"/>
        </w:rPr>
        <w:t>a</w:t>
      </w:r>
      <w:r>
        <w:rPr>
          <w:bCs/>
          <w:color w:val="000000"/>
        </w:rPr>
        <w:t>rra.</w:t>
      </w:r>
    </w:p>
    <w:p w:rsidR="00224567" w:rsidRDefault="00224567">
      <w:pPr>
        <w:widowControl w:val="0"/>
        <w:tabs>
          <w:tab w:val="left" w:pos="2835"/>
        </w:tabs>
        <w:ind w:firstLine="708"/>
        <w:rPr>
          <w:bCs/>
          <w:color w:val="000000"/>
        </w:rPr>
      </w:pPr>
      <w:r>
        <w:rPr>
          <w:bCs/>
          <w:color w:val="000000"/>
        </w:rPr>
        <w:tab/>
        <w:t>Acentuó el letrado que llamó la ate</w:t>
      </w:r>
      <w:r>
        <w:rPr>
          <w:bCs/>
          <w:color w:val="000000"/>
        </w:rPr>
        <w:t>n</w:t>
      </w:r>
      <w:r>
        <w:rPr>
          <w:bCs/>
          <w:color w:val="000000"/>
        </w:rPr>
        <w:t>ción que los funcionarios a cargo de la instru</w:t>
      </w:r>
      <w:r>
        <w:rPr>
          <w:bCs/>
          <w:color w:val="000000"/>
        </w:rPr>
        <w:t>c</w:t>
      </w:r>
      <w:r>
        <w:rPr>
          <w:bCs/>
          <w:color w:val="000000"/>
        </w:rPr>
        <w:t>ción hayan juzgado con tanta severidad esta ausencia del suboficial Cruz en el acta de choque, cuando no se i</w:t>
      </w:r>
      <w:r>
        <w:rPr>
          <w:bCs/>
          <w:color w:val="000000"/>
        </w:rPr>
        <w:t>n</w:t>
      </w:r>
      <w:r>
        <w:rPr>
          <w:bCs/>
          <w:color w:val="000000"/>
        </w:rPr>
        <w:t>cluyó en el acta de all</w:t>
      </w:r>
      <w:r>
        <w:rPr>
          <w:bCs/>
          <w:color w:val="000000"/>
        </w:rPr>
        <w:t>a</w:t>
      </w:r>
      <w:r>
        <w:rPr>
          <w:bCs/>
          <w:color w:val="000000"/>
        </w:rPr>
        <w:t xml:space="preserve">namiento del domicilio de Raúl Ibarra al oficial de </w:t>
      </w:r>
      <w:smartTag w:uri="urn:schemas-microsoft-com:office:smarttags" w:element="PersonName">
        <w:smartTagPr>
          <w:attr w:name="ProductID" w:val="la Polic￭a Federal"/>
        </w:smartTagPr>
        <w:r>
          <w:rPr>
            <w:bCs/>
            <w:color w:val="000000"/>
          </w:rPr>
          <w:t>la Policía Federal</w:t>
        </w:r>
      </w:smartTag>
      <w:r>
        <w:rPr>
          <w:bCs/>
          <w:color w:val="000000"/>
        </w:rPr>
        <w:t xml:space="preserve"> Pablo Such, integrante del grupo que colaboraba exclusivamente con el juzgado instructor, co</w:t>
      </w:r>
      <w:r>
        <w:rPr>
          <w:bCs/>
          <w:color w:val="000000"/>
        </w:rPr>
        <w:t>n</w:t>
      </w:r>
      <w:r>
        <w:rPr>
          <w:bCs/>
          <w:color w:val="000000"/>
        </w:rPr>
        <w:t>signándose sólo la presencia del Dr. De Gamas y del of</w:t>
      </w:r>
      <w:r>
        <w:rPr>
          <w:bCs/>
          <w:color w:val="000000"/>
        </w:rPr>
        <w:t>i</w:t>
      </w:r>
      <w:r>
        <w:rPr>
          <w:bCs/>
          <w:color w:val="000000"/>
        </w:rPr>
        <w:lastRenderedPageBreak/>
        <w:t>cial principal Juan José Mart</w:t>
      </w:r>
      <w:r>
        <w:rPr>
          <w:bCs/>
          <w:color w:val="000000"/>
        </w:rPr>
        <w:t>í</w:t>
      </w:r>
      <w:r>
        <w:rPr>
          <w:bCs/>
          <w:color w:val="000000"/>
        </w:rPr>
        <w:t>nez, documentándose también el secue</w:t>
      </w:r>
      <w:r>
        <w:rPr>
          <w:bCs/>
          <w:color w:val="000000"/>
        </w:rPr>
        <w:t>s</w:t>
      </w:r>
      <w:r>
        <w:rPr>
          <w:bCs/>
          <w:color w:val="000000"/>
        </w:rPr>
        <w:t>tro de efectos y dinero en efectivo.</w:t>
      </w:r>
    </w:p>
    <w:p w:rsidR="00224567" w:rsidRDefault="00224567">
      <w:pPr>
        <w:widowControl w:val="0"/>
        <w:tabs>
          <w:tab w:val="left" w:pos="2835"/>
        </w:tabs>
        <w:ind w:firstLine="708"/>
        <w:rPr>
          <w:bCs/>
          <w:color w:val="000000"/>
        </w:rPr>
      </w:pPr>
      <w:r>
        <w:rPr>
          <w:bCs/>
          <w:color w:val="000000"/>
        </w:rPr>
        <w:tab/>
        <w:t>Remarcó que de los dichos de Such en la audiencia se desprende que fue él quien encontró el d</w:t>
      </w:r>
      <w:r>
        <w:rPr>
          <w:bCs/>
          <w:color w:val="000000"/>
        </w:rPr>
        <w:t>i</w:t>
      </w:r>
      <w:r>
        <w:rPr>
          <w:bCs/>
          <w:color w:val="000000"/>
        </w:rPr>
        <w:t>nero.</w:t>
      </w:r>
    </w:p>
    <w:p w:rsidR="00224567" w:rsidRDefault="00224567">
      <w:pPr>
        <w:widowControl w:val="0"/>
        <w:tabs>
          <w:tab w:val="left" w:pos="2835"/>
        </w:tabs>
        <w:ind w:firstLine="708"/>
        <w:rPr>
          <w:bCs/>
          <w:color w:val="000000"/>
        </w:rPr>
      </w:pPr>
      <w:r>
        <w:rPr>
          <w:bCs/>
          <w:color w:val="000000"/>
        </w:rPr>
        <w:tab/>
        <w:t>Por ello, afirmó el defensor, es co</w:t>
      </w:r>
      <w:r>
        <w:rPr>
          <w:bCs/>
          <w:color w:val="000000"/>
        </w:rPr>
        <w:t>n</w:t>
      </w:r>
      <w:r>
        <w:rPr>
          <w:bCs/>
          <w:color w:val="000000"/>
        </w:rPr>
        <w:t>tradictorio que el Dr. Galeano, al dictar el auto de pr</w:t>
      </w:r>
      <w:r>
        <w:rPr>
          <w:bCs/>
          <w:color w:val="000000"/>
        </w:rPr>
        <w:t>o</w:t>
      </w:r>
      <w:r>
        <w:rPr>
          <w:bCs/>
          <w:color w:val="000000"/>
        </w:rPr>
        <w:t>cesamiento y prisión preventiva a Ibarra, le reproche la circunstancia de que Cruz no figurara en el acta que l</w:t>
      </w:r>
      <w:r>
        <w:rPr>
          <w:bCs/>
          <w:color w:val="000000"/>
        </w:rPr>
        <w:t>a</w:t>
      </w:r>
      <w:r>
        <w:rPr>
          <w:bCs/>
          <w:color w:val="000000"/>
        </w:rPr>
        <w:t>bró en Olivos.</w:t>
      </w:r>
    </w:p>
    <w:p w:rsidR="00224567" w:rsidRDefault="00224567">
      <w:pPr>
        <w:widowControl w:val="0"/>
        <w:tabs>
          <w:tab w:val="left" w:pos="2835"/>
        </w:tabs>
        <w:ind w:firstLine="708"/>
        <w:rPr>
          <w:bCs/>
          <w:color w:val="000000"/>
        </w:rPr>
      </w:pPr>
      <w:r>
        <w:rPr>
          <w:bCs/>
          <w:color w:val="000000"/>
        </w:rPr>
        <w:tab/>
        <w:t>Con relación al hecho del 15 de marzo admitió el letrado que en “El Barril” de Olivos se i</w:t>
      </w:r>
      <w:r>
        <w:rPr>
          <w:bCs/>
          <w:color w:val="000000"/>
        </w:rPr>
        <w:t>n</w:t>
      </w:r>
      <w:r>
        <w:rPr>
          <w:bCs/>
          <w:color w:val="000000"/>
        </w:rPr>
        <w:t>tentó apresar a Telleldín, circunstancia legalmente justificada por la d</w:t>
      </w:r>
      <w:r>
        <w:rPr>
          <w:bCs/>
          <w:color w:val="000000"/>
        </w:rPr>
        <w:t>e</w:t>
      </w:r>
      <w:r>
        <w:rPr>
          <w:bCs/>
          <w:color w:val="000000"/>
        </w:rPr>
        <w:t>claración de Huici en la causa de Quilmes.</w:t>
      </w:r>
    </w:p>
    <w:p w:rsidR="00224567" w:rsidRDefault="00224567">
      <w:pPr>
        <w:widowControl w:val="0"/>
        <w:tabs>
          <w:tab w:val="left" w:pos="2835"/>
        </w:tabs>
        <w:ind w:firstLine="708"/>
        <w:rPr>
          <w:bCs/>
          <w:color w:val="000000"/>
        </w:rPr>
      </w:pPr>
      <w:r>
        <w:rPr>
          <w:bCs/>
          <w:color w:val="000000"/>
        </w:rPr>
        <w:tab/>
        <w:t>Sostuvo que de haber existido el plan delictivo, tal como pretende la fiscalía, la declaración debió haber sido prestada antes del procedimiento, cosa que no ocurrió. En el caso de afirmarse que se hubiese fraguado otorgándole una fecha anterior, la comisión pol</w:t>
      </w:r>
      <w:r>
        <w:rPr>
          <w:bCs/>
          <w:color w:val="000000"/>
        </w:rPr>
        <w:t>i</w:t>
      </w:r>
      <w:r>
        <w:rPr>
          <w:bCs/>
          <w:color w:val="000000"/>
        </w:rPr>
        <w:t>cial habría concurrido a la zona de Vicente López sin pr</w:t>
      </w:r>
      <w:r>
        <w:rPr>
          <w:bCs/>
          <w:color w:val="000000"/>
        </w:rPr>
        <w:t>o</w:t>
      </w:r>
      <w:r>
        <w:rPr>
          <w:bCs/>
          <w:color w:val="000000"/>
        </w:rPr>
        <w:t xml:space="preserve">tección legal, por lo que, al no lograr su propósito de </w:t>
      </w:r>
      <w:r>
        <w:rPr>
          <w:bCs/>
          <w:color w:val="000000"/>
        </w:rPr>
        <w:lastRenderedPageBreak/>
        <w:t>detener ilegalmente a Telleldín, resulta lógico que se h</w:t>
      </w:r>
      <w:r>
        <w:rPr>
          <w:bCs/>
          <w:color w:val="000000"/>
        </w:rPr>
        <w:t>u</w:t>
      </w:r>
      <w:r>
        <w:rPr>
          <w:bCs/>
          <w:color w:val="000000"/>
        </w:rPr>
        <w:t>bieran ido del lugar para no ser detectados cosa que ta</w:t>
      </w:r>
      <w:r>
        <w:rPr>
          <w:bCs/>
          <w:color w:val="000000"/>
        </w:rPr>
        <w:t>m</w:t>
      </w:r>
      <w:r>
        <w:rPr>
          <w:bCs/>
          <w:color w:val="000000"/>
        </w:rPr>
        <w:t>poco ocurrió. Por el contrario, resaltó, los policías se dieron a conocer, Ibarra mandó a labrar un acta con t</w:t>
      </w:r>
      <w:r>
        <w:rPr>
          <w:bCs/>
          <w:color w:val="000000"/>
        </w:rPr>
        <w:t>o</w:t>
      </w:r>
      <w:r>
        <w:rPr>
          <w:bCs/>
          <w:color w:val="000000"/>
        </w:rPr>
        <w:t>dos los datos y con todas las fi</w:t>
      </w:r>
      <w:r>
        <w:rPr>
          <w:bCs/>
          <w:color w:val="000000"/>
        </w:rPr>
        <w:t>r</w:t>
      </w:r>
      <w:r>
        <w:rPr>
          <w:bCs/>
          <w:color w:val="000000"/>
        </w:rPr>
        <w:t>mas, dio cuenta a la juez de la causa de Quilmes, se la anotició de la fuga y se labr</w:t>
      </w:r>
      <w:r>
        <w:rPr>
          <w:bCs/>
          <w:color w:val="000000"/>
        </w:rPr>
        <w:t>a</w:t>
      </w:r>
      <w:r>
        <w:rPr>
          <w:bCs/>
          <w:color w:val="000000"/>
        </w:rPr>
        <w:t>ron actuaci</w:t>
      </w:r>
      <w:r>
        <w:rPr>
          <w:bCs/>
          <w:color w:val="000000"/>
        </w:rPr>
        <w:t>o</w:t>
      </w:r>
      <w:r>
        <w:rPr>
          <w:bCs/>
          <w:color w:val="000000"/>
        </w:rPr>
        <w:t>nes por las lesiones de Casas.</w:t>
      </w:r>
    </w:p>
    <w:p w:rsidR="00224567" w:rsidRDefault="00224567">
      <w:pPr>
        <w:widowControl w:val="0"/>
        <w:tabs>
          <w:tab w:val="left" w:pos="2835"/>
        </w:tabs>
        <w:ind w:firstLine="708"/>
        <w:rPr>
          <w:bCs/>
          <w:color w:val="000000"/>
        </w:rPr>
      </w:pPr>
      <w:r>
        <w:rPr>
          <w:bCs/>
          <w:color w:val="000000"/>
        </w:rPr>
        <w:tab/>
        <w:t>Respecto de Ibarra, la defensa reco</w:t>
      </w:r>
      <w:r>
        <w:rPr>
          <w:bCs/>
          <w:color w:val="000000"/>
        </w:rPr>
        <w:t>r</w:t>
      </w:r>
      <w:r>
        <w:rPr>
          <w:bCs/>
          <w:color w:val="000000"/>
        </w:rPr>
        <w:t>dó que la acusación sostuvo que fue quien impartió la orden de no disparar un solo tiro para evitar tener que bla</w:t>
      </w:r>
      <w:r>
        <w:rPr>
          <w:bCs/>
          <w:color w:val="000000"/>
        </w:rPr>
        <w:t>n</w:t>
      </w:r>
      <w:r>
        <w:rPr>
          <w:bCs/>
          <w:color w:val="000000"/>
        </w:rPr>
        <w:t>quear el procedimiento y que el traslado de Telleldín, d</w:t>
      </w:r>
      <w:r>
        <w:rPr>
          <w:bCs/>
          <w:color w:val="000000"/>
        </w:rPr>
        <w:t>e</w:t>
      </w:r>
      <w:r>
        <w:rPr>
          <w:bCs/>
          <w:color w:val="000000"/>
        </w:rPr>
        <w:t xml:space="preserve">tenido el 4 de abril, desde Tortuguitas hasta </w:t>
      </w:r>
      <w:smartTag w:uri="urn:schemas-microsoft-com:office:smarttags" w:element="PersonName">
        <w:smartTagPr>
          <w:attr w:name="ProductID" w:val="la Brigada"/>
        </w:smartTagPr>
        <w:r>
          <w:rPr>
            <w:bCs/>
            <w:color w:val="000000"/>
          </w:rPr>
          <w:t>la Brigada</w:t>
        </w:r>
      </w:smartTag>
      <w:r>
        <w:rPr>
          <w:bCs/>
          <w:color w:val="000000"/>
        </w:rPr>
        <w:t xml:space="preserve"> de Lanús se realizó en el piso del auto tapado con una frazada y escondido para disimular su prese</w:t>
      </w:r>
      <w:r>
        <w:rPr>
          <w:bCs/>
          <w:color w:val="000000"/>
        </w:rPr>
        <w:t>n</w:t>
      </w:r>
      <w:r>
        <w:rPr>
          <w:bCs/>
          <w:color w:val="000000"/>
        </w:rPr>
        <w:t>cia.</w:t>
      </w:r>
    </w:p>
    <w:p w:rsidR="00224567" w:rsidRDefault="00224567">
      <w:pPr>
        <w:widowControl w:val="0"/>
        <w:tabs>
          <w:tab w:val="left" w:pos="2835"/>
        </w:tabs>
        <w:ind w:firstLine="708"/>
        <w:rPr>
          <w:bCs/>
          <w:color w:val="000000"/>
        </w:rPr>
      </w:pPr>
      <w:r>
        <w:rPr>
          <w:bCs/>
          <w:color w:val="000000"/>
        </w:rPr>
        <w:tab/>
        <w:t>Al respecto indicó que dichos extr</w:t>
      </w:r>
      <w:r>
        <w:rPr>
          <w:bCs/>
          <w:color w:val="000000"/>
        </w:rPr>
        <w:t>e</w:t>
      </w:r>
      <w:r>
        <w:rPr>
          <w:bCs/>
          <w:color w:val="000000"/>
        </w:rPr>
        <w:t>mos son sostenidos por afirmaciones de Carlos T</w:t>
      </w:r>
      <w:r>
        <w:rPr>
          <w:bCs/>
          <w:color w:val="000000"/>
        </w:rPr>
        <w:t>e</w:t>
      </w:r>
      <w:r>
        <w:rPr>
          <w:bCs/>
          <w:color w:val="000000"/>
        </w:rPr>
        <w:t>lleldín que no fueron corroboradas por nadie más en el exp</w:t>
      </w:r>
      <w:r>
        <w:rPr>
          <w:bCs/>
          <w:color w:val="000000"/>
        </w:rPr>
        <w:t>e</w:t>
      </w:r>
      <w:r>
        <w:rPr>
          <w:bCs/>
          <w:color w:val="000000"/>
        </w:rPr>
        <w:t>diente, y que fueron introducidas en su indagatoria del 5 de julio de 1996.</w:t>
      </w:r>
    </w:p>
    <w:p w:rsidR="00224567" w:rsidRDefault="00224567">
      <w:pPr>
        <w:widowControl w:val="0"/>
        <w:tabs>
          <w:tab w:val="left" w:pos="2835"/>
        </w:tabs>
        <w:ind w:firstLine="708"/>
        <w:rPr>
          <w:bCs/>
          <w:color w:val="000000"/>
        </w:rPr>
      </w:pPr>
      <w:r>
        <w:rPr>
          <w:bCs/>
          <w:color w:val="000000"/>
        </w:rPr>
        <w:tab/>
        <w:t>Resaltó que Casas y Toledo contradij</w:t>
      </w:r>
      <w:r>
        <w:rPr>
          <w:bCs/>
          <w:color w:val="000000"/>
        </w:rPr>
        <w:t>e</w:t>
      </w:r>
      <w:r>
        <w:rPr>
          <w:bCs/>
          <w:color w:val="000000"/>
        </w:rPr>
        <w:lastRenderedPageBreak/>
        <w:t>ron esta afirmación, y que resultaba llamativo que los p</w:t>
      </w:r>
      <w:r>
        <w:rPr>
          <w:bCs/>
          <w:color w:val="000000"/>
        </w:rPr>
        <w:t>o</w:t>
      </w:r>
      <w:r>
        <w:rPr>
          <w:bCs/>
          <w:color w:val="000000"/>
        </w:rPr>
        <w:t>licías hubieran tomado tantas preca</w:t>
      </w:r>
      <w:r>
        <w:rPr>
          <w:bCs/>
          <w:color w:val="000000"/>
        </w:rPr>
        <w:t>u</w:t>
      </w:r>
      <w:r>
        <w:rPr>
          <w:bCs/>
          <w:color w:val="000000"/>
        </w:rPr>
        <w:t>ciones para ocultar a Telleldín y ni</w:t>
      </w:r>
      <w:r>
        <w:rPr>
          <w:bCs/>
          <w:color w:val="000000"/>
        </w:rPr>
        <w:t>n</w:t>
      </w:r>
      <w:r>
        <w:rPr>
          <w:bCs/>
          <w:color w:val="000000"/>
        </w:rPr>
        <w:t>guna con Sandra Petrucci, quien relató que viajó a Lanús junto a Ibarra esposada en el asiento dela</w:t>
      </w:r>
      <w:r>
        <w:rPr>
          <w:bCs/>
          <w:color w:val="000000"/>
        </w:rPr>
        <w:t>n</w:t>
      </w:r>
      <w:r>
        <w:rPr>
          <w:bCs/>
          <w:color w:val="000000"/>
        </w:rPr>
        <w:t>tero del vehículo, a la vista de t</w:t>
      </w:r>
      <w:r>
        <w:rPr>
          <w:bCs/>
          <w:color w:val="000000"/>
        </w:rPr>
        <w:t>o</w:t>
      </w:r>
      <w:r>
        <w:rPr>
          <w:bCs/>
          <w:color w:val="000000"/>
        </w:rPr>
        <w:t>do el mundo.</w:t>
      </w:r>
    </w:p>
    <w:p w:rsidR="00224567" w:rsidRDefault="00224567">
      <w:pPr>
        <w:widowControl w:val="0"/>
        <w:tabs>
          <w:tab w:val="left" w:pos="2835"/>
        </w:tabs>
        <w:ind w:firstLine="708"/>
        <w:rPr>
          <w:bCs/>
          <w:color w:val="000000"/>
        </w:rPr>
      </w:pPr>
      <w:r>
        <w:rPr>
          <w:bCs/>
          <w:color w:val="000000"/>
        </w:rPr>
        <w:tab/>
        <w:t>Afirmó la defensa que Casas y Toledo no eran personas que integraran, según la hip</w:t>
      </w:r>
      <w:r>
        <w:rPr>
          <w:bCs/>
          <w:color w:val="000000"/>
        </w:rPr>
        <w:t>ó</w:t>
      </w:r>
      <w:r>
        <w:rPr>
          <w:bCs/>
          <w:color w:val="000000"/>
        </w:rPr>
        <w:t>tesis de la fiscalía, la asociación ilícita conformada por pe</w:t>
      </w:r>
      <w:r>
        <w:rPr>
          <w:bCs/>
          <w:color w:val="000000"/>
        </w:rPr>
        <w:t>r</w:t>
      </w:r>
      <w:r>
        <w:rPr>
          <w:bCs/>
          <w:color w:val="000000"/>
        </w:rPr>
        <w:t>sonal de las dos brigadas, por lo que sus intervenci</w:t>
      </w:r>
      <w:r>
        <w:rPr>
          <w:bCs/>
          <w:color w:val="000000"/>
        </w:rPr>
        <w:t>o</w:t>
      </w:r>
      <w:r>
        <w:rPr>
          <w:bCs/>
          <w:color w:val="000000"/>
        </w:rPr>
        <w:t>nes resultaban un i</w:t>
      </w:r>
      <w:r>
        <w:rPr>
          <w:bCs/>
          <w:color w:val="000000"/>
        </w:rPr>
        <w:t>n</w:t>
      </w:r>
      <w:r>
        <w:rPr>
          <w:bCs/>
          <w:color w:val="000000"/>
        </w:rPr>
        <w:t>dicio a favor de la legitimidad del procedimiento de marzo, ya que si hubiera sido un procedimiento ilegal, Ibarra debió haberse valido, por ejemplo, de sus coasoci</w:t>
      </w:r>
      <w:r>
        <w:rPr>
          <w:bCs/>
          <w:color w:val="000000"/>
        </w:rPr>
        <w:t>a</w:t>
      </w:r>
      <w:r>
        <w:rPr>
          <w:bCs/>
          <w:color w:val="000000"/>
        </w:rPr>
        <w:t xml:space="preserve">dos ilegítimamente de </w:t>
      </w:r>
      <w:smartTag w:uri="urn:schemas-microsoft-com:office:smarttags" w:element="PersonName">
        <w:smartTagPr>
          <w:attr w:name="ProductID" w:val="la Brigada"/>
        </w:smartTagPr>
        <w:r>
          <w:rPr>
            <w:bCs/>
            <w:color w:val="000000"/>
          </w:rPr>
          <w:t>la Brigada</w:t>
        </w:r>
      </w:smartTag>
      <w:r>
        <w:rPr>
          <w:bCs/>
          <w:color w:val="000000"/>
        </w:rPr>
        <w:t xml:space="preserve"> de Vicente López, ci</w:t>
      </w:r>
      <w:r>
        <w:rPr>
          <w:bCs/>
          <w:color w:val="000000"/>
        </w:rPr>
        <w:t>r</w:t>
      </w:r>
      <w:r>
        <w:rPr>
          <w:bCs/>
          <w:color w:val="000000"/>
        </w:rPr>
        <w:t>cunstancia ésta que, según dijeron los acusadores al ref</w:t>
      </w:r>
      <w:r>
        <w:rPr>
          <w:bCs/>
          <w:color w:val="000000"/>
        </w:rPr>
        <w:t>e</w:t>
      </w:r>
      <w:r>
        <w:rPr>
          <w:bCs/>
          <w:color w:val="000000"/>
        </w:rPr>
        <w:t>ri</w:t>
      </w:r>
      <w:r>
        <w:rPr>
          <w:bCs/>
          <w:color w:val="000000"/>
        </w:rPr>
        <w:t>r</w:t>
      </w:r>
      <w:r>
        <w:rPr>
          <w:bCs/>
          <w:color w:val="000000"/>
        </w:rPr>
        <w:t>se al hecho del 10 de julio, minimizaba el riesgo.</w:t>
      </w:r>
    </w:p>
    <w:p w:rsidR="00224567" w:rsidRDefault="00224567">
      <w:pPr>
        <w:widowControl w:val="0"/>
        <w:tabs>
          <w:tab w:val="left" w:pos="2835"/>
        </w:tabs>
        <w:ind w:firstLine="708"/>
        <w:rPr>
          <w:bCs/>
          <w:color w:val="000000"/>
        </w:rPr>
      </w:pPr>
      <w:r>
        <w:rPr>
          <w:bCs/>
          <w:color w:val="000000"/>
        </w:rPr>
        <w:tab/>
        <w:t>Negó la defensa que Casas y Toledo fueran dos policías incompetentes a la hora de realizar procedimientos de “calle”, como lo pretendían ellos mi</w:t>
      </w:r>
      <w:r>
        <w:rPr>
          <w:bCs/>
          <w:color w:val="000000"/>
        </w:rPr>
        <w:t>s</w:t>
      </w:r>
      <w:r>
        <w:rPr>
          <w:bCs/>
          <w:color w:val="000000"/>
        </w:rPr>
        <w:t>mos, el juez y los fiscales. Afirmó que los mencionados suboficiales mintieron al decir que no intervenían en fu</w:t>
      </w:r>
      <w:r>
        <w:rPr>
          <w:bCs/>
          <w:color w:val="000000"/>
        </w:rPr>
        <w:t>n</w:t>
      </w:r>
      <w:r>
        <w:rPr>
          <w:bCs/>
          <w:color w:val="000000"/>
        </w:rPr>
        <w:t xml:space="preserve">ciones operativas ya que se encuentra probado que, poco </w:t>
      </w:r>
      <w:r>
        <w:rPr>
          <w:bCs/>
          <w:color w:val="000000"/>
        </w:rPr>
        <w:lastRenderedPageBreak/>
        <w:t>tiempo antes, el suboficial Casas había sido comisionado por Ibarra para secundarlo en un allan</w:t>
      </w:r>
      <w:r>
        <w:rPr>
          <w:bCs/>
          <w:color w:val="000000"/>
        </w:rPr>
        <w:t>a</w:t>
      </w:r>
      <w:r>
        <w:rPr>
          <w:bCs/>
          <w:color w:val="000000"/>
        </w:rPr>
        <w:t>miento y detención en la localidad de Dock Sud, provi</w:t>
      </w:r>
      <w:r>
        <w:rPr>
          <w:bCs/>
          <w:color w:val="000000"/>
        </w:rPr>
        <w:t>n</w:t>
      </w:r>
      <w:r>
        <w:rPr>
          <w:bCs/>
          <w:color w:val="000000"/>
        </w:rPr>
        <w:t xml:space="preserve">cia de Buenos Aires, lo que surge de fs. 14 de la causa 275/96 caratulada “Fariña, José Adolfo s/ inf. ley </w:t>
      </w:r>
      <w:smartTag w:uri="urn:schemas-microsoft-com:office:smarttags" w:element="metricconverter">
        <w:smartTagPr>
          <w:attr w:name="ProductID" w:val="23.737”"/>
        </w:smartTagPr>
        <w:r>
          <w:rPr>
            <w:bCs/>
            <w:color w:val="000000"/>
          </w:rPr>
          <w:t>23.737”</w:t>
        </w:r>
      </w:smartTag>
      <w:r>
        <w:rPr>
          <w:bCs/>
          <w:color w:val="000000"/>
        </w:rPr>
        <w:t xml:space="preserve"> del registro del Tribunal Oral Fed</w:t>
      </w:r>
      <w:r>
        <w:rPr>
          <w:bCs/>
          <w:color w:val="000000"/>
        </w:rPr>
        <w:t>e</w:t>
      </w:r>
      <w:r>
        <w:rPr>
          <w:bCs/>
          <w:color w:val="000000"/>
        </w:rPr>
        <w:t xml:space="preserve">ral nº 1 de </w:t>
      </w:r>
      <w:smartTag w:uri="urn:schemas-microsoft-com:office:smarttags" w:element="PersonName">
        <w:smartTagPr>
          <w:attr w:name="ProductID" w:val="La Plata."/>
        </w:smartTagPr>
        <w:r>
          <w:rPr>
            <w:bCs/>
            <w:color w:val="000000"/>
          </w:rPr>
          <w:t>La Plata.</w:t>
        </w:r>
      </w:smartTag>
    </w:p>
    <w:p w:rsidR="00224567" w:rsidRDefault="00224567">
      <w:pPr>
        <w:widowControl w:val="0"/>
        <w:tabs>
          <w:tab w:val="left" w:pos="2835"/>
        </w:tabs>
        <w:ind w:firstLine="708"/>
        <w:rPr>
          <w:bCs/>
          <w:color w:val="000000"/>
        </w:rPr>
      </w:pPr>
      <w:r>
        <w:rPr>
          <w:bCs/>
          <w:color w:val="000000"/>
        </w:rPr>
        <w:tab/>
        <w:t>Esta circunstancia fue ratificada por Tufaro quien part</w:t>
      </w:r>
      <w:r>
        <w:rPr>
          <w:bCs/>
          <w:color w:val="000000"/>
        </w:rPr>
        <w:t>i</w:t>
      </w:r>
      <w:r>
        <w:rPr>
          <w:bCs/>
          <w:color w:val="000000"/>
        </w:rPr>
        <w:t>cipó de la diligencia y fue ofrecido por la defensa de Casas y Toledo como testigo de co</w:t>
      </w:r>
      <w:r>
        <w:rPr>
          <w:bCs/>
          <w:color w:val="000000"/>
        </w:rPr>
        <w:t>n</w:t>
      </w:r>
      <w:r>
        <w:rPr>
          <w:bCs/>
          <w:color w:val="000000"/>
        </w:rPr>
        <w:t>cepto.</w:t>
      </w:r>
    </w:p>
    <w:p w:rsidR="00224567" w:rsidRDefault="00224567">
      <w:pPr>
        <w:widowControl w:val="0"/>
        <w:tabs>
          <w:tab w:val="left" w:pos="2835"/>
        </w:tabs>
        <w:ind w:firstLine="708"/>
        <w:rPr>
          <w:bCs/>
          <w:color w:val="000000"/>
        </w:rPr>
      </w:pPr>
      <w:r>
        <w:rPr>
          <w:bCs/>
          <w:color w:val="000000"/>
        </w:rPr>
        <w:tab/>
        <w:t>Destacó también la asistencia técnica de Ibarra que en la causa nº 502 de este tribunal fueron solicitados los legajos de los funci</w:t>
      </w:r>
      <w:r>
        <w:rPr>
          <w:bCs/>
          <w:color w:val="000000"/>
        </w:rPr>
        <w:t>o</w:t>
      </w:r>
      <w:r>
        <w:rPr>
          <w:bCs/>
          <w:color w:val="000000"/>
        </w:rPr>
        <w:t>narios y que a partir del análisis de sus registros pudo comprobarse que a</w:t>
      </w:r>
      <w:r>
        <w:rPr>
          <w:bCs/>
          <w:color w:val="000000"/>
        </w:rPr>
        <w:t>n</w:t>
      </w:r>
      <w:r>
        <w:rPr>
          <w:bCs/>
          <w:color w:val="000000"/>
        </w:rPr>
        <w:t>tes y después del procedimiento de “El Barril”, ambos particip</w:t>
      </w:r>
      <w:r>
        <w:rPr>
          <w:bCs/>
          <w:color w:val="000000"/>
        </w:rPr>
        <w:t>a</w:t>
      </w:r>
      <w:r>
        <w:rPr>
          <w:bCs/>
          <w:color w:val="000000"/>
        </w:rPr>
        <w:t>ron en tareas de tipo operativo, enum</w:t>
      </w:r>
      <w:r>
        <w:rPr>
          <w:bCs/>
          <w:color w:val="000000"/>
        </w:rPr>
        <w:t>e</w:t>
      </w:r>
      <w:r>
        <w:rPr>
          <w:bCs/>
          <w:color w:val="000000"/>
        </w:rPr>
        <w:t>rando algunas de las allí documentadas. Destacó además que el carácter operat</w:t>
      </w:r>
      <w:r>
        <w:rPr>
          <w:bCs/>
          <w:color w:val="000000"/>
        </w:rPr>
        <w:t>i</w:t>
      </w:r>
      <w:r>
        <w:rPr>
          <w:bCs/>
          <w:color w:val="000000"/>
        </w:rPr>
        <w:t>vo de Casas y Toledo, resultaba no solamente de las fel</w:t>
      </w:r>
      <w:r>
        <w:rPr>
          <w:bCs/>
          <w:color w:val="000000"/>
        </w:rPr>
        <w:t>i</w:t>
      </w:r>
      <w:r>
        <w:rPr>
          <w:bCs/>
          <w:color w:val="000000"/>
        </w:rPr>
        <w:t>cit</w:t>
      </w:r>
      <w:r>
        <w:rPr>
          <w:bCs/>
          <w:color w:val="000000"/>
        </w:rPr>
        <w:t>a</w:t>
      </w:r>
      <w:r>
        <w:rPr>
          <w:bCs/>
          <w:color w:val="000000"/>
        </w:rPr>
        <w:t xml:space="preserve">ciones que surgían de sus legajos, sino también de los denominados “Sumarios sin sanción”, que se labraban en los casos en los que se producía algún enfrentamiento con el </w:t>
      </w:r>
      <w:r>
        <w:rPr>
          <w:bCs/>
          <w:color w:val="000000"/>
        </w:rPr>
        <w:lastRenderedPageBreak/>
        <w:t>personal policial, contando Toledo con cu</w:t>
      </w:r>
      <w:r>
        <w:rPr>
          <w:bCs/>
          <w:color w:val="000000"/>
        </w:rPr>
        <w:t>a</w:t>
      </w:r>
      <w:r>
        <w:rPr>
          <w:bCs/>
          <w:color w:val="000000"/>
        </w:rPr>
        <w:t>tro de ellos.</w:t>
      </w:r>
    </w:p>
    <w:p w:rsidR="00224567" w:rsidRDefault="00224567">
      <w:pPr>
        <w:widowControl w:val="0"/>
        <w:tabs>
          <w:tab w:val="left" w:pos="2835"/>
        </w:tabs>
        <w:ind w:firstLine="708"/>
        <w:rPr>
          <w:bCs/>
          <w:color w:val="000000"/>
        </w:rPr>
      </w:pPr>
      <w:r>
        <w:rPr>
          <w:bCs/>
          <w:color w:val="000000"/>
        </w:rPr>
        <w:tab/>
        <w:t>Respecto a las supuestas maniobras e</w:t>
      </w:r>
      <w:r>
        <w:rPr>
          <w:bCs/>
          <w:color w:val="000000"/>
        </w:rPr>
        <w:t>x</w:t>
      </w:r>
      <w:r>
        <w:rPr>
          <w:bCs/>
          <w:color w:val="000000"/>
        </w:rPr>
        <w:t>torsivas de las que Telleldín fue víctima, la defensa realizó un extenso análisis con el fin de apreciar la v</w:t>
      </w:r>
      <w:r>
        <w:rPr>
          <w:bCs/>
          <w:color w:val="000000"/>
        </w:rPr>
        <w:t>e</w:t>
      </w:r>
      <w:r>
        <w:rPr>
          <w:bCs/>
          <w:color w:val="000000"/>
        </w:rPr>
        <w:t>racidad de las declaraciones testim</w:t>
      </w:r>
      <w:r>
        <w:rPr>
          <w:bCs/>
          <w:color w:val="000000"/>
        </w:rPr>
        <w:t>o</w:t>
      </w:r>
      <w:r>
        <w:rPr>
          <w:bCs/>
          <w:color w:val="000000"/>
        </w:rPr>
        <w:t>niales y de los dichos sin juramento de los que no eran testigos, trayendo a c</w:t>
      </w:r>
      <w:r>
        <w:rPr>
          <w:bCs/>
          <w:color w:val="000000"/>
        </w:rPr>
        <w:t>o</w:t>
      </w:r>
      <w:r>
        <w:rPr>
          <w:bCs/>
          <w:color w:val="000000"/>
        </w:rPr>
        <w:t>lación las manifestaciones efectuadas en el escrito del 2 de junio de 1995, y a cuyo contenido se remitieron los r</w:t>
      </w:r>
      <w:r>
        <w:rPr>
          <w:bCs/>
          <w:color w:val="000000"/>
        </w:rPr>
        <w:t>e</w:t>
      </w:r>
      <w:r>
        <w:rPr>
          <w:bCs/>
          <w:color w:val="000000"/>
        </w:rPr>
        <w:t>presentantes del ministerio público, donde sostuvieron h</w:t>
      </w:r>
      <w:r>
        <w:rPr>
          <w:bCs/>
          <w:color w:val="000000"/>
        </w:rPr>
        <w:t>a</w:t>
      </w:r>
      <w:r>
        <w:rPr>
          <w:bCs/>
          <w:color w:val="000000"/>
        </w:rPr>
        <w:t>ber buscado sin éxito alguna virtud en la personalidad de T</w:t>
      </w:r>
      <w:r>
        <w:rPr>
          <w:bCs/>
          <w:color w:val="000000"/>
        </w:rPr>
        <w:t>e</w:t>
      </w:r>
      <w:r>
        <w:rPr>
          <w:bCs/>
          <w:color w:val="000000"/>
        </w:rPr>
        <w:t>lleldín.</w:t>
      </w:r>
    </w:p>
    <w:p w:rsidR="00224567" w:rsidRDefault="00224567">
      <w:pPr>
        <w:widowControl w:val="0"/>
        <w:tabs>
          <w:tab w:val="left" w:pos="2835"/>
        </w:tabs>
        <w:ind w:firstLine="708"/>
        <w:rPr>
          <w:bCs/>
          <w:color w:val="000000"/>
        </w:rPr>
      </w:pPr>
      <w:r>
        <w:rPr>
          <w:bCs/>
          <w:color w:val="000000"/>
        </w:rPr>
        <w:tab/>
        <w:t>Recordó también que, incluso en m</w:t>
      </w:r>
      <w:r>
        <w:rPr>
          <w:bCs/>
          <w:color w:val="000000"/>
        </w:rPr>
        <w:t>e</w:t>
      </w:r>
      <w:r>
        <w:rPr>
          <w:bCs/>
          <w:color w:val="000000"/>
        </w:rPr>
        <w:t>dios periodísticos, los fiscales ventilaron el concepto que Carlos Telleldín les merecía, tal como se desprende del recorte p</w:t>
      </w:r>
      <w:r>
        <w:rPr>
          <w:bCs/>
          <w:color w:val="000000"/>
        </w:rPr>
        <w:t>e</w:t>
      </w:r>
      <w:r>
        <w:rPr>
          <w:bCs/>
          <w:color w:val="000000"/>
        </w:rPr>
        <w:t xml:space="preserve">riodístico de “Página </w:t>
      </w:r>
      <w:smartTag w:uri="urn:schemas-microsoft-com:office:smarttags" w:element="metricconverter">
        <w:smartTagPr>
          <w:attr w:name="ProductID" w:val="12”"/>
        </w:smartTagPr>
        <w:r>
          <w:rPr>
            <w:bCs/>
            <w:color w:val="000000"/>
          </w:rPr>
          <w:t>12”</w:t>
        </w:r>
      </w:smartTag>
      <w:r>
        <w:rPr>
          <w:bCs/>
          <w:color w:val="000000"/>
        </w:rPr>
        <w:t xml:space="preserve"> de fecha 9 de junio de 1995, obrante a fs. 37.811.</w:t>
      </w:r>
    </w:p>
    <w:p w:rsidR="00224567" w:rsidRDefault="00224567">
      <w:pPr>
        <w:widowControl w:val="0"/>
        <w:tabs>
          <w:tab w:val="left" w:pos="2835"/>
        </w:tabs>
        <w:ind w:firstLine="708"/>
        <w:rPr>
          <w:bCs/>
          <w:color w:val="000000"/>
        </w:rPr>
      </w:pPr>
      <w:r>
        <w:rPr>
          <w:bCs/>
          <w:color w:val="000000"/>
        </w:rPr>
        <w:tab/>
        <w:t>Evocó la defensa que en similares té</w:t>
      </w:r>
      <w:r>
        <w:rPr>
          <w:bCs/>
          <w:color w:val="000000"/>
        </w:rPr>
        <w:t>r</w:t>
      </w:r>
      <w:r>
        <w:rPr>
          <w:bCs/>
          <w:color w:val="000000"/>
        </w:rPr>
        <w:t>minos se refirieron a Ana Boragni mencionando especialme</w:t>
      </w:r>
      <w:r>
        <w:rPr>
          <w:bCs/>
          <w:color w:val="000000"/>
        </w:rPr>
        <w:t>n</w:t>
      </w:r>
      <w:r>
        <w:rPr>
          <w:bCs/>
          <w:color w:val="000000"/>
        </w:rPr>
        <w:t>te el antecedente condenatorio que registraba en una causa por puesta en circulación de moneda falsa, en la que ta</w:t>
      </w:r>
      <w:r>
        <w:rPr>
          <w:bCs/>
          <w:color w:val="000000"/>
        </w:rPr>
        <w:t>m</w:t>
      </w:r>
      <w:r>
        <w:rPr>
          <w:bCs/>
          <w:color w:val="000000"/>
        </w:rPr>
        <w:t xml:space="preserve">bién estaban imputados Carlos Telleldín y María Cristina </w:t>
      </w:r>
      <w:r>
        <w:rPr>
          <w:bCs/>
          <w:color w:val="000000"/>
        </w:rPr>
        <w:lastRenderedPageBreak/>
        <w:t>Jiménez Marecos, ex mujer de Héctor Banga, remarcando que fue ésta última quien mencionó en la audiencia que su m</w:t>
      </w:r>
      <w:r>
        <w:rPr>
          <w:bCs/>
          <w:color w:val="000000"/>
        </w:rPr>
        <w:t>a</w:t>
      </w:r>
      <w:r>
        <w:rPr>
          <w:bCs/>
          <w:color w:val="000000"/>
        </w:rPr>
        <w:t>rido logró eludir la acción de la comisión policial inte</w:t>
      </w:r>
      <w:r>
        <w:rPr>
          <w:bCs/>
          <w:color w:val="000000"/>
        </w:rPr>
        <w:t>r</w:t>
      </w:r>
      <w:r>
        <w:rPr>
          <w:bCs/>
          <w:color w:val="000000"/>
        </w:rPr>
        <w:t>viniente. También la defensa hizo mención del recorte p</w:t>
      </w:r>
      <w:r>
        <w:rPr>
          <w:bCs/>
          <w:color w:val="000000"/>
        </w:rPr>
        <w:t>e</w:t>
      </w:r>
      <w:r>
        <w:rPr>
          <w:bCs/>
          <w:color w:val="000000"/>
        </w:rPr>
        <w:t>riodístico obrante a fs. 146 del expediente administr</w:t>
      </w:r>
      <w:r>
        <w:rPr>
          <w:bCs/>
          <w:color w:val="000000"/>
        </w:rPr>
        <w:t>a</w:t>
      </w:r>
      <w:r>
        <w:rPr>
          <w:bCs/>
          <w:color w:val="000000"/>
        </w:rPr>
        <w:t xml:space="preserve">tivo instruido por </w:t>
      </w:r>
      <w:smartTag w:uri="urn:schemas-microsoft-com:office:smarttags" w:element="PersonName">
        <w:smartTagPr>
          <w:attr w:name="ProductID" w:val="la Polic￭a Bonaerense."/>
        </w:smartTagPr>
        <w:r>
          <w:rPr>
            <w:bCs/>
            <w:color w:val="000000"/>
          </w:rPr>
          <w:t>la Policía B</w:t>
        </w:r>
        <w:r>
          <w:rPr>
            <w:bCs/>
            <w:color w:val="000000"/>
          </w:rPr>
          <w:t>o</w:t>
        </w:r>
        <w:r>
          <w:rPr>
            <w:bCs/>
            <w:color w:val="000000"/>
          </w:rPr>
          <w:t>naerense.</w:t>
        </w:r>
      </w:smartTag>
    </w:p>
    <w:p w:rsidR="00224567" w:rsidRDefault="00224567">
      <w:pPr>
        <w:widowControl w:val="0"/>
        <w:tabs>
          <w:tab w:val="left" w:pos="2835"/>
        </w:tabs>
        <w:ind w:firstLine="708"/>
        <w:rPr>
          <w:bCs/>
          <w:color w:val="000000"/>
        </w:rPr>
      </w:pPr>
      <w:r>
        <w:rPr>
          <w:bCs/>
          <w:color w:val="000000"/>
        </w:rPr>
        <w:tab/>
        <w:t>Recordó que a Eduardo Telleldín, L</w:t>
      </w:r>
      <w:r>
        <w:rPr>
          <w:bCs/>
          <w:color w:val="000000"/>
        </w:rPr>
        <w:t>i</w:t>
      </w:r>
      <w:r>
        <w:rPr>
          <w:bCs/>
          <w:color w:val="000000"/>
        </w:rPr>
        <w:t>dia Seeb, madre de los Telleldín y de Héctor Ba</w:t>
      </w:r>
      <w:r>
        <w:rPr>
          <w:bCs/>
          <w:color w:val="000000"/>
        </w:rPr>
        <w:t>n</w:t>
      </w:r>
      <w:r>
        <w:rPr>
          <w:bCs/>
          <w:color w:val="000000"/>
        </w:rPr>
        <w:t>ga, Hugo Pérez y demás integrantes del entorno del princ</w:t>
      </w:r>
      <w:r>
        <w:rPr>
          <w:bCs/>
          <w:color w:val="000000"/>
        </w:rPr>
        <w:t>i</w:t>
      </w:r>
      <w:r>
        <w:rPr>
          <w:bCs/>
          <w:color w:val="000000"/>
        </w:rPr>
        <w:t>pal acusado, los fiscales les adjudicaron acciones reñidas con el d</w:t>
      </w:r>
      <w:r>
        <w:rPr>
          <w:bCs/>
          <w:color w:val="000000"/>
        </w:rPr>
        <w:t>e</w:t>
      </w:r>
      <w:r>
        <w:rPr>
          <w:bCs/>
          <w:color w:val="000000"/>
        </w:rPr>
        <w:t>recho y estar vinculados con las actividades ilícitas de Carlos Telle</w:t>
      </w:r>
      <w:r>
        <w:rPr>
          <w:bCs/>
          <w:color w:val="000000"/>
        </w:rPr>
        <w:t>l</w:t>
      </w:r>
      <w:r>
        <w:rPr>
          <w:bCs/>
          <w:color w:val="000000"/>
        </w:rPr>
        <w:t>dín.</w:t>
      </w:r>
    </w:p>
    <w:p w:rsidR="00224567" w:rsidRDefault="00224567">
      <w:pPr>
        <w:widowControl w:val="0"/>
        <w:tabs>
          <w:tab w:val="left" w:pos="2835"/>
        </w:tabs>
        <w:ind w:firstLine="708"/>
        <w:rPr>
          <w:bCs/>
          <w:color w:val="000000"/>
        </w:rPr>
      </w:pPr>
      <w:r>
        <w:rPr>
          <w:bCs/>
          <w:color w:val="000000"/>
        </w:rPr>
        <w:tab/>
        <w:t>Destacó el defensor que el anál</w:t>
      </w:r>
      <w:r>
        <w:rPr>
          <w:bCs/>
          <w:color w:val="000000"/>
        </w:rPr>
        <w:t>i</w:t>
      </w:r>
      <w:r>
        <w:rPr>
          <w:bCs/>
          <w:color w:val="000000"/>
        </w:rPr>
        <w:t>sis de los fiscales desnudó un sinfín de me</w:t>
      </w:r>
      <w:r>
        <w:rPr>
          <w:bCs/>
          <w:color w:val="000000"/>
        </w:rPr>
        <w:t>n</w:t>
      </w:r>
      <w:r>
        <w:rPr>
          <w:bCs/>
          <w:color w:val="000000"/>
        </w:rPr>
        <w:t>tiras que el imputado y sus acólitos habían introducido en el expedie</w:t>
      </w:r>
      <w:r>
        <w:rPr>
          <w:bCs/>
          <w:color w:val="000000"/>
        </w:rPr>
        <w:t>n</w:t>
      </w:r>
      <w:r>
        <w:rPr>
          <w:bCs/>
          <w:color w:val="000000"/>
        </w:rPr>
        <w:t>te.</w:t>
      </w:r>
    </w:p>
    <w:p w:rsidR="00224567" w:rsidRDefault="00224567">
      <w:pPr>
        <w:widowControl w:val="0"/>
        <w:tabs>
          <w:tab w:val="left" w:pos="2835"/>
        </w:tabs>
        <w:ind w:firstLine="708"/>
        <w:rPr>
          <w:bCs/>
          <w:color w:val="000000"/>
        </w:rPr>
      </w:pPr>
      <w:r>
        <w:rPr>
          <w:bCs/>
          <w:color w:val="000000"/>
        </w:rPr>
        <w:tab/>
        <w:t>Entre esas mentiras, recordó la defe</w:t>
      </w:r>
      <w:r>
        <w:rPr>
          <w:bCs/>
          <w:color w:val="000000"/>
        </w:rPr>
        <w:t>n</w:t>
      </w:r>
      <w:r>
        <w:rPr>
          <w:bCs/>
          <w:color w:val="000000"/>
        </w:rPr>
        <w:t>sa que los fiscales descartaron todas las manifest</w:t>
      </w:r>
      <w:r>
        <w:rPr>
          <w:bCs/>
          <w:color w:val="000000"/>
        </w:rPr>
        <w:t>a</w:t>
      </w:r>
      <w:r>
        <w:rPr>
          <w:bCs/>
          <w:color w:val="000000"/>
        </w:rPr>
        <w:t>ciones de Telleldín, Boragni y Pérez en cuanto a la supuesta ve</w:t>
      </w:r>
      <w:r>
        <w:rPr>
          <w:bCs/>
          <w:color w:val="000000"/>
        </w:rPr>
        <w:t>n</w:t>
      </w:r>
      <w:r>
        <w:rPr>
          <w:bCs/>
          <w:color w:val="000000"/>
        </w:rPr>
        <w:t xml:space="preserve">ta del día 10 de julio de 1994, sosteniendo que habían montado una farsa para involucrar a terceras personas y </w:t>
      </w:r>
      <w:r>
        <w:rPr>
          <w:bCs/>
          <w:color w:val="000000"/>
        </w:rPr>
        <w:lastRenderedPageBreak/>
        <w:t>desviar la investigación para procurar su impunidad y la de los autores m</w:t>
      </w:r>
      <w:r>
        <w:rPr>
          <w:bCs/>
          <w:color w:val="000000"/>
        </w:rPr>
        <w:t>a</w:t>
      </w:r>
      <w:r>
        <w:rPr>
          <w:bCs/>
          <w:color w:val="000000"/>
        </w:rPr>
        <w:t>teriales.</w:t>
      </w:r>
    </w:p>
    <w:p w:rsidR="00224567" w:rsidRDefault="00224567">
      <w:pPr>
        <w:widowControl w:val="0"/>
        <w:tabs>
          <w:tab w:val="left" w:pos="2835"/>
        </w:tabs>
        <w:ind w:firstLine="708"/>
        <w:rPr>
          <w:bCs/>
          <w:color w:val="000000"/>
        </w:rPr>
      </w:pPr>
      <w:r>
        <w:rPr>
          <w:bCs/>
          <w:color w:val="000000"/>
        </w:rPr>
        <w:tab/>
        <w:t>Existen datos objetivos en el exp</w:t>
      </w:r>
      <w:r>
        <w:rPr>
          <w:bCs/>
          <w:color w:val="000000"/>
        </w:rPr>
        <w:t>e</w:t>
      </w:r>
      <w:r>
        <w:rPr>
          <w:bCs/>
          <w:color w:val="000000"/>
        </w:rPr>
        <w:t>diente, a criterio de la defensa, que sugieren que a pa</w:t>
      </w:r>
      <w:r>
        <w:rPr>
          <w:bCs/>
          <w:color w:val="000000"/>
        </w:rPr>
        <w:t>r</w:t>
      </w:r>
      <w:r>
        <w:rPr>
          <w:bCs/>
          <w:color w:val="000000"/>
        </w:rPr>
        <w:t>tir de las manifestaciones de julio de 1996 contra los p</w:t>
      </w:r>
      <w:r>
        <w:rPr>
          <w:bCs/>
          <w:color w:val="000000"/>
        </w:rPr>
        <w:t>o</w:t>
      </w:r>
      <w:r>
        <w:rPr>
          <w:bCs/>
          <w:color w:val="000000"/>
        </w:rPr>
        <w:t>licías, el imputado Carlos Telleldín y su grupo de secu</w:t>
      </w:r>
      <w:r>
        <w:rPr>
          <w:bCs/>
          <w:color w:val="000000"/>
        </w:rPr>
        <w:t>a</w:t>
      </w:r>
      <w:r>
        <w:rPr>
          <w:bCs/>
          <w:color w:val="000000"/>
        </w:rPr>
        <w:t>ces fueron redimidos por los investigadores de todas sus faltas y mentiras, convirtiéndolos en testigos insospech</w:t>
      </w:r>
      <w:r>
        <w:rPr>
          <w:bCs/>
          <w:color w:val="000000"/>
        </w:rPr>
        <w:t>a</w:t>
      </w:r>
      <w:r>
        <w:rPr>
          <w:bCs/>
          <w:color w:val="000000"/>
        </w:rPr>
        <w:t>bles.</w:t>
      </w:r>
    </w:p>
    <w:p w:rsidR="00224567" w:rsidRDefault="00224567">
      <w:pPr>
        <w:widowControl w:val="0"/>
        <w:tabs>
          <w:tab w:val="left" w:pos="2835"/>
        </w:tabs>
        <w:ind w:firstLine="708"/>
        <w:rPr>
          <w:bCs/>
          <w:color w:val="000000"/>
        </w:rPr>
      </w:pPr>
      <w:r>
        <w:rPr>
          <w:bCs/>
          <w:color w:val="000000"/>
        </w:rPr>
        <w:tab/>
        <w:t>Remarcó que los testimonios de qui</w:t>
      </w:r>
      <w:r>
        <w:rPr>
          <w:bCs/>
          <w:color w:val="000000"/>
        </w:rPr>
        <w:t>e</w:t>
      </w:r>
      <w:r>
        <w:rPr>
          <w:bCs/>
          <w:color w:val="000000"/>
        </w:rPr>
        <w:t>nes hacía poco se había predicado eran unos “tramposos sin p</w:t>
      </w:r>
      <w:r>
        <w:rPr>
          <w:bCs/>
          <w:color w:val="000000"/>
        </w:rPr>
        <w:t>a</w:t>
      </w:r>
      <w:r>
        <w:rPr>
          <w:bCs/>
          <w:color w:val="000000"/>
        </w:rPr>
        <w:t>rangón” cobraron, para los fiscales y el juez de la ca</w:t>
      </w:r>
      <w:r>
        <w:rPr>
          <w:bCs/>
          <w:color w:val="000000"/>
        </w:rPr>
        <w:t>u</w:t>
      </w:r>
      <w:r>
        <w:rPr>
          <w:bCs/>
          <w:color w:val="000000"/>
        </w:rPr>
        <w:t>sa, absoluta verosimilitud al ser valorados en desmedro de Raúl Edilio Ibarra.</w:t>
      </w:r>
    </w:p>
    <w:p w:rsidR="00224567" w:rsidRDefault="00224567">
      <w:pPr>
        <w:widowControl w:val="0"/>
        <w:tabs>
          <w:tab w:val="left" w:pos="2835"/>
        </w:tabs>
        <w:ind w:firstLine="708"/>
        <w:rPr>
          <w:bCs/>
          <w:color w:val="000000"/>
        </w:rPr>
      </w:pPr>
      <w:r>
        <w:rPr>
          <w:bCs/>
          <w:color w:val="000000"/>
        </w:rPr>
        <w:tab/>
        <w:t>La defensa puso de resalto que los acusadores nunca más insistieron con medidas de similar tenor una vez que, junto al juez y algunas querellas, d</w:t>
      </w:r>
      <w:r>
        <w:rPr>
          <w:bCs/>
          <w:color w:val="000000"/>
        </w:rPr>
        <w:t>e</w:t>
      </w:r>
      <w:r>
        <w:rPr>
          <w:bCs/>
          <w:color w:val="000000"/>
        </w:rPr>
        <w:t>cidieron ir tras la pista policial, y que conocieron, ocultaron o cuanto menos, consinti</w:t>
      </w:r>
      <w:r>
        <w:rPr>
          <w:bCs/>
          <w:color w:val="000000"/>
        </w:rPr>
        <w:t>e</w:t>
      </w:r>
      <w:r>
        <w:rPr>
          <w:bCs/>
          <w:color w:val="000000"/>
        </w:rPr>
        <w:t>ron que Telleldín y su grupo, se alzaran con una suma de cientos de miles de d</w:t>
      </w:r>
      <w:r>
        <w:rPr>
          <w:bCs/>
          <w:color w:val="000000"/>
        </w:rPr>
        <w:t>ó</w:t>
      </w:r>
      <w:r>
        <w:rPr>
          <w:bCs/>
          <w:color w:val="000000"/>
        </w:rPr>
        <w:t>lares como retribución por sus dichos mentirosos, en vi</w:t>
      </w:r>
      <w:r>
        <w:rPr>
          <w:bCs/>
          <w:color w:val="000000"/>
        </w:rPr>
        <w:t>r</w:t>
      </w:r>
      <w:r>
        <w:rPr>
          <w:bCs/>
          <w:color w:val="000000"/>
        </w:rPr>
        <w:lastRenderedPageBreak/>
        <w:t>tud de los serv</w:t>
      </w:r>
      <w:r>
        <w:rPr>
          <w:bCs/>
          <w:color w:val="000000"/>
        </w:rPr>
        <w:t>i</w:t>
      </w:r>
      <w:r>
        <w:rPr>
          <w:bCs/>
          <w:color w:val="000000"/>
        </w:rPr>
        <w:t>cios prestados.</w:t>
      </w:r>
    </w:p>
    <w:p w:rsidR="00224567" w:rsidRDefault="00224567">
      <w:pPr>
        <w:widowControl w:val="0"/>
        <w:tabs>
          <w:tab w:val="left" w:pos="2835"/>
        </w:tabs>
        <w:ind w:firstLine="708"/>
        <w:rPr>
          <w:bCs/>
        </w:rPr>
      </w:pPr>
      <w:r>
        <w:rPr>
          <w:bCs/>
          <w:color w:val="000000"/>
        </w:rPr>
        <w:tab/>
        <w:t>Sostuvo que el pago al imputado no fue lo más grave de toda esta maniobra. Entendió que peor fue que los fiscales detectaron muchísimas mentiras al anal</w:t>
      </w:r>
      <w:r>
        <w:rPr>
          <w:bCs/>
          <w:color w:val="000000"/>
        </w:rPr>
        <w:t>i</w:t>
      </w:r>
      <w:r>
        <w:rPr>
          <w:bCs/>
          <w:color w:val="000000"/>
        </w:rPr>
        <w:t>zar la versión dada por Telleldín y su entorno. A su cr</w:t>
      </w:r>
      <w:r>
        <w:rPr>
          <w:bCs/>
          <w:color w:val="000000"/>
        </w:rPr>
        <w:t>i</w:t>
      </w:r>
      <w:r>
        <w:rPr>
          <w:bCs/>
          <w:color w:val="000000"/>
        </w:rPr>
        <w:t>terio, ellos estaban obligados a realizar un examen re</w:t>
      </w:r>
      <w:r>
        <w:rPr>
          <w:bCs/>
          <w:color w:val="000000"/>
        </w:rPr>
        <w:t>s</w:t>
      </w:r>
      <w:r>
        <w:rPr>
          <w:bCs/>
          <w:color w:val="000000"/>
        </w:rPr>
        <w:t>ponsable a la hora de valorar las n</w:t>
      </w:r>
      <w:r>
        <w:rPr>
          <w:bCs/>
          <w:color w:val="000000"/>
        </w:rPr>
        <w:t>u</w:t>
      </w:r>
      <w:r>
        <w:rPr>
          <w:bCs/>
          <w:color w:val="000000"/>
        </w:rPr>
        <w:t>merosas historias que, previo cobro de más de USD 400.000, el grupo del “Enano” incorporaba a la investigación, máxime esta nueva ve</w:t>
      </w:r>
      <w:r>
        <w:rPr>
          <w:bCs/>
          <w:color w:val="000000"/>
        </w:rPr>
        <w:t>r</w:t>
      </w:r>
      <w:r>
        <w:rPr>
          <w:bCs/>
          <w:color w:val="000000"/>
        </w:rPr>
        <w:t>sión</w:t>
      </w:r>
      <w:r>
        <w:rPr>
          <w:bCs/>
        </w:rPr>
        <w:t xml:space="preserve"> ponía en cabeza de Ibarra y de sus coprocesados, la imp</w:t>
      </w:r>
      <w:r>
        <w:rPr>
          <w:bCs/>
        </w:rPr>
        <w:t>u</w:t>
      </w:r>
      <w:r>
        <w:rPr>
          <w:bCs/>
        </w:rPr>
        <w:t xml:space="preserve">tación más grave de la historia criminal de </w:t>
      </w:r>
      <w:smartTag w:uri="urn:schemas-microsoft-com:office:smarttags" w:element="PersonName">
        <w:smartTagPr>
          <w:attr w:name="ProductID" w:val="la Rep￺blica Argentina."/>
        </w:smartTagPr>
        <w:r>
          <w:rPr>
            <w:bCs/>
          </w:rPr>
          <w:t>la República Argentina.</w:t>
        </w:r>
      </w:smartTag>
    </w:p>
    <w:p w:rsidR="00224567" w:rsidRDefault="00224567">
      <w:pPr>
        <w:widowControl w:val="0"/>
        <w:tabs>
          <w:tab w:val="left" w:pos="2835"/>
        </w:tabs>
        <w:ind w:firstLine="708"/>
        <w:rPr>
          <w:bCs/>
        </w:rPr>
      </w:pPr>
      <w:r>
        <w:rPr>
          <w:bCs/>
        </w:rPr>
        <w:tab/>
        <w:t>Era inexplicable, sostuvo el defe</w:t>
      </w:r>
      <w:r>
        <w:rPr>
          <w:bCs/>
        </w:rPr>
        <w:t>n</w:t>
      </w:r>
      <w:r>
        <w:rPr>
          <w:bCs/>
        </w:rPr>
        <w:t>sor, que al merituar en su acusación la credibilidad de los testimonios enderezados a probar la responsabilidad de Ibarra en los episodios del 15 de marzo y 4 de abril, los fiscales no explicitaron sus resquemores en cuanto al e</w:t>
      </w:r>
      <w:r>
        <w:rPr>
          <w:bCs/>
        </w:rPr>
        <w:t>s</w:t>
      </w:r>
      <w:r>
        <w:rPr>
          <w:bCs/>
        </w:rPr>
        <w:t>caso crédito que d</w:t>
      </w:r>
      <w:r>
        <w:rPr>
          <w:bCs/>
        </w:rPr>
        <w:t>e</w:t>
      </w:r>
      <w:r>
        <w:rPr>
          <w:bCs/>
        </w:rPr>
        <w:t>bía acordársele a Carlos Telleldín y a su grupo, cuando también, en su reciente alegato, la fi</w:t>
      </w:r>
      <w:r>
        <w:rPr>
          <w:bCs/>
        </w:rPr>
        <w:t>s</w:t>
      </w:r>
      <w:r>
        <w:rPr>
          <w:bCs/>
        </w:rPr>
        <w:t>calía consideró que Telleldín hace de la mentira una pr</w:t>
      </w:r>
      <w:r>
        <w:rPr>
          <w:bCs/>
        </w:rPr>
        <w:t>o</w:t>
      </w:r>
      <w:r>
        <w:rPr>
          <w:bCs/>
        </w:rPr>
        <w:lastRenderedPageBreak/>
        <w:t>fesión de fe y aportaba elementos falsos, convenciendo a otros para que lo secunden.</w:t>
      </w:r>
    </w:p>
    <w:p w:rsidR="00224567" w:rsidRDefault="00224567">
      <w:pPr>
        <w:widowControl w:val="0"/>
        <w:tabs>
          <w:tab w:val="left" w:pos="2835"/>
        </w:tabs>
        <w:ind w:firstLine="708"/>
        <w:rPr>
          <w:bCs/>
        </w:rPr>
      </w:pPr>
      <w:r>
        <w:rPr>
          <w:bCs/>
        </w:rPr>
        <w:tab/>
        <w:t>A continuación, la defensa real</w:t>
      </w:r>
      <w:r>
        <w:rPr>
          <w:bCs/>
        </w:rPr>
        <w:t>i</w:t>
      </w:r>
      <w:r>
        <w:rPr>
          <w:bCs/>
        </w:rPr>
        <w:t>zó un análisis detallado del perfil de cada uno de los test</w:t>
      </w:r>
      <w:r>
        <w:rPr>
          <w:bCs/>
        </w:rPr>
        <w:t>i</w:t>
      </w:r>
      <w:r>
        <w:rPr>
          <w:bCs/>
        </w:rPr>
        <w:t>gos utilizados por la fiscalía para dar por probado los hechos que se le imputaban a Ibarra.</w:t>
      </w:r>
    </w:p>
    <w:p w:rsidR="00224567" w:rsidRDefault="00224567">
      <w:pPr>
        <w:widowControl w:val="0"/>
        <w:tabs>
          <w:tab w:val="left" w:pos="2835"/>
        </w:tabs>
        <w:ind w:firstLine="708"/>
        <w:rPr>
          <w:bCs/>
        </w:rPr>
      </w:pPr>
      <w:r>
        <w:rPr>
          <w:bCs/>
        </w:rPr>
        <w:tab/>
        <w:t>Así, sostuvo que José Luis Lo Preiato era el socio de Carlos Telleldín en el lavadero de la c</w:t>
      </w:r>
      <w:r>
        <w:rPr>
          <w:bCs/>
        </w:rPr>
        <w:t>a</w:t>
      </w:r>
      <w:r>
        <w:rPr>
          <w:bCs/>
        </w:rPr>
        <w:t>lle Pelliza, que no era más que una fachada tendiente a cubrir la actividad principal de “cortar” vehículos, adu</w:t>
      </w:r>
      <w:r>
        <w:rPr>
          <w:bCs/>
        </w:rPr>
        <w:t>l</w:t>
      </w:r>
      <w:r>
        <w:rPr>
          <w:bCs/>
        </w:rPr>
        <w:t>terar sus registros, efectuar ante funcionarios v</w:t>
      </w:r>
      <w:r>
        <w:rPr>
          <w:bCs/>
        </w:rPr>
        <w:t>e</w:t>
      </w:r>
      <w:r>
        <w:rPr>
          <w:bCs/>
        </w:rPr>
        <w:t>nales la verificación reglamentaria, exhibir los autos “doblados” en el lugar y posteriormente defraudar a la gente que co</w:t>
      </w:r>
      <w:r>
        <w:rPr>
          <w:bCs/>
        </w:rPr>
        <w:t>n</w:t>
      </w:r>
      <w:r>
        <w:rPr>
          <w:bCs/>
        </w:rPr>
        <w:t>curría a co</w:t>
      </w:r>
      <w:r>
        <w:rPr>
          <w:bCs/>
        </w:rPr>
        <w:t>m</w:t>
      </w:r>
      <w:r>
        <w:rPr>
          <w:bCs/>
        </w:rPr>
        <w:t>prarlos.</w:t>
      </w:r>
    </w:p>
    <w:p w:rsidR="00224567" w:rsidRDefault="00224567">
      <w:pPr>
        <w:widowControl w:val="0"/>
        <w:tabs>
          <w:tab w:val="left" w:pos="2835"/>
        </w:tabs>
        <w:ind w:firstLine="708"/>
        <w:rPr>
          <w:bCs/>
        </w:rPr>
      </w:pPr>
      <w:r>
        <w:rPr>
          <w:bCs/>
        </w:rPr>
        <w:tab/>
        <w:t>Remarcó el defensor que no era cierto lo que decían Lo Preiato y su padre cuando, pretendiendo pasar por inversores incautos, contaron en el juicio que Carlos los había “engrupido” ya que, pese a lo conv</w:t>
      </w:r>
      <w:r>
        <w:rPr>
          <w:bCs/>
        </w:rPr>
        <w:t>e</w:t>
      </w:r>
      <w:r>
        <w:rPr>
          <w:bCs/>
        </w:rPr>
        <w:t>nido, nunca se pudo obtener la habilitación municipal y por ello el negocio del l</w:t>
      </w:r>
      <w:r>
        <w:rPr>
          <w:bCs/>
        </w:rPr>
        <w:t>a</w:t>
      </w:r>
      <w:r>
        <w:rPr>
          <w:bCs/>
        </w:rPr>
        <w:t>vadero se frustró. Ello es así, según la defensa, porque, tal como quedó acredit</w:t>
      </w:r>
      <w:r>
        <w:rPr>
          <w:bCs/>
        </w:rPr>
        <w:t>a</w:t>
      </w:r>
      <w:r>
        <w:rPr>
          <w:bCs/>
        </w:rPr>
        <w:t xml:space="preserve">do, poco le costó </w:t>
      </w:r>
      <w:r>
        <w:rPr>
          <w:bCs/>
        </w:rPr>
        <w:lastRenderedPageBreak/>
        <w:t>a Pistone y a su socio Mauceri obtener la habilitación m</w:t>
      </w:r>
      <w:r>
        <w:rPr>
          <w:bCs/>
        </w:rPr>
        <w:t>u</w:t>
      </w:r>
      <w:r>
        <w:rPr>
          <w:bCs/>
        </w:rPr>
        <w:t>nicipal, tan sólo algunos días después de comprarle el l</w:t>
      </w:r>
      <w:r>
        <w:rPr>
          <w:bCs/>
        </w:rPr>
        <w:t>a</w:t>
      </w:r>
      <w:r>
        <w:rPr>
          <w:bCs/>
        </w:rPr>
        <w:t>vadero a Telleldín, Lo Prei</w:t>
      </w:r>
      <w:r>
        <w:rPr>
          <w:bCs/>
        </w:rPr>
        <w:t>a</w:t>
      </w:r>
      <w:r>
        <w:rPr>
          <w:bCs/>
        </w:rPr>
        <w:t>to y Petrucci.</w:t>
      </w:r>
    </w:p>
    <w:p w:rsidR="00224567" w:rsidRDefault="00224567">
      <w:pPr>
        <w:widowControl w:val="0"/>
        <w:tabs>
          <w:tab w:val="left" w:pos="2835"/>
        </w:tabs>
        <w:ind w:firstLine="708"/>
        <w:rPr>
          <w:bCs/>
        </w:rPr>
      </w:pPr>
      <w:r>
        <w:rPr>
          <w:bCs/>
        </w:rPr>
        <w:tab/>
        <w:t>Agregó el defensor que fue Telleldín quien en su indagatoria del 5 de julio de 1996 contó que instaló el lavadero en Olivos en 1993 aprovechando que t</w:t>
      </w:r>
      <w:r>
        <w:rPr>
          <w:bCs/>
        </w:rPr>
        <w:t>e</w:t>
      </w:r>
      <w:r>
        <w:rPr>
          <w:bCs/>
        </w:rPr>
        <w:t>nía un galpón en el que podía armar autos siniestrados, con piezas de autos robados, para la posterior venta.</w:t>
      </w:r>
    </w:p>
    <w:p w:rsidR="00224567" w:rsidRDefault="00224567">
      <w:pPr>
        <w:widowControl w:val="0"/>
        <w:tabs>
          <w:tab w:val="left" w:pos="2835"/>
        </w:tabs>
        <w:ind w:firstLine="708"/>
        <w:rPr>
          <w:bCs/>
        </w:rPr>
      </w:pPr>
      <w:r>
        <w:rPr>
          <w:bCs/>
        </w:rPr>
        <w:tab/>
        <w:t>Recordó que Lo Preiato, para esa ép</w:t>
      </w:r>
      <w:r>
        <w:rPr>
          <w:bCs/>
        </w:rPr>
        <w:t>o</w:t>
      </w:r>
      <w:r>
        <w:rPr>
          <w:bCs/>
        </w:rPr>
        <w:t>ca, participó en muchas maniobras ilícitas de este tipo, tal como se desprendía de la causa nº 5037/97 que corre por cuerda, de la que surge que éste se presentó diciendo que se dedicaba a la compra de vehículos s</w:t>
      </w:r>
      <w:r>
        <w:rPr>
          <w:bCs/>
        </w:rPr>
        <w:t>i</w:t>
      </w:r>
      <w:r>
        <w:rPr>
          <w:bCs/>
        </w:rPr>
        <w:t>niestrados para la reparación y venta, admitiendo lu</w:t>
      </w:r>
      <w:r>
        <w:rPr>
          <w:bCs/>
        </w:rPr>
        <w:t>e</w:t>
      </w:r>
      <w:r>
        <w:rPr>
          <w:bCs/>
        </w:rPr>
        <w:t>go, en la audiencia, haber c</w:t>
      </w:r>
      <w:r>
        <w:rPr>
          <w:bCs/>
        </w:rPr>
        <w:t>o</w:t>
      </w:r>
      <w:r>
        <w:rPr>
          <w:bCs/>
        </w:rPr>
        <w:t>mercializado más de media docena de estos rodados, refiriéndose a la venta de un Ford Sierra, un Volkswagen Gacel, un Renault 9 y un Renault 11, entre otros, agrega</w:t>
      </w:r>
      <w:r>
        <w:rPr>
          <w:bCs/>
        </w:rPr>
        <w:t>n</w:t>
      </w:r>
      <w:r>
        <w:rPr>
          <w:bCs/>
        </w:rPr>
        <w:t>do que todos estos autos fueron comprados en estado de destrucción total en “Automot</w:t>
      </w:r>
      <w:r>
        <w:rPr>
          <w:bCs/>
        </w:rPr>
        <w:t>o</w:t>
      </w:r>
      <w:r>
        <w:rPr>
          <w:bCs/>
        </w:rPr>
        <w:t>res Alejandro”.</w:t>
      </w:r>
    </w:p>
    <w:p w:rsidR="00224567" w:rsidRDefault="00224567">
      <w:pPr>
        <w:widowControl w:val="0"/>
        <w:tabs>
          <w:tab w:val="left" w:pos="2835"/>
        </w:tabs>
        <w:ind w:firstLine="708"/>
        <w:rPr>
          <w:bCs/>
        </w:rPr>
      </w:pPr>
      <w:r>
        <w:rPr>
          <w:bCs/>
        </w:rPr>
        <w:tab/>
        <w:t>Sostuvo la defensa que toda esta act</w:t>
      </w:r>
      <w:r>
        <w:rPr>
          <w:bCs/>
        </w:rPr>
        <w:t>i</w:t>
      </w:r>
      <w:r>
        <w:rPr>
          <w:bCs/>
        </w:rPr>
        <w:lastRenderedPageBreak/>
        <w:t>vidad también se verificó claramente a partir de la lect</w:t>
      </w:r>
      <w:r>
        <w:rPr>
          <w:bCs/>
        </w:rPr>
        <w:t>u</w:t>
      </w:r>
      <w:r>
        <w:rPr>
          <w:bCs/>
        </w:rPr>
        <w:t>ra de la denuncia criminal, certificada a fs. 18.477/18.490 que Laura Lucrecia Dujsik de Torrisi form</w:t>
      </w:r>
      <w:r>
        <w:rPr>
          <w:bCs/>
        </w:rPr>
        <w:t>u</w:t>
      </w:r>
      <w:r>
        <w:rPr>
          <w:bCs/>
        </w:rPr>
        <w:t>ló contra José Luis Lo Preiato y su socio Telleldín, en orden al delito de estafa. En ésta detalló cómo desarrollaban este negocio ilegal con coches doblados; que los “arr</w:t>
      </w:r>
      <w:r>
        <w:rPr>
          <w:bCs/>
        </w:rPr>
        <w:t>e</w:t>
      </w:r>
      <w:r>
        <w:rPr>
          <w:bCs/>
        </w:rPr>
        <w:t>glos” de los vehículos adquiridos siniestrados en “Autom</w:t>
      </w:r>
      <w:r>
        <w:rPr>
          <w:bCs/>
        </w:rPr>
        <w:t>o</w:t>
      </w:r>
      <w:r>
        <w:rPr>
          <w:bCs/>
        </w:rPr>
        <w:t>tores Al</w:t>
      </w:r>
      <w:r>
        <w:rPr>
          <w:bCs/>
        </w:rPr>
        <w:t>e</w:t>
      </w:r>
      <w:r>
        <w:rPr>
          <w:bCs/>
        </w:rPr>
        <w:t>jandro” se realizaban en el taller del lavadero o en otro cuya ubicación coincidía con el taller de Guille</w:t>
      </w:r>
      <w:r>
        <w:rPr>
          <w:bCs/>
        </w:rPr>
        <w:t>r</w:t>
      </w:r>
      <w:r>
        <w:rPr>
          <w:bCs/>
        </w:rPr>
        <w:t>mo Cotoras -Alsina y Perú de Villa Martelli-; que Carlos era quien reparaba los vehículos y que José Luis se enca</w:t>
      </w:r>
      <w:r>
        <w:rPr>
          <w:bCs/>
        </w:rPr>
        <w:t>r</w:t>
      </w:r>
      <w:r>
        <w:rPr>
          <w:bCs/>
        </w:rPr>
        <w:t>gaba de verificarlos y venderlos; y relató también, cómo fue que desaparecieron Telleldín, Lo Preiato y las pers</w:t>
      </w:r>
      <w:r>
        <w:rPr>
          <w:bCs/>
        </w:rPr>
        <w:t>o</w:t>
      </w:r>
      <w:r>
        <w:rPr>
          <w:bCs/>
        </w:rPr>
        <w:t>nas relacionadas con ellos, una vez perpetrada la maniobra de estafa que la perjud</w:t>
      </w:r>
      <w:r>
        <w:rPr>
          <w:bCs/>
        </w:rPr>
        <w:t>i</w:t>
      </w:r>
      <w:r>
        <w:rPr>
          <w:bCs/>
        </w:rPr>
        <w:t>có.</w:t>
      </w:r>
    </w:p>
    <w:p w:rsidR="00224567" w:rsidRDefault="00224567">
      <w:pPr>
        <w:widowControl w:val="0"/>
        <w:tabs>
          <w:tab w:val="left" w:pos="2835"/>
        </w:tabs>
        <w:ind w:firstLine="708"/>
        <w:rPr>
          <w:bCs/>
        </w:rPr>
      </w:pPr>
      <w:r>
        <w:rPr>
          <w:bCs/>
        </w:rPr>
        <w:tab/>
        <w:t>Agregó el Dr. Giardelli que, en igual sentido, Horacio Stiuso dijo en la audiencia que había i</w:t>
      </w:r>
      <w:r>
        <w:rPr>
          <w:bCs/>
        </w:rPr>
        <w:t>n</w:t>
      </w:r>
      <w:r>
        <w:rPr>
          <w:bCs/>
        </w:rPr>
        <w:t>vestigado a José Luis Lo Preiato y sostuvo que “era uno más del entorno y andaba en los negocios de Telleldín” p</w:t>
      </w:r>
      <w:r>
        <w:rPr>
          <w:bCs/>
        </w:rPr>
        <w:t>e</w:t>
      </w:r>
      <w:r>
        <w:rPr>
          <w:bCs/>
        </w:rPr>
        <w:t>se a que lo negaba, y que el juez Galeano conocía perfe</w:t>
      </w:r>
      <w:r>
        <w:rPr>
          <w:bCs/>
        </w:rPr>
        <w:t>c</w:t>
      </w:r>
      <w:r>
        <w:rPr>
          <w:bCs/>
        </w:rPr>
        <w:t>tamente sus activid</w:t>
      </w:r>
      <w:r>
        <w:rPr>
          <w:bCs/>
        </w:rPr>
        <w:t>a</w:t>
      </w:r>
      <w:r>
        <w:rPr>
          <w:bCs/>
        </w:rPr>
        <w:t>des ilícitas.</w:t>
      </w:r>
    </w:p>
    <w:p w:rsidR="00224567" w:rsidRDefault="00224567">
      <w:pPr>
        <w:widowControl w:val="0"/>
        <w:tabs>
          <w:tab w:val="left" w:pos="2835"/>
        </w:tabs>
        <w:ind w:firstLine="708"/>
        <w:rPr>
          <w:bCs/>
        </w:rPr>
      </w:pPr>
      <w:r>
        <w:rPr>
          <w:bCs/>
        </w:rPr>
        <w:lastRenderedPageBreak/>
        <w:tab/>
        <w:t>Recordó también el defensor que el propio Carlos Telleldín, al declarar en la audiencia del 23 de abril de 2002, ilustró al tribunal acerca de cómo, valiéndose de un clavo oxidado, grababa numeración apócr</w:t>
      </w:r>
      <w:r>
        <w:rPr>
          <w:bCs/>
        </w:rPr>
        <w:t>i</w:t>
      </w:r>
      <w:r>
        <w:rPr>
          <w:bCs/>
        </w:rPr>
        <w:t>fa en las carroc</w:t>
      </w:r>
      <w:r>
        <w:rPr>
          <w:bCs/>
        </w:rPr>
        <w:t>e</w:t>
      </w:r>
      <w:r>
        <w:rPr>
          <w:bCs/>
        </w:rPr>
        <w:t>rías de los coches robados, reconociendo que de esa manera se había adulterado la numeración del chasis de un Peugeot 405 respecto del cual Lo Preiato se hizo pasar por compr</w:t>
      </w:r>
      <w:r>
        <w:rPr>
          <w:bCs/>
        </w:rPr>
        <w:t>a</w:t>
      </w:r>
      <w:r>
        <w:rPr>
          <w:bCs/>
        </w:rPr>
        <w:t>dor de buena fe ante el juez a cargo de la causa nº 5037/97. con esta maniobra, el nombrado consiguió que se lo designara d</w:t>
      </w:r>
      <w:r>
        <w:rPr>
          <w:bCs/>
        </w:rPr>
        <w:t>e</w:t>
      </w:r>
      <w:r>
        <w:rPr>
          <w:bCs/>
        </w:rPr>
        <w:t>positario judicial.</w:t>
      </w:r>
    </w:p>
    <w:p w:rsidR="00224567" w:rsidRDefault="00224567">
      <w:pPr>
        <w:widowControl w:val="0"/>
        <w:tabs>
          <w:tab w:val="left" w:pos="2835"/>
        </w:tabs>
        <w:ind w:firstLine="708"/>
        <w:rPr>
          <w:bCs/>
        </w:rPr>
      </w:pPr>
      <w:r>
        <w:rPr>
          <w:bCs/>
        </w:rPr>
        <w:tab/>
        <w:t>También recordó la defensa que el fi</w:t>
      </w:r>
      <w:r>
        <w:rPr>
          <w:bCs/>
        </w:rPr>
        <w:t>s</w:t>
      </w:r>
      <w:r>
        <w:rPr>
          <w:bCs/>
        </w:rPr>
        <w:t>cal de juicio, Dr. Miguel Ángel Romero, en la etapa final de su alegato, insinuó que José Luis Lo Preiato particip</w:t>
      </w:r>
      <w:r>
        <w:rPr>
          <w:bCs/>
        </w:rPr>
        <w:t>a</w:t>
      </w:r>
      <w:r>
        <w:rPr>
          <w:bCs/>
        </w:rPr>
        <w:t>ba activamente de los negocios marginales de Telleldín, aunque más tarde, con inconsecuencia, se valoraron sus d</w:t>
      </w:r>
      <w:r>
        <w:rPr>
          <w:bCs/>
        </w:rPr>
        <w:t>i</w:t>
      </w:r>
      <w:r>
        <w:rPr>
          <w:bCs/>
        </w:rPr>
        <w:t>chos contra los p</w:t>
      </w:r>
      <w:r>
        <w:rPr>
          <w:bCs/>
        </w:rPr>
        <w:t>o</w:t>
      </w:r>
      <w:r>
        <w:rPr>
          <w:bCs/>
        </w:rPr>
        <w:t>licías como si fueran “palabra santa”.</w:t>
      </w:r>
    </w:p>
    <w:p w:rsidR="00224567" w:rsidRDefault="00224567">
      <w:pPr>
        <w:widowControl w:val="0"/>
        <w:tabs>
          <w:tab w:val="left" w:pos="2835"/>
        </w:tabs>
        <w:ind w:firstLine="708"/>
        <w:rPr>
          <w:bCs/>
        </w:rPr>
      </w:pPr>
      <w:r>
        <w:rPr>
          <w:bCs/>
        </w:rPr>
        <w:tab/>
        <w:t>A continuación, el defensor sostuvo que el padre de José Luis, Antonio Lo Preiato, también era un estafador dedicado a comercializar autos “dobl</w:t>
      </w:r>
      <w:r>
        <w:rPr>
          <w:bCs/>
        </w:rPr>
        <w:t>a</w:t>
      </w:r>
      <w:r>
        <w:rPr>
          <w:bCs/>
        </w:rPr>
        <w:t>dos”.</w:t>
      </w:r>
    </w:p>
    <w:p w:rsidR="00224567" w:rsidRDefault="00224567">
      <w:pPr>
        <w:widowControl w:val="0"/>
        <w:tabs>
          <w:tab w:val="left" w:pos="2835"/>
        </w:tabs>
        <w:ind w:firstLine="708"/>
        <w:rPr>
          <w:bCs/>
        </w:rPr>
      </w:pPr>
      <w:r>
        <w:rPr>
          <w:bCs/>
        </w:rPr>
        <w:tab/>
        <w:t xml:space="preserve">Así lo demostraron, a criterio de la </w:t>
      </w:r>
      <w:r>
        <w:rPr>
          <w:bCs/>
        </w:rPr>
        <w:lastRenderedPageBreak/>
        <w:t>defensa, las constancias de la causa que documentaban la intervención del nombrado en la venta de algunos autos, previamente adquiridos en calidad de siniestrados en “Al</w:t>
      </w:r>
      <w:r>
        <w:rPr>
          <w:bCs/>
        </w:rPr>
        <w:t>e</w:t>
      </w:r>
      <w:r>
        <w:rPr>
          <w:bCs/>
        </w:rPr>
        <w:t>jandro Automotores”. Sobre el punto, recordó que Torrisi dejó bien en claro en su denuncia que Antonio participaba activamente con José Luis en estas maniobras de estafa i</w:t>
      </w:r>
      <w:r>
        <w:rPr>
          <w:bCs/>
        </w:rPr>
        <w:t>n</w:t>
      </w:r>
      <w:r>
        <w:rPr>
          <w:bCs/>
        </w:rPr>
        <w:t>volucrando también a la esposa de Antonio Lo Preiato, Ca</w:t>
      </w:r>
      <w:r>
        <w:rPr>
          <w:bCs/>
        </w:rPr>
        <w:t>r</w:t>
      </w:r>
      <w:r>
        <w:rPr>
          <w:bCs/>
        </w:rPr>
        <w:t>men, y a otro de sus hijos.</w:t>
      </w:r>
    </w:p>
    <w:p w:rsidR="00224567" w:rsidRDefault="00224567">
      <w:pPr>
        <w:widowControl w:val="0"/>
        <w:tabs>
          <w:tab w:val="left" w:pos="2835"/>
        </w:tabs>
        <w:ind w:firstLine="708"/>
        <w:rPr>
          <w:bCs/>
        </w:rPr>
      </w:pPr>
      <w:r>
        <w:rPr>
          <w:bCs/>
        </w:rPr>
        <w:tab/>
        <w:t>Remarcó el defensor que las incursi</w:t>
      </w:r>
      <w:r>
        <w:rPr>
          <w:bCs/>
        </w:rPr>
        <w:t>o</w:t>
      </w:r>
      <w:r>
        <w:rPr>
          <w:bCs/>
        </w:rPr>
        <w:t>nes de Antonio Lo Preiato en el campo del delito también se desprendían de fs. 306 de la causa nº 378 del Juzgado Nacional en lo Criminal y Correccional Federal nº 8, donde se informó que el nombr</w:t>
      </w:r>
      <w:r>
        <w:rPr>
          <w:bCs/>
        </w:rPr>
        <w:t>a</w:t>
      </w:r>
      <w:r>
        <w:rPr>
          <w:bCs/>
        </w:rPr>
        <w:t>do, registraba un antecedente por el delito de as</w:t>
      </w:r>
      <w:r>
        <w:rPr>
          <w:bCs/>
        </w:rPr>
        <w:t>o</w:t>
      </w:r>
      <w:r>
        <w:rPr>
          <w:bCs/>
        </w:rPr>
        <w:t>ciación ilícita.</w:t>
      </w:r>
    </w:p>
    <w:p w:rsidR="00224567" w:rsidRDefault="00224567">
      <w:pPr>
        <w:widowControl w:val="0"/>
        <w:tabs>
          <w:tab w:val="left" w:pos="2835"/>
        </w:tabs>
        <w:ind w:firstLine="708"/>
        <w:rPr>
          <w:bCs/>
        </w:rPr>
      </w:pPr>
      <w:r>
        <w:rPr>
          <w:bCs/>
        </w:rPr>
        <w:tab/>
        <w:t>Agregó la defensa que el propio Ca</w:t>
      </w:r>
      <w:r>
        <w:rPr>
          <w:bCs/>
        </w:rPr>
        <w:t>r</w:t>
      </w:r>
      <w:r>
        <w:rPr>
          <w:bCs/>
        </w:rPr>
        <w:t>los Telleldín recon</w:t>
      </w:r>
      <w:r>
        <w:rPr>
          <w:bCs/>
        </w:rPr>
        <w:t>o</w:t>
      </w:r>
      <w:r>
        <w:rPr>
          <w:bCs/>
        </w:rPr>
        <w:t>ció que José Luis Lo Preiato y su padre se interesaron en el negocio ilícito con automotores y que por ello compraron algunos para “reparar” y pusieron un taller co</w:t>
      </w:r>
      <w:r>
        <w:rPr>
          <w:bCs/>
        </w:rPr>
        <w:t>m</w:t>
      </w:r>
      <w:r>
        <w:rPr>
          <w:bCs/>
        </w:rPr>
        <w:t>pleto a ese fin.</w:t>
      </w:r>
    </w:p>
    <w:p w:rsidR="00224567" w:rsidRDefault="00224567">
      <w:pPr>
        <w:widowControl w:val="0"/>
        <w:tabs>
          <w:tab w:val="left" w:pos="2835"/>
        </w:tabs>
        <w:ind w:firstLine="708"/>
        <w:rPr>
          <w:bCs/>
        </w:rPr>
      </w:pPr>
      <w:r>
        <w:rPr>
          <w:bCs/>
        </w:rPr>
        <w:tab/>
        <w:t>Inclusive, recalcó el defensor, Ana Boragni dijo que los autos “doblados” antes de ser come</w:t>
      </w:r>
      <w:r>
        <w:rPr>
          <w:bCs/>
        </w:rPr>
        <w:t>r</w:t>
      </w:r>
      <w:r>
        <w:rPr>
          <w:bCs/>
        </w:rPr>
        <w:lastRenderedPageBreak/>
        <w:t>cializados, se dejaban en la puerta de la casa del socio de su marido.</w:t>
      </w:r>
    </w:p>
    <w:p w:rsidR="00224567" w:rsidRDefault="00224567">
      <w:pPr>
        <w:widowControl w:val="0"/>
        <w:tabs>
          <w:tab w:val="left" w:pos="2835"/>
        </w:tabs>
        <w:ind w:firstLine="708"/>
        <w:rPr>
          <w:bCs/>
        </w:rPr>
      </w:pPr>
      <w:r>
        <w:rPr>
          <w:bCs/>
        </w:rPr>
        <w:tab/>
        <w:t>Agregó el letrado que también se e</w:t>
      </w:r>
      <w:r>
        <w:rPr>
          <w:bCs/>
        </w:rPr>
        <w:t>n</w:t>
      </w:r>
      <w:r>
        <w:rPr>
          <w:bCs/>
        </w:rPr>
        <w:t>contraba acreditado que Carlos Telleldín publicaba av</w:t>
      </w:r>
      <w:r>
        <w:rPr>
          <w:bCs/>
        </w:rPr>
        <w:t>i</w:t>
      </w:r>
      <w:r>
        <w:rPr>
          <w:bCs/>
        </w:rPr>
        <w:t>sos en el diario “Clarín”, para la venta de aut</w:t>
      </w:r>
      <w:r>
        <w:rPr>
          <w:bCs/>
        </w:rPr>
        <w:t>o</w:t>
      </w:r>
      <w:r>
        <w:rPr>
          <w:bCs/>
        </w:rPr>
        <w:t>móviles en la casa de los Lo Preiato de la calle Nogoyá y que, en alg</w:t>
      </w:r>
      <w:r>
        <w:rPr>
          <w:bCs/>
        </w:rPr>
        <w:t>u</w:t>
      </w:r>
      <w:r>
        <w:rPr>
          <w:bCs/>
        </w:rPr>
        <w:t>nos casos, Telleldín en persona se hacía cargo de exhibi</w:t>
      </w:r>
      <w:r>
        <w:rPr>
          <w:bCs/>
        </w:rPr>
        <w:t>r</w:t>
      </w:r>
      <w:r>
        <w:rPr>
          <w:bCs/>
        </w:rPr>
        <w:t>los en ese lugar y atender a los incautos compr</w:t>
      </w:r>
      <w:r>
        <w:rPr>
          <w:bCs/>
        </w:rPr>
        <w:t>a</w:t>
      </w:r>
      <w:r>
        <w:rPr>
          <w:bCs/>
        </w:rPr>
        <w:t>dores.</w:t>
      </w:r>
    </w:p>
    <w:p w:rsidR="00224567" w:rsidRDefault="00224567">
      <w:pPr>
        <w:widowControl w:val="0"/>
        <w:tabs>
          <w:tab w:val="left" w:pos="2835"/>
        </w:tabs>
        <w:ind w:firstLine="708"/>
        <w:rPr>
          <w:bCs/>
        </w:rPr>
      </w:pPr>
      <w:r>
        <w:rPr>
          <w:bCs/>
        </w:rPr>
        <w:tab/>
        <w:t>Subrayó la defensa que los fiscales tampoco investigaron la participación que en estas activ</w:t>
      </w:r>
      <w:r>
        <w:rPr>
          <w:bCs/>
        </w:rPr>
        <w:t>i</w:t>
      </w:r>
      <w:r>
        <w:rPr>
          <w:bCs/>
        </w:rPr>
        <w:t>dades ilícitas con automotores le cupo a Sandra Marisa P</w:t>
      </w:r>
      <w:r>
        <w:rPr>
          <w:bCs/>
        </w:rPr>
        <w:t>e</w:t>
      </w:r>
      <w:r>
        <w:rPr>
          <w:bCs/>
        </w:rPr>
        <w:t>trucci.</w:t>
      </w:r>
    </w:p>
    <w:p w:rsidR="00224567" w:rsidRDefault="00224567">
      <w:pPr>
        <w:widowControl w:val="0"/>
        <w:tabs>
          <w:tab w:val="left" w:pos="2835"/>
        </w:tabs>
        <w:ind w:firstLine="708"/>
        <w:rPr>
          <w:bCs/>
        </w:rPr>
      </w:pPr>
      <w:r>
        <w:rPr>
          <w:bCs/>
        </w:rPr>
        <w:tab/>
        <w:t>Detalló el defensor que ya en su pr</w:t>
      </w:r>
      <w:r>
        <w:rPr>
          <w:bCs/>
        </w:rPr>
        <w:t>i</w:t>
      </w:r>
      <w:r>
        <w:rPr>
          <w:bCs/>
        </w:rPr>
        <w:t>mera declaración de septiembre de 1994, Petrucci demo</w:t>
      </w:r>
      <w:r>
        <w:rPr>
          <w:bCs/>
        </w:rPr>
        <w:t>s</w:t>
      </w:r>
      <w:r>
        <w:rPr>
          <w:bCs/>
        </w:rPr>
        <w:t>tró que estaba dispuesta a mentir en forma descarada para l</w:t>
      </w:r>
      <w:r>
        <w:rPr>
          <w:bCs/>
        </w:rPr>
        <w:t>o</w:t>
      </w:r>
      <w:r>
        <w:rPr>
          <w:bCs/>
        </w:rPr>
        <w:t>grar desvincularse de las actividades ilícitas que real</w:t>
      </w:r>
      <w:r>
        <w:rPr>
          <w:bCs/>
        </w:rPr>
        <w:t>i</w:t>
      </w:r>
      <w:r>
        <w:rPr>
          <w:bCs/>
        </w:rPr>
        <w:t>zaba junto a su pareja, existiendo mucha evidencia en el expediente que demostraba que Petrucci encubría a su par</w:t>
      </w:r>
      <w:r>
        <w:rPr>
          <w:bCs/>
        </w:rPr>
        <w:t>e</w:t>
      </w:r>
      <w:r>
        <w:rPr>
          <w:bCs/>
        </w:rPr>
        <w:t>ja en todas las maniobras de defraud</w:t>
      </w:r>
      <w:r>
        <w:rPr>
          <w:bCs/>
        </w:rPr>
        <w:t>a</w:t>
      </w:r>
      <w:r>
        <w:rPr>
          <w:bCs/>
        </w:rPr>
        <w:t xml:space="preserve">ción, resaltando que no fueron valoradas ya que convenía a los mentores de la </w:t>
      </w:r>
      <w:r>
        <w:rPr>
          <w:bCs/>
        </w:rPr>
        <w:lastRenderedPageBreak/>
        <w:t>versión oficial seguir exhibiéndola como una cándida d</w:t>
      </w:r>
      <w:r>
        <w:rPr>
          <w:bCs/>
        </w:rPr>
        <w:t>o</w:t>
      </w:r>
      <w:r>
        <w:rPr>
          <w:bCs/>
        </w:rPr>
        <w:t>cente dedicada a la ens</w:t>
      </w:r>
      <w:r>
        <w:rPr>
          <w:bCs/>
        </w:rPr>
        <w:t>e</w:t>
      </w:r>
      <w:r>
        <w:rPr>
          <w:bCs/>
        </w:rPr>
        <w:t>ñanza de artes plásticas.</w:t>
      </w:r>
    </w:p>
    <w:p w:rsidR="00224567" w:rsidRDefault="00224567">
      <w:pPr>
        <w:widowControl w:val="0"/>
        <w:tabs>
          <w:tab w:val="left" w:pos="2835"/>
        </w:tabs>
        <w:ind w:firstLine="708"/>
        <w:rPr>
          <w:bCs/>
        </w:rPr>
      </w:pPr>
      <w:r>
        <w:rPr>
          <w:bCs/>
        </w:rPr>
        <w:tab/>
        <w:t>Así, recordó que el juez instru</w:t>
      </w:r>
      <w:r>
        <w:rPr>
          <w:bCs/>
        </w:rPr>
        <w:t>c</w:t>
      </w:r>
      <w:r>
        <w:rPr>
          <w:bCs/>
        </w:rPr>
        <w:t>tor al momento de recibirle declaración testimonial en junio de 1996 sabía que Petrucci no sólo conc</w:t>
      </w:r>
      <w:r>
        <w:rPr>
          <w:bCs/>
        </w:rPr>
        <w:t>u</w:t>
      </w:r>
      <w:r>
        <w:rPr>
          <w:bCs/>
        </w:rPr>
        <w:t>rría con asiduidad al taller de Pelliza, sino que además figur</w:t>
      </w:r>
      <w:r>
        <w:rPr>
          <w:bCs/>
        </w:rPr>
        <w:t>a</w:t>
      </w:r>
      <w:r>
        <w:rPr>
          <w:bCs/>
        </w:rPr>
        <w:t>ba en el contrato como dueña de algunas máquinas allí instaladas.</w:t>
      </w:r>
    </w:p>
    <w:p w:rsidR="00224567" w:rsidRDefault="00224567">
      <w:pPr>
        <w:widowControl w:val="0"/>
        <w:tabs>
          <w:tab w:val="left" w:pos="2835"/>
        </w:tabs>
        <w:ind w:firstLine="708"/>
        <w:rPr>
          <w:bCs/>
        </w:rPr>
      </w:pPr>
      <w:r>
        <w:rPr>
          <w:bCs/>
        </w:rPr>
        <w:tab/>
        <w:t>Remarcó también que el 12 de octubre de 1995, la testigo “K”, Miriam Raquel Salinas, había d</w:t>
      </w:r>
      <w:r>
        <w:rPr>
          <w:bCs/>
        </w:rPr>
        <w:t>i</w:t>
      </w:r>
      <w:r>
        <w:rPr>
          <w:bCs/>
        </w:rPr>
        <w:t>cho al juez y a los fiscales, dónde y cómo había c</w:t>
      </w:r>
      <w:r>
        <w:rPr>
          <w:bCs/>
        </w:rPr>
        <w:t>o</w:t>
      </w:r>
      <w:r>
        <w:rPr>
          <w:bCs/>
        </w:rPr>
        <w:t>nocido Telleldín a Sandra Petrucci, y que aquélla tenía pleno c</w:t>
      </w:r>
      <w:r>
        <w:rPr>
          <w:bCs/>
        </w:rPr>
        <w:t>o</w:t>
      </w:r>
      <w:r>
        <w:rPr>
          <w:bCs/>
        </w:rPr>
        <w:t>nocimiento de la actividad ilícita que desarrollaba Ca</w:t>
      </w:r>
      <w:r>
        <w:rPr>
          <w:bCs/>
        </w:rPr>
        <w:t>r</w:t>
      </w:r>
      <w:r>
        <w:rPr>
          <w:bCs/>
        </w:rPr>
        <w:t>los, con quien, incluso, colaboraba ocultando la docume</w:t>
      </w:r>
      <w:r>
        <w:rPr>
          <w:bCs/>
        </w:rPr>
        <w:t>n</w:t>
      </w:r>
      <w:r>
        <w:rPr>
          <w:bCs/>
        </w:rPr>
        <w:t>tación de los autos “d</w:t>
      </w:r>
      <w:r>
        <w:rPr>
          <w:bCs/>
        </w:rPr>
        <w:t>o</w:t>
      </w:r>
      <w:r>
        <w:rPr>
          <w:bCs/>
        </w:rPr>
        <w:t>blados” en casa de su madre.</w:t>
      </w:r>
    </w:p>
    <w:p w:rsidR="00224567" w:rsidRDefault="00224567">
      <w:pPr>
        <w:widowControl w:val="0"/>
        <w:tabs>
          <w:tab w:val="left" w:pos="2835"/>
        </w:tabs>
        <w:ind w:firstLine="708"/>
        <w:rPr>
          <w:bCs/>
        </w:rPr>
      </w:pPr>
      <w:r>
        <w:rPr>
          <w:bCs/>
        </w:rPr>
        <w:tab/>
        <w:t>Respecto a las actividades real</w:t>
      </w:r>
      <w:r>
        <w:rPr>
          <w:bCs/>
        </w:rPr>
        <w:t>i</w:t>
      </w:r>
      <w:r>
        <w:rPr>
          <w:bCs/>
        </w:rPr>
        <w:t>zadas por Petrucci en el lavadero, sostuvo el defensor que se acreditó su presencia en el local mediante los dichos de Jacinto Cayetano Cruz, Alberto Chueco, Pablo Ibáñez, Cot</w:t>
      </w:r>
      <w:r>
        <w:rPr>
          <w:bCs/>
        </w:rPr>
        <w:t>o</w:t>
      </w:r>
      <w:r>
        <w:rPr>
          <w:bCs/>
        </w:rPr>
        <w:t>ras, Ana Boragni y Eduardo Telleldín.</w:t>
      </w:r>
    </w:p>
    <w:p w:rsidR="00224567" w:rsidRDefault="00224567">
      <w:pPr>
        <w:widowControl w:val="0"/>
        <w:tabs>
          <w:tab w:val="left" w:pos="2835"/>
        </w:tabs>
        <w:ind w:firstLine="708"/>
        <w:rPr>
          <w:bCs/>
        </w:rPr>
      </w:pPr>
      <w:r>
        <w:rPr>
          <w:bCs/>
        </w:rPr>
        <w:tab/>
        <w:t>También recordó la defensa que el te</w:t>
      </w:r>
      <w:r>
        <w:rPr>
          <w:bCs/>
        </w:rPr>
        <w:t>s</w:t>
      </w:r>
      <w:r>
        <w:rPr>
          <w:bCs/>
        </w:rPr>
        <w:t>tigo Pistone dijo que conoció el lugar cuando ya el dobl</w:t>
      </w:r>
      <w:r>
        <w:rPr>
          <w:bCs/>
        </w:rPr>
        <w:t>a</w:t>
      </w:r>
      <w:r>
        <w:rPr>
          <w:bCs/>
        </w:rPr>
        <w:lastRenderedPageBreak/>
        <w:t>je de vehículos había cesado, aunque sospechó de la act</w:t>
      </w:r>
      <w:r>
        <w:rPr>
          <w:bCs/>
        </w:rPr>
        <w:t>i</w:t>
      </w:r>
      <w:r>
        <w:rPr>
          <w:bCs/>
        </w:rPr>
        <w:t>vidad llevada a cabo allí por los dueños anteriores, agr</w:t>
      </w:r>
      <w:r>
        <w:rPr>
          <w:bCs/>
        </w:rPr>
        <w:t>e</w:t>
      </w:r>
      <w:r>
        <w:rPr>
          <w:bCs/>
        </w:rPr>
        <w:t>gando que los restos y piezas de vehículos siniestrados que Telleldín y sus socios dejaron era tan grande, que le resultó comprometedor tenerlas en el lugar, razón por la cual debió realizar un trámite ante la policía para desh</w:t>
      </w:r>
      <w:r>
        <w:rPr>
          <w:bCs/>
        </w:rPr>
        <w:t>a</w:t>
      </w:r>
      <w:r>
        <w:rPr>
          <w:bCs/>
        </w:rPr>
        <w:t>cerse de ellos.</w:t>
      </w:r>
    </w:p>
    <w:p w:rsidR="00224567" w:rsidRDefault="00224567">
      <w:pPr>
        <w:widowControl w:val="0"/>
        <w:tabs>
          <w:tab w:val="left" w:pos="2835"/>
        </w:tabs>
        <w:ind w:firstLine="708"/>
        <w:rPr>
          <w:bCs/>
        </w:rPr>
      </w:pPr>
      <w:r>
        <w:rPr>
          <w:bCs/>
        </w:rPr>
        <w:tab/>
        <w:t>Tampoco pueden olvidarse, según rema</w:t>
      </w:r>
      <w:r>
        <w:rPr>
          <w:bCs/>
        </w:rPr>
        <w:t>r</w:t>
      </w:r>
      <w:r>
        <w:rPr>
          <w:bCs/>
        </w:rPr>
        <w:t>có el defensor, los dichos de Petrucci vinculados con las actividades que se realizaban en la quinta de Tort</w:t>
      </w:r>
      <w:r>
        <w:rPr>
          <w:bCs/>
        </w:rPr>
        <w:t>u</w:t>
      </w:r>
      <w:r>
        <w:rPr>
          <w:bCs/>
        </w:rPr>
        <w:t>guitas, pretendiendo hacer creer a la investigación, que allí, junto a su pareja, se dedicaba a tomar sol y a act</w:t>
      </w:r>
      <w:r>
        <w:rPr>
          <w:bCs/>
        </w:rPr>
        <w:t>i</w:t>
      </w:r>
      <w:r>
        <w:rPr>
          <w:bCs/>
        </w:rPr>
        <w:t>vidades literarias.</w:t>
      </w:r>
    </w:p>
    <w:p w:rsidR="00224567" w:rsidRDefault="00224567">
      <w:pPr>
        <w:widowControl w:val="0"/>
        <w:tabs>
          <w:tab w:val="left" w:pos="2835"/>
        </w:tabs>
        <w:ind w:firstLine="708"/>
        <w:rPr>
          <w:bCs/>
        </w:rPr>
      </w:pPr>
      <w:r>
        <w:rPr>
          <w:bCs/>
        </w:rPr>
        <w:tab/>
        <w:t>Recordó también que Salinas, otros testigos y el propio Telleldín explicaron que en ree</w:t>
      </w:r>
      <w:r>
        <w:rPr>
          <w:bCs/>
        </w:rPr>
        <w:t>m</w:t>
      </w:r>
      <w:r>
        <w:rPr>
          <w:bCs/>
        </w:rPr>
        <w:t>plazo del lavadero de Olivos, la quinta fue utilizada para co</w:t>
      </w:r>
      <w:r>
        <w:rPr>
          <w:bCs/>
        </w:rPr>
        <w:t>n</w:t>
      </w:r>
      <w:r>
        <w:rPr>
          <w:bCs/>
        </w:rPr>
        <w:t>tinuar con el negocio ilegal; y que fue Petrucci quien r</w:t>
      </w:r>
      <w:r>
        <w:rPr>
          <w:bCs/>
        </w:rPr>
        <w:t>e</w:t>
      </w:r>
      <w:r>
        <w:rPr>
          <w:bCs/>
        </w:rPr>
        <w:t>conoció haber presenciado en esa quinta el armado de una camioneta Trafic, aunque se cuidó de decir que Telleldín la estaba arreglando.</w:t>
      </w:r>
    </w:p>
    <w:p w:rsidR="00224567" w:rsidRDefault="00224567">
      <w:pPr>
        <w:widowControl w:val="0"/>
        <w:tabs>
          <w:tab w:val="left" w:pos="2835"/>
        </w:tabs>
        <w:ind w:firstLine="708"/>
        <w:rPr>
          <w:bCs/>
        </w:rPr>
      </w:pPr>
      <w:r>
        <w:rPr>
          <w:bCs/>
        </w:rPr>
        <w:lastRenderedPageBreak/>
        <w:tab/>
        <w:t>Recordó la defensa que Laura T</w:t>
      </w:r>
      <w:r>
        <w:rPr>
          <w:bCs/>
        </w:rPr>
        <w:t>o</w:t>
      </w:r>
      <w:r>
        <w:rPr>
          <w:bCs/>
        </w:rPr>
        <w:t>rrisi, en la denu</w:t>
      </w:r>
      <w:r>
        <w:rPr>
          <w:bCs/>
        </w:rPr>
        <w:t>n</w:t>
      </w:r>
      <w:r>
        <w:rPr>
          <w:bCs/>
        </w:rPr>
        <w:t>cia que le efectuara a Telleldín, explicó que, luego de cerrarse el lavadero de Olivos, obligó a Hugo P</w:t>
      </w:r>
      <w:r>
        <w:rPr>
          <w:bCs/>
        </w:rPr>
        <w:t>é</w:t>
      </w:r>
      <w:r>
        <w:rPr>
          <w:bCs/>
        </w:rPr>
        <w:t>rez a llevarla a la quinta de Tortuguitas para tratar de dar con Carlos Telleldín, y que pudo ver que allí se rep</w:t>
      </w:r>
      <w:r>
        <w:rPr>
          <w:bCs/>
        </w:rPr>
        <w:t>a</w:t>
      </w:r>
      <w:r>
        <w:rPr>
          <w:bCs/>
        </w:rPr>
        <w:t>raba esta camioneta Trafic blanca, además de un R</w:t>
      </w:r>
      <w:r>
        <w:rPr>
          <w:bCs/>
        </w:rPr>
        <w:t>e</w:t>
      </w:r>
      <w:r>
        <w:rPr>
          <w:bCs/>
        </w:rPr>
        <w:t>nault 9 gris.</w:t>
      </w:r>
    </w:p>
    <w:p w:rsidR="00224567" w:rsidRDefault="00224567">
      <w:pPr>
        <w:widowControl w:val="0"/>
        <w:tabs>
          <w:tab w:val="left" w:pos="2835"/>
        </w:tabs>
        <w:ind w:firstLine="708"/>
        <w:rPr>
          <w:bCs/>
        </w:rPr>
      </w:pPr>
      <w:r>
        <w:rPr>
          <w:bCs/>
        </w:rPr>
        <w:tab/>
        <w:t>En sentido similar, señaló, se expr</w:t>
      </w:r>
      <w:r>
        <w:rPr>
          <w:bCs/>
        </w:rPr>
        <w:t>e</w:t>
      </w:r>
      <w:r>
        <w:rPr>
          <w:bCs/>
        </w:rPr>
        <w:t>só la testigo Ana Boragni aunque precisó que allí Carlos e</w:t>
      </w:r>
      <w:r>
        <w:rPr>
          <w:bCs/>
        </w:rPr>
        <w:t>s</w:t>
      </w:r>
      <w:r>
        <w:rPr>
          <w:bCs/>
        </w:rPr>
        <w:t>condía autos “crudos”, en obvia alusión a vehíc</w:t>
      </w:r>
      <w:r>
        <w:rPr>
          <w:bCs/>
        </w:rPr>
        <w:t>u</w:t>
      </w:r>
      <w:r>
        <w:rPr>
          <w:bCs/>
        </w:rPr>
        <w:t>los recién robados.</w:t>
      </w:r>
    </w:p>
    <w:p w:rsidR="00224567" w:rsidRDefault="00224567">
      <w:pPr>
        <w:widowControl w:val="0"/>
        <w:tabs>
          <w:tab w:val="left" w:pos="2835"/>
        </w:tabs>
        <w:ind w:firstLine="708"/>
        <w:rPr>
          <w:bCs/>
        </w:rPr>
      </w:pPr>
      <w:r>
        <w:rPr>
          <w:bCs/>
        </w:rPr>
        <w:tab/>
        <w:t>Alegó el defensor que si lo expuesto no fuera suf</w:t>
      </w:r>
      <w:r>
        <w:rPr>
          <w:bCs/>
        </w:rPr>
        <w:t>i</w:t>
      </w:r>
      <w:r>
        <w:rPr>
          <w:bCs/>
        </w:rPr>
        <w:t>ciente para despejar cualquier duda en torno a la participación de Petrucci en la actividad ilegal de su compañero y socio Carlos Telleldín, de las consta</w:t>
      </w:r>
      <w:r>
        <w:rPr>
          <w:bCs/>
        </w:rPr>
        <w:t>n</w:t>
      </w:r>
      <w:r>
        <w:rPr>
          <w:bCs/>
        </w:rPr>
        <w:t xml:space="preserve">cias de fs. 18.141 surge que la nombrada cobró un seguro por el robo de un automóvil marca Peugeot </w:t>
      </w:r>
      <w:smartTag w:uri="urn:schemas-microsoft-com:office:smarttags" w:element="metricconverter">
        <w:smartTagPr>
          <w:attr w:name="ProductID" w:val="505 C"/>
        </w:smartTagPr>
        <w:r>
          <w:rPr>
            <w:bCs/>
          </w:rPr>
          <w:t>505 C</w:t>
        </w:r>
      </w:smartTag>
      <w:r>
        <w:rPr>
          <w:bCs/>
        </w:rPr>
        <w:t xml:space="preserve"> 1.414.426, sufr</w:t>
      </w:r>
      <w:r>
        <w:rPr>
          <w:bCs/>
        </w:rPr>
        <w:t>i</w:t>
      </w:r>
      <w:r>
        <w:rPr>
          <w:bCs/>
        </w:rPr>
        <w:t>do supuestamente el 7 de febrero de 1993, nada menos que por Eduardo Telleldín.</w:t>
      </w:r>
    </w:p>
    <w:p w:rsidR="00224567" w:rsidRDefault="00224567">
      <w:pPr>
        <w:widowControl w:val="0"/>
        <w:tabs>
          <w:tab w:val="left" w:pos="2835"/>
        </w:tabs>
        <w:ind w:firstLine="708"/>
        <w:rPr>
          <w:bCs/>
        </w:rPr>
      </w:pPr>
      <w:r>
        <w:rPr>
          <w:bCs/>
        </w:rPr>
        <w:tab/>
        <w:t>Aseguró el letrado que de la docume</w:t>
      </w:r>
      <w:r>
        <w:rPr>
          <w:bCs/>
        </w:rPr>
        <w:t>n</w:t>
      </w:r>
      <w:r>
        <w:rPr>
          <w:bCs/>
        </w:rPr>
        <w:t xml:space="preserve">tación de ese vehículo, agregada a fs. 18.143/63, surge </w:t>
      </w:r>
      <w:r>
        <w:rPr>
          <w:bCs/>
        </w:rPr>
        <w:lastRenderedPageBreak/>
        <w:t>que había sufrido destrucción total el 11 de julio de 1992. Al ser allanado el domicilio de República 107, se secuestró documentación que acreditaba que ese r</w:t>
      </w:r>
      <w:r>
        <w:rPr>
          <w:bCs/>
        </w:rPr>
        <w:t>o</w:t>
      </w:r>
      <w:r>
        <w:rPr>
          <w:bCs/>
        </w:rPr>
        <w:t>dado fue comprado siniestrado el 5 de septiembre de 1992 por Carlos Telleldín y “doblado” con posterior</w:t>
      </w:r>
      <w:r>
        <w:rPr>
          <w:bCs/>
        </w:rPr>
        <w:t>i</w:t>
      </w:r>
      <w:r>
        <w:rPr>
          <w:bCs/>
        </w:rPr>
        <w:t>dad.</w:t>
      </w:r>
    </w:p>
    <w:p w:rsidR="00224567" w:rsidRDefault="00224567">
      <w:pPr>
        <w:widowControl w:val="0"/>
        <w:tabs>
          <w:tab w:val="left" w:pos="2835"/>
        </w:tabs>
        <w:ind w:firstLine="708"/>
        <w:rPr>
          <w:bCs/>
        </w:rPr>
      </w:pPr>
      <w:r>
        <w:rPr>
          <w:bCs/>
        </w:rPr>
        <w:tab/>
        <w:t>Por ello, agregó el defensor, no hay dudas de que Sandra Petrucci es otra de las personas que intentó tomar distancia de Telleldín, una vez que el no</w:t>
      </w:r>
      <w:r>
        <w:rPr>
          <w:bCs/>
        </w:rPr>
        <w:t>m</w:t>
      </w:r>
      <w:r>
        <w:rPr>
          <w:bCs/>
        </w:rPr>
        <w:t>brado resultó imputado por el atentado; sin e</w:t>
      </w:r>
      <w:r>
        <w:rPr>
          <w:bCs/>
        </w:rPr>
        <w:t>m</w:t>
      </w:r>
      <w:r>
        <w:rPr>
          <w:bCs/>
        </w:rPr>
        <w:t>bargo, a su criterio, existen constancias en la causa que demostraban que Telleldín siguió recurriendo a la nombrada cuando su</w:t>
      </w:r>
      <w:r>
        <w:rPr>
          <w:bCs/>
        </w:rPr>
        <w:t>r</w:t>
      </w:r>
      <w:r>
        <w:rPr>
          <w:bCs/>
        </w:rPr>
        <w:t>gían inconvenientes propios de sus actividades delict</w:t>
      </w:r>
      <w:r>
        <w:rPr>
          <w:bCs/>
        </w:rPr>
        <w:t>i</w:t>
      </w:r>
      <w:r>
        <w:rPr>
          <w:bCs/>
        </w:rPr>
        <w:t>vas. En apoyo de esa afirmación citó las veinte comunic</w:t>
      </w:r>
      <w:r>
        <w:rPr>
          <w:bCs/>
        </w:rPr>
        <w:t>a</w:t>
      </w:r>
      <w:r>
        <w:rPr>
          <w:bCs/>
        </w:rPr>
        <w:t>ciones efectuadas desde el teléfono 712-1515 del domicilio de Eduardo Telleldín al número 611-9712 de Petrucci, el día 26 de julio de 1994, cuando Carlos huía de la persec</w:t>
      </w:r>
      <w:r>
        <w:rPr>
          <w:bCs/>
        </w:rPr>
        <w:t>u</w:t>
      </w:r>
      <w:r>
        <w:rPr>
          <w:bCs/>
        </w:rPr>
        <w:t>ción iniciada en su contra.</w:t>
      </w:r>
    </w:p>
    <w:p w:rsidR="00224567" w:rsidRDefault="00224567">
      <w:pPr>
        <w:widowControl w:val="0"/>
        <w:tabs>
          <w:tab w:val="left" w:pos="2835"/>
        </w:tabs>
        <w:ind w:firstLine="708"/>
        <w:rPr>
          <w:bCs/>
        </w:rPr>
      </w:pPr>
      <w:r>
        <w:rPr>
          <w:bCs/>
        </w:rPr>
        <w:tab/>
        <w:t>Sostuvo el defensor que otro de los testigos, Oscar Alfredo Setaro, alias “Cacho el flet</w:t>
      </w:r>
      <w:r>
        <w:rPr>
          <w:bCs/>
        </w:rPr>
        <w:t>e</w:t>
      </w:r>
      <w:r>
        <w:rPr>
          <w:bCs/>
        </w:rPr>
        <w:t>ro”, también integr</w:t>
      </w:r>
      <w:r>
        <w:rPr>
          <w:bCs/>
        </w:rPr>
        <w:t>a</w:t>
      </w:r>
      <w:r>
        <w:rPr>
          <w:bCs/>
        </w:rPr>
        <w:t xml:space="preserve">ba el círculo íntimo que colaboraba con las </w:t>
      </w:r>
      <w:r>
        <w:rPr>
          <w:bCs/>
        </w:rPr>
        <w:lastRenderedPageBreak/>
        <w:t>actividades de Telleldín; era vecino de Eduardo en la l</w:t>
      </w:r>
      <w:r>
        <w:rPr>
          <w:bCs/>
        </w:rPr>
        <w:t>o</w:t>
      </w:r>
      <w:r>
        <w:rPr>
          <w:bCs/>
        </w:rPr>
        <w:t>calidad de Sáenz Peña y se ocupaba de transportarle a Ca</w:t>
      </w:r>
      <w:r>
        <w:rPr>
          <w:bCs/>
        </w:rPr>
        <w:t>r</w:t>
      </w:r>
      <w:r>
        <w:rPr>
          <w:bCs/>
        </w:rPr>
        <w:t>los mercadería de pr</w:t>
      </w:r>
      <w:r>
        <w:rPr>
          <w:bCs/>
        </w:rPr>
        <w:t>o</w:t>
      </w:r>
      <w:r>
        <w:rPr>
          <w:bCs/>
        </w:rPr>
        <w:t>cedencia ilícita, y muebles afectados a los prostíbulos que este regente</w:t>
      </w:r>
      <w:r>
        <w:rPr>
          <w:bCs/>
        </w:rPr>
        <w:t>a</w:t>
      </w:r>
      <w:r>
        <w:rPr>
          <w:bCs/>
        </w:rPr>
        <w:t>ba.</w:t>
      </w:r>
    </w:p>
    <w:p w:rsidR="00224567" w:rsidRDefault="00224567">
      <w:pPr>
        <w:widowControl w:val="0"/>
        <w:tabs>
          <w:tab w:val="left" w:pos="2835"/>
        </w:tabs>
        <w:ind w:firstLine="708"/>
        <w:rPr>
          <w:bCs/>
        </w:rPr>
      </w:pPr>
      <w:r>
        <w:rPr>
          <w:bCs/>
        </w:rPr>
        <w:tab/>
        <w:t>Remarcó también que, como tantos otros testigos, desde un primer momento, en su declar</w:t>
      </w:r>
      <w:r>
        <w:rPr>
          <w:bCs/>
        </w:rPr>
        <w:t>a</w:t>
      </w:r>
      <w:r>
        <w:rPr>
          <w:bCs/>
        </w:rPr>
        <w:t>ción -incorporada por lectura al debate-, intentó de</w:t>
      </w:r>
      <w:r>
        <w:rPr>
          <w:bCs/>
        </w:rPr>
        <w:t>s</w:t>
      </w:r>
      <w:r>
        <w:rPr>
          <w:bCs/>
        </w:rPr>
        <w:t>pegarse del entorno de T</w:t>
      </w:r>
      <w:r>
        <w:rPr>
          <w:bCs/>
        </w:rPr>
        <w:t>e</w:t>
      </w:r>
      <w:r>
        <w:rPr>
          <w:bCs/>
        </w:rPr>
        <w:t>lleldín, afirmando que nunca se entrometió en sus asuntos y que a B</w:t>
      </w:r>
      <w:r>
        <w:rPr>
          <w:bCs/>
        </w:rPr>
        <w:t>o</w:t>
      </w:r>
      <w:r>
        <w:rPr>
          <w:bCs/>
        </w:rPr>
        <w:t>ragni sólo la conoció como mujer de Carlos.</w:t>
      </w:r>
    </w:p>
    <w:p w:rsidR="00224567" w:rsidRDefault="00224567">
      <w:pPr>
        <w:widowControl w:val="0"/>
        <w:tabs>
          <w:tab w:val="left" w:pos="2835"/>
        </w:tabs>
        <w:ind w:firstLine="708"/>
        <w:rPr>
          <w:bCs/>
        </w:rPr>
      </w:pPr>
      <w:r>
        <w:rPr>
          <w:bCs/>
        </w:rPr>
        <w:tab/>
        <w:t>Al respecto, consideró la defensa que, tal como surgía de las transcripciones de las primeras e</w:t>
      </w:r>
      <w:r>
        <w:rPr>
          <w:bCs/>
        </w:rPr>
        <w:t>s</w:t>
      </w:r>
      <w:r>
        <w:rPr>
          <w:bCs/>
        </w:rPr>
        <w:t>cuchas telefónicas del teléfono 768-0902, Set</w:t>
      </w:r>
      <w:r>
        <w:rPr>
          <w:bCs/>
        </w:rPr>
        <w:t>a</w:t>
      </w:r>
      <w:r>
        <w:rPr>
          <w:bCs/>
        </w:rPr>
        <w:t>ro mantenía un trato más que fluido con Ana Boragni p</w:t>
      </w:r>
      <w:r>
        <w:rPr>
          <w:bCs/>
        </w:rPr>
        <w:t>a</w:t>
      </w:r>
      <w:r>
        <w:rPr>
          <w:bCs/>
        </w:rPr>
        <w:t>ra la época del atentado y que, paradójic</w:t>
      </w:r>
      <w:r>
        <w:rPr>
          <w:bCs/>
        </w:rPr>
        <w:t>a</w:t>
      </w:r>
      <w:r>
        <w:rPr>
          <w:bCs/>
        </w:rPr>
        <w:t>mente, fue Telleldín quien en su indagatoria de abril de 2002, se encargó de desenmasc</w:t>
      </w:r>
      <w:r>
        <w:rPr>
          <w:bCs/>
        </w:rPr>
        <w:t>a</w:t>
      </w:r>
      <w:r>
        <w:rPr>
          <w:bCs/>
        </w:rPr>
        <w:t>rar a este personaje demostrando que estaba muy al tanto de sus actividades y de las de su esposa, incluso con aqu</w:t>
      </w:r>
      <w:r>
        <w:rPr>
          <w:bCs/>
        </w:rPr>
        <w:t>e</w:t>
      </w:r>
      <w:r>
        <w:rPr>
          <w:bCs/>
        </w:rPr>
        <w:t>llas que se vinculaban con la manipulación de piezas de autom</w:t>
      </w:r>
      <w:r>
        <w:rPr>
          <w:bCs/>
        </w:rPr>
        <w:t>ó</w:t>
      </w:r>
      <w:r>
        <w:rPr>
          <w:bCs/>
        </w:rPr>
        <w:t>viles previamente robadas por la banda.</w:t>
      </w:r>
    </w:p>
    <w:p w:rsidR="00224567" w:rsidRDefault="00224567">
      <w:pPr>
        <w:widowControl w:val="0"/>
        <w:tabs>
          <w:tab w:val="left" w:pos="2835"/>
        </w:tabs>
        <w:ind w:firstLine="708"/>
        <w:rPr>
          <w:bCs/>
        </w:rPr>
      </w:pPr>
      <w:r>
        <w:rPr>
          <w:bCs/>
        </w:rPr>
        <w:tab/>
        <w:t>Detalló el defensor que esto se ve c</w:t>
      </w:r>
      <w:r>
        <w:rPr>
          <w:bCs/>
        </w:rPr>
        <w:t>o</w:t>
      </w:r>
      <w:r>
        <w:rPr>
          <w:bCs/>
        </w:rPr>
        <w:lastRenderedPageBreak/>
        <w:t>rroborado por dos conversaciones mantenidas entre B</w:t>
      </w:r>
      <w:r>
        <w:rPr>
          <w:bCs/>
        </w:rPr>
        <w:t>o</w:t>
      </w:r>
      <w:r>
        <w:rPr>
          <w:bCs/>
        </w:rPr>
        <w:t>ragni y “Cacho el fletero” del 28 de junio de 1996, grabadas a partir de la intervención del teléfono 780-0520 correspo</w:t>
      </w:r>
      <w:r>
        <w:rPr>
          <w:bCs/>
        </w:rPr>
        <w:t>n</w:t>
      </w:r>
      <w:r>
        <w:rPr>
          <w:bCs/>
        </w:rPr>
        <w:t>diente al domicilio de Boragni en la calle Roosevelt, do</w:t>
      </w:r>
      <w:r>
        <w:rPr>
          <w:bCs/>
        </w:rPr>
        <w:t>n</w:t>
      </w:r>
      <w:r>
        <w:rPr>
          <w:bCs/>
        </w:rPr>
        <w:t>de del lenguaje que empleaban los interlocutores, surgía evidente que se referían a negocios marginales que iban más allá de simples mudanzas de muebles, claramente vinc</w:t>
      </w:r>
      <w:r>
        <w:rPr>
          <w:bCs/>
        </w:rPr>
        <w:t>u</w:t>
      </w:r>
      <w:r>
        <w:rPr>
          <w:bCs/>
        </w:rPr>
        <w:t>ladas con la manipulación de piezas de automóviles.</w:t>
      </w:r>
    </w:p>
    <w:p w:rsidR="00224567" w:rsidRDefault="00224567">
      <w:pPr>
        <w:widowControl w:val="0"/>
        <w:tabs>
          <w:tab w:val="left" w:pos="2835"/>
        </w:tabs>
        <w:ind w:firstLine="708"/>
        <w:rPr>
          <w:bCs/>
        </w:rPr>
      </w:pPr>
      <w:r>
        <w:rPr>
          <w:bCs/>
        </w:rPr>
        <w:tab/>
        <w:t>Remarcó el defensor que del diálogo surgía a las claras que Setaro, pese a haberlo negado e</w:t>
      </w:r>
      <w:r>
        <w:rPr>
          <w:bCs/>
        </w:rPr>
        <w:t>x</w:t>
      </w:r>
      <w:r>
        <w:rPr>
          <w:bCs/>
        </w:rPr>
        <w:t>presamente en su testimonial, conocía perfectamente a P</w:t>
      </w:r>
      <w:r>
        <w:rPr>
          <w:bCs/>
        </w:rPr>
        <w:t>a</w:t>
      </w:r>
      <w:r>
        <w:rPr>
          <w:bCs/>
        </w:rPr>
        <w:t>blo Ibáñez y M</w:t>
      </w:r>
      <w:r>
        <w:rPr>
          <w:bCs/>
        </w:rPr>
        <w:t>i</w:t>
      </w:r>
      <w:r>
        <w:rPr>
          <w:bCs/>
        </w:rPr>
        <w:t>riam Salinas.</w:t>
      </w:r>
    </w:p>
    <w:p w:rsidR="00224567" w:rsidRDefault="00224567">
      <w:pPr>
        <w:widowControl w:val="0"/>
        <w:tabs>
          <w:tab w:val="left" w:pos="2835"/>
        </w:tabs>
        <w:ind w:firstLine="708"/>
        <w:rPr>
          <w:bCs/>
        </w:rPr>
      </w:pPr>
      <w:r>
        <w:rPr>
          <w:bCs/>
        </w:rPr>
        <w:tab/>
        <w:t>Para finalizar, se refirió la d</w:t>
      </w:r>
      <w:r>
        <w:rPr>
          <w:bCs/>
        </w:rPr>
        <w:t>e</w:t>
      </w:r>
      <w:r>
        <w:rPr>
          <w:bCs/>
        </w:rPr>
        <w:t xml:space="preserve">fensa a Luis Salvador Botey, quien aparentemente era comisario mayor de </w:t>
      </w:r>
      <w:smartTag w:uri="urn:schemas-microsoft-com:office:smarttags" w:element="PersonName">
        <w:smartTagPr>
          <w:attr w:name="ProductID" w:val="la Polic￭a Bonaerense"/>
        </w:smartTagPr>
        <w:r>
          <w:rPr>
            <w:bCs/>
          </w:rPr>
          <w:t>la Policía Bonaerense</w:t>
        </w:r>
      </w:smartTag>
      <w:r>
        <w:rPr>
          <w:bCs/>
        </w:rPr>
        <w:t>, exonerado en 1971 por ca</w:t>
      </w:r>
      <w:r>
        <w:rPr>
          <w:bCs/>
        </w:rPr>
        <w:t>u</w:t>
      </w:r>
      <w:r>
        <w:rPr>
          <w:bCs/>
        </w:rPr>
        <w:t>sas que no quedaron documentadas en el expedie</w:t>
      </w:r>
      <w:r>
        <w:rPr>
          <w:bCs/>
        </w:rPr>
        <w:t>n</w:t>
      </w:r>
      <w:r>
        <w:rPr>
          <w:bCs/>
        </w:rPr>
        <w:t>te, a quien costó bastante tiempo ubicar para que declarara en la in</w:t>
      </w:r>
      <w:r>
        <w:rPr>
          <w:bCs/>
        </w:rPr>
        <w:t>s</w:t>
      </w:r>
      <w:r>
        <w:rPr>
          <w:bCs/>
        </w:rPr>
        <w:t>trucción, y que recién a fines de agosto de 1997 fue esc</w:t>
      </w:r>
      <w:r>
        <w:rPr>
          <w:bCs/>
        </w:rPr>
        <w:t>u</w:t>
      </w:r>
      <w:r>
        <w:rPr>
          <w:bCs/>
        </w:rPr>
        <w:t>ch</w:t>
      </w:r>
      <w:r>
        <w:rPr>
          <w:bCs/>
        </w:rPr>
        <w:t>a</w:t>
      </w:r>
      <w:r>
        <w:rPr>
          <w:bCs/>
        </w:rPr>
        <w:t>do.</w:t>
      </w:r>
    </w:p>
    <w:p w:rsidR="00224567" w:rsidRDefault="00224567">
      <w:pPr>
        <w:widowControl w:val="0"/>
        <w:tabs>
          <w:tab w:val="left" w:pos="2835"/>
        </w:tabs>
        <w:ind w:firstLine="708"/>
        <w:rPr>
          <w:bCs/>
        </w:rPr>
      </w:pPr>
      <w:r>
        <w:rPr>
          <w:bCs/>
        </w:rPr>
        <w:tab/>
        <w:t>Recordó que la fiscalía, al ref</w:t>
      </w:r>
      <w:r>
        <w:rPr>
          <w:bCs/>
        </w:rPr>
        <w:t>e</w:t>
      </w:r>
      <w:r>
        <w:rPr>
          <w:bCs/>
        </w:rPr>
        <w:t xml:space="preserve">rirse </w:t>
      </w:r>
      <w:r>
        <w:rPr>
          <w:bCs/>
        </w:rPr>
        <w:lastRenderedPageBreak/>
        <w:t>a él en su acusación, dijo que era un comisario amigo de la familia T</w:t>
      </w:r>
      <w:r>
        <w:rPr>
          <w:bCs/>
        </w:rPr>
        <w:t>e</w:t>
      </w:r>
      <w:r>
        <w:rPr>
          <w:bCs/>
        </w:rPr>
        <w:t>lleldín; una persona de su confianza, aunque el testigo al declarar, negando dicho conocimiento, sost</w:t>
      </w:r>
      <w:r>
        <w:rPr>
          <w:bCs/>
        </w:rPr>
        <w:t>u</w:t>
      </w:r>
      <w:r>
        <w:rPr>
          <w:bCs/>
        </w:rPr>
        <w:t>vo que fue contactado en su carácter de empleado de un e</w:t>
      </w:r>
      <w:r>
        <w:rPr>
          <w:bCs/>
        </w:rPr>
        <w:t>s</w:t>
      </w:r>
      <w:r>
        <w:rPr>
          <w:bCs/>
        </w:rPr>
        <w:t>tudio jurídico por Eduardo Telleldín y su hermanastro Ba</w:t>
      </w:r>
      <w:r>
        <w:rPr>
          <w:bCs/>
        </w:rPr>
        <w:t>n</w:t>
      </w:r>
      <w:r>
        <w:rPr>
          <w:bCs/>
        </w:rPr>
        <w:t>ga, sin poder dar más detalles.</w:t>
      </w:r>
    </w:p>
    <w:p w:rsidR="00224567" w:rsidRDefault="00224567">
      <w:pPr>
        <w:widowControl w:val="0"/>
        <w:tabs>
          <w:tab w:val="left" w:pos="2835"/>
        </w:tabs>
        <w:ind w:firstLine="708"/>
        <w:rPr>
          <w:bCs/>
        </w:rPr>
      </w:pPr>
      <w:r>
        <w:rPr>
          <w:bCs/>
        </w:rPr>
        <w:tab/>
        <w:t>Remarcó que Botey sólo fue preciso respecto a las precauciones que debió tomar para poder r</w:t>
      </w:r>
      <w:r>
        <w:rPr>
          <w:bCs/>
        </w:rPr>
        <w:t>e</w:t>
      </w:r>
      <w:r>
        <w:rPr>
          <w:bCs/>
        </w:rPr>
        <w:t>conocer a los familiares de Carlos T</w:t>
      </w:r>
      <w:r>
        <w:rPr>
          <w:bCs/>
        </w:rPr>
        <w:t>e</w:t>
      </w:r>
      <w:r>
        <w:rPr>
          <w:bCs/>
        </w:rPr>
        <w:t>lleldín el día en que concertó el encuentro en un bar de Munro ya que, insi</w:t>
      </w:r>
      <w:r>
        <w:rPr>
          <w:bCs/>
        </w:rPr>
        <w:t>s</w:t>
      </w:r>
      <w:r>
        <w:rPr>
          <w:bCs/>
        </w:rPr>
        <w:t>tiendo, no los conocía de antem</w:t>
      </w:r>
      <w:r>
        <w:rPr>
          <w:bCs/>
        </w:rPr>
        <w:t>a</w:t>
      </w:r>
      <w:r>
        <w:rPr>
          <w:bCs/>
        </w:rPr>
        <w:t>no.</w:t>
      </w:r>
    </w:p>
    <w:p w:rsidR="00224567" w:rsidRDefault="00224567">
      <w:pPr>
        <w:widowControl w:val="0"/>
        <w:tabs>
          <w:tab w:val="left" w:pos="2835"/>
        </w:tabs>
        <w:ind w:firstLine="708"/>
        <w:rPr>
          <w:bCs/>
        </w:rPr>
      </w:pPr>
      <w:r>
        <w:rPr>
          <w:bCs/>
        </w:rPr>
        <w:tab/>
        <w:t>Puso de manifiesto el defensor que el testigo manifestó que, en una oportunidad posterior, fue abordado en la localidad de Florida por Eduardo T</w:t>
      </w:r>
      <w:r>
        <w:rPr>
          <w:bCs/>
        </w:rPr>
        <w:t>e</w:t>
      </w:r>
      <w:r>
        <w:rPr>
          <w:bCs/>
        </w:rPr>
        <w:t>lleldín, quien le dijo que había perdido su teléfono, discu</w:t>
      </w:r>
      <w:r>
        <w:rPr>
          <w:bCs/>
        </w:rPr>
        <w:t>l</w:t>
      </w:r>
      <w:r>
        <w:rPr>
          <w:bCs/>
        </w:rPr>
        <w:t>pándose porque nunca había tenido una atención con él por su ge</w:t>
      </w:r>
      <w:r>
        <w:rPr>
          <w:bCs/>
        </w:rPr>
        <w:t>s</w:t>
      </w:r>
      <w:r>
        <w:rPr>
          <w:bCs/>
        </w:rPr>
        <w:t>tión a</w:t>
      </w:r>
      <w:r>
        <w:rPr>
          <w:bCs/>
        </w:rPr>
        <w:t>n</w:t>
      </w:r>
      <w:r>
        <w:rPr>
          <w:bCs/>
        </w:rPr>
        <w:t>te la brigada.</w:t>
      </w:r>
    </w:p>
    <w:p w:rsidR="00224567" w:rsidRDefault="00224567">
      <w:pPr>
        <w:widowControl w:val="0"/>
        <w:tabs>
          <w:tab w:val="left" w:pos="2835"/>
        </w:tabs>
        <w:ind w:firstLine="708"/>
        <w:rPr>
          <w:bCs/>
        </w:rPr>
      </w:pPr>
      <w:r>
        <w:rPr>
          <w:bCs/>
        </w:rPr>
        <w:tab/>
        <w:t>Detectó el defensor que lo antes res</w:t>
      </w:r>
      <w:r>
        <w:rPr>
          <w:bCs/>
        </w:rPr>
        <w:t>e</w:t>
      </w:r>
      <w:r>
        <w:rPr>
          <w:bCs/>
        </w:rPr>
        <w:t>ñado, no se compadecía con la circunstancia que su</w:t>
      </w:r>
      <w:r>
        <w:rPr>
          <w:bCs/>
        </w:rPr>
        <w:t>r</w:t>
      </w:r>
      <w:r>
        <w:rPr>
          <w:bCs/>
        </w:rPr>
        <w:t xml:space="preserve">gía de la grabación de la llamada efectuada el 15 de diciembre de 1994 al teléfono 757-4193 de Eduardo Telleldín de la que </w:t>
      </w:r>
      <w:r>
        <w:rPr>
          <w:bCs/>
        </w:rPr>
        <w:lastRenderedPageBreak/>
        <w:t>se desprendía no sólo que ambos se conocían, sino que, además, se frecuentaban en el neg</w:t>
      </w:r>
      <w:r>
        <w:rPr>
          <w:bCs/>
        </w:rPr>
        <w:t>o</w:t>
      </w:r>
      <w:r>
        <w:rPr>
          <w:bCs/>
        </w:rPr>
        <w:t>cio de Eduardo. También remarcó que éste refirió, en su testimonial, que se con</w:t>
      </w:r>
      <w:r>
        <w:rPr>
          <w:bCs/>
        </w:rPr>
        <w:t>o</w:t>
      </w:r>
      <w:r>
        <w:rPr>
          <w:bCs/>
        </w:rPr>
        <w:t>cían con B</w:t>
      </w:r>
      <w:r>
        <w:rPr>
          <w:bCs/>
        </w:rPr>
        <w:t>o</w:t>
      </w:r>
      <w:r>
        <w:rPr>
          <w:bCs/>
        </w:rPr>
        <w:t>tey.</w:t>
      </w:r>
    </w:p>
    <w:p w:rsidR="00224567" w:rsidRDefault="00224567">
      <w:pPr>
        <w:widowControl w:val="0"/>
        <w:tabs>
          <w:tab w:val="left" w:pos="2835"/>
        </w:tabs>
        <w:ind w:firstLine="708"/>
        <w:rPr>
          <w:bCs/>
        </w:rPr>
      </w:pPr>
      <w:r>
        <w:rPr>
          <w:bCs/>
        </w:rPr>
        <w:tab/>
        <w:t>Recordó que estas contradicciones no pudieron ser elucidadas mediante la declaración del test</w:t>
      </w:r>
      <w:r>
        <w:rPr>
          <w:bCs/>
        </w:rPr>
        <w:t>i</w:t>
      </w:r>
      <w:r>
        <w:rPr>
          <w:bCs/>
        </w:rPr>
        <w:t>go en la audiencia, debido a la presentación de un cert</w:t>
      </w:r>
      <w:r>
        <w:rPr>
          <w:bCs/>
        </w:rPr>
        <w:t>i</w:t>
      </w:r>
      <w:r>
        <w:rPr>
          <w:bCs/>
        </w:rPr>
        <w:t>ficado médico que consignaba su imposibilidad de ser e</w:t>
      </w:r>
      <w:r>
        <w:rPr>
          <w:bCs/>
        </w:rPr>
        <w:t>x</w:t>
      </w:r>
      <w:r>
        <w:rPr>
          <w:bCs/>
        </w:rPr>
        <w:t>puestos a situaciones de e</w:t>
      </w:r>
      <w:r>
        <w:rPr>
          <w:bCs/>
        </w:rPr>
        <w:t>s</w:t>
      </w:r>
      <w:r>
        <w:rPr>
          <w:bCs/>
        </w:rPr>
        <w:t>trés.</w:t>
      </w:r>
    </w:p>
    <w:p w:rsidR="00224567" w:rsidRDefault="00224567">
      <w:pPr>
        <w:widowControl w:val="0"/>
        <w:tabs>
          <w:tab w:val="left" w:pos="2835"/>
        </w:tabs>
        <w:ind w:firstLine="708"/>
        <w:rPr>
          <w:bCs/>
        </w:rPr>
      </w:pPr>
      <w:r>
        <w:rPr>
          <w:bCs/>
        </w:rPr>
        <w:tab/>
        <w:t>Concluyó la defensa que el juez G</w:t>
      </w:r>
      <w:r>
        <w:rPr>
          <w:bCs/>
        </w:rPr>
        <w:t>a</w:t>
      </w:r>
      <w:r>
        <w:rPr>
          <w:bCs/>
        </w:rPr>
        <w:t>leano también sostuvo que la versión de Telleldín y su e</w:t>
      </w:r>
      <w:r>
        <w:rPr>
          <w:bCs/>
        </w:rPr>
        <w:t>n</w:t>
      </w:r>
      <w:r>
        <w:rPr>
          <w:bCs/>
        </w:rPr>
        <w:t>torno era una larga cadena de mentiras; pero que se co</w:t>
      </w:r>
      <w:r>
        <w:rPr>
          <w:bCs/>
        </w:rPr>
        <w:t>n</w:t>
      </w:r>
      <w:r>
        <w:rPr>
          <w:bCs/>
        </w:rPr>
        <w:t>tradijo al valorar que en ella habría “dos o tres eslab</w:t>
      </w:r>
      <w:r>
        <w:rPr>
          <w:bCs/>
        </w:rPr>
        <w:t>o</w:t>
      </w:r>
      <w:r>
        <w:rPr>
          <w:bCs/>
        </w:rPr>
        <w:t>nes”, forjados con verdades incontrastables, que no adm</w:t>
      </w:r>
      <w:r>
        <w:rPr>
          <w:bCs/>
        </w:rPr>
        <w:t>i</w:t>
      </w:r>
      <w:r>
        <w:rPr>
          <w:bCs/>
        </w:rPr>
        <w:t>tían ser puestas en cr</w:t>
      </w:r>
      <w:r>
        <w:rPr>
          <w:bCs/>
        </w:rPr>
        <w:t>i</w:t>
      </w:r>
      <w:r>
        <w:rPr>
          <w:bCs/>
        </w:rPr>
        <w:t>sis, y que eran aquellos que darían sustento a la imputación contra Ibarra. Afirmó la defensa que estas verdades del magistrado eran las extorsiones de marzo y abril donde, a criterio del letrado, Carlos T</w:t>
      </w:r>
      <w:r>
        <w:rPr>
          <w:bCs/>
        </w:rPr>
        <w:t>e</w:t>
      </w:r>
      <w:r>
        <w:rPr>
          <w:bCs/>
        </w:rPr>
        <w:t>lleldín y sus acólitos se permitieron las mayores falsed</w:t>
      </w:r>
      <w:r>
        <w:rPr>
          <w:bCs/>
        </w:rPr>
        <w:t>a</w:t>
      </w:r>
      <w:r>
        <w:rPr>
          <w:bCs/>
        </w:rPr>
        <w:t xml:space="preserve">des y donde las contradicciones se comprobaban de manera </w:t>
      </w:r>
      <w:r>
        <w:rPr>
          <w:bCs/>
        </w:rPr>
        <w:lastRenderedPageBreak/>
        <w:t>más evidente.</w:t>
      </w:r>
    </w:p>
    <w:p w:rsidR="00224567" w:rsidRDefault="00224567">
      <w:pPr>
        <w:widowControl w:val="0"/>
        <w:tabs>
          <w:tab w:val="left" w:pos="2835"/>
        </w:tabs>
        <w:ind w:firstLine="708"/>
        <w:rPr>
          <w:bCs/>
        </w:rPr>
      </w:pPr>
      <w:r>
        <w:rPr>
          <w:bCs/>
        </w:rPr>
        <w:tab/>
        <w:t>Se lamentó la defensa que para lograr sus consignas, jueces, fiscales y querellas no trepid</w:t>
      </w:r>
      <w:r>
        <w:rPr>
          <w:bCs/>
        </w:rPr>
        <w:t>a</w:t>
      </w:r>
      <w:r>
        <w:rPr>
          <w:bCs/>
        </w:rPr>
        <w:t>ron en procurar o encubrir testimonios que sabían falsos; en negociar imputaciones o absoluciones de acuerdo a los i</w:t>
      </w:r>
      <w:r>
        <w:rPr>
          <w:bCs/>
        </w:rPr>
        <w:t>n</w:t>
      </w:r>
      <w:r>
        <w:rPr>
          <w:bCs/>
        </w:rPr>
        <w:t>tereses del momento; y en destruir, alterar, soslayar o reinterpretar los di</w:t>
      </w:r>
      <w:r>
        <w:rPr>
          <w:bCs/>
        </w:rPr>
        <w:t>s</w:t>
      </w:r>
      <w:r>
        <w:rPr>
          <w:bCs/>
        </w:rPr>
        <w:t>tintos elementos de prueba.</w:t>
      </w:r>
    </w:p>
    <w:p w:rsidR="00224567" w:rsidRDefault="00224567">
      <w:pPr>
        <w:widowControl w:val="0"/>
        <w:tabs>
          <w:tab w:val="left" w:pos="2835"/>
        </w:tabs>
        <w:ind w:firstLine="708"/>
        <w:rPr>
          <w:bCs/>
        </w:rPr>
      </w:pPr>
      <w:r>
        <w:rPr>
          <w:bCs/>
        </w:rPr>
        <w:tab/>
        <w:t>Consideró probado que se torcieron circunstancias comprobadas para agravar calificaciones l</w:t>
      </w:r>
      <w:r>
        <w:rPr>
          <w:bCs/>
        </w:rPr>
        <w:t>e</w:t>
      </w:r>
      <w:r>
        <w:rPr>
          <w:bCs/>
        </w:rPr>
        <w:t>gales, permitiendo detener a algunos policías con el pr</w:t>
      </w:r>
      <w:r>
        <w:rPr>
          <w:bCs/>
        </w:rPr>
        <w:t>o</w:t>
      </w:r>
      <w:r>
        <w:rPr>
          <w:bCs/>
        </w:rPr>
        <w:t>pósito de arrancarles declaraciones en contra de sus pares a cambio de mejoras en su alojamiento, de la libe</w:t>
      </w:r>
      <w:r>
        <w:rPr>
          <w:bCs/>
        </w:rPr>
        <w:t>r</w:t>
      </w:r>
      <w:r>
        <w:rPr>
          <w:bCs/>
        </w:rPr>
        <w:t>tad o la reinco</w:t>
      </w:r>
      <w:r>
        <w:rPr>
          <w:bCs/>
        </w:rPr>
        <w:t>r</w:t>
      </w:r>
      <w:r>
        <w:rPr>
          <w:bCs/>
        </w:rPr>
        <w:t>poración a la fuerza policial.</w:t>
      </w:r>
    </w:p>
    <w:p w:rsidR="00224567" w:rsidRDefault="00224567">
      <w:pPr>
        <w:widowControl w:val="0"/>
        <w:tabs>
          <w:tab w:val="left" w:pos="2835"/>
        </w:tabs>
        <w:ind w:firstLine="708"/>
        <w:rPr>
          <w:bCs/>
        </w:rPr>
      </w:pPr>
      <w:r>
        <w:rPr>
          <w:bCs/>
        </w:rPr>
        <w:tab/>
        <w:t>A colación de ese d</w:t>
      </w:r>
      <w:r>
        <w:rPr>
          <w:bCs/>
        </w:rPr>
        <w:t>e</w:t>
      </w:r>
      <w:r>
        <w:rPr>
          <w:bCs/>
        </w:rPr>
        <w:t>cisorio del juez, en lo que a Telle</w:t>
      </w:r>
      <w:r>
        <w:rPr>
          <w:bCs/>
        </w:rPr>
        <w:t>l</w:t>
      </w:r>
      <w:r>
        <w:rPr>
          <w:bCs/>
        </w:rPr>
        <w:t>dín y su entorno se refería, remarcó el defensor que la mayoría de los párrafos que lo i</w:t>
      </w:r>
      <w:r>
        <w:rPr>
          <w:bCs/>
        </w:rPr>
        <w:t>n</w:t>
      </w:r>
      <w:r>
        <w:rPr>
          <w:bCs/>
        </w:rPr>
        <w:t>formaban eran muy parecidos a los empleados por los fiscales, de</w:t>
      </w:r>
      <w:r>
        <w:rPr>
          <w:bCs/>
        </w:rPr>
        <w:t>s</w:t>
      </w:r>
      <w:r>
        <w:rPr>
          <w:bCs/>
        </w:rPr>
        <w:t>tacando que allí se consignaba que Telleldín poseía una gran facilidad para agregar datos o cambiar los dichos s</w:t>
      </w:r>
      <w:r>
        <w:rPr>
          <w:bCs/>
        </w:rPr>
        <w:t>e</w:t>
      </w:r>
      <w:r>
        <w:rPr>
          <w:bCs/>
        </w:rPr>
        <w:t xml:space="preserve">gún las circunstancias, al igual que las personas de su entorno, y que era capaz de pagar con bienes para lograr </w:t>
      </w:r>
      <w:r>
        <w:rPr>
          <w:bCs/>
        </w:rPr>
        <w:lastRenderedPageBreak/>
        <w:t>un testimonio falso que apañara sus mentiras, tal como s</w:t>
      </w:r>
      <w:r>
        <w:rPr>
          <w:bCs/>
        </w:rPr>
        <w:t>u</w:t>
      </w:r>
      <w:r>
        <w:rPr>
          <w:bCs/>
        </w:rPr>
        <w:t>puestamente hizo con Nitzc</w:t>
      </w:r>
      <w:r>
        <w:rPr>
          <w:bCs/>
        </w:rPr>
        <w:t>a</w:t>
      </w:r>
      <w:r>
        <w:rPr>
          <w:bCs/>
        </w:rPr>
        <w:t>ner.</w:t>
      </w:r>
    </w:p>
    <w:p w:rsidR="00224567" w:rsidRDefault="00224567">
      <w:pPr>
        <w:widowControl w:val="0"/>
        <w:tabs>
          <w:tab w:val="left" w:pos="2835"/>
        </w:tabs>
        <w:ind w:firstLine="708"/>
        <w:rPr>
          <w:bCs/>
        </w:rPr>
      </w:pPr>
      <w:r>
        <w:rPr>
          <w:bCs/>
        </w:rPr>
        <w:tab/>
        <w:t>Por ello y otras circunstancias, r</w:t>
      </w:r>
      <w:r>
        <w:rPr>
          <w:bCs/>
        </w:rPr>
        <w:t>e</w:t>
      </w:r>
      <w:r>
        <w:rPr>
          <w:bCs/>
        </w:rPr>
        <w:t>cordó el defensor que según el juez no podía consid</w:t>
      </w:r>
      <w:r>
        <w:rPr>
          <w:bCs/>
        </w:rPr>
        <w:t>e</w:t>
      </w:r>
      <w:r>
        <w:rPr>
          <w:bCs/>
        </w:rPr>
        <w:t>rarse que Telleldín ayudara al progreso de la pesquisa, en vi</w:t>
      </w:r>
      <w:r>
        <w:rPr>
          <w:bCs/>
        </w:rPr>
        <w:t>r</w:t>
      </w:r>
      <w:r>
        <w:rPr>
          <w:bCs/>
        </w:rPr>
        <w:t>tud de sus innumerables contradicciones, imprecisiones e incluso mentiras que motivaron un retraso innecesario en la investigación emprendida por el juzg</w:t>
      </w:r>
      <w:r>
        <w:rPr>
          <w:bCs/>
        </w:rPr>
        <w:t>a</w:t>
      </w:r>
      <w:r>
        <w:rPr>
          <w:bCs/>
        </w:rPr>
        <w:t>do.</w:t>
      </w:r>
    </w:p>
    <w:p w:rsidR="00224567" w:rsidRDefault="00224567">
      <w:pPr>
        <w:widowControl w:val="0"/>
        <w:tabs>
          <w:tab w:val="left" w:pos="2835"/>
        </w:tabs>
        <w:ind w:firstLine="708"/>
        <w:rPr>
          <w:bCs/>
        </w:rPr>
      </w:pPr>
      <w:r>
        <w:rPr>
          <w:bCs/>
        </w:rPr>
        <w:tab/>
        <w:t>Remarcó la defensa que estas manife</w:t>
      </w:r>
      <w:r>
        <w:rPr>
          <w:bCs/>
        </w:rPr>
        <w:t>s</w:t>
      </w:r>
      <w:r>
        <w:rPr>
          <w:bCs/>
        </w:rPr>
        <w:t>taciones del magistrado instructor demostrarían un alto grado de cinismo, ya que sabía mejor que n</w:t>
      </w:r>
      <w:r>
        <w:rPr>
          <w:bCs/>
        </w:rPr>
        <w:t>a</w:t>
      </w:r>
      <w:r>
        <w:rPr>
          <w:bCs/>
        </w:rPr>
        <w:t>die cuales eran las verdaderas razones que llevaron a Telleldín a rendir esa decl</w:t>
      </w:r>
      <w:r>
        <w:rPr>
          <w:bCs/>
        </w:rPr>
        <w:t>a</w:t>
      </w:r>
      <w:r>
        <w:rPr>
          <w:bCs/>
        </w:rPr>
        <w:t>ración del 5 de julio de 1996.</w:t>
      </w:r>
    </w:p>
    <w:p w:rsidR="00224567" w:rsidRDefault="00224567">
      <w:pPr>
        <w:widowControl w:val="0"/>
        <w:tabs>
          <w:tab w:val="left" w:pos="2835"/>
        </w:tabs>
        <w:ind w:firstLine="708"/>
        <w:rPr>
          <w:bCs/>
        </w:rPr>
      </w:pPr>
      <w:r>
        <w:rPr>
          <w:bCs/>
        </w:rPr>
        <w:tab/>
        <w:t>Se empeñó la defensa en demostrar que la historia de las extorsiones, construida por Telle</w:t>
      </w:r>
      <w:r>
        <w:rPr>
          <w:bCs/>
        </w:rPr>
        <w:t>l</w:t>
      </w:r>
      <w:r>
        <w:rPr>
          <w:bCs/>
        </w:rPr>
        <w:t>dín y su entorno con el beneplácito del juez, de los fiscales y de la querella D.A.I.A.-A.M.I.A., constituyó una inconme</w:t>
      </w:r>
      <w:r>
        <w:rPr>
          <w:bCs/>
        </w:rPr>
        <w:t>n</w:t>
      </w:r>
      <w:r>
        <w:rPr>
          <w:bCs/>
        </w:rPr>
        <w:t>surable patraña que no sólo determinó el encarcelamiento de Ibarra por más de ocho años, sino que permitió cons</w:t>
      </w:r>
      <w:r>
        <w:rPr>
          <w:bCs/>
        </w:rPr>
        <w:t>a</w:t>
      </w:r>
      <w:r>
        <w:rPr>
          <w:bCs/>
        </w:rPr>
        <w:t xml:space="preserve">grar el mayor y más inaceptable desvío que padecieron </w:t>
      </w:r>
      <w:r>
        <w:rPr>
          <w:bCs/>
        </w:rPr>
        <w:lastRenderedPageBreak/>
        <w:t>quienes tenían voluntad de esclarecer el brutal ate</w:t>
      </w:r>
      <w:r>
        <w:rPr>
          <w:bCs/>
        </w:rPr>
        <w:t>n</w:t>
      </w:r>
      <w:r>
        <w:rPr>
          <w:bCs/>
        </w:rPr>
        <w:t>tado.</w:t>
      </w:r>
    </w:p>
    <w:p w:rsidR="00224567" w:rsidRDefault="00224567">
      <w:pPr>
        <w:widowControl w:val="0"/>
        <w:tabs>
          <w:tab w:val="left" w:pos="2835"/>
        </w:tabs>
        <w:ind w:firstLine="708"/>
        <w:rPr>
          <w:bCs/>
        </w:rPr>
      </w:pPr>
      <w:r>
        <w:rPr>
          <w:bCs/>
        </w:rPr>
        <w:tab/>
        <w:t>Remarcó que eran tantas y tan serias las mentiras que se permitieron Telleldín y sus secu</w:t>
      </w:r>
      <w:r>
        <w:rPr>
          <w:bCs/>
        </w:rPr>
        <w:t>a</w:t>
      </w:r>
      <w:r>
        <w:rPr>
          <w:bCs/>
        </w:rPr>
        <w:t>ces, que necesariamente obligaban a realizar un desarrollo co</w:t>
      </w:r>
      <w:r>
        <w:rPr>
          <w:bCs/>
        </w:rPr>
        <w:t>n</w:t>
      </w:r>
      <w:r>
        <w:rPr>
          <w:bCs/>
        </w:rPr>
        <w:t>siderabl</w:t>
      </w:r>
      <w:r>
        <w:rPr>
          <w:bCs/>
        </w:rPr>
        <w:t>e</w:t>
      </w:r>
      <w:r>
        <w:rPr>
          <w:bCs/>
        </w:rPr>
        <w:t>mente extenso.</w:t>
      </w:r>
    </w:p>
    <w:p w:rsidR="00224567" w:rsidRDefault="00224567">
      <w:pPr>
        <w:widowControl w:val="0"/>
        <w:tabs>
          <w:tab w:val="left" w:pos="2835"/>
        </w:tabs>
        <w:ind w:firstLine="708"/>
        <w:rPr>
          <w:bCs/>
        </w:rPr>
      </w:pPr>
      <w:r>
        <w:rPr>
          <w:bCs/>
        </w:rPr>
        <w:tab/>
        <w:t>Respecto del primero de los dos co</w:t>
      </w:r>
      <w:r>
        <w:rPr>
          <w:bCs/>
        </w:rPr>
        <w:t>n</w:t>
      </w:r>
      <w:r>
        <w:rPr>
          <w:bCs/>
        </w:rPr>
        <w:t xml:space="preserve">tactos que hubo entre Telleldín y </w:t>
      </w:r>
      <w:smartTag w:uri="urn:schemas-microsoft-com:office:smarttags" w:element="PersonName">
        <w:smartTagPr>
          <w:attr w:name="ProductID" w:val="la Brigada"/>
        </w:smartTagPr>
        <w:r>
          <w:rPr>
            <w:bCs/>
          </w:rPr>
          <w:t>la Brigada</w:t>
        </w:r>
      </w:smartTag>
      <w:r>
        <w:rPr>
          <w:bCs/>
        </w:rPr>
        <w:t xml:space="preserve"> de Lanús, la noche del martes 15 de marzo de 1994, cuya materialidad está docume</w:t>
      </w:r>
      <w:r>
        <w:rPr>
          <w:bCs/>
        </w:rPr>
        <w:t>n</w:t>
      </w:r>
      <w:r>
        <w:rPr>
          <w:bCs/>
        </w:rPr>
        <w:t>tada por un acta policial labrada por el mismo Ibarra, consideró el letrado que Carlos T</w:t>
      </w:r>
      <w:r>
        <w:rPr>
          <w:bCs/>
        </w:rPr>
        <w:t>e</w:t>
      </w:r>
      <w:r>
        <w:rPr>
          <w:bCs/>
        </w:rPr>
        <w:t>lleldín reeditó una práctica que hasta ese momento le venía dando result</w:t>
      </w:r>
      <w:r>
        <w:rPr>
          <w:bCs/>
        </w:rPr>
        <w:t>a</w:t>
      </w:r>
      <w:r>
        <w:rPr>
          <w:bCs/>
        </w:rPr>
        <w:t>do y que luego fue repetida cada vez que necesitó incorp</w:t>
      </w:r>
      <w:r>
        <w:rPr>
          <w:bCs/>
        </w:rPr>
        <w:t>o</w:t>
      </w:r>
      <w:r>
        <w:rPr>
          <w:bCs/>
        </w:rPr>
        <w:t>rar circun</w:t>
      </w:r>
      <w:r>
        <w:rPr>
          <w:bCs/>
        </w:rPr>
        <w:t>s</w:t>
      </w:r>
      <w:r>
        <w:rPr>
          <w:bCs/>
        </w:rPr>
        <w:t>tancias falsas en el proceso.</w:t>
      </w:r>
    </w:p>
    <w:p w:rsidR="00224567" w:rsidRDefault="00224567">
      <w:pPr>
        <w:widowControl w:val="0"/>
        <w:tabs>
          <w:tab w:val="left" w:pos="2835"/>
        </w:tabs>
        <w:ind w:firstLine="708"/>
        <w:rPr>
          <w:bCs/>
        </w:rPr>
      </w:pPr>
      <w:r>
        <w:rPr>
          <w:bCs/>
        </w:rPr>
        <w:tab/>
        <w:t>Aclaró que esa costumbre, como ta</w:t>
      </w:r>
      <w:r>
        <w:rPr>
          <w:bCs/>
        </w:rPr>
        <w:t>m</w:t>
      </w:r>
      <w:r>
        <w:rPr>
          <w:bCs/>
        </w:rPr>
        <w:t>bién advirtieran el propio juez instructor en 1998, las quer</w:t>
      </w:r>
      <w:r>
        <w:rPr>
          <w:bCs/>
        </w:rPr>
        <w:t>e</w:t>
      </w:r>
      <w:r>
        <w:rPr>
          <w:bCs/>
        </w:rPr>
        <w:t>llas y los fiscales en sus alegatos, consistió en ubicar mañosamente en sus declaraciones a un secuaz suyo apunt</w:t>
      </w:r>
      <w:r>
        <w:rPr>
          <w:bCs/>
        </w:rPr>
        <w:t>a</w:t>
      </w:r>
      <w:r>
        <w:rPr>
          <w:bCs/>
        </w:rPr>
        <w:t>lando sus asev</w:t>
      </w:r>
      <w:r>
        <w:rPr>
          <w:bCs/>
        </w:rPr>
        <w:t>e</w:t>
      </w:r>
      <w:r>
        <w:rPr>
          <w:bCs/>
        </w:rPr>
        <w:t>raciones.</w:t>
      </w:r>
    </w:p>
    <w:p w:rsidR="00224567" w:rsidRDefault="00224567">
      <w:pPr>
        <w:widowControl w:val="0"/>
        <w:tabs>
          <w:tab w:val="left" w:pos="2835"/>
        </w:tabs>
        <w:ind w:firstLine="708"/>
        <w:rPr>
          <w:bCs/>
        </w:rPr>
      </w:pPr>
      <w:r>
        <w:rPr>
          <w:bCs/>
        </w:rPr>
        <w:tab/>
        <w:t>Sostuvo que empleó esa táctica al s</w:t>
      </w:r>
      <w:r>
        <w:rPr>
          <w:bCs/>
        </w:rPr>
        <w:t>i</w:t>
      </w:r>
      <w:r>
        <w:rPr>
          <w:bCs/>
        </w:rPr>
        <w:t>tuar a Cruz, Hugo Pérez y Pérez Mejías en la coc</w:t>
      </w:r>
      <w:r>
        <w:rPr>
          <w:bCs/>
        </w:rPr>
        <w:t>i</w:t>
      </w:r>
      <w:r>
        <w:rPr>
          <w:bCs/>
        </w:rPr>
        <w:t>na de su domicilio de República 107 el 10 de julio; a Guillermo C</w:t>
      </w:r>
      <w:r>
        <w:rPr>
          <w:bCs/>
        </w:rPr>
        <w:t>o</w:t>
      </w:r>
      <w:r>
        <w:rPr>
          <w:bCs/>
        </w:rPr>
        <w:lastRenderedPageBreak/>
        <w:t>toras ese mismo día en la puerta de su casa; a los par</w:t>
      </w:r>
      <w:r>
        <w:rPr>
          <w:bCs/>
        </w:rPr>
        <w:t>a</w:t>
      </w:r>
      <w:r>
        <w:rPr>
          <w:bCs/>
        </w:rPr>
        <w:t>guayos Brizuela respecto de Solari; a Sandra Petrucci en el lavadero observando al ciego que miraba; y a Ana y a Pérez para que aseveraran que el motor de Messin fue ll</w:t>
      </w:r>
      <w:r>
        <w:rPr>
          <w:bCs/>
        </w:rPr>
        <w:t>e</w:t>
      </w:r>
      <w:r>
        <w:rPr>
          <w:bCs/>
        </w:rPr>
        <w:t>vado de lo de C</w:t>
      </w:r>
      <w:r>
        <w:rPr>
          <w:bCs/>
        </w:rPr>
        <w:t>o</w:t>
      </w:r>
      <w:r>
        <w:rPr>
          <w:bCs/>
        </w:rPr>
        <w:t>toras a lo de Nitzcaner.</w:t>
      </w:r>
    </w:p>
    <w:p w:rsidR="00224567" w:rsidRDefault="00224567">
      <w:pPr>
        <w:widowControl w:val="0"/>
        <w:tabs>
          <w:tab w:val="left" w:pos="2835"/>
        </w:tabs>
        <w:ind w:firstLine="708"/>
        <w:rPr>
          <w:bCs/>
        </w:rPr>
      </w:pPr>
      <w:r>
        <w:rPr>
          <w:bCs/>
        </w:rPr>
        <w:tab/>
        <w:t>Valoró el defensor, que en el epis</w:t>
      </w:r>
      <w:r>
        <w:rPr>
          <w:bCs/>
        </w:rPr>
        <w:t>o</w:t>
      </w:r>
      <w:r>
        <w:rPr>
          <w:bCs/>
        </w:rPr>
        <w:t>dio del 15 de ma</w:t>
      </w:r>
      <w:r>
        <w:rPr>
          <w:bCs/>
        </w:rPr>
        <w:t>r</w:t>
      </w:r>
      <w:r>
        <w:rPr>
          <w:bCs/>
        </w:rPr>
        <w:t>zo, Telleldín eligió colocar a Boragni en el asiento del acompañante de su vehículo Renault 18 y, m</w:t>
      </w:r>
      <w:r>
        <w:rPr>
          <w:bCs/>
        </w:rPr>
        <w:t>e</w:t>
      </w:r>
      <w:r>
        <w:rPr>
          <w:bCs/>
        </w:rPr>
        <w:t>diante este ardid, logró convertirla en víctima de un s</w:t>
      </w:r>
      <w:r>
        <w:rPr>
          <w:bCs/>
        </w:rPr>
        <w:t>u</w:t>
      </w:r>
      <w:r>
        <w:rPr>
          <w:bCs/>
        </w:rPr>
        <w:t>puesto delito de privación ilegal de la libertad que, en grado de tentativa, los fi</w:t>
      </w:r>
      <w:r>
        <w:rPr>
          <w:bCs/>
        </w:rPr>
        <w:t>s</w:t>
      </w:r>
      <w:r>
        <w:rPr>
          <w:bCs/>
        </w:rPr>
        <w:t>cales terminaron por endilgarle a Ibarra alejándola del verdadero rol procesal que según los mismos ac</w:t>
      </w:r>
      <w:r>
        <w:rPr>
          <w:bCs/>
        </w:rPr>
        <w:t>u</w:t>
      </w:r>
      <w:r>
        <w:rPr>
          <w:bCs/>
        </w:rPr>
        <w:t>sadores debió ocupar en la causa.</w:t>
      </w:r>
    </w:p>
    <w:p w:rsidR="00224567" w:rsidRDefault="00224567">
      <w:pPr>
        <w:widowControl w:val="0"/>
        <w:tabs>
          <w:tab w:val="left" w:pos="2835"/>
        </w:tabs>
        <w:ind w:firstLine="708"/>
        <w:rPr>
          <w:bCs/>
        </w:rPr>
      </w:pPr>
      <w:r>
        <w:rPr>
          <w:bCs/>
        </w:rPr>
        <w:tab/>
        <w:t>Afirmó la defensa que Boragni no est</w:t>
      </w:r>
      <w:r>
        <w:rPr>
          <w:bCs/>
        </w:rPr>
        <w:t>u</w:t>
      </w:r>
      <w:r>
        <w:rPr>
          <w:bCs/>
        </w:rPr>
        <w:t>vo en ese lugar en marzo de 1994, no sólo porque lo neg</w:t>
      </w:r>
      <w:r>
        <w:rPr>
          <w:bCs/>
        </w:rPr>
        <w:t>a</w:t>
      </w:r>
      <w:r>
        <w:rPr>
          <w:bCs/>
        </w:rPr>
        <w:t>ron todos los demás testigos y participantes del hecho, sino porque luego de analizar la causa y examinar el co</w:t>
      </w:r>
      <w:r>
        <w:rPr>
          <w:bCs/>
        </w:rPr>
        <w:t>n</w:t>
      </w:r>
      <w:r>
        <w:rPr>
          <w:bCs/>
        </w:rPr>
        <w:t>tenido de algunos testimonios esa era la ún</w:t>
      </w:r>
      <w:r>
        <w:rPr>
          <w:bCs/>
        </w:rPr>
        <w:t>i</w:t>
      </w:r>
      <w:r>
        <w:rPr>
          <w:bCs/>
        </w:rPr>
        <w:t>ca explicación lógica de tantas desavenencias con ve</w:t>
      </w:r>
      <w:r>
        <w:rPr>
          <w:bCs/>
        </w:rPr>
        <w:t>r</w:t>
      </w:r>
      <w:r>
        <w:rPr>
          <w:bCs/>
        </w:rPr>
        <w:t xml:space="preserve">siones de terceros y la gran cantidad de lagunas en las que se sumergió a lo </w:t>
      </w:r>
      <w:r>
        <w:rPr>
          <w:bCs/>
        </w:rPr>
        <w:lastRenderedPageBreak/>
        <w:t>largo de sus d</w:t>
      </w:r>
      <w:r>
        <w:rPr>
          <w:bCs/>
        </w:rPr>
        <w:t>e</w:t>
      </w:r>
      <w:r>
        <w:rPr>
          <w:bCs/>
        </w:rPr>
        <w:t>claraciones.</w:t>
      </w:r>
    </w:p>
    <w:p w:rsidR="00224567" w:rsidRDefault="00224567">
      <w:pPr>
        <w:widowControl w:val="0"/>
        <w:tabs>
          <w:tab w:val="left" w:pos="2835"/>
        </w:tabs>
        <w:ind w:firstLine="708"/>
        <w:rPr>
          <w:bCs/>
        </w:rPr>
      </w:pPr>
      <w:r>
        <w:rPr>
          <w:bCs/>
        </w:rPr>
        <w:tab/>
        <w:t>Afirmó la defensa que fue Carlos quien asesoró a su compañera para que reprodujera, según su co</w:t>
      </w:r>
      <w:r>
        <w:rPr>
          <w:bCs/>
        </w:rPr>
        <w:t>n</w:t>
      </w:r>
      <w:r>
        <w:rPr>
          <w:bCs/>
        </w:rPr>
        <w:t>veniencia, los pasajes más salientes del episodio de Ol</w:t>
      </w:r>
      <w:r>
        <w:rPr>
          <w:bCs/>
        </w:rPr>
        <w:t>i</w:t>
      </w:r>
      <w:r>
        <w:rPr>
          <w:bCs/>
        </w:rPr>
        <w:t>vos.</w:t>
      </w:r>
    </w:p>
    <w:p w:rsidR="00224567" w:rsidRDefault="00224567">
      <w:pPr>
        <w:widowControl w:val="0"/>
        <w:tabs>
          <w:tab w:val="left" w:pos="2835"/>
        </w:tabs>
        <w:ind w:firstLine="708"/>
        <w:rPr>
          <w:bCs/>
        </w:rPr>
      </w:pPr>
      <w:r>
        <w:rPr>
          <w:bCs/>
        </w:rPr>
        <w:tab/>
        <w:t>Remitiéndose a las primeras declar</w:t>
      </w:r>
      <w:r>
        <w:rPr>
          <w:bCs/>
        </w:rPr>
        <w:t>a</w:t>
      </w:r>
      <w:r>
        <w:rPr>
          <w:bCs/>
        </w:rPr>
        <w:t>ciones rendidas en la instrucción por Boragni, el d</w:t>
      </w:r>
      <w:r>
        <w:rPr>
          <w:bCs/>
        </w:rPr>
        <w:t>e</w:t>
      </w:r>
      <w:r>
        <w:rPr>
          <w:bCs/>
        </w:rPr>
        <w:t>fensor recordó que fue interrogada por Galeano el 10 de julio de 1996 -cinco días después de haberse alzado con la primer remesa de USD 200.000 pagados por el Estado-, y allí so</w:t>
      </w:r>
      <w:r>
        <w:rPr>
          <w:bCs/>
        </w:rPr>
        <w:t>s</w:t>
      </w:r>
      <w:r>
        <w:rPr>
          <w:bCs/>
        </w:rPr>
        <w:t>tuvo que llegó a “El Barril” de noche, cond</w:t>
      </w:r>
      <w:r>
        <w:rPr>
          <w:bCs/>
        </w:rPr>
        <w:t>u</w:t>
      </w:r>
      <w:r>
        <w:rPr>
          <w:bCs/>
        </w:rPr>
        <w:t>ciendo su Ford Escort; que en el lugar la esperaba Telleldín y luego de estacionar subió al auto de su pareja; que inmediat</w:t>
      </w:r>
      <w:r>
        <w:rPr>
          <w:bCs/>
        </w:rPr>
        <w:t>a</w:t>
      </w:r>
      <w:r>
        <w:rPr>
          <w:bCs/>
        </w:rPr>
        <w:t>mente aparecieron dos sujetos caminando, uno de ellos emp</w:t>
      </w:r>
      <w:r>
        <w:rPr>
          <w:bCs/>
        </w:rPr>
        <w:t>u</w:t>
      </w:r>
      <w:r>
        <w:rPr>
          <w:bCs/>
        </w:rPr>
        <w:t>ñando un arma que intentó, en vano, abrir la puerta de la decl</w:t>
      </w:r>
      <w:r>
        <w:rPr>
          <w:bCs/>
        </w:rPr>
        <w:t>a</w:t>
      </w:r>
      <w:r>
        <w:rPr>
          <w:bCs/>
        </w:rPr>
        <w:t>rante y la tomó de los pelos para sacarla. Recordó el d</w:t>
      </w:r>
      <w:r>
        <w:rPr>
          <w:bCs/>
        </w:rPr>
        <w:t>e</w:t>
      </w:r>
      <w:r>
        <w:rPr>
          <w:bCs/>
        </w:rPr>
        <w:t>fensor que la testigo sostuvo que esta pugna sólo terminó cuando se produjo un choque con el vehículo de Héctor Se</w:t>
      </w:r>
      <w:r>
        <w:rPr>
          <w:bCs/>
        </w:rPr>
        <w:t>x</w:t>
      </w:r>
      <w:r>
        <w:rPr>
          <w:bCs/>
        </w:rPr>
        <w:t>to.</w:t>
      </w:r>
    </w:p>
    <w:p w:rsidR="00224567" w:rsidRDefault="00224567">
      <w:pPr>
        <w:widowControl w:val="0"/>
        <w:tabs>
          <w:tab w:val="left" w:pos="2835"/>
        </w:tabs>
        <w:ind w:firstLine="708"/>
        <w:rPr>
          <w:bCs/>
        </w:rPr>
      </w:pPr>
      <w:r>
        <w:rPr>
          <w:bCs/>
        </w:rPr>
        <w:tab/>
        <w:t>Evocó el defensor que en esa oportun</w:t>
      </w:r>
      <w:r>
        <w:rPr>
          <w:bCs/>
        </w:rPr>
        <w:t>i</w:t>
      </w:r>
      <w:r>
        <w:rPr>
          <w:bCs/>
        </w:rPr>
        <w:t>dad, Boragni realizó una descripción minuciosa de esa pe</w:t>
      </w:r>
      <w:r>
        <w:rPr>
          <w:bCs/>
        </w:rPr>
        <w:t>r</w:t>
      </w:r>
      <w:r>
        <w:rPr>
          <w:bCs/>
        </w:rPr>
        <w:lastRenderedPageBreak/>
        <w:t>sona armada que la tomó del pelo, agr</w:t>
      </w:r>
      <w:r>
        <w:rPr>
          <w:bCs/>
        </w:rPr>
        <w:t>e</w:t>
      </w:r>
      <w:r>
        <w:rPr>
          <w:bCs/>
        </w:rPr>
        <w:t>gando que, de manera simultánea, pudo ver cómo el otro individuo, que también portaba un arma en sus manos, forcejeaba con Carlos mie</w:t>
      </w:r>
      <w:r>
        <w:rPr>
          <w:bCs/>
        </w:rPr>
        <w:t>n</w:t>
      </w:r>
      <w:r>
        <w:rPr>
          <w:bCs/>
        </w:rPr>
        <w:t>tras gr</w:t>
      </w:r>
      <w:r>
        <w:rPr>
          <w:bCs/>
        </w:rPr>
        <w:t>i</w:t>
      </w:r>
      <w:r>
        <w:rPr>
          <w:bCs/>
        </w:rPr>
        <w:t>taba que era policía.</w:t>
      </w:r>
    </w:p>
    <w:p w:rsidR="00224567" w:rsidRDefault="00224567">
      <w:pPr>
        <w:widowControl w:val="0"/>
        <w:tabs>
          <w:tab w:val="left" w:pos="2835"/>
        </w:tabs>
        <w:ind w:firstLine="708"/>
        <w:rPr>
          <w:bCs/>
        </w:rPr>
      </w:pPr>
      <w:r>
        <w:rPr>
          <w:bCs/>
        </w:rPr>
        <w:tab/>
        <w:t>Recordó que Boragni sostuvo que este forcejeo entre Carlos y el desconocido se mantuvo i</w:t>
      </w:r>
      <w:r>
        <w:rPr>
          <w:bCs/>
        </w:rPr>
        <w:t>n</w:t>
      </w:r>
      <w:r>
        <w:rPr>
          <w:bCs/>
        </w:rPr>
        <w:t>cluso después del choque con el taxi de Se</w:t>
      </w:r>
      <w:r>
        <w:rPr>
          <w:bCs/>
        </w:rPr>
        <w:t>x</w:t>
      </w:r>
      <w:r>
        <w:rPr>
          <w:bCs/>
        </w:rPr>
        <w:t>to; que el individuo se colgó de la ventanilla del conductor del auto, siendo arrastrado media cuadra por Telleldín en su huída, hasta que cayó sobre el pavimento, y que percibió cómo el auto pasó por encima de “algo” antes de alejarse del lugar, r</w:t>
      </w:r>
      <w:r>
        <w:rPr>
          <w:bCs/>
        </w:rPr>
        <w:t>e</w:t>
      </w:r>
      <w:r>
        <w:rPr>
          <w:bCs/>
        </w:rPr>
        <w:t>cordando que Carlos sostenía que lo había atropell</w:t>
      </w:r>
      <w:r>
        <w:rPr>
          <w:bCs/>
        </w:rPr>
        <w:t>a</w:t>
      </w:r>
      <w:r>
        <w:rPr>
          <w:bCs/>
        </w:rPr>
        <w:t>do.</w:t>
      </w:r>
    </w:p>
    <w:p w:rsidR="00224567" w:rsidRDefault="00224567">
      <w:pPr>
        <w:widowControl w:val="0"/>
        <w:tabs>
          <w:tab w:val="left" w:pos="2835"/>
        </w:tabs>
        <w:ind w:firstLine="708"/>
        <w:rPr>
          <w:bCs/>
        </w:rPr>
      </w:pPr>
      <w:r>
        <w:rPr>
          <w:bCs/>
        </w:rPr>
        <w:tab/>
        <w:t>Afirmó la defensa que, haciendo una comparación entre lo dicho por Boragni en aquella ve</w:t>
      </w:r>
      <w:r>
        <w:rPr>
          <w:bCs/>
        </w:rPr>
        <w:t>r</w:t>
      </w:r>
      <w:r>
        <w:rPr>
          <w:bCs/>
        </w:rPr>
        <w:t>sión y lo afirmado al ser examinada por el tribunal, se demo</w:t>
      </w:r>
      <w:r>
        <w:rPr>
          <w:bCs/>
        </w:rPr>
        <w:t>s</w:t>
      </w:r>
      <w:r>
        <w:rPr>
          <w:bCs/>
        </w:rPr>
        <w:t>tró que las cosas no pudieron suceder jamás de la manera que ella procuraba, y menos aún puede afirmarse ello co</w:t>
      </w:r>
      <w:r>
        <w:rPr>
          <w:bCs/>
        </w:rPr>
        <w:t>n</w:t>
      </w:r>
      <w:r>
        <w:rPr>
          <w:bCs/>
        </w:rPr>
        <w:t>frontando sus disímiles versiones con los testimonios re</w:t>
      </w:r>
      <w:r>
        <w:rPr>
          <w:bCs/>
        </w:rPr>
        <w:t>n</w:t>
      </w:r>
      <w:r>
        <w:rPr>
          <w:bCs/>
        </w:rPr>
        <w:t>didos por los otros testigos del hecho.</w:t>
      </w:r>
    </w:p>
    <w:p w:rsidR="00224567" w:rsidRDefault="00224567">
      <w:pPr>
        <w:widowControl w:val="0"/>
        <w:tabs>
          <w:tab w:val="left" w:pos="2835"/>
        </w:tabs>
        <w:ind w:firstLine="708"/>
        <w:rPr>
          <w:bCs/>
        </w:rPr>
      </w:pPr>
      <w:r>
        <w:rPr>
          <w:bCs/>
        </w:rPr>
        <w:tab/>
        <w:t>Sostuvo la defensa que desde el in</w:t>
      </w:r>
      <w:r>
        <w:rPr>
          <w:bCs/>
        </w:rPr>
        <w:t>i</w:t>
      </w:r>
      <w:r>
        <w:rPr>
          <w:bCs/>
        </w:rPr>
        <w:t xml:space="preserve">cio </w:t>
      </w:r>
      <w:r>
        <w:rPr>
          <w:bCs/>
        </w:rPr>
        <w:lastRenderedPageBreak/>
        <w:t>mismo de sus declaraciones en la audiencia de ju</w:t>
      </w:r>
      <w:r>
        <w:rPr>
          <w:bCs/>
        </w:rPr>
        <w:t>i</w:t>
      </w:r>
      <w:r>
        <w:rPr>
          <w:bCs/>
        </w:rPr>
        <w:t>cio oral, Boragni se excusó aduciendo que tenía “todo mezclado” re</w:t>
      </w:r>
      <w:r>
        <w:rPr>
          <w:bCs/>
        </w:rPr>
        <w:t>s</w:t>
      </w:r>
      <w:r>
        <w:rPr>
          <w:bCs/>
        </w:rPr>
        <w:t>pecto al hecho de marzo, sin p</w:t>
      </w:r>
      <w:r>
        <w:rPr>
          <w:bCs/>
        </w:rPr>
        <w:t>o</w:t>
      </w:r>
      <w:r>
        <w:rPr>
          <w:bCs/>
        </w:rPr>
        <w:t>der dar precisiones acerca de la época en que tuvo lugar la reunión, ni quién la pr</w:t>
      </w:r>
      <w:r>
        <w:rPr>
          <w:bCs/>
        </w:rPr>
        <w:t>o</w:t>
      </w:r>
      <w:r>
        <w:rPr>
          <w:bCs/>
        </w:rPr>
        <w:t>puso, ni con cuánta antelación se concertó, ni quién el</w:t>
      </w:r>
      <w:r>
        <w:rPr>
          <w:bCs/>
        </w:rPr>
        <w:t>i</w:t>
      </w:r>
      <w:r>
        <w:rPr>
          <w:bCs/>
        </w:rPr>
        <w:t>gió el lugar del encuentro.</w:t>
      </w:r>
    </w:p>
    <w:p w:rsidR="00224567" w:rsidRDefault="00224567">
      <w:pPr>
        <w:widowControl w:val="0"/>
        <w:tabs>
          <w:tab w:val="left" w:pos="2835"/>
        </w:tabs>
        <w:ind w:firstLine="708"/>
        <w:rPr>
          <w:bCs/>
        </w:rPr>
      </w:pPr>
      <w:r>
        <w:rPr>
          <w:bCs/>
        </w:rPr>
        <w:tab/>
        <w:t>Sustentó el defensor que Boragni, en un comienzo, llegó a señalar que el encuentro con su ex pareja se había producido directamente en el lavadero, y que terminó e</w:t>
      </w:r>
      <w:r>
        <w:rPr>
          <w:bCs/>
        </w:rPr>
        <w:t>x</w:t>
      </w:r>
      <w:r>
        <w:rPr>
          <w:bCs/>
        </w:rPr>
        <w:t xml:space="preserve">plicando que había llegado a </w:t>
      </w:r>
      <w:smartTag w:uri="urn:schemas-microsoft-com:office:smarttags" w:element="PersonName">
        <w:smartTagPr>
          <w:attr w:name="ProductID" w:val="la Av. Maip￺"/>
        </w:smartTagPr>
        <w:r>
          <w:rPr>
            <w:bCs/>
          </w:rPr>
          <w:t>la Av. Maipú</w:t>
        </w:r>
      </w:smartTag>
      <w:r>
        <w:rPr>
          <w:bCs/>
        </w:rPr>
        <w:t xml:space="preserve"> de Vicente López, sin precisar el lugar, diciendo con vacil</w:t>
      </w:r>
      <w:r>
        <w:rPr>
          <w:bCs/>
        </w:rPr>
        <w:t>a</w:t>
      </w:r>
      <w:r>
        <w:rPr>
          <w:bCs/>
        </w:rPr>
        <w:t>ción que era a dos cuadras del lavadero, pese a ser buena conocedora de esa zona, limitándose a decir que el lavad</w:t>
      </w:r>
      <w:r>
        <w:rPr>
          <w:bCs/>
        </w:rPr>
        <w:t>e</w:t>
      </w:r>
      <w:r>
        <w:rPr>
          <w:bCs/>
        </w:rPr>
        <w:t>ro e</w:t>
      </w:r>
      <w:r>
        <w:rPr>
          <w:bCs/>
        </w:rPr>
        <w:t>s</w:t>
      </w:r>
      <w:r>
        <w:rPr>
          <w:bCs/>
        </w:rPr>
        <w:t>taba en Pelliza, que debería ser “por ahí”.</w:t>
      </w:r>
    </w:p>
    <w:p w:rsidR="00224567" w:rsidRDefault="00224567">
      <w:pPr>
        <w:widowControl w:val="0"/>
        <w:tabs>
          <w:tab w:val="left" w:pos="2835"/>
        </w:tabs>
        <w:ind w:firstLine="708"/>
        <w:rPr>
          <w:bCs/>
        </w:rPr>
      </w:pPr>
      <w:r>
        <w:rPr>
          <w:bCs/>
        </w:rPr>
        <w:tab/>
        <w:t>Recordó que tampoco fue precisa la testigo al afirmar que llegó conduciendo su Ford Escort, ya que durante un considerable tramo de su testimonio as</w:t>
      </w:r>
      <w:r>
        <w:rPr>
          <w:bCs/>
        </w:rPr>
        <w:t>e</w:t>
      </w:r>
      <w:r>
        <w:rPr>
          <w:bCs/>
        </w:rPr>
        <w:t>veró que lo había hecho desde Villa Ballester en un remis.</w:t>
      </w:r>
    </w:p>
    <w:p w:rsidR="00224567" w:rsidRDefault="00224567">
      <w:pPr>
        <w:widowControl w:val="0"/>
        <w:tabs>
          <w:tab w:val="left" w:pos="2835"/>
        </w:tabs>
        <w:ind w:firstLine="708"/>
        <w:rPr>
          <w:bCs/>
        </w:rPr>
      </w:pPr>
      <w:r>
        <w:rPr>
          <w:bCs/>
        </w:rPr>
        <w:tab/>
        <w:t>Al ser interrogada con relación a los cuidadosos pormenores que había aportado en la instru</w:t>
      </w:r>
      <w:r>
        <w:rPr>
          <w:bCs/>
        </w:rPr>
        <w:t>c</w:t>
      </w:r>
      <w:r>
        <w:rPr>
          <w:bCs/>
        </w:rPr>
        <w:t>ción respecto de este episodio, valoró la defensa que sorpre</w:t>
      </w:r>
      <w:r>
        <w:rPr>
          <w:bCs/>
        </w:rPr>
        <w:t>n</w:t>
      </w:r>
      <w:r>
        <w:rPr>
          <w:bCs/>
        </w:rPr>
        <w:lastRenderedPageBreak/>
        <w:t>dió señalando que sólo uno de los dos supuestos policías se aproximó al automóvil.</w:t>
      </w:r>
    </w:p>
    <w:p w:rsidR="00224567" w:rsidRDefault="00224567">
      <w:pPr>
        <w:widowControl w:val="0"/>
        <w:tabs>
          <w:tab w:val="left" w:pos="2835"/>
        </w:tabs>
        <w:ind w:firstLine="708"/>
        <w:rPr>
          <w:bCs/>
        </w:rPr>
      </w:pPr>
      <w:r>
        <w:rPr>
          <w:bCs/>
        </w:rPr>
        <w:tab/>
        <w:t>De manera anómala, señaló el defe</w:t>
      </w:r>
      <w:r>
        <w:rPr>
          <w:bCs/>
        </w:rPr>
        <w:t>n</w:t>
      </w:r>
      <w:r>
        <w:rPr>
          <w:bCs/>
        </w:rPr>
        <w:t>sor, pese a que el pr</w:t>
      </w:r>
      <w:r>
        <w:rPr>
          <w:bCs/>
        </w:rPr>
        <w:t>o</w:t>
      </w:r>
      <w:r>
        <w:rPr>
          <w:bCs/>
        </w:rPr>
        <w:t>pio presidente del tribunal y las partes insistieron sobre el particular, nada dijo con relación a aquél corpulento y rollizo personaje al que se había pe</w:t>
      </w:r>
      <w:r>
        <w:rPr>
          <w:bCs/>
        </w:rPr>
        <w:t>r</w:t>
      </w:r>
      <w:r>
        <w:rPr>
          <w:bCs/>
        </w:rPr>
        <w:t>mitido describir con lujo de detalle, invocando no reco</w:t>
      </w:r>
      <w:r>
        <w:rPr>
          <w:bCs/>
        </w:rPr>
        <w:t>r</w:t>
      </w:r>
      <w:r>
        <w:rPr>
          <w:bCs/>
        </w:rPr>
        <w:t>darlo.</w:t>
      </w:r>
    </w:p>
    <w:p w:rsidR="00224567" w:rsidRDefault="00224567">
      <w:pPr>
        <w:widowControl w:val="0"/>
        <w:tabs>
          <w:tab w:val="left" w:pos="2835"/>
        </w:tabs>
        <w:ind w:firstLine="708"/>
        <w:rPr>
          <w:bCs/>
        </w:rPr>
      </w:pPr>
      <w:r>
        <w:rPr>
          <w:bCs/>
        </w:rPr>
        <w:tab/>
        <w:t>Remarcó la asistencia técnica que ta</w:t>
      </w:r>
      <w:r>
        <w:rPr>
          <w:bCs/>
        </w:rPr>
        <w:t>m</w:t>
      </w:r>
      <w:r>
        <w:rPr>
          <w:bCs/>
        </w:rPr>
        <w:t>poco mantuvo su primigenia versión en cuanto al hecho pr</w:t>
      </w:r>
      <w:r>
        <w:rPr>
          <w:bCs/>
        </w:rPr>
        <w:t>e</w:t>
      </w:r>
      <w:r>
        <w:rPr>
          <w:bCs/>
        </w:rPr>
        <w:t>visiblemente doloroso, para nada anecdótico, de que este individuo le había tirado de los p</w:t>
      </w:r>
      <w:r>
        <w:rPr>
          <w:bCs/>
        </w:rPr>
        <w:t>e</w:t>
      </w:r>
      <w:r>
        <w:rPr>
          <w:bCs/>
        </w:rPr>
        <w:t>los.</w:t>
      </w:r>
    </w:p>
    <w:p w:rsidR="00224567" w:rsidRDefault="00224567">
      <w:pPr>
        <w:widowControl w:val="0"/>
        <w:tabs>
          <w:tab w:val="left" w:pos="2835"/>
        </w:tabs>
        <w:ind w:firstLine="708"/>
        <w:rPr>
          <w:bCs/>
        </w:rPr>
      </w:pPr>
      <w:r>
        <w:rPr>
          <w:bCs/>
        </w:rPr>
        <w:tab/>
        <w:t>Consideró la asistencia letrada de Ibarra que, pese a la elocuencia con que en la instru</w:t>
      </w:r>
      <w:r>
        <w:rPr>
          <w:bCs/>
        </w:rPr>
        <w:t>c</w:t>
      </w:r>
      <w:r>
        <w:rPr>
          <w:bCs/>
        </w:rPr>
        <w:t>ción había aseverado haber escuchado de parte del hombre que quiso interceptar a Telleldín una única expresión cuando aquél vociferando decía que era policía, ante el tribunal negó que estas manifestaciones hubieran existido y que s</w:t>
      </w:r>
      <w:r>
        <w:rPr>
          <w:bCs/>
        </w:rPr>
        <w:t>ó</w:t>
      </w:r>
      <w:r>
        <w:rPr>
          <w:bCs/>
        </w:rPr>
        <w:t>lo escuchó “a</w:t>
      </w:r>
      <w:r>
        <w:rPr>
          <w:bCs/>
        </w:rPr>
        <w:t>l</w:t>
      </w:r>
      <w:r>
        <w:rPr>
          <w:bCs/>
        </w:rPr>
        <w:t>go así como ¡pará!, ¡pará!”.</w:t>
      </w:r>
    </w:p>
    <w:p w:rsidR="00224567" w:rsidRDefault="00224567">
      <w:pPr>
        <w:widowControl w:val="0"/>
        <w:tabs>
          <w:tab w:val="left" w:pos="2835"/>
        </w:tabs>
        <w:ind w:firstLine="708"/>
        <w:rPr>
          <w:bCs/>
        </w:rPr>
      </w:pPr>
      <w:r>
        <w:rPr>
          <w:bCs/>
        </w:rPr>
        <w:tab/>
        <w:t>Recordó también que cuando el trib</w:t>
      </w:r>
      <w:r>
        <w:rPr>
          <w:bCs/>
        </w:rPr>
        <w:t>u</w:t>
      </w:r>
      <w:r>
        <w:rPr>
          <w:bCs/>
        </w:rPr>
        <w:t xml:space="preserve">nal </w:t>
      </w:r>
      <w:r>
        <w:rPr>
          <w:bCs/>
        </w:rPr>
        <w:lastRenderedPageBreak/>
        <w:t>insistió y le exigió algún grado de precisión, Boragni o</w:t>
      </w:r>
      <w:r>
        <w:rPr>
          <w:bCs/>
        </w:rPr>
        <w:t>p</w:t>
      </w:r>
      <w:r>
        <w:rPr>
          <w:bCs/>
        </w:rPr>
        <w:t>tó por aducir que sólo registraba un recuerdo fugaz del acontecimiento y que no había visto práctic</w:t>
      </w:r>
      <w:r>
        <w:rPr>
          <w:bCs/>
        </w:rPr>
        <w:t>a</w:t>
      </w:r>
      <w:r>
        <w:rPr>
          <w:bCs/>
        </w:rPr>
        <w:t>mente nada de lo ocurrido en el incidente, balbuceando que hacía “mem</w:t>
      </w:r>
      <w:r>
        <w:rPr>
          <w:bCs/>
        </w:rPr>
        <w:t>o</w:t>
      </w:r>
      <w:r>
        <w:rPr>
          <w:bCs/>
        </w:rPr>
        <w:t>ria asociativa”, incorporó a su versión que cuando advi</w:t>
      </w:r>
      <w:r>
        <w:rPr>
          <w:bCs/>
        </w:rPr>
        <w:t>r</w:t>
      </w:r>
      <w:r>
        <w:rPr>
          <w:bCs/>
        </w:rPr>
        <w:t>tió ese despliegue agachó la cabeza p</w:t>
      </w:r>
      <w:r>
        <w:rPr>
          <w:bCs/>
        </w:rPr>
        <w:t>a</w:t>
      </w:r>
      <w:r>
        <w:rPr>
          <w:bCs/>
        </w:rPr>
        <w:t>ra no ver nada.</w:t>
      </w:r>
    </w:p>
    <w:p w:rsidR="00224567" w:rsidRDefault="00224567">
      <w:pPr>
        <w:widowControl w:val="0"/>
        <w:tabs>
          <w:tab w:val="left" w:pos="2835"/>
        </w:tabs>
        <w:ind w:firstLine="708"/>
        <w:rPr>
          <w:bCs/>
        </w:rPr>
      </w:pPr>
      <w:r>
        <w:rPr>
          <w:bCs/>
        </w:rPr>
        <w:tab/>
        <w:t>Estimó el letrado que pasarle por e</w:t>
      </w:r>
      <w:r>
        <w:rPr>
          <w:bCs/>
        </w:rPr>
        <w:t>n</w:t>
      </w:r>
      <w:r>
        <w:rPr>
          <w:bCs/>
        </w:rPr>
        <w:t>cima a una persona, con un automóvil en que un individuo escapa a gran velocidad, era una circunstancia que dif</w:t>
      </w:r>
      <w:r>
        <w:rPr>
          <w:bCs/>
        </w:rPr>
        <w:t>í</w:t>
      </w:r>
      <w:r>
        <w:rPr>
          <w:bCs/>
        </w:rPr>
        <w:t>cilmente puede olvidarse, máxime si esa persona era un p</w:t>
      </w:r>
      <w:r>
        <w:rPr>
          <w:bCs/>
        </w:rPr>
        <w:t>o</w:t>
      </w:r>
      <w:r>
        <w:rPr>
          <w:bCs/>
        </w:rPr>
        <w:t>licía que intentaba detenerlos, por lo que neces</w:t>
      </w:r>
      <w:r>
        <w:rPr>
          <w:bCs/>
        </w:rPr>
        <w:t>a</w:t>
      </w:r>
      <w:r>
        <w:rPr>
          <w:bCs/>
        </w:rPr>
        <w:t>riamente la testigo debería recordar el punto si es que estuvo de</w:t>
      </w:r>
      <w:r>
        <w:rPr>
          <w:bCs/>
        </w:rPr>
        <w:t>n</w:t>
      </w:r>
      <w:r>
        <w:rPr>
          <w:bCs/>
        </w:rPr>
        <w:t>tro del a</w:t>
      </w:r>
      <w:r>
        <w:rPr>
          <w:bCs/>
        </w:rPr>
        <w:t>u</w:t>
      </w:r>
      <w:r>
        <w:rPr>
          <w:bCs/>
        </w:rPr>
        <w:t>to de su marido, ese 15 de marzo.</w:t>
      </w:r>
    </w:p>
    <w:p w:rsidR="00224567" w:rsidRDefault="00224567">
      <w:pPr>
        <w:widowControl w:val="0"/>
        <w:tabs>
          <w:tab w:val="left" w:pos="2835"/>
        </w:tabs>
        <w:ind w:firstLine="708"/>
        <w:rPr>
          <w:bCs/>
        </w:rPr>
      </w:pPr>
      <w:r>
        <w:rPr>
          <w:bCs/>
        </w:rPr>
        <w:tab/>
        <w:t>Mantuvo el letrado que la mujer de T</w:t>
      </w:r>
      <w:r>
        <w:rPr>
          <w:bCs/>
        </w:rPr>
        <w:t>e</w:t>
      </w:r>
      <w:r>
        <w:rPr>
          <w:bCs/>
        </w:rPr>
        <w:t>lleldín se contrad</w:t>
      </w:r>
      <w:r>
        <w:rPr>
          <w:bCs/>
        </w:rPr>
        <w:t>i</w:t>
      </w:r>
      <w:r>
        <w:rPr>
          <w:bCs/>
        </w:rPr>
        <w:t>jo una vez más al sostener que no había visto al ho</w:t>
      </w:r>
      <w:r>
        <w:rPr>
          <w:bCs/>
        </w:rPr>
        <w:t>m</w:t>
      </w:r>
      <w:r>
        <w:rPr>
          <w:bCs/>
        </w:rPr>
        <w:t>bre ingresar la mano que empuñaba un arma por la ventanilla del conductor, y que en realidad esto le h</w:t>
      </w:r>
      <w:r>
        <w:rPr>
          <w:bCs/>
        </w:rPr>
        <w:t>a</w:t>
      </w:r>
      <w:r>
        <w:rPr>
          <w:bCs/>
        </w:rPr>
        <w:t>bía sido relatado por Telleldín mientras f</w:t>
      </w:r>
      <w:r>
        <w:rPr>
          <w:bCs/>
        </w:rPr>
        <w:t>u</w:t>
      </w:r>
      <w:r>
        <w:rPr>
          <w:bCs/>
        </w:rPr>
        <w:t>gaban.</w:t>
      </w:r>
    </w:p>
    <w:p w:rsidR="00224567" w:rsidRDefault="00224567">
      <w:pPr>
        <w:widowControl w:val="0"/>
        <w:tabs>
          <w:tab w:val="left" w:pos="2835"/>
        </w:tabs>
        <w:ind w:firstLine="708"/>
        <w:rPr>
          <w:bCs/>
        </w:rPr>
      </w:pPr>
      <w:r>
        <w:rPr>
          <w:bCs/>
        </w:rPr>
        <w:tab/>
        <w:t>Calificó el defensor su testimonio c</w:t>
      </w:r>
      <w:r>
        <w:rPr>
          <w:bCs/>
        </w:rPr>
        <w:t>o</w:t>
      </w:r>
      <w:r>
        <w:rPr>
          <w:bCs/>
        </w:rPr>
        <w:t>mo sinuoso y con un fuerte contenido mendaz, y por ello sostuvo que se vio obligado a traer a col</w:t>
      </w:r>
      <w:r>
        <w:rPr>
          <w:bCs/>
        </w:rPr>
        <w:t>a</w:t>
      </w:r>
      <w:r>
        <w:rPr>
          <w:bCs/>
        </w:rPr>
        <w:t xml:space="preserve">ción los dichos </w:t>
      </w:r>
      <w:r>
        <w:rPr>
          <w:bCs/>
        </w:rPr>
        <w:lastRenderedPageBreak/>
        <w:t>del taxista Héctor Sexto que, rendidos ante la instru</w:t>
      </w:r>
      <w:r>
        <w:rPr>
          <w:bCs/>
        </w:rPr>
        <w:t>c</w:t>
      </w:r>
      <w:r>
        <w:rPr>
          <w:bCs/>
        </w:rPr>
        <w:t>ción, fueron incorpor</w:t>
      </w:r>
      <w:r>
        <w:rPr>
          <w:bCs/>
        </w:rPr>
        <w:t>a</w:t>
      </w:r>
      <w:r>
        <w:rPr>
          <w:bCs/>
        </w:rPr>
        <w:t>dos por lectura.</w:t>
      </w:r>
    </w:p>
    <w:p w:rsidR="00224567" w:rsidRDefault="00224567">
      <w:pPr>
        <w:widowControl w:val="0"/>
        <w:tabs>
          <w:tab w:val="left" w:pos="2835"/>
        </w:tabs>
        <w:ind w:firstLine="708"/>
        <w:rPr>
          <w:bCs/>
        </w:rPr>
      </w:pPr>
      <w:r>
        <w:rPr>
          <w:bCs/>
        </w:rPr>
        <w:tab/>
        <w:t>Sostuvo entonces que, respecto del 15 de marzo de 1994, se contaba con los dichos de este test</w:t>
      </w:r>
      <w:r>
        <w:rPr>
          <w:bCs/>
        </w:rPr>
        <w:t>i</w:t>
      </w:r>
      <w:r>
        <w:rPr>
          <w:bCs/>
        </w:rPr>
        <w:t>go imparcial, que, a su criterio, puso en evidencia las mentiras de B</w:t>
      </w:r>
      <w:r>
        <w:rPr>
          <w:bCs/>
        </w:rPr>
        <w:t>o</w:t>
      </w:r>
      <w:r>
        <w:rPr>
          <w:bCs/>
        </w:rPr>
        <w:t>ragni.</w:t>
      </w:r>
    </w:p>
    <w:p w:rsidR="00224567" w:rsidRDefault="00224567">
      <w:pPr>
        <w:widowControl w:val="0"/>
        <w:tabs>
          <w:tab w:val="left" w:pos="2835"/>
        </w:tabs>
        <w:ind w:firstLine="708"/>
        <w:rPr>
          <w:bCs/>
        </w:rPr>
      </w:pPr>
      <w:r>
        <w:rPr>
          <w:bCs/>
        </w:rPr>
        <w:tab/>
        <w:t>Remarcó el letrado que en su declar</w:t>
      </w:r>
      <w:r>
        <w:rPr>
          <w:bCs/>
        </w:rPr>
        <w:t>a</w:t>
      </w:r>
      <w:r>
        <w:rPr>
          <w:bCs/>
        </w:rPr>
        <w:t>ción de fs. 37.592, al referirse a este tramo del epis</w:t>
      </w:r>
      <w:r>
        <w:rPr>
          <w:bCs/>
        </w:rPr>
        <w:t>o</w:t>
      </w:r>
      <w:r>
        <w:rPr>
          <w:bCs/>
        </w:rPr>
        <w:t>dio, Sexto sostuvo que fue una sola persona la que se acercó al vehículo Renault 18 de Telleldín por el lado i</w:t>
      </w:r>
      <w:r>
        <w:rPr>
          <w:bCs/>
        </w:rPr>
        <w:t>z</w:t>
      </w:r>
      <w:r>
        <w:rPr>
          <w:bCs/>
        </w:rPr>
        <w:t>quierdo del rodado; que lejos de presenciar algún t</w:t>
      </w:r>
      <w:r>
        <w:rPr>
          <w:bCs/>
        </w:rPr>
        <w:t>i</w:t>
      </w:r>
      <w:r>
        <w:rPr>
          <w:bCs/>
        </w:rPr>
        <w:t>po de forcejeo o hecho violento previo, el testigo relató que sólo existió un diálogo entre ambas personas y que incl</w:t>
      </w:r>
      <w:r>
        <w:rPr>
          <w:bCs/>
        </w:rPr>
        <w:t>u</w:t>
      </w:r>
      <w:r>
        <w:rPr>
          <w:bCs/>
        </w:rPr>
        <w:t>so, en un primer momento, creyó que estaba a</w:t>
      </w:r>
      <w:r>
        <w:rPr>
          <w:bCs/>
        </w:rPr>
        <w:t>n</w:t>
      </w:r>
      <w:r>
        <w:rPr>
          <w:bCs/>
        </w:rPr>
        <w:t>te dos amigos que se hab</w:t>
      </w:r>
      <w:r>
        <w:rPr>
          <w:bCs/>
        </w:rPr>
        <w:t>í</w:t>
      </w:r>
      <w:r>
        <w:rPr>
          <w:bCs/>
        </w:rPr>
        <w:t>an encontrado.</w:t>
      </w:r>
    </w:p>
    <w:p w:rsidR="00224567" w:rsidRDefault="00224567">
      <w:pPr>
        <w:widowControl w:val="0"/>
        <w:tabs>
          <w:tab w:val="left" w:pos="2835"/>
        </w:tabs>
        <w:ind w:firstLine="708"/>
        <w:rPr>
          <w:bCs/>
        </w:rPr>
      </w:pPr>
      <w:r>
        <w:rPr>
          <w:bCs/>
        </w:rPr>
        <w:tab/>
        <w:t>Concluyó el letrado que Sexto, en vi</w:t>
      </w:r>
      <w:r>
        <w:rPr>
          <w:bCs/>
        </w:rPr>
        <w:t>r</w:t>
      </w:r>
      <w:r>
        <w:rPr>
          <w:bCs/>
        </w:rPr>
        <w:t>tud del choque y la fuga de Telleldín, y a instancia de quienes se identificaron como policías que venían de L</w:t>
      </w:r>
      <w:r>
        <w:rPr>
          <w:bCs/>
        </w:rPr>
        <w:t>a</w:t>
      </w:r>
      <w:r>
        <w:rPr>
          <w:bCs/>
        </w:rPr>
        <w:t>nús, firmó el acta que se labró en el lugar, dando cue</w:t>
      </w:r>
      <w:r>
        <w:rPr>
          <w:bCs/>
        </w:rPr>
        <w:t>n</w:t>
      </w:r>
      <w:r>
        <w:rPr>
          <w:bCs/>
        </w:rPr>
        <w:t xml:space="preserve">ta de la existencia de una sola persona en el interior del </w:t>
      </w:r>
      <w:r>
        <w:rPr>
          <w:bCs/>
        </w:rPr>
        <w:lastRenderedPageBreak/>
        <w:t>vehículo que chocó su taxi, agregando que dicho instrume</w:t>
      </w:r>
      <w:r>
        <w:rPr>
          <w:bCs/>
        </w:rPr>
        <w:t>n</w:t>
      </w:r>
      <w:r>
        <w:rPr>
          <w:bCs/>
        </w:rPr>
        <w:t>to fue rat</w:t>
      </w:r>
      <w:r>
        <w:rPr>
          <w:bCs/>
        </w:rPr>
        <w:t>i</w:t>
      </w:r>
      <w:r>
        <w:rPr>
          <w:bCs/>
        </w:rPr>
        <w:t>ficado por el testigo a fs. 37.593.</w:t>
      </w:r>
    </w:p>
    <w:p w:rsidR="00224567" w:rsidRDefault="00224567">
      <w:pPr>
        <w:widowControl w:val="0"/>
        <w:tabs>
          <w:tab w:val="left" w:pos="2835"/>
        </w:tabs>
        <w:ind w:firstLine="708"/>
        <w:rPr>
          <w:bCs/>
        </w:rPr>
      </w:pPr>
      <w:r>
        <w:rPr>
          <w:bCs/>
        </w:rPr>
        <w:tab/>
        <w:t>Remarcó la defensa que del test</w:t>
      </w:r>
      <w:r>
        <w:rPr>
          <w:bCs/>
        </w:rPr>
        <w:t>i</w:t>
      </w:r>
      <w:r>
        <w:rPr>
          <w:bCs/>
        </w:rPr>
        <w:t>monio de Sexto en la instrucción no surgía que el taxista hubi</w:t>
      </w:r>
      <w:r>
        <w:rPr>
          <w:bCs/>
        </w:rPr>
        <w:t>e</w:t>
      </w:r>
      <w:r>
        <w:rPr>
          <w:bCs/>
        </w:rPr>
        <w:t>ra dicho que no prestó atención a los ocupantes del vehículo que lo chocó –como pretendían los fiscales-, sino que, por el contrario, logró detectar a uno de los pol</w:t>
      </w:r>
      <w:r>
        <w:rPr>
          <w:bCs/>
        </w:rPr>
        <w:t>i</w:t>
      </w:r>
      <w:r>
        <w:rPr>
          <w:bCs/>
        </w:rPr>
        <w:t>cías que de manera encubierta y de civil vigilaba desde la otra esquina los movimientos de Telle</w:t>
      </w:r>
      <w:r>
        <w:rPr>
          <w:bCs/>
        </w:rPr>
        <w:t>l</w:t>
      </w:r>
      <w:r>
        <w:rPr>
          <w:bCs/>
        </w:rPr>
        <w:t>dín, concluyendo que dicha aseveración del taxista d</w:t>
      </w:r>
      <w:r>
        <w:rPr>
          <w:bCs/>
        </w:rPr>
        <w:t>e</w:t>
      </w:r>
      <w:r>
        <w:rPr>
          <w:bCs/>
        </w:rPr>
        <w:t>mostraba su atención sobre lo que sucedía a su alred</w:t>
      </w:r>
      <w:r>
        <w:rPr>
          <w:bCs/>
        </w:rPr>
        <w:t>e</w:t>
      </w:r>
      <w:r>
        <w:rPr>
          <w:bCs/>
        </w:rPr>
        <w:t>dor.</w:t>
      </w:r>
    </w:p>
    <w:p w:rsidR="00224567" w:rsidRDefault="00224567">
      <w:pPr>
        <w:widowControl w:val="0"/>
        <w:tabs>
          <w:tab w:val="left" w:pos="2835"/>
        </w:tabs>
        <w:ind w:firstLine="708"/>
        <w:rPr>
          <w:bCs/>
        </w:rPr>
      </w:pPr>
      <w:r>
        <w:rPr>
          <w:bCs/>
        </w:rPr>
        <w:tab/>
        <w:t>Además, valoró la defensa, tampoco o</w:t>
      </w:r>
      <w:r>
        <w:rPr>
          <w:bCs/>
        </w:rPr>
        <w:t>b</w:t>
      </w:r>
      <w:r>
        <w:rPr>
          <w:bCs/>
        </w:rPr>
        <w:t>servó Sexto los movimientos relatados por B</w:t>
      </w:r>
      <w:r>
        <w:rPr>
          <w:bCs/>
        </w:rPr>
        <w:t>o</w:t>
      </w:r>
      <w:r>
        <w:rPr>
          <w:bCs/>
        </w:rPr>
        <w:t>ragni respecto a su llegada al lugar, lo que a la luz de la manifestación reseñada precedentemente, calificó como inexplic</w:t>
      </w:r>
      <w:r>
        <w:rPr>
          <w:bCs/>
        </w:rPr>
        <w:t>a</w:t>
      </w:r>
      <w:r>
        <w:rPr>
          <w:bCs/>
        </w:rPr>
        <w:t>ble.</w:t>
      </w:r>
    </w:p>
    <w:p w:rsidR="00224567" w:rsidRDefault="00224567">
      <w:pPr>
        <w:widowControl w:val="0"/>
        <w:tabs>
          <w:tab w:val="left" w:pos="2835"/>
        </w:tabs>
        <w:ind w:firstLine="708"/>
        <w:rPr>
          <w:bCs/>
        </w:rPr>
      </w:pPr>
      <w:r>
        <w:rPr>
          <w:bCs/>
        </w:rPr>
        <w:tab/>
        <w:t>Recordó el defensor que tampoco Casas y Toledo, que esperaban en actitud vigilante, advirti</w:t>
      </w:r>
      <w:r>
        <w:rPr>
          <w:bCs/>
        </w:rPr>
        <w:t>e</w:t>
      </w:r>
      <w:r>
        <w:rPr>
          <w:bCs/>
        </w:rPr>
        <w:t>ron la existencia cercana o el arribo al lugar del vehículo Ford Escort conducido por Boragni, ni mucho menos su a</w:t>
      </w:r>
      <w:r>
        <w:rPr>
          <w:bCs/>
        </w:rPr>
        <w:t>s</w:t>
      </w:r>
      <w:r>
        <w:rPr>
          <w:bCs/>
        </w:rPr>
        <w:t>censo al Renault 18 tripulado por Telleldín, remarcando que además de fi</w:t>
      </w:r>
      <w:r>
        <w:rPr>
          <w:bCs/>
        </w:rPr>
        <w:t>r</w:t>
      </w:r>
      <w:r>
        <w:rPr>
          <w:bCs/>
        </w:rPr>
        <w:t xml:space="preserve">mar el acta documentando la presencia de </w:t>
      </w:r>
      <w:r>
        <w:rPr>
          <w:bCs/>
        </w:rPr>
        <w:lastRenderedPageBreak/>
        <w:t>un único individuo del sexo masculino en el interior del Renault 18, en ninguna de sus declaraciones corroboraron la ve</w:t>
      </w:r>
      <w:r>
        <w:rPr>
          <w:bCs/>
        </w:rPr>
        <w:t>r</w:t>
      </w:r>
      <w:r>
        <w:rPr>
          <w:bCs/>
        </w:rPr>
        <w:t>sión de Boragni.</w:t>
      </w:r>
    </w:p>
    <w:p w:rsidR="00224567" w:rsidRDefault="00224567">
      <w:pPr>
        <w:widowControl w:val="0"/>
        <w:tabs>
          <w:tab w:val="left" w:pos="2835"/>
        </w:tabs>
        <w:ind w:firstLine="708"/>
        <w:rPr>
          <w:bCs/>
        </w:rPr>
      </w:pPr>
      <w:r>
        <w:rPr>
          <w:bCs/>
        </w:rPr>
        <w:tab/>
        <w:t>Infirió el letrado que resultaba i</w:t>
      </w:r>
      <w:r>
        <w:rPr>
          <w:bCs/>
        </w:rPr>
        <w:t>n</w:t>
      </w:r>
      <w:r>
        <w:rPr>
          <w:bCs/>
        </w:rPr>
        <w:t>concebible suponer que, al momento de procurar aprehe</w:t>
      </w:r>
      <w:r>
        <w:rPr>
          <w:bCs/>
        </w:rPr>
        <w:t>n</w:t>
      </w:r>
      <w:r>
        <w:rPr>
          <w:bCs/>
        </w:rPr>
        <w:t>der a una persona que se encontraba dentro de un auto, los efectivos no constataran previamente si el sospechoso se encontraba solo o acompañado por otro indiv</w:t>
      </w:r>
      <w:r>
        <w:rPr>
          <w:bCs/>
        </w:rPr>
        <w:t>i</w:t>
      </w:r>
      <w:r>
        <w:rPr>
          <w:bCs/>
        </w:rPr>
        <w:t>duo, agregando que de haber percibido la existencia del vehículo, los p</w:t>
      </w:r>
      <w:r>
        <w:rPr>
          <w:bCs/>
        </w:rPr>
        <w:t>o</w:t>
      </w:r>
      <w:r>
        <w:rPr>
          <w:bCs/>
        </w:rPr>
        <w:t>licías no hubieran abandonado la zona sin al menos requ</w:t>
      </w:r>
      <w:r>
        <w:rPr>
          <w:bCs/>
        </w:rPr>
        <w:t>e</w:t>
      </w:r>
      <w:r>
        <w:rPr>
          <w:bCs/>
        </w:rPr>
        <w:t>rir a</w:t>
      </w:r>
      <w:r>
        <w:rPr>
          <w:bCs/>
        </w:rPr>
        <w:t>l</w:t>
      </w:r>
      <w:r>
        <w:rPr>
          <w:bCs/>
        </w:rPr>
        <w:t>gún dato vinculado con el Ford Escort.</w:t>
      </w:r>
    </w:p>
    <w:p w:rsidR="00224567" w:rsidRDefault="00224567">
      <w:pPr>
        <w:widowControl w:val="0"/>
        <w:tabs>
          <w:tab w:val="left" w:pos="2835"/>
        </w:tabs>
        <w:ind w:firstLine="708"/>
        <w:rPr>
          <w:bCs/>
        </w:rPr>
      </w:pPr>
      <w:r>
        <w:rPr>
          <w:bCs/>
        </w:rPr>
        <w:tab/>
        <w:t>Agregó el Dr. Giardelli que su repr</w:t>
      </w:r>
      <w:r>
        <w:rPr>
          <w:bCs/>
        </w:rPr>
        <w:t>e</w:t>
      </w:r>
      <w:r>
        <w:rPr>
          <w:bCs/>
        </w:rPr>
        <w:t>sentado Ibarra fue categórico a la hora de pronunciarse sobre este asunto en cuanto a que Telleldín no se enco</w:t>
      </w:r>
      <w:r>
        <w:rPr>
          <w:bCs/>
        </w:rPr>
        <w:t>n</w:t>
      </w:r>
      <w:r>
        <w:rPr>
          <w:bCs/>
        </w:rPr>
        <w:t>traba acompañado esa noche de marzo de 1994 -tal como lo confirmó Sexto- y que vigilaba los movimientos de Telle</w:t>
      </w:r>
      <w:r>
        <w:rPr>
          <w:bCs/>
        </w:rPr>
        <w:t>l</w:t>
      </w:r>
      <w:r>
        <w:rPr>
          <w:bCs/>
        </w:rPr>
        <w:t>dín en el lugar, por lo que si Boragni hubiera est</w:t>
      </w:r>
      <w:r>
        <w:rPr>
          <w:bCs/>
        </w:rPr>
        <w:t>a</w:t>
      </w:r>
      <w:r>
        <w:rPr>
          <w:bCs/>
        </w:rPr>
        <w:t>cionado su auto a la par del de su marido y luego abordado el R</w:t>
      </w:r>
      <w:r>
        <w:rPr>
          <w:bCs/>
        </w:rPr>
        <w:t>e</w:t>
      </w:r>
      <w:r>
        <w:rPr>
          <w:bCs/>
        </w:rPr>
        <w:t>nault 18, hubiera reparado en ello.</w:t>
      </w:r>
    </w:p>
    <w:p w:rsidR="00224567" w:rsidRDefault="00224567">
      <w:pPr>
        <w:widowControl w:val="0"/>
        <w:tabs>
          <w:tab w:val="left" w:pos="2835"/>
        </w:tabs>
        <w:ind w:firstLine="708"/>
        <w:rPr>
          <w:bCs/>
        </w:rPr>
      </w:pPr>
      <w:r>
        <w:rPr>
          <w:bCs/>
        </w:rPr>
        <w:tab/>
        <w:t>Dedujo el defensor que la posib</w:t>
      </w:r>
      <w:r>
        <w:rPr>
          <w:bCs/>
        </w:rPr>
        <w:t>i</w:t>
      </w:r>
      <w:r>
        <w:rPr>
          <w:bCs/>
        </w:rPr>
        <w:t xml:space="preserve">lidad </w:t>
      </w:r>
      <w:r>
        <w:rPr>
          <w:bCs/>
        </w:rPr>
        <w:lastRenderedPageBreak/>
        <w:t>de que ella hubiera llegado al lugar del episodio tiempo antes del arribo de su marido, no hace más que a</w:t>
      </w:r>
      <w:r>
        <w:rPr>
          <w:bCs/>
        </w:rPr>
        <w:t>u</w:t>
      </w:r>
      <w:r>
        <w:rPr>
          <w:bCs/>
        </w:rPr>
        <w:t>mentar la inverosimilitud de la historia, ya que en tal caso, con mayor razón, debió haber sido vista por Sexto, Casas, T</w:t>
      </w:r>
      <w:r>
        <w:rPr>
          <w:bCs/>
        </w:rPr>
        <w:t>o</w:t>
      </w:r>
      <w:r>
        <w:rPr>
          <w:bCs/>
        </w:rPr>
        <w:t>ledo o Ib</w:t>
      </w:r>
      <w:r>
        <w:rPr>
          <w:bCs/>
        </w:rPr>
        <w:t>a</w:t>
      </w:r>
      <w:r>
        <w:rPr>
          <w:bCs/>
        </w:rPr>
        <w:t>rra.</w:t>
      </w:r>
    </w:p>
    <w:p w:rsidR="00224567" w:rsidRDefault="00224567">
      <w:pPr>
        <w:widowControl w:val="0"/>
        <w:tabs>
          <w:tab w:val="left" w:pos="2835"/>
        </w:tabs>
        <w:ind w:firstLine="708"/>
        <w:rPr>
          <w:bCs/>
        </w:rPr>
      </w:pPr>
      <w:r>
        <w:rPr>
          <w:bCs/>
        </w:rPr>
        <w:tab/>
        <w:t>Evocó el letrado, que Boragni al ref</w:t>
      </w:r>
      <w:r>
        <w:rPr>
          <w:bCs/>
        </w:rPr>
        <w:t>e</w:t>
      </w:r>
      <w:r>
        <w:rPr>
          <w:bCs/>
        </w:rPr>
        <w:t>rirse a lo ocurrido y a cuáles fueron los pasos s</w:t>
      </w:r>
      <w:r>
        <w:rPr>
          <w:bCs/>
        </w:rPr>
        <w:t>i</w:t>
      </w:r>
      <w:r>
        <w:rPr>
          <w:bCs/>
        </w:rPr>
        <w:t>guientes de la pareja una vez que lograron eludir el procedimiento policial de Olivos, intentó evitar pronunciarse el respe</w:t>
      </w:r>
      <w:r>
        <w:rPr>
          <w:bCs/>
        </w:rPr>
        <w:t>c</w:t>
      </w:r>
      <w:r>
        <w:rPr>
          <w:bCs/>
        </w:rPr>
        <w:t>to alegando desórdenes en su mem</w:t>
      </w:r>
      <w:r>
        <w:rPr>
          <w:bCs/>
        </w:rPr>
        <w:t>o</w:t>
      </w:r>
      <w:r>
        <w:rPr>
          <w:bCs/>
        </w:rPr>
        <w:t>ria.</w:t>
      </w:r>
    </w:p>
    <w:p w:rsidR="00224567" w:rsidRDefault="00224567">
      <w:pPr>
        <w:widowControl w:val="0"/>
        <w:tabs>
          <w:tab w:val="left" w:pos="2835"/>
        </w:tabs>
        <w:ind w:firstLine="708"/>
        <w:rPr>
          <w:bCs/>
        </w:rPr>
      </w:pPr>
      <w:r>
        <w:rPr>
          <w:bCs/>
        </w:rPr>
        <w:tab/>
        <w:t>Remarcó el defensor que Boragni, sin perjuicio de su reticencia, deslizó algunas pocas afirm</w:t>
      </w:r>
      <w:r>
        <w:rPr>
          <w:bCs/>
        </w:rPr>
        <w:t>a</w:t>
      </w:r>
      <w:r>
        <w:rPr>
          <w:bCs/>
        </w:rPr>
        <w:t>ciones en un intento de dar una respuesta coherente a e</w:t>
      </w:r>
      <w:r>
        <w:rPr>
          <w:bCs/>
        </w:rPr>
        <w:t>s</w:t>
      </w:r>
      <w:r>
        <w:rPr>
          <w:bCs/>
        </w:rPr>
        <w:t>tos interrogantes, pero dichas explicaciones estuvieron parejamente plagadas de contradicciones y vacilaciones d</w:t>
      </w:r>
      <w:r>
        <w:rPr>
          <w:bCs/>
        </w:rPr>
        <w:t>e</w:t>
      </w:r>
      <w:r>
        <w:rPr>
          <w:bCs/>
        </w:rPr>
        <w:t>mostrativas de su absoluta mendacidad, en cuanto a haber vivido los hechos del 15 de marzo.</w:t>
      </w:r>
    </w:p>
    <w:p w:rsidR="00224567" w:rsidRDefault="00224567">
      <w:pPr>
        <w:widowControl w:val="0"/>
        <w:tabs>
          <w:tab w:val="left" w:pos="2835"/>
        </w:tabs>
        <w:ind w:firstLine="708"/>
        <w:rPr>
          <w:bCs/>
        </w:rPr>
      </w:pPr>
      <w:r>
        <w:rPr>
          <w:bCs/>
        </w:rPr>
        <w:tab/>
        <w:t>Consideró que en su testimonial del 10 de julio de 1996, Boragni, procurando alinearse con la versión rend</w:t>
      </w:r>
      <w:r>
        <w:rPr>
          <w:bCs/>
        </w:rPr>
        <w:t>i</w:t>
      </w:r>
      <w:r>
        <w:rPr>
          <w:bCs/>
        </w:rPr>
        <w:t>da por Carlos cinco días antes, contó que se habían dir</w:t>
      </w:r>
      <w:r>
        <w:rPr>
          <w:bCs/>
        </w:rPr>
        <w:t>i</w:t>
      </w:r>
      <w:r>
        <w:rPr>
          <w:bCs/>
        </w:rPr>
        <w:t xml:space="preserve">gido a un bar de </w:t>
      </w:r>
      <w:smartTag w:uri="urn:schemas-microsoft-com:office:smarttags" w:element="PersonName">
        <w:smartTagPr>
          <w:attr w:name="ProductID" w:val="la Capital Federal"/>
        </w:smartTagPr>
        <w:r>
          <w:rPr>
            <w:bCs/>
          </w:rPr>
          <w:t>la Capital Federal</w:t>
        </w:r>
      </w:smartTag>
      <w:r>
        <w:rPr>
          <w:bCs/>
        </w:rPr>
        <w:t xml:space="preserve"> desde donde </w:t>
      </w:r>
      <w:r>
        <w:rPr>
          <w:bCs/>
        </w:rPr>
        <w:lastRenderedPageBreak/>
        <w:t>Carlos se com</w:t>
      </w:r>
      <w:r>
        <w:rPr>
          <w:bCs/>
        </w:rPr>
        <w:t>u</w:t>
      </w:r>
      <w:r>
        <w:rPr>
          <w:bCs/>
        </w:rPr>
        <w:t>nicó con Semorile.</w:t>
      </w:r>
    </w:p>
    <w:p w:rsidR="00224567" w:rsidRDefault="00224567">
      <w:pPr>
        <w:widowControl w:val="0"/>
        <w:tabs>
          <w:tab w:val="left" w:pos="2835"/>
        </w:tabs>
        <w:ind w:firstLine="708"/>
        <w:rPr>
          <w:bCs/>
        </w:rPr>
      </w:pPr>
      <w:r>
        <w:rPr>
          <w:bCs/>
        </w:rPr>
        <w:tab/>
        <w:t>Reparó la defensa que cuando la test</w:t>
      </w:r>
      <w:r>
        <w:rPr>
          <w:bCs/>
        </w:rPr>
        <w:t>i</w:t>
      </w:r>
      <w:r>
        <w:rPr>
          <w:bCs/>
        </w:rPr>
        <w:t>go fue preguntada en torno a las dos reuniones mant</w:t>
      </w:r>
      <w:r>
        <w:rPr>
          <w:bCs/>
        </w:rPr>
        <w:t>e</w:t>
      </w:r>
      <w:r>
        <w:rPr>
          <w:bCs/>
        </w:rPr>
        <w:t>nidas en una confitería con Bottegal, el 15 de julio de 1994, precisó con exactitud las ubicaciones de cada uno de estos bares, por lo que resultaba muy sugestivo, a criterio de la defensa, que ni siquiera haya podido decir en la a</w:t>
      </w:r>
      <w:r>
        <w:rPr>
          <w:bCs/>
        </w:rPr>
        <w:t>u</w:t>
      </w:r>
      <w:r>
        <w:rPr>
          <w:bCs/>
        </w:rPr>
        <w:t xml:space="preserve">diencia si este supuesto comercio, el 15 de marzo, quedaba en </w:t>
      </w:r>
      <w:smartTag w:uri="urn:schemas-microsoft-com:office:smarttags" w:element="PersonName">
        <w:smartTagPr>
          <w:attr w:name="ProductID" w:val="la Capital Federal"/>
        </w:smartTagPr>
        <w:r>
          <w:rPr>
            <w:bCs/>
          </w:rPr>
          <w:t>la Capital F</w:t>
        </w:r>
        <w:r>
          <w:rPr>
            <w:bCs/>
          </w:rPr>
          <w:t>e</w:t>
        </w:r>
        <w:r>
          <w:rPr>
            <w:bCs/>
          </w:rPr>
          <w:t>deral</w:t>
        </w:r>
      </w:smartTag>
      <w:r>
        <w:rPr>
          <w:bCs/>
        </w:rPr>
        <w:t xml:space="preserve"> o en </w:t>
      </w:r>
      <w:smartTag w:uri="urn:schemas-microsoft-com:office:smarttags" w:element="PersonName">
        <w:smartTagPr>
          <w:attr w:name="ProductID" w:val="la Provincia"/>
        </w:smartTagPr>
        <w:r>
          <w:rPr>
            <w:bCs/>
          </w:rPr>
          <w:t>la Provincia</w:t>
        </w:r>
      </w:smartTag>
      <w:r>
        <w:rPr>
          <w:bCs/>
        </w:rPr>
        <w:t xml:space="preserve"> de Buenos Aires.</w:t>
      </w:r>
    </w:p>
    <w:p w:rsidR="00224567" w:rsidRDefault="00224567">
      <w:pPr>
        <w:widowControl w:val="0"/>
        <w:tabs>
          <w:tab w:val="left" w:pos="2835"/>
        </w:tabs>
        <w:ind w:firstLine="708"/>
        <w:rPr>
          <w:bCs/>
        </w:rPr>
      </w:pPr>
      <w:r>
        <w:rPr>
          <w:bCs/>
        </w:rPr>
        <w:tab/>
        <w:t>Remarcó la defensa que en esa ocasión no dijo nada de todos los demás movimientos que había co</w:t>
      </w:r>
      <w:r>
        <w:rPr>
          <w:bCs/>
        </w:rPr>
        <w:t>n</w:t>
      </w:r>
      <w:r>
        <w:rPr>
          <w:bCs/>
        </w:rPr>
        <w:t>tado en la ve</w:t>
      </w:r>
      <w:r>
        <w:rPr>
          <w:bCs/>
        </w:rPr>
        <w:t>r</w:t>
      </w:r>
      <w:r>
        <w:rPr>
          <w:bCs/>
        </w:rPr>
        <w:t>sión de julio de 1996, razón por la cual en la audiencia se leyó parte de esa declaración, reco</w:t>
      </w:r>
      <w:r>
        <w:rPr>
          <w:bCs/>
        </w:rPr>
        <w:t>r</w:t>
      </w:r>
      <w:r>
        <w:rPr>
          <w:bCs/>
        </w:rPr>
        <w:t>dando recién en ese momento que, previo a irse a un hotel, que ubicó en Capital y Carlos en la ruta P</w:t>
      </w:r>
      <w:r>
        <w:rPr>
          <w:bCs/>
        </w:rPr>
        <w:t>a</w:t>
      </w:r>
      <w:r>
        <w:rPr>
          <w:bCs/>
        </w:rPr>
        <w:t>namericana, estuvo sentada, por un lapso indeterminado, en la puerta de una remisería de algún lugar, al parecer cercano a la quinta de Tortugu</w:t>
      </w:r>
      <w:r>
        <w:rPr>
          <w:bCs/>
        </w:rPr>
        <w:t>i</w:t>
      </w:r>
      <w:r>
        <w:rPr>
          <w:bCs/>
        </w:rPr>
        <w:t>tas.</w:t>
      </w:r>
    </w:p>
    <w:p w:rsidR="00224567" w:rsidRDefault="00224567">
      <w:pPr>
        <w:widowControl w:val="0"/>
        <w:tabs>
          <w:tab w:val="left" w:pos="2835"/>
        </w:tabs>
        <w:ind w:firstLine="708"/>
        <w:rPr>
          <w:bCs/>
        </w:rPr>
      </w:pPr>
      <w:r>
        <w:rPr>
          <w:bCs/>
        </w:rPr>
        <w:tab/>
        <w:t xml:space="preserve">Concluyó la defensa que si bien en la instrucción Boragni había afirmado que Carlos fue a la </w:t>
      </w:r>
      <w:r>
        <w:rPr>
          <w:bCs/>
        </w:rPr>
        <w:lastRenderedPageBreak/>
        <w:t>quinta y sacó de allí unos autos de procedencia ilícita por si la policía llegaba a visitar ese lugar, no r</w:t>
      </w:r>
      <w:r>
        <w:rPr>
          <w:bCs/>
        </w:rPr>
        <w:t>e</w:t>
      </w:r>
      <w:r>
        <w:rPr>
          <w:bCs/>
        </w:rPr>
        <w:t>cordó tan inquietante circunstancia, sosteniendo que el largo viaje a Tortuguitas se debió tan sólo al propósito de Ca</w:t>
      </w:r>
      <w:r>
        <w:rPr>
          <w:bCs/>
        </w:rPr>
        <w:t>r</w:t>
      </w:r>
      <w:r>
        <w:rPr>
          <w:bCs/>
        </w:rPr>
        <w:t>los de contarle a Sandra, de manera personal, el episodio viv</w:t>
      </w:r>
      <w:r>
        <w:rPr>
          <w:bCs/>
        </w:rPr>
        <w:t>i</w:t>
      </w:r>
      <w:r>
        <w:rPr>
          <w:bCs/>
        </w:rPr>
        <w:t>do.</w:t>
      </w:r>
    </w:p>
    <w:p w:rsidR="00224567" w:rsidRDefault="00224567">
      <w:pPr>
        <w:widowControl w:val="0"/>
        <w:tabs>
          <w:tab w:val="left" w:pos="2835"/>
        </w:tabs>
        <w:ind w:firstLine="708"/>
        <w:rPr>
          <w:bCs/>
        </w:rPr>
      </w:pPr>
      <w:r>
        <w:rPr>
          <w:bCs/>
        </w:rPr>
        <w:tab/>
        <w:t>Aseveró la defensa que, lectura m</w:t>
      </w:r>
      <w:r>
        <w:rPr>
          <w:bCs/>
        </w:rPr>
        <w:t>e</w:t>
      </w:r>
      <w:r>
        <w:rPr>
          <w:bCs/>
        </w:rPr>
        <w:t>diante, Boragni se avino a decir también lo que antes h</w:t>
      </w:r>
      <w:r>
        <w:rPr>
          <w:bCs/>
        </w:rPr>
        <w:t>a</w:t>
      </w:r>
      <w:r>
        <w:rPr>
          <w:bCs/>
        </w:rPr>
        <w:t>bía negado, señalando que había pasado por el lavadero de Pelliza y vio que adentro había un camión sobre el que a</w:t>
      </w:r>
      <w:r>
        <w:rPr>
          <w:bCs/>
        </w:rPr>
        <w:t>l</w:t>
      </w:r>
      <w:r>
        <w:rPr>
          <w:bCs/>
        </w:rPr>
        <w:t>guien, a quien no identificó, cargaba chatarra, justif</w:t>
      </w:r>
      <w:r>
        <w:rPr>
          <w:bCs/>
        </w:rPr>
        <w:t>i</w:t>
      </w:r>
      <w:r>
        <w:rPr>
          <w:bCs/>
        </w:rPr>
        <w:t>cando el olvido diciendo que recordaba ese momento pero que no lo asociaba con la fuga de ma</w:t>
      </w:r>
      <w:r>
        <w:rPr>
          <w:bCs/>
        </w:rPr>
        <w:t>r</w:t>
      </w:r>
      <w:r>
        <w:rPr>
          <w:bCs/>
        </w:rPr>
        <w:t>zo.</w:t>
      </w:r>
    </w:p>
    <w:p w:rsidR="00224567" w:rsidRDefault="00224567">
      <w:pPr>
        <w:widowControl w:val="0"/>
        <w:tabs>
          <w:tab w:val="left" w:pos="2835"/>
        </w:tabs>
        <w:ind w:firstLine="708"/>
        <w:rPr>
          <w:bCs/>
        </w:rPr>
      </w:pPr>
      <w:r>
        <w:rPr>
          <w:bCs/>
        </w:rPr>
        <w:tab/>
        <w:t>Consideró el defensor de Ibarra que con relación a la supuesta búsqueda del Ford Escort que Boragni alegó haber efectuado, debía valorarse que ello implicaba regresar al lugar en el cual habían atrop</w:t>
      </w:r>
      <w:r>
        <w:rPr>
          <w:bCs/>
        </w:rPr>
        <w:t>e</w:t>
      </w:r>
      <w:r>
        <w:rPr>
          <w:bCs/>
        </w:rPr>
        <w:t>llado a un supuesto policía, a quien previsiblemente podían h</w:t>
      </w:r>
      <w:r>
        <w:rPr>
          <w:bCs/>
        </w:rPr>
        <w:t>a</w:t>
      </w:r>
      <w:r>
        <w:rPr>
          <w:bCs/>
        </w:rPr>
        <w:t>ber lastimado seriamente e incluso matado, sin consignar que el fuerte impacto que tuvieron con el taxi de Sexto al comenzar la huída, le imponían evaluar además, como prob</w:t>
      </w:r>
      <w:r>
        <w:rPr>
          <w:bCs/>
        </w:rPr>
        <w:t>a</w:t>
      </w:r>
      <w:r>
        <w:rPr>
          <w:bCs/>
        </w:rPr>
        <w:lastRenderedPageBreak/>
        <w:t>ble, el hecho de que también el taxista hubiera sufrido lesiones importa</w:t>
      </w:r>
      <w:r>
        <w:rPr>
          <w:bCs/>
        </w:rPr>
        <w:t>n</w:t>
      </w:r>
      <w:r>
        <w:rPr>
          <w:bCs/>
        </w:rPr>
        <w:t>tes.</w:t>
      </w:r>
    </w:p>
    <w:p w:rsidR="00224567" w:rsidRDefault="00224567">
      <w:pPr>
        <w:widowControl w:val="0"/>
        <w:tabs>
          <w:tab w:val="left" w:pos="2835"/>
        </w:tabs>
        <w:ind w:firstLine="708"/>
        <w:rPr>
          <w:bCs/>
        </w:rPr>
      </w:pPr>
      <w:r>
        <w:rPr>
          <w:bCs/>
        </w:rPr>
        <w:tab/>
        <w:t>Dedujo el defensor que resulta inver</w:t>
      </w:r>
      <w:r>
        <w:rPr>
          <w:bCs/>
        </w:rPr>
        <w:t>o</w:t>
      </w:r>
      <w:r>
        <w:rPr>
          <w:bCs/>
        </w:rPr>
        <w:t>símil el hecho de que Boragni cuente que unas horas de</w:t>
      </w:r>
      <w:r>
        <w:rPr>
          <w:bCs/>
        </w:rPr>
        <w:t>s</w:t>
      </w:r>
      <w:r>
        <w:rPr>
          <w:bCs/>
        </w:rPr>
        <w:t>pués de ocurrida tan cinematográfica fuga se atreviera a regresar a la escena de los acontecimientos como para pr</w:t>
      </w:r>
      <w:r>
        <w:rPr>
          <w:bCs/>
        </w:rPr>
        <w:t>e</w:t>
      </w:r>
      <w:r>
        <w:rPr>
          <w:bCs/>
        </w:rPr>
        <w:t>tender además, que tan riesgoso retorno, r</w:t>
      </w:r>
      <w:r>
        <w:rPr>
          <w:bCs/>
        </w:rPr>
        <w:t>e</w:t>
      </w:r>
      <w:r>
        <w:rPr>
          <w:bCs/>
        </w:rPr>
        <w:t>sultó para ella una circunstancia baladí y por lo tanto, incluida dentro de los pequeños d</w:t>
      </w:r>
      <w:r>
        <w:rPr>
          <w:bCs/>
        </w:rPr>
        <w:t>e</w:t>
      </w:r>
      <w:r>
        <w:rPr>
          <w:bCs/>
        </w:rPr>
        <w:t>talles que alegó no recordar.</w:t>
      </w:r>
    </w:p>
    <w:p w:rsidR="00224567" w:rsidRDefault="00224567">
      <w:pPr>
        <w:widowControl w:val="0"/>
        <w:tabs>
          <w:tab w:val="left" w:pos="2835"/>
        </w:tabs>
        <w:ind w:firstLine="708"/>
        <w:rPr>
          <w:bCs/>
        </w:rPr>
      </w:pPr>
      <w:r>
        <w:rPr>
          <w:bCs/>
        </w:rPr>
        <w:tab/>
        <w:t>Mantuvo la defensa que los mismos a</w:t>
      </w:r>
      <w:r>
        <w:rPr>
          <w:bCs/>
        </w:rPr>
        <w:t>r</w:t>
      </w:r>
      <w:r>
        <w:rPr>
          <w:bCs/>
        </w:rPr>
        <w:t>gumentos eran aplicables a la hora de considerar también falsas las versiones de Ana en cuanto a su paso por el l</w:t>
      </w:r>
      <w:r>
        <w:rPr>
          <w:bCs/>
        </w:rPr>
        <w:t>a</w:t>
      </w:r>
      <w:r>
        <w:rPr>
          <w:bCs/>
        </w:rPr>
        <w:t>vadero a la mañana siguiente de la fuga ya que, de ser ello cierto, debería recordar perfectamente el punto po</w:t>
      </w:r>
      <w:r>
        <w:rPr>
          <w:bCs/>
        </w:rPr>
        <w:t>r</w:t>
      </w:r>
      <w:r>
        <w:rPr>
          <w:bCs/>
        </w:rPr>
        <w:t>que quedaba a muy pocas cuadras de “El Barril”, donde pr</w:t>
      </w:r>
      <w:r>
        <w:rPr>
          <w:bCs/>
        </w:rPr>
        <w:t>e</w:t>
      </w:r>
      <w:r>
        <w:rPr>
          <w:bCs/>
        </w:rPr>
        <w:t>visiblemente podían buscar a los presuntos policías que intentaron ca</w:t>
      </w:r>
      <w:r>
        <w:rPr>
          <w:bCs/>
        </w:rPr>
        <w:t>p</w:t>
      </w:r>
      <w:r>
        <w:rPr>
          <w:bCs/>
        </w:rPr>
        <w:t>turarla o al propio taxista Sexto.</w:t>
      </w:r>
    </w:p>
    <w:p w:rsidR="00224567" w:rsidRDefault="00224567">
      <w:pPr>
        <w:widowControl w:val="0"/>
        <w:tabs>
          <w:tab w:val="left" w:pos="2835"/>
        </w:tabs>
        <w:ind w:firstLine="708"/>
        <w:rPr>
          <w:bCs/>
        </w:rPr>
      </w:pPr>
      <w:r>
        <w:rPr>
          <w:bCs/>
        </w:rPr>
        <w:tab/>
        <w:t>Sostuvo también que llamaron la ate</w:t>
      </w:r>
      <w:r>
        <w:rPr>
          <w:bCs/>
        </w:rPr>
        <w:t>n</w:t>
      </w:r>
      <w:r>
        <w:rPr>
          <w:bCs/>
        </w:rPr>
        <w:t>ción los dichos de Boragni, respecto a que en esa oc</w:t>
      </w:r>
      <w:r>
        <w:rPr>
          <w:bCs/>
        </w:rPr>
        <w:t>a</w:t>
      </w:r>
      <w:r>
        <w:rPr>
          <w:bCs/>
        </w:rPr>
        <w:t xml:space="preserve">sión vio que allí se cargaba chatarra dentro de un camión, </w:t>
      </w:r>
      <w:r>
        <w:rPr>
          <w:bCs/>
        </w:rPr>
        <w:lastRenderedPageBreak/>
        <w:t>cuando Pistone -que había comprado el fondo de comercio por esos días- contó justamente que Telleldín y Lo Preiato no se llevaron los recortes de vehículos siniestrados y otros repuestos que había en el lavadero, razón por la cual debió arbitrar los medios para que un camión los r</w:t>
      </w:r>
      <w:r>
        <w:rPr>
          <w:bCs/>
        </w:rPr>
        <w:t>e</w:t>
      </w:r>
      <w:r>
        <w:rPr>
          <w:bCs/>
        </w:rPr>
        <w:t>tire.</w:t>
      </w:r>
    </w:p>
    <w:p w:rsidR="00224567" w:rsidRDefault="00224567">
      <w:pPr>
        <w:widowControl w:val="0"/>
        <w:tabs>
          <w:tab w:val="left" w:pos="2835"/>
        </w:tabs>
        <w:ind w:firstLine="708"/>
        <w:rPr>
          <w:bCs/>
        </w:rPr>
      </w:pPr>
      <w:r>
        <w:rPr>
          <w:bCs/>
        </w:rPr>
        <w:tab/>
        <w:t>Concluyó la defensa que para armar e</w:t>
      </w:r>
      <w:r>
        <w:rPr>
          <w:bCs/>
        </w:rPr>
        <w:t>s</w:t>
      </w:r>
      <w:r>
        <w:rPr>
          <w:bCs/>
        </w:rPr>
        <w:t>ta falsa versión del 15 de marzo, Carlos T</w:t>
      </w:r>
      <w:r>
        <w:rPr>
          <w:bCs/>
        </w:rPr>
        <w:t>e</w:t>
      </w:r>
      <w:r>
        <w:rPr>
          <w:bCs/>
        </w:rPr>
        <w:t>lleldín eligió a su concubina pues muy sencillo le resultaba mentir de</w:t>
      </w:r>
      <w:r>
        <w:rPr>
          <w:bCs/>
        </w:rPr>
        <w:t>s</w:t>
      </w:r>
      <w:r>
        <w:rPr>
          <w:bCs/>
        </w:rPr>
        <w:t>caradamente en todo si lo hacía ante el mismo juez que, tan sólo cinco días antes, había premiado una farsa mayor contada por su compañero, con el pago de USD 400.000. Ad</w:t>
      </w:r>
      <w:r>
        <w:rPr>
          <w:bCs/>
        </w:rPr>
        <w:t>e</w:t>
      </w:r>
      <w:r>
        <w:rPr>
          <w:bCs/>
        </w:rPr>
        <w:t>más, valoró el letrado evocando los d</w:t>
      </w:r>
      <w:r>
        <w:rPr>
          <w:bCs/>
        </w:rPr>
        <w:t>i</w:t>
      </w:r>
      <w:r>
        <w:rPr>
          <w:bCs/>
        </w:rPr>
        <w:t>chos de Lifschitz no importaba si las versiones resultaran ciertas, sino que bastaba solamente con la conformidad de los dirigentes c</w:t>
      </w:r>
      <w:r>
        <w:rPr>
          <w:bCs/>
        </w:rPr>
        <w:t>o</w:t>
      </w:r>
      <w:r>
        <w:rPr>
          <w:bCs/>
        </w:rPr>
        <w:t>munitarios y algunos personajes del g</w:t>
      </w:r>
      <w:r>
        <w:rPr>
          <w:bCs/>
        </w:rPr>
        <w:t>o</w:t>
      </w:r>
      <w:r>
        <w:rPr>
          <w:bCs/>
        </w:rPr>
        <w:t xml:space="preserve">bierno de </w:t>
      </w:r>
      <w:smartTag w:uri="urn:schemas-microsoft-com:office:smarttags" w:element="PersonName">
        <w:smartTagPr>
          <w:attr w:name="ProductID" w:val="la Naci￳n."/>
        </w:smartTagPr>
        <w:r>
          <w:rPr>
            <w:bCs/>
          </w:rPr>
          <w:t>la Nación.</w:t>
        </w:r>
      </w:smartTag>
    </w:p>
    <w:p w:rsidR="00224567" w:rsidRDefault="00224567">
      <w:pPr>
        <w:widowControl w:val="0"/>
        <w:tabs>
          <w:tab w:val="left" w:pos="2835"/>
        </w:tabs>
        <w:ind w:firstLine="708"/>
        <w:rPr>
          <w:bCs/>
        </w:rPr>
      </w:pPr>
      <w:r>
        <w:rPr>
          <w:bCs/>
        </w:rPr>
        <w:tab/>
        <w:t>Respecto de los supuestos hechos oc</w:t>
      </w:r>
      <w:r>
        <w:rPr>
          <w:bCs/>
        </w:rPr>
        <w:t>u</w:t>
      </w:r>
      <w:r>
        <w:rPr>
          <w:bCs/>
        </w:rPr>
        <w:t>rridos el 4 y 5 de abril de 1994 en Lanús, el defensor consideró probado, de acuerdo a los libros de guardia de la brigada, que Carlos Telleldín y Sandra Marisa P</w:t>
      </w:r>
      <w:r>
        <w:rPr>
          <w:bCs/>
        </w:rPr>
        <w:t>e</w:t>
      </w:r>
      <w:r>
        <w:rPr>
          <w:bCs/>
        </w:rPr>
        <w:t xml:space="preserve">trucci permanecieron allí detenidos durante parte de esos dos </w:t>
      </w:r>
      <w:r>
        <w:rPr>
          <w:bCs/>
        </w:rPr>
        <w:lastRenderedPageBreak/>
        <w:t>días, pero también que, de ninguna manera estaba probada la entrega de bienes a las personas imputadas tal como lo dijeron algunos de los otros defensores, y fue admitido por los fisc</w:t>
      </w:r>
      <w:r>
        <w:rPr>
          <w:bCs/>
        </w:rPr>
        <w:t>a</w:t>
      </w:r>
      <w:r>
        <w:rPr>
          <w:bCs/>
        </w:rPr>
        <w:t>les.</w:t>
      </w:r>
    </w:p>
    <w:p w:rsidR="00224567" w:rsidRDefault="00224567">
      <w:pPr>
        <w:widowControl w:val="0"/>
        <w:tabs>
          <w:tab w:val="left" w:pos="2835"/>
        </w:tabs>
        <w:ind w:firstLine="708"/>
        <w:rPr>
          <w:bCs/>
        </w:rPr>
      </w:pPr>
      <w:r>
        <w:rPr>
          <w:bCs/>
        </w:rPr>
        <w:tab/>
        <w:t>Remarcó que la moto Kawasaki fue i</w:t>
      </w:r>
      <w:r>
        <w:rPr>
          <w:bCs/>
        </w:rPr>
        <w:t>n</w:t>
      </w:r>
      <w:r>
        <w:rPr>
          <w:bCs/>
        </w:rPr>
        <w:t>cluida en el auto de elevación a juicio y en el requer</w:t>
      </w:r>
      <w:r>
        <w:rPr>
          <w:bCs/>
        </w:rPr>
        <w:t>i</w:t>
      </w:r>
      <w:r>
        <w:rPr>
          <w:bCs/>
        </w:rPr>
        <w:t>miento fiscal como entregada al personal policial imp</w:t>
      </w:r>
      <w:r>
        <w:rPr>
          <w:bCs/>
        </w:rPr>
        <w:t>u</w:t>
      </w:r>
      <w:r>
        <w:rPr>
          <w:bCs/>
        </w:rPr>
        <w:t>tado, siendo que en realidad quedó en manos del testigo protegido nº 2, Gust</w:t>
      </w:r>
      <w:r>
        <w:rPr>
          <w:bCs/>
        </w:rPr>
        <w:t>a</w:t>
      </w:r>
      <w:r>
        <w:rPr>
          <w:bCs/>
        </w:rPr>
        <w:t>vo Semorile.</w:t>
      </w:r>
    </w:p>
    <w:p w:rsidR="00224567" w:rsidRDefault="00224567">
      <w:pPr>
        <w:widowControl w:val="0"/>
        <w:tabs>
          <w:tab w:val="left" w:pos="2835"/>
        </w:tabs>
        <w:ind w:firstLine="708"/>
        <w:rPr>
          <w:bCs/>
        </w:rPr>
      </w:pPr>
      <w:r>
        <w:rPr>
          <w:bCs/>
        </w:rPr>
        <w:tab/>
        <w:t>Esto, precisó la defensa, resu</w:t>
      </w:r>
      <w:r>
        <w:rPr>
          <w:bCs/>
        </w:rPr>
        <w:t>l</w:t>
      </w:r>
      <w:r>
        <w:rPr>
          <w:bCs/>
        </w:rPr>
        <w:t>taba de investigar a los tenedores de la moto en orden cr</w:t>
      </w:r>
      <w:r>
        <w:rPr>
          <w:bCs/>
        </w:rPr>
        <w:t>o</w:t>
      </w:r>
      <w:r>
        <w:rPr>
          <w:bCs/>
        </w:rPr>
        <w:t>nológico inverso, determinándose así que Semorile rec</w:t>
      </w:r>
      <w:r>
        <w:rPr>
          <w:bCs/>
        </w:rPr>
        <w:t>i</w:t>
      </w:r>
      <w:r>
        <w:rPr>
          <w:bCs/>
        </w:rPr>
        <w:t>bió, en algún momento y lugar que no quedó debidamente aclarado, la m</w:t>
      </w:r>
      <w:r>
        <w:rPr>
          <w:bCs/>
        </w:rPr>
        <w:t>o</w:t>
      </w:r>
      <w:r>
        <w:rPr>
          <w:bCs/>
        </w:rPr>
        <w:t>tocicleta de manos de Carlos Telleldín.</w:t>
      </w:r>
    </w:p>
    <w:p w:rsidR="00224567" w:rsidRDefault="00224567">
      <w:pPr>
        <w:widowControl w:val="0"/>
        <w:tabs>
          <w:tab w:val="left" w:pos="2835"/>
        </w:tabs>
        <w:ind w:firstLine="708"/>
        <w:rPr>
          <w:bCs/>
        </w:rPr>
      </w:pPr>
      <w:r>
        <w:rPr>
          <w:bCs/>
        </w:rPr>
        <w:tab/>
        <w:t>Afirmó que, al parecer, este person</w:t>
      </w:r>
      <w:r>
        <w:rPr>
          <w:bCs/>
        </w:rPr>
        <w:t>a</w:t>
      </w:r>
      <w:r>
        <w:rPr>
          <w:bCs/>
        </w:rPr>
        <w:t>je siniestro cuya identidad protegía el juez, se la e</w:t>
      </w:r>
      <w:r>
        <w:rPr>
          <w:bCs/>
        </w:rPr>
        <w:t>n</w:t>
      </w:r>
      <w:r>
        <w:rPr>
          <w:bCs/>
        </w:rPr>
        <w:t>tregó a su vez al testigo protegido Pablo Ibáñez y a la testigo con identidad reservada letra “K”, Miriam R</w:t>
      </w:r>
      <w:r>
        <w:rPr>
          <w:bCs/>
        </w:rPr>
        <w:t>a</w:t>
      </w:r>
      <w:r>
        <w:rPr>
          <w:bCs/>
        </w:rPr>
        <w:t>quel Salinas, y fueron ellos quienes vendieron la moto a una persona de apellido Lede</w:t>
      </w:r>
      <w:r>
        <w:rPr>
          <w:bCs/>
        </w:rPr>
        <w:t>s</w:t>
      </w:r>
      <w:r>
        <w:rPr>
          <w:bCs/>
        </w:rPr>
        <w:t>ma.</w:t>
      </w:r>
    </w:p>
    <w:p w:rsidR="00224567" w:rsidRDefault="00224567">
      <w:pPr>
        <w:widowControl w:val="0"/>
        <w:tabs>
          <w:tab w:val="left" w:pos="2835"/>
        </w:tabs>
        <w:ind w:firstLine="708"/>
        <w:rPr>
          <w:bCs/>
        </w:rPr>
      </w:pPr>
      <w:r>
        <w:rPr>
          <w:bCs/>
        </w:rPr>
        <w:lastRenderedPageBreak/>
        <w:tab/>
        <w:t>Semorile, recordó la defensa, co</w:t>
      </w:r>
      <w:r>
        <w:rPr>
          <w:bCs/>
        </w:rPr>
        <w:t>n</w:t>
      </w:r>
      <w:r>
        <w:rPr>
          <w:bCs/>
        </w:rPr>
        <w:t>tó en la audiencia distintas circunstancias muy graves pero no sorprendentes considerando el tr</w:t>
      </w:r>
      <w:r>
        <w:rPr>
          <w:bCs/>
        </w:rPr>
        <w:t>á</w:t>
      </w:r>
      <w:r>
        <w:rPr>
          <w:bCs/>
        </w:rPr>
        <w:t>mite impreso a la causa. Así, relató que Ledesma narró que al conc</w:t>
      </w:r>
      <w:r>
        <w:rPr>
          <w:bCs/>
        </w:rPr>
        <w:t>u</w:t>
      </w:r>
      <w:r>
        <w:rPr>
          <w:bCs/>
        </w:rPr>
        <w:t>rrir por primera vez a declarar al juzgado instructor en 1996, le explicó al juez que en 1994 le compró a un tal Pablo Ibáñez la m</w:t>
      </w:r>
      <w:r>
        <w:rPr>
          <w:bCs/>
        </w:rPr>
        <w:t>o</w:t>
      </w:r>
      <w:r>
        <w:rPr>
          <w:bCs/>
        </w:rPr>
        <w:t>tocicleta en cuestión, a lo que Galeano le sugirió que consiguiera la dirección de esa persona para luego decl</w:t>
      </w:r>
      <w:r>
        <w:rPr>
          <w:bCs/>
        </w:rPr>
        <w:t>a</w:t>
      </w:r>
      <w:r>
        <w:rPr>
          <w:bCs/>
        </w:rPr>
        <w:t>rar nuevamente. Aseveró el defensor que existió en la ca</w:t>
      </w:r>
      <w:r>
        <w:rPr>
          <w:bCs/>
        </w:rPr>
        <w:t>u</w:t>
      </w:r>
      <w:r>
        <w:rPr>
          <w:bCs/>
        </w:rPr>
        <w:t>sa una segu</w:t>
      </w:r>
      <w:r>
        <w:rPr>
          <w:bCs/>
        </w:rPr>
        <w:t>n</w:t>
      </w:r>
      <w:r>
        <w:rPr>
          <w:bCs/>
        </w:rPr>
        <w:t>da declaración de Ledesma firmada por un juez subrogante y por la secretaria del ju</w:t>
      </w:r>
      <w:r>
        <w:rPr>
          <w:bCs/>
        </w:rPr>
        <w:t>z</w:t>
      </w:r>
      <w:r>
        <w:rPr>
          <w:bCs/>
        </w:rPr>
        <w:t>gado, obrante a fs. 41.767, testimonial presuntamente prestada el 10 de febr</w:t>
      </w:r>
      <w:r>
        <w:rPr>
          <w:bCs/>
        </w:rPr>
        <w:t>e</w:t>
      </w:r>
      <w:r>
        <w:rPr>
          <w:bCs/>
        </w:rPr>
        <w:t>ro de 1997, donde lo único que se consignó fueron los d</w:t>
      </w:r>
      <w:r>
        <w:rPr>
          <w:bCs/>
        </w:rPr>
        <w:t>a</w:t>
      </w:r>
      <w:r>
        <w:rPr>
          <w:bCs/>
        </w:rPr>
        <w:t>tos del vend</w:t>
      </w:r>
      <w:r>
        <w:rPr>
          <w:bCs/>
        </w:rPr>
        <w:t>e</w:t>
      </w:r>
      <w:r>
        <w:rPr>
          <w:bCs/>
        </w:rPr>
        <w:t>dor de la motocicleta, Pablo Edgardo Ibáñez y su dirección de la localidad de Vicente López.</w:t>
      </w:r>
    </w:p>
    <w:p w:rsidR="00224567" w:rsidRDefault="00224567">
      <w:pPr>
        <w:widowControl w:val="0"/>
        <w:tabs>
          <w:tab w:val="left" w:pos="2835"/>
        </w:tabs>
        <w:ind w:firstLine="708"/>
        <w:rPr>
          <w:bCs/>
        </w:rPr>
      </w:pPr>
      <w:r>
        <w:rPr>
          <w:bCs/>
        </w:rPr>
        <w:tab/>
        <w:t>De esta circunstancia, derivó el d</w:t>
      </w:r>
      <w:r>
        <w:rPr>
          <w:bCs/>
        </w:rPr>
        <w:t>e</w:t>
      </w:r>
      <w:r>
        <w:rPr>
          <w:bCs/>
        </w:rPr>
        <w:t>fensor que resultaba escandaloso que Ledesma co</w:t>
      </w:r>
      <w:r>
        <w:rPr>
          <w:bCs/>
        </w:rPr>
        <w:t>n</w:t>
      </w:r>
      <w:r>
        <w:rPr>
          <w:bCs/>
        </w:rPr>
        <w:t>tara que, ese día, fue llevado hasta la secretaría del juzgado por el propio Ibáñez, quien le dijo que se quedara tranquilo ya que en el juzgado lo conocían bien porque había decl</w:t>
      </w:r>
      <w:r>
        <w:rPr>
          <w:bCs/>
        </w:rPr>
        <w:t>a</w:t>
      </w:r>
      <w:r>
        <w:rPr>
          <w:bCs/>
        </w:rPr>
        <w:t>rado varias v</w:t>
      </w:r>
      <w:r>
        <w:rPr>
          <w:bCs/>
        </w:rPr>
        <w:t>e</w:t>
      </w:r>
      <w:r>
        <w:rPr>
          <w:bCs/>
        </w:rPr>
        <w:t>ces en la causa.</w:t>
      </w:r>
    </w:p>
    <w:p w:rsidR="00224567" w:rsidRDefault="00224567">
      <w:pPr>
        <w:widowControl w:val="0"/>
        <w:tabs>
          <w:tab w:val="left" w:pos="2835"/>
        </w:tabs>
        <w:ind w:firstLine="708"/>
        <w:rPr>
          <w:bCs/>
        </w:rPr>
      </w:pPr>
      <w:r>
        <w:rPr>
          <w:bCs/>
        </w:rPr>
        <w:lastRenderedPageBreak/>
        <w:tab/>
        <w:t>Se lamentó el letrado pues el testigo no mentía ya que una vez levantado el secreto que pesaba para las defensas sobre el legajo del testigo protegido letra “K”, se supo que Pablo Ibáñez era otro de los “am</w:t>
      </w:r>
      <w:r>
        <w:rPr>
          <w:bCs/>
        </w:rPr>
        <w:t>i</w:t>
      </w:r>
      <w:r>
        <w:rPr>
          <w:bCs/>
        </w:rPr>
        <w:t>gos” del juzgado y de la fiscalía y que por ello no exi</w:t>
      </w:r>
      <w:r>
        <w:rPr>
          <w:bCs/>
        </w:rPr>
        <w:t>s</w:t>
      </w:r>
      <w:r>
        <w:rPr>
          <w:bCs/>
        </w:rPr>
        <w:t>tía ningún motivo para que el juez le pidiera a Ledesma con tanta avenencia, los datos de Pablo Ibáñez en el año 1997, cuando éste había declarado ya en varias oportunid</w:t>
      </w:r>
      <w:r>
        <w:rPr>
          <w:bCs/>
        </w:rPr>
        <w:t>a</w:t>
      </w:r>
      <w:r>
        <w:rPr>
          <w:bCs/>
        </w:rPr>
        <w:t>des a</w:t>
      </w:r>
      <w:r>
        <w:rPr>
          <w:bCs/>
        </w:rPr>
        <w:t>n</w:t>
      </w:r>
      <w:r>
        <w:rPr>
          <w:bCs/>
        </w:rPr>
        <w:t>teriores y era perfectamente ubicable para el juez y para quienes conocían los leg</w:t>
      </w:r>
      <w:r>
        <w:rPr>
          <w:bCs/>
        </w:rPr>
        <w:t>a</w:t>
      </w:r>
      <w:r>
        <w:rPr>
          <w:bCs/>
        </w:rPr>
        <w:t>jos secretos.</w:t>
      </w:r>
    </w:p>
    <w:p w:rsidR="00224567" w:rsidRDefault="00224567">
      <w:pPr>
        <w:widowControl w:val="0"/>
        <w:tabs>
          <w:tab w:val="left" w:pos="2835"/>
        </w:tabs>
        <w:ind w:firstLine="708"/>
        <w:rPr>
          <w:bCs/>
        </w:rPr>
      </w:pPr>
      <w:r>
        <w:rPr>
          <w:bCs/>
        </w:rPr>
        <w:tab/>
        <w:t>Coligió que se había montado, una vez más, una puesta en escena dirigida no solamente a los p</w:t>
      </w:r>
      <w:r>
        <w:rPr>
          <w:bCs/>
        </w:rPr>
        <w:t>o</w:t>
      </w:r>
      <w:r>
        <w:rPr>
          <w:bCs/>
        </w:rPr>
        <w:t>licías de Lanús sino también al futuro tribunal oral que dictara sentencia, agregando que los fiscales debieron a</w:t>
      </w:r>
      <w:r>
        <w:rPr>
          <w:bCs/>
        </w:rPr>
        <w:t>d</w:t>
      </w:r>
      <w:r>
        <w:rPr>
          <w:bCs/>
        </w:rPr>
        <w:t>vertir de inm</w:t>
      </w:r>
      <w:r>
        <w:rPr>
          <w:bCs/>
        </w:rPr>
        <w:t>e</w:t>
      </w:r>
      <w:r>
        <w:rPr>
          <w:bCs/>
        </w:rPr>
        <w:t>diato la artera maniobra del instructor pues sabían quién era Pablo Edgardo Ibáñez, aunque optaran por denunciar recién seis años después semejante irregular</w:t>
      </w:r>
      <w:r>
        <w:rPr>
          <w:bCs/>
        </w:rPr>
        <w:t>i</w:t>
      </w:r>
      <w:r>
        <w:rPr>
          <w:bCs/>
        </w:rPr>
        <w:t>dad, cuando se tornó absolutamente inocultable.</w:t>
      </w:r>
    </w:p>
    <w:p w:rsidR="00224567" w:rsidRDefault="00224567">
      <w:pPr>
        <w:widowControl w:val="0"/>
        <w:tabs>
          <w:tab w:val="left" w:pos="2835"/>
        </w:tabs>
        <w:ind w:firstLine="708"/>
        <w:rPr>
          <w:bCs/>
        </w:rPr>
      </w:pPr>
      <w:r>
        <w:rPr>
          <w:bCs/>
        </w:rPr>
        <w:tab/>
        <w:t>Agregó el letrado que, además de t</w:t>
      </w:r>
      <w:r>
        <w:rPr>
          <w:bCs/>
        </w:rPr>
        <w:t>a</w:t>
      </w:r>
      <w:r>
        <w:rPr>
          <w:bCs/>
        </w:rPr>
        <w:t>les hechos, existió la sugestiva inclusión dentro del requer</w:t>
      </w:r>
      <w:r>
        <w:rPr>
          <w:bCs/>
        </w:rPr>
        <w:t>i</w:t>
      </w:r>
      <w:r>
        <w:rPr>
          <w:bCs/>
        </w:rPr>
        <w:lastRenderedPageBreak/>
        <w:t>miento fiscal de elevación a juicio de un s</w:t>
      </w:r>
      <w:r>
        <w:rPr>
          <w:bCs/>
        </w:rPr>
        <w:t>u</w:t>
      </w:r>
      <w:r>
        <w:rPr>
          <w:bCs/>
        </w:rPr>
        <w:t xml:space="preserve">puesto cuarto vehículo Renault </w:t>
      </w:r>
      <w:smartTag w:uri="urn:schemas-microsoft-com:office:smarttags" w:element="metricconverter">
        <w:smartTagPr>
          <w:attr w:name="ProductID" w:val="18 C"/>
        </w:smartTagPr>
        <w:r>
          <w:rPr>
            <w:bCs/>
          </w:rPr>
          <w:t>18 C</w:t>
        </w:r>
      </w:smartTag>
      <w:r>
        <w:rPr>
          <w:bCs/>
        </w:rPr>
        <w:t xml:space="preserve"> 1.381.704 que también se reputó e</w:t>
      </w:r>
      <w:r>
        <w:rPr>
          <w:bCs/>
        </w:rPr>
        <w:t>n</w:t>
      </w:r>
      <w:r>
        <w:rPr>
          <w:bCs/>
        </w:rPr>
        <w:t xml:space="preserve">tregado el 5 de abril de 1994 en </w:t>
      </w:r>
      <w:smartTag w:uri="urn:schemas-microsoft-com:office:smarttags" w:element="PersonName">
        <w:smartTagPr>
          <w:attr w:name="ProductID" w:val="la Brigada"/>
        </w:smartTagPr>
        <w:r>
          <w:rPr>
            <w:bCs/>
          </w:rPr>
          <w:t>la Brigada</w:t>
        </w:r>
      </w:smartTag>
      <w:r>
        <w:rPr>
          <w:bCs/>
        </w:rPr>
        <w:t xml:space="preserve"> de Lanús, co</w:t>
      </w:r>
      <w:r>
        <w:rPr>
          <w:bCs/>
        </w:rPr>
        <w:t>n</w:t>
      </w:r>
      <w:r>
        <w:rPr>
          <w:bCs/>
        </w:rPr>
        <w:t>forme consignaron expres</w:t>
      </w:r>
      <w:r>
        <w:rPr>
          <w:bCs/>
        </w:rPr>
        <w:t>a</w:t>
      </w:r>
      <w:r>
        <w:rPr>
          <w:bCs/>
        </w:rPr>
        <w:t>mente los fiscales en los puntos 112 y 119 de ese escrito.</w:t>
      </w:r>
    </w:p>
    <w:p w:rsidR="00224567" w:rsidRDefault="00224567">
      <w:pPr>
        <w:widowControl w:val="0"/>
        <w:tabs>
          <w:tab w:val="left" w:pos="2835"/>
        </w:tabs>
        <w:ind w:firstLine="708"/>
        <w:rPr>
          <w:bCs/>
        </w:rPr>
      </w:pPr>
      <w:r>
        <w:rPr>
          <w:bCs/>
        </w:rPr>
        <w:tab/>
        <w:t>Destacó también que esa anómala imp</w:t>
      </w:r>
      <w:r>
        <w:rPr>
          <w:bCs/>
        </w:rPr>
        <w:t>u</w:t>
      </w:r>
      <w:r>
        <w:rPr>
          <w:bCs/>
        </w:rPr>
        <w:t>tación no es solit</w:t>
      </w:r>
      <w:r>
        <w:rPr>
          <w:bCs/>
        </w:rPr>
        <w:t>a</w:t>
      </w:r>
      <w:r>
        <w:rPr>
          <w:bCs/>
        </w:rPr>
        <w:t>ria, ya que por decreto del 16 de abril de 1996 obra</w:t>
      </w:r>
      <w:r>
        <w:rPr>
          <w:bCs/>
        </w:rPr>
        <w:t>n</w:t>
      </w:r>
      <w:r>
        <w:rPr>
          <w:bCs/>
        </w:rPr>
        <w:t>te a fs. 37.959, el juez instructor solicitó los legajos de los vehículos Renault 18 y Ford Falcon, agregando que dicho rodado presuntamente fue entregado por Carlos T</w:t>
      </w:r>
      <w:r>
        <w:rPr>
          <w:bCs/>
        </w:rPr>
        <w:t>e</w:t>
      </w:r>
      <w:r>
        <w:rPr>
          <w:bCs/>
        </w:rPr>
        <w:t xml:space="preserve">lleldín a </w:t>
      </w:r>
      <w:smartTag w:uri="urn:schemas-microsoft-com:office:smarttags" w:element="PersonName">
        <w:smartTagPr>
          <w:attr w:name="ProductID" w:val="la Brigada"/>
        </w:smartTagPr>
        <w:r>
          <w:rPr>
            <w:bCs/>
          </w:rPr>
          <w:t>la Brigada</w:t>
        </w:r>
      </w:smartTag>
      <w:r>
        <w:rPr>
          <w:bCs/>
        </w:rPr>
        <w:t xml:space="preserve"> de Lanús, haciéndose también mención de esa supuesta entrega en la certificación actu</w:t>
      </w:r>
      <w:r>
        <w:rPr>
          <w:bCs/>
        </w:rPr>
        <w:t>a</w:t>
      </w:r>
      <w:r>
        <w:rPr>
          <w:bCs/>
        </w:rPr>
        <w:t>rial obrante a fs. 81.161 del 24 de marzo de 2000.</w:t>
      </w:r>
    </w:p>
    <w:p w:rsidR="00224567" w:rsidRDefault="00224567">
      <w:pPr>
        <w:widowControl w:val="0"/>
        <w:tabs>
          <w:tab w:val="left" w:pos="2835"/>
        </w:tabs>
        <w:ind w:firstLine="708"/>
        <w:rPr>
          <w:bCs/>
        </w:rPr>
      </w:pPr>
      <w:r>
        <w:rPr>
          <w:bCs/>
        </w:rPr>
        <w:tab/>
        <w:t xml:space="preserve">Infirió el letrado de Ibarra que las diligencias encomendadas por el juez con relación a este automóvil, demostraron que varios años después del 8 de abril, al igual que </w:t>
      </w:r>
      <w:smartTag w:uri="urn:schemas-microsoft-com:office:smarttags" w:element="PersonName">
        <w:smartTagPr>
          <w:attr w:name="ProductID" w:val="la Kawasaki"/>
        </w:smartTagPr>
        <w:r>
          <w:rPr>
            <w:bCs/>
          </w:rPr>
          <w:t>la Kawasaki</w:t>
        </w:r>
      </w:smartTag>
      <w:r>
        <w:rPr>
          <w:bCs/>
        </w:rPr>
        <w:t>, seguía relacionado con el entorno de Carlos Telle</w:t>
      </w:r>
      <w:r>
        <w:rPr>
          <w:bCs/>
        </w:rPr>
        <w:t>l</w:t>
      </w:r>
      <w:r>
        <w:rPr>
          <w:bCs/>
        </w:rPr>
        <w:t>dín y Pablo Ibáñez; en este caso, con Ariel Ant</w:t>
      </w:r>
      <w:r>
        <w:rPr>
          <w:bCs/>
        </w:rPr>
        <w:t>o</w:t>
      </w:r>
      <w:r>
        <w:rPr>
          <w:bCs/>
        </w:rPr>
        <w:t xml:space="preserve">nio Aquino, socio de Ibáñez en un taller de la localidad de San Martín. Añadió que, una vez que el oficial Gigena de </w:t>
      </w:r>
      <w:smartTag w:uri="urn:schemas-microsoft-com:office:smarttags" w:element="PersonName">
        <w:smartTagPr>
          <w:attr w:name="ProductID" w:val="la Polic￭a Federal"/>
        </w:smartTagPr>
        <w:r>
          <w:rPr>
            <w:bCs/>
          </w:rPr>
          <w:t>la Policía Federal</w:t>
        </w:r>
      </w:smartTag>
      <w:r>
        <w:rPr>
          <w:bCs/>
        </w:rPr>
        <w:t>, secuestró ese aut</w:t>
      </w:r>
      <w:r>
        <w:rPr>
          <w:bCs/>
        </w:rPr>
        <w:t>o</w:t>
      </w:r>
      <w:r>
        <w:rPr>
          <w:bCs/>
        </w:rPr>
        <w:lastRenderedPageBreak/>
        <w:t>móvil en un domicilio de la calle Borges en la provincia de Buenos Aires, ni el juez ni los fiscales insistieron con que ese auto fuera también exp</w:t>
      </w:r>
      <w:r>
        <w:rPr>
          <w:bCs/>
        </w:rPr>
        <w:t>o</w:t>
      </w:r>
      <w:r>
        <w:rPr>
          <w:bCs/>
        </w:rPr>
        <w:t>liado por los policías en la invocada extorsión del 5 de abril.</w:t>
      </w:r>
    </w:p>
    <w:p w:rsidR="00224567" w:rsidRDefault="00224567">
      <w:pPr>
        <w:widowControl w:val="0"/>
        <w:tabs>
          <w:tab w:val="left" w:pos="2835"/>
        </w:tabs>
        <w:ind w:firstLine="708"/>
        <w:rPr>
          <w:bCs/>
        </w:rPr>
      </w:pPr>
      <w:r>
        <w:rPr>
          <w:bCs/>
        </w:rPr>
        <w:tab/>
        <w:t>Tras descartar la extorsión de estos dos vehículos, el letrado sostuvo que si fuera cierto lo que decía la fiscalía en cuanto a que en 1994, Ribelli y su gente desapoderaron a Telleldín del Renault 18 y del Falcon, sólo quedarían como expoliados el Renault 18, d</w:t>
      </w:r>
      <w:r>
        <w:rPr>
          <w:bCs/>
        </w:rPr>
        <w:t>o</w:t>
      </w:r>
      <w:r>
        <w:rPr>
          <w:bCs/>
        </w:rPr>
        <w:t>minio B 2.270.130 y el Ford Falcon C-1.213.656, por lo que debería determinarse qué suerte corrieron estos veh</w:t>
      </w:r>
      <w:r>
        <w:rPr>
          <w:bCs/>
        </w:rPr>
        <w:t>í</w:t>
      </w:r>
      <w:r>
        <w:rPr>
          <w:bCs/>
        </w:rPr>
        <w:t>culos después de ser entregados.</w:t>
      </w:r>
    </w:p>
    <w:p w:rsidR="00224567" w:rsidRDefault="00224567">
      <w:pPr>
        <w:widowControl w:val="0"/>
        <w:tabs>
          <w:tab w:val="left" w:pos="2835"/>
        </w:tabs>
        <w:ind w:firstLine="708"/>
        <w:rPr>
          <w:bCs/>
        </w:rPr>
      </w:pPr>
      <w:r>
        <w:rPr>
          <w:bCs/>
        </w:rPr>
        <w:tab/>
        <w:t>Remarcó la defensa que pese a trata</w:t>
      </w:r>
      <w:r>
        <w:rPr>
          <w:bCs/>
        </w:rPr>
        <w:t>r</w:t>
      </w:r>
      <w:r>
        <w:rPr>
          <w:bCs/>
        </w:rPr>
        <w:t>se de cosas muebles registrables, los vehículos no pr</w:t>
      </w:r>
      <w:r>
        <w:rPr>
          <w:bCs/>
        </w:rPr>
        <w:t>o</w:t>
      </w:r>
      <w:r>
        <w:rPr>
          <w:bCs/>
        </w:rPr>
        <w:t>dujeron ni un sólo registro vinculado con infracciones de tráns</w:t>
      </w:r>
      <w:r>
        <w:rPr>
          <w:bCs/>
        </w:rPr>
        <w:t>i</w:t>
      </w:r>
      <w:r>
        <w:rPr>
          <w:bCs/>
        </w:rPr>
        <w:t xml:space="preserve">to, pedidos de informes por deudas, altas en compañías de seguros ni de ningún otro tipo. </w:t>
      </w:r>
    </w:p>
    <w:p w:rsidR="00224567" w:rsidRDefault="00224567">
      <w:pPr>
        <w:widowControl w:val="0"/>
        <w:tabs>
          <w:tab w:val="left" w:pos="2835"/>
        </w:tabs>
        <w:ind w:firstLine="708"/>
        <w:rPr>
          <w:bCs/>
        </w:rPr>
      </w:pPr>
      <w:r>
        <w:rPr>
          <w:bCs/>
        </w:rPr>
        <w:tab/>
        <w:t>Resaltó que la fiscalía conjeturó que Ribelli hizo desaparecer los dos automóviles pero sin ni</w:t>
      </w:r>
      <w:r>
        <w:rPr>
          <w:bCs/>
        </w:rPr>
        <w:t>n</w:t>
      </w:r>
      <w:r>
        <w:rPr>
          <w:bCs/>
        </w:rPr>
        <w:t>gún fundamento y que, internándose en el blando t</w:t>
      </w:r>
      <w:r>
        <w:rPr>
          <w:bCs/>
        </w:rPr>
        <w:t>e</w:t>
      </w:r>
      <w:r>
        <w:rPr>
          <w:bCs/>
        </w:rPr>
        <w:t xml:space="preserve">rreno de </w:t>
      </w:r>
      <w:r>
        <w:rPr>
          <w:bCs/>
        </w:rPr>
        <w:lastRenderedPageBreak/>
        <w:t>las conjeturas, podría alegarse con audacia que la re</w:t>
      </w:r>
      <w:r>
        <w:rPr>
          <w:bCs/>
        </w:rPr>
        <w:t>s</w:t>
      </w:r>
      <w:r>
        <w:rPr>
          <w:bCs/>
        </w:rPr>
        <w:t>puesta a tan extraña circunstancia podría t</w:t>
      </w:r>
      <w:r>
        <w:rPr>
          <w:bCs/>
        </w:rPr>
        <w:t>e</w:t>
      </w:r>
      <w:r>
        <w:rPr>
          <w:bCs/>
        </w:rPr>
        <w:t>nerla el juez de instrucción o el propio Ministerio P</w:t>
      </w:r>
      <w:r>
        <w:rPr>
          <w:bCs/>
        </w:rPr>
        <w:t>ú</w:t>
      </w:r>
      <w:r>
        <w:rPr>
          <w:bCs/>
        </w:rPr>
        <w:t>blico.</w:t>
      </w:r>
    </w:p>
    <w:p w:rsidR="00224567" w:rsidRDefault="00224567">
      <w:pPr>
        <w:widowControl w:val="0"/>
        <w:tabs>
          <w:tab w:val="left" w:pos="2835"/>
        </w:tabs>
        <w:ind w:firstLine="708"/>
        <w:rPr>
          <w:bCs/>
        </w:rPr>
      </w:pPr>
      <w:r>
        <w:rPr>
          <w:bCs/>
        </w:rPr>
        <w:tab/>
        <w:t>Enfatizó el defensor, refiriéndose a la supuesta cantidad de dinero en efectivo e</w:t>
      </w:r>
      <w:r>
        <w:rPr>
          <w:bCs/>
        </w:rPr>
        <w:t>n</w:t>
      </w:r>
      <w:r>
        <w:rPr>
          <w:bCs/>
        </w:rPr>
        <w:t>tregada, que Telleldín, en su indagatoria nula del 5 de julio, mintió al afirmar que mientras estaba detenido, Sandra entregó algo más de $ 2000 que tenía en la campera.</w:t>
      </w:r>
    </w:p>
    <w:p w:rsidR="00224567" w:rsidRDefault="00224567">
      <w:pPr>
        <w:widowControl w:val="0"/>
        <w:tabs>
          <w:tab w:val="left" w:pos="2835"/>
        </w:tabs>
        <w:ind w:firstLine="708"/>
        <w:rPr>
          <w:bCs/>
        </w:rPr>
      </w:pPr>
      <w:r>
        <w:rPr>
          <w:bCs/>
        </w:rPr>
        <w:tab/>
        <w:t>Detalló el defensor que los r</w:t>
      </w:r>
      <w:r>
        <w:rPr>
          <w:bCs/>
        </w:rPr>
        <w:t>e</w:t>
      </w:r>
      <w:r>
        <w:rPr>
          <w:bCs/>
        </w:rPr>
        <w:t>cuerdos de Petrucci no coincidían en este aspecto con los de su ex-compañero, ya que afirmó que cua</w:t>
      </w:r>
      <w:r>
        <w:rPr>
          <w:bCs/>
        </w:rPr>
        <w:t>n</w:t>
      </w:r>
      <w:r>
        <w:rPr>
          <w:bCs/>
        </w:rPr>
        <w:t xml:space="preserve">do fue detenida en </w:t>
      </w:r>
      <w:smartTag w:uri="urn:schemas-microsoft-com:office:smarttags" w:element="PersonName">
        <w:smartTagPr>
          <w:attr w:name="ProductID" w:val="la Brigada"/>
        </w:smartTagPr>
        <w:r>
          <w:rPr>
            <w:bCs/>
          </w:rPr>
          <w:t>la Brigada</w:t>
        </w:r>
      </w:smartTag>
      <w:r>
        <w:rPr>
          <w:bCs/>
        </w:rPr>
        <w:t xml:space="preserve"> tenía muy poco dinero, aseverando que no poseía más de $ 30, despejando así cualquier duda al re</w:t>
      </w:r>
      <w:r>
        <w:rPr>
          <w:bCs/>
        </w:rPr>
        <w:t>s</w:t>
      </w:r>
      <w:r>
        <w:rPr>
          <w:bCs/>
        </w:rPr>
        <w:t>pecto al agregar que no sabía si Carlos tenía dinero esa noche, p</w:t>
      </w:r>
      <w:r>
        <w:rPr>
          <w:bCs/>
        </w:rPr>
        <w:t>e</w:t>
      </w:r>
      <w:r>
        <w:rPr>
          <w:bCs/>
        </w:rPr>
        <w:t>ro que de cualquier modo el nombrado “no se movía con efectivo”.</w:t>
      </w:r>
    </w:p>
    <w:p w:rsidR="00224567" w:rsidRDefault="00224567">
      <w:pPr>
        <w:widowControl w:val="0"/>
        <w:tabs>
          <w:tab w:val="left" w:pos="2835"/>
        </w:tabs>
        <w:ind w:firstLine="708"/>
        <w:rPr>
          <w:bCs/>
        </w:rPr>
      </w:pPr>
      <w:r>
        <w:rPr>
          <w:bCs/>
        </w:rPr>
        <w:tab/>
        <w:t>A fin de poner de manifiesto las que a su criterio debían ser las pautas valorativas para apr</w:t>
      </w:r>
      <w:r>
        <w:rPr>
          <w:bCs/>
        </w:rPr>
        <w:t>e</w:t>
      </w:r>
      <w:r>
        <w:rPr>
          <w:bCs/>
        </w:rPr>
        <w:t>ciar los testimonios rendidos en el debate, la defensa c</w:t>
      </w:r>
      <w:r>
        <w:rPr>
          <w:bCs/>
        </w:rPr>
        <w:t>i</w:t>
      </w:r>
      <w:r>
        <w:rPr>
          <w:bCs/>
        </w:rPr>
        <w:t>tó a José Cafferata Nores, “</w:t>
      </w:r>
      <w:smartTag w:uri="urn:schemas-microsoft-com:office:smarttags" w:element="PersonName">
        <w:smartTagPr>
          <w:attr w:name="ProductID" w:val="La Prueba"/>
        </w:smartTagPr>
        <w:r>
          <w:rPr>
            <w:bCs/>
          </w:rPr>
          <w:t>La Prueba</w:t>
        </w:r>
      </w:smartTag>
      <w:r>
        <w:rPr>
          <w:bCs/>
        </w:rPr>
        <w:t xml:space="preserve"> del Proceso P</w:t>
      </w:r>
      <w:r>
        <w:rPr>
          <w:bCs/>
        </w:rPr>
        <w:t>e</w:t>
      </w:r>
      <w:r>
        <w:rPr>
          <w:bCs/>
        </w:rPr>
        <w:t>nal”, pág. 121 y sigs., y a Karl M</w:t>
      </w:r>
      <w:r>
        <w:rPr>
          <w:bCs/>
        </w:rPr>
        <w:t>i</w:t>
      </w:r>
      <w:r>
        <w:rPr>
          <w:bCs/>
        </w:rPr>
        <w:t xml:space="preserve">termaier en su “Tratado de </w:t>
      </w:r>
      <w:smartTag w:uri="urn:schemas-microsoft-com:office:smarttags" w:element="PersonName">
        <w:smartTagPr>
          <w:attr w:name="ProductID" w:val="La Prueba"/>
        </w:smartTagPr>
        <w:r>
          <w:rPr>
            <w:bCs/>
          </w:rPr>
          <w:t xml:space="preserve">la </w:t>
        </w:r>
        <w:r>
          <w:rPr>
            <w:bCs/>
          </w:rPr>
          <w:lastRenderedPageBreak/>
          <w:t>Prueba</w:t>
        </w:r>
      </w:smartTag>
      <w:r>
        <w:rPr>
          <w:bCs/>
        </w:rPr>
        <w:t xml:space="preserve"> en Materia Criminal”, Fabián Di Plácido Editor, 1999, pág. 319/320 y 340/345.</w:t>
      </w:r>
    </w:p>
    <w:p w:rsidR="00224567" w:rsidRDefault="00224567">
      <w:pPr>
        <w:widowControl w:val="0"/>
        <w:tabs>
          <w:tab w:val="left" w:pos="2835"/>
        </w:tabs>
        <w:ind w:firstLine="708"/>
        <w:rPr>
          <w:lang w:val="es-MX"/>
        </w:rPr>
      </w:pPr>
      <w:r>
        <w:rPr>
          <w:lang w:val="es-MX"/>
        </w:rPr>
        <w:tab/>
        <w:t>Para ello sostuvo que lo primero de</w:t>
      </w:r>
      <w:r>
        <w:rPr>
          <w:lang w:val="es-MX"/>
        </w:rPr>
        <w:t>s</w:t>
      </w:r>
      <w:r>
        <w:rPr>
          <w:lang w:val="es-MX"/>
        </w:rPr>
        <w:t>tacable era que la declaración de Boragni, en la cual i</w:t>
      </w:r>
      <w:r>
        <w:rPr>
          <w:lang w:val="es-MX"/>
        </w:rPr>
        <w:t>n</w:t>
      </w:r>
      <w:r>
        <w:rPr>
          <w:lang w:val="es-MX"/>
        </w:rPr>
        <w:t>criminó a los policías, fue prestada mediante un previo pago realizado por el juez de la causa, y que ese dinero o los bienes que con él fueron obtenidos, se encuentran a</w:t>
      </w:r>
      <w:r>
        <w:rPr>
          <w:lang w:val="es-MX"/>
        </w:rPr>
        <w:t>c</w:t>
      </w:r>
      <w:r>
        <w:rPr>
          <w:lang w:val="es-MX"/>
        </w:rPr>
        <w:t>tualmente a disp</w:t>
      </w:r>
      <w:r>
        <w:rPr>
          <w:lang w:val="es-MX"/>
        </w:rPr>
        <w:t>o</w:t>
      </w:r>
      <w:r>
        <w:rPr>
          <w:lang w:val="es-MX"/>
        </w:rPr>
        <w:t>sición de la nombrada.</w:t>
      </w:r>
    </w:p>
    <w:p w:rsidR="00224567" w:rsidRDefault="00224567">
      <w:pPr>
        <w:widowControl w:val="0"/>
        <w:tabs>
          <w:tab w:val="left" w:pos="2835"/>
        </w:tabs>
        <w:ind w:firstLine="708"/>
        <w:rPr>
          <w:lang w:val="es-MX"/>
        </w:rPr>
      </w:pPr>
      <w:r>
        <w:rPr>
          <w:lang w:val="es-MX"/>
        </w:rPr>
        <w:tab/>
        <w:t>Agregó que sin perjuicio de la conv</w:t>
      </w:r>
      <w:r>
        <w:rPr>
          <w:lang w:val="es-MX"/>
        </w:rPr>
        <w:t>e</w:t>
      </w:r>
      <w:r>
        <w:rPr>
          <w:lang w:val="es-MX"/>
        </w:rPr>
        <w:t>niencia de declarar falsamente en contra de los imput</w:t>
      </w:r>
      <w:r>
        <w:rPr>
          <w:lang w:val="es-MX"/>
        </w:rPr>
        <w:t>a</w:t>
      </w:r>
      <w:r>
        <w:rPr>
          <w:lang w:val="es-MX"/>
        </w:rPr>
        <w:t>dos policías, Boragni lo hizo también mediando un acuerdo e</w:t>
      </w:r>
      <w:r>
        <w:rPr>
          <w:lang w:val="es-MX"/>
        </w:rPr>
        <w:t>s</w:t>
      </w:r>
      <w:r>
        <w:rPr>
          <w:lang w:val="es-MX"/>
        </w:rPr>
        <w:t>purio con los investigadores, para evitar ser responsab</w:t>
      </w:r>
      <w:r>
        <w:rPr>
          <w:lang w:val="es-MX"/>
        </w:rPr>
        <w:t>i</w:t>
      </w:r>
      <w:r>
        <w:rPr>
          <w:lang w:val="es-MX"/>
        </w:rPr>
        <w:t xml:space="preserve">lizada por el atentado a </w:t>
      </w:r>
      <w:smartTag w:uri="urn:schemas-microsoft-com:office:smarttags" w:element="PersonName">
        <w:smartTagPr>
          <w:attr w:name="ProductID" w:val="la A.M"/>
        </w:smartTagPr>
        <w:r>
          <w:rPr>
            <w:lang w:val="es-MX"/>
          </w:rPr>
          <w:t>la A.M</w:t>
        </w:r>
      </w:smartTag>
      <w:r>
        <w:rPr>
          <w:lang w:val="es-MX"/>
        </w:rPr>
        <w:t>.I.A., reco</w:t>
      </w:r>
      <w:r>
        <w:rPr>
          <w:lang w:val="es-MX"/>
        </w:rPr>
        <w:t>r</w:t>
      </w:r>
      <w:r>
        <w:rPr>
          <w:lang w:val="es-MX"/>
        </w:rPr>
        <w:t>dando que esta última circunstancia fue admitida sin ambages por la pr</w:t>
      </w:r>
      <w:r>
        <w:rPr>
          <w:lang w:val="es-MX"/>
        </w:rPr>
        <w:t>o</w:t>
      </w:r>
      <w:r>
        <w:rPr>
          <w:lang w:val="es-MX"/>
        </w:rPr>
        <w:t>pia defensa de Telleldín en su aleg</w:t>
      </w:r>
      <w:r>
        <w:rPr>
          <w:lang w:val="es-MX"/>
        </w:rPr>
        <w:t>a</w:t>
      </w:r>
      <w:r>
        <w:rPr>
          <w:lang w:val="es-MX"/>
        </w:rPr>
        <w:t>to.</w:t>
      </w:r>
    </w:p>
    <w:p w:rsidR="00224567" w:rsidRDefault="00224567">
      <w:pPr>
        <w:widowControl w:val="0"/>
        <w:tabs>
          <w:tab w:val="left" w:pos="2835"/>
        </w:tabs>
        <w:ind w:firstLine="708"/>
        <w:rPr>
          <w:lang w:val="es-MX"/>
        </w:rPr>
      </w:pPr>
      <w:r>
        <w:rPr>
          <w:lang w:val="es-MX"/>
        </w:rPr>
        <w:tab/>
        <w:t>Añadió el defensor que Boragni no fue la única que prestó declaración por conveniencia, ya que se demostró que, además de Ana, Sandra Petrucci, Antonio, José Luis y la familia Lo Preiato en pleno, Cacho S</w:t>
      </w:r>
      <w:r>
        <w:rPr>
          <w:lang w:val="es-MX"/>
        </w:rPr>
        <w:t>e</w:t>
      </w:r>
      <w:r>
        <w:rPr>
          <w:lang w:val="es-MX"/>
        </w:rPr>
        <w:t xml:space="preserve">taro, Banga y Eduardo Telleldín llevaron adelante un sinfín de </w:t>
      </w:r>
      <w:r>
        <w:rPr>
          <w:lang w:val="es-MX"/>
        </w:rPr>
        <w:lastRenderedPageBreak/>
        <w:t>actividades delictivas vinculadas, en la mayoría de los casos, con el “doblaje” ilegal de automóviles, por lo que nadie podía ser tan ingenuo para pretender que el juez instructor y los fiscales ignoraran estas maniobras ilíc</w:t>
      </w:r>
      <w:r>
        <w:rPr>
          <w:lang w:val="es-MX"/>
        </w:rPr>
        <w:t>i</w:t>
      </w:r>
      <w:r>
        <w:rPr>
          <w:lang w:val="es-MX"/>
        </w:rPr>
        <w:t>tas de los nombr</w:t>
      </w:r>
      <w:r>
        <w:rPr>
          <w:lang w:val="es-MX"/>
        </w:rPr>
        <w:t>a</w:t>
      </w:r>
      <w:r>
        <w:rPr>
          <w:lang w:val="es-MX"/>
        </w:rPr>
        <w:t>dos.</w:t>
      </w:r>
    </w:p>
    <w:p w:rsidR="00224567" w:rsidRDefault="00224567">
      <w:pPr>
        <w:widowControl w:val="0"/>
        <w:tabs>
          <w:tab w:val="left" w:pos="2835"/>
        </w:tabs>
        <w:ind w:firstLine="708"/>
        <w:rPr>
          <w:lang w:val="es-MX"/>
        </w:rPr>
      </w:pPr>
      <w:r>
        <w:rPr>
          <w:lang w:val="es-MX"/>
        </w:rPr>
        <w:tab/>
        <w:t>Infirió la defensa que estas circun</w:t>
      </w:r>
      <w:r>
        <w:rPr>
          <w:lang w:val="es-MX"/>
        </w:rPr>
        <w:t>s</w:t>
      </w:r>
      <w:r>
        <w:rPr>
          <w:lang w:val="es-MX"/>
        </w:rPr>
        <w:t>tancias colocaban a todos estos individuos en una situ</w:t>
      </w:r>
      <w:r>
        <w:rPr>
          <w:lang w:val="es-MX"/>
        </w:rPr>
        <w:t>a</w:t>
      </w:r>
      <w:r>
        <w:rPr>
          <w:lang w:val="es-MX"/>
        </w:rPr>
        <w:t>ción de máxima vulnerabilidad frente a los insidiosos i</w:t>
      </w:r>
      <w:r>
        <w:rPr>
          <w:lang w:val="es-MX"/>
        </w:rPr>
        <w:t>n</w:t>
      </w:r>
      <w:r>
        <w:rPr>
          <w:lang w:val="es-MX"/>
        </w:rPr>
        <w:t>terrogatorios que se practicaban en el ámbito del Juzgado Federal nº 9, y que surgieron del debate elementos de co</w:t>
      </w:r>
      <w:r>
        <w:rPr>
          <w:lang w:val="es-MX"/>
        </w:rPr>
        <w:t>n</w:t>
      </w:r>
      <w:r>
        <w:rPr>
          <w:lang w:val="es-MX"/>
        </w:rPr>
        <w:t>vicción que demostraban con certeza que, previo a pronu</w:t>
      </w:r>
      <w:r>
        <w:rPr>
          <w:lang w:val="es-MX"/>
        </w:rPr>
        <w:t>n</w:t>
      </w:r>
      <w:r>
        <w:rPr>
          <w:lang w:val="es-MX"/>
        </w:rPr>
        <w:t>ciarse en contra de su asistido, los testigos fueron "v</w:t>
      </w:r>
      <w:r>
        <w:rPr>
          <w:lang w:val="es-MX"/>
        </w:rPr>
        <w:t>i</w:t>
      </w:r>
      <w:r>
        <w:rPr>
          <w:lang w:val="es-MX"/>
        </w:rPr>
        <w:t>sitados" por un siniestro personaje que colaboró con el juez en el “armado” de la causa “Brigadas”: Héctor Pedro Ve</w:t>
      </w:r>
      <w:r>
        <w:rPr>
          <w:lang w:val="es-MX"/>
        </w:rPr>
        <w:t>r</w:t>
      </w:r>
      <w:r>
        <w:rPr>
          <w:lang w:val="es-MX"/>
        </w:rPr>
        <w:t>géz.</w:t>
      </w:r>
    </w:p>
    <w:p w:rsidR="00224567" w:rsidRDefault="00224567">
      <w:pPr>
        <w:widowControl w:val="0"/>
        <w:tabs>
          <w:tab w:val="left" w:pos="2835"/>
        </w:tabs>
        <w:ind w:firstLine="708"/>
        <w:rPr>
          <w:lang w:val="es-MX"/>
        </w:rPr>
      </w:pPr>
      <w:r>
        <w:rPr>
          <w:lang w:val="es-MX"/>
        </w:rPr>
        <w:tab/>
        <w:t>Adunó la defensa que fueron reproduc</w:t>
      </w:r>
      <w:r>
        <w:rPr>
          <w:lang w:val="es-MX"/>
        </w:rPr>
        <w:t>i</w:t>
      </w:r>
      <w:r>
        <w:rPr>
          <w:lang w:val="es-MX"/>
        </w:rPr>
        <w:t>das en el debate las conversaciones que el 24 de febrero de 1995 mantuvieron en la prisión, el capitán Héctor Ve</w:t>
      </w:r>
      <w:r>
        <w:rPr>
          <w:lang w:val="es-MX"/>
        </w:rPr>
        <w:t>r</w:t>
      </w:r>
      <w:r>
        <w:rPr>
          <w:lang w:val="es-MX"/>
        </w:rPr>
        <w:t>géz y el imputado Telleldín, de las que se desprendía la intención de aquel supuesto agente de inteligencia de e</w:t>
      </w:r>
      <w:r>
        <w:rPr>
          <w:lang w:val="es-MX"/>
        </w:rPr>
        <w:t>n</w:t>
      </w:r>
      <w:r>
        <w:rPr>
          <w:lang w:val="es-MX"/>
        </w:rPr>
        <w:t>trevistarse con algunos de los testigos de las también s</w:t>
      </w:r>
      <w:r>
        <w:rPr>
          <w:lang w:val="es-MX"/>
        </w:rPr>
        <w:t>u</w:t>
      </w:r>
      <w:r>
        <w:rPr>
          <w:lang w:val="es-MX"/>
        </w:rPr>
        <w:lastRenderedPageBreak/>
        <w:t>puestas extorsi</w:t>
      </w:r>
      <w:r>
        <w:rPr>
          <w:lang w:val="es-MX"/>
        </w:rPr>
        <w:t>o</w:t>
      </w:r>
      <w:r>
        <w:rPr>
          <w:lang w:val="es-MX"/>
        </w:rPr>
        <w:t>nes.</w:t>
      </w:r>
    </w:p>
    <w:p w:rsidR="00224567" w:rsidRDefault="00224567">
      <w:pPr>
        <w:widowControl w:val="0"/>
        <w:tabs>
          <w:tab w:val="left" w:pos="2835"/>
        </w:tabs>
        <w:ind w:firstLine="708"/>
        <w:rPr>
          <w:bCs/>
        </w:rPr>
      </w:pPr>
      <w:r>
        <w:rPr>
          <w:lang w:val="es-MX"/>
        </w:rPr>
        <w:tab/>
        <w:t>También fue en esos diálogos, valoró la defensa, donde los interlocutores no se ponían de acuerdo en torno a cuál era la mejor fo</w:t>
      </w:r>
      <w:r>
        <w:rPr>
          <w:lang w:val="es-MX"/>
        </w:rPr>
        <w:t>r</w:t>
      </w:r>
      <w:r>
        <w:rPr>
          <w:lang w:val="es-MX"/>
        </w:rPr>
        <w:t>ma de “apretar” al testigo Botey ya que Vergéz proponía charlar con el no</w:t>
      </w:r>
      <w:r>
        <w:rPr>
          <w:lang w:val="es-MX"/>
        </w:rPr>
        <w:t>m</w:t>
      </w:r>
      <w:r>
        <w:rPr>
          <w:lang w:val="es-MX"/>
        </w:rPr>
        <w:t xml:space="preserve">brado en un bar de noche e “ir de amigotes”, oponiéndose Telleldín a ello ya que sugirió utilizar otra técnica, </w:t>
      </w:r>
      <w:r>
        <w:rPr>
          <w:bCs/>
        </w:rPr>
        <w:t>aludiendo a que “lo iba a apretar suav</w:t>
      </w:r>
      <w:r>
        <w:rPr>
          <w:bCs/>
        </w:rPr>
        <w:t>e</w:t>
      </w:r>
      <w:r>
        <w:rPr>
          <w:bCs/>
        </w:rPr>
        <w:t>cito”</w:t>
      </w:r>
      <w:r>
        <w:rPr>
          <w:lang w:val="es-MX"/>
        </w:rPr>
        <w:t>.</w:t>
      </w:r>
    </w:p>
    <w:p w:rsidR="00224567" w:rsidRDefault="00224567">
      <w:pPr>
        <w:widowControl w:val="0"/>
        <w:tabs>
          <w:tab w:val="left" w:pos="2835"/>
        </w:tabs>
        <w:ind w:firstLine="708"/>
        <w:rPr>
          <w:bCs/>
        </w:rPr>
      </w:pPr>
      <w:r>
        <w:rPr>
          <w:bCs/>
        </w:rPr>
        <w:tab/>
        <w:t>Recordó que allí, Carlos sostenía que se podía “apr</w:t>
      </w:r>
      <w:r>
        <w:rPr>
          <w:bCs/>
        </w:rPr>
        <w:t>e</w:t>
      </w:r>
      <w:r>
        <w:rPr>
          <w:bCs/>
        </w:rPr>
        <w:t>tar” al fletero Setaro, para que saliese de testigo del traslado de la moto, y que conversaron luego sobre Eduardo Telleldín, respecto del cual Vergéz recome</w:t>
      </w:r>
      <w:r>
        <w:rPr>
          <w:bCs/>
        </w:rPr>
        <w:t>n</w:t>
      </w:r>
      <w:r>
        <w:rPr>
          <w:bCs/>
        </w:rPr>
        <w:t>dó a Carlos “que lo ablande” y que le “haga el bocho” para que lo conectara con Pérez, convenciéndolo para que col</w:t>
      </w:r>
      <w:r>
        <w:rPr>
          <w:bCs/>
        </w:rPr>
        <w:t>a</w:t>
      </w:r>
      <w:r>
        <w:rPr>
          <w:bCs/>
        </w:rPr>
        <w:t>bore, pues con eso sería de</w:t>
      </w:r>
      <w:r>
        <w:rPr>
          <w:bCs/>
        </w:rPr>
        <w:t>s</w:t>
      </w:r>
      <w:r>
        <w:rPr>
          <w:bCs/>
        </w:rPr>
        <w:t>vinculado de la causa.</w:t>
      </w:r>
    </w:p>
    <w:p w:rsidR="00224567" w:rsidRDefault="00224567">
      <w:pPr>
        <w:widowControl w:val="0"/>
        <w:tabs>
          <w:tab w:val="left" w:pos="2835"/>
        </w:tabs>
        <w:ind w:firstLine="708"/>
        <w:rPr>
          <w:bCs/>
        </w:rPr>
      </w:pPr>
      <w:r>
        <w:rPr>
          <w:bCs/>
        </w:rPr>
        <w:tab/>
        <w:t>Remarcó también que en esa grabación Vergéz inmediatamente preguntó “¿Sandra Petru</w:t>
      </w:r>
      <w:r>
        <w:rPr>
          <w:bCs/>
        </w:rPr>
        <w:t>c</w:t>
      </w:r>
      <w:r>
        <w:rPr>
          <w:bCs/>
        </w:rPr>
        <w:t>ci, vale la pena hablar con ella?”, contestando Telleldín “ella te puede servir de testigo para hablar de lo de Avellaneda, vos lo que tenés que hacer es decir que sos mi tío y qu</w:t>
      </w:r>
      <w:r>
        <w:rPr>
          <w:bCs/>
        </w:rPr>
        <w:t>e</w:t>
      </w:r>
      <w:r>
        <w:rPr>
          <w:bCs/>
        </w:rPr>
        <w:lastRenderedPageBreak/>
        <w:t>rés hablar con ella y listo”, agregando que “aparte, es bueno hablar con ella porque el juez la tiene como sosp</w:t>
      </w:r>
      <w:r>
        <w:rPr>
          <w:bCs/>
        </w:rPr>
        <w:t>e</w:t>
      </w:r>
      <w:r>
        <w:rPr>
          <w:bCs/>
        </w:rPr>
        <w:t>chosa”.</w:t>
      </w:r>
    </w:p>
    <w:p w:rsidR="00224567" w:rsidRDefault="00224567">
      <w:pPr>
        <w:widowControl w:val="0"/>
        <w:tabs>
          <w:tab w:val="left" w:pos="2835"/>
        </w:tabs>
        <w:ind w:firstLine="708"/>
        <w:rPr>
          <w:bCs/>
        </w:rPr>
      </w:pPr>
      <w:r>
        <w:rPr>
          <w:bCs/>
        </w:rPr>
        <w:tab/>
        <w:t>Afirmó el letrado que estas entrevi</w:t>
      </w:r>
      <w:r>
        <w:rPr>
          <w:bCs/>
        </w:rPr>
        <w:t>s</w:t>
      </w:r>
      <w:r>
        <w:rPr>
          <w:bCs/>
        </w:rPr>
        <w:t>tas entre Telleldín y Vergéz se realizaron a fines de f</w:t>
      </w:r>
      <w:r>
        <w:rPr>
          <w:bCs/>
        </w:rPr>
        <w:t>e</w:t>
      </w:r>
      <w:r>
        <w:rPr>
          <w:bCs/>
        </w:rPr>
        <w:t>brero de 1995 y que Sandra Petrucci fue la primera de t</w:t>
      </w:r>
      <w:r>
        <w:rPr>
          <w:bCs/>
        </w:rPr>
        <w:t>o</w:t>
      </w:r>
      <w:r>
        <w:rPr>
          <w:bCs/>
        </w:rPr>
        <w:t>dos estos testigos que de manera sorpresiva varió su d</w:t>
      </w:r>
      <w:r>
        <w:rPr>
          <w:bCs/>
        </w:rPr>
        <w:t>e</w:t>
      </w:r>
      <w:r>
        <w:rPr>
          <w:bCs/>
        </w:rPr>
        <w:t>claración pr</w:t>
      </w:r>
      <w:r>
        <w:rPr>
          <w:bCs/>
        </w:rPr>
        <w:t>i</w:t>
      </w:r>
      <w:r>
        <w:rPr>
          <w:bCs/>
        </w:rPr>
        <w:t>migenia y comenzó a incriminar, entre otros, a Ibarra, vinculándolo con delitos extorsivos.</w:t>
      </w:r>
    </w:p>
    <w:p w:rsidR="00224567" w:rsidRDefault="00224567">
      <w:pPr>
        <w:widowControl w:val="0"/>
        <w:tabs>
          <w:tab w:val="left" w:pos="2835"/>
        </w:tabs>
        <w:ind w:firstLine="708"/>
        <w:rPr>
          <w:bCs/>
        </w:rPr>
      </w:pPr>
      <w:r>
        <w:rPr>
          <w:bCs/>
        </w:rPr>
        <w:tab/>
        <w:t xml:space="preserve">Remarcó que Petrucci involucró por primera vez a </w:t>
      </w:r>
      <w:smartTag w:uri="urn:schemas-microsoft-com:office:smarttags" w:element="PersonName">
        <w:smartTagPr>
          <w:attr w:name="ProductID" w:val="la Brigada"/>
        </w:smartTagPr>
        <w:r>
          <w:rPr>
            <w:bCs/>
          </w:rPr>
          <w:t>la Brigada</w:t>
        </w:r>
      </w:smartTag>
      <w:r>
        <w:rPr>
          <w:bCs/>
        </w:rPr>
        <w:t xml:space="preserve"> de Lanús mediante una declar</w:t>
      </w:r>
      <w:r>
        <w:rPr>
          <w:bCs/>
        </w:rPr>
        <w:t>a</w:t>
      </w:r>
      <w:r>
        <w:rPr>
          <w:bCs/>
        </w:rPr>
        <w:t>ción rendida el 12 de octubre de 1995 cuando todavía Vergéz era un dilecto auxiliar del juez federal, ina</w:t>
      </w:r>
      <w:r>
        <w:rPr>
          <w:bCs/>
        </w:rPr>
        <w:t>u</w:t>
      </w:r>
      <w:r>
        <w:rPr>
          <w:bCs/>
        </w:rPr>
        <w:t>gurando, en esa oportunidad, la que la colocó como víctima de una exto</w:t>
      </w:r>
      <w:r>
        <w:rPr>
          <w:bCs/>
        </w:rPr>
        <w:t>r</w:t>
      </w:r>
      <w:r>
        <w:rPr>
          <w:bCs/>
        </w:rPr>
        <w:t>sión, y en la que se refirió sobre la inverosímil entrega de vehíc</w:t>
      </w:r>
      <w:r>
        <w:rPr>
          <w:bCs/>
        </w:rPr>
        <w:t>u</w:t>
      </w:r>
      <w:r>
        <w:rPr>
          <w:bCs/>
        </w:rPr>
        <w:t>los a la policía.</w:t>
      </w:r>
    </w:p>
    <w:p w:rsidR="00224567" w:rsidRDefault="00224567">
      <w:pPr>
        <w:widowControl w:val="0"/>
        <w:tabs>
          <w:tab w:val="left" w:pos="2835"/>
        </w:tabs>
        <w:ind w:firstLine="708"/>
        <w:rPr>
          <w:bCs/>
        </w:rPr>
      </w:pPr>
      <w:r>
        <w:rPr>
          <w:bCs/>
        </w:rPr>
        <w:tab/>
        <w:t>Memoró que la testigo se excusó de no haber contado antes esa circunstancia porque no se lo h</w:t>
      </w:r>
      <w:r>
        <w:rPr>
          <w:bCs/>
        </w:rPr>
        <w:t>a</w:t>
      </w:r>
      <w:r>
        <w:rPr>
          <w:bCs/>
        </w:rPr>
        <w:t>bían preguntado, y nombró a los testigos que, más tarde y conforme estaba acordado con el juzgado, se encolumnar</w:t>
      </w:r>
      <w:r>
        <w:rPr>
          <w:bCs/>
        </w:rPr>
        <w:t>í</w:t>
      </w:r>
      <w:r>
        <w:rPr>
          <w:bCs/>
        </w:rPr>
        <w:t>an detrás de su mentira in</w:t>
      </w:r>
      <w:r>
        <w:rPr>
          <w:bCs/>
        </w:rPr>
        <w:t>i</w:t>
      </w:r>
      <w:r>
        <w:rPr>
          <w:bCs/>
        </w:rPr>
        <w:t>cial.</w:t>
      </w:r>
    </w:p>
    <w:p w:rsidR="00224567" w:rsidRDefault="00224567">
      <w:pPr>
        <w:widowControl w:val="0"/>
        <w:tabs>
          <w:tab w:val="left" w:pos="2835"/>
        </w:tabs>
        <w:ind w:firstLine="708"/>
        <w:rPr>
          <w:bCs/>
        </w:rPr>
      </w:pPr>
      <w:r>
        <w:rPr>
          <w:bCs/>
        </w:rPr>
        <w:lastRenderedPageBreak/>
        <w:tab/>
        <w:t>Destacó también el letrado que el 2 de noviembre de ese año, el mismo día en que se le recibió declaración testimonial al fletero Setaro, el juez Galeano dictó una resolución mediante la cual imputó a varios pe</w:t>
      </w:r>
      <w:r>
        <w:rPr>
          <w:bCs/>
        </w:rPr>
        <w:t>r</w:t>
      </w:r>
      <w:r>
        <w:rPr>
          <w:bCs/>
        </w:rPr>
        <w:t>sonajes vinculados con el entorno de Telleldín el delito de asociación ilícita en razón de sus actividades vincul</w:t>
      </w:r>
      <w:r>
        <w:rPr>
          <w:bCs/>
        </w:rPr>
        <w:t>a</w:t>
      </w:r>
      <w:r>
        <w:rPr>
          <w:bCs/>
        </w:rPr>
        <w:t>da con el “doblaje” de automot</w:t>
      </w:r>
      <w:r>
        <w:rPr>
          <w:bCs/>
        </w:rPr>
        <w:t>o</w:t>
      </w:r>
      <w:r>
        <w:rPr>
          <w:bCs/>
        </w:rPr>
        <w:t>res, con la salvedad de que ninguno de estos que se avino a declarar en contra de los policías, fue inclu</w:t>
      </w:r>
      <w:r>
        <w:rPr>
          <w:bCs/>
        </w:rPr>
        <w:t>i</w:t>
      </w:r>
      <w:r>
        <w:rPr>
          <w:bCs/>
        </w:rPr>
        <w:t>do en ella.</w:t>
      </w:r>
    </w:p>
    <w:p w:rsidR="00224567" w:rsidRDefault="00224567">
      <w:pPr>
        <w:widowControl w:val="0"/>
        <w:tabs>
          <w:tab w:val="left" w:pos="2835"/>
        </w:tabs>
        <w:ind w:firstLine="708"/>
        <w:rPr>
          <w:bCs/>
        </w:rPr>
      </w:pPr>
      <w:r>
        <w:rPr>
          <w:bCs/>
        </w:rPr>
        <w:tab/>
        <w:t>Notó el defensor que, por el contr</w:t>
      </w:r>
      <w:r>
        <w:rPr>
          <w:bCs/>
        </w:rPr>
        <w:t>a</w:t>
      </w:r>
      <w:r>
        <w:rPr>
          <w:bCs/>
        </w:rPr>
        <w:t>rio, sólo los que no se prestaron a corroborar las versi</w:t>
      </w:r>
      <w:r>
        <w:rPr>
          <w:bCs/>
        </w:rPr>
        <w:t>o</w:t>
      </w:r>
      <w:r>
        <w:rPr>
          <w:bCs/>
        </w:rPr>
        <w:t>nes de Telleldín, que involucraban a Lanús en hechos d</w:t>
      </w:r>
      <w:r>
        <w:rPr>
          <w:bCs/>
        </w:rPr>
        <w:t>e</w:t>
      </w:r>
      <w:r>
        <w:rPr>
          <w:bCs/>
        </w:rPr>
        <w:t>lictivos, terminaron siendo sindicados por el juez Galeano como autores o partícipes del delito de asoci</w:t>
      </w:r>
      <w:r>
        <w:rPr>
          <w:bCs/>
        </w:rPr>
        <w:t>a</w:t>
      </w:r>
      <w:r>
        <w:rPr>
          <w:bCs/>
        </w:rPr>
        <w:t>ción ilícita en ese decisorio, imputación que persiste a la fecha tal como le ocurrió a Hugo Pérez y a M</w:t>
      </w:r>
      <w:r>
        <w:rPr>
          <w:bCs/>
        </w:rPr>
        <w:t>i</w:t>
      </w:r>
      <w:r>
        <w:rPr>
          <w:bCs/>
        </w:rPr>
        <w:t>guel Jaimes.</w:t>
      </w:r>
    </w:p>
    <w:p w:rsidR="00224567" w:rsidRDefault="00224567">
      <w:pPr>
        <w:widowControl w:val="0"/>
        <w:tabs>
          <w:tab w:val="left" w:pos="2835"/>
        </w:tabs>
        <w:ind w:firstLine="708"/>
        <w:rPr>
          <w:bCs/>
        </w:rPr>
      </w:pPr>
      <w:r>
        <w:rPr>
          <w:bCs/>
        </w:rPr>
        <w:tab/>
      </w:r>
      <w:r w:rsidRPr="00224567">
        <w:rPr>
          <w:bCs/>
          <w:highlight w:val="yellow"/>
        </w:rPr>
        <w:t>Trajo a colación la defensa los d</w:t>
      </w:r>
      <w:r w:rsidRPr="00224567">
        <w:rPr>
          <w:bCs/>
          <w:highlight w:val="yellow"/>
        </w:rPr>
        <w:t>i</w:t>
      </w:r>
      <w:r w:rsidRPr="00224567">
        <w:rPr>
          <w:bCs/>
          <w:highlight w:val="yellow"/>
        </w:rPr>
        <w:t>chos de la asistencia letrada de Telleldín respecto de que C</w:t>
      </w:r>
      <w:r w:rsidRPr="00224567">
        <w:rPr>
          <w:bCs/>
          <w:highlight w:val="yellow"/>
        </w:rPr>
        <w:t>é</w:t>
      </w:r>
      <w:r w:rsidRPr="00224567">
        <w:rPr>
          <w:bCs/>
          <w:highlight w:val="yellow"/>
        </w:rPr>
        <w:t>sar Fernández no podía ser presentado como testigo de ca</w:t>
      </w:r>
      <w:r w:rsidRPr="00224567">
        <w:rPr>
          <w:bCs/>
          <w:highlight w:val="yellow"/>
        </w:rPr>
        <w:t>r</w:t>
      </w:r>
      <w:r w:rsidRPr="00224567">
        <w:rPr>
          <w:bCs/>
          <w:highlight w:val="yellow"/>
        </w:rPr>
        <w:t>go en la audiencia luego de las torturas a las que fue s</w:t>
      </w:r>
      <w:r w:rsidRPr="00224567">
        <w:rPr>
          <w:bCs/>
          <w:highlight w:val="yellow"/>
        </w:rPr>
        <w:t>o</w:t>
      </w:r>
      <w:r w:rsidRPr="00224567">
        <w:rPr>
          <w:bCs/>
          <w:highlight w:val="yellow"/>
        </w:rPr>
        <w:lastRenderedPageBreak/>
        <w:t>metido por algunos investigadores, y que por ello el juez consideró peligroso dejarlo hablar declinando su jurisdi</w:t>
      </w:r>
      <w:r w:rsidRPr="00224567">
        <w:rPr>
          <w:bCs/>
          <w:highlight w:val="yellow"/>
        </w:rPr>
        <w:t>c</w:t>
      </w:r>
      <w:r w:rsidRPr="00224567">
        <w:rPr>
          <w:bCs/>
          <w:highlight w:val="yellow"/>
        </w:rPr>
        <w:t>ción en relación con sus activ</w:t>
      </w:r>
      <w:r w:rsidRPr="00224567">
        <w:rPr>
          <w:bCs/>
          <w:highlight w:val="yellow"/>
        </w:rPr>
        <w:t>i</w:t>
      </w:r>
      <w:r w:rsidRPr="00224567">
        <w:rPr>
          <w:bCs/>
          <w:highlight w:val="yellow"/>
        </w:rPr>
        <w:t>dades ilícitas.</w:t>
      </w:r>
    </w:p>
    <w:p w:rsidR="00224567" w:rsidRDefault="00224567">
      <w:pPr>
        <w:widowControl w:val="0"/>
        <w:tabs>
          <w:tab w:val="left" w:pos="2835"/>
        </w:tabs>
        <w:ind w:firstLine="708"/>
        <w:rPr>
          <w:bCs/>
        </w:rPr>
      </w:pPr>
      <w:r>
        <w:rPr>
          <w:bCs/>
        </w:rPr>
        <w:tab/>
        <w:t>Valoró el defensor que Guillermo Cot</w:t>
      </w:r>
      <w:r>
        <w:rPr>
          <w:bCs/>
        </w:rPr>
        <w:t>o</w:t>
      </w:r>
      <w:r>
        <w:rPr>
          <w:bCs/>
        </w:rPr>
        <w:t>ras, quien s</w:t>
      </w:r>
      <w:r>
        <w:rPr>
          <w:bCs/>
        </w:rPr>
        <w:t>e</w:t>
      </w:r>
      <w:r>
        <w:rPr>
          <w:bCs/>
        </w:rPr>
        <w:t>gún se desprendía de indicios obrantes en la causa, también pudo haberse alzado con varios miles de d</w:t>
      </w:r>
      <w:r>
        <w:rPr>
          <w:bCs/>
        </w:rPr>
        <w:t>ó</w:t>
      </w:r>
      <w:r>
        <w:rPr>
          <w:bCs/>
        </w:rPr>
        <w:t>lares a cambio de su declaración, no tuvo inconvenientes en acompañar a Carlos Telleldín en sus engaños, sin pe</w:t>
      </w:r>
      <w:r>
        <w:rPr>
          <w:bCs/>
        </w:rPr>
        <w:t>r</w:t>
      </w:r>
      <w:r>
        <w:rPr>
          <w:bCs/>
        </w:rPr>
        <w:t>juicio de que el juez instructor y los fiscales no ignor</w:t>
      </w:r>
      <w:r>
        <w:rPr>
          <w:bCs/>
        </w:rPr>
        <w:t>a</w:t>
      </w:r>
      <w:r>
        <w:rPr>
          <w:bCs/>
        </w:rPr>
        <w:t>ban que en noviembre de 1995, en su garaje de Villa Mart</w:t>
      </w:r>
      <w:r>
        <w:rPr>
          <w:bCs/>
        </w:rPr>
        <w:t>e</w:t>
      </w:r>
      <w:r>
        <w:rPr>
          <w:bCs/>
        </w:rPr>
        <w:t>lli, también realizaba tareas destinadas al doblaje de c</w:t>
      </w:r>
      <w:r>
        <w:rPr>
          <w:bCs/>
        </w:rPr>
        <w:t>o</w:t>
      </w:r>
      <w:r>
        <w:rPr>
          <w:bCs/>
        </w:rPr>
        <w:t>ches robados, y que gracias a su complacencia con el juez y Telleldín, sobre la versión falsa del 10 de julio, se salvó así de la imputación de la figura de asociación il</w:t>
      </w:r>
      <w:r>
        <w:rPr>
          <w:bCs/>
        </w:rPr>
        <w:t>í</w:t>
      </w:r>
      <w:r>
        <w:rPr>
          <w:bCs/>
        </w:rPr>
        <w:t>cita.</w:t>
      </w:r>
    </w:p>
    <w:p w:rsidR="00224567" w:rsidRDefault="00224567">
      <w:pPr>
        <w:widowControl w:val="0"/>
        <w:tabs>
          <w:tab w:val="left" w:pos="2835"/>
        </w:tabs>
        <w:ind w:firstLine="708"/>
        <w:rPr>
          <w:bCs/>
        </w:rPr>
      </w:pPr>
      <w:r>
        <w:rPr>
          <w:bCs/>
        </w:rPr>
        <w:tab/>
        <w:t>Manifestó el defensor de Ibarra que a nadie debió llamarle la atención la circunstancia de que Telleldín se negó a dar precisiones ante el tribunal ace</w:t>
      </w:r>
      <w:r>
        <w:rPr>
          <w:bCs/>
        </w:rPr>
        <w:t>r</w:t>
      </w:r>
      <w:r>
        <w:rPr>
          <w:bCs/>
        </w:rPr>
        <w:t>ca de las s</w:t>
      </w:r>
      <w:r>
        <w:rPr>
          <w:bCs/>
        </w:rPr>
        <w:t>u</w:t>
      </w:r>
      <w:r>
        <w:rPr>
          <w:bCs/>
        </w:rPr>
        <w:t xml:space="preserve">puestas maniobras de </w:t>
      </w:r>
      <w:smartTag w:uri="urn:schemas-microsoft-com:office:smarttags" w:element="PersonName">
        <w:smartTagPr>
          <w:attr w:name="ProductID" w:val="la Brigada"/>
        </w:smartTagPr>
        <w:r>
          <w:rPr>
            <w:bCs/>
          </w:rPr>
          <w:t>la Brigada</w:t>
        </w:r>
      </w:smartTag>
      <w:r>
        <w:rPr>
          <w:bCs/>
        </w:rPr>
        <w:t xml:space="preserve"> de Lanús, que según alega le habrían perjudicado, aducie</w:t>
      </w:r>
      <w:r>
        <w:rPr>
          <w:bCs/>
        </w:rPr>
        <w:t>n</w:t>
      </w:r>
      <w:r>
        <w:rPr>
          <w:bCs/>
        </w:rPr>
        <w:t>do que lo hacía en virtud de r</w:t>
      </w:r>
      <w:r>
        <w:rPr>
          <w:bCs/>
        </w:rPr>
        <w:t>e</w:t>
      </w:r>
      <w:r>
        <w:rPr>
          <w:bCs/>
        </w:rPr>
        <w:t xml:space="preserve">sultar víctima de esos presuntos hechos, e </w:t>
      </w:r>
      <w:r>
        <w:rPr>
          <w:bCs/>
        </w:rPr>
        <w:lastRenderedPageBreak/>
        <w:t>infiriendo el letrado que resulta decididamente anormal que el imp</w:t>
      </w:r>
      <w:r>
        <w:rPr>
          <w:bCs/>
        </w:rPr>
        <w:t>u</w:t>
      </w:r>
      <w:r>
        <w:rPr>
          <w:bCs/>
        </w:rPr>
        <w:t>tado se avenga a dar explicaciones sobre hechos que lo incriminan direct</w:t>
      </w:r>
      <w:r>
        <w:rPr>
          <w:bCs/>
        </w:rPr>
        <w:t>a</w:t>
      </w:r>
      <w:r>
        <w:rPr>
          <w:bCs/>
        </w:rPr>
        <w:t>mente y que guarde silencio sobre otros que supuestamente ninguna responsabilidad pueden acarrearle.</w:t>
      </w:r>
    </w:p>
    <w:p w:rsidR="00224567" w:rsidRDefault="00224567">
      <w:pPr>
        <w:widowControl w:val="0"/>
        <w:tabs>
          <w:tab w:val="left" w:pos="2835"/>
        </w:tabs>
        <w:ind w:firstLine="708"/>
        <w:rPr>
          <w:bCs/>
        </w:rPr>
      </w:pPr>
      <w:r>
        <w:rPr>
          <w:bCs/>
        </w:rPr>
        <w:tab/>
        <w:t>Valoró que en realidad el imputado T</w:t>
      </w:r>
      <w:r>
        <w:rPr>
          <w:bCs/>
        </w:rPr>
        <w:t>e</w:t>
      </w:r>
      <w:r>
        <w:rPr>
          <w:bCs/>
        </w:rPr>
        <w:t>lleldín sabía mejor que nadie las circunstancias que r</w:t>
      </w:r>
      <w:r>
        <w:rPr>
          <w:bCs/>
        </w:rPr>
        <w:t>o</w:t>
      </w:r>
      <w:r>
        <w:rPr>
          <w:bCs/>
        </w:rPr>
        <w:t>dearon el armado de la trama de “Brigadas”, conociendo también las groseras e insalvables inconsistencias que surgían del confronte de los relatos vertidos por su e</w:t>
      </w:r>
      <w:r>
        <w:rPr>
          <w:bCs/>
        </w:rPr>
        <w:t>n</w:t>
      </w:r>
      <w:r>
        <w:rPr>
          <w:bCs/>
        </w:rPr>
        <w:t>torno y que sabía perfectamente que, de descubrirse la m</w:t>
      </w:r>
      <w:r>
        <w:rPr>
          <w:bCs/>
        </w:rPr>
        <w:t>a</w:t>
      </w:r>
      <w:r>
        <w:rPr>
          <w:bCs/>
        </w:rPr>
        <w:t>niobra urdida, m</w:t>
      </w:r>
      <w:r>
        <w:rPr>
          <w:bCs/>
        </w:rPr>
        <w:t>u</w:t>
      </w:r>
      <w:r>
        <w:rPr>
          <w:bCs/>
        </w:rPr>
        <w:t>chos de sus allegados deberían responder penalmente por sus falsedades enderezadas a perjudicar a Ibarra. También consideró el defensor que Telleldín adve</w:t>
      </w:r>
      <w:r>
        <w:rPr>
          <w:bCs/>
        </w:rPr>
        <w:t>r</w:t>
      </w:r>
      <w:r>
        <w:rPr>
          <w:bCs/>
        </w:rPr>
        <w:t>tía que quienes oportunamente le aseguraron la impunidad para que mienta de manera infame, no se encontraban a</w:t>
      </w:r>
      <w:r>
        <w:rPr>
          <w:bCs/>
        </w:rPr>
        <w:t>c</w:t>
      </w:r>
      <w:r>
        <w:rPr>
          <w:bCs/>
        </w:rPr>
        <w:t>tualmente en condiciones de cumplir con su pa</w:t>
      </w:r>
      <w:r>
        <w:rPr>
          <w:bCs/>
        </w:rPr>
        <w:t>r</w:t>
      </w:r>
      <w:r>
        <w:rPr>
          <w:bCs/>
        </w:rPr>
        <w:t>te.</w:t>
      </w:r>
    </w:p>
    <w:p w:rsidR="00224567" w:rsidRDefault="00224567">
      <w:pPr>
        <w:widowControl w:val="0"/>
        <w:tabs>
          <w:tab w:val="left" w:pos="2835"/>
        </w:tabs>
        <w:ind w:firstLine="708"/>
        <w:rPr>
          <w:bCs/>
        </w:rPr>
      </w:pPr>
      <w:r>
        <w:rPr>
          <w:bCs/>
        </w:rPr>
        <w:tab/>
        <w:t>Con relación a los testigos utiliz</w:t>
      </w:r>
      <w:r>
        <w:rPr>
          <w:bCs/>
        </w:rPr>
        <w:t>a</w:t>
      </w:r>
      <w:r>
        <w:rPr>
          <w:bCs/>
        </w:rPr>
        <w:t>dos por el fiscal para dar por probado los pr</w:t>
      </w:r>
      <w:r>
        <w:rPr>
          <w:bCs/>
        </w:rPr>
        <w:t>e</w:t>
      </w:r>
      <w:r>
        <w:rPr>
          <w:bCs/>
        </w:rPr>
        <w:t>suntos hechos de abril en Lanús, cuyos testimonios calificaron como contu</w:t>
      </w:r>
      <w:r>
        <w:rPr>
          <w:bCs/>
        </w:rPr>
        <w:t>n</w:t>
      </w:r>
      <w:r>
        <w:rPr>
          <w:bCs/>
        </w:rPr>
        <w:lastRenderedPageBreak/>
        <w:t>dentes, sólidos y concordantes, sostuvo el defensor que los mismos c</w:t>
      </w:r>
      <w:r>
        <w:rPr>
          <w:bCs/>
        </w:rPr>
        <w:t>a</w:t>
      </w:r>
      <w:r>
        <w:rPr>
          <w:bCs/>
        </w:rPr>
        <w:t>recían de esas cualidades y están plagados de anacronismos, inconsecuencias y contradicci</w:t>
      </w:r>
      <w:r>
        <w:rPr>
          <w:bCs/>
        </w:rPr>
        <w:t>o</w:t>
      </w:r>
      <w:r>
        <w:rPr>
          <w:bCs/>
        </w:rPr>
        <w:t>nes.</w:t>
      </w:r>
    </w:p>
    <w:p w:rsidR="00224567" w:rsidRDefault="00224567">
      <w:pPr>
        <w:widowControl w:val="0"/>
        <w:tabs>
          <w:tab w:val="left" w:pos="2835"/>
        </w:tabs>
        <w:ind w:firstLine="708"/>
        <w:rPr>
          <w:bCs/>
        </w:rPr>
      </w:pPr>
      <w:r>
        <w:rPr>
          <w:bCs/>
        </w:rPr>
        <w:tab/>
        <w:t>Remarcó que Sandra Marisa Petrucci d</w:t>
      </w:r>
      <w:r>
        <w:rPr>
          <w:bCs/>
        </w:rPr>
        <w:t>e</w:t>
      </w:r>
      <w:r>
        <w:rPr>
          <w:bCs/>
        </w:rPr>
        <w:t>jó escapar por un momento la verdad de lo que había aco</w:t>
      </w:r>
      <w:r>
        <w:rPr>
          <w:bCs/>
        </w:rPr>
        <w:t>n</w:t>
      </w:r>
      <w:r>
        <w:rPr>
          <w:bCs/>
        </w:rPr>
        <w:t>tecido durante esos dos días, como lo certifican los l</w:t>
      </w:r>
      <w:r>
        <w:rPr>
          <w:bCs/>
        </w:rPr>
        <w:t>i</w:t>
      </w:r>
      <w:r>
        <w:rPr>
          <w:bCs/>
        </w:rPr>
        <w:t>bros y demás constancias de la causa, cuando afirmó que había recuperado la libertad, junto a su n</w:t>
      </w:r>
      <w:r>
        <w:rPr>
          <w:bCs/>
        </w:rPr>
        <w:t>o</w:t>
      </w:r>
      <w:r>
        <w:rPr>
          <w:bCs/>
        </w:rPr>
        <w:t>vio Carlos, al anochecer del día siguiente de su detención, aunque inm</w:t>
      </w:r>
      <w:r>
        <w:rPr>
          <w:bCs/>
        </w:rPr>
        <w:t>e</w:t>
      </w:r>
      <w:r>
        <w:rPr>
          <w:bCs/>
        </w:rPr>
        <w:t>diatamente, de man</w:t>
      </w:r>
      <w:r>
        <w:rPr>
          <w:bCs/>
        </w:rPr>
        <w:t>e</w:t>
      </w:r>
      <w:r>
        <w:rPr>
          <w:bCs/>
        </w:rPr>
        <w:t>ra extraña y ante la evidente necesidad de hilvanar de alguna manera el resto de los engaños que tenía por contar, se desdijo afirmando que en realidad la dejaron salir de la brig</w:t>
      </w:r>
      <w:r>
        <w:rPr>
          <w:bCs/>
        </w:rPr>
        <w:t>a</w:t>
      </w:r>
      <w:r>
        <w:rPr>
          <w:bCs/>
        </w:rPr>
        <w:t>da durante la mañana del 5, yendo a la confitería de la esquina con el Dr. Sem</w:t>
      </w:r>
      <w:r>
        <w:rPr>
          <w:bCs/>
        </w:rPr>
        <w:t>o</w:t>
      </w:r>
      <w:r>
        <w:rPr>
          <w:bCs/>
        </w:rPr>
        <w:t>rile.</w:t>
      </w:r>
    </w:p>
    <w:p w:rsidR="00224567" w:rsidRDefault="00224567">
      <w:pPr>
        <w:widowControl w:val="0"/>
        <w:tabs>
          <w:tab w:val="left" w:pos="2835"/>
        </w:tabs>
        <w:ind w:firstLine="708"/>
        <w:rPr>
          <w:bCs/>
        </w:rPr>
      </w:pPr>
      <w:r>
        <w:rPr>
          <w:bCs/>
        </w:rPr>
        <w:tab/>
        <w:t>También detalló el defensor que ello aconteció, según Petrucci, en virtud de que Eduardo y S</w:t>
      </w:r>
      <w:r>
        <w:rPr>
          <w:bCs/>
        </w:rPr>
        <w:t>e</w:t>
      </w:r>
      <w:r>
        <w:rPr>
          <w:bCs/>
        </w:rPr>
        <w:t>morile comentaron en su presencia, mientras tomaban un c</w:t>
      </w:r>
      <w:r>
        <w:rPr>
          <w:bCs/>
        </w:rPr>
        <w:t>a</w:t>
      </w:r>
      <w:r>
        <w:rPr>
          <w:bCs/>
        </w:rPr>
        <w:t>fé, que debían buscar una motocicleta para entregar en la brigada, y que por eso se retiró junto con Eduardo y Sem</w:t>
      </w:r>
      <w:r>
        <w:rPr>
          <w:bCs/>
        </w:rPr>
        <w:t>o</w:t>
      </w:r>
      <w:r>
        <w:rPr>
          <w:bCs/>
        </w:rPr>
        <w:t>rile a la casa del primero.</w:t>
      </w:r>
    </w:p>
    <w:p w:rsidR="00224567" w:rsidRDefault="00224567">
      <w:pPr>
        <w:widowControl w:val="0"/>
        <w:tabs>
          <w:tab w:val="left" w:pos="2835"/>
        </w:tabs>
        <w:ind w:firstLine="708"/>
        <w:rPr>
          <w:bCs/>
        </w:rPr>
      </w:pPr>
      <w:r>
        <w:rPr>
          <w:bCs/>
        </w:rPr>
        <w:tab/>
        <w:t>Manifestó el defensor, que en lo rel</w:t>
      </w:r>
      <w:r>
        <w:rPr>
          <w:bCs/>
        </w:rPr>
        <w:t>a</w:t>
      </w:r>
      <w:r>
        <w:rPr>
          <w:bCs/>
        </w:rPr>
        <w:lastRenderedPageBreak/>
        <w:t>tivo al horario que dijo haber salido de la brigada, P</w:t>
      </w:r>
      <w:r>
        <w:rPr>
          <w:bCs/>
        </w:rPr>
        <w:t>e</w:t>
      </w:r>
      <w:r>
        <w:rPr>
          <w:bCs/>
        </w:rPr>
        <w:t>trucci convinó señalar que esto no podía haber ocurrido jamás durante la mañana ya que Semorile, su supuesto aco</w:t>
      </w:r>
      <w:r>
        <w:rPr>
          <w:bCs/>
        </w:rPr>
        <w:t>m</w:t>
      </w:r>
      <w:r>
        <w:rPr>
          <w:bCs/>
        </w:rPr>
        <w:t>pañante en ese momento, refirió en el debate que el 5 de abril, estando en Villa Adelina, recibió un llamado de Spagnuolo a las 5 o 6 de la tarde y que recién en ese m</w:t>
      </w:r>
      <w:r>
        <w:rPr>
          <w:bCs/>
        </w:rPr>
        <w:t>o</w:t>
      </w:r>
      <w:r>
        <w:rPr>
          <w:bCs/>
        </w:rPr>
        <w:t>mento se dirigió a la brigada de Lanús, donde llegó de n</w:t>
      </w:r>
      <w:r>
        <w:rPr>
          <w:bCs/>
        </w:rPr>
        <w:t>o</w:t>
      </w:r>
      <w:r>
        <w:rPr>
          <w:bCs/>
        </w:rPr>
        <w:t>che. A esto agregó la defensa de Ib</w:t>
      </w:r>
      <w:r>
        <w:rPr>
          <w:bCs/>
        </w:rPr>
        <w:t>a</w:t>
      </w:r>
      <w:r>
        <w:rPr>
          <w:bCs/>
        </w:rPr>
        <w:t>rra que según constaba a fs. 37.335 la nombrada fue reconocida por el médico de la d</w:t>
      </w:r>
      <w:r>
        <w:rPr>
          <w:bCs/>
        </w:rPr>
        <w:t>e</w:t>
      </w:r>
      <w:r>
        <w:rPr>
          <w:bCs/>
        </w:rPr>
        <w:t>pendencia, Juan José Brulo, recién a las 16.45 del 5 de abril.</w:t>
      </w:r>
    </w:p>
    <w:p w:rsidR="00224567" w:rsidRDefault="00224567">
      <w:pPr>
        <w:widowControl w:val="0"/>
        <w:tabs>
          <w:tab w:val="left" w:pos="2835"/>
        </w:tabs>
        <w:ind w:firstLine="708"/>
        <w:rPr>
          <w:bCs/>
        </w:rPr>
      </w:pPr>
      <w:r>
        <w:rPr>
          <w:bCs/>
        </w:rPr>
        <w:tab/>
        <w:t>Destacó que también Carlos, en su i</w:t>
      </w:r>
      <w:r>
        <w:rPr>
          <w:bCs/>
        </w:rPr>
        <w:t>n</w:t>
      </w:r>
      <w:r>
        <w:rPr>
          <w:bCs/>
        </w:rPr>
        <w:t>dagatoria nula, sostuvo que la llegada de Semorile a la brigada se produjo a las 9 o 10 de la noche del día s</w:t>
      </w:r>
      <w:r>
        <w:rPr>
          <w:bCs/>
        </w:rPr>
        <w:t>i</w:t>
      </w:r>
      <w:r>
        <w:rPr>
          <w:bCs/>
        </w:rPr>
        <w:t>guiente a su detención, contradiciendo la versión de su novia. Relató también que, en la depe</w:t>
      </w:r>
      <w:r>
        <w:rPr>
          <w:bCs/>
        </w:rPr>
        <w:t>n</w:t>
      </w:r>
      <w:r>
        <w:rPr>
          <w:bCs/>
        </w:rPr>
        <w:t>dencia de Lanús, le dejaron tomar contacto con Sandra mientras ambos estaban detenidos, tornándose ine</w:t>
      </w:r>
      <w:r>
        <w:rPr>
          <w:bCs/>
        </w:rPr>
        <w:t>x</w:t>
      </w:r>
      <w:r>
        <w:rPr>
          <w:bCs/>
        </w:rPr>
        <w:t>plicable, a juicio de la defensa oficial, como fue que Telleldín no se enteró de la supue</w:t>
      </w:r>
      <w:r>
        <w:rPr>
          <w:bCs/>
        </w:rPr>
        <w:t>s</w:t>
      </w:r>
      <w:r>
        <w:rPr>
          <w:bCs/>
        </w:rPr>
        <w:t>ta libertad antic</w:t>
      </w:r>
      <w:r>
        <w:rPr>
          <w:bCs/>
        </w:rPr>
        <w:t>i</w:t>
      </w:r>
      <w:r>
        <w:rPr>
          <w:bCs/>
        </w:rPr>
        <w:t>pada de Petrucci.</w:t>
      </w:r>
    </w:p>
    <w:p w:rsidR="00224567" w:rsidRDefault="00224567">
      <w:pPr>
        <w:widowControl w:val="0"/>
        <w:tabs>
          <w:tab w:val="left" w:pos="2835"/>
        </w:tabs>
        <w:ind w:firstLine="708"/>
        <w:rPr>
          <w:bCs/>
        </w:rPr>
      </w:pPr>
      <w:r>
        <w:rPr>
          <w:bCs/>
        </w:rPr>
        <w:lastRenderedPageBreak/>
        <w:tab/>
        <w:t>Valoró la defensa que Petrucci ta</w:t>
      </w:r>
      <w:r>
        <w:rPr>
          <w:bCs/>
        </w:rPr>
        <w:t>m</w:t>
      </w:r>
      <w:r>
        <w:rPr>
          <w:bCs/>
        </w:rPr>
        <w:t>bién sostuvo haber ido al bar de la esquina con Semorile, cua</w:t>
      </w:r>
      <w:r>
        <w:rPr>
          <w:bCs/>
        </w:rPr>
        <w:t>n</w:t>
      </w:r>
      <w:r>
        <w:rPr>
          <w:bCs/>
        </w:rPr>
        <w:t>do éste negó haber concurrido a ese comercio durante cua</w:t>
      </w:r>
      <w:r>
        <w:rPr>
          <w:bCs/>
        </w:rPr>
        <w:t>l</w:t>
      </w:r>
      <w:r>
        <w:rPr>
          <w:bCs/>
        </w:rPr>
        <w:t>quiera de las dos jornadas de abril y mucho menos haberlo hecho acompañado por P</w:t>
      </w:r>
      <w:r>
        <w:rPr>
          <w:bCs/>
        </w:rPr>
        <w:t>e</w:t>
      </w:r>
      <w:r>
        <w:rPr>
          <w:bCs/>
        </w:rPr>
        <w:t>trucci. Valoró el letrado que ello era falso ya que Banga y Botey dijeron que esa noche ll</w:t>
      </w:r>
      <w:r>
        <w:rPr>
          <w:bCs/>
        </w:rPr>
        <w:t>e</w:t>
      </w:r>
      <w:r>
        <w:rPr>
          <w:bCs/>
        </w:rPr>
        <w:t>garon con Eduardo a Avellaneda y estuvieron juntos en el bar sin mencionar para nada a Sandra, excepto porque Eduardo sostuvo haberla visto recién a último momento cuando de madrugada bajaban la moto Kawasaki de la cami</w:t>
      </w:r>
      <w:r>
        <w:rPr>
          <w:bCs/>
        </w:rPr>
        <w:t>o</w:t>
      </w:r>
      <w:r>
        <w:rPr>
          <w:bCs/>
        </w:rPr>
        <w:t>neta Rastroj</w:t>
      </w:r>
      <w:r>
        <w:rPr>
          <w:bCs/>
        </w:rPr>
        <w:t>e</w:t>
      </w:r>
      <w:r>
        <w:rPr>
          <w:bCs/>
        </w:rPr>
        <w:t>ro del fletero “Cacho”.</w:t>
      </w:r>
    </w:p>
    <w:p w:rsidR="00224567" w:rsidRDefault="00224567">
      <w:pPr>
        <w:widowControl w:val="0"/>
        <w:tabs>
          <w:tab w:val="left" w:pos="2835"/>
        </w:tabs>
        <w:ind w:firstLine="708"/>
        <w:rPr>
          <w:bCs/>
        </w:rPr>
      </w:pPr>
      <w:r>
        <w:rPr>
          <w:bCs/>
        </w:rPr>
        <w:tab/>
        <w:t>Infirió el letrado que si aún fuera cierto que Petrucci vio a Eduardo entrar al bar de la e</w:t>
      </w:r>
      <w:r>
        <w:rPr>
          <w:bCs/>
        </w:rPr>
        <w:t>s</w:t>
      </w:r>
      <w:r>
        <w:rPr>
          <w:bCs/>
        </w:rPr>
        <w:t>quina, no podía dejar de advertir que aquél, según la ve</w:t>
      </w:r>
      <w:r>
        <w:rPr>
          <w:bCs/>
        </w:rPr>
        <w:t>r</w:t>
      </w:r>
      <w:r>
        <w:rPr>
          <w:bCs/>
        </w:rPr>
        <w:t>sión mayoritaria, estaba acomp</w:t>
      </w:r>
      <w:r>
        <w:rPr>
          <w:bCs/>
        </w:rPr>
        <w:t>a</w:t>
      </w:r>
      <w:r>
        <w:rPr>
          <w:bCs/>
        </w:rPr>
        <w:t>ñado por Banga y por Botey y, recíprocamente, éstos debieron detectar a Petrucci, r</w:t>
      </w:r>
      <w:r>
        <w:rPr>
          <w:bCs/>
        </w:rPr>
        <w:t>e</w:t>
      </w:r>
      <w:r>
        <w:rPr>
          <w:bCs/>
        </w:rPr>
        <w:t>marcando que incluso Sandra fue más allá y dijo que ni s</w:t>
      </w:r>
      <w:r>
        <w:rPr>
          <w:bCs/>
        </w:rPr>
        <w:t>i</w:t>
      </w:r>
      <w:r>
        <w:rPr>
          <w:bCs/>
        </w:rPr>
        <w:t>quiera escuchó de boca de alguien, durante todo el epis</w:t>
      </w:r>
      <w:r>
        <w:rPr>
          <w:bCs/>
        </w:rPr>
        <w:t>o</w:t>
      </w:r>
      <w:r>
        <w:rPr>
          <w:bCs/>
        </w:rPr>
        <w:t>dio de Lanús, los nombres de Héctor Banga o de Salvador Botey.</w:t>
      </w:r>
    </w:p>
    <w:p w:rsidR="00224567" w:rsidRDefault="00224567">
      <w:pPr>
        <w:widowControl w:val="0"/>
        <w:tabs>
          <w:tab w:val="left" w:pos="2835"/>
        </w:tabs>
        <w:ind w:firstLine="708"/>
        <w:rPr>
          <w:bCs/>
        </w:rPr>
      </w:pPr>
      <w:r>
        <w:rPr>
          <w:bCs/>
        </w:rPr>
        <w:tab/>
        <w:t>Soslayando también esta desav</w:t>
      </w:r>
      <w:r>
        <w:rPr>
          <w:bCs/>
        </w:rPr>
        <w:t>e</w:t>
      </w:r>
      <w:r>
        <w:rPr>
          <w:bCs/>
        </w:rPr>
        <w:t xml:space="preserve">nencia, </w:t>
      </w:r>
      <w:r>
        <w:rPr>
          <w:bCs/>
        </w:rPr>
        <w:lastRenderedPageBreak/>
        <w:t>y continuando con el análisis, el defensor sostuvo que r</w:t>
      </w:r>
      <w:r>
        <w:rPr>
          <w:bCs/>
        </w:rPr>
        <w:t>e</w:t>
      </w:r>
      <w:r>
        <w:rPr>
          <w:bCs/>
        </w:rPr>
        <w:t>sultaba atinente analizar el contenido de algunos testim</w:t>
      </w:r>
      <w:r>
        <w:rPr>
          <w:bCs/>
        </w:rPr>
        <w:t>o</w:t>
      </w:r>
      <w:r>
        <w:rPr>
          <w:bCs/>
        </w:rPr>
        <w:t>nios que el fiscal en su alegato mencionó en apoyo de la versión de esta testigo.</w:t>
      </w:r>
    </w:p>
    <w:p w:rsidR="00224567" w:rsidRDefault="00224567">
      <w:pPr>
        <w:widowControl w:val="0"/>
        <w:tabs>
          <w:tab w:val="left" w:pos="2835"/>
        </w:tabs>
        <w:ind w:firstLine="708"/>
        <w:rPr>
          <w:bCs/>
        </w:rPr>
      </w:pPr>
      <w:r>
        <w:rPr>
          <w:bCs/>
        </w:rPr>
        <w:tab/>
        <w:t>Resaltó el defensor que Germán Rodr</w:t>
      </w:r>
      <w:r>
        <w:rPr>
          <w:bCs/>
        </w:rPr>
        <w:t>í</w:t>
      </w:r>
      <w:r>
        <w:rPr>
          <w:bCs/>
        </w:rPr>
        <w:t>guez, funcionario policial de Lanús, manifestó no r</w:t>
      </w:r>
      <w:r>
        <w:rPr>
          <w:bCs/>
        </w:rPr>
        <w:t>e</w:t>
      </w:r>
      <w:r>
        <w:rPr>
          <w:bCs/>
        </w:rPr>
        <w:t>cordar si ese día se e</w:t>
      </w:r>
      <w:r>
        <w:rPr>
          <w:bCs/>
        </w:rPr>
        <w:t>n</w:t>
      </w:r>
      <w:r>
        <w:rPr>
          <w:bCs/>
        </w:rPr>
        <w:t>contraba detenida en la brigada una mujer con ese nombre, pero que en modo alguno Rodríguez so</w:t>
      </w:r>
      <w:r>
        <w:rPr>
          <w:bCs/>
        </w:rPr>
        <w:t>s</w:t>
      </w:r>
      <w:r>
        <w:rPr>
          <w:bCs/>
        </w:rPr>
        <w:t>tuvo que recordaba la fecha en que Petrucci recuperó su libe</w:t>
      </w:r>
      <w:r>
        <w:rPr>
          <w:bCs/>
        </w:rPr>
        <w:t>r</w:t>
      </w:r>
      <w:r>
        <w:rPr>
          <w:bCs/>
        </w:rPr>
        <w:t>tad, tal como el fi</w:t>
      </w:r>
      <w:r>
        <w:rPr>
          <w:bCs/>
        </w:rPr>
        <w:t>s</w:t>
      </w:r>
      <w:r>
        <w:rPr>
          <w:bCs/>
        </w:rPr>
        <w:t>cal pretendía.</w:t>
      </w:r>
    </w:p>
    <w:p w:rsidR="00224567" w:rsidRDefault="00224567">
      <w:pPr>
        <w:widowControl w:val="0"/>
        <w:tabs>
          <w:tab w:val="left" w:pos="2835"/>
        </w:tabs>
        <w:ind w:firstLine="708"/>
      </w:pPr>
      <w:r>
        <w:tab/>
        <w:t>Incorporó la defensa a su alegato que el oficial de se</w:t>
      </w:r>
      <w:r>
        <w:t>r</w:t>
      </w:r>
      <w:r>
        <w:t>vicio que el 5 de abril estuvo de guardia en la brigada, Marcelo Antonio Bressi, no recordó haber visto a una mujer detenida, haciendo referencia s</w:t>
      </w:r>
      <w:r>
        <w:t>ó</w:t>
      </w:r>
      <w:r>
        <w:t>lo a una persona de sexo masculino, aunque al serle exhibido el l</w:t>
      </w:r>
      <w:r>
        <w:t>i</w:t>
      </w:r>
      <w:r>
        <w:t>bro de guardia corroboró que la p</w:t>
      </w:r>
      <w:r>
        <w:t>a</w:t>
      </w:r>
      <w:r>
        <w:t>reja había salido junta en libe</w:t>
      </w:r>
      <w:r>
        <w:t>r</w:t>
      </w:r>
      <w:r>
        <w:t>tad.</w:t>
      </w:r>
    </w:p>
    <w:p w:rsidR="00224567" w:rsidRDefault="00224567">
      <w:pPr>
        <w:widowControl w:val="0"/>
        <w:tabs>
          <w:tab w:val="left" w:pos="2835"/>
        </w:tabs>
        <w:ind w:firstLine="708"/>
      </w:pPr>
      <w:r>
        <w:tab/>
        <w:t>Evocó también el defensor a Oscar S</w:t>
      </w:r>
      <w:r>
        <w:t>e</w:t>
      </w:r>
      <w:r>
        <w:t xml:space="preserve">taro, quien afirmó que cuando descargó la moto en Lanús, vio a una mujer dentro del grupo de personas presentes, </w:t>
      </w:r>
      <w:r>
        <w:lastRenderedPageBreak/>
        <w:t>infiriendo que de haberse tratado de Sandra Marisa Petru</w:t>
      </w:r>
      <w:r>
        <w:t>c</w:t>
      </w:r>
      <w:r>
        <w:t>ci, Setaro la hubiera nombrado por haberla visto previ</w:t>
      </w:r>
      <w:r>
        <w:t>a</w:t>
      </w:r>
      <w:r>
        <w:t>mente en la casa de Eduardo.</w:t>
      </w:r>
    </w:p>
    <w:p w:rsidR="00224567" w:rsidRDefault="00224567">
      <w:pPr>
        <w:widowControl w:val="0"/>
        <w:tabs>
          <w:tab w:val="left" w:pos="2835"/>
        </w:tabs>
        <w:ind w:firstLine="708"/>
      </w:pPr>
      <w:r>
        <w:tab/>
        <w:t>Agregó también que del propio e</w:t>
      </w:r>
      <w:r>
        <w:t>n</w:t>
      </w:r>
      <w:r>
        <w:t>torno de Telleldín surgían versiones que daban cuenta de la pr</w:t>
      </w:r>
      <w:r>
        <w:t>e</w:t>
      </w:r>
      <w:r>
        <w:t xml:space="preserve">sencia de otra mujer joven en las inmediaciones de </w:t>
      </w:r>
      <w:smartTag w:uri="urn:schemas-microsoft-com:office:smarttags" w:element="PersonName">
        <w:smartTagPr>
          <w:attr w:name="ProductID" w:val="la Brigada"/>
        </w:smartTagPr>
        <w:r>
          <w:t>la Br</w:t>
        </w:r>
        <w:r>
          <w:t>i</w:t>
        </w:r>
        <w:r>
          <w:t>gada</w:t>
        </w:r>
      </w:smartTag>
      <w:r>
        <w:t xml:space="preserve"> de Lanús, la novia de Gust</w:t>
      </w:r>
      <w:r>
        <w:t>a</w:t>
      </w:r>
      <w:r>
        <w:t>vo Semorile.</w:t>
      </w:r>
    </w:p>
    <w:p w:rsidR="00224567" w:rsidRDefault="00224567">
      <w:pPr>
        <w:widowControl w:val="0"/>
        <w:tabs>
          <w:tab w:val="left" w:pos="2835"/>
        </w:tabs>
        <w:ind w:firstLine="708"/>
      </w:pPr>
      <w:r>
        <w:tab/>
        <w:t>Destacó el letrado que no podía ser cierto que Petrucci y Semorile hubieran aguardado a Edua</w:t>
      </w:r>
      <w:r>
        <w:t>r</w:t>
      </w:r>
      <w:r>
        <w:t>do, y que a su llegada se dirigieran en el auto de alguno de los hombres al domicilio de la calle Pío Díaz, ya que cuando Eduardo se fue de la brigada hasta su casa lo hizo en el auto que conducía su hermanastro Héctor Ba</w:t>
      </w:r>
      <w:r>
        <w:t>n</w:t>
      </w:r>
      <w:r>
        <w:t>ga, quien además en la audiencia sostuvo que viajó con él, sin me</w:t>
      </w:r>
      <w:r>
        <w:t>n</w:t>
      </w:r>
      <w:r>
        <w:t>cionar jamás la presencia ni de Sandra ni de Sem</w:t>
      </w:r>
      <w:r>
        <w:t>o</w:t>
      </w:r>
      <w:r>
        <w:t>rile.</w:t>
      </w:r>
    </w:p>
    <w:p w:rsidR="00224567" w:rsidRDefault="00224567">
      <w:pPr>
        <w:widowControl w:val="0"/>
        <w:tabs>
          <w:tab w:val="left" w:pos="2835"/>
        </w:tabs>
        <w:ind w:firstLine="708"/>
      </w:pPr>
      <w:r>
        <w:tab/>
        <w:t>Agregó la defensa de Ibarra que tamp</w:t>
      </w:r>
      <w:r>
        <w:t>o</w:t>
      </w:r>
      <w:r>
        <w:t>co Gustavo Semorile avaló la versión de Petrucci, ya que nada dijo con relación a este pretendido viaje junto a ella y a Eduardo al domicilio de este último.</w:t>
      </w:r>
    </w:p>
    <w:p w:rsidR="00224567" w:rsidRDefault="00224567">
      <w:pPr>
        <w:widowControl w:val="0"/>
        <w:tabs>
          <w:tab w:val="left" w:pos="2835"/>
        </w:tabs>
        <w:ind w:firstLine="708"/>
      </w:pPr>
      <w:r>
        <w:tab/>
        <w:t>Recordó también que Petrucci co</w:t>
      </w:r>
      <w:r>
        <w:t>n</w:t>
      </w:r>
      <w:r>
        <w:t xml:space="preserve">tó que desde la casa de Eduardo, donde habrían cargado la moto, </w:t>
      </w:r>
      <w:r>
        <w:lastRenderedPageBreak/>
        <w:t>retornaron directamente a la brigada y que el fletero se había confundido de camino por lo que ella se bajó del a</w:t>
      </w:r>
      <w:r>
        <w:t>u</w:t>
      </w:r>
      <w:r>
        <w:t>to y ascendió al flete para guiarlo, no recordando si e</w:t>
      </w:r>
      <w:r>
        <w:t>s</w:t>
      </w:r>
      <w:r>
        <w:t>taba también Eduardo en el vehículo. Remarcó además que luego Petrucci volvió a pronunciarse sobre este tema i</w:t>
      </w:r>
      <w:r>
        <w:t>n</w:t>
      </w:r>
      <w:r>
        <w:t>sistiendo en que Eduardo subió a la camioneta, perman</w:t>
      </w:r>
      <w:r>
        <w:t>e</w:t>
      </w:r>
      <w:r>
        <w:t>ciendo más de media hora acompañando al fletero en viaje a la brigada transportando la motocicleta y que ella lo acompañó en el automóvil de Sem</w:t>
      </w:r>
      <w:r>
        <w:t>o</w:t>
      </w:r>
      <w:r>
        <w:t>rile.</w:t>
      </w:r>
    </w:p>
    <w:p w:rsidR="00224567" w:rsidRDefault="00224567">
      <w:pPr>
        <w:widowControl w:val="0"/>
        <w:tabs>
          <w:tab w:val="left" w:pos="2835"/>
        </w:tabs>
        <w:ind w:firstLine="708"/>
      </w:pPr>
      <w:r>
        <w:tab/>
        <w:t>Valoró el defensor que Petrucci pr</w:t>
      </w:r>
      <w:r>
        <w:t>e</w:t>
      </w:r>
      <w:r>
        <w:t>tendía sostener que el viaje desde la casa de Eduardo en la calle Pío Díaz de Sáenz Peña hasta Avellaneda, lo h</w:t>
      </w:r>
      <w:r>
        <w:t>i</w:t>
      </w:r>
      <w:r>
        <w:t>cieron los cuatro en dos vehículos diferentes; Eduardo y “Cacho” habrían vi</w:t>
      </w:r>
      <w:r>
        <w:t>a</w:t>
      </w:r>
      <w:r>
        <w:t>jado en el flete con la moto cargada y ella, al menos en un primer momento, en el coche de Sem</w:t>
      </w:r>
      <w:r>
        <w:t>o</w:t>
      </w:r>
      <w:r>
        <w:t>rile acompañando al singular letrado. Ello, a juicio de la defensa, resultaba imposible de creer ya que según la ve</w:t>
      </w:r>
      <w:r>
        <w:t>r</w:t>
      </w:r>
      <w:r>
        <w:t>sión mayoritaria la moto habría sido recogida tiempo de</w:t>
      </w:r>
      <w:r>
        <w:t>s</w:t>
      </w:r>
      <w:r>
        <w:t>pués de abandonar la c</w:t>
      </w:r>
      <w:r>
        <w:t>a</w:t>
      </w:r>
      <w:r>
        <w:t>sa de Eduardo en el domicilio de Lo Preiato, en la calle Nogoyá, y desde ese lugar se empre</w:t>
      </w:r>
      <w:r>
        <w:t>n</w:t>
      </w:r>
      <w:r>
        <w:lastRenderedPageBreak/>
        <w:t>dió el camino hacia L</w:t>
      </w:r>
      <w:r>
        <w:t>a</w:t>
      </w:r>
      <w:r>
        <w:t>nús.</w:t>
      </w:r>
    </w:p>
    <w:p w:rsidR="00224567" w:rsidRDefault="00224567">
      <w:pPr>
        <w:widowControl w:val="0"/>
        <w:tabs>
          <w:tab w:val="left" w:pos="2835"/>
        </w:tabs>
        <w:ind w:firstLine="708"/>
      </w:pPr>
      <w:r>
        <w:tab/>
        <w:t>Agregó que fue también allí donde, s</w:t>
      </w:r>
      <w:r>
        <w:t>e</w:t>
      </w:r>
      <w:r>
        <w:t>gún se pretendía, Eduardo recogió el Ford Falcon y cond</w:t>
      </w:r>
      <w:r>
        <w:t>u</w:t>
      </w:r>
      <w:r>
        <w:t>ciéndolo, se dirigió hasta Avellaneda, resaltando que ni Petrucci ni Semorile se atrevieron a afirmar jamás el h</w:t>
      </w:r>
      <w:r>
        <w:t>a</w:t>
      </w:r>
      <w:r>
        <w:t>ber estado en ese domicilio de la calle Nogoyá en el b</w:t>
      </w:r>
      <w:r>
        <w:t>a</w:t>
      </w:r>
      <w:r>
        <w:t>rrio de Liniers, y que Petrucci señaló que no se enteró que ese día alguien se hubiera contactado con la familia Lo Preiato, a quienes conocía perfectamente.</w:t>
      </w:r>
    </w:p>
    <w:p w:rsidR="00224567" w:rsidRDefault="00224567">
      <w:pPr>
        <w:widowControl w:val="0"/>
        <w:tabs>
          <w:tab w:val="left" w:pos="2835"/>
        </w:tabs>
        <w:ind w:firstLine="708"/>
      </w:pPr>
      <w:r>
        <w:tab/>
        <w:t>Remarcó la defensa que tampoco Setaro apuntaló la historia que contó Petrucci, sino que la de</w:t>
      </w:r>
      <w:r>
        <w:t>s</w:t>
      </w:r>
      <w:r>
        <w:t>mintió tal cual quedara dicho en una de sus declar</w:t>
      </w:r>
      <w:r>
        <w:t>a</w:t>
      </w:r>
      <w:r>
        <w:t>ciones incorporadas por lectura, refiriendo la presencia de una mujer dentro del grupo allegado a Carlos Telleldín, ub</w:t>
      </w:r>
      <w:r>
        <w:t>i</w:t>
      </w:r>
      <w:r>
        <w:t xml:space="preserve">cándola en la puerta de </w:t>
      </w:r>
      <w:smartTag w:uri="urn:schemas-microsoft-com:office:smarttags" w:element="PersonName">
        <w:smartTagPr>
          <w:attr w:name="ProductID" w:val="la Brigada"/>
        </w:smartTagPr>
        <w:r>
          <w:t>la Brigada</w:t>
        </w:r>
      </w:smartTag>
      <w:r>
        <w:t xml:space="preserve"> de Lanús cuando ya t</w:t>
      </w:r>
      <w:r>
        <w:t>o</w:t>
      </w:r>
      <w:r>
        <w:t>dos se retiraban y no en el asiento del acompañante de su camioneta.</w:t>
      </w:r>
    </w:p>
    <w:p w:rsidR="00224567" w:rsidRDefault="00224567">
      <w:pPr>
        <w:widowControl w:val="0"/>
        <w:tabs>
          <w:tab w:val="left" w:pos="2835"/>
        </w:tabs>
        <w:ind w:firstLine="708"/>
      </w:pPr>
      <w:r>
        <w:tab/>
        <w:t xml:space="preserve">Evocó también la defensa que “Cacho” conocía a Petrucci, según ella misma lo dijo al declarar en la audiencia, por haberse visto en la casa de Eduardo en más de una oportunidad, lo que tornó más inverosímil </w:t>
      </w:r>
      <w:r>
        <w:lastRenderedPageBreak/>
        <w:t>aún el hecho de que no reparara en su prese</w:t>
      </w:r>
      <w:r>
        <w:t>n</w:t>
      </w:r>
      <w:r>
        <w:t>cia.</w:t>
      </w:r>
    </w:p>
    <w:p w:rsidR="00224567" w:rsidRDefault="00224567">
      <w:pPr>
        <w:widowControl w:val="0"/>
        <w:tabs>
          <w:tab w:val="left" w:pos="2835"/>
        </w:tabs>
        <w:ind w:firstLine="708"/>
      </w:pPr>
      <w:r>
        <w:tab/>
        <w:t>Concluyó el letrado de Ibarra que, evidentemente, el extravío de “Cacho el flet</w:t>
      </w:r>
      <w:r>
        <w:t>e</w:t>
      </w:r>
      <w:r>
        <w:t>ro” camino a la brigada, con la moto, no es más que otra falsa n</w:t>
      </w:r>
      <w:r>
        <w:t>o</w:t>
      </w:r>
      <w:r>
        <w:t>ta de color que se permitió introducir quien armó toda esta p</w:t>
      </w:r>
      <w:r>
        <w:t>a</w:t>
      </w:r>
      <w:r>
        <w:t>traña para intentar reforzar el cuento de la entrega de vehículos.</w:t>
      </w:r>
    </w:p>
    <w:p w:rsidR="00224567" w:rsidRDefault="00224567">
      <w:pPr>
        <w:widowControl w:val="0"/>
        <w:tabs>
          <w:tab w:val="left" w:pos="2835"/>
        </w:tabs>
        <w:ind w:firstLine="708"/>
      </w:pPr>
      <w:r>
        <w:tab/>
        <w:t>Sostuvo esta afirmación pues “Cacho” señaló que fue Eduardo y no Sandra, quien lo auxilió cua</w:t>
      </w:r>
      <w:r>
        <w:t>n</w:t>
      </w:r>
      <w:r>
        <w:t>do se perdió, sin mencionar que alguien hubiera subido a su camioneta, cuando, de adverso, Sandra afirmó que Edua</w:t>
      </w:r>
      <w:r>
        <w:t>r</w:t>
      </w:r>
      <w:r>
        <w:t>do y “Cacho” viajaban juntos y que ambos se perdieron, por lo que ella debió subir al vehículo y los guió a los dos hasta la depe</w:t>
      </w:r>
      <w:r>
        <w:t>n</w:t>
      </w:r>
      <w:r>
        <w:t>dencia policial.</w:t>
      </w:r>
    </w:p>
    <w:p w:rsidR="00224567" w:rsidRDefault="00224567">
      <w:pPr>
        <w:widowControl w:val="0"/>
        <w:tabs>
          <w:tab w:val="left" w:pos="2835"/>
        </w:tabs>
        <w:ind w:firstLine="708"/>
      </w:pPr>
      <w:r>
        <w:tab/>
        <w:t>Remarcó el defensor que tampoco coi</w:t>
      </w:r>
      <w:r>
        <w:t>n</w:t>
      </w:r>
      <w:r>
        <w:t>cidían con Petrucci la versiones brindadas por Setaro y Eduardo, en relación al lugar donde el encuentro se prod</w:t>
      </w:r>
      <w:r>
        <w:t>u</w:t>
      </w:r>
      <w:r>
        <w:t>jo, ya que el primero sostuvo que se encontraron en un plaza muy cerca de la brigada y del Hospital Fi</w:t>
      </w:r>
      <w:r>
        <w:t>o</w:t>
      </w:r>
      <w:r>
        <w:t xml:space="preserve">rito, por lo que, de ser cierta la versión, quedaría al desnudo otra </w:t>
      </w:r>
      <w:r>
        <w:lastRenderedPageBreak/>
        <w:t>mentira montada por Petrucci en cuanto que estuvo más de media hora dentro de Rastrojero guiando a “Cacho” y a Eduardo, pues la distancia que separa la brigada del nos</w:t>
      </w:r>
      <w:r>
        <w:t>o</w:t>
      </w:r>
      <w:r>
        <w:t>comio referido supera apenas las cinco cuadras.</w:t>
      </w:r>
    </w:p>
    <w:p w:rsidR="00224567" w:rsidRDefault="00224567">
      <w:pPr>
        <w:widowControl w:val="0"/>
        <w:tabs>
          <w:tab w:val="left" w:pos="2835"/>
        </w:tabs>
        <w:ind w:firstLine="708"/>
      </w:pPr>
      <w:r>
        <w:tab/>
        <w:t>Volvió el defensor a analizar la d</w:t>
      </w:r>
      <w:r>
        <w:t>e</w:t>
      </w:r>
      <w:r>
        <w:t>claración prestada por Petrucci y recordó que, al ser pr</w:t>
      </w:r>
      <w:r>
        <w:t>e</w:t>
      </w:r>
      <w:r>
        <w:t>guntada en la audiencia sobre si había concurrido esa n</w:t>
      </w:r>
      <w:r>
        <w:t>o</w:t>
      </w:r>
      <w:r>
        <w:t>che con Semorile a su domicilio del barrio de Flores co</w:t>
      </w:r>
      <w:r>
        <w:t>n</w:t>
      </w:r>
      <w:r>
        <w:t>forme lo había asegurado antes el abogado, luego de tit</w:t>
      </w:r>
      <w:r>
        <w:t>u</w:t>
      </w:r>
      <w:r>
        <w:t>bear bastante, finalmente admitió que era posible ya que Carlos había dejado allí un maletín y alegó no recordar si fue el día que salió de la brigada o después que le devo</w:t>
      </w:r>
      <w:r>
        <w:t>l</w:t>
      </w:r>
      <w:r>
        <w:t>viera un maletín con papeles.</w:t>
      </w:r>
    </w:p>
    <w:p w:rsidR="00224567" w:rsidRDefault="00224567">
      <w:pPr>
        <w:widowControl w:val="0"/>
        <w:tabs>
          <w:tab w:val="left" w:pos="2835"/>
        </w:tabs>
        <w:ind w:firstLine="708"/>
      </w:pPr>
      <w:r>
        <w:tab/>
        <w:t>A juicio de la defensa, esta circun</w:t>
      </w:r>
      <w:r>
        <w:t>s</w:t>
      </w:r>
      <w:r>
        <w:t>tancia afirmada con convicción por Semorile en la audie</w:t>
      </w:r>
      <w:r>
        <w:t>n</w:t>
      </w:r>
      <w:r>
        <w:t>cia, patentizó lo burdo de la mentira que contaron estos personajes del entorno de Carlos ya que teniendo en cuenta la ubicación de la casa de Petrucci, resultaba imposible que ésta se hubiera trasladado en un p</w:t>
      </w:r>
      <w:r>
        <w:t>e</w:t>
      </w:r>
      <w:r>
        <w:t>ríodo no demasiado prolongado a tantos lugares considerablemente lejanos e</w:t>
      </w:r>
      <w:r>
        <w:t>n</w:t>
      </w:r>
      <w:r>
        <w:t>tre sí de manera simultánea, sin que nadie hubiera adve</w:t>
      </w:r>
      <w:r>
        <w:t>r</w:t>
      </w:r>
      <w:r>
        <w:lastRenderedPageBreak/>
        <w:t>tido su prese</w:t>
      </w:r>
      <w:r>
        <w:t>n</w:t>
      </w:r>
      <w:r>
        <w:t>cia.</w:t>
      </w:r>
    </w:p>
    <w:p w:rsidR="00224567" w:rsidRDefault="00224567">
      <w:pPr>
        <w:widowControl w:val="0"/>
        <w:tabs>
          <w:tab w:val="left" w:pos="2835"/>
        </w:tabs>
        <w:ind w:firstLine="708"/>
      </w:pPr>
      <w:r>
        <w:tab/>
        <w:t>Destacó también el defensor que llamó la atención que la testigo manifestara no recordar si e</w:t>
      </w:r>
      <w:r>
        <w:t>s</w:t>
      </w:r>
      <w:r>
        <w:t>tuvo en su casa luego de ser puesta en libertad y que ta</w:t>
      </w:r>
      <w:r>
        <w:t>m</w:t>
      </w:r>
      <w:r>
        <w:t>bién era anómalo que jamás le hubiera manifestado a Carlos esa circunstancia. Afirmó que estos testigos tampoco l</w:t>
      </w:r>
      <w:r>
        <w:t>o</w:t>
      </w:r>
      <w:r>
        <w:t>graron concertar una explicación razonabl</w:t>
      </w:r>
      <w:r>
        <w:t>e</w:t>
      </w:r>
      <w:r>
        <w:t>mente verosímil de c</w:t>
      </w:r>
      <w:r>
        <w:t>ó</w:t>
      </w:r>
      <w:r>
        <w:t>mo fue que se fueron de Avellaneda y regresaron a sus dom</w:t>
      </w:r>
      <w:r>
        <w:t>i</w:t>
      </w:r>
      <w:r>
        <w:t>cilios.</w:t>
      </w:r>
    </w:p>
    <w:p w:rsidR="00224567" w:rsidRDefault="00224567">
      <w:pPr>
        <w:widowControl w:val="0"/>
        <w:tabs>
          <w:tab w:val="left" w:pos="2835"/>
        </w:tabs>
        <w:ind w:firstLine="708"/>
      </w:pPr>
      <w:r>
        <w:tab/>
        <w:t>Recordó la defensa que Carlos Telle</w:t>
      </w:r>
      <w:r>
        <w:t>l</w:t>
      </w:r>
      <w:r>
        <w:t>dín y Gustavo Semorile afirmaron que luego de dejar la brigada esa noche, fueron hasta la quinta de Tortuguitas en el auto del abogado, acompañados por Sandra P</w:t>
      </w:r>
      <w:r>
        <w:t>e</w:t>
      </w:r>
      <w:r>
        <w:t>trucci y la novia del abogado, quien según Semorile se llamaba M</w:t>
      </w:r>
      <w:r>
        <w:t>a</w:t>
      </w:r>
      <w:r>
        <w:t>riela Torres.</w:t>
      </w:r>
    </w:p>
    <w:p w:rsidR="00224567" w:rsidRDefault="00224567">
      <w:pPr>
        <w:widowControl w:val="0"/>
        <w:tabs>
          <w:tab w:val="left" w:pos="2835"/>
        </w:tabs>
        <w:ind w:firstLine="708"/>
      </w:pPr>
      <w:r>
        <w:tab/>
        <w:t>Destacó que Petrucci en su declar</w:t>
      </w:r>
      <w:r>
        <w:t>a</w:t>
      </w:r>
      <w:r>
        <w:t>ción aseguró que una vez entregados los vehículos se fue a la quinta con Carlos llevados por S</w:t>
      </w:r>
      <w:r>
        <w:t>e</w:t>
      </w:r>
      <w:r>
        <w:t>morile sin mencionar a la otra m</w:t>
      </w:r>
      <w:r>
        <w:t>u</w:t>
      </w:r>
      <w:r>
        <w:t>jer.</w:t>
      </w:r>
    </w:p>
    <w:p w:rsidR="00224567" w:rsidRDefault="00224567">
      <w:pPr>
        <w:widowControl w:val="0"/>
        <w:tabs>
          <w:tab w:val="left" w:pos="2835"/>
        </w:tabs>
        <w:ind w:firstLine="708"/>
      </w:pPr>
      <w:r>
        <w:tab/>
        <w:t xml:space="preserve">Puso énfasis el defensor en que según </w:t>
      </w:r>
      <w:r>
        <w:lastRenderedPageBreak/>
        <w:t>lo narrado por Semorile, esta mujer de apellido Torres h</w:t>
      </w:r>
      <w:r>
        <w:t>a</w:t>
      </w:r>
      <w:r>
        <w:t>bría acompañado desde un primer momento al abogado en la dependencia policial, en una cupé Mercedes Benz, circun</w:t>
      </w:r>
      <w:r>
        <w:t>s</w:t>
      </w:r>
      <w:r>
        <w:t>tancia que, a su criterio, torna mas intolerable la hip</w:t>
      </w:r>
      <w:r>
        <w:t>ó</w:t>
      </w:r>
      <w:r>
        <w:t>tesis que pr</w:t>
      </w:r>
      <w:r>
        <w:t>e</w:t>
      </w:r>
      <w:r>
        <w:t>tende hacer creer Sandra Petrucci respecto de todos los viajes que alega haber realizado en el vehículo del no</w:t>
      </w:r>
      <w:r>
        <w:t>m</w:t>
      </w:r>
      <w:r>
        <w:t>brado.</w:t>
      </w:r>
    </w:p>
    <w:p w:rsidR="00224567" w:rsidRDefault="00224567">
      <w:pPr>
        <w:widowControl w:val="0"/>
        <w:tabs>
          <w:tab w:val="left" w:pos="2835"/>
        </w:tabs>
        <w:ind w:firstLine="708"/>
      </w:pPr>
      <w:r>
        <w:tab/>
        <w:t>Valoró la defensa que las imprecisi</w:t>
      </w:r>
      <w:r>
        <w:t>o</w:t>
      </w:r>
      <w:r>
        <w:t>nes y engaños que se desprenden de las declaraciones pre</w:t>
      </w:r>
      <w:r>
        <w:t>s</w:t>
      </w:r>
      <w:r>
        <w:t>tadas por Petrucci durante la instru</w:t>
      </w:r>
      <w:r>
        <w:t>c</w:t>
      </w:r>
      <w:r>
        <w:t>ción, las vuelven aún más desatinadas, señalando e</w:t>
      </w:r>
      <w:r>
        <w:t>s</w:t>
      </w:r>
      <w:r>
        <w:t>pecialmente algunos tramos de su segunda te</w:t>
      </w:r>
      <w:r>
        <w:t>s</w:t>
      </w:r>
      <w:r>
        <w:t>timonial brindada en octubre de 1995, en la cual echó a rodar por primera vez esa versión relacionada con la e</w:t>
      </w:r>
      <w:r>
        <w:t>n</w:t>
      </w:r>
      <w:r>
        <w:t>trega de vehículos en la brigada.</w:t>
      </w:r>
    </w:p>
    <w:p w:rsidR="00224567" w:rsidRDefault="00224567">
      <w:pPr>
        <w:widowControl w:val="0"/>
        <w:tabs>
          <w:tab w:val="left" w:pos="2835"/>
        </w:tabs>
        <w:ind w:firstLine="708"/>
      </w:pPr>
      <w:r>
        <w:tab/>
        <w:t>Así puso de manifiesto que Petrucci, en esa oportunidad, dijo que por la tarde concurrió con Semorile a tomar un café al bar de la esquina y omitió r</w:t>
      </w:r>
      <w:r>
        <w:t>e</w:t>
      </w:r>
      <w:r>
        <w:t>latar la presencia de Eduardo T</w:t>
      </w:r>
      <w:r>
        <w:t>e</w:t>
      </w:r>
      <w:r>
        <w:t>lleldín, que consignó una vez que ella rec</w:t>
      </w:r>
      <w:r>
        <w:t>u</w:t>
      </w:r>
      <w:r>
        <w:t>perara su libertad.</w:t>
      </w:r>
    </w:p>
    <w:p w:rsidR="00224567" w:rsidRDefault="00224567">
      <w:pPr>
        <w:widowControl w:val="0"/>
        <w:tabs>
          <w:tab w:val="left" w:pos="2835"/>
        </w:tabs>
        <w:ind w:firstLine="708"/>
      </w:pPr>
      <w:r>
        <w:tab/>
        <w:t>Sostuvo la defensa que, ante la nec</w:t>
      </w:r>
      <w:r>
        <w:t>e</w:t>
      </w:r>
      <w:r>
        <w:t xml:space="preserve">sidad de disimular en el expediente las contradicciones </w:t>
      </w:r>
      <w:r>
        <w:lastRenderedPageBreak/>
        <w:t>toscas que surg</w:t>
      </w:r>
      <w:r>
        <w:t>í</w:t>
      </w:r>
      <w:r>
        <w:t>an de las declaraciones de Telleldín y su grupo, el juez convocó una vez más a Petrucci el 20 de j</w:t>
      </w:r>
      <w:r>
        <w:t>u</w:t>
      </w:r>
      <w:r>
        <w:t>nio a prestar su tercer declar</w:t>
      </w:r>
      <w:r>
        <w:t>a</w:t>
      </w:r>
      <w:r>
        <w:t>ción, enderezada esta vez a tratar de conc</w:t>
      </w:r>
      <w:r>
        <w:t>i</w:t>
      </w:r>
      <w:r>
        <w:t>liar lo que quince días antes había contado el testigo protegido Gustavo Semorile con relación a la presunta e</w:t>
      </w:r>
      <w:r>
        <w:t>n</w:t>
      </w:r>
      <w:r>
        <w:t>trega de bienes y vehículos a los policías.</w:t>
      </w:r>
    </w:p>
    <w:p w:rsidR="00224567" w:rsidRDefault="00224567">
      <w:pPr>
        <w:widowControl w:val="0"/>
        <w:tabs>
          <w:tab w:val="left" w:pos="2835"/>
        </w:tabs>
        <w:ind w:firstLine="708"/>
      </w:pPr>
      <w:r>
        <w:tab/>
        <w:t>Valoró la defensa que esta dil</w:t>
      </w:r>
      <w:r>
        <w:t>i</w:t>
      </w:r>
      <w:r>
        <w:t>gencia sólo tuvo por virtud sumar más contradicci</w:t>
      </w:r>
      <w:r>
        <w:t>o</w:t>
      </w:r>
      <w:r>
        <w:t>nes, enredos y confusión al armado sin que nadie reprochara tamañas i</w:t>
      </w:r>
      <w:r>
        <w:t>n</w:t>
      </w:r>
      <w:r>
        <w:t>consecuencias frente a lo que había dicho antes.</w:t>
      </w:r>
    </w:p>
    <w:p w:rsidR="00224567" w:rsidRDefault="00224567">
      <w:pPr>
        <w:widowControl w:val="0"/>
        <w:tabs>
          <w:tab w:val="left" w:pos="2835"/>
        </w:tabs>
        <w:ind w:firstLine="708"/>
      </w:pPr>
      <w:r>
        <w:tab/>
        <w:t>Así, remarcó el defensor, Petrucci inauguró esta versión tardía que luego procuró reeditar ante el tribunal oral, colocándose el 5 de abril a bordo de diferentes vehículos y en recónditos domicilios del c</w:t>
      </w:r>
      <w:r>
        <w:t>o</w:t>
      </w:r>
      <w:r>
        <w:t>nurbano bonaerense, incluso subida a la camioneta Rastr</w:t>
      </w:r>
      <w:r>
        <w:t>o</w:t>
      </w:r>
      <w:r>
        <w:t>jero guiando a Setaro hasta Avellaneda para lograr entr</w:t>
      </w:r>
      <w:r>
        <w:t>e</w:t>
      </w:r>
      <w:r>
        <w:t>gar en la brigada de Lanús lo motocicleta K</w:t>
      </w:r>
      <w:r>
        <w:t>a</w:t>
      </w:r>
      <w:r>
        <w:t>wasaki; y que es allí donde por primera ves admitió como posible la i</w:t>
      </w:r>
      <w:r>
        <w:t>n</w:t>
      </w:r>
      <w:r>
        <w:t>creíble mentira alegada unos días antes por Semorile en cuanto a que esa noche de abril fueron juntos a su domic</w:t>
      </w:r>
      <w:r>
        <w:t>i</w:t>
      </w:r>
      <w:r>
        <w:lastRenderedPageBreak/>
        <w:t>lio del barrio de Flores.</w:t>
      </w:r>
    </w:p>
    <w:p w:rsidR="00224567" w:rsidRDefault="00224567">
      <w:pPr>
        <w:widowControl w:val="0"/>
        <w:tabs>
          <w:tab w:val="left" w:pos="2835"/>
        </w:tabs>
        <w:ind w:firstLine="708"/>
      </w:pPr>
      <w:r>
        <w:tab/>
        <w:t>Al igual que Sandra Petrucci, sostuvo la defensa, Banga fue mendaz pues en su d</w:t>
      </w:r>
      <w:r>
        <w:t>e</w:t>
      </w:r>
      <w:r>
        <w:t>claración de la instrucción, refirió que de la detención de Carlos se h</w:t>
      </w:r>
      <w:r>
        <w:t>a</w:t>
      </w:r>
      <w:r>
        <w:t>bía enterado a través de un llamado que le hizo Eduardo y que en esa conversación telefónica éste le pidió que lo trasladara a la brigada, pasándolo a buscar luego, mie</w:t>
      </w:r>
      <w:r>
        <w:t>n</w:t>
      </w:r>
      <w:r>
        <w:t>tras que ante el tribunal cambió su r</w:t>
      </w:r>
      <w:r>
        <w:t>e</w:t>
      </w:r>
      <w:r>
        <w:t>lato y dijo que tomó conocimiento del hecho del 4 de abril de manera circun</w:t>
      </w:r>
      <w:r>
        <w:t>s</w:t>
      </w:r>
      <w:r>
        <w:t>tancial, cuando pasó por lo de su hermanastro sin un mot</w:t>
      </w:r>
      <w:r>
        <w:t>i</w:t>
      </w:r>
      <w:r>
        <w:t>vo especial, como lo hacía habitualmente.</w:t>
      </w:r>
    </w:p>
    <w:p w:rsidR="00224567" w:rsidRDefault="00224567">
      <w:pPr>
        <w:widowControl w:val="0"/>
        <w:tabs>
          <w:tab w:val="left" w:pos="2835"/>
        </w:tabs>
        <w:ind w:firstLine="708"/>
      </w:pPr>
      <w:r>
        <w:tab/>
        <w:t>Remarcó la defensa que Banga comenzó su testimonial ante el juzgado de instrucción, en julio de 1996, señalando que el 5 de abril p</w:t>
      </w:r>
      <w:r>
        <w:t>a</w:t>
      </w:r>
      <w:r>
        <w:t>só a buscar a Eduardo por su casa y, previo a dirigirse a Lanús, tuvieron un e</w:t>
      </w:r>
      <w:r>
        <w:t>n</w:t>
      </w:r>
      <w:r>
        <w:t>cuentro con Botey para que se hiciera cargo de mediar con la brigada. También detalló el testigo que al llegar a Avellaneda, Botey ingresó a la brigada y él junto a Edua</w:t>
      </w:r>
      <w:r>
        <w:t>r</w:t>
      </w:r>
      <w:r>
        <w:t>do se dirigieron a un bar de la e</w:t>
      </w:r>
      <w:r>
        <w:t>s</w:t>
      </w:r>
      <w:r>
        <w:t>quina donde luego de sus gestiones, Botey se presentó y les avisó que Semorile se estaba encargando de soluci</w:t>
      </w:r>
      <w:r>
        <w:t>o</w:t>
      </w:r>
      <w:r>
        <w:t xml:space="preserve">nar la situación, retirándose </w:t>
      </w:r>
      <w:r>
        <w:lastRenderedPageBreak/>
        <w:t>definitivamente del l</w:t>
      </w:r>
      <w:r>
        <w:t>u</w:t>
      </w:r>
      <w:r>
        <w:t>gar.</w:t>
      </w:r>
    </w:p>
    <w:p w:rsidR="00224567" w:rsidRDefault="00224567">
      <w:pPr>
        <w:widowControl w:val="0"/>
        <w:tabs>
          <w:tab w:val="left" w:pos="2835"/>
        </w:tabs>
        <w:ind w:firstLine="708"/>
      </w:pPr>
      <w:r>
        <w:tab/>
        <w:t>Puso de manifiesto la defensa que Ba</w:t>
      </w:r>
      <w:r>
        <w:t>n</w:t>
      </w:r>
      <w:r>
        <w:t>ga, ante el tribunal, olvidó incluir a Botey en la hist</w:t>
      </w:r>
      <w:r>
        <w:t>o</w:t>
      </w:r>
      <w:r>
        <w:t>ria y afirmó que a Lanús había ido solo con Eduardo; al marcársele sus contradicciones, tímidamente concedió que podía ser posible la presencia del comisario retirado, omitiendo relatar la entr</w:t>
      </w:r>
      <w:r>
        <w:t>e</w:t>
      </w:r>
      <w:r>
        <w:t>vista previa que tuvieron en una confitería de Munro y ni el viaje que habrían realizado juntos desde allí ha</w:t>
      </w:r>
      <w:r>
        <w:t>s</w:t>
      </w:r>
      <w:r>
        <w:t>ta Avellaneda.</w:t>
      </w:r>
    </w:p>
    <w:p w:rsidR="00224567" w:rsidRDefault="00224567">
      <w:pPr>
        <w:widowControl w:val="0"/>
        <w:tabs>
          <w:tab w:val="left" w:pos="2835"/>
        </w:tabs>
        <w:ind w:firstLine="708"/>
      </w:pPr>
      <w:r>
        <w:tab/>
        <w:t>Evocó también que tampoco recordó la actividad que, según habían acordado, debía llevar adela</w:t>
      </w:r>
      <w:r>
        <w:t>n</w:t>
      </w:r>
      <w:r>
        <w:t>te Botey ese día, ni el modo en que éste abandonó las i</w:t>
      </w:r>
      <w:r>
        <w:t>n</w:t>
      </w:r>
      <w:r>
        <w:t>mediaciones de la brigada entre otras circunsta</w:t>
      </w:r>
      <w:r>
        <w:t>n</w:t>
      </w:r>
      <w:r>
        <w:t>cias.</w:t>
      </w:r>
    </w:p>
    <w:p w:rsidR="00224567" w:rsidRDefault="00224567">
      <w:pPr>
        <w:widowControl w:val="0"/>
        <w:tabs>
          <w:tab w:val="left" w:pos="2835"/>
        </w:tabs>
        <w:ind w:firstLine="708"/>
      </w:pPr>
      <w:r>
        <w:tab/>
        <w:t>Dedujo el defensor que el olvido de Banga sobre este punto no era casual, y que por ello pr</w:t>
      </w:r>
      <w:r>
        <w:t>e</w:t>
      </w:r>
      <w:r>
        <w:t>firió no repetir la historia rendida en la instru</w:t>
      </w:r>
      <w:r>
        <w:t>c</w:t>
      </w:r>
      <w:r>
        <w:t>ción en lo que a Botey y su participación en los episodios de abril se refería agr</w:t>
      </w:r>
      <w:r>
        <w:t>e</w:t>
      </w:r>
      <w:r>
        <w:t>gando que él sólo esperó en el bar de la esquina, entrevistándose posteriormente allí con Edua</w:t>
      </w:r>
      <w:r>
        <w:t>r</w:t>
      </w:r>
      <w:r>
        <w:t>do y Semorile, una vez que éstos culmin</w:t>
      </w:r>
      <w:r>
        <w:t>a</w:t>
      </w:r>
      <w:r>
        <w:t xml:space="preserve">ron sus gestiones </w:t>
      </w:r>
      <w:r>
        <w:lastRenderedPageBreak/>
        <w:t>en la depe</w:t>
      </w:r>
      <w:r>
        <w:t>n</w:t>
      </w:r>
      <w:r>
        <w:t>dencia policial.</w:t>
      </w:r>
    </w:p>
    <w:p w:rsidR="00224567" w:rsidRDefault="00224567">
      <w:pPr>
        <w:widowControl w:val="0"/>
        <w:tabs>
          <w:tab w:val="left" w:pos="2835"/>
        </w:tabs>
        <w:ind w:firstLine="708"/>
      </w:pPr>
      <w:r>
        <w:tab/>
        <w:t>Rememoró el defensor que también d</w:t>
      </w:r>
      <w:r>
        <w:t>e</w:t>
      </w:r>
      <w:r>
        <w:t>claró en la audiencia quien, para abril de 1994, era la esposa de Banga, María Cristina Giménez Mar</w:t>
      </w:r>
      <w:r>
        <w:t>e</w:t>
      </w:r>
      <w:r>
        <w:t>cos.</w:t>
      </w:r>
    </w:p>
    <w:p w:rsidR="00224567" w:rsidRDefault="00224567">
      <w:pPr>
        <w:widowControl w:val="0"/>
        <w:tabs>
          <w:tab w:val="left" w:pos="2835"/>
        </w:tabs>
        <w:ind w:firstLine="708"/>
      </w:pPr>
      <w:r>
        <w:tab/>
        <w:t>Sostuvo el defensor que esta testigo negó categóricamente haberse enterado de cualquier ci</w:t>
      </w:r>
      <w:r>
        <w:t>r</w:t>
      </w:r>
      <w:r>
        <w:t>cunstancia vinculada con la supuesta actu</w:t>
      </w:r>
      <w:r>
        <w:t>a</w:t>
      </w:r>
      <w:r>
        <w:t>ción de Banga en relación a la pretendida entrega de bienes o vehíc</w:t>
      </w:r>
      <w:r>
        <w:t>u</w:t>
      </w:r>
      <w:r>
        <w:t>los en Lanús, y explicó que su marido, habitualmente, no aband</w:t>
      </w:r>
      <w:r>
        <w:t>o</w:t>
      </w:r>
      <w:r>
        <w:t>naba su domicilio de noche, o si excepcionalmente lo h</w:t>
      </w:r>
      <w:r>
        <w:t>a</w:t>
      </w:r>
      <w:r>
        <w:t>cía, siempre le avisaba donde iba y que era lo que se pr</w:t>
      </w:r>
      <w:r>
        <w:t>o</w:t>
      </w:r>
      <w:r>
        <w:t>ponía hacer.</w:t>
      </w:r>
    </w:p>
    <w:p w:rsidR="00224567" w:rsidRDefault="00224567">
      <w:pPr>
        <w:widowControl w:val="0"/>
        <w:tabs>
          <w:tab w:val="left" w:pos="2835"/>
        </w:tabs>
        <w:ind w:firstLine="708"/>
      </w:pPr>
      <w:r>
        <w:tab/>
        <w:t>Remarcó el defensor que el testigo e</w:t>
      </w:r>
      <w:r>
        <w:t>n</w:t>
      </w:r>
      <w:r>
        <w:t>frentó de man</w:t>
      </w:r>
      <w:r>
        <w:t>e</w:t>
      </w:r>
      <w:r>
        <w:t>ra irreconciliable sus dichos con la versión brindada por Semorile quien dijo no haber estado en el bar, ni haber visto esa noche a Héctor Banga, por lo que al serles marcadas estas contradicciones, concedió el te</w:t>
      </w:r>
      <w:r>
        <w:t>s</w:t>
      </w:r>
      <w:r>
        <w:t xml:space="preserve">tigo, entre imprecisiones, que podía ser de otra forma, ubicando nuevamente a Eduardo junto a él en el bar de la esquina, y a Botey saliendo de </w:t>
      </w:r>
      <w:smartTag w:uri="urn:schemas-microsoft-com:office:smarttags" w:element="PersonName">
        <w:smartTagPr>
          <w:attr w:name="ProductID" w:val="la Brigada"/>
        </w:smartTagPr>
        <w:r>
          <w:t>la Brigada</w:t>
        </w:r>
      </w:smartTag>
      <w:r>
        <w:t xml:space="preserve"> de Lanús, vo</w:t>
      </w:r>
      <w:r>
        <w:t>l</w:t>
      </w:r>
      <w:r>
        <w:t>viendo a rebatir la versión que situaba a Eduardo Telle</w:t>
      </w:r>
      <w:r>
        <w:t>l</w:t>
      </w:r>
      <w:r>
        <w:lastRenderedPageBreak/>
        <w:t>dín dentro de la brigada de Lanús acompañando al com</w:t>
      </w:r>
      <w:r>
        <w:t>i</w:t>
      </w:r>
      <w:r>
        <w:t>sario mayor Botey.</w:t>
      </w:r>
    </w:p>
    <w:p w:rsidR="00224567" w:rsidRDefault="00224567">
      <w:pPr>
        <w:widowControl w:val="0"/>
        <w:tabs>
          <w:tab w:val="left" w:pos="2835"/>
        </w:tabs>
        <w:ind w:firstLine="708"/>
      </w:pPr>
      <w:r>
        <w:tab/>
        <w:t>Refirió el defensor que tampoco Oscar Setaro, alias “Cacho el fletero”, brindó pr</w:t>
      </w:r>
      <w:r>
        <w:t>e</w:t>
      </w:r>
      <w:r>
        <w:t>cisiones sobre estos hechos, ya que en su primer testimonial de noviembre de 1995, luego de decir que no conocía las actividades que realizaba Carlos Telleldín, al referirse al tema de la búsqueda y posterior traslado de la moto Kawasaki a Lanús, describió que en una noche de frío y lluviosa, entre las 21.00 y las 22.00, su vecino Eduardo, acomp</w:t>
      </w:r>
      <w:r>
        <w:t>a</w:t>
      </w:r>
      <w:r>
        <w:t xml:space="preserve">ñado de Banga, lo contactó para trasportar una moto hasta </w:t>
      </w:r>
      <w:smartTag w:uri="urn:schemas-microsoft-com:office:smarttags" w:element="PersonName">
        <w:smartTagPr>
          <w:attr w:name="ProductID" w:val="la Brigada"/>
        </w:smartTagPr>
        <w:r>
          <w:t>la Brigada</w:t>
        </w:r>
      </w:smartTag>
      <w:r>
        <w:t xml:space="preserve"> de Investigaciones de Lanús, pues la tenían que e</w:t>
      </w:r>
      <w:r>
        <w:t>n</w:t>
      </w:r>
      <w:r>
        <w:t>tregar allí por un problema de Carlos, quien estaba det</w:t>
      </w:r>
      <w:r>
        <w:t>e</w:t>
      </w:r>
      <w:r>
        <w:t>nido.</w:t>
      </w:r>
    </w:p>
    <w:p w:rsidR="00224567" w:rsidRDefault="00224567">
      <w:pPr>
        <w:widowControl w:val="0"/>
        <w:tabs>
          <w:tab w:val="left" w:pos="2835"/>
        </w:tabs>
        <w:ind w:firstLine="708"/>
      </w:pPr>
      <w:r>
        <w:tab/>
        <w:t>Agregó el defensor que Setaro e</w:t>
      </w:r>
      <w:r>
        <w:t>x</w:t>
      </w:r>
      <w:r>
        <w:t>plicó que, con el objeto de buscar la motocicleta, se dir</w:t>
      </w:r>
      <w:r>
        <w:t>i</w:t>
      </w:r>
      <w:r>
        <w:t>gieron en primer término a lo de Lo Preiato en el barrio de L</w:t>
      </w:r>
      <w:r>
        <w:t>i</w:t>
      </w:r>
      <w:r>
        <w:t>niers, él en su camioneta Rastrojero y los hermanos Edua</w:t>
      </w:r>
      <w:r>
        <w:t>r</w:t>
      </w:r>
      <w:r>
        <w:t>do Telleldín y Héctor Banga, en el Renault de este últ</w:t>
      </w:r>
      <w:r>
        <w:t>i</w:t>
      </w:r>
      <w:r>
        <w:t>mo.</w:t>
      </w:r>
    </w:p>
    <w:p w:rsidR="00224567" w:rsidRDefault="00224567">
      <w:pPr>
        <w:widowControl w:val="0"/>
        <w:tabs>
          <w:tab w:val="left" w:pos="2835"/>
        </w:tabs>
        <w:ind w:firstLine="708"/>
      </w:pPr>
      <w:r>
        <w:tab/>
        <w:t>Admitiendo que resulta bastante i</w:t>
      </w:r>
      <w:r>
        <w:t>n</w:t>
      </w:r>
      <w:r>
        <w:t>trascendente, comparado con otras mentiras, la defensa r</w:t>
      </w:r>
      <w:r>
        <w:t>e</w:t>
      </w:r>
      <w:r>
        <w:lastRenderedPageBreak/>
        <w:t>saltó que esta aseveración categórica con relación al vehículo de Banga fue otra de las fallas técnicas del a</w:t>
      </w:r>
      <w:r>
        <w:t>r</w:t>
      </w:r>
      <w:r>
        <w:t>mado de la versión, ya que el propio medio hermano de los Telleldín contó que era un Pe</w:t>
      </w:r>
      <w:r>
        <w:t>u</w:t>
      </w:r>
      <w:r>
        <w:t>geot 405 blanco de su padre.</w:t>
      </w:r>
    </w:p>
    <w:p w:rsidR="00224567" w:rsidRDefault="00224567">
      <w:pPr>
        <w:widowControl w:val="0"/>
        <w:tabs>
          <w:tab w:val="left" w:pos="2835"/>
        </w:tabs>
        <w:ind w:firstLine="708"/>
      </w:pPr>
      <w:r>
        <w:tab/>
        <w:t>Seguidamente, la defensa recordó que Setaro afirmó que al llegar a la calle Nogoyá, Eduardo y Héctor subieron la moto al Rastrojero, la ataron y fu</w:t>
      </w:r>
      <w:r>
        <w:t>e</w:t>
      </w:r>
      <w:r>
        <w:t xml:space="preserve">ron a Lanús a entregarla, tomando por </w:t>
      </w:r>
      <w:smartTag w:uri="urn:schemas-microsoft-com:office:smarttags" w:element="PersonName">
        <w:smartTagPr>
          <w:attr w:name="ProductID" w:val="la Av. General"/>
        </w:smartTagPr>
        <w:r>
          <w:t>la Av. General</w:t>
        </w:r>
      </w:smartTag>
      <w:r>
        <w:t xml:space="preserve"> Paz y luego por Lugones, perdiéndose en una avenida c</w:t>
      </w:r>
      <w:r>
        <w:t>u</w:t>
      </w:r>
      <w:r>
        <w:t>yo nombre no reco</w:t>
      </w:r>
      <w:r>
        <w:t>r</w:t>
      </w:r>
      <w:r>
        <w:t xml:space="preserve">dó. </w:t>
      </w:r>
    </w:p>
    <w:p w:rsidR="00224567" w:rsidRDefault="00224567">
      <w:pPr>
        <w:widowControl w:val="0"/>
        <w:tabs>
          <w:tab w:val="left" w:pos="2835"/>
        </w:tabs>
        <w:ind w:firstLine="708"/>
      </w:pPr>
      <w:r>
        <w:tab/>
        <w:t>Sostuvo la defensa que todo esto fue una fabulosa mentira ya que eran innumerables las contr</w:t>
      </w:r>
      <w:r>
        <w:t>a</w:t>
      </w:r>
      <w:r>
        <w:t>dicciones de los testigos que supuestamente participaron en el traslado de la motocicleta, y que incluso sus pr</w:t>
      </w:r>
      <w:r>
        <w:t>o</w:t>
      </w:r>
      <w:r>
        <w:t>pias versiones diferían en cuestiones sustanciales, depe</w:t>
      </w:r>
      <w:r>
        <w:t>n</w:t>
      </w:r>
      <w:r>
        <w:t>diendo de la época en que fueron prestadas.</w:t>
      </w:r>
    </w:p>
    <w:p w:rsidR="00224567" w:rsidRDefault="00224567">
      <w:pPr>
        <w:widowControl w:val="0"/>
        <w:tabs>
          <w:tab w:val="left" w:pos="2835"/>
        </w:tabs>
        <w:ind w:firstLine="708"/>
      </w:pPr>
      <w:r>
        <w:tab/>
        <w:t>Completando su análisis, la defensa subrayó que al declarar ante el tribunal, Antonio Lo Preiato incurrió en una cantidad asombrosa de contradi</w:t>
      </w:r>
      <w:r>
        <w:t>c</w:t>
      </w:r>
      <w:r>
        <w:t>ciones, desmintiendo al fletero, ya que negó terminant</w:t>
      </w:r>
      <w:r>
        <w:t>e</w:t>
      </w:r>
      <w:r>
        <w:t>mente haber salido de su casa y que tan sólo se asomó f</w:t>
      </w:r>
      <w:r>
        <w:t>u</w:t>
      </w:r>
      <w:r>
        <w:lastRenderedPageBreak/>
        <w:t>gazmente a la puerta.</w:t>
      </w:r>
    </w:p>
    <w:p w:rsidR="00224567" w:rsidRDefault="00224567">
      <w:pPr>
        <w:widowControl w:val="0"/>
        <w:tabs>
          <w:tab w:val="left" w:pos="2835"/>
        </w:tabs>
        <w:ind w:firstLine="708"/>
      </w:pPr>
      <w:r>
        <w:tab/>
        <w:t>Añadió la defensa de Ibarra que tamp</w:t>
      </w:r>
      <w:r>
        <w:t>o</w:t>
      </w:r>
      <w:r>
        <w:t>co fueron concordantes los dichos de Salvador Botey, r</w:t>
      </w:r>
      <w:r>
        <w:t>e</w:t>
      </w:r>
      <w:r>
        <w:t>cordando especialmente que el testigo contó la re</w:t>
      </w:r>
      <w:r>
        <w:t>u</w:t>
      </w:r>
      <w:r>
        <w:t>nión que mantuvo con Eduardo y Banga, remarcando que el encuentro tuvo lugar a la noche, que Banga era herm</w:t>
      </w:r>
      <w:r>
        <w:t>a</w:t>
      </w:r>
      <w:r>
        <w:t>nastro de Carlos y que tenía buen aspecto, teléfono celular y manejaba un auto moderno, y que Eduardo, en cambio, tenía un aspecto más desaliñado. También dijo que había tenido una charla bastante íntima con los dos hermanos en la que le refiri</w:t>
      </w:r>
      <w:r>
        <w:t>e</w:t>
      </w:r>
      <w:r>
        <w:t>ron que su madre se había casado dos veces, que a su padre lo habían matado en la época de la subversión y que Carlos tenía problemas psicológ</w:t>
      </w:r>
      <w:r>
        <w:t>i</w:t>
      </w:r>
      <w:r>
        <w:t>cos.</w:t>
      </w:r>
    </w:p>
    <w:p w:rsidR="00224567" w:rsidRDefault="00224567">
      <w:pPr>
        <w:widowControl w:val="0"/>
        <w:tabs>
          <w:tab w:val="left" w:pos="2835"/>
        </w:tabs>
        <w:ind w:firstLine="708"/>
      </w:pPr>
      <w:r>
        <w:tab/>
        <w:t>En virtud de ello, infirió el defe</w:t>
      </w:r>
      <w:r>
        <w:t>n</w:t>
      </w:r>
      <w:r>
        <w:t>sor, no puede creérsele a Banga cuando dijo en la audie</w:t>
      </w:r>
      <w:r>
        <w:t>n</w:t>
      </w:r>
      <w:r>
        <w:t>cia haber participado activamente en estos supuestos ep</w:t>
      </w:r>
      <w:r>
        <w:t>i</w:t>
      </w:r>
      <w:r>
        <w:t>sodios de abril de 1994 y al mismo tiempo no recordar la presencia de B</w:t>
      </w:r>
      <w:r>
        <w:t>o</w:t>
      </w:r>
      <w:r>
        <w:t>tey.</w:t>
      </w:r>
    </w:p>
    <w:p w:rsidR="00224567" w:rsidRDefault="00224567">
      <w:pPr>
        <w:widowControl w:val="0"/>
        <w:tabs>
          <w:tab w:val="left" w:pos="2835"/>
        </w:tabs>
        <w:ind w:firstLine="708"/>
      </w:pPr>
      <w:r>
        <w:tab/>
        <w:t>Por otra parte destacó la defensa que ese día Botey nada dijo acerca de la existencia de una s</w:t>
      </w:r>
      <w:r>
        <w:t>u</w:t>
      </w:r>
      <w:r>
        <w:lastRenderedPageBreak/>
        <w:t>puesta conve</w:t>
      </w:r>
      <w:r>
        <w:t>r</w:t>
      </w:r>
      <w:r>
        <w:t xml:space="preserve">sación telefónica que se le atribuyó realizar desde Munro a un oficial de </w:t>
      </w:r>
      <w:smartTag w:uri="urn:schemas-microsoft-com:office:smarttags" w:element="PersonName">
        <w:smartTagPr>
          <w:attr w:name="ProductID" w:val="la Brigada"/>
        </w:smartTagPr>
        <w:r>
          <w:t>la Brigada</w:t>
        </w:r>
      </w:smartTag>
      <w:r>
        <w:t xml:space="preserve"> de Lanús, ni que durante la charla mantenida el policía lo citara en la d</w:t>
      </w:r>
      <w:r>
        <w:t>e</w:t>
      </w:r>
      <w:r>
        <w:t>pendencia a las 19.30 ó 20.00.</w:t>
      </w:r>
    </w:p>
    <w:p w:rsidR="00224567" w:rsidRDefault="00224567">
      <w:pPr>
        <w:widowControl w:val="0"/>
        <w:tabs>
          <w:tab w:val="left" w:pos="2835"/>
        </w:tabs>
        <w:ind w:firstLine="708"/>
      </w:pPr>
      <w:r>
        <w:tab/>
        <w:t>Indicó que, el ex-comisario rel</w:t>
      </w:r>
      <w:r>
        <w:t>a</w:t>
      </w:r>
      <w:r>
        <w:t>tó que viajó a la brigada con los dos hermanos y llegó al lugar pasada las diez de la noche, otorgando a la historia, s</w:t>
      </w:r>
      <w:r>
        <w:t>e</w:t>
      </w:r>
      <w:r>
        <w:t>gún valoró la defensa, una nueva y disímil versión en torno a este punto, afirmando Botey que i</w:t>
      </w:r>
      <w:r>
        <w:t>n</w:t>
      </w:r>
      <w:r>
        <w:t>gresó al bar de la esquina junto a los hermanos y que luego, desde allí, él solo se dirigió a la brigada quedando los hermanos e</w:t>
      </w:r>
      <w:r>
        <w:t>s</w:t>
      </w:r>
      <w:r>
        <w:t>perando en la conf</w:t>
      </w:r>
      <w:r>
        <w:t>i</w:t>
      </w:r>
      <w:r>
        <w:t>tería.</w:t>
      </w:r>
    </w:p>
    <w:p w:rsidR="00224567" w:rsidRDefault="00224567">
      <w:pPr>
        <w:widowControl w:val="0"/>
        <w:tabs>
          <w:tab w:val="left" w:pos="2835"/>
        </w:tabs>
        <w:ind w:firstLine="708"/>
      </w:pPr>
      <w:r>
        <w:tab/>
        <w:t>Otro de los detalles de la declar</w:t>
      </w:r>
      <w:r>
        <w:t>a</w:t>
      </w:r>
      <w:r>
        <w:t>ción de Botey, remarcados como increíbles por la asistencia técnica de Ibarra, fue que el testigo, luego de explicar que mantuvo una extensa entrevista con el oficial de se</w:t>
      </w:r>
      <w:r>
        <w:t>r</w:t>
      </w:r>
      <w:r>
        <w:t>vicio, quien le informó que T</w:t>
      </w:r>
      <w:r>
        <w:t>e</w:t>
      </w:r>
      <w:r>
        <w:t>lleldín estaba detenido por varios pedidos de captura, que no estaba incomunicado y que ya tenía un abogado, invocando razones de ética, al enterarse que Ca</w:t>
      </w:r>
      <w:r>
        <w:t>r</w:t>
      </w:r>
      <w:r>
        <w:t xml:space="preserve">los estaba siendo asistido por Semorile, optó por abandonar la brigada de inmediato, dirigiéndose </w:t>
      </w:r>
      <w:r>
        <w:lastRenderedPageBreak/>
        <w:t>nuevamente hacia el bar de la esquina donde aguardaban los herm</w:t>
      </w:r>
      <w:r>
        <w:t>a</w:t>
      </w:r>
      <w:r>
        <w:t>nastros.</w:t>
      </w:r>
    </w:p>
    <w:p w:rsidR="00224567" w:rsidRDefault="00224567">
      <w:pPr>
        <w:widowControl w:val="0"/>
        <w:tabs>
          <w:tab w:val="left" w:pos="2835"/>
        </w:tabs>
        <w:ind w:firstLine="708"/>
      </w:pPr>
      <w:r>
        <w:tab/>
        <w:t>Remarcó el defensor oficial que qui</w:t>
      </w:r>
      <w:r>
        <w:t>e</w:t>
      </w:r>
      <w:r>
        <w:t xml:space="preserve">nes se desempeñaron como oficiales de servicio de </w:t>
      </w:r>
      <w:smartTag w:uri="urn:schemas-microsoft-com:office:smarttags" w:element="PersonName">
        <w:smartTagPr>
          <w:attr w:name="ProductID" w:val="la Brigada"/>
        </w:smartTagPr>
        <w:r>
          <w:t>la Br</w:t>
        </w:r>
        <w:r>
          <w:t>i</w:t>
        </w:r>
        <w:r>
          <w:t>gada</w:t>
        </w:r>
      </w:smartTag>
      <w:r>
        <w:t xml:space="preserve"> de Lanús el 5 de abril de 1994, Gustavo Nicolás Fe</w:t>
      </w:r>
      <w:r>
        <w:t>r</w:t>
      </w:r>
      <w:r>
        <w:t>nández y Marcelo Antonio Bressi no refirieron en el d</w:t>
      </w:r>
      <w:r>
        <w:t>e</w:t>
      </w:r>
      <w:r>
        <w:t>bate ese supuesto diálogo con B</w:t>
      </w:r>
      <w:r>
        <w:t>o</w:t>
      </w:r>
      <w:r>
        <w:t>tey.</w:t>
      </w:r>
    </w:p>
    <w:p w:rsidR="00224567" w:rsidRDefault="00224567">
      <w:pPr>
        <w:widowControl w:val="0"/>
        <w:tabs>
          <w:tab w:val="left" w:pos="2835"/>
        </w:tabs>
        <w:ind w:firstLine="708"/>
      </w:pPr>
      <w:r>
        <w:tab/>
        <w:t>Añadió el Dr. Giardelli que era ina</w:t>
      </w:r>
      <w:r>
        <w:t>d</w:t>
      </w:r>
      <w:r>
        <w:t>misible suponer que las desmentidas de Fernández y de Bressi podrían obedecer a la ignorancia o confusión de B</w:t>
      </w:r>
      <w:r>
        <w:t>o</w:t>
      </w:r>
      <w:r>
        <w:t xml:space="preserve">tey en cuanto a la función que cumplía el efectivo con quien se entrevistó esa noche, en su carácter de comisario retirado de </w:t>
      </w:r>
      <w:smartTag w:uri="urn:schemas-microsoft-com:office:smarttags" w:element="PersonName">
        <w:smartTagPr>
          <w:attr w:name="ProductID" w:val="la Polic￭a Bonaerense."/>
        </w:smartTagPr>
        <w:r>
          <w:t>la Policía Bona</w:t>
        </w:r>
        <w:r>
          <w:t>e</w:t>
        </w:r>
        <w:r>
          <w:t>rense.</w:t>
        </w:r>
      </w:smartTag>
    </w:p>
    <w:p w:rsidR="00224567" w:rsidRDefault="00224567">
      <w:pPr>
        <w:widowControl w:val="0"/>
        <w:tabs>
          <w:tab w:val="left" w:pos="2835"/>
        </w:tabs>
        <w:ind w:firstLine="708"/>
      </w:pPr>
      <w:r>
        <w:tab/>
        <w:t>Recordó también que Botey atestiguó que ingresó solo en la dependencia, cuando Eduardo Telle</w:t>
      </w:r>
      <w:r>
        <w:t>l</w:t>
      </w:r>
      <w:r>
        <w:t>dín fue colocado por los acusadores dentro de la brigada participando de la supuesta charla con el oficial de se</w:t>
      </w:r>
      <w:r>
        <w:t>r</w:t>
      </w:r>
      <w:r>
        <w:t>vicio, deduciendo que esto se contradice con los dichos del testigo respecto que de vuelta en el bar, Banga, so</w:t>
      </w:r>
      <w:r>
        <w:t>r</w:t>
      </w:r>
      <w:r>
        <w:t xml:space="preserve">prendido ante la novedad, se dirigió hacia </w:t>
      </w:r>
      <w:smartTag w:uri="urn:schemas-microsoft-com:office:smarttags" w:element="PersonName">
        <w:smartTagPr>
          <w:attr w:name="ProductID" w:val="la Brigada"/>
        </w:smartTagPr>
        <w:r>
          <w:t>la Brigada</w:t>
        </w:r>
      </w:smartTag>
      <w:r>
        <w:t xml:space="preserve">, </w:t>
      </w:r>
      <w:r>
        <w:lastRenderedPageBreak/>
        <w:t>quedando él en la confitería en co</w:t>
      </w:r>
      <w:r>
        <w:t>m</w:t>
      </w:r>
      <w:r>
        <w:t>pañía de Eduardo.</w:t>
      </w:r>
    </w:p>
    <w:p w:rsidR="00224567" w:rsidRDefault="00224567">
      <w:pPr>
        <w:widowControl w:val="0"/>
        <w:tabs>
          <w:tab w:val="left" w:pos="2835"/>
        </w:tabs>
        <w:ind w:firstLine="708"/>
      </w:pPr>
      <w:r>
        <w:tab/>
        <w:t>Remarcó la defensa como llamativo que Botey hubiera tomado noticia de la intervención de Semor</w:t>
      </w:r>
      <w:r>
        <w:t>i</w:t>
      </w:r>
      <w:r>
        <w:t>le en el asu</w:t>
      </w:r>
      <w:r>
        <w:t>n</w:t>
      </w:r>
      <w:r>
        <w:t>to de Telleldín recién una vez que conversó, entrada la noche, con ese oficial de servicio en la brig</w:t>
      </w:r>
      <w:r>
        <w:t>a</w:t>
      </w:r>
      <w:r>
        <w:t>da de Lanús y que durante la extensa reunión de Munro, donde se trat</w:t>
      </w:r>
      <w:r>
        <w:t>a</w:t>
      </w:r>
      <w:r>
        <w:t>ron incluso temas familiares, o en el viaje desde Munro hasta Avellaneda, ninguno de los hermanos le hubiera comentado que Semorile y su s</w:t>
      </w:r>
      <w:r>
        <w:t>o</w:t>
      </w:r>
      <w:r>
        <w:t>cio estaban actuando en el caso desde el día anterior, máxime porque Eduardo Telleldín conocía perfectamente la intervención del pec</w:t>
      </w:r>
      <w:r>
        <w:t>u</w:t>
      </w:r>
      <w:r>
        <w:t>liar abogado ya que se había entrevistado con él en su d</w:t>
      </w:r>
      <w:r>
        <w:t>o</w:t>
      </w:r>
      <w:r>
        <w:t>mic</w:t>
      </w:r>
      <w:r>
        <w:t>i</w:t>
      </w:r>
      <w:r>
        <w:t>lio, durante la mañana del 5 de abril, antes de partir en busca de Botey.</w:t>
      </w:r>
    </w:p>
    <w:p w:rsidR="00224567" w:rsidRDefault="00224567">
      <w:pPr>
        <w:widowControl w:val="0"/>
        <w:tabs>
          <w:tab w:val="left" w:pos="2835"/>
        </w:tabs>
        <w:ind w:firstLine="708"/>
      </w:pPr>
      <w:r>
        <w:tab/>
        <w:t>Señaló la defensa que también Banga conocía, antes de dirigirse a Avellaneda, que allí e</w:t>
      </w:r>
      <w:r>
        <w:t>s</w:t>
      </w:r>
      <w:r>
        <w:t>taba Semorile interesándose por la situ</w:t>
      </w:r>
      <w:r>
        <w:t>a</w:t>
      </w:r>
      <w:r>
        <w:t>ción de Carlos, ya que dijo en la audiencia que el pedido inicial en Sáenz Peña que le formuló Eduardo fue que lo llevara a la brigada p</w:t>
      </w:r>
      <w:r>
        <w:t>a</w:t>
      </w:r>
      <w:r>
        <w:t>ra encontrarse precisamente con el abog</w:t>
      </w:r>
      <w:r>
        <w:t>a</w:t>
      </w:r>
      <w:r>
        <w:t>do.</w:t>
      </w:r>
    </w:p>
    <w:p w:rsidR="00224567" w:rsidRDefault="00224567">
      <w:pPr>
        <w:widowControl w:val="0"/>
        <w:tabs>
          <w:tab w:val="left" w:pos="2835"/>
        </w:tabs>
        <w:ind w:firstLine="708"/>
      </w:pPr>
      <w:r>
        <w:tab/>
        <w:t xml:space="preserve">Por ello, a criterio de la defensa, </w:t>
      </w:r>
      <w:r>
        <w:lastRenderedPageBreak/>
        <w:t>quedó demostrado que la alegada reacción de sorpresa de Banga resultó un fraude y que Botey continuó mintiendo cuando declaró en agosto de 1997.</w:t>
      </w:r>
    </w:p>
    <w:p w:rsidR="00224567" w:rsidRDefault="00224567">
      <w:pPr>
        <w:widowControl w:val="0"/>
        <w:tabs>
          <w:tab w:val="left" w:pos="2835"/>
        </w:tabs>
        <w:ind w:firstLine="708"/>
      </w:pPr>
      <w:r>
        <w:tab/>
        <w:t>Conjeturó el defensor que, sin duda alguna, el motivo por el cual Setaro fue conv</w:t>
      </w:r>
      <w:r>
        <w:t>o</w:t>
      </w:r>
      <w:r>
        <w:t>cado en dos oportunidades a prestar declaración te</w:t>
      </w:r>
      <w:r>
        <w:t>s</w:t>
      </w:r>
      <w:r>
        <w:t>timonial, obedeció a un vano intento del grupo de Telleldín y de las pers</w:t>
      </w:r>
      <w:r>
        <w:t>o</w:t>
      </w:r>
      <w:r>
        <w:t>nas que habían comprado la historia que este vendió, de lograr hacer plausible la versión de la entrega de bienes en L</w:t>
      </w:r>
      <w:r>
        <w:t>a</w:t>
      </w:r>
      <w:r>
        <w:t xml:space="preserve">nús ya que Setaro en su declaración de 1995, había dicho que para llegar a Lanús había conducido su camioneta por </w:t>
      </w:r>
      <w:smartTag w:uri="urn:schemas-microsoft-com:office:smarttags" w:element="PersonName">
        <w:smartTagPr>
          <w:attr w:name="ProductID" w:val="la Av. Lugones"/>
        </w:smartTagPr>
        <w:r>
          <w:t>la Av. Lugones</w:t>
        </w:r>
      </w:smartTag>
      <w:r>
        <w:t xml:space="preserve"> cuando Eduardo había indicado que tomaron el camino opuesto, co</w:t>
      </w:r>
      <w:r>
        <w:t>n</w:t>
      </w:r>
      <w:r>
        <w:t>cretamente la autopista A 1.</w:t>
      </w:r>
    </w:p>
    <w:p w:rsidR="00224567" w:rsidRDefault="00224567">
      <w:pPr>
        <w:widowControl w:val="0"/>
        <w:tabs>
          <w:tab w:val="left" w:pos="2835"/>
        </w:tabs>
        <w:ind w:firstLine="708"/>
      </w:pPr>
      <w:r>
        <w:tab/>
        <w:t>Otra de las contradicciones remarc</w:t>
      </w:r>
      <w:r>
        <w:t>a</w:t>
      </w:r>
      <w:r>
        <w:t>das por el defe</w:t>
      </w:r>
      <w:r>
        <w:t>n</w:t>
      </w:r>
      <w:r>
        <w:t>sor es que Setaro afirmó que regresó solo a su casa de la calle Pío Díaz, y que si bien en su ampliación del 10 de julio se alineó a la versión de Eduardo Telle</w:t>
      </w:r>
      <w:r>
        <w:t>l</w:t>
      </w:r>
      <w:r>
        <w:t>dín, instaló nuevas y profundas contr</w:t>
      </w:r>
      <w:r>
        <w:t>o</w:t>
      </w:r>
      <w:r>
        <w:t>versias a la de por sí extravagante historia de las e</w:t>
      </w:r>
      <w:r>
        <w:t>x</w:t>
      </w:r>
      <w:r>
        <w:t>torsiones ya que en sus dos testimoniales desmintió de manera categórica la afi</w:t>
      </w:r>
      <w:r>
        <w:t>r</w:t>
      </w:r>
      <w:r>
        <w:lastRenderedPageBreak/>
        <w:t xml:space="preserve">mación de Carlos en el sentido de que personalmente éste hubiera colaborado en la descarga de la motocicleta en la puerta de </w:t>
      </w:r>
      <w:smartTag w:uri="urn:schemas-microsoft-com:office:smarttags" w:element="PersonName">
        <w:smartTagPr>
          <w:attr w:name="ProductID" w:val="la Brigada"/>
        </w:smartTagPr>
        <w:r>
          <w:t>la Brigada</w:t>
        </w:r>
      </w:smartTag>
      <w:r>
        <w:t xml:space="preserve"> de Lanús.</w:t>
      </w:r>
    </w:p>
    <w:p w:rsidR="00224567" w:rsidRDefault="00224567">
      <w:pPr>
        <w:widowControl w:val="0"/>
        <w:tabs>
          <w:tab w:val="left" w:pos="2835"/>
        </w:tabs>
        <w:ind w:firstLine="708"/>
      </w:pPr>
      <w:r>
        <w:tab/>
        <w:t>Recordó la defensa que en la primer declaración del 2 de noviembre de 1995 “Cacho” señaló que no vio a Carlos Telleldín en el lugar, y en la que prestó el 10 de julio de 1996 refirió de igual manera que no vio al nombrado ya que, según dijo, no ingresó a la comisaría, agregando que volvió a su casa llevando en su vehículo a Eduardo y explicó que el tiempo que transcurrió entre que llegaron a Lanús, bajaron la moto y emprendieron el regr</w:t>
      </w:r>
      <w:r>
        <w:t>e</w:t>
      </w:r>
      <w:r>
        <w:t>so, osciló entre 10 y 20 minutos como máximo, pues fue t</w:t>
      </w:r>
      <w:r>
        <w:t>o</w:t>
      </w:r>
      <w:r>
        <w:t>do muy r</w:t>
      </w:r>
      <w:r>
        <w:t>á</w:t>
      </w:r>
      <w:r>
        <w:t>pido.</w:t>
      </w:r>
    </w:p>
    <w:p w:rsidR="00224567" w:rsidRDefault="00224567">
      <w:pPr>
        <w:widowControl w:val="0"/>
        <w:tabs>
          <w:tab w:val="left" w:pos="2835"/>
        </w:tabs>
        <w:ind w:firstLine="708"/>
      </w:pPr>
      <w:r>
        <w:tab/>
        <w:t>Sostuvo el defensor que todas estas afirmaciones de Setaro entraron en crisis con las de su vecino de Sáenz Peña ya que Eduardo había dicho que una vez descargada la motocicleta pudo presenciar el momento en que recuperaron la libertad Carlos y Petrucci, que s</w:t>
      </w:r>
      <w:r>
        <w:t>a</w:t>
      </w:r>
      <w:r>
        <w:t>lieron juntos de la brig</w:t>
      </w:r>
      <w:r>
        <w:t>a</w:t>
      </w:r>
      <w:r>
        <w:t>da, remarcando también que Sandra señaló exactamente lo contrario refiriendo que, inmediat</w:t>
      </w:r>
      <w:r>
        <w:t>a</w:t>
      </w:r>
      <w:r>
        <w:t xml:space="preserve">mente después de presenciar junto a Gustavo Semorile la </w:t>
      </w:r>
      <w:r>
        <w:lastRenderedPageBreak/>
        <w:t xml:space="preserve">forma en que era bajada </w:t>
      </w:r>
      <w:smartTag w:uri="urn:schemas-microsoft-com:office:smarttags" w:element="PersonName">
        <w:smartTagPr>
          <w:attr w:name="ProductID" w:val="la Kawasaki"/>
        </w:smartTagPr>
        <w:r>
          <w:t>la Kawasaki</w:t>
        </w:r>
      </w:smartTag>
      <w:r>
        <w:t xml:space="preserve"> del flete, ingresó por segunda vez a la brigada en busca de Carlos, quien salió mas tarde.</w:t>
      </w:r>
    </w:p>
    <w:p w:rsidR="00224567" w:rsidRDefault="00224567">
      <w:pPr>
        <w:widowControl w:val="0"/>
        <w:tabs>
          <w:tab w:val="left" w:pos="2835"/>
        </w:tabs>
        <w:ind w:firstLine="708"/>
        <w:rPr>
          <w:bCs/>
        </w:rPr>
      </w:pPr>
      <w:r>
        <w:rPr>
          <w:bCs/>
        </w:rPr>
        <w:tab/>
        <w:t>Completó su análisis sosteniendo que fue comprobada en la audiencia la mendacidad de Setaro cuando, describiendo un arquetipo de cualquier comis</w:t>
      </w:r>
      <w:r>
        <w:rPr>
          <w:bCs/>
        </w:rPr>
        <w:t>a</w:t>
      </w:r>
      <w:r>
        <w:rPr>
          <w:bCs/>
        </w:rPr>
        <w:t>ría, afirmó que allí advirtió la presencia de dos guardias de uniforme, aseveración desmentida por todos los policías que trabajaron en esa dependencia pues coincidieron en s</w:t>
      </w:r>
      <w:r>
        <w:rPr>
          <w:bCs/>
        </w:rPr>
        <w:t>e</w:t>
      </w:r>
      <w:r>
        <w:rPr>
          <w:bCs/>
        </w:rPr>
        <w:t>ñalar que por la índole de las tareas que se desempeñaban en esa brigada de investigaciones ningún personal podía vestir de uniforme, recordando sólo a modo de ejemplo los dichos de Germán Rodríguez y de Bressi.</w:t>
      </w:r>
    </w:p>
    <w:p w:rsidR="00224567" w:rsidRDefault="00224567">
      <w:pPr>
        <w:widowControl w:val="0"/>
        <w:tabs>
          <w:tab w:val="left" w:pos="2835"/>
        </w:tabs>
        <w:ind w:firstLine="708"/>
        <w:rPr>
          <w:bCs/>
        </w:rPr>
      </w:pPr>
      <w:r>
        <w:rPr>
          <w:bCs/>
        </w:rPr>
        <w:tab/>
        <w:t>Con relación a la entrega de la moto, la defensa oficial señaló que, pese a lo afirmado por Sa</w:t>
      </w:r>
      <w:r>
        <w:rPr>
          <w:bCs/>
        </w:rPr>
        <w:t>n</w:t>
      </w:r>
      <w:r>
        <w:rPr>
          <w:bCs/>
        </w:rPr>
        <w:t>dra en sentido contrario, el Dr. Semor</w:t>
      </w:r>
      <w:r>
        <w:rPr>
          <w:bCs/>
        </w:rPr>
        <w:t>i</w:t>
      </w:r>
      <w:r>
        <w:rPr>
          <w:bCs/>
        </w:rPr>
        <w:t>le negó haber visto en esa ocasión a Setaro, a Eduardo, al Ford Fa</w:t>
      </w:r>
      <w:r>
        <w:rPr>
          <w:bCs/>
        </w:rPr>
        <w:t>l</w:t>
      </w:r>
      <w:r>
        <w:rPr>
          <w:bCs/>
        </w:rPr>
        <w:t>con y a la motocicleta, sino que por el contrario, sostuvo que aba</w:t>
      </w:r>
      <w:r>
        <w:rPr>
          <w:bCs/>
        </w:rPr>
        <w:t>n</w:t>
      </w:r>
      <w:r>
        <w:rPr>
          <w:bCs/>
        </w:rPr>
        <w:t>donó la brigada junto a su novia, Carlos y Petrucci; y que tiempo después la motocicleta fue acercada a las inmedi</w:t>
      </w:r>
      <w:r>
        <w:rPr>
          <w:bCs/>
        </w:rPr>
        <w:t>a</w:t>
      </w:r>
      <w:r>
        <w:rPr>
          <w:bCs/>
        </w:rPr>
        <w:lastRenderedPageBreak/>
        <w:t xml:space="preserve">ciones de la brigada, retirándola un empleado suyo que, según mintió, podrían ser </w:t>
      </w:r>
      <w:r>
        <w:rPr>
          <w:lang w:val="es-ES_tradnl"/>
        </w:rPr>
        <w:t>Julián R</w:t>
      </w:r>
      <w:r>
        <w:rPr>
          <w:lang w:val="es-ES_tradnl"/>
        </w:rPr>
        <w:t>o</w:t>
      </w:r>
      <w:r>
        <w:rPr>
          <w:lang w:val="es-ES_tradnl"/>
        </w:rPr>
        <w:t>berto</w:t>
      </w:r>
      <w:r>
        <w:rPr>
          <w:bCs/>
        </w:rPr>
        <w:t xml:space="preserve"> Uriona o Romualdo Goyen</w:t>
      </w:r>
      <w:r>
        <w:rPr>
          <w:bCs/>
        </w:rPr>
        <w:t>e</w:t>
      </w:r>
      <w:r>
        <w:rPr>
          <w:bCs/>
        </w:rPr>
        <w:t>che.</w:t>
      </w:r>
    </w:p>
    <w:p w:rsidR="00224567" w:rsidRDefault="00224567">
      <w:pPr>
        <w:widowControl w:val="0"/>
        <w:tabs>
          <w:tab w:val="left" w:pos="2835"/>
        </w:tabs>
        <w:ind w:firstLine="708"/>
        <w:rPr>
          <w:bCs/>
        </w:rPr>
      </w:pPr>
      <w:r>
        <w:rPr>
          <w:bCs/>
        </w:rPr>
        <w:tab/>
        <w:t>Infirió la defensa que la convocat</w:t>
      </w:r>
      <w:r>
        <w:rPr>
          <w:bCs/>
        </w:rPr>
        <w:t>o</w:t>
      </w:r>
      <w:r>
        <w:rPr>
          <w:bCs/>
        </w:rPr>
        <w:t>ria al debate de Uriona dejó en claro como Semorile se burló del tribunal con sus mentiras, pues manifestó que conoció a Semorile tres años después de ocurrido los supuestos h</w:t>
      </w:r>
      <w:r>
        <w:rPr>
          <w:bCs/>
        </w:rPr>
        <w:t>e</w:t>
      </w:r>
      <w:r>
        <w:rPr>
          <w:bCs/>
        </w:rPr>
        <w:t>chos de Lanús, y que fue contratado por el abogado para realizar tareas de jardinería y pintura en una quinta de su propi</w:t>
      </w:r>
      <w:r>
        <w:rPr>
          <w:bCs/>
        </w:rPr>
        <w:t>e</w:t>
      </w:r>
      <w:r>
        <w:rPr>
          <w:bCs/>
        </w:rPr>
        <w:t>dad.</w:t>
      </w:r>
    </w:p>
    <w:p w:rsidR="00224567" w:rsidRDefault="00224567">
      <w:pPr>
        <w:widowControl w:val="0"/>
        <w:tabs>
          <w:tab w:val="left" w:pos="2835"/>
        </w:tabs>
        <w:ind w:firstLine="708"/>
        <w:rPr>
          <w:bCs/>
        </w:rPr>
      </w:pPr>
      <w:r>
        <w:rPr>
          <w:bCs/>
        </w:rPr>
        <w:tab/>
        <w:t>Con respecto a Romualdo Goyeneche, sostuvo el defensor, Semorile lo invocó sabiendo de ant</w:t>
      </w:r>
      <w:r>
        <w:rPr>
          <w:bCs/>
        </w:rPr>
        <w:t>e</w:t>
      </w:r>
      <w:r>
        <w:rPr>
          <w:bCs/>
        </w:rPr>
        <w:t>mano que estaba viviendo en Francia y que, en tales cond</w:t>
      </w:r>
      <w:r>
        <w:rPr>
          <w:bCs/>
        </w:rPr>
        <w:t>i</w:t>
      </w:r>
      <w:r>
        <w:rPr>
          <w:bCs/>
        </w:rPr>
        <w:t>ciones, iba a resultar prácticamente imposible que sea i</w:t>
      </w:r>
      <w:r>
        <w:rPr>
          <w:bCs/>
        </w:rPr>
        <w:t>n</w:t>
      </w:r>
      <w:r>
        <w:rPr>
          <w:bCs/>
        </w:rPr>
        <w:t>terrogado. Al p</w:t>
      </w:r>
      <w:r>
        <w:rPr>
          <w:bCs/>
        </w:rPr>
        <w:t>o</w:t>
      </w:r>
      <w:r>
        <w:rPr>
          <w:bCs/>
        </w:rPr>
        <w:t>sibilitarse su declaración en los términos del art. 246 del Código Procesal Penal, pudo saberse que no había ido a L</w:t>
      </w:r>
      <w:r>
        <w:rPr>
          <w:bCs/>
        </w:rPr>
        <w:t>a</w:t>
      </w:r>
      <w:r>
        <w:rPr>
          <w:bCs/>
        </w:rPr>
        <w:t>nús esa noche de abril a buscar esa moto Kawasaki ya que sólo conocía al abogado por haber realiz</w:t>
      </w:r>
      <w:r>
        <w:rPr>
          <w:bCs/>
        </w:rPr>
        <w:t>a</w:t>
      </w:r>
      <w:r>
        <w:rPr>
          <w:bCs/>
        </w:rPr>
        <w:t>do una pasantía durante siete meses en su estudio juríd</w:t>
      </w:r>
      <w:r>
        <w:rPr>
          <w:bCs/>
        </w:rPr>
        <w:t>i</w:t>
      </w:r>
      <w:r>
        <w:rPr>
          <w:bCs/>
        </w:rPr>
        <w:t>co, habiéndose desvinculado de él 7 u 8 años antes de abril de 1994.</w:t>
      </w:r>
    </w:p>
    <w:p w:rsidR="00224567" w:rsidRDefault="00224567">
      <w:pPr>
        <w:widowControl w:val="0"/>
        <w:tabs>
          <w:tab w:val="left" w:pos="2835"/>
        </w:tabs>
        <w:ind w:firstLine="708"/>
        <w:rPr>
          <w:bCs/>
        </w:rPr>
      </w:pPr>
      <w:r>
        <w:rPr>
          <w:bCs/>
        </w:rPr>
        <w:lastRenderedPageBreak/>
        <w:tab/>
        <w:t>Recordó también la defensa que Ant</w:t>
      </w:r>
      <w:r>
        <w:rPr>
          <w:bCs/>
        </w:rPr>
        <w:t>o</w:t>
      </w:r>
      <w:r>
        <w:rPr>
          <w:bCs/>
        </w:rPr>
        <w:t>nio Lo Preiato d</w:t>
      </w:r>
      <w:r>
        <w:rPr>
          <w:bCs/>
        </w:rPr>
        <w:t>i</w:t>
      </w:r>
      <w:r>
        <w:rPr>
          <w:bCs/>
        </w:rPr>
        <w:t>jo que a las 18.30 del 5 de abril de 1994, en ausencia de su hijo José Luis, recibió un llamado de Ca</w:t>
      </w:r>
      <w:r>
        <w:rPr>
          <w:bCs/>
        </w:rPr>
        <w:t>r</w:t>
      </w:r>
      <w:r>
        <w:rPr>
          <w:bCs/>
        </w:rPr>
        <w:t>los Telleldín quien le avisó que había conseguido vender la moto K</w:t>
      </w:r>
      <w:r>
        <w:rPr>
          <w:bCs/>
        </w:rPr>
        <w:t>a</w:t>
      </w:r>
      <w:r>
        <w:rPr>
          <w:bCs/>
        </w:rPr>
        <w:t>wasaki y el Ford Falcon, por lo cual enviaría a dos de sus hermanos para que retir</w:t>
      </w:r>
      <w:r>
        <w:rPr>
          <w:bCs/>
        </w:rPr>
        <w:t>a</w:t>
      </w:r>
      <w:r>
        <w:rPr>
          <w:bCs/>
        </w:rPr>
        <w:t>sen los vehículos de su casa de Liniers, y que Ca</w:t>
      </w:r>
      <w:r>
        <w:rPr>
          <w:bCs/>
        </w:rPr>
        <w:t>r</w:t>
      </w:r>
      <w:r>
        <w:rPr>
          <w:bCs/>
        </w:rPr>
        <w:t>los le dijo en esa charla que el dinero resultante de esa operación lo e</w:t>
      </w:r>
      <w:r>
        <w:rPr>
          <w:bCs/>
        </w:rPr>
        <w:t>n</w:t>
      </w:r>
      <w:r>
        <w:rPr>
          <w:bCs/>
        </w:rPr>
        <w:t>viaría en la otra semana.</w:t>
      </w:r>
    </w:p>
    <w:p w:rsidR="00224567" w:rsidRDefault="00224567">
      <w:pPr>
        <w:widowControl w:val="0"/>
        <w:tabs>
          <w:tab w:val="left" w:pos="2835"/>
        </w:tabs>
        <w:ind w:firstLine="708"/>
        <w:rPr>
          <w:bCs/>
        </w:rPr>
      </w:pPr>
      <w:r>
        <w:rPr>
          <w:bCs/>
        </w:rPr>
        <w:tab/>
        <w:t>Consideró importante el defensor r</w:t>
      </w:r>
      <w:r>
        <w:rPr>
          <w:bCs/>
        </w:rPr>
        <w:t>e</w:t>
      </w:r>
      <w:r>
        <w:rPr>
          <w:bCs/>
        </w:rPr>
        <w:t>producir lo más fielmente posible lo relatado por Lo Preiato en la audiencia con relación a cómo había transc</w:t>
      </w:r>
      <w:r>
        <w:rPr>
          <w:bCs/>
        </w:rPr>
        <w:t>u</w:t>
      </w:r>
      <w:r>
        <w:rPr>
          <w:bCs/>
        </w:rPr>
        <w:t>rrido esta supuesta conversación con Telleldín, consid</w:t>
      </w:r>
      <w:r>
        <w:rPr>
          <w:bCs/>
        </w:rPr>
        <w:t>e</w:t>
      </w:r>
      <w:r>
        <w:rPr>
          <w:bCs/>
        </w:rPr>
        <w:t>rando que de allí se desprendía que a Lo Preiato le caus</w:t>
      </w:r>
      <w:r>
        <w:rPr>
          <w:bCs/>
        </w:rPr>
        <w:t>a</w:t>
      </w:r>
      <w:r>
        <w:rPr>
          <w:bCs/>
        </w:rPr>
        <w:t>ba una gran alegría lograr deshace</w:t>
      </w:r>
      <w:r>
        <w:rPr>
          <w:bCs/>
        </w:rPr>
        <w:t>r</w:t>
      </w:r>
      <w:r>
        <w:rPr>
          <w:bCs/>
        </w:rPr>
        <w:t>se de estos rodados que lo esto</w:t>
      </w:r>
      <w:r>
        <w:rPr>
          <w:bCs/>
        </w:rPr>
        <w:t>r</w:t>
      </w:r>
      <w:r>
        <w:rPr>
          <w:bCs/>
        </w:rPr>
        <w:t>baban.</w:t>
      </w:r>
    </w:p>
    <w:p w:rsidR="00224567" w:rsidRDefault="00224567">
      <w:pPr>
        <w:widowControl w:val="0"/>
        <w:tabs>
          <w:tab w:val="left" w:pos="2835"/>
        </w:tabs>
        <w:ind w:firstLine="708"/>
        <w:rPr>
          <w:bCs/>
        </w:rPr>
      </w:pPr>
      <w:r>
        <w:rPr>
          <w:bCs/>
        </w:rPr>
        <w:tab/>
        <w:t>Recordó también que Lo Preiato padre sostuvo que puso en conocimiento de su hijo el pedido de Telleldín, llamándolo por teléfono a la estación de serv</w:t>
      </w:r>
      <w:r>
        <w:rPr>
          <w:bCs/>
        </w:rPr>
        <w:t>i</w:t>
      </w:r>
      <w:r>
        <w:rPr>
          <w:bCs/>
        </w:rPr>
        <w:t>cio donde trabajaba, y que José Luis le encomendó entr</w:t>
      </w:r>
      <w:r>
        <w:rPr>
          <w:bCs/>
        </w:rPr>
        <w:t>e</w:t>
      </w:r>
      <w:r>
        <w:rPr>
          <w:bCs/>
        </w:rPr>
        <w:lastRenderedPageBreak/>
        <w:t>garle a los hermanos de Carlos toda la documentación que se encontraba depos</w:t>
      </w:r>
      <w:r>
        <w:rPr>
          <w:bCs/>
        </w:rPr>
        <w:t>i</w:t>
      </w:r>
      <w:r>
        <w:rPr>
          <w:bCs/>
        </w:rPr>
        <w:t>tada dentro de un sobre, agregando que dos horas más tarde, mientras estaba comiendo en su casa de Nogoyá, cumplió con la encomienda de su hijo afirma</w:t>
      </w:r>
      <w:r>
        <w:rPr>
          <w:bCs/>
        </w:rPr>
        <w:t>n</w:t>
      </w:r>
      <w:r>
        <w:rPr>
          <w:bCs/>
        </w:rPr>
        <w:t>do que esa operación duró apenas segundos, por lo que ni s</w:t>
      </w:r>
      <w:r>
        <w:rPr>
          <w:bCs/>
        </w:rPr>
        <w:t>i</w:t>
      </w:r>
      <w:r>
        <w:rPr>
          <w:bCs/>
        </w:rPr>
        <w:t>quiera vio qué hicieron con la moto, no se asomó a la puerta y se limitó a indicarle a los herm</w:t>
      </w:r>
      <w:r>
        <w:rPr>
          <w:bCs/>
        </w:rPr>
        <w:t>a</w:t>
      </w:r>
      <w:r>
        <w:rPr>
          <w:bCs/>
        </w:rPr>
        <w:t>nos que el coche estaba frente a la casa.</w:t>
      </w:r>
    </w:p>
    <w:p w:rsidR="00224567" w:rsidRDefault="00224567">
      <w:pPr>
        <w:widowControl w:val="0"/>
        <w:tabs>
          <w:tab w:val="left" w:pos="2835"/>
        </w:tabs>
        <w:ind w:firstLine="708"/>
        <w:rPr>
          <w:bCs/>
        </w:rPr>
      </w:pPr>
      <w:r>
        <w:rPr>
          <w:bCs/>
        </w:rPr>
        <w:tab/>
        <w:t>Subrayó la defensa que al marcársele contradicciones de esta versión con la que surgía de sus dichos rendidos en la instrucción, este testigo i</w:t>
      </w:r>
      <w:r>
        <w:rPr>
          <w:bCs/>
        </w:rPr>
        <w:t>n</w:t>
      </w:r>
      <w:r>
        <w:rPr>
          <w:bCs/>
        </w:rPr>
        <w:t>dicó con parquedad evidente, que al abrir la puerta había una c</w:t>
      </w:r>
      <w:r>
        <w:rPr>
          <w:bCs/>
        </w:rPr>
        <w:t>a</w:t>
      </w:r>
      <w:r>
        <w:rPr>
          <w:bCs/>
        </w:rPr>
        <w:t>mioneta estacionada, que antes no estaba ahí, deduciendo que se trataba de un flete, sin aportar más datos al re</w:t>
      </w:r>
      <w:r>
        <w:rPr>
          <w:bCs/>
        </w:rPr>
        <w:t>s</w:t>
      </w:r>
      <w:r>
        <w:rPr>
          <w:bCs/>
        </w:rPr>
        <w:t>pecto.</w:t>
      </w:r>
    </w:p>
    <w:p w:rsidR="00224567" w:rsidRDefault="00224567">
      <w:pPr>
        <w:widowControl w:val="0"/>
        <w:tabs>
          <w:tab w:val="left" w:pos="2835"/>
        </w:tabs>
        <w:ind w:firstLine="708"/>
        <w:rPr>
          <w:bCs/>
        </w:rPr>
      </w:pPr>
      <w:r>
        <w:rPr>
          <w:bCs/>
        </w:rPr>
        <w:tab/>
        <w:t>La defensa afirmó que al declarar T</w:t>
      </w:r>
      <w:r>
        <w:rPr>
          <w:bCs/>
        </w:rPr>
        <w:t>e</w:t>
      </w:r>
      <w:r>
        <w:rPr>
          <w:bCs/>
        </w:rPr>
        <w:t>lleldín ante la instrucción, no refirió haber mantenido esta conversación telefónica con Ant</w:t>
      </w:r>
      <w:r>
        <w:rPr>
          <w:bCs/>
        </w:rPr>
        <w:t>o</w:t>
      </w:r>
      <w:r>
        <w:rPr>
          <w:bCs/>
        </w:rPr>
        <w:t>nio Lo Preiato en el mes de abril, sino que por el contrario, al ser pregu</w:t>
      </w:r>
      <w:r>
        <w:rPr>
          <w:bCs/>
        </w:rPr>
        <w:t>n</w:t>
      </w:r>
      <w:r>
        <w:rPr>
          <w:bCs/>
        </w:rPr>
        <w:t>tado con quienes había hablado por teléfono desde la brigada, respondió que con la ún</w:t>
      </w:r>
      <w:r>
        <w:rPr>
          <w:bCs/>
        </w:rPr>
        <w:t>i</w:t>
      </w:r>
      <w:r>
        <w:rPr>
          <w:bCs/>
        </w:rPr>
        <w:t xml:space="preserve">ca persona con la que se comunicó, </w:t>
      </w:r>
      <w:r>
        <w:rPr>
          <w:bCs/>
        </w:rPr>
        <w:lastRenderedPageBreak/>
        <w:t>además de Jesica Schiavone, fue Alejandro Monjo, quien lo llamó a su celular para ofrecerle dinero y que, sin pe</w:t>
      </w:r>
      <w:r>
        <w:rPr>
          <w:bCs/>
        </w:rPr>
        <w:t>r</w:t>
      </w:r>
      <w:r>
        <w:rPr>
          <w:bCs/>
        </w:rPr>
        <w:t>juicio de que Telleldín al declarar ante el tribunal mod</w:t>
      </w:r>
      <w:r>
        <w:rPr>
          <w:bCs/>
        </w:rPr>
        <w:t>i</w:t>
      </w:r>
      <w:r>
        <w:rPr>
          <w:bCs/>
        </w:rPr>
        <w:t>ficó tan categórica aseveración en torno a los llamados que efectuó y pasó a sostener que efectivamente se había contactado con Lo Preiato para pedirle los vehículos, se cuidó de abortar cualquier posib</w:t>
      </w:r>
      <w:r>
        <w:rPr>
          <w:bCs/>
        </w:rPr>
        <w:t>i</w:t>
      </w:r>
      <w:r>
        <w:rPr>
          <w:bCs/>
        </w:rPr>
        <w:t>lidad de ser confrontado con sus dichos rendidos en la instrucción, manifestando que no iba a seguir hablando, alcanzando a decir que el llamado lo había efectuado entre las 8 ó 9 de la noche.</w:t>
      </w:r>
    </w:p>
    <w:p w:rsidR="00224567" w:rsidRDefault="00224567">
      <w:pPr>
        <w:widowControl w:val="0"/>
        <w:tabs>
          <w:tab w:val="left" w:pos="2835"/>
        </w:tabs>
        <w:ind w:firstLine="708"/>
        <w:rPr>
          <w:bCs/>
        </w:rPr>
      </w:pPr>
      <w:r>
        <w:rPr>
          <w:bCs/>
        </w:rPr>
        <w:tab/>
        <w:t>Sostuvo la defensa que tan anómala rectificación tuvo por objetivo tratar de alinear su d</w:t>
      </w:r>
      <w:r>
        <w:rPr>
          <w:bCs/>
        </w:rPr>
        <w:t>e</w:t>
      </w:r>
      <w:r>
        <w:rPr>
          <w:bCs/>
        </w:rPr>
        <w:t>claración con la re</w:t>
      </w:r>
      <w:r>
        <w:rPr>
          <w:bCs/>
        </w:rPr>
        <w:t>n</w:t>
      </w:r>
      <w:r>
        <w:rPr>
          <w:bCs/>
        </w:rPr>
        <w:t>dida por Lo Preiato.</w:t>
      </w:r>
    </w:p>
    <w:p w:rsidR="00224567" w:rsidRDefault="00224567">
      <w:pPr>
        <w:widowControl w:val="0"/>
        <w:tabs>
          <w:tab w:val="left" w:pos="2835"/>
        </w:tabs>
        <w:ind w:firstLine="708"/>
        <w:rPr>
          <w:bCs/>
        </w:rPr>
      </w:pPr>
      <w:r>
        <w:rPr>
          <w:bCs/>
        </w:rPr>
        <w:tab/>
        <w:t>Analizó el defensor que del li</w:t>
      </w:r>
      <w:r>
        <w:rPr>
          <w:bCs/>
        </w:rPr>
        <w:t>s</w:t>
      </w:r>
      <w:r>
        <w:rPr>
          <w:bCs/>
        </w:rPr>
        <w:t>tado de llamadas e</w:t>
      </w:r>
      <w:r>
        <w:rPr>
          <w:bCs/>
        </w:rPr>
        <w:t>n</w:t>
      </w:r>
      <w:r>
        <w:rPr>
          <w:bCs/>
        </w:rPr>
        <w:t>trantes y salientes del teléfono celular 478-7685 utiliz</w:t>
      </w:r>
      <w:r>
        <w:rPr>
          <w:bCs/>
        </w:rPr>
        <w:t>a</w:t>
      </w:r>
      <w:r>
        <w:rPr>
          <w:bCs/>
        </w:rPr>
        <w:t xml:space="preserve">do por Carlos Telleldín, se desprendía que el 5 de abril de </w:t>
      </w:r>
      <w:smartTag w:uri="urn:schemas-microsoft-com:office:smarttags" w:element="metricconverter">
        <w:smartTagPr>
          <w:attr w:name="ProductID" w:val="1994 a"/>
        </w:smartTagPr>
        <w:r>
          <w:rPr>
            <w:bCs/>
          </w:rPr>
          <w:t>1994 a</w:t>
        </w:r>
      </w:smartTag>
      <w:r>
        <w:rPr>
          <w:bCs/>
        </w:rPr>
        <w:t xml:space="preserve"> las 22.42 se realizó un llamado al teléfono instalado en el dom</w:t>
      </w:r>
      <w:r>
        <w:rPr>
          <w:bCs/>
        </w:rPr>
        <w:t>i</w:t>
      </w:r>
      <w:r>
        <w:rPr>
          <w:bCs/>
        </w:rPr>
        <w:t>cilio de los Lo Preiato en el barrio de Liniers, y que ese fue el único llamado de T</w:t>
      </w:r>
      <w:r>
        <w:rPr>
          <w:bCs/>
        </w:rPr>
        <w:t>e</w:t>
      </w:r>
      <w:r>
        <w:rPr>
          <w:bCs/>
        </w:rPr>
        <w:t>lleldín registrado en ese mome</w:t>
      </w:r>
      <w:r>
        <w:rPr>
          <w:bCs/>
        </w:rPr>
        <w:t>n</w:t>
      </w:r>
      <w:r>
        <w:rPr>
          <w:bCs/>
        </w:rPr>
        <w:t>to.</w:t>
      </w:r>
    </w:p>
    <w:p w:rsidR="00224567" w:rsidRDefault="00224567">
      <w:pPr>
        <w:widowControl w:val="0"/>
        <w:tabs>
          <w:tab w:val="left" w:pos="2835"/>
        </w:tabs>
        <w:ind w:firstLine="708"/>
        <w:rPr>
          <w:bCs/>
        </w:rPr>
      </w:pPr>
      <w:r>
        <w:rPr>
          <w:bCs/>
        </w:rPr>
        <w:lastRenderedPageBreak/>
        <w:tab/>
        <w:t>Por ello, sostuvo el letrado, lo afi</w:t>
      </w:r>
      <w:r>
        <w:rPr>
          <w:bCs/>
        </w:rPr>
        <w:t>r</w:t>
      </w:r>
      <w:r>
        <w:rPr>
          <w:bCs/>
        </w:rPr>
        <w:t>mado por Antonio Lo Preiato respecto que después de tran</w:t>
      </w:r>
      <w:r>
        <w:rPr>
          <w:bCs/>
        </w:rPr>
        <w:t>s</w:t>
      </w:r>
      <w:r>
        <w:rPr>
          <w:bCs/>
        </w:rPr>
        <w:t>curridas dos horas desde ese llamado, mientras él comía con su familia, llegaron a su casa los hermanos de Telle</w:t>
      </w:r>
      <w:r>
        <w:rPr>
          <w:bCs/>
        </w:rPr>
        <w:t>l</w:t>
      </w:r>
      <w:r>
        <w:rPr>
          <w:bCs/>
        </w:rPr>
        <w:t>dín, es insostenible ya que para poder afirmar este extr</w:t>
      </w:r>
      <w:r>
        <w:rPr>
          <w:bCs/>
        </w:rPr>
        <w:t>e</w:t>
      </w:r>
      <w:r>
        <w:rPr>
          <w:bCs/>
        </w:rPr>
        <w:t>mo, debería tenerse por cierto que Lo Preiato y su familia se sentaron a comer a la una de la mañana del día 6 de abril, lo que resulta inaceptable desde todo punto de vi</w:t>
      </w:r>
      <w:r>
        <w:rPr>
          <w:bCs/>
        </w:rPr>
        <w:t>s</w:t>
      </w:r>
      <w:r>
        <w:rPr>
          <w:bCs/>
        </w:rPr>
        <w:t>ta, máxime cuando afirmó que por razones laborales se acostaba muy te</w:t>
      </w:r>
      <w:r>
        <w:rPr>
          <w:bCs/>
        </w:rPr>
        <w:t>m</w:t>
      </w:r>
      <w:r>
        <w:rPr>
          <w:bCs/>
        </w:rPr>
        <w:t>prano.</w:t>
      </w:r>
    </w:p>
    <w:p w:rsidR="00224567" w:rsidRDefault="00224567">
      <w:pPr>
        <w:widowControl w:val="0"/>
        <w:tabs>
          <w:tab w:val="left" w:pos="2835"/>
        </w:tabs>
        <w:ind w:firstLine="708"/>
        <w:rPr>
          <w:bCs/>
        </w:rPr>
      </w:pPr>
      <w:r>
        <w:rPr>
          <w:bCs/>
        </w:rPr>
        <w:tab/>
        <w:t xml:space="preserve">Recalcó el defensor que era evidente que Telleldín llamó a sus socios poco tiempo después de recuperar su libertad tal como se consignó en los libros de </w:t>
      </w:r>
      <w:smartTag w:uri="urn:schemas-microsoft-com:office:smarttags" w:element="PersonName">
        <w:smartTagPr>
          <w:attr w:name="ProductID" w:val="la Brigada"/>
        </w:smartTagPr>
        <w:r>
          <w:rPr>
            <w:bCs/>
          </w:rPr>
          <w:t>la Brigada</w:t>
        </w:r>
      </w:smartTag>
      <w:r>
        <w:rPr>
          <w:bCs/>
        </w:rPr>
        <w:t xml:space="preserve"> de Lanús.</w:t>
      </w:r>
    </w:p>
    <w:p w:rsidR="00224567" w:rsidRDefault="00224567">
      <w:pPr>
        <w:widowControl w:val="0"/>
        <w:tabs>
          <w:tab w:val="left" w:pos="2835"/>
        </w:tabs>
        <w:ind w:firstLine="708"/>
        <w:rPr>
          <w:bCs/>
        </w:rPr>
      </w:pPr>
      <w:r>
        <w:rPr>
          <w:bCs/>
        </w:rPr>
        <w:tab/>
        <w:t>A su criterio, sobre este punto, sum</w:t>
      </w:r>
      <w:r>
        <w:rPr>
          <w:bCs/>
        </w:rPr>
        <w:t>a</w:t>
      </w:r>
      <w:r>
        <w:rPr>
          <w:bCs/>
        </w:rPr>
        <w:t xml:space="preserve">ron confusión los dichos de Ana Boragni, sosteniendo que contribuyó a demostrar la torpeza con que se armó esta burda patraña, pues al declarar agregó otra alternativa parejamente falsa, sosteniendo en la audiencia que fue ella y no Carlos, quien tuvo a su cargo por pedido de Eduardo, la misión de convencer a la familia Lo Preiato </w:t>
      </w:r>
      <w:r>
        <w:rPr>
          <w:bCs/>
        </w:rPr>
        <w:lastRenderedPageBreak/>
        <w:t>que entregaran los veh</w:t>
      </w:r>
      <w:r>
        <w:rPr>
          <w:bCs/>
        </w:rPr>
        <w:t>í</w:t>
      </w:r>
      <w:r>
        <w:rPr>
          <w:bCs/>
        </w:rPr>
        <w:t>culos.</w:t>
      </w:r>
    </w:p>
    <w:p w:rsidR="00224567" w:rsidRDefault="00224567">
      <w:pPr>
        <w:widowControl w:val="0"/>
        <w:tabs>
          <w:tab w:val="left" w:pos="2835"/>
        </w:tabs>
        <w:ind w:firstLine="708"/>
        <w:rPr>
          <w:bCs/>
        </w:rPr>
      </w:pPr>
      <w:r>
        <w:rPr>
          <w:bCs/>
        </w:rPr>
        <w:tab/>
        <w:t>Así, evocó el defensor, Boragni pr</w:t>
      </w:r>
      <w:r>
        <w:rPr>
          <w:bCs/>
        </w:rPr>
        <w:t>e</w:t>
      </w:r>
      <w:r>
        <w:rPr>
          <w:bCs/>
        </w:rPr>
        <w:t>tendió que Eduardo llamó antes de dirigirse a la calle N</w:t>
      </w:r>
      <w:r>
        <w:rPr>
          <w:bCs/>
        </w:rPr>
        <w:t>o</w:t>
      </w:r>
      <w:r>
        <w:rPr>
          <w:bCs/>
        </w:rPr>
        <w:t>goyá y le dijo que los Lo Preiato no querían entregar los vehículos que necesitaba Carlos, y que fue ella quien di</w:t>
      </w:r>
      <w:r>
        <w:rPr>
          <w:bCs/>
        </w:rPr>
        <w:t>s</w:t>
      </w:r>
      <w:r>
        <w:rPr>
          <w:bCs/>
        </w:rPr>
        <w:t>cutió con algún integrante de la familia, sin precisar quien le “dio la palabra” que le iban a entregar los rod</w:t>
      </w:r>
      <w:r>
        <w:rPr>
          <w:bCs/>
        </w:rPr>
        <w:t>a</w:t>
      </w:r>
      <w:r>
        <w:rPr>
          <w:bCs/>
        </w:rPr>
        <w:t>dos a Eduardo.</w:t>
      </w:r>
    </w:p>
    <w:p w:rsidR="00224567" w:rsidRDefault="00224567">
      <w:pPr>
        <w:widowControl w:val="0"/>
        <w:tabs>
          <w:tab w:val="left" w:pos="2835"/>
        </w:tabs>
        <w:ind w:firstLine="708"/>
        <w:rPr>
          <w:bCs/>
        </w:rPr>
      </w:pPr>
      <w:r>
        <w:rPr>
          <w:bCs/>
        </w:rPr>
        <w:tab/>
        <w:t>Valoró la defensa que José Luis Lo Preiato no podía dejar de zozobrar en su intento de expl</w:t>
      </w:r>
      <w:r>
        <w:rPr>
          <w:bCs/>
        </w:rPr>
        <w:t>i</w:t>
      </w:r>
      <w:r>
        <w:rPr>
          <w:bCs/>
        </w:rPr>
        <w:t>car qué fue lo que paso ese día, ya que las insalvables contradicciones que ya surgían del confronte de sus dos declaraciones prestadas durante la instrucción, hacían i</w:t>
      </w:r>
      <w:r>
        <w:rPr>
          <w:bCs/>
        </w:rPr>
        <w:t>m</w:t>
      </w:r>
      <w:r>
        <w:rPr>
          <w:bCs/>
        </w:rPr>
        <w:t>posible que pudiera explicar coherentemente sus disímiles versiones, sosteniendo por ello el defensor que ya había incurrido en el delito de falso testimonio y en tales co</w:t>
      </w:r>
      <w:r>
        <w:rPr>
          <w:bCs/>
        </w:rPr>
        <w:t>n</w:t>
      </w:r>
      <w:r>
        <w:rPr>
          <w:bCs/>
        </w:rPr>
        <w:t>diciones no debía continuar siendo interrogado por el tr</w:t>
      </w:r>
      <w:r>
        <w:rPr>
          <w:bCs/>
        </w:rPr>
        <w:t>i</w:t>
      </w:r>
      <w:r>
        <w:rPr>
          <w:bCs/>
        </w:rPr>
        <w:t>bunal.</w:t>
      </w:r>
    </w:p>
    <w:p w:rsidR="00224567" w:rsidRDefault="00224567">
      <w:pPr>
        <w:widowControl w:val="0"/>
        <w:tabs>
          <w:tab w:val="left" w:pos="2835"/>
        </w:tabs>
        <w:ind w:firstLine="708"/>
        <w:rPr>
          <w:bCs/>
        </w:rPr>
      </w:pPr>
      <w:r>
        <w:rPr>
          <w:bCs/>
        </w:rPr>
        <w:tab/>
        <w:t>Recordó que la querella Memoria Act</w:t>
      </w:r>
      <w:r>
        <w:rPr>
          <w:bCs/>
        </w:rPr>
        <w:t>i</w:t>
      </w:r>
      <w:r>
        <w:rPr>
          <w:bCs/>
        </w:rPr>
        <w:t>va sostuvo que la impresión que le causaba el testigo era h</w:t>
      </w:r>
      <w:r>
        <w:rPr>
          <w:bCs/>
        </w:rPr>
        <w:t>o</w:t>
      </w:r>
      <w:r>
        <w:rPr>
          <w:bCs/>
        </w:rPr>
        <w:lastRenderedPageBreak/>
        <w:t>rrible, que d</w:t>
      </w:r>
      <w:r>
        <w:rPr>
          <w:bCs/>
        </w:rPr>
        <w:t>e</w:t>
      </w:r>
      <w:r>
        <w:rPr>
          <w:bCs/>
        </w:rPr>
        <w:t>claraba sin convicción y de forma mendaz, y que la propia fiscalía apoyó la postura de esa querella. Agregó también que, a su juicio, sin lugar a dudas era otro caso flagrante de testigo apremiado, apretado o al</w:t>
      </w:r>
      <w:r>
        <w:rPr>
          <w:bCs/>
        </w:rPr>
        <w:t>i</w:t>
      </w:r>
      <w:r>
        <w:rPr>
          <w:bCs/>
        </w:rPr>
        <w:t>neado a quien se la había hecho decir lo que el juez, el capitán Vergéz, Brousson u otro funcionario querían que dijera, bajo la amenaza de involucrarlo en delitos muy s</w:t>
      </w:r>
      <w:r>
        <w:rPr>
          <w:bCs/>
        </w:rPr>
        <w:t>e</w:t>
      </w:r>
      <w:r>
        <w:rPr>
          <w:bCs/>
        </w:rPr>
        <w:t>rios relacionados con automot</w:t>
      </w:r>
      <w:r>
        <w:rPr>
          <w:bCs/>
        </w:rPr>
        <w:t>o</w:t>
      </w:r>
      <w:r>
        <w:rPr>
          <w:bCs/>
        </w:rPr>
        <w:t>res.</w:t>
      </w:r>
    </w:p>
    <w:p w:rsidR="00224567" w:rsidRDefault="00224567">
      <w:pPr>
        <w:widowControl w:val="0"/>
        <w:tabs>
          <w:tab w:val="left" w:pos="2835"/>
        </w:tabs>
        <w:ind w:firstLine="708"/>
        <w:rPr>
          <w:bCs/>
        </w:rPr>
      </w:pPr>
      <w:r>
        <w:rPr>
          <w:bCs/>
        </w:rPr>
        <w:tab/>
        <w:t>Concluyó la asistencia técnica de Ib</w:t>
      </w:r>
      <w:r>
        <w:rPr>
          <w:bCs/>
        </w:rPr>
        <w:t>a</w:t>
      </w:r>
      <w:r>
        <w:rPr>
          <w:bCs/>
        </w:rPr>
        <w:t>rra que surgían claramente de la causa las burdas versi</w:t>
      </w:r>
      <w:r>
        <w:rPr>
          <w:bCs/>
        </w:rPr>
        <w:t>o</w:t>
      </w:r>
      <w:r>
        <w:rPr>
          <w:bCs/>
        </w:rPr>
        <w:t>nes que le encomendaron volcar a Lo Preiato, y que como eran imposibles de reproducir sin que el tribunal y los defensores advirtieran las falsedades, sucedió que el pr</w:t>
      </w:r>
      <w:r>
        <w:rPr>
          <w:bCs/>
        </w:rPr>
        <w:t>e</w:t>
      </w:r>
      <w:r>
        <w:rPr>
          <w:bCs/>
        </w:rPr>
        <w:t>sidente del trib</w:t>
      </w:r>
      <w:r>
        <w:rPr>
          <w:bCs/>
        </w:rPr>
        <w:t>u</w:t>
      </w:r>
      <w:r>
        <w:rPr>
          <w:bCs/>
        </w:rPr>
        <w:t>nal debió exhortarlo a ajustar su memoria bajo apercibimiento de tomar una m</w:t>
      </w:r>
      <w:r>
        <w:rPr>
          <w:bCs/>
        </w:rPr>
        <w:t>e</w:t>
      </w:r>
      <w:r>
        <w:rPr>
          <w:bCs/>
        </w:rPr>
        <w:t>dida excepcional y que, ante un nu</w:t>
      </w:r>
      <w:r>
        <w:rPr>
          <w:bCs/>
        </w:rPr>
        <w:t>e</w:t>
      </w:r>
      <w:r>
        <w:rPr>
          <w:bCs/>
        </w:rPr>
        <w:t>vo tropiezo, también debió preguntarle si había sido int</w:t>
      </w:r>
      <w:r>
        <w:rPr>
          <w:bCs/>
        </w:rPr>
        <w:t>i</w:t>
      </w:r>
      <w:r>
        <w:rPr>
          <w:bCs/>
        </w:rPr>
        <w:t>midado antes de concurrir a la audiencia.</w:t>
      </w:r>
    </w:p>
    <w:p w:rsidR="00224567" w:rsidRDefault="00224567">
      <w:pPr>
        <w:widowControl w:val="0"/>
        <w:tabs>
          <w:tab w:val="left" w:pos="2835"/>
        </w:tabs>
        <w:ind w:firstLine="708"/>
        <w:rPr>
          <w:bCs/>
        </w:rPr>
      </w:pPr>
      <w:r>
        <w:rPr>
          <w:bCs/>
        </w:rPr>
        <w:tab/>
        <w:t>Por ello consideró que resultaba an</w:t>
      </w:r>
      <w:r>
        <w:rPr>
          <w:bCs/>
        </w:rPr>
        <w:t>ó</w:t>
      </w:r>
      <w:r>
        <w:rPr>
          <w:bCs/>
        </w:rPr>
        <w:t>malo que la fiscalía en su acusación incluyera este test</w:t>
      </w:r>
      <w:r>
        <w:rPr>
          <w:bCs/>
        </w:rPr>
        <w:t>i</w:t>
      </w:r>
      <w:r>
        <w:rPr>
          <w:bCs/>
        </w:rPr>
        <w:t xml:space="preserve">monio dentro del grupo de los “contundentes, sólidos y concordantes”, limitándose sólo a indicar que Lo Preiato </w:t>
      </w:r>
      <w:r>
        <w:rPr>
          <w:bCs/>
        </w:rPr>
        <w:lastRenderedPageBreak/>
        <w:t>fue poco locuaz al principio de su declaración. Consideró, el defensor, que el te</w:t>
      </w:r>
      <w:r>
        <w:rPr>
          <w:bCs/>
        </w:rPr>
        <w:t>s</w:t>
      </w:r>
      <w:r>
        <w:rPr>
          <w:bCs/>
        </w:rPr>
        <w:t>tigo fue groseramente mendaz.</w:t>
      </w:r>
    </w:p>
    <w:p w:rsidR="00224567" w:rsidRDefault="00224567">
      <w:pPr>
        <w:widowControl w:val="0"/>
        <w:tabs>
          <w:tab w:val="left" w:pos="2835"/>
        </w:tabs>
        <w:ind w:firstLine="708"/>
        <w:rPr>
          <w:bCs/>
        </w:rPr>
      </w:pPr>
      <w:r>
        <w:rPr>
          <w:bCs/>
        </w:rPr>
        <w:tab/>
        <w:t>Especificó la asistencia técnica que el fiscal en su alegato tuvo probado que Carlos Telle</w:t>
      </w:r>
      <w:r>
        <w:rPr>
          <w:bCs/>
        </w:rPr>
        <w:t>l</w:t>
      </w:r>
      <w:r>
        <w:rPr>
          <w:bCs/>
        </w:rPr>
        <w:t>dín había conversado con José Luis el 5 de abril p</w:t>
      </w:r>
      <w:r>
        <w:rPr>
          <w:bCs/>
        </w:rPr>
        <w:t>i</w:t>
      </w:r>
      <w:r>
        <w:rPr>
          <w:bCs/>
        </w:rPr>
        <w:t>diéndole la entrega de los bienes, lo que se vio contradicho por la cantidad de veces que el testigo afirmó no recordar nada de esa llamada, y que además Telleldín nunca dijo haber mantenido desde la brigada este co</w:t>
      </w:r>
      <w:r>
        <w:rPr>
          <w:bCs/>
        </w:rPr>
        <w:t>n</w:t>
      </w:r>
      <w:r>
        <w:rPr>
          <w:bCs/>
        </w:rPr>
        <w:t>tacto por teléfono con Lo Prei</w:t>
      </w:r>
      <w:r>
        <w:rPr>
          <w:bCs/>
        </w:rPr>
        <w:t>a</w:t>
      </w:r>
      <w:r>
        <w:rPr>
          <w:bCs/>
        </w:rPr>
        <w:t>to.</w:t>
      </w:r>
    </w:p>
    <w:p w:rsidR="00224567" w:rsidRDefault="00224567">
      <w:pPr>
        <w:widowControl w:val="0"/>
        <w:tabs>
          <w:tab w:val="left" w:pos="2835"/>
        </w:tabs>
        <w:ind w:firstLine="708"/>
        <w:rPr>
          <w:bCs/>
        </w:rPr>
      </w:pPr>
      <w:r>
        <w:rPr>
          <w:bCs/>
        </w:rPr>
        <w:tab/>
        <w:t>La defensa concluyó que testimonios como los de Lo Preiato constituían el paradigma de la me</w:t>
      </w:r>
      <w:r>
        <w:rPr>
          <w:bCs/>
        </w:rPr>
        <w:t>n</w:t>
      </w:r>
      <w:r>
        <w:rPr>
          <w:bCs/>
        </w:rPr>
        <w:t>tira y de la contradicción, y que cabe reflexionar que d</w:t>
      </w:r>
      <w:r>
        <w:rPr>
          <w:bCs/>
        </w:rPr>
        <w:t>u</w:t>
      </w:r>
      <w:r>
        <w:rPr>
          <w:bCs/>
        </w:rPr>
        <w:t>rante el trámite de la instrucción, la proclama de la fi</w:t>
      </w:r>
      <w:r>
        <w:rPr>
          <w:bCs/>
        </w:rPr>
        <w:t>s</w:t>
      </w:r>
      <w:r>
        <w:rPr>
          <w:bCs/>
        </w:rPr>
        <w:t>calía enderezada a exaltar pretendidas cualidades y co</w:t>
      </w:r>
      <w:r>
        <w:rPr>
          <w:bCs/>
        </w:rPr>
        <w:t>n</w:t>
      </w:r>
      <w:r>
        <w:rPr>
          <w:bCs/>
        </w:rPr>
        <w:t>cordancias de los testimonios de Telleldín, aparecía mas intolerable que ahora ya que en aquel momento los repr</w:t>
      </w:r>
      <w:r>
        <w:rPr>
          <w:bCs/>
        </w:rPr>
        <w:t>e</w:t>
      </w:r>
      <w:r>
        <w:rPr>
          <w:bCs/>
        </w:rPr>
        <w:t>sentantes del ministerio público estaban obligados a re</w:t>
      </w:r>
      <w:r>
        <w:rPr>
          <w:bCs/>
        </w:rPr>
        <w:t>a</w:t>
      </w:r>
      <w:r>
        <w:rPr>
          <w:bCs/>
        </w:rPr>
        <w:t>lizar un anál</w:t>
      </w:r>
      <w:r>
        <w:rPr>
          <w:bCs/>
        </w:rPr>
        <w:t>i</w:t>
      </w:r>
      <w:r>
        <w:rPr>
          <w:bCs/>
        </w:rPr>
        <w:t>sis de los dichos volcados en la declaración de Carlos Telleldín en lo que a esta presunta maniobra e</w:t>
      </w:r>
      <w:r>
        <w:rPr>
          <w:bCs/>
        </w:rPr>
        <w:t>x</w:t>
      </w:r>
      <w:r>
        <w:rPr>
          <w:bCs/>
        </w:rPr>
        <w:lastRenderedPageBreak/>
        <w:t>torsiva de abril se refería, cuando la versión que dio Eduardo ante el juez Galeano, elevaba a niveles del par</w:t>
      </w:r>
      <w:r>
        <w:rPr>
          <w:bCs/>
        </w:rPr>
        <w:t>o</w:t>
      </w:r>
      <w:r>
        <w:rPr>
          <w:bCs/>
        </w:rPr>
        <w:t>xismo las contradicciones y engaños en la historia tra</w:t>
      </w:r>
      <w:r>
        <w:rPr>
          <w:bCs/>
        </w:rPr>
        <w:t>í</w:t>
      </w:r>
      <w:r>
        <w:rPr>
          <w:bCs/>
        </w:rPr>
        <w:t>da al expediente por Carlos T</w:t>
      </w:r>
      <w:r>
        <w:rPr>
          <w:bCs/>
        </w:rPr>
        <w:t>e</w:t>
      </w:r>
      <w:r>
        <w:rPr>
          <w:bCs/>
        </w:rPr>
        <w:t>lleldín y su entorno.</w:t>
      </w:r>
    </w:p>
    <w:p w:rsidR="00224567" w:rsidRDefault="00224567">
      <w:pPr>
        <w:widowControl w:val="0"/>
        <w:tabs>
          <w:tab w:val="left" w:pos="2835"/>
        </w:tabs>
        <w:ind w:firstLine="708"/>
        <w:rPr>
          <w:bCs/>
        </w:rPr>
      </w:pPr>
      <w:r>
        <w:rPr>
          <w:bCs/>
        </w:rPr>
        <w:tab/>
        <w:t>Sostuvo que las más groseras me</w:t>
      </w:r>
      <w:r>
        <w:rPr>
          <w:bCs/>
        </w:rPr>
        <w:t>n</w:t>
      </w:r>
      <w:r>
        <w:rPr>
          <w:bCs/>
        </w:rPr>
        <w:t>tiras y anacronismos surgían claramente del confro</w:t>
      </w:r>
      <w:r>
        <w:rPr>
          <w:bCs/>
        </w:rPr>
        <w:t>n</w:t>
      </w:r>
      <w:r>
        <w:rPr>
          <w:bCs/>
        </w:rPr>
        <w:t>te entre las aseveraciones realizadas por Eduardo en su testimonial y los relatos de los demás del grupo.</w:t>
      </w:r>
    </w:p>
    <w:p w:rsidR="00224567" w:rsidRDefault="00224567">
      <w:pPr>
        <w:widowControl w:val="0"/>
        <w:tabs>
          <w:tab w:val="left" w:pos="2835"/>
        </w:tabs>
        <w:ind w:firstLine="708"/>
        <w:rPr>
          <w:bCs/>
        </w:rPr>
      </w:pPr>
      <w:r>
        <w:rPr>
          <w:bCs/>
        </w:rPr>
        <w:tab/>
        <w:t>Respecto a Eduardo Telleldín y a su imposibilidad para declarar en la audiencia, afirmó la d</w:t>
      </w:r>
      <w:r>
        <w:rPr>
          <w:bCs/>
        </w:rPr>
        <w:t>e</w:t>
      </w:r>
      <w:r>
        <w:rPr>
          <w:bCs/>
        </w:rPr>
        <w:t>fensa que la contumaz indefinición del juez para r</w:t>
      </w:r>
      <w:r>
        <w:rPr>
          <w:bCs/>
        </w:rPr>
        <w:t>e</w:t>
      </w:r>
      <w:r>
        <w:rPr>
          <w:bCs/>
        </w:rPr>
        <w:t>solver su situación procesal no resultó inocente, y tampoco lo fue la inacción demostrada en igual sentido por los fisc</w:t>
      </w:r>
      <w:r>
        <w:rPr>
          <w:bCs/>
        </w:rPr>
        <w:t>a</w:t>
      </w:r>
      <w:r>
        <w:rPr>
          <w:bCs/>
        </w:rPr>
        <w:t>les y alguna de las querellas actuantes ante el juzgado instructor, agregando que si se hubiera permitido al tr</w:t>
      </w:r>
      <w:r>
        <w:rPr>
          <w:bCs/>
        </w:rPr>
        <w:t>i</w:t>
      </w:r>
      <w:r>
        <w:rPr>
          <w:bCs/>
        </w:rPr>
        <w:t>bunal y a las d</w:t>
      </w:r>
      <w:r>
        <w:rPr>
          <w:bCs/>
        </w:rPr>
        <w:t>e</w:t>
      </w:r>
      <w:r>
        <w:rPr>
          <w:bCs/>
        </w:rPr>
        <w:t>fensas interrogar en el debate a Eduardo, se habría evidenciado, con mayor contundencia aún, la fa</w:t>
      </w:r>
      <w:r>
        <w:rPr>
          <w:bCs/>
        </w:rPr>
        <w:t>l</w:t>
      </w:r>
      <w:r>
        <w:rPr>
          <w:bCs/>
        </w:rPr>
        <w:t>sedad de la historia pergeñada para perjudicar injustame</w:t>
      </w:r>
      <w:r>
        <w:rPr>
          <w:bCs/>
        </w:rPr>
        <w:t>n</w:t>
      </w:r>
      <w:r>
        <w:rPr>
          <w:bCs/>
        </w:rPr>
        <w:t>te a Raúl Ibarra en las supuestas mani</w:t>
      </w:r>
      <w:r>
        <w:rPr>
          <w:bCs/>
        </w:rPr>
        <w:t>o</w:t>
      </w:r>
      <w:r>
        <w:rPr>
          <w:bCs/>
        </w:rPr>
        <w:t>bras extorsivas de marzo y abril de 1994.</w:t>
      </w:r>
    </w:p>
    <w:p w:rsidR="00224567" w:rsidRDefault="00224567">
      <w:pPr>
        <w:widowControl w:val="0"/>
        <w:tabs>
          <w:tab w:val="left" w:pos="2835"/>
        </w:tabs>
        <w:ind w:firstLine="708"/>
        <w:rPr>
          <w:bCs/>
        </w:rPr>
      </w:pPr>
      <w:r>
        <w:rPr>
          <w:bCs/>
        </w:rPr>
        <w:tab/>
        <w:t xml:space="preserve">Dedujo que, de manera paradójica pero </w:t>
      </w:r>
      <w:r>
        <w:rPr>
          <w:bCs/>
        </w:rPr>
        <w:lastRenderedPageBreak/>
        <w:t>en modo alguno casual, la frustrada incorporación por le</w:t>
      </w:r>
      <w:r>
        <w:rPr>
          <w:bCs/>
        </w:rPr>
        <w:t>c</w:t>
      </w:r>
      <w:r>
        <w:rPr>
          <w:bCs/>
        </w:rPr>
        <w:t>tura de los dichos de Eduardo Telleldín privaron a la d</w:t>
      </w:r>
      <w:r>
        <w:rPr>
          <w:bCs/>
        </w:rPr>
        <w:t>e</w:t>
      </w:r>
      <w:r>
        <w:rPr>
          <w:bCs/>
        </w:rPr>
        <w:t>fensa poner al descubierto las mayores y más numerosas i</w:t>
      </w:r>
      <w:r>
        <w:rPr>
          <w:bCs/>
        </w:rPr>
        <w:t>n</w:t>
      </w:r>
      <w:r>
        <w:rPr>
          <w:bCs/>
        </w:rPr>
        <w:t>consecuencias y mentiras que contenía la imputación form</w:t>
      </w:r>
      <w:r>
        <w:rPr>
          <w:bCs/>
        </w:rPr>
        <w:t>u</w:t>
      </w:r>
      <w:r>
        <w:rPr>
          <w:bCs/>
        </w:rPr>
        <w:t>lada contra Ib</w:t>
      </w:r>
      <w:r>
        <w:rPr>
          <w:bCs/>
        </w:rPr>
        <w:t>a</w:t>
      </w:r>
      <w:r>
        <w:rPr>
          <w:bCs/>
        </w:rPr>
        <w:t>rra por los hechos de abril de 1994.</w:t>
      </w:r>
    </w:p>
    <w:p w:rsidR="00224567" w:rsidRDefault="00224567">
      <w:pPr>
        <w:widowControl w:val="0"/>
        <w:tabs>
          <w:tab w:val="left" w:pos="2835"/>
        </w:tabs>
        <w:ind w:firstLine="708"/>
        <w:rPr>
          <w:bCs/>
        </w:rPr>
      </w:pPr>
      <w:r>
        <w:rPr>
          <w:bCs/>
        </w:rPr>
        <w:tab/>
        <w:t>Al respecto, recordó la defensa lo afirmado por Lifschitz en la audiencia, al relatar un di</w:t>
      </w:r>
      <w:r>
        <w:rPr>
          <w:bCs/>
        </w:rPr>
        <w:t>á</w:t>
      </w:r>
      <w:r>
        <w:rPr>
          <w:bCs/>
        </w:rPr>
        <w:t>logo que mantuvo con Javier De Gamas respecto a la evalu</w:t>
      </w:r>
      <w:r>
        <w:rPr>
          <w:bCs/>
        </w:rPr>
        <w:t>a</w:t>
      </w:r>
      <w:r>
        <w:rPr>
          <w:bCs/>
        </w:rPr>
        <w:t>ción de los dichos de Telleldín y su entorno, con relación a su falta de cr</w:t>
      </w:r>
      <w:r>
        <w:rPr>
          <w:bCs/>
        </w:rPr>
        <w:t>e</w:t>
      </w:r>
      <w:r>
        <w:rPr>
          <w:bCs/>
        </w:rPr>
        <w:t>dibilidad.</w:t>
      </w:r>
    </w:p>
    <w:p w:rsidR="00224567" w:rsidRDefault="00224567">
      <w:pPr>
        <w:widowControl w:val="0"/>
        <w:tabs>
          <w:tab w:val="left" w:pos="2835"/>
        </w:tabs>
        <w:ind w:firstLine="708"/>
        <w:rPr>
          <w:bCs/>
        </w:rPr>
      </w:pPr>
      <w:r>
        <w:rPr>
          <w:bCs/>
        </w:rPr>
        <w:tab/>
        <w:t>A criterio de la defensa, el ju</w:t>
      </w:r>
      <w:r>
        <w:rPr>
          <w:bCs/>
        </w:rPr>
        <w:t>z</w:t>
      </w:r>
      <w:r>
        <w:rPr>
          <w:bCs/>
        </w:rPr>
        <w:t>gado, el D.P.O.C., los integrantes de la comisión policial asi</w:t>
      </w:r>
      <w:r>
        <w:rPr>
          <w:bCs/>
        </w:rPr>
        <w:t>g</w:t>
      </w:r>
      <w:r>
        <w:rPr>
          <w:bCs/>
        </w:rPr>
        <w:t>nada para colaborar con la investigación denominada “P</w:t>
      </w:r>
      <w:r>
        <w:rPr>
          <w:bCs/>
        </w:rPr>
        <w:t>o</w:t>
      </w:r>
      <w:r>
        <w:rPr>
          <w:bCs/>
        </w:rPr>
        <w:t xml:space="preserve">quitos”, </w:t>
      </w:r>
      <w:smartTag w:uri="urn:schemas-microsoft-com:office:smarttags" w:element="PersonName">
        <w:smartTagPr>
          <w:attr w:name="ProductID" w:val="la S.I"/>
        </w:smartTagPr>
        <w:r>
          <w:rPr>
            <w:bCs/>
          </w:rPr>
          <w:t>la S.I</w:t>
        </w:r>
      </w:smartTag>
      <w:r>
        <w:rPr>
          <w:bCs/>
        </w:rPr>
        <w:t xml:space="preserve">.D.E., los querellantes y </w:t>
      </w:r>
      <w:smartTag w:uri="urn:schemas-microsoft-com:office:smarttags" w:element="PersonName">
        <w:smartTagPr>
          <w:attr w:name="ProductID" w:val="la Alzada"/>
        </w:smartTagPr>
        <w:r>
          <w:rPr>
            <w:bCs/>
          </w:rPr>
          <w:t>la Alzada</w:t>
        </w:r>
      </w:smartTag>
      <w:r>
        <w:rPr>
          <w:bCs/>
        </w:rPr>
        <w:t>, debi</w:t>
      </w:r>
      <w:r>
        <w:rPr>
          <w:bCs/>
        </w:rPr>
        <w:t>e</w:t>
      </w:r>
      <w:r>
        <w:rPr>
          <w:bCs/>
        </w:rPr>
        <w:t>ron haber analizado los dichos de Telleldín y sus adeptos, incluyendo allí las supuestas maniobras extorsivas, cot</w:t>
      </w:r>
      <w:r>
        <w:rPr>
          <w:bCs/>
        </w:rPr>
        <w:t>e</w:t>
      </w:r>
      <w:r>
        <w:rPr>
          <w:bCs/>
        </w:rPr>
        <w:t>jando los elementos probatorios existentes en la causa m</w:t>
      </w:r>
      <w:r>
        <w:rPr>
          <w:bCs/>
        </w:rPr>
        <w:t>u</w:t>
      </w:r>
      <w:r>
        <w:rPr>
          <w:bCs/>
        </w:rPr>
        <w:t>cho antes de poner en cabeza de los policías tal brutal imp</w:t>
      </w:r>
      <w:r>
        <w:rPr>
          <w:bCs/>
        </w:rPr>
        <w:t>u</w:t>
      </w:r>
      <w:r>
        <w:rPr>
          <w:bCs/>
        </w:rPr>
        <w:t>tación.</w:t>
      </w:r>
    </w:p>
    <w:p w:rsidR="00224567" w:rsidRDefault="00224567">
      <w:pPr>
        <w:widowControl w:val="0"/>
        <w:tabs>
          <w:tab w:val="left" w:pos="2835"/>
        </w:tabs>
        <w:ind w:firstLine="708"/>
        <w:rPr>
          <w:bCs/>
        </w:rPr>
      </w:pPr>
      <w:r>
        <w:rPr>
          <w:bCs/>
        </w:rPr>
        <w:tab/>
        <w:t>Remarcó que de haberlo hecho, hubi</w:t>
      </w:r>
      <w:r>
        <w:rPr>
          <w:bCs/>
        </w:rPr>
        <w:t>e</w:t>
      </w:r>
      <w:r>
        <w:rPr>
          <w:bCs/>
        </w:rPr>
        <w:t xml:space="preserve">ran </w:t>
      </w:r>
      <w:r>
        <w:rPr>
          <w:bCs/>
        </w:rPr>
        <w:lastRenderedPageBreak/>
        <w:t xml:space="preserve">advertido que no sólo no podía creerse la historia que le habían comprado a Telleldín y los suyos, sino que además el cuento, tanto en relación a </w:t>
      </w:r>
      <w:smartTag w:uri="urn:schemas-microsoft-com:office:smarttags" w:element="PersonName">
        <w:smartTagPr>
          <w:attr w:name="ProductID" w:val="la Trafic"/>
        </w:smartTagPr>
        <w:r>
          <w:rPr>
            <w:bCs/>
          </w:rPr>
          <w:t>la Trafic</w:t>
        </w:r>
      </w:smartTag>
      <w:r>
        <w:rPr>
          <w:bCs/>
        </w:rPr>
        <w:t xml:space="preserve"> como a las pr</w:t>
      </w:r>
      <w:r>
        <w:rPr>
          <w:bCs/>
        </w:rPr>
        <w:t>e</w:t>
      </w:r>
      <w:r>
        <w:rPr>
          <w:bCs/>
        </w:rPr>
        <w:t>suntas extorsiones, no c</w:t>
      </w:r>
      <w:r>
        <w:rPr>
          <w:bCs/>
        </w:rPr>
        <w:t>e</w:t>
      </w:r>
      <w:r>
        <w:rPr>
          <w:bCs/>
        </w:rPr>
        <w:t>rraba.</w:t>
      </w:r>
    </w:p>
    <w:p w:rsidR="00224567" w:rsidRDefault="00224567">
      <w:pPr>
        <w:widowControl w:val="0"/>
        <w:tabs>
          <w:tab w:val="left" w:pos="2835"/>
        </w:tabs>
        <w:ind w:firstLine="708"/>
        <w:rPr>
          <w:bCs/>
        </w:rPr>
      </w:pPr>
      <w:r>
        <w:rPr>
          <w:bCs/>
        </w:rPr>
        <w:tab/>
        <w:t>Una vez descartada la entrega de bi</w:t>
      </w:r>
      <w:r>
        <w:rPr>
          <w:bCs/>
        </w:rPr>
        <w:t>e</w:t>
      </w:r>
      <w:r>
        <w:rPr>
          <w:bCs/>
        </w:rPr>
        <w:t>nes o dinero a crit</w:t>
      </w:r>
      <w:r>
        <w:rPr>
          <w:bCs/>
        </w:rPr>
        <w:t>e</w:t>
      </w:r>
      <w:r>
        <w:rPr>
          <w:bCs/>
        </w:rPr>
        <w:t>rio de la defensa, afirmó también que ninguna exigencia formularon a Telleldín los policías de Lanús, lo que se desprendía de los dichos del Dr.</w:t>
      </w:r>
      <w:r>
        <w:t xml:space="preserve"> Alberto </w:t>
      </w:r>
      <w:r>
        <w:rPr>
          <w:bCs/>
        </w:rPr>
        <w:t>Spagnu</w:t>
      </w:r>
      <w:r>
        <w:rPr>
          <w:bCs/>
        </w:rPr>
        <w:t>o</w:t>
      </w:r>
      <w:r>
        <w:rPr>
          <w:bCs/>
        </w:rPr>
        <w:t>lo.</w:t>
      </w:r>
    </w:p>
    <w:p w:rsidR="00224567" w:rsidRDefault="00224567">
      <w:pPr>
        <w:widowControl w:val="0"/>
        <w:tabs>
          <w:tab w:val="left" w:pos="2835"/>
        </w:tabs>
        <w:ind w:firstLine="708"/>
        <w:rPr>
          <w:bCs/>
        </w:rPr>
      </w:pPr>
      <w:r>
        <w:rPr>
          <w:bCs/>
        </w:rPr>
        <w:tab/>
        <w:t>Así recordó que el testigo, al pronu</w:t>
      </w:r>
      <w:r>
        <w:rPr>
          <w:bCs/>
        </w:rPr>
        <w:t>n</w:t>
      </w:r>
      <w:r>
        <w:rPr>
          <w:bCs/>
        </w:rPr>
        <w:t>ciarse en relación a una exigencia ilegal de parte de la brigada, negó enfáticamente que ella se hubiera producido, destacando además que aseveró que fue som</w:t>
      </w:r>
      <w:r>
        <w:rPr>
          <w:bCs/>
        </w:rPr>
        <w:t>e</w:t>
      </w:r>
      <w:r>
        <w:rPr>
          <w:bCs/>
        </w:rPr>
        <w:t>tido por el juez de instrucción y sus colaboradores a un incómodo e insi</w:t>
      </w:r>
      <w:r>
        <w:rPr>
          <w:bCs/>
        </w:rPr>
        <w:t>s</w:t>
      </w:r>
      <w:r>
        <w:rPr>
          <w:bCs/>
        </w:rPr>
        <w:t>tente interrogatorio, a juicio de la defensa oficial, e</w:t>
      </w:r>
      <w:r>
        <w:rPr>
          <w:bCs/>
        </w:rPr>
        <w:t>n</w:t>
      </w:r>
      <w:r>
        <w:rPr>
          <w:bCs/>
        </w:rPr>
        <w:t>derezado a que dijera que Ribelli en abril de 1994 le h</w:t>
      </w:r>
      <w:r>
        <w:rPr>
          <w:bCs/>
        </w:rPr>
        <w:t>a</w:t>
      </w:r>
      <w:r>
        <w:rPr>
          <w:bCs/>
        </w:rPr>
        <w:t>bía p</w:t>
      </w:r>
      <w:r>
        <w:rPr>
          <w:bCs/>
        </w:rPr>
        <w:t>e</w:t>
      </w:r>
      <w:r>
        <w:rPr>
          <w:bCs/>
        </w:rPr>
        <w:t>dido plata en la brigada.</w:t>
      </w:r>
    </w:p>
    <w:p w:rsidR="00224567" w:rsidRDefault="00224567">
      <w:pPr>
        <w:widowControl w:val="0"/>
        <w:tabs>
          <w:tab w:val="left" w:pos="2835"/>
        </w:tabs>
        <w:ind w:firstLine="708"/>
        <w:rPr>
          <w:bCs/>
        </w:rPr>
      </w:pPr>
      <w:r>
        <w:rPr>
          <w:bCs/>
        </w:rPr>
        <w:tab/>
        <w:t>Resaltó que Spagnuolo contó como, r</w:t>
      </w:r>
      <w:r>
        <w:rPr>
          <w:bCs/>
        </w:rPr>
        <w:t>e</w:t>
      </w:r>
      <w:r>
        <w:rPr>
          <w:bCs/>
        </w:rPr>
        <w:t>sistiendo las arremetidas de sus interrogadores, contest</w:t>
      </w:r>
      <w:r>
        <w:rPr>
          <w:bCs/>
        </w:rPr>
        <w:t>a</w:t>
      </w:r>
      <w:r>
        <w:rPr>
          <w:bCs/>
        </w:rPr>
        <w:t>ba una y otra vez “a mi, Ribelli, no me pidió pl</w:t>
      </w:r>
      <w:r>
        <w:rPr>
          <w:bCs/>
        </w:rPr>
        <w:t>a</w:t>
      </w:r>
      <w:r>
        <w:rPr>
          <w:bCs/>
        </w:rPr>
        <w:t xml:space="preserve">ta, a mi Ribelli no me pidió plata, a mi Ribelli no me habló de </w:t>
      </w:r>
      <w:r>
        <w:rPr>
          <w:bCs/>
        </w:rPr>
        <w:lastRenderedPageBreak/>
        <w:t>plata, a mi Ribelli no me pidió nada, a mi Ribelli me i</w:t>
      </w:r>
      <w:r>
        <w:rPr>
          <w:bCs/>
        </w:rPr>
        <w:t>n</w:t>
      </w:r>
      <w:r>
        <w:rPr>
          <w:bCs/>
        </w:rPr>
        <w:t>formó tal cosa, tal otra tal otra nada mas, a mi el que me informa de la situación de la plata, el requerimiento de plata es T</w:t>
      </w:r>
      <w:r>
        <w:rPr>
          <w:bCs/>
        </w:rPr>
        <w:t>e</w:t>
      </w:r>
      <w:r>
        <w:rPr>
          <w:bCs/>
        </w:rPr>
        <w:t>lleldín” (sic).</w:t>
      </w:r>
    </w:p>
    <w:p w:rsidR="00224567" w:rsidRDefault="00224567">
      <w:pPr>
        <w:widowControl w:val="0"/>
        <w:tabs>
          <w:tab w:val="left" w:pos="2835"/>
        </w:tabs>
        <w:ind w:firstLine="708"/>
        <w:rPr>
          <w:bCs/>
        </w:rPr>
      </w:pPr>
      <w:r>
        <w:rPr>
          <w:bCs/>
        </w:rPr>
        <w:tab/>
        <w:t>Insistió el Dr. Giardelli que el te</w:t>
      </w:r>
      <w:r>
        <w:rPr>
          <w:bCs/>
        </w:rPr>
        <w:t>s</w:t>
      </w:r>
      <w:r>
        <w:rPr>
          <w:bCs/>
        </w:rPr>
        <w:t>tigo también narró como lo apremiaron el juez y los secr</w:t>
      </w:r>
      <w:r>
        <w:rPr>
          <w:bCs/>
        </w:rPr>
        <w:t>e</w:t>
      </w:r>
      <w:r>
        <w:rPr>
          <w:bCs/>
        </w:rPr>
        <w:t>tarios, expresando textualmente que le dijeron “¿a usted Ribelli le pidió plata, no?”, a lo que contestó “a mi R</w:t>
      </w:r>
      <w:r>
        <w:rPr>
          <w:bCs/>
        </w:rPr>
        <w:t>i</w:t>
      </w:r>
      <w:r>
        <w:rPr>
          <w:bCs/>
        </w:rPr>
        <w:t>belli no me pidió plata”, y que luego de explicar Spagnu</w:t>
      </w:r>
      <w:r>
        <w:rPr>
          <w:bCs/>
        </w:rPr>
        <w:t>o</w:t>
      </w:r>
      <w:r>
        <w:rPr>
          <w:bCs/>
        </w:rPr>
        <w:t>lo la anómala convocatoria que el juez G</w:t>
      </w:r>
      <w:r>
        <w:rPr>
          <w:bCs/>
        </w:rPr>
        <w:t>a</w:t>
      </w:r>
      <w:r>
        <w:rPr>
          <w:bCs/>
        </w:rPr>
        <w:t>leano en persona le cursó por teléf</w:t>
      </w:r>
      <w:r>
        <w:rPr>
          <w:bCs/>
        </w:rPr>
        <w:t>o</w:t>
      </w:r>
      <w:r>
        <w:rPr>
          <w:bCs/>
        </w:rPr>
        <w:t>no, manifestó que una vez dentro de la secretaría se deslizaron durante el interrogatorio afirm</w:t>
      </w:r>
      <w:r>
        <w:rPr>
          <w:bCs/>
        </w:rPr>
        <w:t>a</w:t>
      </w:r>
      <w:r>
        <w:rPr>
          <w:bCs/>
        </w:rPr>
        <w:t>ciones inquietantes que denot</w:t>
      </w:r>
      <w:r>
        <w:rPr>
          <w:bCs/>
        </w:rPr>
        <w:t>a</w:t>
      </w:r>
      <w:r>
        <w:rPr>
          <w:bCs/>
        </w:rPr>
        <w:t xml:space="preserve">ban la realización de tareas de inteligencia sobre su persona, tales como que su tío revistaba en </w:t>
      </w:r>
      <w:smartTag w:uri="urn:schemas-microsoft-com:office:smarttags" w:element="PersonName">
        <w:smartTagPr>
          <w:attr w:name="ProductID" w:val="la Polic￭a Bonaerense"/>
        </w:smartTagPr>
        <w:r>
          <w:rPr>
            <w:bCs/>
          </w:rPr>
          <w:t>la Policía B</w:t>
        </w:r>
        <w:r>
          <w:rPr>
            <w:bCs/>
          </w:rPr>
          <w:t>o</w:t>
        </w:r>
        <w:r>
          <w:rPr>
            <w:bCs/>
          </w:rPr>
          <w:t>naerense</w:t>
        </w:r>
      </w:smartTag>
      <w:r>
        <w:rPr>
          <w:bCs/>
        </w:rPr>
        <w:t xml:space="preserve"> o similar.</w:t>
      </w:r>
    </w:p>
    <w:p w:rsidR="00224567" w:rsidRDefault="00224567">
      <w:pPr>
        <w:widowControl w:val="0"/>
        <w:tabs>
          <w:tab w:val="left" w:pos="2835"/>
        </w:tabs>
        <w:ind w:firstLine="708"/>
        <w:rPr>
          <w:bCs/>
        </w:rPr>
      </w:pPr>
      <w:r>
        <w:rPr>
          <w:bCs/>
        </w:rPr>
        <w:tab/>
        <w:t>Valoró el defensor de Ibarra que, p</w:t>
      </w:r>
      <w:r>
        <w:rPr>
          <w:bCs/>
        </w:rPr>
        <w:t>e</w:t>
      </w:r>
      <w:r>
        <w:rPr>
          <w:bCs/>
        </w:rPr>
        <w:t>se a haberse prolo</w:t>
      </w:r>
      <w:r>
        <w:rPr>
          <w:bCs/>
        </w:rPr>
        <w:t>n</w:t>
      </w:r>
      <w:r>
        <w:rPr>
          <w:bCs/>
        </w:rPr>
        <w:t>gado el acto durante cinco horas, el acta que contenía la declaración del te</w:t>
      </w:r>
      <w:r>
        <w:rPr>
          <w:bCs/>
        </w:rPr>
        <w:t>s</w:t>
      </w:r>
      <w:r>
        <w:rPr>
          <w:bCs/>
        </w:rPr>
        <w:t>tigo constaba apenas de seis carillas, considerando esta circunstancia como una anomalía más de la instrucción, más aún a la luz de lo r</w:t>
      </w:r>
      <w:r>
        <w:rPr>
          <w:bCs/>
        </w:rPr>
        <w:t>e</w:t>
      </w:r>
      <w:r>
        <w:rPr>
          <w:bCs/>
        </w:rPr>
        <w:lastRenderedPageBreak/>
        <w:t>latado por Spagnuolo sobre cómo, de manera casi compuls</w:t>
      </w:r>
      <w:r>
        <w:rPr>
          <w:bCs/>
        </w:rPr>
        <w:t>i</w:t>
      </w:r>
      <w:r>
        <w:rPr>
          <w:bCs/>
        </w:rPr>
        <w:t>va, se le inquirió sobre la s</w:t>
      </w:r>
      <w:r>
        <w:rPr>
          <w:bCs/>
        </w:rPr>
        <w:t>u</w:t>
      </w:r>
      <w:r>
        <w:rPr>
          <w:bCs/>
        </w:rPr>
        <w:t>puesta exigencia de dinero y sus reiteradas respuestas negativas, las que no fueron i</w:t>
      </w:r>
      <w:r>
        <w:rPr>
          <w:bCs/>
        </w:rPr>
        <w:t>n</w:t>
      </w:r>
      <w:r>
        <w:rPr>
          <w:bCs/>
        </w:rPr>
        <w:t>cluidas por constituir prueba de descargo para los pol</w:t>
      </w:r>
      <w:r>
        <w:rPr>
          <w:bCs/>
        </w:rPr>
        <w:t>i</w:t>
      </w:r>
      <w:r>
        <w:rPr>
          <w:bCs/>
        </w:rPr>
        <w:t>cías y comprometían a Telleldín a quien debió eventualme</w:t>
      </w:r>
      <w:r>
        <w:rPr>
          <w:bCs/>
        </w:rPr>
        <w:t>n</w:t>
      </w:r>
      <w:r>
        <w:rPr>
          <w:bCs/>
        </w:rPr>
        <w:t>te adjudicársele la autoría del delito de cohecho a</w:t>
      </w:r>
      <w:r>
        <w:rPr>
          <w:bCs/>
        </w:rPr>
        <w:t>c</w:t>
      </w:r>
      <w:r>
        <w:rPr>
          <w:bCs/>
        </w:rPr>
        <w:t>tivo.</w:t>
      </w:r>
    </w:p>
    <w:p w:rsidR="00224567" w:rsidRDefault="00224567">
      <w:pPr>
        <w:widowControl w:val="0"/>
        <w:tabs>
          <w:tab w:val="left" w:pos="2835"/>
        </w:tabs>
        <w:ind w:firstLine="708"/>
        <w:rPr>
          <w:bCs/>
        </w:rPr>
      </w:pPr>
      <w:r>
        <w:rPr>
          <w:bCs/>
        </w:rPr>
        <w:tab/>
        <w:t>Dedujo el letrado que si tal irreg</w:t>
      </w:r>
      <w:r>
        <w:rPr>
          <w:bCs/>
        </w:rPr>
        <w:t>u</w:t>
      </w:r>
      <w:r>
        <w:rPr>
          <w:bCs/>
        </w:rPr>
        <w:t>lar técnica se utilizó con el abogado Spagnuolo, cuesta imag</w:t>
      </w:r>
      <w:r>
        <w:rPr>
          <w:bCs/>
        </w:rPr>
        <w:t>i</w:t>
      </w:r>
      <w:r>
        <w:rPr>
          <w:bCs/>
        </w:rPr>
        <w:t>nar cuáles fueron las circunstancias que rodearon en la instrucción las declaraciones de Petrucci, Setaro o Edua</w:t>
      </w:r>
      <w:r>
        <w:rPr>
          <w:bCs/>
        </w:rPr>
        <w:t>r</w:t>
      </w:r>
      <w:r>
        <w:rPr>
          <w:bCs/>
        </w:rPr>
        <w:t>do Telleldín, sin perjuicio de sostener que a</w:t>
      </w:r>
      <w:r>
        <w:rPr>
          <w:bCs/>
        </w:rPr>
        <w:t>l</w:t>
      </w:r>
      <w:r>
        <w:rPr>
          <w:bCs/>
        </w:rPr>
        <w:t>gunas pistas surgieron luego de escuchar las conversaciones grabadas entre Telleldín y el auxiliar del Juzgado Federal nº 9, capitán Héctor Vergéz, y de las testimoniales en las a</w:t>
      </w:r>
      <w:r>
        <w:rPr>
          <w:bCs/>
        </w:rPr>
        <w:t>u</w:t>
      </w:r>
      <w:r>
        <w:rPr>
          <w:bCs/>
        </w:rPr>
        <w:t>diencias de Miriam Raquel Salinas o el prosecretario Lifschitz y hasta el mismo defensor de confianza de T</w:t>
      </w:r>
      <w:r>
        <w:rPr>
          <w:bCs/>
        </w:rPr>
        <w:t>e</w:t>
      </w:r>
      <w:r>
        <w:rPr>
          <w:bCs/>
        </w:rPr>
        <w:t>lleldín, quien presionado o no, sin lugar a dudas tuvo un gran protagonismo en todas las maniobras que precedieron el armado de las causas brig</w:t>
      </w:r>
      <w:r>
        <w:rPr>
          <w:bCs/>
        </w:rPr>
        <w:t>a</w:t>
      </w:r>
      <w:r>
        <w:rPr>
          <w:bCs/>
        </w:rPr>
        <w:t>das.</w:t>
      </w:r>
    </w:p>
    <w:p w:rsidR="00224567" w:rsidRDefault="00224567">
      <w:pPr>
        <w:widowControl w:val="0"/>
        <w:tabs>
          <w:tab w:val="left" w:pos="2835"/>
        </w:tabs>
        <w:ind w:firstLine="708"/>
        <w:rPr>
          <w:bCs/>
        </w:rPr>
      </w:pPr>
      <w:r>
        <w:rPr>
          <w:bCs/>
        </w:rPr>
        <w:tab/>
        <w:t>Al respecto, la defensa oficial rema</w:t>
      </w:r>
      <w:r>
        <w:rPr>
          <w:bCs/>
        </w:rPr>
        <w:t>r</w:t>
      </w:r>
      <w:r>
        <w:rPr>
          <w:bCs/>
        </w:rPr>
        <w:t>có que el Dr. Sti</w:t>
      </w:r>
      <w:r>
        <w:rPr>
          <w:bCs/>
        </w:rPr>
        <w:t>n</w:t>
      </w:r>
      <w:r>
        <w:rPr>
          <w:bCs/>
        </w:rPr>
        <w:t xml:space="preserve">fale en su encendido alegato, afirmó de </w:t>
      </w:r>
      <w:r>
        <w:rPr>
          <w:bCs/>
        </w:rPr>
        <w:lastRenderedPageBreak/>
        <w:t>su propio cliente actuó como amigo del juez durante la instrucción de la causa brigadas, reiterando, la inqui</w:t>
      </w:r>
      <w:r>
        <w:rPr>
          <w:bCs/>
        </w:rPr>
        <w:t>e</w:t>
      </w:r>
      <w:r>
        <w:rPr>
          <w:bCs/>
        </w:rPr>
        <w:t>tante afirmación de que los testigos del grupo de Telle</w:t>
      </w:r>
      <w:r>
        <w:rPr>
          <w:bCs/>
        </w:rPr>
        <w:t>l</w:t>
      </w:r>
      <w:r>
        <w:rPr>
          <w:bCs/>
        </w:rPr>
        <w:t>dín debieron “alinearse” a la versión oficial para no te</w:t>
      </w:r>
      <w:r>
        <w:rPr>
          <w:bCs/>
        </w:rPr>
        <w:t>r</w:t>
      </w:r>
      <w:r>
        <w:rPr>
          <w:bCs/>
        </w:rPr>
        <w:t>minar imput</w:t>
      </w:r>
      <w:r>
        <w:rPr>
          <w:bCs/>
        </w:rPr>
        <w:t>a</w:t>
      </w:r>
      <w:r>
        <w:rPr>
          <w:bCs/>
        </w:rPr>
        <w:t>dos ellos mismos.</w:t>
      </w:r>
    </w:p>
    <w:p w:rsidR="00224567" w:rsidRDefault="00224567">
      <w:pPr>
        <w:widowControl w:val="0"/>
        <w:tabs>
          <w:tab w:val="left" w:pos="2835"/>
        </w:tabs>
        <w:ind w:firstLine="708"/>
        <w:rPr>
          <w:bCs/>
        </w:rPr>
      </w:pPr>
      <w:r>
        <w:rPr>
          <w:bCs/>
        </w:rPr>
        <w:tab/>
        <w:t>Subrayó que también el defensor de T</w:t>
      </w:r>
      <w:r>
        <w:rPr>
          <w:bCs/>
        </w:rPr>
        <w:t>e</w:t>
      </w:r>
      <w:r>
        <w:rPr>
          <w:bCs/>
        </w:rPr>
        <w:t>lleldín afirmó que no podía ir contra el “tren” i</w:t>
      </w:r>
      <w:r>
        <w:rPr>
          <w:bCs/>
        </w:rPr>
        <w:t>m</w:t>
      </w:r>
      <w:r>
        <w:rPr>
          <w:bCs/>
        </w:rPr>
        <w:t>pulsado por el poder judicial, el poder comunitario y el poder p</w:t>
      </w:r>
      <w:r>
        <w:rPr>
          <w:bCs/>
        </w:rPr>
        <w:t>o</w:t>
      </w:r>
      <w:r>
        <w:rPr>
          <w:bCs/>
        </w:rPr>
        <w:t>lítico, y que por eso tuvieron que mentir para alinea</w:t>
      </w:r>
      <w:r>
        <w:rPr>
          <w:bCs/>
        </w:rPr>
        <w:t>r</w:t>
      </w:r>
      <w:r>
        <w:rPr>
          <w:bCs/>
        </w:rPr>
        <w:t>se a la historia oficial, detallando además que en la instru</w:t>
      </w:r>
      <w:r>
        <w:rPr>
          <w:bCs/>
        </w:rPr>
        <w:t>c</w:t>
      </w:r>
      <w:r>
        <w:rPr>
          <w:bCs/>
        </w:rPr>
        <w:t>ción tuvo que “sacar” a sus clientes y allegados y l</w:t>
      </w:r>
      <w:r>
        <w:rPr>
          <w:bCs/>
        </w:rPr>
        <w:t>o</w:t>
      </w:r>
      <w:r>
        <w:rPr>
          <w:bCs/>
        </w:rPr>
        <w:t>grar que estos trasladen falsamente las culpas a otro e</w:t>
      </w:r>
      <w:r>
        <w:rPr>
          <w:bCs/>
        </w:rPr>
        <w:t>s</w:t>
      </w:r>
      <w:r>
        <w:rPr>
          <w:bCs/>
        </w:rPr>
        <w:t>labón, en indud</w:t>
      </w:r>
      <w:r>
        <w:rPr>
          <w:bCs/>
        </w:rPr>
        <w:t>a</w:t>
      </w:r>
      <w:r>
        <w:rPr>
          <w:bCs/>
        </w:rPr>
        <w:t>ble alusión al grupo de los policías.</w:t>
      </w:r>
    </w:p>
    <w:p w:rsidR="00224567" w:rsidRDefault="00224567">
      <w:pPr>
        <w:widowControl w:val="0"/>
        <w:tabs>
          <w:tab w:val="left" w:pos="2835"/>
        </w:tabs>
        <w:ind w:firstLine="708"/>
        <w:rPr>
          <w:bCs/>
          <w:color w:val="000000"/>
        </w:rPr>
      </w:pPr>
      <w:r>
        <w:rPr>
          <w:bCs/>
          <w:color w:val="000000"/>
        </w:rPr>
        <w:tab/>
        <w:t>Remarcó el Dr. Giardelli que el deb</w:t>
      </w:r>
      <w:r>
        <w:rPr>
          <w:bCs/>
          <w:color w:val="000000"/>
        </w:rPr>
        <w:t>a</w:t>
      </w:r>
      <w:r>
        <w:rPr>
          <w:bCs/>
          <w:color w:val="000000"/>
        </w:rPr>
        <w:t>te puso en evidencia la escandalosa actividad que de</w:t>
      </w:r>
      <w:r>
        <w:rPr>
          <w:bCs/>
          <w:color w:val="000000"/>
        </w:rPr>
        <w:t>s</w:t>
      </w:r>
      <w:r>
        <w:rPr>
          <w:bCs/>
          <w:color w:val="000000"/>
        </w:rPr>
        <w:t>plegaron el juez y los fiscales para encubrir el enorme hecho de que la motocicleta Kawasaki había aparecido en manos del testigo protegido nº 2, Gustavo Semorile, y así poder co</w:t>
      </w:r>
      <w:r>
        <w:rPr>
          <w:bCs/>
          <w:color w:val="000000"/>
        </w:rPr>
        <w:t>n</w:t>
      </w:r>
      <w:r>
        <w:rPr>
          <w:bCs/>
          <w:color w:val="000000"/>
        </w:rPr>
        <w:t xml:space="preserve">tinuar engañando a todos, predicando que en realidad la moto había sido obtenida ilegítimamente por los policías </w:t>
      </w:r>
      <w:r>
        <w:rPr>
          <w:bCs/>
          <w:color w:val="000000"/>
        </w:rPr>
        <w:lastRenderedPageBreak/>
        <w:t>de Lanús.</w:t>
      </w:r>
    </w:p>
    <w:p w:rsidR="00224567" w:rsidRDefault="00224567">
      <w:pPr>
        <w:widowControl w:val="0"/>
        <w:tabs>
          <w:tab w:val="left" w:pos="2835"/>
        </w:tabs>
        <w:ind w:firstLine="708"/>
        <w:rPr>
          <w:bCs/>
          <w:color w:val="000000"/>
        </w:rPr>
      </w:pPr>
      <w:r>
        <w:rPr>
          <w:bCs/>
          <w:color w:val="000000"/>
        </w:rPr>
        <w:tab/>
        <w:t>Recordó también que los fiscales, r</w:t>
      </w:r>
      <w:r>
        <w:rPr>
          <w:bCs/>
          <w:color w:val="000000"/>
        </w:rPr>
        <w:t>e</w:t>
      </w:r>
      <w:r>
        <w:rPr>
          <w:bCs/>
          <w:color w:val="000000"/>
        </w:rPr>
        <w:t>cién luego del debate y de producida toda la prueba, so</w:t>
      </w:r>
      <w:r>
        <w:rPr>
          <w:bCs/>
          <w:color w:val="000000"/>
        </w:rPr>
        <w:t>s</w:t>
      </w:r>
      <w:r>
        <w:rPr>
          <w:bCs/>
          <w:color w:val="000000"/>
        </w:rPr>
        <w:t xml:space="preserve">tuvieron que Gustavo Semorile tomó parte en el supuesto negocio con </w:t>
      </w:r>
      <w:smartTag w:uri="urn:schemas-microsoft-com:office:smarttags" w:element="PersonName">
        <w:smartTagPr>
          <w:attr w:name="ProductID" w:val="la Brigada"/>
        </w:smartTagPr>
        <w:r>
          <w:rPr>
            <w:bCs/>
            <w:color w:val="000000"/>
          </w:rPr>
          <w:t>la Brigada</w:t>
        </w:r>
      </w:smartTag>
      <w:r>
        <w:rPr>
          <w:bCs/>
          <w:color w:val="000000"/>
        </w:rPr>
        <w:t xml:space="preserve"> de Lanús, a pa</w:t>
      </w:r>
      <w:r>
        <w:rPr>
          <w:bCs/>
          <w:color w:val="000000"/>
        </w:rPr>
        <w:t>r</w:t>
      </w:r>
      <w:r>
        <w:rPr>
          <w:bCs/>
          <w:color w:val="000000"/>
        </w:rPr>
        <w:t>tir del cual Carlos Telleldín obtuviera su libertad, refiriéndose a varios cruces de llamados registrados entre un celular que s</w:t>
      </w:r>
      <w:r>
        <w:rPr>
          <w:bCs/>
          <w:color w:val="000000"/>
        </w:rPr>
        <w:t>u</w:t>
      </w:r>
      <w:r>
        <w:rPr>
          <w:bCs/>
          <w:color w:val="000000"/>
        </w:rPr>
        <w:t>puestamente era de Semorile y el teléfono del imputado Juan Ribelli, pretendiendo que fueron ocultados por el juzgado para enc</w:t>
      </w:r>
      <w:r>
        <w:rPr>
          <w:bCs/>
          <w:color w:val="000000"/>
        </w:rPr>
        <w:t>u</w:t>
      </w:r>
      <w:r>
        <w:rPr>
          <w:bCs/>
          <w:color w:val="000000"/>
        </w:rPr>
        <w:t>brir al testigo.</w:t>
      </w:r>
    </w:p>
    <w:p w:rsidR="00224567" w:rsidRDefault="00224567">
      <w:pPr>
        <w:widowControl w:val="0"/>
        <w:tabs>
          <w:tab w:val="left" w:pos="2835"/>
        </w:tabs>
        <w:ind w:firstLine="708"/>
        <w:rPr>
          <w:bCs/>
          <w:color w:val="000000"/>
        </w:rPr>
      </w:pPr>
      <w:r>
        <w:rPr>
          <w:bCs/>
          <w:color w:val="000000"/>
        </w:rPr>
        <w:tab/>
        <w:t>Concluyó la defensa oficial que ésta no fue la única irregularidad que se advirtió en la causa enderezada a lograr la impunidad de este personaje, sino que también, de acuerdo a lo que surge del acta del 5 de julio de 1996, Carlos Telleldín le dijo al juez Galeano que el 22 de marzo de 1994, su hermano Eduardo y su cuñada Liliana Fernández habían sido detenidos por una comisión policial en Villa Martelli en la provincia de Buenos A</w:t>
      </w:r>
      <w:r>
        <w:rPr>
          <w:bCs/>
          <w:color w:val="000000"/>
        </w:rPr>
        <w:t>i</w:t>
      </w:r>
      <w:r>
        <w:rPr>
          <w:bCs/>
          <w:color w:val="000000"/>
        </w:rPr>
        <w:t>res, mediante un procedimiento más o menos asimilable a los que aquí se investigan, y que ello habría ocurrido porque los policías lo confu</w:t>
      </w:r>
      <w:r>
        <w:rPr>
          <w:bCs/>
          <w:color w:val="000000"/>
        </w:rPr>
        <w:t>n</w:t>
      </w:r>
      <w:r>
        <w:rPr>
          <w:bCs/>
          <w:color w:val="000000"/>
        </w:rPr>
        <w:t>dieron con Carlos.</w:t>
      </w:r>
    </w:p>
    <w:p w:rsidR="00224567" w:rsidRDefault="00224567">
      <w:pPr>
        <w:widowControl w:val="0"/>
        <w:tabs>
          <w:tab w:val="left" w:pos="2835"/>
        </w:tabs>
        <w:ind w:firstLine="708"/>
        <w:rPr>
          <w:bCs/>
          <w:color w:val="000000"/>
        </w:rPr>
      </w:pPr>
      <w:r>
        <w:rPr>
          <w:bCs/>
          <w:color w:val="000000"/>
        </w:rPr>
        <w:lastRenderedPageBreak/>
        <w:tab/>
        <w:t>Destacó también que Telleldín agregó que Semorile había intervenido activamente en la negoci</w:t>
      </w:r>
      <w:r>
        <w:rPr>
          <w:bCs/>
          <w:color w:val="000000"/>
        </w:rPr>
        <w:t>a</w:t>
      </w:r>
      <w:r>
        <w:rPr>
          <w:bCs/>
          <w:color w:val="000000"/>
        </w:rPr>
        <w:t>ción que culminó con la entrega de ch</w:t>
      </w:r>
      <w:r>
        <w:rPr>
          <w:bCs/>
          <w:color w:val="000000"/>
        </w:rPr>
        <w:t>e</w:t>
      </w:r>
      <w:r>
        <w:rPr>
          <w:bCs/>
          <w:color w:val="000000"/>
        </w:rPr>
        <w:t>ques y una cantidad importante de dinero por parte del hermano de Carlos.</w:t>
      </w:r>
    </w:p>
    <w:p w:rsidR="00224567" w:rsidRDefault="00224567">
      <w:pPr>
        <w:widowControl w:val="0"/>
        <w:tabs>
          <w:tab w:val="left" w:pos="2835"/>
        </w:tabs>
        <w:ind w:firstLine="708"/>
        <w:rPr>
          <w:bCs/>
          <w:color w:val="000000"/>
        </w:rPr>
      </w:pPr>
      <w:r>
        <w:rPr>
          <w:bCs/>
          <w:color w:val="000000"/>
        </w:rPr>
        <w:tab/>
        <w:t>Sintetizó la defensa oficial que, de</w:t>
      </w:r>
      <w:r>
        <w:rPr>
          <w:bCs/>
          <w:color w:val="000000"/>
        </w:rPr>
        <w:t>s</w:t>
      </w:r>
      <w:r>
        <w:rPr>
          <w:bCs/>
          <w:color w:val="000000"/>
        </w:rPr>
        <w:t>de la óptica de los funcionarios actuantes en la instru</w:t>
      </w:r>
      <w:r>
        <w:rPr>
          <w:bCs/>
          <w:color w:val="000000"/>
        </w:rPr>
        <w:t>c</w:t>
      </w:r>
      <w:r>
        <w:rPr>
          <w:bCs/>
          <w:color w:val="000000"/>
        </w:rPr>
        <w:t>ción, la denuncia no podía resultar intransce</w:t>
      </w:r>
      <w:r>
        <w:rPr>
          <w:bCs/>
          <w:color w:val="000000"/>
        </w:rPr>
        <w:t>n</w:t>
      </w:r>
      <w:r>
        <w:rPr>
          <w:bCs/>
          <w:color w:val="000000"/>
        </w:rPr>
        <w:t>dente ya que se trataba de otra dependencia policial que “apretaba” a Telleldín y lo hacía tan sólo a una semana después de ser perseguido por quienes, según la versión oficial, se apr</w:t>
      </w:r>
      <w:r>
        <w:rPr>
          <w:bCs/>
          <w:color w:val="000000"/>
        </w:rPr>
        <w:t>o</w:t>
      </w:r>
      <w:r>
        <w:rPr>
          <w:bCs/>
          <w:color w:val="000000"/>
        </w:rPr>
        <w:t xml:space="preserve">piaron de </w:t>
      </w:r>
      <w:smartTag w:uri="urn:schemas-microsoft-com:office:smarttags" w:element="PersonName">
        <w:smartTagPr>
          <w:attr w:name="ProductID" w:val="la Trafic"/>
        </w:smartTagPr>
        <w:r>
          <w:rPr>
            <w:bCs/>
            <w:color w:val="000000"/>
          </w:rPr>
          <w:t>la Trafic</w:t>
        </w:r>
      </w:smartTag>
      <w:r>
        <w:rPr>
          <w:bCs/>
          <w:color w:val="000000"/>
        </w:rPr>
        <w:t>, el 10 de j</w:t>
      </w:r>
      <w:r>
        <w:rPr>
          <w:bCs/>
          <w:color w:val="000000"/>
        </w:rPr>
        <w:t>u</w:t>
      </w:r>
      <w:r>
        <w:rPr>
          <w:bCs/>
          <w:color w:val="000000"/>
        </w:rPr>
        <w:t>lio de 1994; máxime cuando Carlos Telleldín, al referirse a lo sucedido ese día, me</w:t>
      </w:r>
      <w:r>
        <w:rPr>
          <w:bCs/>
          <w:color w:val="000000"/>
        </w:rPr>
        <w:t>n</w:t>
      </w:r>
      <w:r>
        <w:rPr>
          <w:bCs/>
          <w:color w:val="000000"/>
        </w:rPr>
        <w:t>cionó que había policías de otras brigadas, distintas a Lanús y Vicente López, merodeando los alrededores de su domicilio de Villa Ballester, antes, d</w:t>
      </w:r>
      <w:r>
        <w:rPr>
          <w:bCs/>
          <w:color w:val="000000"/>
        </w:rPr>
        <w:t>u</w:t>
      </w:r>
      <w:r>
        <w:rPr>
          <w:bCs/>
          <w:color w:val="000000"/>
        </w:rPr>
        <w:t>rante y después de esa fecha, por lo que se debió descartar o c</w:t>
      </w:r>
      <w:r>
        <w:rPr>
          <w:bCs/>
          <w:color w:val="000000"/>
        </w:rPr>
        <w:t>o</w:t>
      </w:r>
      <w:r>
        <w:rPr>
          <w:bCs/>
          <w:color w:val="000000"/>
        </w:rPr>
        <w:t>rroborar que Ramón Martínez o el anónimo oficial canoso que estuvo en la calle Repúbl</w:t>
      </w:r>
      <w:r>
        <w:rPr>
          <w:bCs/>
          <w:color w:val="000000"/>
        </w:rPr>
        <w:t>i</w:t>
      </w:r>
      <w:r>
        <w:rPr>
          <w:bCs/>
          <w:color w:val="000000"/>
        </w:rPr>
        <w:t>ca, prestara funciones en la comisaría de Villa Mart</w:t>
      </w:r>
      <w:r>
        <w:rPr>
          <w:bCs/>
          <w:color w:val="000000"/>
        </w:rPr>
        <w:t>e</w:t>
      </w:r>
      <w:r>
        <w:rPr>
          <w:bCs/>
          <w:color w:val="000000"/>
        </w:rPr>
        <w:t>lli.</w:t>
      </w:r>
    </w:p>
    <w:p w:rsidR="00224567" w:rsidRDefault="00224567">
      <w:pPr>
        <w:widowControl w:val="0"/>
        <w:tabs>
          <w:tab w:val="left" w:pos="2835"/>
        </w:tabs>
        <w:ind w:firstLine="708"/>
        <w:rPr>
          <w:bCs/>
          <w:color w:val="000000"/>
        </w:rPr>
      </w:pPr>
      <w:r>
        <w:rPr>
          <w:bCs/>
          <w:color w:val="000000"/>
        </w:rPr>
        <w:tab/>
        <w:t>Indicó el letrado que la instru</w:t>
      </w:r>
      <w:r>
        <w:rPr>
          <w:bCs/>
          <w:color w:val="000000"/>
        </w:rPr>
        <w:t>c</w:t>
      </w:r>
      <w:r>
        <w:rPr>
          <w:bCs/>
          <w:color w:val="000000"/>
        </w:rPr>
        <w:t xml:space="preserve">ción, </w:t>
      </w:r>
      <w:r>
        <w:rPr>
          <w:bCs/>
          <w:color w:val="000000"/>
        </w:rPr>
        <w:lastRenderedPageBreak/>
        <w:t>con todos estos datos relevantes suministrados por el imputado Telleldín, encomendó al comisario Vicat iniciar una investigación para desentrañar qué era lo que había ocurrido, reuniéndose documentación que daba cuenta de que, efectivamente, la detención de Eduardo Telleldín y Liliana Fernández en Villa Martelli se había materializado en la misma fecha indicada por Ca</w:t>
      </w:r>
      <w:r>
        <w:rPr>
          <w:bCs/>
          <w:color w:val="000000"/>
        </w:rPr>
        <w:t>r</w:t>
      </w:r>
      <w:r>
        <w:rPr>
          <w:bCs/>
          <w:color w:val="000000"/>
        </w:rPr>
        <w:t>los.</w:t>
      </w:r>
    </w:p>
    <w:p w:rsidR="00224567" w:rsidRDefault="00224567">
      <w:pPr>
        <w:widowControl w:val="0"/>
        <w:tabs>
          <w:tab w:val="left" w:pos="2835"/>
        </w:tabs>
        <w:ind w:firstLine="708"/>
        <w:rPr>
          <w:bCs/>
          <w:color w:val="000000"/>
        </w:rPr>
      </w:pPr>
      <w:r>
        <w:rPr>
          <w:bCs/>
          <w:color w:val="000000"/>
        </w:rPr>
        <w:tab/>
        <w:t>Consideró inexplicable que esa inve</w:t>
      </w:r>
      <w:r>
        <w:rPr>
          <w:bCs/>
          <w:color w:val="000000"/>
        </w:rPr>
        <w:t>s</w:t>
      </w:r>
      <w:r>
        <w:rPr>
          <w:bCs/>
          <w:color w:val="000000"/>
        </w:rPr>
        <w:t xml:space="preserve">tigación se paralizara una vez que </w:t>
      </w:r>
      <w:smartTag w:uri="urn:schemas-microsoft-com:office:smarttags" w:element="PersonName">
        <w:smartTagPr>
          <w:attr w:name="ProductID" w:val="la Comisar￭a"/>
        </w:smartTagPr>
        <w:r>
          <w:rPr>
            <w:bCs/>
            <w:color w:val="000000"/>
          </w:rPr>
          <w:t>la Comisaría</w:t>
        </w:r>
      </w:smartTag>
      <w:r>
        <w:rPr>
          <w:bCs/>
          <w:color w:val="000000"/>
        </w:rPr>
        <w:t xml:space="preserve"> de V</w:t>
      </w:r>
      <w:r>
        <w:rPr>
          <w:bCs/>
          <w:color w:val="000000"/>
        </w:rPr>
        <w:t>i</w:t>
      </w:r>
      <w:r>
        <w:rPr>
          <w:bCs/>
          <w:color w:val="000000"/>
        </w:rPr>
        <w:t>cente López 4ta. de Villa Martelli inform</w:t>
      </w:r>
      <w:r>
        <w:rPr>
          <w:bCs/>
          <w:color w:val="000000"/>
        </w:rPr>
        <w:t>a</w:t>
      </w:r>
      <w:r>
        <w:rPr>
          <w:bCs/>
          <w:color w:val="000000"/>
        </w:rPr>
        <w:t>ra que no fue posible localizar ninguna de las actuaciones labradas al re</w:t>
      </w:r>
      <w:r>
        <w:rPr>
          <w:bCs/>
          <w:color w:val="000000"/>
        </w:rPr>
        <w:t>s</w:t>
      </w:r>
      <w:r>
        <w:rPr>
          <w:bCs/>
          <w:color w:val="000000"/>
        </w:rPr>
        <w:t>pecto, y que el listado del personal que integraba esa depende</w:t>
      </w:r>
      <w:r>
        <w:rPr>
          <w:bCs/>
          <w:color w:val="000000"/>
        </w:rPr>
        <w:t>n</w:t>
      </w:r>
      <w:r>
        <w:rPr>
          <w:bCs/>
          <w:color w:val="000000"/>
        </w:rPr>
        <w:t>cia durante el año 1994 y sus fotografías se habían estr</w:t>
      </w:r>
      <w:r>
        <w:rPr>
          <w:bCs/>
          <w:color w:val="000000"/>
        </w:rPr>
        <w:t>o</w:t>
      </w:r>
      <w:r>
        <w:rPr>
          <w:bCs/>
          <w:color w:val="000000"/>
        </w:rPr>
        <w:t>peado como consecuencia de una inundación. Agregó que a partir de la lectura de las copias del libro de n</w:t>
      </w:r>
      <w:r>
        <w:rPr>
          <w:bCs/>
          <w:color w:val="000000"/>
        </w:rPr>
        <w:t>o</w:t>
      </w:r>
      <w:r>
        <w:rPr>
          <w:bCs/>
          <w:color w:val="000000"/>
        </w:rPr>
        <w:t>vedades de la guardia que fueron elevadas al juzgado, podía co</w:t>
      </w:r>
      <w:r>
        <w:rPr>
          <w:bCs/>
          <w:color w:val="000000"/>
        </w:rPr>
        <w:t>m</w:t>
      </w:r>
      <w:r>
        <w:rPr>
          <w:bCs/>
          <w:color w:val="000000"/>
        </w:rPr>
        <w:t>probarse el ingreso de Eduardo Telleldín y su mujer en c</w:t>
      </w:r>
      <w:r>
        <w:rPr>
          <w:bCs/>
          <w:color w:val="000000"/>
        </w:rPr>
        <w:t>a</w:t>
      </w:r>
      <w:r>
        <w:rPr>
          <w:bCs/>
          <w:color w:val="000000"/>
        </w:rPr>
        <w:t>lidad de detenidos. Asimismo indicó que de la misma manera podía conocerse con fac</w:t>
      </w:r>
      <w:r>
        <w:rPr>
          <w:bCs/>
          <w:color w:val="000000"/>
        </w:rPr>
        <w:t>i</w:t>
      </w:r>
      <w:r>
        <w:rPr>
          <w:bCs/>
          <w:color w:val="000000"/>
        </w:rPr>
        <w:t>lidad la identidad de los policías que los habían aprehend</w:t>
      </w:r>
      <w:r>
        <w:rPr>
          <w:bCs/>
          <w:color w:val="000000"/>
        </w:rPr>
        <w:t>i</w:t>
      </w:r>
      <w:r>
        <w:rPr>
          <w:bCs/>
          <w:color w:val="000000"/>
        </w:rPr>
        <w:t xml:space="preserve">do. </w:t>
      </w:r>
    </w:p>
    <w:p w:rsidR="00224567" w:rsidRDefault="00224567">
      <w:pPr>
        <w:widowControl w:val="0"/>
        <w:tabs>
          <w:tab w:val="left" w:pos="2835"/>
        </w:tabs>
        <w:ind w:firstLine="708"/>
        <w:rPr>
          <w:bCs/>
          <w:color w:val="000000"/>
        </w:rPr>
      </w:pPr>
      <w:r>
        <w:rPr>
          <w:bCs/>
          <w:color w:val="000000"/>
        </w:rPr>
        <w:tab/>
        <w:t xml:space="preserve">Destacó que la única dificultad que </w:t>
      </w:r>
      <w:r>
        <w:rPr>
          <w:bCs/>
          <w:color w:val="000000"/>
        </w:rPr>
        <w:lastRenderedPageBreak/>
        <w:t>traía aparejada esta tarea era desentrañar la pésima cal</w:t>
      </w:r>
      <w:r>
        <w:rPr>
          <w:bCs/>
          <w:color w:val="000000"/>
        </w:rPr>
        <w:t>i</w:t>
      </w:r>
      <w:r>
        <w:rPr>
          <w:bCs/>
          <w:color w:val="000000"/>
        </w:rPr>
        <w:t>grafía de quien volcó los datos en ese libro; sin embargo -concluyó la defensa- con un mínimo esfuerzo, pudo dete</w:t>
      </w:r>
      <w:r>
        <w:rPr>
          <w:bCs/>
          <w:color w:val="000000"/>
        </w:rPr>
        <w:t>r</w:t>
      </w:r>
      <w:r>
        <w:rPr>
          <w:bCs/>
          <w:color w:val="000000"/>
        </w:rPr>
        <w:t>minar que los policías que ingresaron deten</w:t>
      </w:r>
      <w:r>
        <w:rPr>
          <w:bCs/>
          <w:color w:val="000000"/>
        </w:rPr>
        <w:t>i</w:t>
      </w:r>
      <w:r>
        <w:rPr>
          <w:bCs/>
          <w:color w:val="000000"/>
        </w:rPr>
        <w:t>dos a Eduardo Telleldín y su m</w:t>
      </w:r>
      <w:r>
        <w:rPr>
          <w:bCs/>
          <w:color w:val="000000"/>
        </w:rPr>
        <w:t>u</w:t>
      </w:r>
      <w:r>
        <w:rPr>
          <w:bCs/>
          <w:color w:val="000000"/>
        </w:rPr>
        <w:t>jer, el 22 de marzo de 1994, eran el cabo 1º Oscar Díaz y el agente Daniel de Lucía.</w:t>
      </w:r>
    </w:p>
    <w:p w:rsidR="00224567" w:rsidRDefault="00224567">
      <w:pPr>
        <w:widowControl w:val="0"/>
        <w:tabs>
          <w:tab w:val="left" w:pos="2835"/>
        </w:tabs>
        <w:ind w:firstLine="708"/>
        <w:rPr>
          <w:bCs/>
          <w:color w:val="000000"/>
        </w:rPr>
      </w:pPr>
      <w:r>
        <w:rPr>
          <w:bCs/>
          <w:color w:val="000000"/>
        </w:rPr>
        <w:tab/>
        <w:t>Consideró increíble que no se convoc</w:t>
      </w:r>
      <w:r>
        <w:rPr>
          <w:bCs/>
          <w:color w:val="000000"/>
        </w:rPr>
        <w:t>a</w:t>
      </w:r>
      <w:r>
        <w:rPr>
          <w:bCs/>
          <w:color w:val="000000"/>
        </w:rPr>
        <w:t>ra a declarar a estas personas, que no se efectuara ning</w:t>
      </w:r>
      <w:r>
        <w:rPr>
          <w:bCs/>
          <w:color w:val="000000"/>
        </w:rPr>
        <w:t>u</w:t>
      </w:r>
      <w:r>
        <w:rPr>
          <w:bCs/>
          <w:color w:val="000000"/>
        </w:rPr>
        <w:t>na otra diligencia y que el juez considerara que el epis</w:t>
      </w:r>
      <w:r>
        <w:rPr>
          <w:bCs/>
          <w:color w:val="000000"/>
        </w:rPr>
        <w:t>o</w:t>
      </w:r>
      <w:r>
        <w:rPr>
          <w:bCs/>
          <w:color w:val="000000"/>
        </w:rPr>
        <w:t>dio del 22 de marzo de 1994 en Villa Martelli, no tenía vinculación con la causa “Brigadas”, dictando el 16 de abril de 1998 una r</w:t>
      </w:r>
      <w:r>
        <w:rPr>
          <w:bCs/>
          <w:color w:val="000000"/>
        </w:rPr>
        <w:t>e</w:t>
      </w:r>
      <w:r>
        <w:rPr>
          <w:bCs/>
          <w:color w:val="000000"/>
        </w:rPr>
        <w:t>solución declinando su competencia en favor de un juez de provincia, sin que los fiscales ni la querella unificada, impugnaran el decisorio. Ello impo</w:t>
      </w:r>
      <w:r>
        <w:rPr>
          <w:bCs/>
          <w:color w:val="000000"/>
        </w:rPr>
        <w:t>r</w:t>
      </w:r>
      <w:r>
        <w:rPr>
          <w:bCs/>
          <w:color w:val="000000"/>
        </w:rPr>
        <w:t xml:space="preserve">tó, a su juicio, que no creían en la versión del 5 de julio que responsabilizaba a </w:t>
      </w:r>
      <w:smartTag w:uri="urn:schemas-microsoft-com:office:smarttags" w:element="PersonName">
        <w:smartTagPr>
          <w:attr w:name="ProductID" w:val="la Polic￭a Bonaerense"/>
        </w:smartTagPr>
        <w:r>
          <w:rPr>
            <w:bCs/>
            <w:color w:val="000000"/>
          </w:rPr>
          <w:t>la Policía Bonaerense</w:t>
        </w:r>
      </w:smartTag>
      <w:r>
        <w:rPr>
          <w:bCs/>
          <w:color w:val="000000"/>
        </w:rPr>
        <w:t>, ya que dil</w:t>
      </w:r>
      <w:r>
        <w:rPr>
          <w:bCs/>
          <w:color w:val="000000"/>
        </w:rPr>
        <w:t>u</w:t>
      </w:r>
      <w:r>
        <w:rPr>
          <w:bCs/>
          <w:color w:val="000000"/>
        </w:rPr>
        <w:t>yeron adrede este suceso de Villa Martelli. Agregó que en caso de haber creído la historia del 5 de julio que cont</w:t>
      </w:r>
      <w:r>
        <w:rPr>
          <w:bCs/>
          <w:color w:val="000000"/>
        </w:rPr>
        <w:t>e</w:t>
      </w:r>
      <w:r>
        <w:rPr>
          <w:bCs/>
          <w:color w:val="000000"/>
        </w:rPr>
        <w:t>nía este episodio, a su criterio debieron haber investig</w:t>
      </w:r>
      <w:r>
        <w:rPr>
          <w:bCs/>
          <w:color w:val="000000"/>
        </w:rPr>
        <w:t>a</w:t>
      </w:r>
      <w:r>
        <w:rPr>
          <w:bCs/>
          <w:color w:val="000000"/>
        </w:rPr>
        <w:t>do el hecho ine</w:t>
      </w:r>
      <w:r>
        <w:rPr>
          <w:bCs/>
          <w:color w:val="000000"/>
        </w:rPr>
        <w:t>x</w:t>
      </w:r>
      <w:r>
        <w:rPr>
          <w:bCs/>
          <w:color w:val="000000"/>
        </w:rPr>
        <w:t>cusablemente.</w:t>
      </w:r>
    </w:p>
    <w:p w:rsidR="00224567" w:rsidRDefault="00224567">
      <w:pPr>
        <w:widowControl w:val="0"/>
        <w:tabs>
          <w:tab w:val="left" w:pos="2835"/>
        </w:tabs>
        <w:ind w:firstLine="708"/>
        <w:rPr>
          <w:bCs/>
          <w:color w:val="000000"/>
        </w:rPr>
      </w:pPr>
      <w:r>
        <w:rPr>
          <w:bCs/>
          <w:color w:val="000000"/>
        </w:rPr>
        <w:lastRenderedPageBreak/>
        <w:tab/>
        <w:t>Por otro lado, remarcó que el juez, al declinar su competencia, encubrió nuevamente al testigo protegido nº 2, impidiendo a las defensas conocer la ve</w:t>
      </w:r>
      <w:r>
        <w:rPr>
          <w:bCs/>
          <w:color w:val="000000"/>
        </w:rPr>
        <w:t>r</w:t>
      </w:r>
      <w:r>
        <w:rPr>
          <w:bCs/>
          <w:color w:val="000000"/>
        </w:rPr>
        <w:t>dad sobre este siniestro personaje que declaró como test</w:t>
      </w:r>
      <w:r>
        <w:rPr>
          <w:bCs/>
          <w:color w:val="000000"/>
        </w:rPr>
        <w:t>i</w:t>
      </w:r>
      <w:r>
        <w:rPr>
          <w:bCs/>
          <w:color w:val="000000"/>
        </w:rPr>
        <w:t>go en esas actuaciones de provincia, que tramitaron por ante el Juzg</w:t>
      </w:r>
      <w:r>
        <w:rPr>
          <w:bCs/>
          <w:color w:val="000000"/>
        </w:rPr>
        <w:t>a</w:t>
      </w:r>
      <w:r>
        <w:rPr>
          <w:bCs/>
          <w:color w:val="000000"/>
        </w:rPr>
        <w:t>do de Transición nº 1 de San Isidro, bajo el nº 5864, y que fue requerida en estas actuaciones recién a pedido del tribunal el 5 de febrero de 2001, lu</w:t>
      </w:r>
      <w:r>
        <w:rPr>
          <w:bCs/>
          <w:color w:val="000000"/>
        </w:rPr>
        <w:t>e</w:t>
      </w:r>
      <w:r>
        <w:rPr>
          <w:bCs/>
          <w:color w:val="000000"/>
        </w:rPr>
        <w:t>go de que se le hiciera saber el contenido de las actu</w:t>
      </w:r>
      <w:r>
        <w:rPr>
          <w:bCs/>
          <w:color w:val="000000"/>
        </w:rPr>
        <w:t>a</w:t>
      </w:r>
      <w:r>
        <w:rPr>
          <w:bCs/>
          <w:color w:val="000000"/>
        </w:rPr>
        <w:t>ciones y los nombres de las personas que supuestamente resultaron da</w:t>
      </w:r>
      <w:r>
        <w:rPr>
          <w:bCs/>
          <w:color w:val="000000"/>
        </w:rPr>
        <w:t>m</w:t>
      </w:r>
      <w:r>
        <w:rPr>
          <w:bCs/>
          <w:color w:val="000000"/>
        </w:rPr>
        <w:t>nif</w:t>
      </w:r>
      <w:r>
        <w:rPr>
          <w:bCs/>
          <w:color w:val="000000"/>
        </w:rPr>
        <w:t>i</w:t>
      </w:r>
      <w:r>
        <w:rPr>
          <w:bCs/>
          <w:color w:val="000000"/>
        </w:rPr>
        <w:t>cadas.</w:t>
      </w:r>
    </w:p>
    <w:p w:rsidR="00224567" w:rsidRDefault="00224567">
      <w:pPr>
        <w:widowControl w:val="0"/>
        <w:tabs>
          <w:tab w:val="left" w:pos="2835"/>
        </w:tabs>
        <w:ind w:firstLine="708"/>
        <w:rPr>
          <w:bCs/>
          <w:color w:val="000000"/>
        </w:rPr>
      </w:pPr>
      <w:r>
        <w:rPr>
          <w:bCs/>
          <w:color w:val="000000"/>
        </w:rPr>
        <w:tab/>
        <w:t>Remarcó la defensa que Semorile decl</w:t>
      </w:r>
      <w:r>
        <w:rPr>
          <w:bCs/>
          <w:color w:val="000000"/>
        </w:rPr>
        <w:t>a</w:t>
      </w:r>
      <w:r>
        <w:rPr>
          <w:bCs/>
          <w:color w:val="000000"/>
        </w:rPr>
        <w:t>ró que en una oportunidad concurrió a la comisaría de V</w:t>
      </w:r>
      <w:r>
        <w:rPr>
          <w:bCs/>
          <w:color w:val="000000"/>
        </w:rPr>
        <w:t>i</w:t>
      </w:r>
      <w:r>
        <w:rPr>
          <w:bCs/>
          <w:color w:val="000000"/>
        </w:rPr>
        <w:t>lla Martelli porque habían resultado detenidos Liliana Fernández y una persona más alegando no recordar quién era, cuando aludió nada menos que al hermano de Carlos T</w:t>
      </w:r>
      <w:r>
        <w:rPr>
          <w:bCs/>
          <w:color w:val="000000"/>
        </w:rPr>
        <w:t>e</w:t>
      </w:r>
      <w:r>
        <w:rPr>
          <w:bCs/>
          <w:color w:val="000000"/>
        </w:rPr>
        <w:t>lleldín, resultando increíble ese olvido. Añadió el test</w:t>
      </w:r>
      <w:r>
        <w:rPr>
          <w:bCs/>
          <w:color w:val="000000"/>
        </w:rPr>
        <w:t>i</w:t>
      </w:r>
      <w:r>
        <w:rPr>
          <w:bCs/>
          <w:color w:val="000000"/>
        </w:rPr>
        <w:t>go que para que re</w:t>
      </w:r>
      <w:r>
        <w:rPr>
          <w:bCs/>
          <w:color w:val="000000"/>
        </w:rPr>
        <w:t>a</w:t>
      </w:r>
      <w:r>
        <w:rPr>
          <w:bCs/>
          <w:color w:val="000000"/>
        </w:rPr>
        <w:t>lizara esta gestión en la seccional lo llamó un familiar, creía de sexo masculino, que se ident</w:t>
      </w:r>
      <w:r>
        <w:rPr>
          <w:bCs/>
          <w:color w:val="000000"/>
        </w:rPr>
        <w:t>i</w:t>
      </w:r>
      <w:r>
        <w:rPr>
          <w:bCs/>
          <w:color w:val="000000"/>
        </w:rPr>
        <w:t>ficó pero que no recordaba quién era, ni si recibió alguna suma por su act</w:t>
      </w:r>
      <w:r>
        <w:rPr>
          <w:bCs/>
          <w:color w:val="000000"/>
        </w:rPr>
        <w:t>i</w:t>
      </w:r>
      <w:r>
        <w:rPr>
          <w:bCs/>
          <w:color w:val="000000"/>
        </w:rPr>
        <w:t>vidad.</w:t>
      </w:r>
    </w:p>
    <w:p w:rsidR="00224567" w:rsidRDefault="00224567">
      <w:pPr>
        <w:widowControl w:val="0"/>
        <w:tabs>
          <w:tab w:val="left" w:pos="2835"/>
        </w:tabs>
        <w:ind w:firstLine="708"/>
        <w:rPr>
          <w:bCs/>
          <w:color w:val="000000"/>
        </w:rPr>
      </w:pPr>
      <w:r>
        <w:rPr>
          <w:bCs/>
          <w:color w:val="000000"/>
        </w:rPr>
        <w:lastRenderedPageBreak/>
        <w:tab/>
        <w:t>Al respecto, destacó la defensa of</w:t>
      </w:r>
      <w:r>
        <w:rPr>
          <w:bCs/>
          <w:color w:val="000000"/>
        </w:rPr>
        <w:t>i</w:t>
      </w:r>
      <w:r>
        <w:rPr>
          <w:bCs/>
          <w:color w:val="000000"/>
        </w:rPr>
        <w:t>cial que al ser escuchado en la audiencia el Dr. Carlos Velasco con relación a estos episodios de Villa Mart</w:t>
      </w:r>
      <w:r>
        <w:rPr>
          <w:bCs/>
          <w:color w:val="000000"/>
        </w:rPr>
        <w:t>e</w:t>
      </w:r>
      <w:r>
        <w:rPr>
          <w:bCs/>
          <w:color w:val="000000"/>
        </w:rPr>
        <w:t>lli, en 15 oportunidades, en una forma claramente evasiva, al</w:t>
      </w:r>
      <w:r>
        <w:rPr>
          <w:bCs/>
          <w:color w:val="000000"/>
        </w:rPr>
        <w:t>e</w:t>
      </w:r>
      <w:r>
        <w:rPr>
          <w:bCs/>
          <w:color w:val="000000"/>
        </w:rPr>
        <w:t>gó no recordar ninguno de los puntos sobre los que se le pregu</w:t>
      </w:r>
      <w:r>
        <w:rPr>
          <w:bCs/>
          <w:color w:val="000000"/>
        </w:rPr>
        <w:t>n</w:t>
      </w:r>
      <w:r>
        <w:rPr>
          <w:bCs/>
          <w:color w:val="000000"/>
        </w:rPr>
        <w:t>taba.</w:t>
      </w:r>
    </w:p>
    <w:p w:rsidR="00224567" w:rsidRDefault="00224567">
      <w:pPr>
        <w:widowControl w:val="0"/>
        <w:tabs>
          <w:tab w:val="left" w:pos="2835"/>
        </w:tabs>
        <w:ind w:firstLine="708"/>
        <w:rPr>
          <w:bCs/>
          <w:color w:val="000000"/>
        </w:rPr>
      </w:pPr>
      <w:r>
        <w:rPr>
          <w:bCs/>
          <w:color w:val="000000"/>
        </w:rPr>
        <w:tab/>
        <w:t>Tampoco los fiscales, a juicio de la defensa de Ibarra, pudieron alegar en su acusación, sin ofender la inteligencia de quienes los escucharon, que s</w:t>
      </w:r>
      <w:r>
        <w:rPr>
          <w:bCs/>
          <w:color w:val="000000"/>
        </w:rPr>
        <w:t>ó</w:t>
      </w:r>
      <w:r>
        <w:rPr>
          <w:bCs/>
          <w:color w:val="000000"/>
        </w:rPr>
        <w:t>lo después de conocer los dichos de Lifschitz en la ca</w:t>
      </w:r>
      <w:r>
        <w:rPr>
          <w:bCs/>
          <w:color w:val="000000"/>
        </w:rPr>
        <w:t>u</w:t>
      </w:r>
      <w:r>
        <w:rPr>
          <w:bCs/>
          <w:color w:val="000000"/>
        </w:rPr>
        <w:t>sa de Bonadío, advirtieron que en la instrucción se proc</w:t>
      </w:r>
      <w:r>
        <w:rPr>
          <w:bCs/>
          <w:color w:val="000000"/>
        </w:rPr>
        <w:t>e</w:t>
      </w:r>
      <w:r>
        <w:rPr>
          <w:bCs/>
          <w:color w:val="000000"/>
        </w:rPr>
        <w:t>dió de manera irregular con relación a Semorile; y mucho menos añadir que esta actividad, con relación al abogado, ev</w:t>
      </w:r>
      <w:r>
        <w:rPr>
          <w:bCs/>
          <w:color w:val="000000"/>
        </w:rPr>
        <w:t>i</w:t>
      </w:r>
      <w:r>
        <w:rPr>
          <w:bCs/>
          <w:color w:val="000000"/>
        </w:rPr>
        <w:t xml:space="preserve">denció una práctica repugnante y delictiva que habrá de denunciarse, pretendiendo complicar a Ibarra, aseverando en forma intempestiva, que Semorile participó, junto con personal de </w:t>
      </w:r>
      <w:smartTag w:uri="urn:schemas-microsoft-com:office:smarttags" w:element="PersonName">
        <w:smartTagPr>
          <w:attr w:name="ProductID" w:val="la Brigada"/>
        </w:smartTagPr>
        <w:r>
          <w:rPr>
            <w:bCs/>
            <w:color w:val="000000"/>
          </w:rPr>
          <w:t>la Brigada</w:t>
        </w:r>
      </w:smartTag>
      <w:r>
        <w:rPr>
          <w:bCs/>
          <w:color w:val="000000"/>
        </w:rPr>
        <w:t xml:space="preserve"> de Lanús, de las maniobras que h</w:t>
      </w:r>
      <w:r>
        <w:rPr>
          <w:bCs/>
          <w:color w:val="000000"/>
        </w:rPr>
        <w:t>a</w:t>
      </w:r>
      <w:r>
        <w:rPr>
          <w:bCs/>
          <w:color w:val="000000"/>
        </w:rPr>
        <w:t>brían damnificado a Carlos T</w:t>
      </w:r>
      <w:r>
        <w:rPr>
          <w:bCs/>
          <w:color w:val="000000"/>
        </w:rPr>
        <w:t>e</w:t>
      </w:r>
      <w:r>
        <w:rPr>
          <w:bCs/>
          <w:color w:val="000000"/>
        </w:rPr>
        <w:t>lleldín.</w:t>
      </w:r>
    </w:p>
    <w:p w:rsidR="00224567" w:rsidRDefault="00224567">
      <w:pPr>
        <w:widowControl w:val="0"/>
        <w:tabs>
          <w:tab w:val="left" w:pos="2835"/>
        </w:tabs>
        <w:ind w:firstLine="708"/>
        <w:rPr>
          <w:bCs/>
          <w:color w:val="000000"/>
        </w:rPr>
      </w:pPr>
      <w:r>
        <w:rPr>
          <w:bCs/>
          <w:color w:val="000000"/>
        </w:rPr>
        <w:tab/>
        <w:t>Destacó también la defensa, que los fiscales, con ese objetivo, pusieron de resalto la exi</w:t>
      </w:r>
      <w:r>
        <w:rPr>
          <w:bCs/>
          <w:color w:val="000000"/>
        </w:rPr>
        <w:t>s</w:t>
      </w:r>
      <w:r>
        <w:rPr>
          <w:bCs/>
          <w:color w:val="000000"/>
        </w:rPr>
        <w:lastRenderedPageBreak/>
        <w:t>tencia de algunos cruces de llamados entre el celular de unos de los imputados y otro que según afirmaron se c</w:t>
      </w:r>
      <w:r>
        <w:rPr>
          <w:bCs/>
          <w:color w:val="000000"/>
        </w:rPr>
        <w:t>o</w:t>
      </w:r>
      <w:r>
        <w:rPr>
          <w:bCs/>
          <w:color w:val="000000"/>
        </w:rPr>
        <w:t>rrespondería con el utilizado por S</w:t>
      </w:r>
      <w:r>
        <w:rPr>
          <w:bCs/>
          <w:color w:val="000000"/>
        </w:rPr>
        <w:t>e</w:t>
      </w:r>
      <w:r>
        <w:rPr>
          <w:bCs/>
          <w:color w:val="000000"/>
        </w:rPr>
        <w:t>morile.</w:t>
      </w:r>
    </w:p>
    <w:p w:rsidR="00224567" w:rsidRDefault="00224567">
      <w:pPr>
        <w:widowControl w:val="0"/>
        <w:tabs>
          <w:tab w:val="left" w:pos="2835"/>
        </w:tabs>
        <w:ind w:firstLine="708"/>
        <w:rPr>
          <w:bCs/>
          <w:color w:val="000000"/>
        </w:rPr>
      </w:pPr>
      <w:r>
        <w:rPr>
          <w:bCs/>
          <w:color w:val="000000"/>
        </w:rPr>
        <w:tab/>
        <w:t>Luego de adherir a los planteos efe</w:t>
      </w:r>
      <w:r>
        <w:rPr>
          <w:bCs/>
          <w:color w:val="000000"/>
        </w:rPr>
        <w:t>c</w:t>
      </w:r>
      <w:r>
        <w:rPr>
          <w:bCs/>
          <w:color w:val="000000"/>
        </w:rPr>
        <w:t>tuados por el Dr. Ubeira con relación a estos pretend</w:t>
      </w:r>
      <w:r>
        <w:rPr>
          <w:bCs/>
          <w:color w:val="000000"/>
        </w:rPr>
        <w:t>i</w:t>
      </w:r>
      <w:r>
        <w:rPr>
          <w:bCs/>
          <w:color w:val="000000"/>
        </w:rPr>
        <w:t>dos cruces telefónicos, señaló la defensa que llama poderos</w:t>
      </w:r>
      <w:r>
        <w:rPr>
          <w:bCs/>
          <w:color w:val="000000"/>
        </w:rPr>
        <w:t>a</w:t>
      </w:r>
      <w:r>
        <w:rPr>
          <w:bCs/>
          <w:color w:val="000000"/>
        </w:rPr>
        <w:t>mente la atención que los fiscales de la etapa de instru</w:t>
      </w:r>
      <w:r>
        <w:rPr>
          <w:bCs/>
          <w:color w:val="000000"/>
        </w:rPr>
        <w:t>c</w:t>
      </w:r>
      <w:r>
        <w:rPr>
          <w:bCs/>
          <w:color w:val="000000"/>
        </w:rPr>
        <w:t>ción, hayan tardado ocho años en advertir la existencia de tales entrecruzamientos, ya que se vincularían con los llamados realizados desde un teléfono celular de uno de los principales imputados, nada menos que el 4 y 5 de abril de 1994, cuando se desprendía del requerimiento de elevación a juicio, que los fiscales habían hecho un obs</w:t>
      </w:r>
      <w:r>
        <w:rPr>
          <w:bCs/>
          <w:color w:val="000000"/>
        </w:rPr>
        <w:t>e</w:t>
      </w:r>
      <w:r>
        <w:rPr>
          <w:bCs/>
          <w:color w:val="000000"/>
        </w:rPr>
        <w:t>sivo análisis de los ll</w:t>
      </w:r>
      <w:r>
        <w:rPr>
          <w:bCs/>
          <w:color w:val="000000"/>
        </w:rPr>
        <w:t>a</w:t>
      </w:r>
      <w:r>
        <w:rPr>
          <w:bCs/>
          <w:color w:val="000000"/>
        </w:rPr>
        <w:t>mados que, ese día, se efectuaron desde el celular de R</w:t>
      </w:r>
      <w:r>
        <w:rPr>
          <w:bCs/>
          <w:color w:val="000000"/>
        </w:rPr>
        <w:t>i</w:t>
      </w:r>
      <w:r>
        <w:rPr>
          <w:bCs/>
          <w:color w:val="000000"/>
        </w:rPr>
        <w:t>belli.</w:t>
      </w:r>
    </w:p>
    <w:p w:rsidR="00224567" w:rsidRDefault="00224567">
      <w:pPr>
        <w:widowControl w:val="0"/>
        <w:tabs>
          <w:tab w:val="left" w:pos="2835"/>
        </w:tabs>
        <w:ind w:firstLine="708"/>
        <w:rPr>
          <w:bCs/>
          <w:color w:val="000000"/>
        </w:rPr>
      </w:pPr>
      <w:r>
        <w:rPr>
          <w:bCs/>
          <w:color w:val="000000"/>
        </w:rPr>
        <w:tab/>
        <w:t>Indicó la defensa que la existe</w:t>
      </w:r>
      <w:r>
        <w:rPr>
          <w:bCs/>
          <w:color w:val="000000"/>
        </w:rPr>
        <w:t>n</w:t>
      </w:r>
      <w:r>
        <w:rPr>
          <w:bCs/>
          <w:color w:val="000000"/>
        </w:rPr>
        <w:t>cia de esta supuesta prueba de cargo, era perfectamente c</w:t>
      </w:r>
      <w:r>
        <w:rPr>
          <w:bCs/>
          <w:color w:val="000000"/>
        </w:rPr>
        <w:t>o</w:t>
      </w:r>
      <w:r>
        <w:rPr>
          <w:bCs/>
          <w:color w:val="000000"/>
        </w:rPr>
        <w:t>nocida por los representantes del Ministerio Público desde un primer momento, como también les era conocido el engaño de la motocicleta y el episodio de Villa Ma</w:t>
      </w:r>
      <w:r>
        <w:rPr>
          <w:bCs/>
          <w:color w:val="000000"/>
        </w:rPr>
        <w:t>r</w:t>
      </w:r>
      <w:r>
        <w:rPr>
          <w:bCs/>
          <w:color w:val="000000"/>
        </w:rPr>
        <w:t>telli, y que esas circunstancias fueron omitidas de m</w:t>
      </w:r>
      <w:r>
        <w:rPr>
          <w:bCs/>
          <w:color w:val="000000"/>
        </w:rPr>
        <w:t>a</w:t>
      </w:r>
      <w:r>
        <w:rPr>
          <w:bCs/>
          <w:color w:val="000000"/>
        </w:rPr>
        <w:t>nera deliberada.</w:t>
      </w:r>
    </w:p>
    <w:p w:rsidR="00224567" w:rsidRDefault="00224567">
      <w:pPr>
        <w:widowControl w:val="0"/>
        <w:tabs>
          <w:tab w:val="left" w:pos="2835"/>
        </w:tabs>
        <w:ind w:firstLine="708"/>
        <w:rPr>
          <w:bCs/>
          <w:color w:val="000000"/>
        </w:rPr>
      </w:pPr>
      <w:r>
        <w:rPr>
          <w:bCs/>
          <w:color w:val="000000"/>
        </w:rPr>
        <w:lastRenderedPageBreak/>
        <w:tab/>
        <w:t>Valoró también que si el juez de in</w:t>
      </w:r>
      <w:r>
        <w:rPr>
          <w:bCs/>
          <w:color w:val="000000"/>
        </w:rPr>
        <w:t>s</w:t>
      </w:r>
      <w:r>
        <w:rPr>
          <w:bCs/>
          <w:color w:val="000000"/>
        </w:rPr>
        <w:t>trucción conocía de antemano la existencia de estos entr</w:t>
      </w:r>
      <w:r>
        <w:rPr>
          <w:bCs/>
          <w:color w:val="000000"/>
        </w:rPr>
        <w:t>e</w:t>
      </w:r>
      <w:r>
        <w:rPr>
          <w:bCs/>
          <w:color w:val="000000"/>
        </w:rPr>
        <w:t>cruzamientos, debió hacer saber a los imputados, en la oportunidad que fija el art. 298 del Código Procesal P</w:t>
      </w:r>
      <w:r>
        <w:rPr>
          <w:bCs/>
          <w:color w:val="000000"/>
        </w:rPr>
        <w:t>e</w:t>
      </w:r>
      <w:r>
        <w:rPr>
          <w:bCs/>
          <w:color w:val="000000"/>
        </w:rPr>
        <w:t>nal, que aquello constituía prueba en su contra, p</w:t>
      </w:r>
      <w:r>
        <w:rPr>
          <w:bCs/>
          <w:color w:val="000000"/>
        </w:rPr>
        <w:t>o</w:t>
      </w:r>
      <w:r>
        <w:rPr>
          <w:bCs/>
          <w:color w:val="000000"/>
        </w:rPr>
        <w:t>niendo en su conocimiento también que en el hecho extorsivo que se les había imputado, había participado como cómplice o coautor el Dr. Gustavo Semorile; y que, si esto no s</w:t>
      </w:r>
      <w:r>
        <w:rPr>
          <w:bCs/>
          <w:color w:val="000000"/>
        </w:rPr>
        <w:t>u</w:t>
      </w:r>
      <w:r>
        <w:rPr>
          <w:bCs/>
          <w:color w:val="000000"/>
        </w:rPr>
        <w:t>cedió debido a un accionar irregular y repugna</w:t>
      </w:r>
      <w:r>
        <w:rPr>
          <w:bCs/>
          <w:color w:val="000000"/>
        </w:rPr>
        <w:t>n</w:t>
      </w:r>
      <w:r>
        <w:rPr>
          <w:bCs/>
          <w:color w:val="000000"/>
        </w:rPr>
        <w:t>te del juez de la causa tal como dijera la fiscalía, no podía prete</w:t>
      </w:r>
      <w:r>
        <w:rPr>
          <w:bCs/>
          <w:color w:val="000000"/>
        </w:rPr>
        <w:t>n</w:t>
      </w:r>
      <w:r>
        <w:rPr>
          <w:bCs/>
          <w:color w:val="000000"/>
        </w:rPr>
        <w:t>derse en esta etapa del juicio, terminada la rece</w:t>
      </w:r>
      <w:r>
        <w:rPr>
          <w:bCs/>
          <w:color w:val="000000"/>
        </w:rPr>
        <w:t>p</w:t>
      </w:r>
      <w:r>
        <w:rPr>
          <w:bCs/>
          <w:color w:val="000000"/>
        </w:rPr>
        <w:t>ción de la prueba durante la disc</w:t>
      </w:r>
      <w:r>
        <w:rPr>
          <w:bCs/>
          <w:color w:val="000000"/>
        </w:rPr>
        <w:t>u</w:t>
      </w:r>
      <w:r>
        <w:rPr>
          <w:bCs/>
          <w:color w:val="000000"/>
        </w:rPr>
        <w:t>sión final, hacer valer esos elementos de cargo en contra de Ibarra, a quien en modo alguno puede atribuírsele el haber contribuido a pergeñar semejante m</w:t>
      </w:r>
      <w:r>
        <w:rPr>
          <w:bCs/>
          <w:color w:val="000000"/>
        </w:rPr>
        <w:t>a</w:t>
      </w:r>
      <w:r>
        <w:rPr>
          <w:bCs/>
          <w:color w:val="000000"/>
        </w:rPr>
        <w:t>ni</w:t>
      </w:r>
      <w:r>
        <w:rPr>
          <w:bCs/>
          <w:color w:val="000000"/>
        </w:rPr>
        <w:t>o</w:t>
      </w:r>
      <w:r>
        <w:rPr>
          <w:bCs/>
          <w:color w:val="000000"/>
        </w:rPr>
        <w:t>bra.</w:t>
      </w:r>
    </w:p>
    <w:p w:rsidR="00224567" w:rsidRDefault="00224567">
      <w:pPr>
        <w:widowControl w:val="0"/>
        <w:tabs>
          <w:tab w:val="left" w:pos="2835"/>
        </w:tabs>
        <w:ind w:firstLine="708"/>
        <w:rPr>
          <w:bCs/>
          <w:color w:val="000000"/>
        </w:rPr>
      </w:pPr>
      <w:r>
        <w:rPr>
          <w:bCs/>
          <w:color w:val="000000"/>
        </w:rPr>
        <w:tab/>
        <w:t>Sostuvo la defensa que ello i</w:t>
      </w:r>
      <w:r>
        <w:rPr>
          <w:bCs/>
          <w:color w:val="000000"/>
        </w:rPr>
        <w:t>m</w:t>
      </w:r>
      <w:r>
        <w:rPr>
          <w:bCs/>
          <w:color w:val="000000"/>
        </w:rPr>
        <w:t>portaba una modificación del sustrato fáctico, ya que el testigo de cargo devino finalmente en cómplice, y porque si esto hubiera formado parte del relato imputativo, sin duda a</w:t>
      </w:r>
      <w:r>
        <w:rPr>
          <w:bCs/>
          <w:color w:val="000000"/>
        </w:rPr>
        <w:t>l</w:t>
      </w:r>
      <w:r>
        <w:rPr>
          <w:bCs/>
          <w:color w:val="000000"/>
        </w:rPr>
        <w:t>guna, se hubiera adoptado una estrategia defensiva disti</w:t>
      </w:r>
      <w:r>
        <w:rPr>
          <w:bCs/>
          <w:color w:val="000000"/>
        </w:rPr>
        <w:t>n</w:t>
      </w:r>
      <w:r>
        <w:rPr>
          <w:bCs/>
          <w:color w:val="000000"/>
        </w:rPr>
        <w:lastRenderedPageBreak/>
        <w:t>ta frente a su ofrecimiento como testigo y adecuado su i</w:t>
      </w:r>
      <w:r>
        <w:rPr>
          <w:bCs/>
          <w:color w:val="000000"/>
        </w:rPr>
        <w:t>n</w:t>
      </w:r>
      <w:r>
        <w:rPr>
          <w:bCs/>
          <w:color w:val="000000"/>
        </w:rPr>
        <w:t xml:space="preserve">terrogatorio, para intentar aventar las sospechas que se ciernen sobre estos llamados, citando en lo atinente el precedente “Ariza, Ana Leticia y otros s/ inf. ley </w:t>
      </w:r>
      <w:smartTag w:uri="urn:schemas-microsoft-com:office:smarttags" w:element="metricconverter">
        <w:smartTagPr>
          <w:attr w:name="ProductID" w:val="23.737”"/>
        </w:smartTagPr>
        <w:r>
          <w:rPr>
            <w:bCs/>
            <w:color w:val="000000"/>
          </w:rPr>
          <w:t>23.737”</w:t>
        </w:r>
      </w:smartTag>
      <w:r>
        <w:rPr>
          <w:bCs/>
          <w:color w:val="000000"/>
        </w:rPr>
        <w:t xml:space="preserve"> del Tribunal Oral en lo Criminal Federal nº 5 de esta ci</w:t>
      </w:r>
      <w:r>
        <w:rPr>
          <w:bCs/>
          <w:color w:val="000000"/>
        </w:rPr>
        <w:t>u</w:t>
      </w:r>
      <w:r>
        <w:rPr>
          <w:bCs/>
          <w:color w:val="000000"/>
        </w:rPr>
        <w:t>dad, resuelto el 30 de se</w:t>
      </w:r>
      <w:r>
        <w:rPr>
          <w:bCs/>
          <w:color w:val="000000"/>
        </w:rPr>
        <w:t>p</w:t>
      </w:r>
      <w:r>
        <w:rPr>
          <w:bCs/>
          <w:color w:val="000000"/>
        </w:rPr>
        <w:t>tiembre de 2003.</w:t>
      </w:r>
    </w:p>
    <w:p w:rsidR="00224567" w:rsidRDefault="00224567">
      <w:pPr>
        <w:widowControl w:val="0"/>
        <w:tabs>
          <w:tab w:val="left" w:pos="2835"/>
        </w:tabs>
        <w:ind w:firstLine="708"/>
        <w:rPr>
          <w:bCs/>
          <w:color w:val="000000"/>
        </w:rPr>
      </w:pPr>
      <w:r>
        <w:rPr>
          <w:bCs/>
          <w:color w:val="000000"/>
        </w:rPr>
        <w:tab/>
        <w:t>Por todo ello propició la ado</w:t>
      </w:r>
      <w:r>
        <w:rPr>
          <w:bCs/>
          <w:color w:val="000000"/>
        </w:rPr>
        <w:t>p</w:t>
      </w:r>
      <w:r>
        <w:rPr>
          <w:bCs/>
          <w:color w:val="000000"/>
        </w:rPr>
        <w:t>ción de una solución liberatoria respecto de Raúl Edilio Ibarra, con arreglo a lo dispuesto por el art. 3º del Código Pr</w:t>
      </w:r>
      <w:r>
        <w:rPr>
          <w:bCs/>
          <w:color w:val="000000"/>
        </w:rPr>
        <w:t>o</w:t>
      </w:r>
      <w:r>
        <w:rPr>
          <w:bCs/>
          <w:color w:val="000000"/>
        </w:rPr>
        <w:t xml:space="preserve">cesal Penal de </w:t>
      </w:r>
      <w:smartTag w:uri="urn:schemas-microsoft-com:office:smarttags" w:element="PersonName">
        <w:smartTagPr>
          <w:attr w:name="ProductID" w:val="la Naci￳n"/>
        </w:smartTagPr>
        <w:r>
          <w:rPr>
            <w:bCs/>
            <w:color w:val="000000"/>
          </w:rPr>
          <w:t>la Nación</w:t>
        </w:r>
      </w:smartTag>
      <w:r>
        <w:rPr>
          <w:bCs/>
          <w:color w:val="000000"/>
        </w:rPr>
        <w:t xml:space="preserve"> con relación a los presuntos d</w:t>
      </w:r>
      <w:r>
        <w:rPr>
          <w:bCs/>
          <w:color w:val="000000"/>
        </w:rPr>
        <w:t>e</w:t>
      </w:r>
      <w:r>
        <w:rPr>
          <w:bCs/>
          <w:color w:val="000000"/>
        </w:rPr>
        <w:t>litos de marzo y abril de 1994, sin costas.</w:t>
      </w:r>
    </w:p>
    <w:p w:rsidR="00224567" w:rsidRDefault="00224567">
      <w:pPr>
        <w:widowControl w:val="0"/>
        <w:tabs>
          <w:tab w:val="left" w:pos="2835"/>
        </w:tabs>
        <w:ind w:firstLine="708"/>
        <w:rPr>
          <w:bCs/>
        </w:rPr>
      </w:pPr>
      <w:r>
        <w:rPr>
          <w:bCs/>
        </w:rPr>
        <w:tab/>
        <w:t>Refiriéndose al delito de asociación ilícita, por el que la fiscalía responsabilizó a Raúl Ed</w:t>
      </w:r>
      <w:r>
        <w:rPr>
          <w:bCs/>
        </w:rPr>
        <w:t>i</w:t>
      </w:r>
      <w:r>
        <w:rPr>
          <w:bCs/>
        </w:rPr>
        <w:t>lio Ibarra como coautor material, por considerar probado que junto a Ribelli, Burguete, Huici, Rago, Leal, Aranc</w:t>
      </w:r>
      <w:r>
        <w:rPr>
          <w:bCs/>
        </w:rPr>
        <w:t>i</w:t>
      </w:r>
      <w:r>
        <w:rPr>
          <w:bCs/>
        </w:rPr>
        <w:t>bia, Bacigalupo, Albarracín, Bareiro y Barreda, formó pa</w:t>
      </w:r>
      <w:r>
        <w:rPr>
          <w:bCs/>
        </w:rPr>
        <w:t>r</w:t>
      </w:r>
      <w:r>
        <w:rPr>
          <w:bCs/>
        </w:rPr>
        <w:t>te de una asociación destinada a com</w:t>
      </w:r>
      <w:r>
        <w:rPr>
          <w:bCs/>
        </w:rPr>
        <w:t>e</w:t>
      </w:r>
      <w:r>
        <w:rPr>
          <w:bCs/>
        </w:rPr>
        <w:t>ter delitos, enunció el defensor que la acusación, desde el comienzo, resultó decididamente vaga sin perjuicio de contar con los eleme</w:t>
      </w:r>
      <w:r>
        <w:rPr>
          <w:bCs/>
        </w:rPr>
        <w:t>n</w:t>
      </w:r>
      <w:r>
        <w:rPr>
          <w:bCs/>
        </w:rPr>
        <w:t>tos mínimos suficientes p</w:t>
      </w:r>
      <w:r>
        <w:rPr>
          <w:bCs/>
        </w:rPr>
        <w:t>a</w:t>
      </w:r>
      <w:r>
        <w:rPr>
          <w:bCs/>
        </w:rPr>
        <w:t>ra poder ser considerado un acto v</w:t>
      </w:r>
      <w:r>
        <w:rPr>
          <w:bCs/>
        </w:rPr>
        <w:t>á</w:t>
      </w:r>
      <w:r>
        <w:rPr>
          <w:bCs/>
        </w:rPr>
        <w:t>lido.</w:t>
      </w:r>
    </w:p>
    <w:p w:rsidR="00224567" w:rsidRDefault="00224567">
      <w:pPr>
        <w:widowControl w:val="0"/>
        <w:tabs>
          <w:tab w:val="left" w:pos="2835"/>
        </w:tabs>
        <w:ind w:firstLine="708"/>
        <w:rPr>
          <w:bCs/>
        </w:rPr>
      </w:pPr>
      <w:r>
        <w:rPr>
          <w:bCs/>
        </w:rPr>
        <w:lastRenderedPageBreak/>
        <w:tab/>
        <w:t>Valoró que, en lo atinente a este d</w:t>
      </w:r>
      <w:r>
        <w:rPr>
          <w:bCs/>
        </w:rPr>
        <w:t>e</w:t>
      </w:r>
      <w:r>
        <w:rPr>
          <w:bCs/>
        </w:rPr>
        <w:t>lito, los acusadores volcaron de manera genérica la op</w:t>
      </w:r>
      <w:r>
        <w:rPr>
          <w:bCs/>
        </w:rPr>
        <w:t>i</w:t>
      </w:r>
      <w:r>
        <w:rPr>
          <w:bCs/>
        </w:rPr>
        <w:t>nión que algunos autores tendrían en torno a las especi</w:t>
      </w:r>
      <w:r>
        <w:rPr>
          <w:bCs/>
        </w:rPr>
        <w:t>a</w:t>
      </w:r>
      <w:r>
        <w:rPr>
          <w:bCs/>
        </w:rPr>
        <w:t>les características del tipo penal en cuestión, mantenie</w:t>
      </w:r>
      <w:r>
        <w:rPr>
          <w:bCs/>
        </w:rPr>
        <w:t>n</w:t>
      </w:r>
      <w:r>
        <w:rPr>
          <w:bCs/>
        </w:rPr>
        <w:t>do que omitieron explicar de qué manera todas esas categ</w:t>
      </w:r>
      <w:r>
        <w:rPr>
          <w:bCs/>
        </w:rPr>
        <w:t>o</w:t>
      </w:r>
      <w:r>
        <w:rPr>
          <w:bCs/>
        </w:rPr>
        <w:t>rizaciones resultaban aplicables a las circunstancias co</w:t>
      </w:r>
      <w:r>
        <w:rPr>
          <w:bCs/>
        </w:rPr>
        <w:t>m</w:t>
      </w:r>
      <w:r>
        <w:rPr>
          <w:bCs/>
        </w:rPr>
        <w:t>probadas de la ca</w:t>
      </w:r>
      <w:r>
        <w:rPr>
          <w:bCs/>
        </w:rPr>
        <w:t>u</w:t>
      </w:r>
      <w:r>
        <w:rPr>
          <w:bCs/>
        </w:rPr>
        <w:t>sa.</w:t>
      </w:r>
    </w:p>
    <w:p w:rsidR="00224567" w:rsidRDefault="00224567">
      <w:pPr>
        <w:widowControl w:val="0"/>
        <w:tabs>
          <w:tab w:val="left" w:pos="2835"/>
        </w:tabs>
        <w:ind w:firstLine="708"/>
        <w:rPr>
          <w:bCs/>
        </w:rPr>
      </w:pPr>
      <w:r>
        <w:rPr>
          <w:bCs/>
        </w:rPr>
        <w:tab/>
        <w:t>Consideró la defensa que es de aplic</w:t>
      </w:r>
      <w:r>
        <w:rPr>
          <w:bCs/>
        </w:rPr>
        <w:t>a</w:t>
      </w:r>
      <w:r>
        <w:rPr>
          <w:bCs/>
        </w:rPr>
        <w:t>ción al caso el criterio sostenido por el Dr. Martín Fed</w:t>
      </w:r>
      <w:r>
        <w:rPr>
          <w:bCs/>
        </w:rPr>
        <w:t>e</w:t>
      </w:r>
      <w:r>
        <w:rPr>
          <w:bCs/>
        </w:rPr>
        <w:t>rico al resolver la causa “Grau, Pablo Hernán y otros”, del Tribunal Oral en lo Criminal Federal nº 1 de esta ci</w:t>
      </w:r>
      <w:r>
        <w:rPr>
          <w:bCs/>
        </w:rPr>
        <w:t>u</w:t>
      </w:r>
      <w:r>
        <w:rPr>
          <w:bCs/>
        </w:rPr>
        <w:t>dad.</w:t>
      </w:r>
    </w:p>
    <w:p w:rsidR="00224567" w:rsidRDefault="00224567">
      <w:pPr>
        <w:widowControl w:val="0"/>
        <w:tabs>
          <w:tab w:val="left" w:pos="2835"/>
        </w:tabs>
        <w:ind w:firstLine="708"/>
        <w:rPr>
          <w:bCs/>
        </w:rPr>
      </w:pPr>
      <w:r>
        <w:rPr>
          <w:bCs/>
        </w:rPr>
        <w:tab/>
        <w:t>Sostuvo que no pudo determinarse con claridad cuáles fueron los elementos que los fiscales ut</w:t>
      </w:r>
      <w:r>
        <w:rPr>
          <w:bCs/>
        </w:rPr>
        <w:t>i</w:t>
      </w:r>
      <w:r>
        <w:rPr>
          <w:bCs/>
        </w:rPr>
        <w:t>lizaron para reprocharle a Ibarra el delito de as</w:t>
      </w:r>
      <w:r>
        <w:rPr>
          <w:bCs/>
        </w:rPr>
        <w:t>o</w:t>
      </w:r>
      <w:r>
        <w:rPr>
          <w:bCs/>
        </w:rPr>
        <w:t>ciación ilícita, y que tan pobre alegato comprometía el cabal ejercicio de la garantía de d</w:t>
      </w:r>
      <w:r>
        <w:rPr>
          <w:bCs/>
        </w:rPr>
        <w:t>e</w:t>
      </w:r>
      <w:r>
        <w:rPr>
          <w:bCs/>
        </w:rPr>
        <w:t>fensa en juicio, obligando a la defensa a im</w:t>
      </w:r>
      <w:r>
        <w:rPr>
          <w:bCs/>
        </w:rPr>
        <w:t>a</w:t>
      </w:r>
      <w:r>
        <w:rPr>
          <w:bCs/>
        </w:rPr>
        <w:t>ginar cuáles podrían ser los elementos de cargo que sustentaban tan grave imp</w:t>
      </w:r>
      <w:r>
        <w:rPr>
          <w:bCs/>
        </w:rPr>
        <w:t>u</w:t>
      </w:r>
      <w:r>
        <w:rPr>
          <w:bCs/>
        </w:rPr>
        <w:t>tación.</w:t>
      </w:r>
    </w:p>
    <w:p w:rsidR="00224567" w:rsidRDefault="00224567">
      <w:pPr>
        <w:widowControl w:val="0"/>
        <w:tabs>
          <w:tab w:val="left" w:pos="2835"/>
        </w:tabs>
        <w:ind w:firstLine="708"/>
        <w:rPr>
          <w:bCs/>
        </w:rPr>
      </w:pPr>
      <w:r>
        <w:rPr>
          <w:bCs/>
        </w:rPr>
        <w:tab/>
        <w:t>Así, manifestó el defensor que, forz</w:t>
      </w:r>
      <w:r>
        <w:rPr>
          <w:bCs/>
        </w:rPr>
        <w:t>a</w:t>
      </w:r>
      <w:r>
        <w:rPr>
          <w:bCs/>
        </w:rPr>
        <w:lastRenderedPageBreak/>
        <w:t>do por la contraparte, se vio embarcado en esa anómala m</w:t>
      </w:r>
      <w:r>
        <w:rPr>
          <w:bCs/>
        </w:rPr>
        <w:t>i</w:t>
      </w:r>
      <w:r>
        <w:rPr>
          <w:bCs/>
        </w:rPr>
        <w:t>sión de tratar de rastrear en la causa la presencia de eventuales indicios cargosos que el M</w:t>
      </w:r>
      <w:r>
        <w:rPr>
          <w:bCs/>
        </w:rPr>
        <w:t>i</w:t>
      </w:r>
      <w:r>
        <w:rPr>
          <w:bCs/>
        </w:rPr>
        <w:t>nisterio Público no se ocupó de individualizar deb</w:t>
      </w:r>
      <w:r>
        <w:rPr>
          <w:bCs/>
        </w:rPr>
        <w:t>i</w:t>
      </w:r>
      <w:r>
        <w:rPr>
          <w:bCs/>
        </w:rPr>
        <w:t>damente.</w:t>
      </w:r>
    </w:p>
    <w:p w:rsidR="00224567" w:rsidRDefault="00224567">
      <w:pPr>
        <w:widowControl w:val="0"/>
        <w:tabs>
          <w:tab w:val="left" w:pos="2835"/>
        </w:tabs>
        <w:ind w:firstLine="708"/>
        <w:rPr>
          <w:bCs/>
        </w:rPr>
      </w:pPr>
      <w:r>
        <w:rPr>
          <w:bCs/>
        </w:rPr>
        <w:tab/>
        <w:t>Afirmó también que los acusadores v</w:t>
      </w:r>
      <w:r>
        <w:rPr>
          <w:bCs/>
        </w:rPr>
        <w:t>a</w:t>
      </w:r>
      <w:r>
        <w:rPr>
          <w:bCs/>
        </w:rPr>
        <w:t>loraron que los elementos probatorios que acred</w:t>
      </w:r>
      <w:r>
        <w:rPr>
          <w:bCs/>
        </w:rPr>
        <w:t>i</w:t>
      </w:r>
      <w:r>
        <w:rPr>
          <w:bCs/>
        </w:rPr>
        <w:t>tarían la conformación de la asociación ilícita, podrían bu</w:t>
      </w:r>
      <w:r>
        <w:rPr>
          <w:bCs/>
        </w:rPr>
        <w:t>s</w:t>
      </w:r>
      <w:r>
        <w:rPr>
          <w:bCs/>
        </w:rPr>
        <w:t>carse en lo que llamaron “el conjunto de sucesos ilegales palmari</w:t>
      </w:r>
      <w:r>
        <w:rPr>
          <w:bCs/>
        </w:rPr>
        <w:t>a</w:t>
      </w:r>
      <w:r>
        <w:rPr>
          <w:bCs/>
        </w:rPr>
        <w:t>mente demostrados”, y que si el representante del Minist</w:t>
      </w:r>
      <w:r>
        <w:rPr>
          <w:bCs/>
        </w:rPr>
        <w:t>e</w:t>
      </w:r>
      <w:r>
        <w:rPr>
          <w:bCs/>
        </w:rPr>
        <w:t>rio Público se refirió a las supuestas maniobras extors</w:t>
      </w:r>
      <w:r>
        <w:rPr>
          <w:bCs/>
        </w:rPr>
        <w:t>i</w:t>
      </w:r>
      <w:r>
        <w:rPr>
          <w:bCs/>
        </w:rPr>
        <w:t>vas de las Brigadas de Lanús y de Vicente López, estaría deduciendo de ello que once policías equivalen a una as</w:t>
      </w:r>
      <w:r>
        <w:rPr>
          <w:bCs/>
        </w:rPr>
        <w:t>o</w:t>
      </w:r>
      <w:r>
        <w:rPr>
          <w:bCs/>
        </w:rPr>
        <w:t>ciación ilícita en los términos del art. 210 del Código Penal.</w:t>
      </w:r>
    </w:p>
    <w:p w:rsidR="00224567" w:rsidRDefault="00224567">
      <w:pPr>
        <w:widowControl w:val="0"/>
        <w:tabs>
          <w:tab w:val="left" w:pos="2835"/>
        </w:tabs>
        <w:ind w:firstLine="708"/>
        <w:rPr>
          <w:bCs/>
        </w:rPr>
      </w:pPr>
      <w:r>
        <w:rPr>
          <w:bCs/>
        </w:rPr>
        <w:tab/>
        <w:t>Remarcó la defensa que ningún eleme</w:t>
      </w:r>
      <w:r>
        <w:rPr>
          <w:bCs/>
        </w:rPr>
        <w:t>n</w:t>
      </w:r>
      <w:r>
        <w:rPr>
          <w:bCs/>
        </w:rPr>
        <w:t>to surge de la causa que permita afirmar que existía para el año 1994 un actuar concertado entre los imputados int</w:t>
      </w:r>
      <w:r>
        <w:rPr>
          <w:bCs/>
        </w:rPr>
        <w:t>e</w:t>
      </w:r>
      <w:r>
        <w:rPr>
          <w:bCs/>
        </w:rPr>
        <w:t>grantes de las Brigadas de Vicente López y de Lanús, adh</w:t>
      </w:r>
      <w:r>
        <w:rPr>
          <w:bCs/>
        </w:rPr>
        <w:t>i</w:t>
      </w:r>
      <w:r>
        <w:rPr>
          <w:bCs/>
        </w:rPr>
        <w:t>riendo a lo so</w:t>
      </w:r>
      <w:r>
        <w:rPr>
          <w:bCs/>
        </w:rPr>
        <w:t>s</w:t>
      </w:r>
      <w:r>
        <w:rPr>
          <w:bCs/>
        </w:rPr>
        <w:t>tenido por el Dr. Ubeira.</w:t>
      </w:r>
    </w:p>
    <w:p w:rsidR="00224567" w:rsidRDefault="00224567">
      <w:pPr>
        <w:widowControl w:val="0"/>
        <w:tabs>
          <w:tab w:val="left" w:pos="2835"/>
        </w:tabs>
        <w:ind w:firstLine="708"/>
        <w:rPr>
          <w:bCs/>
        </w:rPr>
      </w:pPr>
      <w:r>
        <w:rPr>
          <w:bCs/>
        </w:rPr>
        <w:tab/>
        <w:t>Complementariamente, agregó el defe</w:t>
      </w:r>
      <w:r>
        <w:rPr>
          <w:bCs/>
        </w:rPr>
        <w:t>n</w:t>
      </w:r>
      <w:r>
        <w:rPr>
          <w:bCs/>
        </w:rPr>
        <w:t xml:space="preserve">sor que el dato que se hubieran cruzado algunos de los </w:t>
      </w:r>
      <w:r>
        <w:rPr>
          <w:bCs/>
        </w:rPr>
        <w:lastRenderedPageBreak/>
        <w:t>funcionarios en sus destinos resultaba un indicio de una debilidad extrema, porque lo mismo p</w:t>
      </w:r>
      <w:r>
        <w:rPr>
          <w:bCs/>
        </w:rPr>
        <w:t>a</w:t>
      </w:r>
      <w:r>
        <w:rPr>
          <w:bCs/>
        </w:rPr>
        <w:t>saba con el personal en otros sectores de la adm</w:t>
      </w:r>
      <w:r>
        <w:rPr>
          <w:bCs/>
        </w:rPr>
        <w:t>i</w:t>
      </w:r>
      <w:r>
        <w:rPr>
          <w:bCs/>
        </w:rPr>
        <w:t>nistración y de los distintos poderes del Est</w:t>
      </w:r>
      <w:r>
        <w:rPr>
          <w:bCs/>
        </w:rPr>
        <w:t>a</w:t>
      </w:r>
      <w:r>
        <w:rPr>
          <w:bCs/>
        </w:rPr>
        <w:t>do.</w:t>
      </w:r>
    </w:p>
    <w:p w:rsidR="00224567" w:rsidRDefault="00224567">
      <w:pPr>
        <w:widowControl w:val="0"/>
        <w:tabs>
          <w:tab w:val="left" w:pos="2835"/>
        </w:tabs>
        <w:ind w:firstLine="708"/>
        <w:rPr>
          <w:bCs/>
        </w:rPr>
      </w:pPr>
      <w:r>
        <w:rPr>
          <w:bCs/>
        </w:rPr>
        <w:tab/>
        <w:t>Respecto a la supuesta exhibición de placas, realizada por los policías de Vicente López en V</w:t>
      </w:r>
      <w:r>
        <w:rPr>
          <w:bCs/>
        </w:rPr>
        <w:t>i</w:t>
      </w:r>
      <w:r>
        <w:rPr>
          <w:bCs/>
        </w:rPr>
        <w:t>lla Ballester a Telleldín, luego de la advertencia que é</w:t>
      </w:r>
      <w:r>
        <w:rPr>
          <w:bCs/>
        </w:rPr>
        <w:t>s</w:t>
      </w:r>
      <w:r>
        <w:rPr>
          <w:bCs/>
        </w:rPr>
        <w:t>te le formulara a Casas en Lanús, el defensor destacó que, ateniéndose a tan particular hipótesis, Casas necesari</w:t>
      </w:r>
      <w:r>
        <w:rPr>
          <w:bCs/>
        </w:rPr>
        <w:t>a</w:t>
      </w:r>
      <w:r>
        <w:rPr>
          <w:bCs/>
        </w:rPr>
        <w:t>mente debió poner en conocimiento de sus camaradas el r</w:t>
      </w:r>
      <w:r>
        <w:rPr>
          <w:bCs/>
        </w:rPr>
        <w:t>e</w:t>
      </w:r>
      <w:r>
        <w:rPr>
          <w:bCs/>
        </w:rPr>
        <w:t>proche que le formuló Telleldín, lo que es groseramente contradictorio, ya que éste, protag</w:t>
      </w:r>
      <w:r>
        <w:rPr>
          <w:bCs/>
        </w:rPr>
        <w:t>o</w:t>
      </w:r>
      <w:r>
        <w:rPr>
          <w:bCs/>
        </w:rPr>
        <w:t>nista principal de esa tesis, denominada “broche de oro” por los acusadores, no fue incluido en la imputación dentro del grupo de asoci</w:t>
      </w:r>
      <w:r>
        <w:rPr>
          <w:bCs/>
        </w:rPr>
        <w:t>a</w:t>
      </w:r>
      <w:r>
        <w:rPr>
          <w:bCs/>
        </w:rPr>
        <w:t>dos ilícit</w:t>
      </w:r>
      <w:r>
        <w:rPr>
          <w:bCs/>
        </w:rPr>
        <w:t>a</w:t>
      </w:r>
      <w:r>
        <w:rPr>
          <w:bCs/>
        </w:rPr>
        <w:t>mente.</w:t>
      </w:r>
    </w:p>
    <w:p w:rsidR="00224567" w:rsidRDefault="00224567">
      <w:pPr>
        <w:widowControl w:val="0"/>
        <w:tabs>
          <w:tab w:val="left" w:pos="2835"/>
        </w:tabs>
        <w:ind w:firstLine="708"/>
        <w:rPr>
          <w:bCs/>
        </w:rPr>
      </w:pPr>
      <w:r>
        <w:rPr>
          <w:bCs/>
        </w:rPr>
        <w:tab/>
        <w:t>Detalló el defensor que, inclusive, sólo a Leal se le reprochó el ilícito, omitiéndose igual criterio con su acompañante, el suboficial Ga</w:t>
      </w:r>
      <w:r>
        <w:rPr>
          <w:bCs/>
        </w:rPr>
        <w:t>r</w:t>
      </w:r>
      <w:r>
        <w:rPr>
          <w:bCs/>
        </w:rPr>
        <w:t>cía, siendo que los dos habrían exhibido sus credenci</w:t>
      </w:r>
      <w:r>
        <w:rPr>
          <w:bCs/>
        </w:rPr>
        <w:t>a</w:t>
      </w:r>
      <w:r>
        <w:rPr>
          <w:bCs/>
        </w:rPr>
        <w:t>les a Telleldín el 14 de j</w:t>
      </w:r>
      <w:r>
        <w:rPr>
          <w:bCs/>
        </w:rPr>
        <w:t>u</w:t>
      </w:r>
      <w:r>
        <w:rPr>
          <w:bCs/>
        </w:rPr>
        <w:t>lio de 1994.</w:t>
      </w:r>
    </w:p>
    <w:p w:rsidR="00224567" w:rsidRDefault="00224567">
      <w:pPr>
        <w:widowControl w:val="0"/>
        <w:tabs>
          <w:tab w:val="left" w:pos="2835"/>
        </w:tabs>
        <w:ind w:firstLine="708"/>
        <w:rPr>
          <w:bCs/>
        </w:rPr>
      </w:pPr>
      <w:r>
        <w:rPr>
          <w:bCs/>
        </w:rPr>
        <w:lastRenderedPageBreak/>
        <w:tab/>
        <w:t>Recordó la defensa que García ni s</w:t>
      </w:r>
      <w:r>
        <w:rPr>
          <w:bCs/>
        </w:rPr>
        <w:t>i</w:t>
      </w:r>
      <w:r>
        <w:rPr>
          <w:bCs/>
        </w:rPr>
        <w:t>quiera fue preguntado por los fiscales si conocía la exi</w:t>
      </w:r>
      <w:r>
        <w:rPr>
          <w:bCs/>
        </w:rPr>
        <w:t>s</w:t>
      </w:r>
      <w:r>
        <w:rPr>
          <w:bCs/>
        </w:rPr>
        <w:t>tencia del supue</w:t>
      </w:r>
      <w:r>
        <w:rPr>
          <w:bCs/>
        </w:rPr>
        <w:t>s</w:t>
      </w:r>
      <w:r>
        <w:rPr>
          <w:bCs/>
        </w:rPr>
        <w:t>to mensaje de sus pares de la zona sur, o si había recibido instrucciones de sus superiores en ese sentido, señalando también que, acudiendo a las reglas de la experiencia, era algo habitual en los procedimientos policiales, sobre todo en los que actuaba personal de c</w:t>
      </w:r>
      <w:r>
        <w:rPr>
          <w:bCs/>
        </w:rPr>
        <w:t>i</w:t>
      </w:r>
      <w:r>
        <w:rPr>
          <w:bCs/>
        </w:rPr>
        <w:t>vil, que los preventores procedieran a identificarse como tales mediante la exhibición de sus respectivas credenci</w:t>
      </w:r>
      <w:r>
        <w:rPr>
          <w:bCs/>
        </w:rPr>
        <w:t>a</w:t>
      </w:r>
      <w:r>
        <w:rPr>
          <w:bCs/>
        </w:rPr>
        <w:t>les.</w:t>
      </w:r>
    </w:p>
    <w:p w:rsidR="00224567" w:rsidRDefault="00224567">
      <w:pPr>
        <w:widowControl w:val="0"/>
        <w:tabs>
          <w:tab w:val="left" w:pos="2835"/>
        </w:tabs>
        <w:ind w:firstLine="708"/>
        <w:rPr>
          <w:bCs/>
        </w:rPr>
      </w:pPr>
      <w:r>
        <w:rPr>
          <w:bCs/>
        </w:rPr>
        <w:tab/>
        <w:t>Consideró una afrenta para la razón que, luego de ocho años de investigar de manera obses</w:t>
      </w:r>
      <w:r>
        <w:rPr>
          <w:bCs/>
        </w:rPr>
        <w:t>i</w:t>
      </w:r>
      <w:r>
        <w:rPr>
          <w:bCs/>
        </w:rPr>
        <w:t>va a cada uno de los policías imputados sin poder est</w:t>
      </w:r>
      <w:r>
        <w:rPr>
          <w:bCs/>
        </w:rPr>
        <w:t>a</w:t>
      </w:r>
      <w:r>
        <w:rPr>
          <w:bCs/>
        </w:rPr>
        <w:t>blecer un solo vínculo entre las dos brigadas, los fi</w:t>
      </w:r>
      <w:r>
        <w:rPr>
          <w:bCs/>
        </w:rPr>
        <w:t>s</w:t>
      </w:r>
      <w:r>
        <w:rPr>
          <w:bCs/>
        </w:rPr>
        <w:t>cales echaran mano a ese desopilante argumento para responsabilizar a Ibarra por tan gr</w:t>
      </w:r>
      <w:r>
        <w:rPr>
          <w:bCs/>
        </w:rPr>
        <w:t>a</w:t>
      </w:r>
      <w:r>
        <w:rPr>
          <w:bCs/>
        </w:rPr>
        <w:t>ve delito.</w:t>
      </w:r>
    </w:p>
    <w:p w:rsidR="00224567" w:rsidRDefault="00224567">
      <w:pPr>
        <w:widowControl w:val="0"/>
        <w:tabs>
          <w:tab w:val="left" w:pos="2835"/>
        </w:tabs>
        <w:ind w:firstLine="708"/>
        <w:rPr>
          <w:bCs/>
        </w:rPr>
      </w:pPr>
      <w:r>
        <w:rPr>
          <w:bCs/>
        </w:rPr>
        <w:tab/>
        <w:t>Arguyó que, lejos de concurrir algún indicio que permitiese insinuar la existencia de un acci</w:t>
      </w:r>
      <w:r>
        <w:rPr>
          <w:bCs/>
        </w:rPr>
        <w:t>o</w:t>
      </w:r>
      <w:r>
        <w:rPr>
          <w:bCs/>
        </w:rPr>
        <w:t>nar conjunto entre los efectivos de ambas brigadas, apar</w:t>
      </w:r>
      <w:r>
        <w:rPr>
          <w:bCs/>
        </w:rPr>
        <w:t>e</w:t>
      </w:r>
      <w:r>
        <w:rPr>
          <w:bCs/>
        </w:rPr>
        <w:t xml:space="preserve">cían en la causa datos que por el contrario, demostraban que esta asociación ilícita no era más que una expresión </w:t>
      </w:r>
      <w:r>
        <w:rPr>
          <w:bCs/>
        </w:rPr>
        <w:lastRenderedPageBreak/>
        <w:t>de deseo de quienes pretendían sostener, a cualquier pr</w:t>
      </w:r>
      <w:r>
        <w:rPr>
          <w:bCs/>
        </w:rPr>
        <w:t>e</w:t>
      </w:r>
      <w:r>
        <w:rPr>
          <w:bCs/>
        </w:rPr>
        <w:t>cio, la ve</w:t>
      </w:r>
      <w:r>
        <w:rPr>
          <w:bCs/>
        </w:rPr>
        <w:t>r</w:t>
      </w:r>
      <w:r>
        <w:rPr>
          <w:bCs/>
        </w:rPr>
        <w:t>sión  oficial de la causa.</w:t>
      </w:r>
    </w:p>
    <w:p w:rsidR="00224567" w:rsidRDefault="00224567">
      <w:pPr>
        <w:widowControl w:val="0"/>
        <w:tabs>
          <w:tab w:val="left" w:pos="2835"/>
        </w:tabs>
        <w:rPr>
          <w:bCs/>
        </w:rPr>
      </w:pPr>
      <w:r>
        <w:rPr>
          <w:bCs/>
        </w:rPr>
        <w:tab/>
        <w:t>Uno de ellos, conjeturó la defensa, era la imposibilidad de explicar por qué cuando la organ</w:t>
      </w:r>
      <w:r>
        <w:rPr>
          <w:bCs/>
        </w:rPr>
        <w:t>i</w:t>
      </w:r>
      <w:r>
        <w:rPr>
          <w:bCs/>
        </w:rPr>
        <w:t>zación decidió realizar un procedimiento presuntamente ilegal, como sería el del 15 de marzo, en plena jurisdi</w:t>
      </w:r>
      <w:r>
        <w:rPr>
          <w:bCs/>
        </w:rPr>
        <w:t>c</w:t>
      </w:r>
      <w:r>
        <w:rPr>
          <w:bCs/>
        </w:rPr>
        <w:t xml:space="preserve">ción de </w:t>
      </w:r>
      <w:smartTag w:uri="urn:schemas-microsoft-com:office:smarttags" w:element="PersonName">
        <w:smartTagPr>
          <w:attr w:name="ProductID" w:val="la Brigada"/>
        </w:smartTagPr>
        <w:r>
          <w:rPr>
            <w:bCs/>
          </w:rPr>
          <w:t>la Brigada</w:t>
        </w:r>
      </w:smartTag>
      <w:r>
        <w:rPr>
          <w:bCs/>
        </w:rPr>
        <w:t xml:space="preserve"> de Vicente López, se optó por e</w:t>
      </w:r>
      <w:r>
        <w:rPr>
          <w:bCs/>
        </w:rPr>
        <w:t>n</w:t>
      </w:r>
      <w:r>
        <w:rPr>
          <w:bCs/>
        </w:rPr>
        <w:t>viar a una comisión integrada por miembros que estaban en funci</w:t>
      </w:r>
      <w:r>
        <w:rPr>
          <w:bCs/>
        </w:rPr>
        <w:t>o</w:t>
      </w:r>
      <w:r>
        <w:rPr>
          <w:bCs/>
        </w:rPr>
        <w:t>nes en la z</w:t>
      </w:r>
      <w:r>
        <w:rPr>
          <w:bCs/>
        </w:rPr>
        <w:t>o</w:t>
      </w:r>
      <w:r>
        <w:rPr>
          <w:bCs/>
        </w:rPr>
        <w:t>na sur de la provincia.</w:t>
      </w:r>
    </w:p>
    <w:p w:rsidR="00224567" w:rsidRDefault="00224567">
      <w:pPr>
        <w:widowControl w:val="0"/>
        <w:tabs>
          <w:tab w:val="left" w:pos="2835"/>
        </w:tabs>
        <w:ind w:firstLine="708"/>
        <w:rPr>
          <w:bCs/>
        </w:rPr>
      </w:pPr>
      <w:r>
        <w:rPr>
          <w:bCs/>
        </w:rPr>
        <w:tab/>
        <w:t>Sobre el punto, añadió que no podía exponerse lógicamente que la inteligencia sobre el domic</w:t>
      </w:r>
      <w:r>
        <w:rPr>
          <w:bCs/>
        </w:rPr>
        <w:t>i</w:t>
      </w:r>
      <w:r>
        <w:rPr>
          <w:bCs/>
        </w:rPr>
        <w:t>lio de Villa Ballester, previo al oper</w:t>
      </w:r>
      <w:r>
        <w:rPr>
          <w:bCs/>
        </w:rPr>
        <w:t>a</w:t>
      </w:r>
      <w:r>
        <w:rPr>
          <w:bCs/>
        </w:rPr>
        <w:t>tivo de “El Barril” de Olivos, le fuera encomendada al subcomisario Ibarra sin la colaboración de algún funcionario de Vicente López, siendo que ellos eran quienes operaban habitualmente en esa local</w:t>
      </w:r>
      <w:r>
        <w:rPr>
          <w:bCs/>
        </w:rPr>
        <w:t>i</w:t>
      </w:r>
      <w:r>
        <w:rPr>
          <w:bCs/>
        </w:rPr>
        <w:t>dad.</w:t>
      </w:r>
    </w:p>
    <w:p w:rsidR="00224567" w:rsidRDefault="00224567">
      <w:pPr>
        <w:widowControl w:val="0"/>
        <w:tabs>
          <w:tab w:val="left" w:pos="2835"/>
        </w:tabs>
        <w:ind w:firstLine="708"/>
        <w:rPr>
          <w:bCs/>
        </w:rPr>
      </w:pPr>
      <w:r>
        <w:rPr>
          <w:bCs/>
        </w:rPr>
        <w:tab/>
        <w:t>Destacó también que no conocían el l</w:t>
      </w:r>
      <w:r>
        <w:rPr>
          <w:bCs/>
        </w:rPr>
        <w:t>u</w:t>
      </w:r>
      <w:r>
        <w:rPr>
          <w:bCs/>
        </w:rPr>
        <w:t>gar y que el testigo Duday manifestó que Ibarra, Casas y Toledo, le preguntaron cuál era el camino que tenían que tomar para abandonar la zona de Villa Balle</w:t>
      </w:r>
      <w:r>
        <w:rPr>
          <w:bCs/>
        </w:rPr>
        <w:t>s</w:t>
      </w:r>
      <w:r>
        <w:rPr>
          <w:bCs/>
        </w:rPr>
        <w:t>ter.</w:t>
      </w:r>
    </w:p>
    <w:p w:rsidR="00224567" w:rsidRDefault="00224567">
      <w:pPr>
        <w:widowControl w:val="0"/>
        <w:tabs>
          <w:tab w:val="left" w:pos="2835"/>
        </w:tabs>
        <w:ind w:firstLine="708"/>
        <w:rPr>
          <w:bCs/>
        </w:rPr>
      </w:pPr>
      <w:r>
        <w:rPr>
          <w:bCs/>
        </w:rPr>
        <w:lastRenderedPageBreak/>
        <w:tab/>
        <w:t>Tampoco puede explicarse, a ju</w:t>
      </w:r>
      <w:r>
        <w:rPr>
          <w:bCs/>
        </w:rPr>
        <w:t>i</w:t>
      </w:r>
      <w:r>
        <w:rPr>
          <w:bCs/>
        </w:rPr>
        <w:t>cio de la defensa, por qué el 4 de abril la organización il</w:t>
      </w:r>
      <w:r>
        <w:rPr>
          <w:bCs/>
        </w:rPr>
        <w:t>í</w:t>
      </w:r>
      <w:r>
        <w:rPr>
          <w:bCs/>
        </w:rPr>
        <w:t xml:space="preserve">cita se expuso a cruzar </w:t>
      </w:r>
      <w:smartTag w:uri="urn:schemas-microsoft-com:office:smarttags" w:element="PersonName">
        <w:smartTagPr>
          <w:attr w:name="ProductID" w:val="la Capital Federal"/>
        </w:smartTagPr>
        <w:r>
          <w:rPr>
            <w:bCs/>
          </w:rPr>
          <w:t>la Capital Fed</w:t>
        </w:r>
        <w:r>
          <w:rPr>
            <w:bCs/>
          </w:rPr>
          <w:t>e</w:t>
        </w:r>
        <w:r>
          <w:rPr>
            <w:bCs/>
          </w:rPr>
          <w:t>ral</w:t>
        </w:r>
      </w:smartTag>
      <w:r>
        <w:rPr>
          <w:bCs/>
        </w:rPr>
        <w:t>, llevando detenido a Telleldín oculto bajo una frazada, hasta la localidad de Avellaneda, cuando podían conjurar ese supuesto riesgo d</w:t>
      </w:r>
      <w:r>
        <w:rPr>
          <w:bCs/>
        </w:rPr>
        <w:t>e</w:t>
      </w:r>
      <w:r>
        <w:rPr>
          <w:bCs/>
        </w:rPr>
        <w:t>rivando la aprehendida a la brigada de sus socios de V</w:t>
      </w:r>
      <w:r>
        <w:rPr>
          <w:bCs/>
        </w:rPr>
        <w:t>i</w:t>
      </w:r>
      <w:r>
        <w:rPr>
          <w:bCs/>
        </w:rPr>
        <w:t>cente López.</w:t>
      </w:r>
    </w:p>
    <w:p w:rsidR="00224567" w:rsidRDefault="00224567">
      <w:pPr>
        <w:widowControl w:val="0"/>
        <w:tabs>
          <w:tab w:val="left" w:pos="2835"/>
        </w:tabs>
        <w:ind w:firstLine="708"/>
        <w:rPr>
          <w:bCs/>
        </w:rPr>
      </w:pPr>
      <w:r>
        <w:rPr>
          <w:bCs/>
        </w:rPr>
        <w:tab/>
        <w:t>Remarcó que, luego de tantos años de escudriñar a los imputados policías, los acusadores no s</w:t>
      </w:r>
      <w:r>
        <w:rPr>
          <w:bCs/>
        </w:rPr>
        <w:t>ó</w:t>
      </w:r>
      <w:r>
        <w:rPr>
          <w:bCs/>
        </w:rPr>
        <w:t>lo no pudieron demostrar un conocimiento previo entre los efectivos de las dos dependencias, sino que tampoco se d</w:t>
      </w:r>
      <w:r>
        <w:rPr>
          <w:bCs/>
        </w:rPr>
        <w:t>e</w:t>
      </w:r>
      <w:r>
        <w:rPr>
          <w:bCs/>
        </w:rPr>
        <w:t>tectó ni un sólo cruce telefónico, una carta, una nota m</w:t>
      </w:r>
      <w:r>
        <w:rPr>
          <w:bCs/>
        </w:rPr>
        <w:t>a</w:t>
      </w:r>
      <w:r>
        <w:rPr>
          <w:bCs/>
        </w:rPr>
        <w:t>nuscrita, o cualquier otro elemento que sirviera como i</w:t>
      </w:r>
      <w:r>
        <w:rPr>
          <w:bCs/>
        </w:rPr>
        <w:t>n</w:t>
      </w:r>
      <w:r>
        <w:rPr>
          <w:bCs/>
        </w:rPr>
        <w:t>dicio para vincularlos siquiera mínimamente entre sí; y que sólo recurriendo mañosamente a los dichos volcados en su declaración nula por el arrepentido Carlos Telleldín podrían seguir aventurando los acusadores la exi</w:t>
      </w:r>
      <w:r>
        <w:rPr>
          <w:bCs/>
        </w:rPr>
        <w:t>s</w:t>
      </w:r>
      <w:r>
        <w:rPr>
          <w:bCs/>
        </w:rPr>
        <w:t>tencia de contactos entre algunos de los miembros de las dos brig</w:t>
      </w:r>
      <w:r>
        <w:rPr>
          <w:bCs/>
        </w:rPr>
        <w:t>a</w:t>
      </w:r>
      <w:r>
        <w:rPr>
          <w:bCs/>
        </w:rPr>
        <w:t>das.</w:t>
      </w:r>
    </w:p>
    <w:p w:rsidR="00224567" w:rsidRDefault="00224567">
      <w:pPr>
        <w:widowControl w:val="0"/>
        <w:tabs>
          <w:tab w:val="left" w:pos="2835"/>
        </w:tabs>
        <w:ind w:firstLine="708"/>
        <w:rPr>
          <w:bCs/>
        </w:rPr>
      </w:pPr>
      <w:r>
        <w:rPr>
          <w:bCs/>
        </w:rPr>
        <w:tab/>
        <w:t xml:space="preserve">Infirió que el Ministerio Público no tuvo reparos en dedicar mucho tiempo a la exhibición de </w:t>
      </w:r>
      <w:r>
        <w:rPr>
          <w:bCs/>
        </w:rPr>
        <w:lastRenderedPageBreak/>
        <w:t>fotografías de las víctimas del ate</w:t>
      </w:r>
      <w:r>
        <w:rPr>
          <w:bCs/>
        </w:rPr>
        <w:t>n</w:t>
      </w:r>
      <w:r>
        <w:rPr>
          <w:bCs/>
        </w:rPr>
        <w:t>tado y que, cuando le llegó el trascendental momento de cumplir con su oblig</w:t>
      </w:r>
      <w:r>
        <w:rPr>
          <w:bCs/>
        </w:rPr>
        <w:t>a</w:t>
      </w:r>
      <w:r>
        <w:rPr>
          <w:bCs/>
        </w:rPr>
        <w:t>ción de describir cuáles fueron los roles y tareas que desempeñaron cada uno de los imputados dentro de la s</w:t>
      </w:r>
      <w:r>
        <w:rPr>
          <w:bCs/>
        </w:rPr>
        <w:t>u</w:t>
      </w:r>
      <w:r>
        <w:rPr>
          <w:bCs/>
        </w:rPr>
        <w:t>puesta asociación ilícita, con el fin de sortear la obl</w:t>
      </w:r>
      <w:r>
        <w:rPr>
          <w:bCs/>
        </w:rPr>
        <w:t>i</w:t>
      </w:r>
      <w:r>
        <w:rPr>
          <w:bCs/>
        </w:rPr>
        <w:t>gación de explicar cómo era que se dividían las funciones de sus integrantes, asever</w:t>
      </w:r>
      <w:r>
        <w:rPr>
          <w:bCs/>
        </w:rPr>
        <w:t>a</w:t>
      </w:r>
      <w:r>
        <w:rPr>
          <w:bCs/>
        </w:rPr>
        <w:t>ron de manera genérica que los roles y tareas se hallaban previamente determinados de acuerdo al rango que ostentaban los procesados dentro de la fue</w:t>
      </w:r>
      <w:r>
        <w:rPr>
          <w:bCs/>
        </w:rPr>
        <w:t>r</w:t>
      </w:r>
      <w:r>
        <w:rPr>
          <w:bCs/>
        </w:rPr>
        <w:t>za policial.</w:t>
      </w:r>
    </w:p>
    <w:p w:rsidR="00224567" w:rsidRDefault="00224567">
      <w:pPr>
        <w:widowControl w:val="0"/>
        <w:tabs>
          <w:tab w:val="left" w:pos="2835"/>
        </w:tabs>
        <w:ind w:firstLine="708"/>
        <w:rPr>
          <w:bCs/>
        </w:rPr>
      </w:pPr>
      <w:r>
        <w:rPr>
          <w:bCs/>
        </w:rPr>
        <w:tab/>
        <w:t>Agregó que de ser ello así debía rep</w:t>
      </w:r>
      <w:r>
        <w:rPr>
          <w:bCs/>
        </w:rPr>
        <w:t>a</w:t>
      </w:r>
      <w:r>
        <w:rPr>
          <w:bCs/>
        </w:rPr>
        <w:t>rarse que el rango más alto lo ostentaba el comisario Bu</w:t>
      </w:r>
      <w:r>
        <w:rPr>
          <w:bCs/>
        </w:rPr>
        <w:t>r</w:t>
      </w:r>
      <w:r>
        <w:rPr>
          <w:bCs/>
        </w:rPr>
        <w:t>guete, seguido en orden de jerarquía por el subcomisario Huici, que era más antiguo que Ribelli en la institución policial, por lo que de esta manera, aparec</w:t>
      </w:r>
      <w:r>
        <w:rPr>
          <w:bCs/>
        </w:rPr>
        <w:t>e</w:t>
      </w:r>
      <w:r>
        <w:rPr>
          <w:bCs/>
        </w:rPr>
        <w:t>ría dentro de la misma acusación un nuevo cortocircuito o error mat</w:t>
      </w:r>
      <w:r>
        <w:rPr>
          <w:bCs/>
        </w:rPr>
        <w:t>e</w:t>
      </w:r>
      <w:r>
        <w:rPr>
          <w:bCs/>
        </w:rPr>
        <w:t>rial, ya que el Dr. Nisman en el mismo alegato, poco tie</w:t>
      </w:r>
      <w:r>
        <w:rPr>
          <w:bCs/>
        </w:rPr>
        <w:t>m</w:t>
      </w:r>
      <w:r>
        <w:rPr>
          <w:bCs/>
        </w:rPr>
        <w:t>po antes, tuvo por ciertas las manifestaciones de Hu</w:t>
      </w:r>
      <w:r>
        <w:rPr>
          <w:bCs/>
        </w:rPr>
        <w:t>i</w:t>
      </w:r>
      <w:r>
        <w:rPr>
          <w:bCs/>
        </w:rPr>
        <w:t>ci en cuanto a que este debió declarar en un sentido d</w:t>
      </w:r>
      <w:r>
        <w:rPr>
          <w:bCs/>
        </w:rPr>
        <w:t>e</w:t>
      </w:r>
      <w:r>
        <w:rPr>
          <w:bCs/>
        </w:rPr>
        <w:t>terminado en la causa de Quilmes, debido al temor fundado por la p</w:t>
      </w:r>
      <w:r>
        <w:rPr>
          <w:bCs/>
        </w:rPr>
        <w:t>o</w:t>
      </w:r>
      <w:r>
        <w:rPr>
          <w:bCs/>
        </w:rPr>
        <w:lastRenderedPageBreak/>
        <w:t>sición de poder que eje</w:t>
      </w:r>
      <w:r>
        <w:rPr>
          <w:bCs/>
        </w:rPr>
        <w:t>r</w:t>
      </w:r>
      <w:r>
        <w:rPr>
          <w:bCs/>
        </w:rPr>
        <w:t>cía Ribelli en ese momento dentro de la fue</w:t>
      </w:r>
      <w:r>
        <w:rPr>
          <w:bCs/>
        </w:rPr>
        <w:t>r</w:t>
      </w:r>
      <w:r>
        <w:rPr>
          <w:bCs/>
        </w:rPr>
        <w:t>za.</w:t>
      </w:r>
    </w:p>
    <w:p w:rsidR="00224567" w:rsidRDefault="00224567">
      <w:pPr>
        <w:widowControl w:val="0"/>
        <w:tabs>
          <w:tab w:val="left" w:pos="2835"/>
        </w:tabs>
        <w:ind w:firstLine="708"/>
        <w:rPr>
          <w:bCs/>
        </w:rPr>
      </w:pPr>
      <w:r>
        <w:rPr>
          <w:bCs/>
        </w:rPr>
        <w:tab/>
        <w:t>Complementó su argumento razonado que un miembro de menor rango dentro de la asociación il</w:t>
      </w:r>
      <w:r>
        <w:rPr>
          <w:bCs/>
        </w:rPr>
        <w:t>í</w:t>
      </w:r>
      <w:r>
        <w:rPr>
          <w:bCs/>
        </w:rPr>
        <w:t>cita, Juan José Ribelli, influía de manera determinante en las decisiones de Huici o Burguete, quienes detentaban una p</w:t>
      </w:r>
      <w:r>
        <w:rPr>
          <w:bCs/>
        </w:rPr>
        <w:t>o</w:t>
      </w:r>
      <w:r>
        <w:rPr>
          <w:bCs/>
        </w:rPr>
        <w:t>sición más e</w:t>
      </w:r>
      <w:r>
        <w:rPr>
          <w:bCs/>
        </w:rPr>
        <w:t>n</w:t>
      </w:r>
      <w:r>
        <w:rPr>
          <w:bCs/>
        </w:rPr>
        <w:t>cumbrada en la fuerza.</w:t>
      </w:r>
    </w:p>
    <w:p w:rsidR="00224567" w:rsidRDefault="00224567">
      <w:pPr>
        <w:widowControl w:val="0"/>
        <w:tabs>
          <w:tab w:val="left" w:pos="2835"/>
        </w:tabs>
        <w:ind w:firstLine="708"/>
        <w:rPr>
          <w:bCs/>
        </w:rPr>
      </w:pPr>
      <w:r>
        <w:rPr>
          <w:bCs/>
        </w:rPr>
        <w:tab/>
        <w:t>Agregó que ninguno de los imputados manifestó expresamente en la causa el haber formado una asociación ilícita, ni existieron hechos que de manera i</w:t>
      </w:r>
      <w:r>
        <w:rPr>
          <w:bCs/>
        </w:rPr>
        <w:t>m</w:t>
      </w:r>
      <w:r>
        <w:rPr>
          <w:bCs/>
        </w:rPr>
        <w:t>plícita demostraran su existencia, ya que quedó claro que no existió ni un mínimo contacto, ni mucho menos un pacto criminal entre los efectivos de las dos brigadas.</w:t>
      </w:r>
    </w:p>
    <w:p w:rsidR="00224567" w:rsidRDefault="00224567">
      <w:pPr>
        <w:widowControl w:val="0"/>
        <w:tabs>
          <w:tab w:val="left" w:pos="2835"/>
        </w:tabs>
        <w:ind w:firstLine="708"/>
        <w:rPr>
          <w:bCs/>
        </w:rPr>
      </w:pPr>
      <w:r>
        <w:rPr>
          <w:bCs/>
        </w:rPr>
        <w:tab/>
        <w:t>Argumentó que la doctrina exige para tener por configurado el delito la presencia de indicios que, apoyados en pruebas directas, demuestren la existe</w:t>
      </w:r>
      <w:r>
        <w:rPr>
          <w:bCs/>
        </w:rPr>
        <w:t>n</w:t>
      </w:r>
      <w:r>
        <w:rPr>
          <w:bCs/>
        </w:rPr>
        <w:t>cia de la asociación. Tras citar en apoyo de sus dichos algunos autores, concluyó que en los hechos que invol</w:t>
      </w:r>
      <w:r>
        <w:rPr>
          <w:bCs/>
        </w:rPr>
        <w:t>u</w:t>
      </w:r>
      <w:r>
        <w:rPr>
          <w:bCs/>
        </w:rPr>
        <w:t xml:space="preserve">cran a </w:t>
      </w:r>
      <w:smartTag w:uri="urn:schemas-microsoft-com:office:smarttags" w:element="PersonName">
        <w:smartTagPr>
          <w:attr w:name="ProductID" w:val="la Brigada"/>
        </w:smartTagPr>
        <w:r>
          <w:rPr>
            <w:bCs/>
          </w:rPr>
          <w:t>la Brigada</w:t>
        </w:r>
      </w:smartTag>
      <w:r>
        <w:rPr>
          <w:bCs/>
        </w:rPr>
        <w:t xml:space="preserve"> de Lanús esto no fue así.</w:t>
      </w:r>
    </w:p>
    <w:p w:rsidR="00224567" w:rsidRDefault="00224567">
      <w:pPr>
        <w:widowControl w:val="0"/>
        <w:tabs>
          <w:tab w:val="left" w:pos="2835"/>
        </w:tabs>
        <w:ind w:firstLine="708"/>
        <w:rPr>
          <w:bCs/>
        </w:rPr>
      </w:pPr>
      <w:r>
        <w:rPr>
          <w:bCs/>
        </w:rPr>
        <w:tab/>
        <w:t xml:space="preserve">Detalló que, según la fiscalía, Juan José Ribelli habría exigido a Bautista Alberto Huici que </w:t>
      </w:r>
      <w:r>
        <w:rPr>
          <w:bCs/>
        </w:rPr>
        <w:lastRenderedPageBreak/>
        <w:t>prestara una falsa declaración testimonial para i</w:t>
      </w:r>
      <w:r>
        <w:rPr>
          <w:bCs/>
        </w:rPr>
        <w:t>n</w:t>
      </w:r>
      <w:r>
        <w:rPr>
          <w:bCs/>
        </w:rPr>
        <w:t>volucrar a Telleldín en la causa por el homicidio en la sodería y así poder extorsionarlo. Infirió el defensor que este p</w:t>
      </w:r>
      <w:r>
        <w:rPr>
          <w:bCs/>
        </w:rPr>
        <w:t>e</w:t>
      </w:r>
      <w:r>
        <w:rPr>
          <w:bCs/>
        </w:rPr>
        <w:t>dido debió ser tomado por su colega Huici como algo abs</w:t>
      </w:r>
      <w:r>
        <w:rPr>
          <w:bCs/>
        </w:rPr>
        <w:t>o</w:t>
      </w:r>
      <w:r>
        <w:rPr>
          <w:bCs/>
        </w:rPr>
        <w:t>lutamente normal ya que, según la hipótesis de los acus</w:t>
      </w:r>
      <w:r>
        <w:rPr>
          <w:bCs/>
        </w:rPr>
        <w:t>a</w:t>
      </w:r>
      <w:r>
        <w:rPr>
          <w:bCs/>
        </w:rPr>
        <w:t>dores, tiempo antes, ambos policías habrían sellado un pacto criminal para cometer, entre otros delitos, el de falso testimonio.</w:t>
      </w:r>
    </w:p>
    <w:p w:rsidR="00224567" w:rsidRDefault="00224567">
      <w:pPr>
        <w:widowControl w:val="0"/>
        <w:tabs>
          <w:tab w:val="left" w:pos="2835"/>
        </w:tabs>
        <w:ind w:firstLine="708"/>
        <w:rPr>
          <w:bCs/>
        </w:rPr>
      </w:pPr>
      <w:r>
        <w:rPr>
          <w:bCs/>
        </w:rPr>
        <w:tab/>
        <w:t>Luego de considerar incoherente dicha circunstancia, advirtió el defensor que los fiscales t</w:t>
      </w:r>
      <w:r>
        <w:rPr>
          <w:bCs/>
        </w:rPr>
        <w:t>u</w:t>
      </w:r>
      <w:r>
        <w:rPr>
          <w:bCs/>
        </w:rPr>
        <w:t>vieron por cierto que Huici, pese a lo presuntamente co</w:t>
      </w:r>
      <w:r>
        <w:rPr>
          <w:bCs/>
        </w:rPr>
        <w:t>n</w:t>
      </w:r>
      <w:r>
        <w:rPr>
          <w:bCs/>
        </w:rPr>
        <w:t>venido de antemano con su compañero, se habría revelado contra Ribelli quien debió amenazarlo e insultarlo grav</w:t>
      </w:r>
      <w:r>
        <w:rPr>
          <w:bCs/>
        </w:rPr>
        <w:t>e</w:t>
      </w:r>
      <w:r>
        <w:rPr>
          <w:bCs/>
        </w:rPr>
        <w:t>mente antes de lograr arrancarle la declaración falsa.</w:t>
      </w:r>
    </w:p>
    <w:p w:rsidR="00224567" w:rsidRDefault="00224567">
      <w:pPr>
        <w:widowControl w:val="0"/>
        <w:tabs>
          <w:tab w:val="left" w:pos="2835"/>
        </w:tabs>
        <w:ind w:firstLine="708"/>
        <w:rPr>
          <w:bCs/>
        </w:rPr>
      </w:pPr>
      <w:r>
        <w:rPr>
          <w:bCs/>
        </w:rPr>
        <w:tab/>
        <w:t xml:space="preserve">Agregó que en Vicente López las cosas no eran muy diferentes, en lo que a la </w:t>
      </w:r>
      <w:r>
        <w:rPr>
          <w:bCs/>
          <w:u w:val="single"/>
        </w:rPr>
        <w:t>afectio societ</w:t>
      </w:r>
      <w:r>
        <w:rPr>
          <w:bCs/>
          <w:u w:val="single"/>
        </w:rPr>
        <w:t>a</w:t>
      </w:r>
      <w:r>
        <w:rPr>
          <w:bCs/>
          <w:u w:val="single"/>
        </w:rPr>
        <w:t>tis</w:t>
      </w:r>
      <w:r>
        <w:rPr>
          <w:bCs/>
        </w:rPr>
        <w:t xml:space="preserve"> se refiere ya que en esa brigada, según la tesis de la querella de A.M.I.A., dos de los integrantes de la asoci</w:t>
      </w:r>
      <w:r>
        <w:rPr>
          <w:bCs/>
        </w:rPr>
        <w:t>a</w:t>
      </w:r>
      <w:r>
        <w:rPr>
          <w:bCs/>
        </w:rPr>
        <w:t>ción, Leal y Bareiro, lejos de evidenciar lazos de ente</w:t>
      </w:r>
      <w:r>
        <w:rPr>
          <w:bCs/>
        </w:rPr>
        <w:t>n</w:t>
      </w:r>
      <w:r>
        <w:rPr>
          <w:bCs/>
        </w:rPr>
        <w:t>dimiento, fidelidad o compañerismo con el resto de los s</w:t>
      </w:r>
      <w:r>
        <w:rPr>
          <w:bCs/>
        </w:rPr>
        <w:t>o</w:t>
      </w:r>
      <w:r>
        <w:rPr>
          <w:bCs/>
        </w:rPr>
        <w:lastRenderedPageBreak/>
        <w:t>cios, se habrían ocupado de defraudarlos, pese a la exi</w:t>
      </w:r>
      <w:r>
        <w:rPr>
          <w:bCs/>
        </w:rPr>
        <w:t>s</w:t>
      </w:r>
      <w:r>
        <w:rPr>
          <w:bCs/>
        </w:rPr>
        <w:t>tencia de un concierto ilícito preexistente. Especificó que, como según se predicó, el 10 de julio de 1994 los nombrados recibieron de manos de Telleldín la camioneta Trafic a espaldas de sus supuestos asoci</w:t>
      </w:r>
      <w:r>
        <w:rPr>
          <w:bCs/>
        </w:rPr>
        <w:t>a</w:t>
      </w:r>
      <w:r>
        <w:rPr>
          <w:bCs/>
        </w:rPr>
        <w:t>dos, y que cuando el socio Ribelli recibió de manos de Rabbani la suma de USD 2.500.000 por la entrega de ese mismo vehículo, est</w:t>
      </w:r>
      <w:r>
        <w:rPr>
          <w:bCs/>
        </w:rPr>
        <w:t>a</w:t>
      </w:r>
      <w:r>
        <w:rPr>
          <w:bCs/>
        </w:rPr>
        <w:t>fó al resto de la cofradía.</w:t>
      </w:r>
    </w:p>
    <w:p w:rsidR="00224567" w:rsidRDefault="00224567">
      <w:pPr>
        <w:widowControl w:val="0"/>
        <w:tabs>
          <w:tab w:val="left" w:pos="2835"/>
        </w:tabs>
        <w:ind w:firstLine="708"/>
        <w:rPr>
          <w:bCs/>
        </w:rPr>
      </w:pPr>
      <w:r>
        <w:rPr>
          <w:bCs/>
        </w:rPr>
        <w:tab/>
        <w:t>Con cita de Abel Cornejo, la defensa destacó que para determinar la existencia una asociación ilícita debe analizarse si sus miembros llevaron a cabo actividades unívocamente demostrativas de esa sociedad, tal como la existencia de un gran número de delitos real</w:t>
      </w:r>
      <w:r>
        <w:rPr>
          <w:bCs/>
        </w:rPr>
        <w:t>i</w:t>
      </w:r>
      <w:r>
        <w:rPr>
          <w:bCs/>
        </w:rPr>
        <w:t>zados por la misma pe</w:t>
      </w:r>
      <w:r>
        <w:rPr>
          <w:bCs/>
        </w:rPr>
        <w:t>r</w:t>
      </w:r>
      <w:r>
        <w:rPr>
          <w:bCs/>
        </w:rPr>
        <w:t>sona, o con los mismos medios, o la división de tareas delictivas a través de diversas actu</w:t>
      </w:r>
      <w:r>
        <w:rPr>
          <w:bCs/>
        </w:rPr>
        <w:t>a</w:t>
      </w:r>
      <w:r>
        <w:rPr>
          <w:bCs/>
        </w:rPr>
        <w:t>ciones, pues lo que le otorga peculiaridad a este delito es el peligro de la variedad y de la repetición del crimen y el riesgo de su propagación.</w:t>
      </w:r>
    </w:p>
    <w:p w:rsidR="00224567" w:rsidRDefault="00224567">
      <w:pPr>
        <w:widowControl w:val="0"/>
        <w:tabs>
          <w:tab w:val="left" w:pos="2835"/>
        </w:tabs>
        <w:ind w:firstLine="708"/>
        <w:rPr>
          <w:bCs/>
        </w:rPr>
      </w:pPr>
      <w:r>
        <w:rPr>
          <w:bCs/>
        </w:rPr>
        <w:tab/>
        <w:t>Dicha afirmación, sostuvo el defe</w:t>
      </w:r>
      <w:r>
        <w:rPr>
          <w:bCs/>
        </w:rPr>
        <w:t>n</w:t>
      </w:r>
      <w:r>
        <w:rPr>
          <w:bCs/>
        </w:rPr>
        <w:t xml:space="preserve">sor, no cuadraba con lo sostenido por el fiscal al afirmar en su acusación que el objeto para el cual los imputados se </w:t>
      </w:r>
      <w:r>
        <w:rPr>
          <w:bCs/>
        </w:rPr>
        <w:lastRenderedPageBreak/>
        <w:t>habían asociado ilícitamente en esta causa era el de com</w:t>
      </w:r>
      <w:r>
        <w:rPr>
          <w:bCs/>
        </w:rPr>
        <w:t>e</w:t>
      </w:r>
      <w:r>
        <w:rPr>
          <w:bCs/>
        </w:rPr>
        <w:t>ter delitos de extorsión, secuestro extorsivo, privación ilegal de la libertad, falsedades ideológicas de instr</w:t>
      </w:r>
      <w:r>
        <w:rPr>
          <w:bCs/>
        </w:rPr>
        <w:t>u</w:t>
      </w:r>
      <w:r>
        <w:rPr>
          <w:bCs/>
        </w:rPr>
        <w:t>mentos públicos y falso testimonio, entre otros, que son los mismos que se imputan en concurso real a los encart</w:t>
      </w:r>
      <w:r>
        <w:rPr>
          <w:bCs/>
        </w:rPr>
        <w:t>a</w:t>
      </w:r>
      <w:r>
        <w:rPr>
          <w:bCs/>
        </w:rPr>
        <w:t>dos.</w:t>
      </w:r>
    </w:p>
    <w:p w:rsidR="00224567" w:rsidRDefault="00224567">
      <w:pPr>
        <w:widowControl w:val="0"/>
        <w:tabs>
          <w:tab w:val="left" w:pos="2835"/>
        </w:tabs>
        <w:ind w:firstLine="708"/>
        <w:rPr>
          <w:bCs/>
        </w:rPr>
      </w:pPr>
      <w:r>
        <w:rPr>
          <w:bCs/>
        </w:rPr>
        <w:tab/>
        <w:t>Advirtió que fueron convocados a d</w:t>
      </w:r>
      <w:r>
        <w:rPr>
          <w:bCs/>
        </w:rPr>
        <w:t>e</w:t>
      </w:r>
      <w:r>
        <w:rPr>
          <w:bCs/>
        </w:rPr>
        <w:t>clarar en la audiencia casi todos los presos que en j</w:t>
      </w:r>
      <w:r>
        <w:rPr>
          <w:bCs/>
        </w:rPr>
        <w:t>u</w:t>
      </w:r>
      <w:r>
        <w:rPr>
          <w:bCs/>
        </w:rPr>
        <w:t xml:space="preserve">lio de 1994 estuvieron alojados en </w:t>
      </w:r>
      <w:smartTag w:uri="urn:schemas-microsoft-com:office:smarttags" w:element="PersonName">
        <w:smartTagPr>
          <w:attr w:name="ProductID" w:val="la Brigada"/>
        </w:smartTagPr>
        <w:r>
          <w:rPr>
            <w:bCs/>
          </w:rPr>
          <w:t>la Brigada</w:t>
        </w:r>
      </w:smartTag>
      <w:r>
        <w:rPr>
          <w:bCs/>
        </w:rPr>
        <w:t xml:space="preserve"> de Investigaci</w:t>
      </w:r>
      <w:r>
        <w:rPr>
          <w:bCs/>
        </w:rPr>
        <w:t>o</w:t>
      </w:r>
      <w:r>
        <w:rPr>
          <w:bCs/>
        </w:rPr>
        <w:t>nes de Lanús en Avellaneda, Cándido Jerez, Carlos Nov</w:t>
      </w:r>
      <w:r>
        <w:rPr>
          <w:bCs/>
        </w:rPr>
        <w:t>e</w:t>
      </w:r>
      <w:r>
        <w:rPr>
          <w:bCs/>
        </w:rPr>
        <w:t>lino, Daniel Otero, Alejandro Carlos Gianuncio y Jorge A</w:t>
      </w:r>
      <w:r>
        <w:rPr>
          <w:bCs/>
        </w:rPr>
        <w:t>l</w:t>
      </w:r>
      <w:r>
        <w:rPr>
          <w:bCs/>
        </w:rPr>
        <w:t>berto Cantero Jiménez, destacando que, siguiendo la hip</w:t>
      </w:r>
      <w:r>
        <w:rPr>
          <w:bCs/>
        </w:rPr>
        <w:t>ó</w:t>
      </w:r>
      <w:r>
        <w:rPr>
          <w:bCs/>
        </w:rPr>
        <w:t>tesis propuesta por la fiscalía, resultaba razonable sup</w:t>
      </w:r>
      <w:r>
        <w:rPr>
          <w:bCs/>
        </w:rPr>
        <w:t>o</w:t>
      </w:r>
      <w:r>
        <w:rPr>
          <w:bCs/>
        </w:rPr>
        <w:t>ner que ellos, más que nadie, hubieran sido víctimas de algunos de los delitos que constituían el objetivo del presunto pacto criminal de los imputados.</w:t>
      </w:r>
    </w:p>
    <w:p w:rsidR="00224567" w:rsidRDefault="00224567">
      <w:pPr>
        <w:widowControl w:val="0"/>
        <w:tabs>
          <w:tab w:val="left" w:pos="2835"/>
        </w:tabs>
        <w:ind w:firstLine="708"/>
        <w:rPr>
          <w:bCs/>
        </w:rPr>
      </w:pPr>
      <w:r>
        <w:rPr>
          <w:bCs/>
        </w:rPr>
        <w:tab/>
        <w:t>Especificó que Cándido Jerez, a tr</w:t>
      </w:r>
      <w:r>
        <w:rPr>
          <w:bCs/>
        </w:rPr>
        <w:t>a</w:t>
      </w:r>
      <w:r>
        <w:rPr>
          <w:bCs/>
        </w:rPr>
        <w:t>vés de su relato dejó bien en claro que en su condición de d</w:t>
      </w:r>
      <w:r>
        <w:rPr>
          <w:bCs/>
        </w:rPr>
        <w:t>e</w:t>
      </w:r>
      <w:r>
        <w:rPr>
          <w:bCs/>
        </w:rPr>
        <w:t>lincuente, no les tenía demasiado aprecio a los funcion</w:t>
      </w:r>
      <w:r>
        <w:rPr>
          <w:bCs/>
        </w:rPr>
        <w:t>a</w:t>
      </w:r>
      <w:r>
        <w:rPr>
          <w:bCs/>
        </w:rPr>
        <w:t xml:space="preserve">rios policiales de Lanús y, a criterio de la defensa, se </w:t>
      </w:r>
      <w:r>
        <w:rPr>
          <w:bCs/>
        </w:rPr>
        <w:lastRenderedPageBreak/>
        <w:t>notó su afán de perjudicar a quienes lo habían detenido, sin perjuicio de lo cual fue categór</w:t>
      </w:r>
      <w:r>
        <w:rPr>
          <w:bCs/>
        </w:rPr>
        <w:t>i</w:t>
      </w:r>
      <w:r>
        <w:rPr>
          <w:bCs/>
        </w:rPr>
        <w:t>co al señalar, en más de una oportunidad, que a él no se le había realizado ni</w:t>
      </w:r>
      <w:r>
        <w:rPr>
          <w:bCs/>
        </w:rPr>
        <w:t>n</w:t>
      </w:r>
      <w:r>
        <w:rPr>
          <w:bCs/>
        </w:rPr>
        <w:t>guna exige</w:t>
      </w:r>
      <w:r>
        <w:rPr>
          <w:bCs/>
        </w:rPr>
        <w:t>n</w:t>
      </w:r>
      <w:r>
        <w:rPr>
          <w:bCs/>
        </w:rPr>
        <w:t>cia económica.</w:t>
      </w:r>
    </w:p>
    <w:p w:rsidR="00224567" w:rsidRDefault="00224567">
      <w:pPr>
        <w:widowControl w:val="0"/>
        <w:tabs>
          <w:tab w:val="left" w:pos="2835"/>
        </w:tabs>
        <w:ind w:firstLine="708"/>
        <w:rPr>
          <w:bCs/>
        </w:rPr>
      </w:pPr>
      <w:r>
        <w:rPr>
          <w:bCs/>
        </w:rPr>
        <w:tab/>
        <w:t>Agregó que el testigo dijo que, en aquella época, tenía veintitrés años de edad y que, s</w:t>
      </w:r>
      <w:r>
        <w:rPr>
          <w:bCs/>
        </w:rPr>
        <w:t>e</w:t>
      </w:r>
      <w:r>
        <w:rPr>
          <w:bCs/>
        </w:rPr>
        <w:t>gún le habían co</w:t>
      </w:r>
      <w:r>
        <w:rPr>
          <w:bCs/>
        </w:rPr>
        <w:t>n</w:t>
      </w:r>
      <w:r>
        <w:rPr>
          <w:bCs/>
        </w:rPr>
        <w:t>tado otros detenidos, los arreglos se hacían con la “ge</w:t>
      </w:r>
      <w:r>
        <w:rPr>
          <w:bCs/>
        </w:rPr>
        <w:t>n</w:t>
      </w:r>
      <w:r>
        <w:rPr>
          <w:bCs/>
        </w:rPr>
        <w:t>te grande”.</w:t>
      </w:r>
    </w:p>
    <w:p w:rsidR="00224567" w:rsidRDefault="00224567">
      <w:pPr>
        <w:widowControl w:val="0"/>
        <w:tabs>
          <w:tab w:val="left" w:pos="2835"/>
        </w:tabs>
        <w:ind w:firstLine="708"/>
        <w:rPr>
          <w:bCs/>
        </w:rPr>
      </w:pPr>
      <w:r>
        <w:rPr>
          <w:bCs/>
        </w:rPr>
        <w:tab/>
        <w:t>Añadió el defensor que, felizmente p</w:t>
      </w:r>
      <w:r>
        <w:rPr>
          <w:bCs/>
        </w:rPr>
        <w:t>a</w:t>
      </w:r>
      <w:r>
        <w:rPr>
          <w:bCs/>
        </w:rPr>
        <w:t>ra su asistido, la “gente grande” también declaró en el debate desechando cualquier tipo de sospecha sobre un p</w:t>
      </w:r>
      <w:r>
        <w:rPr>
          <w:bCs/>
        </w:rPr>
        <w:t>o</w:t>
      </w:r>
      <w:r>
        <w:rPr>
          <w:bCs/>
        </w:rPr>
        <w:t>sible obrar irregular por parte de los funcionarios pol</w:t>
      </w:r>
      <w:r>
        <w:rPr>
          <w:bCs/>
        </w:rPr>
        <w:t>i</w:t>
      </w:r>
      <w:r>
        <w:rPr>
          <w:bCs/>
        </w:rPr>
        <w:t>ciales.</w:t>
      </w:r>
    </w:p>
    <w:p w:rsidR="00224567" w:rsidRDefault="00224567">
      <w:pPr>
        <w:widowControl w:val="0"/>
        <w:tabs>
          <w:tab w:val="left" w:pos="2835"/>
        </w:tabs>
        <w:ind w:firstLine="708"/>
        <w:rPr>
          <w:bCs/>
        </w:rPr>
      </w:pPr>
      <w:r>
        <w:rPr>
          <w:bCs/>
        </w:rPr>
        <w:tab/>
        <w:t>Así, remarcó el letrado, fueron esc</w:t>
      </w:r>
      <w:r>
        <w:rPr>
          <w:bCs/>
        </w:rPr>
        <w:t>u</w:t>
      </w:r>
      <w:r>
        <w:rPr>
          <w:bCs/>
        </w:rPr>
        <w:t>chados Carlos Novelino, Daniel Otero -que compartió su celda con otros diez individuos-, Jorge Alberto Cantero Jiménez –que fue detenido por Ribelli en persona-. Todos ello fueron contestes al afirmar que no sufrieron, por parte de efectivos de la brigada, ninguna maniobra exto</w:t>
      </w:r>
      <w:r>
        <w:rPr>
          <w:bCs/>
        </w:rPr>
        <w:t>r</w:t>
      </w:r>
      <w:r>
        <w:rPr>
          <w:bCs/>
        </w:rPr>
        <w:t>siva, ni tuvieron conoc</w:t>
      </w:r>
      <w:r>
        <w:rPr>
          <w:bCs/>
        </w:rPr>
        <w:t>i</w:t>
      </w:r>
      <w:r>
        <w:rPr>
          <w:bCs/>
        </w:rPr>
        <w:t>miento de esos hechos.</w:t>
      </w:r>
    </w:p>
    <w:p w:rsidR="00224567" w:rsidRDefault="00224567">
      <w:pPr>
        <w:widowControl w:val="0"/>
        <w:tabs>
          <w:tab w:val="left" w:pos="2835"/>
        </w:tabs>
        <w:ind w:firstLine="708"/>
        <w:rPr>
          <w:bCs/>
        </w:rPr>
      </w:pPr>
      <w:r>
        <w:rPr>
          <w:bCs/>
        </w:rPr>
        <w:tab/>
        <w:t>Resumió el defensor que estas pers</w:t>
      </w:r>
      <w:r>
        <w:rPr>
          <w:bCs/>
        </w:rPr>
        <w:t>o</w:t>
      </w:r>
      <w:r>
        <w:rPr>
          <w:bCs/>
        </w:rPr>
        <w:lastRenderedPageBreak/>
        <w:t>nas, que permanecieron privadas de su libertad durante e</w:t>
      </w:r>
      <w:r>
        <w:rPr>
          <w:bCs/>
        </w:rPr>
        <w:t>x</w:t>
      </w:r>
      <w:r>
        <w:rPr>
          <w:bCs/>
        </w:rPr>
        <w:t>tensos períodos en el lugar donde según la acusación te</w:t>
      </w:r>
      <w:r>
        <w:rPr>
          <w:bCs/>
        </w:rPr>
        <w:t>n</w:t>
      </w:r>
      <w:r>
        <w:rPr>
          <w:bCs/>
        </w:rPr>
        <w:t>dría su sede principal la asociación ilícita, y que además no poseían un especial afecto o simpatía por los imp</w:t>
      </w:r>
      <w:r>
        <w:rPr>
          <w:bCs/>
        </w:rPr>
        <w:t>u</w:t>
      </w:r>
      <w:r>
        <w:rPr>
          <w:bCs/>
        </w:rPr>
        <w:t>tados, demostraron que ni ellos ni el resto de la pobl</w:t>
      </w:r>
      <w:r>
        <w:rPr>
          <w:bCs/>
        </w:rPr>
        <w:t>a</w:t>
      </w:r>
      <w:r>
        <w:rPr>
          <w:bCs/>
        </w:rPr>
        <w:t xml:space="preserve">ción carcelaria de </w:t>
      </w:r>
      <w:smartTag w:uri="urn:schemas-microsoft-com:office:smarttags" w:element="PersonName">
        <w:smartTagPr>
          <w:attr w:name="ProductID" w:val="la Brigada"/>
        </w:smartTagPr>
        <w:r>
          <w:rPr>
            <w:bCs/>
          </w:rPr>
          <w:t>la Brigada</w:t>
        </w:r>
      </w:smartTag>
      <w:r>
        <w:rPr>
          <w:bCs/>
        </w:rPr>
        <w:t xml:space="preserve"> de Lanús se vio afectada por alguno de los delitos que según la acusación habrían con</w:t>
      </w:r>
      <w:r>
        <w:rPr>
          <w:bCs/>
        </w:rPr>
        <w:t>s</w:t>
      </w:r>
      <w:r>
        <w:rPr>
          <w:bCs/>
        </w:rPr>
        <w:t>tituido el objeto del concierto entre los presuntos deli</w:t>
      </w:r>
      <w:r>
        <w:rPr>
          <w:bCs/>
        </w:rPr>
        <w:t>n</w:t>
      </w:r>
      <w:r>
        <w:rPr>
          <w:bCs/>
        </w:rPr>
        <w:t>cuentes.</w:t>
      </w:r>
    </w:p>
    <w:p w:rsidR="00224567" w:rsidRDefault="00224567">
      <w:pPr>
        <w:widowControl w:val="0"/>
        <w:tabs>
          <w:tab w:val="left" w:pos="2835"/>
        </w:tabs>
        <w:ind w:firstLine="708"/>
        <w:rPr>
          <w:bCs/>
        </w:rPr>
      </w:pPr>
      <w:r>
        <w:rPr>
          <w:bCs/>
        </w:rPr>
        <w:tab/>
        <w:t>Dedujo entonces, el defensor, que s</w:t>
      </w:r>
      <w:r>
        <w:rPr>
          <w:bCs/>
        </w:rPr>
        <w:t>ó</w:t>
      </w:r>
      <w:r>
        <w:rPr>
          <w:bCs/>
        </w:rPr>
        <w:t>lo Carlos Telleldín aparecía como la única víctima de esta pretendida as</w:t>
      </w:r>
      <w:r>
        <w:rPr>
          <w:bCs/>
        </w:rPr>
        <w:t>o</w:t>
      </w:r>
      <w:r>
        <w:rPr>
          <w:bCs/>
        </w:rPr>
        <w:t>ciación ilícita.</w:t>
      </w:r>
    </w:p>
    <w:p w:rsidR="00224567" w:rsidRDefault="00224567">
      <w:pPr>
        <w:widowControl w:val="0"/>
        <w:tabs>
          <w:tab w:val="left" w:pos="2835"/>
        </w:tabs>
        <w:ind w:firstLine="708"/>
        <w:rPr>
          <w:bCs/>
        </w:rPr>
      </w:pPr>
      <w:r>
        <w:rPr>
          <w:bCs/>
        </w:rPr>
        <w:tab/>
        <w:t>Añadió que ninguno de los polic</w:t>
      </w:r>
      <w:r>
        <w:rPr>
          <w:bCs/>
        </w:rPr>
        <w:t>í</w:t>
      </w:r>
      <w:r>
        <w:rPr>
          <w:bCs/>
        </w:rPr>
        <w:t>as de Lanús y Vicente López que declararon en la audiencia, m</w:t>
      </w:r>
      <w:r>
        <w:rPr>
          <w:bCs/>
        </w:rPr>
        <w:t>a</w:t>
      </w:r>
      <w:r>
        <w:rPr>
          <w:bCs/>
        </w:rPr>
        <w:t>nifestó algo que pudiera servir como indicio válido para tener por probada la existencia de la pretendida asoci</w:t>
      </w:r>
      <w:r>
        <w:rPr>
          <w:bCs/>
        </w:rPr>
        <w:t>a</w:t>
      </w:r>
      <w:r>
        <w:rPr>
          <w:bCs/>
        </w:rPr>
        <w:t>ción.</w:t>
      </w:r>
    </w:p>
    <w:p w:rsidR="00224567" w:rsidRDefault="00224567">
      <w:pPr>
        <w:widowControl w:val="0"/>
        <w:tabs>
          <w:tab w:val="left" w:pos="2835"/>
        </w:tabs>
        <w:ind w:firstLine="708"/>
        <w:rPr>
          <w:bCs/>
        </w:rPr>
      </w:pPr>
      <w:r>
        <w:rPr>
          <w:bCs/>
        </w:rPr>
        <w:tab/>
        <w:t>Agregó la defensa de Ibarra que, de</w:t>
      </w:r>
      <w:r>
        <w:rPr>
          <w:bCs/>
        </w:rPr>
        <w:t>s</w:t>
      </w:r>
      <w:r>
        <w:rPr>
          <w:bCs/>
        </w:rPr>
        <w:t>cartada la posibil</w:t>
      </w:r>
      <w:r>
        <w:rPr>
          <w:bCs/>
        </w:rPr>
        <w:t>i</w:t>
      </w:r>
      <w:r>
        <w:rPr>
          <w:bCs/>
        </w:rPr>
        <w:t xml:space="preserve">dad de dar por probada la existencia de un actuar conjunto entre el personal de ambas brigadas, </w:t>
      </w:r>
      <w:r>
        <w:rPr>
          <w:bCs/>
        </w:rPr>
        <w:lastRenderedPageBreak/>
        <w:t>resultaba claro que los únicos hechos delictivos que p</w:t>
      </w:r>
      <w:r>
        <w:rPr>
          <w:bCs/>
        </w:rPr>
        <w:t>o</w:t>
      </w:r>
      <w:r>
        <w:rPr>
          <w:bCs/>
        </w:rPr>
        <w:t>drían enrostrársele a los efectivos de Lanús, admitiendo la particular hipótesis de la fiscalía, serían los de ma</w:t>
      </w:r>
      <w:r>
        <w:rPr>
          <w:bCs/>
        </w:rPr>
        <w:t>r</w:t>
      </w:r>
      <w:r>
        <w:rPr>
          <w:bCs/>
        </w:rPr>
        <w:t>zo y abril de 1994, y que, resultaba evidente la imposib</w:t>
      </w:r>
      <w:r>
        <w:rPr>
          <w:bCs/>
        </w:rPr>
        <w:t>i</w:t>
      </w:r>
      <w:r>
        <w:rPr>
          <w:bCs/>
        </w:rPr>
        <w:t>lidad de acreditar el elemento de permanencia, que disti</w:t>
      </w:r>
      <w:r>
        <w:rPr>
          <w:bCs/>
        </w:rPr>
        <w:t>n</w:t>
      </w:r>
      <w:r>
        <w:rPr>
          <w:bCs/>
        </w:rPr>
        <w:t>guía  la asociación ilícita de la convergencia transitoria propia de la participación crim</w:t>
      </w:r>
      <w:r>
        <w:rPr>
          <w:bCs/>
        </w:rPr>
        <w:t>i</w:t>
      </w:r>
      <w:r>
        <w:rPr>
          <w:bCs/>
        </w:rPr>
        <w:t>nal, porque entre un hecho y otro habría transcurrido algo más de un par de semanas. Recalcó que en ambos episodios intervinieron policías di</w:t>
      </w:r>
      <w:r>
        <w:rPr>
          <w:bCs/>
        </w:rPr>
        <w:t>s</w:t>
      </w:r>
      <w:r>
        <w:rPr>
          <w:bCs/>
        </w:rPr>
        <w:t>tintos y supuestamente ante el mismo damnificado era imp</w:t>
      </w:r>
      <w:r>
        <w:rPr>
          <w:bCs/>
        </w:rPr>
        <w:t>o</w:t>
      </w:r>
      <w:r>
        <w:rPr>
          <w:bCs/>
        </w:rPr>
        <w:t>sible afirmar que se constituyó la asociación para la c</w:t>
      </w:r>
      <w:r>
        <w:rPr>
          <w:bCs/>
        </w:rPr>
        <w:t>o</w:t>
      </w:r>
      <w:r>
        <w:rPr>
          <w:bCs/>
        </w:rPr>
        <w:t>misión de delitos indete</w:t>
      </w:r>
      <w:r>
        <w:rPr>
          <w:bCs/>
        </w:rPr>
        <w:t>r</w:t>
      </w:r>
      <w:r>
        <w:rPr>
          <w:bCs/>
        </w:rPr>
        <w:t>minados.</w:t>
      </w:r>
    </w:p>
    <w:p w:rsidR="00224567" w:rsidRDefault="00224567">
      <w:pPr>
        <w:widowControl w:val="0"/>
        <w:tabs>
          <w:tab w:val="left" w:pos="2835"/>
        </w:tabs>
        <w:ind w:firstLine="708"/>
        <w:rPr>
          <w:bCs/>
        </w:rPr>
      </w:pPr>
      <w:r>
        <w:rPr>
          <w:bCs/>
        </w:rPr>
        <w:tab/>
        <w:t>A ello adunó la defensa con cita de doctrina, que la asociación ilícita es un injusto de nat</w:t>
      </w:r>
      <w:r>
        <w:rPr>
          <w:bCs/>
        </w:rPr>
        <w:t>u</w:t>
      </w:r>
      <w:r>
        <w:rPr>
          <w:bCs/>
        </w:rPr>
        <w:t>raleza permanente y este factor cardinal no se enco</w:t>
      </w:r>
      <w:r>
        <w:rPr>
          <w:bCs/>
        </w:rPr>
        <w:t>n</w:t>
      </w:r>
      <w:r>
        <w:rPr>
          <w:bCs/>
        </w:rPr>
        <w:t>traba presente en el caso de autos, citando también en apoyo de su posición la sentencia dictada en la causa nº 455/99 “Fernández Rodolfo y otros s/ falsific</w:t>
      </w:r>
      <w:r>
        <w:rPr>
          <w:bCs/>
        </w:rPr>
        <w:t>a</w:t>
      </w:r>
      <w:r>
        <w:rPr>
          <w:bCs/>
        </w:rPr>
        <w:t>ción de moneda”, y en lo atinente, lo resuelto en la causa 245/96 “Solís M</w:t>
      </w:r>
      <w:r>
        <w:rPr>
          <w:bCs/>
        </w:rPr>
        <w:t>e</w:t>
      </w:r>
      <w:r>
        <w:rPr>
          <w:bCs/>
        </w:rPr>
        <w:t>drano, Pedro y otros”, ambas del registro de este trib</w:t>
      </w:r>
      <w:r>
        <w:rPr>
          <w:bCs/>
        </w:rPr>
        <w:t>u</w:t>
      </w:r>
      <w:r>
        <w:rPr>
          <w:bCs/>
        </w:rPr>
        <w:t>nal.</w:t>
      </w:r>
    </w:p>
    <w:p w:rsidR="00224567" w:rsidRDefault="00224567">
      <w:pPr>
        <w:widowControl w:val="0"/>
        <w:tabs>
          <w:tab w:val="left" w:pos="2835"/>
        </w:tabs>
        <w:ind w:firstLine="708"/>
        <w:rPr>
          <w:bCs/>
        </w:rPr>
      </w:pPr>
      <w:r>
        <w:rPr>
          <w:bCs/>
        </w:rPr>
        <w:lastRenderedPageBreak/>
        <w:tab/>
        <w:t>Sobre la base de ello, afirmó que en el accionar de los imputados de Lanús, según se pred</w:t>
      </w:r>
      <w:r>
        <w:rPr>
          <w:bCs/>
        </w:rPr>
        <w:t>i</w:t>
      </w:r>
      <w:r>
        <w:rPr>
          <w:bCs/>
        </w:rPr>
        <w:t>caba desde la acusación, había un solo propósito delictivo e</w:t>
      </w:r>
      <w:r>
        <w:rPr>
          <w:bCs/>
        </w:rPr>
        <w:t>n</w:t>
      </w:r>
      <w:r>
        <w:rPr>
          <w:bCs/>
        </w:rPr>
        <w:t>derezado a obtener bienes o dinero de manos del imputado Telleldín y que, en el mejor de los casos, e</w:t>
      </w:r>
      <w:r>
        <w:rPr>
          <w:bCs/>
        </w:rPr>
        <w:t>s</w:t>
      </w:r>
      <w:r>
        <w:rPr>
          <w:bCs/>
        </w:rPr>
        <w:t>te propósito se agotó con los supuestos hechos que fueron materia de acusación, lo que limitaría la imputación a una forma de participación deli</w:t>
      </w:r>
      <w:r>
        <w:rPr>
          <w:bCs/>
        </w:rPr>
        <w:t>c</w:t>
      </w:r>
      <w:r>
        <w:rPr>
          <w:bCs/>
        </w:rPr>
        <w:t>tiva.</w:t>
      </w:r>
    </w:p>
    <w:p w:rsidR="00224567" w:rsidRDefault="00224567">
      <w:pPr>
        <w:widowControl w:val="0"/>
        <w:tabs>
          <w:tab w:val="left" w:pos="2835"/>
        </w:tabs>
        <w:ind w:firstLine="708"/>
        <w:rPr>
          <w:bCs/>
        </w:rPr>
      </w:pPr>
      <w:r>
        <w:rPr>
          <w:bCs/>
        </w:rPr>
        <w:tab/>
        <w:t>Apuntó también la defensa que ni una palabra dedicaron los fiscales a tratar de acreditar la eventual existencia de una pluralidad de planes o desi</w:t>
      </w:r>
      <w:r>
        <w:rPr>
          <w:bCs/>
        </w:rPr>
        <w:t>g</w:t>
      </w:r>
      <w:r>
        <w:rPr>
          <w:bCs/>
        </w:rPr>
        <w:t>nios delictivos, por parte de la as</w:t>
      </w:r>
      <w:r>
        <w:rPr>
          <w:bCs/>
        </w:rPr>
        <w:t>o</w:t>
      </w:r>
      <w:r>
        <w:rPr>
          <w:bCs/>
        </w:rPr>
        <w:t>ciación ilícita, ni su unidad de acuerdo o de conducta delictiva a realizar; y, con cita de Ricardo Núñez, consideró que tampoco explic</w:t>
      </w:r>
      <w:r>
        <w:rPr>
          <w:bCs/>
        </w:rPr>
        <w:t>a</w:t>
      </w:r>
      <w:r>
        <w:rPr>
          <w:bCs/>
        </w:rPr>
        <w:t>ron de qué manera los supuestos hechos ll</w:t>
      </w:r>
      <w:r>
        <w:rPr>
          <w:bCs/>
        </w:rPr>
        <w:t>e</w:t>
      </w:r>
      <w:r>
        <w:rPr>
          <w:bCs/>
        </w:rPr>
        <w:t>vados a cabo por estos once imputados tuvieron la entidad suficiente como para afectar el bien jurídico tutelado por la norma, la tranquilidad públ</w:t>
      </w:r>
      <w:r>
        <w:rPr>
          <w:bCs/>
        </w:rPr>
        <w:t>i</w:t>
      </w:r>
      <w:r>
        <w:rPr>
          <w:bCs/>
        </w:rPr>
        <w:t>ca.</w:t>
      </w:r>
    </w:p>
    <w:p w:rsidR="00224567" w:rsidRDefault="00224567">
      <w:pPr>
        <w:widowControl w:val="0"/>
        <w:tabs>
          <w:tab w:val="left" w:pos="2835"/>
        </w:tabs>
        <w:ind w:firstLine="708"/>
        <w:rPr>
          <w:bCs/>
        </w:rPr>
      </w:pPr>
      <w:r>
        <w:rPr>
          <w:bCs/>
        </w:rPr>
        <w:t xml:space="preserve"> </w:t>
      </w:r>
      <w:r>
        <w:rPr>
          <w:bCs/>
        </w:rPr>
        <w:tab/>
        <w:t>Resumió el defensor que la fisc</w:t>
      </w:r>
      <w:r>
        <w:rPr>
          <w:bCs/>
        </w:rPr>
        <w:t>a</w:t>
      </w:r>
      <w:r>
        <w:rPr>
          <w:bCs/>
        </w:rPr>
        <w:t>lía no pudo probar la existencia de los elementos de perm</w:t>
      </w:r>
      <w:r>
        <w:rPr>
          <w:bCs/>
        </w:rPr>
        <w:t>a</w:t>
      </w:r>
      <w:r>
        <w:rPr>
          <w:bCs/>
        </w:rPr>
        <w:t xml:space="preserve">nencia, </w:t>
      </w:r>
      <w:r>
        <w:rPr>
          <w:bCs/>
        </w:rPr>
        <w:lastRenderedPageBreak/>
        <w:t>estabilidad o continuidad en el acci</w:t>
      </w:r>
      <w:r>
        <w:rPr>
          <w:bCs/>
        </w:rPr>
        <w:t>o</w:t>
      </w:r>
      <w:r>
        <w:rPr>
          <w:bCs/>
        </w:rPr>
        <w:t>nar de los imputados, ni la afectación al bien jur</w:t>
      </w:r>
      <w:r>
        <w:rPr>
          <w:bCs/>
        </w:rPr>
        <w:t>í</w:t>
      </w:r>
      <w:r>
        <w:rPr>
          <w:bCs/>
        </w:rPr>
        <w:t>dico tutelado; omitiendo, en forma inválida, su obligación de descr</w:t>
      </w:r>
      <w:r>
        <w:rPr>
          <w:bCs/>
        </w:rPr>
        <w:t>i</w:t>
      </w:r>
      <w:r>
        <w:rPr>
          <w:bCs/>
        </w:rPr>
        <w:t>bir la distribución de roles de cada uno de los asociados, mediante una gen</w:t>
      </w:r>
      <w:r>
        <w:rPr>
          <w:bCs/>
        </w:rPr>
        <w:t>é</w:t>
      </w:r>
      <w:r>
        <w:rPr>
          <w:bCs/>
        </w:rPr>
        <w:t>rica remisión a la jera</w:t>
      </w:r>
      <w:r>
        <w:rPr>
          <w:bCs/>
        </w:rPr>
        <w:t>r</w:t>
      </w:r>
      <w:r>
        <w:rPr>
          <w:bCs/>
        </w:rPr>
        <w:t>quía que aquellos ostentaban en la in</w:t>
      </w:r>
      <w:r>
        <w:rPr>
          <w:bCs/>
        </w:rPr>
        <w:t>s</w:t>
      </w:r>
      <w:r>
        <w:rPr>
          <w:bCs/>
        </w:rPr>
        <w:t>titución policial.</w:t>
      </w:r>
    </w:p>
    <w:p w:rsidR="00224567" w:rsidRDefault="00224567">
      <w:pPr>
        <w:widowControl w:val="0"/>
        <w:tabs>
          <w:tab w:val="left" w:pos="2835"/>
        </w:tabs>
        <w:ind w:firstLine="708"/>
        <w:rPr>
          <w:bCs/>
        </w:rPr>
      </w:pPr>
      <w:r>
        <w:rPr>
          <w:bCs/>
        </w:rPr>
        <w:tab/>
        <w:t>Sintetizó que, del propio relato imp</w:t>
      </w:r>
      <w:r>
        <w:rPr>
          <w:bCs/>
        </w:rPr>
        <w:t>u</w:t>
      </w:r>
      <w:r>
        <w:rPr>
          <w:bCs/>
        </w:rPr>
        <w:t>tativo surgió que los supuestos integrantes del co</w:t>
      </w:r>
      <w:r>
        <w:rPr>
          <w:bCs/>
        </w:rPr>
        <w:t>n</w:t>
      </w:r>
      <w:r>
        <w:rPr>
          <w:bCs/>
        </w:rPr>
        <w:t>cierto criminal actuaron sin que existiera entre ellos una cons</w:t>
      </w:r>
      <w:r>
        <w:rPr>
          <w:bCs/>
        </w:rPr>
        <w:t>o</w:t>
      </w:r>
      <w:r>
        <w:rPr>
          <w:bCs/>
        </w:rPr>
        <w:t xml:space="preserve">lidación asociativa o </w:t>
      </w:r>
      <w:r>
        <w:rPr>
          <w:bCs/>
          <w:u w:val="single"/>
        </w:rPr>
        <w:t>afectio societatis</w:t>
      </w:r>
      <w:r>
        <w:rPr>
          <w:bCs/>
        </w:rPr>
        <w:t xml:space="preserve"> r</w:t>
      </w:r>
      <w:r>
        <w:rPr>
          <w:bCs/>
        </w:rPr>
        <w:t>e</w:t>
      </w:r>
      <w:r>
        <w:rPr>
          <w:bCs/>
        </w:rPr>
        <w:t>queridos por la doctrina y la jurisprude</w:t>
      </w:r>
      <w:r>
        <w:rPr>
          <w:bCs/>
        </w:rPr>
        <w:t>n</w:t>
      </w:r>
      <w:r>
        <w:rPr>
          <w:bCs/>
        </w:rPr>
        <w:t>cia, y que tampoco se encontraba acreditado que Ibarra se hubiera reunido con el resto de los imputados para pergeñar un indeterminado número de planes o para la comisión de uno o varios delitos determ</w:t>
      </w:r>
      <w:r>
        <w:rPr>
          <w:bCs/>
        </w:rPr>
        <w:t>i</w:t>
      </w:r>
      <w:r>
        <w:rPr>
          <w:bCs/>
        </w:rPr>
        <w:t>nados.</w:t>
      </w:r>
    </w:p>
    <w:p w:rsidR="00224567" w:rsidRDefault="00224567">
      <w:pPr>
        <w:widowControl w:val="0"/>
        <w:tabs>
          <w:tab w:val="left" w:pos="2835"/>
        </w:tabs>
        <w:ind w:firstLine="708"/>
        <w:rPr>
          <w:bCs/>
        </w:rPr>
      </w:pPr>
      <w:r>
        <w:rPr>
          <w:bCs/>
        </w:rPr>
        <w:tab/>
        <w:t>Infirió que si por necesidad de arg</w:t>
      </w:r>
      <w:r>
        <w:rPr>
          <w:bCs/>
        </w:rPr>
        <w:t>u</w:t>
      </w:r>
      <w:r>
        <w:rPr>
          <w:bCs/>
        </w:rPr>
        <w:t>mentación, se tuvieran por consumadas las maniobras exto</w:t>
      </w:r>
      <w:r>
        <w:rPr>
          <w:bCs/>
        </w:rPr>
        <w:t>r</w:t>
      </w:r>
      <w:r>
        <w:rPr>
          <w:bCs/>
        </w:rPr>
        <w:t>sivas que según los acusadores fueron cometidas en perju</w:t>
      </w:r>
      <w:r>
        <w:rPr>
          <w:bCs/>
        </w:rPr>
        <w:t>i</w:t>
      </w:r>
      <w:r>
        <w:rPr>
          <w:bCs/>
        </w:rPr>
        <w:t>cio de Telleldín, estos hechos no podrían válid</w:t>
      </w:r>
      <w:r>
        <w:rPr>
          <w:bCs/>
        </w:rPr>
        <w:t>a</w:t>
      </w:r>
      <w:r>
        <w:rPr>
          <w:bCs/>
        </w:rPr>
        <w:t xml:space="preserve">mente dar sustento a una imputación por asociación ilícita ya que quedarían alcanzados por los principios generales de la </w:t>
      </w:r>
      <w:r>
        <w:rPr>
          <w:bCs/>
        </w:rPr>
        <w:lastRenderedPageBreak/>
        <w:t>particip</w:t>
      </w:r>
      <w:r>
        <w:rPr>
          <w:bCs/>
        </w:rPr>
        <w:t>a</w:t>
      </w:r>
      <w:r>
        <w:rPr>
          <w:bCs/>
        </w:rPr>
        <w:t>ción.</w:t>
      </w:r>
    </w:p>
    <w:p w:rsidR="00224567" w:rsidRDefault="00224567">
      <w:pPr>
        <w:widowControl w:val="0"/>
        <w:tabs>
          <w:tab w:val="left" w:pos="2835"/>
        </w:tabs>
        <w:ind w:firstLine="708"/>
        <w:rPr>
          <w:bCs/>
        </w:rPr>
      </w:pPr>
      <w:r>
        <w:rPr>
          <w:bCs/>
        </w:rPr>
        <w:tab/>
        <w:t>A modo de conclusión la defensa citó en lo atinente lo resuelto el 12 de septiembre de 2003, en la causa “M</w:t>
      </w:r>
      <w:r>
        <w:rPr>
          <w:bCs/>
        </w:rPr>
        <w:t>a</w:t>
      </w:r>
      <w:r>
        <w:rPr>
          <w:bCs/>
        </w:rPr>
        <w:t>harbiz, Julio Ernesto” del Tribunal Oral en lo Criminal Federal nº 5 de esta ciudad, solicita</w:t>
      </w:r>
      <w:r>
        <w:rPr>
          <w:bCs/>
        </w:rPr>
        <w:t>n</w:t>
      </w:r>
      <w:r>
        <w:rPr>
          <w:bCs/>
        </w:rPr>
        <w:t>do, por las razones de hecho y de derecho invocadas, que se dicte la libre abs</w:t>
      </w:r>
      <w:r>
        <w:rPr>
          <w:bCs/>
        </w:rPr>
        <w:t>o</w:t>
      </w:r>
      <w:r>
        <w:rPr>
          <w:bCs/>
        </w:rPr>
        <w:t>lución respecto de Ibarra, en orden al delito de asociación ilícita, sin co</w:t>
      </w:r>
      <w:r>
        <w:rPr>
          <w:bCs/>
        </w:rPr>
        <w:t>s</w:t>
      </w:r>
      <w:r>
        <w:rPr>
          <w:bCs/>
        </w:rPr>
        <w:t>tas.</w:t>
      </w:r>
    </w:p>
    <w:p w:rsidR="00224567" w:rsidRDefault="00224567">
      <w:pPr>
        <w:widowControl w:val="0"/>
        <w:tabs>
          <w:tab w:val="left" w:pos="2835"/>
        </w:tabs>
        <w:ind w:firstLine="708"/>
        <w:rPr>
          <w:bCs/>
          <w:color w:val="000000"/>
        </w:rPr>
      </w:pPr>
      <w:r>
        <w:rPr>
          <w:bCs/>
          <w:color w:val="000000"/>
        </w:rPr>
        <w:tab/>
        <w:t>Al finalizar su alegato, la d</w:t>
      </w:r>
      <w:r>
        <w:rPr>
          <w:bCs/>
          <w:color w:val="000000"/>
        </w:rPr>
        <w:t>e</w:t>
      </w:r>
      <w:r>
        <w:rPr>
          <w:bCs/>
          <w:color w:val="000000"/>
        </w:rPr>
        <w:t>fensa de Ibarra, se refirió a las imputaciones que la fiscalía d</w:t>
      </w:r>
      <w:r>
        <w:rPr>
          <w:bCs/>
          <w:color w:val="000000"/>
        </w:rPr>
        <w:t>i</w:t>
      </w:r>
      <w:r>
        <w:rPr>
          <w:bCs/>
          <w:color w:val="000000"/>
        </w:rPr>
        <w:t>rigió a su d</w:t>
      </w:r>
      <w:r>
        <w:rPr>
          <w:bCs/>
          <w:color w:val="000000"/>
        </w:rPr>
        <w:t>e</w:t>
      </w:r>
      <w:r>
        <w:rPr>
          <w:bCs/>
          <w:color w:val="000000"/>
        </w:rPr>
        <w:t>fendido por los hechos que fueran ventilados en la ca</w:t>
      </w:r>
      <w:r>
        <w:rPr>
          <w:bCs/>
          <w:color w:val="000000"/>
        </w:rPr>
        <w:t>u</w:t>
      </w:r>
      <w:r>
        <w:rPr>
          <w:bCs/>
          <w:color w:val="000000"/>
        </w:rPr>
        <w:t>sa nº 502 y que fuera acumulada a la nº 487.</w:t>
      </w:r>
    </w:p>
    <w:p w:rsidR="00224567" w:rsidRDefault="00224567">
      <w:pPr>
        <w:widowControl w:val="0"/>
        <w:tabs>
          <w:tab w:val="left" w:pos="2835"/>
        </w:tabs>
        <w:ind w:firstLine="708"/>
        <w:rPr>
          <w:bCs/>
          <w:color w:val="000000"/>
        </w:rPr>
      </w:pPr>
      <w:r>
        <w:rPr>
          <w:bCs/>
          <w:color w:val="000000"/>
        </w:rPr>
        <w:tab/>
        <w:t>Para una mejor disposición del tema la defensa oficial evocó las imputaciones dividiéndolas en tres hechos. Primero señaló que la fi</w:t>
      </w:r>
      <w:r>
        <w:rPr>
          <w:bCs/>
          <w:color w:val="000000"/>
        </w:rPr>
        <w:t>s</w:t>
      </w:r>
      <w:r>
        <w:rPr>
          <w:bCs/>
          <w:color w:val="000000"/>
        </w:rPr>
        <w:t>calía acusó a Ibarra como autor material del delito de falso testimonio agrav</w:t>
      </w:r>
      <w:r>
        <w:rPr>
          <w:bCs/>
          <w:color w:val="000000"/>
        </w:rPr>
        <w:t>a</w:t>
      </w:r>
      <w:r>
        <w:rPr>
          <w:bCs/>
          <w:color w:val="000000"/>
        </w:rPr>
        <w:t>do, cometido en la decl</w:t>
      </w:r>
      <w:r>
        <w:rPr>
          <w:bCs/>
          <w:color w:val="000000"/>
        </w:rPr>
        <w:t>a</w:t>
      </w:r>
      <w:r>
        <w:rPr>
          <w:bCs/>
          <w:color w:val="000000"/>
        </w:rPr>
        <w:t>ración testimonial prestada el 15 de marzo de 1994 en la causa nº 5681 del Juzgado Criminal y Correccional nº 5 de Quilmes; la segunda imputación de los fiscales fue por el mismo delito, agravado, y en c</w:t>
      </w:r>
      <w:r>
        <w:rPr>
          <w:bCs/>
          <w:color w:val="000000"/>
        </w:rPr>
        <w:t>a</w:t>
      </w:r>
      <w:r>
        <w:rPr>
          <w:bCs/>
          <w:color w:val="000000"/>
        </w:rPr>
        <w:lastRenderedPageBreak/>
        <w:t xml:space="preserve">rácter de instigador, por haber determinado en la misma fecha al cabo primero Marcelo Darío Casas, a prestar una testimonial falsa en </w:t>
      </w:r>
      <w:smartTag w:uri="urn:schemas-microsoft-com:office:smarttags" w:element="PersonName">
        <w:smartTagPr>
          <w:attr w:name="ProductID" w:val="la Brigada"/>
        </w:smartTagPr>
        <w:r>
          <w:rPr>
            <w:bCs/>
            <w:color w:val="000000"/>
          </w:rPr>
          <w:t>la Brigada</w:t>
        </w:r>
      </w:smartTag>
      <w:r>
        <w:rPr>
          <w:bCs/>
          <w:color w:val="000000"/>
        </w:rPr>
        <w:t xml:space="preserve"> de Investigaciones de L</w:t>
      </w:r>
      <w:r>
        <w:rPr>
          <w:bCs/>
          <w:color w:val="000000"/>
        </w:rPr>
        <w:t>a</w:t>
      </w:r>
      <w:r>
        <w:rPr>
          <w:bCs/>
          <w:color w:val="000000"/>
        </w:rPr>
        <w:t xml:space="preserve">nús, en la misma causa de Quilmes; y por un tercer hecho, también fue acusado en los términos del art. 275, segundo párrafo del Código Penal, por haber determinado, el 15 de agosto de </w:t>
      </w:r>
      <w:smartTag w:uri="urn:schemas-microsoft-com:office:smarttags" w:element="metricconverter">
        <w:smartTagPr>
          <w:attr w:name="ProductID" w:val="1995, a"/>
        </w:smartTagPr>
        <w:r>
          <w:rPr>
            <w:bCs/>
            <w:color w:val="000000"/>
          </w:rPr>
          <w:t>1995, a</w:t>
        </w:r>
      </w:smartTag>
      <w:r>
        <w:rPr>
          <w:bCs/>
          <w:color w:val="000000"/>
        </w:rPr>
        <w:t xml:space="preserve"> los suboficiales Marcelo Casas y Eduardo Diego Toledo, a pronunciarse con falsedad, al prestar d</w:t>
      </w:r>
      <w:r>
        <w:rPr>
          <w:bCs/>
          <w:color w:val="000000"/>
        </w:rPr>
        <w:t>e</w:t>
      </w:r>
      <w:r>
        <w:rPr>
          <w:bCs/>
          <w:color w:val="000000"/>
        </w:rPr>
        <w:t xml:space="preserve">claración testimonial ante el director de sumarios de </w:t>
      </w:r>
      <w:smartTag w:uri="urn:schemas-microsoft-com:office:smarttags" w:element="PersonName">
        <w:smartTagPr>
          <w:attr w:name="ProductID" w:val="la Polic￭a Bonaerense"/>
        </w:smartTagPr>
        <w:r>
          <w:rPr>
            <w:bCs/>
            <w:color w:val="000000"/>
          </w:rPr>
          <w:t>la Policía Bonaerense</w:t>
        </w:r>
      </w:smartTag>
      <w:r>
        <w:rPr>
          <w:bCs/>
          <w:color w:val="000000"/>
        </w:rPr>
        <w:t xml:space="preserve">, en la ciudad de </w:t>
      </w:r>
      <w:smartTag w:uri="urn:schemas-microsoft-com:office:smarttags" w:element="PersonName">
        <w:smartTagPr>
          <w:attr w:name="ProductID" w:val="La Plata"/>
        </w:smartTagPr>
        <w:r>
          <w:rPr>
            <w:bCs/>
            <w:color w:val="000000"/>
          </w:rPr>
          <w:t>La Plata</w:t>
        </w:r>
      </w:smartTag>
      <w:r>
        <w:rPr>
          <w:bCs/>
          <w:color w:val="000000"/>
        </w:rPr>
        <w:t>, calificánd</w:t>
      </w:r>
      <w:r>
        <w:rPr>
          <w:bCs/>
          <w:color w:val="000000"/>
        </w:rPr>
        <w:t>o</w:t>
      </w:r>
      <w:r>
        <w:rPr>
          <w:bCs/>
          <w:color w:val="000000"/>
        </w:rPr>
        <w:t>se dicha acción, como constitutiva del delito de instig</w:t>
      </w:r>
      <w:r>
        <w:rPr>
          <w:bCs/>
          <w:color w:val="000000"/>
        </w:rPr>
        <w:t>a</w:t>
      </w:r>
      <w:r>
        <w:rPr>
          <w:bCs/>
          <w:color w:val="000000"/>
        </w:rPr>
        <w:t>ción al falso testimonio simple, reiterado en dos oport</w:t>
      </w:r>
      <w:r>
        <w:rPr>
          <w:bCs/>
          <w:color w:val="000000"/>
        </w:rPr>
        <w:t>u</w:t>
      </w:r>
      <w:r>
        <w:rPr>
          <w:bCs/>
          <w:color w:val="000000"/>
        </w:rPr>
        <w:t>nidades.</w:t>
      </w:r>
    </w:p>
    <w:p w:rsidR="00224567" w:rsidRDefault="00224567">
      <w:pPr>
        <w:widowControl w:val="0"/>
        <w:tabs>
          <w:tab w:val="left" w:pos="2835"/>
        </w:tabs>
        <w:ind w:firstLine="708"/>
        <w:rPr>
          <w:bCs/>
          <w:color w:val="000000"/>
        </w:rPr>
      </w:pPr>
      <w:r>
        <w:rPr>
          <w:bCs/>
          <w:color w:val="000000"/>
        </w:rPr>
        <w:tab/>
        <w:t>Indicó el defensor que esas variadas imputaciones, se referían en definitiva a elucidar si el 15 de marzo de 1994 la comisión policial encabezada por Ibarra, e integrada por Cruz, Casas y Toledo, realizó t</w:t>
      </w:r>
      <w:r>
        <w:rPr>
          <w:bCs/>
          <w:color w:val="000000"/>
        </w:rPr>
        <w:t>a</w:t>
      </w:r>
      <w:r>
        <w:rPr>
          <w:bCs/>
          <w:color w:val="000000"/>
        </w:rPr>
        <w:t>reas de intel</w:t>
      </w:r>
      <w:r>
        <w:rPr>
          <w:bCs/>
          <w:color w:val="000000"/>
        </w:rPr>
        <w:t>i</w:t>
      </w:r>
      <w:r>
        <w:rPr>
          <w:bCs/>
          <w:color w:val="000000"/>
        </w:rPr>
        <w:t>gencia en las inmediaciones del domicilio de República 107 en Villa Ballester, antes de dirigirse a “El Barril” de Olivos.</w:t>
      </w:r>
    </w:p>
    <w:p w:rsidR="00224567" w:rsidRDefault="00224567">
      <w:pPr>
        <w:widowControl w:val="0"/>
        <w:tabs>
          <w:tab w:val="left" w:pos="2835"/>
        </w:tabs>
        <w:ind w:firstLine="708"/>
        <w:rPr>
          <w:bCs/>
          <w:color w:val="000000"/>
        </w:rPr>
      </w:pPr>
      <w:r>
        <w:rPr>
          <w:bCs/>
          <w:color w:val="000000"/>
        </w:rPr>
        <w:tab/>
        <w:t>Consideró probado que los policías p</w:t>
      </w:r>
      <w:r>
        <w:rPr>
          <w:bCs/>
          <w:color w:val="000000"/>
        </w:rPr>
        <w:t>a</w:t>
      </w:r>
      <w:r>
        <w:rPr>
          <w:bCs/>
          <w:color w:val="000000"/>
        </w:rPr>
        <w:lastRenderedPageBreak/>
        <w:t>saron por República y, como consecuencia, lo que dijo Ib</w:t>
      </w:r>
      <w:r>
        <w:rPr>
          <w:bCs/>
          <w:color w:val="000000"/>
        </w:rPr>
        <w:t>a</w:t>
      </w:r>
      <w:r>
        <w:rPr>
          <w:bCs/>
          <w:color w:val="000000"/>
        </w:rPr>
        <w:t>rra en su testimonial era cierto, deviniendo inexistente el falso testimonio que se le imputaba y las supuestas instigaciones.</w:t>
      </w:r>
    </w:p>
    <w:p w:rsidR="00224567" w:rsidRDefault="00224567">
      <w:pPr>
        <w:widowControl w:val="0"/>
        <w:tabs>
          <w:tab w:val="left" w:pos="2835"/>
        </w:tabs>
        <w:ind w:firstLine="708"/>
        <w:rPr>
          <w:bCs/>
          <w:color w:val="000000"/>
        </w:rPr>
      </w:pPr>
      <w:r>
        <w:rPr>
          <w:bCs/>
          <w:color w:val="000000"/>
        </w:rPr>
        <w:tab/>
        <w:t>Alegó que existía una defensa c</w:t>
      </w:r>
      <w:r>
        <w:rPr>
          <w:bCs/>
          <w:color w:val="000000"/>
        </w:rPr>
        <w:t>o</w:t>
      </w:r>
      <w:r>
        <w:rPr>
          <w:bCs/>
          <w:color w:val="000000"/>
        </w:rPr>
        <w:t>mún a todos los hechos que se le imputaban a Ibarra, fundament</w:t>
      </w:r>
      <w:r>
        <w:rPr>
          <w:bCs/>
          <w:color w:val="000000"/>
        </w:rPr>
        <w:t>a</w:t>
      </w:r>
      <w:r>
        <w:rPr>
          <w:bCs/>
          <w:color w:val="000000"/>
        </w:rPr>
        <w:t>da en el hecho que no se encontraban configurados los el</w:t>
      </w:r>
      <w:r>
        <w:rPr>
          <w:bCs/>
          <w:color w:val="000000"/>
        </w:rPr>
        <w:t>e</w:t>
      </w:r>
      <w:r>
        <w:rPr>
          <w:bCs/>
          <w:color w:val="000000"/>
        </w:rPr>
        <w:t>mentos del tipo objetivo correspondiente a la figura gen</w:t>
      </w:r>
      <w:r>
        <w:rPr>
          <w:bCs/>
          <w:color w:val="000000"/>
        </w:rPr>
        <w:t>é</w:t>
      </w:r>
      <w:r>
        <w:rPr>
          <w:bCs/>
          <w:color w:val="000000"/>
        </w:rPr>
        <w:t>rica del art. 275, debido a la insignificancia de la cue</w:t>
      </w:r>
      <w:r>
        <w:rPr>
          <w:bCs/>
          <w:color w:val="000000"/>
        </w:rPr>
        <w:t>s</w:t>
      </w:r>
      <w:r>
        <w:rPr>
          <w:bCs/>
          <w:color w:val="000000"/>
        </w:rPr>
        <w:t>tión i</w:t>
      </w:r>
      <w:r>
        <w:rPr>
          <w:bCs/>
          <w:color w:val="000000"/>
        </w:rPr>
        <w:t>m</w:t>
      </w:r>
      <w:r>
        <w:rPr>
          <w:bCs/>
          <w:color w:val="000000"/>
        </w:rPr>
        <w:t>plicada.</w:t>
      </w:r>
    </w:p>
    <w:p w:rsidR="00224567" w:rsidRDefault="00224567">
      <w:pPr>
        <w:widowControl w:val="0"/>
        <w:tabs>
          <w:tab w:val="left" w:pos="2835"/>
        </w:tabs>
        <w:ind w:firstLine="708"/>
        <w:rPr>
          <w:bCs/>
          <w:color w:val="000000"/>
        </w:rPr>
      </w:pPr>
      <w:r>
        <w:rPr>
          <w:bCs/>
          <w:color w:val="000000"/>
        </w:rPr>
        <w:tab/>
        <w:t>Con relación al argumento refer</w:t>
      </w:r>
      <w:r>
        <w:rPr>
          <w:bCs/>
          <w:color w:val="000000"/>
        </w:rPr>
        <w:t>i</w:t>
      </w:r>
      <w:r>
        <w:rPr>
          <w:bCs/>
          <w:color w:val="000000"/>
        </w:rPr>
        <w:t>do en primer lugar, el defensor sostuvo que Casas y Toledo fu</w:t>
      </w:r>
      <w:r>
        <w:rPr>
          <w:bCs/>
          <w:color w:val="000000"/>
        </w:rPr>
        <w:t>e</w:t>
      </w:r>
      <w:r>
        <w:rPr>
          <w:bCs/>
          <w:color w:val="000000"/>
        </w:rPr>
        <w:t>ron quienes mi</w:t>
      </w:r>
      <w:r>
        <w:rPr>
          <w:bCs/>
          <w:color w:val="000000"/>
        </w:rPr>
        <w:t>n</w:t>
      </w:r>
      <w:r>
        <w:rPr>
          <w:bCs/>
          <w:color w:val="000000"/>
        </w:rPr>
        <w:t>tieron en el juzgado de instrucción cuando se desdijeron de sus primigenias declaraciones, señalando que en esa oportunidad se dirigieron direct</w:t>
      </w:r>
      <w:r>
        <w:rPr>
          <w:bCs/>
          <w:color w:val="000000"/>
        </w:rPr>
        <w:t>a</w:t>
      </w:r>
      <w:r>
        <w:rPr>
          <w:bCs/>
          <w:color w:val="000000"/>
        </w:rPr>
        <w:t>mente desde la brigada hacia “El Barril” de Olivos, sin haber realizado tareas de inteligencia previas en el domicilio de Telle</w:t>
      </w:r>
      <w:r>
        <w:rPr>
          <w:bCs/>
          <w:color w:val="000000"/>
        </w:rPr>
        <w:t>l</w:t>
      </w:r>
      <w:r>
        <w:rPr>
          <w:bCs/>
          <w:color w:val="000000"/>
        </w:rPr>
        <w:t>dín.</w:t>
      </w:r>
    </w:p>
    <w:p w:rsidR="00224567" w:rsidRDefault="00224567">
      <w:pPr>
        <w:widowControl w:val="0"/>
        <w:tabs>
          <w:tab w:val="left" w:pos="2835"/>
        </w:tabs>
        <w:ind w:firstLine="708"/>
        <w:rPr>
          <w:bCs/>
          <w:color w:val="000000"/>
        </w:rPr>
      </w:pPr>
      <w:r>
        <w:rPr>
          <w:bCs/>
          <w:color w:val="000000"/>
        </w:rPr>
        <w:tab/>
        <w:t>Agregó el defensor que los subofici</w:t>
      </w:r>
      <w:r>
        <w:rPr>
          <w:bCs/>
          <w:color w:val="000000"/>
        </w:rPr>
        <w:t>a</w:t>
      </w:r>
      <w:r>
        <w:rPr>
          <w:bCs/>
          <w:color w:val="000000"/>
        </w:rPr>
        <w:t>les variaron su primigenia versión, terminaron por desd</w:t>
      </w:r>
      <w:r>
        <w:rPr>
          <w:bCs/>
          <w:color w:val="000000"/>
        </w:rPr>
        <w:t>e</w:t>
      </w:r>
      <w:r>
        <w:rPr>
          <w:bCs/>
          <w:color w:val="000000"/>
        </w:rPr>
        <w:lastRenderedPageBreak/>
        <w:t>cirse y afirmaron que ello se debió a que fueron determ</w:t>
      </w:r>
      <w:r>
        <w:rPr>
          <w:bCs/>
          <w:color w:val="000000"/>
        </w:rPr>
        <w:t>i</w:t>
      </w:r>
      <w:r>
        <w:rPr>
          <w:bCs/>
          <w:color w:val="000000"/>
        </w:rPr>
        <w:t>nados a mentir por el subcomisario Ibarra, en virtud de una anómala negoci</w:t>
      </w:r>
      <w:r>
        <w:rPr>
          <w:bCs/>
          <w:color w:val="000000"/>
        </w:rPr>
        <w:t>a</w:t>
      </w:r>
      <w:r>
        <w:rPr>
          <w:bCs/>
          <w:color w:val="000000"/>
        </w:rPr>
        <w:t>ción con el juez instructor.</w:t>
      </w:r>
    </w:p>
    <w:p w:rsidR="00224567" w:rsidRDefault="00224567">
      <w:pPr>
        <w:widowControl w:val="0"/>
        <w:tabs>
          <w:tab w:val="left" w:pos="2835"/>
        </w:tabs>
        <w:ind w:firstLine="708"/>
        <w:rPr>
          <w:bCs/>
          <w:color w:val="000000"/>
        </w:rPr>
      </w:pPr>
      <w:r>
        <w:rPr>
          <w:bCs/>
          <w:color w:val="000000"/>
        </w:rPr>
        <w:tab/>
        <w:t>Resaltó que Casas y Toledo fueron in</w:t>
      </w:r>
      <w:r>
        <w:rPr>
          <w:bCs/>
          <w:color w:val="000000"/>
        </w:rPr>
        <w:t>s</w:t>
      </w:r>
      <w:r>
        <w:rPr>
          <w:bCs/>
          <w:color w:val="000000"/>
        </w:rPr>
        <w:t>tigados a com</w:t>
      </w:r>
      <w:r>
        <w:rPr>
          <w:bCs/>
          <w:color w:val="000000"/>
        </w:rPr>
        <w:t>e</w:t>
      </w:r>
      <w:r>
        <w:rPr>
          <w:bCs/>
          <w:color w:val="000000"/>
        </w:rPr>
        <w:t xml:space="preserve">ter el delito de falso testimonio agravado, pero que ello no tuvo lugar en la causa de Quilmes, ni tampoco en </w:t>
      </w:r>
      <w:smartTag w:uri="urn:schemas-microsoft-com:office:smarttags" w:element="PersonName">
        <w:smartTagPr>
          <w:attr w:name="ProductID" w:val="la Divisi￳n Sumarios"/>
        </w:smartTagPr>
        <w:r>
          <w:rPr>
            <w:bCs/>
            <w:color w:val="000000"/>
          </w:rPr>
          <w:t>la División Sumarios</w:t>
        </w:r>
      </w:smartTag>
      <w:r>
        <w:rPr>
          <w:bCs/>
          <w:color w:val="000000"/>
        </w:rPr>
        <w:t xml:space="preserve"> de </w:t>
      </w:r>
      <w:smartTag w:uri="urn:schemas-microsoft-com:office:smarttags" w:element="PersonName">
        <w:smartTagPr>
          <w:attr w:name="ProductID" w:val="La Plata"/>
        </w:smartTagPr>
        <w:r>
          <w:rPr>
            <w:bCs/>
            <w:color w:val="000000"/>
          </w:rPr>
          <w:t>La Plata</w:t>
        </w:r>
      </w:smartTag>
      <w:r>
        <w:rPr>
          <w:bCs/>
          <w:color w:val="000000"/>
        </w:rPr>
        <w:t>, ni tampoco fue Raúl Edilio Ibarra quien los dete</w:t>
      </w:r>
      <w:r>
        <w:rPr>
          <w:bCs/>
          <w:color w:val="000000"/>
        </w:rPr>
        <w:t>r</w:t>
      </w:r>
      <w:r>
        <w:rPr>
          <w:bCs/>
          <w:color w:val="000000"/>
        </w:rPr>
        <w:t>minó a mentir, sino que, en realidad, la inst</w:t>
      </w:r>
      <w:r>
        <w:rPr>
          <w:bCs/>
          <w:color w:val="000000"/>
        </w:rPr>
        <w:t>i</w:t>
      </w:r>
      <w:r>
        <w:rPr>
          <w:bCs/>
          <w:color w:val="000000"/>
        </w:rPr>
        <w:t>gación a estos dos policías para que se pr</w:t>
      </w:r>
      <w:r>
        <w:rPr>
          <w:bCs/>
          <w:color w:val="000000"/>
        </w:rPr>
        <w:t>o</w:t>
      </w:r>
      <w:r>
        <w:rPr>
          <w:bCs/>
          <w:color w:val="000000"/>
        </w:rPr>
        <w:t>nuncien con falsedad partió del Juzgado Federal nº 9, y el sujeto pasivo del delito no fue otro que su d</w:t>
      </w:r>
      <w:r>
        <w:rPr>
          <w:bCs/>
          <w:color w:val="000000"/>
        </w:rPr>
        <w:t>e</w:t>
      </w:r>
      <w:r>
        <w:rPr>
          <w:bCs/>
          <w:color w:val="000000"/>
        </w:rPr>
        <w:t>fend</w:t>
      </w:r>
      <w:r>
        <w:rPr>
          <w:bCs/>
          <w:color w:val="000000"/>
        </w:rPr>
        <w:t>i</w:t>
      </w:r>
      <w:r>
        <w:rPr>
          <w:bCs/>
          <w:color w:val="000000"/>
        </w:rPr>
        <w:t>do.</w:t>
      </w:r>
    </w:p>
    <w:p w:rsidR="00224567" w:rsidRDefault="00224567">
      <w:pPr>
        <w:widowControl w:val="0"/>
        <w:tabs>
          <w:tab w:val="left" w:pos="2835"/>
        </w:tabs>
        <w:ind w:firstLine="708"/>
        <w:rPr>
          <w:bCs/>
          <w:color w:val="000000"/>
        </w:rPr>
      </w:pPr>
      <w:r>
        <w:rPr>
          <w:bCs/>
          <w:color w:val="000000"/>
        </w:rPr>
        <w:tab/>
        <w:t>Para sustentar su afirmación sostuvo que de un cotejo superficial de las actuaciones vinc</w:t>
      </w:r>
      <w:r>
        <w:rPr>
          <w:bCs/>
          <w:color w:val="000000"/>
        </w:rPr>
        <w:t>u</w:t>
      </w:r>
      <w:r>
        <w:rPr>
          <w:bCs/>
          <w:color w:val="000000"/>
        </w:rPr>
        <w:t>ladas con el episodio del 15 de marzo, tal como surgía del rel</w:t>
      </w:r>
      <w:r>
        <w:rPr>
          <w:bCs/>
          <w:color w:val="000000"/>
        </w:rPr>
        <w:t>a</w:t>
      </w:r>
      <w:r>
        <w:rPr>
          <w:bCs/>
          <w:color w:val="000000"/>
        </w:rPr>
        <w:t>to que construyeron el juez y los fiscales, se despre</w:t>
      </w:r>
      <w:r>
        <w:rPr>
          <w:bCs/>
          <w:color w:val="000000"/>
        </w:rPr>
        <w:t>n</w:t>
      </w:r>
      <w:r>
        <w:rPr>
          <w:bCs/>
          <w:color w:val="000000"/>
        </w:rPr>
        <w:t>día claramente que fueron Casas y Toledo quienes participaron a</w:t>
      </w:r>
      <w:r>
        <w:rPr>
          <w:bCs/>
          <w:color w:val="000000"/>
        </w:rPr>
        <w:t>c</w:t>
      </w:r>
      <w:r>
        <w:rPr>
          <w:bCs/>
          <w:color w:val="000000"/>
        </w:rPr>
        <w:t>tivamente en el hecho.</w:t>
      </w:r>
    </w:p>
    <w:p w:rsidR="00224567" w:rsidRDefault="00224567">
      <w:pPr>
        <w:widowControl w:val="0"/>
        <w:tabs>
          <w:tab w:val="left" w:pos="2835"/>
        </w:tabs>
        <w:ind w:firstLine="708"/>
        <w:rPr>
          <w:bCs/>
          <w:color w:val="000000"/>
        </w:rPr>
      </w:pPr>
      <w:r>
        <w:rPr>
          <w:bCs/>
          <w:color w:val="000000"/>
        </w:rPr>
        <w:tab/>
        <w:t>Destacó también que el juez y los ac</w:t>
      </w:r>
      <w:r>
        <w:rPr>
          <w:bCs/>
          <w:color w:val="000000"/>
        </w:rPr>
        <w:t>u</w:t>
      </w:r>
      <w:r>
        <w:rPr>
          <w:bCs/>
          <w:color w:val="000000"/>
        </w:rPr>
        <w:t>sadores coincidían en afirmar que ese día, ambos prevent</w:t>
      </w:r>
      <w:r>
        <w:rPr>
          <w:bCs/>
          <w:color w:val="000000"/>
        </w:rPr>
        <w:t>o</w:t>
      </w:r>
      <w:r>
        <w:rPr>
          <w:bCs/>
          <w:color w:val="000000"/>
        </w:rPr>
        <w:t xml:space="preserve">res se acercaron al Renault 18 de Telleldín y que Casas </w:t>
      </w:r>
      <w:r>
        <w:rPr>
          <w:bCs/>
          <w:color w:val="000000"/>
        </w:rPr>
        <w:lastRenderedPageBreak/>
        <w:t>incluso, se colgó del automóvil en su afán por detene</w:t>
      </w:r>
      <w:r>
        <w:rPr>
          <w:bCs/>
          <w:color w:val="000000"/>
        </w:rPr>
        <w:t>r</w:t>
      </w:r>
      <w:r>
        <w:rPr>
          <w:bCs/>
          <w:color w:val="000000"/>
        </w:rPr>
        <w:t>lo, y que tenían también por cierta la versión que dio Telle</w:t>
      </w:r>
      <w:r>
        <w:rPr>
          <w:bCs/>
          <w:color w:val="000000"/>
        </w:rPr>
        <w:t>l</w:t>
      </w:r>
      <w:r>
        <w:rPr>
          <w:bCs/>
          <w:color w:val="000000"/>
        </w:rPr>
        <w:t xml:space="preserve">dín relativo a que, durante el anochecer del 4 de abril, el cabo Casas se encontró con el causante de sus supuestas lesiones, dentro de </w:t>
      </w:r>
      <w:smartTag w:uri="urn:schemas-microsoft-com:office:smarttags" w:element="PersonName">
        <w:smartTagPr>
          <w:attr w:name="ProductID" w:val="la Brigada"/>
        </w:smartTagPr>
        <w:r>
          <w:rPr>
            <w:bCs/>
            <w:color w:val="000000"/>
          </w:rPr>
          <w:t>la Brigada</w:t>
        </w:r>
      </w:smartTag>
      <w:r>
        <w:rPr>
          <w:bCs/>
          <w:color w:val="000000"/>
        </w:rPr>
        <w:t xml:space="preserve"> de Lanús, y que en esa oportunidad Casas le dirigió un reproche de tono más o m</w:t>
      </w:r>
      <w:r>
        <w:rPr>
          <w:bCs/>
          <w:color w:val="000000"/>
        </w:rPr>
        <w:t>e</w:t>
      </w:r>
      <w:r>
        <w:rPr>
          <w:bCs/>
          <w:color w:val="000000"/>
        </w:rPr>
        <w:t>nos am</w:t>
      </w:r>
      <w:r>
        <w:rPr>
          <w:bCs/>
          <w:color w:val="000000"/>
        </w:rPr>
        <w:t>e</w:t>
      </w:r>
      <w:r>
        <w:rPr>
          <w:bCs/>
          <w:color w:val="000000"/>
        </w:rPr>
        <w:t>nazante, diciéndole, “por esta, te salvás”.</w:t>
      </w:r>
    </w:p>
    <w:p w:rsidR="00224567" w:rsidRDefault="00224567">
      <w:pPr>
        <w:widowControl w:val="0"/>
        <w:tabs>
          <w:tab w:val="left" w:pos="2835"/>
        </w:tabs>
        <w:ind w:firstLine="708"/>
        <w:rPr>
          <w:bCs/>
          <w:color w:val="000000"/>
        </w:rPr>
      </w:pPr>
      <w:r>
        <w:rPr>
          <w:bCs/>
          <w:color w:val="000000"/>
        </w:rPr>
        <w:tab/>
        <w:t>Sin embargo, objetó el defensor, el Dr. Galeano sin dar ninguna explicación decidió no i</w:t>
      </w:r>
      <w:r>
        <w:rPr>
          <w:bCs/>
          <w:color w:val="000000"/>
        </w:rPr>
        <w:t>m</w:t>
      </w:r>
      <w:r>
        <w:rPr>
          <w:bCs/>
          <w:color w:val="000000"/>
        </w:rPr>
        <w:t>putar a Casas y a Toledo por la supuesta tent</w:t>
      </w:r>
      <w:r>
        <w:rPr>
          <w:bCs/>
          <w:color w:val="000000"/>
        </w:rPr>
        <w:t>a</w:t>
      </w:r>
      <w:r>
        <w:rPr>
          <w:bCs/>
          <w:color w:val="000000"/>
        </w:rPr>
        <w:t>tiva de extorsión a Telleldín no obstante la intensa participación que t</w:t>
      </w:r>
      <w:r>
        <w:rPr>
          <w:bCs/>
          <w:color w:val="000000"/>
        </w:rPr>
        <w:t>u</w:t>
      </w:r>
      <w:r>
        <w:rPr>
          <w:bCs/>
          <w:color w:val="000000"/>
        </w:rPr>
        <w:t>vieron ambos en el suceso de “El Barril” de Olivos. Mach</w:t>
      </w:r>
      <w:r>
        <w:rPr>
          <w:bCs/>
          <w:color w:val="000000"/>
        </w:rPr>
        <w:t>a</w:t>
      </w:r>
      <w:r>
        <w:rPr>
          <w:bCs/>
          <w:color w:val="000000"/>
        </w:rPr>
        <w:t>có la defensa que tampoco –ni el juez ni los fiscales- consideraron oportuno, ni siquiera, rec</w:t>
      </w:r>
      <w:r>
        <w:rPr>
          <w:bCs/>
          <w:color w:val="000000"/>
        </w:rPr>
        <w:t>i</w:t>
      </w:r>
      <w:r>
        <w:rPr>
          <w:bCs/>
          <w:color w:val="000000"/>
        </w:rPr>
        <w:t>birles declaración indagat</w:t>
      </w:r>
      <w:r>
        <w:rPr>
          <w:bCs/>
          <w:color w:val="000000"/>
        </w:rPr>
        <w:t>o</w:t>
      </w:r>
      <w:r>
        <w:rPr>
          <w:bCs/>
          <w:color w:val="000000"/>
        </w:rPr>
        <w:t>ria.</w:t>
      </w:r>
    </w:p>
    <w:p w:rsidR="00224567" w:rsidRDefault="00224567">
      <w:pPr>
        <w:widowControl w:val="0"/>
        <w:tabs>
          <w:tab w:val="left" w:pos="2835"/>
        </w:tabs>
        <w:ind w:firstLine="708"/>
        <w:rPr>
          <w:bCs/>
          <w:color w:val="000000"/>
        </w:rPr>
      </w:pPr>
      <w:r>
        <w:rPr>
          <w:bCs/>
          <w:color w:val="000000"/>
        </w:rPr>
        <w:tab/>
        <w:t>Por ello, concluyó que a cambio de su impunidad, los beneficiarios debieron realizar, a insta</w:t>
      </w:r>
      <w:r>
        <w:rPr>
          <w:bCs/>
          <w:color w:val="000000"/>
        </w:rPr>
        <w:t>n</w:t>
      </w:r>
      <w:r>
        <w:rPr>
          <w:bCs/>
          <w:color w:val="000000"/>
        </w:rPr>
        <w:t>cia de los funcionarios actuantes, una contraprest</w:t>
      </w:r>
      <w:r>
        <w:rPr>
          <w:bCs/>
          <w:color w:val="000000"/>
        </w:rPr>
        <w:t>a</w:t>
      </w:r>
      <w:r>
        <w:rPr>
          <w:bCs/>
          <w:color w:val="000000"/>
        </w:rPr>
        <w:t>ción en pos de sostener la versión of</w:t>
      </w:r>
      <w:r>
        <w:rPr>
          <w:bCs/>
          <w:color w:val="000000"/>
        </w:rPr>
        <w:t>i</w:t>
      </w:r>
      <w:r>
        <w:rPr>
          <w:bCs/>
          <w:color w:val="000000"/>
        </w:rPr>
        <w:t>cial. Por otro lado, recordó el defensor que Galeano y los fiscales optaron por proc</w:t>
      </w:r>
      <w:r>
        <w:rPr>
          <w:bCs/>
          <w:color w:val="000000"/>
        </w:rPr>
        <w:t>e</w:t>
      </w:r>
      <w:r>
        <w:rPr>
          <w:bCs/>
          <w:color w:val="000000"/>
        </w:rPr>
        <w:lastRenderedPageBreak/>
        <w:t>sar al policía Víctor Cruz quien, el 15 de marzo, según consta en la causa, se encontraba aproximadamente a unos cien metros de Telleldín y su Renault 18, porque no se animó a declarar falsamente en contra de Ibarra.</w:t>
      </w:r>
    </w:p>
    <w:p w:rsidR="00224567" w:rsidRDefault="00224567">
      <w:pPr>
        <w:widowControl w:val="0"/>
        <w:tabs>
          <w:tab w:val="left" w:pos="2835"/>
        </w:tabs>
        <w:ind w:firstLine="708"/>
        <w:rPr>
          <w:bCs/>
          <w:color w:val="000000"/>
        </w:rPr>
      </w:pPr>
      <w:r>
        <w:rPr>
          <w:bCs/>
          <w:color w:val="000000"/>
        </w:rPr>
        <w:tab/>
        <w:t>Insistió la defensa que, al realizar un análisis de las actuaciones que se vinculaban con la presencia de Ibarra en Villa Ballester, pudo demostrarse que en esa oportunidad estuvo acompañado por Casas y Tol</w:t>
      </w:r>
      <w:r>
        <w:rPr>
          <w:bCs/>
          <w:color w:val="000000"/>
        </w:rPr>
        <w:t>e</w:t>
      </w:r>
      <w:r>
        <w:rPr>
          <w:bCs/>
          <w:color w:val="000000"/>
        </w:rPr>
        <w:t>do.</w:t>
      </w:r>
    </w:p>
    <w:p w:rsidR="00224567" w:rsidRDefault="00224567">
      <w:pPr>
        <w:widowControl w:val="0"/>
        <w:tabs>
          <w:tab w:val="left" w:pos="2835"/>
        </w:tabs>
        <w:ind w:firstLine="708"/>
        <w:rPr>
          <w:bCs/>
          <w:color w:val="000000"/>
        </w:rPr>
      </w:pPr>
      <w:r>
        <w:rPr>
          <w:bCs/>
          <w:color w:val="000000"/>
        </w:rPr>
        <w:tab/>
        <w:t>Apuntó que Ibarra fue indagado dura</w:t>
      </w:r>
      <w:r>
        <w:rPr>
          <w:bCs/>
          <w:color w:val="000000"/>
        </w:rPr>
        <w:t>n</w:t>
      </w:r>
      <w:r>
        <w:rPr>
          <w:bCs/>
          <w:color w:val="000000"/>
        </w:rPr>
        <w:t>te los días 24 y 25 de julio de 1996 y que en aquel e</w:t>
      </w:r>
      <w:r>
        <w:rPr>
          <w:bCs/>
          <w:color w:val="000000"/>
        </w:rPr>
        <w:t>n</w:t>
      </w:r>
      <w:r>
        <w:rPr>
          <w:bCs/>
          <w:color w:val="000000"/>
        </w:rPr>
        <w:t>tonces, relató todos los pormenores vinculados con los proced</w:t>
      </w:r>
      <w:r>
        <w:rPr>
          <w:bCs/>
          <w:color w:val="000000"/>
        </w:rPr>
        <w:t>i</w:t>
      </w:r>
      <w:r>
        <w:rPr>
          <w:bCs/>
          <w:color w:val="000000"/>
        </w:rPr>
        <w:t>mientos en los que intervino r</w:t>
      </w:r>
      <w:r>
        <w:rPr>
          <w:bCs/>
          <w:color w:val="000000"/>
        </w:rPr>
        <w:t>e</w:t>
      </w:r>
      <w:r>
        <w:rPr>
          <w:bCs/>
          <w:color w:val="000000"/>
        </w:rPr>
        <w:t>lacionados con la detención de Carlos Telleldín, d</w:t>
      </w:r>
      <w:r>
        <w:rPr>
          <w:bCs/>
          <w:color w:val="000000"/>
        </w:rPr>
        <w:t>e</w:t>
      </w:r>
      <w:r>
        <w:rPr>
          <w:bCs/>
          <w:color w:val="000000"/>
        </w:rPr>
        <w:t>tallando que aquel 15 de marzo, en compañía de Cruz, Casas y Toledo, realizaron distintos r</w:t>
      </w:r>
      <w:r>
        <w:rPr>
          <w:bCs/>
          <w:color w:val="000000"/>
        </w:rPr>
        <w:t>e</w:t>
      </w:r>
      <w:r>
        <w:rPr>
          <w:bCs/>
          <w:color w:val="000000"/>
        </w:rPr>
        <w:t>corridos en procura de indiv</w:t>
      </w:r>
      <w:r>
        <w:rPr>
          <w:bCs/>
          <w:color w:val="000000"/>
        </w:rPr>
        <w:t>i</w:t>
      </w:r>
      <w:r>
        <w:rPr>
          <w:bCs/>
          <w:color w:val="000000"/>
        </w:rPr>
        <w:t>dualizar a Telleldín.</w:t>
      </w:r>
    </w:p>
    <w:p w:rsidR="00224567" w:rsidRDefault="00224567">
      <w:pPr>
        <w:widowControl w:val="0"/>
        <w:tabs>
          <w:tab w:val="left" w:pos="2835"/>
        </w:tabs>
        <w:ind w:firstLine="708"/>
        <w:rPr>
          <w:bCs/>
          <w:color w:val="000000"/>
        </w:rPr>
      </w:pPr>
      <w:r>
        <w:rPr>
          <w:bCs/>
          <w:color w:val="000000"/>
        </w:rPr>
        <w:tab/>
        <w:t>Imputó la defensa como cierto que Ib</w:t>
      </w:r>
      <w:r>
        <w:rPr>
          <w:bCs/>
          <w:color w:val="000000"/>
        </w:rPr>
        <w:t>a</w:t>
      </w:r>
      <w:r>
        <w:rPr>
          <w:bCs/>
          <w:color w:val="000000"/>
        </w:rPr>
        <w:t>rra no pudo recordar con total precisión algunos pormen</w:t>
      </w:r>
      <w:r>
        <w:rPr>
          <w:bCs/>
          <w:color w:val="000000"/>
        </w:rPr>
        <w:t>o</w:t>
      </w:r>
      <w:r>
        <w:rPr>
          <w:bCs/>
          <w:color w:val="000000"/>
        </w:rPr>
        <w:t>res que rodearon esas tareas de inteligencia, objetando que era perfectamente comprensible ya que se lo interrog</w:t>
      </w:r>
      <w:r>
        <w:rPr>
          <w:bCs/>
          <w:color w:val="000000"/>
        </w:rPr>
        <w:t>a</w:t>
      </w:r>
      <w:r>
        <w:rPr>
          <w:bCs/>
          <w:color w:val="000000"/>
        </w:rPr>
        <w:t xml:space="preserve">ba sobre sucesos que eran rutinarios para un oficial de </w:t>
      </w:r>
      <w:r>
        <w:rPr>
          <w:bCs/>
          <w:color w:val="000000"/>
        </w:rPr>
        <w:lastRenderedPageBreak/>
        <w:t>policía que revistaba en el área de i</w:t>
      </w:r>
      <w:r>
        <w:rPr>
          <w:bCs/>
          <w:color w:val="000000"/>
        </w:rPr>
        <w:t>n</w:t>
      </w:r>
      <w:r>
        <w:rPr>
          <w:bCs/>
          <w:color w:val="000000"/>
        </w:rPr>
        <w:t>vestigaciones, y que el interrogatorio tenía lugar a más de dos años, por lo que, esas pequeñas imprecisiones reforzaban la credibil</w:t>
      </w:r>
      <w:r>
        <w:rPr>
          <w:bCs/>
          <w:color w:val="000000"/>
        </w:rPr>
        <w:t>i</w:t>
      </w:r>
      <w:r>
        <w:rPr>
          <w:bCs/>
          <w:color w:val="000000"/>
        </w:rPr>
        <w:t>dad de los d</w:t>
      </w:r>
      <w:r>
        <w:rPr>
          <w:bCs/>
          <w:color w:val="000000"/>
        </w:rPr>
        <w:t>i</w:t>
      </w:r>
      <w:r>
        <w:rPr>
          <w:bCs/>
          <w:color w:val="000000"/>
        </w:rPr>
        <w:t>chos de Ibarra.</w:t>
      </w:r>
    </w:p>
    <w:p w:rsidR="00224567" w:rsidRDefault="00224567">
      <w:pPr>
        <w:widowControl w:val="0"/>
        <w:tabs>
          <w:tab w:val="left" w:pos="2835"/>
        </w:tabs>
        <w:ind w:firstLine="708"/>
        <w:rPr>
          <w:bCs/>
          <w:color w:val="000000"/>
        </w:rPr>
      </w:pPr>
      <w:r>
        <w:rPr>
          <w:bCs/>
          <w:color w:val="000000"/>
        </w:rPr>
        <w:tab/>
        <w:t>Recordó también que su defendido n</w:t>
      </w:r>
      <w:r>
        <w:rPr>
          <w:bCs/>
          <w:color w:val="000000"/>
        </w:rPr>
        <w:t>a</w:t>
      </w:r>
      <w:r>
        <w:rPr>
          <w:bCs/>
          <w:color w:val="000000"/>
        </w:rPr>
        <w:t>rró como, junto a Cruz, Casas y Toledo, trataron de individu</w:t>
      </w:r>
      <w:r>
        <w:rPr>
          <w:bCs/>
          <w:color w:val="000000"/>
        </w:rPr>
        <w:t>a</w:t>
      </w:r>
      <w:r>
        <w:rPr>
          <w:bCs/>
          <w:color w:val="000000"/>
        </w:rPr>
        <w:t>lizar al “En</w:t>
      </w:r>
      <w:r>
        <w:rPr>
          <w:bCs/>
          <w:color w:val="000000"/>
        </w:rPr>
        <w:t>a</w:t>
      </w:r>
      <w:r>
        <w:rPr>
          <w:bCs/>
          <w:color w:val="000000"/>
        </w:rPr>
        <w:t>no” recorriendo la zona de Olivos, recordando que desde “El Barril” volvieron a la dependencia en el Ford Falcon de Cruz y que, en su segunda jornada de decl</w:t>
      </w:r>
      <w:r>
        <w:rPr>
          <w:bCs/>
          <w:color w:val="000000"/>
        </w:rPr>
        <w:t>a</w:t>
      </w:r>
      <w:r>
        <w:rPr>
          <w:bCs/>
          <w:color w:val="000000"/>
        </w:rPr>
        <w:t>ración, Ibarra refirió haberse constituido en el dom</w:t>
      </w:r>
      <w:r>
        <w:rPr>
          <w:bCs/>
          <w:color w:val="000000"/>
        </w:rPr>
        <w:t>i</w:t>
      </w:r>
      <w:r>
        <w:rPr>
          <w:bCs/>
          <w:color w:val="000000"/>
        </w:rPr>
        <w:t>cilio de República al 100 de Villa Ballester arriesgando incl</w:t>
      </w:r>
      <w:r>
        <w:rPr>
          <w:bCs/>
          <w:color w:val="000000"/>
        </w:rPr>
        <w:t>u</w:t>
      </w:r>
      <w:r>
        <w:rPr>
          <w:bCs/>
          <w:color w:val="000000"/>
        </w:rPr>
        <w:t>sive que pudo haberse entrevistado con el fot</w:t>
      </w:r>
      <w:r>
        <w:rPr>
          <w:bCs/>
          <w:color w:val="000000"/>
        </w:rPr>
        <w:t>ó</w:t>
      </w:r>
      <w:r>
        <w:rPr>
          <w:bCs/>
          <w:color w:val="000000"/>
        </w:rPr>
        <w:t>grafo Duday. Mencionó el defensor que también Ibarra indicó, con t</w:t>
      </w:r>
      <w:r>
        <w:rPr>
          <w:bCs/>
          <w:color w:val="000000"/>
        </w:rPr>
        <w:t>o</w:t>
      </w:r>
      <w:r>
        <w:rPr>
          <w:bCs/>
          <w:color w:val="000000"/>
        </w:rPr>
        <w:t>tal precisión, que los suboficiales Casas y Toledo también realizaron tareas de inteligencia en las inmediaciones de la calle República y que también ellos se entrevistaron con N</w:t>
      </w:r>
      <w:r>
        <w:rPr>
          <w:bCs/>
          <w:color w:val="000000"/>
        </w:rPr>
        <w:t>i</w:t>
      </w:r>
      <w:r>
        <w:rPr>
          <w:bCs/>
          <w:color w:val="000000"/>
        </w:rPr>
        <w:t>colás Zoilo Duday en su taller.</w:t>
      </w:r>
    </w:p>
    <w:p w:rsidR="00224567" w:rsidRDefault="00224567">
      <w:pPr>
        <w:widowControl w:val="0"/>
        <w:tabs>
          <w:tab w:val="left" w:pos="2835"/>
        </w:tabs>
        <w:ind w:firstLine="708"/>
        <w:rPr>
          <w:bCs/>
          <w:color w:val="000000"/>
        </w:rPr>
      </w:pPr>
      <w:r>
        <w:rPr>
          <w:bCs/>
          <w:color w:val="000000"/>
        </w:rPr>
        <w:tab/>
        <w:t>Remarcó el defensor que Víctor Cruz, Casas y Toledo fueron contestes al afirmar que, secu</w:t>
      </w:r>
      <w:r>
        <w:rPr>
          <w:bCs/>
          <w:color w:val="000000"/>
        </w:rPr>
        <w:t>n</w:t>
      </w:r>
      <w:r>
        <w:rPr>
          <w:bCs/>
          <w:color w:val="000000"/>
        </w:rPr>
        <w:t>dando al subcomis</w:t>
      </w:r>
      <w:r>
        <w:rPr>
          <w:bCs/>
          <w:color w:val="000000"/>
        </w:rPr>
        <w:t>a</w:t>
      </w:r>
      <w:r>
        <w:rPr>
          <w:bCs/>
          <w:color w:val="000000"/>
        </w:rPr>
        <w:t xml:space="preserve">rio Ibarra, en el marco de la causa “Ambrosi”, </w:t>
      </w:r>
      <w:r>
        <w:rPr>
          <w:bCs/>
          <w:color w:val="000000"/>
        </w:rPr>
        <w:lastRenderedPageBreak/>
        <w:t>realizaron una única diligencia operativa juntos, que no pudo ser otra que la efectuada el 15 de marzo de 1994 cuando intentaron, sin éxito, detener a Telleldín en Ol</w:t>
      </w:r>
      <w:r>
        <w:rPr>
          <w:bCs/>
          <w:color w:val="000000"/>
        </w:rPr>
        <w:t>i</w:t>
      </w:r>
      <w:r>
        <w:rPr>
          <w:bCs/>
          <w:color w:val="000000"/>
        </w:rPr>
        <w:t>vos, agregando que el acta labrada por Ibarra a raíz del choque de Telleldín con Sexto, suscripta por Casas y Tol</w:t>
      </w:r>
      <w:r>
        <w:rPr>
          <w:bCs/>
          <w:color w:val="000000"/>
        </w:rPr>
        <w:t>e</w:t>
      </w:r>
      <w:r>
        <w:rPr>
          <w:bCs/>
          <w:color w:val="000000"/>
        </w:rPr>
        <w:t>do, era constancia fehaciente e indiscutida de ello.</w:t>
      </w:r>
    </w:p>
    <w:p w:rsidR="00224567" w:rsidRDefault="00224567">
      <w:pPr>
        <w:widowControl w:val="0"/>
        <w:tabs>
          <w:tab w:val="left" w:pos="2835"/>
        </w:tabs>
        <w:ind w:firstLine="708"/>
        <w:rPr>
          <w:bCs/>
          <w:color w:val="000000"/>
        </w:rPr>
      </w:pPr>
      <w:r>
        <w:rPr>
          <w:bCs/>
          <w:color w:val="000000"/>
        </w:rPr>
        <w:tab/>
        <w:t>Remarcó el defensor que Cruz co</w:t>
      </w:r>
      <w:r>
        <w:rPr>
          <w:bCs/>
          <w:color w:val="000000"/>
        </w:rPr>
        <w:t>n</w:t>
      </w:r>
      <w:r>
        <w:rPr>
          <w:bCs/>
          <w:color w:val="000000"/>
        </w:rPr>
        <w:t>tó la verdad de lo acontecido dando, en su indagat</w:t>
      </w:r>
      <w:r>
        <w:rPr>
          <w:bCs/>
          <w:color w:val="000000"/>
        </w:rPr>
        <w:t>o</w:t>
      </w:r>
      <w:r>
        <w:rPr>
          <w:bCs/>
          <w:color w:val="000000"/>
        </w:rPr>
        <w:t>ria del 24 de julio de 1996, una versión totalmente coincidente con la de Ibarra en lo relativo a esas tareas de int</w:t>
      </w:r>
      <w:r>
        <w:rPr>
          <w:bCs/>
          <w:color w:val="000000"/>
        </w:rPr>
        <w:t>e</w:t>
      </w:r>
      <w:r>
        <w:rPr>
          <w:bCs/>
          <w:color w:val="000000"/>
        </w:rPr>
        <w:t>ligencia; e invocó que, en lo atinente a esta cuestión, en su ampli</w:t>
      </w:r>
      <w:r>
        <w:rPr>
          <w:bCs/>
          <w:color w:val="000000"/>
        </w:rPr>
        <w:t>a</w:t>
      </w:r>
      <w:r>
        <w:rPr>
          <w:bCs/>
          <w:color w:val="000000"/>
        </w:rPr>
        <w:t>ción del 4 de julio de 1997, Cruz ratificó sus dichos a</w:t>
      </w:r>
      <w:r>
        <w:rPr>
          <w:bCs/>
          <w:color w:val="000000"/>
        </w:rPr>
        <w:t>n</w:t>
      </w:r>
      <w:r>
        <w:rPr>
          <w:bCs/>
          <w:color w:val="000000"/>
        </w:rPr>
        <w:t>teriores y reveló que no era cierto lo que declararon C</w:t>
      </w:r>
      <w:r>
        <w:rPr>
          <w:bCs/>
          <w:color w:val="000000"/>
        </w:rPr>
        <w:t>a</w:t>
      </w:r>
      <w:r>
        <w:rPr>
          <w:bCs/>
          <w:color w:val="000000"/>
        </w:rPr>
        <w:t xml:space="preserve">sas y Toledo al referir que fueron en el Gacel de Ibarra y que, en abril de 1994, fue trasladado a otra división de </w:t>
      </w:r>
      <w:smartTag w:uri="urn:schemas-microsoft-com:office:smarttags" w:element="PersonName">
        <w:smartTagPr>
          <w:attr w:name="ProductID" w:val="la Polic￭a Bonaerense"/>
        </w:smartTagPr>
        <w:r>
          <w:rPr>
            <w:bCs/>
            <w:color w:val="000000"/>
          </w:rPr>
          <w:t>la Policía Bonaerense</w:t>
        </w:r>
      </w:smartTag>
      <w:r>
        <w:rPr>
          <w:bCs/>
          <w:color w:val="000000"/>
        </w:rPr>
        <w:t>, no volviendo a ver nunca más a ni</w:t>
      </w:r>
      <w:r>
        <w:rPr>
          <w:bCs/>
          <w:color w:val="000000"/>
        </w:rPr>
        <w:t>n</w:t>
      </w:r>
      <w:r>
        <w:rPr>
          <w:bCs/>
          <w:color w:val="000000"/>
        </w:rPr>
        <w:t xml:space="preserve">gún miembro de </w:t>
      </w:r>
      <w:smartTag w:uri="urn:schemas-microsoft-com:office:smarttags" w:element="PersonName">
        <w:smartTagPr>
          <w:attr w:name="ProductID" w:val="la Brigada"/>
        </w:smartTagPr>
        <w:r>
          <w:rPr>
            <w:bCs/>
            <w:color w:val="000000"/>
          </w:rPr>
          <w:t>la Brigada</w:t>
        </w:r>
      </w:smartTag>
      <w:r>
        <w:rPr>
          <w:bCs/>
          <w:color w:val="000000"/>
        </w:rPr>
        <w:t xml:space="preserve"> de L</w:t>
      </w:r>
      <w:r>
        <w:rPr>
          <w:bCs/>
          <w:color w:val="000000"/>
        </w:rPr>
        <w:t>a</w:t>
      </w:r>
      <w:r>
        <w:rPr>
          <w:bCs/>
          <w:color w:val="000000"/>
        </w:rPr>
        <w:t>nús.</w:t>
      </w:r>
    </w:p>
    <w:p w:rsidR="00224567" w:rsidRDefault="00224567">
      <w:pPr>
        <w:widowControl w:val="0"/>
        <w:tabs>
          <w:tab w:val="left" w:pos="2835"/>
        </w:tabs>
        <w:ind w:firstLine="708"/>
        <w:rPr>
          <w:bCs/>
          <w:color w:val="000000"/>
        </w:rPr>
      </w:pPr>
      <w:r>
        <w:rPr>
          <w:bCs/>
          <w:color w:val="000000"/>
        </w:rPr>
        <w:tab/>
        <w:t>En apoyo de las versiones antes res</w:t>
      </w:r>
      <w:r>
        <w:rPr>
          <w:bCs/>
          <w:color w:val="000000"/>
        </w:rPr>
        <w:t>e</w:t>
      </w:r>
      <w:r>
        <w:rPr>
          <w:bCs/>
          <w:color w:val="000000"/>
        </w:rPr>
        <w:t>ñadas, indicó el defensor que, Nicolás Zoilo Duday era quien con sus dichos, demostraba acabadamente que Raúl Ibarra y Víctor Cruz eran totalmente veraces sobre el pu</w:t>
      </w:r>
      <w:r>
        <w:rPr>
          <w:bCs/>
          <w:color w:val="000000"/>
        </w:rPr>
        <w:t>n</w:t>
      </w:r>
      <w:r>
        <w:rPr>
          <w:bCs/>
          <w:color w:val="000000"/>
        </w:rPr>
        <w:lastRenderedPageBreak/>
        <w:t>to, y que Casas y Toledo fueron determinados por el in</w:t>
      </w:r>
      <w:r>
        <w:rPr>
          <w:bCs/>
          <w:color w:val="000000"/>
        </w:rPr>
        <w:t>s</w:t>
      </w:r>
      <w:r>
        <w:rPr>
          <w:bCs/>
          <w:color w:val="000000"/>
        </w:rPr>
        <w:t>tructor a mentir contra Ib</w:t>
      </w:r>
      <w:r>
        <w:rPr>
          <w:bCs/>
          <w:color w:val="000000"/>
        </w:rPr>
        <w:t>a</w:t>
      </w:r>
      <w:r>
        <w:rPr>
          <w:bCs/>
          <w:color w:val="000000"/>
        </w:rPr>
        <w:t>rra, en presencia de uno de los fiscales.</w:t>
      </w:r>
    </w:p>
    <w:p w:rsidR="00224567" w:rsidRDefault="00224567">
      <w:pPr>
        <w:widowControl w:val="0"/>
        <w:tabs>
          <w:tab w:val="left" w:pos="2835"/>
        </w:tabs>
        <w:ind w:firstLine="708"/>
        <w:rPr>
          <w:bCs/>
          <w:color w:val="000000"/>
        </w:rPr>
      </w:pPr>
      <w:r>
        <w:rPr>
          <w:bCs/>
          <w:color w:val="000000"/>
        </w:rPr>
        <w:tab/>
        <w:t>Puntualizó la defensa que Duday, al declarar ante el juez de la causa el 30 de mayo de 1996 con identidad protegida, contó que una tarde, aproximad</w:t>
      </w:r>
      <w:r>
        <w:rPr>
          <w:bCs/>
          <w:color w:val="000000"/>
        </w:rPr>
        <w:t>a</w:t>
      </w:r>
      <w:r>
        <w:rPr>
          <w:bCs/>
          <w:color w:val="000000"/>
        </w:rPr>
        <w:t>mente a las 16.30, vio un Ford Falcon antiguo, color verde oscuro, estacionado sobre la vereda de enfrente de su d</w:t>
      </w:r>
      <w:r>
        <w:rPr>
          <w:bCs/>
          <w:color w:val="000000"/>
        </w:rPr>
        <w:t>o</w:t>
      </w:r>
      <w:r>
        <w:rPr>
          <w:bCs/>
          <w:color w:val="000000"/>
        </w:rPr>
        <w:t>micilio de la calle República 70 de Villa B</w:t>
      </w:r>
      <w:r>
        <w:rPr>
          <w:bCs/>
          <w:color w:val="000000"/>
        </w:rPr>
        <w:t>a</w:t>
      </w:r>
      <w:r>
        <w:rPr>
          <w:bCs/>
          <w:color w:val="000000"/>
        </w:rPr>
        <w:t>llester.</w:t>
      </w:r>
    </w:p>
    <w:p w:rsidR="00224567" w:rsidRDefault="00224567">
      <w:pPr>
        <w:widowControl w:val="0"/>
        <w:tabs>
          <w:tab w:val="left" w:pos="2835"/>
        </w:tabs>
        <w:ind w:firstLine="708"/>
        <w:rPr>
          <w:bCs/>
          <w:color w:val="000000"/>
        </w:rPr>
      </w:pPr>
      <w:r>
        <w:rPr>
          <w:bCs/>
          <w:color w:val="000000"/>
        </w:rPr>
        <w:tab/>
        <w:t>Destacó que tanto el horario como el detalle del capó levantado eran coincidentes con las ve</w:t>
      </w:r>
      <w:r>
        <w:rPr>
          <w:bCs/>
          <w:color w:val="000000"/>
        </w:rPr>
        <w:t>r</w:t>
      </w:r>
      <w:r>
        <w:rPr>
          <w:bCs/>
          <w:color w:val="000000"/>
        </w:rPr>
        <w:t>siones de Ib</w:t>
      </w:r>
      <w:r>
        <w:rPr>
          <w:bCs/>
          <w:color w:val="000000"/>
        </w:rPr>
        <w:t>a</w:t>
      </w:r>
      <w:r>
        <w:rPr>
          <w:bCs/>
          <w:color w:val="000000"/>
        </w:rPr>
        <w:t>rra y Cruz.</w:t>
      </w:r>
    </w:p>
    <w:p w:rsidR="00224567" w:rsidRDefault="00224567">
      <w:pPr>
        <w:widowControl w:val="0"/>
        <w:tabs>
          <w:tab w:val="left" w:pos="2835"/>
        </w:tabs>
        <w:ind w:firstLine="708"/>
        <w:rPr>
          <w:bCs/>
          <w:color w:val="000000"/>
        </w:rPr>
      </w:pPr>
      <w:r>
        <w:rPr>
          <w:bCs/>
          <w:color w:val="000000"/>
        </w:rPr>
        <w:tab/>
        <w:t>Precisó la defensa que quien fu</w:t>
      </w:r>
      <w:r>
        <w:rPr>
          <w:bCs/>
          <w:color w:val="000000"/>
        </w:rPr>
        <w:t>e</w:t>
      </w:r>
      <w:r>
        <w:rPr>
          <w:bCs/>
          <w:color w:val="000000"/>
        </w:rPr>
        <w:t>ra el testigo protegido nº 1 sospechó de estas personas, y que cuando se dirigió a su taller para llamar por teléfono a la policía de la zona, estos sujetos se prese</w:t>
      </w:r>
      <w:r>
        <w:rPr>
          <w:bCs/>
          <w:color w:val="000000"/>
        </w:rPr>
        <w:t>n</w:t>
      </w:r>
      <w:r>
        <w:rPr>
          <w:bCs/>
          <w:color w:val="000000"/>
        </w:rPr>
        <w:t>taron en su negocio e identificándose como funcionarios policiales de Lanús o Avellaneda, le solicitaron permiso para realizar desde allí una vigilancia encubierta sobre el domicilio de Ca</w:t>
      </w:r>
      <w:r>
        <w:rPr>
          <w:bCs/>
          <w:color w:val="000000"/>
        </w:rPr>
        <w:t>r</w:t>
      </w:r>
      <w:r>
        <w:rPr>
          <w:bCs/>
          <w:color w:val="000000"/>
        </w:rPr>
        <w:t>los Telleldín.</w:t>
      </w:r>
    </w:p>
    <w:p w:rsidR="00224567" w:rsidRDefault="00224567">
      <w:pPr>
        <w:widowControl w:val="0"/>
        <w:tabs>
          <w:tab w:val="left" w:pos="2835"/>
        </w:tabs>
        <w:ind w:firstLine="708"/>
        <w:rPr>
          <w:bCs/>
          <w:color w:val="000000"/>
        </w:rPr>
      </w:pPr>
      <w:r>
        <w:rPr>
          <w:bCs/>
          <w:color w:val="000000"/>
        </w:rPr>
        <w:lastRenderedPageBreak/>
        <w:tab/>
        <w:t>Ilustró el Dr. Giardelli que el test</w:t>
      </w:r>
      <w:r>
        <w:rPr>
          <w:bCs/>
          <w:color w:val="000000"/>
        </w:rPr>
        <w:t>i</w:t>
      </w:r>
      <w:r>
        <w:rPr>
          <w:bCs/>
          <w:color w:val="000000"/>
        </w:rPr>
        <w:t>go realizó una descripción muy precisa de los tres pol</w:t>
      </w:r>
      <w:r>
        <w:rPr>
          <w:bCs/>
          <w:color w:val="000000"/>
        </w:rPr>
        <w:t>i</w:t>
      </w:r>
      <w:r>
        <w:rPr>
          <w:bCs/>
          <w:color w:val="000000"/>
        </w:rPr>
        <w:t>cías que estuvieron esa tarde dentro de su taller, coinc</w:t>
      </w:r>
      <w:r>
        <w:rPr>
          <w:bCs/>
          <w:color w:val="000000"/>
        </w:rPr>
        <w:t>i</w:t>
      </w:r>
      <w:r>
        <w:rPr>
          <w:bCs/>
          <w:color w:val="000000"/>
        </w:rPr>
        <w:t>diendo asombrosamente con los rasgos que por aquel ento</w:t>
      </w:r>
      <w:r>
        <w:rPr>
          <w:bCs/>
          <w:color w:val="000000"/>
        </w:rPr>
        <w:t>n</w:t>
      </w:r>
      <w:r>
        <w:rPr>
          <w:bCs/>
          <w:color w:val="000000"/>
        </w:rPr>
        <w:t>ces presentaban Ibarra, Casas y Toledo.</w:t>
      </w:r>
    </w:p>
    <w:p w:rsidR="00224567" w:rsidRDefault="00224567">
      <w:pPr>
        <w:widowControl w:val="0"/>
        <w:tabs>
          <w:tab w:val="left" w:pos="2835"/>
        </w:tabs>
        <w:ind w:firstLine="708"/>
        <w:rPr>
          <w:bCs/>
          <w:color w:val="000000"/>
        </w:rPr>
      </w:pPr>
      <w:r>
        <w:rPr>
          <w:bCs/>
          <w:color w:val="000000"/>
        </w:rPr>
        <w:tab/>
        <w:t>Sostuvo que tan minuciosa de</w:t>
      </w:r>
      <w:r>
        <w:rPr>
          <w:bCs/>
          <w:color w:val="000000"/>
        </w:rPr>
        <w:t>s</w:t>
      </w:r>
      <w:r>
        <w:rPr>
          <w:bCs/>
          <w:color w:val="000000"/>
        </w:rPr>
        <w:t>cripción dada por Duday en mayo de 1996, obligaba al juez a o</w:t>
      </w:r>
      <w:r>
        <w:rPr>
          <w:bCs/>
          <w:color w:val="000000"/>
        </w:rPr>
        <w:t>r</w:t>
      </w:r>
      <w:r>
        <w:rPr>
          <w:bCs/>
          <w:color w:val="000000"/>
        </w:rPr>
        <w:t>denar inmediatamente un reconocimiento del álbum de f</w:t>
      </w:r>
      <w:r>
        <w:rPr>
          <w:bCs/>
          <w:color w:val="000000"/>
        </w:rPr>
        <w:t>o</w:t>
      </w:r>
      <w:r>
        <w:rPr>
          <w:bCs/>
          <w:color w:val="000000"/>
        </w:rPr>
        <w:t>tografías de los policías de Lanús con que contaba desde hacía ya bastante tiempo, infiriendo que si esa diligencia se h</w:t>
      </w:r>
      <w:r>
        <w:rPr>
          <w:bCs/>
          <w:color w:val="000000"/>
        </w:rPr>
        <w:t>u</w:t>
      </w:r>
      <w:r>
        <w:rPr>
          <w:bCs/>
          <w:color w:val="000000"/>
        </w:rPr>
        <w:t>biera realizado, Ibarra no tendría que estar sufriendo hoy todas estas graves imput</w:t>
      </w:r>
      <w:r>
        <w:rPr>
          <w:bCs/>
          <w:color w:val="000000"/>
        </w:rPr>
        <w:t>a</w:t>
      </w:r>
      <w:r>
        <w:rPr>
          <w:bCs/>
          <w:color w:val="000000"/>
        </w:rPr>
        <w:t>ciones, conjeturando, además, que el ineludible reconocimiento por fotografías se llevó a cabo y que, debido al resultado del acto, no fue del agr</w:t>
      </w:r>
      <w:r>
        <w:rPr>
          <w:bCs/>
          <w:color w:val="000000"/>
        </w:rPr>
        <w:t>a</w:t>
      </w:r>
      <w:r>
        <w:rPr>
          <w:bCs/>
          <w:color w:val="000000"/>
        </w:rPr>
        <w:t>do de los impulsores del armado de la causa optando por no dejarlo d</w:t>
      </w:r>
      <w:r>
        <w:rPr>
          <w:bCs/>
          <w:color w:val="000000"/>
        </w:rPr>
        <w:t>o</w:t>
      </w:r>
      <w:r>
        <w:rPr>
          <w:bCs/>
          <w:color w:val="000000"/>
        </w:rPr>
        <w:t>cumentado en un acta.</w:t>
      </w:r>
    </w:p>
    <w:p w:rsidR="00224567" w:rsidRDefault="00224567">
      <w:pPr>
        <w:widowControl w:val="0"/>
        <w:tabs>
          <w:tab w:val="left" w:pos="2835"/>
        </w:tabs>
        <w:ind w:firstLine="708"/>
        <w:rPr>
          <w:bCs/>
          <w:color w:val="000000"/>
        </w:rPr>
      </w:pPr>
      <w:r>
        <w:rPr>
          <w:bCs/>
          <w:color w:val="000000"/>
        </w:rPr>
        <w:tab/>
        <w:t>Continuando con el análisis de la d</w:t>
      </w:r>
      <w:r>
        <w:rPr>
          <w:bCs/>
          <w:color w:val="000000"/>
        </w:rPr>
        <w:t>e</w:t>
      </w:r>
      <w:r>
        <w:rPr>
          <w:bCs/>
          <w:color w:val="000000"/>
        </w:rPr>
        <w:t>claración de Duday, remarcó la asistencia letrada de Ib</w:t>
      </w:r>
      <w:r>
        <w:rPr>
          <w:bCs/>
          <w:color w:val="000000"/>
        </w:rPr>
        <w:t>a</w:t>
      </w:r>
      <w:r>
        <w:rPr>
          <w:bCs/>
          <w:color w:val="000000"/>
        </w:rPr>
        <w:t>rra que el fotógrafo dijo que en el lugar, v</w:t>
      </w:r>
      <w:r>
        <w:rPr>
          <w:bCs/>
          <w:color w:val="000000"/>
        </w:rPr>
        <w:t>i</w:t>
      </w:r>
      <w:r>
        <w:rPr>
          <w:bCs/>
          <w:color w:val="000000"/>
        </w:rPr>
        <w:t>gilado por la comisión policial, se encontraba estacionado un vehículo que aproximadamente a las 19.15, abandonó las inmediaci</w:t>
      </w:r>
      <w:r>
        <w:rPr>
          <w:bCs/>
          <w:color w:val="000000"/>
        </w:rPr>
        <w:t>o</w:t>
      </w:r>
      <w:r>
        <w:rPr>
          <w:bCs/>
          <w:color w:val="000000"/>
        </w:rPr>
        <w:lastRenderedPageBreak/>
        <w:t>nes seguido en el Ford Falcon por las personas que perm</w:t>
      </w:r>
      <w:r>
        <w:rPr>
          <w:bCs/>
          <w:color w:val="000000"/>
        </w:rPr>
        <w:t>a</w:t>
      </w:r>
      <w:r>
        <w:rPr>
          <w:bCs/>
          <w:color w:val="000000"/>
        </w:rPr>
        <w:t>necían en su negocio.</w:t>
      </w:r>
    </w:p>
    <w:p w:rsidR="00224567" w:rsidRDefault="00224567">
      <w:pPr>
        <w:widowControl w:val="0"/>
        <w:tabs>
          <w:tab w:val="left" w:pos="2835"/>
        </w:tabs>
        <w:ind w:firstLine="708"/>
        <w:rPr>
          <w:bCs/>
          <w:color w:val="000000"/>
        </w:rPr>
      </w:pPr>
      <w:r>
        <w:rPr>
          <w:bCs/>
          <w:color w:val="000000"/>
        </w:rPr>
        <w:tab/>
        <w:t>Reparó el defensor que el horario en que, según el testigo, los policías abandonaron la zona, acreditaba de manera contundente que se trataba de la mi</w:t>
      </w:r>
      <w:r>
        <w:rPr>
          <w:bCs/>
          <w:color w:val="000000"/>
        </w:rPr>
        <w:t>s</w:t>
      </w:r>
      <w:r>
        <w:rPr>
          <w:bCs/>
          <w:color w:val="000000"/>
        </w:rPr>
        <w:t>ma comisión que luego se dirigió a Olivos, ya que el acta que firmaron los preventores a raíz del choque con el t</w:t>
      </w:r>
      <w:r>
        <w:rPr>
          <w:bCs/>
          <w:color w:val="000000"/>
        </w:rPr>
        <w:t>a</w:t>
      </w:r>
      <w:r>
        <w:rPr>
          <w:bCs/>
          <w:color w:val="000000"/>
        </w:rPr>
        <w:t>xista, fue labr</w:t>
      </w:r>
      <w:r>
        <w:rPr>
          <w:bCs/>
          <w:color w:val="000000"/>
        </w:rPr>
        <w:t>a</w:t>
      </w:r>
      <w:r>
        <w:rPr>
          <w:bCs/>
          <w:color w:val="000000"/>
        </w:rPr>
        <w:t>da poco tiempo después, a las 21.05.</w:t>
      </w:r>
    </w:p>
    <w:p w:rsidR="00224567" w:rsidRDefault="00224567">
      <w:pPr>
        <w:widowControl w:val="0"/>
        <w:tabs>
          <w:tab w:val="left" w:pos="2835"/>
        </w:tabs>
        <w:ind w:firstLine="708"/>
        <w:rPr>
          <w:bCs/>
          <w:color w:val="000000"/>
        </w:rPr>
      </w:pPr>
      <w:r>
        <w:rPr>
          <w:bCs/>
          <w:color w:val="000000"/>
        </w:rPr>
        <w:tab/>
        <w:t>Recordó el defensor que, luego de e</w:t>
      </w:r>
      <w:r>
        <w:rPr>
          <w:bCs/>
          <w:color w:val="000000"/>
        </w:rPr>
        <w:t>s</w:t>
      </w:r>
      <w:r>
        <w:rPr>
          <w:bCs/>
          <w:color w:val="000000"/>
        </w:rPr>
        <w:t>cuchar al prosecretario Lifschitz en la audiencia, quedó acreditado la parcial mutilación dolosa de la test</w:t>
      </w:r>
      <w:r>
        <w:rPr>
          <w:bCs/>
          <w:color w:val="000000"/>
        </w:rPr>
        <w:t>i</w:t>
      </w:r>
      <w:r>
        <w:rPr>
          <w:bCs/>
          <w:color w:val="000000"/>
        </w:rPr>
        <w:t>monial de Duday para impedir la correcta ubicación temporal de los hechos y, de esa manera, poder situar la presencia de la comisión policial en Rep</w:t>
      </w:r>
      <w:r>
        <w:rPr>
          <w:bCs/>
          <w:color w:val="000000"/>
        </w:rPr>
        <w:t>ú</w:t>
      </w:r>
      <w:r>
        <w:rPr>
          <w:bCs/>
          <w:color w:val="000000"/>
        </w:rPr>
        <w:t>blica lo más cerca posible al mes de julio de 1994. Estimó que ello fue así, en virtud que, como pudo apreciarse en todos los actos procesales importantes de la instrucción, el juez, los fiscales y a</w:t>
      </w:r>
      <w:r>
        <w:rPr>
          <w:bCs/>
          <w:color w:val="000000"/>
        </w:rPr>
        <w:t>l</w:t>
      </w:r>
      <w:r>
        <w:rPr>
          <w:bCs/>
          <w:color w:val="000000"/>
        </w:rPr>
        <w:t>gunas de las querellas, atribuyeron una relevancia supe</w:t>
      </w:r>
      <w:r>
        <w:rPr>
          <w:bCs/>
          <w:color w:val="000000"/>
        </w:rPr>
        <w:t>r</w:t>
      </w:r>
      <w:r>
        <w:rPr>
          <w:bCs/>
          <w:color w:val="000000"/>
        </w:rPr>
        <w:t>lativa a un supuesto coment</w:t>
      </w:r>
      <w:r>
        <w:rPr>
          <w:bCs/>
          <w:color w:val="000000"/>
        </w:rPr>
        <w:t>a</w:t>
      </w:r>
      <w:r>
        <w:rPr>
          <w:bCs/>
          <w:color w:val="000000"/>
        </w:rPr>
        <w:t xml:space="preserve">rio que Ibarra le habría hecho a Duday en su taller de Villa Ballester, en cuanto a que </w:t>
      </w:r>
      <w:r>
        <w:rPr>
          <w:bCs/>
          <w:color w:val="000000"/>
        </w:rPr>
        <w:lastRenderedPageBreak/>
        <w:t>“no se haga problema que ya se va acordar de nosotros, porque va a ocurrir algo grande, y se va a enterar por t</w:t>
      </w:r>
      <w:r>
        <w:rPr>
          <w:bCs/>
          <w:color w:val="000000"/>
        </w:rPr>
        <w:t>o</w:t>
      </w:r>
      <w:r>
        <w:rPr>
          <w:bCs/>
          <w:color w:val="000000"/>
        </w:rPr>
        <w:t>dos los diarios”.</w:t>
      </w:r>
    </w:p>
    <w:p w:rsidR="00224567" w:rsidRDefault="00224567">
      <w:pPr>
        <w:widowControl w:val="0"/>
        <w:tabs>
          <w:tab w:val="left" w:pos="2835"/>
        </w:tabs>
        <w:ind w:firstLine="708"/>
        <w:rPr>
          <w:bCs/>
          <w:color w:val="000000"/>
        </w:rPr>
      </w:pPr>
      <w:r>
        <w:rPr>
          <w:bCs/>
          <w:color w:val="000000"/>
        </w:rPr>
        <w:tab/>
        <w:t>Destacó que esta circunstancia const</w:t>
      </w:r>
      <w:r>
        <w:rPr>
          <w:bCs/>
          <w:color w:val="000000"/>
        </w:rPr>
        <w:t>i</w:t>
      </w:r>
      <w:r>
        <w:rPr>
          <w:bCs/>
          <w:color w:val="000000"/>
        </w:rPr>
        <w:t>tuía, durante la instrucción, la prueba irr</w:t>
      </w:r>
      <w:r>
        <w:rPr>
          <w:bCs/>
          <w:color w:val="000000"/>
        </w:rPr>
        <w:t>e</w:t>
      </w:r>
      <w:r>
        <w:rPr>
          <w:bCs/>
          <w:color w:val="000000"/>
        </w:rPr>
        <w:t>futable de que los policías se aprestaban a colab</w:t>
      </w:r>
      <w:r>
        <w:rPr>
          <w:bCs/>
          <w:color w:val="000000"/>
        </w:rPr>
        <w:t>o</w:t>
      </w:r>
      <w:r>
        <w:rPr>
          <w:bCs/>
          <w:color w:val="000000"/>
        </w:rPr>
        <w:t xml:space="preserve">rar con los autores del atentado a </w:t>
      </w:r>
      <w:smartTag w:uri="urn:schemas-microsoft-com:office:smarttags" w:element="PersonName">
        <w:smartTagPr>
          <w:attr w:name="ProductID" w:val="la A.M"/>
        </w:smartTagPr>
        <w:r>
          <w:rPr>
            <w:bCs/>
            <w:color w:val="000000"/>
          </w:rPr>
          <w:t>la A.M</w:t>
        </w:r>
      </w:smartTag>
      <w:r>
        <w:rPr>
          <w:bCs/>
          <w:color w:val="000000"/>
        </w:rPr>
        <w:t>.I.A., otorgándole un sentido incrimin</w:t>
      </w:r>
      <w:r>
        <w:rPr>
          <w:bCs/>
          <w:color w:val="000000"/>
        </w:rPr>
        <w:t>a</w:t>
      </w:r>
      <w:r>
        <w:rPr>
          <w:bCs/>
          <w:color w:val="000000"/>
        </w:rPr>
        <w:t>torio máx</w:t>
      </w:r>
      <w:r>
        <w:rPr>
          <w:bCs/>
          <w:color w:val="000000"/>
        </w:rPr>
        <w:t>i</w:t>
      </w:r>
      <w:r>
        <w:rPr>
          <w:bCs/>
          <w:color w:val="000000"/>
        </w:rPr>
        <w:t>mo.</w:t>
      </w:r>
    </w:p>
    <w:p w:rsidR="00224567" w:rsidRDefault="00224567">
      <w:pPr>
        <w:widowControl w:val="0"/>
        <w:tabs>
          <w:tab w:val="left" w:pos="2835"/>
        </w:tabs>
        <w:ind w:firstLine="708"/>
        <w:rPr>
          <w:bCs/>
          <w:color w:val="000000"/>
        </w:rPr>
      </w:pPr>
      <w:r>
        <w:rPr>
          <w:bCs/>
          <w:color w:val="000000"/>
        </w:rPr>
        <w:tab/>
        <w:t>Valoró que por eso, la circunstancia de que Casas y Toledo confirmaran con sus dichos que la entrevista con Duday había tenido lugar el 15 de marzo de 1994, y no pocos días antes del atentado, hacía que esta pretendida prueba de cargo, tan apreciada por los impuls</w:t>
      </w:r>
      <w:r>
        <w:rPr>
          <w:bCs/>
          <w:color w:val="000000"/>
        </w:rPr>
        <w:t>o</w:t>
      </w:r>
      <w:r>
        <w:rPr>
          <w:bCs/>
          <w:color w:val="000000"/>
        </w:rPr>
        <w:t>res de la pista policial, quedara absolutamente neutral</w:t>
      </w:r>
      <w:r>
        <w:rPr>
          <w:bCs/>
          <w:color w:val="000000"/>
        </w:rPr>
        <w:t>i</w:t>
      </w:r>
      <w:r>
        <w:rPr>
          <w:bCs/>
          <w:color w:val="000000"/>
        </w:rPr>
        <w:t>zada, optándose entonces por determinarlos a mentir mod</w:t>
      </w:r>
      <w:r>
        <w:rPr>
          <w:bCs/>
          <w:color w:val="000000"/>
        </w:rPr>
        <w:t>i</w:t>
      </w:r>
      <w:r>
        <w:rPr>
          <w:bCs/>
          <w:color w:val="000000"/>
        </w:rPr>
        <w:t>ficando sus dichos originales para contrad</w:t>
      </w:r>
      <w:r>
        <w:rPr>
          <w:bCs/>
          <w:color w:val="000000"/>
        </w:rPr>
        <w:t>e</w:t>
      </w:r>
      <w:r>
        <w:rPr>
          <w:bCs/>
          <w:color w:val="000000"/>
        </w:rPr>
        <w:t>cir a Ibarra y a Cruz.</w:t>
      </w:r>
    </w:p>
    <w:p w:rsidR="00224567" w:rsidRDefault="00224567">
      <w:pPr>
        <w:widowControl w:val="0"/>
        <w:tabs>
          <w:tab w:val="left" w:pos="2835"/>
        </w:tabs>
        <w:ind w:firstLine="708"/>
        <w:rPr>
          <w:bCs/>
          <w:color w:val="000000"/>
        </w:rPr>
      </w:pPr>
      <w:r>
        <w:rPr>
          <w:bCs/>
          <w:color w:val="000000"/>
        </w:rPr>
        <w:tab/>
        <w:t>Consideró que el juez intentó cumplir con su parte del acuerdo concertado con los ahora imp</w:t>
      </w:r>
      <w:r>
        <w:rPr>
          <w:bCs/>
          <w:color w:val="000000"/>
        </w:rPr>
        <w:t>u</w:t>
      </w:r>
      <w:r>
        <w:rPr>
          <w:bCs/>
          <w:color w:val="000000"/>
        </w:rPr>
        <w:t>tados, a cambio de que Casas y Toledo declararan falsame</w:t>
      </w:r>
      <w:r>
        <w:rPr>
          <w:bCs/>
          <w:color w:val="000000"/>
        </w:rPr>
        <w:t>n</w:t>
      </w:r>
      <w:r>
        <w:rPr>
          <w:bCs/>
          <w:color w:val="000000"/>
        </w:rPr>
        <w:t xml:space="preserve">te en contra de sus camaradas de Lanús y, en especial, en </w:t>
      </w:r>
      <w:r>
        <w:rPr>
          <w:bCs/>
          <w:color w:val="000000"/>
        </w:rPr>
        <w:lastRenderedPageBreak/>
        <w:t>perjuicio de Ibarra.</w:t>
      </w:r>
    </w:p>
    <w:p w:rsidR="00224567" w:rsidRDefault="00224567">
      <w:pPr>
        <w:widowControl w:val="0"/>
        <w:tabs>
          <w:tab w:val="left" w:pos="2835"/>
        </w:tabs>
        <w:ind w:firstLine="708"/>
        <w:rPr>
          <w:bCs/>
          <w:color w:val="000000"/>
        </w:rPr>
      </w:pPr>
      <w:r>
        <w:rPr>
          <w:bCs/>
          <w:color w:val="000000"/>
        </w:rPr>
        <w:tab/>
        <w:t>Basó dicha afirmación en que, según constancias de la causa nº 502, el juez instructor se pe</w:t>
      </w:r>
      <w:r>
        <w:rPr>
          <w:bCs/>
          <w:color w:val="000000"/>
        </w:rPr>
        <w:t>r</w:t>
      </w:r>
      <w:r>
        <w:rPr>
          <w:bCs/>
          <w:color w:val="000000"/>
        </w:rPr>
        <w:t>mitió la “enormidad jurídica” de intentar una imputación contra Raúl Ibarra como instigador al falso te</w:t>
      </w:r>
      <w:r>
        <w:rPr>
          <w:bCs/>
          <w:color w:val="000000"/>
        </w:rPr>
        <w:t>s</w:t>
      </w:r>
      <w:r>
        <w:rPr>
          <w:bCs/>
          <w:color w:val="000000"/>
        </w:rPr>
        <w:t>timonio de Casas y Toledo, soslayando responsabilizar a estos últ</w:t>
      </w:r>
      <w:r>
        <w:rPr>
          <w:bCs/>
          <w:color w:val="000000"/>
        </w:rPr>
        <w:t>i</w:t>
      </w:r>
      <w:r>
        <w:rPr>
          <w:bCs/>
          <w:color w:val="000000"/>
        </w:rPr>
        <w:t>mos, supuestos instigados, como coautores de ese delito. Destacó que dicha maniobra quedó trunca a</w:t>
      </w:r>
      <w:r>
        <w:rPr>
          <w:bCs/>
          <w:color w:val="000000"/>
        </w:rPr>
        <w:t>n</w:t>
      </w:r>
      <w:r>
        <w:rPr>
          <w:bCs/>
          <w:color w:val="000000"/>
        </w:rPr>
        <w:t xml:space="preserve">te el cambio de integración de </w:t>
      </w:r>
      <w:smartTag w:uri="urn:schemas-microsoft-com:office:smarttags" w:element="PersonName">
        <w:smartTagPr>
          <w:attr w:name="ProductID" w:val="la Sala I"/>
        </w:smartTagPr>
        <w:r>
          <w:rPr>
            <w:bCs/>
            <w:color w:val="000000"/>
          </w:rPr>
          <w:t>la Sala I</w:t>
        </w:r>
      </w:smartTag>
      <w:r>
        <w:rPr>
          <w:bCs/>
          <w:color w:val="000000"/>
        </w:rPr>
        <w:t xml:space="preserve"> de </w:t>
      </w:r>
      <w:smartTag w:uri="urn:schemas-microsoft-com:office:smarttags" w:element="PersonName">
        <w:smartTagPr>
          <w:attr w:name="ProductID" w:val="la C￡mara Federal"/>
        </w:smartTagPr>
        <w:r>
          <w:rPr>
            <w:bCs/>
            <w:color w:val="000000"/>
          </w:rPr>
          <w:t>la Cámara Federal</w:t>
        </w:r>
      </w:smartTag>
      <w:r>
        <w:rPr>
          <w:bCs/>
          <w:color w:val="000000"/>
        </w:rPr>
        <w:t>, que reco</w:t>
      </w:r>
      <w:r>
        <w:rPr>
          <w:bCs/>
          <w:color w:val="000000"/>
        </w:rPr>
        <w:t>r</w:t>
      </w:r>
      <w:r>
        <w:rPr>
          <w:bCs/>
          <w:color w:val="000000"/>
        </w:rPr>
        <w:t>dándole al juez el concepto de instigación, le ordenó co</w:t>
      </w:r>
      <w:r>
        <w:rPr>
          <w:bCs/>
          <w:color w:val="000000"/>
        </w:rPr>
        <w:t>n</w:t>
      </w:r>
      <w:r>
        <w:rPr>
          <w:bCs/>
          <w:color w:val="000000"/>
        </w:rPr>
        <w:t>tinuar la causa contra los autores del falso testim</w:t>
      </w:r>
      <w:r>
        <w:rPr>
          <w:bCs/>
          <w:color w:val="000000"/>
        </w:rPr>
        <w:t>o</w:t>
      </w:r>
      <w:r>
        <w:rPr>
          <w:bCs/>
          <w:color w:val="000000"/>
        </w:rPr>
        <w:t>nio.</w:t>
      </w:r>
    </w:p>
    <w:p w:rsidR="00224567" w:rsidRDefault="00224567">
      <w:pPr>
        <w:widowControl w:val="0"/>
        <w:tabs>
          <w:tab w:val="left" w:pos="2835"/>
        </w:tabs>
        <w:ind w:firstLine="708"/>
        <w:rPr>
          <w:bCs/>
          <w:color w:val="000000"/>
        </w:rPr>
      </w:pPr>
      <w:r>
        <w:rPr>
          <w:bCs/>
          <w:color w:val="000000"/>
        </w:rPr>
        <w:tab/>
        <w:t>Agregó que, no obstante ello, el juez en su osado intento por evitar que Casas y Toledo, de acuerdo a lo previamente convenido, fueran desvinculados de este proceso por falso testimonio, poco tiempo más ta</w:t>
      </w:r>
      <w:r>
        <w:rPr>
          <w:bCs/>
          <w:color w:val="000000"/>
        </w:rPr>
        <w:t>r</w:t>
      </w:r>
      <w:r>
        <w:rPr>
          <w:bCs/>
          <w:color w:val="000000"/>
        </w:rPr>
        <w:t>de, decidió dictarles un sobreseimiento, quedando libres de la imputación y hab</w:t>
      </w:r>
      <w:r>
        <w:rPr>
          <w:bCs/>
          <w:color w:val="000000"/>
        </w:rPr>
        <w:t>i</w:t>
      </w:r>
      <w:r>
        <w:rPr>
          <w:bCs/>
          <w:color w:val="000000"/>
        </w:rPr>
        <w:t>litados para declarar como testigos de cargo contra Ibarra en el debate.</w:t>
      </w:r>
    </w:p>
    <w:p w:rsidR="00224567" w:rsidRDefault="00224567">
      <w:pPr>
        <w:widowControl w:val="0"/>
        <w:tabs>
          <w:tab w:val="left" w:pos="2835"/>
        </w:tabs>
        <w:ind w:firstLine="708"/>
        <w:rPr>
          <w:bCs/>
          <w:color w:val="000000"/>
        </w:rPr>
      </w:pPr>
      <w:r>
        <w:rPr>
          <w:bCs/>
          <w:color w:val="000000"/>
        </w:rPr>
        <w:tab/>
        <w:t>Afirmó la defensa, enfáticamente, que Casas y Toledo están sentados en este juicio como imp</w:t>
      </w:r>
      <w:r>
        <w:rPr>
          <w:bCs/>
          <w:color w:val="000000"/>
        </w:rPr>
        <w:t>u</w:t>
      </w:r>
      <w:r>
        <w:rPr>
          <w:bCs/>
          <w:color w:val="000000"/>
        </w:rPr>
        <w:lastRenderedPageBreak/>
        <w:t>tados, no porque Galeano así lo deseara, si no por la d</w:t>
      </w:r>
      <w:r>
        <w:rPr>
          <w:bCs/>
          <w:color w:val="000000"/>
        </w:rPr>
        <w:t>e</w:t>
      </w:r>
      <w:r>
        <w:rPr>
          <w:bCs/>
          <w:color w:val="000000"/>
        </w:rPr>
        <w:t xml:space="preserve">cisión de </w:t>
      </w:r>
      <w:smartTag w:uri="urn:schemas-microsoft-com:office:smarttags" w:element="PersonName">
        <w:smartTagPr>
          <w:attr w:name="ProductID" w:val="la C￡mara Federal"/>
        </w:smartTagPr>
        <w:r>
          <w:rPr>
            <w:bCs/>
            <w:color w:val="000000"/>
          </w:rPr>
          <w:t>la Cámara Federal</w:t>
        </w:r>
      </w:smartTag>
      <w:r>
        <w:rPr>
          <w:bCs/>
          <w:color w:val="000000"/>
        </w:rPr>
        <w:t xml:space="preserve"> que revocó ese sobreseimiento, remarcando que la apelación que motivó la i</w:t>
      </w:r>
      <w:r>
        <w:rPr>
          <w:bCs/>
          <w:color w:val="000000"/>
        </w:rPr>
        <w:t>n</w:t>
      </w:r>
      <w:r>
        <w:rPr>
          <w:bCs/>
          <w:color w:val="000000"/>
        </w:rPr>
        <w:t>tervención de la alzada no se fundó en un recurso de la fiscalía, ya que éstos habían consentido la d</w:t>
      </w:r>
      <w:r>
        <w:rPr>
          <w:bCs/>
          <w:color w:val="000000"/>
        </w:rPr>
        <w:t>e</w:t>
      </w:r>
      <w:r>
        <w:rPr>
          <w:bCs/>
          <w:color w:val="000000"/>
        </w:rPr>
        <w:t>cisión liberatoria del juez.</w:t>
      </w:r>
    </w:p>
    <w:p w:rsidR="00224567" w:rsidRDefault="00224567">
      <w:pPr>
        <w:widowControl w:val="0"/>
        <w:tabs>
          <w:tab w:val="left" w:pos="2835"/>
        </w:tabs>
        <w:ind w:firstLine="708"/>
        <w:rPr>
          <w:bCs/>
          <w:color w:val="000000"/>
        </w:rPr>
      </w:pPr>
      <w:r>
        <w:rPr>
          <w:bCs/>
          <w:color w:val="000000"/>
        </w:rPr>
        <w:tab/>
        <w:t>Para demostrar la maniobra mencion</w:t>
      </w:r>
      <w:r>
        <w:rPr>
          <w:bCs/>
          <w:color w:val="000000"/>
        </w:rPr>
        <w:t>a</w:t>
      </w:r>
      <w:r>
        <w:rPr>
          <w:bCs/>
          <w:color w:val="000000"/>
        </w:rPr>
        <w:t>da, puso de resalto las consideraciones que, muy poco tiempo antes, el mismo juez había realiz</w:t>
      </w:r>
      <w:r>
        <w:rPr>
          <w:bCs/>
          <w:color w:val="000000"/>
        </w:rPr>
        <w:t>a</w:t>
      </w:r>
      <w:r>
        <w:rPr>
          <w:bCs/>
          <w:color w:val="000000"/>
        </w:rPr>
        <w:t>do al elevar a juicio la causa re</w:t>
      </w:r>
      <w:r>
        <w:rPr>
          <w:bCs/>
          <w:color w:val="000000"/>
        </w:rPr>
        <w:t>s</w:t>
      </w:r>
      <w:r>
        <w:rPr>
          <w:bCs/>
          <w:color w:val="000000"/>
        </w:rPr>
        <w:t>pecto del suboficial Víctor Cruz a quien, además, ma</w:t>
      </w:r>
      <w:r>
        <w:rPr>
          <w:bCs/>
          <w:color w:val="000000"/>
        </w:rPr>
        <w:t>n</w:t>
      </w:r>
      <w:r>
        <w:rPr>
          <w:bCs/>
          <w:color w:val="000000"/>
        </w:rPr>
        <w:t>tenía encarcelado.</w:t>
      </w:r>
    </w:p>
    <w:p w:rsidR="00224567" w:rsidRDefault="00224567">
      <w:pPr>
        <w:widowControl w:val="0"/>
        <w:tabs>
          <w:tab w:val="left" w:pos="2835"/>
        </w:tabs>
        <w:ind w:firstLine="708"/>
        <w:rPr>
          <w:bCs/>
          <w:color w:val="000000"/>
        </w:rPr>
      </w:pPr>
      <w:r>
        <w:rPr>
          <w:bCs/>
          <w:color w:val="000000"/>
        </w:rPr>
        <w:tab/>
        <w:t>Hizo notar el Dr. Giardelli que Cruz, en su declaración, había dicho que el 15 de marzo re</w:t>
      </w:r>
      <w:r>
        <w:rPr>
          <w:bCs/>
          <w:color w:val="000000"/>
        </w:rPr>
        <w:t>a</w:t>
      </w:r>
      <w:r>
        <w:rPr>
          <w:bCs/>
          <w:color w:val="000000"/>
        </w:rPr>
        <w:t>lizó todas las tareas a raíz de la orden que le impartió Ib</w:t>
      </w:r>
      <w:r>
        <w:rPr>
          <w:bCs/>
          <w:color w:val="000000"/>
        </w:rPr>
        <w:t>a</w:t>
      </w:r>
      <w:r>
        <w:rPr>
          <w:bCs/>
          <w:color w:val="000000"/>
        </w:rPr>
        <w:t>rra, alegando que, en su condición de suboficial, no p</w:t>
      </w:r>
      <w:r>
        <w:rPr>
          <w:bCs/>
          <w:color w:val="000000"/>
        </w:rPr>
        <w:t>o</w:t>
      </w:r>
      <w:r>
        <w:rPr>
          <w:bCs/>
          <w:color w:val="000000"/>
        </w:rPr>
        <w:t>día discutir la orden de un subcomisario y que a esto, el juez instructor afirmó que “la obediencia debida que fuera i</w:t>
      </w:r>
      <w:r>
        <w:rPr>
          <w:bCs/>
          <w:color w:val="000000"/>
        </w:rPr>
        <w:t>n</w:t>
      </w:r>
      <w:r>
        <w:rPr>
          <w:bCs/>
          <w:color w:val="000000"/>
        </w:rPr>
        <w:t>tentada por la defensa, hace agua... , toda vez que n</w:t>
      </w:r>
      <w:r>
        <w:rPr>
          <w:bCs/>
          <w:color w:val="000000"/>
        </w:rPr>
        <w:t>a</w:t>
      </w:r>
      <w:r>
        <w:rPr>
          <w:bCs/>
          <w:color w:val="000000"/>
        </w:rPr>
        <w:t>die esta obligado a cumplir con una orden que resulta man</w:t>
      </w:r>
      <w:r>
        <w:rPr>
          <w:bCs/>
          <w:color w:val="000000"/>
        </w:rPr>
        <w:t>i</w:t>
      </w:r>
      <w:r>
        <w:rPr>
          <w:bCs/>
          <w:color w:val="000000"/>
        </w:rPr>
        <w:t>fiestamente ilícita” y que ello es, mas bien, prueba de que a Cruz lo unía con Ibarra algo más que la relación funcional.</w:t>
      </w:r>
    </w:p>
    <w:p w:rsidR="00224567" w:rsidRDefault="00224567">
      <w:pPr>
        <w:widowControl w:val="0"/>
        <w:tabs>
          <w:tab w:val="left" w:pos="2835"/>
        </w:tabs>
        <w:ind w:firstLine="708"/>
        <w:rPr>
          <w:bCs/>
          <w:color w:val="000000"/>
        </w:rPr>
      </w:pPr>
      <w:r>
        <w:rPr>
          <w:bCs/>
          <w:color w:val="000000"/>
        </w:rPr>
        <w:lastRenderedPageBreak/>
        <w:tab/>
        <w:t>A continuación, analizó los fundame</w:t>
      </w:r>
      <w:r>
        <w:rPr>
          <w:bCs/>
          <w:color w:val="000000"/>
        </w:rPr>
        <w:t>n</w:t>
      </w:r>
      <w:r>
        <w:rPr>
          <w:bCs/>
          <w:color w:val="000000"/>
        </w:rPr>
        <w:t>tos que empleó el mismo juez con relación al mismo hecho, respecto de las excusas alegadas por personas que compa</w:t>
      </w:r>
      <w:r>
        <w:rPr>
          <w:bCs/>
          <w:color w:val="000000"/>
        </w:rPr>
        <w:t>r</w:t>
      </w:r>
      <w:r>
        <w:rPr>
          <w:bCs/>
          <w:color w:val="000000"/>
        </w:rPr>
        <w:t>tían un mismo escalafón dentro de la estructura de la mi</w:t>
      </w:r>
      <w:r>
        <w:rPr>
          <w:bCs/>
          <w:color w:val="000000"/>
        </w:rPr>
        <w:t>s</w:t>
      </w:r>
      <w:r>
        <w:rPr>
          <w:bCs/>
          <w:color w:val="000000"/>
        </w:rPr>
        <w:t>ma institución policial, tan sólo dos años después. Reco</w:t>
      </w:r>
      <w:r>
        <w:rPr>
          <w:bCs/>
          <w:color w:val="000000"/>
        </w:rPr>
        <w:t>r</w:t>
      </w:r>
      <w:r>
        <w:rPr>
          <w:bCs/>
          <w:color w:val="000000"/>
        </w:rPr>
        <w:t>dó entonces que, el Dr. Galeano, afirmó que teniendo en cue</w:t>
      </w:r>
      <w:r>
        <w:rPr>
          <w:bCs/>
          <w:color w:val="000000"/>
        </w:rPr>
        <w:t>n</w:t>
      </w:r>
      <w:r>
        <w:rPr>
          <w:bCs/>
          <w:color w:val="000000"/>
        </w:rPr>
        <w:t>ta los cargos y funciones de Casas y Toledo frente al de Ibarra, los suboficiales no se encontraban en condici</w:t>
      </w:r>
      <w:r>
        <w:rPr>
          <w:bCs/>
          <w:color w:val="000000"/>
        </w:rPr>
        <w:t>o</w:t>
      </w:r>
      <w:r>
        <w:rPr>
          <w:bCs/>
          <w:color w:val="000000"/>
        </w:rPr>
        <w:t>nes de inspeccionar la actuación del superior, ni de di</w:t>
      </w:r>
      <w:r>
        <w:rPr>
          <w:bCs/>
          <w:color w:val="000000"/>
        </w:rPr>
        <w:t>s</w:t>
      </w:r>
      <w:r>
        <w:rPr>
          <w:bCs/>
          <w:color w:val="000000"/>
        </w:rPr>
        <w:t>cutir la ilegalidad de la orden, ni de negarse a cumplirla y que, en consecuencia, compatibilizando el deber de ob</w:t>
      </w:r>
      <w:r>
        <w:rPr>
          <w:bCs/>
          <w:color w:val="000000"/>
        </w:rPr>
        <w:t>e</w:t>
      </w:r>
      <w:r>
        <w:rPr>
          <w:bCs/>
          <w:color w:val="000000"/>
        </w:rPr>
        <w:t>diencia con el de desobediencia, los i</w:t>
      </w:r>
      <w:r>
        <w:rPr>
          <w:bCs/>
          <w:color w:val="000000"/>
        </w:rPr>
        <w:t>m</w:t>
      </w:r>
      <w:r>
        <w:rPr>
          <w:bCs/>
          <w:color w:val="000000"/>
        </w:rPr>
        <w:t>putados entendieron que se trataba de un mandato ilícito de cumplimiento obl</w:t>
      </w:r>
      <w:r>
        <w:rPr>
          <w:bCs/>
          <w:color w:val="000000"/>
        </w:rPr>
        <w:t>i</w:t>
      </w:r>
      <w:r>
        <w:rPr>
          <w:bCs/>
          <w:color w:val="000000"/>
        </w:rPr>
        <w:t>gatorio, ya que su contenido no se encontraba dentro de los denom</w:t>
      </w:r>
      <w:r>
        <w:rPr>
          <w:bCs/>
          <w:color w:val="000000"/>
        </w:rPr>
        <w:t>i</w:t>
      </w:r>
      <w:r>
        <w:rPr>
          <w:bCs/>
          <w:color w:val="000000"/>
        </w:rPr>
        <w:t>nados hechos atroces y aberrantes.</w:t>
      </w:r>
    </w:p>
    <w:p w:rsidR="00224567" w:rsidRDefault="00224567">
      <w:pPr>
        <w:widowControl w:val="0"/>
        <w:tabs>
          <w:tab w:val="left" w:pos="2835"/>
        </w:tabs>
        <w:ind w:firstLine="708"/>
        <w:rPr>
          <w:bCs/>
          <w:color w:val="000000"/>
        </w:rPr>
      </w:pPr>
      <w:r>
        <w:rPr>
          <w:bCs/>
          <w:color w:val="000000"/>
        </w:rPr>
        <w:tab/>
        <w:t>Completó el letrado su relación reco</w:t>
      </w:r>
      <w:r>
        <w:rPr>
          <w:bCs/>
          <w:color w:val="000000"/>
        </w:rPr>
        <w:t>r</w:t>
      </w:r>
      <w:r>
        <w:rPr>
          <w:bCs/>
          <w:color w:val="000000"/>
        </w:rPr>
        <w:t>dando que el juez luego de citar doctrina, en aval de su postura, resolvió imponer una resolución defin</w:t>
      </w:r>
      <w:r>
        <w:rPr>
          <w:bCs/>
          <w:color w:val="000000"/>
        </w:rPr>
        <w:t>i</w:t>
      </w:r>
      <w:r>
        <w:rPr>
          <w:bCs/>
          <w:color w:val="000000"/>
        </w:rPr>
        <w:t xml:space="preserve">tiva en el legajo y respecto de Casas y Toledo, por considerar que existió una causa de justificación al haber actuado bajo </w:t>
      </w:r>
      <w:r>
        <w:rPr>
          <w:bCs/>
          <w:color w:val="000000"/>
        </w:rPr>
        <w:lastRenderedPageBreak/>
        <w:t>los efectos de la ob</w:t>
      </w:r>
      <w:r>
        <w:rPr>
          <w:bCs/>
          <w:color w:val="000000"/>
        </w:rPr>
        <w:t>e</w:t>
      </w:r>
      <w:r>
        <w:rPr>
          <w:bCs/>
          <w:color w:val="000000"/>
        </w:rPr>
        <w:t>diencia debida.</w:t>
      </w:r>
    </w:p>
    <w:p w:rsidR="00224567" w:rsidRDefault="00224567">
      <w:pPr>
        <w:widowControl w:val="0"/>
        <w:tabs>
          <w:tab w:val="left" w:pos="2835"/>
        </w:tabs>
        <w:ind w:firstLine="708"/>
        <w:rPr>
          <w:bCs/>
          <w:color w:val="000000"/>
        </w:rPr>
      </w:pPr>
      <w:r>
        <w:rPr>
          <w:bCs/>
          <w:color w:val="000000"/>
        </w:rPr>
        <w:tab/>
        <w:t>Concluyó entonces que no habiendo fa</w:t>
      </w:r>
      <w:r>
        <w:rPr>
          <w:bCs/>
          <w:color w:val="000000"/>
        </w:rPr>
        <w:t>l</w:t>
      </w:r>
      <w:r>
        <w:rPr>
          <w:bCs/>
          <w:color w:val="000000"/>
        </w:rPr>
        <w:t>sedad, por consecuencia, era obvio no imputar a Ib</w:t>
      </w:r>
      <w:r>
        <w:rPr>
          <w:bCs/>
          <w:color w:val="000000"/>
        </w:rPr>
        <w:t>a</w:t>
      </w:r>
      <w:r>
        <w:rPr>
          <w:bCs/>
          <w:color w:val="000000"/>
        </w:rPr>
        <w:t>rra el delito de falso testimonio, razón por la cual propuso su absolución libre y sin costas, en orden a los delitos s</w:t>
      </w:r>
      <w:r>
        <w:rPr>
          <w:bCs/>
          <w:color w:val="000000"/>
        </w:rPr>
        <w:t>e</w:t>
      </w:r>
      <w:r>
        <w:rPr>
          <w:bCs/>
          <w:color w:val="000000"/>
        </w:rPr>
        <w:t>ñalados.</w:t>
      </w:r>
    </w:p>
    <w:p w:rsidR="00224567" w:rsidRDefault="00224567">
      <w:pPr>
        <w:widowControl w:val="0"/>
        <w:tabs>
          <w:tab w:val="left" w:pos="2835"/>
        </w:tabs>
        <w:ind w:firstLine="708"/>
        <w:rPr>
          <w:bCs/>
          <w:color w:val="000000"/>
        </w:rPr>
      </w:pPr>
      <w:r>
        <w:rPr>
          <w:bCs/>
          <w:color w:val="000000"/>
        </w:rPr>
        <w:tab/>
        <w:t>Respecto a la defensa referida a la insignificancia de la cuestión implicada, es d</w:t>
      </w:r>
      <w:r>
        <w:rPr>
          <w:bCs/>
          <w:color w:val="000000"/>
        </w:rPr>
        <w:t>e</w:t>
      </w:r>
      <w:r>
        <w:rPr>
          <w:bCs/>
          <w:color w:val="000000"/>
        </w:rPr>
        <w:t>cir si los policías hici</w:t>
      </w:r>
      <w:r>
        <w:rPr>
          <w:bCs/>
          <w:color w:val="000000"/>
        </w:rPr>
        <w:t>e</w:t>
      </w:r>
      <w:r>
        <w:rPr>
          <w:bCs/>
          <w:color w:val="000000"/>
        </w:rPr>
        <w:t>ron tareas de inteligencia previas el 15 de marzo antes de ir hacia “El Barril” de Olivos, recordó el letrado que enseña la doctrina que, para que se conforme el tipo penal que reprime el falso testimonio, la alter</w:t>
      </w:r>
      <w:r>
        <w:rPr>
          <w:bCs/>
          <w:color w:val="000000"/>
        </w:rPr>
        <w:t>a</w:t>
      </w:r>
      <w:r>
        <w:rPr>
          <w:bCs/>
          <w:color w:val="000000"/>
        </w:rPr>
        <w:t>ción que el testigo introduce en su declaración ha de t</w:t>
      </w:r>
      <w:r>
        <w:rPr>
          <w:bCs/>
          <w:color w:val="000000"/>
        </w:rPr>
        <w:t>e</w:t>
      </w:r>
      <w:r>
        <w:rPr>
          <w:bCs/>
          <w:color w:val="000000"/>
        </w:rPr>
        <w:t>ner una entidad bastante como para condicionar el result</w:t>
      </w:r>
      <w:r>
        <w:rPr>
          <w:bCs/>
          <w:color w:val="000000"/>
        </w:rPr>
        <w:t>a</w:t>
      </w:r>
      <w:r>
        <w:rPr>
          <w:bCs/>
          <w:color w:val="000000"/>
        </w:rPr>
        <w:t>do de la prueba del delito y la autoría del mismo.</w:t>
      </w:r>
    </w:p>
    <w:p w:rsidR="00224567" w:rsidRDefault="00224567">
      <w:pPr>
        <w:widowControl w:val="0"/>
        <w:tabs>
          <w:tab w:val="left" w:pos="2835"/>
        </w:tabs>
        <w:ind w:firstLine="708"/>
        <w:rPr>
          <w:bCs/>
          <w:color w:val="000000"/>
        </w:rPr>
      </w:pPr>
      <w:r>
        <w:rPr>
          <w:bCs/>
          <w:color w:val="000000"/>
        </w:rPr>
        <w:tab/>
        <w:t>Afirmó que la versión de Ibarra, en cuanto a que en la fecha indicada pasó con otros efe</w:t>
      </w:r>
      <w:r>
        <w:rPr>
          <w:bCs/>
          <w:color w:val="000000"/>
        </w:rPr>
        <w:t>c</w:t>
      </w:r>
      <w:r>
        <w:rPr>
          <w:bCs/>
          <w:color w:val="000000"/>
        </w:rPr>
        <w:t>tivos policías por Villa Ballester tiempo antes de ir hacia Ol</w:t>
      </w:r>
      <w:r>
        <w:rPr>
          <w:bCs/>
          <w:color w:val="000000"/>
        </w:rPr>
        <w:t>i</w:t>
      </w:r>
      <w:r>
        <w:rPr>
          <w:bCs/>
          <w:color w:val="000000"/>
        </w:rPr>
        <w:t>vos, además de ser cierta, no revistió jamás en este pr</w:t>
      </w:r>
      <w:r>
        <w:rPr>
          <w:bCs/>
          <w:color w:val="000000"/>
        </w:rPr>
        <w:t>o</w:t>
      </w:r>
      <w:r>
        <w:rPr>
          <w:bCs/>
          <w:color w:val="000000"/>
        </w:rPr>
        <w:t>ceso, o en el proceso de Quilmes, la más mínima importa</w:t>
      </w:r>
      <w:r>
        <w:rPr>
          <w:bCs/>
          <w:color w:val="000000"/>
        </w:rPr>
        <w:t>n</w:t>
      </w:r>
      <w:r>
        <w:rPr>
          <w:bCs/>
          <w:color w:val="000000"/>
        </w:rPr>
        <w:t>cia.</w:t>
      </w:r>
    </w:p>
    <w:p w:rsidR="00224567" w:rsidRDefault="00224567">
      <w:pPr>
        <w:widowControl w:val="0"/>
        <w:tabs>
          <w:tab w:val="left" w:pos="2835"/>
        </w:tabs>
        <w:ind w:firstLine="708"/>
        <w:rPr>
          <w:bCs/>
          <w:color w:val="000000"/>
        </w:rPr>
      </w:pPr>
      <w:r>
        <w:rPr>
          <w:bCs/>
          <w:color w:val="000000"/>
        </w:rPr>
        <w:lastRenderedPageBreak/>
        <w:tab/>
        <w:t>En prueba de ello, consignó que, esta insignificante afirmación no recayó sobre ningún hecho principal o accesorio que pudiera, siquiera de manera p</w:t>
      </w:r>
      <w:r>
        <w:rPr>
          <w:bCs/>
          <w:color w:val="000000"/>
        </w:rPr>
        <w:t>o</w:t>
      </w:r>
      <w:r>
        <w:rPr>
          <w:bCs/>
          <w:color w:val="000000"/>
        </w:rPr>
        <w:t xml:space="preserve">tencial, influir en la formación de un criterio por parte de </w:t>
      </w:r>
      <w:smartTag w:uri="urn:schemas-microsoft-com:office:smarttags" w:element="PersonName">
        <w:smartTagPr>
          <w:attr w:name="ProductID" w:val="la Dra. Allaza"/>
        </w:smartTagPr>
        <w:r>
          <w:rPr>
            <w:bCs/>
            <w:color w:val="000000"/>
          </w:rPr>
          <w:t>la Dra. Allaza</w:t>
        </w:r>
      </w:smartTag>
      <w:r>
        <w:rPr>
          <w:bCs/>
          <w:color w:val="000000"/>
        </w:rPr>
        <w:t xml:space="preserve"> de Iturburu o de cualquier otro magi</w:t>
      </w:r>
      <w:r>
        <w:rPr>
          <w:bCs/>
          <w:color w:val="000000"/>
        </w:rPr>
        <w:t>s</w:t>
      </w:r>
      <w:r>
        <w:rPr>
          <w:bCs/>
          <w:color w:val="000000"/>
        </w:rPr>
        <w:t>trado a la hora de dictar un eventual pronunci</w:t>
      </w:r>
      <w:r>
        <w:rPr>
          <w:bCs/>
          <w:color w:val="000000"/>
        </w:rPr>
        <w:t>a</w:t>
      </w:r>
      <w:r>
        <w:rPr>
          <w:bCs/>
          <w:color w:val="000000"/>
        </w:rPr>
        <w:t>miento con relación a Telleldín u otra persona involucrada en la ca</w:t>
      </w:r>
      <w:r>
        <w:rPr>
          <w:bCs/>
          <w:color w:val="000000"/>
        </w:rPr>
        <w:t>u</w:t>
      </w:r>
      <w:r>
        <w:rPr>
          <w:bCs/>
          <w:color w:val="000000"/>
        </w:rPr>
        <w:t>sa.</w:t>
      </w:r>
    </w:p>
    <w:p w:rsidR="00224567" w:rsidRDefault="00224567">
      <w:pPr>
        <w:widowControl w:val="0"/>
        <w:tabs>
          <w:tab w:val="left" w:pos="2835"/>
        </w:tabs>
        <w:ind w:firstLine="708"/>
        <w:rPr>
          <w:bCs/>
        </w:rPr>
      </w:pPr>
      <w:r>
        <w:rPr>
          <w:bCs/>
          <w:color w:val="000000"/>
        </w:rPr>
        <w:tab/>
        <w:t xml:space="preserve">Citó en apoyo de sus afirmaciones a Ricardo Núñez y a Ricardo Levene (h) </w:t>
      </w:r>
      <w:r>
        <w:rPr>
          <w:bCs/>
        </w:rPr>
        <w:t>en su obra “El D</w:t>
      </w:r>
      <w:r>
        <w:rPr>
          <w:bCs/>
        </w:rPr>
        <w:t>e</w:t>
      </w:r>
      <w:r>
        <w:rPr>
          <w:bCs/>
        </w:rPr>
        <w:t>lito de Falso Testim</w:t>
      </w:r>
      <w:r>
        <w:rPr>
          <w:bCs/>
        </w:rPr>
        <w:t>o</w:t>
      </w:r>
      <w:r>
        <w:rPr>
          <w:bCs/>
        </w:rPr>
        <w:t>nio”.</w:t>
      </w:r>
    </w:p>
    <w:p w:rsidR="00224567" w:rsidRDefault="00224567">
      <w:pPr>
        <w:widowControl w:val="0"/>
        <w:tabs>
          <w:tab w:val="left" w:pos="2835"/>
        </w:tabs>
        <w:ind w:firstLine="708"/>
        <w:rPr>
          <w:bCs/>
        </w:rPr>
      </w:pPr>
      <w:r>
        <w:rPr>
          <w:bCs/>
        </w:rPr>
        <w:tab/>
        <w:t>Consignó que, desde antaño, la juri</w:t>
      </w:r>
      <w:r>
        <w:rPr>
          <w:bCs/>
        </w:rPr>
        <w:t>s</w:t>
      </w:r>
      <w:r>
        <w:rPr>
          <w:bCs/>
        </w:rPr>
        <w:t>prudencia es categórica a la hora de receptar en muchos fallos judiciales todas estas ideas citando los precede</w:t>
      </w:r>
      <w:r>
        <w:rPr>
          <w:bCs/>
        </w:rPr>
        <w:t>n</w:t>
      </w:r>
      <w:r>
        <w:rPr>
          <w:bCs/>
        </w:rPr>
        <w:t>tes traídos a col</w:t>
      </w:r>
      <w:r>
        <w:rPr>
          <w:bCs/>
        </w:rPr>
        <w:t>a</w:t>
      </w:r>
      <w:r>
        <w:rPr>
          <w:bCs/>
        </w:rPr>
        <w:t>ción por Núñez en su tratado al abordar el tema (C.C.C. 23/05/50, Fallos T-7, Pág. 178 y C.C.C. 10/12/35, T-4, Pág. 342). Agregó que, por esta segunda d</w:t>
      </w:r>
      <w:r>
        <w:rPr>
          <w:bCs/>
        </w:rPr>
        <w:t>e</w:t>
      </w:r>
      <w:r>
        <w:rPr>
          <w:bCs/>
        </w:rPr>
        <w:t>fensa, fundada en las razones de hecho y de derecho ind</w:t>
      </w:r>
      <w:r>
        <w:rPr>
          <w:bCs/>
        </w:rPr>
        <w:t>i</w:t>
      </w:r>
      <w:r>
        <w:rPr>
          <w:bCs/>
        </w:rPr>
        <w:t>cadas, r</w:t>
      </w:r>
      <w:r>
        <w:rPr>
          <w:bCs/>
        </w:rPr>
        <w:t>e</w:t>
      </w:r>
      <w:r>
        <w:rPr>
          <w:bCs/>
        </w:rPr>
        <w:t>iteraba el pedido liberatorio y sin costas.</w:t>
      </w:r>
    </w:p>
    <w:p w:rsidR="00224567" w:rsidRDefault="00224567">
      <w:pPr>
        <w:widowControl w:val="0"/>
        <w:tabs>
          <w:tab w:val="left" w:pos="2835"/>
        </w:tabs>
        <w:ind w:firstLine="708"/>
        <w:rPr>
          <w:bCs/>
        </w:rPr>
      </w:pPr>
      <w:r>
        <w:rPr>
          <w:bCs/>
        </w:rPr>
        <w:tab/>
        <w:t xml:space="preserve">De igual manera, sostuvo el letrado, </w:t>
      </w:r>
      <w:r>
        <w:rPr>
          <w:bCs/>
        </w:rPr>
        <w:lastRenderedPageBreak/>
        <w:t>existía un argumento de la lógica que concurría a demo</w:t>
      </w:r>
      <w:r>
        <w:rPr>
          <w:bCs/>
        </w:rPr>
        <w:t>s</w:t>
      </w:r>
      <w:r>
        <w:rPr>
          <w:bCs/>
        </w:rPr>
        <w:t>trar la veracidad de la declaración de Ibarra y las inco</w:t>
      </w:r>
      <w:r>
        <w:rPr>
          <w:bCs/>
        </w:rPr>
        <w:t>n</w:t>
      </w:r>
      <w:r>
        <w:rPr>
          <w:bCs/>
        </w:rPr>
        <w:t>secuencias en que debían incurrir los acusadores para so</w:t>
      </w:r>
      <w:r>
        <w:rPr>
          <w:bCs/>
        </w:rPr>
        <w:t>s</w:t>
      </w:r>
      <w:r>
        <w:rPr>
          <w:bCs/>
        </w:rPr>
        <w:t>tener la imputación ya que, si se tenía por cierta, por una necesidad de razonamiento, la afirmación del señor fiscal en cuanto a que Ribelli indicó a Huici, en marzo de 1994, que debía realizar una falsa declaración testim</w:t>
      </w:r>
      <w:r>
        <w:rPr>
          <w:bCs/>
        </w:rPr>
        <w:t>o</w:t>
      </w:r>
      <w:r>
        <w:rPr>
          <w:bCs/>
        </w:rPr>
        <w:t>nial en la causa del Juzgado Criminal de Quilmes, era imp</w:t>
      </w:r>
      <w:r>
        <w:rPr>
          <w:bCs/>
        </w:rPr>
        <w:t>o</w:t>
      </w:r>
      <w:r>
        <w:rPr>
          <w:bCs/>
        </w:rPr>
        <w:t>sible comprender cuál era el designio que podía guiar a Ibarra a pronunciarse falsamente s</w:t>
      </w:r>
      <w:r>
        <w:rPr>
          <w:bCs/>
        </w:rPr>
        <w:t>e</w:t>
      </w:r>
      <w:r>
        <w:rPr>
          <w:bCs/>
        </w:rPr>
        <w:t>ñalando la realización de tareas de intelige</w:t>
      </w:r>
      <w:r>
        <w:rPr>
          <w:bCs/>
        </w:rPr>
        <w:t>n</w:t>
      </w:r>
      <w:r>
        <w:rPr>
          <w:bCs/>
        </w:rPr>
        <w:t>cia en el domicilio de República, que no había efectu</w:t>
      </w:r>
      <w:r>
        <w:rPr>
          <w:bCs/>
        </w:rPr>
        <w:t>a</w:t>
      </w:r>
      <w:r>
        <w:rPr>
          <w:bCs/>
        </w:rPr>
        <w:t>do.</w:t>
      </w:r>
    </w:p>
    <w:p w:rsidR="00224567" w:rsidRDefault="00224567">
      <w:pPr>
        <w:widowControl w:val="0"/>
        <w:tabs>
          <w:tab w:val="left" w:pos="2835"/>
        </w:tabs>
        <w:ind w:firstLine="708"/>
        <w:rPr>
          <w:bCs/>
        </w:rPr>
      </w:pPr>
      <w:r>
        <w:rPr>
          <w:bCs/>
        </w:rPr>
        <w:tab/>
        <w:t>Recordó que tres son los datos que aportó Huici en su declaración del 14 de marzo; el pr</w:t>
      </w:r>
      <w:r>
        <w:rPr>
          <w:bCs/>
        </w:rPr>
        <w:t>i</w:t>
      </w:r>
      <w:r>
        <w:rPr>
          <w:bCs/>
        </w:rPr>
        <w:t>mero que Telleldín vivía en República al 100 de Villa Balle</w:t>
      </w:r>
      <w:r>
        <w:rPr>
          <w:bCs/>
        </w:rPr>
        <w:t>s</w:t>
      </w:r>
      <w:r>
        <w:rPr>
          <w:bCs/>
        </w:rPr>
        <w:t>ter; el otro, que se desplazaba en un Renault 18; y, el tercero, daba cuenta de que frecuentaba la zona de “El B</w:t>
      </w:r>
      <w:r>
        <w:rPr>
          <w:bCs/>
        </w:rPr>
        <w:t>a</w:t>
      </w:r>
      <w:r>
        <w:rPr>
          <w:bCs/>
        </w:rPr>
        <w:t>rril” de Ol</w:t>
      </w:r>
      <w:r>
        <w:rPr>
          <w:bCs/>
        </w:rPr>
        <w:t>i</w:t>
      </w:r>
      <w:r>
        <w:rPr>
          <w:bCs/>
        </w:rPr>
        <w:t>vos.</w:t>
      </w:r>
    </w:p>
    <w:p w:rsidR="00224567" w:rsidRDefault="00224567">
      <w:pPr>
        <w:widowControl w:val="0"/>
        <w:tabs>
          <w:tab w:val="left" w:pos="2835"/>
        </w:tabs>
        <w:ind w:firstLine="708"/>
        <w:rPr>
          <w:bCs/>
        </w:rPr>
      </w:pPr>
      <w:r>
        <w:rPr>
          <w:bCs/>
        </w:rPr>
        <w:tab/>
        <w:t>Expuso que, de no haber efectuado Ib</w:t>
      </w:r>
      <w:r>
        <w:rPr>
          <w:bCs/>
        </w:rPr>
        <w:t>a</w:t>
      </w:r>
      <w:r>
        <w:rPr>
          <w:bCs/>
        </w:rPr>
        <w:t>rra tales diligencias en Villa Ballester el 15 de marzo junto a Cruz, Casas y Toledo, y dado que, según lo pred</w:t>
      </w:r>
      <w:r>
        <w:rPr>
          <w:bCs/>
        </w:rPr>
        <w:t>i</w:t>
      </w:r>
      <w:r>
        <w:rPr>
          <w:bCs/>
        </w:rPr>
        <w:lastRenderedPageBreak/>
        <w:t>caron los acusadores, este testimonio de Huici resultó posterior al fallido intento de dete</w:t>
      </w:r>
      <w:r>
        <w:rPr>
          <w:bCs/>
        </w:rPr>
        <w:t>n</w:t>
      </w:r>
      <w:r>
        <w:rPr>
          <w:bCs/>
        </w:rPr>
        <w:t>ción de Telleldín, no era necesario que Huici las volcara falsamente en su d</w:t>
      </w:r>
      <w:r>
        <w:rPr>
          <w:bCs/>
        </w:rPr>
        <w:t>e</w:t>
      </w:r>
      <w:r>
        <w:rPr>
          <w:bCs/>
        </w:rPr>
        <w:t>claración, toda vez que bien podía l</w:t>
      </w:r>
      <w:r>
        <w:rPr>
          <w:bCs/>
        </w:rPr>
        <w:t>i</w:t>
      </w:r>
      <w:r>
        <w:rPr>
          <w:bCs/>
        </w:rPr>
        <w:t>mitarse a testimoniar a pedido de Rib</w:t>
      </w:r>
      <w:r>
        <w:rPr>
          <w:bCs/>
        </w:rPr>
        <w:t>e</w:t>
      </w:r>
      <w:r>
        <w:rPr>
          <w:bCs/>
        </w:rPr>
        <w:t>lli, únicamente que Telleldín frecuentaba el resta</w:t>
      </w:r>
      <w:r>
        <w:rPr>
          <w:bCs/>
        </w:rPr>
        <w:t>u</w:t>
      </w:r>
      <w:r>
        <w:rPr>
          <w:bCs/>
        </w:rPr>
        <w:t>rante “El Barril” de Olivos.</w:t>
      </w:r>
    </w:p>
    <w:p w:rsidR="00224567" w:rsidRDefault="00224567">
      <w:pPr>
        <w:widowControl w:val="0"/>
        <w:tabs>
          <w:tab w:val="left" w:pos="2835"/>
        </w:tabs>
        <w:ind w:firstLine="708"/>
        <w:rPr>
          <w:bCs/>
        </w:rPr>
      </w:pPr>
      <w:r>
        <w:rPr>
          <w:bCs/>
        </w:rPr>
        <w:tab/>
        <w:t>Destacó el defensor que con la incl</w:t>
      </w:r>
      <w:r>
        <w:rPr>
          <w:bCs/>
        </w:rPr>
        <w:t>u</w:t>
      </w:r>
      <w:r>
        <w:rPr>
          <w:bCs/>
        </w:rPr>
        <w:t>sión por parte de Huici de este sólo argumento, y sin echar mano de ninguna otra excusa, Ibarra y su grupo p</w:t>
      </w:r>
      <w:r>
        <w:rPr>
          <w:bCs/>
        </w:rPr>
        <w:t>o</w:t>
      </w:r>
      <w:r>
        <w:rPr>
          <w:bCs/>
        </w:rPr>
        <w:t>dían justificar perfectamente ante la jueza de Quilmes el por qué de su presencia en Olivos el 15 de marzo de 1994.</w:t>
      </w:r>
    </w:p>
    <w:p w:rsidR="00224567" w:rsidRDefault="00224567">
      <w:pPr>
        <w:widowControl w:val="0"/>
        <w:tabs>
          <w:tab w:val="left" w:pos="2835"/>
        </w:tabs>
        <w:ind w:firstLine="708"/>
        <w:rPr>
          <w:bCs/>
        </w:rPr>
      </w:pPr>
      <w:r>
        <w:rPr>
          <w:bCs/>
        </w:rPr>
        <w:tab/>
        <w:t>A continuación, articuló el letrado una defensa común para los dos hechos que imputaron los fiscales en primer término. Argumentó que, conforme a la doctrina y jurisprudencia citada, quedó perfectamente en claro que no se configuró la figura básica del delito de falso testimonio, por lo que mal puede tenerse por confo</w:t>
      </w:r>
      <w:r>
        <w:rPr>
          <w:bCs/>
        </w:rPr>
        <w:t>r</w:t>
      </w:r>
      <w:r>
        <w:rPr>
          <w:bCs/>
        </w:rPr>
        <w:t>mada respecto a Ibarra la agravante estipulada por la s</w:t>
      </w:r>
      <w:r>
        <w:rPr>
          <w:bCs/>
        </w:rPr>
        <w:t>e</w:t>
      </w:r>
      <w:r>
        <w:rPr>
          <w:bCs/>
        </w:rPr>
        <w:t>gunda parte del art. 275 del Código P</w:t>
      </w:r>
      <w:r>
        <w:rPr>
          <w:bCs/>
        </w:rPr>
        <w:t>e</w:t>
      </w:r>
      <w:r>
        <w:rPr>
          <w:bCs/>
        </w:rPr>
        <w:t>nal.</w:t>
      </w:r>
    </w:p>
    <w:p w:rsidR="00224567" w:rsidRDefault="00224567">
      <w:pPr>
        <w:widowControl w:val="0"/>
        <w:tabs>
          <w:tab w:val="left" w:pos="2835"/>
        </w:tabs>
        <w:ind w:firstLine="708"/>
        <w:rPr>
          <w:bCs/>
        </w:rPr>
      </w:pPr>
      <w:r>
        <w:rPr>
          <w:bCs/>
        </w:rPr>
        <w:tab/>
        <w:t>Remarcó que los acusadores no explic</w:t>
      </w:r>
      <w:r>
        <w:rPr>
          <w:bCs/>
        </w:rPr>
        <w:t>a</w:t>
      </w:r>
      <w:r>
        <w:rPr>
          <w:bCs/>
        </w:rPr>
        <w:lastRenderedPageBreak/>
        <w:t>ron cómo es que esta cuestión de haber realizado o no t</w:t>
      </w:r>
      <w:r>
        <w:rPr>
          <w:bCs/>
        </w:rPr>
        <w:t>a</w:t>
      </w:r>
      <w:r>
        <w:rPr>
          <w:bCs/>
        </w:rPr>
        <w:t>reas de inteligencias previas en Villa Ballester pudo op</w:t>
      </w:r>
      <w:r>
        <w:rPr>
          <w:bCs/>
        </w:rPr>
        <w:t>e</w:t>
      </w:r>
      <w:r>
        <w:rPr>
          <w:bCs/>
        </w:rPr>
        <w:t>rar en perju</w:t>
      </w:r>
      <w:r>
        <w:rPr>
          <w:bCs/>
        </w:rPr>
        <w:t>i</w:t>
      </w:r>
      <w:r>
        <w:rPr>
          <w:bCs/>
        </w:rPr>
        <w:t>cio de Carlos Telleldín en la causa donde se investigaba el homicidio de Catalino Muñoz y, que por ello, en modo a</w:t>
      </w:r>
      <w:r>
        <w:rPr>
          <w:bCs/>
        </w:rPr>
        <w:t>l</w:t>
      </w:r>
      <w:r>
        <w:rPr>
          <w:bCs/>
        </w:rPr>
        <w:t>guno puede interpretarse que el contenido de la declar</w:t>
      </w:r>
      <w:r>
        <w:rPr>
          <w:bCs/>
        </w:rPr>
        <w:t>a</w:t>
      </w:r>
      <w:r>
        <w:rPr>
          <w:bCs/>
        </w:rPr>
        <w:t>ción de Ibarra, permita valorar tales dichos como proferidos en perjuicio del inculpado por no ente</w:t>
      </w:r>
      <w:r>
        <w:rPr>
          <w:bCs/>
        </w:rPr>
        <w:t>n</w:t>
      </w:r>
      <w:r>
        <w:rPr>
          <w:bCs/>
        </w:rPr>
        <w:t>derse de qué manera, esa banal circunstancia podía, s</w:t>
      </w:r>
      <w:r>
        <w:rPr>
          <w:bCs/>
        </w:rPr>
        <w:t>i</w:t>
      </w:r>
      <w:r>
        <w:rPr>
          <w:bCs/>
        </w:rPr>
        <w:t>quiera potencialmente, afectar la situación procesal de Telleldín en la causa de Quilmes.</w:t>
      </w:r>
    </w:p>
    <w:p w:rsidR="00224567" w:rsidRDefault="00224567">
      <w:pPr>
        <w:widowControl w:val="0"/>
        <w:tabs>
          <w:tab w:val="left" w:pos="2835"/>
        </w:tabs>
        <w:ind w:firstLine="708"/>
        <w:rPr>
          <w:bCs/>
        </w:rPr>
      </w:pPr>
      <w:r>
        <w:rPr>
          <w:bCs/>
        </w:rPr>
        <w:tab/>
        <w:t>Por ello afirmó que la supuesta fals</w:t>
      </w:r>
      <w:r>
        <w:rPr>
          <w:bCs/>
        </w:rPr>
        <w:t>e</w:t>
      </w:r>
      <w:r>
        <w:rPr>
          <w:bCs/>
        </w:rPr>
        <w:t>dad no superaría, en el mejor de los casos, la figura si</w:t>
      </w:r>
      <w:r>
        <w:rPr>
          <w:bCs/>
        </w:rPr>
        <w:t>m</w:t>
      </w:r>
      <w:r>
        <w:rPr>
          <w:bCs/>
        </w:rPr>
        <w:t>ple del art. 275 del C.P. respecto de la que habría oper</w:t>
      </w:r>
      <w:r>
        <w:rPr>
          <w:bCs/>
        </w:rPr>
        <w:t>a</w:t>
      </w:r>
      <w:r>
        <w:rPr>
          <w:bCs/>
        </w:rPr>
        <w:t>do la prescripción de la acción en los dos delitos, prop</w:t>
      </w:r>
      <w:r>
        <w:rPr>
          <w:bCs/>
        </w:rPr>
        <w:t>o</w:t>
      </w:r>
      <w:r>
        <w:rPr>
          <w:bCs/>
        </w:rPr>
        <w:t xml:space="preserve">niendo que así se declare en los términos del art. 59, inc. 2, y 72, inc. 2º, del Código Penal, y 336, inc. 1º, del Código Procesal Penal de </w:t>
      </w:r>
      <w:smartTag w:uri="urn:schemas-microsoft-com:office:smarttags" w:element="PersonName">
        <w:smartTagPr>
          <w:attr w:name="ProductID" w:val="la Naci￳n."/>
        </w:smartTagPr>
        <w:r>
          <w:rPr>
            <w:bCs/>
          </w:rPr>
          <w:t>la N</w:t>
        </w:r>
        <w:r>
          <w:rPr>
            <w:bCs/>
          </w:rPr>
          <w:t>a</w:t>
        </w:r>
        <w:r>
          <w:rPr>
            <w:bCs/>
          </w:rPr>
          <w:t>ción.</w:t>
        </w:r>
      </w:smartTag>
    </w:p>
    <w:p w:rsidR="00224567" w:rsidRDefault="00224567">
      <w:pPr>
        <w:widowControl w:val="0"/>
        <w:tabs>
          <w:tab w:val="left" w:pos="2835"/>
        </w:tabs>
        <w:ind w:firstLine="708"/>
        <w:rPr>
          <w:bCs/>
        </w:rPr>
      </w:pPr>
      <w:r>
        <w:rPr>
          <w:bCs/>
        </w:rPr>
        <w:tab/>
        <w:t>Con relación a la imputación a Ibarra del delito de falso testimonio agravado por su declar</w:t>
      </w:r>
      <w:r>
        <w:rPr>
          <w:bCs/>
        </w:rPr>
        <w:t>a</w:t>
      </w:r>
      <w:r>
        <w:rPr>
          <w:bCs/>
        </w:rPr>
        <w:t>ción del 15 de marzo en Lanús, señaló la defensa que si se t</w:t>
      </w:r>
      <w:r>
        <w:rPr>
          <w:bCs/>
        </w:rPr>
        <w:t>u</w:t>
      </w:r>
      <w:r>
        <w:rPr>
          <w:bCs/>
        </w:rPr>
        <w:t xml:space="preserve">viera por cierta la versión de los fiscales acerca de la </w:t>
      </w:r>
      <w:r>
        <w:rPr>
          <w:bCs/>
        </w:rPr>
        <w:lastRenderedPageBreak/>
        <w:t>materialidad de las maniobras extorsivas efectu</w:t>
      </w:r>
      <w:r>
        <w:rPr>
          <w:bCs/>
        </w:rPr>
        <w:t>a</w:t>
      </w:r>
      <w:r>
        <w:rPr>
          <w:bCs/>
        </w:rPr>
        <w:t>das sobre Telle</w:t>
      </w:r>
      <w:r>
        <w:rPr>
          <w:bCs/>
        </w:rPr>
        <w:t>l</w:t>
      </w:r>
      <w:r>
        <w:rPr>
          <w:bCs/>
        </w:rPr>
        <w:t>dín en marzo y abril de 1994, pretender enrostrar a Ibarra este presunto hecho ilícito suponía violar en su perju</w:t>
      </w:r>
      <w:r>
        <w:rPr>
          <w:bCs/>
        </w:rPr>
        <w:t>i</w:t>
      </w:r>
      <w:r>
        <w:rPr>
          <w:bCs/>
        </w:rPr>
        <w:t>cio el precepto constitucional del art. 18 que veda la auto incriminación forzada. Añ</w:t>
      </w:r>
      <w:r>
        <w:rPr>
          <w:bCs/>
        </w:rPr>
        <w:t>a</w:t>
      </w:r>
      <w:r>
        <w:rPr>
          <w:bCs/>
        </w:rPr>
        <w:t>diendo que a su juicio, de resultar cierta la curiosa hipótesis del juez de in</w:t>
      </w:r>
      <w:r>
        <w:rPr>
          <w:bCs/>
        </w:rPr>
        <w:t>s</w:t>
      </w:r>
      <w:r>
        <w:rPr>
          <w:bCs/>
        </w:rPr>
        <w:t>trucción y de los fiscales de que esa testimonial tuvo por objeto justificar fals</w:t>
      </w:r>
      <w:r>
        <w:rPr>
          <w:bCs/>
        </w:rPr>
        <w:t>a</w:t>
      </w:r>
      <w:r>
        <w:rPr>
          <w:bCs/>
        </w:rPr>
        <w:t>mente la fallida maniobra tendiente a extorsionar a Telleldín, obligados en virtud del inesp</w:t>
      </w:r>
      <w:r>
        <w:rPr>
          <w:bCs/>
        </w:rPr>
        <w:t>e</w:t>
      </w:r>
      <w:r>
        <w:rPr>
          <w:bCs/>
        </w:rPr>
        <w:t>rado ep</w:t>
      </w:r>
      <w:r>
        <w:rPr>
          <w:bCs/>
        </w:rPr>
        <w:t>i</w:t>
      </w:r>
      <w:r>
        <w:rPr>
          <w:bCs/>
        </w:rPr>
        <w:t>sodio que se suscitó con el taxista Sexto, tampoco puede r</w:t>
      </w:r>
      <w:r>
        <w:rPr>
          <w:bCs/>
        </w:rPr>
        <w:t>e</w:t>
      </w:r>
      <w:r>
        <w:rPr>
          <w:bCs/>
        </w:rPr>
        <w:t>putarse a Ibarra la comisión de aquel delito.</w:t>
      </w:r>
    </w:p>
    <w:p w:rsidR="00224567" w:rsidRDefault="00224567">
      <w:pPr>
        <w:widowControl w:val="0"/>
        <w:tabs>
          <w:tab w:val="left" w:pos="2835"/>
        </w:tabs>
        <w:rPr>
          <w:bCs/>
        </w:rPr>
      </w:pPr>
      <w:r>
        <w:rPr>
          <w:bCs/>
        </w:rPr>
        <w:tab/>
        <w:t>Razonó que en caso de darse cr</w:t>
      </w:r>
      <w:r>
        <w:rPr>
          <w:bCs/>
        </w:rPr>
        <w:t>é</w:t>
      </w:r>
      <w:r>
        <w:rPr>
          <w:bCs/>
        </w:rPr>
        <w:t>dito a tales conjet</w:t>
      </w:r>
      <w:r>
        <w:rPr>
          <w:bCs/>
        </w:rPr>
        <w:t>u</w:t>
      </w:r>
      <w:r>
        <w:rPr>
          <w:bCs/>
        </w:rPr>
        <w:t>ras y si, además, se tenían por mendaces los dichos de Ibarra, no podía reprochárs</w:t>
      </w:r>
      <w:r>
        <w:rPr>
          <w:bCs/>
        </w:rPr>
        <w:t>e</w:t>
      </w:r>
      <w:r>
        <w:rPr>
          <w:bCs/>
        </w:rPr>
        <w:t>le de ninguna manera ese delito, toda vez que no se le podía exigir pronuncia</w:t>
      </w:r>
      <w:r>
        <w:rPr>
          <w:bCs/>
        </w:rPr>
        <w:t>r</w:t>
      </w:r>
      <w:r>
        <w:rPr>
          <w:bCs/>
        </w:rPr>
        <w:t>se con la verdad confesando las alegadas maniobras ilíc</w:t>
      </w:r>
      <w:r>
        <w:rPr>
          <w:bCs/>
        </w:rPr>
        <w:t>i</w:t>
      </w:r>
      <w:r>
        <w:rPr>
          <w:bCs/>
        </w:rPr>
        <w:t>tas cometidas en perjuicio de Telleldín, pues regiría en tal caso, el precepto constitucional que veda la auto i</w:t>
      </w:r>
      <w:r>
        <w:rPr>
          <w:bCs/>
        </w:rPr>
        <w:t>n</w:t>
      </w:r>
      <w:r>
        <w:rPr>
          <w:bCs/>
        </w:rPr>
        <w:t>crimin</w:t>
      </w:r>
      <w:r>
        <w:rPr>
          <w:bCs/>
        </w:rPr>
        <w:t>a</w:t>
      </w:r>
      <w:r>
        <w:rPr>
          <w:bCs/>
        </w:rPr>
        <w:t>ción forzada.</w:t>
      </w:r>
    </w:p>
    <w:p w:rsidR="00224567" w:rsidRDefault="00224567">
      <w:pPr>
        <w:widowControl w:val="0"/>
        <w:tabs>
          <w:tab w:val="left" w:pos="2835"/>
        </w:tabs>
        <w:ind w:firstLine="708"/>
        <w:rPr>
          <w:bCs/>
        </w:rPr>
      </w:pPr>
      <w:r>
        <w:rPr>
          <w:bCs/>
        </w:rPr>
        <w:tab/>
        <w:t xml:space="preserve">En apoyo de su razonamiento, citó el </w:t>
      </w:r>
      <w:r>
        <w:rPr>
          <w:bCs/>
        </w:rPr>
        <w:lastRenderedPageBreak/>
        <w:t xml:space="preserve">defensor la sentencia dictada por </w:t>
      </w:r>
      <w:smartTag w:uri="urn:schemas-microsoft-com:office:smarttags" w:element="PersonName">
        <w:smartTagPr>
          <w:attr w:name="ProductID" w:val="la Sala III"/>
        </w:smartTagPr>
        <w:r>
          <w:rPr>
            <w:bCs/>
          </w:rPr>
          <w:t>la Sala III</w:t>
        </w:r>
      </w:smartTag>
      <w:r>
        <w:rPr>
          <w:bCs/>
        </w:rPr>
        <w:t xml:space="preserve"> de </w:t>
      </w:r>
      <w:smartTag w:uri="urn:schemas-microsoft-com:office:smarttags" w:element="PersonName">
        <w:smartTagPr>
          <w:attr w:name="ProductID" w:val="la C￡mara Nacional"/>
        </w:smartTagPr>
        <w:r>
          <w:rPr>
            <w:bCs/>
          </w:rPr>
          <w:t>la C</w:t>
        </w:r>
        <w:r>
          <w:rPr>
            <w:bCs/>
          </w:rPr>
          <w:t>á</w:t>
        </w:r>
        <w:r>
          <w:rPr>
            <w:bCs/>
          </w:rPr>
          <w:t>mara Nacional</w:t>
        </w:r>
      </w:smartTag>
      <w:r>
        <w:rPr>
          <w:bCs/>
        </w:rPr>
        <w:t xml:space="preserve"> de Casación Penal, en la causa “Gastaldi, Marcos s/ recurso de casación”, resuelta el 23/06/98, y en la causa 3068. Además indicó que es mayoritaria la doctrina que sólo considera test</w:t>
      </w:r>
      <w:r>
        <w:rPr>
          <w:bCs/>
        </w:rPr>
        <w:t>i</w:t>
      </w:r>
      <w:r>
        <w:rPr>
          <w:bCs/>
        </w:rPr>
        <w:t>go a quien declara en causa ajena e</w:t>
      </w:r>
      <w:r>
        <w:rPr>
          <w:bCs/>
        </w:rPr>
        <w:t>x</w:t>
      </w:r>
      <w:r>
        <w:rPr>
          <w:bCs/>
        </w:rPr>
        <w:t xml:space="preserve">cluyendo, por tanto, de ese </w:t>
      </w:r>
      <w:r>
        <w:rPr>
          <w:bCs/>
          <w:u w:val="single"/>
        </w:rPr>
        <w:t>status</w:t>
      </w:r>
      <w:r>
        <w:rPr>
          <w:bCs/>
        </w:rPr>
        <w:t xml:space="preserve"> a quien tenga interés directo en el juicio. Citó, a modo de ejemplo, a Sebastián Soler, que en la pag. 299 T-V de su tratado, es te</w:t>
      </w:r>
      <w:r>
        <w:rPr>
          <w:bCs/>
        </w:rPr>
        <w:t>r</w:t>
      </w:r>
      <w:r>
        <w:rPr>
          <w:bCs/>
        </w:rPr>
        <w:t>minante al referir que es preciso descartar del falso testimonio toda declaración inexacta dada por el testigo con refere</w:t>
      </w:r>
      <w:r>
        <w:rPr>
          <w:bCs/>
        </w:rPr>
        <w:t>n</w:t>
      </w:r>
      <w:r>
        <w:rPr>
          <w:bCs/>
        </w:rPr>
        <w:t>cia a hechos en los cuales es actor, aunque no consista en la autoinculp</w:t>
      </w:r>
      <w:r>
        <w:rPr>
          <w:bCs/>
        </w:rPr>
        <w:t>a</w:t>
      </w:r>
      <w:r>
        <w:rPr>
          <w:bCs/>
        </w:rPr>
        <w:t>ción de un delito.</w:t>
      </w:r>
    </w:p>
    <w:p w:rsidR="00224567" w:rsidRDefault="00224567">
      <w:pPr>
        <w:widowControl w:val="0"/>
        <w:tabs>
          <w:tab w:val="left" w:pos="2835"/>
        </w:tabs>
        <w:ind w:firstLine="708"/>
        <w:rPr>
          <w:bCs/>
        </w:rPr>
      </w:pPr>
      <w:r>
        <w:rPr>
          <w:bCs/>
        </w:rPr>
        <w:tab/>
        <w:t>Agregó que sostener lo contrario i</w:t>
      </w:r>
      <w:r>
        <w:rPr>
          <w:bCs/>
        </w:rPr>
        <w:t>m</w:t>
      </w:r>
      <w:r>
        <w:rPr>
          <w:bCs/>
        </w:rPr>
        <w:t>portaría violar gara</w:t>
      </w:r>
      <w:r>
        <w:rPr>
          <w:bCs/>
        </w:rPr>
        <w:t>n</w:t>
      </w:r>
      <w:r>
        <w:rPr>
          <w:bCs/>
        </w:rPr>
        <w:t xml:space="preserve">tías expresamente consagradas a favor de Ibarra por los arts. 9. ”g” de </w:t>
      </w:r>
      <w:smartTag w:uri="urn:schemas-microsoft-com:office:smarttags" w:element="PersonName">
        <w:smartTagPr>
          <w:attr w:name="ProductID" w:val="la Convenci￳n Americana"/>
        </w:smartTagPr>
        <w:r>
          <w:rPr>
            <w:bCs/>
          </w:rPr>
          <w:t>la Conve</w:t>
        </w:r>
        <w:r>
          <w:rPr>
            <w:bCs/>
          </w:rPr>
          <w:t>n</w:t>
        </w:r>
        <w:r>
          <w:rPr>
            <w:bCs/>
          </w:rPr>
          <w:t>ción Americana</w:t>
        </w:r>
      </w:smartTag>
      <w:r>
        <w:rPr>
          <w:bCs/>
        </w:rPr>
        <w:t xml:space="preserve"> sobre Derechos Humanos y 14. “g” del Pacto Internacional de Derechos Civiles y Polít</w:t>
      </w:r>
      <w:r>
        <w:rPr>
          <w:bCs/>
        </w:rPr>
        <w:t>i</w:t>
      </w:r>
      <w:r>
        <w:rPr>
          <w:bCs/>
        </w:rPr>
        <w:t>cos.</w:t>
      </w:r>
    </w:p>
    <w:p w:rsidR="00224567" w:rsidRDefault="00224567">
      <w:pPr>
        <w:widowControl w:val="0"/>
        <w:tabs>
          <w:tab w:val="left" w:pos="2835"/>
        </w:tabs>
        <w:ind w:firstLine="708"/>
        <w:rPr>
          <w:bCs/>
        </w:rPr>
      </w:pPr>
      <w:r>
        <w:rPr>
          <w:bCs/>
        </w:rPr>
        <w:tab/>
        <w:t>Por ello, alegó que en tales condici</w:t>
      </w:r>
      <w:r>
        <w:rPr>
          <w:bCs/>
        </w:rPr>
        <w:t>o</w:t>
      </w:r>
      <w:r>
        <w:rPr>
          <w:bCs/>
        </w:rPr>
        <w:t>nes, dado que no podía atribuirse válidamente a Ibarra h</w:t>
      </w:r>
      <w:r>
        <w:rPr>
          <w:bCs/>
        </w:rPr>
        <w:t>a</w:t>
      </w:r>
      <w:r>
        <w:rPr>
          <w:bCs/>
        </w:rPr>
        <w:t>ber actuado con el dolo requerido por el tipo penal del art. 275 del código de fondo, corresponde declarar su l</w:t>
      </w:r>
      <w:r>
        <w:rPr>
          <w:bCs/>
        </w:rPr>
        <w:t>i</w:t>
      </w:r>
      <w:r>
        <w:rPr>
          <w:bCs/>
        </w:rPr>
        <w:lastRenderedPageBreak/>
        <w:t>bre absolución sin co</w:t>
      </w:r>
      <w:r>
        <w:rPr>
          <w:bCs/>
        </w:rPr>
        <w:t>s</w:t>
      </w:r>
      <w:r>
        <w:rPr>
          <w:bCs/>
        </w:rPr>
        <w:t>tas.</w:t>
      </w:r>
    </w:p>
    <w:p w:rsidR="00224567" w:rsidRDefault="00224567">
      <w:pPr>
        <w:widowControl w:val="0"/>
        <w:tabs>
          <w:tab w:val="left" w:pos="2835"/>
        </w:tabs>
        <w:ind w:firstLine="708"/>
        <w:rPr>
          <w:bCs/>
        </w:rPr>
      </w:pPr>
      <w:r>
        <w:rPr>
          <w:bCs/>
        </w:rPr>
        <w:tab/>
        <w:t>Respecto al delito de falso testim</w:t>
      </w:r>
      <w:r>
        <w:rPr>
          <w:bCs/>
        </w:rPr>
        <w:t>o</w:t>
      </w:r>
      <w:r>
        <w:rPr>
          <w:bCs/>
        </w:rPr>
        <w:t>nio agravado, que se enrostró a Ibarra por haber s</w:t>
      </w:r>
      <w:r>
        <w:rPr>
          <w:bCs/>
        </w:rPr>
        <w:t>u</w:t>
      </w:r>
      <w:r>
        <w:rPr>
          <w:bCs/>
        </w:rPr>
        <w:t>puestamente instigado a Casas a pronunciarse con falsedad el 15 de marzo de 1994, sostuvo el defensor, además de lo ya afi</w:t>
      </w:r>
      <w:r>
        <w:rPr>
          <w:bCs/>
        </w:rPr>
        <w:t>r</w:t>
      </w:r>
      <w:r>
        <w:rPr>
          <w:bCs/>
        </w:rPr>
        <w:t>mado, que no hay indicio alguno en el expediente que pe</w:t>
      </w:r>
      <w:r>
        <w:rPr>
          <w:bCs/>
        </w:rPr>
        <w:t>r</w:t>
      </w:r>
      <w:r>
        <w:rPr>
          <w:bCs/>
        </w:rPr>
        <w:t>mita concluir válidamente que tal inducción haya tenido lugar.</w:t>
      </w:r>
    </w:p>
    <w:p w:rsidR="00224567" w:rsidRDefault="00224567">
      <w:pPr>
        <w:widowControl w:val="0"/>
        <w:tabs>
          <w:tab w:val="left" w:pos="2835"/>
        </w:tabs>
        <w:ind w:firstLine="708"/>
        <w:rPr>
          <w:bCs/>
        </w:rPr>
      </w:pPr>
      <w:r>
        <w:rPr>
          <w:bCs/>
        </w:rPr>
        <w:tab/>
        <w:t>Sostuvo que ello es así toda vez que el propio Marcelo Darío Casas negó, en todas sus declar</w:t>
      </w:r>
      <w:r>
        <w:rPr>
          <w:bCs/>
        </w:rPr>
        <w:t>a</w:t>
      </w:r>
      <w:r>
        <w:rPr>
          <w:bCs/>
        </w:rPr>
        <w:t>ciones, que Ibarra lo hubiera determinado para decl</w:t>
      </w:r>
      <w:r>
        <w:rPr>
          <w:bCs/>
        </w:rPr>
        <w:t>a</w:t>
      </w:r>
      <w:r>
        <w:rPr>
          <w:bCs/>
        </w:rPr>
        <w:t>rar en la causa del juzgado de Quilmes.</w:t>
      </w:r>
    </w:p>
    <w:p w:rsidR="00224567" w:rsidRDefault="00224567">
      <w:pPr>
        <w:widowControl w:val="0"/>
        <w:tabs>
          <w:tab w:val="left" w:pos="2835"/>
        </w:tabs>
        <w:ind w:firstLine="708"/>
        <w:rPr>
          <w:bCs/>
        </w:rPr>
      </w:pPr>
      <w:r>
        <w:rPr>
          <w:bCs/>
        </w:rPr>
        <w:tab/>
        <w:t>Remarcó la defensa que el juez in</w:t>
      </w:r>
      <w:r>
        <w:rPr>
          <w:bCs/>
        </w:rPr>
        <w:t>s</w:t>
      </w:r>
      <w:r>
        <w:rPr>
          <w:bCs/>
        </w:rPr>
        <w:t>tructor en el auto de procesamiento dictado el 6 de febr</w:t>
      </w:r>
      <w:r>
        <w:rPr>
          <w:bCs/>
        </w:rPr>
        <w:t>e</w:t>
      </w:r>
      <w:r>
        <w:rPr>
          <w:bCs/>
        </w:rPr>
        <w:t>ro de 2001 obrante a fs. 597 de la causa nº 502, admitía esta circunstancia, consignando expresamente que Casas n</w:t>
      </w:r>
      <w:r>
        <w:rPr>
          <w:bCs/>
        </w:rPr>
        <w:t>e</w:t>
      </w:r>
      <w:r>
        <w:rPr>
          <w:bCs/>
        </w:rPr>
        <w:t xml:space="preserve">gó haber recibido instrucciones de Ibarra sobre la forma en que debían declarar. Éste sólo le explicó que debían relatar ese procedimiento y que ninguna valoración extra realizó el fiscal en su reciente alegato para dar por </w:t>
      </w:r>
      <w:r>
        <w:rPr>
          <w:bCs/>
        </w:rPr>
        <w:lastRenderedPageBreak/>
        <w:t>acreditada la materialidad de la supuesta instigación al falso testim</w:t>
      </w:r>
      <w:r>
        <w:rPr>
          <w:bCs/>
        </w:rPr>
        <w:t>o</w:t>
      </w:r>
      <w:r>
        <w:rPr>
          <w:bCs/>
        </w:rPr>
        <w:t>nio que puso en cabeza de Ibarra.</w:t>
      </w:r>
    </w:p>
    <w:p w:rsidR="00224567" w:rsidRDefault="00224567">
      <w:pPr>
        <w:widowControl w:val="0"/>
        <w:tabs>
          <w:tab w:val="left" w:pos="2835"/>
        </w:tabs>
        <w:ind w:firstLine="708"/>
        <w:rPr>
          <w:bCs/>
        </w:rPr>
      </w:pPr>
      <w:r>
        <w:rPr>
          <w:bCs/>
        </w:rPr>
        <w:tab/>
        <w:t>Por ese motivo, solicitó que se a</w:t>
      </w:r>
      <w:r>
        <w:rPr>
          <w:bCs/>
        </w:rPr>
        <w:t>b</w:t>
      </w:r>
      <w:r>
        <w:rPr>
          <w:bCs/>
        </w:rPr>
        <w:t>suelva a Ibarra del delito identificado en segundo té</w:t>
      </w:r>
      <w:r>
        <w:rPr>
          <w:bCs/>
        </w:rPr>
        <w:t>r</w:t>
      </w:r>
      <w:r>
        <w:rPr>
          <w:bCs/>
        </w:rPr>
        <w:t>mino.</w:t>
      </w:r>
    </w:p>
    <w:p w:rsidR="00224567" w:rsidRDefault="00224567">
      <w:pPr>
        <w:widowControl w:val="0"/>
        <w:tabs>
          <w:tab w:val="left" w:pos="2835"/>
        </w:tabs>
        <w:ind w:firstLine="708"/>
        <w:rPr>
          <w:bCs/>
        </w:rPr>
      </w:pPr>
      <w:r>
        <w:rPr>
          <w:bCs/>
        </w:rPr>
        <w:tab/>
        <w:t>Al referirse a la supuesta instig</w:t>
      </w:r>
      <w:r>
        <w:rPr>
          <w:bCs/>
        </w:rPr>
        <w:t>a</w:t>
      </w:r>
      <w:r>
        <w:rPr>
          <w:bCs/>
        </w:rPr>
        <w:t>ción por parte de Ibarra a los suboficiales Casas y T</w:t>
      </w:r>
      <w:r>
        <w:rPr>
          <w:bCs/>
        </w:rPr>
        <w:t>o</w:t>
      </w:r>
      <w:r>
        <w:rPr>
          <w:bCs/>
        </w:rPr>
        <w:t>ledo para que se pronuncien con falsedad al d</w:t>
      </w:r>
      <w:r>
        <w:rPr>
          <w:bCs/>
        </w:rPr>
        <w:t>e</w:t>
      </w:r>
      <w:r>
        <w:rPr>
          <w:bCs/>
        </w:rPr>
        <w:t xml:space="preserve">clarar en </w:t>
      </w:r>
      <w:smartTag w:uri="urn:schemas-microsoft-com:office:smarttags" w:element="PersonName">
        <w:smartTagPr>
          <w:attr w:name="ProductID" w:val="la Direcci￳n"/>
        </w:smartTagPr>
        <w:r>
          <w:rPr>
            <w:bCs/>
          </w:rPr>
          <w:t>la Dirección</w:t>
        </w:r>
      </w:smartTag>
      <w:r>
        <w:rPr>
          <w:bCs/>
        </w:rPr>
        <w:t xml:space="preserve"> de Sumarios de </w:t>
      </w:r>
      <w:smartTag w:uri="urn:schemas-microsoft-com:office:smarttags" w:element="PersonName">
        <w:smartTagPr>
          <w:attr w:name="ProductID" w:val="La Plata"/>
        </w:smartTagPr>
        <w:r>
          <w:rPr>
            <w:bCs/>
          </w:rPr>
          <w:t>La Plata</w:t>
        </w:r>
      </w:smartTag>
      <w:r>
        <w:rPr>
          <w:bCs/>
        </w:rPr>
        <w:t>, co</w:t>
      </w:r>
      <w:r>
        <w:rPr>
          <w:bCs/>
        </w:rPr>
        <w:t>n</w:t>
      </w:r>
      <w:r>
        <w:rPr>
          <w:bCs/>
        </w:rPr>
        <w:t>cluyó el Dr. Giardelli que el contenido de estas declaraciones reputadas falsas se vi</w:t>
      </w:r>
      <w:r>
        <w:rPr>
          <w:bCs/>
        </w:rPr>
        <w:t>n</w:t>
      </w:r>
      <w:r>
        <w:rPr>
          <w:bCs/>
        </w:rPr>
        <w:t>culaba, también con la intransce</w:t>
      </w:r>
      <w:r>
        <w:rPr>
          <w:bCs/>
        </w:rPr>
        <w:t>n</w:t>
      </w:r>
      <w:r>
        <w:rPr>
          <w:bCs/>
        </w:rPr>
        <w:t>dente circunstancia de si la comisión policial al mando de Ibarra, pasó o no  por República al 100 de Villa B</w:t>
      </w:r>
      <w:r>
        <w:rPr>
          <w:bCs/>
        </w:rPr>
        <w:t>a</w:t>
      </w:r>
      <w:r>
        <w:rPr>
          <w:bCs/>
        </w:rPr>
        <w:t>llester, antes de dirigirse a Ol</w:t>
      </w:r>
      <w:r>
        <w:rPr>
          <w:bCs/>
        </w:rPr>
        <w:t>i</w:t>
      </w:r>
      <w:r>
        <w:rPr>
          <w:bCs/>
        </w:rPr>
        <w:t>vos aquel 15 de marzo.</w:t>
      </w:r>
    </w:p>
    <w:p w:rsidR="00224567" w:rsidRDefault="00224567">
      <w:pPr>
        <w:widowControl w:val="0"/>
        <w:tabs>
          <w:tab w:val="left" w:pos="2835"/>
        </w:tabs>
        <w:ind w:firstLine="708"/>
        <w:rPr>
          <w:bCs/>
        </w:rPr>
      </w:pPr>
      <w:r>
        <w:rPr>
          <w:bCs/>
        </w:rPr>
        <w:tab/>
        <w:t>Por ello, tal cual señalara anterio</w:t>
      </w:r>
      <w:r>
        <w:rPr>
          <w:bCs/>
        </w:rPr>
        <w:t>r</w:t>
      </w:r>
      <w:r>
        <w:rPr>
          <w:bCs/>
        </w:rPr>
        <w:t>mente, consideró de aplicación a este hecho las razones, la doctrina y la jurisprudencia que puso de man</w:t>
      </w:r>
      <w:r>
        <w:rPr>
          <w:bCs/>
        </w:rPr>
        <w:t>i</w:t>
      </w:r>
      <w:r>
        <w:rPr>
          <w:bCs/>
        </w:rPr>
        <w:t>fiesto con anterioridad, al decir que no se e</w:t>
      </w:r>
      <w:r>
        <w:rPr>
          <w:bCs/>
        </w:rPr>
        <w:t>n</w:t>
      </w:r>
      <w:r>
        <w:rPr>
          <w:bCs/>
        </w:rPr>
        <w:t>contraban reunidos los requisitos exigidos para su configuración por el tipo p</w:t>
      </w:r>
      <w:r>
        <w:rPr>
          <w:bCs/>
        </w:rPr>
        <w:t>e</w:t>
      </w:r>
      <w:r>
        <w:rPr>
          <w:bCs/>
        </w:rPr>
        <w:t>nal del art. 275 del código sustantivo y que, además, t</w:t>
      </w:r>
      <w:r>
        <w:rPr>
          <w:bCs/>
        </w:rPr>
        <w:t>e</w:t>
      </w:r>
      <w:r>
        <w:rPr>
          <w:bCs/>
        </w:rPr>
        <w:t>nie</w:t>
      </w:r>
      <w:r>
        <w:rPr>
          <w:bCs/>
        </w:rPr>
        <w:t>n</w:t>
      </w:r>
      <w:r>
        <w:rPr>
          <w:bCs/>
        </w:rPr>
        <w:t xml:space="preserve">do en cuenta el máximo de la pena señalada para estos </w:t>
      </w:r>
      <w:r>
        <w:rPr>
          <w:bCs/>
        </w:rPr>
        <w:lastRenderedPageBreak/>
        <w:t>dos hechos de falso testimonio simple y la fecha en que formalmente le fueron imputados estos delitos a Ibarra, por aplicación de los artículos 59, inc. 3º; 62, inc. 2º, del C.P.; y 336, inc. 1º, del C.P.P.N., solicitó se d</w:t>
      </w:r>
      <w:r>
        <w:rPr>
          <w:bCs/>
        </w:rPr>
        <w:t>i</w:t>
      </w:r>
      <w:r>
        <w:rPr>
          <w:bCs/>
        </w:rPr>
        <w:t>cte el sobreseimiento de su defendido en virtud de haberse e</w:t>
      </w:r>
      <w:r>
        <w:rPr>
          <w:bCs/>
        </w:rPr>
        <w:t>x</w:t>
      </w:r>
      <w:r>
        <w:rPr>
          <w:bCs/>
        </w:rPr>
        <w:t>tinguido la acción penal a su respecto, ante la ausencia de causas interruptivas o suspensivas del curso de la prescripción.</w:t>
      </w:r>
    </w:p>
    <w:p w:rsidR="00224567" w:rsidRDefault="00224567">
      <w:pPr>
        <w:widowControl w:val="0"/>
        <w:tabs>
          <w:tab w:val="left" w:pos="2835"/>
        </w:tabs>
        <w:ind w:firstLine="708"/>
        <w:rPr>
          <w:bCs/>
        </w:rPr>
      </w:pPr>
      <w:r>
        <w:rPr>
          <w:bCs/>
        </w:rPr>
        <w:tab/>
        <w:t xml:space="preserve">Detalló que las declaraciones falsas que, según los fiscales, los imputados Casas y Toledo prestaron en </w:t>
      </w:r>
      <w:smartTag w:uri="urn:schemas-microsoft-com:office:smarttags" w:element="PersonName">
        <w:smartTagPr>
          <w:attr w:name="ProductID" w:val="la Direcci￳n"/>
        </w:smartTagPr>
        <w:r>
          <w:rPr>
            <w:bCs/>
          </w:rPr>
          <w:t>la Dirección</w:t>
        </w:r>
      </w:smartTag>
      <w:r>
        <w:rPr>
          <w:bCs/>
        </w:rPr>
        <w:t xml:space="preserve"> de Sumarios de </w:t>
      </w:r>
      <w:smartTag w:uri="urn:schemas-microsoft-com:office:smarttags" w:element="PersonName">
        <w:smartTagPr>
          <w:attr w:name="ProductID" w:val="la Polic￭a Bonaerense"/>
        </w:smartTagPr>
        <w:r>
          <w:rPr>
            <w:bCs/>
          </w:rPr>
          <w:t>la Policía Bona</w:t>
        </w:r>
        <w:r>
          <w:rPr>
            <w:bCs/>
          </w:rPr>
          <w:t>e</w:t>
        </w:r>
        <w:r>
          <w:rPr>
            <w:bCs/>
          </w:rPr>
          <w:t>rense</w:t>
        </w:r>
      </w:smartTag>
      <w:r>
        <w:rPr>
          <w:bCs/>
        </w:rPr>
        <w:t>, eran del 15 de agosto de 1995; que el requ</w:t>
      </w:r>
      <w:r>
        <w:rPr>
          <w:bCs/>
        </w:rPr>
        <w:t>e</w:t>
      </w:r>
      <w:r>
        <w:rPr>
          <w:bCs/>
        </w:rPr>
        <w:t>rimiento de instrucción fue formulado en el mes de o</w:t>
      </w:r>
      <w:r>
        <w:rPr>
          <w:bCs/>
        </w:rPr>
        <w:t>c</w:t>
      </w:r>
      <w:r>
        <w:rPr>
          <w:bCs/>
        </w:rPr>
        <w:t>tubre de 1995; que los mismos fiscales, mediante la presentación efectu</w:t>
      </w:r>
      <w:r>
        <w:rPr>
          <w:bCs/>
        </w:rPr>
        <w:t>a</w:t>
      </w:r>
      <w:r>
        <w:rPr>
          <w:bCs/>
        </w:rPr>
        <w:t>da el 30 de enero de 2001, agregada a fs. 582, advirtieron al juez de manera expresa que Raúl Ibarra no había sido indagado por estos presuntos delitos de instigación al falso testim</w:t>
      </w:r>
      <w:r>
        <w:rPr>
          <w:bCs/>
        </w:rPr>
        <w:t>o</w:t>
      </w:r>
      <w:r>
        <w:rPr>
          <w:bCs/>
        </w:rPr>
        <w:t>nio, y que por ello recién el 5 de febrero de 2001, Ibarra prestó declaración indagatoria siendo respo</w:t>
      </w:r>
      <w:r>
        <w:rPr>
          <w:bCs/>
        </w:rPr>
        <w:t>n</w:t>
      </w:r>
      <w:r>
        <w:rPr>
          <w:bCs/>
        </w:rPr>
        <w:t>sabiliz</w:t>
      </w:r>
      <w:r>
        <w:rPr>
          <w:bCs/>
        </w:rPr>
        <w:t>a</w:t>
      </w:r>
      <w:r>
        <w:rPr>
          <w:bCs/>
        </w:rPr>
        <w:t>do por los hechos que se le acusa.</w:t>
      </w:r>
    </w:p>
    <w:p w:rsidR="00224567" w:rsidRDefault="00224567">
      <w:pPr>
        <w:widowControl w:val="0"/>
        <w:tabs>
          <w:tab w:val="left" w:pos="2835"/>
        </w:tabs>
        <w:ind w:firstLine="708"/>
        <w:rPr>
          <w:bCs/>
        </w:rPr>
      </w:pPr>
      <w:r>
        <w:rPr>
          <w:bCs/>
        </w:rPr>
        <w:lastRenderedPageBreak/>
        <w:tab/>
        <w:t>Afirmó que, en tales condiciones, r</w:t>
      </w:r>
      <w:r>
        <w:rPr>
          <w:bCs/>
        </w:rPr>
        <w:t>e</w:t>
      </w:r>
      <w:r>
        <w:rPr>
          <w:bCs/>
        </w:rPr>
        <w:t>sultaba claro que entre la fecha del requerimiento de in</w:t>
      </w:r>
      <w:r>
        <w:rPr>
          <w:bCs/>
        </w:rPr>
        <w:t>s</w:t>
      </w:r>
      <w:r>
        <w:rPr>
          <w:bCs/>
        </w:rPr>
        <w:t>trucción de los fiscales y el día en que Ibarra fue ind</w:t>
      </w:r>
      <w:r>
        <w:rPr>
          <w:bCs/>
        </w:rPr>
        <w:t>a</w:t>
      </w:r>
      <w:r>
        <w:rPr>
          <w:bCs/>
        </w:rPr>
        <w:t>gado transcurrió con holgura el máximo de duración de la pena que el código de fondo señala para esos delitos atr</w:t>
      </w:r>
      <w:r>
        <w:rPr>
          <w:bCs/>
        </w:rPr>
        <w:t>i</w:t>
      </w:r>
      <w:r>
        <w:rPr>
          <w:bCs/>
        </w:rPr>
        <w:t>buidos en concurso real, y por tal motivo la acción penal se encontraba extinguida por pre</w:t>
      </w:r>
      <w:r>
        <w:rPr>
          <w:bCs/>
        </w:rPr>
        <w:t>s</w:t>
      </w:r>
      <w:r>
        <w:rPr>
          <w:bCs/>
        </w:rPr>
        <w:t>cripción.</w:t>
      </w:r>
    </w:p>
    <w:p w:rsidR="00224567" w:rsidRDefault="00224567">
      <w:pPr>
        <w:widowControl w:val="0"/>
        <w:tabs>
          <w:tab w:val="left" w:pos="2835"/>
        </w:tabs>
        <w:ind w:firstLine="708"/>
        <w:rPr>
          <w:bCs/>
        </w:rPr>
      </w:pPr>
      <w:r>
        <w:rPr>
          <w:bCs/>
        </w:rPr>
        <w:tab/>
        <w:t>Sin perjuicio de ello y previniendo objeciones, señ</w:t>
      </w:r>
      <w:r>
        <w:rPr>
          <w:bCs/>
        </w:rPr>
        <w:t>a</w:t>
      </w:r>
      <w:r>
        <w:rPr>
          <w:bCs/>
        </w:rPr>
        <w:t>ló la defensa que resulta de aplicación al caso la regla establecida por el párrafo 2º del art. 67 del Código Penal en virtud de que dicha cláusula fue i</w:t>
      </w:r>
      <w:r>
        <w:rPr>
          <w:bCs/>
        </w:rPr>
        <w:t>n</w:t>
      </w:r>
      <w:r>
        <w:rPr>
          <w:bCs/>
        </w:rPr>
        <w:t>troducida a partir de la sanción de la ley 25.188 que e</w:t>
      </w:r>
      <w:r>
        <w:rPr>
          <w:bCs/>
        </w:rPr>
        <w:t>n</w:t>
      </w:r>
      <w:r>
        <w:rPr>
          <w:bCs/>
        </w:rPr>
        <w:t>tró en vigencia mucho tiempo después de la fecha de com</w:t>
      </w:r>
      <w:r>
        <w:rPr>
          <w:bCs/>
        </w:rPr>
        <w:t>i</w:t>
      </w:r>
      <w:r>
        <w:rPr>
          <w:bCs/>
        </w:rPr>
        <w:t>sión de estos delitos, rigiendo en la especie el art. 2º del cuerpo normativo r</w:t>
      </w:r>
      <w:r>
        <w:rPr>
          <w:bCs/>
        </w:rPr>
        <w:t>e</w:t>
      </w:r>
      <w:r>
        <w:rPr>
          <w:bCs/>
        </w:rPr>
        <w:t>ferido.</w:t>
      </w:r>
    </w:p>
    <w:p w:rsidR="00224567" w:rsidRDefault="00224567">
      <w:pPr>
        <w:widowControl w:val="0"/>
        <w:tabs>
          <w:tab w:val="left" w:pos="2835"/>
        </w:tabs>
        <w:ind w:firstLine="708"/>
        <w:rPr>
          <w:bCs/>
        </w:rPr>
      </w:pPr>
      <w:r>
        <w:rPr>
          <w:bCs/>
        </w:rPr>
        <w:tab/>
        <w:t>Para el caso de resolverse el planteo con arreglo a la tesis del paralelismo, cuyos postulados explicó, afirmó la defensa que la prescripción de la a</w:t>
      </w:r>
      <w:r>
        <w:rPr>
          <w:bCs/>
        </w:rPr>
        <w:t>c</w:t>
      </w:r>
      <w:r>
        <w:rPr>
          <w:bCs/>
        </w:rPr>
        <w:t>ción penal opera separadamente para cada uno de los del</w:t>
      </w:r>
      <w:r>
        <w:rPr>
          <w:bCs/>
        </w:rPr>
        <w:t>i</w:t>
      </w:r>
      <w:r>
        <w:rPr>
          <w:bCs/>
        </w:rPr>
        <w:t>tos y no puede admitirse la unificación de acciones, deb</w:t>
      </w:r>
      <w:r>
        <w:rPr>
          <w:bCs/>
        </w:rPr>
        <w:t>i</w:t>
      </w:r>
      <w:r>
        <w:rPr>
          <w:bCs/>
        </w:rPr>
        <w:t xml:space="preserve">do a que, tal como lo sostiene Fontán Balestra -tomo II, </w:t>
      </w:r>
      <w:r>
        <w:rPr>
          <w:bCs/>
        </w:rPr>
        <w:lastRenderedPageBreak/>
        <w:t>pág. 480, 1977- la regla del co</w:t>
      </w:r>
      <w:r>
        <w:rPr>
          <w:bCs/>
        </w:rPr>
        <w:t>n</w:t>
      </w:r>
      <w:r>
        <w:rPr>
          <w:bCs/>
        </w:rPr>
        <w:t>curso real que estatuye el art. 55 del Código Penal entra en juego, únic</w:t>
      </w:r>
      <w:r>
        <w:rPr>
          <w:bCs/>
        </w:rPr>
        <w:t>a</w:t>
      </w:r>
      <w:r>
        <w:rPr>
          <w:bCs/>
        </w:rPr>
        <w:t>mente, a los efectos de regular la especie y la medida de la pena a aplicar en los casos de plur</w:t>
      </w:r>
      <w:r>
        <w:rPr>
          <w:bCs/>
        </w:rPr>
        <w:t>a</w:t>
      </w:r>
      <w:r>
        <w:rPr>
          <w:bCs/>
        </w:rPr>
        <w:t>lidad de delitos, efectuando también, en apoyo de sus dichos, una remisión a los fund</w:t>
      </w:r>
      <w:r>
        <w:rPr>
          <w:bCs/>
        </w:rPr>
        <w:t>a</w:t>
      </w:r>
      <w:r>
        <w:rPr>
          <w:bCs/>
        </w:rPr>
        <w:t xml:space="preserve">mentos dados por </w:t>
      </w:r>
      <w:smartTag w:uri="urn:schemas-microsoft-com:office:smarttags" w:element="PersonName">
        <w:smartTagPr>
          <w:attr w:name="ProductID" w:val="la Corte Suprema"/>
        </w:smartTagPr>
        <w:r>
          <w:rPr>
            <w:bCs/>
          </w:rPr>
          <w:t>la Corte Suprema</w:t>
        </w:r>
      </w:smartTag>
      <w:r>
        <w:rPr>
          <w:bCs/>
        </w:rPr>
        <w:t>, en Fallos 323-3699, considerando 6º, del 21/11/2000; 322:717, considerando 5º del 10/05/99; 275:241; 186:281; 201:63; 202:168; 212:324 y 305:990.</w:t>
      </w:r>
    </w:p>
    <w:p w:rsidR="00224567" w:rsidRDefault="00224567">
      <w:pPr>
        <w:widowControl w:val="0"/>
        <w:tabs>
          <w:tab w:val="left" w:pos="2835"/>
        </w:tabs>
        <w:ind w:firstLine="708"/>
      </w:pPr>
      <w:r>
        <w:rPr>
          <w:bCs/>
        </w:rPr>
        <w:tab/>
        <w:t>Por todo ello, y con una nueva invoc</w:t>
      </w:r>
      <w:r>
        <w:rPr>
          <w:bCs/>
        </w:rPr>
        <w:t>a</w:t>
      </w:r>
      <w:r>
        <w:rPr>
          <w:bCs/>
        </w:rPr>
        <w:t xml:space="preserve">ción de lo reglado por el art. 336, inc. 1º, del Código Procesal Penal de </w:t>
      </w:r>
      <w:smartTag w:uri="urn:schemas-microsoft-com:office:smarttags" w:element="PersonName">
        <w:smartTagPr>
          <w:attr w:name="ProductID" w:val="la Naci￳n"/>
        </w:smartTagPr>
        <w:r>
          <w:rPr>
            <w:bCs/>
          </w:rPr>
          <w:t>la Nación</w:t>
        </w:r>
      </w:smartTag>
      <w:r>
        <w:rPr>
          <w:bCs/>
        </w:rPr>
        <w:t>, requirió se declare la pre</w:t>
      </w:r>
      <w:r>
        <w:rPr>
          <w:bCs/>
        </w:rPr>
        <w:t>s</w:t>
      </w:r>
      <w:r>
        <w:rPr>
          <w:bCs/>
        </w:rPr>
        <w:t>cripción de la acción penal respecto de los delitos de falso testimonio simple, dos hechos en concu</w:t>
      </w:r>
      <w:r>
        <w:rPr>
          <w:bCs/>
        </w:rPr>
        <w:t>r</w:t>
      </w:r>
      <w:r>
        <w:rPr>
          <w:bCs/>
        </w:rPr>
        <w:t>so real, que en carácter de instigador fueron atribuidos a Ibarra, y como consecuencia, se dicte una resolución que de por clausurado el reproche penal a su re</w:t>
      </w:r>
      <w:r>
        <w:rPr>
          <w:bCs/>
        </w:rPr>
        <w:t>s</w:t>
      </w:r>
      <w:r>
        <w:rPr>
          <w:bCs/>
        </w:rPr>
        <w:t>pecto.</w:t>
      </w:r>
    </w:p>
    <w:p w:rsidR="00224567" w:rsidRDefault="00224567">
      <w:pPr>
        <w:pStyle w:val="Sangradetextonormal"/>
        <w:widowControl w:val="0"/>
        <w:tabs>
          <w:tab w:val="left" w:pos="2835"/>
        </w:tabs>
      </w:pPr>
      <w:r>
        <w:tab/>
        <w:t>Respecto a la acusación efectuada por la fiscalía a Juan Alberto Bottegal, a quien se cons</w:t>
      </w:r>
      <w:r>
        <w:t>i</w:t>
      </w:r>
      <w:r>
        <w:t xml:space="preserve">deró partícipe necesario del delito de secuestro extorsivo, </w:t>
      </w:r>
      <w:r>
        <w:lastRenderedPageBreak/>
        <w:t>luego de efe</w:t>
      </w:r>
      <w:r>
        <w:t>c</w:t>
      </w:r>
      <w:r>
        <w:t>tuar un repaso histórico de las constancias y circunstancias implicadas a su respecto, solicitó se d</w:t>
      </w:r>
      <w:r>
        <w:t>e</w:t>
      </w:r>
      <w:r>
        <w:t>clare la nulidad de la declaración testimonial de Bott</w:t>
      </w:r>
      <w:r>
        <w:t>e</w:t>
      </w:r>
      <w:r>
        <w:t>gal, de la indagatoria que fuera inco</w:t>
      </w:r>
      <w:r>
        <w:t>r</w:t>
      </w:r>
      <w:r>
        <w:t>porada al debate por su lectura y de todos los actos que son su consecuencia, en los té</w:t>
      </w:r>
      <w:r>
        <w:t>r</w:t>
      </w:r>
      <w:r>
        <w:t>minos del art. 172 del Código Procesal Penal.</w:t>
      </w:r>
    </w:p>
    <w:p w:rsidR="00224567" w:rsidRDefault="00224567">
      <w:pPr>
        <w:widowControl w:val="0"/>
        <w:tabs>
          <w:tab w:val="left" w:pos="2835"/>
        </w:tabs>
        <w:ind w:firstLine="708"/>
        <w:rPr>
          <w:bCs/>
        </w:rPr>
      </w:pPr>
      <w:r>
        <w:rPr>
          <w:bCs/>
        </w:rPr>
        <w:tab/>
        <w:t>En forma subsidiaria, los defensores de Bottegal peticionaron alternativamente que en caso de recaer condena se encuadre su conducta en la figura de e</w:t>
      </w:r>
      <w:r>
        <w:rPr>
          <w:bCs/>
        </w:rPr>
        <w:t>x</w:t>
      </w:r>
      <w:r>
        <w:rPr>
          <w:bCs/>
        </w:rPr>
        <w:t>torsión del art. 168 del Código P</w:t>
      </w:r>
      <w:r>
        <w:rPr>
          <w:bCs/>
        </w:rPr>
        <w:t>e</w:t>
      </w:r>
      <w:r>
        <w:rPr>
          <w:bCs/>
        </w:rPr>
        <w:t>nal, resultando atípica por falta de afectación al bien jurídico tut</w:t>
      </w:r>
      <w:r>
        <w:rPr>
          <w:bCs/>
        </w:rPr>
        <w:t>e</w:t>
      </w:r>
      <w:r>
        <w:rPr>
          <w:bCs/>
        </w:rPr>
        <w:t>lado; que se califique el hecho como extorsión en grado de tentativa o que se repute a Bottegal como part</w:t>
      </w:r>
      <w:r>
        <w:rPr>
          <w:bCs/>
        </w:rPr>
        <w:t>í</w:t>
      </w:r>
      <w:r>
        <w:rPr>
          <w:bCs/>
        </w:rPr>
        <w:t>cipe secundario de ese delito; o, como última opción se califique el hecho subs</w:t>
      </w:r>
      <w:r>
        <w:rPr>
          <w:bCs/>
        </w:rPr>
        <w:t>i</w:t>
      </w:r>
      <w:r>
        <w:rPr>
          <w:bCs/>
        </w:rPr>
        <w:t>diariamente como cohecho. Impetró también la defensa que, en caso de recaer condena, en cualquier caso la pena deb</w:t>
      </w:r>
      <w:r>
        <w:rPr>
          <w:bCs/>
        </w:rPr>
        <w:t>e</w:t>
      </w:r>
      <w:r>
        <w:rPr>
          <w:bCs/>
        </w:rPr>
        <w:t>rá permitir su ejecución co</w:t>
      </w:r>
      <w:r>
        <w:rPr>
          <w:bCs/>
        </w:rPr>
        <w:t>n</w:t>
      </w:r>
      <w:r>
        <w:rPr>
          <w:bCs/>
        </w:rPr>
        <w:t>dicional.</w:t>
      </w:r>
    </w:p>
    <w:p w:rsidR="00224567" w:rsidRDefault="00224567">
      <w:pPr>
        <w:widowControl w:val="0"/>
        <w:tabs>
          <w:tab w:val="left" w:pos="2835"/>
        </w:tabs>
        <w:ind w:firstLine="708"/>
        <w:rPr>
          <w:bCs/>
        </w:rPr>
      </w:pPr>
      <w:r>
        <w:rPr>
          <w:bCs/>
        </w:rPr>
        <w:tab/>
        <w:t>Recordó el defensor que la primer n</w:t>
      </w:r>
      <w:r>
        <w:rPr>
          <w:bCs/>
        </w:rPr>
        <w:t>o</w:t>
      </w:r>
      <w:r>
        <w:rPr>
          <w:bCs/>
        </w:rPr>
        <w:t>ticia que la investigación tuvo de su asistido fue sum</w:t>
      </w:r>
      <w:r>
        <w:rPr>
          <w:bCs/>
        </w:rPr>
        <w:t>i</w:t>
      </w:r>
      <w:r>
        <w:rPr>
          <w:bCs/>
        </w:rPr>
        <w:t>nistrada por Barreda y Bareiro al jefe de oper</w:t>
      </w:r>
      <w:r>
        <w:rPr>
          <w:bCs/>
        </w:rPr>
        <w:t>a</w:t>
      </w:r>
      <w:r>
        <w:rPr>
          <w:bCs/>
        </w:rPr>
        <w:t>ciones del sector de Co</w:t>
      </w:r>
      <w:r>
        <w:rPr>
          <w:bCs/>
        </w:rPr>
        <w:t>n</w:t>
      </w:r>
      <w:r>
        <w:rPr>
          <w:bCs/>
        </w:rPr>
        <w:t xml:space="preserve">trainteligencia de </w:t>
      </w:r>
      <w:smartTag w:uri="urn:schemas-microsoft-com:office:smarttags" w:element="PersonName">
        <w:smartTagPr>
          <w:attr w:name="ProductID" w:val="la S.I"/>
        </w:smartTagPr>
        <w:r>
          <w:rPr>
            <w:bCs/>
          </w:rPr>
          <w:t>la S.I</w:t>
        </w:r>
      </w:smartTag>
      <w:r>
        <w:rPr>
          <w:bCs/>
        </w:rPr>
        <w:t xml:space="preserve">.D.E., en la segunda </w:t>
      </w:r>
      <w:r>
        <w:rPr>
          <w:bCs/>
        </w:rPr>
        <w:lastRenderedPageBreak/>
        <w:t>mitad de 1994.</w:t>
      </w:r>
    </w:p>
    <w:p w:rsidR="00224567" w:rsidRDefault="00224567">
      <w:pPr>
        <w:widowControl w:val="0"/>
        <w:tabs>
          <w:tab w:val="left" w:pos="2835"/>
        </w:tabs>
        <w:ind w:firstLine="708"/>
        <w:rPr>
          <w:bCs/>
        </w:rPr>
      </w:pPr>
      <w:r>
        <w:rPr>
          <w:bCs/>
        </w:rPr>
        <w:tab/>
        <w:t>Afirmó que Stiuso entrevistó a Bott</w:t>
      </w:r>
      <w:r>
        <w:rPr>
          <w:bCs/>
        </w:rPr>
        <w:t>e</w:t>
      </w:r>
      <w:r>
        <w:rPr>
          <w:bCs/>
        </w:rPr>
        <w:t>gal en un bar donde éste contó todo lo relativo a la firma del boleto de la embarcación “Gonzalo” el viernes 15 de julio de 1994.</w:t>
      </w:r>
    </w:p>
    <w:p w:rsidR="00224567" w:rsidRDefault="00224567">
      <w:pPr>
        <w:widowControl w:val="0"/>
        <w:tabs>
          <w:tab w:val="left" w:pos="2835"/>
        </w:tabs>
        <w:ind w:firstLine="708"/>
        <w:rPr>
          <w:bCs/>
        </w:rPr>
      </w:pPr>
      <w:r>
        <w:rPr>
          <w:bCs/>
        </w:rPr>
        <w:tab/>
        <w:t xml:space="preserve">Remarcó que de la declaración de Stiuso en el debate se desprendió </w:t>
      </w:r>
      <w:r>
        <w:t xml:space="preserve">que </w:t>
      </w:r>
      <w:r>
        <w:rPr>
          <w:bCs/>
        </w:rPr>
        <w:t xml:space="preserve">la imputación a los policías bonaerenses, por el crimen de </w:t>
      </w:r>
      <w:smartTag w:uri="urn:schemas-microsoft-com:office:smarttags" w:element="PersonName">
        <w:smartTagPr>
          <w:attr w:name="ProductID" w:val="la A.M"/>
        </w:smartTagPr>
        <w:r>
          <w:rPr>
            <w:bCs/>
          </w:rPr>
          <w:t>la A.M</w:t>
        </w:r>
      </w:smartTag>
      <w:r>
        <w:rPr>
          <w:bCs/>
        </w:rPr>
        <w:t>.I.A., fue urdida antes del verano de 1996 pues, para esa época, r</w:t>
      </w:r>
      <w:r>
        <w:rPr>
          <w:bCs/>
        </w:rPr>
        <w:t>e</w:t>
      </w:r>
      <w:r>
        <w:rPr>
          <w:bCs/>
        </w:rPr>
        <w:t>lató el funcionario que su director le mostró un papel donde se describía esa “</w:t>
      </w:r>
      <w:r>
        <w:t xml:space="preserve">hipótesis”, agregando además que </w:t>
      </w:r>
      <w:r>
        <w:rPr>
          <w:bCs/>
        </w:rPr>
        <w:t xml:space="preserve">Barreda y Bareiro ya trabajaban para </w:t>
      </w:r>
      <w:smartTag w:uri="urn:schemas-microsoft-com:office:smarttags" w:element="PersonName">
        <w:smartTagPr>
          <w:attr w:name="ProductID" w:val="la Secretar￭a"/>
        </w:smartTagPr>
        <w:r>
          <w:rPr>
            <w:bCs/>
          </w:rPr>
          <w:t>la Secretaría</w:t>
        </w:r>
      </w:smartTag>
      <w:r>
        <w:rPr>
          <w:bCs/>
        </w:rPr>
        <w:t xml:space="preserve"> de I</w:t>
      </w:r>
      <w:r>
        <w:rPr>
          <w:bCs/>
        </w:rPr>
        <w:t>n</w:t>
      </w:r>
      <w:r>
        <w:rPr>
          <w:bCs/>
        </w:rPr>
        <w:t>teligencia de Estado, pues ellos, “trajeron al Dr. Bott</w:t>
      </w:r>
      <w:r>
        <w:rPr>
          <w:bCs/>
        </w:rPr>
        <w:t>e</w:t>
      </w:r>
      <w:r>
        <w:rPr>
          <w:bCs/>
        </w:rPr>
        <w:t>gal”.</w:t>
      </w:r>
    </w:p>
    <w:p w:rsidR="00224567" w:rsidRDefault="00224567">
      <w:pPr>
        <w:widowControl w:val="0"/>
        <w:tabs>
          <w:tab w:val="left" w:pos="2835"/>
        </w:tabs>
        <w:ind w:firstLine="708"/>
        <w:rPr>
          <w:bCs/>
        </w:rPr>
      </w:pPr>
      <w:r>
        <w:rPr>
          <w:bCs/>
        </w:rPr>
        <w:tab/>
        <w:t>Mencionó la defensa que Stiuso, a r</w:t>
      </w:r>
      <w:r>
        <w:rPr>
          <w:bCs/>
        </w:rPr>
        <w:t>a</w:t>
      </w:r>
      <w:r>
        <w:rPr>
          <w:bCs/>
        </w:rPr>
        <w:t>íz de este contacto, se entrevistó con Bottegal en un bar o</w:t>
      </w:r>
      <w:r>
        <w:rPr>
          <w:bCs/>
        </w:rPr>
        <w:t>b</w:t>
      </w:r>
      <w:r>
        <w:rPr>
          <w:bCs/>
        </w:rPr>
        <w:t>teniendo i</w:t>
      </w:r>
      <w:r>
        <w:rPr>
          <w:bCs/>
        </w:rPr>
        <w:t>n</w:t>
      </w:r>
      <w:r>
        <w:rPr>
          <w:bCs/>
        </w:rPr>
        <w:t>formación sobre los hechos en los que participó el letr</w:t>
      </w:r>
      <w:r>
        <w:rPr>
          <w:bCs/>
        </w:rPr>
        <w:t>a</w:t>
      </w:r>
      <w:r>
        <w:rPr>
          <w:bCs/>
        </w:rPr>
        <w:t>do, y que luego informó todo esto a sus jefes y al juzgado, que ya estaban al tanto de todas esas circunsta</w:t>
      </w:r>
      <w:r>
        <w:rPr>
          <w:bCs/>
        </w:rPr>
        <w:t>n</w:t>
      </w:r>
      <w:r>
        <w:rPr>
          <w:bCs/>
        </w:rPr>
        <w:t>cias.</w:t>
      </w:r>
    </w:p>
    <w:p w:rsidR="00224567" w:rsidRDefault="00224567">
      <w:pPr>
        <w:widowControl w:val="0"/>
        <w:tabs>
          <w:tab w:val="left" w:pos="2835"/>
        </w:tabs>
        <w:ind w:firstLine="708"/>
        <w:rPr>
          <w:bCs/>
        </w:rPr>
      </w:pPr>
      <w:r>
        <w:rPr>
          <w:bCs/>
        </w:rPr>
        <w:lastRenderedPageBreak/>
        <w:tab/>
        <w:t>Que a resultas de este interrog</w:t>
      </w:r>
      <w:r>
        <w:rPr>
          <w:bCs/>
        </w:rPr>
        <w:t>a</w:t>
      </w:r>
      <w:r>
        <w:rPr>
          <w:bCs/>
        </w:rPr>
        <w:t>torio de Stiuso, añadió el letrado, existía respecto de Bott</w:t>
      </w:r>
      <w:r>
        <w:rPr>
          <w:bCs/>
        </w:rPr>
        <w:t>e</w:t>
      </w:r>
      <w:r>
        <w:rPr>
          <w:bCs/>
        </w:rPr>
        <w:t>gal, ya a fines de 1994, un estado de sospecha que era t</w:t>
      </w:r>
      <w:r>
        <w:rPr>
          <w:bCs/>
        </w:rPr>
        <w:t>o</w:t>
      </w:r>
      <w:r>
        <w:rPr>
          <w:bCs/>
        </w:rPr>
        <w:t>talmente incompatible con una declar</w:t>
      </w:r>
      <w:r>
        <w:rPr>
          <w:bCs/>
        </w:rPr>
        <w:t>a</w:t>
      </w:r>
      <w:r>
        <w:rPr>
          <w:bCs/>
        </w:rPr>
        <w:t>ción bajo juramento, pues así sería sometido a un amplio relato autoincrimin</w:t>
      </w:r>
      <w:r>
        <w:rPr>
          <w:bCs/>
        </w:rPr>
        <w:t>a</w:t>
      </w:r>
      <w:r>
        <w:rPr>
          <w:bCs/>
        </w:rPr>
        <w:t>torio.</w:t>
      </w:r>
    </w:p>
    <w:p w:rsidR="00224567" w:rsidRDefault="00224567">
      <w:pPr>
        <w:widowControl w:val="0"/>
        <w:tabs>
          <w:tab w:val="left" w:pos="2835"/>
        </w:tabs>
        <w:ind w:firstLine="708"/>
        <w:rPr>
          <w:bCs/>
        </w:rPr>
      </w:pPr>
      <w:r>
        <w:rPr>
          <w:bCs/>
        </w:rPr>
        <w:tab/>
        <w:t>Por ello, el defensor apuntó que la declaración testimonial de fs. 38.551 era absolutamente nula, al igual que la declaración indagatoria de fs. 45.155, ya que importaba un relato autoincriminatorio. Añadió que ese vicio se proyectaba sobre actos sucesivos como la indagat</w:t>
      </w:r>
      <w:r>
        <w:rPr>
          <w:bCs/>
        </w:rPr>
        <w:t>o</w:t>
      </w:r>
      <w:r>
        <w:rPr>
          <w:bCs/>
        </w:rPr>
        <w:t>ria.</w:t>
      </w:r>
    </w:p>
    <w:p w:rsidR="00224567" w:rsidRDefault="00224567">
      <w:pPr>
        <w:widowControl w:val="0"/>
        <w:tabs>
          <w:tab w:val="left" w:pos="2835"/>
        </w:tabs>
        <w:ind w:firstLine="708"/>
        <w:rPr>
          <w:bCs/>
        </w:rPr>
      </w:pPr>
      <w:r>
        <w:rPr>
          <w:bCs/>
        </w:rPr>
        <w:tab/>
        <w:t>Detalló que esta declaración indagat</w:t>
      </w:r>
      <w:r>
        <w:rPr>
          <w:bCs/>
        </w:rPr>
        <w:t>o</w:t>
      </w:r>
      <w:r>
        <w:rPr>
          <w:bCs/>
        </w:rPr>
        <w:t>ria, mencionada por el fiscal en su acusación cuando as</w:t>
      </w:r>
      <w:r>
        <w:rPr>
          <w:bCs/>
        </w:rPr>
        <w:t>e</w:t>
      </w:r>
      <w:r>
        <w:rPr>
          <w:bCs/>
        </w:rPr>
        <w:t>guró que la expropiación de la embarc</w:t>
      </w:r>
      <w:r>
        <w:rPr>
          <w:bCs/>
        </w:rPr>
        <w:t>a</w:t>
      </w:r>
      <w:r>
        <w:rPr>
          <w:bCs/>
        </w:rPr>
        <w:t>ción “Gonzalo” como parte de la liberación de Pérez surge clara de la declar</w:t>
      </w:r>
      <w:r>
        <w:rPr>
          <w:bCs/>
        </w:rPr>
        <w:t>a</w:t>
      </w:r>
      <w:r>
        <w:rPr>
          <w:bCs/>
        </w:rPr>
        <w:t>ción de Juan Alberto Bottegal, es anómala ya que, en realidad, solamente leyendo la declaración te</w:t>
      </w:r>
      <w:r>
        <w:rPr>
          <w:bCs/>
        </w:rPr>
        <w:t>s</w:t>
      </w:r>
      <w:r>
        <w:rPr>
          <w:bCs/>
        </w:rPr>
        <w:t>timonial de su asistido puede hacerse esa refere</w:t>
      </w:r>
      <w:r>
        <w:rPr>
          <w:bCs/>
        </w:rPr>
        <w:t>n</w:t>
      </w:r>
      <w:r>
        <w:rPr>
          <w:bCs/>
        </w:rPr>
        <w:t>cia.</w:t>
      </w:r>
    </w:p>
    <w:p w:rsidR="00224567" w:rsidRDefault="00224567">
      <w:pPr>
        <w:widowControl w:val="0"/>
        <w:tabs>
          <w:tab w:val="left" w:pos="2835"/>
        </w:tabs>
        <w:ind w:firstLine="708"/>
        <w:rPr>
          <w:bCs/>
        </w:rPr>
      </w:pPr>
      <w:r>
        <w:rPr>
          <w:bCs/>
        </w:rPr>
        <w:tab/>
        <w:t>Al margen de esas manifestaciones, afirmó el defensor que el juez carecía de autoridad o l</w:t>
      </w:r>
      <w:r>
        <w:rPr>
          <w:bCs/>
        </w:rPr>
        <w:t>e</w:t>
      </w:r>
      <w:r>
        <w:rPr>
          <w:bCs/>
        </w:rPr>
        <w:lastRenderedPageBreak/>
        <w:t>gitimidad para levantar el secreto profesional que Bott</w:t>
      </w:r>
      <w:r>
        <w:rPr>
          <w:bCs/>
        </w:rPr>
        <w:t>e</w:t>
      </w:r>
      <w:r>
        <w:rPr>
          <w:bCs/>
        </w:rPr>
        <w:t>gal invocaba al pri</w:t>
      </w:r>
      <w:r>
        <w:rPr>
          <w:bCs/>
        </w:rPr>
        <w:t>n</w:t>
      </w:r>
      <w:r>
        <w:rPr>
          <w:bCs/>
        </w:rPr>
        <w:t>cipio.</w:t>
      </w:r>
    </w:p>
    <w:p w:rsidR="00224567" w:rsidRDefault="00224567">
      <w:pPr>
        <w:widowControl w:val="0"/>
        <w:tabs>
          <w:tab w:val="left" w:pos="2835"/>
        </w:tabs>
        <w:ind w:firstLine="708"/>
        <w:rPr>
          <w:bCs/>
        </w:rPr>
      </w:pPr>
      <w:r>
        <w:rPr>
          <w:bCs/>
        </w:rPr>
        <w:tab/>
        <w:t>Consideró la nulidad articulada de c</w:t>
      </w:r>
      <w:r>
        <w:rPr>
          <w:bCs/>
        </w:rPr>
        <w:t>a</w:t>
      </w:r>
      <w:r>
        <w:rPr>
          <w:bCs/>
        </w:rPr>
        <w:t>rácter absoluto -art. 167 inc. 3º del Código Procesal P</w:t>
      </w:r>
      <w:r>
        <w:rPr>
          <w:bCs/>
        </w:rPr>
        <w:t>e</w:t>
      </w:r>
      <w:r>
        <w:rPr>
          <w:bCs/>
        </w:rPr>
        <w:t>nal- y dijo que ésta se proyecta sobre el auto de proces</w:t>
      </w:r>
      <w:r>
        <w:rPr>
          <w:bCs/>
        </w:rPr>
        <w:t>a</w:t>
      </w:r>
      <w:r>
        <w:rPr>
          <w:bCs/>
        </w:rPr>
        <w:t>miento de fs. 45.173, el requerimiento fiscal de fs. 64.550 y el auto de elevación a juicio de fs. 76.549.</w:t>
      </w:r>
    </w:p>
    <w:p w:rsidR="00224567" w:rsidRDefault="00224567">
      <w:pPr>
        <w:widowControl w:val="0"/>
        <w:tabs>
          <w:tab w:val="left" w:pos="2835"/>
        </w:tabs>
        <w:ind w:firstLine="708"/>
        <w:rPr>
          <w:bCs/>
        </w:rPr>
      </w:pPr>
      <w:r>
        <w:rPr>
          <w:bCs/>
        </w:rPr>
        <w:tab/>
        <w:t>En virtud de ello, solicitó la absol</w:t>
      </w:r>
      <w:r>
        <w:rPr>
          <w:bCs/>
        </w:rPr>
        <w:t>u</w:t>
      </w:r>
      <w:r>
        <w:rPr>
          <w:bCs/>
        </w:rPr>
        <w:t>ción sin costas de Bottegal ya que sostuvo que no corre</w:t>
      </w:r>
      <w:r>
        <w:rPr>
          <w:bCs/>
        </w:rPr>
        <w:t>s</w:t>
      </w:r>
      <w:r>
        <w:rPr>
          <w:bCs/>
        </w:rPr>
        <w:t>pondía retrotraer la causa a etapas ya cu</w:t>
      </w:r>
      <w:r>
        <w:rPr>
          <w:bCs/>
        </w:rPr>
        <w:t>m</w:t>
      </w:r>
      <w:r>
        <w:rPr>
          <w:bCs/>
        </w:rPr>
        <w:t>plidas, tal como se resolviera en “Mattei”, Fallos 272:180, realizando ta</w:t>
      </w:r>
      <w:r>
        <w:rPr>
          <w:bCs/>
        </w:rPr>
        <w:t>m</w:t>
      </w:r>
      <w:r>
        <w:rPr>
          <w:bCs/>
        </w:rPr>
        <w:t>bién reserva del caso fed</w:t>
      </w:r>
      <w:r>
        <w:rPr>
          <w:bCs/>
        </w:rPr>
        <w:t>e</w:t>
      </w:r>
      <w:r>
        <w:rPr>
          <w:bCs/>
        </w:rPr>
        <w:t>ral.</w:t>
      </w:r>
    </w:p>
    <w:p w:rsidR="00224567" w:rsidRDefault="00224567">
      <w:pPr>
        <w:widowControl w:val="0"/>
        <w:tabs>
          <w:tab w:val="left" w:pos="2835"/>
        </w:tabs>
        <w:ind w:firstLine="708"/>
        <w:rPr>
          <w:bCs/>
        </w:rPr>
      </w:pPr>
      <w:r>
        <w:rPr>
          <w:bCs/>
        </w:rPr>
        <w:tab/>
        <w:t>En forma subsidiaria, el Dr. P</w:t>
      </w:r>
      <w:r>
        <w:rPr>
          <w:bCs/>
        </w:rPr>
        <w:t>a</w:t>
      </w:r>
      <w:r>
        <w:rPr>
          <w:bCs/>
        </w:rPr>
        <w:t>tricio Giardelli realizó un análisis de la adecuación típica efectuada por la fiscalía sobre la conducta de Bottegal, al considerarlo partícipe necesario del secuestro extors</w:t>
      </w:r>
      <w:r>
        <w:rPr>
          <w:bCs/>
        </w:rPr>
        <w:t>i</w:t>
      </w:r>
      <w:r>
        <w:rPr>
          <w:bCs/>
        </w:rPr>
        <w:t>vo de Hugo Antonio Pérez el 14 de julio de 1994, solic</w:t>
      </w:r>
      <w:r>
        <w:rPr>
          <w:bCs/>
        </w:rPr>
        <w:t>i</w:t>
      </w:r>
      <w:r>
        <w:rPr>
          <w:bCs/>
        </w:rPr>
        <w:t>tando se le imponga la pena de diez años de r</w:t>
      </w:r>
      <w:r>
        <w:rPr>
          <w:bCs/>
        </w:rPr>
        <w:t>e</w:t>
      </w:r>
      <w:r>
        <w:rPr>
          <w:bCs/>
        </w:rPr>
        <w:t>clusión. El letrado concluyó que del análisis de las declaraciones rendidas en el deb</w:t>
      </w:r>
      <w:r>
        <w:rPr>
          <w:bCs/>
        </w:rPr>
        <w:t>a</w:t>
      </w:r>
      <w:r>
        <w:rPr>
          <w:bCs/>
        </w:rPr>
        <w:t xml:space="preserve">te y demás constancias de la causa, no </w:t>
      </w:r>
      <w:r>
        <w:rPr>
          <w:bCs/>
        </w:rPr>
        <w:lastRenderedPageBreak/>
        <w:t>surgían pruebas ni indicios válidos que permitieran enro</w:t>
      </w:r>
      <w:r>
        <w:rPr>
          <w:bCs/>
        </w:rPr>
        <w:t>s</w:t>
      </w:r>
      <w:r>
        <w:rPr>
          <w:bCs/>
        </w:rPr>
        <w:t>trarle a Bottegal ese delito.</w:t>
      </w:r>
    </w:p>
    <w:p w:rsidR="00224567" w:rsidRDefault="00224567">
      <w:pPr>
        <w:widowControl w:val="0"/>
        <w:tabs>
          <w:tab w:val="left" w:pos="2835"/>
        </w:tabs>
        <w:ind w:firstLine="708"/>
        <w:rPr>
          <w:bCs/>
        </w:rPr>
      </w:pPr>
      <w:r>
        <w:rPr>
          <w:bCs/>
        </w:rPr>
        <w:tab/>
        <w:t xml:space="preserve">Consideró que de ningún modo se ha probado que la privación de la libertad de Pérez en </w:t>
      </w:r>
      <w:smartTag w:uri="urn:schemas-microsoft-com:office:smarttags" w:element="PersonName">
        <w:smartTagPr>
          <w:attr w:name="ProductID" w:val="la Brigada"/>
        </w:smartTagPr>
        <w:r>
          <w:rPr>
            <w:bCs/>
          </w:rPr>
          <w:t>la Brigada</w:t>
        </w:r>
      </w:smartTag>
      <w:r>
        <w:rPr>
          <w:bCs/>
        </w:rPr>
        <w:t xml:space="preserve"> de Vicente López resultara ilegítima, puesto que la reglamentación relativa al procedimiento de detención por averiguación de antecede</w:t>
      </w:r>
      <w:r>
        <w:rPr>
          <w:bCs/>
        </w:rPr>
        <w:t>n</w:t>
      </w:r>
      <w:r>
        <w:rPr>
          <w:bCs/>
        </w:rPr>
        <w:t>tes, vigente al tiempo de los hechos -decreto ley nº 9551/80-, facult</w:t>
      </w:r>
      <w:r>
        <w:rPr>
          <w:bCs/>
        </w:rPr>
        <w:t>a</w:t>
      </w:r>
      <w:r>
        <w:rPr>
          <w:bCs/>
        </w:rPr>
        <w:t>ba a la policía a detener una pe</w:t>
      </w:r>
      <w:r>
        <w:rPr>
          <w:bCs/>
        </w:rPr>
        <w:t>r</w:t>
      </w:r>
      <w:r>
        <w:rPr>
          <w:bCs/>
        </w:rPr>
        <w:t>sona por un lapso de 24 horas cuando fuera menester averiguar sus antecedentes y medios de v</w:t>
      </w:r>
      <w:r>
        <w:rPr>
          <w:bCs/>
        </w:rPr>
        <w:t>i</w:t>
      </w:r>
      <w:r>
        <w:rPr>
          <w:bCs/>
        </w:rPr>
        <w:t>da.</w:t>
      </w:r>
    </w:p>
    <w:p w:rsidR="00224567" w:rsidRDefault="00224567">
      <w:pPr>
        <w:widowControl w:val="0"/>
        <w:tabs>
          <w:tab w:val="left" w:pos="2835"/>
        </w:tabs>
        <w:ind w:firstLine="708"/>
        <w:rPr>
          <w:bCs/>
        </w:rPr>
      </w:pPr>
      <w:r>
        <w:rPr>
          <w:bCs/>
        </w:rPr>
        <w:tab/>
        <w:t>Afirmó que Pérez fue detenido sin ll</w:t>
      </w:r>
      <w:r>
        <w:rPr>
          <w:bCs/>
        </w:rPr>
        <w:t>e</w:t>
      </w:r>
      <w:r>
        <w:rPr>
          <w:bCs/>
        </w:rPr>
        <w:t>var consigo un documento que permitiera su identif</w:t>
      </w:r>
      <w:r>
        <w:rPr>
          <w:bCs/>
        </w:rPr>
        <w:t>i</w:t>
      </w:r>
      <w:r>
        <w:rPr>
          <w:bCs/>
        </w:rPr>
        <w:t>cación fehaciente y que los preventores explic</w:t>
      </w:r>
      <w:r>
        <w:rPr>
          <w:bCs/>
        </w:rPr>
        <w:t>a</w:t>
      </w:r>
      <w:r>
        <w:rPr>
          <w:bCs/>
        </w:rPr>
        <w:t>ron que concurrían una suma de circunstancias que los hicieron presumir que éste podía estar vinculado con algún hecho ilícito. Enum</w:t>
      </w:r>
      <w:r>
        <w:rPr>
          <w:bCs/>
        </w:rPr>
        <w:t>e</w:t>
      </w:r>
      <w:r>
        <w:rPr>
          <w:bCs/>
        </w:rPr>
        <w:t>ró entonces que sospecharon porque se encontraba nervi</w:t>
      </w:r>
      <w:r>
        <w:rPr>
          <w:bCs/>
        </w:rPr>
        <w:t>o</w:t>
      </w:r>
      <w:r>
        <w:rPr>
          <w:bCs/>
        </w:rPr>
        <w:t>so, que tenía las manos manchadas con grasa de vehículos, al mismo tiempo que alegaba ser albañil, y que salió de la misma casa de donde provenía la pareja que unas pocas h</w:t>
      </w:r>
      <w:r>
        <w:rPr>
          <w:bCs/>
        </w:rPr>
        <w:t>o</w:t>
      </w:r>
      <w:r>
        <w:rPr>
          <w:bCs/>
        </w:rPr>
        <w:t xml:space="preserve">ras antes había participado de la fuga. Por otra parte, puso de resalto el defensor que se dio intervención al </w:t>
      </w:r>
      <w:r>
        <w:rPr>
          <w:bCs/>
        </w:rPr>
        <w:lastRenderedPageBreak/>
        <w:t>juez comp</w:t>
      </w:r>
      <w:r>
        <w:rPr>
          <w:bCs/>
        </w:rPr>
        <w:t>e</w:t>
      </w:r>
      <w:r>
        <w:rPr>
          <w:bCs/>
        </w:rPr>
        <w:t>tente, tal como surgía de fs. 37.136, y se dejó constancia de la detención tanto en el libro de guardia como en el de deten</w:t>
      </w:r>
      <w:r>
        <w:rPr>
          <w:bCs/>
        </w:rPr>
        <w:t>i</w:t>
      </w:r>
      <w:r>
        <w:rPr>
          <w:bCs/>
        </w:rPr>
        <w:t>dos.</w:t>
      </w:r>
    </w:p>
    <w:p w:rsidR="00224567" w:rsidRDefault="00224567">
      <w:pPr>
        <w:widowControl w:val="0"/>
        <w:tabs>
          <w:tab w:val="left" w:pos="2835"/>
        </w:tabs>
        <w:ind w:firstLine="708"/>
        <w:rPr>
          <w:bCs/>
        </w:rPr>
      </w:pPr>
      <w:r>
        <w:rPr>
          <w:bCs/>
        </w:rPr>
        <w:tab/>
        <w:t>Por ello, sostuvo el defensor –con c</w:t>
      </w:r>
      <w:r>
        <w:rPr>
          <w:bCs/>
        </w:rPr>
        <w:t>i</w:t>
      </w:r>
      <w:r>
        <w:rPr>
          <w:bCs/>
        </w:rPr>
        <w:t>ta de Ricardo Núñez y de Carlos Creus- que para config</w:t>
      </w:r>
      <w:r>
        <w:rPr>
          <w:bCs/>
        </w:rPr>
        <w:t>u</w:t>
      </w:r>
      <w:r>
        <w:rPr>
          <w:bCs/>
        </w:rPr>
        <w:t>rarse el delito de secuestro extorsivo debe existir sie</w:t>
      </w:r>
      <w:r>
        <w:rPr>
          <w:bCs/>
        </w:rPr>
        <w:t>m</w:t>
      </w:r>
      <w:r>
        <w:rPr>
          <w:bCs/>
        </w:rPr>
        <w:t>pre, como elemento normativo del tipo, la ilegit</w:t>
      </w:r>
      <w:r>
        <w:rPr>
          <w:bCs/>
        </w:rPr>
        <w:t>i</w:t>
      </w:r>
      <w:r>
        <w:rPr>
          <w:bCs/>
        </w:rPr>
        <w:t>midad en la privación de la libertad que precede a la exigencia de rescate, agregando que, en el caso de a</w:t>
      </w:r>
      <w:r>
        <w:rPr>
          <w:bCs/>
        </w:rPr>
        <w:t>u</w:t>
      </w:r>
      <w:r>
        <w:rPr>
          <w:bCs/>
        </w:rPr>
        <w:t>tos, la detención de Pérez se realizó mediante un procedimiento ajustado a derecho, en observancia de la r</w:t>
      </w:r>
      <w:r>
        <w:rPr>
          <w:bCs/>
        </w:rPr>
        <w:t>e</w:t>
      </w:r>
      <w:r>
        <w:rPr>
          <w:bCs/>
        </w:rPr>
        <w:t>glamentación vigente. Por tal razón entendió descartada la figura del art. 170 del Código Penal.</w:t>
      </w:r>
    </w:p>
    <w:p w:rsidR="00224567" w:rsidRDefault="00224567">
      <w:pPr>
        <w:widowControl w:val="0"/>
        <w:tabs>
          <w:tab w:val="left" w:pos="2835"/>
        </w:tabs>
        <w:ind w:firstLine="708"/>
        <w:rPr>
          <w:bCs/>
        </w:rPr>
      </w:pPr>
      <w:r>
        <w:rPr>
          <w:bCs/>
        </w:rPr>
        <w:tab/>
        <w:t>En caso que se continuara reputando como ilegítima la privación de la libertad de Pérez, t</w:t>
      </w:r>
      <w:r>
        <w:rPr>
          <w:bCs/>
        </w:rPr>
        <w:t>e</w:t>
      </w:r>
      <w:r>
        <w:rPr>
          <w:bCs/>
        </w:rPr>
        <w:t>niendo en cuenta el elemento subjetivo del tipo i</w:t>
      </w:r>
      <w:r>
        <w:rPr>
          <w:bCs/>
        </w:rPr>
        <w:t>m</w:t>
      </w:r>
      <w:r>
        <w:rPr>
          <w:bCs/>
        </w:rPr>
        <w:t>plicado, queda claro que no existen razones que permitan sostener que Bottegal haya actuado conociendo la pretendida ileg</w:t>
      </w:r>
      <w:r>
        <w:rPr>
          <w:bCs/>
        </w:rPr>
        <w:t>i</w:t>
      </w:r>
      <w:r>
        <w:rPr>
          <w:bCs/>
        </w:rPr>
        <w:t>timidad del arresto del compañero de Telleldín.</w:t>
      </w:r>
    </w:p>
    <w:p w:rsidR="00224567" w:rsidRDefault="00224567">
      <w:pPr>
        <w:widowControl w:val="0"/>
        <w:tabs>
          <w:tab w:val="left" w:pos="2835"/>
        </w:tabs>
        <w:ind w:firstLine="708"/>
        <w:rPr>
          <w:bCs/>
        </w:rPr>
      </w:pPr>
      <w:r>
        <w:rPr>
          <w:bCs/>
        </w:rPr>
        <w:tab/>
        <w:t>Recordó que el propio juez instru</w:t>
      </w:r>
      <w:r>
        <w:rPr>
          <w:bCs/>
        </w:rPr>
        <w:t>c</w:t>
      </w:r>
      <w:r>
        <w:rPr>
          <w:bCs/>
        </w:rPr>
        <w:t xml:space="preserve">tor, </w:t>
      </w:r>
      <w:r>
        <w:rPr>
          <w:bCs/>
        </w:rPr>
        <w:lastRenderedPageBreak/>
        <w:t>al dictar el procesamiento de Bottegal, lo desvinculó de cualquier ci</w:t>
      </w:r>
      <w:r>
        <w:rPr>
          <w:bCs/>
        </w:rPr>
        <w:t>r</w:t>
      </w:r>
      <w:r>
        <w:rPr>
          <w:bCs/>
        </w:rPr>
        <w:t>cunstancia relacionada con esta detención al sostener que “la intervención de Bottegal se produjo po</w:t>
      </w:r>
      <w:r>
        <w:rPr>
          <w:bCs/>
        </w:rPr>
        <w:t>s</w:t>
      </w:r>
      <w:r>
        <w:rPr>
          <w:bCs/>
        </w:rPr>
        <w:t>teriormente a que Pérez fuera detenido, por lo cual se evidencia que no participó de esa privación ilegítima de la libe</w:t>
      </w:r>
      <w:r>
        <w:rPr>
          <w:bCs/>
        </w:rPr>
        <w:t>r</w:t>
      </w:r>
      <w:r>
        <w:rPr>
          <w:bCs/>
        </w:rPr>
        <w:t>tad”.</w:t>
      </w:r>
    </w:p>
    <w:p w:rsidR="00224567" w:rsidRDefault="00224567">
      <w:pPr>
        <w:widowControl w:val="0"/>
        <w:tabs>
          <w:tab w:val="left" w:pos="2835"/>
        </w:tabs>
        <w:ind w:firstLine="708"/>
        <w:rPr>
          <w:bCs/>
        </w:rPr>
      </w:pPr>
      <w:r>
        <w:rPr>
          <w:bCs/>
        </w:rPr>
        <w:tab/>
        <w:t>Agregó el letrado que su asistido nu</w:t>
      </w:r>
      <w:r>
        <w:rPr>
          <w:bCs/>
        </w:rPr>
        <w:t>n</w:t>
      </w:r>
      <w:r>
        <w:rPr>
          <w:bCs/>
        </w:rPr>
        <w:t>ca conoció las causas que determinaron la aprehensión de Pérez ni el modo en que se realizó, como tamp</w:t>
      </w:r>
      <w:r>
        <w:rPr>
          <w:bCs/>
        </w:rPr>
        <w:t>o</w:t>
      </w:r>
      <w:r>
        <w:rPr>
          <w:bCs/>
        </w:rPr>
        <w:t>co quién la llevó a cabo, ni ninguna otra circunstancia vinculada al caso.</w:t>
      </w:r>
    </w:p>
    <w:p w:rsidR="00224567" w:rsidRDefault="00224567">
      <w:pPr>
        <w:widowControl w:val="0"/>
        <w:tabs>
          <w:tab w:val="left" w:pos="2835"/>
        </w:tabs>
        <w:ind w:firstLine="708"/>
        <w:rPr>
          <w:bCs/>
        </w:rPr>
      </w:pPr>
      <w:r>
        <w:rPr>
          <w:bCs/>
        </w:rPr>
        <w:tab/>
        <w:t>Relató la defensa que su defend</w:t>
      </w:r>
      <w:r>
        <w:rPr>
          <w:bCs/>
        </w:rPr>
        <w:t>i</w:t>
      </w:r>
      <w:r>
        <w:rPr>
          <w:bCs/>
        </w:rPr>
        <w:t>do, en base a las informaciones que le suministraron Barreda y Bareiro con relación a la situación de T</w:t>
      </w:r>
      <w:r>
        <w:rPr>
          <w:bCs/>
        </w:rPr>
        <w:t>e</w:t>
      </w:r>
      <w:r>
        <w:rPr>
          <w:bCs/>
        </w:rPr>
        <w:t>lleldín, se formó una op</w:t>
      </w:r>
      <w:r>
        <w:rPr>
          <w:bCs/>
        </w:rPr>
        <w:t>i</w:t>
      </w:r>
      <w:r>
        <w:rPr>
          <w:bCs/>
        </w:rPr>
        <w:t>nión desfavorable de éste, conociendo que realizaba m</w:t>
      </w:r>
      <w:r>
        <w:rPr>
          <w:bCs/>
        </w:rPr>
        <w:t>a</w:t>
      </w:r>
      <w:r>
        <w:rPr>
          <w:bCs/>
        </w:rPr>
        <w:t>niobras ilícitas sobre automotores y que, Hugo Pérez era el lugarteniente de Telleldín en sus actividades il</w:t>
      </w:r>
      <w:r>
        <w:rPr>
          <w:bCs/>
        </w:rPr>
        <w:t>í</w:t>
      </w:r>
      <w:r>
        <w:rPr>
          <w:bCs/>
        </w:rPr>
        <w:t>citas; remarcando que, en tales condiciones, no podía ex</w:t>
      </w:r>
      <w:r>
        <w:rPr>
          <w:bCs/>
        </w:rPr>
        <w:t>i</w:t>
      </w:r>
      <w:r>
        <w:rPr>
          <w:bCs/>
        </w:rPr>
        <w:t>gírsele a Bottegal que se represente la detención de Pérez en V</w:t>
      </w:r>
      <w:r>
        <w:rPr>
          <w:bCs/>
        </w:rPr>
        <w:t>i</w:t>
      </w:r>
      <w:r>
        <w:rPr>
          <w:bCs/>
        </w:rPr>
        <w:t>cente López como i</w:t>
      </w:r>
      <w:r>
        <w:rPr>
          <w:bCs/>
        </w:rPr>
        <w:t>n</w:t>
      </w:r>
      <w:r>
        <w:rPr>
          <w:bCs/>
        </w:rPr>
        <w:t>justificada o ilegal.</w:t>
      </w:r>
    </w:p>
    <w:p w:rsidR="00224567" w:rsidRDefault="00224567">
      <w:pPr>
        <w:widowControl w:val="0"/>
        <w:tabs>
          <w:tab w:val="left" w:pos="2835"/>
        </w:tabs>
        <w:ind w:firstLine="708"/>
        <w:rPr>
          <w:bCs/>
        </w:rPr>
      </w:pPr>
      <w:r>
        <w:rPr>
          <w:bCs/>
        </w:rPr>
        <w:tab/>
        <w:t>Destacó también la defensa que Bott</w:t>
      </w:r>
      <w:r>
        <w:rPr>
          <w:bCs/>
        </w:rPr>
        <w:t>e</w:t>
      </w:r>
      <w:r>
        <w:rPr>
          <w:bCs/>
        </w:rPr>
        <w:lastRenderedPageBreak/>
        <w:t>gal y Telleldín no tuvieron en cuenta el estado de dete</w:t>
      </w:r>
      <w:r>
        <w:rPr>
          <w:bCs/>
        </w:rPr>
        <w:t>n</w:t>
      </w:r>
      <w:r>
        <w:rPr>
          <w:bCs/>
        </w:rPr>
        <w:t>ción de Pérez en los diálogos que mantuvieron las dos oportun</w:t>
      </w:r>
      <w:r>
        <w:rPr>
          <w:bCs/>
        </w:rPr>
        <w:t>i</w:t>
      </w:r>
      <w:r>
        <w:rPr>
          <w:bCs/>
        </w:rPr>
        <w:t>dades en que se reunieron el 15 de julio de 1994, ni en la realizada con posterioridad, tal como se despre</w:t>
      </w:r>
      <w:r>
        <w:rPr>
          <w:bCs/>
        </w:rPr>
        <w:t>n</w:t>
      </w:r>
      <w:r>
        <w:rPr>
          <w:bCs/>
        </w:rPr>
        <w:t>de del análisis de los dichos de su representado, de la indagatoria nula prestada en la instrucción por T</w:t>
      </w:r>
      <w:r>
        <w:rPr>
          <w:bCs/>
        </w:rPr>
        <w:t>e</w:t>
      </w:r>
      <w:r>
        <w:rPr>
          <w:bCs/>
        </w:rPr>
        <w:t>lleldín y de las prestadas por Barreda y Boragni.</w:t>
      </w:r>
    </w:p>
    <w:p w:rsidR="00224567" w:rsidRDefault="00224567">
      <w:pPr>
        <w:widowControl w:val="0"/>
        <w:tabs>
          <w:tab w:val="left" w:pos="2835"/>
        </w:tabs>
        <w:ind w:firstLine="708"/>
        <w:rPr>
          <w:bCs/>
        </w:rPr>
      </w:pPr>
      <w:r>
        <w:rPr>
          <w:bCs/>
        </w:rPr>
        <w:tab/>
        <w:t>Recordó especialmente que Bora</w:t>
      </w:r>
      <w:r>
        <w:rPr>
          <w:bCs/>
        </w:rPr>
        <w:t>g</w:t>
      </w:r>
      <w:r>
        <w:rPr>
          <w:bCs/>
        </w:rPr>
        <w:t>ni, en su testimonial ante el tribunal, concedió –ante un insi</w:t>
      </w:r>
      <w:r>
        <w:rPr>
          <w:bCs/>
        </w:rPr>
        <w:t>s</w:t>
      </w:r>
      <w:r>
        <w:rPr>
          <w:bCs/>
        </w:rPr>
        <w:t>tente interrogatorio sobre el punto- que la situación de Pérez pudo haber sido materia de negociación durante la entrevista, resaltando que, luego, en un tramo posterior de la declaración, volvió a afirmar lo que había dicho i</w:t>
      </w:r>
      <w:r>
        <w:rPr>
          <w:bCs/>
        </w:rPr>
        <w:t>n</w:t>
      </w:r>
      <w:r>
        <w:rPr>
          <w:bCs/>
        </w:rPr>
        <w:t>sistentemente desde el comienzo: que el objetivo de la propuesta de arreglo que, a través de Bottegal, se iba a hacer llegar a los policías, estaba enderezada a que los preventores les permitieran regr</w:t>
      </w:r>
      <w:r>
        <w:rPr>
          <w:bCs/>
        </w:rPr>
        <w:t>e</w:t>
      </w:r>
      <w:r>
        <w:rPr>
          <w:bCs/>
        </w:rPr>
        <w:t>sar a su domicilio de la calle República y que no lo all</w:t>
      </w:r>
      <w:r>
        <w:rPr>
          <w:bCs/>
        </w:rPr>
        <w:t>a</w:t>
      </w:r>
      <w:r>
        <w:rPr>
          <w:bCs/>
        </w:rPr>
        <w:t>nasen.</w:t>
      </w:r>
    </w:p>
    <w:p w:rsidR="00224567" w:rsidRDefault="00224567">
      <w:pPr>
        <w:widowControl w:val="0"/>
        <w:tabs>
          <w:tab w:val="left" w:pos="2835"/>
        </w:tabs>
        <w:ind w:firstLine="708"/>
        <w:rPr>
          <w:bCs/>
        </w:rPr>
      </w:pPr>
      <w:r>
        <w:rPr>
          <w:bCs/>
        </w:rPr>
        <w:tab/>
        <w:t>Sostuvo el Dr. Giardelli que compa</w:t>
      </w:r>
      <w:r>
        <w:rPr>
          <w:bCs/>
        </w:rPr>
        <w:t>r</w:t>
      </w:r>
      <w:r>
        <w:rPr>
          <w:bCs/>
        </w:rPr>
        <w:t>tir la tesis del fiscal, en el sentido de que Telleldín entr</w:t>
      </w:r>
      <w:r>
        <w:rPr>
          <w:bCs/>
        </w:rPr>
        <w:t>e</w:t>
      </w:r>
      <w:r>
        <w:rPr>
          <w:bCs/>
        </w:rPr>
        <w:lastRenderedPageBreak/>
        <w:t>gó bienes para obtener la libertad de Pérez, supone cons</w:t>
      </w:r>
      <w:r>
        <w:rPr>
          <w:bCs/>
        </w:rPr>
        <w:t>a</w:t>
      </w:r>
      <w:r>
        <w:rPr>
          <w:bCs/>
        </w:rPr>
        <w:t>grar el primer caso de secuestro extorsivo donde aquél que paga el rescate exigido, no recuerda el momento en que se produce la liber</w:t>
      </w:r>
      <w:r>
        <w:rPr>
          <w:bCs/>
        </w:rPr>
        <w:t>a</w:t>
      </w:r>
      <w:r>
        <w:rPr>
          <w:bCs/>
        </w:rPr>
        <w:t>ción del detenido.</w:t>
      </w:r>
    </w:p>
    <w:p w:rsidR="00224567" w:rsidRDefault="00224567">
      <w:pPr>
        <w:widowControl w:val="0"/>
        <w:tabs>
          <w:tab w:val="left" w:pos="2835"/>
        </w:tabs>
        <w:ind w:firstLine="708"/>
        <w:rPr>
          <w:bCs/>
        </w:rPr>
      </w:pPr>
      <w:r>
        <w:rPr>
          <w:bCs/>
        </w:rPr>
        <w:tab/>
        <w:t>Remarcó el defensor que no puede ta</w:t>
      </w:r>
      <w:r>
        <w:rPr>
          <w:bCs/>
        </w:rPr>
        <w:t>m</w:t>
      </w:r>
      <w:r>
        <w:rPr>
          <w:bCs/>
        </w:rPr>
        <w:t>poco soslayarse la poca preocupación demostrada por T</w:t>
      </w:r>
      <w:r>
        <w:rPr>
          <w:bCs/>
        </w:rPr>
        <w:t>e</w:t>
      </w:r>
      <w:r>
        <w:rPr>
          <w:bCs/>
        </w:rPr>
        <w:t>lleldín, respecto de su “lugarteniente”; como ejemplo de ello, describió la actitud de éste posterior a su dete</w:t>
      </w:r>
      <w:r>
        <w:rPr>
          <w:bCs/>
        </w:rPr>
        <w:t>n</w:t>
      </w:r>
      <w:r>
        <w:rPr>
          <w:bCs/>
        </w:rPr>
        <w:t>ción, del episodio de la calle San José con el formulario “</w:t>
      </w:r>
      <w:smartTag w:uri="urn:schemas-microsoft-com:office:smarttags" w:element="metricconverter">
        <w:smartTagPr>
          <w:attr w:name="ProductID" w:val="08”"/>
        </w:smartTagPr>
        <w:r>
          <w:rPr>
            <w:bCs/>
          </w:rPr>
          <w:t>08”</w:t>
        </w:r>
      </w:smartTag>
      <w:r>
        <w:rPr>
          <w:bCs/>
        </w:rPr>
        <w:t xml:space="preserve"> de </w:t>
      </w:r>
      <w:smartTag w:uri="urn:schemas-microsoft-com:office:smarttags" w:element="PersonName">
        <w:smartTagPr>
          <w:attr w:name="ProductID" w:val="la Trafic"/>
        </w:smartTagPr>
        <w:r>
          <w:rPr>
            <w:bCs/>
          </w:rPr>
          <w:t>la Trafic</w:t>
        </w:r>
      </w:smartTag>
      <w:r>
        <w:rPr>
          <w:bCs/>
        </w:rPr>
        <w:t>, y de que la letra del papel que decía Embajada de Irán podía corresponderle. Ad</w:t>
      </w:r>
      <w:r>
        <w:rPr>
          <w:bCs/>
        </w:rPr>
        <w:t>e</w:t>
      </w:r>
      <w:r>
        <w:rPr>
          <w:bCs/>
        </w:rPr>
        <w:t>más, destacó lo relatado por Miriam Salinas en lo relativo a que Telle</w:t>
      </w:r>
      <w:r>
        <w:rPr>
          <w:bCs/>
        </w:rPr>
        <w:t>l</w:t>
      </w:r>
      <w:r>
        <w:rPr>
          <w:bCs/>
        </w:rPr>
        <w:t>dín se propuso, sin éxito, modificar la factura de “Automot</w:t>
      </w:r>
      <w:r>
        <w:rPr>
          <w:bCs/>
        </w:rPr>
        <w:t>o</w:t>
      </w:r>
      <w:r>
        <w:rPr>
          <w:bCs/>
        </w:rPr>
        <w:t>res Alejandro” a fin de hacer aparecer falsamente a P</w:t>
      </w:r>
      <w:r>
        <w:rPr>
          <w:bCs/>
        </w:rPr>
        <w:t>é</w:t>
      </w:r>
      <w:r>
        <w:rPr>
          <w:bCs/>
        </w:rPr>
        <w:t>rez.</w:t>
      </w:r>
    </w:p>
    <w:p w:rsidR="00224567" w:rsidRDefault="00224567">
      <w:pPr>
        <w:widowControl w:val="0"/>
        <w:tabs>
          <w:tab w:val="left" w:pos="2835"/>
        </w:tabs>
        <w:ind w:firstLine="708"/>
        <w:rPr>
          <w:bCs/>
        </w:rPr>
      </w:pPr>
      <w:r>
        <w:rPr>
          <w:bCs/>
        </w:rPr>
        <w:tab/>
        <w:t>Resaltó el defensor que ello demue</w:t>
      </w:r>
      <w:r>
        <w:rPr>
          <w:bCs/>
        </w:rPr>
        <w:t>s</w:t>
      </w:r>
      <w:r>
        <w:rPr>
          <w:bCs/>
        </w:rPr>
        <w:t>tra que Bottegal no participó en la liberación de Pérez sino que, por el contrario, esa entrega de bienes que se pr</w:t>
      </w:r>
      <w:r>
        <w:rPr>
          <w:bCs/>
        </w:rPr>
        <w:t>e</w:t>
      </w:r>
      <w:r>
        <w:rPr>
          <w:bCs/>
        </w:rPr>
        <w:t>tendía, estaba orientada exclusivamente a la persona de Telleldín, que se encontraba en libertad, y con quien Bo</w:t>
      </w:r>
      <w:r>
        <w:rPr>
          <w:bCs/>
        </w:rPr>
        <w:t>t</w:t>
      </w:r>
      <w:r>
        <w:rPr>
          <w:bCs/>
        </w:rPr>
        <w:t>tegal se entrevi</w:t>
      </w:r>
      <w:r>
        <w:rPr>
          <w:bCs/>
        </w:rPr>
        <w:t>s</w:t>
      </w:r>
      <w:r>
        <w:rPr>
          <w:bCs/>
        </w:rPr>
        <w:t>tó.</w:t>
      </w:r>
    </w:p>
    <w:p w:rsidR="00224567" w:rsidRDefault="00224567">
      <w:pPr>
        <w:widowControl w:val="0"/>
        <w:tabs>
          <w:tab w:val="left" w:pos="2835"/>
        </w:tabs>
        <w:ind w:firstLine="708"/>
        <w:rPr>
          <w:bCs/>
        </w:rPr>
      </w:pPr>
      <w:r>
        <w:rPr>
          <w:bCs/>
        </w:rPr>
        <w:tab/>
        <w:t xml:space="preserve">Sostuvo –con cita de Sebastián Soler- </w:t>
      </w:r>
      <w:r>
        <w:rPr>
          <w:bCs/>
        </w:rPr>
        <w:lastRenderedPageBreak/>
        <w:t>que con rel</w:t>
      </w:r>
      <w:r>
        <w:rPr>
          <w:bCs/>
        </w:rPr>
        <w:t>a</w:t>
      </w:r>
      <w:r>
        <w:rPr>
          <w:bCs/>
        </w:rPr>
        <w:t>ción a la imputación efectuada a Bottegal como partícipe de extorsión, siendo un delito contra la propi</w:t>
      </w:r>
      <w:r>
        <w:rPr>
          <w:bCs/>
        </w:rPr>
        <w:t>e</w:t>
      </w:r>
      <w:r>
        <w:rPr>
          <w:bCs/>
        </w:rPr>
        <w:t>dad, era necesario la constatación de un daño real o por lo menos un riesgo para el patrimonio, lo que, a su crit</w:t>
      </w:r>
      <w:r>
        <w:rPr>
          <w:bCs/>
        </w:rPr>
        <w:t>e</w:t>
      </w:r>
      <w:r>
        <w:rPr>
          <w:bCs/>
        </w:rPr>
        <w:t>rio, no conc</w:t>
      </w:r>
      <w:r>
        <w:rPr>
          <w:bCs/>
        </w:rPr>
        <w:t>u</w:t>
      </w:r>
      <w:r>
        <w:rPr>
          <w:bCs/>
        </w:rPr>
        <w:t>rría en la especie.</w:t>
      </w:r>
    </w:p>
    <w:p w:rsidR="00224567" w:rsidRDefault="00224567">
      <w:pPr>
        <w:widowControl w:val="0"/>
        <w:tabs>
          <w:tab w:val="left" w:pos="2835"/>
        </w:tabs>
        <w:ind w:firstLine="708"/>
        <w:rPr>
          <w:bCs/>
        </w:rPr>
      </w:pPr>
      <w:r>
        <w:rPr>
          <w:bCs/>
        </w:rPr>
        <w:tab/>
        <w:t>Afirmó que no existió perjuicio patr</w:t>
      </w:r>
      <w:r>
        <w:rPr>
          <w:bCs/>
        </w:rPr>
        <w:t>i</w:t>
      </w:r>
      <w:r>
        <w:rPr>
          <w:bCs/>
        </w:rPr>
        <w:t>monial para Telleldín, con la suscripción del boleto de compraventa a favor de Bottegal, ya que tal como señal</w:t>
      </w:r>
      <w:r>
        <w:rPr>
          <w:bCs/>
        </w:rPr>
        <w:t>a</w:t>
      </w:r>
      <w:r>
        <w:rPr>
          <w:bCs/>
        </w:rPr>
        <w:t>ron los testigos Gallardo y Colman, el letrado sólo pudo lim</w:t>
      </w:r>
      <w:r>
        <w:rPr>
          <w:bCs/>
        </w:rPr>
        <w:t>i</w:t>
      </w:r>
      <w:r>
        <w:rPr>
          <w:bCs/>
        </w:rPr>
        <w:t>tarse a observar la lancha desde una cierta distancia, dentro de la guardería.</w:t>
      </w:r>
    </w:p>
    <w:p w:rsidR="00224567" w:rsidRDefault="00224567">
      <w:pPr>
        <w:widowControl w:val="0"/>
        <w:tabs>
          <w:tab w:val="left" w:pos="2835"/>
        </w:tabs>
        <w:ind w:firstLine="708"/>
        <w:rPr>
          <w:bCs/>
        </w:rPr>
      </w:pPr>
      <w:r>
        <w:rPr>
          <w:bCs/>
        </w:rPr>
        <w:tab/>
        <w:t>Asimismo, recordó que las circunsta</w:t>
      </w:r>
      <w:r>
        <w:rPr>
          <w:bCs/>
        </w:rPr>
        <w:t>n</w:t>
      </w:r>
      <w:r>
        <w:rPr>
          <w:bCs/>
        </w:rPr>
        <w:t>cias referenciadas en el boleto por indicación de Telle</w:t>
      </w:r>
      <w:r>
        <w:rPr>
          <w:bCs/>
        </w:rPr>
        <w:t>l</w:t>
      </w:r>
      <w:r>
        <w:rPr>
          <w:bCs/>
        </w:rPr>
        <w:t>dín, clausuraban totalmente cualquier expectativa que Bo</w:t>
      </w:r>
      <w:r>
        <w:rPr>
          <w:bCs/>
        </w:rPr>
        <w:t>t</w:t>
      </w:r>
      <w:r>
        <w:rPr>
          <w:bCs/>
        </w:rPr>
        <w:t>tegal pudiera tener sobre la embarcación, pues se había consignado erróneamente el número de la matrícula que la embarcación poseía en el Registro Especial de Yates, ca</w:t>
      </w:r>
      <w:r>
        <w:rPr>
          <w:bCs/>
        </w:rPr>
        <w:t>m</w:t>
      </w:r>
      <w:r>
        <w:rPr>
          <w:bCs/>
        </w:rPr>
        <w:t>biándolo por el correspondiente a otra, de nombre “Ben</w:t>
      </w:r>
      <w:r>
        <w:rPr>
          <w:bCs/>
        </w:rPr>
        <w:t>i</w:t>
      </w:r>
      <w:r>
        <w:rPr>
          <w:bCs/>
        </w:rPr>
        <w:t>dorm”, que había sido de su propiedad.</w:t>
      </w:r>
    </w:p>
    <w:p w:rsidR="00224567" w:rsidRDefault="00224567">
      <w:pPr>
        <w:widowControl w:val="0"/>
        <w:tabs>
          <w:tab w:val="left" w:pos="2835"/>
        </w:tabs>
        <w:ind w:firstLine="708"/>
        <w:rPr>
          <w:bCs/>
        </w:rPr>
      </w:pPr>
      <w:r>
        <w:rPr>
          <w:bCs/>
        </w:rPr>
        <w:tab/>
        <w:t>Esto demuestra, a criterio del defe</w:t>
      </w:r>
      <w:r>
        <w:rPr>
          <w:bCs/>
        </w:rPr>
        <w:t>n</w:t>
      </w:r>
      <w:r>
        <w:rPr>
          <w:bCs/>
        </w:rPr>
        <w:lastRenderedPageBreak/>
        <w:t>sor, que Telleldín, al firmar el boleto, lejos de actuar movido por intimidación o miedo a la autoridad, se perm</w:t>
      </w:r>
      <w:r>
        <w:rPr>
          <w:bCs/>
        </w:rPr>
        <w:t>i</w:t>
      </w:r>
      <w:r>
        <w:rPr>
          <w:bCs/>
        </w:rPr>
        <w:t>tió engañar a sus supuestos victimarios, ocupánd</w:t>
      </w:r>
      <w:r>
        <w:rPr>
          <w:bCs/>
        </w:rPr>
        <w:t>o</w:t>
      </w:r>
      <w:r>
        <w:rPr>
          <w:bCs/>
        </w:rPr>
        <w:t>se de que en el documento se volcaran datos mezclados de las dos e</w:t>
      </w:r>
      <w:r>
        <w:rPr>
          <w:bCs/>
        </w:rPr>
        <w:t>m</w:t>
      </w:r>
      <w:r>
        <w:rPr>
          <w:bCs/>
        </w:rPr>
        <w:t>barcaciones con el fin que sus tenedores no pudieran di</w:t>
      </w:r>
      <w:r>
        <w:rPr>
          <w:bCs/>
        </w:rPr>
        <w:t>s</w:t>
      </w:r>
      <w:r>
        <w:rPr>
          <w:bCs/>
        </w:rPr>
        <w:t>poner jamás, y bajo ningún punto de vi</w:t>
      </w:r>
      <w:r>
        <w:rPr>
          <w:bCs/>
        </w:rPr>
        <w:t>s</w:t>
      </w:r>
      <w:r>
        <w:rPr>
          <w:bCs/>
        </w:rPr>
        <w:t>ta, ni de una ni de la otra.</w:t>
      </w:r>
    </w:p>
    <w:p w:rsidR="00224567" w:rsidRDefault="00224567">
      <w:pPr>
        <w:widowControl w:val="0"/>
        <w:tabs>
          <w:tab w:val="left" w:pos="2835"/>
        </w:tabs>
        <w:ind w:firstLine="708"/>
        <w:rPr>
          <w:bCs/>
        </w:rPr>
      </w:pPr>
      <w:r>
        <w:rPr>
          <w:bCs/>
        </w:rPr>
        <w:tab/>
        <w:t>En subsidio propuso se califique el obrar de Bottegal, con relación a este suceso, como exto</w:t>
      </w:r>
      <w:r>
        <w:rPr>
          <w:bCs/>
        </w:rPr>
        <w:t>r</w:t>
      </w:r>
      <w:r>
        <w:rPr>
          <w:bCs/>
        </w:rPr>
        <w:t>sión en grado de tentativa y, por aplic</w:t>
      </w:r>
      <w:r>
        <w:rPr>
          <w:bCs/>
        </w:rPr>
        <w:t>a</w:t>
      </w:r>
      <w:r>
        <w:rPr>
          <w:bCs/>
        </w:rPr>
        <w:t>ción de la escala penal atenuada prevista por el art. 42 del Código Penal, se le imponga una pena de ejecución condici</w:t>
      </w:r>
      <w:r>
        <w:rPr>
          <w:bCs/>
        </w:rPr>
        <w:t>o</w:t>
      </w:r>
      <w:r>
        <w:rPr>
          <w:bCs/>
        </w:rPr>
        <w:t>nal.</w:t>
      </w:r>
    </w:p>
    <w:p w:rsidR="00224567" w:rsidRDefault="00224567">
      <w:pPr>
        <w:widowControl w:val="0"/>
        <w:tabs>
          <w:tab w:val="left" w:pos="2835"/>
        </w:tabs>
        <w:ind w:firstLine="708"/>
        <w:rPr>
          <w:bCs/>
        </w:rPr>
      </w:pPr>
      <w:r>
        <w:rPr>
          <w:bCs/>
        </w:rPr>
        <w:tab/>
        <w:t>Agregó que, en caso contrario, se c</w:t>
      </w:r>
      <w:r>
        <w:rPr>
          <w:bCs/>
        </w:rPr>
        <w:t>a</w:t>
      </w:r>
      <w:r>
        <w:rPr>
          <w:bCs/>
        </w:rPr>
        <w:t>lifique su conducta dentro de la figura de cohecho, imp</w:t>
      </w:r>
      <w:r>
        <w:rPr>
          <w:bCs/>
        </w:rPr>
        <w:t>o</w:t>
      </w:r>
      <w:r>
        <w:rPr>
          <w:bCs/>
        </w:rPr>
        <w:t>niéndosele el mismo tipo de pena.</w:t>
      </w:r>
    </w:p>
    <w:p w:rsidR="00224567" w:rsidRDefault="00224567">
      <w:pPr>
        <w:widowControl w:val="0"/>
        <w:tabs>
          <w:tab w:val="left" w:pos="2835"/>
        </w:tabs>
        <w:ind w:firstLine="708"/>
        <w:rPr>
          <w:bCs/>
        </w:rPr>
      </w:pPr>
      <w:r>
        <w:rPr>
          <w:bCs/>
        </w:rPr>
        <w:tab/>
        <w:t>Enfáticamente sostuvo la defensa que no existió una exigencia de Bottegal a Telleldín, mucho menos una que resultara coactiva o int</w:t>
      </w:r>
      <w:r>
        <w:rPr>
          <w:bCs/>
        </w:rPr>
        <w:t>i</w:t>
      </w:r>
      <w:r>
        <w:rPr>
          <w:bCs/>
        </w:rPr>
        <w:t>midante, puesto que tal como señalara su defendido en la declaración autoi</w:t>
      </w:r>
      <w:r>
        <w:rPr>
          <w:bCs/>
        </w:rPr>
        <w:t>n</w:t>
      </w:r>
      <w:r>
        <w:rPr>
          <w:bCs/>
        </w:rPr>
        <w:t>criminante, Barreda y Bare</w:t>
      </w:r>
      <w:r>
        <w:rPr>
          <w:bCs/>
        </w:rPr>
        <w:t>i</w:t>
      </w:r>
      <w:r>
        <w:rPr>
          <w:bCs/>
        </w:rPr>
        <w:t xml:space="preserve">ro le informaron que Telleldín se había comunicado con ellos para arreglar una solución </w:t>
      </w:r>
      <w:r>
        <w:rPr>
          <w:bCs/>
        </w:rPr>
        <w:lastRenderedPageBreak/>
        <w:t>al problema que había motivado la persec</w:t>
      </w:r>
      <w:r>
        <w:rPr>
          <w:bCs/>
        </w:rPr>
        <w:t>u</w:t>
      </w:r>
      <w:r>
        <w:rPr>
          <w:bCs/>
        </w:rPr>
        <w:t>ción policial, y que, una vez dentro del bar, fue Telleldín quien le pr</w:t>
      </w:r>
      <w:r>
        <w:rPr>
          <w:bCs/>
        </w:rPr>
        <w:t>e</w:t>
      </w:r>
      <w:r>
        <w:rPr>
          <w:bCs/>
        </w:rPr>
        <w:t>guntó cuál era la situación y qué solución le podía dar.</w:t>
      </w:r>
    </w:p>
    <w:p w:rsidR="00224567" w:rsidRDefault="00224567">
      <w:pPr>
        <w:widowControl w:val="0"/>
        <w:tabs>
          <w:tab w:val="left" w:pos="2835"/>
        </w:tabs>
        <w:ind w:firstLine="708"/>
        <w:rPr>
          <w:bCs/>
        </w:rPr>
      </w:pPr>
      <w:r>
        <w:rPr>
          <w:bCs/>
        </w:rPr>
        <w:tab/>
        <w:t>Por ello, alegó el defensor, Telle</w:t>
      </w:r>
      <w:r>
        <w:rPr>
          <w:bCs/>
        </w:rPr>
        <w:t>l</w:t>
      </w:r>
      <w:r>
        <w:rPr>
          <w:bCs/>
        </w:rPr>
        <w:t>dín recurrió a Bottegal con el fin de que llevara ante los p</w:t>
      </w:r>
      <w:r>
        <w:rPr>
          <w:bCs/>
        </w:rPr>
        <w:t>o</w:t>
      </w:r>
      <w:r>
        <w:rPr>
          <w:bCs/>
        </w:rPr>
        <w:t>licías su mensaje dirigido a “arreglar”, limitando su a</w:t>
      </w:r>
      <w:r>
        <w:rPr>
          <w:bCs/>
        </w:rPr>
        <w:t>c</w:t>
      </w:r>
      <w:r>
        <w:rPr>
          <w:bCs/>
        </w:rPr>
        <w:t>tuación en ese sentido.</w:t>
      </w:r>
    </w:p>
    <w:p w:rsidR="00224567" w:rsidRDefault="00224567">
      <w:pPr>
        <w:widowControl w:val="0"/>
        <w:tabs>
          <w:tab w:val="left" w:pos="2835"/>
        </w:tabs>
        <w:ind w:firstLine="708"/>
        <w:rPr>
          <w:bCs/>
        </w:rPr>
      </w:pPr>
      <w:r>
        <w:rPr>
          <w:bCs/>
        </w:rPr>
        <w:tab/>
        <w:t>Aclaró el defensor que –en subsidio- debe considerarse la conducta de su asistido como const</w:t>
      </w:r>
      <w:r>
        <w:rPr>
          <w:bCs/>
        </w:rPr>
        <w:t>i</w:t>
      </w:r>
      <w:r>
        <w:rPr>
          <w:bCs/>
        </w:rPr>
        <w:t>tutiva del delito de cohecho, y no como exacciones ileg</w:t>
      </w:r>
      <w:r>
        <w:rPr>
          <w:bCs/>
        </w:rPr>
        <w:t>a</w:t>
      </w:r>
      <w:r>
        <w:rPr>
          <w:bCs/>
        </w:rPr>
        <w:t>les o concusión, ya que la iniciat</w:t>
      </w:r>
      <w:r>
        <w:rPr>
          <w:bCs/>
        </w:rPr>
        <w:t>i</w:t>
      </w:r>
      <w:r>
        <w:rPr>
          <w:bCs/>
        </w:rPr>
        <w:t>va de “arreglo” partió del propio Telleldín y no de una exigencia de parte de los funcionarios policiales o de la persona interpuesta. En apoyo de su postura citó a Irma Valeige Álvarez, “Trat</w:t>
      </w:r>
      <w:r>
        <w:rPr>
          <w:bCs/>
        </w:rPr>
        <w:t>a</w:t>
      </w:r>
      <w:r>
        <w:rPr>
          <w:bCs/>
        </w:rPr>
        <w:t xml:space="preserve">miento Penal de </w:t>
      </w:r>
      <w:smartTag w:uri="urn:schemas-microsoft-com:office:smarttags" w:element="PersonName">
        <w:smartTagPr>
          <w:attr w:name="ProductID" w:val="la Corrupci￳n"/>
        </w:smartTagPr>
        <w:r>
          <w:rPr>
            <w:bCs/>
          </w:rPr>
          <w:t>la Corrupción</w:t>
        </w:r>
      </w:smartTag>
      <w:r>
        <w:rPr>
          <w:bCs/>
        </w:rPr>
        <w:t xml:space="preserve"> del Funcionario. El delito de coh</w:t>
      </w:r>
      <w:r>
        <w:rPr>
          <w:bCs/>
        </w:rPr>
        <w:t>e</w:t>
      </w:r>
      <w:r>
        <w:rPr>
          <w:bCs/>
        </w:rPr>
        <w:t>cho”, pág. 89.</w:t>
      </w:r>
    </w:p>
    <w:p w:rsidR="00224567" w:rsidRDefault="00224567">
      <w:pPr>
        <w:widowControl w:val="0"/>
        <w:tabs>
          <w:tab w:val="left" w:pos="2835"/>
        </w:tabs>
        <w:ind w:firstLine="708"/>
        <w:rPr>
          <w:bCs/>
        </w:rPr>
      </w:pPr>
      <w:r>
        <w:rPr>
          <w:bCs/>
        </w:rPr>
        <w:tab/>
        <w:t>El letrado agregó que, de considera</w:t>
      </w:r>
      <w:r>
        <w:rPr>
          <w:bCs/>
        </w:rPr>
        <w:t>r</w:t>
      </w:r>
      <w:r>
        <w:rPr>
          <w:bCs/>
        </w:rPr>
        <w:t>se que el documento que firmó Telleldín se re</w:t>
      </w:r>
      <w:r>
        <w:rPr>
          <w:bCs/>
        </w:rPr>
        <w:t>a</w:t>
      </w:r>
      <w:r>
        <w:rPr>
          <w:bCs/>
        </w:rPr>
        <w:t xml:space="preserve">lizó con motivo de una exigencia previa de los funcionarios, aún en esa hipótesis la situación de su representado seguía sin poder </w:t>
      </w:r>
      <w:r>
        <w:rPr>
          <w:bCs/>
        </w:rPr>
        <w:lastRenderedPageBreak/>
        <w:t>encuadrarse en el delito de extorsión del art. 168 del C</w:t>
      </w:r>
      <w:r>
        <w:rPr>
          <w:bCs/>
        </w:rPr>
        <w:t>ó</w:t>
      </w:r>
      <w:r>
        <w:rPr>
          <w:bCs/>
        </w:rPr>
        <w:t>digo Penal sino en el de exacciones ilegales o conc</w:t>
      </w:r>
      <w:r>
        <w:rPr>
          <w:bCs/>
        </w:rPr>
        <w:t>u</w:t>
      </w:r>
      <w:r>
        <w:rPr>
          <w:bCs/>
        </w:rPr>
        <w:t>sión.</w:t>
      </w:r>
    </w:p>
    <w:p w:rsidR="00224567" w:rsidRDefault="00224567">
      <w:pPr>
        <w:widowControl w:val="0"/>
        <w:tabs>
          <w:tab w:val="left" w:pos="2835"/>
        </w:tabs>
        <w:ind w:firstLine="708"/>
        <w:rPr>
          <w:bCs/>
        </w:rPr>
      </w:pPr>
      <w:r>
        <w:rPr>
          <w:bCs/>
        </w:rPr>
        <w:tab/>
        <w:t>Sostuvo también que de considerarse que medió intimidación en la supuesta exigencia, debe c</w:t>
      </w:r>
      <w:r>
        <w:rPr>
          <w:bCs/>
        </w:rPr>
        <w:t>a</w:t>
      </w:r>
      <w:r>
        <w:rPr>
          <w:bCs/>
        </w:rPr>
        <w:t>lificarse el hecho dentro del modo previsto en la figura agravada del art. 267 del Código Penal, concluye</w:t>
      </w:r>
      <w:r>
        <w:rPr>
          <w:bCs/>
        </w:rPr>
        <w:t>n</w:t>
      </w:r>
      <w:r>
        <w:rPr>
          <w:bCs/>
        </w:rPr>
        <w:t>do, como última opción, que se mantenga la calificación legal el</w:t>
      </w:r>
      <w:r>
        <w:rPr>
          <w:bCs/>
        </w:rPr>
        <w:t>e</w:t>
      </w:r>
      <w:r>
        <w:rPr>
          <w:bCs/>
        </w:rPr>
        <w:t>gida por el juez instructor, confirmada por la alzada, c</w:t>
      </w:r>
      <w:r>
        <w:rPr>
          <w:bCs/>
        </w:rPr>
        <w:t>o</w:t>
      </w:r>
      <w:r>
        <w:rPr>
          <w:bCs/>
        </w:rPr>
        <w:t>mo partícipe secundario del delito de extorsión, solic</w:t>
      </w:r>
      <w:r>
        <w:rPr>
          <w:bCs/>
        </w:rPr>
        <w:t>i</w:t>
      </w:r>
      <w:r>
        <w:rPr>
          <w:bCs/>
        </w:rPr>
        <w:t>tando que, en tal caso, el tribunal aplique una pena de ejecución cond</w:t>
      </w:r>
      <w:r>
        <w:rPr>
          <w:bCs/>
        </w:rPr>
        <w:t>i</w:t>
      </w:r>
      <w:r>
        <w:rPr>
          <w:bCs/>
        </w:rPr>
        <w:t>cional.</w:t>
      </w:r>
    </w:p>
    <w:p w:rsidR="00224567" w:rsidRDefault="00224567">
      <w:pPr>
        <w:widowControl w:val="0"/>
        <w:tabs>
          <w:tab w:val="left" w:pos="2835"/>
        </w:tabs>
        <w:ind w:firstLine="708"/>
        <w:rPr>
          <w:bCs/>
        </w:rPr>
      </w:pPr>
      <w:r>
        <w:rPr>
          <w:bCs/>
        </w:rPr>
        <w:tab/>
        <w:t>En lo que hace al monto y especie de pena solicitado por los fiscales respecto de Juan A</w:t>
      </w:r>
      <w:r>
        <w:rPr>
          <w:bCs/>
        </w:rPr>
        <w:t>l</w:t>
      </w:r>
      <w:r>
        <w:rPr>
          <w:bCs/>
        </w:rPr>
        <w:t>berto Bottegal, el letrado consideró desproporci</w:t>
      </w:r>
      <w:r>
        <w:rPr>
          <w:bCs/>
        </w:rPr>
        <w:t>o</w:t>
      </w:r>
      <w:r>
        <w:rPr>
          <w:bCs/>
        </w:rPr>
        <w:t>nado aplicar la pena de reclusión, recordando que ésta se utiliza en casos que, por sus consecuencias, resultaban de una gravedad s</w:t>
      </w:r>
      <w:r>
        <w:rPr>
          <w:bCs/>
        </w:rPr>
        <w:t>u</w:t>
      </w:r>
      <w:r>
        <w:rPr>
          <w:bCs/>
        </w:rPr>
        <w:t>perlativa, en nada asimilables a la situación de su defe</w:t>
      </w:r>
      <w:r>
        <w:rPr>
          <w:bCs/>
        </w:rPr>
        <w:t>n</w:t>
      </w:r>
      <w:r>
        <w:rPr>
          <w:bCs/>
        </w:rPr>
        <w:t>dido.</w:t>
      </w:r>
    </w:p>
    <w:p w:rsidR="00224567" w:rsidRDefault="00224567">
      <w:pPr>
        <w:widowControl w:val="0"/>
        <w:tabs>
          <w:tab w:val="left" w:pos="2835"/>
        </w:tabs>
        <w:ind w:firstLine="708"/>
        <w:rPr>
          <w:bCs/>
        </w:rPr>
      </w:pPr>
      <w:r>
        <w:rPr>
          <w:bCs/>
        </w:rPr>
        <w:tab/>
        <w:t>Añadió también que, si bien el pedido de pena formulado en la acusación fiscal re</w:t>
      </w:r>
      <w:r>
        <w:rPr>
          <w:bCs/>
        </w:rPr>
        <w:t>s</w:t>
      </w:r>
      <w:r>
        <w:rPr>
          <w:bCs/>
        </w:rPr>
        <w:t>pecto del Dr. Bottegal reúne los requisitos mínimamente neces</w:t>
      </w:r>
      <w:r>
        <w:rPr>
          <w:bCs/>
        </w:rPr>
        <w:t>a</w:t>
      </w:r>
      <w:r>
        <w:rPr>
          <w:bCs/>
        </w:rPr>
        <w:t xml:space="preserve">rios para </w:t>
      </w:r>
      <w:r>
        <w:rPr>
          <w:bCs/>
        </w:rPr>
        <w:lastRenderedPageBreak/>
        <w:t>ser considerada una petición válida, a su juicio, poseía una absoluta falta de correspondencia entre los elementos genéricamente invocados y su extr</w:t>
      </w:r>
      <w:r>
        <w:rPr>
          <w:bCs/>
        </w:rPr>
        <w:t>a</w:t>
      </w:r>
      <w:r>
        <w:rPr>
          <w:bCs/>
        </w:rPr>
        <w:t>vagante monto.</w:t>
      </w:r>
    </w:p>
    <w:p w:rsidR="00224567" w:rsidRDefault="00224567">
      <w:pPr>
        <w:widowControl w:val="0"/>
        <w:tabs>
          <w:tab w:val="left" w:pos="2835"/>
        </w:tabs>
        <w:ind w:firstLine="708"/>
        <w:rPr>
          <w:bCs/>
        </w:rPr>
      </w:pPr>
      <w:r>
        <w:rPr>
          <w:bCs/>
        </w:rPr>
        <w:tab/>
        <w:t>Sostuvo que esta falencia de la acus</w:t>
      </w:r>
      <w:r>
        <w:rPr>
          <w:bCs/>
        </w:rPr>
        <w:t>a</w:t>
      </w:r>
      <w:r>
        <w:rPr>
          <w:bCs/>
        </w:rPr>
        <w:t>ción, en modo alguno puede ser saneada por el trib</w:t>
      </w:r>
      <w:r>
        <w:rPr>
          <w:bCs/>
        </w:rPr>
        <w:t>u</w:t>
      </w:r>
      <w:r>
        <w:rPr>
          <w:bCs/>
        </w:rPr>
        <w:t>nal en la sentencia sin incurrir, al mismo tiempo, en una viol</w:t>
      </w:r>
      <w:r>
        <w:rPr>
          <w:bCs/>
        </w:rPr>
        <w:t>a</w:t>
      </w:r>
      <w:r>
        <w:rPr>
          <w:bCs/>
        </w:rPr>
        <w:t>ción de las garantías del debido proceso y de la defensa en juicio.</w:t>
      </w:r>
    </w:p>
    <w:p w:rsidR="00224567" w:rsidRDefault="00224567">
      <w:pPr>
        <w:widowControl w:val="0"/>
        <w:tabs>
          <w:tab w:val="left" w:pos="2835"/>
        </w:tabs>
        <w:ind w:firstLine="708"/>
        <w:rPr>
          <w:bCs/>
        </w:rPr>
      </w:pPr>
      <w:r>
        <w:rPr>
          <w:bCs/>
        </w:rPr>
        <w:tab/>
        <w:t>Al efectuar un análisis sobre las pa</w:t>
      </w:r>
      <w:r>
        <w:rPr>
          <w:bCs/>
        </w:rPr>
        <w:t>u</w:t>
      </w:r>
      <w:r>
        <w:rPr>
          <w:bCs/>
        </w:rPr>
        <w:t>tas invocadas por el Sr. fiscal para agravar la p</w:t>
      </w:r>
      <w:r>
        <w:rPr>
          <w:bCs/>
        </w:rPr>
        <w:t>e</w:t>
      </w:r>
      <w:r>
        <w:rPr>
          <w:bCs/>
        </w:rPr>
        <w:t>nalidad de su asistido, sostuvo el defensor que se trataba de un pedido de pena infundado y arbitrario pues se hizo rem</w:t>
      </w:r>
      <w:r>
        <w:rPr>
          <w:bCs/>
        </w:rPr>
        <w:t>i</w:t>
      </w:r>
      <w:r>
        <w:rPr>
          <w:bCs/>
        </w:rPr>
        <w:t>sión a los mismos criterios utilizados respecto a los ac</w:t>
      </w:r>
      <w:r>
        <w:rPr>
          <w:bCs/>
        </w:rPr>
        <w:t>u</w:t>
      </w:r>
      <w:r>
        <w:rPr>
          <w:bCs/>
        </w:rPr>
        <w:t>sados como partícipes nec</w:t>
      </w:r>
      <w:r>
        <w:rPr>
          <w:bCs/>
        </w:rPr>
        <w:t>e</w:t>
      </w:r>
      <w:r>
        <w:rPr>
          <w:bCs/>
        </w:rPr>
        <w:t xml:space="preserve">sarios del atentado a la sede de </w:t>
      </w:r>
      <w:smartTag w:uri="urn:schemas-microsoft-com:office:smarttags" w:element="PersonName">
        <w:smartTagPr>
          <w:attr w:name="ProductID" w:val="la A.M"/>
        </w:smartTagPr>
        <w:r>
          <w:rPr>
            <w:bCs/>
          </w:rPr>
          <w:t>la A.M</w:t>
        </w:r>
      </w:smartTag>
      <w:r>
        <w:rPr>
          <w:bCs/>
        </w:rPr>
        <w:t>.I.A. Añadió que esas ci</w:t>
      </w:r>
      <w:r>
        <w:rPr>
          <w:bCs/>
        </w:rPr>
        <w:t>r</w:t>
      </w:r>
      <w:r>
        <w:rPr>
          <w:bCs/>
        </w:rPr>
        <w:t>cunstancias no concurren en la imput</w:t>
      </w:r>
      <w:r>
        <w:rPr>
          <w:bCs/>
        </w:rPr>
        <w:t>a</w:t>
      </w:r>
      <w:r>
        <w:rPr>
          <w:bCs/>
        </w:rPr>
        <w:t>ción efectuada al Dr. Bottegal, ya que él no fue acusado por participar en el más grave atentado terr</w:t>
      </w:r>
      <w:r>
        <w:rPr>
          <w:bCs/>
        </w:rPr>
        <w:t>o</w:t>
      </w:r>
      <w:r>
        <w:rPr>
          <w:bCs/>
        </w:rPr>
        <w:t>rista sufrido por nuestro país, ni ostenta la condición de fu</w:t>
      </w:r>
      <w:r>
        <w:rPr>
          <w:bCs/>
        </w:rPr>
        <w:t>n</w:t>
      </w:r>
      <w:r>
        <w:rPr>
          <w:bCs/>
        </w:rPr>
        <w:t>cionario público. Destacó que no guardaba ninguna relación el hecho atribuido a su asistido, con el atentado, ni s</w:t>
      </w:r>
      <w:r>
        <w:rPr>
          <w:bCs/>
        </w:rPr>
        <w:t>i</w:t>
      </w:r>
      <w:r>
        <w:rPr>
          <w:bCs/>
        </w:rPr>
        <w:lastRenderedPageBreak/>
        <w:t>quiera la naturaleza de la acción incriminada en uno y otro caso y, m</w:t>
      </w:r>
      <w:r>
        <w:rPr>
          <w:bCs/>
        </w:rPr>
        <w:t>u</w:t>
      </w:r>
      <w:r>
        <w:rPr>
          <w:bCs/>
        </w:rPr>
        <w:t>cho menos, los medios empleados.</w:t>
      </w:r>
    </w:p>
    <w:p w:rsidR="00224567" w:rsidRDefault="00224567">
      <w:pPr>
        <w:widowControl w:val="0"/>
        <w:tabs>
          <w:tab w:val="left" w:pos="2835"/>
        </w:tabs>
        <w:ind w:firstLine="708"/>
        <w:rPr>
          <w:bCs/>
        </w:rPr>
      </w:pPr>
      <w:r>
        <w:rPr>
          <w:bCs/>
        </w:rPr>
        <w:tab/>
        <w:t>Resaltó el defensor que respecto de Bottegal no se efectuó ningún análisis, ni referencia pa</w:t>
      </w:r>
      <w:r>
        <w:rPr>
          <w:bCs/>
        </w:rPr>
        <w:t>r</w:t>
      </w:r>
      <w:r>
        <w:rPr>
          <w:bCs/>
        </w:rPr>
        <w:t>ticularizada, para demostrar la concurrencia de cada una de esas circunstancias, como tampoco se explicó si las mismas concurrían atenuando a agravando la sanción a imp</w:t>
      </w:r>
      <w:r>
        <w:rPr>
          <w:bCs/>
        </w:rPr>
        <w:t>o</w:t>
      </w:r>
      <w:r>
        <w:rPr>
          <w:bCs/>
        </w:rPr>
        <w:t>ner.</w:t>
      </w:r>
    </w:p>
    <w:p w:rsidR="00224567" w:rsidRDefault="00224567">
      <w:pPr>
        <w:widowControl w:val="0"/>
        <w:tabs>
          <w:tab w:val="left" w:pos="2835"/>
        </w:tabs>
        <w:ind w:firstLine="708"/>
        <w:rPr>
          <w:bCs/>
        </w:rPr>
      </w:pPr>
      <w:r>
        <w:rPr>
          <w:bCs/>
        </w:rPr>
        <w:tab/>
        <w:t>Relató que, a su criterio, deben co</w:t>
      </w:r>
      <w:r>
        <w:rPr>
          <w:bCs/>
        </w:rPr>
        <w:t>n</w:t>
      </w:r>
      <w:r>
        <w:rPr>
          <w:bCs/>
        </w:rPr>
        <w:t>siderarse como ci</w:t>
      </w:r>
      <w:r>
        <w:rPr>
          <w:bCs/>
        </w:rPr>
        <w:t>r</w:t>
      </w:r>
      <w:r>
        <w:rPr>
          <w:bCs/>
        </w:rPr>
        <w:t>cunstancias atenuantes de la conducta de su asistido el relato autoincriminatorio que hiciera en todas las oportunidades en que fue interrogado, colabora</w:t>
      </w:r>
      <w:r>
        <w:rPr>
          <w:bCs/>
        </w:rPr>
        <w:t>n</w:t>
      </w:r>
      <w:r>
        <w:rPr>
          <w:bCs/>
        </w:rPr>
        <w:t>do indiscutiblemente en el avance de la investigación en todo momento, con a</w:t>
      </w:r>
      <w:r>
        <w:rPr>
          <w:bCs/>
        </w:rPr>
        <w:t>b</w:t>
      </w:r>
      <w:r>
        <w:rPr>
          <w:bCs/>
        </w:rPr>
        <w:t>soluta sinceridad.</w:t>
      </w:r>
    </w:p>
    <w:p w:rsidR="00224567" w:rsidRDefault="00224567">
      <w:pPr>
        <w:widowControl w:val="0"/>
        <w:tabs>
          <w:tab w:val="left" w:pos="2835"/>
        </w:tabs>
        <w:ind w:firstLine="708"/>
        <w:rPr>
          <w:bCs/>
        </w:rPr>
      </w:pPr>
      <w:r>
        <w:rPr>
          <w:bCs/>
        </w:rPr>
        <w:tab/>
        <w:t xml:space="preserve">Sostuvo también, citando en apoyo de su postura a </w:t>
      </w:r>
      <w:smartTag w:uri="urn:schemas-microsoft-com:office:smarttags" w:element="PersonName">
        <w:smartTagPr>
          <w:attr w:name="ProductID" w:val="la Dra. Ziffer"/>
        </w:smartTagPr>
        <w:r>
          <w:rPr>
            <w:bCs/>
          </w:rPr>
          <w:t>la Dra. Ziffer</w:t>
        </w:r>
      </w:smartTag>
      <w:r>
        <w:rPr>
          <w:bCs/>
        </w:rPr>
        <w:t>, que cualquier autor al aut</w:t>
      </w:r>
      <w:r>
        <w:rPr>
          <w:bCs/>
        </w:rPr>
        <w:t>o</w:t>
      </w:r>
      <w:r>
        <w:rPr>
          <w:bCs/>
        </w:rPr>
        <w:t>incriminarse hace algo que el derecho no le exige y, por lo tanto, colabora en su propia imput</w:t>
      </w:r>
      <w:r>
        <w:rPr>
          <w:bCs/>
        </w:rPr>
        <w:t>a</w:t>
      </w:r>
      <w:r>
        <w:rPr>
          <w:bCs/>
        </w:rPr>
        <w:t>ción.</w:t>
      </w:r>
    </w:p>
    <w:p w:rsidR="00224567" w:rsidRDefault="00224567">
      <w:pPr>
        <w:widowControl w:val="0"/>
        <w:tabs>
          <w:tab w:val="left" w:pos="2835"/>
        </w:tabs>
        <w:ind w:firstLine="708"/>
        <w:rPr>
          <w:bCs/>
        </w:rPr>
      </w:pPr>
      <w:r>
        <w:rPr>
          <w:bCs/>
        </w:rPr>
        <w:tab/>
        <w:t>Sostuvo que también, en sentido at</w:t>
      </w:r>
      <w:r>
        <w:rPr>
          <w:bCs/>
        </w:rPr>
        <w:t>e</w:t>
      </w:r>
      <w:r>
        <w:rPr>
          <w:bCs/>
        </w:rPr>
        <w:t>nuante, debe apreciarse la ausencia de antecedentes pen</w:t>
      </w:r>
      <w:r>
        <w:rPr>
          <w:bCs/>
        </w:rPr>
        <w:t>a</w:t>
      </w:r>
      <w:r>
        <w:rPr>
          <w:bCs/>
        </w:rPr>
        <w:t>les o procesos en trámite y la ausencia total de sa</w:t>
      </w:r>
      <w:r>
        <w:rPr>
          <w:bCs/>
        </w:rPr>
        <w:t>n</w:t>
      </w:r>
      <w:r>
        <w:rPr>
          <w:bCs/>
        </w:rPr>
        <w:t xml:space="preserve">ciones </w:t>
      </w:r>
      <w:r>
        <w:rPr>
          <w:bCs/>
        </w:rPr>
        <w:lastRenderedPageBreak/>
        <w:t>en su desempeño profesional, de acuerdo al informe emit</w:t>
      </w:r>
      <w:r>
        <w:rPr>
          <w:bCs/>
        </w:rPr>
        <w:t>i</w:t>
      </w:r>
      <w:r>
        <w:rPr>
          <w:bCs/>
        </w:rPr>
        <w:t>do por el Colegio Público de Abogados de San Martín.</w:t>
      </w:r>
    </w:p>
    <w:p w:rsidR="00224567" w:rsidRDefault="00224567">
      <w:pPr>
        <w:widowControl w:val="0"/>
        <w:tabs>
          <w:tab w:val="left" w:pos="2835"/>
        </w:tabs>
        <w:ind w:firstLine="708"/>
        <w:rPr>
          <w:bCs/>
        </w:rPr>
      </w:pPr>
      <w:r>
        <w:rPr>
          <w:bCs/>
        </w:rPr>
        <w:tab/>
        <w:t>Finalmente, consideró el defensor que debe jugar a favor de Bottegal la circunstancia de haber transitado  la totalidad del proceso en libertad, cu</w:t>
      </w:r>
      <w:r>
        <w:rPr>
          <w:bCs/>
        </w:rPr>
        <w:t>m</w:t>
      </w:r>
      <w:r>
        <w:rPr>
          <w:bCs/>
        </w:rPr>
        <w:t>pliendo fielmente y sin excepción la obligación de prese</w:t>
      </w:r>
      <w:r>
        <w:rPr>
          <w:bCs/>
        </w:rPr>
        <w:t>n</w:t>
      </w:r>
      <w:r>
        <w:rPr>
          <w:bCs/>
        </w:rPr>
        <w:t>tarse al tribunal los primeros días de cada mes, pese a la amenaza de pena que, en todo momento, se ce</w:t>
      </w:r>
      <w:r>
        <w:rPr>
          <w:bCs/>
        </w:rPr>
        <w:t>r</w:t>
      </w:r>
      <w:r>
        <w:rPr>
          <w:bCs/>
        </w:rPr>
        <w:t>nía sobre él.</w:t>
      </w:r>
    </w:p>
    <w:p w:rsidR="00224567" w:rsidRDefault="00224567">
      <w:pPr>
        <w:widowControl w:val="0"/>
        <w:tabs>
          <w:tab w:val="left" w:pos="2835"/>
        </w:tabs>
        <w:ind w:firstLine="708"/>
        <w:rPr>
          <w:bCs/>
        </w:rPr>
      </w:pPr>
      <w:r>
        <w:rPr>
          <w:bCs/>
        </w:rPr>
        <w:tab/>
        <w:t>Concluyó el defensor oficial que, ad</w:t>
      </w:r>
      <w:r>
        <w:rPr>
          <w:bCs/>
        </w:rPr>
        <w:t>e</w:t>
      </w:r>
      <w:r>
        <w:rPr>
          <w:bCs/>
        </w:rPr>
        <w:t>más de arbitraria por falta de fundamento, la pena solic</w:t>
      </w:r>
      <w:r>
        <w:rPr>
          <w:bCs/>
        </w:rPr>
        <w:t>i</w:t>
      </w:r>
      <w:r>
        <w:rPr>
          <w:bCs/>
        </w:rPr>
        <w:t>tada a Bottegal resulta decididamente inusitada y, por ello, prohibida en la “Declaración Americana de los Der</w:t>
      </w:r>
      <w:r>
        <w:rPr>
          <w:bCs/>
        </w:rPr>
        <w:t>e</w:t>
      </w:r>
      <w:r>
        <w:rPr>
          <w:bCs/>
        </w:rPr>
        <w:t>chos y Deberes del Hombre”.</w:t>
      </w:r>
    </w:p>
    <w:p w:rsidR="00224567" w:rsidRDefault="00224567">
      <w:pPr>
        <w:widowControl w:val="0"/>
        <w:tabs>
          <w:tab w:val="left" w:pos="2835"/>
        </w:tabs>
        <w:ind w:firstLine="708"/>
      </w:pPr>
      <w:r>
        <w:tab/>
        <w:t>En su petitorio formal, los represe</w:t>
      </w:r>
      <w:r>
        <w:t>n</w:t>
      </w:r>
      <w:r>
        <w:t>tantes de la defensa oficial, Dres. Víctor E. Valle, P</w:t>
      </w:r>
      <w:r>
        <w:t>a</w:t>
      </w:r>
      <w:r>
        <w:t>tricio Giardelli y Germán Carlevaro, solicitaron: 1) se declare la nulidad de todas las actas de secuestro agreg</w:t>
      </w:r>
      <w:r>
        <w:t>a</w:t>
      </w:r>
      <w:r>
        <w:t>das en los Informes Preliminar y Final de Bomberos, incl</w:t>
      </w:r>
      <w:r>
        <w:t>u</w:t>
      </w:r>
      <w:r>
        <w:t xml:space="preserve">yendo el acta de fs. 224 y de todos los actos que resulten consecuencia de ellas; 2) que se absuelva libremente de </w:t>
      </w:r>
      <w:r>
        <w:lastRenderedPageBreak/>
        <w:t>culpa y ca</w:t>
      </w:r>
      <w:r>
        <w:t>r</w:t>
      </w:r>
      <w:r>
        <w:t>go, sin costas, a Raúl Edilio Ibarra en orden a todos los delitos por lo que fuera acusado en la ca</w:t>
      </w:r>
      <w:r>
        <w:t>u</w:t>
      </w:r>
      <w:r>
        <w:t>sa; 3) que se absuelva a Ibarra en orden a los delitos de falso testimonio investigados en la causa nº 502; 4) que se a</w:t>
      </w:r>
      <w:r>
        <w:t>b</w:t>
      </w:r>
      <w:r>
        <w:t>suelva a Juan Alberto Bo</w:t>
      </w:r>
      <w:r>
        <w:t>t</w:t>
      </w:r>
      <w:r>
        <w:t>tegal, sin costas, con relación a los delitos por los que fuera acusado; ya sea por el pla</w:t>
      </w:r>
      <w:r>
        <w:t>n</w:t>
      </w:r>
      <w:r>
        <w:t>teo de nulidad a</w:t>
      </w:r>
      <w:r>
        <w:t>r</w:t>
      </w:r>
      <w:r>
        <w:t>ticulado o por vía de la atipicidad de la conducta que se le reprochara, o bien, en forma subsidi</w:t>
      </w:r>
      <w:r>
        <w:t>a</w:t>
      </w:r>
      <w:r>
        <w:t>ria, se le i</w:t>
      </w:r>
      <w:r>
        <w:t>m</w:t>
      </w:r>
      <w:r>
        <w:t>ponga una pena de ejecución condicional.</w:t>
      </w:r>
    </w:p>
    <w:p w:rsidR="00224567" w:rsidRDefault="00224567">
      <w:pPr>
        <w:widowControl w:val="0"/>
        <w:tabs>
          <w:tab w:val="left" w:pos="2835"/>
        </w:tabs>
        <w:ind w:firstLine="708"/>
      </w:pPr>
      <w:r>
        <w:tab/>
        <w:t>Asimismo, efectuaron las reservas de recurrir en casación y del caso federal planteadas en oc</w:t>
      </w:r>
      <w:r>
        <w:t>a</w:t>
      </w:r>
      <w:r>
        <w:t>sión de post</w:t>
      </w:r>
      <w:r>
        <w:t>u</w:t>
      </w:r>
      <w:r>
        <w:t>lar las nulidades citadas.</w:t>
      </w:r>
    </w:p>
    <w:p w:rsidR="00224567" w:rsidRDefault="00224567">
      <w:pPr>
        <w:widowControl w:val="0"/>
        <w:tabs>
          <w:tab w:val="left" w:pos="2835"/>
        </w:tabs>
        <w:ind w:firstLine="708"/>
      </w:pPr>
      <w:r>
        <w:tab/>
        <w:t>Respecto de Argentino Gabriel L</w:t>
      </w:r>
      <w:r>
        <w:t>a</w:t>
      </w:r>
      <w:r>
        <w:t xml:space="preserve">sala, al no haber sido acusado no se efectuó defensa material alguna, con fundamento en los precedentes “Tarifeño”, “Cattonar” y “Mostaccio”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p>
    <w:p w:rsidR="00224567" w:rsidRDefault="00224567">
      <w:pPr>
        <w:widowControl w:val="0"/>
        <w:tabs>
          <w:tab w:val="left" w:pos="2835"/>
        </w:tabs>
        <w:ind w:firstLine="708"/>
      </w:pPr>
    </w:p>
    <w:p w:rsidR="00224567" w:rsidRDefault="00224567">
      <w:pPr>
        <w:pStyle w:val="Sangra3detindependiente"/>
        <w:widowControl w:val="0"/>
        <w:spacing w:line="600" w:lineRule="auto"/>
      </w:pPr>
      <w:r>
        <w:rPr>
          <w:b/>
          <w:bCs/>
        </w:rPr>
        <w:tab/>
        <w:t>C.4)</w:t>
      </w:r>
      <w:r>
        <w:t xml:space="preserve"> El defensor público oficial a</w:t>
      </w:r>
      <w:r>
        <w:t>d</w:t>
      </w:r>
      <w:r>
        <w:t xml:space="preserve">junto, Dr. Sergio Raúl Moreno, señaló que, por no mediar acusación en su contra, no efectuaría defensa material </w:t>
      </w:r>
      <w:r>
        <w:lastRenderedPageBreak/>
        <w:t>respecto de Víctor Carlos Cruz, con fundamento en los pr</w:t>
      </w:r>
      <w:r>
        <w:t>e</w:t>
      </w:r>
      <w:r>
        <w:t xml:space="preserve">cedentes “Tarifeño”, “Cattonar” y “Mostaccio”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p>
    <w:p w:rsidR="00224567" w:rsidRDefault="00224567">
      <w:pPr>
        <w:widowControl w:val="0"/>
        <w:ind w:firstLine="2800"/>
      </w:pPr>
      <w:r>
        <w:rPr>
          <w:szCs w:val="20"/>
        </w:rPr>
        <w:t>Por otra parte, adhirió a los pla</w:t>
      </w:r>
      <w:r>
        <w:rPr>
          <w:szCs w:val="20"/>
        </w:rPr>
        <w:t>n</w:t>
      </w:r>
      <w:r>
        <w:rPr>
          <w:szCs w:val="20"/>
        </w:rPr>
        <w:t>teos de nulidad formulados por las otras defe</w:t>
      </w:r>
      <w:r>
        <w:rPr>
          <w:szCs w:val="20"/>
        </w:rPr>
        <w:t>n</w:t>
      </w:r>
      <w:r>
        <w:rPr>
          <w:szCs w:val="20"/>
        </w:rPr>
        <w:t xml:space="preserve">sas, con relación a las </w:t>
      </w:r>
      <w:r>
        <w:t>actas que documentan secuestros de aut</w:t>
      </w:r>
      <w:r>
        <w:t>o</w:t>
      </w:r>
      <w:r>
        <w:t>partes en el lugar del hecho, en tanto se confeccion</w:t>
      </w:r>
      <w:r>
        <w:t>a</w:t>
      </w:r>
      <w:r>
        <w:t xml:space="preserve">ron en violación a los arts. 138, 139 y 140 del Código Procesal Penal de </w:t>
      </w:r>
      <w:smartTag w:uri="urn:schemas-microsoft-com:office:smarttags" w:element="PersonName">
        <w:smartTagPr>
          <w:attr w:name="ProductID" w:val="la Naci￳n."/>
        </w:smartTagPr>
        <w:r>
          <w:t>la Nación.</w:t>
        </w:r>
      </w:smartTag>
    </w:p>
    <w:p w:rsidR="00224567" w:rsidRDefault="00224567">
      <w:pPr>
        <w:widowControl w:val="0"/>
        <w:ind w:firstLine="2800"/>
      </w:pPr>
      <w:r>
        <w:t>También compartió los fundamentos e</w:t>
      </w:r>
      <w:r>
        <w:t>x</w:t>
      </w:r>
      <w:r>
        <w:t>presados por el fi</w:t>
      </w:r>
      <w:r>
        <w:t>s</w:t>
      </w:r>
      <w:r>
        <w:t>cal en punto a la invalidez del acta de secuestro de un bloque de motor del 25 de julio de 1994, obrante a fs. 215 del expediente principal. Sobre esa b</w:t>
      </w:r>
      <w:r>
        <w:t>a</w:t>
      </w:r>
      <w:r>
        <w:t>se, requirió la absolución de su asistido Bare</w:t>
      </w:r>
      <w:r>
        <w:t>i</w:t>
      </w:r>
      <w:r>
        <w:t>ro.</w:t>
      </w:r>
    </w:p>
    <w:p w:rsidR="00224567" w:rsidRDefault="00224567">
      <w:pPr>
        <w:pStyle w:val="Textoindependiente"/>
        <w:spacing w:line="600" w:lineRule="auto"/>
        <w:ind w:firstLine="2800"/>
        <w:rPr>
          <w:lang w:val="es-ES"/>
        </w:rPr>
      </w:pPr>
      <w:r>
        <w:rPr>
          <w:lang w:val="es-ES"/>
        </w:rPr>
        <w:t>Además, adhirió a los argumentos e</w:t>
      </w:r>
      <w:r>
        <w:rPr>
          <w:lang w:val="es-ES"/>
        </w:rPr>
        <w:t>x</w:t>
      </w:r>
      <w:r>
        <w:rPr>
          <w:lang w:val="es-ES"/>
        </w:rPr>
        <w:t>puestos por el representante del Ministerio Públ</w:t>
      </w:r>
      <w:r>
        <w:rPr>
          <w:lang w:val="es-ES"/>
        </w:rPr>
        <w:t>i</w:t>
      </w:r>
      <w:r>
        <w:rPr>
          <w:lang w:val="es-ES"/>
        </w:rPr>
        <w:t>co Fiscal respecto del pedido de nulidad de la declaración indagat</w:t>
      </w:r>
      <w:r>
        <w:rPr>
          <w:lang w:val="es-ES"/>
        </w:rPr>
        <w:t>o</w:t>
      </w:r>
      <w:r>
        <w:rPr>
          <w:lang w:val="es-ES"/>
        </w:rPr>
        <w:t>ria prestada por Carlos Alberto Telleldín el 5 de julio de 1996, en el entendimiento de que el imputado fue determin</w:t>
      </w:r>
      <w:r>
        <w:rPr>
          <w:lang w:val="es-ES"/>
        </w:rPr>
        <w:t>a</w:t>
      </w:r>
      <w:r>
        <w:rPr>
          <w:lang w:val="es-ES"/>
        </w:rPr>
        <w:t>do a declarar m</w:t>
      </w:r>
      <w:r>
        <w:rPr>
          <w:lang w:val="es-ES"/>
        </w:rPr>
        <w:t>e</w:t>
      </w:r>
      <w:r>
        <w:rPr>
          <w:lang w:val="es-ES"/>
        </w:rPr>
        <w:t>diante un pago.</w:t>
      </w:r>
    </w:p>
    <w:p w:rsidR="00224567" w:rsidRDefault="00224567">
      <w:pPr>
        <w:widowControl w:val="0"/>
        <w:ind w:firstLine="2800"/>
      </w:pPr>
      <w:r>
        <w:lastRenderedPageBreak/>
        <w:t>Al respecto, consideró que la dec</w:t>
      </w:r>
      <w:r>
        <w:t>i</w:t>
      </w:r>
      <w:r>
        <w:t>sión sobre el contenido de los dichos que expresó T</w:t>
      </w:r>
      <w:r>
        <w:t>e</w:t>
      </w:r>
      <w:r>
        <w:t>lleldín en esa oportunidad fue consensuada con el magistrado instru</w:t>
      </w:r>
      <w:r>
        <w:t>c</w:t>
      </w:r>
      <w:r>
        <w:t>tor con más de un año de anterioridad al acto, siendo el inicio de la causa brigadas una exteriorización de esa v</w:t>
      </w:r>
      <w:r>
        <w:t>o</w:t>
      </w:r>
      <w:r>
        <w:t>luntad. Ante ello, so</w:t>
      </w:r>
      <w:r>
        <w:t>s</w:t>
      </w:r>
      <w:r>
        <w:t>tuvo que el alcance de la exclusión probatoria de la nulidad propiciada, se remonta al inicio de la ref</w:t>
      </w:r>
      <w:r>
        <w:t>e</w:t>
      </w:r>
      <w:r>
        <w:t>rida causa.</w:t>
      </w:r>
    </w:p>
    <w:p w:rsidR="00224567" w:rsidRDefault="00224567">
      <w:pPr>
        <w:widowControl w:val="0"/>
        <w:ind w:firstLine="2800"/>
      </w:pPr>
      <w:r>
        <w:t>Descartó, en ese sentido, que existi</w:t>
      </w:r>
      <w:r>
        <w:t>e</w:t>
      </w:r>
      <w:r>
        <w:t>ra una vía independiente válida para mantener la imp</w:t>
      </w:r>
      <w:r>
        <w:t>u</w:t>
      </w:r>
      <w:r>
        <w:t>tación contra sus representados. Los efectos de la nulidad impetrada, aseguró el letrado, cond</w:t>
      </w:r>
      <w:r>
        <w:t>u</w:t>
      </w:r>
      <w:r>
        <w:t>cen también a la libre absolución de sus asistidos.</w:t>
      </w:r>
    </w:p>
    <w:p w:rsidR="00224567" w:rsidRDefault="00224567">
      <w:pPr>
        <w:pStyle w:val="Textoindependiente2"/>
        <w:widowControl w:val="0"/>
        <w:ind w:firstLine="2800"/>
        <w:rPr>
          <w:rFonts w:ascii="Courier New" w:hAnsi="Courier New" w:cs="Courier New"/>
        </w:rPr>
      </w:pPr>
      <w:r>
        <w:rPr>
          <w:rFonts w:ascii="Courier New" w:hAnsi="Courier New" w:cs="Courier New"/>
        </w:rPr>
        <w:t>Compartió los planteos de nulidad con base en la falta de independencia y pérdida de imparcial</w:t>
      </w:r>
      <w:r>
        <w:rPr>
          <w:rFonts w:ascii="Courier New" w:hAnsi="Courier New" w:cs="Courier New"/>
        </w:rPr>
        <w:t>i</w:t>
      </w:r>
      <w:r>
        <w:rPr>
          <w:rFonts w:ascii="Courier New" w:hAnsi="Courier New" w:cs="Courier New"/>
        </w:rPr>
        <w:t>dad del juez instructor, realizados por los letrados d</w:t>
      </w:r>
      <w:r>
        <w:rPr>
          <w:rFonts w:ascii="Courier New" w:hAnsi="Courier New" w:cs="Courier New"/>
        </w:rPr>
        <w:t>e</w:t>
      </w:r>
      <w:r>
        <w:rPr>
          <w:rFonts w:ascii="Courier New" w:hAnsi="Courier New" w:cs="Courier New"/>
        </w:rPr>
        <w:t xml:space="preserve">fensores, de acuerdo a lo dispuesto en el arts. 26 de </w:t>
      </w:r>
      <w:smartTag w:uri="urn:schemas-microsoft-com:office:smarttags" w:element="PersonName">
        <w:smartTagPr>
          <w:attr w:name="ProductID" w:val="la Declaraci￳n Americana"/>
        </w:smartTagPr>
        <w:r>
          <w:rPr>
            <w:rFonts w:ascii="Courier New" w:hAnsi="Courier New" w:cs="Courier New"/>
          </w:rPr>
          <w:t>la Declaración Americana</w:t>
        </w:r>
      </w:smartTag>
      <w:r>
        <w:rPr>
          <w:rFonts w:ascii="Courier New" w:hAnsi="Courier New" w:cs="Courier New"/>
        </w:rPr>
        <w:t xml:space="preserve"> de los Derechos y Deberes del Ho</w:t>
      </w:r>
      <w:r>
        <w:rPr>
          <w:rFonts w:ascii="Courier New" w:hAnsi="Courier New" w:cs="Courier New"/>
        </w:rPr>
        <w:t>m</w:t>
      </w:r>
      <w:r>
        <w:rPr>
          <w:rFonts w:ascii="Courier New" w:hAnsi="Courier New" w:cs="Courier New"/>
        </w:rPr>
        <w:t xml:space="preserve">bre; 10 de </w:t>
      </w:r>
      <w:smartTag w:uri="urn:schemas-microsoft-com:office:smarttags" w:element="PersonName">
        <w:smartTagPr>
          <w:attr w:name="ProductID" w:val="la Declaraci￳n Universal"/>
        </w:smartTagPr>
        <w:r>
          <w:rPr>
            <w:rFonts w:ascii="Courier New" w:hAnsi="Courier New" w:cs="Courier New"/>
          </w:rPr>
          <w:t>la Declaración Universal</w:t>
        </w:r>
      </w:smartTag>
      <w:r>
        <w:rPr>
          <w:rFonts w:ascii="Courier New" w:hAnsi="Courier New" w:cs="Courier New"/>
        </w:rPr>
        <w:t xml:space="preserve"> de los Derechos del Hombre; 8.1 de </w:t>
      </w:r>
      <w:smartTag w:uri="urn:schemas-microsoft-com:office:smarttags" w:element="PersonName">
        <w:smartTagPr>
          <w:attr w:name="ProductID" w:val="la Convenci￳n Americana"/>
        </w:smartTagPr>
        <w:r>
          <w:rPr>
            <w:rFonts w:ascii="Courier New" w:hAnsi="Courier New" w:cs="Courier New"/>
          </w:rPr>
          <w:t>la Convención Americana</w:t>
        </w:r>
      </w:smartTag>
      <w:r>
        <w:rPr>
          <w:rFonts w:ascii="Courier New" w:hAnsi="Courier New" w:cs="Courier New"/>
        </w:rPr>
        <w:t xml:space="preserve"> sobre Derechos H</w:t>
      </w:r>
      <w:r>
        <w:rPr>
          <w:rFonts w:ascii="Courier New" w:hAnsi="Courier New" w:cs="Courier New"/>
        </w:rPr>
        <w:t>u</w:t>
      </w:r>
      <w:r>
        <w:rPr>
          <w:rFonts w:ascii="Courier New" w:hAnsi="Courier New" w:cs="Courier New"/>
        </w:rPr>
        <w:t xml:space="preserve">manos y 14.1 del Pacto Internacional de Derechos Civiles y </w:t>
      </w:r>
      <w:r>
        <w:rPr>
          <w:rFonts w:ascii="Courier New" w:hAnsi="Courier New" w:cs="Courier New"/>
        </w:rPr>
        <w:lastRenderedPageBreak/>
        <w:t>Políticos.</w:t>
      </w:r>
    </w:p>
    <w:p w:rsidR="00224567" w:rsidRDefault="00224567">
      <w:pPr>
        <w:widowControl w:val="0"/>
        <w:ind w:firstLine="2800"/>
      </w:pPr>
      <w:r>
        <w:t xml:space="preserve">El letrado sostuvo que existieron dos vías de investigación en el atentado contra </w:t>
      </w:r>
      <w:smartTag w:uri="urn:schemas-microsoft-com:office:smarttags" w:element="PersonName">
        <w:smartTagPr>
          <w:attr w:name="ProductID" w:val="la A.M"/>
        </w:smartTagPr>
        <w:r>
          <w:t>la A.M</w:t>
        </w:r>
      </w:smartTag>
      <w:r>
        <w:t>.I.A.. Una, denominada “causa material”, en al</w:t>
      </w:r>
      <w:r>
        <w:t>u</w:t>
      </w:r>
      <w:r>
        <w:t>sión a los cientos de miles de fojas del expediente principal, legajos, ca</w:t>
      </w:r>
      <w:r>
        <w:t>u</w:t>
      </w:r>
      <w:r>
        <w:t>sas conexas y todo lo que de cualquier otro modo impidió u ocultó la existencia de otra causa distinta, a la que ll</w:t>
      </w:r>
      <w:r>
        <w:t>a</w:t>
      </w:r>
      <w:r>
        <w:t>mó “causa virtual” o “causa inmaterial”. De ese modo dijo, se pretendió durante largos años excluir del conoc</w:t>
      </w:r>
      <w:r>
        <w:t>i</w:t>
      </w:r>
      <w:r>
        <w:t>miento de la verdad al Tribunal y a la sociedad en su co</w:t>
      </w:r>
      <w:r>
        <w:t>n</w:t>
      </w:r>
      <w:r>
        <w:t>junto.</w:t>
      </w:r>
    </w:p>
    <w:p w:rsidR="00224567" w:rsidRDefault="00224567">
      <w:pPr>
        <w:widowControl w:val="0"/>
        <w:ind w:firstLine="2800"/>
      </w:pPr>
      <w:r>
        <w:t>Explicó que las reales decisiones s</w:t>
      </w:r>
      <w:r>
        <w:t>o</w:t>
      </w:r>
      <w:r>
        <w:t>bre aquello que se plasmaría en la “causa mat</w:t>
      </w:r>
      <w:r>
        <w:t>e</w:t>
      </w:r>
      <w:r>
        <w:t>rial” habían sido motivadas en la referida “causa virtual”. Allí, señ</w:t>
      </w:r>
      <w:r>
        <w:t>a</w:t>
      </w:r>
      <w:r>
        <w:t>ló el defensor, se ordenaron medidas, se produjeron pru</w:t>
      </w:r>
      <w:r>
        <w:t>e</w:t>
      </w:r>
      <w:r>
        <w:t>bas y se efectuaron actos ilegales.</w:t>
      </w:r>
    </w:p>
    <w:p w:rsidR="00224567" w:rsidRDefault="00224567">
      <w:pPr>
        <w:pStyle w:val="Textoindependiente2"/>
        <w:widowControl w:val="0"/>
        <w:ind w:firstLine="2800"/>
        <w:rPr>
          <w:rFonts w:ascii="Courier New" w:hAnsi="Courier New" w:cs="Courier New"/>
        </w:rPr>
      </w:pPr>
      <w:r>
        <w:rPr>
          <w:rFonts w:ascii="Courier New" w:hAnsi="Courier New" w:cs="Courier New"/>
        </w:rPr>
        <w:t>A lo largo del debate, dijo, se r</w:t>
      </w:r>
      <w:r>
        <w:rPr>
          <w:rFonts w:ascii="Courier New" w:hAnsi="Courier New" w:cs="Courier New"/>
        </w:rPr>
        <w:t>e</w:t>
      </w:r>
      <w:r>
        <w:rPr>
          <w:rFonts w:ascii="Courier New" w:hAnsi="Courier New" w:cs="Courier New"/>
        </w:rPr>
        <w:t>construyó sólo una parte de esa “causa virtual” -la verd</w:t>
      </w:r>
      <w:r>
        <w:rPr>
          <w:rFonts w:ascii="Courier New" w:hAnsi="Courier New" w:cs="Courier New"/>
        </w:rPr>
        <w:t>a</w:t>
      </w:r>
      <w:r>
        <w:rPr>
          <w:rFonts w:ascii="Courier New" w:hAnsi="Courier New" w:cs="Courier New"/>
        </w:rPr>
        <w:t>dera causa- “por señas, por huellas, por mojones, por to</w:t>
      </w:r>
      <w:r>
        <w:rPr>
          <w:rFonts w:ascii="Courier New" w:hAnsi="Courier New" w:cs="Courier New"/>
        </w:rPr>
        <w:t>r</w:t>
      </w:r>
      <w:r>
        <w:rPr>
          <w:rFonts w:ascii="Courier New" w:hAnsi="Courier New" w:cs="Courier New"/>
        </w:rPr>
        <w:t>pezas, incluso algunas de ellas asentadas en la causa m</w:t>
      </w:r>
      <w:r>
        <w:rPr>
          <w:rFonts w:ascii="Courier New" w:hAnsi="Courier New" w:cs="Courier New"/>
        </w:rPr>
        <w:t>a</w:t>
      </w:r>
      <w:r>
        <w:rPr>
          <w:rFonts w:ascii="Courier New" w:hAnsi="Courier New" w:cs="Courier New"/>
        </w:rPr>
        <w:t>terial que hemos logrado recon</w:t>
      </w:r>
      <w:r>
        <w:rPr>
          <w:rFonts w:ascii="Courier New" w:hAnsi="Courier New" w:cs="Courier New"/>
        </w:rPr>
        <w:t>s</w:t>
      </w:r>
      <w:r>
        <w:rPr>
          <w:rFonts w:ascii="Courier New" w:hAnsi="Courier New" w:cs="Courier New"/>
        </w:rPr>
        <w:t xml:space="preserve">truir. Militó también para </w:t>
      </w:r>
      <w:r>
        <w:rPr>
          <w:rFonts w:ascii="Courier New" w:hAnsi="Courier New" w:cs="Courier New"/>
        </w:rPr>
        <w:lastRenderedPageBreak/>
        <w:t>tal fin el relevamiento de secretos que, se presupuso, nunca saldrían a la luz, secretos de los que el Tribunal, según el plan  pergeñado, nunca podría enterarse o que nunca se confirmarían las sospechas que todos teníamos”.</w:t>
      </w:r>
    </w:p>
    <w:p w:rsidR="00224567" w:rsidRDefault="00224567">
      <w:pPr>
        <w:pStyle w:val="Textoindependiente2"/>
        <w:widowControl w:val="0"/>
        <w:ind w:firstLine="2800"/>
        <w:rPr>
          <w:rFonts w:ascii="Courier New" w:hAnsi="Courier New" w:cs="Courier New"/>
        </w:rPr>
      </w:pPr>
      <w:r>
        <w:rPr>
          <w:rFonts w:ascii="Courier New" w:hAnsi="Courier New" w:cs="Courier New"/>
        </w:rPr>
        <w:t>Describió que “al descorrerse aunque parcialmente el velo, no se ponía a la luz simplemente circunstancias relativas a un pago, que ya se proclam</w:t>
      </w:r>
      <w:r>
        <w:rPr>
          <w:rFonts w:ascii="Courier New" w:hAnsi="Courier New" w:cs="Courier New"/>
        </w:rPr>
        <w:t>a</w:t>
      </w:r>
      <w:r>
        <w:rPr>
          <w:rFonts w:ascii="Courier New" w:hAnsi="Courier New" w:cs="Courier New"/>
        </w:rPr>
        <w:t>ba a gritos, se descubría parte de esa causa virtual, parte de ese orden lógico que presupone la consumación del plan d</w:t>
      </w:r>
      <w:r>
        <w:rPr>
          <w:rFonts w:ascii="Courier New" w:hAnsi="Courier New" w:cs="Courier New"/>
        </w:rPr>
        <w:t>i</w:t>
      </w:r>
      <w:r>
        <w:rPr>
          <w:rFonts w:ascii="Courier New" w:hAnsi="Courier New" w:cs="Courier New"/>
        </w:rPr>
        <w:t>señado”.</w:t>
      </w:r>
    </w:p>
    <w:p w:rsidR="00224567" w:rsidRDefault="00224567">
      <w:pPr>
        <w:pStyle w:val="Textoindependiente2"/>
        <w:widowControl w:val="0"/>
        <w:ind w:firstLine="2800"/>
        <w:rPr>
          <w:rFonts w:ascii="Courier New" w:hAnsi="Courier New" w:cs="Courier New"/>
        </w:rPr>
      </w:pPr>
      <w:r>
        <w:rPr>
          <w:rFonts w:ascii="Courier New" w:hAnsi="Courier New" w:cs="Courier New"/>
        </w:rPr>
        <w:t>Algunas defensas lo denominaron “hi</w:t>
      </w:r>
      <w:r>
        <w:rPr>
          <w:rFonts w:ascii="Courier New" w:hAnsi="Courier New" w:cs="Courier New"/>
        </w:rPr>
        <w:t>s</w:t>
      </w:r>
      <w:r>
        <w:rPr>
          <w:rFonts w:ascii="Courier New" w:hAnsi="Courier New" w:cs="Courier New"/>
        </w:rPr>
        <w:t>toria oficial”, dijo el letrado, pero a su criterio, exi</w:t>
      </w:r>
      <w:r>
        <w:rPr>
          <w:rFonts w:ascii="Courier New" w:hAnsi="Courier New" w:cs="Courier New"/>
        </w:rPr>
        <w:t>s</w:t>
      </w:r>
      <w:r>
        <w:rPr>
          <w:rFonts w:ascii="Courier New" w:hAnsi="Courier New" w:cs="Courier New"/>
        </w:rPr>
        <w:t>tió un plan, una sucesión de decisiones coordinadas con un fin específico, que se tomaron y ejecutaron en esa “causa virtual”. Tal plan, explicó, básicamente se sintetizó en la adopción de una única hipótesis y en la falta de cua</w:t>
      </w:r>
      <w:r>
        <w:rPr>
          <w:rFonts w:ascii="Courier New" w:hAnsi="Courier New" w:cs="Courier New"/>
        </w:rPr>
        <w:t>l</w:t>
      </w:r>
      <w:r>
        <w:rPr>
          <w:rFonts w:ascii="Courier New" w:hAnsi="Courier New" w:cs="Courier New"/>
        </w:rPr>
        <w:t>quier otra línea investigativa, implicando además la de</w:t>
      </w:r>
      <w:r>
        <w:rPr>
          <w:rFonts w:ascii="Courier New" w:hAnsi="Courier New" w:cs="Courier New"/>
        </w:rPr>
        <w:t>s</w:t>
      </w:r>
      <w:r>
        <w:rPr>
          <w:rFonts w:ascii="Courier New" w:hAnsi="Courier New" w:cs="Courier New"/>
        </w:rPr>
        <w:t>calificación de cualquier tesis que se opusiera a la fa</w:t>
      </w:r>
      <w:r>
        <w:rPr>
          <w:rFonts w:ascii="Courier New" w:hAnsi="Courier New" w:cs="Courier New"/>
        </w:rPr>
        <w:t>l</w:t>
      </w:r>
      <w:r>
        <w:rPr>
          <w:rFonts w:ascii="Courier New" w:hAnsi="Courier New" w:cs="Courier New"/>
        </w:rPr>
        <w:t>sa hipótesis. No existió voluntad de investigación a</w:t>
      </w:r>
      <w:r>
        <w:rPr>
          <w:rFonts w:ascii="Courier New" w:hAnsi="Courier New" w:cs="Courier New"/>
        </w:rPr>
        <w:t>u</w:t>
      </w:r>
      <w:r>
        <w:rPr>
          <w:rFonts w:ascii="Courier New" w:hAnsi="Courier New" w:cs="Courier New"/>
        </w:rPr>
        <w:t>téntica, más bien, añadió el letrado, hubo una v</w:t>
      </w:r>
      <w:r>
        <w:rPr>
          <w:rFonts w:ascii="Courier New" w:hAnsi="Courier New" w:cs="Courier New"/>
        </w:rPr>
        <w:t>o</w:t>
      </w:r>
      <w:r>
        <w:rPr>
          <w:rFonts w:ascii="Courier New" w:hAnsi="Courier New" w:cs="Courier New"/>
        </w:rPr>
        <w:t xml:space="preserve">luntad enderezada a no investigar y procurar no sólo el ocultamiento de la </w:t>
      </w:r>
      <w:r>
        <w:rPr>
          <w:rFonts w:ascii="Courier New" w:hAnsi="Courier New" w:cs="Courier New"/>
        </w:rPr>
        <w:lastRenderedPageBreak/>
        <w:t>verdad sino a imposibilitar el descubrimiento de los ve</w:t>
      </w:r>
      <w:r>
        <w:rPr>
          <w:rFonts w:ascii="Courier New" w:hAnsi="Courier New" w:cs="Courier New"/>
        </w:rPr>
        <w:t>r</w:t>
      </w:r>
      <w:r>
        <w:rPr>
          <w:rFonts w:ascii="Courier New" w:hAnsi="Courier New" w:cs="Courier New"/>
        </w:rPr>
        <w:t>daderos responsables.</w:t>
      </w:r>
    </w:p>
    <w:p w:rsidR="00224567" w:rsidRDefault="00224567">
      <w:pPr>
        <w:widowControl w:val="0"/>
        <w:ind w:firstLine="2800"/>
      </w:pPr>
      <w:r>
        <w:t>Alegó que el plan incluyó la asign</w:t>
      </w:r>
      <w:r>
        <w:t>a</w:t>
      </w:r>
      <w:r>
        <w:t>ción de responsabilidades penales sobre personas que se sabían inocentes.</w:t>
      </w:r>
    </w:p>
    <w:p w:rsidR="00224567" w:rsidRDefault="00224567">
      <w:pPr>
        <w:widowControl w:val="0"/>
        <w:ind w:firstLine="2800"/>
      </w:pPr>
      <w:r>
        <w:t>Explicó que las defensas, con el obj</w:t>
      </w:r>
      <w:r>
        <w:t>e</w:t>
      </w:r>
      <w:r>
        <w:t>to de establecer la verdad histórica del suceso ocurrido el 18 de julio de 1994, solicitaron, al m</w:t>
      </w:r>
      <w:r>
        <w:t>o</w:t>
      </w:r>
      <w:r>
        <w:t>mento de ofrecer las pruebas, medidas técnicas periciales, informes y la presencia de testigos que la instrucción nunca había co</w:t>
      </w:r>
      <w:r>
        <w:t>n</w:t>
      </w:r>
      <w:r>
        <w:t>vocado, pese al conocimiento que se t</w:t>
      </w:r>
      <w:r>
        <w:t>e</w:t>
      </w:r>
      <w:r>
        <w:t>nía de ellos.</w:t>
      </w:r>
    </w:p>
    <w:p w:rsidR="00224567" w:rsidRDefault="00224567">
      <w:pPr>
        <w:widowControl w:val="0"/>
        <w:ind w:firstLine="2800"/>
      </w:pPr>
      <w:r>
        <w:t>Sin embargo, resaltó el defensor, el debate reveló la sorpresiva y abrupta voluntad investig</w:t>
      </w:r>
      <w:r>
        <w:t>a</w:t>
      </w:r>
      <w:r>
        <w:t>dora que a partir de esos ofrecimientos tuvo el juzgado instructor. Así, fue que siete años después, el juez G</w:t>
      </w:r>
      <w:r>
        <w:t>a</w:t>
      </w:r>
      <w:r>
        <w:t>leano, previamente al debate, convocó e interrogó a num</w:t>
      </w:r>
      <w:r>
        <w:t>e</w:t>
      </w:r>
      <w:r>
        <w:t>rosos testigos en presencia del Ministerio P</w:t>
      </w:r>
      <w:r>
        <w:t>ú</w:t>
      </w:r>
      <w:r>
        <w:t>blico Fiscal y las querellas.</w:t>
      </w:r>
    </w:p>
    <w:p w:rsidR="00224567" w:rsidRDefault="00224567">
      <w:pPr>
        <w:widowControl w:val="0"/>
        <w:ind w:firstLine="2800"/>
      </w:pPr>
      <w:r>
        <w:t>En cuanto a los testigos de ide</w:t>
      </w:r>
      <w:r>
        <w:t>n</w:t>
      </w:r>
      <w:r>
        <w:t>tidad reservada, señaló que cada vez que se levantó el re</w:t>
      </w:r>
      <w:r>
        <w:t>s</w:t>
      </w:r>
      <w:r>
        <w:t xml:space="preserve">guardo </w:t>
      </w:r>
      <w:r>
        <w:lastRenderedPageBreak/>
        <w:t>de identidad de alguno de ellos, aparecieron adunadas a sus testimonios, circunstancias muy particulares de sus declaraciones, cuando no, directamente, actos delictivos. En consecue</w:t>
      </w:r>
      <w:r>
        <w:t>n</w:t>
      </w:r>
      <w:r>
        <w:t>cia, sostuvo que quienes estaban encargados de recrear la verdad tantas v</w:t>
      </w:r>
      <w:r>
        <w:t>e</w:t>
      </w:r>
      <w:r>
        <w:t>ces enarbolada, la ocultaron o c</w:t>
      </w:r>
      <w:r>
        <w:t>a</w:t>
      </w:r>
      <w:r>
        <w:t>llaron.</w:t>
      </w:r>
    </w:p>
    <w:p w:rsidR="00224567" w:rsidRDefault="00224567">
      <w:pPr>
        <w:widowControl w:val="0"/>
        <w:ind w:firstLine="2800"/>
      </w:pPr>
      <w:r>
        <w:t>En otro orden, el letrado concluyó, sobre la base de lo expresado por la defensa de Ibarra, en la inexistencia de la camioneta Trafic como conten</w:t>
      </w:r>
      <w:r>
        <w:t>e</w:t>
      </w:r>
      <w:r>
        <w:t>dor del explosivo utilizado en el ate</w:t>
      </w:r>
      <w:r>
        <w:t>n</w:t>
      </w:r>
      <w:r>
        <w:t>tado. Esa falta de certeza, dijo, se reflejó en la instalación de esa hipótesis como verdadera, media</w:t>
      </w:r>
      <w:r>
        <w:t>n</w:t>
      </w:r>
      <w:r>
        <w:t>te la incorporación de elementos falsos, inexistentes e indemostr</w:t>
      </w:r>
      <w:r>
        <w:t>a</w:t>
      </w:r>
      <w:r>
        <w:t>bles.</w:t>
      </w:r>
    </w:p>
    <w:p w:rsidR="00224567" w:rsidRDefault="00224567">
      <w:pPr>
        <w:pStyle w:val="Textoindependiente"/>
        <w:spacing w:line="600" w:lineRule="auto"/>
        <w:ind w:firstLine="2800"/>
      </w:pPr>
      <w:r>
        <w:t>Además, sostuvo, tampoco era categ</w:t>
      </w:r>
      <w:r>
        <w:t>ó</w:t>
      </w:r>
      <w:r>
        <w:t>rica la hipótesis presentada por la acusación, ya que, a su cr</w:t>
      </w:r>
      <w:r>
        <w:t>i</w:t>
      </w:r>
      <w:r>
        <w:t>terio, los indicios mencionados a favor de la hipótesis oficial fueron menores, cuantitativa y cual</w:t>
      </w:r>
      <w:r>
        <w:t>i</w:t>
      </w:r>
      <w:r>
        <w:t>tativamente, a los existentes en sentido co</w:t>
      </w:r>
      <w:r>
        <w:t>n</w:t>
      </w:r>
      <w:r>
        <w:t>trario.</w:t>
      </w:r>
    </w:p>
    <w:p w:rsidR="00224567" w:rsidRDefault="00224567">
      <w:pPr>
        <w:pStyle w:val="Textoindependiente"/>
        <w:spacing w:line="600" w:lineRule="auto"/>
        <w:ind w:firstLine="2800"/>
      </w:pPr>
      <w:r>
        <w:t>Añadió el Dr. Moreno que nunca se man</w:t>
      </w:r>
      <w:r>
        <w:t>e</w:t>
      </w:r>
      <w:r>
        <w:t>jó una hipótesis distinta a la del cochebomba. Entre las sospechas desechadas sin análisis, mencionó la del volqu</w:t>
      </w:r>
      <w:r>
        <w:t>e</w:t>
      </w:r>
      <w:r>
        <w:t xml:space="preserve">te </w:t>
      </w:r>
      <w:r>
        <w:lastRenderedPageBreak/>
        <w:t>de la empresa “Santa Rita”; entre las que no se investig</w:t>
      </w:r>
      <w:r>
        <w:t>a</w:t>
      </w:r>
      <w:r>
        <w:t>ron o se hicieron tardíamente y mal, la de los hel</w:t>
      </w:r>
      <w:r>
        <w:t>i</w:t>
      </w:r>
      <w:r>
        <w:t>cópteros y como situaciones que se recrearon con falsedad, mencionó las cuestiones vinculadas con la seguridad interna y exte</w:t>
      </w:r>
      <w:r>
        <w:t>r</w:t>
      </w:r>
      <w:r>
        <w:t xml:space="preserve">na de </w:t>
      </w:r>
      <w:smartTag w:uri="urn:schemas-microsoft-com:office:smarttags" w:element="PersonName">
        <w:smartTagPr>
          <w:attr w:name="ProductID" w:val="la A.M"/>
        </w:smartTagPr>
        <w:r>
          <w:t>la A.M</w:t>
        </w:r>
      </w:smartTag>
      <w:r>
        <w:t>.I.A.</w:t>
      </w:r>
    </w:p>
    <w:p w:rsidR="00224567" w:rsidRDefault="00224567">
      <w:pPr>
        <w:pStyle w:val="Textoindependiente"/>
        <w:spacing w:line="600" w:lineRule="auto"/>
        <w:ind w:firstLine="2800"/>
      </w:pPr>
      <w:r>
        <w:t>El defensor resaltó que era muy llam</w:t>
      </w:r>
      <w:r>
        <w:t>a</w:t>
      </w:r>
      <w:r>
        <w:t>tivo que sólo 40 minutos después de haber ll</w:t>
      </w:r>
      <w:r>
        <w:t>e</w:t>
      </w:r>
      <w:r>
        <w:t>gado al lugar del hecho, los peritos de Bomberos sostuvieran la presu</w:t>
      </w:r>
      <w:r>
        <w:t>n</w:t>
      </w:r>
      <w:r>
        <w:t>ción de que el atentado había sido provocado mediante un cochebomba. En ese momento, argumentó el letrado, los ún</w:t>
      </w:r>
      <w:r>
        <w:t>i</w:t>
      </w:r>
      <w:r>
        <w:t xml:space="preserve">cos elementos sobre los que se asentaba tal hipótesis eran los restos hallados en las inmediaciones de la sede de </w:t>
      </w:r>
      <w:smartTag w:uri="urn:schemas-microsoft-com:office:smarttags" w:element="PersonName">
        <w:smartTagPr>
          <w:attr w:name="ProductID" w:val="la A.M"/>
        </w:smartTagPr>
        <w:r>
          <w:t>la A.M</w:t>
        </w:r>
      </w:smartTag>
      <w:r>
        <w:t>.I.A.; sin embargo, no indicaron cuales fu</w:t>
      </w:r>
      <w:r>
        <w:t>e</w:t>
      </w:r>
      <w:r>
        <w:t>ron, quiénes los hallaron, cuándo y dónde.</w:t>
      </w:r>
    </w:p>
    <w:p w:rsidR="00224567" w:rsidRDefault="00224567">
      <w:pPr>
        <w:pStyle w:val="BodyText2"/>
        <w:widowControl w:val="0"/>
        <w:spacing w:line="600" w:lineRule="auto"/>
        <w:ind w:firstLine="2800"/>
        <w:rPr>
          <w:rFonts w:ascii="Courier New" w:hAnsi="Courier New" w:cs="Courier New"/>
          <w:lang w:val="es-AR"/>
        </w:rPr>
      </w:pPr>
      <w:r>
        <w:rPr>
          <w:rFonts w:ascii="Courier New" w:hAnsi="Courier New" w:cs="Courier New"/>
          <w:lang w:val="es-AR"/>
        </w:rPr>
        <w:t>Asimismo, afirmó que a las 10.50 los peritos de Bomberos concluyeron que en el suceso había i</w:t>
      </w:r>
      <w:r>
        <w:rPr>
          <w:rFonts w:ascii="Courier New" w:hAnsi="Courier New" w:cs="Courier New"/>
          <w:lang w:val="es-AR"/>
        </w:rPr>
        <w:t>n</w:t>
      </w:r>
      <w:r>
        <w:rPr>
          <w:rFonts w:ascii="Courier New" w:hAnsi="Courier New" w:cs="Courier New"/>
          <w:lang w:val="es-AR"/>
        </w:rPr>
        <w:t>tervenido un cochebomba, cuando, en realidad, el primer hallazgo se produjo a las 11.45. Dichas circunstancias, señaló el defensor, demuestran que desde el inicio de la causa se “compró” una hipótesis que habría de ser defend</w:t>
      </w:r>
      <w:r>
        <w:rPr>
          <w:rFonts w:ascii="Courier New" w:hAnsi="Courier New" w:cs="Courier New"/>
          <w:lang w:val="es-AR"/>
        </w:rPr>
        <w:t>i</w:t>
      </w:r>
      <w:r>
        <w:rPr>
          <w:rFonts w:ascii="Courier New" w:hAnsi="Courier New" w:cs="Courier New"/>
          <w:lang w:val="es-AR"/>
        </w:rPr>
        <w:lastRenderedPageBreak/>
        <w:t>da “pasara lo que pasara”.</w:t>
      </w:r>
    </w:p>
    <w:p w:rsidR="00224567" w:rsidRDefault="00224567">
      <w:pPr>
        <w:pStyle w:val="BodyText2"/>
        <w:widowControl w:val="0"/>
        <w:spacing w:line="600" w:lineRule="auto"/>
        <w:ind w:firstLine="2800"/>
        <w:rPr>
          <w:rFonts w:ascii="Courier New" w:hAnsi="Courier New" w:cs="Courier New"/>
          <w:lang w:val="es-AR"/>
        </w:rPr>
      </w:pPr>
      <w:r>
        <w:rPr>
          <w:rFonts w:ascii="Courier New" w:hAnsi="Courier New" w:cs="Courier New"/>
          <w:lang w:val="es-AR"/>
        </w:rPr>
        <w:t>Indicó que en el Informe Prelim</w:t>
      </w:r>
      <w:r>
        <w:rPr>
          <w:rFonts w:ascii="Courier New" w:hAnsi="Courier New" w:cs="Courier New"/>
          <w:lang w:val="es-AR"/>
        </w:rPr>
        <w:t>i</w:t>
      </w:r>
      <w:r>
        <w:rPr>
          <w:rFonts w:ascii="Courier New" w:hAnsi="Courier New" w:cs="Courier New"/>
          <w:lang w:val="es-AR"/>
        </w:rPr>
        <w:t>nar se consignó que “para determinar el tipo de vehículo utiliz</w:t>
      </w:r>
      <w:r>
        <w:rPr>
          <w:rFonts w:ascii="Courier New" w:hAnsi="Courier New" w:cs="Courier New"/>
          <w:lang w:val="es-AR"/>
        </w:rPr>
        <w:t>a</w:t>
      </w:r>
      <w:r>
        <w:rPr>
          <w:rFonts w:ascii="Courier New" w:hAnsi="Courier New" w:cs="Courier New"/>
          <w:lang w:val="es-AR"/>
        </w:rPr>
        <w:t>do se analizaron las primeras piezas halladas, como ser trozos de cubiertas y restos de automotor”.</w:t>
      </w:r>
    </w:p>
    <w:p w:rsidR="00224567" w:rsidRDefault="00224567">
      <w:pPr>
        <w:pStyle w:val="BodyText3"/>
        <w:widowControl w:val="0"/>
        <w:spacing w:line="600" w:lineRule="auto"/>
        <w:ind w:firstLine="2800"/>
        <w:rPr>
          <w:rFonts w:ascii="Courier New" w:hAnsi="Courier New" w:cs="Courier New"/>
          <w:i w:val="0"/>
          <w:lang w:val="es-AR"/>
        </w:rPr>
      </w:pPr>
      <w:r>
        <w:rPr>
          <w:rFonts w:ascii="Courier New" w:hAnsi="Courier New" w:cs="Courier New"/>
          <w:i w:val="0"/>
          <w:szCs w:val="24"/>
          <w:lang w:val="es-AR"/>
        </w:rPr>
        <w:t>Si embargo, señaló, por dichos eleme</w:t>
      </w:r>
      <w:r>
        <w:rPr>
          <w:rFonts w:ascii="Courier New" w:hAnsi="Courier New" w:cs="Courier New"/>
          <w:i w:val="0"/>
          <w:szCs w:val="24"/>
          <w:lang w:val="es-AR"/>
        </w:rPr>
        <w:t>n</w:t>
      </w:r>
      <w:r>
        <w:rPr>
          <w:rFonts w:ascii="Courier New" w:hAnsi="Courier New" w:cs="Courier New"/>
          <w:i w:val="0"/>
          <w:szCs w:val="24"/>
          <w:lang w:val="es-AR"/>
        </w:rPr>
        <w:t xml:space="preserve">tos no era posible </w:t>
      </w:r>
      <w:r>
        <w:rPr>
          <w:rFonts w:ascii="Courier New" w:hAnsi="Courier New" w:cs="Courier New"/>
          <w:i w:val="0"/>
          <w:lang w:val="es-AR"/>
        </w:rPr>
        <w:t>determinar el modelo del vehículo al que pertenecían, como así tampoco est</w:t>
      </w:r>
      <w:r>
        <w:rPr>
          <w:rFonts w:ascii="Courier New" w:hAnsi="Courier New" w:cs="Courier New"/>
          <w:i w:val="0"/>
          <w:lang w:val="es-AR"/>
        </w:rPr>
        <w:t>a</w:t>
      </w:r>
      <w:r>
        <w:rPr>
          <w:rFonts w:ascii="Courier New" w:hAnsi="Courier New" w:cs="Courier New"/>
          <w:i w:val="0"/>
          <w:lang w:val="es-AR"/>
        </w:rPr>
        <w:t>blecer a qué rodados correspondían los restos que, sin ningún tipo de prec</w:t>
      </w:r>
      <w:r>
        <w:rPr>
          <w:rFonts w:ascii="Courier New" w:hAnsi="Courier New" w:cs="Courier New"/>
          <w:i w:val="0"/>
          <w:lang w:val="es-AR"/>
        </w:rPr>
        <w:t>i</w:t>
      </w:r>
      <w:r>
        <w:rPr>
          <w:rFonts w:ascii="Courier New" w:hAnsi="Courier New" w:cs="Courier New"/>
          <w:i w:val="0"/>
          <w:lang w:val="es-AR"/>
        </w:rPr>
        <w:t>sión, se habían secuestrado.</w:t>
      </w:r>
    </w:p>
    <w:p w:rsidR="00224567" w:rsidRDefault="00224567">
      <w:pPr>
        <w:pStyle w:val="BodyText2"/>
        <w:widowControl w:val="0"/>
        <w:spacing w:line="600" w:lineRule="auto"/>
        <w:rPr>
          <w:rFonts w:ascii="Courier New" w:hAnsi="Courier New" w:cs="Courier New"/>
          <w:lang w:val="es-AR"/>
        </w:rPr>
      </w:pPr>
      <w:r>
        <w:rPr>
          <w:rFonts w:ascii="Courier New" w:hAnsi="Courier New" w:cs="Courier New"/>
          <w:lang w:val="es-AR"/>
        </w:rPr>
        <w:tab/>
        <w:t>Remarcó el defensor que a las 13.40 del 18 de julio de 1994 -a menos de cuatro horas del atentado- el pe</w:t>
      </w:r>
      <w:r>
        <w:rPr>
          <w:rFonts w:ascii="Courier New" w:hAnsi="Courier New" w:cs="Courier New"/>
          <w:lang w:val="es-AR"/>
        </w:rPr>
        <w:t>r</w:t>
      </w:r>
      <w:r>
        <w:rPr>
          <w:rFonts w:ascii="Courier New" w:hAnsi="Courier New" w:cs="Courier New"/>
          <w:lang w:val="es-AR"/>
        </w:rPr>
        <w:t xml:space="preserve">sonal del D.P.O.C. se comunicó con </w:t>
      </w:r>
      <w:smartTag w:uri="urn:schemas-microsoft-com:office:smarttags" w:element="PersonName">
        <w:smartTagPr>
          <w:attr w:name="ProductID" w:val="la Brigada"/>
        </w:smartTagPr>
        <w:r>
          <w:rPr>
            <w:rFonts w:ascii="Courier New" w:hAnsi="Courier New" w:cs="Courier New"/>
            <w:lang w:val="es-AR"/>
          </w:rPr>
          <w:t>la Brigada</w:t>
        </w:r>
      </w:smartTag>
      <w:r>
        <w:rPr>
          <w:rFonts w:ascii="Courier New" w:hAnsi="Courier New" w:cs="Courier New"/>
          <w:lang w:val="es-AR"/>
        </w:rPr>
        <w:t xml:space="preserve"> de Explosivos de Bomberos e informó que en el suceso había i</w:t>
      </w:r>
      <w:r>
        <w:rPr>
          <w:rFonts w:ascii="Courier New" w:hAnsi="Courier New" w:cs="Courier New"/>
          <w:lang w:val="es-AR"/>
        </w:rPr>
        <w:t>n</w:t>
      </w:r>
      <w:r>
        <w:rPr>
          <w:rFonts w:ascii="Courier New" w:hAnsi="Courier New" w:cs="Courier New"/>
          <w:lang w:val="es-AR"/>
        </w:rPr>
        <w:t>tervenido una camioneta Trafic. Para arribar a dicha conclusión, los p</w:t>
      </w:r>
      <w:r>
        <w:rPr>
          <w:rFonts w:ascii="Courier New" w:hAnsi="Courier New" w:cs="Courier New"/>
          <w:lang w:val="es-AR"/>
        </w:rPr>
        <w:t>o</w:t>
      </w:r>
      <w:r>
        <w:rPr>
          <w:rFonts w:ascii="Courier New" w:hAnsi="Courier New" w:cs="Courier New"/>
          <w:lang w:val="es-AR"/>
        </w:rPr>
        <w:t>licías se basaron en los restos de una puerta correspo</w:t>
      </w:r>
      <w:r>
        <w:rPr>
          <w:rFonts w:ascii="Courier New" w:hAnsi="Courier New" w:cs="Courier New"/>
          <w:lang w:val="es-AR"/>
        </w:rPr>
        <w:t>n</w:t>
      </w:r>
      <w:r>
        <w:rPr>
          <w:rFonts w:ascii="Courier New" w:hAnsi="Courier New" w:cs="Courier New"/>
          <w:lang w:val="es-AR"/>
        </w:rPr>
        <w:t>diente a ese tipo de vehículo, hallados en las proximid</w:t>
      </w:r>
      <w:r>
        <w:rPr>
          <w:rFonts w:ascii="Courier New" w:hAnsi="Courier New" w:cs="Courier New"/>
          <w:lang w:val="es-AR"/>
        </w:rPr>
        <w:t>a</w:t>
      </w:r>
      <w:r>
        <w:rPr>
          <w:rFonts w:ascii="Courier New" w:hAnsi="Courier New" w:cs="Courier New"/>
          <w:lang w:val="es-AR"/>
        </w:rPr>
        <w:t xml:space="preserve">des de </w:t>
      </w:r>
      <w:smartTag w:uri="urn:schemas-microsoft-com:office:smarttags" w:element="PersonName">
        <w:smartTagPr>
          <w:attr w:name="ProductID" w:val="la A.M"/>
        </w:smartTagPr>
        <w:r>
          <w:rPr>
            <w:rFonts w:ascii="Courier New" w:hAnsi="Courier New" w:cs="Courier New"/>
            <w:lang w:val="es-AR"/>
          </w:rPr>
          <w:t>la A.M</w:t>
        </w:r>
      </w:smartTag>
      <w:r>
        <w:rPr>
          <w:rFonts w:ascii="Courier New" w:hAnsi="Courier New" w:cs="Courier New"/>
          <w:lang w:val="es-AR"/>
        </w:rPr>
        <w:t>.I.A.,conforme la constancia de fs. 11 del pri</w:t>
      </w:r>
      <w:r>
        <w:rPr>
          <w:rFonts w:ascii="Courier New" w:hAnsi="Courier New" w:cs="Courier New"/>
          <w:lang w:val="es-AR"/>
        </w:rPr>
        <w:t>n</w:t>
      </w:r>
      <w:r>
        <w:rPr>
          <w:rFonts w:ascii="Courier New" w:hAnsi="Courier New" w:cs="Courier New"/>
          <w:lang w:val="es-AR"/>
        </w:rPr>
        <w:t>cipal.</w:t>
      </w:r>
    </w:p>
    <w:p w:rsidR="00224567" w:rsidRDefault="00224567">
      <w:pPr>
        <w:pStyle w:val="BodyText2"/>
        <w:widowControl w:val="0"/>
        <w:spacing w:line="600" w:lineRule="auto"/>
        <w:rPr>
          <w:rFonts w:ascii="Courier New" w:hAnsi="Courier New" w:cs="Courier New"/>
          <w:lang w:val="es-AR"/>
        </w:rPr>
      </w:pPr>
      <w:r>
        <w:rPr>
          <w:rFonts w:ascii="Courier New" w:hAnsi="Courier New" w:cs="Courier New"/>
          <w:lang w:val="es-AR"/>
        </w:rPr>
        <w:tab/>
        <w:t>Sin embargo, sostuvo el defensor oficial, ning</w:t>
      </w:r>
      <w:r>
        <w:rPr>
          <w:rFonts w:ascii="Courier New" w:hAnsi="Courier New" w:cs="Courier New"/>
          <w:lang w:val="es-AR"/>
        </w:rPr>
        <w:t>u</w:t>
      </w:r>
      <w:r>
        <w:rPr>
          <w:rFonts w:ascii="Courier New" w:hAnsi="Courier New" w:cs="Courier New"/>
          <w:lang w:val="es-AR"/>
        </w:rPr>
        <w:t>na de las actas de s</w:t>
      </w:r>
      <w:r>
        <w:rPr>
          <w:rFonts w:ascii="Courier New" w:hAnsi="Courier New" w:cs="Courier New"/>
          <w:lang w:val="es-AR"/>
        </w:rPr>
        <w:t>e</w:t>
      </w:r>
      <w:r>
        <w:rPr>
          <w:rFonts w:ascii="Courier New" w:hAnsi="Courier New" w:cs="Courier New"/>
          <w:lang w:val="es-AR"/>
        </w:rPr>
        <w:t>cuestro reflejó, ni antes ni después de las 13.40 del 18 de julio, el secuestro de restos de una pue</w:t>
      </w:r>
      <w:r>
        <w:rPr>
          <w:rFonts w:ascii="Courier New" w:hAnsi="Courier New" w:cs="Courier New"/>
          <w:lang w:val="es-AR"/>
        </w:rPr>
        <w:t>r</w:t>
      </w:r>
      <w:r>
        <w:rPr>
          <w:rFonts w:ascii="Courier New" w:hAnsi="Courier New" w:cs="Courier New"/>
          <w:lang w:val="es-AR"/>
        </w:rPr>
        <w:t>ta. Ni siquiera, dijo, los bomberos que declararon en el debate recordaron dicho hallazgo.</w:t>
      </w:r>
    </w:p>
    <w:p w:rsidR="00224567" w:rsidRDefault="00224567">
      <w:pPr>
        <w:pStyle w:val="BodyText2"/>
        <w:widowControl w:val="0"/>
        <w:spacing w:line="600" w:lineRule="auto"/>
        <w:rPr>
          <w:rFonts w:ascii="Courier New" w:hAnsi="Courier New" w:cs="Courier New"/>
          <w:lang w:val="es-AR"/>
        </w:rPr>
      </w:pPr>
      <w:r>
        <w:rPr>
          <w:rFonts w:ascii="Courier New" w:hAnsi="Courier New" w:cs="Courier New"/>
          <w:lang w:val="es-AR"/>
        </w:rPr>
        <w:tab/>
        <w:t>También cuestionó el hallazgo de la pieza identific</w:t>
      </w:r>
      <w:r>
        <w:rPr>
          <w:rFonts w:ascii="Courier New" w:hAnsi="Courier New" w:cs="Courier New"/>
          <w:lang w:val="es-AR"/>
        </w:rPr>
        <w:t>a</w:t>
      </w:r>
      <w:r>
        <w:rPr>
          <w:rFonts w:ascii="Courier New" w:hAnsi="Courier New" w:cs="Courier New"/>
          <w:lang w:val="es-AR"/>
        </w:rPr>
        <w:t>da con el nº 30, en tanto que la prueba producida en el debate no permitió esclarecer las circunstancias de tie</w:t>
      </w:r>
      <w:r>
        <w:rPr>
          <w:rFonts w:ascii="Courier New" w:hAnsi="Courier New" w:cs="Courier New"/>
          <w:lang w:val="es-AR"/>
        </w:rPr>
        <w:t>m</w:t>
      </w:r>
      <w:r>
        <w:rPr>
          <w:rFonts w:ascii="Courier New" w:hAnsi="Courier New" w:cs="Courier New"/>
          <w:lang w:val="es-AR"/>
        </w:rPr>
        <w:t>po, modo y lugar en que fue s</w:t>
      </w:r>
      <w:r>
        <w:rPr>
          <w:rFonts w:ascii="Courier New" w:hAnsi="Courier New" w:cs="Courier New"/>
          <w:lang w:val="es-AR"/>
        </w:rPr>
        <w:t>e</w:t>
      </w:r>
      <w:r>
        <w:rPr>
          <w:rFonts w:ascii="Courier New" w:hAnsi="Courier New" w:cs="Courier New"/>
          <w:lang w:val="es-AR"/>
        </w:rPr>
        <w:t>cuestrada.</w:t>
      </w:r>
    </w:p>
    <w:p w:rsidR="00224567" w:rsidRDefault="00224567">
      <w:pPr>
        <w:pStyle w:val="BodyText2"/>
        <w:widowControl w:val="0"/>
        <w:spacing w:line="600" w:lineRule="auto"/>
        <w:rPr>
          <w:rFonts w:ascii="Courier New" w:hAnsi="Courier New" w:cs="Courier New"/>
          <w:lang w:val="es-AR"/>
        </w:rPr>
      </w:pPr>
      <w:r>
        <w:rPr>
          <w:rFonts w:ascii="Courier New" w:hAnsi="Courier New" w:cs="Courier New"/>
          <w:lang w:val="es-AR"/>
        </w:rPr>
        <w:tab/>
        <w:t>El Dr. Moreno consideró que, sin ningún elemento de prueba que lo justificara, ni bien se produjo el ate</w:t>
      </w:r>
      <w:r>
        <w:rPr>
          <w:rFonts w:ascii="Courier New" w:hAnsi="Courier New" w:cs="Courier New"/>
          <w:lang w:val="es-AR"/>
        </w:rPr>
        <w:t>n</w:t>
      </w:r>
      <w:r>
        <w:rPr>
          <w:rFonts w:ascii="Courier New" w:hAnsi="Courier New" w:cs="Courier New"/>
          <w:lang w:val="es-AR"/>
        </w:rPr>
        <w:t>tado, los investigadores se aferraron a la hipótesis del coch</w:t>
      </w:r>
      <w:r>
        <w:rPr>
          <w:rFonts w:ascii="Courier New" w:hAnsi="Courier New" w:cs="Courier New"/>
          <w:lang w:val="es-AR"/>
        </w:rPr>
        <w:t>e</w:t>
      </w:r>
      <w:r>
        <w:rPr>
          <w:rFonts w:ascii="Courier New" w:hAnsi="Courier New" w:cs="Courier New"/>
          <w:lang w:val="es-AR"/>
        </w:rPr>
        <w:t>bomba, direccionando su trabajo en ese único sentido.</w:t>
      </w:r>
    </w:p>
    <w:p w:rsidR="00224567" w:rsidRDefault="00224567">
      <w:pPr>
        <w:pStyle w:val="BodyText2"/>
        <w:widowControl w:val="0"/>
        <w:spacing w:line="600" w:lineRule="auto"/>
        <w:ind w:firstLine="2800"/>
        <w:rPr>
          <w:rFonts w:ascii="Courier New" w:hAnsi="Courier New" w:cs="Courier New"/>
          <w:lang w:val="es-AR"/>
        </w:rPr>
      </w:pPr>
      <w:r>
        <w:rPr>
          <w:rFonts w:ascii="Courier New" w:hAnsi="Courier New" w:cs="Courier New"/>
          <w:lang w:val="es-AR"/>
        </w:rPr>
        <w:t>Pese a que también se halló en el l</w:t>
      </w:r>
      <w:r>
        <w:rPr>
          <w:rFonts w:ascii="Courier New" w:hAnsi="Courier New" w:cs="Courier New"/>
          <w:lang w:val="es-AR"/>
        </w:rPr>
        <w:t>u</w:t>
      </w:r>
      <w:r>
        <w:rPr>
          <w:rFonts w:ascii="Courier New" w:hAnsi="Courier New" w:cs="Courier New"/>
          <w:lang w:val="es-AR"/>
        </w:rPr>
        <w:t>gar del hecho un pedazo de volquete, no se consideró m</w:t>
      </w:r>
      <w:r>
        <w:rPr>
          <w:rFonts w:ascii="Courier New" w:hAnsi="Courier New" w:cs="Courier New"/>
          <w:lang w:val="es-AR"/>
        </w:rPr>
        <w:t>e</w:t>
      </w:r>
      <w:r>
        <w:rPr>
          <w:rFonts w:ascii="Courier New" w:hAnsi="Courier New" w:cs="Courier New"/>
          <w:lang w:val="es-AR"/>
        </w:rPr>
        <w:t>nester realizar, al respecto, medidas de prueba, ni fue mínimamente analizado. Esa evidencia, señaló, permaneció tirada por más de cincuenta horas.</w:t>
      </w:r>
    </w:p>
    <w:p w:rsidR="00224567" w:rsidRDefault="00224567">
      <w:pPr>
        <w:pStyle w:val="BodyText2"/>
        <w:widowControl w:val="0"/>
        <w:spacing w:line="600" w:lineRule="auto"/>
        <w:rPr>
          <w:rFonts w:ascii="Courier New" w:hAnsi="Courier New" w:cs="Courier New"/>
        </w:rPr>
      </w:pPr>
      <w:r>
        <w:rPr>
          <w:rFonts w:ascii="Courier New" w:hAnsi="Courier New" w:cs="Courier New"/>
          <w:szCs w:val="24"/>
          <w:lang w:val="es-AR"/>
        </w:rPr>
        <w:tab/>
        <w:t xml:space="preserve">En esa inteligencia, el defensor </w:t>
      </w:r>
      <w:r>
        <w:rPr>
          <w:rFonts w:ascii="Courier New" w:hAnsi="Courier New" w:cs="Courier New"/>
        </w:rPr>
        <w:t>se refirió a la s</w:t>
      </w:r>
      <w:r>
        <w:rPr>
          <w:rFonts w:ascii="Courier New" w:hAnsi="Courier New" w:cs="Courier New"/>
        </w:rPr>
        <w:t>i</w:t>
      </w:r>
      <w:r>
        <w:rPr>
          <w:rFonts w:ascii="Courier New" w:hAnsi="Courier New" w:cs="Courier New"/>
        </w:rPr>
        <w:t>tuación de Nassib Haddad, dueño de la empresa “Santa R</w:t>
      </w:r>
      <w:r>
        <w:rPr>
          <w:rFonts w:ascii="Courier New" w:hAnsi="Courier New" w:cs="Courier New"/>
        </w:rPr>
        <w:t>i</w:t>
      </w:r>
      <w:r>
        <w:rPr>
          <w:rFonts w:ascii="Courier New" w:hAnsi="Courier New" w:cs="Courier New"/>
        </w:rPr>
        <w:t>ta”, que proveyó dicho volquetes, sobre quien, señaló, r</w:t>
      </w:r>
      <w:r>
        <w:rPr>
          <w:rFonts w:ascii="Courier New" w:hAnsi="Courier New" w:cs="Courier New"/>
        </w:rPr>
        <w:t>e</w:t>
      </w:r>
      <w:r>
        <w:rPr>
          <w:rFonts w:ascii="Courier New" w:hAnsi="Courier New" w:cs="Courier New"/>
        </w:rPr>
        <w:t>caían una serie de casualidades.</w:t>
      </w:r>
    </w:p>
    <w:p w:rsidR="00224567" w:rsidRDefault="00224567">
      <w:pPr>
        <w:widowControl w:val="0"/>
        <w:ind w:firstLine="708"/>
        <w:rPr>
          <w:lang w:val="es-MX"/>
        </w:rPr>
      </w:pPr>
      <w:r>
        <w:rPr>
          <w:lang w:val="es-AR"/>
        </w:rPr>
        <w:tab/>
        <w:t xml:space="preserve">Si bien el nombrado no fue motivo de juzgamiento en el debate, explicó que su </w:t>
      </w:r>
      <w:r>
        <w:t>actividad</w:t>
      </w:r>
      <w:r>
        <w:rPr>
          <w:lang w:val="es-AR"/>
        </w:rPr>
        <w:t xml:space="preserve"> </w:t>
      </w:r>
      <w:r>
        <w:t>e</w:t>
      </w:r>
      <w:r>
        <w:t>s</w:t>
      </w:r>
      <w:r>
        <w:t>taba vinculada con las distintas hipótesis que se pla</w:t>
      </w:r>
      <w:r>
        <w:t>n</w:t>
      </w:r>
      <w:r>
        <w:t>tearon en la causa, explicando que la confi</w:t>
      </w:r>
      <w:r>
        <w:t>r</w:t>
      </w:r>
      <w:r>
        <w:t>mación de una de ellas, eventualmente, podía excluir otras y, en consecuencia, eximir de responsabilidad a su representado. Por ello, r</w:t>
      </w:r>
      <w:r>
        <w:t>e</w:t>
      </w:r>
      <w:r>
        <w:t xml:space="preserve">marcó, la falta de </w:t>
      </w:r>
      <w:r>
        <w:rPr>
          <w:lang w:val="es-MX"/>
        </w:rPr>
        <w:t>profundización de otras líneas invest</w:t>
      </w:r>
      <w:r>
        <w:rPr>
          <w:lang w:val="es-MX"/>
        </w:rPr>
        <w:t>i</w:t>
      </w:r>
      <w:r>
        <w:rPr>
          <w:lang w:val="es-MX"/>
        </w:rPr>
        <w:t>gativas, perjudicaron la situación de los imp</w:t>
      </w:r>
      <w:r>
        <w:rPr>
          <w:lang w:val="es-MX"/>
        </w:rPr>
        <w:t>u</w:t>
      </w:r>
      <w:r>
        <w:rPr>
          <w:lang w:val="es-MX"/>
        </w:rPr>
        <w:t>tados.</w:t>
      </w:r>
    </w:p>
    <w:p w:rsidR="00224567" w:rsidRDefault="00224567">
      <w:pPr>
        <w:widowControl w:val="0"/>
        <w:rPr>
          <w:lang w:val="es-MX"/>
        </w:rPr>
      </w:pPr>
      <w:r>
        <w:rPr>
          <w:lang w:val="es-MX"/>
        </w:rPr>
        <w:tab/>
        <w:t>Al respecto, señaló que minutos antes de la explosión, un camión de la empresa Santa Rita dep</w:t>
      </w:r>
      <w:r>
        <w:rPr>
          <w:lang w:val="es-MX"/>
        </w:rPr>
        <w:t>o</w:t>
      </w:r>
      <w:r>
        <w:rPr>
          <w:lang w:val="es-MX"/>
        </w:rPr>
        <w:t xml:space="preserve">sitó un volquete frente a la sede de </w:t>
      </w:r>
      <w:smartTag w:uri="urn:schemas-microsoft-com:office:smarttags" w:element="PersonName">
        <w:smartTagPr>
          <w:attr w:name="ProductID" w:val="la A.M"/>
        </w:smartTagPr>
        <w:r>
          <w:rPr>
            <w:lang w:val="es-MX"/>
          </w:rPr>
          <w:t>la A.M</w:t>
        </w:r>
      </w:smartTag>
      <w:r>
        <w:rPr>
          <w:lang w:val="es-MX"/>
        </w:rPr>
        <w:t>.I.A.</w:t>
      </w:r>
    </w:p>
    <w:p w:rsidR="00224567" w:rsidRDefault="00224567">
      <w:pPr>
        <w:widowControl w:val="0"/>
      </w:pPr>
      <w:r>
        <w:rPr>
          <w:lang w:val="es-MX"/>
        </w:rPr>
        <w:tab/>
        <w:t>El defensor rebatió la postura del M</w:t>
      </w:r>
      <w:r>
        <w:rPr>
          <w:lang w:val="es-MX"/>
        </w:rPr>
        <w:t>i</w:t>
      </w:r>
      <w:r>
        <w:rPr>
          <w:lang w:val="es-MX"/>
        </w:rPr>
        <w:t xml:space="preserve">nisterio Público Fiscal en punto a que </w:t>
      </w:r>
      <w:r>
        <w:rPr>
          <w:iCs/>
          <w:lang w:val="es-MX"/>
        </w:rPr>
        <w:t xml:space="preserve">la </w:t>
      </w:r>
      <w:r>
        <w:rPr>
          <w:iCs/>
        </w:rPr>
        <w:t>razón de la existencia de dicho volquete resultaba de la regular co</w:t>
      </w:r>
      <w:r>
        <w:rPr>
          <w:iCs/>
        </w:rPr>
        <w:t>n</w:t>
      </w:r>
      <w:r>
        <w:rPr>
          <w:iCs/>
        </w:rPr>
        <w:t>tratación del servicio de la empresa Santa Rita, porque, a su entender,</w:t>
      </w:r>
      <w:r>
        <w:t xml:space="preserve"> el servicio no se contrataba con tal frecue</w:t>
      </w:r>
      <w:r>
        <w:t>n</w:t>
      </w:r>
      <w:r>
        <w:t>cia, ni se probó que el día del atentado se haya requerido un contenedor a esa compañía.</w:t>
      </w:r>
    </w:p>
    <w:p w:rsidR="00224567" w:rsidRDefault="00224567">
      <w:pPr>
        <w:widowControl w:val="0"/>
      </w:pPr>
      <w:r>
        <w:tab/>
        <w:t>Según los remitos de la empresa, e</w:t>
      </w:r>
      <w:r>
        <w:t>s</w:t>
      </w:r>
      <w:r>
        <w:t>grimió el defensor, el último volquete que se envió a la mutual antes del 18 de julio, fue el 24 de mayo de 1994, según la constancia de fs. 422 del l</w:t>
      </w:r>
      <w:r>
        <w:t>e</w:t>
      </w:r>
      <w:r>
        <w:t>gajo 74. Ello, dijo, resulta llamativo en un edificio en el que se realizaron refacciones de gran ma</w:t>
      </w:r>
      <w:r>
        <w:t>g</w:t>
      </w:r>
      <w:r>
        <w:t>nitud.</w:t>
      </w:r>
    </w:p>
    <w:p w:rsidR="00224567" w:rsidRDefault="00224567">
      <w:pPr>
        <w:widowControl w:val="0"/>
      </w:pPr>
      <w:r>
        <w:tab/>
        <w:t>Mucho más sorprendente, resaltó, fue el hecho de que no existieron cruces entre los teléfonos del arquitecto Malamud o la mutual y la empresa “Santa R</w:t>
      </w:r>
      <w:r>
        <w:t>i</w:t>
      </w:r>
      <w:r>
        <w:t>ta” durante la mañana del día del atentado; extremo que confuta los dichos de los e</w:t>
      </w:r>
      <w:r>
        <w:t>m</w:t>
      </w:r>
      <w:r>
        <w:t>pleados de esa firma.</w:t>
      </w:r>
    </w:p>
    <w:p w:rsidR="00224567" w:rsidRDefault="00224567">
      <w:pPr>
        <w:widowControl w:val="0"/>
      </w:pPr>
      <w:r>
        <w:tab/>
        <w:t>Por lo demás, la afirmación de Juan Alberto López, chofer que depositó el volquete frente a la mutual, en punto a que Andrés Gustavo Malamud firmó dela</w:t>
      </w:r>
      <w:r>
        <w:t>n</w:t>
      </w:r>
      <w:r>
        <w:t>te suyo el remito del contenedor, no se condice con los peritajes de fs. 7275/7279 del legajo de instrucción s</w:t>
      </w:r>
      <w:r>
        <w:t>u</w:t>
      </w:r>
      <w:r>
        <w:t>plementaria y fs. 31.458/31.460 del princ</w:t>
      </w:r>
      <w:r>
        <w:t>i</w:t>
      </w:r>
      <w:r>
        <w:t>pal, puesto que se determinó que la firma y aclaración plasmada en ese d</w:t>
      </w:r>
      <w:r>
        <w:t>o</w:t>
      </w:r>
      <w:r>
        <w:t>cumento, no pertenecía al arquitecto en cuestión. A crit</w:t>
      </w:r>
      <w:r>
        <w:t>e</w:t>
      </w:r>
      <w:r>
        <w:t>rio del defensor, el testigo López mintió sobre lo ocurr</w:t>
      </w:r>
      <w:r>
        <w:t>i</w:t>
      </w:r>
      <w:r>
        <w:t>do durante ese día.</w:t>
      </w:r>
    </w:p>
    <w:p w:rsidR="00224567" w:rsidRDefault="00224567">
      <w:pPr>
        <w:widowControl w:val="0"/>
      </w:pPr>
      <w:r>
        <w:tab/>
        <w:t>Relató el Dr. Moreno que, de acuerdo al plan de trabajo que da cuenta el documento agregado a fs. 1939 y al testimonio del mencion</w:t>
      </w:r>
      <w:r>
        <w:t>a</w:t>
      </w:r>
      <w:r>
        <w:t xml:space="preserve">do López, tras dejar el volquete en </w:t>
      </w:r>
      <w:smartTag w:uri="urn:schemas-microsoft-com:office:smarttags" w:element="PersonName">
        <w:smartTagPr>
          <w:attr w:name="ProductID" w:val="la A.M"/>
        </w:smartTagPr>
        <w:r>
          <w:t>la A.M</w:t>
        </w:r>
      </w:smartTag>
      <w:r>
        <w:t>.I.A., éste se dirigió con su c</w:t>
      </w:r>
      <w:r>
        <w:t>a</w:t>
      </w:r>
      <w:r>
        <w:t>mión a la calle Constitución 2657. El predio, expresó el letr</w:t>
      </w:r>
      <w:r>
        <w:t>a</w:t>
      </w:r>
      <w:r>
        <w:t>do, se trataba de un terreno fiscal ubicado a escasos m</w:t>
      </w:r>
      <w:r>
        <w:t>e</w:t>
      </w:r>
      <w:r>
        <w:t>tros del domicilio de Alberto K</w:t>
      </w:r>
      <w:r>
        <w:t>a</w:t>
      </w:r>
      <w:r>
        <w:t>noore Edul, quien, recordó el defensor, registraba desde su celular una llamada a Carlos Alberto Telleldín el 10 de julio de 1994 y en su agenda personal poseía el teléfono y la dirección del imputado Moshen Rabbani.</w:t>
      </w:r>
    </w:p>
    <w:p w:rsidR="00224567" w:rsidRDefault="00224567">
      <w:pPr>
        <w:widowControl w:val="0"/>
      </w:pPr>
      <w:r>
        <w:tab/>
        <w:t>Indicó, además, que no se pudo dete</w:t>
      </w:r>
      <w:r>
        <w:t>r</w:t>
      </w:r>
      <w:r>
        <w:t>minar fehacientemente quién había solicitado el volquete que se depositó frente a la mutual el día de la atentado, como tampoco aquel que se dejó en la calle Constitución. Por lo demás, dijo, ninguno de los empleados de “Santa R</w:t>
      </w:r>
      <w:r>
        <w:t>i</w:t>
      </w:r>
      <w:r>
        <w:t>ta” recordó haber conc</w:t>
      </w:r>
      <w:r>
        <w:t>u</w:t>
      </w:r>
      <w:r>
        <w:t>rrido a ese domicilio a retirar el mencionado vo</w:t>
      </w:r>
      <w:r>
        <w:t>l</w:t>
      </w:r>
      <w:r>
        <w:t>quete.</w:t>
      </w:r>
    </w:p>
    <w:p w:rsidR="00224567" w:rsidRDefault="00224567">
      <w:pPr>
        <w:widowControl w:val="0"/>
        <w:ind w:firstLine="2800"/>
      </w:pPr>
      <w:r>
        <w:t>El defensor sostuvo que existieron m</w:t>
      </w:r>
      <w:r>
        <w:t>u</w:t>
      </w:r>
      <w:r>
        <w:t>chos interrogantes acerca de la actividad de reparto de volquetes, según hoja de ruta antes señalada, que los te</w:t>
      </w:r>
      <w:r>
        <w:t>s</w:t>
      </w:r>
      <w:r>
        <w:t>timonios de Juan Alberto López y Raúl José Díaz no pudi</w:t>
      </w:r>
      <w:r>
        <w:t>e</w:t>
      </w:r>
      <w:r>
        <w:t>ron aclarar.</w:t>
      </w:r>
    </w:p>
    <w:p w:rsidR="00224567" w:rsidRDefault="00224567">
      <w:pPr>
        <w:widowControl w:val="0"/>
      </w:pPr>
      <w:r>
        <w:tab/>
        <w:t>Recordó el Dr. Moreno que el día del atentado, cuando los dueños de la empresa “Santa Rita” y sus dependientes debían ser investigados por la instru</w:t>
      </w:r>
      <w:r>
        <w:t>c</w:t>
      </w:r>
      <w:r>
        <w:t xml:space="preserve">ción, éstos concurrieron al predio de </w:t>
      </w:r>
      <w:smartTag w:uri="urn:schemas-microsoft-com:office:smarttags" w:element="PersonName">
        <w:smartTagPr>
          <w:attr w:name="ProductID" w:val="la A.M"/>
        </w:smartTagPr>
        <w:r>
          <w:t>la A.M</w:t>
        </w:r>
      </w:smartTag>
      <w:r>
        <w:t>.I.A. para c</w:t>
      </w:r>
      <w:r>
        <w:t>o</w:t>
      </w:r>
      <w:r>
        <w:t>laborar en las tareas de remoción de escombros, modifica</w:t>
      </w:r>
      <w:r>
        <w:t>n</w:t>
      </w:r>
      <w:r>
        <w:t>do inevitablemente el escenario de los hechos.</w:t>
      </w:r>
    </w:p>
    <w:p w:rsidR="00224567" w:rsidRDefault="00224567">
      <w:pPr>
        <w:widowControl w:val="0"/>
      </w:pPr>
      <w:r>
        <w:tab/>
        <w:t>En ese sentido, dijo, el testim</w:t>
      </w:r>
      <w:r>
        <w:t>o</w:t>
      </w:r>
      <w:r>
        <w:t>nio de Guillermo Alfonso, empleado de Nassib Haddad, puso de m</w:t>
      </w:r>
      <w:r>
        <w:t>a</w:t>
      </w:r>
      <w:r>
        <w:t>nifiesto que los tres o cuatro volquetes que la empresa retiró de la zona del desastre, fueron descargados en el predio de la firma, ubicado en la dársena “F”, Puerto Nu</w:t>
      </w:r>
      <w:r>
        <w:t>e</w:t>
      </w:r>
      <w:r>
        <w:t>vo, de esta ciudad, en contraposición a la directiva em</w:t>
      </w:r>
      <w:r>
        <w:t>a</w:t>
      </w:r>
      <w:r>
        <w:t>nada por la autoridad en el sentido de que se debían ll</w:t>
      </w:r>
      <w:r>
        <w:t>e</w:t>
      </w:r>
      <w:r>
        <w:t xml:space="preserve">var los restos a </w:t>
      </w:r>
      <w:smartTag w:uri="urn:schemas-microsoft-com:office:smarttags" w:element="PersonName">
        <w:smartTagPr>
          <w:attr w:name="ProductID" w:val="la Ciudad Universitaria."/>
        </w:smartTagPr>
        <w:r>
          <w:t>la Ciudad Universit</w:t>
        </w:r>
        <w:r>
          <w:t>a</w:t>
        </w:r>
        <w:r>
          <w:t>ria.</w:t>
        </w:r>
      </w:smartTag>
      <w:r>
        <w:t xml:space="preserve"> Además, según la versión del testigo, el material fue molido.</w:t>
      </w:r>
    </w:p>
    <w:p w:rsidR="00224567" w:rsidRDefault="00224567">
      <w:pPr>
        <w:widowControl w:val="0"/>
        <w:ind w:firstLine="2800"/>
      </w:pPr>
      <w:r>
        <w:t>También hizo referencia al test</w:t>
      </w:r>
      <w:r>
        <w:t>i</w:t>
      </w:r>
      <w:r>
        <w:t>monio del cobrador de la empresa, Héctor Manuel López, quien r</w:t>
      </w:r>
      <w:r>
        <w:t>e</w:t>
      </w:r>
      <w:r>
        <w:t>conoció en el debate que el contenido de algunos de los volquetes había sido trasladado a la empresa.</w:t>
      </w:r>
    </w:p>
    <w:p w:rsidR="00224567" w:rsidRDefault="00224567">
      <w:pPr>
        <w:widowControl w:val="0"/>
      </w:pPr>
      <w:r>
        <w:tab/>
        <w:t>Sostuvo que en virtud de la neglige</w:t>
      </w:r>
      <w:r>
        <w:t>n</w:t>
      </w:r>
      <w:r>
        <w:t>cia de los investigadores y del juez instru</w:t>
      </w:r>
      <w:r>
        <w:t>c</w:t>
      </w:r>
      <w:r>
        <w:t>tor, nunca se sabrá qué fue lo que se llevaron en esos volquetes los e</w:t>
      </w:r>
      <w:r>
        <w:t>m</w:t>
      </w:r>
      <w:r>
        <w:t xml:space="preserve">pleados de Nassib Haddad. </w:t>
      </w:r>
    </w:p>
    <w:p w:rsidR="00224567" w:rsidRDefault="00224567">
      <w:pPr>
        <w:widowControl w:val="0"/>
      </w:pPr>
      <w:r>
        <w:tab/>
        <w:t>En cuanto al citado titular de “Santa Rita”, el defensor refirió que nació en Ayn</w:t>
      </w:r>
      <w:r>
        <w:t>a</w:t>
      </w:r>
      <w:r>
        <w:t>ta, Líbano, el mismo pueblo del cual es oriundo el Ayatola Fadl</w:t>
      </w:r>
      <w:r>
        <w:t>a</w:t>
      </w:r>
      <w:r>
        <w:t>llah, uno de los líderes y fundadores de la organización terr</w:t>
      </w:r>
      <w:r>
        <w:t>o</w:t>
      </w:r>
      <w:r>
        <w:t xml:space="preserve">rista Hezbollah. Incluso, añadió, en un escrito aportado a fs. 520 del legajo 74 por la querella de </w:t>
      </w:r>
      <w:smartTag w:uri="urn:schemas-microsoft-com:office:smarttags" w:element="PersonName">
        <w:smartTagPr>
          <w:attr w:name="ProductID" w:val="la D.A"/>
        </w:smartTagPr>
        <w:r>
          <w:t>la D.A</w:t>
        </w:r>
      </w:smartTag>
      <w:r>
        <w:t>.I.A., surge que los nombrados serían primos.</w:t>
      </w:r>
    </w:p>
    <w:p w:rsidR="00224567" w:rsidRDefault="00224567">
      <w:pPr>
        <w:widowControl w:val="0"/>
      </w:pPr>
      <w:r>
        <w:tab/>
        <w:t>Agregó que Nassib Haddad también era dueño en esa época de una empresa minera que giraba con igual denominación. Además, las administraciones de a</w:t>
      </w:r>
      <w:r>
        <w:t>m</w:t>
      </w:r>
      <w:r>
        <w:t>bas firmas funcionaban en el mismo domicilio, al que co</w:t>
      </w:r>
      <w:r>
        <w:t>n</w:t>
      </w:r>
      <w:r>
        <w:t xml:space="preserve">currió poco tiempo después del atentado, el personal de </w:t>
      </w:r>
      <w:smartTag w:uri="urn:schemas-microsoft-com:office:smarttags" w:element="PersonName">
        <w:smartTagPr>
          <w:attr w:name="ProductID" w:val="la S.I"/>
        </w:smartTagPr>
        <w:r>
          <w:t>la S.I</w:t>
        </w:r>
      </w:smartTag>
      <w:r>
        <w:t>.D.E. y de las fue</w:t>
      </w:r>
      <w:r>
        <w:t>r</w:t>
      </w:r>
      <w:r>
        <w:t>zas de seguridad.</w:t>
      </w:r>
    </w:p>
    <w:p w:rsidR="00224567" w:rsidRDefault="00224567">
      <w:pPr>
        <w:widowControl w:val="0"/>
        <w:ind w:firstLine="2800"/>
      </w:pPr>
      <w:r>
        <w:t>Según los registros de Fabricaciones Militares, señaló la defensa, la autorización para trab</w:t>
      </w:r>
      <w:r>
        <w:t>a</w:t>
      </w:r>
      <w:r>
        <w:t>jar con explosivos otorgada a la empresa de Haddad estaba vencida. Además dijo, de la constancia de fs. 964 del l</w:t>
      </w:r>
      <w:r>
        <w:t>e</w:t>
      </w:r>
      <w:r>
        <w:t>gajo se desprende que desde el año 1988 hasta el último semestre de 1993 la empresa no realizó ning</w:t>
      </w:r>
      <w:r>
        <w:t>u</w:t>
      </w:r>
      <w:r>
        <w:t>na actividad.</w:t>
      </w:r>
    </w:p>
    <w:p w:rsidR="00224567" w:rsidRDefault="00224567">
      <w:pPr>
        <w:widowControl w:val="0"/>
      </w:pPr>
      <w:r>
        <w:tab/>
        <w:t>A fines del mes de diciembre de 1993 la empresa retomó la actividad en el dique casa de Pi</w:t>
      </w:r>
      <w:r>
        <w:t>e</w:t>
      </w:r>
      <w:r>
        <w:t xml:space="preserve">dra en la provincia de </w:t>
      </w:r>
      <w:smartTag w:uri="urn:schemas-microsoft-com:office:smarttags" w:element="PersonName">
        <w:smartTagPr>
          <w:attr w:name="ProductID" w:val="La Pampa"/>
        </w:smartTagPr>
        <w:r>
          <w:t>La Pampa</w:t>
        </w:r>
      </w:smartTag>
      <w:r>
        <w:t>; sin emba</w:t>
      </w:r>
      <w:r>
        <w:t>r</w:t>
      </w:r>
      <w:r>
        <w:t>go, dijo el letrado, el hecho de que reanudara su actividad con explosivos m</w:t>
      </w:r>
      <w:r>
        <w:t>e</w:t>
      </w:r>
      <w:r>
        <w:t>ses antes del atentado, no despertó sospechas en los i</w:t>
      </w:r>
      <w:r>
        <w:t>n</w:t>
      </w:r>
      <w:r>
        <w:t xml:space="preserve">vestigadores. Tampoco los alertó la circunstancia de que poco después de la explosión ocurrida en la sede de </w:t>
      </w:r>
      <w:smartTag w:uri="urn:schemas-microsoft-com:office:smarttags" w:element="PersonName">
        <w:smartTagPr>
          <w:attr w:name="ProductID" w:val="la A.M"/>
        </w:smartTagPr>
        <w:r>
          <w:t>la A.M</w:t>
        </w:r>
      </w:smartTag>
      <w:r>
        <w:t>.I.A., en el mes de julio del año 1994, la empresa nu</w:t>
      </w:r>
      <w:r>
        <w:t>e</w:t>
      </w:r>
      <w:r>
        <w:t>vamente dejara de operar.</w:t>
      </w:r>
    </w:p>
    <w:p w:rsidR="00224567" w:rsidRDefault="00224567">
      <w:pPr>
        <w:widowControl w:val="0"/>
      </w:pPr>
      <w:r>
        <w:tab/>
        <w:t>Indicó el defensor que para el trab</w:t>
      </w:r>
      <w:r>
        <w:t>a</w:t>
      </w:r>
      <w:r>
        <w:t xml:space="preserve">jo realizado en la provincia de </w:t>
      </w:r>
      <w:smartTag w:uri="urn:schemas-microsoft-com:office:smarttags" w:element="PersonName">
        <w:smartTagPr>
          <w:attr w:name="ProductID" w:val="La Pampa"/>
        </w:smartTagPr>
        <w:r>
          <w:t>La Pampa</w:t>
        </w:r>
      </w:smartTag>
      <w:r>
        <w:t>, Nassib Haddad co</w:t>
      </w:r>
      <w:r>
        <w:t>m</w:t>
      </w:r>
      <w:r>
        <w:t xml:space="preserve">pró grandes cantidades de amonal; casualmente, el mismo explosivo utilizado para volar la sede de </w:t>
      </w:r>
      <w:smartTag w:uri="urn:schemas-microsoft-com:office:smarttags" w:element="PersonName">
        <w:smartTagPr>
          <w:attr w:name="ProductID" w:val="la A.M"/>
        </w:smartTagPr>
        <w:r>
          <w:t>la A.M</w:t>
        </w:r>
      </w:smartTag>
      <w:r>
        <w:t>.I.A. S</w:t>
      </w:r>
      <w:r>
        <w:t>e</w:t>
      </w:r>
      <w:r>
        <w:t>gún se verificó, las cantidades de amonal adquiridas por Haddad fueron muy superiores a las estipuladas cuando se le adjudicó el trabajo y a las que utilizó en el Dique C</w:t>
      </w:r>
      <w:r>
        <w:t>a</w:t>
      </w:r>
      <w:r>
        <w:t>sa de Pi</w:t>
      </w:r>
      <w:r>
        <w:t>e</w:t>
      </w:r>
      <w:r>
        <w:t>dra.</w:t>
      </w:r>
    </w:p>
    <w:p w:rsidR="00224567" w:rsidRDefault="00224567">
      <w:pPr>
        <w:widowControl w:val="0"/>
      </w:pPr>
      <w:r>
        <w:tab/>
        <w:t>Consignó también que Nassib Ha</w:t>
      </w:r>
      <w:r>
        <w:t>d</w:t>
      </w:r>
      <w:r>
        <w:t>dad, en el año del atentado, tuvo un incremento patrimonial sum</w:t>
      </w:r>
      <w:r>
        <w:t>a</w:t>
      </w:r>
      <w:r>
        <w:t xml:space="preserve">mente llamativo. Al respecto, afirmó que de acuerdo a lo informado por la entonces D.G.I., el 31 de diciembre de 1993 el nombrado tenía un patrimonio neto declarado de $ 308.415, el cual se elevó, al 31 de diciembre de </w:t>
      </w:r>
      <w:smartTag w:uri="urn:schemas-microsoft-com:office:smarttags" w:element="metricconverter">
        <w:smartTagPr>
          <w:attr w:name="ProductID" w:val="1994, a"/>
        </w:smartTagPr>
        <w:r>
          <w:t>1994, a</w:t>
        </w:r>
      </w:smartTag>
      <w:r>
        <w:t xml:space="preserve"> $ 802.740; no obstante, aseguró el letrado, no existió una actividad investigativa destinada a verificar de qué man</w:t>
      </w:r>
      <w:r>
        <w:t>e</w:t>
      </w:r>
      <w:r>
        <w:t>ra se produjo ese incremento del c</w:t>
      </w:r>
      <w:r>
        <w:t>a</w:t>
      </w:r>
      <w:r>
        <w:t>pital.</w:t>
      </w:r>
    </w:p>
    <w:p w:rsidR="00224567" w:rsidRDefault="00224567">
      <w:pPr>
        <w:widowControl w:val="0"/>
      </w:pPr>
      <w:r>
        <w:t xml:space="preserve"> </w:t>
      </w:r>
      <w:r>
        <w:tab/>
        <w:t>En suma, alegó el Dr. Moreno, la pe</w:t>
      </w:r>
      <w:r>
        <w:t>r</w:t>
      </w:r>
      <w:r>
        <w:t>sona que dejó el volquete frente a la mutual, sin que n</w:t>
      </w:r>
      <w:r>
        <w:t>a</w:t>
      </w:r>
      <w:r>
        <w:t>die se lo pidiera, minutos antes de la explosión, compró para esa época idéntico explosivo al utilizado en el ate</w:t>
      </w:r>
      <w:r>
        <w:t>n</w:t>
      </w:r>
      <w:r>
        <w:t>tado, en cantidades muy superiores a las n</w:t>
      </w:r>
      <w:r>
        <w:t>e</w:t>
      </w:r>
      <w:r>
        <w:t>cesitadas, a la vez que incrementó su patrimonio. Sus dependientes, ad</w:t>
      </w:r>
      <w:r>
        <w:t>e</w:t>
      </w:r>
      <w:r>
        <w:t>más, se llevaron del lugar eventuales elementos de prueba que desap</w:t>
      </w:r>
      <w:r>
        <w:t>a</w:t>
      </w:r>
      <w:r>
        <w:t>recieron para siempre.</w:t>
      </w:r>
    </w:p>
    <w:p w:rsidR="00224567" w:rsidRDefault="00224567">
      <w:pPr>
        <w:widowControl w:val="0"/>
      </w:pPr>
      <w:r>
        <w:tab/>
        <w:t>Lo expuesto, concluyó el letrado, d</w:t>
      </w:r>
      <w:r>
        <w:t>e</w:t>
      </w:r>
      <w:r>
        <w:t>mostró que nunca se analizó con seriedad la hip</w:t>
      </w:r>
      <w:r>
        <w:t>ó</w:t>
      </w:r>
      <w:r>
        <w:t>tesis del volquete.</w:t>
      </w:r>
    </w:p>
    <w:p w:rsidR="00224567" w:rsidRDefault="00224567">
      <w:pPr>
        <w:widowControl w:val="0"/>
      </w:pPr>
      <w:r>
        <w:tab/>
        <w:t>Por otra parte, cuestionó la invest</w:t>
      </w:r>
      <w:r>
        <w:t>i</w:t>
      </w:r>
      <w:r>
        <w:t>gación que se llevó adelante respecto a los restos de vo</w:t>
      </w:r>
      <w:r>
        <w:t>l</w:t>
      </w:r>
      <w:r>
        <w:t>quetes hallados en el lugar del hecho.</w:t>
      </w:r>
    </w:p>
    <w:p w:rsidR="00224567" w:rsidRDefault="00224567">
      <w:pPr>
        <w:widowControl w:val="0"/>
      </w:pPr>
      <w:r>
        <w:tab/>
        <w:t>Así, dijo, del acta de fs. 34 del I</w:t>
      </w:r>
      <w:r>
        <w:t>n</w:t>
      </w:r>
      <w:r>
        <w:t>forme Preliminar surge que Menajen Bonza, invest</w:t>
      </w:r>
      <w:r>
        <w:t>i</w:t>
      </w:r>
      <w:r>
        <w:t>gador del estado de Israel, retiró del cuartel de bomberos un resto de volquete de forma triangular, con el objetivo de anal</w:t>
      </w:r>
      <w:r>
        <w:t>i</w:t>
      </w:r>
      <w:r>
        <w:t>zarlo en su país. No obstante, el trozo nunca fue devue</w:t>
      </w:r>
      <w:r>
        <w:t>l</w:t>
      </w:r>
      <w:r>
        <w:t>to, dijo el l</w:t>
      </w:r>
      <w:r>
        <w:t>e</w:t>
      </w:r>
      <w:r>
        <w:t>trado, ni tampoco se realizó reclamo alguno al respecto.</w:t>
      </w:r>
    </w:p>
    <w:p w:rsidR="00224567" w:rsidRDefault="00224567">
      <w:pPr>
        <w:widowControl w:val="0"/>
      </w:pPr>
      <w:r>
        <w:tab/>
        <w:t xml:space="preserve">Además, en el informe elaborado por los investigadores israelíes se mencionó que una pieza de volquete que pesaba </w:t>
      </w:r>
      <w:smartTag w:uri="urn:schemas-microsoft-com:office:smarttags" w:element="metricconverter">
        <w:smartTagPr>
          <w:attr w:name="ProductID" w:val="43 kg"/>
        </w:smartTagPr>
        <w:r>
          <w:t>43 kg</w:t>
        </w:r>
      </w:smartTag>
      <w:r>
        <w:t xml:space="preserve"> se había hallado a una dista</w:t>
      </w:r>
      <w:r>
        <w:t>n</w:t>
      </w:r>
      <w:r>
        <w:t xml:space="preserve">cia de </w:t>
      </w:r>
      <w:smartTag w:uri="urn:schemas-microsoft-com:office:smarttags" w:element="metricconverter">
        <w:smartTagPr>
          <w:attr w:name="ProductID" w:val="220 metros"/>
        </w:smartTagPr>
        <w:r>
          <w:t>220 metros</w:t>
        </w:r>
      </w:smartTag>
      <w:r>
        <w:t xml:space="preserve"> del foco de la explosión. Nada de ello fig</w:t>
      </w:r>
      <w:r>
        <w:t>u</w:t>
      </w:r>
      <w:r>
        <w:t>ró en el informe de bomberos, dijo el d</w:t>
      </w:r>
      <w:r>
        <w:t>e</w:t>
      </w:r>
      <w:r>
        <w:t>fensor.</w:t>
      </w:r>
    </w:p>
    <w:p w:rsidR="00224567" w:rsidRDefault="00224567">
      <w:pPr>
        <w:widowControl w:val="0"/>
      </w:pPr>
      <w:r>
        <w:tab/>
        <w:t>El hallazgo, además, fue confi</w:t>
      </w:r>
      <w:r>
        <w:t>r</w:t>
      </w:r>
      <w:r>
        <w:t xml:space="preserve">mado en el debate por los agentes de </w:t>
      </w:r>
      <w:smartTag w:uri="urn:schemas-microsoft-com:office:smarttags" w:element="PersonName">
        <w:smartTagPr>
          <w:attr w:name="ProductID" w:val="la S.I"/>
        </w:smartTagPr>
        <w:r>
          <w:t>la S.I</w:t>
        </w:r>
      </w:smartTag>
      <w:r>
        <w:t>.D.E. Horacio Antonio Stiuso, quien relató que al otro día del atentado le ace</w:t>
      </w:r>
      <w:r>
        <w:t>r</w:t>
      </w:r>
      <w:r>
        <w:t>caron un pedazo de volquete de una terraza ub</w:t>
      </w:r>
      <w:r>
        <w:t>i</w:t>
      </w:r>
      <w:r>
        <w:t xml:space="preserve">cada a unos </w:t>
      </w:r>
      <w:smartTag w:uri="urn:schemas-microsoft-com:office:smarttags" w:element="metricconverter">
        <w:smartTagPr>
          <w:attr w:name="ProductID" w:val="300 metros"/>
        </w:smartTagPr>
        <w:r>
          <w:t>300 metros</w:t>
        </w:r>
      </w:smartTag>
      <w:r>
        <w:t xml:space="preserve"> del lugar; Néstor Ricardo Hernández, quien agregó que la pieza medía aproximadamente </w:t>
      </w:r>
      <w:smartTag w:uri="urn:schemas-microsoft-com:office:smarttags" w:element="metricconverter">
        <w:smartTagPr>
          <w:attr w:name="ProductID" w:val="50 cm"/>
        </w:smartTagPr>
        <w:r>
          <w:t>50 cm</w:t>
        </w:r>
      </w:smartTag>
      <w:r>
        <w:t xml:space="preserve"> y que lu</w:t>
      </w:r>
      <w:r>
        <w:t>e</w:t>
      </w:r>
      <w:r>
        <w:t>go fue llevada a la base y Isaac Eduardo García, quien m</w:t>
      </w:r>
      <w:r>
        <w:t>a</w:t>
      </w:r>
      <w:r>
        <w:t>nifestó que el 18 de julio encontró “el hierro que bordea a los volquetes, la parte donde están los muñones para e</w:t>
      </w:r>
      <w:r>
        <w:t>n</w:t>
      </w:r>
      <w:r>
        <w:t>ganchar las cadenas”, que ese elemento llevaba la inscri</w:t>
      </w:r>
      <w:r>
        <w:t>p</w:t>
      </w:r>
      <w:r>
        <w:t xml:space="preserve">ción “Rita” y medía entre 2 y </w:t>
      </w:r>
      <w:smartTag w:uri="urn:schemas-microsoft-com:office:smarttags" w:element="metricconverter">
        <w:smartTagPr>
          <w:attr w:name="ProductID" w:val="3 metros"/>
        </w:smartTagPr>
        <w:r>
          <w:t>3 metros</w:t>
        </w:r>
      </w:smartTag>
      <w:r>
        <w:t>. Además, el nombr</w:t>
      </w:r>
      <w:r>
        <w:t>a</w:t>
      </w:r>
      <w:r>
        <w:t xml:space="preserve">do dijo que lo halló a unos </w:t>
      </w:r>
      <w:smartTag w:uri="urn:schemas-microsoft-com:office:smarttags" w:element="metricconverter">
        <w:smartTagPr>
          <w:attr w:name="ProductID" w:val="100 metros"/>
        </w:smartTagPr>
        <w:r>
          <w:t>100 metros</w:t>
        </w:r>
      </w:smartTag>
      <w:r>
        <w:t xml:space="preserve"> de la sede de </w:t>
      </w:r>
      <w:smartTag w:uri="urn:schemas-microsoft-com:office:smarttags" w:element="PersonName">
        <w:smartTagPr>
          <w:attr w:name="ProductID" w:val="la A.M"/>
        </w:smartTagPr>
        <w:r>
          <w:t>la A.M</w:t>
        </w:r>
      </w:smartTag>
      <w:r>
        <w:t>.I.A., lo que le pareció llamativo atendiendo a la r</w:t>
      </w:r>
      <w:r>
        <w:t>e</w:t>
      </w:r>
      <w:r>
        <w:t xml:space="preserve">sistencia de los volquetes. </w:t>
      </w:r>
    </w:p>
    <w:p w:rsidR="00224567" w:rsidRDefault="00224567">
      <w:pPr>
        <w:widowControl w:val="0"/>
        <w:ind w:firstLine="2800"/>
      </w:pPr>
      <w:r>
        <w:t>El letrado también evaluó los e</w:t>
      </w:r>
      <w:r>
        <w:t>s</w:t>
      </w:r>
      <w:r>
        <w:t>casos daños que presentó el patrullero estacionado a unos p</w:t>
      </w:r>
      <w:r>
        <w:t>o</w:t>
      </w:r>
      <w:r>
        <w:t>cos metros de la mutual, en comparación con los verif</w:t>
      </w:r>
      <w:r>
        <w:t>i</w:t>
      </w:r>
      <w:r>
        <w:t>cados en el volquete, que se desintegró por completo, siendo que ambos se encontraban a la misma distancia del foco de la explosión.</w:t>
      </w:r>
    </w:p>
    <w:p w:rsidR="00224567" w:rsidRDefault="00224567">
      <w:pPr>
        <w:widowControl w:val="0"/>
      </w:pPr>
      <w:r>
        <w:tab/>
        <w:t>Destacó que los peritos, a preguntas que no podían responder, llegaron a hablar de milagros, asignándole a las ondas y reflexiones, caprichosos derr</w:t>
      </w:r>
      <w:r>
        <w:t>o</w:t>
      </w:r>
      <w:r>
        <w:t>teros difíciles de seguir y, por lo tanto, de explicar científicamente.</w:t>
      </w:r>
    </w:p>
    <w:p w:rsidR="00224567" w:rsidRDefault="00224567">
      <w:pPr>
        <w:widowControl w:val="0"/>
      </w:pPr>
      <w:r>
        <w:tab/>
        <w:t>Por otra parte, el defensor refirió que el peritaje químico de fs. 50 del Informe Prelim</w:t>
      </w:r>
      <w:r>
        <w:t>i</w:t>
      </w:r>
      <w:r>
        <w:t>nar, practicado sobre uno de los restos del volquete, detectó la presencia de nitrato de amonio.</w:t>
      </w:r>
    </w:p>
    <w:p w:rsidR="00224567" w:rsidRDefault="00224567">
      <w:pPr>
        <w:widowControl w:val="0"/>
        <w:ind w:firstLine="2800"/>
      </w:pPr>
      <w:r>
        <w:t>Las tareas efectuadas, tendientes a verificar la existencia de un cráter producido por la e</w:t>
      </w:r>
      <w:r>
        <w:t>x</w:t>
      </w:r>
      <w:r>
        <w:t>plosión, fueron deficientes, razón por la cual, arg</w:t>
      </w:r>
      <w:r>
        <w:t>u</w:t>
      </w:r>
      <w:r>
        <w:t>mentó, no se puede descartar la posible existencia de algún t</w:t>
      </w:r>
      <w:r>
        <w:t>i</w:t>
      </w:r>
      <w:r>
        <w:t>po de impronta donde se depositó el contenedor.</w:t>
      </w:r>
    </w:p>
    <w:p w:rsidR="00224567" w:rsidRDefault="00224567">
      <w:pPr>
        <w:widowControl w:val="0"/>
      </w:pPr>
      <w:r>
        <w:tab/>
        <w:t>Resaltó que uno de los elementos que los peritos tuvieron en cuenta para elaborar sus concl</w:t>
      </w:r>
      <w:r>
        <w:t>u</w:t>
      </w:r>
      <w:r>
        <w:t>siones, según lo manifestaron en el debate, fue el esqui</w:t>
      </w:r>
      <w:r>
        <w:t>r</w:t>
      </w:r>
      <w:r>
        <w:t>lamiento y su proyección. Empero, dijo el letrado, llama la atención que el volquete no tuviera ningún tipo de pe</w:t>
      </w:r>
      <w:r>
        <w:t>r</w:t>
      </w:r>
      <w:r>
        <w:t>foración y que los peritos no pudieran dar explicaciones acerca del fenómeno.</w:t>
      </w:r>
    </w:p>
    <w:p w:rsidR="00224567" w:rsidRDefault="00224567">
      <w:pPr>
        <w:pStyle w:val="BodyText2"/>
        <w:widowControl w:val="0"/>
        <w:spacing w:line="600" w:lineRule="auto"/>
        <w:rPr>
          <w:rFonts w:ascii="Courier New" w:hAnsi="Courier New" w:cs="Courier New"/>
        </w:rPr>
      </w:pPr>
      <w:r>
        <w:rPr>
          <w:rFonts w:ascii="Courier New" w:hAnsi="Courier New" w:cs="Courier New"/>
          <w:szCs w:val="24"/>
          <w:lang w:val="es-ES"/>
        </w:rPr>
        <w:tab/>
        <w:t>Otro de los aspectos que fue deficientemente invest</w:t>
      </w:r>
      <w:r>
        <w:rPr>
          <w:rFonts w:ascii="Courier New" w:hAnsi="Courier New" w:cs="Courier New"/>
          <w:szCs w:val="24"/>
          <w:lang w:val="es-ES"/>
        </w:rPr>
        <w:t>i</w:t>
      </w:r>
      <w:r>
        <w:rPr>
          <w:rFonts w:ascii="Courier New" w:hAnsi="Courier New" w:cs="Courier New"/>
          <w:szCs w:val="24"/>
          <w:lang w:val="es-ES"/>
        </w:rPr>
        <w:t xml:space="preserve">gado, señaló, </w:t>
      </w:r>
      <w:r>
        <w:rPr>
          <w:rFonts w:ascii="Courier New" w:hAnsi="Courier New" w:cs="Courier New"/>
          <w:lang w:val="es-AR"/>
        </w:rPr>
        <w:t>fue la existencia de un helicóptero d</w:t>
      </w:r>
      <w:r>
        <w:rPr>
          <w:rFonts w:ascii="Courier New" w:hAnsi="Courier New" w:cs="Courier New"/>
          <w:lang w:val="es-AR"/>
        </w:rPr>
        <w:t>u</w:t>
      </w:r>
      <w:r>
        <w:rPr>
          <w:rFonts w:ascii="Courier New" w:hAnsi="Courier New" w:cs="Courier New"/>
          <w:lang w:val="es-AR"/>
        </w:rPr>
        <w:t xml:space="preserve">rante la madrugada del </w:t>
      </w:r>
      <w:r>
        <w:rPr>
          <w:rFonts w:ascii="Courier New" w:hAnsi="Courier New" w:cs="Courier New"/>
        </w:rPr>
        <w:t>18 de julio de 1994, que sobrevoló e il</w:t>
      </w:r>
      <w:r>
        <w:rPr>
          <w:rFonts w:ascii="Courier New" w:hAnsi="Courier New" w:cs="Courier New"/>
        </w:rPr>
        <w:t>u</w:t>
      </w:r>
      <w:r>
        <w:rPr>
          <w:rFonts w:ascii="Courier New" w:hAnsi="Courier New" w:cs="Courier New"/>
        </w:rPr>
        <w:t xml:space="preserve">minó por un prolongado lapso los techos de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 xml:space="preserve">.I.A. </w:t>
      </w:r>
    </w:p>
    <w:p w:rsidR="00224567" w:rsidRDefault="00224567">
      <w:pPr>
        <w:widowControl w:val="0"/>
      </w:pPr>
      <w:r>
        <w:tab/>
        <w:t>Resaltó el letrado que existían v</w:t>
      </w:r>
      <w:r>
        <w:t>a</w:t>
      </w:r>
      <w:r>
        <w:t xml:space="preserve">rios testigos que dieron cuenta acerca de ese extremo; y citó las numerosas encuestas elaboradas por </w:t>
      </w:r>
      <w:smartTag w:uri="urn:schemas-microsoft-com:office:smarttags" w:element="PersonName">
        <w:smartTagPr>
          <w:attr w:name="ProductID" w:val="la S.I"/>
        </w:smartTagPr>
        <w:r>
          <w:t>la S.I</w:t>
        </w:r>
      </w:smartTag>
      <w:r>
        <w:t>.D.E., de las que surgen que fueron muchos los vec</w:t>
      </w:r>
      <w:r>
        <w:t>i</w:t>
      </w:r>
      <w:r>
        <w:t>nos que manifestaron haber visto o escuchado el sobr</w:t>
      </w:r>
      <w:r>
        <w:t>e</w:t>
      </w:r>
      <w:r>
        <w:t>vuelo de un helicóptero la noche del 17 y/o m</w:t>
      </w:r>
      <w:r>
        <w:t>a</w:t>
      </w:r>
      <w:r>
        <w:t>drugada del 18 de julio de 1994.</w:t>
      </w:r>
    </w:p>
    <w:p w:rsidR="00224567" w:rsidRDefault="00224567">
      <w:pPr>
        <w:pStyle w:val="Textoindependiente2"/>
        <w:widowControl w:val="0"/>
        <w:rPr>
          <w:rFonts w:ascii="Courier New" w:hAnsi="Courier New" w:cs="Courier New"/>
        </w:rPr>
      </w:pPr>
      <w:r>
        <w:rPr>
          <w:rFonts w:ascii="Courier New" w:hAnsi="Courier New" w:cs="Courier New"/>
        </w:rPr>
        <w:tab/>
        <w:t>Sin embargo, observó el defensor, r</w:t>
      </w:r>
      <w:r>
        <w:rPr>
          <w:rFonts w:ascii="Courier New" w:hAnsi="Courier New" w:cs="Courier New"/>
        </w:rPr>
        <w:t>e</w:t>
      </w:r>
      <w:r>
        <w:rPr>
          <w:rFonts w:ascii="Courier New" w:hAnsi="Courier New" w:cs="Courier New"/>
        </w:rPr>
        <w:t>cién al mes de ocurrido el atentado, en virtud de los d</w:t>
      </w:r>
      <w:r>
        <w:rPr>
          <w:rFonts w:ascii="Courier New" w:hAnsi="Courier New" w:cs="Courier New"/>
        </w:rPr>
        <w:t>i</w:t>
      </w:r>
      <w:r>
        <w:rPr>
          <w:rFonts w:ascii="Courier New" w:hAnsi="Courier New" w:cs="Courier New"/>
        </w:rPr>
        <w:t>chos de la testigo Marta Nilda Portela, el juez solicitó informes sobre el particular.</w:t>
      </w:r>
    </w:p>
    <w:p w:rsidR="00224567" w:rsidRDefault="00224567">
      <w:pPr>
        <w:widowControl w:val="0"/>
      </w:pPr>
      <w:r>
        <w:tab/>
        <w:t>Acerca de los vuelos ocurridos el día del atentado, destacó que el horario sobre el que inter</w:t>
      </w:r>
      <w:r>
        <w:t>e</w:t>
      </w:r>
      <w:r>
        <w:t>saba preguntar -medianoche y primeras horas del 18 de j</w:t>
      </w:r>
      <w:r>
        <w:t>u</w:t>
      </w:r>
      <w:r>
        <w:t>lio de 1994- quedó fuera de la r</w:t>
      </w:r>
      <w:r>
        <w:t>e</w:t>
      </w:r>
      <w:r>
        <w:t>quisitoria del juez, pese a que la mayoría de los testigos habían manifest</w:t>
      </w:r>
      <w:r>
        <w:t>a</w:t>
      </w:r>
      <w:r>
        <w:t>do que el sobrevuelo tuvo lugar luego de la medianoche.</w:t>
      </w:r>
    </w:p>
    <w:p w:rsidR="00224567" w:rsidRDefault="00224567">
      <w:pPr>
        <w:pStyle w:val="Textoindependiente2"/>
        <w:widowControl w:val="0"/>
        <w:rPr>
          <w:rFonts w:ascii="Courier New" w:hAnsi="Courier New" w:cs="Courier New"/>
        </w:rPr>
      </w:pPr>
      <w:r>
        <w:rPr>
          <w:rFonts w:ascii="Courier New" w:hAnsi="Courier New" w:cs="Courier New"/>
        </w:rPr>
        <w:tab/>
        <w:t xml:space="preserve">Por su parte, indicó, </w:t>
      </w:r>
      <w:smartTag w:uri="urn:schemas-microsoft-com:office:smarttags" w:element="PersonName">
        <w:smartTagPr>
          <w:attr w:name="ProductID" w:val="la Direcci￳n"/>
        </w:smartTagPr>
        <w:r>
          <w:rPr>
            <w:rFonts w:ascii="Courier New" w:hAnsi="Courier New" w:cs="Courier New"/>
          </w:rPr>
          <w:t>la Dire</w:t>
        </w:r>
        <w:r>
          <w:rPr>
            <w:rFonts w:ascii="Courier New" w:hAnsi="Courier New" w:cs="Courier New"/>
          </w:rPr>
          <w:t>c</w:t>
        </w:r>
        <w:r>
          <w:rPr>
            <w:rFonts w:ascii="Courier New" w:hAnsi="Courier New" w:cs="Courier New"/>
          </w:rPr>
          <w:t>ción</w:t>
        </w:r>
      </w:smartTag>
      <w:r>
        <w:rPr>
          <w:rFonts w:ascii="Courier New" w:hAnsi="Courier New" w:cs="Courier New"/>
        </w:rPr>
        <w:t xml:space="preserve"> de Tránsito Aéreo de </w:t>
      </w:r>
      <w:smartTag w:uri="urn:schemas-microsoft-com:office:smarttags" w:element="PersonName">
        <w:smartTagPr>
          <w:attr w:name="ProductID" w:val="la Fuerza A￩rea"/>
        </w:smartTagPr>
        <w:r>
          <w:rPr>
            <w:rFonts w:ascii="Courier New" w:hAnsi="Courier New" w:cs="Courier New"/>
          </w:rPr>
          <w:t>la Fuerza Aérea</w:t>
        </w:r>
      </w:smartTag>
      <w:r>
        <w:rPr>
          <w:rFonts w:ascii="Courier New" w:hAnsi="Courier New" w:cs="Courier New"/>
        </w:rPr>
        <w:t xml:space="preserve"> Argentina informó que el 17 de julio de 1994, entre las 22.06 y las 23.00, voló un helicóptero y que el 18 de j</w:t>
      </w:r>
      <w:r>
        <w:rPr>
          <w:rFonts w:ascii="Courier New" w:hAnsi="Courier New" w:cs="Courier New"/>
        </w:rPr>
        <w:t>u</w:t>
      </w:r>
      <w:r>
        <w:rPr>
          <w:rFonts w:ascii="Courier New" w:hAnsi="Courier New" w:cs="Courier New"/>
        </w:rPr>
        <w:t>lio se registraron dos vuelos entre Olivos y la isla Demarchi y entre ésta y Casa de G</w:t>
      </w:r>
      <w:r>
        <w:rPr>
          <w:rFonts w:ascii="Courier New" w:hAnsi="Courier New" w:cs="Courier New"/>
        </w:rPr>
        <w:t>o</w:t>
      </w:r>
      <w:r>
        <w:rPr>
          <w:rFonts w:ascii="Courier New" w:hAnsi="Courier New" w:cs="Courier New"/>
        </w:rPr>
        <w:t>bierno, entre las 8.10 y 8.20 y las 9.10 y 9.12, respect</w:t>
      </w:r>
      <w:r>
        <w:rPr>
          <w:rFonts w:ascii="Courier New" w:hAnsi="Courier New" w:cs="Courier New"/>
        </w:rPr>
        <w:t>i</w:t>
      </w:r>
      <w:r>
        <w:rPr>
          <w:rFonts w:ascii="Courier New" w:hAnsi="Courier New" w:cs="Courier New"/>
        </w:rPr>
        <w:t>vamente; uno entre Don To</w:t>
      </w:r>
      <w:r>
        <w:rPr>
          <w:rFonts w:ascii="Courier New" w:hAnsi="Courier New" w:cs="Courier New"/>
        </w:rPr>
        <w:t>r</w:t>
      </w:r>
      <w:r>
        <w:rPr>
          <w:rFonts w:ascii="Courier New" w:hAnsi="Courier New" w:cs="Courier New"/>
        </w:rPr>
        <w:t>cuato y Quilmes y dos entre las 8.20 y 9.22 y otro a partir de las 9.56.</w:t>
      </w:r>
    </w:p>
    <w:p w:rsidR="00224567" w:rsidRDefault="00224567">
      <w:pPr>
        <w:widowControl w:val="0"/>
      </w:pPr>
      <w:r>
        <w:tab/>
        <w:t>Pese a las notables diferencias entre ambos informes, e</w:t>
      </w:r>
      <w:r>
        <w:t>x</w:t>
      </w:r>
      <w:r>
        <w:t>presó el defensor, el juez instructor y los fiscales nada hicieron al re</w:t>
      </w:r>
      <w:r>
        <w:t>s</w:t>
      </w:r>
      <w:r>
        <w:t>pecto.</w:t>
      </w:r>
    </w:p>
    <w:p w:rsidR="00224567" w:rsidRDefault="00224567">
      <w:pPr>
        <w:widowControl w:val="0"/>
      </w:pPr>
      <w:r>
        <w:tab/>
        <w:t>Casi cuatro años después del atent</w:t>
      </w:r>
      <w:r>
        <w:t>a</w:t>
      </w:r>
      <w:r>
        <w:t>do, observó, ante un pedido de la querella “Memoria Activa”, el juez dispuso finalmente recibir declaración a los pil</w:t>
      </w:r>
      <w:r>
        <w:t>o</w:t>
      </w:r>
      <w:r>
        <w:t>tos de los helicópteros. Calificó como increíble que, e</w:t>
      </w:r>
      <w:r>
        <w:t>n</w:t>
      </w:r>
      <w:r>
        <w:t>tre tantos legajos anal</w:t>
      </w:r>
      <w:r>
        <w:t>i</w:t>
      </w:r>
      <w:r>
        <w:t>zados, no se hubiera verificado el motivo por el cual un helicóptero sobrevoló la mutual i</w:t>
      </w:r>
      <w:r>
        <w:t>s</w:t>
      </w:r>
      <w:r>
        <w:t>raelita en la madrugada del 18 de j</w:t>
      </w:r>
      <w:r>
        <w:t>u</w:t>
      </w:r>
      <w:r>
        <w:t>lio de 1994, señalando que lo poco que se investigó se hizo mal y tardíamente.</w:t>
      </w:r>
      <w:r>
        <w:tab/>
        <w:t>Sobre el punto señaló el test</w:t>
      </w:r>
      <w:r>
        <w:t>i</w:t>
      </w:r>
      <w:r>
        <w:t>monio de Jorge Hugo Bianchi, controlador de tránsito aéreo de la torre de aeroparque, quien en el debate dijo que por el tiempo transcurrido era imposible dete</w:t>
      </w:r>
      <w:r>
        <w:t>r</w:t>
      </w:r>
      <w:r>
        <w:t xml:space="preserve">minar si el 17 ó 18 de julio de 1994 hubo un helicóptero sobrevolando </w:t>
      </w:r>
      <w:smartTag w:uri="urn:schemas-microsoft-com:office:smarttags" w:element="PersonName">
        <w:smartTagPr>
          <w:attr w:name="ProductID" w:val="la A.M"/>
        </w:smartTagPr>
        <w:r>
          <w:t>la A.M</w:t>
        </w:r>
      </w:smartTag>
      <w:r>
        <w:t>.I.A., puesto que los registros se guardan sólo durante seis meses.</w:t>
      </w:r>
    </w:p>
    <w:p w:rsidR="00224567" w:rsidRDefault="00224567">
      <w:pPr>
        <w:widowControl w:val="0"/>
      </w:pPr>
      <w:r>
        <w:tab/>
        <w:t xml:space="preserve"> El defensor aseguró que en la pesqu</w:t>
      </w:r>
      <w:r>
        <w:t>i</w:t>
      </w:r>
      <w:r>
        <w:t>sa, se asentaron c</w:t>
      </w:r>
      <w:r>
        <w:t>o</w:t>
      </w:r>
      <w:r>
        <w:t>mo verdades irrefutables cosas que, en realidad no eran tales. Esas asever</w:t>
      </w:r>
      <w:r>
        <w:t>a</w:t>
      </w:r>
      <w:r>
        <w:t>ciones se mantuvieron en el requerimiento, en el auto de elevación y en la ac</w:t>
      </w:r>
      <w:r>
        <w:t>u</w:t>
      </w:r>
      <w:r>
        <w:t xml:space="preserve">sación fiscal y, como ejemplo de ello, indicó la cuestión relativa a la seguridad interna de la sede de </w:t>
      </w:r>
      <w:smartTag w:uri="urn:schemas-microsoft-com:office:smarttags" w:element="PersonName">
        <w:smartTagPr>
          <w:attr w:name="ProductID" w:val="la A.M"/>
        </w:smartTagPr>
        <w:r>
          <w:t>la A.M</w:t>
        </w:r>
      </w:smartTag>
      <w:r>
        <w:t xml:space="preserve">.I.A. </w:t>
      </w:r>
    </w:p>
    <w:p w:rsidR="00224567" w:rsidRDefault="00224567">
      <w:pPr>
        <w:widowControl w:val="0"/>
      </w:pPr>
      <w:r>
        <w:tab/>
        <w:t>Así, dijo el letrado, los fiscales i</w:t>
      </w:r>
      <w:r>
        <w:t>n</w:t>
      </w:r>
      <w:r>
        <w:t>tentaron mostrar el edificio como una verdadera “fortal</w:t>
      </w:r>
      <w:r>
        <w:t>e</w:t>
      </w:r>
      <w:r>
        <w:t>za” para de esa manera aventar cualquier posibilidad de que el explosivo utilizado haya ingresado de una manera distinta a la sostenida en la versión oficial. No obsta</w:t>
      </w:r>
      <w:r>
        <w:t>n</w:t>
      </w:r>
      <w:r>
        <w:t>te, señaló la defensa, la mayoría de los testigos ofreci</w:t>
      </w:r>
      <w:r>
        <w:t>e</w:t>
      </w:r>
      <w:r>
        <w:t>ron una versión di</w:t>
      </w:r>
      <w:r>
        <w:t>s</w:t>
      </w:r>
      <w:r>
        <w:t>tinta a la sostenida por la acusación.</w:t>
      </w:r>
    </w:p>
    <w:p w:rsidR="00224567" w:rsidRDefault="00224567">
      <w:pPr>
        <w:widowControl w:val="0"/>
      </w:pPr>
      <w:r>
        <w:tab/>
        <w:t>Remarcó que también se pretendió ocu</w:t>
      </w:r>
      <w:r>
        <w:t>l</w:t>
      </w:r>
      <w:r>
        <w:t>tar la existencia de otros ingresos, de otras salidas y conexiones con sus edificios linderos. El objeto, dijo el defensor, era reforzar indirectamente la única hipótesis oficial desde el primer mome</w:t>
      </w:r>
      <w:r>
        <w:t>n</w:t>
      </w:r>
      <w:r>
        <w:t>to.</w:t>
      </w:r>
    </w:p>
    <w:p w:rsidR="00224567" w:rsidRDefault="00224567">
      <w:pPr>
        <w:pStyle w:val="Textoindependiente2"/>
        <w:widowControl w:val="0"/>
        <w:rPr>
          <w:rFonts w:ascii="Courier New" w:hAnsi="Courier New" w:cs="Courier New"/>
        </w:rPr>
      </w:pPr>
      <w:r>
        <w:rPr>
          <w:rFonts w:ascii="Courier New" w:hAnsi="Courier New" w:cs="Courier New"/>
        </w:rPr>
        <w:tab/>
        <w:t>A las ya reseñadas, señaló el Dr. M</w:t>
      </w:r>
      <w:r>
        <w:rPr>
          <w:rFonts w:ascii="Courier New" w:hAnsi="Courier New" w:cs="Courier New"/>
        </w:rPr>
        <w:t>o</w:t>
      </w:r>
      <w:r>
        <w:rPr>
          <w:rFonts w:ascii="Courier New" w:hAnsi="Courier New" w:cs="Courier New"/>
        </w:rPr>
        <w:t>reno, se aúnan otras cuestiones que surgen desde el c</w:t>
      </w:r>
      <w:r>
        <w:rPr>
          <w:rFonts w:ascii="Courier New" w:hAnsi="Courier New" w:cs="Courier New"/>
        </w:rPr>
        <w:t>o</w:t>
      </w:r>
      <w:r>
        <w:rPr>
          <w:rFonts w:ascii="Courier New" w:hAnsi="Courier New" w:cs="Courier New"/>
        </w:rPr>
        <w:t>mienzo de la investigación e, incluso, anteriores, t</w:t>
      </w:r>
      <w:r>
        <w:rPr>
          <w:rFonts w:ascii="Courier New" w:hAnsi="Courier New" w:cs="Courier New"/>
        </w:rPr>
        <w:t>o</w:t>
      </w:r>
      <w:r>
        <w:rPr>
          <w:rFonts w:ascii="Courier New" w:hAnsi="Courier New" w:cs="Courier New"/>
        </w:rPr>
        <w:t>davía no develadas.</w:t>
      </w:r>
    </w:p>
    <w:p w:rsidR="00224567" w:rsidRDefault="00224567">
      <w:pPr>
        <w:pStyle w:val="Textoindependiente2"/>
        <w:widowControl w:val="0"/>
        <w:ind w:firstLine="2800"/>
        <w:rPr>
          <w:rFonts w:ascii="Courier New" w:hAnsi="Courier New" w:cs="Courier New"/>
        </w:rPr>
      </w:pPr>
      <w:r>
        <w:rPr>
          <w:rFonts w:ascii="Courier New" w:hAnsi="Courier New" w:cs="Courier New"/>
        </w:rPr>
        <w:t>Como cuestionamientos anteriores al atentado, el letrado enumeró la existencia de causas ind</w:t>
      </w:r>
      <w:r>
        <w:rPr>
          <w:rFonts w:ascii="Courier New" w:hAnsi="Courier New" w:cs="Courier New"/>
        </w:rPr>
        <w:t>u</w:t>
      </w:r>
      <w:r>
        <w:rPr>
          <w:rFonts w:ascii="Courier New" w:hAnsi="Courier New" w:cs="Courier New"/>
        </w:rPr>
        <w:t>dablemente relacionadas con el hecho, que investigaba el juez Federal de Lomas de Zamora; la utilización de éstas sin conocimiento de sus resultados; seguimiento e intel</w:t>
      </w:r>
      <w:r>
        <w:rPr>
          <w:rFonts w:ascii="Courier New" w:hAnsi="Courier New" w:cs="Courier New"/>
        </w:rPr>
        <w:t>i</w:t>
      </w:r>
      <w:r>
        <w:rPr>
          <w:rFonts w:ascii="Courier New" w:hAnsi="Courier New" w:cs="Courier New"/>
        </w:rPr>
        <w:t>gencia sobre “blancos” que no se asentaron en la causa principal y la extraña aparición de números telefónicos antes de que cualquier concatenación lógica pudiera arr</w:t>
      </w:r>
      <w:r>
        <w:rPr>
          <w:rFonts w:ascii="Courier New" w:hAnsi="Courier New" w:cs="Courier New"/>
        </w:rPr>
        <w:t>o</w:t>
      </w:r>
      <w:r>
        <w:rPr>
          <w:rFonts w:ascii="Courier New" w:hAnsi="Courier New" w:cs="Courier New"/>
        </w:rPr>
        <w:t xml:space="preserve">jarlos a la luz del expediente. </w:t>
      </w:r>
    </w:p>
    <w:p w:rsidR="00224567" w:rsidRDefault="00224567">
      <w:pPr>
        <w:pStyle w:val="Textoindependiente2"/>
        <w:widowControl w:val="0"/>
        <w:rPr>
          <w:rFonts w:ascii="Courier New" w:hAnsi="Courier New" w:cs="Courier New"/>
        </w:rPr>
      </w:pPr>
      <w:r>
        <w:rPr>
          <w:rFonts w:ascii="Courier New" w:hAnsi="Courier New" w:cs="Courier New"/>
        </w:rPr>
        <w:tab/>
        <w:t>Como contemporáneos al hecho, señaló la total impericia de los encargados del relevamiento y recolección de pruebas; las expresas ó</w:t>
      </w:r>
      <w:r>
        <w:rPr>
          <w:rFonts w:ascii="Courier New" w:hAnsi="Courier New" w:cs="Courier New"/>
        </w:rPr>
        <w:t>r</w:t>
      </w:r>
      <w:r>
        <w:rPr>
          <w:rFonts w:ascii="Courier New" w:hAnsi="Courier New" w:cs="Courier New"/>
        </w:rPr>
        <w:t>denes que se dieron al respecto; el direccionamiento hacia la hip</w:t>
      </w:r>
      <w:r>
        <w:rPr>
          <w:rFonts w:ascii="Courier New" w:hAnsi="Courier New" w:cs="Courier New"/>
        </w:rPr>
        <w:t>ó</w:t>
      </w:r>
      <w:r>
        <w:rPr>
          <w:rFonts w:ascii="Courier New" w:hAnsi="Courier New" w:cs="Courier New"/>
        </w:rPr>
        <w:t>tesis única y el descrédito falaz de cualquier otra.</w:t>
      </w:r>
    </w:p>
    <w:p w:rsidR="00224567" w:rsidRDefault="00224567">
      <w:pPr>
        <w:pStyle w:val="Textoindependiente"/>
        <w:spacing w:line="600" w:lineRule="auto"/>
      </w:pPr>
      <w:r>
        <w:tab/>
        <w:t>Luego del suceso terrorista, dijo la d</w:t>
      </w:r>
      <w:r>
        <w:t>e</w:t>
      </w:r>
      <w:r>
        <w:t>fensa, existió toda una actividad tendiente a inculpar a los pol</w:t>
      </w:r>
      <w:r>
        <w:t>i</w:t>
      </w:r>
      <w:r>
        <w:t>cías imputados -entre ellos, sus representados-, de lo que da cuenta no sólo la entrega de dinero a Carlos Alberto T</w:t>
      </w:r>
      <w:r>
        <w:t>e</w:t>
      </w:r>
      <w:r>
        <w:t>lleldín, sino que también las actitudes asumidas con test</w:t>
      </w:r>
      <w:r>
        <w:t>i</w:t>
      </w:r>
      <w:r>
        <w:t>gos, imputados -a veces beneficiados, otras coa</w:t>
      </w:r>
      <w:r>
        <w:t>c</w:t>
      </w:r>
      <w:r>
        <w:t>cionados- y el ocultamiento de sus identidades, a la par que fals</w:t>
      </w:r>
      <w:r>
        <w:t>a</w:t>
      </w:r>
      <w:r>
        <w:t>mente se hacían aparecer declaraciones en el exp</w:t>
      </w:r>
      <w:r>
        <w:t>e</w:t>
      </w:r>
      <w:r>
        <w:t xml:space="preserve">diente. </w:t>
      </w:r>
    </w:p>
    <w:p w:rsidR="00224567" w:rsidRDefault="00224567">
      <w:pPr>
        <w:pStyle w:val="Textoindependiente"/>
        <w:spacing w:line="600" w:lineRule="auto"/>
      </w:pPr>
      <w:r>
        <w:tab/>
        <w:t>Afirmó el defensor que, en oposición a la i</w:t>
      </w:r>
      <w:r>
        <w:t>n</w:t>
      </w:r>
      <w:r>
        <w:t>dependencia que debe guiar la actividad de un juez, del plan descrito no era ajeno el Poder Ejec</w:t>
      </w:r>
      <w:r>
        <w:t>u</w:t>
      </w:r>
      <w:r>
        <w:t>tivo, quién según los dichos del periodista Román Lejtman, ofrecía dinero a través de sus funcionarios por la d</w:t>
      </w:r>
      <w:r>
        <w:t>e</w:t>
      </w:r>
      <w:r>
        <w:t xml:space="preserve">claración de Telleldín. </w:t>
      </w:r>
    </w:p>
    <w:p w:rsidR="00224567" w:rsidRDefault="00224567">
      <w:pPr>
        <w:pStyle w:val="Textoindependiente"/>
        <w:spacing w:line="600" w:lineRule="auto"/>
        <w:ind w:firstLine="2800"/>
      </w:pPr>
      <w:r>
        <w:t>Tampoco lo fue el Poder Legislat</w:t>
      </w:r>
      <w:r>
        <w:t>i</w:t>
      </w:r>
      <w:r>
        <w:t>vo, ya que tras el episodio del video, ninguno de los int</w:t>
      </w:r>
      <w:r>
        <w:t>e</w:t>
      </w:r>
      <w:r>
        <w:t xml:space="preserve">grantes que componía </w:t>
      </w:r>
      <w:smartTag w:uri="urn:schemas-microsoft-com:office:smarttags" w:element="PersonName">
        <w:smartTagPr>
          <w:attr w:name="ProductID" w:val="la Comisi￳n Bicameral"/>
        </w:smartTagPr>
        <w:r>
          <w:t>la Comisión Bicameral</w:t>
        </w:r>
      </w:smartTag>
      <w:r>
        <w:t xml:space="preserve"> podía alegar desconoc</w:t>
      </w:r>
      <w:r>
        <w:t>i</w:t>
      </w:r>
      <w:r>
        <w:t xml:space="preserve">miento sobre lo que ocurría. </w:t>
      </w:r>
    </w:p>
    <w:p w:rsidR="00224567" w:rsidRDefault="00224567">
      <w:pPr>
        <w:pStyle w:val="Textoindependiente"/>
        <w:spacing w:line="600" w:lineRule="auto"/>
      </w:pPr>
      <w:r>
        <w:tab/>
        <w:t>Es inconcebible, señaló, la intromisión de otros poderes en causas judiciales.</w:t>
      </w:r>
    </w:p>
    <w:p w:rsidR="00224567" w:rsidRDefault="00224567">
      <w:pPr>
        <w:pStyle w:val="Textoindependiente"/>
        <w:spacing w:line="600" w:lineRule="auto"/>
      </w:pPr>
      <w:r>
        <w:tab/>
        <w:t>Agregó que también los medios de comunic</w:t>
      </w:r>
      <w:r>
        <w:t>a</w:t>
      </w:r>
      <w:r>
        <w:t>ción fueron utiliz</w:t>
      </w:r>
      <w:r>
        <w:t>a</w:t>
      </w:r>
      <w:r>
        <w:t>dos en la difusión de la hipótesis sostenida por el juzgado instructor, mencionando, al respecto, las presiones del ex comis</w:t>
      </w:r>
      <w:r>
        <w:t>a</w:t>
      </w:r>
      <w:r>
        <w:t xml:space="preserve">rio Luis Ernesto Vicat en </w:t>
      </w:r>
      <w:smartTag w:uri="urn:schemas-microsoft-com:office:smarttags" w:element="PersonName">
        <w:smartTagPr>
          <w:attr w:name="ProductID" w:val="la Revista Noticias"/>
        </w:smartTagPr>
        <w:r>
          <w:t>la Revista Noticias</w:t>
        </w:r>
      </w:smartTag>
      <w:r>
        <w:t>, para evitar la publicación de una nota periodí</w:t>
      </w:r>
      <w:r>
        <w:t>s</w:t>
      </w:r>
      <w:r>
        <w:t>tica co</w:t>
      </w:r>
      <w:r>
        <w:t>n</w:t>
      </w:r>
      <w:r>
        <w:t xml:space="preserve">traria a la “historia oficial”. </w:t>
      </w:r>
    </w:p>
    <w:p w:rsidR="00224567" w:rsidRDefault="00224567">
      <w:pPr>
        <w:pStyle w:val="Textoindependiente"/>
        <w:spacing w:line="600" w:lineRule="auto"/>
      </w:pPr>
      <w:r>
        <w:tab/>
        <w:t>Sostuvo el defensor que la “causa material” tuvo un doble propósito: falsificador y falsif</w:t>
      </w:r>
      <w:r>
        <w:t>i</w:t>
      </w:r>
      <w:r>
        <w:t>cante de la verdad. Falsificador, por ser una inexacta c</w:t>
      </w:r>
      <w:r>
        <w:t>o</w:t>
      </w:r>
      <w:r>
        <w:t>pia de lo que realmente acontecía en la verdadera “causa virtual” y fa</w:t>
      </w:r>
      <w:r>
        <w:t>l</w:t>
      </w:r>
      <w:r>
        <w:t xml:space="preserve">sificante porque tenía como objetivo el ocultamiento de aquélla. </w:t>
      </w:r>
    </w:p>
    <w:p w:rsidR="00224567" w:rsidRDefault="00224567">
      <w:pPr>
        <w:pStyle w:val="Textoindependiente"/>
        <w:spacing w:line="600" w:lineRule="auto"/>
      </w:pPr>
      <w:r>
        <w:t xml:space="preserve"> </w:t>
      </w:r>
      <w:r>
        <w:tab/>
        <w:t>El defensor consideró que se demostró la vi</w:t>
      </w:r>
      <w:r>
        <w:t>o</w:t>
      </w:r>
      <w:r>
        <w:t>lación a la garantía de imparcialidad por parte del juez durante el proceso, citando, a modo de ejemplo, el pago que se efectuó al imputado Telleldín. En cons</w:t>
      </w:r>
      <w:r>
        <w:t>e</w:t>
      </w:r>
      <w:r>
        <w:t>cuencia, afirmó, el juez perdió la neutralidad exigida respecto de la hip</w:t>
      </w:r>
      <w:r>
        <w:t>ó</w:t>
      </w:r>
      <w:r>
        <w:t xml:space="preserve">tesis acusadora, tal cual lo preceptúa </w:t>
      </w:r>
      <w:smartTag w:uri="urn:schemas-microsoft-com:office:smarttags" w:element="PersonName">
        <w:smartTagPr>
          <w:attr w:name="ProductID" w:val="la C.I"/>
        </w:smartTagPr>
        <w:r>
          <w:t>la C.I</w:t>
        </w:r>
      </w:smartTag>
      <w:r>
        <w:t>.D.H. en el informe nº 5/96.</w:t>
      </w:r>
    </w:p>
    <w:p w:rsidR="00224567" w:rsidRDefault="00224567">
      <w:pPr>
        <w:pStyle w:val="Textoindependiente"/>
        <w:spacing w:line="600" w:lineRule="auto"/>
      </w:pPr>
      <w:r>
        <w:tab/>
        <w:t>Ambas causales –falta de independencia e i</w:t>
      </w:r>
      <w:r>
        <w:t>m</w:t>
      </w:r>
      <w:r>
        <w:t>parcialidad-, sostuvo, se verificaron en la denominada “causa virtual”. Consideró que con dicho accionar se oc</w:t>
      </w:r>
      <w:r>
        <w:t>a</w:t>
      </w:r>
      <w:r>
        <w:t>sionó un perjuicio no sólo a sus asistidos, respecto de quiénes se impone la libre absolución, sino a la sociedad toda, impidiendo de ese modo la reconstrucción y el conoc</w:t>
      </w:r>
      <w:r>
        <w:t>i</w:t>
      </w:r>
      <w:r>
        <w:t xml:space="preserve">miento de la verdad. </w:t>
      </w:r>
    </w:p>
    <w:p w:rsidR="00224567" w:rsidRDefault="00224567">
      <w:pPr>
        <w:pStyle w:val="Textoindependiente"/>
        <w:spacing w:line="600" w:lineRule="auto"/>
      </w:pPr>
      <w:r>
        <w:tab/>
        <w:t>Seguidamente, el defensor público oficial a</w:t>
      </w:r>
      <w:r>
        <w:t>d</w:t>
      </w:r>
      <w:r>
        <w:t>junto, Dr. Gu</w:t>
      </w:r>
      <w:r>
        <w:t>i</w:t>
      </w:r>
      <w:r>
        <w:t xml:space="preserve">llermo Lozano, con fundamento en los citados fallos de </w:t>
      </w:r>
      <w:smartTag w:uri="urn:schemas-microsoft-com:office:smarttags" w:element="PersonName">
        <w:smartTagPr>
          <w:attr w:name="ProductID" w:val="la C.S"/>
        </w:smartTagPr>
        <w:r>
          <w:t>la C.S</w:t>
        </w:r>
      </w:smartTag>
      <w:r>
        <w:t>.J.N., requirió la libre absolución de su asistido Mario Norberto B</w:t>
      </w:r>
      <w:r>
        <w:t>a</w:t>
      </w:r>
      <w:r>
        <w:t>reiro ante la falta de acusación por el hecho del 10 de julio de 1994.</w:t>
      </w:r>
    </w:p>
    <w:p w:rsidR="00224567" w:rsidRDefault="00224567">
      <w:pPr>
        <w:widowControl w:val="0"/>
      </w:pPr>
      <w:r>
        <w:tab/>
        <w:t>En punto a la participación de su asistido Bareiro en el atentado terrorista, el defensor hizo hincapié en la ausencia probatoria que reflejan las acusaciones formuladas en su contra.</w:t>
      </w:r>
    </w:p>
    <w:p w:rsidR="00224567" w:rsidRDefault="00224567">
      <w:pPr>
        <w:widowControl w:val="0"/>
        <w:rPr>
          <w:lang w:val="es-MX"/>
        </w:rPr>
      </w:pPr>
      <w:r>
        <w:tab/>
        <w:t>Al respecto, el defensor trajo a col</w:t>
      </w:r>
      <w:r>
        <w:t>a</w:t>
      </w:r>
      <w:r>
        <w:t xml:space="preserve">ción lo expuesto por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xml:space="preserve"> en el precedente “Luque, Guillermo y otro”, del 26 de noviembre de 2002, en punto a los requisitos que debe satisfacer la acusación para ser considerada válida con relación al </w:t>
      </w:r>
      <w:r>
        <w:rPr>
          <w:lang w:val="es-MX"/>
        </w:rPr>
        <w:t>principio de correlación entre acusación, d</w:t>
      </w:r>
      <w:r>
        <w:rPr>
          <w:lang w:val="es-MX"/>
        </w:rPr>
        <w:t>e</w:t>
      </w:r>
      <w:r>
        <w:rPr>
          <w:lang w:val="es-MX"/>
        </w:rPr>
        <w:t>fensa y sentencia.</w:t>
      </w:r>
    </w:p>
    <w:p w:rsidR="00224567" w:rsidRDefault="00224567">
      <w:pPr>
        <w:widowControl w:val="0"/>
        <w:ind w:firstLine="2800"/>
        <w:rPr>
          <w:b/>
          <w:bCs/>
          <w:lang w:val="es-MX"/>
        </w:rPr>
      </w:pPr>
      <w:r>
        <w:rPr>
          <w:lang w:val="es-MX"/>
        </w:rPr>
        <w:t>Entendió el defensor que el pri</w:t>
      </w:r>
      <w:r>
        <w:rPr>
          <w:lang w:val="es-MX"/>
        </w:rPr>
        <w:t>n</w:t>
      </w:r>
      <w:r>
        <w:rPr>
          <w:lang w:val="es-MX"/>
        </w:rPr>
        <w:t>cipio no fue satisfecho en la acusación fiscal, en virtud de la inexistencia de los caracteres de claridad y prec</w:t>
      </w:r>
      <w:r>
        <w:rPr>
          <w:lang w:val="es-MX"/>
        </w:rPr>
        <w:t>i</w:t>
      </w:r>
      <w:r>
        <w:rPr>
          <w:lang w:val="es-MX"/>
        </w:rPr>
        <w:t>sión; en particular, dijo, se omitió efectuar una relación circun</w:t>
      </w:r>
      <w:r>
        <w:rPr>
          <w:lang w:val="es-MX"/>
        </w:rPr>
        <w:t>s</w:t>
      </w:r>
      <w:r>
        <w:rPr>
          <w:lang w:val="es-MX"/>
        </w:rPr>
        <w:t>tanciada y específica de la conducta que se le atribuye a su defend</w:t>
      </w:r>
      <w:r>
        <w:rPr>
          <w:lang w:val="es-MX"/>
        </w:rPr>
        <w:t>i</w:t>
      </w:r>
      <w:r>
        <w:rPr>
          <w:lang w:val="es-MX"/>
        </w:rPr>
        <w:t>do.</w:t>
      </w:r>
    </w:p>
    <w:p w:rsidR="00224567" w:rsidRDefault="00224567">
      <w:pPr>
        <w:widowControl w:val="0"/>
        <w:rPr>
          <w:lang w:val="es-AR"/>
        </w:rPr>
      </w:pPr>
      <w:r>
        <w:rPr>
          <w:lang w:val="es-MX"/>
        </w:rPr>
        <w:tab/>
        <w:t xml:space="preserve">El hecho, según la señalada doctrina de </w:t>
      </w:r>
      <w:smartTag w:uri="urn:schemas-microsoft-com:office:smarttags" w:element="PersonName">
        <w:smartTagPr>
          <w:attr w:name="ProductID" w:val="la C.S"/>
        </w:smartTagPr>
        <w:r>
          <w:rPr>
            <w:lang w:val="es-MX"/>
          </w:rPr>
          <w:t>la C.S</w:t>
        </w:r>
      </w:smartTag>
      <w:r>
        <w:rPr>
          <w:lang w:val="es-MX"/>
        </w:rPr>
        <w:t>.J.N., debe ser debidamente intimado e imputado en todo momento del proceso; sin embargo, dijo, la base fáctica de la imputación que se dirigió a Bareiro por el atentado, no fue precisada, al menos, mínimamente, ni ta</w:t>
      </w:r>
      <w:r>
        <w:rPr>
          <w:lang w:val="es-MX"/>
        </w:rPr>
        <w:t>m</w:t>
      </w:r>
      <w:r>
        <w:rPr>
          <w:lang w:val="es-MX"/>
        </w:rPr>
        <w:t xml:space="preserve">poco se respetaron los presupuestos esenciales </w:t>
      </w:r>
      <w:r>
        <w:rPr>
          <w:lang w:val="es-AR"/>
        </w:rPr>
        <w:t>impresci</w:t>
      </w:r>
      <w:r>
        <w:rPr>
          <w:lang w:val="es-AR"/>
        </w:rPr>
        <w:t>n</w:t>
      </w:r>
      <w:r>
        <w:rPr>
          <w:lang w:val="es-AR"/>
        </w:rPr>
        <w:t>dibles para su v</w:t>
      </w:r>
      <w:r>
        <w:rPr>
          <w:lang w:val="es-AR"/>
        </w:rPr>
        <w:t>i</w:t>
      </w:r>
      <w:r>
        <w:rPr>
          <w:lang w:val="es-AR"/>
        </w:rPr>
        <w:t>gencia y utilidad.</w:t>
      </w:r>
    </w:p>
    <w:p w:rsidR="00224567" w:rsidRDefault="00224567">
      <w:pPr>
        <w:pStyle w:val="Textoindependiente2"/>
        <w:widowControl w:val="0"/>
        <w:rPr>
          <w:rFonts w:ascii="Courier New" w:hAnsi="Courier New" w:cs="Courier New"/>
        </w:rPr>
      </w:pPr>
      <w:r>
        <w:rPr>
          <w:rFonts w:ascii="Courier New" w:hAnsi="Courier New" w:cs="Courier New"/>
        </w:rPr>
        <w:tab/>
        <w:t>Consideró que no es posible, como pr</w:t>
      </w:r>
      <w:r>
        <w:rPr>
          <w:rFonts w:ascii="Courier New" w:hAnsi="Courier New" w:cs="Courier New"/>
        </w:rPr>
        <w:t>e</w:t>
      </w:r>
      <w:r>
        <w:rPr>
          <w:rFonts w:ascii="Courier New" w:hAnsi="Courier New" w:cs="Courier New"/>
        </w:rPr>
        <w:t>tendió la fiscalía, arribar a una sentencia condenatoria si la acusación no contiene un relato del acontecimiento histórico del hecho atribuido.</w:t>
      </w:r>
    </w:p>
    <w:p w:rsidR="00224567" w:rsidRDefault="00224567">
      <w:pPr>
        <w:pStyle w:val="Textoindependiente2"/>
        <w:widowControl w:val="0"/>
        <w:rPr>
          <w:rFonts w:ascii="Courier New" w:hAnsi="Courier New" w:cs="Courier New"/>
          <w:lang w:val="es-MX"/>
        </w:rPr>
      </w:pPr>
      <w:r>
        <w:rPr>
          <w:rFonts w:ascii="Courier New" w:hAnsi="Courier New" w:cs="Courier New"/>
          <w:lang w:val="es-MX"/>
        </w:rPr>
        <w:tab/>
        <w:t>Sobre esa base, el defensor solicitó la libre absol</w:t>
      </w:r>
      <w:r>
        <w:rPr>
          <w:rFonts w:ascii="Courier New" w:hAnsi="Courier New" w:cs="Courier New"/>
          <w:lang w:val="es-MX"/>
        </w:rPr>
        <w:t>u</w:t>
      </w:r>
      <w:r>
        <w:rPr>
          <w:rFonts w:ascii="Courier New" w:hAnsi="Courier New" w:cs="Courier New"/>
          <w:lang w:val="es-MX"/>
        </w:rPr>
        <w:t>ción de Mario Norberto Bareiro en orden al atentado terrorista, en tanto el largo tiempo tran</w:t>
      </w:r>
      <w:r>
        <w:rPr>
          <w:rFonts w:ascii="Courier New" w:hAnsi="Courier New" w:cs="Courier New"/>
          <w:lang w:val="es-MX"/>
        </w:rPr>
        <w:t>s</w:t>
      </w:r>
      <w:r>
        <w:rPr>
          <w:rFonts w:ascii="Courier New" w:hAnsi="Courier New" w:cs="Courier New"/>
          <w:lang w:val="es-MX"/>
        </w:rPr>
        <w:t>currido desde el inicio de la causa autoriza a prescindir de la sanción de nulidad prevista en el ordenamiento ritual, evitando que el proceso vuelva a etapas anteriores, en virtud de los principios de preclusión y progresividad, tal como lo sostuvo el Superior Tribunal en los autos a</w:t>
      </w:r>
      <w:r>
        <w:rPr>
          <w:rFonts w:ascii="Courier New" w:hAnsi="Courier New" w:cs="Courier New"/>
          <w:lang w:val="es-MX"/>
        </w:rPr>
        <w:t>n</w:t>
      </w:r>
      <w:r>
        <w:rPr>
          <w:rFonts w:ascii="Courier New" w:hAnsi="Courier New" w:cs="Courier New"/>
          <w:lang w:val="es-MX"/>
        </w:rPr>
        <w:t>tes mencion</w:t>
      </w:r>
      <w:r>
        <w:rPr>
          <w:rFonts w:ascii="Courier New" w:hAnsi="Courier New" w:cs="Courier New"/>
          <w:lang w:val="es-MX"/>
        </w:rPr>
        <w:t>a</w:t>
      </w:r>
      <w:r>
        <w:rPr>
          <w:rFonts w:ascii="Courier New" w:hAnsi="Courier New" w:cs="Courier New"/>
          <w:lang w:val="es-MX"/>
        </w:rPr>
        <w:t xml:space="preserve">dos. </w:t>
      </w:r>
    </w:p>
    <w:p w:rsidR="00224567" w:rsidRDefault="00224567">
      <w:pPr>
        <w:widowControl w:val="0"/>
        <w:rPr>
          <w:lang w:val="es-MX"/>
        </w:rPr>
      </w:pPr>
      <w:r>
        <w:rPr>
          <w:lang w:val="es-MX"/>
        </w:rPr>
        <w:tab/>
      </w:r>
      <w:r>
        <w:t>A</w:t>
      </w:r>
      <w:r>
        <w:rPr>
          <w:lang w:val="es-MX"/>
        </w:rPr>
        <w:t>dvirtió que si los hechos narr</w:t>
      </w:r>
      <w:r>
        <w:rPr>
          <w:lang w:val="es-MX"/>
        </w:rPr>
        <w:t>a</w:t>
      </w:r>
      <w:r>
        <w:rPr>
          <w:lang w:val="es-MX"/>
        </w:rPr>
        <w:t>dos en la acusación de modo impreciso, vago y genérico tuvieran acogida, Bareiro se encontraría con una condena sorpresiva de la cual no habría podido defenderse deb</w:t>
      </w:r>
      <w:r>
        <w:rPr>
          <w:lang w:val="es-MX"/>
        </w:rPr>
        <w:t>i</w:t>
      </w:r>
      <w:r>
        <w:rPr>
          <w:lang w:val="es-MX"/>
        </w:rPr>
        <w:t>damente, según Fallos: 284:54 y 298:104.</w:t>
      </w:r>
    </w:p>
    <w:p w:rsidR="00224567" w:rsidRDefault="00224567">
      <w:pPr>
        <w:pStyle w:val="Sangra3detindependiente"/>
        <w:widowControl w:val="0"/>
        <w:spacing w:line="600" w:lineRule="auto"/>
        <w:rPr>
          <w:lang w:val="es-MX"/>
        </w:rPr>
      </w:pPr>
      <w:r>
        <w:rPr>
          <w:lang w:val="es-MX"/>
        </w:rPr>
        <w:t>En cuanto a la violación del princ</w:t>
      </w:r>
      <w:r>
        <w:rPr>
          <w:lang w:val="es-MX"/>
        </w:rPr>
        <w:t>i</w:t>
      </w:r>
      <w:r>
        <w:rPr>
          <w:lang w:val="es-MX"/>
        </w:rPr>
        <w:t xml:space="preserve">pio de congruencia, con fundamento en lo resuelto por </w:t>
      </w:r>
      <w:smartTag w:uri="urn:schemas-microsoft-com:office:smarttags" w:element="PersonName">
        <w:smartTagPr>
          <w:attr w:name="ProductID" w:val="la Sala II"/>
        </w:smartTagPr>
        <w:r>
          <w:rPr>
            <w:lang w:val="es-MX"/>
          </w:rPr>
          <w:t>la Sala II</w:t>
        </w:r>
      </w:smartTag>
      <w:r>
        <w:rPr>
          <w:lang w:val="es-MX"/>
        </w:rPr>
        <w:t xml:space="preserve"> de </w:t>
      </w:r>
      <w:smartTag w:uri="urn:schemas-microsoft-com:office:smarttags" w:element="PersonName">
        <w:smartTagPr>
          <w:attr w:name="ProductID" w:val="la C￡mara Nacional"/>
        </w:smartTagPr>
        <w:r>
          <w:rPr>
            <w:lang w:val="es-MX"/>
          </w:rPr>
          <w:t>la Cámara Nacional</w:t>
        </w:r>
      </w:smartTag>
      <w:r>
        <w:rPr>
          <w:lang w:val="es-MX"/>
        </w:rPr>
        <w:t xml:space="preserve"> de Casación P</w:t>
      </w:r>
      <w:r>
        <w:rPr>
          <w:lang w:val="es-MX"/>
        </w:rPr>
        <w:t>e</w:t>
      </w:r>
      <w:r>
        <w:rPr>
          <w:lang w:val="es-MX"/>
        </w:rPr>
        <w:t xml:space="preserve">nal, </w:t>
      </w:r>
      <w:r>
        <w:rPr>
          <w:u w:val="single"/>
          <w:lang w:val="es-MX"/>
        </w:rPr>
        <w:t>in re</w:t>
      </w:r>
      <w:r>
        <w:rPr>
          <w:lang w:val="es-MX"/>
        </w:rPr>
        <w:t xml:space="preserve"> “Aguirre Héctor”, del 9 de junio de 1995, el letrado afi</w:t>
      </w:r>
      <w:r>
        <w:rPr>
          <w:lang w:val="es-MX"/>
        </w:rPr>
        <w:t>r</w:t>
      </w:r>
      <w:r>
        <w:rPr>
          <w:lang w:val="es-MX"/>
        </w:rPr>
        <w:t>mó que el hecho atribuido en la acusación fija el límite de la j</w:t>
      </w:r>
      <w:r>
        <w:rPr>
          <w:lang w:val="es-MX"/>
        </w:rPr>
        <w:t>u</w:t>
      </w:r>
      <w:r>
        <w:rPr>
          <w:lang w:val="es-MX"/>
        </w:rPr>
        <w:t>risdicción y asegura la correcta contradicción, sustento necesario del ejercicio del derecho de defensa.</w:t>
      </w:r>
    </w:p>
    <w:p w:rsidR="00224567" w:rsidRDefault="00224567">
      <w:pPr>
        <w:widowControl w:val="0"/>
        <w:rPr>
          <w:szCs w:val="40"/>
        </w:rPr>
      </w:pPr>
      <w:r>
        <w:rPr>
          <w:lang w:val="es-MX"/>
        </w:rPr>
        <w:tab/>
        <w:t>Recordó, asimismo, la doctrina del A</w:t>
      </w:r>
      <w:r>
        <w:rPr>
          <w:lang w:val="es-MX"/>
        </w:rPr>
        <w:t>l</w:t>
      </w:r>
      <w:r>
        <w:rPr>
          <w:lang w:val="es-MX"/>
        </w:rPr>
        <w:t xml:space="preserve">to Tribunal en punto a que </w:t>
      </w:r>
      <w:r>
        <w:rPr>
          <w:szCs w:val="40"/>
        </w:rPr>
        <w:t>las garantías constituci</w:t>
      </w:r>
      <w:r>
        <w:rPr>
          <w:szCs w:val="40"/>
        </w:rPr>
        <w:t>o</w:t>
      </w:r>
      <w:r>
        <w:rPr>
          <w:szCs w:val="40"/>
        </w:rPr>
        <w:t>nales del debido proceso y de la defensa en juicio ex</w:t>
      </w:r>
      <w:r>
        <w:rPr>
          <w:szCs w:val="40"/>
        </w:rPr>
        <w:t>i</w:t>
      </w:r>
      <w:r>
        <w:rPr>
          <w:szCs w:val="40"/>
        </w:rPr>
        <w:t>gen que la acusación describa con prec</w:t>
      </w:r>
      <w:r>
        <w:rPr>
          <w:szCs w:val="40"/>
        </w:rPr>
        <w:t>i</w:t>
      </w:r>
      <w:r>
        <w:rPr>
          <w:szCs w:val="40"/>
        </w:rPr>
        <w:t>sión la conducta imputada.</w:t>
      </w:r>
    </w:p>
    <w:p w:rsidR="00224567" w:rsidRDefault="00224567">
      <w:pPr>
        <w:widowControl w:val="0"/>
      </w:pPr>
      <w:r>
        <w:rPr>
          <w:szCs w:val="40"/>
        </w:rPr>
        <w:tab/>
        <w:t>Sostuvo el Dr. Lozano que la acus</w:t>
      </w:r>
      <w:r>
        <w:rPr>
          <w:szCs w:val="40"/>
        </w:rPr>
        <w:t>a</w:t>
      </w:r>
      <w:r>
        <w:rPr>
          <w:szCs w:val="40"/>
        </w:rPr>
        <w:t>ción formulada en el debate no satisfizo tal r</w:t>
      </w:r>
      <w:r>
        <w:rPr>
          <w:szCs w:val="40"/>
        </w:rPr>
        <w:t>e</w:t>
      </w:r>
      <w:r>
        <w:rPr>
          <w:szCs w:val="40"/>
        </w:rPr>
        <w:t xml:space="preserve">caudo, en tanto que </w:t>
      </w:r>
      <w:r>
        <w:t>las serias deficiencias contenidas impidieron que su representado pueda ejercer en plenitud su derecho a ser oído. Además, consideró que la indeterminación de la co</w:t>
      </w:r>
      <w:r>
        <w:t>n</w:t>
      </w:r>
      <w:r>
        <w:t>ducta del acusado torna imposible la refutación de las imputaciones dirigidas en su contra tanto por el fiscal como por la querella. Por ello, entendió que la acusación, formulada en tales condiciones, incurre en una flagrante violación del debido pr</w:t>
      </w:r>
      <w:r>
        <w:t>o</w:t>
      </w:r>
      <w:r>
        <w:t>ceso legal.</w:t>
      </w:r>
    </w:p>
    <w:p w:rsidR="00224567" w:rsidRDefault="00224567">
      <w:pPr>
        <w:pStyle w:val="Sangra2detindependiente"/>
        <w:widowControl w:val="0"/>
        <w:spacing w:line="600" w:lineRule="auto"/>
        <w:ind w:firstLine="2800"/>
      </w:pPr>
      <w:r>
        <w:t>En ese sentido, expresó que la defe</w:t>
      </w:r>
      <w:r>
        <w:t>n</w:t>
      </w:r>
      <w:r>
        <w:t>sa se vio imposibilitada de tomar conocimiento oportuno y concreto de los cargos que se imputaron a su defend</w:t>
      </w:r>
      <w:r>
        <w:t>i</w:t>
      </w:r>
      <w:r>
        <w:t>do y, por ende, se vulneró la norma di</w:t>
      </w:r>
      <w:r>
        <w:t>s</w:t>
      </w:r>
      <w:r>
        <w:t xml:space="preserve">puesta en el art. 8.2 de </w:t>
      </w:r>
      <w:smartTag w:uri="urn:schemas-microsoft-com:office:smarttags" w:element="PersonName">
        <w:smartTagPr>
          <w:attr w:name="ProductID" w:val="la Convenci￳n Americana"/>
        </w:smartTagPr>
        <w:r>
          <w:t>la Convención Americana</w:t>
        </w:r>
      </w:smartTag>
      <w:r>
        <w:t xml:space="preserve"> s</w:t>
      </w:r>
      <w:r>
        <w:t>o</w:t>
      </w:r>
      <w:r>
        <w:t>bre Derechos Humanos.</w:t>
      </w:r>
    </w:p>
    <w:p w:rsidR="00224567" w:rsidRDefault="00224567">
      <w:pPr>
        <w:pStyle w:val="Sangra2detindependiente"/>
        <w:widowControl w:val="0"/>
        <w:spacing w:line="600" w:lineRule="auto"/>
        <w:ind w:firstLine="2800"/>
      </w:pPr>
      <w:r>
        <w:t>La inconsistencia de las acusaci</w:t>
      </w:r>
      <w:r>
        <w:t>o</w:t>
      </w:r>
      <w:r>
        <w:t>nes, concluyó el defensor, habilita al Tribunal a disponer la absolución de su asistido Bareiro.</w:t>
      </w:r>
    </w:p>
    <w:p w:rsidR="00224567" w:rsidRDefault="00224567">
      <w:pPr>
        <w:widowControl w:val="0"/>
        <w:ind w:firstLine="708"/>
        <w:rPr>
          <w:b/>
          <w:bCs/>
        </w:rPr>
      </w:pPr>
      <w:r>
        <w:tab/>
        <w:t>Consideró el Dr. Lozano que se verif</w:t>
      </w:r>
      <w:r>
        <w:t>i</w:t>
      </w:r>
      <w:r>
        <w:t>có una ostensible divergencia entre el equívoco hecho co</w:t>
      </w:r>
      <w:r>
        <w:t>n</w:t>
      </w:r>
      <w:r>
        <w:t>tenido en el requerimiento de elevación a juicio y el h</w:t>
      </w:r>
      <w:r>
        <w:t>e</w:t>
      </w:r>
      <w:r>
        <w:t xml:space="preserve">cho, también equívoco, referido en el alegato final. Así, dijo, “antes [Bareiro] intervino el domingo 10 de julio; ahora, en los días previos al 10 de julio. Antes obligó a Telleldín a entregarle </w:t>
      </w:r>
      <w:smartTag w:uri="urn:schemas-microsoft-com:office:smarttags" w:element="PersonName">
        <w:smartTagPr>
          <w:attr w:name="ProductID" w:val="la Trafic"/>
        </w:smartTagPr>
        <w:r>
          <w:t>la Trafic</w:t>
        </w:r>
      </w:smartTag>
      <w:r>
        <w:t xml:space="preserve"> el 10; ahora, cumplió t</w:t>
      </w:r>
      <w:r>
        <w:t>a</w:t>
      </w:r>
      <w:r>
        <w:t>reas de vigilancia y control previas al 10 y no r</w:t>
      </w:r>
      <w:r>
        <w:t>e</w:t>
      </w:r>
      <w:r>
        <w:t>cibió la camioneta”.</w:t>
      </w:r>
      <w:r>
        <w:rPr>
          <w:b/>
          <w:bCs/>
        </w:rPr>
        <w:t xml:space="preserve"> </w:t>
      </w:r>
    </w:p>
    <w:p w:rsidR="00224567" w:rsidRDefault="00224567">
      <w:pPr>
        <w:widowControl w:val="0"/>
        <w:ind w:firstLine="2800"/>
      </w:pPr>
      <w:r>
        <w:t>El defensor adhirió, por otra parte, al pedido de nulidad de la indagatoria prestada el 5 de julio de 1996 por Carlos Alberto Telleldín, considerando que la invalidez se debió extender a todos los actos co</w:t>
      </w:r>
      <w:r>
        <w:t>n</w:t>
      </w:r>
      <w:r>
        <w:t>secutivos, concomitantes y anteriores, según la no</w:t>
      </w:r>
      <w:r>
        <w:t>r</w:t>
      </w:r>
      <w:r>
        <w:t>ma del art. 172 del Código Pr</w:t>
      </w:r>
      <w:r>
        <w:t>o</w:t>
      </w:r>
      <w:r>
        <w:t xml:space="preserve">cesal Penal de </w:t>
      </w:r>
      <w:smartTag w:uri="urn:schemas-microsoft-com:office:smarttags" w:element="PersonName">
        <w:smartTagPr>
          <w:attr w:name="ProductID" w:val="la Naci￳n."/>
        </w:smartTagPr>
        <w:r>
          <w:t>la Nación.</w:t>
        </w:r>
      </w:smartTag>
    </w:p>
    <w:p w:rsidR="00224567" w:rsidRDefault="00224567">
      <w:pPr>
        <w:widowControl w:val="0"/>
        <w:ind w:firstLine="2800"/>
      </w:pPr>
      <w:r>
        <w:t>Recordó el defensor que Carlos Albe</w:t>
      </w:r>
      <w:r>
        <w:t>r</w:t>
      </w:r>
      <w:r>
        <w:t>to Telleldín, en el debate, reconoció que el pago de USD 400.000 incluía, además, las declar</w:t>
      </w:r>
      <w:r>
        <w:t>a</w:t>
      </w:r>
      <w:r>
        <w:t>ciones de Ramón Emilio Solari y de “los paraguayos detenidos por la causa Torme</w:t>
      </w:r>
      <w:r>
        <w:t>n</w:t>
      </w:r>
      <w:r>
        <w:t>ta Verde”; no obstante, señaló el letrado, la acusación hizo mérito de tales pruebas.</w:t>
      </w:r>
    </w:p>
    <w:p w:rsidR="00224567" w:rsidRDefault="00224567">
      <w:pPr>
        <w:widowControl w:val="0"/>
      </w:pPr>
      <w:r>
        <w:tab/>
        <w:t>Sostuvo que la regla de exclusión pr</w:t>
      </w:r>
      <w:r>
        <w:t>o</w:t>
      </w:r>
      <w:r>
        <w:t>batoria, en razón de la nulidad de un acto procesal, no exige posterioridad en el tiempo cuando el vicio r</w:t>
      </w:r>
      <w:r>
        <w:t>e</w:t>
      </w:r>
      <w:r>
        <w:t>conoce, inequívocamente, una relación causal del acto inválido con otros anteriores.</w:t>
      </w:r>
    </w:p>
    <w:p w:rsidR="00224567" w:rsidRDefault="00224567">
      <w:pPr>
        <w:widowControl w:val="0"/>
        <w:rPr>
          <w:b/>
          <w:bCs/>
        </w:rPr>
      </w:pPr>
      <w:r>
        <w:tab/>
        <w:t>Por otra parte, el letrado expr</w:t>
      </w:r>
      <w:r>
        <w:t>e</w:t>
      </w:r>
      <w:r>
        <w:t>só que el testimonio del periodista Raúl Kollmann desvi</w:t>
      </w:r>
      <w:r>
        <w:t>n</w:t>
      </w:r>
      <w:r>
        <w:t>culó a su asistido en el hecho terrorista, puesto que éste refirió haber mantenido reiteradas entrevistas informales con el acusado Telleldín, resaltando en el d</w:t>
      </w:r>
      <w:r>
        <w:t>e</w:t>
      </w:r>
      <w:r>
        <w:t>bate que, de acuerdo a lo conversado en esas ocasiones, Mario Bareiro no tuvo intervención en la “mani</w:t>
      </w:r>
      <w:r>
        <w:t>o</w:t>
      </w:r>
      <w:r>
        <w:t xml:space="preserve">bra de </w:t>
      </w:r>
      <w:smartTag w:uri="urn:schemas-microsoft-com:office:smarttags" w:element="PersonName">
        <w:smartTagPr>
          <w:attr w:name="ProductID" w:val="la Trafic"/>
        </w:smartTagPr>
        <w:r>
          <w:t>la Trafic</w:t>
        </w:r>
      </w:smartTag>
      <w:r>
        <w:t>”</w:t>
      </w:r>
      <w:r>
        <w:rPr>
          <w:b/>
          <w:bCs/>
        </w:rPr>
        <w:t>.</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Cuando Kollmann aludió a los coment</w:t>
      </w:r>
      <w:r>
        <w:rPr>
          <w:rFonts w:ascii="Courier New" w:hAnsi="Courier New" w:cs="Courier New"/>
          <w:lang w:val="es-AR"/>
        </w:rPr>
        <w:t>a</w:t>
      </w:r>
      <w:r>
        <w:rPr>
          <w:rFonts w:ascii="Courier New" w:hAnsi="Courier New" w:cs="Courier New"/>
          <w:lang w:val="es-AR"/>
        </w:rPr>
        <w:t>rios que Bareiro le hizo, dijo la defensa, indudabl</w:t>
      </w:r>
      <w:r>
        <w:rPr>
          <w:rFonts w:ascii="Courier New" w:hAnsi="Courier New" w:cs="Courier New"/>
          <w:lang w:val="es-AR"/>
        </w:rPr>
        <w:t>e</w:t>
      </w:r>
      <w:r>
        <w:rPr>
          <w:rFonts w:ascii="Courier New" w:hAnsi="Courier New" w:cs="Courier New"/>
          <w:lang w:val="es-AR"/>
        </w:rPr>
        <w:t>mente éste se refirió “al apriete que t</w:t>
      </w:r>
      <w:r>
        <w:rPr>
          <w:rFonts w:ascii="Courier New" w:hAnsi="Courier New" w:cs="Courier New"/>
          <w:lang w:val="es-AR"/>
        </w:rPr>
        <w:t>e</w:t>
      </w:r>
      <w:r>
        <w:rPr>
          <w:rFonts w:ascii="Courier New" w:hAnsi="Courier New" w:cs="Courier New"/>
          <w:lang w:val="es-AR"/>
        </w:rPr>
        <w:t>nía como hilo conductor el propósito de obtener dinero luego que Telleldín l</w:t>
      </w:r>
      <w:r>
        <w:rPr>
          <w:rFonts w:ascii="Courier New" w:hAnsi="Courier New" w:cs="Courier New"/>
          <w:lang w:val="es-AR"/>
        </w:rPr>
        <w:t>o</w:t>
      </w:r>
      <w:r>
        <w:rPr>
          <w:rFonts w:ascii="Courier New" w:hAnsi="Courier New" w:cs="Courier New"/>
          <w:lang w:val="es-AR"/>
        </w:rPr>
        <w:t xml:space="preserve">grara enajenar los vehículos dispuestos para la venta, entre ellos, </w:t>
      </w:r>
      <w:smartTag w:uri="urn:schemas-microsoft-com:office:smarttags" w:element="PersonName">
        <w:smartTagPr>
          <w:attr w:name="ProductID" w:val="la Trafic"/>
        </w:smartTagPr>
        <w:r>
          <w:rPr>
            <w:rFonts w:ascii="Courier New" w:hAnsi="Courier New" w:cs="Courier New"/>
            <w:lang w:val="es-AR"/>
          </w:rPr>
          <w:t>la Trafic</w:t>
        </w:r>
      </w:smartTag>
      <w:r>
        <w:rPr>
          <w:rFonts w:ascii="Courier New" w:hAnsi="Courier New" w:cs="Courier New"/>
          <w:lang w:val="es-AR"/>
        </w:rPr>
        <w:t>”. En ningún momento, afirmó el letrado, Raúl Kollmann aludió a una supuesta entrega consensuada entre Telleldín y los policías b</w:t>
      </w:r>
      <w:r>
        <w:rPr>
          <w:rFonts w:ascii="Courier New" w:hAnsi="Courier New" w:cs="Courier New"/>
          <w:lang w:val="es-AR"/>
        </w:rPr>
        <w:t>o</w:t>
      </w:r>
      <w:r>
        <w:rPr>
          <w:rFonts w:ascii="Courier New" w:hAnsi="Courier New" w:cs="Courier New"/>
          <w:lang w:val="es-AR"/>
        </w:rPr>
        <w:t>naerense.</w:t>
      </w:r>
    </w:p>
    <w:p w:rsidR="00224567" w:rsidRDefault="00224567">
      <w:pPr>
        <w:pStyle w:val="Textoindependiente2"/>
        <w:widowControl w:val="0"/>
        <w:rPr>
          <w:rFonts w:ascii="Courier New" w:hAnsi="Courier New" w:cs="Courier New"/>
        </w:rPr>
      </w:pPr>
      <w:r>
        <w:rPr>
          <w:rFonts w:ascii="Courier New" w:hAnsi="Courier New" w:cs="Courier New"/>
          <w:lang w:val="es-AR"/>
        </w:rPr>
        <w:tab/>
      </w:r>
      <w:r>
        <w:rPr>
          <w:rFonts w:ascii="Courier New" w:hAnsi="Courier New" w:cs="Courier New"/>
        </w:rPr>
        <w:t>Sostuvo que los dichos de Bareiro en su indagatoria fueron utilizados por la fiscalía para atribuirle responsabilidad en el evento a Ana</w:t>
      </w:r>
      <w:r>
        <w:rPr>
          <w:rFonts w:ascii="Courier New" w:hAnsi="Courier New" w:cs="Courier New"/>
        </w:rPr>
        <w:t>s</w:t>
      </w:r>
      <w:r>
        <w:rPr>
          <w:rFonts w:ascii="Courier New" w:hAnsi="Courier New" w:cs="Courier New"/>
        </w:rPr>
        <w:t>tasio Ireneo Leal; sin embargo, destacó, la acusación no mencionó la negativa de Raúl Kollmann en punto a la inte</w:t>
      </w:r>
      <w:r>
        <w:rPr>
          <w:rFonts w:ascii="Courier New" w:hAnsi="Courier New" w:cs="Courier New"/>
        </w:rPr>
        <w:t>r</w:t>
      </w:r>
      <w:r>
        <w:rPr>
          <w:rFonts w:ascii="Courier New" w:hAnsi="Courier New" w:cs="Courier New"/>
        </w:rPr>
        <w:t>vención en el hecho de Mario Norberto Bareiro, de acuerdo a lo que el periodista había conversado con Telle</w:t>
      </w:r>
      <w:r>
        <w:rPr>
          <w:rFonts w:ascii="Courier New" w:hAnsi="Courier New" w:cs="Courier New"/>
        </w:rPr>
        <w:t>l</w:t>
      </w:r>
      <w:r>
        <w:rPr>
          <w:rFonts w:ascii="Courier New" w:hAnsi="Courier New" w:cs="Courier New"/>
        </w:rPr>
        <w:t>dín.</w:t>
      </w:r>
    </w:p>
    <w:p w:rsidR="00224567" w:rsidRDefault="00224567">
      <w:pPr>
        <w:pStyle w:val="Textoindependiente2"/>
        <w:widowControl w:val="0"/>
        <w:rPr>
          <w:rFonts w:ascii="Courier New" w:hAnsi="Courier New" w:cs="Courier New"/>
        </w:rPr>
      </w:pPr>
      <w:r>
        <w:rPr>
          <w:rFonts w:ascii="Courier New" w:hAnsi="Courier New" w:cs="Courier New"/>
        </w:rPr>
        <w:tab/>
        <w:t>Destacó que la alusión que Bareiro h</w:t>
      </w:r>
      <w:r>
        <w:rPr>
          <w:rFonts w:ascii="Courier New" w:hAnsi="Courier New" w:cs="Courier New"/>
        </w:rPr>
        <w:t>i</w:t>
      </w:r>
      <w:r>
        <w:rPr>
          <w:rFonts w:ascii="Courier New" w:hAnsi="Courier New" w:cs="Courier New"/>
        </w:rPr>
        <w:t>zo al periodista Kollmann</w:t>
      </w:r>
      <w:r>
        <w:rPr>
          <w:rFonts w:ascii="Courier New" w:hAnsi="Courier New" w:cs="Courier New"/>
          <w:b/>
          <w:bCs/>
        </w:rPr>
        <w:t xml:space="preserve"> </w:t>
      </w:r>
      <w:r>
        <w:rPr>
          <w:rFonts w:ascii="Courier New" w:hAnsi="Courier New" w:cs="Courier New"/>
        </w:rPr>
        <w:t>acerca del interés por el resu</w:t>
      </w:r>
      <w:r>
        <w:rPr>
          <w:rFonts w:ascii="Courier New" w:hAnsi="Courier New" w:cs="Courier New"/>
        </w:rPr>
        <w:t>l</w:t>
      </w:r>
      <w:r>
        <w:rPr>
          <w:rFonts w:ascii="Courier New" w:hAnsi="Courier New" w:cs="Courier New"/>
        </w:rPr>
        <w:t>tado de la venta de la camioneta, en realidad, guardaba relación con el episodio del 14 de julio de 1994 y no, c</w:t>
      </w:r>
      <w:r>
        <w:rPr>
          <w:rFonts w:ascii="Courier New" w:hAnsi="Courier New" w:cs="Courier New"/>
        </w:rPr>
        <w:t>o</w:t>
      </w:r>
      <w:r>
        <w:rPr>
          <w:rFonts w:ascii="Courier New" w:hAnsi="Courier New" w:cs="Courier New"/>
        </w:rPr>
        <w:t>mo lo pretendió la fiscalía, con la supuesta entrega co</w:t>
      </w:r>
      <w:r>
        <w:rPr>
          <w:rFonts w:ascii="Courier New" w:hAnsi="Courier New" w:cs="Courier New"/>
        </w:rPr>
        <w:t>n</w:t>
      </w:r>
      <w:r>
        <w:rPr>
          <w:rFonts w:ascii="Courier New" w:hAnsi="Courier New" w:cs="Courier New"/>
        </w:rPr>
        <w:t>sensuada de la c</w:t>
      </w:r>
      <w:r>
        <w:rPr>
          <w:rFonts w:ascii="Courier New" w:hAnsi="Courier New" w:cs="Courier New"/>
        </w:rPr>
        <w:t>a</w:t>
      </w:r>
      <w:r>
        <w:rPr>
          <w:rFonts w:ascii="Courier New" w:hAnsi="Courier New" w:cs="Courier New"/>
        </w:rPr>
        <w:t>mioneta del 10 de julio de ese año.</w:t>
      </w:r>
    </w:p>
    <w:p w:rsidR="00224567" w:rsidRDefault="00224567">
      <w:pPr>
        <w:widowControl w:val="0"/>
        <w:ind w:firstLine="2800"/>
      </w:pPr>
      <w:r>
        <w:t>Por otra parte, dijo, la fiscalía ut</w:t>
      </w:r>
      <w:r>
        <w:t>i</w:t>
      </w:r>
      <w:r>
        <w:t>lizó como prueba que incriminó a su asistido decl</w:t>
      </w:r>
      <w:r>
        <w:t>a</w:t>
      </w:r>
      <w:r>
        <w:t>raciones que, en rigor, no lo aludían. Tal, señaló, el caso de R</w:t>
      </w:r>
      <w:r>
        <w:t>o</w:t>
      </w:r>
      <w:r>
        <w:t xml:space="preserve">mán Lejtman, Gerardo Young y el informe de </w:t>
      </w:r>
      <w:smartTag w:uri="urn:schemas-microsoft-com:office:smarttags" w:element="PersonName">
        <w:smartTagPr>
          <w:attr w:name="ProductID" w:val="la Dra. Mar￭a"/>
        </w:smartTagPr>
        <w:r>
          <w:t>la Dra. María</w:t>
        </w:r>
      </w:smartTag>
      <w:r>
        <w:t xml:space="preserve"> Luisa Riva Aramayo.</w:t>
      </w:r>
    </w:p>
    <w:p w:rsidR="00224567" w:rsidRDefault="00224567">
      <w:pPr>
        <w:widowControl w:val="0"/>
        <w:ind w:firstLine="2800"/>
      </w:pPr>
      <w:r>
        <w:t>El fiscal señaló la existencia de un cauce de investigación independiente a la indagatoria de Telleldín cuya nulidad solicitó en su alegato; empero, consideró la defensa, tales probanzas tampoco a</w:t>
      </w:r>
      <w:r>
        <w:t>l</w:t>
      </w:r>
      <w:r>
        <w:t>canzaban a su asistido Mario Norberto B</w:t>
      </w:r>
      <w:r>
        <w:t>a</w:t>
      </w:r>
      <w:r>
        <w:t>reiro.</w:t>
      </w:r>
    </w:p>
    <w:p w:rsidR="00224567" w:rsidRDefault="00224567">
      <w:pPr>
        <w:widowControl w:val="0"/>
        <w:ind w:firstLine="2800"/>
      </w:pPr>
      <w:r>
        <w:t>Así, dijo, la acusación tuvo en cue</w:t>
      </w:r>
      <w:r>
        <w:t>n</w:t>
      </w:r>
      <w:r>
        <w:t>ta la declaración testimonial de Ana María Boragni; sin e</w:t>
      </w:r>
      <w:r>
        <w:t>m</w:t>
      </w:r>
      <w:r>
        <w:t>bargo, esgrimió la defensa, el propio fiscal solicitó en su petitorio que ésta sea investigada por el atentado. Además, dijo el defensor, la acusación rescató de sus m</w:t>
      </w:r>
      <w:r>
        <w:t>a</w:t>
      </w:r>
      <w:r>
        <w:t>nifestaciones la opinión que Boragni recibió de Guillermo Cotoras, quien por ser imputado en la causa, sus dichos –tanto indagatorios como testimoniales- fueron excluidos del ju</w:t>
      </w:r>
      <w:r>
        <w:t>i</w:t>
      </w:r>
      <w:r>
        <w:t>cio.</w:t>
      </w:r>
    </w:p>
    <w:p w:rsidR="00224567" w:rsidRDefault="00224567">
      <w:pPr>
        <w:widowControl w:val="0"/>
        <w:rPr>
          <w:b/>
          <w:bCs/>
          <w:szCs w:val="32"/>
          <w:lang w:val="es-ES_tradnl"/>
        </w:rPr>
      </w:pPr>
      <w:r>
        <w:tab/>
        <w:t>Remarcó, asimismo, que Boragni al practicar los reconocimientos fotográficos, en modo a</w:t>
      </w:r>
      <w:r>
        <w:t>l</w:t>
      </w:r>
      <w:r>
        <w:t>guno señaló a Mario Norberto Bareiro como interviniente en el hecho terrorista; tampoco lo</w:t>
      </w:r>
      <w:r>
        <w:rPr>
          <w:b/>
          <w:bCs/>
          <w:szCs w:val="32"/>
          <w:lang w:val="es-ES_tradnl"/>
        </w:rPr>
        <w:t xml:space="preserve"> </w:t>
      </w:r>
      <w:r>
        <w:rPr>
          <w:szCs w:val="32"/>
          <w:lang w:val="es-ES_tradnl"/>
        </w:rPr>
        <w:t>mencionó en su d</w:t>
      </w:r>
      <w:r>
        <w:rPr>
          <w:szCs w:val="32"/>
          <w:lang w:val="es-ES_tradnl"/>
        </w:rPr>
        <w:t>e</w:t>
      </w:r>
      <w:r>
        <w:rPr>
          <w:szCs w:val="32"/>
          <w:lang w:val="es-ES_tradnl"/>
        </w:rPr>
        <w:t>claración ni afirmó que Cotoras hubiera manifestado algo sobre su pa</w:t>
      </w:r>
      <w:r>
        <w:rPr>
          <w:szCs w:val="32"/>
          <w:lang w:val="es-ES_tradnl"/>
        </w:rPr>
        <w:t>r</w:t>
      </w:r>
      <w:r>
        <w:rPr>
          <w:szCs w:val="32"/>
          <w:lang w:val="es-ES_tradnl"/>
        </w:rPr>
        <w:t>ticipación.</w:t>
      </w:r>
    </w:p>
    <w:p w:rsidR="00224567" w:rsidRDefault="00224567">
      <w:pPr>
        <w:widowControl w:val="0"/>
      </w:pPr>
      <w:r>
        <w:rPr>
          <w:b/>
          <w:bCs/>
          <w:szCs w:val="32"/>
          <w:lang w:val="es-ES_tradnl"/>
        </w:rPr>
        <w:tab/>
      </w:r>
      <w:r>
        <w:t>Otras de las cuestiones de las que h</w:t>
      </w:r>
      <w:r>
        <w:t>i</w:t>
      </w:r>
      <w:r>
        <w:t>zo mérito la acusación, fueron las supuestas vigilancias reiteradas a las que fue sometido el domicilio de Repúbl</w:t>
      </w:r>
      <w:r>
        <w:t>i</w:t>
      </w:r>
      <w:r>
        <w:t>ca 107 los días previos al atentado. Sin emba</w:t>
      </w:r>
      <w:r>
        <w:t>r</w:t>
      </w:r>
      <w:r>
        <w:t>go, dijo el letrado, la fiscalía olvidó mencionar que, aún cuando Ana María Boragni y Mario Norberto Bareiro tuvieron con motivo de la investigación un conoc</w:t>
      </w:r>
      <w:r>
        <w:t>i</w:t>
      </w:r>
      <w:r>
        <w:t>miento recíproco y frecuente, la primera no mencionó al segundo como una de las pe</w:t>
      </w:r>
      <w:r>
        <w:t>r</w:t>
      </w:r>
      <w:r>
        <w:t>sonas que, hipotéticamente, habrían vigilado su domicilio en f</w:t>
      </w:r>
      <w:r>
        <w:t>e</w:t>
      </w:r>
      <w:r>
        <w:t>cha cercana al 10 de julio de 1994.</w:t>
      </w:r>
    </w:p>
    <w:p w:rsidR="00224567" w:rsidRDefault="00224567">
      <w:pPr>
        <w:pStyle w:val="Sangra2detindependiente"/>
        <w:widowControl w:val="0"/>
        <w:spacing w:line="600" w:lineRule="auto"/>
        <w:ind w:firstLine="2800"/>
      </w:pPr>
      <w:r>
        <w:t>Consideró el defensor que, más insól</w:t>
      </w:r>
      <w:r>
        <w:t>i</w:t>
      </w:r>
      <w:r>
        <w:t>ta aún, es la declaración de Laura Scillone -también ut</w:t>
      </w:r>
      <w:r>
        <w:t>i</w:t>
      </w:r>
      <w:r>
        <w:t>lizada por la fiscalía-, quien refirió que su cónyuge Gu</w:t>
      </w:r>
      <w:r>
        <w:t>i</w:t>
      </w:r>
      <w:r>
        <w:t>llermo Cotoras le había comentado que Telleldín se acercó en la mitad del “apriete” para avisarle que estaba siendo presionado por pe</w:t>
      </w:r>
      <w:r>
        <w:t>r</w:t>
      </w:r>
      <w:r>
        <w:t>sonal policial.</w:t>
      </w:r>
    </w:p>
    <w:p w:rsidR="00224567" w:rsidRDefault="00224567">
      <w:pPr>
        <w:pStyle w:val="Sangra2detindependiente"/>
        <w:widowControl w:val="0"/>
        <w:spacing w:line="600" w:lineRule="auto"/>
        <w:ind w:firstLine="2800"/>
      </w:pPr>
      <w:r>
        <w:t>La testigo no pudo precisar la fecha en la que habría ocurrido el episodio, ni tampoco me</w:t>
      </w:r>
      <w:r>
        <w:t>n</w:t>
      </w:r>
      <w:r>
        <w:t>cionó a su asistido por la sencilla razón de que no conocía a los policías imputados.</w:t>
      </w:r>
    </w:p>
    <w:p w:rsidR="00224567" w:rsidRDefault="00224567">
      <w:pPr>
        <w:pStyle w:val="Sangra2detindependiente"/>
        <w:widowControl w:val="0"/>
        <w:spacing w:line="600" w:lineRule="auto"/>
        <w:ind w:firstLine="2800"/>
      </w:pPr>
      <w:r>
        <w:t>También la defensa hizo mérito de las filmaciones que, bajo la supervisión del juzgado instru</w:t>
      </w:r>
      <w:r>
        <w:t>c</w:t>
      </w:r>
      <w:r>
        <w:t>tor, efectuó Miriam Salinas con las cámaras provi</w:t>
      </w:r>
      <w:r>
        <w:t>s</w:t>
      </w:r>
      <w:r>
        <w:t xml:space="preserve">tas por </w:t>
      </w:r>
      <w:smartTag w:uri="urn:schemas-microsoft-com:office:smarttags" w:element="PersonName">
        <w:smartTagPr>
          <w:attr w:name="ProductID" w:val="la S.I"/>
        </w:smartTagPr>
        <w:r>
          <w:t>la S.I</w:t>
        </w:r>
      </w:smartTag>
      <w:r>
        <w:t>.D.E. Si bien éstas no arrojaron resultados, se constató, sugestivamente, que la única cinta que se extr</w:t>
      </w:r>
      <w:r>
        <w:t>a</w:t>
      </w:r>
      <w:r>
        <w:t>vió era aquélla en la cual Salinas mantuvo una convers</w:t>
      </w:r>
      <w:r>
        <w:t>a</w:t>
      </w:r>
      <w:r>
        <w:t>ción con Guillermo Cot</w:t>
      </w:r>
      <w:r>
        <w:t>o</w:t>
      </w:r>
      <w:r>
        <w:t>ras.</w:t>
      </w:r>
    </w:p>
    <w:p w:rsidR="00224567" w:rsidRDefault="00224567">
      <w:pPr>
        <w:pStyle w:val="Sangra2detindependiente"/>
        <w:widowControl w:val="0"/>
        <w:spacing w:line="600" w:lineRule="auto"/>
        <w:ind w:firstLine="2800"/>
      </w:pPr>
      <w:r>
        <w:t>Consideró el Dr. Lozano que, en vi</w:t>
      </w:r>
      <w:r>
        <w:t>r</w:t>
      </w:r>
      <w:r>
        <w:t>tud de la resolución del Tribunal del 3 de d</w:t>
      </w:r>
      <w:r>
        <w:t>i</w:t>
      </w:r>
      <w:r>
        <w:t xml:space="preserve">ciembre de 2002, en la que </w:t>
      </w:r>
      <w:r>
        <w:rPr>
          <w:szCs w:val="32"/>
        </w:rPr>
        <w:t>dispuso no confrontar los dichos de Miriam Sal</w:t>
      </w:r>
      <w:r>
        <w:rPr>
          <w:szCs w:val="32"/>
        </w:rPr>
        <w:t>i</w:t>
      </w:r>
      <w:r>
        <w:rPr>
          <w:szCs w:val="32"/>
        </w:rPr>
        <w:t>nas con sus declaraciones ant</w:t>
      </w:r>
      <w:r>
        <w:rPr>
          <w:szCs w:val="32"/>
        </w:rPr>
        <w:t>e</w:t>
      </w:r>
      <w:r>
        <w:rPr>
          <w:szCs w:val="32"/>
        </w:rPr>
        <w:t>riores y con el contenido de los videos, cuya inco</w:t>
      </w:r>
      <w:r>
        <w:rPr>
          <w:szCs w:val="32"/>
        </w:rPr>
        <w:t>r</w:t>
      </w:r>
      <w:r>
        <w:rPr>
          <w:szCs w:val="32"/>
        </w:rPr>
        <w:t xml:space="preserve">poración, además, fue rechazada, </w:t>
      </w:r>
      <w:r>
        <w:t>es inadmisible valorar las manifestaci</w:t>
      </w:r>
      <w:r>
        <w:t>o</w:t>
      </w:r>
      <w:r>
        <w:t>nes que Cotoras habría efectuado a la nombrada en opo</w:t>
      </w:r>
      <w:r>
        <w:t>r</w:t>
      </w:r>
      <w:r>
        <w:t>tunidad de dicha filmación. Sin embargo, dijo el defe</w:t>
      </w:r>
      <w:r>
        <w:t>n</w:t>
      </w:r>
      <w:r>
        <w:t>sor, la fiscalía así lo hizo.</w:t>
      </w:r>
    </w:p>
    <w:p w:rsidR="00224567" w:rsidRDefault="00224567">
      <w:pPr>
        <w:pStyle w:val="Sangra2detindependiente"/>
        <w:widowControl w:val="0"/>
        <w:spacing w:line="600" w:lineRule="auto"/>
        <w:ind w:firstLine="2800"/>
      </w:pPr>
      <w:r>
        <w:t>Como dato que ilustró acerca de la i</w:t>
      </w:r>
      <w:r>
        <w:t>n</w:t>
      </w:r>
      <w:r>
        <w:t>digencia de la acusación, el defensor oficial señaló que el fiscal, en su capítulo inicial de la descripción del hecho, omitió mencionar a Mario No</w:t>
      </w:r>
      <w:r>
        <w:t>r</w:t>
      </w:r>
      <w:r>
        <w:t>berto Bareiro y sólo le atribuyó responsabilidad en el examen “supuestamente dol</w:t>
      </w:r>
      <w:r>
        <w:t>o</w:t>
      </w:r>
      <w:r>
        <w:t>so de su conducta ind</w:t>
      </w:r>
      <w:r>
        <w:t>e</w:t>
      </w:r>
      <w:r>
        <w:t>terminada”.</w:t>
      </w:r>
    </w:p>
    <w:p w:rsidR="00224567" w:rsidRDefault="00224567">
      <w:pPr>
        <w:widowControl w:val="0"/>
        <w:ind w:firstLine="2800"/>
        <w:rPr>
          <w:b/>
          <w:bCs/>
        </w:rPr>
      </w:pPr>
      <w:r>
        <w:t>Esa circunstancia, afirmó el defe</w:t>
      </w:r>
      <w:r>
        <w:t>n</w:t>
      </w:r>
      <w:r>
        <w:t>sor, impone al acusado, invirtiendo de modo inconstit</w:t>
      </w:r>
      <w:r>
        <w:t>u</w:t>
      </w:r>
      <w:r>
        <w:t>cional la carga de la prueba, indagar en el análisis del dolo, sin</w:t>
      </w:r>
      <w:r>
        <w:rPr>
          <w:b/>
          <w:bCs/>
        </w:rPr>
        <w:t xml:space="preserve"> </w:t>
      </w:r>
      <w:r>
        <w:t>haber tenido noticia previa del hecho criminal que se le atribuye.</w:t>
      </w:r>
    </w:p>
    <w:p w:rsidR="00224567" w:rsidRDefault="00224567">
      <w:pPr>
        <w:widowControl w:val="0"/>
        <w:rPr>
          <w:lang w:val="es-ES_tradnl"/>
        </w:rPr>
      </w:pPr>
      <w:r>
        <w:tab/>
        <w:t xml:space="preserve">Agregó que </w:t>
      </w:r>
      <w:r>
        <w:rPr>
          <w:lang w:val="es-ES_tradnl"/>
        </w:rPr>
        <w:t>no corresponde al i</w:t>
      </w:r>
      <w:r>
        <w:rPr>
          <w:lang w:val="es-ES_tradnl"/>
        </w:rPr>
        <w:t>m</w:t>
      </w:r>
      <w:r>
        <w:rPr>
          <w:lang w:val="es-ES_tradnl"/>
        </w:rPr>
        <w:t>putado demostrar la inconsistencia del reproche, sino que, co</w:t>
      </w:r>
      <w:r>
        <w:rPr>
          <w:lang w:val="es-ES_tradnl"/>
        </w:rPr>
        <w:t>n</w:t>
      </w:r>
      <w:r>
        <w:rPr>
          <w:lang w:val="es-ES_tradnl"/>
        </w:rPr>
        <w:t>trariamente, la parte acusadora, priv</w:t>
      </w:r>
      <w:r>
        <w:rPr>
          <w:lang w:val="es-ES_tradnl"/>
        </w:rPr>
        <w:t>a</w:t>
      </w:r>
      <w:r>
        <w:rPr>
          <w:lang w:val="es-ES_tradnl"/>
        </w:rPr>
        <w:t xml:space="preserve">da o pública, es la que debe aportar la prueba de cargo que echa por tierra la presunción de inocencia que ampara a todos los individuos por imperio de </w:t>
      </w:r>
      <w:smartTag w:uri="urn:schemas-microsoft-com:office:smarttags" w:element="PersonName">
        <w:smartTagPr>
          <w:attr w:name="ProductID" w:val="la Constituci￳n Nacional."/>
        </w:smartTagPr>
        <w:r>
          <w:rPr>
            <w:lang w:val="es-ES_tradnl"/>
          </w:rPr>
          <w:t>la Constitución Nacional.</w:t>
        </w:r>
      </w:smartTag>
    </w:p>
    <w:p w:rsidR="00224567" w:rsidRDefault="00224567">
      <w:pPr>
        <w:widowControl w:val="0"/>
        <w:rPr>
          <w:lang w:val="es-ES_tradnl"/>
        </w:rPr>
      </w:pPr>
      <w:r>
        <w:rPr>
          <w:lang w:val="es-ES_tradnl"/>
        </w:rPr>
        <w:tab/>
        <w:t>Por ello, concluyó, se</w:t>
      </w:r>
      <w:r>
        <w:rPr>
          <w:b/>
          <w:bCs/>
          <w:lang w:val="es-ES_tradnl"/>
        </w:rPr>
        <w:t xml:space="preserve"> </w:t>
      </w:r>
      <w:r>
        <w:rPr>
          <w:lang w:val="es-ES_tradnl"/>
        </w:rPr>
        <w:t>impone el te</w:t>
      </w:r>
      <w:r>
        <w:rPr>
          <w:lang w:val="es-ES_tradnl"/>
        </w:rPr>
        <w:t>m</w:t>
      </w:r>
      <w:r>
        <w:rPr>
          <w:lang w:val="es-ES_tradnl"/>
        </w:rPr>
        <w:t>peramento absolutorio para su defendido, con fu</w:t>
      </w:r>
      <w:r>
        <w:rPr>
          <w:lang w:val="es-ES_tradnl"/>
        </w:rPr>
        <w:t>n</w:t>
      </w:r>
      <w:r>
        <w:rPr>
          <w:lang w:val="es-ES_tradnl"/>
        </w:rPr>
        <w:t>damento en la postura del Supremo Tribunal señalada en el pr</w:t>
      </w:r>
      <w:r>
        <w:rPr>
          <w:lang w:val="es-ES_tradnl"/>
        </w:rPr>
        <w:t>e</w:t>
      </w:r>
      <w:r>
        <w:rPr>
          <w:lang w:val="es-ES_tradnl"/>
        </w:rPr>
        <w:t>cedente “Panzer, Angel”, del 22 de abril de 1980.</w:t>
      </w:r>
    </w:p>
    <w:p w:rsidR="00224567" w:rsidRDefault="00224567">
      <w:pPr>
        <w:widowControl w:val="0"/>
        <w:rPr>
          <w:bCs/>
        </w:rPr>
      </w:pPr>
      <w:r>
        <w:rPr>
          <w:lang w:val="es-ES_tradnl"/>
        </w:rPr>
        <w:tab/>
      </w:r>
      <w:r>
        <w:rPr>
          <w:bCs/>
          <w:lang w:val="es-ES_tradnl"/>
        </w:rPr>
        <w:t>A</w:t>
      </w:r>
      <w:r>
        <w:rPr>
          <w:bCs/>
        </w:rPr>
        <w:t>demás, con cita del caso “Mattei”, resuelto por el mencionado Tribunal, afirmó que no corre</w:t>
      </w:r>
      <w:r>
        <w:rPr>
          <w:bCs/>
        </w:rPr>
        <w:t>s</w:t>
      </w:r>
      <w:r>
        <w:rPr>
          <w:bCs/>
        </w:rPr>
        <w:t>pondía retrotraer las actuaciones, en caso de que se acoja favorablemente las nulidades impetradas, a etapas fenec</w:t>
      </w:r>
      <w:r>
        <w:rPr>
          <w:bCs/>
        </w:rPr>
        <w:t>i</w:t>
      </w:r>
      <w:r>
        <w:rPr>
          <w:bCs/>
        </w:rPr>
        <w:t>das, por cuanto se afectarían los princ</w:t>
      </w:r>
      <w:r>
        <w:rPr>
          <w:bCs/>
        </w:rPr>
        <w:t>i</w:t>
      </w:r>
      <w:r>
        <w:rPr>
          <w:bCs/>
        </w:rPr>
        <w:t>pios de preclusión y progresividad, como así también las garantías que goza el imputado a un juicio rápido, a la defensa en juicio y al d</w:t>
      </w:r>
      <w:r>
        <w:rPr>
          <w:bCs/>
        </w:rPr>
        <w:t>e</w:t>
      </w:r>
      <w:r>
        <w:rPr>
          <w:bCs/>
        </w:rPr>
        <w:t>bido proceso legal.</w:t>
      </w:r>
    </w:p>
    <w:p w:rsidR="00224567" w:rsidRDefault="00224567">
      <w:pPr>
        <w:widowControl w:val="0"/>
        <w:ind w:firstLine="2800"/>
        <w:rPr>
          <w:b/>
          <w:bCs/>
        </w:rPr>
      </w:pPr>
      <w:r>
        <w:t>Insistió la defensa en la vacuidad con que se formuló la imputación atribuida a su repr</w:t>
      </w:r>
      <w:r>
        <w:t>e</w:t>
      </w:r>
      <w:r>
        <w:t>sentado, la que calificó de insuficiente, incompleta, imprecisa y genérica</w:t>
      </w:r>
      <w:r>
        <w:rPr>
          <w:b/>
          <w:bCs/>
        </w:rPr>
        <w:t>.</w:t>
      </w:r>
    </w:p>
    <w:p w:rsidR="00224567" w:rsidRDefault="00224567">
      <w:pPr>
        <w:widowControl w:val="0"/>
        <w:rPr>
          <w:szCs w:val="32"/>
          <w:lang w:val="es-ES_tradnl"/>
        </w:rPr>
      </w:pPr>
      <w:r>
        <w:rPr>
          <w:szCs w:val="32"/>
          <w:lang w:val="es-ES_tradnl"/>
        </w:rPr>
        <w:tab/>
      </w:r>
      <w:r>
        <w:rPr>
          <w:szCs w:val="32"/>
        </w:rPr>
        <w:t xml:space="preserve"> Afirmó el defensor que e</w:t>
      </w:r>
      <w:r>
        <w:rPr>
          <w:szCs w:val="32"/>
          <w:lang w:val="es-ES_tradnl"/>
        </w:rPr>
        <w:t>l dogma pr</w:t>
      </w:r>
      <w:r>
        <w:rPr>
          <w:szCs w:val="32"/>
          <w:lang w:val="es-ES_tradnl"/>
        </w:rPr>
        <w:t>o</w:t>
      </w:r>
      <w:r>
        <w:rPr>
          <w:szCs w:val="32"/>
          <w:lang w:val="es-ES_tradnl"/>
        </w:rPr>
        <w:t>cesal, consistente en que no hay juicio sin ac</w:t>
      </w:r>
      <w:r>
        <w:rPr>
          <w:szCs w:val="32"/>
          <w:lang w:val="es-ES_tradnl"/>
        </w:rPr>
        <w:t>u</w:t>
      </w:r>
      <w:r>
        <w:rPr>
          <w:szCs w:val="32"/>
          <w:lang w:val="es-ES_tradnl"/>
        </w:rPr>
        <w:t>sación, es corolario del principio que impone la i</w:t>
      </w:r>
      <w:r>
        <w:rPr>
          <w:szCs w:val="32"/>
          <w:lang w:val="es-ES_tradnl"/>
        </w:rPr>
        <w:t>n</w:t>
      </w:r>
      <w:r>
        <w:rPr>
          <w:szCs w:val="32"/>
          <w:lang w:val="es-ES_tradnl"/>
        </w:rPr>
        <w:t>violabilidad de la defensa, aclarando que “para que el acusado pueda defe</w:t>
      </w:r>
      <w:r>
        <w:rPr>
          <w:szCs w:val="32"/>
          <w:lang w:val="es-ES_tradnl"/>
        </w:rPr>
        <w:t>n</w:t>
      </w:r>
      <w:r>
        <w:rPr>
          <w:szCs w:val="32"/>
          <w:lang w:val="es-ES_tradnl"/>
        </w:rPr>
        <w:t>derse —juicio contradictorio— es imprescindible que exista “algo”</w:t>
      </w:r>
      <w:r>
        <w:rPr>
          <w:b/>
          <w:bCs/>
          <w:szCs w:val="32"/>
          <w:lang w:val="es-ES_tradnl"/>
        </w:rPr>
        <w:t xml:space="preserve"> </w:t>
      </w:r>
      <w:r>
        <w:rPr>
          <w:szCs w:val="32"/>
          <w:lang w:val="es-ES_tradnl"/>
        </w:rPr>
        <w:t>de que defenderse, una hipótesis fá</w:t>
      </w:r>
      <w:r>
        <w:rPr>
          <w:szCs w:val="32"/>
          <w:lang w:val="es-ES_tradnl"/>
        </w:rPr>
        <w:t>c</w:t>
      </w:r>
      <w:r>
        <w:rPr>
          <w:szCs w:val="32"/>
          <w:lang w:val="es-ES_tradnl"/>
        </w:rPr>
        <w:t>tica contra una persona determinada con sign</w:t>
      </w:r>
      <w:r>
        <w:rPr>
          <w:szCs w:val="32"/>
          <w:lang w:val="es-ES_tradnl"/>
        </w:rPr>
        <w:t>i</w:t>
      </w:r>
      <w:r>
        <w:rPr>
          <w:szCs w:val="32"/>
          <w:lang w:val="es-ES_tradnl"/>
        </w:rPr>
        <w:t>ficado en el mundo jurídico”.</w:t>
      </w:r>
    </w:p>
    <w:p w:rsidR="00224567" w:rsidRDefault="00224567">
      <w:pPr>
        <w:pStyle w:val="Textoindependiente2"/>
        <w:widowControl w:val="0"/>
        <w:rPr>
          <w:rFonts w:ascii="Courier New" w:hAnsi="Courier New" w:cs="Courier New"/>
          <w:szCs w:val="32"/>
          <w:lang w:val="es-ES_tradnl"/>
        </w:rPr>
      </w:pPr>
      <w:r>
        <w:rPr>
          <w:rFonts w:ascii="Courier New" w:hAnsi="Courier New" w:cs="Courier New"/>
          <w:szCs w:val="32"/>
          <w:lang w:val="es-ES_tradnl"/>
        </w:rPr>
        <w:tab/>
        <w:t>En otro orden de cosas, el defensor consideró que algunos relatos de testigos fueron deform</w:t>
      </w:r>
      <w:r>
        <w:rPr>
          <w:rFonts w:ascii="Courier New" w:hAnsi="Courier New" w:cs="Courier New"/>
          <w:szCs w:val="32"/>
          <w:lang w:val="es-ES_tradnl"/>
        </w:rPr>
        <w:t>a</w:t>
      </w:r>
      <w:r>
        <w:rPr>
          <w:rFonts w:ascii="Courier New" w:hAnsi="Courier New" w:cs="Courier New"/>
          <w:szCs w:val="32"/>
          <w:lang w:val="es-ES_tradnl"/>
        </w:rPr>
        <w:t>dos por los acusadores.</w:t>
      </w:r>
    </w:p>
    <w:p w:rsidR="00224567" w:rsidRDefault="00224567">
      <w:pPr>
        <w:pStyle w:val="Textoindependiente2"/>
        <w:widowControl w:val="0"/>
        <w:ind w:firstLine="2800"/>
        <w:rPr>
          <w:rFonts w:ascii="Courier New" w:hAnsi="Courier New" w:cs="Courier New"/>
        </w:rPr>
      </w:pPr>
      <w:r>
        <w:rPr>
          <w:rFonts w:ascii="Courier New" w:hAnsi="Courier New" w:cs="Courier New"/>
          <w:szCs w:val="32"/>
          <w:lang w:val="es-ES_tradnl"/>
        </w:rPr>
        <w:t>En ese sentido, dijo, la acusación se afirmó el testimonio de Zulema Leoni</w:t>
      </w:r>
      <w:r>
        <w:rPr>
          <w:rFonts w:ascii="Courier New" w:hAnsi="Courier New" w:cs="Courier New"/>
        </w:rPr>
        <w:t xml:space="preserve"> en punto a las s</w:t>
      </w:r>
      <w:r>
        <w:rPr>
          <w:rFonts w:ascii="Courier New" w:hAnsi="Courier New" w:cs="Courier New"/>
        </w:rPr>
        <w:t>u</w:t>
      </w:r>
      <w:r>
        <w:rPr>
          <w:rFonts w:ascii="Courier New" w:hAnsi="Courier New" w:cs="Courier New"/>
        </w:rPr>
        <w:t>puestas vigilancias que Telleldín padecía tiempo atrás y que fueron incrementadas, llamativ</w:t>
      </w:r>
      <w:r>
        <w:rPr>
          <w:rFonts w:ascii="Courier New" w:hAnsi="Courier New" w:cs="Courier New"/>
        </w:rPr>
        <w:t>a</w:t>
      </w:r>
      <w:r>
        <w:rPr>
          <w:rFonts w:ascii="Courier New" w:hAnsi="Courier New" w:cs="Courier New"/>
        </w:rPr>
        <w:t xml:space="preserve">mente, quince o veinte días antes del atentado. En realidad, dijo el defensor, Leoni en el debate señaló que nunca asoció la camioneta Trafic de Telleldín con el tema de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.I.A. y que Ana María Boragni “le dijo que la vigilaban y el cuñado la mantenía”.</w:t>
      </w:r>
    </w:p>
    <w:p w:rsidR="00224567" w:rsidRDefault="00224567">
      <w:pPr>
        <w:pStyle w:val="Textoindependiente2"/>
        <w:widowControl w:val="0"/>
        <w:rPr>
          <w:rFonts w:ascii="Courier New" w:hAnsi="Courier New" w:cs="Courier New"/>
        </w:rPr>
      </w:pPr>
      <w:r>
        <w:rPr>
          <w:rFonts w:ascii="Courier New" w:hAnsi="Courier New" w:cs="Courier New"/>
        </w:rPr>
        <w:tab/>
        <w:t>El dato de la manutención a cargo del cuñado, afirmó el defensor, reveló que la vig</w:t>
      </w:r>
      <w:r>
        <w:rPr>
          <w:rFonts w:ascii="Courier New" w:hAnsi="Courier New" w:cs="Courier New"/>
        </w:rPr>
        <w:t>i</w:t>
      </w:r>
      <w:r>
        <w:rPr>
          <w:rFonts w:ascii="Courier New" w:hAnsi="Courier New" w:cs="Courier New"/>
        </w:rPr>
        <w:t>lancia a la que aludió Leoni fue posterior a la detención de Telle</w:t>
      </w:r>
      <w:r>
        <w:rPr>
          <w:rFonts w:ascii="Courier New" w:hAnsi="Courier New" w:cs="Courier New"/>
        </w:rPr>
        <w:t>l</w:t>
      </w:r>
      <w:r>
        <w:rPr>
          <w:rFonts w:ascii="Courier New" w:hAnsi="Courier New" w:cs="Courier New"/>
        </w:rPr>
        <w:t xml:space="preserve">dín, circunstancia que se vio robustecida por cuanto la nombrada afirmó que “había muchos coches y que el cuñado la mantenía, porque el marido estaba afuera”. </w:t>
      </w:r>
    </w:p>
    <w:p w:rsidR="00224567" w:rsidRDefault="00224567">
      <w:pPr>
        <w:pStyle w:val="Textoindependiente2"/>
        <w:widowControl w:val="0"/>
        <w:rPr>
          <w:rFonts w:ascii="Courier New" w:hAnsi="Courier New" w:cs="Courier New"/>
        </w:rPr>
      </w:pPr>
      <w:r>
        <w:rPr>
          <w:rFonts w:ascii="Courier New" w:hAnsi="Courier New" w:cs="Courier New"/>
        </w:rPr>
        <w:tab/>
        <w:t>Añadió que también el fiscal i</w:t>
      </w:r>
      <w:r>
        <w:rPr>
          <w:rFonts w:ascii="Courier New" w:hAnsi="Courier New" w:cs="Courier New"/>
        </w:rPr>
        <w:t>n</w:t>
      </w:r>
      <w:r>
        <w:rPr>
          <w:rFonts w:ascii="Courier New" w:hAnsi="Courier New" w:cs="Courier New"/>
        </w:rPr>
        <w:t>currió en un error al c</w:t>
      </w:r>
      <w:r>
        <w:rPr>
          <w:rFonts w:ascii="Courier New" w:hAnsi="Courier New" w:cs="Courier New"/>
        </w:rPr>
        <w:t>o</w:t>
      </w:r>
      <w:r>
        <w:rPr>
          <w:rFonts w:ascii="Courier New" w:hAnsi="Courier New" w:cs="Courier New"/>
        </w:rPr>
        <w:t>locar en boca de la testigo la mención de un automóvil Ford Galaxy color azul. En efecto, Le</w:t>
      </w:r>
      <w:r>
        <w:rPr>
          <w:rFonts w:ascii="Courier New" w:hAnsi="Courier New" w:cs="Courier New"/>
        </w:rPr>
        <w:t>o</w:t>
      </w:r>
      <w:r>
        <w:rPr>
          <w:rFonts w:ascii="Courier New" w:hAnsi="Courier New" w:cs="Courier New"/>
        </w:rPr>
        <w:t>ni dijo que había más vehículos dura</w:t>
      </w:r>
      <w:r>
        <w:rPr>
          <w:rFonts w:ascii="Courier New" w:hAnsi="Courier New" w:cs="Courier New"/>
        </w:rPr>
        <w:t>n</w:t>
      </w:r>
      <w:r>
        <w:rPr>
          <w:rFonts w:ascii="Courier New" w:hAnsi="Courier New" w:cs="Courier New"/>
        </w:rPr>
        <w:t>te la noche pero que ella no los veía, sino que se enteraba por un vec</w:t>
      </w:r>
      <w:r>
        <w:rPr>
          <w:rFonts w:ascii="Courier New" w:hAnsi="Courier New" w:cs="Courier New"/>
        </w:rPr>
        <w:t>i</w:t>
      </w:r>
      <w:r>
        <w:rPr>
          <w:rFonts w:ascii="Courier New" w:hAnsi="Courier New" w:cs="Courier New"/>
        </w:rPr>
        <w:t>no que ya había muerto. El vecino, afirmó el defensor, no era otro que N</w:t>
      </w:r>
      <w:r>
        <w:rPr>
          <w:rFonts w:ascii="Courier New" w:hAnsi="Courier New" w:cs="Courier New"/>
        </w:rPr>
        <w:t>i</w:t>
      </w:r>
      <w:r>
        <w:rPr>
          <w:rFonts w:ascii="Courier New" w:hAnsi="Courier New" w:cs="Courier New"/>
        </w:rPr>
        <w:t>colás D</w:t>
      </w:r>
      <w:r>
        <w:rPr>
          <w:rFonts w:ascii="Courier New" w:hAnsi="Courier New" w:cs="Courier New"/>
        </w:rPr>
        <w:t>u</w:t>
      </w:r>
      <w:r>
        <w:rPr>
          <w:rFonts w:ascii="Courier New" w:hAnsi="Courier New" w:cs="Courier New"/>
        </w:rPr>
        <w:t xml:space="preserve">day. </w:t>
      </w:r>
    </w:p>
    <w:p w:rsidR="00224567" w:rsidRDefault="00224567">
      <w:pPr>
        <w:pStyle w:val="Textoindependiente2"/>
        <w:widowControl w:val="0"/>
        <w:rPr>
          <w:rFonts w:ascii="Courier New" w:hAnsi="Courier New" w:cs="Courier New"/>
          <w:b/>
          <w:bCs/>
        </w:rPr>
      </w:pPr>
      <w:r>
        <w:rPr>
          <w:rFonts w:ascii="Courier New" w:hAnsi="Courier New" w:cs="Courier New"/>
        </w:rPr>
        <w:tab/>
        <w:t>Asimismo, dijo, cuando se le exhibi</w:t>
      </w:r>
      <w:r>
        <w:rPr>
          <w:rFonts w:ascii="Courier New" w:hAnsi="Courier New" w:cs="Courier New"/>
        </w:rPr>
        <w:t>e</w:t>
      </w:r>
      <w:r>
        <w:rPr>
          <w:rFonts w:ascii="Courier New" w:hAnsi="Courier New" w:cs="Courier New"/>
        </w:rPr>
        <w:t>ron las fotografías de fs. 42.249 y 47.439, que reflejan el automóvil Ford Galaxy propiedad de Leal, Leoni no las reconoció.</w:t>
      </w:r>
    </w:p>
    <w:p w:rsidR="00224567" w:rsidRDefault="00224567">
      <w:pPr>
        <w:widowControl w:val="0"/>
        <w:ind w:firstLine="2800"/>
      </w:pPr>
      <w:r>
        <w:t>En cuanto al ingreso de los policías al comercio de la nombrada, ésta relató con lujo de det</w:t>
      </w:r>
      <w:r>
        <w:t>a</w:t>
      </w:r>
      <w:r>
        <w:t>lles que el episodio tuvo lugar el 27 de julio de 1994 y que estuvieron desde las 10.30 hasta las 18.00 ó 19.00; que permanecieron en su interior, comieron, us</w:t>
      </w:r>
      <w:r>
        <w:t>a</w:t>
      </w:r>
      <w:r>
        <w:t>ron el baño y el teléfono y, repentinamente, se fueron, dejando los números telefónicos de sus celulares, a los que su marido se comunicó po</w:t>
      </w:r>
      <w:r>
        <w:t>s</w:t>
      </w:r>
      <w:r>
        <w:t>teriormente sin éxito.</w:t>
      </w:r>
    </w:p>
    <w:p w:rsidR="00224567" w:rsidRDefault="00224567">
      <w:pPr>
        <w:pStyle w:val="Textoindependiente2"/>
        <w:widowControl w:val="0"/>
        <w:rPr>
          <w:rFonts w:ascii="Courier New" w:hAnsi="Courier New" w:cs="Courier New"/>
        </w:rPr>
      </w:pPr>
      <w:r>
        <w:rPr>
          <w:rFonts w:ascii="Courier New" w:hAnsi="Courier New" w:cs="Courier New"/>
        </w:rPr>
        <w:tab/>
        <w:t>La testigo negó, dijo el letrado, que en alguna oportunidad el personal policial se hubiera i</w:t>
      </w:r>
      <w:r>
        <w:rPr>
          <w:rFonts w:ascii="Courier New" w:hAnsi="Courier New" w:cs="Courier New"/>
        </w:rPr>
        <w:t>n</w:t>
      </w:r>
      <w:r>
        <w:rPr>
          <w:rFonts w:ascii="Courier New" w:hAnsi="Courier New" w:cs="Courier New"/>
        </w:rPr>
        <w:t>teresado por la camioneta Trafic de su propiedad y, agr</w:t>
      </w:r>
      <w:r>
        <w:rPr>
          <w:rFonts w:ascii="Courier New" w:hAnsi="Courier New" w:cs="Courier New"/>
        </w:rPr>
        <w:t>e</w:t>
      </w:r>
      <w:r>
        <w:rPr>
          <w:rFonts w:ascii="Courier New" w:hAnsi="Courier New" w:cs="Courier New"/>
        </w:rPr>
        <w:t>gó, que el día que Carlos Alberto Telleldín puso en venta su camioneta, concurrió diversas personas interesadas, m</w:t>
      </w:r>
      <w:r>
        <w:rPr>
          <w:rFonts w:ascii="Courier New" w:hAnsi="Courier New" w:cs="Courier New"/>
        </w:rPr>
        <w:t>u</w:t>
      </w:r>
      <w:r>
        <w:rPr>
          <w:rFonts w:ascii="Courier New" w:hAnsi="Courier New" w:cs="Courier New"/>
        </w:rPr>
        <w:t>chos de los cuales fueron atendidos por su m</w:t>
      </w:r>
      <w:r>
        <w:rPr>
          <w:rFonts w:ascii="Courier New" w:hAnsi="Courier New" w:cs="Courier New"/>
        </w:rPr>
        <w:t>a</w:t>
      </w:r>
      <w:r>
        <w:rPr>
          <w:rFonts w:ascii="Courier New" w:hAnsi="Courier New" w:cs="Courier New"/>
        </w:rPr>
        <w:t>rido, aunque éste nunca le comentó nada sobre el tema.</w:t>
      </w:r>
    </w:p>
    <w:p w:rsidR="00224567" w:rsidRDefault="00224567">
      <w:pPr>
        <w:widowControl w:val="0"/>
      </w:pPr>
      <w:r>
        <w:tab/>
        <w:t>Destacó el Dr. Lozano que, sugestiv</w:t>
      </w:r>
      <w:r>
        <w:t>a</w:t>
      </w:r>
      <w:r>
        <w:t>mente, el marido de Leoni nunca fue llamado a declarar en la instrucción, a pesar de que los of</w:t>
      </w:r>
      <w:r>
        <w:t>i</w:t>
      </w:r>
      <w:r>
        <w:t>ciales Miguel Ángel Galassi y Roberto Fabián De Lucía afirmaron haber conc</w:t>
      </w:r>
      <w:r>
        <w:t>u</w:t>
      </w:r>
      <w:r>
        <w:t>rrido a todos los domic</w:t>
      </w:r>
      <w:r>
        <w:t>i</w:t>
      </w:r>
      <w:r>
        <w:t>lios y comercios de la cuadra.</w:t>
      </w:r>
    </w:p>
    <w:p w:rsidR="00224567" w:rsidRDefault="00224567">
      <w:pPr>
        <w:widowControl w:val="0"/>
      </w:pPr>
      <w:r>
        <w:tab/>
        <w:t>De dicha diligencia, señaló, sorpres</w:t>
      </w:r>
      <w:r>
        <w:t>i</w:t>
      </w:r>
      <w:r>
        <w:t>vamente sólo se rescataron para la causa dos testim</w:t>
      </w:r>
      <w:r>
        <w:t>o</w:t>
      </w:r>
      <w:r>
        <w:t>nios, los de Zulema Beatriz Filomena Leoni y Nicolás Duday.</w:t>
      </w:r>
    </w:p>
    <w:p w:rsidR="00224567" w:rsidRDefault="00224567">
      <w:pPr>
        <w:widowControl w:val="0"/>
        <w:rPr>
          <w:lang w:val="es-MX"/>
        </w:rPr>
      </w:pPr>
      <w:r>
        <w:tab/>
        <w:t>El defensor señaló, además, que según los dichos de la testigo Leoni, nunca leyó ni le hici</w:t>
      </w:r>
      <w:r>
        <w:t>e</w:t>
      </w:r>
      <w:r>
        <w:t>ron leer sus declaraciones; que en el juzgado instructor le  ofrecieron $ 50.000 y que, según le comentó D</w:t>
      </w:r>
      <w:r>
        <w:t>u</w:t>
      </w:r>
      <w:r>
        <w:t xml:space="preserve">day, también le prometieron dinero. En tales condiciones, sostuvo, no corresponde </w:t>
      </w:r>
      <w:r>
        <w:rPr>
          <w:lang w:val="es-MX"/>
        </w:rPr>
        <w:t>ponderar los testimonios de Leoni y Duday como elementos de cargo contra los i</w:t>
      </w:r>
      <w:r>
        <w:rPr>
          <w:lang w:val="es-MX"/>
        </w:rPr>
        <w:t>m</w:t>
      </w:r>
      <w:r>
        <w:rPr>
          <w:lang w:val="es-MX"/>
        </w:rPr>
        <w:t>putados.</w:t>
      </w:r>
    </w:p>
    <w:p w:rsidR="00224567" w:rsidRDefault="00224567">
      <w:pPr>
        <w:pStyle w:val="Textoindependiente2"/>
        <w:widowControl w:val="0"/>
        <w:rPr>
          <w:rFonts w:ascii="Courier New" w:hAnsi="Courier New" w:cs="Courier New"/>
          <w:lang w:val="es-MX"/>
        </w:rPr>
      </w:pPr>
      <w:r>
        <w:rPr>
          <w:rFonts w:ascii="Courier New" w:hAnsi="Courier New" w:cs="Courier New"/>
          <w:lang w:val="es-MX"/>
        </w:rPr>
        <w:tab/>
        <w:t>Por otra parte, la defensa indicó que Nicolás Duday pre</w:t>
      </w:r>
      <w:r>
        <w:rPr>
          <w:rFonts w:ascii="Courier New" w:hAnsi="Courier New" w:cs="Courier New"/>
          <w:lang w:val="es-MX"/>
        </w:rPr>
        <w:t>s</w:t>
      </w:r>
      <w:r>
        <w:rPr>
          <w:rFonts w:ascii="Courier New" w:hAnsi="Courier New" w:cs="Courier New"/>
          <w:lang w:val="es-MX"/>
        </w:rPr>
        <w:t>tó tres declaraciones en la causa; así, amén del testimonio que brindó en el legajo de identidad reservada, en la misma fecha -30 de mayo de 1996-, exi</w:t>
      </w:r>
      <w:r>
        <w:rPr>
          <w:rFonts w:ascii="Courier New" w:hAnsi="Courier New" w:cs="Courier New"/>
          <w:lang w:val="es-MX"/>
        </w:rPr>
        <w:t>s</w:t>
      </w:r>
      <w:r>
        <w:rPr>
          <w:rFonts w:ascii="Courier New" w:hAnsi="Courier New" w:cs="Courier New"/>
          <w:lang w:val="es-MX"/>
        </w:rPr>
        <w:t>te otro distinto agregado al expediente principal. Este últ</w:t>
      </w:r>
      <w:r>
        <w:rPr>
          <w:rFonts w:ascii="Courier New" w:hAnsi="Courier New" w:cs="Courier New"/>
          <w:lang w:val="es-MX"/>
        </w:rPr>
        <w:t>i</w:t>
      </w:r>
      <w:r>
        <w:rPr>
          <w:rFonts w:ascii="Courier New" w:hAnsi="Courier New" w:cs="Courier New"/>
          <w:lang w:val="es-MX"/>
        </w:rPr>
        <w:t>mo, agregó el letrado, fue delib</w:t>
      </w:r>
      <w:r>
        <w:rPr>
          <w:rFonts w:ascii="Courier New" w:hAnsi="Courier New" w:cs="Courier New"/>
          <w:lang w:val="es-MX"/>
        </w:rPr>
        <w:t>e</w:t>
      </w:r>
      <w:r>
        <w:rPr>
          <w:rFonts w:ascii="Courier New" w:hAnsi="Courier New" w:cs="Courier New"/>
          <w:lang w:val="es-MX"/>
        </w:rPr>
        <w:t>radamente incorporado al proceso con el propósito de que no se supiera que Duday había declarado con reserva de su identidad.</w:t>
      </w:r>
    </w:p>
    <w:p w:rsidR="00224567" w:rsidRDefault="00224567">
      <w:pPr>
        <w:pStyle w:val="Textoindependiente2"/>
        <w:widowControl w:val="0"/>
        <w:rPr>
          <w:rFonts w:ascii="Courier New" w:hAnsi="Courier New" w:cs="Courier New"/>
        </w:rPr>
      </w:pPr>
      <w:r>
        <w:rPr>
          <w:rFonts w:ascii="Courier New" w:hAnsi="Courier New" w:cs="Courier New"/>
          <w:lang w:val="es-MX"/>
        </w:rPr>
        <w:tab/>
        <w:t>Con relación a sus dichos, el defe</w:t>
      </w:r>
      <w:r>
        <w:rPr>
          <w:rFonts w:ascii="Courier New" w:hAnsi="Courier New" w:cs="Courier New"/>
          <w:lang w:val="es-MX"/>
        </w:rPr>
        <w:t>n</w:t>
      </w:r>
      <w:r>
        <w:rPr>
          <w:rFonts w:ascii="Courier New" w:hAnsi="Courier New" w:cs="Courier New"/>
          <w:lang w:val="es-MX"/>
        </w:rPr>
        <w:t>sor mencionó que a fs. 38.293</w:t>
      </w:r>
      <w:r>
        <w:rPr>
          <w:rFonts w:ascii="Courier New" w:hAnsi="Courier New" w:cs="Courier New"/>
        </w:rPr>
        <w:t xml:space="preserve"> Duday refirió que aproximadame</w:t>
      </w:r>
      <w:r>
        <w:rPr>
          <w:rFonts w:ascii="Courier New" w:hAnsi="Courier New" w:cs="Courier New"/>
        </w:rPr>
        <w:t>n</w:t>
      </w:r>
      <w:r>
        <w:rPr>
          <w:rFonts w:ascii="Courier New" w:hAnsi="Courier New" w:cs="Courier New"/>
        </w:rPr>
        <w:t xml:space="preserve">te quince o veinte días antes del atentado, alrededor de las 16.30, advirtió, sobre la vereda de enfrente, a unos </w:t>
      </w:r>
      <w:smartTag w:uri="urn:schemas-microsoft-com:office:smarttags" w:element="metricconverter">
        <w:smartTagPr>
          <w:attr w:name="ProductID" w:val="20 metros"/>
        </w:smartTagPr>
        <w:r>
          <w:rPr>
            <w:rFonts w:ascii="Courier New" w:hAnsi="Courier New" w:cs="Courier New"/>
          </w:rPr>
          <w:t>20 metros</w:t>
        </w:r>
      </w:smartTag>
      <w:r>
        <w:rPr>
          <w:rFonts w:ascii="Courier New" w:hAnsi="Courier New" w:cs="Courier New"/>
        </w:rPr>
        <w:t xml:space="preserve"> a la derecha de lo que sería el frente de su c</w:t>
      </w:r>
      <w:r>
        <w:rPr>
          <w:rFonts w:ascii="Courier New" w:hAnsi="Courier New" w:cs="Courier New"/>
        </w:rPr>
        <w:t>a</w:t>
      </w:r>
      <w:r>
        <w:rPr>
          <w:rFonts w:ascii="Courier New" w:hAnsi="Courier New" w:cs="Courier New"/>
        </w:rPr>
        <w:t>sa, la presencia de un automóvil, creyendo que era marca Ford, antiguo, de color verde oscuro, con el capó levant</w:t>
      </w:r>
      <w:r>
        <w:rPr>
          <w:rFonts w:ascii="Courier New" w:hAnsi="Courier New" w:cs="Courier New"/>
        </w:rPr>
        <w:t>a</w:t>
      </w:r>
      <w:r>
        <w:rPr>
          <w:rFonts w:ascii="Courier New" w:hAnsi="Courier New" w:cs="Courier New"/>
        </w:rPr>
        <w:t>do y en el que se hallaban tres individuos; que en la otra cuadra de la calle República al 100 observó, también est</w:t>
      </w:r>
      <w:r>
        <w:rPr>
          <w:rFonts w:ascii="Courier New" w:hAnsi="Courier New" w:cs="Courier New"/>
        </w:rPr>
        <w:t>a</w:t>
      </w:r>
      <w:r>
        <w:rPr>
          <w:rFonts w:ascii="Courier New" w:hAnsi="Courier New" w:cs="Courier New"/>
        </w:rPr>
        <w:t>cionado, otro rodado del que no pudo dar descripción alg</w:t>
      </w:r>
      <w:r>
        <w:rPr>
          <w:rFonts w:ascii="Courier New" w:hAnsi="Courier New" w:cs="Courier New"/>
        </w:rPr>
        <w:t>u</w:t>
      </w:r>
      <w:r>
        <w:rPr>
          <w:rFonts w:ascii="Courier New" w:hAnsi="Courier New" w:cs="Courier New"/>
        </w:rPr>
        <w:t>na por cuanto no prestó atención y estaba oscureciendo; que el Ford verde se retiró a las 19.15 aproximadamente por la calle República en dirección a la calle Alvear, a</w:t>
      </w:r>
      <w:r>
        <w:rPr>
          <w:rFonts w:ascii="Courier New" w:hAnsi="Courier New" w:cs="Courier New"/>
        </w:rPr>
        <w:t>d</w:t>
      </w:r>
      <w:r>
        <w:rPr>
          <w:rFonts w:ascii="Courier New" w:hAnsi="Courier New" w:cs="Courier New"/>
        </w:rPr>
        <w:t>virtiendo que el otro vehículo también se retiró por la misma calle, unos 100 ms. delante del Ford. Por último, dijo que no conoció a la familia T</w:t>
      </w:r>
      <w:r>
        <w:rPr>
          <w:rFonts w:ascii="Courier New" w:hAnsi="Courier New" w:cs="Courier New"/>
        </w:rPr>
        <w:t>e</w:t>
      </w:r>
      <w:r>
        <w:rPr>
          <w:rFonts w:ascii="Courier New" w:hAnsi="Courier New" w:cs="Courier New"/>
        </w:rPr>
        <w:t>lleldín.</w:t>
      </w:r>
    </w:p>
    <w:p w:rsidR="00224567" w:rsidRDefault="00224567">
      <w:pPr>
        <w:widowControl w:val="0"/>
      </w:pPr>
      <w:r>
        <w:tab/>
        <w:t>A fs 68.487, señaló la defensa, el mencionado testigo ratificó su declaración ant</w:t>
      </w:r>
      <w:r>
        <w:t>e</w:t>
      </w:r>
      <w:r>
        <w:t>rior.</w:t>
      </w:r>
    </w:p>
    <w:p w:rsidR="00224567" w:rsidRDefault="00224567">
      <w:pPr>
        <w:widowControl w:val="0"/>
        <w:rPr>
          <w:lang w:val="es-MX"/>
        </w:rPr>
      </w:pPr>
      <w:r>
        <w:tab/>
        <w:t xml:space="preserve">A fs. </w:t>
      </w:r>
      <w:r>
        <w:rPr>
          <w:lang w:val="es-MX"/>
        </w:rPr>
        <w:t>111.707, esta vez,</w:t>
      </w:r>
      <w:r>
        <w:t xml:space="preserve"> como testigo de identidad reservada, Duday manifestó </w:t>
      </w:r>
      <w:r>
        <w:rPr>
          <w:lang w:val="es-MX"/>
        </w:rPr>
        <w:t>que quince o vei</w:t>
      </w:r>
      <w:r>
        <w:rPr>
          <w:lang w:val="es-MX"/>
        </w:rPr>
        <w:t>n</w:t>
      </w:r>
      <w:r>
        <w:rPr>
          <w:lang w:val="es-MX"/>
        </w:rPr>
        <w:t>te días antes del atentado entre las 16.30 y las 19.15 o</w:t>
      </w:r>
      <w:r>
        <w:rPr>
          <w:lang w:val="es-MX"/>
        </w:rPr>
        <w:t>b</w:t>
      </w:r>
      <w:r>
        <w:rPr>
          <w:lang w:val="es-MX"/>
        </w:rPr>
        <w:t>servó la presencia de un Ford antiguo en la vereda de e</w:t>
      </w:r>
      <w:r>
        <w:rPr>
          <w:lang w:val="es-MX"/>
        </w:rPr>
        <w:t>n</w:t>
      </w:r>
      <w:r>
        <w:rPr>
          <w:lang w:val="es-MX"/>
        </w:rPr>
        <w:t>frente de su casa; que se acercó al rodado porque pensó que podían necesitar ayuda dado que tenía levantado la t</w:t>
      </w:r>
      <w:r>
        <w:rPr>
          <w:lang w:val="es-MX"/>
        </w:rPr>
        <w:t>a</w:t>
      </w:r>
      <w:r>
        <w:rPr>
          <w:lang w:val="es-MX"/>
        </w:rPr>
        <w:t>pa del capó; que le resultó llamativa la presencia de e</w:t>
      </w:r>
      <w:r>
        <w:rPr>
          <w:lang w:val="es-MX"/>
        </w:rPr>
        <w:t>s</w:t>
      </w:r>
      <w:r>
        <w:rPr>
          <w:lang w:val="es-MX"/>
        </w:rPr>
        <w:t>tos individuos, razón que lo determinó a dirigirse a su dom</w:t>
      </w:r>
      <w:r>
        <w:rPr>
          <w:lang w:val="es-MX"/>
        </w:rPr>
        <w:t>i</w:t>
      </w:r>
      <w:r>
        <w:rPr>
          <w:lang w:val="es-MX"/>
        </w:rPr>
        <w:t>cilio para avisar a la policía de la zona; que no pudo efectuar la com</w:t>
      </w:r>
      <w:r>
        <w:rPr>
          <w:lang w:val="es-MX"/>
        </w:rPr>
        <w:t>u</w:t>
      </w:r>
      <w:r>
        <w:rPr>
          <w:lang w:val="es-MX"/>
        </w:rPr>
        <w:t>nicación telefónica ya que los sujetos se presentaron en su comercio; que dichas personas le dijeron que, en realidad, eran funcion</w:t>
      </w:r>
      <w:r>
        <w:rPr>
          <w:lang w:val="es-MX"/>
        </w:rPr>
        <w:t>a</w:t>
      </w:r>
      <w:r>
        <w:rPr>
          <w:lang w:val="es-MX"/>
        </w:rPr>
        <w:t>rios policiales de Lanús o Avellaneda al tiempo que le exhibieron sus credenciales identificatorias; que le explicaron que estaban haciendo un seguimiento a una persona de la otra cuadra, por lo que le requirieron utilizar su negocio para observar desde allí los movimientos, sin ser vistos y que momentos antes de que los individuos se retiraran, uno de ellos expresó “ya se iba a acordar de ellos porque iba a ocurrir algo grande de lo que se  enteraría por t</w:t>
      </w:r>
      <w:r>
        <w:rPr>
          <w:lang w:val="es-MX"/>
        </w:rPr>
        <w:t>o</w:t>
      </w:r>
      <w:r>
        <w:rPr>
          <w:lang w:val="es-MX"/>
        </w:rPr>
        <w:t>dos los diarios”.</w:t>
      </w:r>
    </w:p>
    <w:p w:rsidR="00224567" w:rsidRDefault="00224567">
      <w:pPr>
        <w:widowControl w:val="0"/>
        <w:rPr>
          <w:lang w:val="es-MX"/>
        </w:rPr>
      </w:pPr>
      <w:r>
        <w:rPr>
          <w:lang w:val="es-MX"/>
        </w:rPr>
        <w:tab/>
        <w:t xml:space="preserve">Obviamente, señaló el defensor, en la declaración ante instrucción Duday relacionó a esos tres sujetos con el atentado a la sede de </w:t>
      </w:r>
      <w:smartTag w:uri="urn:schemas-microsoft-com:office:smarttags" w:element="PersonName">
        <w:smartTagPr>
          <w:attr w:name="ProductID" w:val="la A.M"/>
        </w:smartTagPr>
        <w:r>
          <w:rPr>
            <w:lang w:val="es-MX"/>
          </w:rPr>
          <w:t>la A.M</w:t>
        </w:r>
      </w:smartTag>
      <w:r>
        <w:rPr>
          <w:lang w:val="es-MX"/>
        </w:rPr>
        <w:t>.I.A.</w:t>
      </w:r>
    </w:p>
    <w:p w:rsidR="00224567" w:rsidRDefault="00224567">
      <w:pPr>
        <w:pStyle w:val="Textoindependiente2"/>
        <w:widowControl w:val="0"/>
        <w:rPr>
          <w:rFonts w:ascii="Courier New" w:hAnsi="Courier New" w:cs="Courier New"/>
          <w:lang w:val="es-MX"/>
        </w:rPr>
      </w:pPr>
      <w:r>
        <w:rPr>
          <w:rFonts w:ascii="Courier New" w:hAnsi="Courier New" w:cs="Courier New"/>
          <w:lang w:val="es-MX"/>
        </w:rPr>
        <w:tab/>
        <w:t>Afirmó que el relato del testigo era inadmisible, puesto que expresó que desde la vidriera de su local se tenía una visión directa del domicilio de T</w:t>
      </w:r>
      <w:r>
        <w:rPr>
          <w:rFonts w:ascii="Courier New" w:hAnsi="Courier New" w:cs="Courier New"/>
          <w:lang w:val="es-MX"/>
        </w:rPr>
        <w:t>e</w:t>
      </w:r>
      <w:r>
        <w:rPr>
          <w:rFonts w:ascii="Courier New" w:hAnsi="Courier New" w:cs="Courier New"/>
          <w:lang w:val="es-MX"/>
        </w:rPr>
        <w:t>lleldín, cuando, al mismo tiempo, dijo que no conocía a dicha familia.</w:t>
      </w:r>
    </w:p>
    <w:p w:rsidR="00224567" w:rsidRDefault="00224567">
      <w:pPr>
        <w:pStyle w:val="Textoindependiente"/>
        <w:spacing w:line="600" w:lineRule="auto"/>
        <w:ind w:firstLine="708"/>
        <w:rPr>
          <w:lang w:val="es-MX"/>
        </w:rPr>
      </w:pPr>
      <w:r>
        <w:rPr>
          <w:lang w:val="es-MX"/>
        </w:rPr>
        <w:tab/>
        <w:t>Además, agregó el letrado, la ubicación del vehículo Ford G</w:t>
      </w:r>
      <w:r>
        <w:rPr>
          <w:lang w:val="es-MX"/>
        </w:rPr>
        <w:t>a</w:t>
      </w:r>
      <w:r>
        <w:rPr>
          <w:lang w:val="es-MX"/>
        </w:rPr>
        <w:t>laxy que efectuó en el plano de fs. 111.706 no se compadece con la versión que apo</w:t>
      </w:r>
      <w:r>
        <w:rPr>
          <w:lang w:val="es-MX"/>
        </w:rPr>
        <w:t>r</w:t>
      </w:r>
      <w:r>
        <w:rPr>
          <w:lang w:val="es-MX"/>
        </w:rPr>
        <w:t>tó, en tanto que le hubiera resultado imposible divisarlo de</w:t>
      </w:r>
      <w:r>
        <w:rPr>
          <w:lang w:val="es-MX"/>
        </w:rPr>
        <w:t>s</w:t>
      </w:r>
      <w:r>
        <w:rPr>
          <w:lang w:val="es-MX"/>
        </w:rPr>
        <w:t xml:space="preserve">de su negocio. </w:t>
      </w:r>
    </w:p>
    <w:p w:rsidR="00224567" w:rsidRDefault="00224567">
      <w:pPr>
        <w:pStyle w:val="Textoindependiente2"/>
        <w:widowControl w:val="0"/>
        <w:rPr>
          <w:rFonts w:ascii="Courier New" w:hAnsi="Courier New" w:cs="Courier New"/>
          <w:lang w:val="es-MX"/>
        </w:rPr>
      </w:pPr>
      <w:r>
        <w:rPr>
          <w:rFonts w:ascii="Courier New" w:hAnsi="Courier New" w:cs="Courier New"/>
          <w:lang w:val="es-MX"/>
        </w:rPr>
        <w:tab/>
        <w:t>Tales circunstancias, sumadas a otras que reseñó y al ofrecimiento de dinero que, según Leoni, también efectuaron en el juzgado a Duday, “descalifican sus dichos y agigantan la inverosimilitud de su declar</w:t>
      </w:r>
      <w:r>
        <w:rPr>
          <w:rFonts w:ascii="Courier New" w:hAnsi="Courier New" w:cs="Courier New"/>
          <w:lang w:val="es-MX"/>
        </w:rPr>
        <w:t>a</w:t>
      </w:r>
      <w:r>
        <w:rPr>
          <w:rFonts w:ascii="Courier New" w:hAnsi="Courier New" w:cs="Courier New"/>
          <w:lang w:val="es-MX"/>
        </w:rPr>
        <w:t>ción”.</w:t>
      </w:r>
    </w:p>
    <w:p w:rsidR="00224567" w:rsidRDefault="00224567">
      <w:pPr>
        <w:widowControl w:val="0"/>
        <w:rPr>
          <w:lang w:val="es-MX"/>
        </w:rPr>
      </w:pPr>
      <w:r>
        <w:rPr>
          <w:lang w:val="es-MX"/>
        </w:rPr>
        <w:tab/>
        <w:t>Sostuvo que no era creíble que suj</w:t>
      </w:r>
      <w:r>
        <w:rPr>
          <w:lang w:val="es-MX"/>
        </w:rPr>
        <w:t>e</w:t>
      </w:r>
      <w:r>
        <w:rPr>
          <w:lang w:val="es-MX"/>
        </w:rPr>
        <w:t>tos dispuestos a com</w:t>
      </w:r>
      <w:r>
        <w:rPr>
          <w:lang w:val="es-MX"/>
        </w:rPr>
        <w:t>e</w:t>
      </w:r>
      <w:r>
        <w:rPr>
          <w:lang w:val="es-MX"/>
        </w:rPr>
        <w:t>ter un atentado o a obtener una camioneta acondicionada de forma tal que pudiera cargar explosivos para generar innumerables muertes, hicieran alusión de su comportamiento futuro a un desconocido que los albergó m</w:t>
      </w:r>
      <w:r>
        <w:rPr>
          <w:lang w:val="es-MX"/>
        </w:rPr>
        <w:t>o</w:t>
      </w:r>
      <w:r>
        <w:rPr>
          <w:lang w:val="es-MX"/>
        </w:rPr>
        <w:t>mentáneamente en su comercio.</w:t>
      </w:r>
    </w:p>
    <w:p w:rsidR="00224567" w:rsidRDefault="00224567">
      <w:pPr>
        <w:widowControl w:val="0"/>
        <w:rPr>
          <w:lang w:val="es-MX"/>
        </w:rPr>
      </w:pPr>
      <w:r>
        <w:rPr>
          <w:lang w:val="es-MX"/>
        </w:rPr>
        <w:tab/>
        <w:t>Al respecto, el defensor mencionó el testimonio de Claudio Adrián Lifschitz, quien manifestó que deliberadamente se omitió volcar en el acta que doc</w:t>
      </w:r>
      <w:r>
        <w:rPr>
          <w:lang w:val="es-MX"/>
        </w:rPr>
        <w:t>u</w:t>
      </w:r>
      <w:r>
        <w:rPr>
          <w:lang w:val="es-MX"/>
        </w:rPr>
        <w:t>mentó la declaración de Nicolás Duday, la ubicación temp</w:t>
      </w:r>
      <w:r>
        <w:rPr>
          <w:lang w:val="es-MX"/>
        </w:rPr>
        <w:t>o</w:t>
      </w:r>
      <w:r>
        <w:rPr>
          <w:lang w:val="es-MX"/>
        </w:rPr>
        <w:t>ral de la supuesta visita de d</w:t>
      </w:r>
      <w:r>
        <w:rPr>
          <w:lang w:val="es-MX"/>
        </w:rPr>
        <w:t>i</w:t>
      </w:r>
      <w:r>
        <w:rPr>
          <w:lang w:val="es-MX"/>
        </w:rPr>
        <w:t>chos individuos, de modo de relacionar ese episodio con la fecha en que se cometió el atentado.</w:t>
      </w:r>
    </w:p>
    <w:p w:rsidR="00224567" w:rsidRDefault="00224567">
      <w:pPr>
        <w:widowControl w:val="0"/>
        <w:ind w:firstLine="2800"/>
        <w:rPr>
          <w:lang w:val="es-MX"/>
        </w:rPr>
      </w:pPr>
      <w:r>
        <w:rPr>
          <w:lang w:val="es-MX"/>
        </w:rPr>
        <w:t>Agregó Lifschitz que el secretario J</w:t>
      </w:r>
      <w:r>
        <w:rPr>
          <w:lang w:val="es-MX"/>
        </w:rPr>
        <w:t>a</w:t>
      </w:r>
      <w:r>
        <w:rPr>
          <w:lang w:val="es-MX"/>
        </w:rPr>
        <w:t>vier De Gamas prescindió dejar constancia de la ref</w:t>
      </w:r>
      <w:r>
        <w:rPr>
          <w:lang w:val="es-MX"/>
        </w:rPr>
        <w:t>e</w:t>
      </w:r>
      <w:r>
        <w:rPr>
          <w:lang w:val="es-MX"/>
        </w:rPr>
        <w:t>rencia que dio Duday acerca de la fuga de unos presos de Villa Adelina, por temor a que ese acontecimiento no coinc</w:t>
      </w:r>
      <w:r>
        <w:rPr>
          <w:lang w:val="es-MX"/>
        </w:rPr>
        <w:t>i</w:t>
      </w:r>
      <w:r>
        <w:rPr>
          <w:lang w:val="es-MX"/>
        </w:rPr>
        <w:t>diera con la fecha a la que habría aludido el testigo. Asimismo, el ex prosecretario declaró que nunca se planteó en el juzgado la pos</w:t>
      </w:r>
      <w:r>
        <w:rPr>
          <w:lang w:val="es-MX"/>
        </w:rPr>
        <w:t>i</w:t>
      </w:r>
      <w:r>
        <w:rPr>
          <w:lang w:val="es-MX"/>
        </w:rPr>
        <w:t>bilidad de hacer un reconocimiento en rueda de personas por parte del te</w:t>
      </w:r>
      <w:r>
        <w:rPr>
          <w:lang w:val="es-MX"/>
        </w:rPr>
        <w:t>s</w:t>
      </w:r>
      <w:r>
        <w:rPr>
          <w:lang w:val="es-MX"/>
        </w:rPr>
        <w:t>tigo Duday.</w:t>
      </w:r>
    </w:p>
    <w:p w:rsidR="00224567" w:rsidRDefault="00224567">
      <w:pPr>
        <w:widowControl w:val="0"/>
        <w:rPr>
          <w:lang w:val="es-MX"/>
        </w:rPr>
      </w:pPr>
      <w:r>
        <w:rPr>
          <w:lang w:val="es-MX"/>
        </w:rPr>
        <w:tab/>
        <w:t xml:space="preserve">Sostuvo el defensor que si el testigo vio y conversó con el personal policial, ello ocurrió el 15 de marzo de 1994 y no el 10 de julio, como lo sostiene la acusación. </w:t>
      </w:r>
    </w:p>
    <w:p w:rsidR="00224567" w:rsidRDefault="00224567">
      <w:pPr>
        <w:widowControl w:val="0"/>
        <w:rPr>
          <w:lang w:val="es-MX"/>
        </w:rPr>
      </w:pPr>
      <w:r>
        <w:rPr>
          <w:lang w:val="es-MX"/>
        </w:rPr>
        <w:tab/>
        <w:t>Esa circunstancia, señaló, se corrob</w:t>
      </w:r>
      <w:r>
        <w:rPr>
          <w:lang w:val="es-MX"/>
        </w:rPr>
        <w:t>o</w:t>
      </w:r>
      <w:r>
        <w:rPr>
          <w:lang w:val="es-MX"/>
        </w:rPr>
        <w:t>ró con los dichos de Víctor Carlos Cruz al prestar decl</w:t>
      </w:r>
      <w:r>
        <w:rPr>
          <w:lang w:val="es-MX"/>
        </w:rPr>
        <w:t>a</w:t>
      </w:r>
      <w:r>
        <w:rPr>
          <w:lang w:val="es-MX"/>
        </w:rPr>
        <w:t>ración indagatoria. En esa oportunidad, el nombrado narró acerca de las tareas de vigilancia realizadas durante la primera de las fechas indicadas, en el domicilio de T</w:t>
      </w:r>
      <w:r>
        <w:rPr>
          <w:lang w:val="es-MX"/>
        </w:rPr>
        <w:t>e</w:t>
      </w:r>
      <w:r>
        <w:rPr>
          <w:lang w:val="es-MX"/>
        </w:rPr>
        <w:t>lleldín, haciendo referencia del vehículo Falcón viejo en el que se trasladaron y en el que permanecieron los tres policías que concurrieron al lugar. Agregó que descendi</w:t>
      </w:r>
      <w:r>
        <w:rPr>
          <w:lang w:val="es-MX"/>
        </w:rPr>
        <w:t>e</w:t>
      </w:r>
      <w:r>
        <w:rPr>
          <w:lang w:val="es-MX"/>
        </w:rPr>
        <w:t>ron del rodado e ingresaron en el local de fotogra</w:t>
      </w:r>
      <w:r>
        <w:rPr>
          <w:lang w:val="es-MX"/>
        </w:rPr>
        <w:t>f</w:t>
      </w:r>
      <w:r>
        <w:rPr>
          <w:lang w:val="es-MX"/>
        </w:rPr>
        <w:t xml:space="preserve">ía. </w:t>
      </w:r>
    </w:p>
    <w:p w:rsidR="00224567" w:rsidRDefault="00224567">
      <w:pPr>
        <w:widowControl w:val="0"/>
        <w:ind w:firstLine="2800"/>
        <w:rPr>
          <w:lang w:val="es-MX"/>
        </w:rPr>
      </w:pPr>
      <w:r>
        <w:rPr>
          <w:lang w:val="es-MX"/>
        </w:rPr>
        <w:t>Dichas expresiones, dijo el defe</w:t>
      </w:r>
      <w:r>
        <w:rPr>
          <w:lang w:val="es-MX"/>
        </w:rPr>
        <w:t>n</w:t>
      </w:r>
      <w:r>
        <w:rPr>
          <w:lang w:val="es-MX"/>
        </w:rPr>
        <w:t>sor, se aproximan en el tiempo con la fuga de los presos de V</w:t>
      </w:r>
      <w:r>
        <w:rPr>
          <w:lang w:val="es-MX"/>
        </w:rPr>
        <w:t>i</w:t>
      </w:r>
      <w:r>
        <w:rPr>
          <w:lang w:val="es-MX"/>
        </w:rPr>
        <w:t>lla Adelina, que tuvo lugar en el mes de abril de 1994.</w:t>
      </w:r>
    </w:p>
    <w:p w:rsidR="00224567" w:rsidRDefault="00224567">
      <w:pPr>
        <w:widowControl w:val="0"/>
        <w:rPr>
          <w:lang w:val="es-MX"/>
        </w:rPr>
      </w:pPr>
      <w:r>
        <w:rPr>
          <w:lang w:val="es-MX"/>
        </w:rPr>
        <w:tab/>
        <w:t>Por otra parte, argumentó el letrado que, si como dijo Duday, el auto estaba est</w:t>
      </w:r>
      <w:r>
        <w:rPr>
          <w:lang w:val="es-MX"/>
        </w:rPr>
        <w:t>a</w:t>
      </w:r>
      <w:r>
        <w:rPr>
          <w:lang w:val="es-MX"/>
        </w:rPr>
        <w:t>cionado frente a su casa en la puerta de la pelet</w:t>
      </w:r>
      <w:r>
        <w:rPr>
          <w:lang w:val="es-MX"/>
        </w:rPr>
        <w:t>e</w:t>
      </w:r>
      <w:r>
        <w:rPr>
          <w:lang w:val="es-MX"/>
        </w:rPr>
        <w:t>ría de Leoni, entonces, dijo, ¿cómo es posible que la nombrada no lo hubiera a</w:t>
      </w:r>
      <w:r>
        <w:rPr>
          <w:lang w:val="es-MX"/>
        </w:rPr>
        <w:t>d</w:t>
      </w:r>
      <w:r>
        <w:rPr>
          <w:lang w:val="es-MX"/>
        </w:rPr>
        <w:t>vertido?; máxime cuando, señaló, permanecieron tres pers</w:t>
      </w:r>
      <w:r>
        <w:rPr>
          <w:lang w:val="es-MX"/>
        </w:rPr>
        <w:t>o</w:t>
      </w:r>
      <w:r>
        <w:rPr>
          <w:lang w:val="es-MX"/>
        </w:rPr>
        <w:t>nas y dos vehículos en el lugar durante dos horas y cu</w:t>
      </w:r>
      <w:r>
        <w:rPr>
          <w:lang w:val="es-MX"/>
        </w:rPr>
        <w:t>a</w:t>
      </w:r>
      <w:r>
        <w:rPr>
          <w:lang w:val="es-MX"/>
        </w:rPr>
        <w:t>renta y cinco m</w:t>
      </w:r>
      <w:r>
        <w:rPr>
          <w:lang w:val="es-MX"/>
        </w:rPr>
        <w:t>i</w:t>
      </w:r>
      <w:r>
        <w:rPr>
          <w:lang w:val="es-MX"/>
        </w:rPr>
        <w:t>nutos.</w:t>
      </w:r>
    </w:p>
    <w:p w:rsidR="00224567" w:rsidRDefault="00224567">
      <w:pPr>
        <w:widowControl w:val="0"/>
        <w:rPr>
          <w:lang w:val="es-MX"/>
        </w:rPr>
      </w:pPr>
      <w:r>
        <w:rPr>
          <w:lang w:val="es-MX"/>
        </w:rPr>
        <w:tab/>
        <w:t>Por esas razones, el Dr. Lozano desc</w:t>
      </w:r>
      <w:r>
        <w:rPr>
          <w:lang w:val="es-MX"/>
        </w:rPr>
        <w:t>a</w:t>
      </w:r>
      <w:r>
        <w:rPr>
          <w:lang w:val="es-MX"/>
        </w:rPr>
        <w:t>lificó el testimonio de Duday e hizo hincapié en las o</w:t>
      </w:r>
      <w:r>
        <w:rPr>
          <w:lang w:val="es-MX"/>
        </w:rPr>
        <w:t>s</w:t>
      </w:r>
      <w:r>
        <w:rPr>
          <w:lang w:val="es-MX"/>
        </w:rPr>
        <w:t>tensibles manipulaciones que se efectuaron de las tres d</w:t>
      </w:r>
      <w:r>
        <w:rPr>
          <w:lang w:val="es-MX"/>
        </w:rPr>
        <w:t>e</w:t>
      </w:r>
      <w:r>
        <w:rPr>
          <w:lang w:val="es-MX"/>
        </w:rPr>
        <w:t>claraciones que lo tuvieron por protagonista. En definit</w:t>
      </w:r>
      <w:r>
        <w:rPr>
          <w:lang w:val="es-MX"/>
        </w:rPr>
        <w:t>i</w:t>
      </w:r>
      <w:r>
        <w:rPr>
          <w:lang w:val="es-MX"/>
        </w:rPr>
        <w:t>va, agregó, se trataron de dos personas que estuvieron dispuestas a declarar, por dinero, al dictado de los fu</w:t>
      </w:r>
      <w:r>
        <w:rPr>
          <w:lang w:val="es-MX"/>
        </w:rPr>
        <w:t>n</w:t>
      </w:r>
      <w:r>
        <w:rPr>
          <w:lang w:val="es-MX"/>
        </w:rPr>
        <w:t>cionarios judiciales.</w:t>
      </w:r>
      <w:r>
        <w:rPr>
          <w:lang w:val="es-MX"/>
        </w:rPr>
        <w:tab/>
      </w:r>
    </w:p>
    <w:p w:rsidR="00224567" w:rsidRDefault="00224567">
      <w:pPr>
        <w:widowControl w:val="0"/>
        <w:rPr>
          <w:lang w:val="es-MX"/>
        </w:rPr>
      </w:pPr>
      <w:r>
        <w:rPr>
          <w:lang w:val="es-MX"/>
        </w:rPr>
        <w:tab/>
        <w:t>También consideró llamativo que, en respaldo de los testimonios de Leoni y de Duday, la fisc</w:t>
      </w:r>
      <w:r>
        <w:rPr>
          <w:lang w:val="es-MX"/>
        </w:rPr>
        <w:t>a</w:t>
      </w:r>
      <w:r>
        <w:rPr>
          <w:lang w:val="es-MX"/>
        </w:rPr>
        <w:t>lía acudiera a las intervenciones del subcomisario M</w:t>
      </w:r>
      <w:r>
        <w:rPr>
          <w:lang w:val="es-MX"/>
        </w:rPr>
        <w:t>i</w:t>
      </w:r>
      <w:r>
        <w:rPr>
          <w:lang w:val="es-MX"/>
        </w:rPr>
        <w:t>guel Galassi y del principal Roberto De Lucía, policías que efectúan un relevamiento de los vecinos de Telleldín, en busca de testigos del hecho del 10 de julio de 1994.</w:t>
      </w:r>
    </w:p>
    <w:p w:rsidR="00224567" w:rsidRDefault="00224567">
      <w:pPr>
        <w:pStyle w:val="Textoindependiente2"/>
        <w:widowControl w:val="0"/>
        <w:rPr>
          <w:rFonts w:ascii="Courier New" w:hAnsi="Courier New" w:cs="Courier New"/>
          <w:lang w:val="es-MX"/>
        </w:rPr>
      </w:pPr>
      <w:r>
        <w:rPr>
          <w:rFonts w:ascii="Courier New" w:hAnsi="Courier New" w:cs="Courier New"/>
          <w:lang w:val="es-MX"/>
        </w:rPr>
        <w:tab/>
        <w:t>Sin embargo, dijo el letrado, G</w:t>
      </w:r>
      <w:r>
        <w:rPr>
          <w:rFonts w:ascii="Courier New" w:hAnsi="Courier New" w:cs="Courier New"/>
          <w:lang w:val="es-MX"/>
        </w:rPr>
        <w:t>a</w:t>
      </w:r>
      <w:r>
        <w:rPr>
          <w:rFonts w:ascii="Courier New" w:hAnsi="Courier New" w:cs="Courier New"/>
          <w:lang w:val="es-MX"/>
        </w:rPr>
        <w:t>lassi no supo decir cuantos comercios había, a pesar de haber relevado la zona. Además, refirió que la señora Leoni era muy detallista y que estaba muy atenta de lo que ocurría en la cuadra; no obstante, dijo el defensor, ésta no pudo reconocer en el deb</w:t>
      </w:r>
      <w:r>
        <w:rPr>
          <w:rFonts w:ascii="Courier New" w:hAnsi="Courier New" w:cs="Courier New"/>
          <w:lang w:val="es-MX"/>
        </w:rPr>
        <w:t>a</w:t>
      </w:r>
      <w:r>
        <w:rPr>
          <w:rFonts w:ascii="Courier New" w:hAnsi="Courier New" w:cs="Courier New"/>
          <w:lang w:val="es-MX"/>
        </w:rPr>
        <w:t>te el Ford Galaxy que le fue exhibido en fotografía.</w:t>
      </w:r>
    </w:p>
    <w:p w:rsidR="00224567" w:rsidRDefault="00224567">
      <w:pPr>
        <w:pStyle w:val="Textoindependiente2"/>
        <w:widowControl w:val="0"/>
        <w:ind w:firstLine="2800"/>
        <w:rPr>
          <w:rFonts w:ascii="Courier New" w:hAnsi="Courier New" w:cs="Courier New"/>
          <w:lang w:val="es-MX"/>
        </w:rPr>
      </w:pPr>
      <w:r>
        <w:rPr>
          <w:rFonts w:ascii="Courier New" w:hAnsi="Courier New" w:cs="Courier New"/>
          <w:lang w:val="es-MX"/>
        </w:rPr>
        <w:t>También señaló la defensa, que Gala</w:t>
      </w:r>
      <w:r>
        <w:rPr>
          <w:rFonts w:ascii="Courier New" w:hAnsi="Courier New" w:cs="Courier New"/>
          <w:lang w:val="es-MX"/>
        </w:rPr>
        <w:t>s</w:t>
      </w:r>
      <w:r>
        <w:rPr>
          <w:rFonts w:ascii="Courier New" w:hAnsi="Courier New" w:cs="Courier New"/>
          <w:lang w:val="es-MX"/>
        </w:rPr>
        <w:t>si desconocía si se había citado al marido de Leoni, como así también si éste conocía algo del tema; sin embargo, dijo el letrado, Leoni afirmó que quien se contactó con los compradores de la camioneta Trafic estacionada sobre la calle República fue su marido.</w:t>
      </w:r>
    </w:p>
    <w:p w:rsidR="00224567" w:rsidRDefault="00224567">
      <w:pPr>
        <w:pStyle w:val="Textoindependiente2"/>
        <w:widowControl w:val="0"/>
        <w:ind w:firstLine="2800"/>
        <w:rPr>
          <w:rFonts w:ascii="Courier New" w:hAnsi="Courier New" w:cs="Courier New"/>
          <w:lang w:val="es-MX"/>
        </w:rPr>
      </w:pPr>
      <w:r>
        <w:rPr>
          <w:rFonts w:ascii="Courier New" w:hAnsi="Courier New" w:cs="Courier New"/>
          <w:lang w:val="es-MX"/>
        </w:rPr>
        <w:t>Por lo demás, Galassi no recordó si Duday había hecho alguna referencia temporal acerca del episodio en que tres individuos le exhibieron crede</w:t>
      </w:r>
      <w:r>
        <w:rPr>
          <w:rFonts w:ascii="Courier New" w:hAnsi="Courier New" w:cs="Courier New"/>
          <w:lang w:val="es-MX"/>
        </w:rPr>
        <w:t>n</w:t>
      </w:r>
      <w:r>
        <w:rPr>
          <w:rFonts w:ascii="Courier New" w:hAnsi="Courier New" w:cs="Courier New"/>
          <w:lang w:val="es-MX"/>
        </w:rPr>
        <w:t>ciales identificatorias y omitió volcar en la declaración del c</w:t>
      </w:r>
      <w:r>
        <w:rPr>
          <w:rFonts w:ascii="Courier New" w:hAnsi="Courier New" w:cs="Courier New"/>
          <w:lang w:val="es-MX"/>
        </w:rPr>
        <w:t>i</w:t>
      </w:r>
      <w:r>
        <w:rPr>
          <w:rFonts w:ascii="Courier New" w:hAnsi="Courier New" w:cs="Courier New"/>
          <w:lang w:val="es-MX"/>
        </w:rPr>
        <w:t>tado testigo la referencia de que se enteraría por los diarios algo que iba a ocurrir, porque consideró que era una apreciación personal.</w:t>
      </w:r>
    </w:p>
    <w:p w:rsidR="00224567" w:rsidRDefault="00224567">
      <w:pPr>
        <w:widowControl w:val="0"/>
      </w:pPr>
      <w:r>
        <w:rPr>
          <w:lang w:val="es-MX"/>
        </w:rPr>
        <w:tab/>
        <w:t xml:space="preserve">Idénticas </w:t>
      </w:r>
      <w:r>
        <w:t>sospechas despertaron los dichos del principal Roberto Fabián De Lucía, en cuanto refirió, al igual que su compañero, que sólo entrevi</w:t>
      </w:r>
      <w:r>
        <w:t>s</w:t>
      </w:r>
      <w:r>
        <w:t>taron al fotógrafo Duday y a la peletera Leoni, mie</w:t>
      </w:r>
      <w:r>
        <w:t>n</w:t>
      </w:r>
      <w:r>
        <w:t>tras que los contactos con los otros vecinos de la zona no arrojaron resultados de interés para la investig</w:t>
      </w:r>
      <w:r>
        <w:t>a</w:t>
      </w:r>
      <w:r>
        <w:t>ción.</w:t>
      </w:r>
    </w:p>
    <w:p w:rsidR="00224567" w:rsidRDefault="00224567">
      <w:pPr>
        <w:widowControl w:val="0"/>
        <w:rPr>
          <w:lang w:val="es-MX"/>
        </w:rPr>
      </w:pPr>
      <w:r>
        <w:tab/>
      </w:r>
      <w:r>
        <w:rPr>
          <w:lang w:val="es-MX"/>
        </w:rPr>
        <w:t>Consideró el defensor que las manife</w:t>
      </w:r>
      <w:r>
        <w:rPr>
          <w:lang w:val="es-MX"/>
        </w:rPr>
        <w:t>s</w:t>
      </w:r>
      <w:r>
        <w:rPr>
          <w:lang w:val="es-MX"/>
        </w:rPr>
        <w:t>taciones de los preventores Galassi y De Lucía revelan, una vez más, una arbitraria discrecionalidad en la dil</w:t>
      </w:r>
      <w:r>
        <w:rPr>
          <w:lang w:val="es-MX"/>
        </w:rPr>
        <w:t>i</w:t>
      </w:r>
      <w:r>
        <w:rPr>
          <w:lang w:val="es-MX"/>
        </w:rPr>
        <w:t>gencia practicada en procura de buscar testigos presenci</w:t>
      </w:r>
      <w:r>
        <w:rPr>
          <w:lang w:val="es-MX"/>
        </w:rPr>
        <w:t>a</w:t>
      </w:r>
      <w:r>
        <w:rPr>
          <w:lang w:val="es-MX"/>
        </w:rPr>
        <w:t>les de lo ocurrido el 10 de julio de 1994 en las cercanías del domicilio de Carlos Alberto Telleldín, que, dos años después del atentado, arrojó como resultado la introdu</w:t>
      </w:r>
      <w:r>
        <w:rPr>
          <w:lang w:val="es-MX"/>
        </w:rPr>
        <w:t>c</w:t>
      </w:r>
      <w:r>
        <w:rPr>
          <w:lang w:val="es-MX"/>
        </w:rPr>
        <w:t>ción de dos testigos dispuestos a declarar a cambio de d</w:t>
      </w:r>
      <w:r>
        <w:rPr>
          <w:lang w:val="es-MX"/>
        </w:rPr>
        <w:t>i</w:t>
      </w:r>
      <w:r>
        <w:rPr>
          <w:lang w:val="es-MX"/>
        </w:rPr>
        <w:t xml:space="preserve">nero. </w:t>
      </w:r>
    </w:p>
    <w:p w:rsidR="00224567" w:rsidRDefault="00224567">
      <w:pPr>
        <w:widowControl w:val="0"/>
        <w:ind w:firstLine="2800"/>
        <w:rPr>
          <w:lang w:val="es-MX"/>
        </w:rPr>
      </w:pPr>
      <w:r>
        <w:rPr>
          <w:lang w:val="es-MX"/>
        </w:rPr>
        <w:t>Además, ambos policías admitieron no estar seguros de que se hubiera entrevistado a todos los vecinos de esa cuadra y, llamativamente, omitieron entr</w:t>
      </w:r>
      <w:r>
        <w:rPr>
          <w:lang w:val="es-MX"/>
        </w:rPr>
        <w:t>e</w:t>
      </w:r>
      <w:r>
        <w:rPr>
          <w:lang w:val="es-MX"/>
        </w:rPr>
        <w:t>vistar al hijo del fotógrafo.</w:t>
      </w:r>
    </w:p>
    <w:p w:rsidR="00224567" w:rsidRDefault="00224567">
      <w:pPr>
        <w:widowControl w:val="0"/>
        <w:rPr>
          <w:lang w:val="es-MX"/>
        </w:rPr>
      </w:pPr>
      <w:r>
        <w:rPr>
          <w:lang w:val="es-MX"/>
        </w:rPr>
        <w:tab/>
        <w:t>Sostuvo el Dr. Lozano que las declar</w:t>
      </w:r>
      <w:r>
        <w:rPr>
          <w:lang w:val="es-MX"/>
        </w:rPr>
        <w:t>a</w:t>
      </w:r>
      <w:r>
        <w:rPr>
          <w:lang w:val="es-MX"/>
        </w:rPr>
        <w:t>ciones de dichos funcionarios tendieron un manto de sosp</w:t>
      </w:r>
      <w:r>
        <w:rPr>
          <w:lang w:val="es-MX"/>
        </w:rPr>
        <w:t>e</w:t>
      </w:r>
      <w:r>
        <w:rPr>
          <w:lang w:val="es-MX"/>
        </w:rPr>
        <w:t>cha acerca del modo en que fueron seleccionados los test</w:t>
      </w:r>
      <w:r>
        <w:rPr>
          <w:lang w:val="es-MX"/>
        </w:rPr>
        <w:t>i</w:t>
      </w:r>
      <w:r>
        <w:rPr>
          <w:lang w:val="es-MX"/>
        </w:rPr>
        <w:t xml:space="preserve">gos, agregando que se les prometió dinero a cambio de su deposición. </w:t>
      </w:r>
    </w:p>
    <w:p w:rsidR="00224567" w:rsidRDefault="00224567">
      <w:pPr>
        <w:pStyle w:val="Textoindependiente2"/>
        <w:widowControl w:val="0"/>
        <w:rPr>
          <w:rFonts w:ascii="Courier New" w:hAnsi="Courier New" w:cs="Courier New"/>
          <w:lang w:val="es-MX"/>
        </w:rPr>
      </w:pPr>
      <w:r>
        <w:rPr>
          <w:rFonts w:ascii="Courier New" w:hAnsi="Courier New" w:cs="Courier New"/>
          <w:lang w:val="es-MX"/>
        </w:rPr>
        <w:tab/>
        <w:t>Por lo demás, ninguno de los te</w:t>
      </w:r>
      <w:r>
        <w:rPr>
          <w:rFonts w:ascii="Courier New" w:hAnsi="Courier New" w:cs="Courier New"/>
          <w:lang w:val="es-MX"/>
        </w:rPr>
        <w:t>s</w:t>
      </w:r>
      <w:r>
        <w:rPr>
          <w:rFonts w:ascii="Courier New" w:hAnsi="Courier New" w:cs="Courier New"/>
          <w:lang w:val="es-MX"/>
        </w:rPr>
        <w:t>tigos analizados mencionó a Mario Norberto Bareiro, ni tampoco aludieron a una descripción que guard</w:t>
      </w:r>
      <w:r>
        <w:rPr>
          <w:rFonts w:ascii="Courier New" w:hAnsi="Courier New" w:cs="Courier New"/>
          <w:lang w:val="es-MX"/>
        </w:rPr>
        <w:t>a</w:t>
      </w:r>
      <w:r>
        <w:rPr>
          <w:rFonts w:ascii="Courier New" w:hAnsi="Courier New" w:cs="Courier New"/>
          <w:lang w:val="es-MX"/>
        </w:rPr>
        <w:t>ra relación con sus rasgos fisonómicos.</w:t>
      </w:r>
    </w:p>
    <w:p w:rsidR="00224567" w:rsidRDefault="00224567">
      <w:pPr>
        <w:widowControl w:val="0"/>
        <w:rPr>
          <w:lang w:val="es-MX"/>
        </w:rPr>
      </w:pPr>
      <w:r>
        <w:rPr>
          <w:lang w:val="es-MX"/>
        </w:rPr>
        <w:tab/>
        <w:t>No obstante ello, el Ministerio Públ</w:t>
      </w:r>
      <w:r>
        <w:rPr>
          <w:lang w:val="es-MX"/>
        </w:rPr>
        <w:t>i</w:t>
      </w:r>
      <w:r>
        <w:rPr>
          <w:lang w:val="es-MX"/>
        </w:rPr>
        <w:t>co Fiscal imputó a Mario Norberto Bareiro haber vigilado el domicilio de Carlos Alberto Telleldín los d</w:t>
      </w:r>
      <w:r>
        <w:rPr>
          <w:lang w:val="es-MX"/>
        </w:rPr>
        <w:t>í</w:t>
      </w:r>
      <w:r>
        <w:rPr>
          <w:lang w:val="es-MX"/>
        </w:rPr>
        <w:t>as previos a la entrega de la camioneta.</w:t>
      </w:r>
    </w:p>
    <w:p w:rsidR="00224567" w:rsidRDefault="00224567">
      <w:pPr>
        <w:widowControl w:val="0"/>
        <w:rPr>
          <w:lang w:val="es-MX"/>
        </w:rPr>
      </w:pPr>
      <w:r>
        <w:rPr>
          <w:lang w:val="es-MX"/>
        </w:rPr>
        <w:tab/>
        <w:t>Según la postura de la fiscalía, dijo el letrado, el aviso de venta publicado por Telleldín en el diario “Clarín”, operó como una señal de que la cami</w:t>
      </w:r>
      <w:r>
        <w:rPr>
          <w:lang w:val="es-MX"/>
        </w:rPr>
        <w:t>o</w:t>
      </w:r>
      <w:r>
        <w:rPr>
          <w:lang w:val="es-MX"/>
        </w:rPr>
        <w:t>neta ya estaba lista para ser retirada, un claro mensaje que fue entendido por los policías. Sin embargo, si el aviso era suficiente para que los policías tuvieran con</w:t>
      </w:r>
      <w:r>
        <w:rPr>
          <w:lang w:val="es-MX"/>
        </w:rPr>
        <w:t>o</w:t>
      </w:r>
      <w:r>
        <w:rPr>
          <w:lang w:val="es-MX"/>
        </w:rPr>
        <w:t xml:space="preserve">cimiento de que </w:t>
      </w:r>
      <w:smartTag w:uri="urn:schemas-microsoft-com:office:smarttags" w:element="PersonName">
        <w:smartTagPr>
          <w:attr w:name="ProductID" w:val="la Trafic"/>
        </w:smartTagPr>
        <w:r>
          <w:rPr>
            <w:lang w:val="es-MX"/>
          </w:rPr>
          <w:t>la Trafic</w:t>
        </w:r>
      </w:smartTag>
      <w:r>
        <w:rPr>
          <w:lang w:val="es-MX"/>
        </w:rPr>
        <w:t xml:space="preserve"> ya se encontraba en condiciones, argumentó la defensa, entonces no se comprende por qué</w:t>
      </w:r>
      <w:r>
        <w:rPr>
          <w:b/>
          <w:bCs/>
          <w:lang w:val="es-MX"/>
        </w:rPr>
        <w:t xml:space="preserve"> </w:t>
      </w:r>
      <w:r>
        <w:rPr>
          <w:lang w:val="es-MX"/>
        </w:rPr>
        <w:t>se imputó a su mandante tareas indeterminadas, vagas e impr</w:t>
      </w:r>
      <w:r>
        <w:rPr>
          <w:lang w:val="es-MX"/>
        </w:rPr>
        <w:t>e</w:t>
      </w:r>
      <w:r>
        <w:rPr>
          <w:lang w:val="es-MX"/>
        </w:rPr>
        <w:t>cisas de vigilancia y control que no eran neces</w:t>
      </w:r>
      <w:r>
        <w:rPr>
          <w:lang w:val="es-MX"/>
        </w:rPr>
        <w:t>a</w:t>
      </w:r>
      <w:r>
        <w:rPr>
          <w:lang w:val="es-MX"/>
        </w:rPr>
        <w:t>rias.</w:t>
      </w:r>
    </w:p>
    <w:p w:rsidR="00224567" w:rsidRDefault="00224567">
      <w:pPr>
        <w:pStyle w:val="Textoindependiente2"/>
        <w:widowControl w:val="0"/>
        <w:rPr>
          <w:rFonts w:ascii="Courier New" w:hAnsi="Courier New" w:cs="Courier New"/>
          <w:lang w:val="es-MX"/>
        </w:rPr>
      </w:pPr>
      <w:r>
        <w:rPr>
          <w:rFonts w:ascii="Courier New" w:hAnsi="Courier New" w:cs="Courier New"/>
          <w:lang w:val="es-MX"/>
        </w:rPr>
        <w:tab/>
        <w:t>“Si el aviso era fundamental, la vig</w:t>
      </w:r>
      <w:r>
        <w:rPr>
          <w:rFonts w:ascii="Courier New" w:hAnsi="Courier New" w:cs="Courier New"/>
          <w:lang w:val="es-MX"/>
        </w:rPr>
        <w:t>i</w:t>
      </w:r>
      <w:r>
        <w:rPr>
          <w:rFonts w:ascii="Courier New" w:hAnsi="Courier New" w:cs="Courier New"/>
          <w:lang w:val="es-MX"/>
        </w:rPr>
        <w:t>lancia era superflua, del mismo modo, que si la vig</w:t>
      </w:r>
      <w:r>
        <w:rPr>
          <w:rFonts w:ascii="Courier New" w:hAnsi="Courier New" w:cs="Courier New"/>
          <w:lang w:val="es-MX"/>
        </w:rPr>
        <w:t>i</w:t>
      </w:r>
      <w:r>
        <w:rPr>
          <w:rFonts w:ascii="Courier New" w:hAnsi="Courier New" w:cs="Courier New"/>
          <w:lang w:val="es-MX"/>
        </w:rPr>
        <w:t>lancia era necesaria el aviso era inútil”, esgrimió la defensa técnica. La acusación, aseguró el letrado, es v</w:t>
      </w:r>
      <w:r>
        <w:rPr>
          <w:rFonts w:ascii="Courier New" w:hAnsi="Courier New" w:cs="Courier New"/>
          <w:lang w:val="es-MX"/>
        </w:rPr>
        <w:t>a</w:t>
      </w:r>
      <w:r>
        <w:rPr>
          <w:rFonts w:ascii="Courier New" w:hAnsi="Courier New" w:cs="Courier New"/>
          <w:lang w:val="es-MX"/>
        </w:rPr>
        <w:t>cía y auto contradictoria.</w:t>
      </w:r>
    </w:p>
    <w:p w:rsidR="00224567" w:rsidRDefault="00224567">
      <w:pPr>
        <w:pStyle w:val="Textoindependiente"/>
        <w:spacing w:line="600" w:lineRule="auto"/>
        <w:rPr>
          <w:lang w:val="es-MX"/>
        </w:rPr>
      </w:pPr>
      <w:r>
        <w:rPr>
          <w:lang w:val="es-MX"/>
        </w:rPr>
        <w:tab/>
        <w:t>Consideró que la fiscalía había inc</w:t>
      </w:r>
      <w:r>
        <w:rPr>
          <w:lang w:val="es-MX"/>
        </w:rPr>
        <w:t>u</w:t>
      </w:r>
      <w:r>
        <w:rPr>
          <w:lang w:val="es-MX"/>
        </w:rPr>
        <w:t>rrido en otra autocontradicción al ponderar, en c</w:t>
      </w:r>
      <w:r>
        <w:rPr>
          <w:lang w:val="es-MX"/>
        </w:rPr>
        <w:t>o</w:t>
      </w:r>
      <w:r>
        <w:rPr>
          <w:lang w:val="es-MX"/>
        </w:rPr>
        <w:t>ntra de Anastasio Ireneo Leal, los dichos indagatorios de su cliente en cua</w:t>
      </w:r>
      <w:r>
        <w:rPr>
          <w:lang w:val="es-MX"/>
        </w:rPr>
        <w:t>n</w:t>
      </w:r>
      <w:r>
        <w:rPr>
          <w:lang w:val="es-MX"/>
        </w:rPr>
        <w:t>to refirió que se mostró extrañado ante el comentario de aquél, acerca de su presencia el domingo 10 de julio de 1994.</w:t>
      </w:r>
    </w:p>
    <w:p w:rsidR="00224567" w:rsidRDefault="00224567">
      <w:pPr>
        <w:widowControl w:val="0"/>
        <w:rPr>
          <w:lang w:val="es-MX"/>
        </w:rPr>
      </w:pPr>
      <w:r>
        <w:rPr>
          <w:lang w:val="es-MX"/>
        </w:rPr>
        <w:tab/>
        <w:t xml:space="preserve">Si Bareiro, como afirma el fiscal, aportó la información del arribo de </w:t>
      </w:r>
      <w:smartTag w:uri="urn:schemas-microsoft-com:office:smarttags" w:element="PersonName">
        <w:smartTagPr>
          <w:attr w:name="ProductID" w:val="la Trafic"/>
        </w:smartTagPr>
        <w:r>
          <w:rPr>
            <w:lang w:val="es-MX"/>
          </w:rPr>
          <w:t>la Trafic</w:t>
        </w:r>
      </w:smartTag>
      <w:r>
        <w:rPr>
          <w:lang w:val="es-MX"/>
        </w:rPr>
        <w:t>, necesari</w:t>
      </w:r>
      <w:r>
        <w:rPr>
          <w:lang w:val="es-MX"/>
        </w:rPr>
        <w:t>a</w:t>
      </w:r>
      <w:r>
        <w:rPr>
          <w:lang w:val="es-MX"/>
        </w:rPr>
        <w:t>mente éste debió haber reparado en el ingreso de Leal al domicilio de República 107 para interesarse por la venta del vehículo, dedujo el d</w:t>
      </w:r>
      <w:r>
        <w:rPr>
          <w:lang w:val="es-MX"/>
        </w:rPr>
        <w:t>e</w:t>
      </w:r>
      <w:r>
        <w:rPr>
          <w:lang w:val="es-MX"/>
        </w:rPr>
        <w:t>fensor.</w:t>
      </w:r>
    </w:p>
    <w:p w:rsidR="00224567" w:rsidRDefault="00224567">
      <w:pPr>
        <w:widowControl w:val="0"/>
        <w:rPr>
          <w:b/>
          <w:bCs/>
          <w:u w:val="single"/>
        </w:rPr>
      </w:pPr>
      <w:r>
        <w:rPr>
          <w:lang w:val="es-MX"/>
        </w:rPr>
        <w:tab/>
        <w:t>No obstante, la acusación desca</w:t>
      </w:r>
      <w:r>
        <w:rPr>
          <w:lang w:val="es-MX"/>
        </w:rPr>
        <w:t>r</w:t>
      </w:r>
      <w:r>
        <w:rPr>
          <w:lang w:val="es-MX"/>
        </w:rPr>
        <w:t>tó la presencia de su r</w:t>
      </w:r>
      <w:r>
        <w:rPr>
          <w:lang w:val="es-MX"/>
        </w:rPr>
        <w:t>e</w:t>
      </w:r>
      <w:r>
        <w:rPr>
          <w:lang w:val="es-MX"/>
        </w:rPr>
        <w:t>presentado el domingo 10 de julio en la calle República 107 y, consecuentemente, la camioneta Tr</w:t>
      </w:r>
      <w:r>
        <w:rPr>
          <w:lang w:val="es-MX"/>
        </w:rPr>
        <w:t>a</w:t>
      </w:r>
      <w:r>
        <w:rPr>
          <w:lang w:val="es-MX"/>
        </w:rPr>
        <w:t>fic estuvo sin ser vigilada hasta las 14.30 hs. del día que había sido publicada para la venta. A ello debe ad</w:t>
      </w:r>
      <w:r>
        <w:rPr>
          <w:lang w:val="es-MX"/>
        </w:rPr>
        <w:t>i</w:t>
      </w:r>
      <w:r>
        <w:rPr>
          <w:lang w:val="es-MX"/>
        </w:rPr>
        <w:t>tarse, además, que según la acusación, ese aviso servía como contraseña que i</w:t>
      </w:r>
      <w:r>
        <w:rPr>
          <w:lang w:val="es-MX"/>
        </w:rPr>
        <w:t>n</w:t>
      </w:r>
      <w:r>
        <w:rPr>
          <w:lang w:val="es-MX"/>
        </w:rPr>
        <w:t>dicaba que la camioneta estaba lista para su entrega al personal policial.</w:t>
      </w:r>
    </w:p>
    <w:p w:rsidR="00224567" w:rsidRDefault="00224567">
      <w:pPr>
        <w:widowControl w:val="0"/>
        <w:rPr>
          <w:lang w:val="es-MX"/>
        </w:rPr>
      </w:pPr>
      <w:r>
        <w:tab/>
        <w:t>En definitiva, sostuvo el letr</w:t>
      </w:r>
      <w:r>
        <w:t>a</w:t>
      </w:r>
      <w:r>
        <w:t>do, la fiscalía no</w:t>
      </w:r>
      <w:r>
        <w:rPr>
          <w:lang w:val="es-MX"/>
        </w:rPr>
        <w:t xml:space="preserve"> precisó en qué consistió el control de la c</w:t>
      </w:r>
      <w:r>
        <w:rPr>
          <w:lang w:val="es-MX"/>
        </w:rPr>
        <w:t>a</w:t>
      </w:r>
      <w:r>
        <w:rPr>
          <w:lang w:val="es-MX"/>
        </w:rPr>
        <w:t>mioneta que se imputa a su asistido, cómo se llevó a cabo, desde cuándo ni cuáles fueron los medios empleados para evitar que “la camioneta no sufriera ningún percance” para que “no se cortara la cadena” y “llevar a cabo el compr</w:t>
      </w:r>
      <w:r>
        <w:rPr>
          <w:lang w:val="es-MX"/>
        </w:rPr>
        <w:t>o</w:t>
      </w:r>
      <w:r>
        <w:rPr>
          <w:lang w:val="es-MX"/>
        </w:rPr>
        <w:t>miso asumido”.</w:t>
      </w:r>
    </w:p>
    <w:p w:rsidR="00224567" w:rsidRDefault="00224567">
      <w:pPr>
        <w:widowControl w:val="0"/>
        <w:rPr>
          <w:lang w:val="es-MX"/>
        </w:rPr>
      </w:pPr>
      <w:r>
        <w:rPr>
          <w:lang w:val="es-MX"/>
        </w:rPr>
        <w:tab/>
        <w:t>Si, de acuerdo a la imputación form</w:t>
      </w:r>
      <w:r>
        <w:rPr>
          <w:lang w:val="es-MX"/>
        </w:rPr>
        <w:t>u</w:t>
      </w:r>
      <w:r>
        <w:rPr>
          <w:lang w:val="es-MX"/>
        </w:rPr>
        <w:t>lada, existió una entrega, entonces, ¿para qué el aviso, el control y la vigilancia?, se preguntó el letr</w:t>
      </w:r>
      <w:r>
        <w:rPr>
          <w:lang w:val="es-MX"/>
        </w:rPr>
        <w:t>a</w:t>
      </w:r>
      <w:r>
        <w:rPr>
          <w:lang w:val="es-MX"/>
        </w:rPr>
        <w:t>do.</w:t>
      </w:r>
    </w:p>
    <w:p w:rsidR="00224567" w:rsidRDefault="00224567">
      <w:pPr>
        <w:widowControl w:val="0"/>
      </w:pPr>
      <w:r>
        <w:rPr>
          <w:lang w:val="es-MX"/>
        </w:rPr>
        <w:tab/>
      </w:r>
      <w:r>
        <w:rPr>
          <w:lang w:val="es-ES_tradnl"/>
        </w:rPr>
        <w:t>El defensor refutó la acusación en cuanto sostuvo que no existió extorsión el 10 de julio de 1994 y, al mismo tiempo, se refugió en los dichos de te</w:t>
      </w:r>
      <w:r>
        <w:rPr>
          <w:lang w:val="es-ES_tradnl"/>
        </w:rPr>
        <w:t>s</w:t>
      </w:r>
      <w:r>
        <w:rPr>
          <w:lang w:val="es-ES_tradnl"/>
        </w:rPr>
        <w:t xml:space="preserve">tigos presenciales de ese delito. </w:t>
      </w:r>
      <w:r>
        <w:t>Agregó que no sólo Bor</w:t>
      </w:r>
      <w:r>
        <w:t>a</w:t>
      </w:r>
      <w:r>
        <w:t>gni, Leoni, Duday y Cotoras jamás aludieron a Mario No</w:t>
      </w:r>
      <w:r>
        <w:t>r</w:t>
      </w:r>
      <w:r>
        <w:t>berto Bareiro como partícipe en la maniobra expoli</w:t>
      </w:r>
      <w:r>
        <w:t>a</w:t>
      </w:r>
      <w:r>
        <w:t>tiva de la camioneta, sino que el propio Carlos Alberto Telleldín nunca señaló que su asistido hubiera estado prese</w:t>
      </w:r>
      <w:r>
        <w:t>n</w:t>
      </w:r>
      <w:r>
        <w:t>te en el lugar antes de la entrega de la camion</w:t>
      </w:r>
      <w:r>
        <w:t>e</w:t>
      </w:r>
      <w:r>
        <w:t>ta, ni siquiera, en su declaración indagatoria inválida del 5 de julio de 1996.</w:t>
      </w:r>
    </w:p>
    <w:p w:rsidR="00224567" w:rsidRDefault="00224567">
      <w:pPr>
        <w:widowControl w:val="0"/>
      </w:pPr>
      <w:r>
        <w:tab/>
        <w:t>Señaló, además, que los testim</w:t>
      </w:r>
      <w:r>
        <w:t>o</w:t>
      </w:r>
      <w:r>
        <w:t>nios de Ana María Boragni, Miriam Salinas y Laura Scillone, pers</w:t>
      </w:r>
      <w:r>
        <w:t>o</w:t>
      </w:r>
      <w:r>
        <w:t>nas del entorno de Telleldín, fueron proporcionados por aquél para avalar su versión y que sus declaraciones fu</w:t>
      </w:r>
      <w:r>
        <w:t>e</w:t>
      </w:r>
      <w:r>
        <w:t>ron consensuadas en el marco de la negociación con el ju</w:t>
      </w:r>
      <w:r>
        <w:t>z</w:t>
      </w:r>
      <w:r>
        <w:t>gado instructor y, por ende, carecen de verosimilitud.</w:t>
      </w:r>
    </w:p>
    <w:p w:rsidR="00224567" w:rsidRDefault="00224567">
      <w:pPr>
        <w:widowControl w:val="0"/>
      </w:pPr>
      <w:r>
        <w:tab/>
        <w:t>El defensor señaló que en la entrevi</w:t>
      </w:r>
      <w:r>
        <w:t>s</w:t>
      </w:r>
      <w:r>
        <w:t>ta a Carlos Alberto Telleldín publicada en el periódico Página 12 el 16 de julio de 1995, tit</w:t>
      </w:r>
      <w:r>
        <w:t>u</w:t>
      </w:r>
      <w:r>
        <w:t xml:space="preserve">lada “En </w:t>
      </w:r>
      <w:smartTag w:uri="urn:schemas-microsoft-com:office:smarttags" w:element="PersonName">
        <w:smartTagPr>
          <w:attr w:name="ProductID" w:val="la Polic￭a Pasan"/>
        </w:smartTagPr>
        <w:r>
          <w:t>la Policía Pasan</w:t>
        </w:r>
      </w:smartTag>
      <w:r>
        <w:t xml:space="preserve"> Cosas Raras”, el nombrado negó expresamente haber entregado la camioneta Trafic a </w:t>
      </w:r>
      <w:smartTag w:uri="urn:schemas-microsoft-com:office:smarttags" w:element="PersonName">
        <w:smartTagPr>
          <w:attr w:name="ProductID" w:val="la Polic￭a Bonaerense"/>
        </w:smartTagPr>
        <w:r>
          <w:t>la Policía Bonaerense</w:t>
        </w:r>
      </w:smartTag>
      <w:r>
        <w:t>; sin embargo, la fiscalía om</w:t>
      </w:r>
      <w:r>
        <w:t>i</w:t>
      </w:r>
      <w:r>
        <w:t>tió mencionar esa circunstancia al exhibir el reco</w:t>
      </w:r>
      <w:r>
        <w:t>r</w:t>
      </w:r>
      <w:r>
        <w:t>te.</w:t>
      </w:r>
    </w:p>
    <w:p w:rsidR="00224567" w:rsidRDefault="00224567">
      <w:pPr>
        <w:widowControl w:val="0"/>
      </w:pPr>
      <w:r>
        <w:tab/>
        <w:t>Por otra parte, el Dr. Lozano indicó que Telleldín denunció al juzgado instructor por coa</w:t>
      </w:r>
      <w:r>
        <w:t>c</w:t>
      </w:r>
      <w:r>
        <w:t>ción, en virtud de sus dichos volcados el 5 de julio de 1996. En ese contexto, argumentó el letrado, la proximidad de esa indagatoria con las declaraciones testimoniales rendidas en la instrucción por Leoni, Duday, G</w:t>
      </w:r>
      <w:r>
        <w:t>a</w:t>
      </w:r>
      <w:r>
        <w:t>lassi y De Lucía –esto es, el 30 de mayo de 1996-, a solo un mes y diez días de la fecha del pago, demuestra que la maniobra fue ad</w:t>
      </w:r>
      <w:r>
        <w:t>e</w:t>
      </w:r>
      <w:r>
        <w:t>lantada por el juzgado instru</w:t>
      </w:r>
      <w:r>
        <w:t>c</w:t>
      </w:r>
      <w:r>
        <w:t>tor.</w:t>
      </w:r>
    </w:p>
    <w:p w:rsidR="00224567" w:rsidRDefault="00224567">
      <w:pPr>
        <w:widowControl w:val="0"/>
      </w:pPr>
      <w:r>
        <w:tab/>
        <w:t>Tampoco es casual, dijo, que G</w:t>
      </w:r>
      <w:r>
        <w:t>a</w:t>
      </w:r>
      <w:r>
        <w:t>lassi y De Lucía se constituyeran en las inmediaciones del domic</w:t>
      </w:r>
      <w:r>
        <w:t>i</w:t>
      </w:r>
      <w:r>
        <w:t>lio de Telleldín en busca de test</w:t>
      </w:r>
      <w:r>
        <w:t>i</w:t>
      </w:r>
      <w:r>
        <w:t>gos, pues éste último ya había comentado extraoficialmente al juez de la causa la existencia de la peletera y del fotógrafo, como posibles testigos.</w:t>
      </w:r>
    </w:p>
    <w:p w:rsidR="00224567" w:rsidRDefault="00224567">
      <w:pPr>
        <w:pStyle w:val="Sangradetextonormal"/>
        <w:widowControl w:val="0"/>
        <w:ind w:firstLine="2800"/>
        <w:rPr>
          <w:lang w:val="es-ES"/>
        </w:rPr>
      </w:pPr>
      <w:r>
        <w:rPr>
          <w:lang w:val="es-ES"/>
        </w:rPr>
        <w:t>Entonces, concluyó el defensor, la d</w:t>
      </w:r>
      <w:r>
        <w:rPr>
          <w:lang w:val="es-ES"/>
        </w:rPr>
        <w:t>e</w:t>
      </w:r>
      <w:r>
        <w:rPr>
          <w:lang w:val="es-ES"/>
        </w:rPr>
        <w:t>claración de los mencionados testigos fue fruto de la m</w:t>
      </w:r>
      <w:r>
        <w:rPr>
          <w:lang w:val="es-ES"/>
        </w:rPr>
        <w:t>a</w:t>
      </w:r>
      <w:r>
        <w:rPr>
          <w:lang w:val="es-ES"/>
        </w:rPr>
        <w:t>niobra elaborada por Carlos Alberto Telleldín y no, como lo pretendió la fiscalía, el resultado de un curso de a</w:t>
      </w:r>
      <w:r>
        <w:rPr>
          <w:lang w:val="es-ES"/>
        </w:rPr>
        <w:t>c</w:t>
      </w:r>
      <w:r>
        <w:rPr>
          <w:lang w:val="es-ES"/>
        </w:rPr>
        <w:t>ción independiente; máxime cuando, también para esas f</w:t>
      </w:r>
      <w:r>
        <w:rPr>
          <w:lang w:val="es-ES"/>
        </w:rPr>
        <w:t>e</w:t>
      </w:r>
      <w:r>
        <w:rPr>
          <w:lang w:val="es-ES"/>
        </w:rPr>
        <w:t>chas -mes de junio de 1996-, tuvieron lugar las declar</w:t>
      </w:r>
      <w:r>
        <w:rPr>
          <w:lang w:val="es-ES"/>
        </w:rPr>
        <w:t>a</w:t>
      </w:r>
      <w:r>
        <w:rPr>
          <w:lang w:val="es-ES"/>
        </w:rPr>
        <w:t>ciones de los hermanos Cristaldo Brizuela. Ad</w:t>
      </w:r>
      <w:r>
        <w:rPr>
          <w:lang w:val="es-ES"/>
        </w:rPr>
        <w:t>e</w:t>
      </w:r>
      <w:r>
        <w:rPr>
          <w:lang w:val="es-ES"/>
        </w:rPr>
        <w:t>más, señaló, en la entrevista previa entre Telleldín y juez Galeano, aquél lo i</w:t>
      </w:r>
      <w:r>
        <w:rPr>
          <w:lang w:val="es-ES"/>
        </w:rPr>
        <w:t>m</w:t>
      </w:r>
      <w:r>
        <w:rPr>
          <w:lang w:val="es-ES"/>
        </w:rPr>
        <w:t>puso sobre la existencia de estas personas.</w:t>
      </w:r>
    </w:p>
    <w:p w:rsidR="00224567" w:rsidRDefault="00224567">
      <w:pPr>
        <w:pStyle w:val="Textoindependiente2"/>
        <w:widowControl w:val="0"/>
        <w:ind w:firstLine="2800"/>
        <w:rPr>
          <w:rFonts w:ascii="Courier New" w:hAnsi="Courier New" w:cs="Courier New"/>
        </w:rPr>
      </w:pPr>
      <w:r>
        <w:rPr>
          <w:rFonts w:ascii="Courier New" w:hAnsi="Courier New" w:cs="Courier New"/>
          <w:lang w:val="es-AR"/>
        </w:rPr>
        <w:t>En otro orden de cosas, el defensor sostuvo que el mentado lucro indebido de su asistido, ta</w:t>
      </w:r>
      <w:r>
        <w:rPr>
          <w:rFonts w:ascii="Courier New" w:hAnsi="Courier New" w:cs="Courier New"/>
          <w:lang w:val="es-AR"/>
        </w:rPr>
        <w:t>n</w:t>
      </w:r>
      <w:r>
        <w:rPr>
          <w:rFonts w:ascii="Courier New" w:hAnsi="Courier New" w:cs="Courier New"/>
          <w:lang w:val="es-AR"/>
        </w:rPr>
        <w:t>to por el hecho del 15 de julio de 1994, como por el ate</w:t>
      </w:r>
      <w:r>
        <w:rPr>
          <w:rFonts w:ascii="Courier New" w:hAnsi="Courier New" w:cs="Courier New"/>
          <w:lang w:val="es-AR"/>
        </w:rPr>
        <w:t>n</w:t>
      </w:r>
      <w:r>
        <w:rPr>
          <w:rFonts w:ascii="Courier New" w:hAnsi="Courier New" w:cs="Courier New"/>
          <w:lang w:val="es-AR"/>
        </w:rPr>
        <w:t>tado terrorista, esgrimido en las acusaciones de la fisc</w:t>
      </w:r>
      <w:r>
        <w:rPr>
          <w:rFonts w:ascii="Courier New" w:hAnsi="Courier New" w:cs="Courier New"/>
          <w:lang w:val="es-AR"/>
        </w:rPr>
        <w:t>a</w:t>
      </w:r>
      <w:r>
        <w:rPr>
          <w:rFonts w:ascii="Courier New" w:hAnsi="Courier New" w:cs="Courier New"/>
          <w:lang w:val="es-AR"/>
        </w:rPr>
        <w:t>lía de la querella, no fue suficientemente prob</w:t>
      </w:r>
      <w:r>
        <w:rPr>
          <w:rFonts w:ascii="Courier New" w:hAnsi="Courier New" w:cs="Courier New"/>
          <w:lang w:val="es-AR"/>
        </w:rPr>
        <w:t>a</w:t>
      </w:r>
      <w:r>
        <w:rPr>
          <w:rFonts w:ascii="Courier New" w:hAnsi="Courier New" w:cs="Courier New"/>
          <w:lang w:val="es-AR"/>
        </w:rPr>
        <w:t xml:space="preserve">do. </w:t>
      </w:r>
      <w:r>
        <w:rPr>
          <w:rFonts w:ascii="Courier New" w:hAnsi="Courier New" w:cs="Courier New"/>
        </w:rPr>
        <w:t>Por el contrario, aseguró, esa motivación económica no existió respecto de Mario Norberto B</w:t>
      </w:r>
      <w:r>
        <w:rPr>
          <w:rFonts w:ascii="Courier New" w:hAnsi="Courier New" w:cs="Courier New"/>
        </w:rPr>
        <w:t>a</w:t>
      </w:r>
      <w:r>
        <w:rPr>
          <w:rFonts w:ascii="Courier New" w:hAnsi="Courier New" w:cs="Courier New"/>
        </w:rPr>
        <w:t>reiro.</w:t>
      </w:r>
    </w:p>
    <w:p w:rsidR="00224567" w:rsidRDefault="00224567">
      <w:pPr>
        <w:widowControl w:val="0"/>
      </w:pPr>
      <w:r>
        <w:tab/>
        <w:t>Al respecto,</w:t>
      </w:r>
      <w:r>
        <w:rPr>
          <w:bCs/>
        </w:rPr>
        <w:t xml:space="preserve"> mencionó los test</w:t>
      </w:r>
      <w:r>
        <w:rPr>
          <w:bCs/>
        </w:rPr>
        <w:t>i</w:t>
      </w:r>
      <w:r>
        <w:rPr>
          <w:bCs/>
        </w:rPr>
        <w:t xml:space="preserve">monios de los policías que </w:t>
      </w:r>
      <w:r>
        <w:t xml:space="preserve">acudieron al domicilio de Bareiro para detenerlo, </w:t>
      </w:r>
      <w:r>
        <w:rPr>
          <w:bCs/>
        </w:rPr>
        <w:t xml:space="preserve">Jorge Florián Rausch y Miguel Ángel Galassi, quienes, según relataron en el debate, se </w:t>
      </w:r>
      <w:r>
        <w:t>so</w:t>
      </w:r>
      <w:r>
        <w:t>r</w:t>
      </w:r>
      <w:r>
        <w:t>prendieron al constatar el escaso bienestar que revel</w:t>
      </w:r>
      <w:r>
        <w:t>a</w:t>
      </w:r>
      <w:r>
        <w:t>ba el estado de su vivienda.</w:t>
      </w:r>
    </w:p>
    <w:p w:rsidR="00224567" w:rsidRDefault="00224567">
      <w:pPr>
        <w:widowControl w:val="0"/>
      </w:pPr>
      <w:r>
        <w:tab/>
        <w:t>En igual sentido, el defensor destacó los datos del i</w:t>
      </w:r>
      <w:r>
        <w:t>n</w:t>
      </w:r>
      <w:r>
        <w:t>forme socioambiental de su asistido, en el que se expresó que su estándar de vida era medio/bajo. Afirmó que Bareiro no estaba en condiciones de atender los gastos mínimos para cubrir las necesidades básicas de su familia, a punto tal, que en más de una oportunidad, fue su cuñado quien afrontó el pago del alquiler de su vivie</w:t>
      </w:r>
      <w:r>
        <w:t>n</w:t>
      </w:r>
      <w:r>
        <w:t>da.</w:t>
      </w:r>
    </w:p>
    <w:p w:rsidR="00224567" w:rsidRDefault="00224567">
      <w:pPr>
        <w:widowControl w:val="0"/>
      </w:pPr>
      <w:r>
        <w:rPr>
          <w:lang w:val="es-AR"/>
        </w:rPr>
        <w:tab/>
        <w:t>También hizo alusión el defensor a</w:t>
      </w:r>
      <w:r>
        <w:t xml:space="preserve">l informe del Registro de </w:t>
      </w:r>
      <w:smartTag w:uri="urn:schemas-microsoft-com:office:smarttags" w:element="PersonName">
        <w:smartTagPr>
          <w:attr w:name="ProductID" w:val="la Propiedad Inmueble"/>
        </w:smartTagPr>
        <w:r>
          <w:t>la Propiedad Inmueble</w:t>
        </w:r>
      </w:smartTag>
      <w:r>
        <w:t xml:space="preserve"> de fs. 37.603/37.636, al de </w:t>
      </w:r>
      <w:smartTag w:uri="urn:schemas-microsoft-com:office:smarttags" w:element="PersonName">
        <w:smartTagPr>
          <w:attr w:name="ProductID" w:val="la Secretar￭a"/>
        </w:smartTagPr>
        <w:r>
          <w:t>la Secretaría</w:t>
        </w:r>
      </w:smartTag>
      <w:r>
        <w:t xml:space="preserve"> de Asuntos Registr</w:t>
      </w:r>
      <w:r>
        <w:t>a</w:t>
      </w:r>
      <w:r>
        <w:t xml:space="preserve">les de fs. 37.596/8, al de las entidades bancarias recabadas en el expediente, a los datos que la actuaria obtuvo a fs. 37.898 en </w:t>
      </w:r>
      <w:smartTag w:uri="urn:schemas-microsoft-com:office:smarttags" w:element="PersonName">
        <w:smartTagPr>
          <w:attr w:name="ProductID" w:val="la Fundaci￳n Veraz"/>
        </w:smartTagPr>
        <w:r>
          <w:t>la Fundación Veraz</w:t>
        </w:r>
      </w:smartTag>
      <w:r>
        <w:t xml:space="preserve"> y a la información proporci</w:t>
      </w:r>
      <w:r>
        <w:t>o</w:t>
      </w:r>
      <w:r>
        <w:t>nada por “Diners Club” a fs. 40.870, “Cabal” a fs. 40.953, “Argencard” y “Mastercard” a fs. 40.985/7, “Consumor” y “American Express” a fs. 43.295, constancias todas éstas que dieron cuenta acerca de la inexistencia de bienes, cuentas banc</w:t>
      </w:r>
      <w:r>
        <w:t>a</w:t>
      </w:r>
      <w:r>
        <w:t>rias o tarjetas de crédito a nombre de Mario Norberto B</w:t>
      </w:r>
      <w:r>
        <w:t>a</w:t>
      </w:r>
      <w:r>
        <w:t>reiro.</w:t>
      </w:r>
    </w:p>
    <w:p w:rsidR="00224567" w:rsidRDefault="00224567">
      <w:pPr>
        <w:widowControl w:val="0"/>
      </w:pPr>
      <w:r>
        <w:tab/>
        <w:t>Las pruebas expuestas, sostuvo el l</w:t>
      </w:r>
      <w:r>
        <w:t>e</w:t>
      </w:r>
      <w:r>
        <w:t>trado, se encuentran en la antípoda de lo señalado por la acusación, en punto a la situación patrimonial de su asi</w:t>
      </w:r>
      <w:r>
        <w:t>s</w:t>
      </w:r>
      <w:r>
        <w:t>tido como indicio relevante de su participación en el atentado.</w:t>
      </w:r>
    </w:p>
    <w:p w:rsidR="00224567" w:rsidRDefault="00224567">
      <w:pPr>
        <w:widowControl w:val="0"/>
      </w:pPr>
      <w:r>
        <w:tab/>
        <w:t>Agregó que ni los testimonios de Leoni, Duday, Galassi y de Lucía, ni la situación patrim</w:t>
      </w:r>
      <w:r>
        <w:t>o</w:t>
      </w:r>
      <w:r>
        <w:t>nial de Bareiro, como así tampoco las escuchas “altamente i</w:t>
      </w:r>
      <w:r>
        <w:t>n</w:t>
      </w:r>
      <w:r>
        <w:t>criminantes”, a las que aludió la fiscalía, son pruebas suficientes que expliquen la conducta que se atribuyó a su representado.</w:t>
      </w:r>
    </w:p>
    <w:p w:rsidR="00224567" w:rsidRDefault="00224567">
      <w:pPr>
        <w:widowControl w:val="0"/>
        <w:rPr>
          <w:lang w:val="es-AR"/>
        </w:rPr>
      </w:pPr>
      <w:r>
        <w:tab/>
        <w:t>En las conversaciones telefónicas me</w:t>
      </w:r>
      <w:r>
        <w:t>n</w:t>
      </w:r>
      <w:r>
        <w:t>cionadas por el Ministerio Público, Bareiro no pa</w:t>
      </w:r>
      <w:r>
        <w:t>r</w:t>
      </w:r>
      <w:r>
        <w:t>ticipó, ni tampoco los interlocutores lo aludieron ni siquiera tangencialmente, aseguró el defensor. Tampoco Ribelli, cuando se ordenaron las detenciones del pers</w:t>
      </w:r>
      <w:r>
        <w:t>o</w:t>
      </w:r>
      <w:r>
        <w:t>nal policial, demostró preoc</w:t>
      </w:r>
      <w:r>
        <w:t>u</w:t>
      </w:r>
      <w:r>
        <w:t>pación respecto de su asistido.</w:t>
      </w:r>
    </w:p>
    <w:p w:rsidR="00224567" w:rsidRDefault="00224567">
      <w:pPr>
        <w:widowControl w:val="0"/>
        <w:ind w:firstLine="2800"/>
        <w:rPr>
          <w:b/>
          <w:noProof/>
        </w:rPr>
      </w:pPr>
      <w:r>
        <w:rPr>
          <w:bCs/>
          <w:noProof/>
        </w:rPr>
        <w:t xml:space="preserve">Alegó el defensor que </w:t>
      </w:r>
      <w:r>
        <w:rPr>
          <w:noProof/>
        </w:rPr>
        <w:t xml:space="preserve">el entrecruzamiento telefónico de los abonados nº 666-3926, 739-2691 y 412-4482, que podrían haber sido utilizados por Bareiro en fechas cercanas al 10 de julio de 1994, arrojó resultado negativo, según las constancias de fs. 68.869, 73.408, 73.424, 73.472 y 73.502. Además, </w:t>
      </w:r>
      <w:r>
        <w:rPr>
          <w:bCs/>
          <w:noProof/>
        </w:rPr>
        <w:t>los análisis de dichos cruces, ordenados por el juez instructor con el objeto de determinar “conexiones de interés”, indicó la defensa, también dieron resultado negativos</w:t>
      </w:r>
      <w:r>
        <w:rPr>
          <w:noProof/>
        </w:rPr>
        <w:t>.</w:t>
      </w:r>
    </w:p>
    <w:p w:rsidR="00224567" w:rsidRDefault="00224567">
      <w:pPr>
        <w:widowControl w:val="0"/>
        <w:ind w:firstLine="2800"/>
        <w:rPr>
          <w:bCs/>
          <w:noProof/>
        </w:rPr>
      </w:pPr>
      <w:r>
        <w:rPr>
          <w:bCs/>
          <w:noProof/>
        </w:rPr>
        <w:t>En síntesis, refirió el defensor, no existen escuchas telefónicas, ni dichos, palabras o mensajes de los que se pueda extraer prueba que involucre a Mario Norberto Bareiro en el atentado terrorista del 18 de julio de 1994.</w:t>
      </w:r>
    </w:p>
    <w:p w:rsidR="00224567" w:rsidRDefault="00224567">
      <w:pPr>
        <w:widowControl w:val="0"/>
        <w:ind w:firstLine="2800"/>
        <w:rPr>
          <w:bCs/>
          <w:noProof/>
        </w:rPr>
      </w:pPr>
      <w:r>
        <w:rPr>
          <w:bCs/>
          <w:noProof/>
        </w:rPr>
        <w:t>En cuanto a la prueba que se desprende del denominado desvío introducido por Ramón Emilio Solari, utilizado por el Ministerio Público Fiscal en contra de su asistido, el defensor afirmó que dicho testigo fue acercado por Telleldín en virtud del pago que recibió para declarar el 5 de julio de 1996, según éste lo reconoció en el debate.</w:t>
      </w:r>
    </w:p>
    <w:p w:rsidR="00224567" w:rsidRDefault="00224567">
      <w:pPr>
        <w:widowControl w:val="0"/>
        <w:ind w:firstLine="2800"/>
        <w:rPr>
          <w:bCs/>
          <w:noProof/>
        </w:rPr>
      </w:pPr>
      <w:r>
        <w:rPr>
          <w:bCs/>
          <w:noProof/>
        </w:rPr>
        <w:t>Llamativo resultó, añadió el defensor, que el fiscal general al advertir el motivo que originó la indagatoria de Telleldín cuya nulidad reclamó, forzando la realidad de los hechos “arroje en la mesa de saldos de prueba</w:t>
      </w:r>
      <w:r>
        <w:rPr>
          <w:b/>
          <w:noProof/>
        </w:rPr>
        <w:t xml:space="preserve"> </w:t>
      </w:r>
      <w:r>
        <w:rPr>
          <w:bCs/>
          <w:noProof/>
        </w:rPr>
        <w:t>los dichos de Solari y de los Brizuela”.</w:t>
      </w:r>
    </w:p>
    <w:p w:rsidR="00224567" w:rsidRDefault="00224567">
      <w:pPr>
        <w:pStyle w:val="Sangra2detindependiente"/>
        <w:widowControl w:val="0"/>
        <w:spacing w:line="600" w:lineRule="auto"/>
        <w:ind w:firstLine="2800"/>
        <w:rPr>
          <w:bCs/>
          <w:noProof/>
        </w:rPr>
      </w:pPr>
      <w:r>
        <w:rPr>
          <w:bCs/>
          <w:noProof/>
        </w:rPr>
        <w:t>Al respecto, el abogado mencionó lo manifestado por Telleldín en el video del 1º de julio de 1996, en cuanto señaló “le digo sinceramente, me tuve que guardar todos los testigos, lo mismo que Solari, yo a Solari no tenía por qué presentárselo, ni me interesa... lo que pasa es que me enteré porque fue de Dios” y que “Marquevich tiene que tener un detenido, fue antes que se lo mande a Solari a usted”.</w:t>
      </w:r>
    </w:p>
    <w:p w:rsidR="00224567" w:rsidRDefault="00224567">
      <w:pPr>
        <w:pStyle w:val="Sangra3detindependiente"/>
        <w:widowControl w:val="0"/>
        <w:spacing w:line="600" w:lineRule="auto"/>
        <w:rPr>
          <w:bCs/>
          <w:noProof/>
        </w:rPr>
      </w:pPr>
      <w:r>
        <w:rPr>
          <w:bCs/>
          <w:noProof/>
        </w:rPr>
        <w:t>También trajo a colación los dichos del imputado Telleldín, vertidos en la audiencia del 30 de abril de 2002, al afirmar que “uno de los puntos por los que Galeano me paga la recompensa era el tema Solari”; que “el que lleva el tema Solari íntegramente soy yo porque se lo llevo a Riva Aramayo”; que “uno de los puntos del pago es por la entrevista que tuve en la cárcel y por los testigos que aporté” y que “les interesaba el tema Solari porque Dobniewski decía que con eso tenía la participación de los policías en el atentado... el problema es que necesitaban mi firma, sino firmaba no me pagaban... el trato original era que me dieran todo el dinero”.</w:t>
      </w:r>
    </w:p>
    <w:p w:rsidR="00224567" w:rsidRDefault="00224567">
      <w:pPr>
        <w:pStyle w:val="Sangradetextonormal"/>
        <w:widowControl w:val="0"/>
        <w:ind w:firstLine="2800"/>
        <w:rPr>
          <w:noProof/>
        </w:rPr>
      </w:pPr>
      <w:r>
        <w:rPr>
          <w:noProof/>
          <w:lang w:val="es-ES"/>
        </w:rPr>
        <w:t xml:space="preserve">Consideró que </w:t>
      </w:r>
      <w:r>
        <w:rPr>
          <w:noProof/>
        </w:rPr>
        <w:t xml:space="preserve">no es posible que ante la porfía de Telleldín –jamás desmentida por éste- se insista en atribuir algún mérito a los dichos de los hermanos Cristaldo Brizuela. Según Telleldín, dijo el defensor, fue el juez Galeano quien citó a los paraguayos –en alusión a los hermanos Cristaldo Brizuela- y los alojó en la alcaidía, porque no querían declarar si no hablaban previamente con él. </w:t>
      </w:r>
    </w:p>
    <w:p w:rsidR="00224567" w:rsidRDefault="00224567">
      <w:pPr>
        <w:widowControl w:val="0"/>
        <w:ind w:firstLine="2800"/>
        <w:rPr>
          <w:bCs/>
          <w:noProof/>
        </w:rPr>
      </w:pPr>
      <w:r>
        <w:rPr>
          <w:bCs/>
          <w:noProof/>
          <w:lang w:val="es-AR"/>
        </w:rPr>
        <w:t>L</w:t>
      </w:r>
      <w:r>
        <w:rPr>
          <w:bCs/>
          <w:noProof/>
        </w:rPr>
        <w:t>a primera aparición de estos personajes, señaló, no surge de las constancias regulares de la causa sino de las filmaciones que documentan las entrevistas entre el acusado y el juez –videos del 10 de abril y del 1 de julio de 1996-; allí Telleldín se refirió a ellos como testigos importantes, dijo el defensor.</w:t>
      </w:r>
    </w:p>
    <w:p w:rsidR="00224567" w:rsidRDefault="00224567">
      <w:pPr>
        <w:widowControl w:val="0"/>
        <w:ind w:firstLine="2800"/>
        <w:rPr>
          <w:bCs/>
          <w:noProof/>
        </w:rPr>
      </w:pPr>
      <w:r>
        <w:rPr>
          <w:bCs/>
          <w:noProof/>
        </w:rPr>
        <w:t>Por otra parte, apuntó, en su declaración ante la instrucción del 14 de junio de 1996, los hermanos Cristaldo Brizuela reclamaron mantener una conversación informal con Telleldín, previo a la audiencia. Lo insólito, opinó el defensor, fue que el juez accediera a lo peticionado y que la entrevista se mantuviera en presencia del abogado defensor de Telleldín, quien se ofreció para asumir la representación de los Brizuela en la causa que se seguía en su contra.</w:t>
      </w:r>
    </w:p>
    <w:p w:rsidR="00224567" w:rsidRDefault="00224567">
      <w:pPr>
        <w:pStyle w:val="Sangra2detindependiente"/>
        <w:widowControl w:val="0"/>
        <w:spacing w:line="600" w:lineRule="auto"/>
        <w:ind w:firstLine="2800"/>
        <w:rPr>
          <w:bCs/>
          <w:noProof/>
        </w:rPr>
      </w:pPr>
      <w:r>
        <w:rPr>
          <w:bCs/>
          <w:noProof/>
        </w:rPr>
        <w:t>Los testigos Brizuela, indicó, trazaron el marco de su actuación en la causa: exigieron la reducción a 9 años de la pena que les correspondía, el cómputo de pena según la ley 24.390 (dos por uno) y el patrocinio obligatorio del Dr. Víctor Stinfale.</w:t>
      </w:r>
    </w:p>
    <w:p w:rsidR="00224567" w:rsidRDefault="00224567">
      <w:pPr>
        <w:pStyle w:val="Sangra2detindependiente"/>
        <w:widowControl w:val="0"/>
        <w:spacing w:line="600" w:lineRule="auto"/>
        <w:ind w:firstLine="2800"/>
        <w:rPr>
          <w:bCs/>
          <w:noProof/>
        </w:rPr>
      </w:pPr>
      <w:r>
        <w:rPr>
          <w:bCs/>
          <w:noProof/>
        </w:rPr>
        <w:t>El Dr. Lozano puso en tela de juicio los testimonios de quienes procuraron obtener, como retribución de su declaración, una recompensa de cualquier índole, considerando que, por tales razones, corresponde prescindir de esas pruebas.</w:t>
      </w:r>
    </w:p>
    <w:p w:rsidR="00224567" w:rsidRDefault="00224567">
      <w:pPr>
        <w:pStyle w:val="Sangra2detindependiente"/>
        <w:widowControl w:val="0"/>
        <w:spacing w:line="600" w:lineRule="auto"/>
        <w:ind w:firstLine="2800"/>
        <w:rPr>
          <w:noProof/>
        </w:rPr>
      </w:pPr>
      <w:r>
        <w:rPr>
          <w:noProof/>
        </w:rPr>
        <w:t xml:space="preserve">En cuanto a los dichos de Ramón Emilio Solari, el defensor trajo a colación el testimonio de Claudio Adrián Lisfchtiz, en cuanto refirió que los acercamientos del nombrado al juzgado se habían hecho a través del agente de </w:t>
      </w:r>
      <w:smartTag w:uri="urn:schemas-microsoft-com:office:smarttags" w:element="PersonName">
        <w:smartTagPr>
          <w:attr w:name="ProductID" w:val="la S.I"/>
        </w:smartTagPr>
        <w:r>
          <w:rPr>
            <w:noProof/>
          </w:rPr>
          <w:t>la S.I</w:t>
        </w:r>
      </w:smartTag>
      <w:r>
        <w:rPr>
          <w:noProof/>
        </w:rPr>
        <w:t xml:space="preserve">.D.E. Horacio Antonio Stiuso, según le indicó el secretario Javier De Gamas, en presencia de Carlos Velasco y Ana Raquel Sverdlick. </w:t>
      </w:r>
    </w:p>
    <w:p w:rsidR="00224567" w:rsidRDefault="00224567">
      <w:pPr>
        <w:pStyle w:val="Sangra2detindependiente"/>
        <w:widowControl w:val="0"/>
        <w:spacing w:line="600" w:lineRule="auto"/>
        <w:ind w:firstLine="2800"/>
        <w:rPr>
          <w:noProof/>
        </w:rPr>
      </w:pPr>
      <w:r>
        <w:rPr>
          <w:noProof/>
        </w:rPr>
        <w:t>Agregó el testigo, además, que recibió la orden de omitir volcar toda referencia al respecto en la declaración indagatoria de Mario Norberto Bareiro, pese a que éste le señaló, en dicho acto, haber mediado en el contacto entre Solari y Stiuso.</w:t>
      </w:r>
    </w:p>
    <w:p w:rsidR="00224567" w:rsidRDefault="00224567">
      <w:pPr>
        <w:pStyle w:val="Sangra2detindependiente"/>
        <w:widowControl w:val="0"/>
        <w:spacing w:line="600" w:lineRule="auto"/>
        <w:ind w:firstLine="2800"/>
        <w:rPr>
          <w:bCs/>
          <w:noProof/>
        </w:rPr>
      </w:pPr>
      <w:r>
        <w:rPr>
          <w:bCs/>
          <w:noProof/>
        </w:rPr>
        <w:t xml:space="preserve">Resulta llamativo, dijo el defensor, que las acusaciones aludan a Ramón Emilio Solari como prueba de cargo contra Bareiro, cuando aquél, desde el comienzo de su intervención en la causa, lo incriminó como socio de Carlos Alberto Telleldín y como una de las personas presentes, junto con Hussein, en la casa de República 107 durante la venta de </w:t>
      </w:r>
      <w:smartTag w:uri="urn:schemas-microsoft-com:office:smarttags" w:element="PersonName">
        <w:smartTagPr>
          <w:attr w:name="ProductID" w:val="la Trafic."/>
        </w:smartTagPr>
        <w:r>
          <w:rPr>
            <w:bCs/>
            <w:noProof/>
          </w:rPr>
          <w:t>la Trafic.</w:t>
        </w:r>
      </w:smartTag>
      <w:r>
        <w:rPr>
          <w:bCs/>
          <w:noProof/>
        </w:rPr>
        <w:t xml:space="preserve"> </w:t>
      </w:r>
    </w:p>
    <w:p w:rsidR="00224567" w:rsidRDefault="00224567">
      <w:pPr>
        <w:pStyle w:val="Sangra3detindependiente"/>
        <w:widowControl w:val="0"/>
        <w:spacing w:line="600" w:lineRule="auto"/>
        <w:rPr>
          <w:bCs/>
          <w:noProof/>
        </w:rPr>
      </w:pPr>
      <w:r>
        <w:rPr>
          <w:bCs/>
          <w:noProof/>
        </w:rPr>
        <w:t>En otros términos, señaló el defensor, “nada más lejos que las declaraciones de Solari para desvincular a Bareiro”, ya que lo introdujo como un protagonismo relevante en la entrega del vehículo. Entonces, “¿quién modeló a Solari para involucrar a Bareiro con la causa, en un tiempo durante el cual ninguna sospecha recaía sobre su persona en particular, ni sobre la policía en general?”, se preguntó la defensa.</w:t>
      </w:r>
    </w:p>
    <w:p w:rsidR="00224567" w:rsidRDefault="00224567">
      <w:pPr>
        <w:widowControl w:val="0"/>
        <w:rPr>
          <w:szCs w:val="22"/>
          <w:lang w:val="es-ES_tradnl"/>
        </w:rPr>
      </w:pPr>
      <w:r>
        <w:rPr>
          <w:szCs w:val="22"/>
        </w:rPr>
        <w:tab/>
      </w:r>
      <w:r>
        <w:rPr>
          <w:szCs w:val="22"/>
          <w:lang w:val="es-ES_tradnl"/>
        </w:rPr>
        <w:t>El defensor señaló que el nombrado S</w:t>
      </w:r>
      <w:r>
        <w:rPr>
          <w:szCs w:val="22"/>
          <w:lang w:val="es-ES_tradnl"/>
        </w:rPr>
        <w:t>o</w:t>
      </w:r>
      <w:r>
        <w:rPr>
          <w:szCs w:val="22"/>
          <w:lang w:val="es-ES_tradnl"/>
        </w:rPr>
        <w:t>lari</w:t>
      </w:r>
      <w:r>
        <w:rPr>
          <w:b/>
          <w:bCs/>
          <w:szCs w:val="22"/>
          <w:lang w:val="es-ES_tradnl"/>
        </w:rPr>
        <w:t xml:space="preserve"> </w:t>
      </w:r>
      <w:r>
        <w:rPr>
          <w:szCs w:val="22"/>
          <w:lang w:val="es-ES_tradnl"/>
        </w:rPr>
        <w:t xml:space="preserve">llegó al absurdo de ratificar, ante los miembros de </w:t>
      </w:r>
      <w:smartTag w:uri="urn:schemas-microsoft-com:office:smarttags" w:element="PersonName">
        <w:smartTagPr>
          <w:attr w:name="ProductID" w:val="la Comisi￳n Bicameral"/>
        </w:smartTagPr>
        <w:r>
          <w:rPr>
            <w:szCs w:val="22"/>
            <w:lang w:val="es-ES_tradnl"/>
          </w:rPr>
          <w:t>la Comisión Bicameral</w:t>
        </w:r>
      </w:smartTag>
      <w:r>
        <w:rPr>
          <w:szCs w:val="22"/>
          <w:lang w:val="es-ES_tradnl"/>
        </w:rPr>
        <w:t xml:space="preserve"> que lo visitó en Sierra Chica, que el 18 de julio de 1994 se enco</w:t>
      </w:r>
      <w:r>
        <w:rPr>
          <w:szCs w:val="22"/>
          <w:lang w:val="es-ES_tradnl"/>
        </w:rPr>
        <w:t>n</w:t>
      </w:r>
      <w:r>
        <w:rPr>
          <w:szCs w:val="22"/>
          <w:lang w:val="es-ES_tradnl"/>
        </w:rPr>
        <w:t>traba cerca de la mutual y que se acercó al lugar para colaborar con las tareas de rescate.</w:t>
      </w:r>
    </w:p>
    <w:p w:rsidR="00224567" w:rsidRDefault="00224567">
      <w:pPr>
        <w:widowControl w:val="0"/>
        <w:ind w:firstLine="2800"/>
        <w:rPr>
          <w:bCs/>
          <w:noProof/>
        </w:rPr>
      </w:pPr>
      <w:r>
        <w:rPr>
          <w:bCs/>
          <w:noProof/>
        </w:rPr>
        <w:t>Por otro lado, la visita de la entonces novia de su asistido, Virginia Morri, a las dependencias donde Telleldín se encontraba detenido, con el objeto de anoticiarlo acerca de la versión de Ramón Emilio Solari, sostuvo la defensa, en modo alguno se compadece con un concierto de voluntades orientado a una entrega consensuada de la camioneta el 10 de julio de 1994, como se atribuyó a su defendido, sino que el aporte debe entenderse como una actitud de colaboración por parte de Mario Norberto Bareiro.</w:t>
      </w:r>
    </w:p>
    <w:p w:rsidR="00224567" w:rsidRDefault="00224567">
      <w:pPr>
        <w:widowControl w:val="0"/>
        <w:ind w:firstLine="2800"/>
        <w:rPr>
          <w:bCs/>
          <w:noProof/>
        </w:rPr>
      </w:pPr>
      <w:r>
        <w:rPr>
          <w:bCs/>
          <w:noProof/>
        </w:rPr>
        <w:t xml:space="preserve">El nombrado, en su condición de policía, había recibido instrucciones por parte de </w:t>
      </w:r>
      <w:smartTag w:uri="urn:schemas-microsoft-com:office:smarttags" w:element="PersonName">
        <w:smartTagPr>
          <w:attr w:name="ProductID" w:val="la S.I"/>
        </w:smartTagPr>
        <w:r>
          <w:rPr>
            <w:bCs/>
            <w:noProof/>
          </w:rPr>
          <w:t>la S.I</w:t>
        </w:r>
      </w:smartTag>
      <w:r>
        <w:rPr>
          <w:bCs/>
          <w:noProof/>
        </w:rPr>
        <w:t>.D.E. de interiorizarse sobre el entorno de Telleldín y recabar datos de interés, razón que lo llevó a requerir tal cometido a su entonces pareja.</w:t>
      </w:r>
    </w:p>
    <w:p w:rsidR="00224567" w:rsidRDefault="00224567">
      <w:pPr>
        <w:pStyle w:val="Textoindependiente"/>
        <w:spacing w:line="600" w:lineRule="auto"/>
        <w:rPr>
          <w:noProof/>
        </w:rPr>
      </w:pPr>
      <w:r>
        <w:rPr>
          <w:noProof/>
          <w:lang w:val="es-ES"/>
        </w:rPr>
        <w:tab/>
      </w:r>
      <w:r>
        <w:rPr>
          <w:noProof/>
        </w:rPr>
        <w:t xml:space="preserve">Con relación a los dichos de Solari, en cuanto dijo que recibía de manos de Bareiro constancias de la causa, el defensor señaló que su asistido no tenía acceso a ellos, por cuanto la tarea encomendada por </w:t>
      </w:r>
      <w:smartTag w:uri="urn:schemas-microsoft-com:office:smarttags" w:element="PersonName">
        <w:smartTagPr>
          <w:attr w:name="ProductID" w:val="la SIDE"/>
        </w:smartTagPr>
        <w:r>
          <w:rPr>
            <w:noProof/>
          </w:rPr>
          <w:t>la SIDE</w:t>
        </w:r>
      </w:smartTag>
      <w:r>
        <w:rPr>
          <w:noProof/>
        </w:rPr>
        <w:t xml:space="preserve"> a su asistido se circunscribió a realizar tareas en la calle a fin de recabar datos vinculados al entorno de Telleldín y, a excepción de una vez en la que declaró en forma testimonial, jamás concurrió al juzgado, ni tuvo noticia del curso de la pesquisa.</w:t>
      </w:r>
    </w:p>
    <w:p w:rsidR="00224567" w:rsidRDefault="00224567">
      <w:pPr>
        <w:widowControl w:val="0"/>
        <w:ind w:firstLine="2800"/>
        <w:rPr>
          <w:bCs/>
          <w:noProof/>
        </w:rPr>
      </w:pPr>
      <w:r>
        <w:rPr>
          <w:bCs/>
          <w:noProof/>
        </w:rPr>
        <w:t xml:space="preserve">Además, consideró inviable que su asistido haya escogido como confidente a un desconocido, triple homicida, reincidente, con apenas una semana de estadía en la brigada, para transmitirle su preocupación y confesarle que estaba comprometido nada menos que en el atentado a </w:t>
      </w:r>
      <w:smartTag w:uri="urn:schemas-microsoft-com:office:smarttags" w:element="PersonName">
        <w:smartTagPr>
          <w:attr w:name="ProductID" w:val="la A.M"/>
        </w:smartTagPr>
        <w:r>
          <w:rPr>
            <w:bCs/>
            <w:noProof/>
          </w:rPr>
          <w:t>la A.M</w:t>
        </w:r>
      </w:smartTag>
      <w:r>
        <w:rPr>
          <w:bCs/>
          <w:noProof/>
        </w:rPr>
        <w:t>.I.A. Ese tramo de la declaración de Solari, consideró el letrado, corrobora la inverosimilitud de su testimonio.</w:t>
      </w:r>
    </w:p>
    <w:p w:rsidR="00224567" w:rsidRDefault="00224567">
      <w:pPr>
        <w:pStyle w:val="Textoindependiente2"/>
        <w:widowControl w:val="0"/>
        <w:rPr>
          <w:rFonts w:ascii="Courier New" w:hAnsi="Courier New" w:cs="Courier New"/>
          <w:noProof/>
          <w:lang w:val="es-AR"/>
        </w:rPr>
      </w:pPr>
      <w:r>
        <w:rPr>
          <w:rFonts w:ascii="Courier New" w:hAnsi="Courier New" w:cs="Courier New"/>
          <w:bCs/>
          <w:noProof/>
        </w:rPr>
        <w:tab/>
        <w:t xml:space="preserve">En cuanto al </w:t>
      </w:r>
      <w:r>
        <w:rPr>
          <w:rFonts w:ascii="Courier New" w:hAnsi="Courier New" w:cs="Courier New"/>
          <w:noProof/>
          <w:lang w:val="es-AR"/>
        </w:rPr>
        <w:t>trato preferencial que se le dispensaba al nombrado Solari en la brigada de Vicente López donde estaba detenido, dijo el defensor, Bareiro nada podía hacer porque era un régimen impuesto por órdenes superiores.</w:t>
      </w:r>
    </w:p>
    <w:p w:rsidR="00224567" w:rsidRDefault="00224567">
      <w:pPr>
        <w:widowControl w:val="0"/>
        <w:ind w:firstLine="2800"/>
      </w:pPr>
      <w:r>
        <w:rPr>
          <w:bCs/>
          <w:noProof/>
        </w:rPr>
        <w:t xml:space="preserve">Consideró el Dr. Lozano que no existía una preferencia respecto del detenido Solari por parte de los miembros de la brigada, siendo que la fiscalía invirtió los términos de la declaración de Raúl Benito Levaggi, puesto que si bien el nombrado mencionó que el trato de los custodios con Solari era bueno, también aclaró que en la dependencia no trataban mal a nadie. Por último, alegó el defensor, Levaggi </w:t>
      </w:r>
      <w:r>
        <w:t>afirmó que, según su conocimiento, Solari no era veraz en sus dichos.</w:t>
      </w:r>
    </w:p>
    <w:p w:rsidR="00224567" w:rsidRDefault="00224567">
      <w:pPr>
        <w:pStyle w:val="Sangradetextonormal"/>
        <w:widowControl w:val="0"/>
        <w:ind w:firstLine="2800"/>
        <w:rPr>
          <w:noProof/>
        </w:rPr>
      </w:pPr>
      <w:r>
        <w:t>En otro orden, dijo la defensa, la descripción física que hizo el testigo Levaggi de la pe</w:t>
      </w:r>
      <w:r>
        <w:t>r</w:t>
      </w:r>
      <w:r>
        <w:t>sona que visitaba a Solari en la celda de la brigada en modo alguno se corresponde con la de su asistido B</w:t>
      </w:r>
      <w:r>
        <w:t>a</w:t>
      </w:r>
      <w:r>
        <w:t>reiro.</w:t>
      </w:r>
    </w:p>
    <w:p w:rsidR="00224567" w:rsidRDefault="00224567">
      <w:pPr>
        <w:widowControl w:val="0"/>
        <w:rPr>
          <w:noProof/>
        </w:rPr>
      </w:pPr>
      <w:r>
        <w:rPr>
          <w:noProof/>
        </w:rPr>
        <w:tab/>
        <w:t>La defensa también descalificó la afirmación de la fiscalía en punto a que los dichos de Levaggi fueron confirmados por otro de los detendidos, de nombre Carlos Derrruvo.</w:t>
      </w:r>
    </w:p>
    <w:p w:rsidR="00224567" w:rsidRDefault="00224567">
      <w:pPr>
        <w:widowControl w:val="0"/>
      </w:pPr>
      <w:r>
        <w:rPr>
          <w:noProof/>
        </w:rPr>
        <w:tab/>
        <w:t xml:space="preserve">Así, dijo el letrado, éste manifestó que había compartido celda con Solari durante veinte días; que el nombrado </w:t>
      </w:r>
      <w:r>
        <w:t>estaba loco, era una persona hi</w:t>
      </w:r>
      <w:r>
        <w:t>s</w:t>
      </w:r>
      <w:r>
        <w:t>térica que gritaba y provocaba temor; que en esos días no vio a ni</w:t>
      </w:r>
      <w:r>
        <w:t>n</w:t>
      </w:r>
      <w:r>
        <w:t>gún policía que ingresara a la celda para hablar; que S</w:t>
      </w:r>
      <w:r>
        <w:t>o</w:t>
      </w:r>
      <w:r>
        <w:t>lari leía su causa; que el trato que le daban en la brig</w:t>
      </w:r>
      <w:r>
        <w:t>a</w:t>
      </w:r>
      <w:r>
        <w:t>da era correcto, no preferencial; que hablaba por tel</w:t>
      </w:r>
      <w:r>
        <w:t>é</w:t>
      </w:r>
      <w:r>
        <w:t>fono; que lo tranquilizaban cerrándole la puerta de la celda; que pidió cambio de celda y luego fue trasladaron a pedido suyo; que no recordaba haber visto en la brigada a un oficial de policía con una señora rubia y una valija con 100.000 dólares y que Solari le dijo que se iba a i</w:t>
      </w:r>
      <w:r>
        <w:t>n</w:t>
      </w:r>
      <w:r>
        <w:t>volucrar en la causa A.M.I.A. porque su causa estaba ba</w:t>
      </w:r>
      <w:r>
        <w:t>s</w:t>
      </w:r>
      <w:r>
        <w:t>tante “embromada”.</w:t>
      </w:r>
    </w:p>
    <w:p w:rsidR="00224567" w:rsidRDefault="00224567">
      <w:pPr>
        <w:widowControl w:val="0"/>
      </w:pPr>
      <w:r>
        <w:tab/>
        <w:t>A criterio de la defensa, los testim</w:t>
      </w:r>
      <w:r>
        <w:t>o</w:t>
      </w:r>
      <w:r>
        <w:t>nios rendidos en el debate por Levaggi y Derruvo desaut</w:t>
      </w:r>
      <w:r>
        <w:t>o</w:t>
      </w:r>
      <w:r>
        <w:t>rizan la interpretación contenida en el relato ac</w:t>
      </w:r>
      <w:r>
        <w:t>u</w:t>
      </w:r>
      <w:r>
        <w:t>satorio.</w:t>
      </w:r>
    </w:p>
    <w:p w:rsidR="00224567" w:rsidRDefault="00224567">
      <w:pPr>
        <w:widowControl w:val="0"/>
      </w:pPr>
      <w:r>
        <w:tab/>
        <w:t>El asistente técnico, por otra parte, señaló que el testimonio del guardia Luis Roa echa por tierra la acusación. Ello, puesto que al serle exhibida al testigo su declaración anterior prestada ante la instru</w:t>
      </w:r>
      <w:r>
        <w:t>c</w:t>
      </w:r>
      <w:r>
        <w:t>ción, manifestó que nunca había declarado y que sólo le hicieron firmar un papel y se retiró. Además, en el deb</w:t>
      </w:r>
      <w:r>
        <w:t>a</w:t>
      </w:r>
      <w:r>
        <w:t>te, desconoció su firma.</w:t>
      </w:r>
    </w:p>
    <w:p w:rsidR="00224567" w:rsidRDefault="00224567">
      <w:pPr>
        <w:pStyle w:val="Textoindependiente2"/>
        <w:widowControl w:val="0"/>
        <w:rPr>
          <w:rFonts w:ascii="Courier New" w:hAnsi="Courier New" w:cs="Courier New"/>
        </w:rPr>
      </w:pPr>
      <w:r>
        <w:rPr>
          <w:rFonts w:ascii="Courier New" w:hAnsi="Courier New" w:cs="Courier New"/>
        </w:rPr>
        <w:tab/>
        <w:t>Otros de los custodios de deten</w:t>
      </w:r>
      <w:r>
        <w:rPr>
          <w:rFonts w:ascii="Courier New" w:hAnsi="Courier New" w:cs="Courier New"/>
        </w:rPr>
        <w:t>i</w:t>
      </w:r>
      <w:r>
        <w:rPr>
          <w:rFonts w:ascii="Courier New" w:hAnsi="Courier New" w:cs="Courier New"/>
        </w:rPr>
        <w:t>dos de la brigada, Ignacio Ojeda, por su parte, manifestó en la audiencia que Solari pateaba puertas y llamaba a todo el mundo, en especial al oficial de servicio; que no lo vio salir del calabozo; que se quería involucrar en la causa A.M.I.A.; que iba a hacer mucho daño a la policía y que Bareiro sólo v</w:t>
      </w:r>
      <w:r>
        <w:rPr>
          <w:rFonts w:ascii="Courier New" w:hAnsi="Courier New" w:cs="Courier New"/>
        </w:rPr>
        <w:t>e</w:t>
      </w:r>
      <w:r>
        <w:rPr>
          <w:rFonts w:ascii="Courier New" w:hAnsi="Courier New" w:cs="Courier New"/>
        </w:rPr>
        <w:t>ía a Solari cuando hacían requisas.</w:t>
      </w:r>
    </w:p>
    <w:p w:rsidR="00224567" w:rsidRDefault="00224567">
      <w:pPr>
        <w:widowControl w:val="0"/>
        <w:ind w:firstLine="2800"/>
      </w:pPr>
      <w:r>
        <w:t xml:space="preserve">El defensor señaló, como prueba de descargo, los dichos de Juan Pablo Cafiero, Melchor René Cruchaga y Raúl Galván, miembros de </w:t>
      </w:r>
      <w:smartTag w:uri="urn:schemas-microsoft-com:office:smarttags" w:element="PersonName">
        <w:smartTagPr>
          <w:attr w:name="ProductID" w:val="la Comisi￳n Bicameral"/>
        </w:smartTagPr>
        <w:r>
          <w:t>la Comisión B</w:t>
        </w:r>
        <w:r>
          <w:t>i</w:t>
        </w:r>
        <w:r>
          <w:t>cameral</w:t>
        </w:r>
      </w:smartTag>
      <w:r>
        <w:t>, quienes atestiguaron que en la primer visita que realiz</w:t>
      </w:r>
      <w:r>
        <w:t>a</w:t>
      </w:r>
      <w:r>
        <w:t>ron al lugar de detención de Solari, este les reveló que su verdadera intención era obt</w:t>
      </w:r>
      <w:r>
        <w:t>e</w:t>
      </w:r>
      <w:r>
        <w:t>ner el traslado al penal de Martín García para salir de la órbita del Servicio Pen</w:t>
      </w:r>
      <w:r>
        <w:t>i</w:t>
      </w:r>
      <w:r>
        <w:t>tenciario Provincial.</w:t>
      </w:r>
    </w:p>
    <w:p w:rsidR="00224567" w:rsidRDefault="00224567">
      <w:pPr>
        <w:pStyle w:val="Textoindependiente2"/>
        <w:widowControl w:val="0"/>
        <w:ind w:firstLine="2800"/>
        <w:rPr>
          <w:rFonts w:ascii="Courier New" w:hAnsi="Courier New" w:cs="Courier New"/>
        </w:rPr>
      </w:pPr>
      <w:r>
        <w:rPr>
          <w:rFonts w:ascii="Courier New" w:hAnsi="Courier New" w:cs="Courier New"/>
        </w:rPr>
        <w:t>En punto a las tentativas de homic</w:t>
      </w:r>
      <w:r>
        <w:rPr>
          <w:rFonts w:ascii="Courier New" w:hAnsi="Courier New" w:cs="Courier New"/>
        </w:rPr>
        <w:t>i</w:t>
      </w:r>
      <w:r>
        <w:rPr>
          <w:rFonts w:ascii="Courier New" w:hAnsi="Courier New" w:cs="Courier New"/>
        </w:rPr>
        <w:t>dio en contra de Ramón Emilio Solari, indicio que la fiscalía utilizó en contra de su asistido, el defensor concluyó, con base en los testimonios de Leandro Fabio Incaminato, Daniel Carlos Miranda, Rafael Antonio D</w:t>
      </w:r>
      <w:r>
        <w:rPr>
          <w:rFonts w:ascii="Courier New" w:hAnsi="Courier New" w:cs="Courier New"/>
        </w:rPr>
        <w:t>o</w:t>
      </w:r>
      <w:r>
        <w:rPr>
          <w:rFonts w:ascii="Courier New" w:hAnsi="Courier New" w:cs="Courier New"/>
        </w:rPr>
        <w:t>mínguez y Benigna Rosa Barrionuevo, que los motivos que indujeron a dar muerte a Solari no tuvieron vincul</w:t>
      </w:r>
      <w:r>
        <w:rPr>
          <w:rFonts w:ascii="Courier New" w:hAnsi="Courier New" w:cs="Courier New"/>
        </w:rPr>
        <w:t>a</w:t>
      </w:r>
      <w:r>
        <w:rPr>
          <w:rFonts w:ascii="Courier New" w:hAnsi="Courier New" w:cs="Courier New"/>
        </w:rPr>
        <w:t>ción con su declaración en la causa A.M.I.A., sino con pr</w:t>
      </w:r>
      <w:r>
        <w:rPr>
          <w:rFonts w:ascii="Courier New" w:hAnsi="Courier New" w:cs="Courier New"/>
        </w:rPr>
        <w:t>o</w:t>
      </w:r>
      <w:r>
        <w:rPr>
          <w:rFonts w:ascii="Courier New" w:hAnsi="Courier New" w:cs="Courier New"/>
        </w:rPr>
        <w:t>blemas personales con el resto de la población carcel</w:t>
      </w:r>
      <w:r>
        <w:rPr>
          <w:rFonts w:ascii="Courier New" w:hAnsi="Courier New" w:cs="Courier New"/>
        </w:rPr>
        <w:t>a</w:t>
      </w:r>
      <w:r>
        <w:rPr>
          <w:rFonts w:ascii="Courier New" w:hAnsi="Courier New" w:cs="Courier New"/>
        </w:rPr>
        <w:t>ria y de las autoridades del Servicio Pen</w:t>
      </w:r>
      <w:r>
        <w:rPr>
          <w:rFonts w:ascii="Courier New" w:hAnsi="Courier New" w:cs="Courier New"/>
        </w:rPr>
        <w:t>i</w:t>
      </w:r>
      <w:r>
        <w:rPr>
          <w:rFonts w:ascii="Courier New" w:hAnsi="Courier New" w:cs="Courier New"/>
        </w:rPr>
        <w:t xml:space="preserve">tenciario de </w:t>
      </w:r>
      <w:smartTag w:uri="urn:schemas-microsoft-com:office:smarttags" w:element="PersonName">
        <w:smartTagPr>
          <w:attr w:name="ProductID" w:val="la Provincia"/>
        </w:smartTagPr>
        <w:r>
          <w:rPr>
            <w:rFonts w:ascii="Courier New" w:hAnsi="Courier New" w:cs="Courier New"/>
          </w:rPr>
          <w:t>la Provincia</w:t>
        </w:r>
      </w:smartTag>
      <w:r>
        <w:rPr>
          <w:rFonts w:ascii="Courier New" w:hAnsi="Courier New" w:cs="Courier New"/>
        </w:rPr>
        <w:t xml:space="preserve"> de Bs. As.</w:t>
      </w:r>
    </w:p>
    <w:p w:rsidR="00224567" w:rsidRDefault="00224567">
      <w:pPr>
        <w:widowControl w:val="0"/>
        <w:ind w:firstLine="2800"/>
      </w:pPr>
      <w:r>
        <w:t>Además, agregó, Solari explicó en el debate que los intentos de homicidio tuvieron lugar e</w:t>
      </w:r>
      <w:r>
        <w:t>n</w:t>
      </w:r>
      <w:r>
        <w:t>tre los años 1998 y 1999, incrementándose en el 2000, fechas que no guardan relación con su testimonio en la ca</w:t>
      </w:r>
      <w:r>
        <w:t>u</w:t>
      </w:r>
      <w:r>
        <w:t>sa.</w:t>
      </w:r>
    </w:p>
    <w:p w:rsidR="00224567" w:rsidRDefault="00224567">
      <w:pPr>
        <w:widowControl w:val="0"/>
        <w:ind w:firstLine="2800"/>
      </w:pPr>
      <w:r>
        <w:t>Por lo demás, el letrado explicó que para la fecha en que Solari prestó declaración ante la instrucción, su asistido había sido trasladado a otra d</w:t>
      </w:r>
      <w:r>
        <w:t>e</w:t>
      </w:r>
      <w:r>
        <w:t>pendencia policial.</w:t>
      </w:r>
    </w:p>
    <w:p w:rsidR="00224567" w:rsidRDefault="00224567">
      <w:pPr>
        <w:pStyle w:val="Sangra2detindependiente"/>
        <w:widowControl w:val="0"/>
        <w:spacing w:line="600" w:lineRule="auto"/>
        <w:ind w:firstLine="2800"/>
      </w:pPr>
      <w:r>
        <w:t xml:space="preserve">La defensa también hizo mérito del testimonio de Enrique Forgione, jefe de </w:t>
      </w:r>
      <w:smartTag w:uri="urn:schemas-microsoft-com:office:smarttags" w:element="PersonName">
        <w:smartTagPr>
          <w:attr w:name="ProductID" w:val="la Brigada"/>
        </w:smartTagPr>
        <w:r>
          <w:t>la Brigada</w:t>
        </w:r>
      </w:smartTag>
      <w:r>
        <w:t xml:space="preserve"> de V</w:t>
      </w:r>
      <w:r>
        <w:t>i</w:t>
      </w:r>
      <w:r>
        <w:t>cente López, quien manifestó que Bareiro tuvo conta</w:t>
      </w:r>
      <w:r>
        <w:t>c</w:t>
      </w:r>
      <w:r>
        <w:t>to con Solari en su función de oficial de servicio; que por su jerarquía, el mencionado oficial no tenía el m</w:t>
      </w:r>
      <w:r>
        <w:t>a</w:t>
      </w:r>
      <w:r>
        <w:t>nejo de la llave de los calabozos; que nunca vio a Ribelli conversa</w:t>
      </w:r>
      <w:r>
        <w:t>n</w:t>
      </w:r>
      <w:r>
        <w:t>do con Solari; que éste era disociador, díscolo y mala persona; que durante las noches gritaba constantemente y que no estaba encuadrado en tiempo y en espacio.</w:t>
      </w:r>
    </w:p>
    <w:p w:rsidR="00224567" w:rsidRDefault="00224567">
      <w:pPr>
        <w:pStyle w:val="Sangra2detindependiente"/>
        <w:widowControl w:val="0"/>
        <w:spacing w:line="600" w:lineRule="auto"/>
        <w:ind w:firstLine="2800"/>
      </w:pPr>
      <w:r>
        <w:t>El testigo agregó que Solari mandaba cartas a todo el mundo; que era imposible la convivencia con los otros detenidos; que le informó al juez que era intolerable mantener al nombrado en el pabellón de calab</w:t>
      </w:r>
      <w:r>
        <w:t>o</w:t>
      </w:r>
      <w:r>
        <w:t>zos y que lo que Solari quería era, en realidad, ser tra</w:t>
      </w:r>
      <w:r>
        <w:t>s</w:t>
      </w:r>
      <w:r>
        <w:t>ladado de la dependencia al S.P.F. porque en la provincia, según tenía entendido, era informante de la policía y lo habían d</w:t>
      </w:r>
      <w:r>
        <w:t>e</w:t>
      </w:r>
      <w:r>
        <w:t>tectado.</w:t>
      </w:r>
    </w:p>
    <w:p w:rsidR="00224567" w:rsidRDefault="00224567">
      <w:pPr>
        <w:pStyle w:val="Textoindependiente2"/>
        <w:widowControl w:val="0"/>
        <w:rPr>
          <w:rFonts w:ascii="Courier New" w:hAnsi="Courier New" w:cs="Courier New"/>
        </w:rPr>
      </w:pPr>
      <w:r>
        <w:rPr>
          <w:rFonts w:ascii="Courier New" w:hAnsi="Courier New" w:cs="Courier New"/>
        </w:rPr>
        <w:tab/>
        <w:t>El defensor también citó la declar</w:t>
      </w:r>
      <w:r>
        <w:rPr>
          <w:rFonts w:ascii="Courier New" w:hAnsi="Courier New" w:cs="Courier New"/>
        </w:rPr>
        <w:t>a</w:t>
      </w:r>
      <w:r>
        <w:rPr>
          <w:rFonts w:ascii="Courier New" w:hAnsi="Courier New" w:cs="Courier New"/>
        </w:rPr>
        <w:t>ción prestada en el debate por el médico de la brigada, Ricardo Mariano Gómez, quien refirió que Ramón Emilio S</w:t>
      </w:r>
      <w:r>
        <w:rPr>
          <w:rFonts w:ascii="Courier New" w:hAnsi="Courier New" w:cs="Courier New"/>
        </w:rPr>
        <w:t>o</w:t>
      </w:r>
      <w:r>
        <w:rPr>
          <w:rFonts w:ascii="Courier New" w:hAnsi="Courier New" w:cs="Courier New"/>
        </w:rPr>
        <w:t>lari era una persona lúcida, orientada en tiempo y esp</w:t>
      </w:r>
      <w:r>
        <w:rPr>
          <w:rFonts w:ascii="Courier New" w:hAnsi="Courier New" w:cs="Courier New"/>
        </w:rPr>
        <w:t>a</w:t>
      </w:r>
      <w:r>
        <w:rPr>
          <w:rFonts w:ascii="Courier New" w:hAnsi="Courier New" w:cs="Courier New"/>
        </w:rPr>
        <w:t>cio, mitómana y sumamente pel</w:t>
      </w:r>
      <w:r>
        <w:rPr>
          <w:rFonts w:ascii="Courier New" w:hAnsi="Courier New" w:cs="Courier New"/>
        </w:rPr>
        <w:t>i</w:t>
      </w:r>
      <w:r>
        <w:rPr>
          <w:rFonts w:ascii="Courier New" w:hAnsi="Courier New" w:cs="Courier New"/>
        </w:rPr>
        <w:t>grosa.</w:t>
      </w:r>
    </w:p>
    <w:p w:rsidR="00224567" w:rsidRDefault="00224567">
      <w:pPr>
        <w:pStyle w:val="Textoindependiente2"/>
        <w:widowControl w:val="0"/>
        <w:rPr>
          <w:rFonts w:ascii="Courier New" w:hAnsi="Courier New" w:cs="Courier New"/>
          <w:lang w:val="es-MX"/>
        </w:rPr>
      </w:pPr>
      <w:r>
        <w:rPr>
          <w:rFonts w:ascii="Courier New" w:hAnsi="Courier New" w:cs="Courier New"/>
        </w:rPr>
        <w:tab/>
        <w:t xml:space="preserve">El defensor oficial refirió que </w:t>
      </w:r>
      <w:r>
        <w:rPr>
          <w:rFonts w:ascii="Courier New" w:hAnsi="Courier New" w:cs="Courier New"/>
          <w:lang w:val="es-MX"/>
        </w:rPr>
        <w:t>la presencia de Mario Norberto Bareiro, junto con Diego Enr</w:t>
      </w:r>
      <w:r>
        <w:rPr>
          <w:rFonts w:ascii="Courier New" w:hAnsi="Courier New" w:cs="Courier New"/>
          <w:lang w:val="es-MX"/>
        </w:rPr>
        <w:t>i</w:t>
      </w:r>
      <w:r>
        <w:rPr>
          <w:rFonts w:ascii="Courier New" w:hAnsi="Courier New" w:cs="Courier New"/>
          <w:lang w:val="es-MX"/>
        </w:rPr>
        <w:t>que Barreda, en el domicilio de Repúbl</w:t>
      </w:r>
      <w:r>
        <w:rPr>
          <w:rFonts w:ascii="Courier New" w:hAnsi="Courier New" w:cs="Courier New"/>
          <w:lang w:val="es-MX"/>
        </w:rPr>
        <w:t>i</w:t>
      </w:r>
      <w:r>
        <w:rPr>
          <w:rFonts w:ascii="Courier New" w:hAnsi="Courier New" w:cs="Courier New"/>
          <w:lang w:val="es-MX"/>
        </w:rPr>
        <w:t xml:space="preserve">ca 107 el día 26 de julio de 1994, </w:t>
      </w:r>
      <w:r>
        <w:rPr>
          <w:rFonts w:ascii="Courier New" w:hAnsi="Courier New" w:cs="Courier New"/>
        </w:rPr>
        <w:t>había sido desvirtuada en la acus</w:t>
      </w:r>
      <w:r>
        <w:rPr>
          <w:rFonts w:ascii="Courier New" w:hAnsi="Courier New" w:cs="Courier New"/>
        </w:rPr>
        <w:t>a</w:t>
      </w:r>
      <w:r>
        <w:rPr>
          <w:rFonts w:ascii="Courier New" w:hAnsi="Courier New" w:cs="Courier New"/>
        </w:rPr>
        <w:t>ción.</w:t>
      </w:r>
    </w:p>
    <w:p w:rsidR="00224567" w:rsidRDefault="00224567">
      <w:pPr>
        <w:widowControl w:val="0"/>
        <w:ind w:firstLine="2800"/>
      </w:pPr>
      <w:r>
        <w:rPr>
          <w:lang w:val="es-MX"/>
        </w:rPr>
        <w:t>Su asistido, dijo, concurrió al lugar a raíz de un llamado telefónico que efectuó Ana María B</w:t>
      </w:r>
      <w:r>
        <w:rPr>
          <w:lang w:val="es-MX"/>
        </w:rPr>
        <w:t>o</w:t>
      </w:r>
      <w:r>
        <w:rPr>
          <w:lang w:val="es-MX"/>
        </w:rPr>
        <w:t>ragni ante la presencia de vehículos e</w:t>
      </w:r>
      <w:r>
        <w:rPr>
          <w:lang w:val="es-MX"/>
        </w:rPr>
        <w:t>x</w:t>
      </w:r>
      <w:r>
        <w:rPr>
          <w:lang w:val="es-MX"/>
        </w:rPr>
        <w:t xml:space="preserve">traños en la puerta de su casa. Además, afirmó, </w:t>
      </w:r>
      <w:r>
        <w:t>no está controvertida la col</w:t>
      </w:r>
      <w:r>
        <w:t>a</w:t>
      </w:r>
      <w:r>
        <w:t>boración que brindó Bareiro desde el domicilio de Telle</w:t>
      </w:r>
      <w:r>
        <w:t>l</w:t>
      </w:r>
      <w:r>
        <w:t>dín, para que éste regresara a Buenos A</w:t>
      </w:r>
      <w:r>
        <w:t>i</w:t>
      </w:r>
      <w:r>
        <w:t>res.</w:t>
      </w:r>
    </w:p>
    <w:p w:rsidR="00224567" w:rsidRDefault="00224567">
      <w:pPr>
        <w:widowControl w:val="0"/>
      </w:pPr>
      <w:r>
        <w:tab/>
        <w:t>Consideró, sin embargo, que la acus</w:t>
      </w:r>
      <w:r>
        <w:t>a</w:t>
      </w:r>
      <w:r>
        <w:t>ción contra su asi</w:t>
      </w:r>
      <w:r>
        <w:t>s</w:t>
      </w:r>
      <w:r>
        <w:t xml:space="preserve">tido no era entendible, en tanto que si alguna vinculación hubiera tenido con la supuesta entrega de la camioneta para cometer el atentado a </w:t>
      </w:r>
      <w:smartTag w:uri="urn:schemas-microsoft-com:office:smarttags" w:element="PersonName">
        <w:smartTagPr>
          <w:attr w:name="ProductID" w:val="la A.M"/>
        </w:smartTagPr>
        <w:r>
          <w:t>la A.M</w:t>
        </w:r>
      </w:smartTag>
      <w:r>
        <w:t>.I.A., difícilmente Bareiro hubiera querido que Telleldín regr</w:t>
      </w:r>
      <w:r>
        <w:t>e</w:t>
      </w:r>
      <w:r>
        <w:t>sara a Buenos Aires.</w:t>
      </w:r>
    </w:p>
    <w:p w:rsidR="00224567" w:rsidRDefault="00224567">
      <w:pPr>
        <w:widowControl w:val="0"/>
        <w:rPr>
          <w:bCs/>
          <w:noProof/>
        </w:rPr>
      </w:pPr>
      <w:r>
        <w:rPr>
          <w:bCs/>
          <w:noProof/>
        </w:rPr>
        <w:tab/>
        <w:t>También es insostenible, según su parecer, que Mario Norberto Bareiro, supuesto partícipe necesario del atentado, haya promovido el ingreso de los policías federales y agentes de inteligencia al domicilio de la calle República 107, sin orden de allanamiento que lo justifique.</w:t>
      </w:r>
    </w:p>
    <w:p w:rsidR="00224567" w:rsidRDefault="00224567">
      <w:pPr>
        <w:widowControl w:val="0"/>
        <w:rPr>
          <w:bCs/>
          <w:noProof/>
        </w:rPr>
      </w:pPr>
      <w:r>
        <w:rPr>
          <w:bCs/>
          <w:noProof/>
        </w:rPr>
        <w:tab/>
        <w:t>Tal circunstancia, más la entrega de la documentación de la camioneta Trafic a los investigadores y las explicaciones que su asistido brindó a Ana María Boragni acerca de la presencia de éstos en la vivienda, resulta incompatible, siquiera, con un estado de sospecha en su contra.</w:t>
      </w:r>
    </w:p>
    <w:p w:rsidR="00224567" w:rsidRDefault="00224567">
      <w:pPr>
        <w:widowControl w:val="0"/>
        <w:tabs>
          <w:tab w:val="left" w:pos="2835"/>
        </w:tabs>
        <w:rPr>
          <w:bCs/>
          <w:noProof/>
        </w:rPr>
      </w:pPr>
      <w:r>
        <w:rPr>
          <w:bCs/>
          <w:noProof/>
        </w:rPr>
        <w:tab/>
        <w:t>Mencionó, en igual sentido, la declaración indagatoria que su asistido prestó en septiembre de 1996, en la que señaló que junto con Barreda querían que Telleldín regresara en virtud de que no tenían ninguna vinculación con el atentado.</w:t>
      </w:r>
    </w:p>
    <w:p w:rsidR="00224567" w:rsidRDefault="00224567">
      <w:pPr>
        <w:widowControl w:val="0"/>
        <w:tabs>
          <w:tab w:val="left" w:pos="2835"/>
        </w:tabs>
        <w:rPr>
          <w:lang w:val="es-MX"/>
        </w:rPr>
      </w:pPr>
      <w:r>
        <w:rPr>
          <w:noProof/>
        </w:rPr>
        <w:tab/>
        <w:t xml:space="preserve">Con relación a las conversaciones que, según el agente de </w:t>
      </w:r>
      <w:smartTag w:uri="urn:schemas-microsoft-com:office:smarttags" w:element="PersonName">
        <w:smartTagPr>
          <w:attr w:name="ProductID" w:val="la S.I"/>
        </w:smartTagPr>
        <w:r>
          <w:rPr>
            <w:noProof/>
          </w:rPr>
          <w:t>la S.I</w:t>
        </w:r>
      </w:smartTag>
      <w:r>
        <w:rPr>
          <w:noProof/>
        </w:rPr>
        <w:t>.D.E. Néstor Ricardo Hernández, Leal mantuvo con Barreda y Bareiro el 26 de julio de 1994 en la casa de República 104, utilizado por la fiscalía como indicio de la participación en el atentado de su asistido, el defensor mencionó que en ese diálogo también intervino el personal del D.P.O.C. C</w:t>
      </w:r>
      <w:r>
        <w:rPr>
          <w:lang w:val="es-MX"/>
        </w:rPr>
        <w:t>onsideró el letrado que dicha actitud constituía una “conducta extraña para quienes se suponen involucrados en la entrega de la cami</w:t>
      </w:r>
      <w:r>
        <w:rPr>
          <w:lang w:val="es-MX"/>
        </w:rPr>
        <w:t>o</w:t>
      </w:r>
      <w:r>
        <w:rPr>
          <w:lang w:val="es-MX"/>
        </w:rPr>
        <w:t xml:space="preserve">neta que estalló en </w:t>
      </w:r>
      <w:smartTag w:uri="urn:schemas-microsoft-com:office:smarttags" w:element="PersonName">
        <w:smartTagPr>
          <w:attr w:name="ProductID" w:val="la A.M"/>
        </w:smartTagPr>
        <w:r>
          <w:rPr>
            <w:lang w:val="es-MX"/>
          </w:rPr>
          <w:t>la A.M</w:t>
        </w:r>
      </w:smartTag>
      <w:r>
        <w:rPr>
          <w:lang w:val="es-MX"/>
        </w:rPr>
        <w:t>.I.A.”.</w:t>
      </w:r>
    </w:p>
    <w:p w:rsidR="00224567" w:rsidRDefault="00224567">
      <w:pPr>
        <w:widowControl w:val="0"/>
        <w:tabs>
          <w:tab w:val="left" w:pos="2835"/>
        </w:tabs>
        <w:rPr>
          <w:lang w:val="es-MX"/>
        </w:rPr>
      </w:pPr>
      <w:r>
        <w:rPr>
          <w:bCs/>
          <w:noProof/>
          <w:lang w:val="es-MX"/>
        </w:rPr>
        <w:tab/>
        <w:t xml:space="preserve">El agente </w:t>
      </w:r>
      <w:r>
        <w:rPr>
          <w:bCs/>
          <w:noProof/>
        </w:rPr>
        <w:t xml:space="preserve">Hernández, indicó el defensor, aportó un dato desincriminatorio al expresar que Bareiro y Barreda estaban al tanto de la venta de la camioneta pero no sabían si ésta era la del atentado. Además, expresó el testigo, cuando </w:t>
      </w:r>
      <w:r>
        <w:rPr>
          <w:lang w:val="es-MX"/>
        </w:rPr>
        <w:t>Telleldín se comunicó telefónicamente para prese</w:t>
      </w:r>
      <w:r>
        <w:rPr>
          <w:lang w:val="es-MX"/>
        </w:rPr>
        <w:t>n</w:t>
      </w:r>
      <w:r>
        <w:rPr>
          <w:lang w:val="es-MX"/>
        </w:rPr>
        <w:t>tarse ante la instrucción, puso como condición de su entrega, la presencia de Diego Enr</w:t>
      </w:r>
      <w:r>
        <w:rPr>
          <w:lang w:val="es-MX"/>
        </w:rPr>
        <w:t>i</w:t>
      </w:r>
      <w:r>
        <w:rPr>
          <w:lang w:val="es-MX"/>
        </w:rPr>
        <w:t>que Barreda.</w:t>
      </w:r>
    </w:p>
    <w:p w:rsidR="00224567" w:rsidRDefault="00224567">
      <w:pPr>
        <w:widowControl w:val="0"/>
        <w:tabs>
          <w:tab w:val="left" w:pos="2835"/>
        </w:tabs>
        <w:ind w:firstLine="2835"/>
      </w:pPr>
      <w:r>
        <w:rPr>
          <w:bCs/>
          <w:noProof/>
          <w:lang w:val="es-MX"/>
        </w:rPr>
        <w:t xml:space="preserve">También valoró como prueba de la inocencia de su asistido, los dichos de </w:t>
      </w:r>
      <w:r>
        <w:rPr>
          <w:bCs/>
          <w:noProof/>
        </w:rPr>
        <w:t xml:space="preserve">Horacio Antonio Stiuso en punto a </w:t>
      </w:r>
      <w:r>
        <w:t>la colaboración prestada por Mario No</w:t>
      </w:r>
      <w:r>
        <w:t>r</w:t>
      </w:r>
      <w:r>
        <w:t>berto Bareiro y Diego Enrique Barreda en la investig</w:t>
      </w:r>
      <w:r>
        <w:t>a</w:t>
      </w:r>
      <w:r>
        <w:t xml:space="preserve">ción del atentado, corroborados por la constancia de </w:t>
      </w:r>
      <w:smartTag w:uri="urn:schemas-microsoft-com:office:smarttags" w:element="PersonName">
        <w:smartTagPr>
          <w:attr w:name="ProductID" w:val="la S.I"/>
        </w:smartTagPr>
        <w:r>
          <w:t>la S.I</w:t>
        </w:r>
      </w:smartTag>
      <w:r>
        <w:t>.D.E. agregada a fs. 44.813.</w:t>
      </w:r>
    </w:p>
    <w:p w:rsidR="00224567" w:rsidRDefault="00224567">
      <w:pPr>
        <w:widowControl w:val="0"/>
        <w:tabs>
          <w:tab w:val="left" w:pos="2835"/>
        </w:tabs>
        <w:rPr>
          <w:noProof/>
        </w:rPr>
      </w:pPr>
      <w:r>
        <w:rPr>
          <w:b/>
          <w:noProof/>
        </w:rPr>
        <w:tab/>
      </w:r>
      <w:r>
        <w:t>En la acusación formulada, se indicó en contra de su pupilo, la preocupación e intranquilidad que éste manifestó el 26 de julio de 1994; sin embargo, con mención del testimonio de Stiuso, explicó que la ca</w:t>
      </w:r>
      <w:r>
        <w:t>u</w:t>
      </w:r>
      <w:r>
        <w:t>sa de la inquietud de Bareiro consistía en haber “quedado p</w:t>
      </w:r>
      <w:r>
        <w:t>e</w:t>
      </w:r>
      <w:r>
        <w:t>gados en medio de un lío, habiendo ido a extorsionar a a</w:t>
      </w:r>
      <w:r>
        <w:t>l</w:t>
      </w:r>
      <w:r>
        <w:t>guien que después terminó siendo quien vendió la camioneta del atentado”.</w:t>
      </w:r>
      <w:r>
        <w:rPr>
          <w:b/>
          <w:bCs/>
        </w:rPr>
        <w:t xml:space="preserve"> </w:t>
      </w:r>
      <w:r>
        <w:t>Esa versión, agregó el defensor, fue co</w:t>
      </w:r>
      <w:r>
        <w:t>n</w:t>
      </w:r>
      <w:r>
        <w:t>firmada por el agente Del</w:t>
      </w:r>
      <w:r>
        <w:t>i</w:t>
      </w:r>
      <w:r>
        <w:t>zia.</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Al respecto, señaló que era una “i</w:t>
      </w:r>
      <w:r>
        <w:rPr>
          <w:rFonts w:ascii="Courier New" w:hAnsi="Courier New" w:cs="Courier New"/>
        </w:rPr>
        <w:t>n</w:t>
      </w:r>
      <w:r>
        <w:rPr>
          <w:rFonts w:ascii="Courier New" w:hAnsi="Courier New" w:cs="Courier New"/>
        </w:rPr>
        <w:t>tranquilidad razonable, que genera preocupación ya que a nadie le place encontrarse expuesto a reconocer un oper</w:t>
      </w:r>
      <w:r>
        <w:rPr>
          <w:rFonts w:ascii="Courier New" w:hAnsi="Courier New" w:cs="Courier New"/>
        </w:rPr>
        <w:t>a</w:t>
      </w:r>
      <w:r>
        <w:rPr>
          <w:rFonts w:ascii="Courier New" w:hAnsi="Courier New" w:cs="Courier New"/>
        </w:rPr>
        <w:t>tivo policial con fines espurios que, en definitiva, co</w:t>
      </w:r>
      <w:r>
        <w:rPr>
          <w:rFonts w:ascii="Courier New" w:hAnsi="Courier New" w:cs="Courier New"/>
        </w:rPr>
        <w:t>n</w:t>
      </w:r>
      <w:r>
        <w:rPr>
          <w:rFonts w:ascii="Courier New" w:hAnsi="Courier New" w:cs="Courier New"/>
        </w:rPr>
        <w:t>dujo a mi mandante a verse envue</w:t>
      </w:r>
      <w:r>
        <w:rPr>
          <w:rFonts w:ascii="Courier New" w:hAnsi="Courier New" w:cs="Courier New"/>
        </w:rPr>
        <w:t>l</w:t>
      </w:r>
      <w:r>
        <w:rPr>
          <w:rFonts w:ascii="Courier New" w:hAnsi="Courier New" w:cs="Courier New"/>
        </w:rPr>
        <w:t>to, le guste o no, en la investigación del atentado más cruento de la historia a</w:t>
      </w:r>
      <w:r>
        <w:rPr>
          <w:rFonts w:ascii="Courier New" w:hAnsi="Courier New" w:cs="Courier New"/>
        </w:rPr>
        <w:t>r</w:t>
      </w:r>
      <w:r>
        <w:rPr>
          <w:rFonts w:ascii="Courier New" w:hAnsi="Courier New" w:cs="Courier New"/>
        </w:rPr>
        <w:t>gentina”.</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La asistencia técnica trajo a col</w:t>
      </w:r>
      <w:r>
        <w:rPr>
          <w:rFonts w:ascii="Courier New" w:hAnsi="Courier New" w:cs="Courier New"/>
        </w:rPr>
        <w:t>a</w:t>
      </w:r>
      <w:r>
        <w:rPr>
          <w:rFonts w:ascii="Courier New" w:hAnsi="Courier New" w:cs="Courier New"/>
        </w:rPr>
        <w:t>ción, además, los dichos del entonces director de contr</w:t>
      </w:r>
      <w:r>
        <w:rPr>
          <w:rFonts w:ascii="Courier New" w:hAnsi="Courier New" w:cs="Courier New"/>
        </w:rPr>
        <w:t>a</w:t>
      </w:r>
      <w:r>
        <w:rPr>
          <w:rFonts w:ascii="Courier New" w:hAnsi="Courier New" w:cs="Courier New"/>
        </w:rPr>
        <w:t xml:space="preserve">inteligencia de </w:t>
      </w:r>
      <w:smartTag w:uri="urn:schemas-microsoft-com:office:smarttags" w:element="PersonName">
        <w:smartTagPr>
          <w:attr w:name="ProductID" w:val="la S.I"/>
        </w:smartTagPr>
        <w:r>
          <w:rPr>
            <w:rFonts w:ascii="Courier New" w:hAnsi="Courier New" w:cs="Courier New"/>
          </w:rPr>
          <w:t>la S.I</w:t>
        </w:r>
      </w:smartTag>
      <w:r>
        <w:rPr>
          <w:rFonts w:ascii="Courier New" w:hAnsi="Courier New" w:cs="Courier New"/>
        </w:rPr>
        <w:t xml:space="preserve">.D.E., Jorge Lucas, quien refirió que, a su juicio, la conexión local no era </w:t>
      </w:r>
      <w:smartTag w:uri="urn:schemas-microsoft-com:office:smarttags" w:element="PersonName">
        <w:smartTagPr>
          <w:attr w:name="ProductID" w:val="la Polic￭a Bonaerense"/>
        </w:smartTagPr>
        <w:r>
          <w:rPr>
            <w:rFonts w:ascii="Courier New" w:hAnsi="Courier New" w:cs="Courier New"/>
          </w:rPr>
          <w:t>la Policía B</w:t>
        </w:r>
        <w:r>
          <w:rPr>
            <w:rFonts w:ascii="Courier New" w:hAnsi="Courier New" w:cs="Courier New"/>
          </w:rPr>
          <w:t>o</w:t>
        </w:r>
        <w:r>
          <w:rPr>
            <w:rFonts w:ascii="Courier New" w:hAnsi="Courier New" w:cs="Courier New"/>
          </w:rPr>
          <w:t>naerense</w:t>
        </w:r>
      </w:smartTag>
      <w:r>
        <w:rPr>
          <w:rFonts w:ascii="Courier New" w:hAnsi="Courier New" w:cs="Courier New"/>
        </w:rPr>
        <w:t xml:space="preserve"> s</w:t>
      </w:r>
      <w:r>
        <w:rPr>
          <w:rFonts w:ascii="Courier New" w:hAnsi="Courier New" w:cs="Courier New"/>
        </w:rPr>
        <w:t>i</w:t>
      </w:r>
      <w:r>
        <w:rPr>
          <w:rFonts w:ascii="Courier New" w:hAnsi="Courier New" w:cs="Courier New"/>
        </w:rPr>
        <w:t>no que la constituía Moshen Rabbani y su gente. El testigo agregó que de la investigación realizada, se determinó que los policías imputados no tuvieron interve</w:t>
      </w:r>
      <w:r>
        <w:rPr>
          <w:rFonts w:ascii="Courier New" w:hAnsi="Courier New" w:cs="Courier New"/>
        </w:rPr>
        <w:t>n</w:t>
      </w:r>
      <w:r>
        <w:rPr>
          <w:rFonts w:ascii="Courier New" w:hAnsi="Courier New" w:cs="Courier New"/>
        </w:rPr>
        <w:t>ción en el atentado. Por esa razón, señaló Lucas, el d</w:t>
      </w:r>
      <w:r>
        <w:rPr>
          <w:rFonts w:ascii="Courier New" w:hAnsi="Courier New" w:cs="Courier New"/>
        </w:rPr>
        <w:t>e</w:t>
      </w:r>
      <w:r>
        <w:rPr>
          <w:rFonts w:ascii="Courier New" w:hAnsi="Courier New" w:cs="Courier New"/>
        </w:rPr>
        <w:t>partamento del organismo de inteligencia a su cargo fue separado de la investigación a comienzos del año 1996.</w:t>
      </w:r>
    </w:p>
    <w:p w:rsidR="00224567" w:rsidRDefault="00224567">
      <w:pPr>
        <w:pStyle w:val="Textoindependiente2"/>
        <w:widowControl w:val="0"/>
        <w:tabs>
          <w:tab w:val="left" w:pos="2835"/>
        </w:tabs>
        <w:ind w:firstLine="2835"/>
        <w:rPr>
          <w:rFonts w:ascii="Courier New" w:hAnsi="Courier New" w:cs="Courier New"/>
        </w:rPr>
      </w:pPr>
      <w:r>
        <w:rPr>
          <w:rFonts w:ascii="Courier New" w:hAnsi="Courier New" w:cs="Courier New"/>
        </w:rPr>
        <w:t>Por otra parte, el Dr. Lozano coinc</w:t>
      </w:r>
      <w:r>
        <w:rPr>
          <w:rFonts w:ascii="Courier New" w:hAnsi="Courier New" w:cs="Courier New"/>
        </w:rPr>
        <w:t>i</w:t>
      </w:r>
      <w:r>
        <w:rPr>
          <w:rFonts w:ascii="Courier New" w:hAnsi="Courier New" w:cs="Courier New"/>
        </w:rPr>
        <w:t>dió con la apreciación de la querella de la “D.A.I.A.”, con relación a la espontaneidad con la que se pronunció Carlos Alberto Telleldín en las entrevistas que mantuvo con el juez instructor, refl</w:t>
      </w:r>
      <w:r>
        <w:rPr>
          <w:rFonts w:ascii="Courier New" w:hAnsi="Courier New" w:cs="Courier New"/>
        </w:rPr>
        <w:t>e</w:t>
      </w:r>
      <w:r>
        <w:rPr>
          <w:rFonts w:ascii="Courier New" w:hAnsi="Courier New" w:cs="Courier New"/>
        </w:rPr>
        <w:t>jadas en los vídeos del 10 de abril y 1º de julio, ambos de 1996. Empero, afirmó, en d</w:t>
      </w:r>
      <w:r>
        <w:rPr>
          <w:rFonts w:ascii="Courier New" w:hAnsi="Courier New" w:cs="Courier New"/>
        </w:rPr>
        <w:t>i</w:t>
      </w:r>
      <w:r>
        <w:rPr>
          <w:rFonts w:ascii="Courier New" w:hAnsi="Courier New" w:cs="Courier New"/>
        </w:rPr>
        <w:t>chas ocasiones el imputado no formuló manifest</w:t>
      </w:r>
      <w:r>
        <w:rPr>
          <w:rFonts w:ascii="Courier New" w:hAnsi="Courier New" w:cs="Courier New"/>
        </w:rPr>
        <w:t>a</w:t>
      </w:r>
      <w:r>
        <w:rPr>
          <w:rFonts w:ascii="Courier New" w:hAnsi="Courier New" w:cs="Courier New"/>
        </w:rPr>
        <w:t>ción alguna en c</w:t>
      </w:r>
      <w:r>
        <w:rPr>
          <w:rFonts w:ascii="Courier New" w:hAnsi="Courier New" w:cs="Courier New"/>
        </w:rPr>
        <w:t>o</w:t>
      </w:r>
      <w:r>
        <w:rPr>
          <w:rFonts w:ascii="Courier New" w:hAnsi="Courier New" w:cs="Courier New"/>
        </w:rPr>
        <w:t>ntra de su asistido.</w:t>
      </w:r>
    </w:p>
    <w:p w:rsidR="00224567" w:rsidRDefault="00224567">
      <w:pPr>
        <w:widowControl w:val="0"/>
        <w:tabs>
          <w:tab w:val="left" w:pos="2835"/>
        </w:tabs>
      </w:pPr>
      <w:r>
        <w:tab/>
        <w:t>La conducta de Telleldín, señaló, se compadece con la coherencia que mantuvo durante todo el proceso, en el sentido de que jamás aludió a Mario Norbe</w:t>
      </w:r>
      <w:r>
        <w:t>r</w:t>
      </w:r>
      <w:r>
        <w:t>to Bareiro como uno de los policías que participó en la entrega de la camioneta.</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lang w:val="es-AR"/>
        </w:rPr>
        <w:tab/>
      </w:r>
      <w:r>
        <w:rPr>
          <w:rFonts w:ascii="Courier New" w:hAnsi="Courier New" w:cs="Courier New"/>
        </w:rPr>
        <w:t>La querella de “A.M.I.A.” y “D.A.I.A.” sostuvo que se armaron dos camionetas y acusó a Bareiro por haber controlado que la encargada a Telleldín fuera acondicionada conforme el ped</w:t>
      </w:r>
      <w:r>
        <w:rPr>
          <w:rFonts w:ascii="Courier New" w:hAnsi="Courier New" w:cs="Courier New"/>
        </w:rPr>
        <w:t>i</w:t>
      </w:r>
      <w:r>
        <w:rPr>
          <w:rFonts w:ascii="Courier New" w:hAnsi="Courier New" w:cs="Courier New"/>
        </w:rPr>
        <w:t>do de Juan José Ribelli; sin embargo, dijo el letr</w:t>
      </w:r>
      <w:r>
        <w:rPr>
          <w:rFonts w:ascii="Courier New" w:hAnsi="Courier New" w:cs="Courier New"/>
        </w:rPr>
        <w:t>a</w:t>
      </w:r>
      <w:r>
        <w:rPr>
          <w:rFonts w:ascii="Courier New" w:hAnsi="Courier New" w:cs="Courier New"/>
        </w:rPr>
        <w:t>do, “no alude a prueba alguna de la que se desprenda conocimiento previo entre ambos, reuni</w:t>
      </w:r>
      <w:r>
        <w:rPr>
          <w:rFonts w:ascii="Courier New" w:hAnsi="Courier New" w:cs="Courier New"/>
        </w:rPr>
        <w:t>o</w:t>
      </w:r>
      <w:r>
        <w:rPr>
          <w:rFonts w:ascii="Courier New" w:hAnsi="Courier New" w:cs="Courier New"/>
        </w:rPr>
        <w:t>nes, transmisión de instrucciones, comunicaciones, inte</w:t>
      </w:r>
      <w:r>
        <w:rPr>
          <w:rFonts w:ascii="Courier New" w:hAnsi="Courier New" w:cs="Courier New"/>
        </w:rPr>
        <w:t>r</w:t>
      </w:r>
      <w:r>
        <w:rPr>
          <w:rFonts w:ascii="Courier New" w:hAnsi="Courier New" w:cs="Courier New"/>
        </w:rPr>
        <w:t>mediarios que sirvieran de nexo ni nada que se parezca a un elemento de cargo”.</w:t>
      </w:r>
    </w:p>
    <w:p w:rsidR="00224567" w:rsidRDefault="00224567">
      <w:pPr>
        <w:widowControl w:val="0"/>
        <w:tabs>
          <w:tab w:val="left" w:pos="2835"/>
        </w:tabs>
      </w:pPr>
      <w:r>
        <w:tab/>
        <w:t>La mentada querella también atr</w:t>
      </w:r>
      <w:r>
        <w:t>i</w:t>
      </w:r>
      <w:r>
        <w:t>buyó a Diego Enrique Barreda un accionar semejante al de su r</w:t>
      </w:r>
      <w:r>
        <w:t>e</w:t>
      </w:r>
      <w:r>
        <w:t>presentado, en razón de “haber concurrido al taller de N</w:t>
      </w:r>
      <w:r>
        <w:t>i</w:t>
      </w:r>
      <w:r>
        <w:t>tzcaner para ver cómo iba la evolución de la camioneta que allí se estaba preparando y que en definitiva fue la que se utilizó como coart</w:t>
      </w:r>
      <w:r>
        <w:t>a</w:t>
      </w:r>
      <w:r>
        <w:t>da”.</w:t>
      </w:r>
    </w:p>
    <w:p w:rsidR="00224567" w:rsidRDefault="00224567">
      <w:pPr>
        <w:widowControl w:val="0"/>
        <w:tabs>
          <w:tab w:val="left" w:pos="2835"/>
        </w:tabs>
      </w:pPr>
      <w:r>
        <w:tab/>
        <w:t>No obstante, señaló el defensor, no detalló a qué taller concurrió Bareiro, dónde estaba ub</w:t>
      </w:r>
      <w:r>
        <w:t>i</w:t>
      </w:r>
      <w:r>
        <w:t>cado, quién era su titular y cuáles eran los conoc</w:t>
      </w:r>
      <w:r>
        <w:t>i</w:t>
      </w:r>
      <w:r>
        <w:t>mientos técnicos que se atribuían al nombrado para lograr que el vehículo fuera modificado confo</w:t>
      </w:r>
      <w:r>
        <w:t>r</w:t>
      </w:r>
      <w:r>
        <w:t>me a las especificaciones técnicas transm</w:t>
      </w:r>
      <w:r>
        <w:t>i</w:t>
      </w:r>
      <w:r>
        <w:t>tidas.</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En cuanto a la falta de credibilidad de los imput</w:t>
      </w:r>
      <w:r>
        <w:rPr>
          <w:rFonts w:ascii="Courier New" w:hAnsi="Courier New" w:cs="Courier New"/>
        </w:rPr>
        <w:t>a</w:t>
      </w:r>
      <w:r>
        <w:rPr>
          <w:rFonts w:ascii="Courier New" w:hAnsi="Courier New" w:cs="Courier New"/>
        </w:rPr>
        <w:t>dos, la mencionada contraparte manifestó que distintas serían las cosas si hubieran admitido sus inte</w:t>
      </w:r>
      <w:r>
        <w:rPr>
          <w:rFonts w:ascii="Courier New" w:hAnsi="Courier New" w:cs="Courier New"/>
        </w:rPr>
        <w:t>r</w:t>
      </w:r>
      <w:r>
        <w:rPr>
          <w:rFonts w:ascii="Courier New" w:hAnsi="Courier New" w:cs="Courier New"/>
        </w:rPr>
        <w:t>venciones en las extorsiones de las que Telleldín fue ví</w:t>
      </w:r>
      <w:r>
        <w:rPr>
          <w:rFonts w:ascii="Courier New" w:hAnsi="Courier New" w:cs="Courier New"/>
        </w:rPr>
        <w:t>c</w:t>
      </w:r>
      <w:r>
        <w:rPr>
          <w:rFonts w:ascii="Courier New" w:hAnsi="Courier New" w:cs="Courier New"/>
        </w:rPr>
        <w:t>tima, alegando su inocencia en el atentado; ante ello, e</w:t>
      </w:r>
      <w:r>
        <w:rPr>
          <w:rFonts w:ascii="Courier New" w:hAnsi="Courier New" w:cs="Courier New"/>
        </w:rPr>
        <w:t>x</w:t>
      </w:r>
      <w:r>
        <w:rPr>
          <w:rFonts w:ascii="Courier New" w:hAnsi="Courier New" w:cs="Courier New"/>
        </w:rPr>
        <w:t>presó el letrado que su asistido reconoció en la instru</w:t>
      </w:r>
      <w:r>
        <w:rPr>
          <w:rFonts w:ascii="Courier New" w:hAnsi="Courier New" w:cs="Courier New"/>
        </w:rPr>
        <w:t>c</w:t>
      </w:r>
      <w:r>
        <w:rPr>
          <w:rFonts w:ascii="Courier New" w:hAnsi="Courier New" w:cs="Courier New"/>
        </w:rPr>
        <w:t>ción los hechos ilícitos que se le atribuyeron, concret</w:t>
      </w:r>
      <w:r>
        <w:rPr>
          <w:rFonts w:ascii="Courier New" w:hAnsi="Courier New" w:cs="Courier New"/>
        </w:rPr>
        <w:t>a</w:t>
      </w:r>
      <w:r>
        <w:rPr>
          <w:rFonts w:ascii="Courier New" w:hAnsi="Courier New" w:cs="Courier New"/>
        </w:rPr>
        <w:t>mente, su ingerencia en el atropello al patrimonio de T</w:t>
      </w:r>
      <w:r>
        <w:rPr>
          <w:rFonts w:ascii="Courier New" w:hAnsi="Courier New" w:cs="Courier New"/>
        </w:rPr>
        <w:t>e</w:t>
      </w:r>
      <w:r>
        <w:rPr>
          <w:rFonts w:ascii="Courier New" w:hAnsi="Courier New" w:cs="Courier New"/>
        </w:rPr>
        <w:t>lleldín.</w:t>
      </w:r>
    </w:p>
    <w:p w:rsidR="00224567" w:rsidRDefault="00224567">
      <w:pPr>
        <w:pStyle w:val="Textoindependiente2"/>
        <w:widowControl w:val="0"/>
        <w:tabs>
          <w:tab w:val="left" w:pos="2835"/>
        </w:tabs>
        <w:ind w:firstLine="2835"/>
        <w:rPr>
          <w:rFonts w:ascii="Courier New" w:hAnsi="Courier New" w:cs="Courier New"/>
        </w:rPr>
      </w:pPr>
      <w:r>
        <w:rPr>
          <w:rFonts w:ascii="Courier New" w:hAnsi="Courier New" w:cs="Courier New"/>
        </w:rPr>
        <w:t>Sin embargo, adujo, dicha circunsta</w:t>
      </w:r>
      <w:r>
        <w:rPr>
          <w:rFonts w:ascii="Courier New" w:hAnsi="Courier New" w:cs="Courier New"/>
        </w:rPr>
        <w:t>n</w:t>
      </w:r>
      <w:r>
        <w:rPr>
          <w:rFonts w:ascii="Courier New" w:hAnsi="Courier New" w:cs="Courier New"/>
        </w:rPr>
        <w:t>cia no fue advertida por la querella, que transformó sus dichos en prueba sobre la cual basó la acusación por el atentado terrorista.</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Contrariamente a lo sostenido en el alegato acusatorio, dijo el defensor, Mario Norberto B</w:t>
      </w:r>
      <w:r>
        <w:rPr>
          <w:rFonts w:ascii="Courier New" w:hAnsi="Courier New" w:cs="Courier New"/>
        </w:rPr>
        <w:t>a</w:t>
      </w:r>
      <w:r>
        <w:rPr>
          <w:rFonts w:ascii="Courier New" w:hAnsi="Courier New" w:cs="Courier New"/>
        </w:rPr>
        <w:t>reiro no trabó relación de amistad con Telleldín a</w:t>
      </w:r>
      <w:r>
        <w:rPr>
          <w:rFonts w:ascii="Courier New" w:hAnsi="Courier New" w:cs="Courier New"/>
        </w:rPr>
        <w:t>n</w:t>
      </w:r>
      <w:r>
        <w:rPr>
          <w:rFonts w:ascii="Courier New" w:hAnsi="Courier New" w:cs="Courier New"/>
        </w:rPr>
        <w:t>tes del atentado, sino que lo conoció desde cuando prestaba serv</w:t>
      </w:r>
      <w:r>
        <w:rPr>
          <w:rFonts w:ascii="Courier New" w:hAnsi="Courier New" w:cs="Courier New"/>
        </w:rPr>
        <w:t>i</w:t>
      </w:r>
      <w:r>
        <w:rPr>
          <w:rFonts w:ascii="Courier New" w:hAnsi="Courier New" w:cs="Courier New"/>
        </w:rPr>
        <w:t>cios en la comisaría de Santos Lugares en el año 1985. T</w:t>
      </w:r>
      <w:r>
        <w:rPr>
          <w:rFonts w:ascii="Courier New" w:hAnsi="Courier New" w:cs="Courier New"/>
        </w:rPr>
        <w:t>o</w:t>
      </w:r>
      <w:r>
        <w:rPr>
          <w:rFonts w:ascii="Courier New" w:hAnsi="Courier New" w:cs="Courier New"/>
        </w:rPr>
        <w:t>mó contacto con el nombrado a raíz de las contravenci</w:t>
      </w:r>
      <w:r>
        <w:rPr>
          <w:rFonts w:ascii="Courier New" w:hAnsi="Courier New" w:cs="Courier New"/>
        </w:rPr>
        <w:t>o</w:t>
      </w:r>
      <w:r>
        <w:rPr>
          <w:rFonts w:ascii="Courier New" w:hAnsi="Courier New" w:cs="Courier New"/>
        </w:rPr>
        <w:t>nes que éste cometía, a la vez que era un informante de la fuerza.</w:t>
      </w:r>
    </w:p>
    <w:p w:rsidR="00224567" w:rsidRDefault="00224567">
      <w:pPr>
        <w:widowControl w:val="0"/>
        <w:tabs>
          <w:tab w:val="left" w:pos="2835"/>
        </w:tabs>
        <w:ind w:firstLine="2835"/>
        <w:rPr>
          <w:bCs/>
        </w:rPr>
      </w:pPr>
      <w:r>
        <w:t>Dijo el Dr. Lozano que la querella aludió a la declaración del comisario Jorge E</w:t>
      </w:r>
      <w:r>
        <w:t>n</w:t>
      </w:r>
      <w:r>
        <w:t>rique Guzmán para sostener que “era muy</w:t>
      </w:r>
      <w:r>
        <w:rPr>
          <w:b/>
          <w:bCs/>
        </w:rPr>
        <w:t xml:space="preserve"> </w:t>
      </w:r>
      <w:r>
        <w:t>posible que Ribelli conociera a Barreda y Bareiro, porque eran oficiales operativos”, siendo habitual que cruzaran informaciones entre sí; emp</w:t>
      </w:r>
      <w:r>
        <w:t>e</w:t>
      </w:r>
      <w:r>
        <w:t xml:space="preserve">ro, según interpretó la defensa, en un primer momento </w:t>
      </w:r>
      <w:r>
        <w:rPr>
          <w:bCs/>
        </w:rPr>
        <w:t>el mentado testigo negó el supuesto conocimiento entre Rib</w:t>
      </w:r>
      <w:r>
        <w:rPr>
          <w:bCs/>
        </w:rPr>
        <w:t>e</w:t>
      </w:r>
      <w:r>
        <w:rPr>
          <w:bCs/>
        </w:rPr>
        <w:t>lli y Bareiro, tras lo cual afirmó que tal vinculación p</w:t>
      </w:r>
      <w:r>
        <w:rPr>
          <w:bCs/>
        </w:rPr>
        <w:t>o</w:t>
      </w:r>
      <w:r>
        <w:rPr>
          <w:bCs/>
        </w:rPr>
        <w:t>dría haberse verificado o no. Además, el testigo de</w:t>
      </w:r>
      <w:r>
        <w:rPr>
          <w:bCs/>
        </w:rPr>
        <w:t>s</w:t>
      </w:r>
      <w:r>
        <w:rPr>
          <w:bCs/>
        </w:rPr>
        <w:t>cartó que Bareiro haya interven</w:t>
      </w:r>
      <w:r>
        <w:rPr>
          <w:bCs/>
        </w:rPr>
        <w:t>i</w:t>
      </w:r>
      <w:r>
        <w:rPr>
          <w:bCs/>
        </w:rPr>
        <w:t>do en algún procedimiento junto a Ribelli.</w:t>
      </w:r>
    </w:p>
    <w:p w:rsidR="00224567" w:rsidRDefault="00224567">
      <w:pPr>
        <w:widowControl w:val="0"/>
        <w:tabs>
          <w:tab w:val="left" w:pos="2835"/>
        </w:tabs>
      </w:pPr>
      <w:r>
        <w:tab/>
        <w:t>Todo lo expuesto demuestra, dijo el defensor, que no se probó la intervención de su pupilo los días previos al 10 de julio de 1994, fecha en la que T</w:t>
      </w:r>
      <w:r>
        <w:t>e</w:t>
      </w:r>
      <w:r>
        <w:t xml:space="preserve">lleldín habría entregado </w:t>
      </w:r>
      <w:smartTag w:uri="urn:schemas-microsoft-com:office:smarttags" w:element="PersonName">
        <w:smartTagPr>
          <w:attr w:name="ProductID" w:val="la Trafic"/>
        </w:smartTagPr>
        <w:r>
          <w:t>la Trafic</w:t>
        </w:r>
      </w:smartTag>
      <w:r>
        <w:t xml:space="preserve"> al personal bonaerense. Esta circunstancia, señaló, fue suficient</w:t>
      </w:r>
      <w:r>
        <w:t>e</w:t>
      </w:r>
      <w:r>
        <w:t>mente desmentida por la defensa de Carlos Alberto T</w:t>
      </w:r>
      <w:r>
        <w:t>e</w:t>
      </w:r>
      <w:r>
        <w:t>lleldín.</w:t>
      </w:r>
    </w:p>
    <w:p w:rsidR="00224567" w:rsidRDefault="00224567">
      <w:pPr>
        <w:pStyle w:val="Sangra3detindependiente"/>
        <w:widowControl w:val="0"/>
        <w:tabs>
          <w:tab w:val="left" w:pos="2835"/>
        </w:tabs>
        <w:spacing w:line="600" w:lineRule="auto"/>
        <w:ind w:firstLine="2835"/>
      </w:pPr>
      <w:r>
        <w:t>Señaló el Dr. Lozano que una t</w:t>
      </w:r>
      <w:r>
        <w:t>a</w:t>
      </w:r>
      <w:r>
        <w:t>rea de vigilancia y control en el domicilio de República 107 d</w:t>
      </w:r>
      <w:r>
        <w:t>u</w:t>
      </w:r>
      <w:r>
        <w:t>rante los días previos al 10 de julio de 1994, no se co</w:t>
      </w:r>
      <w:r>
        <w:t>m</w:t>
      </w:r>
      <w:r>
        <w:t>padece con el interés que Bareiro manifestó al oficial Anastasio Ireneo Leal acerca de si se había llev</w:t>
      </w:r>
      <w:r>
        <w:t>a</w:t>
      </w:r>
      <w:r>
        <w:t>do a cabo el procedimiento ese día. Resaltó que ambas conductas su</w:t>
      </w:r>
      <w:r>
        <w:t>r</w:t>
      </w:r>
      <w:r>
        <w:t>gen de una acusación que calificó de i</w:t>
      </w:r>
      <w:r>
        <w:t>n</w:t>
      </w:r>
      <w:r>
        <w:t>consistente, cuyos alegatos reúnen dos condiciones: la extensión en el relato y la falta de rigor en la imp</w:t>
      </w:r>
      <w:r>
        <w:t>u</w:t>
      </w:r>
      <w:r>
        <w:t>tación.</w:t>
      </w:r>
    </w:p>
    <w:p w:rsidR="00224567" w:rsidRDefault="00224567">
      <w:pPr>
        <w:widowControl w:val="0"/>
        <w:tabs>
          <w:tab w:val="left" w:pos="2835"/>
        </w:tabs>
        <w:ind w:firstLine="2835"/>
      </w:pPr>
      <w:r>
        <w:t>En efecto, dijo el letrado, “ni el v</w:t>
      </w:r>
      <w:r>
        <w:t>i</w:t>
      </w:r>
      <w:r>
        <w:t>deo de abril de 1996, ni la última indagatoria de Telle</w:t>
      </w:r>
      <w:r>
        <w:t>l</w:t>
      </w:r>
      <w:r>
        <w:t>dín en el debate, con sus planos a cuestas, ni la pe</w:t>
      </w:r>
      <w:r>
        <w:t>r</w:t>
      </w:r>
      <w:r>
        <w:t>sona que ingresó al domicilio de República y que ahora –según la querella- resulta que no interesa, no sólo no contrib</w:t>
      </w:r>
      <w:r>
        <w:t>u</w:t>
      </w:r>
      <w:r>
        <w:t>yen en nada para formar convicción ante el Tribunal del plenario sino ni siquiera a despertar sospecha ante un juez que tenga el orgullo que proviene de su inve</w:t>
      </w:r>
      <w:r>
        <w:t>s</w:t>
      </w:r>
      <w:r>
        <w:t>tidura”.</w:t>
      </w:r>
    </w:p>
    <w:p w:rsidR="00224567" w:rsidRDefault="00224567">
      <w:pPr>
        <w:pStyle w:val="Sangra2detindependiente"/>
        <w:widowControl w:val="0"/>
        <w:tabs>
          <w:tab w:val="left" w:pos="2835"/>
        </w:tabs>
        <w:spacing w:line="600" w:lineRule="auto"/>
        <w:ind w:firstLine="0"/>
      </w:pPr>
      <w:r>
        <w:tab/>
        <w:t>La acusación sostuvo, dijo el letrado, que los episodios de marzo y abril fueron llamativamente viole</w:t>
      </w:r>
      <w:r>
        <w:t>n</w:t>
      </w:r>
      <w:r>
        <w:t>tos, a diferencia del 10 de julio de 1994, ocasión en la que se entregó la camioneta en un ámbito de tranquil</w:t>
      </w:r>
      <w:r>
        <w:t>i</w:t>
      </w:r>
      <w:r>
        <w:t>dad, puesto que los roles de los involucrados estaban predete</w:t>
      </w:r>
      <w:r>
        <w:t>r</w:t>
      </w:r>
      <w:r>
        <w:t>minados. Sin embargo, esgrimió la defensa, el r</w:t>
      </w:r>
      <w:r>
        <w:t>e</w:t>
      </w:r>
      <w:r>
        <w:t>proche no se concilia con el relato de Guillermo Cotoras, que expr</w:t>
      </w:r>
      <w:r>
        <w:t>e</w:t>
      </w:r>
      <w:r>
        <w:t>só que había sido testigo presencial el día en cuestión, de las amenazas por parte de los policías a T</w:t>
      </w:r>
      <w:r>
        <w:t>e</w:t>
      </w:r>
      <w:r>
        <w:t>lleldín. Una vez más, agregó, la acusación es incongrue</w:t>
      </w:r>
      <w:r>
        <w:t>n</w:t>
      </w:r>
      <w:r>
        <w:t>te.</w:t>
      </w:r>
    </w:p>
    <w:p w:rsidR="00224567" w:rsidRDefault="00224567">
      <w:pPr>
        <w:pStyle w:val="Sangra3detindependiente"/>
        <w:widowControl w:val="0"/>
        <w:tabs>
          <w:tab w:val="left" w:pos="2835"/>
        </w:tabs>
        <w:spacing w:line="600" w:lineRule="auto"/>
        <w:ind w:firstLine="0"/>
      </w:pPr>
      <w:r>
        <w:tab/>
        <w:t>Por otra parte, argumentó que si como sostiene la querella, el acuerdo fue entre R</w:t>
      </w:r>
      <w:r>
        <w:t>i</w:t>
      </w:r>
      <w:r>
        <w:t>belli y Leal, “¿cómo se explica, entonces, la insistencia de Bareiro p</w:t>
      </w:r>
      <w:r>
        <w:t>a</w:t>
      </w:r>
      <w:r>
        <w:t>ra que se lleve a buen puerto el atropello contra el p</w:t>
      </w:r>
      <w:r>
        <w:t>a</w:t>
      </w:r>
      <w:r>
        <w:t>trimonio de Telleldín? ¿cuál es la razón lógica del di</w:t>
      </w:r>
      <w:r>
        <w:t>s</w:t>
      </w:r>
      <w:r>
        <w:t>curso intelectual que ha de seguirse i</w:t>
      </w:r>
      <w:r>
        <w:t>n</w:t>
      </w:r>
      <w:r>
        <w:t>exorablemente para tener por válida, por un lado, la veracidad de las decl</w:t>
      </w:r>
      <w:r>
        <w:t>a</w:t>
      </w:r>
      <w:r>
        <w:t>raciones de Bareiro e imputarle, minutos más tarde, la partic</w:t>
      </w:r>
      <w:r>
        <w:t>i</w:t>
      </w:r>
      <w:r>
        <w:t>pación en la entrega de la camioneta, atribuyéndole tareas de control y vigilancia previas al traspaso de un vehículo para utilizar en un atentado?”, cuestionó el d</w:t>
      </w:r>
      <w:r>
        <w:t>e</w:t>
      </w:r>
      <w:r>
        <w:t>fensor.</w:t>
      </w:r>
    </w:p>
    <w:p w:rsidR="00224567" w:rsidRDefault="00224567">
      <w:pPr>
        <w:widowControl w:val="0"/>
        <w:tabs>
          <w:tab w:val="left" w:pos="2835"/>
        </w:tabs>
      </w:pPr>
      <w:r>
        <w:tab/>
        <w:t>En cuanto al trato que mantuvo su asistido con Ramón Emilio Solari, el defensor aseg</w:t>
      </w:r>
      <w:r>
        <w:t>u</w:t>
      </w:r>
      <w:r>
        <w:t>ró que fue esporádico y circunstancial, situación corrob</w:t>
      </w:r>
      <w:r>
        <w:t>o</w:t>
      </w:r>
      <w:r>
        <w:t>rada por el testimonio de Enrique Carlos Fo</w:t>
      </w:r>
      <w:r>
        <w:t>r</w:t>
      </w:r>
      <w:r>
        <w:t>gione</w:t>
      </w:r>
      <w:r>
        <w:rPr>
          <w:b/>
          <w:bCs/>
        </w:rPr>
        <w:t>.</w:t>
      </w:r>
    </w:p>
    <w:p w:rsidR="00224567" w:rsidRDefault="00224567">
      <w:pPr>
        <w:widowControl w:val="0"/>
        <w:tabs>
          <w:tab w:val="left" w:pos="2835"/>
        </w:tabs>
      </w:pPr>
      <w:r>
        <w:tab/>
        <w:t>Consideró que “la justificación que los acusadores aducen para la obtención de la camioneta el domingo 10, no se compadece con la realidad, también afi</w:t>
      </w:r>
      <w:r>
        <w:t>r</w:t>
      </w:r>
      <w:r>
        <w:t>mada por mis oponentes, del procedimiento del ju</w:t>
      </w:r>
      <w:r>
        <w:t>e</w:t>
      </w:r>
      <w:r>
        <w:t xml:space="preserve">ves </w:t>
      </w:r>
      <w:smartTag w:uri="urn:schemas-microsoft-com:office:smarttags" w:element="metricconverter">
        <w:smartTagPr>
          <w:attr w:name="ProductID" w:val="14”"/>
        </w:smartTagPr>
        <w:r>
          <w:t>14”</w:t>
        </w:r>
      </w:smartTag>
      <w:r>
        <w:t>.</w:t>
      </w:r>
    </w:p>
    <w:p w:rsidR="00224567" w:rsidRDefault="00224567">
      <w:pPr>
        <w:widowControl w:val="0"/>
        <w:tabs>
          <w:tab w:val="left" w:pos="2835"/>
        </w:tabs>
      </w:pPr>
      <w:r>
        <w:tab/>
        <w:t>Por otra parte, el Dr. Lozano indicó que la fundamentación de los acusadores no se ajustaba a las leyes de la argumentación, porque el razonamiento co</w:t>
      </w:r>
      <w:r>
        <w:t>n</w:t>
      </w:r>
      <w:r>
        <w:t>siste en pasar de una verdad sabida a una verdad i</w:t>
      </w:r>
      <w:r>
        <w:t>g</w:t>
      </w:r>
      <w:r>
        <w:t>norada. Se cometieron sofismas en el alegato acusat</w:t>
      </w:r>
      <w:r>
        <w:t>o</w:t>
      </w:r>
      <w:r>
        <w:t>rio, dijo, no sólo por el hecho de invertir proposiciones, sino por el de incluir un sujeto inexi</w:t>
      </w:r>
      <w:r>
        <w:t>s</w:t>
      </w:r>
      <w:r>
        <w:t>tente. Este modo de razonar de la fiscalía, sostuvo, “supone el i</w:t>
      </w:r>
      <w:r>
        <w:t>m</w:t>
      </w:r>
      <w:r>
        <w:t>plante de una deducción sin antecedente previo que lo justifique”.</w:t>
      </w:r>
    </w:p>
    <w:p w:rsidR="00224567" w:rsidRDefault="00224567">
      <w:pPr>
        <w:widowControl w:val="0"/>
        <w:tabs>
          <w:tab w:val="left" w:pos="2835"/>
        </w:tabs>
        <w:rPr>
          <w:lang w:val="es-MX"/>
        </w:rPr>
      </w:pPr>
      <w:r>
        <w:tab/>
        <w:t>Así, agregó, “del</w:t>
      </w:r>
      <w:r>
        <w:rPr>
          <w:b/>
          <w:bCs/>
          <w:lang w:val="es-MX"/>
        </w:rPr>
        <w:t xml:space="preserve"> </w:t>
      </w:r>
      <w:r>
        <w:rPr>
          <w:lang w:val="es-MX"/>
        </w:rPr>
        <w:t>conocimiento previo que Bareiro tenía de Telleldín no se infiere que hayan acordado ninguna entrega consensuada; del episodio del jueves 14 de julio, no se infiere que haya intervenido en ningún acto previo a la transferencia de la camioneta el domingo 10 y de la pregu</w:t>
      </w:r>
      <w:r>
        <w:rPr>
          <w:lang w:val="es-MX"/>
        </w:rPr>
        <w:t>n</w:t>
      </w:r>
      <w:r>
        <w:rPr>
          <w:lang w:val="es-MX"/>
        </w:rPr>
        <w:t>ta de mi asistido a Leal el lunes 11, no se infiere interés alguno por la entrega del vehículo”.</w:t>
      </w:r>
    </w:p>
    <w:p w:rsidR="00224567" w:rsidRDefault="00224567">
      <w:pPr>
        <w:pStyle w:val="Sangra3detindependiente"/>
        <w:widowControl w:val="0"/>
        <w:tabs>
          <w:tab w:val="left" w:pos="2835"/>
        </w:tabs>
        <w:spacing w:line="600" w:lineRule="auto"/>
        <w:ind w:firstLine="0"/>
        <w:rPr>
          <w:lang w:val="es-MX"/>
        </w:rPr>
      </w:pPr>
      <w:r>
        <w:rPr>
          <w:lang w:val="es-MX"/>
        </w:rPr>
        <w:tab/>
        <w:t>En las afirmaciones esbozadas en los relatos imputativos, señaló el defensor, no existen co</w:t>
      </w:r>
      <w:r>
        <w:rPr>
          <w:lang w:val="es-MX"/>
        </w:rPr>
        <w:t>n</w:t>
      </w:r>
      <w:r>
        <w:rPr>
          <w:lang w:val="es-MX"/>
        </w:rPr>
        <w:t>clusiones lógicamente correctas, ni por inferencia, ni por presunción, ni por indicios, incurriendo en el grado máx</w:t>
      </w:r>
      <w:r>
        <w:rPr>
          <w:lang w:val="es-MX"/>
        </w:rPr>
        <w:t>i</w:t>
      </w:r>
      <w:r>
        <w:rPr>
          <w:lang w:val="es-MX"/>
        </w:rPr>
        <w:t>mo de oposición que la lógica estudia, esto es, la opos</w:t>
      </w:r>
      <w:r>
        <w:rPr>
          <w:lang w:val="es-MX"/>
        </w:rPr>
        <w:t>i</w:t>
      </w:r>
      <w:r>
        <w:rPr>
          <w:lang w:val="es-MX"/>
        </w:rPr>
        <w:t>ción contradi</w:t>
      </w:r>
      <w:r>
        <w:rPr>
          <w:lang w:val="es-MX"/>
        </w:rPr>
        <w:t>c</w:t>
      </w:r>
      <w:r>
        <w:rPr>
          <w:lang w:val="es-MX"/>
        </w:rPr>
        <w:t>toria. Violentaron de este modo el principio de no contr</w:t>
      </w:r>
      <w:r>
        <w:rPr>
          <w:lang w:val="es-MX"/>
        </w:rPr>
        <w:t>a</w:t>
      </w:r>
      <w:r>
        <w:rPr>
          <w:lang w:val="es-MX"/>
        </w:rPr>
        <w:t>dicción, según el cual algo no puede ser y no ser al mismo tiempo y en el mismo sentido, dijo el defe</w:t>
      </w:r>
      <w:r>
        <w:rPr>
          <w:lang w:val="es-MX"/>
        </w:rPr>
        <w:t>n</w:t>
      </w:r>
      <w:r>
        <w:rPr>
          <w:lang w:val="es-MX"/>
        </w:rPr>
        <w:t>sor.</w:t>
      </w:r>
    </w:p>
    <w:p w:rsidR="00224567" w:rsidRDefault="00224567">
      <w:pPr>
        <w:pStyle w:val="Sangra3detindependiente"/>
        <w:widowControl w:val="0"/>
        <w:tabs>
          <w:tab w:val="left" w:pos="2835"/>
        </w:tabs>
        <w:spacing w:line="600" w:lineRule="auto"/>
        <w:ind w:firstLine="0"/>
        <w:rPr>
          <w:lang w:val="es-MX"/>
        </w:rPr>
      </w:pPr>
      <w:r>
        <w:rPr>
          <w:lang w:val="es-MX"/>
        </w:rPr>
        <w:tab/>
        <w:t>La acusación no cumplió con el requ</w:t>
      </w:r>
      <w:r>
        <w:rPr>
          <w:lang w:val="es-MX"/>
        </w:rPr>
        <w:t>i</w:t>
      </w:r>
      <w:r>
        <w:rPr>
          <w:lang w:val="es-MX"/>
        </w:rPr>
        <w:t>sito esencial de la descripción del hecho, éste “debe ser descripto en forma clara, precisa, circunstanciada, esp</w:t>
      </w:r>
      <w:r>
        <w:rPr>
          <w:lang w:val="es-MX"/>
        </w:rPr>
        <w:t>e</w:t>
      </w:r>
      <w:r>
        <w:rPr>
          <w:lang w:val="es-MX"/>
        </w:rPr>
        <w:t>cífica y también abonarse en qué contexto tuvo lugar”. E</w:t>
      </w:r>
      <w:r>
        <w:rPr>
          <w:lang w:val="es-MX"/>
        </w:rPr>
        <w:t>s</w:t>
      </w:r>
      <w:r>
        <w:rPr>
          <w:lang w:val="es-MX"/>
        </w:rPr>
        <w:t>te requisito, señaló, no se suple ni con la calificación del hecho, ni con la valoración de la pru</w:t>
      </w:r>
      <w:r>
        <w:rPr>
          <w:lang w:val="es-MX"/>
        </w:rPr>
        <w:t>e</w:t>
      </w:r>
      <w:r>
        <w:rPr>
          <w:lang w:val="es-MX"/>
        </w:rPr>
        <w:t>ba.</w:t>
      </w:r>
    </w:p>
    <w:p w:rsidR="00224567" w:rsidRDefault="00224567">
      <w:pPr>
        <w:pStyle w:val="Textoindependiente2"/>
        <w:widowControl w:val="0"/>
        <w:tabs>
          <w:tab w:val="left" w:pos="2835"/>
        </w:tabs>
        <w:rPr>
          <w:rFonts w:ascii="Courier New" w:hAnsi="Courier New" w:cs="Courier New"/>
          <w:lang w:val="es-MX"/>
        </w:rPr>
      </w:pPr>
      <w:r>
        <w:rPr>
          <w:rFonts w:ascii="Courier New" w:hAnsi="Courier New" w:cs="Courier New"/>
          <w:lang w:val="es-MX"/>
        </w:rPr>
        <w:tab/>
        <w:t>No se ha respetado dicha exigencia fundamental, indicó, “que además importa una garantía de que el acusador, público o particular, ha llegado a una convicción por medios válidos que excluyan medios ilíc</w:t>
      </w:r>
      <w:r>
        <w:rPr>
          <w:rFonts w:ascii="Courier New" w:hAnsi="Courier New" w:cs="Courier New"/>
          <w:lang w:val="es-MX"/>
        </w:rPr>
        <w:t>i</w:t>
      </w:r>
      <w:r>
        <w:rPr>
          <w:rFonts w:ascii="Courier New" w:hAnsi="Courier New" w:cs="Courier New"/>
          <w:lang w:val="es-MX"/>
        </w:rPr>
        <w:t>tos, como por ejemplo el pago a un imputado a ca</w:t>
      </w:r>
      <w:r>
        <w:rPr>
          <w:rFonts w:ascii="Courier New" w:hAnsi="Courier New" w:cs="Courier New"/>
          <w:lang w:val="es-MX"/>
        </w:rPr>
        <w:t>m</w:t>
      </w:r>
      <w:r>
        <w:rPr>
          <w:rFonts w:ascii="Courier New" w:hAnsi="Courier New" w:cs="Courier New"/>
          <w:lang w:val="es-MX"/>
        </w:rPr>
        <w:t>bio de su declaración”.</w:t>
      </w:r>
    </w:p>
    <w:p w:rsidR="00224567" w:rsidRDefault="00224567">
      <w:pPr>
        <w:widowControl w:val="0"/>
        <w:tabs>
          <w:tab w:val="left" w:pos="2835"/>
        </w:tabs>
      </w:pPr>
      <w:r>
        <w:tab/>
        <w:t>Sostuvo que “sin una precisa y clara descripción del hecho materia de reproche, el ámbito de indefinición del caso debe ser resuelto por la inoce</w:t>
      </w:r>
      <w:r>
        <w:t>n</w:t>
      </w:r>
      <w:r>
        <w:t>cia, que es el estado inicial de todo ciudadano”.</w:t>
      </w:r>
    </w:p>
    <w:p w:rsidR="00224567" w:rsidRDefault="00224567">
      <w:pPr>
        <w:widowControl w:val="0"/>
        <w:tabs>
          <w:tab w:val="left" w:pos="2835"/>
        </w:tabs>
        <w:rPr>
          <w:lang w:val="es-MX"/>
        </w:rPr>
      </w:pPr>
      <w:r>
        <w:rPr>
          <w:lang w:val="es-MX"/>
        </w:rPr>
        <w:tab/>
        <w:t>Indicó el defensor que el relato de los acusadores omitió esbozar tan siquiera la conducta de Mario Norberto Bareiro, de modo de s</w:t>
      </w:r>
      <w:r>
        <w:rPr>
          <w:lang w:val="es-MX"/>
        </w:rPr>
        <w:t>a</w:t>
      </w:r>
      <w:r>
        <w:rPr>
          <w:lang w:val="es-MX"/>
        </w:rPr>
        <w:t>tisfacer los recaudos de una imputación válida.</w:t>
      </w:r>
    </w:p>
    <w:p w:rsidR="00224567" w:rsidRDefault="00224567">
      <w:pPr>
        <w:pStyle w:val="Textoindependiente2"/>
        <w:widowControl w:val="0"/>
        <w:tabs>
          <w:tab w:val="left" w:pos="2835"/>
        </w:tabs>
        <w:rPr>
          <w:rFonts w:ascii="Courier New" w:hAnsi="Courier New" w:cs="Courier New"/>
          <w:lang w:val="es-MX"/>
        </w:rPr>
      </w:pPr>
      <w:r>
        <w:rPr>
          <w:rFonts w:ascii="Courier New" w:hAnsi="Courier New" w:cs="Courier New"/>
          <w:lang w:val="es-MX"/>
        </w:rPr>
        <w:tab/>
        <w:t>Además del derecho de defensa, ta</w:t>
      </w:r>
      <w:r>
        <w:rPr>
          <w:rFonts w:ascii="Courier New" w:hAnsi="Courier New" w:cs="Courier New"/>
          <w:lang w:val="es-MX"/>
        </w:rPr>
        <w:t>m</w:t>
      </w:r>
      <w:r>
        <w:rPr>
          <w:rFonts w:ascii="Courier New" w:hAnsi="Courier New" w:cs="Courier New"/>
          <w:lang w:val="es-MX"/>
        </w:rPr>
        <w:t>bién estaba en juego la regularidad de la sentencia como acto estatal legítimo y que para respetar el principio de co</w:t>
      </w:r>
      <w:r>
        <w:rPr>
          <w:rFonts w:ascii="Courier New" w:hAnsi="Courier New" w:cs="Courier New"/>
          <w:lang w:val="es-MX"/>
        </w:rPr>
        <w:t>n</w:t>
      </w:r>
      <w:r>
        <w:rPr>
          <w:rFonts w:ascii="Courier New" w:hAnsi="Courier New" w:cs="Courier New"/>
          <w:lang w:val="es-MX"/>
        </w:rPr>
        <w:t>gruencia, la sentencia debía referirse al hecho imputado en la acusación. Ni ésta ni la sentencia pueden dejar i</w:t>
      </w:r>
      <w:r>
        <w:rPr>
          <w:rFonts w:ascii="Courier New" w:hAnsi="Courier New" w:cs="Courier New"/>
          <w:lang w:val="es-MX"/>
        </w:rPr>
        <w:t>n</w:t>
      </w:r>
      <w:r>
        <w:rPr>
          <w:rFonts w:ascii="Courier New" w:hAnsi="Courier New" w:cs="Courier New"/>
          <w:lang w:val="es-MX"/>
        </w:rPr>
        <w:t>determinado el hecho, según la doctrina que emana de F</w:t>
      </w:r>
      <w:r>
        <w:rPr>
          <w:rFonts w:ascii="Courier New" w:hAnsi="Courier New" w:cs="Courier New"/>
          <w:lang w:val="es-MX"/>
        </w:rPr>
        <w:t>a</w:t>
      </w:r>
      <w:r>
        <w:rPr>
          <w:rFonts w:ascii="Courier New" w:hAnsi="Courier New" w:cs="Courier New"/>
          <w:lang w:val="es-MX"/>
        </w:rPr>
        <w:t>llos: 304:1318.</w:t>
      </w:r>
    </w:p>
    <w:p w:rsidR="00224567" w:rsidRDefault="00224567">
      <w:pPr>
        <w:widowControl w:val="0"/>
        <w:tabs>
          <w:tab w:val="left" w:pos="2835"/>
        </w:tabs>
      </w:pPr>
      <w:r>
        <w:rPr>
          <w:szCs w:val="40"/>
          <w:lang w:val="es-MX"/>
        </w:rPr>
        <w:tab/>
        <w:t xml:space="preserve">Concluyó el defensor que </w:t>
      </w:r>
      <w:r>
        <w:t>la ac</w:t>
      </w:r>
      <w:r>
        <w:t>u</w:t>
      </w:r>
      <w:r>
        <w:t>sación es indeterminada, vaga e imprecisa y no satisface los r</w:t>
      </w:r>
      <w:r>
        <w:t>e</w:t>
      </w:r>
      <w:r>
        <w:t>caudos de autosuficiencia y complet</w:t>
      </w:r>
      <w:r>
        <w:t>i</w:t>
      </w:r>
      <w:r>
        <w:t>vidad exigidos por la ley.</w:t>
      </w:r>
    </w:p>
    <w:p w:rsidR="00224567" w:rsidRDefault="00224567">
      <w:pPr>
        <w:widowControl w:val="0"/>
        <w:tabs>
          <w:tab w:val="left" w:pos="2835"/>
        </w:tabs>
      </w:pPr>
      <w:r>
        <w:tab/>
        <w:t>En cuanto a los delitos investigados en la causa nº 501 que fueron imputados a Mario Norberto Bareiro, el defensor solicitó su absolución en virtud de que “no hay relato, ni prueba de la conducta tentada co</w:t>
      </w:r>
      <w:r>
        <w:t>n</w:t>
      </w:r>
      <w:r>
        <w:t>tra Carlos Telleldín y Ana Boragni, referida a la priv</w:t>
      </w:r>
      <w:r>
        <w:t>a</w:t>
      </w:r>
      <w:r>
        <w:t>ción de libertad y extorsión en grado de conato.” En el caso, dijo, la acusación también omitió cumplir con el r</w:t>
      </w:r>
      <w:r>
        <w:t>e</w:t>
      </w:r>
      <w:r>
        <w:t>caudo de autosuficiencia.</w:t>
      </w:r>
    </w:p>
    <w:p w:rsidR="00224567" w:rsidRDefault="00224567">
      <w:pPr>
        <w:widowControl w:val="0"/>
        <w:tabs>
          <w:tab w:val="left" w:pos="2835"/>
        </w:tabs>
      </w:pPr>
      <w:r>
        <w:tab/>
        <w:t>Por otra parte, impetró la nul</w:t>
      </w:r>
      <w:r>
        <w:t>i</w:t>
      </w:r>
      <w:r>
        <w:t>dad de la declaración indagatoria de Mario Norberto Bareiro pre</w:t>
      </w:r>
      <w:r>
        <w:t>s</w:t>
      </w:r>
      <w:r>
        <w:t>tada en esas actuaciones, del auto de procesamiento, del requerimiento y del auto de el</w:t>
      </w:r>
      <w:r>
        <w:t>e</w:t>
      </w:r>
      <w:r>
        <w:t>vación a juicio, en virtud de que el hecho descripto nunca fue intimado a su pupilo, respecto del cual nunca declaró.</w:t>
      </w:r>
    </w:p>
    <w:p w:rsidR="00224567" w:rsidRDefault="00224567">
      <w:pPr>
        <w:widowControl w:val="0"/>
        <w:tabs>
          <w:tab w:val="left" w:pos="2835"/>
        </w:tabs>
      </w:pPr>
      <w:r>
        <w:tab/>
        <w:t>En ese sentido, el defensor señ</w:t>
      </w:r>
      <w:r>
        <w:t>a</w:t>
      </w:r>
      <w:r>
        <w:t>ló que su asistido nunca fue convocado, ni notificado para pre</w:t>
      </w:r>
      <w:r>
        <w:t>s</w:t>
      </w:r>
      <w:r>
        <w:t>tar declaración indagatoria. En forma arbitraria, dijo el defensor, el juez agregó una fotocopia de una indagat</w:t>
      </w:r>
      <w:r>
        <w:t>o</w:t>
      </w:r>
      <w:r>
        <w:t>ria anterior que el nombrado prestó por hechos distintos. Tal omisión, señaló, afectó a la intervención, asistencia y represent</w:t>
      </w:r>
      <w:r>
        <w:t>a</w:t>
      </w:r>
      <w:r>
        <w:t>ción del  imputado, en los casos y formas que la ley establece (art. 167, inc. 3°, del C.P.P.N.).</w:t>
      </w:r>
    </w:p>
    <w:p w:rsidR="00224567" w:rsidRDefault="00224567">
      <w:pPr>
        <w:pStyle w:val="Textoindependiente"/>
        <w:tabs>
          <w:tab w:val="left" w:pos="2835"/>
        </w:tabs>
        <w:spacing w:line="600" w:lineRule="auto"/>
        <w:rPr>
          <w:bCs/>
        </w:rPr>
      </w:pPr>
      <w:r>
        <w:rPr>
          <w:lang w:val="es-ES"/>
        </w:rPr>
        <w:tab/>
        <w:t xml:space="preserve">El Dr. Lozano también </w:t>
      </w:r>
      <w:r>
        <w:rPr>
          <w:bCs/>
        </w:rPr>
        <w:t>solicitó que se d</w:t>
      </w:r>
      <w:r>
        <w:rPr>
          <w:bCs/>
        </w:rPr>
        <w:t>e</w:t>
      </w:r>
      <w:r>
        <w:rPr>
          <w:bCs/>
        </w:rPr>
        <w:t>clare extinguida por prescripción la acción penal respecto del delito de privación ilegal de la libertad agravada, en gr</w:t>
      </w:r>
      <w:r>
        <w:rPr>
          <w:bCs/>
        </w:rPr>
        <w:t>a</w:t>
      </w:r>
      <w:r>
        <w:rPr>
          <w:bCs/>
        </w:rPr>
        <w:t>do de tentativa, en perjuicio de Carlos Alberto Telleldín y Ana María Boragni, previsto en el art. 144 bis, inc. 1°, del Cód</w:t>
      </w:r>
      <w:r>
        <w:rPr>
          <w:bCs/>
        </w:rPr>
        <w:t>i</w:t>
      </w:r>
      <w:r>
        <w:rPr>
          <w:bCs/>
        </w:rPr>
        <w:t xml:space="preserve">go Penal, por el que fue acusado su mandante y, en consecuencia, se dicte su sobreseimiento en los términos del art. 336, inc. 1°, del Código Procesal Penal de </w:t>
      </w:r>
      <w:smartTag w:uri="urn:schemas-microsoft-com:office:smarttags" w:element="PersonName">
        <w:smartTagPr>
          <w:attr w:name="ProductID" w:val="la Naci￳n."/>
        </w:smartTagPr>
        <w:r>
          <w:rPr>
            <w:bCs/>
          </w:rPr>
          <w:t>la N</w:t>
        </w:r>
        <w:r>
          <w:rPr>
            <w:bCs/>
          </w:rPr>
          <w:t>a</w:t>
        </w:r>
        <w:r>
          <w:rPr>
            <w:bCs/>
          </w:rPr>
          <w:t>ción.</w:t>
        </w:r>
      </w:smartTag>
    </w:p>
    <w:p w:rsidR="00224567" w:rsidRDefault="00224567">
      <w:pPr>
        <w:pStyle w:val="Textoindependiente"/>
        <w:tabs>
          <w:tab w:val="left" w:pos="2835"/>
        </w:tabs>
        <w:spacing w:line="600" w:lineRule="auto"/>
        <w:rPr>
          <w:bCs/>
        </w:rPr>
      </w:pPr>
      <w:r>
        <w:rPr>
          <w:bCs/>
        </w:rPr>
        <w:tab/>
        <w:t>Así, señaló el defensor público oficial, e</w:t>
      </w:r>
      <w:r>
        <w:rPr>
          <w:bCs/>
        </w:rPr>
        <w:t>n</w:t>
      </w:r>
      <w:r>
        <w:rPr>
          <w:bCs/>
        </w:rPr>
        <w:t>tre el 14 de julio de 1994 –fecha de com</w:t>
      </w:r>
      <w:r>
        <w:rPr>
          <w:bCs/>
        </w:rPr>
        <w:t>i</w:t>
      </w:r>
      <w:r>
        <w:rPr>
          <w:bCs/>
        </w:rPr>
        <w:t>sión del hecho- y el auto de procesamiento del 6 de febrero de 2001, casi siete años después, transcurrió en exceso el término de tres años y seis meses que autoriza a declarar extinguida la acción penal por prescripción en orden al delito imp</w:t>
      </w:r>
      <w:r>
        <w:rPr>
          <w:bCs/>
        </w:rPr>
        <w:t>u</w:t>
      </w:r>
      <w:r>
        <w:rPr>
          <w:bCs/>
        </w:rPr>
        <w:t>tado, conforme las previsiones del art. 62, inc. 2º, del Código Penal.</w:t>
      </w:r>
    </w:p>
    <w:p w:rsidR="00224567" w:rsidRDefault="00224567">
      <w:pPr>
        <w:pStyle w:val="Textoindependiente"/>
        <w:tabs>
          <w:tab w:val="left" w:pos="2835"/>
        </w:tabs>
        <w:spacing w:line="600" w:lineRule="auto"/>
        <w:rPr>
          <w:bCs/>
        </w:rPr>
      </w:pPr>
      <w:r>
        <w:rPr>
          <w:bCs/>
        </w:rPr>
        <w:tab/>
        <w:t>Asimismo, en caso de considerarse como secu</w:t>
      </w:r>
      <w:r>
        <w:rPr>
          <w:bCs/>
        </w:rPr>
        <w:t>e</w:t>
      </w:r>
      <w:r>
        <w:rPr>
          <w:bCs/>
        </w:rPr>
        <w:t>la de juicio la indagatoria prestada el 13 y 14 de julio de 1996 en la causa n° 487, cuya copia se agregó a la n° 501, señaló la defensa, transcurrió entre esa fecha y el auto de procesamiento, el tiempo cinco años que, de igual modo, permite considerar prescripta la acción penal. Por lo d</w:t>
      </w:r>
      <w:r>
        <w:rPr>
          <w:bCs/>
        </w:rPr>
        <w:t>e</w:t>
      </w:r>
      <w:r>
        <w:rPr>
          <w:bCs/>
        </w:rPr>
        <w:t>más, dijo, también operó la extinción de la acción en el supuesto de que se entienda como acto interruptivo, la i</w:t>
      </w:r>
      <w:r>
        <w:rPr>
          <w:bCs/>
        </w:rPr>
        <w:t>n</w:t>
      </w:r>
      <w:r>
        <w:rPr>
          <w:bCs/>
        </w:rPr>
        <w:t>dagatoria prestada en se</w:t>
      </w:r>
      <w:r>
        <w:rPr>
          <w:bCs/>
        </w:rPr>
        <w:t>p</w:t>
      </w:r>
      <w:r>
        <w:rPr>
          <w:bCs/>
        </w:rPr>
        <w:t>tiembre de 1996.</w:t>
      </w:r>
    </w:p>
    <w:p w:rsidR="00224567" w:rsidRDefault="00224567">
      <w:pPr>
        <w:pStyle w:val="Textoindependiente"/>
        <w:tabs>
          <w:tab w:val="left" w:pos="2835"/>
        </w:tabs>
        <w:spacing w:line="600" w:lineRule="auto"/>
        <w:rPr>
          <w:bCs/>
        </w:rPr>
      </w:pPr>
      <w:r>
        <w:rPr>
          <w:bCs/>
        </w:rPr>
        <w:tab/>
        <w:t>El defensor también requirió la libre absol</w:t>
      </w:r>
      <w:r>
        <w:rPr>
          <w:bCs/>
        </w:rPr>
        <w:t>u</w:t>
      </w:r>
      <w:r>
        <w:rPr>
          <w:bCs/>
        </w:rPr>
        <w:t>ción de su pupilo, en virtud de la extensión del trámite de la causa de mención, en la que nunca fue i</w:t>
      </w:r>
      <w:r>
        <w:rPr>
          <w:bCs/>
        </w:rPr>
        <w:t>n</w:t>
      </w:r>
      <w:r>
        <w:rPr>
          <w:bCs/>
        </w:rPr>
        <w:t xml:space="preserve">dagado. En abono de su postura señaló, entre otros, el precedente “Mattei” de </w:t>
      </w:r>
      <w:smartTag w:uri="urn:schemas-microsoft-com:office:smarttags" w:element="PersonName">
        <w:smartTagPr>
          <w:attr w:name="ProductID" w:val="la Corte Suprema"/>
        </w:smartTagPr>
        <w:r>
          <w:rPr>
            <w:bCs/>
          </w:rPr>
          <w:t>la Corte Suprema</w:t>
        </w:r>
      </w:smartTag>
      <w:r>
        <w:rPr>
          <w:bCs/>
        </w:rPr>
        <w:t xml:space="preserve"> de Justicia de </w:t>
      </w:r>
      <w:smartTag w:uri="urn:schemas-microsoft-com:office:smarttags" w:element="PersonName">
        <w:smartTagPr>
          <w:attr w:name="ProductID" w:val="la Naci￳n."/>
        </w:smartTagPr>
        <w:r>
          <w:rPr>
            <w:bCs/>
          </w:rPr>
          <w:t>la N</w:t>
        </w:r>
        <w:r>
          <w:rPr>
            <w:bCs/>
          </w:rPr>
          <w:t>a</w:t>
        </w:r>
        <w:r>
          <w:rPr>
            <w:bCs/>
          </w:rPr>
          <w:t>ción.</w:t>
        </w:r>
      </w:smartTag>
    </w:p>
    <w:p w:rsidR="00224567" w:rsidRDefault="00224567">
      <w:pPr>
        <w:pStyle w:val="Textoindependiente"/>
        <w:tabs>
          <w:tab w:val="left" w:pos="2835"/>
        </w:tabs>
        <w:spacing w:line="600" w:lineRule="auto"/>
        <w:rPr>
          <w:bCs/>
        </w:rPr>
      </w:pPr>
      <w:r>
        <w:rPr>
          <w:bCs/>
        </w:rPr>
        <w:tab/>
        <w:t>En otro orden de ideas, el defensor sostuvo que si bien Bareiro no participó en la detención de Hugo Pérez, reconoció, en cambio, la motivación económica que guió el procedimiento llevado a cabo el 14 de julio de 1994. Luego de la fuga de Telleldín, señaló, su asistido se retiró del lugar.</w:t>
      </w:r>
    </w:p>
    <w:p w:rsidR="00224567" w:rsidRDefault="00224567">
      <w:pPr>
        <w:pStyle w:val="Textoindependiente"/>
        <w:tabs>
          <w:tab w:val="left" w:pos="2835"/>
        </w:tabs>
        <w:spacing w:line="600" w:lineRule="auto"/>
      </w:pPr>
      <w:r>
        <w:tab/>
        <w:t>La intervención previa que cupo a su ma</w:t>
      </w:r>
      <w:r>
        <w:t>n</w:t>
      </w:r>
      <w:r>
        <w:t>dante en el procedimiento del 14 de julio de 1994, indicó el l</w:t>
      </w:r>
      <w:r>
        <w:t>e</w:t>
      </w:r>
      <w:r>
        <w:t>trado, fue la de intermediario entre la información obten</w:t>
      </w:r>
      <w:r>
        <w:t>i</w:t>
      </w:r>
      <w:r>
        <w:t>da por Diego Barreda sobre las actividades ilícitas de T</w:t>
      </w:r>
      <w:r>
        <w:t>e</w:t>
      </w:r>
      <w:r>
        <w:t>lleldín y su transmisión a la brigada en la que prestaba servicios para llevar a cabo el procedimiento.</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Señaló el defensor que Bareiro conc</w:t>
      </w:r>
      <w:r>
        <w:rPr>
          <w:rFonts w:ascii="Courier New" w:hAnsi="Courier New" w:cs="Courier New"/>
        </w:rPr>
        <w:t>u</w:t>
      </w:r>
      <w:r>
        <w:rPr>
          <w:rFonts w:ascii="Courier New" w:hAnsi="Courier New" w:cs="Courier New"/>
        </w:rPr>
        <w:t>rrió al lugar convocado por su superior con el solo obj</w:t>
      </w:r>
      <w:r>
        <w:rPr>
          <w:rFonts w:ascii="Courier New" w:hAnsi="Courier New" w:cs="Courier New"/>
        </w:rPr>
        <w:t>e</w:t>
      </w:r>
      <w:r>
        <w:rPr>
          <w:rFonts w:ascii="Courier New" w:hAnsi="Courier New" w:cs="Courier New"/>
        </w:rPr>
        <w:t>tivo de indicar a Carlos Alberto Telleldín y, tras el frustrado intento por detenerlo, se retiró, no encontrá</w:t>
      </w:r>
      <w:r>
        <w:rPr>
          <w:rFonts w:ascii="Courier New" w:hAnsi="Courier New" w:cs="Courier New"/>
        </w:rPr>
        <w:t>n</w:t>
      </w:r>
      <w:r>
        <w:rPr>
          <w:rFonts w:ascii="Courier New" w:hAnsi="Courier New" w:cs="Courier New"/>
        </w:rPr>
        <w:t>dose presente al momento en que Hugo Antonio Pérez fue i</w:t>
      </w:r>
      <w:r>
        <w:rPr>
          <w:rFonts w:ascii="Courier New" w:hAnsi="Courier New" w:cs="Courier New"/>
        </w:rPr>
        <w:t>n</w:t>
      </w:r>
      <w:r>
        <w:rPr>
          <w:rFonts w:ascii="Courier New" w:hAnsi="Courier New" w:cs="Courier New"/>
        </w:rPr>
        <w:t>terceptado y conducido a la br</w:t>
      </w:r>
      <w:r>
        <w:rPr>
          <w:rFonts w:ascii="Courier New" w:hAnsi="Courier New" w:cs="Courier New"/>
        </w:rPr>
        <w:t>i</w:t>
      </w:r>
      <w:r>
        <w:rPr>
          <w:rFonts w:ascii="Courier New" w:hAnsi="Courier New" w:cs="Courier New"/>
        </w:rPr>
        <w:t>gada.</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Ese extremo, indicó, se corroboró por los dichos de los integrantes del grupo operativo que ej</w:t>
      </w:r>
      <w:r>
        <w:rPr>
          <w:rFonts w:ascii="Courier New" w:hAnsi="Courier New" w:cs="Courier New"/>
        </w:rPr>
        <w:t>e</w:t>
      </w:r>
      <w:r>
        <w:rPr>
          <w:rFonts w:ascii="Courier New" w:hAnsi="Courier New" w:cs="Courier New"/>
        </w:rPr>
        <w:t>cutó tales tareas: Argentino Gabriel Lasala, Anastasio Ireneo Leal y Manuel Enrique García.</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En cuanto a los dichos de su asistido del 13 de julio de 1996, oportunidad en que reconoció h</w:t>
      </w:r>
      <w:r>
        <w:rPr>
          <w:rFonts w:ascii="Courier New" w:hAnsi="Courier New" w:cs="Courier New"/>
        </w:rPr>
        <w:t>a</w:t>
      </w:r>
      <w:r>
        <w:rPr>
          <w:rFonts w:ascii="Courier New" w:hAnsi="Courier New" w:cs="Courier New"/>
        </w:rPr>
        <w:t>ber estado presente en el lugar al momento de la dete</w:t>
      </w:r>
      <w:r>
        <w:rPr>
          <w:rFonts w:ascii="Courier New" w:hAnsi="Courier New" w:cs="Courier New"/>
        </w:rPr>
        <w:t>n</w:t>
      </w:r>
      <w:r>
        <w:rPr>
          <w:rFonts w:ascii="Courier New" w:hAnsi="Courier New" w:cs="Courier New"/>
        </w:rPr>
        <w:t>ción de Pérez, el defensor señaló que, en realidad, Bareiro s</w:t>
      </w:r>
      <w:r>
        <w:rPr>
          <w:rFonts w:ascii="Courier New" w:hAnsi="Courier New" w:cs="Courier New"/>
        </w:rPr>
        <w:t>u</w:t>
      </w:r>
      <w:r>
        <w:rPr>
          <w:rFonts w:ascii="Courier New" w:hAnsi="Courier New" w:cs="Courier New"/>
        </w:rPr>
        <w:t>frió intimidaciones morales al momento de su interrogat</w:t>
      </w:r>
      <w:r>
        <w:rPr>
          <w:rFonts w:ascii="Courier New" w:hAnsi="Courier New" w:cs="Courier New"/>
        </w:rPr>
        <w:t>o</w:t>
      </w:r>
      <w:r>
        <w:rPr>
          <w:rFonts w:ascii="Courier New" w:hAnsi="Courier New" w:cs="Courier New"/>
        </w:rPr>
        <w:t>rio. Consideró, al respecto, que su confesión se re</w:t>
      </w:r>
      <w:r>
        <w:rPr>
          <w:rFonts w:ascii="Courier New" w:hAnsi="Courier New" w:cs="Courier New"/>
        </w:rPr>
        <w:t>a</w:t>
      </w:r>
      <w:r>
        <w:rPr>
          <w:rFonts w:ascii="Courier New" w:hAnsi="Courier New" w:cs="Courier New"/>
        </w:rPr>
        <w:t>lizó a cambio de promesas o dádivas.</w:t>
      </w:r>
    </w:p>
    <w:p w:rsidR="00224567" w:rsidRDefault="00224567">
      <w:pPr>
        <w:pStyle w:val="Sangra2detindependiente"/>
        <w:widowControl w:val="0"/>
        <w:tabs>
          <w:tab w:val="left" w:pos="2835"/>
        </w:tabs>
        <w:spacing w:line="600" w:lineRule="auto"/>
        <w:ind w:firstLine="0"/>
        <w:rPr>
          <w:szCs w:val="40"/>
        </w:rPr>
      </w:pPr>
      <w:r>
        <w:rPr>
          <w:szCs w:val="40"/>
        </w:rPr>
        <w:tab/>
        <w:t>Sostuvo el letrado que, en el caso, se encue</w:t>
      </w:r>
      <w:r>
        <w:rPr>
          <w:szCs w:val="40"/>
        </w:rPr>
        <w:t>n</w:t>
      </w:r>
      <w:r>
        <w:rPr>
          <w:szCs w:val="40"/>
        </w:rPr>
        <w:t>tra en juego el principio de incoercibilidad de la conf</w:t>
      </w:r>
      <w:r>
        <w:rPr>
          <w:szCs w:val="40"/>
        </w:rPr>
        <w:t>e</w:t>
      </w:r>
      <w:r>
        <w:rPr>
          <w:szCs w:val="40"/>
        </w:rPr>
        <w:t>sión, ya que el error en que incurrió Bareiro fue provoc</w:t>
      </w:r>
      <w:r>
        <w:rPr>
          <w:szCs w:val="40"/>
        </w:rPr>
        <w:t>a</w:t>
      </w:r>
      <w:r>
        <w:rPr>
          <w:szCs w:val="40"/>
        </w:rPr>
        <w:t>do por la deliberada actitud de quien lo interrogó, pues “no es descabellado suponer que en esta causa y a cambio de prebendas proces</w:t>
      </w:r>
      <w:r>
        <w:rPr>
          <w:szCs w:val="40"/>
        </w:rPr>
        <w:t>a</w:t>
      </w:r>
      <w:r>
        <w:rPr>
          <w:szCs w:val="40"/>
        </w:rPr>
        <w:t>les, la resolución del juez posterior a la indagatoria podía tener un contenido u otro... subo</w:t>
      </w:r>
      <w:r>
        <w:rPr>
          <w:szCs w:val="40"/>
        </w:rPr>
        <w:t>r</w:t>
      </w:r>
      <w:r>
        <w:rPr>
          <w:szCs w:val="40"/>
        </w:rPr>
        <w:t>dinado al relato del ocasional imputado”.</w:t>
      </w:r>
    </w:p>
    <w:p w:rsidR="00224567" w:rsidRDefault="00224567">
      <w:pPr>
        <w:pStyle w:val="Textoindependiente2"/>
        <w:widowControl w:val="0"/>
        <w:tabs>
          <w:tab w:val="left" w:pos="2835"/>
        </w:tabs>
        <w:rPr>
          <w:rFonts w:ascii="Courier New" w:hAnsi="Courier New" w:cs="Courier New"/>
          <w:szCs w:val="40"/>
        </w:rPr>
      </w:pPr>
      <w:r>
        <w:rPr>
          <w:rFonts w:ascii="Courier New" w:hAnsi="Courier New" w:cs="Courier New"/>
          <w:szCs w:val="40"/>
        </w:rPr>
        <w:tab/>
        <w:t>Sobre el particular, agregó que “el razonable estado de nerviosismo provocado por este r</w:t>
      </w:r>
      <w:r>
        <w:rPr>
          <w:rFonts w:ascii="Courier New" w:hAnsi="Courier New" w:cs="Courier New"/>
          <w:szCs w:val="40"/>
        </w:rPr>
        <w:t>é</w:t>
      </w:r>
      <w:r>
        <w:rPr>
          <w:rFonts w:ascii="Courier New" w:hAnsi="Courier New" w:cs="Courier New"/>
          <w:szCs w:val="40"/>
        </w:rPr>
        <w:t>gimen peculiar de recibir declaración, la presión psicológica que supone y los beneficios que a cambio de delaciones se rechazan, generan un estado de confusión que posibilitan la defectuosa percepción de la real</w:t>
      </w:r>
      <w:r>
        <w:rPr>
          <w:rFonts w:ascii="Courier New" w:hAnsi="Courier New" w:cs="Courier New"/>
          <w:szCs w:val="40"/>
        </w:rPr>
        <w:t>i</w:t>
      </w:r>
      <w:r>
        <w:rPr>
          <w:rFonts w:ascii="Courier New" w:hAnsi="Courier New" w:cs="Courier New"/>
          <w:szCs w:val="40"/>
        </w:rPr>
        <w:t>dad”.</w:t>
      </w:r>
    </w:p>
    <w:p w:rsidR="00224567" w:rsidRDefault="00224567">
      <w:pPr>
        <w:pStyle w:val="Textoindependiente2"/>
        <w:widowControl w:val="0"/>
        <w:tabs>
          <w:tab w:val="left" w:pos="2835"/>
        </w:tabs>
        <w:rPr>
          <w:rStyle w:val="Textoennegrita"/>
          <w:rFonts w:ascii="Courier New" w:hAnsi="Courier New" w:cs="Courier New"/>
          <w:b w:val="0"/>
          <w:bCs w:val="0"/>
        </w:rPr>
      </w:pPr>
      <w:r>
        <w:rPr>
          <w:rFonts w:ascii="Courier New" w:hAnsi="Courier New" w:cs="Courier New"/>
        </w:rPr>
        <w:tab/>
        <w:t>El letrado discrepó con el encuadre legal que de la conducta de su asistido efectuó la fisc</w:t>
      </w:r>
      <w:r>
        <w:rPr>
          <w:rFonts w:ascii="Courier New" w:hAnsi="Courier New" w:cs="Courier New"/>
        </w:rPr>
        <w:t>a</w:t>
      </w:r>
      <w:r>
        <w:rPr>
          <w:rFonts w:ascii="Courier New" w:hAnsi="Courier New" w:cs="Courier New"/>
        </w:rPr>
        <w:t>lía, por considerar que ésta, en todo caso, recaía bajo la figura de cohecho. En ese sentido, señaló que en modo a</w:t>
      </w:r>
      <w:r>
        <w:rPr>
          <w:rFonts w:ascii="Courier New" w:hAnsi="Courier New" w:cs="Courier New"/>
        </w:rPr>
        <w:t>l</w:t>
      </w:r>
      <w:r>
        <w:rPr>
          <w:rFonts w:ascii="Courier New" w:hAnsi="Courier New" w:cs="Courier New"/>
        </w:rPr>
        <w:t xml:space="preserve">guno se acreditó que Bareiro </w:t>
      </w:r>
      <w:r>
        <w:rPr>
          <w:rStyle w:val="Textoennegrita"/>
          <w:rFonts w:ascii="Courier New" w:hAnsi="Courier New" w:cs="Courier New"/>
          <w:b w:val="0"/>
          <w:bCs w:val="0"/>
        </w:rPr>
        <w:t>“haya aportado nada parecido a presión psicológica o demanda imperiosa ni de poder co</w:t>
      </w:r>
      <w:r>
        <w:rPr>
          <w:rStyle w:val="Textoennegrita"/>
          <w:rFonts w:ascii="Courier New" w:hAnsi="Courier New" w:cs="Courier New"/>
          <w:b w:val="0"/>
          <w:bCs w:val="0"/>
        </w:rPr>
        <w:t>m</w:t>
      </w:r>
      <w:r>
        <w:rPr>
          <w:rStyle w:val="Textoennegrita"/>
          <w:rFonts w:ascii="Courier New" w:hAnsi="Courier New" w:cs="Courier New"/>
          <w:b w:val="0"/>
          <w:bCs w:val="0"/>
        </w:rPr>
        <w:t>pulsivo de una potestad funci</w:t>
      </w:r>
      <w:r>
        <w:rPr>
          <w:rStyle w:val="Textoennegrita"/>
          <w:rFonts w:ascii="Courier New" w:hAnsi="Courier New" w:cs="Courier New"/>
          <w:b w:val="0"/>
          <w:bCs w:val="0"/>
        </w:rPr>
        <w:t>o</w:t>
      </w:r>
      <w:r>
        <w:rPr>
          <w:rStyle w:val="Textoennegrita"/>
          <w:rFonts w:ascii="Courier New" w:hAnsi="Courier New" w:cs="Courier New"/>
          <w:b w:val="0"/>
          <w:bCs w:val="0"/>
        </w:rPr>
        <w:t>nal”.</w:t>
      </w:r>
    </w:p>
    <w:p w:rsidR="00224567" w:rsidRDefault="00224567">
      <w:pPr>
        <w:pStyle w:val="Textoindependiente2"/>
        <w:widowControl w:val="0"/>
        <w:tabs>
          <w:tab w:val="left" w:pos="2835"/>
        </w:tabs>
        <w:rPr>
          <w:rFonts w:ascii="Courier New" w:hAnsi="Courier New" w:cs="Courier New"/>
          <w:bCs/>
          <w:szCs w:val="40"/>
        </w:rPr>
      </w:pPr>
      <w:r>
        <w:rPr>
          <w:rStyle w:val="Textoennegrita"/>
          <w:rFonts w:ascii="Courier New" w:hAnsi="Courier New" w:cs="Courier New"/>
          <w:b w:val="0"/>
          <w:bCs w:val="0"/>
        </w:rPr>
        <w:tab/>
        <w:t>Sólo existió, dijo el abogado, “un llamado telefónico de una persona ubicada al margen de la ley, ignorante de la detención de su compañero, que requ</w:t>
      </w:r>
      <w:r>
        <w:rPr>
          <w:rStyle w:val="Textoennegrita"/>
          <w:rFonts w:ascii="Courier New" w:hAnsi="Courier New" w:cs="Courier New"/>
          <w:b w:val="0"/>
          <w:bCs w:val="0"/>
        </w:rPr>
        <w:t>i</w:t>
      </w:r>
      <w:r>
        <w:rPr>
          <w:rStyle w:val="Textoennegrita"/>
          <w:rFonts w:ascii="Courier New" w:hAnsi="Courier New" w:cs="Courier New"/>
          <w:b w:val="0"/>
          <w:bCs w:val="0"/>
        </w:rPr>
        <w:t>rió un arreglo espurio, el cual también espuriamente fue aceptado”.</w:t>
      </w:r>
    </w:p>
    <w:p w:rsidR="00224567" w:rsidRDefault="00224567">
      <w:pPr>
        <w:widowControl w:val="0"/>
        <w:tabs>
          <w:tab w:val="left" w:pos="2835"/>
        </w:tabs>
        <w:rPr>
          <w:bCs/>
        </w:rPr>
      </w:pPr>
      <w:r>
        <w:rPr>
          <w:bCs/>
        </w:rPr>
        <w:tab/>
        <w:t>En orden al delito de asociación il</w:t>
      </w:r>
      <w:r>
        <w:rPr>
          <w:bCs/>
        </w:rPr>
        <w:t>í</w:t>
      </w:r>
      <w:r>
        <w:rPr>
          <w:bCs/>
        </w:rPr>
        <w:t>cita que se imputó a su defendido, el defensor solicitó la absolución de culpa y cargo, en virtud de la falta de a</w:t>
      </w:r>
      <w:r>
        <w:rPr>
          <w:bCs/>
        </w:rPr>
        <w:t>u</w:t>
      </w:r>
      <w:r>
        <w:rPr>
          <w:bCs/>
        </w:rPr>
        <w:t>tosuficiencia, completividad, precisión y claridad del alegato fiscal.</w:t>
      </w:r>
    </w:p>
    <w:p w:rsidR="00224567" w:rsidRDefault="00224567">
      <w:pPr>
        <w:widowControl w:val="0"/>
        <w:tabs>
          <w:tab w:val="left" w:pos="2835"/>
        </w:tabs>
        <w:rPr>
          <w:bCs/>
        </w:rPr>
      </w:pPr>
      <w:r>
        <w:rPr>
          <w:bCs/>
        </w:rPr>
        <w:tab/>
        <w:t>Al respecto, sostuvo que la ac</w:t>
      </w:r>
      <w:r>
        <w:rPr>
          <w:bCs/>
        </w:rPr>
        <w:t>u</w:t>
      </w:r>
      <w:r>
        <w:rPr>
          <w:bCs/>
        </w:rPr>
        <w:t>sación no pudo demostrar el pacto asociativo sin el cual no hay delito, que incurrió en numerosos contrasentidos, que no aludió a prueba alguna, que se limitó a enumerar el</w:t>
      </w:r>
      <w:r>
        <w:rPr>
          <w:bCs/>
        </w:rPr>
        <w:t>e</w:t>
      </w:r>
      <w:r>
        <w:rPr>
          <w:bCs/>
        </w:rPr>
        <w:t>mentos del tipo, sin describir el hecho, que se basó en afirm</w:t>
      </w:r>
      <w:r>
        <w:rPr>
          <w:bCs/>
        </w:rPr>
        <w:t>a</w:t>
      </w:r>
      <w:r>
        <w:rPr>
          <w:bCs/>
        </w:rPr>
        <w:t>ciones dogmáticas y sólo mencionó las conclusiones sin e</w:t>
      </w:r>
      <w:r>
        <w:rPr>
          <w:bCs/>
        </w:rPr>
        <w:t>x</w:t>
      </w:r>
      <w:r>
        <w:rPr>
          <w:bCs/>
        </w:rPr>
        <w:t>plicar de qué modo llegó a ellas.</w:t>
      </w:r>
    </w:p>
    <w:p w:rsidR="00224567" w:rsidRDefault="00224567">
      <w:pPr>
        <w:widowControl w:val="0"/>
        <w:tabs>
          <w:tab w:val="left" w:pos="2835"/>
        </w:tabs>
        <w:rPr>
          <w:bCs/>
        </w:rPr>
      </w:pPr>
      <w:r>
        <w:rPr>
          <w:bCs/>
        </w:rPr>
        <w:tab/>
        <w:t>Señaló que “la escasez pomposa del r</w:t>
      </w:r>
      <w:r>
        <w:rPr>
          <w:bCs/>
        </w:rPr>
        <w:t>e</w:t>
      </w:r>
      <w:r>
        <w:rPr>
          <w:bCs/>
        </w:rPr>
        <w:t>trato contenido en la acusación sólo consiste en repet</w:t>
      </w:r>
      <w:r>
        <w:rPr>
          <w:bCs/>
        </w:rPr>
        <w:t>i</w:t>
      </w:r>
      <w:r>
        <w:rPr>
          <w:bCs/>
        </w:rPr>
        <w:t>ciones escolares absolutamente previsibles para los mie</w:t>
      </w:r>
      <w:r>
        <w:rPr>
          <w:bCs/>
        </w:rPr>
        <w:t>m</w:t>
      </w:r>
      <w:r>
        <w:rPr>
          <w:bCs/>
        </w:rPr>
        <w:t>bros del tribunal”.</w:t>
      </w:r>
    </w:p>
    <w:p w:rsidR="00224567" w:rsidRDefault="00224567">
      <w:pPr>
        <w:widowControl w:val="0"/>
        <w:tabs>
          <w:tab w:val="left" w:pos="2835"/>
        </w:tabs>
        <w:rPr>
          <w:bCs/>
        </w:rPr>
      </w:pPr>
      <w:r>
        <w:tab/>
        <w:t>Sobre la base de las consideraciones efectuadas, el Dr. Guillermo Lozano solicitó la libre a</w:t>
      </w:r>
      <w:r>
        <w:t>b</w:t>
      </w:r>
      <w:r>
        <w:t>solución de culpa y cargo de Mario Norberto Bareiro en o</w:t>
      </w:r>
      <w:r>
        <w:t>r</w:t>
      </w:r>
      <w:r>
        <w:t>den a los</w:t>
      </w:r>
      <w:r>
        <w:rPr>
          <w:bCs/>
        </w:rPr>
        <w:t xml:space="preserve"> delitos de homicidio calificado, secuestro e</w:t>
      </w:r>
      <w:r>
        <w:rPr>
          <w:bCs/>
        </w:rPr>
        <w:t>x</w:t>
      </w:r>
      <w:r>
        <w:rPr>
          <w:bCs/>
        </w:rPr>
        <w:t>torsivo, privación ilegal de la libertad, extorsión y as</w:t>
      </w:r>
      <w:r>
        <w:rPr>
          <w:bCs/>
        </w:rPr>
        <w:t>o</w:t>
      </w:r>
      <w:r>
        <w:rPr>
          <w:bCs/>
        </w:rPr>
        <w:t>ciación ilícita y la extinción de la acción penal por prescripción respecto del delito de pr</w:t>
      </w:r>
      <w:r>
        <w:rPr>
          <w:bCs/>
        </w:rPr>
        <w:t>i</w:t>
      </w:r>
      <w:r>
        <w:rPr>
          <w:bCs/>
        </w:rPr>
        <w:t>vación ilegítima de la libertad, en grado de tentativa.</w:t>
      </w:r>
    </w:p>
    <w:p w:rsidR="00224567" w:rsidRDefault="00224567">
      <w:pPr>
        <w:widowControl w:val="0"/>
        <w:tabs>
          <w:tab w:val="left" w:pos="2835"/>
        </w:tabs>
        <w:rPr>
          <w:bCs/>
        </w:rPr>
      </w:pPr>
      <w:r>
        <w:rPr>
          <w:bCs/>
        </w:rPr>
        <w:tab/>
        <w:t>Respecto de sus asistidos Oscar Eus</w:t>
      </w:r>
      <w:r>
        <w:rPr>
          <w:bCs/>
        </w:rPr>
        <w:t>e</w:t>
      </w:r>
      <w:r>
        <w:rPr>
          <w:bCs/>
        </w:rPr>
        <w:t>bio Bacigalupo y José Miguel Arancibia, también solicitó la absolución de culpa y cargo en orden al delito de as</w:t>
      </w:r>
      <w:r>
        <w:rPr>
          <w:bCs/>
        </w:rPr>
        <w:t>o</w:t>
      </w:r>
      <w:r>
        <w:rPr>
          <w:bCs/>
        </w:rPr>
        <w:t>ciación ilícita.</w:t>
      </w:r>
    </w:p>
    <w:p w:rsidR="00224567" w:rsidRDefault="00224567">
      <w:pPr>
        <w:widowControl w:val="0"/>
        <w:tabs>
          <w:tab w:val="left" w:pos="2835"/>
        </w:tabs>
        <w:rPr>
          <w:bCs/>
        </w:rPr>
      </w:pPr>
      <w:r>
        <w:rPr>
          <w:noProof/>
        </w:rPr>
        <w:tab/>
        <w:t xml:space="preserve">Seguidamente, el Dr. Sergio Raúl Moreno, en base a las argumentaciones y citas de resoluciones que expuso en su alegato, consideró que la acusación fiscal adolece de un doble problema que inhabilita de manera absoluta al Tribunal dictar una sentencia condenatoria respecto de </w:t>
      </w:r>
      <w:r>
        <w:rPr>
          <w:bCs/>
        </w:rPr>
        <w:t>Oscar Eusebio Bacigal</w:t>
      </w:r>
      <w:r>
        <w:rPr>
          <w:bCs/>
        </w:rPr>
        <w:t>u</w:t>
      </w:r>
      <w:r>
        <w:rPr>
          <w:bCs/>
        </w:rPr>
        <w:t>po y José Miguel Arancibia.</w:t>
      </w:r>
    </w:p>
    <w:p w:rsidR="00224567" w:rsidRDefault="00224567">
      <w:pPr>
        <w:widowControl w:val="0"/>
        <w:tabs>
          <w:tab w:val="left" w:pos="2835"/>
        </w:tabs>
        <w:rPr>
          <w:bCs/>
          <w:lang w:val="es-AR"/>
        </w:rPr>
      </w:pPr>
      <w:r>
        <w:rPr>
          <w:bCs/>
        </w:rPr>
        <w:tab/>
        <w:t xml:space="preserve">Sostuvo que </w:t>
      </w:r>
      <w:r>
        <w:rPr>
          <w:bCs/>
          <w:lang w:val="es-AR"/>
        </w:rPr>
        <w:t>si se considera incluido el hecho constitutivo del delito de falsedad ideológica que los fiscales imputaron a ambos, dentro de los que fu</w:t>
      </w:r>
      <w:r>
        <w:rPr>
          <w:bCs/>
          <w:lang w:val="es-AR"/>
        </w:rPr>
        <w:t>e</w:t>
      </w:r>
      <w:r>
        <w:rPr>
          <w:bCs/>
          <w:lang w:val="es-AR"/>
        </w:rPr>
        <w:t>ron motivo de indagatoria, se impone su libre absolución en virtud de la resolución que dispuso su sobr</w:t>
      </w:r>
      <w:r>
        <w:rPr>
          <w:bCs/>
          <w:lang w:val="es-AR"/>
        </w:rPr>
        <w:t>e</w:t>
      </w:r>
      <w:r>
        <w:rPr>
          <w:bCs/>
          <w:lang w:val="es-AR"/>
        </w:rPr>
        <w:t>seimiento, dictada en octubre de 2003. Obrar de otro modo, dijo, i</w:t>
      </w:r>
      <w:r>
        <w:rPr>
          <w:bCs/>
          <w:lang w:val="es-AR"/>
        </w:rPr>
        <w:t>m</w:t>
      </w:r>
      <w:r>
        <w:rPr>
          <w:bCs/>
          <w:lang w:val="es-AR"/>
        </w:rPr>
        <w:t>plicaría la violación a la garantía constitucional que i</w:t>
      </w:r>
      <w:r>
        <w:rPr>
          <w:bCs/>
          <w:lang w:val="es-AR"/>
        </w:rPr>
        <w:t>m</w:t>
      </w:r>
      <w:r>
        <w:rPr>
          <w:bCs/>
          <w:lang w:val="es-AR"/>
        </w:rPr>
        <w:t>pide una doble persecución penal por el mismo hecho ya juzgado.</w:t>
      </w:r>
    </w:p>
    <w:p w:rsidR="00224567" w:rsidRDefault="00224567">
      <w:pPr>
        <w:widowControl w:val="0"/>
        <w:tabs>
          <w:tab w:val="left" w:pos="2835"/>
        </w:tabs>
        <w:rPr>
          <w:lang w:val="es-AR"/>
        </w:rPr>
      </w:pPr>
      <w:r>
        <w:rPr>
          <w:bCs/>
          <w:lang w:val="es-AR"/>
        </w:rPr>
        <w:tab/>
        <w:t xml:space="preserve">Del mismo modo, alegó, </w:t>
      </w:r>
      <w:r>
        <w:rPr>
          <w:lang w:val="es-AR"/>
        </w:rPr>
        <w:t>correspo</w:t>
      </w:r>
      <w:r>
        <w:rPr>
          <w:lang w:val="es-AR"/>
        </w:rPr>
        <w:t>n</w:t>
      </w:r>
      <w:r>
        <w:rPr>
          <w:lang w:val="es-AR"/>
        </w:rPr>
        <w:t>de su libre absolución teniendo en cuenta que la acusación fi</w:t>
      </w:r>
      <w:r>
        <w:rPr>
          <w:lang w:val="es-AR"/>
        </w:rPr>
        <w:t>s</w:t>
      </w:r>
      <w:r>
        <w:rPr>
          <w:lang w:val="es-AR"/>
        </w:rPr>
        <w:t>cal recreó la imputación que a su respecto pesaba hasta octubre de 2003, en relación a la participación de sus asistidos Arancibia y Bacigalupo en los hechos ocurridos el 4 de abril de 1994, por los cuales fueron sobreseídos de manera defin</w:t>
      </w:r>
      <w:r>
        <w:rPr>
          <w:lang w:val="es-AR"/>
        </w:rPr>
        <w:t>i</w:t>
      </w:r>
      <w:r>
        <w:rPr>
          <w:lang w:val="es-AR"/>
        </w:rPr>
        <w:t>tiva.</w:t>
      </w:r>
    </w:p>
    <w:p w:rsidR="00224567" w:rsidRDefault="00224567">
      <w:pPr>
        <w:widowControl w:val="0"/>
        <w:tabs>
          <w:tab w:val="left" w:pos="2835"/>
        </w:tabs>
        <w:rPr>
          <w:lang w:val="es-AR"/>
        </w:rPr>
      </w:pPr>
      <w:r>
        <w:rPr>
          <w:lang w:val="es-AR"/>
        </w:rPr>
        <w:tab/>
        <w:t>Por otra parte, señaló que de consid</w:t>
      </w:r>
      <w:r>
        <w:rPr>
          <w:lang w:val="es-AR"/>
        </w:rPr>
        <w:t>e</w:t>
      </w:r>
      <w:r>
        <w:rPr>
          <w:lang w:val="es-AR"/>
        </w:rPr>
        <w:t>rarse la falsedad ideológica como un hecho independiente no alcanzado por los resolutorios mencionados, debe tene</w:t>
      </w:r>
      <w:r>
        <w:rPr>
          <w:lang w:val="es-AR"/>
        </w:rPr>
        <w:t>r</w:t>
      </w:r>
      <w:r>
        <w:rPr>
          <w:lang w:val="es-AR"/>
        </w:rPr>
        <w:t>se en cuenta que esos hechos jamás fueron objeto de ind</w:t>
      </w:r>
      <w:r>
        <w:rPr>
          <w:lang w:val="es-AR"/>
        </w:rPr>
        <w:t>a</w:t>
      </w:r>
      <w:r>
        <w:rPr>
          <w:lang w:val="es-AR"/>
        </w:rPr>
        <w:t>gatoria, ni debidamente detallados a sus representados a los efectos de la debida defensa, correspondiendo en co</w:t>
      </w:r>
      <w:r>
        <w:rPr>
          <w:lang w:val="es-AR"/>
        </w:rPr>
        <w:t>n</w:t>
      </w:r>
      <w:r>
        <w:rPr>
          <w:lang w:val="es-AR"/>
        </w:rPr>
        <w:t>secuencia su libre absolución. De manera contraria, arg</w:t>
      </w:r>
      <w:r>
        <w:rPr>
          <w:lang w:val="es-AR"/>
        </w:rPr>
        <w:t>u</w:t>
      </w:r>
      <w:r>
        <w:rPr>
          <w:lang w:val="es-AR"/>
        </w:rPr>
        <w:t>mentó, implicaría violar las garantías del debido pr</w:t>
      </w:r>
      <w:r>
        <w:rPr>
          <w:lang w:val="es-AR"/>
        </w:rPr>
        <w:t>o</w:t>
      </w:r>
      <w:r>
        <w:rPr>
          <w:lang w:val="es-AR"/>
        </w:rPr>
        <w:t>ceso y de la defensa en juicio.</w:t>
      </w:r>
    </w:p>
    <w:p w:rsidR="00224567" w:rsidRDefault="00224567">
      <w:pPr>
        <w:widowControl w:val="0"/>
        <w:tabs>
          <w:tab w:val="left" w:pos="2835"/>
        </w:tabs>
        <w:rPr>
          <w:lang w:val="es-AR"/>
        </w:rPr>
      </w:pPr>
      <w:r>
        <w:rPr>
          <w:lang w:val="es-AR"/>
        </w:rPr>
        <w:tab/>
        <w:t>Tampoco corresponde, dijo el defe</w:t>
      </w:r>
      <w:r>
        <w:rPr>
          <w:lang w:val="es-AR"/>
        </w:rPr>
        <w:t>n</w:t>
      </w:r>
      <w:r>
        <w:rPr>
          <w:lang w:val="es-AR"/>
        </w:rPr>
        <w:t>sor, retrotraer el proceso a etapas anteriores. Indagar a los nombrados por esos hechos, violaría también los principios de preclusión y progresividad del proceso penal.</w:t>
      </w:r>
    </w:p>
    <w:p w:rsidR="00224567" w:rsidRDefault="00224567">
      <w:pPr>
        <w:widowControl w:val="0"/>
        <w:tabs>
          <w:tab w:val="left" w:pos="2835"/>
        </w:tabs>
        <w:rPr>
          <w:lang w:val="es-AR"/>
        </w:rPr>
      </w:pPr>
      <w:r>
        <w:rPr>
          <w:lang w:val="es-AR"/>
        </w:rPr>
        <w:tab/>
        <w:t>En forma subsidiaria, impetró la e</w:t>
      </w:r>
      <w:r>
        <w:rPr>
          <w:lang w:val="es-AR"/>
        </w:rPr>
        <w:t>x</w:t>
      </w:r>
      <w:r>
        <w:rPr>
          <w:lang w:val="es-AR"/>
        </w:rPr>
        <w:t>cepción de falta de acción por prescripción, que operó respecto de los delitos de falsedad ideológica de docume</w:t>
      </w:r>
      <w:r>
        <w:rPr>
          <w:lang w:val="es-AR"/>
        </w:rPr>
        <w:t>n</w:t>
      </w:r>
      <w:r>
        <w:rPr>
          <w:lang w:val="es-AR"/>
        </w:rPr>
        <w:t>to público, imputados a Arancibia y Bacigalupo en la ac</w:t>
      </w:r>
      <w:r>
        <w:rPr>
          <w:lang w:val="es-AR"/>
        </w:rPr>
        <w:t>u</w:t>
      </w:r>
      <w:r>
        <w:rPr>
          <w:lang w:val="es-AR"/>
        </w:rPr>
        <w:t>sación final.</w:t>
      </w:r>
    </w:p>
    <w:p w:rsidR="00224567" w:rsidRDefault="00224567">
      <w:pPr>
        <w:widowControl w:val="0"/>
        <w:tabs>
          <w:tab w:val="left" w:pos="2835"/>
        </w:tabs>
        <w:rPr>
          <w:lang w:val="es-AR"/>
        </w:rPr>
      </w:pPr>
      <w:r>
        <w:rPr>
          <w:lang w:val="es-AR"/>
        </w:rPr>
        <w:tab/>
        <w:t>En el caso de Arancibia, señaló que el fiscal ha variado sorpresivamente la imput</w:t>
      </w:r>
      <w:r>
        <w:rPr>
          <w:lang w:val="es-AR"/>
        </w:rPr>
        <w:t>a</w:t>
      </w:r>
      <w:r>
        <w:rPr>
          <w:lang w:val="es-AR"/>
        </w:rPr>
        <w:t>ción que se le efectuó al momento de ser indagado, imposibil</w:t>
      </w:r>
      <w:r>
        <w:rPr>
          <w:lang w:val="es-AR"/>
        </w:rPr>
        <w:t>i</w:t>
      </w:r>
      <w:r>
        <w:rPr>
          <w:lang w:val="es-AR"/>
        </w:rPr>
        <w:t>tando de tal modo su efectiva defensa, razón por la cual solicitó su libre absolución.</w:t>
      </w:r>
    </w:p>
    <w:p w:rsidR="00224567" w:rsidRDefault="00224567">
      <w:pPr>
        <w:widowControl w:val="0"/>
        <w:tabs>
          <w:tab w:val="left" w:pos="2835"/>
        </w:tabs>
      </w:pPr>
      <w:r>
        <w:tab/>
        <w:t>No obstante lo expresado, el Dr. M</w:t>
      </w:r>
      <w:r>
        <w:t>o</w:t>
      </w:r>
      <w:r>
        <w:t>reno alegó respecto a la imputación efectuada por el ac</w:t>
      </w:r>
      <w:r>
        <w:t>u</w:t>
      </w:r>
      <w:r>
        <w:t>sador público a José Miguel Arancibia. Así, sobre la base de su argumentación, sostuvo que la declaración que su asistido tomó a Bautista Alberto Huici, obrante a fs. 201/202 de la causa nº 5681 del Juzgado Criminal nº 5 del Departamento Judicial de Quilmes, en oposición a lo afi</w:t>
      </w:r>
      <w:r>
        <w:t>r</w:t>
      </w:r>
      <w:r>
        <w:t>mado por la fiscalía, efectivamente había sido prestada en la fecha consignada en la actuación, esto es, el 14 de marzo de 1994.</w:t>
      </w:r>
    </w:p>
    <w:p w:rsidR="00224567" w:rsidRDefault="00224567">
      <w:pPr>
        <w:widowControl w:val="0"/>
        <w:tabs>
          <w:tab w:val="left" w:pos="2835"/>
        </w:tabs>
      </w:pPr>
      <w:r>
        <w:tab/>
        <w:t>Además, expresó que mas allá de la v</w:t>
      </w:r>
      <w:r>
        <w:t>e</w:t>
      </w:r>
      <w:r>
        <w:t>racidad o no de los dichos de Huici, el hecho de que Ara</w:t>
      </w:r>
      <w:r>
        <w:t>n</w:t>
      </w:r>
      <w:r>
        <w:t>cibia suscribiera esa actuación no otorgaba fe acerca de la verdad de su contenido, sino tan solo que el declarante se presentó, prestó te</w:t>
      </w:r>
      <w:r>
        <w:t>s</w:t>
      </w:r>
      <w:r>
        <w:t>timonio y expresó lo que se asentó en el acta. Tampoco se ha probado, ni el fiscal aportó elemento alguno, que su asistido con</w:t>
      </w:r>
      <w:r>
        <w:t>o</w:t>
      </w:r>
      <w:r>
        <w:t>ciera la falsedad del co</w:t>
      </w:r>
      <w:r>
        <w:t>n</w:t>
      </w:r>
      <w:r>
        <w:t>tenido de la declaración.</w:t>
      </w:r>
    </w:p>
    <w:p w:rsidR="00224567" w:rsidRDefault="00224567">
      <w:pPr>
        <w:pStyle w:val="Sangradetextonormal"/>
        <w:widowControl w:val="0"/>
        <w:tabs>
          <w:tab w:val="left" w:pos="2835"/>
        </w:tabs>
        <w:ind w:firstLine="0"/>
      </w:pPr>
      <w:r>
        <w:tab/>
        <w:t>Hizo referencia, por otro lado, a las presiones que declaró Bautista Alberto Huici haber recib</w:t>
      </w:r>
      <w:r>
        <w:t>i</w:t>
      </w:r>
      <w:r>
        <w:t>do por parte de su entonces abogado Guillermo Federico J</w:t>
      </w:r>
      <w:r>
        <w:t>o</w:t>
      </w:r>
      <w:r>
        <w:t>sé Domínguez, por la defensora de Alejandro Burguete, Dra. Marta Parascándalo, y por el comisario Luis Vicat para d</w:t>
      </w:r>
      <w:r>
        <w:t>e</w:t>
      </w:r>
      <w:r>
        <w:t>clarar en contra de Juan José Ribelli y desincriminar al comisario Burguete en los hechos investigados. Según dijo, por esa razón, Huici realizó manifestaciones en co</w:t>
      </w:r>
      <w:r>
        <w:t>n</w:t>
      </w:r>
      <w:r>
        <w:t>tra de sus consortes de causa que, por otro lado, la defensa co</w:t>
      </w:r>
      <w:r>
        <w:t>n</w:t>
      </w:r>
      <w:r>
        <w:t>sideró inverosímiles.</w:t>
      </w:r>
    </w:p>
    <w:p w:rsidR="00224567" w:rsidRDefault="00224567">
      <w:pPr>
        <w:pStyle w:val="Sangradetextonormal"/>
        <w:widowControl w:val="0"/>
        <w:tabs>
          <w:tab w:val="left" w:pos="2835"/>
        </w:tabs>
        <w:ind w:firstLine="0"/>
      </w:pPr>
      <w:r>
        <w:tab/>
        <w:t>En definitiva, según lo relató Huici, los nombrados le ofrecieron, a cambio de sus dichos, la libertad y la reincorporación a la fuerza policial, d</w:t>
      </w:r>
      <w:r>
        <w:t>i</w:t>
      </w:r>
      <w:r>
        <w:t>ciéndoles “fíjate que esto no es joda, el Juzgado cu</w:t>
      </w:r>
      <w:r>
        <w:t>m</w:t>
      </w:r>
      <w:r>
        <w:t>ple”, aludiendo a los beneficios que obtuvo Burguete por decl</w:t>
      </w:r>
      <w:r>
        <w:t>a</w:t>
      </w:r>
      <w:r>
        <w:t>rar en iguales términos.</w:t>
      </w:r>
    </w:p>
    <w:p w:rsidR="00224567" w:rsidRDefault="00224567">
      <w:pPr>
        <w:pStyle w:val="Sangradetextonormal"/>
        <w:widowControl w:val="0"/>
        <w:tabs>
          <w:tab w:val="left" w:pos="2835"/>
        </w:tabs>
        <w:ind w:firstLine="0"/>
      </w:pPr>
      <w:r>
        <w:tab/>
        <w:t>En este contexto deben analizarse los dichos de cargo formulados por Huici y Burguete, en tanto que la situación de éste estaba claramente dif</w:t>
      </w:r>
      <w:r>
        <w:t>e</w:t>
      </w:r>
      <w:r>
        <w:t xml:space="preserve">renciada de la del resto de los imputados, puesto que se benefició con la libertad y, a la fecha, presta servicio activo en </w:t>
      </w:r>
      <w:smartTag w:uri="urn:schemas-microsoft-com:office:smarttags" w:element="PersonName">
        <w:smartTagPr>
          <w:attr w:name="ProductID" w:val="la Polic￭a Bonaerense."/>
        </w:smartTagPr>
        <w:r>
          <w:t>la Policía Bonaerense.</w:t>
        </w:r>
      </w:smartTag>
    </w:p>
    <w:p w:rsidR="00224567" w:rsidRDefault="00224567">
      <w:pPr>
        <w:pStyle w:val="Sangradetextonormal"/>
        <w:widowControl w:val="0"/>
        <w:tabs>
          <w:tab w:val="left" w:pos="2835"/>
        </w:tabs>
        <w:ind w:firstLine="0"/>
      </w:pPr>
      <w:r>
        <w:tab/>
        <w:t>Expresó que la acusación omitió val</w:t>
      </w:r>
      <w:r>
        <w:t>o</w:t>
      </w:r>
      <w:r>
        <w:t>rar dicha circunstancia, como así también la primer ve</w:t>
      </w:r>
      <w:r>
        <w:t>r</w:t>
      </w:r>
      <w:r>
        <w:t>sión que, sobre los mismos hechos, brindó Huici el 17 de julio de 1996.</w:t>
      </w:r>
    </w:p>
    <w:p w:rsidR="00224567" w:rsidRDefault="00224567">
      <w:pPr>
        <w:pStyle w:val="Textoindependiente"/>
        <w:tabs>
          <w:tab w:val="left" w:pos="2835"/>
        </w:tabs>
        <w:spacing w:line="600" w:lineRule="auto"/>
      </w:pPr>
      <w:r>
        <w:rPr>
          <w:lang w:val="es-ES"/>
        </w:rPr>
        <w:tab/>
        <w:t xml:space="preserve">Por todo ello, solicitó </w:t>
      </w:r>
      <w:r>
        <w:t>la libre absolución de su defendido Arancibia.</w:t>
      </w:r>
    </w:p>
    <w:p w:rsidR="00224567" w:rsidRDefault="00224567">
      <w:pPr>
        <w:pStyle w:val="Sangradetextonormal"/>
        <w:widowControl w:val="0"/>
        <w:tabs>
          <w:tab w:val="left" w:pos="2835"/>
        </w:tabs>
        <w:spacing w:before="120" w:after="120"/>
        <w:ind w:firstLine="0"/>
      </w:pPr>
      <w:r>
        <w:tab/>
        <w:t>Respecto al delito de falsedad ideol</w:t>
      </w:r>
      <w:r>
        <w:t>ó</w:t>
      </w:r>
      <w:r>
        <w:t>gica del decreto de fs. 37.377 vta., imputado a Oscar E</w:t>
      </w:r>
      <w:r>
        <w:t>u</w:t>
      </w:r>
      <w:r>
        <w:t>sebio Bacigalupo, en primer orden, la defensa se agravió al considerar que el fiscal cometió un grave error mat</w:t>
      </w:r>
      <w:r>
        <w:t>e</w:t>
      </w:r>
      <w:r>
        <w:t>rial, en tanto que dicha constancia ninguna vinculación guarda con los hechos imputados a su asistido. En real</w:t>
      </w:r>
      <w:r>
        <w:t>i</w:t>
      </w:r>
      <w:r>
        <w:t>dad, expresó la defe</w:t>
      </w:r>
      <w:r>
        <w:t>n</w:t>
      </w:r>
      <w:r>
        <w:t>sa, el decreto al que debió aludir la fiscalía es el que obra a fs. 37.337 vta.</w:t>
      </w:r>
    </w:p>
    <w:p w:rsidR="00224567" w:rsidRDefault="00224567">
      <w:pPr>
        <w:pStyle w:val="Sangradetextonormal"/>
        <w:widowControl w:val="0"/>
        <w:tabs>
          <w:tab w:val="left" w:pos="2835"/>
        </w:tabs>
        <w:spacing w:before="120" w:after="120"/>
        <w:ind w:firstLine="0"/>
      </w:pPr>
      <w:r>
        <w:tab/>
        <w:t>Aclarado el punto, la defensa consid</w:t>
      </w:r>
      <w:r>
        <w:t>e</w:t>
      </w:r>
      <w:r>
        <w:t>ró falsos los pilares sobre los que el representante del Ministerio Público Fiscal basó su acusación; en ese sent</w:t>
      </w:r>
      <w:r>
        <w:t>i</w:t>
      </w:r>
      <w:r>
        <w:t>do, sostuvo, ninguna irregularidad existió durante el tr</w:t>
      </w:r>
      <w:r>
        <w:t>á</w:t>
      </w:r>
      <w:r>
        <w:t>mite de las actuaciones en la que intervino su represent</w:t>
      </w:r>
      <w:r>
        <w:t>a</w:t>
      </w:r>
      <w:r>
        <w:t>do, en tanto que se limitó a refrendar como secret</w:t>
      </w:r>
      <w:r>
        <w:t>a</w:t>
      </w:r>
      <w:r>
        <w:t>rio un decreto en el que se disponía la libertad de Sandra Marisa Petrucci y Carlos Alberto Teccedin, sobre la base de la información que surgió de la declaración testimonial de Raúl Edilio Ibarra, obrante a fs. 37.337.</w:t>
      </w:r>
    </w:p>
    <w:p w:rsidR="00224567" w:rsidRDefault="00224567">
      <w:pPr>
        <w:pStyle w:val="Sangradetextonormal"/>
        <w:widowControl w:val="0"/>
        <w:tabs>
          <w:tab w:val="left" w:pos="2835"/>
        </w:tabs>
        <w:spacing w:before="120" w:after="120"/>
        <w:ind w:firstLine="0"/>
      </w:pPr>
      <w:r>
        <w:tab/>
        <w:t xml:space="preserve">En esa constancia, dijo, el nombrado dejó asentado que el suboficial Vertúa, de </w:t>
      </w:r>
      <w:smartTag w:uri="urn:schemas-microsoft-com:office:smarttags" w:element="PersonName">
        <w:smartTagPr>
          <w:attr w:name="ProductID" w:val="la Secci￳n Informaciones"/>
        </w:smartTagPr>
        <w:r>
          <w:t>la Sección I</w:t>
        </w:r>
        <w:r>
          <w:t>n</w:t>
        </w:r>
        <w:r>
          <w:t>formaciones</w:t>
        </w:r>
      </w:smartTag>
      <w:r>
        <w:t xml:space="preserve"> de </w:t>
      </w:r>
      <w:smartTag w:uri="urn:schemas-microsoft-com:office:smarttags" w:element="PersonName">
        <w:smartTagPr>
          <w:attr w:name="ProductID" w:val="la Polic￭a Bonaerense"/>
        </w:smartTagPr>
        <w:r>
          <w:t>la Policía Bonaerense</w:t>
        </w:r>
      </w:smartTag>
      <w:r>
        <w:t>, informó que no se registraban captura respecto de los nombrados.</w:t>
      </w:r>
    </w:p>
    <w:p w:rsidR="00224567" w:rsidRDefault="00224567">
      <w:pPr>
        <w:pStyle w:val="Sangradetextonormal"/>
        <w:widowControl w:val="0"/>
        <w:tabs>
          <w:tab w:val="left" w:pos="2835"/>
        </w:tabs>
        <w:spacing w:before="120" w:after="120"/>
        <w:ind w:firstLine="0"/>
      </w:pPr>
      <w:r>
        <w:tab/>
        <w:t>Tras realizar una minuciosa enumer</w:t>
      </w:r>
      <w:r>
        <w:t>a</w:t>
      </w:r>
      <w:r>
        <w:t>ción de las actuaciones obrantes en la citada causa nº 5681 y de la prueba testimonial rendida en el debate, el defensor oficial afirmó que no se verificó la irregular</w:t>
      </w:r>
      <w:r>
        <w:t>i</w:t>
      </w:r>
      <w:r>
        <w:t>dad que sostuvo la fiscalía y sobre la cual basó su imp</w:t>
      </w:r>
      <w:r>
        <w:t>u</w:t>
      </w:r>
      <w:r>
        <w:t>tación, vinculada al trámite de dichas actuaciones. Así, dijo el letrado, era reglamentario y habitual el requer</w:t>
      </w:r>
      <w:r>
        <w:t>i</w:t>
      </w:r>
      <w:r>
        <w:t>miento en forma telefónica de información sobre antecede</w:t>
      </w:r>
      <w:r>
        <w:t>n</w:t>
      </w:r>
      <w:r>
        <w:t>tes o capturas por el nombre de los imputados y, en caso de no registrarlos, la inmediata l</w:t>
      </w:r>
      <w:r>
        <w:t>i</w:t>
      </w:r>
      <w:r>
        <w:t>bertad.</w:t>
      </w:r>
    </w:p>
    <w:p w:rsidR="00224567" w:rsidRDefault="00224567">
      <w:pPr>
        <w:pStyle w:val="Sangradetextonormal"/>
        <w:widowControl w:val="0"/>
        <w:tabs>
          <w:tab w:val="left" w:pos="2835"/>
        </w:tabs>
        <w:spacing w:before="120" w:after="120"/>
        <w:ind w:firstLine="0"/>
      </w:pPr>
      <w:r>
        <w:tab/>
        <w:t>Expresó que tras ello se remitían las fichas dactiloscópicas al organismo correspondiente, ub</w:t>
      </w:r>
      <w:r>
        <w:t>i</w:t>
      </w:r>
      <w:r>
        <w:t xml:space="preserve">cado en </w:t>
      </w:r>
      <w:smartTag w:uri="urn:schemas-microsoft-com:office:smarttags" w:element="PersonName">
        <w:smartTagPr>
          <w:attr w:name="ProductID" w:val="la Ciudad"/>
        </w:smartTagPr>
        <w:r>
          <w:t>la Ciudad</w:t>
        </w:r>
      </w:smartTag>
      <w:r>
        <w:t xml:space="preserve"> de </w:t>
      </w:r>
      <w:smartTag w:uri="urn:schemas-microsoft-com:office:smarttags" w:element="PersonName">
        <w:smartTagPr>
          <w:attr w:name="ProductID" w:val="La Plata"/>
        </w:smartTagPr>
        <w:r>
          <w:t>La Plata</w:t>
        </w:r>
      </w:smartTag>
      <w:r>
        <w:t>, siendo recibida la respe</w:t>
      </w:r>
      <w:r>
        <w:t>c</w:t>
      </w:r>
      <w:r>
        <w:t>tiva información transcurridos unos dos o cuatro días. Al respecto, señaló varios casos documentados tanto en el l</w:t>
      </w:r>
      <w:r>
        <w:t>i</w:t>
      </w:r>
      <w:r>
        <w:t>bro de guardia, c</w:t>
      </w:r>
      <w:r>
        <w:t>o</w:t>
      </w:r>
      <w:r>
        <w:t xml:space="preserve">mo en diversos sumarios por averiguación de antecedentes de </w:t>
      </w:r>
      <w:smartTag w:uri="urn:schemas-microsoft-com:office:smarttags" w:element="PersonName">
        <w:smartTagPr>
          <w:attr w:name="ProductID" w:val="la Brigada"/>
        </w:smartTagPr>
        <w:r>
          <w:t>la Brigada</w:t>
        </w:r>
      </w:smartTag>
      <w:r>
        <w:t xml:space="preserve"> de I</w:t>
      </w:r>
      <w:r>
        <w:t>n</w:t>
      </w:r>
      <w:r>
        <w:t>vestigaciones de Lanús, reservados en secretaría. Además, argumentó, resultaba m</w:t>
      </w:r>
      <w:r>
        <w:t>a</w:t>
      </w:r>
      <w:r>
        <w:t>terialmente imposible realizar el trámite en cuestión en el lapso de 24 horas en que la ley autorizaba a mantener detenida a una persona por averigu</w:t>
      </w:r>
      <w:r>
        <w:t>a</w:t>
      </w:r>
      <w:r>
        <w:t>ción de antecedentes.</w:t>
      </w:r>
    </w:p>
    <w:p w:rsidR="00224567" w:rsidRDefault="00224567">
      <w:pPr>
        <w:pStyle w:val="Sangradetextonormal"/>
        <w:widowControl w:val="0"/>
        <w:tabs>
          <w:tab w:val="left" w:pos="2835"/>
        </w:tabs>
        <w:spacing w:before="120" w:after="120"/>
        <w:ind w:firstLine="0"/>
      </w:pPr>
      <w:r>
        <w:tab/>
        <w:t>Por otra parte, cuestionó que la ac</w:t>
      </w:r>
      <w:r>
        <w:t>u</w:t>
      </w:r>
      <w:r>
        <w:t>sación fiscal, más allá de que imputó a su asistido el d</w:t>
      </w:r>
      <w:r>
        <w:t>e</w:t>
      </w:r>
      <w:r>
        <w:t>lito de falsedad ideológica, en todo momento se ref</w:t>
      </w:r>
      <w:r>
        <w:t>i</w:t>
      </w:r>
      <w:r>
        <w:t>rió a su intervención como funcional al plan de los p</w:t>
      </w:r>
      <w:r>
        <w:t>o</w:t>
      </w:r>
      <w:r>
        <w:t xml:space="preserve">licías de </w:t>
      </w:r>
      <w:smartTag w:uri="urn:schemas-microsoft-com:office:smarttags" w:element="PersonName">
        <w:smartTagPr>
          <w:attr w:name="ProductID" w:val="la Brigada"/>
        </w:smartTagPr>
        <w:r>
          <w:t>la Brigada</w:t>
        </w:r>
      </w:smartTag>
      <w:r>
        <w:t xml:space="preserve"> de Lanús, señalando que su actuación debía an</w:t>
      </w:r>
      <w:r>
        <w:t>a</w:t>
      </w:r>
      <w:r>
        <w:t>lizarse en el contexto de su conocimiento y voluntad de llevar a cabo la maniobra extorsiva. En este sentido, d</w:t>
      </w:r>
      <w:r>
        <w:t>i</w:t>
      </w:r>
      <w:r>
        <w:t>jo, el acusador recreó una imputación por el delito de e</w:t>
      </w:r>
      <w:r>
        <w:t>x</w:t>
      </w:r>
      <w:r>
        <w:t>torsión del 4 de abril de 1994, cuando, en realidad, su asistido fue sobreseído en o</w:t>
      </w:r>
      <w:r>
        <w:t>r</w:t>
      </w:r>
      <w:r>
        <w:t>den a ese hecho.</w:t>
      </w:r>
    </w:p>
    <w:p w:rsidR="00224567" w:rsidRDefault="00224567">
      <w:pPr>
        <w:widowControl w:val="0"/>
        <w:tabs>
          <w:tab w:val="left" w:pos="2835"/>
        </w:tabs>
      </w:pPr>
      <w:r>
        <w:tab/>
        <w:t>Por otra parte, indicó que el relato de la fiscalía no demostró que su representado tuviera c</w:t>
      </w:r>
      <w:r>
        <w:t>o</w:t>
      </w:r>
      <w:r>
        <w:t>nocimiento de la verdadera identidad de quien se pr</w:t>
      </w:r>
      <w:r>
        <w:t>e</w:t>
      </w:r>
      <w:r>
        <w:t>sentó como Carlos Alberto Teccedin, por qué razón era buscado, ni si tenía o no capturas v</w:t>
      </w:r>
      <w:r>
        <w:t>i</w:t>
      </w:r>
      <w:r>
        <w:t>gentes.</w:t>
      </w:r>
    </w:p>
    <w:p w:rsidR="00224567" w:rsidRDefault="00224567">
      <w:pPr>
        <w:widowControl w:val="0"/>
        <w:tabs>
          <w:tab w:val="left" w:pos="2835"/>
        </w:tabs>
      </w:pPr>
      <w:r>
        <w:tab/>
        <w:t>Máxime cuando, expresó la defe</w:t>
      </w:r>
      <w:r>
        <w:t>n</w:t>
      </w:r>
      <w:r>
        <w:t>sa, el fiscal general Miguel Ángel Romero, fundad</w:t>
      </w:r>
      <w:r>
        <w:t>a</w:t>
      </w:r>
      <w:r>
        <w:t>mente, tuvo por probado que Carlos Alberto Telleldín hizo uso de un Doc</w:t>
      </w:r>
      <w:r>
        <w:t>u</w:t>
      </w:r>
      <w:r>
        <w:t>mento Nacional de Identidad adulterado que lo acred</w:t>
      </w:r>
      <w:r>
        <w:t>i</w:t>
      </w:r>
      <w:r>
        <w:t>taba, falsamente, con un nombre distinto en innumerables ocasi</w:t>
      </w:r>
      <w:r>
        <w:t>o</w:t>
      </w:r>
      <w:r>
        <w:t xml:space="preserve">nes, entre ellas, al presentarse ante </w:t>
      </w:r>
      <w:smartTag w:uri="urn:schemas-microsoft-com:office:smarttags" w:element="PersonName">
        <w:smartTagPr>
          <w:attr w:name="ProductID" w:val="la Brigada"/>
        </w:smartTagPr>
        <w:r>
          <w:t>la Brigada</w:t>
        </w:r>
      </w:smartTag>
      <w:r>
        <w:t xml:space="preserve"> de Inve</w:t>
      </w:r>
      <w:r>
        <w:t>s</w:t>
      </w:r>
      <w:r>
        <w:t>tigaciones de Lanús el 4 de abril de 1994. Ello, dijo, sin perjuicio de la posterior rectificación de su colega A</w:t>
      </w:r>
      <w:r>
        <w:t>l</w:t>
      </w:r>
      <w:r>
        <w:t>berto Nisman.</w:t>
      </w:r>
    </w:p>
    <w:p w:rsidR="00224567" w:rsidRDefault="00224567">
      <w:pPr>
        <w:widowControl w:val="0"/>
        <w:tabs>
          <w:tab w:val="left" w:pos="2835"/>
        </w:tabs>
      </w:pPr>
      <w:r>
        <w:tab/>
        <w:t xml:space="preserve">El uso del documento adulterado en cuestión, sostuvo la defensa, </w:t>
      </w:r>
      <w:r>
        <w:rPr>
          <w:lang w:val="es-ES_tradnl"/>
        </w:rPr>
        <w:t>surge claramente del c</w:t>
      </w:r>
      <w:r>
        <w:rPr>
          <w:lang w:val="es-ES_tradnl"/>
        </w:rPr>
        <w:t>o</w:t>
      </w:r>
      <w:r>
        <w:rPr>
          <w:lang w:val="es-ES_tradnl"/>
        </w:rPr>
        <w:t>tejo de las constancias de la causa 5681, en la que se agreg</w:t>
      </w:r>
      <w:r>
        <w:rPr>
          <w:lang w:val="es-ES_tradnl"/>
        </w:rPr>
        <w:t>a</w:t>
      </w:r>
      <w:r>
        <w:rPr>
          <w:lang w:val="es-ES_tradnl"/>
        </w:rPr>
        <w:t>ron fotocopias de dicho instrumento; ello, apu</w:t>
      </w:r>
      <w:r>
        <w:rPr>
          <w:lang w:val="es-ES_tradnl"/>
        </w:rPr>
        <w:t>n</w:t>
      </w:r>
      <w:r>
        <w:rPr>
          <w:lang w:val="es-ES_tradnl"/>
        </w:rPr>
        <w:t>tó, resulta demostrativo que Telleldín se identificó falsamente con una identidad distinta, teniendo en su poder el mentado cartular.</w:t>
      </w:r>
    </w:p>
    <w:p w:rsidR="00224567" w:rsidRDefault="00224567">
      <w:pPr>
        <w:widowControl w:val="0"/>
        <w:tabs>
          <w:tab w:val="left" w:pos="2835"/>
        </w:tabs>
      </w:pPr>
      <w:r>
        <w:tab/>
        <w:t>También alegó que su asistido no tuvo intervención en el hecho que se le reprochó, en razón que la supuesta falsedad ideológica radica en un decreto di</w:t>
      </w:r>
      <w:r>
        <w:t>s</w:t>
      </w:r>
      <w:r>
        <w:t>puesto por el instructor Alejandro Burguete, firmado en presencia de Bacigalupo, por el cual se ordenó a éste -en su calidad de a</w:t>
      </w:r>
      <w:r>
        <w:t>c</w:t>
      </w:r>
      <w:r>
        <w:t>tuario- que dé cumplimiento con lo que se dispuso en él. Dicha circunstancia, dijo, se patentiza a poco que se observe la nota que firmó Bacigalupo al pie del mencionado decreto, donde informó al comisario Burgu</w:t>
      </w:r>
      <w:r>
        <w:t>e</w:t>
      </w:r>
      <w:r>
        <w:t>te que “se da cumplimiento con lo ordenado por Ud. prec</w:t>
      </w:r>
      <w:r>
        <w:t>e</w:t>
      </w:r>
      <w:r>
        <w:t>dentemente”.</w:t>
      </w:r>
    </w:p>
    <w:p w:rsidR="00224567" w:rsidRDefault="00224567">
      <w:pPr>
        <w:widowControl w:val="0"/>
        <w:tabs>
          <w:tab w:val="left" w:pos="2835"/>
        </w:tabs>
      </w:pPr>
      <w:r>
        <w:tab/>
        <w:t>Asimismo, consideró la defensa que la conducta imputada resultó atípica en tanto no se ver</w:t>
      </w:r>
      <w:r>
        <w:t>i</w:t>
      </w:r>
      <w:r>
        <w:t>ficó uno de los requisitos previstos en la norma del art. 293 del Código Penal por cuanto expresó que la figura establ</w:t>
      </w:r>
      <w:r>
        <w:t>e</w:t>
      </w:r>
      <w:r>
        <w:t>ce que la inserción en un instrumento público de declar</w:t>
      </w:r>
      <w:r>
        <w:t>a</w:t>
      </w:r>
      <w:r>
        <w:t xml:space="preserve">ciones falsas deben ser concernientes a un hecho que el documento deba probar. </w:t>
      </w:r>
    </w:p>
    <w:p w:rsidR="00224567" w:rsidRDefault="00224567">
      <w:pPr>
        <w:widowControl w:val="0"/>
        <w:tabs>
          <w:tab w:val="left" w:pos="2835"/>
        </w:tabs>
      </w:pPr>
      <w:r>
        <w:tab/>
        <w:t>El documento en cuestión, argumentó, no estaba destinado a probar la ausencia de antecedentes penales de Telleldín, ni de ningún otro hecho, sino que sólo se trata de un decreto donde se dispusieron medidas como consecuencia de lo actuado con anterior</w:t>
      </w:r>
      <w:r>
        <w:t>i</w:t>
      </w:r>
      <w:r>
        <w:t>dad. Citó, en apoyo de ello, el precedente “Stancan</w:t>
      </w:r>
      <w:r>
        <w:t>e</w:t>
      </w:r>
      <w:r>
        <w:t xml:space="preserve">lli, Néstor Edgardo” de </w:t>
      </w:r>
      <w:smartTag w:uri="urn:schemas-microsoft-com:office:smarttags" w:element="PersonName">
        <w:smartTagPr>
          <w:attr w:name="ProductID" w:val="la Corte Suprema"/>
        </w:smartTagPr>
        <w:r>
          <w:t>la Corte S</w:t>
        </w:r>
        <w:r>
          <w:t>u</w:t>
        </w:r>
        <w:r>
          <w:t>prema</w:t>
        </w:r>
      </w:smartTag>
      <w:r>
        <w:t xml:space="preserve"> de Justicia de </w:t>
      </w:r>
      <w:smartTag w:uri="urn:schemas-microsoft-com:office:smarttags" w:element="PersonName">
        <w:smartTagPr>
          <w:attr w:name="ProductID" w:val="la Naci￳n"/>
        </w:smartTagPr>
        <w:r>
          <w:t>la Nación</w:t>
        </w:r>
      </w:smartTag>
      <w:r>
        <w:t>, resuelto el 20 de noviembre de 2001.</w:t>
      </w:r>
    </w:p>
    <w:p w:rsidR="00224567" w:rsidRDefault="00224567">
      <w:pPr>
        <w:widowControl w:val="0"/>
        <w:tabs>
          <w:tab w:val="left" w:pos="2835"/>
        </w:tabs>
        <w:rPr>
          <w:lang w:val="es-ES_tradnl"/>
        </w:rPr>
      </w:pPr>
      <w:r>
        <w:tab/>
        <w:t>F</w:t>
      </w:r>
      <w:r>
        <w:rPr>
          <w:lang w:val="es-ES_tradnl"/>
        </w:rPr>
        <w:t>inalmente, la defensa destacó, a más de varias irregularidades que mencionó, el disímil trat</w:t>
      </w:r>
      <w:r>
        <w:rPr>
          <w:lang w:val="es-ES_tradnl"/>
        </w:rPr>
        <w:t>a</w:t>
      </w:r>
      <w:r>
        <w:rPr>
          <w:lang w:val="es-ES_tradnl"/>
        </w:rPr>
        <w:t>miento que se dispensó en el caso de Alejandro Bu</w:t>
      </w:r>
      <w:r>
        <w:rPr>
          <w:lang w:val="es-ES_tradnl"/>
        </w:rPr>
        <w:t>r</w:t>
      </w:r>
      <w:r>
        <w:rPr>
          <w:lang w:val="es-ES_tradnl"/>
        </w:rPr>
        <w:t xml:space="preserve">guete en el sumario administrativo labrado por </w:t>
      </w:r>
      <w:smartTag w:uri="urn:schemas-microsoft-com:office:smarttags" w:element="PersonName">
        <w:smartTagPr>
          <w:attr w:name="ProductID" w:val="la Direcci￳n"/>
        </w:smartTagPr>
        <w:r>
          <w:rPr>
            <w:lang w:val="es-ES_tradnl"/>
          </w:rPr>
          <w:t>la Dirección</w:t>
        </w:r>
      </w:smartTag>
      <w:r>
        <w:rPr>
          <w:lang w:val="es-ES_tradnl"/>
        </w:rPr>
        <w:t xml:space="preserve"> de S</w:t>
      </w:r>
      <w:r>
        <w:rPr>
          <w:lang w:val="es-ES_tradnl"/>
        </w:rPr>
        <w:t>u</w:t>
      </w:r>
      <w:r>
        <w:rPr>
          <w:lang w:val="es-ES_tradnl"/>
        </w:rPr>
        <w:t xml:space="preserve">marios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Así, sostuvo que pese e</w:t>
      </w:r>
      <w:r>
        <w:rPr>
          <w:lang w:val="es-ES_tradnl"/>
        </w:rPr>
        <w:t>n</w:t>
      </w:r>
      <w:r>
        <w:rPr>
          <w:lang w:val="es-ES_tradnl"/>
        </w:rPr>
        <w:t>contrarse, cuanto menos, en la misma situación que su co</w:t>
      </w:r>
      <w:r>
        <w:rPr>
          <w:lang w:val="es-ES_tradnl"/>
        </w:rPr>
        <w:t>n</w:t>
      </w:r>
      <w:r>
        <w:rPr>
          <w:lang w:val="es-ES_tradnl"/>
        </w:rPr>
        <w:t>sorte Oscar Eusebio Bacigalupo, por haber suscripto la constancia que el fiscal reputó falsa, aquél fue sobrese</w:t>
      </w:r>
      <w:r>
        <w:rPr>
          <w:lang w:val="es-ES_tradnl"/>
        </w:rPr>
        <w:t>í</w:t>
      </w:r>
      <w:r>
        <w:rPr>
          <w:lang w:val="es-ES_tradnl"/>
        </w:rPr>
        <w:t>do sin sanción, mientras que su asistido Bacigalupo fue exon</w:t>
      </w:r>
      <w:r>
        <w:rPr>
          <w:lang w:val="es-ES_tradnl"/>
        </w:rPr>
        <w:t>e</w:t>
      </w:r>
      <w:r>
        <w:rPr>
          <w:lang w:val="es-ES_tradnl"/>
        </w:rPr>
        <w:t>rado de la fuerza.</w:t>
      </w:r>
    </w:p>
    <w:p w:rsidR="00224567" w:rsidRDefault="00224567">
      <w:pPr>
        <w:widowControl w:val="0"/>
        <w:tabs>
          <w:tab w:val="left" w:pos="2835"/>
        </w:tabs>
      </w:pPr>
      <w:r>
        <w:tab/>
        <w:t>Se preguntó, entonces, ¿cómo p</w:t>
      </w:r>
      <w:r>
        <w:t>o</w:t>
      </w:r>
      <w:r>
        <w:t>día ser disímil la situ</w:t>
      </w:r>
      <w:r>
        <w:t>a</w:t>
      </w:r>
      <w:r>
        <w:t>ción del comisario Burguete, por entonces, jefe de judiciales de la dependencia e instructor de las actuaciones sumariales por averiguación de ant</w:t>
      </w:r>
      <w:r>
        <w:t>e</w:t>
      </w:r>
      <w:r>
        <w:t xml:space="preserve">cedentes de Teccedin, de la aplicada en el caso de Bacigalupo, que era el secretario de actuación de aquél?. </w:t>
      </w:r>
      <w:r>
        <w:rPr>
          <w:lang w:val="es-AR"/>
        </w:rPr>
        <w:t>El interrogante, e</w:t>
      </w:r>
      <w:r>
        <w:rPr>
          <w:lang w:val="es-AR"/>
        </w:rPr>
        <w:t>x</w:t>
      </w:r>
      <w:r>
        <w:rPr>
          <w:lang w:val="es-AR"/>
        </w:rPr>
        <w:t>presó la defensa, fue acl</w:t>
      </w:r>
      <w:r>
        <w:rPr>
          <w:lang w:val="es-AR"/>
        </w:rPr>
        <w:t>a</w:t>
      </w:r>
      <w:r>
        <w:rPr>
          <w:lang w:val="es-AR"/>
        </w:rPr>
        <w:t>rado en el debate a partir de la declaración testim</w:t>
      </w:r>
      <w:r>
        <w:rPr>
          <w:lang w:val="es-AR"/>
        </w:rPr>
        <w:t>o</w:t>
      </w:r>
      <w:r>
        <w:rPr>
          <w:lang w:val="es-AR"/>
        </w:rPr>
        <w:t>nial del juez del sumario, Adolfo Hugo Vitelli, y en alguna medida, también por el instructor J</w:t>
      </w:r>
      <w:r>
        <w:rPr>
          <w:lang w:val="es-AR"/>
        </w:rPr>
        <w:t>o</w:t>
      </w:r>
      <w:r>
        <w:rPr>
          <w:lang w:val="es-AR"/>
        </w:rPr>
        <w:t xml:space="preserve">sé Carlos Bretschneider, el secretario Jorge Daniel </w:t>
      </w:r>
      <w:r>
        <w:t>O</w:t>
      </w:r>
      <w:r>
        <w:t>s</w:t>
      </w:r>
      <w:r>
        <w:t>lovsky y el Director General de Asu</w:t>
      </w:r>
      <w:r>
        <w:t>n</w:t>
      </w:r>
      <w:r>
        <w:t>tos Judiciales Carlos Emilio Sava.</w:t>
      </w:r>
    </w:p>
    <w:p w:rsidR="00224567" w:rsidRDefault="00224567">
      <w:pPr>
        <w:widowControl w:val="0"/>
        <w:tabs>
          <w:tab w:val="left" w:pos="2835"/>
        </w:tabs>
      </w:pPr>
      <w:r>
        <w:tab/>
        <w:t xml:space="preserve">Así, los nombrados afirmaron que </w:t>
      </w:r>
      <w:r>
        <w:rPr>
          <w:lang w:val="es-AR"/>
        </w:rPr>
        <w:t>la explicación debía buscarse en decisiones externas que e</w:t>
      </w:r>
      <w:r>
        <w:rPr>
          <w:lang w:val="es-AR"/>
        </w:rPr>
        <w:t>s</w:t>
      </w:r>
      <w:r>
        <w:rPr>
          <w:lang w:val="es-AR"/>
        </w:rPr>
        <w:t>capaban a la institución policial, que el ju</w:t>
      </w:r>
      <w:r>
        <w:rPr>
          <w:lang w:val="es-AR"/>
        </w:rPr>
        <w:t>z</w:t>
      </w:r>
      <w:r>
        <w:rPr>
          <w:lang w:val="es-AR"/>
        </w:rPr>
        <w:t>gado a cargo del Dr. Juan José Galeano re</w:t>
      </w:r>
      <w:r>
        <w:t>quería las actuaciones en fo</w:t>
      </w:r>
      <w:r>
        <w:t>r</w:t>
      </w:r>
      <w:r>
        <w:t>ma permanente, remitiéndose los originales, que se consu</w:t>
      </w:r>
      <w:r>
        <w:t>l</w:t>
      </w:r>
      <w:r>
        <w:t>taba las medidas con el Dr. Mullen y, f</w:t>
      </w:r>
      <w:r>
        <w:t>i</w:t>
      </w:r>
      <w:r>
        <w:t>nalmente, según lo expresado por Vitelli, que el secretario de seguridad de la provincia de Buenos Aires, Dr. De Lazzari y su asiste</w:t>
      </w:r>
      <w:r>
        <w:t>n</w:t>
      </w:r>
      <w:r>
        <w:t>te, Dr. Federico Domínguez, s</w:t>
      </w:r>
      <w:r>
        <w:t>o</w:t>
      </w:r>
      <w:r>
        <w:t>licitaron el sobreseimiento de Aleja</w:t>
      </w:r>
      <w:r>
        <w:t>n</w:t>
      </w:r>
      <w:r>
        <w:t>dro Burguete.</w:t>
      </w:r>
    </w:p>
    <w:p w:rsidR="00224567" w:rsidRDefault="00224567">
      <w:pPr>
        <w:widowControl w:val="0"/>
        <w:tabs>
          <w:tab w:val="left" w:pos="2835"/>
        </w:tabs>
      </w:pPr>
      <w:r>
        <w:tab/>
        <w:t>Agregó Vitelli, expresó la defensa, que Domínguez le refirió en forma personal que había que tomar esa resolución porque era beneficioso para la inve</w:t>
      </w:r>
      <w:r>
        <w:t>s</w:t>
      </w:r>
      <w:r>
        <w:t>tigación de la causa A.M.I.A. Dichos extremos, dijo la d</w:t>
      </w:r>
      <w:r>
        <w:t>e</w:t>
      </w:r>
      <w:r>
        <w:t>fensa, demuestran cabalmente la parcialidad con que se obró en contra de su defend</w:t>
      </w:r>
      <w:r>
        <w:t>i</w:t>
      </w:r>
      <w:r>
        <w:t>do.</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Por todo ello, solicitó su libre abs</w:t>
      </w:r>
      <w:r>
        <w:rPr>
          <w:rFonts w:ascii="Courier New" w:hAnsi="Courier New" w:cs="Courier New"/>
        </w:rPr>
        <w:t>o</w:t>
      </w:r>
      <w:r>
        <w:rPr>
          <w:rFonts w:ascii="Courier New" w:hAnsi="Courier New" w:cs="Courier New"/>
        </w:rPr>
        <w:t>lución de culpa y cargo.</w:t>
      </w:r>
    </w:p>
    <w:p w:rsidR="00224567" w:rsidRDefault="00224567">
      <w:pPr>
        <w:widowControl w:val="0"/>
        <w:tabs>
          <w:tab w:val="left" w:pos="2835"/>
        </w:tabs>
      </w:pPr>
    </w:p>
    <w:p w:rsidR="00224567" w:rsidRDefault="00224567">
      <w:pPr>
        <w:widowControl w:val="0"/>
        <w:ind w:firstLine="2835"/>
      </w:pPr>
      <w:r>
        <w:rPr>
          <w:b/>
          <w:bCs/>
        </w:rPr>
        <w:tab/>
        <w:t xml:space="preserve">C.5) </w:t>
      </w:r>
      <w:r>
        <w:t>A su turno, los Dres. Jorge P</w:t>
      </w:r>
      <w:r>
        <w:t>o</w:t>
      </w:r>
      <w:r>
        <w:t>blete, Nelson Javier Tobárez y Karina Verónica Bacci, en ejercicio de la defensa de Anastasio Ireneo Leal, realiz</w:t>
      </w:r>
      <w:r>
        <w:t>a</w:t>
      </w:r>
      <w:r>
        <w:t>ron diversas consideraciones acerca de la prueba rendida, como así también respecto de las acusaciones formuladas por la qu</w:t>
      </w:r>
      <w:r>
        <w:t>e</w:t>
      </w:r>
      <w:r>
        <w:t>rella D.A.I.A., A.M.I.A. y “Grupo de Familiares” y la fi</w:t>
      </w:r>
      <w:r>
        <w:t>s</w:t>
      </w:r>
      <w:r>
        <w:t>calía.</w:t>
      </w:r>
    </w:p>
    <w:p w:rsidR="00224567" w:rsidRDefault="00224567">
      <w:pPr>
        <w:widowControl w:val="0"/>
        <w:ind w:firstLine="2835"/>
      </w:pPr>
      <w:r>
        <w:t>En primer término, el Dr. Tobárez n</w:t>
      </w:r>
      <w:r>
        <w:t>e</w:t>
      </w:r>
      <w:r>
        <w:t>gó la presencia de su defendido el día 26 de julio de 1994 en el domicilio de la calle República 107 de la localidad de Villa Ballester por entender que ello no surgía del cúmulo de probanzas arrimadas al expediente, ni de lo acaecido en el debate. En ese sentido indicó que la descripción física efectuada por el testigo Luis Domingo Delizia acerca del sujeto que habría visitado dicha vivienda, no se compad</w:t>
      </w:r>
      <w:r>
        <w:t>e</w:t>
      </w:r>
      <w:r>
        <w:t>cía con la apariencia de Leal ni con sus fotografías de aquella época obrantes a fs. 270 y 247 de la causa “Brig</w:t>
      </w:r>
      <w:r>
        <w:t>a</w:t>
      </w:r>
      <w:r>
        <w:t xml:space="preserve">das”, ni con las aportadas durante su indagatoria del 10 de octubre de 2001. </w:t>
      </w:r>
    </w:p>
    <w:p w:rsidR="00224567" w:rsidRDefault="00224567">
      <w:pPr>
        <w:pStyle w:val="Textoindependiente"/>
        <w:spacing w:line="600" w:lineRule="auto"/>
        <w:ind w:firstLine="2835"/>
      </w:pPr>
      <w:r>
        <w:t>Que de los dichos de Delizia su</w:t>
      </w:r>
      <w:r>
        <w:t>r</w:t>
      </w:r>
      <w:r>
        <w:t>gió que quien se presentó en la casa que habitaba Carlos Alberto Telleldín se había identificado como el subc</w:t>
      </w:r>
      <w:r>
        <w:t>o</w:t>
      </w:r>
      <w:r>
        <w:t>misario Leal, sin exhibir su credencial y que vestía un saco marrón; este último dato, era coincidente con lo manifestado por Telle</w:t>
      </w:r>
      <w:r>
        <w:t>l</w:t>
      </w:r>
      <w:r>
        <w:t>dín ante la camarista Riva Aram</w:t>
      </w:r>
      <w:r>
        <w:t>a</w:t>
      </w:r>
      <w:r>
        <w:t>yo. Indicó que sobre el uso de esta indumentaria por parte de su defendido, el comis</w:t>
      </w:r>
      <w:r>
        <w:t>a</w:t>
      </w:r>
      <w:r>
        <w:t>rio inspector Luis Vicat, realizó una importante investig</w:t>
      </w:r>
      <w:r>
        <w:t>a</w:t>
      </w:r>
      <w:r>
        <w:t>ción, donde interrogó testimonialmente a una gran ca</w:t>
      </w:r>
      <w:r>
        <w:t>n</w:t>
      </w:r>
      <w:r>
        <w:t xml:space="preserve">tidad de personal de </w:t>
      </w:r>
      <w:smartTag w:uri="urn:schemas-microsoft-com:office:smarttags" w:element="PersonName">
        <w:smartTagPr>
          <w:attr w:name="ProductID" w:val="la Brigada"/>
        </w:smartTagPr>
        <w:r>
          <w:t>la Brigada</w:t>
        </w:r>
      </w:smartTag>
      <w:r>
        <w:t xml:space="preserve"> de Vicente López, entre otros a Marcelo Emilio Manera, Nelson Raúl Núñez, Víctor Liborio Varela, Octavio Tomás Vidal, Daniel Nicolás Lencina, Abel Monzón –integrante del grupo operativo de Leal-, Eduardo Alfredo Pachero y Fernando Paulisich, quienes se pronunci</w:t>
      </w:r>
      <w:r>
        <w:t>a</w:t>
      </w:r>
      <w:r>
        <w:t>ron en forma negativa. Igual resultado arrojaron los all</w:t>
      </w:r>
      <w:r>
        <w:t>a</w:t>
      </w:r>
      <w:r>
        <w:t>namientos que en busca de dicha prenda se dispusieron co</w:t>
      </w:r>
      <w:r>
        <w:t>n</w:t>
      </w:r>
      <w:r>
        <w:t>tra los domicilios de Anastasio Ireneo Leal y de su padre.</w:t>
      </w:r>
    </w:p>
    <w:p w:rsidR="00224567" w:rsidRDefault="00224567">
      <w:pPr>
        <w:pStyle w:val="Textoindependiente"/>
        <w:spacing w:line="600" w:lineRule="auto"/>
        <w:ind w:firstLine="2835"/>
      </w:pPr>
      <w:r>
        <w:t>También dijo que el testigo Daniel A</w:t>
      </w:r>
      <w:r>
        <w:t>l</w:t>
      </w:r>
      <w:r>
        <w:t xml:space="preserve">berto Fernández, agente de </w:t>
      </w:r>
      <w:smartTag w:uri="urn:schemas-microsoft-com:office:smarttags" w:element="PersonName">
        <w:smartTagPr>
          <w:attr w:name="ProductID" w:val="la S.I"/>
        </w:smartTagPr>
        <w:r>
          <w:t>la S.I</w:t>
        </w:r>
      </w:smartTag>
      <w:r>
        <w:t>.D.E. encargado de la c</w:t>
      </w:r>
      <w:r>
        <w:t>o</w:t>
      </w:r>
      <w:r>
        <w:t>bertura externa del domicilio invest</w:t>
      </w:r>
      <w:r>
        <w:t>i</w:t>
      </w:r>
      <w:r>
        <w:t>gado, no aportó ningún dato fehaciente para poder identificar al subcom</w:t>
      </w:r>
      <w:r>
        <w:t>i</w:t>
      </w:r>
      <w:r>
        <w:t>sario que se presentó en la casa de Telleldín, limitándose a decir que lo que sabía se lo había comentado su compañero Del</w:t>
      </w:r>
      <w:r>
        <w:t>i</w:t>
      </w:r>
      <w:r>
        <w:t>zia.</w:t>
      </w:r>
    </w:p>
    <w:p w:rsidR="00224567" w:rsidRDefault="00224567">
      <w:pPr>
        <w:pStyle w:val="Textoindependiente"/>
        <w:spacing w:line="600" w:lineRule="auto"/>
        <w:ind w:firstLine="2835"/>
      </w:pPr>
      <w:r>
        <w:t>Que el jefe de Delizia y Fernández, Néstor Ricardo He</w:t>
      </w:r>
      <w:r>
        <w:t>r</w:t>
      </w:r>
      <w:r>
        <w:t>nández, indicó que quien se presentó como subcomisario Leal en el domicilio de la calle República h</w:t>
      </w:r>
      <w:r>
        <w:t>a</w:t>
      </w:r>
      <w:r>
        <w:t>bía llegado en un vehículo Renault Fuego; al respecto, la defensa señaló que este automóvil bien p</w:t>
      </w:r>
      <w:r>
        <w:t>o</w:t>
      </w:r>
      <w:r>
        <w:t>dría pertenecer al abogado Bottegal pero no a Leal, ya que para esa época se movilizaba en un Ford Galaxy c</w:t>
      </w:r>
      <w:r>
        <w:t>o</w:t>
      </w:r>
      <w:r>
        <w:t>lor azul.</w:t>
      </w:r>
    </w:p>
    <w:p w:rsidR="00224567" w:rsidRDefault="00224567">
      <w:pPr>
        <w:widowControl w:val="0"/>
        <w:ind w:firstLine="2835"/>
      </w:pPr>
      <w:r>
        <w:t>En líneas generales criticó los test</w:t>
      </w:r>
      <w:r>
        <w:t>i</w:t>
      </w:r>
      <w:r>
        <w:t xml:space="preserve">monios de los agentes de </w:t>
      </w:r>
      <w:smartTag w:uri="urn:schemas-microsoft-com:office:smarttags" w:element="PersonName">
        <w:smartTagPr>
          <w:attr w:name="ProductID" w:val="la Secretar￭a"/>
        </w:smartTagPr>
        <w:r>
          <w:t>la Secretaría</w:t>
        </w:r>
      </w:smartTag>
      <w:r>
        <w:t xml:space="preserve"> de Intelige</w:t>
      </w:r>
      <w:r>
        <w:t>n</w:t>
      </w:r>
      <w:r>
        <w:t>cia por entender que sólo aportaron confusión acerca de los vehículos y las personas presentes en aquella oportunidad en la finca, y que ese marco de duda perjudicó a su clie</w:t>
      </w:r>
      <w:r>
        <w:t>n</w:t>
      </w:r>
      <w:r>
        <w:t>te.</w:t>
      </w:r>
    </w:p>
    <w:p w:rsidR="00224567" w:rsidRDefault="00224567">
      <w:pPr>
        <w:widowControl w:val="0"/>
        <w:ind w:firstLine="2835"/>
      </w:pPr>
      <w:r>
        <w:t>Puntualizó que como prueba obj</w:t>
      </w:r>
      <w:r>
        <w:t>e</w:t>
      </w:r>
      <w:r>
        <w:t>tiva de que Leal no estuvo el día 26 en ese domicilio, debía co</w:t>
      </w:r>
      <w:r>
        <w:t>n</w:t>
      </w:r>
      <w:r>
        <w:t xml:space="preserve">siderarse el libro de guardia de </w:t>
      </w:r>
      <w:smartTag w:uri="urn:schemas-microsoft-com:office:smarttags" w:element="PersonName">
        <w:smartTagPr>
          <w:attr w:name="ProductID" w:val="la Brigada"/>
        </w:smartTagPr>
        <w:r>
          <w:t>la Brigada</w:t>
        </w:r>
      </w:smartTag>
      <w:r>
        <w:t xml:space="preserve"> de Vicente L</w:t>
      </w:r>
      <w:r>
        <w:t>ó</w:t>
      </w:r>
      <w:r>
        <w:t>pez en el que consta a fs. 223, 224 y 228 que su defe</w:t>
      </w:r>
      <w:r>
        <w:t>n</w:t>
      </w:r>
      <w:r>
        <w:t>dido llegó a la brigada a las 21.30 del 26 de julio de 1994 y se retiró de franco al día siguiente a las 23, con salidas entre las 2.05 y las 3.00, las 3.05 y las 3.20 y las 21 y las 22.45, todas ellas del día 27.</w:t>
      </w:r>
    </w:p>
    <w:p w:rsidR="00224567" w:rsidRDefault="00224567">
      <w:pPr>
        <w:widowControl w:val="0"/>
        <w:ind w:firstLine="2835"/>
      </w:pPr>
      <w:r>
        <w:t>En otro orden de ideas, estimó que si Leal hubiera estado en ese lugar, debió habérselo interr</w:t>
      </w:r>
      <w:r>
        <w:t>o</w:t>
      </w:r>
      <w:r>
        <w:t xml:space="preserve">gado judicialmente, por los policías o, al menos, por </w:t>
      </w:r>
      <w:smartTag w:uri="urn:schemas-microsoft-com:office:smarttags" w:element="PersonName">
        <w:smartTagPr>
          <w:attr w:name="ProductID" w:val="la S.I"/>
        </w:smartTagPr>
        <w:r>
          <w:t>la S.I</w:t>
        </w:r>
      </w:smartTag>
      <w:r>
        <w:t>.D.E., en ese mismo año. Además, Mario Bare</w:t>
      </w:r>
      <w:r>
        <w:t>i</w:t>
      </w:r>
      <w:r>
        <w:t xml:space="preserve">ro tendría que haber informado esta presencia a </w:t>
      </w:r>
      <w:smartTag w:uri="urn:schemas-microsoft-com:office:smarttags" w:element="PersonName">
        <w:smartTagPr>
          <w:attr w:name="ProductID" w:val="la Brigada"/>
        </w:smartTagPr>
        <w:r>
          <w:t>la Br</w:t>
        </w:r>
        <w:r>
          <w:t>i</w:t>
        </w:r>
        <w:r>
          <w:t>gada</w:t>
        </w:r>
      </w:smartTag>
      <w:r>
        <w:t xml:space="preserve"> de Vicente López, cosa que no ocurrió, de conformidad con las desgr</w:t>
      </w:r>
      <w:r>
        <w:t>a</w:t>
      </w:r>
      <w:r>
        <w:t>baci</w:t>
      </w:r>
      <w:r>
        <w:t>o</w:t>
      </w:r>
      <w:r>
        <w:t>nes efectuadas del teléfono 768-0902.</w:t>
      </w:r>
    </w:p>
    <w:p w:rsidR="00224567" w:rsidRDefault="00224567">
      <w:pPr>
        <w:widowControl w:val="0"/>
        <w:ind w:firstLine="2835"/>
      </w:pPr>
      <w:r>
        <w:t>Opinó que tampoco involucraban a su defendido los dichos del testigo Aldo Álvarez, ya que la descripción física por él efectuada acerca del suj</w:t>
      </w:r>
      <w:r>
        <w:t>e</w:t>
      </w:r>
      <w:r>
        <w:t>to que se presentó en el domicilio que él vigilaba, no correspo</w:t>
      </w:r>
      <w:r>
        <w:t>n</w:t>
      </w:r>
      <w:r>
        <w:t>día con la fisonomía de Leal, sino que, en todo caso, guardaba similitud con la fotografía de fs. 33.252 pert</w:t>
      </w:r>
      <w:r>
        <w:t>e</w:t>
      </w:r>
      <w:r>
        <w:t xml:space="preserve">neciente a Pablo Santiago López, comisario de </w:t>
      </w:r>
      <w:smartTag w:uri="urn:schemas-microsoft-com:office:smarttags" w:element="PersonName">
        <w:smartTagPr>
          <w:attr w:name="ProductID" w:val="la Brigada"/>
        </w:smartTagPr>
        <w:r>
          <w:t>la Brigada</w:t>
        </w:r>
      </w:smartTag>
      <w:r>
        <w:t xml:space="preserve"> de San Martín. Además, recalcó que el testigo refirió que quien concurrió al lugar se presentó como subcomisario o comisario de la zona y Leal, a esa fecha, ostentaba la j</w:t>
      </w:r>
      <w:r>
        <w:t>e</w:t>
      </w:r>
      <w:r>
        <w:t xml:space="preserve">rarquía de oficial principal en </w:t>
      </w:r>
      <w:smartTag w:uri="urn:schemas-microsoft-com:office:smarttags" w:element="PersonName">
        <w:smartTagPr>
          <w:attr w:name="ProductID" w:val="la Brigada"/>
        </w:smartTagPr>
        <w:r>
          <w:t>la Brigada</w:t>
        </w:r>
      </w:smartTag>
      <w:r>
        <w:t xml:space="preserve"> de Vicente L</w:t>
      </w:r>
      <w:r>
        <w:t>ó</w:t>
      </w:r>
      <w:r>
        <w:t>pez y no en la de San Martín, correspondiente al domic</w:t>
      </w:r>
      <w:r>
        <w:t>i</w:t>
      </w:r>
      <w:r>
        <w:t>lio de Telleldín. Que este dato falso se introdujo en la d</w:t>
      </w:r>
      <w:r>
        <w:t>e</w:t>
      </w:r>
      <w:r>
        <w:t xml:space="preserve">claración de Semorile y en la de todos los agentes de </w:t>
      </w:r>
      <w:smartTag w:uri="urn:schemas-microsoft-com:office:smarttags" w:element="PersonName">
        <w:smartTagPr>
          <w:attr w:name="ProductID" w:val="la S.I"/>
        </w:smartTagPr>
        <w:r>
          <w:t>la S.I</w:t>
        </w:r>
      </w:smartTag>
      <w:r>
        <w:t>.D.E., pese a que el magistrado instructor, desde el año 1995, tenía información precisa de la jerarquía de Leal.</w:t>
      </w:r>
    </w:p>
    <w:p w:rsidR="00224567" w:rsidRDefault="00224567">
      <w:pPr>
        <w:widowControl w:val="0"/>
        <w:ind w:firstLine="2835"/>
      </w:pPr>
      <w:r>
        <w:t>Por otro lado, resaltó que resultaba extraño que el personal allí apostado no le haya exig</w:t>
      </w:r>
      <w:r>
        <w:t>i</w:t>
      </w:r>
      <w:r>
        <w:t>do a quien se presentó en ese domicilio que acreditara su ide</w:t>
      </w:r>
      <w:r>
        <w:t>n</w:t>
      </w:r>
      <w:r>
        <w:t>tidad, pero que de las constancias de la causa era posible afirmar que Leal siempre exhibía su credencial, tal como lo había hecho en la persecución del 14 de julio de 1994.</w:t>
      </w:r>
    </w:p>
    <w:p w:rsidR="00224567" w:rsidRDefault="00224567">
      <w:pPr>
        <w:widowControl w:val="0"/>
        <w:ind w:firstLine="2835"/>
      </w:pPr>
      <w:r>
        <w:t xml:space="preserve">También expresó que del testimonio brindado en la audiencia por el oficial Balbi surgía que </w:t>
      </w:r>
      <w:smartTag w:uri="urn:schemas-microsoft-com:office:smarttags" w:element="PersonName">
        <w:smartTagPr>
          <w:attr w:name="ProductID" w:val="la Brigada"/>
        </w:smartTagPr>
        <w:r>
          <w:t>la Brigada</w:t>
        </w:r>
      </w:smartTag>
      <w:r>
        <w:t xml:space="preserve"> de Vicente López había tomado conocimiento de la interceptación de Barreda y B</w:t>
      </w:r>
      <w:r>
        <w:t>a</w:t>
      </w:r>
      <w:r>
        <w:t xml:space="preserve">reiro en el domicilio de Telleldín, a través de </w:t>
      </w:r>
      <w:smartTag w:uri="urn:schemas-microsoft-com:office:smarttags" w:element="PersonName">
        <w:smartTagPr>
          <w:attr w:name="ProductID" w:val="la Brigada"/>
        </w:smartTagPr>
        <w:r>
          <w:t>la Brigada</w:t>
        </w:r>
      </w:smartTag>
      <w:r>
        <w:t xml:space="preserve"> de San Martín, por lo que era claro que alguien de esa dependencia, con juri</w:t>
      </w:r>
      <w:r>
        <w:t>s</w:t>
      </w:r>
      <w:r>
        <w:t>dicción en el domicilio, se había constituido en dicho l</w:t>
      </w:r>
      <w:r>
        <w:t>u</w:t>
      </w:r>
      <w:r>
        <w:t>gar; y que, dado que existía personal policial detenido, era evidente que el que concurrió era el comisario López de San Martín.</w:t>
      </w:r>
    </w:p>
    <w:p w:rsidR="00224567" w:rsidRDefault="00224567">
      <w:pPr>
        <w:widowControl w:val="0"/>
        <w:ind w:firstLine="2835"/>
      </w:pPr>
      <w:r>
        <w:t>Por otra parte, sostuvo el letr</w:t>
      </w:r>
      <w:r>
        <w:t>a</w:t>
      </w:r>
      <w:r>
        <w:t>do que la presencia de Anastasio Ireneo Leal no fue afirmada ni por los hijos de Carlos Alberto Telle</w:t>
      </w:r>
      <w:r>
        <w:t>l</w:t>
      </w:r>
      <w:r>
        <w:t>dín con Ana Boragni, ni por ésta, ni por Diego Barreda, ni por Mario Bareiro, ni por Juan Alberto Bottegal, aunque este último sí co</w:t>
      </w:r>
      <w:r>
        <w:t>n</w:t>
      </w:r>
      <w:r>
        <w:t>firmó que el que concurrió fue el mencionado comisario L</w:t>
      </w:r>
      <w:r>
        <w:t>ó</w:t>
      </w:r>
      <w:r>
        <w:t xml:space="preserve">pez, situación coincidente con las transcripciones de las conversaciones que efectuó </w:t>
      </w:r>
      <w:smartTag w:uri="urn:schemas-microsoft-com:office:smarttags" w:element="PersonName">
        <w:smartTagPr>
          <w:attr w:name="ProductID" w:val="la S.I"/>
        </w:smartTagPr>
        <w:r>
          <w:t>la S.I</w:t>
        </w:r>
      </w:smartTag>
      <w:r>
        <w:t xml:space="preserve">.D.E. sobre el teléfono de Telleldín. Tampoco </w:t>
      </w:r>
      <w:smartTag w:uri="urn:schemas-microsoft-com:office:smarttags" w:element="PersonName">
        <w:smartTagPr>
          <w:attr w:name="ProductID" w:val="la Dra. Susana"/>
        </w:smartTagPr>
        <w:r>
          <w:t>la Dra. Susana</w:t>
        </w:r>
      </w:smartTag>
      <w:r>
        <w:t xml:space="preserve"> Spina, en opo</w:t>
      </w:r>
      <w:r>
        <w:t>r</w:t>
      </w:r>
      <w:r>
        <w:t>tunidad de prestar testimonio en la audiencia, se refirió acerca de la presencia de Leal el 26 de julio de 1994.</w:t>
      </w:r>
    </w:p>
    <w:p w:rsidR="00224567" w:rsidRDefault="00224567">
      <w:pPr>
        <w:widowControl w:val="0"/>
        <w:ind w:firstLine="2835"/>
      </w:pPr>
      <w:r>
        <w:t>Con relación a las conversaciones t</w:t>
      </w:r>
      <w:r>
        <w:t>e</w:t>
      </w:r>
      <w:r>
        <w:t>lefónicas mantenidas el día 27 de julio de 1994, dijo que reafirmaban la postura de esa defensa. Pr</w:t>
      </w:r>
      <w:r>
        <w:t>i</w:t>
      </w:r>
      <w:r>
        <w:t>mero, porque al no existir en poder del juzgado la casete c</w:t>
      </w:r>
      <w:r>
        <w:t>o</w:t>
      </w:r>
      <w:r>
        <w:t>rrespondiente a la escucha de la conversación celebrada ese día con el abonado 768-0902, no pudo desvirtuarse lo dicho por Leal al prestar d</w:t>
      </w:r>
      <w:r>
        <w:t>e</w:t>
      </w:r>
      <w:r>
        <w:t>claración indagatoria a fs. 2731/2734, en lo relativo a que nunca mantuvo comunicación alguna con T</w:t>
      </w:r>
      <w:r>
        <w:t>e</w:t>
      </w:r>
      <w:r>
        <w:t>lleldín o sus familiares y que esa llamada podría haber sido porque Bareiro le pudo haber dejado un recado en su radiomensaje; y porque de la compulsa del legajo del ab</w:t>
      </w:r>
      <w:r>
        <w:t>o</w:t>
      </w:r>
      <w:r>
        <w:t>nado 440-2132 perteneciente a Leal, no surgía ninguna ll</w:t>
      </w:r>
      <w:r>
        <w:t>a</w:t>
      </w:r>
      <w:r>
        <w:t>mada al domicilio de Telleldín el día 26 de julio de 1994. Segundo, porque la declaración de Mario Bareiro de fs. 1788/1795 de la causa 1598 en la que dijo, acerca de la llamada registrada en la casete 7 correspondiente al ab</w:t>
      </w:r>
      <w:r>
        <w:t>o</w:t>
      </w:r>
      <w:r>
        <w:t>nado 768-0902 del día 27/7/94, 22.45 hs., que Leal lo h</w:t>
      </w:r>
      <w:r>
        <w:t>a</w:t>
      </w:r>
      <w:r>
        <w:t>bía llamado para reclamarle que tanto él como Barreda lo habían “pasado” al cobrarle a Telleldín un valor importa</w:t>
      </w:r>
      <w:r>
        <w:t>n</w:t>
      </w:r>
      <w:r>
        <w:t>te con motivo del “apriete” del 14 de julio, era una pru</w:t>
      </w:r>
      <w:r>
        <w:t>e</w:t>
      </w:r>
      <w:r>
        <w:t>ba irrefutable de la forma en que mintió o se hizo me</w:t>
      </w:r>
      <w:r>
        <w:t>n</w:t>
      </w:r>
      <w:r>
        <w:t>tir a Bareiro, dado que en la transcripción de esta convers</w:t>
      </w:r>
      <w:r>
        <w:t>a</w:t>
      </w:r>
      <w:r>
        <w:t>ción, obrante a fs. 2728, se sindica como interlocutor a un tal Héctor Leal; porque allí se hizo mención a que no se lograba entender la conversación, por lo que mal pudi</w:t>
      </w:r>
      <w:r>
        <w:t>e</w:t>
      </w:r>
      <w:r>
        <w:t>ron entonces haberla descifrado; porque de la transcri</w:t>
      </w:r>
      <w:r>
        <w:t>p</w:t>
      </w:r>
      <w:r>
        <w:t>ción tampoco se desprendía que Leal lo hubiera llamado a Bareiro para reclamarle algún valor; porque carecía de l</w:t>
      </w:r>
      <w:r>
        <w:t>ó</w:t>
      </w:r>
      <w:r>
        <w:t>gica llamar doce días después de un “apriete” para recl</w:t>
      </w:r>
      <w:r>
        <w:t>a</w:t>
      </w:r>
      <w:r>
        <w:t>mar su parte a la casa del “apretado”; porque si la c</w:t>
      </w:r>
      <w:r>
        <w:t>a</w:t>
      </w:r>
      <w:r>
        <w:t>sete no se encontraba en el juzgado desde el 22 de mayo de 1996, mal pudo Bareiro, el 14 de julio de ese año, recon</w:t>
      </w:r>
      <w:r>
        <w:t>o</w:t>
      </w:r>
      <w:r>
        <w:t>cer su voz y saber que la otra correspondía a Leal y r</w:t>
      </w:r>
      <w:r>
        <w:t>e</w:t>
      </w:r>
      <w:r>
        <w:t>cordar con detalles una situación acaecida dos años antes.</w:t>
      </w:r>
    </w:p>
    <w:p w:rsidR="00224567" w:rsidRDefault="00224567">
      <w:pPr>
        <w:widowControl w:val="0"/>
        <w:ind w:firstLine="2835"/>
      </w:pPr>
      <w:r>
        <w:t>El Dr. Tobárez continuó con la crít</w:t>
      </w:r>
      <w:r>
        <w:t>i</w:t>
      </w:r>
      <w:r>
        <w:t>ca a la versión brindada por Bareiro en la que invol</w:t>
      </w:r>
      <w:r>
        <w:t>u</w:t>
      </w:r>
      <w:r>
        <w:t>cró a su defendido. Dijo que no era posible que Leal lo hubiera llamado al domicilio de Telleldín porque la mujer de B</w:t>
      </w:r>
      <w:r>
        <w:t>a</w:t>
      </w:r>
      <w:r>
        <w:t>rreda le había indicado que se encontraba allí, y esto porque dicha señora, según las transcri</w:t>
      </w:r>
      <w:r>
        <w:t>p</w:t>
      </w:r>
      <w:r>
        <w:t xml:space="preserve">ciones efectuadas por </w:t>
      </w:r>
      <w:smartTag w:uri="urn:schemas-microsoft-com:office:smarttags" w:element="PersonName">
        <w:smartTagPr>
          <w:attr w:name="ProductID" w:val="la S.I"/>
        </w:smartTagPr>
        <w:r>
          <w:t>la S.I</w:t>
        </w:r>
      </w:smartTag>
      <w:r>
        <w:t>.D.E., el 27 de julio sólo lo llamó una vez al 768-</w:t>
      </w:r>
      <w:smartTag w:uri="urn:schemas-microsoft-com:office:smarttags" w:element="metricconverter">
        <w:smartTagPr>
          <w:attr w:name="ProductID" w:val="0902, a"/>
        </w:smartTagPr>
        <w:r>
          <w:t>0902, a</w:t>
        </w:r>
      </w:smartTag>
      <w:r>
        <w:t xml:space="preserve"> las 15.50, y en ningún momento le informó que Leal lo estaba buscando, sino que lo que le refirió era que el comisario había llamado tres veces. El defensor i</w:t>
      </w:r>
      <w:r>
        <w:t>n</w:t>
      </w:r>
      <w:r>
        <w:t>dicó que de la misma transcripción, a las 16.15, se de</w:t>
      </w:r>
      <w:r>
        <w:t>s</w:t>
      </w:r>
      <w:r>
        <w:t>prendía que quien buscaba a Diego B</w:t>
      </w:r>
      <w:r>
        <w:t>a</w:t>
      </w:r>
      <w:r>
        <w:t>rreda era el comisario “Japonés” López. Que, asimi</w:t>
      </w:r>
      <w:r>
        <w:t>s</w:t>
      </w:r>
      <w:r>
        <w:t>mo, Bareiro en su explicación al juez acerca de la llamada de las 22.45, dijo que cuando se refirió a “hay que cortar t</w:t>
      </w:r>
      <w:r>
        <w:t>o</w:t>
      </w:r>
      <w:r>
        <w:t>do eso”, quería significar que ya no se podía seguir reclamándole dinero a Telle</w:t>
      </w:r>
      <w:r>
        <w:t>l</w:t>
      </w:r>
      <w:r>
        <w:t>dín y también reconoció que lo habían “zarpado” a Leal. El l</w:t>
      </w:r>
      <w:r>
        <w:t>e</w:t>
      </w:r>
      <w:r>
        <w:t>trado d</w:t>
      </w:r>
      <w:r>
        <w:t>e</w:t>
      </w:r>
      <w:r>
        <w:t>fensor argumentó que esto era falso, pues Leal no podía reclamarle dinero o bienes a Bareiro, porque no t</w:t>
      </w:r>
      <w:r>
        <w:t>e</w:t>
      </w:r>
      <w:r>
        <w:t>nía conocimiento de la lancha “Gonzalo”, ni de la isla en el Tigre, ni de ningún otro bien de Telleldín, y que “za</w:t>
      </w:r>
      <w:r>
        <w:t>r</w:t>
      </w:r>
      <w:r>
        <w:t>pado” en la jerga policial significaba que Leal no tenía conocimiento ni participación de ninguna índole sobre el accionar de Barreda, Bareiro y Bottegal, ni sobre la pe</w:t>
      </w:r>
      <w:r>
        <w:t>r</w:t>
      </w:r>
      <w:r>
        <w:t>sona y bienes de Carlos Albe</w:t>
      </w:r>
      <w:r>
        <w:t>r</w:t>
      </w:r>
      <w:r>
        <w:t>to Telleldín.</w:t>
      </w:r>
    </w:p>
    <w:p w:rsidR="00224567" w:rsidRDefault="00224567">
      <w:pPr>
        <w:widowControl w:val="0"/>
        <w:ind w:firstLine="2835"/>
      </w:pPr>
      <w:r>
        <w:t>Señaló que al momento en que el trib</w:t>
      </w:r>
      <w:r>
        <w:t>u</w:t>
      </w:r>
      <w:r>
        <w:t>nal deba valorar como prueba esas transcripciones, se co</w:t>
      </w:r>
      <w:r>
        <w:t>n</w:t>
      </w:r>
      <w:r>
        <w:t>sideren las diversas irregularidades cometidas en ellas. Citó como ejemplos, el extravío de las cintas, que i</w:t>
      </w:r>
      <w:r>
        <w:t>m</w:t>
      </w:r>
      <w:r>
        <w:t>plicó una limitación al derecho de defensa, y la diferencia de registro horario en una de las llamadas del 27 de julio de 1994 que se le endilgaron a Leal, pues mientras surgía c</w:t>
      </w:r>
      <w:r>
        <w:t>o</w:t>
      </w:r>
      <w:r>
        <w:t>mo efectuada a las 22.43, en la transcripción aparecía c</w:t>
      </w:r>
      <w:r>
        <w:t>o</w:t>
      </w:r>
      <w:r>
        <w:t>mo hecha a las 22.45. Además, recalcó, que en esta tran</w:t>
      </w:r>
      <w:r>
        <w:t>s</w:t>
      </w:r>
      <w:r>
        <w:t>cripción tampoco concordaba el nombre de la persona que llamó con el de Leal.</w:t>
      </w:r>
    </w:p>
    <w:p w:rsidR="00224567" w:rsidRDefault="00224567">
      <w:pPr>
        <w:pStyle w:val="Sangradetextonormal"/>
        <w:widowControl w:val="0"/>
        <w:ind w:firstLine="2835"/>
      </w:pPr>
      <w:r>
        <w:t>Seguidamente, el Dr. Jorge Poblete apuntó que, por expreso mandato de Anastasio Ir</w:t>
      </w:r>
      <w:r>
        <w:t>e</w:t>
      </w:r>
      <w:r>
        <w:t>neo Leal, pedía la extracción de testimonios, para su posterior r</w:t>
      </w:r>
      <w:r>
        <w:t>e</w:t>
      </w:r>
      <w:r>
        <w:t>misión al juzgado n° 11 del fuero, con el o</w:t>
      </w:r>
      <w:r>
        <w:t>b</w:t>
      </w:r>
      <w:r>
        <w:t>jeto que en la causa n° 9789 se revoque la calidad de parte querellante de las entidades A.M.I.A. y D.A.I.A. y se investigue la comisión de los delitos de instig</w:t>
      </w:r>
      <w:r>
        <w:t>a</w:t>
      </w:r>
      <w:r>
        <w:t xml:space="preserve">ción al falso testimonio que habrían cometido los Dres. Ávila y Nercellas, como así también el delito de falso testimonio agravado por parte de los agentes de </w:t>
      </w:r>
      <w:smartTag w:uri="urn:schemas-microsoft-com:office:smarttags" w:element="PersonName">
        <w:smartTagPr>
          <w:attr w:name="ProductID" w:val="la Secretar￭a"/>
        </w:smartTagPr>
        <w:r>
          <w:t>la Secretaría</w:t>
        </w:r>
      </w:smartTag>
      <w:r>
        <w:t xml:space="preserve"> de Inteligencia, Sres. D</w:t>
      </w:r>
      <w:r>
        <w:t>e</w:t>
      </w:r>
      <w:r>
        <w:t>lizia, Fernández y Herná</w:t>
      </w:r>
      <w:r>
        <w:t>n</w:t>
      </w:r>
      <w:r>
        <w:t>dez; ello por cuanto entendía que los letrados de la mencionada querella mantuvieron reuni</w:t>
      </w:r>
      <w:r>
        <w:t>o</w:t>
      </w:r>
      <w:r>
        <w:t>nes con los nombrados con la intención de perjudicar a su cliente, y que probablemente haya sido en alguno de esos encuentros, reconocidos en la audiencia por el testigo Stiuso, en el que se pergeñó la idea de imponer la prese</w:t>
      </w:r>
      <w:r>
        <w:t>n</w:t>
      </w:r>
      <w:r>
        <w:t>cia de Leal la noche del 26 de julio de 1994 en Rep</w:t>
      </w:r>
      <w:r>
        <w:t>ú</w:t>
      </w:r>
      <w:r>
        <w:t>blica 107.</w:t>
      </w:r>
    </w:p>
    <w:p w:rsidR="00224567" w:rsidRDefault="00224567">
      <w:pPr>
        <w:widowControl w:val="0"/>
        <w:ind w:firstLine="2835"/>
      </w:pPr>
      <w:r>
        <w:t>Con relación al hecho del 14 de julio de 1994, tras cr</w:t>
      </w:r>
      <w:r>
        <w:t>i</w:t>
      </w:r>
      <w:r>
        <w:t>ticar a la querella D.A.I.A., A.M.I.A. y “Grupo de Familiares”</w:t>
      </w:r>
      <w:r>
        <w:rPr>
          <w:b/>
          <w:bCs/>
        </w:rPr>
        <w:t xml:space="preserve"> </w:t>
      </w:r>
      <w:r>
        <w:t>por entender que, pese a no estar legitimada activamente, durante su alegato vincul</w:t>
      </w:r>
      <w:r>
        <w:t>a</w:t>
      </w:r>
      <w:r>
        <w:t>ron este suceso con el del 10 de julio, el Dr. Poblete describió que su defend</w:t>
      </w:r>
      <w:r>
        <w:t>i</w:t>
      </w:r>
      <w:r>
        <w:t xml:space="preserve">do fue el primero en denunciar las anomalías de la causa. Que lo hizo en </w:t>
      </w:r>
      <w:smartTag w:uri="urn:schemas-microsoft-com:office:smarttags" w:element="PersonName">
        <w:smartTagPr>
          <w:attr w:name="ProductID" w:val="la C￡mara Federal"/>
        </w:smartTagPr>
        <w:r>
          <w:t>la Cámara Federal</w:t>
        </w:r>
      </w:smartTag>
      <w:r>
        <w:t xml:space="preserve">, en </w:t>
      </w:r>
      <w:smartTag w:uri="urn:schemas-microsoft-com:office:smarttags" w:element="PersonName">
        <w:smartTagPr>
          <w:attr w:name="ProductID" w:val="la Comisi￳n Bicameral"/>
        </w:smartTagPr>
        <w:r>
          <w:t>la Com</w:t>
        </w:r>
        <w:r>
          <w:t>i</w:t>
        </w:r>
        <w:r>
          <w:t>sión Bicameral</w:t>
        </w:r>
      </w:smartTag>
      <w:r>
        <w:t xml:space="preserve">, en </w:t>
      </w:r>
      <w:smartTag w:uri="urn:schemas-microsoft-com:office:smarttags" w:element="PersonName">
        <w:smartTagPr>
          <w:attr w:name="ProductID" w:val="la Comisi￳n"/>
        </w:smartTagPr>
        <w:r>
          <w:t>la Comisión</w:t>
        </w:r>
      </w:smartTag>
      <w:r>
        <w:t xml:space="preserve"> de Ju</w:t>
      </w:r>
      <w:r>
        <w:t>i</w:t>
      </w:r>
      <w:r>
        <w:t xml:space="preserve">cio Político, ante el embajador de Israel y ante el presidente de </w:t>
      </w:r>
      <w:smartTag w:uri="urn:schemas-microsoft-com:office:smarttags" w:element="PersonName">
        <w:smartTagPr>
          <w:attr w:name="ProductID" w:val="la Naci￳n"/>
        </w:smartTagPr>
        <w:r>
          <w:t>la Nación</w:t>
        </w:r>
      </w:smartTag>
      <w:r>
        <w:t>, y que pese a ello ninguna de sus denuncias fueron investig</w:t>
      </w:r>
      <w:r>
        <w:t>a</w:t>
      </w:r>
      <w:r>
        <w:t>das.</w:t>
      </w:r>
    </w:p>
    <w:p w:rsidR="00224567" w:rsidRDefault="00224567">
      <w:pPr>
        <w:pStyle w:val="Sangradetextonormal"/>
        <w:widowControl w:val="0"/>
        <w:ind w:firstLine="2835"/>
      </w:pPr>
      <w:r>
        <w:t>En el mismo sentido, dijo que el día 15 de julio de 1994 Leal, en su calidad de oficial princ</w:t>
      </w:r>
      <w:r>
        <w:t>i</w:t>
      </w:r>
      <w:r>
        <w:t xml:space="preserve">pal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w:t>
      </w:r>
      <w:r>
        <w:t>i</w:t>
      </w:r>
      <w:r>
        <w:t>res, efectuó una denuncia ante su superior inmediato, el subcomisario Rago, bajo la atenta supervisión y conocimiento del com</w:t>
      </w:r>
      <w:r>
        <w:t>i</w:t>
      </w:r>
      <w:r>
        <w:t>sario Forgione. Indicó que el 14 de julio del mencionado año se efectuó un procedimiento policial, merced a la i</w:t>
      </w:r>
      <w:r>
        <w:t>n</w:t>
      </w:r>
      <w:r>
        <w:t>formación brindada por Diego Barreda, que puso al desc</w:t>
      </w:r>
      <w:r>
        <w:t>u</w:t>
      </w:r>
      <w:r>
        <w:t>bierto las diversas activid</w:t>
      </w:r>
      <w:r>
        <w:t>a</w:t>
      </w:r>
      <w:r>
        <w:t>des ilícitas de Carlos Alberto Telleldín, y que como consecuencia de ello se detuvo a H</w:t>
      </w:r>
      <w:r>
        <w:t>u</w:t>
      </w:r>
      <w:r>
        <w:t>go Pérez.</w:t>
      </w:r>
    </w:p>
    <w:p w:rsidR="00224567" w:rsidRDefault="00224567">
      <w:pPr>
        <w:pStyle w:val="Sangradetextonormal"/>
        <w:widowControl w:val="0"/>
        <w:ind w:firstLine="2835"/>
      </w:pPr>
      <w:r>
        <w:t xml:space="preserve">Al respecto, el defensor contó que desde el informante, Diego Barreda, hasta el comisario inspector de </w:t>
      </w:r>
      <w:smartTag w:uri="urn:schemas-microsoft-com:office:smarttags" w:element="PersonName">
        <w:smartTagPr>
          <w:attr w:name="ProductID" w:val="la Brigada"/>
        </w:smartTagPr>
        <w:r>
          <w:t>la Brigada</w:t>
        </w:r>
      </w:smartTag>
      <w:r>
        <w:t xml:space="preserve"> de Vicente López, Enrique Forgi</w:t>
      </w:r>
      <w:r>
        <w:t>o</w:t>
      </w:r>
      <w:r>
        <w:t>ne, todos estaban al tanto del procedimiento a re</w:t>
      </w:r>
      <w:r>
        <w:t>a</w:t>
      </w:r>
      <w:r>
        <w:t>lizarse en Villa Ballester, Pdo. de San Martín.</w:t>
      </w:r>
    </w:p>
    <w:p w:rsidR="00224567" w:rsidRDefault="00224567">
      <w:pPr>
        <w:pStyle w:val="Sangradetextonormal"/>
        <w:widowControl w:val="0"/>
        <w:ind w:firstLine="2835"/>
      </w:pPr>
      <w:r>
        <w:t>Concluyó que, si tal como sostuvo la acusación, el procedimiento era un “apriete” a Telle</w:t>
      </w:r>
      <w:r>
        <w:t>l</w:t>
      </w:r>
      <w:r>
        <w:t>dín, no se hubiera comunicado a la jefatura ni dado interve</w:t>
      </w:r>
      <w:r>
        <w:t>n</w:t>
      </w:r>
      <w:r>
        <w:t>ción al juzgado de turno, conforme constancias de fs. 36 y 2678 de la causa 1598; y que la visita a lo de Monjo est</w:t>
      </w:r>
      <w:r>
        <w:t>a</w:t>
      </w:r>
      <w:r>
        <w:t>ba dentro de las lógicas tareas de investigación vincul</w:t>
      </w:r>
      <w:r>
        <w:t>a</w:t>
      </w:r>
      <w:r>
        <w:t>das al vehículo Renault 19 que poseía Telleldín, las que comenzaron luego del primer contacto telefónico con Barr</w:t>
      </w:r>
      <w:r>
        <w:t>e</w:t>
      </w:r>
      <w:r>
        <w:t>da, en la noche del 8 de julio de 1994.</w:t>
      </w:r>
    </w:p>
    <w:p w:rsidR="00224567" w:rsidRDefault="00224567">
      <w:pPr>
        <w:widowControl w:val="0"/>
        <w:ind w:firstLine="2835"/>
      </w:pPr>
      <w:r>
        <w:t>Añadió que tampoco la detención de P</w:t>
      </w:r>
      <w:r>
        <w:t>é</w:t>
      </w:r>
      <w:r>
        <w:t>rez fue realizada para presionar a Telleldín, pues si Leal hubiera tenido esa intención, en su denuncia no hubiera indicado el nombre real de Carlos Telleldín, su domicilio y que poseía antecedentes judiciales pendientes ya que, seguramente, de resultar éste detenido, pasaría un prolo</w:t>
      </w:r>
      <w:r>
        <w:t>n</w:t>
      </w:r>
      <w:r>
        <w:t>gado período preso. Que, por otra parte, tampoco se retuvo a Pérez en espera de Telleldín, pues el horario de dete</w:t>
      </w:r>
      <w:r>
        <w:t>n</w:t>
      </w:r>
      <w:r>
        <w:t>ción fue alrededor de la 01.00 del 15 de julio de 1994 y no a las 21.55 del 14 como acusó el fiscal. En su</w:t>
      </w:r>
      <w:r>
        <w:t>s</w:t>
      </w:r>
      <w:r>
        <w:t>tento de esta postura el letrado hizo referencia a que del entr</w:t>
      </w:r>
      <w:r>
        <w:t>e</w:t>
      </w:r>
      <w:r>
        <w:t>cruzamiento de llamadas surgía que a las 23.41 del 14 de julio o a las 00.11 del 15, Leal habló con Barreda con el propósito de averiguar quién era Hugo Pérez y recién con ese dato, se comunicaron por radio a la brigada y trasl</w:t>
      </w:r>
      <w:r>
        <w:t>a</w:t>
      </w:r>
      <w:r>
        <w:t xml:space="preserve">daron al detenido desde San Martín hasta </w:t>
      </w:r>
      <w:smartTag w:uri="urn:schemas-microsoft-com:office:smarttags" w:element="PersonName">
        <w:smartTagPr>
          <w:attr w:name="ProductID" w:val="la Brigada"/>
        </w:smartTagPr>
        <w:r>
          <w:t>la Brigada</w:t>
        </w:r>
      </w:smartTag>
      <w:r>
        <w:t xml:space="preserve"> de V</w:t>
      </w:r>
      <w:r>
        <w:t>i</w:t>
      </w:r>
      <w:r>
        <w:t>cente López, sita en San Isidro. Dijo también que, en fo</w:t>
      </w:r>
      <w:r>
        <w:t>r</w:t>
      </w:r>
      <w:r>
        <w:t>ma c</w:t>
      </w:r>
      <w:r>
        <w:t>o</w:t>
      </w:r>
      <w:r>
        <w:t>incidente con este horario de detención señalado, se había pronunciado Argentino Gabriel L</w:t>
      </w:r>
      <w:r>
        <w:t>a</w:t>
      </w:r>
      <w:r>
        <w:t>sala.</w:t>
      </w:r>
    </w:p>
    <w:p w:rsidR="00224567" w:rsidRDefault="00224567">
      <w:pPr>
        <w:widowControl w:val="0"/>
        <w:ind w:firstLine="2835"/>
      </w:pPr>
      <w:r>
        <w:t>En otro orden de ideas, esa defensa remarcó que así como había aparecido una videocinta cont</w:t>
      </w:r>
      <w:r>
        <w:t>e</w:t>
      </w:r>
      <w:r>
        <w:t>niendo una entrevista entre Brousson y Cúneo Libarona, p</w:t>
      </w:r>
      <w:r>
        <w:t>o</w:t>
      </w:r>
      <w:r>
        <w:t xml:space="preserve">drían existir más elementos en poder del juzgado, de </w:t>
      </w:r>
      <w:smartTag w:uri="urn:schemas-microsoft-com:office:smarttags" w:element="PersonName">
        <w:smartTagPr>
          <w:attr w:name="ProductID" w:val="la S.I"/>
        </w:smartTagPr>
        <w:r>
          <w:t>la S.I</w:t>
        </w:r>
      </w:smartTag>
      <w:r>
        <w:t>.D.E. o de algún periodista, que permitieran desvinc</w:t>
      </w:r>
      <w:r>
        <w:t>u</w:t>
      </w:r>
      <w:r>
        <w:t>lar a Leal, por lo que esa mera posibilidad, destruía cualquier certeza de condena sobre su asistido.</w:t>
      </w:r>
    </w:p>
    <w:p w:rsidR="00224567" w:rsidRDefault="00224567">
      <w:pPr>
        <w:widowControl w:val="0"/>
        <w:ind w:firstLine="2835"/>
      </w:pPr>
      <w:r>
        <w:t>Argumentó también que una de las t</w:t>
      </w:r>
      <w:r>
        <w:t>e</w:t>
      </w:r>
      <w:r>
        <w:t>sis de la acusación para vincular a Leal con un interés en la camioneta Trafic fue alegar que las tareas de i</w:t>
      </w:r>
      <w:r>
        <w:t>n</w:t>
      </w:r>
      <w:r>
        <w:t>teligencia las realizó por cuenta propia a espaldas de sus superi</w:t>
      </w:r>
      <w:r>
        <w:t>o</w:t>
      </w:r>
      <w:r>
        <w:t>res, cuando en realidad se probó que existió esta orden. Al respecto, apuntó que Rago dio por tierra esta supos</w:t>
      </w:r>
      <w:r>
        <w:t>i</w:t>
      </w:r>
      <w:r>
        <w:t>ción, cuando aclaró que las tareas de int</w:t>
      </w:r>
      <w:r>
        <w:t>e</w:t>
      </w:r>
      <w:r>
        <w:t>ligencia fueron encomendadas antes del 14 de julio, y también porque el comisario inspector Enrique Forgione había dicho que se enteró de la existencia de la investigación el 6 o 7 de julio, y que el día 14 dio la o</w:t>
      </w:r>
      <w:r>
        <w:t>r</w:t>
      </w:r>
      <w:r>
        <w:t>den de montar un operativo en el exterior del domicilio de Telleldín, esperar a que saliera e interceptarlo para v</w:t>
      </w:r>
      <w:r>
        <w:t>e</w:t>
      </w:r>
      <w:r>
        <w:t>rificar la información y la participación del sujeto. También hizo referencia que, p</w:t>
      </w:r>
      <w:r>
        <w:t>e</w:t>
      </w:r>
      <w:r>
        <w:t xml:space="preserve">se a los dichos en la audiencia de </w:t>
      </w:r>
      <w:smartTag w:uri="urn:schemas-microsoft-com:office:smarttags" w:element="PersonName">
        <w:smartTagPr>
          <w:attr w:name="ProductID" w:val="la Dra. Spina"/>
        </w:smartTagPr>
        <w:r>
          <w:t>la Dra. Spina</w:t>
        </w:r>
      </w:smartTag>
      <w:r>
        <w:t xml:space="preserve"> acerca de que este comisario no estaba muy al tanto de los proced</w:t>
      </w:r>
      <w:r>
        <w:t>i</w:t>
      </w:r>
      <w:r>
        <w:t>mientos, el testimonio de Forgione era válido pues no constaba en ninguna de sus declaraciones esa ci</w:t>
      </w:r>
      <w:r>
        <w:t>r</w:t>
      </w:r>
      <w:r>
        <w:t>cunstancia y porque nadie lo denunció por falso te</w:t>
      </w:r>
      <w:r>
        <w:t>s</w:t>
      </w:r>
      <w:r>
        <w:t>timonio.</w:t>
      </w:r>
    </w:p>
    <w:p w:rsidR="00224567" w:rsidRDefault="00224567">
      <w:pPr>
        <w:widowControl w:val="0"/>
        <w:ind w:firstLine="2835"/>
      </w:pPr>
      <w:r>
        <w:t>La defensa detalló que la denuncia precisa y concreta realizada por Leal era el indicio más vehemente de que su defendido estaba investigando a T</w:t>
      </w:r>
      <w:r>
        <w:t>e</w:t>
      </w:r>
      <w:r>
        <w:t>lleldín y cumpliendo órdenes de sus superiores. Además, sostuvo, que si el plan era sacarle bienes a Telleldín, hubiera sido más fácil llevar a Pérez a la brigada, deja</w:t>
      </w:r>
      <w:r>
        <w:t>r</w:t>
      </w:r>
      <w:r>
        <w:t>lo dentro del automóvil de Leal, ingresar a todos en la dependencia y retenerlo a Pérez en el e</w:t>
      </w:r>
      <w:r>
        <w:t>s</w:t>
      </w:r>
      <w:r>
        <w:t>tacionamiento.</w:t>
      </w:r>
    </w:p>
    <w:p w:rsidR="00224567" w:rsidRDefault="00224567">
      <w:pPr>
        <w:widowControl w:val="0"/>
        <w:ind w:firstLine="2835"/>
      </w:pPr>
      <w:r>
        <w:t>En respuesta a la acusación de que la voluntad de Leal había sido captada por Juan José Rib</w:t>
      </w:r>
      <w:r>
        <w:t>e</w:t>
      </w:r>
      <w:r>
        <w:t>lli y su gente para que intervenga en el hecho del 10 de julio de 1994, conjeturó que ello no coincidía con las probanzas de autos porque de los entrecruzamientos telefónicos no figuraban llamadas entre Ribelli, Ibarra y Leal y porque conforme surgía de los legajos policiales de los tres, nunca habían compartido juntos un destino en común, ni tampoco Leal con alguno de ellos.</w:t>
      </w:r>
    </w:p>
    <w:p w:rsidR="00224567" w:rsidRDefault="00224567">
      <w:pPr>
        <w:widowControl w:val="0"/>
        <w:ind w:firstLine="2835"/>
      </w:pPr>
      <w:r>
        <w:t xml:space="preserve"> Que también carecía de lógica que Carlos Alberto Telleldín, el 10 de julio de 1994, cuando supuestamente vio a la policía en la puerta de su casa, no se escapó, como sí lo hizo el 14 de ese mes y, además, porque el nombrado no supo explicar el motivo de este e</w:t>
      </w:r>
      <w:r>
        <w:t>s</w:t>
      </w:r>
      <w:r>
        <w:t>cape si a Leal ya lo había visto el día 10.</w:t>
      </w:r>
    </w:p>
    <w:p w:rsidR="00224567" w:rsidRDefault="00224567">
      <w:pPr>
        <w:widowControl w:val="0"/>
        <w:ind w:firstLine="2835"/>
      </w:pPr>
      <w:r>
        <w:t>El Sr. defensor reseñó que en tanto García señaló que Leal y Bareiro llamaron por teléfono fingiendo ser compradores interesados en la camioneta Tr</w:t>
      </w:r>
      <w:r>
        <w:t>a</w:t>
      </w:r>
      <w:r>
        <w:t>fic, la acusación de que Leal había ido solo a la casa de Telleldín con el objetivo de colaborar con Ibarra en la entrega de la camioneta, qu</w:t>
      </w:r>
      <w:r>
        <w:t>e</w:t>
      </w:r>
      <w:r>
        <w:t>dó desvirtuada.</w:t>
      </w:r>
    </w:p>
    <w:p w:rsidR="00224567" w:rsidRDefault="00224567">
      <w:pPr>
        <w:widowControl w:val="0"/>
        <w:ind w:firstLine="2835"/>
      </w:pPr>
      <w:r>
        <w:t>El letrado manifestó que también se le imputó a su pupilo no haberle aportado al subcomisario R</w:t>
      </w:r>
      <w:r>
        <w:t>a</w:t>
      </w:r>
      <w:r>
        <w:t>go, datos precisos acerca de la camion</w:t>
      </w:r>
      <w:r>
        <w:t>e</w:t>
      </w:r>
      <w:r>
        <w:t>ta Trafic en poder de Telleldín. Al respecto, sind</w:t>
      </w:r>
      <w:r>
        <w:t>i</w:t>
      </w:r>
      <w:r>
        <w:t>có que ello fue así porque lo único que sabía Leal era lo que le había informado M</w:t>
      </w:r>
      <w:r>
        <w:t>a</w:t>
      </w:r>
      <w:r>
        <w:t>rio Bareiro: que Carlos Telleldín obtenía vehículos s</w:t>
      </w:r>
      <w:r>
        <w:t>i</w:t>
      </w:r>
      <w:r>
        <w:t>niestrados y mandaba a sustraer otros similares para su reventa, y que se movilizaba en un Renault 19 de procede</w:t>
      </w:r>
      <w:r>
        <w:t>n</w:t>
      </w:r>
      <w:r>
        <w:t>cia ilícita. Que el subcomisario Rago mantuvo esta info</w:t>
      </w:r>
      <w:r>
        <w:t>r</w:t>
      </w:r>
      <w:r>
        <w:t>mación hasta el regreso de las vacaciones del comisario Forgione y recién a partir del 8 de julio, Leal comenzó, por orden del jefe, con las tareas de investigación. Por otro lado, la camioneta Trafic, según lo declarado por el entorno de Telleldín, a esa fecha se encontraba en el t</w:t>
      </w:r>
      <w:r>
        <w:t>a</w:t>
      </w:r>
      <w:r>
        <w:t>ller de Nitzcaner, fue retirada el sábado 9 de julio y vendida el d</w:t>
      </w:r>
      <w:r>
        <w:t>o</w:t>
      </w:r>
      <w:r>
        <w:t xml:space="preserve">mingo 10. conjeturó  que si el personal de </w:t>
      </w:r>
      <w:smartTag w:uri="urn:schemas-microsoft-com:office:smarttags" w:element="PersonName">
        <w:smartTagPr>
          <w:attr w:name="ProductID" w:val="la Brigada"/>
        </w:smartTagPr>
        <w:r>
          <w:t>la Brigada</w:t>
        </w:r>
      </w:smartTag>
      <w:r>
        <w:t xml:space="preserve"> de Vicente López hubiera sabido de la existencia de la camioneta el viernes 8, la investigación hubiese c</w:t>
      </w:r>
      <w:r>
        <w:t>o</w:t>
      </w:r>
      <w:r>
        <w:t>menz</w:t>
      </w:r>
      <w:r>
        <w:t>a</w:t>
      </w:r>
      <w:r>
        <w:t>do con una inspección en ese taller.</w:t>
      </w:r>
    </w:p>
    <w:p w:rsidR="00224567" w:rsidRDefault="00224567">
      <w:pPr>
        <w:widowControl w:val="0"/>
        <w:ind w:firstLine="2835"/>
      </w:pPr>
      <w:r>
        <w:t>El defensor recalcó que Leal descon</w:t>
      </w:r>
      <w:r>
        <w:t>o</w:t>
      </w:r>
      <w:r>
        <w:t>cía los fines esp</w:t>
      </w:r>
      <w:r>
        <w:t>u</w:t>
      </w:r>
      <w:r>
        <w:t>rios de Barreda y Bareiro.</w:t>
      </w:r>
    </w:p>
    <w:p w:rsidR="00224567" w:rsidRDefault="00224567">
      <w:pPr>
        <w:widowControl w:val="0"/>
        <w:ind w:firstLine="2835"/>
      </w:pPr>
      <w:r>
        <w:t>Criticó la versión del vínculo entre las brigadas de Vicente López y de Lanús y su utiliz</w:t>
      </w:r>
      <w:r>
        <w:t>a</w:t>
      </w:r>
      <w:r>
        <w:t>ción como indicio del hecho del 10 de julio de 1994. Al respe</w:t>
      </w:r>
      <w:r>
        <w:t>c</w:t>
      </w:r>
      <w:r>
        <w:t>to, afirmó el defensor, que si bien era cierto que Leal y García habían trabajado juntos en Lanús en el año 1993, para esa fecha ni Ribelli ni Ibarra trabajaban allí, s</w:t>
      </w:r>
      <w:r>
        <w:t>i</w:t>
      </w:r>
      <w:r>
        <w:t>tuación además aclarada por García en su declaración te</w:t>
      </w:r>
      <w:r>
        <w:t>s</w:t>
      </w:r>
      <w:r>
        <w:t>timonial.</w:t>
      </w:r>
    </w:p>
    <w:p w:rsidR="00224567" w:rsidRDefault="00224567">
      <w:pPr>
        <w:widowControl w:val="0"/>
        <w:ind w:firstLine="2835"/>
      </w:pPr>
      <w:r>
        <w:t>Invocó que la circunstancia de que Leal no se hubiera dado cuenta ni declarado acerca del disparo que efectuó Manuel Enrique García el 14 de julio de 1994 para impedir la fuga de Carlos Alberto T</w:t>
      </w:r>
      <w:r>
        <w:t>e</w:t>
      </w:r>
      <w:r>
        <w:t>lleldín y de Ana Boragni, no era un elemento cargoso como pretendió hacerlo valer la qu</w:t>
      </w:r>
      <w:r>
        <w:t>e</w:t>
      </w:r>
      <w:r>
        <w:t>rella sino que, por el contrario, era un claro indicio de que en esa oportunidad se efectuó un operativo policial y no un inte</w:t>
      </w:r>
      <w:r>
        <w:t>n</w:t>
      </w:r>
      <w:r>
        <w:t>to de privación ilegal de la libertad.</w:t>
      </w:r>
    </w:p>
    <w:p w:rsidR="00224567" w:rsidRDefault="00224567">
      <w:pPr>
        <w:widowControl w:val="0"/>
        <w:ind w:firstLine="2835"/>
      </w:pPr>
      <w:r>
        <w:t>Criticó la validez de las conf</w:t>
      </w:r>
      <w:r>
        <w:t>e</w:t>
      </w:r>
      <w:r>
        <w:t>siones efectuadas por Mario Bareiro y Diego Barreda. Al re</w:t>
      </w:r>
      <w:r>
        <w:t>s</w:t>
      </w:r>
      <w:r>
        <w:t>pecto señaló que Bareiro trató de negociar con el juez su libe</w:t>
      </w:r>
      <w:r>
        <w:t>r</w:t>
      </w:r>
      <w:r>
        <w:t>tad a costa de incriminar a su cliente; que ambas conf</w:t>
      </w:r>
      <w:r>
        <w:t>e</w:t>
      </w:r>
      <w:r>
        <w:t>siones no eran llanas y que ello se evidenciaba en el o</w:t>
      </w:r>
      <w:r>
        <w:t>r</w:t>
      </w:r>
      <w:r>
        <w:t>den en que fueron tomadas esas indagatorias y porque en esas oportunidades el magistrado instructor los había pr</w:t>
      </w:r>
      <w:r>
        <w:t>e</w:t>
      </w:r>
      <w:r>
        <w:t>sionado, indicándoles que estaban acusados del atentado terrorista más grave de la historia arge</w:t>
      </w:r>
      <w:r>
        <w:t>n</w:t>
      </w:r>
      <w:r>
        <w:t>tina, con el fin de conseguir una imputación directa contra Leal. Reca</w:t>
      </w:r>
      <w:r>
        <w:t>l</w:t>
      </w:r>
      <w:r>
        <w:t>có, con cita de Cafferata Nores, “</w:t>
      </w:r>
      <w:smartTag w:uri="urn:schemas-microsoft-com:office:smarttags" w:element="PersonName">
        <w:smartTagPr>
          <w:attr w:name="ProductID" w:val="La Prueba"/>
        </w:smartTagPr>
        <w:r>
          <w:t>La Prueba</w:t>
        </w:r>
      </w:smartTag>
      <w:r>
        <w:t xml:space="preserve"> en el Proceso P</w:t>
      </w:r>
      <w:r>
        <w:t>e</w:t>
      </w:r>
      <w:r>
        <w:t>nal”, 4ta. edición, que era deber del juez valorar el co</w:t>
      </w:r>
      <w:r>
        <w:t>n</w:t>
      </w:r>
      <w:r>
        <w:t>texto de la declaración y que no era legítima como prueba de cargo la incriminación a un tercero formulada por el imputado en el marco de una confesión, cuando ella obed</w:t>
      </w:r>
      <w:r>
        <w:t>e</w:t>
      </w:r>
      <w:r>
        <w:t>cía a promesas judiciales o ventajas procesales para el confesante. Con cita del artículo de Roberto A. Falcone y Juan F. T</w:t>
      </w:r>
      <w:r>
        <w:t>a</w:t>
      </w:r>
      <w:r>
        <w:t>pia, “La prueba”, Jurisprudencia Argentina 2001, tomo III, págs. 1002 y sigs., subrayó que se encontraba controvertida la naturaleza jurídica que cabía asignarle a este medio de prueba y que su validez disminuía en la m</w:t>
      </w:r>
      <w:r>
        <w:t>e</w:t>
      </w:r>
      <w:r>
        <w:t>dida que los coimputados prestaron su declaración guiados por móviles espurios, como pudo ser un mejor alojamiento carcelario.</w:t>
      </w:r>
    </w:p>
    <w:p w:rsidR="00224567" w:rsidRDefault="00224567">
      <w:pPr>
        <w:widowControl w:val="0"/>
        <w:ind w:firstLine="2835"/>
      </w:pPr>
      <w:r>
        <w:t>Desvirtuó lo afirmado por la acus</w:t>
      </w:r>
      <w:r>
        <w:t>a</w:t>
      </w:r>
      <w:r>
        <w:t>ción respecto de que la averiguación de antecedentes de Pérez había sido para encubrir la extorsión a Carlos Alberto T</w:t>
      </w:r>
      <w:r>
        <w:t>e</w:t>
      </w:r>
      <w:r>
        <w:t>lleldín; ello por cuanto fue una medida ad</w:t>
      </w:r>
      <w:r>
        <w:t>e</w:t>
      </w:r>
      <w:r>
        <w:t>cuada. Reafirmó su posición con los precedentes “Igl</w:t>
      </w:r>
      <w:r>
        <w:t>e</w:t>
      </w:r>
      <w:r>
        <w:t xml:space="preserve">sias, Rubén Alberto”, de la sala IV de </w:t>
      </w:r>
      <w:smartTag w:uri="urn:schemas-microsoft-com:office:smarttags" w:element="PersonName">
        <w:smartTagPr>
          <w:attr w:name="ProductID" w:val="la C.N"/>
        </w:smartTagPr>
        <w:r>
          <w:t>la C.N</w:t>
        </w:r>
      </w:smartTag>
      <w:r>
        <w:t>.C.P., rta. el 17/11/1997, y “Tu</w:t>
      </w:r>
      <w:r>
        <w:t>m</w:t>
      </w:r>
      <w:r>
        <w:t>beiro, Ca</w:t>
      </w:r>
      <w:r>
        <w:t>r</w:t>
      </w:r>
      <w:r>
        <w:t xml:space="preserve">los” de </w:t>
      </w:r>
      <w:smartTag w:uri="urn:schemas-microsoft-com:office:smarttags" w:element="PersonName">
        <w:smartTagPr>
          <w:attr w:name="ProductID" w:val="la C.S"/>
        </w:smartTagPr>
        <w:r>
          <w:t>la C.S</w:t>
        </w:r>
      </w:smartTag>
      <w:r>
        <w:t>.J.N.</w:t>
      </w:r>
    </w:p>
    <w:p w:rsidR="00224567" w:rsidRDefault="00224567">
      <w:pPr>
        <w:widowControl w:val="0"/>
        <w:ind w:firstLine="2835"/>
      </w:pPr>
      <w:r>
        <w:t>Recordó que al momento de prestar d</w:t>
      </w:r>
      <w:r>
        <w:t>e</w:t>
      </w:r>
      <w:r>
        <w:t>claración testimonial en la audiencia, Ana María Boragni dijo que Diego Barreda había dicho que el oficial a cargo del procedimiento montado en la puerta de su casa era “Pino”.</w:t>
      </w:r>
    </w:p>
    <w:p w:rsidR="00224567" w:rsidRDefault="00224567">
      <w:pPr>
        <w:widowControl w:val="0"/>
        <w:ind w:firstLine="2835"/>
      </w:pPr>
      <w:r>
        <w:t xml:space="preserve"> Con relación a la supuesta impacie</w:t>
      </w:r>
      <w:r>
        <w:t>n</w:t>
      </w:r>
      <w:r>
        <w:t>cia de Leal en cobrar su parte de la embarcación “Gonz</w:t>
      </w:r>
      <w:r>
        <w:t>a</w:t>
      </w:r>
      <w:r>
        <w:t>lo”, opinó que eso no se desprendía de los dichos de Nél</w:t>
      </w:r>
      <w:r>
        <w:t>i</w:t>
      </w:r>
      <w:r>
        <w:t>da Virginia Morri, quien realizó los trámites de libre deuda del barco, ni de los de la secretaria del Dr. Bott</w:t>
      </w:r>
      <w:r>
        <w:t>e</w:t>
      </w:r>
      <w:r>
        <w:t>gal, Mónica Beatriz Ib</w:t>
      </w:r>
      <w:r>
        <w:t>a</w:t>
      </w:r>
      <w:r>
        <w:t>lo.</w:t>
      </w:r>
    </w:p>
    <w:p w:rsidR="00224567" w:rsidRDefault="00224567">
      <w:pPr>
        <w:widowControl w:val="0"/>
        <w:ind w:firstLine="2835"/>
      </w:pPr>
      <w:r>
        <w:t>Destacó, como elemento a considerar acerca de la no participación de su defendido en los il</w:t>
      </w:r>
      <w:r>
        <w:t>í</w:t>
      </w:r>
      <w:r>
        <w:t>citos reprochados, que ni Barreda ni Bareiro tenían la confianza necesaria para ofrecerle a Leal un negocio il</w:t>
      </w:r>
      <w:r>
        <w:t>í</w:t>
      </w:r>
      <w:r>
        <w:t xml:space="preserve">cito; además Bareiro conocía que si tenía cualquier otro problema sufriría graves consecuencias, dado lo ocurrido con él en </w:t>
      </w:r>
      <w:smartTag w:uri="urn:schemas-microsoft-com:office:smarttags" w:element="PersonName">
        <w:smartTagPr>
          <w:attr w:name="ProductID" w:val="la Brigada"/>
        </w:smartTagPr>
        <w:r>
          <w:t>la Brigada</w:t>
        </w:r>
      </w:smartTag>
      <w:r>
        <w:t xml:space="preserve"> de San Martín.</w:t>
      </w:r>
    </w:p>
    <w:p w:rsidR="00224567" w:rsidRDefault="00224567">
      <w:pPr>
        <w:widowControl w:val="0"/>
        <w:ind w:firstLine="2835"/>
      </w:pPr>
      <w:r>
        <w:t>Explicó que por el entrecruzamiento telefónico la fiscalía había sostenido que el horario de detención de Hugo Pérez había sido a las 21.55, lo que no concordaba con los dichos de Telleldín que refirió haber llamado por teléfono a su casa y hablado con Pérez a las 23; ni con los del mismo Pérez que indicó que siempre vo</w:t>
      </w:r>
      <w:r>
        <w:t>l</w:t>
      </w:r>
      <w:r>
        <w:t>vía al domic</w:t>
      </w:r>
      <w:r>
        <w:t>i</w:t>
      </w:r>
      <w:r>
        <w:t>lio de Telleldín en el horario mencionado.</w:t>
      </w:r>
    </w:p>
    <w:p w:rsidR="00224567" w:rsidRDefault="00224567">
      <w:pPr>
        <w:widowControl w:val="0"/>
        <w:ind w:firstLine="2835"/>
      </w:pPr>
      <w:r>
        <w:t>Especificó que el trámite de averigu</w:t>
      </w:r>
      <w:r>
        <w:t>a</w:t>
      </w:r>
      <w:r>
        <w:t>ción de antecedentes no tenía una regulación interna en particular y que el jefe del grupo operativo se de</w:t>
      </w:r>
      <w:r>
        <w:t>s</w:t>
      </w:r>
      <w:r>
        <w:t>ligaba una vez que entregaba al detenido, por lo que no se lo p</w:t>
      </w:r>
      <w:r>
        <w:t>o</w:t>
      </w:r>
      <w:r>
        <w:t>día responsabilizar a su cliente por el devenir del trám</w:t>
      </w:r>
      <w:r>
        <w:t>i</w:t>
      </w:r>
      <w:r>
        <w:t>te interno en el c</w:t>
      </w:r>
      <w:r>
        <w:t>a</w:t>
      </w:r>
      <w:r>
        <w:t>so de Pérez.</w:t>
      </w:r>
    </w:p>
    <w:p w:rsidR="00224567" w:rsidRDefault="00224567">
      <w:pPr>
        <w:widowControl w:val="0"/>
        <w:ind w:firstLine="2835"/>
      </w:pPr>
      <w:r>
        <w:t>Con relación a ese punto citó, entre otros, los testim</w:t>
      </w:r>
      <w:r>
        <w:t>o</w:t>
      </w:r>
      <w:r>
        <w:t>nios de Enrique Giuliani, Guillermo José Sánchez, José Aurelio Ferrari, Jorge Alfredo Palacios, Nelson Raúl Núñez, José Nicolás Balbi, Juan Ca</w:t>
      </w:r>
      <w:r>
        <w:t>r</w:t>
      </w:r>
      <w:r>
        <w:t>los Negrón, Luis Ariel Rodríguez Ri</w:t>
      </w:r>
      <w:r>
        <w:t>t</w:t>
      </w:r>
      <w:r>
        <w:t>haud y Ángel Rubén Varela.</w:t>
      </w:r>
    </w:p>
    <w:p w:rsidR="00224567" w:rsidRDefault="00224567">
      <w:pPr>
        <w:widowControl w:val="0"/>
        <w:ind w:firstLine="2835"/>
      </w:pPr>
      <w:r>
        <w:t xml:space="preserve">A continuación, </w:t>
      </w:r>
      <w:smartTag w:uri="urn:schemas-microsoft-com:office:smarttags" w:element="PersonName">
        <w:smartTagPr>
          <w:attr w:name="ProductID" w:val="la Dra. Bacci"/>
        </w:smartTagPr>
        <w:r>
          <w:t>la Dra. Bacci</w:t>
        </w:r>
      </w:smartTag>
      <w:r>
        <w:t xml:space="preserve"> r</w:t>
      </w:r>
      <w:r>
        <w:t>e</w:t>
      </w:r>
      <w:r>
        <w:t>sumió que su defendido se encontraba preso por una negociación vergonzosa. En esa creencia y en adhesión a los planteos formulados por los Dres. Fechino, Novello, Ubeira, Valle y Moreno, solicitó la nulidad de la d</w:t>
      </w:r>
      <w:r>
        <w:t>e</w:t>
      </w:r>
      <w:r>
        <w:t>claración indagatoria prestada por Carlos Alberto Telleldín el 5 de julio de 1996, en la que, luego de un pago dinerario, indicó al oficial “Pino” como el sujeto que le exigió la camioneta Trafic y el Renault 19 el día 10 de julio de 1994. Recalcó que durante la instrucción existieron negociaciones y ofrecimientos y que prueba de ello también fue el testim</w:t>
      </w:r>
      <w:r>
        <w:t>o</w:t>
      </w:r>
      <w:r>
        <w:t>nio del Dr. Marcelo García, otrora defensor de Huici, quien señaló que a su asistido le propusieron beneficios a cambio de d</w:t>
      </w:r>
      <w:r>
        <w:t>e</w:t>
      </w:r>
      <w:r>
        <w:t>clarar que había visto a Leal con la camioneta Tr</w:t>
      </w:r>
      <w:r>
        <w:t>a</w:t>
      </w:r>
      <w:r>
        <w:t>fic.</w:t>
      </w:r>
    </w:p>
    <w:p w:rsidR="00224567" w:rsidRDefault="00224567">
      <w:pPr>
        <w:widowControl w:val="0"/>
        <w:ind w:firstLine="2835"/>
      </w:pPr>
      <w:r>
        <w:t>Criticó que la línea investigat</w:t>
      </w:r>
      <w:r>
        <w:t>i</w:t>
      </w:r>
      <w:r>
        <w:t>va se haya centrado en buscar a una persona apodada “Pino”, cuando Telleldín nunca se refirió a apodos y cuando exi</w:t>
      </w:r>
      <w:r>
        <w:t>s</w:t>
      </w:r>
      <w:r>
        <w:t>tía un oficial en la fuerza con ese apellido. También de</w:t>
      </w:r>
      <w:r>
        <w:t>s</w:t>
      </w:r>
      <w:r>
        <w:t>virtuó los dichos del testigo Gustavo Semorile, quien, p</w:t>
      </w:r>
      <w:r>
        <w:t>e</w:t>
      </w:r>
      <w:r>
        <w:t>se a haber declarado en la instrucción que había convers</w:t>
      </w:r>
      <w:r>
        <w:t>a</w:t>
      </w:r>
      <w:r>
        <w:t>do con Ribelli y Leal, no pudo reconocer a Anastasio Ir</w:t>
      </w:r>
      <w:r>
        <w:t>e</w:t>
      </w:r>
      <w:r>
        <w:t>neo Leal en la sala de audiencias.</w:t>
      </w:r>
    </w:p>
    <w:p w:rsidR="00224567" w:rsidRDefault="00224567">
      <w:pPr>
        <w:widowControl w:val="0"/>
        <w:ind w:firstLine="2835"/>
      </w:pPr>
      <w:r>
        <w:t>Destacó la letrada que el ánimo de su defendido siempre fue el de colaborar, y por ello fue que el 5 de diciembre de 1995 se presentó en el juzgado in</w:t>
      </w:r>
      <w:r>
        <w:t>s</w:t>
      </w:r>
      <w:r>
        <w:t>tructor y como el juez no lo atendió presentó un escr</w:t>
      </w:r>
      <w:r>
        <w:t>i</w:t>
      </w:r>
      <w:r>
        <w:t>to.</w:t>
      </w:r>
    </w:p>
    <w:p w:rsidR="00224567" w:rsidRDefault="00224567">
      <w:pPr>
        <w:widowControl w:val="0"/>
        <w:ind w:firstLine="2835"/>
      </w:pPr>
      <w:r>
        <w:t>Criticó la actuación de Ramón Verón porque entendió que en vez de investigar las pistas que conducían a San Martín, se centró en vincular a las brig</w:t>
      </w:r>
      <w:r>
        <w:t>a</w:t>
      </w:r>
      <w:r>
        <w:t>das de Lanús y Vicente López, cuando en realidad, el Dr. Galeano, mediante oficio de fecha 9 de junio de 1995, h</w:t>
      </w:r>
      <w:r>
        <w:t>a</w:t>
      </w:r>
      <w:r>
        <w:t>bía solicitado que se investigara al entorno de Telle</w:t>
      </w:r>
      <w:r>
        <w:t>l</w:t>
      </w:r>
      <w:r>
        <w:t>dín y a sus vinculaciones con miembros de toda la policía pr</w:t>
      </w:r>
      <w:r>
        <w:t>o</w:t>
      </w:r>
      <w:r>
        <w:t>vincial.</w:t>
      </w:r>
    </w:p>
    <w:p w:rsidR="00224567" w:rsidRDefault="00224567">
      <w:pPr>
        <w:widowControl w:val="0"/>
        <w:ind w:firstLine="2835"/>
      </w:pPr>
      <w:r>
        <w:t>La letrada defensora señaló que T</w:t>
      </w:r>
      <w:r>
        <w:t>e</w:t>
      </w:r>
      <w:r>
        <w:t>lleldín recibió presiones del magistrado instructor y de los fiscales para incriminar a algún of</w:t>
      </w:r>
      <w:r>
        <w:t>i</w:t>
      </w:r>
      <w:r>
        <w:t>cial de la policía o carapintada del ejército. Que estas presiones comenz</w:t>
      </w:r>
      <w:r>
        <w:t>a</w:t>
      </w:r>
      <w:r>
        <w:t>ron a evidenciarse el 2 de junio de 1995, fecha en la cual el juez, so pretexto de razones de segur</w:t>
      </w:r>
      <w:r>
        <w:t>i</w:t>
      </w:r>
      <w:r>
        <w:t xml:space="preserve">dad, lo trasladó de </w:t>
      </w:r>
      <w:smartTag w:uri="urn:schemas-microsoft-com:office:smarttags" w:element="PersonName">
        <w:smartTagPr>
          <w:attr w:name="ProductID" w:val="la Unidad"/>
        </w:smartTagPr>
        <w:r>
          <w:t>la Unidad</w:t>
        </w:r>
      </w:smartTag>
      <w:r>
        <w:t xml:space="preserve"> n° </w:t>
      </w:r>
      <w:smartTag w:uri="urn:schemas-microsoft-com:office:smarttags" w:element="metricconverter">
        <w:smartTagPr>
          <w:attr w:name="ProductID" w:val="1 a"/>
        </w:smartTagPr>
        <w:r>
          <w:t>1 a</w:t>
        </w:r>
      </w:smartTag>
      <w:r>
        <w:t xml:space="preserve"> </w:t>
      </w:r>
      <w:smartTag w:uri="urn:schemas-microsoft-com:office:smarttags" w:element="PersonName">
        <w:smartTagPr>
          <w:attr w:name="ProductID" w:val="la Unidad"/>
        </w:smartTagPr>
        <w:r>
          <w:t>la Unidad</w:t>
        </w:r>
      </w:smartTag>
      <w:r>
        <w:t xml:space="preserve"> n° 2 del Servicio Penitenciario Federal, y también cuando el 16 de julio de 1995 apareci</w:t>
      </w:r>
      <w:r>
        <w:t>e</w:t>
      </w:r>
      <w:r>
        <w:t xml:space="preserve">ron en el diario “Página </w:t>
      </w:r>
      <w:smartTag w:uri="urn:schemas-microsoft-com:office:smarttags" w:element="metricconverter">
        <w:smartTagPr>
          <w:attr w:name="ProductID" w:val="12”"/>
        </w:smartTagPr>
        <w:r>
          <w:t>12”</w:t>
        </w:r>
      </w:smartTag>
      <w:r>
        <w:t xml:space="preserve"> las publicaciones de Román Lejtman y Raúl Kollmann.</w:t>
      </w:r>
    </w:p>
    <w:p w:rsidR="00224567" w:rsidRDefault="00224567">
      <w:pPr>
        <w:widowControl w:val="0"/>
        <w:ind w:firstLine="2835"/>
      </w:pPr>
      <w:smartTag w:uri="urn:schemas-microsoft-com:office:smarttags" w:element="PersonName">
        <w:smartTagPr>
          <w:attr w:name="ProductID" w:val="la Dra. Bacci"/>
        </w:smartTagPr>
        <w:r>
          <w:t>La Dra. Bacci</w:t>
        </w:r>
      </w:smartTag>
      <w:r>
        <w:t xml:space="preserve">, luego de realizar una remisión de las diferentes constancias de la causa, dijo que hubo una negociación entre Telleldín y la cámara que comenzó el día en que </w:t>
      </w:r>
      <w:smartTag w:uri="urn:schemas-microsoft-com:office:smarttags" w:element="PersonName">
        <w:smartTagPr>
          <w:attr w:name="ProductID" w:val="la Dra. Riva"/>
        </w:smartTagPr>
        <w:r>
          <w:t>la Dra. Riva</w:t>
        </w:r>
      </w:smartTag>
      <w:r>
        <w:t xml:space="preserve"> Aramayo entrevistó al nombrado en la cárcel, circunstancia acredit</w:t>
      </w:r>
      <w:r>
        <w:t>a</w:t>
      </w:r>
      <w:r>
        <w:t>da a fs. 280 de la causa “Brigadas”. Resaltó que, tal como quedó ev</w:t>
      </w:r>
      <w:r>
        <w:t>i</w:t>
      </w:r>
      <w:r>
        <w:t>denciado por el peritaje caligráfico de fs. 110.857/110.859, la camarista mintió al señalar que T</w:t>
      </w:r>
      <w:r>
        <w:t>e</w:t>
      </w:r>
      <w:r>
        <w:t>lleldín le había confeccionado un plano a mano alz</w:t>
      </w:r>
      <w:r>
        <w:t>a</w:t>
      </w:r>
      <w:r>
        <w:t>da, por lo que entendió que sus manifestaciones dejaron de ser creíbles. En ese entendimiento dijo que la magistrada i</w:t>
      </w:r>
      <w:r>
        <w:t>n</w:t>
      </w:r>
      <w:r>
        <w:t>ventó a “Pino” y sus datos fisonómicos, y que sólo conc</w:t>
      </w:r>
      <w:r>
        <w:t>u</w:t>
      </w:r>
      <w:r>
        <w:t>rrió a la unidad penitenciaria con el fin de enseñarle a Telleldín el primer borrador de la ve</w:t>
      </w:r>
      <w:r>
        <w:t>r</w:t>
      </w:r>
      <w:r>
        <w:t>sión que culminó en la ampliación de su declaración i</w:t>
      </w:r>
      <w:r>
        <w:t>n</w:t>
      </w:r>
      <w:r>
        <w:t>dagatoria el 5 de julio de 1996.</w:t>
      </w:r>
    </w:p>
    <w:p w:rsidR="00224567" w:rsidRDefault="00224567">
      <w:pPr>
        <w:widowControl w:val="0"/>
        <w:ind w:firstLine="2835"/>
      </w:pPr>
      <w:r>
        <w:t>Dijo, sobre la base de la expl</w:t>
      </w:r>
      <w:r>
        <w:t>i</w:t>
      </w:r>
      <w:r>
        <w:t>cación brindada por T</w:t>
      </w:r>
      <w:r>
        <w:t>e</w:t>
      </w:r>
      <w:r>
        <w:t>lleldín y los planos por él efectuados el 9 de diciembre de 2003, que el 10 de julio de 1994 hubo una venta de una camioneta y no una extorsión y que el autom</w:t>
      </w:r>
      <w:r>
        <w:t>ó</w:t>
      </w:r>
      <w:r>
        <w:t>vil Ford Galaxy presente ese día no era el que utilizaba su defendido.</w:t>
      </w:r>
    </w:p>
    <w:p w:rsidR="00224567" w:rsidRDefault="00224567">
      <w:pPr>
        <w:widowControl w:val="0"/>
        <w:ind w:firstLine="2835"/>
      </w:pPr>
      <w:r>
        <w:t>La letrada defensora instó a que no sean considerados los testimonios de Ana Boragni, por e</w:t>
      </w:r>
      <w:r>
        <w:t>n</w:t>
      </w:r>
      <w:r>
        <w:t>tender que se trataba de una persona a la que no le impo</w:t>
      </w:r>
      <w:r>
        <w:t>r</w:t>
      </w:r>
      <w:r>
        <w:t>tó mentir para avalar las teorías de su esposo.</w:t>
      </w:r>
    </w:p>
    <w:p w:rsidR="00224567" w:rsidRDefault="00224567">
      <w:pPr>
        <w:widowControl w:val="0"/>
        <w:ind w:firstLine="2835"/>
      </w:pPr>
      <w:r>
        <w:t>En respuesta a las imputaciones form</w:t>
      </w:r>
      <w:r>
        <w:t>u</w:t>
      </w:r>
      <w:r>
        <w:t>ladas por la querella D.A.I.A., A.M.I.A. y “Grupo de Fam</w:t>
      </w:r>
      <w:r>
        <w:t>i</w:t>
      </w:r>
      <w:r>
        <w:t xml:space="preserve">liares”, </w:t>
      </w:r>
      <w:smartTag w:uri="urn:schemas-microsoft-com:office:smarttags" w:element="PersonName">
        <w:smartTagPr>
          <w:attr w:name="ProductID" w:val="la Dra. Bacci"/>
        </w:smartTagPr>
        <w:r>
          <w:t>la Dra. Bacci</w:t>
        </w:r>
      </w:smartTag>
      <w:r>
        <w:t xml:space="preserve"> dijo que de las declaraciones ind</w:t>
      </w:r>
      <w:r>
        <w:t>a</w:t>
      </w:r>
      <w:r>
        <w:t>gatorias prestadas por Carlos Alberto Telleldín los días 30 de julio, 6 de agosto y 29 de diciembre, todas ellas del año 1994, surgió que éste había vendido la camioneta Trafic el 10 de julio del mencionado año, por lo que no pudo ser una entrega consensuada con los policías; que T</w:t>
      </w:r>
      <w:r>
        <w:t>e</w:t>
      </w:r>
      <w:r>
        <w:t>lleldín fue coherente en sus dichos hasta la declaración paga del 5 de julio de 1996 y que brindó datos concretos acerca de esa venta, los que no fueron invest</w:t>
      </w:r>
      <w:r>
        <w:t>i</w:t>
      </w:r>
      <w:r>
        <w:t>gados por el magistrado instructor porque ya se había armado la prueba; que no era cierto que Telleldín se hubiera referido a la presencia del Ford Galaxy de Leal el día 10 de julio de 1994, sino que al contr</w:t>
      </w:r>
      <w:r>
        <w:t>a</w:t>
      </w:r>
      <w:r>
        <w:t>rio había ratificado, aún después del pago, que el rodado presente el día 10 de julio no era el mismo que el de la persecución del día 14 de ese mes. Sobre este punto, concluyó la letrada que la introducción del dato de dicho automotor fue adrede, con el claro pr</w:t>
      </w:r>
      <w:r>
        <w:t>o</w:t>
      </w:r>
      <w:r>
        <w:t>pósito de justificar la imputación a Leal por la exto</w:t>
      </w:r>
      <w:r>
        <w:t>r</w:t>
      </w:r>
      <w:r>
        <w:t xml:space="preserve">sión y para convertirlo en partícipe necesario del atentado a la sede de </w:t>
      </w:r>
      <w:smartTag w:uri="urn:schemas-microsoft-com:office:smarttags" w:element="PersonName">
        <w:smartTagPr>
          <w:attr w:name="ProductID" w:val="la A.M"/>
        </w:smartTagPr>
        <w:r>
          <w:t>la A.M</w:t>
        </w:r>
      </w:smartTag>
      <w:r>
        <w:t>.I.A.</w:t>
      </w:r>
    </w:p>
    <w:p w:rsidR="00224567" w:rsidRDefault="00224567">
      <w:pPr>
        <w:widowControl w:val="0"/>
        <w:ind w:firstLine="2835"/>
      </w:pPr>
      <w:r>
        <w:t>Dijo también que la imputación volc</w:t>
      </w:r>
      <w:r>
        <w:t>a</w:t>
      </w:r>
      <w:r>
        <w:t>da por Carlos Alberto Telleldín en la declaración del 5 de julio de 1996, en cuanto a que había entregado la camion</w:t>
      </w:r>
      <w:r>
        <w:t>e</w:t>
      </w:r>
      <w:r>
        <w:t>ta Trafic a Leal y los otros policías el 10 de julio de 1994 en el marco de una extorsión, era mentira. Que su cliente nunca tuvo motivos para extorsionar al nombrado, simplemente porque no lo conocía. Que el desconocimiento de Leal a Telleldín  surgía de las videocintas del 10 de abril y del 1° de julio de 1996, de la casete certificada a fs. 4918 del legajo de instrucción suplementaria, del reportaje periodístico del pr</w:t>
      </w:r>
      <w:r>
        <w:t>o</w:t>
      </w:r>
      <w:r>
        <w:t>grama “Jaque Mate” que fuera aportado por su defendido el 10 de octubre de 2001, de las declaraciones de Leal, Lasala y Manuel Enrique García obrantes a fs. 93, 96 y 98 de la causa 1598 y de la nota emitida el 24 de marzo de 2002 en el programa “Punto Doc”.</w:t>
      </w:r>
    </w:p>
    <w:p w:rsidR="00224567" w:rsidRDefault="00224567">
      <w:pPr>
        <w:widowControl w:val="0"/>
        <w:ind w:firstLine="2835"/>
      </w:pPr>
      <w:r>
        <w:t>Que estos dichos de Telleldín debían considerarse parte de la “historia oficial” pergeñada por la justicia, el Estado y la comunidad judía para perjud</w:t>
      </w:r>
      <w:r>
        <w:t>i</w:t>
      </w:r>
      <w:r>
        <w:t>car a su cliente. Al respecto indicó que participaron en ella los Dres. Juan José Galeano, Susana Spina, Carlos V</w:t>
      </w:r>
      <w:r>
        <w:t>e</w:t>
      </w:r>
      <w:r>
        <w:t>lasco, Javier De Gamas, José Pereyra, Eamon Mullen, José Barbaccia, Riva Aramayo, Rubén Ber</w:t>
      </w:r>
      <w:r>
        <w:t>a</w:t>
      </w:r>
      <w:r>
        <w:t xml:space="preserve">ja y Hugo Anzorreguy;  los agentes de </w:t>
      </w:r>
      <w:smartTag w:uri="urn:schemas-microsoft-com:office:smarttags" w:element="PersonName">
        <w:smartTagPr>
          <w:attr w:name="ProductID" w:val="la S.I"/>
        </w:smartTagPr>
        <w:r>
          <w:t>la S.I</w:t>
        </w:r>
      </w:smartTag>
      <w:r>
        <w:t>.D.E., Patricio Finnen, Juan Carlos Legascue y Alejandro Alberto Brousson; como así ta</w:t>
      </w:r>
      <w:r>
        <w:t>m</w:t>
      </w:r>
      <w:r>
        <w:t>bién el propio Carlos Alberto Telleldín y su entorno: el Dr. Ví</w:t>
      </w:r>
      <w:r>
        <w:t>c</w:t>
      </w:r>
      <w:r>
        <w:t>tor Stinfale, Ana María Boragni, Hugo Antonio Pérez, Gu</w:t>
      </w:r>
      <w:r>
        <w:t>i</w:t>
      </w:r>
      <w:r>
        <w:t>llermo Cotoras, Eduardo Telleldín, Héctor Banga y Sandra Marisa Petrucci.</w:t>
      </w:r>
    </w:p>
    <w:p w:rsidR="00224567" w:rsidRDefault="00224567">
      <w:pPr>
        <w:widowControl w:val="0"/>
        <w:ind w:firstLine="2835"/>
      </w:pPr>
      <w:r>
        <w:t>La defensa negó que el 10 de j</w:t>
      </w:r>
      <w:r>
        <w:t>u</w:t>
      </w:r>
      <w:r>
        <w:t>lio de 1994 haya habido una extorsión. Señaló que en esa fecha quien se apersonó en el domicilio de la calle República 107 fue el comprador de la camioneta, Ramón Martínez, p</w:t>
      </w:r>
      <w:r>
        <w:t>a</w:t>
      </w:r>
      <w:r>
        <w:t>gó por ella USD 11.500 y firmó el boleto de compraventa. Ad</w:t>
      </w:r>
      <w:r>
        <w:t>e</w:t>
      </w:r>
      <w:r>
        <w:t>más invocó que la ida de Telleldín al domicilio de la c</w:t>
      </w:r>
      <w:r>
        <w:t>a</w:t>
      </w:r>
      <w:r>
        <w:t>lle San José para entregarle al comprador  el formulario “</w:t>
      </w:r>
      <w:smartTag w:uri="urn:schemas-microsoft-com:office:smarttags" w:element="metricconverter">
        <w:smartTagPr>
          <w:attr w:name="ProductID" w:val="08”"/>
        </w:smartTagPr>
        <w:r>
          <w:t>08”</w:t>
        </w:r>
      </w:smartTag>
      <w:r>
        <w:t xml:space="preserve"> de la camioneta era una prueba más de la existencia de e</w:t>
      </w:r>
      <w:r>
        <w:t>s</w:t>
      </w:r>
      <w:r>
        <w:t>ta compraventa.</w:t>
      </w:r>
    </w:p>
    <w:p w:rsidR="00224567" w:rsidRDefault="00224567">
      <w:pPr>
        <w:widowControl w:val="0"/>
        <w:ind w:firstLine="2835"/>
      </w:pPr>
      <w:r>
        <w:t>Con relación al apodo “Pino”, que la acusación refirió que le correspondía a Anastasio Ireneo Leal, la defensa dijo que de las transcripciones surgía que su apodo era “Tito”; y que, por otra parte, sólo dos testigos de los interrogados al respecto, Manuel Enrique García y Humberto Monzón,  habían afirmado que el apodo era “Pino”. Desvirtuó estos testimonios por entender que García efectuó suposiciones, mientras que Monzón afirmó que todos en la brigada lo llamaban de ese modo, aunque nadie más indicó eso. Asimismo, señaló que el comisario general Adolfo Hugo Vitelli dijo que ese apodo le perten</w:t>
      </w:r>
      <w:r>
        <w:t>e</w:t>
      </w:r>
      <w:r>
        <w:t>cía al padre de su defendido y que no tenía certeza si también a ese. Agregó que Enrique Forgione, Isabel Nelly Velasco, Héctor Humberto Heredia, Antonio Fera, Ricardo Alberto González, Hugo Alberto Silva, Antonio Bressi, M</w:t>
      </w:r>
      <w:r>
        <w:t>i</w:t>
      </w:r>
      <w:r>
        <w:t>guel Garello, Liliana Balacco, Juan Pablo Zunino, Dante Valenzuela, Marcelo Emilio Manera, Walter Alejandro Ca</w:t>
      </w:r>
      <w:r>
        <w:t>s</w:t>
      </w:r>
      <w:r>
        <w:t>tro, Diego Barreda, Mario Bareiro, Jorge Rago, Gabriel L</w:t>
      </w:r>
      <w:r>
        <w:t>a</w:t>
      </w:r>
      <w:r>
        <w:t>sala, Daniel Quinteros, Oscar Eus</w:t>
      </w:r>
      <w:r>
        <w:t>e</w:t>
      </w:r>
      <w:r>
        <w:t>bio Bacigalupo, Marcelo Albarracín, José Nicolás Balbi, Victoriano Ibarra, Ramón Roberto Pavón, Ramón Barcellos, Guillermo José Sánchez, Daniel Enrique Giuliani, Diego Toledo, Eduardo Gómez, J</w:t>
      </w:r>
      <w:r>
        <w:t>a</w:t>
      </w:r>
      <w:r>
        <w:t>vier Smurro y Oscar Díaz no ref</w:t>
      </w:r>
      <w:r>
        <w:t>i</w:t>
      </w:r>
      <w:r>
        <w:t>rieron que fuera “Pino” el apodo de Anastasio Ireneo Leal y que hasta Telleldín en diversos reportajes periodísticos y durante el debate se había referido a Leal por su apellido.</w:t>
      </w:r>
    </w:p>
    <w:p w:rsidR="00224567" w:rsidRDefault="00224567">
      <w:pPr>
        <w:widowControl w:val="0"/>
        <w:ind w:firstLine="2835"/>
      </w:pPr>
      <w:r>
        <w:t>Criticó que la acusación utilizó la declaración indagatoria de su defendido prestada en la instrucción el 14 de julio de 1996 como prueba de cargo, ya que intentaron hacer valer que éste había dicho que p</w:t>
      </w:r>
      <w:r>
        <w:t>u</w:t>
      </w:r>
      <w:r>
        <w:t>do haber realizado averiguaciones respecto de T</w:t>
      </w:r>
      <w:r>
        <w:t>e</w:t>
      </w:r>
      <w:r>
        <w:t xml:space="preserve">lleldín el día 10 de julio de 1994. Al respecto, </w:t>
      </w:r>
      <w:smartTag w:uri="urn:schemas-microsoft-com:office:smarttags" w:element="PersonName">
        <w:smartTagPr>
          <w:attr w:name="ProductID" w:val="la Dra. Bacci"/>
        </w:smartTagPr>
        <w:r>
          <w:t>la Dra. Bacci</w:t>
        </w:r>
      </w:smartTag>
      <w:r>
        <w:t xml:space="preserve"> alegó que su pupilo mencionó que en ese m</w:t>
      </w:r>
      <w:r>
        <w:t>o</w:t>
      </w:r>
      <w:r>
        <w:t>mento no recordaba el día preciso en que habían ocurrido las averiguaciones, p</w:t>
      </w:r>
      <w:r>
        <w:t>e</w:t>
      </w:r>
      <w:r>
        <w:t>ro que admitió que acaecieron una semana antes del proc</w:t>
      </w:r>
      <w:r>
        <w:t>e</w:t>
      </w:r>
      <w:r>
        <w:t>dimiento del día 14, o sea el 7 u 8 de julio; dato que posteriormente se confirmó con el informe de la empresa “Movicom” y las declaraciones de Diego Barreda y Mario B</w:t>
      </w:r>
      <w:r>
        <w:t>a</w:t>
      </w:r>
      <w:r>
        <w:t>reiro.</w:t>
      </w:r>
    </w:p>
    <w:p w:rsidR="00224567" w:rsidRDefault="00224567">
      <w:pPr>
        <w:widowControl w:val="0"/>
        <w:ind w:firstLine="2835"/>
      </w:pPr>
      <w:r>
        <w:t>Refirió que si su defendido e</w:t>
      </w:r>
      <w:r>
        <w:t>n</w:t>
      </w:r>
      <w:r>
        <w:t>tregó la camioneta a cambio de una suma importante de dinero, como sostuvo la acusación, ello no se evidenciaba en su patr</w:t>
      </w:r>
      <w:r>
        <w:t>i</w:t>
      </w:r>
      <w:r>
        <w:t>monio. Dijo que los informes solicitados por el magi</w:t>
      </w:r>
      <w:r>
        <w:t>s</w:t>
      </w:r>
      <w:r>
        <w:t>trado instructor a las diferentes entidades bancarias, al Regi</w:t>
      </w:r>
      <w:r>
        <w:t>s</w:t>
      </w:r>
      <w:r>
        <w:t xml:space="preserve">tro Nacional de </w:t>
      </w:r>
      <w:smartTag w:uri="urn:schemas-microsoft-com:office:smarttags" w:element="PersonName">
        <w:smartTagPr>
          <w:attr w:name="ProductID" w:val="la Propiedad Inmueble"/>
        </w:smartTagPr>
        <w:r>
          <w:t>la Propiedad Inmueble</w:t>
        </w:r>
      </w:smartTag>
      <w:r>
        <w:t xml:space="preserve"> y al Registro Naci</w:t>
      </w:r>
      <w:r>
        <w:t>o</w:t>
      </w:r>
      <w:r>
        <w:t xml:space="preserve">nal de </w:t>
      </w:r>
      <w:smartTag w:uri="urn:schemas-microsoft-com:office:smarttags" w:element="PersonName">
        <w:smartTagPr>
          <w:attr w:name="ProductID" w:val="la Propiedad"/>
        </w:smartTagPr>
        <w:r>
          <w:t>la Propiedad</w:t>
        </w:r>
      </w:smartTag>
      <w:r>
        <w:t xml:space="preserve"> del Automotor arrojaron resultado n</w:t>
      </w:r>
      <w:r>
        <w:t>e</w:t>
      </w:r>
      <w:r>
        <w:t>gativo. Apuntó que de los informes bancarios practic</w:t>
      </w:r>
      <w:r>
        <w:t>a</w:t>
      </w:r>
      <w:r>
        <w:t>dos, sólo surgió que con la tarjeta “Consumor” Leal y su cóny</w:t>
      </w:r>
      <w:r>
        <w:t>u</w:t>
      </w:r>
      <w:r>
        <w:t>ge, Blanca Irene Ocampo, gastaron, en pr</w:t>
      </w:r>
      <w:r>
        <w:t>o</w:t>
      </w:r>
      <w:r>
        <w:t xml:space="preserve">medio, la suma de </w:t>
      </w:r>
      <w:r>
        <w:rPr>
          <w:lang w:val="es-MX"/>
        </w:rPr>
        <w:t xml:space="preserve">$ </w:t>
      </w:r>
      <w:r>
        <w:t xml:space="preserve">57,42 por mes en el año 1994 y </w:t>
      </w:r>
      <w:r>
        <w:rPr>
          <w:lang w:val="es-MX"/>
        </w:rPr>
        <w:t xml:space="preserve">$ </w:t>
      </w:r>
      <w:r>
        <w:t>112,26 en 1995.</w:t>
      </w:r>
    </w:p>
    <w:p w:rsidR="00224567" w:rsidRDefault="00224567">
      <w:pPr>
        <w:widowControl w:val="0"/>
        <w:ind w:firstLine="2835"/>
      </w:pPr>
      <w:r>
        <w:t>Expresó el Dr. Tobárez que como forma de justificar una entrega consensuada de la camioneta Tr</w:t>
      </w:r>
      <w:r>
        <w:t>a</w:t>
      </w:r>
      <w:r>
        <w:t>fic a las Brigadas de Lanús y de Vicente López, la quer</w:t>
      </w:r>
      <w:r>
        <w:t>e</w:t>
      </w:r>
      <w:r>
        <w:t>lla D.A.I.A., A.M.I.A. y “Grupo de Familiares” intentó d</w:t>
      </w:r>
      <w:r>
        <w:t>e</w:t>
      </w:r>
      <w:r>
        <w:t>mostrar un supuesto vínculo entre ellas a través de la e</w:t>
      </w:r>
      <w:r>
        <w:t>s</w:t>
      </w:r>
      <w:r>
        <w:t>cribanía Benincasa. Expresó que en el desarrollo de esta postura, esa parte sostuvo que r</w:t>
      </w:r>
      <w:r>
        <w:t>e</w:t>
      </w:r>
      <w:r>
        <w:t>sultaba sospechoso que la patrulla de Lanús, Catinari -ex agente de esa brigada puesto en disponibilidad por problemas judiciales- y V</w:t>
      </w:r>
      <w:r>
        <w:t>i</w:t>
      </w:r>
      <w:r>
        <w:t>llagra mantuvieran contacto con esta escribanía, mencion</w:t>
      </w:r>
      <w:r>
        <w:t>a</w:t>
      </w:r>
      <w:r>
        <w:t>da por Ramón Emilio Solari en el desvío de la investig</w:t>
      </w:r>
      <w:r>
        <w:t>a</w:t>
      </w:r>
      <w:r>
        <w:t>ción. Que a su vez Juan José Ribelli mantuvo conversaci</w:t>
      </w:r>
      <w:r>
        <w:t>o</w:t>
      </w:r>
      <w:r>
        <w:t>nes con Catinari y Villagra, y éste último también se co</w:t>
      </w:r>
      <w:r>
        <w:t>n</w:t>
      </w:r>
      <w:r>
        <w:t>tactaba con Leal, Rago, Barrera y Bareiro. Recalcó el d</w:t>
      </w:r>
      <w:r>
        <w:t>e</w:t>
      </w:r>
      <w:r>
        <w:t>fensor que las conversaciones mantenidas por Leal con R</w:t>
      </w:r>
      <w:r>
        <w:t>i</w:t>
      </w:r>
      <w:r>
        <w:t>cardo Luis Villagra no podían ser consideradas sospech</w:t>
      </w:r>
      <w:r>
        <w:t>o</w:t>
      </w:r>
      <w:r>
        <w:t xml:space="preserve">sas, pues eran fruto de la relación laboral en </w:t>
      </w:r>
      <w:smartTag w:uri="urn:schemas-microsoft-com:office:smarttags" w:element="PersonName">
        <w:smartTagPr>
          <w:attr w:name="ProductID" w:val="la Brigada"/>
        </w:smartTagPr>
        <w:r>
          <w:t>la Brigada</w:t>
        </w:r>
      </w:smartTag>
      <w:r>
        <w:t xml:space="preserve"> de Vicente López, tal como surgía de las constancias de fs. 1743 del legajo de instru</w:t>
      </w:r>
      <w:r>
        <w:t>c</w:t>
      </w:r>
      <w:r>
        <w:t>ción suplementaria.</w:t>
      </w:r>
    </w:p>
    <w:p w:rsidR="00224567" w:rsidRDefault="00224567">
      <w:pPr>
        <w:widowControl w:val="0"/>
        <w:ind w:firstLine="2835"/>
      </w:pPr>
      <w:r>
        <w:t>Añadió que la videocinta del 10 de abril de 1996 era una prueba de descargo de su defend</w:t>
      </w:r>
      <w:r>
        <w:t>i</w:t>
      </w:r>
      <w:r>
        <w:t>do y además demostraba el actuar delictivo y parcial del magi</w:t>
      </w:r>
      <w:r>
        <w:t>s</w:t>
      </w:r>
      <w:r>
        <w:t>trado instructor, no sólo porque éste le indicó a Telle</w:t>
      </w:r>
      <w:r>
        <w:t>l</w:t>
      </w:r>
      <w:r>
        <w:t>dín quién era Leal, sino también porque allí se refl</w:t>
      </w:r>
      <w:r>
        <w:t>e</w:t>
      </w:r>
      <w:r>
        <w:t>jaba que la filmación había sido efectuada sin el conoc</w:t>
      </w:r>
      <w:r>
        <w:t>i</w:t>
      </w:r>
      <w:r>
        <w:t>miento y consentimiento de Telleldín ni de su abogado defensor; porque se realizó un reconocimiento fotográfico cuando d</w:t>
      </w:r>
      <w:r>
        <w:t>e</w:t>
      </w:r>
      <w:r>
        <w:t>bió hacerse comparecer a Leal; porque se mostró una fot</w:t>
      </w:r>
      <w:r>
        <w:t>o</w:t>
      </w:r>
      <w:r>
        <w:t>grafía de su defendido sin colocar tres fotos de personas similares; y porque no fue notific</w:t>
      </w:r>
      <w:r>
        <w:t>a</w:t>
      </w:r>
      <w:r>
        <w:t>do el defensor de Leal ni estuvo presente éste o algún d</w:t>
      </w:r>
      <w:r>
        <w:t>e</w:t>
      </w:r>
      <w:r>
        <w:t>fensor oficial.</w:t>
      </w:r>
    </w:p>
    <w:p w:rsidR="00224567" w:rsidRDefault="00224567">
      <w:pPr>
        <w:widowControl w:val="0"/>
        <w:ind w:firstLine="2835"/>
      </w:pPr>
      <w:r>
        <w:t>El Dr. Tobárez, pese a haber mencion</w:t>
      </w:r>
      <w:r>
        <w:t>a</w:t>
      </w:r>
      <w:r>
        <w:t>do que el reconocimiento que lucía en el video del 10 de abril de 1996 había sido declarado nulo, efectuó d</w:t>
      </w:r>
      <w:r>
        <w:t>i</w:t>
      </w:r>
      <w:r>
        <w:t>versas consideraciones sobre él y exhibió fotografías de su d</w:t>
      </w:r>
      <w:r>
        <w:t>e</w:t>
      </w:r>
      <w:r>
        <w:t>fendido anteriores al año 1994 como sustento de su post</w:t>
      </w:r>
      <w:r>
        <w:t>u</w:t>
      </w:r>
      <w:r>
        <w:t>ra.</w:t>
      </w:r>
    </w:p>
    <w:p w:rsidR="00224567" w:rsidRDefault="00224567">
      <w:pPr>
        <w:widowControl w:val="0"/>
        <w:ind w:firstLine="2835"/>
      </w:pPr>
      <w:r>
        <w:t>Mencionó que la querella se equivocó al referir que hubo llamados telefónicos de Leal con los demás imputados los días previos a las detenciones, pues esto no surgía de las intervenciones practicadas a los t</w:t>
      </w:r>
      <w:r>
        <w:t>e</w:t>
      </w:r>
      <w:r>
        <w:t>léfonos de su pupilo, números 410-4560 y 669-8149. Respe</w:t>
      </w:r>
      <w:r>
        <w:t>c</w:t>
      </w:r>
      <w:r>
        <w:t>to de las desgrabaciones de estas intervenciones cal</w:t>
      </w:r>
      <w:r>
        <w:t>i</w:t>
      </w:r>
      <w:r>
        <w:t>ficó como sugestivo que en la registrada en la casete 19 del 16 de julio de 1996, fs. 1, correspo</w:t>
      </w:r>
      <w:r>
        <w:t>n</w:t>
      </w:r>
      <w:r>
        <w:t>diente al abonado 669-8149, se identificó a Leal como “Pino” pese a que dijo “Tito” en la conversación. Que otra equivocación de la acusación también fue la de afirmar que Ibarra le había solicitado colaboración a Leal para retirar la camion</w:t>
      </w:r>
      <w:r>
        <w:t>e</w:t>
      </w:r>
      <w:r>
        <w:t>ta, porque el domicilio de Telle</w:t>
      </w:r>
      <w:r>
        <w:t>l</w:t>
      </w:r>
      <w:r>
        <w:t xml:space="preserve">dín correspondía a </w:t>
      </w:r>
      <w:smartTag w:uri="urn:schemas-microsoft-com:office:smarttags" w:element="PersonName">
        <w:smartTagPr>
          <w:attr w:name="ProductID" w:val="la Brigada"/>
        </w:smartTagPr>
        <w:r>
          <w:t>la Brigada</w:t>
        </w:r>
      </w:smartTag>
      <w:r>
        <w:t xml:space="preserve"> de Vicente López cuando en realidad, en ese domicilio, t</w:t>
      </w:r>
      <w:r>
        <w:t>e</w:t>
      </w:r>
      <w:r>
        <w:t>nía jurisdicción la comisaría de Villa Ballester, San Ma</w:t>
      </w:r>
      <w:r>
        <w:t>r</w:t>
      </w:r>
      <w:r>
        <w:t xml:space="preserve">tín II, perteneciente a </w:t>
      </w:r>
      <w:smartTag w:uri="urn:schemas-microsoft-com:office:smarttags" w:element="PersonName">
        <w:smartTagPr>
          <w:attr w:name="ProductID" w:val="la Unidad Regional"/>
        </w:smartTagPr>
        <w:r>
          <w:t>la Unidad Regional</w:t>
        </w:r>
      </w:smartTag>
      <w:r>
        <w:t xml:space="preserve"> III de San Ma</w:t>
      </w:r>
      <w:r>
        <w:t>r</w:t>
      </w:r>
      <w:r>
        <w:t>tín y la brigada asignada era la de San Martín.</w:t>
      </w:r>
    </w:p>
    <w:p w:rsidR="00224567" w:rsidRDefault="00224567">
      <w:pPr>
        <w:widowControl w:val="0"/>
        <w:ind w:firstLine="2835"/>
      </w:pPr>
      <w:r>
        <w:t xml:space="preserve">Volvió a referir que el Dr. Galeano, pese a que Telleldín ante </w:t>
      </w:r>
      <w:smartTag w:uri="urn:schemas-microsoft-com:office:smarttags" w:element="PersonName">
        <w:smartTagPr>
          <w:attr w:name="ProductID" w:val="la Dra. Riva"/>
        </w:smartTagPr>
        <w:r>
          <w:t>la Dra. Riva</w:t>
        </w:r>
      </w:smartTag>
      <w:r>
        <w:t xml:space="preserve"> Aramayo había de</w:t>
      </w:r>
      <w:r>
        <w:t>s</w:t>
      </w:r>
      <w:r>
        <w:t>cripto a “Pino” en forma muy diferente a la apariencia f</w:t>
      </w:r>
      <w:r>
        <w:t>í</w:t>
      </w:r>
      <w:r>
        <w:t>sica de Leal y a que en abril de 1996 no había podido r</w:t>
      </w:r>
      <w:r>
        <w:t>e</w:t>
      </w:r>
      <w:r>
        <w:t>conocerlo por fotos, ya había decidido que “Pino” fuera Anastasio Ireneo Leal y que ello quedó demostrado cuando durante la instrucción casi no se investigó al sargento Miguel Ángel Pino; además, el letrado defensor alegó que entre el minuto 29.49 y el 30.20 de la videocinta de abril de 1996, se observaba que Telleldín reconoció a Pino en una de las fotografías que le exhibió el juez Galeano, p</w:t>
      </w:r>
      <w:r>
        <w:t>e</w:t>
      </w:r>
      <w:r>
        <w:t>ro que hasta la fecha no se pudo determinar de quien se trataba.</w:t>
      </w:r>
    </w:p>
    <w:p w:rsidR="00224567" w:rsidRDefault="00224567">
      <w:pPr>
        <w:widowControl w:val="0"/>
        <w:ind w:firstLine="2835"/>
      </w:pPr>
      <w:r>
        <w:t>Adujo el defensor que, también como hecho cargoso, se hizo mención acerca de la vinculación entre Leal y Ribelli que surgía de sus legajos de pol</w:t>
      </w:r>
      <w:r>
        <w:t>i</w:t>
      </w:r>
      <w:r>
        <w:t>cía e, incluso, dejaron ver que éstos podrían conocerse de otro lado. Al respecto, reiteró que como se evide</w:t>
      </w:r>
      <w:r>
        <w:t>n</w:t>
      </w:r>
      <w:r>
        <w:t>ciaba de la prueba documental, Ribelli y Leal tuvieron el mismo destino pero en diferente tiempo. Que de los testimonios de Juan Carlos Negrón, Marcelo Antonio Bressi, Carlos Eduardo Ga</w:t>
      </w:r>
      <w:r>
        <w:t>r</w:t>
      </w:r>
      <w:r>
        <w:t>cía y Hugo Silva referidos por la acusación, no surgía que ambos hubiesen trabajado juntos en una misma brigada; mientras que Ángel Rubén Varela, José Antonio A</w:t>
      </w:r>
      <w:r>
        <w:t>l</w:t>
      </w:r>
      <w:r>
        <w:t>fonso, Juan Carlos Pupillo, Víctor Hugo Ruiz, Hugo Patr</w:t>
      </w:r>
      <w:r>
        <w:t>i</w:t>
      </w:r>
      <w:r>
        <w:t>cio Reyes, Marcelo José Ariz y Liliana Guerrero, fueron contestes en manifestar que para esa fecha Anastasio Ir</w:t>
      </w:r>
      <w:r>
        <w:t>e</w:t>
      </w:r>
      <w:r>
        <w:t xml:space="preserve">neo Leal no cumplió funciones en </w:t>
      </w:r>
      <w:smartTag w:uri="urn:schemas-microsoft-com:office:smarttags" w:element="PersonName">
        <w:smartTagPr>
          <w:attr w:name="ProductID" w:val="la Brigada"/>
        </w:smartTagPr>
        <w:r>
          <w:t>la Brigada</w:t>
        </w:r>
      </w:smartTag>
      <w:r>
        <w:t xml:space="preserve"> de Lanús.</w:t>
      </w:r>
    </w:p>
    <w:p w:rsidR="00224567" w:rsidRDefault="00224567">
      <w:pPr>
        <w:widowControl w:val="0"/>
        <w:ind w:firstLine="2835"/>
      </w:pPr>
      <w:r>
        <w:t>Que tampoco su defendido trabajó ju</w:t>
      </w:r>
      <w:r>
        <w:t>n</w:t>
      </w:r>
      <w:r>
        <w:t>to con Raúl Edilio Ibarra. Que ningún testigo pudo precisar que ambos se conocieran y que tampoco existían llamadas telefónicas que dieran cuenta de ello. Dijo que si bien Luis Roa señaló que Leal e Ibarra trabajaron juntos en “Sustracción de Automotores”, eso era un error y segur</w:t>
      </w:r>
      <w:r>
        <w:t>a</w:t>
      </w:r>
      <w:r>
        <w:t>mente quiso indicar a otro Ibarra, porque del legajo pol</w:t>
      </w:r>
      <w:r>
        <w:t>i</w:t>
      </w:r>
      <w:r>
        <w:t>cial surgía que para el año 1992 Raúl Edilio Ibarra cu</w:t>
      </w:r>
      <w:r>
        <w:t>m</w:t>
      </w:r>
      <w:r>
        <w:t xml:space="preserve">plía funciones en </w:t>
      </w:r>
      <w:smartTag w:uri="urn:schemas-microsoft-com:office:smarttags" w:element="PersonName">
        <w:smartTagPr>
          <w:attr w:name="ProductID" w:val="la Comisar￭a"/>
        </w:smartTagPr>
        <w:r>
          <w:t>la Comisaría</w:t>
        </w:r>
      </w:smartTag>
      <w:r>
        <w:t xml:space="preserve"> de Go</w:t>
      </w:r>
      <w:r>
        <w:t>n</w:t>
      </w:r>
      <w:r>
        <w:t>zález Catán.</w:t>
      </w:r>
    </w:p>
    <w:p w:rsidR="00224567" w:rsidRDefault="00224567">
      <w:pPr>
        <w:widowControl w:val="0"/>
        <w:ind w:firstLine="2835"/>
      </w:pPr>
      <w:r>
        <w:t>El Dr. Tobárez invocó que la qu</w:t>
      </w:r>
      <w:r>
        <w:t>e</w:t>
      </w:r>
      <w:r>
        <w:t>rella D.A.I.A., A.M.I.A. y “Grupo de Familiares” también insi</w:t>
      </w:r>
      <w:r>
        <w:t>s</w:t>
      </w:r>
      <w:r>
        <w:t>tió en el vínculo entre Leal y Juan J</w:t>
      </w:r>
      <w:r>
        <w:t>o</w:t>
      </w:r>
      <w:r>
        <w:t>sé Ribelli, alegando que su defendido coincidió con gente del e</w:t>
      </w:r>
      <w:r>
        <w:t>n</w:t>
      </w:r>
      <w:r>
        <w:t>torno íntimo de Ribelli, como Maisú y Mantel. Al respecto, señaló la d</w:t>
      </w:r>
      <w:r>
        <w:t>e</w:t>
      </w:r>
      <w:r>
        <w:t>fensa que su pupilo trabajó con los nombrados y con Edua</w:t>
      </w:r>
      <w:r>
        <w:t>r</w:t>
      </w:r>
      <w:r>
        <w:t xml:space="preserve">do Ismael Gómez en </w:t>
      </w:r>
      <w:smartTag w:uri="urn:schemas-microsoft-com:office:smarttags" w:element="PersonName">
        <w:smartTagPr>
          <w:attr w:name="ProductID" w:val="la Brigada"/>
        </w:smartTagPr>
        <w:r>
          <w:t>la Brigada</w:t>
        </w:r>
      </w:smartTag>
      <w:r>
        <w:t xml:space="preserve"> de L</w:t>
      </w:r>
      <w:r>
        <w:t>a</w:t>
      </w:r>
      <w:r>
        <w:t>nús, entre diciembre de 1992 y el 5 de mayo de 1993, período en que ni Ribelli ni Ibarra cumplieron funci</w:t>
      </w:r>
      <w:r>
        <w:t>o</w:t>
      </w:r>
      <w:r>
        <w:t>nes allí, y que sólo los unía una relación laboral en común.</w:t>
      </w:r>
    </w:p>
    <w:p w:rsidR="00224567" w:rsidRDefault="00224567">
      <w:pPr>
        <w:widowControl w:val="0"/>
        <w:ind w:firstLine="2835"/>
      </w:pPr>
      <w:r>
        <w:t>Subrayó que se le reprochó a Leal h</w:t>
      </w:r>
      <w:r>
        <w:t>a</w:t>
      </w:r>
      <w:r>
        <w:t>ber sido captado por Juan José Ribelli para retirar la c</w:t>
      </w:r>
      <w:r>
        <w:t>a</w:t>
      </w:r>
      <w:r>
        <w:t>mioneta de la morada de Telleldín el 10 de julio de 1994. La defensa cuestionó esa acusación porque no habían co</w:t>
      </w:r>
      <w:r>
        <w:t>m</w:t>
      </w:r>
      <w:r>
        <w:t>partido destinos comunes, no tenían amistad personal, no se conocían entre las familias, no eran vecinos, no se c</w:t>
      </w:r>
      <w:r>
        <w:t>o</w:t>
      </w:r>
      <w:r>
        <w:t>municaban telefónicamente entre ellos y no surgía de las agendas secuestradas a su pupilo el número telefónico de Ribelli. Que tampoco podía válid</w:t>
      </w:r>
      <w:r>
        <w:t>a</w:t>
      </w:r>
      <w:r>
        <w:t>mente sostenerse que Leal había cumplido con lo solic</w:t>
      </w:r>
      <w:r>
        <w:t>i</w:t>
      </w:r>
      <w:r>
        <w:t>tado por Ribelli por ser éste su superior, pues no surgían constancias en la causa de que haya existido esta orden en forma verbal o escrita, y que personalmente Ribelli no pudo habérsela dado porque a esa fecha se enco</w:t>
      </w:r>
      <w:r>
        <w:t>n</w:t>
      </w:r>
      <w:r>
        <w:t>traba fuera del país.</w:t>
      </w:r>
    </w:p>
    <w:p w:rsidR="00224567" w:rsidRDefault="00224567">
      <w:pPr>
        <w:widowControl w:val="0"/>
        <w:ind w:firstLine="2835"/>
      </w:pPr>
      <w:r>
        <w:t xml:space="preserve">Sobre la prestación de servicios de su defendido en </w:t>
      </w:r>
      <w:smartTag w:uri="urn:schemas-microsoft-com:office:smarttags" w:element="PersonName">
        <w:smartTagPr>
          <w:attr w:name="ProductID" w:val="la Brigada"/>
        </w:smartTagPr>
        <w:r>
          <w:t>la Brigada</w:t>
        </w:r>
      </w:smartTag>
      <w:r>
        <w:t xml:space="preserve"> de Lanús y su pase a la de Vicente López, dijo que antes de recaer en esta última, Leal pre</w:t>
      </w:r>
      <w:r>
        <w:t>s</w:t>
      </w:r>
      <w:r>
        <w:t>tó servicios en tres destinos distintos en la provi</w:t>
      </w:r>
      <w:r>
        <w:t>n</w:t>
      </w:r>
      <w:r>
        <w:t xml:space="preserve">cia de Buenos Aires y que ello surgía del legajo policial; de la causa nro. 45.035 remitida </w:t>
      </w:r>
      <w:r>
        <w:rPr>
          <w:u w:val="single"/>
        </w:rPr>
        <w:t>ad effectum videndi</w:t>
      </w:r>
      <w:r>
        <w:t>; de la f</w:t>
      </w:r>
      <w:r>
        <w:t>o</w:t>
      </w:r>
      <w:r>
        <w:t xml:space="preserve">tocopia del libro de altas y bajas de </w:t>
      </w:r>
      <w:smartTag w:uri="urn:schemas-microsoft-com:office:smarttags" w:element="PersonName">
        <w:smartTagPr>
          <w:attr w:name="ProductID" w:val="la Brigada"/>
        </w:smartTagPr>
        <w:r>
          <w:t>la Brigada</w:t>
        </w:r>
      </w:smartTag>
      <w:r>
        <w:t xml:space="preserve"> de Vice</w:t>
      </w:r>
      <w:r>
        <w:t>n</w:t>
      </w:r>
      <w:r>
        <w:t>te López, obrante a fs. 1088 del legajo de instrucción s</w:t>
      </w:r>
      <w:r>
        <w:t>u</w:t>
      </w:r>
      <w:r>
        <w:t>plementaria; y de la declaración prestada en el d</w:t>
      </w:r>
      <w:r>
        <w:t>e</w:t>
      </w:r>
      <w:r>
        <w:t>bate por el comisario Ricardo Alberto González.</w:t>
      </w:r>
    </w:p>
    <w:p w:rsidR="00224567" w:rsidRDefault="00224567">
      <w:pPr>
        <w:widowControl w:val="0"/>
        <w:ind w:firstLine="2835"/>
      </w:pPr>
      <w:r>
        <w:t>Con relación al hecho del 10 de julio de 1994, el defensor reiteró que su ahijado procesal no estuvo en el domicilio de Carlos A</w:t>
      </w:r>
      <w:r>
        <w:t>l</w:t>
      </w:r>
      <w:r>
        <w:t>berto Telleldín, ni en sus inmediaciones en esa fecha. Además sostuvo que la ve</w:t>
      </w:r>
      <w:r>
        <w:t>r</w:t>
      </w:r>
      <w:r>
        <w:t>sión de los hechos expuesta por la acusación no coincidía con la brindada por los imputados Barreda y Bareiro. Al respecto, relató que si Leal se hizo pasar por comprador y lo atendió Ana Boragni, no pudo ser uno de los que exigió la entrega de la camioneta, y que si Ibarra y Leal est</w:t>
      </w:r>
      <w:r>
        <w:t>u</w:t>
      </w:r>
      <w:r>
        <w:t>vieron en un automóvil Fiat Duna de color blanco, tampoco la acusación explicó por qué motivo Ibarra descendió de este auto y subió a un Fiat 128 para llegar a la casa de Telleldín, ni con qué f</w:t>
      </w:r>
      <w:r>
        <w:t>i</w:t>
      </w:r>
      <w:r>
        <w:t>nalidad concurrió a ese domicilio a averiguar sobre la camioneta, a sabiendas de que se e</w:t>
      </w:r>
      <w:r>
        <w:t>s</w:t>
      </w:r>
      <w:r>
        <w:t>taba efectuando la compr</w:t>
      </w:r>
      <w:r>
        <w:t>a</w:t>
      </w:r>
      <w:r>
        <w:t>venta.</w:t>
      </w:r>
    </w:p>
    <w:p w:rsidR="00224567" w:rsidRDefault="00224567">
      <w:pPr>
        <w:widowControl w:val="0"/>
        <w:ind w:firstLine="2835"/>
      </w:pPr>
      <w:smartTag w:uri="urn:schemas-microsoft-com:office:smarttags" w:element="PersonName">
        <w:smartTagPr>
          <w:attr w:name="ProductID" w:val="la Dra. Bacci"/>
        </w:smartTagPr>
        <w:r>
          <w:t>La Dra. Bacci</w:t>
        </w:r>
      </w:smartTag>
      <w:r>
        <w:t xml:space="preserve"> descalificó el testim</w:t>
      </w:r>
      <w:r>
        <w:t>o</w:t>
      </w:r>
      <w:r>
        <w:t>nio de Rubén José Cirocco en el que éste hizo alusión a que Pedro Anastasio Klodczyk le había dicho a Norberto P</w:t>
      </w:r>
      <w:r>
        <w:t>a</w:t>
      </w:r>
      <w:r>
        <w:t>dilla que temía que Leal se quebrara. Al respecto señaló que ni Klodczyk ni Padilla refirieron en sus d</w:t>
      </w:r>
      <w:r>
        <w:t>e</w:t>
      </w:r>
      <w:r>
        <w:t>claraciones esta circunstancia y que Cirocco había declarado de esa manera porque, una vez disuelta la sociedad que mantuvo con Klodczyk, le convino a sus intereses desprestigiarlo para que tomaran fuerza sus d</w:t>
      </w:r>
      <w:r>
        <w:t>e</w:t>
      </w:r>
      <w:r>
        <w:t>nuncias efectuadas ante los tribunales de Lomas de Z</w:t>
      </w:r>
      <w:r>
        <w:t>a</w:t>
      </w:r>
      <w:r>
        <w:t>mora.</w:t>
      </w:r>
    </w:p>
    <w:p w:rsidR="00224567" w:rsidRDefault="00224567">
      <w:pPr>
        <w:widowControl w:val="0"/>
        <w:ind w:firstLine="2835"/>
      </w:pPr>
      <w:r>
        <w:t>Responsabilizó al juez instructor y a los fiscales por haber desvirtuado las manifestaciones vertidas por Leal respecto a los sucesos del 10 de julio de 1994. Que su defendido indicó ese día como fecha est</w:t>
      </w:r>
      <w:r>
        <w:t>i</w:t>
      </w:r>
      <w:r>
        <w:t>mativa de comienzo de las averiguaciones respecto de T</w:t>
      </w:r>
      <w:r>
        <w:t>e</w:t>
      </w:r>
      <w:r>
        <w:t>lleldín y que posteriormente se corroboró que fue el día 8.  Dijo que Leal nunca fue interrogado en la etapa de instrucción sobre la camioneta investigada, ni sobre su actividad el referido 10 de julio. En sus co</w:t>
      </w:r>
      <w:r>
        <w:t>n</w:t>
      </w:r>
      <w:r>
        <w:t>sideraciones, la letrada mencionó la relación extramatrimonial que ma</w:t>
      </w:r>
      <w:r>
        <w:t>n</w:t>
      </w:r>
      <w:r>
        <w:t>tenía su pupilo, como así también el escrito presentado por el defensor de Leal en 1999, en el que expresó la a</w:t>
      </w:r>
      <w:r>
        <w:t>c</w:t>
      </w:r>
      <w:r>
        <w:t>tividad desarrollada por éste en esa f</w:t>
      </w:r>
      <w:r>
        <w:t>e</w:t>
      </w:r>
      <w:r>
        <w:t>cha.</w:t>
      </w:r>
    </w:p>
    <w:p w:rsidR="00224567" w:rsidRDefault="00224567">
      <w:pPr>
        <w:widowControl w:val="0"/>
        <w:ind w:firstLine="2835"/>
      </w:pPr>
      <w:r>
        <w:t>Criticó a la fiscalía porque fu</w:t>
      </w:r>
      <w:r>
        <w:t>n</w:t>
      </w:r>
      <w:r>
        <w:t>dó su acusación en dichos de la prensa, e hizo ref</w:t>
      </w:r>
      <w:r>
        <w:t>e</w:t>
      </w:r>
      <w:r>
        <w:t>rencia a los vertidos por Raúl Kollmann, Román Lej</w:t>
      </w:r>
      <w:r>
        <w:t>t</w:t>
      </w:r>
      <w:r>
        <w:t>man y Gerardo Young. Acerca del primero de los periodistas nombrados, la letr</w:t>
      </w:r>
      <w:r>
        <w:t>a</w:t>
      </w:r>
      <w:r>
        <w:t>da dijo que sus suposiciones carecían de entidad probat</w:t>
      </w:r>
      <w:r>
        <w:t>o</w:t>
      </w:r>
      <w:r>
        <w:t>ria. Mencionó que tenía intereses creados dentro de la i</w:t>
      </w:r>
      <w:r>
        <w:t>n</w:t>
      </w:r>
      <w:r>
        <w:t>vestigación y que sus fuentes eran Carlos Alberto Telle</w:t>
      </w:r>
      <w:r>
        <w:t>l</w:t>
      </w:r>
      <w:r>
        <w:t>dín y los Dres. Galeano, Mullen, Barbaccia y Víctor Sti</w:t>
      </w:r>
      <w:r>
        <w:t>n</w:t>
      </w:r>
      <w:r>
        <w:t xml:space="preserve">fale; que, además, era informante de </w:t>
      </w:r>
      <w:smartTag w:uri="urn:schemas-microsoft-com:office:smarttags" w:element="PersonName">
        <w:smartTagPr>
          <w:attr w:name="ProductID" w:val="la S.I"/>
        </w:smartTagPr>
        <w:r>
          <w:t>la S.I</w:t>
        </w:r>
      </w:smartTag>
      <w:r>
        <w:t>.D.E. y que p</w:t>
      </w:r>
      <w:r>
        <w:t>e</w:t>
      </w:r>
      <w:r>
        <w:t>se a haber indicado que “Pino” era el Sr. Leal, nunca ch</w:t>
      </w:r>
      <w:r>
        <w:t>e</w:t>
      </w:r>
      <w:r>
        <w:t>queó esa información ni se entrevistó con su defendido.</w:t>
      </w:r>
    </w:p>
    <w:p w:rsidR="00224567" w:rsidRDefault="00224567">
      <w:pPr>
        <w:widowControl w:val="0"/>
        <w:ind w:firstLine="2835"/>
      </w:pPr>
      <w:r>
        <w:t>Descalificó la acusación fiscal po</w:t>
      </w:r>
      <w:r>
        <w:t>r</w:t>
      </w:r>
      <w:r>
        <w:t xml:space="preserve">que se basó en los testimonios de </w:t>
      </w:r>
      <w:smartTag w:uri="urn:schemas-microsoft-com:office:smarttags" w:element="PersonName">
        <w:smartTagPr>
          <w:attr w:name="ProductID" w:val="la Sra. Scillone"/>
        </w:smartTagPr>
        <w:r>
          <w:t>la Sra. Scill</w:t>
        </w:r>
        <w:r>
          <w:t>o</w:t>
        </w:r>
        <w:r>
          <w:t>ne</w:t>
        </w:r>
      </w:smartTag>
      <w:r>
        <w:t xml:space="preserve"> y en los de Miriam Salinas y porque de ese modo introdujeron los d</w:t>
      </w:r>
      <w:r>
        <w:t>i</w:t>
      </w:r>
      <w:r>
        <w:t>chos de Guillermo Cotoras. Indicó que estos te</w:t>
      </w:r>
      <w:r>
        <w:t>s</w:t>
      </w:r>
      <w:r>
        <w:t>tigos eran funcionales al Dr. Galeano y a su equipo; que Cotoras m</w:t>
      </w:r>
      <w:r>
        <w:t>o</w:t>
      </w:r>
      <w:r>
        <w:t>dificó su d</w:t>
      </w:r>
      <w:r>
        <w:t>e</w:t>
      </w:r>
      <w:r>
        <w:t xml:space="preserve">claración luego de que se efectuara el pago de USD </w:t>
      </w:r>
      <w:smartTag w:uri="urn:schemas-microsoft-com:office:smarttags" w:element="metricconverter">
        <w:smartTagPr>
          <w:attr w:name="ProductID" w:val="200.000 a"/>
        </w:smartTagPr>
        <w:r>
          <w:t>200.000 a</w:t>
        </w:r>
      </w:smartTag>
      <w:r>
        <w:t xml:space="preserve"> Telleldín; que Scillone no pudo ubicar te</w:t>
      </w:r>
      <w:r>
        <w:t>m</w:t>
      </w:r>
      <w:r>
        <w:t>poralmente la fecha en que Cotoras vio el hecho incrim</w:t>
      </w:r>
      <w:r>
        <w:t>i</w:t>
      </w:r>
      <w:r>
        <w:t>nante hacia los policías; y que la videocinta en la que supuestamente se grabó la conversación entre Salinas y C</w:t>
      </w:r>
      <w:r>
        <w:t>o</w:t>
      </w:r>
      <w:r>
        <w:t>toras, en la que éste le refiere que vio a los policías llevarse la camioneta investigada el día 10 de julio de 1994, nunca apareció porque no existe.</w:t>
      </w:r>
    </w:p>
    <w:p w:rsidR="00224567" w:rsidRDefault="00224567">
      <w:pPr>
        <w:widowControl w:val="0"/>
        <w:ind w:firstLine="2835"/>
      </w:pPr>
      <w:r>
        <w:t>Objetó que se hayan utilizado las d</w:t>
      </w:r>
      <w:r>
        <w:t>e</w:t>
      </w:r>
      <w:r>
        <w:t>claraciones de Diego Barreda y Mario Bareiro como prueba para fundar la presencia de Leal en la casa de Telleldín el 10 de julio. Señaló que dichas d</w:t>
      </w:r>
      <w:r>
        <w:t>e</w:t>
      </w:r>
      <w:r>
        <w:t>claraciones no podían ser consideradas cargosas, pues los nombrados fueron pr</w:t>
      </w:r>
      <w:r>
        <w:t>e</w:t>
      </w:r>
      <w:r>
        <w:t>sionados y violent</w:t>
      </w:r>
      <w:r>
        <w:t>a</w:t>
      </w:r>
      <w:r>
        <w:t>dos psicológicamente por el magistrado instructor para declarar de ese modo.</w:t>
      </w:r>
    </w:p>
    <w:p w:rsidR="00224567" w:rsidRDefault="00224567">
      <w:pPr>
        <w:widowControl w:val="0"/>
        <w:ind w:firstLine="2835"/>
      </w:pPr>
      <w:r>
        <w:t>Refirió también que los acusadores consideraron las primeras declaraciones y no las posteri</w:t>
      </w:r>
      <w:r>
        <w:t>o</w:t>
      </w:r>
      <w:r>
        <w:t>res, como las de fs. 8888/8898 y 3791/3795 de la causa 1598, en las que Barreda y Bareiro, respectivamente, se rectificaron de ellas; y que las suposiciones en las se basan parten de un hecho n</w:t>
      </w:r>
      <w:r>
        <w:t>u</w:t>
      </w:r>
      <w:r>
        <w:t>lo, la declaración de Telleldín del 5 de julio de 1996. Fundamentó esa postura haciendo alusión a la denuncia copiada a fs. 117.109/117.119, en la que Carlos Alberto Telleldín indicó que la extorsión del 10 de julio de 1994 no existió y que esto lo había inse</w:t>
      </w:r>
      <w:r>
        <w:t>r</w:t>
      </w:r>
      <w:r>
        <w:t>tado falsamente el juez, al igual que los nombres de los policías indicados en la indagatoria del 5 de julio de 1996. Dijo que no se encontraba acreditada la presencia del autom</w:t>
      </w:r>
      <w:r>
        <w:t>ó</w:t>
      </w:r>
      <w:r>
        <w:t>vil Ford Galaxy de Leal ese 10 de julio, que no se supo nunca a quien pertenecía el Duna blanco señalado por Telleldín, y que tampoco fue encontrado el Galaxy con buscahu</w:t>
      </w:r>
      <w:r>
        <w:t>e</w:t>
      </w:r>
      <w:r>
        <w:t>llas; y que si bien en la etapa de instrucción la testigo Zulema Leoni había reconocido la presencia de un Ford Galaxy a metros de la casa de Telleldín, en oportun</w:t>
      </w:r>
      <w:r>
        <w:t>i</w:t>
      </w:r>
      <w:r>
        <w:t>dad de realizarse el reconocimiento fotográfico en el d</w:t>
      </w:r>
      <w:r>
        <w:t>e</w:t>
      </w:r>
      <w:r>
        <w:t>bate, no pudo identificarlo porque quedó demostr</w:t>
      </w:r>
      <w:r>
        <w:t>a</w:t>
      </w:r>
      <w:r>
        <w:t>do que la nombrada carecía de conocimientos acerca de modelos de a</w:t>
      </w:r>
      <w:r>
        <w:t>u</w:t>
      </w:r>
      <w:r>
        <w:t>to.</w:t>
      </w:r>
    </w:p>
    <w:p w:rsidR="00224567" w:rsidRDefault="00224567">
      <w:pPr>
        <w:widowControl w:val="0"/>
        <w:ind w:firstLine="2835"/>
      </w:pPr>
      <w:r>
        <w:t>La letrada también respondió que las faltas de explicaciones en la audiencia por Barreda y B</w:t>
      </w:r>
      <w:r>
        <w:t>a</w:t>
      </w:r>
      <w:r>
        <w:t>reiro no podían ser imputadas a esa parte y que su defe</w:t>
      </w:r>
      <w:r>
        <w:t>n</w:t>
      </w:r>
      <w:r>
        <w:t>dido le había solicitado al magistrado instructor, en más de siete oportunidades, ser careado con ellos pero que nunca obtuvo una respuesta favorable. Sin embargo, dijo que el defensor de Bareiro, durante su alegato, dio sobr</w:t>
      </w:r>
      <w:r>
        <w:t>a</w:t>
      </w:r>
      <w:r>
        <w:t>das explicaciones al respecto al referirse a las presi</w:t>
      </w:r>
      <w:r>
        <w:t>o</w:t>
      </w:r>
      <w:r>
        <w:t>nes, la i</w:t>
      </w:r>
      <w:r>
        <w:t>n</w:t>
      </w:r>
      <w:r>
        <w:t>timidación y las promesas no cumplidas.</w:t>
      </w:r>
    </w:p>
    <w:p w:rsidR="00224567" w:rsidRDefault="00224567">
      <w:pPr>
        <w:widowControl w:val="0"/>
        <w:ind w:firstLine="2835"/>
      </w:pPr>
      <w:r>
        <w:t>El Dr. Poblete dejó asentado que para condenar en ningún caso podía suplirse la prueba por ind</w:t>
      </w:r>
      <w:r>
        <w:t>i</w:t>
      </w:r>
      <w:r>
        <w:t xml:space="preserve">cios y citó el precedente “Panelatti de Domper” de </w:t>
      </w:r>
      <w:smartTag w:uri="urn:schemas-microsoft-com:office:smarttags" w:element="PersonName">
        <w:smartTagPr>
          <w:attr w:name="ProductID" w:val="la Corte Suprema"/>
        </w:smartTagPr>
        <w:r>
          <w:t>la Co</w:t>
        </w:r>
        <w:r>
          <w:t>r</w:t>
        </w:r>
        <w:r>
          <w:t>te Suprema</w:t>
        </w:r>
      </w:smartTag>
      <w:r>
        <w:t xml:space="preserve"> de Justicia de </w:t>
      </w:r>
      <w:smartTag w:uri="urn:schemas-microsoft-com:office:smarttags" w:element="PersonName">
        <w:smartTagPr>
          <w:attr w:name="ProductID" w:val="la Naci￳n."/>
        </w:smartTagPr>
        <w:r>
          <w:t>la N</w:t>
        </w:r>
        <w:r>
          <w:t>a</w:t>
        </w:r>
        <w:r>
          <w:t>ción.</w:t>
        </w:r>
      </w:smartTag>
    </w:p>
    <w:p w:rsidR="00224567" w:rsidRDefault="00224567">
      <w:pPr>
        <w:pStyle w:val="Sangradetextonormal"/>
        <w:widowControl w:val="0"/>
        <w:ind w:firstLine="2835"/>
      </w:pPr>
      <w:r>
        <w:t>Requirió la nulidad de la causa n° 1598 por entender que si bien se estableció como inicio de ésta el 9 de junio de 1995, ya Carlos Alberto Telleldín, el 6 de agosto de 1994, había denunciado a los integra</w:t>
      </w:r>
      <w:r>
        <w:t>n</w:t>
      </w:r>
      <w:r>
        <w:t xml:space="preserve">tes de </w:t>
      </w:r>
      <w:smartTag w:uri="urn:schemas-microsoft-com:office:smarttags" w:element="PersonName">
        <w:smartTagPr>
          <w:attr w:name="ProductID" w:val="la Brigada"/>
        </w:smartTagPr>
        <w:r>
          <w:t>la Brigada</w:t>
        </w:r>
      </w:smartTag>
      <w:r>
        <w:t xml:space="preserve"> de Vicente López, por lo que ninguno de los policías debió ser convocado como testigo, y además po</w:t>
      </w:r>
      <w:r>
        <w:t>r</w:t>
      </w:r>
      <w:r>
        <w:t>que, desde su inicio, se evidenció que todos los datos que se fueron aportando a esa causa tenían la intención de m</w:t>
      </w:r>
      <w:r>
        <w:t>e</w:t>
      </w:r>
      <w:r>
        <w:t>jorar la declaración paga de Telleldín. Durante el des</w:t>
      </w:r>
      <w:r>
        <w:t>a</w:t>
      </w:r>
      <w:r>
        <w:t xml:space="preserve">rrollo de esta posición citó fragmentos del precedente “Rodríguez Pamias”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xml:space="preserve"> y nuevamente el artículo de Falcone y Tapia ya r</w:t>
      </w:r>
      <w:r>
        <w:t>e</w:t>
      </w:r>
      <w:r>
        <w:t>ferido.</w:t>
      </w:r>
    </w:p>
    <w:p w:rsidR="00224567" w:rsidRDefault="00224567">
      <w:pPr>
        <w:widowControl w:val="0"/>
        <w:ind w:firstLine="2835"/>
      </w:pPr>
      <w:r>
        <w:t>En síntesis, los letrados defensores de Anastasio Ireneo Leal, al culminar su alegato, adhiri</w:t>
      </w:r>
      <w:r>
        <w:t>e</w:t>
      </w:r>
      <w:r>
        <w:t>ron a la nulidad de la declaración indagatoria prestada por Carlos Alberto Telleldín el 5 de julio de 1996 efe</w:t>
      </w:r>
      <w:r>
        <w:t>c</w:t>
      </w:r>
      <w:r>
        <w:t>tuada por el Dr. Nisman, pero con los efectos posteriores atribuidos por la defensa conjunta de los Dres. Moreno y Lozano;</w:t>
      </w:r>
      <w:r>
        <w:rPr>
          <w:b/>
          <w:bCs/>
        </w:rPr>
        <w:t xml:space="preserve"> </w:t>
      </w:r>
      <w:r>
        <w:t>al planteo de nulidad deducido por el Dr. José M</w:t>
      </w:r>
      <w:r>
        <w:t>a</w:t>
      </w:r>
      <w:r>
        <w:t>nuel Ubeira al efectuar su alegato, en lo atinente a la causa n° 1598, y al planteo de prescripción del Dr. José Eduardo García al momento de darse inicio a la causa nº 501/00; como así también al deducido sobre el punto por los Dres. Moreno y Lozano al alegar. Con respecto a la m</w:t>
      </w:r>
      <w:r>
        <w:t>a</w:t>
      </w:r>
      <w:r>
        <w:t>terialidad del atentado, dijeron que adherían a lo man</w:t>
      </w:r>
      <w:r>
        <w:t>i</w:t>
      </w:r>
      <w:r>
        <w:t>festado en su alegato por la defensa de Raúl Edilio Ib</w:t>
      </w:r>
      <w:r>
        <w:t>a</w:t>
      </w:r>
      <w:r>
        <w:t>rra.</w:t>
      </w:r>
    </w:p>
    <w:p w:rsidR="00224567" w:rsidRDefault="00224567">
      <w:pPr>
        <w:widowControl w:val="0"/>
        <w:ind w:firstLine="2835"/>
      </w:pPr>
      <w:r>
        <w:t>Peticionaron además que, en fu</w:t>
      </w:r>
      <w:r>
        <w:t>n</w:t>
      </w:r>
      <w:r>
        <w:t>ción de lo manifestado por el Dr. Marcelo García, se extra</w:t>
      </w:r>
      <w:r>
        <w:t>i</w:t>
      </w:r>
      <w:r>
        <w:t>gan los testimonios pertinentes por la coloc</w:t>
      </w:r>
      <w:r>
        <w:t>a</w:t>
      </w:r>
      <w:r>
        <w:t xml:space="preserve">ción de micrófonos de </w:t>
      </w:r>
      <w:smartTag w:uri="urn:schemas-microsoft-com:office:smarttags" w:element="PersonName">
        <w:smartTagPr>
          <w:attr w:name="ProductID" w:val="la Dra. Marta"/>
        </w:smartTagPr>
        <w:r>
          <w:t>la Dra. Marta</w:t>
        </w:r>
      </w:smartTag>
      <w:r>
        <w:t xml:space="preserve"> Nercellas con el fin de grabar a Bautista Alberto Huici imputando a Anastasio Ireneo Leal; como así también por la participación que en estas maniobras h</w:t>
      </w:r>
      <w:r>
        <w:t>a</w:t>
      </w:r>
      <w:r>
        <w:t>brían tenido el comisario Jorge Palacios y el Dr. Juan J</w:t>
      </w:r>
      <w:r>
        <w:t>o</w:t>
      </w:r>
      <w:r>
        <w:t>sé Galeano, los que deberán ser remitidos al Juzgado N</w:t>
      </w:r>
      <w:r>
        <w:t>a</w:t>
      </w:r>
      <w:r>
        <w:t>cional en lo Criminal y Correccional Federal nº 11, en el marco de la causa nº 9789.</w:t>
      </w:r>
    </w:p>
    <w:p w:rsidR="00224567" w:rsidRDefault="00224567">
      <w:pPr>
        <w:widowControl w:val="0"/>
        <w:ind w:firstLine="2835"/>
      </w:pPr>
      <w:r>
        <w:t>Asimismo, que se realice una nueva a</w:t>
      </w:r>
      <w:r>
        <w:t>c</w:t>
      </w:r>
      <w:r>
        <w:t>ta e inventario de los daños sufridos por el Ford G</w:t>
      </w:r>
      <w:r>
        <w:t>a</w:t>
      </w:r>
      <w:r>
        <w:t>laxy, modelo 94, patente B 2.591.134 y se lo restituya en forma definitiva al Sr. Anastasio Benito Leal. Por último, que se absuelva a Anastasio Ireneo Leal como partícipe neces</w:t>
      </w:r>
      <w:r>
        <w:t>a</w:t>
      </w:r>
      <w:r>
        <w:t>rio de los delitos de homicidio calif</w:t>
      </w:r>
      <w:r>
        <w:t>i</w:t>
      </w:r>
      <w:r>
        <w:t>cado por haber sido cometido por un medio idóneo para causar un peligro común en perjuicio de ochenta y cinco víctimas; l</w:t>
      </w:r>
      <w:r>
        <w:t>e</w:t>
      </w:r>
      <w:r>
        <w:t>siones leves y graves calificadas, las leves en perjuicio de cuarenta pers</w:t>
      </w:r>
      <w:r>
        <w:t>o</w:t>
      </w:r>
      <w:r>
        <w:t>nas y las graves en perjuicio de treinta y uno; daños múltiples, secuestro extorsivo, priv</w:t>
      </w:r>
      <w:r>
        <w:t>a</w:t>
      </w:r>
      <w:r>
        <w:t>ción ilegítima de la libertad, privación de la libertad agravada y extorsión, ambos de grado de tentativa, y asociación ilícita; con e</w:t>
      </w:r>
      <w:r>
        <w:t>x</w:t>
      </w:r>
      <w:r>
        <w:t>presa mención de que esta investigación no daña el buen nombre y honor del que goza el nombrado.</w:t>
      </w:r>
    </w:p>
    <w:p w:rsidR="00224567" w:rsidRDefault="00224567">
      <w:pPr>
        <w:widowControl w:val="0"/>
        <w:rPr>
          <w:b/>
          <w:bCs/>
        </w:rPr>
      </w:pPr>
    </w:p>
    <w:p w:rsidR="00224567" w:rsidRDefault="00224567">
      <w:pPr>
        <w:widowControl w:val="0"/>
        <w:tabs>
          <w:tab w:val="left" w:pos="2835"/>
        </w:tabs>
        <w:rPr>
          <w:b/>
          <w:bCs/>
        </w:rPr>
      </w:pPr>
      <w:r>
        <w:tab/>
      </w:r>
      <w:r>
        <w:rPr>
          <w:b/>
          <w:bCs/>
        </w:rPr>
        <w:t xml:space="preserve">C.6) </w:t>
      </w:r>
      <w:r>
        <w:t>Por su parte, en oportunidad de alegar, el Dr. José Eduardo García, en su calidad de d</w:t>
      </w:r>
      <w:r>
        <w:t>e</w:t>
      </w:r>
      <w:r>
        <w:t>fensor de Daniel Emilio Quinteros, solicitó su abs</w:t>
      </w:r>
      <w:r>
        <w:t>o</w:t>
      </w:r>
      <w:r>
        <w:t>lución en orden a los delitos por los cuales fue traído a ju</w:t>
      </w:r>
      <w:r>
        <w:t>i</w:t>
      </w:r>
      <w:r>
        <w:t>cio, en razón del pedido absolutorio formulado por los repr</w:t>
      </w:r>
      <w:r>
        <w:t>e</w:t>
      </w:r>
      <w:r>
        <w:t>sentantes del Ministerio Público Fi</w:t>
      </w:r>
      <w:r>
        <w:t>s</w:t>
      </w:r>
      <w:r>
        <w:t>cal.</w:t>
      </w:r>
    </w:p>
    <w:p w:rsidR="00224567" w:rsidRDefault="00224567">
      <w:pPr>
        <w:widowControl w:val="0"/>
      </w:pPr>
      <w:r>
        <w:tab/>
      </w:r>
      <w:r>
        <w:tab/>
        <w:t>Fundamentó dicha petición en los pr</w:t>
      </w:r>
      <w:r>
        <w:t>e</w:t>
      </w:r>
      <w:r>
        <w:t xml:space="preserve">cedentes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xml:space="preserve"> “T</w:t>
      </w:r>
      <w:r>
        <w:t>a</w:t>
      </w:r>
      <w:r>
        <w:t>rifeño”, “García”, “Cattonar”, “Cáceres” y “Mostaccio”, considerando vedada la jurisdicción del Tribunal para co</w:t>
      </w:r>
      <w:r>
        <w:t>n</w:t>
      </w:r>
      <w:r>
        <w:t>denar a su defendido.</w:t>
      </w:r>
    </w:p>
    <w:p w:rsidR="00224567" w:rsidRDefault="00224567">
      <w:pPr>
        <w:widowControl w:val="0"/>
      </w:pPr>
      <w:r>
        <w:tab/>
        <w:t>Asimismo, peticionó que los fiscales insten la falta de mérito que desde el 22 de dicie</w:t>
      </w:r>
      <w:r>
        <w:t>m</w:t>
      </w:r>
      <w:r>
        <w:t>bre de 1998 subsiste respecto de Quinteros, por su presunta pa</w:t>
      </w:r>
      <w:r>
        <w:t>r</w:t>
      </w:r>
      <w:r>
        <w:t>ticipación en el atentado, en razón de los perju</w:t>
      </w:r>
      <w:r>
        <w:t>i</w:t>
      </w:r>
      <w:r>
        <w:t>cios que dicha indefinición le pr</w:t>
      </w:r>
      <w:r>
        <w:t>o</w:t>
      </w:r>
      <w:r>
        <w:t>voca.</w:t>
      </w:r>
    </w:p>
    <w:p w:rsidR="00224567" w:rsidRDefault="00224567">
      <w:pPr>
        <w:widowControl w:val="0"/>
      </w:pPr>
      <w:r>
        <w:tab/>
      </w:r>
      <w:r>
        <w:tab/>
        <w:t>Igual solución absolutoria propició respecto de Diego Enrique Barreda por entender nulo todo lo actuado a su respecto en la etapa ant</w:t>
      </w:r>
      <w:r>
        <w:t>e</w:t>
      </w:r>
      <w:r>
        <w:t>rior.</w:t>
      </w:r>
    </w:p>
    <w:p w:rsidR="00224567" w:rsidRDefault="00224567">
      <w:pPr>
        <w:widowControl w:val="0"/>
      </w:pPr>
      <w:r>
        <w:t xml:space="preserve"> </w:t>
      </w:r>
      <w:r>
        <w:tab/>
      </w:r>
      <w:r>
        <w:tab/>
        <w:t>Para fundamentar tal petición enfatizó la ausencia de imparcialidad e independencia del juez in</w:t>
      </w:r>
      <w:r>
        <w:t>s</w:t>
      </w:r>
      <w:r>
        <w:t>tructor, plasmadas en, al menos, los s</w:t>
      </w:r>
      <w:r>
        <w:t>i</w:t>
      </w:r>
      <w:r>
        <w:t>guientes momentos: el informe de que da cuenta la foja 114 y las constancias obrantes a fs. 865 y 870; la reunión acaecida el 25 de j</w:t>
      </w:r>
      <w:r>
        <w:t>u</w:t>
      </w:r>
      <w:r>
        <w:t>lio de 1994 en la quinta pr</w:t>
      </w:r>
      <w:r>
        <w:t>e</w:t>
      </w:r>
      <w:r>
        <w:t>sidencial de Olivos, entre el Dr. Galeano y el ex pr</w:t>
      </w:r>
      <w:r>
        <w:t>e</w:t>
      </w:r>
      <w:r>
        <w:t xml:space="preserve">sidente de </w:t>
      </w:r>
      <w:smartTag w:uri="urn:schemas-microsoft-com:office:smarttags" w:element="PersonName">
        <w:smartTagPr>
          <w:attr w:name="ProductID" w:val="la Naci￳n Carlos"/>
        </w:smartTagPr>
        <w:r>
          <w:t>la Nación Carlos</w:t>
        </w:r>
      </w:smartTag>
      <w:r>
        <w:t xml:space="preserve"> Menem, caracterizada como el comienzo de una actividad encamin</w:t>
      </w:r>
      <w:r>
        <w:t>a</w:t>
      </w:r>
      <w:r>
        <w:t>da a desviar la pesquisa y la autorización para que colaboren en la instrucción los ahora imputados B</w:t>
      </w:r>
      <w:r>
        <w:t>a</w:t>
      </w:r>
      <w:r>
        <w:t>rreda y Bareiro.</w:t>
      </w:r>
    </w:p>
    <w:p w:rsidR="00224567" w:rsidRDefault="00224567">
      <w:pPr>
        <w:widowControl w:val="0"/>
        <w:rPr>
          <w:bCs/>
        </w:rPr>
      </w:pPr>
      <w:r>
        <w:rPr>
          <w:bCs/>
        </w:rPr>
        <w:tab/>
      </w:r>
      <w:r>
        <w:rPr>
          <w:bCs/>
        </w:rPr>
        <w:tab/>
        <w:t>Por otra parte, el Sr. defensor sol</w:t>
      </w:r>
      <w:r>
        <w:rPr>
          <w:bCs/>
        </w:rPr>
        <w:t>i</w:t>
      </w:r>
      <w:r>
        <w:rPr>
          <w:bCs/>
        </w:rPr>
        <w:t>citó la nulidad de la incorporación al debate de las transcripciones de las escuchas telefónicas del abonado 768-0902, cuyos casetes se perdieron, fundado en la imp</w:t>
      </w:r>
      <w:r>
        <w:rPr>
          <w:bCs/>
        </w:rPr>
        <w:t>o</w:t>
      </w:r>
      <w:r>
        <w:rPr>
          <w:bCs/>
        </w:rPr>
        <w:t>sibilidad de controlarlas por carecer del soporte mat</w:t>
      </w:r>
      <w:r>
        <w:rPr>
          <w:bCs/>
        </w:rPr>
        <w:t>e</w:t>
      </w:r>
      <w:r>
        <w:rPr>
          <w:bCs/>
        </w:rPr>
        <w:t>rial.</w:t>
      </w:r>
    </w:p>
    <w:p w:rsidR="00224567" w:rsidRDefault="00224567">
      <w:pPr>
        <w:widowControl w:val="0"/>
        <w:rPr>
          <w:b/>
        </w:rPr>
      </w:pPr>
      <w:r>
        <w:rPr>
          <w:bCs/>
        </w:rPr>
        <w:t xml:space="preserve"> </w:t>
      </w:r>
      <w:r>
        <w:rPr>
          <w:bCs/>
        </w:rPr>
        <w:tab/>
      </w:r>
      <w:r>
        <w:rPr>
          <w:bCs/>
        </w:rPr>
        <w:tab/>
        <w:t>Adujo, además, que dichas desgrabaci</w:t>
      </w:r>
      <w:r>
        <w:rPr>
          <w:bCs/>
        </w:rPr>
        <w:t>o</w:t>
      </w:r>
      <w:r>
        <w:rPr>
          <w:bCs/>
        </w:rPr>
        <w:t>nes constituían una versión libre de unas supuestas esc</w:t>
      </w:r>
      <w:r>
        <w:rPr>
          <w:bCs/>
        </w:rPr>
        <w:t>u</w:t>
      </w:r>
      <w:r>
        <w:rPr>
          <w:bCs/>
        </w:rPr>
        <w:t>chas, acerca de cuya existencia no se tenían noticias ciertas, refiriendo que éstas no fueron i</w:t>
      </w:r>
      <w:r>
        <w:rPr>
          <w:bCs/>
        </w:rPr>
        <w:t>n</w:t>
      </w:r>
      <w:r>
        <w:rPr>
          <w:bCs/>
        </w:rPr>
        <w:t>corporadas a la causa a través del acto procesal pert</w:t>
      </w:r>
      <w:r>
        <w:rPr>
          <w:bCs/>
        </w:rPr>
        <w:t>i</w:t>
      </w:r>
      <w:r>
        <w:rPr>
          <w:bCs/>
        </w:rPr>
        <w:t>nente, careciendo de las formalidades previstas en el art. 138 del Código Pr</w:t>
      </w:r>
      <w:r>
        <w:rPr>
          <w:bCs/>
        </w:rPr>
        <w:t>o</w:t>
      </w:r>
      <w:r>
        <w:rPr>
          <w:bCs/>
        </w:rPr>
        <w:t xml:space="preserve">cesal Penal de </w:t>
      </w:r>
      <w:smartTag w:uri="urn:schemas-microsoft-com:office:smarttags" w:element="PersonName">
        <w:smartTagPr>
          <w:attr w:name="ProductID" w:val="la Naci￳n"/>
        </w:smartTagPr>
        <w:r>
          <w:rPr>
            <w:bCs/>
          </w:rPr>
          <w:t>la Nación</w:t>
        </w:r>
      </w:smartTag>
      <w:r>
        <w:rPr>
          <w:bCs/>
        </w:rPr>
        <w:t xml:space="preserve"> y de la fi</w:t>
      </w:r>
      <w:r>
        <w:rPr>
          <w:bCs/>
        </w:rPr>
        <w:t>r</w:t>
      </w:r>
      <w:r>
        <w:rPr>
          <w:bCs/>
        </w:rPr>
        <w:t>ma e indicación de los responsables de la fidelidad de su co</w:t>
      </w:r>
      <w:r>
        <w:rPr>
          <w:bCs/>
        </w:rPr>
        <w:t>n</w:t>
      </w:r>
      <w:r>
        <w:rPr>
          <w:bCs/>
        </w:rPr>
        <w:t>tenido.</w:t>
      </w:r>
    </w:p>
    <w:p w:rsidR="00224567" w:rsidRDefault="00224567">
      <w:pPr>
        <w:widowControl w:val="0"/>
        <w:rPr>
          <w:bCs/>
        </w:rPr>
      </w:pPr>
      <w:r>
        <w:rPr>
          <w:bCs/>
        </w:rPr>
        <w:tab/>
      </w:r>
      <w:r>
        <w:rPr>
          <w:bCs/>
        </w:rPr>
        <w:tab/>
        <w:t>Fundó dicho pedido en la repercusión sobre la efectiva posibilidad de ejercer la d</w:t>
      </w:r>
      <w:r>
        <w:rPr>
          <w:bCs/>
        </w:rPr>
        <w:t>e</w:t>
      </w:r>
      <w:r>
        <w:rPr>
          <w:bCs/>
        </w:rPr>
        <w:t>fensa de su asistido respecto del contenido de las mencionadas desgr</w:t>
      </w:r>
      <w:r>
        <w:rPr>
          <w:bCs/>
        </w:rPr>
        <w:t>a</w:t>
      </w:r>
      <w:r>
        <w:rPr>
          <w:bCs/>
        </w:rPr>
        <w:t xml:space="preserve">baciones y en la vulneración del art. 18 de </w:t>
      </w:r>
      <w:smartTag w:uri="urn:schemas-microsoft-com:office:smarttags" w:element="PersonName">
        <w:smartTagPr>
          <w:attr w:name="ProductID" w:val="la Constituci￳n Nacional"/>
        </w:smartTagPr>
        <w:r>
          <w:rPr>
            <w:bCs/>
          </w:rPr>
          <w:t>la Constit</w:t>
        </w:r>
        <w:r>
          <w:rPr>
            <w:bCs/>
          </w:rPr>
          <w:t>u</w:t>
        </w:r>
        <w:r>
          <w:rPr>
            <w:bCs/>
          </w:rPr>
          <w:t>ción Nacional</w:t>
        </w:r>
      </w:smartTag>
      <w:r>
        <w:rPr>
          <w:bCs/>
        </w:rPr>
        <w:t xml:space="preserve"> y concordantes de los tratados de Derechos Humanos con jera</w:t>
      </w:r>
      <w:r>
        <w:rPr>
          <w:bCs/>
        </w:rPr>
        <w:t>r</w:t>
      </w:r>
      <w:r>
        <w:rPr>
          <w:bCs/>
        </w:rPr>
        <w:t xml:space="preserve">quía constitucional (art. 75, inc. 22 de la carta magna), como así también de los arts. 167, inc. 3°, y 168 del Código Procesal Penal de </w:t>
      </w:r>
      <w:smartTag w:uri="urn:schemas-microsoft-com:office:smarttags" w:element="PersonName">
        <w:smartTagPr>
          <w:attr w:name="ProductID" w:val="la Naci￳n."/>
        </w:smartTagPr>
        <w:r>
          <w:rPr>
            <w:bCs/>
          </w:rPr>
          <w:t>la N</w:t>
        </w:r>
        <w:r>
          <w:rPr>
            <w:bCs/>
          </w:rPr>
          <w:t>a</w:t>
        </w:r>
        <w:r>
          <w:rPr>
            <w:bCs/>
          </w:rPr>
          <w:t>ción.</w:t>
        </w:r>
      </w:smartTag>
    </w:p>
    <w:p w:rsidR="00224567" w:rsidRDefault="00224567">
      <w:pPr>
        <w:widowControl w:val="0"/>
        <w:rPr>
          <w:bCs/>
        </w:rPr>
      </w:pPr>
      <w:r>
        <w:rPr>
          <w:bCs/>
        </w:rPr>
        <w:t xml:space="preserve"> </w:t>
      </w:r>
      <w:r>
        <w:rPr>
          <w:bCs/>
        </w:rPr>
        <w:tab/>
      </w:r>
      <w:r>
        <w:rPr>
          <w:bCs/>
        </w:rPr>
        <w:tab/>
        <w:t>Con respecto a la colaboración brind</w:t>
      </w:r>
      <w:r>
        <w:rPr>
          <w:bCs/>
        </w:rPr>
        <w:t>a</w:t>
      </w:r>
      <w:r>
        <w:rPr>
          <w:bCs/>
        </w:rPr>
        <w:t>da por B</w:t>
      </w:r>
      <w:r>
        <w:rPr>
          <w:bCs/>
        </w:rPr>
        <w:t>a</w:t>
      </w:r>
      <w:r>
        <w:rPr>
          <w:bCs/>
        </w:rPr>
        <w:t>rreda y Bareiro el 26 y 27 de julio de 1994 en el domicilio de Carlos Telleldín, el Sr. defe</w:t>
      </w:r>
      <w:r>
        <w:rPr>
          <w:bCs/>
        </w:rPr>
        <w:t>n</w:t>
      </w:r>
      <w:r>
        <w:rPr>
          <w:bCs/>
        </w:rPr>
        <w:t xml:space="preserve">sor explicó que la tarde del 26, mientras personal de </w:t>
      </w:r>
      <w:smartTag w:uri="urn:schemas-microsoft-com:office:smarttags" w:element="PersonName">
        <w:smartTagPr>
          <w:attr w:name="ProductID" w:val="la S.I"/>
        </w:smartTagPr>
        <w:r>
          <w:rPr>
            <w:bCs/>
          </w:rPr>
          <w:t>la S.I</w:t>
        </w:r>
      </w:smartTag>
      <w:r>
        <w:rPr>
          <w:bCs/>
        </w:rPr>
        <w:t>.D.E. y del D.P.O.C. realizaban en dicho domicilio el operativo ord</w:t>
      </w:r>
      <w:r>
        <w:rPr>
          <w:bCs/>
        </w:rPr>
        <w:t>e</w:t>
      </w:r>
      <w:r>
        <w:rPr>
          <w:bCs/>
        </w:rPr>
        <w:t>nado por el juez instructor, fueron detenidos Barreda y Bareiro, oportunidad en la que explicaron que habían co</w:t>
      </w:r>
      <w:r>
        <w:rPr>
          <w:bCs/>
        </w:rPr>
        <w:t>n</w:t>
      </w:r>
      <w:r>
        <w:rPr>
          <w:bCs/>
        </w:rPr>
        <w:t>currido al lugar a pedido de Boragni, en razón de la pr</w:t>
      </w:r>
      <w:r>
        <w:rPr>
          <w:bCs/>
        </w:rPr>
        <w:t>e</w:t>
      </w:r>
      <w:r>
        <w:rPr>
          <w:bCs/>
        </w:rPr>
        <w:t>sencia de personas extrañas en torno a su vivie</w:t>
      </w:r>
      <w:r>
        <w:rPr>
          <w:bCs/>
        </w:rPr>
        <w:t>n</w:t>
      </w:r>
      <w:r>
        <w:rPr>
          <w:bCs/>
        </w:rPr>
        <w:t>da.</w:t>
      </w:r>
    </w:p>
    <w:p w:rsidR="00224567" w:rsidRDefault="00224567">
      <w:pPr>
        <w:widowControl w:val="0"/>
        <w:rPr>
          <w:bCs/>
        </w:rPr>
      </w:pPr>
      <w:r>
        <w:rPr>
          <w:bCs/>
        </w:rPr>
        <w:t xml:space="preserve"> </w:t>
      </w:r>
      <w:r>
        <w:rPr>
          <w:bCs/>
        </w:rPr>
        <w:tab/>
      </w:r>
      <w:r>
        <w:rPr>
          <w:bCs/>
        </w:rPr>
        <w:tab/>
        <w:t>Señaló que una vez que Barreda y B</w:t>
      </w:r>
      <w:r>
        <w:rPr>
          <w:bCs/>
        </w:rPr>
        <w:t>a</w:t>
      </w:r>
      <w:r>
        <w:rPr>
          <w:bCs/>
        </w:rPr>
        <w:t>reiro acreditaron su condición de policías, comenzaron a colaborar con la investigación y que el juez instructor tenía pleno conocimiento y control de dicha c</w:t>
      </w:r>
      <w:r>
        <w:rPr>
          <w:bCs/>
        </w:rPr>
        <w:t>o</w:t>
      </w:r>
      <w:r>
        <w:rPr>
          <w:bCs/>
        </w:rPr>
        <w:t>laboración.</w:t>
      </w:r>
    </w:p>
    <w:p w:rsidR="00224567" w:rsidRDefault="00224567">
      <w:pPr>
        <w:widowControl w:val="0"/>
        <w:rPr>
          <w:bCs/>
        </w:rPr>
      </w:pPr>
      <w:r>
        <w:rPr>
          <w:bCs/>
        </w:rPr>
        <w:t xml:space="preserve"> </w:t>
      </w:r>
      <w:r>
        <w:rPr>
          <w:bCs/>
        </w:rPr>
        <w:tab/>
      </w:r>
      <w:r>
        <w:rPr>
          <w:bCs/>
        </w:rPr>
        <w:tab/>
        <w:t>Encontró corroborados tales extremos en las declaraciones de Néstor Hernández, Hor</w:t>
      </w:r>
      <w:r>
        <w:rPr>
          <w:bCs/>
        </w:rPr>
        <w:t>a</w:t>
      </w:r>
      <w:r>
        <w:rPr>
          <w:bCs/>
        </w:rPr>
        <w:t>cio Antonio Stiuso, Mario Naldi, Aldo Álv</w:t>
      </w:r>
      <w:r>
        <w:rPr>
          <w:bCs/>
        </w:rPr>
        <w:t>a</w:t>
      </w:r>
      <w:r>
        <w:rPr>
          <w:bCs/>
        </w:rPr>
        <w:t>rez y Carlos Castañeda y en la escucha c</w:t>
      </w:r>
      <w:r>
        <w:rPr>
          <w:bCs/>
        </w:rPr>
        <w:t>o</w:t>
      </w:r>
      <w:r>
        <w:rPr>
          <w:bCs/>
        </w:rPr>
        <w:t>rrespondiente a la línea 768-0902, del 27 de julio de 1994, en lo concerniente a la comunicación de B</w:t>
      </w:r>
      <w:r>
        <w:rPr>
          <w:bCs/>
        </w:rPr>
        <w:t>a</w:t>
      </w:r>
      <w:r>
        <w:rPr>
          <w:bCs/>
        </w:rPr>
        <w:t xml:space="preserve">reiro con </w:t>
      </w:r>
      <w:smartTag w:uri="urn:schemas-microsoft-com:office:smarttags" w:element="PersonName">
        <w:smartTagPr>
          <w:attr w:name="ProductID" w:val="la Brigada"/>
        </w:smartTagPr>
        <w:r>
          <w:rPr>
            <w:bCs/>
          </w:rPr>
          <w:t>la Brigada</w:t>
        </w:r>
      </w:smartTag>
      <w:r>
        <w:rPr>
          <w:bCs/>
        </w:rPr>
        <w:t xml:space="preserve"> de Vicente López, en la que éste i</w:t>
      </w:r>
      <w:r>
        <w:rPr>
          <w:bCs/>
        </w:rPr>
        <w:t>n</w:t>
      </w:r>
      <w:r>
        <w:rPr>
          <w:bCs/>
        </w:rPr>
        <w:t>forma a sus superiores, a través de</w:t>
      </w:r>
      <w:r>
        <w:rPr>
          <w:b/>
        </w:rPr>
        <w:t xml:space="preserve"> </w:t>
      </w:r>
      <w:r>
        <w:rPr>
          <w:bCs/>
        </w:rPr>
        <w:t>Adolfo Hugo Vitelli, de la situación y que, por sug</w:t>
      </w:r>
      <w:r>
        <w:rPr>
          <w:bCs/>
        </w:rPr>
        <w:t>e</w:t>
      </w:r>
      <w:r>
        <w:rPr>
          <w:bCs/>
        </w:rPr>
        <w:t>rencia del juez Galeano, le tomarían a él y a Barreda d</w:t>
      </w:r>
      <w:r>
        <w:rPr>
          <w:bCs/>
        </w:rPr>
        <w:t>e</w:t>
      </w:r>
      <w:r>
        <w:rPr>
          <w:bCs/>
        </w:rPr>
        <w:t>claración.</w:t>
      </w:r>
    </w:p>
    <w:p w:rsidR="00224567" w:rsidRDefault="00224567">
      <w:pPr>
        <w:widowControl w:val="0"/>
        <w:rPr>
          <w:bCs/>
        </w:rPr>
      </w:pPr>
      <w:r>
        <w:rPr>
          <w:bCs/>
        </w:rPr>
        <w:t xml:space="preserve"> </w:t>
      </w:r>
      <w:r>
        <w:rPr>
          <w:bCs/>
        </w:rPr>
        <w:tab/>
      </w:r>
      <w:r>
        <w:rPr>
          <w:bCs/>
        </w:rPr>
        <w:tab/>
        <w:t>Precisó que dicha colaboración, pr</w:t>
      </w:r>
      <w:r>
        <w:rPr>
          <w:bCs/>
        </w:rPr>
        <w:t>o</w:t>
      </w:r>
      <w:r>
        <w:rPr>
          <w:bCs/>
        </w:rPr>
        <w:t>ducto de la relación de confianza que los vinculaba con Ana Boragni, fue clave para lograr diversos cometidos, sustentando tal afirmación en los dichos de Barr</w:t>
      </w:r>
      <w:r>
        <w:rPr>
          <w:bCs/>
        </w:rPr>
        <w:t>e</w:t>
      </w:r>
      <w:r>
        <w:rPr>
          <w:bCs/>
        </w:rPr>
        <w:t>da, Mario Bareiro y Juan Alberto Bo</w:t>
      </w:r>
      <w:r>
        <w:rPr>
          <w:bCs/>
        </w:rPr>
        <w:t>t</w:t>
      </w:r>
      <w:r>
        <w:rPr>
          <w:bCs/>
        </w:rPr>
        <w:t>tegal</w:t>
      </w:r>
      <w:r>
        <w:rPr>
          <w:b/>
        </w:rPr>
        <w:t xml:space="preserve"> </w:t>
      </w:r>
      <w:r>
        <w:rPr>
          <w:bCs/>
        </w:rPr>
        <w:t>en la etapa instructoria y lo declarado en el debate por Horacio Antonio Stiuso, Luis Delizia, Roberto Saller, Né</w:t>
      </w:r>
      <w:r>
        <w:rPr>
          <w:bCs/>
        </w:rPr>
        <w:t>s</w:t>
      </w:r>
      <w:r>
        <w:rPr>
          <w:bCs/>
        </w:rPr>
        <w:t xml:space="preserve">tor Hernández y Portaluri. </w:t>
      </w:r>
    </w:p>
    <w:p w:rsidR="00224567" w:rsidRDefault="00224567">
      <w:pPr>
        <w:widowControl w:val="0"/>
        <w:rPr>
          <w:bCs/>
        </w:rPr>
      </w:pPr>
      <w:r>
        <w:rPr>
          <w:bCs/>
        </w:rPr>
        <w:tab/>
      </w:r>
      <w:r>
        <w:rPr>
          <w:bCs/>
        </w:rPr>
        <w:tab/>
        <w:t>Asimismo, el Sr. defensor explicó la influencia de Barreda y Bareiro en la decisión de Telle</w:t>
      </w:r>
      <w:r>
        <w:rPr>
          <w:bCs/>
        </w:rPr>
        <w:t>l</w:t>
      </w:r>
      <w:r>
        <w:rPr>
          <w:bCs/>
        </w:rPr>
        <w:t>dín de regresar de la prov. de Misiones y entr</w:t>
      </w:r>
      <w:r>
        <w:rPr>
          <w:bCs/>
        </w:rPr>
        <w:t>e</w:t>
      </w:r>
      <w:r>
        <w:rPr>
          <w:bCs/>
        </w:rPr>
        <w:t>garse a las autoridades; incluso, destacó que fue su asistido quien acudió a Aeroparque para posibilitar la identificación y detención del no</w:t>
      </w:r>
      <w:r>
        <w:rPr>
          <w:bCs/>
        </w:rPr>
        <w:t>m</w:t>
      </w:r>
      <w:r>
        <w:rPr>
          <w:bCs/>
        </w:rPr>
        <w:t xml:space="preserve">brado. </w:t>
      </w:r>
    </w:p>
    <w:p w:rsidR="00224567" w:rsidRDefault="00224567">
      <w:pPr>
        <w:widowControl w:val="0"/>
      </w:pPr>
      <w:r>
        <w:t xml:space="preserve"> </w:t>
      </w:r>
      <w:r>
        <w:tab/>
      </w:r>
      <w:r>
        <w:tab/>
        <w:t>Refirió que la colaboración prestada por Barreda y Bareiro en el esclarecimiento del atentado se fundó en la promesa de que “el único interés existente de parte de los investigadores radicaba en la pos</w:t>
      </w:r>
      <w:r>
        <w:t>i</w:t>
      </w:r>
      <w:r>
        <w:t>bilidad de desentrañar lo ocurrido respecto del atentado y, en particular, en establ</w:t>
      </w:r>
      <w:r>
        <w:t>e</w:t>
      </w:r>
      <w:r>
        <w:t xml:space="preserve">cer el destino dado por Telleldín a </w:t>
      </w:r>
      <w:smartTag w:uri="urn:schemas-microsoft-com:office:smarttags" w:element="PersonName">
        <w:smartTagPr>
          <w:attr w:name="ProductID" w:val="la Trafic"/>
        </w:smartTagPr>
        <w:r>
          <w:t>la Trafic</w:t>
        </w:r>
      </w:smartTag>
      <w:r>
        <w:t>, incluso cuando ello implicara hacer ‘la vista gorda’ respecto de la posible existencia de otros del</w:t>
      </w:r>
      <w:r>
        <w:t>i</w:t>
      </w:r>
      <w:r>
        <w:t>tos”.</w:t>
      </w:r>
    </w:p>
    <w:p w:rsidR="00224567" w:rsidRDefault="00224567">
      <w:pPr>
        <w:widowControl w:val="0"/>
      </w:pPr>
      <w:r>
        <w:t xml:space="preserve"> </w:t>
      </w:r>
      <w:r>
        <w:tab/>
      </w:r>
      <w:r>
        <w:tab/>
        <w:t>En ese sentido, señaló las declaraci</w:t>
      </w:r>
      <w:r>
        <w:t>o</w:t>
      </w:r>
      <w:r>
        <w:t>nes del 24 de junio de 1996 por Bo</w:t>
      </w:r>
      <w:r>
        <w:t>t</w:t>
      </w:r>
      <w:r>
        <w:t>tegal y lo manifestado en el debate por Stiuso, en cuanto indicó que la interve</w:t>
      </w:r>
      <w:r>
        <w:t>n</w:t>
      </w:r>
      <w:r>
        <w:t>ción de Barreda, Bareiro y Bottegal en los hechos del 14 y 15 de julio de 1994, confesada por ellos, fue puesta en conocimiento del juez, quien no obstante reclutó a los dos primeros para la investig</w:t>
      </w:r>
      <w:r>
        <w:t>a</w:t>
      </w:r>
      <w:r>
        <w:t xml:space="preserve">ción. </w:t>
      </w:r>
    </w:p>
    <w:p w:rsidR="00224567" w:rsidRDefault="00224567">
      <w:pPr>
        <w:widowControl w:val="0"/>
      </w:pPr>
      <w:r>
        <w:t xml:space="preserve"> </w:t>
      </w:r>
      <w:r>
        <w:tab/>
      </w:r>
      <w:r>
        <w:tab/>
        <w:t>Además, precisó que, conforme lo man</w:t>
      </w:r>
      <w:r>
        <w:t>i</w:t>
      </w:r>
      <w:r>
        <w:t>festado por Stiuso, el juez instructor había sido anot</w:t>
      </w:r>
      <w:r>
        <w:t>i</w:t>
      </w:r>
      <w:r>
        <w:t>ciado, el 27 de julio de 1994, de lo acontecido en Rep</w:t>
      </w:r>
      <w:r>
        <w:t>ú</w:t>
      </w:r>
      <w:r>
        <w:t>blica 107 entre los días 26 y 27 del mismo mes y año, so</w:t>
      </w:r>
      <w:r>
        <w:t>s</w:t>
      </w:r>
      <w:r>
        <w:t>teniendo el defensor que a pesar del conocimiento que el magistrado tenía de las situaciones de dudosa licitud que envolvían a Barreda y Bareiro dispuso el ingreso de ambos a las filas de la inve</w:t>
      </w:r>
      <w:r>
        <w:t>s</w:t>
      </w:r>
      <w:r>
        <w:t>tigación por el atentado.</w:t>
      </w:r>
    </w:p>
    <w:p w:rsidR="00224567" w:rsidRDefault="00224567">
      <w:pPr>
        <w:widowControl w:val="0"/>
      </w:pPr>
      <w:r>
        <w:t xml:space="preserve"> </w:t>
      </w:r>
      <w:r>
        <w:tab/>
      </w:r>
      <w:r>
        <w:tab/>
        <w:t>También adujo que la cobertura conc</w:t>
      </w:r>
      <w:r>
        <w:t>e</w:t>
      </w:r>
      <w:r>
        <w:t>dida a su asistido y a Mario Bareiro, supervisada por el juez instructor, al menos hasta fines de 1994, se corrob</w:t>
      </w:r>
      <w:r>
        <w:t>o</w:t>
      </w:r>
      <w:r>
        <w:t>raba con la circunstancia de que el magistr</w:t>
      </w:r>
      <w:r>
        <w:t>a</w:t>
      </w:r>
      <w:r>
        <w:t>do no promovió actividad persec</w:t>
      </w:r>
      <w:r>
        <w:t>u</w:t>
      </w:r>
      <w:r>
        <w:t xml:space="preserve">toria respecto de ellos ni aún después de la indagatoria de Telleldín, ocurrida el 6 de agosto de ese año, en la cual señaló a </w:t>
      </w:r>
      <w:smartTag w:uri="urn:schemas-microsoft-com:office:smarttags" w:element="PersonName">
        <w:smartTagPr>
          <w:attr w:name="ProductID" w:val="la Brigada"/>
        </w:smartTagPr>
        <w:r>
          <w:t>la Brigada</w:t>
        </w:r>
      </w:smartTag>
      <w:r>
        <w:t xml:space="preserve"> de V</w:t>
      </w:r>
      <w:r>
        <w:t>i</w:t>
      </w:r>
      <w:r>
        <w:t>cente López y a Barreda como partícipes de un “apriete p</w:t>
      </w:r>
      <w:r>
        <w:t>o</w:t>
      </w:r>
      <w:r>
        <w:t>licial”.</w:t>
      </w:r>
    </w:p>
    <w:p w:rsidR="00224567" w:rsidRDefault="00224567">
      <w:pPr>
        <w:widowControl w:val="0"/>
      </w:pPr>
      <w:r>
        <w:t xml:space="preserve"> </w:t>
      </w:r>
      <w:r>
        <w:tab/>
      </w:r>
      <w:r>
        <w:tab/>
        <w:t>Explicó, además, que con el fin de permitirles afrontar dichas tareas de colaboración, Barr</w:t>
      </w:r>
      <w:r>
        <w:t>e</w:t>
      </w:r>
      <w:r>
        <w:t>da y Bareiro fueron desafectados transitoriamente de sus destinos pol</w:t>
      </w:r>
      <w:r>
        <w:t>i</w:t>
      </w:r>
      <w:r>
        <w:t xml:space="preserve">ciales. </w:t>
      </w:r>
    </w:p>
    <w:p w:rsidR="00224567" w:rsidRDefault="00224567">
      <w:pPr>
        <w:widowControl w:val="0"/>
      </w:pPr>
      <w:r>
        <w:t xml:space="preserve"> </w:t>
      </w:r>
      <w:r>
        <w:tab/>
      </w:r>
      <w:r>
        <w:tab/>
        <w:t xml:space="preserve">En ese orden, el Sr. defensor dio por probado que </w:t>
      </w:r>
      <w:smartTag w:uri="urn:schemas-microsoft-com:office:smarttags" w:element="PersonName">
        <w:smartTagPr>
          <w:attr w:name="ProductID" w:val="la S.I"/>
        </w:smartTagPr>
        <w:r>
          <w:t>la S.I</w:t>
        </w:r>
      </w:smartTag>
      <w:r>
        <w:t>.D.E. proveyó a los nombrados del tel</w:t>
      </w:r>
      <w:r>
        <w:t>é</w:t>
      </w:r>
      <w:r>
        <w:t>fono celular 416-0337, conforme lo corroboró Stiuso y los listados de llamadas telefónicas, de los que surgen, d</w:t>
      </w:r>
      <w:r>
        <w:t>u</w:t>
      </w:r>
      <w:r>
        <w:t>rante los meses en que se prolongó su colaboración, múlt</w:t>
      </w:r>
      <w:r>
        <w:t>i</w:t>
      </w:r>
      <w:r>
        <w:t>ples comunicaciones a los domicilios particulares de B</w:t>
      </w:r>
      <w:r>
        <w:t>a</w:t>
      </w:r>
      <w:r>
        <w:t>rreda y Bareiro, además de las efectuadas al celular de Stiuso y desde éste último a aquél.</w:t>
      </w:r>
    </w:p>
    <w:p w:rsidR="00224567" w:rsidRDefault="00224567">
      <w:pPr>
        <w:widowControl w:val="0"/>
      </w:pPr>
      <w:r>
        <w:t xml:space="preserve"> </w:t>
      </w:r>
      <w:r>
        <w:tab/>
      </w:r>
      <w:r>
        <w:tab/>
        <w:t>También consideró probado que, en el marco de las tareas de investigación del atentado, su asistido y Bareiro fueron enviados al domicilio de la m</w:t>
      </w:r>
      <w:r>
        <w:t>a</w:t>
      </w:r>
      <w:r>
        <w:t>dre de Carlos Telleldín en Córdoba, con el objeto de obt</w:t>
      </w:r>
      <w:r>
        <w:t>e</w:t>
      </w:r>
      <w:r>
        <w:t>ner una agenda, propi</w:t>
      </w:r>
      <w:r>
        <w:t>e</w:t>
      </w:r>
      <w:r>
        <w:t>dad de éste último y que, gracias a aquéllos fue posible la identificación y ubicación de Ja</w:t>
      </w:r>
      <w:r>
        <w:t>i</w:t>
      </w:r>
      <w:r>
        <w:t>mes, conforme lo d</w:t>
      </w:r>
      <w:r>
        <w:t>e</w:t>
      </w:r>
      <w:r>
        <w:t>clarado por Stiuso.</w:t>
      </w:r>
    </w:p>
    <w:p w:rsidR="00224567" w:rsidRDefault="00224567">
      <w:pPr>
        <w:widowControl w:val="0"/>
      </w:pPr>
      <w:r>
        <w:t xml:space="preserve"> </w:t>
      </w:r>
      <w:r>
        <w:tab/>
      </w:r>
      <w:r>
        <w:tab/>
        <w:t>Explicó el defensor que una vez que dejaron de colaborar comenzó la pers</w:t>
      </w:r>
      <w:r>
        <w:t>e</w:t>
      </w:r>
      <w:r>
        <w:t>cución de su asistido y Bareiro, quienes fueron exonerados de las filas polici</w:t>
      </w:r>
      <w:r>
        <w:t>a</w:t>
      </w:r>
      <w:r>
        <w:t>les mediante un sumario administrativo en el que el juez instructor ejerció una influencia abs</w:t>
      </w:r>
      <w:r>
        <w:t>o</w:t>
      </w:r>
      <w:r>
        <w:t>lutamente extraña al ámbito de su co</w:t>
      </w:r>
      <w:r>
        <w:t>m</w:t>
      </w:r>
      <w:r>
        <w:t>petencia, toda vez que no sólo indicó las medidas de prueba que debían real</w:t>
      </w:r>
      <w:r>
        <w:t>i</w:t>
      </w:r>
      <w:r>
        <w:t>zarse sino que determinó que la suerte de los sumariados dependía de la “colabor</w:t>
      </w:r>
      <w:r>
        <w:t>a</w:t>
      </w:r>
      <w:r>
        <w:t>ción” que efectuaran en la causa penal.</w:t>
      </w:r>
    </w:p>
    <w:p w:rsidR="00224567" w:rsidRDefault="00224567">
      <w:pPr>
        <w:widowControl w:val="0"/>
      </w:pPr>
      <w:r>
        <w:t xml:space="preserve"> </w:t>
      </w:r>
      <w:r>
        <w:tab/>
      </w:r>
      <w:r>
        <w:tab/>
        <w:t>Prueba de ese proceder, señ</w:t>
      </w:r>
      <w:r>
        <w:t>a</w:t>
      </w:r>
      <w:r>
        <w:t>ló, fue el desigual y privilegiado tratamiento rec</w:t>
      </w:r>
      <w:r>
        <w:t>i</w:t>
      </w:r>
      <w:r>
        <w:t>bido por Alejandro Burguete, quien resultó benef</w:t>
      </w:r>
      <w:r>
        <w:t>i</w:t>
      </w:r>
      <w:r>
        <w:t>ciado con un sobreseimiento en sede administrativa, reflejo de que los sumarios se convirtieron en t</w:t>
      </w:r>
      <w:r>
        <w:t>e</w:t>
      </w:r>
      <w:r>
        <w:t>rreno propicio para premiar desde allí a todos aquéllos que se manifestaran de acuerdo a la conv</w:t>
      </w:r>
      <w:r>
        <w:t>e</w:t>
      </w:r>
      <w:r>
        <w:t>niencia del instru</w:t>
      </w:r>
      <w:r>
        <w:t>c</w:t>
      </w:r>
      <w:r>
        <w:t>tor.</w:t>
      </w:r>
    </w:p>
    <w:p w:rsidR="00224567" w:rsidRDefault="00224567">
      <w:pPr>
        <w:widowControl w:val="0"/>
      </w:pPr>
      <w:r>
        <w:t xml:space="preserve"> </w:t>
      </w:r>
      <w:r>
        <w:tab/>
      </w:r>
      <w:r>
        <w:tab/>
        <w:t>Indicó, también, que los hechos que fundamentaron la disponibilidad preventiva y exoneración de su pupilo, decididas con part</w:t>
      </w:r>
      <w:r>
        <w:t>i</w:t>
      </w:r>
      <w:r>
        <w:t xml:space="preserve">cular rapidez, fueron los que motivaron su reclutamiento como colaborador de </w:t>
      </w:r>
      <w:smartTag w:uri="urn:schemas-microsoft-com:office:smarttags" w:element="PersonName">
        <w:smartTagPr>
          <w:attr w:name="ProductID" w:val="la S.I"/>
        </w:smartTagPr>
        <w:r>
          <w:t>la S.I</w:t>
        </w:r>
      </w:smartTag>
      <w:r>
        <w:t>.D.E., con autorización de la jefatura policial bona</w:t>
      </w:r>
      <w:r>
        <w:t>e</w:t>
      </w:r>
      <w:r>
        <w:t>rense y del juzgado in</w:t>
      </w:r>
      <w:r>
        <w:t>s</w:t>
      </w:r>
      <w:r>
        <w:t>tructor.</w:t>
      </w:r>
    </w:p>
    <w:p w:rsidR="00224567" w:rsidRDefault="00224567">
      <w:pPr>
        <w:widowControl w:val="0"/>
      </w:pPr>
      <w:r>
        <w:t xml:space="preserve"> </w:t>
      </w:r>
      <w:r>
        <w:tab/>
      </w:r>
      <w:r>
        <w:tab/>
        <w:t>Enfatizó, en ese sentido, que durante los meses de mayo y junio de 1995 fue cuando mayor celer</w:t>
      </w:r>
      <w:r>
        <w:t>i</w:t>
      </w:r>
      <w:r>
        <w:t>dad se le otorgó al trámite de dicho sumario, resaltando como coincidencia, que en ese momento el juzgado instru</w:t>
      </w:r>
      <w:r>
        <w:t>c</w:t>
      </w:r>
      <w:r>
        <w:t>tor había instalado la nueva hipótesis investigativa ce</w:t>
      </w:r>
      <w:r>
        <w:t>n</w:t>
      </w:r>
      <w:r>
        <w:t>trada en la policía bonaerense como conexión local del atentado. Señaló, al respecto, que era evidente que la instrucción no podía seguir silenciando las picard</w:t>
      </w:r>
      <w:r>
        <w:t>í</w:t>
      </w:r>
      <w:r>
        <w:t>as -en referencia a los hechos de Vicente López- que ambos ex p</w:t>
      </w:r>
      <w:r>
        <w:t>o</w:t>
      </w:r>
      <w:r>
        <w:t>licías habían contado, en razón de que éstas les servían de base a la referida hipót</w:t>
      </w:r>
      <w:r>
        <w:t>e</w:t>
      </w:r>
      <w:r>
        <w:t>sis.</w:t>
      </w:r>
    </w:p>
    <w:p w:rsidR="00224567" w:rsidRDefault="00224567">
      <w:pPr>
        <w:pStyle w:val="Textoindependiente"/>
        <w:tabs>
          <w:tab w:val="clear" w:pos="0"/>
          <w:tab w:val="clear" w:pos="2040"/>
          <w:tab w:val="clear" w:pos="4080"/>
          <w:tab w:val="left" w:pos="2835"/>
        </w:tabs>
        <w:spacing w:line="600" w:lineRule="auto"/>
        <w:rPr>
          <w:bCs/>
        </w:rPr>
      </w:pPr>
      <w:r>
        <w:rPr>
          <w:bCs/>
        </w:rPr>
        <w:t xml:space="preserve"> </w:t>
      </w:r>
      <w:r>
        <w:rPr>
          <w:bCs/>
        </w:rPr>
        <w:tab/>
        <w:t>Precisó que dichas circunstancias i</w:t>
      </w:r>
      <w:r>
        <w:rPr>
          <w:bCs/>
        </w:rPr>
        <w:t>m</w:t>
      </w:r>
      <w:r>
        <w:rPr>
          <w:bCs/>
        </w:rPr>
        <w:t>pulsaron al instructor a intentar dejar asentado en la ca</w:t>
      </w:r>
      <w:r>
        <w:rPr>
          <w:bCs/>
        </w:rPr>
        <w:t>u</w:t>
      </w:r>
      <w:r>
        <w:rPr>
          <w:bCs/>
        </w:rPr>
        <w:t xml:space="preserve">sa, a través del oficio librado a fines de </w:t>
      </w:r>
      <w:smartTag w:uri="urn:schemas-microsoft-com:office:smarttags" w:element="metricconverter">
        <w:smartTagPr>
          <w:attr w:name="ProductID" w:val="1997 a"/>
        </w:smartTagPr>
        <w:r>
          <w:rPr>
            <w:bCs/>
          </w:rPr>
          <w:t>1997 a</w:t>
        </w:r>
      </w:smartTag>
      <w:r>
        <w:rPr>
          <w:bCs/>
        </w:rPr>
        <w:t xml:space="preserve"> </w:t>
      </w:r>
      <w:smartTag w:uri="urn:schemas-microsoft-com:office:smarttags" w:element="PersonName">
        <w:smartTagPr>
          <w:attr w:name="ProductID" w:val="la S.I"/>
        </w:smartTagPr>
        <w:r>
          <w:rPr>
            <w:bCs/>
          </w:rPr>
          <w:t>la S.I</w:t>
        </w:r>
      </w:smartTag>
      <w:r>
        <w:rPr>
          <w:bCs/>
        </w:rPr>
        <w:t>.D.E., obrante a fs. 43.523/43.525, el desconocimiento de tal colaboración y de la partic</w:t>
      </w:r>
      <w:r>
        <w:rPr>
          <w:bCs/>
        </w:rPr>
        <w:t>i</w:t>
      </w:r>
      <w:r>
        <w:rPr>
          <w:bCs/>
        </w:rPr>
        <w:t>pación de Jaime Stiller, nombre de cobertura de A</w:t>
      </w:r>
      <w:r>
        <w:rPr>
          <w:bCs/>
        </w:rPr>
        <w:t>n</w:t>
      </w:r>
      <w:r>
        <w:rPr>
          <w:bCs/>
        </w:rPr>
        <w:t>tonio Stiuso, a quien, explicó el defensor, el magistrado conocía perfectamente y con quien había est</w:t>
      </w:r>
      <w:r>
        <w:rPr>
          <w:bCs/>
        </w:rPr>
        <w:t>a</w:t>
      </w:r>
      <w:r>
        <w:rPr>
          <w:bCs/>
        </w:rPr>
        <w:t>do infinidad de veces.</w:t>
      </w:r>
    </w:p>
    <w:p w:rsidR="00224567" w:rsidRDefault="00224567">
      <w:pPr>
        <w:pStyle w:val="Textoindependiente"/>
        <w:tabs>
          <w:tab w:val="clear" w:pos="2040"/>
          <w:tab w:val="left" w:pos="2800"/>
        </w:tabs>
        <w:spacing w:line="600" w:lineRule="auto"/>
        <w:rPr>
          <w:bCs/>
        </w:rPr>
      </w:pPr>
      <w:r>
        <w:rPr>
          <w:bCs/>
        </w:rPr>
        <w:tab/>
        <w:t xml:space="preserve">El Sr. defensor afirmó que </w:t>
      </w:r>
      <w:smartTag w:uri="urn:schemas-microsoft-com:office:smarttags" w:element="PersonName">
        <w:smartTagPr>
          <w:attr w:name="ProductID" w:val="la Secretar￭a"/>
        </w:smartTagPr>
        <w:r>
          <w:rPr>
            <w:bCs/>
          </w:rPr>
          <w:t>la Secret</w:t>
        </w:r>
        <w:r>
          <w:rPr>
            <w:bCs/>
          </w:rPr>
          <w:t>a</w:t>
        </w:r>
        <w:r>
          <w:rPr>
            <w:bCs/>
          </w:rPr>
          <w:t>ría</w:t>
        </w:r>
      </w:smartTag>
      <w:r>
        <w:rPr>
          <w:bCs/>
        </w:rPr>
        <w:t xml:space="preserve"> de Seguridad de </w:t>
      </w:r>
      <w:smartTag w:uri="urn:schemas-microsoft-com:office:smarttags" w:element="PersonName">
        <w:smartTagPr>
          <w:attr w:name="ProductID" w:val="la Provincia."/>
        </w:smartTagPr>
        <w:r>
          <w:rPr>
            <w:bCs/>
          </w:rPr>
          <w:t>la Provincia.</w:t>
        </w:r>
      </w:smartTag>
      <w:r>
        <w:rPr>
          <w:bCs/>
        </w:rPr>
        <w:t xml:space="preserve"> de Buenos Aires acató, sin reparos, las directivas dadas por el Dr. Galeano en r</w:t>
      </w:r>
      <w:r>
        <w:rPr>
          <w:bCs/>
        </w:rPr>
        <w:t>a</w:t>
      </w:r>
      <w:r>
        <w:rPr>
          <w:bCs/>
        </w:rPr>
        <w:t>zón del nuevo curso conferido a la causa A.M.I.A., eje</w:t>
      </w:r>
      <w:r>
        <w:rPr>
          <w:bCs/>
        </w:rPr>
        <w:t>r</w:t>
      </w:r>
      <w:r>
        <w:rPr>
          <w:bCs/>
        </w:rPr>
        <w:t>ciéndose presión, cuanto menos, sobre Barreda, Huici y T</w:t>
      </w:r>
      <w:r>
        <w:rPr>
          <w:bCs/>
        </w:rPr>
        <w:t>e</w:t>
      </w:r>
      <w:r>
        <w:rPr>
          <w:bCs/>
        </w:rPr>
        <w:t>lleldín, en procura de obtener una declaración que compl</w:t>
      </w:r>
      <w:r>
        <w:rPr>
          <w:bCs/>
        </w:rPr>
        <w:t>i</w:t>
      </w:r>
      <w:r>
        <w:rPr>
          <w:bCs/>
        </w:rPr>
        <w:t>cara a Juan José Ribelli con el atent</w:t>
      </w:r>
      <w:r>
        <w:rPr>
          <w:bCs/>
        </w:rPr>
        <w:t>a</w:t>
      </w:r>
      <w:r>
        <w:rPr>
          <w:bCs/>
        </w:rPr>
        <w:t>do.</w:t>
      </w:r>
    </w:p>
    <w:p w:rsidR="00224567" w:rsidRDefault="00224567">
      <w:pPr>
        <w:pStyle w:val="Textoindependiente"/>
        <w:tabs>
          <w:tab w:val="clear" w:pos="2040"/>
          <w:tab w:val="left" w:pos="2800"/>
        </w:tabs>
        <w:spacing w:line="600" w:lineRule="auto"/>
        <w:rPr>
          <w:bCs/>
        </w:rPr>
      </w:pPr>
      <w:r>
        <w:rPr>
          <w:bCs/>
        </w:rPr>
        <w:tab/>
        <w:t>En apoyo de ello puso de resalto las presiones ejercidas contra su asistido en ocasión de las entrevistas que mantuvo con Vicat, quien se encontraba a cargo del Área Especial de Investigaciones de la mentada Secret</w:t>
      </w:r>
      <w:r>
        <w:rPr>
          <w:bCs/>
        </w:rPr>
        <w:t>a</w:t>
      </w:r>
      <w:r>
        <w:rPr>
          <w:bCs/>
        </w:rPr>
        <w:t>ría de Seguridad y el ofrecimiento que a principios de 1997 éste le formuló, con conocimiento y autorización del juzgado instructor, de obtener la libertad, el cambio de su identidad, dinero y la salida del país junto con su familia, a cambio de inv</w:t>
      </w:r>
      <w:r>
        <w:rPr>
          <w:bCs/>
        </w:rPr>
        <w:t>o</w:t>
      </w:r>
      <w:r>
        <w:rPr>
          <w:bCs/>
        </w:rPr>
        <w:t>lucrar a Ribelli en el atentado.</w:t>
      </w:r>
    </w:p>
    <w:p w:rsidR="00224567" w:rsidRDefault="00224567">
      <w:pPr>
        <w:pStyle w:val="Textoindependiente"/>
        <w:tabs>
          <w:tab w:val="clear" w:pos="2040"/>
          <w:tab w:val="left" w:pos="2800"/>
        </w:tabs>
        <w:spacing w:line="600" w:lineRule="auto"/>
        <w:rPr>
          <w:bCs/>
        </w:rPr>
      </w:pPr>
      <w:r>
        <w:rPr>
          <w:bCs/>
        </w:rPr>
        <w:tab/>
        <w:t>Precisó que dichas circunstancias fu</w:t>
      </w:r>
      <w:r>
        <w:rPr>
          <w:bCs/>
        </w:rPr>
        <w:t>e</w:t>
      </w:r>
      <w:r>
        <w:rPr>
          <w:bCs/>
        </w:rPr>
        <w:t>ron corrob</w:t>
      </w:r>
      <w:r>
        <w:rPr>
          <w:bCs/>
        </w:rPr>
        <w:t>o</w:t>
      </w:r>
      <w:r>
        <w:rPr>
          <w:bCs/>
        </w:rPr>
        <w:t>radas tanto por su defendido, como por su padre, su esposa, su suegro, el Dr. Gargano Mendoza y por los p</w:t>
      </w:r>
      <w:r>
        <w:rPr>
          <w:bCs/>
        </w:rPr>
        <w:t>e</w:t>
      </w:r>
      <w:r>
        <w:rPr>
          <w:bCs/>
        </w:rPr>
        <w:t>riodistas Cura, Ravanelli y Kol</w:t>
      </w:r>
      <w:r>
        <w:rPr>
          <w:bCs/>
        </w:rPr>
        <w:t>l</w:t>
      </w:r>
      <w:r>
        <w:rPr>
          <w:bCs/>
        </w:rPr>
        <w:t>mann, quienes dieron cuenta de tales presiones, las que se documentaron en el legajo reservado n° 148, en procura de presentar los encuentros como leg</w:t>
      </w:r>
      <w:r>
        <w:rPr>
          <w:bCs/>
        </w:rPr>
        <w:t>a</w:t>
      </w:r>
      <w:r>
        <w:rPr>
          <w:bCs/>
        </w:rPr>
        <w:t>les.</w:t>
      </w:r>
    </w:p>
    <w:p w:rsidR="00224567" w:rsidRDefault="00224567">
      <w:pPr>
        <w:pStyle w:val="Textoindependiente"/>
        <w:tabs>
          <w:tab w:val="clear" w:pos="2040"/>
          <w:tab w:val="left" w:pos="2800"/>
        </w:tabs>
        <w:spacing w:line="600" w:lineRule="auto"/>
        <w:rPr>
          <w:bCs/>
        </w:rPr>
      </w:pPr>
      <w:r>
        <w:rPr>
          <w:bCs/>
        </w:rPr>
        <w:tab/>
        <w:t>En cuanto al ofrecimiento de una reco</w:t>
      </w:r>
      <w:r>
        <w:rPr>
          <w:bCs/>
        </w:rPr>
        <w:t>m</w:t>
      </w:r>
      <w:r>
        <w:rPr>
          <w:bCs/>
        </w:rPr>
        <w:t>pensa, orientada a obtener el aporte de hechos r</w:t>
      </w:r>
      <w:r>
        <w:rPr>
          <w:bCs/>
        </w:rPr>
        <w:t>e</w:t>
      </w:r>
      <w:r>
        <w:rPr>
          <w:bCs/>
        </w:rPr>
        <w:t>ales como colaboración, lo que, consideró, no puede afirmarse que h</w:t>
      </w:r>
      <w:r>
        <w:rPr>
          <w:bCs/>
        </w:rPr>
        <w:t>a</w:t>
      </w:r>
      <w:r>
        <w:rPr>
          <w:bCs/>
        </w:rPr>
        <w:t xml:space="preserve">ya ocurrido en estos actuados, entendió que fue ilícita </w:t>
      </w:r>
      <w:r>
        <w:rPr>
          <w:bCs/>
          <w:u w:val="single"/>
        </w:rPr>
        <w:t>per se</w:t>
      </w:r>
      <w:r>
        <w:rPr>
          <w:bCs/>
        </w:rPr>
        <w:t>, en razón de no contar el instructor con autorización legal para emplear criterios de oportunidad, menos aún si la omisión de investigar o la exención de responsabilidad exigía, como contrapre</w:t>
      </w:r>
      <w:r>
        <w:rPr>
          <w:bCs/>
        </w:rPr>
        <w:t>s</w:t>
      </w:r>
      <w:r>
        <w:rPr>
          <w:bCs/>
        </w:rPr>
        <w:t>tación, una mentira.</w:t>
      </w:r>
    </w:p>
    <w:p w:rsidR="00224567" w:rsidRDefault="00224567">
      <w:pPr>
        <w:pStyle w:val="Textoindependiente"/>
        <w:tabs>
          <w:tab w:val="clear" w:pos="2040"/>
          <w:tab w:val="left" w:pos="2800"/>
        </w:tabs>
        <w:spacing w:line="600" w:lineRule="auto"/>
        <w:rPr>
          <w:bCs/>
        </w:rPr>
      </w:pPr>
      <w:r>
        <w:rPr>
          <w:bCs/>
        </w:rPr>
        <w:tab/>
        <w:t>Asimismo, señaló que, paralelamente, comenzaron a materializarse una serie de amenazas, tales como llamados en su domicilio, a la vez que el juez disp</w:t>
      </w:r>
      <w:r>
        <w:rPr>
          <w:bCs/>
        </w:rPr>
        <w:t>o</w:t>
      </w:r>
      <w:r>
        <w:rPr>
          <w:bCs/>
        </w:rPr>
        <w:t>nía trasladarlo desde donde, tiempo antes, lo había mudado por considerar que corría p</w:t>
      </w:r>
      <w:r>
        <w:rPr>
          <w:bCs/>
        </w:rPr>
        <w:t>e</w:t>
      </w:r>
      <w:r>
        <w:rPr>
          <w:bCs/>
        </w:rPr>
        <w:t>ligro su vida.</w:t>
      </w:r>
    </w:p>
    <w:p w:rsidR="00224567" w:rsidRDefault="00224567">
      <w:pPr>
        <w:pStyle w:val="Textoindependiente"/>
        <w:tabs>
          <w:tab w:val="clear" w:pos="2040"/>
          <w:tab w:val="left" w:pos="2800"/>
        </w:tabs>
        <w:spacing w:line="600" w:lineRule="auto"/>
        <w:rPr>
          <w:bCs/>
        </w:rPr>
      </w:pPr>
      <w:r>
        <w:rPr>
          <w:bCs/>
        </w:rPr>
        <w:tab/>
        <w:t>También explicó, como demostración de que había cuestiones acerca de las cuales no se podía h</w:t>
      </w:r>
      <w:r>
        <w:rPr>
          <w:bCs/>
        </w:rPr>
        <w:t>a</w:t>
      </w:r>
      <w:r>
        <w:rPr>
          <w:bCs/>
        </w:rPr>
        <w:t>blar, que cuando Gabriela Schirripa, esposa de Barreda, d</w:t>
      </w:r>
      <w:r>
        <w:rPr>
          <w:bCs/>
        </w:rPr>
        <w:t>e</w:t>
      </w:r>
      <w:r>
        <w:rPr>
          <w:bCs/>
        </w:rPr>
        <w:t>nunció a Vicat por amenazas ante el juzgado federal del Dr. Suárez Araujo, éste desestimó la denuncia, a la vez que d</w:t>
      </w:r>
      <w:r>
        <w:rPr>
          <w:bCs/>
        </w:rPr>
        <w:t>e</w:t>
      </w:r>
      <w:r>
        <w:rPr>
          <w:bCs/>
        </w:rPr>
        <w:t>nunció a aqu</w:t>
      </w:r>
      <w:r>
        <w:rPr>
          <w:bCs/>
        </w:rPr>
        <w:t>é</w:t>
      </w:r>
      <w:r>
        <w:rPr>
          <w:bCs/>
        </w:rPr>
        <w:t>lla por el delito de falsa denuncia.</w:t>
      </w:r>
    </w:p>
    <w:p w:rsidR="00224567" w:rsidRDefault="00224567">
      <w:pPr>
        <w:pStyle w:val="Textoindependiente"/>
        <w:tabs>
          <w:tab w:val="clear" w:pos="2040"/>
          <w:tab w:val="left" w:pos="2800"/>
        </w:tabs>
        <w:spacing w:line="600" w:lineRule="auto"/>
        <w:rPr>
          <w:bCs/>
        </w:rPr>
      </w:pPr>
      <w:r>
        <w:rPr>
          <w:bCs/>
        </w:rPr>
        <w:tab/>
        <w:t>Recordó que, sin perjuicio de ello, a partir de 1998 tanto Barreda como su esposa pusieron en c</w:t>
      </w:r>
      <w:r>
        <w:rPr>
          <w:bCs/>
        </w:rPr>
        <w:t>o</w:t>
      </w:r>
      <w:r>
        <w:rPr>
          <w:bCs/>
        </w:rPr>
        <w:t>nocimiento del juez Galeano dichas circunstancias, a la vez que solicitaron protección para su  familia, habiéndose l</w:t>
      </w:r>
      <w:r>
        <w:rPr>
          <w:bCs/>
        </w:rPr>
        <w:t>i</w:t>
      </w:r>
      <w:r>
        <w:rPr>
          <w:bCs/>
        </w:rPr>
        <w:t>mitado el instructor a certificar que la causa por amen</w:t>
      </w:r>
      <w:r>
        <w:rPr>
          <w:bCs/>
        </w:rPr>
        <w:t>a</w:t>
      </w:r>
      <w:r>
        <w:rPr>
          <w:bCs/>
        </w:rPr>
        <w:t>zas había terminado en una imputación contra la propia denu</w:t>
      </w:r>
      <w:r>
        <w:rPr>
          <w:bCs/>
        </w:rPr>
        <w:t>n</w:t>
      </w:r>
      <w:r>
        <w:rPr>
          <w:bCs/>
        </w:rPr>
        <w:t>ciante, omitiendo asentar el sobreseimiento que luego rec</w:t>
      </w:r>
      <w:r>
        <w:rPr>
          <w:bCs/>
        </w:rPr>
        <w:t>a</w:t>
      </w:r>
      <w:r>
        <w:rPr>
          <w:bCs/>
        </w:rPr>
        <w:t>yó, además de denegarles la prote</w:t>
      </w:r>
      <w:r>
        <w:rPr>
          <w:bCs/>
        </w:rPr>
        <w:t>c</w:t>
      </w:r>
      <w:r>
        <w:rPr>
          <w:bCs/>
        </w:rPr>
        <w:t>ción solicitada.</w:t>
      </w:r>
    </w:p>
    <w:p w:rsidR="00224567" w:rsidRDefault="00224567">
      <w:pPr>
        <w:pStyle w:val="Textoindependiente"/>
        <w:tabs>
          <w:tab w:val="clear" w:pos="2040"/>
          <w:tab w:val="left" w:pos="2800"/>
        </w:tabs>
        <w:spacing w:line="600" w:lineRule="auto"/>
        <w:rPr>
          <w:bCs/>
        </w:rPr>
      </w:pPr>
      <w:r>
        <w:rPr>
          <w:bCs/>
        </w:rPr>
        <w:tab/>
        <w:t>Concluyó sosteniendo la existencia de un complot contra Barreda con el objeto de evitar que se descubran las irregularidades comet</w:t>
      </w:r>
      <w:r>
        <w:rPr>
          <w:bCs/>
        </w:rPr>
        <w:t>i</w:t>
      </w:r>
      <w:r>
        <w:rPr>
          <w:bCs/>
        </w:rPr>
        <w:t>das y, para el caso de no lograrlo, desacreditar a quienes se atrevieron a denu</w:t>
      </w:r>
      <w:r>
        <w:rPr>
          <w:bCs/>
        </w:rPr>
        <w:t>n</w:t>
      </w:r>
      <w:r>
        <w:rPr>
          <w:bCs/>
        </w:rPr>
        <w:t>ciarlas.</w:t>
      </w:r>
    </w:p>
    <w:p w:rsidR="00224567" w:rsidRDefault="00224567">
      <w:pPr>
        <w:pStyle w:val="Textoindependiente"/>
        <w:tabs>
          <w:tab w:val="clear" w:pos="2040"/>
          <w:tab w:val="left" w:pos="2800"/>
        </w:tabs>
        <w:spacing w:line="600" w:lineRule="auto"/>
        <w:rPr>
          <w:bCs/>
        </w:rPr>
      </w:pPr>
      <w:r>
        <w:rPr>
          <w:bCs/>
        </w:rPr>
        <w:tab/>
        <w:t>En ese mismo orden de ideas se ref</w:t>
      </w:r>
      <w:r>
        <w:rPr>
          <w:bCs/>
        </w:rPr>
        <w:t>i</w:t>
      </w:r>
      <w:r>
        <w:rPr>
          <w:bCs/>
        </w:rPr>
        <w:t>rió a las propuestas ofrecidas a Huici con el objeto de cons</w:t>
      </w:r>
      <w:r>
        <w:rPr>
          <w:bCs/>
        </w:rPr>
        <w:t>e</w:t>
      </w:r>
      <w:r>
        <w:rPr>
          <w:bCs/>
        </w:rPr>
        <w:t>guir de éste una declaración que incrimine a Rib</w:t>
      </w:r>
      <w:r>
        <w:rPr>
          <w:bCs/>
        </w:rPr>
        <w:t>e</w:t>
      </w:r>
      <w:r>
        <w:rPr>
          <w:bCs/>
        </w:rPr>
        <w:t>lli con el atentado, sustentando ello en los dichos del nombrado, de su defensor, el Dr. García, de Vicat y F</w:t>
      </w:r>
      <w:r>
        <w:rPr>
          <w:bCs/>
        </w:rPr>
        <w:t>e</w:t>
      </w:r>
      <w:r>
        <w:rPr>
          <w:bCs/>
        </w:rPr>
        <w:t>derico Domínguez. En cuanto a estos dos últimos mencionó que ambos reconoci</w:t>
      </w:r>
      <w:r>
        <w:rPr>
          <w:bCs/>
        </w:rPr>
        <w:t>e</w:t>
      </w:r>
      <w:r>
        <w:rPr>
          <w:bCs/>
        </w:rPr>
        <w:t>ron haber realizado reuniones tendientes a lograr que el imputado “colaborara” a cambio, eventualmente, de obtener algún b</w:t>
      </w:r>
      <w:r>
        <w:rPr>
          <w:bCs/>
        </w:rPr>
        <w:t>e</w:t>
      </w:r>
      <w:r>
        <w:rPr>
          <w:bCs/>
        </w:rPr>
        <w:t>neficio.</w:t>
      </w:r>
    </w:p>
    <w:p w:rsidR="00224567" w:rsidRDefault="00224567">
      <w:pPr>
        <w:pStyle w:val="Textoindependiente"/>
        <w:tabs>
          <w:tab w:val="clear" w:pos="2040"/>
          <w:tab w:val="left" w:pos="2800"/>
        </w:tabs>
        <w:spacing w:line="600" w:lineRule="auto"/>
        <w:rPr>
          <w:bCs/>
        </w:rPr>
      </w:pPr>
      <w:r>
        <w:rPr>
          <w:bCs/>
        </w:rPr>
        <w:tab/>
        <w:t>Además, hizo referencia al legajo n° 308 en el que Huici, en el año 1999, aparece solicitando una entrevista con la querella de D.A.I.A., en razón de p</w:t>
      </w:r>
      <w:r>
        <w:rPr>
          <w:bCs/>
        </w:rPr>
        <w:t>o</w:t>
      </w:r>
      <w:r>
        <w:rPr>
          <w:bCs/>
        </w:rPr>
        <w:t>seer información supuestamente de interés para la causa; precisó que en esa oportunidad Huici solicitó que el juez no asistiera a la reunión, por lo que el Dr. Galeano, al conocer del encuentro, utilizó a los profesionales de esa querella para que graben y filmen las entrevistas, a las que también concurrió el defensor de Huici. En esa oport</w:t>
      </w:r>
      <w:r>
        <w:rPr>
          <w:bCs/>
        </w:rPr>
        <w:t>u</w:t>
      </w:r>
      <w:r>
        <w:rPr>
          <w:bCs/>
        </w:rPr>
        <w:t>nidad se le propuso al imputado que, a cambio de “colabor</w:t>
      </w:r>
      <w:r>
        <w:rPr>
          <w:bCs/>
        </w:rPr>
        <w:t>a</w:t>
      </w:r>
      <w:r>
        <w:rPr>
          <w:bCs/>
        </w:rPr>
        <w:t>ción”, podría tenérselo como te</w:t>
      </w:r>
      <w:r>
        <w:rPr>
          <w:bCs/>
        </w:rPr>
        <w:t>s</w:t>
      </w:r>
      <w:r>
        <w:rPr>
          <w:bCs/>
        </w:rPr>
        <w:t>tigo protegido.</w:t>
      </w:r>
    </w:p>
    <w:p w:rsidR="00224567" w:rsidRDefault="00224567">
      <w:pPr>
        <w:pStyle w:val="Textoindependiente"/>
        <w:tabs>
          <w:tab w:val="clear" w:pos="2040"/>
          <w:tab w:val="left" w:pos="2800"/>
        </w:tabs>
        <w:spacing w:line="600" w:lineRule="auto"/>
        <w:rPr>
          <w:bCs/>
        </w:rPr>
      </w:pPr>
      <w:r>
        <w:rPr>
          <w:bCs/>
        </w:rPr>
        <w:tab/>
        <w:t>El Sr. defensor resaltó, igualmente, las propuestas que en idéntico sentido le form</w:t>
      </w:r>
      <w:r>
        <w:rPr>
          <w:bCs/>
        </w:rPr>
        <w:t>u</w:t>
      </w:r>
      <w:r>
        <w:rPr>
          <w:bCs/>
        </w:rPr>
        <w:t>laron Vicat, a través de Basani, a Lasala, consi</w:t>
      </w:r>
      <w:r>
        <w:rPr>
          <w:bCs/>
        </w:rPr>
        <w:t>s</w:t>
      </w:r>
      <w:r>
        <w:rPr>
          <w:bCs/>
        </w:rPr>
        <w:t>tentes en un cambio de identidad, su restit</w:t>
      </w:r>
      <w:r>
        <w:rPr>
          <w:bCs/>
        </w:rPr>
        <w:t>u</w:t>
      </w:r>
      <w:r>
        <w:rPr>
          <w:bCs/>
        </w:rPr>
        <w:t>ción a la fuerza, dinero y la eventual s</w:t>
      </w:r>
      <w:r>
        <w:rPr>
          <w:bCs/>
        </w:rPr>
        <w:t>a</w:t>
      </w:r>
      <w:r>
        <w:rPr>
          <w:bCs/>
        </w:rPr>
        <w:t>lida del país, a cambio de imputar a Ribelli.</w:t>
      </w:r>
    </w:p>
    <w:p w:rsidR="00224567" w:rsidRDefault="00224567">
      <w:pPr>
        <w:pStyle w:val="Textoindependiente"/>
        <w:tabs>
          <w:tab w:val="clear" w:pos="2040"/>
          <w:tab w:val="left" w:pos="2800"/>
        </w:tabs>
        <w:spacing w:line="600" w:lineRule="auto"/>
        <w:rPr>
          <w:bCs/>
        </w:rPr>
      </w:pPr>
      <w:r>
        <w:rPr>
          <w:bCs/>
        </w:rPr>
        <w:tab/>
        <w:t>Todo ello, señaló, constituyó un irr</w:t>
      </w:r>
      <w:r>
        <w:rPr>
          <w:bCs/>
        </w:rPr>
        <w:t>e</w:t>
      </w:r>
      <w:r>
        <w:rPr>
          <w:bCs/>
        </w:rPr>
        <w:t xml:space="preserve">gular </w:t>
      </w:r>
      <w:r>
        <w:rPr>
          <w:bCs/>
          <w:u w:val="single"/>
        </w:rPr>
        <w:t>modus operandi</w:t>
      </w:r>
      <w:r>
        <w:rPr>
          <w:bCs/>
        </w:rPr>
        <w:t xml:space="preserve"> encaminado a obtener declaraciones a medida de la hipótesis oficial, operado a través de </w:t>
      </w:r>
      <w:smartTag w:uri="urn:schemas-microsoft-com:office:smarttags" w:element="PersonName">
        <w:smartTagPr>
          <w:attr w:name="ProductID" w:val="la Secretar￭a"/>
        </w:smartTagPr>
        <w:r>
          <w:rPr>
            <w:bCs/>
          </w:rPr>
          <w:t>la S</w:t>
        </w:r>
        <w:r>
          <w:rPr>
            <w:bCs/>
          </w:rPr>
          <w:t>e</w:t>
        </w:r>
        <w:r>
          <w:rPr>
            <w:bCs/>
          </w:rPr>
          <w:t>cretaría</w:t>
        </w:r>
      </w:smartTag>
      <w:r>
        <w:rPr>
          <w:bCs/>
        </w:rPr>
        <w:t xml:space="preserve"> de Seguridad de </w:t>
      </w:r>
      <w:smartTag w:uri="urn:schemas-microsoft-com:office:smarttags" w:element="PersonName">
        <w:smartTagPr>
          <w:attr w:name="ProductID" w:val="la Provincia"/>
        </w:smartTagPr>
        <w:r>
          <w:rPr>
            <w:bCs/>
          </w:rPr>
          <w:t>la Provincia</w:t>
        </w:r>
      </w:smartTag>
      <w:r>
        <w:rPr>
          <w:bCs/>
        </w:rPr>
        <w:t xml:space="preserve"> de Buenos Aires, </w:t>
      </w:r>
      <w:smartTag w:uri="urn:schemas-microsoft-com:office:smarttags" w:element="PersonName">
        <w:smartTagPr>
          <w:attr w:name="ProductID" w:val="la S.I"/>
        </w:smartTagPr>
        <w:r>
          <w:rPr>
            <w:bCs/>
          </w:rPr>
          <w:t>la S.I</w:t>
        </w:r>
      </w:smartTag>
      <w:r>
        <w:rPr>
          <w:bCs/>
        </w:rPr>
        <w:t>.D.E. y algunas de las partes en el proceso, como oc</w:t>
      </w:r>
      <w:r>
        <w:rPr>
          <w:bCs/>
        </w:rPr>
        <w:t>u</w:t>
      </w:r>
      <w:r>
        <w:rPr>
          <w:bCs/>
        </w:rPr>
        <w:t xml:space="preserve">rrió con </w:t>
      </w:r>
      <w:smartTag w:uri="urn:schemas-microsoft-com:office:smarttags" w:element="PersonName">
        <w:smartTagPr>
          <w:attr w:name="ProductID" w:val="La Dra. Nercellas"/>
        </w:smartTagPr>
        <w:r>
          <w:rPr>
            <w:bCs/>
          </w:rPr>
          <w:t>la Dra. Nerc</w:t>
        </w:r>
        <w:r>
          <w:rPr>
            <w:bCs/>
          </w:rPr>
          <w:t>e</w:t>
        </w:r>
        <w:r>
          <w:rPr>
            <w:bCs/>
          </w:rPr>
          <w:t>llas</w:t>
        </w:r>
      </w:smartTag>
      <w:r>
        <w:rPr>
          <w:bCs/>
        </w:rPr>
        <w:t xml:space="preserve"> y el Dr. Zaidemberg.</w:t>
      </w:r>
    </w:p>
    <w:p w:rsidR="00224567" w:rsidRDefault="00224567">
      <w:pPr>
        <w:pStyle w:val="Textoindependiente"/>
        <w:tabs>
          <w:tab w:val="clear" w:pos="2040"/>
          <w:tab w:val="left" w:pos="2800"/>
        </w:tabs>
        <w:spacing w:line="600" w:lineRule="auto"/>
        <w:rPr>
          <w:bCs/>
        </w:rPr>
      </w:pPr>
      <w:r>
        <w:rPr>
          <w:bCs/>
        </w:rPr>
        <w:tab/>
        <w:t>Explicó el Dr. García que similar com</w:t>
      </w:r>
      <w:r>
        <w:rPr>
          <w:bCs/>
        </w:rPr>
        <w:t>e</w:t>
      </w:r>
      <w:r>
        <w:rPr>
          <w:bCs/>
        </w:rPr>
        <w:t>tido cabe asignarle a la indefinición procesal que algunos de los imputados mantiene en la causa respecto de la part</w:t>
      </w:r>
      <w:r>
        <w:rPr>
          <w:bCs/>
        </w:rPr>
        <w:t>i</w:t>
      </w:r>
      <w:r>
        <w:rPr>
          <w:bCs/>
        </w:rPr>
        <w:t>cipación en el atentado; herramienta utilizada por la in</w:t>
      </w:r>
      <w:r>
        <w:rPr>
          <w:bCs/>
        </w:rPr>
        <w:t>s</w:t>
      </w:r>
      <w:r>
        <w:rPr>
          <w:bCs/>
        </w:rPr>
        <w:t>trucción para presionarlos e impedirles su declaración te</w:t>
      </w:r>
      <w:r>
        <w:rPr>
          <w:bCs/>
        </w:rPr>
        <w:t>s</w:t>
      </w:r>
      <w:r>
        <w:rPr>
          <w:bCs/>
        </w:rPr>
        <w:t>timonial en el debate.</w:t>
      </w:r>
    </w:p>
    <w:p w:rsidR="00224567" w:rsidRDefault="00224567">
      <w:pPr>
        <w:pStyle w:val="Textoindependiente"/>
        <w:tabs>
          <w:tab w:val="clear" w:pos="2040"/>
          <w:tab w:val="left" w:pos="2800"/>
        </w:tabs>
        <w:spacing w:line="600" w:lineRule="auto"/>
        <w:rPr>
          <w:bCs/>
        </w:rPr>
      </w:pPr>
      <w:r>
        <w:rPr>
          <w:bCs/>
        </w:rPr>
        <w:tab/>
        <w:t xml:space="preserve">Dicho </w:t>
      </w:r>
      <w:r>
        <w:rPr>
          <w:bCs/>
          <w:u w:val="single"/>
        </w:rPr>
        <w:t>modus operandi</w:t>
      </w:r>
      <w:r>
        <w:rPr>
          <w:bCs/>
        </w:rPr>
        <w:t>, señaló, perm</w:t>
      </w:r>
      <w:r>
        <w:rPr>
          <w:bCs/>
        </w:rPr>
        <w:t>i</w:t>
      </w:r>
      <w:r>
        <w:rPr>
          <w:bCs/>
        </w:rPr>
        <w:t>tía sostener que la instrucción de la causa había sido dirigida por un juez absolutamente parcial, provocando con ello la nulidad de lo actuado.</w:t>
      </w:r>
    </w:p>
    <w:p w:rsidR="00224567" w:rsidRDefault="00224567">
      <w:pPr>
        <w:pStyle w:val="Textoindependiente"/>
        <w:tabs>
          <w:tab w:val="clear" w:pos="2040"/>
          <w:tab w:val="left" w:pos="2800"/>
        </w:tabs>
        <w:spacing w:line="600" w:lineRule="auto"/>
        <w:rPr>
          <w:bCs/>
        </w:rPr>
      </w:pPr>
      <w:r>
        <w:rPr>
          <w:bCs/>
        </w:rPr>
        <w:tab/>
        <w:t>Para aludir a la falta de imparcial</w:t>
      </w:r>
      <w:r>
        <w:rPr>
          <w:bCs/>
        </w:rPr>
        <w:t>i</w:t>
      </w:r>
      <w:r>
        <w:rPr>
          <w:bCs/>
        </w:rPr>
        <w:t>dad del juez el letrado mencionó, en primer lugar, la resol</w:t>
      </w:r>
      <w:r>
        <w:rPr>
          <w:bCs/>
        </w:rPr>
        <w:t>u</w:t>
      </w:r>
      <w:r>
        <w:rPr>
          <w:bCs/>
        </w:rPr>
        <w:t xml:space="preserve">ción de </w:t>
      </w:r>
      <w:smartTag w:uri="urn:schemas-microsoft-com:office:smarttags" w:element="PersonName">
        <w:smartTagPr>
          <w:attr w:name="ProductID" w:val="la C￡mara Federal"/>
        </w:smartTagPr>
        <w:r>
          <w:rPr>
            <w:bCs/>
          </w:rPr>
          <w:t>la Cámara Federal</w:t>
        </w:r>
      </w:smartTag>
      <w:r>
        <w:rPr>
          <w:bCs/>
        </w:rPr>
        <w:t xml:space="preserve"> que dispuso el apartamiento del Dr. Galeano en razón de fundadas sospechas de parcial</w:t>
      </w:r>
      <w:r>
        <w:rPr>
          <w:bCs/>
        </w:rPr>
        <w:t>i</w:t>
      </w:r>
      <w:r>
        <w:rPr>
          <w:bCs/>
        </w:rPr>
        <w:t>dad.</w:t>
      </w:r>
    </w:p>
    <w:p w:rsidR="00224567" w:rsidRDefault="00224567">
      <w:pPr>
        <w:pStyle w:val="Textoindependiente"/>
        <w:tabs>
          <w:tab w:val="clear" w:pos="2040"/>
          <w:tab w:val="left" w:pos="2800"/>
        </w:tabs>
        <w:spacing w:line="600" w:lineRule="auto"/>
        <w:rPr>
          <w:bCs/>
        </w:rPr>
      </w:pPr>
      <w:r>
        <w:rPr>
          <w:bCs/>
        </w:rPr>
        <w:tab/>
        <w:t>Indicó que el juez fue parcial, al m</w:t>
      </w:r>
      <w:r>
        <w:rPr>
          <w:bCs/>
        </w:rPr>
        <w:t>e</w:t>
      </w:r>
      <w:r>
        <w:rPr>
          <w:bCs/>
        </w:rPr>
        <w:t>nos, desde que ordenó, conforme lo relatado por Claudio Lifschitz, la tramitación de legajos rese</w:t>
      </w:r>
      <w:r>
        <w:rPr>
          <w:bCs/>
        </w:rPr>
        <w:t>r</w:t>
      </w:r>
      <w:r>
        <w:rPr>
          <w:bCs/>
        </w:rPr>
        <w:t>vados o a partir del momento en que dispuso la a</w:t>
      </w:r>
      <w:r>
        <w:rPr>
          <w:bCs/>
        </w:rPr>
        <w:t>m</w:t>
      </w:r>
      <w:r>
        <w:rPr>
          <w:bCs/>
        </w:rPr>
        <w:t>pliación de la declaración indagatoria de T</w:t>
      </w:r>
      <w:r>
        <w:rPr>
          <w:bCs/>
        </w:rPr>
        <w:t>e</w:t>
      </w:r>
      <w:r>
        <w:rPr>
          <w:bCs/>
        </w:rPr>
        <w:t>lleldín del 5 de julio de 1996.</w:t>
      </w:r>
    </w:p>
    <w:p w:rsidR="00224567" w:rsidRDefault="00224567">
      <w:pPr>
        <w:pStyle w:val="Textoindependiente"/>
        <w:tabs>
          <w:tab w:val="clear" w:pos="2040"/>
          <w:tab w:val="left" w:pos="2800"/>
        </w:tabs>
        <w:spacing w:line="600" w:lineRule="auto"/>
        <w:rPr>
          <w:bCs/>
        </w:rPr>
      </w:pPr>
      <w:r>
        <w:rPr>
          <w:bCs/>
        </w:rPr>
        <w:tab/>
        <w:t>Afirmó que el Dr. Galeano se apa</w:t>
      </w:r>
      <w:r>
        <w:rPr>
          <w:bCs/>
        </w:rPr>
        <w:t>r</w:t>
      </w:r>
      <w:r>
        <w:rPr>
          <w:bCs/>
        </w:rPr>
        <w:t>tó de las debidas formas procesales al utilizar a Vicat para h</w:t>
      </w:r>
      <w:r>
        <w:rPr>
          <w:bCs/>
        </w:rPr>
        <w:t>a</w:t>
      </w:r>
      <w:r>
        <w:rPr>
          <w:bCs/>
        </w:rPr>
        <w:t>cer llegar ofertas a distintos imputados, con el objeto de obtener declaraciones en determinado sentido, como ta</w:t>
      </w:r>
      <w:r>
        <w:rPr>
          <w:bCs/>
        </w:rPr>
        <w:t>m</w:t>
      </w:r>
      <w:r>
        <w:rPr>
          <w:bCs/>
        </w:rPr>
        <w:t>bién al influir decisivamente en el sumario administrativo s</w:t>
      </w:r>
      <w:r>
        <w:rPr>
          <w:bCs/>
        </w:rPr>
        <w:t>e</w:t>
      </w:r>
      <w:r>
        <w:rPr>
          <w:bCs/>
        </w:rPr>
        <w:t>guido contra los pol</w:t>
      </w:r>
      <w:r>
        <w:rPr>
          <w:bCs/>
        </w:rPr>
        <w:t>i</w:t>
      </w:r>
      <w:r>
        <w:rPr>
          <w:bCs/>
        </w:rPr>
        <w:t>cías.</w:t>
      </w:r>
    </w:p>
    <w:p w:rsidR="00224567" w:rsidRDefault="00224567">
      <w:pPr>
        <w:pStyle w:val="Textoindependiente"/>
        <w:tabs>
          <w:tab w:val="clear" w:pos="2040"/>
          <w:tab w:val="left" w:pos="2800"/>
        </w:tabs>
        <w:spacing w:line="600" w:lineRule="auto"/>
        <w:rPr>
          <w:bCs/>
        </w:rPr>
      </w:pPr>
      <w:r>
        <w:rPr>
          <w:bCs/>
        </w:rPr>
        <w:tab/>
        <w:t>También sostuvo que la alegada parci</w:t>
      </w:r>
      <w:r>
        <w:rPr>
          <w:bCs/>
        </w:rPr>
        <w:t>a</w:t>
      </w:r>
      <w:r>
        <w:rPr>
          <w:bCs/>
        </w:rPr>
        <w:t>lidad se verificó desde que el magistrado a</w:t>
      </w:r>
      <w:r>
        <w:rPr>
          <w:bCs/>
        </w:rPr>
        <w:t>u</w:t>
      </w:r>
      <w:r>
        <w:rPr>
          <w:bCs/>
        </w:rPr>
        <w:t>torizó, a pocos días del atentado, que Barreda y Bareiro colaboren con la investigación, pese a conocer que ellos podían estar inv</w:t>
      </w:r>
      <w:r>
        <w:rPr>
          <w:bCs/>
        </w:rPr>
        <w:t>o</w:t>
      </w:r>
      <w:r>
        <w:rPr>
          <w:bCs/>
        </w:rPr>
        <w:t>lucrados en hechos de d</w:t>
      </w:r>
      <w:r>
        <w:rPr>
          <w:bCs/>
        </w:rPr>
        <w:t>u</w:t>
      </w:r>
      <w:r>
        <w:rPr>
          <w:bCs/>
        </w:rPr>
        <w:t xml:space="preserve">dosa licitud; momento a partir del cual se vislumbró el </w:t>
      </w:r>
      <w:r>
        <w:rPr>
          <w:bCs/>
          <w:u w:val="single"/>
        </w:rPr>
        <w:t>modus operandi</w:t>
      </w:r>
      <w:r>
        <w:rPr>
          <w:bCs/>
        </w:rPr>
        <w:t xml:space="preserve"> que luego caracteriz</w:t>
      </w:r>
      <w:r>
        <w:rPr>
          <w:bCs/>
        </w:rPr>
        <w:t>a</w:t>
      </w:r>
      <w:r>
        <w:rPr>
          <w:bCs/>
        </w:rPr>
        <w:t>ría la inve</w:t>
      </w:r>
      <w:r>
        <w:rPr>
          <w:bCs/>
        </w:rPr>
        <w:t>s</w:t>
      </w:r>
      <w:r>
        <w:rPr>
          <w:bCs/>
        </w:rPr>
        <w:t>tigación.</w:t>
      </w:r>
    </w:p>
    <w:p w:rsidR="00224567" w:rsidRDefault="00224567">
      <w:pPr>
        <w:pStyle w:val="Textoindependiente"/>
        <w:tabs>
          <w:tab w:val="clear" w:pos="2040"/>
          <w:tab w:val="left" w:pos="2800"/>
        </w:tabs>
        <w:spacing w:line="600" w:lineRule="auto"/>
        <w:rPr>
          <w:bCs/>
        </w:rPr>
      </w:pPr>
      <w:r>
        <w:rPr>
          <w:bCs/>
        </w:rPr>
        <w:tab/>
        <w:t>Explicó, al respecto, que dicha colab</w:t>
      </w:r>
      <w:r>
        <w:rPr>
          <w:bCs/>
        </w:rPr>
        <w:t>o</w:t>
      </w:r>
      <w:r>
        <w:rPr>
          <w:bCs/>
        </w:rPr>
        <w:t>ración debió decidi</w:t>
      </w:r>
      <w:r>
        <w:rPr>
          <w:bCs/>
        </w:rPr>
        <w:t>r</w:t>
      </w:r>
      <w:r>
        <w:rPr>
          <w:bCs/>
        </w:rPr>
        <w:t xml:space="preserve">se el mismo 27 de julio de 1994, día en el que no sólo se dispusieron las medidas que permitieron la detención de Telleldín, sino que también se escuchó como testigos a Barreda y Bareiro, pese a que el día anterior ambos habían relatado a los agentes de </w:t>
      </w:r>
      <w:smartTag w:uri="urn:schemas-microsoft-com:office:smarttags" w:element="PersonName">
        <w:smartTagPr>
          <w:attr w:name="ProductID" w:val="la S.I"/>
        </w:smartTagPr>
        <w:r>
          <w:rPr>
            <w:bCs/>
          </w:rPr>
          <w:t>la S.I</w:t>
        </w:r>
      </w:smartTag>
      <w:r>
        <w:rPr>
          <w:bCs/>
        </w:rPr>
        <w:t>.D.E. y del D.P.O.C. su participación en los referidos sucesos.</w:t>
      </w:r>
    </w:p>
    <w:p w:rsidR="00224567" w:rsidRDefault="00224567">
      <w:pPr>
        <w:pStyle w:val="Textoindependiente"/>
        <w:tabs>
          <w:tab w:val="clear" w:pos="2040"/>
          <w:tab w:val="left" w:pos="2800"/>
        </w:tabs>
        <w:spacing w:line="600" w:lineRule="auto"/>
        <w:rPr>
          <w:bCs/>
        </w:rPr>
      </w:pPr>
      <w:r>
        <w:rPr>
          <w:bCs/>
        </w:rPr>
        <w:tab/>
        <w:t>Igualmente demostrativo de la fa</w:t>
      </w:r>
      <w:r>
        <w:rPr>
          <w:bCs/>
        </w:rPr>
        <w:t>l</w:t>
      </w:r>
      <w:r>
        <w:rPr>
          <w:bCs/>
        </w:rPr>
        <w:t>ta de objetividad y ecuanimidad del instructor r</w:t>
      </w:r>
      <w:r>
        <w:rPr>
          <w:bCs/>
        </w:rPr>
        <w:t>e</w:t>
      </w:r>
      <w:r>
        <w:rPr>
          <w:bCs/>
        </w:rPr>
        <w:t>sultó, a juicio de la defensa, la información obrante en la foja 114, así como también el contenido concordante de las fojas 865 y 870 del principal, referida a pedidos de intervención de líneas telefónicas, entre las que destacó la 768-0902 c</w:t>
      </w:r>
      <w:r>
        <w:rPr>
          <w:bCs/>
        </w:rPr>
        <w:t>o</w:t>
      </w:r>
      <w:r>
        <w:rPr>
          <w:bCs/>
        </w:rPr>
        <w:t>rrespondiente al domicilio de T</w:t>
      </w:r>
      <w:r>
        <w:rPr>
          <w:bCs/>
        </w:rPr>
        <w:t>e</w:t>
      </w:r>
      <w:r>
        <w:rPr>
          <w:bCs/>
        </w:rPr>
        <w:t xml:space="preserve">lleldín, cuya intervención se menciona con anterioridad al hallazgo del motor de </w:t>
      </w:r>
      <w:smartTag w:uri="urn:schemas-microsoft-com:office:smarttags" w:element="PersonName">
        <w:smartTagPr>
          <w:attr w:name="ProductID" w:val="la Trafic"/>
        </w:smartTagPr>
        <w:r>
          <w:rPr>
            <w:bCs/>
          </w:rPr>
          <w:t>la Trafic</w:t>
        </w:r>
      </w:smartTag>
      <w:r>
        <w:rPr>
          <w:bCs/>
        </w:rPr>
        <w:t xml:space="preserve"> y las de Eduardo T</w:t>
      </w:r>
      <w:r>
        <w:rPr>
          <w:bCs/>
        </w:rPr>
        <w:t>e</w:t>
      </w:r>
      <w:r>
        <w:rPr>
          <w:bCs/>
        </w:rPr>
        <w:t>lleldín, Alejandro Monjo, Carlos Martínez y Sergio Nantillo; circunstancia que lleva a co</w:t>
      </w:r>
      <w:r>
        <w:rPr>
          <w:bCs/>
        </w:rPr>
        <w:t>n</w:t>
      </w:r>
      <w:r>
        <w:rPr>
          <w:bCs/>
        </w:rPr>
        <w:t>cluir que las investigaciones se direccionaron hacia T</w:t>
      </w:r>
      <w:r>
        <w:rPr>
          <w:bCs/>
        </w:rPr>
        <w:t>e</w:t>
      </w:r>
      <w:r>
        <w:rPr>
          <w:bCs/>
        </w:rPr>
        <w:t>lleldín con anterioridad a la existencia en el expediente de algún indicio que lo justifique. Entendió que la foja 114, por su foliatura y ubicación en el expediente, fue confeccionada el 20 de j</w:t>
      </w:r>
      <w:r>
        <w:rPr>
          <w:bCs/>
        </w:rPr>
        <w:t>u</w:t>
      </w:r>
      <w:r>
        <w:rPr>
          <w:bCs/>
        </w:rPr>
        <w:t>lio de 1994.</w:t>
      </w:r>
    </w:p>
    <w:p w:rsidR="00224567" w:rsidRDefault="00224567">
      <w:pPr>
        <w:pStyle w:val="Textoindependiente"/>
        <w:tabs>
          <w:tab w:val="clear" w:pos="2040"/>
          <w:tab w:val="left" w:pos="2800"/>
        </w:tabs>
        <w:spacing w:line="600" w:lineRule="auto"/>
        <w:rPr>
          <w:bCs/>
        </w:rPr>
      </w:pPr>
      <w:r>
        <w:rPr>
          <w:bCs/>
        </w:rPr>
        <w:tab/>
        <w:t>Respecto de la foja 865, consi</w:t>
      </w:r>
      <w:r>
        <w:rPr>
          <w:bCs/>
        </w:rPr>
        <w:t>s</w:t>
      </w:r>
      <w:r>
        <w:rPr>
          <w:bCs/>
        </w:rPr>
        <w:t>tente en un oficio de fecha 25 de julio de 1994, recibido en el ju</w:t>
      </w:r>
      <w:r>
        <w:rPr>
          <w:bCs/>
        </w:rPr>
        <w:t>z</w:t>
      </w:r>
      <w:r>
        <w:rPr>
          <w:bCs/>
        </w:rPr>
        <w:t>gado a las 10.10 de ese día, nueve horas antes de la apar</w:t>
      </w:r>
      <w:r>
        <w:rPr>
          <w:bCs/>
        </w:rPr>
        <w:t>i</w:t>
      </w:r>
      <w:r>
        <w:rPr>
          <w:bCs/>
        </w:rPr>
        <w:t xml:space="preserve">ción del motor, por el cual el subsecretario de </w:t>
      </w:r>
      <w:smartTag w:uri="urn:schemas-microsoft-com:office:smarttags" w:element="PersonName">
        <w:smartTagPr>
          <w:attr w:name="ProductID" w:val="la S.I"/>
        </w:smartTagPr>
        <w:r>
          <w:rPr>
            <w:bCs/>
          </w:rPr>
          <w:t>la S.I</w:t>
        </w:r>
      </w:smartTag>
      <w:r>
        <w:rPr>
          <w:bCs/>
        </w:rPr>
        <w:t>.D.E., Juan Carlos Anchézar, solicitó la inte</w:t>
      </w:r>
      <w:r>
        <w:rPr>
          <w:bCs/>
        </w:rPr>
        <w:t>r</w:t>
      </w:r>
      <w:r>
        <w:rPr>
          <w:bCs/>
        </w:rPr>
        <w:t>vención de nueve líneas tel</w:t>
      </w:r>
      <w:r>
        <w:rPr>
          <w:bCs/>
        </w:rPr>
        <w:t>e</w:t>
      </w:r>
      <w:r>
        <w:rPr>
          <w:bCs/>
        </w:rPr>
        <w:t>fónicas, ya indicadas en el oficio de fs. 114, con particular énfasis en cuanto a las llamadas rece</w:t>
      </w:r>
      <w:r>
        <w:rPr>
          <w:bCs/>
        </w:rPr>
        <w:t>p</w:t>
      </w:r>
      <w:r>
        <w:rPr>
          <w:bCs/>
        </w:rPr>
        <w:t>cionadas el 10 de julio de 1994 entre las 9.00 y las 14.00, precisó que dicha solicitud patentiza que los investigad</w:t>
      </w:r>
      <w:r>
        <w:rPr>
          <w:bCs/>
        </w:rPr>
        <w:t>o</w:t>
      </w:r>
      <w:r>
        <w:rPr>
          <w:bCs/>
        </w:rPr>
        <w:t>res conocían de antemano una serie de circunstancias, e</w:t>
      </w:r>
      <w:r>
        <w:rPr>
          <w:bCs/>
        </w:rPr>
        <w:t>x</w:t>
      </w:r>
      <w:r>
        <w:rPr>
          <w:bCs/>
        </w:rPr>
        <w:t>trañas al proceso. Ello en razón de que el dato de la venta o entrega de la camioneta ese día, en esas horas, se obt</w:t>
      </w:r>
      <w:r>
        <w:rPr>
          <w:bCs/>
        </w:rPr>
        <w:t>u</w:t>
      </w:r>
      <w:r>
        <w:rPr>
          <w:bCs/>
        </w:rPr>
        <w:t>vo, cuanto menos, luego de las 18.00 del día 26.</w:t>
      </w:r>
    </w:p>
    <w:p w:rsidR="00224567" w:rsidRDefault="00224567">
      <w:pPr>
        <w:pStyle w:val="Textoindependiente"/>
        <w:tabs>
          <w:tab w:val="clear" w:pos="2040"/>
          <w:tab w:val="left" w:pos="2800"/>
        </w:tabs>
        <w:spacing w:line="600" w:lineRule="auto"/>
        <w:rPr>
          <w:bCs/>
        </w:rPr>
      </w:pPr>
      <w:r>
        <w:rPr>
          <w:bCs/>
        </w:rPr>
        <w:tab/>
        <w:t>A igual conclusión arribó respecto de la foja 870, vinculada con Nassid Haddad y Kanoore Edul, toda vez que a este último sólo podía llegarse por el pr</w:t>
      </w:r>
      <w:r>
        <w:rPr>
          <w:bCs/>
        </w:rPr>
        <w:t>o</w:t>
      </w:r>
      <w:r>
        <w:rPr>
          <w:bCs/>
        </w:rPr>
        <w:t>ducido de las llamadas efectuadas y recibidas en el tel</w:t>
      </w:r>
      <w:r>
        <w:rPr>
          <w:bCs/>
        </w:rPr>
        <w:t>é</w:t>
      </w:r>
      <w:r>
        <w:rPr>
          <w:bCs/>
        </w:rPr>
        <w:t>fono de Telleldín, solicitado a fs. 866, en la misma f</w:t>
      </w:r>
      <w:r>
        <w:rPr>
          <w:bCs/>
        </w:rPr>
        <w:t>e</w:t>
      </w:r>
      <w:r>
        <w:rPr>
          <w:bCs/>
        </w:rPr>
        <w:t>cha.</w:t>
      </w:r>
    </w:p>
    <w:p w:rsidR="00224567" w:rsidRDefault="00224567">
      <w:pPr>
        <w:pStyle w:val="Textoindependiente"/>
        <w:tabs>
          <w:tab w:val="clear" w:pos="2040"/>
          <w:tab w:val="left" w:pos="2800"/>
        </w:tabs>
        <w:spacing w:line="600" w:lineRule="auto"/>
        <w:rPr>
          <w:bCs/>
        </w:rPr>
      </w:pPr>
      <w:r>
        <w:rPr>
          <w:bCs/>
        </w:rPr>
        <w:tab/>
        <w:t>Asimismo, explicó que respecto de tal intervención se acompañaron en el legajo de instrucción s</w:t>
      </w:r>
      <w:r>
        <w:rPr>
          <w:bCs/>
        </w:rPr>
        <w:t>u</w:t>
      </w:r>
      <w:r>
        <w:rPr>
          <w:bCs/>
        </w:rPr>
        <w:t>plementaria dos oficios, de redacción diferente, firmados por los Dres. Gale</w:t>
      </w:r>
      <w:r>
        <w:rPr>
          <w:bCs/>
        </w:rPr>
        <w:t>a</w:t>
      </w:r>
      <w:r>
        <w:rPr>
          <w:bCs/>
        </w:rPr>
        <w:t>no y Spina; uno posee fecha del 25 y, el otro, del 26. En ningún caso, en las horas que lucen los oficios, la instrucción estaba en cond</w:t>
      </w:r>
      <w:r>
        <w:rPr>
          <w:bCs/>
        </w:rPr>
        <w:t>i</w:t>
      </w:r>
      <w:r>
        <w:rPr>
          <w:bCs/>
        </w:rPr>
        <w:t>ciones de solicitar las mencionadas intervenciones t</w:t>
      </w:r>
      <w:r>
        <w:rPr>
          <w:bCs/>
        </w:rPr>
        <w:t>e</w:t>
      </w:r>
      <w:r>
        <w:rPr>
          <w:bCs/>
        </w:rPr>
        <w:t>lefónicas.</w:t>
      </w:r>
    </w:p>
    <w:p w:rsidR="00224567" w:rsidRDefault="00224567">
      <w:pPr>
        <w:pStyle w:val="Textoindependiente"/>
        <w:tabs>
          <w:tab w:val="clear" w:pos="2040"/>
          <w:tab w:val="left" w:pos="2800"/>
        </w:tabs>
        <w:spacing w:line="600" w:lineRule="auto"/>
        <w:rPr>
          <w:bCs/>
        </w:rPr>
      </w:pPr>
      <w:r>
        <w:rPr>
          <w:bCs/>
        </w:rPr>
        <w:tab/>
        <w:t>Dicho cuadro de situación, alegó, d</w:t>
      </w:r>
      <w:r>
        <w:rPr>
          <w:bCs/>
        </w:rPr>
        <w:t>e</w:t>
      </w:r>
      <w:r>
        <w:rPr>
          <w:bCs/>
        </w:rPr>
        <w:t>mostraba que, antes del hallazgo del motor y de cualquier otra prueba que lo sustente, se decidió sostener, por alg</w:t>
      </w:r>
      <w:r>
        <w:rPr>
          <w:bCs/>
        </w:rPr>
        <w:t>u</w:t>
      </w:r>
      <w:r>
        <w:rPr>
          <w:bCs/>
        </w:rPr>
        <w:t>na razón no reflejada en el expediente, la comisión del atentado mediante la utilización como cochebomba de la c</w:t>
      </w:r>
      <w:r>
        <w:rPr>
          <w:bCs/>
        </w:rPr>
        <w:t>a</w:t>
      </w:r>
      <w:r>
        <w:rPr>
          <w:bCs/>
        </w:rPr>
        <w:t>mioneta de Me</w:t>
      </w:r>
      <w:r>
        <w:rPr>
          <w:bCs/>
        </w:rPr>
        <w:t>s</w:t>
      </w:r>
      <w:r>
        <w:rPr>
          <w:bCs/>
        </w:rPr>
        <w:t>sin S.R.L.</w:t>
      </w:r>
    </w:p>
    <w:p w:rsidR="00224567" w:rsidRDefault="00224567">
      <w:pPr>
        <w:pStyle w:val="Textoindependiente"/>
        <w:tabs>
          <w:tab w:val="clear" w:pos="2040"/>
          <w:tab w:val="left" w:pos="2800"/>
        </w:tabs>
        <w:spacing w:line="600" w:lineRule="auto"/>
        <w:rPr>
          <w:bCs/>
        </w:rPr>
      </w:pPr>
      <w:r>
        <w:rPr>
          <w:bCs/>
        </w:rPr>
        <w:tab/>
        <w:t>Luego de traer a colación una s</w:t>
      </w:r>
      <w:r>
        <w:rPr>
          <w:bCs/>
        </w:rPr>
        <w:t>e</w:t>
      </w:r>
      <w:r>
        <w:rPr>
          <w:bCs/>
        </w:rPr>
        <w:t xml:space="preserve">rie de precedentes del Tribunal Europeo de Derechos Humanos y el informe 27/94 de </w:t>
      </w:r>
      <w:smartTag w:uri="urn:schemas-microsoft-com:office:smarttags" w:element="PersonName">
        <w:smartTagPr>
          <w:attr w:name="ProductID" w:val="la Comisi￳n Interamericana"/>
        </w:smartTagPr>
        <w:r>
          <w:rPr>
            <w:bCs/>
          </w:rPr>
          <w:t>la Comisión Interamericana</w:t>
        </w:r>
      </w:smartTag>
      <w:r>
        <w:rPr>
          <w:bCs/>
        </w:rPr>
        <w:t xml:space="preserve"> de Derechos H</w:t>
      </w:r>
      <w:r>
        <w:rPr>
          <w:bCs/>
        </w:rPr>
        <w:t>u</w:t>
      </w:r>
      <w:r>
        <w:rPr>
          <w:bCs/>
        </w:rPr>
        <w:t>manos, solicitó la nulidad de lo actuado con posterior</w:t>
      </w:r>
      <w:r>
        <w:rPr>
          <w:bCs/>
        </w:rPr>
        <w:t>i</w:t>
      </w:r>
      <w:r>
        <w:rPr>
          <w:bCs/>
        </w:rPr>
        <w:t>dad al 25 de julio de 1994, fecha que, según explicó, const</w:t>
      </w:r>
      <w:r>
        <w:rPr>
          <w:bCs/>
        </w:rPr>
        <w:t>i</w:t>
      </w:r>
      <w:r>
        <w:rPr>
          <w:bCs/>
        </w:rPr>
        <w:t>tuía el germen de la parcialidad del magistrado instru</w:t>
      </w:r>
      <w:r>
        <w:rPr>
          <w:bCs/>
        </w:rPr>
        <w:t>c</w:t>
      </w:r>
      <w:r>
        <w:rPr>
          <w:bCs/>
        </w:rPr>
        <w:t>tor, como así también la consecuente absolución de Diego Barreda en razón de no existir en la causa una vía independiente que permita sostener la imputación de su asistido con ant</w:t>
      </w:r>
      <w:r>
        <w:rPr>
          <w:bCs/>
        </w:rPr>
        <w:t>e</w:t>
      </w:r>
      <w:r>
        <w:rPr>
          <w:bCs/>
        </w:rPr>
        <w:t>rioridad a la fecha señalada.</w:t>
      </w:r>
    </w:p>
    <w:p w:rsidR="00224567" w:rsidRDefault="00224567">
      <w:pPr>
        <w:pStyle w:val="Textoindependiente"/>
        <w:tabs>
          <w:tab w:val="clear" w:pos="2040"/>
          <w:tab w:val="left" w:pos="2800"/>
        </w:tabs>
        <w:spacing w:line="600" w:lineRule="auto"/>
        <w:rPr>
          <w:bCs/>
        </w:rPr>
      </w:pPr>
      <w:r>
        <w:rPr>
          <w:bCs/>
        </w:rPr>
        <w:tab/>
        <w:t>Sin embargo, indicó que ni la hipotét</w:t>
      </w:r>
      <w:r>
        <w:rPr>
          <w:bCs/>
        </w:rPr>
        <w:t>i</w:t>
      </w:r>
      <w:r>
        <w:rPr>
          <w:bCs/>
        </w:rPr>
        <w:t>ca existencia de una vía independiente admitiría la posib</w:t>
      </w:r>
      <w:r>
        <w:rPr>
          <w:bCs/>
        </w:rPr>
        <w:t>i</w:t>
      </w:r>
      <w:r>
        <w:rPr>
          <w:bCs/>
        </w:rPr>
        <w:t>lidad de seguir adelante con la acusación o r</w:t>
      </w:r>
      <w:r>
        <w:rPr>
          <w:bCs/>
        </w:rPr>
        <w:t>e</w:t>
      </w:r>
      <w:r>
        <w:rPr>
          <w:bCs/>
        </w:rPr>
        <w:t>editarla, en razón que, en el caso, la existencia misma del proceso se encuentra controvertida, tanto legal como constituciona</w:t>
      </w:r>
      <w:r>
        <w:rPr>
          <w:bCs/>
        </w:rPr>
        <w:t>l</w:t>
      </w:r>
      <w:r>
        <w:rPr>
          <w:bCs/>
        </w:rPr>
        <w:t>mente. Con sustento en la obra “El Plazo Razonable en el Proceso del Estado de Derecho” de Daniel Pastor, sostuvo que corresponde la descalific</w:t>
      </w:r>
      <w:r>
        <w:rPr>
          <w:bCs/>
        </w:rPr>
        <w:t>a</w:t>
      </w:r>
      <w:r>
        <w:rPr>
          <w:bCs/>
        </w:rPr>
        <w:t>ción procesal del Estado, es decir, su exclusión para seguir interviniendo en el conoc</w:t>
      </w:r>
      <w:r>
        <w:rPr>
          <w:bCs/>
        </w:rPr>
        <w:t>i</w:t>
      </w:r>
      <w:r>
        <w:rPr>
          <w:bCs/>
        </w:rPr>
        <w:t>miento de una causa y la absolución de todos los i</w:t>
      </w:r>
      <w:r>
        <w:rPr>
          <w:bCs/>
        </w:rPr>
        <w:t>m</w:t>
      </w:r>
      <w:r>
        <w:rPr>
          <w:bCs/>
        </w:rPr>
        <w:t>putados, en razón de haberse violado los principios que rigen el proceso p</w:t>
      </w:r>
      <w:r>
        <w:rPr>
          <w:bCs/>
        </w:rPr>
        <w:t>e</w:t>
      </w:r>
      <w:r>
        <w:rPr>
          <w:bCs/>
        </w:rPr>
        <w:t>nal.</w:t>
      </w:r>
    </w:p>
    <w:p w:rsidR="00224567" w:rsidRDefault="00224567">
      <w:pPr>
        <w:pStyle w:val="Textoindependiente"/>
        <w:tabs>
          <w:tab w:val="clear" w:pos="2040"/>
          <w:tab w:val="left" w:pos="2800"/>
        </w:tabs>
        <w:spacing w:line="600" w:lineRule="auto"/>
      </w:pPr>
      <w:r>
        <w:rPr>
          <w:bCs/>
        </w:rPr>
        <w:tab/>
      </w:r>
      <w:r>
        <w:t>Asimismo, solicitó en subsidio la nul</w:t>
      </w:r>
      <w:r>
        <w:t>i</w:t>
      </w:r>
      <w:r>
        <w:t>dad de todas las declaraciones prestadas en la etapa in</w:t>
      </w:r>
      <w:r>
        <w:t>s</w:t>
      </w:r>
      <w:r>
        <w:t>tructoria por Diego Barreda y Mario Bareiro, en pa</w:t>
      </w:r>
      <w:r>
        <w:t>r</w:t>
      </w:r>
      <w:r>
        <w:t>ticular las indagatorias celebradas los días 13 y 14 de julio de 1996 y 11 de febrero de 1999, por haberse conculcado la g</w:t>
      </w:r>
      <w:r>
        <w:t>a</w:t>
      </w:r>
      <w:r>
        <w:t>rantía de la d</w:t>
      </w:r>
      <w:r>
        <w:t>e</w:t>
      </w:r>
      <w:r>
        <w:t>fensa en juicio derivada de la violación del derecho a contar con asistencia letr</w:t>
      </w:r>
      <w:r>
        <w:t>a</w:t>
      </w:r>
      <w:r>
        <w:t>da.</w:t>
      </w:r>
    </w:p>
    <w:p w:rsidR="00224567" w:rsidRDefault="00224567">
      <w:pPr>
        <w:pStyle w:val="Textoindependiente"/>
        <w:tabs>
          <w:tab w:val="clear" w:pos="2040"/>
          <w:tab w:val="left" w:pos="2800"/>
        </w:tabs>
        <w:spacing w:line="600" w:lineRule="auto"/>
        <w:rPr>
          <w:bCs/>
        </w:rPr>
      </w:pPr>
      <w:r>
        <w:tab/>
      </w:r>
      <w:r>
        <w:rPr>
          <w:bCs/>
        </w:rPr>
        <w:t>Adujo que la declaración indagatoria integra la defensa en juicio y reglamenta el derecho con</w:t>
      </w:r>
      <w:r>
        <w:rPr>
          <w:bCs/>
        </w:rPr>
        <w:t>s</w:t>
      </w:r>
      <w:r>
        <w:rPr>
          <w:bCs/>
        </w:rPr>
        <w:t>titucional a ser oído con las debidas g</w:t>
      </w:r>
      <w:r>
        <w:rPr>
          <w:bCs/>
        </w:rPr>
        <w:t>a</w:t>
      </w:r>
      <w:r>
        <w:rPr>
          <w:bCs/>
        </w:rPr>
        <w:t>rantías por el juez competente, entre las que se incluye la proh</w:t>
      </w:r>
      <w:r>
        <w:rPr>
          <w:bCs/>
        </w:rPr>
        <w:t>i</w:t>
      </w:r>
      <w:r>
        <w:rPr>
          <w:bCs/>
        </w:rPr>
        <w:t>bición de ser obligado a declarar contra uno mismo, indicando en su ap</w:t>
      </w:r>
      <w:r>
        <w:rPr>
          <w:bCs/>
        </w:rPr>
        <w:t>o</w:t>
      </w:r>
      <w:r>
        <w:rPr>
          <w:bCs/>
        </w:rPr>
        <w:t xml:space="preserve">yo, entre otros, los precedentes de </w:t>
      </w:r>
      <w:smartTag w:uri="urn:schemas-microsoft-com:office:smarttags" w:element="PersonName">
        <w:smartTagPr>
          <w:attr w:name="ProductID" w:val="la Corte Suprema"/>
        </w:smartTagPr>
        <w:r>
          <w:rPr>
            <w:bCs/>
          </w:rPr>
          <w:t>la Corte Suprema</w:t>
        </w:r>
      </w:smartTag>
      <w:r>
        <w:rPr>
          <w:bCs/>
        </w:rPr>
        <w:t xml:space="preserve"> de Justicia de </w:t>
      </w:r>
      <w:smartTag w:uri="urn:schemas-microsoft-com:office:smarttags" w:element="PersonName">
        <w:smartTagPr>
          <w:attr w:name="ProductID" w:val="la Naci￳n"/>
        </w:smartTagPr>
        <w:r>
          <w:rPr>
            <w:bCs/>
          </w:rPr>
          <w:t>la Nación</w:t>
        </w:r>
      </w:smartTag>
      <w:r>
        <w:rPr>
          <w:bCs/>
        </w:rPr>
        <w:t xml:space="preserve"> “Crim</w:t>
      </w:r>
      <w:r>
        <w:rPr>
          <w:bCs/>
        </w:rPr>
        <w:t>i</w:t>
      </w:r>
      <w:r>
        <w:rPr>
          <w:bCs/>
        </w:rPr>
        <w:t>nal c/ Eduardo Mendoza, del 28 de octubre de 1864 (Fallos:1:350) y “Galuzzi, Carlos Albe</w:t>
      </w:r>
      <w:r>
        <w:rPr>
          <w:bCs/>
        </w:rPr>
        <w:t>r</w:t>
      </w:r>
      <w:r>
        <w:rPr>
          <w:bCs/>
        </w:rPr>
        <w:t>to y otros s/ defraudación militar”, del 25  de noviembre de 1997, en  particular el voto de  los Dres. Petracchi y Boggiano, y a doctr</w:t>
      </w:r>
      <w:r>
        <w:rPr>
          <w:bCs/>
        </w:rPr>
        <w:t>i</w:t>
      </w:r>
      <w:r>
        <w:rPr>
          <w:bCs/>
        </w:rPr>
        <w:t>narios que abonaban su postura.</w:t>
      </w:r>
    </w:p>
    <w:p w:rsidR="00224567" w:rsidRDefault="00224567">
      <w:pPr>
        <w:pStyle w:val="Textoindependiente"/>
        <w:tabs>
          <w:tab w:val="clear" w:pos="2040"/>
          <w:tab w:val="left" w:pos="2800"/>
        </w:tabs>
        <w:spacing w:line="600" w:lineRule="auto"/>
        <w:rPr>
          <w:bCs/>
        </w:rPr>
      </w:pPr>
      <w:r>
        <w:rPr>
          <w:bCs/>
        </w:rPr>
        <w:tab/>
        <w:t>En punto a lo reseñado, alegó que d</w:t>
      </w:r>
      <w:r>
        <w:rPr>
          <w:bCs/>
        </w:rPr>
        <w:t>u</w:t>
      </w:r>
      <w:r>
        <w:rPr>
          <w:bCs/>
        </w:rPr>
        <w:t>rante la etapa instructoria su asistido y Mario Bareiro, tanto al declarar como testigos cuanto al deponer en ind</w:t>
      </w:r>
      <w:r>
        <w:rPr>
          <w:bCs/>
        </w:rPr>
        <w:t>a</w:t>
      </w:r>
      <w:r>
        <w:rPr>
          <w:bCs/>
        </w:rPr>
        <w:t>gatoria, padecieron una presión susceptible de coartar su libre voluntad, obligándolos a declarar cuanto sabían  en razón que pesaba sobre ellos el jur</w:t>
      </w:r>
      <w:r>
        <w:rPr>
          <w:bCs/>
        </w:rPr>
        <w:t>a</w:t>
      </w:r>
      <w:r>
        <w:rPr>
          <w:bCs/>
        </w:rPr>
        <w:t>mento de decir verdad.</w:t>
      </w:r>
    </w:p>
    <w:p w:rsidR="00224567" w:rsidRDefault="00224567">
      <w:pPr>
        <w:pStyle w:val="Textoindependiente"/>
        <w:tabs>
          <w:tab w:val="clear" w:pos="2040"/>
          <w:tab w:val="left" w:pos="2800"/>
        </w:tabs>
        <w:spacing w:line="600" w:lineRule="auto"/>
        <w:rPr>
          <w:bCs/>
        </w:rPr>
      </w:pPr>
      <w:r>
        <w:rPr>
          <w:bCs/>
        </w:rPr>
        <w:tab/>
        <w:t>Sostuvo, además, que para colab</w:t>
      </w:r>
      <w:r>
        <w:rPr>
          <w:bCs/>
        </w:rPr>
        <w:t>o</w:t>
      </w:r>
      <w:r>
        <w:rPr>
          <w:bCs/>
        </w:rPr>
        <w:t>rar con los investigadores el juez les allegó prom</w:t>
      </w:r>
      <w:r>
        <w:rPr>
          <w:bCs/>
        </w:rPr>
        <w:t>e</w:t>
      </w:r>
      <w:r>
        <w:rPr>
          <w:bCs/>
        </w:rPr>
        <w:t>sas de ventajas ilegítimas o no contempladas en la ley, al indicarles que la investigación se circun</w:t>
      </w:r>
      <w:r>
        <w:rPr>
          <w:bCs/>
        </w:rPr>
        <w:t>s</w:t>
      </w:r>
      <w:r>
        <w:rPr>
          <w:bCs/>
        </w:rPr>
        <w:t>cribiría al atentado, dejando de lado otras cuestiones que el m</w:t>
      </w:r>
      <w:r>
        <w:rPr>
          <w:bCs/>
        </w:rPr>
        <w:t>a</w:t>
      </w:r>
      <w:r>
        <w:rPr>
          <w:bCs/>
        </w:rPr>
        <w:t>gistrado ya conocía.</w:t>
      </w:r>
    </w:p>
    <w:p w:rsidR="00224567" w:rsidRDefault="00224567">
      <w:pPr>
        <w:pStyle w:val="Textoindependiente"/>
        <w:tabs>
          <w:tab w:val="clear" w:pos="2040"/>
          <w:tab w:val="left" w:pos="2800"/>
        </w:tabs>
        <w:spacing w:line="600" w:lineRule="auto"/>
        <w:rPr>
          <w:bCs/>
        </w:rPr>
      </w:pPr>
      <w:r>
        <w:rPr>
          <w:bCs/>
        </w:rPr>
        <w:tab/>
        <w:t>En ese sentido, se interrogó el defe</w:t>
      </w:r>
      <w:r>
        <w:rPr>
          <w:bCs/>
        </w:rPr>
        <w:t>n</w:t>
      </w:r>
      <w:r>
        <w:rPr>
          <w:bCs/>
        </w:rPr>
        <w:t>sor acerca de cómo pudieron encontrarse emocionalmente B</w:t>
      </w:r>
      <w:r>
        <w:rPr>
          <w:bCs/>
        </w:rPr>
        <w:t>a</w:t>
      </w:r>
      <w:r>
        <w:rPr>
          <w:bCs/>
        </w:rPr>
        <w:t>rreda y Bareiro al momento de declarar en indagatoria de</w:t>
      </w:r>
      <w:r>
        <w:rPr>
          <w:bCs/>
        </w:rPr>
        <w:t>s</w:t>
      </w:r>
      <w:r>
        <w:rPr>
          <w:bCs/>
        </w:rPr>
        <w:t>pués de haber sido reclutados como colaboradores en las i</w:t>
      </w:r>
      <w:r>
        <w:rPr>
          <w:bCs/>
        </w:rPr>
        <w:t>n</w:t>
      </w:r>
      <w:r>
        <w:rPr>
          <w:bCs/>
        </w:rPr>
        <w:t>vestigaciones, haber declarado bajo juramento y, sobre t</w:t>
      </w:r>
      <w:r>
        <w:rPr>
          <w:bCs/>
        </w:rPr>
        <w:t>o</w:t>
      </w:r>
      <w:r>
        <w:rPr>
          <w:bCs/>
        </w:rPr>
        <w:t>do, con la convicción y la promesa de que lo que ahora se les imputa no sería i</w:t>
      </w:r>
      <w:r>
        <w:rPr>
          <w:bCs/>
        </w:rPr>
        <w:t>n</w:t>
      </w:r>
      <w:r>
        <w:rPr>
          <w:bCs/>
        </w:rPr>
        <w:t>vestigado; todo lo cual, además, fue avalado por su superioridad.</w:t>
      </w:r>
    </w:p>
    <w:p w:rsidR="00224567" w:rsidRDefault="00224567">
      <w:pPr>
        <w:pStyle w:val="Textoindependiente"/>
        <w:tabs>
          <w:tab w:val="clear" w:pos="2040"/>
          <w:tab w:val="left" w:pos="2800"/>
        </w:tabs>
        <w:spacing w:line="600" w:lineRule="auto"/>
        <w:rPr>
          <w:bCs/>
        </w:rPr>
      </w:pPr>
      <w:r>
        <w:rPr>
          <w:bCs/>
        </w:rPr>
        <w:tab/>
        <w:t>También sostuvo que su asistido, en ocasión de prestar indagatoria los días 13 de j</w:t>
      </w:r>
      <w:r>
        <w:rPr>
          <w:bCs/>
        </w:rPr>
        <w:t>u</w:t>
      </w:r>
      <w:r>
        <w:rPr>
          <w:bCs/>
        </w:rPr>
        <w:t>lio de 1996 y 11 de febrero de 1999, careció de asistencia técnica por cuanto no se encontraban cumplidos los requisitos que pe</w:t>
      </w:r>
      <w:r>
        <w:rPr>
          <w:bCs/>
        </w:rPr>
        <w:t>r</w:t>
      </w:r>
      <w:r>
        <w:rPr>
          <w:bCs/>
        </w:rPr>
        <w:t>mitían relevarlo de la entrevista previa con un defensor, habiendo consentido la celebración en esas condiciones en razón de la impaciencia que lo invadió o, tal vez, por el ánimo de no perturbar el descanso del profesional, dado que la primera de las audiencias mencionadas se llevó a cabo en horas de la madrugada. A ello cabe sumar la sorpresa que le pr</w:t>
      </w:r>
      <w:r>
        <w:rPr>
          <w:bCs/>
        </w:rPr>
        <w:t>o</w:t>
      </w:r>
      <w:r>
        <w:rPr>
          <w:bCs/>
        </w:rPr>
        <w:t>vocó a su asistido pasar de colaborador a imputado y de investigador a investigado, privado de su libertad e inc</w:t>
      </w:r>
      <w:r>
        <w:rPr>
          <w:bCs/>
        </w:rPr>
        <w:t>o</w:t>
      </w:r>
      <w:r>
        <w:rPr>
          <w:bCs/>
        </w:rPr>
        <w:t>municado.</w:t>
      </w:r>
    </w:p>
    <w:p w:rsidR="00224567" w:rsidRDefault="00224567">
      <w:pPr>
        <w:pStyle w:val="Textoindependiente"/>
        <w:tabs>
          <w:tab w:val="clear" w:pos="2040"/>
          <w:tab w:val="left" w:pos="2800"/>
        </w:tabs>
        <w:spacing w:line="600" w:lineRule="auto"/>
        <w:rPr>
          <w:bCs/>
        </w:rPr>
      </w:pPr>
      <w:r>
        <w:rPr>
          <w:bCs/>
        </w:rPr>
        <w:tab/>
        <w:t>En otro orden, se refirió al derecho que tiene el acusado de conocer acabadamente la imput</w:t>
      </w:r>
      <w:r>
        <w:rPr>
          <w:bCs/>
        </w:rPr>
        <w:t>a</w:t>
      </w:r>
      <w:r>
        <w:rPr>
          <w:bCs/>
        </w:rPr>
        <w:t>ción y la prueba en la que se sustenta; consecuentemente, a la garantía de comunicar al imputado, previo a prestar decl</w:t>
      </w:r>
      <w:r>
        <w:rPr>
          <w:bCs/>
        </w:rPr>
        <w:t>a</w:t>
      </w:r>
      <w:r>
        <w:rPr>
          <w:bCs/>
        </w:rPr>
        <w:t>ración ante el juez, la acusación que se le formula y a contar con el tiempo y los medios necesarios para la prep</w:t>
      </w:r>
      <w:r>
        <w:rPr>
          <w:bCs/>
        </w:rPr>
        <w:t>a</w:t>
      </w:r>
      <w:r>
        <w:rPr>
          <w:bCs/>
        </w:rPr>
        <w:t>ración de su d</w:t>
      </w:r>
      <w:r>
        <w:rPr>
          <w:bCs/>
        </w:rPr>
        <w:t>e</w:t>
      </w:r>
      <w:r>
        <w:rPr>
          <w:bCs/>
        </w:rPr>
        <w:t>fensa.</w:t>
      </w:r>
    </w:p>
    <w:p w:rsidR="00224567" w:rsidRDefault="00224567">
      <w:pPr>
        <w:pStyle w:val="Textoindependiente"/>
        <w:tabs>
          <w:tab w:val="clear" w:pos="2040"/>
          <w:tab w:val="left" w:pos="2800"/>
        </w:tabs>
        <w:spacing w:line="600" w:lineRule="auto"/>
        <w:rPr>
          <w:bCs/>
        </w:rPr>
      </w:pPr>
      <w:r>
        <w:rPr>
          <w:bCs/>
        </w:rPr>
        <w:tab/>
        <w:t>En particular, explicó que la existe</w:t>
      </w:r>
      <w:r>
        <w:rPr>
          <w:bCs/>
        </w:rPr>
        <w:t>n</w:t>
      </w:r>
      <w:r>
        <w:rPr>
          <w:bCs/>
        </w:rPr>
        <w:t>cia de legajos con declaraciones de testigos de identidad reservada y con hipótesis de investigaciones paralelas, luego incorporadas a la causa, demostraban la violación de dicha garantía por parte del juez in</w:t>
      </w:r>
      <w:r>
        <w:rPr>
          <w:bCs/>
        </w:rPr>
        <w:t>s</w:t>
      </w:r>
      <w:r>
        <w:rPr>
          <w:bCs/>
        </w:rPr>
        <w:t>tructor, determinando necesariamente la nul</w:t>
      </w:r>
      <w:r>
        <w:rPr>
          <w:bCs/>
        </w:rPr>
        <w:t>i</w:t>
      </w:r>
      <w:r>
        <w:rPr>
          <w:bCs/>
        </w:rPr>
        <w:t>dad de las indagatorias prestadas por su asistido en la etapa anterior, en particular, respecto de las brindadas los días 13 y 14 de julio de 1996, como así también de las  declaraciones testimoniales prestadas por su asistido y por Mario Bareiro; nulidades que consid</w:t>
      </w:r>
      <w:r>
        <w:rPr>
          <w:bCs/>
        </w:rPr>
        <w:t>e</w:t>
      </w:r>
      <w:r>
        <w:rPr>
          <w:bCs/>
        </w:rPr>
        <w:t xml:space="preserve">ró de carácter absoluto, conforme lo previsto en los arts. 18 de </w:t>
      </w:r>
      <w:smartTag w:uri="urn:schemas-microsoft-com:office:smarttags" w:element="PersonName">
        <w:smartTagPr>
          <w:attr w:name="ProductID" w:val="la Constituci￳n Nacional"/>
        </w:smartTagPr>
        <w:r>
          <w:rPr>
            <w:bCs/>
          </w:rPr>
          <w:t>la Constitución N</w:t>
        </w:r>
        <w:r>
          <w:rPr>
            <w:bCs/>
          </w:rPr>
          <w:t>a</w:t>
        </w:r>
        <w:r>
          <w:rPr>
            <w:bCs/>
          </w:rPr>
          <w:t>cional</w:t>
        </w:r>
      </w:smartTag>
      <w:r>
        <w:rPr>
          <w:bCs/>
        </w:rPr>
        <w:t xml:space="preserve"> y 167, incs. 2° y 3°, y 168 del Código Procesal P</w:t>
      </w:r>
      <w:r>
        <w:rPr>
          <w:bCs/>
        </w:rPr>
        <w:t>e</w:t>
      </w:r>
      <w:r>
        <w:rPr>
          <w:bCs/>
        </w:rPr>
        <w:t xml:space="preserve">nal de </w:t>
      </w:r>
      <w:smartTag w:uri="urn:schemas-microsoft-com:office:smarttags" w:element="PersonName">
        <w:smartTagPr>
          <w:attr w:name="ProductID" w:val="la Naci￳n."/>
        </w:smartTagPr>
        <w:r>
          <w:rPr>
            <w:bCs/>
          </w:rPr>
          <w:t>la Nación.</w:t>
        </w:r>
      </w:smartTag>
    </w:p>
    <w:p w:rsidR="00224567" w:rsidRDefault="00224567">
      <w:pPr>
        <w:pStyle w:val="Textoindependiente"/>
        <w:tabs>
          <w:tab w:val="clear" w:pos="2040"/>
          <w:tab w:val="left" w:pos="2800"/>
        </w:tabs>
        <w:spacing w:line="600" w:lineRule="auto"/>
        <w:rPr>
          <w:bCs/>
        </w:rPr>
      </w:pPr>
      <w:r>
        <w:rPr>
          <w:bCs/>
        </w:rPr>
        <w:tab/>
        <w:t>También adhirió a la nulidad de las d</w:t>
      </w:r>
      <w:r>
        <w:rPr>
          <w:bCs/>
        </w:rPr>
        <w:t>e</w:t>
      </w:r>
      <w:r>
        <w:rPr>
          <w:bCs/>
        </w:rPr>
        <w:t>claraciones prestadas por Juan Alberto Bottegal</w:t>
      </w:r>
      <w:r>
        <w:rPr>
          <w:b/>
        </w:rPr>
        <w:t xml:space="preserve"> </w:t>
      </w:r>
      <w:r>
        <w:rPr>
          <w:bCs/>
        </w:rPr>
        <w:t xml:space="preserve"> el 24 de junio de 1996 y el 20 de enero de 1998, en tanto causan agravio a su defendido por surgir de ellas imputaciones respecto de los hechos acaecidos el 14 de julio de 1994, calificando de preferencial el trato otorgado al nombrado durante la instrucción, quien el 24 de junio de 1996 fue citado en calidad de testigo, pese a que existían elementos en su contra que ind</w:t>
      </w:r>
      <w:r>
        <w:rPr>
          <w:bCs/>
        </w:rPr>
        <w:t>i</w:t>
      </w:r>
      <w:r>
        <w:rPr>
          <w:bCs/>
        </w:rPr>
        <w:t>caban, cuanto menos, una participación secundaria. En ese sentido, indicó la declaración de T</w:t>
      </w:r>
      <w:r>
        <w:rPr>
          <w:bCs/>
        </w:rPr>
        <w:t>e</w:t>
      </w:r>
      <w:r>
        <w:rPr>
          <w:bCs/>
        </w:rPr>
        <w:t>lleldín del 6 de agosto de 1994, en la que mencionó a Bo</w:t>
      </w:r>
      <w:r>
        <w:rPr>
          <w:bCs/>
        </w:rPr>
        <w:t>t</w:t>
      </w:r>
      <w:r>
        <w:rPr>
          <w:bCs/>
        </w:rPr>
        <w:t xml:space="preserve">tegal como intermediario en un arreglo con </w:t>
      </w:r>
      <w:smartTag w:uri="urn:schemas-microsoft-com:office:smarttags" w:element="PersonName">
        <w:smartTagPr>
          <w:attr w:name="ProductID" w:val="la Brigada"/>
        </w:smartTagPr>
        <w:r>
          <w:rPr>
            <w:bCs/>
          </w:rPr>
          <w:t>la Brigada</w:t>
        </w:r>
      </w:smartTag>
      <w:r>
        <w:rPr>
          <w:bCs/>
        </w:rPr>
        <w:t xml:space="preserve"> de Vicente López, los dichos de los Schiavone, en punto a la entrega del maletín a Bottegal y lo manifestado por los e</w:t>
      </w:r>
      <w:r>
        <w:rPr>
          <w:bCs/>
        </w:rPr>
        <w:t>m</w:t>
      </w:r>
      <w:r>
        <w:rPr>
          <w:bCs/>
        </w:rPr>
        <w:t>pleados de la guardería donde se encontraba alojada la e</w:t>
      </w:r>
      <w:r>
        <w:rPr>
          <w:bCs/>
        </w:rPr>
        <w:t>m</w:t>
      </w:r>
      <w:r>
        <w:rPr>
          <w:bCs/>
        </w:rPr>
        <w:t>barcación “Gonzalo”, en lo referido al intento de éste de retirarla mediante la presentación de un boleto a su no</w:t>
      </w:r>
      <w:r>
        <w:rPr>
          <w:bCs/>
        </w:rPr>
        <w:t>m</w:t>
      </w:r>
      <w:r>
        <w:rPr>
          <w:bCs/>
        </w:rPr>
        <w:t>bre.</w:t>
      </w:r>
    </w:p>
    <w:p w:rsidR="00224567" w:rsidRDefault="00224567">
      <w:pPr>
        <w:pStyle w:val="Textoindependiente"/>
        <w:tabs>
          <w:tab w:val="clear" w:pos="2040"/>
          <w:tab w:val="left" w:pos="2800"/>
        </w:tabs>
        <w:spacing w:line="600" w:lineRule="auto"/>
        <w:rPr>
          <w:bCs/>
        </w:rPr>
      </w:pPr>
      <w:r>
        <w:rPr>
          <w:bCs/>
        </w:rPr>
        <w:tab/>
        <w:t>Asimismo, consideró a la declaración testimonial de Bottegal claramente autoincriminante, pr</w:t>
      </w:r>
      <w:r>
        <w:rPr>
          <w:bCs/>
        </w:rPr>
        <w:t>o</w:t>
      </w:r>
      <w:r>
        <w:rPr>
          <w:bCs/>
        </w:rPr>
        <w:t>ducto de su “col</w:t>
      </w:r>
      <w:r>
        <w:rPr>
          <w:bCs/>
        </w:rPr>
        <w:t>a</w:t>
      </w:r>
      <w:r>
        <w:rPr>
          <w:bCs/>
        </w:rPr>
        <w:t xml:space="preserve">boración”; señalando que también respecto de éste el juzgado desarrolló el mismo </w:t>
      </w:r>
      <w:r>
        <w:rPr>
          <w:bCs/>
          <w:u w:val="single"/>
        </w:rPr>
        <w:t>modus operandi</w:t>
      </w:r>
      <w:r>
        <w:rPr>
          <w:bCs/>
        </w:rPr>
        <w:t xml:space="preserve"> que con otros consortes de causa, es decir, la omisión de i</w:t>
      </w:r>
      <w:r>
        <w:rPr>
          <w:bCs/>
        </w:rPr>
        <w:t>n</w:t>
      </w:r>
      <w:r>
        <w:rPr>
          <w:bCs/>
        </w:rPr>
        <w:t>vestigar aquellos hechos en los que el testigo aparezca i</w:t>
      </w:r>
      <w:r>
        <w:rPr>
          <w:bCs/>
        </w:rPr>
        <w:t>n</w:t>
      </w:r>
      <w:r>
        <w:rPr>
          <w:bCs/>
        </w:rPr>
        <w:t>criminado a cambio de “colab</w:t>
      </w:r>
      <w:r>
        <w:rPr>
          <w:bCs/>
        </w:rPr>
        <w:t>o</w:t>
      </w:r>
      <w:r>
        <w:rPr>
          <w:bCs/>
        </w:rPr>
        <w:t>rar” con el juzgado.</w:t>
      </w:r>
    </w:p>
    <w:p w:rsidR="00224567" w:rsidRDefault="00224567">
      <w:pPr>
        <w:pStyle w:val="Textoindependiente"/>
        <w:tabs>
          <w:tab w:val="clear" w:pos="2040"/>
          <w:tab w:val="left" w:pos="2800"/>
        </w:tabs>
        <w:spacing w:line="600" w:lineRule="auto"/>
        <w:rPr>
          <w:bCs/>
        </w:rPr>
      </w:pPr>
      <w:r>
        <w:rPr>
          <w:bCs/>
        </w:rPr>
        <w:tab/>
        <w:t>En ese sentido, cuestionó que no hayan resultado suficientes para llamar a Bottegal a indagatoria las imputaciones formuladas en su contra por Crispín San</w:t>
      </w:r>
      <w:r>
        <w:rPr>
          <w:bCs/>
        </w:rPr>
        <w:t>a</w:t>
      </w:r>
      <w:r>
        <w:rPr>
          <w:bCs/>
        </w:rPr>
        <w:t>bria, en octubre de 1996, ni que en enero de 1997, en oc</w:t>
      </w:r>
      <w:r>
        <w:rPr>
          <w:bCs/>
        </w:rPr>
        <w:t>a</w:t>
      </w:r>
      <w:r>
        <w:rPr>
          <w:bCs/>
        </w:rPr>
        <w:t>sión del allanamiento de su estudio, se le secuestrara el boleto de compraventa de la embarcación “Gonzalo”, pese a lo declarado por aquél en cuanto a que dicha documentación se encontraba en poder de B</w:t>
      </w:r>
      <w:r>
        <w:rPr>
          <w:bCs/>
        </w:rPr>
        <w:t>a</w:t>
      </w:r>
      <w:r>
        <w:rPr>
          <w:bCs/>
        </w:rPr>
        <w:t>reiro.</w:t>
      </w:r>
    </w:p>
    <w:p w:rsidR="00224567" w:rsidRDefault="00224567">
      <w:pPr>
        <w:pStyle w:val="Textoindependiente"/>
        <w:tabs>
          <w:tab w:val="clear" w:pos="2040"/>
          <w:tab w:val="left" w:pos="2800"/>
        </w:tabs>
        <w:spacing w:line="600" w:lineRule="auto"/>
        <w:rPr>
          <w:bCs/>
        </w:rPr>
      </w:pPr>
      <w:r>
        <w:rPr>
          <w:bCs/>
        </w:rPr>
        <w:tab/>
        <w:t>Indicó que recién el 20 de enero de 1998, como consecuencia de lo resuelto por la cámara (fs. 44.795 y 44.836), el magistrado indagó a Bottegal, incorp</w:t>
      </w:r>
      <w:r>
        <w:rPr>
          <w:bCs/>
        </w:rPr>
        <w:t>o</w:t>
      </w:r>
      <w:r>
        <w:rPr>
          <w:bCs/>
        </w:rPr>
        <w:t>rando a dicho acto la cuestionada testimonial.</w:t>
      </w:r>
    </w:p>
    <w:p w:rsidR="00224567" w:rsidRDefault="00224567">
      <w:pPr>
        <w:pStyle w:val="Textoindependiente"/>
        <w:tabs>
          <w:tab w:val="clear" w:pos="2040"/>
          <w:tab w:val="left" w:pos="2800"/>
        </w:tabs>
        <w:spacing w:line="600" w:lineRule="auto"/>
        <w:rPr>
          <w:bCs/>
        </w:rPr>
      </w:pPr>
      <w:r>
        <w:rPr>
          <w:bCs/>
        </w:rPr>
        <w:tab/>
        <w:t>Adujo, además, que la circunsta</w:t>
      </w:r>
      <w:r>
        <w:rPr>
          <w:bCs/>
        </w:rPr>
        <w:t>n</w:t>
      </w:r>
      <w:r>
        <w:rPr>
          <w:bCs/>
        </w:rPr>
        <w:t>cia de que, previo a declarar como testigo, el Dr. Galeano le s</w:t>
      </w:r>
      <w:r>
        <w:rPr>
          <w:bCs/>
        </w:rPr>
        <w:t>o</w:t>
      </w:r>
      <w:r>
        <w:rPr>
          <w:bCs/>
        </w:rPr>
        <w:t>licitara el relevo del secreto profesional, también ac</w:t>
      </w:r>
      <w:r>
        <w:rPr>
          <w:bCs/>
        </w:rPr>
        <w:t>a</w:t>
      </w:r>
      <w:r>
        <w:rPr>
          <w:bCs/>
        </w:rPr>
        <w:t>rrea la nulidad de lo declarado en esas condiciones, por const</w:t>
      </w:r>
      <w:r>
        <w:rPr>
          <w:bCs/>
        </w:rPr>
        <w:t>i</w:t>
      </w:r>
      <w:r>
        <w:rPr>
          <w:bCs/>
        </w:rPr>
        <w:t>tuir una decisión ajena a sus facu</w:t>
      </w:r>
      <w:r>
        <w:rPr>
          <w:bCs/>
        </w:rPr>
        <w:t>l</w:t>
      </w:r>
      <w:r>
        <w:rPr>
          <w:bCs/>
        </w:rPr>
        <w:t>tades.</w:t>
      </w:r>
    </w:p>
    <w:p w:rsidR="00224567" w:rsidRDefault="00224567">
      <w:pPr>
        <w:pStyle w:val="Textoindependiente"/>
        <w:tabs>
          <w:tab w:val="clear" w:pos="2040"/>
          <w:tab w:val="left" w:pos="2800"/>
        </w:tabs>
        <w:spacing w:line="600" w:lineRule="auto"/>
        <w:rPr>
          <w:bCs/>
        </w:rPr>
      </w:pPr>
      <w:r>
        <w:rPr>
          <w:bCs/>
        </w:rPr>
        <w:tab/>
        <w:t>Luego, el Sr. defensor efectuó una po</w:t>
      </w:r>
      <w:r>
        <w:rPr>
          <w:bCs/>
        </w:rPr>
        <w:t>r</w:t>
      </w:r>
      <w:r>
        <w:rPr>
          <w:bCs/>
        </w:rPr>
        <w:t>menorizada reseña de los elementos de juicio s</w:t>
      </w:r>
      <w:r>
        <w:rPr>
          <w:bCs/>
        </w:rPr>
        <w:t>o</w:t>
      </w:r>
      <w:r>
        <w:rPr>
          <w:bCs/>
        </w:rPr>
        <w:t>bre los que el Sr. representante del Ministerio P</w:t>
      </w:r>
      <w:r>
        <w:rPr>
          <w:bCs/>
        </w:rPr>
        <w:t>ú</w:t>
      </w:r>
      <w:r>
        <w:rPr>
          <w:bCs/>
        </w:rPr>
        <w:t>blico Fiscal fundó su propuesta condenatoria.</w:t>
      </w:r>
    </w:p>
    <w:p w:rsidR="00224567" w:rsidRDefault="00224567">
      <w:pPr>
        <w:pStyle w:val="Textoindependiente"/>
        <w:tabs>
          <w:tab w:val="clear" w:pos="2040"/>
          <w:tab w:val="left" w:pos="2800"/>
        </w:tabs>
        <w:spacing w:line="600" w:lineRule="auto"/>
        <w:rPr>
          <w:bCs/>
        </w:rPr>
      </w:pPr>
      <w:r>
        <w:rPr>
          <w:bCs/>
        </w:rPr>
        <w:tab/>
        <w:t>En esa tarea, explicó las diverge</w:t>
      </w:r>
      <w:r>
        <w:rPr>
          <w:bCs/>
        </w:rPr>
        <w:t>n</w:t>
      </w:r>
      <w:r>
        <w:rPr>
          <w:bCs/>
        </w:rPr>
        <w:t>cias en los testimonios de Conrado Alejandro Dubs, ve</w:t>
      </w:r>
      <w:r>
        <w:rPr>
          <w:bCs/>
        </w:rPr>
        <w:t>r</w:t>
      </w:r>
      <w:r>
        <w:rPr>
          <w:bCs/>
        </w:rPr>
        <w:t>tidos ante la instrucción y en el debate, no advertidas por el acus</w:t>
      </w:r>
      <w:r>
        <w:rPr>
          <w:bCs/>
        </w:rPr>
        <w:t>a</w:t>
      </w:r>
      <w:r>
        <w:rPr>
          <w:bCs/>
        </w:rPr>
        <w:t>dor; las omisiones, que según dijo no eran tales, en los dichos de Forgione; los dichos de Leal relativos a los m</w:t>
      </w:r>
      <w:r>
        <w:rPr>
          <w:bCs/>
        </w:rPr>
        <w:t>o</w:t>
      </w:r>
      <w:r>
        <w:rPr>
          <w:bCs/>
        </w:rPr>
        <w:t>tivos por lo cuales, tras la persec</w:t>
      </w:r>
      <w:r>
        <w:rPr>
          <w:bCs/>
        </w:rPr>
        <w:t>u</w:t>
      </w:r>
      <w:r>
        <w:rPr>
          <w:bCs/>
        </w:rPr>
        <w:t>ción del Renault 19, no se moduló al Comando Radioelé</w:t>
      </w:r>
      <w:r>
        <w:rPr>
          <w:bCs/>
        </w:rPr>
        <w:t>c</w:t>
      </w:r>
      <w:r>
        <w:rPr>
          <w:bCs/>
        </w:rPr>
        <w:t>trico; la procedencia ilícita de dicho rodado, acreditada en esta insta</w:t>
      </w:r>
      <w:r>
        <w:rPr>
          <w:bCs/>
        </w:rPr>
        <w:t>n</w:t>
      </w:r>
      <w:r>
        <w:rPr>
          <w:bCs/>
        </w:rPr>
        <w:t>cia, acerca de la cual el fiscal nada dijo; la fra</w:t>
      </w:r>
      <w:r>
        <w:rPr>
          <w:bCs/>
        </w:rPr>
        <w:t>g</w:t>
      </w:r>
      <w:r>
        <w:rPr>
          <w:bCs/>
        </w:rPr>
        <w:t>mentada ponderación de la indagatoria de Lasala; las objeciones que merecían los d</w:t>
      </w:r>
      <w:r>
        <w:rPr>
          <w:bCs/>
        </w:rPr>
        <w:t>i</w:t>
      </w:r>
      <w:r>
        <w:rPr>
          <w:bCs/>
        </w:rPr>
        <w:t>chos de Manuel Enrique García, quien pese a haber interv</w:t>
      </w:r>
      <w:r>
        <w:rPr>
          <w:bCs/>
        </w:rPr>
        <w:t>e</w:t>
      </w:r>
      <w:r>
        <w:rPr>
          <w:bCs/>
        </w:rPr>
        <w:t>nido en el mismo suceso que Lasala, fue oído como testigo; la inverosímil relación que entre la maniobra extorsiva y lo expresado por el médico policial Ricardo Mariano Gómez extrajo la fiscalía; la imposibilidad de emplear los dichos de Gabriela Schirripa en contra de su defendido, en razón del vínculo conyugal que los unía por entonces y, finalme</w:t>
      </w:r>
      <w:r>
        <w:rPr>
          <w:bCs/>
        </w:rPr>
        <w:t>n</w:t>
      </w:r>
      <w:r>
        <w:rPr>
          <w:bCs/>
        </w:rPr>
        <w:t>te, la lectura, que calificó como descuidada, que el fi</w:t>
      </w:r>
      <w:r>
        <w:rPr>
          <w:bCs/>
        </w:rPr>
        <w:t>s</w:t>
      </w:r>
      <w:r>
        <w:rPr>
          <w:bCs/>
        </w:rPr>
        <w:t>cal realizó de los dichos de Bottegal en orden a la intencion</w:t>
      </w:r>
      <w:r>
        <w:rPr>
          <w:bCs/>
        </w:rPr>
        <w:t>a</w:t>
      </w:r>
      <w:r>
        <w:rPr>
          <w:bCs/>
        </w:rPr>
        <w:t>lidad previa de Telleldín de “arreglar” con la brigada, a lo que le había referido Bareiro acerca de la legalidad inicial del procedimiento y a la referencia de que no le quedaba claro que la brigada estuviera al tanto de las n</w:t>
      </w:r>
      <w:r>
        <w:rPr>
          <w:bCs/>
        </w:rPr>
        <w:t>e</w:t>
      </w:r>
      <w:r>
        <w:rPr>
          <w:bCs/>
        </w:rPr>
        <w:t>gociaciones que concluyeron con la entrega de la embarc</w:t>
      </w:r>
      <w:r>
        <w:rPr>
          <w:bCs/>
        </w:rPr>
        <w:t>a</w:t>
      </w:r>
      <w:r>
        <w:rPr>
          <w:bCs/>
        </w:rPr>
        <w:t>ción “Gonzalo”.</w:t>
      </w:r>
    </w:p>
    <w:p w:rsidR="00224567" w:rsidRDefault="00224567">
      <w:pPr>
        <w:pStyle w:val="Textoindependiente"/>
        <w:tabs>
          <w:tab w:val="clear" w:pos="2040"/>
          <w:tab w:val="left" w:pos="2800"/>
        </w:tabs>
        <w:spacing w:line="600" w:lineRule="auto"/>
        <w:rPr>
          <w:bCs/>
        </w:rPr>
      </w:pPr>
      <w:r>
        <w:rPr>
          <w:bCs/>
        </w:rPr>
        <w:tab/>
        <w:t>Asimismo, el defensor sostuvo la nul</w:t>
      </w:r>
      <w:r>
        <w:rPr>
          <w:bCs/>
        </w:rPr>
        <w:t>i</w:t>
      </w:r>
      <w:r>
        <w:rPr>
          <w:bCs/>
        </w:rPr>
        <w:t>dad de las testimoniales brindadas por Nélida Virginia M</w:t>
      </w:r>
      <w:r>
        <w:rPr>
          <w:bCs/>
        </w:rPr>
        <w:t>o</w:t>
      </w:r>
      <w:r>
        <w:rPr>
          <w:bCs/>
        </w:rPr>
        <w:t>rri en la instrucción y en el debate, por ente</w:t>
      </w:r>
      <w:r>
        <w:rPr>
          <w:bCs/>
        </w:rPr>
        <w:t>n</w:t>
      </w:r>
      <w:r>
        <w:rPr>
          <w:bCs/>
        </w:rPr>
        <w:t>der que fue presionada con el fin de obtener declar</w:t>
      </w:r>
      <w:r>
        <w:rPr>
          <w:bCs/>
        </w:rPr>
        <w:t>a</w:t>
      </w:r>
      <w:r>
        <w:rPr>
          <w:bCs/>
        </w:rPr>
        <w:t>ciones ajustadas a la hipótesis de la instrucción, habiéndosele asignado, en el marco de colaboración con la pesquisa, el cometido de acercarse a Boragni con el fin de obtener información; c</w:t>
      </w:r>
      <w:r>
        <w:rPr>
          <w:bCs/>
        </w:rPr>
        <w:t>o</w:t>
      </w:r>
      <w:r>
        <w:rPr>
          <w:bCs/>
        </w:rPr>
        <w:t>laboración que le solicitó Horacio Stiuso en virtud de la relación de confianza que la testigo tenía con la familia Telle</w:t>
      </w:r>
      <w:r>
        <w:rPr>
          <w:bCs/>
        </w:rPr>
        <w:t>l</w:t>
      </w:r>
      <w:r>
        <w:rPr>
          <w:bCs/>
        </w:rPr>
        <w:t>dín a través de Bareiro, por entonces su concubino.</w:t>
      </w:r>
    </w:p>
    <w:p w:rsidR="00224567" w:rsidRDefault="00224567">
      <w:pPr>
        <w:pStyle w:val="Textoindependiente"/>
        <w:tabs>
          <w:tab w:val="clear" w:pos="2040"/>
          <w:tab w:val="left" w:pos="2800"/>
        </w:tabs>
        <w:spacing w:line="600" w:lineRule="auto"/>
        <w:rPr>
          <w:bCs/>
        </w:rPr>
      </w:pPr>
      <w:r>
        <w:rPr>
          <w:bCs/>
        </w:rPr>
        <w:tab/>
        <w:t>Indicó, asimismo, que el agravio sufr</w:t>
      </w:r>
      <w:r>
        <w:rPr>
          <w:bCs/>
        </w:rPr>
        <w:t>i</w:t>
      </w:r>
      <w:r>
        <w:rPr>
          <w:bCs/>
        </w:rPr>
        <w:t>do por su asistido era concreto en razón de que dicho te</w:t>
      </w:r>
      <w:r>
        <w:rPr>
          <w:bCs/>
        </w:rPr>
        <w:t>s</w:t>
      </w:r>
      <w:r>
        <w:rPr>
          <w:bCs/>
        </w:rPr>
        <w:t>timonio había sido tomado por la fi</w:t>
      </w:r>
      <w:r>
        <w:rPr>
          <w:bCs/>
        </w:rPr>
        <w:t>s</w:t>
      </w:r>
      <w:r>
        <w:rPr>
          <w:bCs/>
        </w:rPr>
        <w:t>calía para fundamentar la ac</w:t>
      </w:r>
      <w:r>
        <w:rPr>
          <w:bCs/>
        </w:rPr>
        <w:t>u</w:t>
      </w:r>
      <w:r>
        <w:rPr>
          <w:bCs/>
        </w:rPr>
        <w:t>sación en su contra.</w:t>
      </w:r>
    </w:p>
    <w:p w:rsidR="00224567" w:rsidRDefault="00224567">
      <w:pPr>
        <w:pStyle w:val="Textoindependiente"/>
        <w:tabs>
          <w:tab w:val="clear" w:pos="2040"/>
          <w:tab w:val="left" w:pos="2800"/>
        </w:tabs>
        <w:spacing w:line="600" w:lineRule="auto"/>
        <w:rPr>
          <w:bCs/>
        </w:rPr>
      </w:pPr>
      <w:r>
        <w:rPr>
          <w:bCs/>
        </w:rPr>
        <w:tab/>
        <w:t>Tras poner de resalto la evidente “pr</w:t>
      </w:r>
      <w:r>
        <w:rPr>
          <w:bCs/>
        </w:rPr>
        <w:t>o</w:t>
      </w:r>
      <w:r>
        <w:rPr>
          <w:bCs/>
        </w:rPr>
        <w:t>tección” de la que gozó a lo largo de todo el proceso M</w:t>
      </w:r>
      <w:r>
        <w:rPr>
          <w:bCs/>
        </w:rPr>
        <w:t>a</w:t>
      </w:r>
      <w:r>
        <w:rPr>
          <w:bCs/>
        </w:rPr>
        <w:t>nuel Enrique García, el Sr. defensor imp</w:t>
      </w:r>
      <w:r>
        <w:rPr>
          <w:bCs/>
        </w:rPr>
        <w:t>e</w:t>
      </w:r>
      <w:r>
        <w:rPr>
          <w:bCs/>
        </w:rPr>
        <w:t>tró la nulidad de las declaraciones efectuadas por Bareiro, a la vez que s</w:t>
      </w:r>
      <w:r>
        <w:rPr>
          <w:bCs/>
        </w:rPr>
        <w:t>e</w:t>
      </w:r>
      <w:r>
        <w:rPr>
          <w:bCs/>
        </w:rPr>
        <w:t>ñaló, en caso de que ello no proceda, la debilidad probat</w:t>
      </w:r>
      <w:r>
        <w:rPr>
          <w:bCs/>
        </w:rPr>
        <w:t>o</w:t>
      </w:r>
      <w:r>
        <w:rPr>
          <w:bCs/>
        </w:rPr>
        <w:t>ria que cabe atribui</w:t>
      </w:r>
      <w:r>
        <w:rPr>
          <w:bCs/>
        </w:rPr>
        <w:t>r</w:t>
      </w:r>
      <w:r>
        <w:rPr>
          <w:bCs/>
        </w:rPr>
        <w:t>le a sus dichos.</w:t>
      </w:r>
    </w:p>
    <w:p w:rsidR="00224567" w:rsidRDefault="00224567">
      <w:pPr>
        <w:pStyle w:val="Textoindependiente"/>
        <w:tabs>
          <w:tab w:val="clear" w:pos="2040"/>
          <w:tab w:val="left" w:pos="2800"/>
        </w:tabs>
        <w:spacing w:line="600" w:lineRule="auto"/>
        <w:rPr>
          <w:bCs/>
        </w:rPr>
      </w:pPr>
      <w:r>
        <w:rPr>
          <w:bCs/>
        </w:rPr>
        <w:tab/>
        <w:t>En ese sentido, señaló que la fisc</w:t>
      </w:r>
      <w:r>
        <w:rPr>
          <w:bCs/>
        </w:rPr>
        <w:t>a</w:t>
      </w:r>
      <w:r>
        <w:rPr>
          <w:bCs/>
        </w:rPr>
        <w:t>lía tuvo por acreditadas las motivaciones extorsivas del proc</w:t>
      </w:r>
      <w:r>
        <w:rPr>
          <w:bCs/>
        </w:rPr>
        <w:t>e</w:t>
      </w:r>
      <w:r>
        <w:rPr>
          <w:bCs/>
        </w:rPr>
        <w:t xml:space="preserve">dimiento efectuado por </w:t>
      </w:r>
      <w:smartTag w:uri="urn:schemas-microsoft-com:office:smarttags" w:element="PersonName">
        <w:smartTagPr>
          <w:attr w:name="ProductID" w:val="la Brigada"/>
        </w:smartTagPr>
        <w:r>
          <w:rPr>
            <w:bCs/>
          </w:rPr>
          <w:t>la Brigada</w:t>
        </w:r>
      </w:smartTag>
      <w:r>
        <w:rPr>
          <w:bCs/>
        </w:rPr>
        <w:t xml:space="preserve"> de Vicente López y la s</w:t>
      </w:r>
      <w:r>
        <w:rPr>
          <w:bCs/>
        </w:rPr>
        <w:t>u</w:t>
      </w:r>
      <w:r>
        <w:rPr>
          <w:bCs/>
        </w:rPr>
        <w:t>puesta presencia de B</w:t>
      </w:r>
      <w:r>
        <w:rPr>
          <w:bCs/>
        </w:rPr>
        <w:t>a</w:t>
      </w:r>
      <w:r>
        <w:rPr>
          <w:bCs/>
        </w:rPr>
        <w:t>reiro al llevarse a cabo la detención de Pérez, sin atender al resto de la prueba colectada; en particular su retratación del 4 de septiembre de 1996, r</w:t>
      </w:r>
      <w:r>
        <w:rPr>
          <w:bCs/>
        </w:rPr>
        <w:t>e</w:t>
      </w:r>
      <w:r>
        <w:rPr>
          <w:bCs/>
        </w:rPr>
        <w:t>marcando que  cuando se autoincriminó e incriminó a sus consortes de causa lo hizo en virtud de las presiones que sufrió por parte del juez y sus colaboradores.</w:t>
      </w:r>
    </w:p>
    <w:p w:rsidR="00224567" w:rsidRDefault="00224567">
      <w:pPr>
        <w:pStyle w:val="Textoindependiente"/>
        <w:tabs>
          <w:tab w:val="clear" w:pos="2040"/>
          <w:tab w:val="left" w:pos="2800"/>
        </w:tabs>
        <w:spacing w:line="600" w:lineRule="auto"/>
        <w:rPr>
          <w:bCs/>
        </w:rPr>
      </w:pPr>
      <w:r>
        <w:rPr>
          <w:bCs/>
        </w:rPr>
        <w:tab/>
        <w:t>Por otra parte, el defensor a</w:t>
      </w:r>
      <w:r>
        <w:rPr>
          <w:bCs/>
        </w:rPr>
        <w:t>d</w:t>
      </w:r>
      <w:r>
        <w:rPr>
          <w:bCs/>
        </w:rPr>
        <w:t>hirió, en virtud de lo pre</w:t>
      </w:r>
      <w:r>
        <w:rPr>
          <w:bCs/>
        </w:rPr>
        <w:t>s</w:t>
      </w:r>
      <w:r>
        <w:rPr>
          <w:bCs/>
        </w:rPr>
        <w:t xml:space="preserve">cripto por los arts. 167, inc. 3°, 168, 2° parte, y 296 del Código Procesal Penal de </w:t>
      </w:r>
      <w:smartTag w:uri="urn:schemas-microsoft-com:office:smarttags" w:element="PersonName">
        <w:smartTagPr>
          <w:attr w:name="ProductID" w:val="la Naci￳n"/>
        </w:smartTagPr>
        <w:r>
          <w:rPr>
            <w:bCs/>
          </w:rPr>
          <w:t>la Nación</w:t>
        </w:r>
      </w:smartTag>
      <w:r>
        <w:rPr>
          <w:bCs/>
        </w:rPr>
        <w:t>, al planteo de nulidad formulado por el Dr. Ni</w:t>
      </w:r>
      <w:r>
        <w:rPr>
          <w:bCs/>
        </w:rPr>
        <w:t>s</w:t>
      </w:r>
      <w:r>
        <w:rPr>
          <w:bCs/>
        </w:rPr>
        <w:t>man respecto de la declaración indagatoria de Carlos Alberto Telleldín, c</w:t>
      </w:r>
      <w:r>
        <w:rPr>
          <w:bCs/>
        </w:rPr>
        <w:t>e</w:t>
      </w:r>
      <w:r>
        <w:rPr>
          <w:bCs/>
        </w:rPr>
        <w:t>lebrada el 5 de julio de 1996, por entender que éste fue determinado a declarar mediante un pago; nulidad que, a juicio de la defensa, el acusador sosl</w:t>
      </w:r>
      <w:r>
        <w:rPr>
          <w:bCs/>
        </w:rPr>
        <w:t>a</w:t>
      </w:r>
      <w:r>
        <w:rPr>
          <w:bCs/>
        </w:rPr>
        <w:t>yó a su gusto, toda vez que utilizó tales dichos para acreditar, entre otras cosas, que el pago de Telleldín incluía la l</w:t>
      </w:r>
      <w:r>
        <w:rPr>
          <w:bCs/>
        </w:rPr>
        <w:t>i</w:t>
      </w:r>
      <w:r>
        <w:rPr>
          <w:bCs/>
        </w:rPr>
        <w:t>bertad de Hugo Pérez, que aquél firmó coaccionado el boleto de comprave</w:t>
      </w:r>
      <w:r>
        <w:rPr>
          <w:bCs/>
        </w:rPr>
        <w:t>n</w:t>
      </w:r>
      <w:r>
        <w:rPr>
          <w:bCs/>
        </w:rPr>
        <w:t>ta, como así también la presencia del automóvil Duna bla</w:t>
      </w:r>
      <w:r>
        <w:rPr>
          <w:bCs/>
        </w:rPr>
        <w:t>n</w:t>
      </w:r>
      <w:r>
        <w:rPr>
          <w:bCs/>
        </w:rPr>
        <w:t>co en el procedimiento del 14 de julio.</w:t>
      </w:r>
    </w:p>
    <w:p w:rsidR="00224567" w:rsidRDefault="00224567">
      <w:pPr>
        <w:pStyle w:val="Textoindependiente"/>
        <w:tabs>
          <w:tab w:val="clear" w:pos="2040"/>
          <w:tab w:val="left" w:pos="2800"/>
        </w:tabs>
        <w:spacing w:line="600" w:lineRule="auto"/>
        <w:rPr>
          <w:bCs/>
        </w:rPr>
      </w:pPr>
      <w:r>
        <w:rPr>
          <w:bCs/>
        </w:rPr>
        <w:tab/>
        <w:t>Con relación a esta última circunsta</w:t>
      </w:r>
      <w:r>
        <w:rPr>
          <w:bCs/>
        </w:rPr>
        <w:t>n</w:t>
      </w:r>
      <w:r>
        <w:rPr>
          <w:bCs/>
        </w:rPr>
        <w:t>cia, explicó que el fiscal hizo suyos los dichos de Telle</w:t>
      </w:r>
      <w:r>
        <w:rPr>
          <w:bCs/>
        </w:rPr>
        <w:t>l</w:t>
      </w:r>
      <w:r>
        <w:rPr>
          <w:bCs/>
        </w:rPr>
        <w:t xml:space="preserve">dín para vincular, intencionadamente, a </w:t>
      </w:r>
      <w:smartTag w:uri="urn:schemas-microsoft-com:office:smarttags" w:element="PersonName">
        <w:smartTagPr>
          <w:attr w:name="ProductID" w:val="la Brigada"/>
        </w:smartTagPr>
        <w:r>
          <w:rPr>
            <w:bCs/>
          </w:rPr>
          <w:t>la Brigada</w:t>
        </w:r>
      </w:smartTag>
      <w:r>
        <w:rPr>
          <w:bCs/>
        </w:rPr>
        <w:t xml:space="preserve"> de V</w:t>
      </w:r>
      <w:r>
        <w:rPr>
          <w:bCs/>
        </w:rPr>
        <w:t>i</w:t>
      </w:r>
      <w:r>
        <w:rPr>
          <w:bCs/>
        </w:rPr>
        <w:t>cente López con un automóvil supuestamente perten</w:t>
      </w:r>
      <w:r>
        <w:rPr>
          <w:bCs/>
        </w:rPr>
        <w:t>e</w:t>
      </w:r>
      <w:r>
        <w:rPr>
          <w:bCs/>
        </w:rPr>
        <w:t xml:space="preserve">ciente a </w:t>
      </w:r>
      <w:smartTag w:uri="urn:schemas-microsoft-com:office:smarttags" w:element="PersonName">
        <w:smartTagPr>
          <w:attr w:name="ProductID" w:val="la Brigada"/>
        </w:smartTagPr>
        <w:r>
          <w:rPr>
            <w:bCs/>
          </w:rPr>
          <w:t>la Brigada</w:t>
        </w:r>
      </w:smartTag>
      <w:r>
        <w:rPr>
          <w:bCs/>
        </w:rPr>
        <w:t xml:space="preserve"> de Lanús, obviando que dicha mención fue refer</w:t>
      </w:r>
      <w:r>
        <w:rPr>
          <w:bCs/>
        </w:rPr>
        <w:t>i</w:t>
      </w:r>
      <w:r>
        <w:rPr>
          <w:bCs/>
        </w:rPr>
        <w:t>da por primera vez en su indagatoria del 5 de julio de 1996, pero omitida tanto al confe</w:t>
      </w:r>
      <w:r>
        <w:rPr>
          <w:bCs/>
        </w:rPr>
        <w:t>c</w:t>
      </w:r>
      <w:r>
        <w:rPr>
          <w:bCs/>
        </w:rPr>
        <w:t>cionar el croquis en esa ocasión como en el relato po</w:t>
      </w:r>
      <w:r>
        <w:rPr>
          <w:bCs/>
        </w:rPr>
        <w:t>r</w:t>
      </w:r>
      <w:r>
        <w:rPr>
          <w:bCs/>
        </w:rPr>
        <w:t>menorizado que brindó el 6 de agosto de 1994.</w:t>
      </w:r>
    </w:p>
    <w:p w:rsidR="00224567" w:rsidRDefault="00224567">
      <w:pPr>
        <w:pStyle w:val="Textoindependiente"/>
        <w:tabs>
          <w:tab w:val="clear" w:pos="2040"/>
          <w:tab w:val="left" w:pos="2800"/>
        </w:tabs>
        <w:spacing w:line="600" w:lineRule="auto"/>
        <w:rPr>
          <w:bCs/>
        </w:rPr>
      </w:pPr>
      <w:r>
        <w:rPr>
          <w:bCs/>
        </w:rPr>
        <w:tab/>
        <w:t>Con respecto a los dichos brind</w:t>
      </w:r>
      <w:r>
        <w:rPr>
          <w:bCs/>
        </w:rPr>
        <w:t>a</w:t>
      </w:r>
      <w:r>
        <w:rPr>
          <w:bCs/>
        </w:rPr>
        <w:t>dos por Ana Boragni el 10 de julio de 1996 en la instru</w:t>
      </w:r>
      <w:r>
        <w:rPr>
          <w:bCs/>
        </w:rPr>
        <w:t>c</w:t>
      </w:r>
      <w:r>
        <w:rPr>
          <w:bCs/>
        </w:rPr>
        <w:t>ción y  el 15, 16 y 17 de octubre de 2002 en el debate, el defensor adhirió al planteo de nulidad formulado por la defensa de Carlos Alberto Telleldín, en razón de las maniobras coact</w:t>
      </w:r>
      <w:r>
        <w:rPr>
          <w:bCs/>
        </w:rPr>
        <w:t>i</w:t>
      </w:r>
      <w:r>
        <w:rPr>
          <w:bCs/>
        </w:rPr>
        <w:t xml:space="preserve">vas a las que la sometieron algunos funcionarios y otras personas, con el objeto de que sostenga la versión oficial de los hechos; esto es, que </w:t>
      </w:r>
      <w:smartTag w:uri="urn:schemas-microsoft-com:office:smarttags" w:element="PersonName">
        <w:smartTagPr>
          <w:attr w:name="ProductID" w:val="la Trafic"/>
        </w:smartTagPr>
        <w:r>
          <w:rPr>
            <w:bCs/>
          </w:rPr>
          <w:t>la Trafic</w:t>
        </w:r>
      </w:smartTag>
      <w:r>
        <w:rPr>
          <w:bCs/>
        </w:rPr>
        <w:t xml:space="preserve"> fue entregada a pol</w:t>
      </w:r>
      <w:r>
        <w:rPr>
          <w:bCs/>
        </w:rPr>
        <w:t>i</w:t>
      </w:r>
      <w:r>
        <w:rPr>
          <w:bCs/>
        </w:rPr>
        <w:t>cías bonaerenses, no existiendo ninguna operatoria de co</w:t>
      </w:r>
      <w:r>
        <w:rPr>
          <w:bCs/>
        </w:rPr>
        <w:t>m</w:t>
      </w:r>
      <w:r>
        <w:rPr>
          <w:bCs/>
        </w:rPr>
        <w:t>pra venta.</w:t>
      </w:r>
    </w:p>
    <w:p w:rsidR="00224567" w:rsidRDefault="00224567">
      <w:pPr>
        <w:pStyle w:val="Textoindependiente"/>
        <w:tabs>
          <w:tab w:val="clear" w:pos="2040"/>
          <w:tab w:val="left" w:pos="2800"/>
        </w:tabs>
        <w:spacing w:line="600" w:lineRule="auto"/>
        <w:rPr>
          <w:bCs/>
        </w:rPr>
      </w:pPr>
      <w:r>
        <w:rPr>
          <w:bCs/>
        </w:rPr>
        <w:tab/>
        <w:t>Respecto de la declaración de Boragni del 10 de julio, el defensor refirió que ella fue cons</w:t>
      </w:r>
      <w:r>
        <w:rPr>
          <w:bCs/>
        </w:rPr>
        <w:t>e</w:t>
      </w:r>
      <w:r>
        <w:rPr>
          <w:bCs/>
        </w:rPr>
        <w:t>cuencia de la indagatoria prestada por Telleldín ci</w:t>
      </w:r>
      <w:r>
        <w:rPr>
          <w:bCs/>
        </w:rPr>
        <w:t>n</w:t>
      </w:r>
      <w:r>
        <w:rPr>
          <w:bCs/>
        </w:rPr>
        <w:t>co días antes y que su situación procesal fue el producto de un acuerdo entre el nombrado, distintas autoridades judici</w:t>
      </w:r>
      <w:r>
        <w:rPr>
          <w:bCs/>
        </w:rPr>
        <w:t>a</w:t>
      </w:r>
      <w:r>
        <w:rPr>
          <w:bCs/>
        </w:rPr>
        <w:t>les, el poder ejecutivo y otros partic</w:t>
      </w:r>
      <w:r>
        <w:rPr>
          <w:bCs/>
        </w:rPr>
        <w:t>u</w:t>
      </w:r>
      <w:r>
        <w:rPr>
          <w:bCs/>
        </w:rPr>
        <w:t>lares, incluyendo el pago que dicha versión sea avalada también por Boragni y Cotoras.</w:t>
      </w:r>
    </w:p>
    <w:p w:rsidR="00224567" w:rsidRDefault="00224567">
      <w:pPr>
        <w:pStyle w:val="Textoindependiente"/>
        <w:tabs>
          <w:tab w:val="clear" w:pos="2040"/>
          <w:tab w:val="left" w:pos="2800"/>
        </w:tabs>
        <w:spacing w:line="600" w:lineRule="auto"/>
        <w:rPr>
          <w:bCs/>
        </w:rPr>
      </w:pPr>
      <w:r>
        <w:rPr>
          <w:bCs/>
        </w:rPr>
        <w:tab/>
        <w:t xml:space="preserve">Sustentó su planteo en el art. 18 de </w:t>
      </w:r>
      <w:smartTag w:uri="urn:schemas-microsoft-com:office:smarttags" w:element="PersonName">
        <w:smartTagPr>
          <w:attr w:name="ProductID" w:val="la Constituci￳n Nacional"/>
        </w:smartTagPr>
        <w:r>
          <w:rPr>
            <w:bCs/>
          </w:rPr>
          <w:t>la Constitución Nacional</w:t>
        </w:r>
      </w:smartTag>
      <w:r>
        <w:rPr>
          <w:bCs/>
        </w:rPr>
        <w:t xml:space="preserve"> y en los arts. 166, 167, incs. 2° y 3°, 168, 169, 172 y 242 del código de forma, alegando que la circunstancia de que la fiscalía fundamentara su acus</w:t>
      </w:r>
      <w:r>
        <w:rPr>
          <w:bCs/>
        </w:rPr>
        <w:t>a</w:t>
      </w:r>
      <w:r>
        <w:rPr>
          <w:bCs/>
        </w:rPr>
        <w:t>ción, entre otras cosas, en los dichos de Telleldín y Bor</w:t>
      </w:r>
      <w:r>
        <w:rPr>
          <w:bCs/>
        </w:rPr>
        <w:t>a</w:t>
      </w:r>
      <w:r>
        <w:rPr>
          <w:bCs/>
        </w:rPr>
        <w:t>gni, vulneraba el derecho de defensa, por cuanto en d</w:t>
      </w:r>
      <w:r>
        <w:rPr>
          <w:bCs/>
        </w:rPr>
        <w:t>i</w:t>
      </w:r>
      <w:r>
        <w:rPr>
          <w:bCs/>
        </w:rPr>
        <w:t>chas declaraciones se menciona a su defendido como partíc</w:t>
      </w:r>
      <w:r>
        <w:rPr>
          <w:bCs/>
        </w:rPr>
        <w:t>i</w:t>
      </w:r>
      <w:r>
        <w:rPr>
          <w:bCs/>
        </w:rPr>
        <w:t>pe en los hechos objeto de la imp</w:t>
      </w:r>
      <w:r>
        <w:rPr>
          <w:bCs/>
        </w:rPr>
        <w:t>u</w:t>
      </w:r>
      <w:r>
        <w:rPr>
          <w:bCs/>
        </w:rPr>
        <w:t>tación.</w:t>
      </w:r>
    </w:p>
    <w:p w:rsidR="00224567" w:rsidRDefault="00224567">
      <w:pPr>
        <w:pStyle w:val="Textoindependiente"/>
        <w:tabs>
          <w:tab w:val="clear" w:pos="2040"/>
          <w:tab w:val="left" w:pos="2800"/>
        </w:tabs>
        <w:spacing w:line="600" w:lineRule="auto"/>
        <w:rPr>
          <w:bCs/>
        </w:rPr>
      </w:pPr>
      <w:r>
        <w:rPr>
          <w:bCs/>
        </w:rPr>
        <w:tab/>
        <w:t>Señaló, con carácter subsidiario, que las contradicciones en las que, a su criterio, había inc</w:t>
      </w:r>
      <w:r>
        <w:rPr>
          <w:bCs/>
        </w:rPr>
        <w:t>u</w:t>
      </w:r>
      <w:r>
        <w:rPr>
          <w:bCs/>
        </w:rPr>
        <w:t>rrido Ana Boragni en la audiencia de debate, desc</w:t>
      </w:r>
      <w:r>
        <w:rPr>
          <w:bCs/>
        </w:rPr>
        <w:t>a</w:t>
      </w:r>
      <w:r>
        <w:rPr>
          <w:bCs/>
        </w:rPr>
        <w:t>lificaban sus dichos, restándole toda credib</w:t>
      </w:r>
      <w:r>
        <w:rPr>
          <w:bCs/>
        </w:rPr>
        <w:t>i</w:t>
      </w:r>
      <w:r>
        <w:rPr>
          <w:bCs/>
        </w:rPr>
        <w:t>lidad.</w:t>
      </w:r>
    </w:p>
    <w:p w:rsidR="00224567" w:rsidRDefault="00224567">
      <w:pPr>
        <w:pStyle w:val="Textoindependiente"/>
        <w:tabs>
          <w:tab w:val="clear" w:pos="2040"/>
          <w:tab w:val="left" w:pos="2800"/>
        </w:tabs>
        <w:spacing w:line="600" w:lineRule="auto"/>
        <w:rPr>
          <w:bCs/>
        </w:rPr>
      </w:pPr>
      <w:r>
        <w:rPr>
          <w:bCs/>
        </w:rPr>
        <w:tab/>
        <w:t>En ese sentido, sostuvo que su afirm</w:t>
      </w:r>
      <w:r>
        <w:rPr>
          <w:bCs/>
        </w:rPr>
        <w:t>a</w:t>
      </w:r>
      <w:r>
        <w:rPr>
          <w:bCs/>
        </w:rPr>
        <w:t>ción de que Pérez permaneció en el v</w:t>
      </w:r>
      <w:r>
        <w:rPr>
          <w:bCs/>
        </w:rPr>
        <w:t>e</w:t>
      </w:r>
      <w:r>
        <w:rPr>
          <w:bCs/>
        </w:rPr>
        <w:t>hículo policial desde las 22.30 hasta la 1.30 no se compadecía con las consta</w:t>
      </w:r>
      <w:r>
        <w:rPr>
          <w:bCs/>
        </w:rPr>
        <w:t>n</w:t>
      </w:r>
      <w:r>
        <w:rPr>
          <w:bCs/>
        </w:rPr>
        <w:t>cias de la causa, por cuanto en las audiencias del 15 y 17 de octubre de 2002 la testigo manifestó no recordar el h</w:t>
      </w:r>
      <w:r>
        <w:rPr>
          <w:bCs/>
        </w:rPr>
        <w:t>o</w:t>
      </w:r>
      <w:r>
        <w:rPr>
          <w:bCs/>
        </w:rPr>
        <w:t>rario en que se produjo la detención de aquél, precisando tan solo que había ocurrido a altas horas de la n</w:t>
      </w:r>
      <w:r>
        <w:rPr>
          <w:bCs/>
        </w:rPr>
        <w:t>o</w:t>
      </w:r>
      <w:r>
        <w:rPr>
          <w:bCs/>
        </w:rPr>
        <w:t>che.</w:t>
      </w:r>
    </w:p>
    <w:p w:rsidR="00224567" w:rsidRDefault="00224567">
      <w:pPr>
        <w:pStyle w:val="Textoindependiente"/>
        <w:tabs>
          <w:tab w:val="clear" w:pos="2040"/>
          <w:tab w:val="left" w:pos="2800"/>
        </w:tabs>
        <w:spacing w:line="600" w:lineRule="auto"/>
        <w:rPr>
          <w:bCs/>
        </w:rPr>
      </w:pPr>
      <w:r>
        <w:rPr>
          <w:bCs/>
        </w:rPr>
        <w:tab/>
        <w:t>También desvirtuó que Boragni, c</w:t>
      </w:r>
      <w:r>
        <w:rPr>
          <w:bCs/>
        </w:rPr>
        <w:t>o</w:t>
      </w:r>
      <w:r>
        <w:rPr>
          <w:bCs/>
        </w:rPr>
        <w:t>mo lo sostuvo la fiscalía, haya referido que Pérez, mientras e</w:t>
      </w:r>
      <w:r>
        <w:rPr>
          <w:bCs/>
        </w:rPr>
        <w:t>s</w:t>
      </w:r>
      <w:r>
        <w:rPr>
          <w:bCs/>
        </w:rPr>
        <w:t>tuvo detenido, vio pasar en varias opo</w:t>
      </w:r>
      <w:r>
        <w:rPr>
          <w:bCs/>
        </w:rPr>
        <w:t>r</w:t>
      </w:r>
      <w:r>
        <w:rPr>
          <w:bCs/>
        </w:rPr>
        <w:t>tunidades a Barreda y que éste conversó con el oficial a cargo, cuando, en realidad, se limitó a señalar en forma dub</w:t>
      </w:r>
      <w:r>
        <w:rPr>
          <w:bCs/>
        </w:rPr>
        <w:t>i</w:t>
      </w:r>
      <w:r>
        <w:rPr>
          <w:bCs/>
        </w:rPr>
        <w:t>tativa que aquél o Cruz le manife</w:t>
      </w:r>
      <w:r>
        <w:rPr>
          <w:bCs/>
        </w:rPr>
        <w:t>s</w:t>
      </w:r>
      <w:r>
        <w:rPr>
          <w:bCs/>
        </w:rPr>
        <w:t>taron que esa noche creían haber observado a Barreda pasar tocando b</w:t>
      </w:r>
      <w:r>
        <w:rPr>
          <w:bCs/>
        </w:rPr>
        <w:t>o</w:t>
      </w:r>
      <w:r>
        <w:rPr>
          <w:bCs/>
        </w:rPr>
        <w:t>cina.</w:t>
      </w:r>
    </w:p>
    <w:p w:rsidR="00224567" w:rsidRDefault="00224567">
      <w:pPr>
        <w:pStyle w:val="Textoindependiente"/>
        <w:tabs>
          <w:tab w:val="clear" w:pos="2040"/>
          <w:tab w:val="left" w:pos="2800"/>
        </w:tabs>
        <w:spacing w:line="600" w:lineRule="auto"/>
        <w:rPr>
          <w:bCs/>
        </w:rPr>
      </w:pPr>
      <w:r>
        <w:rPr>
          <w:bCs/>
        </w:rPr>
        <w:tab/>
        <w:t>Remarcó que del relato de Boragni su</w:t>
      </w:r>
      <w:r>
        <w:rPr>
          <w:bCs/>
        </w:rPr>
        <w:t>r</w:t>
      </w:r>
      <w:r>
        <w:rPr>
          <w:bCs/>
        </w:rPr>
        <w:t>gía que el “arreglo” tenía por finalidad el levantamiento de la custodia y la posibilidad de volver a su domicilio, no apreciándose ninguna referencia a la situación de Pérez como factor relevante en la negociación con la brigada, considerando irrazonable que Telleldín y Boragni estuvieran esperando que Pérez se comunicara, cuando lo l</w:t>
      </w:r>
      <w:r>
        <w:rPr>
          <w:bCs/>
        </w:rPr>
        <w:t>ó</w:t>
      </w:r>
      <w:r>
        <w:rPr>
          <w:bCs/>
        </w:rPr>
        <w:t>gico hubiera sido que ellos lo hicieran con alguno de los adultos pr</w:t>
      </w:r>
      <w:r>
        <w:rPr>
          <w:bCs/>
        </w:rPr>
        <w:t>e</w:t>
      </w:r>
      <w:r>
        <w:rPr>
          <w:bCs/>
        </w:rPr>
        <w:t>sentes en República 107; circunstancia que revelaba, a su juicio, que la noche del 14 de julio ni Cruz, ni Pérez M</w:t>
      </w:r>
      <w:r>
        <w:rPr>
          <w:bCs/>
        </w:rPr>
        <w:t>e</w:t>
      </w:r>
      <w:r>
        <w:rPr>
          <w:bCs/>
        </w:rPr>
        <w:t>jías se encontraban en dicho dom</w:t>
      </w:r>
      <w:r>
        <w:rPr>
          <w:bCs/>
        </w:rPr>
        <w:t>i</w:t>
      </w:r>
      <w:r>
        <w:rPr>
          <w:bCs/>
        </w:rPr>
        <w:t>cilio.</w:t>
      </w:r>
    </w:p>
    <w:p w:rsidR="00224567" w:rsidRDefault="00224567">
      <w:pPr>
        <w:pStyle w:val="Textoindependiente"/>
        <w:tabs>
          <w:tab w:val="clear" w:pos="2040"/>
          <w:tab w:val="left" w:pos="2800"/>
        </w:tabs>
        <w:spacing w:line="600" w:lineRule="auto"/>
        <w:rPr>
          <w:bCs/>
        </w:rPr>
      </w:pPr>
      <w:r>
        <w:rPr>
          <w:bCs/>
        </w:rPr>
        <w:tab/>
        <w:t>Señaló el defensor que la circunsta</w:t>
      </w:r>
      <w:r>
        <w:rPr>
          <w:bCs/>
        </w:rPr>
        <w:t>n</w:t>
      </w:r>
      <w:r>
        <w:rPr>
          <w:bCs/>
        </w:rPr>
        <w:t>cia de que tanto Telleldín como Boragni sólo recordaran la a</w:t>
      </w:r>
      <w:r>
        <w:rPr>
          <w:bCs/>
        </w:rPr>
        <w:t>u</w:t>
      </w:r>
      <w:r>
        <w:rPr>
          <w:bCs/>
        </w:rPr>
        <w:t>sencia de la custodia al regresar a República 107, evide</w:t>
      </w:r>
      <w:r>
        <w:rPr>
          <w:bCs/>
        </w:rPr>
        <w:t>n</w:t>
      </w:r>
      <w:r>
        <w:rPr>
          <w:bCs/>
        </w:rPr>
        <w:t>ciaba que el único motivo del “arreglo” era el levantamie</w:t>
      </w:r>
      <w:r>
        <w:rPr>
          <w:bCs/>
        </w:rPr>
        <w:t>n</w:t>
      </w:r>
      <w:r>
        <w:rPr>
          <w:bCs/>
        </w:rPr>
        <w:t>to de dicha custodia y el posible allan</w:t>
      </w:r>
      <w:r>
        <w:rPr>
          <w:bCs/>
        </w:rPr>
        <w:t>a</w:t>
      </w:r>
      <w:r>
        <w:rPr>
          <w:bCs/>
        </w:rPr>
        <w:t>miento que pudiera disponerse.</w:t>
      </w:r>
    </w:p>
    <w:p w:rsidR="00224567" w:rsidRDefault="00224567">
      <w:pPr>
        <w:pStyle w:val="Textoindependiente"/>
        <w:tabs>
          <w:tab w:val="clear" w:pos="2040"/>
          <w:tab w:val="left" w:pos="2800"/>
        </w:tabs>
        <w:spacing w:line="600" w:lineRule="auto"/>
        <w:rPr>
          <w:bCs/>
        </w:rPr>
      </w:pPr>
      <w:r>
        <w:rPr>
          <w:bCs/>
        </w:rPr>
        <w:tab/>
        <w:t>Por otro parte, el Sr. defensor pet</w:t>
      </w:r>
      <w:r>
        <w:rPr>
          <w:bCs/>
        </w:rPr>
        <w:t>i</w:t>
      </w:r>
      <w:r>
        <w:rPr>
          <w:bCs/>
        </w:rPr>
        <w:t>cionó la n</w:t>
      </w:r>
      <w:r>
        <w:rPr>
          <w:bCs/>
        </w:rPr>
        <w:t>u</w:t>
      </w:r>
      <w:r>
        <w:rPr>
          <w:bCs/>
        </w:rPr>
        <w:t>lidad de las certificaciones de los listados de llamadas recibidas en el radiomensaje de Telleldín, secue</w:t>
      </w:r>
      <w:r>
        <w:rPr>
          <w:bCs/>
        </w:rPr>
        <w:t>s</w:t>
      </w:r>
      <w:r>
        <w:rPr>
          <w:bCs/>
        </w:rPr>
        <w:t>trado en su domicilio, obrantes a fs. 2193/2195, del info</w:t>
      </w:r>
      <w:r>
        <w:rPr>
          <w:bCs/>
        </w:rPr>
        <w:t>r</w:t>
      </w:r>
      <w:r>
        <w:rPr>
          <w:bCs/>
        </w:rPr>
        <w:t>me de la empresa “Radiollamadas S.A.”, agregado a fs. 3043/3048 y de la declaración indagatoria que éste brindó el 7 de agosto de 1994.</w:t>
      </w:r>
    </w:p>
    <w:p w:rsidR="00224567" w:rsidRDefault="00224567">
      <w:pPr>
        <w:pStyle w:val="Textoindependiente"/>
        <w:tabs>
          <w:tab w:val="clear" w:pos="2040"/>
          <w:tab w:val="left" w:pos="2800"/>
        </w:tabs>
        <w:spacing w:line="600" w:lineRule="auto"/>
        <w:rPr>
          <w:bCs/>
        </w:rPr>
      </w:pPr>
      <w:r>
        <w:rPr>
          <w:bCs/>
        </w:rPr>
        <w:tab/>
        <w:t>Respecto de la certificación, el defe</w:t>
      </w:r>
      <w:r>
        <w:rPr>
          <w:bCs/>
        </w:rPr>
        <w:t>n</w:t>
      </w:r>
      <w:r>
        <w:rPr>
          <w:bCs/>
        </w:rPr>
        <w:t>sor adujo que ella no fue ordenada por el juez y que el mentado informe se llevó a cabo sin participación de la d</w:t>
      </w:r>
      <w:r>
        <w:rPr>
          <w:bCs/>
        </w:rPr>
        <w:t>e</w:t>
      </w:r>
      <w:r>
        <w:rPr>
          <w:bCs/>
        </w:rPr>
        <w:t>fensa, la que no fue not</w:t>
      </w:r>
      <w:r>
        <w:rPr>
          <w:bCs/>
        </w:rPr>
        <w:t>i</w:t>
      </w:r>
      <w:r>
        <w:rPr>
          <w:bCs/>
        </w:rPr>
        <w:t>ficada de su realización.</w:t>
      </w:r>
    </w:p>
    <w:p w:rsidR="00224567" w:rsidRDefault="00224567">
      <w:pPr>
        <w:pStyle w:val="Textoindependiente"/>
        <w:tabs>
          <w:tab w:val="clear" w:pos="2040"/>
          <w:tab w:val="left" w:pos="2800"/>
        </w:tabs>
        <w:spacing w:line="600" w:lineRule="auto"/>
      </w:pPr>
      <w:r>
        <w:rPr>
          <w:bCs/>
        </w:rPr>
        <w:tab/>
        <w:t>En suma, el Sr. defensor refirió que si bien e</w:t>
      </w:r>
      <w:r>
        <w:t>l fiscal consideró probado que Barreda proporcionó los datos para llevar a cabo la maniobra extorsiva contra Telleldín, encontrándose al tanto del desarrollo de la op</w:t>
      </w:r>
      <w:r>
        <w:t>e</w:t>
      </w:r>
      <w:r>
        <w:t>ración, omitió en su acusación señalar las pruebas de la participación de su asistido en la privación ilegítima de la libertad sufrida por Boragni y Telleldín y en la exto</w:t>
      </w:r>
      <w:r>
        <w:t>r</w:t>
      </w:r>
      <w:r>
        <w:t>sión a este último, propiciando su absolución por tales h</w:t>
      </w:r>
      <w:r>
        <w:t>e</w:t>
      </w:r>
      <w:r>
        <w:t>chos.</w:t>
      </w:r>
    </w:p>
    <w:p w:rsidR="00224567" w:rsidRDefault="00224567">
      <w:pPr>
        <w:pStyle w:val="Textoindependiente"/>
        <w:tabs>
          <w:tab w:val="clear" w:pos="2040"/>
          <w:tab w:val="left" w:pos="2800"/>
        </w:tabs>
        <w:spacing w:line="600" w:lineRule="auto"/>
        <w:rPr>
          <w:bCs/>
        </w:rPr>
      </w:pPr>
      <w:r>
        <w:tab/>
      </w:r>
      <w:r>
        <w:rPr>
          <w:bCs/>
        </w:rPr>
        <w:t>Asimismo, consideró que igual sol</w:t>
      </w:r>
      <w:r>
        <w:rPr>
          <w:bCs/>
        </w:rPr>
        <w:t>u</w:t>
      </w:r>
      <w:r>
        <w:rPr>
          <w:bCs/>
        </w:rPr>
        <w:t>ción correspondía respecto de la imputación de secuestro exto</w:t>
      </w:r>
      <w:r>
        <w:rPr>
          <w:bCs/>
        </w:rPr>
        <w:t>r</w:t>
      </w:r>
      <w:r>
        <w:rPr>
          <w:bCs/>
        </w:rPr>
        <w:t>sivo en perjuicio de Hugo Antonio Pérez, en razón que la fiscalía evitó mencionar todas aquellas pruebas que desb</w:t>
      </w:r>
      <w:r>
        <w:rPr>
          <w:bCs/>
        </w:rPr>
        <w:t>a</w:t>
      </w:r>
      <w:r>
        <w:rPr>
          <w:bCs/>
        </w:rPr>
        <w:t>rataban sus hipótesis, para lo cual utilizó declaraciones indagatorias y testimoniales t</w:t>
      </w:r>
      <w:r>
        <w:rPr>
          <w:bCs/>
        </w:rPr>
        <w:t>a</w:t>
      </w:r>
      <w:r>
        <w:rPr>
          <w:bCs/>
        </w:rPr>
        <w:t>chadas de inválidas.</w:t>
      </w:r>
    </w:p>
    <w:p w:rsidR="00224567" w:rsidRDefault="00224567">
      <w:pPr>
        <w:pStyle w:val="Textoindependiente"/>
        <w:tabs>
          <w:tab w:val="clear" w:pos="2040"/>
          <w:tab w:val="left" w:pos="2800"/>
        </w:tabs>
        <w:spacing w:line="600" w:lineRule="auto"/>
        <w:rPr>
          <w:bCs/>
        </w:rPr>
      </w:pPr>
      <w:r>
        <w:rPr>
          <w:bCs/>
        </w:rPr>
        <w:tab/>
        <w:t>En subsidio, sostuvo que Barreda no participó ni estuvo presente en el proced</w:t>
      </w:r>
      <w:r>
        <w:rPr>
          <w:bCs/>
        </w:rPr>
        <w:t>i</w:t>
      </w:r>
      <w:r>
        <w:rPr>
          <w:bCs/>
        </w:rPr>
        <w:t>miento del 14 de julio de 1994, ni en ocasión de la dete</w:t>
      </w:r>
      <w:r>
        <w:rPr>
          <w:bCs/>
        </w:rPr>
        <w:t>n</w:t>
      </w:r>
      <w:r>
        <w:rPr>
          <w:bCs/>
        </w:rPr>
        <w:t xml:space="preserve">ción de Hugo Pérez, como tampoco en el operativo desplegado ese mismo día por </w:t>
      </w:r>
      <w:smartTag w:uri="urn:schemas-microsoft-com:office:smarttags" w:element="PersonName">
        <w:smartTagPr>
          <w:attr w:name="ProductID" w:val="la Brigada"/>
        </w:smartTagPr>
        <w:r>
          <w:rPr>
            <w:bCs/>
          </w:rPr>
          <w:t>la Brigada</w:t>
        </w:r>
      </w:smartTag>
      <w:r>
        <w:rPr>
          <w:bCs/>
        </w:rPr>
        <w:t xml:space="preserve"> de Vicente López respecto de la persecución de Telleldín y Boragni, calificando a este último de legal y carente de toda finalidad extorsiva.</w:t>
      </w:r>
    </w:p>
    <w:p w:rsidR="00224567" w:rsidRDefault="00224567">
      <w:pPr>
        <w:pStyle w:val="Textoindependiente"/>
        <w:tabs>
          <w:tab w:val="clear" w:pos="2040"/>
          <w:tab w:val="left" w:pos="2800"/>
        </w:tabs>
        <w:spacing w:line="600" w:lineRule="auto"/>
        <w:rPr>
          <w:bCs/>
        </w:rPr>
      </w:pPr>
      <w:r>
        <w:rPr>
          <w:bCs/>
        </w:rPr>
        <w:tab/>
        <w:t>Con relación a la detención de Hugo P</w:t>
      </w:r>
      <w:r>
        <w:rPr>
          <w:bCs/>
        </w:rPr>
        <w:t>é</w:t>
      </w:r>
      <w:r>
        <w:rPr>
          <w:bCs/>
        </w:rPr>
        <w:t>rez, el defensor alegó que ella encontró amparo en la ci</w:t>
      </w:r>
      <w:r>
        <w:rPr>
          <w:bCs/>
        </w:rPr>
        <w:t>r</w:t>
      </w:r>
      <w:r>
        <w:rPr>
          <w:bCs/>
        </w:rPr>
        <w:t>cunstancia de que el nombrado, al momento de la identific</w:t>
      </w:r>
      <w:r>
        <w:rPr>
          <w:bCs/>
        </w:rPr>
        <w:t>a</w:t>
      </w:r>
      <w:r>
        <w:rPr>
          <w:bCs/>
        </w:rPr>
        <w:t>ción, se encontraba indocumentado, mostrándose nervioso, además de tener las manos manchadas de grasa, pese a que en ese momento refirió que se dedicaba a la albañilería; a</w:t>
      </w:r>
      <w:r>
        <w:rPr>
          <w:bCs/>
        </w:rPr>
        <w:t>s</w:t>
      </w:r>
      <w:r>
        <w:rPr>
          <w:bCs/>
        </w:rPr>
        <w:t>pecto que consideró relevante si se tiene en cuenta que s</w:t>
      </w:r>
      <w:r>
        <w:rPr>
          <w:bCs/>
        </w:rPr>
        <w:t>a</w:t>
      </w:r>
      <w:r>
        <w:rPr>
          <w:bCs/>
        </w:rPr>
        <w:t>lía de un domicilio cuyo ocupante estaba sospechado del d</w:t>
      </w:r>
      <w:r>
        <w:rPr>
          <w:bCs/>
        </w:rPr>
        <w:t>o</w:t>
      </w:r>
      <w:r>
        <w:rPr>
          <w:bCs/>
        </w:rPr>
        <w:t>blaje de vehículos y en el cual se había dejado, horas a</w:t>
      </w:r>
      <w:r>
        <w:rPr>
          <w:bCs/>
        </w:rPr>
        <w:t>n</w:t>
      </w:r>
      <w:r>
        <w:rPr>
          <w:bCs/>
        </w:rPr>
        <w:t>tes, un m</w:t>
      </w:r>
      <w:r>
        <w:rPr>
          <w:bCs/>
        </w:rPr>
        <w:t>o</w:t>
      </w:r>
      <w:r>
        <w:rPr>
          <w:bCs/>
        </w:rPr>
        <w:t>tor.</w:t>
      </w:r>
    </w:p>
    <w:p w:rsidR="00224567" w:rsidRDefault="00224567">
      <w:pPr>
        <w:pStyle w:val="Textoindependiente"/>
        <w:tabs>
          <w:tab w:val="clear" w:pos="2040"/>
          <w:tab w:val="left" w:pos="2800"/>
        </w:tabs>
        <w:spacing w:line="600" w:lineRule="auto"/>
        <w:rPr>
          <w:bCs/>
        </w:rPr>
      </w:pPr>
      <w:r>
        <w:rPr>
          <w:bCs/>
        </w:rPr>
        <w:tab/>
        <w:t>El Dr. García también explicó que T</w:t>
      </w:r>
      <w:r>
        <w:rPr>
          <w:bCs/>
        </w:rPr>
        <w:t>e</w:t>
      </w:r>
      <w:r>
        <w:rPr>
          <w:bCs/>
        </w:rPr>
        <w:t>lleldín manifestó que el 14 de julio estaba trabajando s</w:t>
      </w:r>
      <w:r>
        <w:rPr>
          <w:bCs/>
        </w:rPr>
        <w:t>o</w:t>
      </w:r>
      <w:r>
        <w:rPr>
          <w:bCs/>
        </w:rPr>
        <w:t>bre un Renault 9 robado y que, luego de la fuga, se comun</w:t>
      </w:r>
      <w:r>
        <w:rPr>
          <w:bCs/>
        </w:rPr>
        <w:t>i</w:t>
      </w:r>
      <w:r>
        <w:rPr>
          <w:bCs/>
        </w:rPr>
        <w:t>có con su casa para solicitarle a Pérez que salga del dom</w:t>
      </w:r>
      <w:r>
        <w:rPr>
          <w:bCs/>
        </w:rPr>
        <w:t>i</w:t>
      </w:r>
      <w:r>
        <w:rPr>
          <w:bCs/>
        </w:rPr>
        <w:t>cilio y observe lo que estaba sucediendo y a Pérez Mejías que le puntee el motor de dicho vehículo.</w:t>
      </w:r>
    </w:p>
    <w:p w:rsidR="00224567" w:rsidRDefault="00224567">
      <w:pPr>
        <w:pStyle w:val="Textoindependiente"/>
        <w:tabs>
          <w:tab w:val="clear" w:pos="2040"/>
          <w:tab w:val="left" w:pos="2800"/>
        </w:tabs>
        <w:spacing w:line="600" w:lineRule="auto"/>
        <w:rPr>
          <w:bCs/>
        </w:rPr>
      </w:pPr>
      <w:r>
        <w:rPr>
          <w:bCs/>
        </w:rPr>
        <w:tab/>
        <w:t>En base a esto, el defensor sost</w:t>
      </w:r>
      <w:r>
        <w:rPr>
          <w:bCs/>
        </w:rPr>
        <w:t>u</w:t>
      </w:r>
      <w:r>
        <w:rPr>
          <w:bCs/>
        </w:rPr>
        <w:t>vo que el hallazgo del motor punteado, en ocasión del allanamiento de República 107, otorgaban verac</w:t>
      </w:r>
      <w:r>
        <w:rPr>
          <w:bCs/>
        </w:rPr>
        <w:t>i</w:t>
      </w:r>
      <w:r>
        <w:rPr>
          <w:bCs/>
        </w:rPr>
        <w:t>dad a la circunstancia de que el primero tenía las manos manch</w:t>
      </w:r>
      <w:r>
        <w:rPr>
          <w:bCs/>
        </w:rPr>
        <w:t>a</w:t>
      </w:r>
      <w:r>
        <w:rPr>
          <w:bCs/>
        </w:rPr>
        <w:t>das de grasa.</w:t>
      </w:r>
    </w:p>
    <w:p w:rsidR="00224567" w:rsidRDefault="00224567">
      <w:pPr>
        <w:pStyle w:val="Textoindependiente"/>
        <w:tabs>
          <w:tab w:val="clear" w:pos="2040"/>
          <w:tab w:val="left" w:pos="2800"/>
        </w:tabs>
        <w:spacing w:line="600" w:lineRule="auto"/>
        <w:rPr>
          <w:bCs/>
        </w:rPr>
      </w:pPr>
      <w:r>
        <w:rPr>
          <w:bCs/>
        </w:rPr>
        <w:tab/>
        <w:t>Con relación al hecho de que Pérez c</w:t>
      </w:r>
      <w:r>
        <w:rPr>
          <w:bCs/>
        </w:rPr>
        <w:t>a</w:t>
      </w:r>
      <w:r>
        <w:rPr>
          <w:bCs/>
        </w:rPr>
        <w:t>recía de document</w:t>
      </w:r>
      <w:r>
        <w:rPr>
          <w:bCs/>
        </w:rPr>
        <w:t>a</w:t>
      </w:r>
      <w:r>
        <w:rPr>
          <w:bCs/>
        </w:rPr>
        <w:t>ción al arribo de la brigada, el defensor recordó que de ello dio cuenta el subinspector oficial Quinteros, quien reconoció haber realizado el legajo de averiguación de antecedentes y que, aún cua</w:t>
      </w:r>
      <w:r>
        <w:rPr>
          <w:bCs/>
        </w:rPr>
        <w:t>n</w:t>
      </w:r>
      <w:r>
        <w:rPr>
          <w:bCs/>
        </w:rPr>
        <w:t xml:space="preserve">do se admitiera una finalidad extorsiva en el procedimiento realizado por </w:t>
      </w:r>
      <w:smartTag w:uri="urn:schemas-microsoft-com:office:smarttags" w:element="PersonName">
        <w:smartTagPr>
          <w:attr w:name="ProductID" w:val="la Brigada"/>
        </w:smartTagPr>
        <w:r>
          <w:rPr>
            <w:bCs/>
          </w:rPr>
          <w:t>la Brigada</w:t>
        </w:r>
      </w:smartTag>
      <w:r>
        <w:rPr>
          <w:bCs/>
        </w:rPr>
        <w:t xml:space="preserve"> de Vicente L</w:t>
      </w:r>
      <w:r>
        <w:rPr>
          <w:bCs/>
        </w:rPr>
        <w:t>ó</w:t>
      </w:r>
      <w:r>
        <w:rPr>
          <w:bCs/>
        </w:rPr>
        <w:t>pez, no existía elemento alguno que permita vincular a Barreda con una toma de decisión de esta índole, ni con el intento de detención de Telleldín y de Bora</w:t>
      </w:r>
      <w:r>
        <w:rPr>
          <w:bCs/>
        </w:rPr>
        <w:t>g</w:t>
      </w:r>
      <w:r>
        <w:rPr>
          <w:bCs/>
        </w:rPr>
        <w:t>ni.</w:t>
      </w:r>
    </w:p>
    <w:p w:rsidR="00224567" w:rsidRDefault="00224567">
      <w:pPr>
        <w:pStyle w:val="Textoindependiente"/>
        <w:tabs>
          <w:tab w:val="clear" w:pos="2040"/>
          <w:tab w:val="left" w:pos="2800"/>
        </w:tabs>
        <w:spacing w:line="600" w:lineRule="auto"/>
        <w:rPr>
          <w:bCs/>
        </w:rPr>
      </w:pPr>
      <w:r>
        <w:rPr>
          <w:bCs/>
        </w:rPr>
        <w:tab/>
        <w:t>Por otra parte, el defensor también s</w:t>
      </w:r>
      <w:r>
        <w:rPr>
          <w:bCs/>
        </w:rPr>
        <w:t>o</w:t>
      </w:r>
      <w:r>
        <w:rPr>
          <w:bCs/>
        </w:rPr>
        <w:t>licitó la nulidad del auto de procesamiento dictado en la causa n° 501 del registro del trib</w:t>
      </w:r>
      <w:r>
        <w:rPr>
          <w:bCs/>
        </w:rPr>
        <w:t>u</w:t>
      </w:r>
      <w:r>
        <w:rPr>
          <w:bCs/>
        </w:rPr>
        <w:t>nal y de todo lo actuado en consecuencia, por entender inexistente la indagatoria de Barreda al haberse limitado el juez instructor a agregar copia de la prestada por su asistido el 13 de julio de 1996, en el marco de la causa n° 487 de este órgano juri</w:t>
      </w:r>
      <w:r>
        <w:rPr>
          <w:bCs/>
        </w:rPr>
        <w:t>s</w:t>
      </w:r>
      <w:r>
        <w:rPr>
          <w:bCs/>
        </w:rPr>
        <w:t>dicci</w:t>
      </w:r>
      <w:r>
        <w:rPr>
          <w:bCs/>
        </w:rPr>
        <w:t>o</w:t>
      </w:r>
      <w:r>
        <w:rPr>
          <w:bCs/>
        </w:rPr>
        <w:t>nal.</w:t>
      </w:r>
    </w:p>
    <w:p w:rsidR="00224567" w:rsidRDefault="00224567">
      <w:pPr>
        <w:pStyle w:val="Textoindependiente"/>
        <w:tabs>
          <w:tab w:val="clear" w:pos="2040"/>
          <w:tab w:val="left" w:pos="2800"/>
        </w:tabs>
        <w:spacing w:line="600" w:lineRule="auto"/>
        <w:rPr>
          <w:bCs/>
        </w:rPr>
      </w:pPr>
      <w:r>
        <w:rPr>
          <w:bCs/>
        </w:rPr>
        <w:tab/>
        <w:t>Igualmente solicitó se declare exti</w:t>
      </w:r>
      <w:r>
        <w:rPr>
          <w:bCs/>
        </w:rPr>
        <w:t>n</w:t>
      </w:r>
      <w:r>
        <w:rPr>
          <w:bCs/>
        </w:rPr>
        <w:t>guida por prescripción la acción penal respecto de la te</w:t>
      </w:r>
      <w:r>
        <w:rPr>
          <w:bCs/>
        </w:rPr>
        <w:t>n</w:t>
      </w:r>
      <w:r>
        <w:rPr>
          <w:bCs/>
        </w:rPr>
        <w:t>tativa de privación ilegítima de la libertad agravada, en perjuicio de Telleldín y Boragni, previsto y reprimido en el art. 144 bis, inc. 1°, del Código Penal, por el que fue acusado.</w:t>
      </w:r>
    </w:p>
    <w:p w:rsidR="00224567" w:rsidRDefault="00224567">
      <w:pPr>
        <w:pStyle w:val="Textoindependiente"/>
        <w:tabs>
          <w:tab w:val="clear" w:pos="2040"/>
          <w:tab w:val="left" w:pos="2800"/>
        </w:tabs>
        <w:spacing w:line="600" w:lineRule="auto"/>
        <w:rPr>
          <w:bCs/>
        </w:rPr>
      </w:pPr>
      <w:r>
        <w:rPr>
          <w:bCs/>
        </w:rPr>
        <w:tab/>
        <w:t>Con fundamento en cuantiosa do</w:t>
      </w:r>
      <w:r>
        <w:rPr>
          <w:bCs/>
        </w:rPr>
        <w:t>c</w:t>
      </w:r>
      <w:r>
        <w:rPr>
          <w:bCs/>
        </w:rPr>
        <w:t>trina y jurisprudencia, entendió que el plazo de prescripción apl</w:t>
      </w:r>
      <w:r>
        <w:rPr>
          <w:bCs/>
        </w:rPr>
        <w:t>i</w:t>
      </w:r>
      <w:r>
        <w:rPr>
          <w:bCs/>
        </w:rPr>
        <w:t>cable es el que surge de establecer la relación entre los arts. 144 bis, inc. 1°, 62, inc. 2°, 42 y 44 del código de fondo, indicando, en consecuencia, que dicho plazo deberá regirse por el inciso 2° del mentado art. 62, en razón de que la pena privativa de la libertad contemplada para la figura penal en cuestión posee un máximo superior al pr</w:t>
      </w:r>
      <w:r>
        <w:rPr>
          <w:bCs/>
        </w:rPr>
        <w:t>e</w:t>
      </w:r>
      <w:r>
        <w:rPr>
          <w:bCs/>
        </w:rPr>
        <w:t>visto en el inciso 4° del mismo artículo y deberá dism</w:t>
      </w:r>
      <w:r>
        <w:rPr>
          <w:bCs/>
        </w:rPr>
        <w:t>i</w:t>
      </w:r>
      <w:r>
        <w:rPr>
          <w:bCs/>
        </w:rPr>
        <w:t>nuirse conforme las pautas fijadas en el citado art. 44. De esta manera, co</w:t>
      </w:r>
      <w:r>
        <w:rPr>
          <w:bCs/>
        </w:rPr>
        <w:t>n</w:t>
      </w:r>
      <w:r>
        <w:rPr>
          <w:bCs/>
        </w:rPr>
        <w:t>cluyó que dicho plazo de prescripción es de tres años y cu</w:t>
      </w:r>
      <w:r>
        <w:rPr>
          <w:bCs/>
        </w:rPr>
        <w:t>a</w:t>
      </w:r>
      <w:r>
        <w:rPr>
          <w:bCs/>
        </w:rPr>
        <w:t>tro meses.</w:t>
      </w:r>
    </w:p>
    <w:p w:rsidR="00224567" w:rsidRDefault="00224567">
      <w:pPr>
        <w:pStyle w:val="Textoindependiente"/>
        <w:tabs>
          <w:tab w:val="clear" w:pos="2040"/>
          <w:tab w:val="left" w:pos="2800"/>
        </w:tabs>
        <w:spacing w:line="600" w:lineRule="auto"/>
        <w:rPr>
          <w:bCs/>
        </w:rPr>
      </w:pPr>
      <w:r>
        <w:rPr>
          <w:bCs/>
        </w:rPr>
        <w:tab/>
        <w:t>Respecto de las previsiones conten</w:t>
      </w:r>
      <w:r>
        <w:rPr>
          <w:bCs/>
        </w:rPr>
        <w:t>i</w:t>
      </w:r>
      <w:r>
        <w:rPr>
          <w:bCs/>
        </w:rPr>
        <w:t>das en los arts. 63 y 67 del Código Penal, el defensor manife</w:t>
      </w:r>
      <w:r>
        <w:rPr>
          <w:bCs/>
        </w:rPr>
        <w:t>s</w:t>
      </w:r>
      <w:r>
        <w:rPr>
          <w:bCs/>
        </w:rPr>
        <w:t>tó que el hecho que se le atribuye a Barreda acaeció el 14 de julio de 1994, dictándosele recién el 6 de febrero de 2001 auto de procesamie</w:t>
      </w:r>
      <w:r>
        <w:rPr>
          <w:bCs/>
        </w:rPr>
        <w:t>n</w:t>
      </w:r>
      <w:r>
        <w:rPr>
          <w:bCs/>
        </w:rPr>
        <w:t>to.</w:t>
      </w:r>
    </w:p>
    <w:p w:rsidR="00224567" w:rsidRDefault="00224567">
      <w:pPr>
        <w:pStyle w:val="Textoindependiente"/>
        <w:tabs>
          <w:tab w:val="clear" w:pos="2040"/>
          <w:tab w:val="left" w:pos="2800"/>
        </w:tabs>
        <w:spacing w:line="600" w:lineRule="auto"/>
        <w:rPr>
          <w:bCs/>
        </w:rPr>
      </w:pPr>
      <w:r>
        <w:rPr>
          <w:bCs/>
        </w:rPr>
        <w:tab/>
        <w:t>Asimismo, señaló que, en caso de cons</w:t>
      </w:r>
      <w:r>
        <w:rPr>
          <w:bCs/>
        </w:rPr>
        <w:t>i</w:t>
      </w:r>
      <w:r>
        <w:rPr>
          <w:bCs/>
        </w:rPr>
        <w:t>derarse la indagatoria prestada el 13 y 14 de julio de 1996, en la causa n° 487, cuya copia se agregó a la n° 501, ambas de este Tribunal, como s</w:t>
      </w:r>
      <w:r>
        <w:rPr>
          <w:bCs/>
        </w:rPr>
        <w:t>e</w:t>
      </w:r>
      <w:r>
        <w:rPr>
          <w:bCs/>
        </w:rPr>
        <w:t>cuela de juicio, el lapso a tener en cuenta deberá computarse entre esa fecha y el pr</w:t>
      </w:r>
      <w:r>
        <w:rPr>
          <w:bCs/>
        </w:rPr>
        <w:t>o</w:t>
      </w:r>
      <w:r>
        <w:rPr>
          <w:bCs/>
        </w:rPr>
        <w:t>cesamiento, en razón de ser, adujo, el primer y único acto interruptivo del plazo y de que entre esos dos momentos ningún acto capaz de impulsar la acción penal fue ll</w:t>
      </w:r>
      <w:r>
        <w:rPr>
          <w:bCs/>
        </w:rPr>
        <w:t>e</w:t>
      </w:r>
      <w:r>
        <w:rPr>
          <w:bCs/>
        </w:rPr>
        <w:t>vado a cabo. Así, sostuvo que el tiempo transcurrido –casi cinco años- permitía considerar prescripta la acción p</w:t>
      </w:r>
      <w:r>
        <w:rPr>
          <w:bCs/>
        </w:rPr>
        <w:t>e</w:t>
      </w:r>
      <w:r>
        <w:rPr>
          <w:bCs/>
        </w:rPr>
        <w:t>nal.</w:t>
      </w:r>
    </w:p>
    <w:p w:rsidR="00224567" w:rsidRDefault="00224567">
      <w:pPr>
        <w:pStyle w:val="Textoindependiente"/>
        <w:tabs>
          <w:tab w:val="clear" w:pos="2040"/>
          <w:tab w:val="left" w:pos="2800"/>
        </w:tabs>
        <w:spacing w:line="600" w:lineRule="auto"/>
        <w:rPr>
          <w:bCs/>
        </w:rPr>
      </w:pPr>
      <w:r>
        <w:rPr>
          <w:bCs/>
        </w:rPr>
        <w:tab/>
        <w:t>Respecto de las demás indagatorias prestadas por su asistido, no agregadas a la mencionada causa n° 501, indicó que, a excepción de una, fueron sol</w:t>
      </w:r>
      <w:r>
        <w:rPr>
          <w:bCs/>
        </w:rPr>
        <w:t>i</w:t>
      </w:r>
      <w:r>
        <w:rPr>
          <w:bCs/>
        </w:rPr>
        <w:t>citadas por Barreda; circunstancia que impide t</w:t>
      </w:r>
      <w:r>
        <w:rPr>
          <w:bCs/>
        </w:rPr>
        <w:t>e</w:t>
      </w:r>
      <w:r>
        <w:rPr>
          <w:bCs/>
        </w:rPr>
        <w:t>nerlas como actos con e</w:t>
      </w:r>
      <w:r>
        <w:rPr>
          <w:bCs/>
        </w:rPr>
        <w:t>n</w:t>
      </w:r>
      <w:r>
        <w:rPr>
          <w:bCs/>
        </w:rPr>
        <w:t>tidad para impulsar el proceso.</w:t>
      </w:r>
    </w:p>
    <w:p w:rsidR="00224567" w:rsidRDefault="00224567">
      <w:pPr>
        <w:pStyle w:val="Textoindependiente"/>
        <w:tabs>
          <w:tab w:val="clear" w:pos="2040"/>
          <w:tab w:val="left" w:pos="2800"/>
        </w:tabs>
        <w:spacing w:line="600" w:lineRule="auto"/>
        <w:rPr>
          <w:bCs/>
        </w:rPr>
      </w:pPr>
      <w:r>
        <w:rPr>
          <w:bCs/>
        </w:rPr>
        <w:tab/>
        <w:t>En otro orden de cosas la defensa adm</w:t>
      </w:r>
      <w:r>
        <w:rPr>
          <w:bCs/>
        </w:rPr>
        <w:t>i</w:t>
      </w:r>
      <w:r>
        <w:rPr>
          <w:bCs/>
        </w:rPr>
        <w:t>tió que Barreda, a cambio de una comisión que recib</w:t>
      </w:r>
      <w:r>
        <w:rPr>
          <w:bCs/>
        </w:rPr>
        <w:t>i</w:t>
      </w:r>
      <w:r>
        <w:rPr>
          <w:bCs/>
        </w:rPr>
        <w:t xml:space="preserve">ría de Bottegal, intermedió entre Telleldín y </w:t>
      </w:r>
      <w:smartTag w:uri="urn:schemas-microsoft-com:office:smarttags" w:element="PersonName">
        <w:smartTagPr>
          <w:attr w:name="ProductID" w:val="la Brigada"/>
        </w:smartTagPr>
        <w:r>
          <w:rPr>
            <w:bCs/>
          </w:rPr>
          <w:t>la Brigada</w:t>
        </w:r>
      </w:smartTag>
      <w:r>
        <w:rPr>
          <w:bCs/>
        </w:rPr>
        <w:t xml:space="preserve"> de Vice</w:t>
      </w:r>
      <w:r>
        <w:rPr>
          <w:bCs/>
        </w:rPr>
        <w:t>n</w:t>
      </w:r>
      <w:r>
        <w:rPr>
          <w:bCs/>
        </w:rPr>
        <w:t>te López a fin de alcanzar un “arreglo” que le permitiera seguir con sus actividades ilícitas; consecuentemente, pr</w:t>
      </w:r>
      <w:r>
        <w:rPr>
          <w:bCs/>
        </w:rPr>
        <w:t>o</w:t>
      </w:r>
      <w:r>
        <w:rPr>
          <w:bCs/>
        </w:rPr>
        <w:t>pició que se califique su conducta como partícipe del del</w:t>
      </w:r>
      <w:r>
        <w:rPr>
          <w:bCs/>
        </w:rPr>
        <w:t>i</w:t>
      </w:r>
      <w:r>
        <w:rPr>
          <w:bCs/>
        </w:rPr>
        <w:t>to de cohecho pasivo o, en su defecto, del de conc</w:t>
      </w:r>
      <w:r>
        <w:rPr>
          <w:bCs/>
        </w:rPr>
        <w:t>u</w:t>
      </w:r>
      <w:r>
        <w:rPr>
          <w:bCs/>
        </w:rPr>
        <w:t>sión, a la vez que solicitó la aplicación a su asistido de la r</w:t>
      </w:r>
      <w:r>
        <w:rPr>
          <w:bCs/>
        </w:rPr>
        <w:t>e</w:t>
      </w:r>
      <w:r>
        <w:rPr>
          <w:bCs/>
        </w:rPr>
        <w:t>ducción prevista en el art. 29 ter de la ley 23.737, en virtud de la colabor</w:t>
      </w:r>
      <w:r>
        <w:rPr>
          <w:bCs/>
        </w:rPr>
        <w:t>a</w:t>
      </w:r>
      <w:r>
        <w:rPr>
          <w:bCs/>
        </w:rPr>
        <w:t>ción que prestó.</w:t>
      </w:r>
    </w:p>
    <w:p w:rsidR="00224567" w:rsidRDefault="00224567">
      <w:pPr>
        <w:pStyle w:val="Textoindependiente"/>
        <w:tabs>
          <w:tab w:val="clear" w:pos="2040"/>
          <w:tab w:val="left" w:pos="2800"/>
        </w:tabs>
        <w:spacing w:line="600" w:lineRule="auto"/>
        <w:rPr>
          <w:bCs/>
        </w:rPr>
      </w:pPr>
      <w:r>
        <w:rPr>
          <w:bCs/>
        </w:rPr>
        <w:tab/>
        <w:t>Con relación al delito de asociación ilícita, el Sr. defensor solicitó la absolución de B</w:t>
      </w:r>
      <w:r>
        <w:rPr>
          <w:bCs/>
        </w:rPr>
        <w:t>a</w:t>
      </w:r>
      <w:r>
        <w:rPr>
          <w:bCs/>
        </w:rPr>
        <w:t>rreda, adhiriendo a los fundamentos que al respecto efectuó la d</w:t>
      </w:r>
      <w:r>
        <w:rPr>
          <w:bCs/>
        </w:rPr>
        <w:t>e</w:t>
      </w:r>
      <w:r>
        <w:rPr>
          <w:bCs/>
        </w:rPr>
        <w:t>fensa de Bareiro y de Ibarra.</w:t>
      </w:r>
    </w:p>
    <w:p w:rsidR="00224567" w:rsidRDefault="00224567">
      <w:pPr>
        <w:pStyle w:val="Textoindependiente"/>
        <w:tabs>
          <w:tab w:val="clear" w:pos="2040"/>
          <w:tab w:val="left" w:pos="2800"/>
        </w:tabs>
        <w:spacing w:line="600" w:lineRule="auto"/>
        <w:rPr>
          <w:bCs/>
        </w:rPr>
      </w:pPr>
      <w:r>
        <w:rPr>
          <w:bCs/>
        </w:rPr>
        <w:tab/>
        <w:t>Por otra parte, consideró arbitr</w:t>
      </w:r>
      <w:r>
        <w:rPr>
          <w:bCs/>
        </w:rPr>
        <w:t>a</w:t>
      </w:r>
      <w:r>
        <w:rPr>
          <w:bCs/>
        </w:rPr>
        <w:t>ria la pena solicitada por el fiscal en razón de desatender una serie de circunstancias atenuantes que autorizaban a requ</w:t>
      </w:r>
      <w:r>
        <w:rPr>
          <w:bCs/>
        </w:rPr>
        <w:t>e</w:t>
      </w:r>
      <w:r>
        <w:rPr>
          <w:bCs/>
        </w:rPr>
        <w:t>rir el mínimo legal de la escala penal prevista, reducida conforme los parám</w:t>
      </w:r>
      <w:r>
        <w:rPr>
          <w:bCs/>
        </w:rPr>
        <w:t>e</w:t>
      </w:r>
      <w:r>
        <w:rPr>
          <w:bCs/>
        </w:rPr>
        <w:t>tros del mentado art. 29 ter. A su vez, entendió aplicable las previsiones del art. 8° de la ley 24.390 y, en caso de imponérsele pena de reclusión, tachó de inconstitucional lo estipulado por el art. 24 del Código Penal en orden a ese tipo de pena.</w:t>
      </w:r>
    </w:p>
    <w:p w:rsidR="00224567" w:rsidRDefault="00224567">
      <w:pPr>
        <w:pStyle w:val="Textoindependiente"/>
        <w:tabs>
          <w:tab w:val="clear" w:pos="2040"/>
          <w:tab w:val="left" w:pos="2800"/>
        </w:tabs>
        <w:spacing w:line="600" w:lineRule="auto"/>
        <w:rPr>
          <w:bCs/>
        </w:rPr>
      </w:pPr>
      <w:r>
        <w:rPr>
          <w:bCs/>
        </w:rPr>
        <w:tab/>
        <w:t>Asimismo, el Dr. García adujo la oste</w:t>
      </w:r>
      <w:r>
        <w:rPr>
          <w:bCs/>
        </w:rPr>
        <w:t>n</w:t>
      </w:r>
      <w:r>
        <w:rPr>
          <w:bCs/>
        </w:rPr>
        <w:t>sible violación a la exigencia de un plazo razonable de d</w:t>
      </w:r>
      <w:r>
        <w:rPr>
          <w:bCs/>
        </w:rPr>
        <w:t>u</w:t>
      </w:r>
      <w:r>
        <w:rPr>
          <w:bCs/>
        </w:rPr>
        <w:t>ración del proceso y, consecuentemente, del derecho a obt</w:t>
      </w:r>
      <w:r>
        <w:rPr>
          <w:bCs/>
        </w:rPr>
        <w:t>e</w:t>
      </w:r>
      <w:r>
        <w:rPr>
          <w:bCs/>
        </w:rPr>
        <w:t>ner un pronunciamiento definitivo que resue</w:t>
      </w:r>
      <w:r>
        <w:rPr>
          <w:bCs/>
        </w:rPr>
        <w:t>l</w:t>
      </w:r>
      <w:r>
        <w:rPr>
          <w:bCs/>
        </w:rPr>
        <w:t>va su situación procesal respecto de la acusación que se le formuló, expl</w:t>
      </w:r>
      <w:r>
        <w:rPr>
          <w:bCs/>
        </w:rPr>
        <w:t>i</w:t>
      </w:r>
      <w:r>
        <w:rPr>
          <w:bCs/>
        </w:rPr>
        <w:t>cando que ninguno de los criterios sostenidos por la juri</w:t>
      </w:r>
      <w:r>
        <w:rPr>
          <w:bCs/>
        </w:rPr>
        <w:t>s</w:t>
      </w:r>
      <w:r>
        <w:rPr>
          <w:bCs/>
        </w:rPr>
        <w:t>prudencia  para delimitar la r</w:t>
      </w:r>
      <w:r>
        <w:rPr>
          <w:bCs/>
        </w:rPr>
        <w:t>a</w:t>
      </w:r>
      <w:r>
        <w:rPr>
          <w:bCs/>
        </w:rPr>
        <w:t>zonabilidad de dicho  plazo –conducta de los interesados, comportamiento de las autor</w:t>
      </w:r>
      <w:r>
        <w:rPr>
          <w:bCs/>
        </w:rPr>
        <w:t>i</w:t>
      </w:r>
      <w:r>
        <w:rPr>
          <w:bCs/>
        </w:rPr>
        <w:t>dades y complejidad del caso- podía justificar el prolong</w:t>
      </w:r>
      <w:r>
        <w:rPr>
          <w:bCs/>
        </w:rPr>
        <w:t>a</w:t>
      </w:r>
      <w:r>
        <w:rPr>
          <w:bCs/>
        </w:rPr>
        <w:t>do trámite de e</w:t>
      </w:r>
      <w:r>
        <w:rPr>
          <w:bCs/>
        </w:rPr>
        <w:t>s</w:t>
      </w:r>
      <w:r>
        <w:rPr>
          <w:bCs/>
        </w:rPr>
        <w:t>te proceso.</w:t>
      </w:r>
    </w:p>
    <w:p w:rsidR="00224567" w:rsidRDefault="00224567">
      <w:pPr>
        <w:pStyle w:val="Textoindependiente"/>
        <w:tabs>
          <w:tab w:val="clear" w:pos="2040"/>
          <w:tab w:val="left" w:pos="2800"/>
        </w:tabs>
        <w:spacing w:line="600" w:lineRule="auto"/>
        <w:rPr>
          <w:bCs/>
        </w:rPr>
      </w:pPr>
      <w:r>
        <w:rPr>
          <w:bCs/>
        </w:rPr>
        <w:tab/>
        <w:t>Así, descartó que tal extremo pueda atribuirse a su defendido, quien siempre acató las decisi</w:t>
      </w:r>
      <w:r>
        <w:rPr>
          <w:bCs/>
        </w:rPr>
        <w:t>o</w:t>
      </w:r>
      <w:r>
        <w:rPr>
          <w:bCs/>
        </w:rPr>
        <w:t>nes de la justicia, ni a la complejidad del suceso que se le achaca, de naturaleza común y fácil invest</w:t>
      </w:r>
      <w:r>
        <w:rPr>
          <w:bCs/>
        </w:rPr>
        <w:t>i</w:t>
      </w:r>
      <w:r>
        <w:rPr>
          <w:bCs/>
        </w:rPr>
        <w:t>gación.</w:t>
      </w:r>
    </w:p>
    <w:p w:rsidR="00224567" w:rsidRDefault="00224567">
      <w:pPr>
        <w:pStyle w:val="Textoindependiente"/>
        <w:tabs>
          <w:tab w:val="clear" w:pos="2040"/>
          <w:tab w:val="left" w:pos="2800"/>
        </w:tabs>
        <w:spacing w:line="600" w:lineRule="auto"/>
      </w:pPr>
      <w:r>
        <w:tab/>
        <w:t>En ese sentido, atribuyó la complej</w:t>
      </w:r>
      <w:r>
        <w:t>i</w:t>
      </w:r>
      <w:r>
        <w:t>dad de estos autos “a los desarreglos, a los ardides, a las i</w:t>
      </w:r>
      <w:r>
        <w:t>n</w:t>
      </w:r>
      <w:r>
        <w:t>trigas y operaciones varias que los instructores, en alg</w:t>
      </w:r>
      <w:r>
        <w:t>u</w:t>
      </w:r>
      <w:r>
        <w:t>nos casos, han efectuado por sí mismos y, en otros, han t</w:t>
      </w:r>
      <w:r>
        <w:t>o</w:t>
      </w:r>
      <w:r>
        <w:t>lerado o permitido”; circunstancia que lo determinó a sol</w:t>
      </w:r>
      <w:r>
        <w:t>i</w:t>
      </w:r>
      <w:r>
        <w:t>citar la absolución de Barreda en razón de considerar e</w:t>
      </w:r>
      <w:r>
        <w:t>x</w:t>
      </w:r>
      <w:r>
        <w:t>tinguida la acción penal por exceso del plazo máximo de d</w:t>
      </w:r>
      <w:r>
        <w:t>u</w:t>
      </w:r>
      <w:r>
        <w:t>ración del pr</w:t>
      </w:r>
      <w:r>
        <w:t>o</w:t>
      </w:r>
      <w:r>
        <w:t>ceso respecto de los hechos por los que éste fuera acusado.</w:t>
      </w:r>
    </w:p>
    <w:p w:rsidR="00224567" w:rsidRDefault="00224567">
      <w:pPr>
        <w:pStyle w:val="Textoindependiente"/>
        <w:tabs>
          <w:tab w:val="clear" w:pos="2040"/>
          <w:tab w:val="left" w:pos="2800"/>
        </w:tabs>
        <w:spacing w:line="600" w:lineRule="auto"/>
      </w:pPr>
      <w:r>
        <w:tab/>
        <w:t xml:space="preserve">Por último, con cita, entre otros, del precedente “Mattei”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el defensor sostuvo la imposib</w:t>
      </w:r>
      <w:r>
        <w:t>i</w:t>
      </w:r>
      <w:r>
        <w:t>lidad de retrotraer las actuaciones, en caso de que el tribunal acoja favor</w:t>
      </w:r>
      <w:r>
        <w:t>a</w:t>
      </w:r>
      <w:r>
        <w:t>blemente las nulidades imp</w:t>
      </w:r>
      <w:r>
        <w:t>e</w:t>
      </w:r>
      <w:r>
        <w:t>tradas, a etapas fenecidas, por cuanto se afectarían los principios de preclusión y progr</w:t>
      </w:r>
      <w:r>
        <w:t>e</w:t>
      </w:r>
      <w:r>
        <w:t xml:space="preserve">sividad y la garantía del </w:t>
      </w:r>
      <w:r>
        <w:rPr>
          <w:u w:val="single"/>
        </w:rPr>
        <w:t>ne bis in idem</w:t>
      </w:r>
      <w:r>
        <w:t>.</w:t>
      </w:r>
    </w:p>
    <w:p w:rsidR="00224567" w:rsidRDefault="00224567">
      <w:pPr>
        <w:pStyle w:val="Textoindependiente"/>
        <w:tabs>
          <w:tab w:val="clear" w:pos="2040"/>
          <w:tab w:val="left" w:pos="2800"/>
        </w:tabs>
        <w:spacing w:line="600" w:lineRule="auto"/>
      </w:pPr>
    </w:p>
    <w:p w:rsidR="00224567" w:rsidRDefault="00224567">
      <w:pPr>
        <w:widowControl w:val="0"/>
      </w:pPr>
      <w:r>
        <w:tab/>
      </w:r>
      <w:r>
        <w:rPr>
          <w:b/>
          <w:bCs/>
        </w:rPr>
        <w:t>C.7)</w:t>
      </w:r>
      <w:r>
        <w:t xml:space="preserve"> En la oportunidad prevista en el art. 393 del Código Procesal Penal de </w:t>
      </w:r>
      <w:smartTag w:uri="urn:schemas-microsoft-com:office:smarttags" w:element="PersonName">
        <w:smartTagPr>
          <w:attr w:name="ProductID" w:val="la Naci￳n"/>
        </w:smartTagPr>
        <w:r>
          <w:t>la Nación</w:t>
        </w:r>
      </w:smartTag>
      <w:r>
        <w:t>, el letr</w:t>
      </w:r>
      <w:r>
        <w:t>a</w:t>
      </w:r>
      <w:r>
        <w:t>do defensor de Jorge Horacio Rago, Dr. Julio Enrique V</w:t>
      </w:r>
      <w:r>
        <w:t>i</w:t>
      </w:r>
      <w:r>
        <w:t>llarreal, solicitó la absolución de su asistido, en orden a los delitos por los que fu</w:t>
      </w:r>
      <w:r>
        <w:t>e</w:t>
      </w:r>
      <w:r>
        <w:t>ra acusado.</w:t>
      </w:r>
    </w:p>
    <w:p w:rsidR="00224567" w:rsidRDefault="00224567">
      <w:pPr>
        <w:widowControl w:val="0"/>
      </w:pPr>
      <w:r>
        <w:tab/>
        <w:t>Asimismo, planteó la extinción de la acción penal por prescripción con relación al delito de privación ilegal de la libertad agravada, cometido en gr</w:t>
      </w:r>
      <w:r>
        <w:t>a</w:t>
      </w:r>
      <w:r>
        <w:t>do de tentativa -causa nº 501- y la inconstitucionalidad de la pena de reclusión requerida por el repr</w:t>
      </w:r>
      <w:r>
        <w:t>e</w:t>
      </w:r>
      <w:r>
        <w:t>sentante del Ministerio Público Fi</w:t>
      </w:r>
      <w:r>
        <w:t>s</w:t>
      </w:r>
      <w:r>
        <w:t>cal.</w:t>
      </w:r>
    </w:p>
    <w:p w:rsidR="00224567" w:rsidRDefault="00224567">
      <w:pPr>
        <w:widowControl w:val="0"/>
      </w:pPr>
      <w:r>
        <w:tab/>
        <w:t>También, impetró la nulidad de la d</w:t>
      </w:r>
      <w:r>
        <w:t>e</w:t>
      </w:r>
      <w:r>
        <w:t>nominada causa “Brigadas” y de todo lo obrado en cons</w:t>
      </w:r>
      <w:r>
        <w:t>e</w:t>
      </w:r>
      <w:r>
        <w:t>cuencia, por considerar que el juez instructor y los fi</w:t>
      </w:r>
      <w:r>
        <w:t>s</w:t>
      </w:r>
      <w:r>
        <w:t>cales actuaron con parcialidad en el trám</w:t>
      </w:r>
      <w:r>
        <w:t>i</w:t>
      </w:r>
      <w:r>
        <w:t>te de la causa, perjudicando los i</w:t>
      </w:r>
      <w:r>
        <w:t>n</w:t>
      </w:r>
      <w:r>
        <w:t>tereses de su asistido.</w:t>
      </w:r>
    </w:p>
    <w:p w:rsidR="00224567" w:rsidRDefault="00224567">
      <w:pPr>
        <w:widowControl w:val="0"/>
      </w:pPr>
      <w:r>
        <w:tab/>
        <w:t xml:space="preserve">En ese sentido, hizo referencia a los dichos de Rago en el debate, con relación a la reunión que mantuvo con el juez Galeano en el mes de junio de 1996 y a la cual concurrió a instancias del Dr. Gustavo Semorile, quien lo había visitado en </w:t>
      </w:r>
      <w:smartTag w:uri="urn:schemas-microsoft-com:office:smarttags" w:element="PersonName">
        <w:smartTagPr>
          <w:attr w:name="ProductID" w:val="la Brigada"/>
        </w:smartTagPr>
        <w:r>
          <w:t>la Brigada</w:t>
        </w:r>
      </w:smartTag>
      <w:r>
        <w:t xml:space="preserve"> de San Miguel, donde prestaba serv</w:t>
      </w:r>
      <w:r>
        <w:t>i</w:t>
      </w:r>
      <w:r>
        <w:t>cios.</w:t>
      </w:r>
    </w:p>
    <w:p w:rsidR="00224567" w:rsidRDefault="00224567">
      <w:pPr>
        <w:widowControl w:val="0"/>
      </w:pPr>
      <w:r>
        <w:tab/>
        <w:t>El letrado defensor precisó que en aquella reunión entre el juez y su defendido, el Dr. G</w:t>
      </w:r>
      <w:r>
        <w:t>a</w:t>
      </w:r>
      <w:r>
        <w:t>leano lo indujo a “manifestarse por caminos que incrimin</w:t>
      </w:r>
      <w:r>
        <w:t>a</w:t>
      </w:r>
      <w:r>
        <w:t>rían a Ribelli en la causa”, que su asistido desconocía. Ante la negativa de Rago a pronunciarse en forma mendaz, el juez le hizo saber que utilizaría la detención de Hugo Antonio Pérez para involucrarlo en la causa y, de ese m</w:t>
      </w:r>
      <w:r>
        <w:t>o</w:t>
      </w:r>
      <w:r>
        <w:t xml:space="preserve">do, procuraría su expulsión de </w:t>
      </w:r>
      <w:smartTag w:uri="urn:schemas-microsoft-com:office:smarttags" w:element="PersonName">
        <w:smartTagPr>
          <w:attr w:name="ProductID" w:val="la Polic￭a Bonaerense"/>
        </w:smartTagPr>
        <w:r>
          <w:t>la Policía Bonaerense</w:t>
        </w:r>
      </w:smartTag>
      <w:r>
        <w:t>; ci</w:t>
      </w:r>
      <w:r>
        <w:t>r</w:t>
      </w:r>
      <w:r>
        <w:t>cunstancia que se verif</w:t>
      </w:r>
      <w:r>
        <w:t>i</w:t>
      </w:r>
      <w:r>
        <w:t>có días después al ser detenido y exonerado de la  instit</w:t>
      </w:r>
      <w:r>
        <w:t>u</w:t>
      </w:r>
      <w:r>
        <w:t>ción policial.</w:t>
      </w:r>
    </w:p>
    <w:p w:rsidR="00224567" w:rsidRDefault="00224567">
      <w:pPr>
        <w:widowControl w:val="0"/>
      </w:pPr>
      <w:r>
        <w:tab/>
        <w:t>Como prueba de lo expuesto, el Dr. Viallarreal citó la situación del comisario Burguete quien, estando en idéntica situación que su asistido, pe</w:t>
      </w:r>
      <w:r>
        <w:t>r</w:t>
      </w:r>
      <w:r>
        <w:t>maneció en libertad y, hasta la fecha, presta serv</w:t>
      </w:r>
      <w:r>
        <w:t>i</w:t>
      </w:r>
      <w:r>
        <w:t xml:space="preserve">cio en </w:t>
      </w:r>
      <w:smartTag w:uri="urn:schemas-microsoft-com:office:smarttags" w:element="PersonName">
        <w:smartTagPr>
          <w:attr w:name="ProductID" w:val="la Polic￭a Bonaerense."/>
        </w:smartTagPr>
        <w:r>
          <w:t>la Pol</w:t>
        </w:r>
        <w:r>
          <w:t>i</w:t>
        </w:r>
        <w:r>
          <w:t>cía Bonaerense.</w:t>
        </w:r>
      </w:smartTag>
    </w:p>
    <w:p w:rsidR="00224567" w:rsidRDefault="00224567">
      <w:pPr>
        <w:widowControl w:val="0"/>
      </w:pPr>
      <w:r>
        <w:tab/>
        <w:t>Además, el letrado trajo a col</w:t>
      </w:r>
      <w:r>
        <w:t>a</w:t>
      </w:r>
      <w:r>
        <w:t>ción lo declarado d</w:t>
      </w:r>
      <w:r>
        <w:t>u</w:t>
      </w:r>
      <w:r>
        <w:t>rante la audiencia por el Dr. Gustavo Alberto Semorile, quien reconoció su intermediación para que la entrevista se concretara, haciendo de nexo entre el juez y su defendido “porque creía en su in</w:t>
      </w:r>
      <w:r>
        <w:t>o</w:t>
      </w:r>
      <w:r>
        <w:t>cencia”.</w:t>
      </w:r>
    </w:p>
    <w:p w:rsidR="00224567" w:rsidRDefault="00224567">
      <w:pPr>
        <w:widowControl w:val="0"/>
      </w:pPr>
      <w:r>
        <w:tab/>
      </w:r>
      <w:r>
        <w:rPr>
          <w:lang w:val="es-MX"/>
        </w:rPr>
        <w:t>También hizo mención a lo relat</w:t>
      </w:r>
      <w:r>
        <w:rPr>
          <w:lang w:val="es-MX"/>
        </w:rPr>
        <w:t>a</w:t>
      </w:r>
      <w:r>
        <w:rPr>
          <w:lang w:val="es-MX"/>
        </w:rPr>
        <w:t>do por el entonces prosecretario del juzgado in</w:t>
      </w:r>
      <w:r>
        <w:rPr>
          <w:lang w:val="es-MX"/>
        </w:rPr>
        <w:t>s</w:t>
      </w:r>
      <w:r>
        <w:rPr>
          <w:lang w:val="es-MX"/>
        </w:rPr>
        <w:t>tructor, Claudio Adrián Lif</w:t>
      </w:r>
      <w:r>
        <w:rPr>
          <w:lang w:val="es-MX"/>
        </w:rPr>
        <w:t>s</w:t>
      </w:r>
      <w:r>
        <w:rPr>
          <w:lang w:val="es-MX"/>
        </w:rPr>
        <w:t xml:space="preserve">chitz, quien dijo </w:t>
      </w:r>
      <w:r>
        <w:t>que el Dr. Galeano requirió a Semorile que trajera a Rago para una entrevista pe</w:t>
      </w:r>
      <w:r>
        <w:t>r</w:t>
      </w:r>
      <w:r>
        <w:t>sonal y que éste concurrió con el objeto de aclarar su inocencia, ignorando que el motivo de ese requerimiento era una tra</w:t>
      </w:r>
      <w:r>
        <w:t>m</w:t>
      </w:r>
      <w:r>
        <w:t>pa extorsiva, señalando que, al igual que con otros test</w:t>
      </w:r>
      <w:r>
        <w:t>i</w:t>
      </w:r>
      <w:r>
        <w:t>gos, su i</w:t>
      </w:r>
      <w:r>
        <w:t>n</w:t>
      </w:r>
      <w:r>
        <w:t>terrogatorio fue filmado.</w:t>
      </w:r>
    </w:p>
    <w:p w:rsidR="00224567" w:rsidRDefault="00224567">
      <w:pPr>
        <w:widowControl w:val="0"/>
      </w:pPr>
      <w:r>
        <w:tab/>
        <w:t>En este punto, el letrado defensor sostuvo que, a pesar de que Lifschitz no vio el video, el nombrado conocía la existencia de la fi</w:t>
      </w:r>
      <w:r>
        <w:t>l</w:t>
      </w:r>
      <w:r>
        <w:t>mación, por haber constatado que los equipos estaban operando al momento de la entrevista.</w:t>
      </w:r>
    </w:p>
    <w:p w:rsidR="00224567" w:rsidRDefault="00224567">
      <w:pPr>
        <w:widowControl w:val="0"/>
      </w:pPr>
      <w:r>
        <w:tab/>
        <w:t>Destacó, citando los dichos de Lifschitz que el juez no le creyó a Rago; circunstancia que, a su entender, demostraba que su asistido optó por no apartarse de la verdad y no pactar para obtener algún al</w:t>
      </w:r>
      <w:r>
        <w:t>i</w:t>
      </w:r>
      <w:r>
        <w:t>vio judicial, subrayando que era y se sentía inocente de toda so</w:t>
      </w:r>
      <w:r>
        <w:t>s</w:t>
      </w:r>
      <w:r>
        <w:t>pecha.</w:t>
      </w:r>
    </w:p>
    <w:p w:rsidR="00224567" w:rsidRDefault="00224567">
      <w:pPr>
        <w:widowControl w:val="0"/>
      </w:pPr>
      <w:r>
        <w:tab/>
        <w:t>Además, el letrado precisó que el no</w:t>
      </w:r>
      <w:r>
        <w:t>m</w:t>
      </w:r>
      <w:r>
        <w:t>brado Lifschitz dijo que Rago “venía de amigo”, r</w:t>
      </w:r>
      <w:r>
        <w:t>a</w:t>
      </w:r>
      <w:r>
        <w:t>zón por la cual no se le recibió declaración testimonial, ni se dejó constancia de la entrevista; extremo, según la defe</w:t>
      </w:r>
      <w:r>
        <w:t>n</w:t>
      </w:r>
      <w:r>
        <w:t>sa, que permitía suponer que se obró con irregularidad y mal</w:t>
      </w:r>
      <w:r>
        <w:t>i</w:t>
      </w:r>
      <w:r>
        <w:t>cia.</w:t>
      </w:r>
    </w:p>
    <w:p w:rsidR="00224567" w:rsidRDefault="00224567">
      <w:pPr>
        <w:widowControl w:val="0"/>
      </w:pPr>
      <w:r>
        <w:tab/>
        <w:t>La defensa señaló que, al tomar est</w:t>
      </w:r>
      <w:r>
        <w:t>a</w:t>
      </w:r>
      <w:r>
        <w:t>do público una de las filmaciones efectuada a Telleldín, el juez ordenó la destrucción de la totalidad de los videos que reflejaban las entrevistas, entre ellas, la de su d</w:t>
      </w:r>
      <w:r>
        <w:t>e</w:t>
      </w:r>
      <w:r>
        <w:t>fendido, aclarando que Lifschitz tenía conocimiento que las cintas habían sido incineradas en la casa del padre del secretario V</w:t>
      </w:r>
      <w:r>
        <w:t>e</w:t>
      </w:r>
      <w:r>
        <w:t>lasco, ubicada en San Isidro.</w:t>
      </w:r>
    </w:p>
    <w:p w:rsidR="00224567" w:rsidRDefault="00224567">
      <w:pPr>
        <w:widowControl w:val="0"/>
      </w:pPr>
      <w:r>
        <w:tab/>
        <w:t>Con relación a la destrucción de la filmación, hizo referencia al informe del juez instru</w:t>
      </w:r>
      <w:r>
        <w:t>c</w:t>
      </w:r>
      <w:r>
        <w:t>tor, obrante a fs. 827/829 del legajo de instrucción supleme</w:t>
      </w:r>
      <w:r>
        <w:t>n</w:t>
      </w:r>
      <w:r>
        <w:t>taria, donde co</w:t>
      </w:r>
      <w:r>
        <w:t>n</w:t>
      </w:r>
      <w:r>
        <w:t>signó que “parte del material fílmico que conservaba eran elementos de trabajo cuyo contenido era idéntico al de las actas; concretamente el obtenido dura</w:t>
      </w:r>
      <w:r>
        <w:t>n</w:t>
      </w:r>
      <w:r>
        <w:t>te declaraciones, por resultar equivalente a los apuntes personales y papeles de trabajo que habitualmente se re</w:t>
      </w:r>
      <w:r>
        <w:t>a</w:t>
      </w:r>
      <w:r>
        <w:t>lizan para evaluar cursos de a</w:t>
      </w:r>
      <w:r>
        <w:t>c</w:t>
      </w:r>
      <w:r>
        <w:t>ción”.</w:t>
      </w:r>
    </w:p>
    <w:p w:rsidR="00224567" w:rsidRDefault="00224567">
      <w:pPr>
        <w:widowControl w:val="0"/>
      </w:pPr>
      <w:r>
        <w:tab/>
        <w:t>En este punto, el Dr. Villarreal se preguntó dónde se hallaba el acta que debió l</w:t>
      </w:r>
      <w:r>
        <w:t>a</w:t>
      </w:r>
      <w:r>
        <w:t>brar el juez cuando entrevistó a su defendido, respondiéndose que no existía porque el juzgado, en forma deliberada, ocultó d</w:t>
      </w:r>
      <w:r>
        <w:t>i</w:t>
      </w:r>
      <w:r>
        <w:t>cha entrevista, como tampoco se había registrado en una videocinta, ya que de lo contrario el juez se estaría fi</w:t>
      </w:r>
      <w:r>
        <w:t>l</w:t>
      </w:r>
      <w:r>
        <w:t>mando com</w:t>
      </w:r>
      <w:r>
        <w:t>e</w:t>
      </w:r>
      <w:r>
        <w:t>tiendo un delito.</w:t>
      </w:r>
    </w:p>
    <w:p w:rsidR="00224567" w:rsidRDefault="00224567">
      <w:pPr>
        <w:widowControl w:val="0"/>
      </w:pPr>
      <w:r>
        <w:tab/>
        <w:t>Asimismo, el letrado defensor hizo r</w:t>
      </w:r>
      <w:r>
        <w:t>e</w:t>
      </w:r>
      <w:r>
        <w:t>ferencia al testimonio del entonces jefe de su asistido, el comisario Carlos Alberto Pérez, quien corroboró los d</w:t>
      </w:r>
      <w:r>
        <w:t>i</w:t>
      </w:r>
      <w:r>
        <w:t>chos de Rago al mencionar que en junio de 1996 el no</w:t>
      </w:r>
      <w:r>
        <w:t>m</w:t>
      </w:r>
      <w:r>
        <w:t>brado solicitó autorización para concurrir a realizar una dil</w:t>
      </w:r>
      <w:r>
        <w:t>i</w:t>
      </w:r>
      <w:r>
        <w:t>gencia en el juzgado federal a cargo del Dr. Galeano, y afirmó que conocía a Gustavo S</w:t>
      </w:r>
      <w:r>
        <w:t>e</w:t>
      </w:r>
      <w:r>
        <w:t>morile por haberlo visto en varias oportunidades en la depe</w:t>
      </w:r>
      <w:r>
        <w:t>n</w:t>
      </w:r>
      <w:r>
        <w:t>dencia policial.</w:t>
      </w:r>
    </w:p>
    <w:p w:rsidR="00224567" w:rsidRDefault="00224567">
      <w:pPr>
        <w:widowControl w:val="0"/>
      </w:pPr>
      <w:r>
        <w:tab/>
        <w:t>Además, la defensa indicó que el com</w:t>
      </w:r>
      <w:r>
        <w:t>i</w:t>
      </w:r>
      <w:r>
        <w:t>sario Carlos Miniscarco, se pronunció en forma co</w:t>
      </w:r>
      <w:r>
        <w:t>n</w:t>
      </w:r>
      <w:r>
        <w:t>cordante con el testigo Pérez.</w:t>
      </w:r>
    </w:p>
    <w:p w:rsidR="00224567" w:rsidRDefault="00224567">
      <w:pPr>
        <w:widowControl w:val="0"/>
      </w:pPr>
      <w:r>
        <w:tab/>
        <w:t>Por otra parte, el Dr. Villarreal e</w:t>
      </w:r>
      <w:r>
        <w:t>x</w:t>
      </w:r>
      <w:r>
        <w:t xml:space="preserve">presó que al prestar testimonio en el debate, el ex jefe de </w:t>
      </w:r>
      <w:smartTag w:uri="urn:schemas-microsoft-com:office:smarttags" w:element="PersonName">
        <w:smartTagPr>
          <w:attr w:name="ProductID" w:val="la Polic￭a Bonaerense"/>
        </w:smartTagPr>
        <w:r>
          <w:t>la Policía Bonaerense</w:t>
        </w:r>
      </w:smartTag>
      <w:r>
        <w:t xml:space="preserve"> Adolfo Hugo Vitelli, luego de evasivas, terminó por manifestar que tanto el entonces s</w:t>
      </w:r>
      <w:r>
        <w:t>e</w:t>
      </w:r>
      <w:r>
        <w:t>cretario de Seguridad, Dr. De Lazzari, como el subsecret</w:t>
      </w:r>
      <w:r>
        <w:t>a</w:t>
      </w:r>
      <w:r>
        <w:t>rio, Dr. Federico Domínguez, le ordenaron que resolviera el sobreseimiento de Burguete y la exoneración de otros policías vinculados de una u otra forma a la causa, e</w:t>
      </w:r>
      <w:r>
        <w:t>n</w:t>
      </w:r>
      <w:r>
        <w:t>tre ellos, su asistido Rago.</w:t>
      </w:r>
    </w:p>
    <w:p w:rsidR="00224567" w:rsidRDefault="00224567">
      <w:pPr>
        <w:widowControl w:val="0"/>
      </w:pPr>
      <w:r>
        <w:tab/>
        <w:t>Acto seguido, el defensor sostuvo que no se reparó en que Rago estaba procesado por delitos c</w:t>
      </w:r>
      <w:r>
        <w:t>o</w:t>
      </w:r>
      <w:r>
        <w:t>nexos a la causa A.M.I.A.”, al igual que Burguete y otros imputados que recibieron un tratamiento más favorable, c</w:t>
      </w:r>
      <w:r>
        <w:t>o</w:t>
      </w:r>
      <w:r>
        <w:t>mo Huici, Albarr</w:t>
      </w:r>
      <w:r>
        <w:t>a</w:t>
      </w:r>
      <w:r>
        <w:t>cín, Cruz y Araya.</w:t>
      </w:r>
    </w:p>
    <w:p w:rsidR="00224567" w:rsidRDefault="00224567">
      <w:pPr>
        <w:widowControl w:val="0"/>
      </w:pPr>
      <w:r>
        <w:tab/>
        <w:t xml:space="preserve">Afirmó que su defendido fue apartado de la institución policial por orden de los funcionarios de </w:t>
      </w:r>
      <w:smartTag w:uri="urn:schemas-microsoft-com:office:smarttags" w:element="PersonName">
        <w:smartTagPr>
          <w:attr w:name="ProductID" w:val="la Secretar￭a"/>
        </w:smartTagPr>
        <w:r>
          <w:t>la Secretaría</w:t>
        </w:r>
      </w:smartTag>
      <w:r>
        <w:t xml:space="preserve"> de Seguridad de </w:t>
      </w:r>
      <w:smartTag w:uri="urn:schemas-microsoft-com:office:smarttags" w:element="PersonName">
        <w:smartTagPr>
          <w:attr w:name="ProductID" w:val="la Provincia"/>
        </w:smartTagPr>
        <w:r>
          <w:t>la Provincia</w:t>
        </w:r>
      </w:smartTag>
      <w:r>
        <w:t xml:space="preserve"> de Buenos Aires, y que Vitelli no obró por voluntad pr</w:t>
      </w:r>
      <w:r>
        <w:t>o</w:t>
      </w:r>
      <w:r>
        <w:t>pia, toda vez que luego de examinar las constancias del sumario admini</w:t>
      </w:r>
      <w:r>
        <w:t>s</w:t>
      </w:r>
      <w:r>
        <w:t>trativo informó que, al no conocerse la resolución jud</w:t>
      </w:r>
      <w:r>
        <w:t>i</w:t>
      </w:r>
      <w:r>
        <w:t>cial, la medida era premat</w:t>
      </w:r>
      <w:r>
        <w:t>u</w:t>
      </w:r>
      <w:r>
        <w:t>ra.</w:t>
      </w:r>
    </w:p>
    <w:p w:rsidR="00224567" w:rsidRDefault="00224567">
      <w:pPr>
        <w:widowControl w:val="0"/>
      </w:pPr>
      <w:r>
        <w:tab/>
        <w:t>Sobre la base de lo expuesto, la d</w:t>
      </w:r>
      <w:r>
        <w:t>e</w:t>
      </w:r>
      <w:r>
        <w:t>fensa concluyó que el juez instructor coaccionó a su cliente al no aceptar declarar en contra de Ribelli, tal como lo pretendía el juez instructor, destacando que el magistrado cumplió su amenaza, logrando la ex</w:t>
      </w:r>
      <w:r>
        <w:t>o</w:t>
      </w:r>
      <w:r>
        <w:t>neración de Rago de la fuerza pol</w:t>
      </w:r>
      <w:r>
        <w:t>i</w:t>
      </w:r>
      <w:r>
        <w:t>cial sin motivo que lo justificara.</w:t>
      </w:r>
    </w:p>
    <w:p w:rsidR="00224567" w:rsidRDefault="00224567">
      <w:pPr>
        <w:widowControl w:val="0"/>
      </w:pPr>
      <w:r>
        <w:tab/>
        <w:t>Igualmente, el Dr. Villarreal ente</w:t>
      </w:r>
      <w:r>
        <w:t>n</w:t>
      </w:r>
      <w:r>
        <w:t>dió que Gustavo Semorile participó de la maniobra del juez p</w:t>
      </w:r>
      <w:r>
        <w:t>a</w:t>
      </w:r>
      <w:r>
        <w:t>ra llevar adelante la coacción, ya que en esa época decl</w:t>
      </w:r>
      <w:r>
        <w:t>a</w:t>
      </w:r>
      <w:r>
        <w:t>ró como testigo de identidad reservada a cambio de f</w:t>
      </w:r>
      <w:r>
        <w:t>a</w:t>
      </w:r>
      <w:r>
        <w:t>vores j</w:t>
      </w:r>
      <w:r>
        <w:t>u</w:t>
      </w:r>
      <w:r>
        <w:t>diciales.</w:t>
      </w:r>
    </w:p>
    <w:p w:rsidR="00224567" w:rsidRDefault="00224567">
      <w:pPr>
        <w:widowControl w:val="0"/>
      </w:pPr>
      <w:r>
        <w:tab/>
        <w:t>En forma subsidiaria a la nulidad planteada, la defe</w:t>
      </w:r>
      <w:r>
        <w:t>n</w:t>
      </w:r>
      <w:r>
        <w:t>sa refutó la acusación formulada por la fiscalía en orden a los</w:t>
      </w:r>
      <w:r>
        <w:rPr>
          <w:b/>
        </w:rPr>
        <w:t xml:space="preserve"> </w:t>
      </w:r>
      <w:r>
        <w:t>delitos de secuestro exto</w:t>
      </w:r>
      <w:r>
        <w:t>r</w:t>
      </w:r>
      <w:r>
        <w:t>sivo que damnificó a Hugo Antonio Pérez, privación ilegal de la l</w:t>
      </w:r>
      <w:r>
        <w:t>i</w:t>
      </w:r>
      <w:r>
        <w:t>bertad y extorsión en grado de tentativa en perjuicio de Carlos Telleldín y Ana Boragni y, asociación ilícita y falsedad ideológica de documento públ</w:t>
      </w:r>
      <w:r>
        <w:t>i</w:t>
      </w:r>
      <w:r>
        <w:t>co.</w:t>
      </w:r>
    </w:p>
    <w:p w:rsidR="00224567" w:rsidRDefault="00224567">
      <w:pPr>
        <w:widowControl w:val="0"/>
      </w:pPr>
      <w:r>
        <w:tab/>
        <w:t>En primer lugar, el letrado señ</w:t>
      </w:r>
      <w:r>
        <w:t>a</w:t>
      </w:r>
      <w:r>
        <w:t xml:space="preserve">ló que la comisión de </w:t>
      </w:r>
      <w:smartTag w:uri="urn:schemas-microsoft-com:office:smarttags" w:element="PersonName">
        <w:smartTagPr>
          <w:attr w:name="ProductID" w:val="la Brigada"/>
        </w:smartTagPr>
        <w:r>
          <w:t>la Brigada</w:t>
        </w:r>
      </w:smartTag>
      <w:r>
        <w:t xml:space="preserve"> de Investigaciones de Vicente López, que se constituyó en el domicilio de la calle Rep</w:t>
      </w:r>
      <w:r>
        <w:t>ú</w:t>
      </w:r>
      <w:r>
        <w:t>blica 107 de Villa Ballester, se encontraba cumpliendo l</w:t>
      </w:r>
      <w:r>
        <w:t>e</w:t>
      </w:r>
      <w:r>
        <w:t>gítimas órdenes impartidas por el jefe de la brigada, el comisario inspector Enr</w:t>
      </w:r>
      <w:r>
        <w:t>i</w:t>
      </w:r>
      <w:r>
        <w:t>que Forgione, a través del jefe de operaciones Jo</w:t>
      </w:r>
      <w:r>
        <w:t>r</w:t>
      </w:r>
      <w:r>
        <w:t>ge Rago.</w:t>
      </w:r>
    </w:p>
    <w:p w:rsidR="00224567" w:rsidRDefault="00224567">
      <w:pPr>
        <w:widowControl w:val="0"/>
      </w:pPr>
      <w:r>
        <w:tab/>
        <w:t>El abogado explicó que la comisión partió desde el asie</w:t>
      </w:r>
      <w:r>
        <w:t>n</w:t>
      </w:r>
      <w:r>
        <w:t>to de la brigada, conforme se asentó en el libro de guardia el 14 de julio de 1994, con pleno conocimiento de los jefes Forgione y Rago, y que éstos s</w:t>
      </w:r>
      <w:r>
        <w:t>a</w:t>
      </w:r>
      <w:r>
        <w:t>bían que en el operativo se utilizarían vehículos partic</w:t>
      </w:r>
      <w:r>
        <w:t>u</w:t>
      </w:r>
      <w:r>
        <w:t>lares del personal que i</w:t>
      </w:r>
      <w:r>
        <w:t>n</w:t>
      </w:r>
      <w:r>
        <w:t>tervendría.</w:t>
      </w:r>
    </w:p>
    <w:p w:rsidR="00224567" w:rsidRDefault="00224567">
      <w:pPr>
        <w:widowControl w:val="0"/>
      </w:pPr>
      <w:r>
        <w:tab/>
        <w:t>La defensa argumentó que dicho regi</w:t>
      </w:r>
      <w:r>
        <w:t>s</w:t>
      </w:r>
      <w:r>
        <w:t>tro avalaba la legitimidad del procedimiento y que, s</w:t>
      </w:r>
      <w:r>
        <w:t>e</w:t>
      </w:r>
      <w:r>
        <w:t>gún los dichos del referido Forgione, era normal la utiliz</w:t>
      </w:r>
      <w:r>
        <w:t>a</w:t>
      </w:r>
      <w:r>
        <w:t>ción de vehículos particulares, ya que los que contaba la fuerza policial, aún cuando no se hallaban identificados, eran fácilmente reconocidos por los d</w:t>
      </w:r>
      <w:r>
        <w:t>e</w:t>
      </w:r>
      <w:r>
        <w:t>lincuentes, por ser automóviles “Mo</w:t>
      </w:r>
      <w:r>
        <w:t>n</w:t>
      </w:r>
      <w:r>
        <w:t>za” o camionetas “Luv”.</w:t>
      </w:r>
    </w:p>
    <w:p w:rsidR="00224567" w:rsidRDefault="00224567">
      <w:pPr>
        <w:widowControl w:val="0"/>
      </w:pPr>
      <w:r>
        <w:tab/>
        <w:t>Además, consideró que la acus</w:t>
      </w:r>
      <w:r>
        <w:t>a</w:t>
      </w:r>
      <w:r>
        <w:t>ción era incomprensible en cuanto a la determinación de los disti</w:t>
      </w:r>
      <w:r>
        <w:t>n</w:t>
      </w:r>
      <w:r>
        <w:t>tos grados de participación y responsabilidad, porque se basó en declaraciones que para algunos eran eximentes de delito y para otros no, cuando todos los involucrados pa</w:t>
      </w:r>
      <w:r>
        <w:t>r</w:t>
      </w:r>
      <w:r>
        <w:t>ticiparon de la misma manera.</w:t>
      </w:r>
    </w:p>
    <w:p w:rsidR="00224567" w:rsidRDefault="00224567">
      <w:pPr>
        <w:widowControl w:val="0"/>
      </w:pPr>
      <w:r>
        <w:tab/>
        <w:t>Al respecto, el abogado mencionó los pedidos absolutorios de Argentino Gabriel Lasala y D</w:t>
      </w:r>
      <w:r>
        <w:t>a</w:t>
      </w:r>
      <w:r>
        <w:t>niel Emilio Quinteros, mientras nada se había dicho con rel</w:t>
      </w:r>
      <w:r>
        <w:t>a</w:t>
      </w:r>
      <w:r>
        <w:t>ción a Manuel García, quien tuvo idéntica participación, expresando que tampoco se hizo referencia a la actuación del comisario in</w:t>
      </w:r>
      <w:r>
        <w:t>s</w:t>
      </w:r>
      <w:r>
        <w:t>pector Forgione, quien era el jefe de la brigada y, según refirió éste en el deb</w:t>
      </w:r>
      <w:r>
        <w:t>a</w:t>
      </w:r>
      <w:r>
        <w:t>te, tuvo perfecto conocimiento de lo que s</w:t>
      </w:r>
      <w:r>
        <w:t>u</w:t>
      </w:r>
      <w:r>
        <w:t>cedía.</w:t>
      </w:r>
    </w:p>
    <w:p w:rsidR="00224567" w:rsidRDefault="00224567">
      <w:pPr>
        <w:widowControl w:val="0"/>
      </w:pPr>
      <w:r>
        <w:tab/>
        <w:t>Acto seguido, el defensor impetró la nulidad de la decl</w:t>
      </w:r>
      <w:r>
        <w:t>a</w:t>
      </w:r>
      <w:r>
        <w:t>ración testimonial de Manuel García por falta de imparcialidad, tanto del juez como de los fisc</w:t>
      </w:r>
      <w:r>
        <w:t>a</w:t>
      </w:r>
      <w:r>
        <w:t>les de la etapa anterior, dado que sin justificación alg</w:t>
      </w:r>
      <w:r>
        <w:t>u</w:t>
      </w:r>
      <w:r>
        <w:t>na, declaró en calidad de testigo cuando, por lo menos, tenía que haber merecido el mismo tratamiento que el resto de la comitiva p</w:t>
      </w:r>
      <w:r>
        <w:t>o</w:t>
      </w:r>
      <w:r>
        <w:t>licial.</w:t>
      </w:r>
    </w:p>
    <w:p w:rsidR="00224567" w:rsidRDefault="00224567">
      <w:pPr>
        <w:widowControl w:val="0"/>
      </w:pPr>
      <w:r>
        <w:tab/>
        <w:t>En ese orden de ideas, el letrado su</w:t>
      </w:r>
      <w:r>
        <w:t>b</w:t>
      </w:r>
      <w:r>
        <w:t>rayó que García reconoció haber efectuado un disparo al procurar la detención de Telleldín; extremo que ocultó cuando su obligación era hacerlo saber a sus superiores, entendiendo que dicha actitud no era compatible con la acusación de su asistido, a quien la fisc</w:t>
      </w:r>
      <w:r>
        <w:t>a</w:t>
      </w:r>
      <w:r>
        <w:t>lía le reprochó haber ocultado hechos a su jefe.</w:t>
      </w:r>
    </w:p>
    <w:p w:rsidR="00224567" w:rsidRDefault="00224567">
      <w:pPr>
        <w:widowControl w:val="0"/>
      </w:pPr>
      <w:r>
        <w:tab/>
        <w:t>Estimó que la incongruencia era más grave aún si se reparaba que la acusación utilizó, en co</w:t>
      </w:r>
      <w:r>
        <w:t>n</w:t>
      </w:r>
      <w:r>
        <w:t>tra de su asistido, los dichos de Mario Bareiro volcados el 14 de julio de 1996, cuando el nombrado –en esa oc</w:t>
      </w:r>
      <w:r>
        <w:t>a</w:t>
      </w:r>
      <w:r>
        <w:t>sión- también refirió que Lasala y García tenían conoc</w:t>
      </w:r>
      <w:r>
        <w:t>i</w:t>
      </w:r>
      <w:r>
        <w:t>miento de la supuesta m</w:t>
      </w:r>
      <w:r>
        <w:t>a</w:t>
      </w:r>
      <w:r>
        <w:t>niobra extorsiva, por cuanto ambos serían acreedores en el reparto de bienes y dinero que se cons</w:t>
      </w:r>
      <w:r>
        <w:t>i</w:t>
      </w:r>
      <w:r>
        <w:t>guiera.</w:t>
      </w:r>
    </w:p>
    <w:p w:rsidR="00224567" w:rsidRDefault="00224567">
      <w:pPr>
        <w:widowControl w:val="0"/>
      </w:pPr>
      <w:r>
        <w:tab/>
        <w:t>El letrado sostuvo que lo expuesto a</w:t>
      </w:r>
      <w:r>
        <w:t>n</w:t>
      </w:r>
      <w:r>
        <w:t>teriormente demostraba a las claras la “obsesiva parcial</w:t>
      </w:r>
      <w:r>
        <w:t>i</w:t>
      </w:r>
      <w:r>
        <w:t>dad” que tuvo que padecer su defendido a lo largo del pr</w:t>
      </w:r>
      <w:r>
        <w:t>o</w:t>
      </w:r>
      <w:r>
        <w:t>ceso.</w:t>
      </w:r>
    </w:p>
    <w:p w:rsidR="00224567" w:rsidRDefault="00224567">
      <w:pPr>
        <w:widowControl w:val="0"/>
      </w:pPr>
      <w:r>
        <w:tab/>
        <w:t>Por otro lado, calificó de inc</w:t>
      </w:r>
      <w:r>
        <w:t>o</w:t>
      </w:r>
      <w:r>
        <w:t>rrecto lo manifestado por la acusación, con relación a que los imputados tenían el propósito de saldar una de las ta</w:t>
      </w:r>
      <w:r>
        <w:t>n</w:t>
      </w:r>
      <w:r>
        <w:t>tas deudas pendientes, entendiendo que la ambigüedad de tal afirmación impedía responder el agravio, por cuanto no se señaló a qué deuda se refería, quién o quienes eran los acreedores, o cuáles fueron los hechos que las motivaron, siendo que nada de ello se probó en el exp</w:t>
      </w:r>
      <w:r>
        <w:t>e</w:t>
      </w:r>
      <w:r>
        <w:t>diente.</w:t>
      </w:r>
    </w:p>
    <w:p w:rsidR="00224567" w:rsidRDefault="00224567">
      <w:pPr>
        <w:widowControl w:val="0"/>
      </w:pPr>
      <w:r>
        <w:tab/>
        <w:t>Por el contrario, dijo, se demostró que no existió participación alguna de los int</w:t>
      </w:r>
      <w:r>
        <w:t>e</w:t>
      </w:r>
      <w:r>
        <w:t xml:space="preserve">grantes de </w:t>
      </w:r>
      <w:smartTag w:uri="urn:schemas-microsoft-com:office:smarttags" w:element="PersonName">
        <w:smartTagPr>
          <w:attr w:name="ProductID" w:val="la Brigada"/>
        </w:smartTagPr>
        <w:r>
          <w:t>la Brigada</w:t>
        </w:r>
      </w:smartTag>
      <w:r>
        <w:t xml:space="preserve"> de Vicente López en hechos anteriores al imp</w:t>
      </w:r>
      <w:r>
        <w:t>u</w:t>
      </w:r>
      <w:r>
        <w:t>tado a su asist</w:t>
      </w:r>
      <w:r>
        <w:t>i</w:t>
      </w:r>
      <w:r>
        <w:t>do, de los que fue víctima Carlos Alberto Telle</w:t>
      </w:r>
      <w:r>
        <w:t>l</w:t>
      </w:r>
      <w:r>
        <w:t>dín.</w:t>
      </w:r>
    </w:p>
    <w:p w:rsidR="00224567" w:rsidRDefault="00224567">
      <w:pPr>
        <w:widowControl w:val="0"/>
      </w:pPr>
      <w:r>
        <w:tab/>
        <w:t xml:space="preserve">Además, el letrado indicó que si la deuda pendiente se correspondía con la actuación de </w:t>
      </w:r>
      <w:smartTag w:uri="urn:schemas-microsoft-com:office:smarttags" w:element="PersonName">
        <w:smartTagPr>
          <w:attr w:name="ProductID" w:val="la Brigada"/>
        </w:smartTagPr>
        <w:r>
          <w:t>la Brigada</w:t>
        </w:r>
      </w:smartTag>
      <w:r>
        <w:t xml:space="preserve"> de Investigaciones de Lanús, los elementos de prueba reunidos en el debate, como los testimonios o cr</w:t>
      </w:r>
      <w:r>
        <w:t>u</w:t>
      </w:r>
      <w:r>
        <w:t>ces telefónicos con la mencionada brigada o con T</w:t>
      </w:r>
      <w:r>
        <w:t>e</w:t>
      </w:r>
      <w:r>
        <w:t>lleldín y su entorno, demostr</w:t>
      </w:r>
      <w:r>
        <w:t>a</w:t>
      </w:r>
      <w:r>
        <w:t>ron que nadie conocía a su cliente.</w:t>
      </w:r>
    </w:p>
    <w:p w:rsidR="00224567" w:rsidRDefault="00224567">
      <w:pPr>
        <w:widowControl w:val="0"/>
      </w:pPr>
      <w:r>
        <w:tab/>
        <w:t>Recalcó que tampoco existía en la ca</w:t>
      </w:r>
      <w:r>
        <w:t>u</w:t>
      </w:r>
      <w:r>
        <w:t>sa una sola manifestación que indicara que Rago tenía c</w:t>
      </w:r>
      <w:r>
        <w:t>o</w:t>
      </w:r>
      <w:r>
        <w:t>nocimiento de Telleldín o de sus actividades con anteri</w:t>
      </w:r>
      <w:r>
        <w:t>o</w:t>
      </w:r>
      <w:r>
        <w:t>ridad al procedimiento, precisando que ni s</w:t>
      </w:r>
      <w:r>
        <w:t>i</w:t>
      </w:r>
      <w:r>
        <w:t>quiera existió relación entre las brigadas de V</w:t>
      </w:r>
      <w:r>
        <w:t>i</w:t>
      </w:r>
      <w:r>
        <w:t>cente López y Lanús, por lo menos, desde marzo a j</w:t>
      </w:r>
      <w:r>
        <w:t>u</w:t>
      </w:r>
      <w:r>
        <w:t>lio de 1994.</w:t>
      </w:r>
    </w:p>
    <w:p w:rsidR="00224567" w:rsidRDefault="00224567">
      <w:pPr>
        <w:widowControl w:val="0"/>
      </w:pPr>
      <w:r>
        <w:tab/>
        <w:t>Por ello, caracterizó de temer</w:t>
      </w:r>
      <w:r>
        <w:t>a</w:t>
      </w:r>
      <w:r>
        <w:t>ria la afirmación consistente en que Rago ordenó el proced</w:t>
      </w:r>
      <w:r>
        <w:t>i</w:t>
      </w:r>
      <w:r>
        <w:t>miento para saldar deudas pendientes.</w:t>
      </w:r>
    </w:p>
    <w:p w:rsidR="00224567" w:rsidRDefault="00224567">
      <w:pPr>
        <w:widowControl w:val="0"/>
      </w:pPr>
      <w:r>
        <w:tab/>
        <w:t>En otro orden de ideas, la defensa r</w:t>
      </w:r>
      <w:r>
        <w:t>e</w:t>
      </w:r>
      <w:r>
        <w:t>batió lo sostenido por la acusación en cuanto a que Hugo Pérez, luego de ser detenido aproximadame</w:t>
      </w:r>
      <w:r>
        <w:t>n</w:t>
      </w:r>
      <w:r>
        <w:t>te a las 22.00, permaneció en el interior del vehículo Ford Galaxy de Leal, junto a Lasala, por un e</w:t>
      </w:r>
      <w:r>
        <w:t>s</w:t>
      </w:r>
      <w:r>
        <w:t>pacio de tres horas.</w:t>
      </w:r>
    </w:p>
    <w:p w:rsidR="00224567" w:rsidRDefault="00224567">
      <w:pPr>
        <w:widowControl w:val="0"/>
      </w:pPr>
      <w:r>
        <w:tab/>
        <w:t>Al respecto, hizo referencia a los d</w:t>
      </w:r>
      <w:r>
        <w:t>i</w:t>
      </w:r>
      <w:r>
        <w:t>chos de su asistido, quien negó haber privado ilegítim</w:t>
      </w:r>
      <w:r>
        <w:t>a</w:t>
      </w:r>
      <w:r>
        <w:t>mente de la libertad a Hugo Pérez, puntu</w:t>
      </w:r>
      <w:r>
        <w:t>a</w:t>
      </w:r>
      <w:r>
        <w:t>lizando que a la medianoche del 14 de julio de 1994 fue informado por su subalterno Leal que, minutos antes, Pérez había salido del domicilio de la calle República y que había sido interce</w:t>
      </w:r>
      <w:r>
        <w:t>p</w:t>
      </w:r>
      <w:r>
        <w:t>tado por la comisión policial; que al ser preguntado por su medio de vida, Pérez respondió que se dedicaba a la construcción y que Leal constató que el individuo poseía las manos sucias de grasa, circunstancia que lo hizo so</w:t>
      </w:r>
      <w:r>
        <w:t>s</w:t>
      </w:r>
      <w:r>
        <w:t>pechar, al no concordar con la aparie</w:t>
      </w:r>
      <w:r>
        <w:t>n</w:t>
      </w:r>
      <w:r>
        <w:t>cia de un albañil.</w:t>
      </w:r>
    </w:p>
    <w:p w:rsidR="00224567" w:rsidRDefault="00224567">
      <w:pPr>
        <w:widowControl w:val="0"/>
      </w:pPr>
      <w:r>
        <w:tab/>
        <w:t>Continuó relatando el letrado que, al ser comunicada la situación a Rago, éste avaló la dete</w:t>
      </w:r>
      <w:r>
        <w:t>n</w:t>
      </w:r>
      <w:r>
        <w:t>ción de Pérez por hallarlo dentro de los extremos del art. 13 de la ley 9.550, vigente a esa fecha, ordenando el traslado inmediato del nombrado a la brigada, a dispos</w:t>
      </w:r>
      <w:r>
        <w:t>i</w:t>
      </w:r>
      <w:r>
        <w:t>ción del jefe de policía. Al llegar a la brigada, Rago c</w:t>
      </w:r>
      <w:r>
        <w:t>o</w:t>
      </w:r>
      <w:r>
        <w:t>municó la presencia de Pérez al comisario inspector Fo</w:t>
      </w:r>
      <w:r>
        <w:t>r</w:t>
      </w:r>
      <w:r>
        <w:t>gione quien ordenó que se labraran las actuaciones corre</w:t>
      </w:r>
      <w:r>
        <w:t>s</w:t>
      </w:r>
      <w:r>
        <w:t>pondientes, luego de dar lectura al parte de detención confeccionado por Leal y que se cu</w:t>
      </w:r>
      <w:r>
        <w:t>m</w:t>
      </w:r>
      <w:r>
        <w:t>plieran las diligencias habituales del caso, como el registro en los libros de guardia y detenidos, la comunicación al jefe de policía, juez, defensor y fiscal en turno, la notificación al imp</w:t>
      </w:r>
      <w:r>
        <w:t>u</w:t>
      </w:r>
      <w:r>
        <w:t>tado del motivo de su detención y, la certificación de averiguación en el registro de capt</w:t>
      </w:r>
      <w:r>
        <w:t>u</w:t>
      </w:r>
      <w:r>
        <w:t>ras.</w:t>
      </w:r>
    </w:p>
    <w:p w:rsidR="00224567" w:rsidRDefault="00224567">
      <w:pPr>
        <w:widowControl w:val="0"/>
      </w:pPr>
      <w:r>
        <w:tab/>
        <w:t>Por lo expuesto, la defensa subrayó que se cumplió lo ordenado en el sentido antes indicado, registrándose la entrada de Pérez a las 01.15 del día 15 de julio de 1994 y, tras constatar que no registraba ped</w:t>
      </w:r>
      <w:r>
        <w:t>i</w:t>
      </w:r>
      <w:r>
        <w:t>do de captura, recuperó su libertad a la 21.45 de ese mi</w:t>
      </w:r>
      <w:r>
        <w:t>s</w:t>
      </w:r>
      <w:r>
        <w:t>mo día.</w:t>
      </w:r>
    </w:p>
    <w:p w:rsidR="00224567" w:rsidRDefault="00224567">
      <w:pPr>
        <w:widowControl w:val="0"/>
      </w:pPr>
      <w:r>
        <w:tab/>
        <w:t>Como prueba de ello, el letrado hizo referencia, además de otras declaraciones, al testimonio de Forgione que daba cuenta que su defendido no ocultó i</w:t>
      </w:r>
      <w:r>
        <w:t>n</w:t>
      </w:r>
      <w:r>
        <w:t>formación sobre la investigación y que tuvo cabal conoc</w:t>
      </w:r>
      <w:r>
        <w:t>i</w:t>
      </w:r>
      <w:r>
        <w:t>miento de todo lo acontecido.</w:t>
      </w:r>
    </w:p>
    <w:p w:rsidR="00224567" w:rsidRDefault="00224567">
      <w:pPr>
        <w:widowControl w:val="0"/>
      </w:pPr>
      <w:r>
        <w:tab/>
        <w:t>Seguidamente, el abogado analizó las distintas pruebas que demostraron, desde su óptica, la i</w:t>
      </w:r>
      <w:r>
        <w:t>n</w:t>
      </w:r>
      <w:r>
        <w:t>tencionalidad de la fiscalía en fijar las 22.00 como el horario de la detención de Hugo Pérez, lo cual r</w:t>
      </w:r>
      <w:r>
        <w:t>e</w:t>
      </w:r>
      <w:r>
        <w:t>dundó en perjuicio de la defensa de Rago. Por tal mot</w:t>
      </w:r>
      <w:r>
        <w:t>i</w:t>
      </w:r>
      <w:r>
        <w:t>vo, solicitó la nulidad de “todas las piezas procesales que dieron m</w:t>
      </w:r>
      <w:r>
        <w:t>o</w:t>
      </w:r>
      <w:r>
        <w:t>tivo al encarcelamiento de mi defe</w:t>
      </w:r>
      <w:r>
        <w:t>n</w:t>
      </w:r>
      <w:r>
        <w:t>dido”.</w:t>
      </w:r>
    </w:p>
    <w:p w:rsidR="00224567" w:rsidRDefault="00224567">
      <w:pPr>
        <w:widowControl w:val="0"/>
      </w:pPr>
      <w:r>
        <w:tab/>
        <w:t>En este punto, la defensa menci</w:t>
      </w:r>
      <w:r>
        <w:t>o</w:t>
      </w:r>
      <w:r>
        <w:t>nó lo declarado en el debate por el remisero Conrado Alejandro Dubs, quien man</w:t>
      </w:r>
      <w:r>
        <w:t>i</w:t>
      </w:r>
      <w:r>
        <w:t>festó que Hugo Pérez fue detenido después de las 22.00 horas, explicando que ese horario se co</w:t>
      </w:r>
      <w:r>
        <w:t>n</w:t>
      </w:r>
      <w:r>
        <w:t>signó porque era el que se correspondía con el inicio de su se</w:t>
      </w:r>
      <w:r>
        <w:t>r</w:t>
      </w:r>
      <w:r>
        <w:t>vicio y, al pedírsele precisiones, Dubs dudó al decir: “pudo haber sido las 23.00, como también pudo haber sido a las 23.30 horas. Después de las 22.30 horas o más, seg</w:t>
      </w:r>
      <w:r>
        <w:t>u</w:t>
      </w:r>
      <w:r>
        <w:t>ro”.</w:t>
      </w:r>
    </w:p>
    <w:p w:rsidR="00224567" w:rsidRDefault="00224567">
      <w:pPr>
        <w:widowControl w:val="0"/>
      </w:pPr>
      <w:r>
        <w:tab/>
        <w:t>El letrado defensor argumentó que el supuesto llamado de Leal a la brigada, que fue tomado como indicio en contra de su defendido, en modo alguno podía considerarse ligado a la detención de Hugo Pérez por cua</w:t>
      </w:r>
      <w:r>
        <w:t>n</w:t>
      </w:r>
      <w:r>
        <w:t>to, como se desprendió de los dichos de Dubs, aquella fue posterior al cruce tel</w:t>
      </w:r>
      <w:r>
        <w:t>e</w:t>
      </w:r>
      <w:r>
        <w:t>fónico.</w:t>
      </w:r>
    </w:p>
    <w:p w:rsidR="00224567" w:rsidRDefault="00224567">
      <w:pPr>
        <w:widowControl w:val="0"/>
      </w:pPr>
      <w:r>
        <w:tab/>
        <w:t>Estimó que, en realidad, la comunic</w:t>
      </w:r>
      <w:r>
        <w:t>a</w:t>
      </w:r>
      <w:r>
        <w:t>ción de la dete</w:t>
      </w:r>
      <w:r>
        <w:t>n</w:t>
      </w:r>
      <w:r>
        <w:t>ción de Hugo Pérez fue realizada por medio radial, aproximadamente a la medianoche, tal como lo rec</w:t>
      </w:r>
      <w:r>
        <w:t>o</w:t>
      </w:r>
      <w:r>
        <w:t>nocieron Rago y Leal. En igual sentido, el abogado citó los dichos de Manuel García, Argentino Gabriel Lasala y Anastasio Ireneo Leal, quienes corrob</w:t>
      </w:r>
      <w:r>
        <w:t>o</w:t>
      </w:r>
      <w:r>
        <w:t>raron el horario de la d</w:t>
      </w:r>
      <w:r>
        <w:t>e</w:t>
      </w:r>
      <w:r>
        <w:t>tención de Pérez.</w:t>
      </w:r>
    </w:p>
    <w:p w:rsidR="00224567" w:rsidRDefault="00224567">
      <w:pPr>
        <w:widowControl w:val="0"/>
        <w:rPr>
          <w:lang w:val="es-MX"/>
        </w:rPr>
      </w:pPr>
      <w:r>
        <w:tab/>
        <w:t>Asimismo, la defensa remarcó el hecho de que la detención de Pérez, según la versión del te</w:t>
      </w:r>
      <w:r>
        <w:t>s</w:t>
      </w:r>
      <w:r>
        <w:t>tigo Dubs en el debate, no fue violenta puesto que s</w:t>
      </w:r>
      <w:r>
        <w:t>o</w:t>
      </w:r>
      <w:r>
        <w:t xml:space="preserve">lamente </w:t>
      </w:r>
      <w:r>
        <w:rPr>
          <w:lang w:val="es-MX"/>
        </w:rPr>
        <w:t>lo tomaron del brazo.</w:t>
      </w:r>
    </w:p>
    <w:p w:rsidR="00224567" w:rsidRDefault="00224567">
      <w:pPr>
        <w:widowControl w:val="0"/>
      </w:pPr>
      <w:r>
        <w:rPr>
          <w:lang w:val="es-MX"/>
        </w:rPr>
        <w:tab/>
      </w:r>
      <w:r>
        <w:t>También, el Dr. Villarreal pu</w:t>
      </w:r>
      <w:r>
        <w:t>n</w:t>
      </w:r>
      <w:r>
        <w:t>tualizó que la acusación omitió valorar circunstancias referidas por Carlos Telleldín con relación al horario de la dete</w:t>
      </w:r>
      <w:r>
        <w:t>n</w:t>
      </w:r>
      <w:r>
        <w:t>ción de Hugo Pérez; extremo que demostró, según su par</w:t>
      </w:r>
      <w:r>
        <w:t>e</w:t>
      </w:r>
      <w:r>
        <w:t>cer, que la fiscalía no fue imparcial al valorar la pru</w:t>
      </w:r>
      <w:r>
        <w:t>e</w:t>
      </w:r>
      <w:r>
        <w:t>ba, haciéndolo en pe</w:t>
      </w:r>
      <w:r>
        <w:t>r</w:t>
      </w:r>
      <w:r>
        <w:t>juicio de su asistido.</w:t>
      </w:r>
    </w:p>
    <w:p w:rsidR="00224567" w:rsidRDefault="00224567">
      <w:pPr>
        <w:widowControl w:val="0"/>
        <w:rPr>
          <w:lang w:val="es-MX"/>
        </w:rPr>
      </w:pPr>
      <w:r>
        <w:tab/>
        <w:t>Acto seguido, el abogado defensor hizo mención a la entrevista mantenida entre el juez y el imp</w:t>
      </w:r>
      <w:r>
        <w:t>u</w:t>
      </w:r>
      <w:r>
        <w:t>tado Telleldín, contenida en la grabación del 1º de julio de 1994, en la cual el segundo le refirió a su interloc</w:t>
      </w:r>
      <w:r>
        <w:t>u</w:t>
      </w:r>
      <w:r>
        <w:t>tor que “</w:t>
      </w:r>
      <w:r>
        <w:rPr>
          <w:lang w:val="es-MX"/>
        </w:rPr>
        <w:t>la entrada en Vicente López está hecha a la mañ</w:t>
      </w:r>
      <w:r>
        <w:rPr>
          <w:lang w:val="es-MX"/>
        </w:rPr>
        <w:t>a</w:t>
      </w:r>
      <w:r>
        <w:rPr>
          <w:lang w:val="es-MX"/>
        </w:rPr>
        <w:t>na y lo detienen a las 12.00 de la noche, tengo testigos de la detención a las 12.00 de la noche y eso Pérez no lo declara, ni lo va a d</w:t>
      </w:r>
      <w:r>
        <w:rPr>
          <w:lang w:val="es-MX"/>
        </w:rPr>
        <w:t>e</w:t>
      </w:r>
      <w:r>
        <w:rPr>
          <w:lang w:val="es-MX"/>
        </w:rPr>
        <w:t>clarar; pero yo tengo que hablar con él y decirle: Hugo, por favor, declará esto, que esto y lo otro, el juez va a favorecer tu situación procesal; que esto y que lo otro, y el tipo va a decl</w:t>
      </w:r>
      <w:r>
        <w:rPr>
          <w:lang w:val="es-MX"/>
        </w:rPr>
        <w:t>a</w:t>
      </w:r>
      <w:r>
        <w:rPr>
          <w:lang w:val="es-MX"/>
        </w:rPr>
        <w:t>rar...”.</w:t>
      </w:r>
    </w:p>
    <w:p w:rsidR="00224567" w:rsidRDefault="00224567">
      <w:pPr>
        <w:widowControl w:val="0"/>
      </w:pPr>
      <w:r>
        <w:rPr>
          <w:lang w:val="es-MX"/>
        </w:rPr>
        <w:tab/>
      </w:r>
      <w:r>
        <w:t>Lo expuesto demostró, según el defe</w:t>
      </w:r>
      <w:r>
        <w:t>n</w:t>
      </w:r>
      <w:r>
        <w:t>sor, que el juez Galeano perjudicó intencionalmente a su asistido, privándolo de los derechos que hubieran demo</w:t>
      </w:r>
      <w:r>
        <w:t>s</w:t>
      </w:r>
      <w:r>
        <w:t>trado su inocencia durante la etapa instructoria, al no investigar los dichos de Carlos Telleldín y requerir los testigos que éste dijo conocer, para dete</w:t>
      </w:r>
      <w:r>
        <w:t>r</w:t>
      </w:r>
      <w:r>
        <w:t>minar que Pérez fue detenido en horas de la median</w:t>
      </w:r>
      <w:r>
        <w:t>o</w:t>
      </w:r>
      <w:r>
        <w:t>che.</w:t>
      </w:r>
    </w:p>
    <w:p w:rsidR="00224567" w:rsidRDefault="00224567">
      <w:pPr>
        <w:widowControl w:val="0"/>
      </w:pPr>
      <w:r>
        <w:tab/>
        <w:t>El letrado precisó que el juez Gale</w:t>
      </w:r>
      <w:r>
        <w:t>a</w:t>
      </w:r>
      <w:r>
        <w:t>no se pronunció en contra de la defensa de Rago al sostener que Pérez había sido detenido antes de la hora documentada en las actuaciones, esto es, alrededor de las 21.55, cua</w:t>
      </w:r>
      <w:r>
        <w:t>n</w:t>
      </w:r>
      <w:r>
        <w:t>do sabía, por los dichos de Telleldín, que la detención había ocurrido a las 24.00.</w:t>
      </w:r>
    </w:p>
    <w:p w:rsidR="00224567" w:rsidRDefault="00224567">
      <w:pPr>
        <w:widowControl w:val="0"/>
      </w:pPr>
      <w:r>
        <w:tab/>
        <w:t>Por otra parte, el Dr. Villarreal co</w:t>
      </w:r>
      <w:r>
        <w:t>n</w:t>
      </w:r>
      <w:r>
        <w:t>sideró que los representantes del Ministerio Público Fi</w:t>
      </w:r>
      <w:r>
        <w:t>s</w:t>
      </w:r>
      <w:r>
        <w:t>cal actuaron en connivencia con el juzgado instru</w:t>
      </w:r>
      <w:r>
        <w:t>c</w:t>
      </w:r>
      <w:r>
        <w:t>tor para perjudicar a su asistido, ya que conocieron el contenido de la videocinta al concurrir a la comisión bicameral, en oportunidad de su desaparición, y ninguna objeción form</w:t>
      </w:r>
      <w:r>
        <w:t>u</w:t>
      </w:r>
      <w:r>
        <w:t>laron al respe</w:t>
      </w:r>
      <w:r>
        <w:t>c</w:t>
      </w:r>
      <w:r>
        <w:t>to.</w:t>
      </w:r>
    </w:p>
    <w:p w:rsidR="00224567" w:rsidRDefault="00224567">
      <w:pPr>
        <w:widowControl w:val="0"/>
      </w:pPr>
      <w:r>
        <w:tab/>
        <w:t>En virtud de todo ello, el letrado s</w:t>
      </w:r>
      <w:r>
        <w:t>o</w:t>
      </w:r>
      <w:r>
        <w:t>licitó la nulidad absoluta la causa “Brigadas”.</w:t>
      </w:r>
    </w:p>
    <w:p w:rsidR="00224567" w:rsidRDefault="00224567">
      <w:pPr>
        <w:widowControl w:val="0"/>
      </w:pPr>
      <w:r>
        <w:tab/>
        <w:t>Además, el letrado precisó que ni el juez ni los fiscales interrogaron a Telleldín sobre el punto en cuestión, en las sucesivas declaraciones prest</w:t>
      </w:r>
      <w:r>
        <w:t>a</w:t>
      </w:r>
      <w:r>
        <w:t>das los días 20 de j</w:t>
      </w:r>
      <w:r>
        <w:t>u</w:t>
      </w:r>
      <w:r>
        <w:t>nio de 1997, 22 de agosto de 1997, 6 de febrero de 1998 y 17 de julio de 1998, ni le exigieron la identidad de los testigos que darían cuenta que la d</w:t>
      </w:r>
      <w:r>
        <w:t>e</w:t>
      </w:r>
      <w:r>
        <w:t>tención se había ll</w:t>
      </w:r>
      <w:r>
        <w:t>e</w:t>
      </w:r>
      <w:r>
        <w:t>vado a cabo en una hora distinta a la sostenida en la acusación, como tampoco fue preguntado acerca del llamado que dijo haber realizado a su casa aproximadamente a las 23.00 horas del día 14 de julio de 1994, cert</w:t>
      </w:r>
      <w:r>
        <w:t>i</w:t>
      </w:r>
      <w:r>
        <w:t>ficando la presencia de Hugo Pérez en el lugar; interrogantes que no fueron evacuados por temor a que se cayera la prueba que pe</w:t>
      </w:r>
      <w:r>
        <w:t>r</w:t>
      </w:r>
      <w:r>
        <w:t>mitía imputar a Rago.</w:t>
      </w:r>
    </w:p>
    <w:p w:rsidR="00224567" w:rsidRDefault="00224567">
      <w:pPr>
        <w:widowControl w:val="0"/>
      </w:pPr>
      <w:r>
        <w:tab/>
        <w:t>Para demostrar que la detención de H</w:t>
      </w:r>
      <w:r>
        <w:t>u</w:t>
      </w:r>
      <w:r>
        <w:t>go Pérez se llevó a cabo alrededor de la medianoche, el letrado defensor hizo mención al llamado de Anast</w:t>
      </w:r>
      <w:r>
        <w:t>a</w:t>
      </w:r>
      <w:r>
        <w:t>sio Leal a Diego Barreda el 15 de julio a las 00.11, que fue rec</w:t>
      </w:r>
      <w:r>
        <w:t>o</w:t>
      </w:r>
      <w:r>
        <w:t>nocido por ambos, obrante a fojas 2410 de la causa “Brig</w:t>
      </w:r>
      <w:r>
        <w:t>a</w:t>
      </w:r>
      <w:r>
        <w:t>das”.</w:t>
      </w:r>
    </w:p>
    <w:p w:rsidR="00224567" w:rsidRDefault="00224567">
      <w:pPr>
        <w:widowControl w:val="0"/>
      </w:pPr>
      <w:r>
        <w:tab/>
        <w:t>Por otra parte, refirió que las man</w:t>
      </w:r>
      <w:r>
        <w:t>i</w:t>
      </w:r>
      <w:r>
        <w:t>festaciones de Telleldín, relativas a que Hugo Pérez fue golpeado, torturado y amenazado, fueron descartadas tras la investigación pertinente, en tanto no se acreditó la exi</w:t>
      </w:r>
      <w:r>
        <w:t>s</w:t>
      </w:r>
      <w:r>
        <w:t>tencia de delito.</w:t>
      </w:r>
    </w:p>
    <w:p w:rsidR="00224567" w:rsidRDefault="00224567">
      <w:pPr>
        <w:widowControl w:val="0"/>
      </w:pPr>
      <w:r>
        <w:tab/>
        <w:t>Asimismo, recalcó que Telleldín, al decirle al juez en la en la entrevista del 1º de julio, que “tenía el auto trucho y tenía los trab</w:t>
      </w:r>
      <w:r>
        <w:t>a</w:t>
      </w:r>
      <w:r>
        <w:t>jadores de los autos truchos...Pérez Mejía, Cruz y Hugo Pérez estaban trabajando de mecánicos...y estaban armando un auto tr</w:t>
      </w:r>
      <w:r>
        <w:t>u</w:t>
      </w:r>
      <w:r>
        <w:t>cho...”, resultaba demostrativo que, efectivamente, Hugo Pérez tenía las manos engrasadas al momento de su dete</w:t>
      </w:r>
      <w:r>
        <w:t>n</w:t>
      </w:r>
      <w:r>
        <w:t>ción.</w:t>
      </w:r>
    </w:p>
    <w:p w:rsidR="00224567" w:rsidRDefault="00224567">
      <w:pPr>
        <w:widowControl w:val="0"/>
      </w:pPr>
      <w:r>
        <w:tab/>
        <w:t>Por lo expuesto, el letrado le restó valor a los dichos de Pérez con relación a las circunsta</w:t>
      </w:r>
      <w:r>
        <w:t>n</w:t>
      </w:r>
      <w:r>
        <w:t xml:space="preserve">cias de su detención y traslado a </w:t>
      </w:r>
      <w:smartTag w:uri="urn:schemas-microsoft-com:office:smarttags" w:element="PersonName">
        <w:smartTagPr>
          <w:attr w:name="ProductID" w:val="la Brigada"/>
        </w:smartTagPr>
        <w:r>
          <w:t>la Brigada</w:t>
        </w:r>
      </w:smartTag>
      <w:r>
        <w:t xml:space="preserve"> de Investig</w:t>
      </w:r>
      <w:r>
        <w:t>a</w:t>
      </w:r>
      <w:r>
        <w:t>ciones de V</w:t>
      </w:r>
      <w:r>
        <w:t>i</w:t>
      </w:r>
      <w:r>
        <w:t>cente López.</w:t>
      </w:r>
    </w:p>
    <w:p w:rsidR="00224567" w:rsidRDefault="00224567">
      <w:pPr>
        <w:widowControl w:val="0"/>
      </w:pPr>
      <w:r>
        <w:tab/>
        <w:t>Seguidamente, el Dr. Villarreal expr</w:t>
      </w:r>
      <w:r>
        <w:t>e</w:t>
      </w:r>
      <w:r>
        <w:t>só que tras la compulsa de los libros de guardia de la brigada, identif</w:t>
      </w:r>
      <w:r>
        <w:t>i</w:t>
      </w:r>
      <w:r>
        <w:t>cados con las letras “D”, “G”, “E” y “C”, se determinó que entre enero y septiembre de 1994 se r</w:t>
      </w:r>
      <w:r>
        <w:t>e</w:t>
      </w:r>
      <w:r>
        <w:t>gistraron 77 personas detenidas en averiguación de antec</w:t>
      </w:r>
      <w:r>
        <w:t>e</w:t>
      </w:r>
      <w:r>
        <w:t>dentes a disposición del jefe de policía; circunstancia que indicaba que el procedimiento reprochado resultó uno más de otros tantos que se efectuaron en las fechas me</w:t>
      </w:r>
      <w:r>
        <w:t>n</w:t>
      </w:r>
      <w:r>
        <w:t>cionadas.</w:t>
      </w:r>
    </w:p>
    <w:p w:rsidR="00224567" w:rsidRDefault="00224567">
      <w:pPr>
        <w:widowControl w:val="0"/>
      </w:pPr>
      <w:r>
        <w:tab/>
        <w:t>Luego, el letrado sostuvo que cuando se encontraron Juan Alberto Bottegal y Carlos Telleldín con el objeto de realizar la transacción del barco “Gonz</w:t>
      </w:r>
      <w:r>
        <w:t>a</w:t>
      </w:r>
      <w:r>
        <w:t>lo”, mediante la firma de un boleto de compraventa, Hugo Pérez hacía dos horas y treinta minutos que había recup</w:t>
      </w:r>
      <w:r>
        <w:t>e</w:t>
      </w:r>
      <w:r>
        <w:t>rado su libertad, habiendo tomado conocimiento de ello T</w:t>
      </w:r>
      <w:r>
        <w:t>e</w:t>
      </w:r>
      <w:r>
        <w:t>lleldín por un radio mensaje; extremo que demostró, a ju</w:t>
      </w:r>
      <w:r>
        <w:t>i</w:t>
      </w:r>
      <w:r>
        <w:t>cio de la defensa, que Hugo Pérez no fue utilizado como rehén para coaccionar a Telleldín a realizar la transf</w:t>
      </w:r>
      <w:r>
        <w:t>e</w:t>
      </w:r>
      <w:r>
        <w:t>rencia de la embarcación y que Bo</w:t>
      </w:r>
      <w:r>
        <w:t>t</w:t>
      </w:r>
      <w:r>
        <w:t>tegal, de común acuerdo con Telleldín, recibió la documentación del barco en g</w:t>
      </w:r>
      <w:r>
        <w:t>a</w:t>
      </w:r>
      <w:r>
        <w:t>rantía por el pago de sus honorarios.</w:t>
      </w:r>
    </w:p>
    <w:p w:rsidR="00224567" w:rsidRDefault="00224567">
      <w:pPr>
        <w:widowControl w:val="0"/>
      </w:pPr>
      <w:r>
        <w:tab/>
        <w:t>En ese orden de ideas, citó los mens</w:t>
      </w:r>
      <w:r>
        <w:t>a</w:t>
      </w:r>
      <w:r>
        <w:t xml:space="preserve">jes nros. 68, 77 y 78 del radiomensaje -código 25.328, clave </w:t>
      </w:r>
      <w:smartTag w:uri="urn:schemas-microsoft-com:office:smarttags" w:element="metricconverter">
        <w:smartTagPr>
          <w:attr w:name="ProductID" w:val="24.171, a"/>
        </w:smartTagPr>
        <w:r>
          <w:t>24.171, a</w:t>
        </w:r>
      </w:smartTag>
      <w:r>
        <w:t xml:space="preserve"> nombre de Ana María Boragni- que ilustr</w:t>
      </w:r>
      <w:r>
        <w:t>a</w:t>
      </w:r>
      <w:r>
        <w:t>ron acerca de las tratativas entre Bottegal y Telleldín para concertar la reunión, y del conocimiento de éste ú</w:t>
      </w:r>
      <w:r>
        <w:t>l</w:t>
      </w:r>
      <w:r>
        <w:t>timo acerca de la libertad de Hugo P</w:t>
      </w:r>
      <w:r>
        <w:t>é</w:t>
      </w:r>
      <w:r>
        <w:t>rez.</w:t>
      </w:r>
    </w:p>
    <w:p w:rsidR="00224567" w:rsidRDefault="00224567">
      <w:pPr>
        <w:widowControl w:val="0"/>
      </w:pPr>
      <w:r>
        <w:tab/>
        <w:t>Del mismo modo, el defensor ind</w:t>
      </w:r>
      <w:r>
        <w:t>i</w:t>
      </w:r>
      <w:r>
        <w:t>có que la declaración indagatoria de Bottegal corroboró las ci</w:t>
      </w:r>
      <w:r>
        <w:t>r</w:t>
      </w:r>
      <w:r>
        <w:t xml:space="preserve">cunstancias antes reseñadas, destacando en particular la referencia del abogado en cuanto a que “Barreda le dice que no debe ir a </w:t>
      </w:r>
      <w:smartTag w:uri="urn:schemas-microsoft-com:office:smarttags" w:element="PersonName">
        <w:smartTagPr>
          <w:attr w:name="ProductID" w:val="la Brigada"/>
        </w:smartTagPr>
        <w:r>
          <w:t>la Brigada</w:t>
        </w:r>
      </w:smartTag>
      <w:r>
        <w:t xml:space="preserve"> de Vicente López porque se les iba a hacer lío con la otra pat</w:t>
      </w:r>
      <w:r>
        <w:t>o</w:t>
      </w:r>
      <w:r>
        <w:t>ta”; afirmación que, según el letrado, probaba la aj</w:t>
      </w:r>
      <w:r>
        <w:t>e</w:t>
      </w:r>
      <w:r>
        <w:t>nidad de Rago en esa negociación e</w:t>
      </w:r>
      <w:r>
        <w:t>s</w:t>
      </w:r>
      <w:r>
        <w:t>puria.</w:t>
      </w:r>
    </w:p>
    <w:p w:rsidR="00224567" w:rsidRDefault="00224567">
      <w:pPr>
        <w:widowControl w:val="0"/>
      </w:pPr>
      <w:r>
        <w:tab/>
        <w:t>Igualmente, el Dr. Villarreal desest</w:t>
      </w:r>
      <w:r>
        <w:t>i</w:t>
      </w:r>
      <w:r>
        <w:t>mó los dichos de Hugo Pérez y Ana Boragni por entender que carecían de todo valor probatorio, en tanto se acreditó que muchas de las circunstancias referidas resultaron i</w:t>
      </w:r>
      <w:r>
        <w:t>n</w:t>
      </w:r>
      <w:r>
        <w:t>verosímiles y porque las versiones aportadas estaban pr</w:t>
      </w:r>
      <w:r>
        <w:t>e</w:t>
      </w:r>
      <w:r>
        <w:t>viamente acordadas con Carlos Alberto T</w:t>
      </w:r>
      <w:r>
        <w:t>e</w:t>
      </w:r>
      <w:r>
        <w:t>lleldín.</w:t>
      </w:r>
    </w:p>
    <w:p w:rsidR="00224567" w:rsidRDefault="00224567">
      <w:pPr>
        <w:widowControl w:val="0"/>
      </w:pPr>
      <w:r>
        <w:tab/>
        <w:t>No obstante ello, argumentó que Ana Boragni no hizo mención a la participación de Rago en el hecho imputado sino que, por lo contrario, dijo que “cua</w:t>
      </w:r>
      <w:r>
        <w:t>n</w:t>
      </w:r>
      <w:r>
        <w:t>do Telleldín le solicita a Barreda el nombre del jefe de la brigada o el del jefe del operativo para negociar, B</w:t>
      </w:r>
      <w:r>
        <w:t>a</w:t>
      </w:r>
      <w:r>
        <w:t>rreda le dice que era Pino”, refiriéndose a Leal, y que “Barreda le dijo a Telleldín que lo contactaría con un abogado para que le haga de puente con esta gente”, en alusión a Bott</w:t>
      </w:r>
      <w:r>
        <w:t>e</w:t>
      </w:r>
      <w:r>
        <w:t>gal.</w:t>
      </w:r>
    </w:p>
    <w:p w:rsidR="00224567" w:rsidRDefault="00224567">
      <w:pPr>
        <w:widowControl w:val="0"/>
      </w:pPr>
      <w:r>
        <w:tab/>
        <w:t>En el mismo sentido, resaltó que del entrecruzamiento telefónico entre el abonado de su defe</w:t>
      </w:r>
      <w:r>
        <w:t>n</w:t>
      </w:r>
      <w:r>
        <w:t>dido y el del imputado Bottegal, efe</w:t>
      </w:r>
      <w:r>
        <w:t>c</w:t>
      </w:r>
      <w:r>
        <w:t>tuado a fs. 3451vta. y 3452 del legajo de instrucción suplementaria, no se de</w:t>
      </w:r>
      <w:r>
        <w:t>s</w:t>
      </w:r>
      <w:r>
        <w:t>prendió ninguna comunicación durante el período comprend</w:t>
      </w:r>
      <w:r>
        <w:t>i</w:t>
      </w:r>
      <w:r>
        <w:t>do entre enero de 1994 y agosto de 1996.</w:t>
      </w:r>
    </w:p>
    <w:p w:rsidR="00224567" w:rsidRDefault="00224567">
      <w:pPr>
        <w:widowControl w:val="0"/>
      </w:pPr>
      <w:r>
        <w:tab/>
        <w:t>Igualmente, el letrado desestimó la prueba aludida por la acusación, al sostener que Rago om</w:t>
      </w:r>
      <w:r>
        <w:t>i</w:t>
      </w:r>
      <w:r>
        <w:t>tió informar al comisario Enrique Carlos Forgione los po</w:t>
      </w:r>
      <w:r>
        <w:t>r</w:t>
      </w:r>
      <w:r>
        <w:t>menores del procedimiento, en part</w:t>
      </w:r>
      <w:r>
        <w:t>i</w:t>
      </w:r>
      <w:r>
        <w:t>cular, el disparo de un arma de fuego y los daños ocasionados en los vehículos utilizados, considerando que de los d</w:t>
      </w:r>
      <w:r>
        <w:t>i</w:t>
      </w:r>
      <w:r>
        <w:t>chos de Forgione no surgió ninguna imputación en contra de su asistido, en tanto señaló que Rago le informó desde el primer día t</w:t>
      </w:r>
      <w:r>
        <w:t>o</w:t>
      </w:r>
      <w:r>
        <w:t>dos los detalles.</w:t>
      </w:r>
    </w:p>
    <w:p w:rsidR="00224567" w:rsidRDefault="00224567">
      <w:pPr>
        <w:widowControl w:val="0"/>
      </w:pPr>
      <w:r>
        <w:tab/>
        <w:t>Con relación al indicio invocado por la fiscalía, en el sentido que Rago omitió comunicar al Comando Radioeléctrico la fuga de Telleldín en un autom</w:t>
      </w:r>
      <w:r>
        <w:t>ó</w:t>
      </w:r>
      <w:r>
        <w:t>vil adulterado por tener conocimiento acerca de la irreg</w:t>
      </w:r>
      <w:r>
        <w:t>u</w:t>
      </w:r>
      <w:r>
        <w:t>laridad del procedimiento policial, el defensor esgrimió que fue el comisario Fo</w:t>
      </w:r>
      <w:r>
        <w:t>r</w:t>
      </w:r>
      <w:r>
        <w:t>gione quien decidió, tras analizar la situación planteada, no realizar la aludida comunic</w:t>
      </w:r>
      <w:r>
        <w:t>a</w:t>
      </w:r>
      <w:r>
        <w:t>ción.</w:t>
      </w:r>
    </w:p>
    <w:p w:rsidR="00224567" w:rsidRDefault="00224567">
      <w:pPr>
        <w:widowControl w:val="0"/>
      </w:pPr>
      <w:r>
        <w:tab/>
        <w:t>En ese sentido, la defensa señaló que Leal, Rago y Forgione fueron contestes al afirmar que el primero avisó de la fuga al segundo, y éste a Forgione, quien en definitiva resolvió no dar aviso al c</w:t>
      </w:r>
      <w:r>
        <w:t>o</w:t>
      </w:r>
      <w:r>
        <w:t>mando “para salvaguardar la vida de te</w:t>
      </w:r>
      <w:r>
        <w:t>r</w:t>
      </w:r>
      <w:r>
        <w:t>ceros”, más aún contando con la posibilidad de tener información sobre el paradero de T</w:t>
      </w:r>
      <w:r>
        <w:t>e</w:t>
      </w:r>
      <w:r>
        <w:t>lleldín por intermedio de Mario Bareiro. Además, el letr</w:t>
      </w:r>
      <w:r>
        <w:t>a</w:t>
      </w:r>
      <w:r>
        <w:t>do argumentó que no se logró individualizar a ciencia cierta el dominio del a</w:t>
      </w:r>
      <w:r>
        <w:t>u</w:t>
      </w:r>
      <w:r>
        <w:t>tomóvil en cuestión.</w:t>
      </w:r>
    </w:p>
    <w:p w:rsidR="00224567" w:rsidRDefault="00224567">
      <w:pPr>
        <w:widowControl w:val="0"/>
      </w:pPr>
      <w:r>
        <w:tab/>
        <w:t>En cuanto a la omisión de pros</w:t>
      </w:r>
      <w:r>
        <w:t>e</w:t>
      </w:r>
      <w:r>
        <w:t>guir la investigación de Carlos Alberto Telleldín una vez que huyó del lugar, la defensa señaló que el comisario Forgione o</w:t>
      </w:r>
      <w:r>
        <w:t>r</w:t>
      </w:r>
      <w:r>
        <w:t>denó que se levantara la custodia del domicilio de la c</w:t>
      </w:r>
      <w:r>
        <w:t>a</w:t>
      </w:r>
      <w:r>
        <w:t>lle República y que Mario Bareiro informaría cuando el imputado estuviera nuevamente ubicable. Además, recordó que su defendido se fue de vacaciones ni bien terminó el procedimiento, desinteresándose de la prosecución de la pesquisa.</w:t>
      </w:r>
    </w:p>
    <w:p w:rsidR="00224567" w:rsidRDefault="00224567">
      <w:pPr>
        <w:widowControl w:val="0"/>
      </w:pPr>
      <w:r>
        <w:tab/>
        <w:t>En este punto, explicó que el viaje que realizó su asistido a la provincia de Có</w:t>
      </w:r>
      <w:r>
        <w:t>r</w:t>
      </w:r>
      <w:r>
        <w:t>doba el 17 de julio de 1994, se encontraba probado con las distintas f</w:t>
      </w:r>
      <w:r>
        <w:t>o</w:t>
      </w:r>
      <w:r>
        <w:t xml:space="preserve">tografías y filmaciones aportadas por la defensa, las constancias del legajo personal nº </w:t>
      </w:r>
      <w:r>
        <w:rPr>
          <w:lang w:val="es-MX"/>
        </w:rPr>
        <w:t>13.351</w:t>
      </w:r>
      <w:r>
        <w:t xml:space="preserve"> y las declar</w:t>
      </w:r>
      <w:r>
        <w:t>a</w:t>
      </w:r>
      <w:r>
        <w:t>ciones testimoniales de Hugo Guerrero Prompto y Enrique Carlos Fo</w:t>
      </w:r>
      <w:r>
        <w:t>r</w:t>
      </w:r>
      <w:r>
        <w:t>gione.</w:t>
      </w:r>
    </w:p>
    <w:p w:rsidR="00224567" w:rsidRDefault="00224567">
      <w:pPr>
        <w:widowControl w:val="0"/>
      </w:pPr>
      <w:r>
        <w:tab/>
        <w:t>Puntualizó que el último nombrado, s</w:t>
      </w:r>
      <w:r>
        <w:t>e</w:t>
      </w:r>
      <w:r>
        <w:t>gún relató en el debate, recibió noticias de Mario B</w:t>
      </w:r>
      <w:r>
        <w:t>a</w:t>
      </w:r>
      <w:r>
        <w:t>reiro cuando éste se comunicó a la brigada desde la casa de T</w:t>
      </w:r>
      <w:r>
        <w:t>e</w:t>
      </w:r>
      <w:r>
        <w:t>lleldín, el día 27 de julio de 1994, fecha en que su d</w:t>
      </w:r>
      <w:r>
        <w:t>e</w:t>
      </w:r>
      <w:r>
        <w:t>fendido se encontraba de vacaciones, desconectado de lo que acontecía en su l</w:t>
      </w:r>
      <w:r>
        <w:t>u</w:t>
      </w:r>
      <w:r>
        <w:t>gar de trabajo.</w:t>
      </w:r>
    </w:p>
    <w:p w:rsidR="00224567" w:rsidRDefault="00224567">
      <w:pPr>
        <w:widowControl w:val="0"/>
      </w:pPr>
      <w:r>
        <w:tab/>
        <w:t>En suma, la defensa afirmó que Mario Bareiro no informó novedad alguna acerca de Telleldín de</w:t>
      </w:r>
      <w:r>
        <w:t>s</w:t>
      </w:r>
      <w:r>
        <w:t>de las 21.30 del 15 de julio de 1994 hasta las 12.00 del día 17, fecha en que Rago se retiró de licencia; circun</w:t>
      </w:r>
      <w:r>
        <w:t>s</w:t>
      </w:r>
      <w:r>
        <w:t>tancia que, a su juicio, demostraba que su asistido no t</w:t>
      </w:r>
      <w:r>
        <w:t>u</w:t>
      </w:r>
      <w:r>
        <w:t>vo dominio sobre el procedimiento imputado en la acus</w:t>
      </w:r>
      <w:r>
        <w:t>a</w:t>
      </w:r>
      <w:r>
        <w:t>ción.</w:t>
      </w:r>
    </w:p>
    <w:p w:rsidR="00224567" w:rsidRDefault="00224567">
      <w:pPr>
        <w:widowControl w:val="0"/>
      </w:pPr>
      <w:r>
        <w:tab/>
        <w:t>Asimismo, la defensa consideró falsa la afirmación del acusador en cuanto a que la embarc</w:t>
      </w:r>
      <w:r>
        <w:t>a</w:t>
      </w:r>
      <w:r>
        <w:t xml:space="preserve">ción “Gonzalo” fue entregada por Bottegal a </w:t>
      </w:r>
      <w:smartTag w:uri="urn:schemas-microsoft-com:office:smarttags" w:element="PersonName">
        <w:smartTagPr>
          <w:attr w:name="ProductID" w:val="la Brigada"/>
        </w:smartTagPr>
        <w:r>
          <w:t>la Brigada</w:t>
        </w:r>
      </w:smartTag>
      <w:r>
        <w:t xml:space="preserve"> de V</w:t>
      </w:r>
      <w:r>
        <w:t>i</w:t>
      </w:r>
      <w:r>
        <w:t>cente López, toda vez que, de acuerdo a las pr</w:t>
      </w:r>
      <w:r>
        <w:t>o</w:t>
      </w:r>
      <w:r>
        <w:t>banzas del juicio, siempre estuvo en la guardería “Lalos”. Por lo d</w:t>
      </w:r>
      <w:r>
        <w:t>e</w:t>
      </w:r>
      <w:r>
        <w:t>más, dijo, la document</w:t>
      </w:r>
      <w:r>
        <w:t>a</w:t>
      </w:r>
      <w:r>
        <w:t>ción del barco permaneció en poder del mencionado abogado, quien, a su vez, negó haber real</w:t>
      </w:r>
      <w:r>
        <w:t>i</w:t>
      </w:r>
      <w:r>
        <w:t>zado la transferencia, aclarando que no conocía a su asi</w:t>
      </w:r>
      <w:r>
        <w:t>s</w:t>
      </w:r>
      <w:r>
        <w:t>tido Rago, que no lo llamó por teléfono y que tampoco co</w:t>
      </w:r>
      <w:r>
        <w:t>n</w:t>
      </w:r>
      <w:r>
        <w:t>currió a la brigada.</w:t>
      </w:r>
    </w:p>
    <w:p w:rsidR="00224567" w:rsidRDefault="00224567">
      <w:pPr>
        <w:widowControl w:val="0"/>
      </w:pPr>
      <w:r>
        <w:tab/>
        <w:t>En esa misma línea, el defensor citó los dichos de Mario Ulises Colman, empleado de la guard</w:t>
      </w:r>
      <w:r>
        <w:t>e</w:t>
      </w:r>
      <w:r>
        <w:t>ría, quien recordó que Bottegal se presentó con un boleto de compraventa a fin de retirar el crucero, lo que le fue denegado, y manifestó que concurrieron dos personas de c</w:t>
      </w:r>
      <w:r>
        <w:t>i</w:t>
      </w:r>
      <w:r>
        <w:t>vil interiorizándose por el barco y que, posteriormente, lo hizo personal policial, negando que Rago lo hubiera h</w:t>
      </w:r>
      <w:r>
        <w:t>e</w:t>
      </w:r>
      <w:r>
        <w:t>cho.</w:t>
      </w:r>
    </w:p>
    <w:p w:rsidR="00224567" w:rsidRDefault="00224567">
      <w:pPr>
        <w:widowControl w:val="0"/>
      </w:pPr>
      <w:r>
        <w:tab/>
        <w:t>Por otra parte, consideró que los d</w:t>
      </w:r>
      <w:r>
        <w:t>i</w:t>
      </w:r>
      <w:r>
        <w:t>chos del Dr. Ricardo Gómez, cuya firma fue fals</w:t>
      </w:r>
      <w:r>
        <w:t>i</w:t>
      </w:r>
      <w:r>
        <w:t>ficada en el informe médico de Hugo Pérez, benef</w:t>
      </w:r>
      <w:r>
        <w:t>i</w:t>
      </w:r>
      <w:r>
        <w:t>ciaron a su pupilo cuando dijo que “recordaba al subcomisario Jorge Rago como una persona muy obses</w:t>
      </w:r>
      <w:r>
        <w:t>i</w:t>
      </w:r>
      <w:r>
        <w:t>va con los detenidos... que vivía en Caseros y que Rago lo hacía volver hasta la localidad de Beccar para revisar algún otro detenido que hubiera ingr</w:t>
      </w:r>
      <w:r>
        <w:t>e</w:t>
      </w:r>
      <w:r>
        <w:t>sado o para suministrar algún medicamento”, y que “se tr</w:t>
      </w:r>
      <w:r>
        <w:t>a</w:t>
      </w:r>
      <w:r>
        <w:t>taba de una persona muy cuidadosa con las lesiones de los deten</w:t>
      </w:r>
      <w:r>
        <w:t>i</w:t>
      </w:r>
      <w:r>
        <w:t>dos”.</w:t>
      </w:r>
    </w:p>
    <w:p w:rsidR="00224567" w:rsidRDefault="00224567">
      <w:pPr>
        <w:widowControl w:val="0"/>
      </w:pPr>
      <w:r>
        <w:tab/>
        <w:t>De igual modo, el letrado subrayó que el peritaje caligráfico de las grafías insertas en el i</w:t>
      </w:r>
      <w:r>
        <w:t>n</w:t>
      </w:r>
      <w:r>
        <w:t>forme desvinculó a su asistido en su confe</w:t>
      </w:r>
      <w:r>
        <w:t>c</w:t>
      </w:r>
      <w:r>
        <w:t>ción, y que la causa nº 31.433, instruida por el ilícito en cuestión, se archivó provisoriamente por considerarse que no existían elementos que acreditasen suficientemente la autoría de Rago en el del hecho.</w:t>
      </w:r>
    </w:p>
    <w:p w:rsidR="00224567" w:rsidRDefault="00224567">
      <w:pPr>
        <w:widowControl w:val="0"/>
      </w:pPr>
      <w:r>
        <w:tab/>
        <w:t>Por otra parte, la defensa señaló que su asistido no hizo insertar falsas aseveraciones en la declaración testimonial que recibió a Leal a fs. 37.128, por cuanto consid</w:t>
      </w:r>
      <w:r>
        <w:t>e</w:t>
      </w:r>
      <w:r>
        <w:t>ró que éste último declaró por sí mismo bajo promesa de decir verdad, de conformidad con lo que había tomado conocimiento. Además, expresó que la declar</w:t>
      </w:r>
      <w:r>
        <w:t>a</w:t>
      </w:r>
      <w:r>
        <w:t>ción en crisis -de adverso a lo sostenido por la acus</w:t>
      </w:r>
      <w:r>
        <w:t>a</w:t>
      </w:r>
      <w:r>
        <w:t>ción- fue r</w:t>
      </w:r>
      <w:r>
        <w:t>e</w:t>
      </w:r>
      <w:r>
        <w:t>cibida el 15 de julio de 1994, oportunidad en que Leal regresó a la dependencia policial junto con A</w:t>
      </w:r>
      <w:r>
        <w:t>r</w:t>
      </w:r>
      <w:r>
        <w:t>gentino Gabriel Las</w:t>
      </w:r>
      <w:r>
        <w:t>a</w:t>
      </w:r>
      <w:r>
        <w:t>la y el detenido Hugo Pérez. Ello, por cuanto, según afirmó la d</w:t>
      </w:r>
      <w:r>
        <w:t>e</w:t>
      </w:r>
      <w:r>
        <w:t>fensa, no existía prueba alguna que indicara que Leal arribó a la brigada el mismo día del procedimie</w:t>
      </w:r>
      <w:r>
        <w:t>n</w:t>
      </w:r>
      <w:r>
        <w:t>to.</w:t>
      </w:r>
    </w:p>
    <w:p w:rsidR="00224567" w:rsidRDefault="00224567">
      <w:pPr>
        <w:widowControl w:val="0"/>
      </w:pPr>
      <w:r>
        <w:tab/>
        <w:t>Con relación a los dichos de Mario B</w:t>
      </w:r>
      <w:r>
        <w:t>a</w:t>
      </w:r>
      <w:r>
        <w:t>reiro, en punto a que los bienes obtenidos de Carlos A</w:t>
      </w:r>
      <w:r>
        <w:t>l</w:t>
      </w:r>
      <w:r>
        <w:t>berto Telleldín serían distribuidos entre Rago, Leal, B</w:t>
      </w:r>
      <w:r>
        <w:t>a</w:t>
      </w:r>
      <w:r>
        <w:t>rreda, García, Lasala y Quinteros, la defensa señaló que no se entendía el criterio de la fiscalía, puesto que ut</w:t>
      </w:r>
      <w:r>
        <w:t>i</w:t>
      </w:r>
      <w:r>
        <w:t>lizó esa prueba sólo contra algunos de los imputados, d</w:t>
      </w:r>
      <w:r>
        <w:t>e</w:t>
      </w:r>
      <w:r>
        <w:t>jando de l</w:t>
      </w:r>
      <w:r>
        <w:t>a</w:t>
      </w:r>
      <w:r>
        <w:t>do a los otros.</w:t>
      </w:r>
    </w:p>
    <w:p w:rsidR="00224567" w:rsidRDefault="00224567">
      <w:pPr>
        <w:widowControl w:val="0"/>
      </w:pPr>
      <w:r>
        <w:tab/>
        <w:t>También recalcó que el representante del Ministerio Público Fiscal en su acusación no tuvo en cuenta que el procesado Bareiro se desdijo de sus primig</w:t>
      </w:r>
      <w:r>
        <w:t>e</w:t>
      </w:r>
      <w:r>
        <w:t>nias manifestaciones, fundamentalmente, en cua</w:t>
      </w:r>
      <w:r>
        <w:t>n</w:t>
      </w:r>
      <w:r>
        <w:t>to a que el objetivo del procedimiento tenía una fin</w:t>
      </w:r>
      <w:r>
        <w:t>a</w:t>
      </w:r>
      <w:r>
        <w:t>lidad lícita.</w:t>
      </w:r>
    </w:p>
    <w:p w:rsidR="00224567" w:rsidRDefault="00224567">
      <w:pPr>
        <w:widowControl w:val="0"/>
      </w:pPr>
      <w:r>
        <w:tab/>
        <w:t>Igualmente, entendió que las pr</w:t>
      </w:r>
      <w:r>
        <w:t>i</w:t>
      </w:r>
      <w:r>
        <w:t>meras manifestaciones de Bareiro fueron realizadas bajo pr</w:t>
      </w:r>
      <w:r>
        <w:t>e</w:t>
      </w:r>
      <w:r>
        <w:t>sión, toda vez que en el debate se acreditó el desigual trato dispensado por el juez instructor a los procesados, como el otorgamiento de lugares de detención pr</w:t>
      </w:r>
      <w:r>
        <w:t>i</w:t>
      </w:r>
      <w:r>
        <w:t>vilegiados y la libertad a quienes c</w:t>
      </w:r>
      <w:r>
        <w:t>o</w:t>
      </w:r>
      <w:r>
        <w:t>laboraban con la investigación, como fue el caso de Burguete, y la rig</w:t>
      </w:r>
      <w:r>
        <w:t>i</w:t>
      </w:r>
      <w:r>
        <w:t>dez en la detención para aquellos que no declararan lo que pretendía el juez.</w:t>
      </w:r>
    </w:p>
    <w:p w:rsidR="00224567" w:rsidRDefault="00224567">
      <w:pPr>
        <w:widowControl w:val="0"/>
      </w:pPr>
      <w:r>
        <w:tab/>
        <w:t>Sin perjuicio de lo expuesto precede</w:t>
      </w:r>
      <w:r>
        <w:t>n</w:t>
      </w:r>
      <w:r>
        <w:t>temente, el abogado defensor entendió que no se había acreditado la certeza de los dichos de Bare</w:t>
      </w:r>
      <w:r>
        <w:t>i</w:t>
      </w:r>
      <w:r>
        <w:t>ro, en virtud de la ajenidad de Rago en las activ</w:t>
      </w:r>
      <w:r>
        <w:t>i</w:t>
      </w:r>
      <w:r>
        <w:t>dades desarrolladas en torno a la entrega del barco “Gonzalo” y su falta de vi</w:t>
      </w:r>
      <w:r>
        <w:t>n</w:t>
      </w:r>
      <w:r>
        <w:t>culación con el abog</w:t>
      </w:r>
      <w:r>
        <w:t>a</w:t>
      </w:r>
      <w:r>
        <w:t>do Bottegal.</w:t>
      </w:r>
    </w:p>
    <w:p w:rsidR="00224567" w:rsidRDefault="00224567">
      <w:pPr>
        <w:widowControl w:val="0"/>
      </w:pPr>
      <w:r>
        <w:tab/>
        <w:t>Con relación al delito de privación ilegal de la libertad  agravada,  en  grado  de  tent</w:t>
      </w:r>
      <w:r>
        <w:t>a</w:t>
      </w:r>
      <w:r>
        <w:t>tiva –hecho imputado en la causa 501, por el cual se formuló acusación-, el defe</w:t>
      </w:r>
      <w:r>
        <w:t>n</w:t>
      </w:r>
      <w:r>
        <w:t>sor solicitó la extinción de la acción penal por prescripción en el entendimiento que su defend</w:t>
      </w:r>
      <w:r>
        <w:t>i</w:t>
      </w:r>
      <w:r>
        <w:t>do fue indagado por ese hecho el 15 de julio de 1996, por lo que a la fecha del dictado del auto de procesamiento –6 de diciembre de 2001- había transcurrido el plazo pr</w:t>
      </w:r>
      <w:r>
        <w:t>e</w:t>
      </w:r>
      <w:r>
        <w:t>visto en el art. 62, inc. 2º, del Código Penal.</w:t>
      </w:r>
    </w:p>
    <w:p w:rsidR="00224567" w:rsidRDefault="00224567">
      <w:pPr>
        <w:widowControl w:val="0"/>
      </w:pPr>
      <w:r>
        <w:tab/>
        <w:t>En forma subsidiaria, solicitó la l</w:t>
      </w:r>
      <w:r>
        <w:t>i</w:t>
      </w:r>
      <w:r>
        <w:t>bre absolución de su asistido por considerar que no se probó su participación en el hecho, ni que hubiera t</w:t>
      </w:r>
      <w:r>
        <w:t>e</w:t>
      </w:r>
      <w:r>
        <w:t>nido un efectivo conocimiento de las conductas de sus subord</w:t>
      </w:r>
      <w:r>
        <w:t>i</w:t>
      </w:r>
      <w:r>
        <w:t>nados, co</w:t>
      </w:r>
      <w:r>
        <w:t>n</w:t>
      </w:r>
      <w:r>
        <w:t>forme lo declaró en el juicio.</w:t>
      </w:r>
    </w:p>
    <w:p w:rsidR="00224567" w:rsidRDefault="00224567">
      <w:pPr>
        <w:widowControl w:val="0"/>
      </w:pPr>
      <w:r>
        <w:tab/>
        <w:t>Entendió que el actuar de su asistido se enmarcó en el legítimo cumplimiento de su actividad p</w:t>
      </w:r>
      <w:r>
        <w:t>o</w:t>
      </w:r>
      <w:r>
        <w:t>licial, destacando que informó ace</w:t>
      </w:r>
      <w:r>
        <w:t>r</w:t>
      </w:r>
      <w:r>
        <w:t>ca de todos los hechos que llegaron a su conocimiento a su superior, el c</w:t>
      </w:r>
      <w:r>
        <w:t>o</w:t>
      </w:r>
      <w:r>
        <w:t>misario Forgione, quien fue el que, en definitiva, impartió las órdenes.</w:t>
      </w:r>
    </w:p>
    <w:p w:rsidR="00224567" w:rsidRDefault="00224567">
      <w:pPr>
        <w:widowControl w:val="0"/>
      </w:pPr>
      <w:r>
        <w:tab/>
        <w:t xml:space="preserve">La defensa estimó que la acusación utilizó los dichos de Carlos Alberto Telleldín para probar algunos aspectos de la imputación dirigida contra </w:t>
      </w:r>
      <w:smartTag w:uri="urn:schemas-microsoft-com:office:smarttags" w:element="PersonName">
        <w:smartTagPr>
          <w:attr w:name="ProductID" w:val="la Brigada"/>
        </w:smartTagPr>
        <w:r>
          <w:t>la Br</w:t>
        </w:r>
        <w:r>
          <w:t>i</w:t>
        </w:r>
        <w:r>
          <w:t>gada</w:t>
        </w:r>
      </w:smartTag>
      <w:r>
        <w:t xml:space="preserve"> de Investigaciones de Vicente López y los descartó, sin más, en otras cuestiones, sin expr</w:t>
      </w:r>
      <w:r>
        <w:t>e</w:t>
      </w:r>
      <w:r>
        <w:t>sar los parámetros ut</w:t>
      </w:r>
      <w:r>
        <w:t>i</w:t>
      </w:r>
      <w:r>
        <w:t>lizados para ello; no obstante, señaló que del análisis de las distintas declaraciones de Telleldín era dable a</w:t>
      </w:r>
      <w:r>
        <w:t>d</w:t>
      </w:r>
      <w:r>
        <w:t>vertir varias contradicci</w:t>
      </w:r>
      <w:r>
        <w:t>o</w:t>
      </w:r>
      <w:r>
        <w:t>nes.</w:t>
      </w:r>
    </w:p>
    <w:p w:rsidR="00224567" w:rsidRDefault="00224567">
      <w:pPr>
        <w:widowControl w:val="0"/>
      </w:pPr>
      <w:r>
        <w:tab/>
        <w:t>Así, el letrado indicó que la existe</w:t>
      </w:r>
      <w:r>
        <w:t>n</w:t>
      </w:r>
      <w:r>
        <w:t>cia en el procedimiento del 14 de julio de 1994 de un a</w:t>
      </w:r>
      <w:r>
        <w:t>u</w:t>
      </w:r>
      <w:r>
        <w:t xml:space="preserve">tomóvil Fiat Duna, de color blanco –extremo que sostuvo insistentemente la fiscalía-, fue omitida por Telleldín en su declaración del 6 de agosto de </w:t>
      </w:r>
      <w:smartTag w:uri="urn:schemas-microsoft-com:office:smarttags" w:element="metricconverter">
        <w:smartTagPr>
          <w:attr w:name="ProductID" w:val="1994, a"/>
        </w:smartTagPr>
        <w:r>
          <w:t>1994, a</w:t>
        </w:r>
      </w:smartTag>
      <w:r>
        <w:t xml:space="preserve"> pesar de la h</w:t>
      </w:r>
      <w:r>
        <w:t>a</w:t>
      </w:r>
      <w:r>
        <w:t>berla volcado a los pocos días del hecho en cuestión y de haber dado sobrados detalles de los vehículos que interv</w:t>
      </w:r>
      <w:r>
        <w:t>i</w:t>
      </w:r>
      <w:r>
        <w:t>nieron.</w:t>
      </w:r>
    </w:p>
    <w:p w:rsidR="00224567" w:rsidRDefault="00224567">
      <w:pPr>
        <w:widowControl w:val="0"/>
      </w:pPr>
      <w:r>
        <w:tab/>
        <w:t>Esgrimió, que aquellas manifestaci</w:t>
      </w:r>
      <w:r>
        <w:t>o</w:t>
      </w:r>
      <w:r>
        <w:t>nes de Telleldín tuvieron la intención de agregar dicho aut</w:t>
      </w:r>
      <w:r>
        <w:t>o</w:t>
      </w:r>
      <w:r>
        <w:t>móvil, con el evidente propósito de pr</w:t>
      </w:r>
      <w:r>
        <w:t>e</w:t>
      </w:r>
      <w:r>
        <w:t>tender hacer creer que fue el mi</w:t>
      </w:r>
      <w:r>
        <w:t>s</w:t>
      </w:r>
      <w:r>
        <w:t>mo vehículo que participó el día 10 de julio de 1994.</w:t>
      </w:r>
    </w:p>
    <w:p w:rsidR="00224567" w:rsidRDefault="00224567">
      <w:pPr>
        <w:widowControl w:val="0"/>
      </w:pPr>
      <w:r>
        <w:tab/>
        <w:t>De igual modo, la asistencia técnica de Rago resaltó los dichos de Ana María Bora</w:t>
      </w:r>
      <w:r>
        <w:t>g</w:t>
      </w:r>
      <w:r>
        <w:t>ni, quien no reconoció la existencia de un rodado de esas característ</w:t>
      </w:r>
      <w:r>
        <w:t>i</w:t>
      </w:r>
      <w:r>
        <w:t>cas, ni tampoco haber colisionado con él cuando se di</w:t>
      </w:r>
      <w:r>
        <w:t>e</w:t>
      </w:r>
      <w:r>
        <w:t>ron a la fuga.</w:t>
      </w:r>
    </w:p>
    <w:p w:rsidR="00224567" w:rsidRDefault="00224567">
      <w:pPr>
        <w:widowControl w:val="0"/>
      </w:pPr>
      <w:r>
        <w:tab/>
        <w:t>Igualmente, hizo referencia a los d</w:t>
      </w:r>
      <w:r>
        <w:t>i</w:t>
      </w:r>
      <w:r>
        <w:t>chos del suboficial Manuel García, quien no ob</w:t>
      </w:r>
      <w:r>
        <w:t>s</w:t>
      </w:r>
      <w:r>
        <w:t>tante haber participado en el procedimiento, no constató la presencia del mencionado automotor.</w:t>
      </w:r>
    </w:p>
    <w:p w:rsidR="00224567" w:rsidRDefault="00224567">
      <w:pPr>
        <w:widowControl w:val="0"/>
      </w:pPr>
      <w:r>
        <w:tab/>
        <w:t xml:space="preserve">Con respecto al temor a represalias por parte de </w:t>
      </w:r>
      <w:smartTag w:uri="urn:schemas-microsoft-com:office:smarttags" w:element="PersonName">
        <w:smartTagPr>
          <w:attr w:name="ProductID" w:val="la Brigada"/>
        </w:smartTagPr>
        <w:r>
          <w:t>la Brigada</w:t>
        </w:r>
      </w:smartTag>
      <w:r>
        <w:t xml:space="preserve"> de Vicente López –circunstancia referida por Carlos Telleldín- por cuanto el motor del crucero entregado en garantía a Bottegal se encontraba fundido, el abogado defensor entendió que Telleldín, por un lado, como por el otro, Barreda, Bareiro y Bottegal, trataron de estafarse mutuamente, alegando que éstos no efectuaron diligencias en la brigada para que la invest</w:t>
      </w:r>
      <w:r>
        <w:t>i</w:t>
      </w:r>
      <w:r>
        <w:t>gación no continuara, siendo ajenos tanto su asistido como el jefe de la repartición Forgione de las maniobras ilíc</w:t>
      </w:r>
      <w:r>
        <w:t>i</w:t>
      </w:r>
      <w:r>
        <w:t>tas referenciadas.</w:t>
      </w:r>
    </w:p>
    <w:p w:rsidR="00224567" w:rsidRDefault="00224567">
      <w:pPr>
        <w:widowControl w:val="0"/>
      </w:pPr>
      <w:r>
        <w:tab/>
        <w:t>En cuanto a los golpes que Hugo Pérez dijo haber recibido dentro del automóvil Galaxy al ser trasladado a la dependencia policial, la defensa me</w:t>
      </w:r>
      <w:r>
        <w:t>n</w:t>
      </w:r>
      <w:r>
        <w:t>cionó que en la causa nº 30.477, formada a la sazón, se resolvió su archivo por no haberse acreditado el hecho denunciado.</w:t>
      </w:r>
    </w:p>
    <w:p w:rsidR="00224567" w:rsidRDefault="00224567">
      <w:pPr>
        <w:widowControl w:val="0"/>
      </w:pPr>
      <w:r>
        <w:tab/>
        <w:t>Además, expresó que las referencias vertidas por Hugo Pérez acerca de la actividad sosp</w:t>
      </w:r>
      <w:r>
        <w:t>e</w:t>
      </w:r>
      <w:r>
        <w:t>chosa de Darío y Horacio Luis Lira y su vinc</w:t>
      </w:r>
      <w:r>
        <w:t>u</w:t>
      </w:r>
      <w:r>
        <w:t>lación con personas de origen iraní relacionadas con el atentado, fue desvi</w:t>
      </w:r>
      <w:r>
        <w:t>r</w:t>
      </w:r>
      <w:r>
        <w:t>tuada de plano por los no</w:t>
      </w:r>
      <w:r>
        <w:t>m</w:t>
      </w:r>
      <w:r>
        <w:t>brados, razón por la cual estimó que nada de lo dicho por Pérez había r</w:t>
      </w:r>
      <w:r>
        <w:t>e</w:t>
      </w:r>
      <w:r>
        <w:t>sultado creíble.</w:t>
      </w:r>
    </w:p>
    <w:p w:rsidR="00224567" w:rsidRDefault="00224567">
      <w:pPr>
        <w:widowControl w:val="0"/>
      </w:pPr>
      <w:r>
        <w:tab/>
        <w:t xml:space="preserve">Por otra parte, para demostrar la inocencia de su  asistido, hizo referencia al testimonio del agente de </w:t>
      </w:r>
      <w:smartTag w:uri="urn:schemas-microsoft-com:office:smarttags" w:element="PersonName">
        <w:smartTagPr>
          <w:attr w:name="ProductID" w:val="la Secretar￭a"/>
        </w:smartTagPr>
        <w:r>
          <w:t>la Secretaría</w:t>
        </w:r>
      </w:smartTag>
      <w:r>
        <w:t xml:space="preserve"> de Inteligencia de Estado, H</w:t>
      </w:r>
      <w:r>
        <w:t>o</w:t>
      </w:r>
      <w:r>
        <w:t>racio Antonio Stiuso, quien se entrevistó con Diego Barr</w:t>
      </w:r>
      <w:r>
        <w:t>e</w:t>
      </w:r>
      <w:r>
        <w:t>da, Mario Bareiro y Juan Alberto Bottegal. Según sus d</w:t>
      </w:r>
      <w:r>
        <w:t>i</w:t>
      </w:r>
      <w:r>
        <w:t>chos, éstos confesaron haber extorsionado a Telleldín “h</w:t>
      </w:r>
      <w:r>
        <w:t>a</w:t>
      </w:r>
      <w:r>
        <w:t>ciendo uno de bueno y el otro de malo”. Empero, cuando fue preguntado acerca de la intervención de Rago en la mani</w:t>
      </w:r>
      <w:r>
        <w:t>o</w:t>
      </w:r>
      <w:r>
        <w:t>bra ilícita, el testigo respondió que, al respecto, no r</w:t>
      </w:r>
      <w:r>
        <w:t>e</w:t>
      </w:r>
      <w:r>
        <w:t>cogió ningún dato.</w:t>
      </w:r>
    </w:p>
    <w:p w:rsidR="00224567" w:rsidRDefault="00224567">
      <w:pPr>
        <w:widowControl w:val="0"/>
      </w:pPr>
      <w:r>
        <w:tab/>
        <w:t>Remarcó que el testimonio citado ap</w:t>
      </w:r>
      <w:r>
        <w:t>o</w:t>
      </w:r>
      <w:r>
        <w:t>yaba las protestas de inocencia de Rago, en tanto que sus consortes de causa Barreda, Bareiro y Bottegal, en la oportunidad referida, sin mediar ninguna presión de por medio, nada manifestaron al agente Stiuso acerca de su i</w:t>
      </w:r>
      <w:r>
        <w:t>n</w:t>
      </w:r>
      <w:r>
        <w:t>tervención en el hecho imput</w:t>
      </w:r>
      <w:r>
        <w:t>a</w:t>
      </w:r>
      <w:r>
        <w:t>do.</w:t>
      </w:r>
    </w:p>
    <w:p w:rsidR="00224567" w:rsidRDefault="00224567">
      <w:pPr>
        <w:widowControl w:val="0"/>
      </w:pPr>
      <w:r>
        <w:tab/>
        <w:t>El letrado defensor puso de r</w:t>
      </w:r>
      <w:r>
        <w:t>e</w:t>
      </w:r>
      <w:r>
        <w:t>lieve la intencionalidad evidenciada por la fiscalía en la valor</w:t>
      </w:r>
      <w:r>
        <w:t>a</w:t>
      </w:r>
      <w:r>
        <w:t>ción de la prueba, en tanto omitió tomar en cuenta como elementos de descargo toda aquella que beneficiara a su asistido, tal como fue el caso del testimonio antes ref</w:t>
      </w:r>
      <w:r>
        <w:t>e</w:t>
      </w:r>
      <w:r>
        <w:t>renciado; máxime cuando fue utilizado para formular acus</w:t>
      </w:r>
      <w:r>
        <w:t>a</w:t>
      </w:r>
      <w:r>
        <w:t>ción en contra de otros imp</w:t>
      </w:r>
      <w:r>
        <w:t>u</w:t>
      </w:r>
      <w:r>
        <w:t>tados.</w:t>
      </w:r>
    </w:p>
    <w:p w:rsidR="00224567" w:rsidRDefault="00224567">
      <w:pPr>
        <w:widowControl w:val="0"/>
      </w:pPr>
      <w:r>
        <w:tab/>
        <w:t>Destacó que el Estado argentino puso a trabajar en la investigación del atentado a todo el apar</w:t>
      </w:r>
      <w:r>
        <w:t>a</w:t>
      </w:r>
      <w:r>
        <w:t xml:space="preserve">to de </w:t>
      </w:r>
      <w:smartTag w:uri="urn:schemas-microsoft-com:office:smarttags" w:element="PersonName">
        <w:smartTagPr>
          <w:attr w:name="ProductID" w:val="la S.I"/>
        </w:smartTagPr>
        <w:r>
          <w:t>la S.I</w:t>
        </w:r>
      </w:smartTag>
      <w:r>
        <w:t>.D.E., concretamente, a varios sect</w:t>
      </w:r>
      <w:r>
        <w:t>o</w:t>
      </w:r>
      <w:r>
        <w:t>res, entre ellos el de Contrainteligencia a cargo de Stiuso, con todo su personal y medios, quién investigó el atentado desde que se produjo y que en esa investigación no fue invol</w:t>
      </w:r>
      <w:r>
        <w:t>u</w:t>
      </w:r>
      <w:r>
        <w:t>crado su cliente. Se preguntó, en esa línea, cuántas pe</w:t>
      </w:r>
      <w:r>
        <w:t>r</w:t>
      </w:r>
      <w:r>
        <w:t>sonas que tuvieran algo que ver con algún ilícito resist</w:t>
      </w:r>
      <w:r>
        <w:t>i</w:t>
      </w:r>
      <w:r>
        <w:t>rían una investigación de s</w:t>
      </w:r>
      <w:r>
        <w:t>e</w:t>
      </w:r>
      <w:r>
        <w:t>mejante magnitud.</w:t>
      </w:r>
    </w:p>
    <w:p w:rsidR="00224567" w:rsidRDefault="00224567">
      <w:pPr>
        <w:widowControl w:val="0"/>
      </w:pPr>
      <w:r>
        <w:tab/>
        <w:t>Con relación a la invocación del “de</w:t>
      </w:r>
      <w:r>
        <w:t>s</w:t>
      </w:r>
      <w:r>
        <w:t>vío Solari” por parte de la acusación, la defensa e</w:t>
      </w:r>
      <w:r>
        <w:t>n</w:t>
      </w:r>
      <w:r>
        <w:t xml:space="preserve">tendió que en la negociación entre Telleldín y el juez instructor en la mentada entrevista que reflejó el video del 1º de julio de 1996 se pactaron los testimonios de Solari y de los hermanos Cristaldo Brizuela, estimando que el juez, para la fecha en que se presentó Solari, “estaba armando la declaración de Carlos Telleldín del 5 de julio de </w:t>
      </w:r>
      <w:smartTag w:uri="urn:schemas-microsoft-com:office:smarttags" w:element="metricconverter">
        <w:smartTagPr>
          <w:attr w:name="ProductID" w:val="1996”"/>
        </w:smartTagPr>
        <w:r>
          <w:t>1996”</w:t>
        </w:r>
      </w:smartTag>
      <w:r>
        <w:t>.</w:t>
      </w:r>
    </w:p>
    <w:p w:rsidR="00224567" w:rsidRDefault="00224567">
      <w:pPr>
        <w:widowControl w:val="0"/>
      </w:pPr>
      <w:r>
        <w:tab/>
        <w:t>Además, el letrado consideró que Sol</w:t>
      </w:r>
      <w:r>
        <w:t>a</w:t>
      </w:r>
      <w:r>
        <w:t>ri fue utilizado por el juzgado instructor para realizar falsas imputaciones hacia su defendido y el personal pol</w:t>
      </w:r>
      <w:r>
        <w:t>i</w:t>
      </w:r>
      <w:r>
        <w:t>cial de Vicente López.</w:t>
      </w:r>
    </w:p>
    <w:p w:rsidR="00224567" w:rsidRDefault="00224567">
      <w:pPr>
        <w:widowControl w:val="0"/>
      </w:pPr>
      <w:r>
        <w:tab/>
        <w:t>Rechazó, por mendaces, tanto el test</w:t>
      </w:r>
      <w:r>
        <w:t>i</w:t>
      </w:r>
      <w:r>
        <w:t>monio de Ramón Emilio Solari como el de los hermanos Cri</w:t>
      </w:r>
      <w:r>
        <w:t>s</w:t>
      </w:r>
      <w:r>
        <w:t>taldo Brizuela, no sólo por las man</w:t>
      </w:r>
      <w:r>
        <w:t>i</w:t>
      </w:r>
      <w:r>
        <w:t>festaciones que, sobre el punto, realizó Claudio Lifschitz, sino porque n</w:t>
      </w:r>
      <w:r>
        <w:t>u</w:t>
      </w:r>
      <w:r>
        <w:t>merosas constancias de la causa nº 28.855, agregadas al legajo 13-A, desment</w:t>
      </w:r>
      <w:r>
        <w:t>í</w:t>
      </w:r>
      <w:r>
        <w:t>an sus dichos.</w:t>
      </w:r>
    </w:p>
    <w:p w:rsidR="00224567" w:rsidRDefault="00224567">
      <w:pPr>
        <w:widowControl w:val="0"/>
      </w:pPr>
      <w:r>
        <w:tab/>
        <w:t>En particular, mencionó las num</w:t>
      </w:r>
      <w:r>
        <w:t>e</w:t>
      </w:r>
      <w:r>
        <w:t>rosas solicitudes de traslados de la comisaría, denuncias por apremios ilegales y habeas corpus formulados por Ramón Emilio Solari (v. g. fs. 587, 681, 682, 756, 769, 737, 740, 771, 773, 783, 828 y 837 del mentado legajo), que d</w:t>
      </w:r>
      <w:r>
        <w:t>e</w:t>
      </w:r>
      <w:r>
        <w:t xml:space="preserve">mostraban que el personal de </w:t>
      </w:r>
      <w:smartTag w:uri="urn:schemas-microsoft-com:office:smarttags" w:element="PersonName">
        <w:smartTagPr>
          <w:attr w:name="ProductID" w:val="la Brigada"/>
        </w:smartTagPr>
        <w:r>
          <w:t>la Brigada</w:t>
        </w:r>
      </w:smartTag>
      <w:r>
        <w:t xml:space="preserve"> de Vicente López no le otorgó privilegios en sus co</w:t>
      </w:r>
      <w:r>
        <w:t>n</w:t>
      </w:r>
      <w:r>
        <w:t>diciones de detención.</w:t>
      </w:r>
    </w:p>
    <w:p w:rsidR="00224567" w:rsidRDefault="00224567">
      <w:pPr>
        <w:widowControl w:val="0"/>
      </w:pPr>
      <w:r>
        <w:tab/>
        <w:t>En igual sentido, la defensa me</w:t>
      </w:r>
      <w:r>
        <w:t>n</w:t>
      </w:r>
      <w:r>
        <w:t>cionó los testimonios de Graciela Bernal, Benito Levaggi, Robe</w:t>
      </w:r>
      <w:r>
        <w:t>r</w:t>
      </w:r>
      <w:r>
        <w:t>to Oliver, Daniel Lencina, Rubén Marcel, Miguel León, I</w:t>
      </w:r>
      <w:r>
        <w:t>g</w:t>
      </w:r>
      <w:r>
        <w:t>nacio Ojeda y Luis Roa que, a su criterio, determinaron que Solari no se e</w:t>
      </w:r>
      <w:r>
        <w:t>x</w:t>
      </w:r>
      <w:r>
        <w:t>presó con la verdad.</w:t>
      </w:r>
    </w:p>
    <w:p w:rsidR="00224567" w:rsidRDefault="00224567">
      <w:pPr>
        <w:widowControl w:val="0"/>
      </w:pPr>
      <w:r>
        <w:tab/>
        <w:t>Por otra parte, refirió que Sol</w:t>
      </w:r>
      <w:r>
        <w:t>a</w:t>
      </w:r>
      <w:r>
        <w:t xml:space="preserve">ri no mencionó en ningún momento a Rago, sea en su testimonial ante el juez instructor, sea en la entrevista de </w:t>
      </w:r>
      <w:smartTag w:uri="urn:schemas-microsoft-com:office:smarttags" w:element="PersonName">
        <w:smartTagPr>
          <w:attr w:name="ProductID" w:val="la Comisi￳n Bicameral"/>
        </w:smartTagPr>
        <w:r>
          <w:t>la Com</w:t>
        </w:r>
        <w:r>
          <w:t>i</w:t>
        </w:r>
        <w:r>
          <w:t>sión Bicameral</w:t>
        </w:r>
      </w:smartTag>
      <w:r>
        <w:t xml:space="preserve"> sino que, por el contrario, dijo que su asistido para la época de su denuncia, había sido trasl</w:t>
      </w:r>
      <w:r>
        <w:t>a</w:t>
      </w:r>
      <w:r>
        <w:t>dado a otra depe</w:t>
      </w:r>
      <w:r>
        <w:t>n</w:t>
      </w:r>
      <w:r>
        <w:t>dencia policial.</w:t>
      </w:r>
    </w:p>
    <w:p w:rsidR="00224567" w:rsidRDefault="00224567">
      <w:pPr>
        <w:widowControl w:val="0"/>
      </w:pPr>
      <w:r>
        <w:tab/>
        <w:t>Precisó que aquella circunstancia fue corroborada, además, por la documentación agregada al l</w:t>
      </w:r>
      <w:r>
        <w:t>e</w:t>
      </w:r>
      <w:r>
        <w:t>gajo personal policial y por los l</w:t>
      </w:r>
      <w:r>
        <w:t>i</w:t>
      </w:r>
      <w:r>
        <w:t xml:space="preserve">bros de guardia de las comisarías de Vicente López y de </w:t>
      </w:r>
      <w:smartTag w:uri="urn:schemas-microsoft-com:office:smarttags" w:element="PersonName">
        <w:smartTagPr>
          <w:attr w:name="ProductID" w:val="La Matanza"/>
        </w:smartTagPr>
        <w:r>
          <w:t>La Matanza</w:t>
        </w:r>
      </w:smartTag>
      <w:r>
        <w:t>, que demostr</w:t>
      </w:r>
      <w:r>
        <w:t>a</w:t>
      </w:r>
      <w:r>
        <w:t>ban que al mes de enero de 1995, fecha en que Solari com</w:t>
      </w:r>
      <w:r>
        <w:t>u</w:t>
      </w:r>
      <w:r>
        <w:t>nicó el supuesto de</w:t>
      </w:r>
      <w:r>
        <w:t>s</w:t>
      </w:r>
      <w:r>
        <w:t>vío de la investigación, su defendido se e</w:t>
      </w:r>
      <w:r>
        <w:t>n</w:t>
      </w:r>
      <w:r>
        <w:t>contraba en su nuevo destino policial desde noviembre de 1994.</w:t>
      </w:r>
    </w:p>
    <w:p w:rsidR="00224567" w:rsidRDefault="00224567">
      <w:pPr>
        <w:widowControl w:val="0"/>
      </w:pPr>
      <w:r>
        <w:tab/>
        <w:t>Sobre la base de lo expresado, la d</w:t>
      </w:r>
      <w:r>
        <w:t>e</w:t>
      </w:r>
      <w:r>
        <w:t>fensa insistió con que Rago no cometió ilícito alguno y que en todo momento cumplió las órdenes emanadas por su jefe, Enrique Carlos Forgione, con la finalidad de real</w:t>
      </w:r>
      <w:r>
        <w:t>i</w:t>
      </w:r>
      <w:r>
        <w:t>zar un procedimiento lícito que culminaría con la dete</w:t>
      </w:r>
      <w:r>
        <w:t>n</w:t>
      </w:r>
      <w:r>
        <w:t>ción de personas que llevaban a cabo una actividad ilíc</w:t>
      </w:r>
      <w:r>
        <w:t>i</w:t>
      </w:r>
      <w:r>
        <w:t>ta, y con el secuestro de los vehículos adulter</w:t>
      </w:r>
      <w:r>
        <w:t>a</w:t>
      </w:r>
      <w:r>
        <w:t>dos.</w:t>
      </w:r>
    </w:p>
    <w:p w:rsidR="00224567" w:rsidRDefault="00224567">
      <w:pPr>
        <w:widowControl w:val="0"/>
      </w:pPr>
      <w:r>
        <w:tab/>
        <w:t>La defensa rechazó la imputación dir</w:t>
      </w:r>
      <w:r>
        <w:t>i</w:t>
      </w:r>
      <w:r>
        <w:t>gida a su asistido de haber integrado una asociación il</w:t>
      </w:r>
      <w:r>
        <w:t>í</w:t>
      </w:r>
      <w:r>
        <w:t>cita junto con los policías que, por entonces, int</w:t>
      </w:r>
      <w:r>
        <w:t>e</w:t>
      </w:r>
      <w:r>
        <w:t>graban las Brigadas de Investigaciones de Lanús y V</w:t>
      </w:r>
      <w:r>
        <w:t>i</w:t>
      </w:r>
      <w:r>
        <w:t>cente López, co</w:t>
      </w:r>
      <w:r>
        <w:t>n</w:t>
      </w:r>
      <w:r>
        <w:t>siderando que la prueba producida en el debate en modo alguno había acred</w:t>
      </w:r>
      <w:r>
        <w:t>i</w:t>
      </w:r>
      <w:r>
        <w:t>tado tal extremo.</w:t>
      </w:r>
    </w:p>
    <w:p w:rsidR="00224567" w:rsidRDefault="00224567">
      <w:pPr>
        <w:widowControl w:val="0"/>
      </w:pPr>
      <w:r>
        <w:tab/>
        <w:t>En ese orden, la defensa citó el i</w:t>
      </w:r>
      <w:r>
        <w:t>n</w:t>
      </w:r>
      <w:r>
        <w:t>forme obrante a fs. 3451vta. y 3452 del legajo de instru</w:t>
      </w:r>
      <w:r>
        <w:t>c</w:t>
      </w:r>
      <w:r>
        <w:t>ción suplementaria, que descartó comunicaciones telefón</w:t>
      </w:r>
      <w:r>
        <w:t>i</w:t>
      </w:r>
      <w:r>
        <w:t>cas entre el celular de su asistido y los de Juan José R</w:t>
      </w:r>
      <w:r>
        <w:t>i</w:t>
      </w:r>
      <w:r>
        <w:t>belli y Marcelo Albarracín dura</w:t>
      </w:r>
      <w:r>
        <w:t>n</w:t>
      </w:r>
      <w:r>
        <w:t>te el período comprendido entre marzo y agosto de 1994, y las constancias de fs. 3000/5 y 4672/80 del mencionado legajo, de las cuales su</w:t>
      </w:r>
      <w:r>
        <w:t>r</w:t>
      </w:r>
      <w:r>
        <w:t xml:space="preserve">gía que Rago no prestó servicios en </w:t>
      </w:r>
      <w:smartTag w:uri="urn:schemas-microsoft-com:office:smarttags" w:element="PersonName">
        <w:smartTagPr>
          <w:attr w:name="ProductID" w:val="la Brigada"/>
        </w:smartTagPr>
        <w:r>
          <w:t>la Brigada</w:t>
        </w:r>
      </w:smartTag>
      <w:r>
        <w:t xml:space="preserve"> de Invest</w:t>
      </w:r>
      <w:r>
        <w:t>i</w:t>
      </w:r>
      <w:r>
        <w:t>gaciones de Lanús.</w:t>
      </w:r>
    </w:p>
    <w:p w:rsidR="00224567" w:rsidRDefault="00224567">
      <w:pPr>
        <w:widowControl w:val="0"/>
      </w:pPr>
      <w:r>
        <w:tab/>
        <w:t>Asimismo, la asistencia técnica de R</w:t>
      </w:r>
      <w:r>
        <w:t>a</w:t>
      </w:r>
      <w:r>
        <w:t>go citó los testimonios de Rodolfo Carmelo D</w:t>
      </w:r>
      <w:r>
        <w:t>i</w:t>
      </w:r>
      <w:r>
        <w:t>polito, Luis Eugenio Gómez, Sandra Karina Cardeal, Federico Caneva y Rei</w:t>
      </w:r>
      <w:r>
        <w:t>n</w:t>
      </w:r>
      <w:r>
        <w:t>aldo Álvarez, quienes negaron conocer a su defendido. Los dos primeros eran propietarios del local de comidas “Mocona”, donde se reunía el personal policial de Lanús, mientras que los restantes estaban vi</w:t>
      </w:r>
      <w:r>
        <w:t>n</w:t>
      </w:r>
      <w:r>
        <w:t>culados a Ribelli en las agencias de venta de autos, donde concurría junto con otros integrantes de la br</w:t>
      </w:r>
      <w:r>
        <w:t>i</w:t>
      </w:r>
      <w:r>
        <w:t>gada en cuestión.</w:t>
      </w:r>
    </w:p>
    <w:p w:rsidR="00224567" w:rsidRDefault="00224567">
      <w:pPr>
        <w:widowControl w:val="0"/>
      </w:pPr>
      <w:r>
        <w:tab/>
        <w:t xml:space="preserve">Además, señaló que los policías que pertenecieron a </w:t>
      </w:r>
      <w:smartTag w:uri="urn:schemas-microsoft-com:office:smarttags" w:element="PersonName">
        <w:smartTagPr>
          <w:attr w:name="ProductID" w:val="la Brigada"/>
        </w:smartTagPr>
        <w:r>
          <w:t>la Brigada</w:t>
        </w:r>
      </w:smartTag>
      <w:r>
        <w:t xml:space="preserve"> de Investigaciones de Lanús fueron contestes en afirmar que no los unió ninguna rel</w:t>
      </w:r>
      <w:r>
        <w:t>a</w:t>
      </w:r>
      <w:r>
        <w:t>ción laboral con Rago.</w:t>
      </w:r>
    </w:p>
    <w:p w:rsidR="00224567" w:rsidRDefault="00224567">
      <w:pPr>
        <w:widowControl w:val="0"/>
      </w:pPr>
      <w:r>
        <w:tab/>
        <w:t>Como prueba de ello, añadió que poco antes de ser deten</w:t>
      </w:r>
      <w:r>
        <w:t>i</w:t>
      </w:r>
      <w:r>
        <w:t>do Juan José Ribelli, éste efectuó una serie de llamados telefónicos a distintos lugares y pers</w:t>
      </w:r>
      <w:r>
        <w:t>o</w:t>
      </w:r>
      <w:r>
        <w:t>nas, mostrando preocupación por la situación de quienes aparecían como i</w:t>
      </w:r>
      <w:r>
        <w:t>m</w:t>
      </w:r>
      <w:r>
        <w:t>putados, pero no así por su defendido, ya que no tenían rel</w:t>
      </w:r>
      <w:r>
        <w:t>a</w:t>
      </w:r>
      <w:r>
        <w:t>ción.</w:t>
      </w:r>
    </w:p>
    <w:p w:rsidR="00224567" w:rsidRDefault="00224567">
      <w:pPr>
        <w:widowControl w:val="0"/>
      </w:pPr>
      <w:r>
        <w:tab/>
        <w:t>También sostuvo que no hubo comunic</w:t>
      </w:r>
      <w:r>
        <w:t>a</w:t>
      </w:r>
      <w:r>
        <w:t>ciones telefónicas entre su cliente y Carlos Telleldín, Ana Boragni y Hugo Pérez entre marzo y agosto de 1994, destacando que los dos primeros y Sandra Petrucci, n</w:t>
      </w:r>
      <w:r>
        <w:t>e</w:t>
      </w:r>
      <w:r>
        <w:t>garon haber conocido a Rago.</w:t>
      </w:r>
    </w:p>
    <w:p w:rsidR="00224567" w:rsidRDefault="00224567">
      <w:pPr>
        <w:widowControl w:val="0"/>
      </w:pPr>
      <w:r>
        <w:tab/>
        <w:t>Por otra parte, el abogado expr</w:t>
      </w:r>
      <w:r>
        <w:t>e</w:t>
      </w:r>
      <w:r>
        <w:t>só que la fiscalía omitió señalar desde cuándo Rago integró la mentada asociación ilícita, ni tampoco precisó las exige</w:t>
      </w:r>
      <w:r>
        <w:t>n</w:t>
      </w:r>
      <w:r>
        <w:t>cias requeridas por dicha figura penal, tales como la e</w:t>
      </w:r>
      <w:r>
        <w:t>s</w:t>
      </w:r>
      <w:r>
        <w:t>tabilidad y permanencia de la sociedad en el tiempo. Por lo demás, adhirió a las consideraciones que, sobre el pa</w:t>
      </w:r>
      <w:r>
        <w:t>r</w:t>
      </w:r>
      <w:r>
        <w:t>ticular, efectuaron las defensas de los demás imputados.</w:t>
      </w:r>
    </w:p>
    <w:p w:rsidR="00224567" w:rsidRDefault="00224567">
      <w:pPr>
        <w:widowControl w:val="0"/>
      </w:pPr>
      <w:r>
        <w:tab/>
        <w:t>En otro orden de ideas, destacó que la fiscalía no explicó por qué desincriminó a Daniel Emilio Quinteros y A</w:t>
      </w:r>
      <w:r>
        <w:t>r</w:t>
      </w:r>
      <w:r>
        <w:t>gentino Gabriel Lasala de dicha organización delictiva, ni por qué razón no involucró a Manuel García en la comisión de ese il</w:t>
      </w:r>
      <w:r>
        <w:t>í</w:t>
      </w:r>
      <w:r>
        <w:t>cito; omisiones que le impidieron evaluar qué prueba había jugado en contra de su asistido.</w:t>
      </w:r>
    </w:p>
    <w:p w:rsidR="00224567" w:rsidRDefault="00224567">
      <w:pPr>
        <w:widowControl w:val="0"/>
      </w:pPr>
      <w:r>
        <w:tab/>
        <w:t>Posteriormente, la defensa dest</w:t>
      </w:r>
      <w:r>
        <w:t>a</w:t>
      </w:r>
      <w:r>
        <w:t>có que de la simple lectura de la causa se desprendía que Rago nunca había sido requerido por la fiscalía por ningún d</w:t>
      </w:r>
      <w:r>
        <w:t>e</w:t>
      </w:r>
      <w:r>
        <w:t>lito; situación que traía aparejada la nulidad del proc</w:t>
      </w:r>
      <w:r>
        <w:t>e</w:t>
      </w:r>
      <w:r>
        <w:t>dimiento obrado en consecuencia, toda vez que los repr</w:t>
      </w:r>
      <w:r>
        <w:t>e</w:t>
      </w:r>
      <w:r>
        <w:t>sentantes del Mini</w:t>
      </w:r>
      <w:r>
        <w:t>s</w:t>
      </w:r>
      <w:r>
        <w:t>terio Público Fiscal no habilitaron la acción persecutoria al juez in</w:t>
      </w:r>
      <w:r>
        <w:t>s</w:t>
      </w:r>
      <w:r>
        <w:t>tructor.</w:t>
      </w:r>
    </w:p>
    <w:p w:rsidR="00224567" w:rsidRDefault="00224567">
      <w:pPr>
        <w:widowControl w:val="0"/>
      </w:pPr>
      <w:r>
        <w:tab/>
        <w:t>Por ello, impetró la nulidad t</w:t>
      </w:r>
      <w:r>
        <w:t>o</w:t>
      </w:r>
      <w:r>
        <w:t>tal de la causa “Brigadas”, solicitando en consecuencia la abs</w:t>
      </w:r>
      <w:r>
        <w:t>o</w:t>
      </w:r>
      <w:r>
        <w:t>lución de su d</w:t>
      </w:r>
      <w:r>
        <w:t>e</w:t>
      </w:r>
      <w:r>
        <w:t>fendido.</w:t>
      </w:r>
    </w:p>
    <w:p w:rsidR="00224567" w:rsidRDefault="00224567">
      <w:pPr>
        <w:widowControl w:val="0"/>
      </w:pPr>
      <w:r>
        <w:tab/>
        <w:t>También planteó la inconstitucional</w:t>
      </w:r>
      <w:r>
        <w:t>i</w:t>
      </w:r>
      <w:r>
        <w:t>dad de la pena de reclusión por entender que si bien se hallaba legislada en el artículo 24 del Código Penal, la misma se encuentra reñida con la l</w:t>
      </w:r>
      <w:r>
        <w:t>e</w:t>
      </w:r>
      <w:r>
        <w:t xml:space="preserve">tra y el espíritu de </w:t>
      </w:r>
      <w:smartTag w:uri="urn:schemas-microsoft-com:office:smarttags" w:element="PersonName">
        <w:smartTagPr>
          <w:attr w:name="ProductID" w:val="la Constituci￳n Nacional"/>
        </w:smartTagPr>
        <w:r>
          <w:t>la Constitución Nacional</w:t>
        </w:r>
      </w:smartTag>
      <w:r>
        <w:t>, ya que avasallaba principios y g</w:t>
      </w:r>
      <w:r>
        <w:t>a</w:t>
      </w:r>
      <w:r>
        <w:t>rantías fundament</w:t>
      </w:r>
      <w:r>
        <w:t>a</w:t>
      </w:r>
      <w:r>
        <w:t xml:space="preserve">les, entre los que mencionó el principio de celeridad procesal del art. 8 de </w:t>
      </w:r>
      <w:smartTag w:uri="urn:schemas-microsoft-com:office:smarttags" w:element="PersonName">
        <w:smartTagPr>
          <w:attr w:name="ProductID" w:val="la Convenci￳n Americana"/>
        </w:smartTagPr>
        <w:r>
          <w:t>la Convención Americ</w:t>
        </w:r>
        <w:r>
          <w:t>a</w:t>
        </w:r>
        <w:r>
          <w:t>na</w:t>
        </w:r>
      </w:smartTag>
      <w:r>
        <w:t xml:space="preserve"> sobre Derechos Humanos, el principio de culpabilidad previsto en el art. 19 de </w:t>
      </w:r>
      <w:smartTag w:uri="urn:schemas-microsoft-com:office:smarttags" w:element="PersonName">
        <w:smartTagPr>
          <w:attr w:name="ProductID" w:val="la Constituci￳n Nacional"/>
        </w:smartTagPr>
        <w:r>
          <w:t>la Constitución Nacional</w:t>
        </w:r>
      </w:smartTag>
      <w:r>
        <w:t>, la g</w:t>
      </w:r>
      <w:r>
        <w:t>a</w:t>
      </w:r>
      <w:r>
        <w:t>rantía de la defensa en juicio, el principio de juez nat</w:t>
      </w:r>
      <w:r>
        <w:t>u</w:t>
      </w:r>
      <w:r>
        <w:t>ral y el de igualdad ante la ley, adhiriendo a los pla</w:t>
      </w:r>
      <w:r>
        <w:t>n</w:t>
      </w:r>
      <w:r>
        <w:t>teos defensistas que lo pr</w:t>
      </w:r>
      <w:r>
        <w:t>e</w:t>
      </w:r>
      <w:r>
        <w:t>cedieron.</w:t>
      </w:r>
    </w:p>
    <w:p w:rsidR="00224567" w:rsidRDefault="00224567">
      <w:pPr>
        <w:widowControl w:val="0"/>
      </w:pPr>
      <w:r>
        <w:tab/>
        <w:t>Por último, el letrado se agravió por la especie y el monto de pena solicitada por los represe</w:t>
      </w:r>
      <w:r>
        <w:t>n</w:t>
      </w:r>
      <w:r>
        <w:t>tantes del Ministerio Público Fi</w:t>
      </w:r>
      <w:r>
        <w:t>s</w:t>
      </w:r>
      <w:r>
        <w:t>cal. Al respecto, señaló que la acusación no diferenció la entidad de las conductas atribuidas a quienes se i</w:t>
      </w:r>
      <w:r>
        <w:t>m</w:t>
      </w:r>
      <w:r>
        <w:t>putó la comisión del atentado y a quienes se repr</w:t>
      </w:r>
      <w:r>
        <w:t>o</w:t>
      </w:r>
      <w:r>
        <w:t>chó delitos comunes.</w:t>
      </w:r>
    </w:p>
    <w:p w:rsidR="00224567" w:rsidRDefault="00224567">
      <w:pPr>
        <w:widowControl w:val="0"/>
      </w:pPr>
      <w:r>
        <w:tab/>
        <w:t>Finalmente, precisó que su defendido soportó durante ocho años el escarnio que le significó e</w:t>
      </w:r>
      <w:r>
        <w:t>s</w:t>
      </w:r>
      <w:r>
        <w:t>ta causa, siendo infamado por la querella y los fi</w:t>
      </w:r>
      <w:r>
        <w:t>s</w:t>
      </w:r>
      <w:r>
        <w:t>cales, subrayando que la familia de Rago fue discriminada y que todos los amigos y hasta algunos familiares le dieron la espalda; Rago fue privado de su libertad y le cortaron su brillante carrera, ocasionándole a su mujer e hijos un d</w:t>
      </w:r>
      <w:r>
        <w:t>a</w:t>
      </w:r>
      <w:r>
        <w:t>ño de imposible reparación, concluyendo que su asistido necesitaba que su honor le fuera devuelto por la s</w:t>
      </w:r>
      <w:r>
        <w:t>o</w:t>
      </w:r>
      <w:r>
        <w:t>ciedad que se lo había quitado.</w:t>
      </w:r>
    </w:p>
    <w:p w:rsidR="00224567" w:rsidRDefault="00224567">
      <w:pPr>
        <w:widowControl w:val="0"/>
      </w:pPr>
    </w:p>
    <w:p w:rsidR="00224567" w:rsidRDefault="00224567">
      <w:pPr>
        <w:pStyle w:val="Textoindependiente"/>
        <w:spacing w:line="600" w:lineRule="auto"/>
        <w:ind w:firstLine="2835"/>
      </w:pPr>
      <w:r>
        <w:rPr>
          <w:b/>
          <w:bCs/>
        </w:rPr>
        <w:t>C.8)</w:t>
      </w:r>
      <w:r>
        <w:t xml:space="preserve"> A su turno, el Dr. Eduardo Ant</w:t>
      </w:r>
      <w:r>
        <w:t>o</w:t>
      </w:r>
      <w:r>
        <w:t>nio Dromi no formuló defensa por Hugo Antonio Pérez y Miguel Gustavo Jaimes ni por Bautista Alberto Huici respecto del hecho del día 15 de marzo de 1994, por e</w:t>
      </w:r>
      <w:r>
        <w:t>n</w:t>
      </w:r>
      <w:r>
        <w:t>tender que, al no mediar acusación fiscal, el tribunal debía absolverlos co</w:t>
      </w:r>
      <w:r>
        <w:t>n</w:t>
      </w:r>
      <w:r>
        <w:t xml:space="preserve">forme la doctrina de los fallos “Mostaccio” y “Tarifeño” de </w:t>
      </w:r>
      <w:smartTag w:uri="urn:schemas-microsoft-com:office:smarttags" w:element="PersonName">
        <w:smartTagPr>
          <w:attr w:name="ProductID" w:val="la Corte Suprema"/>
        </w:smartTagPr>
        <w:r>
          <w:t>la Corte Suprema</w:t>
        </w:r>
      </w:smartTag>
      <w:r>
        <w:t xml:space="preserve"> de Just</w:t>
      </w:r>
      <w:r>
        <w:t>i</w:t>
      </w:r>
      <w:r>
        <w:t xml:space="preserve">cia de </w:t>
      </w:r>
      <w:smartTag w:uri="urn:schemas-microsoft-com:office:smarttags" w:element="PersonName">
        <w:smartTagPr>
          <w:attr w:name="ProductID" w:val="la Naci￳n."/>
        </w:smartTagPr>
        <w:r>
          <w:t>la Nación.</w:t>
        </w:r>
      </w:smartTag>
    </w:p>
    <w:p w:rsidR="00224567" w:rsidRDefault="00224567">
      <w:pPr>
        <w:pStyle w:val="Textoindependiente"/>
        <w:spacing w:line="600" w:lineRule="auto"/>
        <w:ind w:firstLine="2835"/>
      </w:pPr>
      <w:r>
        <w:t>En segundo término, adhirió al pla</w:t>
      </w:r>
      <w:r>
        <w:t>n</w:t>
      </w:r>
      <w:r>
        <w:t>teo de nulidad del a</w:t>
      </w:r>
      <w:r>
        <w:t>c</w:t>
      </w:r>
      <w:r>
        <w:t>ta de secuestro del motor deducido por la fiscalía y entendió, en virtud de los argumentos brindados por las Dras. Novello y Fechino –defensoras de Carlos A</w:t>
      </w:r>
      <w:r>
        <w:t>l</w:t>
      </w:r>
      <w:r>
        <w:t>berto Telleldín-, que la reconstrucción de dicho acto no podía suplirse a través de los testigos, por lo que corre</w:t>
      </w:r>
      <w:r>
        <w:t>s</w:t>
      </w:r>
      <w:r>
        <w:t>pondía declarar la nulidad absoluta de lo actuado en cons</w:t>
      </w:r>
      <w:r>
        <w:t>e</w:t>
      </w:r>
      <w:r>
        <w:t xml:space="preserve">cuencia toda vez que de otro modo no podría haberse llegado a Telleldín ni a </w:t>
      </w:r>
      <w:smartTag w:uri="urn:schemas-microsoft-com:office:smarttags" w:element="PersonName">
        <w:smartTagPr>
          <w:attr w:name="ProductID" w:val="la Polic￭a Bonaerense."/>
        </w:smartTagPr>
        <w:r>
          <w:t>la Policía B</w:t>
        </w:r>
        <w:r>
          <w:t>o</w:t>
        </w:r>
        <w:r>
          <w:t>naerense.</w:t>
        </w:r>
      </w:smartTag>
    </w:p>
    <w:p w:rsidR="00224567" w:rsidRDefault="00224567">
      <w:pPr>
        <w:pStyle w:val="Textoindependiente"/>
        <w:spacing w:line="600" w:lineRule="auto"/>
        <w:ind w:firstLine="2835"/>
      </w:pPr>
      <w:r>
        <w:t>En adhesión a los argumentos brind</w:t>
      </w:r>
      <w:r>
        <w:t>a</w:t>
      </w:r>
      <w:r>
        <w:t>dos por las partes que lo precedieron en el alegato, también impetró la nulidad de la declaración indagatoria de Telle</w:t>
      </w:r>
      <w:r>
        <w:t>l</w:t>
      </w:r>
      <w:r>
        <w:t>dín del día 5 de julio de 1994, aclarando que, de hacerse lugar a esta petición, no existía en la causa vía indepe</w:t>
      </w:r>
      <w:r>
        <w:t>n</w:t>
      </w:r>
      <w:r>
        <w:t xml:space="preserve">diente para dar con </w:t>
      </w:r>
      <w:smartTag w:uri="urn:schemas-microsoft-com:office:smarttags" w:element="PersonName">
        <w:smartTagPr>
          <w:attr w:name="ProductID" w:val="la Brigada"/>
        </w:smartTagPr>
        <w:r>
          <w:t>la Brigada</w:t>
        </w:r>
      </w:smartTag>
      <w:r>
        <w:t xml:space="preserve"> de L</w:t>
      </w:r>
      <w:r>
        <w:t>a</w:t>
      </w:r>
      <w:r>
        <w:t>nús, por lo que también consideró que correspondía declarar nulo todo lo obrado y absolver a quienes fueron miembros de dicha brig</w:t>
      </w:r>
      <w:r>
        <w:t>a</w:t>
      </w:r>
      <w:r>
        <w:t>da.</w:t>
      </w:r>
    </w:p>
    <w:p w:rsidR="00224567" w:rsidRDefault="00224567">
      <w:pPr>
        <w:pStyle w:val="Textoindependiente"/>
        <w:spacing w:line="600" w:lineRule="auto"/>
        <w:ind w:firstLine="2835"/>
      </w:pPr>
      <w:r>
        <w:t>Objetó que la denominada causa “Brig</w:t>
      </w:r>
      <w:r>
        <w:t>a</w:t>
      </w:r>
      <w:r>
        <w:t>das” constituyera una vía independiente. En ese entend</w:t>
      </w:r>
      <w:r>
        <w:t>i</w:t>
      </w:r>
      <w:r>
        <w:t>miento destacó que al no explicitar el comisario Verón c</w:t>
      </w:r>
      <w:r>
        <w:t>ó</w:t>
      </w:r>
      <w:r>
        <w:t xml:space="preserve">mo obtuvo la información por la cual dispuso librar oficio únicamente a </w:t>
      </w:r>
      <w:smartTag w:uri="urn:schemas-microsoft-com:office:smarttags" w:element="PersonName">
        <w:smartTagPr>
          <w:attr w:name="ProductID" w:val="la Brigada"/>
        </w:smartTagPr>
        <w:r>
          <w:t>la Brigada</w:t>
        </w:r>
      </w:smartTag>
      <w:r>
        <w:t xml:space="preserve"> de Investigaciones de Vicente L</w:t>
      </w:r>
      <w:r>
        <w:t>ó</w:t>
      </w:r>
      <w:r>
        <w:t xml:space="preserve">pez y a la de Lanús, impidió a esa parte ejercer su control. Sobre el punto, el Dr. Dromi concluyó que existió un plan tendiente a vincular a </w:t>
      </w:r>
      <w:smartTag w:uri="urn:schemas-microsoft-com:office:smarttags" w:element="PersonName">
        <w:smartTagPr>
          <w:attr w:name="ProductID" w:val="la Polic￭a Bonaerense"/>
        </w:smartTagPr>
        <w:r>
          <w:t>la Policía Bonaerense</w:t>
        </w:r>
      </w:smartTag>
      <w:r>
        <w:t xml:space="preserve"> con el atent</w:t>
      </w:r>
      <w:r>
        <w:t>a</w:t>
      </w:r>
      <w:r>
        <w:t xml:space="preserve">do a </w:t>
      </w:r>
      <w:smartTag w:uri="urn:schemas-microsoft-com:office:smarttags" w:element="PersonName">
        <w:smartTagPr>
          <w:attr w:name="ProductID" w:val="la A.M"/>
        </w:smartTagPr>
        <w:r>
          <w:t>la A.M</w:t>
        </w:r>
      </w:smartTag>
      <w:r>
        <w:t>.I.A. y al “haber dejado constancia expresa en la ‘causa material’ de la existencia de ese plan es lo que genera la nulidad absoluta del inicio de la i</w:t>
      </w:r>
      <w:r>
        <w:t>n</w:t>
      </w:r>
      <w:r>
        <w:t>vestigación y de todos los actos que son su consecue</w:t>
      </w:r>
      <w:r>
        <w:t>n</w:t>
      </w:r>
      <w:r>
        <w:t>cia”.</w:t>
      </w:r>
    </w:p>
    <w:p w:rsidR="00224567" w:rsidRDefault="00224567">
      <w:pPr>
        <w:pStyle w:val="Textoindependiente"/>
        <w:spacing w:line="600" w:lineRule="auto"/>
        <w:ind w:firstLine="2835"/>
      </w:pPr>
      <w:r>
        <w:t>Por otra parte, el Dr. Dromi e</w:t>
      </w:r>
      <w:r>
        <w:t>x</w:t>
      </w:r>
      <w:r>
        <w:t>presó la necesidad de pr</w:t>
      </w:r>
      <w:r>
        <w:t>e</w:t>
      </w:r>
      <w:r>
        <w:t>cisar las circunstancias por las cuales su pupilo declaró en la forma en que lo hizo a fs. 201/202 de la causa n° 5681 del registro del Juzg</w:t>
      </w:r>
      <w:r>
        <w:t>a</w:t>
      </w:r>
      <w:r>
        <w:t>do en lo Criminal y Correccional n° 5 del Departamento Judicial de Quilmes pr</w:t>
      </w:r>
      <w:r>
        <w:t>e</w:t>
      </w:r>
      <w:r>
        <w:t>cisando, en ese sentido, que aquél prestó ese te</w:t>
      </w:r>
      <w:r>
        <w:t>s</w:t>
      </w:r>
      <w:r>
        <w:t>timonio el 15 de marzo de 1994 y no el 14, como constaba en el acta; que dicha diligencia tuvo por finalidad “blanquear” el pr</w:t>
      </w:r>
      <w:r>
        <w:t>o</w:t>
      </w:r>
      <w:r>
        <w:t>cedimiento en el que se lesionó el suboficial Casas y fue chocado el a</w:t>
      </w:r>
      <w:r>
        <w:t>u</w:t>
      </w:r>
      <w:r>
        <w:t>to del taxista Sexto, la que firmó sin leer y por instigación de Juan José Ribelli. Señaló que, por el poder y los contactos que Ribelli mantenía con la cúpula policial, su defendido temió perjudicar su carrera de no cumplir con lo propuesto por aquél y, probablemente, su s</w:t>
      </w:r>
      <w:r>
        <w:t>i</w:t>
      </w:r>
      <w:r>
        <w:t>tuación fam</w:t>
      </w:r>
      <w:r>
        <w:t>i</w:t>
      </w:r>
      <w:r>
        <w:t>liar.</w:t>
      </w:r>
    </w:p>
    <w:p w:rsidR="00224567" w:rsidRDefault="00224567">
      <w:pPr>
        <w:pStyle w:val="Textoindependiente"/>
        <w:spacing w:line="600" w:lineRule="auto"/>
        <w:ind w:firstLine="2835"/>
      </w:pPr>
      <w:r>
        <w:t>El letrado mencionó que los testigos Javier Roberto Smurro y Oscar Lorenzo Díaz ratificaron lo dicho por su asistido; con relación al primero ref</w:t>
      </w:r>
      <w:r>
        <w:t>i</w:t>
      </w:r>
      <w:r>
        <w:t>rió que éste dijo que Huici le había contado que unos pares o sup</w:t>
      </w:r>
      <w:r>
        <w:t>e</w:t>
      </w:r>
      <w:r>
        <w:t>riores de él lo habían obligado a realizar una declar</w:t>
      </w:r>
      <w:r>
        <w:t>a</w:t>
      </w:r>
      <w:r>
        <w:t>ción espontánea, no quedando dudas que, por su carácter de jefe de op</w:t>
      </w:r>
      <w:r>
        <w:t>e</w:t>
      </w:r>
      <w:r>
        <w:t>raciones, quien lo había obligado era Ribelli, lo que a su vez era coincidente con lo manifestado en el debate por Díaz, quien dijo que Huici le había comentado que Rib</w:t>
      </w:r>
      <w:r>
        <w:t>e</w:t>
      </w:r>
      <w:r>
        <w:t>lli le pidió que hiciera esa d</w:t>
      </w:r>
      <w:r>
        <w:t>e</w:t>
      </w:r>
      <w:r>
        <w:t>claración.</w:t>
      </w:r>
    </w:p>
    <w:p w:rsidR="00224567" w:rsidRDefault="00224567">
      <w:pPr>
        <w:pStyle w:val="Textoindependiente"/>
        <w:spacing w:line="600" w:lineRule="auto"/>
        <w:ind w:firstLine="2835"/>
      </w:pPr>
      <w:r>
        <w:t>Que del testimonio de Díaz –continuó el defensor- también surgió que la declaración cuestionada t</w:t>
      </w:r>
      <w:r>
        <w:t>u</w:t>
      </w:r>
      <w:r>
        <w:t>vo por finalidad encubrir el a</w:t>
      </w:r>
      <w:r>
        <w:t>c</w:t>
      </w:r>
      <w:r>
        <w:t>cidente de Casas, por lo que se realizó con posterioridad a éste, acl</w:t>
      </w:r>
      <w:r>
        <w:t>a</w:t>
      </w:r>
      <w:r>
        <w:t>rando que si bien Díaz refirió luego que Huici había declarado el mismo día de la detención de Ambrosi y Buján, ello obedeció a un error producto del tiempo transcurrido.</w:t>
      </w:r>
    </w:p>
    <w:p w:rsidR="00224567" w:rsidRDefault="00224567">
      <w:pPr>
        <w:pStyle w:val="Textoindependiente"/>
        <w:spacing w:line="600" w:lineRule="auto"/>
        <w:ind w:firstLine="2835"/>
      </w:pPr>
      <w:r>
        <w:t>Asimismo, el Dr. Dromi remarcó que el aporte de su asistido fue circunstancial, porque descon</w:t>
      </w:r>
      <w:r>
        <w:t>o</w:t>
      </w:r>
      <w:r>
        <w:t>cía que los policías habían ido a Olivos a detener a T</w:t>
      </w:r>
      <w:r>
        <w:t>e</w:t>
      </w:r>
      <w:r>
        <w:t>lleldín y porque tampoco sabía que los que fueron iban a tener que “blanquear” el procedimiento al regr</w:t>
      </w:r>
      <w:r>
        <w:t>e</w:t>
      </w:r>
      <w:r>
        <w:t>sar a la brigada.</w:t>
      </w:r>
    </w:p>
    <w:p w:rsidR="00224567" w:rsidRDefault="00224567">
      <w:pPr>
        <w:pStyle w:val="Textoindependiente"/>
        <w:spacing w:line="600" w:lineRule="auto"/>
        <w:ind w:firstLine="2835"/>
      </w:pPr>
      <w:r>
        <w:t>Con mención de las declaraciones ind</w:t>
      </w:r>
      <w:r>
        <w:t>a</w:t>
      </w:r>
      <w:r>
        <w:t>gatorias de Marcelo Darío Casas y de Eduardo Diego Toledo obrantes a fs. 1129/1131 y 1133/1135, respectivamente, de la causa n° 502, y de la testimonial prestada por Raúl Ed</w:t>
      </w:r>
      <w:r>
        <w:t>i</w:t>
      </w:r>
      <w:r>
        <w:t>lio Ibarra a fs. 233/234 de la causa n° 5681, la defensa afirmó que el dato de que “el Enano” era Telleldín no lo aportó Buján, sino que ya era conocido por alguien de la brigada, introducido con posterioridad en la declaración testimonial de Huici.</w:t>
      </w:r>
    </w:p>
    <w:p w:rsidR="00224567" w:rsidRDefault="00224567">
      <w:pPr>
        <w:pStyle w:val="Textoindependiente"/>
        <w:spacing w:line="600" w:lineRule="auto"/>
        <w:ind w:firstLine="2835"/>
      </w:pPr>
      <w:r>
        <w:t>Cuestionó los argumentos que, en c</w:t>
      </w:r>
      <w:r>
        <w:t>o</w:t>
      </w:r>
      <w:r>
        <w:t>ntra de Huici, esbozó el Dr. Moreno, defensor de José Miguel Arancibia, e indicó que su pupilo jamás dijo que había vi</w:t>
      </w:r>
      <w:r>
        <w:t>s</w:t>
      </w:r>
      <w:r>
        <w:t>to enyesado a Casas; que en la indagatoria de fs. 40.544 Huici sostuvo que era cierta la declaración espontánea de Buján y que lo falso era el dato de “el Enano”; que el 14 de marzo su asistido prestó una declaración y que al día siguiente, luego del procedimiento en Olivos, fue modific</w:t>
      </w:r>
      <w:r>
        <w:t>a</w:t>
      </w:r>
      <w:r>
        <w:t>da, aprovechándose esta declaración por la infinidad de d</w:t>
      </w:r>
      <w:r>
        <w:t>a</w:t>
      </w:r>
      <w:r>
        <w:t xml:space="preserve">tos aportados. </w:t>
      </w:r>
    </w:p>
    <w:p w:rsidR="00224567" w:rsidRDefault="00224567">
      <w:pPr>
        <w:pStyle w:val="Textoindependiente"/>
        <w:spacing w:line="600" w:lineRule="auto"/>
        <w:ind w:firstLine="2835"/>
      </w:pPr>
      <w:r>
        <w:t>Explicó que a fs. 204 se dispusieron diversas medidas, mientras que en forma ai</w:t>
      </w:r>
      <w:r>
        <w:t>s</w:t>
      </w:r>
      <w:r>
        <w:t>lada, a fs. 203, se ordenó que el subcomisario Raúl Edilio Ibarra, con pe</w:t>
      </w:r>
      <w:r>
        <w:t>r</w:t>
      </w:r>
      <w:r>
        <w:t>sonal a su cargo, individualice a “el Enano”, entendiendo con ello que si la declaración hubiera existido el día 14 de marzo, tal como sostenía su colega, no se co</w:t>
      </w:r>
      <w:r>
        <w:t>m</w:t>
      </w:r>
      <w:r>
        <w:t>prendía por qué motivo no se ordenó la mencionada indiv</w:t>
      </w:r>
      <w:r>
        <w:t>i</w:t>
      </w:r>
      <w:r>
        <w:t>dualización en forma conjunta con las demás medidas.</w:t>
      </w:r>
    </w:p>
    <w:p w:rsidR="00224567" w:rsidRDefault="00224567">
      <w:pPr>
        <w:pStyle w:val="Textoindependiente"/>
        <w:spacing w:line="600" w:lineRule="auto"/>
        <w:ind w:firstLine="2835"/>
      </w:pPr>
      <w:r>
        <w:t>Dijo también que la foja 203 fue inte</w:t>
      </w:r>
      <w:r>
        <w:t>r</w:t>
      </w:r>
      <w:r>
        <w:t>calada con posterioridad, precisamente porque el d</w:t>
      </w:r>
      <w:r>
        <w:t>a</w:t>
      </w:r>
      <w:r>
        <w:t>to falso de “el Enano” se agregó después y que esa foja y las núm</w:t>
      </w:r>
      <w:r>
        <w:t>e</w:t>
      </w:r>
      <w:r>
        <w:t>ros 201 y 202 carecían de sello foliador como las resta</w:t>
      </w:r>
      <w:r>
        <w:t>n</w:t>
      </w:r>
      <w:r>
        <w:t>tes; maniobra de sustitución que pudo llevarse a cabo sin inconvenientes porque el sumario permaneció en la brigada desde el 14 de marzo, a las 0.00 ó 1.00, hasta el 16 de ese mes, a las 9.00.</w:t>
      </w:r>
    </w:p>
    <w:p w:rsidR="00224567" w:rsidRDefault="00224567">
      <w:pPr>
        <w:pStyle w:val="Textoindependiente"/>
        <w:spacing w:line="600" w:lineRule="auto"/>
        <w:ind w:firstLine="2835"/>
      </w:pPr>
      <w:r>
        <w:t>Luego de enumerar diversas consta</w:t>
      </w:r>
      <w:r>
        <w:t>n</w:t>
      </w:r>
      <w:r>
        <w:t>cias de la causa de Quilmes, precisó que a su pupilo sólo le e</w:t>
      </w:r>
      <w:r>
        <w:t>n</w:t>
      </w:r>
      <w:r>
        <w:t>comendaron las cuestiones que tenían relación con el r</w:t>
      </w:r>
      <w:r>
        <w:t>o</w:t>
      </w:r>
      <w:r>
        <w:t>bo y homicidio en la sodería y que, en cambio, las diligencias vinculadas a Telleldín fueron asignadas a otras personas, entre ellas a Ibarra, quien realizaba las impo</w:t>
      </w:r>
      <w:r>
        <w:t>r</w:t>
      </w:r>
      <w:r>
        <w:t>tantes.</w:t>
      </w:r>
    </w:p>
    <w:p w:rsidR="00224567" w:rsidRDefault="00224567">
      <w:pPr>
        <w:pStyle w:val="Textoindependiente"/>
        <w:spacing w:line="600" w:lineRule="auto"/>
        <w:ind w:firstLine="2835"/>
      </w:pPr>
      <w:r>
        <w:t>En respuesta a la acusación ve</w:t>
      </w:r>
      <w:r>
        <w:t>r</w:t>
      </w:r>
      <w:r>
        <w:t>tida por la fiscalía, el defensor público oficial estimó que su asistido, en agosto y septiembre de 1994 informó al juzg</w:t>
      </w:r>
      <w:r>
        <w:t>a</w:t>
      </w:r>
      <w:r>
        <w:t>do instructor del Departamento Judicial de Quilmes que no se había podido individualizar a Carlos Teccedín por cua</w:t>
      </w:r>
      <w:r>
        <w:t>n</w:t>
      </w:r>
      <w:r>
        <w:t>to no conocía a Carlos Alberto Telleldín, dado que no intervino en los procedimientos del 15 de marzo y 4 de abril de 1994.</w:t>
      </w:r>
    </w:p>
    <w:p w:rsidR="00224567" w:rsidRDefault="00224567">
      <w:pPr>
        <w:pStyle w:val="Textoindependiente"/>
        <w:spacing w:line="600" w:lineRule="auto"/>
        <w:ind w:firstLine="2835"/>
      </w:pPr>
      <w:r>
        <w:t>Con relación a la participación neces</w:t>
      </w:r>
      <w:r>
        <w:t>a</w:t>
      </w:r>
      <w:r>
        <w:t>ria de Bautista Huici en el secuestro extorsivo de Carlos Alberto Telleldín y Sandra Marisa Petrucci, que según los acusadores ocurrió el 4 de abril de 1994, solicitó la abs</w:t>
      </w:r>
      <w:r>
        <w:t>o</w:t>
      </w:r>
      <w:r>
        <w:t>lución de su defendido por entender que no tuvo particip</w:t>
      </w:r>
      <w:r>
        <w:t>a</w:t>
      </w:r>
      <w:r>
        <w:t>ción alguna en ese hecho.</w:t>
      </w:r>
    </w:p>
    <w:p w:rsidR="00224567" w:rsidRDefault="00224567">
      <w:pPr>
        <w:pStyle w:val="Textoindependiente"/>
        <w:spacing w:line="600" w:lineRule="auto"/>
        <w:ind w:firstLine="2835"/>
      </w:pPr>
      <w:r>
        <w:t>Complementó su posición indicando que no existió, ni el fiscal mencionó, prueba alguna que perm</w:t>
      </w:r>
      <w:r>
        <w:t>i</w:t>
      </w:r>
      <w:r>
        <w:t>tiera afirmar que su pupilo tuvo conoc</w:t>
      </w:r>
      <w:r>
        <w:t>i</w:t>
      </w:r>
      <w:r>
        <w:t>miento y voluntad de que su declaración habría de utilizarse p</w:t>
      </w:r>
      <w:r>
        <w:t>a</w:t>
      </w:r>
      <w:r>
        <w:t>ra detener a los nombrados en la localidad de Tortuguitas, no surgiendo de las constancias del expediente que aquél como tampoco Sm</w:t>
      </w:r>
      <w:r>
        <w:t>u</w:t>
      </w:r>
      <w:r>
        <w:t>rro y Díaz, integrantes de su grupo operativo, hayan part</w:t>
      </w:r>
      <w:r>
        <w:t>i</w:t>
      </w:r>
      <w:r>
        <w:t>cipado de los procedimie</w:t>
      </w:r>
      <w:r>
        <w:t>n</w:t>
      </w:r>
      <w:r>
        <w:t>tos del 15 de marzo y 4 de abril. Aclaró que el 5 de abril, día en que permanecieron Telle</w:t>
      </w:r>
      <w:r>
        <w:t>l</w:t>
      </w:r>
      <w:r>
        <w:t xml:space="preserve">dín y Petrucci detenidos en </w:t>
      </w:r>
      <w:smartTag w:uri="urn:schemas-microsoft-com:office:smarttags" w:element="PersonName">
        <w:smartTagPr>
          <w:attr w:name="ProductID" w:val="la Brigada"/>
        </w:smartTagPr>
        <w:r>
          <w:t>la Brigada</w:t>
        </w:r>
      </w:smartTag>
      <w:r>
        <w:t xml:space="preserve"> de Lanús, Huici pa</w:t>
      </w:r>
      <w:r>
        <w:t>r</w:t>
      </w:r>
      <w:r>
        <w:t>tió hacia San Nicolás, a las 7.00 junto con el oficial José Antonio Alfonso, situación que fue corroborada en la a</w:t>
      </w:r>
      <w:r>
        <w:t>u</w:t>
      </w:r>
      <w:r>
        <w:t>diencia de debate por el testigo Germán Daniel Rodríguez; que no existía motivo para participar a Huici de los hechos ilícitos que pretendían realizar con Telle</w:t>
      </w:r>
      <w:r>
        <w:t>l</w:t>
      </w:r>
      <w:r>
        <w:t>dín y que en la oportunidad en que se efectuó el reconocimiento fotográf</w:t>
      </w:r>
      <w:r>
        <w:t>i</w:t>
      </w:r>
      <w:r>
        <w:t>co, el último de los nombrados no ide</w:t>
      </w:r>
      <w:r>
        <w:t>n</w:t>
      </w:r>
      <w:r>
        <w:t>tificó a su asistido.</w:t>
      </w:r>
    </w:p>
    <w:p w:rsidR="00224567" w:rsidRDefault="00224567">
      <w:pPr>
        <w:pStyle w:val="Textoindependiente"/>
        <w:spacing w:line="600" w:lineRule="auto"/>
        <w:ind w:firstLine="2835"/>
      </w:pPr>
      <w:r>
        <w:t>Por otra parte, la defensa consideró que no se encontraban acreditados los elementos del tipo objetivo del delito de falso testimonio endilgado a Bauti</w:t>
      </w:r>
      <w:r>
        <w:t>s</w:t>
      </w:r>
      <w:r>
        <w:t>ta Alberto Huici, por lo que solicitó su absolución, dest</w:t>
      </w:r>
      <w:r>
        <w:t>a</w:t>
      </w:r>
      <w:r>
        <w:t>cando que el Sr. fiscal no había demostrado de qué manera se afectó la correcta administración de justicia –bien j</w:t>
      </w:r>
      <w:r>
        <w:t>u</w:t>
      </w:r>
      <w:r>
        <w:t>rídico protegido- con los datos aportados por su asist</w:t>
      </w:r>
      <w:r>
        <w:t>i</w:t>
      </w:r>
      <w:r>
        <w:t>do. Con mención de doctrina y antecedentes jurisprudenciales sobre el punto, concluyó que la declaración falsa no fue idónea, pues no influyó en la decisión de la jueza de la causa de Quilmes y que tampoco guardaba relación con el o</w:t>
      </w:r>
      <w:r>
        <w:t>b</w:t>
      </w:r>
      <w:r>
        <w:t>jeto investigado en dicho expediente.</w:t>
      </w:r>
    </w:p>
    <w:p w:rsidR="00224567" w:rsidRDefault="00224567">
      <w:pPr>
        <w:pStyle w:val="Textoindependiente"/>
        <w:spacing w:line="600" w:lineRule="auto"/>
        <w:ind w:firstLine="2835"/>
      </w:pPr>
      <w:r>
        <w:t>Subsidiariamente, consideró que corre</w:t>
      </w:r>
      <w:r>
        <w:t>s</w:t>
      </w:r>
      <w:r>
        <w:t>pondía encuadrar el accionar de su asistido en la figura simple del falso testimonio, por cuanto la normativa vige</w:t>
      </w:r>
      <w:r>
        <w:t>n</w:t>
      </w:r>
      <w:r>
        <w:t>te fija como condición para agravar la co</w:t>
      </w:r>
      <w:r>
        <w:t>n</w:t>
      </w:r>
      <w:r>
        <w:t>ducta que ella se realice en perjuicio del i</w:t>
      </w:r>
      <w:r>
        <w:t>n</w:t>
      </w:r>
      <w:r>
        <w:t xml:space="preserve">culpado. </w:t>
      </w:r>
    </w:p>
    <w:p w:rsidR="00224567" w:rsidRDefault="00224567">
      <w:pPr>
        <w:pStyle w:val="Textoindependiente"/>
        <w:spacing w:line="600" w:lineRule="auto"/>
        <w:ind w:firstLine="2835"/>
      </w:pPr>
      <w:r>
        <w:t>Añadió también que, aun cuando se co</w:t>
      </w:r>
      <w:r>
        <w:t>n</w:t>
      </w:r>
      <w:r>
        <w:t>siderara que la acción desplegada por Bautista Huici era típica, correspondía su absolución dado que por las amen</w:t>
      </w:r>
      <w:r>
        <w:t>a</w:t>
      </w:r>
      <w:r>
        <w:t>zas que por su posición ejerció Juan José Ribelli, su pup</w:t>
      </w:r>
      <w:r>
        <w:t>i</w:t>
      </w:r>
      <w:r>
        <w:t>lo actuó bajo un estado de necesidad justifica</w:t>
      </w:r>
      <w:r>
        <w:t>n</w:t>
      </w:r>
      <w:r>
        <w:t>te.</w:t>
      </w:r>
    </w:p>
    <w:p w:rsidR="00224567" w:rsidRDefault="00224567">
      <w:pPr>
        <w:pStyle w:val="Textoindependiente"/>
        <w:spacing w:line="600" w:lineRule="auto"/>
        <w:ind w:firstLine="2835"/>
      </w:pPr>
      <w:r>
        <w:t>El defensor oficial destacó que las presiones que ejercieron sobre su asistido el Dr. Fed</w:t>
      </w:r>
      <w:r>
        <w:t>e</w:t>
      </w:r>
      <w:r>
        <w:t xml:space="preserve">rico Domínguez, </w:t>
      </w:r>
      <w:smartTag w:uri="urn:schemas-microsoft-com:office:smarttags" w:element="PersonName">
        <w:smartTagPr>
          <w:attr w:name="ProductID" w:val="la Dra. Marta"/>
        </w:smartTagPr>
        <w:r>
          <w:t>la Dra. Marta</w:t>
        </w:r>
      </w:smartTag>
      <w:r>
        <w:t xml:space="preserve"> Parascándolo y el comis</w:t>
      </w:r>
      <w:r>
        <w:t>a</w:t>
      </w:r>
      <w:r>
        <w:t>rio Vicat habían sido explicadas por su defendido en la indagatoria del 9 de febrero de 1998, pero la versión de que Ribelli lo obligó a declarar falsamente siempre la mantuvo.</w:t>
      </w:r>
    </w:p>
    <w:p w:rsidR="00224567" w:rsidRDefault="00224567">
      <w:pPr>
        <w:pStyle w:val="Textoindependiente"/>
        <w:spacing w:line="600" w:lineRule="auto"/>
        <w:ind w:firstLine="2835"/>
      </w:pPr>
      <w:r>
        <w:t>Coincidió con la defensa de Rib</w:t>
      </w:r>
      <w:r>
        <w:t>e</w:t>
      </w:r>
      <w:r>
        <w:t>lli en sus apreciaciones acerca de la legitimidad de la causa n° 5681, pero aclaró que el dato de “el Enano” no lo aportó Buján y que el procedimiento ilegítimo se i</w:t>
      </w:r>
      <w:r>
        <w:t>n</w:t>
      </w:r>
      <w:r>
        <w:t>trodujo en ese expediente para dotarlo de legalidad. Como última respue</w:t>
      </w:r>
      <w:r>
        <w:t>s</w:t>
      </w:r>
      <w:r>
        <w:t>ta al letrado dijo que Huici, ya a fs. 710/711 del sumario a</w:t>
      </w:r>
      <w:r>
        <w:t>d</w:t>
      </w:r>
      <w:r>
        <w:t>ministrativo, había sostenido que declaró obligado por Juan José Ribelli.</w:t>
      </w:r>
    </w:p>
    <w:p w:rsidR="00224567" w:rsidRDefault="00224567">
      <w:pPr>
        <w:pStyle w:val="Textoindependiente"/>
        <w:spacing w:line="600" w:lineRule="auto"/>
        <w:ind w:firstLine="2835"/>
      </w:pPr>
      <w:r>
        <w:t>En otro orden de ideas, sostuvo que la fiscalía tampoco había demostrado la concurrencia de los elementos objetivos del delito de asociación ilícita, más allá de no haber explicado el sustento fáctico de dicha h</w:t>
      </w:r>
      <w:r>
        <w:t>i</w:t>
      </w:r>
      <w:r>
        <w:t>pótesis, por lo que también requirió la absolución de Ba</w:t>
      </w:r>
      <w:r>
        <w:t>u</w:t>
      </w:r>
      <w:r>
        <w:t>tista A</w:t>
      </w:r>
      <w:r>
        <w:t>l</w:t>
      </w:r>
      <w:r>
        <w:t>berto Huici.</w:t>
      </w:r>
    </w:p>
    <w:p w:rsidR="00224567" w:rsidRDefault="00224567">
      <w:pPr>
        <w:pStyle w:val="Textoindependiente"/>
        <w:spacing w:line="600" w:lineRule="auto"/>
        <w:ind w:firstLine="2835"/>
      </w:pPr>
      <w:r>
        <w:t>Tras indicar que no reiteraría los co</w:t>
      </w:r>
      <w:r>
        <w:t>n</w:t>
      </w:r>
      <w:r>
        <w:t>ceptos vertidos por sus colegas preopinantes respecto de las irregularidades cometidas durante la instrucción, sol</w:t>
      </w:r>
      <w:r>
        <w:t>i</w:t>
      </w:r>
      <w:r>
        <w:t xml:space="preserve">citó que se extrajeran testimonios del legajo 308 y del alegato de </w:t>
      </w:r>
      <w:smartTag w:uri="urn:schemas-microsoft-com:office:smarttags" w:element="PersonName">
        <w:smartTagPr>
          <w:attr w:name="ProductID" w:val="La Dra. Nercellas"/>
        </w:smartTagPr>
        <w:r>
          <w:t>la Dra. Nercellas</w:t>
        </w:r>
      </w:smartTag>
      <w:r>
        <w:t xml:space="preserve"> para remitirlos al Colegio P</w:t>
      </w:r>
      <w:r>
        <w:t>ú</w:t>
      </w:r>
      <w:r>
        <w:t xml:space="preserve">blico de Abogados de </w:t>
      </w:r>
      <w:smartTag w:uri="urn:schemas-microsoft-com:office:smarttags" w:element="PersonName">
        <w:smartTagPr>
          <w:attr w:name="ProductID" w:val="la Capital Federal"/>
        </w:smartTagPr>
        <w:r>
          <w:t>la Capital Federal</w:t>
        </w:r>
      </w:smartTag>
      <w:r>
        <w:t xml:space="preserve"> y al de la provi</w:t>
      </w:r>
      <w:r>
        <w:t>n</w:t>
      </w:r>
      <w:r>
        <w:t>cia de Buenos Aires, a fin de considerar la conducta prof</w:t>
      </w:r>
      <w:r>
        <w:t>e</w:t>
      </w:r>
      <w:r>
        <w:t>sional de la nombrada y del Dr. Zaidenberg en la presente ca</w:t>
      </w:r>
      <w:r>
        <w:t>u</w:t>
      </w:r>
      <w:r>
        <w:t>sa.</w:t>
      </w:r>
    </w:p>
    <w:p w:rsidR="00224567" w:rsidRDefault="00224567">
      <w:pPr>
        <w:pStyle w:val="Textoindependiente"/>
        <w:spacing w:line="600" w:lineRule="auto"/>
        <w:ind w:firstLine="2835"/>
      </w:pPr>
      <w:r>
        <w:t>Cuestionó al fiscal Nisman por no haber fundamentado el pedido de pena de reclusión, al que calif</w:t>
      </w:r>
      <w:r>
        <w:t>i</w:t>
      </w:r>
      <w:r>
        <w:t>có de arbitrario y antojadizo por cuanto omitió hacer ref</w:t>
      </w:r>
      <w:r>
        <w:t>e</w:t>
      </w:r>
      <w:r>
        <w:t>rencia a la actitud posterior al delito de su asistido, a las presiones, al temor fundado y a las demás circunsta</w:t>
      </w:r>
      <w:r>
        <w:t>n</w:t>
      </w:r>
      <w:r>
        <w:t>cias en las que éste actuó, como así tampoco a la actividad desplegada por la querella, la duración del proceso ni al tiempo de detención s</w:t>
      </w:r>
      <w:r>
        <w:t>u</w:t>
      </w:r>
      <w:r>
        <w:t>frido.</w:t>
      </w:r>
    </w:p>
    <w:p w:rsidR="00224567" w:rsidRDefault="00224567">
      <w:pPr>
        <w:pStyle w:val="Textoindependiente"/>
        <w:spacing w:line="600" w:lineRule="auto"/>
        <w:ind w:firstLine="2835"/>
      </w:pPr>
      <w:r>
        <w:t>En cuanto al modo en que debía comp</w:t>
      </w:r>
      <w:r>
        <w:t>u</w:t>
      </w:r>
      <w:r>
        <w:t>tarse el tiempo de detención en prisión preventiva a</w:t>
      </w:r>
      <w:r>
        <w:t>d</w:t>
      </w:r>
      <w:r>
        <w:t>hirió a los argumentos brindados por el Dr. García.</w:t>
      </w:r>
    </w:p>
    <w:p w:rsidR="00224567" w:rsidRDefault="00224567">
      <w:pPr>
        <w:pStyle w:val="Textoindependiente"/>
        <w:spacing w:line="600" w:lineRule="auto"/>
        <w:ind w:firstLine="2835"/>
      </w:pPr>
      <w:r>
        <w:t>Finalmente, dejó asentada su protesta de recurrir en casación y planteada la cuestión fed</w:t>
      </w:r>
      <w:r>
        <w:t>e</w:t>
      </w:r>
      <w:r>
        <w:t>ral.</w:t>
      </w:r>
    </w:p>
    <w:p w:rsidR="00224567" w:rsidRDefault="00224567">
      <w:pPr>
        <w:pStyle w:val="Piedepgina"/>
        <w:widowControl w:val="0"/>
        <w:tabs>
          <w:tab w:val="clear" w:pos="4419"/>
          <w:tab w:val="clear" w:pos="8838"/>
        </w:tabs>
        <w:spacing w:line="600" w:lineRule="auto"/>
        <w:rPr>
          <w:lang w:val="es-ES_tradnl"/>
        </w:rPr>
      </w:pPr>
    </w:p>
    <w:p w:rsidR="00224567" w:rsidRDefault="00224567">
      <w:pPr>
        <w:pStyle w:val="Sangradetextonormal"/>
        <w:widowControl w:val="0"/>
        <w:ind w:firstLine="0"/>
      </w:pPr>
      <w:r>
        <w:rPr>
          <w:b/>
          <w:bCs/>
        </w:rPr>
        <w:tab/>
        <w:t>C.9)</w:t>
      </w:r>
      <w:r>
        <w:t xml:space="preserve"> En oportunidad de efectuar su alegato, los Dres. Luis Carlos Galtieri y Juan Martín C</w:t>
      </w:r>
      <w:r>
        <w:t>e</w:t>
      </w:r>
      <w:r>
        <w:t>rolini, solicitaron la absolución de sus asistidos Claudio Walter Araya y Marcelo Gustavo A</w:t>
      </w:r>
      <w:r>
        <w:t>l</w:t>
      </w:r>
      <w:r>
        <w:t>barracín, en orden a los delitos por los que fuera requerida su el</w:t>
      </w:r>
      <w:r>
        <w:t>e</w:t>
      </w:r>
      <w:r>
        <w:t>vación a juicio.</w:t>
      </w:r>
    </w:p>
    <w:p w:rsidR="00224567" w:rsidRDefault="00224567">
      <w:pPr>
        <w:pStyle w:val="Sangradetextonormal"/>
        <w:widowControl w:val="0"/>
        <w:ind w:firstLine="0"/>
      </w:pPr>
      <w:r>
        <w:tab/>
        <w:t>Con relación a Claudio Walter Araya, tras indicar que el Ministerio Público Fiscal no formuló acusación, la defensa fundamentó su pedido absolut</w:t>
      </w:r>
      <w:r>
        <w:t>o</w:t>
      </w:r>
      <w:r>
        <w:t xml:space="preserve">rio en los fallos “Mostaccio”, “Cáseres”, “Tarifeño”, “Cattonar” y “García” de </w:t>
      </w:r>
      <w:smartTag w:uri="urn:schemas-microsoft-com:office:smarttags" w:element="PersonName">
        <w:smartTagPr>
          <w:attr w:name="ProductID" w:val="la Corte Suprema"/>
        </w:smartTagPr>
        <w:r>
          <w:t>la Corte Supr</w:t>
        </w:r>
        <w:r>
          <w:t>e</w:t>
        </w:r>
        <w:r>
          <w:t>ma</w:t>
        </w:r>
      </w:smartTag>
      <w:r>
        <w:t xml:space="preserve"> de Justicia de </w:t>
      </w:r>
      <w:smartTag w:uri="urn:schemas-microsoft-com:office:smarttags" w:element="PersonName">
        <w:smartTagPr>
          <w:attr w:name="ProductID" w:val="la Naci￳n."/>
        </w:smartTagPr>
        <w:r>
          <w:t>la Nación.</w:t>
        </w:r>
      </w:smartTag>
    </w:p>
    <w:p w:rsidR="00224567" w:rsidRDefault="00224567">
      <w:pPr>
        <w:pStyle w:val="Sangradetextonormal"/>
        <w:widowControl w:val="0"/>
        <w:ind w:firstLine="0"/>
      </w:pPr>
      <w:r>
        <w:tab/>
        <w:t>En otro orden de ideas, entendió que Araya fue un rehén de la causa y una víctima más del ate</w:t>
      </w:r>
      <w:r>
        <w:t>n</w:t>
      </w:r>
      <w:r>
        <w:t>tado terrorista más grave del país, dest</w:t>
      </w:r>
      <w:r>
        <w:t>a</w:t>
      </w:r>
      <w:r>
        <w:t>cando que durante los seis años que estuvo detenido sufrió insuficiencias cardíacas y ataques de presión, permaneció alejado de su familia y fue manipulado para involucrar a Juan José Rib</w:t>
      </w:r>
      <w:r>
        <w:t>e</w:t>
      </w:r>
      <w:r>
        <w:t>lli en delitos inexistentes. Por ello, consideró que la sociedad se encontraba en deuda con el nombrado.</w:t>
      </w:r>
    </w:p>
    <w:p w:rsidR="00224567" w:rsidRDefault="00224567">
      <w:pPr>
        <w:pStyle w:val="Sangradetextonormal"/>
        <w:widowControl w:val="0"/>
        <w:ind w:firstLine="0"/>
      </w:pPr>
      <w:r>
        <w:tab/>
        <w:t>Respecto a Marcelo Gustavo Albarr</w:t>
      </w:r>
      <w:r>
        <w:t>a</w:t>
      </w:r>
      <w:r>
        <w:t>cín, su asistencia técnica refutó los argumentos util</w:t>
      </w:r>
      <w:r>
        <w:t>i</w:t>
      </w:r>
      <w:r>
        <w:t>zados por el fiscal para fundamentar su acus</w:t>
      </w:r>
      <w:r>
        <w:t>a</w:t>
      </w:r>
      <w:r>
        <w:t>ción por los delitos de secuestro extorsivo y asociación ilíc</w:t>
      </w:r>
      <w:r>
        <w:t>i</w:t>
      </w:r>
      <w:r>
        <w:t>ta.</w:t>
      </w:r>
    </w:p>
    <w:p w:rsidR="00224567" w:rsidRDefault="00224567">
      <w:pPr>
        <w:pStyle w:val="Sangradetextonormal"/>
        <w:widowControl w:val="0"/>
        <w:ind w:firstLine="0"/>
      </w:pPr>
      <w:r>
        <w:tab/>
        <w:t>En ese sentido, señaló que el repr</w:t>
      </w:r>
      <w:r>
        <w:t>e</w:t>
      </w:r>
      <w:r>
        <w:t>sentante del Ministerio Público Fiscal en su al</w:t>
      </w:r>
      <w:r>
        <w:t>e</w:t>
      </w:r>
      <w:r>
        <w:t>gato puso en cabeza de un subcomisario maniobras y activid</w:t>
      </w:r>
      <w:r>
        <w:t>a</w:t>
      </w:r>
      <w:r>
        <w:t>des que, según la defensa, no involucraban a Albarr</w:t>
      </w:r>
      <w:r>
        <w:t>a</w:t>
      </w:r>
      <w:r>
        <w:t>cín, ya que al 4 de abril de 1994 ostentaba la jera</w:t>
      </w:r>
      <w:r>
        <w:t>r</w:t>
      </w:r>
      <w:r>
        <w:t>quía de principal.</w:t>
      </w:r>
    </w:p>
    <w:p w:rsidR="00224567" w:rsidRDefault="00224567">
      <w:pPr>
        <w:pStyle w:val="Sangradetextonormal"/>
        <w:widowControl w:val="0"/>
        <w:ind w:firstLine="0"/>
      </w:pPr>
      <w:r>
        <w:tab/>
        <w:t xml:space="preserve">Asimismo, aclaró que el 15 de marzo de 1994 Albarracín fue trasladado de </w:t>
      </w:r>
      <w:smartTag w:uri="urn:schemas-microsoft-com:office:smarttags" w:element="PersonName">
        <w:smartTagPr>
          <w:attr w:name="ProductID" w:val="la Brigada"/>
        </w:smartTagPr>
        <w:r>
          <w:t>la Brigada</w:t>
        </w:r>
      </w:smartTag>
      <w:r>
        <w:t xml:space="preserve"> de Investig</w:t>
      </w:r>
      <w:r>
        <w:t>a</w:t>
      </w:r>
      <w:r>
        <w:t>ciones de Almirante Brown a la de Lanús, depe</w:t>
      </w:r>
      <w:r>
        <w:t>n</w:t>
      </w:r>
      <w:r>
        <w:t>dencia en la que tomó posesión el 17 de ese mismo mes y año, tal como surgía de las constancias de fs. 3901/3902 de la causa “Brigadas”, y no el 18 de mayo de 1994, como constaba en la instru</w:t>
      </w:r>
      <w:r>
        <w:t>c</w:t>
      </w:r>
      <w:r>
        <w:t>ción suplementaria.</w:t>
      </w:r>
    </w:p>
    <w:p w:rsidR="00224567" w:rsidRDefault="00224567">
      <w:pPr>
        <w:pStyle w:val="Sangradetextonormal"/>
        <w:widowControl w:val="0"/>
        <w:ind w:firstLine="0"/>
      </w:pPr>
      <w:r>
        <w:tab/>
        <w:t>En este punto, recalcó que aquella circunstancia robustecía su posición tendiente a demo</w:t>
      </w:r>
      <w:r>
        <w:t>s</w:t>
      </w:r>
      <w:r>
        <w:t>trar que Albarracín estuvo al margen del procedimiento destin</w:t>
      </w:r>
      <w:r>
        <w:t>a</w:t>
      </w:r>
      <w:r>
        <w:t>do a la averiguación y ubicación de Carlos Alberto Telle</w:t>
      </w:r>
      <w:r>
        <w:t>l</w:t>
      </w:r>
      <w:r>
        <w:t>dín.</w:t>
      </w:r>
    </w:p>
    <w:p w:rsidR="00224567" w:rsidRDefault="00224567">
      <w:pPr>
        <w:pStyle w:val="Sangradetextonormal"/>
        <w:widowControl w:val="0"/>
        <w:ind w:firstLine="0"/>
      </w:pPr>
      <w:r>
        <w:tab/>
        <w:t>En cuanto al hecho del 4 de abril de 1994, la defensa reconoció que su defendido pa</w:t>
      </w:r>
      <w:r>
        <w:t>r</w:t>
      </w:r>
      <w:r>
        <w:t>ticipó del procedimiento porque así se lo había i</w:t>
      </w:r>
      <w:r>
        <w:t>n</w:t>
      </w:r>
      <w:r>
        <w:t>dicado su superior Ibarra, jefe del grupo operativo.</w:t>
      </w:r>
    </w:p>
    <w:p w:rsidR="00224567" w:rsidRDefault="00224567">
      <w:pPr>
        <w:pStyle w:val="Sangradetextonormal"/>
        <w:widowControl w:val="0"/>
        <w:ind w:firstLine="0"/>
      </w:pPr>
      <w:r>
        <w:tab/>
        <w:t>Mencionó que en cumplimiento de la r</w:t>
      </w:r>
      <w:r>
        <w:t>e</w:t>
      </w:r>
      <w:r>
        <w:t xml:space="preserve">glamentación orgánica de </w:t>
      </w:r>
      <w:smartTag w:uri="urn:schemas-microsoft-com:office:smarttags" w:element="PersonName">
        <w:smartTagPr>
          <w:attr w:name="ProductID" w:val="la Polic￭a Bonaerense"/>
        </w:smartTagPr>
        <w:r>
          <w:t>la Policía Bonaerense</w:t>
        </w:r>
      </w:smartTag>
      <w:r>
        <w:t xml:space="preserve"> -decreto ley n° 9.551/80-, Ibarra, Albarracín, Araya y Castro fu</w:t>
      </w:r>
      <w:r>
        <w:t>e</w:t>
      </w:r>
      <w:r>
        <w:t>ron a la zona de Tortuguitas, detuvieron a Telleldín y a Petrucci, los trasladaron a la br</w:t>
      </w:r>
      <w:r>
        <w:t>i</w:t>
      </w:r>
      <w:r>
        <w:t>gada y los ingresaron en la guardia. Además, indicó que Alb</w:t>
      </w:r>
      <w:r>
        <w:t>a</w:t>
      </w:r>
      <w:r>
        <w:t>rracín y Araya firmaron las actas y los detenidos quedaron a cargo del subcomis</w:t>
      </w:r>
      <w:r>
        <w:t>a</w:t>
      </w:r>
      <w:r>
        <w:t>rio Ibarra.</w:t>
      </w:r>
    </w:p>
    <w:p w:rsidR="00224567" w:rsidRDefault="00224567">
      <w:pPr>
        <w:pStyle w:val="Sangradetextonormal"/>
        <w:widowControl w:val="0"/>
        <w:ind w:firstLine="0"/>
      </w:pPr>
      <w:r>
        <w:tab/>
        <w:t>Precisó que el grupo operativo que i</w:t>
      </w:r>
      <w:r>
        <w:t>n</w:t>
      </w:r>
      <w:r>
        <w:t>tegraba su defendido no realizó tareas de inteligencia, seguimientos ni intervenciones telefónicas, rema</w:t>
      </w:r>
      <w:r>
        <w:t>r</w:t>
      </w:r>
      <w:r>
        <w:t>cando que la única participación de Alb</w:t>
      </w:r>
      <w:r>
        <w:t>a</w:t>
      </w:r>
      <w:r>
        <w:t>rracín en el hecho del 4 de abril de 1994 consistió en ir a detener a unas personas, desconociendo toda otra circunstancia.</w:t>
      </w:r>
    </w:p>
    <w:p w:rsidR="00224567" w:rsidRDefault="00224567">
      <w:pPr>
        <w:pStyle w:val="Sangradetextonormal"/>
        <w:widowControl w:val="0"/>
        <w:ind w:firstLine="0"/>
      </w:pPr>
      <w:r>
        <w:tab/>
        <w:t>Asimismo, la asistencia técnica de A</w:t>
      </w:r>
      <w:r>
        <w:t>l</w:t>
      </w:r>
      <w:r>
        <w:t>barracín y Araya destacó que los nombrados, junto al imp</w:t>
      </w:r>
      <w:r>
        <w:t>u</w:t>
      </w:r>
      <w:r>
        <w:t>tado Castro se pronunciaron en forma concordante con rel</w:t>
      </w:r>
      <w:r>
        <w:t>a</w:t>
      </w:r>
      <w:r>
        <w:t>ción al desarrollo de los hechos antes reseñ</w:t>
      </w:r>
      <w:r>
        <w:t>a</w:t>
      </w:r>
      <w:r>
        <w:t>dos.</w:t>
      </w:r>
    </w:p>
    <w:p w:rsidR="00224567" w:rsidRDefault="00224567">
      <w:pPr>
        <w:pStyle w:val="Sangradetextonormal"/>
        <w:widowControl w:val="0"/>
        <w:ind w:firstLine="0"/>
      </w:pPr>
      <w:r>
        <w:tab/>
        <w:t>Seguidamente, hizo referencia a los testimonios de Claudio Amadeo Vascelli, Jorge Omar Vo</w:t>
      </w:r>
      <w:r>
        <w:t>l</w:t>
      </w:r>
      <w:r>
        <w:t>pi y Stella Maris Alvarado quienes, según dijo, fueron conte</w:t>
      </w:r>
      <w:r>
        <w:t>s</w:t>
      </w:r>
      <w:r>
        <w:t>tes en afirmar que durante el procedimiento en cuestión no observaron ninguna a</w:t>
      </w:r>
      <w:r>
        <w:t>c</w:t>
      </w:r>
      <w:r>
        <w:t>tuación irregular.</w:t>
      </w:r>
    </w:p>
    <w:p w:rsidR="00224567" w:rsidRDefault="00224567">
      <w:pPr>
        <w:pStyle w:val="Sangradetextonormal"/>
        <w:widowControl w:val="0"/>
        <w:ind w:firstLine="0"/>
      </w:pPr>
      <w:r>
        <w:tab/>
        <w:t>Agregó que el verdadero sentido de c</w:t>
      </w:r>
      <w:r>
        <w:t>o</w:t>
      </w:r>
      <w:r>
        <w:t>misionar al grupo operativo que integraba su asistido A</w:t>
      </w:r>
      <w:r>
        <w:t>l</w:t>
      </w:r>
      <w:r>
        <w:t>barracín a un lugar distante de la juri</w:t>
      </w:r>
      <w:r>
        <w:t>s</w:t>
      </w:r>
      <w:r>
        <w:t>dicción de Lanús, era lograr la detención de Carlos Alberto T</w:t>
      </w:r>
      <w:r>
        <w:t>e</w:t>
      </w:r>
      <w:r>
        <w:t>lleldín.</w:t>
      </w:r>
    </w:p>
    <w:p w:rsidR="00224567" w:rsidRDefault="00224567">
      <w:pPr>
        <w:pStyle w:val="Sangradetextonormal"/>
        <w:widowControl w:val="0"/>
        <w:ind w:firstLine="0"/>
      </w:pPr>
      <w:r>
        <w:tab/>
        <w:t>Por otra parte, la defensa estimó que al identificar a Telleldín en la brigada, todos suponían que su verdadero nombre era Tecc</w:t>
      </w:r>
      <w:r>
        <w:t>e</w:t>
      </w:r>
      <w:r>
        <w:t>dín.</w:t>
      </w:r>
    </w:p>
    <w:p w:rsidR="00224567" w:rsidRDefault="00224567">
      <w:pPr>
        <w:pStyle w:val="Sangradetextonormal"/>
        <w:widowControl w:val="0"/>
        <w:ind w:firstLine="0"/>
      </w:pPr>
      <w:r>
        <w:tab/>
        <w:t>En este orden de ideas, hizo refere</w:t>
      </w:r>
      <w:r>
        <w:t>n</w:t>
      </w:r>
      <w:r>
        <w:t>cia a los dichos de Volpi, dueño de un videoclub en Tort</w:t>
      </w:r>
      <w:r>
        <w:t>u</w:t>
      </w:r>
      <w:r>
        <w:t>guitas, quien sostuvo que la ficha de asociado correspo</w:t>
      </w:r>
      <w:r>
        <w:t>n</w:t>
      </w:r>
      <w:r>
        <w:t>diente a Telleldín se confeccionó con el apellido que f</w:t>
      </w:r>
      <w:r>
        <w:t>i</w:t>
      </w:r>
      <w:r>
        <w:t>guraba en su documento, es decir, Teccedín; que en el d</w:t>
      </w:r>
      <w:r>
        <w:t>e</w:t>
      </w:r>
      <w:r>
        <w:t>bate Hugo Antonio Tortorella dijo que en las operaciones de “Alejandro Automotores” figuraba b</w:t>
      </w:r>
      <w:r>
        <w:t>a</w:t>
      </w:r>
      <w:r>
        <w:t>jo ese nombre; y que también bajo aquella denominación alquiló la quinta en la que vivía al momento de su d</w:t>
      </w:r>
      <w:r>
        <w:t>e</w:t>
      </w:r>
      <w:r>
        <w:t>tención.</w:t>
      </w:r>
    </w:p>
    <w:p w:rsidR="00224567" w:rsidRDefault="00224567">
      <w:pPr>
        <w:pStyle w:val="Sangradetextonormal"/>
        <w:widowControl w:val="0"/>
        <w:ind w:firstLine="0"/>
      </w:pPr>
      <w:r>
        <w:tab/>
        <w:t>Sobre el punto citó lo expresado por el fiscal Romero en su alegato, quien entendió que el pe</w:t>
      </w:r>
      <w:r>
        <w:t>r</w:t>
      </w:r>
      <w:r>
        <w:t>sonal policial había sido engañado mediante el documento que rezaba “Teccedín”, y que el Dr. Spagnuolo, otrora d</w:t>
      </w:r>
      <w:r>
        <w:t>e</w:t>
      </w:r>
      <w:r>
        <w:t>fensor de Telleldín, al declarar en el debate, reconoció que éste último le manifestó que le habían formulado ca</w:t>
      </w:r>
      <w:r>
        <w:t>r</w:t>
      </w:r>
      <w:r>
        <w:t>gos por un documento falsificado, aclarándole que dicho cartular había sido expedido de esa forma por el R</w:t>
      </w:r>
      <w:r>
        <w:t>e</w:t>
      </w:r>
      <w:r>
        <w:t>gistro Nacional de las Personas.</w:t>
      </w:r>
    </w:p>
    <w:p w:rsidR="00224567" w:rsidRDefault="00224567">
      <w:pPr>
        <w:pStyle w:val="Sangradetextonormal"/>
        <w:widowControl w:val="0"/>
        <w:ind w:firstLine="0"/>
      </w:pPr>
      <w:r>
        <w:tab/>
        <w:t>Por otra parte, la defensa ratificó que la detención de Carlos Alberto Telleldín fue comunic</w:t>
      </w:r>
      <w:r>
        <w:t>a</w:t>
      </w:r>
      <w:r>
        <w:t xml:space="preserve">da a </w:t>
      </w:r>
      <w:smartTag w:uri="urn:schemas-microsoft-com:office:smarttags" w:element="PersonName">
        <w:smartTagPr>
          <w:attr w:name="ProductID" w:val="la Dra. Margarita"/>
        </w:smartTagPr>
        <w:r>
          <w:t>la Dra. Margarita</w:t>
        </w:r>
      </w:smartTag>
      <w:r>
        <w:t xml:space="preserve"> Allaza de Itarburu y al juez a ca</w:t>
      </w:r>
      <w:r>
        <w:t>r</w:t>
      </w:r>
      <w:r>
        <w:t>go del Juzgado Criminal n° 9 de San Isidro, entendiendo que ello no se hubiera hecho si la intención era cometer un secuestro.</w:t>
      </w:r>
    </w:p>
    <w:p w:rsidR="00224567" w:rsidRDefault="00224567">
      <w:pPr>
        <w:pStyle w:val="Sangradetextonormal"/>
        <w:widowControl w:val="0"/>
        <w:ind w:firstLine="0"/>
      </w:pPr>
      <w:r>
        <w:tab/>
        <w:t>En cuanto a lo relatado por el repr</w:t>
      </w:r>
      <w:r>
        <w:t>e</w:t>
      </w:r>
      <w:r>
        <w:t xml:space="preserve">sentante del Ministerio Público Fiscal con relación a la extorsión sufrida por Telleldín en </w:t>
      </w:r>
      <w:smartTag w:uri="urn:schemas-microsoft-com:office:smarttags" w:element="PersonName">
        <w:smartTagPr>
          <w:attr w:name="ProductID" w:val="la Brigada"/>
        </w:smartTagPr>
        <w:r>
          <w:t>la Brigada</w:t>
        </w:r>
      </w:smartTag>
      <w:r>
        <w:t xml:space="preserve"> de L</w:t>
      </w:r>
      <w:r>
        <w:t>a</w:t>
      </w:r>
      <w:r>
        <w:t>nús, el 4 de abril de 1994, la defensa reiteró que Albarracín no ostentaba el cargo de subcomisario, descartando que su d</w:t>
      </w:r>
      <w:r>
        <w:t>e</w:t>
      </w:r>
      <w:r>
        <w:t>fendido le facilitara a Telleldín un t</w:t>
      </w:r>
      <w:r>
        <w:t>e</w:t>
      </w:r>
      <w:r>
        <w:t>léfono celular para negociar, tal como lo había aseverado el Sr. fiscal gen</w:t>
      </w:r>
      <w:r>
        <w:t>e</w:t>
      </w:r>
      <w:r>
        <w:t>ral.</w:t>
      </w:r>
    </w:p>
    <w:p w:rsidR="00224567" w:rsidRDefault="00224567">
      <w:pPr>
        <w:pStyle w:val="Sangradetextonormal"/>
        <w:widowControl w:val="0"/>
        <w:ind w:firstLine="0"/>
      </w:pPr>
      <w:r>
        <w:tab/>
        <w:t>Además, indicó que el testigo Luis Salvador Botey quien, según la fiscalía, fue convocado p</w:t>
      </w:r>
      <w:r>
        <w:t>a</w:t>
      </w:r>
      <w:r>
        <w:t>ra acercar a las partes en el arreglo y se encontraba pr</w:t>
      </w:r>
      <w:r>
        <w:t>e</w:t>
      </w:r>
      <w:r>
        <w:t>sente en la oficina de judiciales junto a Semorile, Alb</w:t>
      </w:r>
      <w:r>
        <w:t>a</w:t>
      </w:r>
      <w:r>
        <w:t>rracín y Eduardo Telleldín, nunca dijo haber conc</w:t>
      </w:r>
      <w:r>
        <w:t>u</w:t>
      </w:r>
      <w:r>
        <w:t>rrido a una oficina di</w:t>
      </w:r>
      <w:r>
        <w:t>s</w:t>
      </w:r>
      <w:r>
        <w:t>tinta de la de guardia.</w:t>
      </w:r>
    </w:p>
    <w:p w:rsidR="00224567" w:rsidRDefault="00224567">
      <w:pPr>
        <w:pStyle w:val="Sangradetextonormal"/>
        <w:widowControl w:val="0"/>
        <w:ind w:firstLine="0"/>
      </w:pPr>
      <w:r>
        <w:tab/>
        <w:t>Del mismo modo, la defensa subr</w:t>
      </w:r>
      <w:r>
        <w:t>a</w:t>
      </w:r>
      <w:r>
        <w:t>yó que Botey, luego de retirarse de la brigada, no volvió a ver a Eduardo Telleldín, nunca refirió ser amigo de la familia Telleldín, ni tampoco se pronunció acerca de una negoci</w:t>
      </w:r>
      <w:r>
        <w:t>a</w:t>
      </w:r>
      <w:r>
        <w:t>ción espuria con policías bonaerenses, o de una reunión o entrega de un tel</w:t>
      </w:r>
      <w:r>
        <w:t>é</w:t>
      </w:r>
      <w:r>
        <w:t>fono celular.</w:t>
      </w:r>
    </w:p>
    <w:p w:rsidR="00224567" w:rsidRDefault="00224567">
      <w:pPr>
        <w:pStyle w:val="Sangradetextonormal"/>
        <w:widowControl w:val="0"/>
        <w:ind w:firstLine="0"/>
      </w:pPr>
      <w:r>
        <w:tab/>
        <w:t>También, la asistencia técnica de A</w:t>
      </w:r>
      <w:r>
        <w:t>l</w:t>
      </w:r>
      <w:r>
        <w:t>barracín hizo referencia a los dichos de Semorile, quien manifestó que  fue el Dr. Spagnuolo quien se ocupó de T</w:t>
      </w:r>
      <w:r>
        <w:t>e</w:t>
      </w:r>
      <w:r>
        <w:t>lleldín en aquella oportunidad, y que el primer día de d</w:t>
      </w:r>
      <w:r>
        <w:t>e</w:t>
      </w:r>
      <w:r>
        <w:t>tención no concurrió a la brigada, aunque reconoció que estuvo en contacto con Spagnu</w:t>
      </w:r>
      <w:r>
        <w:t>o</w:t>
      </w:r>
      <w:r>
        <w:t>lo.</w:t>
      </w:r>
    </w:p>
    <w:p w:rsidR="00224567" w:rsidRDefault="00224567">
      <w:pPr>
        <w:pStyle w:val="Sangradetextonormal"/>
        <w:widowControl w:val="0"/>
        <w:ind w:firstLine="0"/>
      </w:pPr>
      <w:r>
        <w:tab/>
        <w:t>En el mismo sentido, la defensa rema</w:t>
      </w:r>
      <w:r>
        <w:t>r</w:t>
      </w:r>
      <w:r>
        <w:t>có que de los dichos de Eduardo Telleldín, Botey y Spa</w:t>
      </w:r>
      <w:r>
        <w:t>g</w:t>
      </w:r>
      <w:r>
        <w:t>nuolo surgía que ellos no participaron de la reunión, r</w:t>
      </w:r>
      <w:r>
        <w:t>a</w:t>
      </w:r>
      <w:r>
        <w:t>zón por la cual no pudieron haber visto a Marcelo Albarr</w:t>
      </w:r>
      <w:r>
        <w:t>a</w:t>
      </w:r>
      <w:r>
        <w:t>cín realizando alguna negociación, señalando, además, que los nombrados no coincidieron temporalmente en la depe</w:t>
      </w:r>
      <w:r>
        <w:t>n</w:t>
      </w:r>
      <w:r>
        <w:t>dencia policial.</w:t>
      </w:r>
    </w:p>
    <w:p w:rsidR="00224567" w:rsidRDefault="00224567">
      <w:pPr>
        <w:pStyle w:val="Sangradetextonormal"/>
        <w:widowControl w:val="0"/>
        <w:ind w:firstLine="0"/>
      </w:pPr>
      <w:r>
        <w:tab/>
        <w:t>Con relación a la supuesta entr</w:t>
      </w:r>
      <w:r>
        <w:t>e</w:t>
      </w:r>
      <w:r>
        <w:t>ga de un celular por parte de su asistido, o a un llamado a la familia de Carlos Telleldín y a Lo Preiato desde el cel</w:t>
      </w:r>
      <w:r>
        <w:t>u</w:t>
      </w:r>
      <w:r>
        <w:t>lar de Albarracín, el letrado resaltó que de los info</w:t>
      </w:r>
      <w:r>
        <w:t>r</w:t>
      </w:r>
      <w:r>
        <w:t>mes remitidos por la empresa Movicom se desprendía que de la línea 412-2589, perteneciente a su asistido, no surgía c</w:t>
      </w:r>
      <w:r>
        <w:t>o</w:t>
      </w:r>
      <w:r>
        <w:t>municación alguna en el horario cuestion</w:t>
      </w:r>
      <w:r>
        <w:t>a</w:t>
      </w:r>
      <w:r>
        <w:t>do.</w:t>
      </w:r>
    </w:p>
    <w:p w:rsidR="00224567" w:rsidRDefault="00224567">
      <w:pPr>
        <w:pStyle w:val="Sangradetextonormal"/>
        <w:widowControl w:val="0"/>
        <w:ind w:firstLine="0"/>
      </w:pPr>
      <w:r>
        <w:tab/>
        <w:t>Por otra parte, estimó, en virtud de lo declarado por Carlos Alberto Telleldín el 3 de mayo de 2002, que el nombrado fue presionado para identificar a Marcelo Albarracín en el reconocimiento fotogr</w:t>
      </w:r>
      <w:r>
        <w:t>á</w:t>
      </w:r>
      <w:r>
        <w:t>fico.</w:t>
      </w:r>
    </w:p>
    <w:p w:rsidR="00224567" w:rsidRDefault="00224567">
      <w:pPr>
        <w:pStyle w:val="Sangradetextonormal"/>
        <w:widowControl w:val="0"/>
        <w:ind w:firstLine="0"/>
      </w:pPr>
      <w:r>
        <w:tab/>
        <w:t>Asimismo, la asistencia técnica de A</w:t>
      </w:r>
      <w:r>
        <w:t>l</w:t>
      </w:r>
      <w:r>
        <w:t>barracín negó que el nombrado formara parte de una asoci</w:t>
      </w:r>
      <w:r>
        <w:t>a</w:t>
      </w:r>
      <w:r>
        <w:t>ción ilícita, cuestionando que los roles y funciones en esas asociaciones estuvieran fijadas por las jerarquías policiales. Al respecto, el letrado, se remitió al prec</w:t>
      </w:r>
      <w:r>
        <w:t>e</w:t>
      </w:r>
      <w:r>
        <w:t xml:space="preserve">dente “Stancanelli”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p>
    <w:p w:rsidR="00224567" w:rsidRDefault="00224567">
      <w:pPr>
        <w:pStyle w:val="Sangradetextonormal"/>
        <w:widowControl w:val="0"/>
        <w:ind w:firstLine="0"/>
      </w:pPr>
      <w:r>
        <w:tab/>
        <w:t>En otro orden de ideas, tras consid</w:t>
      </w:r>
      <w:r>
        <w:t>e</w:t>
      </w:r>
      <w:r>
        <w:t>rar que hubo una evidente desigualdad de armas a partir del año 1996, la defensa impetró la nulidad del decreto del 9 de junio de 1995, obrante a fs. 12.389, al que señ</w:t>
      </w:r>
      <w:r>
        <w:t>a</w:t>
      </w:r>
      <w:r>
        <w:t>ló como el origen de la causa “Brigadas”, por entenderlo contrario a las g</w:t>
      </w:r>
      <w:r>
        <w:t>a</w:t>
      </w:r>
      <w:r>
        <w:t>rantías del debido proceso y defensa en juicio.</w:t>
      </w:r>
    </w:p>
    <w:p w:rsidR="00224567" w:rsidRDefault="00224567">
      <w:pPr>
        <w:pStyle w:val="Sangradetextonormal"/>
        <w:widowControl w:val="0"/>
        <w:ind w:firstLine="0"/>
      </w:pPr>
      <w:r>
        <w:tab/>
        <w:t>Al respecto, puntualizó que ese decr</w:t>
      </w:r>
      <w:r>
        <w:t>e</w:t>
      </w:r>
      <w:r>
        <w:t xml:space="preserve">to fue la consecuencia de una serie de maniobras previas realizadas por </w:t>
      </w:r>
      <w:smartTag w:uri="urn:schemas-microsoft-com:office:smarttags" w:element="PersonName">
        <w:smartTagPr>
          <w:attr w:name="ProductID" w:val="la Dra. Riva"/>
        </w:smartTagPr>
        <w:r>
          <w:t>la Dra. Riva</w:t>
        </w:r>
      </w:smartTag>
      <w:r>
        <w:t xml:space="preserve"> Aramayo, el ministro Carlos Corach, el entonces presidente de </w:t>
      </w:r>
      <w:smartTag w:uri="urn:schemas-microsoft-com:office:smarttags" w:element="PersonName">
        <w:smartTagPr>
          <w:attr w:name="ProductID" w:val="la D.A"/>
        </w:smartTagPr>
        <w:r>
          <w:t>la D.A</w:t>
        </w:r>
      </w:smartTag>
      <w:r>
        <w:t>.I.A. Rubén Ber</w:t>
      </w:r>
      <w:r>
        <w:t>a</w:t>
      </w:r>
      <w:r>
        <w:t>ja, el juez instructor, Carlos A</w:t>
      </w:r>
      <w:r>
        <w:t>l</w:t>
      </w:r>
      <w:r>
        <w:t>berto Telleldín y el Dr. Stinfale, defensor de éste último, considerando que las pruebas del proceso se hallaban cont</w:t>
      </w:r>
      <w:r>
        <w:t>a</w:t>
      </w:r>
      <w:r>
        <w:t>minadas.</w:t>
      </w:r>
    </w:p>
    <w:p w:rsidR="00224567" w:rsidRDefault="00224567">
      <w:pPr>
        <w:pStyle w:val="Sangradetextonormal"/>
        <w:widowControl w:val="0"/>
        <w:ind w:firstLine="0"/>
      </w:pPr>
      <w:r>
        <w:tab/>
        <w:t>En este sentido, destacó los dichos del ex prosecretario Lifschitz, quien explicó que le h</w:t>
      </w:r>
      <w:r>
        <w:t>a</w:t>
      </w:r>
      <w:r>
        <w:t>bían encomendado dirigir la investigación hacia la pol</w:t>
      </w:r>
      <w:r>
        <w:t>i</w:t>
      </w:r>
      <w:r>
        <w:t>cía, como también el testimonio del agente Stiuso, quien fue apartado por no ser funcional al diseño pergeñado. Además, hizo referencia a las presiones que ejerció el c</w:t>
      </w:r>
      <w:r>
        <w:t>a</w:t>
      </w:r>
      <w:r>
        <w:t>pitán Vergéz sobre Telleldín, a las entrevistas de la c</w:t>
      </w:r>
      <w:r>
        <w:t>a</w:t>
      </w:r>
      <w:r>
        <w:t>marista Riva Aramayo con éste último, y al pago efectuado.</w:t>
      </w:r>
    </w:p>
    <w:p w:rsidR="00224567" w:rsidRDefault="00224567">
      <w:pPr>
        <w:pStyle w:val="Sangradetextonormal"/>
        <w:widowControl w:val="0"/>
        <w:ind w:firstLine="0"/>
      </w:pPr>
      <w:r>
        <w:tab/>
        <w:t>Por otra parte, adhirió a los pla</w:t>
      </w:r>
      <w:r>
        <w:t>n</w:t>
      </w:r>
      <w:r>
        <w:t>teos de nulidad del acta de secuestro obrante a fs. 224 del I</w:t>
      </w:r>
      <w:r>
        <w:t>n</w:t>
      </w:r>
      <w:r>
        <w:t>forme Preliminar elaborado por el D</w:t>
      </w:r>
      <w:r>
        <w:t>e</w:t>
      </w:r>
      <w:r>
        <w:t xml:space="preserve">partamento Explosivos y Riesgos Especiales de </w:t>
      </w:r>
      <w:smartTag w:uri="urn:schemas-microsoft-com:office:smarttags" w:element="PersonName">
        <w:smartTagPr>
          <w:attr w:name="ProductID" w:val="la Superintendencia"/>
        </w:smartTagPr>
        <w:r>
          <w:t>la Superintendencia</w:t>
        </w:r>
      </w:smartTag>
      <w:r>
        <w:t xml:space="preserve"> de Bo</w:t>
      </w:r>
      <w:r>
        <w:t>m</w:t>
      </w:r>
      <w:r>
        <w:t xml:space="preserve">beros de </w:t>
      </w:r>
      <w:smartTag w:uri="urn:schemas-microsoft-com:office:smarttags" w:element="PersonName">
        <w:smartTagPr>
          <w:attr w:name="ProductID" w:val="la Polic￭a Federal"/>
        </w:smartTagPr>
        <w:r>
          <w:t>la Policía Federal</w:t>
        </w:r>
      </w:smartTag>
      <w:r>
        <w:t xml:space="preserve"> Argentina, y al de la indagatoria pre</w:t>
      </w:r>
      <w:r>
        <w:t>s</w:t>
      </w:r>
      <w:r>
        <w:t>tada por Carlos Alberto Telleldín el 5 de julio de 1996. También adhirió al planteo formulado por el Dr. Julio E</w:t>
      </w:r>
      <w:r>
        <w:t>n</w:t>
      </w:r>
      <w:r>
        <w:t>rique Villarreal de inconstitucionalidad de la pena de r</w:t>
      </w:r>
      <w:r>
        <w:t>e</w:t>
      </w:r>
      <w:r>
        <w:t>clusión.</w:t>
      </w:r>
    </w:p>
    <w:p w:rsidR="00224567" w:rsidRDefault="00224567">
      <w:pPr>
        <w:pStyle w:val="Sangradetextonormal"/>
        <w:widowControl w:val="0"/>
        <w:ind w:firstLine="0"/>
      </w:pPr>
      <w:r>
        <w:tab/>
        <w:t>Subsidiariamente, peticionó que se d</w:t>
      </w:r>
      <w:r>
        <w:t>e</w:t>
      </w:r>
      <w:r>
        <w:t>clare la ultractividad de la ley 24.390, por consid</w:t>
      </w:r>
      <w:r>
        <w:t>e</w:t>
      </w:r>
      <w:r>
        <w:t>rarla ley penal más benigna.</w:t>
      </w:r>
    </w:p>
    <w:p w:rsidR="00224567" w:rsidRDefault="00224567">
      <w:pPr>
        <w:pStyle w:val="Sangradetextonormal"/>
        <w:widowControl w:val="0"/>
        <w:ind w:firstLine="0"/>
        <w:rPr>
          <w:lang w:val="es-ES"/>
        </w:rPr>
      </w:pPr>
      <w:r>
        <w:tab/>
        <w:t>Finalmente, para el caso de un pronu</w:t>
      </w:r>
      <w:r>
        <w:t>n</w:t>
      </w:r>
      <w:r>
        <w:t>ciamiento adverso, hizo reserva de casación, del caso f</w:t>
      </w:r>
      <w:r>
        <w:t>e</w:t>
      </w:r>
      <w:r>
        <w:t>deral y de acudir ante organismos inte</w:t>
      </w:r>
      <w:r>
        <w:t>r</w:t>
      </w:r>
      <w:r>
        <w:t>nacionales.</w:t>
      </w:r>
    </w:p>
    <w:p w:rsidR="00224567" w:rsidRDefault="00224567">
      <w:pPr>
        <w:pStyle w:val="Sangradetextonormal"/>
        <w:widowControl w:val="0"/>
        <w:ind w:firstLine="0"/>
      </w:pPr>
    </w:p>
    <w:p w:rsidR="00224567" w:rsidRDefault="00224567">
      <w:pPr>
        <w:widowControl w:val="0"/>
      </w:pPr>
      <w:r>
        <w:tab/>
      </w:r>
      <w:r>
        <w:rPr>
          <w:b/>
          <w:bCs/>
        </w:rPr>
        <w:t>C.10)</w:t>
      </w:r>
      <w:r>
        <w:t xml:space="preserve"> A su tiempo, alegó el defensor particular del imputado Ariel Rodolfo Nitzcaner, Dr. Se</w:t>
      </w:r>
      <w:r>
        <w:t>r</w:t>
      </w:r>
      <w:r>
        <w:t>gio Rubén Steizel, considerando que la falta de ac</w:t>
      </w:r>
      <w:r>
        <w:t>u</w:t>
      </w:r>
      <w:r>
        <w:t>sación de la fiscalía respecto de su defendido, al entender que se hallaba extinguida la acción penal por prescripción, estaba fundada en el hecho de que transcurrieron inint</w:t>
      </w:r>
      <w:r>
        <w:t>e</w:t>
      </w:r>
      <w:r>
        <w:t>rrumpidamente más de tres años desde la fecha en que se dictó el auto de procesamiento hasta el de elevación a juicio, sin que su asistido cometiera nuevos delitos, co</w:t>
      </w:r>
      <w:r>
        <w:t>n</w:t>
      </w:r>
      <w:r>
        <w:t>forme se desprendía de la certificación actuarial del 13 de enero del año en curso, obra</w:t>
      </w:r>
      <w:r>
        <w:t>n</w:t>
      </w:r>
      <w:r>
        <w:t>te a fs. 117.696.</w:t>
      </w:r>
    </w:p>
    <w:p w:rsidR="00224567" w:rsidRDefault="00224567">
      <w:pPr>
        <w:widowControl w:val="0"/>
      </w:pPr>
      <w:r>
        <w:tab/>
        <w:t>Hizo referencia a los actos constit</w:t>
      </w:r>
      <w:r>
        <w:t>u</w:t>
      </w:r>
      <w:r>
        <w:t>tivos de secuela de juicio, con cita de doctrina y juri</w:t>
      </w:r>
      <w:r>
        <w:t>s</w:t>
      </w:r>
      <w:r>
        <w:t xml:space="preserve">prudencia de </w:t>
      </w:r>
      <w:smartTag w:uri="urn:schemas-microsoft-com:office:smarttags" w:element="PersonName">
        <w:smartTagPr>
          <w:attr w:name="ProductID" w:val="la C￡mara Nacional"/>
        </w:smartTagPr>
        <w:r>
          <w:t>la Cámara Nacional</w:t>
        </w:r>
      </w:smartTag>
      <w:r>
        <w:t xml:space="preserve"> de Apelaciones en lo Cr</w:t>
      </w:r>
      <w:r>
        <w:t>i</w:t>
      </w:r>
      <w:r>
        <w:t xml:space="preserve">minal y Correccional de </w:t>
      </w:r>
      <w:smartTag w:uri="urn:schemas-microsoft-com:office:smarttags" w:element="PersonName">
        <w:smartTagPr>
          <w:attr w:name="ProductID" w:val="la Capital Federal"/>
        </w:smartTagPr>
        <w:r>
          <w:t>la Capital Federal</w:t>
        </w:r>
      </w:smartTag>
      <w:r>
        <w:t xml:space="preserve"> –causa nº 15.453 “Ada, Víctor”, resuelta el 13/8/91 y nº 23.286 “U</w:t>
      </w:r>
      <w:r>
        <w:t>r</w:t>
      </w:r>
      <w:r>
        <w:t>quía, María del Carmen”, r</w:t>
      </w:r>
      <w:r>
        <w:t>e</w:t>
      </w:r>
      <w:r>
        <w:t>suelta el 8/5/92–, como también de la cámara del fuero –causa “Hermida”, resuelta el 21/8/85–.</w:t>
      </w:r>
    </w:p>
    <w:p w:rsidR="00224567" w:rsidRDefault="00224567">
      <w:pPr>
        <w:widowControl w:val="0"/>
      </w:pPr>
      <w:r>
        <w:tab/>
        <w:t>Resaltó que, de acuerdo a la r</w:t>
      </w:r>
      <w:r>
        <w:t>e</w:t>
      </w:r>
      <w:r>
        <w:t xml:space="preserve">ciente jurisprudencia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w:t>
        </w:r>
        <w:r>
          <w:t>a</w:t>
        </w:r>
        <w:r>
          <w:t>ción</w:t>
        </w:r>
      </w:smartTag>
      <w:r>
        <w:t>, in re “Mostaccio”, el tribunal se hallaba imposib</w:t>
      </w:r>
      <w:r>
        <w:t>i</w:t>
      </w:r>
      <w:r>
        <w:t>litado de dictar una sentencia co</w:t>
      </w:r>
      <w:r>
        <w:t>n</w:t>
      </w:r>
      <w:r>
        <w:t>denatoria ante el pedido absolutorio del fiscal, e</w:t>
      </w:r>
      <w:r>
        <w:t>s</w:t>
      </w:r>
      <w:r>
        <w:t>timando imperativa la absolución de su asistido. Además, señaló que el precedente citado, revirtió la doctrina plasmada en el fallo “Marcilese”, h</w:t>
      </w:r>
      <w:r>
        <w:t>a</w:t>
      </w:r>
      <w:r>
        <w:t>ciendo resurgir la posición sustentada en las causas “T</w:t>
      </w:r>
      <w:r>
        <w:t>a</w:t>
      </w:r>
      <w:r>
        <w:t>rifeño”, “Cattonar” y “García”.</w:t>
      </w:r>
    </w:p>
    <w:p w:rsidR="00224567" w:rsidRDefault="00224567">
      <w:pPr>
        <w:widowControl w:val="0"/>
      </w:pPr>
      <w:r>
        <w:tab/>
        <w:t>Entendió que la falta de acus</w:t>
      </w:r>
      <w:r>
        <w:t>a</w:t>
      </w:r>
      <w:r>
        <w:t>ción de la fiscalía no había sido arbitraria, razón por la cual no resultaba posible declarar la nulidad de dicho al</w:t>
      </w:r>
      <w:r>
        <w:t>e</w:t>
      </w:r>
      <w:r>
        <w:t>gato.</w:t>
      </w:r>
    </w:p>
    <w:p w:rsidR="00224567" w:rsidRDefault="00224567">
      <w:pPr>
        <w:widowControl w:val="0"/>
      </w:pPr>
      <w:r>
        <w:tab/>
        <w:t>Por otra parte, cuestionó el m</w:t>
      </w:r>
      <w:r>
        <w:t>a</w:t>
      </w:r>
      <w:r>
        <w:t>nejo de la causa ante el juzgado instructor, destacando que su d</w:t>
      </w:r>
      <w:r>
        <w:t>e</w:t>
      </w:r>
      <w:r>
        <w:t>fendido, luego de haber sido procesado por el delito de encubrimiento, continuó siendo indagado por su particip</w:t>
      </w:r>
      <w:r>
        <w:t>a</w:t>
      </w:r>
      <w:r>
        <w:t xml:space="preserve">ción en el atentado a la sede de </w:t>
      </w:r>
      <w:smartTag w:uri="urn:schemas-microsoft-com:office:smarttags" w:element="PersonName">
        <w:smartTagPr>
          <w:attr w:name="ProductID" w:val="la A.M"/>
        </w:smartTagPr>
        <w:r>
          <w:t>la A.M</w:t>
        </w:r>
      </w:smartTag>
      <w:r>
        <w:t>.I.A. con el objeto de seguir siendo presionado por parte del juez y los fi</w:t>
      </w:r>
      <w:r>
        <w:t>s</w:t>
      </w:r>
      <w:r>
        <w:t>cales.</w:t>
      </w:r>
    </w:p>
    <w:p w:rsidR="00224567" w:rsidRDefault="00224567">
      <w:pPr>
        <w:widowControl w:val="0"/>
      </w:pPr>
      <w:r>
        <w:tab/>
        <w:t>Seguidamente continuó con el alegato el Dr. Juan Carlos García Dietze, manifestando que su d</w:t>
      </w:r>
      <w:r>
        <w:t>e</w:t>
      </w:r>
      <w:r>
        <w:t>fendido como su familia se hallaban estigmatizados con m</w:t>
      </w:r>
      <w:r>
        <w:t>o</w:t>
      </w:r>
      <w:r>
        <w:t>tivo de estas actuaciones, indicando que Nitzcaner fue víctima de atentados y daños en su domicilio.</w:t>
      </w:r>
    </w:p>
    <w:p w:rsidR="00224567" w:rsidRDefault="00224567">
      <w:pPr>
        <w:widowControl w:val="0"/>
      </w:pPr>
      <w:r>
        <w:tab/>
        <w:t>Estimó que esta causa se construyó a partir de una premisa muy débil, que parecía preorden</w:t>
      </w:r>
      <w:r>
        <w:t>a</w:t>
      </w:r>
      <w:r>
        <w:t>da y políticamente dispuesta, tal como lo era la exi</w:t>
      </w:r>
      <w:r>
        <w:t>s</w:t>
      </w:r>
      <w:r>
        <w:t xml:space="preserve">tencia de </w:t>
      </w:r>
      <w:smartTag w:uri="urn:schemas-microsoft-com:office:smarttags" w:element="PersonName">
        <w:smartTagPr>
          <w:attr w:name="ProductID" w:val="la Trafic"/>
        </w:smartTagPr>
        <w:r>
          <w:t>la Trafic</w:t>
        </w:r>
      </w:smartTag>
      <w:r>
        <w:t>, considerando necesario analizar si había exi</w:t>
      </w:r>
      <w:r>
        <w:t>s</w:t>
      </w:r>
      <w:r>
        <w:t>tido o no otra etiología del hecho que provocara el d</w:t>
      </w:r>
      <w:r>
        <w:t>e</w:t>
      </w:r>
      <w:r>
        <w:t xml:space="preserve">rrumbe de la sede de </w:t>
      </w:r>
      <w:smartTag w:uri="urn:schemas-microsoft-com:office:smarttags" w:element="PersonName">
        <w:smartTagPr>
          <w:attr w:name="ProductID" w:val="la A.M"/>
        </w:smartTagPr>
        <w:r>
          <w:t>la A.M</w:t>
        </w:r>
      </w:smartTag>
      <w:r>
        <w:t>.I.A.</w:t>
      </w:r>
    </w:p>
    <w:p w:rsidR="00224567" w:rsidRDefault="00224567">
      <w:pPr>
        <w:widowControl w:val="0"/>
      </w:pPr>
      <w:r>
        <w:tab/>
        <w:t>En este punto, hizo referencia a la declaración del p</w:t>
      </w:r>
      <w:r>
        <w:t>e</w:t>
      </w:r>
      <w:r>
        <w:t>riodista Carlos Alberto Bianco, quien se hizo presente en el lugar de los hechos seis minutos de</w:t>
      </w:r>
      <w:r>
        <w:t>s</w:t>
      </w:r>
      <w:r>
        <w:t>pués de ocurrida la explosión, y observó a una pe</w:t>
      </w:r>
      <w:r>
        <w:t>r</w:t>
      </w:r>
      <w:r>
        <w:t xml:space="preserve">sona que recogía con una bolsa restos de material, como un bloque de automotor, y le manifestó que había sido una Trafic o un Renault 12 blanco. </w:t>
      </w:r>
    </w:p>
    <w:p w:rsidR="00224567" w:rsidRDefault="00224567">
      <w:pPr>
        <w:widowControl w:val="0"/>
      </w:pPr>
      <w:r>
        <w:tab/>
        <w:t>Al respecto, el Dr. García Dietze se preguntó si era tan descabellado suponer que el indiv</w:t>
      </w:r>
      <w:r>
        <w:t>i</w:t>
      </w:r>
      <w:r>
        <w:t>duo aludido por el periodista pudiera haber estado sacando c</w:t>
      </w:r>
      <w:r>
        <w:t>o</w:t>
      </w:r>
      <w:r>
        <w:t>sas de la bolsa en lugar de guardarlas. Del mismo m</w:t>
      </w:r>
      <w:r>
        <w:t>o</w:t>
      </w:r>
      <w:r>
        <w:t>do, se interrogó por qué razón aquél sujeto nunca fue identific</w:t>
      </w:r>
      <w:r>
        <w:t>a</w:t>
      </w:r>
      <w:r>
        <w:t>do.</w:t>
      </w:r>
    </w:p>
    <w:p w:rsidR="00224567" w:rsidRDefault="00224567">
      <w:pPr>
        <w:widowControl w:val="0"/>
      </w:pPr>
      <w:r>
        <w:tab/>
        <w:t>Subrayó que las presentes actu</w:t>
      </w:r>
      <w:r>
        <w:t>a</w:t>
      </w:r>
      <w:r>
        <w:t>ciones se iniciaron del modo indicado precedentemente, es d</w:t>
      </w:r>
      <w:r>
        <w:t>e</w:t>
      </w:r>
      <w:r>
        <w:t>cir, negando sistemáticamente otras hipót</w:t>
      </w:r>
      <w:r>
        <w:t>e</w:t>
      </w:r>
      <w:r>
        <w:t>sis, aún cuando nadie cuestionó los dichos del p</w:t>
      </w:r>
      <w:r>
        <w:t>e</w:t>
      </w:r>
      <w:r>
        <w:t>riodista.</w:t>
      </w:r>
    </w:p>
    <w:p w:rsidR="00224567" w:rsidRDefault="00224567">
      <w:pPr>
        <w:widowControl w:val="0"/>
      </w:pPr>
      <w:r>
        <w:tab/>
        <w:t>Sostuvo que el hecho del 18 de julio de 1994 fue presenciado por testigos que relataron con claridad cómo  sucedió el atentado.</w:t>
      </w:r>
    </w:p>
    <w:p w:rsidR="00224567" w:rsidRDefault="00224567">
      <w:pPr>
        <w:widowControl w:val="0"/>
      </w:pPr>
      <w:r>
        <w:tab/>
        <w:t>Al respecto, mencionó los dichos de Gabriel Alberto V</w:t>
      </w:r>
      <w:r>
        <w:t>i</w:t>
      </w:r>
      <w:r>
        <w:t>llalba quien no vió ninguna Trafic hasta el momento de la explosión, considera</w:t>
      </w:r>
      <w:r>
        <w:t>n</w:t>
      </w:r>
      <w:r>
        <w:t>do que su testimonio podía ser puesto en tela de juicio, en virtud de los re</w:t>
      </w:r>
      <w:r>
        <w:t>s</w:t>
      </w:r>
      <w:r>
        <w:t>tos y piezas de un veh</w:t>
      </w:r>
      <w:r>
        <w:t>í</w:t>
      </w:r>
      <w:r>
        <w:t>culo que fueron secuestradas en el lugar, como también por las conclusiones de algunos per</w:t>
      </w:r>
      <w:r>
        <w:t>i</w:t>
      </w:r>
      <w:r>
        <w:t>tajes.</w:t>
      </w:r>
    </w:p>
    <w:p w:rsidR="00224567" w:rsidRDefault="00224567">
      <w:pPr>
        <w:widowControl w:val="0"/>
      </w:pPr>
      <w:r>
        <w:tab/>
        <w:t>Además, criticó la forma en que se confeccionaron las actas de secuestro, adhiriendo a los planteos de nulidad formulados por sus colegas, haciendo lo propio respecto del acta labrada con relación al motor, expresando que no reflejaba la verdad de lo acontecido.</w:t>
      </w:r>
    </w:p>
    <w:p w:rsidR="00224567" w:rsidRDefault="00224567">
      <w:pPr>
        <w:widowControl w:val="0"/>
      </w:pPr>
      <w:r>
        <w:tab/>
      </w:r>
      <w:r>
        <w:tab/>
        <w:t>Refirió que si el legislador se pre</w:t>
      </w:r>
      <w:r>
        <w:t>o</w:t>
      </w:r>
      <w:r>
        <w:t>cupó en establecer un mecanismo para l</w:t>
      </w:r>
      <w:r>
        <w:t>o</w:t>
      </w:r>
      <w:r>
        <w:t xml:space="preserve">grar que un objeto de la realidad sea introducido al proceso como medio de prueba, lo hizo por ser una manda impuesta por </w:t>
      </w:r>
      <w:smartTag w:uri="urn:schemas-microsoft-com:office:smarttags" w:element="PersonName">
        <w:smartTagPr>
          <w:attr w:name="ProductID" w:val="la Constituci￳n Nacional"/>
        </w:smartTagPr>
        <w:r>
          <w:t>la Const</w:t>
        </w:r>
        <w:r>
          <w:t>i</w:t>
        </w:r>
        <w:r>
          <w:t>tución Nacional</w:t>
        </w:r>
      </w:smartTag>
      <w:r>
        <w:t xml:space="preserve"> tendiente a respetar las g</w:t>
      </w:r>
      <w:r>
        <w:t>a</w:t>
      </w:r>
      <w:r>
        <w:t>rantías.</w:t>
      </w:r>
    </w:p>
    <w:p w:rsidR="00224567" w:rsidRDefault="00224567">
      <w:pPr>
        <w:widowControl w:val="0"/>
      </w:pPr>
      <w:r>
        <w:tab/>
      </w:r>
      <w:r>
        <w:tab/>
        <w:t>Precisó que no se podían utilizar en un proceso pruebas obtenidas por medios ilegít</w:t>
      </w:r>
      <w:r>
        <w:t>i</w:t>
      </w:r>
      <w:r>
        <w:t>mos porque resultaba contrario a la ca</w:t>
      </w:r>
      <w:r>
        <w:t>r</w:t>
      </w:r>
      <w:r>
        <w:t>ta magna y a las disposiciones de la ley de forma.</w:t>
      </w:r>
    </w:p>
    <w:p w:rsidR="00224567" w:rsidRDefault="00224567">
      <w:pPr>
        <w:widowControl w:val="0"/>
      </w:pPr>
      <w:r>
        <w:tab/>
        <w:t>Por otra parte, con relación a los p</w:t>
      </w:r>
      <w:r>
        <w:t>e</w:t>
      </w:r>
      <w:r>
        <w:t>ritajes, destacó la declaración de Carlos Néstor López quien, luego de explicar la experiencia realizada en la localidad de Azul, manifestó que de haber explotado un c</w:t>
      </w:r>
      <w:r>
        <w:t>o</w:t>
      </w:r>
      <w:r>
        <w:t>che bomba en la vereda de la mutual judía, los balcones del segundo o tercer piso de los edificios ubicados e</w:t>
      </w:r>
      <w:r>
        <w:t>n</w:t>
      </w:r>
      <w:r>
        <w:t>frente tendrían que haberse desprendido.</w:t>
      </w:r>
    </w:p>
    <w:p w:rsidR="00224567" w:rsidRDefault="00224567">
      <w:pPr>
        <w:widowControl w:val="0"/>
      </w:pPr>
      <w:r>
        <w:tab/>
        <w:t>También hizo mención a los dichos de Daniel Alberto Helguero, quien consideró un milagro que sobrevivieran personas que se hallaban tan cerca de la e</w:t>
      </w:r>
      <w:r>
        <w:t>x</w:t>
      </w:r>
      <w:r>
        <w:t>plosión.</w:t>
      </w:r>
    </w:p>
    <w:p w:rsidR="00224567" w:rsidRDefault="00224567">
      <w:pPr>
        <w:widowControl w:val="0"/>
      </w:pPr>
      <w:r>
        <w:tab/>
        <w:t>En este punto, el letrado defensor e</w:t>
      </w:r>
      <w:r>
        <w:t>n</w:t>
      </w:r>
      <w:r>
        <w:t>tendió que hablar de milagros no se correspondía con la respuesta de una ciencia auxiliar al servicio de la ve</w:t>
      </w:r>
      <w:r>
        <w:t>r</w:t>
      </w:r>
      <w:r>
        <w:t>dad, requerida por un tribunal de juicio, concluyendo, luego de valorar los testimonios antes citados, que resu</w:t>
      </w:r>
      <w:r>
        <w:t>l</w:t>
      </w:r>
      <w:r>
        <w:t>taba razonable suponer que la explosión no se había ver</w:t>
      </w:r>
      <w:r>
        <w:t>i</w:t>
      </w:r>
      <w:r>
        <w:t xml:space="preserve">ficado en la vereda de </w:t>
      </w:r>
      <w:smartTag w:uri="urn:schemas-microsoft-com:office:smarttags" w:element="PersonName">
        <w:smartTagPr>
          <w:attr w:name="ProductID" w:val="la A.M"/>
        </w:smartTagPr>
        <w:r>
          <w:t>la A.M</w:t>
        </w:r>
      </w:smartTag>
      <w:r>
        <w:t>.I.A.</w:t>
      </w:r>
    </w:p>
    <w:p w:rsidR="00224567" w:rsidRDefault="00224567">
      <w:pPr>
        <w:widowControl w:val="0"/>
      </w:pPr>
      <w:r>
        <w:tab/>
        <w:t>Agregó que los peritos antes mencion</w:t>
      </w:r>
      <w:r>
        <w:t>a</w:t>
      </w:r>
      <w:r>
        <w:t>dos cayeron en el mismo error que fue el norte de la in</w:t>
      </w:r>
      <w:r>
        <w:t>s</w:t>
      </w:r>
      <w:r>
        <w:t>trucción: colocar la conclusión como premisa y, a partir de allí, acomodar todo para sostene</w:t>
      </w:r>
      <w:r>
        <w:t>r</w:t>
      </w:r>
      <w:r>
        <w:t>la.</w:t>
      </w:r>
    </w:p>
    <w:p w:rsidR="00224567" w:rsidRDefault="00224567">
      <w:pPr>
        <w:widowControl w:val="0"/>
      </w:pPr>
      <w:r>
        <w:tab/>
        <w:t>Resaltó que toda la prueba condujo a robustecer la “historia oficial”, es decir la existencia de una Trafic; premisa que debía mant</w:t>
      </w:r>
      <w:r>
        <w:t>e</w:t>
      </w:r>
      <w:r>
        <w:t>nerse para permitir comprender algunos hechos, como el ingreso de un amort</w:t>
      </w:r>
      <w:r>
        <w:t>i</w:t>
      </w:r>
      <w:r>
        <w:t>guador marca Renault en el cuerpo del portero Díaz. No obstante, expuso que si bien el Renault 20 de Joffe voló por el aire con motivo de la expl</w:t>
      </w:r>
      <w:r>
        <w:t>o</w:t>
      </w:r>
      <w:r>
        <w:t>sión, no existía un solo peritaje que expresara que ese rodado no había pe</w:t>
      </w:r>
      <w:r>
        <w:t>r</w:t>
      </w:r>
      <w:r>
        <w:t>dido una pieza como la referida.</w:t>
      </w:r>
    </w:p>
    <w:p w:rsidR="00224567" w:rsidRDefault="00224567">
      <w:pPr>
        <w:widowControl w:val="0"/>
      </w:pPr>
      <w:r>
        <w:tab/>
        <w:t>Indicó que del análisis de las decl</w:t>
      </w:r>
      <w:r>
        <w:t>a</w:t>
      </w:r>
      <w:r>
        <w:t>raciones testimoniales de personas que habitualmente co</w:t>
      </w:r>
      <w:r>
        <w:t>n</w:t>
      </w:r>
      <w:r>
        <w:t xml:space="preserve">currían a la sede de </w:t>
      </w:r>
      <w:smartTag w:uri="urn:schemas-microsoft-com:office:smarttags" w:element="PersonName">
        <w:smartTagPr>
          <w:attr w:name="ProductID" w:val="la A.M"/>
        </w:smartTagPr>
        <w:r>
          <w:t>la A.M</w:t>
        </w:r>
      </w:smartTag>
      <w:r>
        <w:t>.I.A., no había quedado claro cómo funcionaban las medidas de seguridad y de control p</w:t>
      </w:r>
      <w:r>
        <w:t>a</w:t>
      </w:r>
      <w:r>
        <w:t>ra el acceso al edificio en cuestión.</w:t>
      </w:r>
    </w:p>
    <w:p w:rsidR="00224567" w:rsidRDefault="00224567">
      <w:pPr>
        <w:widowControl w:val="0"/>
      </w:pPr>
      <w:r>
        <w:tab/>
        <w:t>Asimismo, resaltó que del debate su</w:t>
      </w:r>
      <w:r>
        <w:t>r</w:t>
      </w:r>
      <w:r>
        <w:t>gió una hipótesis sobre la forma en que ocurrieron los h</w:t>
      </w:r>
      <w:r>
        <w:t>e</w:t>
      </w:r>
      <w:r>
        <w:t>chos, de acuerdo a los dichos de Luisa Miednik, Adolfo Guido Guzmán, Gerardo Omar de Souza Rosa, Horacio Ismael Yrigoitía, Jorge Osvaldo Masc</w:t>
      </w:r>
      <w:r>
        <w:t>a</w:t>
      </w:r>
      <w:r>
        <w:t>rucci y Carlos Jorge Franke.</w:t>
      </w:r>
    </w:p>
    <w:p w:rsidR="00224567" w:rsidRDefault="00224567">
      <w:pPr>
        <w:widowControl w:val="0"/>
      </w:pPr>
      <w:r>
        <w:tab/>
        <w:t>Cuestionó que muchos de los testigos que estuvieron presentes en el lugar del hecho no fueron escuchados durante la primera etapa del proceso, destaca</w:t>
      </w:r>
      <w:r>
        <w:t>n</w:t>
      </w:r>
      <w:r>
        <w:t>do que no fue casual el modo en que se instruyeron estas actuaciones.</w:t>
      </w:r>
    </w:p>
    <w:p w:rsidR="00224567" w:rsidRDefault="00224567">
      <w:pPr>
        <w:widowControl w:val="0"/>
      </w:pPr>
      <w:r>
        <w:tab/>
        <w:t>Así, señaló que Miednik dijo que el día 18 de julio, antes de la explosión, cuando estaba ll</w:t>
      </w:r>
      <w:r>
        <w:t>e</w:t>
      </w:r>
      <w:r>
        <w:t xml:space="preserve">gando a la sede de </w:t>
      </w:r>
      <w:smartTag w:uri="urn:schemas-microsoft-com:office:smarttags" w:element="PersonName">
        <w:smartTagPr>
          <w:attr w:name="ProductID" w:val="la A.M"/>
        </w:smartTagPr>
        <w:r>
          <w:t>la A.M</w:t>
        </w:r>
      </w:smartTag>
      <w:r>
        <w:t>.I.A. donde trabajaba, observó una camioneta estacionada en la puerta del edif</w:t>
      </w:r>
      <w:r>
        <w:t>i</w:t>
      </w:r>
      <w:r>
        <w:t>cio de la que se descargaban bolsas cerradas color blanco que se d</w:t>
      </w:r>
      <w:r>
        <w:t>e</w:t>
      </w:r>
      <w:r>
        <w:t>jaban sobre la acera, remarcando que ello ocurrió a las 9.49 hs. Agregó que esas bolsas no eran parecidas a las de cemento, sino que estaban muy limpias, lisitas y todas iguales, comentando que luego fueron ingresadas al hall de entrada de la mutual; edificio que estaba en r</w:t>
      </w:r>
      <w:r>
        <w:t>e</w:t>
      </w:r>
      <w:r>
        <w:t xml:space="preserve">facciones. También habló de un hombre de rasgos árabes que pasó por la puerta de </w:t>
      </w:r>
      <w:smartTag w:uri="urn:schemas-microsoft-com:office:smarttags" w:element="PersonName">
        <w:smartTagPr>
          <w:attr w:name="ProductID" w:val="la A.M"/>
        </w:smartTagPr>
        <w:r>
          <w:t>la A.M</w:t>
        </w:r>
      </w:smartTag>
      <w:r>
        <w:t>.I.A. mirando hacia su interior en el mismo momento que se ingr</w:t>
      </w:r>
      <w:r>
        <w:t>e</w:t>
      </w:r>
      <w:r>
        <w:t>saban las bolsas.</w:t>
      </w:r>
    </w:p>
    <w:p w:rsidR="00224567" w:rsidRDefault="00224567">
      <w:pPr>
        <w:widowControl w:val="0"/>
      </w:pPr>
      <w:r>
        <w:tab/>
        <w:t>Luego, el letrado defensor señaló que el policía Guzmán manifestó que el día del hecho se de</w:t>
      </w:r>
      <w:r>
        <w:t>s</w:t>
      </w:r>
      <w:r>
        <w:t>cargaron de una camioneta bolsas de cal, c</w:t>
      </w:r>
      <w:r>
        <w:t>e</w:t>
      </w:r>
      <w:r>
        <w:t xml:space="preserve">mento o arena, que eran ingresadas al edificio de </w:t>
      </w:r>
      <w:smartTag w:uri="urn:schemas-microsoft-com:office:smarttags" w:element="PersonName">
        <w:smartTagPr>
          <w:attr w:name="ProductID" w:val="la A.M"/>
        </w:smartTagPr>
        <w:r>
          <w:t>la A.M</w:t>
        </w:r>
      </w:smartTag>
      <w:r>
        <w:t>.I.A. por la puerta principal, señalando además que el edif</w:t>
      </w:r>
      <w:r>
        <w:t>i</w:t>
      </w:r>
      <w:r>
        <w:t>cio estaba en refacción.</w:t>
      </w:r>
    </w:p>
    <w:p w:rsidR="00224567" w:rsidRDefault="00224567">
      <w:pPr>
        <w:widowControl w:val="0"/>
      </w:pPr>
      <w:r>
        <w:tab/>
        <w:t>El Dr. García Dietze refirió que el testigo Souza Rosa narró que trabajaba en el corralón de materiales “Franciso y José Mazzotta S.A.”, vendiéndole mercadería a la firma G.P.I., y aclaró que el día de la explosión, si bien recibió un pedido de materi</w:t>
      </w:r>
      <w:r>
        <w:t>a</w:t>
      </w:r>
      <w:r>
        <w:t xml:space="preserve">les para </w:t>
      </w:r>
      <w:smartTag w:uri="urn:schemas-microsoft-com:office:smarttags" w:element="PersonName">
        <w:smartTagPr>
          <w:attr w:name="ProductID" w:val="la A.M"/>
        </w:smartTagPr>
        <w:r>
          <w:t>la A.M</w:t>
        </w:r>
      </w:smartTag>
      <w:r>
        <w:t>.I.A., no hicieron ninguna entrega. El letrado agregó que dicha versión fue corroborada por los testigos Yrigo</w:t>
      </w:r>
      <w:r>
        <w:t>i</w:t>
      </w:r>
      <w:r>
        <w:t>tía y Mascarucci, choferes del c</w:t>
      </w:r>
      <w:r>
        <w:t>o</w:t>
      </w:r>
      <w:r>
        <w:t>rralón referido.</w:t>
      </w:r>
    </w:p>
    <w:p w:rsidR="00224567" w:rsidRDefault="00224567">
      <w:pPr>
        <w:widowControl w:val="0"/>
      </w:pPr>
      <w:r>
        <w:tab/>
        <w:t>Acto seguido, el defensor se pr</w:t>
      </w:r>
      <w:r>
        <w:t>e</w:t>
      </w:r>
      <w:r>
        <w:t xml:space="preserve">guntó quiénes  descargaron las bolsas frente al edificio de </w:t>
      </w:r>
      <w:smartTag w:uri="urn:schemas-microsoft-com:office:smarttags" w:element="PersonName">
        <w:smartTagPr>
          <w:attr w:name="ProductID" w:val="la A.M"/>
        </w:smartTagPr>
        <w:r>
          <w:t>la A.M</w:t>
        </w:r>
      </w:smartTag>
      <w:r>
        <w:t>.I.A. cuatro minutos antes de la e</w:t>
      </w:r>
      <w:r>
        <w:t>x</w:t>
      </w:r>
      <w:r>
        <w:t>plosión.</w:t>
      </w:r>
    </w:p>
    <w:p w:rsidR="00224567" w:rsidRDefault="00224567">
      <w:pPr>
        <w:widowControl w:val="0"/>
      </w:pPr>
      <w:r>
        <w:tab/>
        <w:t>En este punto, el letrado remarcó que al explicar las características del anfo, el testigo Fra</w:t>
      </w:r>
      <w:r>
        <w:t>n</w:t>
      </w:r>
      <w:r>
        <w:t>ke manifestó que era de color blanco, que su forma normal de almacenamiento era en bolsas y que explotaba por simp</w:t>
      </w:r>
      <w:r>
        <w:t>a</w:t>
      </w:r>
      <w:r>
        <w:t>tía, tal como lo sostuvo el perito López.</w:t>
      </w:r>
    </w:p>
    <w:p w:rsidR="00224567" w:rsidRDefault="00224567">
      <w:pPr>
        <w:widowControl w:val="0"/>
      </w:pPr>
      <w:r>
        <w:tab/>
        <w:t>Del análisis de los testimonios ref</w:t>
      </w:r>
      <w:r>
        <w:t>e</w:t>
      </w:r>
      <w:r>
        <w:t xml:space="preserve">ridos, el Dr. García Dietze consideró que el hall de la sede de </w:t>
      </w:r>
      <w:smartTag w:uri="urn:schemas-microsoft-com:office:smarttags" w:element="PersonName">
        <w:smartTagPr>
          <w:attr w:name="ProductID" w:val="la A.M"/>
        </w:smartTagPr>
        <w:r>
          <w:t>la A.M</w:t>
        </w:r>
      </w:smartTag>
      <w:r>
        <w:t>.I.A. actuó como una suerte de boca de c</w:t>
      </w:r>
      <w:r>
        <w:t>a</w:t>
      </w:r>
      <w:r>
        <w:t>ñón; circunstancia que permitía explicar por qué no se d</w:t>
      </w:r>
      <w:r>
        <w:t>e</w:t>
      </w:r>
      <w:r>
        <w:t>rrumbaron los balcones de los edificios de enfrente, por qué el policía Guzmán sobrevivió pese a encontrarse tan cerca del foco de la explosión y la desaparición del po</w:t>
      </w:r>
      <w:r>
        <w:t>r</w:t>
      </w:r>
      <w:r>
        <w:t>tón de bronce instalado en la entrada de la instit</w:t>
      </w:r>
      <w:r>
        <w:t>u</w:t>
      </w:r>
      <w:r>
        <w:t>ción.</w:t>
      </w:r>
    </w:p>
    <w:p w:rsidR="00224567" w:rsidRDefault="00224567">
      <w:pPr>
        <w:widowControl w:val="0"/>
      </w:pPr>
      <w:r>
        <w:tab/>
        <w:t>Finalmente, el defensor infirió que el cráter no era otra cosa que el desplazamiento de la loza del hall central hacia abajo, cayendo sobre el s</w:t>
      </w:r>
      <w:r>
        <w:t>ó</w:t>
      </w:r>
      <w:r>
        <w:t>tano, que ya era una oquedad preexistente.</w:t>
      </w:r>
    </w:p>
    <w:p w:rsidR="00224567" w:rsidRDefault="00224567">
      <w:pPr>
        <w:widowControl w:val="0"/>
      </w:pPr>
      <w:r>
        <w:tab/>
        <w:t>Estimó que estas actuaciones fueron mal instruídas y que una correcta investigación fue sacr</w:t>
      </w:r>
      <w:r>
        <w:t>i</w:t>
      </w:r>
      <w:r>
        <w:t>ficada en aras de un teorema postulado desde un ángulo distinto al de la búsqueda de la ve</w:t>
      </w:r>
      <w:r>
        <w:t>r</w:t>
      </w:r>
      <w:r>
        <w:t>dad.</w:t>
      </w:r>
    </w:p>
    <w:p w:rsidR="00224567" w:rsidRDefault="00224567">
      <w:pPr>
        <w:widowControl w:val="0"/>
      </w:pPr>
      <w:r>
        <w:tab/>
        <w:t xml:space="preserve">Posteriormente, el Dr. García Dietze si bien manifestó desconocer la forma en que se derrumbó la sede de </w:t>
      </w:r>
      <w:smartTag w:uri="urn:schemas-microsoft-com:office:smarttags" w:element="PersonName">
        <w:smartTagPr>
          <w:attr w:name="ProductID" w:val="la A.M"/>
        </w:smartTagPr>
        <w:r>
          <w:t>la A.M</w:t>
        </w:r>
      </w:smartTag>
      <w:r>
        <w:t>.I.A., consideró ev</w:t>
      </w:r>
      <w:r>
        <w:t>i</w:t>
      </w:r>
      <w:r>
        <w:t>dente que no existía una sola hipótesis y que otras debían ser investig</w:t>
      </w:r>
      <w:r>
        <w:t>a</w:t>
      </w:r>
      <w:r>
        <w:t>das.</w:t>
      </w:r>
    </w:p>
    <w:p w:rsidR="00224567" w:rsidRDefault="00224567">
      <w:pPr>
        <w:widowControl w:val="0"/>
      </w:pPr>
      <w:r>
        <w:tab/>
        <w:t>Por lo expuesto expresó que, ante la falta de certeza se imponía el beneficio de la duda para resolver, en forma razonable, una situación sometida al proceso penal, en resguardo de las garantías del debido proceso y defensa en juicio.</w:t>
      </w:r>
    </w:p>
    <w:p w:rsidR="00224567" w:rsidRDefault="00224567">
      <w:pPr>
        <w:widowControl w:val="0"/>
      </w:pPr>
      <w:r>
        <w:tab/>
        <w:t>Seguidamente, la defensa afirmó que el testigo Horacio Antonio Stiuso mintió al prestar declar</w:t>
      </w:r>
      <w:r>
        <w:t>a</w:t>
      </w:r>
      <w:r>
        <w:t xml:space="preserve">ción ante el tribunal, destacando que el nombrado hizo una cita que no se vio corroborada por ningún dato obrante en la causa, sino que, por el contrario, se vio enfrentada a la propia investigación practicada por </w:t>
      </w:r>
      <w:smartTag w:uri="urn:schemas-microsoft-com:office:smarttags" w:element="PersonName">
        <w:smartTagPr>
          <w:attr w:name="ProductID" w:val="la Direcci￳n Observaciones"/>
        </w:smartTagPr>
        <w:r>
          <w:t>la Dirección Obse</w:t>
        </w:r>
        <w:r>
          <w:t>r</w:t>
        </w:r>
        <w:r>
          <w:t>vaciones</w:t>
        </w:r>
      </w:smartTag>
      <w:r>
        <w:t xml:space="preserve"> J</w:t>
      </w:r>
      <w:r>
        <w:t>u</w:t>
      </w:r>
      <w:r>
        <w:t xml:space="preserve">diciales de </w:t>
      </w:r>
      <w:smartTag w:uri="urn:schemas-microsoft-com:office:smarttags" w:element="PersonName">
        <w:smartTagPr>
          <w:attr w:name="ProductID" w:val="la S.I"/>
        </w:smartTagPr>
        <w:r>
          <w:t>la S.I</w:t>
        </w:r>
      </w:smartTag>
      <w:r>
        <w:t xml:space="preserve">.D.E. </w:t>
      </w:r>
    </w:p>
    <w:p w:rsidR="00224567" w:rsidRDefault="00224567">
      <w:pPr>
        <w:widowControl w:val="0"/>
      </w:pPr>
      <w:r>
        <w:tab/>
        <w:t>En este sentido, el letrado ind</w:t>
      </w:r>
      <w:r>
        <w:t>i</w:t>
      </w:r>
      <w:r>
        <w:t>có que Stiuso dijo que, antes de la detención de T</w:t>
      </w:r>
      <w:r>
        <w:t>e</w:t>
      </w:r>
      <w:r>
        <w:t>lleldín del 26 de julio de 1994, el abogado Nitzcaner, su hermano y Ana Boragni mantuvieron una reunión en el domicilio de la c</w:t>
      </w:r>
      <w:r>
        <w:t>a</w:t>
      </w:r>
      <w:r>
        <w:t xml:space="preserve">lle República 107. Sin embargo, el defensor advirtió que del resumen diario de </w:t>
      </w:r>
      <w:smartTag w:uri="urn:schemas-microsoft-com:office:smarttags" w:element="PersonName">
        <w:smartTagPr>
          <w:attr w:name="ProductID" w:val="la Direcci￳n Observaciones"/>
        </w:smartTagPr>
        <w:r>
          <w:t>la Dirección Observaciones</w:t>
        </w:r>
      </w:smartTag>
      <w:r>
        <w:t xml:space="preserve"> Judici</w:t>
      </w:r>
      <w:r>
        <w:t>a</w:t>
      </w:r>
      <w:r>
        <w:t>les, correspondiente al abonado instalado en ese domic</w:t>
      </w:r>
      <w:r>
        <w:t>i</w:t>
      </w:r>
      <w:r>
        <w:t>lio, nº 768-0902, surge que el 28 de julio de 1994 Ana B</w:t>
      </w:r>
      <w:r>
        <w:t>o</w:t>
      </w:r>
      <w:r>
        <w:t>ragni llamó al nº 753-4764, correspondiente al domicilio de Nitzcaner y habló con Claudio, quien le solicitó mant</w:t>
      </w:r>
      <w:r>
        <w:t>e</w:t>
      </w:r>
      <w:r>
        <w:t>ner una reunión para interiorizarse de la causa, momento en el que se intercambiaron direcciones y teléf</w:t>
      </w:r>
      <w:r>
        <w:t>o</w:t>
      </w:r>
      <w:r>
        <w:t xml:space="preserve">nos. </w:t>
      </w:r>
    </w:p>
    <w:p w:rsidR="00224567" w:rsidRDefault="00224567">
      <w:pPr>
        <w:widowControl w:val="0"/>
      </w:pPr>
      <w:r>
        <w:tab/>
        <w:t>De lo expuesto, el Dr. García Dietze concluyó que si en el momento antes indicado Ana Boragni le dio a Claudio Nitzcaner su dirección y este últ</w:t>
      </w:r>
      <w:r>
        <w:t>i</w:t>
      </w:r>
      <w:r>
        <w:t>mo, el número de su teléfono celular, allí se registró la primer conversación entre ambos, es decir dos días después de la detención de Telle</w:t>
      </w:r>
      <w:r>
        <w:t>l</w:t>
      </w:r>
      <w:r>
        <w:t>dín.</w:t>
      </w:r>
    </w:p>
    <w:p w:rsidR="00224567" w:rsidRDefault="00224567">
      <w:pPr>
        <w:widowControl w:val="0"/>
      </w:pPr>
      <w:r>
        <w:tab/>
        <w:t>Además, el defensor caracterizó como un acto de coacción el hecho de que dos repr</w:t>
      </w:r>
      <w:r>
        <w:t>e</w:t>
      </w:r>
      <w:r>
        <w:t>sentantes del Ministerio Público Fiscal concurri</w:t>
      </w:r>
      <w:r>
        <w:t>e</w:t>
      </w:r>
      <w:r>
        <w:t>ran al domicilio de su defendido, sin notificar a su abogado defensor, entendie</w:t>
      </w:r>
      <w:r>
        <w:t>n</w:t>
      </w:r>
      <w:r>
        <w:t>do que ello constituía una falta de respeto hacia la col</w:t>
      </w:r>
      <w:r>
        <w:t>e</w:t>
      </w:r>
      <w:r>
        <w:t xml:space="preserve">giación, el ejercicio de la abogacía y </w:t>
      </w:r>
      <w:smartTag w:uri="urn:schemas-microsoft-com:office:smarttags" w:element="PersonName">
        <w:smartTagPr>
          <w:attr w:name="ProductID" w:val="la Constituci￳n Nacional"/>
        </w:smartTagPr>
        <w:r>
          <w:t>la Constitución N</w:t>
        </w:r>
        <w:r>
          <w:t>a</w:t>
        </w:r>
        <w:r>
          <w:t>cional</w:t>
        </w:r>
      </w:smartTag>
      <w:r>
        <w:t>, más aún cuando a raíz de aquella visita Ariel N</w:t>
      </w:r>
      <w:r>
        <w:t>i</w:t>
      </w:r>
      <w:r>
        <w:t xml:space="preserve">tzcaner fue trasladado a </w:t>
      </w:r>
      <w:smartTag w:uri="urn:schemas-microsoft-com:office:smarttags" w:element="PersonName">
        <w:smartTagPr>
          <w:attr w:name="ProductID" w:val="la Capital Federal"/>
        </w:smartTagPr>
        <w:r>
          <w:t>la Capital F</w:t>
        </w:r>
        <w:r>
          <w:t>e</w:t>
        </w:r>
        <w:r>
          <w:t>deral</w:t>
        </w:r>
      </w:smartTag>
      <w:r>
        <w:t xml:space="preserve"> a  bordo de un vehículo oficial para prestar declaración indagatoria el 17 de enero de 1995.</w:t>
      </w:r>
    </w:p>
    <w:p w:rsidR="00224567" w:rsidRDefault="00224567">
      <w:pPr>
        <w:widowControl w:val="0"/>
      </w:pPr>
      <w:r>
        <w:tab/>
        <w:t>En este punto, el Dr. García Dietze indicó que si bien la defensa de Telleldín solicitó la n</w:t>
      </w:r>
      <w:r>
        <w:t>u</w:t>
      </w:r>
      <w:r>
        <w:t>lidad de esa declaración, no iba a a</w:t>
      </w:r>
      <w:r>
        <w:t>d</w:t>
      </w:r>
      <w:r>
        <w:t>herir a ese planteo, porque su defendido, al deponer ante el tribunal, manife</w:t>
      </w:r>
      <w:r>
        <w:t>s</w:t>
      </w:r>
      <w:r>
        <w:t>tó que en esa oportunidad había dicho la verdad.</w:t>
      </w:r>
    </w:p>
    <w:p w:rsidR="00224567" w:rsidRDefault="00224567">
      <w:pPr>
        <w:widowControl w:val="0"/>
      </w:pPr>
      <w:r>
        <w:tab/>
        <w:t>No obstante, subrayó que lo que se cuestionó fue el mecanismo inductor para la declaración, ya que su asistido fue agredido y obligado a ello, y si bien se expresó con la verdad, no había derecho alguno p</w:t>
      </w:r>
      <w:r>
        <w:t>a</w:t>
      </w:r>
      <w:r>
        <w:t>ra hacerlo declarar de esa manera.</w:t>
      </w:r>
    </w:p>
    <w:p w:rsidR="00224567" w:rsidRDefault="00224567">
      <w:pPr>
        <w:widowControl w:val="0"/>
      </w:pPr>
      <w:r>
        <w:tab/>
        <w:t>En virtud de lo expuesto, estimó que lo relatado prec</w:t>
      </w:r>
      <w:r>
        <w:t>e</w:t>
      </w:r>
      <w:r>
        <w:t>dentemente debía ser calificado como una coacción agravada por la calidad del sujeto activo.</w:t>
      </w:r>
    </w:p>
    <w:p w:rsidR="00224567" w:rsidRDefault="00224567">
      <w:pPr>
        <w:widowControl w:val="0"/>
      </w:pPr>
      <w:r>
        <w:tab/>
        <w:t>A continuación, el letrado hizo ref</w:t>
      </w:r>
      <w:r>
        <w:t>e</w:t>
      </w:r>
      <w:r>
        <w:t>rencia a lo que denominó la “mediatización de la problem</w:t>
      </w:r>
      <w:r>
        <w:t>á</w:t>
      </w:r>
      <w:r>
        <w:t>tica penal”, señalando que de las presentes actu</w:t>
      </w:r>
      <w:r>
        <w:t>a</w:t>
      </w:r>
      <w:r>
        <w:t>ciones se tomó conciencia acerca de la manera en que a lo largo de tantos años se abusó del poder, se terg</w:t>
      </w:r>
      <w:r>
        <w:t>i</w:t>
      </w:r>
      <w:r>
        <w:t>versó la verdad y se utilizaron fondos públicos con fines ilícitos; todo ello para encubrir un proceso, un hecho que tuvo otra etiología, y amparar a los verdad</w:t>
      </w:r>
      <w:r>
        <w:t>e</w:t>
      </w:r>
      <w:r>
        <w:t>ros responsables.</w:t>
      </w:r>
    </w:p>
    <w:p w:rsidR="00224567" w:rsidRDefault="00224567">
      <w:pPr>
        <w:widowControl w:val="0"/>
      </w:pPr>
      <w:r>
        <w:tab/>
        <w:t>Sostuvo que frente a la hipótesis de un coche bomba su</w:t>
      </w:r>
      <w:r>
        <w:t>r</w:t>
      </w:r>
      <w:r>
        <w:t>gió otra no menos contundente, o que al menos necesariamente debía ser investigada, estima</w:t>
      </w:r>
      <w:r>
        <w:t>n</w:t>
      </w:r>
      <w:r>
        <w:t>do que aquello que se resolviera en función de la materialidad del atentado podía poner una piedra infra</w:t>
      </w:r>
      <w:r>
        <w:t>n</w:t>
      </w:r>
      <w:r>
        <w:t>queable a quien hoy debe investigar lo realmente suc</w:t>
      </w:r>
      <w:r>
        <w:t>e</w:t>
      </w:r>
      <w:r>
        <w:t xml:space="preserve">dido en </w:t>
      </w:r>
      <w:smartTag w:uri="urn:schemas-microsoft-com:office:smarttags" w:element="PersonName">
        <w:smartTagPr>
          <w:attr w:name="ProductID" w:val="la A.M"/>
        </w:smartTagPr>
        <w:r>
          <w:t>la A.M</w:t>
        </w:r>
      </w:smartTag>
      <w:r>
        <w:t>.I.A.</w:t>
      </w:r>
    </w:p>
    <w:p w:rsidR="00224567" w:rsidRDefault="00224567">
      <w:pPr>
        <w:widowControl w:val="0"/>
      </w:pPr>
      <w:r>
        <w:tab/>
        <w:t>Finalmente, la defensa solicitó la a</w:t>
      </w:r>
      <w:r>
        <w:t>b</w:t>
      </w:r>
      <w:r>
        <w:t>solución de Ariel Rodolfo Nitzcaner en orden a los hechos por los cuales fuera elevado a ju</w:t>
      </w:r>
      <w:r>
        <w:t>i</w:t>
      </w:r>
      <w:r>
        <w:t>cio.</w:t>
      </w:r>
    </w:p>
    <w:p w:rsidR="00224567" w:rsidRDefault="00224567">
      <w:pPr>
        <w:widowControl w:val="0"/>
      </w:pPr>
      <w:r>
        <w:tab/>
        <w:t>Asimismo adhirió al pedido de n</w:t>
      </w:r>
      <w:r>
        <w:t>u</w:t>
      </w:r>
      <w:r>
        <w:t>lidad del acta de halla</w:t>
      </w:r>
      <w:r>
        <w:t>z</w:t>
      </w:r>
      <w:r>
        <w:t xml:space="preserve">go del motor, como de todas las actas de secuestro labradas en detrimento de los arts. 230, 224 y 138 del Código Procesal Penal de </w:t>
      </w:r>
      <w:smartTag w:uri="urn:schemas-microsoft-com:office:smarttags" w:element="PersonName">
        <w:smartTagPr>
          <w:attr w:name="ProductID" w:val="la Naci￳n"/>
        </w:smartTagPr>
        <w:r>
          <w:t>la Nación</w:t>
        </w:r>
      </w:smartTag>
      <w:r>
        <w:t xml:space="preserve"> y de todo lo actuado en su consecuencia, de conformidad con lo normado por el art. 172 del cuerpo legal antes cit</w:t>
      </w:r>
      <w:r>
        <w:t>a</w:t>
      </w:r>
      <w:r>
        <w:t>do.</w:t>
      </w:r>
    </w:p>
    <w:p w:rsidR="00224567" w:rsidRDefault="00224567">
      <w:pPr>
        <w:widowControl w:val="0"/>
      </w:pPr>
      <w:r>
        <w:tab/>
        <w:t>Además, requirió la extracción de te</w:t>
      </w:r>
      <w:r>
        <w:t>s</w:t>
      </w:r>
      <w:r>
        <w:t>timonios de las piezas de interés, a fin de invest</w:t>
      </w:r>
      <w:r>
        <w:t>i</w:t>
      </w:r>
      <w:r>
        <w:t>gar la comisión del delito de coacción agravada que habrían com</w:t>
      </w:r>
      <w:r>
        <w:t>e</w:t>
      </w:r>
      <w:r>
        <w:t>tido los fiscales, Dres. Eamon Mullen y J</w:t>
      </w:r>
      <w:r>
        <w:t>o</w:t>
      </w:r>
      <w:r>
        <w:t>sé Barbaccia en perjuicio de Ariel Rodolfo Nitzcaner, por las circunsta</w:t>
      </w:r>
      <w:r>
        <w:t>n</w:t>
      </w:r>
      <w:r>
        <w:t>cias relativas a su declaración indagatoria del 17 de enero de 1995.</w:t>
      </w:r>
    </w:p>
    <w:p w:rsidR="00224567" w:rsidRDefault="00224567">
      <w:pPr>
        <w:widowControl w:val="0"/>
      </w:pPr>
      <w:r>
        <w:tab/>
        <w:t xml:space="preserve">Por último, solicitó la remisión de testimonios de las partes pertinentes al Colegio Público de Abogados de </w:t>
      </w:r>
      <w:smartTag w:uri="urn:schemas-microsoft-com:office:smarttags" w:element="PersonName">
        <w:smartTagPr>
          <w:attr w:name="ProductID" w:val="la Capital Federal"/>
        </w:smartTagPr>
        <w:r>
          <w:t>la Capital Federal</w:t>
        </w:r>
      </w:smartTag>
      <w:r>
        <w:t>, a los f</w:t>
      </w:r>
      <w:r>
        <w:t>i</w:t>
      </w:r>
      <w:r>
        <w:t>nes que por ley corresponda, con el objeto de poner en conocimiento la a</w:t>
      </w:r>
      <w:r>
        <w:t>c</w:t>
      </w:r>
      <w:r>
        <w:t>tuación que les cupo a los fiscales mencionados respecto de su asistido y en d</w:t>
      </w:r>
      <w:r>
        <w:t>e</w:t>
      </w:r>
      <w:r>
        <w:t>trimento de su abogado.</w:t>
      </w:r>
    </w:p>
    <w:p w:rsidR="00224567" w:rsidRDefault="00224567">
      <w:pPr>
        <w:widowControl w:val="0"/>
      </w:pPr>
    </w:p>
    <w:p w:rsidR="00224567" w:rsidRDefault="00224567">
      <w:pPr>
        <w:pStyle w:val="Sangradetextonormal"/>
        <w:ind w:firstLine="2835"/>
      </w:pPr>
      <w:r>
        <w:rPr>
          <w:b/>
          <w:bCs/>
        </w:rPr>
        <w:tab/>
        <w:t xml:space="preserve">C.11) </w:t>
      </w:r>
      <w:r>
        <w:t xml:space="preserve">En último término efectuó su alegato </w:t>
      </w:r>
      <w:smartTag w:uri="urn:schemas-microsoft-com:office:smarttags" w:element="PersonName">
        <w:smartTagPr>
          <w:attr w:name="ProductID" w:val="la Dra. Pamela"/>
        </w:smartTagPr>
        <w:r>
          <w:t>la Dra. Pamela</w:t>
        </w:r>
      </w:smartTag>
      <w:r>
        <w:t xml:space="preserve"> Bisserier, defensora de Alejandro Burguete, Marcelo Darío Casas y  Edua</w:t>
      </w:r>
      <w:r>
        <w:t>r</w:t>
      </w:r>
      <w:r>
        <w:t>do Diego Toledo. La letrada adhirió al planteo de nulidad efectuado por la fiscalía, respecto de la declaración indagatoria que pre</w:t>
      </w:r>
      <w:r>
        <w:t>s</w:t>
      </w:r>
      <w:r>
        <w:t>tó Carlos Alberto Telleldín el día 5 de julio de 1996, a</w:t>
      </w:r>
      <w:r>
        <w:t>m</w:t>
      </w:r>
      <w:r>
        <w:t>pliándolo a todos sus actos contemporáneos y posteri</w:t>
      </w:r>
      <w:r>
        <w:t>o</w:t>
      </w:r>
      <w:r>
        <w:t>res; al del Dr. Dromi con relación a la causa “Brig</w:t>
      </w:r>
      <w:r>
        <w:t>a</w:t>
      </w:r>
      <w:r>
        <w:t>das”; como así también al que cuestionó la validez del acta de s</w:t>
      </w:r>
      <w:r>
        <w:t>e</w:t>
      </w:r>
      <w:r>
        <w:t xml:space="preserve">cuestro del motor en la sede de </w:t>
      </w:r>
      <w:smartTag w:uri="urn:schemas-microsoft-com:office:smarttags" w:element="PersonName">
        <w:smartTagPr>
          <w:attr w:name="ProductID" w:val="la A.M"/>
        </w:smartTagPr>
        <w:r>
          <w:t>la A.M</w:t>
        </w:r>
      </w:smartTag>
      <w:r>
        <w:t>.I.A.. Asimismo, a</w:t>
      </w:r>
      <w:r>
        <w:t>d</w:t>
      </w:r>
      <w:r>
        <w:t>hirió a la inconstitucion</w:t>
      </w:r>
      <w:r>
        <w:t>a</w:t>
      </w:r>
      <w:r>
        <w:t>lidad de la pena de reclusión y se remitió a los fundamentos expuestos por los colegas preopinantes.</w:t>
      </w:r>
    </w:p>
    <w:p w:rsidR="00224567" w:rsidRDefault="00224567">
      <w:pPr>
        <w:ind w:firstLine="2835"/>
      </w:pPr>
      <w:r>
        <w:t>Además, solicitó que se declare la n</w:t>
      </w:r>
      <w:r>
        <w:t>u</w:t>
      </w:r>
      <w:r>
        <w:t>lidad parcial del decreto de fs. 444/445, parágrafo cua</w:t>
      </w:r>
      <w:r>
        <w:t>r</w:t>
      </w:r>
      <w:r>
        <w:t>to, del 18 de julio de 1994 mediante el cual el m</w:t>
      </w:r>
      <w:r>
        <w:t>a</w:t>
      </w:r>
      <w:r>
        <w:t xml:space="preserve">gistrado instructor le dio intervención en el sumario a </w:t>
      </w:r>
      <w:smartTag w:uri="urn:schemas-microsoft-com:office:smarttags" w:element="PersonName">
        <w:smartTagPr>
          <w:attr w:name="ProductID" w:val="la Secretar￭a"/>
        </w:smartTagPr>
        <w:r>
          <w:t>la Secret</w:t>
        </w:r>
        <w:r>
          <w:t>a</w:t>
        </w:r>
        <w:r>
          <w:t>ría</w:t>
        </w:r>
      </w:smartTag>
      <w:r>
        <w:t xml:space="preserve"> de Inteligencia de Estado. Señaló la defensora que d</w:t>
      </w:r>
      <w:r>
        <w:t>i</w:t>
      </w:r>
      <w:r>
        <w:t>cha actuación se tradujo en tareas de la más variada índ</w:t>
      </w:r>
      <w:r>
        <w:t>o</w:t>
      </w:r>
      <w:r>
        <w:t>le que abarcaron tanto la producción de informes y obte</w:t>
      </w:r>
      <w:r>
        <w:t>n</w:t>
      </w:r>
      <w:r>
        <w:t>ción de evidencias como la realización de entrevistas a testigos y análisis de la documentación secuestrada. Que en la práctica, el accionar de esa secretaría resultó an</w:t>
      </w:r>
      <w:r>
        <w:t>á</w:t>
      </w:r>
      <w:r>
        <w:t xml:space="preserve">logo al de cualquier auxiliar de la justicia pero con la particularidad de no estar previsto en el código procesal ni en </w:t>
      </w:r>
      <w:smartTag w:uri="urn:schemas-microsoft-com:office:smarttags" w:element="PersonName">
        <w:smartTagPr>
          <w:attr w:name="ProductID" w:val="la Constituci￳n Nacional."/>
        </w:smartTagPr>
        <w:r>
          <w:t>la Constitución Nacional.</w:t>
        </w:r>
      </w:smartTag>
    </w:p>
    <w:p w:rsidR="00224567" w:rsidRDefault="00224567">
      <w:pPr>
        <w:ind w:firstLine="2835"/>
      </w:pPr>
      <w:r>
        <w:t>Indicó que para los auxiliares de la justicia el orden</w:t>
      </w:r>
      <w:r>
        <w:t>a</w:t>
      </w:r>
      <w:r>
        <w:t>miento de forma prevé sanciones en caso que omitan o retarden la ejecución de un acto pr</w:t>
      </w:r>
      <w:r>
        <w:t>o</w:t>
      </w:r>
      <w:r>
        <w:t>pio o lo cumplan negligentemente y resaltó que esta situación no pudo darse respecto de esa Secretaría de Estado ya que é</w:t>
      </w:r>
      <w:r>
        <w:t>s</w:t>
      </w:r>
      <w:r>
        <w:t>ta trabajó con su propio procedimiento, al margen del c</w:t>
      </w:r>
      <w:r>
        <w:t>ó</w:t>
      </w:r>
      <w:r>
        <w:t xml:space="preserve">digo ritual. </w:t>
      </w:r>
    </w:p>
    <w:p w:rsidR="00224567" w:rsidRDefault="00224567">
      <w:pPr>
        <w:ind w:firstLine="2835"/>
      </w:pPr>
      <w:r>
        <w:t>Señaló que era diferente pedir colab</w:t>
      </w:r>
      <w:r>
        <w:t>o</w:t>
      </w:r>
      <w:r>
        <w:t>ración a un organi</w:t>
      </w:r>
      <w:r>
        <w:t>s</w:t>
      </w:r>
      <w:r>
        <w:t>mo que darle intervención; así, aclaró, que mientras la colaboración es acotada, la intervención implica la introducción del organismo en el proceso como un auxiliar de la just</w:t>
      </w:r>
      <w:r>
        <w:t>i</w:t>
      </w:r>
      <w:r>
        <w:t xml:space="preserve">cia. Explicó que en el caso, de los testimonios brindados, surgió que los agentes de </w:t>
      </w:r>
      <w:smartTag w:uri="urn:schemas-microsoft-com:office:smarttags" w:element="PersonName">
        <w:smartTagPr>
          <w:attr w:name="ProductID" w:val="la S.I"/>
        </w:smartTagPr>
        <w:r>
          <w:t>la S.I</w:t>
        </w:r>
      </w:smartTag>
      <w:r>
        <w:t>.D.E. se llevaban copias del expediente, que el juez les pedía el análisis de las actuaciones, hacían sugere</w:t>
      </w:r>
      <w:r>
        <w:t>n</w:t>
      </w:r>
      <w:r>
        <w:t>cias y que, entre otras cosas, apo</w:t>
      </w:r>
      <w:r>
        <w:t>r</w:t>
      </w:r>
      <w:r>
        <w:t>taron fondos del Estado para orientar la declaración de Carlos Albe</w:t>
      </w:r>
      <w:r>
        <w:t>r</w:t>
      </w:r>
      <w:r>
        <w:t>to Telleldín. Por todo ello, la defensora co</w:t>
      </w:r>
      <w:r>
        <w:t>n</w:t>
      </w:r>
      <w:r>
        <w:t>sideró ilegal la actuación de la mencionada secretaría pues el juez no estaba facu</w:t>
      </w:r>
      <w:r>
        <w:t>l</w:t>
      </w:r>
      <w:r>
        <w:t>tado para introducirla en el proceso penal. También cons</w:t>
      </w:r>
      <w:r>
        <w:t>i</w:t>
      </w:r>
      <w:r>
        <w:t>deró que se violó el carácter secreto de las actuaciones impuesto por el a</w:t>
      </w:r>
      <w:r>
        <w:t>r</w:t>
      </w:r>
      <w:r>
        <w:t xml:space="preserve">tículo 204 del C.P.P.N. pues </w:t>
      </w:r>
      <w:smartTag w:uri="urn:schemas-microsoft-com:office:smarttags" w:element="PersonName">
        <w:smartTagPr>
          <w:attr w:name="ProductID" w:val="la S.I"/>
        </w:smartTagPr>
        <w:r>
          <w:t>la S.I</w:t>
        </w:r>
      </w:smartTag>
      <w:r>
        <w:t>.D.E. era un extr</w:t>
      </w:r>
      <w:r>
        <w:t>a</w:t>
      </w:r>
      <w:r>
        <w:t>ño en el sumario.</w:t>
      </w:r>
    </w:p>
    <w:p w:rsidR="00224567" w:rsidRDefault="00224567">
      <w:pPr>
        <w:ind w:firstLine="2835"/>
      </w:pPr>
      <w:r>
        <w:t>La letrada relató que el procedimie</w:t>
      </w:r>
      <w:r>
        <w:t>n</w:t>
      </w:r>
      <w:r>
        <w:t xml:space="preserve">to utilizado por </w:t>
      </w:r>
      <w:smartTag w:uri="urn:schemas-microsoft-com:office:smarttags" w:element="PersonName">
        <w:smartTagPr>
          <w:attr w:name="ProductID" w:val="la Secretar￭a"/>
        </w:smartTagPr>
        <w:r>
          <w:t>la Secretaría</w:t>
        </w:r>
      </w:smartTag>
      <w:r>
        <w:t xml:space="preserve"> de Inteligencia en esta causa fue el previsto en la ley secreta nº 19.373, con todas sus modificaciones y decretos, y que para concretar el pago efectuado utilizaron dinero que esa secr</w:t>
      </w:r>
      <w:r>
        <w:t>e</w:t>
      </w:r>
      <w:r>
        <w:t>taría tiene a su disposición por ley secreta nº 18.302.</w:t>
      </w:r>
    </w:p>
    <w:p w:rsidR="00224567" w:rsidRDefault="00224567">
      <w:pPr>
        <w:ind w:firstLine="2835"/>
      </w:pPr>
      <w:r>
        <w:t>En el entendimiento de que esas leyes perjudicaron a los imputados y a la validez del proceso, tal como quedó evidenciado por el sinnúmero de nulidades planteadas, y por considerarlas violatorias de lo establ</w:t>
      </w:r>
      <w:r>
        <w:t>e</w:t>
      </w:r>
      <w:r>
        <w:t>cido en los artículos 1, 18, 19, 28, 33, 116 y concorda</w:t>
      </w:r>
      <w:r>
        <w:t>n</w:t>
      </w:r>
      <w:r>
        <w:t xml:space="preserve">tes de </w:t>
      </w:r>
      <w:smartTag w:uri="urn:schemas-microsoft-com:office:smarttags" w:element="PersonName">
        <w:smartTagPr>
          <w:attr w:name="ProductID" w:val="la Constituci￳n Nacional"/>
        </w:smartTagPr>
        <w:r>
          <w:t>la Constitución Nacional</w:t>
        </w:r>
      </w:smartTag>
      <w:r>
        <w:t>, solicitó que se declare su inconst</w:t>
      </w:r>
      <w:r>
        <w:t>i</w:t>
      </w:r>
      <w:r>
        <w:t>tucionalidad. Aclaró que la ley nº 19.373 no se encuentra vigente pues fue reemplazada en noviembre de 2001 por la ley nº 25.520, pero que su planteo tenía a</w:t>
      </w:r>
      <w:r>
        <w:t>c</w:t>
      </w:r>
      <w:r>
        <w:t>tualidad porque al momento en que se produjo el atentado y tramitó la instrucción de la causa sí lo estaba.</w:t>
      </w:r>
    </w:p>
    <w:p w:rsidR="00224567" w:rsidRDefault="00224567">
      <w:pPr>
        <w:ind w:firstLine="2835"/>
      </w:pPr>
      <w:r>
        <w:t>Amplió sus fundamentos y mencionó que las referidas leyes eran inconstitucionales porque su c</w:t>
      </w:r>
      <w:r>
        <w:t>a</w:t>
      </w:r>
      <w:r>
        <w:t>rácter secreto atentaba contra el sistema republicano de gobierno y, concretamente contra la división de poderes, la igualdad ante la ley, la responsabilidad de los funci</w:t>
      </w:r>
      <w:r>
        <w:t>o</w:t>
      </w:r>
      <w:r>
        <w:t>narios por sus actos y la publicidad de los actos de g</w:t>
      </w:r>
      <w:r>
        <w:t>o</w:t>
      </w:r>
      <w:r>
        <w:t>bierno. Señaló que también por su c</w:t>
      </w:r>
      <w:r>
        <w:t>a</w:t>
      </w:r>
      <w:r>
        <w:t>rácter de secretas los jueces se veían impedidos de ejercer el control d</w:t>
      </w:r>
      <w:r>
        <w:t>i</w:t>
      </w:r>
      <w:r>
        <w:t>recto de constitucionalidad.</w:t>
      </w:r>
    </w:p>
    <w:p w:rsidR="00224567" w:rsidRDefault="00224567">
      <w:pPr>
        <w:ind w:firstLine="2835"/>
      </w:pPr>
      <w:r>
        <w:t>Asimismo, la letrada se preguntó de qué manera con esta clase de leyes se podía controlar el límite de acción de los funcionarios si no se conocía a qué estaban facultados por ley. Precisó también que no p</w:t>
      </w:r>
      <w:r>
        <w:t>o</w:t>
      </w:r>
      <w:r>
        <w:t>día profundizar más acerca de estas leyes 19.373 y 18.302 porque precisamente desconocía su co</w:t>
      </w:r>
      <w:r>
        <w:t>n</w:t>
      </w:r>
      <w:r>
        <w:t>tenido.</w:t>
      </w:r>
    </w:p>
    <w:p w:rsidR="00224567" w:rsidRDefault="00224567">
      <w:pPr>
        <w:ind w:firstLine="2835"/>
      </w:pPr>
      <w:r>
        <w:t>Entendió que el verdadero sentido que surgía del debate parlamentario de la nueva ley de intel</w:t>
      </w:r>
      <w:r>
        <w:t>i</w:t>
      </w:r>
      <w:r>
        <w:t>gencia nº 25.520, que impone límites y restricciones inexistentes en la ley derogada, era el repudio por i</w:t>
      </w:r>
      <w:r>
        <w:t>n</w:t>
      </w:r>
      <w:r>
        <w:t>constitucional de la ley nº 19.373, por su contenido y por su carácter de secr</w:t>
      </w:r>
      <w:r>
        <w:t>e</w:t>
      </w:r>
      <w:r>
        <w:t>ta.</w:t>
      </w:r>
    </w:p>
    <w:p w:rsidR="00224567" w:rsidRDefault="00224567">
      <w:pPr>
        <w:ind w:firstLine="2835"/>
      </w:pPr>
      <w:r>
        <w:t>Recalcó que doctrinarios como Miguel Ángel Ekmekdjian y Néstor P. Sagües, entre otros, indic</w:t>
      </w:r>
      <w:r>
        <w:t>a</w:t>
      </w:r>
      <w:r>
        <w:t>ron que las leyes secretas eran incompatibles con un rég</w:t>
      </w:r>
      <w:r>
        <w:t>i</w:t>
      </w:r>
      <w:r>
        <w:t>men republicano de gobierno. También invocó el fallo “A</w:t>
      </w:r>
      <w:r>
        <w:t>l</w:t>
      </w:r>
      <w:r>
        <w:t>sogaray, María Julia por enriquecimiento ilíc</w:t>
      </w:r>
      <w:r>
        <w:t>i</w:t>
      </w:r>
      <w:r>
        <w:t>to”, y dijo que en ese precedente el Tribunal Oral en lo Criminal F</w:t>
      </w:r>
      <w:r>
        <w:t>e</w:t>
      </w:r>
      <w:r>
        <w:t>deral nro. 4 de esta ciudad sost</w:t>
      </w:r>
      <w:r>
        <w:t>u</w:t>
      </w:r>
      <w:r>
        <w:t>vo como principio general la i</w:t>
      </w:r>
      <w:r>
        <w:t>n</w:t>
      </w:r>
      <w:r>
        <w:t>constitucionalidad de este tipo de normas.</w:t>
      </w:r>
    </w:p>
    <w:p w:rsidR="00224567" w:rsidRDefault="00224567">
      <w:pPr>
        <w:pStyle w:val="Sangradetextonormal"/>
        <w:ind w:firstLine="2835"/>
      </w:pPr>
      <w:r>
        <w:t>Adujo que la ley nº 18.302 prevé fo</w:t>
      </w:r>
      <w:r>
        <w:t>n</w:t>
      </w:r>
      <w:r>
        <w:t xml:space="preserve">dos secretos para varios organismos del Estado, entre ellos </w:t>
      </w:r>
      <w:smartTag w:uri="urn:schemas-microsoft-com:office:smarttags" w:element="PersonName">
        <w:smartTagPr>
          <w:attr w:name="ProductID" w:val="la S.I"/>
        </w:smartTagPr>
        <w:r>
          <w:t>la S.I</w:t>
        </w:r>
      </w:smartTag>
      <w:r>
        <w:t xml:space="preserve">.D.E.; que el carácter secreto de esa ley era incompatible con </w:t>
      </w:r>
      <w:smartTag w:uri="urn:schemas-microsoft-com:office:smarttags" w:element="PersonName">
        <w:smartTagPr>
          <w:attr w:name="ProductID" w:val="la Carta Magna"/>
        </w:smartTagPr>
        <w:r>
          <w:t>la Carta Magna</w:t>
        </w:r>
      </w:smartTag>
      <w:r>
        <w:t>, no sólo porque la publ</w:t>
      </w:r>
      <w:r>
        <w:t>i</w:t>
      </w:r>
      <w:r>
        <w:t>cidad es un principio tácitamente i</w:t>
      </w:r>
      <w:r>
        <w:t>m</w:t>
      </w:r>
      <w:r>
        <w:t>perante en ella, sino también porque tal postulado surge explícitamente de las reglas que prescriben la forma de promulgación de las l</w:t>
      </w:r>
      <w:r>
        <w:t>e</w:t>
      </w:r>
      <w:r>
        <w:t>yes. Que la formulación legal de este principio se encue</w:t>
      </w:r>
      <w:r>
        <w:t>n</w:t>
      </w:r>
      <w:r>
        <w:t>tra en el art. 2º del Código Civil y en las normas que d</w:t>
      </w:r>
      <w:r>
        <w:t>e</w:t>
      </w:r>
      <w:r>
        <w:t>terminan el mecanismo de la publicidad a través del Bol</w:t>
      </w:r>
      <w:r>
        <w:t>e</w:t>
      </w:r>
      <w:r>
        <w:t>tín Oficial.</w:t>
      </w:r>
    </w:p>
    <w:p w:rsidR="00224567" w:rsidRDefault="00224567">
      <w:pPr>
        <w:ind w:firstLine="2835"/>
      </w:pPr>
      <w:r>
        <w:t>Que esta legislación oculta –continuó la defensora- viola el principio de legalidad establ</w:t>
      </w:r>
      <w:r>
        <w:t>e</w:t>
      </w:r>
      <w:r>
        <w:t xml:space="preserve">cido en los artículos 18, 19 y 28 de </w:t>
      </w:r>
      <w:smartTag w:uri="urn:schemas-microsoft-com:office:smarttags" w:element="PersonName">
        <w:smartTagPr>
          <w:attr w:name="ProductID" w:val="la Constituci￳n Nacional"/>
        </w:smartTagPr>
        <w:r>
          <w:t>la Constitución Nacional</w:t>
        </w:r>
      </w:smartTag>
      <w:r>
        <w:t xml:space="preserve"> y compromete la seguridad jurídica, pues generan desconcie</w:t>
      </w:r>
      <w:r>
        <w:t>r</w:t>
      </w:r>
      <w:r>
        <w:t>to acerca de los límites y alcances de los derechos y obligaciones de los ciudadanos.</w:t>
      </w:r>
    </w:p>
    <w:p w:rsidR="00224567" w:rsidRDefault="00224567">
      <w:pPr>
        <w:ind w:firstLine="2835"/>
      </w:pPr>
      <w:r>
        <w:t>Resaltó que el dinero que se pagó a Carlos Alberto Telleldín provino de estos fondos pr</w:t>
      </w:r>
      <w:r>
        <w:t>e</w:t>
      </w:r>
      <w:r>
        <w:t>vistos en la ley nº 18.302 y que el perjuicio ocasionado al pr</w:t>
      </w:r>
      <w:r>
        <w:t>o</w:t>
      </w:r>
      <w:r>
        <w:t>ceso y a las partes justificaba s</w:t>
      </w:r>
      <w:r>
        <w:t>o</w:t>
      </w:r>
      <w:r>
        <w:t>bradamente su planteo de inconstitucionalidad y la nulidad de todo lo obrado en su consecuencia. Que también correspondía declarar la n</w:t>
      </w:r>
      <w:r>
        <w:t>u</w:t>
      </w:r>
      <w:r>
        <w:t>lidad de la ley nº 19.373, sus reformas y decretos reglament</w:t>
      </w:r>
      <w:r>
        <w:t>a</w:t>
      </w:r>
      <w:r>
        <w:t xml:space="preserve">rios pues permitieron obrar a </w:t>
      </w:r>
      <w:smartTag w:uri="urn:schemas-microsoft-com:office:smarttags" w:element="PersonName">
        <w:smartTagPr>
          <w:attr w:name="ProductID" w:val="la Secretar￭a"/>
        </w:smartTagPr>
        <w:r>
          <w:t>la Secretaría</w:t>
        </w:r>
      </w:smartTag>
      <w:r>
        <w:t xml:space="preserve"> de Intelige</w:t>
      </w:r>
      <w:r>
        <w:t>n</w:t>
      </w:r>
      <w:r>
        <w:t>cia con procedimientos opuestos al reglado en el Código Procesal Penal de la, vulnerando de este modo los prece</w:t>
      </w:r>
      <w:r>
        <w:t>p</w:t>
      </w:r>
      <w:r>
        <w:t>tos constitucionales ya referidos y contaminando todo el pr</w:t>
      </w:r>
      <w:r>
        <w:t>o</w:t>
      </w:r>
      <w:r>
        <w:t>ceso.</w:t>
      </w:r>
    </w:p>
    <w:p w:rsidR="00224567" w:rsidRDefault="00224567">
      <w:pPr>
        <w:ind w:firstLine="2835"/>
      </w:pPr>
      <w:r>
        <w:t xml:space="preserve">Continuó en su exposición y destacó que la intervención de </w:t>
      </w:r>
      <w:smartTag w:uri="urn:schemas-microsoft-com:office:smarttags" w:element="PersonName">
        <w:smartTagPr>
          <w:attr w:name="ProductID" w:val="la S.I"/>
        </w:smartTagPr>
        <w:r>
          <w:t>la S.I</w:t>
        </w:r>
      </w:smartTag>
      <w:r>
        <w:t>.D.E. tuvo origen desde el primer momento de acaecido el atentado, por lo que todo lo que tuviera relación con el accionar de esa secret</w:t>
      </w:r>
      <w:r>
        <w:t>a</w:t>
      </w:r>
      <w:r>
        <w:t>ría, a partir del decreto de fs. 444, padecía los efectos previ</w:t>
      </w:r>
      <w:r>
        <w:t>s</w:t>
      </w:r>
      <w:r>
        <w:t>tos en el artículo 172 del ordenamiento pr</w:t>
      </w:r>
      <w:r>
        <w:t>o</w:t>
      </w:r>
      <w:r>
        <w:t>cesal. Recordó que de esta manera quedaba sin sustento la denominada ca</w:t>
      </w:r>
      <w:r>
        <w:t>u</w:t>
      </w:r>
      <w:r>
        <w:t>sa “Brigadas” y la causa que por falso testimonio se les sigue a sus defendidos Casas y Toledo. Completó esta pos</w:t>
      </w:r>
      <w:r>
        <w:t>i</w:t>
      </w:r>
      <w:r>
        <w:t>ción indicando que en su calidad de hechos conexos al principal, las nulidades que se pla</w:t>
      </w:r>
      <w:r>
        <w:t>n</w:t>
      </w:r>
      <w:r>
        <w:t>teaban con relación a la causa en sí afectaban a todos los d</w:t>
      </w:r>
      <w:r>
        <w:t>e</w:t>
      </w:r>
      <w:r>
        <w:t>más hechos y causas dependientes.</w:t>
      </w:r>
    </w:p>
    <w:p w:rsidR="00224567" w:rsidRDefault="00224567">
      <w:pPr>
        <w:ind w:firstLine="2835"/>
      </w:pPr>
      <w:r>
        <w:t>Con relación al delito de asociación ilícita enrostrado a su defendido Alejandro Burguete, la letrada, tras citar el voto del Dr. Federico en los prec</w:t>
      </w:r>
      <w:r>
        <w:t>e</w:t>
      </w:r>
      <w:r>
        <w:t>dentes “Giraudi” y “Britez” del Tribunal Oral en lo Crim</w:t>
      </w:r>
      <w:r>
        <w:t>i</w:t>
      </w:r>
      <w:r>
        <w:t>nal Federal nº 1 de esta ciudad, indicó que la formul</w:t>
      </w:r>
      <w:r>
        <w:t>a</w:t>
      </w:r>
      <w:r>
        <w:t>ción legal de la norma contenida en el artículo 210 del Código Penal era vaga, imprecisa y afectaba el principio de leg</w:t>
      </w:r>
      <w:r>
        <w:t>a</w:t>
      </w:r>
      <w:r>
        <w:t>lidad, por lo que planteó su inconstitucional</w:t>
      </w:r>
      <w:r>
        <w:t>i</w:t>
      </w:r>
      <w:r>
        <w:t>dad. Aclaró que el perjuicio generado a su defendido Bu</w:t>
      </w:r>
      <w:r>
        <w:t>r</w:t>
      </w:r>
      <w:r>
        <w:t>guete residía en la misma imputación y en el altís</w:t>
      </w:r>
      <w:r>
        <w:t>i</w:t>
      </w:r>
      <w:r>
        <w:t>mo pedido de pena de reclusión.</w:t>
      </w:r>
    </w:p>
    <w:p w:rsidR="00224567" w:rsidRDefault="00224567">
      <w:pPr>
        <w:ind w:firstLine="2835"/>
      </w:pPr>
      <w:r>
        <w:t>Impetró, además, la nulidad pa</w:t>
      </w:r>
      <w:r>
        <w:t>r</w:t>
      </w:r>
      <w:r>
        <w:t>cial y absoluta de las declaraciones indagatorias de Alejandro Burguete y de todo lo actuado en consecuencia, con fund</w:t>
      </w:r>
      <w:r>
        <w:t>a</w:t>
      </w:r>
      <w:r>
        <w:t>mento en que la formulación genérica efectuada por el m</w:t>
      </w:r>
      <w:r>
        <w:t>a</w:t>
      </w:r>
      <w:r>
        <w:t>gistrado instructor acerca de la imputación del del</w:t>
      </w:r>
      <w:r>
        <w:t>i</w:t>
      </w:r>
      <w:r>
        <w:t>to de asociación ilícita incumplió con los preceptos establec</w:t>
      </w:r>
      <w:r>
        <w:t>i</w:t>
      </w:r>
      <w:r>
        <w:t>dos en el artículo 298 del C.P.P.N. y afectó la garantía de defensa en juicio de su asistido. Agregó que no se p</w:t>
      </w:r>
      <w:r>
        <w:t>o</w:t>
      </w:r>
      <w:r>
        <w:t>día reproducir el acto, porque su pupilo tenía el derecho de poner fin al estado de incertidumbre ocasionado por e</w:t>
      </w:r>
      <w:r>
        <w:t>s</w:t>
      </w:r>
      <w:r>
        <w:t>te juicio, razón por la cual c</w:t>
      </w:r>
      <w:r>
        <w:t>o</w:t>
      </w:r>
      <w:r>
        <w:t>rrespondía su absolución.</w:t>
      </w:r>
    </w:p>
    <w:p w:rsidR="00224567" w:rsidRDefault="00224567">
      <w:pPr>
        <w:ind w:firstLine="2835"/>
      </w:pPr>
      <w:r>
        <w:t>Asimismo, dijo que de aceptarse la g</w:t>
      </w:r>
      <w:r>
        <w:t>e</w:t>
      </w:r>
      <w:r>
        <w:t>neral descripción efectuada acerca de esa imputación, su defendido no integraba ninguna as</w:t>
      </w:r>
      <w:r>
        <w:t>o</w:t>
      </w:r>
      <w:r>
        <w:t>ciación ilícita.</w:t>
      </w:r>
    </w:p>
    <w:p w:rsidR="00224567" w:rsidRDefault="00224567">
      <w:pPr>
        <w:ind w:firstLine="2835"/>
      </w:pPr>
      <w:r>
        <w:t>Por otra parte, en coincidencia con lo sostenido por el Dr. Dromi, señaló que no existía línea de investigación independiente de Ca</w:t>
      </w:r>
      <w:r>
        <w:t>r</w:t>
      </w:r>
      <w:r>
        <w:t>los Alberto Telleldín y del hallazgo del motor, que permitiera dar con los pol</w:t>
      </w:r>
      <w:r>
        <w:t>i</w:t>
      </w:r>
      <w:r>
        <w:t>cías bonaerenses.</w:t>
      </w:r>
    </w:p>
    <w:p w:rsidR="00224567" w:rsidRDefault="00224567">
      <w:pPr>
        <w:ind w:firstLine="2835"/>
      </w:pPr>
      <w:r>
        <w:t>En lo concerniente al delito de fals</w:t>
      </w:r>
      <w:r>
        <w:t>i</w:t>
      </w:r>
      <w:r>
        <w:t>ficación ideológica de instrumento público, también endi</w:t>
      </w:r>
      <w:r>
        <w:t>l</w:t>
      </w:r>
      <w:r>
        <w:t>gado a Burguete por los hechos de los días 15 de marzo y 4 de abril de 1994, la defensa técnica consideró que su asistido no tuvo ningún conocimiento de la inserción de datos falsos en las constancias por las que se lo acusó. Que Burguete había explicado que él firmó lo que le fue llevado, preparado y escrito por la oficina de judici</w:t>
      </w:r>
      <w:r>
        <w:t>a</w:t>
      </w:r>
      <w:r>
        <w:t>les. Que en consecuencia su defendido había obrado sin dolo y, en todo caso, si su obrar fue negligente, su conducta era atípica.</w:t>
      </w:r>
    </w:p>
    <w:p w:rsidR="00224567" w:rsidRDefault="00224567">
      <w:pPr>
        <w:ind w:firstLine="2835"/>
      </w:pPr>
      <w:r>
        <w:t>Destacó que el nombrado al mome</w:t>
      </w:r>
      <w:r>
        <w:t>n</w:t>
      </w:r>
      <w:r>
        <w:t>to de esos hechos asumió como segundo jefe de la brigada en el marco de la masacre de Wilde, que se encontraba pr</w:t>
      </w:r>
      <w:r>
        <w:t>e</w:t>
      </w:r>
      <w:r>
        <w:t>sionado por las responsabilidades que se generaron en el ámbito policial, con su esposa embarazada, su libe</w:t>
      </w:r>
      <w:r>
        <w:t>r</w:t>
      </w:r>
      <w:r>
        <w:t>tad cercenada y una familia n</w:t>
      </w:r>
      <w:r>
        <w:t>u</w:t>
      </w:r>
      <w:r>
        <w:t>merosa.</w:t>
      </w:r>
    </w:p>
    <w:p w:rsidR="00224567" w:rsidRDefault="00224567">
      <w:pPr>
        <w:ind w:firstLine="2835"/>
      </w:pPr>
      <w:r>
        <w:t>Que seguramente –remarcó la letrada- en alguna de sus declaraciones ante el magistrado instru</w:t>
      </w:r>
      <w:r>
        <w:t>c</w:t>
      </w:r>
      <w:r>
        <w:t>tor sintió las mismas presiones que otros y fue utilizado, de alguna manera, para introducir en el proceso el</w:t>
      </w:r>
      <w:r>
        <w:t>e</w:t>
      </w:r>
      <w:r>
        <w:t>mentos que sirvieron de imputación a sus protagonistas princip</w:t>
      </w:r>
      <w:r>
        <w:t>a</w:t>
      </w:r>
      <w:r>
        <w:t>les.</w:t>
      </w:r>
    </w:p>
    <w:p w:rsidR="00224567" w:rsidRDefault="00224567">
      <w:pPr>
        <w:ind w:firstLine="2835"/>
      </w:pPr>
      <w:r>
        <w:t>En otro orden de ideas, subsidiari</w:t>
      </w:r>
      <w:r>
        <w:t>a</w:t>
      </w:r>
      <w:r>
        <w:t>mente a las nulidades e inconstitucionalidades plante</w:t>
      </w:r>
      <w:r>
        <w:t>a</w:t>
      </w:r>
      <w:r>
        <w:t>das, postuló la absolución de su defendido por el delito de falsedad ideológica, por entender que la fiscalía no había alcanzado a refutar la e</w:t>
      </w:r>
      <w:r>
        <w:t>x</w:t>
      </w:r>
      <w:r>
        <w:t>plicación brindada por Burguete; y que, por otra parte, debía prevalecer el principio ben</w:t>
      </w:r>
      <w:r>
        <w:t>e</w:t>
      </w:r>
      <w:r>
        <w:t>ficiante de la duda, al que calificó como principio su</w:t>
      </w:r>
      <w:r>
        <w:t>s</w:t>
      </w:r>
      <w:r>
        <w:t>tantivo contenido en el código ritual, reglamentario del principio constitucional de inocencia.</w:t>
      </w:r>
    </w:p>
    <w:p w:rsidR="00224567" w:rsidRDefault="00224567">
      <w:pPr>
        <w:ind w:firstLine="2835"/>
      </w:pPr>
      <w:r>
        <w:t xml:space="preserve"> Por último, respecto de Alejandro Burguete, criticó el pedido de pena efectuado por la fi</w:t>
      </w:r>
      <w:r>
        <w:t>s</w:t>
      </w:r>
      <w:r>
        <w:t>calía y pidió que se tuviera presente la imprecisión y la vaguedad de esa fundamentación brindada por el M</w:t>
      </w:r>
      <w:r>
        <w:t>i</w:t>
      </w:r>
      <w:r>
        <w:t>nisterio Público Fiscal.</w:t>
      </w:r>
    </w:p>
    <w:p w:rsidR="00224567" w:rsidRDefault="00224567">
      <w:pPr>
        <w:ind w:firstLine="2835"/>
      </w:pPr>
      <w:r>
        <w:t>Luego de reiterar que los efectos de las nulidades e inconstitucionalidades planteadas alcanz</w:t>
      </w:r>
      <w:r>
        <w:t>a</w:t>
      </w:r>
      <w:r>
        <w:t>ban a los hechos reprochados a sus asistidos Ma</w:t>
      </w:r>
      <w:r>
        <w:t>r</w:t>
      </w:r>
      <w:r>
        <w:t>celo Darío Casas y Eduardo Diego Toledo, subsidiariamente, la defe</w:t>
      </w:r>
      <w:r>
        <w:t>n</w:t>
      </w:r>
      <w:r>
        <w:t>sora pública oficial postuló la libre absolución de los nombrados por el supuesto falso testimonio cometido en s</w:t>
      </w:r>
      <w:r>
        <w:t>e</w:t>
      </w:r>
      <w:r>
        <w:t>de administrativa por entender atípicas sus conductas, precisamente porque al haber sido vertidas dichas declar</w:t>
      </w:r>
      <w:r>
        <w:t>a</w:t>
      </w:r>
      <w:r>
        <w:t>ciones en un sumario administrativo no se afectó el fu</w:t>
      </w:r>
      <w:r>
        <w:t>n</w:t>
      </w:r>
      <w:r>
        <w:t>cionamiento de la just</w:t>
      </w:r>
      <w:r>
        <w:t>i</w:t>
      </w:r>
      <w:r>
        <w:t>cia, bien jurídico protegido por la norma. Además, subrayó que debía considerarse que las d</w:t>
      </w:r>
      <w:r>
        <w:t>e</w:t>
      </w:r>
      <w:r>
        <w:t>claraciones prestadas por Casas y Toledo en este sumario laboral, contenían un alto riesgo de autoincriminación p</w:t>
      </w:r>
      <w:r>
        <w:t>a</w:t>
      </w:r>
      <w:r>
        <w:t>ra ambos.</w:t>
      </w:r>
    </w:p>
    <w:p w:rsidR="00224567" w:rsidRDefault="00224567">
      <w:pPr>
        <w:ind w:firstLine="2835"/>
      </w:pPr>
      <w:r>
        <w:t>Indicó que, por otra parte, en virtud de la calificación de falso testimonio simple por el que la fiscalía acusó a Casas y Toledo, c</w:t>
      </w:r>
      <w:r>
        <w:t>o</w:t>
      </w:r>
      <w:r>
        <w:t>rrespondía absolver a sus pupilos por entender que ese delito se encontraba prescripto pues el primer acto persecutorio era el dict</w:t>
      </w:r>
      <w:r>
        <w:t>a</w:t>
      </w:r>
      <w:r>
        <w:t>men fiscal de fs. 582, fechado el 30 de enero de 2001.</w:t>
      </w:r>
    </w:p>
    <w:p w:rsidR="00224567" w:rsidRDefault="00224567">
      <w:pPr>
        <w:ind w:firstLine="2835"/>
      </w:pPr>
      <w:r>
        <w:t>Igual planteo realizó respecto del testimonio brindado por Casas en el año 1995 en la causa nº 5681, al que la letrada también calificó como falso testimonio simple, pues de dicha declaración no surgía ninguna imputación concreta contra los invest</w:t>
      </w:r>
      <w:r>
        <w:t>i</w:t>
      </w:r>
      <w:r>
        <w:t>gados en ese homicidio ni contra Telle</w:t>
      </w:r>
      <w:r>
        <w:t>l</w:t>
      </w:r>
      <w:r>
        <w:t>dín.</w:t>
      </w:r>
    </w:p>
    <w:p w:rsidR="00224567" w:rsidRDefault="00224567">
      <w:pPr>
        <w:ind w:firstLine="2835"/>
      </w:pPr>
      <w:r>
        <w:t>Por último, efectuó reparos ace</w:t>
      </w:r>
      <w:r>
        <w:t>r</w:t>
      </w:r>
      <w:r>
        <w:t>ca de la mensuración de la pena solicitada por el Ministerio P</w:t>
      </w:r>
      <w:r>
        <w:t>ú</w:t>
      </w:r>
      <w:r>
        <w:t>blico Fiscal respecto de Casas y T</w:t>
      </w:r>
      <w:r>
        <w:t>o</w:t>
      </w:r>
      <w:r>
        <w:t>ledo y, para el caso de un pronunciamiento adverso, dejó asentada formal pr</w:t>
      </w:r>
      <w:r>
        <w:t>o</w:t>
      </w:r>
      <w:r>
        <w:t>testa casatoria y reserva del caso federal en lo que i</w:t>
      </w:r>
      <w:r>
        <w:t>n</w:t>
      </w:r>
      <w:r>
        <w:t>cluyó las reservas recursivas y los planteos efectuados en el inc</w:t>
      </w:r>
      <w:r>
        <w:t>i</w:t>
      </w:r>
      <w:r>
        <w:t>dente de nulidad acollarado a la causa nº 502.</w:t>
      </w:r>
    </w:p>
    <w:p w:rsidR="00224567" w:rsidRDefault="00224567">
      <w:pPr>
        <w:widowControl w:val="0"/>
      </w:pPr>
    </w:p>
    <w:p w:rsidR="00224567" w:rsidRDefault="00224567">
      <w:pPr>
        <w:pStyle w:val="Ttulo2"/>
        <w:widowControl w:val="0"/>
      </w:pPr>
      <w:r>
        <w:t>CAPÍTULO III</w:t>
      </w:r>
    </w:p>
    <w:p w:rsidR="00224567" w:rsidRDefault="00224567">
      <w:pPr>
        <w:pStyle w:val="Ttulo3"/>
        <w:widowControl w:val="0"/>
      </w:pPr>
      <w:r>
        <w:t>A) Réplicas de las querellas y del Ministerio Público Fi</w:t>
      </w:r>
      <w:r>
        <w:t>s</w:t>
      </w:r>
      <w:r>
        <w:t>cal.</w:t>
      </w:r>
    </w:p>
    <w:p w:rsidR="00224567" w:rsidRDefault="00224567">
      <w:pPr>
        <w:widowControl w:val="0"/>
      </w:pPr>
      <w:r>
        <w:tab/>
      </w:r>
      <w:r>
        <w:rPr>
          <w:b/>
          <w:bCs/>
        </w:rPr>
        <w:t>A.1)</w:t>
      </w:r>
      <w:r>
        <w:t xml:space="preserve"> En la oportunidad prevista en los párrafos 4º y 5º del art. 393 del Código Procesal P</w:t>
      </w:r>
      <w:r>
        <w:t>e</w:t>
      </w:r>
      <w:r>
        <w:t xml:space="preserve">nal de </w:t>
      </w:r>
      <w:smartTag w:uri="urn:schemas-microsoft-com:office:smarttags" w:element="PersonName">
        <w:smartTagPr>
          <w:attr w:name="ProductID" w:val="la Naci￳n"/>
        </w:smartTagPr>
        <w:r>
          <w:t>la Nación</w:t>
        </w:r>
      </w:smartTag>
      <w:r>
        <w:t>, la querella “Memoria Activa”, represe</w:t>
      </w:r>
      <w:r>
        <w:t>n</w:t>
      </w:r>
      <w:r>
        <w:t>tada por el Dr. Pablo Jacoby, se expidió con relación a determin</w:t>
      </w:r>
      <w:r>
        <w:t>a</w:t>
      </w:r>
      <w:r>
        <w:t>das nulidades deducidas por las defensas de distintos imputados, a la vez que replicó el alegato formulado por las letradas de Carlos Alberto Telleldín.</w:t>
      </w:r>
    </w:p>
    <w:p w:rsidR="00224567" w:rsidRDefault="00224567">
      <w:pPr>
        <w:widowControl w:val="0"/>
      </w:pPr>
      <w:r>
        <w:tab/>
      </w:r>
      <w:r>
        <w:tab/>
        <w:t>El Dr. Jacoby destacó que la actitud asumida por la querella fue siempre con</w:t>
      </w:r>
      <w:r>
        <w:t>s</w:t>
      </w:r>
      <w:r>
        <w:t>tructiva y estuvo guiada por las normas del debido proceso l</w:t>
      </w:r>
      <w:r>
        <w:t>e</w:t>
      </w:r>
      <w:r>
        <w:t>gal, razón por la cual no le interesaba que la causa fuera declarada nula en su i</w:t>
      </w:r>
      <w:r>
        <w:t>n</w:t>
      </w:r>
      <w:r>
        <w:t>tegridad.</w:t>
      </w:r>
    </w:p>
    <w:p w:rsidR="00224567" w:rsidRDefault="00224567">
      <w:pPr>
        <w:widowControl w:val="0"/>
      </w:pPr>
      <w:r>
        <w:tab/>
        <w:t>Estimó que el debate oral permitió descubrir que la causa fue armada desde la etapa instru</w:t>
      </w:r>
      <w:r>
        <w:t>c</w:t>
      </w:r>
      <w:r>
        <w:t>toria con la col</w:t>
      </w:r>
      <w:r>
        <w:t>a</w:t>
      </w:r>
      <w:r>
        <w:t>boración del Estado.</w:t>
      </w:r>
    </w:p>
    <w:p w:rsidR="00224567" w:rsidRDefault="00224567">
      <w:pPr>
        <w:widowControl w:val="0"/>
      </w:pPr>
      <w:r>
        <w:tab/>
        <w:t>Posteriormente, analizó los planteos de nulidad que, a su juicio, merecían tratamiento. En pr</w:t>
      </w:r>
      <w:r>
        <w:t>i</w:t>
      </w:r>
      <w:r>
        <w:t>mer lugar, entendió que correspondía hacer lugar a la n</w:t>
      </w:r>
      <w:r>
        <w:t>u</w:t>
      </w:r>
      <w:r>
        <w:t>lidad del acta de secuestro de fs. 224 del Informe Prel</w:t>
      </w:r>
      <w:r>
        <w:t>i</w:t>
      </w:r>
      <w:r>
        <w:t xml:space="preserve">minar del Departamento de Bomberos de </w:t>
      </w:r>
      <w:smartTag w:uri="urn:schemas-microsoft-com:office:smarttags" w:element="PersonName">
        <w:smartTagPr>
          <w:attr w:name="ProductID" w:val="la Polic￭a Federal"/>
        </w:smartTagPr>
        <w:r>
          <w:t>la Policía Federal</w:t>
        </w:r>
      </w:smartTag>
      <w:r>
        <w:t xml:space="preserve"> Argentina y de todo lo obrado en consecuencia, impetrada por las defensas de Telleldín, Ibarra, Bottegal, Lasala, Nitzcaner, Pérez, Jaimes y Huici. Ello, toda vez que el propio Lopardo, quien confeccionó el acta en cuestión, d</w:t>
      </w:r>
      <w:r>
        <w:t>i</w:t>
      </w:r>
      <w:r>
        <w:t>jo en el juicio que su texto no reflejaba lo sucedido, pues el motor había sido hallado por el nombrado en la carpa de los israelíes, siendo luego trasladado al local de Moragues, donde Gustavo He</w:t>
      </w:r>
      <w:r>
        <w:t>r</w:t>
      </w:r>
      <w:r>
        <w:t>nán Moragues y Pablo Marcelo Garris fueron testigos de su re</w:t>
      </w:r>
      <w:r>
        <w:t>a</w:t>
      </w:r>
      <w:r>
        <w:t>lización.</w:t>
      </w:r>
    </w:p>
    <w:p w:rsidR="00224567" w:rsidRDefault="00224567">
      <w:pPr>
        <w:widowControl w:val="0"/>
      </w:pPr>
      <w:r>
        <w:tab/>
      </w:r>
      <w:r>
        <w:tab/>
        <w:t>A pesar de lo e</w:t>
      </w:r>
      <w:r>
        <w:t>x</w:t>
      </w:r>
      <w:r>
        <w:t>puesto, el Dr. Jacoby sostuvo que el hallazgo del bloque del motor se encontraba acred</w:t>
      </w:r>
      <w:r>
        <w:t>i</w:t>
      </w:r>
      <w:r>
        <w:t>tado con lo declarado en el juicio por las personas presentes en el lugar en ese momento, e</w:t>
      </w:r>
      <w:r>
        <w:t>s</w:t>
      </w:r>
      <w:r>
        <w:t>timando que en el procedimiento penal oral debía darse preeminencia a las declaraciones testimoniales por s</w:t>
      </w:r>
      <w:r>
        <w:t>o</w:t>
      </w:r>
      <w:r>
        <w:t>bre las actas.</w:t>
      </w:r>
    </w:p>
    <w:p w:rsidR="00224567" w:rsidRDefault="00224567">
      <w:pPr>
        <w:widowControl w:val="0"/>
      </w:pPr>
      <w:r>
        <w:tab/>
      </w:r>
      <w:r>
        <w:tab/>
        <w:t>De este modo, co</w:t>
      </w:r>
      <w:r>
        <w:t>n</w:t>
      </w:r>
      <w:r>
        <w:t>cluyó que si bien el acta debía ser declarada nula, ello no acarreaba la nul</w:t>
      </w:r>
      <w:r>
        <w:t>i</w:t>
      </w:r>
      <w:r>
        <w:t>dad del hallazgo del motor ni de los actos que habían sido  su d</w:t>
      </w:r>
      <w:r>
        <w:t>i</w:t>
      </w:r>
      <w:r>
        <w:t>recta consecuencia.</w:t>
      </w:r>
    </w:p>
    <w:p w:rsidR="00224567" w:rsidRDefault="00224567">
      <w:pPr>
        <w:widowControl w:val="0"/>
      </w:pPr>
      <w:r>
        <w:tab/>
      </w:r>
      <w:r>
        <w:tab/>
        <w:t>Posteriormente, el Dr. Jacoby analizó el planteo de nulidad del acta obrante a fs. 215 y de t</w:t>
      </w:r>
      <w:r>
        <w:t>o</w:t>
      </w:r>
      <w:r>
        <w:t>dos los actos que fueron su consecuencia, solicitada por la defensa de los encausados Bareiro, Bacigalupo, Cruz y Ara</w:t>
      </w:r>
      <w:r>
        <w:t>n</w:t>
      </w:r>
      <w:r>
        <w:t>cibia.</w:t>
      </w:r>
    </w:p>
    <w:p w:rsidR="00224567" w:rsidRDefault="00224567">
      <w:pPr>
        <w:widowControl w:val="0"/>
      </w:pPr>
      <w:r>
        <w:tab/>
      </w:r>
      <w:r>
        <w:tab/>
        <w:t>Al respecto, la querella cons</w:t>
      </w:r>
      <w:r>
        <w:t>i</w:t>
      </w:r>
      <w:r>
        <w:t>deró que la nulidad pretendida debía ser rechaz</w:t>
      </w:r>
      <w:r>
        <w:t>a</w:t>
      </w:r>
      <w:r>
        <w:t xml:space="preserve">da, con fundamento en lo expuesto por Guillermo Navarro y Roberto Daray, en su obra “Código Procesal Penal de </w:t>
      </w:r>
      <w:smartTag w:uri="urn:schemas-microsoft-com:office:smarttags" w:element="PersonName">
        <w:smartTagPr>
          <w:attr w:name="ProductID" w:val="la Naci￳n Comentado"/>
        </w:smartTagPr>
        <w:r>
          <w:t>la Nación Comentado</w:t>
        </w:r>
      </w:smartTag>
      <w:r>
        <w:t xml:space="preserve">”, T. I., ed. Pensamiento Jurídico, Buenos Aires, 1997, pág. 308, quienes sostienen que el art. 140 del Código Procesal Penal de </w:t>
      </w:r>
      <w:smartTag w:uri="urn:schemas-microsoft-com:office:smarttags" w:element="PersonName">
        <w:smartTagPr>
          <w:attr w:name="ProductID" w:val="la Naci￳n"/>
        </w:smartTagPr>
        <w:r>
          <w:t>la Nación</w:t>
        </w:r>
      </w:smartTag>
      <w:r>
        <w:t xml:space="preserve"> no sanciona con nulidad la ause</w:t>
      </w:r>
      <w:r>
        <w:t>n</w:t>
      </w:r>
      <w:r>
        <w:t>cia de la firma de los testigos de actuación, sin discrim</w:t>
      </w:r>
      <w:r>
        <w:t>i</w:t>
      </w:r>
      <w:r>
        <w:t>nar si la falta se debe a su inasistencia o a cualquier otro m</w:t>
      </w:r>
      <w:r>
        <w:t>o</w:t>
      </w:r>
      <w:r>
        <w:t>tivo. De este modo, no obstante la validez del acto, el incumplimiento obliga a revisar su valor como el</w:t>
      </w:r>
      <w:r>
        <w:t>e</w:t>
      </w:r>
      <w:r>
        <w:t>mento de prueba.</w:t>
      </w:r>
    </w:p>
    <w:p w:rsidR="00224567" w:rsidRDefault="00224567">
      <w:pPr>
        <w:widowControl w:val="0"/>
      </w:pPr>
      <w:r>
        <w:tab/>
        <w:t>Asimismo, la querella hizo ref</w:t>
      </w:r>
      <w:r>
        <w:t>e</w:t>
      </w:r>
      <w:r>
        <w:t>rencia a la posición de Alberto M. Binder quien en su obra “El Incumplimiento de las Formas Procesales”, ed. Ad-hoc, Bu</w:t>
      </w:r>
      <w:r>
        <w:t>e</w:t>
      </w:r>
      <w:r>
        <w:t>nos Aires, noviembre de 2000, pág. 85, reflexiona acerca de la necesidad de est</w:t>
      </w:r>
      <w:r>
        <w:t>u</w:t>
      </w:r>
      <w:r>
        <w:t>diar la entidad de la irregularidad antes de apelar automáticamente a la nulidad de un acto, por sostener que las formas y el pr</w:t>
      </w:r>
      <w:r>
        <w:t>o</w:t>
      </w:r>
      <w:r>
        <w:t>ceso en sí mismo están concebidos como instrumentos para la vigencia de los der</w:t>
      </w:r>
      <w:r>
        <w:t>e</w:t>
      </w:r>
      <w:r>
        <w:t>chos y principios de defensa del ser humano.</w:t>
      </w:r>
    </w:p>
    <w:p w:rsidR="00224567" w:rsidRDefault="00224567">
      <w:pPr>
        <w:widowControl w:val="0"/>
      </w:pPr>
      <w:r>
        <w:tab/>
        <w:t>Acto seguido, el Dr. Jacoby se pronu</w:t>
      </w:r>
      <w:r>
        <w:t>n</w:t>
      </w:r>
      <w:r>
        <w:t>ció con relación a la nulidad del secuestro del elástico identificado en la foto nº 34, del i</w:t>
      </w:r>
      <w:r>
        <w:t>n</w:t>
      </w:r>
      <w:r>
        <w:t xml:space="preserve">forme preliminar del Departamento de Bomberos de </w:t>
      </w:r>
      <w:smartTag w:uri="urn:schemas-microsoft-com:office:smarttags" w:element="PersonName">
        <w:smartTagPr>
          <w:attr w:name="ProductID" w:val="la Polic￭a Federal"/>
        </w:smartTagPr>
        <w:r>
          <w:t>la Policía Federal</w:t>
        </w:r>
      </w:smartTag>
      <w:r>
        <w:t xml:space="preserve"> Argent</w:t>
      </w:r>
      <w:r>
        <w:t>i</w:t>
      </w:r>
      <w:r>
        <w:t>na, estimando que se trataba de una nulidad de carácter rel</w:t>
      </w:r>
      <w:r>
        <w:t>a</w:t>
      </w:r>
      <w:r>
        <w:t>tiva que, al no haberse opuesto durante la etapa instru</w:t>
      </w:r>
      <w:r>
        <w:t>c</w:t>
      </w:r>
      <w:r>
        <w:t>toria o d</w:t>
      </w:r>
      <w:r>
        <w:t>u</w:t>
      </w:r>
      <w:r>
        <w:t>rante el término de citación a juicio, debía ser rech</w:t>
      </w:r>
      <w:r>
        <w:t>a</w:t>
      </w:r>
      <w:r>
        <w:t>zada.</w:t>
      </w:r>
    </w:p>
    <w:p w:rsidR="00224567" w:rsidRDefault="00224567">
      <w:pPr>
        <w:widowControl w:val="0"/>
      </w:pPr>
      <w:r>
        <w:tab/>
        <w:t>Además, consideró que el hecho de que un segundo informe ubicara el lugar del hallazgo del elá</w:t>
      </w:r>
      <w:r>
        <w:t>s</w:t>
      </w:r>
      <w:r>
        <w:t>tico en un sitio diferente al indicado en el acta confe</w:t>
      </w:r>
      <w:r>
        <w:t>c</w:t>
      </w:r>
      <w:r>
        <w:t>cionada en pr</w:t>
      </w:r>
      <w:r>
        <w:t>i</w:t>
      </w:r>
      <w:r>
        <w:t>mer término, no invalidaba la pieza procesal que no había sido atacada en sus aspectos fo</w:t>
      </w:r>
      <w:r>
        <w:t>r</w:t>
      </w:r>
      <w:r>
        <w:t>males; razón por la cual refirió que en caso de no rechazarse la nul</w:t>
      </w:r>
      <w:r>
        <w:t>i</w:t>
      </w:r>
      <w:r>
        <w:t>dad por los argumentos antes reseñ</w:t>
      </w:r>
      <w:r>
        <w:t>a</w:t>
      </w:r>
      <w:r>
        <w:t>dos, se trataba de una cuestión de prueba que debía ser analizada por el trib</w:t>
      </w:r>
      <w:r>
        <w:t>u</w:t>
      </w:r>
      <w:r>
        <w:t>nal.</w:t>
      </w:r>
    </w:p>
    <w:p w:rsidR="00224567" w:rsidRDefault="00224567">
      <w:pPr>
        <w:widowControl w:val="0"/>
      </w:pPr>
      <w:r>
        <w:tab/>
        <w:t>Por otra parte, el Dr. Jacoby sostuvo que se encontraba imposibilitado de contestar efica</w:t>
      </w:r>
      <w:r>
        <w:t>z</w:t>
      </w:r>
      <w:r>
        <w:t>mente el traslado de la nulidad de la t</w:t>
      </w:r>
      <w:r>
        <w:t>o</w:t>
      </w:r>
      <w:r>
        <w:t>talidad de las actas de secuestro de las piezas en el lugar del hecho, formulada por la defensa del i</w:t>
      </w:r>
      <w:r>
        <w:t>m</w:t>
      </w:r>
      <w:r>
        <w:t>putado Telleldín, toda vez que no se habían invocado los motivos justificantes de tal pet</w:t>
      </w:r>
      <w:r>
        <w:t>i</w:t>
      </w:r>
      <w:r>
        <w:t>ción. No obstante ello, aclaró que al no haberse interpuesto c</w:t>
      </w:r>
      <w:r>
        <w:t>o</w:t>
      </w:r>
      <w:r>
        <w:t>mo una nulidad de carácter absoluta, debía estarse a la solución prevista en el art. 170, inc. 1º,  del Código Proc</w:t>
      </w:r>
      <w:r>
        <w:t>e</w:t>
      </w:r>
      <w:r>
        <w:t xml:space="preserve">sal Penal de </w:t>
      </w:r>
      <w:smartTag w:uri="urn:schemas-microsoft-com:office:smarttags" w:element="PersonName">
        <w:smartTagPr>
          <w:attr w:name="ProductID" w:val="la Naci￳n."/>
        </w:smartTagPr>
        <w:r>
          <w:t>la Nación.</w:t>
        </w:r>
      </w:smartTag>
    </w:p>
    <w:p w:rsidR="00224567" w:rsidRDefault="00224567">
      <w:pPr>
        <w:widowControl w:val="0"/>
      </w:pPr>
      <w:r>
        <w:tab/>
        <w:t>En cuanto a la nulidad de la total</w:t>
      </w:r>
      <w:r>
        <w:t>i</w:t>
      </w:r>
      <w:r>
        <w:t>dad de las actas de secuestro de las piezas en el lugar del hecho y de las medidas que habían sido su consecuencia d</w:t>
      </w:r>
      <w:r>
        <w:t>i</w:t>
      </w:r>
      <w:r>
        <w:t>recta, invocada por las defensas de Bareiro, Bacigalupo, Cruz, Arancibia, Ibarra, Bottegal, Lasala y Nitzcaner, el Dr. Jacoby se remitió a lo expresado pr</w:t>
      </w:r>
      <w:r>
        <w:t>e</w:t>
      </w:r>
      <w:r>
        <w:t>cedentemente.</w:t>
      </w:r>
    </w:p>
    <w:p w:rsidR="00224567" w:rsidRDefault="00224567">
      <w:pPr>
        <w:widowControl w:val="0"/>
      </w:pPr>
      <w:r>
        <w:tab/>
        <w:t>Con posterioridad, la querella conte</w:t>
      </w:r>
      <w:r>
        <w:t>s</w:t>
      </w:r>
      <w:r>
        <w:t>tó la nulidad de los peritajes relacionados con la mecán</w:t>
      </w:r>
      <w:r>
        <w:t>i</w:t>
      </w:r>
      <w:r>
        <w:t>ca de la explosión, articulada por la defensa de Telle</w:t>
      </w:r>
      <w:r>
        <w:t>l</w:t>
      </w:r>
      <w:r>
        <w:t>dín, cita</w:t>
      </w:r>
      <w:r>
        <w:t>n</w:t>
      </w:r>
      <w:r>
        <w:t>do lo resuelto por este tribunal en la causa nº 232/97, “Entelman, Pablo s/ inf. art. 196 del C.P.”, reg. Nº 29/98.</w:t>
      </w:r>
    </w:p>
    <w:p w:rsidR="00224567" w:rsidRDefault="00224567">
      <w:pPr>
        <w:widowControl w:val="0"/>
      </w:pPr>
      <w:r>
        <w:tab/>
        <w:t>A continuación, el Dr. Jacoby analizó la nulidad de la detención de Carlos Alberto Telleldín y de todo lo obrado en consecuencia, esgrimida por las l</w:t>
      </w:r>
      <w:r>
        <w:t>e</w:t>
      </w:r>
      <w:r>
        <w:t>tradas defe</w:t>
      </w:r>
      <w:r>
        <w:t>n</w:t>
      </w:r>
      <w:r>
        <w:t>soras del nombrado.</w:t>
      </w:r>
    </w:p>
    <w:p w:rsidR="00224567" w:rsidRDefault="00224567">
      <w:pPr>
        <w:widowControl w:val="0"/>
      </w:pPr>
      <w:r>
        <w:tab/>
        <w:t>En este sentido, mencionó que la pr</w:t>
      </w:r>
      <w:r>
        <w:t>i</w:t>
      </w:r>
      <w:r>
        <w:t>vación de libertad fue consensuada por el propio imp</w:t>
      </w:r>
      <w:r>
        <w:t>u</w:t>
      </w:r>
      <w:r>
        <w:t xml:space="preserve">tado, tal como lo relató el agente Hernández de </w:t>
      </w:r>
      <w:smartTag w:uri="urn:schemas-microsoft-com:office:smarttags" w:element="PersonName">
        <w:smartTagPr>
          <w:attr w:name="ProductID" w:val="la Secretar￭a"/>
        </w:smartTagPr>
        <w:r>
          <w:t>la S</w:t>
        </w:r>
        <w:r>
          <w:t>e</w:t>
        </w:r>
        <w:r>
          <w:t>cretaría</w:t>
        </w:r>
      </w:smartTag>
      <w:r>
        <w:t xml:space="preserve"> de Inteligencia de Estado, estimando que el encausado no p</w:t>
      </w:r>
      <w:r>
        <w:t>o</w:t>
      </w:r>
      <w:r>
        <w:t>día invocar la nulidad de un acto en cuyo perfeccionamie</w:t>
      </w:r>
      <w:r>
        <w:t>n</w:t>
      </w:r>
      <w:r>
        <w:t>to había col</w:t>
      </w:r>
      <w:r>
        <w:t>a</w:t>
      </w:r>
      <w:r>
        <w:t>borado.</w:t>
      </w:r>
    </w:p>
    <w:p w:rsidR="00224567" w:rsidRDefault="00224567">
      <w:pPr>
        <w:widowControl w:val="0"/>
      </w:pPr>
      <w:r>
        <w:tab/>
        <w:t>Desde el punto de vista estrict</w:t>
      </w:r>
      <w:r>
        <w:t>a</w:t>
      </w:r>
      <w:r>
        <w:t>mente procesal, el Dr. Jacoby refirió que debía estarse a la s</w:t>
      </w:r>
      <w:r>
        <w:t>o</w:t>
      </w:r>
      <w:r>
        <w:t xml:space="preserve">lución prevista en el art. 283 del Código Procesal Penal de </w:t>
      </w:r>
      <w:smartTag w:uri="urn:schemas-microsoft-com:office:smarttags" w:element="PersonName">
        <w:smartTagPr>
          <w:attr w:name="ProductID" w:val="la Naci￳n"/>
        </w:smartTagPr>
        <w:r>
          <w:t>la N</w:t>
        </w:r>
        <w:r>
          <w:t>a</w:t>
        </w:r>
        <w:r>
          <w:t>ción</w:t>
        </w:r>
      </w:smartTag>
      <w:r>
        <w:t>, ya que se trató de un caso de suma urgencia y existió una orden verbal de detención, por lo cual la eventual n</w:t>
      </w:r>
      <w:r>
        <w:t>u</w:t>
      </w:r>
      <w:r>
        <w:t>lidad había quedado subsanada.</w:t>
      </w:r>
    </w:p>
    <w:p w:rsidR="00224567" w:rsidRDefault="00224567">
      <w:pPr>
        <w:widowControl w:val="0"/>
      </w:pPr>
      <w:r>
        <w:tab/>
        <w:t>Con relación a la nulidad del allan</w:t>
      </w:r>
      <w:r>
        <w:t>a</w:t>
      </w:r>
      <w:r>
        <w:t>miento del domicilio de la calle República 107 de la loc</w:t>
      </w:r>
      <w:r>
        <w:t>a</w:t>
      </w:r>
      <w:r>
        <w:t>lidad de Villa Ballester y de todo lo actuado en cons</w:t>
      </w:r>
      <w:r>
        <w:t>e</w:t>
      </w:r>
      <w:r>
        <w:t>cuencia, formulada por la defensa del imputado T</w:t>
      </w:r>
      <w:r>
        <w:t>e</w:t>
      </w:r>
      <w:r>
        <w:t>lleldín, la querella consideró que era aplicable al c</w:t>
      </w:r>
      <w:r>
        <w:t>a</w:t>
      </w:r>
      <w:r>
        <w:t>so lo normado por el art. 170, inc. 1º, del Código Pr</w:t>
      </w:r>
      <w:r>
        <w:t>o</w:t>
      </w:r>
      <w:r>
        <w:t xml:space="preserve">cesal Penal de </w:t>
      </w:r>
      <w:smartTag w:uri="urn:schemas-microsoft-com:office:smarttags" w:element="PersonName">
        <w:smartTagPr>
          <w:attr w:name="ProductID" w:val="la Naci￳n"/>
        </w:smartTagPr>
        <w:r>
          <w:t>la Nación</w:t>
        </w:r>
      </w:smartTag>
      <w:r>
        <w:t xml:space="preserve"> y que el planteo resultaba e</w:t>
      </w:r>
      <w:r>
        <w:t>x</w:t>
      </w:r>
      <w:r>
        <w:t>temporáneo.</w:t>
      </w:r>
    </w:p>
    <w:p w:rsidR="00224567" w:rsidRDefault="00224567">
      <w:pPr>
        <w:widowControl w:val="0"/>
      </w:pPr>
      <w:r>
        <w:tab/>
        <w:t>Luego el Dr. Jacoby se pronunció ace</w:t>
      </w:r>
      <w:r>
        <w:t>r</w:t>
      </w:r>
      <w:r>
        <w:t>ca de la nulidad de la incorporación como prueba al proc</w:t>
      </w:r>
      <w:r>
        <w:t>e</w:t>
      </w:r>
      <w:r>
        <w:t>so del papel que reza “Embajada Islámica de Irán”, invoc</w:t>
      </w:r>
      <w:r>
        <w:t>a</w:t>
      </w:r>
      <w:r>
        <w:t>da por la defensa de Telleldín, como consecuencia de haber solicitado previamente la nulidad del allanamiento en el cual dicho escrito fue encontrado.</w:t>
      </w:r>
    </w:p>
    <w:p w:rsidR="00224567" w:rsidRDefault="00224567">
      <w:pPr>
        <w:widowControl w:val="0"/>
      </w:pPr>
      <w:r>
        <w:tab/>
        <w:t>Al respecto, entendió que al ser rec</w:t>
      </w:r>
      <w:r>
        <w:t>o</w:t>
      </w:r>
      <w:r>
        <w:t>nocido el papel en cuestión por uno de los testigos que fueron convocados a participar en la diligencia, el pla</w:t>
      </w:r>
      <w:r>
        <w:t>n</w:t>
      </w:r>
      <w:r>
        <w:t>teo nul</w:t>
      </w:r>
      <w:r>
        <w:t>i</w:t>
      </w:r>
      <w:r>
        <w:t>ficante no era más que una cuestión de prueba que debía ser valorada por el tribunal, destacando, además, que no se habían cuestionado los requisitos del acta co</w:t>
      </w:r>
      <w:r>
        <w:t>n</w:t>
      </w:r>
      <w:r>
        <w:t>templ</w:t>
      </w:r>
      <w:r>
        <w:t>a</w:t>
      </w:r>
      <w:r>
        <w:t>dos en el art. 140 del código adjetivo.</w:t>
      </w:r>
    </w:p>
    <w:p w:rsidR="00224567" w:rsidRDefault="00224567">
      <w:pPr>
        <w:widowControl w:val="0"/>
      </w:pPr>
      <w:r>
        <w:tab/>
        <w:t>En cuanto a la nulidad de los allan</w:t>
      </w:r>
      <w:r>
        <w:t>a</w:t>
      </w:r>
      <w:r>
        <w:t>mientos ordenados el 26 de diciembre de 1994, llevados a cabo en los domicilios de Eduardo Telle</w:t>
      </w:r>
      <w:r>
        <w:t>l</w:t>
      </w:r>
      <w:r>
        <w:t>dín, Lidia Seeb y Ana Boragni (Roosvelt) y en la localidad de G</w:t>
      </w:r>
      <w:r>
        <w:t>e</w:t>
      </w:r>
      <w:r>
        <w:t>neral Pico, y de todo lo actuado en consecuencia, formulados por la defensa del imp</w:t>
      </w:r>
      <w:r>
        <w:t>u</w:t>
      </w:r>
      <w:r>
        <w:t>tado Telleldín, el Dr. Jacoby se remitió a lo expresado con relación al allanamiento del inmueble s</w:t>
      </w:r>
      <w:r>
        <w:t>i</w:t>
      </w:r>
      <w:r>
        <w:t>to en la calle República 107.</w:t>
      </w:r>
    </w:p>
    <w:p w:rsidR="00224567" w:rsidRDefault="00224567">
      <w:pPr>
        <w:widowControl w:val="0"/>
      </w:pPr>
      <w:r>
        <w:tab/>
      </w:r>
      <w:r>
        <w:tab/>
        <w:t>Además, destacó que no obstante la parte impugnante no había alegado el supuesto perjuicio generado por el acto atacado, el planteo resu</w:t>
      </w:r>
      <w:r>
        <w:t>l</w:t>
      </w:r>
      <w:r>
        <w:t>taba tardío por tratarse de una nulidad expresamente contempl</w:t>
      </w:r>
      <w:r>
        <w:t>a</w:t>
      </w:r>
      <w:r>
        <w:t>da en el art. 224 del Código de forma.</w:t>
      </w:r>
    </w:p>
    <w:p w:rsidR="00224567" w:rsidRDefault="00224567">
      <w:pPr>
        <w:widowControl w:val="0"/>
      </w:pPr>
      <w:r>
        <w:tab/>
        <w:t>Seguidamente examinó la nulidad de las declaraciones indagatorias prestadas por Carlos T</w:t>
      </w:r>
      <w:r>
        <w:t>e</w:t>
      </w:r>
      <w:r>
        <w:t>lleldín los días 6 y 7 de agosto de 1994, articulada por la defe</w:t>
      </w:r>
      <w:r>
        <w:t>n</w:t>
      </w:r>
      <w:r>
        <w:t>sa de los imp</w:t>
      </w:r>
      <w:r>
        <w:t>u</w:t>
      </w:r>
      <w:r>
        <w:t>tados Barreda y Quinteros.</w:t>
      </w:r>
    </w:p>
    <w:p w:rsidR="00224567" w:rsidRDefault="00224567">
      <w:pPr>
        <w:widowControl w:val="0"/>
      </w:pPr>
      <w:r>
        <w:tab/>
        <w:t>En este punto, señaló que las actas impugnadas habían sido suscriptas por Telleldín, sin op</w:t>
      </w:r>
      <w:r>
        <w:t>o</w:t>
      </w:r>
      <w:r>
        <w:t>ner objeción alguna, hacía más de diez años, por lo que resultaba de aplicación lo normado en el art. 169 del r</w:t>
      </w:r>
      <w:r>
        <w:t>i</w:t>
      </w:r>
      <w:r>
        <w:t>tual.</w:t>
      </w:r>
    </w:p>
    <w:p w:rsidR="00224567" w:rsidRDefault="00224567">
      <w:pPr>
        <w:widowControl w:val="0"/>
      </w:pPr>
      <w:r>
        <w:tab/>
        <w:t>Del mismo modo, entendió que la defe</w:t>
      </w:r>
      <w:r>
        <w:t>n</w:t>
      </w:r>
      <w:r>
        <w:t>sa de Telleldín no podía argumentar, a esta altura del d</w:t>
      </w:r>
      <w:r>
        <w:t>e</w:t>
      </w:r>
      <w:r>
        <w:t>bate, que el nombrado había obrado b</w:t>
      </w:r>
      <w:r>
        <w:t>a</w:t>
      </w:r>
      <w:r>
        <w:t>jo coacción.</w:t>
      </w:r>
    </w:p>
    <w:p w:rsidR="00224567" w:rsidRDefault="00224567">
      <w:pPr>
        <w:widowControl w:val="0"/>
      </w:pPr>
      <w:r>
        <w:tab/>
        <w:t>Similar argumento utilizó al conte</w:t>
      </w:r>
      <w:r>
        <w:t>s</w:t>
      </w:r>
      <w:r>
        <w:t>tar el planteo de nulidad de las declaraciones indag</w:t>
      </w:r>
      <w:r>
        <w:t>a</w:t>
      </w:r>
      <w:r>
        <w:t>torias de Carlos Alberto Telleldín en los meses de j</w:t>
      </w:r>
      <w:r>
        <w:t>u</w:t>
      </w:r>
      <w:r>
        <w:t>lio y agosto de 1994, opuesta por las d</w:t>
      </w:r>
      <w:r>
        <w:t>e</w:t>
      </w:r>
      <w:r>
        <w:t>fensoras del nombrado.</w:t>
      </w:r>
    </w:p>
    <w:p w:rsidR="00224567" w:rsidRDefault="00224567">
      <w:pPr>
        <w:widowControl w:val="0"/>
      </w:pPr>
      <w:r>
        <w:tab/>
        <w:t>Además, subrayó que la defensa no h</w:t>
      </w:r>
      <w:r>
        <w:t>a</w:t>
      </w:r>
      <w:r>
        <w:t>bía acreditado debidamente cuáles habían sido las presu</w:t>
      </w:r>
      <w:r>
        <w:t>n</w:t>
      </w:r>
      <w:r>
        <w:t>tas coacciones que viciaron la voluntad del encausado al declarar.</w:t>
      </w:r>
    </w:p>
    <w:p w:rsidR="00224567" w:rsidRDefault="00224567">
      <w:pPr>
        <w:widowControl w:val="0"/>
      </w:pPr>
      <w:r>
        <w:tab/>
        <w:t>Posteriormente, el Dr. Jacoby se ref</w:t>
      </w:r>
      <w:r>
        <w:t>i</w:t>
      </w:r>
      <w:r>
        <w:t>rió al planteo de nulidad de la declaración indagatoria prestada por Carlos Alberto Telleldín el 5 de julio de 1996 y de todo lo actuado en consecuencia, en particular del auto de proc</w:t>
      </w:r>
      <w:r>
        <w:t>e</w:t>
      </w:r>
      <w:r>
        <w:t>samiento del 2 de noviembre de 1998, los requerimientos de elevación a juicio y el auto de elev</w:t>
      </w:r>
      <w:r>
        <w:t>a</w:t>
      </w:r>
      <w:r>
        <w:t>ción a juicio, e</w:t>
      </w:r>
      <w:r>
        <w:t>s</w:t>
      </w:r>
      <w:r>
        <w:t>grimido por la defensa de nombrado.</w:t>
      </w:r>
    </w:p>
    <w:p w:rsidR="00224567" w:rsidRDefault="00224567">
      <w:pPr>
        <w:widowControl w:val="0"/>
      </w:pPr>
      <w:r>
        <w:tab/>
        <w:t>El representante de la querella cons</w:t>
      </w:r>
      <w:r>
        <w:t>i</w:t>
      </w:r>
      <w:r>
        <w:t>deró que la declaración indagatoria antes me</w:t>
      </w:r>
      <w:r>
        <w:t>n</w:t>
      </w:r>
      <w:r>
        <w:t>cionada debía ser declarada nula, ya que había sido producto de la cu</w:t>
      </w:r>
      <w:r>
        <w:t>l</w:t>
      </w:r>
      <w:r>
        <w:t>minación de un largo proceso de negociación entre el Est</w:t>
      </w:r>
      <w:r>
        <w:t>a</w:t>
      </w:r>
      <w:r>
        <w:t xml:space="preserve">do Argentino, a través de </w:t>
      </w:r>
      <w:smartTag w:uri="urn:schemas-microsoft-com:office:smarttags" w:element="PersonName">
        <w:smartTagPr>
          <w:attr w:name="ProductID" w:val="la Secretar￭a"/>
        </w:smartTagPr>
        <w:r>
          <w:t>la Secretaría</w:t>
        </w:r>
      </w:smartTag>
      <w:r>
        <w:t xml:space="preserve"> de Inteligencia, el juez Galeano y el imputado Telleldín, en virtud del cual éste último percibió la suma de USD 400.000 y el mo</w:t>
      </w:r>
      <w:r>
        <w:t>n</w:t>
      </w:r>
      <w:r>
        <w:t>to de USD 5000 por mes durante un año y seis meses.</w:t>
      </w:r>
    </w:p>
    <w:p w:rsidR="00224567" w:rsidRDefault="00224567">
      <w:pPr>
        <w:widowControl w:val="0"/>
      </w:pPr>
      <w:r>
        <w:tab/>
        <w:t>En consecuencia, estimó que debía d</w:t>
      </w:r>
      <w:r>
        <w:t>e</w:t>
      </w:r>
      <w:r>
        <w:t>clararse la nulidad parcial del auto de proces</w:t>
      </w:r>
      <w:r>
        <w:t>a</w:t>
      </w:r>
      <w:r>
        <w:t>miento, los requer</w:t>
      </w:r>
      <w:r>
        <w:t>i</w:t>
      </w:r>
      <w:r>
        <w:t>mientos de elevación a juicio y el auto que así lo dispuso en cuanto involucraron a los policías bonaere</w:t>
      </w:r>
      <w:r>
        <w:t>n</w:t>
      </w:r>
      <w:r>
        <w:t>ses, señalando que ello fue, básicamente, lo que motivó el pago a Telleldín. Por el contrario, e</w:t>
      </w:r>
      <w:r>
        <w:t>n</w:t>
      </w:r>
      <w:r>
        <w:t>tendió que la sanción de nulidad no debía alcanzar al propio Telleldín en vi</w:t>
      </w:r>
      <w:r>
        <w:t>r</w:t>
      </w:r>
      <w:r>
        <w:t>tud de que el nombrado había concurrido a causarla.</w:t>
      </w:r>
    </w:p>
    <w:p w:rsidR="00224567" w:rsidRDefault="00224567">
      <w:pPr>
        <w:widowControl w:val="0"/>
      </w:pPr>
      <w:r>
        <w:tab/>
        <w:t>Por otra parte, sostuvo que no debía recibir acogida favorable el planteo de nulidad de la d</w:t>
      </w:r>
      <w:r>
        <w:t>e</w:t>
      </w:r>
      <w:r>
        <w:t>claración indagatoria de Ariel Nitzcaner del 17 de enero de 1995 y de lo actuado en consecuencia, artic</w:t>
      </w:r>
      <w:r>
        <w:t>u</w:t>
      </w:r>
      <w:r>
        <w:t>lada por la defensa de Telleldín y que su contenido d</w:t>
      </w:r>
      <w:r>
        <w:t>e</w:t>
      </w:r>
      <w:r>
        <w:t>bía ser evaluado por el trib</w:t>
      </w:r>
      <w:r>
        <w:t>u</w:t>
      </w:r>
      <w:r>
        <w:t>nal al momento de fallar.</w:t>
      </w:r>
    </w:p>
    <w:p w:rsidR="00224567" w:rsidRDefault="00224567">
      <w:pPr>
        <w:widowControl w:val="0"/>
      </w:pPr>
      <w:r>
        <w:tab/>
        <w:t>Al analizar el planteo de nulidad de la declaración testimonial prestada en el juicio oral y público por Miriam Salinas, también opuesto por la d</w:t>
      </w:r>
      <w:r>
        <w:t>e</w:t>
      </w:r>
      <w:r>
        <w:t>fensa de Telle</w:t>
      </w:r>
      <w:r>
        <w:t>l</w:t>
      </w:r>
      <w:r>
        <w:t>dín, el Dr. Jacoby  entendió que, si bien podían ser nulos los legajos de los testigos de identidad rese</w:t>
      </w:r>
      <w:r>
        <w:t>r</w:t>
      </w:r>
      <w:r>
        <w:t>vada, no debía darse igual solución a las declaraciones test</w:t>
      </w:r>
      <w:r>
        <w:t>i</w:t>
      </w:r>
      <w:r>
        <w:t>moniales prestadas por aquellos durante la audiencia.</w:t>
      </w:r>
    </w:p>
    <w:p w:rsidR="00224567" w:rsidRDefault="00224567">
      <w:pPr>
        <w:widowControl w:val="0"/>
      </w:pPr>
      <w:r>
        <w:tab/>
        <w:t>De este modo, manifestó que habiénd</w:t>
      </w:r>
      <w:r>
        <w:t>o</w:t>
      </w:r>
      <w:r>
        <w:t>se dado cumplimiento durante el debate a lo normado por los arts. 240 y siguientes y 384 del C</w:t>
      </w:r>
      <w:r>
        <w:t>ó</w:t>
      </w:r>
      <w:r>
        <w:t xml:space="preserve">digo Procesal Penal de </w:t>
      </w:r>
      <w:smartTag w:uri="urn:schemas-microsoft-com:office:smarttags" w:element="PersonName">
        <w:smartTagPr>
          <w:attr w:name="ProductID" w:val="la Naci￳n"/>
        </w:smartTagPr>
        <w:r>
          <w:t>la Nación</w:t>
        </w:r>
      </w:smartTag>
      <w:r>
        <w:t>, la declaración testimonial cuestionada debía ser valorada por el tribunal.</w:t>
      </w:r>
    </w:p>
    <w:p w:rsidR="00224567" w:rsidRDefault="00224567">
      <w:pPr>
        <w:widowControl w:val="0"/>
      </w:pPr>
      <w:r>
        <w:tab/>
        <w:t>En cuanto a la nulidad de las declar</w:t>
      </w:r>
      <w:r>
        <w:t>a</w:t>
      </w:r>
      <w:r>
        <w:t>ciones testimoniales de Ana Boragni, prestadas en j</w:t>
      </w:r>
      <w:r>
        <w:t>u</w:t>
      </w:r>
      <w:r>
        <w:t>lio de 1996 ante la instrucción y durante el debate, requerida por la defensa de Telleldín, el representante de la quer</w:t>
      </w:r>
      <w:r>
        <w:t>e</w:t>
      </w:r>
      <w:r>
        <w:t>lla se remitió a lo expuesto en el punto a</w:t>
      </w:r>
      <w:r>
        <w:t>n</w:t>
      </w:r>
      <w:r>
        <w:t>terior.</w:t>
      </w:r>
    </w:p>
    <w:p w:rsidR="00224567" w:rsidRDefault="00224567">
      <w:pPr>
        <w:widowControl w:val="0"/>
      </w:pPr>
      <w:r>
        <w:tab/>
        <w:t>Además, caracterizó al planteo defe</w:t>
      </w:r>
      <w:r>
        <w:t>n</w:t>
      </w:r>
      <w:r>
        <w:t>sista como un intento de mejorar la situación de Bora</w:t>
      </w:r>
      <w:r>
        <w:t>g</w:t>
      </w:r>
      <w:r>
        <w:t>ni, ya que en caso de declararse la nulidad de sus declaraci</w:t>
      </w:r>
      <w:r>
        <w:t>o</w:t>
      </w:r>
      <w:r>
        <w:t>nes no se le podía imputar a la nombrada el delito falso testim</w:t>
      </w:r>
      <w:r>
        <w:t>o</w:t>
      </w:r>
      <w:r>
        <w:t>nio.</w:t>
      </w:r>
    </w:p>
    <w:p w:rsidR="00224567" w:rsidRDefault="00224567">
      <w:pPr>
        <w:widowControl w:val="0"/>
      </w:pPr>
      <w:r>
        <w:tab/>
      </w:r>
      <w:r>
        <w:tab/>
        <w:t>Al evaluar el planteo de n</w:t>
      </w:r>
      <w:r>
        <w:t>u</w:t>
      </w:r>
      <w:r>
        <w:t>lidad de la incorporación al proceso de las videocintas de fechas 10 de abril y 1º de julio de 1996, formulado por las letradas defensoras de Carlos Alberto Telleldín, el Dr. Jacoby aclaró que si bien no tenía duda alguna con relación a la ilegalidad de las entrevistas que se ll</w:t>
      </w:r>
      <w:r>
        <w:t>e</w:t>
      </w:r>
      <w:r>
        <w:t>varon a cabo entre el encausado y el juez instructor, otra era la solución que debía otorgarse al planteo defensista, indicando que dichas filmaciones habían sido incorporadas al debate en forma leg</w:t>
      </w:r>
      <w:r>
        <w:t>í</w:t>
      </w:r>
      <w:r>
        <w:t>tima.</w:t>
      </w:r>
    </w:p>
    <w:p w:rsidR="00224567" w:rsidRDefault="00224567">
      <w:pPr>
        <w:widowControl w:val="0"/>
      </w:pPr>
      <w:r>
        <w:tab/>
        <w:t>Por otro lado, dijo que desde el pu</w:t>
      </w:r>
      <w:r>
        <w:t>n</w:t>
      </w:r>
      <w:r>
        <w:t>to de vista estrictamente procesal era de aplicación lo no</w:t>
      </w:r>
      <w:r>
        <w:t>r</w:t>
      </w:r>
      <w:r>
        <w:t xml:space="preserve">mado en el art. 170, incs. 2º y 3º, del Código Procesal Penal de </w:t>
      </w:r>
      <w:smartTag w:uri="urn:schemas-microsoft-com:office:smarttags" w:element="PersonName">
        <w:smartTagPr>
          <w:attr w:name="ProductID" w:val="la Naci￳n"/>
        </w:smartTagPr>
        <w:r>
          <w:t>la Nación</w:t>
        </w:r>
      </w:smartTag>
      <w:r>
        <w:t>, por lo que la solicitud de la defe</w:t>
      </w:r>
      <w:r>
        <w:t>n</w:t>
      </w:r>
      <w:r>
        <w:t>sa resultaba extemporánea.</w:t>
      </w:r>
    </w:p>
    <w:p w:rsidR="00224567" w:rsidRDefault="00224567">
      <w:pPr>
        <w:widowControl w:val="0"/>
      </w:pPr>
      <w:r>
        <w:tab/>
        <w:t>Posteriormente, el letrado estimó que debía ser r</w:t>
      </w:r>
      <w:r>
        <w:t>e</w:t>
      </w:r>
      <w:r>
        <w:t>chazado el planteo de nulidad de las fs. 114, 865, 866, 870 y de todo lo obrado en consecuencia, pet</w:t>
      </w:r>
      <w:r>
        <w:t>i</w:t>
      </w:r>
      <w:r>
        <w:t>cionado por la defensa de Telleldín.</w:t>
      </w:r>
    </w:p>
    <w:p w:rsidR="00224567" w:rsidRDefault="00224567">
      <w:pPr>
        <w:widowControl w:val="0"/>
      </w:pPr>
      <w:r>
        <w:tab/>
        <w:t>En este punto, refirió que la f</w:t>
      </w:r>
      <w:r>
        <w:t>o</w:t>
      </w:r>
      <w:r>
        <w:t>ja 114 no se trataba de un acto procesal, sino de una nota rem</w:t>
      </w:r>
      <w:r>
        <w:t>i</w:t>
      </w:r>
      <w:r>
        <w:t>tida por el Departamento Protección del Orden Constituci</w:t>
      </w:r>
      <w:r>
        <w:t>o</w:t>
      </w:r>
      <w:r>
        <w:t xml:space="preserve">nal de </w:t>
      </w:r>
      <w:smartTag w:uri="urn:schemas-microsoft-com:office:smarttags" w:element="PersonName">
        <w:smartTagPr>
          <w:attr w:name="ProductID" w:val="la Polic￭a Federal"/>
        </w:smartTagPr>
        <w:r>
          <w:t>la Policía Federal</w:t>
        </w:r>
      </w:smartTag>
      <w:r>
        <w:t xml:space="preserve"> Argentina; igual suc</w:t>
      </w:r>
      <w:r>
        <w:t>e</w:t>
      </w:r>
      <w:r>
        <w:t xml:space="preserve">día con las fojas 865 y 870, que eran notas remitidas por </w:t>
      </w:r>
      <w:smartTag w:uri="urn:schemas-microsoft-com:office:smarttags" w:element="PersonName">
        <w:smartTagPr>
          <w:attr w:name="ProductID" w:val="la Secretar￭a"/>
        </w:smartTagPr>
        <w:r>
          <w:t>la Secret</w:t>
        </w:r>
        <w:r>
          <w:t>a</w:t>
        </w:r>
        <w:r>
          <w:t>ría</w:t>
        </w:r>
      </w:smartTag>
      <w:r>
        <w:t xml:space="preserve"> de Inteligencia de Estado, y cuyo valor probatorio d</w:t>
      </w:r>
      <w:r>
        <w:t>e</w:t>
      </w:r>
      <w:r>
        <w:t>bía ser merituado por el trib</w:t>
      </w:r>
      <w:r>
        <w:t>u</w:t>
      </w:r>
      <w:r>
        <w:t>nal.</w:t>
      </w:r>
    </w:p>
    <w:p w:rsidR="00224567" w:rsidRDefault="00224567">
      <w:pPr>
        <w:widowControl w:val="0"/>
      </w:pPr>
      <w:r>
        <w:tab/>
        <w:t>También consideró que idéntica re</w:t>
      </w:r>
      <w:r>
        <w:t>s</w:t>
      </w:r>
      <w:r>
        <w:t>puesta merecía el planteo de nulidad de la fs. 866, por tratarse de un d</w:t>
      </w:r>
      <w:r>
        <w:t>e</w:t>
      </w:r>
      <w:r>
        <w:t>creto a través del cual el juez ordenó la intervención de líneas telefónicas, que respondió a lo p</w:t>
      </w:r>
      <w:r>
        <w:t>e</w:t>
      </w:r>
      <w:r>
        <w:t>ticionado a fs. 865 por el su</w:t>
      </w:r>
      <w:r>
        <w:t>b</w:t>
      </w:r>
      <w:r>
        <w:t xml:space="preserve">secretario de </w:t>
      </w:r>
      <w:smartTag w:uri="urn:schemas-microsoft-com:office:smarttags" w:element="PersonName">
        <w:smartTagPr>
          <w:attr w:name="ProductID" w:val="la S.I"/>
        </w:smartTagPr>
        <w:r>
          <w:t>la S.I</w:t>
        </w:r>
      </w:smartTag>
      <w:r>
        <w:t>.D.E.</w:t>
      </w:r>
    </w:p>
    <w:p w:rsidR="00224567" w:rsidRDefault="00224567">
      <w:pPr>
        <w:widowControl w:val="0"/>
      </w:pPr>
      <w:r>
        <w:tab/>
        <w:t>Además, entendió que resultaba aplic</w:t>
      </w:r>
      <w:r>
        <w:t>a</w:t>
      </w:r>
      <w:r>
        <w:t>ble al caso la doctrina del fallo “Carnevale”, ref</w:t>
      </w:r>
      <w:r>
        <w:t>e</w:t>
      </w:r>
      <w:r>
        <w:t>rida a la improcedencia de replanteos de cue</w:t>
      </w:r>
      <w:r>
        <w:t>s</w:t>
      </w:r>
      <w:r>
        <w:t>tiones ya resueltas, en virtud de que la sanción de nulidad había sido reclam</w:t>
      </w:r>
      <w:r>
        <w:t>a</w:t>
      </w:r>
      <w:r>
        <w:t>da anterio</w:t>
      </w:r>
      <w:r>
        <w:t>r</w:t>
      </w:r>
      <w:r>
        <w:t>mente.</w:t>
      </w:r>
    </w:p>
    <w:p w:rsidR="00224567" w:rsidRDefault="00224567">
      <w:pPr>
        <w:widowControl w:val="0"/>
      </w:pPr>
      <w:r>
        <w:tab/>
      </w:r>
      <w:r>
        <w:tab/>
        <w:t>Seguidamente, el Dr. Jacoby pasó a examinar el ped</w:t>
      </w:r>
      <w:r>
        <w:t>i</w:t>
      </w:r>
      <w:r>
        <w:t>do de nulidad de las fs. 37.376 y 37.382, invocada por las letradas defensoras de Telle</w:t>
      </w:r>
      <w:r>
        <w:t>l</w:t>
      </w:r>
      <w:r>
        <w:t>dín.</w:t>
      </w:r>
    </w:p>
    <w:p w:rsidR="00224567" w:rsidRDefault="00224567">
      <w:pPr>
        <w:widowControl w:val="0"/>
      </w:pPr>
      <w:r>
        <w:tab/>
        <w:t>El representante de la querella me</w:t>
      </w:r>
      <w:r>
        <w:t>n</w:t>
      </w:r>
      <w:r>
        <w:t>cionó que las fojas citadas no eran más que constancias efectuadas por el juez instructor, vinculadas a la actu</w:t>
      </w:r>
      <w:r>
        <w:t>a</w:t>
      </w:r>
      <w:r>
        <w:t xml:space="preserve">ción de </w:t>
      </w:r>
      <w:smartTag w:uri="urn:schemas-microsoft-com:office:smarttags" w:element="PersonName">
        <w:smartTagPr>
          <w:attr w:name="ProductID" w:val="la Dra. Riva"/>
        </w:smartTagPr>
        <w:r>
          <w:t>la Dra. Riva</w:t>
        </w:r>
      </w:smartTag>
      <w:r>
        <w:t xml:space="preserve"> Aramayo con el imputado Telleldín, las que produjeron la excusación de la nombrada magistr</w:t>
      </w:r>
      <w:r>
        <w:t>a</w:t>
      </w:r>
      <w:r>
        <w:t>da.</w:t>
      </w:r>
    </w:p>
    <w:p w:rsidR="00224567" w:rsidRDefault="00224567">
      <w:pPr>
        <w:widowControl w:val="0"/>
      </w:pPr>
      <w:r>
        <w:tab/>
        <w:t>Entendió que dichas piezas proc</w:t>
      </w:r>
      <w:r>
        <w:t>e</w:t>
      </w:r>
      <w:r>
        <w:t>sales resultaban válidas desde el punto de vista formal, pero carecían de valor probatorio en virtud de la irregul</w:t>
      </w:r>
      <w:r>
        <w:t>a</w:t>
      </w:r>
      <w:r>
        <w:t>ridad incurrida por el juez instructor, al omitir recibirle d</w:t>
      </w:r>
      <w:r>
        <w:t>e</w:t>
      </w:r>
      <w:r>
        <w:t>claración test</w:t>
      </w:r>
      <w:r>
        <w:t>i</w:t>
      </w:r>
      <w:r>
        <w:t>monial a la magistrada antes mencionada.</w:t>
      </w:r>
    </w:p>
    <w:p w:rsidR="00224567" w:rsidRDefault="00224567">
      <w:pPr>
        <w:widowControl w:val="0"/>
      </w:pPr>
      <w:r>
        <w:tab/>
        <w:t>Con relación a la solicitud de nul</w:t>
      </w:r>
      <w:r>
        <w:t>i</w:t>
      </w:r>
      <w:r>
        <w:t>dad de todo lo actuado a partir del 25 de julio de 1994, i</w:t>
      </w:r>
      <w:r>
        <w:t>n</w:t>
      </w:r>
      <w:r>
        <w:t>terpuesta por la defensa de Telleldín, Ribelli, Barreda y Quinteros, el representante de la querella analizó el planteo partiendo de la visita que el juez instructor le efectuó al ex presidente Menem en la quinta de Olivos al regresar de su viaje de Venezuela, oportunidad en la que el magistrado le exhibió la fi</w:t>
      </w:r>
      <w:r>
        <w:t>l</w:t>
      </w:r>
      <w:r>
        <w:t>mación de la entrevista que había mantenido en aquél país con el disidente iraní Mo</w:t>
      </w:r>
      <w:r>
        <w:t>a</w:t>
      </w:r>
      <w:r>
        <w:t>tamer Mano</w:t>
      </w:r>
      <w:r>
        <w:t>u</w:t>
      </w:r>
      <w:r>
        <w:t>cher.</w:t>
      </w:r>
    </w:p>
    <w:p w:rsidR="00224567" w:rsidRDefault="00224567">
      <w:pPr>
        <w:widowControl w:val="0"/>
      </w:pPr>
      <w:r>
        <w:tab/>
        <w:t>Al respecto el Dr. Jacoby sostuvo que, más allá de considerar reprochable la actitud as</w:t>
      </w:r>
      <w:r>
        <w:t>u</w:t>
      </w:r>
      <w:r>
        <w:t>mida por el Dr. Galaeno, resultaba un exceso inacept</w:t>
      </w:r>
      <w:r>
        <w:t>a</w:t>
      </w:r>
      <w:r>
        <w:t>ble deducir de allí la nulidad de toda la ca</w:t>
      </w:r>
      <w:r>
        <w:t>u</w:t>
      </w:r>
      <w:r>
        <w:t xml:space="preserve">sa. </w:t>
      </w:r>
    </w:p>
    <w:p w:rsidR="00224567" w:rsidRDefault="00224567">
      <w:pPr>
        <w:widowControl w:val="0"/>
      </w:pPr>
      <w:r>
        <w:tab/>
      </w:r>
      <w:r>
        <w:tab/>
        <w:t>Por último, el representante de la querella expresó que debía ser rechazada la solicitud de nulidad de todo lo actuado a partir del pago a Telleldín, esgrimida por su defensa, remitiéndose a lo expresado al analizar el planteo de nulidad de la indagat</w:t>
      </w:r>
      <w:r>
        <w:t>o</w:t>
      </w:r>
      <w:r>
        <w:t>ria de aquél imputado del 5 de julio de 1996 y de lo obrado en cons</w:t>
      </w:r>
      <w:r>
        <w:t>e</w:t>
      </w:r>
      <w:r>
        <w:t>cuencia.</w:t>
      </w:r>
    </w:p>
    <w:p w:rsidR="00224567" w:rsidRDefault="00224567">
      <w:pPr>
        <w:widowControl w:val="0"/>
      </w:pPr>
      <w:r>
        <w:tab/>
      </w:r>
      <w:r>
        <w:tab/>
        <w:t xml:space="preserve">Hizo referencia a lo normado por el art. 169 del Código Procesal Penal de </w:t>
      </w:r>
      <w:smartTag w:uri="urn:schemas-microsoft-com:office:smarttags" w:element="PersonName">
        <w:smartTagPr>
          <w:attr w:name="ProductID" w:val="la Naci￳n"/>
        </w:smartTagPr>
        <w:r>
          <w:t>la Nación</w:t>
        </w:r>
      </w:smartTag>
      <w:r>
        <w:t>, i</w:t>
      </w:r>
      <w:r>
        <w:t>n</w:t>
      </w:r>
      <w:r>
        <w:t>dicando que allí se contemplaban dos obstáculos insa</w:t>
      </w:r>
      <w:r>
        <w:t>l</w:t>
      </w:r>
      <w:r>
        <w:t>vables que se configuraban con relación a Telleldín, de los que surgía que el nombrado no se encontraba habil</w:t>
      </w:r>
      <w:r>
        <w:t>i</w:t>
      </w:r>
      <w:r>
        <w:t>tado para reclamar la sanción inv</w:t>
      </w:r>
      <w:r>
        <w:t>o</w:t>
      </w:r>
      <w:r>
        <w:t>cada.</w:t>
      </w:r>
    </w:p>
    <w:p w:rsidR="00224567" w:rsidRDefault="00224567">
      <w:pPr>
        <w:widowControl w:val="0"/>
      </w:pPr>
      <w:r>
        <w:tab/>
      </w:r>
      <w:r>
        <w:tab/>
        <w:t>En este orden de ideas, el Dr. Jacoby sostuvo que Telleldín había sido uno de los grandes ben</w:t>
      </w:r>
      <w:r>
        <w:t>e</w:t>
      </w:r>
      <w:r>
        <w:t>ficiarios de la relación del juez Galeano con los miembros del Poder Ejecutivo y Legislativo y que nada de lo di</w:t>
      </w:r>
      <w:r>
        <w:t>s</w:t>
      </w:r>
      <w:r>
        <w:t xml:space="preserve">puesto por el magistrado y sus colaboradores de </w:t>
      </w:r>
      <w:smartTag w:uri="urn:schemas-microsoft-com:office:smarttags" w:element="PersonName">
        <w:smartTagPr>
          <w:attr w:name="ProductID" w:val="la Secretar￭a"/>
        </w:smartTagPr>
        <w:r>
          <w:t>la Secr</w:t>
        </w:r>
        <w:r>
          <w:t>e</w:t>
        </w:r>
        <w:r>
          <w:t>taría</w:t>
        </w:r>
      </w:smartTag>
      <w:r>
        <w:t xml:space="preserve"> de Int</w:t>
      </w:r>
      <w:r>
        <w:t>e</w:t>
      </w:r>
      <w:r>
        <w:t>ligencia de Estado se hubiera podido realizar sin la contribución del imputado y su defensor, quienes procuraron e</w:t>
      </w:r>
      <w:r>
        <w:t>m</w:t>
      </w:r>
      <w:r>
        <w:t>bolsarse la suma de USD 475.000.</w:t>
      </w:r>
    </w:p>
    <w:p w:rsidR="00224567" w:rsidRDefault="00224567">
      <w:pPr>
        <w:widowControl w:val="0"/>
      </w:pPr>
      <w:r>
        <w:t xml:space="preserve">  </w:t>
      </w:r>
      <w:r>
        <w:tab/>
      </w:r>
      <w:r>
        <w:tab/>
        <w:t>Posteriormente, el represe</w:t>
      </w:r>
      <w:r>
        <w:t>n</w:t>
      </w:r>
      <w:r>
        <w:t>tante de la querella “M</w:t>
      </w:r>
      <w:r>
        <w:t>e</w:t>
      </w:r>
      <w:r>
        <w:t>moria Activa” replicó el alegato de la defensa de Carlos Alberto Telleldín por haber sido la única pers</w:t>
      </w:r>
      <w:r>
        <w:t>o</w:t>
      </w:r>
      <w:r>
        <w:t>na acusada por esa pa</w:t>
      </w:r>
      <w:r>
        <w:t>r</w:t>
      </w:r>
      <w:r>
        <w:t>te.</w:t>
      </w:r>
    </w:p>
    <w:p w:rsidR="00224567" w:rsidRDefault="00224567">
      <w:pPr>
        <w:widowControl w:val="0"/>
      </w:pPr>
      <w:r>
        <w:tab/>
      </w:r>
      <w:r>
        <w:tab/>
        <w:t>El Dr. Jacoby so</w:t>
      </w:r>
      <w:r>
        <w:t>s</w:t>
      </w:r>
      <w:r>
        <w:t>tuvo que las letradas antes mencionadas objetaron la aparición y secuestro del motor que conectara a su asistido con esta causa, sug</w:t>
      </w:r>
      <w:r>
        <w:t>i</w:t>
      </w:r>
      <w:r>
        <w:t>riendo que el mismo había sido plantado en el lugar del hecho, la existencia y secuestro del fleje del elástico del vehículo que sirvió como vector de los explosivos, c</w:t>
      </w:r>
      <w:r>
        <w:t>o</w:t>
      </w:r>
      <w:r>
        <w:t>mo también la comprobación del b</w:t>
      </w:r>
      <w:r>
        <w:t>o</w:t>
      </w:r>
      <w:r>
        <w:t>quete u oquedad provocada por la explosión; elementos que –según las defensoras- t</w:t>
      </w:r>
      <w:r>
        <w:t>u</w:t>
      </w:r>
      <w:r>
        <w:t>vieron como objetivo utilizar a Telleldín como chivo e</w:t>
      </w:r>
      <w:r>
        <w:t>x</w:t>
      </w:r>
      <w:r>
        <w:t>piatorio de la masacre y encubrir a los verdaderos respo</w:t>
      </w:r>
      <w:r>
        <w:t>n</w:t>
      </w:r>
      <w:r>
        <w:t>sables.</w:t>
      </w:r>
    </w:p>
    <w:p w:rsidR="00224567" w:rsidRDefault="00224567">
      <w:pPr>
        <w:widowControl w:val="0"/>
      </w:pPr>
      <w:r>
        <w:tab/>
      </w:r>
      <w:r>
        <w:tab/>
        <w:t>Entendió que a partir de las críticas antes expuestas, las Dras. Novelo y Fechino intentaron d</w:t>
      </w:r>
      <w:r>
        <w:t>e</w:t>
      </w:r>
      <w:r>
        <w:t>mostrar la inocencia de su asistido, olvidando la respo</w:t>
      </w:r>
      <w:r>
        <w:t>n</w:t>
      </w:r>
      <w:r>
        <w:t>sabilidad que le cupo por su conducta anterior a la mas</w:t>
      </w:r>
      <w:r>
        <w:t>a</w:t>
      </w:r>
      <w:r>
        <w:t>cre y dura</w:t>
      </w:r>
      <w:r>
        <w:t>n</w:t>
      </w:r>
      <w:r>
        <w:t xml:space="preserve">te el proceso, por la cual debía responder. </w:t>
      </w:r>
    </w:p>
    <w:p w:rsidR="00224567" w:rsidRDefault="00224567">
      <w:pPr>
        <w:widowControl w:val="0"/>
      </w:pPr>
      <w:r>
        <w:tab/>
      </w:r>
      <w:r>
        <w:tab/>
        <w:t>El representante de la querella “Mem</w:t>
      </w:r>
      <w:r>
        <w:t>o</w:t>
      </w:r>
      <w:r>
        <w:t>ria Activa” recalcó que las objeciones formuladas por la defensa de Telleldín carecían de respaldo prob</w:t>
      </w:r>
      <w:r>
        <w:t>a</w:t>
      </w:r>
      <w:r>
        <w:t xml:space="preserve">torio. </w:t>
      </w:r>
    </w:p>
    <w:p w:rsidR="00224567" w:rsidRDefault="00224567">
      <w:pPr>
        <w:widowControl w:val="0"/>
      </w:pPr>
      <w:r>
        <w:tab/>
      </w:r>
      <w:r>
        <w:tab/>
        <w:t>En primer término, el Dr. J</w:t>
      </w:r>
      <w:r>
        <w:t>a</w:t>
      </w:r>
      <w:r>
        <w:t>coby negó que el motor hallado en el lugar hubiera sido s</w:t>
      </w:r>
      <w:r>
        <w:t>o</w:t>
      </w:r>
      <w:r>
        <w:t>metido con anterioridad a su aparición a una explosión de similares caract</w:t>
      </w:r>
      <w:r>
        <w:t>e</w:t>
      </w:r>
      <w:r>
        <w:t xml:space="preserve">rísticas a la ocurrida en la sede de </w:t>
      </w:r>
      <w:smartTag w:uri="urn:schemas-microsoft-com:office:smarttags" w:element="PersonName">
        <w:smartTagPr>
          <w:attr w:name="ProductID" w:val="la A.M"/>
        </w:smartTagPr>
        <w:r>
          <w:t>la A.M</w:t>
        </w:r>
      </w:smartTag>
      <w:r>
        <w:t>.I.A. y colocado debajo de la viga en los e</w:t>
      </w:r>
      <w:r>
        <w:t>s</w:t>
      </w:r>
      <w:r>
        <w:t>combros.</w:t>
      </w:r>
    </w:p>
    <w:p w:rsidR="00224567" w:rsidRDefault="00224567">
      <w:pPr>
        <w:pStyle w:val="Textoindependiente"/>
        <w:spacing w:line="600" w:lineRule="auto"/>
      </w:pPr>
      <w:r>
        <w:tab/>
      </w:r>
      <w:r>
        <w:tab/>
        <w:t>En cuanto a la forma en que se docume</w:t>
      </w:r>
      <w:r>
        <w:t>n</w:t>
      </w:r>
      <w:r>
        <w:t>tó el hallazgo del motor, se remitió a las observaciones que realizó al contestar al planteo de nulidad del a</w:t>
      </w:r>
      <w:r>
        <w:t>c</w:t>
      </w:r>
      <w:r>
        <w:t>ta en cuestión, reiterando que dicha circunsta</w:t>
      </w:r>
      <w:r>
        <w:t>n</w:t>
      </w:r>
      <w:r>
        <w:t>cia había quedado probada con los testimonios de las personas presentes en esa oportun</w:t>
      </w:r>
      <w:r>
        <w:t>i</w:t>
      </w:r>
      <w:r>
        <w:t xml:space="preserve">dad. </w:t>
      </w:r>
    </w:p>
    <w:p w:rsidR="00224567" w:rsidRDefault="00224567">
      <w:pPr>
        <w:widowControl w:val="0"/>
      </w:pPr>
      <w:r>
        <w:tab/>
      </w:r>
      <w:r>
        <w:tab/>
        <w:t>Asimismo, señaló que nada podía obj</w:t>
      </w:r>
      <w:r>
        <w:t>e</w:t>
      </w:r>
      <w:r>
        <w:t>tarse de lo vertido durante el debate por Nahum Frenkel, jefe de los socorristas israelíes, quien e</w:t>
      </w:r>
      <w:r>
        <w:t>n</w:t>
      </w:r>
      <w:r>
        <w:t>contró el motor debajo de una viga, como también el boquete u oqu</w:t>
      </w:r>
      <w:r>
        <w:t>e</w:t>
      </w:r>
      <w:r>
        <w:t>dad que dejó la camioneta al explotar.</w:t>
      </w:r>
    </w:p>
    <w:p w:rsidR="00224567" w:rsidRDefault="00224567">
      <w:pPr>
        <w:widowControl w:val="0"/>
      </w:pPr>
      <w:r>
        <w:tab/>
      </w:r>
      <w:r>
        <w:tab/>
        <w:t>Por otra parte, el Dr. Jacoby aclaró que Telleldín no había sido acusado por el si</w:t>
      </w:r>
      <w:r>
        <w:t>m</w:t>
      </w:r>
      <w:r>
        <w:t>ple hecho de no haber dicho a quién le había entregado la camioneta, tal como lo entendió la defe</w:t>
      </w:r>
      <w:r>
        <w:t>n</w:t>
      </w:r>
      <w:r>
        <w:t xml:space="preserve">sa en su alegato. </w:t>
      </w:r>
    </w:p>
    <w:p w:rsidR="00224567" w:rsidRDefault="00224567">
      <w:pPr>
        <w:widowControl w:val="0"/>
      </w:pPr>
      <w:r>
        <w:tab/>
      </w:r>
      <w:r>
        <w:tab/>
        <w:t>En este sentido, destacó que T</w:t>
      </w:r>
      <w:r>
        <w:t>e</w:t>
      </w:r>
      <w:r>
        <w:t>lleldín no se mantuvo en ninguna de sus versiones y que éstas fu</w:t>
      </w:r>
      <w:r>
        <w:t>e</w:t>
      </w:r>
      <w:r>
        <w:t>ron cambiando según los “vientos” políticos y los ofrec</w:t>
      </w:r>
      <w:r>
        <w:t>i</w:t>
      </w:r>
      <w:r>
        <w:t>mientos del juez instructor, suponiendo que el nombrado, por falta de escrúpulos, por instinto de supervivencia o mera avaricia, había aceptado el dinero del Estado para acusar a personas inocentes, tal como había quedado pla</w:t>
      </w:r>
      <w:r>
        <w:t>s</w:t>
      </w:r>
      <w:r>
        <w:t xml:space="preserve">mado en la filmación; circunstancia que fue verificada en el debate por agentes de </w:t>
      </w:r>
      <w:smartTag w:uri="urn:schemas-microsoft-com:office:smarttags" w:element="PersonName">
        <w:smartTagPr>
          <w:attr w:name="ProductID" w:val="la Secretar￭a"/>
        </w:smartTagPr>
        <w:r>
          <w:t>la S</w:t>
        </w:r>
        <w:r>
          <w:t>e</w:t>
        </w:r>
        <w:r>
          <w:t>cretaría</w:t>
        </w:r>
      </w:smartTag>
      <w:r>
        <w:t xml:space="preserve"> de Inteligencia.</w:t>
      </w:r>
      <w:r>
        <w:tab/>
      </w:r>
      <w:r>
        <w:tab/>
        <w:t>También, el Dr. Jacoby sostuvo que T</w:t>
      </w:r>
      <w:r>
        <w:t>e</w:t>
      </w:r>
      <w:r>
        <w:t>lleldín procuró preconstituir su coartada, al intentar h</w:t>
      </w:r>
      <w:r>
        <w:t>a</w:t>
      </w:r>
      <w:r>
        <w:t>cer creer que había vendido su camioneta a Ramón Mart</w:t>
      </w:r>
      <w:r>
        <w:t>í</w:t>
      </w:r>
      <w:r>
        <w:t>nez, cuyo Documento Nacional de Identidad era inexistente, co</w:t>
      </w:r>
      <w:r>
        <w:t>n</w:t>
      </w:r>
      <w:r>
        <w:t>cluyendo que el nombrado continuaba ocultando la verdad, por temer más a las consecuencias que ello pudiera ac</w:t>
      </w:r>
      <w:r>
        <w:t>a</w:t>
      </w:r>
      <w:r>
        <w:t>rrearle que al castigo que se le pudiera imponer en esta causa.</w:t>
      </w:r>
    </w:p>
    <w:p w:rsidR="00224567" w:rsidRDefault="00224567">
      <w:pPr>
        <w:widowControl w:val="0"/>
      </w:pPr>
      <w:r>
        <w:tab/>
      </w:r>
      <w:r>
        <w:tab/>
        <w:t>Por otra parte, destacó que el uso de aquella camioneta en el atentado se corroboró con clar</w:t>
      </w:r>
      <w:r>
        <w:t>i</w:t>
      </w:r>
      <w:r>
        <w:t>dad, ya que un amortiguador de una Renault Trafic fue h</w:t>
      </w:r>
      <w:r>
        <w:t>a</w:t>
      </w:r>
      <w:r>
        <w:t>llado atravesando el cuerpo de Díaz y entre los esco</w:t>
      </w:r>
      <w:r>
        <w:t>m</w:t>
      </w:r>
      <w:r>
        <w:t>bros fue enco</w:t>
      </w:r>
      <w:r>
        <w:t>n</w:t>
      </w:r>
      <w:r>
        <w:t>trado el motor de ese mismo vehículo.</w:t>
      </w:r>
    </w:p>
    <w:p w:rsidR="00224567" w:rsidRDefault="00224567">
      <w:pPr>
        <w:widowControl w:val="0"/>
      </w:pPr>
      <w:r>
        <w:t xml:space="preserve"> </w:t>
      </w:r>
      <w:r>
        <w:tab/>
      </w:r>
      <w:r>
        <w:tab/>
        <w:t>Por otra parte, el representante de “Memoria Activa” afirmó, en oposición a lo manife</w:t>
      </w:r>
      <w:r>
        <w:t>s</w:t>
      </w:r>
      <w:r>
        <w:t>tado por la defensa de Telleldín en su alegato, que éste último a</w:t>
      </w:r>
      <w:r>
        <w:t>d</w:t>
      </w:r>
      <w:r>
        <w:t>quirió la camioneta Renault Trafic de la firma “Messin S.R.L.” a Alejandro Mo</w:t>
      </w:r>
      <w:r>
        <w:t>n</w:t>
      </w:r>
      <w:r>
        <w:t>jo. Así, luego de extraer el motor, Telleldín armó –con otra carrocería que no fue la de Sar</w:t>
      </w:r>
      <w:r>
        <w:t>a</w:t>
      </w:r>
      <w:r>
        <w:t>pura- el vehículo que se utilizó en el atentado, el cual tuvo que preparar especialmente; circunsta</w:t>
      </w:r>
      <w:r>
        <w:t>n</w:t>
      </w:r>
      <w:r>
        <w:t>cia que no fue realizada en el taller de Nitzcaner, tal como quedó prob</w:t>
      </w:r>
      <w:r>
        <w:t>a</w:t>
      </w:r>
      <w:r>
        <w:t>do con la conversación telefónica mantenida entre éste ú</w:t>
      </w:r>
      <w:r>
        <w:t>l</w:t>
      </w:r>
      <w:r>
        <w:t>timo y Ana Bora</w:t>
      </w:r>
      <w:r>
        <w:t>g</w:t>
      </w:r>
      <w:r>
        <w:t>ni el día 27 de julio de 1994.</w:t>
      </w:r>
    </w:p>
    <w:p w:rsidR="00224567" w:rsidRDefault="00224567">
      <w:pPr>
        <w:widowControl w:val="0"/>
      </w:pPr>
      <w:r>
        <w:tab/>
      </w:r>
      <w:r>
        <w:tab/>
        <w:t xml:space="preserve">El Dr. Jacoby consideró </w:t>
      </w:r>
      <w:r>
        <w:tab/>
        <w:t>que del modo antes reseñado T</w:t>
      </w:r>
      <w:r>
        <w:t>e</w:t>
      </w:r>
      <w:r>
        <w:t>lleldín protegió a la persona a quien le entregó la camioneta, lo que explicaba el motivo por el cual habían quedado restos del vehículo de Sar</w:t>
      </w:r>
      <w:r>
        <w:t>a</w:t>
      </w:r>
      <w:r>
        <w:t>pura en el taller de Nitzcaner, el cual no había sido utilizado en el atentado y que Telle</w:t>
      </w:r>
      <w:r>
        <w:t>l</w:t>
      </w:r>
      <w:r>
        <w:t>dín no se preocupo en descartar</w:t>
      </w:r>
      <w:r>
        <w:tab/>
        <w:t>.</w:t>
      </w:r>
    </w:p>
    <w:p w:rsidR="00224567" w:rsidRDefault="00224567">
      <w:pPr>
        <w:widowControl w:val="0"/>
      </w:pPr>
      <w:r>
        <w:tab/>
      </w:r>
      <w:r>
        <w:tab/>
        <w:t>También, indicó que los restos enco</w:t>
      </w:r>
      <w:r>
        <w:t>n</w:t>
      </w:r>
      <w:r>
        <w:t>trados en el lugar del hecho permitieron inferir que la camioneta utilizada en el ataque tenía una pue</w:t>
      </w:r>
      <w:r>
        <w:t>r</w:t>
      </w:r>
      <w:r>
        <w:t>ta lateral, la que faltaba en el vehículo de Sar</w:t>
      </w:r>
      <w:r>
        <w:t>a</w:t>
      </w:r>
      <w:r>
        <w:t>pura.</w:t>
      </w:r>
    </w:p>
    <w:p w:rsidR="00224567" w:rsidRDefault="00224567">
      <w:pPr>
        <w:widowControl w:val="0"/>
      </w:pPr>
      <w:r>
        <w:tab/>
      </w:r>
      <w:r>
        <w:tab/>
        <w:t>Remarcó que, de suponerse que el motor hallado luego del atentado había sido colocado por Nit</w:t>
      </w:r>
      <w:r>
        <w:t>z</w:t>
      </w:r>
      <w:r>
        <w:t>caner, la falsa historia se hubiera desarrollado en un sentido, distinto al de suponer que dicho motor había sido colocado en otra carroc</w:t>
      </w:r>
      <w:r>
        <w:t>e</w:t>
      </w:r>
      <w:r>
        <w:t>ría y en otro taller.</w:t>
      </w:r>
    </w:p>
    <w:p w:rsidR="00224567" w:rsidRDefault="00224567">
      <w:pPr>
        <w:widowControl w:val="0"/>
      </w:pPr>
      <w:r>
        <w:tab/>
      </w:r>
      <w:r>
        <w:tab/>
        <w:t>Subrayó que Telleldín, al ocultar el verdadero lugar donde se preparó la camioneta Renault Tr</w:t>
      </w:r>
      <w:r>
        <w:t>a</w:t>
      </w:r>
      <w:r>
        <w:t>fic, evitó la reconstrucción j</w:t>
      </w:r>
      <w:r>
        <w:t>u</w:t>
      </w:r>
      <w:r>
        <w:t xml:space="preserve">dicial de ese segmento del </w:t>
      </w:r>
      <w:r>
        <w:rPr>
          <w:u w:val="single"/>
        </w:rPr>
        <w:t>iter criminis</w:t>
      </w:r>
      <w:r>
        <w:t>, circunstancia que se co</w:t>
      </w:r>
      <w:r>
        <w:t>n</w:t>
      </w:r>
      <w:r>
        <w:t>virtió en un cargo en su c</w:t>
      </w:r>
      <w:r>
        <w:t>o</w:t>
      </w:r>
      <w:r>
        <w:t>ntra.</w:t>
      </w:r>
    </w:p>
    <w:p w:rsidR="00224567" w:rsidRDefault="00224567">
      <w:pPr>
        <w:widowControl w:val="0"/>
      </w:pPr>
      <w:r>
        <w:tab/>
      </w:r>
      <w:r>
        <w:tab/>
        <w:t>Luego, el Dr. Jacoby señaló que la d</w:t>
      </w:r>
      <w:r>
        <w:t>e</w:t>
      </w:r>
      <w:r>
        <w:t>fensa pretendió escudarse en la torpeza de su propio asi</w:t>
      </w:r>
      <w:r>
        <w:t>s</w:t>
      </w:r>
      <w:r>
        <w:t>tido, quien por momentos pareció un eximio pr</w:t>
      </w:r>
      <w:r>
        <w:t>o</w:t>
      </w:r>
      <w:r>
        <w:t>fesional del delito y por otros, se convirtió en un atribulado person</w:t>
      </w:r>
      <w:r>
        <w:t>a</w:t>
      </w:r>
      <w:r>
        <w:t>je cuya conducta fue dejando rastros.</w:t>
      </w:r>
    </w:p>
    <w:p w:rsidR="00224567" w:rsidRDefault="00224567">
      <w:pPr>
        <w:widowControl w:val="0"/>
      </w:pPr>
      <w:r>
        <w:tab/>
      </w:r>
      <w:r>
        <w:tab/>
        <w:t>Caracterizó de curiosa la interpret</w:t>
      </w:r>
      <w:r>
        <w:t>a</w:t>
      </w:r>
      <w:r>
        <w:t>ción efectuada por la defensa de Telleldín con r</w:t>
      </w:r>
      <w:r>
        <w:t>e</w:t>
      </w:r>
      <w:r>
        <w:t>lación al término “te salvaste raspando”, utilizada en una convers</w:t>
      </w:r>
      <w:r>
        <w:t>a</w:t>
      </w:r>
      <w:r>
        <w:t>ción, entendiendo que el mismo estaba referido a la inve</w:t>
      </w:r>
      <w:r>
        <w:t>s</w:t>
      </w:r>
      <w:r>
        <w:t>tigación del atentado que reveló -entre otras cosas- la íntima conexión deli</w:t>
      </w:r>
      <w:r>
        <w:t>c</w:t>
      </w:r>
      <w:r>
        <w:t xml:space="preserve">tiva entre Monjo, </w:t>
      </w:r>
      <w:smartTag w:uri="urn:schemas-microsoft-com:office:smarttags" w:element="PersonName">
        <w:smartTagPr>
          <w:attr w:name="ProductID" w:val="la Polic￭a Federal"/>
        </w:smartTagPr>
        <w:r>
          <w:t>la Policía Federal</w:t>
        </w:r>
      </w:smartTag>
      <w:r>
        <w:t xml:space="preserve"> Argentina y el propio Telleldín. </w:t>
      </w:r>
    </w:p>
    <w:p w:rsidR="00224567" w:rsidRDefault="00224567">
      <w:pPr>
        <w:widowControl w:val="0"/>
      </w:pPr>
      <w:r>
        <w:tab/>
      </w:r>
      <w:r>
        <w:tab/>
        <w:t>Posteriormente, el Dr. Jacoby justif</w:t>
      </w:r>
      <w:r>
        <w:t>i</w:t>
      </w:r>
      <w:r>
        <w:t>có el hecho de no haber podido aportar datos sobre la h</w:t>
      </w:r>
      <w:r>
        <w:t>i</w:t>
      </w:r>
      <w:r>
        <w:t>pótesis de una tercera camioneta en el atentado, en la a</w:t>
      </w:r>
      <w:r>
        <w:t>c</w:t>
      </w:r>
      <w:r>
        <w:t>titud asumida por el Dr. Galeano, quien trabó aquella p</w:t>
      </w:r>
      <w:r>
        <w:t>o</w:t>
      </w:r>
      <w:r>
        <w:t>sibilidad al no querer investigar. Por ello, entendió que de ningún modo “Memoria Activa” podía ser responsable de la inactividad del juez instructor y de los desvíos prod</w:t>
      </w:r>
      <w:r>
        <w:t>u</w:t>
      </w:r>
      <w:r>
        <w:t>cidos durante la investigación, tal como lo pretendió h</w:t>
      </w:r>
      <w:r>
        <w:t>a</w:t>
      </w:r>
      <w:r>
        <w:t>cer creer la defe</w:t>
      </w:r>
      <w:r>
        <w:t>n</w:t>
      </w:r>
      <w:r>
        <w:t>sa de Telleldín.</w:t>
      </w:r>
    </w:p>
    <w:p w:rsidR="00224567" w:rsidRDefault="00224567">
      <w:pPr>
        <w:widowControl w:val="0"/>
      </w:pPr>
      <w:r>
        <w:tab/>
      </w:r>
      <w:r>
        <w:tab/>
        <w:t>Manifestó que la existencia de una tercera camioneta fue producto de un razonamiento lógico que faltó durante la instrucción de la causa, en la que sobraron irregularidades, negociaciones, influencias pol</w:t>
      </w:r>
      <w:r>
        <w:t>í</w:t>
      </w:r>
      <w:r>
        <w:t>ticas, testigos de identidad reservada y todo un catálogo de incorrecciones de</w:t>
      </w:r>
      <w:r>
        <w:t>s</w:t>
      </w:r>
      <w:r>
        <w:t>tinadas a ocultar la verdad.</w:t>
      </w:r>
    </w:p>
    <w:p w:rsidR="00224567" w:rsidRDefault="00224567">
      <w:pPr>
        <w:widowControl w:val="0"/>
      </w:pPr>
      <w:r>
        <w:tab/>
      </w:r>
      <w:r>
        <w:tab/>
        <w:t>Por otra parte, el represe</w:t>
      </w:r>
      <w:r>
        <w:t>n</w:t>
      </w:r>
      <w:r>
        <w:t>tante de la querella criticó la opinión de las letradas Novello y F</w:t>
      </w:r>
      <w:r>
        <w:t>e</w:t>
      </w:r>
      <w:r>
        <w:t>chino, en cuanto entendieron que “Memoria Activa” había implicado a Telleldín en el atentado porque el nombrado obró con un desmedido ánimo de lucro, sin mencionar si c</w:t>
      </w:r>
      <w:r>
        <w:t>o</w:t>
      </w:r>
      <w:r>
        <w:t>bró algún dinero a cambio de su partic</w:t>
      </w:r>
      <w:r>
        <w:t>i</w:t>
      </w:r>
      <w:r>
        <w:t>pación.</w:t>
      </w:r>
    </w:p>
    <w:p w:rsidR="00224567" w:rsidRDefault="00224567">
      <w:pPr>
        <w:widowControl w:val="0"/>
      </w:pPr>
      <w:r>
        <w:tab/>
      </w:r>
      <w:r>
        <w:tab/>
        <w:t>En este punto, aclaró que el ánimo de lucro surgió del boleto de compraventa del vehículo s</w:t>
      </w:r>
      <w:r>
        <w:t>u</w:t>
      </w:r>
      <w:r>
        <w:t>puestamente enajenado a Martínez, que evidenció que la operación se había llevado a cabo a título oneroso; mie</w:t>
      </w:r>
      <w:r>
        <w:t>n</w:t>
      </w:r>
      <w:r>
        <w:t>tras que la desmesura se concr</w:t>
      </w:r>
      <w:r>
        <w:t>e</w:t>
      </w:r>
      <w:r>
        <w:t>tó cuando Telleldín aceptó el dinero sin detenerse a pensar en las consecuencias de su obrar, tal como lo hizo también al aceptar la espuria oferta del juez instructor.</w:t>
      </w:r>
    </w:p>
    <w:p w:rsidR="00224567" w:rsidRDefault="00224567">
      <w:pPr>
        <w:widowControl w:val="0"/>
      </w:pPr>
      <w:r>
        <w:tab/>
      </w:r>
      <w:r>
        <w:tab/>
        <w:t>Acto seguido, el Dr. Jacoby i</w:t>
      </w:r>
      <w:r>
        <w:t>n</w:t>
      </w:r>
      <w:r>
        <w:t>dicó que el reclamo de la defensa consistente en que las tres ve</w:t>
      </w:r>
      <w:r>
        <w:t>r</w:t>
      </w:r>
      <w:r>
        <w:t>siones acusatorias habían sido creadas para negar el rel</w:t>
      </w:r>
      <w:r>
        <w:t>a</w:t>
      </w:r>
      <w:r>
        <w:t>to de Telleldín, que a juicio de las Dras. Novello y F</w:t>
      </w:r>
      <w:r>
        <w:t>e</w:t>
      </w:r>
      <w:r>
        <w:t>chino no había sido desvirtuado, debía ser interpretado como una queja con relación al arduo trabajo que suponía hacer frente a tres acusaciones di</w:t>
      </w:r>
      <w:r>
        <w:t>s</w:t>
      </w:r>
      <w:r>
        <w:t>tintas, siendo habitual en cualquier proceso penal la existencia de diferentes versiones sobre los hechos.</w:t>
      </w:r>
    </w:p>
    <w:p w:rsidR="00224567" w:rsidRDefault="00224567">
      <w:pPr>
        <w:widowControl w:val="0"/>
      </w:pPr>
      <w:r>
        <w:tab/>
      </w:r>
      <w:r>
        <w:tab/>
        <w:t>Asimismo, precisó que “Mem</w:t>
      </w:r>
      <w:r>
        <w:t>o</w:t>
      </w:r>
      <w:r>
        <w:t>ria Activa” no se hallaba articulada con los restantes ac</w:t>
      </w:r>
      <w:r>
        <w:t>u</w:t>
      </w:r>
      <w:r>
        <w:t>sadores, por lo que mal podía pensarse en la existencia de una especie de “siniestra estrategia” para perjudicar la defensa del imputado Telleldín, cuando en muchos caso ha sido la pr</w:t>
      </w:r>
      <w:r>
        <w:t>i</w:t>
      </w:r>
      <w:r>
        <w:t>mera –y a veces la única- en denunciar públicamente irr</w:t>
      </w:r>
      <w:r>
        <w:t>e</w:t>
      </w:r>
      <w:r>
        <w:t>gular</w:t>
      </w:r>
      <w:r>
        <w:t>i</w:t>
      </w:r>
      <w:r>
        <w:t>dades.</w:t>
      </w:r>
    </w:p>
    <w:p w:rsidR="00224567" w:rsidRDefault="00224567">
      <w:pPr>
        <w:widowControl w:val="0"/>
      </w:pPr>
      <w:r>
        <w:tab/>
      </w:r>
      <w:r>
        <w:tab/>
        <w:t>Luego, el letrado explicó que cuando en su alegato sostuvo que Telleldín “va y viene” quiso r</w:t>
      </w:r>
      <w:r>
        <w:t>e</w:t>
      </w:r>
      <w:r>
        <w:t>ferirse a las idas y venidas que efectuó el nombrado al alinearse en cada nueva ve</w:t>
      </w:r>
      <w:r>
        <w:t>r</w:t>
      </w:r>
      <w:r>
        <w:t>sión de los hechos.</w:t>
      </w:r>
    </w:p>
    <w:p w:rsidR="00224567" w:rsidRDefault="00224567">
      <w:pPr>
        <w:widowControl w:val="0"/>
      </w:pPr>
      <w:r>
        <w:tab/>
      </w:r>
      <w:r>
        <w:tab/>
        <w:t>Seguidamente, el representante de la querella recalcó que Telleldín actuó como un e</w:t>
      </w:r>
      <w:r>
        <w:t>n</w:t>
      </w:r>
      <w:r>
        <w:t xml:space="preserve">granaje en la maquinaria que culminó con el estallido de la sede de </w:t>
      </w:r>
      <w:smartTag w:uri="urn:schemas-microsoft-com:office:smarttags" w:element="PersonName">
        <w:smartTagPr>
          <w:attr w:name="ProductID" w:val="la A.M"/>
        </w:smartTagPr>
        <w:r>
          <w:t>la A.M</w:t>
        </w:r>
      </w:smartTag>
      <w:r>
        <w:t>.I.A. y operó desviando la invest</w:t>
      </w:r>
      <w:r>
        <w:t>i</w:t>
      </w:r>
      <w:r>
        <w:t>gación.</w:t>
      </w:r>
    </w:p>
    <w:p w:rsidR="00224567" w:rsidRDefault="00224567">
      <w:pPr>
        <w:widowControl w:val="0"/>
      </w:pPr>
      <w:r>
        <w:tab/>
      </w:r>
      <w:r>
        <w:tab/>
        <w:t>Con relación al argumento esgrimido por la defensa de Telleldín, consistente en que los acus</w:t>
      </w:r>
      <w:r>
        <w:t>a</w:t>
      </w:r>
      <w:r>
        <w:t>dores habían inventado que la camioneta tenía los elást</w:t>
      </w:r>
      <w:r>
        <w:t>i</w:t>
      </w:r>
      <w:r>
        <w:t>cos reforzados, el Dr. Jacoby sostuvo que dicha circun</w:t>
      </w:r>
      <w:r>
        <w:t>s</w:t>
      </w:r>
      <w:r>
        <w:t>tancia había quedado acreditada.</w:t>
      </w:r>
    </w:p>
    <w:p w:rsidR="00224567" w:rsidRDefault="00224567">
      <w:pPr>
        <w:widowControl w:val="0"/>
      </w:pPr>
      <w:r>
        <w:tab/>
      </w:r>
      <w:r>
        <w:tab/>
        <w:t>En este sentido, recordó que T</w:t>
      </w:r>
      <w:r>
        <w:t>e</w:t>
      </w:r>
      <w:r>
        <w:t xml:space="preserve">lleldín llevó el motor de </w:t>
      </w:r>
      <w:smartTag w:uri="urn:schemas-microsoft-com:office:smarttags" w:element="PersonName">
        <w:smartTagPr>
          <w:attr w:name="ProductID" w:val="la Trafic"/>
        </w:smartTagPr>
        <w:r>
          <w:t>la Trafic</w:t>
        </w:r>
      </w:smartTag>
      <w:r>
        <w:t xml:space="preserve"> a un taller distinto al de N</w:t>
      </w:r>
      <w:r>
        <w:t>i</w:t>
      </w:r>
      <w:r>
        <w:t>tzcaner, en el cual se efectuaron las reparaciones y aco</w:t>
      </w:r>
      <w:r>
        <w:t>n</w:t>
      </w:r>
      <w:r>
        <w:t>dicionamientos requeridos por el comprador, sin la prese</w:t>
      </w:r>
      <w:r>
        <w:t>n</w:t>
      </w:r>
      <w:r>
        <w:t>cia de testigos y que tuvo mucho cuidado en que Nitzcaner no pr</w:t>
      </w:r>
      <w:r>
        <w:t>e</w:t>
      </w:r>
      <w:r>
        <w:t>senciara el refuerzo de los elásticos.</w:t>
      </w:r>
    </w:p>
    <w:p w:rsidR="00224567" w:rsidRDefault="00224567">
      <w:pPr>
        <w:widowControl w:val="0"/>
      </w:pPr>
      <w:r>
        <w:tab/>
      </w:r>
      <w:r>
        <w:tab/>
        <w:t>Aclaró que Telle</w:t>
      </w:r>
      <w:r>
        <w:t>l</w:t>
      </w:r>
      <w:r>
        <w:t>dín no sabía cuántos kilos de explosivo, tierra, anclaje o chapones debía s</w:t>
      </w:r>
      <w:r>
        <w:t>o</w:t>
      </w:r>
      <w:r>
        <w:t>portar el refuerzo de la camioneta, ya que si</w:t>
      </w:r>
      <w:r>
        <w:t>m</w:t>
      </w:r>
      <w:r>
        <w:t>plemente se le había dado la instrucción de conseguir un v</w:t>
      </w:r>
      <w:r>
        <w:t>e</w:t>
      </w:r>
      <w:r>
        <w:t>hículo que soportara un peso mayor al estándar, que a la vez tuviera estabilidad para evitar una explosión anticipada ante la más mínima irregularidad del terreno. Por ese motivo, e</w:t>
      </w:r>
      <w:r>
        <w:t>n</w:t>
      </w:r>
      <w:r>
        <w:t>tendió que el cálculo mezquino y milimétrico que la defe</w:t>
      </w:r>
      <w:r>
        <w:t>n</w:t>
      </w:r>
      <w:r>
        <w:t xml:space="preserve">sa pretendió introducir con los manuales de </w:t>
      </w:r>
      <w:smartTag w:uri="urn:schemas-microsoft-com:office:smarttags" w:element="PersonName">
        <w:smartTagPr>
          <w:attr w:name="ProductID" w:val="la Trafic"/>
        </w:smartTagPr>
        <w:r>
          <w:t>la Trafic</w:t>
        </w:r>
      </w:smartTag>
      <w:r>
        <w:t xml:space="preserve"> r</w:t>
      </w:r>
      <w:r>
        <w:t>e</w:t>
      </w:r>
      <w:r>
        <w:t>sultaba absol</w:t>
      </w:r>
      <w:r>
        <w:t>u</w:t>
      </w:r>
      <w:r>
        <w:t>tamente irrelevante.</w:t>
      </w:r>
    </w:p>
    <w:p w:rsidR="00224567" w:rsidRDefault="00224567">
      <w:pPr>
        <w:widowControl w:val="0"/>
      </w:pPr>
      <w:r>
        <w:tab/>
      </w:r>
      <w:r>
        <w:tab/>
        <w:t>También, el Dr. Jacoby mencionó que Telleldín armó el vehículo con la carroc</w:t>
      </w:r>
      <w:r>
        <w:t>e</w:t>
      </w:r>
      <w:r>
        <w:t>ría de una Trafic corta que probablemente César Fernández le co</w:t>
      </w:r>
      <w:r>
        <w:t>n</w:t>
      </w:r>
      <w:r>
        <w:t>siguió.</w:t>
      </w:r>
    </w:p>
    <w:p w:rsidR="00224567" w:rsidRDefault="00224567">
      <w:pPr>
        <w:widowControl w:val="0"/>
      </w:pPr>
      <w:r>
        <w:tab/>
      </w:r>
      <w:r>
        <w:tab/>
        <w:t>Por lo expuesto, el representante de la querella estimó que había quedado desvirtuado el arg</w:t>
      </w:r>
      <w:r>
        <w:t>u</w:t>
      </w:r>
      <w:r>
        <w:t>mento de las defensoras, en cuanto sostuvieron que los elásticos pudieron haber sido colocados en la carrocería con anterioridad al armado de Telleldín o con posterior</w:t>
      </w:r>
      <w:r>
        <w:t>i</w:t>
      </w:r>
      <w:r>
        <w:t>dad a su entrega.</w:t>
      </w:r>
    </w:p>
    <w:p w:rsidR="00224567" w:rsidRDefault="00224567">
      <w:pPr>
        <w:widowControl w:val="0"/>
      </w:pPr>
      <w:r>
        <w:tab/>
      </w:r>
      <w:r>
        <w:tab/>
        <w:t>Además, el Dr. Jacoby remarcó que si bien las letradas de Telleldín aleg</w:t>
      </w:r>
      <w:r>
        <w:t>a</w:t>
      </w:r>
      <w:r>
        <w:t>ron que el refuerzo de la camioneta resultaba irrelevante en virtud de la estab</w:t>
      </w:r>
      <w:r>
        <w:t>i</w:t>
      </w:r>
      <w:r>
        <w:t>lidad que tenía el amonal, éstas olvidaron que el deton</w:t>
      </w:r>
      <w:r>
        <w:t>a</w:t>
      </w:r>
      <w:r>
        <w:t>dor o iniciador carecía de dicha característica, como ta</w:t>
      </w:r>
      <w:r>
        <w:t>m</w:t>
      </w:r>
      <w:r>
        <w:t>bién que para encajonar la tierra que sirvió de anclaje, debieron utilizarse elementos de hierro para direccionar la expl</w:t>
      </w:r>
      <w:r>
        <w:t>o</w:t>
      </w:r>
      <w:r>
        <w:t>sión; circunstancia que agregaba una considerable ca</w:t>
      </w:r>
      <w:r>
        <w:t>n</w:t>
      </w:r>
      <w:r>
        <w:t>tidad de peso.</w:t>
      </w:r>
    </w:p>
    <w:p w:rsidR="00224567" w:rsidRDefault="00224567">
      <w:pPr>
        <w:widowControl w:val="0"/>
      </w:pPr>
      <w:r>
        <w:tab/>
      </w:r>
      <w:r>
        <w:tab/>
        <w:t>Asimismo, consideró frecuente que en el armado de vehículos doblados se usaran repuestos prov</w:t>
      </w:r>
      <w:r>
        <w:t>e</w:t>
      </w:r>
      <w:r>
        <w:t>nientes de automotores robados, razón por la cual calificó como una cuestión carente de releva</w:t>
      </w:r>
      <w:r>
        <w:t>n</w:t>
      </w:r>
      <w:r>
        <w:t>cia el hecho de que el elástico no coincidi</w:t>
      </w:r>
      <w:r>
        <w:t>e</w:t>
      </w:r>
      <w:r>
        <w:t xml:space="preserve">ra con la época de fabricación de </w:t>
      </w:r>
      <w:smartTag w:uri="urn:schemas-microsoft-com:office:smarttags" w:element="PersonName">
        <w:smartTagPr>
          <w:attr w:name="ProductID" w:val="la Trafic"/>
        </w:smartTagPr>
        <w:r>
          <w:t>la Trafic</w:t>
        </w:r>
      </w:smartTag>
      <w:r>
        <w:t xml:space="preserve"> que se utilizó en el atentado.</w:t>
      </w:r>
    </w:p>
    <w:p w:rsidR="00224567" w:rsidRDefault="00224567">
      <w:pPr>
        <w:widowControl w:val="0"/>
      </w:pPr>
      <w:r>
        <w:tab/>
      </w:r>
      <w:r>
        <w:tab/>
        <w:t>Por otra parte, el Dr. Jacoby subrayó que no podía ser atendido el argumento empleado por la d</w:t>
      </w:r>
      <w:r>
        <w:t>e</w:t>
      </w:r>
      <w:r>
        <w:t>fensa de Telleldín al sostener que éste, a p</w:t>
      </w:r>
      <w:r>
        <w:t>e</w:t>
      </w:r>
      <w:r>
        <w:t>sar de ser un experto en actividades ilícitas con aut</w:t>
      </w:r>
      <w:r>
        <w:t>o</w:t>
      </w:r>
      <w:r>
        <w:t xml:space="preserve">motores, no había preparado adecuadamente </w:t>
      </w:r>
      <w:smartTag w:uri="urn:schemas-microsoft-com:office:smarttags" w:element="PersonName">
        <w:smartTagPr>
          <w:attr w:name="ProductID" w:val="la Trafic"/>
        </w:smartTagPr>
        <w:r>
          <w:t>la Trafic</w:t>
        </w:r>
      </w:smartTag>
      <w:r>
        <w:t>, estimando que ello r</w:t>
      </w:r>
      <w:r>
        <w:t>e</w:t>
      </w:r>
      <w:r>
        <w:t>sultaba contradictorio con las propias afirmaciones del imputado, quien había explicado minuciosamente cómo dobl</w:t>
      </w:r>
      <w:r>
        <w:t>a</w:t>
      </w:r>
      <w:r>
        <w:t>ba camionetas y las improvisadas reparaciones que había efectuado con anterior</w:t>
      </w:r>
      <w:r>
        <w:t>i</w:t>
      </w:r>
      <w:r>
        <w:t xml:space="preserve">dad a la entrega de </w:t>
      </w:r>
      <w:smartTag w:uri="urn:schemas-microsoft-com:office:smarttags" w:element="PersonName">
        <w:smartTagPr>
          <w:attr w:name="ProductID" w:val="la Trafic."/>
        </w:smartTagPr>
        <w:r>
          <w:t>la Trafic.</w:t>
        </w:r>
      </w:smartTag>
    </w:p>
    <w:p w:rsidR="00224567" w:rsidRDefault="00224567">
      <w:pPr>
        <w:widowControl w:val="0"/>
      </w:pPr>
      <w:r>
        <w:tab/>
      </w:r>
      <w:r>
        <w:tab/>
        <w:t>Posteriormente, el representante de “Memoria Activa” explicó por qué razón debía descartarse la hipótesis de la defensa de Telleldín, consistente en que los elásticos de la camioneta habían sido reforzados por el anterior tit</w:t>
      </w:r>
      <w:r>
        <w:t>u</w:t>
      </w:r>
      <w:r>
        <w:t xml:space="preserve">lar de la carrocería de </w:t>
      </w:r>
      <w:smartTag w:uri="urn:schemas-microsoft-com:office:smarttags" w:element="PersonName">
        <w:smartTagPr>
          <w:attr w:name="ProductID" w:val="la Trafic"/>
        </w:smartTagPr>
        <w:r>
          <w:t>la Trafic</w:t>
        </w:r>
      </w:smartTag>
      <w:r>
        <w:t xml:space="preserve"> que se utilizó en el atentado.</w:t>
      </w:r>
    </w:p>
    <w:p w:rsidR="00224567" w:rsidRDefault="00224567">
      <w:pPr>
        <w:widowControl w:val="0"/>
      </w:pPr>
      <w:r>
        <w:tab/>
      </w:r>
      <w:r>
        <w:tab/>
        <w:t>En este orden de ideas, el Dr. Jacoby sostuvo que si Telleldín hubiera mandado a robar una Tr</w:t>
      </w:r>
      <w:r>
        <w:t>a</w:t>
      </w:r>
      <w:r>
        <w:t>fic de carrocería larga con nueve hojas de elástico, los peritajes efectuados sobre las piezas encontradas así lo hubieran determinado y ello no fue así, pues se estableció que dichos el</w:t>
      </w:r>
      <w:r>
        <w:t>e</w:t>
      </w:r>
      <w:r>
        <w:t>mentos pertenecían a una Trafic corta.</w:t>
      </w:r>
    </w:p>
    <w:p w:rsidR="00224567" w:rsidRDefault="00224567">
      <w:pPr>
        <w:widowControl w:val="0"/>
      </w:pPr>
      <w:r>
        <w:tab/>
      </w:r>
      <w:r>
        <w:tab/>
        <w:t xml:space="preserve">Además, tampoco le pareció coherente que Telleldín le ordenara a César Fernández, o a quien fuera su levantador de autos </w:t>
      </w:r>
      <w:r>
        <w:rPr>
          <w:u w:val="single"/>
        </w:rPr>
        <w:t>ad hoc</w:t>
      </w:r>
      <w:r>
        <w:t xml:space="preserve"> que sustrajera una c</w:t>
      </w:r>
      <w:r>
        <w:t>a</w:t>
      </w:r>
      <w:r>
        <w:t>mioneta Trafic corta con elásticos reforzados. En este punto, le resultó inimaginable que un levant</w:t>
      </w:r>
      <w:r>
        <w:t>a</w:t>
      </w:r>
      <w:r>
        <w:t>dor de autos se agachara debajo de las Trafic para e</w:t>
      </w:r>
      <w:r>
        <w:t>n</w:t>
      </w:r>
      <w:r>
        <w:t>contrar, si es que existía, una con elásticos reforz</w:t>
      </w:r>
      <w:r>
        <w:t>a</w:t>
      </w:r>
      <w:r>
        <w:t>dos.</w:t>
      </w:r>
    </w:p>
    <w:p w:rsidR="00224567" w:rsidRDefault="00224567">
      <w:pPr>
        <w:widowControl w:val="0"/>
      </w:pPr>
      <w:r>
        <w:tab/>
      </w:r>
      <w:r>
        <w:tab/>
        <w:t>Por ello, el Dr. Jacoby co</w:t>
      </w:r>
      <w:r>
        <w:t>n</w:t>
      </w:r>
      <w:r>
        <w:t>cluyó que a un chasis sustraído de una Trafic corta de siete hojas de elásticos se le agregaron dos, por lo menos una fabricada en el año 1993, que pudo haber sido comprada en un come</w:t>
      </w:r>
      <w:r>
        <w:t>r</w:t>
      </w:r>
      <w:r>
        <w:t>cio o un desa</w:t>
      </w:r>
      <w:r>
        <w:t>r</w:t>
      </w:r>
      <w:r>
        <w:t xml:space="preserve">madero. </w:t>
      </w:r>
    </w:p>
    <w:p w:rsidR="00224567" w:rsidRDefault="00224567">
      <w:pPr>
        <w:widowControl w:val="0"/>
      </w:pPr>
      <w:r>
        <w:tab/>
      </w:r>
      <w:r>
        <w:tab/>
        <w:t>De todas formas, entendió que aunque Telleldín hubiera ordenado sustraer una Trafic corta con nueve elásticos, ello evide</w:t>
      </w:r>
      <w:r>
        <w:t>n</w:t>
      </w:r>
      <w:r>
        <w:t>ciaba su dolo inicial.</w:t>
      </w:r>
    </w:p>
    <w:p w:rsidR="00224567" w:rsidRDefault="00224567">
      <w:pPr>
        <w:widowControl w:val="0"/>
      </w:pPr>
      <w:r>
        <w:tab/>
      </w:r>
      <w:r>
        <w:tab/>
        <w:t>Por otra parte, sostuvo que debía de</w:t>
      </w:r>
      <w:r>
        <w:t>s</w:t>
      </w:r>
      <w:r>
        <w:t>cartarse el argumento de la defensa de Telleldín, en cua</w:t>
      </w:r>
      <w:r>
        <w:t>n</w:t>
      </w:r>
      <w:r>
        <w:t>to sostuvo que los terroristas p</w:t>
      </w:r>
      <w:r>
        <w:t>u</w:t>
      </w:r>
      <w:r>
        <w:t xml:space="preserve">dieron haber sido quienes le colocaron el refuerzo a </w:t>
      </w:r>
      <w:smartTag w:uri="urn:schemas-microsoft-com:office:smarttags" w:element="PersonName">
        <w:smartTagPr>
          <w:attr w:name="ProductID" w:val="la Trafic. Ello"/>
        </w:smartTagPr>
        <w:r>
          <w:t>la Trafic. Ello</w:t>
        </w:r>
      </w:smartTag>
      <w:r>
        <w:t>, en virtud de que Telleldín fue elegido por ser, precisamente, especi</w:t>
      </w:r>
      <w:r>
        <w:t>a</w:t>
      </w:r>
      <w:r>
        <w:t>lista en el armado de vehículos, circunstancia que fue proclamada por el nombrado ante el Tr</w:t>
      </w:r>
      <w:r>
        <w:t>i</w:t>
      </w:r>
      <w:r>
        <w:t>bunal.</w:t>
      </w:r>
    </w:p>
    <w:p w:rsidR="00224567" w:rsidRDefault="00224567">
      <w:pPr>
        <w:widowControl w:val="0"/>
      </w:pPr>
      <w:r>
        <w:tab/>
      </w:r>
      <w:r>
        <w:tab/>
        <w:t>En este punto, no le pareció sensato que los terroristas se hubieran hecho cargo de una tarea tan específica como la del refuerzo de elásticos, exp</w:t>
      </w:r>
      <w:r>
        <w:t>o</w:t>
      </w:r>
      <w:r>
        <w:t>niéndose innecesariamente; tarea para la cual hubieran d</w:t>
      </w:r>
      <w:r>
        <w:t>e</w:t>
      </w:r>
      <w:r>
        <w:t>bido contar con un taller mecánico, habilidad y tiempo s</w:t>
      </w:r>
      <w:r>
        <w:t>u</w:t>
      </w:r>
      <w:r>
        <w:t>ficiente para preparar el vehíc</w:t>
      </w:r>
      <w:r>
        <w:t>u</w:t>
      </w:r>
      <w:r>
        <w:t>lo.</w:t>
      </w:r>
    </w:p>
    <w:p w:rsidR="00224567" w:rsidRDefault="00224567">
      <w:pPr>
        <w:widowControl w:val="0"/>
      </w:pPr>
      <w:r>
        <w:tab/>
      </w:r>
      <w:r>
        <w:tab/>
        <w:t>Además, el Dr. Jacoby precisó que si se pagaron once mil dólares como se despre</w:t>
      </w:r>
      <w:r>
        <w:t>n</w:t>
      </w:r>
      <w:r>
        <w:t>día del boleto de compraventa o una suma mayor no plasmada en documento alguno, era para poder disponer f</w:t>
      </w:r>
      <w:r>
        <w:t>á</w:t>
      </w:r>
      <w:r>
        <w:t>cilmente del vehículo al que sólo hacía falta colocarle el di</w:t>
      </w:r>
      <w:r>
        <w:t>s</w:t>
      </w:r>
      <w:r>
        <w:t>positivo de anclaje y el explos</w:t>
      </w:r>
      <w:r>
        <w:t>i</w:t>
      </w:r>
      <w:r>
        <w:t>vo, en la penúltima etapa a cargo de otra de las células intervinientes.</w:t>
      </w:r>
    </w:p>
    <w:p w:rsidR="00224567" w:rsidRDefault="00224567">
      <w:pPr>
        <w:widowControl w:val="0"/>
      </w:pPr>
      <w:r>
        <w:tab/>
      </w:r>
      <w:r>
        <w:tab/>
        <w:t>En este sentido, consideró probable que una célula se encargara de la inteligencia previa al atentado y de la elección del bla</w:t>
      </w:r>
      <w:r>
        <w:t>n</w:t>
      </w:r>
      <w:r>
        <w:t xml:space="preserve">co, otra de obtener los explosivos y colocarlos, una tercera de conseguir el vehículo contratando a Telleldín para preparar </w:t>
      </w:r>
      <w:smartTag w:uri="urn:schemas-microsoft-com:office:smarttags" w:element="PersonName">
        <w:smartTagPr>
          <w:attr w:name="ProductID" w:val="la Trafic"/>
        </w:smartTagPr>
        <w:r>
          <w:t>la Trafic</w:t>
        </w:r>
      </w:smartTag>
      <w:r>
        <w:t xml:space="preserve"> y finalmente, una cuarta para ejecutar concretamente la et</w:t>
      </w:r>
      <w:r>
        <w:t>a</w:t>
      </w:r>
      <w:r>
        <w:t>pa de deton</w:t>
      </w:r>
      <w:r>
        <w:t>a</w:t>
      </w:r>
      <w:r>
        <w:t>ción.</w:t>
      </w:r>
    </w:p>
    <w:p w:rsidR="00224567" w:rsidRDefault="00224567">
      <w:pPr>
        <w:widowControl w:val="0"/>
      </w:pPr>
      <w:r>
        <w:tab/>
      </w:r>
      <w:r>
        <w:tab/>
        <w:t>En virtud de lo expuesto, estimó que la participación de Telleldín fue limitada y que ello e</w:t>
      </w:r>
      <w:r>
        <w:t>x</w:t>
      </w:r>
      <w:r>
        <w:t>plicaba claramente su conducta posterior a la explosión, que lo colocaban sentado sobre su cama, pegado al telev</w:t>
      </w:r>
      <w:r>
        <w:t>i</w:t>
      </w:r>
      <w:r>
        <w:t>sor y grita</w:t>
      </w:r>
      <w:r>
        <w:t>n</w:t>
      </w:r>
      <w:r>
        <w:t>do “estos hijos de puta me cagaron”(sic).</w:t>
      </w:r>
    </w:p>
    <w:p w:rsidR="00224567" w:rsidRDefault="00224567">
      <w:pPr>
        <w:widowControl w:val="0"/>
      </w:pPr>
      <w:r>
        <w:tab/>
      </w:r>
      <w:r>
        <w:tab/>
        <w:t>Seguidamente, el Dr. Jacoby caracter</w:t>
      </w:r>
      <w:r>
        <w:t>i</w:t>
      </w:r>
      <w:r>
        <w:t>zó de aparente la circunstancia de por qué Telleldín no fue acusado por la figura de homicidio agravado por odio racial y discriminación, invocada como contradict</w:t>
      </w:r>
      <w:r>
        <w:t>o</w:t>
      </w:r>
      <w:r>
        <w:t>ria por la defensa del nombrado.</w:t>
      </w:r>
    </w:p>
    <w:p w:rsidR="00224567" w:rsidRDefault="00224567">
      <w:pPr>
        <w:widowControl w:val="0"/>
      </w:pPr>
      <w:r>
        <w:tab/>
      </w:r>
      <w:r>
        <w:tab/>
        <w:t>Al respecto, entendió que las letradas defensoras partían de una errática interpretación de lo afirmado durante el alegato, donde sostuvo que en virtud de las diversas células intervinientes el imputado desc</w:t>
      </w:r>
      <w:r>
        <w:t>o</w:t>
      </w:r>
      <w:r>
        <w:t>nocía hacia dónde se dirigía la camion</w:t>
      </w:r>
      <w:r>
        <w:t>e</w:t>
      </w:r>
      <w:r>
        <w:t>ta.</w:t>
      </w:r>
    </w:p>
    <w:p w:rsidR="00224567" w:rsidRDefault="00224567">
      <w:pPr>
        <w:widowControl w:val="0"/>
      </w:pPr>
      <w:r>
        <w:tab/>
      </w:r>
      <w:r>
        <w:tab/>
        <w:t>Luego, el Dr. Jacoby cuestionó lo m</w:t>
      </w:r>
      <w:r>
        <w:t>a</w:t>
      </w:r>
      <w:r>
        <w:t>nifestado por la defensa, en cuanto sostuvo que “Memoria Activa” no había explicado quién le había pedido la cami</w:t>
      </w:r>
      <w:r>
        <w:t>o</w:t>
      </w:r>
      <w:r>
        <w:t>neta a Telleldín, señalando que, por el contrario, había sido el imputado quien no había explicado aquella circun</w:t>
      </w:r>
      <w:r>
        <w:t>s</w:t>
      </w:r>
      <w:r>
        <w:t>tancia.</w:t>
      </w:r>
    </w:p>
    <w:p w:rsidR="00224567" w:rsidRDefault="00224567">
      <w:pPr>
        <w:widowControl w:val="0"/>
      </w:pPr>
      <w:r>
        <w:tab/>
      </w:r>
      <w:r>
        <w:tab/>
        <w:t>Por otra parte, el letrado de</w:t>
      </w:r>
      <w:r>
        <w:t>s</w:t>
      </w:r>
      <w:r>
        <w:t>tacó que de entenderse que Telleldín se representó el resultado f</w:t>
      </w:r>
      <w:r>
        <w:t>i</w:t>
      </w:r>
      <w:r>
        <w:t>nal, es decir, la utilización de un vehículo cargado con explosivos, dicha circunstancia se actualizó en su co</w:t>
      </w:r>
      <w:r>
        <w:t>n</w:t>
      </w:r>
      <w:r>
        <w:t>ciencia al acaecer la explosión, provocando su desesper</w:t>
      </w:r>
      <w:r>
        <w:t>a</w:t>
      </w:r>
      <w:r>
        <w:t>ción en distanciarse de las consecue</w:t>
      </w:r>
      <w:r>
        <w:t>n</w:t>
      </w:r>
      <w:r>
        <w:t>cias de su obrar, lo que se evidenció al viajar y utilizar otra vez el docume</w:t>
      </w:r>
      <w:r>
        <w:t>n</w:t>
      </w:r>
      <w:r>
        <w:t>to en el que tenía anotado el nombre “Teccedín”.</w:t>
      </w:r>
    </w:p>
    <w:p w:rsidR="00224567" w:rsidRDefault="00224567">
      <w:pPr>
        <w:widowControl w:val="0"/>
      </w:pPr>
      <w:r>
        <w:tab/>
      </w:r>
      <w:r>
        <w:tab/>
        <w:t>Posteriormente, el Dr. Jacoby sostuvo que si bien la defensa de Telleldín planteó como una hip</w:t>
      </w:r>
      <w:r>
        <w:t>ó</w:t>
      </w:r>
      <w:r>
        <w:t xml:space="preserve">tesis la inexistencia de </w:t>
      </w:r>
      <w:smartTag w:uri="urn:schemas-microsoft-com:office:smarttags" w:element="PersonName">
        <w:smartTagPr>
          <w:attr w:name="ProductID" w:val="la Trafic"/>
        </w:smartTagPr>
        <w:r>
          <w:t>la Trafic</w:t>
        </w:r>
      </w:smartTag>
      <w:r>
        <w:t xml:space="preserve"> como co</w:t>
      </w:r>
      <w:r>
        <w:t>n</w:t>
      </w:r>
      <w:r>
        <w:t>tenedora de los explosivos, fueron los defensores Ube</w:t>
      </w:r>
      <w:r>
        <w:t>i</w:t>
      </w:r>
      <w:r>
        <w:t>ra, Moreno, Galtieri y fundamentalmente García Dietze, quienes mayores objeci</w:t>
      </w:r>
      <w:r>
        <w:t>o</w:t>
      </w:r>
      <w:r>
        <w:t>nes y dudas instalaron al re</w:t>
      </w:r>
      <w:r>
        <w:t>s</w:t>
      </w:r>
      <w:r>
        <w:t>pecto.</w:t>
      </w:r>
    </w:p>
    <w:p w:rsidR="00224567" w:rsidRDefault="00224567">
      <w:pPr>
        <w:widowControl w:val="0"/>
      </w:pPr>
      <w:r>
        <w:tab/>
      </w:r>
      <w:r>
        <w:tab/>
        <w:t>Consideró que el Dr. García Dietze, en un esfuerzo al que caracterizó de titánico, centró sus a</w:t>
      </w:r>
      <w:r>
        <w:t>r</w:t>
      </w:r>
      <w:r>
        <w:t>gumentos en cuestionar la existencia de una Trafic que e</w:t>
      </w:r>
      <w:r>
        <w:t>x</w:t>
      </w:r>
      <w:r>
        <w:t>plotó contra el edificio sito en la calle Pasteur 633, s</w:t>
      </w:r>
      <w:r>
        <w:t>u</w:t>
      </w:r>
      <w:r>
        <w:t>giriendo que la explosión se produjo en el interior del inmu</w:t>
      </w:r>
      <w:r>
        <w:t>e</w:t>
      </w:r>
      <w:r>
        <w:t>ble.</w:t>
      </w:r>
    </w:p>
    <w:p w:rsidR="00224567" w:rsidRDefault="00224567">
      <w:pPr>
        <w:widowControl w:val="0"/>
      </w:pPr>
      <w:r>
        <w:tab/>
      </w:r>
      <w:r>
        <w:tab/>
        <w:t>Al respecto, el Dr. Jacoby de</w:t>
      </w:r>
      <w:r>
        <w:t>s</w:t>
      </w:r>
      <w:r>
        <w:t>tacó que ningún defensor pudo desmentir el hecho de que el amort</w:t>
      </w:r>
      <w:r>
        <w:t>i</w:t>
      </w:r>
      <w:r>
        <w:t xml:space="preserve">guador  de </w:t>
      </w:r>
      <w:smartTag w:uri="urn:schemas-microsoft-com:office:smarttags" w:element="PersonName">
        <w:smartTagPr>
          <w:attr w:name="ProductID" w:val="la Trafic"/>
        </w:smartTagPr>
        <w:r>
          <w:t>la Trafic</w:t>
        </w:r>
      </w:smartTag>
      <w:r>
        <w:t xml:space="preserve"> se estrelló c</w:t>
      </w:r>
      <w:r>
        <w:t>o</w:t>
      </w:r>
      <w:r>
        <w:t>ntra el cuerpo de Díaz, como tampoco demostrar que el explosivo estaba en el vo</w:t>
      </w:r>
      <w:r>
        <w:t>l</w:t>
      </w:r>
      <w:r>
        <w:t>quete o en el interior del edificio. Además, señaló que los nombrados no aportaron una descripción de cómo, de</w:t>
      </w:r>
      <w:r>
        <w:t>s</w:t>
      </w:r>
      <w:r>
        <w:t xml:space="preserve">cartando a </w:t>
      </w:r>
      <w:smartTag w:uri="urn:schemas-microsoft-com:office:smarttags" w:element="PersonName">
        <w:smartTagPr>
          <w:attr w:name="ProductID" w:val="la Trafic"/>
        </w:smartTagPr>
        <w:r>
          <w:t>la Trafic</w:t>
        </w:r>
      </w:smartTag>
      <w:r>
        <w:t>, se había producido la explosión, considera</w:t>
      </w:r>
      <w:r>
        <w:t>n</w:t>
      </w:r>
      <w:r>
        <w:t>do que esa era la única hipótesis acreditada.</w:t>
      </w:r>
    </w:p>
    <w:p w:rsidR="00224567" w:rsidRDefault="00224567">
      <w:pPr>
        <w:widowControl w:val="0"/>
      </w:pPr>
      <w:r>
        <w:tab/>
      </w:r>
      <w:r>
        <w:tab/>
        <w:t xml:space="preserve">Finalmente, sostuvo que la querella </w:t>
      </w:r>
      <w:r w:rsidRPr="003442D4">
        <w:rPr>
          <w:highlight w:val="yellow"/>
        </w:rPr>
        <w:t>Memoria Activa” fue pionera, con el Dr. Zuppi, en denu</w:t>
      </w:r>
      <w:r w:rsidRPr="003442D4">
        <w:rPr>
          <w:highlight w:val="yellow"/>
        </w:rPr>
        <w:t>n</w:t>
      </w:r>
      <w:r w:rsidRPr="003442D4">
        <w:rPr>
          <w:highlight w:val="yellow"/>
        </w:rPr>
        <w:t>ciar las serias irregularidades incurridas durante la i</w:t>
      </w:r>
      <w:r w:rsidRPr="003442D4">
        <w:rPr>
          <w:highlight w:val="yellow"/>
        </w:rPr>
        <w:t>n</w:t>
      </w:r>
      <w:r w:rsidRPr="003442D4">
        <w:rPr>
          <w:highlight w:val="yellow"/>
        </w:rPr>
        <w:t>vestigación, lo que motivó el apartamiento del juez in</w:t>
      </w:r>
      <w:r w:rsidRPr="003442D4">
        <w:rPr>
          <w:highlight w:val="yellow"/>
        </w:rPr>
        <w:t>s</w:t>
      </w:r>
      <w:r w:rsidRPr="003442D4">
        <w:rPr>
          <w:highlight w:val="yellow"/>
        </w:rPr>
        <w:t>tructor y que en todo momento mantuvo una posición ind</w:t>
      </w:r>
      <w:r w:rsidRPr="003442D4">
        <w:rPr>
          <w:highlight w:val="yellow"/>
        </w:rPr>
        <w:t>e</w:t>
      </w:r>
      <w:r w:rsidRPr="003442D4">
        <w:rPr>
          <w:highlight w:val="yellow"/>
        </w:rPr>
        <w:t>pendiente en búsqu</w:t>
      </w:r>
      <w:r w:rsidRPr="003442D4">
        <w:rPr>
          <w:highlight w:val="yellow"/>
        </w:rPr>
        <w:t>e</w:t>
      </w:r>
      <w:r w:rsidRPr="003442D4">
        <w:rPr>
          <w:highlight w:val="yellow"/>
        </w:rPr>
        <w:t>da de</w:t>
      </w:r>
      <w:r w:rsidR="003442D4" w:rsidRPr="003442D4">
        <w:rPr>
          <w:highlight w:val="yellow"/>
        </w:rPr>
        <w:t>“</w:t>
      </w:r>
      <w:r w:rsidRPr="003442D4">
        <w:rPr>
          <w:highlight w:val="yellow"/>
        </w:rPr>
        <w:t xml:space="preserve"> la verdad.</w:t>
      </w:r>
    </w:p>
    <w:p w:rsidR="00224567" w:rsidRDefault="00224567">
      <w:pPr>
        <w:widowControl w:val="0"/>
      </w:pPr>
    </w:p>
    <w:p w:rsidR="00224567" w:rsidRDefault="00224567">
      <w:pPr>
        <w:widowControl w:val="0"/>
      </w:pPr>
      <w:r>
        <w:tab/>
      </w:r>
      <w:r>
        <w:rPr>
          <w:b/>
          <w:bCs/>
        </w:rPr>
        <w:t>A.2)</w:t>
      </w:r>
      <w:r>
        <w:t xml:space="preserve"> Posteriormente, la querella un</w:t>
      </w:r>
      <w:r>
        <w:t>i</w:t>
      </w:r>
      <w:r>
        <w:t>ficada de D.A.I.A., A.M.I.A. y “Grupo de Famili</w:t>
      </w:r>
      <w:r>
        <w:t>a</w:t>
      </w:r>
      <w:r>
        <w:t>res de las Víctimas”, representada por los Dres. Marta Nercellas y Juan José Ávila, hizo uso de la facultad prevista en los párrafos 4º y 5º del art. 393 del Código Pr</w:t>
      </w:r>
      <w:r>
        <w:t>o</w:t>
      </w:r>
      <w:r>
        <w:t xml:space="preserve">cesal Penal de </w:t>
      </w:r>
      <w:smartTag w:uri="urn:schemas-microsoft-com:office:smarttags" w:element="PersonName">
        <w:smartTagPr>
          <w:attr w:name="ProductID" w:val="la Naci￳n."/>
        </w:smartTagPr>
        <w:r>
          <w:t>la Nación.</w:t>
        </w:r>
      </w:smartTag>
    </w:p>
    <w:p w:rsidR="00224567" w:rsidRDefault="00224567">
      <w:pPr>
        <w:widowControl w:val="0"/>
      </w:pPr>
      <w:r>
        <w:tab/>
      </w:r>
      <w:r>
        <w:tab/>
        <w:t xml:space="preserve">En primer lugar, </w:t>
      </w:r>
      <w:smartTag w:uri="urn:schemas-microsoft-com:office:smarttags" w:element="PersonName">
        <w:smartTagPr>
          <w:attr w:name="ProductID" w:val="la Dra. Marta"/>
        </w:smartTagPr>
        <w:r>
          <w:t>la Dra. Marta</w:t>
        </w:r>
      </w:smartTag>
      <w:r>
        <w:t xml:space="preserve"> Nerc</w:t>
      </w:r>
      <w:r>
        <w:t>e</w:t>
      </w:r>
      <w:r>
        <w:t>llas aclaró que iban a responder a los pla</w:t>
      </w:r>
      <w:r>
        <w:t>n</w:t>
      </w:r>
      <w:r>
        <w:t>teos de nulidad de los actos que fueron utiliz</w:t>
      </w:r>
      <w:r>
        <w:t>a</w:t>
      </w:r>
      <w:r>
        <w:t>dos como prueba de cargo al momento de alegar, sin que ello significara  adherir al resto de los deducidos; tampoco iban a contestar los ped</w:t>
      </w:r>
      <w:r>
        <w:t>i</w:t>
      </w:r>
      <w:r>
        <w:t>dos de inconstitucionalidad y excepciones, por entender que no había ninguna que los afectara en su acus</w:t>
      </w:r>
      <w:r>
        <w:t>a</w:t>
      </w:r>
      <w:r>
        <w:t>ción.</w:t>
      </w:r>
    </w:p>
    <w:p w:rsidR="00224567" w:rsidRDefault="00224567">
      <w:pPr>
        <w:widowControl w:val="0"/>
      </w:pPr>
      <w:r>
        <w:tab/>
      </w:r>
      <w:r>
        <w:tab/>
        <w:t xml:space="preserve">En este orden de ideas, </w:t>
      </w:r>
      <w:smartTag w:uri="urn:schemas-microsoft-com:office:smarttags" w:element="PersonName">
        <w:smartTagPr>
          <w:attr w:name="ProductID" w:val="La Dra. Nercellas"/>
        </w:smartTagPr>
        <w:r>
          <w:t>la Dra. Nerc</w:t>
        </w:r>
        <w:r>
          <w:t>e</w:t>
        </w:r>
        <w:r>
          <w:t>llas</w:t>
        </w:r>
      </w:smartTag>
      <w:r>
        <w:t xml:space="preserve"> sostuvo que algunos defensores, bas</w:t>
      </w:r>
      <w:r>
        <w:t>a</w:t>
      </w:r>
      <w:r>
        <w:t>dos en la premisa de que “las formas molestan a los poderosos”, refiriéndose a quienes detentaban el poder y encaminaron la investig</w:t>
      </w:r>
      <w:r>
        <w:t>a</w:t>
      </w:r>
      <w:r>
        <w:t>ción, pretendieron fundar las nulidades que luego invoc</w:t>
      </w:r>
      <w:r>
        <w:t>a</w:t>
      </w:r>
      <w:r>
        <w:t>ron. Para ello citaron, entre otros, a Alberto Binder, cuando era exactamente lo contrario lo que el mencionado autor sostenía en sus múltiples l</w:t>
      </w:r>
      <w:r>
        <w:t>i</w:t>
      </w:r>
      <w:r>
        <w:t>bros, en donde destacaba que la admiración de las formas había creado una nueva ideología, al hacer que los abogados convirtieran lo inc</w:t>
      </w:r>
      <w:r>
        <w:t>i</w:t>
      </w:r>
      <w:r>
        <w:t xml:space="preserve">dental en lo principal, relegando a un segundo plano el objeto del proceso. </w:t>
      </w:r>
    </w:p>
    <w:p w:rsidR="00224567" w:rsidRDefault="00224567">
      <w:pPr>
        <w:widowControl w:val="0"/>
      </w:pPr>
      <w:r>
        <w:tab/>
      </w:r>
      <w:r>
        <w:tab/>
        <w:t>Además, la representante de la quer</w:t>
      </w:r>
      <w:r>
        <w:t>e</w:t>
      </w:r>
      <w:r>
        <w:t>lla se opuso a la forma general en que los planteos nul</w:t>
      </w:r>
      <w:r>
        <w:t>i</w:t>
      </w:r>
      <w:r>
        <w:t>ficantes habían sido introducidos, destacando que ello h</w:t>
      </w:r>
      <w:r>
        <w:t>a</w:t>
      </w:r>
      <w:r>
        <w:t>cía difícil su contestación. En este sentido, señaló que los defensores no habían expresado los motivos por los cuales solicitaron la nulidad, las normas afectadas, si existieron gara</w:t>
      </w:r>
      <w:r>
        <w:t>n</w:t>
      </w:r>
      <w:r>
        <w:t>tías sustanciales o procesales vulneradas y el perjuicio ocasionado por los actos impugnados en cada uno de los casos. Más generales aún, indico, fueron los planteos de nulidad de actos que eran consecuencia del atacado, o los que se s</w:t>
      </w:r>
      <w:r>
        <w:t>e</w:t>
      </w:r>
      <w:r>
        <w:t>ñalaban desde una determinada foja o fecha.</w:t>
      </w:r>
    </w:p>
    <w:p w:rsidR="00224567" w:rsidRDefault="00224567">
      <w:pPr>
        <w:widowControl w:val="0"/>
      </w:pPr>
      <w:r>
        <w:tab/>
      </w:r>
      <w:r>
        <w:tab/>
        <w:t>Asimismo, cuestionó el hecho de que los defensores, al momento de los alegatos, crit</w:t>
      </w:r>
      <w:r>
        <w:t>i</w:t>
      </w:r>
      <w:r>
        <w:t>caran que los investigadores no habían realizado ciertos actos, e</w:t>
      </w:r>
      <w:r>
        <w:t>n</w:t>
      </w:r>
      <w:r>
        <w:t>tendiendo que ello no era razón suficiente como para fu</w:t>
      </w:r>
      <w:r>
        <w:t>n</w:t>
      </w:r>
      <w:r>
        <w:t>dar una n</w:t>
      </w:r>
      <w:r>
        <w:t>u</w:t>
      </w:r>
      <w:r>
        <w:t>lidad.</w:t>
      </w:r>
    </w:p>
    <w:p w:rsidR="00224567" w:rsidRDefault="00224567">
      <w:pPr>
        <w:widowControl w:val="0"/>
      </w:pPr>
      <w:r>
        <w:tab/>
      </w:r>
      <w:r>
        <w:tab/>
        <w:t xml:space="preserve">Posteriormente, </w:t>
      </w:r>
      <w:smartTag w:uri="urn:schemas-microsoft-com:office:smarttags" w:element="PersonName">
        <w:smartTagPr>
          <w:attr w:name="ProductID" w:val="La Dra. Nercellas"/>
        </w:smartTagPr>
        <w:r>
          <w:t>la Dra. Nerc</w:t>
        </w:r>
        <w:r>
          <w:t>e</w:t>
        </w:r>
        <w:r>
          <w:t>llas</w:t>
        </w:r>
      </w:smartTag>
      <w:r>
        <w:t xml:space="preserve"> pasó a contestar el planteo de nulidad de todas las actas de secuestro de piezas en el lugar del hecho y de todos los actos que habían sido su consecuencia directa, esgrimida por las defensas de Telleldín, B</w:t>
      </w:r>
      <w:r>
        <w:t>a</w:t>
      </w:r>
      <w:r>
        <w:t>reiro, Bacigalupo, Cruz, Arancibia, Ib</w:t>
      </w:r>
      <w:r>
        <w:t>a</w:t>
      </w:r>
      <w:r>
        <w:t>rra, Bottegal, Lasala y Nitzcaner.</w:t>
      </w:r>
    </w:p>
    <w:p w:rsidR="00224567" w:rsidRDefault="00224567">
      <w:pPr>
        <w:widowControl w:val="0"/>
      </w:pPr>
      <w:r>
        <w:tab/>
      </w:r>
      <w:r>
        <w:tab/>
        <w:t>Al respecto, destacó que durante el debate muchos bomberos declararon acerca de las circun</w:t>
      </w:r>
      <w:r>
        <w:t>s</w:t>
      </w:r>
      <w:r>
        <w:t>tancias de tiempo, modo y lugar en que se encontr</w:t>
      </w:r>
      <w:r>
        <w:t>a</w:t>
      </w:r>
      <w:r>
        <w:t>ron cada uno de los efectos que fueron exhibidos dura</w:t>
      </w:r>
      <w:r>
        <w:t>n</w:t>
      </w:r>
      <w:r>
        <w:t>te el juicio, remarcando que habían sido los acusadores quienes los i</w:t>
      </w:r>
      <w:r>
        <w:t>n</w:t>
      </w:r>
      <w:r>
        <w:t>terrogaron acerca del peligro en el lugar y a la existe</w:t>
      </w:r>
      <w:r>
        <w:t>n</w:t>
      </w:r>
      <w:r>
        <w:t>cia de civiles en la zona.</w:t>
      </w:r>
    </w:p>
    <w:p w:rsidR="00224567" w:rsidRDefault="00224567">
      <w:pPr>
        <w:widowControl w:val="0"/>
      </w:pPr>
      <w:r>
        <w:tab/>
      </w:r>
      <w:r>
        <w:tab/>
        <w:t>Además, hizo referencia a la orden dictada por el subcomisario Carlos Néstor López, quien dispuso que como primera medida se leva</w:t>
      </w:r>
      <w:r>
        <w:t>n</w:t>
      </w:r>
      <w:r>
        <w:t>taran los objetos, luego se procediera a su secuestro, posterio</w:t>
      </w:r>
      <w:r>
        <w:t>r</w:t>
      </w:r>
      <w:r>
        <w:t>mente se los condujera hacia un lugar seguro y finalmente, se labrara el acta, lo cual había sido claramente explicado por el nombrado al prestar declaración en la audiencia.</w:t>
      </w:r>
    </w:p>
    <w:p w:rsidR="00224567" w:rsidRDefault="00224567">
      <w:pPr>
        <w:widowControl w:val="0"/>
      </w:pPr>
      <w:r>
        <w:tab/>
      </w:r>
      <w:r>
        <w:tab/>
        <w:t>De este modo, consideró que, dado el peligro existente en el lugar, reclamar las formalidades de un acta o la existencia de testigos no era más que af</w:t>
      </w:r>
      <w:r>
        <w:t>e</w:t>
      </w:r>
      <w:r>
        <w:t>rrarse a un ritualismo, en lugar de a la verdad de lo acontecido.</w:t>
      </w:r>
    </w:p>
    <w:p w:rsidR="00224567" w:rsidRDefault="00224567">
      <w:pPr>
        <w:widowControl w:val="0"/>
      </w:pPr>
      <w:r>
        <w:tab/>
      </w:r>
      <w:r>
        <w:tab/>
        <w:t xml:space="preserve">Por ello, </w:t>
      </w:r>
      <w:smartTag w:uri="urn:schemas-microsoft-com:office:smarttags" w:element="PersonName">
        <w:smartTagPr>
          <w:attr w:name="ProductID" w:val="La Dra. Nercellas"/>
        </w:smartTagPr>
        <w:r>
          <w:t>la Dra. Nercellas</w:t>
        </w:r>
      </w:smartTag>
      <w:r>
        <w:t xml:space="preserve"> sostuvo que la existencia de actas sin la pr</w:t>
      </w:r>
      <w:r>
        <w:t>e</w:t>
      </w:r>
      <w:r>
        <w:t>sencia de testigos, o con determinadas falencias formales, no autorizaba a t</w:t>
      </w:r>
      <w:r>
        <w:t>a</w:t>
      </w:r>
      <w:r>
        <w:t>charlas de nulas, sino que sólo brindaba la posib</w:t>
      </w:r>
      <w:r>
        <w:t>i</w:t>
      </w:r>
      <w:r>
        <w:t>lidad de alegar acerca de su valor probatorio, tal como lo entendía la pacífica juri</w:t>
      </w:r>
      <w:r>
        <w:t>s</w:t>
      </w:r>
      <w:r>
        <w:t xml:space="preserve">prudencia. </w:t>
      </w:r>
    </w:p>
    <w:p w:rsidR="00224567" w:rsidRDefault="00224567">
      <w:pPr>
        <w:widowControl w:val="0"/>
      </w:pPr>
      <w:r>
        <w:tab/>
      </w:r>
      <w:r>
        <w:tab/>
        <w:t xml:space="preserve">En este sentido, la representante de la querella hizo referencia a pronunciamientos de este tribunal, de </w:t>
      </w:r>
      <w:smartTag w:uri="urn:schemas-microsoft-com:office:smarttags" w:element="PersonName">
        <w:smartTagPr>
          <w:attr w:name="ProductID" w:val="la C￡mara Federal"/>
        </w:smartTagPr>
        <w:r>
          <w:t>la Cámara Federal</w:t>
        </w:r>
      </w:smartTag>
      <w:r>
        <w:t xml:space="preserve"> y de </w:t>
      </w:r>
      <w:smartTag w:uri="urn:schemas-microsoft-com:office:smarttags" w:element="PersonName">
        <w:smartTagPr>
          <w:attr w:name="ProductID" w:val="la C￡mara Nacional"/>
        </w:smartTagPr>
        <w:r>
          <w:t>la Cámara N</w:t>
        </w:r>
        <w:r>
          <w:t>a</w:t>
        </w:r>
        <w:r>
          <w:t>cional</w:t>
        </w:r>
      </w:smartTag>
      <w:r>
        <w:t xml:space="preserve"> de Casación Penal.</w:t>
      </w:r>
    </w:p>
    <w:p w:rsidR="00224567" w:rsidRDefault="00224567">
      <w:pPr>
        <w:widowControl w:val="0"/>
      </w:pPr>
      <w:r>
        <w:tab/>
      </w:r>
      <w:r>
        <w:tab/>
        <w:t>Por otra parte, consideró que de exi</w:t>
      </w:r>
      <w:r>
        <w:t>s</w:t>
      </w:r>
      <w:r>
        <w:t>tir nulidades las mismas serían de carácter relat</w:t>
      </w:r>
      <w:r>
        <w:t>i</w:t>
      </w:r>
      <w:r>
        <w:t>vo y en consecuencia el planteo resultaba extemporáneo, al no h</w:t>
      </w:r>
      <w:r>
        <w:t>a</w:t>
      </w:r>
      <w:r>
        <w:t>ber sido interpuestas durante la instrucción o al mome</w:t>
      </w:r>
      <w:r>
        <w:t>n</w:t>
      </w:r>
      <w:r>
        <w:t>to de la c</w:t>
      </w:r>
      <w:r>
        <w:t>i</w:t>
      </w:r>
      <w:r>
        <w:t>tación a juicio.</w:t>
      </w:r>
    </w:p>
    <w:p w:rsidR="00224567" w:rsidRDefault="00224567">
      <w:pPr>
        <w:widowControl w:val="0"/>
      </w:pPr>
      <w:r>
        <w:tab/>
      </w:r>
      <w:r>
        <w:tab/>
        <w:t>Subrayó que las defensas prete</w:t>
      </w:r>
      <w:r>
        <w:t>n</w:t>
      </w:r>
      <w:r>
        <w:t>dieron desconocer el peligro existente en el lugar e intentaron acreditar, con las fotografías y videocintas que fueron exhibidas durante el debate, que había civ</w:t>
      </w:r>
      <w:r>
        <w:t>i</w:t>
      </w:r>
      <w:r>
        <w:t>les en el lugar del hecho que podían haber of</w:t>
      </w:r>
      <w:r>
        <w:t>i</w:t>
      </w:r>
      <w:r>
        <w:t>ciado de testigos, estimando que ello era desconocer que estaban colaborando con las tareas de salvamento.</w:t>
      </w:r>
    </w:p>
    <w:p w:rsidR="00224567" w:rsidRDefault="00224567">
      <w:pPr>
        <w:widowControl w:val="0"/>
      </w:pPr>
      <w:r>
        <w:tab/>
      </w:r>
      <w:r>
        <w:tab/>
        <w:t>En este punto, remarcó que si bien t</w:t>
      </w:r>
      <w:r>
        <w:t>o</w:t>
      </w:r>
      <w:r>
        <w:t>da persona tenía el derecho de elegir si d</w:t>
      </w:r>
      <w:r>
        <w:t>e</w:t>
      </w:r>
      <w:r>
        <w:t>seaba correr un riesgo para colaborar con una determinada tarea, ello de ningún modo autorizaba a hacerla correr ese riesgo para que firmara un acta de secuestro.</w:t>
      </w:r>
    </w:p>
    <w:p w:rsidR="00224567" w:rsidRDefault="00224567">
      <w:pPr>
        <w:widowControl w:val="0"/>
      </w:pPr>
      <w:r>
        <w:tab/>
      </w:r>
      <w:r>
        <w:tab/>
        <w:t xml:space="preserve">Además, </w:t>
      </w:r>
      <w:smartTag w:uri="urn:schemas-microsoft-com:office:smarttags" w:element="PersonName">
        <w:smartTagPr>
          <w:attr w:name="ProductID" w:val="La Dra. Nercellas"/>
        </w:smartTagPr>
        <w:r>
          <w:t>la Dra. Nercellas</w:t>
        </w:r>
      </w:smartTag>
      <w:r>
        <w:t xml:space="preserve"> me</w:t>
      </w:r>
      <w:r>
        <w:t>n</w:t>
      </w:r>
      <w:r>
        <w:t xml:space="preserve">cionó que en la causa obraban actas firmadas por testigos, que se habían confeccionado en lugares cercanos a lo que fue el edificio de </w:t>
      </w:r>
      <w:smartTag w:uri="urn:schemas-microsoft-com:office:smarttags" w:element="PersonName">
        <w:smartTagPr>
          <w:attr w:name="ProductID" w:val="la A.M"/>
        </w:smartTagPr>
        <w:r>
          <w:t>la A.M</w:t>
        </w:r>
      </w:smartTag>
      <w:r>
        <w:t>.I.A. y otras, sin rubricar, que se ll</w:t>
      </w:r>
      <w:r>
        <w:t>e</w:t>
      </w:r>
      <w:r>
        <w:t>varon a cabo en lugares más alejados al atentado, estima</w:t>
      </w:r>
      <w:r>
        <w:t>n</w:t>
      </w:r>
      <w:r>
        <w:t>do que ello indicaba que, a pesar de la orden dispuesta por López, los funcionarios habían cumplido con las form</w:t>
      </w:r>
      <w:r>
        <w:t>a</w:t>
      </w:r>
      <w:r>
        <w:t>lidades cuando las circunstancias así lo perm</w:t>
      </w:r>
      <w:r>
        <w:t>i</w:t>
      </w:r>
      <w:r>
        <w:t>tieron.</w:t>
      </w:r>
    </w:p>
    <w:p w:rsidR="00224567" w:rsidRDefault="00224567">
      <w:pPr>
        <w:widowControl w:val="0"/>
      </w:pPr>
      <w:r>
        <w:tab/>
      </w:r>
      <w:r>
        <w:tab/>
        <w:t>También señaló que la jurisprudencia convalidó actas que documentaban situaciones de menor gr</w:t>
      </w:r>
      <w:r>
        <w:t>a</w:t>
      </w:r>
      <w:r>
        <w:t>vedad que la catástrofe ocurrida en la calle Pasteur. A guisa de ejemplo, mencionó secuestros realizados sin la presencia de testigos, sea por la hora, la soledad del l</w:t>
      </w:r>
      <w:r>
        <w:t>u</w:t>
      </w:r>
      <w:r>
        <w:t>gar o por el presunto peligro que los testigos pudieran correr en caso de ingresar a determinados lugares con el pe</w:t>
      </w:r>
      <w:r>
        <w:t>r</w:t>
      </w:r>
      <w:r>
        <w:t>sonal policial.</w:t>
      </w:r>
    </w:p>
    <w:p w:rsidR="00224567" w:rsidRDefault="00224567">
      <w:pPr>
        <w:widowControl w:val="0"/>
      </w:pPr>
      <w:r>
        <w:tab/>
      </w:r>
      <w:r>
        <w:tab/>
        <w:t xml:space="preserve">Finalmente, la representante de la querella recordó que en el Código Procesal Penal de </w:t>
      </w:r>
      <w:smartTag w:uri="urn:schemas-microsoft-com:office:smarttags" w:element="PersonName">
        <w:smartTagPr>
          <w:attr w:name="ProductID" w:val="la Naci￳n"/>
        </w:smartTagPr>
        <w:r>
          <w:t>la N</w:t>
        </w:r>
        <w:r>
          <w:t>a</w:t>
        </w:r>
        <w:r>
          <w:t>ción</w:t>
        </w:r>
      </w:smartTag>
      <w:r>
        <w:t>, no estaba prescripta la pena de nulidad para el s</w:t>
      </w:r>
      <w:r>
        <w:t>u</w:t>
      </w:r>
      <w:r>
        <w:t>puesto en que las actas se confeccionaran sin la pr</w:t>
      </w:r>
      <w:r>
        <w:t>e</w:t>
      </w:r>
      <w:r>
        <w:t>sencia de testigos.</w:t>
      </w:r>
    </w:p>
    <w:p w:rsidR="00224567" w:rsidRDefault="00224567">
      <w:pPr>
        <w:widowControl w:val="0"/>
      </w:pPr>
      <w:r>
        <w:tab/>
      </w:r>
      <w:r>
        <w:tab/>
        <w:t xml:space="preserve">Por lo expuesto, </w:t>
      </w:r>
      <w:smartTag w:uri="urn:schemas-microsoft-com:office:smarttags" w:element="PersonName">
        <w:smartTagPr>
          <w:attr w:name="ProductID" w:val="La Dra. Nercellas"/>
        </w:smartTagPr>
        <w:r>
          <w:t>la Dra. Nercellas</w:t>
        </w:r>
      </w:smartTag>
      <w:r>
        <w:t xml:space="preserve"> e</w:t>
      </w:r>
      <w:r>
        <w:t>n</w:t>
      </w:r>
      <w:r>
        <w:t>tendió que debían rechazarse todas las nulidades relaci</w:t>
      </w:r>
      <w:r>
        <w:t>o</w:t>
      </w:r>
      <w:r>
        <w:t>nadas con aquél tema, considera</w:t>
      </w:r>
      <w:r>
        <w:t>n</w:t>
      </w:r>
      <w:r>
        <w:t>do que no eran las formas rituales las que las tornaban a las actas válidas, sino la circunstancia de que las mismas pudi</w:t>
      </w:r>
      <w:r>
        <w:t>e</w:t>
      </w:r>
      <w:r>
        <w:t>ron ser reconstruidas en la audiencia con las declaraciones de diversos test</w:t>
      </w:r>
      <w:r>
        <w:t>i</w:t>
      </w:r>
      <w:r>
        <w:t>gos.</w:t>
      </w:r>
    </w:p>
    <w:p w:rsidR="00224567" w:rsidRDefault="00224567">
      <w:pPr>
        <w:widowControl w:val="0"/>
      </w:pPr>
      <w:r>
        <w:tab/>
      </w:r>
      <w:r>
        <w:tab/>
        <w:t>En cuanto a las nulidad de la incorp</w:t>
      </w:r>
      <w:r>
        <w:t>o</w:t>
      </w:r>
      <w:r>
        <w:t xml:space="preserve">ración al proceso del motor secuestrado supuestamente en las ruinas de la sede de </w:t>
      </w:r>
      <w:smartTag w:uri="urn:schemas-microsoft-com:office:smarttags" w:element="PersonName">
        <w:smartTagPr>
          <w:attr w:name="ProductID" w:val="la A.M"/>
        </w:smartTagPr>
        <w:r>
          <w:t>la A.M</w:t>
        </w:r>
      </w:smartTag>
      <w:r>
        <w:t>.I.A. y de todo lo actuado en consecuencia, formulada por la d</w:t>
      </w:r>
      <w:r>
        <w:t>e</w:t>
      </w:r>
      <w:r>
        <w:t>fensa de Telleldín, la representante de la querella entendió que el modo en que fue hallado dicho efecto había quedado claramente recon</w:t>
      </w:r>
      <w:r>
        <w:t>s</w:t>
      </w:r>
      <w:r>
        <w:t>truido con las declaraciones testimoniales de los resc</w:t>
      </w:r>
      <w:r>
        <w:t>a</w:t>
      </w:r>
      <w:r>
        <w:t>tistas israelíes A</w:t>
      </w:r>
      <w:r>
        <w:t>l</w:t>
      </w:r>
      <w:r>
        <w:t xml:space="preserve">berto Szwarc, Dani Dror, Nahum Frenkel y Zeev Livne. </w:t>
      </w:r>
    </w:p>
    <w:p w:rsidR="00224567" w:rsidRDefault="00224567">
      <w:pPr>
        <w:widowControl w:val="0"/>
      </w:pPr>
      <w:r>
        <w:tab/>
      </w:r>
      <w:r>
        <w:tab/>
        <w:t>Descartó la exi</w:t>
      </w:r>
      <w:r>
        <w:t>s</w:t>
      </w:r>
      <w:r>
        <w:t>tencia de un presunto complot por parte de los rescatistas isra</w:t>
      </w:r>
      <w:r>
        <w:t>e</w:t>
      </w:r>
      <w:r>
        <w:t>líes encaminado a fraguar una prueba y perjudicar a Telle</w:t>
      </w:r>
      <w:r>
        <w:t>l</w:t>
      </w:r>
      <w:r>
        <w:t>dín o a Ribelli, señalando que los nombrados se expresaron con la verdad, mientras que fue el propio pers</w:t>
      </w:r>
      <w:r>
        <w:t>o</w:t>
      </w:r>
      <w:r>
        <w:t xml:space="preserve">nal de </w:t>
      </w:r>
      <w:smartTag w:uri="urn:schemas-microsoft-com:office:smarttags" w:element="PersonName">
        <w:smartTagPr>
          <w:attr w:name="ProductID" w:val="la Polic￭a Federal"/>
        </w:smartTagPr>
        <w:r>
          <w:t>la Policía Federal</w:t>
        </w:r>
      </w:smartTag>
      <w:r>
        <w:t xml:space="preserve"> Argentina quien intentó mentir mediante un acta fraguada en la que constaba que ellos habían hallado el motor.</w:t>
      </w:r>
    </w:p>
    <w:p w:rsidR="00224567" w:rsidRDefault="00224567">
      <w:pPr>
        <w:widowControl w:val="0"/>
      </w:pPr>
      <w:r>
        <w:tab/>
      </w:r>
      <w:r>
        <w:tab/>
        <w:t xml:space="preserve">Además, </w:t>
      </w:r>
      <w:smartTag w:uri="urn:schemas-microsoft-com:office:smarttags" w:element="PersonName">
        <w:smartTagPr>
          <w:attr w:name="ProductID" w:val="La Dra. Nercellas"/>
        </w:smartTagPr>
        <w:r>
          <w:t>la Dra. Nercellas</w:t>
        </w:r>
      </w:smartTag>
      <w:r>
        <w:t xml:space="preserve"> hizo ref</w:t>
      </w:r>
      <w:r>
        <w:t>e</w:t>
      </w:r>
      <w:r>
        <w:t>rencia al diario elaborado por el personal de las fuerzas israel</w:t>
      </w:r>
      <w:r>
        <w:t>í</w:t>
      </w:r>
      <w:r>
        <w:t>es, en donde constaba todo lo que iba sucediendo y en el cual figuraba el día y la hora en que había sido h</w:t>
      </w:r>
      <w:r>
        <w:t>a</w:t>
      </w:r>
      <w:r>
        <w:t>llado el motor.</w:t>
      </w:r>
    </w:p>
    <w:p w:rsidR="00224567" w:rsidRDefault="00224567">
      <w:pPr>
        <w:widowControl w:val="0"/>
      </w:pPr>
      <w:r>
        <w:tab/>
      </w:r>
      <w:r>
        <w:tab/>
        <w:t>Precisó que los requisitos de las a</w:t>
      </w:r>
      <w:r>
        <w:t>c</w:t>
      </w:r>
      <w:r>
        <w:t xml:space="preserve">tas no eran </w:t>
      </w:r>
      <w:r>
        <w:rPr>
          <w:u w:val="single"/>
        </w:rPr>
        <w:t>ad solemnitaten</w:t>
      </w:r>
      <w:r>
        <w:t xml:space="preserve"> y que debían ser valorados c</w:t>
      </w:r>
      <w:r>
        <w:t>o</w:t>
      </w:r>
      <w:r>
        <w:t>mo una prueba más, puesto que la nulidad de un acta en m</w:t>
      </w:r>
      <w:r>
        <w:t>o</w:t>
      </w:r>
      <w:r>
        <w:t>do alguno determinaba la inexistencia del acto del cual daba cuenta, pudiendo caer el acta y su</w:t>
      </w:r>
      <w:r>
        <w:t>b</w:t>
      </w:r>
      <w:r>
        <w:t>sistir el acto en caso de probarse su verac</w:t>
      </w:r>
      <w:r>
        <w:t>i</w:t>
      </w:r>
      <w:r>
        <w:t xml:space="preserve">dad. </w:t>
      </w:r>
    </w:p>
    <w:p w:rsidR="00224567" w:rsidRDefault="00224567">
      <w:pPr>
        <w:widowControl w:val="0"/>
      </w:pPr>
      <w:r>
        <w:tab/>
      </w:r>
      <w:r>
        <w:tab/>
        <w:t>Por todo ello, consideró que la nul</w:t>
      </w:r>
      <w:r>
        <w:t>i</w:t>
      </w:r>
      <w:r>
        <w:t>dad pretendida debía ser rechazada y la incorpor</w:t>
      </w:r>
      <w:r>
        <w:t>a</w:t>
      </w:r>
      <w:r>
        <w:t>ción del motor al proceso debía ser considerada corre</w:t>
      </w:r>
      <w:r>
        <w:t>c</w:t>
      </w:r>
      <w:r>
        <w:t>ta.</w:t>
      </w:r>
    </w:p>
    <w:p w:rsidR="00224567" w:rsidRDefault="00224567">
      <w:pPr>
        <w:widowControl w:val="0"/>
      </w:pPr>
      <w:r>
        <w:tab/>
      </w:r>
      <w:r>
        <w:tab/>
        <w:t>A igual conclusión arribó con relación a la n</w:t>
      </w:r>
      <w:r>
        <w:t>u</w:t>
      </w:r>
      <w:r>
        <w:t>lidad del acta de fs. 215 y de todos los actos que habían sido su consecuencia, invocada por la defensa de Bareiro, Bacigalupo, Cruz y Ara</w:t>
      </w:r>
      <w:r>
        <w:t>n</w:t>
      </w:r>
      <w:r>
        <w:t>cibia.</w:t>
      </w:r>
    </w:p>
    <w:p w:rsidR="00224567" w:rsidRDefault="00224567">
      <w:pPr>
        <w:widowControl w:val="0"/>
      </w:pPr>
      <w:r>
        <w:tab/>
      </w:r>
      <w:r>
        <w:tab/>
        <w:t xml:space="preserve">Posteriormente, </w:t>
      </w:r>
      <w:smartTag w:uri="urn:schemas-microsoft-com:office:smarttags" w:element="PersonName">
        <w:smartTagPr>
          <w:attr w:name="ProductID" w:val="La Dra. Nercellas"/>
        </w:smartTagPr>
        <w:r>
          <w:t>la Dra. Nercellas</w:t>
        </w:r>
      </w:smartTag>
      <w:r>
        <w:t xml:space="preserve"> e</w:t>
      </w:r>
      <w:r>
        <w:t>n</w:t>
      </w:r>
      <w:r>
        <w:t xml:space="preserve">tendió que debía ser rechazado el planteo de nulidad del secuestro del elástico identificado en la foto nº 34 del Informe Preliminar del Departamento de Bomberos de </w:t>
      </w:r>
      <w:smartTag w:uri="urn:schemas-microsoft-com:office:smarttags" w:element="PersonName">
        <w:smartTagPr>
          <w:attr w:name="ProductID" w:val="la Polic￭a Federal"/>
        </w:smartTagPr>
        <w:r>
          <w:t>la P</w:t>
        </w:r>
        <w:r>
          <w:t>o</w:t>
        </w:r>
        <w:r>
          <w:t>licía Federal</w:t>
        </w:r>
      </w:smartTag>
      <w:r>
        <w:t xml:space="preserve"> Argentina, articulado por la defensa de T</w:t>
      </w:r>
      <w:r>
        <w:t>e</w:t>
      </w:r>
      <w:r>
        <w:t>lleldín. Ello, por entender que el bombero Barrera había confundido la foto nº 34 con la nº 11 que ilustraban dos elásticos traseros, pero d</w:t>
      </w:r>
      <w:r>
        <w:t>u</w:t>
      </w:r>
      <w:r>
        <w:t>rante el debate había relatado la forma en que había encontrado el elástico en cue</w:t>
      </w:r>
      <w:r>
        <w:t>s</w:t>
      </w:r>
      <w:r>
        <w:t>tión. Con lo cual, estimó que se había tratado de un error v</w:t>
      </w:r>
      <w:r>
        <w:t>i</w:t>
      </w:r>
      <w:r>
        <w:t>sual del testigo, quien había hallado el elástico ocho años atrás.</w:t>
      </w:r>
    </w:p>
    <w:p w:rsidR="00224567" w:rsidRDefault="00224567">
      <w:pPr>
        <w:widowControl w:val="0"/>
      </w:pPr>
      <w:r>
        <w:tab/>
      </w:r>
      <w:r>
        <w:tab/>
        <w:t>Luego, la letrada se expidió con rel</w:t>
      </w:r>
      <w:r>
        <w:t>a</w:t>
      </w:r>
      <w:r>
        <w:t>ción a la nulidad de los peritajes relacionados con la m</w:t>
      </w:r>
      <w:r>
        <w:t>e</w:t>
      </w:r>
      <w:r>
        <w:t>cánica de la explosión, interpuesta por la defensa de T</w:t>
      </w:r>
      <w:r>
        <w:t>e</w:t>
      </w:r>
      <w:r>
        <w:t>lleldín; planteo que caracterizó como confuso, señalando que las letradas del imputado no habían identificado co</w:t>
      </w:r>
      <w:r>
        <w:t>n</w:t>
      </w:r>
      <w:r>
        <w:t>cretamente a los informes cuestionados, con lo cual se e</w:t>
      </w:r>
      <w:r>
        <w:t>n</w:t>
      </w:r>
      <w:r>
        <w:t>contraba habilitada para pedir su rechazo por razones fo</w:t>
      </w:r>
      <w:r>
        <w:t>r</w:t>
      </w:r>
      <w:r>
        <w:t>males.</w:t>
      </w:r>
    </w:p>
    <w:p w:rsidR="00224567" w:rsidRDefault="00224567">
      <w:pPr>
        <w:widowControl w:val="0"/>
      </w:pPr>
      <w:r>
        <w:tab/>
      </w:r>
      <w:r>
        <w:tab/>
        <w:t xml:space="preserve">No obstante ello, manifestó, con cita de jurisprudencia de </w:t>
      </w:r>
      <w:smartTag w:uri="urn:schemas-microsoft-com:office:smarttags" w:element="PersonName">
        <w:smartTagPr>
          <w:attr w:name="ProductID" w:val="la C￡mara Nacional"/>
        </w:smartTagPr>
        <w:r>
          <w:t>la Cámara Nacional</w:t>
        </w:r>
      </w:smartTag>
      <w:r>
        <w:t xml:space="preserve"> de Cas</w:t>
      </w:r>
      <w:r>
        <w:t>a</w:t>
      </w:r>
      <w:r>
        <w:t>ción Penal, que la nulidad por falta de notificación de una de las p</w:t>
      </w:r>
      <w:r>
        <w:t>e</w:t>
      </w:r>
      <w:r>
        <w:t>ritaciones a la defensa de Telleldín era de carácter rel</w:t>
      </w:r>
      <w:r>
        <w:t>a</w:t>
      </w:r>
      <w:r>
        <w:t xml:space="preserve">tiva, de acuerdo a lo normado por el art. 258 del Código Procesal Penal de </w:t>
      </w:r>
      <w:smartTag w:uri="urn:schemas-microsoft-com:office:smarttags" w:element="PersonName">
        <w:smartTagPr>
          <w:attr w:name="ProductID" w:val="la Naci￳n"/>
        </w:smartTagPr>
        <w:r>
          <w:t>la Nación</w:t>
        </w:r>
      </w:smartTag>
      <w:r>
        <w:t xml:space="preserve"> y en consecuencia, su planteo resultaba extemporáneo.</w:t>
      </w:r>
    </w:p>
    <w:p w:rsidR="00224567" w:rsidRDefault="00224567">
      <w:pPr>
        <w:widowControl w:val="0"/>
      </w:pPr>
      <w:r>
        <w:tab/>
      </w:r>
      <w:r>
        <w:tab/>
        <w:t>En cuanto al peritaje elab</w:t>
      </w:r>
      <w:r>
        <w:t>o</w:t>
      </w:r>
      <w:r>
        <w:t xml:space="preserve">rado por el Departamento de Estructura de </w:t>
      </w:r>
      <w:smartTag w:uri="urn:schemas-microsoft-com:office:smarttags" w:element="PersonName">
        <w:smartTagPr>
          <w:attr w:name="ProductID" w:val="la Universidad Nacional"/>
        </w:smartTagPr>
        <w:r>
          <w:t>la Universidad Nacional</w:t>
        </w:r>
      </w:smartTag>
      <w:r>
        <w:t xml:space="preserve"> de Tucumán, </w:t>
      </w:r>
      <w:smartTag w:uri="urn:schemas-microsoft-com:office:smarttags" w:element="PersonName">
        <w:smartTagPr>
          <w:attr w:name="ProductID" w:val="La Dra. Nercellas"/>
        </w:smartTagPr>
        <w:r>
          <w:t>la Dra. Nercellas</w:t>
        </w:r>
      </w:smartTag>
      <w:r>
        <w:t xml:space="preserve"> r</w:t>
      </w:r>
      <w:r>
        <w:t>e</w:t>
      </w:r>
      <w:r>
        <w:t>cordó que los tres peritos de casa de altos estudios al deponer en el debate explicaron la mecánica de la explosión y contestaron los interroga</w:t>
      </w:r>
      <w:r>
        <w:t>n</w:t>
      </w:r>
      <w:r>
        <w:t>tes planteados por las partes y el trib</w:t>
      </w:r>
      <w:r>
        <w:t>u</w:t>
      </w:r>
      <w:r>
        <w:t>nal.</w:t>
      </w:r>
    </w:p>
    <w:p w:rsidR="00224567" w:rsidRDefault="00224567">
      <w:pPr>
        <w:widowControl w:val="0"/>
      </w:pPr>
      <w:r>
        <w:tab/>
      </w:r>
      <w:r>
        <w:tab/>
        <w:t>Lo mismo ocurrió con relación al i</w:t>
      </w:r>
      <w:r>
        <w:t>n</w:t>
      </w:r>
      <w:r>
        <w:t>forme confeccionado por Gendarmería Nacional, cuyo pers</w:t>
      </w:r>
      <w:r>
        <w:t>o</w:t>
      </w:r>
      <w:r>
        <w:t>nal contestó técnicamente las inquietudes plante</w:t>
      </w:r>
      <w:r>
        <w:t>a</w:t>
      </w:r>
      <w:r>
        <w:t>das en el juicio.</w:t>
      </w:r>
    </w:p>
    <w:p w:rsidR="00224567" w:rsidRDefault="00224567">
      <w:pPr>
        <w:widowControl w:val="0"/>
      </w:pPr>
      <w:r>
        <w:tab/>
      </w:r>
      <w:r>
        <w:tab/>
        <w:t>En virtud de lo expuesto, la represe</w:t>
      </w:r>
      <w:r>
        <w:t>n</w:t>
      </w:r>
      <w:r>
        <w:t>tante de la querella sostuvo que las expe</w:t>
      </w:r>
      <w:r>
        <w:t>r</w:t>
      </w:r>
      <w:r>
        <w:t>ticias indicadas no podían ser consideradas como estudios de otros perit</w:t>
      </w:r>
      <w:r>
        <w:t>a</w:t>
      </w:r>
      <w:r>
        <w:t>jes y que los planteos nulif</w:t>
      </w:r>
      <w:r>
        <w:t>i</w:t>
      </w:r>
      <w:r>
        <w:t xml:space="preserve">cantes debían ser rechazados. </w:t>
      </w:r>
    </w:p>
    <w:p w:rsidR="00224567" w:rsidRDefault="00224567">
      <w:pPr>
        <w:widowControl w:val="0"/>
      </w:pPr>
      <w:r>
        <w:tab/>
      </w:r>
      <w:r>
        <w:tab/>
        <w:t xml:space="preserve">Posteriormente, </w:t>
      </w:r>
      <w:smartTag w:uri="urn:schemas-microsoft-com:office:smarttags" w:element="PersonName">
        <w:smartTagPr>
          <w:attr w:name="ProductID" w:val="La Dra. Nercellas"/>
        </w:smartTagPr>
        <w:r>
          <w:t>la Dra. Nercellas</w:t>
        </w:r>
      </w:smartTag>
      <w:r>
        <w:t xml:space="preserve"> an</w:t>
      </w:r>
      <w:r>
        <w:t>a</w:t>
      </w:r>
      <w:r>
        <w:t>lizó el pedido de nulidad de la detención de Carlos Albe</w:t>
      </w:r>
      <w:r>
        <w:t>r</w:t>
      </w:r>
      <w:r>
        <w:t>to Telleldín y de todos los actos que fueron su consecue</w:t>
      </w:r>
      <w:r>
        <w:t>n</w:t>
      </w:r>
      <w:r>
        <w:t>cia, deducido por la defensa del nombrado, cuyo r</w:t>
      </w:r>
      <w:r>
        <w:t>e</w:t>
      </w:r>
      <w:r>
        <w:t>clamo se centró en la falta de una orden escrita y en la ausencia de urge</w:t>
      </w:r>
      <w:r>
        <w:t>n</w:t>
      </w:r>
      <w:r>
        <w:t>cia que la motivara.</w:t>
      </w:r>
    </w:p>
    <w:p w:rsidR="00224567" w:rsidRDefault="00224567">
      <w:pPr>
        <w:widowControl w:val="0"/>
      </w:pPr>
      <w:r>
        <w:tab/>
      </w:r>
      <w:r>
        <w:tab/>
        <w:t>En este punto, s</w:t>
      </w:r>
      <w:r>
        <w:t>e</w:t>
      </w:r>
      <w:r>
        <w:t>ñaló que el hallazgo del motor y los documentos acompañados por Ana Boragni, indicaban que Telleldín había sido el último tenedor doc</w:t>
      </w:r>
      <w:r>
        <w:t>u</w:t>
      </w:r>
      <w:r>
        <w:t>mentado de aquél efecto, estima</w:t>
      </w:r>
      <w:r>
        <w:t>n</w:t>
      </w:r>
      <w:r>
        <w:t>do que todo ello, sumado a la huída del imputado daban razón suf</w:t>
      </w:r>
      <w:r>
        <w:t>i</w:t>
      </w:r>
      <w:r>
        <w:t>ciente como para el dictado de una o</w:t>
      </w:r>
      <w:r>
        <w:t>r</w:t>
      </w:r>
      <w:r>
        <w:t>den de detención.</w:t>
      </w:r>
    </w:p>
    <w:p w:rsidR="00224567" w:rsidRDefault="00224567">
      <w:pPr>
        <w:widowControl w:val="0"/>
      </w:pPr>
      <w:r>
        <w:tab/>
      </w:r>
      <w:r>
        <w:tab/>
        <w:t>En este sentido, hizo ref</w:t>
      </w:r>
      <w:r>
        <w:t>e</w:t>
      </w:r>
      <w:r>
        <w:t xml:space="preserve">rencia a lo declarado por los agentes de </w:t>
      </w:r>
      <w:smartTag w:uri="urn:schemas-microsoft-com:office:smarttags" w:element="PersonName">
        <w:smartTagPr>
          <w:attr w:name="ProductID" w:val="la Secretar￭a"/>
        </w:smartTagPr>
        <w:r>
          <w:t>la Secretaría</w:t>
        </w:r>
      </w:smartTag>
      <w:r>
        <w:t xml:space="preserve"> de Intelige</w:t>
      </w:r>
      <w:r>
        <w:t>n</w:t>
      </w:r>
      <w:r>
        <w:t>cia, quienes relataron acerca de las negociaci</w:t>
      </w:r>
      <w:r>
        <w:t>o</w:t>
      </w:r>
      <w:r>
        <w:t>nes que se entablaron para intentar la entrega de Telleldín, como también de una llamada de aproximadamente veinte minutos de duración que el imputado mantuvo desde Posadas con pe</w:t>
      </w:r>
      <w:r>
        <w:t>r</w:t>
      </w:r>
      <w:r>
        <w:t>sonas que se hallaban en su domicilio, de la cual surgi</w:t>
      </w:r>
      <w:r>
        <w:t>e</w:t>
      </w:r>
      <w:r>
        <w:t>ron las razones que hicieron que el nombrado finalmente se e</w:t>
      </w:r>
      <w:r>
        <w:t>n</w:t>
      </w:r>
      <w:r>
        <w:t>tregara.</w:t>
      </w:r>
    </w:p>
    <w:p w:rsidR="00224567" w:rsidRDefault="00224567">
      <w:pPr>
        <w:widowControl w:val="0"/>
      </w:pPr>
      <w:r>
        <w:tab/>
      </w:r>
      <w:r>
        <w:tab/>
        <w:t xml:space="preserve">Por ello, </w:t>
      </w:r>
      <w:smartTag w:uri="urn:schemas-microsoft-com:office:smarttags" w:element="PersonName">
        <w:smartTagPr>
          <w:attr w:name="ProductID" w:val="La Dra. Nercellas"/>
        </w:smartTagPr>
        <w:r>
          <w:t>la Dra. Nercellas</w:t>
        </w:r>
      </w:smartTag>
      <w:r>
        <w:t xml:space="preserve"> subrayó que Telleldín no fue técnicamente detenido, sino que él mismo se entregó, tal como lo sostuvo al prestar declar</w:t>
      </w:r>
      <w:r>
        <w:t>a</w:t>
      </w:r>
      <w:r>
        <w:t>ción en el juicio, cuando mencionó que al descender del avión permaneció al lado de un policía aeronáutico, agua</w:t>
      </w:r>
      <w:r>
        <w:t>r</w:t>
      </w:r>
      <w:r>
        <w:t>dando a las personas con las que había quedado en enco</w:t>
      </w:r>
      <w:r>
        <w:t>n</w:t>
      </w:r>
      <w:r>
        <w:t>trarse.</w:t>
      </w:r>
    </w:p>
    <w:p w:rsidR="00224567" w:rsidRDefault="00224567">
      <w:pPr>
        <w:widowControl w:val="0"/>
      </w:pPr>
      <w:r>
        <w:tab/>
      </w:r>
      <w:r>
        <w:tab/>
        <w:t>Consideró que ello aclaraba las raz</w:t>
      </w:r>
      <w:r>
        <w:t>o</w:t>
      </w:r>
      <w:r>
        <w:t>nes por las cuales, durante diez años de detención, los abogados del Telleldín nunca cuestionaran su priv</w:t>
      </w:r>
      <w:r>
        <w:t>a</w:t>
      </w:r>
      <w:r>
        <w:t>ción de libertad; medida que además fue revisada por diferentes tribunales.</w:t>
      </w:r>
    </w:p>
    <w:p w:rsidR="00224567" w:rsidRDefault="00224567">
      <w:pPr>
        <w:widowControl w:val="0"/>
      </w:pPr>
      <w:r>
        <w:tab/>
      </w:r>
      <w:r>
        <w:tab/>
        <w:t>Acto seguido, la representante de la querella se expidió con relación a la nulidad del allan</w:t>
      </w:r>
      <w:r>
        <w:t>a</w:t>
      </w:r>
      <w:r>
        <w:t>miento del domicilio de la calle República 107 de Villa Ballester, y de todo lo actuado en consecuencia, formulada por la defensa de Telle</w:t>
      </w:r>
      <w:r>
        <w:t>l</w:t>
      </w:r>
      <w:r>
        <w:t>dín.</w:t>
      </w:r>
    </w:p>
    <w:p w:rsidR="00224567" w:rsidRDefault="00224567">
      <w:pPr>
        <w:widowControl w:val="0"/>
      </w:pPr>
      <w:r>
        <w:tab/>
      </w:r>
      <w:r>
        <w:tab/>
        <w:t>Recordó que las letradas defensoras objetaron que los oficiales que cu</w:t>
      </w:r>
      <w:r>
        <w:t>m</w:t>
      </w:r>
      <w:r>
        <w:t xml:space="preserve">plieron el allanamiento en virtud de la orden del juez de </w:t>
      </w:r>
      <w:smartTag w:uri="urn:schemas-microsoft-com:office:smarttags" w:element="PersonName">
        <w:smartTagPr>
          <w:attr w:name="ProductID" w:val="la Capital Federal"/>
        </w:smartTagPr>
        <w:r>
          <w:t>la Capital Federal</w:t>
        </w:r>
      </w:smartTag>
      <w:r>
        <w:t>, no aguardaron la tramitación del exhorto por ante el juez con jurisdicción en la localidad de San Martín, correspondie</w:t>
      </w:r>
      <w:r>
        <w:t>n</w:t>
      </w:r>
      <w:r>
        <w:t>te a aquél domicilio, cuando no había urgencia que just</w:t>
      </w:r>
      <w:r>
        <w:t>i</w:t>
      </w:r>
      <w:r>
        <w:t>ficaran ese proceder, alegando también la falta de fund</w:t>
      </w:r>
      <w:r>
        <w:t>a</w:t>
      </w:r>
      <w:r>
        <w:t>mentación de la medida en cue</w:t>
      </w:r>
      <w:r>
        <w:t>s</w:t>
      </w:r>
      <w:r>
        <w:t>tión.</w:t>
      </w:r>
    </w:p>
    <w:p w:rsidR="00224567" w:rsidRDefault="00224567">
      <w:pPr>
        <w:widowControl w:val="0"/>
      </w:pPr>
      <w:r>
        <w:tab/>
      </w:r>
      <w:r>
        <w:tab/>
        <w:t>En este punto, la abogada ente</w:t>
      </w:r>
      <w:r>
        <w:t>n</w:t>
      </w:r>
      <w:r>
        <w:t>dió que dicha circunstancia no violaba garantía alg</w:t>
      </w:r>
      <w:r>
        <w:t>u</w:t>
      </w:r>
      <w:r>
        <w:t>na, señalando que si bien los exhortos se dictaban para que un juez p</w:t>
      </w:r>
      <w:r>
        <w:t>u</w:t>
      </w:r>
      <w:r>
        <w:t>diera actuar en jurisdicción ajena, no eran n</w:t>
      </w:r>
      <w:r>
        <w:t>e</w:t>
      </w:r>
      <w:r>
        <w:t>cesarios en aquellos casos en los cuales resultaba evidente la exi</w:t>
      </w:r>
      <w:r>
        <w:t>s</w:t>
      </w:r>
      <w:r>
        <w:t>tencia de tareas interjurisdiccionales, como en materia de drogas o con relación al delito de secuestro extorsivo; razón por la cual estimó que  pretender nul</w:t>
      </w:r>
      <w:r>
        <w:t>i</w:t>
      </w:r>
      <w:r>
        <w:t>ficar un acto por la falta de un exhorto era un exceso de ritu</w:t>
      </w:r>
      <w:r>
        <w:t>a</w:t>
      </w:r>
      <w:r>
        <w:t>lismo.</w:t>
      </w:r>
    </w:p>
    <w:p w:rsidR="00224567" w:rsidRDefault="00224567">
      <w:pPr>
        <w:widowControl w:val="0"/>
      </w:pPr>
      <w:r>
        <w:tab/>
      </w:r>
      <w:r>
        <w:tab/>
        <w:t>Sin perjuicio de ello, la representa</w:t>
      </w:r>
      <w:r>
        <w:t>n</w:t>
      </w:r>
      <w:r>
        <w:t>te de la querella resaltó que la falta de exhorto no se encontraba sancionada con la pena de nulidad, motivo por el cual no podía hablarse en ese caso de una nulidad de carácter absoluta, considerando que de tratarse de una n</w:t>
      </w:r>
      <w:r>
        <w:t>u</w:t>
      </w:r>
      <w:r>
        <w:t>lidad relativa había precluido la posibilidad de interp</w:t>
      </w:r>
      <w:r>
        <w:t>o</w:t>
      </w:r>
      <w:r>
        <w:t>nerla.</w:t>
      </w:r>
    </w:p>
    <w:p w:rsidR="00224567" w:rsidRDefault="00224567">
      <w:pPr>
        <w:widowControl w:val="0"/>
      </w:pPr>
      <w:r>
        <w:tab/>
      </w:r>
      <w:r>
        <w:tab/>
        <w:t xml:space="preserve">En cuanto a la pretendida falta de fundamentación de la orden de allanamiento, </w:t>
      </w:r>
      <w:smartTag w:uri="urn:schemas-microsoft-com:office:smarttags" w:element="PersonName">
        <w:smartTagPr>
          <w:attr w:name="ProductID" w:val="La Dra. Nercellas"/>
        </w:smartTagPr>
        <w:r>
          <w:t>la Dra. Nerc</w:t>
        </w:r>
        <w:r>
          <w:t>e</w:t>
        </w:r>
        <w:r>
          <w:t>llas</w:t>
        </w:r>
      </w:smartTag>
      <w:r>
        <w:t xml:space="preserve"> sostuvo que aún cuando hubiera existido tiempo para confeccionar un auto más exte</w:t>
      </w:r>
      <w:r>
        <w:t>n</w:t>
      </w:r>
      <w:r>
        <w:t>so, ello tampoco generaba la nulidad del acto.</w:t>
      </w:r>
    </w:p>
    <w:p w:rsidR="00224567" w:rsidRDefault="00224567">
      <w:pPr>
        <w:widowControl w:val="0"/>
      </w:pPr>
      <w:r>
        <w:tab/>
      </w:r>
      <w:r>
        <w:tab/>
        <w:t>Al respecto, hizo referencia a juri</w:t>
      </w:r>
      <w:r>
        <w:t>s</w:t>
      </w:r>
      <w:r>
        <w:t xml:space="preserve">prudencia de </w:t>
      </w:r>
      <w:smartTag w:uri="urn:schemas-microsoft-com:office:smarttags" w:element="PersonName">
        <w:smartTagPr>
          <w:attr w:name="ProductID" w:val="la C￡mara Nacional"/>
        </w:smartTagPr>
        <w:r>
          <w:t>la Cámara Nacional</w:t>
        </w:r>
      </w:smartTag>
      <w:r>
        <w:t xml:space="preserve"> de </w:t>
      </w:r>
      <w:smartTag w:uri="urn:schemas-microsoft-com:office:smarttags" w:element="PersonName">
        <w:smartTagPr>
          <w:attr w:name="ProductID" w:val="la Casaci￳n Penal"/>
        </w:smartTagPr>
        <w:r>
          <w:t>la Casación Penal</w:t>
        </w:r>
      </w:smartTag>
      <w:r>
        <w:t xml:space="preserve"> que entendió que la fundamentación del auto de allanamiento podía surgir de otros actos procesales, siempre y cuando resultara que esa medida era su cons</w:t>
      </w:r>
      <w:r>
        <w:t>e</w:t>
      </w:r>
      <w:r>
        <w:t>cuencia directa.</w:t>
      </w:r>
    </w:p>
    <w:p w:rsidR="00224567" w:rsidRDefault="00224567">
      <w:pPr>
        <w:widowControl w:val="0"/>
      </w:pPr>
      <w:r>
        <w:tab/>
      </w:r>
      <w:r>
        <w:tab/>
        <w:t>En ese orden de ideas, indicó que el hallazgo del motor que había estado en poder de Telleldín y el hecho de que Ana Boragni acompañara un documento acreditando que Telleldín había vendido la camioneta, d</w:t>
      </w:r>
      <w:r>
        <w:t>a</w:t>
      </w:r>
      <w:r>
        <w:t>ban cuenta de la posibilidad de enco</w:t>
      </w:r>
      <w:r>
        <w:t>n</w:t>
      </w:r>
      <w:r>
        <w:t xml:space="preserve">trar en el domicilio allanado otras pruebas vinculadas a lo ocurrido en la sede de </w:t>
      </w:r>
      <w:smartTag w:uri="urn:schemas-microsoft-com:office:smarttags" w:element="PersonName">
        <w:smartTagPr>
          <w:attr w:name="ProductID" w:val="la A.M"/>
        </w:smartTagPr>
        <w:r>
          <w:t>la A.M</w:t>
        </w:r>
      </w:smartTag>
      <w:r>
        <w:t>.I.A. Por lo ta</w:t>
      </w:r>
      <w:r>
        <w:t>n</w:t>
      </w:r>
      <w:r>
        <w:t>to, aún cuando el auto que ordenó el allanamiento era sumamente escueto, su justificación surgía de la lectura de las a</w:t>
      </w:r>
      <w:r>
        <w:t>c</w:t>
      </w:r>
      <w:r>
        <w:t>tuaciones.</w:t>
      </w:r>
    </w:p>
    <w:p w:rsidR="00224567" w:rsidRDefault="00224567">
      <w:pPr>
        <w:widowControl w:val="0"/>
      </w:pPr>
      <w:r>
        <w:tab/>
      </w:r>
      <w:r>
        <w:tab/>
        <w:t>Al analizar la nulidad de la incorp</w:t>
      </w:r>
      <w:r>
        <w:t>o</w:t>
      </w:r>
      <w:r>
        <w:t xml:space="preserve">ración como prueba al proceso del papel que reza “Embajada Islámica de Irán”, invocada por la defensa de Telleldín, </w:t>
      </w:r>
      <w:smartTag w:uri="urn:schemas-microsoft-com:office:smarttags" w:element="PersonName">
        <w:smartTagPr>
          <w:attr w:name="ProductID" w:val="La Dra. Nercellas"/>
        </w:smartTagPr>
        <w:r>
          <w:t>la Dra. Ne</w:t>
        </w:r>
        <w:r>
          <w:t>r</w:t>
        </w:r>
        <w:r>
          <w:t>cellas</w:t>
        </w:r>
      </w:smartTag>
      <w:r>
        <w:t xml:space="preserve"> indicó que el hecho de que en las actas de secue</w:t>
      </w:r>
      <w:r>
        <w:t>s</w:t>
      </w:r>
      <w:r>
        <w:t>tro no se identificara cada uno de los elementos habidos, no significaba que los mismos no pudieran ser v</w:t>
      </w:r>
      <w:r>
        <w:t>a</w:t>
      </w:r>
      <w:r>
        <w:t>lor</w:t>
      </w:r>
      <w:r>
        <w:t>a</w:t>
      </w:r>
      <w:r>
        <w:t>dos, máxime cuando los testigos de actuación –Gotta y Vázquez- manifestaron en el ju</w:t>
      </w:r>
      <w:r>
        <w:t>i</w:t>
      </w:r>
      <w:r>
        <w:t>cio haber visto el papel en cue</w:t>
      </w:r>
      <w:r>
        <w:t>s</w:t>
      </w:r>
      <w:r>
        <w:t>tión.</w:t>
      </w:r>
    </w:p>
    <w:p w:rsidR="00224567" w:rsidRDefault="00224567">
      <w:pPr>
        <w:widowControl w:val="0"/>
      </w:pPr>
      <w:r>
        <w:tab/>
      </w:r>
      <w:r>
        <w:tab/>
        <w:t>Manifestó que si bien fue cue</w:t>
      </w:r>
      <w:r>
        <w:t>s</w:t>
      </w:r>
      <w:r>
        <w:t>tionada la credibilidad de aquellos testigos, los nombrados se e</w:t>
      </w:r>
      <w:r>
        <w:t>n</w:t>
      </w:r>
      <w:r>
        <w:t>contraban en el velorio de su s</w:t>
      </w:r>
      <w:r>
        <w:t>o</w:t>
      </w:r>
      <w:r>
        <w:t>brino y fueron convocados a participar de un proceso sobre el cual no tenían ningún tipo de interés, concluyendo que sus dichos permitieron reconstruir el secuestro del papel, habilitando su inco</w:t>
      </w:r>
      <w:r>
        <w:t>r</w:t>
      </w:r>
      <w:r>
        <w:t>poración al proceso.</w:t>
      </w:r>
    </w:p>
    <w:p w:rsidR="00224567" w:rsidRDefault="00224567">
      <w:pPr>
        <w:widowControl w:val="0"/>
      </w:pPr>
      <w:r>
        <w:tab/>
      </w:r>
      <w:r>
        <w:tab/>
        <w:t xml:space="preserve">Seguidamente, </w:t>
      </w:r>
      <w:smartTag w:uri="urn:schemas-microsoft-com:office:smarttags" w:element="PersonName">
        <w:smartTagPr>
          <w:attr w:name="ProductID" w:val="La Dra. Nercellas"/>
        </w:smartTagPr>
        <w:r>
          <w:t>la Dra. Nerc</w:t>
        </w:r>
        <w:r>
          <w:t>e</w:t>
        </w:r>
        <w:r>
          <w:t>llas</w:t>
        </w:r>
      </w:smartTag>
      <w:r>
        <w:t xml:space="preserve"> pasó a examinar la nulidad de las declaraciones indagatorias prestadas por Carlos Alberto Telleldín en julio y agosto de 1994, fundadas en la circunstancia de que el Dr. G</w:t>
      </w:r>
      <w:r>
        <w:t>a</w:t>
      </w:r>
      <w:r>
        <w:t>leano no había asentado en aquellos actos las manifest</w:t>
      </w:r>
      <w:r>
        <w:t>a</w:t>
      </w:r>
      <w:r>
        <w:t>ciones realizadas por el imputado, relacionadas con la e</w:t>
      </w:r>
      <w:r>
        <w:t>x</w:t>
      </w:r>
      <w:r>
        <w:t xml:space="preserve">torsión que había sufrido por parte de personal de </w:t>
      </w:r>
      <w:smartTag w:uri="urn:schemas-microsoft-com:office:smarttags" w:element="PersonName">
        <w:smartTagPr>
          <w:attr w:name="ProductID" w:val="la Brigada"/>
        </w:smartTagPr>
        <w:r>
          <w:t>la Br</w:t>
        </w:r>
        <w:r>
          <w:t>i</w:t>
        </w:r>
        <w:r>
          <w:t>gada</w:t>
        </w:r>
      </w:smartTag>
      <w:r>
        <w:t xml:space="preserve"> de Lanús.</w:t>
      </w:r>
    </w:p>
    <w:p w:rsidR="00224567" w:rsidRDefault="00224567">
      <w:pPr>
        <w:widowControl w:val="0"/>
      </w:pPr>
      <w:r>
        <w:tab/>
      </w:r>
      <w:r>
        <w:tab/>
        <w:t>En este punto, le llamó poder</w:t>
      </w:r>
      <w:r>
        <w:t>o</w:t>
      </w:r>
      <w:r>
        <w:t>samente la atención que la circunstancia antes menci</w:t>
      </w:r>
      <w:r>
        <w:t>o</w:t>
      </w:r>
      <w:r>
        <w:t>nada no haya sido relatada por Telleldín ante el Tribunal y que sus d</w:t>
      </w:r>
      <w:r>
        <w:t>e</w:t>
      </w:r>
      <w:r>
        <w:t>fensoras recordaran que su asistido había dicho algo que no se encontraba volcado en sus declaraciones, luego de diez años y después de haber oído que la querella unific</w:t>
      </w:r>
      <w:r>
        <w:t>a</w:t>
      </w:r>
      <w:r>
        <w:t>da había valorado la omisión de Telleldín en mencionar a la brigada antes cit</w:t>
      </w:r>
      <w:r>
        <w:t>a</w:t>
      </w:r>
      <w:r>
        <w:t>da.</w:t>
      </w:r>
    </w:p>
    <w:p w:rsidR="00224567" w:rsidRDefault="00224567">
      <w:pPr>
        <w:widowControl w:val="0"/>
      </w:pPr>
      <w:r>
        <w:tab/>
      </w:r>
      <w:r>
        <w:tab/>
        <w:t>Por todo ello, entendió que las nul</w:t>
      </w:r>
      <w:r>
        <w:t>i</w:t>
      </w:r>
      <w:r>
        <w:t>dades pla</w:t>
      </w:r>
      <w:r>
        <w:t>n</w:t>
      </w:r>
      <w:r>
        <w:t>teadas debían ser rechazadas.</w:t>
      </w:r>
    </w:p>
    <w:p w:rsidR="00224567" w:rsidRDefault="00224567">
      <w:pPr>
        <w:widowControl w:val="0"/>
      </w:pPr>
      <w:r>
        <w:tab/>
      </w:r>
      <w:r>
        <w:tab/>
      </w:r>
      <w:r w:rsidRPr="003442D4">
        <w:rPr>
          <w:highlight w:val="yellow"/>
        </w:rPr>
        <w:t xml:space="preserve">Luego, </w:t>
      </w:r>
      <w:smartTag w:uri="urn:schemas-microsoft-com:office:smarttags" w:element="PersonName">
        <w:smartTagPr>
          <w:attr w:name="ProductID" w:val="La Dra. Nercellas"/>
        </w:smartTagPr>
        <w:r w:rsidRPr="003442D4">
          <w:rPr>
            <w:highlight w:val="yellow"/>
          </w:rPr>
          <w:t>la Dra. Nercellas</w:t>
        </w:r>
      </w:smartTag>
      <w:r w:rsidRPr="003442D4">
        <w:rPr>
          <w:highlight w:val="yellow"/>
        </w:rPr>
        <w:t xml:space="preserve"> analizó en forma conjunta los planteos de nulidad de la declaración indagatoria prestada por Carlos Alberto Telle</w:t>
      </w:r>
      <w:r w:rsidRPr="003442D4">
        <w:rPr>
          <w:highlight w:val="yellow"/>
        </w:rPr>
        <w:t>l</w:t>
      </w:r>
      <w:r w:rsidRPr="003442D4">
        <w:rPr>
          <w:highlight w:val="yellow"/>
        </w:rPr>
        <w:t>dín del 5 de julio de 1996 y de todos los actos que fueron su cons</w:t>
      </w:r>
      <w:r w:rsidRPr="003442D4">
        <w:rPr>
          <w:highlight w:val="yellow"/>
        </w:rPr>
        <w:t>e</w:t>
      </w:r>
      <w:r w:rsidRPr="003442D4">
        <w:rPr>
          <w:highlight w:val="yellow"/>
        </w:rPr>
        <w:t>cuencia que, con distintos matices introdujeron las defe</w:t>
      </w:r>
      <w:r w:rsidRPr="003442D4">
        <w:rPr>
          <w:highlight w:val="yellow"/>
        </w:rPr>
        <w:t>n</w:t>
      </w:r>
      <w:r w:rsidRPr="003442D4">
        <w:rPr>
          <w:highlight w:val="yellow"/>
        </w:rPr>
        <w:t>sas de Telleldín, Pérez, Jaimes, Huici, Burguete, Casas, Toledo, Bareiro, Bacigalupo, Cruz, Arancibia y Leal; la nulidad de las declaraciones testimoniales vertidas con motivo de aquella declaración indagatoria y que fueron v</w:t>
      </w:r>
      <w:r w:rsidRPr="003442D4">
        <w:rPr>
          <w:highlight w:val="yellow"/>
        </w:rPr>
        <w:t>a</w:t>
      </w:r>
      <w:r w:rsidRPr="003442D4">
        <w:rPr>
          <w:highlight w:val="yellow"/>
        </w:rPr>
        <w:t>loradas por la fiscalía en su alegato, solicitada por la defensa de Ribelli,</w:t>
      </w:r>
      <w:r>
        <w:t xml:space="preserve"> y la nulidad de todo lo actuado a pa</w:t>
      </w:r>
      <w:r>
        <w:t>r</w:t>
      </w:r>
      <w:r>
        <w:t>tir del pago a Telleldín, invocada por las defensas de R</w:t>
      </w:r>
      <w:r>
        <w:t>i</w:t>
      </w:r>
      <w:r>
        <w:t>belli y Leal.</w:t>
      </w:r>
    </w:p>
    <w:p w:rsidR="00224567" w:rsidRDefault="00224567">
      <w:pPr>
        <w:widowControl w:val="0"/>
      </w:pPr>
      <w:r>
        <w:tab/>
      </w:r>
      <w:r>
        <w:tab/>
        <w:t>Al respecto, la representante de la querella sostuvo que si bien la declaración de Telleldín se encontraba contaminada y podía ser calificada con adj</w:t>
      </w:r>
      <w:r>
        <w:t>e</w:t>
      </w:r>
      <w:r>
        <w:t>tivos desagradables, no podía decirse que el imputado h</w:t>
      </w:r>
      <w:r>
        <w:t>a</w:t>
      </w:r>
      <w:r>
        <w:t>bía sido coaccionado a d</w:t>
      </w:r>
      <w:r>
        <w:t>e</w:t>
      </w:r>
      <w:r>
        <w:t>clarar.</w:t>
      </w:r>
    </w:p>
    <w:p w:rsidR="00224567" w:rsidRDefault="00224567">
      <w:pPr>
        <w:widowControl w:val="0"/>
      </w:pPr>
      <w:r>
        <w:tab/>
      </w:r>
      <w:r>
        <w:tab/>
        <w:t>En ese sentido, entendió que el enca</w:t>
      </w:r>
      <w:r>
        <w:t>u</w:t>
      </w:r>
      <w:r>
        <w:t>sado fue libre para declarar y que incluso manejó los tiempos de su deposición, máxime cuando recibió un pago por ello.</w:t>
      </w:r>
    </w:p>
    <w:p w:rsidR="00224567" w:rsidRDefault="00224567">
      <w:pPr>
        <w:widowControl w:val="0"/>
      </w:pPr>
      <w:r>
        <w:tab/>
      </w:r>
      <w:r>
        <w:tab/>
        <w:t>Por otra parte, consideró que no podía hablarse de una coacción por cuanto no se había evidenci</w:t>
      </w:r>
      <w:r>
        <w:t>a</w:t>
      </w:r>
      <w:r>
        <w:t>do cuál era el mal que le deparaba a Telleldín, circun</w:t>
      </w:r>
      <w:r>
        <w:t>s</w:t>
      </w:r>
      <w:r>
        <w:t>tancia que no podía consistir en el hecho de no r</w:t>
      </w:r>
      <w:r>
        <w:t>e</w:t>
      </w:r>
      <w:r>
        <w:t>cibir el pago.</w:t>
      </w:r>
    </w:p>
    <w:p w:rsidR="00224567" w:rsidRDefault="00224567">
      <w:pPr>
        <w:widowControl w:val="0"/>
      </w:pPr>
      <w:r>
        <w:tab/>
      </w:r>
      <w:r>
        <w:tab/>
        <w:t>Estimó que de acuerdo a las d</w:t>
      </w:r>
      <w:r>
        <w:t>e</w:t>
      </w:r>
      <w:r>
        <w:t>fensoras del nombrado el mal consistió en el e</w:t>
      </w:r>
      <w:r>
        <w:t>s</w:t>
      </w:r>
      <w:r>
        <w:t>crito presentado por los fiscales, a través del cual solicitaron la detención de Ana Boragni. Sin embargo, se preguntó de dónde surgía que por la declaración de Telle</w:t>
      </w:r>
      <w:r>
        <w:t>l</w:t>
      </w:r>
      <w:r>
        <w:t>dín, aquella detención no iba a ser igualmente requer</w:t>
      </w:r>
      <w:r>
        <w:t>i</w:t>
      </w:r>
      <w:r>
        <w:t>da, señalando que hasta el día de hoy, tanto el Ministerio Público Fiscal como la quer</w:t>
      </w:r>
      <w:r>
        <w:t>e</w:t>
      </w:r>
      <w:r>
        <w:t>lla unificada peticionaron la detención de Ana B</w:t>
      </w:r>
      <w:r>
        <w:t>o</w:t>
      </w:r>
      <w:r>
        <w:t>ragni por entender que había colaborado con su marido durante todo el proceso.</w:t>
      </w:r>
    </w:p>
    <w:p w:rsidR="00224567" w:rsidRDefault="00224567">
      <w:pPr>
        <w:widowControl w:val="0"/>
      </w:pPr>
      <w:r>
        <w:tab/>
      </w:r>
      <w:r>
        <w:tab/>
        <w:t>Tampoco consideró que el juez haya agregado o sugerido parte de la declaración de T</w:t>
      </w:r>
      <w:r>
        <w:t>e</w:t>
      </w:r>
      <w:r>
        <w:t>lleldín. No  obstante ello, aclaró que dicho acto no iba a ser v</w:t>
      </w:r>
      <w:r>
        <w:t>a</w:t>
      </w:r>
      <w:r>
        <w:t>lorado por la querella unificada por entender que se e</w:t>
      </w:r>
      <w:r>
        <w:t>n</w:t>
      </w:r>
      <w:r>
        <w:t>contraba contaminada a raíz la suma percibida por el imp</w:t>
      </w:r>
      <w:r>
        <w:t>u</w:t>
      </w:r>
      <w:r>
        <w:t>tado.</w:t>
      </w:r>
    </w:p>
    <w:p w:rsidR="00224567" w:rsidRDefault="00224567">
      <w:pPr>
        <w:widowControl w:val="0"/>
      </w:pPr>
      <w:r>
        <w:tab/>
      </w:r>
      <w:r>
        <w:tab/>
        <w:t>En cuanto al planteo de los d</w:t>
      </w:r>
      <w:r>
        <w:t>e</w:t>
      </w:r>
      <w:r>
        <w:t>fensores de los policías imputados, que manifest</w:t>
      </w:r>
      <w:r>
        <w:t>a</w:t>
      </w:r>
      <w:r>
        <w:t>ron haber sufrido un gravamen a causa de la declaración de Telleldín, y p</w:t>
      </w:r>
      <w:r>
        <w:t>e</w:t>
      </w:r>
      <w:r>
        <w:t xml:space="preserve">ticionaron la nulidad de distintos actos que fueron su consecuencia, </w:t>
      </w:r>
      <w:smartTag w:uri="urn:schemas-microsoft-com:office:smarttags" w:element="PersonName">
        <w:smartTagPr>
          <w:attr w:name="ProductID" w:val="La Dra. Nercellas"/>
        </w:smartTagPr>
        <w:r>
          <w:t>la Dra. Nercellas</w:t>
        </w:r>
      </w:smartTag>
      <w:r>
        <w:t xml:space="preserve"> precisó que no fue a pa</w:t>
      </w:r>
      <w:r>
        <w:t>r</w:t>
      </w:r>
      <w:r>
        <w:t>tir de esa declaración que se llegó a la policía bonaere</w:t>
      </w:r>
      <w:r>
        <w:t>n</w:t>
      </w:r>
      <w:r>
        <w:t>se, sino que ello fue a causa de diferentes actos que enumeró en su alegato, que fueron absolutamente indepe</w:t>
      </w:r>
      <w:r>
        <w:t>n</w:t>
      </w:r>
      <w:r>
        <w:t>dientes y anteriores a la declaración del 5 de julio de 1996.</w:t>
      </w:r>
    </w:p>
    <w:p w:rsidR="00224567" w:rsidRDefault="00224567">
      <w:pPr>
        <w:widowControl w:val="0"/>
      </w:pPr>
      <w:r>
        <w:tab/>
      </w:r>
      <w:r>
        <w:tab/>
        <w:t>También, refirió que al tie</w:t>
      </w:r>
      <w:r>
        <w:t>m</w:t>
      </w:r>
      <w:r>
        <w:t>po en que apareció el video que exhibía imágenes de Telleldín h</w:t>
      </w:r>
      <w:r>
        <w:t>a</w:t>
      </w:r>
      <w:r>
        <w:t>blando con el juez acerca de cómo habían sucedido los h</w:t>
      </w:r>
      <w:r>
        <w:t>e</w:t>
      </w:r>
      <w:r>
        <w:t>chos, la causa “Brigadas” ya tenía ocho cuerpos y en ella había pruebas suficientes como para citar a los p</w:t>
      </w:r>
      <w:r>
        <w:t>o</w:t>
      </w:r>
      <w:r>
        <w:t>licías a dar explic</w:t>
      </w:r>
      <w:r>
        <w:t>a</w:t>
      </w:r>
      <w:r>
        <w:t>ciones.</w:t>
      </w:r>
    </w:p>
    <w:p w:rsidR="00224567" w:rsidRDefault="00224567">
      <w:pPr>
        <w:widowControl w:val="0"/>
      </w:pPr>
      <w:r>
        <w:tab/>
      </w:r>
      <w:r>
        <w:tab/>
        <w:t>Señaló que en su segunda indagatoria Telleldín nombró a los miembros de la policía bonaerense que lo habían extorsionado y la protección que recibía de otros, identificando a Barreda y B</w:t>
      </w:r>
      <w:r>
        <w:t>a</w:t>
      </w:r>
      <w:r>
        <w:t>reiro; el 9 de junio de 1995 el juez Galeano libró un oficio a Klodczyk solicitá</w:t>
      </w:r>
      <w:r>
        <w:t>n</w:t>
      </w:r>
      <w:r>
        <w:t>dole una descripción minuciosa del entorno de Telleldín, tarea para la cual fue designado Verón, quien el 28 de j</w:t>
      </w:r>
      <w:r>
        <w:t>u</w:t>
      </w:r>
      <w:r>
        <w:t>nio de 1995 admitió tener conocimiento de los procedimie</w:t>
      </w:r>
      <w:r>
        <w:t>n</w:t>
      </w:r>
      <w:r>
        <w:t>tos llevados a cabo en Lanús y Vicente L</w:t>
      </w:r>
      <w:r>
        <w:t>ó</w:t>
      </w:r>
      <w:r>
        <w:t>pez.</w:t>
      </w:r>
    </w:p>
    <w:p w:rsidR="00224567" w:rsidRDefault="00224567">
      <w:pPr>
        <w:widowControl w:val="0"/>
      </w:pPr>
      <w:r>
        <w:tab/>
      </w:r>
      <w:r>
        <w:tab/>
        <w:t xml:space="preserve">Además, indicó que el 16 de julio de 1995 Telleldín formuló declaraciones ante el periodista Román Lejtman, vinculando a los oficiales de </w:t>
      </w:r>
      <w:smartTag w:uri="urn:schemas-microsoft-com:office:smarttags" w:element="PersonName">
        <w:smartTagPr>
          <w:attr w:name="ProductID" w:val="la Polic￭a Bonaerense"/>
        </w:smartTagPr>
        <w:r>
          <w:t>la Policía Bonaerense</w:t>
        </w:r>
      </w:smartTag>
      <w:r>
        <w:t xml:space="preserve"> en el atentado y destacó las notas  periodíst</w:t>
      </w:r>
      <w:r>
        <w:t>i</w:t>
      </w:r>
      <w:r>
        <w:t xml:space="preserve">cas publicadas en el diario “Página </w:t>
      </w:r>
      <w:smartTag w:uri="urn:schemas-microsoft-com:office:smarttags" w:element="metricconverter">
        <w:smartTagPr>
          <w:attr w:name="ProductID" w:val="12”"/>
        </w:smartTagPr>
        <w:r>
          <w:t>12”</w:t>
        </w:r>
      </w:smartTag>
      <w:r>
        <w:t>, en las ediciones de los días 8, 9 y 15 de junio, 16 y 25 de julio, 31 de ago</w:t>
      </w:r>
      <w:r>
        <w:t>s</w:t>
      </w:r>
      <w:r>
        <w:t>to, 27 de septiembre, 1, 3, 26 y 28 de octubre y 3 de noviembre, todas del año de 1995, que comentaban declar</w:t>
      </w:r>
      <w:r>
        <w:t>a</w:t>
      </w:r>
      <w:r>
        <w:t>ciones que libremente Telleldín había prestado ante los periodi</w:t>
      </w:r>
      <w:r>
        <w:t>s</w:t>
      </w:r>
      <w:r>
        <w:t>tas Lejtman y Kollmann.</w:t>
      </w:r>
    </w:p>
    <w:p w:rsidR="00224567" w:rsidRDefault="00224567">
      <w:pPr>
        <w:widowControl w:val="0"/>
      </w:pPr>
      <w:r>
        <w:t xml:space="preserve"> </w:t>
      </w:r>
      <w:r>
        <w:tab/>
      </w:r>
      <w:r>
        <w:tab/>
        <w:t xml:space="preserve">Posteriormente, </w:t>
      </w:r>
      <w:smartTag w:uri="urn:schemas-microsoft-com:office:smarttags" w:element="PersonName">
        <w:smartTagPr>
          <w:attr w:name="ProductID" w:val="La Dra. Nercellas"/>
        </w:smartTagPr>
        <w:r>
          <w:t>la Dra. Nercellas</w:t>
        </w:r>
      </w:smartTag>
      <w:r>
        <w:t xml:space="preserve"> al</w:t>
      </w:r>
      <w:r>
        <w:t>u</w:t>
      </w:r>
      <w:r>
        <w:t xml:space="preserve">dió al acto conmemorativo del atentado a la sede de </w:t>
      </w:r>
      <w:smartTag w:uri="urn:schemas-microsoft-com:office:smarttags" w:element="PersonName">
        <w:smartTagPr>
          <w:attr w:name="ProductID" w:val="la A.M"/>
        </w:smartTagPr>
        <w:r>
          <w:t>la A.M</w:t>
        </w:r>
      </w:smartTag>
      <w:r>
        <w:t xml:space="preserve">.I.A. del 18 de julio de 1995, en el cual el presidente de </w:t>
      </w:r>
      <w:smartTag w:uri="urn:schemas-microsoft-com:office:smarttags" w:element="PersonName">
        <w:smartTagPr>
          <w:attr w:name="ProductID" w:val="la D.A"/>
        </w:smartTagPr>
        <w:r>
          <w:t>la D.A</w:t>
        </w:r>
      </w:smartTag>
      <w:r>
        <w:t>.I.A. hizo referencia a la existencia de conexi</w:t>
      </w:r>
      <w:r>
        <w:t>o</w:t>
      </w:r>
      <w:r>
        <w:t xml:space="preserve">nes entre Telleldín y </w:t>
      </w:r>
      <w:smartTag w:uri="urn:schemas-microsoft-com:office:smarttags" w:element="PersonName">
        <w:smartTagPr>
          <w:attr w:name="ProductID" w:val="la Polic￭a Bonaerense"/>
        </w:smartTagPr>
        <w:r>
          <w:t>la Policía Bonaerense</w:t>
        </w:r>
      </w:smartTag>
      <w:r>
        <w:t xml:space="preserve"> y a la ci</w:t>
      </w:r>
      <w:r>
        <w:t>r</w:t>
      </w:r>
      <w:r>
        <w:t>cunstancia de que al día siguiente, diversos dirigentes comunitarios le solicitaron a Klodczyk que profundizara la investigación con relación a aquellos funcion</w:t>
      </w:r>
      <w:r>
        <w:t>a</w:t>
      </w:r>
      <w:r>
        <w:t>rios.</w:t>
      </w:r>
    </w:p>
    <w:p w:rsidR="00224567" w:rsidRDefault="00224567">
      <w:pPr>
        <w:widowControl w:val="0"/>
      </w:pPr>
      <w:r>
        <w:tab/>
      </w:r>
      <w:r>
        <w:tab/>
        <w:t>Del mismo modo, la represe</w:t>
      </w:r>
      <w:r>
        <w:t>n</w:t>
      </w:r>
      <w:r>
        <w:t xml:space="preserve">tante de la querella mencionó que el 21 de julio de 1995 Verón elevó actuaciones a </w:t>
      </w:r>
      <w:smartTag w:uri="urn:schemas-microsoft-com:office:smarttags" w:element="PersonName">
        <w:smartTagPr>
          <w:attr w:name="ProductID" w:val="la Direcci￳n General"/>
        </w:smartTagPr>
        <w:r>
          <w:t>la Dirección General</w:t>
        </w:r>
      </w:smartTag>
      <w:r>
        <w:t xml:space="preserve"> de Asuntos Judiciales para iniciar los sumarios administrativos y j</w:t>
      </w:r>
      <w:r>
        <w:t>u</w:t>
      </w:r>
      <w:r>
        <w:t>diciales en contra de los policías que habían sido mencionados en las notas periodíst</w:t>
      </w:r>
      <w:r>
        <w:t>i</w:t>
      </w:r>
      <w:r>
        <w:t xml:space="preserve">cas antes citadas y que el 15 de agosto de 1995 apareció la primera manifestación de </w:t>
      </w:r>
      <w:smartTag w:uri="urn:schemas-microsoft-com:office:smarttags" w:element="PersonName">
        <w:smartTagPr>
          <w:attr w:name="ProductID" w:val="la Dra. Riva"/>
        </w:smartTagPr>
        <w:r>
          <w:t>la Dra. Riva</w:t>
        </w:r>
      </w:smartTag>
      <w:r>
        <w:t xml:space="preserve"> Aramayo donde comentó la información que recibió de T</w:t>
      </w:r>
      <w:r>
        <w:t>e</w:t>
      </w:r>
      <w:r>
        <w:t>lleldín.</w:t>
      </w:r>
    </w:p>
    <w:p w:rsidR="00224567" w:rsidRDefault="00224567">
      <w:pPr>
        <w:widowControl w:val="0"/>
      </w:pPr>
      <w:r>
        <w:tab/>
        <w:t>Asimismo, hizo mención al acta del 24 de agosto de 1995, de la cual se desprendía que Telle</w:t>
      </w:r>
      <w:r>
        <w:t>l</w:t>
      </w:r>
      <w:r>
        <w:t xml:space="preserve">dín le había dicho a </w:t>
      </w:r>
      <w:smartTag w:uri="urn:schemas-microsoft-com:office:smarttags" w:element="PersonName">
        <w:smartTagPr>
          <w:attr w:name="ProductID" w:val="la Dra. Riva"/>
        </w:smartTagPr>
        <w:r>
          <w:t>la Dra. Riva</w:t>
        </w:r>
      </w:smartTag>
      <w:r>
        <w:t xml:space="preserve"> Aramayo que miembros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habían sido qui</w:t>
      </w:r>
      <w:r>
        <w:t>e</w:t>
      </w:r>
      <w:r>
        <w:t>nes recibieron la camioneta, uno de los cuales era un of</w:t>
      </w:r>
      <w:r>
        <w:t>i</w:t>
      </w:r>
      <w:r>
        <w:t>cial que usaba anteojos gruesos, gorra y cr</w:t>
      </w:r>
      <w:r>
        <w:t>e</w:t>
      </w:r>
      <w:r>
        <w:t>dencial verde, y otro era un oficial cuyo nombre, ap</w:t>
      </w:r>
      <w:r>
        <w:t>e</w:t>
      </w:r>
      <w:r>
        <w:t>llido o apodado era “Pino”, que se caracterizaba por usar una campera de cuero color beige claro.</w:t>
      </w:r>
    </w:p>
    <w:p w:rsidR="00224567" w:rsidRDefault="00224567">
      <w:pPr>
        <w:widowControl w:val="0"/>
      </w:pPr>
      <w:r>
        <w:tab/>
      </w:r>
      <w:r>
        <w:tab/>
        <w:t>Luego, citó el acta del 5 de septie</w:t>
      </w:r>
      <w:r>
        <w:t>m</w:t>
      </w:r>
      <w:r>
        <w:t>bre de 1995, en donde Telleldín agregó que el suboficial Pino era propietario de un automóvil Ford Galaxy, color azul y que al otro subcomisario le había entregado cuare</w:t>
      </w:r>
      <w:r>
        <w:t>n</w:t>
      </w:r>
      <w:r>
        <w:t>ta mil pesos el día 7 de abril de 1994, fecha en que lo había encañonado con su arma en la brigada de Lanús, e</w:t>
      </w:r>
      <w:r>
        <w:t>n</w:t>
      </w:r>
      <w:r>
        <w:t>contrándose en su rod</w:t>
      </w:r>
      <w:r>
        <w:t>a</w:t>
      </w:r>
      <w:r>
        <w:t>do junto con el nombrado Pino.</w:t>
      </w:r>
    </w:p>
    <w:p w:rsidR="00224567" w:rsidRDefault="00224567">
      <w:pPr>
        <w:widowControl w:val="0"/>
      </w:pPr>
      <w:r>
        <w:tab/>
      </w:r>
      <w:r>
        <w:tab/>
        <w:t>Acto seguido, la representante de la querella resa</w:t>
      </w:r>
      <w:r>
        <w:t>l</w:t>
      </w:r>
      <w:r>
        <w:t>tó que el 11 de agosto de 1995 se ordenó el pase a disponibilidad preventiva de Barreda y Bareiro y por esa misma fecha se comenzó a elaborar un manuscrito, cuyo contenido conocieron recién cuando el periodista R</w:t>
      </w:r>
      <w:r>
        <w:t>o</w:t>
      </w:r>
      <w:r>
        <w:t>mán Lejtman lo entregó. Además sostuvo que el 4 de oct</w:t>
      </w:r>
      <w:r>
        <w:t>u</w:t>
      </w:r>
      <w:r>
        <w:t>bre de 1995 el juez Galeano dispuso la acumulación por conex</w:t>
      </w:r>
      <w:r>
        <w:t>i</w:t>
      </w:r>
      <w:r>
        <w:t>dad del legajo “Brigadas” a la causa A.M.I.A. y señaló que en la declaración testimonial del 12 de octubre de 1995, Sandra Petrucci relató la extorsión sufrida por ella y T</w:t>
      </w:r>
      <w:r>
        <w:t>e</w:t>
      </w:r>
      <w:r>
        <w:t>lleldín el 4 de abril en la brigada de Lanús, menci</w:t>
      </w:r>
      <w:r>
        <w:t>o</w:t>
      </w:r>
      <w:r>
        <w:t>nando a Juan José Ribelli cuyo despacho describió a través de un croquis.</w:t>
      </w:r>
    </w:p>
    <w:p w:rsidR="00224567" w:rsidRDefault="00224567">
      <w:pPr>
        <w:widowControl w:val="0"/>
      </w:pPr>
      <w:r>
        <w:tab/>
      </w:r>
      <w:r>
        <w:tab/>
        <w:t xml:space="preserve">Por otra parte, </w:t>
      </w:r>
      <w:smartTag w:uri="urn:schemas-microsoft-com:office:smarttags" w:element="PersonName">
        <w:smartTagPr>
          <w:attr w:name="ProductID" w:val="La Dra. Nercellas"/>
        </w:smartTagPr>
        <w:r>
          <w:t>la Dra. Nerc</w:t>
        </w:r>
        <w:r>
          <w:t>e</w:t>
        </w:r>
        <w:r>
          <w:t>llas</w:t>
        </w:r>
      </w:smartTag>
      <w:r>
        <w:t xml:space="preserve"> hizo referencia al requerimiento de instrucción del fiscal Ba</w:t>
      </w:r>
      <w:r>
        <w:t>r</w:t>
      </w:r>
      <w:r>
        <w:t>baccia, a través del cual solicitó la i</w:t>
      </w:r>
      <w:r>
        <w:t>n</w:t>
      </w:r>
      <w:r>
        <w:t>vestigación de los policías bonaerenses, como también a todos los actos que con r</w:t>
      </w:r>
      <w:r>
        <w:t>e</w:t>
      </w:r>
      <w:r>
        <w:t>lación a aquella policía se dispusieron a partir del mes de junio de 1996, dest</w:t>
      </w:r>
      <w:r>
        <w:t>a</w:t>
      </w:r>
      <w:r>
        <w:t>cando que todo ello ocurrió con anterioridad a la declaración indagatoria de Telle</w:t>
      </w:r>
      <w:r>
        <w:t>l</w:t>
      </w:r>
      <w:r>
        <w:t>dín del mes de julio de 1996.</w:t>
      </w:r>
    </w:p>
    <w:p w:rsidR="00224567" w:rsidRDefault="00224567">
      <w:pPr>
        <w:widowControl w:val="0"/>
      </w:pPr>
      <w:r>
        <w:tab/>
      </w:r>
      <w:r>
        <w:tab/>
        <w:t>Estimó que Telleldín aprovechó la s</w:t>
      </w:r>
      <w:r>
        <w:t>i</w:t>
      </w:r>
      <w:r>
        <w:t>tuación para obtener un beneficio personal, brindando d</w:t>
      </w:r>
      <w:r>
        <w:t>a</w:t>
      </w:r>
      <w:r>
        <w:t>tos que no sólo resultaron irrelevantes para la causa, sino que la “confundieron”; todo ello para procurar darle una salida a sus socios que en ese momento se veía oblig</w:t>
      </w:r>
      <w:r>
        <w:t>a</w:t>
      </w:r>
      <w:r>
        <w:t>do a indiv</w:t>
      </w:r>
      <w:r>
        <w:t>i</w:t>
      </w:r>
      <w:r>
        <w:t>dualizar.</w:t>
      </w:r>
    </w:p>
    <w:p w:rsidR="00224567" w:rsidRDefault="00224567">
      <w:pPr>
        <w:widowControl w:val="0"/>
      </w:pPr>
      <w:r>
        <w:tab/>
      </w:r>
      <w:r>
        <w:tab/>
        <w:t>Calificó de premeditada la actuación de Telleldín que tuvo por objeto individualizar a los p</w:t>
      </w:r>
      <w:r>
        <w:t>o</w:t>
      </w:r>
      <w:r>
        <w:t>licías b</w:t>
      </w:r>
      <w:r>
        <w:t>o</w:t>
      </w:r>
      <w:r>
        <w:t>naerenses, entendiendo que el relato del nombrado fue realizado de forma tal que permitía revertir los h</w:t>
      </w:r>
      <w:r>
        <w:t>e</w:t>
      </w:r>
      <w:r>
        <w:t>chos y considerarlos como una prueba i</w:t>
      </w:r>
      <w:r>
        <w:t>n</w:t>
      </w:r>
      <w:r>
        <w:t>válida.</w:t>
      </w:r>
    </w:p>
    <w:p w:rsidR="00224567" w:rsidRDefault="00224567">
      <w:pPr>
        <w:widowControl w:val="0"/>
      </w:pPr>
      <w:r>
        <w:tab/>
      </w:r>
      <w:r>
        <w:tab/>
        <w:t>En este punto sostuvo que las nulid</w:t>
      </w:r>
      <w:r>
        <w:t>a</w:t>
      </w:r>
      <w:r>
        <w:t>des propuestas por los defensores de los policías podían ser resueltas echando mano a la teoría de las fuentes i</w:t>
      </w:r>
      <w:r>
        <w:t>n</w:t>
      </w:r>
      <w:r>
        <w:t>dependientes, modernamente llamada teoría del descubr</w:t>
      </w:r>
      <w:r>
        <w:t>i</w:t>
      </w:r>
      <w:r>
        <w:t xml:space="preserve">miento inevitable, a la cual </w:t>
      </w:r>
      <w:smartTag w:uri="urn:schemas-microsoft-com:office:smarttags" w:element="PersonName">
        <w:smartTagPr>
          <w:attr w:name="ProductID" w:val="la Corte Suprema"/>
        </w:smartTagPr>
        <w:r>
          <w:t>la Corte Suprema</w:t>
        </w:r>
      </w:smartTag>
      <w:r>
        <w:t xml:space="preserve"> de Estados Unidos se había referido al mencionar que una prueba obt</w:t>
      </w:r>
      <w:r>
        <w:t>e</w:t>
      </w:r>
      <w:r>
        <w:t>nida por medios no admitidos podía ser valorada si el h</w:t>
      </w:r>
      <w:r>
        <w:t>e</w:t>
      </w:r>
      <w:r>
        <w:t>cho al cual se había arribado mediante esa prueba ilíc</w:t>
      </w:r>
      <w:r>
        <w:t>i</w:t>
      </w:r>
      <w:r>
        <w:t>ta hubiera sido inevitablemente descubierto por medios líc</w:t>
      </w:r>
      <w:r>
        <w:t>i</w:t>
      </w:r>
      <w:r>
        <w:t>tos.</w:t>
      </w:r>
    </w:p>
    <w:p w:rsidR="00224567" w:rsidRDefault="00224567">
      <w:pPr>
        <w:widowControl w:val="0"/>
      </w:pPr>
      <w:r>
        <w:tab/>
      </w:r>
      <w:r>
        <w:tab/>
        <w:t xml:space="preserve">Agregó, que </w:t>
      </w:r>
      <w:smartTag w:uri="urn:schemas-microsoft-com:office:smarttags" w:element="PersonName">
        <w:smartTagPr>
          <w:attr w:name="ProductID" w:val="la Corte Suprema"/>
        </w:smartTagPr>
        <w:r>
          <w:t>la Corte Suprema</w:t>
        </w:r>
      </w:smartTag>
      <w:r>
        <w:t xml:space="preserve"> de Est</w:t>
      </w:r>
      <w:r>
        <w:t>a</w:t>
      </w:r>
      <w:r>
        <w:t>dos Unidos no requería de un plexo probatorio completo o indubitable que apoyara el juicio hipotético, sino la  preponderancia de la afirmación acerca de que el descubr</w:t>
      </w:r>
      <w:r>
        <w:t>i</w:t>
      </w:r>
      <w:r>
        <w:t>miento se prod</w:t>
      </w:r>
      <w:r>
        <w:t>u</w:t>
      </w:r>
      <w:r>
        <w:t>ciría de todos modos.</w:t>
      </w:r>
    </w:p>
    <w:p w:rsidR="00224567" w:rsidRDefault="00224567">
      <w:pPr>
        <w:widowControl w:val="0"/>
      </w:pPr>
      <w:r>
        <w:tab/>
      </w:r>
      <w:r>
        <w:tab/>
        <w:t xml:space="preserve">Precisó que nuestra Corte Suprema de Justicia de </w:t>
      </w:r>
      <w:smartTag w:uri="urn:schemas-microsoft-com:office:smarttags" w:element="PersonName">
        <w:smartTagPr>
          <w:attr w:name="ProductID" w:val="la Naci￳n"/>
        </w:smartTagPr>
        <w:r>
          <w:t>la Nación</w:t>
        </w:r>
      </w:smartTag>
      <w:r>
        <w:t xml:space="preserve"> se adhería a esta ú</w:t>
      </w:r>
      <w:r>
        <w:t>l</w:t>
      </w:r>
      <w:r>
        <w:t>tima teoría, al utilizar la fórmula de la supresión mental del acto vici</w:t>
      </w:r>
      <w:r>
        <w:t>a</w:t>
      </w:r>
      <w:r>
        <w:t>do, según la cual los actos que su</w:t>
      </w:r>
      <w:r>
        <w:t>r</w:t>
      </w:r>
      <w:r>
        <w:t>gían como consecuencia del acto viciado no caían si, supr</w:t>
      </w:r>
      <w:r>
        <w:t>i</w:t>
      </w:r>
      <w:r>
        <w:t>mido ese acto, se podía llegar a la misma conclusión.</w:t>
      </w:r>
    </w:p>
    <w:p w:rsidR="00224567" w:rsidRDefault="00224567">
      <w:pPr>
        <w:widowControl w:val="0"/>
      </w:pPr>
      <w:r>
        <w:tab/>
      </w:r>
      <w:r>
        <w:tab/>
        <w:t>Aplicado el principio enu</w:t>
      </w:r>
      <w:r>
        <w:t>n</w:t>
      </w:r>
      <w:r>
        <w:t xml:space="preserve">ciado a este caso, </w:t>
      </w:r>
      <w:smartTag w:uri="urn:schemas-microsoft-com:office:smarttags" w:element="PersonName">
        <w:smartTagPr>
          <w:attr w:name="ProductID" w:val="La Dra. Nercellas"/>
        </w:smartTagPr>
        <w:r>
          <w:t>la Dra. Nercellas</w:t>
        </w:r>
      </w:smartTag>
      <w:r>
        <w:t xml:space="preserve"> concluyó que de suprimirse la d</w:t>
      </w:r>
      <w:r>
        <w:t>e</w:t>
      </w:r>
      <w:r>
        <w:t>claración de Telleldín del 5 de julio de 1996 igualmente se podía llegar a los policías bonaerenses, dest</w:t>
      </w:r>
      <w:r>
        <w:t>a</w:t>
      </w:r>
      <w:r>
        <w:t>cando que ello fue justamente lo que hizo la querella unificada en su alegato. Por lo tanto, sostuvo que la nulidad de los actos que habían sido consecuencia de la declaración de Telleldín o realizados luego del pago al nombrado, debían ser rechaz</w:t>
      </w:r>
      <w:r>
        <w:t>a</w:t>
      </w:r>
      <w:r>
        <w:t>das.</w:t>
      </w:r>
    </w:p>
    <w:p w:rsidR="00224567" w:rsidRDefault="00224567">
      <w:pPr>
        <w:widowControl w:val="0"/>
      </w:pPr>
      <w:r>
        <w:tab/>
      </w:r>
      <w:r>
        <w:tab/>
        <w:t>Idéntica respuesta brindó con relación al planteo de nulidad de la declaración indagatoria de Ariel Nitzcaner prestada el 17 de enero de 1995 y de lo actuado en consecuencia, articulada por la defensa de T</w:t>
      </w:r>
      <w:r>
        <w:t>e</w:t>
      </w:r>
      <w:r>
        <w:t>lleldín.</w:t>
      </w:r>
    </w:p>
    <w:p w:rsidR="00224567" w:rsidRDefault="00224567">
      <w:pPr>
        <w:widowControl w:val="0"/>
      </w:pPr>
      <w:r>
        <w:tab/>
      </w:r>
      <w:r>
        <w:tab/>
        <w:t>Al respecto, estimó que una vez más las letradas del imputado pretendían neutralizar una pru</w:t>
      </w:r>
      <w:r>
        <w:t>e</w:t>
      </w:r>
      <w:r>
        <w:t>ba contundente en contra de su asistido, cuando la misma no había sido ni siquiera cuestionada por la defensa del propio Nitzcaner a quien no le hicieron decir algo dif</w:t>
      </w:r>
      <w:r>
        <w:t>e</w:t>
      </w:r>
      <w:r>
        <w:t>rente de lo que sabía, ni le modificaron su declaración.</w:t>
      </w:r>
    </w:p>
    <w:p w:rsidR="00224567" w:rsidRDefault="00224567">
      <w:pPr>
        <w:widowControl w:val="0"/>
      </w:pPr>
      <w:r>
        <w:tab/>
      </w:r>
      <w:r>
        <w:tab/>
        <w:t>Por último, sostuvo que la d</w:t>
      </w:r>
      <w:r>
        <w:t>e</w:t>
      </w:r>
      <w:r>
        <w:t>fensa de Telleldín había olvidado la declar</w:t>
      </w:r>
      <w:r>
        <w:t>a</w:t>
      </w:r>
      <w:r>
        <w:t>ción de Jouce quien, a pesar de no haber sido visitado por los fiscales ni otro funcionario judicial, se expidió de igual forma que Nit</w:t>
      </w:r>
      <w:r>
        <w:t>z</w:t>
      </w:r>
      <w:r>
        <w:t>caner.</w:t>
      </w:r>
    </w:p>
    <w:p w:rsidR="00224567" w:rsidRDefault="00224567">
      <w:pPr>
        <w:widowControl w:val="0"/>
      </w:pPr>
      <w:r>
        <w:tab/>
      </w:r>
      <w:r>
        <w:tab/>
        <w:t>Posteriormente, el Dr. Juan José Ávila continuó respondiendo a las nulidades introduc</w:t>
      </w:r>
      <w:r>
        <w:t>i</w:t>
      </w:r>
      <w:r>
        <w:t>das por las partes, expidiéndose con relación a la nulidad de la d</w:t>
      </w:r>
      <w:r>
        <w:t>e</w:t>
      </w:r>
      <w:r>
        <w:t>claración testimonial prestada en el debate por Miriam S</w:t>
      </w:r>
      <w:r>
        <w:t>a</w:t>
      </w:r>
      <w:r>
        <w:t>linas, i</w:t>
      </w:r>
      <w:r>
        <w:t>n</w:t>
      </w:r>
      <w:r>
        <w:t xml:space="preserve">terpuesta por la defensa de Telleldín. </w:t>
      </w:r>
    </w:p>
    <w:p w:rsidR="00224567" w:rsidRDefault="00224567">
      <w:pPr>
        <w:widowControl w:val="0"/>
      </w:pPr>
      <w:r>
        <w:tab/>
      </w:r>
      <w:r>
        <w:tab/>
        <w:t>Al respecto, el letrado solicitó su rechazo, remitiéndose –por razones de brevedad- a los a</w:t>
      </w:r>
      <w:r>
        <w:t>r</w:t>
      </w:r>
      <w:r>
        <w:t>gumentos esbozados en el escrito opo</w:t>
      </w:r>
      <w:r>
        <w:t>r</w:t>
      </w:r>
      <w:r>
        <w:t>tunamente presentado. No obstante ello, estimó que la testigo Salinas había d</w:t>
      </w:r>
      <w:r>
        <w:t>e</w:t>
      </w:r>
      <w:r>
        <w:t>clarado con absoluta libertad, sin que se la percibiera presionada ante el temor de incurrir en contradicciones con su declaración en sede in</w:t>
      </w:r>
      <w:r>
        <w:t>s</w:t>
      </w:r>
      <w:r>
        <w:t>tructoria que fue declarada nula o por agravar las condiciones procesales de su mar</w:t>
      </w:r>
      <w:r>
        <w:t>i</w:t>
      </w:r>
      <w:r>
        <w:t>do; prueba de lo cual fueron las contradicciones incurr</w:t>
      </w:r>
      <w:r>
        <w:t>i</w:t>
      </w:r>
      <w:r>
        <w:t>das por la nombrada durante el juicio con relación a su primigenia declaración, en donde incluso denunció las irregularidades de las que había sido objeto su có</w:t>
      </w:r>
      <w:r>
        <w:t>n</w:t>
      </w:r>
      <w:r>
        <w:t xml:space="preserve">yuge. </w:t>
      </w:r>
    </w:p>
    <w:p w:rsidR="00224567" w:rsidRDefault="00224567">
      <w:pPr>
        <w:widowControl w:val="0"/>
      </w:pPr>
      <w:r>
        <w:tab/>
      </w:r>
      <w:r>
        <w:tab/>
        <w:t>Asimismo, marcó el error inc</w:t>
      </w:r>
      <w:r>
        <w:t>u</w:t>
      </w:r>
      <w:r>
        <w:t>rrido por las defensoras de Telleldín al sostener que la querella unificada había valorado en su alegato la declaración te</w:t>
      </w:r>
      <w:r>
        <w:t>s</w:t>
      </w:r>
      <w:r>
        <w:t>timonial prestada por Miriam Salinas en sede in</w:t>
      </w:r>
      <w:r>
        <w:t>s</w:t>
      </w:r>
      <w:r>
        <w:t>tructoria, cuando sólo se merituaron los dichos vertidos por la no</w:t>
      </w:r>
      <w:r>
        <w:t>m</w:t>
      </w:r>
      <w:r>
        <w:t>brada d</w:t>
      </w:r>
      <w:r>
        <w:t>u</w:t>
      </w:r>
      <w:r>
        <w:t>rante el juicio.</w:t>
      </w:r>
    </w:p>
    <w:p w:rsidR="00224567" w:rsidRDefault="00224567">
      <w:pPr>
        <w:widowControl w:val="0"/>
      </w:pPr>
      <w:r>
        <w:tab/>
      </w:r>
      <w:r>
        <w:tab/>
        <w:t xml:space="preserve"> En cuanto a la nulidad de la declar</w:t>
      </w:r>
      <w:r>
        <w:t>a</w:t>
      </w:r>
      <w:r>
        <w:t>ción testimonial prestada por Ana María Boragni en julio de 1996 a</w:t>
      </w:r>
      <w:r>
        <w:t>n</w:t>
      </w:r>
      <w:r>
        <w:t>te la instrucción, de la prestada en este juicio y de todo lo actuado en consecuencia, invocada por la d</w:t>
      </w:r>
      <w:r>
        <w:t>e</w:t>
      </w:r>
      <w:r>
        <w:t>fensa de Telleldín, el Dr. Ávila petici</w:t>
      </w:r>
      <w:r>
        <w:t>o</w:t>
      </w:r>
      <w:r>
        <w:t>nó su rechazo.</w:t>
      </w:r>
    </w:p>
    <w:p w:rsidR="00224567" w:rsidRDefault="00224567">
      <w:pPr>
        <w:widowControl w:val="0"/>
      </w:pPr>
      <w:r>
        <w:tab/>
      </w:r>
      <w:r>
        <w:tab/>
        <w:t>En primer lugar, aclaró que el mero temor infundado de la defensa de Telleldín basado en que aquella declaración pudiera ser valorada en contra de su asistido, no autorizaba a declararla nula cuando aún la sentencia no había sido dictada.</w:t>
      </w:r>
    </w:p>
    <w:p w:rsidR="00224567" w:rsidRDefault="00224567">
      <w:pPr>
        <w:widowControl w:val="0"/>
      </w:pPr>
      <w:r>
        <w:tab/>
      </w:r>
      <w:r>
        <w:tab/>
        <w:t>Tampoco coincidió con las letr</w:t>
      </w:r>
      <w:r>
        <w:t>a</w:t>
      </w:r>
      <w:r>
        <w:t>das de Telleldín en que la querella unificada había valorado en su alegato la declaración de Boragni en contra de su co</w:t>
      </w:r>
      <w:r>
        <w:t>n</w:t>
      </w:r>
      <w:r>
        <w:t>cubino, entendiendo que si Telleldín m</w:t>
      </w:r>
      <w:r>
        <w:t>o</w:t>
      </w:r>
      <w:r>
        <w:t>dificaba su versión y su concubina no podía hacerlo por encontrarse bajo jur</w:t>
      </w:r>
      <w:r>
        <w:t>a</w:t>
      </w:r>
      <w:r>
        <w:t>mento era un problema de estrat</w:t>
      </w:r>
      <w:r>
        <w:t>e</w:t>
      </w:r>
      <w:r>
        <w:t>gia o de la sicología del imput</w:t>
      </w:r>
      <w:r>
        <w:t>a</w:t>
      </w:r>
      <w:r>
        <w:t>do.</w:t>
      </w:r>
    </w:p>
    <w:p w:rsidR="00224567" w:rsidRDefault="00224567">
      <w:pPr>
        <w:widowControl w:val="0"/>
      </w:pPr>
      <w:r>
        <w:tab/>
      </w:r>
      <w:r>
        <w:tab/>
        <w:t>Finalmente, el Dr. Ávila advi</w:t>
      </w:r>
      <w:r>
        <w:t>r</w:t>
      </w:r>
      <w:r>
        <w:t>tió que la versión de Boragni no le causaba a T</w:t>
      </w:r>
      <w:r>
        <w:t>e</w:t>
      </w:r>
      <w:r>
        <w:t>lleldín perjuicio alguno y que sólo revelaba el alineamiento de su defensa con la del resto de los policías d</w:t>
      </w:r>
      <w:r>
        <w:t>e</w:t>
      </w:r>
      <w:r>
        <w:t xml:space="preserve">tenidos. </w:t>
      </w:r>
    </w:p>
    <w:p w:rsidR="00224567" w:rsidRDefault="00224567">
      <w:pPr>
        <w:widowControl w:val="0"/>
      </w:pPr>
      <w:r>
        <w:tab/>
      </w:r>
      <w:r>
        <w:tab/>
        <w:t>Al expedirse con relación a la nulidad de la incorporación al proceso de las videocintas de Ca</w:t>
      </w:r>
      <w:r>
        <w:t>r</w:t>
      </w:r>
      <w:r>
        <w:t>los Alberto Telleldín del 10 de abril y 1º de julio de 1996, esgrimida por las abogadas del nombrado, el Dr. Áv</w:t>
      </w:r>
      <w:r>
        <w:t>i</w:t>
      </w:r>
      <w:r>
        <w:t>la aclaró que éste nunca dijo no haber consentido tales grabaciones, como lo pretendía demostrar su defensa. I</w:t>
      </w:r>
      <w:r>
        <w:t>n</w:t>
      </w:r>
      <w:r>
        <w:t>cluso, señaló que Telleldín consi</w:t>
      </w:r>
      <w:r>
        <w:t>n</w:t>
      </w:r>
      <w:r>
        <w:t>tió tal circunstancia al declarar ante el juez Cavallo y que también ello se de</w:t>
      </w:r>
      <w:r>
        <w:t>s</w:t>
      </w:r>
      <w:r>
        <w:t>prendía de una conversación mantenida entre los Dres. Stinfale y Cúneo Libarona.</w:t>
      </w:r>
    </w:p>
    <w:p w:rsidR="00224567" w:rsidRDefault="00224567">
      <w:pPr>
        <w:widowControl w:val="0"/>
      </w:pPr>
      <w:r>
        <w:tab/>
      </w:r>
      <w:r>
        <w:tab/>
        <w:t>Asimismo el representante de la quer</w:t>
      </w:r>
      <w:r>
        <w:t>e</w:t>
      </w:r>
      <w:r>
        <w:t>lla unificada subrayó que las partes siempre co</w:t>
      </w:r>
      <w:r>
        <w:t>n</w:t>
      </w:r>
      <w:r>
        <w:t>sintieron la incorporación de las filmaciones al deb</w:t>
      </w:r>
      <w:r>
        <w:t>a</w:t>
      </w:r>
      <w:r>
        <w:t>te, las cuales fueron reproducidas durante el ju</w:t>
      </w:r>
      <w:r>
        <w:t>i</w:t>
      </w:r>
      <w:r>
        <w:t>cio en varias ocasiones y las partes no formularon obj</w:t>
      </w:r>
      <w:r>
        <w:t>e</w:t>
      </w:r>
      <w:r>
        <w:t xml:space="preserve">ción alguna. </w:t>
      </w:r>
    </w:p>
    <w:p w:rsidR="00224567" w:rsidRDefault="00224567">
      <w:pPr>
        <w:widowControl w:val="0"/>
      </w:pPr>
      <w:r>
        <w:tab/>
      </w:r>
      <w:r>
        <w:tab/>
        <w:t>Además, destacó que, a su criterio, dichas cintas fueron valoradas en reiteradas oc</w:t>
      </w:r>
      <w:r>
        <w:t>a</w:t>
      </w:r>
      <w:r>
        <w:t>siones por la defensa de Telleldín en su alegato y pr</w:t>
      </w:r>
      <w:r>
        <w:t>o</w:t>
      </w:r>
      <w:r>
        <w:t>cedió a repetir frases textuales, empleadas por las letradas en aquella oportun</w:t>
      </w:r>
      <w:r>
        <w:t>i</w:t>
      </w:r>
      <w:r>
        <w:t>dad.</w:t>
      </w:r>
    </w:p>
    <w:p w:rsidR="00224567" w:rsidRDefault="00224567">
      <w:pPr>
        <w:widowControl w:val="0"/>
      </w:pPr>
      <w:r>
        <w:tab/>
      </w:r>
      <w:r>
        <w:tab/>
        <w:t>Por todo lo expuesto, el Dr. Ávila concluyó que la nulidad debía ser rechazada, no sólo por no encontrarse prevista en el Cód</w:t>
      </w:r>
      <w:r>
        <w:t>i</w:t>
      </w:r>
      <w:r>
        <w:t xml:space="preserve">go Procesal Penal de </w:t>
      </w:r>
      <w:smartTag w:uri="urn:schemas-microsoft-com:office:smarttags" w:element="PersonName">
        <w:smartTagPr>
          <w:attr w:name="ProductID" w:val="la Naci￳n"/>
        </w:smartTagPr>
        <w:r>
          <w:t>la Nación</w:t>
        </w:r>
      </w:smartTag>
      <w:r>
        <w:t>, sino también porque no se habían expresado las g</w:t>
      </w:r>
      <w:r>
        <w:t>a</w:t>
      </w:r>
      <w:r>
        <w:t>rantías de las que Telle</w:t>
      </w:r>
      <w:r>
        <w:t>l</w:t>
      </w:r>
      <w:r>
        <w:t>dín se pudo haber privado por la incorpor</w:t>
      </w:r>
      <w:r>
        <w:t>a</w:t>
      </w:r>
      <w:r>
        <w:t>ción de las videocintas al debate.</w:t>
      </w:r>
    </w:p>
    <w:p w:rsidR="00224567" w:rsidRDefault="00224567">
      <w:pPr>
        <w:widowControl w:val="0"/>
      </w:pPr>
      <w:r>
        <w:tab/>
      </w:r>
      <w:r>
        <w:tab/>
        <w:t xml:space="preserve"> Finalmente, co</w:t>
      </w:r>
      <w:r>
        <w:t>n</w:t>
      </w:r>
      <w:r>
        <w:t>sideró que las cintas habían quedado válidamente incorporadas al debate al ser introducidas por los imputados en sus decl</w:t>
      </w:r>
      <w:r>
        <w:t>a</w:t>
      </w:r>
      <w:r>
        <w:t>raciones.</w:t>
      </w:r>
    </w:p>
    <w:p w:rsidR="00224567" w:rsidRDefault="00224567">
      <w:pPr>
        <w:widowControl w:val="0"/>
      </w:pPr>
      <w:r>
        <w:tab/>
      </w:r>
      <w:r>
        <w:tab/>
        <w:t>Acto seguido, el abogado se pr</w:t>
      </w:r>
      <w:r>
        <w:t>o</w:t>
      </w:r>
      <w:r>
        <w:t>nunció con relación a la nulidad de la incorpor</w:t>
      </w:r>
      <w:r>
        <w:t>a</w:t>
      </w:r>
      <w:r>
        <w:t>ción al debate de las transcripciones de las escuchas de la l</w:t>
      </w:r>
      <w:r>
        <w:t>í</w:t>
      </w:r>
      <w:r>
        <w:t>nea 768-0902, planteada por la defensa de Barreda y Quinteros por no e</w:t>
      </w:r>
      <w:r>
        <w:t>n</w:t>
      </w:r>
      <w:r>
        <w:t>contrarse disponibles los casetes que hubieran permitido confrontar esas conversaciones, por faltarles la rúbrica del funcionario que las transcribió y por no haber sido incorporadas al proceso m</w:t>
      </w:r>
      <w:r>
        <w:t>e</w:t>
      </w:r>
      <w:r>
        <w:t>diante un acta.</w:t>
      </w:r>
    </w:p>
    <w:p w:rsidR="00224567" w:rsidRDefault="00224567">
      <w:pPr>
        <w:widowControl w:val="0"/>
      </w:pPr>
      <w:r>
        <w:tab/>
      </w:r>
      <w:r>
        <w:tab/>
        <w:t>En este punto, el represe</w:t>
      </w:r>
      <w:r>
        <w:t>n</w:t>
      </w:r>
      <w:r>
        <w:t>tante de la querella unificada sostuvo que las tres cuestiones intr</w:t>
      </w:r>
      <w:r>
        <w:t>o</w:t>
      </w:r>
      <w:r>
        <w:t>ducidas por el impugnante no eran nuevas, ya que conoc</w:t>
      </w:r>
      <w:r>
        <w:t>í</w:t>
      </w:r>
      <w:r>
        <w:t>an con anterioridad al inicio del debate. Por lo tanto, e</w:t>
      </w:r>
      <w:r>
        <w:t>n</w:t>
      </w:r>
      <w:r>
        <w:t>tendió que el planteo resultaba extemporáneo y citó lo r</w:t>
      </w:r>
      <w:r>
        <w:t>e</w:t>
      </w:r>
      <w:r>
        <w:t xml:space="preserve">suelto por </w:t>
      </w:r>
      <w:smartTag w:uri="urn:schemas-microsoft-com:office:smarttags" w:element="PersonName">
        <w:smartTagPr>
          <w:attr w:name="ProductID" w:val="la Sala II"/>
        </w:smartTagPr>
        <w:r>
          <w:t>la Sala II</w:t>
        </w:r>
      </w:smartTag>
      <w:r>
        <w:t xml:space="preserve"> de </w:t>
      </w:r>
      <w:smartTag w:uri="urn:schemas-microsoft-com:office:smarttags" w:element="PersonName">
        <w:smartTagPr>
          <w:attr w:name="ProductID" w:val="la C￡mara Nacional"/>
        </w:smartTagPr>
        <w:r>
          <w:t>la Cámara Nacional</w:t>
        </w:r>
      </w:smartTag>
      <w:r>
        <w:t xml:space="preserve"> de Casación Penal en la causa “Morales, Oscar” del 4 de mayo de 1998, que av</w:t>
      </w:r>
      <w:r>
        <w:t>a</w:t>
      </w:r>
      <w:r>
        <w:t xml:space="preserve">laba su postura. </w:t>
      </w:r>
    </w:p>
    <w:p w:rsidR="00224567" w:rsidRDefault="00224567">
      <w:pPr>
        <w:widowControl w:val="0"/>
      </w:pPr>
      <w:r>
        <w:tab/>
      </w:r>
      <w:r>
        <w:tab/>
        <w:t>Por otra parte, estimó que la cuestión ya se encontraba resuelta, toda vez que al ser planteada la nulidad durante el juicio, el Tribunal había resuelto confrontar a los testigos con aquellas desgrab</w:t>
      </w:r>
      <w:r>
        <w:t>a</w:t>
      </w:r>
      <w:r>
        <w:t>ciones.</w:t>
      </w:r>
    </w:p>
    <w:p w:rsidR="00224567" w:rsidRDefault="00224567">
      <w:pPr>
        <w:widowControl w:val="0"/>
      </w:pPr>
      <w:r>
        <w:tab/>
      </w:r>
      <w:r>
        <w:tab/>
        <w:t>No obstante ello entendió, en primer lugar, que la ausencia del registro de audio, si bien r</w:t>
      </w:r>
      <w:r>
        <w:t>e</w:t>
      </w:r>
      <w:r>
        <w:t>sultaba un hecho lamentable, no conllev</w:t>
      </w:r>
      <w:r>
        <w:t>a</w:t>
      </w:r>
      <w:r>
        <w:t>ba la declaración de nulidad de las transcripciones, en virtud de que exi</w:t>
      </w:r>
      <w:r>
        <w:t>s</w:t>
      </w:r>
      <w:r>
        <w:t>tían otros medios para confrontar su verosimilitud. En e</w:t>
      </w:r>
      <w:r>
        <w:t>s</w:t>
      </w:r>
      <w:r>
        <w:t>te caso, hizo referencia a la existencia de dos desgrab</w:t>
      </w:r>
      <w:r>
        <w:t>a</w:t>
      </w:r>
      <w:r>
        <w:t>ciones de la misma cinta, entendiendo que ello hacía pos</w:t>
      </w:r>
      <w:r>
        <w:t>i</w:t>
      </w:r>
      <w:r>
        <w:t>ble co</w:t>
      </w:r>
      <w:r>
        <w:t>n</w:t>
      </w:r>
      <w:r>
        <w:t>frontar su contenido.</w:t>
      </w:r>
    </w:p>
    <w:p w:rsidR="00224567" w:rsidRDefault="00224567">
      <w:pPr>
        <w:widowControl w:val="0"/>
      </w:pPr>
      <w:r>
        <w:tab/>
      </w:r>
      <w:r>
        <w:tab/>
        <w:t>También, precisó que no exi</w:t>
      </w:r>
      <w:r>
        <w:t>s</w:t>
      </w:r>
      <w:r>
        <w:t xml:space="preserve">tía norma alguna que conminara con nulidad la falta de firma del transcriptor de las conversaciones telefónicas; acto que no requería conocimiento especial ni formalidad alguna que, omitida, nulificara la desgrabación, tal como lo ha expresado </w:t>
      </w:r>
      <w:smartTag w:uri="urn:schemas-microsoft-com:office:smarttags" w:element="PersonName">
        <w:smartTagPr>
          <w:attr w:name="ProductID" w:val="la Sala II"/>
        </w:smartTagPr>
        <w:r>
          <w:t>la Sala II</w:t>
        </w:r>
      </w:smartTag>
      <w:r>
        <w:t xml:space="preserve"> de </w:t>
      </w:r>
      <w:smartTag w:uri="urn:schemas-microsoft-com:office:smarttags" w:element="PersonName">
        <w:smartTagPr>
          <w:attr w:name="ProductID" w:val="la C￡mara Nacional"/>
        </w:smartTagPr>
        <w:r>
          <w:t>la Cámara Nacional</w:t>
        </w:r>
      </w:smartTag>
      <w:r>
        <w:t xml:space="preserve"> de Casación P</w:t>
      </w:r>
      <w:r>
        <w:t>e</w:t>
      </w:r>
      <w:r>
        <w:t>nal que en la causa “Morales”, antes citada.</w:t>
      </w:r>
    </w:p>
    <w:p w:rsidR="00224567" w:rsidRDefault="00224567">
      <w:pPr>
        <w:widowControl w:val="0"/>
      </w:pPr>
      <w:r>
        <w:tab/>
      </w:r>
      <w:r>
        <w:tab/>
        <w:t xml:space="preserve">Por último, entendió que carecía de asidero el hecho de que las transcripciones no se habían incorporado mediante un acta, remitiéndose a lo señalado por </w:t>
      </w:r>
      <w:smartTag w:uri="urn:schemas-microsoft-com:office:smarttags" w:element="PersonName">
        <w:smartTagPr>
          <w:attr w:name="ProductID" w:val="La Dra. Nercellas"/>
        </w:smartTagPr>
        <w:r>
          <w:t>la Dra. Nercellas</w:t>
        </w:r>
      </w:smartTag>
      <w:r>
        <w:t xml:space="preserve"> cuando se e</w:t>
      </w:r>
      <w:r>
        <w:t>x</w:t>
      </w:r>
      <w:r>
        <w:t>pidió con relación a la exaltación de las formas proces</w:t>
      </w:r>
      <w:r>
        <w:t>a</w:t>
      </w:r>
      <w:r>
        <w:t xml:space="preserve">les. </w:t>
      </w:r>
    </w:p>
    <w:p w:rsidR="00224567" w:rsidRDefault="00224567">
      <w:pPr>
        <w:widowControl w:val="0"/>
      </w:pPr>
      <w:r>
        <w:tab/>
      </w:r>
      <w:r>
        <w:tab/>
        <w:t>Seguidamente, el Dr. Ávila an</w:t>
      </w:r>
      <w:r>
        <w:t>a</w:t>
      </w:r>
      <w:r>
        <w:t>lizó la nulidad de las fs. 114, 865, 866, 870 y de todo lo actuado en cons</w:t>
      </w:r>
      <w:r>
        <w:t>e</w:t>
      </w:r>
      <w:r>
        <w:t>cuencia, planteada por las defensas de Telleldín, Barreda y Quinteros.</w:t>
      </w:r>
    </w:p>
    <w:p w:rsidR="00224567" w:rsidRDefault="00224567">
      <w:pPr>
        <w:widowControl w:val="0"/>
      </w:pPr>
      <w:r>
        <w:tab/>
      </w:r>
      <w:r>
        <w:tab/>
        <w:t>Al respecto, puntualizó que las fs. 114, 865 y 870 no eran actos jurisdiccionales pas</w:t>
      </w:r>
      <w:r>
        <w:t>i</w:t>
      </w:r>
      <w:r>
        <w:t>bles de ser declarados nulos, por tratarse de informes o solicit</w:t>
      </w:r>
      <w:r>
        <w:t>u</w:t>
      </w:r>
      <w:r>
        <w:t>des de organismos de inteligencia o invest</w:t>
      </w:r>
      <w:r>
        <w:t>i</w:t>
      </w:r>
      <w:r>
        <w:t>gación.</w:t>
      </w:r>
    </w:p>
    <w:p w:rsidR="00224567" w:rsidRDefault="00224567">
      <w:pPr>
        <w:widowControl w:val="0"/>
      </w:pPr>
      <w:r>
        <w:tab/>
      </w:r>
      <w:r>
        <w:tab/>
        <w:t>Por lo tanto, manifestó que pr</w:t>
      </w:r>
      <w:r>
        <w:t>e</w:t>
      </w:r>
      <w:r>
        <w:t>tender la nulidad de dichos actos equivalía a d</w:t>
      </w:r>
      <w:r>
        <w:t>e</w:t>
      </w:r>
      <w:r>
        <w:t>clarar la nulidad de la co</w:t>
      </w:r>
      <w:r>
        <w:t>n</w:t>
      </w:r>
      <w:r>
        <w:t>testación de un oficio o pedido de alguna de las partes.</w:t>
      </w:r>
    </w:p>
    <w:p w:rsidR="00224567" w:rsidRDefault="00224567">
      <w:pPr>
        <w:widowControl w:val="0"/>
      </w:pPr>
      <w:r>
        <w:tab/>
      </w:r>
      <w:r>
        <w:tab/>
        <w:t>Remarcó que distinta era la s</w:t>
      </w:r>
      <w:r>
        <w:t>i</w:t>
      </w:r>
      <w:r>
        <w:t>tuación con relación a la foja 866, por tratarse de un acto juri</w:t>
      </w:r>
      <w:r>
        <w:t>s</w:t>
      </w:r>
      <w:r>
        <w:t>diccional. Sin embargo, estimó que la rect</w:t>
      </w:r>
      <w:r>
        <w:t>i</w:t>
      </w:r>
      <w:r>
        <w:t>ficación de la fecha por parte del magistrado había subsanado el d</w:t>
      </w:r>
      <w:r>
        <w:t>e</w:t>
      </w:r>
      <w:r>
        <w:t>fecto y que dicho auto había quedado firme.</w:t>
      </w:r>
    </w:p>
    <w:p w:rsidR="00224567" w:rsidRDefault="00224567">
      <w:pPr>
        <w:widowControl w:val="0"/>
      </w:pPr>
      <w:r>
        <w:tab/>
      </w:r>
      <w:r>
        <w:tab/>
        <w:t>Asimismo, hizo r</w:t>
      </w:r>
      <w:r>
        <w:t>e</w:t>
      </w:r>
      <w:r>
        <w:t xml:space="preserve">ferencia a lo normado en el art. 115 del Código Procesal Penal de </w:t>
      </w:r>
      <w:smartTag w:uri="urn:schemas-microsoft-com:office:smarttags" w:element="PersonName">
        <w:smartTagPr>
          <w:attr w:name="ProductID" w:val="la Naci￳n"/>
        </w:smartTagPr>
        <w:r>
          <w:t>la Nación</w:t>
        </w:r>
      </w:smartTag>
      <w:r>
        <w:t>, e</w:t>
      </w:r>
      <w:r>
        <w:t>n</w:t>
      </w:r>
      <w:r>
        <w:t>tendiendo que en este caso la fecha del auto de fs. 866 era de fácil determinación, a través de los actos conexos obrantes en el expediente, citando jurisprudencia vincul</w:t>
      </w:r>
      <w:r>
        <w:t>a</w:t>
      </w:r>
      <w:r>
        <w:t>da al tema.</w:t>
      </w:r>
    </w:p>
    <w:p w:rsidR="00224567" w:rsidRDefault="00224567">
      <w:pPr>
        <w:widowControl w:val="0"/>
      </w:pPr>
      <w:r>
        <w:tab/>
      </w:r>
      <w:r>
        <w:tab/>
        <w:t>Luego, el repr</w:t>
      </w:r>
      <w:r>
        <w:t>e</w:t>
      </w:r>
      <w:r>
        <w:t>sentante de la querella unificada analizó los planteos de nulidad de todos los trámites a partir del 25 de j</w:t>
      </w:r>
      <w:r>
        <w:t>u</w:t>
      </w:r>
      <w:r>
        <w:t>lio de 1994 o mayo de 1995, en virtud de la pérdida de independencia del magistrado instructor.</w:t>
      </w:r>
    </w:p>
    <w:p w:rsidR="00224567" w:rsidRDefault="00224567">
      <w:pPr>
        <w:widowControl w:val="0"/>
      </w:pPr>
      <w:r>
        <w:tab/>
      </w:r>
      <w:r>
        <w:tab/>
        <w:t>En lo que a este ítem se refiere, el Dr. Ávila entendió que de lo actuado en el debate no se había podido probar que el ex preside</w:t>
      </w:r>
      <w:r>
        <w:t>n</w:t>
      </w:r>
      <w:r>
        <w:t xml:space="preserve">te de </w:t>
      </w:r>
      <w:smartTag w:uri="urn:schemas-microsoft-com:office:smarttags" w:element="PersonName">
        <w:smartTagPr>
          <w:attr w:name="ProductID" w:val="la Naci￳n"/>
        </w:smartTagPr>
        <w:r>
          <w:t>la Nación</w:t>
        </w:r>
      </w:smartTag>
      <w:r>
        <w:t>, en la reunión que mantuvo con el juez Galeano, le haya dado alguna directiva o sugerencia con relación a cómo debía orientar la investigación, pareciénd</w:t>
      </w:r>
      <w:r>
        <w:t>o</w:t>
      </w:r>
      <w:r>
        <w:t>le ridículo, en caso de suponer la existencia de tal mandato, que el mismo se expresara en una multitudinaria reunión de fu</w:t>
      </w:r>
      <w:r>
        <w:t>n</w:t>
      </w:r>
      <w:r>
        <w:t>cionarios.</w:t>
      </w:r>
    </w:p>
    <w:p w:rsidR="00224567" w:rsidRDefault="00224567">
      <w:pPr>
        <w:widowControl w:val="0"/>
      </w:pPr>
      <w:r>
        <w:tab/>
      </w:r>
      <w:r>
        <w:tab/>
        <w:t>Además, sostuvo que la existencia de aquella reunión no autorizaba a calificar de parcial al magistr</w:t>
      </w:r>
      <w:r>
        <w:t>a</w:t>
      </w:r>
      <w:r>
        <w:t>do.</w:t>
      </w:r>
    </w:p>
    <w:p w:rsidR="00224567" w:rsidRDefault="00224567">
      <w:pPr>
        <w:widowControl w:val="0"/>
      </w:pPr>
      <w:r>
        <w:tab/>
      </w:r>
      <w:r>
        <w:tab/>
        <w:t>Asimismo, resaltó que el encuentro a</w:t>
      </w:r>
      <w:r>
        <w:t>n</w:t>
      </w:r>
      <w:r>
        <w:t>tes mencionado fue conocido desde el mismo mome</w:t>
      </w:r>
      <w:r>
        <w:t>n</w:t>
      </w:r>
      <w:r>
        <w:t>to en que tuvo lugar, razón por la cual las defensas, de entender que ello había afectado la imparcialidad del juez, deb</w:t>
      </w:r>
      <w:r>
        <w:t>e</w:t>
      </w:r>
      <w:r>
        <w:t>rían haberlo recusado en el tiempo opo</w:t>
      </w:r>
      <w:r>
        <w:t>r</w:t>
      </w:r>
      <w:r>
        <w:t xml:space="preserve">tuno. </w:t>
      </w:r>
      <w:r>
        <w:tab/>
      </w:r>
    </w:p>
    <w:p w:rsidR="00224567" w:rsidRDefault="00224567">
      <w:pPr>
        <w:widowControl w:val="0"/>
      </w:pPr>
      <w:r>
        <w:tab/>
      </w:r>
      <w:r>
        <w:tab/>
        <w:t>Por ello, el Dr. Ávila ente</w:t>
      </w:r>
      <w:r>
        <w:t>n</w:t>
      </w:r>
      <w:r>
        <w:t>dió que la nulidad pretendida resultaba inadm</w:t>
      </w:r>
      <w:r>
        <w:t>i</w:t>
      </w:r>
      <w:r>
        <w:t xml:space="preserve">sible, máxime cuando el planteo había sido construido sobre una especulación o fantasía. </w:t>
      </w:r>
    </w:p>
    <w:p w:rsidR="00224567" w:rsidRDefault="00224567">
      <w:pPr>
        <w:widowControl w:val="0"/>
      </w:pPr>
      <w:r>
        <w:tab/>
      </w:r>
      <w:r>
        <w:tab/>
        <w:t>Precisó que igual respuesta m</w:t>
      </w:r>
      <w:r>
        <w:t>e</w:t>
      </w:r>
      <w:r>
        <w:t xml:space="preserve">recía el planteo que intentaba nulificar todo lo actuado a partir de mayo de 1995, en virtud de las reuniones que el juez habría mantenido con </w:t>
      </w:r>
      <w:smartTag w:uri="urn:schemas-microsoft-com:office:smarttags" w:element="PersonName">
        <w:smartTagPr>
          <w:attr w:name="ProductID" w:val="la Dra. Riva"/>
        </w:smartTagPr>
        <w:r>
          <w:t>la Dra. Riva</w:t>
        </w:r>
      </w:smartTag>
      <w:r>
        <w:t xml:space="preserve"> Aramayo y Beraja, ente</w:t>
      </w:r>
      <w:r>
        <w:t>n</w:t>
      </w:r>
      <w:r>
        <w:t>diendo que ello no podía significar la pérdida de indepe</w:t>
      </w:r>
      <w:r>
        <w:t>n</w:t>
      </w:r>
      <w:r>
        <w:t>dencia del magistr</w:t>
      </w:r>
      <w:r>
        <w:t>a</w:t>
      </w:r>
      <w:r>
        <w:t>do instructor.</w:t>
      </w:r>
    </w:p>
    <w:p w:rsidR="00224567" w:rsidRDefault="00224567">
      <w:pPr>
        <w:widowControl w:val="0"/>
      </w:pPr>
      <w:r>
        <w:tab/>
      </w:r>
      <w:r>
        <w:tab/>
        <w:t>En cuanto a la nulidad de las fs. 37.376 y 37.382, articulada por la defensa de Telleldín, el Dr. Ávila consideró que nada había en aquellas fojas como para declarar su invalidez, destacando que el juez, convocado por una camarista, había dejado constancia de lo que ésta le relató.</w:t>
      </w:r>
    </w:p>
    <w:p w:rsidR="00224567" w:rsidRDefault="00224567">
      <w:pPr>
        <w:widowControl w:val="0"/>
      </w:pPr>
      <w:r>
        <w:tab/>
      </w:r>
      <w:r>
        <w:tab/>
        <w:t>Si bien el Dr. Ávila reconoció que h</w:t>
      </w:r>
      <w:r>
        <w:t>u</w:t>
      </w:r>
      <w:r>
        <w:t>biera sido preferible contar con una prueba más contunde</w:t>
      </w:r>
      <w:r>
        <w:t>n</w:t>
      </w:r>
      <w:r>
        <w:t>te acerca de aquellas entrevistas, ello no alcanzaba para declarar la nulidad de las actuaciones antes señal</w:t>
      </w:r>
      <w:r>
        <w:t>a</w:t>
      </w:r>
      <w:r>
        <w:t>das.</w:t>
      </w:r>
    </w:p>
    <w:p w:rsidR="00224567" w:rsidRDefault="00224567">
      <w:pPr>
        <w:widowControl w:val="0"/>
      </w:pPr>
      <w:r>
        <w:tab/>
      </w:r>
      <w:r>
        <w:tab/>
        <w:t>Por último, analizó el pedido de nul</w:t>
      </w:r>
      <w:r>
        <w:t>i</w:t>
      </w:r>
      <w:r>
        <w:t xml:space="preserve">dad de la causa nº </w:t>
      </w:r>
      <w:smartTag w:uri="urn:schemas-microsoft-com:office:smarttags" w:element="metricconverter">
        <w:smartTagPr>
          <w:attr w:name="ProductID" w:val="1598 a"/>
        </w:smartTagPr>
        <w:r>
          <w:t>1598 a</w:t>
        </w:r>
      </w:smartTag>
      <w:r>
        <w:t xml:space="preserve"> partir de la fs. 1 y de todos los actos que fueron dictados en cons</w:t>
      </w:r>
      <w:r>
        <w:t>e</w:t>
      </w:r>
      <w:r>
        <w:t>cuencia, interpuesta por las defensas de Pérez, Ja</w:t>
      </w:r>
      <w:r>
        <w:t>i</w:t>
      </w:r>
      <w:r>
        <w:t xml:space="preserve">mes, Huici, Burguete, Casas y Toledo, que basaron su planteo en la existencia de un dato falso, entendiendo que la información que vinculó a Telleldín con </w:t>
      </w:r>
      <w:smartTag w:uri="urn:schemas-microsoft-com:office:smarttags" w:element="PersonName">
        <w:smartTagPr>
          <w:attr w:name="ProductID" w:val="la Brigada"/>
        </w:smartTagPr>
        <w:r>
          <w:t>la Brigada</w:t>
        </w:r>
      </w:smartTag>
      <w:r>
        <w:t xml:space="preserve"> de Lanús había provenido de pod</w:t>
      </w:r>
      <w:r>
        <w:t>e</w:t>
      </w:r>
      <w:r>
        <w:t>res “extrasensoriales” de Verón o de lo que llamaron una “causa virtual”.</w:t>
      </w:r>
    </w:p>
    <w:p w:rsidR="00224567" w:rsidRDefault="00224567">
      <w:pPr>
        <w:widowControl w:val="0"/>
      </w:pPr>
      <w:r>
        <w:tab/>
      </w:r>
      <w:r>
        <w:tab/>
        <w:t>Al respecto, el Dr. Ávila reco</w:t>
      </w:r>
      <w:r>
        <w:t>r</w:t>
      </w:r>
      <w:r>
        <w:t>dó que en la causa existían datos objetivos que permitían vinc</w:t>
      </w:r>
      <w:r>
        <w:t>u</w:t>
      </w:r>
      <w:r>
        <w:t xml:space="preserve">lar a Telleldín con </w:t>
      </w:r>
      <w:smartTag w:uri="urn:schemas-microsoft-com:office:smarttags" w:element="PersonName">
        <w:smartTagPr>
          <w:attr w:name="ProductID" w:val="la Brigada"/>
        </w:smartTagPr>
        <w:r>
          <w:t>la Brigada</w:t>
        </w:r>
      </w:smartTag>
      <w:r>
        <w:t xml:space="preserve"> de Lanús, que fueron pue</w:t>
      </w:r>
      <w:r>
        <w:t>s</w:t>
      </w:r>
      <w:r>
        <w:t xml:space="preserve">tos de manifiesto por </w:t>
      </w:r>
      <w:smartTag w:uri="urn:schemas-microsoft-com:office:smarttags" w:element="PersonName">
        <w:smartTagPr>
          <w:attr w:name="ProductID" w:val="La Dra. Nercellas"/>
        </w:smartTagPr>
        <w:r>
          <w:t>la Dra. Nercellas</w:t>
        </w:r>
      </w:smartTag>
      <w:r>
        <w:t>, a los cuales se remitió, considerando que todos ellos dejaban al desc</w:t>
      </w:r>
      <w:r>
        <w:t>u</w:t>
      </w:r>
      <w:r>
        <w:t>bierto la falacia del planteo nulifica</w:t>
      </w:r>
      <w:r>
        <w:t>n</w:t>
      </w:r>
      <w:r>
        <w:t>te.</w:t>
      </w:r>
    </w:p>
    <w:p w:rsidR="00224567" w:rsidRDefault="00224567">
      <w:pPr>
        <w:widowControl w:val="0"/>
      </w:pPr>
      <w:r>
        <w:tab/>
      </w:r>
      <w:r>
        <w:tab/>
        <w:t>No obstante ello, remarcó que bastaba leer la declaración indagatoria de Telleldín del mes de agosto de 1994 como para advertir su vinculación con las Brigadas de Lanús y Vicente López, concluyendo que la n</w:t>
      </w:r>
      <w:r>
        <w:t>u</w:t>
      </w:r>
      <w:r>
        <w:t>lidad debía ser rechazada.</w:t>
      </w:r>
    </w:p>
    <w:p w:rsidR="00224567" w:rsidRDefault="00224567">
      <w:pPr>
        <w:widowControl w:val="0"/>
      </w:pPr>
      <w:r>
        <w:tab/>
      </w:r>
      <w:r>
        <w:tab/>
        <w:t>A continuación, el Dr. Ávila replicó sobre aquellos puntos que los defensores introdujeron en sus respectivos alegatos y que no habían sido materia de consideración por parte de la querella un</w:t>
      </w:r>
      <w:r>
        <w:t>i</w:t>
      </w:r>
      <w:r>
        <w:t>ficada.</w:t>
      </w:r>
    </w:p>
    <w:p w:rsidR="00224567" w:rsidRDefault="00224567">
      <w:pPr>
        <w:widowControl w:val="0"/>
      </w:pPr>
      <w:r>
        <w:tab/>
      </w:r>
      <w:r>
        <w:tab/>
        <w:t>En ese orden de ideas, entendió que los defensores habían creado argumentos retóricos adici</w:t>
      </w:r>
      <w:r>
        <w:t>o</w:t>
      </w:r>
      <w:r>
        <w:t>nales, muchos de los cuales se vali</w:t>
      </w:r>
      <w:r>
        <w:t>e</w:t>
      </w:r>
      <w:r>
        <w:t>ron de la ironía como recurso dialéctico para negar o ignorar datos objetivos cuando no podían ofrecer razones consistentes para reb</w:t>
      </w:r>
      <w:r>
        <w:t>a</w:t>
      </w:r>
      <w:r>
        <w:t>tirlos.</w:t>
      </w:r>
    </w:p>
    <w:p w:rsidR="00224567" w:rsidRDefault="00224567">
      <w:pPr>
        <w:widowControl w:val="0"/>
      </w:pPr>
      <w:r>
        <w:tab/>
      </w:r>
      <w:r>
        <w:tab/>
        <w:t>Asimismo, resaltó la inexa</w:t>
      </w:r>
      <w:r>
        <w:t>c</w:t>
      </w:r>
      <w:r>
        <w:t>titud en la reconstrucción o interpretación de datos de varias defe</w:t>
      </w:r>
      <w:r>
        <w:t>n</w:t>
      </w:r>
      <w:r>
        <w:t>sas, circunstancia que fue crudamente denunciada por el Dr. Dromi, a cuyas consideraciones se r</w:t>
      </w:r>
      <w:r>
        <w:t>e</w:t>
      </w:r>
      <w:r>
        <w:t>mitió.</w:t>
      </w:r>
    </w:p>
    <w:p w:rsidR="00224567" w:rsidRDefault="00224567">
      <w:pPr>
        <w:widowControl w:val="0"/>
      </w:pPr>
      <w:r>
        <w:tab/>
      </w:r>
      <w:r>
        <w:tab/>
        <w:t>Por otra parte, subrayó que las defe</w:t>
      </w:r>
      <w:r>
        <w:t>n</w:t>
      </w:r>
      <w:r>
        <w:t>sas armaron una historia conspirativa a partir de disti</w:t>
      </w:r>
      <w:r>
        <w:t>n</w:t>
      </w:r>
      <w:r>
        <w:t>tos acontec</w:t>
      </w:r>
      <w:r>
        <w:t>i</w:t>
      </w:r>
      <w:r>
        <w:t>mientos separados en el tiempo, que se adaptó funcionalmente a sus múltiples d</w:t>
      </w:r>
      <w:r>
        <w:t>e</w:t>
      </w:r>
      <w:r>
        <w:t>signios.</w:t>
      </w:r>
    </w:p>
    <w:p w:rsidR="00224567" w:rsidRDefault="00224567">
      <w:pPr>
        <w:widowControl w:val="0"/>
      </w:pPr>
      <w:r>
        <w:tab/>
      </w:r>
      <w:r>
        <w:tab/>
        <w:t>En este sentido, consideró que la d</w:t>
      </w:r>
      <w:r>
        <w:t>e</w:t>
      </w:r>
      <w:r>
        <w:t>nominada historia o versión oficial fue un intento para desvalorizar el relato imputativo sobre el que se asentó el juicio, para lo cual las defensas se  aprov</w:t>
      </w:r>
      <w:r>
        <w:t>e</w:t>
      </w:r>
      <w:r>
        <w:t>charon del tremendo desprestigio del Estado y en particular del men</w:t>
      </w:r>
      <w:r>
        <w:t>e</w:t>
      </w:r>
      <w:r>
        <w:t>mismo.</w:t>
      </w:r>
    </w:p>
    <w:p w:rsidR="00224567" w:rsidRDefault="00224567">
      <w:pPr>
        <w:widowControl w:val="0"/>
      </w:pPr>
      <w:r>
        <w:tab/>
      </w:r>
      <w:r>
        <w:tab/>
        <w:t>Recordó que aquella denomin</w:t>
      </w:r>
      <w:r>
        <w:t>a</w:t>
      </w:r>
      <w:r>
        <w:t>ción, que conllevaba una antigua fama desvalorizadora, había sido utilizada para titular una emblemática pel</w:t>
      </w:r>
      <w:r>
        <w:t>í</w:t>
      </w:r>
      <w:r>
        <w:t>cula vinculada con el terrorismo de Estado de los años setenta, luego h</w:t>
      </w:r>
      <w:r>
        <w:t>a</w:t>
      </w:r>
      <w:r>
        <w:t>bía sido retomada para intentar desvirtuar la responsab</w:t>
      </w:r>
      <w:r>
        <w:t>i</w:t>
      </w:r>
      <w:r>
        <w:t>lidad institucional en el caso del soldado Carrasco y se la había reeditado con ese mismo fin en el caso del fot</w:t>
      </w:r>
      <w:r>
        <w:t>ó</w:t>
      </w:r>
      <w:r>
        <w:t>grafo C</w:t>
      </w:r>
      <w:r>
        <w:t>a</w:t>
      </w:r>
      <w:r>
        <w:t>bezas.</w:t>
      </w:r>
    </w:p>
    <w:p w:rsidR="00224567" w:rsidRDefault="00224567">
      <w:pPr>
        <w:widowControl w:val="0"/>
      </w:pPr>
      <w:r>
        <w:tab/>
      </w:r>
      <w:r>
        <w:tab/>
        <w:t>Por lo expuesto, entendió que el hecho de cargarle a cualquier relato imp</w:t>
      </w:r>
      <w:r>
        <w:t>u</w:t>
      </w:r>
      <w:r>
        <w:t>tativo llevado a juicio el “San Benito” de la historia oficial, equivalía a mot</w:t>
      </w:r>
      <w:r>
        <w:t>e</w:t>
      </w:r>
      <w:r>
        <w:t>jarlo, cuanto menos, de mentiroso o enc</w:t>
      </w:r>
      <w:r>
        <w:t>u</w:t>
      </w:r>
      <w:r>
        <w:t>bridor.</w:t>
      </w:r>
    </w:p>
    <w:p w:rsidR="00224567" w:rsidRDefault="00224567">
      <w:pPr>
        <w:widowControl w:val="0"/>
      </w:pPr>
      <w:r>
        <w:tab/>
        <w:t>No obstante ello, reconoció que la credibilidad del Estado argentino en el mes de julio de 1994 era muy baja y que el paso del tiempo la fue deteri</w:t>
      </w:r>
      <w:r>
        <w:t>o</w:t>
      </w:r>
      <w:r>
        <w:t>rando aún más, precisando que dentro de ese marco el g</w:t>
      </w:r>
      <w:r>
        <w:t>o</w:t>
      </w:r>
      <w:r>
        <w:t>bierno no hizo nada por salvar sus restos de credib</w:t>
      </w:r>
      <w:r>
        <w:t>i</w:t>
      </w:r>
      <w:r>
        <w:t>lidad y mucho menos la de la investigación del atentado a la s</w:t>
      </w:r>
      <w:r>
        <w:t>e</w:t>
      </w:r>
      <w:r>
        <w:t xml:space="preserve">de de </w:t>
      </w:r>
      <w:smartTag w:uri="urn:schemas-microsoft-com:office:smarttags" w:element="PersonName">
        <w:smartTagPr>
          <w:attr w:name="ProductID" w:val="la A.M"/>
        </w:smartTagPr>
        <w:r>
          <w:t>la A.M</w:t>
        </w:r>
      </w:smartTag>
      <w:r>
        <w:t>.I.A.</w:t>
      </w:r>
    </w:p>
    <w:p w:rsidR="00224567" w:rsidRDefault="00224567">
      <w:pPr>
        <w:widowControl w:val="0"/>
      </w:pPr>
      <w:r>
        <w:tab/>
      </w:r>
      <w:r>
        <w:tab/>
        <w:t>Desde ese punto de vista, calificó a las declaraciones prestadas en el juicio por Ruckauf, A</w:t>
      </w:r>
      <w:r>
        <w:t>n</w:t>
      </w:r>
      <w:r>
        <w:t>zorreguy y Antonietti como una patética exhibición del juego infantil del “gran bonete” en el que cada uno defe</w:t>
      </w:r>
      <w:r>
        <w:t>n</w:t>
      </w:r>
      <w:r>
        <w:t>día su juego y decía que el “gran bonete” de la respons</w:t>
      </w:r>
      <w:r>
        <w:t>a</w:t>
      </w:r>
      <w:r>
        <w:t>bilidad le c</w:t>
      </w:r>
      <w:r>
        <w:t>o</w:t>
      </w:r>
      <w:r>
        <w:t>rrespondía al otro.</w:t>
      </w:r>
    </w:p>
    <w:p w:rsidR="00224567" w:rsidRDefault="00224567">
      <w:pPr>
        <w:widowControl w:val="0"/>
      </w:pPr>
      <w:r>
        <w:tab/>
      </w:r>
      <w:r>
        <w:tab/>
        <w:t>A pesar de ello, el Dr. Ávila remarcó que lo más i</w:t>
      </w:r>
      <w:r>
        <w:t>n</w:t>
      </w:r>
      <w:r>
        <w:t xml:space="preserve">creíble y doloroso fue saber que el atentado a la sede de </w:t>
      </w:r>
      <w:smartTag w:uri="urn:schemas-microsoft-com:office:smarttags" w:element="PersonName">
        <w:smartTagPr>
          <w:attr w:name="ProductID" w:val="la A.M"/>
        </w:smartTagPr>
        <w:r>
          <w:t>la A.M</w:t>
        </w:r>
      </w:smartTag>
      <w:r>
        <w:t>.I.A., al que caracterizó como el más importante de la historia argentina, j</w:t>
      </w:r>
      <w:r>
        <w:t>a</w:t>
      </w:r>
      <w:r>
        <w:t>más había figurado como tema del orden del día en alg</w:t>
      </w:r>
      <w:r>
        <w:t>u</w:t>
      </w:r>
      <w:r>
        <w:t>na reunión de gabinete.</w:t>
      </w:r>
    </w:p>
    <w:p w:rsidR="00224567" w:rsidRDefault="00224567">
      <w:pPr>
        <w:widowControl w:val="0"/>
      </w:pPr>
      <w:r>
        <w:tab/>
      </w:r>
      <w:r>
        <w:tab/>
        <w:t>Agregó que en aquél contexto se in</w:t>
      </w:r>
      <w:r>
        <w:t>s</w:t>
      </w:r>
      <w:r>
        <w:t>cribía la estrategia de desvalorización empleada por los defensores, estimando que no había que hacer ningún e</w:t>
      </w:r>
      <w:r>
        <w:t>s</w:t>
      </w:r>
      <w:r>
        <w:t>fuerzo para promoverla en virtud de la desconfianza que los argentinos tenían de la palabra, actuación o resol</w:t>
      </w:r>
      <w:r>
        <w:t>u</w:t>
      </w:r>
      <w:r>
        <w:t>ción de los funcionarios, incluidos los judici</w:t>
      </w:r>
      <w:r>
        <w:t>a</w:t>
      </w:r>
      <w:r>
        <w:t xml:space="preserve">les. </w:t>
      </w:r>
    </w:p>
    <w:p w:rsidR="00224567" w:rsidRDefault="00224567">
      <w:pPr>
        <w:widowControl w:val="0"/>
      </w:pPr>
      <w:r>
        <w:tab/>
      </w:r>
      <w:r>
        <w:tab/>
        <w:t>Señaló que la querella, al intuir la estrategia defensista, se preocupó en fu</w:t>
      </w:r>
      <w:r>
        <w:t>n</w:t>
      </w:r>
      <w:r>
        <w:t>dar su acusación sobre la base de datos objetivos y concluyentes, que fu</w:t>
      </w:r>
      <w:r>
        <w:t>e</w:t>
      </w:r>
      <w:r>
        <w:t>ron ratificados en el juicio oral y que sólo apeló a las constancias de la instrucción cuando ello era estrictame</w:t>
      </w:r>
      <w:r>
        <w:t>n</w:t>
      </w:r>
      <w:r>
        <w:t>te indispensable y en especial, ante la negativa de decl</w:t>
      </w:r>
      <w:r>
        <w:t>a</w:t>
      </w:r>
      <w:r>
        <w:t>rar o contestar preguntas de v</w:t>
      </w:r>
      <w:r>
        <w:t>a</w:t>
      </w:r>
      <w:r>
        <w:t xml:space="preserve">rios imputados. </w:t>
      </w:r>
    </w:p>
    <w:p w:rsidR="00224567" w:rsidRDefault="00224567">
      <w:pPr>
        <w:widowControl w:val="0"/>
      </w:pPr>
      <w:r>
        <w:tab/>
      </w:r>
      <w:r>
        <w:tab/>
        <w:t>Destacó que de partirse de una versión conspir</w:t>
      </w:r>
      <w:r>
        <w:t>a</w:t>
      </w:r>
      <w:r>
        <w:t>tiva, todo lo que se hiciera de un modo u otro iba a terminar resultando funcional a esa hip</w:t>
      </w:r>
      <w:r>
        <w:t>ó</w:t>
      </w:r>
      <w:r>
        <w:t>tesis, desde el hecho de disponer el traslado de un i</w:t>
      </w:r>
      <w:r>
        <w:t>m</w:t>
      </w:r>
      <w:r>
        <w:t>putado de una cárcel a otra, hasta la circunstancia de que un querellante se entrevistara con una funcionaria judicial que además era su vec</w:t>
      </w:r>
      <w:r>
        <w:t>i</w:t>
      </w:r>
      <w:r>
        <w:t>na.</w:t>
      </w:r>
    </w:p>
    <w:p w:rsidR="00224567" w:rsidRDefault="00224567">
      <w:pPr>
        <w:widowControl w:val="0"/>
      </w:pPr>
      <w:r>
        <w:tab/>
      </w:r>
      <w:r>
        <w:tab/>
        <w:t>Indicó que en esta causa todo giró a</w:t>
      </w:r>
      <w:r>
        <w:t>l</w:t>
      </w:r>
      <w:r>
        <w:t>rededor de la existencia de una hipótesis conspirativa y que por esa misma razón las estrategias d</w:t>
      </w:r>
      <w:r>
        <w:t>e</w:t>
      </w:r>
      <w:r>
        <w:t>fensistas habían quedado desacreditadas.</w:t>
      </w:r>
    </w:p>
    <w:p w:rsidR="00224567" w:rsidRDefault="00224567">
      <w:pPr>
        <w:widowControl w:val="0"/>
      </w:pPr>
      <w:r>
        <w:tab/>
      </w:r>
      <w:r>
        <w:tab/>
        <w:t>Posteriormente, el Dr. Ávila cuestionó el alegato de la defensa de Telleldín, en cuanto sostuvo que el comienzo de lo que llam</w:t>
      </w:r>
      <w:r>
        <w:t>a</w:t>
      </w:r>
      <w:r>
        <w:t>ron los encubrimientos del juez instructor habían tenido lugar al regresar éste de su viaje a Venezuela, el 25 de j</w:t>
      </w:r>
      <w:r>
        <w:t>u</w:t>
      </w:r>
      <w:r>
        <w:t xml:space="preserve">lio de 1994, no obstante lo cual, más adelante, dijeron que el criminal armado de la historia oficial se había iniciado en el mes de mayo de 1995. </w:t>
      </w:r>
    </w:p>
    <w:p w:rsidR="00224567" w:rsidRDefault="00224567">
      <w:pPr>
        <w:widowControl w:val="0"/>
      </w:pPr>
      <w:r>
        <w:tab/>
      </w:r>
      <w:r>
        <w:tab/>
        <w:t>Del mismo modo, reprochó lo so</w:t>
      </w:r>
      <w:r>
        <w:t>s</w:t>
      </w:r>
      <w:r>
        <w:t>tenido por el letrado defensor de Ribelli, en cuanto también e</w:t>
      </w:r>
      <w:r>
        <w:t>s</w:t>
      </w:r>
      <w:r>
        <w:t>timó que el inicio de la historia oficial había tenido l</w:t>
      </w:r>
      <w:r>
        <w:t>u</w:t>
      </w:r>
      <w:r>
        <w:t>gar en el mes de julio de 1994, incluyendo a una parte significativa de la dirigencia de la comunidad judía en ese supuesto arm</w:t>
      </w:r>
      <w:r>
        <w:t>a</w:t>
      </w:r>
      <w:r>
        <w:t>do.</w:t>
      </w:r>
    </w:p>
    <w:p w:rsidR="00224567" w:rsidRDefault="00224567">
      <w:pPr>
        <w:widowControl w:val="0"/>
      </w:pPr>
      <w:r>
        <w:tab/>
      </w:r>
      <w:r>
        <w:tab/>
        <w:t>Al respecto, el Dr. Ávila reit</w:t>
      </w:r>
      <w:r>
        <w:t>e</w:t>
      </w:r>
      <w:r>
        <w:t>ró, tal como lo había señalado al contestar el planteo de la nul</w:t>
      </w:r>
      <w:r>
        <w:t>i</w:t>
      </w:r>
      <w:r>
        <w:t>dad vinculado con este punto, que no resultaba razonable suponer que el pretendido armado de la causa se iniciara el 25 de julio de 1994.</w:t>
      </w:r>
    </w:p>
    <w:p w:rsidR="00224567" w:rsidRDefault="00224567">
      <w:pPr>
        <w:widowControl w:val="0"/>
      </w:pPr>
      <w:r>
        <w:tab/>
      </w:r>
      <w:r>
        <w:tab/>
        <w:t>Indicó que nadie refirió en la audie</w:t>
      </w:r>
      <w:r>
        <w:t>n</w:t>
      </w:r>
      <w:r>
        <w:t>cia que en la reunión en la quinta de Olivos se hubiera convencido al juez para iniciar el derrotero que los d</w:t>
      </w:r>
      <w:r>
        <w:t>e</w:t>
      </w:r>
      <w:r>
        <w:t>fensores postulaban, pareciéndole irrazonable que en pr</w:t>
      </w:r>
      <w:r>
        <w:t>e</w:t>
      </w:r>
      <w:r>
        <w:t xml:space="preserve">sencia de ministros, secretarios de Estado, funcionarios de </w:t>
      </w:r>
      <w:smartTag w:uri="urn:schemas-microsoft-com:office:smarttags" w:element="PersonName">
        <w:smartTagPr>
          <w:attr w:name="ProductID" w:val="la Secretar￭a"/>
        </w:smartTagPr>
        <w:r>
          <w:t>la Secretaría</w:t>
        </w:r>
      </w:smartTag>
      <w:r>
        <w:t xml:space="preserve"> de Inteligencia, empleados judiciales y policías se le hayan dado instrucci</w:t>
      </w:r>
      <w:r>
        <w:t>o</w:t>
      </w:r>
      <w:r>
        <w:t>nes a un magistrado.</w:t>
      </w:r>
    </w:p>
    <w:p w:rsidR="00224567" w:rsidRDefault="00224567">
      <w:pPr>
        <w:widowControl w:val="0"/>
      </w:pPr>
      <w:r>
        <w:tab/>
      </w:r>
      <w:r>
        <w:tab/>
        <w:t>Además, calificó de errónea la ref</w:t>
      </w:r>
      <w:r>
        <w:t>e</w:t>
      </w:r>
      <w:r>
        <w:t>rencia del abogado de Ribelli, en cuanto afirmó que de</w:t>
      </w:r>
      <w:r>
        <w:t>s</w:t>
      </w:r>
      <w:r>
        <w:t>pués del 25 de julio se habían levantado todo tipo de i</w:t>
      </w:r>
      <w:r>
        <w:t>n</w:t>
      </w:r>
      <w:r>
        <w:t>tervenciones telefónicas a iraníes, ya que en el expedie</w:t>
      </w:r>
      <w:r>
        <w:t>n</w:t>
      </w:r>
      <w:r>
        <w:t>te constaba que de acue</w:t>
      </w:r>
      <w:r>
        <w:t>r</w:t>
      </w:r>
      <w:r>
        <w:t>do a la resolución del juez del 9 de agosto de 1994 no sólo no se había aba</w:t>
      </w:r>
      <w:r>
        <w:t>n</w:t>
      </w:r>
      <w:r>
        <w:t>donado la pista iraní, sino que se había ord</w:t>
      </w:r>
      <w:r>
        <w:t>e</w:t>
      </w:r>
      <w:r>
        <w:t xml:space="preserve">nado la captura internacional de cuatro funcionarios de aquél gobierno. </w:t>
      </w:r>
    </w:p>
    <w:p w:rsidR="00224567" w:rsidRDefault="00224567">
      <w:pPr>
        <w:widowControl w:val="0"/>
      </w:pPr>
      <w:r>
        <w:tab/>
      </w:r>
      <w:r>
        <w:tab/>
        <w:t>En consecuencia, caracterizó de inco</w:t>
      </w:r>
      <w:r>
        <w:t>n</w:t>
      </w:r>
      <w:r>
        <w:t>sistente el planteo defensista, según el cual el preside</w:t>
      </w:r>
      <w:r>
        <w:t>n</w:t>
      </w:r>
      <w:r>
        <w:t>te había instruido al juez para que abandonara la pista iraní, ordenándole involucrar a Telleldín y luego a Rib</w:t>
      </w:r>
      <w:r>
        <w:t>e</w:t>
      </w:r>
      <w:r>
        <w:t>lli.</w:t>
      </w:r>
    </w:p>
    <w:p w:rsidR="00224567" w:rsidRDefault="00224567">
      <w:pPr>
        <w:widowControl w:val="0"/>
      </w:pPr>
      <w:r>
        <w:tab/>
      </w:r>
      <w:r>
        <w:tab/>
        <w:t>Asimismo, se pr</w:t>
      </w:r>
      <w:r>
        <w:t>e</w:t>
      </w:r>
      <w:r>
        <w:t>guntó por qué razón en octubre de 1995 Beraja –quien se entrevistó con Corach- exigió al Poder Ejecutivo que involucrara a Irán en el atentado, tal como lo señaló la defensa de Telleldín, si el armado de la historia oficial tenía por objeto, supue</w:t>
      </w:r>
      <w:r>
        <w:t>s</w:t>
      </w:r>
      <w:r>
        <w:t>tamente, encubrir a aquél país. Además, se interrogó ace</w:t>
      </w:r>
      <w:r>
        <w:t>r</w:t>
      </w:r>
      <w:r>
        <w:t>ca de cuántas historias of</w:t>
      </w:r>
      <w:r>
        <w:t>i</w:t>
      </w:r>
      <w:r>
        <w:t>ciales se pretendían y cuál era la verdadera, ya que Beraja,  según la d</w:t>
      </w:r>
      <w:r>
        <w:t>e</w:t>
      </w:r>
      <w:r>
        <w:t>fensa de Ribelli, había participado en el supuesto encubrimiento como parte integrante de la d</w:t>
      </w:r>
      <w:r>
        <w:t>i</w:t>
      </w:r>
      <w:r>
        <w:t>rigencia de la comunidad judía.</w:t>
      </w:r>
    </w:p>
    <w:p w:rsidR="00224567" w:rsidRDefault="00224567">
      <w:pPr>
        <w:widowControl w:val="0"/>
      </w:pPr>
      <w:r>
        <w:tab/>
        <w:t>Por otra parte, estimó que col</w:t>
      </w:r>
      <w:r>
        <w:t>o</w:t>
      </w:r>
      <w:r>
        <w:t>car el inicio del prete</w:t>
      </w:r>
      <w:r>
        <w:t>n</w:t>
      </w:r>
      <w:r>
        <w:t>dido designio perverso para involucrar a Telleldín y a Ribelli en el mes de julio de 1994, estaba suponiendo que, para esa fecha, ya era conocida la actu</w:t>
      </w:r>
      <w:r>
        <w:t>a</w:t>
      </w:r>
      <w:r>
        <w:t>ción del armador de camion</w:t>
      </w:r>
      <w:r>
        <w:t>e</w:t>
      </w:r>
      <w:r>
        <w:t xml:space="preserve">tas Telleldín y por sentado que una de ellas había estallado en la sede de </w:t>
      </w:r>
      <w:smartTag w:uri="urn:schemas-microsoft-com:office:smarttags" w:element="PersonName">
        <w:smartTagPr>
          <w:attr w:name="ProductID" w:val="la A.M"/>
        </w:smartTagPr>
        <w:r>
          <w:t>la A.M</w:t>
        </w:r>
      </w:smartTag>
      <w:r>
        <w:t>.I.A., adivinándose también que el nombrado enc</w:t>
      </w:r>
      <w:r>
        <w:t>u</w:t>
      </w:r>
      <w:r>
        <w:t>briría por años a sus verdaderos socios y que los miembros de la policía a</w:t>
      </w:r>
      <w:r>
        <w:t>n</w:t>
      </w:r>
      <w:r>
        <w:t>daban tras sus pasos de</w:t>
      </w:r>
      <w:r>
        <w:t>s</w:t>
      </w:r>
      <w:r>
        <w:t>de hacía años.</w:t>
      </w:r>
    </w:p>
    <w:p w:rsidR="00224567" w:rsidRDefault="00224567">
      <w:pPr>
        <w:widowControl w:val="0"/>
      </w:pPr>
      <w:r>
        <w:tab/>
      </w:r>
      <w:r>
        <w:tab/>
        <w:t>Recordó que si bien una de las versi</w:t>
      </w:r>
      <w:r>
        <w:t>o</w:t>
      </w:r>
      <w:r>
        <w:t>nes colocó el comienzo de la historia oficial el 25 de j</w:t>
      </w:r>
      <w:r>
        <w:t>u</w:t>
      </w:r>
      <w:r>
        <w:t>lio de 1994, ello fue luego modificado al ub</w:t>
      </w:r>
      <w:r>
        <w:t>i</w:t>
      </w:r>
      <w:r>
        <w:t xml:space="preserve">carse  en las relaciones del ex ministro del interior Corach, quien no había sido convocado al debate, con </w:t>
      </w:r>
      <w:smartTag w:uri="urn:schemas-microsoft-com:office:smarttags" w:element="PersonName">
        <w:smartTagPr>
          <w:attr w:name="ProductID" w:val="la Dra. Riva"/>
        </w:smartTagPr>
        <w:r>
          <w:t>la Dra. Riva</w:t>
        </w:r>
      </w:smartTag>
      <w:r>
        <w:t xml:space="preserve"> Aramayo, quien falleció, estimando que ello había permitido que a ambos, que no prestaron declaración en el juicio, se les pudi</w:t>
      </w:r>
      <w:r>
        <w:t>e</w:t>
      </w:r>
      <w:r>
        <w:t>ra hacer decir e imputar cualquier cosa.</w:t>
      </w:r>
    </w:p>
    <w:p w:rsidR="00224567" w:rsidRDefault="00224567">
      <w:pPr>
        <w:widowControl w:val="0"/>
      </w:pPr>
      <w:r>
        <w:tab/>
      </w:r>
      <w:r>
        <w:tab/>
        <w:t>En este punto, el represe</w:t>
      </w:r>
      <w:r>
        <w:t>n</w:t>
      </w:r>
      <w:r>
        <w:t>tante de la querella unificada cuestionó que el tribunal omitiera co</w:t>
      </w:r>
      <w:r>
        <w:t>n</w:t>
      </w:r>
      <w:r>
        <w:t>vocar al ex ministro Corach para desentrañar aspectos r</w:t>
      </w:r>
      <w:r>
        <w:t>e</w:t>
      </w:r>
      <w:r>
        <w:t>levantes de lo ocurrido, sin perjuicio de lo cual admitió que su testimonio no había sido solic</w:t>
      </w:r>
      <w:r>
        <w:t>i</w:t>
      </w:r>
      <w:r>
        <w:t xml:space="preserve">tado por esa parte. </w:t>
      </w:r>
    </w:p>
    <w:p w:rsidR="00224567" w:rsidRDefault="00224567">
      <w:pPr>
        <w:widowControl w:val="0"/>
      </w:pPr>
      <w:r>
        <w:tab/>
      </w:r>
      <w:r>
        <w:tab/>
        <w:t>Por ello, le pareció curioso que mie</w:t>
      </w:r>
      <w:r>
        <w:t>n</w:t>
      </w:r>
      <w:r>
        <w:t>tras una versión de aquella historia oficial se iniciara en una oportunidad irrazonable por falta de privacidad, la otra se sostuviera sobre una hip</w:t>
      </w:r>
      <w:r>
        <w:t>o</w:t>
      </w:r>
      <w:r>
        <w:t>tética vinculación entre una persona fallecida y un test</w:t>
      </w:r>
      <w:r>
        <w:t>i</w:t>
      </w:r>
      <w:r>
        <w:t>go frustrado.</w:t>
      </w:r>
    </w:p>
    <w:p w:rsidR="00224567" w:rsidRDefault="00224567">
      <w:pPr>
        <w:widowControl w:val="0"/>
      </w:pPr>
      <w:r>
        <w:tab/>
      </w:r>
      <w:r>
        <w:tab/>
        <w:t>Acto seguido, el Dr. Ávila consideró que el pago ilegal había jugado como una bandera que todo lo había cubierto y contaminado, tanto hacia atrás como hacia delante; hacia atrás, porque se quiso hacer creer que todo lo investigado desde el momento mismo del atent</w:t>
      </w:r>
      <w:r>
        <w:t>a</w:t>
      </w:r>
      <w:r>
        <w:t>do integraba la llamada historia of</w:t>
      </w:r>
      <w:r>
        <w:t>i</w:t>
      </w:r>
      <w:r>
        <w:t>cial que desembocó en el pago y hacia adelante, porque el descubrimiento de la donación del padre de Ribelli, las escuchas t</w:t>
      </w:r>
      <w:r>
        <w:t>e</w:t>
      </w:r>
      <w:r>
        <w:t>lefónicas y la videocinta de Cúneo Libarona carecían de importancia frente a ese acontecimie</w:t>
      </w:r>
      <w:r>
        <w:t>n</w:t>
      </w:r>
      <w:r>
        <w:t>to.</w:t>
      </w:r>
    </w:p>
    <w:p w:rsidR="00224567" w:rsidRDefault="00224567">
      <w:pPr>
        <w:widowControl w:val="0"/>
      </w:pPr>
      <w:r>
        <w:tab/>
      </w:r>
      <w:r>
        <w:tab/>
        <w:t>Igualmente, el representante de la querella sostuvo que ello había incluido, en la e</w:t>
      </w:r>
      <w:r>
        <w:t>s</w:t>
      </w:r>
      <w:r>
        <w:t>trategia de las defensas de Ribelli e Ibarra, el amortiguador c</w:t>
      </w:r>
      <w:r>
        <w:t>o</w:t>
      </w:r>
      <w:r>
        <w:t>rrespondiente a una camioneta Trafic, que apareció incru</w:t>
      </w:r>
      <w:r>
        <w:t>s</w:t>
      </w:r>
      <w:r>
        <w:t>tado en el cuerpo del señor Díaz, para quienes nunca formó parte del contenedor del explosivo utilizado.</w:t>
      </w:r>
    </w:p>
    <w:p w:rsidR="00224567" w:rsidRDefault="00224567">
      <w:pPr>
        <w:widowControl w:val="0"/>
      </w:pPr>
      <w:r>
        <w:tab/>
      </w:r>
      <w:r>
        <w:tab/>
        <w:t>En este punto, para demostrar –según consideró el Dr. Ávila- lo grotesco de aquél argumento, ironizó al preguntarse si a juicio de los defensores la estrategia de incrustar el amortiguador en el cuerpo de Díaz se había decidido en la quinta de Olivos, el 25 de julio o luego, en los cabildeos entre Corach y Riva Aram</w:t>
      </w:r>
      <w:r>
        <w:t>a</w:t>
      </w:r>
      <w:r>
        <w:t xml:space="preserve">yo, remitiéndose a lo expresado por </w:t>
      </w:r>
      <w:smartTag w:uri="urn:schemas-microsoft-com:office:smarttags" w:element="PersonName">
        <w:smartTagPr>
          <w:attr w:name="ProductID" w:val="La Dra. Nercellas"/>
        </w:smartTagPr>
        <w:r>
          <w:t>la Dra. Nercellas</w:t>
        </w:r>
      </w:smartTag>
      <w:r>
        <w:t xml:space="preserve"> con relación a dicho elemento.</w:t>
      </w:r>
    </w:p>
    <w:p w:rsidR="00224567" w:rsidRDefault="00224567">
      <w:pPr>
        <w:widowControl w:val="0"/>
      </w:pPr>
      <w:r>
        <w:tab/>
      </w:r>
      <w:r>
        <w:tab/>
        <w:t>Además, hizo referencia a la a</w:t>
      </w:r>
      <w:r>
        <w:t>u</w:t>
      </w:r>
      <w:r>
        <w:t>topsia practicada sobre el cuerpo de Díaz y a lo decl</w:t>
      </w:r>
      <w:r>
        <w:t>a</w:t>
      </w:r>
      <w:r>
        <w:t>rado en el juicio por el médico forense, de lo cual surgió la impos</w:t>
      </w:r>
      <w:r>
        <w:t>i</w:t>
      </w:r>
      <w:r>
        <w:t>bilidad de que ese amortiguador hubiera sido incrustado manualmente, no obstante lo cual las defensas continuaron dudando de dicha ci</w:t>
      </w:r>
      <w:r>
        <w:t>r</w:t>
      </w:r>
      <w:r>
        <w:t xml:space="preserve">cunstancia. </w:t>
      </w:r>
    </w:p>
    <w:p w:rsidR="00224567" w:rsidRDefault="00224567">
      <w:pPr>
        <w:widowControl w:val="0"/>
      </w:pPr>
      <w:r>
        <w:tab/>
      </w:r>
      <w:r>
        <w:tab/>
        <w:t>Al respecto, el Dr. Ávila se preguntó para qué alguien iba a incrustar un amortiguador en un cuerpo y si ello también había sido para incriminar a T</w:t>
      </w:r>
      <w:r>
        <w:t>e</w:t>
      </w:r>
      <w:r>
        <w:t>lleldín, Ribelli e Ibarra, concluyendo que el hecho de t</w:t>
      </w:r>
      <w:r>
        <w:t>e</w:t>
      </w:r>
      <w:r>
        <w:t>ner que dar explicaciones sobre este tema ofendía la mem</w:t>
      </w:r>
      <w:r>
        <w:t>o</w:t>
      </w:r>
      <w:r>
        <w:t>ria de los muertos e insultaba la int</w:t>
      </w:r>
      <w:r>
        <w:t>e</w:t>
      </w:r>
      <w:r>
        <w:t>ligencia de toda la sociedad a la que pretendían confundir a toda costa, añ</w:t>
      </w:r>
      <w:r>
        <w:t>a</w:t>
      </w:r>
      <w:r>
        <w:t>diendo un elemento que desnud</w:t>
      </w:r>
      <w:r>
        <w:t>a</w:t>
      </w:r>
      <w:r>
        <w:t>ba con dramática elocuencia ha</w:t>
      </w:r>
      <w:r>
        <w:t>s</w:t>
      </w:r>
      <w:r>
        <w:t>ta qué extremos se podía llegar para dar sustento a la hist</w:t>
      </w:r>
      <w:r>
        <w:t>o</w:t>
      </w:r>
      <w:r>
        <w:t>ria conspirativa.</w:t>
      </w:r>
    </w:p>
    <w:p w:rsidR="00224567" w:rsidRDefault="00224567">
      <w:pPr>
        <w:widowControl w:val="0"/>
      </w:pPr>
      <w:r>
        <w:tab/>
      </w:r>
      <w:r>
        <w:tab/>
        <w:t>Asimismo, manifestó que la e</w:t>
      </w:r>
      <w:r>
        <w:t>n</w:t>
      </w:r>
      <w:r>
        <w:t>trega de la camioneta por parte de Telleldín que tuvo lugar el 10 de julio de 1994, el dolo del no</w:t>
      </w:r>
      <w:r>
        <w:t>m</w:t>
      </w:r>
      <w:r>
        <w:t>brado al entregarla, como el de los restantes policías al recibirla y el pedido de pena formulado por la querella unificada, se asentaban s</w:t>
      </w:r>
      <w:r>
        <w:t>o</w:t>
      </w:r>
      <w:r>
        <w:t>bre cuatro sólidos pilares: primero, el atentado se com</w:t>
      </w:r>
      <w:r>
        <w:t>e</w:t>
      </w:r>
      <w:r>
        <w:t>tió mediante un coche bomba con una camioneta Renault Tr</w:t>
      </w:r>
      <w:r>
        <w:t>a</w:t>
      </w:r>
      <w:r>
        <w:t>fic especialmente armada; segundo, el hallazgo del motor del coche bomba condujo a Telleldín, quien fue el encarg</w:t>
      </w:r>
      <w:r>
        <w:t>a</w:t>
      </w:r>
      <w:r>
        <w:t>do de prepararla; te</w:t>
      </w:r>
      <w:r>
        <w:t>r</w:t>
      </w:r>
      <w:r>
        <w:t>cero, la especial relación acreditada en el juicio e</w:t>
      </w:r>
      <w:r>
        <w:t>n</w:t>
      </w:r>
      <w:r>
        <w:t>tre el preparador y algunos miembros de la policía b</w:t>
      </w:r>
      <w:r>
        <w:t>o</w:t>
      </w:r>
      <w:r>
        <w:t>naerense permitía entender por qué esa camioneta había sido entregada y pasado a una etapa más avanzada del plan terrorista y cuarto, que todo ello resultaba confi</w:t>
      </w:r>
      <w:r>
        <w:t>r</w:t>
      </w:r>
      <w:r>
        <w:t xml:space="preserve">mado por hechos posteriores, como eran las actitudes que asumieron y desvíos que generaron procurando eludir sus responsabilidades. </w:t>
      </w:r>
    </w:p>
    <w:p w:rsidR="00224567" w:rsidRDefault="00224567">
      <w:pPr>
        <w:widowControl w:val="0"/>
      </w:pPr>
      <w:r>
        <w:tab/>
      </w:r>
      <w:r>
        <w:tab/>
        <w:t>En virtud de lo expuesto, el Dr. Ávila sostuvo que el vano intento de las defensas por destruir algo que ellos mismos dijeron que no les incumbía y que les era ajeno, demostraba lo acertado de las afi</w:t>
      </w:r>
      <w:r>
        <w:t>r</w:t>
      </w:r>
      <w:r>
        <w:t>maciones de la querella, considerando que detrás de todo se enco</w:t>
      </w:r>
      <w:r>
        <w:t>n</w:t>
      </w:r>
      <w:r>
        <w:t>traba un encumbrado personaje de la policía más poderosa del país, pero de bajo pe</w:t>
      </w:r>
      <w:r>
        <w:t>r</w:t>
      </w:r>
      <w:r>
        <w:t xml:space="preserve">fil, que se hallaba vinculado al negocio de autos, aunque se había negado a admitirlo; un individuo cuyo </w:t>
      </w:r>
      <w:r>
        <w:rPr>
          <w:u w:val="single"/>
        </w:rPr>
        <w:t>alter ego</w:t>
      </w:r>
      <w:r>
        <w:t>, Ibarra anduvo detrás de Telle</w:t>
      </w:r>
      <w:r>
        <w:t>l</w:t>
      </w:r>
      <w:r>
        <w:t>dín desde el momento en que fue e</w:t>
      </w:r>
      <w:r>
        <w:t>x</w:t>
      </w:r>
      <w:r>
        <w:t>torsionado en el mes de abril y que el 10 de julio se llevó la camioneta; un pe</w:t>
      </w:r>
      <w:r>
        <w:t>r</w:t>
      </w:r>
      <w:r>
        <w:t>sonaje que recién llegado a la zona de la triple fro</w:t>
      </w:r>
      <w:r>
        <w:t>n</w:t>
      </w:r>
      <w:r>
        <w:t>tera recibió una importante donación de su padre, un jubilado ferroviario muy ah</w:t>
      </w:r>
      <w:r>
        <w:t>o</w:t>
      </w:r>
      <w:r>
        <w:t>rrativo, de quien no se pudo saber cómo hizo esa fortuna ni dónde la tenía; una persona que apar</w:t>
      </w:r>
      <w:r>
        <w:t>e</w:t>
      </w:r>
      <w:r>
        <w:t>ció en el centro de tres clarísimos intentos de de</w:t>
      </w:r>
      <w:r>
        <w:t>s</w:t>
      </w:r>
      <w:r>
        <w:t>viar la investigación, el último de los cuales comprendió una n</w:t>
      </w:r>
      <w:r>
        <w:t>e</w:t>
      </w:r>
      <w:r>
        <w:t xml:space="preserve">gociación de su defensor con </w:t>
      </w:r>
      <w:smartTag w:uri="urn:schemas-microsoft-com:office:smarttags" w:element="PersonName">
        <w:smartTagPr>
          <w:attr w:name="ProductID" w:val="la Secretar￭a"/>
        </w:smartTagPr>
        <w:r>
          <w:t>la Secretaría</w:t>
        </w:r>
      </w:smartTag>
      <w:r>
        <w:t xml:space="preserve"> de Int</w:t>
      </w:r>
      <w:r>
        <w:t>e</w:t>
      </w:r>
      <w:r>
        <w:t>ligencia de Estado y un intento de e</w:t>
      </w:r>
      <w:r>
        <w:t>x</w:t>
      </w:r>
      <w:r>
        <w:t>torsión al juez, que se quiso presentar como un caso de legítima defensa y que, al i</w:t>
      </w:r>
      <w:r>
        <w:t>n</w:t>
      </w:r>
      <w:r>
        <w:t>tervenirse el teléfono en julio de 1996 evidenció una inexplicable preocupación por la proximidad del anivers</w:t>
      </w:r>
      <w:r>
        <w:t>a</w:t>
      </w:r>
      <w:r>
        <w:t>rio del atentado y un temor en verse involucrado en la i</w:t>
      </w:r>
      <w:r>
        <w:t>n</w:t>
      </w:r>
      <w:r>
        <w:t>ve</w:t>
      </w:r>
      <w:r>
        <w:t>s</w:t>
      </w:r>
      <w:r>
        <w:t xml:space="preserve">tigación. </w:t>
      </w:r>
    </w:p>
    <w:p w:rsidR="00224567" w:rsidRDefault="00224567">
      <w:pPr>
        <w:widowControl w:val="0"/>
      </w:pPr>
      <w:r>
        <w:tab/>
      </w:r>
      <w:r>
        <w:tab/>
        <w:t>Seguidamente, el Dr. Ávila est</w:t>
      </w:r>
      <w:r>
        <w:t>i</w:t>
      </w:r>
      <w:r>
        <w:t>mó que los defensores, en el armado de la historia oficial, le asignaron un lugar importante a las medidas de protección y asegur</w:t>
      </w:r>
      <w:r>
        <w:t>a</w:t>
      </w:r>
      <w:r>
        <w:t>miento personal que había dispuesto el juez sobre algunos de los imputados, quienes hici</w:t>
      </w:r>
      <w:r>
        <w:t>e</w:t>
      </w:r>
      <w:r>
        <w:t>ron uso y abuso de los cambios de su lugar de dete</w:t>
      </w:r>
      <w:r>
        <w:t>n</w:t>
      </w:r>
      <w:r>
        <w:t xml:space="preserve">ción, tal como ocurrió en el caso del oficial Huici. </w:t>
      </w:r>
    </w:p>
    <w:p w:rsidR="00224567" w:rsidRDefault="00224567">
      <w:pPr>
        <w:widowControl w:val="0"/>
      </w:pPr>
      <w:r>
        <w:tab/>
      </w:r>
      <w:r>
        <w:tab/>
        <w:t>Consideró que la defensa de Ribelli intentó desvalorizar las pruebas existentes acerca de la manipulación sufrida por el oficial p</w:t>
      </w:r>
      <w:r>
        <w:t>a</w:t>
      </w:r>
      <w:r>
        <w:t>ra que brindara una falsa declaración incriminando a Telleldín en un homic</w:t>
      </w:r>
      <w:r>
        <w:t>i</w:t>
      </w:r>
      <w:r>
        <w:t>dio, destaca</w:t>
      </w:r>
      <w:r>
        <w:t>n</w:t>
      </w:r>
      <w:r>
        <w:t>do que si bien aquella parte alegó que Huici había modificado su declaración para mejorar sus condici</w:t>
      </w:r>
      <w:r>
        <w:t>o</w:t>
      </w:r>
      <w:r>
        <w:t>nes de detención, ello se hallaba refutado por lo manife</w:t>
      </w:r>
      <w:r>
        <w:t>s</w:t>
      </w:r>
      <w:r>
        <w:t>tado por el Dr. Dromi en su al</w:t>
      </w:r>
      <w:r>
        <w:t>e</w:t>
      </w:r>
      <w:r>
        <w:t>gato, quien demostró que el lugar de detención había sido di</w:t>
      </w:r>
      <w:r>
        <w:t>s</w:t>
      </w:r>
      <w:r>
        <w:t>puesto por el juez el 17 de julio, luego de prestar una declaración indagatoria que favorecía a R</w:t>
      </w:r>
      <w:r>
        <w:t>i</w:t>
      </w:r>
      <w:r>
        <w:t xml:space="preserve">belli. </w:t>
      </w:r>
    </w:p>
    <w:p w:rsidR="00224567" w:rsidRDefault="00224567">
      <w:pPr>
        <w:widowControl w:val="0"/>
      </w:pPr>
      <w:r>
        <w:tab/>
      </w:r>
      <w:r>
        <w:tab/>
        <w:t>Del mismo modo, el Dr. Ávila rebatió el argumento empleado por la defensa de R</w:t>
      </w:r>
      <w:r>
        <w:t>i</w:t>
      </w:r>
      <w:r>
        <w:t>belli, en virtud del cual el traslado de Huici a Gendarmería consistió en otro premio, toda vez que también hab</w:t>
      </w:r>
      <w:r>
        <w:t>í</w:t>
      </w:r>
      <w:r>
        <w:t>an sido trasladados Barreda y Bareiro; circunstancia que ordenó el juez Cav</w:t>
      </w:r>
      <w:r>
        <w:t>a</w:t>
      </w:r>
      <w:r>
        <w:t>llo como cons</w:t>
      </w:r>
      <w:r>
        <w:t>e</w:t>
      </w:r>
      <w:r>
        <w:t xml:space="preserve">cuencia de la fuga del llamado “tractorcito Cabrera” del Departamento Central de </w:t>
      </w:r>
      <w:smartTag w:uri="urn:schemas-microsoft-com:office:smarttags" w:element="PersonName">
        <w:smartTagPr>
          <w:attr w:name="ProductID" w:val="la Polic￭a Federal"/>
        </w:smartTagPr>
        <w:r>
          <w:t>la Policía Federal</w:t>
        </w:r>
      </w:smartTag>
      <w:r>
        <w:t xml:space="preserve"> Argentina, cuando la causa ya se encontraba en este Trib</w:t>
      </w:r>
      <w:r>
        <w:t>u</w:t>
      </w:r>
      <w:r>
        <w:t>nal.</w:t>
      </w:r>
    </w:p>
    <w:p w:rsidR="00224567" w:rsidRDefault="00224567">
      <w:pPr>
        <w:widowControl w:val="0"/>
      </w:pPr>
      <w:r>
        <w:tab/>
      </w:r>
      <w:r>
        <w:tab/>
        <w:t xml:space="preserve">Por otra parte, refirió que la omisión de Telleldín de mencionar a </w:t>
      </w:r>
      <w:smartTag w:uri="urn:schemas-microsoft-com:office:smarttags" w:element="PersonName">
        <w:smartTagPr>
          <w:attr w:name="ProductID" w:val="la Brigada"/>
        </w:smartTagPr>
        <w:r>
          <w:t>la Brigada</w:t>
        </w:r>
      </w:smartTag>
      <w:r>
        <w:t xml:space="preserve"> de Lanús o minim</w:t>
      </w:r>
      <w:r>
        <w:t>i</w:t>
      </w:r>
      <w:r>
        <w:t>zar la participación de ésta en sus primeras declaraci</w:t>
      </w:r>
      <w:r>
        <w:t>o</w:t>
      </w:r>
      <w:r>
        <w:t>nes, hizo decir a sus defensoras que el juez no había qu</w:t>
      </w:r>
      <w:r>
        <w:t>e</w:t>
      </w:r>
      <w:r>
        <w:t>rido consignar lo que el procesado le había dicho, est</w:t>
      </w:r>
      <w:r>
        <w:t>i</w:t>
      </w:r>
      <w:r>
        <w:t>mando que ello no era más que un recurso r</w:t>
      </w:r>
      <w:r>
        <w:t>e</w:t>
      </w:r>
      <w:r>
        <w:t>tórico frente a la contundencia de aquél sugestivo ocu</w:t>
      </w:r>
      <w:r>
        <w:t>l</w:t>
      </w:r>
      <w:r>
        <w:t xml:space="preserve">tamiento. </w:t>
      </w:r>
    </w:p>
    <w:p w:rsidR="00224567" w:rsidRDefault="00224567">
      <w:pPr>
        <w:widowControl w:val="0"/>
      </w:pPr>
      <w:r>
        <w:tab/>
      </w:r>
      <w:r>
        <w:tab/>
        <w:t>A mayor abundamiento, el Dr. Ávila h</w:t>
      </w:r>
      <w:r>
        <w:t>i</w:t>
      </w:r>
      <w:r>
        <w:t>zo referencia a las palabras de las letradas de T</w:t>
      </w:r>
      <w:r>
        <w:t>e</w:t>
      </w:r>
      <w:r>
        <w:t>lleldín, en cuanto dijeron que Sandra Petrucci no había declarado acerca de la extorsión en la brigada de Lanús porque el juez no se lo había preguntado, entendiendo que ello r</w:t>
      </w:r>
      <w:r>
        <w:t>e</w:t>
      </w:r>
      <w:r>
        <w:t xml:space="preserve">sultaba coherente con la omisión y minimización de aquél hecho por parte de Telleldín. </w:t>
      </w:r>
    </w:p>
    <w:p w:rsidR="00224567" w:rsidRDefault="00224567">
      <w:pPr>
        <w:widowControl w:val="0"/>
      </w:pPr>
      <w:r>
        <w:tab/>
      </w:r>
      <w:r>
        <w:tab/>
        <w:t>Asimismo, advirtió que el defe</w:t>
      </w:r>
      <w:r>
        <w:t>n</w:t>
      </w:r>
      <w:r>
        <w:t>sor de Ribelli contradijo la explicación brindada por las letr</w:t>
      </w:r>
      <w:r>
        <w:t>a</w:t>
      </w:r>
      <w:r>
        <w:t>das de T</w:t>
      </w:r>
      <w:r>
        <w:t>e</w:t>
      </w:r>
      <w:r>
        <w:t>lleldín, al afirmar que en la brigada de Lanús no se había cometido ninguna irregular</w:t>
      </w:r>
      <w:r>
        <w:t>i</w:t>
      </w:r>
      <w:r>
        <w:t>dad, razón por la cual aquellos episodios no habían sido mencionados por Telle</w:t>
      </w:r>
      <w:r>
        <w:t>l</w:t>
      </w:r>
      <w:r>
        <w:t>dín ni por Sandra Petrucci.</w:t>
      </w:r>
    </w:p>
    <w:p w:rsidR="00224567" w:rsidRDefault="00224567">
      <w:pPr>
        <w:widowControl w:val="0"/>
      </w:pPr>
      <w:r>
        <w:tab/>
      </w:r>
      <w:r>
        <w:tab/>
        <w:t>Por ello, dedujo que no podía seguir sosteniéndose que a Huici se lo había oblig</w:t>
      </w:r>
      <w:r>
        <w:t>a</w:t>
      </w:r>
      <w:r>
        <w:t>do a declarar falsamente para encubrir actos legales y no  actos que frustraron extorsiones que se llevaron a cabo posterio</w:t>
      </w:r>
      <w:r>
        <w:t>r</w:t>
      </w:r>
      <w:r>
        <w:t>mente.</w:t>
      </w:r>
    </w:p>
    <w:p w:rsidR="00224567" w:rsidRDefault="00224567">
      <w:pPr>
        <w:widowControl w:val="0"/>
      </w:pPr>
      <w:r>
        <w:tab/>
        <w:t>Luego, el Dr. Ávila calificó de fen</w:t>
      </w:r>
      <w:r>
        <w:t>o</w:t>
      </w:r>
      <w:r>
        <w:t>menal la confusión generada por Telleldín, r</w:t>
      </w:r>
      <w:r>
        <w:t>e</w:t>
      </w:r>
      <w:r>
        <w:t>marcando que ello, lejos de desvirtuar la hipótesis acusatoria, confi</w:t>
      </w:r>
      <w:r>
        <w:t>r</w:t>
      </w:r>
      <w:r>
        <w:t>maba la bondad de la estrategia terrorista de consuno con la conexión local llevada a juicio; circunstancia que no podía ser e</w:t>
      </w:r>
      <w:r>
        <w:t>x</w:t>
      </w:r>
      <w:r>
        <w:t>plicada sin incluir un acuerdo con Ribelli, al que comparó con las sinie</w:t>
      </w:r>
      <w:r>
        <w:t>s</w:t>
      </w:r>
      <w:r>
        <w:t>tras órdenes secretas impartidas en la causa nº 13.</w:t>
      </w:r>
    </w:p>
    <w:p w:rsidR="00224567" w:rsidRDefault="00224567">
      <w:pPr>
        <w:widowControl w:val="0"/>
      </w:pPr>
      <w:r>
        <w:tab/>
      </w:r>
      <w:r>
        <w:tab/>
        <w:t>No obstante ello, aclaró que ello no implicaba sostener que la hipótesis imputativa llevada a juicio se encontraba completa o que las líneas de invest</w:t>
      </w:r>
      <w:r>
        <w:t>i</w:t>
      </w:r>
      <w:r>
        <w:t>gación de la pista siria se hallaban ag</w:t>
      </w:r>
      <w:r>
        <w:t>o</w:t>
      </w:r>
      <w:r>
        <w:t>tadas.</w:t>
      </w:r>
    </w:p>
    <w:p w:rsidR="00224567" w:rsidRDefault="00224567">
      <w:pPr>
        <w:widowControl w:val="0"/>
      </w:pPr>
      <w:r>
        <w:tab/>
        <w:t>A modo de colofón, el represe</w:t>
      </w:r>
      <w:r>
        <w:t>n</w:t>
      </w:r>
      <w:r>
        <w:t>tante de la querella unificada refirió que la defensa de T</w:t>
      </w:r>
      <w:r>
        <w:t>e</w:t>
      </w:r>
      <w:r>
        <w:t xml:space="preserve">lleldín  no pudo destruir la afirmación de que una de las Trafic que armó éste último explotó en el edificio de </w:t>
      </w:r>
      <w:smartTag w:uri="urn:schemas-microsoft-com:office:smarttags" w:element="PersonName">
        <w:smartTagPr>
          <w:attr w:name="ProductID" w:val="la A.M"/>
        </w:smartTagPr>
        <w:r>
          <w:t>la A.M</w:t>
        </w:r>
      </w:smartTag>
      <w:r>
        <w:t>.I.A., entendiendo que su sistemática actitud encubr</w:t>
      </w:r>
      <w:r>
        <w:t>i</w:t>
      </w:r>
      <w:r>
        <w:t>dora llevaba inexorablemente a la policía bona</w:t>
      </w:r>
      <w:r>
        <w:t>e</w:t>
      </w:r>
      <w:r>
        <w:t>rense.</w:t>
      </w:r>
    </w:p>
    <w:p w:rsidR="00224567" w:rsidRDefault="00224567">
      <w:pPr>
        <w:widowControl w:val="0"/>
      </w:pPr>
      <w:r>
        <w:tab/>
      </w:r>
      <w:r>
        <w:tab/>
        <w:t>Sin perjuicio de ello, prec</w:t>
      </w:r>
      <w:r>
        <w:t>i</w:t>
      </w:r>
      <w:r>
        <w:t xml:space="preserve">só que la mecánica del atentado, todo lo que rodeó a </w:t>
      </w:r>
      <w:smartTag w:uri="urn:schemas-microsoft-com:office:smarttags" w:element="PersonName">
        <w:smartTagPr>
          <w:attr w:name="ProductID" w:val="la Trafic"/>
        </w:smartTagPr>
        <w:r>
          <w:t>la Trafic</w:t>
        </w:r>
      </w:smartTag>
      <w:r>
        <w:t xml:space="preserve"> que fue usada como coche bomba y las me</w:t>
      </w:r>
      <w:r>
        <w:t>n</w:t>
      </w:r>
      <w:r>
        <w:t>tiras sistemáticas de Telleldín, se encontraban probadas con un conjunto de d</w:t>
      </w:r>
      <w:r>
        <w:t>a</w:t>
      </w:r>
      <w:r>
        <w:t xml:space="preserve">tos objetivos: </w:t>
      </w:r>
      <w:smartTag w:uri="urn:schemas-microsoft-com:office:smarttags" w:element="PersonName">
        <w:smartTagPr>
          <w:attr w:name="ProductID" w:val="la Polic￭a Bonaerense"/>
        </w:smartTagPr>
        <w:r>
          <w:t>la Policía Bona</w:t>
        </w:r>
        <w:r>
          <w:t>e</w:t>
        </w:r>
        <w:r>
          <w:t>rense</w:t>
        </w:r>
      </w:smartTag>
      <w:r>
        <w:t xml:space="preserve"> siempre detrás de los pasos de Telleldín, los ocultamientos y mentiras de los imputados, los viajes real</w:t>
      </w:r>
      <w:r>
        <w:t>i</w:t>
      </w:r>
      <w:r>
        <w:t>zados por Ribelli, la falta de explicación de la donación del padre de éste último, las escuchas telefón</w:t>
      </w:r>
      <w:r>
        <w:t>i</w:t>
      </w:r>
      <w:r>
        <w:t>cas, los desvíos y la videocinta de Cúneo Lib</w:t>
      </w:r>
      <w:r>
        <w:t>a</w:t>
      </w:r>
      <w:r>
        <w:t>rona.</w:t>
      </w:r>
    </w:p>
    <w:p w:rsidR="00224567" w:rsidRDefault="00224567">
      <w:pPr>
        <w:widowControl w:val="0"/>
      </w:pPr>
      <w:r>
        <w:tab/>
      </w:r>
      <w:r>
        <w:tab/>
        <w:t xml:space="preserve">Por otra parte, le pareció que del juicio había quedado claro que </w:t>
      </w:r>
      <w:smartTag w:uri="urn:schemas-microsoft-com:office:smarttags" w:element="PersonName">
        <w:smartTagPr>
          <w:attr w:name="ProductID" w:val="la Secretar￭a"/>
        </w:smartTagPr>
        <w:r>
          <w:t>la Secretaría</w:t>
        </w:r>
      </w:smartTag>
      <w:r>
        <w:t xml:space="preserve"> de Intelige</w:t>
      </w:r>
      <w:r>
        <w:t>n</w:t>
      </w:r>
      <w:r>
        <w:t>cia de Estado vigiló de algún modo a los iran</w:t>
      </w:r>
      <w:r>
        <w:t>í</w:t>
      </w:r>
      <w:r>
        <w:t>es. Si bien refirió ignorar las reglas internacion</w:t>
      </w:r>
      <w:r>
        <w:t>a</w:t>
      </w:r>
      <w:r>
        <w:t>les sobre el tema, intuyó que en la práctica debía primar una descomunal h</w:t>
      </w:r>
      <w:r>
        <w:t>i</w:t>
      </w:r>
      <w:r>
        <w:t>pocresía.</w:t>
      </w:r>
    </w:p>
    <w:p w:rsidR="00224567" w:rsidRDefault="00224567">
      <w:pPr>
        <w:widowControl w:val="0"/>
      </w:pPr>
      <w:r>
        <w:tab/>
      </w:r>
      <w:r>
        <w:tab/>
        <w:t>En ese sentido, estimó que al menos, luego del ate</w:t>
      </w:r>
      <w:r>
        <w:t>n</w:t>
      </w:r>
      <w:r>
        <w:t xml:space="preserve">tado a </w:t>
      </w:r>
      <w:smartTag w:uri="urn:schemas-microsoft-com:office:smarttags" w:element="PersonName">
        <w:smartTagPr>
          <w:attr w:name="ProductID" w:val="la Embajada"/>
        </w:smartTagPr>
        <w:r>
          <w:t>la Embajada</w:t>
        </w:r>
      </w:smartTag>
      <w:r>
        <w:t xml:space="preserve"> de Israel, </w:t>
      </w:r>
      <w:smartTag w:uri="urn:schemas-microsoft-com:office:smarttags" w:element="PersonName">
        <w:smartTagPr>
          <w:attr w:name="ProductID" w:val="la Secretar￭a"/>
        </w:smartTagPr>
        <w:r>
          <w:t>la Secretaría</w:t>
        </w:r>
      </w:smartTag>
      <w:r>
        <w:t xml:space="preserve"> de Intel</w:t>
      </w:r>
      <w:r>
        <w:t>i</w:t>
      </w:r>
      <w:r>
        <w:t>gencia de Estado algo hizo, aunque no evitaron el nuevo atentado, no obstante el buen tono internacional i</w:t>
      </w:r>
      <w:r>
        <w:t>m</w:t>
      </w:r>
      <w:r>
        <w:t xml:space="preserve">pedía admitirlo. </w:t>
      </w:r>
    </w:p>
    <w:p w:rsidR="00224567" w:rsidRDefault="00224567">
      <w:pPr>
        <w:widowControl w:val="0"/>
      </w:pPr>
      <w:r>
        <w:tab/>
      </w:r>
      <w:r>
        <w:tab/>
        <w:t>Expresó que de suponerse, en c</w:t>
      </w:r>
      <w:r>
        <w:t>o</w:t>
      </w:r>
      <w:r>
        <w:t xml:space="preserve">ntra de su incredulidad, que </w:t>
      </w:r>
      <w:smartTag w:uri="urn:schemas-microsoft-com:office:smarttags" w:element="PersonName">
        <w:smartTagPr>
          <w:attr w:name="ProductID" w:val="la Secretar￭a"/>
        </w:smartTagPr>
        <w:r>
          <w:t>la Secretaría</w:t>
        </w:r>
      </w:smartTag>
      <w:r>
        <w:t xml:space="preserve"> de Inteligencia de E</w:t>
      </w:r>
      <w:r>
        <w:t>s</w:t>
      </w:r>
      <w:r>
        <w:t>tado efectivamente siguió a los t</w:t>
      </w:r>
      <w:r>
        <w:t>e</w:t>
      </w:r>
      <w:r>
        <w:t>rroristas y la camioneta terminó escapándose de sus manos y que aquél organismo, para no admitirlo, armó lo ocurrido en el juzgado del Dr. Alberto Santa Marina, lo descomunal ya no era la hipocr</w:t>
      </w:r>
      <w:r>
        <w:t>e</w:t>
      </w:r>
      <w:r>
        <w:t>sía sino la estupidez.</w:t>
      </w:r>
    </w:p>
    <w:p w:rsidR="00224567" w:rsidRDefault="00224567">
      <w:pPr>
        <w:widowControl w:val="0"/>
      </w:pPr>
      <w:r>
        <w:tab/>
      </w:r>
      <w:r>
        <w:tab/>
        <w:t xml:space="preserve">De todas formas, se inclinó a pensar que la vigilancia o seguimiento efectuado por </w:t>
      </w:r>
      <w:smartTag w:uri="urn:schemas-microsoft-com:office:smarttags" w:element="PersonName">
        <w:smartTagPr>
          <w:attr w:name="ProductID" w:val="la Secretar￭a"/>
        </w:smartTagPr>
        <w:r>
          <w:t>la Secret</w:t>
        </w:r>
        <w:r>
          <w:t>a</w:t>
        </w:r>
        <w:r>
          <w:t>ría</w:t>
        </w:r>
      </w:smartTag>
      <w:r>
        <w:t xml:space="preserve"> de Inteligencia de Estado, haya sido con o sin la c</w:t>
      </w:r>
      <w:r>
        <w:t>a</w:t>
      </w:r>
      <w:r>
        <w:t>mioneta, fue negado porque la hipocresía de las r</w:t>
      </w:r>
      <w:r>
        <w:t>e</w:t>
      </w:r>
      <w:r>
        <w:t>laciones internacionales impedía admitirlo; circunstancia que, s</w:t>
      </w:r>
      <w:r>
        <w:t>u</w:t>
      </w:r>
      <w:r>
        <w:t>mada a la más depurada estulticia, explicaban gran parte del pretendido designio de perjudicar a Telleldín y a R</w:t>
      </w:r>
      <w:r>
        <w:t>i</w:t>
      </w:r>
      <w:r>
        <w:t>belli, a la vez que hacía caer buena parte de la hipótesis conspirativa, incluidas las conjeturas de Lifschitz con relación a la causa que tramitaba por ante el juzgado del Dr. Santa M</w:t>
      </w:r>
      <w:r>
        <w:t>a</w:t>
      </w:r>
      <w:r>
        <w:t>rina.</w:t>
      </w:r>
    </w:p>
    <w:p w:rsidR="00224567" w:rsidRDefault="00224567">
      <w:pPr>
        <w:widowControl w:val="0"/>
      </w:pPr>
      <w:r>
        <w:tab/>
      </w:r>
      <w:r>
        <w:tab/>
        <w:t>A continuación, el Dr. Ávila c</w:t>
      </w:r>
      <w:r>
        <w:t>o</w:t>
      </w:r>
      <w:r>
        <w:t>menzó a analizar detalladamente la supuesta historia oficial con</w:t>
      </w:r>
      <w:r>
        <w:t>s</w:t>
      </w:r>
      <w:r>
        <w:t>pirativa sobre la base de lo alegado por la defensa de R</w:t>
      </w:r>
      <w:r>
        <w:t>i</w:t>
      </w:r>
      <w:r>
        <w:t>belli.</w:t>
      </w:r>
    </w:p>
    <w:p w:rsidR="00224567" w:rsidRDefault="00224567">
      <w:pPr>
        <w:widowControl w:val="0"/>
      </w:pPr>
      <w:r>
        <w:tab/>
      </w:r>
      <w:r>
        <w:tab/>
        <w:t>Al respecto, so</w:t>
      </w:r>
      <w:r>
        <w:t>s</w:t>
      </w:r>
      <w:r>
        <w:t>tuvo que de acuerdo a la defensa de Ribelli, la fecha 5 de julio de 1996 se e</w:t>
      </w:r>
      <w:r>
        <w:t>s</w:t>
      </w:r>
      <w:r>
        <w:t>tableció como el final de una secuencia de actos prepar</w:t>
      </w:r>
      <w:r>
        <w:t>a</w:t>
      </w:r>
      <w:r>
        <w:t>torios, de los cuales se habían suministrado  distintas fechas de inicio: mayo de 1995, 25 de julio de 1994 e i</w:t>
      </w:r>
      <w:r>
        <w:t>n</w:t>
      </w:r>
      <w:r>
        <w:t>cluso el mismo día del atentado, con la manipulación del cadáver del Sr. Díaz.</w:t>
      </w:r>
    </w:p>
    <w:p w:rsidR="00224567" w:rsidRDefault="00224567">
      <w:pPr>
        <w:widowControl w:val="0"/>
      </w:pPr>
      <w:r>
        <w:tab/>
      </w:r>
      <w:r>
        <w:tab/>
        <w:t>Subrayó que T</w:t>
      </w:r>
      <w:r>
        <w:t>e</w:t>
      </w:r>
      <w:r>
        <w:t xml:space="preserve">lleldín era el único que sabía a quién le había entregado </w:t>
      </w:r>
      <w:smartTag w:uri="urn:schemas-microsoft-com:office:smarttags" w:element="PersonName">
        <w:smartTagPr>
          <w:attr w:name="ProductID" w:val="la Trafic"/>
        </w:smartTagPr>
        <w:r>
          <w:t>la Trafic</w:t>
        </w:r>
      </w:smartTag>
      <w:r>
        <w:t>, mientras que existían sobrados datos objetivos e independientes que i</w:t>
      </w:r>
      <w:r>
        <w:t>n</w:t>
      </w:r>
      <w:r>
        <w:t>dicaban a Ribelli y a su gente como aquellos que se la h</w:t>
      </w:r>
      <w:r>
        <w:t>a</w:t>
      </w:r>
      <w:r>
        <w:t>bían llevado; datos con lo cuales se podía armar una hi</w:t>
      </w:r>
      <w:r>
        <w:t>s</w:t>
      </w:r>
      <w:r>
        <w:t>toria conspirativa o el relato imput</w:t>
      </w:r>
      <w:r>
        <w:t>a</w:t>
      </w:r>
      <w:r>
        <w:t>tivo que explicaba lo ocurrido.</w:t>
      </w:r>
    </w:p>
    <w:p w:rsidR="00224567" w:rsidRDefault="00224567">
      <w:pPr>
        <w:widowControl w:val="0"/>
      </w:pPr>
      <w:r>
        <w:tab/>
      </w:r>
      <w:r>
        <w:tab/>
        <w:t>Por otra parte, el Dr. Ávila recordó que el inicio de la historia conspirativa, ubic</w:t>
      </w:r>
      <w:r>
        <w:t>a</w:t>
      </w:r>
      <w:r>
        <w:t>da en mayo de 1995, estuvo motivada en una reunión mantenida entre una fallecida camarista, un ministro a</w:t>
      </w:r>
      <w:r>
        <w:t>u</w:t>
      </w:r>
      <w:r>
        <w:t>sente en el juicio y un cuestionado dirigente comunitario, bajo la forma de una sinie</w:t>
      </w:r>
      <w:r>
        <w:t>s</w:t>
      </w:r>
      <w:r>
        <w:t>tra conjura.</w:t>
      </w:r>
    </w:p>
    <w:p w:rsidR="00224567" w:rsidRDefault="00224567">
      <w:pPr>
        <w:widowControl w:val="0"/>
      </w:pPr>
      <w:r>
        <w:tab/>
        <w:t>En este punto, el representante de la querella consideró que dicha reunión podía reconstruirse como un encuentro entre personas que asumían sus respons</w:t>
      </w:r>
      <w:r>
        <w:t>a</w:t>
      </w:r>
      <w:r>
        <w:t>bilidades y preocupaciones por una causa estancada y que sabían que Telleldín era el único que tenía que conocer a quién le había entregado la camioneta y que continuaba j</w:t>
      </w:r>
      <w:r>
        <w:t>u</w:t>
      </w:r>
      <w:r>
        <w:t>gando un perverso e incomprensible juego de desvíos.</w:t>
      </w:r>
    </w:p>
    <w:p w:rsidR="00224567" w:rsidRDefault="00224567">
      <w:pPr>
        <w:widowControl w:val="0"/>
      </w:pPr>
      <w:r>
        <w:tab/>
        <w:t>Resaltó que dicha versión chocaba con la escasa credibilidad que los argentinos le asignaban a sus gobiernos, especialmente al de aqu</w:t>
      </w:r>
      <w:r>
        <w:t>e</w:t>
      </w:r>
      <w:r>
        <w:t>lla época.</w:t>
      </w:r>
    </w:p>
    <w:p w:rsidR="00224567" w:rsidRDefault="00224567">
      <w:pPr>
        <w:widowControl w:val="0"/>
      </w:pPr>
      <w:r>
        <w:tab/>
        <w:t>Consideró que la diferencia entre la versión conspirativa con otra que denominó constructiva, pasaba por la credibilidad que se otorgaba al Estado a</w:t>
      </w:r>
      <w:r>
        <w:t>r</w:t>
      </w:r>
      <w:r>
        <w:t xml:space="preserve">gentino y a sus funcionarios. </w:t>
      </w:r>
    </w:p>
    <w:p w:rsidR="00224567" w:rsidRDefault="00224567">
      <w:pPr>
        <w:widowControl w:val="0"/>
      </w:pPr>
      <w:r>
        <w:tab/>
        <w:t>Reiteró que de asignarse a la versión un sentido conspirativo todo podía verse como lo pr</w:t>
      </w:r>
      <w:r>
        <w:t>e</w:t>
      </w:r>
      <w:r>
        <w:t>tendía la defensa, culminando con el pago del 5 de j</w:t>
      </w:r>
      <w:r>
        <w:t>u</w:t>
      </w:r>
      <w:r>
        <w:t>lio de 1996, que había sido utilizado para contaminar retroact</w:t>
      </w:r>
      <w:r>
        <w:t>i</w:t>
      </w:r>
      <w:r>
        <w:t>vamente todo lo sucedido.</w:t>
      </w:r>
    </w:p>
    <w:p w:rsidR="00224567" w:rsidRDefault="00224567">
      <w:pPr>
        <w:widowControl w:val="0"/>
      </w:pPr>
      <w:r>
        <w:tab/>
        <w:t>En cambio, de asignarse un sentido constructivo, la misma secuencia de datos objetivos jal</w:t>
      </w:r>
      <w:r>
        <w:t>o</w:t>
      </w:r>
      <w:r>
        <w:t>naba los pasos de un contexto de descubrimiento que culm</w:t>
      </w:r>
      <w:r>
        <w:t>i</w:t>
      </w:r>
      <w:r>
        <w:t>naba con la convicción de la responsabilidad de los imp</w:t>
      </w:r>
      <w:r>
        <w:t>u</w:t>
      </w:r>
      <w:r>
        <w:t>tados; extremo que se justificaba con la aparición de la donación del padre de Ribelli, el viaje a Ciudad del Este, el video de Cúneo Libarona, los desvíos y las escuchas t</w:t>
      </w:r>
      <w:r>
        <w:t>e</w:t>
      </w:r>
      <w:r>
        <w:t>lefón</w:t>
      </w:r>
      <w:r>
        <w:t>i</w:t>
      </w:r>
      <w:r>
        <w:t>cas, que la estulticia de un juez bisoño y soberbio y los manejos de un amoral habilísimo, terminaron contam</w:t>
      </w:r>
      <w:r>
        <w:t>i</w:t>
      </w:r>
      <w:r>
        <w:t>nando con la declar</w:t>
      </w:r>
      <w:r>
        <w:t>a</w:t>
      </w:r>
      <w:r>
        <w:t>ción del 5 de julio.</w:t>
      </w:r>
    </w:p>
    <w:p w:rsidR="00224567" w:rsidRDefault="00224567">
      <w:pPr>
        <w:widowControl w:val="0"/>
      </w:pPr>
      <w:r>
        <w:tab/>
      </w:r>
      <w:r>
        <w:tab/>
        <w:t>Sin perjuicio de lo expuesto, el Dr. Ávila continuó evaluando aquella supuesta versión consp</w:t>
      </w:r>
      <w:r>
        <w:t>i</w:t>
      </w:r>
      <w:r>
        <w:t>rativa, c</w:t>
      </w:r>
      <w:r>
        <w:t>u</w:t>
      </w:r>
      <w:r>
        <w:t>yo inicio fue colocado en la reunión del mes de mayo de 1995, según la cual para r</w:t>
      </w:r>
      <w:r>
        <w:t>e</w:t>
      </w:r>
      <w:r>
        <w:t>activar la causa debían buscarse otros responsables, ya que Telleldín no satisf</w:t>
      </w:r>
      <w:r>
        <w:t>a</w:t>
      </w:r>
      <w:r>
        <w:t>cía el perfil necesario para hacerse cargo de un hecho de sem</w:t>
      </w:r>
      <w:r>
        <w:t>e</w:t>
      </w:r>
      <w:r>
        <w:t>jante magnitud.</w:t>
      </w:r>
    </w:p>
    <w:p w:rsidR="00224567" w:rsidRDefault="00224567">
      <w:pPr>
        <w:widowControl w:val="0"/>
      </w:pPr>
      <w:r>
        <w:tab/>
      </w:r>
      <w:r>
        <w:tab/>
        <w:t>El representante de la querella unif</w:t>
      </w:r>
      <w:r>
        <w:t>i</w:t>
      </w:r>
      <w:r>
        <w:t>cada calificó de equívoca dicha afirmación, por entender que si realmente el Estado hubiera pensado que Telleldín era el responsable lo hubiera procesado por el delito pr</w:t>
      </w:r>
      <w:r>
        <w:t>e</w:t>
      </w:r>
      <w:r>
        <w:t>visto en el art. 80 del Código Penal, circunstancia que aún no había ocurr</w:t>
      </w:r>
      <w:r>
        <w:t>i</w:t>
      </w:r>
      <w:r>
        <w:t>do.</w:t>
      </w:r>
    </w:p>
    <w:p w:rsidR="00224567" w:rsidRDefault="00224567">
      <w:pPr>
        <w:widowControl w:val="0"/>
      </w:pPr>
      <w:r>
        <w:tab/>
      </w:r>
      <w:r>
        <w:tab/>
        <w:t>No obstante ello, le pareció curioso que el 2 de junio de 1995 los fiscales solicitaron el pr</w:t>
      </w:r>
      <w:r>
        <w:t>o</w:t>
      </w:r>
      <w:r>
        <w:t>cesamiento de Telleldín; medida cuya omisión en un princ</w:t>
      </w:r>
      <w:r>
        <w:t>i</w:t>
      </w:r>
      <w:r>
        <w:t>pio la defensa hizo notar y que, una vez requerida, fue caracterizada como una especie de presión hacia el imp</w:t>
      </w:r>
      <w:r>
        <w:t>u</w:t>
      </w:r>
      <w:r>
        <w:t>tado.</w:t>
      </w:r>
    </w:p>
    <w:p w:rsidR="00224567" w:rsidRDefault="00224567">
      <w:pPr>
        <w:widowControl w:val="0"/>
      </w:pPr>
      <w:r>
        <w:tab/>
      </w:r>
      <w:r>
        <w:tab/>
        <w:t>Además, el Dr. Ávila cuesti</w:t>
      </w:r>
      <w:r>
        <w:t>o</w:t>
      </w:r>
      <w:r>
        <w:t>nó que los sostenedores de la tesis conspirativa pretendieron demo</w:t>
      </w:r>
      <w:r>
        <w:t>s</w:t>
      </w:r>
      <w:r>
        <w:t>trar que el oficio del 9 de julio de 1995, librado por G</w:t>
      </w:r>
      <w:r>
        <w:t>a</w:t>
      </w:r>
      <w:r>
        <w:t>leano a Klodczyk para que investigue el entorno de Telle</w:t>
      </w:r>
      <w:r>
        <w:t>l</w:t>
      </w:r>
      <w:r>
        <w:t>dín y que luego pasó a ser la fs. 1 de la causa Brig</w:t>
      </w:r>
      <w:r>
        <w:t>a</w:t>
      </w:r>
      <w:r>
        <w:t>das, había s</w:t>
      </w:r>
      <w:r>
        <w:t>a</w:t>
      </w:r>
      <w:r>
        <w:t>lido de la nada.</w:t>
      </w:r>
    </w:p>
    <w:p w:rsidR="00224567" w:rsidRDefault="00224567">
      <w:pPr>
        <w:widowControl w:val="0"/>
      </w:pPr>
      <w:r>
        <w:tab/>
      </w:r>
      <w:r>
        <w:tab/>
        <w:t>En este punto, se remitió a lo expue</w:t>
      </w:r>
      <w:r>
        <w:t>s</w:t>
      </w:r>
      <w:r>
        <w:t xml:space="preserve">to por </w:t>
      </w:r>
      <w:smartTag w:uri="urn:schemas-microsoft-com:office:smarttags" w:element="PersonName">
        <w:smartTagPr>
          <w:attr w:name="ProductID" w:val="La Dra. Nercellas"/>
        </w:smartTagPr>
        <w:r>
          <w:t>la Dra. Nercellas</w:t>
        </w:r>
      </w:smartTag>
      <w:r>
        <w:t>, quien indicó que en la causa existían elementos que justificaban investigar las rel</w:t>
      </w:r>
      <w:r>
        <w:t>a</w:t>
      </w:r>
      <w:r>
        <w:t>ciones entre Telleldín y miembros de la policía bonaere</w:t>
      </w:r>
      <w:r>
        <w:t>n</w:t>
      </w:r>
      <w:r>
        <w:t>se y consideró razonable que, desde el comienzo, se invest</w:t>
      </w:r>
      <w:r>
        <w:t>i</w:t>
      </w:r>
      <w:r>
        <w:t xml:space="preserve">gara al menos a </w:t>
      </w:r>
      <w:smartTag w:uri="urn:schemas-microsoft-com:office:smarttags" w:element="PersonName">
        <w:smartTagPr>
          <w:attr w:name="ProductID" w:val="la Brigada"/>
        </w:smartTagPr>
        <w:r>
          <w:t>la Brigada</w:t>
        </w:r>
      </w:smartTag>
      <w:r>
        <w:t xml:space="preserve"> de  Vicente López, cuya part</w:t>
      </w:r>
      <w:r>
        <w:t>i</w:t>
      </w:r>
      <w:r>
        <w:t>cipación no fue ocultada por Telleldín en sus primeras d</w:t>
      </w:r>
      <w:r>
        <w:t>e</w:t>
      </w:r>
      <w:r>
        <w:t>claraciones ind</w:t>
      </w:r>
      <w:r>
        <w:t>a</w:t>
      </w:r>
      <w:r>
        <w:t>gatorias.</w:t>
      </w:r>
    </w:p>
    <w:p w:rsidR="00224567" w:rsidRDefault="00224567">
      <w:pPr>
        <w:widowControl w:val="0"/>
      </w:pPr>
      <w:r>
        <w:tab/>
      </w:r>
      <w:r>
        <w:tab/>
        <w:t>Acto seguido, el Dr. Ávila hizo ref</w:t>
      </w:r>
      <w:r>
        <w:t>e</w:t>
      </w:r>
      <w:r>
        <w:t>rencia al reportaje realizado a Telleldín, public</w:t>
      </w:r>
      <w:r>
        <w:t>a</w:t>
      </w:r>
      <w:r>
        <w:t xml:space="preserve">do en la edición del diario “Página </w:t>
      </w:r>
      <w:smartTag w:uri="urn:schemas-microsoft-com:office:smarttags" w:element="metricconverter">
        <w:smartTagPr>
          <w:attr w:name="ProductID" w:val="12”"/>
        </w:smartTagPr>
        <w:r>
          <w:t>12”</w:t>
        </w:r>
      </w:smartTag>
      <w:r>
        <w:t xml:space="preserve"> del 16 de julio de 1995, donde el nombrado sostuvo que policías lo habían extorsi</w:t>
      </w:r>
      <w:r>
        <w:t>o</w:t>
      </w:r>
      <w:r>
        <w:t>nado en Lanús y en Vicente López, ente</w:t>
      </w:r>
      <w:r>
        <w:t>n</w:t>
      </w:r>
      <w:r>
        <w:t>diendo que no había falsedad alguna en aquella afirm</w:t>
      </w:r>
      <w:r>
        <w:t>a</w:t>
      </w:r>
      <w:r>
        <w:t>ción, como contrariamente lo quisieron hacer ver las defensas de Ibarra y de Rib</w:t>
      </w:r>
      <w:r>
        <w:t>e</w:t>
      </w:r>
      <w:r>
        <w:t>lli.</w:t>
      </w:r>
    </w:p>
    <w:p w:rsidR="00224567" w:rsidRDefault="00224567">
      <w:pPr>
        <w:widowControl w:val="0"/>
      </w:pPr>
      <w:r>
        <w:tab/>
      </w:r>
      <w:r>
        <w:tab/>
        <w:t>Asimismo, destacó que los portavoces de la versión conspirativa no recordaron todo lo que T</w:t>
      </w:r>
      <w:r>
        <w:t>e</w:t>
      </w:r>
      <w:r>
        <w:t>lleldín había mencionado en el reportaje previamente cit</w:t>
      </w:r>
      <w:r>
        <w:t>a</w:t>
      </w:r>
      <w:r>
        <w:t>do, en el cual el nombrado r</w:t>
      </w:r>
      <w:r>
        <w:t>e</w:t>
      </w:r>
      <w:r>
        <w:t>conoció haber cumplido un rol funci</w:t>
      </w:r>
      <w:r>
        <w:t>o</w:t>
      </w:r>
      <w:r>
        <w:t>nal.</w:t>
      </w:r>
    </w:p>
    <w:p w:rsidR="00224567" w:rsidRDefault="00224567">
      <w:pPr>
        <w:widowControl w:val="0"/>
      </w:pPr>
      <w:r>
        <w:tab/>
      </w:r>
      <w:r>
        <w:tab/>
        <w:t>Subrayó que era falso que al 18 de j</w:t>
      </w:r>
      <w:r>
        <w:t>u</w:t>
      </w:r>
      <w:r>
        <w:t>lio de 1995 no existía constancia alguna con rel</w:t>
      </w:r>
      <w:r>
        <w:t>a</w:t>
      </w:r>
      <w:r>
        <w:t xml:space="preserve">ción a </w:t>
      </w:r>
      <w:smartTag w:uri="urn:schemas-microsoft-com:office:smarttags" w:element="PersonName">
        <w:smartTagPr>
          <w:attr w:name="ProductID" w:val="la Polic￭a Bonaerense"/>
        </w:smartTagPr>
        <w:r>
          <w:t>la Policía Bonaerense</w:t>
        </w:r>
      </w:smartTag>
      <w:r>
        <w:t>, teniendo en cuenta su participación desde el comienzo de la causa, las exto</w:t>
      </w:r>
      <w:r>
        <w:t>r</w:t>
      </w:r>
      <w:r>
        <w:t>siones en Vicente López y Lanús y los dichos de Telleldín en la entrevista antes me</w:t>
      </w:r>
      <w:r>
        <w:t>n</w:t>
      </w:r>
      <w:r>
        <w:t>cionada.</w:t>
      </w:r>
    </w:p>
    <w:p w:rsidR="00224567" w:rsidRDefault="00224567">
      <w:pPr>
        <w:widowControl w:val="0"/>
      </w:pPr>
      <w:r>
        <w:tab/>
      </w:r>
      <w:r>
        <w:tab/>
        <w:t>Por otro lado, le pareció lógico, en virtud de la vinculación de Telleldín con miembros de la policía bonaerense, que el sumario admini</w:t>
      </w:r>
      <w:r>
        <w:t>s</w:t>
      </w:r>
      <w:r>
        <w:t>trativo iniciado por Bretschneider el 24 de julio de 1995, rel</w:t>
      </w:r>
      <w:r>
        <w:t>a</w:t>
      </w:r>
      <w:r>
        <w:t>cionado con el incumplimiento de los deberes de funcionario público por parte de of</w:t>
      </w:r>
      <w:r>
        <w:t>i</w:t>
      </w:r>
      <w:r>
        <w:t>ciales de esa policía, haya sido instruido por el Dr. Galeano y no por el juez de la provincia de Buenos Aires, como contrariamente lo entendieron los so</w:t>
      </w:r>
      <w:r>
        <w:t>s</w:t>
      </w:r>
      <w:r>
        <w:t>tenedores de la hip</w:t>
      </w:r>
      <w:r>
        <w:t>ó</w:t>
      </w:r>
      <w:r>
        <w:t>tesis conspirativa.</w:t>
      </w:r>
      <w:r>
        <w:tab/>
      </w:r>
    </w:p>
    <w:p w:rsidR="00224567" w:rsidRDefault="00224567">
      <w:pPr>
        <w:widowControl w:val="0"/>
      </w:pPr>
      <w:r>
        <w:tab/>
      </w:r>
      <w:r>
        <w:tab/>
        <w:t>En cuanto al plano que se agregó el 15 de agosto de 1995, cuya autoría no p</w:t>
      </w:r>
      <w:r>
        <w:t>u</w:t>
      </w:r>
      <w:r>
        <w:t>do serle atribuida a Telleldín, tal como lo demostró el peritaje ordenado por este tribunal, el Dr. Ávila estimó que dicho elemento no había tenido una influencia decisiva con relación a la a</w:t>
      </w:r>
      <w:r>
        <w:t>c</w:t>
      </w:r>
      <w:r>
        <w:t xml:space="preserve">titud que luego asumió el juez Galeano con respecto a </w:t>
      </w:r>
      <w:smartTag w:uri="urn:schemas-microsoft-com:office:smarttags" w:element="PersonName">
        <w:smartTagPr>
          <w:attr w:name="ProductID" w:val="la Polic￭a Bonaerense"/>
        </w:smartTagPr>
        <w:r>
          <w:t>la Policía Bonaerense</w:t>
        </w:r>
      </w:smartTag>
      <w:r>
        <w:t>, como de manera opuesta lo había ente</w:t>
      </w:r>
      <w:r>
        <w:t>n</w:t>
      </w:r>
      <w:r>
        <w:t>dido la d</w:t>
      </w:r>
      <w:r>
        <w:t>e</w:t>
      </w:r>
      <w:r>
        <w:t>fensa de Ribelli.</w:t>
      </w:r>
    </w:p>
    <w:p w:rsidR="00224567" w:rsidRDefault="00224567">
      <w:pPr>
        <w:widowControl w:val="0"/>
      </w:pPr>
      <w:r>
        <w:tab/>
      </w:r>
      <w:r>
        <w:tab/>
        <w:t>En este punto, el represe</w:t>
      </w:r>
      <w:r>
        <w:t>n</w:t>
      </w:r>
      <w:r>
        <w:t>tante de la querella unificada hizo notar que s</w:t>
      </w:r>
      <w:r>
        <w:t>e</w:t>
      </w:r>
      <w:r>
        <w:t>gún aquella defensa el juez ya había perdido su imparcialidad desde julio de 1994, con lo cual no pudo comprender cómo, si la historia oficial ya se había echado a rodar en aquél año, el magi</w:t>
      </w:r>
      <w:r>
        <w:t>s</w:t>
      </w:r>
      <w:r>
        <w:t>trado s</w:t>
      </w:r>
      <w:r>
        <w:t>e</w:t>
      </w:r>
      <w:r>
        <w:t>guía teniendo sus dudas en agosto de 1995.</w:t>
      </w:r>
    </w:p>
    <w:p w:rsidR="00224567" w:rsidRDefault="00224567">
      <w:pPr>
        <w:widowControl w:val="0"/>
      </w:pPr>
      <w:r>
        <w:tab/>
      </w:r>
      <w:r>
        <w:tab/>
        <w:t>Asimismo, no le pareció razon</w:t>
      </w:r>
      <w:r>
        <w:t>a</w:t>
      </w:r>
      <w:r>
        <w:t>ble que aquél plano, que ilustraba la manzana en la que vivía T</w:t>
      </w:r>
      <w:r>
        <w:t>e</w:t>
      </w:r>
      <w:r>
        <w:t>lleldín y la ubicación de disti</w:t>
      </w:r>
      <w:r>
        <w:t>n</w:t>
      </w:r>
      <w:r>
        <w:t xml:space="preserve">tos automóviles el día de la entrega de </w:t>
      </w:r>
      <w:smartTag w:uri="urn:schemas-microsoft-com:office:smarttags" w:element="PersonName">
        <w:smartTagPr>
          <w:attr w:name="ProductID" w:val="la Trafic"/>
        </w:smartTagPr>
        <w:r>
          <w:t>la Trafic</w:t>
        </w:r>
      </w:smartTag>
      <w:r>
        <w:t xml:space="preserve">, hubiera sido inventado por </w:t>
      </w:r>
      <w:smartTag w:uri="urn:schemas-microsoft-com:office:smarttags" w:element="PersonName">
        <w:smartTagPr>
          <w:attr w:name="ProductID" w:val="la Dra. Riva"/>
        </w:smartTagPr>
        <w:r>
          <w:t>la Dra. Riva</w:t>
        </w:r>
      </w:smartTag>
      <w:r>
        <w:t xml:space="preserve"> Aramayo, estimando que lo más l</w:t>
      </w:r>
      <w:r>
        <w:t>ó</w:t>
      </w:r>
      <w:r>
        <w:t>gico era pensar que alguien lo había dibujado al dict</w:t>
      </w:r>
      <w:r>
        <w:t>a</w:t>
      </w:r>
      <w:r>
        <w:t>do de Telleldín.</w:t>
      </w:r>
    </w:p>
    <w:p w:rsidR="00224567" w:rsidRDefault="00224567">
      <w:pPr>
        <w:widowControl w:val="0"/>
      </w:pPr>
      <w:r>
        <w:tab/>
      </w:r>
      <w:r>
        <w:tab/>
        <w:t>Igualmente, el Dr. Ávila sostuvo que la defensa omitió meritar la circunstancia de que ese mi</w:t>
      </w:r>
      <w:r>
        <w:t>s</w:t>
      </w:r>
      <w:r>
        <w:t xml:space="preserve">mo día 15 de agosto Telleldín le comunicó a </w:t>
      </w:r>
      <w:smartTag w:uri="urn:schemas-microsoft-com:office:smarttags" w:element="PersonName">
        <w:smartTagPr>
          <w:attr w:name="ProductID" w:val="la Dra. Riva"/>
        </w:smartTagPr>
        <w:r>
          <w:t>la Dra. Riva</w:t>
        </w:r>
      </w:smartTag>
      <w:r>
        <w:t xml:space="preserve"> Aramayo que la clave del caso se encontraba en su primig</w:t>
      </w:r>
      <w:r>
        <w:t>e</w:t>
      </w:r>
      <w:r>
        <w:t xml:space="preserve">nia declaración, estimando que la misma consistía en no haber dicho nada acerca de la extorsión en </w:t>
      </w:r>
      <w:smartTag w:uri="urn:schemas-microsoft-com:office:smarttags" w:element="PersonName">
        <w:smartTagPr>
          <w:attr w:name="ProductID" w:val="la Brigada"/>
        </w:smartTagPr>
        <w:r>
          <w:t>la Brigada</w:t>
        </w:r>
      </w:smartTag>
      <w:r>
        <w:t xml:space="preserve"> de Lanús.</w:t>
      </w:r>
    </w:p>
    <w:p w:rsidR="00224567" w:rsidRDefault="00224567">
      <w:pPr>
        <w:widowControl w:val="0"/>
      </w:pPr>
      <w:r>
        <w:tab/>
      </w:r>
      <w:r>
        <w:tab/>
        <w:t>A continuación el represe</w:t>
      </w:r>
      <w:r>
        <w:t>n</w:t>
      </w:r>
      <w:r>
        <w:t xml:space="preserve">tante de la querella unificada hizo referencia a la nota del 24 de agosto de 1995, por medio de la cual </w:t>
      </w:r>
      <w:smartTag w:uri="urn:schemas-microsoft-com:office:smarttags" w:element="PersonName">
        <w:smartTagPr>
          <w:attr w:name="ProductID" w:val="la Dra. Riva"/>
        </w:smartTagPr>
        <w:r>
          <w:t>la Dra. Riva</w:t>
        </w:r>
      </w:smartTag>
      <w:r>
        <w:t xml:space="preserve"> Aramayo convocó al juez Galeano para darle más inform</w:t>
      </w:r>
      <w:r>
        <w:t>a</w:t>
      </w:r>
      <w:r>
        <w:t>ción.</w:t>
      </w:r>
    </w:p>
    <w:p w:rsidR="00224567" w:rsidRDefault="00224567">
      <w:pPr>
        <w:widowControl w:val="0"/>
      </w:pPr>
      <w:r>
        <w:tab/>
      </w:r>
      <w:r>
        <w:tab/>
        <w:t>Al respecto, señaló que en dicha oc</w:t>
      </w:r>
      <w:r>
        <w:t>a</w:t>
      </w:r>
      <w:r>
        <w:t>sión el juez Galeano tomó conocimiento del sobrenombre “Pino”, razón por la cual, el Dr. Ávila sostuvo que luego de lo escuchado en la sala de a</w:t>
      </w:r>
      <w:r>
        <w:t>u</w:t>
      </w:r>
      <w:r>
        <w:t>diencias no podía negarse que “Pino” era Leal; dato que fue suministrado por el pr</w:t>
      </w:r>
      <w:r>
        <w:t>o</w:t>
      </w:r>
      <w:r>
        <w:t>pio Telle</w:t>
      </w:r>
      <w:r>
        <w:t>l</w:t>
      </w:r>
      <w:r>
        <w:t>dín y no por la pretendida historia oficial.</w:t>
      </w:r>
    </w:p>
    <w:p w:rsidR="00224567" w:rsidRDefault="00224567">
      <w:pPr>
        <w:widowControl w:val="0"/>
      </w:pPr>
      <w:r>
        <w:tab/>
      </w:r>
      <w:r>
        <w:tab/>
        <w:t>En este sentido, se preguntó por qué razón la defensa se empeñó en demostrar que a Leal no le decían “Pino” si en realidad nada había tenido que ver con la c</w:t>
      </w:r>
      <w:r>
        <w:t>a</w:t>
      </w:r>
      <w:r>
        <w:t xml:space="preserve">mioneta Trafic. </w:t>
      </w:r>
    </w:p>
    <w:p w:rsidR="00224567" w:rsidRDefault="00224567">
      <w:pPr>
        <w:widowControl w:val="0"/>
      </w:pPr>
      <w:r>
        <w:tab/>
      </w:r>
      <w:r>
        <w:tab/>
        <w:t>Además, recordó que en la opo</w:t>
      </w:r>
      <w:r>
        <w:t>r</w:t>
      </w:r>
      <w:r>
        <w:t xml:space="preserve">tunidad arriba mencionada, </w:t>
      </w:r>
      <w:smartTag w:uri="urn:schemas-microsoft-com:office:smarttags" w:element="PersonName">
        <w:smartTagPr>
          <w:attr w:name="ProductID" w:val="la Dra. Riva"/>
        </w:smartTagPr>
        <w:r>
          <w:t>la Dra. Riva</w:t>
        </w:r>
      </w:smartTag>
      <w:r>
        <w:t xml:space="preserve"> Aramayo le i</w:t>
      </w:r>
      <w:r>
        <w:t>n</w:t>
      </w:r>
      <w:r>
        <w:t>formó al juez Galeano que Telleldín había co</w:t>
      </w:r>
      <w:r>
        <w:t>n</w:t>
      </w:r>
      <w:r>
        <w:t>dicionado su cooperación al cumplimiento previo de determinadas exigencias que no fu</w:t>
      </w:r>
      <w:r>
        <w:t>e</w:t>
      </w:r>
      <w:r>
        <w:t>ron precisadas, entendiendo que a partir de ese momento, el imputado comenzó a vender su futura colaboración, por lo que resultaba una audacia afirmar que ello se había iniciado con un ofrecimiento del Estado.</w:t>
      </w:r>
    </w:p>
    <w:p w:rsidR="00224567" w:rsidRDefault="00224567">
      <w:pPr>
        <w:widowControl w:val="0"/>
      </w:pPr>
      <w:r>
        <w:tab/>
      </w:r>
      <w:r>
        <w:tab/>
        <w:t>Seguidamente, el representante de la querella resaltó la nota del 5 de septiembre de 1995, m</w:t>
      </w:r>
      <w:r>
        <w:t>e</w:t>
      </w:r>
      <w:r>
        <w:t>diante la cual el juez Galeano dejó asentado que fue co</w:t>
      </w:r>
      <w:r>
        <w:t>n</w:t>
      </w:r>
      <w:r>
        <w:t xml:space="preserve">vocado por </w:t>
      </w:r>
      <w:smartTag w:uri="urn:schemas-microsoft-com:office:smarttags" w:element="PersonName">
        <w:smartTagPr>
          <w:attr w:name="ProductID" w:val="la Dra. Riva"/>
        </w:smartTagPr>
        <w:r>
          <w:t>la Dra. Riva</w:t>
        </w:r>
      </w:smartTag>
      <w:r>
        <w:t xml:space="preserve"> Aramayo, quien le brindó otros d</w:t>
      </w:r>
      <w:r>
        <w:t>a</w:t>
      </w:r>
      <w:r>
        <w:t>tos suministrados por Telleldín vinculados a quién se h</w:t>
      </w:r>
      <w:r>
        <w:t>a</w:t>
      </w:r>
      <w:r>
        <w:t xml:space="preserve">bía llevado </w:t>
      </w:r>
      <w:smartTag w:uri="urn:schemas-microsoft-com:office:smarttags" w:element="PersonName">
        <w:smartTagPr>
          <w:attr w:name="ProductID" w:val="la Trafic"/>
        </w:smartTagPr>
        <w:r>
          <w:t>la Trafic</w:t>
        </w:r>
      </w:smartTag>
      <w:r>
        <w:t>, consignándose que se encontraban “Pino” y un subcomisario que en el mes de abril de 1994 le había sacado un automóvil Renault 18, color verde petr</w:t>
      </w:r>
      <w:r>
        <w:t>ó</w:t>
      </w:r>
      <w:r>
        <w:t xml:space="preserve">leo, en </w:t>
      </w:r>
      <w:smartTag w:uri="urn:schemas-microsoft-com:office:smarttags" w:element="PersonName">
        <w:smartTagPr>
          <w:attr w:name="ProductID" w:val="la Brigada"/>
        </w:smartTagPr>
        <w:r>
          <w:t>la Brigada</w:t>
        </w:r>
      </w:smartTag>
      <w:r>
        <w:t xml:space="preserve"> de Lanús, como también un vehíc</w:t>
      </w:r>
      <w:r>
        <w:t>u</w:t>
      </w:r>
      <w:r>
        <w:t>lo Ford Falcon que tenía Lo Preiato y una motocicl</w:t>
      </w:r>
      <w:r>
        <w:t>e</w:t>
      </w:r>
      <w:r>
        <w:t xml:space="preserve">ta Kawasaki. </w:t>
      </w:r>
    </w:p>
    <w:p w:rsidR="00224567" w:rsidRDefault="00224567">
      <w:pPr>
        <w:widowControl w:val="0"/>
      </w:pPr>
      <w:r>
        <w:tab/>
      </w:r>
      <w:r>
        <w:tab/>
        <w:t>En lo que a este ítem se refiere, su</w:t>
      </w:r>
      <w:r>
        <w:t>b</w:t>
      </w:r>
      <w:r>
        <w:t xml:space="preserve">rayó que no le cabía duda alguna que gente comandada por Ribelli en </w:t>
      </w:r>
      <w:smartTag w:uri="urn:schemas-microsoft-com:office:smarttags" w:element="PersonName">
        <w:smartTagPr>
          <w:attr w:name="ProductID" w:val="la Brigada"/>
        </w:smartTagPr>
        <w:r>
          <w:t>la Brigada</w:t>
        </w:r>
      </w:smartTag>
      <w:r>
        <w:t xml:space="preserve"> de Lanús, con la intervención del subcomisario Ibarra, le habían quitado a Telleldín esos vehículos. Si bien la defensa señaló que el rodado Renault 18 era de color gris, el Dr. Ávila entendió que ello no era más que un error insignifica</w:t>
      </w:r>
      <w:r>
        <w:t>n</w:t>
      </w:r>
      <w:r>
        <w:t>te frente a tantas otras coincidencias y que la única explicación raz</w:t>
      </w:r>
      <w:r>
        <w:t>o</w:t>
      </w:r>
      <w:r>
        <w:t>nable acerca de por qué razón el juez había demorado en profundizar aquella línea policial era por la irrupción de la pista carapintada, que según sostuvo, había sido perg</w:t>
      </w:r>
      <w:r>
        <w:t>e</w:t>
      </w:r>
      <w:r>
        <w:t>ñada como un desvío por la propia Policía B</w:t>
      </w:r>
      <w:r>
        <w:t>o</w:t>
      </w:r>
      <w:r>
        <w:t>naerense.</w:t>
      </w:r>
    </w:p>
    <w:p w:rsidR="00224567" w:rsidRDefault="00224567">
      <w:pPr>
        <w:widowControl w:val="0"/>
      </w:pPr>
      <w:r>
        <w:tab/>
      </w:r>
      <w:r>
        <w:tab/>
        <w:t>Por otra parte, el Dr. Ávila objetó que los defensores de la hipótesis conspirativa hayan al</w:t>
      </w:r>
      <w:r>
        <w:t>e</w:t>
      </w:r>
      <w:r>
        <w:t>gado que la coacción sufrida por Huici para que involucr</w:t>
      </w:r>
      <w:r>
        <w:t>a</w:t>
      </w:r>
      <w:r>
        <w:t>ra a Telleldín en el hecho de la sodería y salvar la i</w:t>
      </w:r>
      <w:r>
        <w:t>n</w:t>
      </w:r>
      <w:r>
        <w:t>tervención de Ibarra había sido inventada, como también que la detención y post</w:t>
      </w:r>
      <w:r>
        <w:t>e</w:t>
      </w:r>
      <w:r>
        <w:t>rior liberación de Telleldín del 4 de abril había sido legal, para lo cual invocaron el doc</w:t>
      </w:r>
      <w:r>
        <w:t>u</w:t>
      </w:r>
      <w:r>
        <w:t>mento que decía Teccedín, olvidando que era a Telleldín a quien habían ido a buscar a To</w:t>
      </w:r>
      <w:r>
        <w:t>r</w:t>
      </w:r>
      <w:r>
        <w:t>tuguitas, tal como lo dijo Ibarra en sus declaraciones previas. También, agregó que nada se había dicho con relación a la i</w:t>
      </w:r>
      <w:r>
        <w:t>n</w:t>
      </w:r>
      <w:r>
        <w:t>tervención del Dr. Spagnuolo, a quien nadie corrigió cuando preguntó por T</w:t>
      </w:r>
      <w:r>
        <w:t>e</w:t>
      </w:r>
      <w:r>
        <w:t xml:space="preserve">lleldín al concurrir a </w:t>
      </w:r>
      <w:smartTag w:uri="urn:schemas-microsoft-com:office:smarttags" w:element="PersonName">
        <w:smartTagPr>
          <w:attr w:name="ProductID" w:val="la Brigada"/>
        </w:smartTagPr>
        <w:r>
          <w:t>la Brigada</w:t>
        </w:r>
      </w:smartTag>
      <w:r>
        <w:t xml:space="preserve"> de L</w:t>
      </w:r>
      <w:r>
        <w:t>a</w:t>
      </w:r>
      <w:r>
        <w:t>nús.</w:t>
      </w:r>
      <w:r>
        <w:tab/>
      </w:r>
    </w:p>
    <w:p w:rsidR="00224567" w:rsidRDefault="00224567">
      <w:pPr>
        <w:widowControl w:val="0"/>
      </w:pPr>
      <w:r>
        <w:tab/>
      </w:r>
      <w:r>
        <w:tab/>
        <w:t>Posteriormente, reiteró que los defe</w:t>
      </w:r>
      <w:r>
        <w:t>n</w:t>
      </w:r>
      <w:r>
        <w:t>sores neg</w:t>
      </w:r>
      <w:r>
        <w:t>a</w:t>
      </w:r>
      <w:r>
        <w:t>ron la extorsión a través de la cual despojaron a Telleldín de tres vehículos y qu</w:t>
      </w:r>
      <w:r>
        <w:t>i</w:t>
      </w:r>
      <w:r>
        <w:t>sieron hacer creer que la policía cometió ilegalidades para beneficiar a los am</w:t>
      </w:r>
      <w:r>
        <w:t>i</w:t>
      </w:r>
      <w:r>
        <w:t>gos de éste último.</w:t>
      </w:r>
    </w:p>
    <w:p w:rsidR="00224567" w:rsidRDefault="00224567">
      <w:pPr>
        <w:widowControl w:val="0"/>
      </w:pPr>
      <w:r>
        <w:tab/>
      </w:r>
      <w:r>
        <w:tab/>
        <w:t>Con relación a las fotos de los diez policías bonaerenses que intervinieron en las br</w:t>
      </w:r>
      <w:r>
        <w:t>i</w:t>
      </w:r>
      <w:r>
        <w:t>gadas de Lanús y Vicente López, enviadas por Bretsc</w:t>
      </w:r>
      <w:r>
        <w:t>h</w:t>
      </w:r>
      <w:r>
        <w:t>neider el 15 de septiembre de 1995, el Dr. Ávila sost</w:t>
      </w:r>
      <w:r>
        <w:t>u</w:t>
      </w:r>
      <w:r>
        <w:t>vo que si bien entre las mismas se enco</w:t>
      </w:r>
      <w:r>
        <w:t>n</w:t>
      </w:r>
      <w:r>
        <w:t>traba la de Ibarra y no la de Ribelli, ello no era más que el producto de la causalidad o casu</w:t>
      </w:r>
      <w:r>
        <w:t>a</w:t>
      </w:r>
      <w:r>
        <w:t>lidad. Del mismo modo, se preguntó si también no había s</w:t>
      </w:r>
      <w:r>
        <w:t>i</w:t>
      </w:r>
      <w:r>
        <w:t>do casualidad que en el legajo policial de Ribelli no f</w:t>
      </w:r>
      <w:r>
        <w:t>i</w:t>
      </w:r>
      <w:r>
        <w:t>gurara que en el año 1994 había estado en la brigada de Lanús y si dicha omisión había sido obra de la hipótesis oficial consp</w:t>
      </w:r>
      <w:r>
        <w:t>i</w:t>
      </w:r>
      <w:r>
        <w:t>rativa.</w:t>
      </w:r>
    </w:p>
    <w:p w:rsidR="00224567" w:rsidRDefault="00224567">
      <w:pPr>
        <w:widowControl w:val="0"/>
      </w:pPr>
      <w:r>
        <w:tab/>
      </w:r>
      <w:r>
        <w:tab/>
        <w:t>Acto seguido, el representante de la querella hizo referencia al auto por el cual se corrió vista a la fiscalía para que formulara el requ</w:t>
      </w:r>
      <w:r>
        <w:t>e</w:t>
      </w:r>
      <w:r>
        <w:t>rimiento de instrucción, a la vez que se decretó la c</w:t>
      </w:r>
      <w:r>
        <w:t>o</w:t>
      </w:r>
      <w:r>
        <w:t>nexidad entre la causa principal y la causa Brigadas, señalando que más allá de la calificación legal escogida en dicho requer</w:t>
      </w:r>
      <w:r>
        <w:t>i</w:t>
      </w:r>
      <w:r>
        <w:t xml:space="preserve">miento, en la pesquisa se intentó dilucidar cómo había ocurrido el traspaso de </w:t>
      </w:r>
      <w:smartTag w:uri="urn:schemas-microsoft-com:office:smarttags" w:element="PersonName">
        <w:smartTagPr>
          <w:attr w:name="ProductID" w:val="la Trafic"/>
        </w:smartTagPr>
        <w:r>
          <w:t>la Trafic</w:t>
        </w:r>
      </w:smartTag>
      <w:r>
        <w:t>, además de inve</w:t>
      </w:r>
      <w:r>
        <w:t>s</w:t>
      </w:r>
      <w:r>
        <w:t>tigar el incumplimiento de los deberes de funci</w:t>
      </w:r>
      <w:r>
        <w:t>o</w:t>
      </w:r>
      <w:r>
        <w:t>nario público.</w:t>
      </w:r>
    </w:p>
    <w:p w:rsidR="00224567" w:rsidRDefault="00224567">
      <w:pPr>
        <w:widowControl w:val="0"/>
      </w:pPr>
      <w:r>
        <w:tab/>
      </w:r>
      <w:r>
        <w:tab/>
        <w:t>Asimismo, destacó que del relato de los hechos en el requerimiento de instrucción se encontr</w:t>
      </w:r>
      <w:r>
        <w:t>a</w:t>
      </w:r>
      <w:r>
        <w:t xml:space="preserve">ban incluidos los dichos de Telleldín relacionados a </w:t>
      </w:r>
      <w:smartTag w:uri="urn:schemas-microsoft-com:office:smarttags" w:element="PersonName">
        <w:smartTagPr>
          <w:attr w:name="ProductID" w:val="la Trafic."/>
        </w:smartTagPr>
        <w:r>
          <w:t>la Trafic.</w:t>
        </w:r>
      </w:smartTag>
    </w:p>
    <w:p w:rsidR="00224567" w:rsidRDefault="00224567">
      <w:pPr>
        <w:widowControl w:val="0"/>
      </w:pPr>
      <w:r>
        <w:tab/>
      </w:r>
      <w:r>
        <w:tab/>
        <w:t>Luego, aludió a los testimonios de S</w:t>
      </w:r>
      <w:r>
        <w:t>e</w:t>
      </w:r>
      <w:r>
        <w:t>taro y del taxista Sexto; éste último fue a quien chocó Telleldín en Olivos y provocó que se inventara la partic</w:t>
      </w:r>
      <w:r>
        <w:t>i</w:t>
      </w:r>
      <w:r>
        <w:t xml:space="preserve">pación del nombrado en el homicidio de </w:t>
      </w:r>
      <w:smartTag w:uri="urn:schemas-microsoft-com:office:smarttags" w:element="PersonName">
        <w:smartTagPr>
          <w:attr w:name="ProductID" w:val="la Soder￭a"/>
        </w:smartTagPr>
        <w:r>
          <w:t>la Sodería</w:t>
        </w:r>
      </w:smartTag>
      <w:r>
        <w:t>, rem</w:t>
      </w:r>
      <w:r>
        <w:t>i</w:t>
      </w:r>
      <w:r>
        <w:t>tiéndose al respecto al alegato del Dr. Dromi.</w:t>
      </w:r>
    </w:p>
    <w:p w:rsidR="00224567" w:rsidRDefault="00224567">
      <w:pPr>
        <w:widowControl w:val="0"/>
      </w:pPr>
      <w:r>
        <w:tab/>
      </w:r>
      <w:r>
        <w:tab/>
        <w:t>Por otra parte, hizo mención a que con fecha 22 de noviembre de 1995 Telleldín y su defensa p</w:t>
      </w:r>
      <w:r>
        <w:t>u</w:t>
      </w:r>
      <w:r>
        <w:t>sieron en conocimiento, por medio de la pre</w:t>
      </w:r>
      <w:r>
        <w:t>n</w:t>
      </w:r>
      <w:r>
        <w:t>sa, el precio de la colaboración del imputado, que a</w:t>
      </w:r>
      <w:r>
        <w:t>s</w:t>
      </w:r>
      <w:r>
        <w:t>cendía a la suma de USD 300.000.</w:t>
      </w:r>
    </w:p>
    <w:p w:rsidR="00224567" w:rsidRDefault="00224567">
      <w:pPr>
        <w:widowControl w:val="0"/>
      </w:pPr>
      <w:r>
        <w:tab/>
      </w:r>
      <w:r>
        <w:tab/>
        <w:t>Al respecto, se preguntó qué n</w:t>
      </w:r>
      <w:r>
        <w:t>e</w:t>
      </w:r>
      <w:r>
        <w:t>cesidad había de publicar el ofrecimiento en los diarios si, s</w:t>
      </w:r>
      <w:r>
        <w:t>u</w:t>
      </w:r>
      <w:r>
        <w:t>puestamente, había existido el armado perverso de la den</w:t>
      </w:r>
      <w:r>
        <w:t>o</w:t>
      </w:r>
      <w:r>
        <w:t>minada hist</w:t>
      </w:r>
      <w:r>
        <w:t>o</w:t>
      </w:r>
      <w:r>
        <w:t>ria oficial.</w:t>
      </w:r>
    </w:p>
    <w:p w:rsidR="00224567" w:rsidRDefault="00224567">
      <w:pPr>
        <w:widowControl w:val="0"/>
      </w:pPr>
      <w:r>
        <w:tab/>
      </w:r>
      <w:r>
        <w:tab/>
        <w:t>A continuación, el Dr. Ávila analizó lo alegado por la defensa de Ribelli, en cuanto sostuvo que a fines del año 1995, según los dichos de Stiuso, h</w:t>
      </w:r>
      <w:r>
        <w:t>a</w:t>
      </w:r>
      <w:r>
        <w:t xml:space="preserve">bía comenzado a circular por </w:t>
      </w:r>
      <w:smartTag w:uri="urn:schemas-microsoft-com:office:smarttags" w:element="PersonName">
        <w:smartTagPr>
          <w:attr w:name="ProductID" w:val="la Secretar￭a"/>
        </w:smartTagPr>
        <w:r>
          <w:t>la Secretaría</w:t>
        </w:r>
      </w:smartTag>
      <w:r>
        <w:t xml:space="preserve"> de Intelige</w:t>
      </w:r>
      <w:r>
        <w:t>n</w:t>
      </w:r>
      <w:r>
        <w:t xml:space="preserve">cia de Estado un papel que contenía la hipótesis de que a </w:t>
      </w:r>
      <w:smartTag w:uri="urn:schemas-microsoft-com:office:smarttags" w:element="PersonName">
        <w:smartTagPr>
          <w:attr w:name="ProductID" w:val="la Trafic"/>
        </w:smartTagPr>
        <w:r>
          <w:t>la Trafic</w:t>
        </w:r>
      </w:smartTag>
      <w:r>
        <w:t xml:space="preserve"> se la habían llevado los policías, pero sin dar nombres; versión en la que el nombrado no creyó, lo que motivó su apartamiento de la invest</w:t>
      </w:r>
      <w:r>
        <w:t>i</w:t>
      </w:r>
      <w:r>
        <w:t>gación.</w:t>
      </w:r>
    </w:p>
    <w:p w:rsidR="00224567" w:rsidRDefault="00224567">
      <w:pPr>
        <w:widowControl w:val="0"/>
      </w:pPr>
      <w:r>
        <w:tab/>
      </w:r>
      <w:r>
        <w:tab/>
        <w:t>En este punto, el represe</w:t>
      </w:r>
      <w:r>
        <w:t>n</w:t>
      </w:r>
      <w:r>
        <w:t>tante de la querella est</w:t>
      </w:r>
      <w:r>
        <w:t>i</w:t>
      </w:r>
      <w:r>
        <w:t xml:space="preserve">mó que los dichos de Stiuso no eran creíbles, por no resultar verosímil que por </w:t>
      </w:r>
      <w:smartTag w:uri="urn:schemas-microsoft-com:office:smarttags" w:element="PersonName">
        <w:smartTagPr>
          <w:attr w:name="ProductID" w:val="la Secretar￭a"/>
        </w:smartTagPr>
        <w:r>
          <w:t>la Secretaría</w:t>
        </w:r>
      </w:smartTag>
      <w:r>
        <w:t xml:space="preserve"> de Intel</w:t>
      </w:r>
      <w:r>
        <w:t>i</w:t>
      </w:r>
      <w:r>
        <w:t>gencia de Estado circulara un papel, cua</w:t>
      </w:r>
      <w:r>
        <w:t>n</w:t>
      </w:r>
      <w:r>
        <w:t>do se trataba de una conspiración esp</w:t>
      </w:r>
      <w:r>
        <w:t>u</w:t>
      </w:r>
      <w:r>
        <w:t>ria, a la vez que se preguntó cuánta gente había visto ese papel y por qué razón nadie dijo n</w:t>
      </w:r>
      <w:r>
        <w:t>a</w:t>
      </w:r>
      <w:r>
        <w:t>da.</w:t>
      </w:r>
    </w:p>
    <w:p w:rsidR="00224567" w:rsidRDefault="00224567">
      <w:pPr>
        <w:widowControl w:val="0"/>
      </w:pPr>
      <w:r>
        <w:tab/>
      </w:r>
      <w:r>
        <w:tab/>
        <w:t>En otro orden de ideas, la querella estimó que r</w:t>
      </w:r>
      <w:r>
        <w:t>e</w:t>
      </w:r>
      <w:r>
        <w:t xml:space="preserve">sultaba demasiado equívoco vincular el cruce telefónico del 11 de diciembre, del celular de </w:t>
      </w:r>
      <w:smartTag w:uri="urn:schemas-microsoft-com:office:smarttags" w:element="PersonName">
        <w:smartTagPr>
          <w:attr w:name="ProductID" w:val="la Dra. Riva"/>
        </w:smartTagPr>
        <w:r>
          <w:t>la Dra. R</w:t>
        </w:r>
        <w:r>
          <w:t>i</w:t>
        </w:r>
        <w:r>
          <w:t>va</w:t>
        </w:r>
      </w:smartTag>
      <w:r>
        <w:t xml:space="preserve"> Aramayo con el sector Finanzas de </w:t>
      </w:r>
      <w:smartTag w:uri="urn:schemas-microsoft-com:office:smarttags" w:element="PersonName">
        <w:smartTagPr>
          <w:attr w:name="ProductID" w:val="la Secretar￭a"/>
        </w:smartTagPr>
        <w:r>
          <w:t>la Secretaría</w:t>
        </w:r>
      </w:smartTag>
      <w:r>
        <w:t xml:space="preserve"> de I</w:t>
      </w:r>
      <w:r>
        <w:t>n</w:t>
      </w:r>
      <w:r>
        <w:t>teligencia, con el pago que tuvo lugar siete meses de</w:t>
      </w:r>
      <w:r>
        <w:t>s</w:t>
      </w:r>
      <w:r>
        <w:t>pués. A igual conclusión arribó con relación a los llam</w:t>
      </w:r>
      <w:r>
        <w:t>a</w:t>
      </w:r>
      <w:r>
        <w:t>dos telefónicos del 27 de dicie</w:t>
      </w:r>
      <w:r>
        <w:t>m</w:t>
      </w:r>
      <w:r>
        <w:t>bre entre el Dr. Stinfale y la mencionada secretaría, considerando demasiado i</w:t>
      </w:r>
      <w:r>
        <w:t>n</w:t>
      </w:r>
      <w:r>
        <w:t>genuo suponer que se le suministrara el teléfono al abogado de Telleldín para reclamar el pago.</w:t>
      </w:r>
    </w:p>
    <w:p w:rsidR="00224567" w:rsidRDefault="00224567">
      <w:pPr>
        <w:widowControl w:val="0"/>
      </w:pPr>
      <w:r>
        <w:tab/>
      </w:r>
      <w:r>
        <w:tab/>
        <w:t xml:space="preserve">En cuanto a la constancia que </w:t>
      </w:r>
      <w:smartTag w:uri="urn:schemas-microsoft-com:office:smarttags" w:element="PersonName">
        <w:smartTagPr>
          <w:attr w:name="ProductID" w:val="la Dra. Susana"/>
        </w:smartTagPr>
        <w:r>
          <w:t>la Dra. Susana</w:t>
        </w:r>
      </w:smartTag>
      <w:r>
        <w:t xml:space="preserve"> Spina dejó en el expediente el 26 de diciembre de 1995 acerca de la existencia de un llamado anónimo sobre Ribelli, que fue escrito con “v” y la defensa lo hizo n</w:t>
      </w:r>
      <w:r>
        <w:t>o</w:t>
      </w:r>
      <w:r>
        <w:t>tar, el Dr. Ávila se preguntó qué se había querido sign</w:t>
      </w:r>
      <w:r>
        <w:t>i</w:t>
      </w:r>
      <w:r>
        <w:t>ficar con aquella sutil</w:t>
      </w:r>
      <w:r>
        <w:t>e</w:t>
      </w:r>
      <w:r>
        <w:t>za.</w:t>
      </w:r>
    </w:p>
    <w:p w:rsidR="00224567" w:rsidRDefault="00224567">
      <w:pPr>
        <w:widowControl w:val="0"/>
      </w:pPr>
      <w:r>
        <w:tab/>
      </w:r>
      <w:r>
        <w:tab/>
        <w:t>En este sentido, destacó que no fue aquella llamada anónima la que involucró a Ribelli en el expediente, sino que el nombrado estaba implic</w:t>
      </w:r>
      <w:r>
        <w:t>a</w:t>
      </w:r>
      <w:r>
        <w:t xml:space="preserve">do, aunque sin su nombre, desde que Telleldín omitió hablar de </w:t>
      </w:r>
      <w:smartTag w:uri="urn:schemas-microsoft-com:office:smarttags" w:element="PersonName">
        <w:smartTagPr>
          <w:attr w:name="ProductID" w:val="la Brigada"/>
        </w:smartTagPr>
        <w:r>
          <w:t>la Brigada</w:t>
        </w:r>
      </w:smartTag>
      <w:r>
        <w:t xml:space="preserve"> de Lanús, desde que Bretschneider envió las fot</w:t>
      </w:r>
      <w:r>
        <w:t>o</w:t>
      </w:r>
      <w:r>
        <w:t>grafías de los policías de Lanús -exceptuando la del no</w:t>
      </w:r>
      <w:r>
        <w:t>m</w:t>
      </w:r>
      <w:r>
        <w:t>brado- y fundamentalmente, en virtud de que el número de su teléfono celular apareció al solicitarse el li</w:t>
      </w:r>
      <w:r>
        <w:t>s</w:t>
      </w:r>
      <w:r>
        <w:t>tado de llamados del celular que utilizaba Telleldín, que obra a fs. 7880 de la causa principal.</w:t>
      </w:r>
    </w:p>
    <w:p w:rsidR="00224567" w:rsidRDefault="00224567">
      <w:pPr>
        <w:widowControl w:val="0"/>
      </w:pPr>
      <w:r>
        <w:tab/>
      </w:r>
      <w:r>
        <w:tab/>
        <w:t>Al respecto, destacó que de aquella lista surgía que entre los llamados de la línea 478-7865 se consignaba un llamado desde el celular 440-</w:t>
      </w:r>
      <w:smartTag w:uri="urn:schemas-microsoft-com:office:smarttags" w:element="metricconverter">
        <w:smartTagPr>
          <w:attr w:name="ProductID" w:val="6746, a"/>
        </w:smartTagPr>
        <w:r>
          <w:t>6746, a</w:t>
        </w:r>
      </w:smartTag>
      <w:r>
        <w:t xml:space="preserve"> no</w:t>
      </w:r>
      <w:r>
        <w:t>m</w:t>
      </w:r>
      <w:r>
        <w:t>bre de Ribelli, que éste utilizaba persona</w:t>
      </w:r>
      <w:r>
        <w:t>l</w:t>
      </w:r>
      <w:r>
        <w:t>mente.</w:t>
      </w:r>
    </w:p>
    <w:p w:rsidR="00224567" w:rsidRDefault="00224567">
      <w:pPr>
        <w:widowControl w:val="0"/>
      </w:pPr>
      <w:r>
        <w:tab/>
      </w:r>
      <w:r>
        <w:tab/>
        <w:t>Luego, el Dr. Ávila analizó la ci</w:t>
      </w:r>
      <w:r>
        <w:t>r</w:t>
      </w:r>
      <w:r>
        <w:t>cunstancia relacionada con el pedido efectuado a f</w:t>
      </w:r>
      <w:r>
        <w:t>i</w:t>
      </w:r>
      <w:r>
        <w:t>nes de 1995 o principios de 1996 al periodista Román Lejtmam, p</w:t>
      </w:r>
      <w:r>
        <w:t>a</w:t>
      </w:r>
      <w:r>
        <w:t>ra que intermediara con Telleldín para el pago, tal como lo consignara el relato defensista; circunstancia que le llamó la atención toda vez que Telleldín ya había ofici</w:t>
      </w:r>
      <w:r>
        <w:t>a</w:t>
      </w:r>
      <w:r>
        <w:t>lizado el pago ante la prensa, considerando que alguien había querido darse importancia con un prestigioso peri</w:t>
      </w:r>
      <w:r>
        <w:t>o</w:t>
      </w:r>
      <w:r>
        <w:t>dista.</w:t>
      </w:r>
    </w:p>
    <w:p w:rsidR="00224567" w:rsidRDefault="00224567">
      <w:pPr>
        <w:widowControl w:val="0"/>
      </w:pPr>
      <w:r>
        <w:tab/>
      </w:r>
      <w:r>
        <w:tab/>
        <w:t>Acto seguido, el Dr. Ávila so</w:t>
      </w:r>
      <w:r>
        <w:t>s</w:t>
      </w:r>
      <w:r>
        <w:t>tuvo que se había probado la presencia de R</w:t>
      </w:r>
      <w:r>
        <w:t>i</w:t>
      </w:r>
      <w:r>
        <w:t xml:space="preserve">belli en Campo de Mayo, calificando de pobres las explicaciones brindadas por la defensa sobre el punto. </w:t>
      </w:r>
    </w:p>
    <w:p w:rsidR="00224567" w:rsidRDefault="00224567">
      <w:pPr>
        <w:widowControl w:val="0"/>
      </w:pPr>
      <w:r>
        <w:tab/>
      </w:r>
      <w:r>
        <w:tab/>
        <w:t>Por otro lado, el letrado resa</w:t>
      </w:r>
      <w:r>
        <w:t>l</w:t>
      </w:r>
      <w:r>
        <w:t>tó que fue el propio Telleldín quien le señaló al juez quiénes habían sido los policías que habían estado en su casa el 10 de julio, razón por la cual no se podía decir que el nombrado no conocía a Ibarra o a Leal, cuando ello surgía claramente de los videos que fueron exhibidos. Igualmente, precisó que fue el propio T</w:t>
      </w:r>
      <w:r>
        <w:t>e</w:t>
      </w:r>
      <w:r>
        <w:t>lleldín quien reclamó la foto de Rib</w:t>
      </w:r>
      <w:r>
        <w:t>e</w:t>
      </w:r>
      <w:r>
        <w:t>lli.</w:t>
      </w:r>
    </w:p>
    <w:p w:rsidR="00224567" w:rsidRDefault="00224567">
      <w:pPr>
        <w:widowControl w:val="0"/>
      </w:pPr>
      <w:r>
        <w:tab/>
      </w:r>
      <w:r>
        <w:tab/>
        <w:t>También el querellante reco</w:t>
      </w:r>
      <w:r>
        <w:t>r</w:t>
      </w:r>
      <w:r>
        <w:t>dó que en su alegato sostuvo que a Telleldín se le pagó para que d</w:t>
      </w:r>
      <w:r>
        <w:t>i</w:t>
      </w:r>
      <w:r>
        <w:t>jera la verdad y no para que cerrara la pretendida hist</w:t>
      </w:r>
      <w:r>
        <w:t>o</w:t>
      </w:r>
      <w:r>
        <w:t>ria oficial.</w:t>
      </w:r>
    </w:p>
    <w:p w:rsidR="00224567" w:rsidRDefault="00224567">
      <w:pPr>
        <w:widowControl w:val="0"/>
      </w:pPr>
      <w:r>
        <w:tab/>
      </w:r>
      <w:r>
        <w:tab/>
        <w:t>Cuestionó por qué razón ni</w:t>
      </w:r>
      <w:r>
        <w:t>n</w:t>
      </w:r>
      <w:r>
        <w:t>guna de las defensas, según las cuales se vieron tan perj</w:t>
      </w:r>
      <w:r>
        <w:t>u</w:t>
      </w:r>
      <w:r>
        <w:t>dicadas por las irregularidades de la instrucción y el armado de la versión oficial, no acompañaron a la querella en sus d</w:t>
      </w:r>
      <w:r>
        <w:t>e</w:t>
      </w:r>
      <w:r>
        <w:t>nuncias contra los que protagonizaron en su presencia lo que denominó el “juego del gran bonete”, como Ruckauf, A</w:t>
      </w:r>
      <w:r>
        <w:t>n</w:t>
      </w:r>
      <w:r>
        <w:t>tonietti y Anzorreguy, o contra los responsables de la desaparición de pruebas impo</w:t>
      </w:r>
      <w:r>
        <w:t>r</w:t>
      </w:r>
      <w:r>
        <w:t>tantes como Castañeda, entre otros funcionarios pol</w:t>
      </w:r>
      <w:r>
        <w:t>i</w:t>
      </w:r>
      <w:r>
        <w:t>ciales.</w:t>
      </w:r>
    </w:p>
    <w:p w:rsidR="00224567" w:rsidRDefault="00224567">
      <w:pPr>
        <w:pStyle w:val="Textoindependiente"/>
        <w:spacing w:line="600" w:lineRule="auto"/>
      </w:pPr>
      <w:r>
        <w:tab/>
      </w:r>
      <w:r>
        <w:tab/>
        <w:t>Con las pruebas antes reseñadas, el Dr. Ávila pretendió demostrar que la historia oficial conspir</w:t>
      </w:r>
      <w:r>
        <w:t>a</w:t>
      </w:r>
      <w:r>
        <w:t>tiva consistió en un armado de las defensas, realizado s</w:t>
      </w:r>
      <w:r>
        <w:t>o</w:t>
      </w:r>
      <w:r>
        <w:t>bre la base de la falta de confianza y credibil</w:t>
      </w:r>
      <w:r>
        <w:t>i</w:t>
      </w:r>
      <w:r>
        <w:t>dad de los argentinos en su gobierno, que valiéndose del pago a T</w:t>
      </w:r>
      <w:r>
        <w:t>e</w:t>
      </w:r>
      <w:r>
        <w:t>lleldín intentaron contaminar retroactivamente toda la prueba c</w:t>
      </w:r>
      <w:r>
        <w:t>o</w:t>
      </w:r>
      <w:r>
        <w:t>lectada.</w:t>
      </w:r>
    </w:p>
    <w:p w:rsidR="00224567" w:rsidRDefault="00224567">
      <w:pPr>
        <w:widowControl w:val="0"/>
      </w:pPr>
      <w:r>
        <w:tab/>
      </w:r>
      <w:r>
        <w:tab/>
        <w:t>Por otra parte, el Dr. Ávila co</w:t>
      </w:r>
      <w:r>
        <w:t>n</w:t>
      </w:r>
      <w:r>
        <w:t>sideró que el núcleo de los datos objetivos que sustentaron su acusación permaneció inconmovible y permitía con exceso vencer la presunción de inocencia de la que gozaba todo imputado, lo que habilitaba la aplicación de las penas r</w:t>
      </w:r>
      <w:r>
        <w:t>e</w:t>
      </w:r>
      <w:r>
        <w:t>queridas; ello más allá de las ironías, sarcasmos, ref</w:t>
      </w:r>
      <w:r>
        <w:t>e</w:t>
      </w:r>
      <w:r>
        <w:t>rencias irresp</w:t>
      </w:r>
      <w:r>
        <w:t>e</w:t>
      </w:r>
      <w:r>
        <w:t>tuosas y el hecho de que se pretendiera que las víctimas cargaran con las costas del proceso negánd</w:t>
      </w:r>
      <w:r>
        <w:t>o</w:t>
      </w:r>
      <w:r>
        <w:t>les el derecho a reclamar justicia.</w:t>
      </w:r>
    </w:p>
    <w:p w:rsidR="00224567" w:rsidRDefault="00224567">
      <w:pPr>
        <w:widowControl w:val="0"/>
      </w:pPr>
      <w:r>
        <w:tab/>
      </w:r>
      <w:r>
        <w:tab/>
        <w:t xml:space="preserve">Acto seguido, </w:t>
      </w:r>
      <w:smartTag w:uri="urn:schemas-microsoft-com:office:smarttags" w:element="PersonName">
        <w:smartTagPr>
          <w:attr w:name="ProductID" w:val="La Dra. Nercellas"/>
        </w:smartTagPr>
        <w:r>
          <w:t>la Dra. Nerc</w:t>
        </w:r>
        <w:r>
          <w:t>e</w:t>
        </w:r>
        <w:r>
          <w:t>llas</w:t>
        </w:r>
      </w:smartTag>
      <w:r>
        <w:t xml:space="preserve"> objetó las manife</w:t>
      </w:r>
      <w:r>
        <w:t>s</w:t>
      </w:r>
      <w:r>
        <w:t>taciones de las defensas, en cuanto sostuvieron que el video de Cúneo Libarona y el manuscrito de Telle</w:t>
      </w:r>
      <w:r>
        <w:t>l</w:t>
      </w:r>
      <w:r>
        <w:t>dín no se encontraban descriptos en el requerimiento de elevación a juicio, por cuanto el rol de dicha pieza pr</w:t>
      </w:r>
      <w:r>
        <w:t>o</w:t>
      </w:r>
      <w:r>
        <w:t>cesal consi</w:t>
      </w:r>
      <w:r>
        <w:t>s</w:t>
      </w:r>
      <w:r>
        <w:t>tía tan sólo en fijar el núcleo fáctico de la imput</w:t>
      </w:r>
      <w:r>
        <w:t>a</w:t>
      </w:r>
      <w:r>
        <w:t>ción.</w:t>
      </w:r>
    </w:p>
    <w:p w:rsidR="00224567" w:rsidRDefault="00224567">
      <w:pPr>
        <w:widowControl w:val="0"/>
      </w:pPr>
      <w:r>
        <w:tab/>
      </w:r>
      <w:r>
        <w:tab/>
        <w:t>En este sentido, remarcó que no resu</w:t>
      </w:r>
      <w:r>
        <w:t>l</w:t>
      </w:r>
      <w:r>
        <w:t>taba necesario que la pieza procesal antes mencionada co</w:t>
      </w:r>
      <w:r>
        <w:t>n</w:t>
      </w:r>
      <w:r>
        <w:t>tuviera un análisis de la totalidad de la pru</w:t>
      </w:r>
      <w:r>
        <w:t>e</w:t>
      </w:r>
      <w:r>
        <w:t>ba que iba a producirse durante el debate y menos aún de una prueba que había aparecido con po</w:t>
      </w:r>
      <w:r>
        <w:t>s</w:t>
      </w:r>
      <w:r>
        <w:t>terioridad al inicio del juicio.</w:t>
      </w:r>
    </w:p>
    <w:p w:rsidR="00224567" w:rsidRDefault="00224567">
      <w:pPr>
        <w:widowControl w:val="0"/>
      </w:pPr>
      <w:r>
        <w:tab/>
      </w:r>
      <w:r>
        <w:tab/>
        <w:t>En otro orden de ideas, se l</w:t>
      </w:r>
      <w:r>
        <w:t>a</w:t>
      </w:r>
      <w:r>
        <w:t>mentó por el hecho de que las defensas no hayan querido contestar los argumentos de la querella en esta sede y no hayan qu</w:t>
      </w:r>
      <w:r>
        <w:t>e</w:t>
      </w:r>
      <w:r>
        <w:t>rido utilizar la imparcialidad del Tribunal que ellos mi</w:t>
      </w:r>
      <w:r>
        <w:t>s</w:t>
      </w:r>
      <w:r>
        <w:t>mos rec</w:t>
      </w:r>
      <w:r>
        <w:t>o</w:t>
      </w:r>
      <w:r>
        <w:t xml:space="preserve">nocieron. </w:t>
      </w:r>
    </w:p>
    <w:p w:rsidR="00224567" w:rsidRDefault="00224567">
      <w:pPr>
        <w:widowControl w:val="0"/>
      </w:pPr>
      <w:r>
        <w:tab/>
      </w:r>
      <w:r>
        <w:tab/>
        <w:t>Por otra parte, volvió a referirse a la supuesta historia oficial, afirmando que a medida que iba avanzando había tenido la suerte de encontrar eleme</w:t>
      </w:r>
      <w:r>
        <w:t>n</w:t>
      </w:r>
      <w:r>
        <w:t>tos que se de</w:t>
      </w:r>
      <w:r>
        <w:t>s</w:t>
      </w:r>
      <w:r>
        <w:t>conocían al tiempo de haber sido pergeñada, pero que la ayudaban a seguir mant</w:t>
      </w:r>
      <w:r>
        <w:t>e</w:t>
      </w:r>
      <w:r>
        <w:t>niéndose.</w:t>
      </w:r>
    </w:p>
    <w:p w:rsidR="00224567" w:rsidRDefault="00224567">
      <w:pPr>
        <w:widowControl w:val="0"/>
      </w:pPr>
      <w:r>
        <w:tab/>
      </w:r>
      <w:r>
        <w:tab/>
        <w:t>Además, subrayó que aquella historia había podido determinar que el último tenedor d</w:t>
      </w:r>
      <w:r>
        <w:t>o</w:t>
      </w:r>
      <w:r>
        <w:t>cumentado del vehículo que se había adaptado como contenedor del e</w:t>
      </w:r>
      <w:r>
        <w:t>x</w:t>
      </w:r>
      <w:r>
        <w:t xml:space="preserve">plosivo era una persona que había querido hacernos creer que se trataba de un delincuente menor. Sin embargo, </w:t>
      </w:r>
      <w:smartTag w:uri="urn:schemas-microsoft-com:office:smarttags" w:element="PersonName">
        <w:smartTagPr>
          <w:attr w:name="ProductID" w:val="La Dra. Nercellas"/>
        </w:smartTagPr>
        <w:r>
          <w:t>la Dra. Nercellas</w:t>
        </w:r>
      </w:smartTag>
      <w:r>
        <w:t xml:space="preserve"> consideró que se había descubierto que aquél individuo había participado en cuanto delito le h</w:t>
      </w:r>
      <w:r>
        <w:t>a</w:t>
      </w:r>
      <w:r>
        <w:t>bía sido posible y que tenía la facilidad de arreglar y engañar a c</w:t>
      </w:r>
      <w:r>
        <w:t>o</w:t>
      </w:r>
      <w:r>
        <w:t xml:space="preserve">rruptos policías. </w:t>
      </w:r>
    </w:p>
    <w:p w:rsidR="00224567" w:rsidRDefault="00224567">
      <w:pPr>
        <w:widowControl w:val="0"/>
      </w:pPr>
      <w:r>
        <w:tab/>
      </w:r>
      <w:r>
        <w:tab/>
        <w:t>Remarcó que a pesar de lo expuesto, dicho personaje había asumido conductas no habituales, c</w:t>
      </w:r>
      <w:r>
        <w:t>o</w:t>
      </w:r>
      <w:r>
        <w:t xml:space="preserve">mo lo había sido huir a la frontera en lugar de dirigirse a </w:t>
      </w:r>
      <w:smartTag w:uri="urn:schemas-microsoft-com:office:smarttags" w:element="PersonName">
        <w:smartTagPr>
          <w:attr w:name="ProductID" w:val="la Capital"/>
        </w:smartTagPr>
        <w:r>
          <w:t>la Capital</w:t>
        </w:r>
      </w:smartTag>
      <w:r>
        <w:t xml:space="preserve"> y manifestar que había cobrado la camioneta en dólares, cuando Ana Boragni había contado el dinero en pesos.</w:t>
      </w:r>
    </w:p>
    <w:p w:rsidR="00224567" w:rsidRDefault="00224567">
      <w:pPr>
        <w:widowControl w:val="0"/>
      </w:pPr>
      <w:r>
        <w:tab/>
      </w:r>
      <w:r>
        <w:tab/>
        <w:t>Consideró que el argumento por el cual la querella debería contar con un recibo firmado por Rib</w:t>
      </w:r>
      <w:r>
        <w:t>e</w:t>
      </w:r>
      <w:r>
        <w:t>lli, entregado por los terroristas, para que los dos m</w:t>
      </w:r>
      <w:r>
        <w:t>i</w:t>
      </w:r>
      <w:r>
        <w:t>llones y medio de dólares que el nombrado recibió de su padre jub</w:t>
      </w:r>
      <w:r>
        <w:t>i</w:t>
      </w:r>
      <w:r>
        <w:t>lado pudieran ser utilizados como una prueba de cargo de su participación en el atentado, equivalía a p</w:t>
      </w:r>
      <w:r>
        <w:t>o</w:t>
      </w:r>
      <w:r>
        <w:t>ner condiciones imposibles para eliminar la fuerza que t</w:t>
      </w:r>
      <w:r>
        <w:t>e</w:t>
      </w:r>
      <w:r>
        <w:t>nían alg</w:t>
      </w:r>
      <w:r>
        <w:t>u</w:t>
      </w:r>
      <w:r>
        <w:t>nos indicios arrimados a la investigación.</w:t>
      </w:r>
    </w:p>
    <w:p w:rsidR="00224567" w:rsidRDefault="00224567">
      <w:pPr>
        <w:widowControl w:val="0"/>
      </w:pPr>
      <w:r>
        <w:tab/>
      </w:r>
      <w:r>
        <w:tab/>
        <w:t xml:space="preserve">Posteriormente, </w:t>
      </w:r>
      <w:smartTag w:uri="urn:schemas-microsoft-com:office:smarttags" w:element="PersonName">
        <w:smartTagPr>
          <w:attr w:name="ProductID" w:val="La Dra. Nercellas"/>
        </w:smartTagPr>
        <w:r>
          <w:t>la Dra. Nercellas</w:t>
        </w:r>
      </w:smartTag>
      <w:r>
        <w:t xml:space="preserve"> de</w:t>
      </w:r>
      <w:r>
        <w:t>s</w:t>
      </w:r>
      <w:r>
        <w:t>tacó que de las intervenciones de los t</w:t>
      </w:r>
      <w:r>
        <w:t>e</w:t>
      </w:r>
      <w:r>
        <w:t>léfonos de Ribelli y del grupo que lo acompañaba habían surgido conversaci</w:t>
      </w:r>
      <w:r>
        <w:t>o</w:t>
      </w:r>
      <w:r>
        <w:t>nes que sólo versaban sobre actividades ilícitas y del t</w:t>
      </w:r>
      <w:r>
        <w:t>e</w:t>
      </w:r>
      <w:r>
        <w:t>ma A.M.I.A. y que Ribelli, a pesar de negarlo, tenía age</w:t>
      </w:r>
      <w:r>
        <w:t>n</w:t>
      </w:r>
      <w:r>
        <w:t xml:space="preserve">cias en donde había decodificadores de teléfonos y Trafic. </w:t>
      </w:r>
      <w:r>
        <w:tab/>
      </w:r>
      <w:r>
        <w:tab/>
        <w:t>En cuanto al hecho del mes de marzo de 1994, la representante de la querella unificada entendió que el taxista Sexto había sido lo suficientemente expl</w:t>
      </w:r>
      <w:r>
        <w:t>í</w:t>
      </w:r>
      <w:r>
        <w:t>cito cuando en la audiencia manife</w:t>
      </w:r>
      <w:r>
        <w:t>s</w:t>
      </w:r>
      <w:r>
        <w:t>tó que había observado una charla entre amigos, antes de que Telleldín lo chocara y con anterioridad a su huída.</w:t>
      </w:r>
    </w:p>
    <w:p w:rsidR="00224567" w:rsidRDefault="00224567">
      <w:pPr>
        <w:widowControl w:val="0"/>
      </w:pPr>
      <w:r>
        <w:tab/>
      </w:r>
      <w:r>
        <w:tab/>
        <w:t>Además, se preguntó por qué r</w:t>
      </w:r>
      <w:r>
        <w:t>a</w:t>
      </w:r>
      <w:r>
        <w:t xml:space="preserve">zón, si Telleldín había sido conducido a </w:t>
      </w:r>
      <w:smartTag w:uri="urn:schemas-microsoft-com:office:smarttags" w:element="PersonName">
        <w:smartTagPr>
          <w:attr w:name="ProductID" w:val="la Brigada"/>
        </w:smartTagPr>
        <w:r>
          <w:t>la Brigada</w:t>
        </w:r>
      </w:smartTag>
      <w:r>
        <w:t xml:space="preserve"> de Lanús por ser partícipe en un homicidio, no se había realizado la consulta con el juez de la causa y en todo caso, cuándo dicho procedimiento había pasado a conve</w:t>
      </w:r>
      <w:r>
        <w:t>r</w:t>
      </w:r>
      <w:r>
        <w:t>tirse en una mera averiguación de ant</w:t>
      </w:r>
      <w:r>
        <w:t>e</w:t>
      </w:r>
      <w:r>
        <w:t>cedentes.</w:t>
      </w:r>
    </w:p>
    <w:p w:rsidR="00224567" w:rsidRDefault="00224567">
      <w:pPr>
        <w:widowControl w:val="0"/>
      </w:pPr>
      <w:r>
        <w:tab/>
      </w:r>
      <w:r>
        <w:tab/>
        <w:t xml:space="preserve">Seguidamente, </w:t>
      </w:r>
      <w:smartTag w:uri="urn:schemas-microsoft-com:office:smarttags" w:element="PersonName">
        <w:smartTagPr>
          <w:attr w:name="ProductID" w:val="La Dra. Nercellas"/>
        </w:smartTagPr>
        <w:r>
          <w:t>la Dra. Nercellas</w:t>
        </w:r>
      </w:smartTag>
      <w:r>
        <w:t xml:space="preserve"> exam</w:t>
      </w:r>
      <w:r>
        <w:t>i</w:t>
      </w:r>
      <w:r>
        <w:t>nó algunas circunstancias relacionadas con la material</w:t>
      </w:r>
      <w:r>
        <w:t>i</w:t>
      </w:r>
      <w:r>
        <w:t>dad del hecho en cuestión.</w:t>
      </w:r>
    </w:p>
    <w:p w:rsidR="00224567" w:rsidRDefault="00224567">
      <w:pPr>
        <w:widowControl w:val="0"/>
      </w:pPr>
      <w:r>
        <w:tab/>
      </w:r>
      <w:r>
        <w:tab/>
        <w:t>Al respecto, señaló que resultaba atendible, atento a la forma en que rebotaba el s</w:t>
      </w:r>
      <w:r>
        <w:t>o</w:t>
      </w:r>
      <w:r>
        <w:t>nido y a su velocidad, que algunos testigos hayan escuchado chirr</w:t>
      </w:r>
      <w:r>
        <w:t>i</w:t>
      </w:r>
      <w:r>
        <w:t>dos, frenadas y gritos, mientras que otros nada, remitié</w:t>
      </w:r>
      <w:r>
        <w:t>n</w:t>
      </w:r>
      <w:r>
        <w:t xml:space="preserve">dose a lo explicado por los peritos sobre el punto. </w:t>
      </w:r>
    </w:p>
    <w:p w:rsidR="00224567" w:rsidRDefault="00224567">
      <w:pPr>
        <w:widowControl w:val="0"/>
      </w:pPr>
      <w:r>
        <w:tab/>
      </w:r>
      <w:r>
        <w:tab/>
        <w:t xml:space="preserve">En cuanto a las bolsas que una testigo dijo haber visto frente al edificio de </w:t>
      </w:r>
      <w:smartTag w:uri="urn:schemas-microsoft-com:office:smarttags" w:element="PersonName">
        <w:smartTagPr>
          <w:attr w:name="ProductID" w:val="la A.M"/>
        </w:smartTagPr>
        <w:r>
          <w:t>la A.M</w:t>
        </w:r>
      </w:smartTag>
      <w:r>
        <w:t>.I.A., que eran tiradas desde un camión y apiladas sobre la vereda, aparentemente poco antes del estall</w:t>
      </w:r>
      <w:r>
        <w:t>i</w:t>
      </w:r>
      <w:r>
        <w:t xml:space="preserve">do, </w:t>
      </w:r>
      <w:smartTag w:uri="urn:schemas-microsoft-com:office:smarttags" w:element="PersonName">
        <w:smartTagPr>
          <w:attr w:name="ProductID" w:val="La Dra. Nercellas"/>
        </w:smartTagPr>
        <w:r>
          <w:t>la Dra. Nercellas</w:t>
        </w:r>
      </w:smartTag>
      <w:r>
        <w:t xml:space="preserve"> descartó que las mismas hubieran ingresado a dicha sede, como también que se tratara de explosivos, cuya manipul</w:t>
      </w:r>
      <w:r>
        <w:t>a</w:t>
      </w:r>
      <w:r>
        <w:t>ción, por lógica, hubiera r</w:t>
      </w:r>
      <w:r>
        <w:t>e</w:t>
      </w:r>
      <w:r>
        <w:t>querido otro tratamiento.</w:t>
      </w:r>
    </w:p>
    <w:p w:rsidR="00224567" w:rsidRDefault="00224567">
      <w:pPr>
        <w:widowControl w:val="0"/>
      </w:pPr>
      <w:r>
        <w:tab/>
      </w:r>
      <w:r>
        <w:tab/>
        <w:t>Por otra parte, entendió que la oqu</w:t>
      </w:r>
      <w:r>
        <w:t>e</w:t>
      </w:r>
      <w:r>
        <w:t>dad que había dejado la explosión también se trataba del desplazamiento del sótano del edificio, con el que se h</w:t>
      </w:r>
      <w:r>
        <w:t>a</w:t>
      </w:r>
      <w:r>
        <w:t>bía confundido, razón por la cual no se habían podido t</w:t>
      </w:r>
      <w:r>
        <w:t>o</w:t>
      </w:r>
      <w:r>
        <w:t>mar las medidas exactas.</w:t>
      </w:r>
    </w:p>
    <w:p w:rsidR="00224567" w:rsidRDefault="00224567">
      <w:pPr>
        <w:widowControl w:val="0"/>
      </w:pPr>
      <w:r>
        <w:tab/>
      </w:r>
      <w:r>
        <w:tab/>
        <w:t>Asimismo, negó que el amortigu</w:t>
      </w:r>
      <w:r>
        <w:t>a</w:t>
      </w:r>
      <w:r>
        <w:t>dor que apareció en el cuerpo de Díaz haya sido el del auto de Joffe, ya que los peritos estableci</w:t>
      </w:r>
      <w:r>
        <w:t>e</w:t>
      </w:r>
      <w:r>
        <w:t>ron que ninguno de los automóviles dañados había sufrido desgarramie</w:t>
      </w:r>
      <w:r>
        <w:t>n</w:t>
      </w:r>
      <w:r>
        <w:t>tos.</w:t>
      </w:r>
    </w:p>
    <w:p w:rsidR="00224567" w:rsidRDefault="00224567">
      <w:pPr>
        <w:widowControl w:val="0"/>
      </w:pPr>
      <w:r>
        <w:tab/>
      </w:r>
      <w:r>
        <w:tab/>
        <w:t>Explicó que si el explosivo hubiera estado en el volquete, éste hubiera sido liberado por la parte de arriba y dañado en mayor medida los pisos sup</w:t>
      </w:r>
      <w:r>
        <w:t>e</w:t>
      </w:r>
      <w:r>
        <w:t>riores del edificio. Del mismo modo, sostuvo que el vo</w:t>
      </w:r>
      <w:r>
        <w:t>l</w:t>
      </w:r>
      <w:r>
        <w:t>quete se hubiera desintegrado, circunstancia que no oc</w:t>
      </w:r>
      <w:r>
        <w:t>u</w:t>
      </w:r>
      <w:r>
        <w:t>rrió, ya que se encontró el piso y buena parte de sus l</w:t>
      </w:r>
      <w:r>
        <w:t>a</w:t>
      </w:r>
      <w:r>
        <w:t>terales, como también descartó la existencia de un doble fondo.</w:t>
      </w:r>
    </w:p>
    <w:p w:rsidR="00224567" w:rsidRDefault="00224567">
      <w:pPr>
        <w:widowControl w:val="0"/>
      </w:pPr>
      <w:r>
        <w:tab/>
      </w:r>
      <w:r>
        <w:tab/>
        <w:t xml:space="preserve">Acto seguido, </w:t>
      </w:r>
      <w:smartTag w:uri="urn:schemas-microsoft-com:office:smarttags" w:element="PersonName">
        <w:smartTagPr>
          <w:attr w:name="ProductID" w:val="La Dra. Nercellas"/>
        </w:smartTagPr>
        <w:r>
          <w:t>la Dra. Nerc</w:t>
        </w:r>
        <w:r>
          <w:t>e</w:t>
        </w:r>
        <w:r>
          <w:t>llas</w:t>
        </w:r>
      </w:smartTag>
      <w:r>
        <w:t xml:space="preserve"> apuntó que la querella unificada había expresado sus dudas y cuestionamientos con relación a la actuación de Kanoore Edul y Haddad. No obstante, afirmó que el volquete no h</w:t>
      </w:r>
      <w:r>
        <w:t>a</w:t>
      </w:r>
      <w:r>
        <w:t>bía sido el contenedor de la bomba, sino que ello lo había hecho la cami</w:t>
      </w:r>
      <w:r>
        <w:t>o</w:t>
      </w:r>
      <w:r>
        <w:t>neta.</w:t>
      </w:r>
    </w:p>
    <w:p w:rsidR="00224567" w:rsidRDefault="00224567">
      <w:pPr>
        <w:widowControl w:val="0"/>
      </w:pPr>
      <w:r>
        <w:tab/>
      </w:r>
      <w:r>
        <w:tab/>
        <w:t xml:space="preserve">Por otra parte, </w:t>
      </w:r>
      <w:smartTag w:uri="urn:schemas-microsoft-com:office:smarttags" w:element="PersonName">
        <w:smartTagPr>
          <w:attr w:name="ProductID" w:val="La Dra. Nercellas"/>
        </w:smartTagPr>
        <w:r>
          <w:t>la Dra. Nercellas</w:t>
        </w:r>
      </w:smartTag>
      <w:r>
        <w:t xml:space="preserve"> e</w:t>
      </w:r>
      <w:r>
        <w:t>x</w:t>
      </w:r>
      <w:r>
        <w:t>presó su discrepancia con el argumento utilizado por la defensa de Telleldín, que negó la exi</w:t>
      </w:r>
      <w:r>
        <w:t>s</w:t>
      </w:r>
      <w:r>
        <w:t>tencia de una acción en el hecho de entregar la camioneta por haber sido llev</w:t>
      </w:r>
      <w:r>
        <w:t>a</w:t>
      </w:r>
      <w:r>
        <w:t>da a cabo por una extorsión y en consecuencia sin volunt</w:t>
      </w:r>
      <w:r>
        <w:t>a</w:t>
      </w:r>
      <w:r>
        <w:t>ri</w:t>
      </w:r>
      <w:r>
        <w:t>e</w:t>
      </w:r>
      <w:r>
        <w:t>dad.</w:t>
      </w:r>
    </w:p>
    <w:p w:rsidR="00224567" w:rsidRDefault="00224567">
      <w:pPr>
        <w:widowControl w:val="0"/>
      </w:pPr>
      <w:r>
        <w:tab/>
      </w:r>
      <w:r>
        <w:tab/>
        <w:t>En este orden de ideas, la represe</w:t>
      </w:r>
      <w:r>
        <w:t>n</w:t>
      </w:r>
      <w:r>
        <w:t>tante de la querella adujo que todos los actos que Telle</w:t>
      </w:r>
      <w:r>
        <w:t>l</w:t>
      </w:r>
      <w:r>
        <w:t>dín realizó antes, durante y después de aquella entrega demostraban su voluntariedad e interés en participar, e</w:t>
      </w:r>
      <w:r>
        <w:t>s</w:t>
      </w:r>
      <w:r>
        <w:t>timando que el nombrado había preparado otra camioneta m</w:t>
      </w:r>
      <w:r>
        <w:t>e</w:t>
      </w:r>
      <w:r>
        <w:t>lliza para de</w:t>
      </w:r>
      <w:r>
        <w:t>s</w:t>
      </w:r>
      <w:r>
        <w:t>viar la investigación.</w:t>
      </w:r>
    </w:p>
    <w:p w:rsidR="00224567" w:rsidRDefault="00224567">
      <w:pPr>
        <w:widowControl w:val="0"/>
      </w:pPr>
      <w:r>
        <w:tab/>
      </w:r>
      <w:r>
        <w:tab/>
        <w:t>En cuanto al tema del borrado del n</w:t>
      </w:r>
      <w:r>
        <w:t>ú</w:t>
      </w:r>
      <w:r>
        <w:t xml:space="preserve">mero de motor, </w:t>
      </w:r>
      <w:smartTag w:uri="urn:schemas-microsoft-com:office:smarttags" w:element="PersonName">
        <w:smartTagPr>
          <w:attr w:name="ProductID" w:val="La Dra. Nercellas"/>
        </w:smartTagPr>
        <w:r>
          <w:t>la Dra. Nercellas</w:t>
        </w:r>
      </w:smartTag>
      <w:r>
        <w:t xml:space="preserve"> destacó que Telleldín m</w:t>
      </w:r>
      <w:r>
        <w:t>a</w:t>
      </w:r>
      <w:r>
        <w:t>nifestó en el debate que nunca realizaba dicha tarea po</w:t>
      </w:r>
      <w:r>
        <w:t>r</w:t>
      </w:r>
      <w:r>
        <w:t>que siempre el número se identificaba, razón por la cual sólo modificaba el de la c</w:t>
      </w:r>
      <w:r>
        <w:t>a</w:t>
      </w:r>
      <w:r>
        <w:t>rrocería.</w:t>
      </w:r>
    </w:p>
    <w:p w:rsidR="00224567" w:rsidRDefault="00224567">
      <w:pPr>
        <w:widowControl w:val="0"/>
      </w:pPr>
      <w:r>
        <w:tab/>
      </w:r>
      <w:r>
        <w:tab/>
        <w:t>En este punto, recordó que cuando T</w:t>
      </w:r>
      <w:r>
        <w:t>e</w:t>
      </w:r>
      <w:r>
        <w:t>lleldín cr</w:t>
      </w:r>
      <w:r>
        <w:t>e</w:t>
      </w:r>
      <w:r>
        <w:t>yó que su domicilio iba a ser allanado perforó el motor del vehículo Renault 9 para que su número no p</w:t>
      </w:r>
      <w:r>
        <w:t>u</w:t>
      </w:r>
      <w:r>
        <w:t>diera ser identificado, ente</w:t>
      </w:r>
      <w:r>
        <w:t>n</w:t>
      </w:r>
      <w:r>
        <w:t>diendo que si hubiera podido borrarlo lo hubiera hecho para evitar inutilizar dicho a</w:t>
      </w:r>
      <w:r>
        <w:t>u</w:t>
      </w:r>
      <w:r>
        <w:t>tomóvil.</w:t>
      </w:r>
    </w:p>
    <w:p w:rsidR="00224567" w:rsidRDefault="00224567">
      <w:pPr>
        <w:widowControl w:val="0"/>
      </w:pPr>
      <w:r>
        <w:tab/>
      </w:r>
      <w:r>
        <w:tab/>
        <w:t>Con respecto al libro que se le había propuesto e</w:t>
      </w:r>
      <w:r>
        <w:t>s</w:t>
      </w:r>
      <w:r>
        <w:t xml:space="preserve">cribir a Telleldín, </w:t>
      </w:r>
      <w:smartTag w:uri="urn:schemas-microsoft-com:office:smarttags" w:element="PersonName">
        <w:smartTagPr>
          <w:attr w:name="ProductID" w:val="La Dra. Nercellas"/>
        </w:smartTagPr>
        <w:r>
          <w:t>la Dra. Nercellas</w:t>
        </w:r>
      </w:smartTag>
      <w:r>
        <w:t xml:space="preserve"> precisó que el nombrado había mencionado aquél tema antes de co</w:t>
      </w:r>
      <w:r>
        <w:t>n</w:t>
      </w:r>
      <w:r>
        <w:t xml:space="preserve">versar con </w:t>
      </w:r>
      <w:smartTag w:uri="urn:schemas-microsoft-com:office:smarttags" w:element="PersonName">
        <w:smartTagPr>
          <w:attr w:name="ProductID" w:val="la Dra. Riva"/>
        </w:smartTagPr>
        <w:r>
          <w:t>la Dra. Riva</w:t>
        </w:r>
      </w:smartTag>
      <w:r>
        <w:t xml:space="preserve"> Ar</w:t>
      </w:r>
      <w:r>
        <w:t>a</w:t>
      </w:r>
      <w:r>
        <w:t>mayo.</w:t>
      </w:r>
    </w:p>
    <w:p w:rsidR="00224567" w:rsidRDefault="00224567">
      <w:pPr>
        <w:widowControl w:val="0"/>
      </w:pPr>
      <w:r>
        <w:tab/>
      </w:r>
      <w:r>
        <w:tab/>
        <w:t>Luego, se preguntó cuándo el juez G</w:t>
      </w:r>
      <w:r>
        <w:t>a</w:t>
      </w:r>
      <w:r>
        <w:t>leano había cambiado de opinión y decidido inv</w:t>
      </w:r>
      <w:r>
        <w:t>o</w:t>
      </w:r>
      <w:r>
        <w:t>lucrar a la policía bonaerense si, según la defe</w:t>
      </w:r>
      <w:r>
        <w:t>n</w:t>
      </w:r>
      <w:r>
        <w:t>sa, no había querido consignar en la primera declaración de Telleldín lo rel</w:t>
      </w:r>
      <w:r>
        <w:t>a</w:t>
      </w:r>
      <w:r>
        <w:t xml:space="preserve">tivo a </w:t>
      </w:r>
      <w:smartTag w:uri="urn:schemas-microsoft-com:office:smarttags" w:element="PersonName">
        <w:smartTagPr>
          <w:attr w:name="ProductID" w:val="la Brigada"/>
        </w:smartTagPr>
        <w:r>
          <w:t>la Brigada</w:t>
        </w:r>
      </w:smartTag>
      <w:r>
        <w:t xml:space="preserve"> de Lanús.</w:t>
      </w:r>
    </w:p>
    <w:p w:rsidR="00224567" w:rsidRDefault="00224567">
      <w:pPr>
        <w:widowControl w:val="0"/>
      </w:pPr>
      <w:r>
        <w:tab/>
      </w:r>
      <w:r>
        <w:tab/>
        <w:t>Asimismo, la representante de la qu</w:t>
      </w:r>
      <w:r>
        <w:t>e</w:t>
      </w:r>
      <w:r>
        <w:t>rella unificada remarcó que Telleldín no dijo muchas de las cosas que sus defensoras afirm</w:t>
      </w:r>
      <w:r>
        <w:t>a</w:t>
      </w:r>
      <w:r>
        <w:t>ron.</w:t>
      </w:r>
    </w:p>
    <w:p w:rsidR="00224567" w:rsidRDefault="00224567">
      <w:pPr>
        <w:widowControl w:val="0"/>
      </w:pPr>
      <w:r>
        <w:tab/>
      </w:r>
      <w:r>
        <w:tab/>
        <w:t xml:space="preserve">Con relación al pago a Telleldín, se interrogó si no era casual que en </w:t>
      </w:r>
      <w:smartTag w:uri="urn:schemas-microsoft-com:office:smarttags" w:element="PersonName">
        <w:smartTagPr>
          <w:attr w:name="ProductID" w:val="la Secretar￭a"/>
        </w:smartTagPr>
        <w:r>
          <w:t>la Secretaría</w:t>
        </w:r>
      </w:smartTag>
      <w:r>
        <w:t xml:space="preserve"> de Intel</w:t>
      </w:r>
      <w:r>
        <w:t>i</w:t>
      </w:r>
      <w:r>
        <w:t>gencia de Estado no haya quedado prueba alguna de la e</w:t>
      </w:r>
      <w:r>
        <w:t>n</w:t>
      </w:r>
      <w:r>
        <w:t>trega de dinero ni aparecido el video, siendo el ticket del café que tomaron en una confitería  la única consta</w:t>
      </w:r>
      <w:r>
        <w:t>n</w:t>
      </w:r>
      <w:r>
        <w:t>cia acerca del pago a Boragni.</w:t>
      </w:r>
    </w:p>
    <w:p w:rsidR="00224567" w:rsidRDefault="00224567">
      <w:pPr>
        <w:widowControl w:val="0"/>
      </w:pPr>
      <w:r>
        <w:tab/>
      </w:r>
      <w:r>
        <w:tab/>
        <w:t xml:space="preserve">A continuación, </w:t>
      </w:r>
      <w:smartTag w:uri="urn:schemas-microsoft-com:office:smarttags" w:element="PersonName">
        <w:smartTagPr>
          <w:attr w:name="ProductID" w:val="La Dra. Nercellas"/>
        </w:smartTagPr>
        <w:r>
          <w:t>la Dra. Nerc</w:t>
        </w:r>
        <w:r>
          <w:t>e</w:t>
        </w:r>
        <w:r>
          <w:t>llas</w:t>
        </w:r>
      </w:smartTag>
      <w:r>
        <w:t xml:space="preserve"> hizo saber que la querella tenía interés en que Cotoras prest</w:t>
      </w:r>
      <w:r>
        <w:t>a</w:t>
      </w:r>
      <w:r>
        <w:t>ra declaración en la audiencia, aclarando que no solicit</w:t>
      </w:r>
      <w:r>
        <w:t>a</w:t>
      </w:r>
      <w:r>
        <w:t>ron su sobreseimiento toda vez que tenían muchas dudas acerca de su actividad y existía la posibilidad de que T</w:t>
      </w:r>
      <w:r>
        <w:t>e</w:t>
      </w:r>
      <w:r>
        <w:t>lleldín, una vez dictado dicho auto, señalara al nombrado como el armador de la camion</w:t>
      </w:r>
      <w:r>
        <w:t>e</w:t>
      </w:r>
      <w:r>
        <w:t>ta.</w:t>
      </w:r>
    </w:p>
    <w:p w:rsidR="00224567" w:rsidRDefault="00224567">
      <w:pPr>
        <w:widowControl w:val="0"/>
      </w:pPr>
      <w:r>
        <w:tab/>
      </w:r>
      <w:r>
        <w:tab/>
        <w:t>Por otro lado, discrepó con el crit</w:t>
      </w:r>
      <w:r>
        <w:t>e</w:t>
      </w:r>
      <w:r>
        <w:t>rio sustentado por las defensas en cuanto al reclamo que le formularon, vinculado al hecho de que la querella un</w:t>
      </w:r>
      <w:r>
        <w:t>i</w:t>
      </w:r>
      <w:r>
        <w:t>ficada no había solicitado la dete</w:t>
      </w:r>
      <w:r>
        <w:t>n</w:t>
      </w:r>
      <w:r>
        <w:t>ción de Ana Boragni en el debate cuando sus mentiras habían s</w:t>
      </w:r>
      <w:r>
        <w:t>i</w:t>
      </w:r>
      <w:r>
        <w:t>do manifiestas.</w:t>
      </w:r>
    </w:p>
    <w:p w:rsidR="00224567" w:rsidRDefault="00224567">
      <w:pPr>
        <w:widowControl w:val="0"/>
      </w:pPr>
      <w:r>
        <w:tab/>
      </w:r>
      <w:r>
        <w:tab/>
        <w:t xml:space="preserve">Al respecto, </w:t>
      </w:r>
      <w:smartTag w:uri="urn:schemas-microsoft-com:office:smarttags" w:element="PersonName">
        <w:smartTagPr>
          <w:attr w:name="ProductID" w:val="La Dra. Nercellas"/>
        </w:smartTagPr>
        <w:r>
          <w:t>la Dra. Nerc</w:t>
        </w:r>
        <w:r>
          <w:t>e</w:t>
        </w:r>
        <w:r>
          <w:t>llas</w:t>
        </w:r>
      </w:smartTag>
      <w:r>
        <w:t xml:space="preserve"> explicó que no se había pedido la detención de Boragni en ese m</w:t>
      </w:r>
      <w:r>
        <w:t>o</w:t>
      </w:r>
      <w:r>
        <w:t>mento por considerar que la nombrada había s</w:t>
      </w:r>
      <w:r>
        <w:t>i</w:t>
      </w:r>
      <w:r>
        <w:t>do partícipe en los hechos de su marido; razón por la cual su testim</w:t>
      </w:r>
      <w:r>
        <w:t>o</w:t>
      </w:r>
      <w:r>
        <w:t>nio no podía ser considerado mendaz en virtud de la gara</w:t>
      </w:r>
      <w:r>
        <w:t>n</w:t>
      </w:r>
      <w:r>
        <w:t>tía contra la a</w:t>
      </w:r>
      <w:r>
        <w:t>u</w:t>
      </w:r>
      <w:r>
        <w:t>toincriminación.</w:t>
      </w:r>
    </w:p>
    <w:p w:rsidR="00224567" w:rsidRDefault="00224567">
      <w:pPr>
        <w:widowControl w:val="0"/>
      </w:pPr>
      <w:r>
        <w:tab/>
      </w:r>
      <w:r>
        <w:tab/>
        <w:t>Acto seguido, expresó su discr</w:t>
      </w:r>
      <w:r>
        <w:t>e</w:t>
      </w:r>
      <w:r>
        <w:t>pancia con relación al argumento que sostuvo que a Telleldín no se le había pagado por la recompensa porque el juez no h</w:t>
      </w:r>
      <w:r>
        <w:t>a</w:t>
      </w:r>
      <w:r>
        <w:t xml:space="preserve">bía dictado su sobreseimiento. </w:t>
      </w:r>
    </w:p>
    <w:p w:rsidR="00224567" w:rsidRDefault="00224567">
      <w:pPr>
        <w:widowControl w:val="0"/>
      </w:pPr>
      <w:r>
        <w:tab/>
      </w:r>
      <w:r>
        <w:tab/>
        <w:t>En este punto, la represe</w:t>
      </w:r>
      <w:r>
        <w:t>n</w:t>
      </w:r>
      <w:r>
        <w:t>tante de la querella entendió que de acuerdo al d</w:t>
      </w:r>
      <w:r>
        <w:t>e</w:t>
      </w:r>
      <w:r>
        <w:t>creto de recompensa el juez debía evaluar si Telleldín había c</w:t>
      </w:r>
      <w:r>
        <w:t>o</w:t>
      </w:r>
      <w:r>
        <w:t>laborado en la invest</w:t>
      </w:r>
      <w:r>
        <w:t>i</w:t>
      </w:r>
      <w:r>
        <w:t>gación; valoración que de haberla realizado hubiera imposibilitado el cobro de la recompensa, por considerar que Telleldín siempre enturbió y perjudicó la investig</w:t>
      </w:r>
      <w:r>
        <w:t>a</w:t>
      </w:r>
      <w:r>
        <w:t>ción.</w:t>
      </w:r>
    </w:p>
    <w:p w:rsidR="00224567" w:rsidRDefault="00224567">
      <w:pPr>
        <w:widowControl w:val="0"/>
      </w:pPr>
      <w:r>
        <w:tab/>
      </w:r>
      <w:r>
        <w:tab/>
        <w:t>Por otra parte, sostuvo que la falta de pruebas directas no significaba la falta de pruebas s</w:t>
      </w:r>
      <w:r>
        <w:t>u</w:t>
      </w:r>
      <w:r>
        <w:t>ficientes, aunque la defensa de Telleldín entendiera que no era imposible la falta de pruebas d</w:t>
      </w:r>
      <w:r>
        <w:t>i</w:t>
      </w:r>
      <w:r>
        <w:t>rectas en un hecho de semejante natural</w:t>
      </w:r>
      <w:r>
        <w:t>e</w:t>
      </w:r>
      <w:r>
        <w:t>za, valiéndose para ello de una foto que ilustr</w:t>
      </w:r>
      <w:r>
        <w:t>a</w:t>
      </w:r>
      <w:r>
        <w:t>ba a Rabbani buscando una camioneta.</w:t>
      </w:r>
    </w:p>
    <w:p w:rsidR="00224567" w:rsidRDefault="00224567">
      <w:pPr>
        <w:widowControl w:val="0"/>
      </w:pPr>
      <w:r>
        <w:tab/>
      </w:r>
      <w:r>
        <w:tab/>
        <w:t>En este sentido, aclaró que aquella fotografía fue exhibida por la querella en el juicio para demostrar cuáles fueron las razones por las cuales Rabb</w:t>
      </w:r>
      <w:r>
        <w:t>a</w:t>
      </w:r>
      <w:r>
        <w:t xml:space="preserve">ni, encargado de la logística local del atentado, había tenido que cambiar de estrategia cuando supo que estaba siendo seguido por </w:t>
      </w:r>
      <w:smartTag w:uri="urn:schemas-microsoft-com:office:smarttags" w:element="PersonName">
        <w:smartTagPr>
          <w:attr w:name="ProductID" w:val="la Secretar￭a"/>
        </w:smartTagPr>
        <w:r>
          <w:t>la Secretaría</w:t>
        </w:r>
      </w:smartTag>
      <w:r>
        <w:t xml:space="preserve"> de Inteligencia de Est</w:t>
      </w:r>
      <w:r>
        <w:t>a</w:t>
      </w:r>
      <w:r>
        <w:t>do.</w:t>
      </w:r>
    </w:p>
    <w:p w:rsidR="00224567" w:rsidRDefault="00224567">
      <w:pPr>
        <w:widowControl w:val="0"/>
      </w:pPr>
      <w:r>
        <w:tab/>
      </w:r>
      <w:r>
        <w:tab/>
        <w:t>Asimismo, le llamó la atención la fo</w:t>
      </w:r>
      <w:r>
        <w:t>r</w:t>
      </w:r>
      <w:r>
        <w:t>ma en que se buscó la agenda de Telleldín, citando las a</w:t>
      </w:r>
      <w:r>
        <w:t>c</w:t>
      </w:r>
      <w:r>
        <w:t>titudes asumidas al respecto por Morri, Bora</w:t>
      </w:r>
      <w:r>
        <w:t>g</w:t>
      </w:r>
      <w:r>
        <w:t>ni y Barreda, pregu</w:t>
      </w:r>
      <w:r>
        <w:t>n</w:t>
      </w:r>
      <w:r>
        <w:t>tándose también por qué razón se la había intentado localizar en forma clandestina y si ello no había sido p</w:t>
      </w:r>
      <w:r>
        <w:t>a</w:t>
      </w:r>
      <w:r>
        <w:t>ra de</w:t>
      </w:r>
      <w:r>
        <w:t>s</w:t>
      </w:r>
      <w:r>
        <w:t>viar la investigación.</w:t>
      </w:r>
    </w:p>
    <w:p w:rsidR="00224567" w:rsidRDefault="00224567">
      <w:pPr>
        <w:widowControl w:val="0"/>
      </w:pPr>
      <w:r>
        <w:tab/>
      </w:r>
      <w:r>
        <w:tab/>
        <w:t xml:space="preserve">Posteriormente, </w:t>
      </w:r>
      <w:smartTag w:uri="urn:schemas-microsoft-com:office:smarttags" w:element="PersonName">
        <w:smartTagPr>
          <w:attr w:name="ProductID" w:val="La Dra. Nercellas"/>
        </w:smartTagPr>
        <w:r>
          <w:t>la Dra. Nerc</w:t>
        </w:r>
        <w:r>
          <w:t>e</w:t>
        </w:r>
        <w:r>
          <w:t>llas</w:t>
        </w:r>
      </w:smartTag>
      <w:r>
        <w:t xml:space="preserve"> hizo referencia al testimonio de Naldi, preguntá</w:t>
      </w:r>
      <w:r>
        <w:t>n</w:t>
      </w:r>
      <w:r>
        <w:t>dose qué hacía el nombrado en la investig</w:t>
      </w:r>
      <w:r>
        <w:t>a</w:t>
      </w:r>
      <w:r>
        <w:t>ción, quién lo había llamado y por qué nunca había comparecido al juzgado para explicar las razones por las cuáles sie</w:t>
      </w:r>
      <w:r>
        <w:t>m</w:t>
      </w:r>
      <w:r>
        <w:t xml:space="preserve">pre se reunía en bares con funcionarios de </w:t>
      </w:r>
      <w:smartTag w:uri="urn:schemas-microsoft-com:office:smarttags" w:element="PersonName">
        <w:smartTagPr>
          <w:attr w:name="ProductID" w:val="la Polic￭a Bonaerense."/>
        </w:smartTagPr>
        <w:r>
          <w:t>la Policía B</w:t>
        </w:r>
        <w:r>
          <w:t>o</w:t>
        </w:r>
        <w:r>
          <w:t>naerense.</w:t>
        </w:r>
      </w:smartTag>
      <w:r>
        <w:t xml:space="preserve"> </w:t>
      </w:r>
    </w:p>
    <w:p w:rsidR="00224567" w:rsidRDefault="00224567">
      <w:pPr>
        <w:widowControl w:val="0"/>
      </w:pPr>
      <w:r>
        <w:tab/>
      </w:r>
      <w:r>
        <w:tab/>
        <w:t xml:space="preserve">Luego, puntualizó que </w:t>
      </w:r>
      <w:smartTag w:uri="urn:schemas-microsoft-com:office:smarttags" w:element="PersonName">
        <w:smartTagPr>
          <w:attr w:name="ProductID" w:val="la Secretar￭a"/>
        </w:smartTagPr>
        <w:r>
          <w:t>la Secr</w:t>
        </w:r>
        <w:r>
          <w:t>e</w:t>
        </w:r>
        <w:r>
          <w:t>taría</w:t>
        </w:r>
      </w:smartTag>
      <w:r>
        <w:t xml:space="preserve"> de Inteligencia de Estado, a pesar de haber estado desde el minuto cero en la investigación, no había indagado acerca del origen de la camioneta.</w:t>
      </w:r>
    </w:p>
    <w:p w:rsidR="00224567" w:rsidRDefault="00224567">
      <w:pPr>
        <w:widowControl w:val="0"/>
      </w:pPr>
      <w:r>
        <w:tab/>
      </w:r>
      <w:r>
        <w:tab/>
        <w:t>También recordó que miembros de aqu</w:t>
      </w:r>
      <w:r>
        <w:t>e</w:t>
      </w:r>
      <w:r>
        <w:t xml:space="preserve">lla secretaría concurrieron el día </w:t>
      </w:r>
      <w:smartTag w:uri="urn:schemas-microsoft-com:office:smarttags" w:element="metricconverter">
        <w:smartTagPr>
          <w:attr w:name="ProductID" w:val="26 a"/>
        </w:smartTagPr>
        <w:r>
          <w:t>26 a</w:t>
        </w:r>
      </w:smartTag>
      <w:r>
        <w:t xml:space="preserve"> la casa de Telle</w:t>
      </w:r>
      <w:r>
        <w:t>l</w:t>
      </w:r>
      <w:r>
        <w:t>dín y fueron los que informaron que Leal había ingr</w:t>
      </w:r>
      <w:r>
        <w:t>e</w:t>
      </w:r>
      <w:r>
        <w:t>sado a ese domicilio para hablar con Barreda y Bareiro, razón por la cual entendió que el primero no podía haber sido co</w:t>
      </w:r>
      <w:r>
        <w:t>n</w:t>
      </w:r>
      <w:r>
        <w:t>fundido con López.</w:t>
      </w:r>
    </w:p>
    <w:p w:rsidR="00224567" w:rsidRDefault="00224567">
      <w:pPr>
        <w:widowControl w:val="0"/>
      </w:pPr>
      <w:r>
        <w:tab/>
      </w:r>
      <w:r>
        <w:tab/>
        <w:t>Por otro lado remarcó que si bien Stiuso sostuvo que lo habían separado de la inve</w:t>
      </w:r>
      <w:r>
        <w:t>s</w:t>
      </w:r>
      <w:r>
        <w:t xml:space="preserve">tigación, el nombrado continuaba interviniendo hasta el presente y fue él quien, en oportunidad de concurrir a </w:t>
      </w:r>
      <w:smartTag w:uri="urn:schemas-microsoft-com:office:smarttags" w:element="PersonName">
        <w:smartTagPr>
          <w:attr w:name="ProductID" w:val="la S.I"/>
        </w:smartTagPr>
        <w:r>
          <w:t>la S.I</w:t>
        </w:r>
      </w:smartTag>
      <w:r>
        <w:t>.D.E., les explicó por qué los policías bonaerenses habían part</w:t>
      </w:r>
      <w:r>
        <w:t>i</w:t>
      </w:r>
      <w:r>
        <w:t>cipado.</w:t>
      </w:r>
    </w:p>
    <w:p w:rsidR="00224567" w:rsidRDefault="00224567">
      <w:pPr>
        <w:widowControl w:val="0"/>
      </w:pPr>
      <w:r>
        <w:tab/>
      </w:r>
      <w:r>
        <w:tab/>
        <w:t xml:space="preserve">Seguidamente, </w:t>
      </w:r>
      <w:smartTag w:uri="urn:schemas-microsoft-com:office:smarttags" w:element="PersonName">
        <w:smartTagPr>
          <w:attr w:name="ProductID" w:val="La Dra. Nercellas"/>
        </w:smartTagPr>
        <w:r>
          <w:t>la Dra. Nercellas</w:t>
        </w:r>
      </w:smartTag>
      <w:r>
        <w:t xml:space="preserve"> subr</w:t>
      </w:r>
      <w:r>
        <w:t>a</w:t>
      </w:r>
      <w:r>
        <w:t>yó que Solari no había mencionado a Ribelli en el año 1997 y se preguntó por qué, si es que había pedido perdón en ese año cuando no lo había nombr</w:t>
      </w:r>
      <w:r>
        <w:t>a</w:t>
      </w:r>
      <w:r>
        <w:t xml:space="preserve">do, lo hizo recién en el año 1999 ante </w:t>
      </w:r>
      <w:smartTag w:uri="urn:schemas-microsoft-com:office:smarttags" w:element="PersonName">
        <w:smartTagPr>
          <w:attr w:name="ProductID" w:val="la Comisi￳n Bicameral."/>
        </w:smartTagPr>
        <w:r>
          <w:t>la Comisión Bicameral.</w:t>
        </w:r>
      </w:smartTag>
      <w:r>
        <w:t xml:space="preserve"> Del mismo modo, se interrogó por qué sindicó a Ribelli como la persona que había colaborado en el armado de un de</w:t>
      </w:r>
      <w:r>
        <w:t>s</w:t>
      </w:r>
      <w:r>
        <w:t>vío, qué beneficio había querido sacar y si había sol</w:t>
      </w:r>
      <w:r>
        <w:t>i</w:t>
      </w:r>
      <w:r>
        <w:t>citado algo al Tribunal para seguir manteniendo aquella declar</w:t>
      </w:r>
      <w:r>
        <w:t>a</w:t>
      </w:r>
      <w:r>
        <w:t xml:space="preserve">ción. </w:t>
      </w:r>
    </w:p>
    <w:p w:rsidR="00224567" w:rsidRDefault="00224567">
      <w:pPr>
        <w:widowControl w:val="0"/>
      </w:pPr>
      <w:r>
        <w:tab/>
      </w:r>
      <w:r>
        <w:tab/>
        <w:t xml:space="preserve">En otro orden de ideas, </w:t>
      </w:r>
      <w:smartTag w:uri="urn:schemas-microsoft-com:office:smarttags" w:element="PersonName">
        <w:smartTagPr>
          <w:attr w:name="ProductID" w:val="La Dra. Nercellas"/>
        </w:smartTagPr>
        <w:r>
          <w:t>la Dra. Nerc</w:t>
        </w:r>
        <w:r>
          <w:t>e</w:t>
        </w:r>
        <w:r>
          <w:t>llas</w:t>
        </w:r>
      </w:smartTag>
      <w:r>
        <w:t xml:space="preserve"> justificó el no haber indagado a Ribelli acerca de cómo su padre había obtenido los dos millones y medio de dólares que le donó, porque d</w:t>
      </w:r>
      <w:r>
        <w:t>u</w:t>
      </w:r>
      <w:r>
        <w:t>rante la etapa instructoria la querella no podía presenciar la decl</w:t>
      </w:r>
      <w:r>
        <w:t>a</w:t>
      </w:r>
      <w:r>
        <w:t>ración indagatoria del imputado y porque en el juicio el imputado se había negado a contestar preguntas. De igual forma, aclaró que no se había interrogado a Gr</w:t>
      </w:r>
      <w:r>
        <w:t>e</w:t>
      </w:r>
      <w:r>
        <w:t xml:space="preserve">gorio Ribelli sobre el punto, en virtud de que el Código Procesal Penal de </w:t>
      </w:r>
      <w:smartTag w:uri="urn:schemas-microsoft-com:office:smarttags" w:element="PersonName">
        <w:smartTagPr>
          <w:attr w:name="ProductID" w:val="la Naci￳n"/>
        </w:smartTagPr>
        <w:r>
          <w:t>la Nación</w:t>
        </w:r>
      </w:smartTag>
      <w:r>
        <w:t xml:space="preserve"> proh</w:t>
      </w:r>
      <w:r>
        <w:t>i</w:t>
      </w:r>
      <w:r>
        <w:t>bía a los padres declarar en contra de sus hijos.</w:t>
      </w:r>
    </w:p>
    <w:p w:rsidR="00224567" w:rsidRDefault="00224567">
      <w:pPr>
        <w:widowControl w:val="0"/>
      </w:pPr>
      <w:r>
        <w:tab/>
      </w:r>
      <w:r>
        <w:tab/>
        <w:t>Además, hizo referencia a terr</w:t>
      </w:r>
      <w:r>
        <w:t>e</w:t>
      </w:r>
      <w:r>
        <w:t>nos que Gregorio Ribelli había donado anteriormente, que de acue</w:t>
      </w:r>
      <w:r>
        <w:t>r</w:t>
      </w:r>
      <w:r>
        <w:t>do a los títulos respectivos habían sido usucapidos por su hijo, destacando que habían quedado preguntas sin respo</w:t>
      </w:r>
      <w:r>
        <w:t>n</w:t>
      </w:r>
      <w:r>
        <w:t>der porque la única declaración jurada del imputado Rib</w:t>
      </w:r>
      <w:r>
        <w:t>e</w:t>
      </w:r>
      <w:r>
        <w:t>lli había sido presentada en j</w:t>
      </w:r>
      <w:r>
        <w:t>u</w:t>
      </w:r>
      <w:r>
        <w:t>nio de 1996, poco antes de su dete</w:t>
      </w:r>
      <w:r>
        <w:t>n</w:t>
      </w:r>
      <w:r>
        <w:t>ción.</w:t>
      </w:r>
    </w:p>
    <w:p w:rsidR="00224567" w:rsidRDefault="00224567">
      <w:pPr>
        <w:widowControl w:val="0"/>
      </w:pPr>
      <w:r>
        <w:tab/>
      </w:r>
      <w:r>
        <w:tab/>
        <w:t>Luego, se preguntó cómo había hecho el nombrado para medir al juez y para darse cue</w:t>
      </w:r>
      <w:r>
        <w:t>n</w:t>
      </w:r>
      <w:r>
        <w:t>ta que con el derecho no alcanzaba, tal como lo sostuvo su defensor, c</w:t>
      </w:r>
      <w:r>
        <w:t>o</w:t>
      </w:r>
      <w:r>
        <w:t>mo también cómo se compatibilizaba esa medición con la e</w:t>
      </w:r>
      <w:r>
        <w:t>x</w:t>
      </w:r>
      <w:r>
        <w:t>plicación brindada por Ribelli cuando decidió entregarle la vide</w:t>
      </w:r>
      <w:r>
        <w:t>o</w:t>
      </w:r>
      <w:r>
        <w:t xml:space="preserve">cinta al magistrado. </w:t>
      </w:r>
    </w:p>
    <w:p w:rsidR="00224567" w:rsidRDefault="00224567">
      <w:pPr>
        <w:widowControl w:val="0"/>
      </w:pPr>
      <w:r>
        <w:tab/>
      </w:r>
      <w:r>
        <w:tab/>
        <w:t>Por otra parte, estimó que Hu</w:t>
      </w:r>
      <w:r>
        <w:t>i</w:t>
      </w:r>
      <w:r>
        <w:t>ci, como su defensor, habían sido sumamente cl</w:t>
      </w:r>
      <w:r>
        <w:t>a</w:t>
      </w:r>
      <w:r>
        <w:t>ros al explicar cómo se había obligado al primero a mentir y que había aceptado hacerlo por el temor que le tenía a Rib</w:t>
      </w:r>
      <w:r>
        <w:t>e</w:t>
      </w:r>
      <w:r>
        <w:t>lli.</w:t>
      </w:r>
    </w:p>
    <w:p w:rsidR="00224567" w:rsidRDefault="00224567">
      <w:pPr>
        <w:widowControl w:val="0"/>
      </w:pPr>
      <w:r>
        <w:tab/>
      </w:r>
      <w:r>
        <w:tab/>
        <w:t>Finalmente, cons</w:t>
      </w:r>
      <w:r>
        <w:t>i</w:t>
      </w:r>
      <w:r>
        <w:t>deró que la causa se había dificultado por la actitud asumida por los imp</w:t>
      </w:r>
      <w:r>
        <w:t>u</w:t>
      </w:r>
      <w:r>
        <w:t>tados, quienes habían creado pistas falsas y hecho desap</w:t>
      </w:r>
      <w:r>
        <w:t>a</w:t>
      </w:r>
      <w:r>
        <w:t>recer pruebas verdaderas, razón por la cual solicitó al Tribunal que no olvidara cuál había sido el objeto proc</w:t>
      </w:r>
      <w:r>
        <w:t>e</w:t>
      </w:r>
      <w:r>
        <w:t>sal de la investigación al momento de r</w:t>
      </w:r>
      <w:r>
        <w:t>e</w:t>
      </w:r>
      <w:r>
        <w:t>solver.</w:t>
      </w:r>
    </w:p>
    <w:p w:rsidR="00224567" w:rsidRDefault="00224567">
      <w:pPr>
        <w:widowControl w:val="0"/>
      </w:pPr>
      <w:r>
        <w:tab/>
        <w:t>La querella unificada D.A.I.A., A.M.I.A. y “Grupo de Familiares”, también replicó sobre los hechos de la causa 496/00 de este tribunal, los que serán reseñados en el título pertine</w:t>
      </w:r>
      <w:r>
        <w:t>n</w:t>
      </w:r>
      <w:r>
        <w:t>te.</w:t>
      </w:r>
    </w:p>
    <w:p w:rsidR="00224567" w:rsidRDefault="00224567">
      <w:pPr>
        <w:widowControl w:val="0"/>
      </w:pPr>
    </w:p>
    <w:p w:rsidR="00224567" w:rsidRDefault="00224567">
      <w:pPr>
        <w:widowControl w:val="0"/>
        <w:ind w:firstLine="2835"/>
        <w:rPr>
          <w:bCs/>
        </w:rPr>
      </w:pPr>
      <w:r>
        <w:tab/>
      </w:r>
      <w:r>
        <w:rPr>
          <w:b/>
          <w:bCs/>
        </w:rPr>
        <w:t>A.3)</w:t>
      </w:r>
      <w:r>
        <w:rPr>
          <w:bCs/>
        </w:rPr>
        <w:t xml:space="preserve"> Al replicar, el Sr. fiscal gen</w:t>
      </w:r>
      <w:r>
        <w:rPr>
          <w:bCs/>
        </w:rPr>
        <w:t>e</w:t>
      </w:r>
      <w:r>
        <w:rPr>
          <w:bCs/>
        </w:rPr>
        <w:t>ral, Dr. Alberto Nisman, se expidió, en primer lugar, re</w:t>
      </w:r>
      <w:r>
        <w:rPr>
          <w:bCs/>
        </w:rPr>
        <w:t>s</w:t>
      </w:r>
      <w:r>
        <w:rPr>
          <w:bCs/>
        </w:rPr>
        <w:t>pecto de los planteos de inconstitucionalidad y nulidad invocados por las partes.</w:t>
      </w:r>
    </w:p>
    <w:p w:rsidR="00224567" w:rsidRDefault="00224567">
      <w:pPr>
        <w:widowControl w:val="0"/>
        <w:ind w:firstLine="2835"/>
        <w:rPr>
          <w:bCs/>
        </w:rPr>
      </w:pPr>
      <w:r>
        <w:rPr>
          <w:bCs/>
        </w:rPr>
        <w:t>De ese modo, con relación a la incon</w:t>
      </w:r>
      <w:r>
        <w:rPr>
          <w:bCs/>
        </w:rPr>
        <w:t>s</w:t>
      </w:r>
      <w:r>
        <w:rPr>
          <w:bCs/>
        </w:rPr>
        <w:t>titucionalidad del art. 24 del Código Penal, en lo que se refiere a la pena de reclusión, el Sr. fiscal solicitó su rechazo, manifestando que dicha petición resultaba prem</w:t>
      </w:r>
      <w:r>
        <w:rPr>
          <w:bCs/>
        </w:rPr>
        <w:t>a</w:t>
      </w:r>
      <w:r>
        <w:rPr>
          <w:bCs/>
        </w:rPr>
        <w:t>tura por cuanto debía requerirse cuando el tribunal, en razón de la i</w:t>
      </w:r>
      <w:r>
        <w:rPr>
          <w:bCs/>
        </w:rPr>
        <w:t>m</w:t>
      </w:r>
      <w:r>
        <w:rPr>
          <w:bCs/>
        </w:rPr>
        <w:t>posición de esta especie de pena, realice su cómputo. Adujo, además, que el pe</w:t>
      </w:r>
      <w:r>
        <w:rPr>
          <w:bCs/>
        </w:rPr>
        <w:t>r</w:t>
      </w:r>
      <w:r>
        <w:rPr>
          <w:bCs/>
        </w:rPr>
        <w:t>juicio real y concreto, necesario para la viabilidad de la vía intentada, se ver</w:t>
      </w:r>
      <w:r>
        <w:rPr>
          <w:bCs/>
        </w:rPr>
        <w:t>i</w:t>
      </w:r>
      <w:r>
        <w:rPr>
          <w:bCs/>
        </w:rPr>
        <w:t>ficaría en ese momento, entendiendo que dichos planteos resultaban hipotéticos y, en consecuencia, carentes de agravio.</w:t>
      </w:r>
    </w:p>
    <w:p w:rsidR="00224567" w:rsidRDefault="00224567">
      <w:pPr>
        <w:widowControl w:val="0"/>
        <w:ind w:firstLine="2835"/>
        <w:rPr>
          <w:bCs/>
        </w:rPr>
      </w:pPr>
      <w:r>
        <w:rPr>
          <w:bCs/>
        </w:rPr>
        <w:t>Sin perjuicio de ello, rebatió los a</w:t>
      </w:r>
      <w:r>
        <w:rPr>
          <w:bCs/>
        </w:rPr>
        <w:t>r</w:t>
      </w:r>
      <w:r>
        <w:rPr>
          <w:bCs/>
        </w:rPr>
        <w:t xml:space="preserve">gumentos esgrimidos por el Dr. García  en torno a esta cuestión, peticionando su rechazo. </w:t>
      </w:r>
    </w:p>
    <w:p w:rsidR="00224567" w:rsidRDefault="00224567">
      <w:pPr>
        <w:widowControl w:val="0"/>
        <w:ind w:firstLine="2835"/>
        <w:rPr>
          <w:bCs/>
        </w:rPr>
      </w:pPr>
      <w:r>
        <w:rPr>
          <w:bCs/>
        </w:rPr>
        <w:t>Asimismo, requirió se desestime la i</w:t>
      </w:r>
      <w:r>
        <w:rPr>
          <w:bCs/>
        </w:rPr>
        <w:t>n</w:t>
      </w:r>
      <w:r>
        <w:rPr>
          <w:bCs/>
        </w:rPr>
        <w:t>constitucionalidad impetrada por el Dr. Villarreal respe</w:t>
      </w:r>
      <w:r>
        <w:rPr>
          <w:bCs/>
        </w:rPr>
        <w:t>c</w:t>
      </w:r>
      <w:r>
        <w:rPr>
          <w:bCs/>
        </w:rPr>
        <w:t>to a la pena de reclusión, por entender que tal petición carecía de autosuficiencia.</w:t>
      </w:r>
    </w:p>
    <w:p w:rsidR="00224567" w:rsidRDefault="00224567">
      <w:pPr>
        <w:widowControl w:val="0"/>
        <w:ind w:firstLine="2835"/>
        <w:rPr>
          <w:bCs/>
        </w:rPr>
      </w:pPr>
      <w:r>
        <w:rPr>
          <w:bCs/>
        </w:rPr>
        <w:t>También, entendió que debía rechaza</w:t>
      </w:r>
      <w:r>
        <w:rPr>
          <w:bCs/>
        </w:rPr>
        <w:t>r</w:t>
      </w:r>
      <w:r>
        <w:rPr>
          <w:bCs/>
        </w:rPr>
        <w:t>se el planteo de n</w:t>
      </w:r>
      <w:r>
        <w:rPr>
          <w:bCs/>
        </w:rPr>
        <w:t>u</w:t>
      </w:r>
      <w:r>
        <w:rPr>
          <w:bCs/>
        </w:rPr>
        <w:t xml:space="preserve">lidad parcial del auto de fs. 444/445, 4° párrafo, y de todo lo actuado en consecuencia, deducido por </w:t>
      </w:r>
      <w:smartTag w:uri="urn:schemas-microsoft-com:office:smarttags" w:element="PersonName">
        <w:smartTagPr>
          <w:attr w:name="ProductID" w:val="la Dra. Bisserier"/>
        </w:smartTagPr>
        <w:r>
          <w:rPr>
            <w:bCs/>
          </w:rPr>
          <w:t>la Dra. Bisserier</w:t>
        </w:r>
      </w:smartTag>
      <w:r>
        <w:rPr>
          <w:bCs/>
        </w:rPr>
        <w:t xml:space="preserve">, señalando que </w:t>
      </w:r>
      <w:smartTag w:uri="urn:schemas-microsoft-com:office:smarttags" w:element="PersonName">
        <w:smartTagPr>
          <w:attr w:name="ProductID" w:val="la S.I"/>
        </w:smartTagPr>
        <w:r>
          <w:rPr>
            <w:bCs/>
          </w:rPr>
          <w:t>la S.I</w:t>
        </w:r>
      </w:smartTag>
      <w:r>
        <w:rPr>
          <w:bCs/>
        </w:rPr>
        <w:t>.D.E. i</w:t>
      </w:r>
      <w:r>
        <w:rPr>
          <w:bCs/>
        </w:rPr>
        <w:t>n</w:t>
      </w:r>
      <w:r>
        <w:rPr>
          <w:bCs/>
        </w:rPr>
        <w:t>tervino e interviene como auxiliar de la justicia en i</w:t>
      </w:r>
      <w:r>
        <w:rPr>
          <w:bCs/>
        </w:rPr>
        <w:t>n</w:t>
      </w:r>
      <w:r>
        <w:rPr>
          <w:bCs/>
        </w:rPr>
        <w:t>numerables causas, en particular a través de su Dirección de Observ</w:t>
      </w:r>
      <w:r>
        <w:rPr>
          <w:bCs/>
        </w:rPr>
        <w:t>a</w:t>
      </w:r>
      <w:r>
        <w:rPr>
          <w:bCs/>
        </w:rPr>
        <w:t xml:space="preserve">ciones Judiciales. </w:t>
      </w:r>
    </w:p>
    <w:p w:rsidR="00224567" w:rsidRDefault="00224567">
      <w:pPr>
        <w:widowControl w:val="0"/>
        <w:ind w:firstLine="2835"/>
        <w:rPr>
          <w:bCs/>
        </w:rPr>
      </w:pPr>
      <w:r>
        <w:rPr>
          <w:bCs/>
        </w:rPr>
        <w:t>De esa manera y en virtud de las c</w:t>
      </w:r>
      <w:r>
        <w:rPr>
          <w:bCs/>
        </w:rPr>
        <w:t>a</w:t>
      </w:r>
      <w:r>
        <w:rPr>
          <w:bCs/>
        </w:rPr>
        <w:t>racterísticas del hecho terrorista investigado, just</w:t>
      </w:r>
      <w:r>
        <w:rPr>
          <w:bCs/>
        </w:rPr>
        <w:t>i</w:t>
      </w:r>
      <w:r>
        <w:rPr>
          <w:bCs/>
        </w:rPr>
        <w:t>ficó, con mayor razón, la intervención de dicho organismo en e</w:t>
      </w:r>
      <w:r>
        <w:rPr>
          <w:bCs/>
        </w:rPr>
        <w:t>s</w:t>
      </w:r>
      <w:r>
        <w:rPr>
          <w:bCs/>
        </w:rPr>
        <w:t>tos actuados, enfatizando sus específicas funciones de i</w:t>
      </w:r>
      <w:r>
        <w:rPr>
          <w:bCs/>
        </w:rPr>
        <w:t>n</w:t>
      </w:r>
      <w:r>
        <w:rPr>
          <w:bCs/>
        </w:rPr>
        <w:t>teligencia e indicando que sus agentes actuaron d</w:t>
      </w:r>
      <w:r>
        <w:rPr>
          <w:bCs/>
        </w:rPr>
        <w:t>e</w:t>
      </w:r>
      <w:r>
        <w:rPr>
          <w:bCs/>
        </w:rPr>
        <w:t>ntro de los parámetros fijados por las reglas de proced</w:t>
      </w:r>
      <w:r>
        <w:rPr>
          <w:bCs/>
        </w:rPr>
        <w:t>i</w:t>
      </w:r>
      <w:r>
        <w:rPr>
          <w:bCs/>
        </w:rPr>
        <w:t>miento.</w:t>
      </w:r>
    </w:p>
    <w:p w:rsidR="00224567" w:rsidRDefault="00224567">
      <w:pPr>
        <w:widowControl w:val="0"/>
        <w:ind w:firstLine="2835"/>
        <w:rPr>
          <w:bCs/>
        </w:rPr>
      </w:pPr>
      <w:r>
        <w:rPr>
          <w:bCs/>
        </w:rPr>
        <w:t>El Sr. fiscal refirió, además, que d</w:t>
      </w:r>
      <w:r>
        <w:rPr>
          <w:bCs/>
        </w:rPr>
        <w:t>i</w:t>
      </w:r>
      <w:r>
        <w:rPr>
          <w:bCs/>
        </w:rPr>
        <w:t>cho planteo carecía de autosuficiencia, toda vez que la letrada omitió indicar los actos o diligencias re</w:t>
      </w:r>
      <w:r>
        <w:rPr>
          <w:bCs/>
        </w:rPr>
        <w:t>a</w:t>
      </w:r>
      <w:r>
        <w:rPr>
          <w:bCs/>
        </w:rPr>
        <w:t>lizados por aquella secretaría que, a su criterio, se encontraban viciados de nulidad.</w:t>
      </w:r>
    </w:p>
    <w:p w:rsidR="00224567" w:rsidRDefault="00224567">
      <w:pPr>
        <w:widowControl w:val="0"/>
        <w:ind w:firstLine="2835"/>
      </w:pPr>
      <w:r>
        <w:t>Por otra parte, consideró que debían desestimarse los planteos de inconstitucionalidad deduc</w:t>
      </w:r>
      <w:r>
        <w:t>i</w:t>
      </w:r>
      <w:r>
        <w:t xml:space="preserve">dos respecto de las leyes secretas n° 18.302/69 y 19.373/73, en razón de entender que el accionar de </w:t>
      </w:r>
      <w:smartTag w:uri="urn:schemas-microsoft-com:office:smarttags" w:element="PersonName">
        <w:smartTagPr>
          <w:attr w:name="ProductID" w:val="la S.I"/>
        </w:smartTagPr>
        <w:r>
          <w:t>la S.I</w:t>
        </w:r>
      </w:smartTag>
      <w:r>
        <w:t>.D.E. debía ser analizado conforme la normativa proc</w:t>
      </w:r>
      <w:r>
        <w:t>e</w:t>
      </w:r>
      <w:r>
        <w:t>sal vigente, advirtiendo que ninguna de sus interve</w:t>
      </w:r>
      <w:r>
        <w:t>n</w:t>
      </w:r>
      <w:r>
        <w:t>ciones se llevaron a cabo bajo el amparo de esas leyes. E</w:t>
      </w:r>
      <w:r>
        <w:t>n</w:t>
      </w:r>
      <w:r>
        <w:t>tendió que dicho planteo, además de carecer de pe</w:t>
      </w:r>
      <w:r>
        <w:t>r</w:t>
      </w:r>
      <w:r>
        <w:t>juicio, devino ab</w:t>
      </w:r>
      <w:r>
        <w:t>s</w:t>
      </w:r>
      <w:r>
        <w:t>tracto.</w:t>
      </w:r>
    </w:p>
    <w:p w:rsidR="00224567" w:rsidRDefault="00224567">
      <w:pPr>
        <w:widowControl w:val="0"/>
        <w:ind w:firstLine="2835"/>
      </w:pPr>
      <w:r>
        <w:t>Así también, impetró el rechazo de la inconstitucionalidad del art. 210 del Código Penal deduc</w:t>
      </w:r>
      <w:r>
        <w:t>i</w:t>
      </w:r>
      <w:r>
        <w:t xml:space="preserve">da por </w:t>
      </w:r>
      <w:smartTag w:uri="urn:schemas-microsoft-com:office:smarttags" w:element="PersonName">
        <w:smartTagPr>
          <w:attr w:name="ProductID" w:val="la Dra. Bisserier"/>
        </w:smartTagPr>
        <w:r>
          <w:t>la Dra. Bisserier</w:t>
        </w:r>
      </w:smartTag>
      <w:r>
        <w:t>, por entender que, al igual que los anteriores, carecía del requisito de a</w:t>
      </w:r>
      <w:r>
        <w:t>u</w:t>
      </w:r>
      <w:r>
        <w:t>tosuficiencia, al no verificarse la indeterminación a la que aludió, en tanto se habían descripto las exigencias objetivas y su</w:t>
      </w:r>
      <w:r>
        <w:t>b</w:t>
      </w:r>
      <w:r>
        <w:t>jetivas exigidas para su configur</w:t>
      </w:r>
      <w:r>
        <w:t>a</w:t>
      </w:r>
      <w:r>
        <w:t xml:space="preserve">ción.     </w:t>
      </w:r>
    </w:p>
    <w:p w:rsidR="00224567" w:rsidRDefault="00224567">
      <w:pPr>
        <w:widowControl w:val="0"/>
        <w:ind w:firstLine="2835"/>
        <w:rPr>
          <w:bCs/>
        </w:rPr>
      </w:pPr>
      <w:r>
        <w:rPr>
          <w:bCs/>
        </w:rPr>
        <w:t>Por otra parte, adhirió al pla</w:t>
      </w:r>
      <w:r>
        <w:rPr>
          <w:bCs/>
        </w:rPr>
        <w:t>n</w:t>
      </w:r>
      <w:r>
        <w:rPr>
          <w:bCs/>
        </w:rPr>
        <w:t>teo de inconstitucional</w:t>
      </w:r>
      <w:r>
        <w:rPr>
          <w:bCs/>
        </w:rPr>
        <w:t>i</w:t>
      </w:r>
      <w:r>
        <w:rPr>
          <w:bCs/>
        </w:rPr>
        <w:t>dad de la pena accesoria de privación de la patria potestad, prevista en el art. 12 del Código P</w:t>
      </w:r>
      <w:r>
        <w:rPr>
          <w:bCs/>
        </w:rPr>
        <w:t>e</w:t>
      </w:r>
      <w:r>
        <w:rPr>
          <w:bCs/>
        </w:rPr>
        <w:t>nal, argumentado por la querella “Memoria Activa”, al vu</w:t>
      </w:r>
      <w:r>
        <w:rPr>
          <w:bCs/>
        </w:rPr>
        <w:t>l</w:t>
      </w:r>
      <w:r>
        <w:rPr>
          <w:bCs/>
        </w:rPr>
        <w:t>nerarse con ello el princ</w:t>
      </w:r>
      <w:r>
        <w:rPr>
          <w:bCs/>
        </w:rPr>
        <w:t>i</w:t>
      </w:r>
      <w:r>
        <w:rPr>
          <w:bCs/>
        </w:rPr>
        <w:t xml:space="preserve">pio de trascendencia de la pena, afectando los derechos consagrados en </w:t>
      </w:r>
      <w:smartTag w:uri="urn:schemas-microsoft-com:office:smarttags" w:element="PersonName">
        <w:smartTagPr>
          <w:attr w:name="ProductID" w:val="la Convenci￳n Internacional"/>
        </w:smartTagPr>
        <w:r>
          <w:rPr>
            <w:bCs/>
          </w:rPr>
          <w:t>la Convención Inte</w:t>
        </w:r>
        <w:r>
          <w:rPr>
            <w:bCs/>
          </w:rPr>
          <w:t>r</w:t>
        </w:r>
        <w:r>
          <w:rPr>
            <w:bCs/>
          </w:rPr>
          <w:t>nacional</w:t>
        </w:r>
      </w:smartTag>
      <w:r>
        <w:rPr>
          <w:bCs/>
        </w:rPr>
        <w:t xml:space="preserve"> de los Derechos del Niño. Asimismo, hizo extens</w:t>
      </w:r>
      <w:r>
        <w:rPr>
          <w:bCs/>
        </w:rPr>
        <w:t>i</w:t>
      </w:r>
      <w:r>
        <w:rPr>
          <w:bCs/>
        </w:rPr>
        <w:t>va tal petición respecto de todos aquellos imputados ace</w:t>
      </w:r>
      <w:r>
        <w:rPr>
          <w:bCs/>
        </w:rPr>
        <w:t>r</w:t>
      </w:r>
      <w:r>
        <w:rPr>
          <w:bCs/>
        </w:rPr>
        <w:t>ca de los que solicitó pena superior a tres años de pr</w:t>
      </w:r>
      <w:r>
        <w:rPr>
          <w:bCs/>
        </w:rPr>
        <w:t>i</w:t>
      </w:r>
      <w:r>
        <w:rPr>
          <w:bCs/>
        </w:rPr>
        <w:t>sión o recl</w:t>
      </w:r>
      <w:r>
        <w:rPr>
          <w:bCs/>
        </w:rPr>
        <w:t>u</w:t>
      </w:r>
      <w:r>
        <w:rPr>
          <w:bCs/>
        </w:rPr>
        <w:t>sión.</w:t>
      </w:r>
    </w:p>
    <w:p w:rsidR="00224567" w:rsidRDefault="00224567">
      <w:pPr>
        <w:widowControl w:val="0"/>
        <w:ind w:firstLine="2835"/>
        <w:rPr>
          <w:bCs/>
        </w:rPr>
      </w:pPr>
      <w:r>
        <w:rPr>
          <w:bCs/>
        </w:rPr>
        <w:t>También sostuvo que correspondía la extinción de la a</w:t>
      </w:r>
      <w:r>
        <w:rPr>
          <w:bCs/>
        </w:rPr>
        <w:t>c</w:t>
      </w:r>
      <w:r>
        <w:rPr>
          <w:bCs/>
        </w:rPr>
        <w:t>ción penal por prescripción respecto del delito de falso testimonio simple, reiterado en dos opo</w:t>
      </w:r>
      <w:r>
        <w:rPr>
          <w:bCs/>
        </w:rPr>
        <w:t>r</w:t>
      </w:r>
      <w:r>
        <w:rPr>
          <w:bCs/>
        </w:rPr>
        <w:t>tunidades, atribuido a Raúl Edilio Ibarra, en c</w:t>
      </w:r>
      <w:r>
        <w:rPr>
          <w:bCs/>
        </w:rPr>
        <w:t>a</w:t>
      </w:r>
      <w:r>
        <w:rPr>
          <w:bCs/>
        </w:rPr>
        <w:t>rácter de instigador, solicitando, en consecuencia, su libre absol</w:t>
      </w:r>
      <w:r>
        <w:rPr>
          <w:bCs/>
        </w:rPr>
        <w:t>u</w:t>
      </w:r>
      <w:r>
        <w:rPr>
          <w:bCs/>
        </w:rPr>
        <w:t>ción, sin co</w:t>
      </w:r>
      <w:r>
        <w:rPr>
          <w:bCs/>
        </w:rPr>
        <w:t>s</w:t>
      </w:r>
      <w:r>
        <w:rPr>
          <w:bCs/>
        </w:rPr>
        <w:t>tas.</w:t>
      </w:r>
    </w:p>
    <w:p w:rsidR="00224567" w:rsidRDefault="00224567">
      <w:pPr>
        <w:widowControl w:val="0"/>
        <w:ind w:firstLine="2835"/>
        <w:rPr>
          <w:bCs/>
        </w:rPr>
      </w:pPr>
      <w:r>
        <w:rPr>
          <w:bCs/>
        </w:rPr>
        <w:t>A igual solución arribó el fiscal en orden al delito de falso testimonio simple imputado a Eduardo Diego Toledo y Marcelo Darío C</w:t>
      </w:r>
      <w:r>
        <w:rPr>
          <w:bCs/>
        </w:rPr>
        <w:t>a</w:t>
      </w:r>
      <w:r>
        <w:rPr>
          <w:bCs/>
        </w:rPr>
        <w:t>sas, solicitando su absolución, sin costas. Consecuentemente, dejó sin efe</w:t>
      </w:r>
      <w:r>
        <w:rPr>
          <w:bCs/>
        </w:rPr>
        <w:t>c</w:t>
      </w:r>
      <w:r>
        <w:rPr>
          <w:bCs/>
        </w:rPr>
        <w:t>to el pedido de condena que oportunamente peticionara respe</w:t>
      </w:r>
      <w:r>
        <w:rPr>
          <w:bCs/>
        </w:rPr>
        <w:t>c</w:t>
      </w:r>
      <w:r>
        <w:rPr>
          <w:bCs/>
        </w:rPr>
        <w:t>to del primero de los nombrados, en razón de ser ese el único hecho que le atribuyó, mie</w:t>
      </w:r>
      <w:r>
        <w:rPr>
          <w:bCs/>
        </w:rPr>
        <w:t>n</w:t>
      </w:r>
      <w:r>
        <w:rPr>
          <w:bCs/>
        </w:rPr>
        <w:t>tras que, con relación al segundo, modificó su acusación originaria, solic</w:t>
      </w:r>
      <w:r>
        <w:rPr>
          <w:bCs/>
        </w:rPr>
        <w:t>i</w:t>
      </w:r>
      <w:r>
        <w:rPr>
          <w:bCs/>
        </w:rPr>
        <w:t>tando la pena de 2 años y 6 meses de prisión, cuyo cumplimiento p</w:t>
      </w:r>
      <w:r>
        <w:rPr>
          <w:bCs/>
        </w:rPr>
        <w:t>o</w:t>
      </w:r>
      <w:r>
        <w:rPr>
          <w:bCs/>
        </w:rPr>
        <w:t>día ser dejado en suspenso, con costas, en virtud de su</w:t>
      </w:r>
      <w:r>
        <w:rPr>
          <w:bCs/>
        </w:rPr>
        <w:t>b</w:t>
      </w:r>
      <w:r>
        <w:rPr>
          <w:bCs/>
        </w:rPr>
        <w:t>sistir la imputación respecto del falso testimonio agrav</w:t>
      </w:r>
      <w:r>
        <w:rPr>
          <w:bCs/>
        </w:rPr>
        <w:t>a</w:t>
      </w:r>
      <w:r>
        <w:rPr>
          <w:bCs/>
        </w:rPr>
        <w:t>do en calidad de autor (arts. 29, inc. 3° y 275, 2° párr</w:t>
      </w:r>
      <w:r>
        <w:rPr>
          <w:bCs/>
        </w:rPr>
        <w:t>a</w:t>
      </w:r>
      <w:r>
        <w:rPr>
          <w:bCs/>
        </w:rPr>
        <w:t>fo, del Código P</w:t>
      </w:r>
      <w:r>
        <w:rPr>
          <w:bCs/>
        </w:rPr>
        <w:t>e</w:t>
      </w:r>
      <w:r>
        <w:rPr>
          <w:bCs/>
        </w:rPr>
        <w:t>nal).</w:t>
      </w:r>
    </w:p>
    <w:p w:rsidR="00224567" w:rsidRDefault="00224567">
      <w:pPr>
        <w:widowControl w:val="0"/>
        <w:ind w:firstLine="2835"/>
        <w:rPr>
          <w:bCs/>
        </w:rPr>
      </w:pPr>
      <w:r>
        <w:rPr>
          <w:bCs/>
        </w:rPr>
        <w:t>En orden a la extinción de la acción penal por prescripción respecto de la tentativa de priv</w:t>
      </w:r>
      <w:r>
        <w:rPr>
          <w:bCs/>
        </w:rPr>
        <w:t>a</w:t>
      </w:r>
      <w:r>
        <w:rPr>
          <w:bCs/>
        </w:rPr>
        <w:t>ción ilegal de la libertad agravada atribuida a Jorge H</w:t>
      </w:r>
      <w:r>
        <w:rPr>
          <w:bCs/>
        </w:rPr>
        <w:t>o</w:t>
      </w:r>
      <w:r>
        <w:rPr>
          <w:bCs/>
        </w:rPr>
        <w:t>racio Rago, Diego Enrique Barreda y Mario Norberto Bare</w:t>
      </w:r>
      <w:r>
        <w:rPr>
          <w:bCs/>
        </w:rPr>
        <w:t>i</w:t>
      </w:r>
      <w:r>
        <w:rPr>
          <w:bCs/>
        </w:rPr>
        <w:t>ro, el Sr. representante del Ministerio Público Fiscal i</w:t>
      </w:r>
      <w:r>
        <w:rPr>
          <w:bCs/>
        </w:rPr>
        <w:t>m</w:t>
      </w:r>
      <w:r>
        <w:rPr>
          <w:bCs/>
        </w:rPr>
        <w:t>petró el rechazo de dicho planteo, argumentando que, co</w:t>
      </w:r>
      <w:r>
        <w:rPr>
          <w:bCs/>
        </w:rPr>
        <w:t>n</w:t>
      </w:r>
      <w:r>
        <w:rPr>
          <w:bCs/>
        </w:rPr>
        <w:t>forme lo establecido en el art. 62, inc. 2°, del código de fondo y a los efectos de computar el plazo a partir de cual opera la prescripción, la pena del delito debe cons</w:t>
      </w:r>
      <w:r>
        <w:rPr>
          <w:bCs/>
        </w:rPr>
        <w:t>i</w:t>
      </w:r>
      <w:r>
        <w:rPr>
          <w:bCs/>
        </w:rPr>
        <w:t>derarse en abstracto, con independe</w:t>
      </w:r>
      <w:r>
        <w:rPr>
          <w:bCs/>
        </w:rPr>
        <w:t>n</w:t>
      </w:r>
      <w:r>
        <w:rPr>
          <w:bCs/>
        </w:rPr>
        <w:t>cia de si la conducta atribuida fue cometida en grado de conato, en razón de sostener que será el tribunal, al momento del dictado de la sentencia, quien establezca con precisión la calific</w:t>
      </w:r>
      <w:r>
        <w:rPr>
          <w:bCs/>
        </w:rPr>
        <w:t>a</w:t>
      </w:r>
      <w:r>
        <w:rPr>
          <w:bCs/>
        </w:rPr>
        <w:t>ción legal del hecho y su grado de consum</w:t>
      </w:r>
      <w:r>
        <w:rPr>
          <w:bCs/>
        </w:rPr>
        <w:t>a</w:t>
      </w:r>
      <w:r>
        <w:rPr>
          <w:bCs/>
        </w:rPr>
        <w:t>ción.</w:t>
      </w:r>
    </w:p>
    <w:p w:rsidR="00224567" w:rsidRDefault="00224567">
      <w:pPr>
        <w:widowControl w:val="0"/>
        <w:ind w:firstLine="2835"/>
        <w:rPr>
          <w:bCs/>
        </w:rPr>
      </w:pPr>
      <w:r>
        <w:rPr>
          <w:bCs/>
        </w:rPr>
        <w:t>Igualmente, solicitó el rechazo del planteo efectuado con relación a la extinción de la a</w:t>
      </w:r>
      <w:r>
        <w:rPr>
          <w:bCs/>
        </w:rPr>
        <w:t>c</w:t>
      </w:r>
      <w:r>
        <w:rPr>
          <w:bCs/>
        </w:rPr>
        <w:t>ción penal por caducidad de la pretensión punitiva estatal i</w:t>
      </w:r>
      <w:r>
        <w:rPr>
          <w:bCs/>
        </w:rPr>
        <w:t>m</w:t>
      </w:r>
      <w:r>
        <w:rPr>
          <w:bCs/>
        </w:rPr>
        <w:t>petrada respecto de los hechos atr</w:t>
      </w:r>
      <w:r>
        <w:rPr>
          <w:bCs/>
        </w:rPr>
        <w:t>i</w:t>
      </w:r>
      <w:r>
        <w:rPr>
          <w:bCs/>
        </w:rPr>
        <w:t>buidos a Diego Enrique Barreda. En ese sentido, adujo el Sr. fiscal que tal in</w:t>
      </w:r>
      <w:r>
        <w:rPr>
          <w:bCs/>
        </w:rPr>
        <w:t>s</w:t>
      </w:r>
      <w:r>
        <w:rPr>
          <w:bCs/>
        </w:rPr>
        <w:t>tituto no se encontraba previsto en nuestra legislación, señalando que dicha cuestión perseguía  la der</w:t>
      </w:r>
      <w:r>
        <w:rPr>
          <w:bCs/>
        </w:rPr>
        <w:t>o</w:t>
      </w:r>
      <w:r>
        <w:rPr>
          <w:bCs/>
        </w:rPr>
        <w:t>gación, por vía ajena a la prevista en la ley, de la prescripción de la acción penal sistematizada en los art. 59 y concorda</w:t>
      </w:r>
      <w:r>
        <w:rPr>
          <w:bCs/>
        </w:rPr>
        <w:t>n</w:t>
      </w:r>
      <w:r>
        <w:rPr>
          <w:bCs/>
        </w:rPr>
        <w:t>tes del código de fondo, con particular r</w:t>
      </w:r>
      <w:r>
        <w:rPr>
          <w:bCs/>
        </w:rPr>
        <w:t>e</w:t>
      </w:r>
      <w:r>
        <w:rPr>
          <w:bCs/>
        </w:rPr>
        <w:t>ferencia al art. 62, inc. 2°.</w:t>
      </w:r>
    </w:p>
    <w:p w:rsidR="00224567" w:rsidRDefault="00224567">
      <w:pPr>
        <w:widowControl w:val="0"/>
        <w:ind w:firstLine="2835"/>
        <w:rPr>
          <w:bCs/>
        </w:rPr>
      </w:pPr>
      <w:r>
        <w:rPr>
          <w:bCs/>
        </w:rPr>
        <w:t>Por idénticos motivos, peticionó se desestime la solicitud de extinción de la acción penal vinculada con el cumplimiento del plazo máximo de dur</w:t>
      </w:r>
      <w:r>
        <w:rPr>
          <w:bCs/>
        </w:rPr>
        <w:t>a</w:t>
      </w:r>
      <w:r>
        <w:rPr>
          <w:bCs/>
        </w:rPr>
        <w:t>ción del proceso respecto de la imputación endilgada a Barr</w:t>
      </w:r>
      <w:r>
        <w:rPr>
          <w:bCs/>
        </w:rPr>
        <w:t>e</w:t>
      </w:r>
      <w:r>
        <w:rPr>
          <w:bCs/>
        </w:rPr>
        <w:t>da.</w:t>
      </w:r>
    </w:p>
    <w:p w:rsidR="00224567" w:rsidRDefault="00224567">
      <w:pPr>
        <w:widowControl w:val="0"/>
        <w:ind w:firstLine="2835"/>
        <w:rPr>
          <w:bCs/>
        </w:rPr>
      </w:pPr>
      <w:r>
        <w:rPr>
          <w:bCs/>
        </w:rPr>
        <w:t>Por otra parte, consideró que debía rechazarse el planteo de falta de acción por cosa ju</w:t>
      </w:r>
      <w:r>
        <w:rPr>
          <w:bCs/>
        </w:rPr>
        <w:t>z</w:t>
      </w:r>
      <w:r>
        <w:rPr>
          <w:bCs/>
        </w:rPr>
        <w:t>gada respecto de los hechos atribuidos a José Miguel Arancibia y Oscar Eusebio Bacigalupo y los consecuentes pedidos de absolución, por entender que el sobrese</w:t>
      </w:r>
      <w:r>
        <w:rPr>
          <w:bCs/>
        </w:rPr>
        <w:t>i</w:t>
      </w:r>
      <w:r>
        <w:rPr>
          <w:bCs/>
        </w:rPr>
        <w:t>miento dictado por el juez instructor con relación a los mencionados se ref</w:t>
      </w:r>
      <w:r>
        <w:rPr>
          <w:bCs/>
        </w:rPr>
        <w:t>i</w:t>
      </w:r>
      <w:r>
        <w:rPr>
          <w:bCs/>
        </w:rPr>
        <w:t>rió exclusivamente a la priv</w:t>
      </w:r>
      <w:r>
        <w:rPr>
          <w:bCs/>
        </w:rPr>
        <w:t>a</w:t>
      </w:r>
      <w:r>
        <w:rPr>
          <w:bCs/>
        </w:rPr>
        <w:t>ción de la libertad de Carlos Telleldín y Sandra Petrucci, sin perjuicio de señ</w:t>
      </w:r>
      <w:r>
        <w:rPr>
          <w:bCs/>
        </w:rPr>
        <w:t>a</w:t>
      </w:r>
      <w:r>
        <w:rPr>
          <w:bCs/>
        </w:rPr>
        <w:t>lar que dicho magistrado carecía de jurisdicción para expedirse respecto de una imputación que era materia de deb</w:t>
      </w:r>
      <w:r>
        <w:rPr>
          <w:bCs/>
        </w:rPr>
        <w:t>a</w:t>
      </w:r>
      <w:r>
        <w:rPr>
          <w:bCs/>
        </w:rPr>
        <w:t>te.</w:t>
      </w:r>
    </w:p>
    <w:p w:rsidR="00224567" w:rsidRDefault="00224567">
      <w:pPr>
        <w:widowControl w:val="0"/>
        <w:ind w:firstLine="2835"/>
        <w:rPr>
          <w:bCs/>
        </w:rPr>
      </w:pPr>
      <w:r>
        <w:rPr>
          <w:bCs/>
        </w:rPr>
        <w:t>Así también, solicitó el rechazo del planteo subsidiario de extinción de la acción penal por prescripción invocado en orden a la falsedad ideológica endilgada a Arancibia y a Bacigalupo, replicando que en sus indagatorias prestadas en agosto de 1996 ambos se e</w:t>
      </w:r>
      <w:r>
        <w:rPr>
          <w:bCs/>
        </w:rPr>
        <w:t>x</w:t>
      </w:r>
      <w:r>
        <w:rPr>
          <w:bCs/>
        </w:rPr>
        <w:t>pidieron concretamente sobre tal imputación, no verificá</w:t>
      </w:r>
      <w:r>
        <w:rPr>
          <w:bCs/>
        </w:rPr>
        <w:t>n</w:t>
      </w:r>
      <w:r>
        <w:rPr>
          <w:bCs/>
        </w:rPr>
        <w:t>dose el menoscabo a la defensa en juicio que se inv</w:t>
      </w:r>
      <w:r>
        <w:rPr>
          <w:bCs/>
        </w:rPr>
        <w:t>o</w:t>
      </w:r>
      <w:r>
        <w:rPr>
          <w:bCs/>
        </w:rPr>
        <w:t xml:space="preserve">có.     </w:t>
      </w:r>
    </w:p>
    <w:p w:rsidR="00224567" w:rsidRDefault="00224567">
      <w:pPr>
        <w:widowControl w:val="0"/>
        <w:ind w:firstLine="2835"/>
      </w:pPr>
      <w:r>
        <w:t>Con relación a la nulidad del a</w:t>
      </w:r>
      <w:r>
        <w:t>c</w:t>
      </w:r>
      <w:r>
        <w:t>ta de secuestro de fs. 224 del Informe Preliminar del Depart</w:t>
      </w:r>
      <w:r>
        <w:t>a</w:t>
      </w:r>
      <w:r>
        <w:t xml:space="preserve">mento de Bomberos de </w:t>
      </w:r>
      <w:smartTag w:uri="urn:schemas-microsoft-com:office:smarttags" w:element="PersonName">
        <w:smartTagPr>
          <w:attr w:name="ProductID" w:val="la Polic￭a Federal"/>
        </w:smartTagPr>
        <w:r>
          <w:t>la Policía Fed</w:t>
        </w:r>
        <w:r>
          <w:t>e</w:t>
        </w:r>
        <w:r>
          <w:t>ral</w:t>
        </w:r>
      </w:smartTag>
      <w:r>
        <w:t xml:space="preserve"> Argentina y de lo actuado en consecuencia, y a la nulidad del acta obrante a fs. 215 y de la incorporación al proceso del motor secue</w:t>
      </w:r>
      <w:r>
        <w:t>s</w:t>
      </w:r>
      <w:r>
        <w:t xml:space="preserve">trado en las ruinas de </w:t>
      </w:r>
      <w:smartTag w:uri="urn:schemas-microsoft-com:office:smarttags" w:element="PersonName">
        <w:smartTagPr>
          <w:attr w:name="ProductID" w:val="la A.M"/>
        </w:smartTagPr>
        <w:r>
          <w:t>la A.M</w:t>
        </w:r>
      </w:smartTag>
      <w:r>
        <w:t>.I.A. y de lo actuado en co</w:t>
      </w:r>
      <w:r>
        <w:t>n</w:t>
      </w:r>
      <w:r>
        <w:t>secuencia, el fiscal señaló que si bien había  solic</w:t>
      </w:r>
      <w:r>
        <w:t>i</w:t>
      </w:r>
      <w:r>
        <w:t>tado la nulidad del acta que daba cuenta del hallazgo del motor en la sede de la mutual, el 25 de julio de 1994, ello no era óbice para que tal s</w:t>
      </w:r>
      <w:r>
        <w:t>e</w:t>
      </w:r>
      <w:r>
        <w:t>cuestro se probara mediante otros elementos de convicción, entre los que destacó los test</w:t>
      </w:r>
      <w:r>
        <w:t>i</w:t>
      </w:r>
      <w:r>
        <w:t>monios ofrecidos por Nahum</w:t>
      </w:r>
      <w:r>
        <w:rPr>
          <w:b/>
        </w:rPr>
        <w:t xml:space="preserve"> </w:t>
      </w:r>
      <w:r>
        <w:t>Frenkel, Dani Dror y Alberto Szwarc.</w:t>
      </w:r>
    </w:p>
    <w:p w:rsidR="00224567" w:rsidRDefault="00224567">
      <w:pPr>
        <w:widowControl w:val="0"/>
        <w:ind w:firstLine="2835"/>
      </w:pPr>
      <w:r>
        <w:t>Al respecto, explicó que en la audie</w:t>
      </w:r>
      <w:r>
        <w:t>n</w:t>
      </w:r>
      <w:r>
        <w:t>cia oral el acta a</w:t>
      </w:r>
      <w:r>
        <w:t>d</w:t>
      </w:r>
      <w:r>
        <w:t>quiere virtualidad en la medida que su contenido  sea ratificado por sus intervinientes. En ese sentido, consideró que nada de lo actuado a consecuencia de tal acta era nulo, en virtud de no haber sido indiv</w:t>
      </w:r>
      <w:r>
        <w:t>i</w:t>
      </w:r>
      <w:r>
        <w:t>dualizadas las piezas procesales a las que se le asigno idéntico destino, como así también por cuanto la evidencia de la legítima incorporación al proceso surge por vía a</w:t>
      </w:r>
      <w:r>
        <w:t>u</w:t>
      </w:r>
      <w:r>
        <w:t>tón</w:t>
      </w:r>
      <w:r>
        <w:t>o</w:t>
      </w:r>
      <w:r>
        <w:t>ma.</w:t>
      </w:r>
    </w:p>
    <w:p w:rsidR="00224567" w:rsidRDefault="00224567">
      <w:pPr>
        <w:widowControl w:val="0"/>
        <w:ind w:firstLine="2835"/>
        <w:rPr>
          <w:bCs/>
        </w:rPr>
      </w:pPr>
      <w:r>
        <w:rPr>
          <w:bCs/>
        </w:rPr>
        <w:t>Consideró que debía rechazarse el p</w:t>
      </w:r>
      <w:r>
        <w:rPr>
          <w:bCs/>
        </w:rPr>
        <w:t>e</w:t>
      </w:r>
      <w:r>
        <w:rPr>
          <w:bCs/>
        </w:rPr>
        <w:t>dido de nulidad de la totalidad de las actas de secue</w:t>
      </w:r>
      <w:r>
        <w:rPr>
          <w:bCs/>
        </w:rPr>
        <w:t>s</w:t>
      </w:r>
      <w:r>
        <w:rPr>
          <w:bCs/>
        </w:rPr>
        <w:t>tro de piezas halladas en el lugar del hecho y de las medidas que fueron su consecuencia directa, en razón que el art. 144 del código de forma no sanciona con nulidad la ause</w:t>
      </w:r>
      <w:r>
        <w:rPr>
          <w:bCs/>
        </w:rPr>
        <w:t>n</w:t>
      </w:r>
      <w:r>
        <w:rPr>
          <w:bCs/>
        </w:rPr>
        <w:t>cia de testigos en una d</w:t>
      </w:r>
      <w:r>
        <w:rPr>
          <w:bCs/>
        </w:rPr>
        <w:t>i</w:t>
      </w:r>
      <w:r>
        <w:rPr>
          <w:bCs/>
        </w:rPr>
        <w:t>ligencia, sino su falta de firma cuando fueron co</w:t>
      </w:r>
      <w:r>
        <w:rPr>
          <w:bCs/>
        </w:rPr>
        <w:t>n</w:t>
      </w:r>
      <w:r>
        <w:rPr>
          <w:bCs/>
        </w:rPr>
        <w:t xml:space="preserve">vocados y estuvieron presentes. </w:t>
      </w:r>
    </w:p>
    <w:p w:rsidR="00224567" w:rsidRDefault="00224567">
      <w:pPr>
        <w:widowControl w:val="0"/>
        <w:ind w:firstLine="2835"/>
        <w:rPr>
          <w:bCs/>
        </w:rPr>
      </w:pPr>
      <w:r>
        <w:rPr>
          <w:bCs/>
        </w:rPr>
        <w:t>En ese sentido, manifestó que la a</w:t>
      </w:r>
      <w:r>
        <w:rPr>
          <w:bCs/>
        </w:rPr>
        <w:t>u</w:t>
      </w:r>
      <w:r>
        <w:rPr>
          <w:bCs/>
        </w:rPr>
        <w:t>sencia de testigos, por resultar riesgosa su presencia o por no contar con ellos al momento de la diligencia, con</w:t>
      </w:r>
      <w:r>
        <w:rPr>
          <w:bCs/>
        </w:rPr>
        <w:t>s</w:t>
      </w:r>
      <w:r>
        <w:rPr>
          <w:bCs/>
        </w:rPr>
        <w:t>tituía un extremo a evaluar -en armonía con la restante prueba producida- al determinar la fuerza probatoria del acta; sustentando su afirmación en diversos pr</w:t>
      </w:r>
      <w:r>
        <w:rPr>
          <w:bCs/>
        </w:rPr>
        <w:t>e</w:t>
      </w:r>
      <w:r>
        <w:rPr>
          <w:bCs/>
        </w:rPr>
        <w:t xml:space="preserve">cedentes.   </w:t>
      </w:r>
    </w:p>
    <w:p w:rsidR="00224567" w:rsidRDefault="00224567">
      <w:pPr>
        <w:widowControl w:val="0"/>
        <w:ind w:firstLine="2835"/>
        <w:rPr>
          <w:bCs/>
        </w:rPr>
      </w:pPr>
      <w:r>
        <w:rPr>
          <w:bCs/>
        </w:rPr>
        <w:t>Por otra parte, solicitó se r</w:t>
      </w:r>
      <w:r>
        <w:rPr>
          <w:bCs/>
        </w:rPr>
        <w:t>e</w:t>
      </w:r>
      <w:r>
        <w:rPr>
          <w:bCs/>
        </w:rPr>
        <w:t>chace el planteo de nulidad impetrado respecto del secuestro del elástico identificado en la fotografía n° 34 del Informe Preliminar, enfatizando que las argumentaciones brindadas por el peticionante de ningún modo podían r</w:t>
      </w:r>
      <w:r>
        <w:rPr>
          <w:bCs/>
        </w:rPr>
        <w:t>e</w:t>
      </w:r>
      <w:r>
        <w:rPr>
          <w:bCs/>
        </w:rPr>
        <w:t>sultar causal de nulidad del instrumento, el cual, co</w:t>
      </w:r>
      <w:r>
        <w:rPr>
          <w:bCs/>
        </w:rPr>
        <w:t>n</w:t>
      </w:r>
      <w:r>
        <w:rPr>
          <w:bCs/>
        </w:rPr>
        <w:t>sideró, cumple con los r</w:t>
      </w:r>
      <w:r>
        <w:rPr>
          <w:bCs/>
        </w:rPr>
        <w:t>e</w:t>
      </w:r>
      <w:r>
        <w:rPr>
          <w:bCs/>
        </w:rPr>
        <w:t xml:space="preserve">quisitos formales. </w:t>
      </w:r>
    </w:p>
    <w:p w:rsidR="00224567" w:rsidRDefault="00224567">
      <w:pPr>
        <w:widowControl w:val="0"/>
        <w:ind w:firstLine="2835"/>
        <w:rPr>
          <w:bCs/>
        </w:rPr>
      </w:pPr>
      <w:r>
        <w:rPr>
          <w:bCs/>
        </w:rPr>
        <w:t>Señaló que la circunstancia de que un informe posterior haga referencia, de manera diferente, a lo plasmado en el acta, era una cuestión de valoración probatoria, carente de aptitud para poner en cr</w:t>
      </w:r>
      <w:r>
        <w:rPr>
          <w:bCs/>
        </w:rPr>
        <w:t>i</w:t>
      </w:r>
      <w:r>
        <w:rPr>
          <w:bCs/>
        </w:rPr>
        <w:t>sis, desde el punto de vista fo</w:t>
      </w:r>
      <w:r>
        <w:rPr>
          <w:bCs/>
        </w:rPr>
        <w:t>r</w:t>
      </w:r>
      <w:r>
        <w:rPr>
          <w:bCs/>
        </w:rPr>
        <w:t>mal, la validez de la diligencia.</w:t>
      </w:r>
    </w:p>
    <w:p w:rsidR="00224567" w:rsidRDefault="00224567">
      <w:pPr>
        <w:widowControl w:val="0"/>
        <w:ind w:firstLine="2835"/>
        <w:rPr>
          <w:bCs/>
        </w:rPr>
      </w:pPr>
      <w:r>
        <w:rPr>
          <w:bCs/>
        </w:rPr>
        <w:t>En otro orden de cosas, el Sr. fiscal impetró el rechazo de la pretensión de nulidad deducida por la defensa de Carlos Telleldín respecto de los perit</w:t>
      </w:r>
      <w:r>
        <w:rPr>
          <w:bCs/>
        </w:rPr>
        <w:t>a</w:t>
      </w:r>
      <w:r>
        <w:rPr>
          <w:bCs/>
        </w:rPr>
        <w:t>jes relacionados con la mecánica de la explosión, ref</w:t>
      </w:r>
      <w:r>
        <w:rPr>
          <w:bCs/>
        </w:rPr>
        <w:t>i</w:t>
      </w:r>
      <w:r>
        <w:rPr>
          <w:bCs/>
        </w:rPr>
        <w:t>riendo que durante el debate ejercieron el derecho de d</w:t>
      </w:r>
      <w:r>
        <w:rPr>
          <w:bCs/>
        </w:rPr>
        <w:t>e</w:t>
      </w:r>
      <w:r>
        <w:rPr>
          <w:bCs/>
        </w:rPr>
        <w:t>fensa vinculado con el control de esos elementos probat</w:t>
      </w:r>
      <w:r>
        <w:rPr>
          <w:bCs/>
        </w:rPr>
        <w:t>o</w:t>
      </w:r>
      <w:r>
        <w:rPr>
          <w:bCs/>
        </w:rPr>
        <w:t>rios y que los practicados en la instrucción fueron r</w:t>
      </w:r>
      <w:r>
        <w:rPr>
          <w:bCs/>
        </w:rPr>
        <w:t>e</w:t>
      </w:r>
      <w:r>
        <w:rPr>
          <w:bCs/>
        </w:rPr>
        <w:t>creados en el marco del contradictorio, con su debida i</w:t>
      </w:r>
      <w:r>
        <w:rPr>
          <w:bCs/>
        </w:rPr>
        <w:t>n</w:t>
      </w:r>
      <w:r>
        <w:rPr>
          <w:bCs/>
        </w:rPr>
        <w:t>tervención, mientras que, los ordenados en la etapa ant</w:t>
      </w:r>
      <w:r>
        <w:rPr>
          <w:bCs/>
        </w:rPr>
        <w:t>e</w:t>
      </w:r>
      <w:r>
        <w:rPr>
          <w:bCs/>
        </w:rPr>
        <w:t>rior, fueron debidamente notificados y también mat</w:t>
      </w:r>
      <w:r>
        <w:rPr>
          <w:bCs/>
        </w:rPr>
        <w:t>e</w:t>
      </w:r>
      <w:r>
        <w:rPr>
          <w:bCs/>
        </w:rPr>
        <w:t>ria de discusión en el juicio oral.</w:t>
      </w:r>
    </w:p>
    <w:p w:rsidR="00224567" w:rsidRDefault="00224567">
      <w:pPr>
        <w:widowControl w:val="0"/>
        <w:ind w:firstLine="2835"/>
      </w:pPr>
      <w:r>
        <w:t>El representante del Ministerio Públ</w:t>
      </w:r>
      <w:r>
        <w:t>i</w:t>
      </w:r>
      <w:r>
        <w:t>co Fiscal también entendió que debía desestimarse la nul</w:t>
      </w:r>
      <w:r>
        <w:t>i</w:t>
      </w:r>
      <w:r>
        <w:t>dad de la detención de Carlos Telleldín y de lo a</w:t>
      </w:r>
      <w:r>
        <w:t>c</w:t>
      </w:r>
      <w:r>
        <w:t>tuado en consecuencia, señalando que evidentes razones de u</w:t>
      </w:r>
      <w:r>
        <w:t>r</w:t>
      </w:r>
      <w:r>
        <w:t>gencia, autorizaban a proceder contando solamente con la orden verbal del juez, en razón, explicó, que lo contrario h</w:t>
      </w:r>
      <w:r>
        <w:t>u</w:t>
      </w:r>
      <w:r>
        <w:t>biera podido frustrar dicho pr</w:t>
      </w:r>
      <w:r>
        <w:t>o</w:t>
      </w:r>
      <w:r>
        <w:t xml:space="preserve">cedimiento. </w:t>
      </w:r>
    </w:p>
    <w:p w:rsidR="00224567" w:rsidRDefault="00224567">
      <w:pPr>
        <w:widowControl w:val="0"/>
        <w:ind w:firstLine="2835"/>
      </w:pPr>
      <w:r>
        <w:t>Sustentó tal afirmación en los arts. 283 y 284, inc. 3°, del código de forma, por considerar que al momento en que el nombrado fue aprehendido exi</w:t>
      </w:r>
      <w:r>
        <w:t>s</w:t>
      </w:r>
      <w:r>
        <w:t>tían en su contra indicios vehementes de culpabilidad, peligro de fuga y de entorpecimiento de la investigación; ello, sin perjuicio de no advertir el interés en su di</w:t>
      </w:r>
      <w:r>
        <w:t>c</w:t>
      </w:r>
      <w:r>
        <w:t>tado.</w:t>
      </w:r>
    </w:p>
    <w:p w:rsidR="00224567" w:rsidRDefault="00224567">
      <w:pPr>
        <w:widowControl w:val="0"/>
        <w:ind w:firstLine="2835"/>
      </w:pPr>
      <w:r>
        <w:t>Asimismo, peticionó el rechazo de la nulidad del allanamiento del domicilio de Rep</w:t>
      </w:r>
      <w:r>
        <w:t>ú</w:t>
      </w:r>
      <w:r>
        <w:t>blica 107 y de lo actuado en consecuencia, por e</w:t>
      </w:r>
      <w:r>
        <w:t>n</w:t>
      </w:r>
      <w:r>
        <w:t>tender el Sr. fiscal que el auto que ordena tal medida no carece de fundament</w:t>
      </w:r>
      <w:r>
        <w:t>a</w:t>
      </w:r>
      <w:r>
        <w:t>ción, en virtud de la existencia, con anterioridad a su dictado, de el</w:t>
      </w:r>
      <w:r>
        <w:t>e</w:t>
      </w:r>
      <w:r>
        <w:t xml:space="preserve">mentos de juicio que la justificaban. </w:t>
      </w:r>
    </w:p>
    <w:p w:rsidR="00224567" w:rsidRDefault="00224567">
      <w:pPr>
        <w:widowControl w:val="0"/>
        <w:ind w:firstLine="2835"/>
      </w:pPr>
      <w:r>
        <w:t>Refirió, además, que no se enco</w:t>
      </w:r>
      <w:r>
        <w:t>n</w:t>
      </w:r>
      <w:r>
        <w:t>traba fehacientemente acreditado el argumento defe</w:t>
      </w:r>
      <w:r>
        <w:t>n</w:t>
      </w:r>
      <w:r>
        <w:t>sista de que la orden del juez federal de San Martín se efectivizó a</w:t>
      </w:r>
      <w:r>
        <w:t>n</w:t>
      </w:r>
      <w:r>
        <w:t>tes de que llegara el exhorto del magistrado instru</w:t>
      </w:r>
      <w:r>
        <w:t>c</w:t>
      </w:r>
      <w:r>
        <w:t>tor y que, en el caso hipotético de que así fuere, no advertía perjuicio para el i</w:t>
      </w:r>
      <w:r>
        <w:t>m</w:t>
      </w:r>
      <w:r>
        <w:t>putado en razón de que no existía una decisión de allanar indepe</w:t>
      </w:r>
      <w:r>
        <w:t>n</w:t>
      </w:r>
      <w:r>
        <w:t>diente de la voluntad de dicho magi</w:t>
      </w:r>
      <w:r>
        <w:t>s</w:t>
      </w:r>
      <w:r>
        <w:t xml:space="preserve">trado. </w:t>
      </w:r>
    </w:p>
    <w:p w:rsidR="00224567" w:rsidRDefault="00224567">
      <w:pPr>
        <w:widowControl w:val="0"/>
        <w:ind w:firstLine="2835"/>
      </w:pPr>
      <w:r>
        <w:t>Así también, solicitó se desest</w:t>
      </w:r>
      <w:r>
        <w:t>i</w:t>
      </w:r>
      <w:r>
        <w:t xml:space="preserve">me la nulidad de la incorporación al proceso, como prueba, del papel manuscrito que reza “Embajada de </w:t>
      </w:r>
      <w:smartTag w:uri="urn:schemas-microsoft-com:office:smarttags" w:element="PersonName">
        <w:smartTagPr>
          <w:attr w:name="ProductID" w:val="la Rep￺blica Isl￡mica"/>
        </w:smartTagPr>
        <w:r>
          <w:t>la República Isl</w:t>
        </w:r>
        <w:r>
          <w:t>á</w:t>
        </w:r>
        <w:r>
          <w:t>mica</w:t>
        </w:r>
      </w:smartTag>
      <w:r>
        <w:t xml:space="preserve"> de Irán”, por entender que no asistía razón a la d</w:t>
      </w:r>
      <w:r>
        <w:t>e</w:t>
      </w:r>
      <w:r>
        <w:t>fensa en virtud de que dicho hallazgo fue recreado en el debate, en el que los preventores y los testigos de actu</w:t>
      </w:r>
      <w:r>
        <w:t>a</w:t>
      </w:r>
      <w:r>
        <w:t>ción relataron los pormenores de su incaut</w:t>
      </w:r>
      <w:r>
        <w:t>a</w:t>
      </w:r>
      <w:r>
        <w:t xml:space="preserve">ción. </w:t>
      </w:r>
    </w:p>
    <w:p w:rsidR="00224567" w:rsidRDefault="00224567">
      <w:pPr>
        <w:widowControl w:val="0"/>
        <w:ind w:firstLine="2835"/>
      </w:pPr>
      <w:r>
        <w:t>Sostuvo, además, que la circun</w:t>
      </w:r>
      <w:r>
        <w:t>s</w:t>
      </w:r>
      <w:r>
        <w:t>tancia de que la vivienda no fuera previamente requisada, confo</w:t>
      </w:r>
      <w:r>
        <w:t>r</w:t>
      </w:r>
      <w:r>
        <w:t>me los distintos testimonios brindados, permitía de</w:t>
      </w:r>
      <w:r>
        <w:t>s</w:t>
      </w:r>
      <w:r>
        <w:t>cartar la posibilidad de que dicho elemento hubiera sido colocado ex profeso en el lugar con anterioridad al all</w:t>
      </w:r>
      <w:r>
        <w:t>a</w:t>
      </w:r>
      <w:r>
        <w:t xml:space="preserve">namiento. </w:t>
      </w:r>
    </w:p>
    <w:p w:rsidR="00224567" w:rsidRDefault="00224567">
      <w:pPr>
        <w:widowControl w:val="0"/>
        <w:ind w:firstLine="2835"/>
        <w:rPr>
          <w:bCs/>
        </w:rPr>
      </w:pPr>
      <w:r>
        <w:rPr>
          <w:bCs/>
        </w:rPr>
        <w:t>Respecto de la solicitud de nul</w:t>
      </w:r>
      <w:r>
        <w:rPr>
          <w:bCs/>
        </w:rPr>
        <w:t>i</w:t>
      </w:r>
      <w:r>
        <w:rPr>
          <w:bCs/>
        </w:rPr>
        <w:t>dad de los allanamientos, ordenados el 26 de diciembre de 1994, llevados a cabo en los domicilios de Eduardo Telleldín, Lidia Seeb, Ana Boragni y en la localidad de G</w:t>
      </w:r>
      <w:r>
        <w:rPr>
          <w:bCs/>
        </w:rPr>
        <w:t>e</w:t>
      </w:r>
      <w:r>
        <w:rPr>
          <w:bCs/>
        </w:rPr>
        <w:t>neral Pico y de lo actuado en consecuencia, el fiscal sostuvo idént</w:t>
      </w:r>
      <w:r>
        <w:rPr>
          <w:bCs/>
        </w:rPr>
        <w:t>i</w:t>
      </w:r>
      <w:r>
        <w:rPr>
          <w:bCs/>
        </w:rPr>
        <w:t>co criterio al reseñado precedentemente respecto de la i</w:t>
      </w:r>
      <w:r>
        <w:rPr>
          <w:bCs/>
        </w:rPr>
        <w:t>n</w:t>
      </w:r>
      <w:r>
        <w:rPr>
          <w:bCs/>
        </w:rPr>
        <w:t>vocada falta de motivación de la o</w:t>
      </w:r>
      <w:r>
        <w:rPr>
          <w:bCs/>
        </w:rPr>
        <w:t>r</w:t>
      </w:r>
      <w:r>
        <w:rPr>
          <w:bCs/>
        </w:rPr>
        <w:t>den de allanamiento de República 107, señalando la existencia de una convers</w:t>
      </w:r>
      <w:r>
        <w:rPr>
          <w:bCs/>
        </w:rPr>
        <w:t>a</w:t>
      </w:r>
      <w:r>
        <w:rPr>
          <w:bCs/>
        </w:rPr>
        <w:t>ción telefónica que motivó la sospecha s</w:t>
      </w:r>
      <w:r>
        <w:rPr>
          <w:bCs/>
        </w:rPr>
        <w:t>o</w:t>
      </w:r>
      <w:r>
        <w:rPr>
          <w:bCs/>
        </w:rPr>
        <w:t>bre cada uno de estos domicilios. Ello también, sin perjuicio de no haber aleg</w:t>
      </w:r>
      <w:r>
        <w:rPr>
          <w:bCs/>
        </w:rPr>
        <w:t>a</w:t>
      </w:r>
      <w:r>
        <w:rPr>
          <w:bCs/>
        </w:rPr>
        <w:t>do el detrimento que tales medidas le habían provocado a su defendido.</w:t>
      </w:r>
    </w:p>
    <w:p w:rsidR="00224567" w:rsidRDefault="00224567">
      <w:pPr>
        <w:widowControl w:val="0"/>
        <w:ind w:firstLine="2835"/>
        <w:rPr>
          <w:bCs/>
        </w:rPr>
      </w:pPr>
      <w:r>
        <w:rPr>
          <w:bCs/>
        </w:rPr>
        <w:t>Por otra parte, se expidió acerca de la nulidad de las indagatorias prestadas por Carlos Albe</w:t>
      </w:r>
      <w:r>
        <w:rPr>
          <w:bCs/>
        </w:rPr>
        <w:t>r</w:t>
      </w:r>
      <w:r>
        <w:rPr>
          <w:bCs/>
        </w:rPr>
        <w:t>to Telleldín los días 6 y 7 de agosto de 1994, sol</w:t>
      </w:r>
      <w:r>
        <w:rPr>
          <w:bCs/>
        </w:rPr>
        <w:t>i</w:t>
      </w:r>
      <w:r>
        <w:rPr>
          <w:bCs/>
        </w:rPr>
        <w:t>citada en razón de que determinadas cuestiones vertidas por el imputado habían sido delib</w:t>
      </w:r>
      <w:r>
        <w:rPr>
          <w:bCs/>
        </w:rPr>
        <w:t>e</w:t>
      </w:r>
      <w:r>
        <w:rPr>
          <w:bCs/>
        </w:rPr>
        <w:t xml:space="preserve">radamente omitidos en el acta. </w:t>
      </w:r>
    </w:p>
    <w:p w:rsidR="00224567" w:rsidRDefault="00224567">
      <w:pPr>
        <w:widowControl w:val="0"/>
        <w:ind w:firstLine="2835"/>
        <w:rPr>
          <w:bCs/>
        </w:rPr>
      </w:pPr>
      <w:r>
        <w:rPr>
          <w:bCs/>
        </w:rPr>
        <w:t>En ese sentido, el Sr. fiscal requ</w:t>
      </w:r>
      <w:r>
        <w:rPr>
          <w:bCs/>
        </w:rPr>
        <w:t>i</w:t>
      </w:r>
      <w:r>
        <w:rPr>
          <w:bCs/>
        </w:rPr>
        <w:t>rió su desestimación por cuanto entendió que se suste</w:t>
      </w:r>
      <w:r>
        <w:rPr>
          <w:bCs/>
        </w:rPr>
        <w:t>n</w:t>
      </w:r>
      <w:r>
        <w:rPr>
          <w:bCs/>
        </w:rPr>
        <w:t>taba en un hecho incierto o que no había sido mínim</w:t>
      </w:r>
      <w:r>
        <w:rPr>
          <w:bCs/>
        </w:rPr>
        <w:t>a</w:t>
      </w:r>
      <w:r>
        <w:rPr>
          <w:bCs/>
        </w:rPr>
        <w:t>mente probado.</w:t>
      </w:r>
    </w:p>
    <w:p w:rsidR="00224567" w:rsidRDefault="00224567">
      <w:pPr>
        <w:widowControl w:val="0"/>
        <w:ind w:firstLine="2835"/>
        <w:rPr>
          <w:b/>
          <w:bCs/>
        </w:rPr>
      </w:pPr>
      <w:r>
        <w:t>Así también, contestó los pla</w:t>
      </w:r>
      <w:r>
        <w:t>n</w:t>
      </w:r>
      <w:r>
        <w:t>teos de nulidad solicitados respecto de la indagatoria de Carlos Alberto Telleldín prestada el 5 de julio de 1996, de los actos que son su consecuencia, los anteriores, contempor</w:t>
      </w:r>
      <w:r>
        <w:t>á</w:t>
      </w:r>
      <w:r>
        <w:t>neos y posteriores, en particular, el auto de procesamie</w:t>
      </w:r>
      <w:r>
        <w:t>n</w:t>
      </w:r>
      <w:r>
        <w:t>to del 2 de noviembre de 1998, los requerimientos y auto de elevación a juicio y de las declar</w:t>
      </w:r>
      <w:r>
        <w:t>a</w:t>
      </w:r>
      <w:r>
        <w:t>ciones testimoniales valoradas por ese Ministerio Público Fiscal y que fueran prestadas con motivo de lo manifestado por aquél en dicha indag</w:t>
      </w:r>
      <w:r>
        <w:t>a</w:t>
      </w:r>
      <w:r>
        <w:t>toria.</w:t>
      </w:r>
      <w:r>
        <w:rPr>
          <w:b/>
          <w:bCs/>
        </w:rPr>
        <w:t xml:space="preserve"> </w:t>
      </w:r>
    </w:p>
    <w:p w:rsidR="00224567" w:rsidRPr="003C4548" w:rsidRDefault="00224567">
      <w:pPr>
        <w:widowControl w:val="0"/>
        <w:ind w:firstLine="2835"/>
        <w:rPr>
          <w:bCs/>
          <w:highlight w:val="yellow"/>
        </w:rPr>
      </w:pPr>
      <w:r w:rsidRPr="003C4548">
        <w:rPr>
          <w:bCs/>
          <w:highlight w:val="yellow"/>
        </w:rPr>
        <w:t>El Sr. fiscal adujo que si bien sol</w:t>
      </w:r>
      <w:r w:rsidRPr="003C4548">
        <w:rPr>
          <w:bCs/>
          <w:highlight w:val="yellow"/>
        </w:rPr>
        <w:t>i</w:t>
      </w:r>
      <w:r w:rsidRPr="003C4548">
        <w:rPr>
          <w:bCs/>
          <w:highlight w:val="yellow"/>
        </w:rPr>
        <w:t>citó la nulidad de la mentada indagatoria, no la hacía e</w:t>
      </w:r>
      <w:r w:rsidRPr="003C4548">
        <w:rPr>
          <w:bCs/>
          <w:highlight w:val="yellow"/>
        </w:rPr>
        <w:t>x</w:t>
      </w:r>
      <w:r w:rsidRPr="003C4548">
        <w:rPr>
          <w:bCs/>
          <w:highlight w:val="yellow"/>
        </w:rPr>
        <w:t>tensiva a lo actuado en consecuencia en razón de e</w:t>
      </w:r>
      <w:r w:rsidRPr="003C4548">
        <w:rPr>
          <w:bCs/>
          <w:highlight w:val="yellow"/>
        </w:rPr>
        <w:t>n</w:t>
      </w:r>
      <w:r w:rsidRPr="003C4548">
        <w:rPr>
          <w:bCs/>
          <w:highlight w:val="yellow"/>
        </w:rPr>
        <w:t>tender que ninguno de los actos formalmente relacion</w:t>
      </w:r>
      <w:r w:rsidRPr="003C4548">
        <w:rPr>
          <w:bCs/>
          <w:highlight w:val="yellow"/>
        </w:rPr>
        <w:t>a</w:t>
      </w:r>
      <w:r w:rsidRPr="003C4548">
        <w:rPr>
          <w:bCs/>
          <w:highlight w:val="yellow"/>
        </w:rPr>
        <w:t>dos con esa declaración fueron producto de un accionar ilícito, ni se logró demostrar que obedecieran a un plan sistemático de continuar y profundizar la versión aportada por el nombr</w:t>
      </w:r>
      <w:r w:rsidRPr="003C4548">
        <w:rPr>
          <w:bCs/>
          <w:highlight w:val="yellow"/>
        </w:rPr>
        <w:t>a</w:t>
      </w:r>
      <w:r w:rsidRPr="003C4548">
        <w:rPr>
          <w:bCs/>
          <w:highlight w:val="yellow"/>
        </w:rPr>
        <w:t>do; por el contrario, entendió que la veracidad de su co</w:t>
      </w:r>
      <w:r w:rsidRPr="003C4548">
        <w:rPr>
          <w:bCs/>
          <w:highlight w:val="yellow"/>
        </w:rPr>
        <w:t>n</w:t>
      </w:r>
      <w:r w:rsidRPr="003C4548">
        <w:rPr>
          <w:bCs/>
          <w:highlight w:val="yellow"/>
        </w:rPr>
        <w:t>tenido se verificó con prueba autónoma y emancipada de d</w:t>
      </w:r>
      <w:r w:rsidRPr="003C4548">
        <w:rPr>
          <w:bCs/>
          <w:highlight w:val="yellow"/>
        </w:rPr>
        <w:t>i</w:t>
      </w:r>
      <w:r w:rsidRPr="003C4548">
        <w:rPr>
          <w:bCs/>
          <w:highlight w:val="yellow"/>
        </w:rPr>
        <w:t>cha declaración que permitió demostrar el de</w:t>
      </w:r>
      <w:r w:rsidRPr="003C4548">
        <w:rPr>
          <w:bCs/>
          <w:highlight w:val="yellow"/>
        </w:rPr>
        <w:t>s</w:t>
      </w:r>
      <w:r w:rsidRPr="003C4548">
        <w:rPr>
          <w:bCs/>
          <w:highlight w:val="yellow"/>
        </w:rPr>
        <w:t>tino final de la camioneta.</w:t>
      </w:r>
    </w:p>
    <w:p w:rsidR="00224567" w:rsidRDefault="00224567">
      <w:pPr>
        <w:widowControl w:val="0"/>
        <w:ind w:firstLine="2835"/>
        <w:rPr>
          <w:b/>
        </w:rPr>
      </w:pPr>
      <w:r w:rsidRPr="003C4548">
        <w:rPr>
          <w:highlight w:val="yellow"/>
        </w:rPr>
        <w:t>Respecto de la consecuente nul</w:t>
      </w:r>
      <w:r w:rsidRPr="003C4548">
        <w:rPr>
          <w:highlight w:val="yellow"/>
        </w:rPr>
        <w:t>i</w:t>
      </w:r>
      <w:r w:rsidRPr="003C4548">
        <w:rPr>
          <w:highlight w:val="yellow"/>
        </w:rPr>
        <w:t>dad del procesamiento y del requerimiento y</w:t>
      </w:r>
      <w:r>
        <w:t xml:space="preserve"> auto de elevación a juicio, el Sr. fiscal señaló que la normativa exige que previo a estos actos procedimentales el imputado haya co</w:t>
      </w:r>
      <w:r>
        <w:t>m</w:t>
      </w:r>
      <w:r>
        <w:t>parecido en indagatoria; aspecto, explicó, verificado en autos en tanto que Telleldín previamente a aquella decl</w:t>
      </w:r>
      <w:r>
        <w:t>a</w:t>
      </w:r>
      <w:r>
        <w:t>ración fue indagado en reiteradas oportunidades, por los mismos hechos por los cuales fue procesado, ejercie</w:t>
      </w:r>
      <w:r>
        <w:t>n</w:t>
      </w:r>
      <w:r>
        <w:t>do su derecho de defensa. Razón, a su entender, que permitió resguardar el principio de congruencia, llevándolo a sol</w:t>
      </w:r>
      <w:r>
        <w:t>i</w:t>
      </w:r>
      <w:r>
        <w:t>citar el rechazo del planteo nulificante respecto de d</w:t>
      </w:r>
      <w:r>
        <w:t>i</w:t>
      </w:r>
      <w:r>
        <w:t xml:space="preserve">chos actos. </w:t>
      </w:r>
      <w:r>
        <w:rPr>
          <w:b/>
        </w:rPr>
        <w:t xml:space="preserve"> </w:t>
      </w:r>
    </w:p>
    <w:p w:rsidR="00224567" w:rsidRDefault="00224567">
      <w:pPr>
        <w:widowControl w:val="0"/>
        <w:ind w:firstLine="2835"/>
      </w:pPr>
      <w:r>
        <w:t>En otro orden de cosas, peticionó se desestime la nulidad de la declaración indagatoria de Ariel Nitzcaner brindada el 17 de enero de 1995 y de lo actuado en consecuencia, en razón de sostener que el no</w:t>
      </w:r>
      <w:r>
        <w:t>m</w:t>
      </w:r>
      <w:r>
        <w:t xml:space="preserve">brado ratificó en el debate sus dichos y afirmó que había sido veraz al expresarse en aquella oportunidad. </w:t>
      </w:r>
    </w:p>
    <w:p w:rsidR="00224567" w:rsidRDefault="00224567">
      <w:pPr>
        <w:widowControl w:val="0"/>
        <w:ind w:firstLine="2835"/>
      </w:pPr>
      <w:r>
        <w:t>Además, adujo que la cuestión plante</w:t>
      </w:r>
      <w:r>
        <w:t>a</w:t>
      </w:r>
      <w:r>
        <w:t>da por la defensa carecía de apoyatura fáct</w:t>
      </w:r>
      <w:r>
        <w:t>i</w:t>
      </w:r>
      <w:r>
        <w:t>ca y que había sido materia de tratamiento y decisión por parte de este tribunal en ocasión de pronunciarse sobre el primer pla</w:t>
      </w:r>
      <w:r>
        <w:t>n</w:t>
      </w:r>
      <w:r>
        <w:t xml:space="preserve">teo de recusación solicitado respecto de dos integrantes del Ministerio Público Fiscal.  </w:t>
      </w:r>
    </w:p>
    <w:p w:rsidR="00224567" w:rsidRDefault="00224567">
      <w:pPr>
        <w:widowControl w:val="0"/>
        <w:ind w:firstLine="2835"/>
      </w:pPr>
      <w:r>
        <w:t>Asimismo, el Sr. fiscal impetró el r</w:t>
      </w:r>
      <w:r>
        <w:t>e</w:t>
      </w:r>
      <w:r>
        <w:t>chazó de las nulidades de las declaraciones brindadas d</w:t>
      </w:r>
      <w:r>
        <w:t>u</w:t>
      </w:r>
      <w:r>
        <w:t>rante la instrucción por Mario Norberto Bareiro y Diego Enrique Barreda y de todos los actos que son su consecue</w:t>
      </w:r>
      <w:r>
        <w:t>n</w:t>
      </w:r>
      <w:r>
        <w:t>cia, indicando que la colabor</w:t>
      </w:r>
      <w:r>
        <w:t>a</w:t>
      </w:r>
      <w:r>
        <w:t>ción que éstos prestaron al inicio de esta investigación no sobrellevaba, a su ente</w:t>
      </w:r>
      <w:r>
        <w:t>n</w:t>
      </w:r>
      <w:r>
        <w:t>der, vicio que las invalide.</w:t>
      </w:r>
    </w:p>
    <w:p w:rsidR="00224567" w:rsidRDefault="00224567">
      <w:pPr>
        <w:widowControl w:val="0"/>
        <w:ind w:firstLine="2835"/>
      </w:pPr>
      <w:r>
        <w:t>Señaló que tampoco al momento de ser indagados se vulneró su derecho de defensa en juicio en razón de sostener que no había mediado coacción que los determinara a declarar, que pudieron efectuar libremente sus descargos, conocer las pruebas que obraban en su co</w:t>
      </w:r>
      <w:r>
        <w:t>n</w:t>
      </w:r>
      <w:r>
        <w:t>tra y contar con un abogado defensor de su confia</w:t>
      </w:r>
      <w:r>
        <w:t>n</w:t>
      </w:r>
      <w:r>
        <w:t xml:space="preserve">za. </w:t>
      </w:r>
    </w:p>
    <w:p w:rsidR="00224567" w:rsidRDefault="00224567">
      <w:pPr>
        <w:widowControl w:val="0"/>
        <w:ind w:firstLine="2835"/>
      </w:pPr>
      <w:r>
        <w:t>Así también, manifestó el Sr. fiscal que no se encontraba demostrado que por el hecho de haber colaborado con la investigación se hayan visto obligados a declarar contra sí mismos.</w:t>
      </w:r>
    </w:p>
    <w:p w:rsidR="00224567" w:rsidRDefault="00224567">
      <w:pPr>
        <w:widowControl w:val="0"/>
        <w:ind w:firstLine="2835"/>
      </w:pPr>
      <w:r>
        <w:t>Respecto de los planteos de nul</w:t>
      </w:r>
      <w:r>
        <w:t>i</w:t>
      </w:r>
      <w:r>
        <w:t>dad de la indagatoria de Mario Norberto Bareiro que en c</w:t>
      </w:r>
      <w:r>
        <w:t>o</w:t>
      </w:r>
      <w:r>
        <w:t>pia obra en la causa n° 501 de este Tribunal y del procesamiento dictado a Diego Enrique Barreda en el mentado proceso en razón de la inexistencia de declaración indagatoria, el Sr. fiscal solicitó sus rechazos por entender que los no</w:t>
      </w:r>
      <w:r>
        <w:t>m</w:t>
      </w:r>
      <w:r>
        <w:t>brados ejercieron cabalmente su derecho de defensa en la medida en que fueron interrogados por los hechos que da</w:t>
      </w:r>
      <w:r>
        <w:t>m</w:t>
      </w:r>
      <w:r>
        <w:t xml:space="preserve">nificaran, el 14 de julio de </w:t>
      </w:r>
      <w:smartTag w:uri="urn:schemas-microsoft-com:office:smarttags" w:element="metricconverter">
        <w:smartTagPr>
          <w:attr w:name="ProductID" w:val="1994, a"/>
        </w:smartTagPr>
        <w:r>
          <w:t>1994, a</w:t>
        </w:r>
      </w:smartTag>
      <w:r>
        <w:t xml:space="preserve"> Carlos Telleldín y Ana Boragni y pudieron efectuar sus descargos. Señaló, además, la inexistencia de agravio concreto. </w:t>
      </w:r>
    </w:p>
    <w:p w:rsidR="00224567" w:rsidRDefault="00224567">
      <w:pPr>
        <w:widowControl w:val="0"/>
        <w:ind w:firstLine="2835"/>
      </w:pPr>
      <w:r>
        <w:t>Por otra parte, requirió el r</w:t>
      </w:r>
      <w:r>
        <w:t>e</w:t>
      </w:r>
      <w:r>
        <w:t>chazo de la nulidad de la testimonial prestada por Juan Alberto Bottegal durante la etapa instructoria, en especial lo obrante a fs. 38.551 y subsiguientes y de la indagatoria de fs. 45.155 y siguientes, incorporada por lectura al d</w:t>
      </w:r>
      <w:r>
        <w:t>e</w:t>
      </w:r>
      <w:r>
        <w:t>bate y de lo actu</w:t>
      </w:r>
      <w:r>
        <w:t>a</w:t>
      </w:r>
      <w:r>
        <w:t>do en consecuencia, por entender que el mencionado ingresó al proceso en virtud de la indag</w:t>
      </w:r>
      <w:r>
        <w:t>a</w:t>
      </w:r>
      <w:r>
        <w:t>toria brindada, el 6 de agosto de 1994, por Telleldín, en la que éste relató la participación que le cupo a Bottegal en las negociaciones efectuadas a raíz del procedimie</w:t>
      </w:r>
      <w:r>
        <w:t>n</w:t>
      </w:r>
      <w:r>
        <w:t>to acaecido el 14 de julio de ese año y no como consecuencia del int</w:t>
      </w:r>
      <w:r>
        <w:t>e</w:t>
      </w:r>
      <w:r>
        <w:t>rrogatorio que le realizara Sti</w:t>
      </w:r>
      <w:r>
        <w:t>u</w:t>
      </w:r>
      <w:r>
        <w:t>so.</w:t>
      </w:r>
    </w:p>
    <w:p w:rsidR="00224567" w:rsidRDefault="00224567">
      <w:pPr>
        <w:widowControl w:val="0"/>
        <w:ind w:firstLine="2835"/>
      </w:pPr>
      <w:r>
        <w:t>Indicó, asimismo, que no advertía agravio en la utilización de su indagatoria, en razón de que el imputado fue relevado formalmente del jur</w:t>
      </w:r>
      <w:r>
        <w:t>a</w:t>
      </w:r>
      <w:r>
        <w:t>mento de decir verdad, como así tampoco la vulneración de su der</w:t>
      </w:r>
      <w:r>
        <w:t>e</w:t>
      </w:r>
      <w:r>
        <w:t>cho de defensa en juicio al manifestar su v</w:t>
      </w:r>
      <w:r>
        <w:t>o</w:t>
      </w:r>
      <w:r>
        <w:t>luntad de que la testimonial que brindó sea incorporada a dicha indag</w:t>
      </w:r>
      <w:r>
        <w:t>a</w:t>
      </w:r>
      <w:r>
        <w:t>toria; proceder, explicó el fiscal, justificado por enco</w:t>
      </w:r>
      <w:r>
        <w:t>n</w:t>
      </w:r>
      <w:r>
        <w:t>trarse el declarante relevado de dicho juramento y por r</w:t>
      </w:r>
      <w:r>
        <w:t>a</w:t>
      </w:r>
      <w:r>
        <w:t>zones de economía procesal.</w:t>
      </w:r>
    </w:p>
    <w:p w:rsidR="00224567" w:rsidRDefault="00224567">
      <w:pPr>
        <w:widowControl w:val="0"/>
        <w:ind w:firstLine="2835"/>
      </w:pPr>
      <w:r>
        <w:t>Señaló, asimismo, que se trataba de un planteo abstracto por entender que del relato efectuado por Bottegal en dicha audiencia surg</w:t>
      </w:r>
      <w:r>
        <w:t>í</w:t>
      </w:r>
      <w:r>
        <w:t>an, con prescindencia de su testimonio, elementos suficientes para su</w:t>
      </w:r>
      <w:r>
        <w:t>s</w:t>
      </w:r>
      <w:r>
        <w:t>tentar la imputación en su contra, en tanto aquél reconoció ampli</w:t>
      </w:r>
      <w:r>
        <w:t>a</w:t>
      </w:r>
      <w:r>
        <w:t>mente la materialidad fáctica y la responsab</w:t>
      </w:r>
      <w:r>
        <w:t>i</w:t>
      </w:r>
      <w:r>
        <w:t>lidad que le cupo.</w:t>
      </w:r>
    </w:p>
    <w:p w:rsidR="00224567" w:rsidRDefault="00224567">
      <w:pPr>
        <w:widowControl w:val="0"/>
        <w:ind w:firstLine="2835"/>
      </w:pPr>
      <w:r>
        <w:t>Así también, peticionó el rechazó de la nulidad parcial impetrada respecto de las declar</w:t>
      </w:r>
      <w:r>
        <w:t>a</w:t>
      </w:r>
      <w:r>
        <w:t>ciones indagatorias prestadas por Alejandro Burguete en lo co</w:t>
      </w:r>
      <w:r>
        <w:t>n</w:t>
      </w:r>
      <w:r>
        <w:t>cerniente al delito de asociación ilícita y de todo lo a</w:t>
      </w:r>
      <w:r>
        <w:t>c</w:t>
      </w:r>
      <w:r>
        <w:t>tuado en consecuencia, en razón de considerar que la de</w:t>
      </w:r>
      <w:r>
        <w:t>s</w:t>
      </w:r>
      <w:r>
        <w:t>cripción del hecho satisfizo los recaudos n</w:t>
      </w:r>
      <w:r>
        <w:t>e</w:t>
      </w:r>
      <w:r>
        <w:t>cesarios para que aquél pudiera comprender la imputación fáctica y eje</w:t>
      </w:r>
      <w:r>
        <w:t>r</w:t>
      </w:r>
      <w:r>
        <w:t>cer adecuadamente su defensa.</w:t>
      </w:r>
    </w:p>
    <w:p w:rsidR="00224567" w:rsidRDefault="00224567">
      <w:pPr>
        <w:widowControl w:val="0"/>
        <w:ind w:firstLine="2835"/>
      </w:pPr>
      <w:r>
        <w:t>Por otra parte, respecto del p</w:t>
      </w:r>
      <w:r>
        <w:t>e</w:t>
      </w:r>
      <w:r>
        <w:t>dido de nulidad de la testimonial rendida en el debate por Miriam Salinas, el Sr. fiscal solicitó su desestim</w:t>
      </w:r>
      <w:r>
        <w:t>a</w:t>
      </w:r>
      <w:r>
        <w:t>ción, en razón de sostener que los argumentos brindados por la defensa eran mendaces en tanto que previo a que la nombrara pre</w:t>
      </w:r>
      <w:r>
        <w:t>s</w:t>
      </w:r>
      <w:r>
        <w:t>tara declaración, se le hizo saber la resolución del tr</w:t>
      </w:r>
      <w:r>
        <w:t>i</w:t>
      </w:r>
      <w:r>
        <w:t>bunal referida a su deposición en la etapa instructoria, señalando que en el debate aquella testificó libre y v</w:t>
      </w:r>
      <w:r>
        <w:t>o</w:t>
      </w:r>
      <w:r>
        <w:t>luntariamente, descartando cua</w:t>
      </w:r>
      <w:r>
        <w:t>l</w:t>
      </w:r>
      <w:r>
        <w:t>quier condicionamiento que la hubiera obligado a inc</w:t>
      </w:r>
      <w:r>
        <w:t>u</w:t>
      </w:r>
      <w:r>
        <w:t>rrir en alguna falsedad.</w:t>
      </w:r>
    </w:p>
    <w:p w:rsidR="00224567" w:rsidRDefault="00224567">
      <w:pPr>
        <w:widowControl w:val="0"/>
        <w:ind w:firstLine="2835"/>
      </w:pPr>
      <w:r>
        <w:t>Igualmente, requirió el rechazo del pedido nulificante respecto de la testimonial prestada por Manuel Enrique García, por considerar que dicha declar</w:t>
      </w:r>
      <w:r>
        <w:t>a</w:t>
      </w:r>
      <w:r>
        <w:t>ción se ajustaba a las probanzas acumuladas re</w:t>
      </w:r>
      <w:r>
        <w:t>s</w:t>
      </w:r>
      <w:r>
        <w:t>pecto de su participación en el hecho ocurrido el 14 de julio de 1994, del que no se desprendían elementos suficientes para imp</w:t>
      </w:r>
      <w:r>
        <w:t>u</w:t>
      </w:r>
      <w:r>
        <w:t>tarlo.</w:t>
      </w:r>
    </w:p>
    <w:p w:rsidR="00224567" w:rsidRDefault="00224567">
      <w:pPr>
        <w:widowControl w:val="0"/>
        <w:ind w:firstLine="2835"/>
      </w:pPr>
      <w:r>
        <w:t>Con relación a la solicitud de nul</w:t>
      </w:r>
      <w:r>
        <w:t>i</w:t>
      </w:r>
      <w:r>
        <w:t>dad de la testimonial prestada el 3 de abril de 1997 por Nél</w:t>
      </w:r>
      <w:r>
        <w:t>i</w:t>
      </w:r>
      <w:r>
        <w:t>da Virginia Morri, el representante del Mini</w:t>
      </w:r>
      <w:r>
        <w:t>s</w:t>
      </w:r>
      <w:r>
        <w:t>terio Público Fiscal pidió su rechazo, en razón de no advertir la manera en que la colaboración de la testigo afectó su libertad, condicionando el co</w:t>
      </w:r>
      <w:r>
        <w:t>n</w:t>
      </w:r>
      <w:r>
        <w:t xml:space="preserve">tenido de sus dichos. </w:t>
      </w:r>
    </w:p>
    <w:p w:rsidR="00224567" w:rsidRDefault="00224567">
      <w:pPr>
        <w:widowControl w:val="0"/>
        <w:ind w:firstLine="2835"/>
      </w:pPr>
      <w:r>
        <w:t xml:space="preserve">Señaló que resultaban aplicables las ponderaciones que efectuó respecto de la colaboración de Barreda y Bareiro en la pesquisa. </w:t>
      </w:r>
    </w:p>
    <w:p w:rsidR="00224567" w:rsidRDefault="00224567">
      <w:pPr>
        <w:widowControl w:val="0"/>
        <w:ind w:firstLine="2835"/>
      </w:pPr>
      <w:r>
        <w:t>Asimismo, solicitó el rechazo de la nulidad peticionada respecto de las declaraciones testim</w:t>
      </w:r>
      <w:r>
        <w:t>o</w:t>
      </w:r>
      <w:r>
        <w:t>niales brindadas por Ana María Boragni el 10 de julio de 1996 y en ocasión de comparecer al debate y de lo a</w:t>
      </w:r>
      <w:r>
        <w:t>c</w:t>
      </w:r>
      <w:r>
        <w:t>tuado en consecuencia, por entender que no había prueba demo</w:t>
      </w:r>
      <w:r>
        <w:t>s</w:t>
      </w:r>
      <w:r>
        <w:t>trativa de la alegada coacción que determ</w:t>
      </w:r>
      <w:r>
        <w:t>i</w:t>
      </w:r>
      <w:r>
        <w:t>nó a la testigo al declarar en la instrucción, como también que la locu</w:t>
      </w:r>
      <w:r>
        <w:t>a</w:t>
      </w:r>
      <w:r>
        <w:t>cidad y amplitud de sus dichos en el debate permitían de</w:t>
      </w:r>
      <w:r>
        <w:t>s</w:t>
      </w:r>
      <w:r>
        <w:t>cartar que ella se hubiera visto embargada por algún se</w:t>
      </w:r>
      <w:r>
        <w:t>n</w:t>
      </w:r>
      <w:r>
        <w:t>timie</w:t>
      </w:r>
      <w:r>
        <w:t>n</w:t>
      </w:r>
      <w:r>
        <w:t>to de coacción al momento de deponer.</w:t>
      </w:r>
    </w:p>
    <w:p w:rsidR="00224567" w:rsidRDefault="00224567">
      <w:pPr>
        <w:widowControl w:val="0"/>
        <w:ind w:firstLine="2835"/>
      </w:pPr>
      <w:r>
        <w:t>Respecto de la nulidad de la incorp</w:t>
      </w:r>
      <w:r>
        <w:t>o</w:t>
      </w:r>
      <w:r>
        <w:t>ración al proceso de los videos de Carlos Alberto Telle</w:t>
      </w:r>
      <w:r>
        <w:t>l</w:t>
      </w:r>
      <w:r>
        <w:t>dín del 10 de abril y 1° de julio de 1996, el Sr. fiscal rechazó el planteo, aduciendo que no asistía razón a la defensa en virtud de la legalidad de su incorporación al debate; decisión, explicó, que adquirió firmeza y pr</w:t>
      </w:r>
      <w:r>
        <w:t>o</w:t>
      </w:r>
      <w:r>
        <w:t>dujo efectos re</w:t>
      </w:r>
      <w:r>
        <w:t>s</w:t>
      </w:r>
      <w:r>
        <w:t>pecto de los imputados.</w:t>
      </w:r>
    </w:p>
    <w:p w:rsidR="00224567" w:rsidRDefault="00224567">
      <w:pPr>
        <w:widowControl w:val="0"/>
        <w:ind w:firstLine="2835"/>
      </w:pPr>
      <w:r>
        <w:t>Así también, peticionó se dese</w:t>
      </w:r>
      <w:r>
        <w:t>s</w:t>
      </w:r>
      <w:r>
        <w:t>time la nulidad solicitada respecto de la incorpor</w:t>
      </w:r>
      <w:r>
        <w:t>a</w:t>
      </w:r>
      <w:r>
        <w:t>ción al debate de las transcripciones de las escuchas de la l</w:t>
      </w:r>
      <w:r>
        <w:t>í</w:t>
      </w:r>
      <w:r>
        <w:t>nea 768-0902, cuyas casetes se encuentran perdidos, señala</w:t>
      </w:r>
      <w:r>
        <w:t>n</w:t>
      </w:r>
      <w:r>
        <w:t>do que acerca de dichas transcripciones fueron interrogados v</w:t>
      </w:r>
      <w:r>
        <w:t>a</w:t>
      </w:r>
      <w:r>
        <w:t>rios testigos y que ese ministerio sólo valoró aquellas conversaciones cuya veracidad fue rec</w:t>
      </w:r>
      <w:r>
        <w:t>o</w:t>
      </w:r>
      <w:r>
        <w:t>nocida por alguno de los interlocutores; indicando, además, que el petici</w:t>
      </w:r>
      <w:r>
        <w:t>o</w:t>
      </w:r>
      <w:r>
        <w:t>nante carecía de agravio.</w:t>
      </w:r>
    </w:p>
    <w:p w:rsidR="00224567" w:rsidRDefault="00224567">
      <w:pPr>
        <w:widowControl w:val="0"/>
        <w:ind w:firstLine="2835"/>
      </w:pPr>
      <w:r>
        <w:t>En lo que se refiere a las nulidades de las fs. 114, 865, 866 y 870 y de lo actuado en cons</w:t>
      </w:r>
      <w:r>
        <w:t>e</w:t>
      </w:r>
      <w:r>
        <w:t>cuencia, sostuvo que correspondía rechazarlas en ta</w:t>
      </w:r>
      <w:r>
        <w:t>n</w:t>
      </w:r>
      <w:r>
        <w:t xml:space="preserve">to que lo obrado a fs. 114, 865 y 870 no son actos procesales, conforme lo exigido por el art. 166 del código de forma, sino meros pedidos de intervenciones telefónicas de </w:t>
      </w:r>
      <w:smartTag w:uri="urn:schemas-microsoft-com:office:smarttags" w:element="PersonName">
        <w:smartTagPr>
          <w:attr w:name="ProductID" w:val="la S.I"/>
        </w:smartTagPr>
        <w:r>
          <w:t>la S.I</w:t>
        </w:r>
      </w:smartTag>
      <w:r>
        <w:t xml:space="preserve">.D.E. y de </w:t>
      </w:r>
      <w:smartTag w:uri="urn:schemas-microsoft-com:office:smarttags" w:element="PersonName">
        <w:smartTagPr>
          <w:attr w:name="ProductID" w:val="la Polic￭a Federal"/>
        </w:smartTagPr>
        <w:r>
          <w:t>la Policía Federal</w:t>
        </w:r>
      </w:smartTag>
      <w:r>
        <w:t>, no pasibles de tal sa</w:t>
      </w:r>
      <w:r>
        <w:t>n</w:t>
      </w:r>
      <w:r>
        <w:t xml:space="preserve">ción. </w:t>
      </w:r>
    </w:p>
    <w:p w:rsidR="00224567" w:rsidRDefault="00224567">
      <w:pPr>
        <w:widowControl w:val="0"/>
        <w:ind w:firstLine="2835"/>
      </w:pPr>
      <w:r>
        <w:t>Indicó, respecto de la nulidad del a</w:t>
      </w:r>
      <w:r>
        <w:t>u</w:t>
      </w:r>
      <w:r>
        <w:t>to que ordena tales intervenciones, que del testim</w:t>
      </w:r>
      <w:r>
        <w:t>o</w:t>
      </w:r>
      <w:r>
        <w:t>nio de Stiuso pudo conocerse la manera en que los números telef</w:t>
      </w:r>
      <w:r>
        <w:t>ó</w:t>
      </w:r>
      <w:r>
        <w:t>nicos enumerados en la fs. 114 fueron obtenidos, como ta</w:t>
      </w:r>
      <w:r>
        <w:t>m</w:t>
      </w:r>
      <w:r>
        <w:t>bién que la solicitud obrante a fs. 865 fue confecci</w:t>
      </w:r>
      <w:r>
        <w:t>o</w:t>
      </w:r>
      <w:r>
        <w:t>nada una vez que el motor había sido encontrado, circun</w:t>
      </w:r>
      <w:r>
        <w:t>s</w:t>
      </w:r>
      <w:r>
        <w:t>tancia que, explicó, permitía descartar la presencia de alguna irregularidad.</w:t>
      </w:r>
    </w:p>
    <w:p w:rsidR="00224567" w:rsidRDefault="00224567">
      <w:pPr>
        <w:widowControl w:val="0"/>
        <w:ind w:firstLine="2835"/>
      </w:pPr>
      <w:r>
        <w:t>Así, señaló que ni la solicitud de i</w:t>
      </w:r>
      <w:r>
        <w:t>n</w:t>
      </w:r>
      <w:r>
        <w:t>tervención ni la correspondiente orden se muestran irraz</w:t>
      </w:r>
      <w:r>
        <w:t>o</w:t>
      </w:r>
      <w:r>
        <w:t xml:space="preserve">nables o carentes de fundamentación. </w:t>
      </w:r>
    </w:p>
    <w:p w:rsidR="00224567" w:rsidRDefault="00224567">
      <w:pPr>
        <w:widowControl w:val="0"/>
        <w:ind w:firstLine="2835"/>
        <w:rPr>
          <w:bCs/>
        </w:rPr>
      </w:pPr>
      <w:r>
        <w:rPr>
          <w:bCs/>
        </w:rPr>
        <w:t>El Sr. fiscal también impetró el r</w:t>
      </w:r>
      <w:r>
        <w:rPr>
          <w:bCs/>
        </w:rPr>
        <w:t>e</w:t>
      </w:r>
      <w:r>
        <w:rPr>
          <w:bCs/>
        </w:rPr>
        <w:t>chazo de la nulidad de las fojas 37.376 y 37.382, en razón de entender que se trataba de constancias que reflejaban una entrevista y que la eventual falsedad de alguna afi</w:t>
      </w:r>
      <w:r>
        <w:rPr>
          <w:bCs/>
        </w:rPr>
        <w:t>r</w:t>
      </w:r>
      <w:r>
        <w:rPr>
          <w:bCs/>
        </w:rPr>
        <w:t>mación allí contenida no conllevaba la nulidad de dicha actuación, la que, explicó, no ofrecía reparos en el a</w:t>
      </w:r>
      <w:r>
        <w:rPr>
          <w:bCs/>
        </w:rPr>
        <w:t>s</w:t>
      </w:r>
      <w:r>
        <w:rPr>
          <w:bCs/>
        </w:rPr>
        <w:t>pecto formal de la confección, resultando una cuestión concerniente a la valoración de la prueba.</w:t>
      </w:r>
    </w:p>
    <w:p w:rsidR="00224567" w:rsidRDefault="00224567">
      <w:pPr>
        <w:widowControl w:val="0"/>
        <w:ind w:firstLine="2835"/>
      </w:pPr>
      <w:r>
        <w:t>Respecto de la nulidad de las certif</w:t>
      </w:r>
      <w:r>
        <w:t>i</w:t>
      </w:r>
      <w:r>
        <w:t>caciones de los listados de llamadas recibidas en el r</w:t>
      </w:r>
      <w:r>
        <w:t>a</w:t>
      </w:r>
      <w:r>
        <w:t>diomensaje de Telleldín, obrantes a fs. 2193/2195, del i</w:t>
      </w:r>
      <w:r>
        <w:t>n</w:t>
      </w:r>
      <w:r>
        <w:t>forme de fs. 3043/3048 y de la declaración indagatoria prestada por el nombrado el 7 de agosto de 1994, en la m</w:t>
      </w:r>
      <w:r>
        <w:t>e</w:t>
      </w:r>
      <w:r>
        <w:t>dida en que hizo referencia a dichas certificaciones, el Sr. fiscal requirió su rechazo, por entender que la falta de respaldo de dichas constancias importaba una cuestión de valoración, ajena a la inobservancia de cuestiones fo</w:t>
      </w:r>
      <w:r>
        <w:t>r</w:t>
      </w:r>
      <w:r>
        <w:t>males que permitirían recl</w:t>
      </w:r>
      <w:r>
        <w:t>a</w:t>
      </w:r>
      <w:r>
        <w:t>mar la nulidad.</w:t>
      </w:r>
    </w:p>
    <w:p w:rsidR="00224567" w:rsidRDefault="00224567">
      <w:pPr>
        <w:widowControl w:val="0"/>
        <w:ind w:firstLine="2835"/>
        <w:rPr>
          <w:bCs/>
        </w:rPr>
      </w:pPr>
      <w:r>
        <w:rPr>
          <w:bCs/>
        </w:rPr>
        <w:t>También solicitó el rechazo de la n</w:t>
      </w:r>
      <w:r>
        <w:rPr>
          <w:bCs/>
        </w:rPr>
        <w:t>u</w:t>
      </w:r>
      <w:r>
        <w:rPr>
          <w:bCs/>
        </w:rPr>
        <w:t>lidad impetrada respecto de todos los actos proc</w:t>
      </w:r>
      <w:r>
        <w:rPr>
          <w:bCs/>
        </w:rPr>
        <w:t>e</w:t>
      </w:r>
      <w:r>
        <w:rPr>
          <w:bCs/>
        </w:rPr>
        <w:t>sales que se vinculan con el delito de instigación al falso testim</w:t>
      </w:r>
      <w:r>
        <w:rPr>
          <w:bCs/>
        </w:rPr>
        <w:t>o</w:t>
      </w:r>
      <w:r>
        <w:rPr>
          <w:bCs/>
        </w:rPr>
        <w:t>nio agravado, materia de investig</w:t>
      </w:r>
      <w:r>
        <w:rPr>
          <w:bCs/>
        </w:rPr>
        <w:t>a</w:t>
      </w:r>
      <w:r>
        <w:rPr>
          <w:bCs/>
        </w:rPr>
        <w:t>ción en la causa n° 501, como así también la de la resolución del tribunal del 20 de diciembre de 2000, mediante la cual se reenvió la causa al juzgado instructor, por entender que dicha decisión, que contempló una cuestión que no estaba precluida, no produjo menoscabo alguno a la defensa en ju</w:t>
      </w:r>
      <w:r>
        <w:rPr>
          <w:bCs/>
        </w:rPr>
        <w:t>i</w:t>
      </w:r>
      <w:r>
        <w:rPr>
          <w:bCs/>
        </w:rPr>
        <w:t xml:space="preserve">cio. </w:t>
      </w:r>
    </w:p>
    <w:p w:rsidR="00224567" w:rsidRDefault="00224567">
      <w:pPr>
        <w:widowControl w:val="0"/>
        <w:ind w:firstLine="2835"/>
      </w:pPr>
      <w:r>
        <w:t>Asimismo, señaló que la circun</w:t>
      </w:r>
      <w:r>
        <w:t>s</w:t>
      </w:r>
      <w:r>
        <w:t>tancia de que a Ribelli no se le hubiera ampliado la indagat</w:t>
      </w:r>
      <w:r>
        <w:t>o</w:t>
      </w:r>
      <w:r>
        <w:t>ria por los hechos motivo de pesquisa en la causa nº 501 ta</w:t>
      </w:r>
      <w:r>
        <w:t>m</w:t>
      </w:r>
      <w:r>
        <w:t>poco afectaba aquella garantía en tanto sobre ellos se e</w:t>
      </w:r>
      <w:r>
        <w:t>x</w:t>
      </w:r>
      <w:r>
        <w:t>pidió en una declaración a</w:t>
      </w:r>
      <w:r>
        <w:t>n</w:t>
      </w:r>
      <w:r>
        <w:t>terior.</w:t>
      </w:r>
    </w:p>
    <w:p w:rsidR="00224567" w:rsidRDefault="00224567">
      <w:pPr>
        <w:widowControl w:val="0"/>
        <w:ind w:firstLine="2835"/>
        <w:rPr>
          <w:b/>
          <w:bCs/>
        </w:rPr>
      </w:pPr>
      <w:r w:rsidRPr="003C4548">
        <w:rPr>
          <w:highlight w:val="yellow"/>
        </w:rPr>
        <w:t>Por otra parte, impetró el rech</w:t>
      </w:r>
      <w:r w:rsidRPr="003C4548">
        <w:rPr>
          <w:highlight w:val="yellow"/>
        </w:rPr>
        <w:t>a</w:t>
      </w:r>
      <w:r w:rsidRPr="003C4548">
        <w:rPr>
          <w:highlight w:val="yellow"/>
        </w:rPr>
        <w:t>zo de las nulidades, sustentadas en la falta de i</w:t>
      </w:r>
      <w:r w:rsidRPr="003C4548">
        <w:rPr>
          <w:highlight w:val="yellow"/>
        </w:rPr>
        <w:t>n</w:t>
      </w:r>
      <w:r w:rsidRPr="003C4548">
        <w:rPr>
          <w:highlight w:val="yellow"/>
        </w:rPr>
        <w:t>dependencia e imparcialidad del juzgador, sea a partir del 25 de julio de 1994, del 27 de julio de ese año, del mes de mayo de 1995, de julio de 1996, como así también de todo lo actu</w:t>
      </w:r>
      <w:r w:rsidRPr="003C4548">
        <w:rPr>
          <w:highlight w:val="yellow"/>
        </w:rPr>
        <w:t>a</w:t>
      </w:r>
      <w:r w:rsidRPr="003C4548">
        <w:rPr>
          <w:highlight w:val="yellow"/>
        </w:rPr>
        <w:t>do en la causa n° 1598 o a partir de la c</w:t>
      </w:r>
      <w:r w:rsidRPr="003C4548">
        <w:rPr>
          <w:highlight w:val="yellow"/>
        </w:rPr>
        <w:t>o</w:t>
      </w:r>
      <w:r w:rsidRPr="003C4548">
        <w:rPr>
          <w:highlight w:val="yellow"/>
        </w:rPr>
        <w:t>acción a la que fue sometido Jorge Horacio Rago en el juzgado de instru</w:t>
      </w:r>
      <w:r w:rsidRPr="003C4548">
        <w:rPr>
          <w:highlight w:val="yellow"/>
        </w:rPr>
        <w:t>c</w:t>
      </w:r>
      <w:r w:rsidRPr="003C4548">
        <w:rPr>
          <w:highlight w:val="yellow"/>
        </w:rPr>
        <w:t>ción.</w:t>
      </w:r>
    </w:p>
    <w:p w:rsidR="00224567" w:rsidRDefault="00224567">
      <w:pPr>
        <w:widowControl w:val="0"/>
        <w:ind w:firstLine="2835"/>
      </w:pPr>
      <w:r w:rsidRPr="003C4548">
        <w:rPr>
          <w:highlight w:val="yellow"/>
        </w:rPr>
        <w:t>En ese sentido, indicó que en el deb</w:t>
      </w:r>
      <w:r w:rsidRPr="003C4548">
        <w:rPr>
          <w:highlight w:val="yellow"/>
        </w:rPr>
        <w:t>a</w:t>
      </w:r>
      <w:r w:rsidRPr="003C4548">
        <w:rPr>
          <w:highlight w:val="yellow"/>
        </w:rPr>
        <w:t>te se demostró que la reunión acaecida en la quinta pres</w:t>
      </w:r>
      <w:r w:rsidRPr="003C4548">
        <w:rPr>
          <w:highlight w:val="yellow"/>
        </w:rPr>
        <w:t>i</w:t>
      </w:r>
      <w:r w:rsidRPr="003C4548">
        <w:rPr>
          <w:highlight w:val="yellow"/>
        </w:rPr>
        <w:t>dencial de Olivos se limitó a la exhib</w:t>
      </w:r>
      <w:r w:rsidRPr="003C4548">
        <w:rPr>
          <w:highlight w:val="yellow"/>
        </w:rPr>
        <w:t>i</w:t>
      </w:r>
      <w:r w:rsidRPr="003C4548">
        <w:rPr>
          <w:highlight w:val="yellow"/>
        </w:rPr>
        <w:t>ción del video con la declaración del arrepentido iraní, como así también la escasa atención evidenciada por el e</w:t>
      </w:r>
      <w:r w:rsidRPr="003C4548">
        <w:rPr>
          <w:highlight w:val="yellow"/>
        </w:rPr>
        <w:t>n</w:t>
      </w:r>
      <w:r w:rsidRPr="003C4548">
        <w:rPr>
          <w:highlight w:val="yellow"/>
        </w:rPr>
        <w:t xml:space="preserve">tonces presidente de </w:t>
      </w:r>
      <w:smartTag w:uri="urn:schemas-microsoft-com:office:smarttags" w:element="PersonName">
        <w:smartTagPr>
          <w:attr w:name="ProductID" w:val="la Rep￺blica"/>
        </w:smartTagPr>
        <w:r w:rsidRPr="003C4548">
          <w:rPr>
            <w:highlight w:val="yellow"/>
          </w:rPr>
          <w:t>la República</w:t>
        </w:r>
      </w:smartTag>
      <w:r w:rsidRPr="003C4548">
        <w:rPr>
          <w:highlight w:val="yellow"/>
        </w:rPr>
        <w:t xml:space="preserve"> y por los miembros</w:t>
      </w:r>
      <w:r>
        <w:t xml:space="preserve"> de su gab</w:t>
      </w:r>
      <w:r>
        <w:t>i</w:t>
      </w:r>
      <w:r>
        <w:t>nete.</w:t>
      </w:r>
    </w:p>
    <w:p w:rsidR="00224567" w:rsidRDefault="00224567">
      <w:pPr>
        <w:widowControl w:val="0"/>
        <w:ind w:firstLine="2835"/>
      </w:pPr>
      <w:r>
        <w:t>Adujo, además, que no se había prob</w:t>
      </w:r>
      <w:r>
        <w:t>a</w:t>
      </w:r>
      <w:r>
        <w:t>do que en dicha reunión se hubiera acordado el rumbo de la investigación, como tampoco que el juez hubiera aceptado indicación o sugerencia sobre los pasos a seguir en el avance de la pesquisa.</w:t>
      </w:r>
    </w:p>
    <w:p w:rsidR="00224567" w:rsidRDefault="00224567">
      <w:pPr>
        <w:widowControl w:val="0"/>
        <w:ind w:firstLine="2835"/>
      </w:pPr>
      <w:r w:rsidRPr="003C4548">
        <w:rPr>
          <w:highlight w:val="yellow"/>
        </w:rPr>
        <w:t>Respecto del planteo de nulidad de t</w:t>
      </w:r>
      <w:r w:rsidRPr="003C4548">
        <w:rPr>
          <w:highlight w:val="yellow"/>
        </w:rPr>
        <w:t>o</w:t>
      </w:r>
      <w:r w:rsidRPr="003C4548">
        <w:rPr>
          <w:highlight w:val="yellow"/>
        </w:rPr>
        <w:t>do lo actuado a partir del mes de mayo de 1995, el Sr. r</w:t>
      </w:r>
      <w:r w:rsidRPr="003C4548">
        <w:rPr>
          <w:highlight w:val="yellow"/>
        </w:rPr>
        <w:t>e</w:t>
      </w:r>
      <w:r w:rsidRPr="003C4548">
        <w:rPr>
          <w:highlight w:val="yellow"/>
        </w:rPr>
        <w:t>presentante del Ministerio Público Fiscal consideró que los argumentos del peticionante relativos a una supuesta reunión entre los Dres. Corach, Beraja y Riva Aramayo no eran más que conjeturas, no acreditadas en el debate.</w:t>
      </w:r>
    </w:p>
    <w:p w:rsidR="00224567" w:rsidRDefault="00224567">
      <w:pPr>
        <w:widowControl w:val="0"/>
        <w:ind w:firstLine="2835"/>
      </w:pPr>
      <w:r>
        <w:t>Reiteró que la nulidad debía circun</w:t>
      </w:r>
      <w:r>
        <w:t>s</w:t>
      </w:r>
      <w:r>
        <w:t>cribirse al acto espurio que recepcionó los dichos de T</w:t>
      </w:r>
      <w:r>
        <w:t>e</w:t>
      </w:r>
      <w:r>
        <w:t>lleldín del 5 de julio de 1996, no extendiéndose re</w:t>
      </w:r>
      <w:r>
        <w:t>s</w:t>
      </w:r>
      <w:r>
        <w:t xml:space="preserve">pecto de aquellas diligencias que fueron producto de un cauce de investigación independiente. </w:t>
      </w:r>
    </w:p>
    <w:p w:rsidR="00224567" w:rsidRDefault="00224567">
      <w:pPr>
        <w:widowControl w:val="0"/>
        <w:ind w:firstLine="2835"/>
        <w:rPr>
          <w:bCs/>
        </w:rPr>
      </w:pPr>
      <w:r>
        <w:rPr>
          <w:bCs/>
        </w:rPr>
        <w:t>Refirió, por otra parte, que la defe</w:t>
      </w:r>
      <w:r>
        <w:rPr>
          <w:bCs/>
        </w:rPr>
        <w:t>n</w:t>
      </w:r>
      <w:r>
        <w:rPr>
          <w:bCs/>
        </w:rPr>
        <w:t>sa omitió indicar cuáles eran los actos que debían ser n</w:t>
      </w:r>
      <w:r>
        <w:rPr>
          <w:bCs/>
        </w:rPr>
        <w:t>u</w:t>
      </w:r>
      <w:r>
        <w:rPr>
          <w:bCs/>
        </w:rPr>
        <w:t xml:space="preserve">lificados a consecuencia del pago. </w:t>
      </w:r>
    </w:p>
    <w:p w:rsidR="00224567" w:rsidRDefault="00224567">
      <w:pPr>
        <w:widowControl w:val="0"/>
        <w:ind w:firstLine="2835"/>
      </w:pPr>
      <w:r>
        <w:t>Respecto a la autorización conf</w:t>
      </w:r>
      <w:r>
        <w:t>e</w:t>
      </w:r>
      <w:r>
        <w:t>rida a Barreda para colaborar con la pesquisa, el Sr. fiscal e</w:t>
      </w:r>
      <w:r>
        <w:t>n</w:t>
      </w:r>
      <w:r>
        <w:t>tendió que ello no acarrea la nulidad pretendida, en razón de haber sido dispuesta por el juez instructor, sin que pueda advertirse de que manera dicha colabor</w:t>
      </w:r>
      <w:r>
        <w:t>a</w:t>
      </w:r>
      <w:r>
        <w:t>ción conculcó el derecho de d</w:t>
      </w:r>
      <w:r>
        <w:t>e</w:t>
      </w:r>
      <w:r>
        <w:t xml:space="preserve">fensa de Barreda. </w:t>
      </w:r>
    </w:p>
    <w:p w:rsidR="00224567" w:rsidRDefault="00224567">
      <w:pPr>
        <w:widowControl w:val="0"/>
        <w:ind w:firstLine="2835"/>
      </w:pPr>
      <w:r>
        <w:t>En cuanto a la nulidad íntegra de la causa “Brigadas”, el Sr. fiscal entendió que no podía de</w:t>
      </w:r>
      <w:r>
        <w:t>s</w:t>
      </w:r>
      <w:r>
        <w:t>cartarse que Verón, además de los oficios librados a las distintas dependencias, haya realizado similares averigu</w:t>
      </w:r>
      <w:r>
        <w:t>a</w:t>
      </w:r>
      <w:r>
        <w:t>ciones por otros medios; máxime, explicó, cua</w:t>
      </w:r>
      <w:r>
        <w:t>n</w:t>
      </w:r>
      <w:r>
        <w:t xml:space="preserve">do en junio de 1995 –fecha en la que Verón manifiesta tal certeza- se encontraba documentado en el expediente el procedimiento de julio de 1994, realizado por </w:t>
      </w:r>
      <w:smartTag w:uri="urn:schemas-microsoft-com:office:smarttags" w:element="PersonName">
        <w:smartTagPr>
          <w:attr w:name="ProductID" w:val="la Brigada"/>
        </w:smartTagPr>
        <w:r>
          <w:t>la Brigada</w:t>
        </w:r>
      </w:smartTag>
      <w:r>
        <w:t xml:space="preserve"> de Vicente L</w:t>
      </w:r>
      <w:r>
        <w:t>ó</w:t>
      </w:r>
      <w:r>
        <w:t>pez.</w:t>
      </w:r>
    </w:p>
    <w:p w:rsidR="00224567" w:rsidRDefault="00224567">
      <w:pPr>
        <w:widowControl w:val="0"/>
        <w:ind w:firstLine="2835"/>
      </w:pPr>
      <w:r>
        <w:t>Con relación a la supuesta coacción que el magistrado instructor habría ejercido sobre Jorge Horacio Rago, el Sr. fiscal sostuvo que el debate fue i</w:t>
      </w:r>
      <w:r>
        <w:t>n</w:t>
      </w:r>
      <w:r>
        <w:t>suficiente para demostrar aquel extremo, sin pe</w:t>
      </w:r>
      <w:r>
        <w:t>r</w:t>
      </w:r>
      <w:r>
        <w:t>juicio de señalar que tampoco se comprobó que lo volcado en dicha entrevista incidió, de alguna manera, en la obtención de material probat</w:t>
      </w:r>
      <w:r>
        <w:t>o</w:t>
      </w:r>
      <w:r>
        <w:t xml:space="preserve">rio. </w:t>
      </w:r>
    </w:p>
    <w:p w:rsidR="00224567" w:rsidRDefault="00224567">
      <w:pPr>
        <w:widowControl w:val="0"/>
        <w:ind w:firstLine="2835"/>
      </w:pPr>
      <w:r>
        <w:t>A continuación, en uso de su d</w:t>
      </w:r>
      <w:r>
        <w:t>e</w:t>
      </w:r>
      <w:r>
        <w:t>recho a réplica el Sr. fiscal general refirió que, a contr</w:t>
      </w:r>
      <w:r>
        <w:t>a</w:t>
      </w:r>
      <w:r>
        <w:t>rio de lo afirmado por la defensa del imputado Telleldín, la ci</w:t>
      </w:r>
      <w:r>
        <w:t>r</w:t>
      </w:r>
      <w:r>
        <w:t>cunstancia de que no se hayan derrumbado los ba</w:t>
      </w:r>
      <w:r>
        <w:t>l</w:t>
      </w:r>
      <w:r>
        <w:t>cones del edificio sito en Pasteur 632, en modo alguno autor</w:t>
      </w:r>
      <w:r>
        <w:t>i</w:t>
      </w:r>
      <w:r>
        <w:t>zaba a sostener que la explosión no se produjo mediante la util</w:t>
      </w:r>
      <w:r>
        <w:t>i</w:t>
      </w:r>
      <w:r>
        <w:t xml:space="preserve">zación de un cochebomba.  </w:t>
      </w:r>
    </w:p>
    <w:p w:rsidR="00224567" w:rsidRDefault="00224567">
      <w:pPr>
        <w:widowControl w:val="0"/>
        <w:ind w:firstLine="2835"/>
      </w:pPr>
      <w:r>
        <w:t>Asimismo, replicó la afirmación de esa defensa en cuanto a que los investigadores tenían conoc</w:t>
      </w:r>
      <w:r>
        <w:t>i</w:t>
      </w:r>
      <w:r>
        <w:t>miento del domicilio de República 107 con ant</w:t>
      </w:r>
      <w:r>
        <w:t>e</w:t>
      </w:r>
      <w:r>
        <w:t>rioridad al allanamiento de “Alejandro Automotores”, por cuanto, señ</w:t>
      </w:r>
      <w:r>
        <w:t>a</w:t>
      </w:r>
      <w:r>
        <w:t>laron que de dicho allanamiento sólo pudo obtenerse el d</w:t>
      </w:r>
      <w:r>
        <w:t>o</w:t>
      </w:r>
      <w:r>
        <w:t>micilio de Jonas Salk. Al respecto, el Sr. fiscal explicó que de la documentación secue</w:t>
      </w:r>
      <w:r>
        <w:t>s</w:t>
      </w:r>
      <w:r>
        <w:t>trada en dicho procedimiento pudo conseguirse el teléfono de Telleldín, a partir del cual se obtuvo su d</w:t>
      </w:r>
      <w:r>
        <w:t>i</w:t>
      </w:r>
      <w:r>
        <w:t>rección.</w:t>
      </w:r>
    </w:p>
    <w:p w:rsidR="00224567" w:rsidRDefault="00224567">
      <w:pPr>
        <w:widowControl w:val="0"/>
        <w:ind w:firstLine="2835"/>
      </w:pPr>
      <w:r>
        <w:t>También refirió que, conforme los d</w:t>
      </w:r>
      <w:r>
        <w:t>i</w:t>
      </w:r>
      <w:r>
        <w:t>chos de Ana Boragni, en el comercio de Alejandro Monjo p</w:t>
      </w:r>
      <w:r>
        <w:t>o</w:t>
      </w:r>
      <w:r>
        <w:t>seían la dirección y el teléfono de Repúbl</w:t>
      </w:r>
      <w:r>
        <w:t>i</w:t>
      </w:r>
      <w:r>
        <w:t>ca 107.</w:t>
      </w:r>
    </w:p>
    <w:p w:rsidR="00224567" w:rsidRDefault="00224567">
      <w:pPr>
        <w:widowControl w:val="0"/>
        <w:ind w:firstLine="2835"/>
      </w:pPr>
      <w:r>
        <w:t>En cuanto a las críticas efectu</w:t>
      </w:r>
      <w:r>
        <w:t>a</w:t>
      </w:r>
      <w:r>
        <w:t>das al testimonio de Raúl Kollmann, relativas a que su fuente de información era la fiscalía y que éste publicaba aquello que era funcional a los interés de ese ministerio p</w:t>
      </w:r>
      <w:r>
        <w:t>ú</w:t>
      </w:r>
      <w:r>
        <w:t>blico y del juzgado, el Sr. fiscal refirió que, independient</w:t>
      </w:r>
      <w:r>
        <w:t>e</w:t>
      </w:r>
      <w:r>
        <w:t>mente de las fuentes de información que el testigo hubiera tenido, Telleldín se entrevistó en numerosas oc</w:t>
      </w:r>
      <w:r>
        <w:t>a</w:t>
      </w:r>
      <w:r>
        <w:t>siones con aquél.</w:t>
      </w:r>
    </w:p>
    <w:p w:rsidR="00224567" w:rsidRDefault="00224567">
      <w:pPr>
        <w:widowControl w:val="0"/>
        <w:ind w:firstLine="2835"/>
      </w:pPr>
      <w:r>
        <w:t>También consideró inaceptables las aseveraciones brindadas en torno a que su pedido de ind</w:t>
      </w:r>
      <w:r>
        <w:t>a</w:t>
      </w:r>
      <w:r>
        <w:t>gatoria de Ana Boragni, por su presunta participación en el atentado, constituyera una nueva presión sobre Telle</w:t>
      </w:r>
      <w:r>
        <w:t>l</w:t>
      </w:r>
      <w:r>
        <w:t>dín, por cuanto consideró que su solicitud hallaba fund</w:t>
      </w:r>
      <w:r>
        <w:t>a</w:t>
      </w:r>
      <w:r>
        <w:t>mento en los distintos testimonios recibidos en el deb</w:t>
      </w:r>
      <w:r>
        <w:t>a</w:t>
      </w:r>
      <w:r>
        <w:t>te.</w:t>
      </w:r>
    </w:p>
    <w:p w:rsidR="00224567" w:rsidRDefault="00224567">
      <w:pPr>
        <w:widowControl w:val="0"/>
        <w:ind w:firstLine="2835"/>
      </w:pPr>
      <w:r>
        <w:t>En otro orden, señaló que al ratif</w:t>
      </w:r>
      <w:r>
        <w:t>i</w:t>
      </w:r>
      <w:r>
        <w:t>car Carlos Alberto Telleldín, en la primera declaración que brindó en el debate, la versión que aportó el 5 de julio de 1996, respecto de lo acont</w:t>
      </w:r>
      <w:r>
        <w:t>e</w:t>
      </w:r>
      <w:r>
        <w:t>cido el 15 de marzo y el 4 y 5 de abril, entendió que ese tramo de la declaración int</w:t>
      </w:r>
      <w:r>
        <w:t>e</w:t>
      </w:r>
      <w:r>
        <w:t>graba el debate, independizándose de su versión escrita, al existir, a su juicio, una clara y concreta voluntad del imp</w:t>
      </w:r>
      <w:r>
        <w:t>u</w:t>
      </w:r>
      <w:r>
        <w:t xml:space="preserve">tado de incorporarlos.  </w:t>
      </w:r>
    </w:p>
    <w:p w:rsidR="00224567" w:rsidRDefault="00224567">
      <w:pPr>
        <w:widowControl w:val="0"/>
        <w:ind w:firstLine="2835"/>
      </w:pPr>
      <w:r>
        <w:t>Respecto del reforzamiento de los elásticos de la camioneta, el Sr. fiscal sostuvo que la defensa no logró desvirtuar que dicho reforzamiento pudo haber sido utilizado para que el vehículo pudiera mant</w:t>
      </w:r>
      <w:r>
        <w:t>e</w:t>
      </w:r>
      <w:r>
        <w:t>ner su estabilidad, tuviera un mejor andar y, por sobre todo, para evitar una caída de la parte trasera del rodado que, sin incidir en el soporte del peso, hubiera llamado la atención a terc</w:t>
      </w:r>
      <w:r>
        <w:t>e</w:t>
      </w:r>
      <w:r>
        <w:t>ros.</w:t>
      </w:r>
    </w:p>
    <w:p w:rsidR="00224567" w:rsidRDefault="00224567">
      <w:pPr>
        <w:widowControl w:val="0"/>
        <w:ind w:firstLine="2835"/>
      </w:pPr>
      <w:r>
        <w:t>Igualmente, el Sr. fiscal refutó que el 10 de julio de 1994, en República 107, haya ocurrido una venta, toda vez que ello significaba dejar de lado aquellos testimonios que dieron cuenta de la presencia p</w:t>
      </w:r>
      <w:r>
        <w:t>o</w:t>
      </w:r>
      <w:r>
        <w:t>licial en el momento de la entrega de la camioneta</w:t>
      </w:r>
      <w:r>
        <w:rPr>
          <w:b/>
          <w:bCs/>
        </w:rPr>
        <w:t>.</w:t>
      </w:r>
      <w:r>
        <w:t xml:space="preserve">   </w:t>
      </w:r>
    </w:p>
    <w:p w:rsidR="00224567" w:rsidRDefault="00224567">
      <w:pPr>
        <w:widowControl w:val="0"/>
        <w:ind w:firstLine="2835"/>
      </w:pPr>
      <w:r>
        <w:t>También rebatió los argumentos por los cuales la defensa de Ribelli le achacó que la responsab</w:t>
      </w:r>
      <w:r>
        <w:t>i</w:t>
      </w:r>
      <w:r>
        <w:t xml:space="preserve">lidad del nombrado se sustentaba en artículos publicados en “Pagina </w:t>
      </w:r>
      <w:smartTag w:uri="urn:schemas-microsoft-com:office:smarttags" w:element="metricconverter">
        <w:smartTagPr>
          <w:attr w:name="ProductID" w:val="12”"/>
        </w:smartTagPr>
        <w:r>
          <w:t>12”</w:t>
        </w:r>
      </w:smartTag>
      <w:r>
        <w:t>, indicando el Sr. fiscal que para fundame</w:t>
      </w:r>
      <w:r>
        <w:t>n</w:t>
      </w:r>
      <w:r>
        <w:t>tar dicha responsabilidad ese ministerio echó mano a di</w:t>
      </w:r>
      <w:r>
        <w:t>s</w:t>
      </w:r>
      <w:r>
        <w:t>tintos elementos de prueba, entre los que se contaban las manifestaciones de Kollmann relativas a las entrevistas con T</w:t>
      </w:r>
      <w:r>
        <w:t>e</w:t>
      </w:r>
      <w:r>
        <w:t>lleldín.</w:t>
      </w:r>
    </w:p>
    <w:p w:rsidR="00224567" w:rsidRDefault="00224567">
      <w:pPr>
        <w:widowControl w:val="0"/>
        <w:ind w:firstLine="2835"/>
      </w:pPr>
      <w:r>
        <w:t>Asimismo, el acusador refutó lo sost</w:t>
      </w:r>
      <w:r>
        <w:t>e</w:t>
      </w:r>
      <w:r>
        <w:t>nido por la defensa respecto de la instigación al falso testimonio reprochado a Ribelli, por considerar que no existía elemento alguno que permita d</w:t>
      </w:r>
      <w:r>
        <w:t>u</w:t>
      </w:r>
      <w:r>
        <w:t>dar de la veracidad de los dichos del testigo Smurro, como tampoco para afi</w:t>
      </w:r>
      <w:r>
        <w:t>r</w:t>
      </w:r>
      <w:r>
        <w:t>mar que este último hubiera tenido alguna intención de f</w:t>
      </w:r>
      <w:r>
        <w:t>a</w:t>
      </w:r>
      <w:r>
        <w:t>vorecer a Hu</w:t>
      </w:r>
      <w:r>
        <w:t>i</w:t>
      </w:r>
      <w:r>
        <w:t>ci.</w:t>
      </w:r>
    </w:p>
    <w:p w:rsidR="00224567" w:rsidRDefault="00224567">
      <w:pPr>
        <w:widowControl w:val="0"/>
        <w:ind w:firstLine="2835"/>
      </w:pPr>
      <w:r>
        <w:t>Respecto de los testigos Ambrosio y Buján, advirtió que más que su intervención en supuestos delitos lo importante era que ambos negaron conocer a T</w:t>
      </w:r>
      <w:r>
        <w:t>e</w:t>
      </w:r>
      <w:r>
        <w:t>lleldín o a una persona apodada “el Enano”, como también que nunca formularon las manife</w:t>
      </w:r>
      <w:r>
        <w:t>s</w:t>
      </w:r>
      <w:r>
        <w:t xml:space="preserve">taciones que pretendieron adjudicarles. </w:t>
      </w:r>
    </w:p>
    <w:p w:rsidR="00224567" w:rsidRDefault="00224567">
      <w:pPr>
        <w:widowControl w:val="0"/>
        <w:ind w:firstLine="2835"/>
      </w:pPr>
      <w:r>
        <w:t xml:space="preserve">Igualmente, refutó las afirmaciones relativas a que la motocicleta Kawasaki nunca pasó por </w:t>
      </w:r>
      <w:smartTag w:uri="urn:schemas-microsoft-com:office:smarttags" w:element="PersonName">
        <w:smartTagPr>
          <w:attr w:name="ProductID" w:val="la Brigada"/>
        </w:smartTagPr>
        <w:r>
          <w:t>la Brigada</w:t>
        </w:r>
      </w:smartTag>
      <w:r>
        <w:t xml:space="preserve"> de Lanús, considerando inadmis</w:t>
      </w:r>
      <w:r>
        <w:t>i</w:t>
      </w:r>
      <w:r>
        <w:t>ble sostener que la circunstancia de no haber hallado los vehículos Ford Fa</w:t>
      </w:r>
      <w:r>
        <w:t>l</w:t>
      </w:r>
      <w:r>
        <w:t>con y Renault 18, vinculados con la extorsión de abril, convertían la condu</w:t>
      </w:r>
      <w:r>
        <w:t>c</w:t>
      </w:r>
      <w:r>
        <w:t xml:space="preserve">ta endilgada en atípica. </w:t>
      </w:r>
    </w:p>
    <w:p w:rsidR="00224567" w:rsidRDefault="00224567">
      <w:pPr>
        <w:widowControl w:val="0"/>
        <w:ind w:firstLine="2835"/>
      </w:pPr>
      <w:r>
        <w:t>En ese sentido, señaló que quedó pr</w:t>
      </w:r>
      <w:r>
        <w:t>o</w:t>
      </w:r>
      <w:r>
        <w:t>bado que los acusados exigieron y consiguieron la e</w:t>
      </w:r>
      <w:r>
        <w:t>n</w:t>
      </w:r>
      <w:r>
        <w:t>trega de esos bienes para proceder a la libertad de T</w:t>
      </w:r>
      <w:r>
        <w:t>e</w:t>
      </w:r>
      <w:r>
        <w:t>lleldín y Petrucci, consumándose el ilícito al ingresar en su esf</w:t>
      </w:r>
      <w:r>
        <w:t>e</w:t>
      </w:r>
      <w:r>
        <w:t xml:space="preserve">ra de custodia y disponer de ellos. </w:t>
      </w:r>
    </w:p>
    <w:p w:rsidR="00224567" w:rsidRDefault="00224567">
      <w:pPr>
        <w:widowControl w:val="0"/>
        <w:ind w:firstLine="2835"/>
      </w:pPr>
      <w:r>
        <w:t>También señaló que las facultades de investigación del personal policial no fueron objeto de cuestionamiento, toda vez que la conducta motivo de repr</w:t>
      </w:r>
      <w:r>
        <w:t>o</w:t>
      </w:r>
      <w:r>
        <w:t>che consistió en pergeñar y llevar adelante una m</w:t>
      </w:r>
      <w:r>
        <w:t>a</w:t>
      </w:r>
      <w:r>
        <w:t>niobra, aparentemente legal, para consumar una exto</w:t>
      </w:r>
      <w:r>
        <w:t>r</w:t>
      </w:r>
      <w:r>
        <w:t xml:space="preserve">sión. </w:t>
      </w:r>
    </w:p>
    <w:p w:rsidR="00224567" w:rsidRDefault="00224567">
      <w:pPr>
        <w:widowControl w:val="0"/>
        <w:ind w:firstLine="2835"/>
      </w:pPr>
      <w:r>
        <w:t>Negó que la calificación que impetró en su alegato afectara el principio de congruencia, tal como lo sostuvo la defensa de Ribelli, en razón que al no haberse alterado la base fáctica de los hechos por los que se indagó, requirió y acusó al imputado, el encuadre no</w:t>
      </w:r>
      <w:r>
        <w:t>r</w:t>
      </w:r>
      <w:r>
        <w:t>mativo es atribución de los jueces al fallar y de los fi</w:t>
      </w:r>
      <w:r>
        <w:t>s</w:t>
      </w:r>
      <w:r>
        <w:t>cales al acusar.</w:t>
      </w:r>
    </w:p>
    <w:p w:rsidR="00224567" w:rsidRDefault="00224567">
      <w:pPr>
        <w:widowControl w:val="0"/>
        <w:ind w:firstLine="2835"/>
      </w:pPr>
      <w:r>
        <w:t>De igual manera, el representante del Ministerio Público Fiscal calificó de huidiza la actitud de la mencionada defensa respecto de las explicaciones acerca de la escritura que documenta la partición antic</w:t>
      </w:r>
      <w:r>
        <w:t>i</w:t>
      </w:r>
      <w:r>
        <w:t>pada de bienes por USD 2.500.000, perten</w:t>
      </w:r>
      <w:r>
        <w:t>e</w:t>
      </w:r>
      <w:r>
        <w:t>cientes al padre de Ribelli, de la cual su asistido fue uno de los benef</w:t>
      </w:r>
      <w:r>
        <w:t>i</w:t>
      </w:r>
      <w:r>
        <w:t xml:space="preserve">ciarios. </w:t>
      </w:r>
    </w:p>
    <w:p w:rsidR="00224567" w:rsidRDefault="00224567">
      <w:pPr>
        <w:widowControl w:val="0"/>
        <w:ind w:firstLine="2835"/>
      </w:pPr>
      <w:r>
        <w:t>En lo concerniente a lo sostenido por esa defensa en cuanto a que los cruces telefónicos entre Ribelli y Semorile, del 4 y 5 de abril de 1996, no int</w:t>
      </w:r>
      <w:r>
        <w:t>e</w:t>
      </w:r>
      <w:r>
        <w:t>graban el contradictorio por haber sido producidos por el juez instructor con posterioridad a la elevación a ju</w:t>
      </w:r>
      <w:r>
        <w:t>i</w:t>
      </w:r>
      <w:r>
        <w:t>cio, el Sr. fiscal dijo que dicha prueba fue legalmente inco</w:t>
      </w:r>
      <w:r>
        <w:t>r</w:t>
      </w:r>
      <w:r>
        <w:t>porada al debate y que el segundo de los nombrados había sido interrogado ampliamente acerca de tales extr</w:t>
      </w:r>
      <w:r>
        <w:t>e</w:t>
      </w:r>
      <w:r>
        <w:t>mos.</w:t>
      </w:r>
    </w:p>
    <w:p w:rsidR="00224567" w:rsidRDefault="00224567">
      <w:pPr>
        <w:widowControl w:val="0"/>
        <w:ind w:firstLine="2835"/>
      </w:pPr>
      <w:r>
        <w:t>Asimismo, indicó que el planteo rel</w:t>
      </w:r>
      <w:r>
        <w:t>a</w:t>
      </w:r>
      <w:r>
        <w:t>cionado con el producido de las intervenciones dispue</w:t>
      </w:r>
      <w:r>
        <w:t>s</w:t>
      </w:r>
      <w:r>
        <w:t>tas sobre el teléfono de Ribelli devino ab</w:t>
      </w:r>
      <w:r>
        <w:t>s</w:t>
      </w:r>
      <w:r>
        <w:t>tracto, por cuanto el contenido de los casetes se reprodujo en el debate.</w:t>
      </w:r>
    </w:p>
    <w:p w:rsidR="00224567" w:rsidRDefault="00224567">
      <w:pPr>
        <w:widowControl w:val="0"/>
        <w:ind w:firstLine="2835"/>
      </w:pPr>
      <w:r>
        <w:t>También rebatió los argumentos esgr</w:t>
      </w:r>
      <w:r>
        <w:t>i</w:t>
      </w:r>
      <w:r>
        <w:t>midos por la defensa de Raúl Edilio Ibarra, e</w:t>
      </w:r>
      <w:r>
        <w:t>n</w:t>
      </w:r>
      <w:r>
        <w:t>caminados a cuestionar la valoración que ese mini</w:t>
      </w:r>
      <w:r>
        <w:t>s</w:t>
      </w:r>
      <w:r>
        <w:t>terio público había realizado de uno de los videos, señalando el Sr. fiscal que en ningún momento defendió la legalidad de su conten</w:t>
      </w:r>
      <w:r>
        <w:t>i</w:t>
      </w:r>
      <w:r>
        <w:t xml:space="preserve">do. </w:t>
      </w:r>
    </w:p>
    <w:p w:rsidR="00224567" w:rsidRDefault="00224567">
      <w:pPr>
        <w:widowControl w:val="0"/>
        <w:ind w:firstLine="2835"/>
      </w:pPr>
      <w:r>
        <w:t>En otro orden, rechazó los cuestion</w:t>
      </w:r>
      <w:r>
        <w:t>a</w:t>
      </w:r>
      <w:r>
        <w:t>mientos que se formularon a los dichos de Laura Marcela Scillone y Miriam Salinas por sus vínculos con Ana Bora</w:t>
      </w:r>
      <w:r>
        <w:t>g</w:t>
      </w:r>
      <w:r>
        <w:t>ni, en razón de que ambas dieron motivo de sus afirmaci</w:t>
      </w:r>
      <w:r>
        <w:t>o</w:t>
      </w:r>
      <w:r>
        <w:t>nes en el debate.</w:t>
      </w:r>
    </w:p>
    <w:p w:rsidR="00224567" w:rsidRDefault="00224567">
      <w:pPr>
        <w:widowControl w:val="0"/>
        <w:ind w:firstLine="2835"/>
      </w:pPr>
      <w:r>
        <w:t>El Sr. fiscal también criticó las o</w:t>
      </w:r>
      <w:r>
        <w:t>b</w:t>
      </w:r>
      <w:r>
        <w:t>jeciones con que la defensa pretendió restar valor a los testimonios de José Luis Lo Preiato, Sandra Petrucci y A</w:t>
      </w:r>
      <w:r>
        <w:t>l</w:t>
      </w:r>
      <w:r>
        <w:t>fredo Setaro.</w:t>
      </w:r>
    </w:p>
    <w:p w:rsidR="00224567" w:rsidRDefault="00224567">
      <w:pPr>
        <w:widowControl w:val="0"/>
        <w:ind w:firstLine="2835"/>
      </w:pPr>
      <w:r>
        <w:t>Del mismo modo, cuestionó la interpr</w:t>
      </w:r>
      <w:r>
        <w:t>e</w:t>
      </w:r>
      <w:r>
        <w:t>tación que la defensa hizo de lo afirmado en la instru</w:t>
      </w:r>
      <w:r>
        <w:t>c</w:t>
      </w:r>
      <w:r>
        <w:t>ción por el testigo Nicolás Zoilo Dudai, incorporado al debate en razón de su fallecimiento, indicando que el te</w:t>
      </w:r>
      <w:r>
        <w:t>s</w:t>
      </w:r>
      <w:r>
        <w:t>tigo refirió que quince o veinte días antes del atentado observó la presencia de policías en las inmediaciones de República 107 y no, como lo sostuvo la d</w:t>
      </w:r>
      <w:r>
        <w:t>e</w:t>
      </w:r>
      <w:r>
        <w:t>fensa de Ibarra, el 15 de marzo de 1994 o días previos o subsiguientes a éste, con anterioridad a la detención de T</w:t>
      </w:r>
      <w:r>
        <w:t>e</w:t>
      </w:r>
      <w:r>
        <w:t>lleldín.</w:t>
      </w:r>
    </w:p>
    <w:p w:rsidR="00224567" w:rsidRDefault="00224567">
      <w:pPr>
        <w:widowControl w:val="0"/>
        <w:ind w:firstLine="2835"/>
      </w:pPr>
      <w:r>
        <w:t>Respecto a la detención de Hugo P</w:t>
      </w:r>
      <w:r>
        <w:t>é</w:t>
      </w:r>
      <w:r>
        <w:t>rez, el Sr. fiscal señaló que, con independencia de la legit</w:t>
      </w:r>
      <w:r>
        <w:t>i</w:t>
      </w:r>
      <w:r>
        <w:t>midad de dicho procedimiento, resultaba inadmisible que ella se hubiera realizado para encubrir una maniobra e</w:t>
      </w:r>
      <w:r>
        <w:t>x</w:t>
      </w:r>
      <w:r>
        <w:t>torsiva, es decir, con el propósito de que Telleldín pag</w:t>
      </w:r>
      <w:r>
        <w:t>a</w:t>
      </w:r>
      <w:r>
        <w:t xml:space="preserve">ra una deuda pendiente; indicando que, una vez saldada, Pérez recuperó su libertad.    </w:t>
      </w:r>
    </w:p>
    <w:p w:rsidR="00224567" w:rsidRDefault="00224567">
      <w:pPr>
        <w:widowControl w:val="0"/>
        <w:ind w:firstLine="2835"/>
      </w:pPr>
      <w:r>
        <w:t>También explicó que al ser el secue</w:t>
      </w:r>
      <w:r>
        <w:t>s</w:t>
      </w:r>
      <w:r>
        <w:t>tro extorsivo un delito permanente, hasta su cese era vi</w:t>
      </w:r>
      <w:r>
        <w:t>a</w:t>
      </w:r>
      <w:r>
        <w:t>ble cualquier grado de participación; ci</w:t>
      </w:r>
      <w:r>
        <w:t>r</w:t>
      </w:r>
      <w:r>
        <w:t>cunstancia que lo habilitaba para endilgar a Bottegal, en virtud del rol d</w:t>
      </w:r>
      <w:r>
        <w:t>e</w:t>
      </w:r>
      <w:r>
        <w:t>cisivo que tuvo en la negociación, una participación nec</w:t>
      </w:r>
      <w:r>
        <w:t>e</w:t>
      </w:r>
      <w:r>
        <w:t>saria, pese a su falta de conocimiento al momento en que la detención de Pérez se hizo efe</w:t>
      </w:r>
      <w:r>
        <w:t>c</w:t>
      </w:r>
      <w:r>
        <w:t>tiva.</w:t>
      </w:r>
    </w:p>
    <w:p w:rsidR="00224567" w:rsidRDefault="00224567">
      <w:pPr>
        <w:widowControl w:val="0"/>
        <w:ind w:firstLine="2835"/>
      </w:pPr>
      <w:r>
        <w:t>Indicó, también, que en oportun</w:t>
      </w:r>
      <w:r>
        <w:t>i</w:t>
      </w:r>
      <w:r>
        <w:t>dad de su alegato ese ministerio había descripto acabad</w:t>
      </w:r>
      <w:r>
        <w:t>a</w:t>
      </w:r>
      <w:r>
        <w:t>mente la conducta imputada a Bareiro, precisando en que consistió su aporte necesario en el atentado.</w:t>
      </w:r>
    </w:p>
    <w:p w:rsidR="00224567" w:rsidRDefault="00224567">
      <w:pPr>
        <w:widowControl w:val="0"/>
        <w:ind w:firstLine="2835"/>
      </w:pPr>
      <w:r>
        <w:t>Finalmente, el acusador replicó los interrogantes esgrimidos por el Dr. García Dietze para p</w:t>
      </w:r>
      <w:r>
        <w:t>o</w:t>
      </w:r>
      <w:r>
        <w:t>ner en crisis la utilización de un cochebomba como medio comisivo del atentado, refiriendo que dichos argumentos caían frente al hallazgo, en el cuerpo de Díaz, del amo</w:t>
      </w:r>
      <w:r>
        <w:t>r</w:t>
      </w:r>
      <w:r>
        <w:t xml:space="preserve">tiguador de </w:t>
      </w:r>
      <w:smartTag w:uri="urn:schemas-microsoft-com:office:smarttags" w:element="PersonName">
        <w:smartTagPr>
          <w:attr w:name="ProductID" w:val="la Renault Trafic."/>
        </w:smartTagPr>
        <w:r>
          <w:t>la R</w:t>
        </w:r>
        <w:r>
          <w:t>e</w:t>
        </w:r>
        <w:r>
          <w:t>nault Trafic.</w:t>
        </w:r>
      </w:smartTag>
    </w:p>
    <w:p w:rsidR="00224567" w:rsidRDefault="00224567">
      <w:pPr>
        <w:widowControl w:val="0"/>
      </w:pPr>
    </w:p>
    <w:p w:rsidR="00224567" w:rsidRDefault="00224567">
      <w:pPr>
        <w:pStyle w:val="Ttulo3"/>
        <w:widowControl w:val="0"/>
      </w:pPr>
      <w:r>
        <w:t>B) Dúplicas de las defensas.</w:t>
      </w:r>
    </w:p>
    <w:p w:rsidR="00224567" w:rsidRDefault="00224567">
      <w:r>
        <w:rPr>
          <w:b/>
          <w:bCs/>
        </w:rPr>
        <w:tab/>
        <w:t>B.1)</w:t>
      </w:r>
      <w:r>
        <w:t xml:space="preserve"> En la oportunidad prevista en el art. 393, párrafos 4º y 5º, del C.P.P.N., la defensa de Carlos Alberto Telleldín, se expidió sobre el pedido de declaración de inconstitucionalidad del art. 24 del C</w:t>
      </w:r>
      <w:r>
        <w:t>ó</w:t>
      </w:r>
      <w:r>
        <w:t>digo Penal, haciendo reserva de utilizar la vía recu</w:t>
      </w:r>
      <w:r>
        <w:t>r</w:t>
      </w:r>
      <w:r>
        <w:t>siva, por entender que no era el momento procesal adecuado para fu</w:t>
      </w:r>
      <w:r>
        <w:t>n</w:t>
      </w:r>
      <w:r>
        <w:t>damentarlo. Del mismo modo, hizo reserva de recurrir la aplicación de la ley 25.430, solicitada por el fiscal en su alegato.</w:t>
      </w:r>
    </w:p>
    <w:p w:rsidR="00224567" w:rsidRDefault="00224567">
      <w:r>
        <w:tab/>
        <w:t>En otro orden de ideas, consideró que no resultaba  necesario para el ejercicio de la defensa argumentar acerca de los hechos extorsivos de los que T</w:t>
      </w:r>
      <w:r>
        <w:t>e</w:t>
      </w:r>
      <w:r>
        <w:t>lleldín fue víctima. Empero, destacó que a partir de los alegatos de los defensores de Raúl Edilio Ibarra y Juan José Ribelli -que intentaron ejercer su ministerio de</w:t>
      </w:r>
      <w:r>
        <w:t>s</w:t>
      </w:r>
      <w:r>
        <w:t>acreditando los dichos de Telleldín- se veía obligada, a efectos de afianzar la credibilidad de su asistido, a r</w:t>
      </w:r>
      <w:r>
        <w:t>e</w:t>
      </w:r>
      <w:r>
        <w:t>plicar sobre el punto mencionado.</w:t>
      </w:r>
    </w:p>
    <w:p w:rsidR="00224567" w:rsidRDefault="00224567">
      <w:r>
        <w:tab/>
        <w:t>En ese sentido, sostuvo que se inte</w:t>
      </w:r>
      <w:r>
        <w:t>n</w:t>
      </w:r>
      <w:r>
        <w:t>tó afirmar que la e</w:t>
      </w:r>
      <w:r>
        <w:t>x</w:t>
      </w:r>
      <w:r>
        <w:t xml:space="preserve">torsión producida por </w:t>
      </w:r>
      <w:smartTag w:uri="urn:schemas-microsoft-com:office:smarttags" w:element="PersonName">
        <w:smartTagPr>
          <w:attr w:name="ProductID" w:val="la Brigada"/>
        </w:smartTagPr>
        <w:r>
          <w:t>la Brigada</w:t>
        </w:r>
      </w:smartTag>
      <w:r>
        <w:t xml:space="preserve"> de Lanús no fue más que una fábula del propio T</w:t>
      </w:r>
      <w:r>
        <w:t>e</w:t>
      </w:r>
      <w:r>
        <w:t>lleldín y del juez Galeano.</w:t>
      </w:r>
    </w:p>
    <w:p w:rsidR="00224567" w:rsidRDefault="00224567">
      <w:r>
        <w:tab/>
        <w:t>Señaló que las partes acusadoras ind</w:t>
      </w:r>
      <w:r>
        <w:t>i</w:t>
      </w:r>
      <w:r>
        <w:t>caron que T</w:t>
      </w:r>
      <w:r>
        <w:t>e</w:t>
      </w:r>
      <w:r>
        <w:t xml:space="preserve">lleldín y los miembros de </w:t>
      </w:r>
      <w:smartTag w:uri="urn:schemas-microsoft-com:office:smarttags" w:element="PersonName">
        <w:smartTagPr>
          <w:attr w:name="ProductID" w:val="la Brigada"/>
        </w:smartTagPr>
        <w:r>
          <w:t>la Brigada</w:t>
        </w:r>
      </w:smartTag>
      <w:r>
        <w:t xml:space="preserve"> de Lanús mantuvieron un silencioso encubrimiento, que buscó la re</w:t>
      </w:r>
      <w:r>
        <w:t>a</w:t>
      </w:r>
      <w:r>
        <w:t>liz</w:t>
      </w:r>
      <w:r>
        <w:t>a</w:t>
      </w:r>
      <w:r>
        <w:t xml:space="preserve">ción del atentado a la sede de </w:t>
      </w:r>
      <w:smartTag w:uri="urn:schemas-microsoft-com:office:smarttags" w:element="PersonName">
        <w:smartTagPr>
          <w:attr w:name="ProductID" w:val="la A.M"/>
        </w:smartTagPr>
        <w:r>
          <w:t>la A.M</w:t>
        </w:r>
      </w:smartTag>
      <w:r>
        <w:t>.I.A. Por último, remarcó que se dijo que resultaba falso que su cliente h</w:t>
      </w:r>
      <w:r>
        <w:t>a</w:t>
      </w:r>
      <w:r>
        <w:t>bía denunciado los hechos extorsivos en su primer declar</w:t>
      </w:r>
      <w:r>
        <w:t>a</w:t>
      </w:r>
      <w:r>
        <w:t>ción indagat</w:t>
      </w:r>
      <w:r>
        <w:t>o</w:t>
      </w:r>
      <w:r>
        <w:t>ria.</w:t>
      </w:r>
    </w:p>
    <w:p w:rsidR="00224567" w:rsidRDefault="00224567">
      <w:r>
        <w:tab/>
        <w:t>Al respecto, argumentó que si bien el juez instructor cometió una innumerable cantidad de del</w:t>
      </w:r>
      <w:r>
        <w:t>i</w:t>
      </w:r>
      <w:r>
        <w:t>tos, no por ello debía adjudicársele la invención de los hechos extorsivos que, a juicio de la defensa, fueron pr</w:t>
      </w:r>
      <w:r>
        <w:t>o</w:t>
      </w:r>
      <w:r>
        <w:t>bados conforme lo expuesto en el alegato del fi</w:t>
      </w:r>
      <w:r>
        <w:t>s</w:t>
      </w:r>
      <w:r>
        <w:t>cal.</w:t>
      </w:r>
    </w:p>
    <w:p w:rsidR="00224567" w:rsidRDefault="00224567">
      <w:r>
        <w:tab/>
        <w:t>Puntualizó que los relatos vertidos por Telleldín en las notas periodísticas -utilizadas por los acusadores “como la vía indepe</w:t>
      </w:r>
      <w:r>
        <w:t>n</w:t>
      </w:r>
      <w:r>
        <w:t>diente de esta causa”- tuvieron como objet</w:t>
      </w:r>
      <w:r>
        <w:t>i</w:t>
      </w:r>
      <w:r>
        <w:t>vo poner de manifiesto los delitos que el juez ocultaba, entre ellos, el hecho e</w:t>
      </w:r>
      <w:r>
        <w:t>x</w:t>
      </w:r>
      <w:r>
        <w:t xml:space="preserve">torsivo llevado a cabo por </w:t>
      </w:r>
      <w:smartTag w:uri="urn:schemas-microsoft-com:office:smarttags" w:element="PersonName">
        <w:smartTagPr>
          <w:attr w:name="ProductID" w:val="la Brigada"/>
        </w:smartTagPr>
        <w:r>
          <w:t>la Br</w:t>
        </w:r>
        <w:r>
          <w:t>i</w:t>
        </w:r>
        <w:r>
          <w:t>gada</w:t>
        </w:r>
      </w:smartTag>
      <w:r>
        <w:t xml:space="preserve"> de Lanús.</w:t>
      </w:r>
    </w:p>
    <w:p w:rsidR="00224567" w:rsidRDefault="00224567">
      <w:r>
        <w:tab/>
        <w:t>En ese orden de ideas, afirmó que la prueba más fehaciente fue la recusación que Telleldín realizó contra el juez Galeano en junio de 1995; trámite del que su</w:t>
      </w:r>
      <w:r>
        <w:t>r</w:t>
      </w:r>
      <w:r>
        <w:t>gía un acta de la cámara federal, según la cual su asistido solicitó la ampliación de la declaración de Sandra Petrucci, toda vez que el juez instructor no la i</w:t>
      </w:r>
      <w:r>
        <w:t>n</w:t>
      </w:r>
      <w:r>
        <w:t>te</w:t>
      </w:r>
      <w:r>
        <w:t>r</w:t>
      </w:r>
      <w:r>
        <w:t>rogó por el hecho del 4 de abril de 1994.</w:t>
      </w:r>
    </w:p>
    <w:p w:rsidR="00224567" w:rsidRDefault="00224567">
      <w:r>
        <w:tab/>
        <w:t>Consideró que ello demostraba la fa</w:t>
      </w:r>
      <w:r>
        <w:t>l</w:t>
      </w:r>
      <w:r>
        <w:t>sedad de la afirm</w:t>
      </w:r>
      <w:r>
        <w:t>a</w:t>
      </w:r>
      <w:r>
        <w:t>ción realizada por la querella D.A.I.A., A.M.I.A. y “Grupo de Familiares” en cuanto a que Telleldín le habría solicitado a Petrucci que om</w:t>
      </w:r>
      <w:r>
        <w:t>i</w:t>
      </w:r>
      <w:r>
        <w:t>tiera, en su primer declaración, cualquier ref</w:t>
      </w:r>
      <w:r>
        <w:t>e</w:t>
      </w:r>
      <w:r>
        <w:t xml:space="preserve">rencia al episodio ocurrido con </w:t>
      </w:r>
      <w:smartTag w:uri="urn:schemas-microsoft-com:office:smarttags" w:element="PersonName">
        <w:smartTagPr>
          <w:attr w:name="ProductID" w:val="la Brigada"/>
        </w:smartTagPr>
        <w:r>
          <w:t>la Brigada</w:t>
        </w:r>
      </w:smartTag>
      <w:r>
        <w:t xml:space="preserve"> de Lanús, y lo inferido por la defensa de Rib</w:t>
      </w:r>
      <w:r>
        <w:t>e</w:t>
      </w:r>
      <w:r>
        <w:t>lli en cuanto a que el motivo del silencio de Petrucci s</w:t>
      </w:r>
      <w:r>
        <w:t>o</w:t>
      </w:r>
      <w:r>
        <w:t>bre la e</w:t>
      </w:r>
      <w:r>
        <w:t>x</w:t>
      </w:r>
      <w:r>
        <w:t>torsión radicó en que el suceso nunca existió.</w:t>
      </w:r>
    </w:p>
    <w:p w:rsidR="00224567" w:rsidRDefault="00224567">
      <w:r>
        <w:tab/>
        <w:t>Por ello, refirió que la omisión de Petrucci debió bu</w:t>
      </w:r>
      <w:r>
        <w:t>s</w:t>
      </w:r>
      <w:r>
        <w:t>carse en la actitud encubridora que tuvo el juez, ocultando el hecho “hasta que le fue fu</w:t>
      </w:r>
      <w:r>
        <w:t>n</w:t>
      </w:r>
      <w:r>
        <w:t>cional al plan tr</w:t>
      </w:r>
      <w:r>
        <w:t>a</w:t>
      </w:r>
      <w:r>
        <w:t>zado”.</w:t>
      </w:r>
    </w:p>
    <w:p w:rsidR="00224567" w:rsidRDefault="00224567">
      <w:r>
        <w:tab/>
        <w:t>Agregó que resultaban ilustrat</w:t>
      </w:r>
      <w:r>
        <w:t>i</w:t>
      </w:r>
      <w:r>
        <w:t>vas de su razonamiento las conversaciones entre Telleldín y P</w:t>
      </w:r>
      <w:r>
        <w:t>e</w:t>
      </w:r>
      <w:r>
        <w:t>trucci, obtenidas a partir de la intervención telefónica de la l</w:t>
      </w:r>
      <w:r>
        <w:t>í</w:t>
      </w:r>
      <w:r>
        <w:t>nea de la nombrada.</w:t>
      </w:r>
    </w:p>
    <w:p w:rsidR="00224567" w:rsidRDefault="00224567">
      <w:r>
        <w:tab/>
        <w:t>Recordó que el mismo día en que T</w:t>
      </w:r>
      <w:r>
        <w:t>e</w:t>
      </w:r>
      <w:r>
        <w:t>lleldín recusó al juez instructor, se inició la causa “Brigadas”, p</w:t>
      </w:r>
      <w:r>
        <w:t>a</w:t>
      </w:r>
      <w:r>
        <w:t>reciéndole sorprendente que esa causa “haya tenido dos formularios de iniciación; uno en el que consta T</w:t>
      </w:r>
      <w:r>
        <w:t>e</w:t>
      </w:r>
      <w:r>
        <w:t>lleldín como denunciante y, otro en el que se consigna a Bretschneider como tal”.</w:t>
      </w:r>
    </w:p>
    <w:p w:rsidR="00224567" w:rsidRDefault="00224567">
      <w:r>
        <w:tab/>
        <w:t>Señaló que las querellas, en su afán de conocer la razón de tal actuación judicial, antes de pedirle explicaciones al imputado, d</w:t>
      </w:r>
      <w:r>
        <w:t>e</w:t>
      </w:r>
      <w:r>
        <w:t>bieron interrogar al propio juez y a los Dres. Beraja y Dobniewski, o hacer uso de sus facultades como qu</w:t>
      </w:r>
      <w:r>
        <w:t>e</w:t>
      </w:r>
      <w:r>
        <w:t xml:space="preserve">rellantes en la causa nº 9789 de </w:t>
      </w:r>
      <w:smartTag w:uri="urn:schemas-microsoft-com:office:smarttags" w:element="PersonName">
        <w:smartTagPr>
          <w:attr w:name="ProductID" w:val="la Secretar￭a"/>
        </w:smartTagPr>
        <w:r>
          <w:t>la Secretaría</w:t>
        </w:r>
      </w:smartTag>
      <w:r>
        <w:t xml:space="preserve"> nº 22 del Juzgado Federal nº 11. Ello, sin perjuicio de acusarlos de “ser absolutamente contemplat</w:t>
      </w:r>
      <w:r>
        <w:t>i</w:t>
      </w:r>
      <w:r>
        <w:t>vos con el magistrado y funcional al plan que seguro con</w:t>
      </w:r>
      <w:r>
        <w:t>o</w:t>
      </w:r>
      <w:r>
        <w:t>cían”.</w:t>
      </w:r>
    </w:p>
    <w:p w:rsidR="00224567" w:rsidRDefault="00224567">
      <w:r>
        <w:tab/>
        <w:t>Por otro lado, afirmó que la defensa de Ibarra pretendió probar, a pesar de la contundente prueba de cargo, que los hechos extorsivos cometidos el 15 de marzo y 4 de abril de 1994 no sucedieron, ce</w:t>
      </w:r>
      <w:r>
        <w:t>n</w:t>
      </w:r>
      <w:r>
        <w:t>trando su alegato en ataques e insultos personales a Telleldín, a su núcleo familiar y a quienes fueron protagonistas y víct</w:t>
      </w:r>
      <w:r>
        <w:t>i</w:t>
      </w:r>
      <w:r>
        <w:t>mas de esos s</w:t>
      </w:r>
      <w:r>
        <w:t>u</w:t>
      </w:r>
      <w:r>
        <w:t>cesos.</w:t>
      </w:r>
    </w:p>
    <w:p w:rsidR="00224567" w:rsidRDefault="00224567">
      <w:pPr>
        <w:widowControl w:val="0"/>
        <w:tabs>
          <w:tab w:val="left" w:pos="2835"/>
        </w:tabs>
      </w:pPr>
      <w:r>
        <w:tab/>
        <w:t>Recordó que se dijo que Sandra Petru</w:t>
      </w:r>
      <w:r>
        <w:t>c</w:t>
      </w:r>
      <w:r>
        <w:t>ci -quién padeció la privación ilegal de libertad por pa</w:t>
      </w:r>
      <w:r>
        <w:t>r</w:t>
      </w:r>
      <w:r>
        <w:t>te de funcionarios policiales- era una deli</w:t>
      </w:r>
      <w:r>
        <w:t>n</w:t>
      </w:r>
      <w:r>
        <w:t>cuente, mismo calificativo con el que se tildó al fl</w:t>
      </w:r>
      <w:r>
        <w:t>e</w:t>
      </w:r>
      <w:r>
        <w:t>tero Oscar Setaro. También se lo acusó a A</w:t>
      </w:r>
      <w:r>
        <w:t>l</w:t>
      </w:r>
      <w:r>
        <w:t>berto Fabián Spagnuolo por el sólo hecho de trabajar con Semorile.</w:t>
      </w:r>
    </w:p>
    <w:p w:rsidR="00224567" w:rsidRDefault="00224567">
      <w:pPr>
        <w:widowControl w:val="0"/>
        <w:tabs>
          <w:tab w:val="left" w:pos="2835"/>
        </w:tabs>
      </w:pPr>
      <w:r>
        <w:tab/>
        <w:t>Empero, refirió que la estrategia planteada no lograba desvirtuar las vivencias personales relatadas por las víctimas o testigos de esos hechos.</w:t>
      </w:r>
    </w:p>
    <w:p w:rsidR="00224567" w:rsidRDefault="00224567">
      <w:pPr>
        <w:widowControl w:val="0"/>
        <w:tabs>
          <w:tab w:val="left" w:pos="2835"/>
        </w:tabs>
      </w:pPr>
      <w:r>
        <w:tab/>
        <w:t>Sin perjuicio de resultarle insuf</w:t>
      </w:r>
      <w:r>
        <w:t>i</w:t>
      </w:r>
      <w:r>
        <w:t>cientes las críticas esbozadas por la defensa de Ibarra, sostuvo que aún prescindiendo de la prueba testimonial cuestionada, las extorsiones se encontraban probadas “en las actitudes inexplicables de los funcionarios interv</w:t>
      </w:r>
      <w:r>
        <w:t>i</w:t>
      </w:r>
      <w:r>
        <w:t>nientes en la causa de Qui</w:t>
      </w:r>
      <w:r>
        <w:t>l</w:t>
      </w:r>
      <w:r>
        <w:t>mes”.</w:t>
      </w:r>
    </w:p>
    <w:p w:rsidR="00224567" w:rsidRDefault="00224567">
      <w:pPr>
        <w:pStyle w:val="Textoindependiente3"/>
        <w:widowControl w:val="0"/>
        <w:tabs>
          <w:tab w:val="left" w:pos="2835"/>
        </w:tabs>
        <w:rPr>
          <w:rFonts w:ascii="Courier New" w:hAnsi="Courier New" w:cs="Courier New"/>
          <w:b w:val="0"/>
          <w:bCs/>
          <w:sz w:val="24"/>
        </w:rPr>
      </w:pPr>
      <w:r>
        <w:tab/>
      </w:r>
      <w:r>
        <w:rPr>
          <w:rFonts w:ascii="Courier New" w:hAnsi="Courier New" w:cs="Courier New"/>
          <w:b w:val="0"/>
          <w:bCs/>
          <w:sz w:val="24"/>
        </w:rPr>
        <w:t>Al respecto, la asistencia técn</w:t>
      </w:r>
      <w:r>
        <w:rPr>
          <w:rFonts w:ascii="Courier New" w:hAnsi="Courier New" w:cs="Courier New"/>
          <w:b w:val="0"/>
          <w:bCs/>
          <w:sz w:val="24"/>
        </w:rPr>
        <w:t>i</w:t>
      </w:r>
      <w:r>
        <w:rPr>
          <w:rFonts w:ascii="Courier New" w:hAnsi="Courier New" w:cs="Courier New"/>
          <w:b w:val="0"/>
          <w:bCs/>
          <w:sz w:val="24"/>
        </w:rPr>
        <w:t>ca de Telleldín mencionó que, aún cuando Bautista Alberto Huici reconoció la falsedad de su declaración referida a los presuntos dichos de Carlos Buján en el marco de la causa nº 5681 del Juzgado en lo Criminal y Correccional nº 5, del Departamento Jud</w:t>
      </w:r>
      <w:r>
        <w:rPr>
          <w:rFonts w:ascii="Courier New" w:hAnsi="Courier New" w:cs="Courier New"/>
          <w:b w:val="0"/>
          <w:bCs/>
          <w:sz w:val="24"/>
        </w:rPr>
        <w:t>i</w:t>
      </w:r>
      <w:r>
        <w:rPr>
          <w:rFonts w:ascii="Courier New" w:hAnsi="Courier New" w:cs="Courier New"/>
          <w:b w:val="0"/>
          <w:bCs/>
          <w:sz w:val="24"/>
        </w:rPr>
        <w:t>cial de Quilmes, se intentó demostrar que eran cie</w:t>
      </w:r>
      <w:r>
        <w:rPr>
          <w:rFonts w:ascii="Courier New" w:hAnsi="Courier New" w:cs="Courier New"/>
          <w:b w:val="0"/>
          <w:bCs/>
          <w:sz w:val="24"/>
        </w:rPr>
        <w:t>r</w:t>
      </w:r>
      <w:r>
        <w:rPr>
          <w:rFonts w:ascii="Courier New" w:hAnsi="Courier New" w:cs="Courier New"/>
          <w:b w:val="0"/>
          <w:bCs/>
          <w:sz w:val="24"/>
        </w:rPr>
        <w:t>tos.</w:t>
      </w:r>
    </w:p>
    <w:p w:rsidR="00224567" w:rsidRDefault="00224567">
      <w:pPr>
        <w:widowControl w:val="0"/>
        <w:tabs>
          <w:tab w:val="left" w:pos="2835"/>
        </w:tabs>
      </w:pPr>
      <w:r>
        <w:tab/>
        <w:t>Consideró la defensa que del an</w:t>
      </w:r>
      <w:r>
        <w:t>á</w:t>
      </w:r>
      <w:r>
        <w:t>lisis de las actuaciones referidas surgían una serie de interr</w:t>
      </w:r>
      <w:r>
        <w:t>o</w:t>
      </w:r>
      <w:r>
        <w:t>gantes que llevaban a la conclusión de que Huici había mentido en su testimonio, a la vez falsamente fechado el 14 de marzo de 1994.</w:t>
      </w:r>
    </w:p>
    <w:p w:rsidR="00224567" w:rsidRDefault="00224567">
      <w:pPr>
        <w:widowControl w:val="0"/>
        <w:tabs>
          <w:tab w:val="left" w:pos="2835"/>
        </w:tabs>
      </w:pPr>
      <w:r>
        <w:tab/>
        <w:t>Así, se preguntó cuál fue el motivo que llevó a los funcionarios policiales a no dar interve</w:t>
      </w:r>
      <w:r>
        <w:t>n</w:t>
      </w:r>
      <w:r>
        <w:t>ción al juez competente una vez que recibieron la inform</w:t>
      </w:r>
      <w:r>
        <w:t>a</w:t>
      </w:r>
      <w:r>
        <w:t>ción por parte de Buján.</w:t>
      </w:r>
    </w:p>
    <w:p w:rsidR="00224567" w:rsidRDefault="00224567">
      <w:pPr>
        <w:pStyle w:val="Textoindependiente3"/>
        <w:widowControl w:val="0"/>
        <w:tabs>
          <w:tab w:val="left" w:pos="2835"/>
        </w:tabs>
        <w:rPr>
          <w:rFonts w:ascii="Courier New" w:hAnsi="Courier New" w:cs="Courier New"/>
          <w:b w:val="0"/>
          <w:bCs/>
          <w:sz w:val="24"/>
        </w:rPr>
      </w:pPr>
      <w:r>
        <w:tab/>
      </w:r>
      <w:r>
        <w:rPr>
          <w:rFonts w:ascii="Courier New" w:hAnsi="Courier New" w:cs="Courier New"/>
          <w:b w:val="0"/>
          <w:bCs/>
          <w:sz w:val="24"/>
        </w:rPr>
        <w:t>A su vez, le resultó incomprensible que el personal policial hubiera podido identificar a su asistido como “el Enano" de zona norte, cuando éste nunca se bajó de su automóvil el 15 de marzo de 1994. Tampoco se explicó por qué se lo intentó detener mientras se enco</w:t>
      </w:r>
      <w:r>
        <w:rPr>
          <w:rFonts w:ascii="Courier New" w:hAnsi="Courier New" w:cs="Courier New"/>
          <w:b w:val="0"/>
          <w:bCs/>
          <w:sz w:val="24"/>
        </w:rPr>
        <w:t>n</w:t>
      </w:r>
      <w:r>
        <w:rPr>
          <w:rFonts w:ascii="Courier New" w:hAnsi="Courier New" w:cs="Courier New"/>
          <w:b w:val="0"/>
          <w:bCs/>
          <w:sz w:val="24"/>
        </w:rPr>
        <w:t>traba en su vehículo, cuando en realidad buscaban una pe</w:t>
      </w:r>
      <w:r>
        <w:rPr>
          <w:rFonts w:ascii="Courier New" w:hAnsi="Courier New" w:cs="Courier New"/>
          <w:b w:val="0"/>
          <w:bCs/>
          <w:sz w:val="24"/>
        </w:rPr>
        <w:t>r</w:t>
      </w:r>
      <w:r>
        <w:rPr>
          <w:rFonts w:ascii="Courier New" w:hAnsi="Courier New" w:cs="Courier New"/>
          <w:b w:val="0"/>
          <w:bCs/>
          <w:sz w:val="24"/>
        </w:rPr>
        <w:t>sona que frecuentaría el restaurante “El Barril”, de la localidad de Olivos.</w:t>
      </w:r>
    </w:p>
    <w:p w:rsidR="00224567" w:rsidRDefault="00224567">
      <w:pPr>
        <w:pStyle w:val="Textoindependiente3"/>
        <w:widowControl w:val="0"/>
        <w:tabs>
          <w:tab w:val="left" w:pos="2835"/>
        </w:tabs>
        <w:rPr>
          <w:rFonts w:ascii="Courier New" w:hAnsi="Courier New" w:cs="Courier New"/>
          <w:b w:val="0"/>
          <w:bCs/>
          <w:sz w:val="24"/>
        </w:rPr>
      </w:pPr>
      <w:r>
        <w:rPr>
          <w:rFonts w:ascii="Courier New" w:hAnsi="Courier New" w:cs="Courier New"/>
          <w:b w:val="0"/>
          <w:bCs/>
          <w:sz w:val="24"/>
        </w:rPr>
        <w:tab/>
        <w:t>Se interrogó por qué, tras el fracaso de la detención, los policías no solicitaron una orden de arresto contra el ya identificado Telleldín, el allan</w:t>
      </w:r>
      <w:r>
        <w:rPr>
          <w:rFonts w:ascii="Courier New" w:hAnsi="Courier New" w:cs="Courier New"/>
          <w:b w:val="0"/>
          <w:bCs/>
          <w:sz w:val="24"/>
        </w:rPr>
        <w:t>a</w:t>
      </w:r>
      <w:r>
        <w:rPr>
          <w:rFonts w:ascii="Courier New" w:hAnsi="Courier New" w:cs="Courier New"/>
          <w:b w:val="0"/>
          <w:bCs/>
          <w:sz w:val="24"/>
        </w:rPr>
        <w:t>miento de su domicilio o bien por qué no se registró el número de patente de su vehículo para solicitar el secue</w:t>
      </w:r>
      <w:r>
        <w:rPr>
          <w:rFonts w:ascii="Courier New" w:hAnsi="Courier New" w:cs="Courier New"/>
          <w:b w:val="0"/>
          <w:bCs/>
          <w:sz w:val="24"/>
        </w:rPr>
        <w:t>s</w:t>
      </w:r>
      <w:r>
        <w:rPr>
          <w:rFonts w:ascii="Courier New" w:hAnsi="Courier New" w:cs="Courier New"/>
          <w:b w:val="0"/>
          <w:bCs/>
          <w:sz w:val="24"/>
        </w:rPr>
        <w:t>tro y la detención de su ocupante vía radial. Mas aún, cuando luego del 15 de marzo su asistido no sólo era un sospechoso en la causa nº 5681, sino que también había c</w:t>
      </w:r>
      <w:r>
        <w:rPr>
          <w:rFonts w:ascii="Courier New" w:hAnsi="Courier New" w:cs="Courier New"/>
          <w:b w:val="0"/>
          <w:bCs/>
          <w:sz w:val="24"/>
        </w:rPr>
        <w:t>o</w:t>
      </w:r>
      <w:r>
        <w:rPr>
          <w:rFonts w:ascii="Courier New" w:hAnsi="Courier New" w:cs="Courier New"/>
          <w:b w:val="0"/>
          <w:bCs/>
          <w:sz w:val="24"/>
        </w:rPr>
        <w:t>metido el delito de resistencia a la autoridad.</w:t>
      </w:r>
    </w:p>
    <w:p w:rsidR="00224567" w:rsidRDefault="00224567">
      <w:pPr>
        <w:widowControl w:val="0"/>
        <w:tabs>
          <w:tab w:val="left" w:pos="2835"/>
        </w:tabs>
      </w:pPr>
      <w:r>
        <w:tab/>
        <w:t>En definitiva, cuestionó el hecho de que no se ordenó legalmente la detención de T</w:t>
      </w:r>
      <w:r>
        <w:t>e</w:t>
      </w:r>
      <w:r>
        <w:t>lleldín, ni se realizó diligencia alguna a tales efectos.</w:t>
      </w:r>
    </w:p>
    <w:p w:rsidR="00224567" w:rsidRDefault="00224567">
      <w:pPr>
        <w:widowControl w:val="0"/>
        <w:tabs>
          <w:tab w:val="left" w:pos="2835"/>
        </w:tabs>
      </w:pPr>
      <w:r>
        <w:tab/>
        <w:t>Advirtió la asistencia técnica de T</w:t>
      </w:r>
      <w:r>
        <w:t>e</w:t>
      </w:r>
      <w:r>
        <w:t>lleldín, que luego de todo ello, sólo ante un supuesto anónimo, los funcionarios policiales fueron a buscar a su defendido a la localidad de Tortuguitas; dato que les r</w:t>
      </w:r>
      <w:r>
        <w:t>e</w:t>
      </w:r>
      <w:r>
        <w:t>sultaba de imposible conocimiento, salvo que les hubiera sido aportado por Gustavo A</w:t>
      </w:r>
      <w:r>
        <w:t>l</w:t>
      </w:r>
      <w:r>
        <w:t>berto Semorile, circunstancia que, a juicio de la defensa, se encontraba probada. Al efecto, recordó que Semorile tenía una quinta en aquella localidad y, casualmente, era socio del mismo video club en el que Telleldín fue privado de su libertad.</w:t>
      </w:r>
    </w:p>
    <w:p w:rsidR="00224567" w:rsidRDefault="00224567">
      <w:pPr>
        <w:widowControl w:val="0"/>
        <w:tabs>
          <w:tab w:val="left" w:pos="2835"/>
        </w:tabs>
      </w:pPr>
      <w:r>
        <w:tab/>
        <w:t>Posteriormente, señaló que las dete</w:t>
      </w:r>
      <w:r>
        <w:t>n</w:t>
      </w:r>
      <w:r>
        <w:t xml:space="preserve">ciones de Telleldín y Petrucci, y su ingreso a </w:t>
      </w:r>
      <w:smartTag w:uri="urn:schemas-microsoft-com:office:smarttags" w:element="PersonName">
        <w:smartTagPr>
          <w:attr w:name="ProductID" w:val="la Brigada"/>
        </w:smartTagPr>
        <w:r>
          <w:t>la Br</w:t>
        </w:r>
        <w:r>
          <w:t>i</w:t>
        </w:r>
        <w:r>
          <w:t>gada</w:t>
        </w:r>
      </w:smartTag>
      <w:r>
        <w:t xml:space="preserve"> de Lanús por averiguación de antecede</w:t>
      </w:r>
      <w:r>
        <w:t>n</w:t>
      </w:r>
      <w:r>
        <w:t>tes resultó absurdo.</w:t>
      </w:r>
    </w:p>
    <w:p w:rsidR="00224567" w:rsidRDefault="00224567">
      <w:pPr>
        <w:widowControl w:val="0"/>
        <w:tabs>
          <w:tab w:val="left" w:pos="2835"/>
        </w:tabs>
      </w:pPr>
      <w:r>
        <w:tab/>
        <w:t>Al respecto, argumentó que las dete</w:t>
      </w:r>
      <w:r>
        <w:t>n</w:t>
      </w:r>
      <w:r>
        <w:t>ciones en función de la ley 23.950 resultan absolut</w:t>
      </w:r>
      <w:r>
        <w:t>a</w:t>
      </w:r>
      <w:r>
        <w:t>mente ocasionales, no pudiendo de ninguna manera estar relaci</w:t>
      </w:r>
      <w:r>
        <w:t>o</w:t>
      </w:r>
      <w:r>
        <w:t>nadas con tareas de inteligencia previas o con supuestas declaraciones testimoniales incriminantes en una invest</w:t>
      </w:r>
      <w:r>
        <w:t>i</w:t>
      </w:r>
      <w:r>
        <w:t>gación. Asimismo, dest</w:t>
      </w:r>
      <w:r>
        <w:t>a</w:t>
      </w:r>
      <w:r>
        <w:t xml:space="preserve">có que en este caso el  personal de </w:t>
      </w:r>
      <w:smartTag w:uri="urn:schemas-microsoft-com:office:smarttags" w:element="PersonName">
        <w:smartTagPr>
          <w:attr w:name="ProductID" w:val="la Brigada"/>
        </w:smartTagPr>
        <w:r>
          <w:t>la Brigada</w:t>
        </w:r>
      </w:smartTag>
      <w:r>
        <w:t xml:space="preserve"> de Lanús se dirigió a una jurisdicción ajena para detener a dos personas por averiguación de antecede</w:t>
      </w:r>
      <w:r>
        <w:t>n</w:t>
      </w:r>
      <w:r>
        <w:t>tes.</w:t>
      </w:r>
    </w:p>
    <w:p w:rsidR="00224567" w:rsidRDefault="00224567">
      <w:pPr>
        <w:widowControl w:val="0"/>
        <w:tabs>
          <w:tab w:val="left" w:pos="2835"/>
        </w:tabs>
      </w:pPr>
      <w:r>
        <w:tab/>
        <w:t>Conjeturó que por encontrarse prese</w:t>
      </w:r>
      <w:r>
        <w:t>n</w:t>
      </w:r>
      <w:r>
        <w:t>te Ibarra en el hecho ocurrido el 15 de marzo de 1994, nec</w:t>
      </w:r>
      <w:r>
        <w:t>e</w:t>
      </w:r>
      <w:r>
        <w:t>sariamente debió reconocer a Telleldín el 4 de abril del mismo año en la localidad de Tortuguitas; más aún si h</w:t>
      </w:r>
      <w:r>
        <w:t>a</w:t>
      </w:r>
      <w:r>
        <w:t>bían realizado tareas de inteligencia previas para aver</w:t>
      </w:r>
      <w:r>
        <w:t>i</w:t>
      </w:r>
      <w:r>
        <w:t>guar la identidad del nombrado.</w:t>
      </w:r>
    </w:p>
    <w:p w:rsidR="00224567" w:rsidRDefault="00224567">
      <w:pPr>
        <w:widowControl w:val="0"/>
        <w:tabs>
          <w:tab w:val="left" w:pos="2835"/>
        </w:tabs>
      </w:pPr>
      <w:r>
        <w:tab/>
        <w:t>Asimismo, la defensa se preguntó por qué fueron solicitados los antecedentes nomin</w:t>
      </w:r>
      <w:r>
        <w:t>a</w:t>
      </w:r>
      <w:r>
        <w:t>tivamente de una persona de apellido “Teccedin”, si los funcionarios policiales sabían que “el Enano” de zona norte se apell</w:t>
      </w:r>
      <w:r>
        <w:t>i</w:t>
      </w:r>
      <w:r>
        <w:t>daba Telleldín.</w:t>
      </w:r>
    </w:p>
    <w:p w:rsidR="00224567" w:rsidRDefault="00224567">
      <w:pPr>
        <w:widowControl w:val="0"/>
        <w:tabs>
          <w:tab w:val="left" w:pos="2835"/>
        </w:tabs>
      </w:pPr>
      <w:r>
        <w:tab/>
        <w:t>En esa misma inteligencia, estimó que los policías debieron verificar los antecedentes por la numeración del Documento Nacional de Ident</w:t>
      </w:r>
      <w:r>
        <w:t>i</w:t>
      </w:r>
      <w:r>
        <w:t>dad y no por el apellido que allí figuraba, considerando que ese partic</w:t>
      </w:r>
      <w:r>
        <w:t>u</w:t>
      </w:r>
      <w:r>
        <w:t>lar proceder estuvo guiado para evitar que surgieran los antecedentes de Telleldín.</w:t>
      </w:r>
    </w:p>
    <w:p w:rsidR="00224567" w:rsidRDefault="00224567">
      <w:pPr>
        <w:widowControl w:val="0"/>
        <w:tabs>
          <w:tab w:val="left" w:pos="2835"/>
        </w:tabs>
      </w:pPr>
      <w:r>
        <w:tab/>
        <w:t>En definitiva, concluyó que Ibarra, Juan José Ribelli y las demás personas que pa</w:t>
      </w:r>
      <w:r>
        <w:t>r</w:t>
      </w:r>
      <w:r>
        <w:t>ticiparon en el hecho ocurrido el 15 de marzo de 1994 sabían que la persona detenida se apellidaba Telleldín.</w:t>
      </w:r>
    </w:p>
    <w:p w:rsidR="00224567" w:rsidRDefault="00224567">
      <w:pPr>
        <w:widowControl w:val="0"/>
        <w:tabs>
          <w:tab w:val="left" w:pos="2835"/>
        </w:tabs>
      </w:pPr>
      <w:r>
        <w:tab/>
        <w:t>Destacó, en este sentido, la declar</w:t>
      </w:r>
      <w:r>
        <w:t>a</w:t>
      </w:r>
      <w:r>
        <w:t>ción testimonial de Alberto Fabián Spagnuolo, quien man</w:t>
      </w:r>
      <w:r>
        <w:t>i</w:t>
      </w:r>
      <w:r>
        <w:t>festó que en la dependencia policial le informaron que T</w:t>
      </w:r>
      <w:r>
        <w:t>e</w:t>
      </w:r>
      <w:r>
        <w:t>lleldín se encontraba detenido por falsificar su documento nacional de identidad y, al entrevistarse con Telleldín, éste hizo referencia a la exigencia de dinero efectuada por Ribelli.</w:t>
      </w:r>
    </w:p>
    <w:p w:rsidR="00224567" w:rsidRDefault="00224567">
      <w:pPr>
        <w:widowControl w:val="0"/>
        <w:tabs>
          <w:tab w:val="left" w:pos="2835"/>
        </w:tabs>
      </w:pPr>
      <w:r>
        <w:tab/>
        <w:t>Como consecuencia de todo ello, afi</w:t>
      </w:r>
      <w:r>
        <w:t>r</w:t>
      </w:r>
      <w:r>
        <w:t>mó que tanto Ribelli como Ibarra, a quienes atribuyó la neg</w:t>
      </w:r>
      <w:r>
        <w:t>o</w:t>
      </w:r>
      <w:r>
        <w:t>ciación por el pago del rescate, conocían a la pe</w:t>
      </w:r>
      <w:r>
        <w:t>r</w:t>
      </w:r>
      <w:r>
        <w:t>fección que la documentación exhibida por Telleldín present</w:t>
      </w:r>
      <w:r>
        <w:t>a</w:t>
      </w:r>
      <w:r>
        <w:t>ba un apellido que no era el verdadero.</w:t>
      </w:r>
    </w:p>
    <w:p w:rsidR="00224567" w:rsidRDefault="00224567">
      <w:pPr>
        <w:widowControl w:val="0"/>
        <w:tabs>
          <w:tab w:val="left" w:pos="2835"/>
        </w:tabs>
      </w:pPr>
      <w:r>
        <w:t xml:space="preserve"> </w:t>
      </w:r>
      <w:r>
        <w:tab/>
        <w:t>Aclaró la defensa que el único fund</w:t>
      </w:r>
      <w:r>
        <w:t>a</w:t>
      </w:r>
      <w:r>
        <w:t>mento de la detención de Telleldín radicaba en la exige</w:t>
      </w:r>
      <w:r>
        <w:t>n</w:t>
      </w:r>
      <w:r>
        <w:t>cia efectuada por Ribelli, a quien parafr</w:t>
      </w:r>
      <w:r>
        <w:t>a</w:t>
      </w:r>
      <w:r>
        <w:t>seó “poné lo que tenés que poner y te vas”. A ello adjudicó que su asistido hubiera recuperado su l</w:t>
      </w:r>
      <w:r>
        <w:t>i</w:t>
      </w:r>
      <w:r>
        <w:t>bertad, sin previa consulta con la juez que llevaba adelante la investigación; comunicación que se debió efectuar aún frente a una respuesta negativa en el informe nominal de antec</w:t>
      </w:r>
      <w:r>
        <w:t>e</w:t>
      </w:r>
      <w:r>
        <w:t>dentes.</w:t>
      </w:r>
    </w:p>
    <w:p w:rsidR="00224567" w:rsidRDefault="00224567">
      <w:pPr>
        <w:widowControl w:val="0"/>
        <w:tabs>
          <w:tab w:val="left" w:pos="2835"/>
        </w:tabs>
      </w:pPr>
      <w:r>
        <w:tab/>
        <w:t>Reafirmó que ninguno de los proced</w:t>
      </w:r>
      <w:r>
        <w:t>i</w:t>
      </w:r>
      <w:r>
        <w:t>mientos llevados a cabo con relación a Telleldín tuvo su</w:t>
      </w:r>
      <w:r>
        <w:t>s</w:t>
      </w:r>
      <w:r>
        <w:t>tento legal alguno, entendiendo que se trataron de mani</w:t>
      </w:r>
      <w:r>
        <w:t>o</w:t>
      </w:r>
      <w:r>
        <w:t>bras extorsivas para obtener dinero o bienes.</w:t>
      </w:r>
    </w:p>
    <w:p w:rsidR="00224567" w:rsidRDefault="00224567">
      <w:pPr>
        <w:widowControl w:val="0"/>
        <w:tabs>
          <w:tab w:val="left" w:pos="2835"/>
        </w:tabs>
      </w:pPr>
      <w:r>
        <w:tab/>
        <w:t>Al respecto, recordó los dichos del testigo Armando Roberto Cunto, quien declaró haber padec</w:t>
      </w:r>
      <w:r>
        <w:t>i</w:t>
      </w:r>
      <w:r>
        <w:t>do el mismo procedimiento que Telleldín y Petrucci, al s</w:t>
      </w:r>
      <w:r>
        <w:t>u</w:t>
      </w:r>
      <w:r>
        <w:t>frir la amenaza de ser involucrado falsamente en una i</w:t>
      </w:r>
      <w:r>
        <w:t>n</w:t>
      </w:r>
      <w:r>
        <w:t>vestigación, exigiéndosele dinero a cambio de su liber</w:t>
      </w:r>
      <w:r>
        <w:t>a</w:t>
      </w:r>
      <w:r>
        <w:t>ción.</w:t>
      </w:r>
    </w:p>
    <w:p w:rsidR="00224567" w:rsidRDefault="00224567">
      <w:pPr>
        <w:widowControl w:val="0"/>
        <w:tabs>
          <w:tab w:val="left" w:pos="2835"/>
        </w:tabs>
      </w:pPr>
      <w:r>
        <w:tab/>
        <w:t>Asimismo, consideró de vital importa</w:t>
      </w:r>
      <w:r>
        <w:t>n</w:t>
      </w:r>
      <w:r>
        <w:t>cia, para probar los hechos extorsivos llev</w:t>
      </w:r>
      <w:r>
        <w:t>a</w:t>
      </w:r>
      <w:r>
        <w:t xml:space="preserve">dos a cabo por los miembros de </w:t>
      </w:r>
      <w:smartTag w:uri="urn:schemas-microsoft-com:office:smarttags" w:element="PersonName">
        <w:smartTagPr>
          <w:attr w:name="ProductID" w:val="la Brigada"/>
        </w:smartTagPr>
        <w:r>
          <w:t>la Brigada</w:t>
        </w:r>
      </w:smartTag>
      <w:r>
        <w:t xml:space="preserve"> de Lanús, las declaraciones prestadas en la instrucción por Diego Enrique Barreda y Mario Norberto Bareiro, quienes admiti</w:t>
      </w:r>
      <w:r>
        <w:t>e</w:t>
      </w:r>
      <w:r>
        <w:t>ron tales sucesos.</w:t>
      </w:r>
    </w:p>
    <w:p w:rsidR="00224567" w:rsidRDefault="00224567">
      <w:pPr>
        <w:pStyle w:val="Textoindependiente3"/>
        <w:widowControl w:val="0"/>
        <w:tabs>
          <w:tab w:val="left" w:pos="2835"/>
        </w:tabs>
        <w:rPr>
          <w:rFonts w:ascii="Courier New" w:hAnsi="Courier New" w:cs="Courier New"/>
          <w:b w:val="0"/>
          <w:bCs/>
          <w:sz w:val="24"/>
        </w:rPr>
      </w:pPr>
      <w:r>
        <w:tab/>
      </w:r>
      <w:r>
        <w:rPr>
          <w:rFonts w:ascii="Courier New" w:hAnsi="Courier New" w:cs="Courier New"/>
          <w:b w:val="0"/>
          <w:bCs/>
          <w:sz w:val="24"/>
        </w:rPr>
        <w:t>Rechazó la defensa que la decl</w:t>
      </w:r>
      <w:r>
        <w:rPr>
          <w:rFonts w:ascii="Courier New" w:hAnsi="Courier New" w:cs="Courier New"/>
          <w:b w:val="0"/>
          <w:bCs/>
          <w:sz w:val="24"/>
        </w:rPr>
        <w:t>a</w:t>
      </w:r>
      <w:r>
        <w:rPr>
          <w:rFonts w:ascii="Courier New" w:hAnsi="Courier New" w:cs="Courier New"/>
          <w:b w:val="0"/>
          <w:bCs/>
          <w:sz w:val="24"/>
        </w:rPr>
        <w:t xml:space="preserve">ración de Huici fuese veraz en cuanto a los supuestos dichos transmitidos por Buján, toda vez que en la causa nº 5681 fueron probadas otras circunstancias apuntadas por éste, sosteniendo que se trataba de una prueba del </w:t>
      </w:r>
      <w:r>
        <w:rPr>
          <w:rFonts w:ascii="Courier New" w:hAnsi="Courier New" w:cs="Courier New"/>
          <w:b w:val="0"/>
          <w:bCs/>
          <w:sz w:val="24"/>
          <w:u w:val="single"/>
        </w:rPr>
        <w:t>modus opera</w:t>
      </w:r>
      <w:r>
        <w:rPr>
          <w:rFonts w:ascii="Courier New" w:hAnsi="Courier New" w:cs="Courier New"/>
          <w:b w:val="0"/>
          <w:bCs/>
          <w:sz w:val="24"/>
          <w:u w:val="single"/>
        </w:rPr>
        <w:t>n</w:t>
      </w:r>
      <w:r>
        <w:rPr>
          <w:rFonts w:ascii="Courier New" w:hAnsi="Courier New" w:cs="Courier New"/>
          <w:b w:val="0"/>
          <w:bCs/>
          <w:sz w:val="24"/>
          <w:u w:val="single"/>
        </w:rPr>
        <w:t>di</w:t>
      </w:r>
      <w:r>
        <w:rPr>
          <w:rFonts w:ascii="Courier New" w:hAnsi="Courier New" w:cs="Courier New"/>
          <w:b w:val="0"/>
          <w:bCs/>
          <w:sz w:val="24"/>
        </w:rPr>
        <w:t xml:space="preserve"> al que estaban acostumbrados los policías pertenecie</w:t>
      </w:r>
      <w:r>
        <w:rPr>
          <w:rFonts w:ascii="Courier New" w:hAnsi="Courier New" w:cs="Courier New"/>
          <w:b w:val="0"/>
          <w:bCs/>
          <w:sz w:val="24"/>
        </w:rPr>
        <w:t>n</w:t>
      </w:r>
      <w:r>
        <w:rPr>
          <w:rFonts w:ascii="Courier New" w:hAnsi="Courier New" w:cs="Courier New"/>
          <w:b w:val="0"/>
          <w:bCs/>
          <w:sz w:val="24"/>
        </w:rPr>
        <w:t xml:space="preserve">tes a </w:t>
      </w:r>
      <w:smartTag w:uri="urn:schemas-microsoft-com:office:smarttags" w:element="PersonName">
        <w:smartTagPr>
          <w:attr w:name="ProductID" w:val="la Brigada"/>
        </w:smartTagPr>
        <w:r>
          <w:rPr>
            <w:rFonts w:ascii="Courier New" w:hAnsi="Courier New" w:cs="Courier New"/>
            <w:b w:val="0"/>
            <w:bCs/>
            <w:sz w:val="24"/>
          </w:rPr>
          <w:t>la Br</w:t>
        </w:r>
        <w:r>
          <w:rPr>
            <w:rFonts w:ascii="Courier New" w:hAnsi="Courier New" w:cs="Courier New"/>
            <w:b w:val="0"/>
            <w:bCs/>
            <w:sz w:val="24"/>
          </w:rPr>
          <w:t>i</w:t>
        </w:r>
        <w:r>
          <w:rPr>
            <w:rFonts w:ascii="Courier New" w:hAnsi="Courier New" w:cs="Courier New"/>
            <w:b w:val="0"/>
            <w:bCs/>
            <w:sz w:val="24"/>
          </w:rPr>
          <w:t>gada</w:t>
        </w:r>
      </w:smartTag>
      <w:r>
        <w:rPr>
          <w:rFonts w:ascii="Courier New" w:hAnsi="Courier New" w:cs="Courier New"/>
          <w:b w:val="0"/>
          <w:bCs/>
          <w:sz w:val="24"/>
        </w:rPr>
        <w:t xml:space="preserve"> de Lanús.</w:t>
      </w:r>
    </w:p>
    <w:p w:rsidR="00224567" w:rsidRDefault="00224567">
      <w:pPr>
        <w:widowControl w:val="0"/>
        <w:tabs>
          <w:tab w:val="left" w:pos="2835"/>
        </w:tabs>
      </w:pPr>
      <w:r>
        <w:rPr>
          <w:bCs/>
        </w:rPr>
        <w:t xml:space="preserve"> </w:t>
      </w:r>
      <w:r>
        <w:rPr>
          <w:bCs/>
        </w:rPr>
        <w:tab/>
        <w:t>Explicó que la maniobra consistía en</w:t>
      </w:r>
      <w:r>
        <w:t xml:space="preserve"> involucrar falsamente a una persona en el marco de una i</w:t>
      </w:r>
      <w:r>
        <w:t>n</w:t>
      </w:r>
      <w:r>
        <w:t>vestigación real, agregando entre sucesos ciertos, otros falsos -como ocurrió en el caso de Telleldín y Cunto- para dotar al proceder ilegítimo una apariencia de legalidad, asegurándose así el éxito de la maniobra extorsiva.</w:t>
      </w:r>
    </w:p>
    <w:p w:rsidR="00224567" w:rsidRDefault="00224567">
      <w:pPr>
        <w:pStyle w:val="Textoindependiente3"/>
        <w:widowControl w:val="0"/>
        <w:tabs>
          <w:tab w:val="left" w:pos="2835"/>
        </w:tabs>
        <w:rPr>
          <w:rFonts w:ascii="Courier New" w:hAnsi="Courier New" w:cs="Courier New"/>
          <w:b w:val="0"/>
          <w:sz w:val="24"/>
        </w:rPr>
      </w:pPr>
      <w:r>
        <w:rPr>
          <w:rFonts w:ascii="Courier New" w:hAnsi="Courier New" w:cs="Courier New"/>
          <w:b w:val="0"/>
          <w:sz w:val="24"/>
        </w:rPr>
        <w:tab/>
        <w:t>Alegó, que la presencia de Ibarra en el restaurante “El Barril” no se debió al resultado de t</w:t>
      </w:r>
      <w:r>
        <w:rPr>
          <w:rFonts w:ascii="Courier New" w:hAnsi="Courier New" w:cs="Courier New"/>
          <w:b w:val="0"/>
          <w:sz w:val="24"/>
        </w:rPr>
        <w:t>a</w:t>
      </w:r>
      <w:r>
        <w:rPr>
          <w:rFonts w:ascii="Courier New" w:hAnsi="Courier New" w:cs="Courier New"/>
          <w:b w:val="0"/>
          <w:sz w:val="24"/>
        </w:rPr>
        <w:t>reas de inteligencia, ni a las supuestas manifestaciones que Buján le hiciera a Huici, sino que el “dato” de la presencia de Telleldín en ese lugar le fue ace</w:t>
      </w:r>
      <w:r>
        <w:rPr>
          <w:rFonts w:ascii="Courier New" w:hAnsi="Courier New" w:cs="Courier New"/>
          <w:b w:val="0"/>
          <w:sz w:val="24"/>
        </w:rPr>
        <w:t>r</w:t>
      </w:r>
      <w:r>
        <w:rPr>
          <w:rFonts w:ascii="Courier New" w:hAnsi="Courier New" w:cs="Courier New"/>
          <w:b w:val="0"/>
          <w:sz w:val="24"/>
        </w:rPr>
        <w:t>cado por el abogado Semorile.</w:t>
      </w:r>
    </w:p>
    <w:p w:rsidR="00224567" w:rsidRDefault="00224567">
      <w:pPr>
        <w:widowControl w:val="0"/>
        <w:tabs>
          <w:tab w:val="left" w:pos="2835"/>
        </w:tabs>
      </w:pPr>
      <w:r>
        <w:tab/>
        <w:t>A su vez, refirió que Semorile obtuvo la información a través de Miriam Salinas y Pablo Ib</w:t>
      </w:r>
      <w:r>
        <w:t>á</w:t>
      </w:r>
      <w:r>
        <w:t>ñez, tras una entrega de dinero en razón de “comisión”.</w:t>
      </w:r>
    </w:p>
    <w:p w:rsidR="00224567" w:rsidRDefault="00224567">
      <w:pPr>
        <w:widowControl w:val="0"/>
        <w:tabs>
          <w:tab w:val="left" w:pos="2835"/>
        </w:tabs>
      </w:pPr>
      <w:r>
        <w:tab/>
        <w:t>Relató, que al 15 de marzo de 1994 T</w:t>
      </w:r>
      <w:r>
        <w:t>e</w:t>
      </w:r>
      <w:r>
        <w:t>lleldín se encontraba separado de su mujer Ana María Bor</w:t>
      </w:r>
      <w:r>
        <w:t>a</w:t>
      </w:r>
      <w:r>
        <w:t>gni, mientras que ésta mantenía una estrecha relación con Miriam Salinas, conjeturando entonces que Salinas c</w:t>
      </w:r>
      <w:r>
        <w:t>o</w:t>
      </w:r>
      <w:r>
        <w:t>nocía algunos pormenores sobre la vida de Telleldín, como por ejemplo, que había vendido el lavad</w:t>
      </w:r>
      <w:r>
        <w:t>e</w:t>
      </w:r>
      <w:r>
        <w:t>ro y que el día 15 se encontraría con Boragni para entregarle dinero en co</w:t>
      </w:r>
      <w:r>
        <w:t>n</w:t>
      </w:r>
      <w:r>
        <w:t>cepto de cuota alimentaria. Luego, señaló que Salinas le informó a Semorile aquellas circunstancias, quien se los transm</w:t>
      </w:r>
      <w:r>
        <w:t>i</w:t>
      </w:r>
      <w:r>
        <w:t xml:space="preserve">tió a su vez a </w:t>
      </w:r>
      <w:smartTag w:uri="urn:schemas-microsoft-com:office:smarttags" w:element="PersonName">
        <w:smartTagPr>
          <w:attr w:name="ProductID" w:val="la Brigada"/>
        </w:smartTagPr>
        <w:r>
          <w:t>la Brigada</w:t>
        </w:r>
      </w:smartTag>
      <w:r>
        <w:t xml:space="preserve"> de Lanús.</w:t>
      </w:r>
    </w:p>
    <w:p w:rsidR="00224567" w:rsidRDefault="00224567">
      <w:pPr>
        <w:widowControl w:val="0"/>
        <w:tabs>
          <w:tab w:val="left" w:pos="2835"/>
        </w:tabs>
      </w:pPr>
      <w:r>
        <w:tab/>
        <w:t>En razón de ello, se explicó por qué Ibarra y compañía se encontraban en ese momento en aquella esquina de la localidad Olivos.</w:t>
      </w:r>
    </w:p>
    <w:p w:rsidR="00224567" w:rsidRDefault="00224567">
      <w:pPr>
        <w:widowControl w:val="0"/>
        <w:tabs>
          <w:tab w:val="left" w:pos="2835"/>
        </w:tabs>
      </w:pPr>
      <w:r>
        <w:tab/>
        <w:t>Asimismo, destacó que a lo largo del debate y en oportunidad de realizar su alegato, fue demo</w:t>
      </w:r>
      <w:r>
        <w:t>s</w:t>
      </w:r>
      <w:r>
        <w:t>trado que tanto Ibáñez como Salinas presentaban “...antecedentes de entregadores de sus propios conoc</w:t>
      </w:r>
      <w:r>
        <w:t>i</w:t>
      </w:r>
      <w:r>
        <w:t>dos...”, mencionando el episodio de los gitanos en el que también participó Semor</w:t>
      </w:r>
      <w:r>
        <w:t>i</w:t>
      </w:r>
      <w:r>
        <w:t>le...”.</w:t>
      </w:r>
    </w:p>
    <w:p w:rsidR="00224567" w:rsidRDefault="00224567">
      <w:pPr>
        <w:widowControl w:val="0"/>
        <w:tabs>
          <w:tab w:val="left" w:pos="2835"/>
        </w:tabs>
      </w:pPr>
      <w:r>
        <w:tab/>
        <w:t>Sintetizó que los funcionarios pol</w:t>
      </w:r>
      <w:r>
        <w:t>i</w:t>
      </w:r>
      <w:r>
        <w:t>ciales utilizaron el poder que les daba su función y el poder judicial delegado por aquel entonces en las comis</w:t>
      </w:r>
      <w:r>
        <w:t>a</w:t>
      </w:r>
      <w:r>
        <w:t>rías, para obtener ilegítimamente un beneficio econ</w:t>
      </w:r>
      <w:r>
        <w:t>ó</w:t>
      </w:r>
      <w:r>
        <w:t>mico.</w:t>
      </w:r>
    </w:p>
    <w:p w:rsidR="00224567" w:rsidRDefault="00224567">
      <w:pPr>
        <w:widowControl w:val="0"/>
        <w:tabs>
          <w:tab w:val="left" w:pos="2835"/>
        </w:tabs>
      </w:pPr>
      <w:r>
        <w:tab/>
        <w:t>Luego, comparó la causa nº 5681 del Juzgado en lo Criminal y Correccional nº 5 del Departame</w:t>
      </w:r>
      <w:r>
        <w:t>n</w:t>
      </w:r>
      <w:r>
        <w:t>to Judicial de Quilmes con la presente investig</w:t>
      </w:r>
      <w:r>
        <w:t>a</w:t>
      </w:r>
      <w:r>
        <w:t xml:space="preserve">ción. </w:t>
      </w:r>
    </w:p>
    <w:p w:rsidR="00224567" w:rsidRDefault="00224567">
      <w:pPr>
        <w:widowControl w:val="0"/>
        <w:tabs>
          <w:tab w:val="left" w:pos="2835"/>
        </w:tabs>
      </w:pPr>
      <w:r>
        <w:tab/>
        <w:t>Sostuvo que los datos fueron introd</w:t>
      </w:r>
      <w:r>
        <w:t>u</w:t>
      </w:r>
      <w:r>
        <w:t>cidos en forma clandestina y anónima, entre sucesos r</w:t>
      </w:r>
      <w:r>
        <w:t>e</w:t>
      </w:r>
      <w:r>
        <w:t>ales y posibles de acreditar, y se “infi</w:t>
      </w:r>
      <w:r>
        <w:t>l</w:t>
      </w:r>
      <w:r>
        <w:t>traron” hechos que no ocurrieron, citando como ejemplo “la extorsión del 10 de julio”.</w:t>
      </w:r>
    </w:p>
    <w:p w:rsidR="00224567" w:rsidRDefault="00224567">
      <w:pPr>
        <w:widowControl w:val="0"/>
        <w:tabs>
          <w:tab w:val="left" w:pos="2835"/>
        </w:tabs>
      </w:pPr>
      <w:r>
        <w:tab/>
        <w:t>Asimismo, se aprovechó la presencia policial en el lugar del supuesto hecho, agregándole suc</w:t>
      </w:r>
      <w:r>
        <w:t>e</w:t>
      </w:r>
      <w:r>
        <w:t>sos que nunca podrían probarse, pues justamente, nunca existieron.</w:t>
      </w:r>
    </w:p>
    <w:p w:rsidR="00224567" w:rsidRDefault="00224567">
      <w:pPr>
        <w:widowControl w:val="0"/>
        <w:tabs>
          <w:tab w:val="left" w:pos="2835"/>
        </w:tabs>
      </w:pPr>
      <w:r>
        <w:tab/>
        <w:t>Estimó la defensa que ésta fue la c</w:t>
      </w:r>
      <w:r>
        <w:t>o</w:t>
      </w:r>
      <w:r>
        <w:t>bertura utilizada por el juez instructor para apoyar la credibilidad de la denominada “historia of</w:t>
      </w:r>
      <w:r>
        <w:t>i</w:t>
      </w:r>
      <w:r>
        <w:t>cial”.</w:t>
      </w:r>
    </w:p>
    <w:p w:rsidR="00224567" w:rsidRDefault="00224567">
      <w:pPr>
        <w:widowControl w:val="0"/>
        <w:tabs>
          <w:tab w:val="left" w:pos="2835"/>
        </w:tabs>
      </w:pPr>
      <w:r>
        <w:tab/>
        <w:t xml:space="preserve">Por otro lado, dijo que la querella Memoria Activa en su elíptico alegato defensista de </w:t>
      </w:r>
      <w:smartTag w:uri="urn:schemas-microsoft-com:office:smarttags" w:element="PersonName">
        <w:smartTagPr>
          <w:attr w:name="ProductID" w:val="la Polic￭a Bonaerense"/>
        </w:smartTagPr>
        <w:r>
          <w:t>la P</w:t>
        </w:r>
        <w:r>
          <w:t>o</w:t>
        </w:r>
        <w:r>
          <w:t>licía Bonaerense</w:t>
        </w:r>
      </w:smartTag>
      <w:r>
        <w:t>, sostuvo que no interrogó acerca de la presencia de los funcionarios polici</w:t>
      </w:r>
      <w:r>
        <w:t>a</w:t>
      </w:r>
      <w:r>
        <w:t>les el 10 de julio de 1994 en el domicilio ubicado en la calle Rep</w:t>
      </w:r>
      <w:r>
        <w:t>ú</w:t>
      </w:r>
      <w:r>
        <w:t>blica 107 de Villa Ballester, pues “sabía que estaba referida a las operaciones come</w:t>
      </w:r>
      <w:r>
        <w:t>r</w:t>
      </w:r>
      <w:r>
        <w:t>ciales”.</w:t>
      </w:r>
    </w:p>
    <w:p w:rsidR="00224567" w:rsidRDefault="00224567">
      <w:pPr>
        <w:widowControl w:val="0"/>
        <w:tabs>
          <w:tab w:val="left" w:pos="2835"/>
        </w:tabs>
      </w:pPr>
      <w:r>
        <w:tab/>
        <w:t>Al respecto replicó, que Telle</w:t>
      </w:r>
      <w:r>
        <w:t>l</w:t>
      </w:r>
      <w:r>
        <w:t xml:space="preserve">dín no realizó operaciones comerciales con miembros de </w:t>
      </w:r>
      <w:smartTag w:uri="urn:schemas-microsoft-com:office:smarttags" w:element="PersonName">
        <w:smartTagPr>
          <w:attr w:name="ProductID" w:val="la Polic￭a Bonaerense"/>
        </w:smartTagPr>
        <w:r>
          <w:t>la P</w:t>
        </w:r>
        <w:r>
          <w:t>o</w:t>
        </w:r>
        <w:r>
          <w:t>licía Bonaerense</w:t>
        </w:r>
      </w:smartTag>
      <w:r>
        <w:t>, sino que fue víctima de extorsiones. Contestó que su defendido nunca afirmó saber que los policías eran inocentes, sino que sólo se limitó a calificar como sosp</w:t>
      </w:r>
      <w:r>
        <w:t>e</w:t>
      </w:r>
      <w:r>
        <w:t>chosa la presencia de ciertos autom</w:t>
      </w:r>
      <w:r>
        <w:t>ó</w:t>
      </w:r>
      <w:r>
        <w:t>viles que pertenecían a miembros de las brigadas en las inmediaciones de su d</w:t>
      </w:r>
      <w:r>
        <w:t>o</w:t>
      </w:r>
      <w:r>
        <w:t>micilio.</w:t>
      </w:r>
    </w:p>
    <w:p w:rsidR="00224567" w:rsidRDefault="00224567">
      <w:pPr>
        <w:widowControl w:val="0"/>
        <w:tabs>
          <w:tab w:val="left" w:pos="2835"/>
        </w:tabs>
        <w:rPr>
          <w:lang w:val="es-MX"/>
        </w:rPr>
      </w:pPr>
      <w:r>
        <w:rPr>
          <w:lang w:val="es-MX"/>
        </w:rPr>
        <w:tab/>
        <w:t>Luego, evocó que la defensa a cargo del doctor Valle ir</w:t>
      </w:r>
      <w:r>
        <w:rPr>
          <w:lang w:val="es-MX"/>
        </w:rPr>
        <w:t>o</w:t>
      </w:r>
      <w:r>
        <w:rPr>
          <w:lang w:val="es-MX"/>
        </w:rPr>
        <w:t>nizó sobre la entrega, por parte de su cliente, a Juan Alberto Bottegal del boleto de co</w:t>
      </w:r>
      <w:r>
        <w:rPr>
          <w:lang w:val="es-MX"/>
        </w:rPr>
        <w:t>m</w:t>
      </w:r>
      <w:r>
        <w:rPr>
          <w:lang w:val="es-MX"/>
        </w:rPr>
        <w:t>praventa del barco “Gonzalo”, manifestando que Telle</w:t>
      </w:r>
      <w:r>
        <w:rPr>
          <w:lang w:val="es-MX"/>
        </w:rPr>
        <w:t>l</w:t>
      </w:r>
      <w:r>
        <w:rPr>
          <w:lang w:val="es-MX"/>
        </w:rPr>
        <w:t>dín “se dio el lujo de estafar a los extorsionadores”.</w:t>
      </w:r>
    </w:p>
    <w:p w:rsidR="00224567" w:rsidRDefault="00224567">
      <w:pPr>
        <w:widowControl w:val="0"/>
        <w:tabs>
          <w:tab w:val="left" w:pos="2835"/>
        </w:tabs>
        <w:rPr>
          <w:lang w:val="es-MX"/>
        </w:rPr>
      </w:pPr>
      <w:r>
        <w:rPr>
          <w:lang w:val="es-MX"/>
        </w:rPr>
        <w:t xml:space="preserve"> </w:t>
      </w:r>
      <w:r>
        <w:rPr>
          <w:lang w:val="es-MX"/>
        </w:rPr>
        <w:tab/>
        <w:t>Afirmó que su cliente explicó que le entregó a Bottegal un boleto en blanco pero con su firma estampada, y fue Bottegal quien completó los datos falta</w:t>
      </w:r>
      <w:r>
        <w:rPr>
          <w:lang w:val="es-MX"/>
        </w:rPr>
        <w:t>n</w:t>
      </w:r>
      <w:r>
        <w:rPr>
          <w:lang w:val="es-MX"/>
        </w:rPr>
        <w:t>tes al presentarse en la guardería náutica.</w:t>
      </w:r>
    </w:p>
    <w:p w:rsidR="00224567" w:rsidRDefault="00224567">
      <w:pPr>
        <w:pStyle w:val="Sangradetextonormal"/>
        <w:widowControl w:val="0"/>
        <w:tabs>
          <w:tab w:val="left" w:pos="2835"/>
        </w:tabs>
        <w:ind w:firstLine="0"/>
        <w:rPr>
          <w:lang w:val="es-MX"/>
        </w:rPr>
      </w:pPr>
      <w:r>
        <w:rPr>
          <w:lang w:val="es-MX"/>
        </w:rPr>
        <w:tab/>
        <w:t>Luego, la defensa hizo mención a la declaración del testigo Mario Ulises Colman, que fue co</w:t>
      </w:r>
      <w:r>
        <w:rPr>
          <w:lang w:val="es-MX"/>
        </w:rPr>
        <w:t>n</w:t>
      </w:r>
      <w:r>
        <w:rPr>
          <w:lang w:val="es-MX"/>
        </w:rPr>
        <w:t>frontada con su declaración escrita en la que sost</w:t>
      </w:r>
      <w:r>
        <w:rPr>
          <w:lang w:val="es-MX"/>
        </w:rPr>
        <w:t>u</w:t>
      </w:r>
      <w:r>
        <w:rPr>
          <w:lang w:val="es-MX"/>
        </w:rPr>
        <w:t>vo que se presentó en su guardería náutica una persona con un b</w:t>
      </w:r>
      <w:r>
        <w:rPr>
          <w:lang w:val="es-MX"/>
        </w:rPr>
        <w:t>o</w:t>
      </w:r>
      <w:r>
        <w:rPr>
          <w:lang w:val="es-MX"/>
        </w:rPr>
        <w:t>leto de compraventa firmado por T</w:t>
      </w:r>
      <w:r>
        <w:rPr>
          <w:lang w:val="es-MX"/>
        </w:rPr>
        <w:t>e</w:t>
      </w:r>
      <w:r>
        <w:rPr>
          <w:lang w:val="es-MX"/>
        </w:rPr>
        <w:t>lleldín sin los datos de identificación de la embarcación, y tras hacerle la obse</w:t>
      </w:r>
      <w:r>
        <w:rPr>
          <w:lang w:val="es-MX"/>
        </w:rPr>
        <w:t>r</w:t>
      </w:r>
      <w:r>
        <w:rPr>
          <w:lang w:val="es-MX"/>
        </w:rPr>
        <w:t>vación, la persona se retiró, vo</w:t>
      </w:r>
      <w:r>
        <w:rPr>
          <w:lang w:val="es-MX"/>
        </w:rPr>
        <w:t>l</w:t>
      </w:r>
      <w:r>
        <w:rPr>
          <w:lang w:val="es-MX"/>
        </w:rPr>
        <w:t>viendo más tarde con los datos faltantes ya completos.</w:t>
      </w:r>
    </w:p>
    <w:p w:rsidR="00224567" w:rsidRDefault="00224567">
      <w:pPr>
        <w:widowControl w:val="0"/>
        <w:tabs>
          <w:tab w:val="left" w:pos="2835"/>
        </w:tabs>
        <w:rPr>
          <w:lang w:val="es-MX"/>
        </w:rPr>
      </w:pPr>
      <w:r>
        <w:rPr>
          <w:lang w:val="es-MX"/>
        </w:rPr>
        <w:tab/>
        <w:t>Indicó que ello demostró que no fue Telleldín quien pretendió estafar a sus victim</w:t>
      </w:r>
      <w:r>
        <w:rPr>
          <w:lang w:val="es-MX"/>
        </w:rPr>
        <w:t>a</w:t>
      </w:r>
      <w:r>
        <w:rPr>
          <w:lang w:val="es-MX"/>
        </w:rPr>
        <w:t>rios, sino que fue Bottegal quien confundió los datos al co</w:t>
      </w:r>
      <w:r>
        <w:rPr>
          <w:lang w:val="es-MX"/>
        </w:rPr>
        <w:t>n</w:t>
      </w:r>
      <w:r>
        <w:rPr>
          <w:lang w:val="es-MX"/>
        </w:rPr>
        <w:t>feccionar el boleto.</w:t>
      </w:r>
    </w:p>
    <w:p w:rsidR="00224567" w:rsidRDefault="00224567">
      <w:pPr>
        <w:widowControl w:val="0"/>
        <w:tabs>
          <w:tab w:val="left" w:pos="2835"/>
        </w:tabs>
        <w:rPr>
          <w:lang w:val="es-MX"/>
        </w:rPr>
      </w:pPr>
      <w:r>
        <w:rPr>
          <w:lang w:val="es-MX"/>
        </w:rPr>
        <w:tab/>
        <w:t>Asimismo, señaló que a simple vista es posible observar que el trazo de las letras que su</w:t>
      </w:r>
      <w:r>
        <w:rPr>
          <w:lang w:val="es-MX"/>
        </w:rPr>
        <w:t>r</w:t>
      </w:r>
      <w:r>
        <w:rPr>
          <w:lang w:val="es-MX"/>
        </w:rPr>
        <w:t>gen del boleto de compraventa es distinto a la de T</w:t>
      </w:r>
      <w:r>
        <w:rPr>
          <w:lang w:val="es-MX"/>
        </w:rPr>
        <w:t>e</w:t>
      </w:r>
      <w:r>
        <w:rPr>
          <w:lang w:val="es-MX"/>
        </w:rPr>
        <w:t>lleldín.</w:t>
      </w:r>
    </w:p>
    <w:p w:rsidR="00224567" w:rsidRDefault="00224567">
      <w:pPr>
        <w:widowControl w:val="0"/>
        <w:tabs>
          <w:tab w:val="left" w:pos="2835"/>
        </w:tabs>
      </w:pPr>
      <w:r>
        <w:rPr>
          <w:lang w:val="es-MX"/>
        </w:rPr>
        <w:tab/>
        <w:t>A continuación, analizó las críticas efectuadas por el Dr. Valle con relación a</w:t>
      </w:r>
      <w:r>
        <w:t>l armado de la camioneta.</w:t>
      </w:r>
    </w:p>
    <w:p w:rsidR="00224567" w:rsidRDefault="00224567">
      <w:pPr>
        <w:widowControl w:val="0"/>
        <w:tabs>
          <w:tab w:val="left" w:pos="2835"/>
        </w:tabs>
        <w:rPr>
          <w:lang w:val="es-MX"/>
        </w:rPr>
      </w:pPr>
      <w:r>
        <w:rPr>
          <w:lang w:val="es-MX"/>
        </w:rPr>
        <w:tab/>
        <w:t>En primer lugar, rechazó los argume</w:t>
      </w:r>
      <w:r>
        <w:rPr>
          <w:lang w:val="es-MX"/>
        </w:rPr>
        <w:t>n</w:t>
      </w:r>
      <w:r>
        <w:rPr>
          <w:lang w:val="es-MX"/>
        </w:rPr>
        <w:t xml:space="preserve">tos dados por la defensa oficial, que sobre la base del hallazgo de la pieza identificada con el nº 114, afirmó que </w:t>
      </w:r>
      <w:smartTag w:uri="urn:schemas-microsoft-com:office:smarttags" w:element="PersonName">
        <w:smartTagPr>
          <w:attr w:name="ProductID" w:val="la Trafic"/>
        </w:smartTagPr>
        <w:r>
          <w:rPr>
            <w:lang w:val="es-MX"/>
          </w:rPr>
          <w:t>la Trafic</w:t>
        </w:r>
      </w:smartTag>
      <w:r>
        <w:rPr>
          <w:lang w:val="es-MX"/>
        </w:rPr>
        <w:t xml:space="preserve"> que explotara en la sede de </w:t>
      </w:r>
      <w:smartTag w:uri="urn:schemas-microsoft-com:office:smarttags" w:element="PersonName">
        <w:smartTagPr>
          <w:attr w:name="ProductID" w:val="la A.M"/>
        </w:smartTagPr>
        <w:r>
          <w:rPr>
            <w:lang w:val="es-MX"/>
          </w:rPr>
          <w:t>la A.M</w:t>
        </w:r>
      </w:smartTag>
      <w:r>
        <w:rPr>
          <w:lang w:val="es-MX"/>
        </w:rPr>
        <w:t>.I.A. t</w:t>
      </w:r>
      <w:r>
        <w:rPr>
          <w:lang w:val="es-MX"/>
        </w:rPr>
        <w:t>e</w:t>
      </w:r>
      <w:r>
        <w:rPr>
          <w:lang w:val="es-MX"/>
        </w:rPr>
        <w:t>nía puerta lateral.</w:t>
      </w:r>
    </w:p>
    <w:p w:rsidR="00224567" w:rsidRDefault="00224567">
      <w:pPr>
        <w:widowControl w:val="0"/>
        <w:tabs>
          <w:tab w:val="left" w:pos="2835"/>
        </w:tabs>
        <w:rPr>
          <w:lang w:val="es-MX"/>
        </w:rPr>
      </w:pPr>
      <w:r>
        <w:rPr>
          <w:lang w:val="es-MX"/>
        </w:rPr>
        <w:tab/>
        <w:t>Al respecto, indicó que ese informe fue agregado a las presentes actuaciones en el año 2002, luego de que el personal de C.I.A.D.E.A. prestara testim</w:t>
      </w:r>
      <w:r>
        <w:rPr>
          <w:lang w:val="es-MX"/>
        </w:rPr>
        <w:t>o</w:t>
      </w:r>
      <w:r>
        <w:rPr>
          <w:lang w:val="es-MX"/>
        </w:rPr>
        <w:t>nio en la audiencia de debate.</w:t>
      </w:r>
    </w:p>
    <w:p w:rsidR="00224567" w:rsidRDefault="00224567">
      <w:pPr>
        <w:widowControl w:val="0"/>
        <w:tabs>
          <w:tab w:val="left" w:pos="2835"/>
        </w:tabs>
        <w:rPr>
          <w:lang w:val="es-MX"/>
        </w:rPr>
      </w:pPr>
      <w:r>
        <w:rPr>
          <w:lang w:val="es-MX"/>
        </w:rPr>
        <w:t xml:space="preserve"> </w:t>
      </w:r>
      <w:r>
        <w:rPr>
          <w:lang w:val="es-MX"/>
        </w:rPr>
        <w:tab/>
        <w:t>Observó, que la pieza nº 114 fue ide</w:t>
      </w:r>
      <w:r>
        <w:rPr>
          <w:lang w:val="es-MX"/>
        </w:rPr>
        <w:t>n</w:t>
      </w:r>
      <w:r>
        <w:rPr>
          <w:lang w:val="es-MX"/>
        </w:rPr>
        <w:t>tificada a fs. 111.817 como una cerradura de puerta lat</w:t>
      </w:r>
      <w:r>
        <w:rPr>
          <w:lang w:val="es-MX"/>
        </w:rPr>
        <w:t>e</w:t>
      </w:r>
      <w:r>
        <w:rPr>
          <w:lang w:val="es-MX"/>
        </w:rPr>
        <w:t>ral. Sin embargo, al confrontar los manuales de C.I.A.D.E.A., se obtiene que la puerta l</w:t>
      </w:r>
      <w:r>
        <w:rPr>
          <w:lang w:val="es-MX"/>
        </w:rPr>
        <w:t>a</w:t>
      </w:r>
      <w:r>
        <w:rPr>
          <w:lang w:val="es-MX"/>
        </w:rPr>
        <w:t>teral propia del modelo T 310, técnicamente es denominada puerta c</w:t>
      </w:r>
      <w:r>
        <w:rPr>
          <w:lang w:val="es-MX"/>
        </w:rPr>
        <w:t>o</w:t>
      </w:r>
      <w:r>
        <w:rPr>
          <w:lang w:val="es-MX"/>
        </w:rPr>
        <w:t>rrediza central (fs. 12.023 y 12.027) o bien puerta corrediza ce</w:t>
      </w:r>
      <w:r>
        <w:rPr>
          <w:lang w:val="es-MX"/>
        </w:rPr>
        <w:t>n</w:t>
      </w:r>
      <w:r>
        <w:rPr>
          <w:lang w:val="es-MX"/>
        </w:rPr>
        <w:t>tral sobre lat</w:t>
      </w:r>
      <w:r>
        <w:rPr>
          <w:lang w:val="es-MX"/>
        </w:rPr>
        <w:t>e</w:t>
      </w:r>
      <w:r>
        <w:rPr>
          <w:lang w:val="es-MX"/>
        </w:rPr>
        <w:t>ral derecho (fs. 12.020).</w:t>
      </w:r>
    </w:p>
    <w:p w:rsidR="00224567" w:rsidRDefault="00224567">
      <w:pPr>
        <w:widowControl w:val="0"/>
        <w:tabs>
          <w:tab w:val="left" w:pos="2835"/>
        </w:tabs>
        <w:rPr>
          <w:lang w:val="es-MX"/>
        </w:rPr>
      </w:pPr>
      <w:r>
        <w:rPr>
          <w:lang w:val="es-MX"/>
        </w:rPr>
        <w:t xml:space="preserve"> </w:t>
      </w:r>
      <w:r>
        <w:rPr>
          <w:lang w:val="es-MX"/>
        </w:rPr>
        <w:tab/>
        <w:t>Por lo expuesto, consideró que no era posible aseverar técnicamente que se tratara de un repue</w:t>
      </w:r>
      <w:r>
        <w:rPr>
          <w:lang w:val="es-MX"/>
        </w:rPr>
        <w:t>s</w:t>
      </w:r>
      <w:r>
        <w:rPr>
          <w:lang w:val="es-MX"/>
        </w:rPr>
        <w:t xml:space="preserve">to característico de </w:t>
      </w:r>
      <w:smartTag w:uri="urn:schemas-microsoft-com:office:smarttags" w:element="PersonName">
        <w:smartTagPr>
          <w:attr w:name="ProductID" w:val="la Trafic"/>
        </w:smartTagPr>
        <w:r>
          <w:rPr>
            <w:lang w:val="es-MX"/>
          </w:rPr>
          <w:t>la Trafic</w:t>
        </w:r>
      </w:smartTag>
      <w:r>
        <w:rPr>
          <w:lang w:val="es-MX"/>
        </w:rPr>
        <w:t xml:space="preserve"> mod</w:t>
      </w:r>
      <w:r>
        <w:rPr>
          <w:lang w:val="es-MX"/>
        </w:rPr>
        <w:t>e</w:t>
      </w:r>
      <w:r>
        <w:rPr>
          <w:lang w:val="es-MX"/>
        </w:rPr>
        <w:t>lo T 310.</w:t>
      </w:r>
    </w:p>
    <w:p w:rsidR="00224567" w:rsidRDefault="00224567">
      <w:pPr>
        <w:widowControl w:val="0"/>
        <w:tabs>
          <w:tab w:val="left" w:pos="2835"/>
        </w:tabs>
        <w:rPr>
          <w:lang w:val="es-MX"/>
        </w:rPr>
      </w:pPr>
      <w:r>
        <w:rPr>
          <w:lang w:val="es-MX"/>
        </w:rPr>
        <w:tab/>
        <w:t>Tras citar la fs. 118.817, prec</w:t>
      </w:r>
      <w:r>
        <w:rPr>
          <w:lang w:val="es-MX"/>
        </w:rPr>
        <w:t>i</w:t>
      </w:r>
      <w:r>
        <w:rPr>
          <w:lang w:val="es-MX"/>
        </w:rPr>
        <w:t>só que el informe indica que la cerradura es utilizada en todos los modelos Trafic; circunstancia que no fue mencionada por el Dr. Valle.</w:t>
      </w:r>
    </w:p>
    <w:p w:rsidR="00224567" w:rsidRDefault="00224567">
      <w:pPr>
        <w:widowControl w:val="0"/>
        <w:tabs>
          <w:tab w:val="left" w:pos="2835"/>
        </w:tabs>
        <w:rPr>
          <w:lang w:val="es-MX"/>
        </w:rPr>
      </w:pPr>
      <w:r>
        <w:rPr>
          <w:lang w:val="es-MX"/>
        </w:rPr>
        <w:tab/>
        <w:t>Destacó que del manual agregado a las presentes actuaciones, se observa que las manijas, las c</w:t>
      </w:r>
      <w:r>
        <w:rPr>
          <w:lang w:val="es-MX"/>
        </w:rPr>
        <w:t>e</w:t>
      </w:r>
      <w:r>
        <w:rPr>
          <w:lang w:val="es-MX"/>
        </w:rPr>
        <w:t>rraduras de las puertas de ingreso a la cabina y las pue</w:t>
      </w:r>
      <w:r>
        <w:rPr>
          <w:lang w:val="es-MX"/>
        </w:rPr>
        <w:t>r</w:t>
      </w:r>
      <w:r>
        <w:rPr>
          <w:lang w:val="es-MX"/>
        </w:rPr>
        <w:t>tas de acceso al compartimiento de carga son idé</w:t>
      </w:r>
      <w:r>
        <w:rPr>
          <w:lang w:val="es-MX"/>
        </w:rPr>
        <w:t>n</w:t>
      </w:r>
      <w:r>
        <w:rPr>
          <w:lang w:val="es-MX"/>
        </w:rPr>
        <w:t>ticas.</w:t>
      </w:r>
    </w:p>
    <w:p w:rsidR="00224567" w:rsidRDefault="00224567">
      <w:pPr>
        <w:widowControl w:val="0"/>
        <w:tabs>
          <w:tab w:val="left" w:pos="2835"/>
        </w:tabs>
        <w:rPr>
          <w:lang w:val="es-MX"/>
        </w:rPr>
      </w:pPr>
      <w:r>
        <w:rPr>
          <w:lang w:val="es-MX"/>
        </w:rPr>
        <w:tab/>
        <w:t>Concluyó entonces, que el auto parte se encuentra tanto en el modelo T 3101 (sin puerta lat</w:t>
      </w:r>
      <w:r>
        <w:rPr>
          <w:lang w:val="es-MX"/>
        </w:rPr>
        <w:t>e</w:t>
      </w:r>
      <w:r>
        <w:rPr>
          <w:lang w:val="es-MX"/>
        </w:rPr>
        <w:t>ral), como en el modelo T 310 (con pue</w:t>
      </w:r>
      <w:r>
        <w:rPr>
          <w:lang w:val="es-MX"/>
        </w:rPr>
        <w:t>r</w:t>
      </w:r>
      <w:r>
        <w:rPr>
          <w:lang w:val="es-MX"/>
        </w:rPr>
        <w:t>ta lateral).</w:t>
      </w:r>
    </w:p>
    <w:p w:rsidR="00224567" w:rsidRDefault="00224567">
      <w:pPr>
        <w:widowControl w:val="0"/>
        <w:tabs>
          <w:tab w:val="left" w:pos="2835"/>
        </w:tabs>
        <w:rPr>
          <w:lang w:val="es-MX"/>
        </w:rPr>
      </w:pPr>
      <w:r>
        <w:rPr>
          <w:lang w:val="es-MX"/>
        </w:rPr>
        <w:tab/>
        <w:t>Añadió, que fue hallada también la pieza identificada como 7A, descripta a fs. 14.304 e ilu</w:t>
      </w:r>
      <w:r>
        <w:rPr>
          <w:lang w:val="es-MX"/>
        </w:rPr>
        <w:t>s</w:t>
      </w:r>
      <w:r>
        <w:rPr>
          <w:lang w:val="es-MX"/>
        </w:rPr>
        <w:t>trada a fs. 14.319, como trozo de chapa de puerta delant</w:t>
      </w:r>
      <w:r>
        <w:rPr>
          <w:lang w:val="es-MX"/>
        </w:rPr>
        <w:t>e</w:t>
      </w:r>
      <w:r>
        <w:rPr>
          <w:lang w:val="es-MX"/>
        </w:rPr>
        <w:t>ra, parte interior con sujeción de tuerca “canasta” de c</w:t>
      </w:r>
      <w:r>
        <w:rPr>
          <w:lang w:val="es-MX"/>
        </w:rPr>
        <w:t>o</w:t>
      </w:r>
      <w:r>
        <w:rPr>
          <w:lang w:val="es-MX"/>
        </w:rPr>
        <w:t>mando de apertura de puerta.</w:t>
      </w:r>
    </w:p>
    <w:p w:rsidR="00224567" w:rsidRDefault="00224567">
      <w:pPr>
        <w:widowControl w:val="0"/>
        <w:tabs>
          <w:tab w:val="left" w:pos="2835"/>
        </w:tabs>
        <w:rPr>
          <w:lang w:val="es-MX"/>
        </w:rPr>
      </w:pPr>
      <w:r>
        <w:rPr>
          <w:lang w:val="es-MX"/>
        </w:rPr>
        <w:tab/>
        <w:t>Advirtió que se trata de todo el mec</w:t>
      </w:r>
      <w:r>
        <w:rPr>
          <w:lang w:val="es-MX"/>
        </w:rPr>
        <w:t>a</w:t>
      </w:r>
      <w:r>
        <w:rPr>
          <w:lang w:val="es-MX"/>
        </w:rPr>
        <w:t>nismo interno de apertura de la puerta delant</w:t>
      </w:r>
      <w:r>
        <w:rPr>
          <w:lang w:val="es-MX"/>
        </w:rPr>
        <w:t>e</w:t>
      </w:r>
      <w:r>
        <w:rPr>
          <w:lang w:val="es-MX"/>
        </w:rPr>
        <w:t>ra, el cual culmina con la cerradura antes mencion</w:t>
      </w:r>
      <w:r>
        <w:rPr>
          <w:lang w:val="es-MX"/>
        </w:rPr>
        <w:t>a</w:t>
      </w:r>
      <w:r>
        <w:rPr>
          <w:lang w:val="es-MX"/>
        </w:rPr>
        <w:t>da.</w:t>
      </w:r>
    </w:p>
    <w:p w:rsidR="00224567" w:rsidRDefault="00224567">
      <w:pPr>
        <w:widowControl w:val="0"/>
        <w:tabs>
          <w:tab w:val="left" w:pos="2835"/>
        </w:tabs>
        <w:rPr>
          <w:lang w:val="es-MX"/>
        </w:rPr>
      </w:pPr>
      <w:r>
        <w:rPr>
          <w:lang w:val="es-MX"/>
        </w:rPr>
        <w:t xml:space="preserve"> </w:t>
      </w:r>
      <w:r>
        <w:rPr>
          <w:lang w:val="es-MX"/>
        </w:rPr>
        <w:tab/>
        <w:t>Así las cosas, sostuvo que al existir una sola cerradura y un solo mecanismo de puerta, con el agregado de que aquella es utilizada en todos los modelos de Trafic, solo malintencion</w:t>
      </w:r>
      <w:r>
        <w:rPr>
          <w:lang w:val="es-MX"/>
        </w:rPr>
        <w:t>a</w:t>
      </w:r>
      <w:r>
        <w:rPr>
          <w:lang w:val="es-MX"/>
        </w:rPr>
        <w:t>damente podría concluirse que ese elemento se corresponde con una puerta lateral desl</w:t>
      </w:r>
      <w:r>
        <w:rPr>
          <w:lang w:val="es-MX"/>
        </w:rPr>
        <w:t>i</w:t>
      </w:r>
      <w:r>
        <w:rPr>
          <w:lang w:val="es-MX"/>
        </w:rPr>
        <w:t>zante, para lu</w:t>
      </w:r>
      <w:r>
        <w:rPr>
          <w:lang w:val="es-MX"/>
        </w:rPr>
        <w:t>e</w:t>
      </w:r>
      <w:r>
        <w:rPr>
          <w:lang w:val="es-MX"/>
        </w:rPr>
        <w:t>go colegir en la falsa afirmación de que la carrocería utilizada en el c</w:t>
      </w:r>
      <w:r>
        <w:rPr>
          <w:lang w:val="es-MX"/>
        </w:rPr>
        <w:t>o</w:t>
      </w:r>
      <w:r>
        <w:rPr>
          <w:lang w:val="es-MX"/>
        </w:rPr>
        <w:t>chebomba pertenecía al modelo T 310.</w:t>
      </w:r>
    </w:p>
    <w:p w:rsidR="00224567" w:rsidRDefault="00224567">
      <w:pPr>
        <w:widowControl w:val="0"/>
        <w:tabs>
          <w:tab w:val="left" w:pos="2835"/>
        </w:tabs>
        <w:rPr>
          <w:lang w:val="es-MX"/>
        </w:rPr>
      </w:pPr>
      <w:r>
        <w:rPr>
          <w:lang w:val="es-MX"/>
        </w:rPr>
        <w:t xml:space="preserve"> </w:t>
      </w:r>
      <w:r>
        <w:rPr>
          <w:lang w:val="es-MX"/>
        </w:rPr>
        <w:tab/>
        <w:t>Sintetizó, que no existía ningún el</w:t>
      </w:r>
      <w:r>
        <w:rPr>
          <w:lang w:val="es-MX"/>
        </w:rPr>
        <w:t>e</w:t>
      </w:r>
      <w:r>
        <w:rPr>
          <w:lang w:val="es-MX"/>
        </w:rPr>
        <w:t>mento que indicara con certeza la presencia de una puerta lateral deslizante, considerando suficientes las explic</w:t>
      </w:r>
      <w:r>
        <w:rPr>
          <w:lang w:val="es-MX"/>
        </w:rPr>
        <w:t>a</w:t>
      </w:r>
      <w:r>
        <w:rPr>
          <w:lang w:val="es-MX"/>
        </w:rPr>
        <w:t>ciones realizadas en su alegato con relación al hallazgo de la “cajonera U”.</w:t>
      </w:r>
    </w:p>
    <w:p w:rsidR="00224567" w:rsidRDefault="00224567">
      <w:pPr>
        <w:widowControl w:val="0"/>
        <w:tabs>
          <w:tab w:val="left" w:pos="2835"/>
        </w:tabs>
        <w:rPr>
          <w:lang w:val="es-MX"/>
        </w:rPr>
      </w:pPr>
      <w:r>
        <w:rPr>
          <w:lang w:val="es-MX"/>
        </w:rPr>
        <w:t xml:space="preserve"> </w:t>
      </w:r>
      <w:r>
        <w:rPr>
          <w:lang w:val="es-MX"/>
        </w:rPr>
        <w:tab/>
        <w:t>Destacó también que el mecanismo de apertura de una puerta lateral resultaba absolutamente distinto de las otras, explicando que está compuesto por guías correderas de hierro con ale</w:t>
      </w:r>
      <w:r>
        <w:rPr>
          <w:lang w:val="es-MX"/>
        </w:rPr>
        <w:t>a</w:t>
      </w:r>
      <w:r>
        <w:rPr>
          <w:lang w:val="es-MX"/>
        </w:rPr>
        <w:t>ción, adheridas al piso de la carrocería de la c</w:t>
      </w:r>
      <w:r>
        <w:rPr>
          <w:lang w:val="es-MX"/>
        </w:rPr>
        <w:t>a</w:t>
      </w:r>
      <w:r>
        <w:rPr>
          <w:lang w:val="es-MX"/>
        </w:rPr>
        <w:t>mioneta, por guías de hierro con aleación del segundo panel derecho recubiertas de chapa para encastrar el deslizamiento de la puerta, tal como se observa a fs. 12.012, y por el mecanismo interior de ape</w:t>
      </w:r>
      <w:r>
        <w:rPr>
          <w:lang w:val="es-MX"/>
        </w:rPr>
        <w:t>r</w:t>
      </w:r>
      <w:r>
        <w:rPr>
          <w:lang w:val="es-MX"/>
        </w:rPr>
        <w:t>tura de la puerta, de mayor d</w:t>
      </w:r>
      <w:r>
        <w:rPr>
          <w:lang w:val="es-MX"/>
        </w:rPr>
        <w:t>i</w:t>
      </w:r>
      <w:r>
        <w:rPr>
          <w:lang w:val="es-MX"/>
        </w:rPr>
        <w:t>mensión que las delanteras, a pesar de resultar idénticas las cerraduras y las man</w:t>
      </w:r>
      <w:r>
        <w:rPr>
          <w:lang w:val="es-MX"/>
        </w:rPr>
        <w:t>i</w:t>
      </w:r>
      <w:r>
        <w:rPr>
          <w:lang w:val="es-MX"/>
        </w:rPr>
        <w:t>jas; elementos que no fueron hallados en el lugar de los hechos.</w:t>
      </w:r>
    </w:p>
    <w:p w:rsidR="00224567" w:rsidRDefault="00224567">
      <w:pPr>
        <w:widowControl w:val="0"/>
        <w:tabs>
          <w:tab w:val="left" w:pos="2835"/>
        </w:tabs>
        <w:rPr>
          <w:lang w:val="es-MX"/>
        </w:rPr>
      </w:pPr>
      <w:r>
        <w:rPr>
          <w:lang w:val="es-MX"/>
        </w:rPr>
        <w:tab/>
        <w:t>Por ello se preguntó, cómo era pos</w:t>
      </w:r>
      <w:r>
        <w:rPr>
          <w:lang w:val="es-MX"/>
        </w:rPr>
        <w:t>i</w:t>
      </w:r>
      <w:r>
        <w:rPr>
          <w:lang w:val="es-MX"/>
        </w:rPr>
        <w:t>ble que tras encontrarse el mecanismo de una de las puertas delanteras, no se hallara el de la supuesta puerta lat</w:t>
      </w:r>
      <w:r>
        <w:rPr>
          <w:lang w:val="es-MX"/>
        </w:rPr>
        <w:t>e</w:t>
      </w:r>
      <w:r>
        <w:rPr>
          <w:lang w:val="es-MX"/>
        </w:rPr>
        <w:t>ral. Más aún, si el auto parte faltante resultaba ser de mayor dimensión y su material de hierro; lo que descart</w:t>
      </w:r>
      <w:r>
        <w:rPr>
          <w:lang w:val="es-MX"/>
        </w:rPr>
        <w:t>a</w:t>
      </w:r>
      <w:r>
        <w:rPr>
          <w:lang w:val="es-MX"/>
        </w:rPr>
        <w:t>ría, a su juicio, la posibilidad de su desintegración al producirse la explosión.</w:t>
      </w:r>
    </w:p>
    <w:p w:rsidR="00224567" w:rsidRDefault="00224567">
      <w:pPr>
        <w:widowControl w:val="0"/>
        <w:tabs>
          <w:tab w:val="left" w:pos="2835"/>
        </w:tabs>
        <w:rPr>
          <w:lang w:val="es-MX"/>
        </w:rPr>
      </w:pPr>
      <w:r>
        <w:rPr>
          <w:lang w:val="es-MX"/>
        </w:rPr>
        <w:t xml:space="preserve">  </w:t>
      </w:r>
      <w:r>
        <w:rPr>
          <w:lang w:val="es-MX"/>
        </w:rPr>
        <w:tab/>
        <w:t>Asimismo, dijo que existían otros el</w:t>
      </w:r>
      <w:r>
        <w:rPr>
          <w:lang w:val="es-MX"/>
        </w:rPr>
        <w:t>e</w:t>
      </w:r>
      <w:r>
        <w:rPr>
          <w:lang w:val="es-MX"/>
        </w:rPr>
        <w:t xml:space="preserve">mentos probatorios que indicaban que </w:t>
      </w:r>
      <w:smartTag w:uri="urn:schemas-microsoft-com:office:smarttags" w:element="PersonName">
        <w:smartTagPr>
          <w:attr w:name="ProductID" w:val="la Trafic"/>
        </w:smartTagPr>
        <w:r>
          <w:rPr>
            <w:lang w:val="es-MX"/>
          </w:rPr>
          <w:t>la Trafic</w:t>
        </w:r>
      </w:smartTag>
      <w:r>
        <w:rPr>
          <w:lang w:val="es-MX"/>
        </w:rPr>
        <w:t xml:space="preserve"> que explotó en la sede de </w:t>
      </w:r>
      <w:smartTag w:uri="urn:schemas-microsoft-com:office:smarttags" w:element="PersonName">
        <w:smartTagPr>
          <w:attr w:name="ProductID" w:val="la A.M"/>
        </w:smartTagPr>
        <w:r>
          <w:rPr>
            <w:lang w:val="es-MX"/>
          </w:rPr>
          <w:t>la A.M</w:t>
        </w:r>
      </w:smartTag>
      <w:r>
        <w:rPr>
          <w:lang w:val="es-MX"/>
        </w:rPr>
        <w:t>.I.A no tenía puerta lateral desliza</w:t>
      </w:r>
      <w:r>
        <w:rPr>
          <w:lang w:val="es-MX"/>
        </w:rPr>
        <w:t>n</w:t>
      </w:r>
      <w:r>
        <w:rPr>
          <w:lang w:val="es-MX"/>
        </w:rPr>
        <w:t>te.</w:t>
      </w:r>
    </w:p>
    <w:p w:rsidR="00224567" w:rsidRDefault="00224567">
      <w:pPr>
        <w:widowControl w:val="0"/>
        <w:tabs>
          <w:tab w:val="left" w:pos="2835"/>
        </w:tabs>
        <w:rPr>
          <w:lang w:val="es-MX"/>
        </w:rPr>
      </w:pPr>
      <w:r>
        <w:rPr>
          <w:lang w:val="es-MX"/>
        </w:rPr>
        <w:t xml:space="preserve"> </w:t>
      </w:r>
      <w:r>
        <w:rPr>
          <w:lang w:val="es-MX"/>
        </w:rPr>
        <w:tab/>
        <w:t>Al respecto, mencionó que los emple</w:t>
      </w:r>
      <w:r>
        <w:rPr>
          <w:lang w:val="es-MX"/>
        </w:rPr>
        <w:t>a</w:t>
      </w:r>
      <w:r>
        <w:rPr>
          <w:lang w:val="es-MX"/>
        </w:rPr>
        <w:t xml:space="preserve">dos de Jet Parking negaron haber visto en </w:t>
      </w:r>
      <w:smartTag w:uri="urn:schemas-microsoft-com:office:smarttags" w:element="PersonName">
        <w:smartTagPr>
          <w:attr w:name="ProductID" w:val="la Trafic"/>
        </w:smartTagPr>
        <w:r>
          <w:rPr>
            <w:lang w:val="es-MX"/>
          </w:rPr>
          <w:t>la Trafic</w:t>
        </w:r>
      </w:smartTag>
      <w:r>
        <w:rPr>
          <w:lang w:val="es-MX"/>
        </w:rPr>
        <w:t xml:space="preserve"> una puerta lateral, haciendo hincapié en que “esa camioneta tenía exactamente los mismos detalles de pintura que la que reparó Nitzcaner, y las mismas cubiertas AR </w:t>
      </w:r>
      <w:smartTag w:uri="urn:schemas-microsoft-com:office:smarttags" w:element="metricconverter">
        <w:smartTagPr>
          <w:attr w:name="ProductID" w:val="30”"/>
        </w:smartTagPr>
        <w:r>
          <w:rPr>
            <w:lang w:val="es-MX"/>
          </w:rPr>
          <w:t>30”</w:t>
        </w:r>
      </w:smartTag>
      <w:r>
        <w:rPr>
          <w:lang w:val="es-MX"/>
        </w:rPr>
        <w:t xml:space="preserve">. </w:t>
      </w:r>
    </w:p>
    <w:p w:rsidR="00224567" w:rsidRDefault="00224567">
      <w:pPr>
        <w:widowControl w:val="0"/>
        <w:tabs>
          <w:tab w:val="left" w:pos="2835"/>
        </w:tabs>
        <w:rPr>
          <w:lang w:val="es-MX"/>
        </w:rPr>
      </w:pPr>
      <w:r>
        <w:rPr>
          <w:lang w:val="es-MX"/>
        </w:rPr>
        <w:t xml:space="preserve"> </w:t>
      </w:r>
      <w:r>
        <w:rPr>
          <w:lang w:val="es-MX"/>
        </w:rPr>
        <w:tab/>
        <w:t>En este punto, la defensa cuestionó los argumentos brindados por el Dr. Valle en su alegato con relación a la pintura de la camion</w:t>
      </w:r>
      <w:r>
        <w:rPr>
          <w:lang w:val="es-MX"/>
        </w:rPr>
        <w:t>e</w:t>
      </w:r>
      <w:r>
        <w:rPr>
          <w:lang w:val="es-MX"/>
        </w:rPr>
        <w:t>ta.</w:t>
      </w:r>
    </w:p>
    <w:p w:rsidR="00224567" w:rsidRDefault="00224567">
      <w:pPr>
        <w:pStyle w:val="Textoindependiente3"/>
        <w:widowControl w:val="0"/>
        <w:tabs>
          <w:tab w:val="left" w:pos="2835"/>
        </w:tabs>
        <w:rPr>
          <w:rFonts w:ascii="Courier New" w:hAnsi="Courier New" w:cs="Courier New"/>
          <w:b w:val="0"/>
          <w:sz w:val="24"/>
          <w:lang w:val="es-MX"/>
        </w:rPr>
      </w:pPr>
      <w:r>
        <w:rPr>
          <w:rFonts w:ascii="Courier New" w:hAnsi="Courier New" w:cs="Courier New"/>
          <w:b w:val="0"/>
          <w:sz w:val="24"/>
          <w:lang w:val="es-MX"/>
        </w:rPr>
        <w:t xml:space="preserve"> </w:t>
      </w:r>
      <w:r>
        <w:rPr>
          <w:rFonts w:ascii="Courier New" w:hAnsi="Courier New" w:cs="Courier New"/>
          <w:b w:val="0"/>
          <w:sz w:val="24"/>
          <w:lang w:val="es-MX"/>
        </w:rPr>
        <w:tab/>
        <w:t>Afirmó que el defensor partió del error de tener por probado que la camioneta de Sarapura fue pintada previamente a que éste la adquiri</w:t>
      </w:r>
      <w:r>
        <w:rPr>
          <w:rFonts w:ascii="Courier New" w:hAnsi="Courier New" w:cs="Courier New"/>
          <w:b w:val="0"/>
          <w:sz w:val="24"/>
          <w:lang w:val="es-MX"/>
        </w:rPr>
        <w:t>e</w:t>
      </w:r>
      <w:r>
        <w:rPr>
          <w:rFonts w:ascii="Courier New" w:hAnsi="Courier New" w:cs="Courier New"/>
          <w:b w:val="0"/>
          <w:sz w:val="24"/>
          <w:lang w:val="es-MX"/>
        </w:rPr>
        <w:t>ra, en razón de los choques que presentaba, cuando bien se pudo haber reemplazado los repuestos del mismo color sin necesidad de repintar; situ</w:t>
      </w:r>
      <w:r>
        <w:rPr>
          <w:rFonts w:ascii="Courier New" w:hAnsi="Courier New" w:cs="Courier New"/>
          <w:b w:val="0"/>
          <w:sz w:val="24"/>
          <w:lang w:val="es-MX"/>
        </w:rPr>
        <w:t>a</w:t>
      </w:r>
      <w:r>
        <w:rPr>
          <w:rFonts w:ascii="Courier New" w:hAnsi="Courier New" w:cs="Courier New"/>
          <w:b w:val="0"/>
          <w:sz w:val="24"/>
          <w:lang w:val="es-MX"/>
        </w:rPr>
        <w:t>ción que consideró como la más probable.</w:t>
      </w:r>
    </w:p>
    <w:p w:rsidR="00224567" w:rsidRDefault="00224567">
      <w:pPr>
        <w:widowControl w:val="0"/>
        <w:tabs>
          <w:tab w:val="left" w:pos="2835"/>
        </w:tabs>
        <w:rPr>
          <w:lang w:val="es-MX"/>
        </w:rPr>
      </w:pPr>
      <w:r>
        <w:rPr>
          <w:lang w:val="es-MX"/>
        </w:rPr>
        <w:t xml:space="preserve"> </w:t>
      </w:r>
      <w:r>
        <w:rPr>
          <w:lang w:val="es-MX"/>
        </w:rPr>
        <w:tab/>
        <w:t>Por último, estimó que los arg</w:t>
      </w:r>
      <w:r>
        <w:rPr>
          <w:lang w:val="es-MX"/>
        </w:rPr>
        <w:t>u</w:t>
      </w:r>
      <w:r>
        <w:rPr>
          <w:lang w:val="es-MX"/>
        </w:rPr>
        <w:t>mentos presentados por el Dr. Valle, al igual que el de los ac</w:t>
      </w:r>
      <w:r>
        <w:rPr>
          <w:lang w:val="es-MX"/>
        </w:rPr>
        <w:t>u</w:t>
      </w:r>
      <w:r>
        <w:rPr>
          <w:lang w:val="es-MX"/>
        </w:rPr>
        <w:t>sadores, no superaban la categoría de meras conjet</w:t>
      </w:r>
      <w:r>
        <w:rPr>
          <w:lang w:val="es-MX"/>
        </w:rPr>
        <w:t>u</w:t>
      </w:r>
      <w:r>
        <w:rPr>
          <w:lang w:val="es-MX"/>
        </w:rPr>
        <w:t>ras.</w:t>
      </w:r>
    </w:p>
    <w:p w:rsidR="00224567" w:rsidRDefault="00224567">
      <w:pPr>
        <w:widowControl w:val="0"/>
        <w:tabs>
          <w:tab w:val="left" w:pos="2835"/>
        </w:tabs>
        <w:rPr>
          <w:lang w:val="es-MX"/>
        </w:rPr>
      </w:pPr>
      <w:r>
        <w:rPr>
          <w:lang w:val="es-MX"/>
        </w:rPr>
        <w:t xml:space="preserve"> </w:t>
      </w:r>
      <w:r>
        <w:rPr>
          <w:lang w:val="es-MX"/>
        </w:rPr>
        <w:tab/>
        <w:t>Refirió que la verdadera inte</w:t>
      </w:r>
      <w:r>
        <w:rPr>
          <w:lang w:val="es-MX"/>
        </w:rPr>
        <w:t>n</w:t>
      </w:r>
      <w:r>
        <w:rPr>
          <w:lang w:val="es-MX"/>
        </w:rPr>
        <w:t>ción de la defensa de Ibarra consistió en eludir la responsabil</w:t>
      </w:r>
      <w:r>
        <w:rPr>
          <w:lang w:val="es-MX"/>
        </w:rPr>
        <w:t>i</w:t>
      </w:r>
      <w:r>
        <w:rPr>
          <w:lang w:val="es-MX"/>
        </w:rPr>
        <w:t xml:space="preserve">dad de su asistido, construyendo la hipótesis que buscaba probar que </w:t>
      </w:r>
      <w:smartTag w:uri="urn:schemas-microsoft-com:office:smarttags" w:element="PersonName">
        <w:smartTagPr>
          <w:attr w:name="ProductID" w:val="la Trafic"/>
        </w:smartTagPr>
        <w:r>
          <w:rPr>
            <w:lang w:val="es-MX"/>
          </w:rPr>
          <w:t>la Trafic</w:t>
        </w:r>
      </w:smartTag>
      <w:r>
        <w:rPr>
          <w:lang w:val="es-MX"/>
        </w:rPr>
        <w:t xml:space="preserve"> que retiró Ibarra del domicilio de Telleldín era distinta a la utilizada como cochebomba.</w:t>
      </w:r>
    </w:p>
    <w:p w:rsidR="00224567" w:rsidRDefault="00224567">
      <w:pPr>
        <w:widowControl w:val="0"/>
        <w:tabs>
          <w:tab w:val="left" w:pos="2835"/>
        </w:tabs>
        <w:rPr>
          <w:lang w:val="es-MX"/>
        </w:rPr>
      </w:pPr>
      <w:r>
        <w:rPr>
          <w:lang w:val="es-MX"/>
        </w:rPr>
        <w:tab/>
        <w:t>Sin embargo, recalcó que no existían elementos que permitieran afirmar que su defendido r</w:t>
      </w:r>
      <w:r>
        <w:rPr>
          <w:lang w:val="es-MX"/>
        </w:rPr>
        <w:t>e</w:t>
      </w:r>
      <w:r>
        <w:rPr>
          <w:lang w:val="es-MX"/>
        </w:rPr>
        <w:t>paró otra camioneta, además de la de Sarap</w:t>
      </w:r>
      <w:r>
        <w:rPr>
          <w:lang w:val="es-MX"/>
        </w:rPr>
        <w:t>u</w:t>
      </w:r>
      <w:r>
        <w:rPr>
          <w:lang w:val="es-MX"/>
        </w:rPr>
        <w:t>ra.</w:t>
      </w:r>
    </w:p>
    <w:p w:rsidR="00224567" w:rsidRDefault="00224567">
      <w:pPr>
        <w:widowControl w:val="0"/>
        <w:tabs>
          <w:tab w:val="left" w:pos="2835"/>
        </w:tabs>
        <w:rPr>
          <w:lang w:val="es-MX"/>
        </w:rPr>
      </w:pPr>
      <w:r>
        <w:rPr>
          <w:lang w:val="es-MX"/>
        </w:rPr>
        <w:tab/>
        <w:t>Asimismo, calificó de inválidas e i</w:t>
      </w:r>
      <w:r>
        <w:rPr>
          <w:lang w:val="es-MX"/>
        </w:rPr>
        <w:t>n</w:t>
      </w:r>
      <w:r>
        <w:rPr>
          <w:lang w:val="es-MX"/>
        </w:rPr>
        <w:t>completas a las co</w:t>
      </w:r>
      <w:r>
        <w:rPr>
          <w:lang w:val="es-MX"/>
        </w:rPr>
        <w:t>n</w:t>
      </w:r>
      <w:r>
        <w:rPr>
          <w:lang w:val="es-MX"/>
        </w:rPr>
        <w:t>jeturas esbozadas, toda vez que aquella hipótesis no explicaba si Ibarra se enco</w:t>
      </w:r>
      <w:r>
        <w:rPr>
          <w:lang w:val="es-MX"/>
        </w:rPr>
        <w:t>n</w:t>
      </w:r>
      <w:r>
        <w:rPr>
          <w:lang w:val="es-MX"/>
        </w:rPr>
        <w:t xml:space="preserve">traba al momento de la entrega de </w:t>
      </w:r>
      <w:smartTag w:uri="urn:schemas-microsoft-com:office:smarttags" w:element="PersonName">
        <w:smartTagPr>
          <w:attr w:name="ProductID" w:val="la Trafic"/>
        </w:smartTagPr>
        <w:r>
          <w:rPr>
            <w:lang w:val="es-MX"/>
          </w:rPr>
          <w:t>la Trafic</w:t>
        </w:r>
      </w:smartTag>
      <w:r>
        <w:rPr>
          <w:lang w:val="es-MX"/>
        </w:rPr>
        <w:t xml:space="preserve"> con Ramón Mart</w:t>
      </w:r>
      <w:r>
        <w:rPr>
          <w:lang w:val="es-MX"/>
        </w:rPr>
        <w:t>í</w:t>
      </w:r>
      <w:r>
        <w:rPr>
          <w:lang w:val="es-MX"/>
        </w:rPr>
        <w:t>nez, en ese caso quién era Ramón Martínez, dónde se encontraba esa camion</w:t>
      </w:r>
      <w:r>
        <w:rPr>
          <w:lang w:val="es-MX"/>
        </w:rPr>
        <w:t>e</w:t>
      </w:r>
      <w:r>
        <w:rPr>
          <w:lang w:val="es-MX"/>
        </w:rPr>
        <w:t xml:space="preserve">ta y, en definitiva, qué pasó con la carrocería después del 10 de julio de 1994. </w:t>
      </w:r>
    </w:p>
    <w:p w:rsidR="00224567" w:rsidRDefault="00224567">
      <w:pPr>
        <w:pStyle w:val="Textoindependiente3"/>
        <w:widowControl w:val="0"/>
        <w:tabs>
          <w:tab w:val="left" w:pos="2835"/>
        </w:tabs>
        <w:rPr>
          <w:rFonts w:ascii="Courier New" w:hAnsi="Courier New" w:cs="Courier New"/>
          <w:b w:val="0"/>
          <w:bCs/>
          <w:sz w:val="24"/>
          <w:lang w:val="es-MX"/>
        </w:rPr>
      </w:pPr>
      <w:r>
        <w:rPr>
          <w:lang w:val="es-MX"/>
        </w:rPr>
        <w:tab/>
      </w:r>
      <w:r>
        <w:rPr>
          <w:rFonts w:ascii="Courier New" w:hAnsi="Courier New" w:cs="Courier New"/>
          <w:b w:val="0"/>
          <w:bCs/>
          <w:sz w:val="24"/>
          <w:lang w:val="es-MX"/>
        </w:rPr>
        <w:t>Por otro lado, recordó que la d</w:t>
      </w:r>
      <w:r>
        <w:rPr>
          <w:rFonts w:ascii="Courier New" w:hAnsi="Courier New" w:cs="Courier New"/>
          <w:b w:val="0"/>
          <w:bCs/>
          <w:sz w:val="24"/>
          <w:lang w:val="es-MX"/>
        </w:rPr>
        <w:t>e</w:t>
      </w:r>
      <w:r>
        <w:rPr>
          <w:rFonts w:ascii="Courier New" w:hAnsi="Courier New" w:cs="Courier New"/>
          <w:b w:val="0"/>
          <w:bCs/>
          <w:sz w:val="24"/>
          <w:lang w:val="es-MX"/>
        </w:rPr>
        <w:t>fensa de Ibarra afirmó que los expertos de C.I.A.D.E.A. sost</w:t>
      </w:r>
      <w:r>
        <w:rPr>
          <w:rFonts w:ascii="Courier New" w:hAnsi="Courier New" w:cs="Courier New"/>
          <w:b w:val="0"/>
          <w:bCs/>
          <w:sz w:val="24"/>
          <w:lang w:val="es-MX"/>
        </w:rPr>
        <w:t>u</w:t>
      </w:r>
      <w:r>
        <w:rPr>
          <w:rFonts w:ascii="Courier New" w:hAnsi="Courier New" w:cs="Courier New"/>
          <w:b w:val="0"/>
          <w:bCs/>
          <w:sz w:val="24"/>
          <w:lang w:val="es-MX"/>
        </w:rPr>
        <w:t>vieron que nunca se hacía stock por más de seis m</w:t>
      </w:r>
      <w:r>
        <w:rPr>
          <w:rFonts w:ascii="Courier New" w:hAnsi="Courier New" w:cs="Courier New"/>
          <w:b w:val="0"/>
          <w:bCs/>
          <w:sz w:val="24"/>
          <w:lang w:val="es-MX"/>
        </w:rPr>
        <w:t>e</w:t>
      </w:r>
      <w:r>
        <w:rPr>
          <w:rFonts w:ascii="Courier New" w:hAnsi="Courier New" w:cs="Courier New"/>
          <w:b w:val="0"/>
          <w:bCs/>
          <w:sz w:val="24"/>
          <w:lang w:val="es-MX"/>
        </w:rPr>
        <w:t>ses. Sin embargo, a juicio de la defensa de Telleldín, el pe</w:t>
      </w:r>
      <w:r>
        <w:rPr>
          <w:rFonts w:ascii="Courier New" w:hAnsi="Courier New" w:cs="Courier New"/>
          <w:b w:val="0"/>
          <w:bCs/>
          <w:sz w:val="24"/>
          <w:lang w:val="es-MX"/>
        </w:rPr>
        <w:t>r</w:t>
      </w:r>
      <w:r>
        <w:rPr>
          <w:rFonts w:ascii="Courier New" w:hAnsi="Courier New" w:cs="Courier New"/>
          <w:b w:val="0"/>
          <w:bCs/>
          <w:sz w:val="24"/>
          <w:lang w:val="es-MX"/>
        </w:rPr>
        <w:t>sonal de C.I.A.D.E.A. declaró exactamente lo contr</w:t>
      </w:r>
      <w:r>
        <w:rPr>
          <w:rFonts w:ascii="Courier New" w:hAnsi="Courier New" w:cs="Courier New"/>
          <w:b w:val="0"/>
          <w:bCs/>
          <w:sz w:val="24"/>
          <w:lang w:val="es-MX"/>
        </w:rPr>
        <w:t>a</w:t>
      </w:r>
      <w:r>
        <w:rPr>
          <w:rFonts w:ascii="Courier New" w:hAnsi="Courier New" w:cs="Courier New"/>
          <w:b w:val="0"/>
          <w:bCs/>
          <w:sz w:val="24"/>
          <w:lang w:val="es-MX"/>
        </w:rPr>
        <w:t>rio.</w:t>
      </w:r>
    </w:p>
    <w:p w:rsidR="00224567" w:rsidRDefault="00224567">
      <w:pPr>
        <w:widowControl w:val="0"/>
        <w:tabs>
          <w:tab w:val="left" w:pos="2835"/>
        </w:tabs>
        <w:rPr>
          <w:lang w:val="es-MX"/>
        </w:rPr>
      </w:pPr>
      <w:r>
        <w:rPr>
          <w:lang w:val="es-MX"/>
        </w:rPr>
        <w:tab/>
        <w:t>Hizo referencia a lo declarado por Fe</w:t>
      </w:r>
      <w:r>
        <w:t>rnando Carlos Cingolani, que manifestó que resultaba p</w:t>
      </w:r>
      <w:r>
        <w:t>o</w:t>
      </w:r>
      <w:r>
        <w:t>sible que haya existido en planta un stock de piezas sup</w:t>
      </w:r>
      <w:r>
        <w:t>e</w:t>
      </w:r>
      <w:r>
        <w:t xml:space="preserve">rior a </w:t>
      </w:r>
      <w:r>
        <w:rPr>
          <w:lang w:val="es-MX"/>
        </w:rPr>
        <w:t>los seis u ocho meses, por lo que un vehíc</w:t>
      </w:r>
      <w:r>
        <w:rPr>
          <w:lang w:val="es-MX"/>
        </w:rPr>
        <w:t>u</w:t>
      </w:r>
      <w:r>
        <w:rPr>
          <w:lang w:val="es-MX"/>
        </w:rPr>
        <w:t>lo de un año podía tener piezas fabr</w:t>
      </w:r>
      <w:r>
        <w:rPr>
          <w:lang w:val="es-MX"/>
        </w:rPr>
        <w:t>i</w:t>
      </w:r>
      <w:r>
        <w:rPr>
          <w:lang w:val="es-MX"/>
        </w:rPr>
        <w:t>cadas en el año anterior.</w:t>
      </w:r>
      <w:r>
        <w:rPr>
          <w:rFonts w:ascii="Comic Sans MS" w:hAnsi="Comic Sans MS"/>
          <w:lang w:val="es-MX"/>
        </w:rPr>
        <w:t xml:space="preserve"> </w:t>
      </w:r>
    </w:p>
    <w:p w:rsidR="00224567" w:rsidRDefault="00224567">
      <w:pPr>
        <w:widowControl w:val="0"/>
        <w:tabs>
          <w:tab w:val="left" w:pos="2835"/>
        </w:tabs>
        <w:rPr>
          <w:lang w:val="es-MX"/>
        </w:rPr>
      </w:pPr>
      <w:r>
        <w:rPr>
          <w:lang w:val="es-MX"/>
        </w:rPr>
        <w:tab/>
        <w:t>Objetó lo sostenido por el Dr. Valle con relación a los testigos Gariboldi, Pérez, Ricagno, Salcedo y Valdéz, pues en ningún momento sostuvieron lo que intentó hacerles decir la defensa oficial.</w:t>
      </w:r>
    </w:p>
    <w:p w:rsidR="00224567" w:rsidRDefault="00224567">
      <w:pPr>
        <w:pStyle w:val="Textoindependiente3"/>
        <w:widowControl w:val="0"/>
        <w:tabs>
          <w:tab w:val="left" w:pos="2835"/>
        </w:tabs>
        <w:rPr>
          <w:rFonts w:ascii="Courier New" w:hAnsi="Courier New" w:cs="Courier New"/>
          <w:b w:val="0"/>
          <w:sz w:val="24"/>
          <w:lang w:val="es-MX"/>
        </w:rPr>
      </w:pPr>
      <w:r>
        <w:rPr>
          <w:rFonts w:ascii="Courier New" w:hAnsi="Courier New" w:cs="Courier New"/>
          <w:b w:val="0"/>
          <w:sz w:val="24"/>
          <w:lang w:val="es-MX"/>
        </w:rPr>
        <w:tab/>
        <w:t>Así, reseñó que Eduardo Magnano, dijo al confrontárselo con su declaración escrita, que era p</w:t>
      </w:r>
      <w:r>
        <w:rPr>
          <w:rFonts w:ascii="Courier New" w:hAnsi="Courier New" w:cs="Courier New"/>
          <w:b w:val="0"/>
          <w:sz w:val="24"/>
          <w:lang w:val="es-MX"/>
        </w:rPr>
        <w:t>o</w:t>
      </w:r>
      <w:r>
        <w:rPr>
          <w:rFonts w:ascii="Courier New" w:hAnsi="Courier New" w:cs="Courier New"/>
          <w:b w:val="0"/>
          <w:sz w:val="24"/>
          <w:lang w:val="es-MX"/>
        </w:rPr>
        <w:t>sible vender un auto fabricado en un año anterior en otro posterior, agregando que efectivamente hubo stock de pi</w:t>
      </w:r>
      <w:r>
        <w:rPr>
          <w:rFonts w:ascii="Courier New" w:hAnsi="Courier New" w:cs="Courier New"/>
          <w:b w:val="0"/>
          <w:sz w:val="24"/>
          <w:lang w:val="es-MX"/>
        </w:rPr>
        <w:t>e</w:t>
      </w:r>
      <w:r>
        <w:rPr>
          <w:rFonts w:ascii="Courier New" w:hAnsi="Courier New" w:cs="Courier New"/>
          <w:b w:val="0"/>
          <w:sz w:val="24"/>
          <w:lang w:val="es-MX"/>
        </w:rPr>
        <w:t>zas, como también resultaba posible que las f</w:t>
      </w:r>
      <w:r>
        <w:rPr>
          <w:rFonts w:ascii="Courier New" w:hAnsi="Courier New" w:cs="Courier New"/>
          <w:b w:val="0"/>
          <w:sz w:val="24"/>
          <w:lang w:val="es-MX"/>
        </w:rPr>
        <w:t>a</w:t>
      </w:r>
      <w:r>
        <w:rPr>
          <w:rFonts w:ascii="Courier New" w:hAnsi="Courier New" w:cs="Courier New"/>
          <w:b w:val="0"/>
          <w:sz w:val="24"/>
          <w:lang w:val="es-MX"/>
        </w:rPr>
        <w:t>bricadas en un año se mo</w:t>
      </w:r>
      <w:r>
        <w:rPr>
          <w:rFonts w:ascii="Courier New" w:hAnsi="Courier New" w:cs="Courier New"/>
          <w:b w:val="0"/>
          <w:sz w:val="24"/>
          <w:lang w:val="es-MX"/>
        </w:rPr>
        <w:t>n</w:t>
      </w:r>
      <w:r>
        <w:rPr>
          <w:rFonts w:ascii="Courier New" w:hAnsi="Courier New" w:cs="Courier New"/>
          <w:b w:val="0"/>
          <w:sz w:val="24"/>
          <w:lang w:val="es-MX"/>
        </w:rPr>
        <w:t>taran al año siguiente.</w:t>
      </w:r>
    </w:p>
    <w:p w:rsidR="00224567" w:rsidRDefault="00224567">
      <w:pPr>
        <w:pStyle w:val="Textoindependiente3"/>
        <w:widowControl w:val="0"/>
        <w:tabs>
          <w:tab w:val="left" w:pos="2835"/>
        </w:tabs>
        <w:rPr>
          <w:lang w:val="es-MX"/>
        </w:rPr>
      </w:pPr>
      <w:r>
        <w:rPr>
          <w:rFonts w:ascii="Courier New" w:hAnsi="Courier New" w:cs="Courier New"/>
          <w:b w:val="0"/>
          <w:sz w:val="24"/>
          <w:lang w:val="es-MX"/>
        </w:rPr>
        <w:t xml:space="preserve"> </w:t>
      </w:r>
      <w:r>
        <w:rPr>
          <w:rFonts w:ascii="Courier New" w:hAnsi="Courier New" w:cs="Courier New"/>
          <w:b w:val="0"/>
          <w:sz w:val="24"/>
          <w:lang w:val="es-MX"/>
        </w:rPr>
        <w:tab/>
        <w:t>Destacó que Diego Eduardo Ricagno, también, al ser confront</w:t>
      </w:r>
      <w:r>
        <w:rPr>
          <w:rFonts w:ascii="Courier New" w:hAnsi="Courier New" w:cs="Courier New"/>
          <w:b w:val="0"/>
          <w:sz w:val="24"/>
          <w:lang w:val="es-MX"/>
        </w:rPr>
        <w:t>a</w:t>
      </w:r>
      <w:r>
        <w:rPr>
          <w:rFonts w:ascii="Courier New" w:hAnsi="Courier New" w:cs="Courier New"/>
          <w:b w:val="0"/>
          <w:sz w:val="24"/>
          <w:lang w:val="es-MX"/>
        </w:rPr>
        <w:t>do con su declaración prestada en el juzgado instructor, sostuvo que era posible que la un</w:t>
      </w:r>
      <w:r>
        <w:rPr>
          <w:rFonts w:ascii="Courier New" w:hAnsi="Courier New" w:cs="Courier New"/>
          <w:b w:val="0"/>
          <w:sz w:val="24"/>
          <w:lang w:val="es-MX"/>
        </w:rPr>
        <w:t>i</w:t>
      </w:r>
      <w:r>
        <w:rPr>
          <w:rFonts w:ascii="Courier New" w:hAnsi="Courier New" w:cs="Courier New"/>
          <w:b w:val="0"/>
          <w:sz w:val="24"/>
          <w:lang w:val="es-MX"/>
        </w:rPr>
        <w:t>dad completa quedara en stock y se vendiera al año s</w:t>
      </w:r>
      <w:r>
        <w:rPr>
          <w:rFonts w:ascii="Courier New" w:hAnsi="Courier New" w:cs="Courier New"/>
          <w:b w:val="0"/>
          <w:sz w:val="24"/>
          <w:lang w:val="es-MX"/>
        </w:rPr>
        <w:t>i</w:t>
      </w:r>
      <w:r>
        <w:rPr>
          <w:rFonts w:ascii="Courier New" w:hAnsi="Courier New" w:cs="Courier New"/>
          <w:b w:val="0"/>
          <w:sz w:val="24"/>
          <w:lang w:val="es-MX"/>
        </w:rPr>
        <w:t>guiente de ser fabricada</w:t>
      </w:r>
      <w:r>
        <w:rPr>
          <w:lang w:val="es-MX"/>
        </w:rPr>
        <w:t>.</w:t>
      </w:r>
    </w:p>
    <w:p w:rsidR="00224567" w:rsidRDefault="00224567">
      <w:pPr>
        <w:pStyle w:val="Textoindependiente3"/>
        <w:widowControl w:val="0"/>
        <w:tabs>
          <w:tab w:val="left" w:pos="2835"/>
        </w:tabs>
        <w:rPr>
          <w:rFonts w:ascii="Courier New" w:hAnsi="Courier New" w:cs="Courier New"/>
          <w:b w:val="0"/>
          <w:bCs/>
          <w:sz w:val="24"/>
          <w:lang w:val="es-MX"/>
        </w:rPr>
      </w:pPr>
      <w:r>
        <w:rPr>
          <w:lang w:val="es-MX"/>
        </w:rPr>
        <w:tab/>
      </w:r>
      <w:r>
        <w:rPr>
          <w:rFonts w:ascii="Courier New" w:hAnsi="Courier New" w:cs="Courier New"/>
          <w:b w:val="0"/>
          <w:bCs/>
          <w:sz w:val="24"/>
          <w:lang w:val="es-MX"/>
        </w:rPr>
        <w:t>Con relación al testimonio prestado por José Luis Rosetti, señaló que el técnico no sólo so</w:t>
      </w:r>
      <w:r>
        <w:rPr>
          <w:rFonts w:ascii="Courier New" w:hAnsi="Courier New" w:cs="Courier New"/>
          <w:b w:val="0"/>
          <w:bCs/>
          <w:sz w:val="24"/>
          <w:lang w:val="es-MX"/>
        </w:rPr>
        <w:t>s</w:t>
      </w:r>
      <w:r>
        <w:rPr>
          <w:rFonts w:ascii="Courier New" w:hAnsi="Courier New" w:cs="Courier New"/>
          <w:b w:val="0"/>
          <w:bCs/>
          <w:sz w:val="24"/>
          <w:lang w:val="es-MX"/>
        </w:rPr>
        <w:t>tuvo que el stock era posible, sino que además e</w:t>
      </w:r>
      <w:r>
        <w:rPr>
          <w:rFonts w:ascii="Courier New" w:hAnsi="Courier New" w:cs="Courier New"/>
          <w:b w:val="0"/>
          <w:bCs/>
          <w:sz w:val="24"/>
          <w:lang w:val="es-MX"/>
        </w:rPr>
        <w:t>x</w:t>
      </w:r>
      <w:r>
        <w:rPr>
          <w:rFonts w:ascii="Courier New" w:hAnsi="Courier New" w:cs="Courier New"/>
          <w:b w:val="0"/>
          <w:bCs/>
          <w:sz w:val="24"/>
          <w:lang w:val="es-MX"/>
        </w:rPr>
        <w:t>plicó que se podían llegar a fabricar todas las piezas de un vehíc</w:t>
      </w:r>
      <w:r>
        <w:rPr>
          <w:rFonts w:ascii="Courier New" w:hAnsi="Courier New" w:cs="Courier New"/>
          <w:b w:val="0"/>
          <w:bCs/>
          <w:sz w:val="24"/>
          <w:lang w:val="es-MX"/>
        </w:rPr>
        <w:t>u</w:t>
      </w:r>
      <w:r>
        <w:rPr>
          <w:rFonts w:ascii="Courier New" w:hAnsi="Courier New" w:cs="Courier New"/>
          <w:b w:val="0"/>
          <w:bCs/>
          <w:sz w:val="24"/>
          <w:lang w:val="es-MX"/>
        </w:rPr>
        <w:t>lo en un determinado año, almacenarlas y armarlas dentro de dos años.</w:t>
      </w:r>
    </w:p>
    <w:p w:rsidR="00224567" w:rsidRDefault="00224567">
      <w:pPr>
        <w:pStyle w:val="Textoindependiente3"/>
        <w:widowControl w:val="0"/>
        <w:tabs>
          <w:tab w:val="left" w:pos="2835"/>
        </w:tabs>
        <w:rPr>
          <w:rFonts w:ascii="Courier New" w:hAnsi="Courier New" w:cs="Courier New"/>
          <w:b w:val="0"/>
          <w:bCs/>
          <w:sz w:val="24"/>
          <w:lang w:val="es-MX"/>
        </w:rPr>
      </w:pPr>
      <w:r>
        <w:rPr>
          <w:rFonts w:ascii="Courier New" w:hAnsi="Courier New" w:cs="Courier New"/>
          <w:b w:val="0"/>
          <w:bCs/>
          <w:sz w:val="24"/>
          <w:lang w:val="es-MX"/>
        </w:rPr>
        <w:tab/>
        <w:t>Agregó la defensa particular, que R</w:t>
      </w:r>
      <w:r>
        <w:rPr>
          <w:rFonts w:ascii="Courier New" w:hAnsi="Courier New" w:cs="Courier New"/>
          <w:b w:val="0"/>
          <w:bCs/>
          <w:sz w:val="24"/>
          <w:lang w:val="es-MX"/>
        </w:rPr>
        <w:t>o</w:t>
      </w:r>
      <w:r>
        <w:rPr>
          <w:rFonts w:ascii="Courier New" w:hAnsi="Courier New" w:cs="Courier New"/>
          <w:b w:val="0"/>
          <w:bCs/>
          <w:sz w:val="24"/>
          <w:lang w:val="es-MX"/>
        </w:rPr>
        <w:t>setti incluso afirmó que esta acumulación de material se produjo por problemas de venta en C.I.A.D.E.A. y que p</w:t>
      </w:r>
      <w:r>
        <w:rPr>
          <w:rFonts w:ascii="Courier New" w:hAnsi="Courier New" w:cs="Courier New"/>
          <w:b w:val="0"/>
          <w:bCs/>
          <w:sz w:val="24"/>
          <w:lang w:val="es-MX"/>
        </w:rPr>
        <w:t>o</w:t>
      </w:r>
      <w:r>
        <w:rPr>
          <w:rFonts w:ascii="Courier New" w:hAnsi="Courier New" w:cs="Courier New"/>
          <w:b w:val="0"/>
          <w:bCs/>
          <w:sz w:val="24"/>
          <w:lang w:val="es-MX"/>
        </w:rPr>
        <w:t>dían haber importado piezas en modelos que no salían, y reflotarlas a los cinco años, o armar otro modelo con las piezas del vehículo importado, que ya no se fabr</w:t>
      </w:r>
      <w:r>
        <w:rPr>
          <w:rFonts w:ascii="Courier New" w:hAnsi="Courier New" w:cs="Courier New"/>
          <w:b w:val="0"/>
          <w:bCs/>
          <w:sz w:val="24"/>
          <w:lang w:val="es-MX"/>
        </w:rPr>
        <w:t>i</w:t>
      </w:r>
      <w:r>
        <w:rPr>
          <w:rFonts w:ascii="Courier New" w:hAnsi="Courier New" w:cs="Courier New"/>
          <w:b w:val="0"/>
          <w:bCs/>
          <w:sz w:val="24"/>
          <w:lang w:val="es-MX"/>
        </w:rPr>
        <w:t>caba más, declarando también que “esto se hizo con los repuestos originales de chapa, y que después del procedimiento de cataforesis, no puede aseverar que no se hayan utilizado autopartes de chapa como capó, o puerta, que tenían el procedimiento anterior”.</w:t>
      </w:r>
    </w:p>
    <w:p w:rsidR="00224567" w:rsidRDefault="00224567">
      <w:pPr>
        <w:widowControl w:val="0"/>
        <w:tabs>
          <w:tab w:val="left" w:pos="2835"/>
        </w:tabs>
        <w:rPr>
          <w:bCs/>
        </w:rPr>
      </w:pPr>
      <w:r>
        <w:rPr>
          <w:bCs/>
          <w:lang w:val="es-MX"/>
        </w:rPr>
        <w:t xml:space="preserve"> </w:t>
      </w:r>
      <w:r>
        <w:rPr>
          <w:bCs/>
          <w:lang w:val="es-MX"/>
        </w:rPr>
        <w:tab/>
        <w:t>Por último, puntualizó, que el único testigo que dudó acerca la existencia de stock de autopa</w:t>
      </w:r>
      <w:r>
        <w:rPr>
          <w:bCs/>
          <w:lang w:val="es-MX"/>
        </w:rPr>
        <w:t>r</w:t>
      </w:r>
      <w:r>
        <w:rPr>
          <w:bCs/>
          <w:lang w:val="es-MX"/>
        </w:rPr>
        <w:t>tes por tantos meses, fue Ric</w:t>
      </w:r>
      <w:r>
        <w:rPr>
          <w:bCs/>
        </w:rPr>
        <w:t>ardo Eduardo Rodríguez Arvas, entendiendo que la duda del testigo se debió a que su a</w:t>
      </w:r>
      <w:r>
        <w:rPr>
          <w:bCs/>
        </w:rPr>
        <w:t>c</w:t>
      </w:r>
      <w:r>
        <w:rPr>
          <w:bCs/>
        </w:rPr>
        <w:t>tividad laboral en C.I.A.D.E.A. no estaba r</w:t>
      </w:r>
      <w:r>
        <w:rPr>
          <w:bCs/>
        </w:rPr>
        <w:t>e</w:t>
      </w:r>
      <w:r>
        <w:rPr>
          <w:bCs/>
        </w:rPr>
        <w:t>lacionaba con la tarea del sector de fabricación y mo</w:t>
      </w:r>
      <w:r>
        <w:rPr>
          <w:bCs/>
        </w:rPr>
        <w:t>n</w:t>
      </w:r>
      <w:r>
        <w:rPr>
          <w:bCs/>
        </w:rPr>
        <w:t>taje.</w:t>
      </w:r>
    </w:p>
    <w:p w:rsidR="00224567" w:rsidRDefault="00224567">
      <w:pPr>
        <w:widowControl w:val="0"/>
        <w:tabs>
          <w:tab w:val="left" w:pos="2835"/>
        </w:tabs>
        <w:rPr>
          <w:bCs/>
          <w:lang w:val="es-MX"/>
        </w:rPr>
      </w:pPr>
      <w:r>
        <w:rPr>
          <w:bCs/>
        </w:rPr>
        <w:tab/>
        <w:t xml:space="preserve">No obstante ello, la defensa remarcó que Rodríguez Arvas dudó que ello pudiera ocurrir porque </w:t>
      </w:r>
      <w:r>
        <w:rPr>
          <w:bCs/>
          <w:lang w:val="es-MX"/>
        </w:rPr>
        <w:t>financieramente no podía soportarse el costo de mantener tantos repuestos en stock, señ</w:t>
      </w:r>
      <w:r>
        <w:rPr>
          <w:bCs/>
          <w:lang w:val="es-MX"/>
        </w:rPr>
        <w:t>a</w:t>
      </w:r>
      <w:r>
        <w:rPr>
          <w:bCs/>
          <w:lang w:val="es-MX"/>
        </w:rPr>
        <w:t>lando que la acumulación de autopartes en la sede de C.I.A.D.E.A., no fue una decisión empresarial, sino que se debió a la gran caída en las ve</w:t>
      </w:r>
      <w:r>
        <w:rPr>
          <w:bCs/>
          <w:lang w:val="es-MX"/>
        </w:rPr>
        <w:t>n</w:t>
      </w:r>
      <w:r>
        <w:rPr>
          <w:bCs/>
          <w:lang w:val="es-MX"/>
        </w:rPr>
        <w:t>tas, como lo afirmaron los test</w:t>
      </w:r>
      <w:r>
        <w:rPr>
          <w:bCs/>
          <w:lang w:val="es-MX"/>
        </w:rPr>
        <w:t>i</w:t>
      </w:r>
      <w:r>
        <w:rPr>
          <w:bCs/>
          <w:lang w:val="es-MX"/>
        </w:rPr>
        <w:t>gos.</w:t>
      </w:r>
    </w:p>
    <w:p w:rsidR="00224567" w:rsidRDefault="00224567">
      <w:pPr>
        <w:widowControl w:val="0"/>
        <w:tabs>
          <w:tab w:val="left" w:pos="2835"/>
        </w:tabs>
        <w:rPr>
          <w:bCs/>
          <w:lang w:val="es-MX"/>
        </w:rPr>
      </w:pPr>
      <w:r>
        <w:rPr>
          <w:bCs/>
          <w:lang w:val="es-MX"/>
        </w:rPr>
        <w:tab/>
        <w:t>Acto seguido, la asistencia té</w:t>
      </w:r>
      <w:r>
        <w:rPr>
          <w:bCs/>
          <w:lang w:val="es-MX"/>
        </w:rPr>
        <w:t>c</w:t>
      </w:r>
      <w:r>
        <w:rPr>
          <w:bCs/>
          <w:lang w:val="es-MX"/>
        </w:rPr>
        <w:t xml:space="preserve">nica de Telleldín precisó que de acuerdo al informe de fs. 14.264, la camioneta que explotó en la sede de </w:t>
      </w:r>
      <w:smartTag w:uri="urn:schemas-microsoft-com:office:smarttags" w:element="PersonName">
        <w:smartTagPr>
          <w:attr w:name="ProductID" w:val="la A.M"/>
        </w:smartTagPr>
        <w:r>
          <w:rPr>
            <w:bCs/>
            <w:lang w:val="es-MX"/>
          </w:rPr>
          <w:t>la A.M</w:t>
        </w:r>
      </w:smartTag>
      <w:r>
        <w:rPr>
          <w:bCs/>
          <w:lang w:val="es-MX"/>
        </w:rPr>
        <w:t>.I.A. fue f</w:t>
      </w:r>
      <w:r>
        <w:rPr>
          <w:bCs/>
          <w:lang w:val="es-MX"/>
        </w:rPr>
        <w:t>a</w:t>
      </w:r>
      <w:r>
        <w:rPr>
          <w:bCs/>
          <w:lang w:val="es-MX"/>
        </w:rPr>
        <w:t>bricada en el año 1991.</w:t>
      </w:r>
    </w:p>
    <w:p w:rsidR="00224567" w:rsidRDefault="00224567">
      <w:pPr>
        <w:widowControl w:val="0"/>
        <w:tabs>
          <w:tab w:val="left" w:pos="2835"/>
        </w:tabs>
        <w:rPr>
          <w:lang w:val="es-MX"/>
        </w:rPr>
      </w:pPr>
      <w:r>
        <w:rPr>
          <w:bCs/>
          <w:lang w:val="es-MX"/>
        </w:rPr>
        <w:tab/>
        <w:t>En definitiva, indicó que Telleldín “armó” una sola camioneta, y que la carrocería utilizada pertenecía a la camioneta de Sarap</w:t>
      </w:r>
      <w:r>
        <w:rPr>
          <w:bCs/>
          <w:lang w:val="es-MX"/>
        </w:rPr>
        <w:t>u</w:t>
      </w:r>
      <w:r>
        <w:rPr>
          <w:bCs/>
          <w:lang w:val="es-MX"/>
        </w:rPr>
        <w:t>ra.</w:t>
      </w:r>
    </w:p>
    <w:p w:rsidR="00224567" w:rsidRDefault="00224567">
      <w:pPr>
        <w:widowControl w:val="0"/>
        <w:tabs>
          <w:tab w:val="left" w:pos="2835"/>
        </w:tabs>
      </w:pPr>
      <w:r>
        <w:rPr>
          <w:lang w:val="es-MX"/>
        </w:rPr>
        <w:t xml:space="preserve"> </w:t>
      </w:r>
      <w:r>
        <w:tab/>
        <w:t>Acto seguido, pasó a analizar las r</w:t>
      </w:r>
      <w:r>
        <w:t>é</w:t>
      </w:r>
      <w:r>
        <w:t>plicas elaboradas por las partes acusadoras, advirtiendo que repitieron las consideraciones ya efectuadas en los alegatos.</w:t>
      </w:r>
    </w:p>
    <w:p w:rsidR="00224567" w:rsidRDefault="00224567">
      <w:pPr>
        <w:widowControl w:val="0"/>
        <w:tabs>
          <w:tab w:val="left" w:pos="2835"/>
        </w:tabs>
        <w:rPr>
          <w:lang w:val="es-MX"/>
        </w:rPr>
      </w:pPr>
      <w:r>
        <w:rPr>
          <w:lang w:val="es-MX"/>
        </w:rPr>
        <w:tab/>
        <w:t>En primer lugar, estimó que la quer</w:t>
      </w:r>
      <w:r>
        <w:rPr>
          <w:lang w:val="es-MX"/>
        </w:rPr>
        <w:t>e</w:t>
      </w:r>
      <w:r>
        <w:rPr>
          <w:lang w:val="es-MX"/>
        </w:rPr>
        <w:t>lla “Memoria Activa” intentó reacomodar con nuevas conj</w:t>
      </w:r>
      <w:r>
        <w:rPr>
          <w:lang w:val="es-MX"/>
        </w:rPr>
        <w:t>e</w:t>
      </w:r>
      <w:r>
        <w:rPr>
          <w:lang w:val="es-MX"/>
        </w:rPr>
        <w:t>turas las graves contradicciones jurídicas, fácticas y procesales, en las que incurrió al momento de alegar, r</w:t>
      </w:r>
      <w:r>
        <w:rPr>
          <w:lang w:val="es-MX"/>
        </w:rPr>
        <w:t>e</w:t>
      </w:r>
      <w:r>
        <w:rPr>
          <w:lang w:val="es-MX"/>
        </w:rPr>
        <w:t>cordando que  fue el propio letrado querellante quién so</w:t>
      </w:r>
      <w:r>
        <w:rPr>
          <w:lang w:val="es-MX"/>
        </w:rPr>
        <w:t>s</w:t>
      </w:r>
      <w:r>
        <w:rPr>
          <w:lang w:val="es-MX"/>
        </w:rPr>
        <w:t>tuvo que no venía a respetar mansamente el código de pr</w:t>
      </w:r>
      <w:r>
        <w:rPr>
          <w:lang w:val="es-MX"/>
        </w:rPr>
        <w:t>o</w:t>
      </w:r>
      <w:r>
        <w:rPr>
          <w:lang w:val="es-MX"/>
        </w:rPr>
        <w:t>cedimientos.</w:t>
      </w:r>
    </w:p>
    <w:p w:rsidR="00224567" w:rsidRDefault="00224567">
      <w:pPr>
        <w:widowControl w:val="0"/>
        <w:tabs>
          <w:tab w:val="left" w:pos="2835"/>
        </w:tabs>
        <w:rPr>
          <w:lang w:val="es-MX"/>
        </w:rPr>
      </w:pPr>
      <w:r>
        <w:rPr>
          <w:lang w:val="es-MX"/>
        </w:rPr>
        <w:t xml:space="preserve"> </w:t>
      </w:r>
      <w:r>
        <w:rPr>
          <w:lang w:val="es-MX"/>
        </w:rPr>
        <w:tab/>
        <w:t>Señaló que la acusación particular m</w:t>
      </w:r>
      <w:r>
        <w:rPr>
          <w:lang w:val="es-MX"/>
        </w:rPr>
        <w:t>a</w:t>
      </w:r>
      <w:r>
        <w:rPr>
          <w:lang w:val="es-MX"/>
        </w:rPr>
        <w:t>nifestó que Telleldín mintió; sin embargo, omitió i</w:t>
      </w:r>
      <w:r>
        <w:rPr>
          <w:lang w:val="es-MX"/>
        </w:rPr>
        <w:t>n</w:t>
      </w:r>
      <w:r>
        <w:rPr>
          <w:lang w:val="es-MX"/>
        </w:rPr>
        <w:t>dicar en que oportunidad lo hizo y cómo lo probó.</w:t>
      </w:r>
    </w:p>
    <w:p w:rsidR="00224567" w:rsidRDefault="00224567">
      <w:pPr>
        <w:widowControl w:val="0"/>
        <w:tabs>
          <w:tab w:val="left" w:pos="2835"/>
        </w:tabs>
        <w:rPr>
          <w:lang w:val="es-MX"/>
        </w:rPr>
      </w:pPr>
      <w:r>
        <w:rPr>
          <w:lang w:val="es-MX"/>
        </w:rPr>
        <w:tab/>
        <w:t>Consideró que reeditó las mismas cue</w:t>
      </w:r>
      <w:r>
        <w:rPr>
          <w:lang w:val="es-MX"/>
        </w:rPr>
        <w:t>s</w:t>
      </w:r>
      <w:r>
        <w:rPr>
          <w:lang w:val="es-MX"/>
        </w:rPr>
        <w:t>tiones alegadas; el armado de tres camionetas, la coloc</w:t>
      </w:r>
      <w:r>
        <w:rPr>
          <w:lang w:val="es-MX"/>
        </w:rPr>
        <w:t>a</w:t>
      </w:r>
      <w:r>
        <w:rPr>
          <w:lang w:val="es-MX"/>
        </w:rPr>
        <w:t>ción de elásticos por parte de Telleldín, el e</w:t>
      </w:r>
      <w:r>
        <w:rPr>
          <w:lang w:val="es-MX"/>
        </w:rPr>
        <w:t>n</w:t>
      </w:r>
      <w:r>
        <w:rPr>
          <w:lang w:val="es-MX"/>
        </w:rPr>
        <w:t>cubrimiento que su cliente realizó sobre el lugar en el que ensambló la camioneta, a la vez que introdujo nu</w:t>
      </w:r>
      <w:r>
        <w:rPr>
          <w:lang w:val="es-MX"/>
        </w:rPr>
        <w:t>e</w:t>
      </w:r>
      <w:r>
        <w:rPr>
          <w:lang w:val="es-MX"/>
        </w:rPr>
        <w:t>vas conjeturas que no hicieron más que mostrar la orfandad probatoria de la pretensión co</w:t>
      </w:r>
      <w:r>
        <w:rPr>
          <w:lang w:val="es-MX"/>
        </w:rPr>
        <w:t>n</w:t>
      </w:r>
      <w:r>
        <w:rPr>
          <w:lang w:val="es-MX"/>
        </w:rPr>
        <w:t>denatoria.</w:t>
      </w:r>
    </w:p>
    <w:p w:rsidR="00224567" w:rsidRDefault="00224567">
      <w:pPr>
        <w:widowControl w:val="0"/>
        <w:tabs>
          <w:tab w:val="left" w:pos="2835"/>
        </w:tabs>
        <w:rPr>
          <w:lang w:val="es-MX"/>
        </w:rPr>
      </w:pPr>
      <w:r>
        <w:rPr>
          <w:lang w:val="es-MX"/>
        </w:rPr>
        <w:tab/>
        <w:t>Duplicó la defensa, que no se probó la existencia de tres carrocerías, como tampoco que se mod</w:t>
      </w:r>
      <w:r>
        <w:rPr>
          <w:lang w:val="es-MX"/>
        </w:rPr>
        <w:t>i</w:t>
      </w:r>
      <w:r>
        <w:rPr>
          <w:lang w:val="es-MX"/>
        </w:rPr>
        <w:t>ficó la suspensión de la camioneta, razón por la cual no se podía afirmar que Telleldín lo encubrió.</w:t>
      </w:r>
    </w:p>
    <w:p w:rsidR="00224567" w:rsidRDefault="00224567">
      <w:pPr>
        <w:widowControl w:val="0"/>
        <w:tabs>
          <w:tab w:val="left" w:pos="2835"/>
        </w:tabs>
        <w:rPr>
          <w:lang w:val="es-MX"/>
        </w:rPr>
      </w:pPr>
      <w:r>
        <w:rPr>
          <w:lang w:val="es-MX"/>
        </w:rPr>
        <w:tab/>
        <w:t>Entendió que había una obligación de imputar a Telleldín por imperio de prejuicios y falacias que se plasmaron en la misma acusación, las que no podían ser respondidas desde la lógica ni desde el d</w:t>
      </w:r>
      <w:r>
        <w:rPr>
          <w:lang w:val="es-MX"/>
        </w:rPr>
        <w:t>e</w:t>
      </w:r>
      <w:r>
        <w:rPr>
          <w:lang w:val="es-MX"/>
        </w:rPr>
        <w:t xml:space="preserve">recho. </w:t>
      </w:r>
    </w:p>
    <w:p w:rsidR="00224567" w:rsidRDefault="00224567">
      <w:pPr>
        <w:widowControl w:val="0"/>
        <w:tabs>
          <w:tab w:val="left" w:pos="2835"/>
        </w:tabs>
        <w:rPr>
          <w:lang w:val="es-MX"/>
        </w:rPr>
      </w:pPr>
      <w:r>
        <w:rPr>
          <w:lang w:val="es-MX"/>
        </w:rPr>
        <w:t xml:space="preserve"> </w:t>
      </w:r>
      <w:r>
        <w:rPr>
          <w:lang w:val="es-MX"/>
        </w:rPr>
        <w:tab/>
        <w:t>Destacó que la querella “Memoria Act</w:t>
      </w:r>
      <w:r>
        <w:rPr>
          <w:lang w:val="es-MX"/>
        </w:rPr>
        <w:t>i</w:t>
      </w:r>
      <w:r>
        <w:rPr>
          <w:lang w:val="es-MX"/>
        </w:rPr>
        <w:t>va” sólo realizó conjeturas sobre el momento en que fueron reforzados los elásticos.</w:t>
      </w:r>
    </w:p>
    <w:p w:rsidR="00224567" w:rsidRDefault="00224567">
      <w:pPr>
        <w:widowControl w:val="0"/>
        <w:tabs>
          <w:tab w:val="left" w:pos="2835"/>
        </w:tabs>
        <w:rPr>
          <w:lang w:val="es-MX"/>
        </w:rPr>
      </w:pPr>
      <w:r>
        <w:rPr>
          <w:lang w:val="es-MX"/>
        </w:rPr>
        <w:tab/>
        <w:t>Sin embargo, adujo que una condena s</w:t>
      </w:r>
      <w:r>
        <w:rPr>
          <w:lang w:val="es-MX"/>
        </w:rPr>
        <w:t>ó</w:t>
      </w:r>
      <w:r>
        <w:rPr>
          <w:lang w:val="es-MX"/>
        </w:rPr>
        <w:t>lo puede tener como antecedente un hecho cierto y acred</w:t>
      </w:r>
      <w:r>
        <w:rPr>
          <w:lang w:val="es-MX"/>
        </w:rPr>
        <w:t>i</w:t>
      </w:r>
      <w:r>
        <w:rPr>
          <w:lang w:val="es-MX"/>
        </w:rPr>
        <w:t>tado, y las hipótesis, conjeturas y probabilidades, que mantuvieron diez años detenido a su asistido, debían ser superadas por la certeza requ</w:t>
      </w:r>
      <w:r>
        <w:rPr>
          <w:lang w:val="es-MX"/>
        </w:rPr>
        <w:t>e</w:t>
      </w:r>
      <w:r>
        <w:rPr>
          <w:lang w:val="es-MX"/>
        </w:rPr>
        <w:t>rida en esta etapa.</w:t>
      </w:r>
    </w:p>
    <w:p w:rsidR="00224567" w:rsidRDefault="00224567">
      <w:pPr>
        <w:widowControl w:val="0"/>
        <w:tabs>
          <w:tab w:val="left" w:pos="2835"/>
        </w:tabs>
        <w:rPr>
          <w:lang w:val="es-MX"/>
        </w:rPr>
      </w:pPr>
      <w:r>
        <w:rPr>
          <w:lang w:val="es-MX"/>
        </w:rPr>
        <w:tab/>
        <w:t>Manifestó, que no fue probado el r</w:t>
      </w:r>
      <w:r>
        <w:rPr>
          <w:lang w:val="es-MX"/>
        </w:rPr>
        <w:t>e</w:t>
      </w:r>
      <w:r>
        <w:rPr>
          <w:lang w:val="es-MX"/>
        </w:rPr>
        <w:t>fuerzo de los elásticos de la camioneta, esgrimiéndose únicamente hipótesis imaginativas sin ninguna circunsta</w:t>
      </w:r>
      <w:r>
        <w:rPr>
          <w:lang w:val="es-MX"/>
        </w:rPr>
        <w:t>n</w:t>
      </w:r>
      <w:r>
        <w:rPr>
          <w:lang w:val="es-MX"/>
        </w:rPr>
        <w:t>cia de tiempo, modo y lugar; requisitos que consideró obligatorios de probar a fin de sostener una acus</w:t>
      </w:r>
      <w:r>
        <w:rPr>
          <w:lang w:val="es-MX"/>
        </w:rPr>
        <w:t>a</w:t>
      </w:r>
      <w:r>
        <w:rPr>
          <w:lang w:val="es-MX"/>
        </w:rPr>
        <w:t xml:space="preserve">ción. </w:t>
      </w:r>
    </w:p>
    <w:p w:rsidR="00224567" w:rsidRDefault="00224567">
      <w:pPr>
        <w:widowControl w:val="0"/>
        <w:tabs>
          <w:tab w:val="left" w:pos="2835"/>
        </w:tabs>
        <w:rPr>
          <w:lang w:val="es-MX"/>
        </w:rPr>
      </w:pPr>
      <w:r>
        <w:rPr>
          <w:lang w:val="es-MX"/>
        </w:rPr>
        <w:tab/>
        <w:t>Además, explicó que al haberse menci</w:t>
      </w:r>
      <w:r>
        <w:rPr>
          <w:lang w:val="es-MX"/>
        </w:rPr>
        <w:t>o</w:t>
      </w:r>
      <w:r>
        <w:rPr>
          <w:lang w:val="es-MX"/>
        </w:rPr>
        <w:t>nado solamente prueba indiciaria, se imponía la n</w:t>
      </w:r>
      <w:r>
        <w:rPr>
          <w:lang w:val="es-MX"/>
        </w:rPr>
        <w:t>e</w:t>
      </w:r>
      <w:r>
        <w:rPr>
          <w:lang w:val="es-MX"/>
        </w:rPr>
        <w:t>cesidad de contar con prueba directa para d</w:t>
      </w:r>
      <w:r>
        <w:rPr>
          <w:lang w:val="es-MX"/>
        </w:rPr>
        <w:t>e</w:t>
      </w:r>
      <w:r>
        <w:rPr>
          <w:lang w:val="es-MX"/>
        </w:rPr>
        <w:t>mostrar el suceso del que se pretendía una condena, recalcando que la exi</w:t>
      </w:r>
      <w:r>
        <w:rPr>
          <w:lang w:val="es-MX"/>
        </w:rPr>
        <w:t>s</w:t>
      </w:r>
      <w:r>
        <w:rPr>
          <w:lang w:val="es-MX"/>
        </w:rPr>
        <w:t>tencia de los interrogantes antes planteados, demostraban clar</w:t>
      </w:r>
      <w:r>
        <w:rPr>
          <w:lang w:val="es-MX"/>
        </w:rPr>
        <w:t>a</w:t>
      </w:r>
      <w:r>
        <w:rPr>
          <w:lang w:val="es-MX"/>
        </w:rPr>
        <w:t>mente que el indicio no fue probado con las necesarias r</w:t>
      </w:r>
      <w:r>
        <w:rPr>
          <w:lang w:val="es-MX"/>
        </w:rPr>
        <w:t>e</w:t>
      </w:r>
      <w:r>
        <w:rPr>
          <w:lang w:val="es-MX"/>
        </w:rPr>
        <w:t>ferencias de tiempo, modo y l</w:t>
      </w:r>
      <w:r>
        <w:rPr>
          <w:lang w:val="es-MX"/>
        </w:rPr>
        <w:t>u</w:t>
      </w:r>
      <w:r>
        <w:rPr>
          <w:lang w:val="es-MX"/>
        </w:rPr>
        <w:t>gar.</w:t>
      </w:r>
    </w:p>
    <w:p w:rsidR="00224567" w:rsidRDefault="00224567">
      <w:pPr>
        <w:widowControl w:val="0"/>
        <w:tabs>
          <w:tab w:val="left" w:pos="2835"/>
        </w:tabs>
        <w:rPr>
          <w:lang w:val="es-MX"/>
        </w:rPr>
      </w:pPr>
      <w:r>
        <w:rPr>
          <w:lang w:val="es-MX"/>
        </w:rPr>
        <w:tab/>
        <w:t>Con relación al refuerzo de la suspe</w:t>
      </w:r>
      <w:r>
        <w:rPr>
          <w:lang w:val="es-MX"/>
        </w:rPr>
        <w:t>n</w:t>
      </w:r>
      <w:r>
        <w:rPr>
          <w:lang w:val="es-MX"/>
        </w:rPr>
        <w:t>sión del vehículo que ensamblara Telleldín, consideró s</w:t>
      </w:r>
      <w:r>
        <w:rPr>
          <w:lang w:val="es-MX"/>
        </w:rPr>
        <w:t>u</w:t>
      </w:r>
      <w:r>
        <w:rPr>
          <w:lang w:val="es-MX"/>
        </w:rPr>
        <w:t xml:space="preserve">ficientes los argumentos dados en su alegato, agregando que no resultaba necesario reforzar el vehículo para que pudiera transportar una carga no superior a los </w:t>
      </w:r>
      <w:smartTag w:uri="urn:schemas-microsoft-com:office:smarttags" w:element="metricconverter">
        <w:smartTagPr>
          <w:attr w:name="ProductID" w:val="700 kg"/>
        </w:smartTagPr>
        <w:r>
          <w:rPr>
            <w:lang w:val="es-MX"/>
          </w:rPr>
          <w:t>700 kg</w:t>
        </w:r>
      </w:smartTag>
      <w:r>
        <w:rPr>
          <w:lang w:val="es-MX"/>
        </w:rPr>
        <w:t>.</w:t>
      </w:r>
    </w:p>
    <w:p w:rsidR="00224567" w:rsidRDefault="00224567">
      <w:pPr>
        <w:widowControl w:val="0"/>
        <w:tabs>
          <w:tab w:val="left" w:pos="2835"/>
        </w:tabs>
        <w:rPr>
          <w:lang w:val="es-MX"/>
        </w:rPr>
      </w:pPr>
      <w:r>
        <w:rPr>
          <w:lang w:val="es-MX"/>
        </w:rPr>
        <w:tab/>
        <w:t>Descartó el supuesto “anclaje de hi</w:t>
      </w:r>
      <w:r>
        <w:rPr>
          <w:lang w:val="es-MX"/>
        </w:rPr>
        <w:t>e</w:t>
      </w:r>
      <w:r>
        <w:rPr>
          <w:lang w:val="es-MX"/>
        </w:rPr>
        <w:t>rro” realizado en el utilitario, recordando que los expe</w:t>
      </w:r>
      <w:r>
        <w:rPr>
          <w:lang w:val="es-MX"/>
        </w:rPr>
        <w:t>r</w:t>
      </w:r>
      <w:r>
        <w:rPr>
          <w:lang w:val="es-MX"/>
        </w:rPr>
        <w:t xml:space="preserve">tos no pudieron afirmar que el vehículo que explotó en </w:t>
      </w:r>
      <w:smartTag w:uri="urn:schemas-microsoft-com:office:smarttags" w:element="PersonName">
        <w:smartTagPr>
          <w:attr w:name="ProductID" w:val="la A.M"/>
        </w:smartTagPr>
        <w:r>
          <w:rPr>
            <w:lang w:val="es-MX"/>
          </w:rPr>
          <w:t>la A.M</w:t>
        </w:r>
      </w:smartTag>
      <w:r>
        <w:rPr>
          <w:lang w:val="es-MX"/>
        </w:rPr>
        <w:t xml:space="preserve">.I.A. presentaba esa característica, en razón de la falta de rastros, los cuales </w:t>
      </w:r>
      <w:r>
        <w:rPr>
          <w:bCs/>
          <w:lang w:val="es-MX"/>
        </w:rPr>
        <w:t>no</w:t>
      </w:r>
      <w:r>
        <w:rPr>
          <w:lang w:val="es-MX"/>
        </w:rPr>
        <w:t xml:space="preserve"> desaparecían por una e</w:t>
      </w:r>
      <w:r>
        <w:rPr>
          <w:lang w:val="es-MX"/>
        </w:rPr>
        <w:t>x</w:t>
      </w:r>
      <w:r>
        <w:rPr>
          <w:lang w:val="es-MX"/>
        </w:rPr>
        <w:t>plosión.</w:t>
      </w:r>
    </w:p>
    <w:p w:rsidR="00224567" w:rsidRDefault="00224567">
      <w:pPr>
        <w:pStyle w:val="Textoindependiente3"/>
        <w:widowControl w:val="0"/>
        <w:tabs>
          <w:tab w:val="left" w:pos="2835"/>
        </w:tabs>
        <w:rPr>
          <w:rFonts w:ascii="Courier New" w:hAnsi="Courier New" w:cs="Courier New"/>
          <w:b w:val="0"/>
          <w:bCs/>
          <w:sz w:val="24"/>
          <w:lang w:val="es-MX"/>
        </w:rPr>
      </w:pPr>
      <w:r>
        <w:rPr>
          <w:lang w:val="es-MX"/>
        </w:rPr>
        <w:tab/>
      </w:r>
      <w:r>
        <w:rPr>
          <w:rFonts w:ascii="Courier New" w:hAnsi="Courier New" w:cs="Courier New"/>
          <w:b w:val="0"/>
          <w:bCs/>
          <w:sz w:val="24"/>
          <w:lang w:val="es-MX"/>
        </w:rPr>
        <w:t>Asimismo, indicó que la querella pr</w:t>
      </w:r>
      <w:r>
        <w:rPr>
          <w:rFonts w:ascii="Courier New" w:hAnsi="Courier New" w:cs="Courier New"/>
          <w:b w:val="0"/>
          <w:bCs/>
          <w:sz w:val="24"/>
          <w:lang w:val="es-MX"/>
        </w:rPr>
        <w:t>e</w:t>
      </w:r>
      <w:r>
        <w:rPr>
          <w:rFonts w:ascii="Courier New" w:hAnsi="Courier New" w:cs="Courier New"/>
          <w:b w:val="0"/>
          <w:bCs/>
          <w:sz w:val="24"/>
          <w:lang w:val="es-MX"/>
        </w:rPr>
        <w:t xml:space="preserve">tendió reacomodar su argumento sobre el refuerzo de los amortiguadores de </w:t>
      </w:r>
      <w:smartTag w:uri="urn:schemas-microsoft-com:office:smarttags" w:element="PersonName">
        <w:smartTagPr>
          <w:attr w:name="ProductID" w:val="la Trafic"/>
        </w:smartTagPr>
        <w:r>
          <w:rPr>
            <w:rFonts w:ascii="Courier New" w:hAnsi="Courier New" w:cs="Courier New"/>
            <w:b w:val="0"/>
            <w:bCs/>
            <w:sz w:val="24"/>
            <w:lang w:val="es-MX"/>
          </w:rPr>
          <w:t>la Trafic</w:t>
        </w:r>
      </w:smartTag>
      <w:r>
        <w:rPr>
          <w:rFonts w:ascii="Courier New" w:hAnsi="Courier New" w:cs="Courier New"/>
          <w:b w:val="0"/>
          <w:bCs/>
          <w:sz w:val="24"/>
          <w:lang w:val="es-MX"/>
        </w:rPr>
        <w:t>, al sostener que su función radicaba en evitar que el explosivo se detonara anticip</w:t>
      </w:r>
      <w:r>
        <w:rPr>
          <w:rFonts w:ascii="Courier New" w:hAnsi="Courier New" w:cs="Courier New"/>
          <w:b w:val="0"/>
          <w:bCs/>
          <w:sz w:val="24"/>
          <w:lang w:val="es-MX"/>
        </w:rPr>
        <w:t>a</w:t>
      </w:r>
      <w:r>
        <w:rPr>
          <w:rFonts w:ascii="Courier New" w:hAnsi="Courier New" w:cs="Courier New"/>
          <w:b w:val="0"/>
          <w:bCs/>
          <w:sz w:val="24"/>
          <w:lang w:val="es-MX"/>
        </w:rPr>
        <w:t>damente por cualquier “bache” que pudiese pisar la cami</w:t>
      </w:r>
      <w:r>
        <w:rPr>
          <w:rFonts w:ascii="Courier New" w:hAnsi="Courier New" w:cs="Courier New"/>
          <w:b w:val="0"/>
          <w:bCs/>
          <w:sz w:val="24"/>
          <w:lang w:val="es-MX"/>
        </w:rPr>
        <w:t>o</w:t>
      </w:r>
      <w:r>
        <w:rPr>
          <w:rFonts w:ascii="Courier New" w:hAnsi="Courier New" w:cs="Courier New"/>
          <w:b w:val="0"/>
          <w:bCs/>
          <w:sz w:val="24"/>
          <w:lang w:val="es-MX"/>
        </w:rPr>
        <w:t>neta, y que si bien el amonal es un material insensible, no así un detonador.</w:t>
      </w:r>
    </w:p>
    <w:p w:rsidR="00224567" w:rsidRDefault="00224567">
      <w:pPr>
        <w:widowControl w:val="0"/>
        <w:tabs>
          <w:tab w:val="left" w:pos="2835"/>
        </w:tabs>
        <w:rPr>
          <w:lang w:val="es-MX"/>
        </w:rPr>
      </w:pPr>
      <w:r>
        <w:rPr>
          <w:bCs/>
          <w:lang w:val="es-MX"/>
        </w:rPr>
        <w:tab/>
        <w:t>Al respecto,</w:t>
      </w:r>
      <w:r>
        <w:rPr>
          <w:lang w:val="es-MX"/>
        </w:rPr>
        <w:t xml:space="preserve"> la defensa estimó que el letrado querellante confundió el concepto de detonador, explicando que se trata del mecanismo o artefacto que debe accionarse debidamente a fin de que el material explote. Por lo tanto, descartó la posibilidad que p</w:t>
      </w:r>
      <w:r>
        <w:rPr>
          <w:lang w:val="es-MX"/>
        </w:rPr>
        <w:t>u</w:t>
      </w:r>
      <w:r>
        <w:rPr>
          <w:lang w:val="es-MX"/>
        </w:rPr>
        <w:t>diera resultar sensible o insens</w:t>
      </w:r>
      <w:r>
        <w:rPr>
          <w:lang w:val="es-MX"/>
        </w:rPr>
        <w:t>i</w:t>
      </w:r>
      <w:r>
        <w:rPr>
          <w:lang w:val="es-MX"/>
        </w:rPr>
        <w:t>ble.</w:t>
      </w:r>
    </w:p>
    <w:p w:rsidR="00224567" w:rsidRDefault="00224567">
      <w:pPr>
        <w:pStyle w:val="Textoindependiente3"/>
        <w:widowControl w:val="0"/>
        <w:tabs>
          <w:tab w:val="left" w:pos="2835"/>
        </w:tabs>
        <w:rPr>
          <w:rFonts w:ascii="Courier New" w:hAnsi="Courier New" w:cs="Courier New"/>
          <w:b w:val="0"/>
          <w:bCs/>
          <w:sz w:val="24"/>
          <w:lang w:val="es-MX"/>
        </w:rPr>
      </w:pPr>
      <w:r>
        <w:rPr>
          <w:lang w:val="es-MX"/>
        </w:rPr>
        <w:tab/>
      </w:r>
      <w:r>
        <w:rPr>
          <w:rFonts w:ascii="Courier New" w:hAnsi="Courier New" w:cs="Courier New"/>
          <w:b w:val="0"/>
          <w:bCs/>
          <w:sz w:val="24"/>
          <w:lang w:val="es-MX"/>
        </w:rPr>
        <w:t>Asimismo, le resultó una falta de re</w:t>
      </w:r>
      <w:r>
        <w:rPr>
          <w:rFonts w:ascii="Courier New" w:hAnsi="Courier New" w:cs="Courier New"/>
          <w:b w:val="0"/>
          <w:bCs/>
          <w:sz w:val="24"/>
          <w:lang w:val="es-MX"/>
        </w:rPr>
        <w:t>s</w:t>
      </w:r>
      <w:r>
        <w:rPr>
          <w:rFonts w:ascii="Courier New" w:hAnsi="Courier New" w:cs="Courier New"/>
          <w:b w:val="0"/>
          <w:bCs/>
          <w:sz w:val="24"/>
          <w:lang w:val="es-MX"/>
        </w:rPr>
        <w:t>peto que la querella “Memoria Activa” mencionara que el ánimo de lucro que llevara a su cliente a participar en el atentado, estaba constituido por los USD 11.000 que rec</w:t>
      </w:r>
      <w:r>
        <w:rPr>
          <w:rFonts w:ascii="Courier New" w:hAnsi="Courier New" w:cs="Courier New"/>
          <w:b w:val="0"/>
          <w:bCs/>
          <w:sz w:val="24"/>
          <w:lang w:val="es-MX"/>
        </w:rPr>
        <w:t>i</w:t>
      </w:r>
      <w:r>
        <w:rPr>
          <w:rFonts w:ascii="Courier New" w:hAnsi="Courier New" w:cs="Courier New"/>
          <w:b w:val="0"/>
          <w:bCs/>
          <w:sz w:val="24"/>
          <w:lang w:val="es-MX"/>
        </w:rPr>
        <w:t>biera por la entrega de la camioneta Trafic, cuando aqu</w:t>
      </w:r>
      <w:r>
        <w:rPr>
          <w:rFonts w:ascii="Courier New" w:hAnsi="Courier New" w:cs="Courier New"/>
          <w:b w:val="0"/>
          <w:bCs/>
          <w:sz w:val="24"/>
          <w:lang w:val="es-MX"/>
        </w:rPr>
        <w:t>e</w:t>
      </w:r>
      <w:r>
        <w:rPr>
          <w:rFonts w:ascii="Courier New" w:hAnsi="Courier New" w:cs="Courier New"/>
          <w:b w:val="0"/>
          <w:bCs/>
          <w:sz w:val="24"/>
          <w:lang w:val="es-MX"/>
        </w:rPr>
        <w:t>lla suma no resultó otra cosa que el dinero recibido por la venta de la camioneta, precio que consideró más bajo que el del mercado de ese momento.</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bCs/>
        </w:rPr>
        <w:tab/>
        <w:t>Asimismo, consideró que carecía de sentido afirmar por un lado, que Juan José Ribelli cobró por su participación $ 2.500.000 en el atentado, tal como lo sostuvo la quere</w:t>
      </w:r>
      <w:r>
        <w:rPr>
          <w:rFonts w:ascii="Courier New" w:hAnsi="Courier New" w:cs="Courier New"/>
        </w:rPr>
        <w:t>lla de D.A.I.A., A.M.I.A. y “Grupo de Familiares” y por otro, que su socio Carlos Telleldín, se conformara por igual intervención con el precio de la c</w:t>
      </w:r>
      <w:r>
        <w:rPr>
          <w:rFonts w:ascii="Courier New" w:hAnsi="Courier New" w:cs="Courier New"/>
        </w:rPr>
        <w:t>a</w:t>
      </w:r>
      <w:r>
        <w:rPr>
          <w:rFonts w:ascii="Courier New" w:hAnsi="Courier New" w:cs="Courier New"/>
        </w:rPr>
        <w:t>mioneta rebajado.</w:t>
      </w:r>
    </w:p>
    <w:p w:rsidR="00224567" w:rsidRDefault="00224567">
      <w:pPr>
        <w:widowControl w:val="0"/>
        <w:tabs>
          <w:tab w:val="left" w:pos="2835"/>
        </w:tabs>
        <w:rPr>
          <w:lang w:val="es-MX"/>
        </w:rPr>
      </w:pPr>
      <w:r>
        <w:rPr>
          <w:lang w:val="es-MX"/>
        </w:rPr>
        <w:tab/>
        <w:t>Dijo que resultaba ilógico pensar que su cliente recibiera tan sólo $ 11.000 por su supuesto aporte, consistente en tres carrocerías, tres motores y dos camionetas, una de ellas con la suspensión reforz</w:t>
      </w:r>
      <w:r>
        <w:rPr>
          <w:lang w:val="es-MX"/>
        </w:rPr>
        <w:t>a</w:t>
      </w:r>
      <w:r>
        <w:rPr>
          <w:lang w:val="es-MX"/>
        </w:rPr>
        <w:t>da.</w:t>
      </w:r>
    </w:p>
    <w:p w:rsidR="00224567" w:rsidRDefault="00224567">
      <w:pPr>
        <w:widowControl w:val="0"/>
        <w:tabs>
          <w:tab w:val="left" w:pos="2835"/>
        </w:tabs>
        <w:rPr>
          <w:lang w:val="es-MX"/>
        </w:rPr>
      </w:pPr>
      <w:r>
        <w:rPr>
          <w:lang w:val="es-MX"/>
        </w:rPr>
        <w:t xml:space="preserve"> </w:t>
      </w:r>
      <w:r>
        <w:rPr>
          <w:lang w:val="es-MX"/>
        </w:rPr>
        <w:tab/>
        <w:t>Concluyó que la única forma de co</w:t>
      </w:r>
      <w:r>
        <w:rPr>
          <w:lang w:val="es-MX"/>
        </w:rPr>
        <w:t>m</w:t>
      </w:r>
      <w:r>
        <w:rPr>
          <w:lang w:val="es-MX"/>
        </w:rPr>
        <w:t>prender los infundados y contradictorios argumentos sost</w:t>
      </w:r>
      <w:r>
        <w:rPr>
          <w:lang w:val="es-MX"/>
        </w:rPr>
        <w:t>e</w:t>
      </w:r>
      <w:r>
        <w:rPr>
          <w:lang w:val="es-MX"/>
        </w:rPr>
        <w:t>nidos por la querella “Memoria Activa”, era advertir que sólo se trató de una necesidad de dar respuesta a sus r</w:t>
      </w:r>
      <w:r>
        <w:rPr>
          <w:lang w:val="es-MX"/>
        </w:rPr>
        <w:t>e</w:t>
      </w:r>
      <w:r>
        <w:rPr>
          <w:lang w:val="es-MX"/>
        </w:rPr>
        <w:t>presentados, demostrando así que tantos años de acusar a Telleldín no fueron en vano.</w:t>
      </w:r>
    </w:p>
    <w:p w:rsidR="00224567" w:rsidRDefault="00224567">
      <w:pPr>
        <w:widowControl w:val="0"/>
        <w:tabs>
          <w:tab w:val="left" w:pos="2835"/>
        </w:tabs>
        <w:rPr>
          <w:lang w:val="es-MX"/>
        </w:rPr>
      </w:pPr>
      <w:r>
        <w:rPr>
          <w:lang w:val="es-MX"/>
        </w:rPr>
        <w:tab/>
        <w:t>Afirmó que la querella sostuvo en su réplica que se había probado que Telleldín ensambló una tercer camioneta, recordando que el Dr. Jacoby dijo “es más, al proponer la hipótesis de una tercer camioneta, no hacemos otra cosa que no sea comenzar a desarrollar una de las tantas tesis que el juzgado no quiso inve</w:t>
      </w:r>
      <w:r>
        <w:rPr>
          <w:lang w:val="es-MX"/>
        </w:rPr>
        <w:t>s</w:t>
      </w:r>
      <w:r>
        <w:rPr>
          <w:lang w:val="es-MX"/>
        </w:rPr>
        <w:t xml:space="preserve">tigar”. </w:t>
      </w:r>
    </w:p>
    <w:p w:rsidR="00224567" w:rsidRDefault="00224567">
      <w:pPr>
        <w:widowControl w:val="0"/>
        <w:tabs>
          <w:tab w:val="left" w:pos="2835"/>
        </w:tabs>
      </w:pPr>
      <w:r>
        <w:rPr>
          <w:lang w:val="es-MX"/>
        </w:rPr>
        <w:tab/>
        <w:t>Mencionó que la hipótesis de una te</w:t>
      </w:r>
      <w:r>
        <w:rPr>
          <w:lang w:val="es-MX"/>
        </w:rPr>
        <w:t>r</w:t>
      </w:r>
      <w:r>
        <w:rPr>
          <w:lang w:val="es-MX"/>
        </w:rPr>
        <w:t>cer Trafic se había investigado desde el año 1995, no h</w:t>
      </w:r>
      <w:r>
        <w:rPr>
          <w:lang w:val="es-MX"/>
        </w:rPr>
        <w:t>a</w:t>
      </w:r>
      <w:r>
        <w:rPr>
          <w:lang w:val="es-MX"/>
        </w:rPr>
        <w:t>biendo superado al día de hoy su estado de mero ind</w:t>
      </w:r>
      <w:r>
        <w:rPr>
          <w:lang w:val="es-MX"/>
        </w:rPr>
        <w:t>i</w:t>
      </w:r>
      <w:r>
        <w:rPr>
          <w:lang w:val="es-MX"/>
        </w:rPr>
        <w:t>cio.</w:t>
      </w:r>
    </w:p>
    <w:p w:rsidR="00224567" w:rsidRDefault="00224567">
      <w:pPr>
        <w:widowControl w:val="0"/>
        <w:tabs>
          <w:tab w:val="left" w:pos="2835"/>
        </w:tabs>
        <w:rPr>
          <w:lang w:val="es-MX"/>
        </w:rPr>
      </w:pPr>
      <w:r>
        <w:rPr>
          <w:lang w:val="es-MX"/>
        </w:rPr>
        <w:tab/>
        <w:t>Explicó que al devenir en mera conj</w:t>
      </w:r>
      <w:r>
        <w:rPr>
          <w:lang w:val="es-MX"/>
        </w:rPr>
        <w:t>e</w:t>
      </w:r>
      <w:r>
        <w:rPr>
          <w:lang w:val="es-MX"/>
        </w:rPr>
        <w:t>tura la existencia de tres camionetas, como lo sostuvo la querella antes citada, quedó sin sustento probatorio la pretensión de la querella D.A.I.A., A.M.I.A. y “Grupo de Familiares” de responsabilizar a Telleldín, sobre la base de una tercer e hipotét</w:t>
      </w:r>
      <w:r>
        <w:rPr>
          <w:lang w:val="es-MX"/>
        </w:rPr>
        <w:t>i</w:t>
      </w:r>
      <w:r>
        <w:rPr>
          <w:lang w:val="es-MX"/>
        </w:rPr>
        <w:t>ca camioneta.</w:t>
      </w:r>
    </w:p>
    <w:p w:rsidR="00224567" w:rsidRDefault="00224567">
      <w:pPr>
        <w:widowControl w:val="0"/>
        <w:tabs>
          <w:tab w:val="left" w:pos="2835"/>
        </w:tabs>
        <w:rPr>
          <w:lang w:val="es-MX"/>
        </w:rPr>
      </w:pPr>
      <w:r>
        <w:rPr>
          <w:lang w:val="es-MX"/>
        </w:rPr>
        <w:tab/>
        <w:t>Comentó que las partes acusad</w:t>
      </w:r>
      <w:r>
        <w:rPr>
          <w:lang w:val="es-MX"/>
        </w:rPr>
        <w:t>o</w:t>
      </w:r>
      <w:r>
        <w:rPr>
          <w:lang w:val="es-MX"/>
        </w:rPr>
        <w:t>ras, no sólo debían  mencionar que Telleldín aún oculta el lugar de ensamblaje y destino final de esa tercer cami</w:t>
      </w:r>
      <w:r>
        <w:rPr>
          <w:lang w:val="es-MX"/>
        </w:rPr>
        <w:t>o</w:t>
      </w:r>
      <w:r>
        <w:rPr>
          <w:lang w:val="es-MX"/>
        </w:rPr>
        <w:t xml:space="preserve">neta que finalmente explotara en la sede de </w:t>
      </w:r>
      <w:smartTag w:uri="urn:schemas-microsoft-com:office:smarttags" w:element="PersonName">
        <w:smartTagPr>
          <w:attr w:name="ProductID" w:val="la A.M"/>
        </w:smartTagPr>
        <w:r>
          <w:rPr>
            <w:lang w:val="es-MX"/>
          </w:rPr>
          <w:t>la A.M</w:t>
        </w:r>
      </w:smartTag>
      <w:r>
        <w:rPr>
          <w:lang w:val="es-MX"/>
        </w:rPr>
        <w:t>.I.A., sino que por imperio constitucional, debían probar también aquellas circunstancias por los cuales solicitaron la máxima pena prevista en el Código P</w:t>
      </w:r>
      <w:r>
        <w:rPr>
          <w:lang w:val="es-MX"/>
        </w:rPr>
        <w:t>e</w:t>
      </w:r>
      <w:r>
        <w:rPr>
          <w:lang w:val="es-MX"/>
        </w:rPr>
        <w:t>nal.</w:t>
      </w:r>
    </w:p>
    <w:p w:rsidR="00224567" w:rsidRDefault="00224567">
      <w:pPr>
        <w:pStyle w:val="Textoindependiente3"/>
        <w:widowControl w:val="0"/>
        <w:tabs>
          <w:tab w:val="left" w:pos="2835"/>
        </w:tabs>
        <w:rPr>
          <w:rFonts w:ascii="Courier New" w:hAnsi="Courier New" w:cs="Courier New"/>
          <w:b w:val="0"/>
          <w:sz w:val="24"/>
          <w:lang w:val="es-MX"/>
        </w:rPr>
      </w:pPr>
      <w:r>
        <w:rPr>
          <w:rFonts w:ascii="Courier New" w:hAnsi="Courier New" w:cs="Courier New"/>
          <w:b w:val="0"/>
          <w:sz w:val="24"/>
          <w:lang w:val="es-MX"/>
        </w:rPr>
        <w:tab/>
        <w:t>Remarcó que Telleldín, desde el pr</w:t>
      </w:r>
      <w:r>
        <w:rPr>
          <w:rFonts w:ascii="Courier New" w:hAnsi="Courier New" w:cs="Courier New"/>
          <w:b w:val="0"/>
          <w:sz w:val="24"/>
          <w:lang w:val="es-MX"/>
        </w:rPr>
        <w:t>i</w:t>
      </w:r>
      <w:r>
        <w:rPr>
          <w:rFonts w:ascii="Courier New" w:hAnsi="Courier New" w:cs="Courier New"/>
          <w:b w:val="0"/>
          <w:sz w:val="24"/>
          <w:lang w:val="es-MX"/>
        </w:rPr>
        <w:t>mer momento, proclamó y probó su inocencia, aportando todos los elementos de prueba que tenía a su alcance.</w:t>
      </w:r>
    </w:p>
    <w:p w:rsidR="00224567" w:rsidRDefault="00224567">
      <w:pPr>
        <w:widowControl w:val="0"/>
        <w:tabs>
          <w:tab w:val="left" w:pos="2835"/>
        </w:tabs>
        <w:rPr>
          <w:lang w:val="es-MX"/>
        </w:rPr>
      </w:pPr>
      <w:r>
        <w:rPr>
          <w:lang w:val="es-MX"/>
        </w:rPr>
        <w:tab/>
        <w:t>En ese sentido, advirtió que su clie</w:t>
      </w:r>
      <w:r>
        <w:rPr>
          <w:lang w:val="es-MX"/>
        </w:rPr>
        <w:t>n</w:t>
      </w:r>
      <w:r>
        <w:rPr>
          <w:lang w:val="es-MX"/>
        </w:rPr>
        <w:t>te, al efectuar un reconocimiento fotográfico de Ramón Martínez, señaló en un alto porcentaje de semejanza a un funcionario Iraní, aportó la docume</w:t>
      </w:r>
      <w:r>
        <w:rPr>
          <w:lang w:val="es-MX"/>
        </w:rPr>
        <w:t>n</w:t>
      </w:r>
      <w:r>
        <w:rPr>
          <w:lang w:val="es-MX"/>
        </w:rPr>
        <w:t xml:space="preserve">tación que acreditó la venta de </w:t>
      </w:r>
      <w:smartTag w:uri="urn:schemas-microsoft-com:office:smarttags" w:element="PersonName">
        <w:smartTagPr>
          <w:attr w:name="ProductID" w:val="la Trafic"/>
        </w:smartTagPr>
        <w:r>
          <w:rPr>
            <w:lang w:val="es-MX"/>
          </w:rPr>
          <w:t>la Trafic</w:t>
        </w:r>
      </w:smartTag>
      <w:r>
        <w:rPr>
          <w:lang w:val="es-MX"/>
        </w:rPr>
        <w:t>, no borró la numeración del motor que vendió, y se presentó ante la justicia cuando fue requer</w:t>
      </w:r>
      <w:r>
        <w:rPr>
          <w:lang w:val="es-MX"/>
        </w:rPr>
        <w:t>i</w:t>
      </w:r>
      <w:r>
        <w:rPr>
          <w:lang w:val="es-MX"/>
        </w:rPr>
        <w:t>do, puntualizando que Telleldín r</w:t>
      </w:r>
      <w:r>
        <w:rPr>
          <w:lang w:val="es-MX"/>
        </w:rPr>
        <w:t>e</w:t>
      </w:r>
      <w:r>
        <w:rPr>
          <w:lang w:val="es-MX"/>
        </w:rPr>
        <w:t xml:space="preserve">lató con detalle todo lo ocurrido antes y después del 10 de julio 1994. </w:t>
      </w:r>
    </w:p>
    <w:p w:rsidR="00224567" w:rsidRDefault="00224567">
      <w:pPr>
        <w:widowControl w:val="0"/>
        <w:tabs>
          <w:tab w:val="left" w:pos="2835"/>
        </w:tabs>
        <w:rPr>
          <w:lang w:val="es-MX"/>
        </w:rPr>
      </w:pPr>
      <w:r>
        <w:rPr>
          <w:lang w:val="es-MX"/>
        </w:rPr>
        <w:tab/>
        <w:t>Agregó que la querella “Memoria Act</w:t>
      </w:r>
      <w:r>
        <w:rPr>
          <w:lang w:val="es-MX"/>
        </w:rPr>
        <w:t>i</w:t>
      </w:r>
      <w:r>
        <w:rPr>
          <w:lang w:val="es-MX"/>
        </w:rPr>
        <w:t>va” no pudo desvirtuar el descargo realizado por Telle</w:t>
      </w:r>
      <w:r>
        <w:rPr>
          <w:lang w:val="es-MX"/>
        </w:rPr>
        <w:t>l</w:t>
      </w:r>
      <w:r>
        <w:rPr>
          <w:lang w:val="es-MX"/>
        </w:rPr>
        <w:t>dín, para afirmar como lo hizo que “la venta no existió como tal y Telleldín participó criminalmente en este ate</w:t>
      </w:r>
      <w:r>
        <w:rPr>
          <w:lang w:val="es-MX"/>
        </w:rPr>
        <w:t>n</w:t>
      </w:r>
      <w:r>
        <w:rPr>
          <w:lang w:val="es-MX"/>
        </w:rPr>
        <w:t>tado”.</w:t>
      </w:r>
    </w:p>
    <w:p w:rsidR="00224567" w:rsidRDefault="00224567">
      <w:pPr>
        <w:widowControl w:val="0"/>
        <w:tabs>
          <w:tab w:val="left" w:pos="2835"/>
        </w:tabs>
        <w:rPr>
          <w:lang w:val="es-MX"/>
        </w:rPr>
      </w:pPr>
      <w:r>
        <w:rPr>
          <w:lang w:val="es-MX"/>
        </w:rPr>
        <w:tab/>
        <w:t>Asimismo y ante los argumentos expue</w:t>
      </w:r>
      <w:r>
        <w:rPr>
          <w:lang w:val="es-MX"/>
        </w:rPr>
        <w:t>s</w:t>
      </w:r>
      <w:r>
        <w:rPr>
          <w:lang w:val="es-MX"/>
        </w:rPr>
        <w:t>tos por el Dr. Jacoby -a los que calificó de desconocer los más mínimos principios jurídicos- consideró necesario explicar cuáles deben ser las bases mínimas de una sente</w:t>
      </w:r>
      <w:r>
        <w:rPr>
          <w:lang w:val="es-MX"/>
        </w:rPr>
        <w:t>n</w:t>
      </w:r>
      <w:r>
        <w:rPr>
          <w:lang w:val="es-MX"/>
        </w:rPr>
        <w:t>cia condenatoria.</w:t>
      </w:r>
    </w:p>
    <w:p w:rsidR="00224567" w:rsidRDefault="00224567">
      <w:pPr>
        <w:widowControl w:val="0"/>
        <w:tabs>
          <w:tab w:val="left" w:pos="2835"/>
        </w:tabs>
        <w:rPr>
          <w:lang w:val="es-MX"/>
        </w:rPr>
      </w:pPr>
      <w:r>
        <w:rPr>
          <w:lang w:val="es-MX"/>
        </w:rPr>
        <w:tab/>
        <w:t>En primer lugar dijo, que una condena exige tener por acreditados los hechos con una certeza apodíctica, aclarando que ello sólo se obtiene una vez que no sea posible afirmar que los hechos hayan ocurrido de una forma distinta a la descripta en la sente</w:t>
      </w:r>
      <w:r>
        <w:rPr>
          <w:lang w:val="es-MX"/>
        </w:rPr>
        <w:t>n</w:t>
      </w:r>
      <w:r>
        <w:rPr>
          <w:lang w:val="es-MX"/>
        </w:rPr>
        <w:t>cia.</w:t>
      </w:r>
    </w:p>
    <w:p w:rsidR="00224567" w:rsidRDefault="00224567">
      <w:pPr>
        <w:pStyle w:val="Textoindependiente3"/>
        <w:widowControl w:val="0"/>
        <w:tabs>
          <w:tab w:val="left" w:pos="2835"/>
        </w:tabs>
        <w:rPr>
          <w:rFonts w:ascii="Courier New" w:hAnsi="Courier New" w:cs="Courier New"/>
          <w:b w:val="0"/>
          <w:sz w:val="24"/>
          <w:lang w:val="es-MX"/>
        </w:rPr>
      </w:pPr>
      <w:r>
        <w:rPr>
          <w:rFonts w:ascii="Courier New" w:hAnsi="Courier New" w:cs="Courier New"/>
          <w:b w:val="0"/>
          <w:sz w:val="24"/>
          <w:lang w:val="es-MX"/>
        </w:rPr>
        <w:tab/>
        <w:t>Manifestó que las diferentes apreci</w:t>
      </w:r>
      <w:r>
        <w:rPr>
          <w:rFonts w:ascii="Courier New" w:hAnsi="Courier New" w:cs="Courier New"/>
          <w:b w:val="0"/>
          <w:sz w:val="24"/>
          <w:lang w:val="es-MX"/>
        </w:rPr>
        <w:t>a</w:t>
      </w:r>
      <w:r>
        <w:rPr>
          <w:rFonts w:ascii="Courier New" w:hAnsi="Courier New" w:cs="Courier New"/>
          <w:b w:val="0"/>
          <w:sz w:val="24"/>
          <w:lang w:val="es-MX"/>
        </w:rPr>
        <w:t>ciones del hecho y de derecho, inhabilitan la posibil</w:t>
      </w:r>
      <w:r>
        <w:rPr>
          <w:rFonts w:ascii="Courier New" w:hAnsi="Courier New" w:cs="Courier New"/>
          <w:b w:val="0"/>
          <w:sz w:val="24"/>
          <w:lang w:val="es-MX"/>
        </w:rPr>
        <w:t>i</w:t>
      </w:r>
      <w:r>
        <w:rPr>
          <w:rFonts w:ascii="Courier New" w:hAnsi="Courier New" w:cs="Courier New"/>
          <w:b w:val="0"/>
          <w:sz w:val="24"/>
          <w:lang w:val="es-MX"/>
        </w:rPr>
        <w:t>dad de afirmar que los sucesos hayan ocurrido de una sola fo</w:t>
      </w:r>
      <w:r>
        <w:rPr>
          <w:rFonts w:ascii="Courier New" w:hAnsi="Courier New" w:cs="Courier New"/>
          <w:b w:val="0"/>
          <w:sz w:val="24"/>
          <w:lang w:val="es-MX"/>
        </w:rPr>
        <w:t>r</w:t>
      </w:r>
      <w:r>
        <w:rPr>
          <w:rFonts w:ascii="Courier New" w:hAnsi="Courier New" w:cs="Courier New"/>
          <w:b w:val="0"/>
          <w:sz w:val="24"/>
          <w:lang w:val="es-MX"/>
        </w:rPr>
        <w:t>ma, p</w:t>
      </w:r>
      <w:r>
        <w:rPr>
          <w:rFonts w:ascii="Courier New" w:hAnsi="Courier New" w:cs="Courier New"/>
          <w:b w:val="0"/>
          <w:sz w:val="24"/>
          <w:lang w:val="es-MX"/>
        </w:rPr>
        <w:t>o</w:t>
      </w:r>
      <w:r>
        <w:rPr>
          <w:rFonts w:ascii="Courier New" w:hAnsi="Courier New" w:cs="Courier New"/>
          <w:b w:val="0"/>
          <w:sz w:val="24"/>
          <w:lang w:val="es-MX"/>
        </w:rPr>
        <w:t>niendo de relieve la falta de certeza que poseen los alegatos acusadores.</w:t>
      </w:r>
    </w:p>
    <w:p w:rsidR="00224567" w:rsidRDefault="00224567">
      <w:pPr>
        <w:widowControl w:val="0"/>
        <w:tabs>
          <w:tab w:val="left" w:pos="2835"/>
        </w:tabs>
        <w:rPr>
          <w:lang w:val="es-MX"/>
        </w:rPr>
      </w:pPr>
      <w:r>
        <w:rPr>
          <w:lang w:val="es-MX"/>
        </w:rPr>
        <w:tab/>
        <w:t>En este sentido, hizo hincapié en las diferentes versiones y fundamentos realizados por las pa</w:t>
      </w:r>
      <w:r>
        <w:rPr>
          <w:lang w:val="es-MX"/>
        </w:rPr>
        <w:t>r</w:t>
      </w:r>
      <w:r>
        <w:rPr>
          <w:lang w:val="es-MX"/>
        </w:rPr>
        <w:t>tes acusadoras, recordando que la querella “Memoria Act</w:t>
      </w:r>
      <w:r>
        <w:rPr>
          <w:lang w:val="es-MX"/>
        </w:rPr>
        <w:t>i</w:t>
      </w:r>
      <w:r>
        <w:rPr>
          <w:lang w:val="es-MX"/>
        </w:rPr>
        <w:t>va” sostuvo que su cliente vendió la camioneta en $ 11.000 pesos, mientras que la de D.A.I.A., A.M.I.A. y “Grupo de Familiares” sostuvo que hubo una entrega “m</w:t>
      </w:r>
      <w:r>
        <w:rPr>
          <w:lang w:val="es-MX"/>
        </w:rPr>
        <w:t>i</w:t>
      </w:r>
      <w:r>
        <w:rPr>
          <w:lang w:val="es-MX"/>
        </w:rPr>
        <w:t>tad voluntaria y mitad por extorsión”, de</w:t>
      </w:r>
      <w:r>
        <w:rPr>
          <w:lang w:val="es-MX"/>
        </w:rPr>
        <w:t>s</w:t>
      </w:r>
      <w:r>
        <w:rPr>
          <w:lang w:val="es-MX"/>
        </w:rPr>
        <w:t>cartando la posibilidad de una venta; finalmente, en el requerimiento de elevación a ju</w:t>
      </w:r>
      <w:r>
        <w:rPr>
          <w:lang w:val="es-MX"/>
        </w:rPr>
        <w:t>i</w:t>
      </w:r>
      <w:r>
        <w:rPr>
          <w:lang w:val="es-MX"/>
        </w:rPr>
        <w:t>cio, se la trató como una entrega involuntaria bajo coa</w:t>
      </w:r>
      <w:r>
        <w:rPr>
          <w:lang w:val="es-MX"/>
        </w:rPr>
        <w:t>c</w:t>
      </w:r>
      <w:r>
        <w:rPr>
          <w:lang w:val="es-MX"/>
        </w:rPr>
        <w:t>ción.</w:t>
      </w:r>
    </w:p>
    <w:p w:rsidR="00224567" w:rsidRDefault="00224567">
      <w:pPr>
        <w:widowControl w:val="0"/>
        <w:tabs>
          <w:tab w:val="left" w:pos="2835"/>
        </w:tabs>
        <w:rPr>
          <w:lang w:val="es-MX"/>
        </w:rPr>
      </w:pPr>
      <w:r>
        <w:rPr>
          <w:lang w:val="es-MX"/>
        </w:rPr>
        <w:tab/>
        <w:t>Criticó que a esta altura del proceso pudieran coexistir tres distintas hipótesis acusatorias, ya que la posibilidad de mantener teorías alte</w:t>
      </w:r>
      <w:r>
        <w:rPr>
          <w:lang w:val="es-MX"/>
        </w:rPr>
        <w:t>r</w:t>
      </w:r>
      <w:r>
        <w:rPr>
          <w:lang w:val="es-MX"/>
        </w:rPr>
        <w:t>nativas de acusación sólo estaba permitido –por alguna doctrina y j</w:t>
      </w:r>
      <w:r>
        <w:rPr>
          <w:lang w:val="es-MX"/>
        </w:rPr>
        <w:t>u</w:t>
      </w:r>
      <w:r>
        <w:rPr>
          <w:lang w:val="es-MX"/>
        </w:rPr>
        <w:t>risprudencia– en el momento de solicitar la elevación de la causa a ju</w:t>
      </w:r>
      <w:r>
        <w:rPr>
          <w:lang w:val="es-MX"/>
        </w:rPr>
        <w:t>i</w:t>
      </w:r>
      <w:r>
        <w:rPr>
          <w:lang w:val="es-MX"/>
        </w:rPr>
        <w:t>cio.</w:t>
      </w:r>
    </w:p>
    <w:p w:rsidR="00224567" w:rsidRDefault="00224567">
      <w:pPr>
        <w:widowControl w:val="0"/>
        <w:tabs>
          <w:tab w:val="left" w:pos="2835"/>
        </w:tabs>
        <w:rPr>
          <w:lang w:val="es-MX"/>
        </w:rPr>
      </w:pPr>
      <w:r>
        <w:rPr>
          <w:lang w:val="es-MX"/>
        </w:rPr>
        <w:tab/>
        <w:t>Igualmente, la defensa consideró que no era posible utilizar lo que la doctrina denomina acus</w:t>
      </w:r>
      <w:r>
        <w:rPr>
          <w:lang w:val="es-MX"/>
        </w:rPr>
        <w:t>a</w:t>
      </w:r>
      <w:r>
        <w:rPr>
          <w:lang w:val="es-MX"/>
        </w:rPr>
        <w:t>ciones subsidiarias o alternativas, pues el marco fáctico sobre el que se fundamenta una acusación subs</w:t>
      </w:r>
      <w:r>
        <w:rPr>
          <w:lang w:val="es-MX"/>
        </w:rPr>
        <w:t>i</w:t>
      </w:r>
      <w:r>
        <w:rPr>
          <w:lang w:val="es-MX"/>
        </w:rPr>
        <w:t>diaria debe permanecer inalterable a lo largo de todas las etapas del proceso.</w:t>
      </w:r>
    </w:p>
    <w:p w:rsidR="00224567" w:rsidRDefault="00224567">
      <w:pPr>
        <w:widowControl w:val="0"/>
        <w:tabs>
          <w:tab w:val="left" w:pos="2835"/>
        </w:tabs>
        <w:rPr>
          <w:lang w:val="es-MX"/>
        </w:rPr>
      </w:pPr>
      <w:r>
        <w:rPr>
          <w:lang w:val="es-MX"/>
        </w:rPr>
        <w:tab/>
        <w:t>Luego, rechazó la valoración que la querella “Memoria A</w:t>
      </w:r>
      <w:r>
        <w:rPr>
          <w:lang w:val="es-MX"/>
        </w:rPr>
        <w:t>c</w:t>
      </w:r>
      <w:r>
        <w:rPr>
          <w:lang w:val="es-MX"/>
        </w:rPr>
        <w:t>tiva” realizó con relación a la frase atribuida a su asistido “estos hijos de p</w:t>
      </w:r>
      <w:r>
        <w:rPr>
          <w:lang w:val="es-MX"/>
        </w:rPr>
        <w:t>u</w:t>
      </w:r>
      <w:r>
        <w:rPr>
          <w:lang w:val="es-MX"/>
        </w:rPr>
        <w:t>ta me cagaron la vida”, insistiendo en los argumentos esgrimidos en su al</w:t>
      </w:r>
      <w:r>
        <w:rPr>
          <w:lang w:val="es-MX"/>
        </w:rPr>
        <w:t>e</w:t>
      </w:r>
      <w:r>
        <w:rPr>
          <w:lang w:val="es-MX"/>
        </w:rPr>
        <w:t>gato.</w:t>
      </w:r>
    </w:p>
    <w:p w:rsidR="00224567" w:rsidRDefault="00224567">
      <w:pPr>
        <w:widowControl w:val="0"/>
        <w:tabs>
          <w:tab w:val="left" w:pos="2835"/>
        </w:tabs>
        <w:rPr>
          <w:lang w:val="es-MX"/>
        </w:rPr>
      </w:pPr>
      <w:r>
        <w:rPr>
          <w:lang w:val="es-MX"/>
        </w:rPr>
        <w:tab/>
        <w:t>Reiteró que Miriam Salinas decl</w:t>
      </w:r>
      <w:r>
        <w:rPr>
          <w:lang w:val="es-MX"/>
        </w:rPr>
        <w:t>a</w:t>
      </w:r>
      <w:r>
        <w:rPr>
          <w:lang w:val="es-MX"/>
        </w:rPr>
        <w:t>ró en el debate que Boragni le hizo ese comentario –que habría pronunciado Telleldín– con relación al allanamiento real</w:t>
      </w:r>
      <w:r>
        <w:rPr>
          <w:lang w:val="es-MX"/>
        </w:rPr>
        <w:t>i</w:t>
      </w:r>
      <w:r>
        <w:rPr>
          <w:lang w:val="es-MX"/>
        </w:rPr>
        <w:t>zado en el taller de Nitzcaner, situando la frase en el día 27 de julio de 1994, por lo que tildó de falaz el r</w:t>
      </w:r>
      <w:r>
        <w:rPr>
          <w:lang w:val="es-MX"/>
        </w:rPr>
        <w:t>a</w:t>
      </w:r>
      <w:r>
        <w:rPr>
          <w:lang w:val="es-MX"/>
        </w:rPr>
        <w:t xml:space="preserve">zonamiento que ubicó aquellos insultos el día 18 de julio. </w:t>
      </w:r>
    </w:p>
    <w:p w:rsidR="00224567" w:rsidRDefault="00224567">
      <w:pPr>
        <w:pStyle w:val="Textoindependiente3"/>
        <w:widowControl w:val="0"/>
        <w:tabs>
          <w:tab w:val="left" w:pos="2835"/>
        </w:tabs>
        <w:rPr>
          <w:rFonts w:ascii="Courier New" w:hAnsi="Courier New" w:cs="Courier New"/>
          <w:b w:val="0"/>
          <w:sz w:val="24"/>
          <w:lang w:val="es-MX"/>
        </w:rPr>
      </w:pPr>
      <w:r>
        <w:rPr>
          <w:rFonts w:ascii="Courier New" w:hAnsi="Courier New" w:cs="Courier New"/>
          <w:b w:val="0"/>
          <w:sz w:val="24"/>
          <w:lang w:val="es-MX"/>
        </w:rPr>
        <w:t xml:space="preserve"> </w:t>
      </w:r>
      <w:r>
        <w:rPr>
          <w:rFonts w:ascii="Courier New" w:hAnsi="Courier New" w:cs="Courier New"/>
          <w:b w:val="0"/>
          <w:sz w:val="24"/>
          <w:lang w:val="es-MX"/>
        </w:rPr>
        <w:tab/>
        <w:t>Indicó que Telleldín, al 10 de julio de 1994, desconocía el destino final de la camioneta; e</w:t>
      </w:r>
      <w:r>
        <w:rPr>
          <w:rFonts w:ascii="Courier New" w:hAnsi="Courier New" w:cs="Courier New"/>
          <w:b w:val="0"/>
          <w:sz w:val="24"/>
          <w:lang w:val="es-MX"/>
        </w:rPr>
        <w:t>m</w:t>
      </w:r>
      <w:r>
        <w:rPr>
          <w:rFonts w:ascii="Courier New" w:hAnsi="Courier New" w:cs="Courier New"/>
          <w:b w:val="0"/>
          <w:sz w:val="24"/>
          <w:lang w:val="es-MX"/>
        </w:rPr>
        <w:t>pero, destacó que a través de la tergiversación malinte</w:t>
      </w:r>
      <w:r>
        <w:rPr>
          <w:rFonts w:ascii="Courier New" w:hAnsi="Courier New" w:cs="Courier New"/>
          <w:b w:val="0"/>
          <w:sz w:val="24"/>
          <w:lang w:val="es-MX"/>
        </w:rPr>
        <w:t>n</w:t>
      </w:r>
      <w:r>
        <w:rPr>
          <w:rFonts w:ascii="Courier New" w:hAnsi="Courier New" w:cs="Courier New"/>
          <w:b w:val="0"/>
          <w:sz w:val="24"/>
          <w:lang w:val="es-MX"/>
        </w:rPr>
        <w:t>cionada de aquella frase, se pretendió sostener que su asistido actualizó la representación del resultado que ocurriría el 18 de julio de 1994, preguntándose cómo era posible actualizar una representación que no existió con anterioridad.</w:t>
      </w:r>
    </w:p>
    <w:p w:rsidR="00224567" w:rsidRDefault="00224567">
      <w:pPr>
        <w:widowControl w:val="0"/>
        <w:tabs>
          <w:tab w:val="left" w:pos="2835"/>
        </w:tabs>
        <w:rPr>
          <w:lang w:val="es-MX"/>
        </w:rPr>
      </w:pPr>
      <w:r>
        <w:rPr>
          <w:lang w:val="es-MX"/>
        </w:rPr>
        <w:tab/>
        <w:t>Señaló que lo único que se probó fue que Telleldín profirió esa frase una vez que fue adve</w:t>
      </w:r>
      <w:r>
        <w:rPr>
          <w:lang w:val="es-MX"/>
        </w:rPr>
        <w:t>r</w:t>
      </w:r>
      <w:r>
        <w:rPr>
          <w:lang w:val="es-MX"/>
        </w:rPr>
        <w:t>tido por los empleados de Alejandro Mo</w:t>
      </w:r>
      <w:r>
        <w:rPr>
          <w:lang w:val="es-MX"/>
        </w:rPr>
        <w:t>n</w:t>
      </w:r>
      <w:r>
        <w:rPr>
          <w:lang w:val="es-MX"/>
        </w:rPr>
        <w:t>jo, quienes lo alertaron que la policía lo buscaba para interrogarlo por la cami</w:t>
      </w:r>
      <w:r>
        <w:rPr>
          <w:lang w:val="es-MX"/>
        </w:rPr>
        <w:t>o</w:t>
      </w:r>
      <w:r>
        <w:rPr>
          <w:lang w:val="es-MX"/>
        </w:rPr>
        <w:t>neta.</w:t>
      </w:r>
    </w:p>
    <w:p w:rsidR="00224567" w:rsidRDefault="00224567">
      <w:pPr>
        <w:widowControl w:val="0"/>
        <w:tabs>
          <w:tab w:val="left" w:pos="2835"/>
        </w:tabs>
        <w:rPr>
          <w:lang w:val="es-MX"/>
        </w:rPr>
      </w:pPr>
      <w:r>
        <w:rPr>
          <w:lang w:val="es-MX"/>
        </w:rPr>
        <w:tab/>
        <w:t>En definitiva, replicó que aquella frase no podía ser utilizada para justificar ninguna r</w:t>
      </w:r>
      <w:r>
        <w:rPr>
          <w:lang w:val="es-MX"/>
        </w:rPr>
        <w:t>e</w:t>
      </w:r>
      <w:r>
        <w:rPr>
          <w:lang w:val="es-MX"/>
        </w:rPr>
        <w:t>presentación constitutiva del tipo subjetivo, ni s</w:t>
      </w:r>
      <w:r>
        <w:rPr>
          <w:lang w:val="es-MX"/>
        </w:rPr>
        <w:t>i</w:t>
      </w:r>
      <w:r>
        <w:rPr>
          <w:lang w:val="es-MX"/>
        </w:rPr>
        <w:t>quiera a título de dolo eventual.</w:t>
      </w:r>
    </w:p>
    <w:p w:rsidR="00224567" w:rsidRDefault="00224567">
      <w:pPr>
        <w:widowControl w:val="0"/>
        <w:tabs>
          <w:tab w:val="left" w:pos="2835"/>
        </w:tabs>
        <w:rPr>
          <w:lang w:val="es-MX"/>
        </w:rPr>
      </w:pPr>
      <w:r>
        <w:rPr>
          <w:lang w:val="es-MX"/>
        </w:rPr>
        <w:t xml:space="preserve"> </w:t>
      </w:r>
      <w:r>
        <w:rPr>
          <w:lang w:val="es-MX"/>
        </w:rPr>
        <w:tab/>
        <w:t>Además, entendió que la frase menci</w:t>
      </w:r>
      <w:r>
        <w:rPr>
          <w:lang w:val="es-MX"/>
        </w:rPr>
        <w:t>o</w:t>
      </w:r>
      <w:r>
        <w:rPr>
          <w:lang w:val="es-MX"/>
        </w:rPr>
        <w:t>nada por su asistido demostraba una carencia absoluta de conocimiento y voluntad de su parte.</w:t>
      </w:r>
    </w:p>
    <w:p w:rsidR="00224567" w:rsidRDefault="00224567">
      <w:pPr>
        <w:widowControl w:val="0"/>
        <w:tabs>
          <w:tab w:val="left" w:pos="2835"/>
        </w:tabs>
        <w:rPr>
          <w:lang w:val="es-MX"/>
        </w:rPr>
      </w:pPr>
      <w:r>
        <w:rPr>
          <w:lang w:val="es-MX"/>
        </w:rPr>
        <w:tab/>
        <w:t>Asimismo, explicó que la represent</w:t>
      </w:r>
      <w:r>
        <w:rPr>
          <w:lang w:val="es-MX"/>
        </w:rPr>
        <w:t>a</w:t>
      </w:r>
      <w:r>
        <w:rPr>
          <w:lang w:val="es-MX"/>
        </w:rPr>
        <w:t>ción como conocimiento debe ser actualizable al momento de participar y no con posterioridad, razón por la cual al afirmar, como lo hizo la querella “Memoria Activa”, que Telleldín actualizó la magn</w:t>
      </w:r>
      <w:r>
        <w:rPr>
          <w:lang w:val="es-MX"/>
        </w:rPr>
        <w:t>i</w:t>
      </w:r>
      <w:r>
        <w:rPr>
          <w:lang w:val="es-MX"/>
        </w:rPr>
        <w:t>tud del resultado a partir de esa frase, llevaba a la vez a descartar cua</w:t>
      </w:r>
      <w:r>
        <w:rPr>
          <w:lang w:val="es-MX"/>
        </w:rPr>
        <w:t>l</w:t>
      </w:r>
      <w:r>
        <w:rPr>
          <w:lang w:val="es-MX"/>
        </w:rPr>
        <w:t>quier tipo de representación que su cliente tuviese del destino final de la camioneta al momento de su enajen</w:t>
      </w:r>
      <w:r>
        <w:rPr>
          <w:lang w:val="es-MX"/>
        </w:rPr>
        <w:t>a</w:t>
      </w:r>
      <w:r>
        <w:rPr>
          <w:lang w:val="es-MX"/>
        </w:rPr>
        <w:t>ción.</w:t>
      </w:r>
    </w:p>
    <w:p w:rsidR="00224567" w:rsidRDefault="00224567">
      <w:pPr>
        <w:widowControl w:val="0"/>
        <w:tabs>
          <w:tab w:val="left" w:pos="2835"/>
        </w:tabs>
        <w:rPr>
          <w:lang w:val="es-MX"/>
        </w:rPr>
      </w:pPr>
      <w:r>
        <w:rPr>
          <w:lang w:val="es-MX"/>
        </w:rPr>
        <w:tab/>
        <w:t>Luego, la asistencia técnica de T</w:t>
      </w:r>
      <w:r>
        <w:rPr>
          <w:lang w:val="es-MX"/>
        </w:rPr>
        <w:t>e</w:t>
      </w:r>
      <w:r>
        <w:rPr>
          <w:lang w:val="es-MX"/>
        </w:rPr>
        <w:t>lleldín se refirió al contenido de la conversación telef</w:t>
      </w:r>
      <w:r>
        <w:rPr>
          <w:lang w:val="es-MX"/>
        </w:rPr>
        <w:t>ó</w:t>
      </w:r>
      <w:r>
        <w:rPr>
          <w:lang w:val="es-MX"/>
        </w:rPr>
        <w:t>nica entre Nitzcaner y Ana Boragni, señalado por la acus</w:t>
      </w:r>
      <w:r>
        <w:rPr>
          <w:lang w:val="es-MX"/>
        </w:rPr>
        <w:t>a</w:t>
      </w:r>
      <w:r>
        <w:rPr>
          <w:lang w:val="es-MX"/>
        </w:rPr>
        <w:t>ción como referido al atentado, considerando suficientes las explicaciones dadas en su alegato. Por otro lado, c</w:t>
      </w:r>
      <w:r>
        <w:rPr>
          <w:lang w:val="es-MX"/>
        </w:rPr>
        <w:t>o</w:t>
      </w:r>
      <w:r>
        <w:rPr>
          <w:lang w:val="es-MX"/>
        </w:rPr>
        <w:t>mentó que el Dr. Jacoby ironizó sobre la entrega de los formularios “</w:t>
      </w:r>
      <w:smartTag w:uri="urn:schemas-microsoft-com:office:smarttags" w:element="metricconverter">
        <w:smartTagPr>
          <w:attr w:name="ProductID" w:val="08”"/>
        </w:smartTagPr>
        <w:r>
          <w:rPr>
            <w:lang w:val="es-MX"/>
          </w:rPr>
          <w:t>08”</w:t>
        </w:r>
      </w:smartTag>
      <w:r>
        <w:rPr>
          <w:lang w:val="es-MX"/>
        </w:rPr>
        <w:t xml:space="preserve"> que su asistido intentó realizar al mor</w:t>
      </w:r>
      <w:r>
        <w:rPr>
          <w:lang w:val="es-MX"/>
        </w:rPr>
        <w:t>a</w:t>
      </w:r>
      <w:r>
        <w:rPr>
          <w:lang w:val="es-MX"/>
        </w:rPr>
        <w:t>dor del domicilio de la calle San José.</w:t>
      </w:r>
    </w:p>
    <w:p w:rsidR="00224567" w:rsidRDefault="00224567">
      <w:pPr>
        <w:widowControl w:val="0"/>
        <w:tabs>
          <w:tab w:val="left" w:pos="2835"/>
        </w:tabs>
        <w:rPr>
          <w:lang w:val="es-MX"/>
        </w:rPr>
      </w:pPr>
      <w:r>
        <w:rPr>
          <w:lang w:val="es-MX"/>
        </w:rPr>
        <w:tab/>
        <w:t>Sostuvo que ya demostró que no fue la primera vez que Telleldín actuó de esta manera, remitié</w:t>
      </w:r>
      <w:r>
        <w:rPr>
          <w:lang w:val="es-MX"/>
        </w:rPr>
        <w:t>n</w:t>
      </w:r>
      <w:r>
        <w:rPr>
          <w:lang w:val="es-MX"/>
        </w:rPr>
        <w:t>dose al testimonio dado por otros co</w:t>
      </w:r>
      <w:r>
        <w:rPr>
          <w:lang w:val="es-MX"/>
        </w:rPr>
        <w:t>m</w:t>
      </w:r>
      <w:r>
        <w:rPr>
          <w:lang w:val="es-MX"/>
        </w:rPr>
        <w:t>pradores.</w:t>
      </w:r>
    </w:p>
    <w:p w:rsidR="00224567" w:rsidRDefault="00224567">
      <w:pPr>
        <w:widowControl w:val="0"/>
        <w:tabs>
          <w:tab w:val="left" w:pos="2835"/>
        </w:tabs>
        <w:rPr>
          <w:lang w:val="es-MX"/>
        </w:rPr>
      </w:pPr>
      <w:r>
        <w:rPr>
          <w:lang w:val="es-MX"/>
        </w:rPr>
        <w:tab/>
        <w:t>Así, explicó que la verdadera r</w:t>
      </w:r>
      <w:r>
        <w:rPr>
          <w:lang w:val="es-MX"/>
        </w:rPr>
        <w:t>a</w:t>
      </w:r>
      <w:r>
        <w:rPr>
          <w:lang w:val="es-MX"/>
        </w:rPr>
        <w:t>zón de tal accionar, radicaba en evitar que el co</w:t>
      </w:r>
      <w:r>
        <w:rPr>
          <w:lang w:val="es-MX"/>
        </w:rPr>
        <w:t>m</w:t>
      </w:r>
      <w:r>
        <w:rPr>
          <w:lang w:val="es-MX"/>
        </w:rPr>
        <w:t>prador, ante la necesidad de transferir la titularidad del vehículo, se dirigiera al R.N.P.A. y descubriera la pr</w:t>
      </w:r>
      <w:r>
        <w:rPr>
          <w:lang w:val="es-MX"/>
        </w:rPr>
        <w:t>o</w:t>
      </w:r>
      <w:r>
        <w:rPr>
          <w:lang w:val="es-MX"/>
        </w:rPr>
        <w:t>cedencia ilícita del automotor.</w:t>
      </w:r>
    </w:p>
    <w:p w:rsidR="00224567" w:rsidRDefault="00224567">
      <w:pPr>
        <w:widowControl w:val="0"/>
        <w:tabs>
          <w:tab w:val="left" w:pos="2835"/>
        </w:tabs>
        <w:rPr>
          <w:lang w:val="es-MX"/>
        </w:rPr>
      </w:pPr>
      <w:r>
        <w:rPr>
          <w:lang w:val="es-MX"/>
        </w:rPr>
        <w:tab/>
        <w:t>Mencionó que la fiscalía y la quer</w:t>
      </w:r>
      <w:r>
        <w:rPr>
          <w:lang w:val="es-MX"/>
        </w:rPr>
        <w:t>e</w:t>
      </w:r>
      <w:r>
        <w:rPr>
          <w:lang w:val="es-MX"/>
        </w:rPr>
        <w:t>lla “Memoria Activa” señalaron que el supuesto elástico fue reforzado, para evitar que a simple vista se lograra di</w:t>
      </w:r>
      <w:r>
        <w:rPr>
          <w:lang w:val="es-MX"/>
        </w:rPr>
        <w:t>s</w:t>
      </w:r>
      <w:r>
        <w:rPr>
          <w:lang w:val="es-MX"/>
        </w:rPr>
        <w:t>tinguir la carga.</w:t>
      </w:r>
    </w:p>
    <w:p w:rsidR="00224567" w:rsidRDefault="00224567">
      <w:pPr>
        <w:widowControl w:val="0"/>
        <w:tabs>
          <w:tab w:val="left" w:pos="2835"/>
        </w:tabs>
        <w:ind w:firstLine="708"/>
        <w:rPr>
          <w:lang w:val="es-MX"/>
        </w:rPr>
      </w:pPr>
      <w:r>
        <w:rPr>
          <w:lang w:val="es-MX"/>
        </w:rPr>
        <w:tab/>
        <w:t>Asimismo, dijo que la querella D.A.I.A., A.M.I.A. y “Gr</w:t>
      </w:r>
      <w:r>
        <w:rPr>
          <w:lang w:val="es-MX"/>
        </w:rPr>
        <w:t>u</w:t>
      </w:r>
      <w:r>
        <w:rPr>
          <w:lang w:val="es-MX"/>
        </w:rPr>
        <w:t>po de Familiares” replicó que el aporte necesario realizado por Telleldín en el atentado consistió en el armado de dos camionetas, con el fin de desviar la investigación.</w:t>
      </w:r>
    </w:p>
    <w:p w:rsidR="00224567" w:rsidRDefault="00224567">
      <w:pPr>
        <w:widowControl w:val="0"/>
        <w:tabs>
          <w:tab w:val="left" w:pos="2835"/>
        </w:tabs>
        <w:rPr>
          <w:lang w:val="es-MX"/>
        </w:rPr>
      </w:pPr>
      <w:r>
        <w:rPr>
          <w:lang w:val="es-MX"/>
        </w:rPr>
        <w:t xml:space="preserve"> </w:t>
      </w:r>
      <w:r>
        <w:rPr>
          <w:lang w:val="es-MX"/>
        </w:rPr>
        <w:tab/>
        <w:t>Acerca de las dos cuestiones antes mencionadas, consideró suficientes los contra argumentos esbozados en su alegato defensista, agr</w:t>
      </w:r>
      <w:r>
        <w:rPr>
          <w:lang w:val="es-MX"/>
        </w:rPr>
        <w:t>e</w:t>
      </w:r>
      <w:r>
        <w:rPr>
          <w:lang w:val="es-MX"/>
        </w:rPr>
        <w:t>gando que la tesis de una segunda camioneta fue c</w:t>
      </w:r>
      <w:r>
        <w:rPr>
          <w:lang w:val="es-MX"/>
        </w:rPr>
        <w:t>a</w:t>
      </w:r>
      <w:r>
        <w:rPr>
          <w:lang w:val="es-MX"/>
        </w:rPr>
        <w:t>lificada como hipótesis no probada por la querella “Memoria Activa”.</w:t>
      </w:r>
    </w:p>
    <w:p w:rsidR="00224567" w:rsidRDefault="00224567">
      <w:pPr>
        <w:widowControl w:val="0"/>
        <w:tabs>
          <w:tab w:val="left" w:pos="2835"/>
        </w:tabs>
        <w:rPr>
          <w:lang w:val="es-MX"/>
        </w:rPr>
      </w:pPr>
      <w:r>
        <w:rPr>
          <w:lang w:val="es-MX"/>
        </w:rPr>
        <w:t xml:space="preserve"> </w:t>
      </w:r>
      <w:r>
        <w:rPr>
          <w:lang w:val="es-MX"/>
        </w:rPr>
        <w:tab/>
        <w:t>Fundamentó que no resultaba posible desviar una investigación si el propio “desviador” d</w:t>
      </w:r>
      <w:r>
        <w:rPr>
          <w:lang w:val="es-MX"/>
        </w:rPr>
        <w:t>e</w:t>
      </w:r>
      <w:r>
        <w:rPr>
          <w:lang w:val="es-MX"/>
        </w:rPr>
        <w:t>jaba a su paso los rastros que a él cond</w:t>
      </w:r>
      <w:r>
        <w:rPr>
          <w:lang w:val="es-MX"/>
        </w:rPr>
        <w:t>u</w:t>
      </w:r>
      <w:r>
        <w:rPr>
          <w:lang w:val="es-MX"/>
        </w:rPr>
        <w:t>cían (número de motor, boleto de compraventa, publicación del aviso, etc.), cua</w:t>
      </w:r>
      <w:r>
        <w:rPr>
          <w:lang w:val="es-MX"/>
        </w:rPr>
        <w:t>n</w:t>
      </w:r>
      <w:r>
        <w:rPr>
          <w:lang w:val="es-MX"/>
        </w:rPr>
        <w:t>do bien pudo realizar el mismo procedimiento que llevó a cabo con el motor del R</w:t>
      </w:r>
      <w:r>
        <w:rPr>
          <w:lang w:val="es-MX"/>
        </w:rPr>
        <w:t>e</w:t>
      </w:r>
      <w:r>
        <w:rPr>
          <w:lang w:val="es-MX"/>
        </w:rPr>
        <w:t>nault 9 secuestrado del domicilio de la calle Rep</w:t>
      </w:r>
      <w:r>
        <w:rPr>
          <w:lang w:val="es-MX"/>
        </w:rPr>
        <w:t>ú</w:t>
      </w:r>
      <w:r>
        <w:rPr>
          <w:lang w:val="es-MX"/>
        </w:rPr>
        <w:t>blica 107.</w:t>
      </w:r>
    </w:p>
    <w:p w:rsidR="00224567" w:rsidRDefault="00224567">
      <w:pPr>
        <w:widowControl w:val="0"/>
        <w:tabs>
          <w:tab w:val="left" w:pos="2835"/>
        </w:tabs>
        <w:rPr>
          <w:lang w:val="es-MX"/>
        </w:rPr>
      </w:pPr>
      <w:r>
        <w:rPr>
          <w:lang w:val="es-MX"/>
        </w:rPr>
        <w:t xml:space="preserve"> </w:t>
      </w:r>
      <w:r>
        <w:rPr>
          <w:lang w:val="es-MX"/>
        </w:rPr>
        <w:tab/>
        <w:t>Acusó a la querella D.A.I.A., A.M.I.A. y “Grupo de Familiares” de intentar confundir malintenci</w:t>
      </w:r>
      <w:r>
        <w:rPr>
          <w:lang w:val="es-MX"/>
        </w:rPr>
        <w:t>o</w:t>
      </w:r>
      <w:r>
        <w:rPr>
          <w:lang w:val="es-MX"/>
        </w:rPr>
        <w:t>nadamente la prueba, cuando sostuvo que T</w:t>
      </w:r>
      <w:r>
        <w:rPr>
          <w:lang w:val="es-MX"/>
        </w:rPr>
        <w:t>e</w:t>
      </w:r>
      <w:r>
        <w:rPr>
          <w:lang w:val="es-MX"/>
        </w:rPr>
        <w:t>lleldín declaró en la audiencia de debate que nunca m</w:t>
      </w:r>
      <w:r>
        <w:rPr>
          <w:lang w:val="es-MX"/>
        </w:rPr>
        <w:t>o</w:t>
      </w:r>
      <w:r>
        <w:rPr>
          <w:lang w:val="es-MX"/>
        </w:rPr>
        <w:t>dificó el número de motor, ya que siempre salía el n</w:t>
      </w:r>
      <w:r>
        <w:rPr>
          <w:lang w:val="es-MX"/>
        </w:rPr>
        <w:t>ú</w:t>
      </w:r>
      <w:r>
        <w:rPr>
          <w:lang w:val="es-MX"/>
        </w:rPr>
        <w:t>mero verdadero.</w:t>
      </w:r>
    </w:p>
    <w:p w:rsidR="00224567" w:rsidRDefault="00224567">
      <w:pPr>
        <w:widowControl w:val="0"/>
        <w:tabs>
          <w:tab w:val="left" w:pos="2835"/>
        </w:tabs>
        <w:rPr>
          <w:lang w:val="es-MX"/>
        </w:rPr>
      </w:pPr>
      <w:r>
        <w:rPr>
          <w:lang w:val="es-MX"/>
        </w:rPr>
        <w:tab/>
        <w:t>Sobre ello, aclaró que su cliente cl</w:t>
      </w:r>
      <w:r>
        <w:rPr>
          <w:lang w:val="es-MX"/>
        </w:rPr>
        <w:t>a</w:t>
      </w:r>
      <w:r>
        <w:rPr>
          <w:lang w:val="es-MX"/>
        </w:rPr>
        <w:t>ramente se refirió a la modificación del número de chasis, y no así al del motor, ya que al realizarse la verific</w:t>
      </w:r>
      <w:r>
        <w:rPr>
          <w:lang w:val="es-MX"/>
        </w:rPr>
        <w:t>a</w:t>
      </w:r>
      <w:r>
        <w:rPr>
          <w:lang w:val="es-MX"/>
        </w:rPr>
        <w:t xml:space="preserve">ción necesariamente se obtenía la numeración original, descubriéndose así la maniobra ilícita. </w:t>
      </w:r>
    </w:p>
    <w:p w:rsidR="00224567" w:rsidRDefault="00224567">
      <w:pPr>
        <w:widowControl w:val="0"/>
        <w:tabs>
          <w:tab w:val="left" w:pos="2835"/>
        </w:tabs>
        <w:rPr>
          <w:lang w:val="es-MX"/>
        </w:rPr>
      </w:pPr>
      <w:r>
        <w:rPr>
          <w:lang w:val="es-MX"/>
        </w:rPr>
        <w:tab/>
        <w:t>A la vez, remarcó que si su asistido entregó una camioneta para ser utilizada como cochebo</w:t>
      </w:r>
      <w:r>
        <w:rPr>
          <w:lang w:val="es-MX"/>
        </w:rPr>
        <w:t>m</w:t>
      </w:r>
      <w:r>
        <w:rPr>
          <w:lang w:val="es-MX"/>
        </w:rPr>
        <w:t>ba, mal pudo preocuparse por la posibilidad de la ver</w:t>
      </w:r>
      <w:r>
        <w:rPr>
          <w:lang w:val="es-MX"/>
        </w:rPr>
        <w:t>i</w:t>
      </w:r>
      <w:r>
        <w:rPr>
          <w:lang w:val="es-MX"/>
        </w:rPr>
        <w:t>ficación del número de motor en la planta verificadora, restándole únicamente perforar la numeración del motor y así hacer desaparecer los rastros que hacia él pudi</w:t>
      </w:r>
      <w:r>
        <w:rPr>
          <w:lang w:val="es-MX"/>
        </w:rPr>
        <w:t>e</w:t>
      </w:r>
      <w:r>
        <w:rPr>
          <w:lang w:val="es-MX"/>
        </w:rPr>
        <w:t>ran conducir.</w:t>
      </w:r>
    </w:p>
    <w:p w:rsidR="00224567" w:rsidRDefault="00224567">
      <w:pPr>
        <w:widowControl w:val="0"/>
        <w:tabs>
          <w:tab w:val="left" w:pos="2835"/>
        </w:tabs>
        <w:rPr>
          <w:lang w:val="es-MX"/>
        </w:rPr>
      </w:pPr>
      <w:r>
        <w:rPr>
          <w:lang w:val="es-MX"/>
        </w:rPr>
        <w:tab/>
        <w:t>En definitiva, subrayó que Telleldín tuvo la posibilidad de eliminar definitiv</w:t>
      </w:r>
      <w:r>
        <w:rPr>
          <w:lang w:val="es-MX"/>
        </w:rPr>
        <w:t>a</w:t>
      </w:r>
      <w:r>
        <w:rPr>
          <w:lang w:val="es-MX"/>
        </w:rPr>
        <w:t>mente la prueba que lo involucraba, concluyendo que si no lo hizo fue po</w:t>
      </w:r>
      <w:r>
        <w:rPr>
          <w:lang w:val="es-MX"/>
        </w:rPr>
        <w:t>r</w:t>
      </w:r>
      <w:r>
        <w:rPr>
          <w:lang w:val="es-MX"/>
        </w:rPr>
        <w:t>que desconocía el destino final de la c</w:t>
      </w:r>
      <w:r>
        <w:rPr>
          <w:lang w:val="es-MX"/>
        </w:rPr>
        <w:t>a</w:t>
      </w:r>
      <w:r>
        <w:rPr>
          <w:lang w:val="es-MX"/>
        </w:rPr>
        <w:t>mioneta.</w:t>
      </w:r>
    </w:p>
    <w:p w:rsidR="00224567" w:rsidRDefault="00224567">
      <w:pPr>
        <w:widowControl w:val="0"/>
        <w:tabs>
          <w:tab w:val="left" w:pos="2835"/>
        </w:tabs>
        <w:rPr>
          <w:lang w:val="es-MX"/>
        </w:rPr>
      </w:pPr>
      <w:r>
        <w:rPr>
          <w:lang w:val="es-MX"/>
        </w:rPr>
        <w:tab/>
        <w:t>Posteriormente, la defensa mencionó que la acusación pretendió desconocer la enorme cantidad de delitos cometidos en el marco de esta causa, e</w:t>
      </w:r>
      <w:r>
        <w:rPr>
          <w:lang w:val="es-MX"/>
        </w:rPr>
        <w:t>s</w:t>
      </w:r>
      <w:r>
        <w:rPr>
          <w:lang w:val="es-MX"/>
        </w:rPr>
        <w:t>timando que en razón de ello se vieron obligados a contestar las nulidades con meros tecnicismos, omitiendo por completo los ilícitos comet</w:t>
      </w:r>
      <w:r>
        <w:rPr>
          <w:lang w:val="es-MX"/>
        </w:rPr>
        <w:t>i</w:t>
      </w:r>
      <w:r>
        <w:rPr>
          <w:lang w:val="es-MX"/>
        </w:rPr>
        <w:t>dos por el juez y los fiscales, los que a la postre produjeron los vicios n</w:t>
      </w:r>
      <w:r>
        <w:rPr>
          <w:lang w:val="es-MX"/>
        </w:rPr>
        <w:t>u</w:t>
      </w:r>
      <w:r>
        <w:rPr>
          <w:lang w:val="es-MX"/>
        </w:rPr>
        <w:t xml:space="preserve">lificantes. </w:t>
      </w:r>
      <w:r>
        <w:rPr>
          <w:lang w:val="es-MX"/>
        </w:rPr>
        <w:tab/>
        <w:t>En primer lugar, se refirió a lo que se denominó “vía independie</w:t>
      </w:r>
      <w:r>
        <w:rPr>
          <w:lang w:val="es-MX"/>
        </w:rPr>
        <w:t>n</w:t>
      </w:r>
      <w:r>
        <w:rPr>
          <w:lang w:val="es-MX"/>
        </w:rPr>
        <w:t>te”, diciendo que esa supuesta vía, fue utilizada para mantener la imputación en contra de los p</w:t>
      </w:r>
      <w:r>
        <w:rPr>
          <w:lang w:val="es-MX"/>
        </w:rPr>
        <w:t>o</w:t>
      </w:r>
      <w:r>
        <w:rPr>
          <w:lang w:val="es-MX"/>
        </w:rPr>
        <w:t>licías acusados. Empero, recordó también que fue partir de esa imputación, que se justificó el procesamiento de Telleldín por el atentado, dos años después de su declaración del 5 de j</w:t>
      </w:r>
      <w:r>
        <w:rPr>
          <w:lang w:val="es-MX"/>
        </w:rPr>
        <w:t>u</w:t>
      </w:r>
      <w:r>
        <w:rPr>
          <w:lang w:val="es-MX"/>
        </w:rPr>
        <w:t>lio de 1996.</w:t>
      </w:r>
    </w:p>
    <w:p w:rsidR="00224567" w:rsidRDefault="00224567">
      <w:pPr>
        <w:widowControl w:val="0"/>
        <w:tabs>
          <w:tab w:val="left" w:pos="2835"/>
        </w:tabs>
        <w:rPr>
          <w:lang w:val="es-MX"/>
        </w:rPr>
      </w:pPr>
      <w:r>
        <w:rPr>
          <w:lang w:val="es-MX"/>
        </w:rPr>
        <w:tab/>
        <w:t xml:space="preserve">Manifestó que se pretendió negar que Telleldín, desde su primera indagatoria, declaró sobre las extorsiones. </w:t>
      </w:r>
    </w:p>
    <w:p w:rsidR="00224567" w:rsidRDefault="00224567">
      <w:pPr>
        <w:widowControl w:val="0"/>
        <w:tabs>
          <w:tab w:val="left" w:pos="2835"/>
        </w:tabs>
        <w:rPr>
          <w:lang w:val="es-MX"/>
        </w:rPr>
      </w:pPr>
      <w:r>
        <w:rPr>
          <w:lang w:val="es-MX"/>
        </w:rPr>
        <w:t xml:space="preserve"> </w:t>
      </w:r>
      <w:r>
        <w:rPr>
          <w:lang w:val="es-MX"/>
        </w:rPr>
        <w:tab/>
        <w:t>Alegó no comprender la razón por la que se intentó crear una vía independiente en los dichos de una persona acusada de mentiroso ante los medios peri</w:t>
      </w:r>
      <w:r>
        <w:rPr>
          <w:lang w:val="es-MX"/>
        </w:rPr>
        <w:t>o</w:t>
      </w:r>
      <w:r>
        <w:rPr>
          <w:lang w:val="es-MX"/>
        </w:rPr>
        <w:t>dísticos; calificación que, a juicio de la defensa, re</w:t>
      </w:r>
      <w:r>
        <w:rPr>
          <w:lang w:val="es-MX"/>
        </w:rPr>
        <w:t>s</w:t>
      </w:r>
      <w:r>
        <w:rPr>
          <w:lang w:val="es-MX"/>
        </w:rPr>
        <w:t xml:space="preserve">pondió únicamente a la conveniencia de los acusadores. </w:t>
      </w:r>
    </w:p>
    <w:p w:rsidR="00224567" w:rsidRDefault="00224567">
      <w:pPr>
        <w:pStyle w:val="Textoindependiente3"/>
        <w:widowControl w:val="0"/>
        <w:tabs>
          <w:tab w:val="left" w:pos="2835"/>
        </w:tabs>
        <w:rPr>
          <w:rFonts w:ascii="Courier New" w:hAnsi="Courier New" w:cs="Courier New"/>
          <w:b w:val="0"/>
          <w:sz w:val="24"/>
          <w:lang w:val="es-MX"/>
        </w:rPr>
      </w:pPr>
      <w:r>
        <w:rPr>
          <w:rFonts w:ascii="Courier New" w:hAnsi="Courier New" w:cs="Courier New"/>
          <w:b w:val="0"/>
          <w:sz w:val="24"/>
          <w:lang w:val="es-MX"/>
        </w:rPr>
        <w:tab/>
        <w:t>Por su parte, sostuvo que no existía una vía independiente, destacando que si la justicia h</w:t>
      </w:r>
      <w:r>
        <w:rPr>
          <w:rFonts w:ascii="Courier New" w:hAnsi="Courier New" w:cs="Courier New"/>
          <w:b w:val="0"/>
          <w:sz w:val="24"/>
          <w:lang w:val="es-MX"/>
        </w:rPr>
        <w:t>u</w:t>
      </w:r>
      <w:r>
        <w:rPr>
          <w:rFonts w:ascii="Courier New" w:hAnsi="Courier New" w:cs="Courier New"/>
          <w:b w:val="0"/>
          <w:sz w:val="24"/>
          <w:lang w:val="es-MX"/>
        </w:rPr>
        <w:t>biese actuado dentro del marco de lo lícito, no existi</w:t>
      </w:r>
      <w:r>
        <w:rPr>
          <w:rFonts w:ascii="Courier New" w:hAnsi="Courier New" w:cs="Courier New"/>
          <w:b w:val="0"/>
          <w:sz w:val="24"/>
          <w:lang w:val="es-MX"/>
        </w:rPr>
        <w:t>r</w:t>
      </w:r>
      <w:r>
        <w:rPr>
          <w:rFonts w:ascii="Courier New" w:hAnsi="Courier New" w:cs="Courier New"/>
          <w:b w:val="0"/>
          <w:sz w:val="24"/>
          <w:lang w:val="es-MX"/>
        </w:rPr>
        <w:t>ía necesidad de ocultar los procedimientos ilegales que ll</w:t>
      </w:r>
      <w:r>
        <w:rPr>
          <w:rFonts w:ascii="Courier New" w:hAnsi="Courier New" w:cs="Courier New"/>
          <w:b w:val="0"/>
          <w:sz w:val="24"/>
          <w:lang w:val="es-MX"/>
        </w:rPr>
        <w:t>e</w:t>
      </w:r>
      <w:r>
        <w:rPr>
          <w:rFonts w:ascii="Courier New" w:hAnsi="Courier New" w:cs="Courier New"/>
          <w:b w:val="0"/>
          <w:sz w:val="24"/>
          <w:lang w:val="es-MX"/>
        </w:rPr>
        <w:t>varon a cabo con relación a Telleldín.</w:t>
      </w:r>
    </w:p>
    <w:p w:rsidR="00224567" w:rsidRDefault="00224567">
      <w:pPr>
        <w:widowControl w:val="0"/>
        <w:tabs>
          <w:tab w:val="left" w:pos="2835"/>
        </w:tabs>
        <w:rPr>
          <w:lang w:val="es-MX"/>
        </w:rPr>
      </w:pPr>
      <w:r>
        <w:rPr>
          <w:lang w:val="es-MX"/>
        </w:rPr>
        <w:t xml:space="preserve"> </w:t>
      </w:r>
      <w:r>
        <w:rPr>
          <w:lang w:val="es-MX"/>
        </w:rPr>
        <w:tab/>
        <w:t>Argumentó que si lo que dijo su asi</w:t>
      </w:r>
      <w:r>
        <w:rPr>
          <w:lang w:val="es-MX"/>
        </w:rPr>
        <w:t>s</w:t>
      </w:r>
      <w:r>
        <w:rPr>
          <w:lang w:val="es-MX"/>
        </w:rPr>
        <w:t>tido ante la prensa hubiera sido suficiente para ac</w:t>
      </w:r>
      <w:r>
        <w:rPr>
          <w:lang w:val="es-MX"/>
        </w:rPr>
        <w:t>u</w:t>
      </w:r>
      <w:r>
        <w:rPr>
          <w:lang w:val="es-MX"/>
        </w:rPr>
        <w:t>sarlo a él y a los policías como partícipes del atentado, no tendrían que haber realizado ninguna maniobra ilícita en su perjuicio.</w:t>
      </w:r>
    </w:p>
    <w:p w:rsidR="00224567" w:rsidRDefault="00224567">
      <w:pPr>
        <w:widowControl w:val="0"/>
        <w:tabs>
          <w:tab w:val="left" w:pos="2835"/>
        </w:tabs>
        <w:rPr>
          <w:lang w:val="es-MX"/>
        </w:rPr>
      </w:pPr>
      <w:r>
        <w:rPr>
          <w:lang w:val="es-MX"/>
        </w:rPr>
        <w:t xml:space="preserve"> </w:t>
      </w:r>
      <w:r>
        <w:rPr>
          <w:lang w:val="es-MX"/>
        </w:rPr>
        <w:tab/>
        <w:t>Sostuvo que si el juez Galeano hubi</w:t>
      </w:r>
      <w:r>
        <w:rPr>
          <w:lang w:val="es-MX"/>
        </w:rPr>
        <w:t>e</w:t>
      </w:r>
      <w:r>
        <w:rPr>
          <w:lang w:val="es-MX"/>
        </w:rPr>
        <w:t>se investigado las denuncias de extorsión que Telleldín le manifestó desde el año 1994, éste no hubiera tenido que recurrir a la prensa, como tampoco hubiera denunciado ni recusado al magistrado.</w:t>
      </w:r>
    </w:p>
    <w:p w:rsidR="00224567" w:rsidRDefault="00224567">
      <w:pPr>
        <w:widowControl w:val="0"/>
        <w:tabs>
          <w:tab w:val="left" w:pos="2835"/>
        </w:tabs>
        <w:rPr>
          <w:lang w:val="es-MX"/>
        </w:rPr>
      </w:pPr>
      <w:r>
        <w:rPr>
          <w:lang w:val="es-MX"/>
        </w:rPr>
        <w:tab/>
        <w:t>Señaló, que se investigó ilegítimame</w:t>
      </w:r>
      <w:r>
        <w:rPr>
          <w:lang w:val="es-MX"/>
        </w:rPr>
        <w:t>n</w:t>
      </w:r>
      <w:r>
        <w:rPr>
          <w:lang w:val="es-MX"/>
        </w:rPr>
        <w:t>te y durante un año al personal policial, precisando que al solicitar el Comisario Verón inform</w:t>
      </w:r>
      <w:r>
        <w:rPr>
          <w:lang w:val="es-MX"/>
        </w:rPr>
        <w:t>a</w:t>
      </w:r>
      <w:r>
        <w:rPr>
          <w:lang w:val="es-MX"/>
        </w:rPr>
        <w:t>ción a las brigadas de investigación, ya existían elementos para recibirle d</w:t>
      </w:r>
      <w:r>
        <w:rPr>
          <w:lang w:val="es-MX"/>
        </w:rPr>
        <w:t>e</w:t>
      </w:r>
      <w:r>
        <w:rPr>
          <w:lang w:val="es-MX"/>
        </w:rPr>
        <w:t>claración indagatoria a los policías por las extorsiones cometidas.</w:t>
      </w:r>
    </w:p>
    <w:p w:rsidR="00224567" w:rsidRDefault="00224567">
      <w:pPr>
        <w:widowControl w:val="0"/>
        <w:tabs>
          <w:tab w:val="left" w:pos="2835"/>
        </w:tabs>
        <w:rPr>
          <w:lang w:val="es-MX"/>
        </w:rPr>
      </w:pPr>
      <w:r>
        <w:rPr>
          <w:lang w:val="es-MX"/>
        </w:rPr>
        <w:tab/>
        <w:t>Manifestó que a pesar de contar con los testimonios de Petrucci, Telleldín y otros, antes del 5 de julio de 1996, como también las notas periodísticas un año antes, no se procedió de acuerdo al código, llama</w:t>
      </w:r>
      <w:r>
        <w:rPr>
          <w:lang w:val="es-MX"/>
        </w:rPr>
        <w:t>n</w:t>
      </w:r>
      <w:r>
        <w:rPr>
          <w:lang w:val="es-MX"/>
        </w:rPr>
        <w:t>do a indagatoria, sino que “los dejaron caminar para pr</w:t>
      </w:r>
      <w:r>
        <w:rPr>
          <w:lang w:val="es-MX"/>
        </w:rPr>
        <w:t>o</w:t>
      </w:r>
      <w:r>
        <w:rPr>
          <w:lang w:val="es-MX"/>
        </w:rPr>
        <w:t>ducir prueba il</w:t>
      </w:r>
      <w:r>
        <w:rPr>
          <w:lang w:val="es-MX"/>
        </w:rPr>
        <w:t>e</w:t>
      </w:r>
      <w:r>
        <w:rPr>
          <w:lang w:val="es-MX"/>
        </w:rPr>
        <w:t>gítima”.</w:t>
      </w:r>
    </w:p>
    <w:p w:rsidR="00224567" w:rsidRDefault="00224567">
      <w:pPr>
        <w:widowControl w:val="0"/>
        <w:tabs>
          <w:tab w:val="left" w:pos="2835"/>
        </w:tabs>
        <w:rPr>
          <w:lang w:val="es-MX"/>
        </w:rPr>
      </w:pPr>
      <w:r>
        <w:rPr>
          <w:lang w:val="es-MX"/>
        </w:rPr>
        <w:t xml:space="preserve"> </w:t>
      </w:r>
      <w:r>
        <w:rPr>
          <w:lang w:val="es-MX"/>
        </w:rPr>
        <w:tab/>
        <w:t>Relató que se ocultó prueba, se prod</w:t>
      </w:r>
      <w:r>
        <w:rPr>
          <w:lang w:val="es-MX"/>
        </w:rPr>
        <w:t>u</w:t>
      </w:r>
      <w:r>
        <w:rPr>
          <w:lang w:val="es-MX"/>
        </w:rPr>
        <w:t>jo otra tanta ilícita, se realizaron intervenciones tel</w:t>
      </w:r>
      <w:r>
        <w:rPr>
          <w:lang w:val="es-MX"/>
        </w:rPr>
        <w:t>e</w:t>
      </w:r>
      <w:r>
        <w:rPr>
          <w:lang w:val="es-MX"/>
        </w:rPr>
        <w:t>fónicas ilegales, se presionó a policías imputados para que delataran a sus compañeros y se les realizó un sumario administrativo, precisando que todo ello ocurrió con ant</w:t>
      </w:r>
      <w:r>
        <w:rPr>
          <w:lang w:val="es-MX"/>
        </w:rPr>
        <w:t>e</w:t>
      </w:r>
      <w:r>
        <w:rPr>
          <w:lang w:val="es-MX"/>
        </w:rPr>
        <w:t>rioridad al 5 de julio de 1996.</w:t>
      </w:r>
    </w:p>
    <w:p w:rsidR="00224567" w:rsidRDefault="00224567">
      <w:pPr>
        <w:widowControl w:val="0"/>
        <w:tabs>
          <w:tab w:val="left" w:pos="2835"/>
        </w:tabs>
        <w:rPr>
          <w:lang w:val="es-MX"/>
        </w:rPr>
      </w:pPr>
      <w:r>
        <w:rPr>
          <w:lang w:val="es-MX"/>
        </w:rPr>
        <w:tab/>
        <w:t>Como colofón, replicó que la “vía i</w:t>
      </w:r>
      <w:r>
        <w:rPr>
          <w:lang w:val="es-MX"/>
        </w:rPr>
        <w:t>n</w:t>
      </w:r>
      <w:r>
        <w:rPr>
          <w:lang w:val="es-MX"/>
        </w:rPr>
        <w:t>dependiente” no era más que un fiasco por la que se pr</w:t>
      </w:r>
      <w:r>
        <w:rPr>
          <w:lang w:val="es-MX"/>
        </w:rPr>
        <w:t>e</w:t>
      </w:r>
      <w:r>
        <w:rPr>
          <w:lang w:val="es-MX"/>
        </w:rPr>
        <w:t>tendía mantener la acusación en contra de Telleldín y pr</w:t>
      </w:r>
      <w:r>
        <w:rPr>
          <w:lang w:val="es-MX"/>
        </w:rPr>
        <w:t>o</w:t>
      </w:r>
      <w:r>
        <w:rPr>
          <w:lang w:val="es-MX"/>
        </w:rPr>
        <w:t>teger la investigación frente a la increíble cantidad de delitos cometidos durante su d</w:t>
      </w:r>
      <w:r>
        <w:rPr>
          <w:lang w:val="es-MX"/>
        </w:rPr>
        <w:t>e</w:t>
      </w:r>
      <w:r>
        <w:rPr>
          <w:lang w:val="es-MX"/>
        </w:rPr>
        <w:t>sarrollo.</w:t>
      </w:r>
    </w:p>
    <w:p w:rsidR="00224567" w:rsidRDefault="00224567">
      <w:pPr>
        <w:widowControl w:val="0"/>
        <w:tabs>
          <w:tab w:val="left" w:pos="2835"/>
        </w:tabs>
        <w:rPr>
          <w:lang w:val="es-MX"/>
        </w:rPr>
      </w:pPr>
      <w:r>
        <w:rPr>
          <w:lang w:val="es-MX"/>
        </w:rPr>
        <w:tab/>
        <w:t>No obstante, sostuvo que ninguno de aquellos elementos, ni los artículos periodísticos p</w:t>
      </w:r>
      <w:r>
        <w:rPr>
          <w:lang w:val="es-MX"/>
        </w:rPr>
        <w:t>o</w:t>
      </w:r>
      <w:r>
        <w:rPr>
          <w:lang w:val="es-MX"/>
        </w:rPr>
        <w:t>dían probar la participación de Telleldín, ni su actuación co</w:t>
      </w:r>
      <w:r>
        <w:rPr>
          <w:lang w:val="es-MX"/>
        </w:rPr>
        <w:t>n</w:t>
      </w:r>
      <w:r>
        <w:rPr>
          <w:lang w:val="es-MX"/>
        </w:rPr>
        <w:t>junta al personal policial.</w:t>
      </w:r>
    </w:p>
    <w:p w:rsidR="00224567" w:rsidRDefault="00224567">
      <w:pPr>
        <w:widowControl w:val="0"/>
        <w:tabs>
          <w:tab w:val="left" w:pos="2835"/>
        </w:tabs>
        <w:rPr>
          <w:lang w:val="es-MX"/>
        </w:rPr>
      </w:pPr>
      <w:r>
        <w:rPr>
          <w:lang w:val="es-MX"/>
        </w:rPr>
        <w:tab/>
        <w:t>En definitiva, estimó que la “vía” c</w:t>
      </w:r>
      <w:r>
        <w:rPr>
          <w:lang w:val="es-MX"/>
        </w:rPr>
        <w:t>a</w:t>
      </w:r>
      <w:r>
        <w:rPr>
          <w:lang w:val="es-MX"/>
        </w:rPr>
        <w:t>lificada como independiente frente a los actos proc</w:t>
      </w:r>
      <w:r>
        <w:rPr>
          <w:lang w:val="es-MX"/>
        </w:rPr>
        <w:t>e</w:t>
      </w:r>
      <w:r>
        <w:rPr>
          <w:lang w:val="es-MX"/>
        </w:rPr>
        <w:t>sales nulos, tenía su origen en delitos c</w:t>
      </w:r>
      <w:r>
        <w:rPr>
          <w:lang w:val="es-MX"/>
        </w:rPr>
        <w:t>o</w:t>
      </w:r>
      <w:r>
        <w:rPr>
          <w:lang w:val="es-MX"/>
        </w:rPr>
        <w:t>metidos por el juez y los fiscales.</w:t>
      </w:r>
    </w:p>
    <w:p w:rsidR="00224567" w:rsidRDefault="00224567">
      <w:pPr>
        <w:widowControl w:val="0"/>
        <w:tabs>
          <w:tab w:val="left" w:pos="2835"/>
        </w:tabs>
        <w:rPr>
          <w:lang w:val="es-MX"/>
        </w:rPr>
      </w:pPr>
      <w:r>
        <w:rPr>
          <w:lang w:val="es-MX"/>
        </w:rPr>
        <w:tab/>
        <w:t>Además, hizo referencia a las manip</w:t>
      </w:r>
      <w:r>
        <w:rPr>
          <w:lang w:val="es-MX"/>
        </w:rPr>
        <w:t>u</w:t>
      </w:r>
      <w:r>
        <w:rPr>
          <w:lang w:val="es-MX"/>
        </w:rPr>
        <w:t xml:space="preserve">laciones sufridas por Telleldín por parte de </w:t>
      </w:r>
      <w:smartTag w:uri="urn:schemas-microsoft-com:office:smarttags" w:element="PersonName">
        <w:smartTagPr>
          <w:attr w:name="ProductID" w:val="la Dra. Riva"/>
        </w:smartTagPr>
        <w:r>
          <w:rPr>
            <w:lang w:val="es-MX"/>
          </w:rPr>
          <w:t>la Dra. Riva</w:t>
        </w:r>
      </w:smartTag>
      <w:r>
        <w:rPr>
          <w:lang w:val="es-MX"/>
        </w:rPr>
        <w:t xml:space="preserve"> Aramayo para que desistiera de la recusación pla</w:t>
      </w:r>
      <w:r>
        <w:rPr>
          <w:lang w:val="es-MX"/>
        </w:rPr>
        <w:t>n</w:t>
      </w:r>
      <w:r>
        <w:rPr>
          <w:lang w:val="es-MX"/>
        </w:rPr>
        <w:t>teada.</w:t>
      </w:r>
    </w:p>
    <w:p w:rsidR="00224567" w:rsidRDefault="00224567">
      <w:pPr>
        <w:widowControl w:val="0"/>
        <w:tabs>
          <w:tab w:val="left" w:pos="2835"/>
        </w:tabs>
        <w:rPr>
          <w:lang w:val="es-MX"/>
        </w:rPr>
      </w:pPr>
      <w:r>
        <w:rPr>
          <w:lang w:val="es-MX"/>
        </w:rPr>
        <w:tab/>
        <w:t>Mencionó que el fiscal pretendió min</w:t>
      </w:r>
      <w:r>
        <w:rPr>
          <w:lang w:val="es-MX"/>
        </w:rPr>
        <w:t>i</w:t>
      </w:r>
      <w:r>
        <w:rPr>
          <w:lang w:val="es-MX"/>
        </w:rPr>
        <w:t>mizar la coacción ejercida sobre su cliente desde el año 1994 hasta el mes de julio de 1996, al afirmar que Telle</w:t>
      </w:r>
      <w:r>
        <w:rPr>
          <w:lang w:val="es-MX"/>
        </w:rPr>
        <w:t>l</w:t>
      </w:r>
      <w:r>
        <w:rPr>
          <w:lang w:val="es-MX"/>
        </w:rPr>
        <w:t>dín fue determinado a declarar mediante un pago, cua</w:t>
      </w:r>
      <w:r>
        <w:rPr>
          <w:lang w:val="es-MX"/>
        </w:rPr>
        <w:t>n</w:t>
      </w:r>
      <w:r>
        <w:rPr>
          <w:lang w:val="es-MX"/>
        </w:rPr>
        <w:t>do a juicio de la defensa, se acreditó que no fue así.</w:t>
      </w:r>
    </w:p>
    <w:p w:rsidR="00224567" w:rsidRDefault="00224567">
      <w:pPr>
        <w:pStyle w:val="Textoindependiente3"/>
        <w:widowControl w:val="0"/>
        <w:tabs>
          <w:tab w:val="left" w:pos="2835"/>
        </w:tabs>
        <w:rPr>
          <w:rFonts w:ascii="Courier New" w:hAnsi="Courier New" w:cs="Courier New"/>
          <w:b w:val="0"/>
          <w:bCs/>
          <w:sz w:val="24"/>
          <w:lang w:val="es-MX"/>
        </w:rPr>
      </w:pPr>
      <w:r>
        <w:rPr>
          <w:lang w:val="es-MX"/>
        </w:rPr>
        <w:tab/>
      </w:r>
      <w:r>
        <w:rPr>
          <w:rFonts w:ascii="Courier New" w:hAnsi="Courier New" w:cs="Courier New"/>
          <w:b w:val="0"/>
          <w:bCs/>
          <w:sz w:val="24"/>
          <w:lang w:val="es-MX"/>
        </w:rPr>
        <w:t>Indicó que lo determinante para que Telleldín declarara el 5 de julio de 1996 no fue el p</w:t>
      </w:r>
      <w:r>
        <w:rPr>
          <w:rFonts w:ascii="Courier New" w:hAnsi="Courier New" w:cs="Courier New"/>
          <w:b w:val="0"/>
          <w:bCs/>
          <w:sz w:val="24"/>
          <w:lang w:val="es-MX"/>
        </w:rPr>
        <w:t>a</w:t>
      </w:r>
      <w:r>
        <w:rPr>
          <w:rFonts w:ascii="Courier New" w:hAnsi="Courier New" w:cs="Courier New"/>
          <w:b w:val="0"/>
          <w:bCs/>
          <w:sz w:val="24"/>
          <w:lang w:val="es-MX"/>
        </w:rPr>
        <w:t xml:space="preserve">go, sino la coacción ejercida sobre él y su familia; delito que fue denunciado por su cliente en el año 2003, y que nunca se investigó en la causa nº 9789 del registro de </w:t>
      </w:r>
      <w:smartTag w:uri="urn:schemas-microsoft-com:office:smarttags" w:element="PersonName">
        <w:smartTagPr>
          <w:attr w:name="ProductID" w:val="la Secretar￭a"/>
        </w:smartTagPr>
        <w:r>
          <w:rPr>
            <w:rFonts w:ascii="Courier New" w:hAnsi="Courier New" w:cs="Courier New"/>
            <w:b w:val="0"/>
            <w:bCs/>
            <w:sz w:val="24"/>
            <w:lang w:val="es-MX"/>
          </w:rPr>
          <w:t>la Secretaría</w:t>
        </w:r>
      </w:smartTag>
      <w:r>
        <w:rPr>
          <w:rFonts w:ascii="Courier New" w:hAnsi="Courier New" w:cs="Courier New"/>
          <w:b w:val="0"/>
          <w:bCs/>
          <w:sz w:val="24"/>
          <w:lang w:val="es-MX"/>
        </w:rPr>
        <w:t xml:space="preserve"> nº 22 del Juzgado Federal nº 11, como tampoco se realizó denuncia a</w:t>
      </w:r>
      <w:r>
        <w:rPr>
          <w:rFonts w:ascii="Courier New" w:hAnsi="Courier New" w:cs="Courier New"/>
          <w:b w:val="0"/>
          <w:bCs/>
          <w:sz w:val="24"/>
          <w:lang w:val="es-MX"/>
        </w:rPr>
        <w:t>l</w:t>
      </w:r>
      <w:r>
        <w:rPr>
          <w:rFonts w:ascii="Courier New" w:hAnsi="Courier New" w:cs="Courier New"/>
          <w:b w:val="0"/>
          <w:bCs/>
          <w:sz w:val="24"/>
          <w:lang w:val="es-MX"/>
        </w:rPr>
        <w:t>guna.</w:t>
      </w:r>
    </w:p>
    <w:p w:rsidR="00224567" w:rsidRDefault="00224567">
      <w:pPr>
        <w:widowControl w:val="0"/>
        <w:tabs>
          <w:tab w:val="left" w:pos="2835"/>
        </w:tabs>
        <w:rPr>
          <w:lang w:val="es-MX"/>
        </w:rPr>
      </w:pPr>
      <w:r>
        <w:rPr>
          <w:bCs/>
          <w:lang w:val="es-MX"/>
        </w:rPr>
        <w:tab/>
        <w:t>Destacó que las maniobras coa</w:t>
      </w:r>
      <w:r>
        <w:rPr>
          <w:lang w:val="es-MX"/>
        </w:rPr>
        <w:t>ctivas quedaron evidenciadas con el testimonio de Rubén Ezra B</w:t>
      </w:r>
      <w:r>
        <w:rPr>
          <w:lang w:val="es-MX"/>
        </w:rPr>
        <w:t>e</w:t>
      </w:r>
      <w:r>
        <w:rPr>
          <w:lang w:val="es-MX"/>
        </w:rPr>
        <w:t>raja, con la constancia del Dr. Galeano de lo que la l</w:t>
      </w:r>
      <w:r>
        <w:rPr>
          <w:lang w:val="es-MX"/>
        </w:rPr>
        <w:t>e</w:t>
      </w:r>
      <w:r>
        <w:rPr>
          <w:lang w:val="es-MX"/>
        </w:rPr>
        <w:t>trada llamó la “tentativa de secuestro de Nahuel Telle</w:t>
      </w:r>
      <w:r>
        <w:rPr>
          <w:lang w:val="es-MX"/>
        </w:rPr>
        <w:t>l</w:t>
      </w:r>
      <w:r>
        <w:rPr>
          <w:lang w:val="es-MX"/>
        </w:rPr>
        <w:t xml:space="preserve">dín”, y con los testimonios de los agentes de </w:t>
      </w:r>
      <w:smartTag w:uri="urn:schemas-microsoft-com:office:smarttags" w:element="PersonName">
        <w:smartTagPr>
          <w:attr w:name="ProductID" w:val="la S.I"/>
        </w:smartTagPr>
        <w:r>
          <w:rPr>
            <w:lang w:val="es-MX"/>
          </w:rPr>
          <w:t>la S.I</w:t>
        </w:r>
      </w:smartTag>
      <w:r>
        <w:rPr>
          <w:lang w:val="es-MX"/>
        </w:rPr>
        <w:t>.D.E. que declararon cómo segu</w:t>
      </w:r>
      <w:r>
        <w:rPr>
          <w:lang w:val="es-MX"/>
        </w:rPr>
        <w:t>í</w:t>
      </w:r>
      <w:r>
        <w:rPr>
          <w:lang w:val="es-MX"/>
        </w:rPr>
        <w:t>an a Ana Boragni.</w:t>
      </w:r>
    </w:p>
    <w:p w:rsidR="00224567" w:rsidRDefault="00224567">
      <w:pPr>
        <w:widowControl w:val="0"/>
        <w:tabs>
          <w:tab w:val="left" w:pos="2835"/>
        </w:tabs>
        <w:rPr>
          <w:lang w:val="es-MX"/>
        </w:rPr>
      </w:pPr>
      <w:r>
        <w:rPr>
          <w:lang w:val="es-MX"/>
        </w:rPr>
        <w:tab/>
        <w:t>Por otro lado, rechazó la acusación realizada por el Dr. Jacoby cuando sostuvo que Telleldín fue el responsable del desvío que implicó esta investig</w:t>
      </w:r>
      <w:r>
        <w:rPr>
          <w:lang w:val="es-MX"/>
        </w:rPr>
        <w:t>a</w:t>
      </w:r>
      <w:r>
        <w:rPr>
          <w:lang w:val="es-MX"/>
        </w:rPr>
        <w:t>ción.</w:t>
      </w:r>
    </w:p>
    <w:p w:rsidR="00224567" w:rsidRDefault="00224567">
      <w:pPr>
        <w:widowControl w:val="0"/>
        <w:tabs>
          <w:tab w:val="left" w:pos="2835"/>
        </w:tabs>
        <w:rPr>
          <w:lang w:val="es-MX"/>
        </w:rPr>
      </w:pPr>
      <w:r>
        <w:rPr>
          <w:lang w:val="es-MX"/>
        </w:rPr>
        <w:tab/>
        <w:t>Al respecto, expresó que Telle</w:t>
      </w:r>
      <w:r>
        <w:rPr>
          <w:lang w:val="es-MX"/>
        </w:rPr>
        <w:t>l</w:t>
      </w:r>
      <w:r>
        <w:rPr>
          <w:lang w:val="es-MX"/>
        </w:rPr>
        <w:t>dín no colaboró voluntariamente en lo que esa querella denominó “desvío” y advirtió que su cliente no era quien tenía el poder de evitar “la vergüenza institucional que sign</w:t>
      </w:r>
      <w:r>
        <w:rPr>
          <w:lang w:val="es-MX"/>
        </w:rPr>
        <w:t>i</w:t>
      </w:r>
      <w:r>
        <w:rPr>
          <w:lang w:val="es-MX"/>
        </w:rPr>
        <w:t>fica esta causa”, siendo el juez, los fiscales y algunos dir</w:t>
      </w:r>
      <w:r>
        <w:rPr>
          <w:lang w:val="es-MX"/>
        </w:rPr>
        <w:t>i</w:t>
      </w:r>
      <w:r>
        <w:rPr>
          <w:lang w:val="es-MX"/>
        </w:rPr>
        <w:t>gentes de la comunidad los verdaderos autores de la “hi</w:t>
      </w:r>
      <w:r>
        <w:rPr>
          <w:lang w:val="es-MX"/>
        </w:rPr>
        <w:t>s</w:t>
      </w:r>
      <w:r>
        <w:rPr>
          <w:lang w:val="es-MX"/>
        </w:rPr>
        <w:t>toria of</w:t>
      </w:r>
      <w:r>
        <w:rPr>
          <w:lang w:val="es-MX"/>
        </w:rPr>
        <w:t>i</w:t>
      </w:r>
      <w:r>
        <w:rPr>
          <w:lang w:val="es-MX"/>
        </w:rPr>
        <w:t>cial”.</w:t>
      </w:r>
    </w:p>
    <w:p w:rsidR="00224567" w:rsidRDefault="00224567">
      <w:pPr>
        <w:widowControl w:val="0"/>
        <w:tabs>
          <w:tab w:val="left" w:pos="2835"/>
        </w:tabs>
        <w:rPr>
          <w:lang w:val="es-MX"/>
        </w:rPr>
      </w:pPr>
      <w:r>
        <w:rPr>
          <w:lang w:val="es-MX"/>
        </w:rPr>
        <w:tab/>
        <w:t>Acusó al letrado de la querella “Mem</w:t>
      </w:r>
      <w:r>
        <w:rPr>
          <w:lang w:val="es-MX"/>
        </w:rPr>
        <w:t>o</w:t>
      </w:r>
      <w:r>
        <w:rPr>
          <w:lang w:val="es-MX"/>
        </w:rPr>
        <w:t xml:space="preserve">ria Activa” de mantener un doble discurso, pues si bien criticó la investigación desarrollada, no tuvo una actitud procesal consecuente. </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Indicó que la querella “Memoria Act</w:t>
      </w:r>
      <w:r>
        <w:rPr>
          <w:rFonts w:ascii="Courier New" w:hAnsi="Courier New" w:cs="Courier New"/>
        </w:rPr>
        <w:t>i</w:t>
      </w:r>
      <w:r>
        <w:rPr>
          <w:rFonts w:ascii="Courier New" w:hAnsi="Courier New" w:cs="Courier New"/>
        </w:rPr>
        <w:t>va” no sólo debió plantear sus quejas, sino que más bien debió interrogar hasta las últimas consecuencias, remem</w:t>
      </w:r>
      <w:r>
        <w:rPr>
          <w:rFonts w:ascii="Courier New" w:hAnsi="Courier New" w:cs="Courier New"/>
        </w:rPr>
        <w:t>o</w:t>
      </w:r>
      <w:r>
        <w:rPr>
          <w:rFonts w:ascii="Courier New" w:hAnsi="Courier New" w:cs="Courier New"/>
        </w:rPr>
        <w:t>rando que su conformidad quedó evidenciada al momento de prestar testimonio el señor Antonietti.</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 xml:space="preserve"> </w:t>
      </w:r>
      <w:r>
        <w:rPr>
          <w:rFonts w:ascii="Courier New" w:hAnsi="Courier New" w:cs="Courier New"/>
        </w:rPr>
        <w:tab/>
        <w:t>Asimismo, dijo que no pudo advertir cuáles eran las denuncias que la querella mencionó haber realizado y que supuestamente esa defensa se enancó. Se preguntó dónde estaba la denuncia que “Memoria Activa” realizó con respecto al desvío intencional que significó la actuación del capitán Vergéz, dónde estaba la denuncia sobre la llamada que se hizo desde la presidencia frente a la detención de Kanoore Edul, dónde fue denunciada la de</w:t>
      </w:r>
      <w:r>
        <w:rPr>
          <w:rFonts w:ascii="Courier New" w:hAnsi="Courier New" w:cs="Courier New"/>
        </w:rPr>
        <w:t>s</w:t>
      </w:r>
      <w:r>
        <w:rPr>
          <w:rFonts w:ascii="Courier New" w:hAnsi="Courier New" w:cs="Courier New"/>
        </w:rPr>
        <w:t>trucción de prueba y dónde estaba radicada la denu</w:t>
      </w:r>
      <w:r>
        <w:rPr>
          <w:rFonts w:ascii="Courier New" w:hAnsi="Courier New" w:cs="Courier New"/>
        </w:rPr>
        <w:t>n</w:t>
      </w:r>
      <w:r>
        <w:rPr>
          <w:rFonts w:ascii="Courier New" w:hAnsi="Courier New" w:cs="Courier New"/>
        </w:rPr>
        <w:t xml:space="preserve">cia por la actuación de </w:t>
      </w:r>
      <w:smartTag w:uri="urn:schemas-microsoft-com:office:smarttags" w:element="PersonName">
        <w:smartTagPr>
          <w:attr w:name="ProductID" w:val="la S.I"/>
        </w:smartTagPr>
        <w:r>
          <w:rPr>
            <w:rFonts w:ascii="Courier New" w:hAnsi="Courier New" w:cs="Courier New"/>
          </w:rPr>
          <w:t>la S.I</w:t>
        </w:r>
      </w:smartTag>
      <w:r>
        <w:rPr>
          <w:rFonts w:ascii="Courier New" w:hAnsi="Courier New" w:cs="Courier New"/>
        </w:rPr>
        <w:t>.D.E. a través de Ramón Emilio Sol</w:t>
      </w:r>
      <w:r>
        <w:rPr>
          <w:rFonts w:ascii="Courier New" w:hAnsi="Courier New" w:cs="Courier New"/>
        </w:rPr>
        <w:t>a</w:t>
      </w:r>
      <w:r>
        <w:rPr>
          <w:rFonts w:ascii="Courier New" w:hAnsi="Courier New" w:cs="Courier New"/>
        </w:rPr>
        <w:t>ri.</w:t>
      </w:r>
    </w:p>
    <w:p w:rsidR="00224567" w:rsidRDefault="00224567">
      <w:pPr>
        <w:widowControl w:val="0"/>
        <w:tabs>
          <w:tab w:val="left" w:pos="2835"/>
        </w:tabs>
        <w:rPr>
          <w:lang w:val="es-MX"/>
        </w:rPr>
      </w:pPr>
      <w:r>
        <w:rPr>
          <w:lang w:val="es-MX"/>
        </w:rPr>
        <w:tab/>
        <w:t>Subrayó que las actuaciones de Vergéz y Solari fueron frustradas gracias a la denuncia jud</w:t>
      </w:r>
      <w:r>
        <w:rPr>
          <w:lang w:val="es-MX"/>
        </w:rPr>
        <w:t>i</w:t>
      </w:r>
      <w:r>
        <w:rPr>
          <w:lang w:val="es-MX"/>
        </w:rPr>
        <w:t>cial y mediática realizada por Telle</w:t>
      </w:r>
      <w:r>
        <w:rPr>
          <w:lang w:val="es-MX"/>
        </w:rPr>
        <w:t>l</w:t>
      </w:r>
      <w:r>
        <w:rPr>
          <w:lang w:val="es-MX"/>
        </w:rPr>
        <w:t>dín y su mujer, recordando que su cliente fue quien d</w:t>
      </w:r>
      <w:r>
        <w:rPr>
          <w:lang w:val="es-MX"/>
        </w:rPr>
        <w:t>e</w:t>
      </w:r>
      <w:r>
        <w:rPr>
          <w:lang w:val="es-MX"/>
        </w:rPr>
        <w:t>nunció en primer lugar el pago extorsivo e ilegal que le efectuaron.</w:t>
      </w:r>
    </w:p>
    <w:p w:rsidR="00224567" w:rsidRDefault="00224567">
      <w:pPr>
        <w:widowControl w:val="0"/>
        <w:tabs>
          <w:tab w:val="left" w:pos="2835"/>
        </w:tabs>
        <w:rPr>
          <w:lang w:val="es-MX"/>
        </w:rPr>
      </w:pPr>
      <w:r>
        <w:rPr>
          <w:lang w:val="es-MX"/>
        </w:rPr>
        <w:tab/>
        <w:t>Finalmente, observó que la intención de ver en las act</w:t>
      </w:r>
      <w:r>
        <w:rPr>
          <w:lang w:val="es-MX"/>
        </w:rPr>
        <w:t>i</w:t>
      </w:r>
      <w:r>
        <w:rPr>
          <w:lang w:val="es-MX"/>
        </w:rPr>
        <w:t>tudes de Telleldín el motivo por el cual hoy no se podía conocer a los responsables del atentado, no era más que continuar con el encubrimie</w:t>
      </w:r>
      <w:r>
        <w:rPr>
          <w:lang w:val="es-MX"/>
        </w:rPr>
        <w:t>n</w:t>
      </w:r>
      <w:r>
        <w:rPr>
          <w:lang w:val="es-MX"/>
        </w:rPr>
        <w:t>to.</w:t>
      </w:r>
    </w:p>
    <w:p w:rsidR="00224567" w:rsidRDefault="00224567">
      <w:pPr>
        <w:widowControl w:val="0"/>
        <w:tabs>
          <w:tab w:val="left" w:pos="2835"/>
        </w:tabs>
        <w:rPr>
          <w:lang w:val="es-MX"/>
        </w:rPr>
      </w:pPr>
      <w:r>
        <w:rPr>
          <w:lang w:val="es-MX"/>
        </w:rPr>
        <w:tab/>
        <w:t>Asimismo, criticó a quienes a p</w:t>
      </w:r>
      <w:r>
        <w:rPr>
          <w:lang w:val="es-MX"/>
        </w:rPr>
        <w:t>e</w:t>
      </w:r>
      <w:r>
        <w:rPr>
          <w:lang w:val="es-MX"/>
        </w:rPr>
        <w:t>sar de nulidades existentes, procuraban continuar con su prete</w:t>
      </w:r>
      <w:r>
        <w:rPr>
          <w:lang w:val="es-MX"/>
        </w:rPr>
        <w:t>n</w:t>
      </w:r>
      <w:r>
        <w:rPr>
          <w:lang w:val="es-MX"/>
        </w:rPr>
        <w:t>sión, considerando que ello importaba impedir, por om</w:t>
      </w:r>
      <w:r>
        <w:rPr>
          <w:lang w:val="es-MX"/>
        </w:rPr>
        <w:t>i</w:t>
      </w:r>
      <w:r>
        <w:rPr>
          <w:lang w:val="es-MX"/>
        </w:rPr>
        <w:t>sión, alcanzar resultados legítimos.</w:t>
      </w:r>
    </w:p>
    <w:p w:rsidR="00224567" w:rsidRDefault="00224567">
      <w:pPr>
        <w:pStyle w:val="Textoindependiente3"/>
        <w:widowControl w:val="0"/>
        <w:tabs>
          <w:tab w:val="left" w:pos="2835"/>
        </w:tabs>
        <w:rPr>
          <w:rFonts w:ascii="Courier New" w:hAnsi="Courier New" w:cs="Courier New"/>
          <w:b w:val="0"/>
          <w:sz w:val="24"/>
          <w:lang w:val="es-MX"/>
        </w:rPr>
      </w:pPr>
      <w:r>
        <w:rPr>
          <w:rFonts w:ascii="Courier New" w:hAnsi="Courier New" w:cs="Courier New"/>
          <w:b w:val="0"/>
          <w:sz w:val="24"/>
          <w:lang w:val="es-MX"/>
        </w:rPr>
        <w:tab/>
        <w:t>Entendió que sólo comenzando de nu</w:t>
      </w:r>
      <w:r>
        <w:rPr>
          <w:rFonts w:ascii="Courier New" w:hAnsi="Courier New" w:cs="Courier New"/>
          <w:b w:val="0"/>
          <w:sz w:val="24"/>
          <w:lang w:val="es-MX"/>
        </w:rPr>
        <w:t>e</w:t>
      </w:r>
      <w:r>
        <w:rPr>
          <w:rFonts w:ascii="Courier New" w:hAnsi="Courier New" w:cs="Courier New"/>
          <w:b w:val="0"/>
          <w:sz w:val="24"/>
          <w:lang w:val="es-MX"/>
        </w:rPr>
        <w:t>vo, se podría obtener algún día una captura internaci</w:t>
      </w:r>
      <w:r>
        <w:rPr>
          <w:rFonts w:ascii="Courier New" w:hAnsi="Courier New" w:cs="Courier New"/>
          <w:b w:val="0"/>
          <w:sz w:val="24"/>
          <w:lang w:val="es-MX"/>
        </w:rPr>
        <w:t>o</w:t>
      </w:r>
      <w:r>
        <w:rPr>
          <w:rFonts w:ascii="Courier New" w:hAnsi="Courier New" w:cs="Courier New"/>
          <w:b w:val="0"/>
          <w:sz w:val="24"/>
          <w:lang w:val="es-MX"/>
        </w:rPr>
        <w:t>nal sin hacer el ridículo, recordando la vergüenza internacional que importó la actuación del juez, los fiscales y las qu</w:t>
      </w:r>
      <w:r>
        <w:rPr>
          <w:rFonts w:ascii="Courier New" w:hAnsi="Courier New" w:cs="Courier New"/>
          <w:b w:val="0"/>
          <w:sz w:val="24"/>
          <w:lang w:val="es-MX"/>
        </w:rPr>
        <w:t>e</w:t>
      </w:r>
      <w:r>
        <w:rPr>
          <w:rFonts w:ascii="Courier New" w:hAnsi="Courier New" w:cs="Courier New"/>
          <w:b w:val="0"/>
          <w:sz w:val="24"/>
          <w:lang w:val="es-MX"/>
        </w:rPr>
        <w:t>rellas en la declaración del testigo “C” en Alemania.</w:t>
      </w:r>
    </w:p>
    <w:p w:rsidR="00224567" w:rsidRDefault="00224567">
      <w:pPr>
        <w:widowControl w:val="0"/>
        <w:tabs>
          <w:tab w:val="left" w:pos="2835"/>
        </w:tabs>
        <w:rPr>
          <w:lang w:val="es-MX"/>
        </w:rPr>
      </w:pPr>
      <w:r>
        <w:rPr>
          <w:lang w:val="es-MX"/>
        </w:rPr>
        <w:tab/>
        <w:t>Destacó que, a pesar de las nul</w:t>
      </w:r>
      <w:r>
        <w:rPr>
          <w:lang w:val="es-MX"/>
        </w:rPr>
        <w:t>i</w:t>
      </w:r>
      <w:r>
        <w:rPr>
          <w:lang w:val="es-MX"/>
        </w:rPr>
        <w:t>dades que la investigación presentaba, fueron analizados los  elementos de cargo contra su asistido, quedando demo</w:t>
      </w:r>
      <w:r>
        <w:rPr>
          <w:lang w:val="es-MX"/>
        </w:rPr>
        <w:t>s</w:t>
      </w:r>
      <w:r>
        <w:rPr>
          <w:lang w:val="es-MX"/>
        </w:rPr>
        <w:t>trada su inocencia.</w:t>
      </w:r>
    </w:p>
    <w:p w:rsidR="00224567" w:rsidRDefault="00224567">
      <w:pPr>
        <w:widowControl w:val="0"/>
        <w:tabs>
          <w:tab w:val="left" w:pos="2835"/>
        </w:tabs>
        <w:rPr>
          <w:lang w:val="es-MX"/>
        </w:rPr>
      </w:pPr>
      <w:r>
        <w:rPr>
          <w:lang w:val="es-MX"/>
        </w:rPr>
        <w:tab/>
        <w:t>Cuestionó a la querella “Memoria Act</w:t>
      </w:r>
      <w:r>
        <w:rPr>
          <w:lang w:val="es-MX"/>
        </w:rPr>
        <w:t>i</w:t>
      </w:r>
      <w:r>
        <w:rPr>
          <w:lang w:val="es-MX"/>
        </w:rPr>
        <w:t>va”, que criticó a Telleldín como el único que se benef</w:t>
      </w:r>
      <w:r>
        <w:rPr>
          <w:lang w:val="es-MX"/>
        </w:rPr>
        <w:t>i</w:t>
      </w:r>
      <w:r>
        <w:rPr>
          <w:lang w:val="es-MX"/>
        </w:rPr>
        <w:t xml:space="preserve">ció económicamente, pero calló cuando </w:t>
      </w:r>
      <w:smartTag w:uri="urn:schemas-microsoft-com:office:smarttags" w:element="PersonName">
        <w:smartTagPr>
          <w:attr w:name="ProductID" w:val="la A.M"/>
        </w:smartTagPr>
        <w:r>
          <w:rPr>
            <w:lang w:val="es-MX"/>
          </w:rPr>
          <w:t>la A.M</w:t>
        </w:r>
      </w:smartTag>
      <w:r>
        <w:rPr>
          <w:lang w:val="es-MX"/>
        </w:rPr>
        <w:t>.I.A. recibió una injustificada donación por parte del Poder Ejecutivo de $ 12.000.000 en el año 1996.</w:t>
      </w:r>
    </w:p>
    <w:p w:rsidR="00224567" w:rsidRDefault="00224567">
      <w:pPr>
        <w:pStyle w:val="Textoindependiente3"/>
        <w:widowControl w:val="0"/>
        <w:tabs>
          <w:tab w:val="left" w:pos="2835"/>
        </w:tabs>
        <w:rPr>
          <w:rFonts w:ascii="Courier New" w:hAnsi="Courier New" w:cs="Courier New"/>
          <w:b w:val="0"/>
          <w:sz w:val="24"/>
          <w:lang w:val="es-MX"/>
        </w:rPr>
      </w:pPr>
      <w:r>
        <w:rPr>
          <w:rFonts w:ascii="Courier New" w:hAnsi="Courier New" w:cs="Courier New"/>
          <w:b w:val="0"/>
          <w:sz w:val="24"/>
          <w:lang w:val="es-MX"/>
        </w:rPr>
        <w:tab/>
        <w:t>Argumentó nuevamente que Telle</w:t>
      </w:r>
      <w:r>
        <w:rPr>
          <w:rFonts w:ascii="Courier New" w:hAnsi="Courier New" w:cs="Courier New"/>
          <w:b w:val="0"/>
          <w:sz w:val="24"/>
          <w:lang w:val="es-MX"/>
        </w:rPr>
        <w:t>l</w:t>
      </w:r>
      <w:r>
        <w:rPr>
          <w:rFonts w:ascii="Courier New" w:hAnsi="Courier New" w:cs="Courier New"/>
          <w:b w:val="0"/>
          <w:sz w:val="24"/>
          <w:lang w:val="es-MX"/>
        </w:rPr>
        <w:t>dín se encontraba bajo presión al momento de ofe</w:t>
      </w:r>
      <w:r>
        <w:rPr>
          <w:rFonts w:ascii="Courier New" w:hAnsi="Courier New" w:cs="Courier New"/>
          <w:b w:val="0"/>
          <w:sz w:val="24"/>
          <w:lang w:val="es-MX"/>
        </w:rPr>
        <w:t>r</w:t>
      </w:r>
      <w:r>
        <w:rPr>
          <w:rFonts w:ascii="Courier New" w:hAnsi="Courier New" w:cs="Courier New"/>
          <w:b w:val="0"/>
          <w:sz w:val="24"/>
          <w:lang w:val="es-MX"/>
        </w:rPr>
        <w:t>társele el pago, poniendo de relieve el rechazo que su cliente realizó del ofrecimiento que le hiciera el capitán Vergéz de USD 1.000.000.</w:t>
      </w:r>
    </w:p>
    <w:p w:rsidR="00224567" w:rsidRDefault="00224567">
      <w:pPr>
        <w:widowControl w:val="0"/>
        <w:tabs>
          <w:tab w:val="left" w:pos="2835"/>
        </w:tabs>
        <w:rPr>
          <w:lang w:val="es-MX"/>
        </w:rPr>
      </w:pPr>
      <w:r>
        <w:rPr>
          <w:lang w:val="es-MX"/>
        </w:rPr>
        <w:t xml:space="preserve"> </w:t>
      </w:r>
      <w:r>
        <w:rPr>
          <w:lang w:val="es-MX"/>
        </w:rPr>
        <w:tab/>
        <w:t>Dijo que la querella “Memoria Act</w:t>
      </w:r>
      <w:r>
        <w:rPr>
          <w:lang w:val="es-MX"/>
        </w:rPr>
        <w:t>i</w:t>
      </w:r>
      <w:r>
        <w:rPr>
          <w:lang w:val="es-MX"/>
        </w:rPr>
        <w:t xml:space="preserve">va”, más bien debió de interrogar a los agentes de </w:t>
      </w:r>
      <w:smartTag w:uri="urn:schemas-microsoft-com:office:smarttags" w:element="PersonName">
        <w:smartTagPr>
          <w:attr w:name="ProductID" w:val="la S.I"/>
        </w:smartTagPr>
        <w:r>
          <w:rPr>
            <w:lang w:val="es-MX"/>
          </w:rPr>
          <w:t>la S.I</w:t>
        </w:r>
      </w:smartTag>
      <w:r>
        <w:rPr>
          <w:lang w:val="es-MX"/>
        </w:rPr>
        <w:t>.D.E. y no a Telleldín, toda vez que el Dr. Jacoby mencionó en varias oportunidades que el servicio de inteligencia est</w:t>
      </w:r>
      <w:r>
        <w:rPr>
          <w:lang w:val="es-MX"/>
        </w:rPr>
        <w:t>a</w:t>
      </w:r>
      <w:r>
        <w:rPr>
          <w:lang w:val="es-MX"/>
        </w:rPr>
        <w:t>ba investigando a los autores del atentado con anterior</w:t>
      </w:r>
      <w:r>
        <w:rPr>
          <w:lang w:val="es-MX"/>
        </w:rPr>
        <w:t>i</w:t>
      </w:r>
      <w:r>
        <w:rPr>
          <w:lang w:val="es-MX"/>
        </w:rPr>
        <w:t>dad al 18 de julio de 1994. Insistió que a ellos debió preguntarles quién era Ramón Martínez, dónde estuvo la c</w:t>
      </w:r>
      <w:r>
        <w:rPr>
          <w:lang w:val="es-MX"/>
        </w:rPr>
        <w:t>a</w:t>
      </w:r>
      <w:r>
        <w:rPr>
          <w:lang w:val="es-MX"/>
        </w:rPr>
        <w:t>mioneta desde el 10 de julio de 1994 hasta que expl</w:t>
      </w:r>
      <w:r>
        <w:rPr>
          <w:lang w:val="es-MX"/>
        </w:rPr>
        <w:t>o</w:t>
      </w:r>
      <w:r>
        <w:rPr>
          <w:lang w:val="es-MX"/>
        </w:rPr>
        <w:t xml:space="preserve">tó en la sede de </w:t>
      </w:r>
      <w:smartTag w:uri="urn:schemas-microsoft-com:office:smarttags" w:element="PersonName">
        <w:smartTagPr>
          <w:attr w:name="ProductID" w:val="la A.M"/>
        </w:smartTagPr>
        <w:r>
          <w:rPr>
            <w:lang w:val="es-MX"/>
          </w:rPr>
          <w:t>la A.M</w:t>
        </w:r>
      </w:smartTag>
      <w:r>
        <w:rPr>
          <w:lang w:val="es-MX"/>
        </w:rPr>
        <w:t>.I.A., dónde se cargó el explosivo y quiénes fueron los autores del hecho.</w:t>
      </w:r>
    </w:p>
    <w:p w:rsidR="00224567" w:rsidRDefault="00224567">
      <w:pPr>
        <w:pStyle w:val="Textoindependiente3"/>
        <w:widowControl w:val="0"/>
        <w:tabs>
          <w:tab w:val="left" w:pos="2835"/>
        </w:tabs>
        <w:rPr>
          <w:rFonts w:ascii="Courier New" w:hAnsi="Courier New" w:cs="Courier New"/>
          <w:b w:val="0"/>
          <w:sz w:val="24"/>
          <w:lang w:val="es-MX"/>
        </w:rPr>
      </w:pPr>
      <w:r>
        <w:rPr>
          <w:rFonts w:ascii="Courier New" w:hAnsi="Courier New" w:cs="Courier New"/>
          <w:b w:val="0"/>
          <w:sz w:val="24"/>
          <w:lang w:val="es-MX"/>
        </w:rPr>
        <w:tab/>
        <w:t>Objetó los dichos de la querella D.A.I.A., A.M.I.A. y “Grupo de Familiares”, cuando afirmó que no debía interpretarse al plexo probatorio de una fo</w:t>
      </w:r>
      <w:r>
        <w:rPr>
          <w:rFonts w:ascii="Courier New" w:hAnsi="Courier New" w:cs="Courier New"/>
          <w:b w:val="0"/>
          <w:sz w:val="24"/>
          <w:lang w:val="es-MX"/>
        </w:rPr>
        <w:t>r</w:t>
      </w:r>
      <w:r>
        <w:rPr>
          <w:rFonts w:ascii="Courier New" w:hAnsi="Courier New" w:cs="Courier New"/>
          <w:b w:val="0"/>
          <w:sz w:val="24"/>
          <w:lang w:val="es-MX"/>
        </w:rPr>
        <w:t>ma conspirativa. A criterio de la defensa, las pruebas ocultas destruidas e inventadas, los del</w:t>
      </w:r>
      <w:r>
        <w:rPr>
          <w:rFonts w:ascii="Courier New" w:hAnsi="Courier New" w:cs="Courier New"/>
          <w:b w:val="0"/>
          <w:sz w:val="24"/>
          <w:lang w:val="es-MX"/>
        </w:rPr>
        <w:t>i</w:t>
      </w:r>
      <w:r>
        <w:rPr>
          <w:rFonts w:ascii="Courier New" w:hAnsi="Courier New" w:cs="Courier New"/>
          <w:b w:val="0"/>
          <w:sz w:val="24"/>
          <w:lang w:val="es-MX"/>
        </w:rPr>
        <w:t>tos cometidos por el juez, como la utilización de la causa para desviar o cubrir intereses, las reuniones ocultas y, las presiones recibidas por algunos abogados, traía aparejada aquella particular forma de inte</w:t>
      </w:r>
      <w:r>
        <w:rPr>
          <w:rFonts w:ascii="Courier New" w:hAnsi="Courier New" w:cs="Courier New"/>
          <w:b w:val="0"/>
          <w:sz w:val="24"/>
          <w:lang w:val="es-MX"/>
        </w:rPr>
        <w:t>r</w:t>
      </w:r>
      <w:r>
        <w:rPr>
          <w:rFonts w:ascii="Courier New" w:hAnsi="Courier New" w:cs="Courier New"/>
          <w:b w:val="0"/>
          <w:sz w:val="24"/>
          <w:lang w:val="es-MX"/>
        </w:rPr>
        <w:t>pretación.</w:t>
      </w:r>
    </w:p>
    <w:p w:rsidR="00224567" w:rsidRDefault="00224567">
      <w:pPr>
        <w:widowControl w:val="0"/>
        <w:tabs>
          <w:tab w:val="left" w:pos="2835"/>
        </w:tabs>
        <w:rPr>
          <w:lang w:val="es-MX"/>
        </w:rPr>
      </w:pPr>
      <w:r>
        <w:rPr>
          <w:lang w:val="es-MX"/>
        </w:rPr>
        <w:tab/>
        <w:t>Acusó a esa misma querella de haberse desempeñado de una forma oculta, recordando los legajos secretos.</w:t>
      </w:r>
    </w:p>
    <w:p w:rsidR="00224567" w:rsidRDefault="00224567">
      <w:pPr>
        <w:widowControl w:val="0"/>
        <w:tabs>
          <w:tab w:val="left" w:pos="2835"/>
        </w:tabs>
        <w:rPr>
          <w:lang w:val="es-MX"/>
        </w:rPr>
      </w:pPr>
      <w:r>
        <w:rPr>
          <w:lang w:val="es-MX"/>
        </w:rPr>
        <w:tab/>
        <w:t>Criticó que la querella unificada pr</w:t>
      </w:r>
      <w:r>
        <w:rPr>
          <w:lang w:val="es-MX"/>
        </w:rPr>
        <w:t>e</w:t>
      </w:r>
      <w:r>
        <w:rPr>
          <w:lang w:val="es-MX"/>
        </w:rPr>
        <w:t>tendiera defender la legitimidad de la incorporación al debate de dos videocintas que ni siquiera fueron incorp</w:t>
      </w:r>
      <w:r>
        <w:rPr>
          <w:lang w:val="es-MX"/>
        </w:rPr>
        <w:t>o</w:t>
      </w:r>
      <w:r>
        <w:rPr>
          <w:lang w:val="es-MX"/>
        </w:rPr>
        <w:t>rados en la causa durante su instrucción. Empero, de los videos que contenían las reuniones en las que se presion</w:t>
      </w:r>
      <w:r>
        <w:rPr>
          <w:lang w:val="es-MX"/>
        </w:rPr>
        <w:t>a</w:t>
      </w:r>
      <w:r>
        <w:rPr>
          <w:lang w:val="es-MX"/>
        </w:rPr>
        <w:t>ba a Telleldín y se ensayaba su indagatoria, como lo so</w:t>
      </w:r>
      <w:r>
        <w:rPr>
          <w:lang w:val="es-MX"/>
        </w:rPr>
        <w:t>s</w:t>
      </w:r>
      <w:r>
        <w:rPr>
          <w:lang w:val="es-MX"/>
        </w:rPr>
        <w:t>tuvo Rubén Beraja y el propio Telleldín, no existió ni s</w:t>
      </w:r>
      <w:r>
        <w:rPr>
          <w:lang w:val="es-MX"/>
        </w:rPr>
        <w:t>i</w:t>
      </w:r>
      <w:r>
        <w:rPr>
          <w:lang w:val="es-MX"/>
        </w:rPr>
        <w:t>quiera posibilidad de discutir su incorporación.</w:t>
      </w:r>
      <w:r>
        <w:rPr>
          <w:lang w:val="es-MX"/>
        </w:rPr>
        <w:tab/>
        <w:t>En def</w:t>
      </w:r>
      <w:r>
        <w:rPr>
          <w:lang w:val="es-MX"/>
        </w:rPr>
        <w:t>i</w:t>
      </w:r>
      <w:r>
        <w:rPr>
          <w:lang w:val="es-MX"/>
        </w:rPr>
        <w:t>nitiva, refirió que las sosp</w:t>
      </w:r>
      <w:r>
        <w:rPr>
          <w:lang w:val="es-MX"/>
        </w:rPr>
        <w:t>e</w:t>
      </w:r>
      <w:r>
        <w:rPr>
          <w:lang w:val="es-MX"/>
        </w:rPr>
        <w:t>chas que la instrucción tenía fueron confirmadas en el debate por los dichos autoincr</w:t>
      </w:r>
      <w:r>
        <w:rPr>
          <w:lang w:val="es-MX"/>
        </w:rPr>
        <w:t>i</w:t>
      </w:r>
      <w:r>
        <w:rPr>
          <w:lang w:val="es-MX"/>
        </w:rPr>
        <w:t>minatorios de algunos testigos y las denuncias que real</w:t>
      </w:r>
      <w:r>
        <w:rPr>
          <w:lang w:val="es-MX"/>
        </w:rPr>
        <w:t>i</w:t>
      </w:r>
      <w:r>
        <w:rPr>
          <w:lang w:val="es-MX"/>
        </w:rPr>
        <w:t>zaron los imputados.</w:t>
      </w:r>
    </w:p>
    <w:p w:rsidR="00224567" w:rsidRDefault="00224567">
      <w:pPr>
        <w:widowControl w:val="0"/>
        <w:tabs>
          <w:tab w:val="left" w:pos="2835"/>
        </w:tabs>
        <w:rPr>
          <w:lang w:val="es-MX"/>
        </w:rPr>
      </w:pPr>
      <w:r>
        <w:rPr>
          <w:lang w:val="es-MX"/>
        </w:rPr>
        <w:tab/>
        <w:t>Señaló que fue la querella D.A.I.A., A.M.I.A. y “Grupo de Familiares” la que buscó evitar las consecuencias tanto de sus propios delitos como de aqu</w:t>
      </w:r>
      <w:r>
        <w:rPr>
          <w:lang w:val="es-MX"/>
        </w:rPr>
        <w:t>e</w:t>
      </w:r>
      <w:r>
        <w:rPr>
          <w:lang w:val="es-MX"/>
        </w:rPr>
        <w:t>llos cometidos por funcionarios judiciales.</w:t>
      </w:r>
    </w:p>
    <w:p w:rsidR="00224567" w:rsidRDefault="00224567">
      <w:pPr>
        <w:widowControl w:val="0"/>
        <w:tabs>
          <w:tab w:val="left" w:pos="2835"/>
        </w:tabs>
        <w:rPr>
          <w:lang w:val="es-MX"/>
        </w:rPr>
      </w:pPr>
      <w:r>
        <w:rPr>
          <w:lang w:val="es-MX"/>
        </w:rPr>
        <w:tab/>
        <w:t>En ese sentido, recordó la part</w:t>
      </w:r>
      <w:r>
        <w:rPr>
          <w:lang w:val="es-MX"/>
        </w:rPr>
        <w:t>i</w:t>
      </w:r>
      <w:r>
        <w:rPr>
          <w:lang w:val="es-MX"/>
        </w:rPr>
        <w:t>cular interpretación que esa querella realizó sobre el manuscr</w:t>
      </w:r>
      <w:r>
        <w:rPr>
          <w:lang w:val="es-MX"/>
        </w:rPr>
        <w:t>i</w:t>
      </w:r>
      <w:r>
        <w:rPr>
          <w:lang w:val="es-MX"/>
        </w:rPr>
        <w:t xml:space="preserve">to entregado por </w:t>
      </w:r>
      <w:smartTag w:uri="urn:schemas-microsoft-com:office:smarttags" w:element="PersonName">
        <w:smartTagPr>
          <w:attr w:name="ProductID" w:val="la Dra. Riva"/>
        </w:smartTagPr>
        <w:r>
          <w:rPr>
            <w:lang w:val="es-MX"/>
          </w:rPr>
          <w:t>la Dra. Riva</w:t>
        </w:r>
      </w:smartTag>
      <w:r>
        <w:rPr>
          <w:lang w:val="es-MX"/>
        </w:rPr>
        <w:t xml:space="preserve"> Aramayo al juez Gale</w:t>
      </w:r>
      <w:r>
        <w:rPr>
          <w:lang w:val="es-MX"/>
        </w:rPr>
        <w:t>a</w:t>
      </w:r>
      <w:r>
        <w:rPr>
          <w:lang w:val="es-MX"/>
        </w:rPr>
        <w:t>no.</w:t>
      </w:r>
    </w:p>
    <w:p w:rsidR="00224567" w:rsidRDefault="00224567">
      <w:pPr>
        <w:widowControl w:val="0"/>
        <w:tabs>
          <w:tab w:val="left" w:pos="2835"/>
        </w:tabs>
        <w:rPr>
          <w:lang w:val="es-MX"/>
        </w:rPr>
      </w:pPr>
      <w:r>
        <w:rPr>
          <w:lang w:val="es-MX"/>
        </w:rPr>
        <w:tab/>
        <w:t>Manifestó que, por un lado, clamaban por la verdad de lo sucedido y, por otro, defendían la mentira y cada uno de los actos delictivos que se cometi</w:t>
      </w:r>
      <w:r>
        <w:rPr>
          <w:lang w:val="es-MX"/>
        </w:rPr>
        <w:t>e</w:t>
      </w:r>
      <w:r>
        <w:rPr>
          <w:lang w:val="es-MX"/>
        </w:rPr>
        <w:t xml:space="preserve">ron. </w:t>
      </w:r>
    </w:p>
    <w:p w:rsidR="00224567" w:rsidRDefault="00224567">
      <w:pPr>
        <w:widowControl w:val="0"/>
        <w:tabs>
          <w:tab w:val="left" w:pos="2835"/>
        </w:tabs>
        <w:rPr>
          <w:lang w:val="es-MX"/>
        </w:rPr>
      </w:pPr>
      <w:r>
        <w:rPr>
          <w:lang w:val="es-MX"/>
        </w:rPr>
        <w:tab/>
        <w:t>Se preguntó cuándo les dirían a las víctimas el engaño que sufrieron, cuándo comenzarían a h</w:t>
      </w:r>
      <w:r>
        <w:rPr>
          <w:lang w:val="es-MX"/>
        </w:rPr>
        <w:t>a</w:t>
      </w:r>
      <w:r>
        <w:rPr>
          <w:lang w:val="es-MX"/>
        </w:rPr>
        <w:t>cer la profunda autocrítica convocada por el Pres</w:t>
      </w:r>
      <w:r>
        <w:rPr>
          <w:lang w:val="es-MX"/>
        </w:rPr>
        <w:t>i</w:t>
      </w:r>
      <w:r>
        <w:rPr>
          <w:lang w:val="es-MX"/>
        </w:rPr>
        <w:t xml:space="preserve">dente de </w:t>
      </w:r>
      <w:smartTag w:uri="urn:schemas-microsoft-com:office:smarttags" w:element="PersonName">
        <w:smartTagPr>
          <w:attr w:name="ProductID" w:val="la D.A"/>
        </w:smartTagPr>
        <w:r>
          <w:rPr>
            <w:lang w:val="es-MX"/>
          </w:rPr>
          <w:t>la D.A</w:t>
        </w:r>
      </w:smartTag>
      <w:r>
        <w:rPr>
          <w:lang w:val="es-MX"/>
        </w:rPr>
        <w:t>.I.A., y cuándo iban a dese</w:t>
      </w:r>
      <w:r>
        <w:rPr>
          <w:lang w:val="es-MX"/>
        </w:rPr>
        <w:t>n</w:t>
      </w:r>
      <w:r>
        <w:rPr>
          <w:lang w:val="es-MX"/>
        </w:rPr>
        <w:t>mascarar los motivos que llevaron a sus dirigentes comunitarios a contribuir en el desvío de la inve</w:t>
      </w:r>
      <w:r>
        <w:rPr>
          <w:lang w:val="es-MX"/>
        </w:rPr>
        <w:t>s</w:t>
      </w:r>
      <w:r>
        <w:rPr>
          <w:lang w:val="es-MX"/>
        </w:rPr>
        <w:t>tigación.</w:t>
      </w:r>
    </w:p>
    <w:p w:rsidR="00224567" w:rsidRDefault="00224567">
      <w:pPr>
        <w:widowControl w:val="0"/>
        <w:tabs>
          <w:tab w:val="left" w:pos="2835"/>
        </w:tabs>
        <w:rPr>
          <w:lang w:val="es-MX"/>
        </w:rPr>
      </w:pPr>
      <w:r>
        <w:rPr>
          <w:lang w:val="es-MX"/>
        </w:rPr>
        <w:tab/>
        <w:t>Manifestó que su estrategia como d</w:t>
      </w:r>
      <w:r>
        <w:rPr>
          <w:lang w:val="es-MX"/>
        </w:rPr>
        <w:t>e</w:t>
      </w:r>
      <w:r>
        <w:rPr>
          <w:lang w:val="es-MX"/>
        </w:rPr>
        <w:t>fensa fue la de “bregar por la nulidad de esta causa” p</w:t>
      </w:r>
      <w:r>
        <w:rPr>
          <w:lang w:val="es-MX"/>
        </w:rPr>
        <w:t>a</w:t>
      </w:r>
      <w:r>
        <w:rPr>
          <w:lang w:val="es-MX"/>
        </w:rPr>
        <w:t>ra buscar un cambio profundo hacia el saneamiento de un si</w:t>
      </w:r>
      <w:r>
        <w:rPr>
          <w:lang w:val="es-MX"/>
        </w:rPr>
        <w:t>s</w:t>
      </w:r>
      <w:r>
        <w:rPr>
          <w:lang w:val="es-MX"/>
        </w:rPr>
        <w:t>tema judicial y político.</w:t>
      </w:r>
    </w:p>
    <w:p w:rsidR="00224567" w:rsidRDefault="00224567">
      <w:pPr>
        <w:widowControl w:val="0"/>
        <w:tabs>
          <w:tab w:val="left" w:pos="2835"/>
        </w:tabs>
        <w:rPr>
          <w:lang w:val="es-MX"/>
        </w:rPr>
      </w:pPr>
    </w:p>
    <w:p w:rsidR="00224567" w:rsidRDefault="00224567">
      <w:pPr>
        <w:pStyle w:val="Textoindependiente"/>
        <w:spacing w:line="600" w:lineRule="auto"/>
        <w:ind w:firstLine="2835"/>
      </w:pPr>
      <w:r>
        <w:rPr>
          <w:b/>
          <w:bCs/>
          <w:lang w:val="es-MX"/>
        </w:rPr>
        <w:t>B.2)</w:t>
      </w:r>
      <w:r>
        <w:rPr>
          <w:lang w:val="es-MX"/>
        </w:rPr>
        <w:t xml:space="preserve"> </w:t>
      </w:r>
      <w:r>
        <w:t>A su tiempo, el Dr. José Manuel Ubeira hizo uso de la facultad acordada en los párrafos 4º y 5º del art. 393 del Código Proc</w:t>
      </w:r>
      <w:r>
        <w:t>e</w:t>
      </w:r>
      <w:r>
        <w:t xml:space="preserve">sal Penal de </w:t>
      </w:r>
      <w:smartTag w:uri="urn:schemas-microsoft-com:office:smarttags" w:element="PersonName">
        <w:smartTagPr>
          <w:attr w:name="ProductID" w:val="la Naci￳n."/>
        </w:smartTagPr>
        <w:r>
          <w:t>la Nación.</w:t>
        </w:r>
      </w:smartTag>
    </w:p>
    <w:p w:rsidR="00224567" w:rsidRDefault="00224567">
      <w:pPr>
        <w:pStyle w:val="Textoindependiente"/>
        <w:spacing w:line="600" w:lineRule="auto"/>
        <w:ind w:firstLine="2835"/>
      </w:pPr>
      <w:r>
        <w:t xml:space="preserve">Entendió que el hecho de que un juez federal visitara al presidente de </w:t>
      </w:r>
      <w:smartTag w:uri="urn:schemas-microsoft-com:office:smarttags" w:element="PersonName">
        <w:smartTagPr>
          <w:attr w:name="ProductID" w:val="la Rep￺blica"/>
        </w:smartTagPr>
        <w:r>
          <w:t>la República</w:t>
        </w:r>
      </w:smartTag>
      <w:r>
        <w:t xml:space="preserve"> para desp</w:t>
      </w:r>
      <w:r>
        <w:t>a</w:t>
      </w:r>
      <w:r>
        <w:t>char un asunto de su propia competencia, vulneraba el pri</w:t>
      </w:r>
      <w:r>
        <w:t>n</w:t>
      </w:r>
      <w:r>
        <w:t>cipio de independencia de los poderes, tal como había oc</w:t>
      </w:r>
      <w:r>
        <w:t>u</w:t>
      </w:r>
      <w:r>
        <w:t xml:space="preserve">rrido con la visita que el juez Galeano le efectuó a Menem en la residencia de Olivos, a partir de la cual se había producido un cambio sustancial en la causa. </w:t>
      </w:r>
    </w:p>
    <w:p w:rsidR="00224567" w:rsidRDefault="00224567">
      <w:pPr>
        <w:pStyle w:val="Textoindependiente"/>
        <w:spacing w:line="600" w:lineRule="auto"/>
        <w:ind w:firstLine="2835"/>
      </w:pPr>
      <w:r>
        <w:t>También, señaló que la circun</w:t>
      </w:r>
      <w:r>
        <w:t>s</w:t>
      </w:r>
      <w:r>
        <w:t>tancia de que el juez Galeano le pidiera a Anzorr</w:t>
      </w:r>
      <w:r>
        <w:t>e</w:t>
      </w:r>
      <w:r>
        <w:t>guy la suma de USD 400.000 hablaba de qué forma aquél magistrado se había m</w:t>
      </w:r>
      <w:r>
        <w:t>a</w:t>
      </w:r>
      <w:r>
        <w:t>nejado con su regla de la independe</w:t>
      </w:r>
      <w:r>
        <w:t>n</w:t>
      </w:r>
      <w:r>
        <w:t>cia.</w:t>
      </w:r>
    </w:p>
    <w:p w:rsidR="00224567" w:rsidRDefault="00224567">
      <w:pPr>
        <w:pStyle w:val="Textoindependiente"/>
        <w:spacing w:line="600" w:lineRule="auto"/>
        <w:ind w:firstLine="2835"/>
      </w:pPr>
      <w:r>
        <w:t>Por otra parte, el Dr. Ubeira puntual</w:t>
      </w:r>
      <w:r>
        <w:t>i</w:t>
      </w:r>
      <w:r>
        <w:t>zó que en el expediente no obraba foja alguna que indic</w:t>
      </w:r>
      <w:r>
        <w:t>a</w:t>
      </w:r>
      <w:r>
        <w:t>ra que Ribelli tenía contactos previos con Rabbani, est</w:t>
      </w:r>
      <w:r>
        <w:t>i</w:t>
      </w:r>
      <w:r>
        <w:t>mando que las afirmaciones de la querella unificada que vincul</w:t>
      </w:r>
      <w:r>
        <w:t>a</w:t>
      </w:r>
      <w:r>
        <w:t xml:space="preserve">ron a su asistido con el atentado a la sede de </w:t>
      </w:r>
      <w:smartTag w:uri="urn:schemas-microsoft-com:office:smarttags" w:element="PersonName">
        <w:smartTagPr>
          <w:attr w:name="ProductID" w:val="la A.M"/>
        </w:smartTagPr>
        <w:r>
          <w:t>la A.M</w:t>
        </w:r>
      </w:smartTag>
      <w:r>
        <w:t>.I.A. no eran más que una gratuita afirmación.</w:t>
      </w:r>
    </w:p>
    <w:p w:rsidR="00224567" w:rsidRDefault="00224567">
      <w:pPr>
        <w:pStyle w:val="Textoindependiente"/>
        <w:spacing w:line="600" w:lineRule="auto"/>
        <w:ind w:firstLine="2835"/>
      </w:pPr>
      <w:r>
        <w:t>En cuanto a la manipulación s</w:t>
      </w:r>
      <w:r>
        <w:t>u</w:t>
      </w:r>
      <w:r>
        <w:t>frida por el oficial Huici, cuestionó los argumentos empleados por los Dres. Ávila y Dromi, precisando que Rib</w:t>
      </w:r>
      <w:r>
        <w:t>e</w:t>
      </w:r>
      <w:r>
        <w:t>lli, al prestar declaración indagatoria, había explicado detallad</w:t>
      </w:r>
      <w:r>
        <w:t>a</w:t>
      </w:r>
      <w:r>
        <w:t>mente que todos aquellos que se encontraban en P</w:t>
      </w:r>
      <w:r>
        <w:t>o</w:t>
      </w:r>
      <w:r>
        <w:t>licía Federal habían sido trasladados a la cárcel, a excepción de Huici, ci</w:t>
      </w:r>
      <w:r>
        <w:t>r</w:t>
      </w:r>
      <w:r>
        <w:t>cunstancia que permitía colegir que éste ú</w:t>
      </w:r>
      <w:r>
        <w:t>l</w:t>
      </w:r>
      <w:r>
        <w:t>timo, al imputar a Ribelli, había logrado continuar con un cómodo alojamie</w:t>
      </w:r>
      <w:r>
        <w:t>n</w:t>
      </w:r>
      <w:r>
        <w:t xml:space="preserve">to. </w:t>
      </w:r>
    </w:p>
    <w:p w:rsidR="00224567" w:rsidRDefault="00224567">
      <w:pPr>
        <w:pStyle w:val="Textoindependiente"/>
        <w:spacing w:line="600" w:lineRule="auto"/>
        <w:ind w:firstLine="2835"/>
      </w:pPr>
      <w:r>
        <w:t>Acto seguido, el Dr. Ubeira se pr</w:t>
      </w:r>
      <w:r>
        <w:t>e</w:t>
      </w:r>
      <w:r>
        <w:t xml:space="preserve">guntó qué había querido insinuar el Dr. Ávila al afirmar que en el legajo de su asistido no figuraba que había prestado funciones en </w:t>
      </w:r>
      <w:smartTag w:uri="urn:schemas-microsoft-com:office:smarttags" w:element="PersonName">
        <w:smartTagPr>
          <w:attr w:name="ProductID" w:val="la Brigada"/>
        </w:smartTagPr>
        <w:r>
          <w:t>la Brigada</w:t>
        </w:r>
      </w:smartTag>
      <w:r>
        <w:t xml:space="preserve"> de Lanús en 1994, y si con ello pretendía suponer que la jefatura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w:t>
        </w:r>
        <w:r>
          <w:t>o</w:t>
        </w:r>
        <w:r>
          <w:t>vincia</w:t>
        </w:r>
      </w:smartTag>
      <w:r>
        <w:t xml:space="preserve"> de Buenos Aires estaba encubriendo el atentado.</w:t>
      </w:r>
    </w:p>
    <w:p w:rsidR="00224567" w:rsidRDefault="00224567">
      <w:pPr>
        <w:pStyle w:val="Textoindependiente"/>
        <w:spacing w:line="600" w:lineRule="auto"/>
        <w:ind w:firstLine="2835"/>
      </w:pPr>
      <w:r>
        <w:t>Al respecto, remarcó que m</w:t>
      </w:r>
      <w:r>
        <w:t>u</w:t>
      </w:r>
      <w:r>
        <w:t>chas de las felicitaciones que recibió su defendido se debían a proc</w:t>
      </w:r>
      <w:r>
        <w:t>e</w:t>
      </w:r>
      <w:r>
        <w:t xml:space="preserve">dimientos ocurridos en </w:t>
      </w:r>
      <w:smartTag w:uri="urn:schemas-microsoft-com:office:smarttags" w:element="PersonName">
        <w:smartTagPr>
          <w:attr w:name="ProductID" w:val="la Brigada"/>
        </w:smartTagPr>
        <w:r>
          <w:t>la Brigada</w:t>
        </w:r>
      </w:smartTag>
      <w:r>
        <w:t xml:space="preserve"> de Lanús en el año antes citado, y que del legajo surgía que Ribelli había sido de</w:t>
      </w:r>
      <w:r>
        <w:t>s</w:t>
      </w:r>
      <w:r>
        <w:t>tinado a dicha depe</w:t>
      </w:r>
      <w:r>
        <w:t>n</w:t>
      </w:r>
      <w:r>
        <w:t>dencia en el año 1993.</w:t>
      </w:r>
    </w:p>
    <w:p w:rsidR="00224567" w:rsidRDefault="00224567">
      <w:pPr>
        <w:pStyle w:val="Textoindependiente"/>
        <w:spacing w:line="600" w:lineRule="auto"/>
        <w:ind w:firstLine="2835"/>
      </w:pPr>
      <w:r>
        <w:t xml:space="preserve">A continuación, el Dr. Ubeira afirmó que había existido una relación fluida entre </w:t>
      </w:r>
      <w:smartTag w:uri="urn:schemas-microsoft-com:office:smarttags" w:element="PersonName">
        <w:smartTagPr>
          <w:attr w:name="ProductID" w:val="la Dra. Riva"/>
        </w:smartTagPr>
        <w:r>
          <w:t>la Dra. Riva</w:t>
        </w:r>
      </w:smartTag>
      <w:r>
        <w:t xml:space="preserve"> Aramayo, el ex ministro Corach y Beraja. Si bien coi</w:t>
      </w:r>
      <w:r>
        <w:t>n</w:t>
      </w:r>
      <w:r>
        <w:t xml:space="preserve">cidió con el Dr. Ávila en cuanto a que </w:t>
      </w:r>
      <w:smartTag w:uri="urn:schemas-microsoft-com:office:smarttags" w:element="PersonName">
        <w:smartTagPr>
          <w:attr w:name="ProductID" w:val="la Dra. Riva"/>
        </w:smartTagPr>
        <w:r>
          <w:t>la Dra. Riva</w:t>
        </w:r>
      </w:smartTag>
      <w:r>
        <w:t xml:space="preserve"> Aram</w:t>
      </w:r>
      <w:r>
        <w:t>a</w:t>
      </w:r>
      <w:r>
        <w:t>yo no le merecía la mejor opinión, manifestando que, además, exi</w:t>
      </w:r>
      <w:r>
        <w:t>s</w:t>
      </w:r>
      <w:r>
        <w:t>tían sobrados elementos como para no confiar en su actu</w:t>
      </w:r>
      <w:r>
        <w:t>a</w:t>
      </w:r>
      <w:r>
        <w:t>ción, resaltó que no había sido culpa de la defensa que la magi</w:t>
      </w:r>
      <w:r>
        <w:t>s</w:t>
      </w:r>
      <w:r>
        <w:t>trada falleciera, como tampoco que el tribunal no haya querido citar al ex ministro Corach a prestar declaración te</w:t>
      </w:r>
      <w:r>
        <w:t>s</w:t>
      </w:r>
      <w:r>
        <w:t>timonial en el debate.</w:t>
      </w:r>
    </w:p>
    <w:p w:rsidR="00224567" w:rsidRDefault="00224567">
      <w:pPr>
        <w:pStyle w:val="Textoindependiente"/>
        <w:spacing w:line="600" w:lineRule="auto"/>
        <w:ind w:firstLine="2835"/>
      </w:pPr>
      <w:r>
        <w:t>No obstante ello, entendió que aqu</w:t>
      </w:r>
      <w:r>
        <w:t>e</w:t>
      </w:r>
      <w:r>
        <w:t>lla relación de intimidad se encontraba acreditada con el te</w:t>
      </w:r>
      <w:r>
        <w:t>s</w:t>
      </w:r>
      <w:r>
        <w:t>timonio de Beraja, sumado al diálogo que este último mant</w:t>
      </w:r>
      <w:r>
        <w:t>u</w:t>
      </w:r>
      <w:r>
        <w:t>vo con Corach, en el que conversaron acerca del avance del juicio oral y la actuación del juez G</w:t>
      </w:r>
      <w:r>
        <w:t>a</w:t>
      </w:r>
      <w:r>
        <w:t xml:space="preserve">leano. </w:t>
      </w:r>
    </w:p>
    <w:p w:rsidR="00224567" w:rsidRDefault="00224567">
      <w:pPr>
        <w:pStyle w:val="Textoindependiente"/>
        <w:spacing w:line="600" w:lineRule="auto"/>
        <w:ind w:firstLine="2835"/>
      </w:pPr>
      <w:r>
        <w:t>En cuanto al amortiguador que apar</w:t>
      </w:r>
      <w:r>
        <w:t>e</w:t>
      </w:r>
      <w:r>
        <w:t>ció incrustado en el cuerpo de Díaz, el Dr. Ubeira señaló que nadie pudo explicar en el juicio por qué razón dicho el</w:t>
      </w:r>
      <w:r>
        <w:t>e</w:t>
      </w:r>
      <w:r>
        <w:t>mento carecía de amonal, cuando en el debate los peritos afirmaron que todo efecto que había estado en contacto con el cochebomba quedaba impregnado con dicha susta</w:t>
      </w:r>
      <w:r>
        <w:t>n</w:t>
      </w:r>
      <w:r>
        <w:t>cia.</w:t>
      </w:r>
    </w:p>
    <w:p w:rsidR="00224567" w:rsidRDefault="00224567">
      <w:pPr>
        <w:pStyle w:val="Textoindependiente"/>
        <w:spacing w:line="600" w:lineRule="auto"/>
        <w:ind w:firstLine="2835"/>
      </w:pPr>
      <w:r>
        <w:t>Arguyó que la parte acusadora era quien tenía que demo</w:t>
      </w:r>
      <w:r>
        <w:t>s</w:t>
      </w:r>
      <w:r>
        <w:t>trar su imputación y probar que su asistido había cobrado la suma $ 2.500.000 por haber part</w:t>
      </w:r>
      <w:r>
        <w:t>i</w:t>
      </w:r>
      <w:r>
        <w:t>cipado en el atentado, destacando que era erróneo lo manifestado por el Dr. Nisman, en cuanto refirió que la defensa no había arrimado a la causa el</w:t>
      </w:r>
      <w:r>
        <w:t>e</w:t>
      </w:r>
      <w:r>
        <w:t>mentos de prueba.</w:t>
      </w:r>
    </w:p>
    <w:p w:rsidR="00224567" w:rsidRDefault="00224567">
      <w:pPr>
        <w:pStyle w:val="Textoindependiente"/>
        <w:spacing w:line="600" w:lineRule="auto"/>
        <w:ind w:firstLine="2835"/>
      </w:pPr>
      <w:r>
        <w:t>En este punto, remarcó que en el proc</w:t>
      </w:r>
      <w:r>
        <w:t>e</w:t>
      </w:r>
      <w:r>
        <w:t>so contra su cliente por el delito de enriquecimiento il</w:t>
      </w:r>
      <w:r>
        <w:t>í</w:t>
      </w:r>
      <w:r>
        <w:t>cito, no existían elementos aportados por los Dres. Mullen, Barbaccia y Nisman que indicaran a la jueza interviniente que lo que estaba investigando era el pr</w:t>
      </w:r>
      <w:r>
        <w:t>o</w:t>
      </w:r>
      <w:r>
        <w:t>ducto de la plata que Rib</w:t>
      </w:r>
      <w:r>
        <w:t>e</w:t>
      </w:r>
      <w:r>
        <w:t>lli había recibido de los iraníes, concluyendo que aunque allí iba a tener que discutir el origen del d</w:t>
      </w:r>
      <w:r>
        <w:t>i</w:t>
      </w:r>
      <w:r>
        <w:t>nero, en la presente causa nada tenía que pr</w:t>
      </w:r>
      <w:r>
        <w:t>o</w:t>
      </w:r>
      <w:r>
        <w:t>bar.</w:t>
      </w:r>
    </w:p>
    <w:p w:rsidR="00224567" w:rsidRDefault="00224567">
      <w:pPr>
        <w:pStyle w:val="Textoindependiente"/>
        <w:spacing w:line="600" w:lineRule="auto"/>
        <w:ind w:firstLine="2835"/>
      </w:pPr>
      <w:r>
        <w:t xml:space="preserve">Por otra parte, caracterizó de falso lo manifestado por </w:t>
      </w:r>
      <w:smartTag w:uri="urn:schemas-microsoft-com:office:smarttags" w:element="PersonName">
        <w:smartTagPr>
          <w:attr w:name="ProductID" w:val="La Dra. Nercellas"/>
        </w:smartTagPr>
        <w:r>
          <w:t>la Dra. Nercellas</w:t>
        </w:r>
      </w:smartTag>
      <w:r>
        <w:t xml:space="preserve"> cuando afirmó que no h</w:t>
      </w:r>
      <w:r>
        <w:t>a</w:t>
      </w:r>
      <w:r>
        <w:t>bían solicitado la declaración de Gregorio Ribelli, porque un padre no podía declarar en contra de su hijo, entendie</w:t>
      </w:r>
      <w:r>
        <w:t>n</w:t>
      </w:r>
      <w:r>
        <w:t>do que el Código Pr</w:t>
      </w:r>
      <w:r>
        <w:t>o</w:t>
      </w:r>
      <w:r>
        <w:t xml:space="preserve">cesal Penal de </w:t>
      </w:r>
      <w:smartTag w:uri="urn:schemas-microsoft-com:office:smarttags" w:element="PersonName">
        <w:smartTagPr>
          <w:attr w:name="ProductID" w:val="la Naci￳n"/>
        </w:smartTagPr>
        <w:r>
          <w:t>la Nación</w:t>
        </w:r>
      </w:smartTag>
      <w:r>
        <w:t xml:space="preserve"> sólo prohibía que un pariente sanguíneo declarara en contra de otro, pero en modo alguno impedía su declar</w:t>
      </w:r>
      <w:r>
        <w:t>a</w:t>
      </w:r>
      <w:r>
        <w:t>ción.</w:t>
      </w:r>
    </w:p>
    <w:p w:rsidR="00224567" w:rsidRDefault="00224567">
      <w:pPr>
        <w:pStyle w:val="Textoindependiente"/>
        <w:spacing w:line="600" w:lineRule="auto"/>
        <w:ind w:firstLine="2835"/>
      </w:pPr>
      <w:r>
        <w:t>A modo de ejemplo, destacó que el p</w:t>
      </w:r>
      <w:r>
        <w:t>a</w:t>
      </w:r>
      <w:r>
        <w:t>dre de Barreda había prestado declaración testimonial durante el debate, con la única limitación de no perjudicar a su hijo.</w:t>
      </w:r>
    </w:p>
    <w:p w:rsidR="00224567" w:rsidRDefault="00224567">
      <w:pPr>
        <w:pStyle w:val="Textoindependiente"/>
        <w:spacing w:line="600" w:lineRule="auto"/>
        <w:ind w:firstLine="2835"/>
      </w:pPr>
      <w:r>
        <w:t>Por lo tanto, entendió que a Gregorio Ribelli no se lo había convocado al juicio porque las pa</w:t>
      </w:r>
      <w:r>
        <w:t>r</w:t>
      </w:r>
      <w:r>
        <w:t>tes acusadoras no querían escuchar cómo el nombrado podía justificar la donación que le había hecho a su hijo.</w:t>
      </w:r>
    </w:p>
    <w:p w:rsidR="00224567" w:rsidRDefault="00224567">
      <w:pPr>
        <w:pStyle w:val="Textoindependiente"/>
        <w:spacing w:line="600" w:lineRule="auto"/>
        <w:ind w:firstLine="2835"/>
      </w:pPr>
      <w:r>
        <w:t>En otro orden de ideas, el Dr. Ubeira hizo notar que a fs. 440 de la causa nº 5681 del juzg</w:t>
      </w:r>
      <w:r>
        <w:t>a</w:t>
      </w:r>
      <w:r>
        <w:t>do de Quilmes, obraba la constancia de la consulta efectuada a la magistrada por parte del personal policial, suscripta por Burguete y Arancibia, antes de disponer la libertad de T</w:t>
      </w:r>
      <w:r>
        <w:t>e</w:t>
      </w:r>
      <w:r>
        <w:t>lleldín, estimando que eran falsas las consideraciones ve</w:t>
      </w:r>
      <w:r>
        <w:t>r</w:t>
      </w:r>
      <w:r>
        <w:t xml:space="preserve">tidas en este punto por </w:t>
      </w:r>
      <w:smartTag w:uri="urn:schemas-microsoft-com:office:smarttags" w:element="PersonName">
        <w:smartTagPr>
          <w:attr w:name="ProductID" w:val="la Dra. Nercellas."/>
        </w:smartTagPr>
        <w:r>
          <w:t>la Dra. Nercellas.</w:t>
        </w:r>
      </w:smartTag>
    </w:p>
    <w:p w:rsidR="00224567" w:rsidRDefault="00224567">
      <w:pPr>
        <w:pStyle w:val="Textoindependiente"/>
        <w:spacing w:line="600" w:lineRule="auto"/>
        <w:ind w:firstLine="2835"/>
      </w:pPr>
      <w:r>
        <w:t>Por otra parte, le llamó poderosame</w:t>
      </w:r>
      <w:r>
        <w:t>n</w:t>
      </w:r>
      <w:r>
        <w:t>te la atención la circunstancia de que luego de siete u ocho años que había demandado la pesquisa, el Dr. Ávila calif</w:t>
      </w:r>
      <w:r>
        <w:t>i</w:t>
      </w:r>
      <w:r>
        <w:t>cara al juez instructor, en dos ocasiones, como estúpido, bisoño y soberbio, y que había sido engañado por un amoral, habilísimo y s</w:t>
      </w:r>
      <w:r>
        <w:t>i</w:t>
      </w:r>
      <w:r>
        <w:t xml:space="preserve">niestro. </w:t>
      </w:r>
    </w:p>
    <w:p w:rsidR="00224567" w:rsidRDefault="00224567">
      <w:pPr>
        <w:pStyle w:val="Textoindependiente"/>
        <w:spacing w:line="600" w:lineRule="auto"/>
        <w:ind w:firstLine="2835"/>
      </w:pPr>
      <w:r>
        <w:t>El letrado defensor de Ribelli manife</w:t>
      </w:r>
      <w:r>
        <w:t>s</w:t>
      </w:r>
      <w:r>
        <w:t>tó no tener duda alguna en cuanto a que el Dr. Galeano era el juez estúpido, bisoño y soberbio; incertidumbre que e</w:t>
      </w:r>
      <w:r>
        <w:t>x</w:t>
      </w:r>
      <w:r>
        <w:t>presó tener con relación a quién había sido adjetivado como el amoral, habilísimo y soberbio que había logrado engaña</w:t>
      </w:r>
      <w:r>
        <w:t>r</w:t>
      </w:r>
      <w:r>
        <w:t>lo, preguntándose si había sido Telleldín, Anzorreguy, el ex preside</w:t>
      </w:r>
      <w:r>
        <w:t>n</w:t>
      </w:r>
      <w:r>
        <w:t xml:space="preserve">te o </w:t>
      </w:r>
      <w:smartTag w:uri="urn:schemas-microsoft-com:office:smarttags" w:element="PersonName">
        <w:smartTagPr>
          <w:attr w:name="ProductID" w:val="la Dra. Riva"/>
        </w:smartTagPr>
        <w:r>
          <w:t>la Dra. Riva</w:t>
        </w:r>
      </w:smartTag>
      <w:r>
        <w:t xml:space="preserve"> Aramayo.</w:t>
      </w:r>
    </w:p>
    <w:p w:rsidR="00224567" w:rsidRDefault="00224567">
      <w:pPr>
        <w:pStyle w:val="Textoindependiente"/>
        <w:spacing w:line="600" w:lineRule="auto"/>
        <w:ind w:firstLine="2835"/>
      </w:pPr>
      <w:r>
        <w:t>Al respecto, el Dr. Ubeira estimó que el único que no había podido engañar al juez era T</w:t>
      </w:r>
      <w:r>
        <w:t>e</w:t>
      </w:r>
      <w:r>
        <w:t>lleldín, toda vez que en la videocinta se los veía negociando, co</w:t>
      </w:r>
      <w:r>
        <w:t>n</w:t>
      </w:r>
      <w:r>
        <w:t>siderando que, en última instancia, se había tratado de una unión transitoria de empresas, en virtud de la cual el imputado se llevó $ 475.000, mientras que el magistrado, a través de las respuestas que le brindó Telleldín, pudo ca</w:t>
      </w:r>
      <w:r>
        <w:t>l</w:t>
      </w:r>
      <w:r>
        <w:t>mar a la s</w:t>
      </w:r>
      <w:r>
        <w:t>o</w:t>
      </w:r>
      <w:r>
        <w:t xml:space="preserve">ciedad. </w:t>
      </w:r>
    </w:p>
    <w:p w:rsidR="00224567" w:rsidRDefault="00224567">
      <w:pPr>
        <w:pStyle w:val="Textoindependiente"/>
        <w:spacing w:line="600" w:lineRule="auto"/>
        <w:ind w:firstLine="2835"/>
      </w:pPr>
      <w:r>
        <w:t>Con relación a la crítica form</w:t>
      </w:r>
      <w:r>
        <w:t>u</w:t>
      </w:r>
      <w:r>
        <w:t>lada por la querella, en cuanto a que la defensa no los había aco</w:t>
      </w:r>
      <w:r>
        <w:t>m</w:t>
      </w:r>
      <w:r>
        <w:t>pañado en sus denuncias contra Ruckauf, Antonietti y Anz</w:t>
      </w:r>
      <w:r>
        <w:t>o</w:t>
      </w:r>
      <w:r>
        <w:t>rreguy, el Dr. Ubeira manifestó que no pensaba acompañar de ninguna manera a esa parte, indicando que iba a continuar con el rol de querellante a</w:t>
      </w:r>
      <w:r>
        <w:t>n</w:t>
      </w:r>
      <w:r>
        <w:t>te el juzgado del Dr. Bonadío.</w:t>
      </w:r>
    </w:p>
    <w:p w:rsidR="00224567" w:rsidRDefault="00224567">
      <w:pPr>
        <w:pStyle w:val="Textoindependiente"/>
        <w:spacing w:line="600" w:lineRule="auto"/>
        <w:ind w:firstLine="2835"/>
      </w:pPr>
      <w:r>
        <w:t>Además, recordó que en varias ocasi</w:t>
      </w:r>
      <w:r>
        <w:t>o</w:t>
      </w:r>
      <w:r>
        <w:t>nes, durante el juicio, incordió el ánimo del tribunal s</w:t>
      </w:r>
      <w:r>
        <w:t>o</w:t>
      </w:r>
      <w:r>
        <w:t>licitando que se tomara debida nota de las denuncias que se formulaban y de la extracción de testimonios, por lo que entendió que había realizado un verdadero servicio de d</w:t>
      </w:r>
      <w:r>
        <w:t>e</w:t>
      </w:r>
      <w:r>
        <w:t>nuncia.</w:t>
      </w:r>
    </w:p>
    <w:p w:rsidR="00224567" w:rsidRDefault="00224567">
      <w:pPr>
        <w:pStyle w:val="Textoindependiente"/>
        <w:spacing w:line="600" w:lineRule="auto"/>
        <w:ind w:firstLine="2835"/>
      </w:pPr>
      <w:r>
        <w:t>También, el letrado señaló que había llevado las recusaciones que peticionó hasta sus últimas instancias, precisando, irónicamente, que cuando entendía que un juez era parcial lo seguía hasta por debajo de la cama.</w:t>
      </w:r>
    </w:p>
    <w:p w:rsidR="00224567" w:rsidRDefault="00224567">
      <w:pPr>
        <w:pStyle w:val="Textoindependiente"/>
        <w:spacing w:line="600" w:lineRule="auto"/>
        <w:ind w:firstLine="2835"/>
      </w:pPr>
      <w:r>
        <w:t>En cuanto a las costas que oportuname</w:t>
      </w:r>
      <w:r>
        <w:t>n</w:t>
      </w:r>
      <w:r>
        <w:t>te demandó y que el Dr. Ávila objetó al exclamar que los muertos no tenían ni siquiera derecho a reclamar justicia, el Dr. Ubeira aclaró que su problema no era con las víct</w:t>
      </w:r>
      <w:r>
        <w:t>i</w:t>
      </w:r>
      <w:r>
        <w:t>mas del atentado, sino con la institución que las represe</w:t>
      </w:r>
      <w:r>
        <w:t>n</w:t>
      </w:r>
      <w:r>
        <w:t>taba, señalando que la querella había abusado del derecho y utilizado a las víctimas para justificar determinadas act</w:t>
      </w:r>
      <w:r>
        <w:t>i</w:t>
      </w:r>
      <w:r>
        <w:t>tudes.</w:t>
      </w:r>
    </w:p>
    <w:p w:rsidR="00224567" w:rsidRDefault="00224567">
      <w:pPr>
        <w:pStyle w:val="Textoindependiente"/>
        <w:spacing w:line="600" w:lineRule="auto"/>
        <w:ind w:firstLine="2835"/>
      </w:pPr>
      <w:r>
        <w:t>Luego, el letrado se preguntó cómo a</w:t>
      </w:r>
      <w:r>
        <w:t>l</w:t>
      </w:r>
      <w:r>
        <w:t>guien no iba a pagar las costas, cuando su asistido se e</w:t>
      </w:r>
      <w:r>
        <w:t>n</w:t>
      </w:r>
      <w:r>
        <w:t>contraba detenido desde hacía ocho años y el pr</w:t>
      </w:r>
      <w:r>
        <w:t>e</w:t>
      </w:r>
      <w:r>
        <w:t xml:space="preserve">sidente de </w:t>
      </w:r>
      <w:smartTag w:uri="urn:schemas-microsoft-com:office:smarttags" w:element="PersonName">
        <w:smartTagPr>
          <w:attr w:name="ProductID" w:val="la D.A"/>
        </w:smartTagPr>
        <w:r>
          <w:t>la D.A</w:t>
        </w:r>
      </w:smartTag>
      <w:r>
        <w:t>.I.A. había declarado públicamente en la ed</w:t>
      </w:r>
      <w:r>
        <w:t>i</w:t>
      </w:r>
      <w:r>
        <w:t>ción del diario “Clarín” del 9 de julio de este año, que esa parte había sido có</w:t>
      </w:r>
      <w:r>
        <w:t>m</w:t>
      </w:r>
      <w:r>
        <w:t xml:space="preserve">plice de una trama. </w:t>
      </w:r>
    </w:p>
    <w:p w:rsidR="00224567" w:rsidRDefault="00224567">
      <w:pPr>
        <w:pStyle w:val="Textoindependiente"/>
        <w:spacing w:line="600" w:lineRule="auto"/>
        <w:ind w:firstLine="2835"/>
      </w:pPr>
      <w:r>
        <w:t>Acto seguido, el Dr. Ubeira r</w:t>
      </w:r>
      <w:r>
        <w:t>e</w:t>
      </w:r>
      <w:r>
        <w:t>marcó que no se encontraba probado que Stiuso le había expl</w:t>
      </w:r>
      <w:r>
        <w:t>i</w:t>
      </w:r>
      <w:r>
        <w:t xml:space="preserve">cado a </w:t>
      </w:r>
      <w:smartTag w:uri="urn:schemas-microsoft-com:office:smarttags" w:element="PersonName">
        <w:smartTagPr>
          <w:attr w:name="ProductID" w:val="La Dra. Nercellas"/>
        </w:smartTagPr>
        <w:r>
          <w:t>la Dra. Nercellas</w:t>
        </w:r>
      </w:smartTag>
      <w:r>
        <w:t>, en una de las v</w:t>
      </w:r>
      <w:r>
        <w:t>i</w:t>
      </w:r>
      <w:r>
        <w:t xml:space="preserve">sitas que la nombrada solía hacer a las dependencias de </w:t>
      </w:r>
      <w:smartTag w:uri="urn:schemas-microsoft-com:office:smarttags" w:element="PersonName">
        <w:smartTagPr>
          <w:attr w:name="ProductID" w:val="la S.I"/>
        </w:smartTagPr>
        <w:r>
          <w:t>la S.I</w:t>
        </w:r>
      </w:smartTag>
      <w:r>
        <w:t xml:space="preserve">.D.E., que </w:t>
      </w:r>
      <w:smartTag w:uri="urn:schemas-microsoft-com:office:smarttags" w:element="PersonName">
        <w:smartTagPr>
          <w:attr w:name="ProductID" w:val="la Polic￭a Bonaerense"/>
        </w:smartTagPr>
        <w:r>
          <w:t>la Policía B</w:t>
        </w:r>
        <w:r>
          <w:t>o</w:t>
        </w:r>
        <w:r>
          <w:t>naerense</w:t>
        </w:r>
      </w:smartTag>
      <w:r>
        <w:t xml:space="preserve"> había participado del atentado, tal como contr</w:t>
      </w:r>
      <w:r>
        <w:t>a</w:t>
      </w:r>
      <w:r>
        <w:t>riamente lo había manifestado la representante de la quer</w:t>
      </w:r>
      <w:r>
        <w:t>e</w:t>
      </w:r>
      <w:r>
        <w:t>lla en su alegato, precisando que el te</w:t>
      </w:r>
      <w:r>
        <w:t>s</w:t>
      </w:r>
      <w:r>
        <w:t xml:space="preserve">tigo no había sido interrogado sobre aquél punto durante el debate. </w:t>
      </w:r>
    </w:p>
    <w:p w:rsidR="00224567" w:rsidRDefault="00224567">
      <w:pPr>
        <w:pStyle w:val="Textoindependiente"/>
        <w:spacing w:line="600" w:lineRule="auto"/>
        <w:ind w:firstLine="2835"/>
      </w:pPr>
      <w:r>
        <w:t>Por otra parte, entendió que el conce</w:t>
      </w:r>
      <w:r>
        <w:t>p</w:t>
      </w:r>
      <w:r>
        <w:t>to de historia of</w:t>
      </w:r>
      <w:r>
        <w:t>i</w:t>
      </w:r>
      <w:r>
        <w:t>cial, que fue criticado por el Dr. Ávila, describía la verdad de lo acont</w:t>
      </w:r>
      <w:r>
        <w:t>e</w:t>
      </w:r>
      <w:r>
        <w:t>cido.</w:t>
      </w:r>
    </w:p>
    <w:p w:rsidR="00224567" w:rsidRDefault="00224567">
      <w:pPr>
        <w:pStyle w:val="Textoindependiente"/>
        <w:spacing w:line="600" w:lineRule="auto"/>
        <w:ind w:firstLine="2835"/>
      </w:pPr>
      <w:r>
        <w:t>Si bien sostuvo que esta causa no gua</w:t>
      </w:r>
      <w:r>
        <w:t>r</w:t>
      </w:r>
      <w:r>
        <w:t xml:space="preserve">daba relación con lo ocurrido en la “causa nº </w:t>
      </w:r>
      <w:smartTag w:uri="urn:schemas-microsoft-com:office:smarttags" w:element="metricconverter">
        <w:smartTagPr>
          <w:attr w:name="ProductID" w:val="13”"/>
        </w:smartTagPr>
        <w:r>
          <w:t>13”</w:t>
        </w:r>
      </w:smartTag>
      <w:r>
        <w:t>, iba a ser tan emblemática como aquélla.</w:t>
      </w:r>
    </w:p>
    <w:p w:rsidR="00224567" w:rsidRDefault="00224567">
      <w:pPr>
        <w:pStyle w:val="Textoindependiente"/>
        <w:spacing w:line="600" w:lineRule="auto"/>
        <w:ind w:firstLine="2835"/>
      </w:pPr>
      <w:r>
        <w:t>Destacó que, en este caso, el Estado, al quedarse sin respuestas, decidió, a través de todos sus poderes, armar un proceso para satisfacer la dema</w:t>
      </w:r>
      <w:r>
        <w:t>n</w:t>
      </w:r>
      <w:r>
        <w:t>da de la comunidad judía, de las víctimas y del resto de la soci</w:t>
      </w:r>
      <w:r>
        <w:t>e</w:t>
      </w:r>
      <w:r>
        <w:t xml:space="preserve">dad.  </w:t>
      </w:r>
    </w:p>
    <w:p w:rsidR="00224567" w:rsidRDefault="00224567">
      <w:pPr>
        <w:pStyle w:val="Textoindependiente"/>
        <w:spacing w:line="600" w:lineRule="auto"/>
        <w:ind w:firstLine="2835"/>
      </w:pPr>
      <w:r>
        <w:t xml:space="preserve">En este punto, subrayó que el pago de los $ 475.000 no lo había realizado “Cáritas”, siendo el Estado argentino el espónsor de aquél desatino, que había provocado que su cliente llevara ocho años privado de su libertad. </w:t>
      </w:r>
    </w:p>
    <w:p w:rsidR="00224567" w:rsidRDefault="00224567">
      <w:pPr>
        <w:pStyle w:val="Textoindependiente"/>
        <w:spacing w:line="600" w:lineRule="auto"/>
        <w:ind w:firstLine="2835"/>
      </w:pPr>
      <w:r>
        <w:t>Por lo expuesto, estimó que la respue</w:t>
      </w:r>
      <w:r>
        <w:t>s</w:t>
      </w:r>
      <w:r>
        <w:t xml:space="preserve">ta que tenía que brindar el tribunal era tan importante y decisiva como en su momento había sido la de la “causa nº </w:t>
      </w:r>
      <w:smartTag w:uri="urn:schemas-microsoft-com:office:smarttags" w:element="metricconverter">
        <w:smartTagPr>
          <w:attr w:name="ProductID" w:val="13”"/>
        </w:smartTagPr>
        <w:r>
          <w:t>13”</w:t>
        </w:r>
      </w:smartTag>
      <w:r>
        <w:t>.</w:t>
      </w:r>
    </w:p>
    <w:p w:rsidR="00224567" w:rsidRDefault="00224567">
      <w:pPr>
        <w:pStyle w:val="Textoindependiente"/>
        <w:spacing w:line="600" w:lineRule="auto"/>
        <w:ind w:firstLine="2835"/>
      </w:pPr>
      <w:r>
        <w:t>Puntualizó que desde el punto de vi</w:t>
      </w:r>
      <w:r>
        <w:t>s</w:t>
      </w:r>
      <w:r>
        <w:t xml:space="preserve">ta institucional, para la sanidad de </w:t>
      </w:r>
      <w:smartTag w:uri="urn:schemas-microsoft-com:office:smarttags" w:element="PersonName">
        <w:smartTagPr>
          <w:attr w:name="ProductID" w:val="la Rep￺blica"/>
        </w:smartTagPr>
        <w:r>
          <w:t>la República</w:t>
        </w:r>
      </w:smartTag>
      <w:r>
        <w:t xml:space="preserve"> y para el funcionamiento democrático de las instituciones, una res</w:t>
      </w:r>
      <w:r>
        <w:t>o</w:t>
      </w:r>
      <w:r>
        <w:t>lución que aportara claridad a lo ocurrido iba a ser un h</w:t>
      </w:r>
      <w:r>
        <w:t>e</w:t>
      </w:r>
      <w:r>
        <w:t>cho fundacional para el p</w:t>
      </w:r>
      <w:r>
        <w:t>a</w:t>
      </w:r>
      <w:r>
        <w:t>ís.</w:t>
      </w:r>
    </w:p>
    <w:p w:rsidR="00224567" w:rsidRDefault="00224567">
      <w:pPr>
        <w:pStyle w:val="Textoindependiente"/>
        <w:spacing w:line="600" w:lineRule="auto"/>
        <w:ind w:firstLine="2835"/>
      </w:pPr>
      <w:r>
        <w:t>Luego, objetó lo expuesto por el repr</w:t>
      </w:r>
      <w:r>
        <w:t>e</w:t>
      </w:r>
      <w:r>
        <w:t>sentante de la querella con relación al planteo de la leg</w:t>
      </w:r>
      <w:r>
        <w:t>í</w:t>
      </w:r>
      <w:r>
        <w:t>tima defensa, introducido oportunamente con relación a la causa nº 496, consideraciones que serán vertidas en el t</w:t>
      </w:r>
      <w:r>
        <w:t>í</w:t>
      </w:r>
      <w:r>
        <w:t>tulo II de esta sentencia.</w:t>
      </w:r>
    </w:p>
    <w:p w:rsidR="00224567" w:rsidRDefault="00224567">
      <w:pPr>
        <w:pStyle w:val="Textoindependiente"/>
        <w:spacing w:line="600" w:lineRule="auto"/>
        <w:ind w:firstLine="2835"/>
      </w:pPr>
      <w:r>
        <w:t>Seguidamente, el Dr. Ubeira e</w:t>
      </w:r>
      <w:r>
        <w:t>x</w:t>
      </w:r>
      <w:r>
        <w:t xml:space="preserve">presó su discrepancia con relación a lo manifestado por </w:t>
      </w:r>
      <w:smartTag w:uri="urn:schemas-microsoft-com:office:smarttags" w:element="PersonName">
        <w:smartTagPr>
          <w:attr w:name="ProductID" w:val="La Dra. Nercellas"/>
        </w:smartTagPr>
        <w:r>
          <w:t>la Dra. Ne</w:t>
        </w:r>
        <w:r>
          <w:t>r</w:t>
        </w:r>
        <w:r>
          <w:t>cellas</w:t>
        </w:r>
      </w:smartTag>
      <w:r>
        <w:t>, en cuanto sostuvo que la d</w:t>
      </w:r>
      <w:r>
        <w:t>e</w:t>
      </w:r>
      <w:r>
        <w:t>fensa no había precisado el perjuicio de los actos cuya nulidad r</w:t>
      </w:r>
      <w:r>
        <w:t>e</w:t>
      </w:r>
      <w:r>
        <w:t>clamó.</w:t>
      </w:r>
    </w:p>
    <w:p w:rsidR="00224567" w:rsidRDefault="00224567">
      <w:pPr>
        <w:pStyle w:val="Textoindependiente"/>
        <w:spacing w:line="600" w:lineRule="auto"/>
        <w:ind w:firstLine="2835"/>
      </w:pPr>
      <w:r>
        <w:t>En este punto, el letrado destacó que en su alegato detalló los actos que habrían marcado el c</w:t>
      </w:r>
      <w:r>
        <w:t>o</w:t>
      </w:r>
      <w:r>
        <w:t>mienzo del “armado” de la causa, colocándolo aproximadame</w:t>
      </w:r>
      <w:r>
        <w:t>n</w:t>
      </w:r>
      <w:r>
        <w:t>te al tiempo en que se realizó la reunión entre Corach, R</w:t>
      </w:r>
      <w:r>
        <w:t>i</w:t>
      </w:r>
      <w:r>
        <w:t>va Aramayo y Beraja.</w:t>
      </w:r>
    </w:p>
    <w:p w:rsidR="00224567" w:rsidRDefault="00224567">
      <w:pPr>
        <w:pStyle w:val="Textoindependiente"/>
        <w:spacing w:line="600" w:lineRule="auto"/>
        <w:ind w:firstLine="2835"/>
      </w:pPr>
      <w:r>
        <w:t>Asimismo, mencionó que el perjuicio ocasionado a su asistido era una obviedad y lo dio por s</w:t>
      </w:r>
      <w:r>
        <w:t>o</w:t>
      </w:r>
      <w:r>
        <w:t>brentendido, ya que se trataba de la detención que venía sufriendo desde hacía ocho años.</w:t>
      </w:r>
    </w:p>
    <w:p w:rsidR="00224567" w:rsidRDefault="00224567">
      <w:pPr>
        <w:pStyle w:val="Textoindependiente"/>
        <w:spacing w:line="600" w:lineRule="auto"/>
        <w:ind w:firstLine="2835"/>
      </w:pPr>
      <w:r>
        <w:t>En otro orden de ideas, objetó lo arg</w:t>
      </w:r>
      <w:r>
        <w:t>u</w:t>
      </w:r>
      <w:r>
        <w:t xml:space="preserve">mentado por </w:t>
      </w:r>
      <w:smartTag w:uri="urn:schemas-microsoft-com:office:smarttags" w:element="PersonName">
        <w:smartTagPr>
          <w:attr w:name="ProductID" w:val="La Dra. Nercellas"/>
        </w:smartTagPr>
        <w:r>
          <w:t>la Dra. Nercellas</w:t>
        </w:r>
      </w:smartTag>
      <w:r>
        <w:t>, cuando se expidió en la r</w:t>
      </w:r>
      <w:r>
        <w:t>é</w:t>
      </w:r>
      <w:r>
        <w:t>plica con relación a las formas proc</w:t>
      </w:r>
      <w:r>
        <w:t>e</w:t>
      </w:r>
      <w:r>
        <w:t>sales.</w:t>
      </w:r>
    </w:p>
    <w:p w:rsidR="00224567" w:rsidRDefault="00224567">
      <w:pPr>
        <w:pStyle w:val="Textoindependiente"/>
        <w:spacing w:line="600" w:lineRule="auto"/>
        <w:ind w:firstLine="2835"/>
      </w:pPr>
      <w:r>
        <w:t>Al respecto, el Dr. Ubeira aclaró que cuando sostuvo que “las formas molestaban a los poder</w:t>
      </w:r>
      <w:r>
        <w:t>o</w:t>
      </w:r>
      <w:r>
        <w:t>sos” se basó en von Ihering, para quien las formas eran amigas de la libertad, señalando que su función no era otra que proteger al que menos poder tenía. Así, recalcó que la e</w:t>
      </w:r>
      <w:r>
        <w:t>s</w:t>
      </w:r>
      <w:r>
        <w:t xml:space="preserve">tructura del Código Procesal Penal de </w:t>
      </w:r>
      <w:smartTag w:uri="urn:schemas-microsoft-com:office:smarttags" w:element="PersonName">
        <w:smartTagPr>
          <w:attr w:name="ProductID" w:val="la Naci￳n"/>
        </w:smartTagPr>
        <w:r>
          <w:t>la Nación</w:t>
        </w:r>
      </w:smartTag>
      <w:r>
        <w:t xml:space="preserve"> estaba de</w:t>
      </w:r>
      <w:r>
        <w:t>s</w:t>
      </w:r>
      <w:r>
        <w:t>tinada a resguardar a quien enfrentaba un proc</w:t>
      </w:r>
      <w:r>
        <w:t>e</w:t>
      </w:r>
      <w:r>
        <w:t>so.</w:t>
      </w:r>
    </w:p>
    <w:p w:rsidR="00224567" w:rsidRDefault="00224567">
      <w:pPr>
        <w:pStyle w:val="Textoindependiente"/>
        <w:spacing w:line="600" w:lineRule="auto"/>
        <w:ind w:firstLine="2835"/>
      </w:pPr>
      <w:r>
        <w:t>De este modo, el letrado refirió que, al expresar la frase antes mencionada, quiso precisar que en esta causa se había abusado en soslayar las formas pr</w:t>
      </w:r>
      <w:r>
        <w:t>o</w:t>
      </w:r>
      <w:r>
        <w:t>cesales y en contravenirlas mediante la comisión de del</w:t>
      </w:r>
      <w:r>
        <w:t>i</w:t>
      </w:r>
      <w:r>
        <w:t xml:space="preserve">tos. </w:t>
      </w:r>
    </w:p>
    <w:p w:rsidR="00224567" w:rsidRDefault="00224567">
      <w:pPr>
        <w:pStyle w:val="Textoindependiente"/>
        <w:spacing w:line="600" w:lineRule="auto"/>
        <w:ind w:firstLine="2835"/>
      </w:pPr>
      <w:r>
        <w:t>Por esa razón, entendió que si el cód</w:t>
      </w:r>
      <w:r>
        <w:t>i</w:t>
      </w:r>
      <w:r>
        <w:t>go adjetivo señalaba que en determinados casos se debían confeccionar actas, ello se debía real</w:t>
      </w:r>
      <w:r>
        <w:t>i</w:t>
      </w:r>
      <w:r>
        <w:t xml:space="preserve">zar, no obstante lo cual el tribunal podía valorar, en casos excepcionales, cuándo se justificaba su omisión. </w:t>
      </w:r>
    </w:p>
    <w:p w:rsidR="00224567" w:rsidRDefault="00224567">
      <w:pPr>
        <w:pStyle w:val="Textoindependiente"/>
        <w:spacing w:line="600" w:lineRule="auto"/>
        <w:ind w:firstLine="2835"/>
      </w:pPr>
      <w:r>
        <w:t>Igualmente, el letrado adujo que no se podía prescindir de las reglas establecidas por el código ritual y luego utilizarlas para mantener, durante ocho años, la prisión preventiva de un imputado, concluyendo que, de aplicarse el código procesal, sus limitaciones d</w:t>
      </w:r>
      <w:r>
        <w:t>e</w:t>
      </w:r>
      <w:r>
        <w:t>bían ser re</w:t>
      </w:r>
      <w:r>
        <w:t>s</w:t>
      </w:r>
      <w:r>
        <w:t>petadas.</w:t>
      </w:r>
    </w:p>
    <w:p w:rsidR="00224567" w:rsidRDefault="00224567">
      <w:pPr>
        <w:pStyle w:val="Textoindependiente"/>
        <w:spacing w:line="600" w:lineRule="auto"/>
        <w:ind w:firstLine="2835"/>
      </w:pPr>
      <w:r>
        <w:t>Del mismo modo, el Dr. Ubeira negó h</w:t>
      </w:r>
      <w:r>
        <w:t>a</w:t>
      </w:r>
      <w:r>
        <w:t>ber incurrido en un exceso ritual manifiesto al formular los planteos de nulidad, señalando que dichas defensas fu</w:t>
      </w:r>
      <w:r>
        <w:t>e</w:t>
      </w:r>
      <w:r>
        <w:t>ron articuladas al momento de los alegatos para que el tr</w:t>
      </w:r>
      <w:r>
        <w:t>i</w:t>
      </w:r>
      <w:r>
        <w:t xml:space="preserve">bunal tuviera una visión más amplia de lo ocurrido en la causa. </w:t>
      </w:r>
    </w:p>
    <w:p w:rsidR="00224567" w:rsidRDefault="00224567">
      <w:pPr>
        <w:pStyle w:val="Textoindependiente"/>
        <w:spacing w:line="600" w:lineRule="auto"/>
        <w:ind w:firstLine="2835"/>
      </w:pPr>
      <w:r>
        <w:t>Luego, el letrado defensor de Ribelli cuestionó lo manifestado por el Dr. Nisman cuando justif</w:t>
      </w:r>
      <w:r>
        <w:t>i</w:t>
      </w:r>
      <w:r>
        <w:t>có, a través de la declaración testimonial de Kollmann, la existencia de una vía independiente de los dichos de T</w:t>
      </w:r>
      <w:r>
        <w:t>e</w:t>
      </w:r>
      <w:r>
        <w:t xml:space="preserve">lleldín para incriminar a los miembros de </w:t>
      </w:r>
      <w:smartTag w:uri="urn:schemas-microsoft-com:office:smarttags" w:element="PersonName">
        <w:smartTagPr>
          <w:attr w:name="ProductID" w:val="la Polic￭a Bonaerense."/>
        </w:smartTagPr>
        <w:r>
          <w:t>la Policía Bona</w:t>
        </w:r>
        <w:r>
          <w:t>e</w:t>
        </w:r>
        <w:r>
          <w:t>rense.</w:t>
        </w:r>
      </w:smartTag>
    </w:p>
    <w:p w:rsidR="00224567" w:rsidRDefault="00224567">
      <w:pPr>
        <w:pStyle w:val="Textoindependiente"/>
        <w:spacing w:line="600" w:lineRule="auto"/>
        <w:ind w:firstLine="2835"/>
      </w:pPr>
      <w:r>
        <w:t>Al respecto, estimó que lo declarado por aquél testigo durante el debate no era más que lo que había volcado en la entrevista publicada en el diario “P</w:t>
      </w:r>
      <w:r>
        <w:t>á</w:t>
      </w:r>
      <w:r>
        <w:t xml:space="preserve">gina </w:t>
      </w:r>
      <w:smartTag w:uri="urn:schemas-microsoft-com:office:smarttags" w:element="metricconverter">
        <w:smartTagPr>
          <w:attr w:name="ProductID" w:val="12”"/>
        </w:smartTagPr>
        <w:r>
          <w:t>12”</w:t>
        </w:r>
      </w:smartTag>
      <w:r>
        <w:t>, con lo cual no podía hablarse de una vía indepe</w:t>
      </w:r>
      <w:r>
        <w:t>n</w:t>
      </w:r>
      <w:r>
        <w:t>diente.</w:t>
      </w:r>
    </w:p>
    <w:p w:rsidR="00224567" w:rsidRDefault="00224567">
      <w:pPr>
        <w:pStyle w:val="Textoindependiente"/>
        <w:spacing w:line="600" w:lineRule="auto"/>
        <w:ind w:firstLine="2835"/>
      </w:pPr>
      <w:r>
        <w:t>Con relación a la supuesta instig</w:t>
      </w:r>
      <w:r>
        <w:t>a</w:t>
      </w:r>
      <w:r>
        <w:t>ción sufrida por Huici para cometer el delito de falso testim</w:t>
      </w:r>
      <w:r>
        <w:t>o</w:t>
      </w:r>
      <w:r>
        <w:t>nio, que el Dr. Nisman le atribuyó a Ribelli, el letrado puntualizó que su defendido tenía la jerarquía de subcom</w:t>
      </w:r>
      <w:r>
        <w:t>i</w:t>
      </w:r>
      <w:r>
        <w:t>sario y como tal, no podía ser calificado como un “poder</w:t>
      </w:r>
      <w:r>
        <w:t>o</w:t>
      </w:r>
      <w:r>
        <w:t>so”, pues se encontraba subordinado a las órdenes del com</w:t>
      </w:r>
      <w:r>
        <w:t>i</w:t>
      </w:r>
      <w:r>
        <w:t>sario.</w:t>
      </w:r>
    </w:p>
    <w:p w:rsidR="00224567" w:rsidRDefault="00224567">
      <w:pPr>
        <w:pStyle w:val="Textoindependiente"/>
        <w:spacing w:line="600" w:lineRule="auto"/>
        <w:ind w:firstLine="2835"/>
      </w:pPr>
      <w:r>
        <w:t>Por lo tanto, estimó que no podía so</w:t>
      </w:r>
      <w:r>
        <w:t>s</w:t>
      </w:r>
      <w:r>
        <w:t>tenerse que Ribelli había sido el recaudador de Klo</w:t>
      </w:r>
      <w:r>
        <w:t>d</w:t>
      </w:r>
      <w:r>
        <w:t xml:space="preserve">czyk o el que comandaba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w:t>
      </w:r>
      <w:r>
        <w:t>i</w:t>
      </w:r>
      <w:r>
        <w:t>res.</w:t>
      </w:r>
    </w:p>
    <w:p w:rsidR="00224567" w:rsidRDefault="00224567">
      <w:pPr>
        <w:pStyle w:val="Textoindependiente"/>
        <w:spacing w:line="600" w:lineRule="auto"/>
        <w:ind w:firstLine="2835"/>
      </w:pPr>
      <w:r>
        <w:t>Asimismo, recalcó que Huici tenía una jerarquía equiv</w:t>
      </w:r>
      <w:r>
        <w:t>a</w:t>
      </w:r>
      <w:r>
        <w:t>lente a la de Ribelli, e incluso una mayor antigüedad en el cargo con lo cual, de ningún modo, su asistido podía imponerle una orden.</w:t>
      </w:r>
    </w:p>
    <w:p w:rsidR="00224567" w:rsidRDefault="00224567">
      <w:pPr>
        <w:pStyle w:val="Textoindependiente"/>
        <w:spacing w:line="600" w:lineRule="auto"/>
        <w:ind w:firstLine="2835"/>
      </w:pPr>
      <w:r>
        <w:t>En consecuencia, el letrado concluyó que Huici había declarado voluntariamente, descartando la posibilidad de que el nombrado padeciera de un temor rev</w:t>
      </w:r>
      <w:r>
        <w:t>e</w:t>
      </w:r>
      <w:r>
        <w:t>rencial; máxime en una brigada, en donde, según sost</w:t>
      </w:r>
      <w:r>
        <w:t>u</w:t>
      </w:r>
      <w:r>
        <w:t>vo, el poder de resolución se compartía con el resto de los int</w:t>
      </w:r>
      <w:r>
        <w:t>e</w:t>
      </w:r>
      <w:r>
        <w:t>grantes.</w:t>
      </w:r>
    </w:p>
    <w:p w:rsidR="00224567" w:rsidRDefault="00224567">
      <w:pPr>
        <w:pStyle w:val="Textoindependiente"/>
        <w:spacing w:line="600" w:lineRule="auto"/>
        <w:ind w:firstLine="2835"/>
      </w:pPr>
      <w:r>
        <w:t>Además, descalificó la circun</w:t>
      </w:r>
      <w:r>
        <w:t>s</w:t>
      </w:r>
      <w:r>
        <w:t>tancia de que el Sr. fiscal haya querido probar la instigación al falso testimonio con los dichos de dos testigos de oídas que trabajaban con Huici.</w:t>
      </w:r>
    </w:p>
    <w:p w:rsidR="00224567" w:rsidRDefault="00224567">
      <w:pPr>
        <w:pStyle w:val="Textoindependiente"/>
        <w:spacing w:line="600" w:lineRule="auto"/>
        <w:ind w:firstLine="2835"/>
      </w:pPr>
      <w:r>
        <w:t>En cuanto a la entrega de parte de T</w:t>
      </w:r>
      <w:r>
        <w:t>e</w:t>
      </w:r>
      <w:r>
        <w:t>lleldín de los dos vehículos y de la motocicl</w:t>
      </w:r>
      <w:r>
        <w:t>e</w:t>
      </w:r>
      <w:r>
        <w:t>ta, le llamó la atención que las declaraciones de Lo Preiato, P</w:t>
      </w:r>
      <w:r>
        <w:t>e</w:t>
      </w:r>
      <w:r>
        <w:t>trucci y Setaro fueron valoradas luego de la prestada por T</w:t>
      </w:r>
      <w:r>
        <w:t>e</w:t>
      </w:r>
      <w:r>
        <w:t>lleldín el 5 de julio, preguntándose si aquellas deposiciones no habían sido las pactadas por el imput</w:t>
      </w:r>
      <w:r>
        <w:t>a</w:t>
      </w:r>
      <w:r>
        <w:t xml:space="preserve">do con el juez. </w:t>
      </w:r>
    </w:p>
    <w:p w:rsidR="00224567" w:rsidRDefault="00224567">
      <w:pPr>
        <w:pStyle w:val="Textoindependiente"/>
        <w:spacing w:line="600" w:lineRule="auto"/>
        <w:ind w:firstLine="2835"/>
      </w:pPr>
      <w:r>
        <w:t>Sostuvo que para realizar una imp</w:t>
      </w:r>
      <w:r>
        <w:t>u</w:t>
      </w:r>
      <w:r>
        <w:t>tación por el delito de extorsión, era necesario probar que los bienes entregados por Telleldín habían pasado a manos de la brigada, circunstancia que no se podía fu</w:t>
      </w:r>
      <w:r>
        <w:t>n</w:t>
      </w:r>
      <w:r>
        <w:t>dar en los dichos de testigos ment</w:t>
      </w:r>
      <w:r>
        <w:t>i</w:t>
      </w:r>
      <w:r>
        <w:t>rosos.</w:t>
      </w:r>
    </w:p>
    <w:p w:rsidR="00224567" w:rsidRDefault="00224567">
      <w:pPr>
        <w:pStyle w:val="Textoindependiente"/>
        <w:spacing w:line="600" w:lineRule="auto"/>
        <w:ind w:firstLine="2835"/>
      </w:pPr>
      <w:r>
        <w:t>Precisó que, en caso de haberse pag</w:t>
      </w:r>
      <w:r>
        <w:t>a</w:t>
      </w:r>
      <w:r>
        <w:t>do con dos vehículos, era tarea de la acusación demostrar quién había sido su último poseedor y a partir de allí vi</w:t>
      </w:r>
      <w:r>
        <w:t>n</w:t>
      </w:r>
      <w:r>
        <w:t>cularlo con la brigada, entendiendo que en este c</w:t>
      </w:r>
      <w:r>
        <w:t>a</w:t>
      </w:r>
      <w:r>
        <w:t>so había existido por parte de la instrucción, una absoluta falta de voluntad en averiguar dónde se hallaban ambos r</w:t>
      </w:r>
      <w:r>
        <w:t>o</w:t>
      </w:r>
      <w:r>
        <w:t>dados.</w:t>
      </w:r>
    </w:p>
    <w:p w:rsidR="00224567" w:rsidRDefault="00224567">
      <w:pPr>
        <w:pStyle w:val="Textoindependiente"/>
        <w:spacing w:line="600" w:lineRule="auto"/>
        <w:ind w:firstLine="2835"/>
      </w:pPr>
      <w:r>
        <w:t>También, consideró que no había una e</w:t>
      </w:r>
      <w:r>
        <w:t>x</w:t>
      </w:r>
      <w:r>
        <w:t>plicación sólida acerca de por qué razón T</w:t>
      </w:r>
      <w:r>
        <w:t>e</w:t>
      </w:r>
      <w:r>
        <w:t>lleldín no había mencionado, en su primer declaración indagatoria, la exto</w:t>
      </w:r>
      <w:r>
        <w:t>r</w:t>
      </w:r>
      <w:r>
        <w:t xml:space="preserve">sión sufrida en </w:t>
      </w:r>
      <w:smartTag w:uri="urn:schemas-microsoft-com:office:smarttags" w:element="PersonName">
        <w:smartTagPr>
          <w:attr w:name="ProductID" w:val="la Brigada"/>
        </w:smartTagPr>
        <w:r>
          <w:t>la Brigada</w:t>
        </w:r>
      </w:smartTag>
      <w:r>
        <w:t xml:space="preserve"> de Lanús.</w:t>
      </w:r>
    </w:p>
    <w:p w:rsidR="00224567" w:rsidRDefault="00224567">
      <w:pPr>
        <w:pStyle w:val="Textoindependiente"/>
        <w:spacing w:line="600" w:lineRule="auto"/>
        <w:ind w:firstLine="2835"/>
      </w:pPr>
      <w:r>
        <w:t>En virtud de lo expuesto, subrayó que no estaba planteando una ampliación del tipo penal, c</w:t>
      </w:r>
      <w:r>
        <w:t>o</w:t>
      </w:r>
      <w:r>
        <w:t>mo se lo había reprochado la fiscalía, sino una adecuación del tipo a las circunstancias, que implicaba que apareciera, al menos, un pedazo de chapa de algún automóvil o una prueba más evidente que acreditara la responsabilidad de su asi</w:t>
      </w:r>
      <w:r>
        <w:t>s</w:t>
      </w:r>
      <w:r>
        <w:t>tido en el delito de s</w:t>
      </w:r>
      <w:r>
        <w:t>e</w:t>
      </w:r>
      <w:r>
        <w:t>cuestro extorsivo.</w:t>
      </w:r>
    </w:p>
    <w:p w:rsidR="00224567" w:rsidRDefault="00224567">
      <w:pPr>
        <w:pStyle w:val="Textoindependiente"/>
        <w:spacing w:line="600" w:lineRule="auto"/>
        <w:ind w:firstLine="2835"/>
      </w:pPr>
      <w:r>
        <w:t>Por otra parte, estimó que para vinc</w:t>
      </w:r>
      <w:r>
        <w:t>u</w:t>
      </w:r>
      <w:r>
        <w:t>lar el teléfono de Semorile con el de Ribelli, el Dr. Ni</w:t>
      </w:r>
      <w:r>
        <w:t>s</w:t>
      </w:r>
      <w:r>
        <w:t>man se fundó en una serie de cruces tel</w:t>
      </w:r>
      <w:r>
        <w:t>e</w:t>
      </w:r>
      <w:r>
        <w:t>fónicos que habían ingresado al proceso en forma tardía, mal y amañada. De m</w:t>
      </w:r>
      <w:r>
        <w:t>a</w:t>
      </w:r>
      <w:r>
        <w:t>nera tardía, porque dichos cruces telefón</w:t>
      </w:r>
      <w:r>
        <w:t>i</w:t>
      </w:r>
      <w:r>
        <w:t>cos eran de fecha anterior a la declaración indagatoria de su cliente y nunca se los habían exhibido como prueba de ca</w:t>
      </w:r>
      <w:r>
        <w:t>r</w:t>
      </w:r>
      <w:r>
        <w:t>go; mal, porque si bien el fiscal afirmó que una de las líneas telefónicas pertenecía a Grace Go</w:t>
      </w:r>
      <w:r>
        <w:t>r</w:t>
      </w:r>
      <w:r>
        <w:t>don, pareja de Semorile, éste último no lo había podido recordar en el debate y no se había h</w:t>
      </w:r>
      <w:r>
        <w:t>e</w:t>
      </w:r>
      <w:r>
        <w:t>cho ninguna investigación con el fin de establecer la tit</w:t>
      </w:r>
      <w:r>
        <w:t>u</w:t>
      </w:r>
      <w:r>
        <w:t>laridad de aquél número; y amañada porque se la había qu</w:t>
      </w:r>
      <w:r>
        <w:t>e</w:t>
      </w:r>
      <w:r>
        <w:t>rido hacer valer en una circunstancia impropia dentro del proc</w:t>
      </w:r>
      <w:r>
        <w:t>e</w:t>
      </w:r>
      <w:r>
        <w:t>so.</w:t>
      </w:r>
    </w:p>
    <w:p w:rsidR="00224567" w:rsidRDefault="00224567">
      <w:pPr>
        <w:pStyle w:val="Textoindependiente"/>
        <w:spacing w:line="600" w:lineRule="auto"/>
        <w:ind w:firstLine="2835"/>
      </w:pPr>
      <w:r>
        <w:t>En consecuencia, el Dr. Ubeira sol</w:t>
      </w:r>
      <w:r>
        <w:t>i</w:t>
      </w:r>
      <w:r>
        <w:t>citó que se excluyeran a los cruces telefónicos antes mencion</w:t>
      </w:r>
      <w:r>
        <w:t>a</w:t>
      </w:r>
      <w:r>
        <w:t>dos como elemento de cargo, porque su asistido no se había podido defender de aquella prueba.</w:t>
      </w:r>
    </w:p>
    <w:p w:rsidR="00224567" w:rsidRDefault="00224567">
      <w:pPr>
        <w:pStyle w:val="Textoindependiente"/>
        <w:spacing w:line="600" w:lineRule="auto"/>
        <w:ind w:firstLine="2835"/>
      </w:pPr>
      <w:r>
        <w:t>Posteriormente, el letrado rema</w:t>
      </w:r>
      <w:r>
        <w:t>r</w:t>
      </w:r>
      <w:r>
        <w:t>có que Ribelli nunca reconoció las casetes y las escuchas telef</w:t>
      </w:r>
      <w:r>
        <w:t>ó</w:t>
      </w:r>
      <w:r>
        <w:t xml:space="preserve">nicas, y que las mismas fueron obtenidas por un organismo que había pagado USD 400.000 para imputar a su asistido. </w:t>
      </w:r>
    </w:p>
    <w:p w:rsidR="00224567" w:rsidRDefault="00224567">
      <w:pPr>
        <w:pStyle w:val="Textoindependiente"/>
        <w:spacing w:line="600" w:lineRule="auto"/>
        <w:ind w:firstLine="2835"/>
      </w:pPr>
      <w:r>
        <w:t>No obstante ello, mencionó que aun de suponerse la existencia de tales pruebas, no se podía inf</w:t>
      </w:r>
      <w:r>
        <w:t>e</w:t>
      </w:r>
      <w:r>
        <w:t>rir de ellas ninguna calidad criminosa, tal como lo prete</w:t>
      </w:r>
      <w:r>
        <w:t>n</w:t>
      </w:r>
      <w:r>
        <w:t>dían los acusadores.</w:t>
      </w:r>
    </w:p>
    <w:p w:rsidR="00224567" w:rsidRDefault="00224567">
      <w:pPr>
        <w:pStyle w:val="Textoindependiente"/>
        <w:spacing w:line="600" w:lineRule="auto"/>
        <w:ind w:firstLine="2835"/>
      </w:pPr>
      <w:r>
        <w:t>Acto seguido, el Dr. Ubeira e</w:t>
      </w:r>
      <w:r>
        <w:t>x</w:t>
      </w:r>
      <w:r>
        <w:t>presó su asombro por las loas que el Dr. Ávila efectuó del alegato de la defensa de Huici, preguntándose si éste último no h</w:t>
      </w:r>
      <w:r>
        <w:t>a</w:t>
      </w:r>
      <w:r>
        <w:t xml:space="preserve">bía terminado lo que se había intentado en el legajo nº 308, o si no había culminado la tentativa de una solución con </w:t>
      </w:r>
      <w:smartTag w:uri="urn:schemas-microsoft-com:office:smarttags" w:element="PersonName">
        <w:smartTagPr>
          <w:attr w:name="ProductID" w:val="La Dra. Nercellas"/>
        </w:smartTagPr>
        <w:r>
          <w:t>la Dra. Nercellas</w:t>
        </w:r>
      </w:smartTag>
      <w:r>
        <w:t xml:space="preserve"> durante este la</w:t>
      </w:r>
      <w:r>
        <w:t>p</w:t>
      </w:r>
      <w:r>
        <w:t xml:space="preserve">so. </w:t>
      </w:r>
    </w:p>
    <w:p w:rsidR="00224567" w:rsidRDefault="00224567">
      <w:pPr>
        <w:pStyle w:val="Textoindependiente"/>
        <w:spacing w:line="600" w:lineRule="auto"/>
        <w:ind w:firstLine="2835"/>
      </w:pPr>
      <w:r>
        <w:t>Por otra parte, el letrado manifestó que le costaba creerle a Telleldín cuando, al prestar d</w:t>
      </w:r>
      <w:r>
        <w:t>e</w:t>
      </w:r>
      <w:r>
        <w:t>claración bajo juramento en el juzgado a cargo del Dr. C</w:t>
      </w:r>
      <w:r>
        <w:t>a</w:t>
      </w:r>
      <w:r>
        <w:t>vallo, negó haber cobrado alguna s</w:t>
      </w:r>
      <w:r>
        <w:t>u</w:t>
      </w:r>
      <w:r>
        <w:t>ma de dinero a cambio de una declaración; circunstancia que también había sido neg</w:t>
      </w:r>
      <w:r>
        <w:t>a</w:t>
      </w:r>
      <w:r>
        <w:t xml:space="preserve">da por el Dr. Stinfale, cuando este último podría haberse amparado en el secreto profesional, como lo había hecho en el juzgado del Dr. Bonadío. </w:t>
      </w:r>
    </w:p>
    <w:p w:rsidR="00224567" w:rsidRDefault="00224567">
      <w:pPr>
        <w:pStyle w:val="Textoindependiente"/>
        <w:spacing w:line="600" w:lineRule="auto"/>
        <w:ind w:firstLine="2835"/>
      </w:pPr>
      <w:r>
        <w:t>Por lo tanto, estimó que Telleldín h</w:t>
      </w:r>
      <w:r>
        <w:t>a</w:t>
      </w:r>
      <w:r>
        <w:t>bía formado una unión transitoria de empresas con el Dr. Galeano que luego se deshizo por incumplimiento del magi</w:t>
      </w:r>
      <w:r>
        <w:t>s</w:t>
      </w:r>
      <w:r>
        <w:t>trado.</w:t>
      </w:r>
    </w:p>
    <w:p w:rsidR="00224567" w:rsidRDefault="00224567">
      <w:pPr>
        <w:pStyle w:val="Textoindependiente"/>
        <w:spacing w:line="600" w:lineRule="auto"/>
        <w:ind w:firstLine="2835"/>
      </w:pPr>
      <w:r>
        <w:t>Finalmente, se preguntó cómo podía imputarse una extorsión a Ribelli cuando Telleldín, tanto en una conversación que mantuvo con el juez Galeano, como al prestar declaración indagatoria durante el debate, dijo desconocerlo.</w:t>
      </w:r>
    </w:p>
    <w:p w:rsidR="00224567" w:rsidRDefault="00224567">
      <w:pPr>
        <w:widowControl w:val="0"/>
        <w:tabs>
          <w:tab w:val="left" w:pos="2835"/>
        </w:tabs>
        <w:rPr>
          <w:lang w:val="es-ES_tradnl"/>
        </w:rPr>
      </w:pPr>
    </w:p>
    <w:p w:rsidR="00224567" w:rsidRDefault="00224567">
      <w:pPr>
        <w:widowControl w:val="0"/>
        <w:tabs>
          <w:tab w:val="left" w:pos="2835"/>
        </w:tabs>
      </w:pPr>
      <w:r>
        <w:rPr>
          <w:lang w:val="es-ES_tradnl"/>
        </w:rPr>
        <w:tab/>
      </w:r>
      <w:r>
        <w:rPr>
          <w:b/>
          <w:bCs/>
          <w:lang w:val="es-ES_tradnl"/>
        </w:rPr>
        <w:t>B.3)</w:t>
      </w:r>
      <w:r>
        <w:rPr>
          <w:lang w:val="es-ES_tradnl"/>
        </w:rPr>
        <w:t xml:space="preserve"> </w:t>
      </w:r>
      <w:r>
        <w:t>A su turno, el Dr. Víctor Enrique V</w:t>
      </w:r>
      <w:r>
        <w:t>a</w:t>
      </w:r>
      <w:r>
        <w:t>lle hizo uso de la facultad de duplicar.</w:t>
      </w:r>
    </w:p>
    <w:p w:rsidR="00224567" w:rsidRDefault="00224567">
      <w:pPr>
        <w:widowControl w:val="0"/>
        <w:tabs>
          <w:tab w:val="left" w:pos="2835"/>
        </w:tabs>
      </w:pPr>
      <w:r>
        <w:tab/>
        <w:t>En primer lugar, expresó su op</w:t>
      </w:r>
      <w:r>
        <w:t>o</w:t>
      </w:r>
      <w:r>
        <w:t>sición al planteo de nulidad de la declaración indagatoria de Ariel Nitzcaner, rendida el 17 de enero de 1995 y de todo lo obrado en consecuencia, formulado por la defensa de Carlos Alberto Telleldín.</w:t>
      </w:r>
    </w:p>
    <w:p w:rsidR="00224567" w:rsidRDefault="00224567">
      <w:pPr>
        <w:widowControl w:val="0"/>
        <w:tabs>
          <w:tab w:val="left" w:pos="2835"/>
        </w:tabs>
      </w:pPr>
      <w:r>
        <w:tab/>
        <w:t>Sostuvo que dicha exposición fue ut</w:t>
      </w:r>
      <w:r>
        <w:t>i</w:t>
      </w:r>
      <w:r>
        <w:t>lizada en su alegato para acreditar, junto a otros eleme</w:t>
      </w:r>
      <w:r>
        <w:t>n</w:t>
      </w:r>
      <w:r>
        <w:t>tos de prueba, que en el taller de Nitzcaner fue armada una camioneta que contenía la carrocería de Sar</w:t>
      </w:r>
      <w:r>
        <w:t>a</w:t>
      </w:r>
      <w:r>
        <w:t xml:space="preserve">pura y no el motor de “Messin”, concluyendo que no fue ese el vehículo que explotó frente a la sede de </w:t>
      </w:r>
      <w:smartTag w:uri="urn:schemas-microsoft-com:office:smarttags" w:element="PersonName">
        <w:smartTagPr>
          <w:attr w:name="ProductID" w:val="la A.M"/>
        </w:smartTagPr>
        <w:r>
          <w:t>la A.M</w:t>
        </w:r>
      </w:smartTag>
      <w:r>
        <w:t>.I.A.</w:t>
      </w:r>
    </w:p>
    <w:p w:rsidR="00224567" w:rsidRDefault="00224567">
      <w:pPr>
        <w:widowControl w:val="0"/>
        <w:tabs>
          <w:tab w:val="left" w:pos="2835"/>
        </w:tabs>
      </w:pPr>
      <w:r>
        <w:tab/>
        <w:t>Estimó que las letradas de Telleldín incurrieron en un anacronismo, al fijar en el mes de enero de 1995 la fecha en que los fiscales Mullen y Barbaccia concurrieron a la casa de Nitzcaner para inducirlo a a</w:t>
      </w:r>
      <w:r>
        <w:t>m</w:t>
      </w:r>
      <w:r>
        <w:t>pliar su declaración indagatoria, cuando ello había oc</w:t>
      </w:r>
      <w:r>
        <w:t>u</w:t>
      </w:r>
      <w:r>
        <w:t>rrido en el mes de julio de ese año, oportunidad en la que éste reiteró lo declarado en el mes de enero.</w:t>
      </w:r>
    </w:p>
    <w:p w:rsidR="00224567" w:rsidRDefault="00224567">
      <w:pPr>
        <w:widowControl w:val="0"/>
        <w:tabs>
          <w:tab w:val="left" w:pos="2835"/>
        </w:tabs>
      </w:pPr>
      <w:r>
        <w:tab/>
        <w:t>Además, destacó que Nitzcaner se exp</w:t>
      </w:r>
      <w:r>
        <w:t>i</w:t>
      </w:r>
      <w:r>
        <w:t>dió en idéntico sentido en todas sus declaraci</w:t>
      </w:r>
      <w:r>
        <w:t>o</w:t>
      </w:r>
      <w:r>
        <w:t>nes, razón por la cual la nulidad pretendida debía ser r</w:t>
      </w:r>
      <w:r>
        <w:t>e</w:t>
      </w:r>
      <w:r>
        <w:t>chazada.</w:t>
      </w:r>
    </w:p>
    <w:p w:rsidR="00224567" w:rsidRDefault="00224567">
      <w:pPr>
        <w:widowControl w:val="0"/>
        <w:tabs>
          <w:tab w:val="left" w:pos="2835"/>
        </w:tabs>
      </w:pPr>
      <w:r>
        <w:tab/>
        <w:t>Seguidamente, continuó haciendo uso del derecho a dúplica el Dr. Germán Carlevaro, quien co</w:t>
      </w:r>
      <w:r>
        <w:t>n</w:t>
      </w:r>
      <w:r>
        <w:t>sideró  inverosímil lo manifestado por la querella de D.A.I.A., A.M.I.A. y “Grupo de Familiares” al sost</w:t>
      </w:r>
      <w:r>
        <w:t>e</w:t>
      </w:r>
      <w:r>
        <w:t>ner que el cráter que había dejado la explosión abarcaba sólo el sótano del edificio, destacando que, al prestar declar</w:t>
      </w:r>
      <w:r>
        <w:t>a</w:t>
      </w:r>
      <w:r>
        <w:t>ción durante el debate, los peritos del Departamento de Bomberos inc</w:t>
      </w:r>
      <w:r>
        <w:t>u</w:t>
      </w:r>
      <w:r>
        <w:t>rrieron en innumerables contradicciones y no pudieron sostener las conclusiones volcadas en sus info</w:t>
      </w:r>
      <w:r>
        <w:t>r</w:t>
      </w:r>
      <w:r>
        <w:t>mes.</w:t>
      </w:r>
    </w:p>
    <w:p w:rsidR="00224567" w:rsidRDefault="00224567">
      <w:pPr>
        <w:widowControl w:val="0"/>
        <w:tabs>
          <w:tab w:val="left" w:pos="2835"/>
        </w:tabs>
      </w:pPr>
      <w:r>
        <w:tab/>
        <w:t>También señaló que Helguero, quien s</w:t>
      </w:r>
      <w:r>
        <w:t>u</w:t>
      </w:r>
      <w:r>
        <w:t>puestamente había tomado las medidas del cráter, no sólo no recordó haber efectuado dicha tarea, sino que negó h</w:t>
      </w:r>
      <w:r>
        <w:t>a</w:t>
      </w:r>
      <w:r>
        <w:t>ber visto la oquedad.</w:t>
      </w:r>
    </w:p>
    <w:p w:rsidR="00224567" w:rsidRDefault="00224567">
      <w:pPr>
        <w:widowControl w:val="0"/>
        <w:tabs>
          <w:tab w:val="left" w:pos="2835"/>
        </w:tabs>
      </w:pPr>
      <w:r>
        <w:tab/>
        <w:t>Posteriormente, el Dr. Carlevaro acl</w:t>
      </w:r>
      <w:r>
        <w:t>a</w:t>
      </w:r>
      <w:r>
        <w:t>ró que bien los distintos peritos que declararon durante el juicio nunca pusieron en duda la existencia de la c</w:t>
      </w:r>
      <w:r>
        <w:t>a</w:t>
      </w:r>
      <w:r>
        <w:t>mioneta, porque fue premisa de la cual partieron para desarrollar su trabajo.</w:t>
      </w:r>
    </w:p>
    <w:p w:rsidR="00224567" w:rsidRDefault="00224567">
      <w:pPr>
        <w:widowControl w:val="0"/>
        <w:tabs>
          <w:tab w:val="left" w:pos="2835"/>
        </w:tabs>
      </w:pPr>
      <w:r>
        <w:tab/>
        <w:t>Asimismo, puntualizó que los peritos incurrieron en contradicciones al declarar sobre el dire</w:t>
      </w:r>
      <w:r>
        <w:t>c</w:t>
      </w:r>
      <w:r>
        <w:t>cionamiento de la carga explosiva, concluyendo que ello, sumado a otros elementos de prueba mencionados en su al</w:t>
      </w:r>
      <w:r>
        <w:t>e</w:t>
      </w:r>
      <w:r>
        <w:t>gato, ponía en tela de ju</w:t>
      </w:r>
      <w:r>
        <w:t>i</w:t>
      </w:r>
      <w:r>
        <w:t>cio la existencia del cochebomba como conten</w:t>
      </w:r>
      <w:r>
        <w:t>e</w:t>
      </w:r>
      <w:r>
        <w:t>dor del explosivo.</w:t>
      </w:r>
    </w:p>
    <w:p w:rsidR="00224567" w:rsidRDefault="00224567">
      <w:pPr>
        <w:widowControl w:val="0"/>
        <w:tabs>
          <w:tab w:val="left" w:pos="2835"/>
        </w:tabs>
      </w:pPr>
      <w:r>
        <w:tab/>
        <w:t>Luego, sostuvo que la defensa no se había olvidado del tema relacionado con el esquirl</w:t>
      </w:r>
      <w:r>
        <w:t>a</w:t>
      </w:r>
      <w:r>
        <w:t>miento, tal como lo pretendía la querella D.A.I.A., A.M.I.A y “Grupo de Familiares”.</w:t>
      </w:r>
    </w:p>
    <w:p w:rsidR="00224567" w:rsidRDefault="00224567">
      <w:pPr>
        <w:widowControl w:val="0"/>
        <w:tabs>
          <w:tab w:val="left" w:pos="2835"/>
        </w:tabs>
      </w:pPr>
      <w:r>
        <w:tab/>
        <w:t>En este sentido, indicó que al mome</w:t>
      </w:r>
      <w:r>
        <w:t>n</w:t>
      </w:r>
      <w:r>
        <w:t>to de los alegatos puso en evidencia que, a pesar de las m</w:t>
      </w:r>
      <w:r>
        <w:t>a</w:t>
      </w:r>
      <w:r>
        <w:t>nifestaciones que sobre el tema efectuaron los peritos d</w:t>
      </w:r>
      <w:r>
        <w:t>u</w:t>
      </w:r>
      <w:r>
        <w:t>rante el debate, nada se había consignado en los informes, siendo el único relacionado con el efecto “metralla” el obrante en el anexo denominado “Daños en Bienes de Terc</w:t>
      </w:r>
      <w:r>
        <w:t>e</w:t>
      </w:r>
      <w:r>
        <w:t>ros”, que lejos estaba de ser calificado como un examen pericial.</w:t>
      </w:r>
    </w:p>
    <w:p w:rsidR="00224567" w:rsidRDefault="00224567">
      <w:pPr>
        <w:widowControl w:val="0"/>
        <w:tabs>
          <w:tab w:val="left" w:pos="2835"/>
        </w:tabs>
      </w:pPr>
      <w:r>
        <w:tab/>
        <w:t>Por lo expuesto, el Dr. Carlevaro no descartó que en el edificio ubicado en la calle Pasteur 632 de esta ciudad no se hubiesen incrustado restos de mampostería, cuya cantidad iba a guardar relación con la ubicación exacta de la detonación de la carga expl</w:t>
      </w:r>
      <w:r>
        <w:t>o</w:t>
      </w:r>
      <w:r>
        <w:t>siva.</w:t>
      </w:r>
    </w:p>
    <w:p w:rsidR="00224567" w:rsidRDefault="00224567">
      <w:pPr>
        <w:widowControl w:val="0"/>
        <w:tabs>
          <w:tab w:val="left" w:pos="2835"/>
        </w:tabs>
      </w:pPr>
      <w:r>
        <w:tab/>
        <w:t>A continuación, caracterizó a los i</w:t>
      </w:r>
      <w:r>
        <w:t>n</w:t>
      </w:r>
      <w:r>
        <w:t>formes elaborados por los agentes del Mossad y del F.B.I. como simples reportes carentes de valor científico y per</w:t>
      </w:r>
      <w:r>
        <w:t>i</w:t>
      </w:r>
      <w:r>
        <w:t>cial, estimando que habían sido confeccionados con info</w:t>
      </w:r>
      <w:r>
        <w:t>r</w:t>
      </w:r>
      <w:r>
        <w:t>mación falaz suministrada por los peritos del Departamento de Bomberos.</w:t>
      </w:r>
    </w:p>
    <w:p w:rsidR="00224567" w:rsidRDefault="00224567">
      <w:pPr>
        <w:widowControl w:val="0"/>
        <w:tabs>
          <w:tab w:val="left" w:pos="2835"/>
        </w:tabs>
      </w:pPr>
      <w:r>
        <w:tab/>
        <w:t>En cuanto a las consideraciones efe</w:t>
      </w:r>
      <w:r>
        <w:t>c</w:t>
      </w:r>
      <w:r>
        <w:t>tuadas por la querella D.A.I.A., A.M.I.A. y “Grupo de F</w:t>
      </w:r>
      <w:r>
        <w:t>a</w:t>
      </w:r>
      <w:r>
        <w:t>miliares” sobre las actas de secuestro de los elementos hallados en el lugar del hecho, el Dr. Carlevaro entendió que durante el debate se evidenció la escandalosa actu</w:t>
      </w:r>
      <w:r>
        <w:t>a</w:t>
      </w:r>
      <w:r>
        <w:t xml:space="preserve">ción de los bomberos de </w:t>
      </w:r>
      <w:smartTag w:uri="urn:schemas-microsoft-com:office:smarttags" w:element="PersonName">
        <w:smartTagPr>
          <w:attr w:name="ProductID" w:val="la Brigada"/>
        </w:smartTagPr>
        <w:r>
          <w:t>la Brigada</w:t>
        </w:r>
      </w:smartTag>
      <w:r>
        <w:t xml:space="preserve"> de Expl</w:t>
      </w:r>
      <w:r>
        <w:t>o</w:t>
      </w:r>
      <w:r>
        <w:t>sivos y que el invocado motivo de seguridad para evitar la convocatoria de testigos a suscribir las actas, era absolutamente fa</w:t>
      </w:r>
      <w:r>
        <w:t>l</w:t>
      </w:r>
      <w:r>
        <w:t>so.</w:t>
      </w:r>
    </w:p>
    <w:p w:rsidR="00224567" w:rsidRDefault="00224567">
      <w:pPr>
        <w:widowControl w:val="0"/>
        <w:tabs>
          <w:tab w:val="left" w:pos="2835"/>
        </w:tabs>
      </w:pPr>
      <w:r>
        <w:tab/>
        <w:t>Entendió probado que una gran cant</w:t>
      </w:r>
      <w:r>
        <w:t>i</w:t>
      </w:r>
      <w:r>
        <w:t>dad de piezas carecía de su correspondiente acta, que una mi</w:t>
      </w:r>
      <w:r>
        <w:t>s</w:t>
      </w:r>
      <w:r>
        <w:t>ma pieza fue reconocida como secuestrada por dos o más bomberos, que las actas se confeccionaron bastante tie</w:t>
      </w:r>
      <w:r>
        <w:t>m</w:t>
      </w:r>
      <w:r>
        <w:t xml:space="preserve">po después del hallazgo del elemento incautado, que debido a la triple numeración asignada a las piezas secuestradas era imposible mantener un control sobre las mismas y que personal de </w:t>
      </w:r>
      <w:smartTag w:uri="urn:schemas-microsoft-com:office:smarttags" w:element="PersonName">
        <w:smartTagPr>
          <w:attr w:name="ProductID" w:val="la S.I"/>
        </w:smartTagPr>
        <w:r>
          <w:t>la S.I</w:t>
        </w:r>
      </w:smartTag>
      <w:r>
        <w:t>.D.E. manipuló el</w:t>
      </w:r>
      <w:r>
        <w:t>e</w:t>
      </w:r>
      <w:r>
        <w:t>mentos.</w:t>
      </w:r>
    </w:p>
    <w:p w:rsidR="00224567" w:rsidRDefault="00224567">
      <w:pPr>
        <w:widowControl w:val="0"/>
        <w:tabs>
          <w:tab w:val="left" w:pos="2835"/>
        </w:tabs>
      </w:pPr>
      <w:r>
        <w:tab/>
        <w:t>En virtud de lo expuesto, el Dr. Ca</w:t>
      </w:r>
      <w:r>
        <w:t>r</w:t>
      </w:r>
      <w:r>
        <w:t>levaro concluyó que los hallazgos de los disti</w:t>
      </w:r>
      <w:r>
        <w:t>n</w:t>
      </w:r>
      <w:r>
        <w:t>tos efectos secuestrados en el lugar del hecho no podían ser probados por las actas, ni por los testimonios del personal que e</w:t>
      </w:r>
      <w:r>
        <w:t>s</w:t>
      </w:r>
      <w:r>
        <w:t>tuvo a cargo de las mi</w:t>
      </w:r>
      <w:r>
        <w:t>s</w:t>
      </w:r>
      <w:r>
        <w:t>mas.</w:t>
      </w:r>
    </w:p>
    <w:p w:rsidR="00224567" w:rsidRDefault="00224567">
      <w:pPr>
        <w:widowControl w:val="0"/>
        <w:tabs>
          <w:tab w:val="left" w:pos="2835"/>
        </w:tabs>
      </w:pPr>
      <w:r>
        <w:tab/>
        <w:t>Con relación al amortiguador que ap</w:t>
      </w:r>
      <w:r>
        <w:t>a</w:t>
      </w:r>
      <w:r>
        <w:t>reció incrustado en el cuerpo de Díaz, el letrado so</w:t>
      </w:r>
      <w:r>
        <w:t>s</w:t>
      </w:r>
      <w:r>
        <w:t>tuvo que si bien la querella de D.A.I.A., A.M.I.A. y “Grupo de Familiares” hizo hincapié en la imposibilidad de incrustar manualmente dicha pieza,  aquella operación hubiera sido posible mediante el uso de una herramienta, ya que la e</w:t>
      </w:r>
      <w:r>
        <w:t>x</w:t>
      </w:r>
      <w:r>
        <w:t>plosión no era el único fenómeno capaz de producir la fuerza necesaria para que un elemento mecánico ingresara en un cuerpo humano.</w:t>
      </w:r>
    </w:p>
    <w:p w:rsidR="00224567" w:rsidRDefault="00224567">
      <w:pPr>
        <w:widowControl w:val="0"/>
        <w:tabs>
          <w:tab w:val="left" w:pos="2835"/>
        </w:tabs>
      </w:pPr>
      <w:r>
        <w:tab/>
        <w:t>Puntualizó que el Dr. Ávila, al pr</w:t>
      </w:r>
      <w:r>
        <w:t>e</w:t>
      </w:r>
      <w:r>
        <w:t>guntarse si la estrategia de incrustar el amort</w:t>
      </w:r>
      <w:r>
        <w:t>i</w:t>
      </w:r>
      <w:r>
        <w:t>guador en el cuerpo de Díaz se decidió en la quinta de Olivos o lu</w:t>
      </w:r>
      <w:r>
        <w:t>e</w:t>
      </w:r>
      <w:r>
        <w:t>go de los cabildeos entre Corach y Riva Aramayo, se valió de una ironía que resultaba anacrónica, toda vez que aqu</w:t>
      </w:r>
      <w:r>
        <w:t>e</w:t>
      </w:r>
      <w:r>
        <w:t>llas reuniones se ll</w:t>
      </w:r>
      <w:r>
        <w:t>e</w:t>
      </w:r>
      <w:r>
        <w:t>varon a cabo meses después de que el cadáver de Díaz ingresara en la mo</w:t>
      </w:r>
      <w:r>
        <w:t>r</w:t>
      </w:r>
      <w:r>
        <w:t>gue.</w:t>
      </w:r>
    </w:p>
    <w:p w:rsidR="00224567" w:rsidRDefault="00224567">
      <w:pPr>
        <w:widowControl w:val="0"/>
        <w:tabs>
          <w:tab w:val="left" w:pos="2835"/>
        </w:tabs>
      </w:pPr>
      <w:r>
        <w:tab/>
        <w:t>Además, el letrado sostuvo que la mi</w:t>
      </w:r>
      <w:r>
        <w:t>s</w:t>
      </w:r>
      <w:r>
        <w:t xml:space="preserve">ma mente macabra que fue capaz de colocar una bomba en la sede de </w:t>
      </w:r>
      <w:smartTag w:uri="urn:schemas-microsoft-com:office:smarttags" w:element="PersonName">
        <w:smartTagPr>
          <w:attr w:name="ProductID" w:val="la A.M"/>
        </w:smartTagPr>
        <w:r>
          <w:t>la A.M</w:t>
        </w:r>
      </w:smartTag>
      <w:r>
        <w:t>.I.A., era perfectamente capaz de incrustar el amortiguador en el cuerpo de Díaz mientras los cadáv</w:t>
      </w:r>
      <w:r>
        <w:t>e</w:t>
      </w:r>
      <w:r>
        <w:t>res ingresaban en la morgue.</w:t>
      </w:r>
    </w:p>
    <w:p w:rsidR="00224567" w:rsidRDefault="00224567">
      <w:pPr>
        <w:widowControl w:val="0"/>
        <w:tabs>
          <w:tab w:val="left" w:pos="2835"/>
        </w:tabs>
      </w:pPr>
      <w:r>
        <w:tab/>
        <w:t>Seguidamente, hizo referencia al per</w:t>
      </w:r>
      <w:r>
        <w:t>i</w:t>
      </w:r>
      <w:r>
        <w:t>taje obrante a fs. 58 del Informe Preliminar del Depart</w:t>
      </w:r>
      <w:r>
        <w:t>a</w:t>
      </w:r>
      <w:r>
        <w:t>mento de Bomberos, que concluyó que el amortiguador car</w:t>
      </w:r>
      <w:r>
        <w:t>e</w:t>
      </w:r>
      <w:r>
        <w:t>cía de restos de amonal u otro explosivo, circunstancia que no pudo ser explicada por los acusad</w:t>
      </w:r>
      <w:r>
        <w:t>o</w:t>
      </w:r>
      <w:r>
        <w:t>res.</w:t>
      </w:r>
    </w:p>
    <w:p w:rsidR="00224567" w:rsidRDefault="00224567">
      <w:pPr>
        <w:widowControl w:val="0"/>
        <w:tabs>
          <w:tab w:val="left" w:pos="2835"/>
        </w:tabs>
      </w:pPr>
      <w:r>
        <w:tab/>
        <w:t>Destacó que el cuerpo del portero D</w:t>
      </w:r>
      <w:r>
        <w:t>í</w:t>
      </w:r>
      <w:r>
        <w:t>az estuvo perdido d</w:t>
      </w:r>
      <w:r>
        <w:t>u</w:t>
      </w:r>
      <w:r>
        <w:t>rante más de siete horas, tal como surgió del testimonio de su mujer y del policía Castro, como ta</w:t>
      </w:r>
      <w:r>
        <w:t>m</w:t>
      </w:r>
      <w:r>
        <w:t>bién de otros elementos de prueba que fueron incorporados por lectura, fundamentalme</w:t>
      </w:r>
      <w:r>
        <w:t>n</w:t>
      </w:r>
      <w:r>
        <w:t>te de los anexos nº 1 y 6.</w:t>
      </w:r>
    </w:p>
    <w:p w:rsidR="00224567" w:rsidRDefault="00224567">
      <w:pPr>
        <w:widowControl w:val="0"/>
        <w:tabs>
          <w:tab w:val="left" w:pos="2835"/>
        </w:tabs>
      </w:pPr>
      <w:r>
        <w:tab/>
        <w:t>Subrayó que ningún vecino del edif</w:t>
      </w:r>
      <w:r>
        <w:t>i</w:t>
      </w:r>
      <w:r>
        <w:t>cio sito en la calle Pasteur 632 de esta ciudad vio al nombr</w:t>
      </w:r>
      <w:r>
        <w:t>a</w:t>
      </w:r>
      <w:r>
        <w:t>do sin vida instantes después de producida la explosión, considerando que alguien lo retiró del lugar y no lo tra</w:t>
      </w:r>
      <w:r>
        <w:t>s</w:t>
      </w:r>
      <w:r>
        <w:t xml:space="preserve">ladó a </w:t>
      </w:r>
      <w:smartTag w:uri="urn:schemas-microsoft-com:office:smarttags" w:element="PersonName">
        <w:smartTagPr>
          <w:attr w:name="ProductID" w:val="la Comisar￭a"/>
        </w:smartTagPr>
        <w:r>
          <w:t>la Comisaría</w:t>
        </w:r>
      </w:smartTag>
      <w:r>
        <w:t xml:space="preserve"> 5ª de </w:t>
      </w:r>
      <w:smartTag w:uri="urn:schemas-microsoft-com:office:smarttags" w:element="PersonName">
        <w:smartTagPr>
          <w:attr w:name="ProductID" w:val="la P.F"/>
        </w:smartTagPr>
        <w:r>
          <w:t>la P.F</w:t>
        </w:r>
      </w:smartTag>
      <w:r>
        <w:t>.A., donde fueron conduc</w:t>
      </w:r>
      <w:r>
        <w:t>i</w:t>
      </w:r>
      <w:r>
        <w:t>dos los cadáveres durante los primeros momentos posteri</w:t>
      </w:r>
      <w:r>
        <w:t>o</w:t>
      </w:r>
      <w:r>
        <w:t>res a la deton</w:t>
      </w:r>
      <w:r>
        <w:t>a</w:t>
      </w:r>
      <w:r>
        <w:t>ción.</w:t>
      </w:r>
    </w:p>
    <w:p w:rsidR="00224567" w:rsidRDefault="00224567">
      <w:pPr>
        <w:widowControl w:val="0"/>
        <w:tabs>
          <w:tab w:val="left" w:pos="2835"/>
        </w:tabs>
      </w:pPr>
      <w:r>
        <w:tab/>
        <w:t>En virtud de ello, estimó que era t</w:t>
      </w:r>
      <w:r>
        <w:t>o</w:t>
      </w:r>
      <w:r>
        <w:t xml:space="preserve">talmente equivocada y efectista la afirmación de </w:t>
      </w:r>
      <w:smartTag w:uri="urn:schemas-microsoft-com:office:smarttags" w:element="PersonName">
        <w:smartTagPr>
          <w:attr w:name="ProductID" w:val="La Dra. Nercellas"/>
        </w:smartTagPr>
        <w:r>
          <w:t>la Dra. Nercellas</w:t>
        </w:r>
      </w:smartTag>
      <w:r>
        <w:t>, en cuanto sostuvo que el cadáver de D</w:t>
      </w:r>
      <w:r>
        <w:t>í</w:t>
      </w:r>
      <w:r>
        <w:t>az había sido recogido a los cinco minutos de producida la expl</w:t>
      </w:r>
      <w:r>
        <w:t>o</w:t>
      </w:r>
      <w:r>
        <w:t>sión.</w:t>
      </w:r>
    </w:p>
    <w:p w:rsidR="00224567" w:rsidRDefault="00224567">
      <w:pPr>
        <w:widowControl w:val="0"/>
        <w:tabs>
          <w:tab w:val="left" w:pos="2835"/>
        </w:tabs>
      </w:pPr>
      <w:r>
        <w:tab/>
        <w:t>Por otra parte, el Dr. Carlevaro cue</w:t>
      </w:r>
      <w:r>
        <w:t>s</w:t>
      </w:r>
      <w:r>
        <w:t>tionó el argumento utilizado por el Sr. fiscal general p</w:t>
      </w:r>
      <w:r>
        <w:t>a</w:t>
      </w:r>
      <w:r>
        <w:t>ra justificar la falta de derrumbe de los balcones del edificio de Pasteur 632.</w:t>
      </w:r>
    </w:p>
    <w:p w:rsidR="00224567" w:rsidRDefault="00224567">
      <w:pPr>
        <w:widowControl w:val="0"/>
        <w:tabs>
          <w:tab w:val="left" w:pos="2835"/>
        </w:tabs>
      </w:pPr>
      <w:r>
        <w:tab/>
        <w:t>Al respecto, indicó que si bien el r</w:t>
      </w:r>
      <w:r>
        <w:t>e</w:t>
      </w:r>
      <w:r>
        <w:t>presentante del M</w:t>
      </w:r>
      <w:r>
        <w:t>i</w:t>
      </w:r>
      <w:r>
        <w:t xml:space="preserve">nisterio Público Fiscal se remitió a las explicaciones brindadas sobre el punto por los peritos de </w:t>
      </w:r>
      <w:smartTag w:uri="urn:schemas-microsoft-com:office:smarttags" w:element="PersonName">
        <w:smartTagPr>
          <w:attr w:name="ProductID" w:val="la Universidad Nacional"/>
        </w:smartTagPr>
        <w:r>
          <w:t>la Universidad Nacional</w:t>
        </w:r>
      </w:smartTag>
      <w:r>
        <w:t xml:space="preserve"> de Tucumán y por el ingeniero en estructuras Cardoni, ambas versiones eran diametralmente opuestas.</w:t>
      </w:r>
    </w:p>
    <w:p w:rsidR="00224567" w:rsidRDefault="00224567">
      <w:pPr>
        <w:widowControl w:val="0"/>
        <w:tabs>
          <w:tab w:val="left" w:pos="2835"/>
        </w:tabs>
      </w:pPr>
      <w:r>
        <w:tab/>
        <w:t>En este sentido, precisó que mientras los peritos de esa casa de altos estudios alegaron que la falta de derrumbe de los balcones era compatible con una carga de explosivos no dire</w:t>
      </w:r>
      <w:r>
        <w:t>c</w:t>
      </w:r>
      <w:r>
        <w:t>cionada, el ingeniero Cardoni sostuvo claramente que para evitar el colapso de los ba</w:t>
      </w:r>
      <w:r>
        <w:t>l</w:t>
      </w:r>
      <w:r>
        <w:t>cones la carga explosiva debió haber estado direccionda, no con bolsas de tierra, sino con un mat</w:t>
      </w:r>
      <w:r>
        <w:t>e</w:t>
      </w:r>
      <w:r>
        <w:t>rial más fuerte, como un cilindro de acero.</w:t>
      </w:r>
    </w:p>
    <w:p w:rsidR="00224567" w:rsidRDefault="00224567">
      <w:pPr>
        <w:widowControl w:val="0"/>
        <w:tabs>
          <w:tab w:val="left" w:pos="2835"/>
        </w:tabs>
      </w:pPr>
      <w:r>
        <w:tab/>
        <w:t>Acto seguido, el defensor consideró que la prueba producida durante el debate, sumada a la i</w:t>
      </w:r>
      <w:r>
        <w:t>n</w:t>
      </w:r>
      <w:r>
        <w:t xml:space="preserve">corporada por lectura, demostró que si el día 10 de julio una camioneta se hallaba estacionada frente al domicilio de Telleldín, esa era la armada en el taller de Nitzcaner, que nada tenía que ver con la que explotó frente a la sede de </w:t>
      </w:r>
      <w:smartTag w:uri="urn:schemas-microsoft-com:office:smarttags" w:element="PersonName">
        <w:smartTagPr>
          <w:attr w:name="ProductID" w:val="la A.M"/>
        </w:smartTagPr>
        <w:r>
          <w:t>la A.M</w:t>
        </w:r>
      </w:smartTag>
      <w:r>
        <w:t>.I.A.</w:t>
      </w:r>
    </w:p>
    <w:p w:rsidR="00224567" w:rsidRDefault="00224567">
      <w:pPr>
        <w:widowControl w:val="0"/>
        <w:tabs>
          <w:tab w:val="left" w:pos="2835"/>
        </w:tabs>
      </w:pPr>
      <w:r>
        <w:tab/>
        <w:t>Por ello, calificó de descabell</w:t>
      </w:r>
      <w:r>
        <w:t>a</w:t>
      </w:r>
      <w:r>
        <w:t>da la hipótesis sustentada por los acusadores, en cuanto a que en aquella camioneta se encontraba el motor de “Messin” y había sido retirada por los p</w:t>
      </w:r>
      <w:r>
        <w:t>o</w:t>
      </w:r>
      <w:r>
        <w:t>licías.</w:t>
      </w:r>
    </w:p>
    <w:p w:rsidR="00224567" w:rsidRDefault="00224567">
      <w:pPr>
        <w:widowControl w:val="0"/>
        <w:tabs>
          <w:tab w:val="left" w:pos="2835"/>
        </w:tabs>
      </w:pPr>
      <w:r>
        <w:tab/>
        <w:t>Precisó que el rastro del motor de “Messin” se perdió el día 4 de julio en el taller de Cot</w:t>
      </w:r>
      <w:r>
        <w:t>o</w:t>
      </w:r>
      <w:r>
        <w:t>ras, estimando que no había forma de vincular ese motor con Ibarra.</w:t>
      </w:r>
    </w:p>
    <w:p w:rsidR="00224567" w:rsidRDefault="00224567">
      <w:pPr>
        <w:widowControl w:val="0"/>
        <w:tabs>
          <w:tab w:val="left" w:pos="2835"/>
        </w:tabs>
      </w:pPr>
      <w:r>
        <w:tab/>
        <w:t>Luego, el Dr. Carlevaro aclaró que nunca esa parte tuvo por probado el armado de dos camion</w:t>
      </w:r>
      <w:r>
        <w:t>e</w:t>
      </w:r>
      <w:r>
        <w:t>tas, sino que ello se trató de una conjetura de los acus</w:t>
      </w:r>
      <w:r>
        <w:t>a</w:t>
      </w:r>
      <w:r>
        <w:t>dores que en modo alguno se hallaba acredit</w:t>
      </w:r>
      <w:r>
        <w:t>a</w:t>
      </w:r>
      <w:r>
        <w:t>da.</w:t>
      </w:r>
    </w:p>
    <w:p w:rsidR="00224567" w:rsidRDefault="00224567">
      <w:pPr>
        <w:widowControl w:val="0"/>
        <w:tabs>
          <w:tab w:val="left" w:pos="2835"/>
        </w:tabs>
      </w:pPr>
      <w:r>
        <w:tab/>
        <w:t>Afirmó que Telleldín nunca llevó el motor al taller de Nitzcaner; circunstancia que, según su entender, no implicaba la atribución de responsabilidad alguna.</w:t>
      </w:r>
    </w:p>
    <w:p w:rsidR="00224567" w:rsidRDefault="00224567">
      <w:pPr>
        <w:widowControl w:val="0"/>
        <w:tabs>
          <w:tab w:val="left" w:pos="2835"/>
        </w:tabs>
      </w:pPr>
      <w:r>
        <w:tab/>
        <w:t>En virtud de lo expuesto, el abogado concluyó que si el 10 de julio la camioneta que se enco</w:t>
      </w:r>
      <w:r>
        <w:t>n</w:t>
      </w:r>
      <w:r>
        <w:t>traba a la venta frente al domicilio de Telleldín no co</w:t>
      </w:r>
      <w:r>
        <w:t>n</w:t>
      </w:r>
      <w:r>
        <w:t>tenía el motor de “Messin”, quedaba definitivamente cla</w:t>
      </w:r>
      <w:r>
        <w:t>u</w:t>
      </w:r>
      <w:r>
        <w:t>surada la posibilidad de responsabilizar a Ibarra por el atentado. Ello, sin pe</w:t>
      </w:r>
      <w:r>
        <w:t>r</w:t>
      </w:r>
      <w:r>
        <w:t>juicio de sostener que su defendido no había retir</w:t>
      </w:r>
      <w:r>
        <w:t>a</w:t>
      </w:r>
      <w:r>
        <w:t>do aquel día camioneta alguna.</w:t>
      </w:r>
    </w:p>
    <w:p w:rsidR="00224567" w:rsidRDefault="00224567">
      <w:pPr>
        <w:widowControl w:val="0"/>
        <w:tabs>
          <w:tab w:val="left" w:pos="2835"/>
        </w:tabs>
      </w:pPr>
      <w:r>
        <w:tab/>
        <w:t>Posteriormente, el Dr. Carlevaro est</w:t>
      </w:r>
      <w:r>
        <w:t>i</w:t>
      </w:r>
      <w:r>
        <w:t xml:space="preserve">mó que la camioneta que explotó frente a la sede de </w:t>
      </w:r>
      <w:smartTag w:uri="urn:schemas-microsoft-com:office:smarttags" w:element="PersonName">
        <w:smartTagPr>
          <w:attr w:name="ProductID" w:val="la A.M"/>
        </w:smartTagPr>
        <w:r>
          <w:t>la A.M</w:t>
        </w:r>
      </w:smartTag>
      <w:r>
        <w:t>.I.A. tenía puerta lateral, en virtud del hallazgo de la pieza nº 114 y de la cajonera “U”, como también sobre la base de las conclusiones del informe obrante a fs. 111.816.</w:t>
      </w:r>
    </w:p>
    <w:p w:rsidR="00224567" w:rsidRDefault="00224567">
      <w:pPr>
        <w:widowControl w:val="0"/>
        <w:tabs>
          <w:tab w:val="left" w:pos="2835"/>
        </w:tabs>
      </w:pPr>
      <w:r>
        <w:tab/>
        <w:t>Recalcó que la falta de repintado de los restos de chapa hallados en las inmediaciones del l</w:t>
      </w:r>
      <w:r>
        <w:t>u</w:t>
      </w:r>
      <w:r>
        <w:t>gar, era otro argumento que excluía la “particip</w:t>
      </w:r>
      <w:r>
        <w:t>a</w:t>
      </w:r>
      <w:r>
        <w:t>ción” de la camioneta de Sarapura en el atent</w:t>
      </w:r>
      <w:r>
        <w:t>a</w:t>
      </w:r>
      <w:r>
        <w:t>do.</w:t>
      </w:r>
    </w:p>
    <w:p w:rsidR="00224567" w:rsidRDefault="00224567">
      <w:pPr>
        <w:widowControl w:val="0"/>
        <w:tabs>
          <w:tab w:val="left" w:pos="2835"/>
        </w:tabs>
      </w:pPr>
      <w:r>
        <w:tab/>
        <w:t>Si bien consideró posible que a</w:t>
      </w:r>
      <w:r>
        <w:t>l</w:t>
      </w:r>
      <w:r>
        <w:t>gunas de las piezas del vehículo de Sarapura o un sector de su chapa pudieran haber sido reemplazadas en lugar de repar</w:t>
      </w:r>
      <w:r>
        <w:t>a</w:t>
      </w:r>
      <w:r>
        <w:t>das, entendió que ello nunca se hubiera podido llevar a cabo con relación a todos los paneles afectados, destaca</w:t>
      </w:r>
      <w:r>
        <w:t>n</w:t>
      </w:r>
      <w:r>
        <w:t>do que en el taller de Nitzcaner se había repintado gran parte de la c</w:t>
      </w:r>
      <w:r>
        <w:t>a</w:t>
      </w:r>
      <w:r>
        <w:t>rrocería.</w:t>
      </w:r>
    </w:p>
    <w:p w:rsidR="00224567" w:rsidRDefault="00224567">
      <w:pPr>
        <w:widowControl w:val="0"/>
        <w:tabs>
          <w:tab w:val="left" w:pos="2835"/>
        </w:tabs>
      </w:pPr>
      <w:r>
        <w:tab/>
        <w:t>Además, adujo que la fecha de fabric</w:t>
      </w:r>
      <w:r>
        <w:t>a</w:t>
      </w:r>
      <w:r>
        <w:t>ción del vehículo de Sarapura no coincidía con la de los restos de chapa hallados en el lugar del atentado, rem</w:t>
      </w:r>
      <w:r>
        <w:t>i</w:t>
      </w:r>
      <w:r>
        <w:t>tiéndose a lo expuesto en su alegato sobre el pu</w:t>
      </w:r>
      <w:r>
        <w:t>n</w:t>
      </w:r>
      <w:r>
        <w:t>to, como ta</w:t>
      </w:r>
      <w:r>
        <w:t>m</w:t>
      </w:r>
      <w:r>
        <w:t>bién a la nota suscripta por Daniel Balián, empleado de la firma “C.I.A.D.E.A.”.</w:t>
      </w:r>
    </w:p>
    <w:p w:rsidR="00224567" w:rsidRDefault="00224567">
      <w:pPr>
        <w:widowControl w:val="0"/>
        <w:tabs>
          <w:tab w:val="left" w:pos="2835"/>
        </w:tabs>
      </w:pPr>
      <w:r>
        <w:tab/>
        <w:t>Luego, retomó la palabra el Dr. Ví</w:t>
      </w:r>
      <w:r>
        <w:t>c</w:t>
      </w:r>
      <w:r>
        <w:t>tor Enrique Valle, quien calificó de inapropiada la constante remisión que el Dr. Ávila efectuó al alegato del Dr. Dr</w:t>
      </w:r>
      <w:r>
        <w:t>o</w:t>
      </w:r>
      <w:r>
        <w:t>mi, preguntándose qué relación ello tenía con el ate</w:t>
      </w:r>
      <w:r>
        <w:t>n</w:t>
      </w:r>
      <w:r>
        <w:t xml:space="preserve">tado a la sede de </w:t>
      </w:r>
      <w:smartTag w:uri="urn:schemas-microsoft-com:office:smarttags" w:element="PersonName">
        <w:smartTagPr>
          <w:attr w:name="ProductID" w:val="la A.M"/>
        </w:smartTagPr>
        <w:r>
          <w:t>la A.M</w:t>
        </w:r>
      </w:smartTag>
      <w:r>
        <w:t>.I.A., que era el único hecho por el cual la querella est</w:t>
      </w:r>
      <w:r>
        <w:t>a</w:t>
      </w:r>
      <w:r>
        <w:t>ba legitimada para acusar.</w:t>
      </w:r>
    </w:p>
    <w:p w:rsidR="00224567" w:rsidRDefault="00224567">
      <w:pPr>
        <w:widowControl w:val="0"/>
        <w:tabs>
          <w:tab w:val="left" w:pos="2835"/>
        </w:tabs>
      </w:pPr>
      <w:r>
        <w:tab/>
        <w:t>Sostuvo que el 5 de julio de 1996, T</w:t>
      </w:r>
      <w:r>
        <w:t>e</w:t>
      </w:r>
      <w:r>
        <w:t>lleldín junto con Barbaccia, el juez Galeano y Stinfale, firmó una declaración que provocó que su asistido Ibarra tuviera que soportar una prisión preventiva por más de ocho años.</w:t>
      </w:r>
    </w:p>
    <w:p w:rsidR="00224567" w:rsidRDefault="00224567">
      <w:pPr>
        <w:widowControl w:val="0"/>
        <w:tabs>
          <w:tab w:val="left" w:pos="2835"/>
        </w:tabs>
      </w:pPr>
      <w:r>
        <w:tab/>
        <w:t>Por otra parte, el Dr. Valle reprobó lo resuelto por la cámara del fuero que, al confirmar el procesamiento de Telleldín, consideró que la omisión del nombrado de borrar el número de motor estuvo end</w:t>
      </w:r>
      <w:r>
        <w:t>e</w:t>
      </w:r>
      <w:r>
        <w:t>rezada a construir una coartada basada en la enajenación del vehículo estimando, irónicamente, que dicho argumento h</w:t>
      </w:r>
      <w:r>
        <w:t>a</w:t>
      </w:r>
      <w:r>
        <w:t>bía sido superado por el Dr. Ávila, en cuanto sostuvo que el número de motor no fue eliminado ante un posible co</w:t>
      </w:r>
      <w:r>
        <w:t>n</w:t>
      </w:r>
      <w:r>
        <w:t>trol pol</w:t>
      </w:r>
      <w:r>
        <w:t>i</w:t>
      </w:r>
      <w:r>
        <w:t>cial.</w:t>
      </w:r>
    </w:p>
    <w:p w:rsidR="00224567" w:rsidRDefault="00224567">
      <w:pPr>
        <w:widowControl w:val="0"/>
        <w:tabs>
          <w:tab w:val="left" w:pos="2835"/>
        </w:tabs>
      </w:pPr>
      <w:r>
        <w:tab/>
        <w:t>Al respecto, el defensor calificó c</w:t>
      </w:r>
      <w:r>
        <w:t>o</w:t>
      </w:r>
      <w:r>
        <w:t>mo engañoso y aparente el argumento brindado por el represe</w:t>
      </w:r>
      <w:r>
        <w:t>n</w:t>
      </w:r>
      <w:r>
        <w:t>tante de la querella, preguntándose cómo iba a circular el vehículo sin su cédula verde, la cual se había quem</w:t>
      </w:r>
      <w:r>
        <w:t>a</w:t>
      </w:r>
      <w:r>
        <w:t>do.</w:t>
      </w:r>
    </w:p>
    <w:p w:rsidR="00224567" w:rsidRDefault="00224567">
      <w:pPr>
        <w:widowControl w:val="0"/>
        <w:tabs>
          <w:tab w:val="left" w:pos="2835"/>
        </w:tabs>
      </w:pPr>
      <w:r>
        <w:tab/>
        <w:t>Seguidamente, cuestionó lo manifest</w:t>
      </w:r>
      <w:r>
        <w:t>a</w:t>
      </w:r>
      <w:r>
        <w:t xml:space="preserve">do por el Dr. Ávila con relación al plano aportado por </w:t>
      </w:r>
      <w:smartTag w:uri="urn:schemas-microsoft-com:office:smarttags" w:element="PersonName">
        <w:smartTagPr>
          <w:attr w:name="ProductID" w:val="la Dra. Riva"/>
        </w:smartTagPr>
        <w:r>
          <w:t>la Dra. Riva</w:t>
        </w:r>
      </w:smartTag>
      <w:r>
        <w:t xml:space="preserve"> Aramayo, remarcando que el peritaje ord</w:t>
      </w:r>
      <w:r>
        <w:t>e</w:t>
      </w:r>
      <w:r>
        <w:t>nado por el tribunal concluyó que las grafías insertas en aquel d</w:t>
      </w:r>
      <w:r>
        <w:t>o</w:t>
      </w:r>
      <w:r>
        <w:t>cumento no pertenecían al imputado Telle</w:t>
      </w:r>
      <w:r>
        <w:t>l</w:t>
      </w:r>
      <w:r>
        <w:t>dín.</w:t>
      </w:r>
    </w:p>
    <w:p w:rsidR="00224567" w:rsidRDefault="00224567">
      <w:pPr>
        <w:widowControl w:val="0"/>
        <w:tabs>
          <w:tab w:val="left" w:pos="2835"/>
        </w:tabs>
      </w:pPr>
      <w:r>
        <w:tab/>
        <w:t>Asimismo, le llamó la atención que luego de diez años, el Dr. Ávila descubriera que la clave de lo ocurrido, que se encontraba asentado en la primera declaración de Telleldín, había consistido en no haber h</w:t>
      </w:r>
      <w:r>
        <w:t>e</w:t>
      </w:r>
      <w:r>
        <w:t xml:space="preserve">cho mención a la extorsión sufrida en </w:t>
      </w:r>
      <w:smartTag w:uri="urn:schemas-microsoft-com:office:smarttags" w:element="PersonName">
        <w:smartTagPr>
          <w:attr w:name="ProductID" w:val="la Brigada"/>
        </w:smartTagPr>
        <w:r>
          <w:t>la Brigada</w:t>
        </w:r>
      </w:smartTag>
      <w:r>
        <w:t xml:space="preserve"> de Lanús, cuando en su momento nada pudo descubrir el juez instru</w:t>
      </w:r>
      <w:r>
        <w:t>c</w:t>
      </w:r>
      <w:r>
        <w:t>tor.</w:t>
      </w:r>
    </w:p>
    <w:p w:rsidR="00224567" w:rsidRDefault="00224567">
      <w:pPr>
        <w:widowControl w:val="0"/>
        <w:tabs>
          <w:tab w:val="left" w:pos="2835"/>
        </w:tabs>
      </w:pPr>
      <w:r>
        <w:tab/>
        <w:t xml:space="preserve">Posteriormente, el Dr. Valle analizó la réplica de </w:t>
      </w:r>
      <w:smartTag w:uri="urn:schemas-microsoft-com:office:smarttags" w:element="PersonName">
        <w:smartTagPr>
          <w:attr w:name="ProductID" w:val="La Dra. Nercellas"/>
        </w:smartTagPr>
        <w:r>
          <w:t>la Dra. Nercellas</w:t>
        </w:r>
      </w:smartTag>
      <w:r>
        <w:t>, considerando que la no</w:t>
      </w:r>
      <w:r>
        <w:t>m</w:t>
      </w:r>
      <w:r>
        <w:t>brada incurrió en el mismo artificio que el Dr. Áv</w:t>
      </w:r>
      <w:r>
        <w:t>i</w:t>
      </w:r>
      <w:r>
        <w:t>la, al utilizar la prueba vinculada a los llamados delitos con</w:t>
      </w:r>
      <w:r>
        <w:t>e</w:t>
      </w:r>
      <w:r>
        <w:t xml:space="preserve">xos para acreditar la responsabilidad de los policías en el atentado a la sede de </w:t>
      </w:r>
      <w:smartTag w:uri="urn:schemas-microsoft-com:office:smarttags" w:element="PersonName">
        <w:smartTagPr>
          <w:attr w:name="ProductID" w:val="la A.M"/>
        </w:smartTagPr>
        <w:r>
          <w:t>la A.M</w:t>
        </w:r>
      </w:smartTag>
      <w:r>
        <w:t>.I.A.</w:t>
      </w:r>
    </w:p>
    <w:p w:rsidR="00224567" w:rsidRDefault="00224567">
      <w:pPr>
        <w:widowControl w:val="0"/>
        <w:tabs>
          <w:tab w:val="left" w:pos="2835"/>
        </w:tabs>
      </w:pPr>
      <w:r>
        <w:tab/>
        <w:t>Aclaró que nunca peticionó la n</w:t>
      </w:r>
      <w:r>
        <w:t>u</w:t>
      </w:r>
      <w:r>
        <w:t xml:space="preserve">lidad de los peritajes realizados por los ingenieros de </w:t>
      </w:r>
      <w:smartTag w:uri="urn:schemas-microsoft-com:office:smarttags" w:element="PersonName">
        <w:smartTagPr>
          <w:attr w:name="ProductID" w:val="la Universidad Nacional"/>
        </w:smartTagPr>
        <w:r>
          <w:t>la Un</w:t>
        </w:r>
        <w:r>
          <w:t>i</w:t>
        </w:r>
        <w:r>
          <w:t>versidad Nacional</w:t>
        </w:r>
      </w:smartTag>
      <w:r>
        <w:t xml:space="preserve"> de Tucumán y del Ejército Argentino, sino que en su alegato resaltó que dichos informes se e</w:t>
      </w:r>
      <w:r>
        <w:t>x</w:t>
      </w:r>
      <w:r>
        <w:t>pidieron sobre puntos que no habían sido requeridos por el tribunal.</w:t>
      </w:r>
    </w:p>
    <w:p w:rsidR="00224567" w:rsidRDefault="00224567">
      <w:pPr>
        <w:widowControl w:val="0"/>
        <w:tabs>
          <w:tab w:val="left" w:pos="2835"/>
        </w:tabs>
      </w:pPr>
      <w:r>
        <w:tab/>
        <w:t>Luego, cuestionó que al replicar, el Sr. fiscal general entendiera que la nulidad de la decl</w:t>
      </w:r>
      <w:r>
        <w:t>a</w:t>
      </w:r>
      <w:r>
        <w:t>ración indagatoria de Telleldín, pre</w:t>
      </w:r>
      <w:r>
        <w:t>s</w:t>
      </w:r>
      <w:r>
        <w:t>tada el 5 de julio de 1996, no debía alcanzar a los párrafos relacionados con los hechos del 15 de marzo y 4 de abril, por cuanto habían sido ratificados por el i</w:t>
      </w:r>
      <w:r>
        <w:t>m</w:t>
      </w:r>
      <w:r>
        <w:t>putado, cuando siempre se había pronunciado por la nulidad t</w:t>
      </w:r>
      <w:r>
        <w:t>o</w:t>
      </w:r>
      <w:r>
        <w:t>tal de dicha pieza procesal, sin advertir que tal sanción afecta la validez de los a</w:t>
      </w:r>
      <w:r>
        <w:t>c</w:t>
      </w:r>
      <w:r>
        <w:t>tos co</w:t>
      </w:r>
      <w:r>
        <w:t>n</w:t>
      </w:r>
      <w:r>
        <w:t>secutivos.</w:t>
      </w:r>
    </w:p>
    <w:p w:rsidR="00224567" w:rsidRDefault="00224567">
      <w:pPr>
        <w:widowControl w:val="0"/>
        <w:tabs>
          <w:tab w:val="left" w:pos="2835"/>
        </w:tabs>
      </w:pPr>
      <w:r>
        <w:tab/>
        <w:t>Del mismo modo, reprobó que el Sr. fiscal general pretendiera en su alegato introducir los falsos dichos de Cotoras a través de testigos de oídas, como lo fueron Salinas y Scillone.</w:t>
      </w:r>
    </w:p>
    <w:p w:rsidR="00224567" w:rsidRDefault="00224567">
      <w:pPr>
        <w:widowControl w:val="0"/>
        <w:tabs>
          <w:tab w:val="left" w:pos="2835"/>
        </w:tabs>
      </w:pPr>
      <w:r>
        <w:tab/>
        <w:t>El defensor subrayó que en su alegato se ocupó de descalificar las declaraciones de los antes citados, indicando también que la relación afectiva pr</w:t>
      </w:r>
      <w:r>
        <w:t>e</w:t>
      </w:r>
      <w:r>
        <w:t>existente entre Ana Boragni y Cotoras, como el int</w:t>
      </w:r>
      <w:r>
        <w:t>e</w:t>
      </w:r>
      <w:r>
        <w:t>rés de este último en que se inco</w:t>
      </w:r>
      <w:r>
        <w:t>r</w:t>
      </w:r>
      <w:r>
        <w:t>poraran sus dichos al debate a través de una vía oblicua, debían tenerse en cuenta para apreciar la veracidad de su testim</w:t>
      </w:r>
      <w:r>
        <w:t>o</w:t>
      </w:r>
      <w:r>
        <w:t>nio.</w:t>
      </w:r>
    </w:p>
    <w:p w:rsidR="00224567" w:rsidRDefault="00224567">
      <w:pPr>
        <w:widowControl w:val="0"/>
        <w:tabs>
          <w:tab w:val="left" w:pos="2835"/>
        </w:tabs>
      </w:pPr>
      <w:r>
        <w:tab/>
        <w:t>Con relación a los dichos de Scill</w:t>
      </w:r>
      <w:r>
        <w:t>o</w:t>
      </w:r>
      <w:r>
        <w:t>ne, el Dr. Valle remarcó que la nombrada afirmó durante el d</w:t>
      </w:r>
      <w:r>
        <w:t>e</w:t>
      </w:r>
      <w:r>
        <w:t>bate haber visto en la puerta de su casa la carrocería quemada de una Trafic y que Guillermo Cotoras le comentó que se la había entregado Telleldín para que le sacara el motor; declaración que resultaba contradictoria con la prestada ante el juez Galeano, en donde la testigo sostuvo que en ninguna de las visitas que le efectuó a su conc</w:t>
      </w:r>
      <w:r>
        <w:t>u</w:t>
      </w:r>
      <w:r>
        <w:t>bino pudo observar la presencia de una Trafic y que Cot</w:t>
      </w:r>
      <w:r>
        <w:t>o</w:t>
      </w:r>
      <w:r>
        <w:t>ras nada le comentó acerca del arreglo de un vehículo de esas características.</w:t>
      </w:r>
    </w:p>
    <w:p w:rsidR="00224567" w:rsidRDefault="00224567">
      <w:pPr>
        <w:widowControl w:val="0"/>
        <w:tabs>
          <w:tab w:val="left" w:pos="2835"/>
        </w:tabs>
      </w:pPr>
      <w:r>
        <w:tab/>
        <w:t xml:space="preserve">Si bien Scillone explicó en el juicio que ante el Dr. Galeano omitió hablar acerca de </w:t>
      </w:r>
      <w:smartTag w:uri="urn:schemas-microsoft-com:office:smarttags" w:element="PersonName">
        <w:smartTagPr>
          <w:attr w:name="ProductID" w:val="la Trafic"/>
        </w:smartTagPr>
        <w:r>
          <w:t>la Tr</w:t>
        </w:r>
        <w:r>
          <w:t>a</w:t>
        </w:r>
        <w:r>
          <w:t>fic</w:t>
        </w:r>
      </w:smartTag>
      <w:r>
        <w:t xml:space="preserve"> quemada por un pedido expreso de Cotoras, el Dr. Valle e</w:t>
      </w:r>
      <w:r>
        <w:t>s</w:t>
      </w:r>
      <w:r>
        <w:t>timó que la nombrada le había mentido al juez instructor, o bien, que había sido reticente. No ob</w:t>
      </w:r>
      <w:r>
        <w:t>s</w:t>
      </w:r>
      <w:r>
        <w:t>tante, aclaró que ello no implicaba que la testigo había incurrido en el d</w:t>
      </w:r>
      <w:r>
        <w:t>e</w:t>
      </w:r>
      <w:r>
        <w:t>lito de falso testimonio, por cuanto podía haber obrado bajo coacción, o invocar el art. 242 del C.P.P.N. por t</w:t>
      </w:r>
      <w:r>
        <w:t>e</w:t>
      </w:r>
      <w:r>
        <w:t>ner dos hijos con Cotoras.</w:t>
      </w:r>
    </w:p>
    <w:p w:rsidR="00224567" w:rsidRDefault="00224567">
      <w:pPr>
        <w:widowControl w:val="0"/>
        <w:tabs>
          <w:tab w:val="left" w:pos="2835"/>
        </w:tabs>
      </w:pPr>
      <w:r>
        <w:tab/>
        <w:t>Sin embargo, el defensor objetó que los representantes del Ministerio Público Fiscal, que d</w:t>
      </w:r>
      <w:r>
        <w:t>e</w:t>
      </w:r>
      <w:r>
        <w:t xml:space="preserve">berían haber denunciado a la nombrada, la utilizaran como testigo de cargo para probar el hecho del 10 de julio, cuando Scillone no había aportado precisión alguna sobre aquel incidente, al cual nunca relacionó con </w:t>
      </w:r>
      <w:smartTag w:uri="urn:schemas-microsoft-com:office:smarttags" w:element="PersonName">
        <w:smartTagPr>
          <w:attr w:name="ProductID" w:val="la Trafic."/>
        </w:smartTagPr>
        <w:r>
          <w:t>la Trafic.</w:t>
        </w:r>
      </w:smartTag>
    </w:p>
    <w:p w:rsidR="00224567" w:rsidRDefault="00224567">
      <w:pPr>
        <w:widowControl w:val="0"/>
        <w:tabs>
          <w:tab w:val="left" w:pos="2835"/>
        </w:tabs>
      </w:pPr>
      <w:r>
        <w:tab/>
        <w:t>En cuanto al testimonio de Sal</w:t>
      </w:r>
      <w:r>
        <w:t>i</w:t>
      </w:r>
      <w:r>
        <w:t>nas, el Dr. Valle indicó que durante el juicio la nombrada sostuvo que Cotoras no le había hecho comentario alguno con rel</w:t>
      </w:r>
      <w:r>
        <w:t>a</w:t>
      </w:r>
      <w:r>
        <w:t>ción a la venta de la cami</w:t>
      </w:r>
      <w:r>
        <w:t>o</w:t>
      </w:r>
      <w:r>
        <w:t>neta.</w:t>
      </w:r>
    </w:p>
    <w:p w:rsidR="00224567" w:rsidRDefault="00224567">
      <w:pPr>
        <w:widowControl w:val="0"/>
        <w:tabs>
          <w:tab w:val="left" w:pos="2835"/>
        </w:tabs>
      </w:pPr>
      <w:r>
        <w:tab/>
        <w:t>Seguidamente, el Dr. Patricio Giard</w:t>
      </w:r>
      <w:r>
        <w:t>e</w:t>
      </w:r>
      <w:r>
        <w:t>lli prosiguió haciendo uso del derecho a dúplica de la d</w:t>
      </w:r>
      <w:r>
        <w:t>e</w:t>
      </w:r>
      <w:r>
        <w:t>fensa.</w:t>
      </w:r>
    </w:p>
    <w:p w:rsidR="00224567" w:rsidRDefault="00224567">
      <w:pPr>
        <w:widowControl w:val="0"/>
        <w:tabs>
          <w:tab w:val="left" w:pos="2835"/>
        </w:tabs>
      </w:pPr>
      <w:r>
        <w:tab/>
        <w:t>En primer lugar, cuestionó que el Sr. fiscal general le reprochara a la defensa el haberse lim</w:t>
      </w:r>
      <w:r>
        <w:t>i</w:t>
      </w:r>
      <w:r>
        <w:t>tado a descalificar a los testigos de cargo, no por lo que vieron o afirmaron en el juicio, sino por el m</w:t>
      </w:r>
      <w:r>
        <w:t>a</w:t>
      </w:r>
      <w:r>
        <w:t>yor o menor agrado que le habían causado.</w:t>
      </w:r>
    </w:p>
    <w:p w:rsidR="00224567" w:rsidRDefault="00224567">
      <w:pPr>
        <w:widowControl w:val="0"/>
        <w:tabs>
          <w:tab w:val="left" w:pos="2835"/>
        </w:tabs>
      </w:pPr>
      <w:r>
        <w:tab/>
        <w:t>Al respecto, el Dr. Giardelli r</w:t>
      </w:r>
      <w:r>
        <w:t>e</w:t>
      </w:r>
      <w:r>
        <w:t>calcó que, en su alegato, la defensa efectuó un po</w:t>
      </w:r>
      <w:r>
        <w:t>r</w:t>
      </w:r>
      <w:r>
        <w:t>menorizado y hasta por momentos tedioso análisis intrínseco de c</w:t>
      </w:r>
      <w:r>
        <w:t>a</w:t>
      </w:r>
      <w:r>
        <w:t>da uno de los testimonios de cargo relacionados con los hechos enrostrados a Ibarra.</w:t>
      </w:r>
    </w:p>
    <w:p w:rsidR="00224567" w:rsidRDefault="00224567">
      <w:pPr>
        <w:widowControl w:val="0"/>
        <w:tabs>
          <w:tab w:val="left" w:pos="2835"/>
        </w:tabs>
      </w:pPr>
      <w:r>
        <w:tab/>
        <w:t>Además, sostuvo que el Sr. fiscal g</w:t>
      </w:r>
      <w:r>
        <w:t>e</w:t>
      </w:r>
      <w:r>
        <w:t>neral incurrió en un error conceptual al confundir la c</w:t>
      </w:r>
      <w:r>
        <w:t>a</w:t>
      </w:r>
      <w:r>
        <w:t>lidad de testigo inhábil, que la defensa nunca invocó con relación a los testigos que declararon en el juicio, con el concepto de testigo sospechoso, categoría que, efect</w:t>
      </w:r>
      <w:r>
        <w:t>i</w:t>
      </w:r>
      <w:r>
        <w:t>vamente, la defensa sí utilizó.</w:t>
      </w:r>
    </w:p>
    <w:p w:rsidR="00224567" w:rsidRDefault="00224567">
      <w:pPr>
        <w:widowControl w:val="0"/>
        <w:tabs>
          <w:tab w:val="left" w:pos="2835"/>
        </w:tabs>
      </w:pPr>
      <w:r>
        <w:tab/>
        <w:t>En este orden de ideas, el abogado discrepó con lo manifestado por el Dr. Nisman quien, al analizar los testimonios de Solari, Ambrosi y Buján, e</w:t>
      </w:r>
      <w:r>
        <w:t>n</w:t>
      </w:r>
      <w:r>
        <w:t>tendió que el hecho de que se tratara de personas con a</w:t>
      </w:r>
      <w:r>
        <w:t>n</w:t>
      </w:r>
      <w:r>
        <w:t>tecedentes penales no convertía a sus dichos en más o m</w:t>
      </w:r>
      <w:r>
        <w:t>e</w:t>
      </w:r>
      <w:r>
        <w:t>nos creíbles.</w:t>
      </w:r>
    </w:p>
    <w:p w:rsidR="00224567" w:rsidRDefault="00224567">
      <w:pPr>
        <w:widowControl w:val="0"/>
        <w:tabs>
          <w:tab w:val="left" w:pos="2835"/>
        </w:tabs>
      </w:pPr>
      <w:r>
        <w:tab/>
        <w:t>El Dr. Giardelli precisó que el crit</w:t>
      </w:r>
      <w:r>
        <w:t>e</w:t>
      </w:r>
      <w:r>
        <w:t>rio expuesto por el representante del Ministerio Público Fiscal ponía en riesgo las garantías fundamentales del imputado en un proceso penal, tal como lo demostraba gran parte de la doctrina.</w:t>
      </w:r>
    </w:p>
    <w:p w:rsidR="00224567" w:rsidRDefault="00224567">
      <w:pPr>
        <w:widowControl w:val="0"/>
        <w:tabs>
          <w:tab w:val="left" w:pos="2835"/>
        </w:tabs>
      </w:pPr>
      <w:r>
        <w:tab/>
        <w:t>En este punto, citó las obras de Nic</w:t>
      </w:r>
      <w:r>
        <w:t>o</w:t>
      </w:r>
      <w:r>
        <w:t>lás Flamarino “Lógica de las Pruebas en Materia Crim</w:t>
      </w:r>
      <w:r>
        <w:t>i</w:t>
      </w:r>
      <w:r>
        <w:t>nal”, de Eugenio Florián “De las Pruebas Penales” y de Mitte</w:t>
      </w:r>
      <w:r>
        <w:t>r</w:t>
      </w:r>
      <w:r>
        <w:t xml:space="preserve">maier “Tratado de </w:t>
      </w:r>
      <w:smartTag w:uri="urn:schemas-microsoft-com:office:smarttags" w:element="PersonName">
        <w:smartTagPr>
          <w:attr w:name="ProductID" w:val="La Prueba"/>
        </w:smartTagPr>
        <w:r>
          <w:t>la Prueba</w:t>
        </w:r>
      </w:smartTag>
      <w:r>
        <w:t xml:space="preserve"> en Materia Criminal”, y el a</w:t>
      </w:r>
      <w:r>
        <w:t>r</w:t>
      </w:r>
      <w:r>
        <w:t>tículo de Hugo Rocha Degreef “El Testigo y el Test</w:t>
      </w:r>
      <w:r>
        <w:t>i</w:t>
      </w:r>
      <w:r>
        <w:t xml:space="preserve">monio”, publicado en el nº 19 de </w:t>
      </w:r>
      <w:smartTag w:uri="urn:schemas-microsoft-com:office:smarttags" w:element="PersonName">
        <w:smartTagPr>
          <w:attr w:name="ProductID" w:val="la Revista"/>
        </w:smartTagPr>
        <w:r>
          <w:t>la Revista</w:t>
        </w:r>
      </w:smartTag>
      <w:r>
        <w:t xml:space="preserve"> de </w:t>
      </w:r>
      <w:smartTag w:uri="urn:schemas-microsoft-com:office:smarttags" w:element="PersonName">
        <w:smartTagPr>
          <w:attr w:name="ProductID" w:val="la Asociaci￳n"/>
        </w:smartTagPr>
        <w:r>
          <w:t>la Asociación</w:t>
        </w:r>
      </w:smartTag>
      <w:r>
        <w:t xml:space="preserve"> de Magistrados y Funcionarios de </w:t>
      </w:r>
      <w:smartTag w:uri="urn:schemas-microsoft-com:office:smarttags" w:element="PersonName">
        <w:smartTagPr>
          <w:attr w:name="ProductID" w:val="la Justicia Nacional"/>
        </w:smartTagPr>
        <w:r>
          <w:t>la Justicia Nacional</w:t>
        </w:r>
      </w:smartTag>
      <w:r>
        <w:t>, qui</w:t>
      </w:r>
      <w:r>
        <w:t>e</w:t>
      </w:r>
      <w:r>
        <w:t>nes entienden que es la personalidad moral del testigo la que imprime significado a su testimonio y que sus antec</w:t>
      </w:r>
      <w:r>
        <w:t>e</w:t>
      </w:r>
      <w:r>
        <w:t>dentes condenatorios constituyen un motivo fundado que puede afectar su credibilidad, de modo que se trata de testigos sospechosos; postura que, según sostuvo el letr</w:t>
      </w:r>
      <w:r>
        <w:t>a</w:t>
      </w:r>
      <w:r>
        <w:t>do, tuvo en cuenta el tribunal en la causa “Paszkowski, Andrés Pablo”, rta. el 24 de abril de 1998.</w:t>
      </w:r>
    </w:p>
    <w:p w:rsidR="00224567" w:rsidRDefault="00224567">
      <w:pPr>
        <w:widowControl w:val="0"/>
        <w:tabs>
          <w:tab w:val="left" w:pos="2835"/>
        </w:tabs>
      </w:pPr>
      <w:r>
        <w:tab/>
        <w:t>Asimismo, el Dr. Giardelli hizo me</w:t>
      </w:r>
      <w:r>
        <w:t>n</w:t>
      </w:r>
      <w:r>
        <w:t>ción a lo normado en el inc. 2º, del art. 276 del Código de Procedimientos en Materia Penal, que pre</w:t>
      </w:r>
      <w:r>
        <w:t>s</w:t>
      </w:r>
      <w:r>
        <w:t>cribía que no podían ser testigos, sino para simples indicaciones y al sólo objeto de indagación sumaria, los procesados o pers</w:t>
      </w:r>
      <w:r>
        <w:t>e</w:t>
      </w:r>
      <w:r>
        <w:t>guidos por razón de algún delito y los condenados a una pena corporal, durante el tiempo de la condena, destaca</w:t>
      </w:r>
      <w:r>
        <w:t>n</w:t>
      </w:r>
      <w:r>
        <w:t>do, de acuerdo a lo manifestado por Clariá Olmedo en su obra “Derecho Procesal Penal”, que si bien para los cód</w:t>
      </w:r>
      <w:r>
        <w:t>i</w:t>
      </w:r>
      <w:r>
        <w:t>gos mode</w:t>
      </w:r>
      <w:r>
        <w:t>r</w:t>
      </w:r>
      <w:r>
        <w:t>nos toda persona es capaz de atestiguar, existen i</w:t>
      </w:r>
      <w:r>
        <w:t>m</w:t>
      </w:r>
      <w:r>
        <w:t>pedimentos de carácter físico o moral que influyen en la valoración del testimonio conforme a las r</w:t>
      </w:r>
      <w:r>
        <w:t>e</w:t>
      </w:r>
      <w:r>
        <w:t>glas de la sana crítica.</w:t>
      </w:r>
    </w:p>
    <w:p w:rsidR="00224567" w:rsidRDefault="00224567">
      <w:pPr>
        <w:widowControl w:val="0"/>
        <w:tabs>
          <w:tab w:val="left" w:pos="2835"/>
        </w:tabs>
      </w:pPr>
      <w:r>
        <w:tab/>
        <w:t>Del mismo modo, citó a Cafferata N</w:t>
      </w:r>
      <w:r>
        <w:t>o</w:t>
      </w:r>
      <w:r>
        <w:t>res quien en su trabajo titulado “La prueba en el Proceso P</w:t>
      </w:r>
      <w:r>
        <w:t>e</w:t>
      </w:r>
      <w:r>
        <w:t>nal” aclara que la amplitud de criterio con r</w:t>
      </w:r>
      <w:r>
        <w:t>e</w:t>
      </w:r>
      <w:r>
        <w:t>lación a la capacidad de testificar se encuentra justificada en ate</w:t>
      </w:r>
      <w:r>
        <w:t>n</w:t>
      </w:r>
      <w:r>
        <w:t>ción a la facultad del juez para valorar el testimonio de acuerdo a las reglas de la sana crít</w:t>
      </w:r>
      <w:r>
        <w:t>i</w:t>
      </w:r>
      <w:r>
        <w:t>ca.</w:t>
      </w:r>
    </w:p>
    <w:p w:rsidR="00224567" w:rsidRDefault="00224567">
      <w:pPr>
        <w:widowControl w:val="0"/>
        <w:tabs>
          <w:tab w:val="left" w:pos="2835"/>
        </w:tabs>
      </w:pPr>
      <w:r>
        <w:tab/>
        <w:t>En virtud de lo expuesto, el abogado concluyó que si bien nuestro actual código de forma no r</w:t>
      </w:r>
      <w:r>
        <w:t>e</w:t>
      </w:r>
      <w:r>
        <w:t>gula de manera expresa las inhabilidades de los te</w:t>
      </w:r>
      <w:r>
        <w:t>s</w:t>
      </w:r>
      <w:r>
        <w:t>tigos, no establece que a todos ellos debe otorgarse el mismo crédito, con independencia de sus cualidades pe</w:t>
      </w:r>
      <w:r>
        <w:t>r</w:t>
      </w:r>
      <w:r>
        <w:t>sonales y los antecedentes que registren, citando al respecto lo normado por los arts. 241 y 249, 2º párr</w:t>
      </w:r>
      <w:r>
        <w:t>a</w:t>
      </w:r>
      <w:r>
        <w:t>fo, del C.P.P.N.</w:t>
      </w:r>
    </w:p>
    <w:p w:rsidR="00224567" w:rsidRDefault="00224567">
      <w:pPr>
        <w:widowControl w:val="0"/>
        <w:tabs>
          <w:tab w:val="left" w:pos="2835"/>
        </w:tabs>
      </w:pPr>
      <w:r>
        <w:tab/>
        <w:t>Por ello, sostuvo que los testigos B</w:t>
      </w:r>
      <w:r>
        <w:t>u</w:t>
      </w:r>
      <w:r>
        <w:t>ján y Ambrosi se pronunciaron con falsedad sobre disti</w:t>
      </w:r>
      <w:r>
        <w:t>n</w:t>
      </w:r>
      <w:r>
        <w:t>tas cuestiones, entendiendo que para los nombrados resultaba imperativo negar en sede judicial la existencia de cua</w:t>
      </w:r>
      <w:r>
        <w:t>l</w:t>
      </w:r>
      <w:r>
        <w:t>quier manifestación al imputado Huici; lo contrario impl</w:t>
      </w:r>
      <w:r>
        <w:t>i</w:t>
      </w:r>
      <w:r>
        <w:t>caba, en forma indirecta, reconocer su autoría en homic</w:t>
      </w:r>
      <w:r>
        <w:t>i</w:t>
      </w:r>
      <w:r>
        <w:t>dio del policía Muñoz.</w:t>
      </w:r>
    </w:p>
    <w:p w:rsidR="00224567" w:rsidRDefault="00224567">
      <w:pPr>
        <w:widowControl w:val="0"/>
        <w:tabs>
          <w:tab w:val="left" w:pos="2835"/>
        </w:tabs>
      </w:pPr>
      <w:r>
        <w:tab/>
        <w:t>Por otra parte, el Dr. Giardelli est</w:t>
      </w:r>
      <w:r>
        <w:t>i</w:t>
      </w:r>
      <w:r>
        <w:t>mó que los principios antes enunciados debían aplicarse también a las declaraciones vertidas por testigos del e</w:t>
      </w:r>
      <w:r>
        <w:t>n</w:t>
      </w:r>
      <w:r>
        <w:t>torno de Telleldín, por cuanto la habitual comisión de d</w:t>
      </w:r>
      <w:r>
        <w:t>e</w:t>
      </w:r>
      <w:r>
        <w:t>litos de su parte era una causal para menguar la credib</w:t>
      </w:r>
      <w:r>
        <w:t>i</w:t>
      </w:r>
      <w:r>
        <w:t>lidad de sus versi</w:t>
      </w:r>
      <w:r>
        <w:t>o</w:t>
      </w:r>
      <w:r>
        <w:t>nes. Sin perjuicio de ello, subrayó que magistrados y funcionarios de la instrucción utilizaron dicha circunstancia para coaccionar a aquellos test</w:t>
      </w:r>
      <w:r>
        <w:t>i</w:t>
      </w:r>
      <w:r>
        <w:t>gos y arrancarles declaraciones falsas, enderezadas a co</w:t>
      </w:r>
      <w:r>
        <w:t>m</w:t>
      </w:r>
      <w:r>
        <w:t>plicar la situación procesal de sus asistidos, señalando que d</w:t>
      </w:r>
      <w:r>
        <w:t>i</w:t>
      </w:r>
      <w:r>
        <w:t>cha práctica también fue utilizada por Vergéz, quien neg</w:t>
      </w:r>
      <w:r>
        <w:t>o</w:t>
      </w:r>
      <w:r>
        <w:t>ciaba situaciones procesales en nombre del juez de la ca</w:t>
      </w:r>
      <w:r>
        <w:t>u</w:t>
      </w:r>
      <w:r>
        <w:t>sa.</w:t>
      </w:r>
    </w:p>
    <w:p w:rsidR="00224567" w:rsidRDefault="00224567">
      <w:pPr>
        <w:widowControl w:val="0"/>
        <w:tabs>
          <w:tab w:val="left" w:pos="2835"/>
        </w:tabs>
      </w:pPr>
      <w:r>
        <w:tab/>
        <w:t>Resaltó que el 2 de noviembre de 1995 el juez Galeano dictó una resolución mediante la cual i</w:t>
      </w:r>
      <w:r>
        <w:t>m</w:t>
      </w:r>
      <w:r>
        <w:t>putó a varios individuos que conformaban el entorno de T</w:t>
      </w:r>
      <w:r>
        <w:t>e</w:t>
      </w:r>
      <w:r>
        <w:t>lleldín el delito de asociación ilícita, en razón de sus actividades relacionadas con el doblaje de aut</w:t>
      </w:r>
      <w:r>
        <w:t>o</w:t>
      </w:r>
      <w:r>
        <w:t>motores, y que ninguno de los que se avino a declarar en contra de los policías y a favor de la versión of</w:t>
      </w:r>
      <w:r>
        <w:t>i</w:t>
      </w:r>
      <w:r>
        <w:t>cial, fue incluido en aquel decisorio, mencionando, a modo de ejemplo, los casos de Lo Preiato y Boragni.</w:t>
      </w:r>
    </w:p>
    <w:p w:rsidR="00224567" w:rsidRDefault="00224567">
      <w:pPr>
        <w:widowControl w:val="0"/>
        <w:tabs>
          <w:tab w:val="left" w:pos="2835"/>
        </w:tabs>
      </w:pPr>
      <w:r>
        <w:tab/>
        <w:t>El abogado consideró que la práctica de “aprietes” a quienes fueron testigos de la causa “Br</w:t>
      </w:r>
      <w:r>
        <w:t>i</w:t>
      </w:r>
      <w:r>
        <w:t>gadas” se corroboró a partir del testimonio de Miriam S</w:t>
      </w:r>
      <w:r>
        <w:t>a</w:t>
      </w:r>
      <w:r>
        <w:t>linas y el prosecretario Lifschitz, entre muchas otras d</w:t>
      </w:r>
      <w:r>
        <w:t>e</w:t>
      </w:r>
      <w:r>
        <w:t>claraciones; coacciones que también fueron admitidas por la propia defensa de Telleldín, que reiteró que los test</w:t>
      </w:r>
      <w:r>
        <w:t>i</w:t>
      </w:r>
      <w:r>
        <w:t>gos del grupo del imputado debieron alinearse en la ve</w:t>
      </w:r>
      <w:r>
        <w:t>r</w:t>
      </w:r>
      <w:r>
        <w:t>sión oficial para no resultar proces</w:t>
      </w:r>
      <w:r>
        <w:t>a</w:t>
      </w:r>
      <w:r>
        <w:t>dos.</w:t>
      </w:r>
    </w:p>
    <w:p w:rsidR="00224567" w:rsidRDefault="00224567">
      <w:pPr>
        <w:widowControl w:val="0"/>
        <w:tabs>
          <w:tab w:val="left" w:pos="2835"/>
        </w:tabs>
      </w:pPr>
      <w:r>
        <w:tab/>
        <w:t>Acto seguido, el Dr. Giardelli objetó lo manifestado por el Sr. fiscal general, cuando se pr</w:t>
      </w:r>
      <w:r>
        <w:t>e</w:t>
      </w:r>
      <w:r>
        <w:t>guntó de dónde había extraído la defensa la evide</w:t>
      </w:r>
      <w:r>
        <w:t>n</w:t>
      </w:r>
      <w:r>
        <w:t>cia que permitía afirmar que José Luis Lo Preiato era socio de T</w:t>
      </w:r>
      <w:r>
        <w:t>e</w:t>
      </w:r>
      <w:r>
        <w:t>lleldín en sus actividades vinculadas a la venta de vehículos doblados, cuando dicha circunstancia surgía cl</w:t>
      </w:r>
      <w:r>
        <w:t>a</w:t>
      </w:r>
      <w:r>
        <w:t>ramente de lo declarado por Stiuso y de la denuncia crim</w:t>
      </w:r>
      <w:r>
        <w:t>i</w:t>
      </w:r>
      <w:r>
        <w:t>nal realizada por la señora de Torrisi. Incluso, el defe</w:t>
      </w:r>
      <w:r>
        <w:t>n</w:t>
      </w:r>
      <w:r>
        <w:t>sor precisó que el propio Lo Preiato admitió en el juicio haber comercializado más de media docena de vehículos, c</w:t>
      </w:r>
      <w:r>
        <w:t>o</w:t>
      </w:r>
      <w:r>
        <w:t>nocidos en la jerga como “ponchos”, reconociendo que los mismos habían sido comprados en estado de destrucción t</w:t>
      </w:r>
      <w:r>
        <w:t>o</w:t>
      </w:r>
      <w:r>
        <w:t>tal a la firma “Alejandro Aut</w:t>
      </w:r>
      <w:r>
        <w:t>o</w:t>
      </w:r>
      <w:r>
        <w:t>motores”.</w:t>
      </w:r>
    </w:p>
    <w:p w:rsidR="00224567" w:rsidRDefault="00224567">
      <w:pPr>
        <w:widowControl w:val="0"/>
        <w:tabs>
          <w:tab w:val="left" w:pos="2835"/>
        </w:tabs>
      </w:pPr>
      <w:r>
        <w:tab/>
        <w:t>Por lo expuesto, estimó que no eran ciertas las palabras del Dr. Nisman cuando sostuvo que p</w:t>
      </w:r>
      <w:r>
        <w:t>o</w:t>
      </w:r>
      <w:r>
        <w:t>co o nada había dicho la defensa con relación al testim</w:t>
      </w:r>
      <w:r>
        <w:t>o</w:t>
      </w:r>
      <w:r>
        <w:t>nio de Lo Preiato, respecto de quien se solicitó el proc</w:t>
      </w:r>
      <w:r>
        <w:t>e</w:t>
      </w:r>
      <w:r>
        <w:t>samiento por el delito de falso testimonio agrav</w:t>
      </w:r>
      <w:r>
        <w:t>a</w:t>
      </w:r>
      <w:r>
        <w:t>do.</w:t>
      </w:r>
    </w:p>
    <w:p w:rsidR="00224567" w:rsidRDefault="00224567">
      <w:pPr>
        <w:widowControl w:val="0"/>
        <w:tabs>
          <w:tab w:val="left" w:pos="2835"/>
        </w:tabs>
      </w:pPr>
      <w:r>
        <w:tab/>
        <w:t>Asimismo, indicó que no pudo demo</w:t>
      </w:r>
      <w:r>
        <w:t>s</w:t>
      </w:r>
      <w:r>
        <w:t>trarse que Lo Preiato recibió un llamado telefónico de T</w:t>
      </w:r>
      <w:r>
        <w:t>e</w:t>
      </w:r>
      <w:r>
        <w:t xml:space="preserve">lleldín cuando éste último se encontraba detenido en </w:t>
      </w:r>
      <w:smartTag w:uri="urn:schemas-microsoft-com:office:smarttags" w:element="PersonName">
        <w:smartTagPr>
          <w:attr w:name="ProductID" w:val="la Brigada"/>
        </w:smartTagPr>
        <w:r>
          <w:t>la Brigada</w:t>
        </w:r>
      </w:smartTag>
      <w:r>
        <w:t xml:space="preserve"> de Lanús para que entregara los vehículos, tal c</w:t>
      </w:r>
      <w:r>
        <w:t>o</w:t>
      </w:r>
      <w:r>
        <w:t>mo contrariamente entendiera el representante del Minist</w:t>
      </w:r>
      <w:r>
        <w:t>e</w:t>
      </w:r>
      <w:r>
        <w:t>rio Público Fiscal.</w:t>
      </w:r>
    </w:p>
    <w:p w:rsidR="00224567" w:rsidRDefault="00224567">
      <w:pPr>
        <w:widowControl w:val="0"/>
        <w:tabs>
          <w:tab w:val="left" w:pos="2835"/>
        </w:tabs>
      </w:pPr>
      <w:r>
        <w:tab/>
        <w:t>Con posterioridad, el letrado consid</w:t>
      </w:r>
      <w:r>
        <w:t>e</w:t>
      </w:r>
      <w:r>
        <w:t>ró que al referirse al testigo Setaro, el Sr. fiscal gen</w:t>
      </w:r>
      <w:r>
        <w:t>e</w:t>
      </w:r>
      <w:r>
        <w:t>ral se embarcó en una diatriba en contra de la d</w:t>
      </w:r>
      <w:r>
        <w:t>e</w:t>
      </w:r>
      <w:r>
        <w:t>fensa, al analizar cuestiones vinculadas a la mayor o menor honor</w:t>
      </w:r>
      <w:r>
        <w:t>a</w:t>
      </w:r>
      <w:r>
        <w:t>bilidad que debía reconocerse al oficio de la prostit</w:t>
      </w:r>
      <w:r>
        <w:t>u</w:t>
      </w:r>
      <w:r>
        <w:t>ción, por cuanto, según sostuvo el acusador, la defensa había calificado al testigo como el fletero que transpo</w:t>
      </w:r>
      <w:r>
        <w:t>r</w:t>
      </w:r>
      <w:r>
        <w:t>taba muebles a los prostíbulos de Telle</w:t>
      </w:r>
      <w:r>
        <w:t>l</w:t>
      </w:r>
      <w:r>
        <w:t>dín.</w:t>
      </w:r>
    </w:p>
    <w:p w:rsidR="00224567" w:rsidRDefault="00224567">
      <w:pPr>
        <w:widowControl w:val="0"/>
        <w:tabs>
          <w:tab w:val="left" w:pos="2835"/>
        </w:tabs>
      </w:pPr>
      <w:r>
        <w:tab/>
        <w:t>En lo que a este punto se refi</w:t>
      </w:r>
      <w:r>
        <w:t>e</w:t>
      </w:r>
      <w:r>
        <w:t>re, el Dr. Giardelli negó haber calificado al testigo del modo antes mencionado, aclarando que se limitó a transcribir parte de la declaración testimonial de Setaro, prestada ante la instrucción y que fuera incorporada por lectura, en donde el propio testigo dio cuenta de dicha circunsta</w:t>
      </w:r>
      <w:r>
        <w:t>n</w:t>
      </w:r>
      <w:r>
        <w:t>cia.</w:t>
      </w:r>
    </w:p>
    <w:p w:rsidR="00224567" w:rsidRDefault="00224567">
      <w:pPr>
        <w:widowControl w:val="0"/>
        <w:tabs>
          <w:tab w:val="left" w:pos="2835"/>
        </w:tabs>
      </w:pPr>
      <w:r>
        <w:tab/>
        <w:t>Además, precisó que el objetivo de la defensa fue demostrar un vínculo preexistente entre T</w:t>
      </w:r>
      <w:r>
        <w:t>e</w:t>
      </w:r>
      <w:r>
        <w:t>lleldín y Setaro, quien fue arrimado al proceso para apu</w:t>
      </w:r>
      <w:r>
        <w:t>n</w:t>
      </w:r>
      <w:r>
        <w:t>talar la versión del imputado en contra de los p</w:t>
      </w:r>
      <w:r>
        <w:t>o</w:t>
      </w:r>
      <w:r>
        <w:t>licías.</w:t>
      </w:r>
    </w:p>
    <w:p w:rsidR="00224567" w:rsidRDefault="00224567">
      <w:pPr>
        <w:widowControl w:val="0"/>
        <w:tabs>
          <w:tab w:val="left" w:pos="2835"/>
        </w:tabs>
      </w:pPr>
      <w:r>
        <w:tab/>
        <w:t>Seguidamente, el Dr. Giardelli repr</w:t>
      </w:r>
      <w:r>
        <w:t>o</w:t>
      </w:r>
      <w:r>
        <w:t>bó las objeciones formuladas por el Dr. Nisman con r</w:t>
      </w:r>
      <w:r>
        <w:t>e</w:t>
      </w:r>
      <w:r>
        <w:t>lación a la valoración que la defensa realizó del testimonio de D</w:t>
      </w:r>
      <w:r>
        <w:t>u</w:t>
      </w:r>
      <w:r>
        <w:t>day, entendiendo, como en los casos anteriores, que el fiscal había incurrido en una inexact</w:t>
      </w:r>
      <w:r>
        <w:t>i</w:t>
      </w:r>
      <w:r>
        <w:t>tud.</w:t>
      </w:r>
    </w:p>
    <w:p w:rsidR="00224567" w:rsidRDefault="00224567">
      <w:pPr>
        <w:widowControl w:val="0"/>
        <w:tabs>
          <w:tab w:val="left" w:pos="2835"/>
        </w:tabs>
      </w:pPr>
      <w:r>
        <w:tab/>
        <w:t>En este sentido, hizo notar que si bien en las declaraciones testimoniales de Duday pre</w:t>
      </w:r>
      <w:r>
        <w:t>s</w:t>
      </w:r>
      <w:r>
        <w:t>tadas ante la instrucción e incorporadas al d</w:t>
      </w:r>
      <w:r>
        <w:t>e</w:t>
      </w:r>
      <w:r>
        <w:t>bate por lectura, el testigo ubicó la presencia de los policías en el dom</w:t>
      </w:r>
      <w:r>
        <w:t>i</w:t>
      </w:r>
      <w:r>
        <w:t>cilio de Telleldín quince o veinte días antes del atent</w:t>
      </w:r>
      <w:r>
        <w:t>a</w:t>
      </w:r>
      <w:r>
        <w:t>do, no podía soslayarse que sus dichos habían sido produ</w:t>
      </w:r>
      <w:r>
        <w:t>c</w:t>
      </w:r>
      <w:r>
        <w:t>to de una de las tantas maniobras llevadas a cabo en la etapa instructoria para comprometer a los polic</w:t>
      </w:r>
      <w:r>
        <w:t>í</w:t>
      </w:r>
      <w:r>
        <w:t>as.</w:t>
      </w:r>
    </w:p>
    <w:p w:rsidR="00224567" w:rsidRDefault="00224567">
      <w:pPr>
        <w:widowControl w:val="0"/>
        <w:tabs>
          <w:tab w:val="left" w:pos="2835"/>
        </w:tabs>
      </w:pPr>
      <w:r>
        <w:tab/>
        <w:t>Consideró que ello se encontraba pr</w:t>
      </w:r>
      <w:r>
        <w:t>o</w:t>
      </w:r>
      <w:r>
        <w:t>bado con lo relatado por el prosecretario Lif</w:t>
      </w:r>
      <w:r>
        <w:t>s</w:t>
      </w:r>
      <w:r>
        <w:t>chitz, quien en el debate explicó que Duday tenía como ref</w:t>
      </w:r>
      <w:r>
        <w:t>e</w:t>
      </w:r>
      <w:r>
        <w:t>rencia para ubicar el encuentro entre Telleldín y los policías una f</w:t>
      </w:r>
      <w:r>
        <w:t>u</w:t>
      </w:r>
      <w:r>
        <w:t>ga de detenidos de una Comisaría de Villa Adelina, datos que el secretario De Gamas Soler no quiso consignar en el acta, corr</w:t>
      </w:r>
      <w:r>
        <w:t>o</w:t>
      </w:r>
      <w:r>
        <w:t>borándose, luego de las detenciones, que aquél e</w:t>
      </w:r>
      <w:r>
        <w:t>n</w:t>
      </w:r>
      <w:r>
        <w:t>cuentro se había llevado a cabo en el mes de marzo y no en julio.</w:t>
      </w:r>
    </w:p>
    <w:p w:rsidR="00224567" w:rsidRDefault="00224567">
      <w:pPr>
        <w:widowControl w:val="0"/>
        <w:tabs>
          <w:tab w:val="left" w:pos="2835"/>
        </w:tabs>
      </w:pPr>
      <w:r>
        <w:tab/>
        <w:t>También, el defensor expresó que el automóvil Ford Falcon verde en el cual, según Duday, se trasladaron los policías, había sido vendido por Cruz en el mes de mayo de 1994, tal como lo sostuvo el testigo A</w:t>
      </w:r>
      <w:r>
        <w:t>l</w:t>
      </w:r>
      <w:r>
        <w:t>berto Eduardo Ganim, quien reconoció la documentación i</w:t>
      </w:r>
      <w:r>
        <w:t>n</w:t>
      </w:r>
      <w:r>
        <w:t>corporada a la causa; con lo cual el encuentro arriba me</w:t>
      </w:r>
      <w:r>
        <w:t>n</w:t>
      </w:r>
      <w:r>
        <w:t>cionado, nunca pudo oc</w:t>
      </w:r>
      <w:r>
        <w:t>u</w:t>
      </w:r>
      <w:r>
        <w:t>rrir quince o veinte días antes del atentado, como lo pretendía el fiscal general.</w:t>
      </w:r>
    </w:p>
    <w:p w:rsidR="00224567" w:rsidRDefault="00224567">
      <w:pPr>
        <w:widowControl w:val="0"/>
        <w:tabs>
          <w:tab w:val="left" w:pos="2835"/>
        </w:tabs>
      </w:pPr>
      <w:r>
        <w:tab/>
        <w:t>A continuación, el Dr. Giardelli cue</w:t>
      </w:r>
      <w:r>
        <w:t>s</w:t>
      </w:r>
      <w:r>
        <w:t>tionó el argumento utilizado por las abogadas de Telle</w:t>
      </w:r>
      <w:r>
        <w:t>l</w:t>
      </w:r>
      <w:r>
        <w:t>dín, quienes alegaron una suerte de connivencia inicial entre el juez instructor y los policías imputados para ocultar la supuesta participación de estos últimos en el atentado, pretendiendo justificar el motivo por el cual, durante mucho tiempo no se documentaron en el expediente las extorsiones de marzo y abril de 1994. Además, las l</w:t>
      </w:r>
      <w:r>
        <w:t>e</w:t>
      </w:r>
      <w:r>
        <w:t>tradas sostuvieron que debieron forzar al juez a instruir la causa en contra de los policías, mediante la present</w:t>
      </w:r>
      <w:r>
        <w:t>a</w:t>
      </w:r>
      <w:r>
        <w:t>ción, en el mes de julio de 1995, de una recusación a tr</w:t>
      </w:r>
      <w:r>
        <w:t>a</w:t>
      </w:r>
      <w:r>
        <w:t>vés de la cual se solicitó la declaración de Petru</w:t>
      </w:r>
      <w:r>
        <w:t>c</w:t>
      </w:r>
      <w:r>
        <w:t>ci.</w:t>
      </w:r>
    </w:p>
    <w:p w:rsidR="00224567" w:rsidRDefault="00224567">
      <w:pPr>
        <w:widowControl w:val="0"/>
        <w:tabs>
          <w:tab w:val="left" w:pos="2835"/>
        </w:tabs>
      </w:pPr>
      <w:r>
        <w:tab/>
        <w:t>Al respecto, el defensor subrayó que el escrito de recusación fue presentado en forma contemp</w:t>
      </w:r>
      <w:r>
        <w:t>o</w:t>
      </w:r>
      <w:r>
        <w:t>ránea con las entrevistas que Telleldín mantuvo en la cá</w:t>
      </w:r>
      <w:r>
        <w:t>r</w:t>
      </w:r>
      <w:r>
        <w:t>cel con el capitán Vergéz, en las cuales arreglaron la forma para judicializar el desvío de la denominada causa “Brigadas” y nombraron a los testigos que, finalmente, aparecieron apuntalando la versión de las extorsiones, c</w:t>
      </w:r>
      <w:r>
        <w:t>o</w:t>
      </w:r>
      <w:r>
        <w:t>mo fue el caso de Sa</w:t>
      </w:r>
      <w:r>
        <w:t>n</w:t>
      </w:r>
      <w:r>
        <w:t>dra Petrucci.</w:t>
      </w:r>
    </w:p>
    <w:p w:rsidR="00224567" w:rsidRDefault="00224567">
      <w:pPr>
        <w:widowControl w:val="0"/>
        <w:tabs>
          <w:tab w:val="left" w:pos="2835"/>
        </w:tabs>
      </w:pPr>
      <w:r>
        <w:tab/>
        <w:t>Por ello, el letrado estimó que aquél escrito de recusación demostró la participación que le c</w:t>
      </w:r>
      <w:r>
        <w:t>u</w:t>
      </w:r>
      <w:r>
        <w:t>po a Telleldín en el armado de la causa, y que su artic</w:t>
      </w:r>
      <w:r>
        <w:t>u</w:t>
      </w:r>
      <w:r>
        <w:t>lación fue acordada de antemano entre el nombrado y aqu</w:t>
      </w:r>
      <w:r>
        <w:t>e</w:t>
      </w:r>
      <w:r>
        <w:t>llos que financiaron la hi</w:t>
      </w:r>
      <w:r>
        <w:t>s</w:t>
      </w:r>
      <w:r>
        <w:t>toria que relató.</w:t>
      </w:r>
    </w:p>
    <w:p w:rsidR="00224567" w:rsidRDefault="00224567">
      <w:pPr>
        <w:widowControl w:val="0"/>
        <w:tabs>
          <w:tab w:val="left" w:pos="2835"/>
        </w:tabs>
      </w:pPr>
      <w:r>
        <w:tab/>
        <w:t>Afirmó que ninguna pelea existió e</w:t>
      </w:r>
      <w:r>
        <w:t>n</w:t>
      </w:r>
      <w:r>
        <w:t>tre el juez Galeano y Telleldín que justificara un pedido fo</w:t>
      </w:r>
      <w:r>
        <w:t>r</w:t>
      </w:r>
      <w:r>
        <w:t>mal de recusación, como lo predicó la d</w:t>
      </w:r>
      <w:r>
        <w:t>e</w:t>
      </w:r>
      <w:r>
        <w:t>fensa, entendiendo que mediante dicha petición el encausado logró, formalme</w:t>
      </w:r>
      <w:r>
        <w:t>n</w:t>
      </w:r>
      <w:r>
        <w:t>te, que la camarista Riva Aramayo se involucrara en la causa e impulsara la pista policial; pacto que, sostuvo el abogado, quedó sellado una vez que fueron agregadas al e</w:t>
      </w:r>
      <w:r>
        <w:t>x</w:t>
      </w:r>
      <w:r>
        <w:t>pediente las constancias del juez, dando cuenta de las reuniones mantenidas entre la nombrada y el imputado.</w:t>
      </w:r>
    </w:p>
    <w:p w:rsidR="00224567" w:rsidRDefault="00224567">
      <w:pPr>
        <w:widowControl w:val="0"/>
        <w:tabs>
          <w:tab w:val="left" w:pos="2835"/>
        </w:tabs>
      </w:pPr>
      <w:r>
        <w:tab/>
        <w:t>Asimismo, el defensor aludió a los e</w:t>
      </w:r>
      <w:r>
        <w:t>n</w:t>
      </w:r>
      <w:r>
        <w:t xml:space="preserve">cuentros clandestinos entre </w:t>
      </w:r>
      <w:smartTag w:uri="urn:schemas-microsoft-com:office:smarttags" w:element="PersonName">
        <w:smartTagPr>
          <w:attr w:name="ProductID" w:val="la Dra. Riva"/>
        </w:smartTagPr>
        <w:r>
          <w:t>la Dra. Riva</w:t>
        </w:r>
      </w:smartTag>
      <w:r>
        <w:t xml:space="preserve"> Ar</w:t>
      </w:r>
      <w:r>
        <w:t>a</w:t>
      </w:r>
      <w:r>
        <w:t>mayo y el Dr. Stinfale, como los mantenidos entre la citada cam</w:t>
      </w:r>
      <w:r>
        <w:t>a</w:t>
      </w:r>
      <w:r>
        <w:t xml:space="preserve">rista y el entonces presidente de </w:t>
      </w:r>
      <w:smartTag w:uri="urn:schemas-microsoft-com:office:smarttags" w:element="PersonName">
        <w:smartTagPr>
          <w:attr w:name="ProductID" w:val="la D.A"/>
        </w:smartTagPr>
        <w:r>
          <w:t>la D.A</w:t>
        </w:r>
      </w:smartTag>
      <w:r>
        <w:t>.I.A., Rubén Ezra Beraja, quien en el debate ta</w:t>
      </w:r>
      <w:r>
        <w:t>m</w:t>
      </w:r>
      <w:r>
        <w:t>bién admitió haberse reunido con el Dr. Stinfale y con otros magistrados. Del mismo modo, el Dr. Giardelli hizo referencia a las reuniones que, según el prosecretario Lifschitz, el juez Galeano mantuvo en forma secreta con el entonces ministro del Interior.</w:t>
      </w:r>
    </w:p>
    <w:p w:rsidR="00224567" w:rsidRDefault="00224567">
      <w:pPr>
        <w:widowControl w:val="0"/>
        <w:tabs>
          <w:tab w:val="left" w:pos="2835"/>
        </w:tabs>
      </w:pPr>
      <w:r>
        <w:tab/>
        <w:t>En virtud de lo expuesto, el letrado remarcó que fue en medio de los encuentros mencionadas cuando la defensa de Telleldín presentó la citada recus</w:t>
      </w:r>
      <w:r>
        <w:t>a</w:t>
      </w:r>
      <w:r>
        <w:t>ción, por la cual el imputado, en connivencia con funci</w:t>
      </w:r>
      <w:r>
        <w:t>o</w:t>
      </w:r>
      <w:r>
        <w:t xml:space="preserve">narios del Poder Judicial, del poder político y miembros de la colectividad judía, quiso involucrar a los policías en el atentado a la sede de </w:t>
      </w:r>
      <w:smartTag w:uri="urn:schemas-microsoft-com:office:smarttags" w:element="PersonName">
        <w:smartTagPr>
          <w:attr w:name="ProductID" w:val="la A.M"/>
        </w:smartTagPr>
        <w:r>
          <w:t>la A.M</w:t>
        </w:r>
      </w:smartTag>
      <w:r>
        <w:t>.I.A.</w:t>
      </w:r>
    </w:p>
    <w:p w:rsidR="00224567" w:rsidRDefault="00224567">
      <w:pPr>
        <w:widowControl w:val="0"/>
        <w:tabs>
          <w:tab w:val="left" w:pos="2835"/>
        </w:tabs>
      </w:pPr>
      <w:r>
        <w:tab/>
        <w:t>Por otra parte, el Dr. Giardelli pr</w:t>
      </w:r>
      <w:r>
        <w:t>e</w:t>
      </w:r>
      <w:r>
        <w:t xml:space="preserve">cisó que Telleldín fue el único que sostuvo que en </w:t>
      </w:r>
      <w:smartTag w:uri="urn:schemas-microsoft-com:office:smarttags" w:element="PersonName">
        <w:smartTagPr>
          <w:attr w:name="ProductID" w:val="la Brigada"/>
        </w:smartTagPr>
        <w:r>
          <w:t>la Br</w:t>
        </w:r>
        <w:r>
          <w:t>i</w:t>
        </w:r>
        <w:r>
          <w:t>gada</w:t>
        </w:r>
      </w:smartTag>
      <w:r>
        <w:t xml:space="preserve"> de Lanús le reclamaron una exigencia pecuniaria, ya que otros testigos, incluidos los de su propio entorno, mencionaron que fue el nombrado quien se esforzaba en re</w:t>
      </w:r>
      <w:r>
        <w:t>a</w:t>
      </w:r>
      <w:r>
        <w:t>lizar un ofrecimiento de dinero para evitar ser puesto a disposición de la justicia.</w:t>
      </w:r>
    </w:p>
    <w:p w:rsidR="00224567" w:rsidRDefault="00224567">
      <w:pPr>
        <w:widowControl w:val="0"/>
        <w:tabs>
          <w:tab w:val="left" w:pos="2835"/>
        </w:tabs>
      </w:pPr>
      <w:r>
        <w:tab/>
        <w:t>Luego, señaló que las declaraci</w:t>
      </w:r>
      <w:r>
        <w:t>o</w:t>
      </w:r>
      <w:r>
        <w:t>nes de Huici, sobre las que intentó enancarse la defensa de T</w:t>
      </w:r>
      <w:r>
        <w:t>e</w:t>
      </w:r>
      <w:r>
        <w:t>lleldín, resultaron contradictorias, adhiriendo a las apreciaciones que el Dr. Ubeira fo</w:t>
      </w:r>
      <w:r>
        <w:t>r</w:t>
      </w:r>
      <w:r>
        <w:t>muló sobre el punto.</w:t>
      </w:r>
    </w:p>
    <w:p w:rsidR="00224567" w:rsidRDefault="00224567">
      <w:pPr>
        <w:widowControl w:val="0"/>
        <w:tabs>
          <w:tab w:val="left" w:pos="2835"/>
        </w:tabs>
      </w:pPr>
      <w:r>
        <w:tab/>
        <w:t>Posteriormente, explicó que al mome</w:t>
      </w:r>
      <w:r>
        <w:t>n</w:t>
      </w:r>
      <w:r>
        <w:t>to en que los policías intentaron detener a T</w:t>
      </w:r>
      <w:r>
        <w:t>e</w:t>
      </w:r>
      <w:r>
        <w:t>lleldín, ellos contaban con la información sumini</w:t>
      </w:r>
      <w:r>
        <w:t>s</w:t>
      </w:r>
      <w:r>
        <w:t>trada por los testigos Ambrosi y Duday, y habían realizado seguimie</w:t>
      </w:r>
      <w:r>
        <w:t>n</w:t>
      </w:r>
      <w:r>
        <w:t>tos cerca del domicilio de la calle República, circunstancias que les permitieron contar con mayores datos acerca de la fison</w:t>
      </w:r>
      <w:r>
        <w:t>o</w:t>
      </w:r>
      <w:r>
        <w:t>mía de Telleldín o conocer el vehículo en el que se tra</w:t>
      </w:r>
      <w:r>
        <w:t>s</w:t>
      </w:r>
      <w:r>
        <w:t>ladaba. Por lo tanto, sostuvo que no podían ser atendidos los interrogantes de las abogadas de Telle</w:t>
      </w:r>
      <w:r>
        <w:t>l</w:t>
      </w:r>
      <w:r>
        <w:t>dín, cuando se preguntaron cómo Ibarra y su comitiva habían logrado  i</w:t>
      </w:r>
      <w:r>
        <w:t>n</w:t>
      </w:r>
      <w:r>
        <w:t>terceptar al nombrado c</w:t>
      </w:r>
      <w:r>
        <w:t>o</w:t>
      </w:r>
      <w:r>
        <w:t>nociendo tan sólo que era de baja estatura.</w:t>
      </w:r>
    </w:p>
    <w:p w:rsidR="00224567" w:rsidRDefault="00224567">
      <w:pPr>
        <w:widowControl w:val="0"/>
        <w:tabs>
          <w:tab w:val="left" w:pos="2835"/>
        </w:tabs>
      </w:pPr>
      <w:r>
        <w:tab/>
        <w:t>Recalcó que las mismas letradas olv</w:t>
      </w:r>
      <w:r>
        <w:t>i</w:t>
      </w:r>
      <w:r>
        <w:t>daron que, mediante tareas de inteligencia previas que Ibarra realizó en Villa Ballester, se l</w:t>
      </w:r>
      <w:r>
        <w:t>o</w:t>
      </w:r>
      <w:r>
        <w:t>gró determinar que Telleldín no vivía más en el domicilio de la calle Rep</w:t>
      </w:r>
      <w:r>
        <w:t>ú</w:t>
      </w:r>
      <w:r>
        <w:t>blica, circunstancia que también surgía de los propios d</w:t>
      </w:r>
      <w:r>
        <w:t>i</w:t>
      </w:r>
      <w:r>
        <w:t>chos de este último, quien manifestó que por esa época r</w:t>
      </w:r>
      <w:r>
        <w:t>e</w:t>
      </w:r>
      <w:r>
        <w:t>sidía en una quinta en la localidad de Tort</w:t>
      </w:r>
      <w:r>
        <w:t>u</w:t>
      </w:r>
      <w:r>
        <w:t>guitas junto a Sandra Petrucci.</w:t>
      </w:r>
    </w:p>
    <w:p w:rsidR="00224567" w:rsidRDefault="00224567">
      <w:pPr>
        <w:widowControl w:val="0"/>
        <w:tabs>
          <w:tab w:val="left" w:pos="2835"/>
        </w:tabs>
      </w:pPr>
      <w:r>
        <w:tab/>
        <w:t>Destacó que las abogadas Fechino y N</w:t>
      </w:r>
      <w:r>
        <w:t>o</w:t>
      </w:r>
      <w:r>
        <w:t>vello se equivocaron al afirmar que ni Ibarra ni sus subordinados  solicitaron al comando información sobre el número de patente del automóvil de Telle</w:t>
      </w:r>
      <w:r>
        <w:t>l</w:t>
      </w:r>
      <w:r>
        <w:t>dín, toda vez que en el acta labrada por Ibarra se consignó que el 15 de marzo los policías no pudieron determinar cuál era el n</w:t>
      </w:r>
      <w:r>
        <w:t>ú</w:t>
      </w:r>
      <w:r>
        <w:t>mero de patente del auto, ya que su conductor se había d</w:t>
      </w:r>
      <w:r>
        <w:t>a</w:t>
      </w:r>
      <w:r>
        <w:t>do a la fuga.</w:t>
      </w:r>
    </w:p>
    <w:p w:rsidR="00224567" w:rsidRDefault="00224567">
      <w:pPr>
        <w:widowControl w:val="0"/>
        <w:tabs>
          <w:tab w:val="left" w:pos="2835"/>
        </w:tabs>
      </w:pPr>
      <w:r>
        <w:tab/>
        <w:t>Tampoco el Dr. Giardelli llegó a e</w:t>
      </w:r>
      <w:r>
        <w:t>n</w:t>
      </w:r>
      <w:r>
        <w:t>tender la acusación deslizada por las defensoras de T</w:t>
      </w:r>
      <w:r>
        <w:t>e</w:t>
      </w:r>
      <w:r>
        <w:t>lleldín al preguntarse por qué no se realizaron tareas p</w:t>
      </w:r>
      <w:r>
        <w:t>a</w:t>
      </w:r>
      <w:r>
        <w:t>ra lograr la detención de su asistido luego del inc</w:t>
      </w:r>
      <w:r>
        <w:t>i</w:t>
      </w:r>
      <w:r>
        <w:t>dente del 15 de marzo, cuando de la causa de Quilmes se despre</w:t>
      </w:r>
      <w:r>
        <w:t>n</w:t>
      </w:r>
      <w:r>
        <w:t>día lo contrario.</w:t>
      </w:r>
    </w:p>
    <w:p w:rsidR="00224567" w:rsidRDefault="00224567">
      <w:pPr>
        <w:widowControl w:val="0"/>
        <w:tabs>
          <w:tab w:val="left" w:pos="2835"/>
        </w:tabs>
      </w:pPr>
      <w:r>
        <w:tab/>
        <w:t>Igualmente, el abogado sostuvo que no era cierto que, frente a la detención del 4 de abril, no se había dado intervención a la jueza de Quilmes, como lo pretendían las letradas de Telleldín, remitiéndose a la explicación que sobre el punto brindó el Dr. Ubeira.</w:t>
      </w:r>
    </w:p>
    <w:p w:rsidR="00224567" w:rsidRDefault="00224567">
      <w:pPr>
        <w:widowControl w:val="0"/>
        <w:tabs>
          <w:tab w:val="left" w:pos="2835"/>
        </w:tabs>
      </w:pPr>
      <w:r>
        <w:tab/>
        <w:t>También, objetó lo manifestado por las mismas defensoras, en cuanto sostuvieron que te</w:t>
      </w:r>
      <w:r>
        <w:t>n</w:t>
      </w:r>
      <w:r>
        <w:t>drían que  haberse solicitado los antecedentes de su asistido consi</w:t>
      </w:r>
      <w:r>
        <w:t>g</w:t>
      </w:r>
      <w:r>
        <w:t>nándose el nombre “Telleldín”, ya que así había sido me</w:t>
      </w:r>
      <w:r>
        <w:t>n</w:t>
      </w:r>
      <w:r>
        <w:t>cionado por Ambrosi, y no dejarse guiar por lo que surgía de un Documento Nacional de Identidad falsificado que r</w:t>
      </w:r>
      <w:r>
        <w:t>e</w:t>
      </w:r>
      <w:r>
        <w:t>zaba “Teccedín”.</w:t>
      </w:r>
    </w:p>
    <w:p w:rsidR="00224567" w:rsidRDefault="00224567">
      <w:pPr>
        <w:widowControl w:val="0"/>
        <w:tabs>
          <w:tab w:val="left" w:pos="2835"/>
        </w:tabs>
      </w:pPr>
      <w:r>
        <w:tab/>
        <w:t>En este punto, el Dr. Giardelli se preguntó por qué razón debía darse mayor impo</w:t>
      </w:r>
      <w:r>
        <w:t>r</w:t>
      </w:r>
      <w:r>
        <w:t>tancia a los dichos extrajudiciales de un testigo que a las atestaci</w:t>
      </w:r>
      <w:r>
        <w:t>o</w:t>
      </w:r>
      <w:r>
        <w:t>nes que surgían de un documento, confeccionado por un fu</w:t>
      </w:r>
      <w:r>
        <w:t>n</w:t>
      </w:r>
      <w:r>
        <w:t>cionario del Registro Nacional de las Personas; máxime cuando las características del instrumento impedían dete</w:t>
      </w:r>
      <w:r>
        <w:t>c</w:t>
      </w:r>
      <w:r>
        <w:t>tar cualquier tipo de adulteración.</w:t>
      </w:r>
    </w:p>
    <w:p w:rsidR="00224567" w:rsidRDefault="00224567">
      <w:pPr>
        <w:widowControl w:val="0"/>
        <w:tabs>
          <w:tab w:val="left" w:pos="2835"/>
        </w:tabs>
      </w:pPr>
      <w:r>
        <w:tab/>
        <w:t>Con posterioridad, el defensor expr</w:t>
      </w:r>
      <w:r>
        <w:t>e</w:t>
      </w:r>
      <w:r>
        <w:t>só que si bien las abogadas de Telleldín se valieron de los dichos de Cunto para fundar su acusación en contra de Ib</w:t>
      </w:r>
      <w:r>
        <w:t>a</w:t>
      </w:r>
      <w:r>
        <w:t>rra, el testigo se dedicó a exaltar la supuesta honradez de Huici en desmedro de otros policías, y admitió que ma</w:t>
      </w:r>
      <w:r>
        <w:t>n</w:t>
      </w:r>
      <w:r>
        <w:t>tenía un trato fr</w:t>
      </w:r>
      <w:r>
        <w:t>e</w:t>
      </w:r>
      <w:r>
        <w:t>cuente con el policía Smurro, estimando que existían sobrados motivos para otorgarle muy escasa credib</w:t>
      </w:r>
      <w:r>
        <w:t>i</w:t>
      </w:r>
      <w:r>
        <w:t>lidad a su testimonio.</w:t>
      </w:r>
    </w:p>
    <w:p w:rsidR="00224567" w:rsidRDefault="00224567">
      <w:pPr>
        <w:widowControl w:val="0"/>
        <w:tabs>
          <w:tab w:val="left" w:pos="2835"/>
        </w:tabs>
      </w:pPr>
      <w:r>
        <w:tab/>
        <w:t>Además, caracterizó de meras conjet</w:t>
      </w:r>
      <w:r>
        <w:t>u</w:t>
      </w:r>
      <w:r>
        <w:t>ras sin fundamento las imputaciones formuladas por las l</w:t>
      </w:r>
      <w:r>
        <w:t>e</w:t>
      </w:r>
      <w:r>
        <w:t>tradas de Telleldín, referidas a Ib</w:t>
      </w:r>
      <w:r>
        <w:t>á</w:t>
      </w:r>
      <w:r>
        <w:t>ñez y Salinas y a los comentarios que ésta pudo haberle efectuado a Semor</w:t>
      </w:r>
      <w:r>
        <w:t>i</w:t>
      </w:r>
      <w:r>
        <w:t>le.</w:t>
      </w:r>
    </w:p>
    <w:p w:rsidR="00224567" w:rsidRDefault="00224567">
      <w:pPr>
        <w:widowControl w:val="0"/>
        <w:tabs>
          <w:tab w:val="left" w:pos="2835"/>
        </w:tabs>
      </w:pPr>
      <w:r>
        <w:tab/>
        <w:t>Por último, objetó las manifestaci</w:t>
      </w:r>
      <w:r>
        <w:t>o</w:t>
      </w:r>
      <w:r>
        <w:t>nes de las letradas de Telleldín, quienes en su dúplica inte</w:t>
      </w:r>
      <w:r>
        <w:t>n</w:t>
      </w:r>
      <w:r>
        <w:t>taron controvertir la circunstancia de que el nombrado h</w:t>
      </w:r>
      <w:r>
        <w:t>a</w:t>
      </w:r>
      <w:r>
        <w:t>bía estafado a Bottegal, al entregarle un boleto de co</w:t>
      </w:r>
      <w:r>
        <w:t>m</w:t>
      </w:r>
      <w:r>
        <w:t>praventa sobre una embarcación que era mitad “Gonzalo” y mitad “Benidorm”.</w:t>
      </w:r>
    </w:p>
    <w:p w:rsidR="00224567" w:rsidRDefault="00224567">
      <w:pPr>
        <w:widowControl w:val="0"/>
        <w:tabs>
          <w:tab w:val="left" w:pos="2835"/>
        </w:tabs>
        <w:rPr>
          <w:b/>
          <w:bCs/>
          <w:lang w:val="es-ES_tradnl"/>
        </w:rPr>
      </w:pPr>
      <w:r>
        <w:tab/>
        <w:t>En este sentido, el Dr. Giardelli hizo referencia al testimonio de Colman, quien relató que el boleto de compraventa que llevó co</w:t>
      </w:r>
      <w:r>
        <w:t>n</w:t>
      </w:r>
      <w:r>
        <w:t>sigo Bottegal contenía el nombre de la embarcación “Gonzalo” y un número de m</w:t>
      </w:r>
      <w:r>
        <w:t>a</w:t>
      </w:r>
      <w:r>
        <w:t>trícula correspondiente a la embarcación “Benidorm”, est</w:t>
      </w:r>
      <w:r>
        <w:t>i</w:t>
      </w:r>
      <w:r>
        <w:t>mando que, en tales condiciones, el instrumento no indiv</w:t>
      </w:r>
      <w:r>
        <w:t>i</w:t>
      </w:r>
      <w:r>
        <w:t>dualizaba a ning</w:t>
      </w:r>
      <w:r>
        <w:t>u</w:t>
      </w:r>
      <w:r>
        <w:t>na de las dos.</w:t>
      </w:r>
    </w:p>
    <w:p w:rsidR="00224567" w:rsidRDefault="00224567">
      <w:pPr>
        <w:widowControl w:val="0"/>
      </w:pPr>
    </w:p>
    <w:p w:rsidR="00224567" w:rsidRDefault="00224567">
      <w:pPr>
        <w:widowControl w:val="0"/>
      </w:pPr>
      <w:r>
        <w:tab/>
      </w:r>
      <w:r>
        <w:rPr>
          <w:b/>
          <w:bCs/>
        </w:rPr>
        <w:t>B.4)</w:t>
      </w:r>
      <w:r>
        <w:t xml:space="preserve"> Por su parte, la defensa de Ana</w:t>
      </w:r>
      <w:r>
        <w:t>s</w:t>
      </w:r>
      <w:r>
        <w:t>tasio Ireneo Leal comenzó su dúplica señalando que en la causa se cometieron diversas irregularidades, con la exc</w:t>
      </w:r>
      <w:r>
        <w:t>u</w:t>
      </w:r>
      <w:r>
        <w:t>sa de la magnitud de los hechos y la voluminosidad del e</w:t>
      </w:r>
      <w:r>
        <w:t>x</w:t>
      </w:r>
      <w:r>
        <w:t>pedie</w:t>
      </w:r>
      <w:r>
        <w:t>n</w:t>
      </w:r>
      <w:r>
        <w:t>te.</w:t>
      </w:r>
    </w:p>
    <w:p w:rsidR="00224567" w:rsidRDefault="00224567">
      <w:pPr>
        <w:pStyle w:val="Sangradetextonormal"/>
        <w:widowControl w:val="0"/>
        <w:ind w:firstLine="0"/>
      </w:pPr>
      <w:r>
        <w:tab/>
        <w:t>Indicó, en oposición a lo afirm</w:t>
      </w:r>
      <w:r>
        <w:t>a</w:t>
      </w:r>
      <w:r>
        <w:t xml:space="preserve">do por la acusación, que </w:t>
      </w:r>
      <w:smartTag w:uri="urn:schemas-microsoft-com:office:smarttags" w:element="PersonName">
        <w:smartTagPr>
          <w:attr w:name="ProductID" w:val="la Polic￭a Federal"/>
        </w:smartTagPr>
        <w:r>
          <w:t>la Policía Federal</w:t>
        </w:r>
      </w:smartTag>
      <w:r>
        <w:t xml:space="preserve"> Argentina, mediante un acta fraguada, intentó simular que había e</w:t>
      </w:r>
      <w:r>
        <w:t>n</w:t>
      </w:r>
      <w:r>
        <w:t>contrado el m</w:t>
      </w:r>
      <w:r>
        <w:t>o</w:t>
      </w:r>
      <w:r>
        <w:t>tor de la camioneta.</w:t>
      </w:r>
    </w:p>
    <w:p w:rsidR="00224567" w:rsidRDefault="00224567">
      <w:pPr>
        <w:pStyle w:val="Sangradetextonormal"/>
        <w:widowControl w:val="0"/>
        <w:ind w:firstLine="0"/>
      </w:pPr>
      <w:r>
        <w:tab/>
        <w:t>Criticó que la querella D.A.I.A., A.M.I.A. y “Grupo de Familiares” haya ironizado acerca de la existencia de un complot en contra de los policías b</w:t>
      </w:r>
      <w:r>
        <w:t>o</w:t>
      </w:r>
      <w:r>
        <w:t>naerenses, enumerando, como prueba de esa circunstancia, los peritajes efectuados sobre el Renault 19 que, a su juicio, resultaron contradictorios, el cr</w:t>
      </w:r>
      <w:r>
        <w:t>o</w:t>
      </w:r>
      <w:r>
        <w:t xml:space="preserve">quis de </w:t>
      </w:r>
      <w:smartTag w:uri="urn:schemas-microsoft-com:office:smarttags" w:element="PersonName">
        <w:smartTagPr>
          <w:attr w:name="ProductID" w:val="la Dra. Riva"/>
        </w:smartTagPr>
        <w:r>
          <w:t>la Dra. Riva</w:t>
        </w:r>
      </w:smartTag>
      <w:r>
        <w:t xml:space="preserve"> Ar</w:t>
      </w:r>
      <w:r>
        <w:t>a</w:t>
      </w:r>
      <w:r>
        <w:t>mayo, los dichos de Semorile, brindados en calidad de testigo de identidad reservada y el ocultamiento de pruebas y leg</w:t>
      </w:r>
      <w:r>
        <w:t>a</w:t>
      </w:r>
      <w:r>
        <w:t>jos.</w:t>
      </w:r>
    </w:p>
    <w:p w:rsidR="00224567" w:rsidRDefault="00224567">
      <w:pPr>
        <w:pStyle w:val="Sangradetextonormal"/>
        <w:widowControl w:val="0"/>
        <w:ind w:firstLine="0"/>
      </w:pPr>
      <w:r>
        <w:tab/>
        <w:t xml:space="preserve">En otro orden de ideas, </w:t>
      </w:r>
      <w:smartTag w:uri="urn:schemas-microsoft-com:office:smarttags" w:element="PersonName">
        <w:smartTagPr>
          <w:attr w:name="ProductID" w:val="la Dra. Bacci"/>
        </w:smartTagPr>
        <w:r>
          <w:t>la Dra. Bacci</w:t>
        </w:r>
      </w:smartTag>
      <w:r>
        <w:t xml:space="preserve"> afirmó que los acusadores nunca pudieron suprimir la d</w:t>
      </w:r>
      <w:r>
        <w:t>e</w:t>
      </w:r>
      <w:r>
        <w:t>claración indagatoria prestada por Carlos Alberto Telle</w:t>
      </w:r>
      <w:r>
        <w:t>l</w:t>
      </w:r>
      <w:r>
        <w:t>dín el 5 de julio de 1996, porque era la prueba pri</w:t>
      </w:r>
      <w:r>
        <w:t>n</w:t>
      </w:r>
      <w:r>
        <w:t xml:space="preserve">cipal para incriminar a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w:t>
      </w:r>
      <w:r>
        <w:t>i</w:t>
      </w:r>
      <w:r>
        <w:t>res; y que si aquélla estaba contaminada, como so</w:t>
      </w:r>
      <w:r>
        <w:t>s</w:t>
      </w:r>
      <w:r>
        <w:t>tenía la querella D.A.I.A., A.M.I.A. y “Grupo de Familiares”, era nula.</w:t>
      </w:r>
    </w:p>
    <w:p w:rsidR="00224567" w:rsidRDefault="00224567">
      <w:pPr>
        <w:pStyle w:val="Sangradetextonormal"/>
        <w:widowControl w:val="0"/>
        <w:ind w:firstLine="0"/>
      </w:pPr>
      <w:r>
        <w:tab/>
        <w:t>Sobre el punto, señaló que esa decl</w:t>
      </w:r>
      <w:r>
        <w:t>a</w:t>
      </w:r>
      <w:r>
        <w:t>ración incriminaba a su defendido, ya que ni en dicie</w:t>
      </w:r>
      <w:r>
        <w:t>m</w:t>
      </w:r>
      <w:r>
        <w:t xml:space="preserve">bre de 1995 ni en febrero de 1996, pese a que el juez Galeano ya contaba con elementos para afirmar que </w:t>
      </w:r>
      <w:smartTag w:uri="urn:schemas-microsoft-com:office:smarttags" w:element="PersonName">
        <w:smartTagPr>
          <w:attr w:name="ProductID" w:val="la Polic￭a Bonaerense"/>
        </w:smartTagPr>
        <w:r>
          <w:t>la Policía B</w:t>
        </w:r>
        <w:r>
          <w:t>o</w:t>
        </w:r>
        <w:r>
          <w:t>naerense</w:t>
        </w:r>
      </w:smartTag>
      <w:r>
        <w:t xml:space="preserve"> estaba vinculada al atentado, existían pruebas perjudiciales para Leal. Ello, a su criterio, quedaba ev</w:t>
      </w:r>
      <w:r>
        <w:t>i</w:t>
      </w:r>
      <w:r>
        <w:t>denciado con el hecho de que en diciembre de 1995 el m</w:t>
      </w:r>
      <w:r>
        <w:t>a</w:t>
      </w:r>
      <w:r>
        <w:t>gistrado instructor le indicó a su asistido que no estaba siendo investigado en el proc</w:t>
      </w:r>
      <w:r>
        <w:t>e</w:t>
      </w:r>
      <w:r>
        <w:t>so.</w:t>
      </w:r>
    </w:p>
    <w:p w:rsidR="00224567" w:rsidRDefault="00224567">
      <w:pPr>
        <w:pStyle w:val="Textoindependiente"/>
        <w:tabs>
          <w:tab w:val="clear" w:pos="2040"/>
        </w:tabs>
        <w:spacing w:line="600" w:lineRule="auto"/>
      </w:pPr>
      <w:r>
        <w:tab/>
        <w:t xml:space="preserve">Sostuvo que la querella D.A.I.A., A.M.I.A. y “Grupo de Familiares” utilizó el discurso que entonces presidente de </w:t>
      </w:r>
      <w:smartTag w:uri="urn:schemas-microsoft-com:office:smarttags" w:element="PersonName">
        <w:smartTagPr>
          <w:attr w:name="ProductID" w:val="la D.A"/>
        </w:smartTagPr>
        <w:r>
          <w:t>la D.A</w:t>
        </w:r>
      </w:smartTag>
      <w:r>
        <w:t>.I.A. brindó con motivo del primer aniversario del atentado para involucrar a los pol</w:t>
      </w:r>
      <w:r>
        <w:t>i</w:t>
      </w:r>
      <w:r>
        <w:t>cías, destacando que aquel dirigente encubrió al juez in</w:t>
      </w:r>
      <w:r>
        <w:t>s</w:t>
      </w:r>
      <w:r>
        <w:t xml:space="preserve">tructor y a los fiscales, como al ex presidente de </w:t>
      </w:r>
      <w:smartTag w:uri="urn:schemas-microsoft-com:office:smarttags" w:element="PersonName">
        <w:smartTagPr>
          <w:attr w:name="ProductID" w:val="la Naci￳n"/>
        </w:smartTagPr>
        <w:r>
          <w:t>la N</w:t>
        </w:r>
        <w:r>
          <w:t>a</w:t>
        </w:r>
        <w:r>
          <w:t>ción</w:t>
        </w:r>
      </w:smartTag>
      <w:r>
        <w:t>, y dijo que no sabía nada del pago a Telleldín, cuando se le abonaron USD 475.000 para sostener una ment</w:t>
      </w:r>
      <w:r>
        <w:t>i</w:t>
      </w:r>
      <w:r>
        <w:t>ra.</w:t>
      </w:r>
    </w:p>
    <w:p w:rsidR="00224567" w:rsidRDefault="00224567">
      <w:pPr>
        <w:pStyle w:val="Sangradetextonormal"/>
        <w:widowControl w:val="0"/>
        <w:ind w:firstLine="0"/>
      </w:pPr>
      <w:r>
        <w:tab/>
        <w:t>Además, hizo referencia a una nota p</w:t>
      </w:r>
      <w:r>
        <w:t>e</w:t>
      </w:r>
      <w:r>
        <w:t xml:space="preserve">riodística en la cual si bien Telleldín involucró a </w:t>
      </w:r>
      <w:smartTag w:uri="urn:schemas-microsoft-com:office:smarttags" w:element="PersonName">
        <w:smartTagPr>
          <w:attr w:name="ProductID" w:val="la Polic￭a Bonaerense"/>
        </w:smartTagPr>
        <w:r>
          <w:t>la P</w:t>
        </w:r>
        <w:r>
          <w:t>o</w:t>
        </w:r>
        <w:r>
          <w:t>licía Bonaerense</w:t>
        </w:r>
      </w:smartTag>
      <w:r>
        <w:t xml:space="preserve"> en el atentado a la sede de </w:t>
      </w:r>
      <w:smartTag w:uri="urn:schemas-microsoft-com:office:smarttags" w:element="PersonName">
        <w:smartTagPr>
          <w:attr w:name="ProductID" w:val="la A.M"/>
        </w:smartTagPr>
        <w:r>
          <w:t>la A.M</w:t>
        </w:r>
      </w:smartTag>
      <w:r>
        <w:t>.I.A., también dijo que no les había entr</w:t>
      </w:r>
      <w:r>
        <w:t>e</w:t>
      </w:r>
      <w:r>
        <w:t>gado la camioneta.</w:t>
      </w:r>
    </w:p>
    <w:p w:rsidR="00224567" w:rsidRDefault="00224567">
      <w:pPr>
        <w:pStyle w:val="Sangradetextonormal"/>
        <w:widowControl w:val="0"/>
        <w:ind w:firstLine="0"/>
      </w:pPr>
      <w:r>
        <w:tab/>
        <w:t>Por otra parte, la letrada indicó que el hecho del 10 de julio de 1994 surgía exclus</w:t>
      </w:r>
      <w:r>
        <w:t>i</w:t>
      </w:r>
      <w:r>
        <w:t>vamente de la declaración cuestionada y que la pr</w:t>
      </w:r>
      <w:r>
        <w:t>e</w:t>
      </w:r>
      <w:r>
        <w:t>sencia de Anastasio Ireneo Leal en el domicilio de Telleldín el 26 de ese mes y año era un invento que no se correspondía con las pru</w:t>
      </w:r>
      <w:r>
        <w:t>e</w:t>
      </w:r>
      <w:r>
        <w:t>bas colectadas.</w:t>
      </w:r>
    </w:p>
    <w:p w:rsidR="00224567" w:rsidRDefault="00224567">
      <w:pPr>
        <w:pStyle w:val="Sangradetextonormal"/>
        <w:widowControl w:val="0"/>
        <w:ind w:firstLine="1"/>
      </w:pPr>
      <w:r>
        <w:tab/>
        <w:t>Asimismo, señaló que los acusadores realizaron un verd</w:t>
      </w:r>
      <w:r>
        <w:t>a</w:t>
      </w:r>
      <w:r>
        <w:t>dero esfuerzo para intentar probar que Pino era Leal, sin obtener resultados satisfactorios ni poder acreditar el vínculo entre las brigadas.</w:t>
      </w:r>
    </w:p>
    <w:p w:rsidR="00224567" w:rsidRDefault="00224567">
      <w:pPr>
        <w:pStyle w:val="Sangradetextonormal"/>
        <w:widowControl w:val="0"/>
        <w:ind w:firstLine="0"/>
      </w:pPr>
      <w:r>
        <w:tab/>
        <w:t>Por último, la defensora concluyó su exposición diciendo que Carlos Alberto Telleldín no era una víctima del juez instructor, sino su cómplice, con quien negoció suciamente la imputación de su cliente.</w:t>
      </w:r>
    </w:p>
    <w:p w:rsidR="00224567" w:rsidRDefault="00224567">
      <w:pPr>
        <w:widowControl w:val="0"/>
        <w:rPr>
          <w:lang w:val="es-ES_tradnl"/>
        </w:rPr>
      </w:pPr>
    </w:p>
    <w:p w:rsidR="00224567" w:rsidRDefault="00224567">
      <w:pPr>
        <w:pStyle w:val="Sangradetextonormal"/>
        <w:widowControl w:val="0"/>
        <w:tabs>
          <w:tab w:val="left" w:pos="2835"/>
        </w:tabs>
        <w:ind w:firstLine="0"/>
      </w:pPr>
      <w:r>
        <w:tab/>
      </w:r>
      <w:r>
        <w:rPr>
          <w:b/>
          <w:bCs/>
        </w:rPr>
        <w:t>B.5)</w:t>
      </w:r>
      <w:r>
        <w:t xml:space="preserve"> Por su parte, al momento de d</w:t>
      </w:r>
      <w:r>
        <w:t>u</w:t>
      </w:r>
      <w:r>
        <w:t>plicar, el Dr. José Eduardo García, en su carácter de d</w:t>
      </w:r>
      <w:r>
        <w:t>e</w:t>
      </w:r>
      <w:r>
        <w:t>fensor de Diego Enrique Barreda y Daniel Emilio Qui</w:t>
      </w:r>
      <w:r>
        <w:t>n</w:t>
      </w:r>
      <w:r>
        <w:t>teros, criticó las réplicas efectuadas por las querellas y el r</w:t>
      </w:r>
      <w:r>
        <w:t>e</w:t>
      </w:r>
      <w:r>
        <w:t>presentante del Ministerio Público Fiscal, por entenderlas meramente form</w:t>
      </w:r>
      <w:r>
        <w:t>a</w:t>
      </w:r>
      <w:r>
        <w:t>les.</w:t>
      </w:r>
    </w:p>
    <w:p w:rsidR="00224567" w:rsidRDefault="00224567">
      <w:pPr>
        <w:widowControl w:val="0"/>
        <w:tabs>
          <w:tab w:val="left" w:pos="2835"/>
        </w:tabs>
      </w:pPr>
      <w:r>
        <w:tab/>
        <w:t>Sostuvo que la fiscalía insistió con argumentos ya rebatidos, indicando que se basó en la ind</w:t>
      </w:r>
      <w:r>
        <w:t>a</w:t>
      </w:r>
      <w:r>
        <w:t>gatoria prestada por Bareiro en julio de 1996.</w:t>
      </w:r>
    </w:p>
    <w:p w:rsidR="00224567" w:rsidRDefault="00224567">
      <w:pPr>
        <w:widowControl w:val="0"/>
        <w:tabs>
          <w:tab w:val="left" w:pos="2835"/>
        </w:tabs>
      </w:pPr>
      <w:r>
        <w:tab/>
        <w:t>Al respecto, el defensor entendió que dicha declaración era nula o, cuanto menos, que había sido objeto de retractaciones y no se compadecía con las con</w:t>
      </w:r>
      <w:r>
        <w:t>s</w:t>
      </w:r>
      <w:r>
        <w:t>tancias de la causa.</w:t>
      </w:r>
    </w:p>
    <w:p w:rsidR="00224567" w:rsidRDefault="00224567">
      <w:pPr>
        <w:widowControl w:val="0"/>
        <w:tabs>
          <w:tab w:val="left" w:pos="2835"/>
        </w:tabs>
      </w:pPr>
      <w:r>
        <w:tab/>
        <w:t>Asimismo, adujo que no se ente</w:t>
      </w:r>
      <w:r>
        <w:t>n</w:t>
      </w:r>
      <w:r>
        <w:t>día por qué el fiscal valoró aquellos dichos sólo con relación a los fines extorsivos y no respecto de las imp</w:t>
      </w:r>
      <w:r>
        <w:t>u</w:t>
      </w:r>
      <w:r>
        <w:t>taciones que Bareiro formuló contra Manuel Enrique Ga</w:t>
      </w:r>
      <w:r>
        <w:t>r</w:t>
      </w:r>
      <w:r>
        <w:t>cía.</w:t>
      </w:r>
    </w:p>
    <w:p w:rsidR="00224567" w:rsidRDefault="00224567">
      <w:pPr>
        <w:widowControl w:val="0"/>
        <w:tabs>
          <w:tab w:val="left" w:pos="2835"/>
        </w:tabs>
      </w:pPr>
      <w:r>
        <w:tab/>
        <w:t>Luego, señaló que el procedimie</w:t>
      </w:r>
      <w:r>
        <w:t>n</w:t>
      </w:r>
      <w:r>
        <w:t>to del día 14 de julio de 1994 fue legal, y que si alguna irreg</w:t>
      </w:r>
      <w:r>
        <w:t>u</w:t>
      </w:r>
      <w:r>
        <w:t>laridad hubo, ocurrió al día siguiente ante la solicitud de Telleldín de arribar a un acuerdo; conducta constitut</w:t>
      </w:r>
      <w:r>
        <w:t>i</w:t>
      </w:r>
      <w:r>
        <w:t>va, en todo caso, del delito de cohecho o concusión.</w:t>
      </w:r>
    </w:p>
    <w:p w:rsidR="00224567" w:rsidRDefault="00224567">
      <w:pPr>
        <w:widowControl w:val="0"/>
        <w:tabs>
          <w:tab w:val="left" w:pos="2835"/>
        </w:tabs>
      </w:pPr>
      <w:r>
        <w:tab/>
        <w:t>Respecto a las nulidades deduc</w:t>
      </w:r>
      <w:r>
        <w:t>i</w:t>
      </w:r>
      <w:r>
        <w:t>das por las partes, el letrado indicó que esa defensa no había s</w:t>
      </w:r>
      <w:r>
        <w:t>o</w:t>
      </w:r>
      <w:r>
        <w:t>licitado la nulidad de las declaraciones indagatorias prestadas por Carlos Alberto Telleldín los días 6 y 7 de agosto de 1994.</w:t>
      </w:r>
    </w:p>
    <w:p w:rsidR="00224567" w:rsidRDefault="00224567">
      <w:pPr>
        <w:widowControl w:val="0"/>
        <w:tabs>
          <w:tab w:val="left" w:pos="2835"/>
        </w:tabs>
      </w:pPr>
      <w:r>
        <w:tab/>
        <w:t>Aclaró que su pedido consistió en la nulidad parcial de la declaración indagatoria del 7 de agosto, como consecuencia de la invalidación de las con</w:t>
      </w:r>
      <w:r>
        <w:t>s</w:t>
      </w:r>
      <w:r>
        <w:t>tancias de fs. 2193/2195 y 3043/3048, relativas al radi</w:t>
      </w:r>
      <w:r>
        <w:t>o</w:t>
      </w:r>
      <w:r>
        <w:t>mensaje de Carlos Telleldín; planteo que a su juicio no fue contestado por las querellas.</w:t>
      </w:r>
    </w:p>
    <w:p w:rsidR="00224567" w:rsidRDefault="00224567">
      <w:pPr>
        <w:widowControl w:val="0"/>
        <w:tabs>
          <w:tab w:val="left" w:pos="2835"/>
        </w:tabs>
      </w:pPr>
      <w:r>
        <w:tab/>
        <w:t>Precisó también que dichas declaraci</w:t>
      </w:r>
      <w:r>
        <w:t>o</w:t>
      </w:r>
      <w:r>
        <w:t>nes de Telleldín devenían inválidas como consecuencia de otras nulidades de orden general por él deduc</w:t>
      </w:r>
      <w:r>
        <w:t>i</w:t>
      </w:r>
      <w:r>
        <w:t>das.</w:t>
      </w:r>
    </w:p>
    <w:p w:rsidR="00224567" w:rsidRDefault="00224567">
      <w:pPr>
        <w:pStyle w:val="Sangradetextonormal"/>
        <w:widowControl w:val="0"/>
        <w:tabs>
          <w:tab w:val="left" w:pos="2835"/>
        </w:tabs>
        <w:ind w:firstLine="0"/>
      </w:pPr>
      <w:r>
        <w:tab/>
        <w:t>Entendió que la fiscalía se co</w:t>
      </w:r>
      <w:r>
        <w:t>n</w:t>
      </w:r>
      <w:r>
        <w:t>fundió al manifestar que esa parte se opuso a la i</w:t>
      </w:r>
      <w:r>
        <w:t>n</w:t>
      </w:r>
      <w:r>
        <w:t>corporación de las certificaciones obrantes a fs. 2193/2195 y del informe glosado a fs. 3043/3048, aclarando que pidió la nulidad de ambas piezas pr</w:t>
      </w:r>
      <w:r>
        <w:t>o</w:t>
      </w:r>
      <w:r>
        <w:t>cesales; de la primera, por no haber sido ordenada por el juez, y de la segunda, por considerar que se trató de un acto irreproducible, que careció del co</w:t>
      </w:r>
      <w:r>
        <w:t>n</w:t>
      </w:r>
      <w:r>
        <w:t>trol y confrontación probatoria de la defe</w:t>
      </w:r>
      <w:r>
        <w:t>n</w:t>
      </w:r>
      <w:r>
        <w:t>sa.</w:t>
      </w:r>
    </w:p>
    <w:p w:rsidR="00224567" w:rsidRDefault="00224567">
      <w:pPr>
        <w:widowControl w:val="0"/>
        <w:tabs>
          <w:tab w:val="left" w:pos="2835"/>
        </w:tabs>
      </w:pPr>
      <w:r>
        <w:rPr>
          <w:bCs/>
        </w:rPr>
        <w:tab/>
        <w:t>Con relación a la nulidad de las d</w:t>
      </w:r>
      <w:r>
        <w:rPr>
          <w:bCs/>
        </w:rPr>
        <w:t>e</w:t>
      </w:r>
      <w:r>
        <w:rPr>
          <w:bCs/>
        </w:rPr>
        <w:t>claraciones testimoniales prestadas por Ana Boragni en j</w:t>
      </w:r>
      <w:r>
        <w:rPr>
          <w:bCs/>
        </w:rPr>
        <w:t>u</w:t>
      </w:r>
      <w:r>
        <w:rPr>
          <w:bCs/>
        </w:rPr>
        <w:t>lio de 1996 y durante el debate, el letrado mencionó que esa defensa, además de adherir a</w:t>
      </w:r>
      <w:r>
        <w:t xml:space="preserve"> los argumentos vertidos por las Dras. Fechino y Novello, en punto a que la conc</w:t>
      </w:r>
      <w:r>
        <w:t>u</w:t>
      </w:r>
      <w:r>
        <w:t>bina de Telleldín había declarado bajo coacción, agregó que los dichos de julio de 1996 se efectuaron como cons</w:t>
      </w:r>
      <w:r>
        <w:t>e</w:t>
      </w:r>
      <w:r>
        <w:t>cuencia del pago y de la declaración nula que prestó T</w:t>
      </w:r>
      <w:r>
        <w:t>e</w:t>
      </w:r>
      <w:r>
        <w:t>lleldín el 5 de julio de 1996.</w:t>
      </w:r>
    </w:p>
    <w:p w:rsidR="00224567" w:rsidRDefault="00224567">
      <w:pPr>
        <w:widowControl w:val="0"/>
        <w:tabs>
          <w:tab w:val="left" w:pos="2835"/>
        </w:tabs>
      </w:pPr>
      <w:r>
        <w:tab/>
        <w:t>Por ello, sostuvo la defensa que en virtud de las prev</w:t>
      </w:r>
      <w:r>
        <w:t>i</w:t>
      </w:r>
      <w:r>
        <w:t>siones del art. 172 del código de rito, al ser nula dicha testimonial, también lo era la declar</w:t>
      </w:r>
      <w:r>
        <w:t>a</w:t>
      </w:r>
      <w:r>
        <w:t>ción de Boragni prestada en el debate.</w:t>
      </w:r>
    </w:p>
    <w:p w:rsidR="00224567" w:rsidRDefault="00224567">
      <w:pPr>
        <w:pStyle w:val="Sangradetextonormal"/>
        <w:widowControl w:val="0"/>
        <w:tabs>
          <w:tab w:val="left" w:pos="2835"/>
        </w:tabs>
        <w:ind w:firstLine="0"/>
      </w:pPr>
      <w:r>
        <w:tab/>
        <w:t>Subrayó que su posición se robu</w:t>
      </w:r>
      <w:r>
        <w:t>s</w:t>
      </w:r>
      <w:r>
        <w:t>tecía con el decreto obrante a fs. 38.628 y con los dichos de Claudio Lifschitz, quien dijo que el pago a Telleldín i</w:t>
      </w:r>
      <w:r>
        <w:t>n</w:t>
      </w:r>
      <w:r>
        <w:t>cluía su declaración y la de su entorno. Que en fu</w:t>
      </w:r>
      <w:r>
        <w:t>n</w:t>
      </w:r>
      <w:r>
        <w:t>ción de ello, el magistrado instructor ordenó el segu</w:t>
      </w:r>
      <w:r>
        <w:t>n</w:t>
      </w:r>
      <w:r>
        <w:t>do pago una vez obtenidos los testimonios de Ana Boragni, Héctor Ba</w:t>
      </w:r>
      <w:r>
        <w:t>n</w:t>
      </w:r>
      <w:r>
        <w:t>ga, Lo Preiato, Jesica Schiavone, Hugo Pérez, el matrim</w:t>
      </w:r>
      <w:r>
        <w:t>o</w:t>
      </w:r>
      <w:r>
        <w:t>nio Malacchia, Setaro, Cotoras y Eduardo Telleldín, qui</w:t>
      </w:r>
      <w:r>
        <w:t>e</w:t>
      </w:r>
      <w:r>
        <w:t>nes, a excepción de la pareja Malacchia, colaboraron con la versión brindada por T</w:t>
      </w:r>
      <w:r>
        <w:t>e</w:t>
      </w:r>
      <w:r>
        <w:t>lleldín.</w:t>
      </w:r>
    </w:p>
    <w:p w:rsidR="00224567" w:rsidRDefault="00224567">
      <w:pPr>
        <w:pStyle w:val="Sangradetextonormal"/>
        <w:widowControl w:val="0"/>
        <w:tabs>
          <w:tab w:val="left" w:pos="2835"/>
        </w:tabs>
        <w:ind w:firstLine="0"/>
      </w:pPr>
      <w:r>
        <w:tab/>
        <w:t>Además, el defensor destacó que entre el primer y segundo pago, el juez ordenó agregar declar</w:t>
      </w:r>
      <w:r>
        <w:t>a</w:t>
      </w:r>
      <w:r>
        <w:t>ciones vinculadas a Ribelli y a Barreiro, que fueron pre</w:t>
      </w:r>
      <w:r>
        <w:t>s</w:t>
      </w:r>
      <w:r>
        <w:t>tadas en el legajo de Solari el 14 de junio de 1996, y que llamó a declarar a personas bajo reserva de su identidad para justificar el procesamiento y prisión preventiva de los policías.</w:t>
      </w:r>
    </w:p>
    <w:p w:rsidR="00224567" w:rsidRDefault="00224567">
      <w:pPr>
        <w:pStyle w:val="Sangradetextonormal"/>
        <w:widowControl w:val="0"/>
        <w:tabs>
          <w:tab w:val="left" w:pos="2835"/>
        </w:tabs>
        <w:ind w:firstLine="0"/>
      </w:pPr>
      <w:r>
        <w:tab/>
        <w:t>Entre los testigos de identidad prot</w:t>
      </w:r>
      <w:r>
        <w:t>e</w:t>
      </w:r>
      <w:r>
        <w:t>gida, el letrado mencionó a Duday, estimando que la inco</w:t>
      </w:r>
      <w:r>
        <w:t>r</w:t>
      </w:r>
      <w:r>
        <w:t>poración de su declaración era nula porque se tr</w:t>
      </w:r>
      <w:r>
        <w:t>a</w:t>
      </w:r>
      <w:r>
        <w:t>tó de un sujeto cuya identidad no fue revelada al momento de la c</w:t>
      </w:r>
      <w:r>
        <w:t>i</w:t>
      </w:r>
      <w:r>
        <w:t>tación a juicio, y porque al morir durante la etapa in</w:t>
      </w:r>
      <w:r>
        <w:t>s</w:t>
      </w:r>
      <w:r>
        <w:t>tructoria imposibilitó a las partes interrogarlo en la a</w:t>
      </w:r>
      <w:r>
        <w:t>u</w:t>
      </w:r>
      <w:r>
        <w:t>diencia.</w:t>
      </w:r>
    </w:p>
    <w:p w:rsidR="00224567" w:rsidRDefault="00224567">
      <w:pPr>
        <w:pStyle w:val="Sangradetextonormal"/>
        <w:widowControl w:val="0"/>
        <w:tabs>
          <w:tab w:val="left" w:pos="2835"/>
        </w:tabs>
        <w:ind w:firstLine="0"/>
      </w:pPr>
      <w:r>
        <w:tab/>
        <w:t>Para demostrar que con las declaraci</w:t>
      </w:r>
      <w:r>
        <w:t>o</w:t>
      </w:r>
      <w:r>
        <w:t>nes de las personas del entorno de Telleldín se pr</w:t>
      </w:r>
      <w:r>
        <w:t>e</w:t>
      </w:r>
      <w:r>
        <w:t>tendió ratificar lo declarado por éste, el letrado hizo refere</w:t>
      </w:r>
      <w:r>
        <w:t>n</w:t>
      </w:r>
      <w:r>
        <w:t xml:space="preserve">cia a las versiones coincidentes brindadas por Ana Boragni sobre </w:t>
      </w:r>
      <w:smartTag w:uri="urn:schemas-microsoft-com:office:smarttags" w:element="PersonName">
        <w:smartTagPr>
          <w:attr w:name="ProductID" w:val="la Trafic"/>
        </w:smartTagPr>
        <w:r>
          <w:t>la Trafic</w:t>
        </w:r>
      </w:smartTag>
      <w:r>
        <w:t xml:space="preserve">, las extorsiones de </w:t>
      </w:r>
      <w:smartTag w:uri="urn:schemas-microsoft-com:office:smarttags" w:element="PersonName">
        <w:smartTagPr>
          <w:attr w:name="ProductID" w:val="la Brigada"/>
        </w:smartTagPr>
        <w:r>
          <w:t>la Br</w:t>
        </w:r>
        <w:r>
          <w:t>i</w:t>
        </w:r>
        <w:r>
          <w:t>gada</w:t>
        </w:r>
      </w:smartTag>
      <w:r>
        <w:t xml:space="preserve"> de Lanús y las prec</w:t>
      </w:r>
      <w:r>
        <w:t>i</w:t>
      </w:r>
      <w:r>
        <w:t xml:space="preserve">siones sobre el procedimiento llevado a cabo por </w:t>
      </w:r>
      <w:smartTag w:uri="urn:schemas-microsoft-com:office:smarttags" w:element="PersonName">
        <w:smartTagPr>
          <w:attr w:name="ProductID" w:val="la Brigada"/>
        </w:smartTagPr>
        <w:r>
          <w:t>la Brigada</w:t>
        </w:r>
      </w:smartTag>
      <w:r>
        <w:t xml:space="preserve"> de Vicente L</w:t>
      </w:r>
      <w:r>
        <w:t>ó</w:t>
      </w:r>
      <w:r>
        <w:t>pez.</w:t>
      </w:r>
    </w:p>
    <w:p w:rsidR="00224567" w:rsidRDefault="00224567">
      <w:pPr>
        <w:pStyle w:val="Sangradetextonormal"/>
        <w:widowControl w:val="0"/>
        <w:tabs>
          <w:tab w:val="left" w:pos="2835"/>
        </w:tabs>
        <w:ind w:firstLine="0"/>
      </w:pPr>
      <w:r>
        <w:tab/>
        <w:t>En cuanto a la nulidad de las declar</w:t>
      </w:r>
      <w:r>
        <w:t>a</w:t>
      </w:r>
      <w:r>
        <w:t>ciones testimoniales prestadas en la instrucción y en el debate por Nélida Virginia Morri, el defensor público of</w:t>
      </w:r>
      <w:r>
        <w:t>i</w:t>
      </w:r>
      <w:r>
        <w:t xml:space="preserve">cial dijo que el fiscal adujo que ese planteo no podía prosperar por entender que la testigo, voluntariamente, quiso colaborar con </w:t>
      </w:r>
      <w:smartTag w:uri="urn:schemas-microsoft-com:office:smarttags" w:element="PersonName">
        <w:smartTagPr>
          <w:attr w:name="ProductID" w:val="la S.I"/>
        </w:smartTagPr>
        <w:r>
          <w:t>la S.I</w:t>
        </w:r>
      </w:smartTag>
      <w:r>
        <w:t>.D.E.</w:t>
      </w:r>
    </w:p>
    <w:p w:rsidR="00224567" w:rsidRDefault="00224567">
      <w:pPr>
        <w:pStyle w:val="Sangradetextonormal"/>
        <w:widowControl w:val="0"/>
        <w:tabs>
          <w:tab w:val="left" w:pos="2835"/>
        </w:tabs>
        <w:ind w:firstLine="0"/>
      </w:pPr>
      <w:r>
        <w:tab/>
        <w:t>Sobre la cuestión, el letrado consid</w:t>
      </w:r>
      <w:r>
        <w:t>e</w:t>
      </w:r>
      <w:r>
        <w:t>ró que de los dichos de Stiuso y de la propia Morri se desprendía que la colaboración no había sido espo</w:t>
      </w:r>
      <w:r>
        <w:t>n</w:t>
      </w:r>
      <w:r>
        <w:t>tánea, y que el representante del Ministerio Público Fiscal olvidó que esa declaración contenía dichos autoincriminantes, r</w:t>
      </w:r>
      <w:r>
        <w:t>a</w:t>
      </w:r>
      <w:r>
        <w:t>zón por la cual correspondía su an</w:t>
      </w:r>
      <w:r>
        <w:t>u</w:t>
      </w:r>
      <w:r>
        <w:t>lación.</w:t>
      </w:r>
    </w:p>
    <w:p w:rsidR="00224567" w:rsidRDefault="00224567">
      <w:pPr>
        <w:widowControl w:val="0"/>
        <w:tabs>
          <w:tab w:val="left" w:pos="2835"/>
        </w:tabs>
      </w:pPr>
      <w:r>
        <w:rPr>
          <w:bCs/>
        </w:rPr>
        <w:tab/>
        <w:t>Acto seguido, el Dr. García cr</w:t>
      </w:r>
      <w:r>
        <w:rPr>
          <w:bCs/>
        </w:rPr>
        <w:t>i</w:t>
      </w:r>
      <w:r>
        <w:rPr>
          <w:bCs/>
        </w:rPr>
        <w:t>ticó la respuesta brindada por el fiscal a los pla</w:t>
      </w:r>
      <w:r>
        <w:rPr>
          <w:bCs/>
        </w:rPr>
        <w:t>n</w:t>
      </w:r>
      <w:r>
        <w:rPr>
          <w:bCs/>
        </w:rPr>
        <w:t xml:space="preserve">teos de nulidad de las declaraciones indagatorias prestadas por Barreda, Bareiro y Bottegal, por entender que se limitó, </w:t>
      </w:r>
      <w:r>
        <w:t>sin anál</w:t>
      </w:r>
      <w:r>
        <w:t>i</w:t>
      </w:r>
      <w:r>
        <w:t>sis de constancia a</w:t>
      </w:r>
      <w:r>
        <w:t>l</w:t>
      </w:r>
      <w:r>
        <w:t>guna de la causa ni cita de doctrina o jurisprudencia, a sostener que no hubo coacción, que p</w:t>
      </w:r>
      <w:r>
        <w:t>u</w:t>
      </w:r>
      <w:r>
        <w:t>dieron efectuar descargos, conocer las pruebas y que co</w:t>
      </w:r>
      <w:r>
        <w:t>n</w:t>
      </w:r>
      <w:r>
        <w:t>taron con un defensor de su co</w:t>
      </w:r>
      <w:r>
        <w:t>n</w:t>
      </w:r>
      <w:r>
        <w:t>fianza.</w:t>
      </w:r>
    </w:p>
    <w:p w:rsidR="00224567" w:rsidRDefault="00224567">
      <w:pPr>
        <w:widowControl w:val="0"/>
        <w:tabs>
          <w:tab w:val="left" w:pos="2835"/>
        </w:tabs>
      </w:pPr>
      <w:r>
        <w:tab/>
        <w:t>Con relación a la  declaración  de Bottegal, el letrado refirió que el vicio que i</w:t>
      </w:r>
      <w:r>
        <w:t>n</w:t>
      </w:r>
      <w:r>
        <w:t>validó su testimonial y luego su indagatoria, fue el hecho de haber sido indicado con anterioridad a tal citación como part</w:t>
      </w:r>
      <w:r>
        <w:t>í</w:t>
      </w:r>
      <w:r>
        <w:t>cipe en la posible comisión de algún ilícito penal, ci</w:t>
      </w:r>
      <w:r>
        <w:t>r</w:t>
      </w:r>
      <w:r>
        <w:t>cunstancia que ocurrió cua</w:t>
      </w:r>
      <w:r>
        <w:t>n</w:t>
      </w:r>
      <w:r>
        <w:t>do fue mencionado por Telleldín en la indagatoria del 6 de agosto de 1994, o bien cuando fue entrevi</w:t>
      </w:r>
      <w:r>
        <w:t>s</w:t>
      </w:r>
      <w:r>
        <w:t>tado por Stiuso.</w:t>
      </w:r>
    </w:p>
    <w:p w:rsidR="00224567" w:rsidRDefault="00224567">
      <w:pPr>
        <w:widowControl w:val="0"/>
        <w:tabs>
          <w:tab w:val="left" w:pos="2835"/>
        </w:tabs>
      </w:pPr>
      <w:r>
        <w:tab/>
        <w:t>Por lo demás, consideró que la prom</w:t>
      </w:r>
      <w:r>
        <w:t>e</w:t>
      </w:r>
      <w:r>
        <w:t>sa de ventajas a cambio de declaraciones constituyó una pru</w:t>
      </w:r>
      <w:r>
        <w:t>e</w:t>
      </w:r>
      <w:r>
        <w:t>ba de la ausencia de imparcialidad del juez, est</w:t>
      </w:r>
      <w:r>
        <w:t>i</w:t>
      </w:r>
      <w:r>
        <w:t>mando que dicha cuestión tampoco fue replicada por los acus</w:t>
      </w:r>
      <w:r>
        <w:t>a</w:t>
      </w:r>
      <w:r>
        <w:t>dores.</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En el mismo sentido se pronunció con relación a los planteos de nulidad de las fs. 114, 865, 866, 870 y los actos consecutivos, que no fueron materia de réplica, reiterando que dichas constancias con</w:t>
      </w:r>
      <w:r>
        <w:rPr>
          <w:rFonts w:ascii="Courier New" w:hAnsi="Courier New" w:cs="Courier New"/>
        </w:rPr>
        <w:t>s</w:t>
      </w:r>
      <w:r>
        <w:rPr>
          <w:rFonts w:ascii="Courier New" w:hAnsi="Courier New" w:cs="Courier New"/>
        </w:rPr>
        <w:t>tituían prueba irrebatible de la parcialidad del juez y de sus c</w:t>
      </w:r>
      <w:r>
        <w:rPr>
          <w:rFonts w:ascii="Courier New" w:hAnsi="Courier New" w:cs="Courier New"/>
        </w:rPr>
        <w:t>o</w:t>
      </w:r>
      <w:r>
        <w:rPr>
          <w:rFonts w:ascii="Courier New" w:hAnsi="Courier New" w:cs="Courier New"/>
        </w:rPr>
        <w:t>laboradores, por lo que debían ser anuladas.</w:t>
      </w:r>
    </w:p>
    <w:p w:rsidR="00224567" w:rsidRDefault="00224567">
      <w:pPr>
        <w:pStyle w:val="Textoindependiente2"/>
        <w:widowControl w:val="0"/>
        <w:tabs>
          <w:tab w:val="left" w:pos="2835"/>
        </w:tabs>
        <w:ind w:firstLine="709"/>
        <w:rPr>
          <w:rFonts w:ascii="Courier New" w:hAnsi="Courier New" w:cs="Courier New"/>
        </w:rPr>
      </w:pPr>
      <w:r>
        <w:rPr>
          <w:rFonts w:ascii="Courier New" w:hAnsi="Courier New" w:cs="Courier New"/>
        </w:rPr>
        <w:tab/>
        <w:t>En punto al planteo de ausencia de i</w:t>
      </w:r>
      <w:r>
        <w:rPr>
          <w:rFonts w:ascii="Courier New" w:hAnsi="Courier New" w:cs="Courier New"/>
        </w:rPr>
        <w:t>m</w:t>
      </w:r>
      <w:r>
        <w:rPr>
          <w:rFonts w:ascii="Courier New" w:hAnsi="Courier New" w:cs="Courier New"/>
        </w:rPr>
        <w:t>parcialidad e independencia del magistrado instru</w:t>
      </w:r>
      <w:r>
        <w:rPr>
          <w:rFonts w:ascii="Courier New" w:hAnsi="Courier New" w:cs="Courier New"/>
        </w:rPr>
        <w:t>c</w:t>
      </w:r>
      <w:r>
        <w:rPr>
          <w:rFonts w:ascii="Courier New" w:hAnsi="Courier New" w:cs="Courier New"/>
        </w:rPr>
        <w:t>tor, el letrado advirtió que tanto el fiscal c</w:t>
      </w:r>
      <w:r>
        <w:rPr>
          <w:rFonts w:ascii="Courier New" w:hAnsi="Courier New" w:cs="Courier New"/>
        </w:rPr>
        <w:t>o</w:t>
      </w:r>
      <w:r>
        <w:rPr>
          <w:rFonts w:ascii="Courier New" w:hAnsi="Courier New" w:cs="Courier New"/>
        </w:rPr>
        <w:t xml:space="preserve">mo las querellas se refirieron exclusivamente a la reunión del juez con el presidente de </w:t>
      </w:r>
      <w:smartTag w:uri="urn:schemas-microsoft-com:office:smarttags" w:element="PersonName">
        <w:smartTagPr>
          <w:attr w:name="ProductID" w:val="la Naci￳n"/>
        </w:smartTagPr>
        <w:r>
          <w:rPr>
            <w:rFonts w:ascii="Courier New" w:hAnsi="Courier New" w:cs="Courier New"/>
          </w:rPr>
          <w:t>la Nación</w:t>
        </w:r>
      </w:smartTag>
      <w:r>
        <w:rPr>
          <w:rFonts w:ascii="Courier New" w:hAnsi="Courier New" w:cs="Courier New"/>
        </w:rPr>
        <w:t xml:space="preserve"> y otros funcionarios del Poder Ejecutivo en la residencia de Olivos, omitiendo el trat</w:t>
      </w:r>
      <w:r>
        <w:rPr>
          <w:rFonts w:ascii="Courier New" w:hAnsi="Courier New" w:cs="Courier New"/>
        </w:rPr>
        <w:t>a</w:t>
      </w:r>
      <w:r>
        <w:rPr>
          <w:rFonts w:ascii="Courier New" w:hAnsi="Courier New" w:cs="Courier New"/>
        </w:rPr>
        <w:t>miento de las demás cuestiones demostrativas de que el juez se apartó de la prueba incorporada legalmente al pr</w:t>
      </w:r>
      <w:r>
        <w:rPr>
          <w:rFonts w:ascii="Courier New" w:hAnsi="Courier New" w:cs="Courier New"/>
        </w:rPr>
        <w:t>o</w:t>
      </w:r>
      <w:r>
        <w:rPr>
          <w:rFonts w:ascii="Courier New" w:hAnsi="Courier New" w:cs="Courier New"/>
        </w:rPr>
        <w:t>ceso.</w:t>
      </w:r>
    </w:p>
    <w:p w:rsidR="00224567" w:rsidRDefault="00224567">
      <w:pPr>
        <w:widowControl w:val="0"/>
        <w:tabs>
          <w:tab w:val="left" w:pos="2835"/>
        </w:tabs>
      </w:pPr>
      <w:r>
        <w:tab/>
        <w:t>El defensor público oficial precisó que aquella visita evidenciaba un cuestionamiento más gr</w:t>
      </w:r>
      <w:r>
        <w:t>a</w:t>
      </w:r>
      <w:r>
        <w:t>ve que el de la pérdida de imparcialidad del juez, pues afectaba directamente a la independencia judicial, señ</w:t>
      </w:r>
      <w:r>
        <w:t>a</w:t>
      </w:r>
      <w:r>
        <w:t>lando, además, que a partir de ese encuentro, el magistr</w:t>
      </w:r>
      <w:r>
        <w:t>a</w:t>
      </w:r>
      <w:r>
        <w:t>do optó por una línea de investigación determ</w:t>
      </w:r>
      <w:r>
        <w:t>i</w:t>
      </w:r>
      <w:r>
        <w:t>nada.</w:t>
      </w:r>
    </w:p>
    <w:p w:rsidR="00224567" w:rsidRDefault="00224567">
      <w:pPr>
        <w:pStyle w:val="Sangradetextonormal"/>
        <w:widowControl w:val="0"/>
        <w:tabs>
          <w:tab w:val="left" w:pos="2835"/>
        </w:tabs>
        <w:ind w:firstLine="0"/>
      </w:pPr>
      <w:r>
        <w:tab/>
        <w:t>Con relación al planteo de nul</w:t>
      </w:r>
      <w:r>
        <w:t>i</w:t>
      </w:r>
      <w:r>
        <w:t>dad de la incorporación al debate de las transcripciones de las conversaciones telefónicas del abonado nº 768-0902, cuyas casetes se encuentran perdidas, el defensor oficial reco</w:t>
      </w:r>
      <w:r>
        <w:t>r</w:t>
      </w:r>
      <w:r>
        <w:t>dó que se opuso a la incorporación por lectura de dichas desgrabaciones, por entender que al no contar con su s</w:t>
      </w:r>
      <w:r>
        <w:t>o</w:t>
      </w:r>
      <w:r>
        <w:t>porte sonoro original se había vedado la posibilidad de controlar la fidelidad de las mismas. Además, indicó que al no encontrarse rubricadas por quienes las realizaron, no tuvo de la posibilidad de conocer quién había sido el responsable de ello.</w:t>
      </w:r>
    </w:p>
    <w:p w:rsidR="00224567" w:rsidRDefault="00224567">
      <w:pPr>
        <w:pStyle w:val="Sangradetextonormal"/>
        <w:widowControl w:val="0"/>
        <w:tabs>
          <w:tab w:val="left" w:pos="2835"/>
        </w:tabs>
        <w:ind w:firstLine="0"/>
      </w:pPr>
      <w:r>
        <w:tab/>
        <w:t>Adujo que si bien rige el sistema de libertad probatoria, las pruebas pueden ser válidamente incorporadas al proceso a través de los medios exclusiv</w:t>
      </w:r>
      <w:r>
        <w:t>a</w:t>
      </w:r>
      <w:r>
        <w:t>mente regulados en el código procesal.</w:t>
      </w:r>
    </w:p>
    <w:p w:rsidR="00224567" w:rsidRDefault="00224567">
      <w:pPr>
        <w:pStyle w:val="Sangradetextonormal"/>
        <w:widowControl w:val="0"/>
        <w:tabs>
          <w:tab w:val="left" w:pos="2835"/>
        </w:tabs>
        <w:ind w:firstLine="0"/>
      </w:pPr>
      <w:r>
        <w:tab/>
        <w:t>Por ello, el defensor sostuvo que las desgrabaciones introducidas en el debate no resultaban susceptibles de ser valoradas por el trib</w:t>
      </w:r>
      <w:r>
        <w:t>u</w:t>
      </w:r>
      <w:r>
        <w:t>nal, al no haber sido incorporadas a la causa por medio de un acta que ce</w:t>
      </w:r>
      <w:r>
        <w:t>r</w:t>
      </w:r>
      <w:r>
        <w:t>tificara su autenticidad respecto de los originales, y porque no pudieron ser sometidas al control de su fidel</w:t>
      </w:r>
      <w:r>
        <w:t>i</w:t>
      </w:r>
      <w:r>
        <w:t>dad por esa defe</w:t>
      </w:r>
      <w:r>
        <w:t>n</w:t>
      </w:r>
      <w:r>
        <w:t>sa.</w:t>
      </w:r>
    </w:p>
    <w:p w:rsidR="00224567" w:rsidRDefault="00224567">
      <w:pPr>
        <w:pStyle w:val="Sangradetextonormal"/>
        <w:widowControl w:val="0"/>
        <w:tabs>
          <w:tab w:val="left" w:pos="2835"/>
        </w:tabs>
        <w:ind w:firstLine="0"/>
      </w:pPr>
      <w:r>
        <w:tab/>
        <w:t>Estimó que, de ser valoradas aquellas conversaciones como prueba de cargo en la sentencia, inv</w:t>
      </w:r>
      <w:r>
        <w:t>a</w:t>
      </w:r>
      <w:r>
        <w:t>lidarán la decisión del tribunal, por afectar las gara</w:t>
      </w:r>
      <w:r>
        <w:t>n</w:t>
      </w:r>
      <w:r>
        <w:t>tías constitucionales del derecho al debido proceso y d</w:t>
      </w:r>
      <w:r>
        <w:t>e</w:t>
      </w:r>
      <w:r>
        <w:t xml:space="preserve">fensa en juicio, contenidas en los arts. 18 y 75, inc. 22, de </w:t>
      </w:r>
      <w:smartTag w:uri="urn:schemas-microsoft-com:office:smarttags" w:element="PersonName">
        <w:smartTagPr>
          <w:attr w:name="ProductID" w:val="la Constituci￳n Nacional"/>
        </w:smartTagPr>
        <w:r>
          <w:t>la Constitución Nacional</w:t>
        </w:r>
      </w:smartTag>
      <w:r>
        <w:t xml:space="preserve">; 8 de </w:t>
      </w:r>
      <w:smartTag w:uri="urn:schemas-microsoft-com:office:smarttags" w:element="PersonName">
        <w:smartTagPr>
          <w:attr w:name="ProductID" w:val="la Convenci￳n Americana"/>
        </w:smartTagPr>
        <w:r>
          <w:t>la Co</w:t>
        </w:r>
        <w:r>
          <w:t>n</w:t>
        </w:r>
        <w:r>
          <w:t>vención Americana</w:t>
        </w:r>
      </w:smartTag>
      <w:r>
        <w:t xml:space="preserve"> de Derechos Humanos; 14 del Pacto Internacional de Der</w:t>
      </w:r>
      <w:r>
        <w:t>e</w:t>
      </w:r>
      <w:r>
        <w:t>chos Civiles y Políticos y 167, inc. 3º, y 168 del C.P.P.N.</w:t>
      </w:r>
    </w:p>
    <w:p w:rsidR="00224567" w:rsidRDefault="00224567">
      <w:pPr>
        <w:pStyle w:val="Sangradetextonormal"/>
        <w:widowControl w:val="0"/>
        <w:tabs>
          <w:tab w:val="left" w:pos="2835"/>
        </w:tabs>
        <w:ind w:firstLine="0"/>
      </w:pPr>
      <w:r>
        <w:tab/>
        <w:t>En sustento a su posición, el asiste</w:t>
      </w:r>
      <w:r>
        <w:t>n</w:t>
      </w:r>
      <w:r>
        <w:t>te técnico citó artículos de doctrina de los Dres. Fra</w:t>
      </w:r>
      <w:r>
        <w:t>n</w:t>
      </w:r>
      <w:r>
        <w:t xml:space="preserve">cisco D’Albora, de </w:t>
      </w:r>
      <w:smartTag w:uri="urn:schemas-microsoft-com:office:smarttags" w:element="PersonName">
        <w:smartTagPr>
          <w:attr w:name="ProductID" w:val="la R￺a"/>
        </w:smartTagPr>
        <w:r>
          <w:t>la Rúa</w:t>
        </w:r>
      </w:smartTag>
      <w:r>
        <w:t xml:space="preserve"> y Luis M. García, y los prec</w:t>
      </w:r>
      <w:r>
        <w:t>e</w:t>
      </w:r>
      <w:r>
        <w:t xml:space="preserve">dentes jurisprudenciales “Abasto” de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N"/>
        </w:smartTagPr>
        <w:r>
          <w:t>la C.N</w:t>
        </w:r>
      </w:smartTag>
      <w:r>
        <w:t>.C.P. y “Novoa, Jorge A.”, “Fuñ</w:t>
      </w:r>
      <w:r>
        <w:t>o</w:t>
      </w:r>
      <w:r>
        <w:t xml:space="preserve">li Salazar” y “Arriaga, Ricardo, Tissera, Walter y otros s/recurso de casación”, de </w:t>
      </w:r>
      <w:smartTag w:uri="urn:schemas-microsoft-com:office:smarttags" w:element="PersonName">
        <w:smartTagPr>
          <w:attr w:name="ProductID" w:val="la Sala III"/>
        </w:smartTagPr>
        <w:r>
          <w:t>la Sala III</w:t>
        </w:r>
      </w:smartTag>
      <w:r>
        <w:t xml:space="preserve"> de ese tribunal.</w:t>
      </w:r>
    </w:p>
    <w:p w:rsidR="00224567" w:rsidRDefault="00224567">
      <w:pPr>
        <w:pStyle w:val="Sangradetextonormal"/>
        <w:widowControl w:val="0"/>
        <w:tabs>
          <w:tab w:val="left" w:pos="2835"/>
        </w:tabs>
        <w:ind w:firstLine="0"/>
      </w:pPr>
      <w:r>
        <w:tab/>
        <w:t>Asimismo, en respuesta a lo afirmado por el Dr. Ávila, el defensor recalcó que existían dif</w:t>
      </w:r>
      <w:r>
        <w:t>e</w:t>
      </w:r>
      <w:r>
        <w:t xml:space="preserve">rencias notables entre las desgrabaciones efectuadas por </w:t>
      </w:r>
      <w:smartTag w:uri="urn:schemas-microsoft-com:office:smarttags" w:element="PersonName">
        <w:smartTagPr>
          <w:attr w:name="ProductID" w:val="la S.I"/>
        </w:smartTagPr>
        <w:r>
          <w:t>la S.I</w:t>
        </w:r>
      </w:smartTag>
      <w:r>
        <w:t>.D.E. y por el D.P.O.C.</w:t>
      </w:r>
    </w:p>
    <w:p w:rsidR="00224567" w:rsidRDefault="00224567">
      <w:pPr>
        <w:pStyle w:val="Sangradetextonormal"/>
        <w:widowControl w:val="0"/>
        <w:tabs>
          <w:tab w:val="left" w:pos="2835"/>
        </w:tabs>
        <w:ind w:firstLine="0"/>
      </w:pPr>
      <w:r>
        <w:tab/>
      </w:r>
      <w:r>
        <w:rPr>
          <w:bCs/>
        </w:rPr>
        <w:t>En punto a las excepciones ded</w:t>
      </w:r>
      <w:r>
        <w:rPr>
          <w:bCs/>
        </w:rPr>
        <w:t>u</w:t>
      </w:r>
      <w:r>
        <w:rPr>
          <w:bCs/>
        </w:rPr>
        <w:t>cidas, el d</w:t>
      </w:r>
      <w:r>
        <w:rPr>
          <w:bCs/>
        </w:rPr>
        <w:t>e</w:t>
      </w:r>
      <w:r>
        <w:rPr>
          <w:bCs/>
        </w:rPr>
        <w:t xml:space="preserve">fensor oficial mencionó que durante las réplicas </w:t>
      </w:r>
      <w:r>
        <w:t>nada se dijo respecto del apartamiento del Estado en la inve</w:t>
      </w:r>
      <w:r>
        <w:t>s</w:t>
      </w:r>
      <w:r>
        <w:t>tigación de los hechos por la comisión de violaciones gr</w:t>
      </w:r>
      <w:r>
        <w:t>a</w:t>
      </w:r>
      <w:r>
        <w:t>ves de derechos fundamentales, razón por la cual se rem</w:t>
      </w:r>
      <w:r>
        <w:t>i</w:t>
      </w:r>
      <w:r>
        <w:t>tió a los argumentos brindados durante su alegato.</w:t>
      </w:r>
    </w:p>
    <w:p w:rsidR="00224567" w:rsidRDefault="00224567">
      <w:pPr>
        <w:widowControl w:val="0"/>
        <w:tabs>
          <w:tab w:val="left" w:pos="2835"/>
        </w:tabs>
      </w:pPr>
      <w:r>
        <w:tab/>
        <w:t>Acerca de la extinción de la acción penal por la superación del plazo máximo de duración del proceso, dijo que el acusador público sostuvo que un in</w:t>
      </w:r>
      <w:r>
        <w:t>s</w:t>
      </w:r>
      <w:r>
        <w:t>tituto tal no formaba parte del derecho vigente porque no estaba recogido legislativamente, y que en términos impr</w:t>
      </w:r>
      <w:r>
        <w:t>o</w:t>
      </w:r>
      <w:r>
        <w:t>pios se intentó hacer una aplicación extensiva del inst</w:t>
      </w:r>
      <w:r>
        <w:t>i</w:t>
      </w:r>
      <w:r>
        <w:t>tuto de la prescripción.</w:t>
      </w:r>
    </w:p>
    <w:p w:rsidR="00224567" w:rsidRDefault="00224567">
      <w:pPr>
        <w:widowControl w:val="0"/>
        <w:tabs>
          <w:tab w:val="left" w:pos="2835"/>
        </w:tabs>
      </w:pPr>
      <w:r>
        <w:tab/>
        <w:t>El letrado entendió que aquella obj</w:t>
      </w:r>
      <w:r>
        <w:t>e</w:t>
      </w:r>
      <w:r>
        <w:t>ción era equivocada, porque la reforma constitucional de 1994 incorporó instrumentos internacionales que recogen expresamente el derecho en cuestión. Asimismo, respecto de la operatividad de los derechos fundament</w:t>
      </w:r>
      <w:r>
        <w:t>a</w:t>
      </w:r>
      <w:r>
        <w:t>les reconocidos en los tratados internacionales de derechos humanos me</w:t>
      </w:r>
      <w:r>
        <w:t>n</w:t>
      </w:r>
      <w:r>
        <w:t>cionó los pr</w:t>
      </w:r>
      <w:r>
        <w:t>e</w:t>
      </w:r>
      <w:r>
        <w:t xml:space="preserve">cedentes </w:t>
      </w:r>
      <w:r>
        <w:rPr>
          <w:color w:val="000000"/>
        </w:rPr>
        <w:t>“Giroldi” y “Ekmekdjián c/Sofovich”</w:t>
      </w:r>
      <w:r>
        <w:t xml:space="preserve"> de </w:t>
      </w:r>
      <w:smartTag w:uri="urn:schemas-microsoft-com:office:smarttags" w:element="PersonName">
        <w:smartTagPr>
          <w:attr w:name="ProductID" w:val="la C.S"/>
        </w:smartTagPr>
        <w:r>
          <w:t>la C.S</w:t>
        </w:r>
      </w:smartTag>
      <w:r>
        <w:t>.J.N.</w:t>
      </w:r>
    </w:p>
    <w:p w:rsidR="00224567" w:rsidRDefault="00224567">
      <w:pPr>
        <w:widowControl w:val="0"/>
        <w:tabs>
          <w:tab w:val="left" w:pos="2835"/>
        </w:tabs>
      </w:pPr>
      <w:r>
        <w:tab/>
        <w:t>Con relación al planteo de inconstit</w:t>
      </w:r>
      <w:r>
        <w:t>u</w:t>
      </w:r>
      <w:r>
        <w:t>cionalidad del cómputo de la prisión preve</w:t>
      </w:r>
      <w:r>
        <w:t>n</w:t>
      </w:r>
      <w:r>
        <w:t>tiva en la pena de reclusión, el defensor público oficial señaló que éste era el momento procesal oportuno para su tratamiento po</w:t>
      </w:r>
      <w:r>
        <w:t>r</w:t>
      </w:r>
      <w:r>
        <w:t>que existía un concreto pedido de condena a esa clase de pena, y la posibilidad cierta de que se aplicaran todas las disposiciones del código su</w:t>
      </w:r>
      <w:r>
        <w:t>s</w:t>
      </w:r>
      <w:r>
        <w:t>tantivo correspondientes a ella. En sustento de su posición, hizo referencia al pr</w:t>
      </w:r>
      <w:r>
        <w:t>e</w:t>
      </w:r>
      <w:r>
        <w:t xml:space="preserve">cedente “Méndez, Nancy”, de </w:t>
      </w:r>
      <w:smartTag w:uri="urn:schemas-microsoft-com:office:smarttags" w:element="PersonName">
        <w:smartTagPr>
          <w:attr w:name="ProductID" w:val="la Sala III"/>
        </w:smartTagPr>
        <w:r>
          <w:t>la Sala III</w:t>
        </w:r>
      </w:smartTag>
      <w:r>
        <w:t xml:space="preserve"> de </w:t>
      </w:r>
      <w:smartTag w:uri="urn:schemas-microsoft-com:office:smarttags" w:element="PersonName">
        <w:smartTagPr>
          <w:attr w:name="ProductID" w:val="la C.N"/>
        </w:smartTagPr>
        <w:r>
          <w:t>la C.N</w:t>
        </w:r>
      </w:smartTag>
      <w:r>
        <w:t>.C.P.</w:t>
      </w:r>
    </w:p>
    <w:p w:rsidR="00224567" w:rsidRDefault="00224567">
      <w:pPr>
        <w:pStyle w:val="Sangradetextonormal"/>
        <w:widowControl w:val="0"/>
        <w:tabs>
          <w:tab w:val="left" w:pos="2835"/>
        </w:tabs>
        <w:ind w:firstLine="0"/>
      </w:pPr>
      <w:r>
        <w:tab/>
        <w:t xml:space="preserve">Por último, tras considerar que del fallo “Duarte”, de </w:t>
      </w:r>
      <w:smartTag w:uri="urn:schemas-microsoft-com:office:smarttags" w:element="PersonName">
        <w:smartTagPr>
          <w:attr w:name="ProductID" w:val="la Sala IV"/>
        </w:smartTagPr>
        <w:r>
          <w:t>la Sala IV</w:t>
        </w:r>
      </w:smartTag>
      <w:r>
        <w:t xml:space="preserve"> de </w:t>
      </w:r>
      <w:smartTag w:uri="urn:schemas-microsoft-com:office:smarttags" w:element="PersonName">
        <w:smartTagPr>
          <w:attr w:name="ProductID" w:val="la C.N"/>
        </w:smartTagPr>
        <w:r>
          <w:t>la C.N</w:t>
        </w:r>
      </w:smartTag>
      <w:r>
        <w:t>.C.P., citado por la fiscalía, no se infiere que deba aplicarse al caso la ley 25.430, rechazó la postura del acusador público m</w:t>
      </w:r>
      <w:r>
        <w:t>e</w:t>
      </w:r>
      <w:r>
        <w:t>diante la cual pretendió considerar retroactivamente der</w:t>
      </w:r>
      <w:r>
        <w:t>o</w:t>
      </w:r>
      <w:r>
        <w:t>gado el cómputo privilegi</w:t>
      </w:r>
      <w:r>
        <w:t>a</w:t>
      </w:r>
      <w:r>
        <w:t>do de la ley 24.390.</w:t>
      </w:r>
    </w:p>
    <w:p w:rsidR="00224567" w:rsidRDefault="00224567">
      <w:pPr>
        <w:widowControl w:val="0"/>
        <w:rPr>
          <w:lang w:val="es-ES_tradnl"/>
        </w:rPr>
      </w:pPr>
    </w:p>
    <w:p w:rsidR="00224567" w:rsidRDefault="00224567">
      <w:pPr>
        <w:widowControl w:val="0"/>
      </w:pPr>
      <w:r>
        <w:rPr>
          <w:lang w:val="es-ES_tradnl"/>
        </w:rPr>
        <w:tab/>
      </w:r>
      <w:r>
        <w:rPr>
          <w:b/>
          <w:bCs/>
        </w:rPr>
        <w:t>B.6)</w:t>
      </w:r>
      <w:r>
        <w:t xml:space="preserve"> En la oportunidad prevista en el art. 393, párrafos 4º y 5º del Código Procesal Penal de </w:t>
      </w:r>
      <w:smartTag w:uri="urn:schemas-microsoft-com:office:smarttags" w:element="PersonName">
        <w:smartTagPr>
          <w:attr w:name="ProductID" w:val="la Naci￳n"/>
        </w:smartTagPr>
        <w:r>
          <w:t>la Nación</w:t>
        </w:r>
      </w:smartTag>
      <w:r>
        <w:t>, el Dr. Dromi hizo uso de su derecho a dúplica, e</w:t>
      </w:r>
      <w:r>
        <w:t>x</w:t>
      </w:r>
      <w:r>
        <w:t>plicando, en respuesta a lo man</w:t>
      </w:r>
      <w:r>
        <w:t>i</w:t>
      </w:r>
      <w:r>
        <w:t>festado por el Dr. Ubeira, que él se había limitado a referir circun</w:t>
      </w:r>
      <w:r>
        <w:t>s</w:t>
      </w:r>
      <w:r>
        <w:t>tancias fácticas que constan en la causa y permiten sustentar la versión sostenida por su asistido Huici, considerando que los agravios que aquella defensa formuló con relación a su asistido, no hacían más que demostrar que no existió el</w:t>
      </w:r>
      <w:r>
        <w:t>e</w:t>
      </w:r>
      <w:r>
        <w:t>mento pr</w:t>
      </w:r>
      <w:r>
        <w:t>o</w:t>
      </w:r>
      <w:r>
        <w:t>batorio capaz de desvirtuar su versión.</w:t>
      </w:r>
    </w:p>
    <w:p w:rsidR="00224567" w:rsidRDefault="00224567">
      <w:pPr>
        <w:widowControl w:val="0"/>
        <w:tabs>
          <w:tab w:val="left" w:pos="2835"/>
        </w:tabs>
      </w:pPr>
      <w:r>
        <w:tab/>
        <w:t>En ese sentido, refirió que la asev</w:t>
      </w:r>
      <w:r>
        <w:t>e</w:t>
      </w:r>
      <w:r>
        <w:t>ración formulada por el abogado de Juan José Ribelli ace</w:t>
      </w:r>
      <w:r>
        <w:t>r</w:t>
      </w:r>
      <w:r>
        <w:t>ca del supuesto arreglo espurio que se hubiera efectiviz</w:t>
      </w:r>
      <w:r>
        <w:t>a</w:t>
      </w:r>
      <w:r>
        <w:t>do una vez iniciado el juicio oral, entre Huici y la qu</w:t>
      </w:r>
      <w:r>
        <w:t>e</w:t>
      </w:r>
      <w:r>
        <w:t>rella D.A.I.A., A.M.I.A. y “Grupo de familiares” era ofe</w:t>
      </w:r>
      <w:r>
        <w:t>n</w:t>
      </w:r>
      <w:r>
        <w:t>siva, insultante y había sido afirmada sin prueba alguna que la fund</w:t>
      </w:r>
      <w:r>
        <w:t>a</w:t>
      </w:r>
      <w:r>
        <w:t>mente. Además, sostuvo que la adhesión a esos arg</w:t>
      </w:r>
      <w:r>
        <w:t>u</w:t>
      </w:r>
      <w:r>
        <w:t>mentos que la asistencia técnica de Ibarra formuló en ocasión de ejercer su derecho a réplica era agraviante y no meditada.</w:t>
      </w:r>
    </w:p>
    <w:p w:rsidR="00224567" w:rsidRDefault="00224567">
      <w:pPr>
        <w:widowControl w:val="0"/>
        <w:tabs>
          <w:tab w:val="left" w:pos="2835"/>
        </w:tabs>
      </w:pPr>
      <w:r>
        <w:tab/>
        <w:t>Respecto de la querella D.A.I.A., A.M.I.A. y “Grupo de Familiares”, el letrado expresó que parecía mentira que a esta altura del debate alguien p</w:t>
      </w:r>
      <w:r>
        <w:t>u</w:t>
      </w:r>
      <w:r>
        <w:t>diera negar las irregularidades cometidas en la etapa in</w:t>
      </w:r>
      <w:r>
        <w:t>s</w:t>
      </w:r>
      <w:r>
        <w:t>tructoria, reiterando que la única sol</w:t>
      </w:r>
      <w:r>
        <w:t>u</w:t>
      </w:r>
      <w:r>
        <w:t>ción posible era la nulidad absoluta de todo el pr</w:t>
      </w:r>
      <w:r>
        <w:t>o</w:t>
      </w:r>
      <w:r>
        <w:t>ceso.</w:t>
      </w:r>
    </w:p>
    <w:p w:rsidR="00224567" w:rsidRDefault="00224567">
      <w:pPr>
        <w:widowControl w:val="0"/>
        <w:tabs>
          <w:tab w:val="left" w:pos="2835"/>
        </w:tabs>
      </w:pPr>
      <w:r>
        <w:tab/>
        <w:t>Asimismo, remarcó que jamás dudó que la imputación por el atentado respecto de quienes se e</w:t>
      </w:r>
      <w:r>
        <w:t>n</w:t>
      </w:r>
      <w:r>
        <w:t>contraban detenidos, obedeció a un “plan macabro”, diseñ</w:t>
      </w:r>
      <w:r>
        <w:t>a</w:t>
      </w:r>
      <w:r>
        <w:t>do para atribuir responsabilidades a personas inocentes de ese hecho.</w:t>
      </w:r>
    </w:p>
    <w:p w:rsidR="00224567" w:rsidRDefault="00224567">
      <w:pPr>
        <w:widowControl w:val="0"/>
        <w:tabs>
          <w:tab w:val="left" w:pos="2835"/>
        </w:tabs>
      </w:pPr>
      <w:r>
        <w:tab/>
        <w:t>Por último, indicó que la util</w:t>
      </w:r>
      <w:r>
        <w:t>i</w:t>
      </w:r>
      <w:r>
        <w:t>zación de Huici por parte de la mencionada querella evidenciaba la orfandad probatoria para acreditar la responsabilidad de los acusados por el atentado, señalando que había qu</w:t>
      </w:r>
      <w:r>
        <w:t>e</w:t>
      </w:r>
      <w:r>
        <w:t>dado demostrado que ellos no eran los verdaderos respons</w:t>
      </w:r>
      <w:r>
        <w:t>a</w:t>
      </w:r>
      <w:r>
        <w:t>bles.</w:t>
      </w:r>
    </w:p>
    <w:p w:rsidR="00224567" w:rsidRDefault="00224567">
      <w:pPr>
        <w:widowControl w:val="0"/>
        <w:tabs>
          <w:tab w:val="left" w:pos="2835"/>
        </w:tabs>
      </w:pPr>
    </w:p>
    <w:p w:rsidR="00224567" w:rsidRDefault="00224567">
      <w:pPr>
        <w:widowControl w:val="0"/>
        <w:tabs>
          <w:tab w:val="left" w:pos="2835"/>
        </w:tabs>
      </w:pPr>
      <w:r>
        <w:tab/>
      </w:r>
      <w:r>
        <w:rPr>
          <w:b/>
          <w:bCs/>
        </w:rPr>
        <w:t>B.7)</w:t>
      </w:r>
      <w:r>
        <w:t xml:space="preserve"> A su turno, el Dr. García Dietze hizo uso de su derecho a dúplica, entendiendo que los ac</w:t>
      </w:r>
      <w:r>
        <w:t>u</w:t>
      </w:r>
      <w:r>
        <w:t>sadores no refutaron lo sostenido en su alegato.</w:t>
      </w:r>
    </w:p>
    <w:p w:rsidR="00224567" w:rsidRDefault="00224567">
      <w:pPr>
        <w:widowControl w:val="0"/>
      </w:pPr>
      <w:r>
        <w:tab/>
        <w:t>Con respecto al testigo Villalba, el letrado señaló que el nombrado no tenía obligación de pe</w:t>
      </w:r>
      <w:r>
        <w:t>r</w:t>
      </w:r>
      <w:r>
        <w:t>cibir todo aquello que lo rodeaba, toda vez que sostener lo contrario implicaba una omisión a los principios del conocimiento y de la posibilidad de captación de las pe</w:t>
      </w:r>
      <w:r>
        <w:t>r</w:t>
      </w:r>
      <w:r>
        <w:t>sonas.</w:t>
      </w:r>
    </w:p>
    <w:p w:rsidR="00224567" w:rsidRDefault="00224567">
      <w:pPr>
        <w:widowControl w:val="0"/>
      </w:pPr>
      <w:r>
        <w:tab/>
        <w:t>También, indicó que nada dijeron las querellas del test</w:t>
      </w:r>
      <w:r>
        <w:t>i</w:t>
      </w:r>
      <w:r>
        <w:t>monio del periodista Bianco, ya que no se cuestionaron la circunstancia de que una persona, inm</w:t>
      </w:r>
      <w:r>
        <w:t>e</w:t>
      </w:r>
      <w:r>
        <w:t>diatamente después de ocurrido el atentado, caminara por el lugar con una bolsa y un pedazo de motor. Reiteró e</w:t>
      </w:r>
      <w:r>
        <w:t>n</w:t>
      </w:r>
      <w:r>
        <w:t>tonces, el defensor, la hipótesis de que ese sujeto se e</w:t>
      </w:r>
      <w:r>
        <w:t>n</w:t>
      </w:r>
      <w:r>
        <w:t>contraba vaciando la bolsa y no juntando elementos; no obstante, entendió que, sea en uno u otro sentido, la s</w:t>
      </w:r>
      <w:r>
        <w:t>i</w:t>
      </w:r>
      <w:r>
        <w:t>tuación se presentaba harto sospechosa.</w:t>
      </w:r>
    </w:p>
    <w:p w:rsidR="00224567" w:rsidRDefault="00224567">
      <w:pPr>
        <w:widowControl w:val="0"/>
      </w:pPr>
      <w:r>
        <w:tab/>
        <w:t>Explicó que la acusación, al ejercer su derecho a répl</w:t>
      </w:r>
      <w:r>
        <w:t>i</w:t>
      </w:r>
      <w:r>
        <w:t xml:space="preserve">ca, pretendió acreditar la existencia de </w:t>
      </w:r>
      <w:smartTag w:uri="urn:schemas-microsoft-com:office:smarttags" w:element="PersonName">
        <w:smartTagPr>
          <w:attr w:name="ProductID" w:val="la Trafic"/>
        </w:smartTagPr>
        <w:r>
          <w:t>la Trafic</w:t>
        </w:r>
      </w:smartTag>
      <w:r>
        <w:t xml:space="preserve"> a través del pedazo de amortiguador encontrado en el cuerpo de Díaz.</w:t>
      </w:r>
    </w:p>
    <w:p w:rsidR="00224567" w:rsidRDefault="00224567">
      <w:pPr>
        <w:widowControl w:val="0"/>
      </w:pPr>
      <w:r>
        <w:tab/>
        <w:t>Acerca de dicha pieza, el defensor  reiteró que en ella no se detectó la presencia de susta</w:t>
      </w:r>
      <w:r>
        <w:t>n</w:t>
      </w:r>
      <w:r>
        <w:t>cias constitutivas de bajos explosivos, como tampoco ve</w:t>
      </w:r>
      <w:r>
        <w:t>s</w:t>
      </w:r>
      <w:r>
        <w:t>tigios de altos explosivos y que no existía en la causa peritaje alguno que determinara que dicho elemento no p</w:t>
      </w:r>
      <w:r>
        <w:t>o</w:t>
      </w:r>
      <w:r>
        <w:t>día ser utilizado en un Renault 20, Renault 18 o en cua</w:t>
      </w:r>
      <w:r>
        <w:t>l</w:t>
      </w:r>
      <w:r>
        <w:t>quier otro vehículo.</w:t>
      </w:r>
    </w:p>
    <w:p w:rsidR="00224567" w:rsidRDefault="00224567">
      <w:pPr>
        <w:widowControl w:val="0"/>
      </w:pPr>
      <w:r>
        <w:tab/>
        <w:t>En ese sentido, caracterizó de absu</w:t>
      </w:r>
      <w:r>
        <w:t>r</w:t>
      </w:r>
      <w:r>
        <w:t>do descartar la hipótesis que del automóvil de Joffe se h</w:t>
      </w:r>
      <w:r>
        <w:t>u</w:t>
      </w:r>
      <w:r>
        <w:t>biera podido desprender una parte del amortiguador, ref</w:t>
      </w:r>
      <w:r>
        <w:t>u</w:t>
      </w:r>
      <w:r>
        <w:t>tando lo argumentado por la fiscalía acerca de los daños sufridos por dicho rodado.</w:t>
      </w:r>
    </w:p>
    <w:p w:rsidR="00224567" w:rsidRDefault="00224567">
      <w:pPr>
        <w:widowControl w:val="0"/>
      </w:pPr>
      <w:r>
        <w:tab/>
        <w:t xml:space="preserve">Reiteró sus afirmaciones acerca de la falta de investigación respecto del origen de las bolsas que Luisa Miednik vio descargar y colocar en el hall de entrada de </w:t>
      </w:r>
      <w:smartTag w:uri="urn:schemas-microsoft-com:office:smarttags" w:element="PersonName">
        <w:smartTagPr>
          <w:attr w:name="ProductID" w:val="la A.M"/>
        </w:smartTagPr>
        <w:r>
          <w:t>la A.M</w:t>
        </w:r>
      </w:smartTag>
      <w:r>
        <w:t>.I.A. minutos antes del atentado, ind</w:t>
      </w:r>
      <w:r>
        <w:t>i</w:t>
      </w:r>
      <w:r>
        <w:t>cando que provinieron de sujetos distintos de quienes c</w:t>
      </w:r>
      <w:r>
        <w:t>o</w:t>
      </w:r>
      <w:r>
        <w:t>rrespondía tal menester, s</w:t>
      </w:r>
      <w:r>
        <w:t>e</w:t>
      </w:r>
      <w:r>
        <w:t>gún el encargue del arquitecto Malamud. En este punto, adujo que la falta de refutación por parte de los acusadores fort</w:t>
      </w:r>
      <w:r>
        <w:t>a</w:t>
      </w:r>
      <w:r>
        <w:t>lecía su hipótesis.</w:t>
      </w:r>
    </w:p>
    <w:p w:rsidR="00224567" w:rsidRDefault="00224567">
      <w:pPr>
        <w:widowControl w:val="0"/>
      </w:pPr>
      <w:r>
        <w:tab/>
        <w:t>Con relación a lo argumentado acerca de que dichas bolsas no podían contener explosivos, en r</w:t>
      </w:r>
      <w:r>
        <w:t>a</w:t>
      </w:r>
      <w:r>
        <w:t>zón de que habían sido arrojadas desde el vehículo que las transportaba hacia la vereda, el defensor señaló que, co</w:t>
      </w:r>
      <w:r>
        <w:t>n</w:t>
      </w:r>
      <w:r>
        <w:t>forme las explicaciones brindadas por los peritos, el am</w:t>
      </w:r>
      <w:r>
        <w:t>o</w:t>
      </w:r>
      <w:r>
        <w:t>nal requiere, para su detonación, de un mecanismo fulm</w:t>
      </w:r>
      <w:r>
        <w:t>i</w:t>
      </w:r>
      <w:r>
        <w:t>nante con un dispositivo.</w:t>
      </w:r>
    </w:p>
    <w:p w:rsidR="00224567" w:rsidRDefault="00224567">
      <w:pPr>
        <w:widowControl w:val="0"/>
      </w:pPr>
      <w:r>
        <w:tab/>
        <w:t>También precisó que el núcleo de su alegato no consistió en sostener que dentro de las bo</w:t>
      </w:r>
      <w:r>
        <w:t>l</w:t>
      </w:r>
      <w:r>
        <w:t>sas había pedazos de Trafic, tal como lo aseveró la l</w:t>
      </w:r>
      <w:r>
        <w:t>e</w:t>
      </w:r>
      <w:r>
        <w:t>trada de la querella, señalando que en aquella oportunidad manife</w:t>
      </w:r>
      <w:r>
        <w:t>s</w:t>
      </w:r>
      <w:r>
        <w:t>tó, como alternativa a cómo pudieron haber ocurrido los hechos, la hipótesis de que esas bolsas habían sido dep</w:t>
      </w:r>
      <w:r>
        <w:t>o</w:t>
      </w:r>
      <w:r>
        <w:t>sitadas seis minutos antes de la expl</w:t>
      </w:r>
      <w:r>
        <w:t>o</w:t>
      </w:r>
      <w:r>
        <w:t>sión en la puerta de la institución, y que su detonación se podría haber efe</w:t>
      </w:r>
      <w:r>
        <w:t>c</w:t>
      </w:r>
      <w:r>
        <w:t>tuado por radio frecuencia.</w:t>
      </w:r>
    </w:p>
    <w:p w:rsidR="00224567" w:rsidRDefault="00224567">
      <w:pPr>
        <w:widowControl w:val="0"/>
        <w:rPr>
          <w:rFonts w:ascii="Arial" w:hAnsi="Arial"/>
        </w:rPr>
      </w:pPr>
      <w:r>
        <w:tab/>
        <w:t>Igualmente indicó que, conforme su h</w:t>
      </w:r>
      <w:r>
        <w:t>i</w:t>
      </w:r>
      <w:r>
        <w:t>pótesis, carecía de sustento la afirmación brindada re</w:t>
      </w:r>
      <w:r>
        <w:t>s</w:t>
      </w:r>
      <w:r>
        <w:t>pecto a que en el edificio de enfrente debía lucir impre</w:t>
      </w:r>
      <w:r>
        <w:t>g</w:t>
      </w:r>
      <w:r>
        <w:t>nada una enorme masa de mampostería, y sostuvo, además, que la estructura de la mutual hacia los cost</w:t>
      </w:r>
      <w:r>
        <w:t>a</w:t>
      </w:r>
      <w:r>
        <w:t>dos y hacia arriba fue la que contuvo la explosión, evitando el d</w:t>
      </w:r>
      <w:r>
        <w:t>e</w:t>
      </w:r>
      <w:r>
        <w:t>rrumbe de los balcones de aquel edif</w:t>
      </w:r>
      <w:r>
        <w:t>i</w:t>
      </w:r>
      <w:r>
        <w:t>cio. En ese sentido, hizo referencia a la circunstancia de que los transeú</w:t>
      </w:r>
      <w:r>
        <w:t>n</w:t>
      </w:r>
      <w:r>
        <w:t>tes que se hallaban a pocos metros de la explosión no fall</w:t>
      </w:r>
      <w:r>
        <w:t>e</w:t>
      </w:r>
      <w:r>
        <w:t>cieron.</w:t>
      </w:r>
    </w:p>
    <w:p w:rsidR="00224567" w:rsidRDefault="00224567">
      <w:pPr>
        <w:pStyle w:val="Sangradetextonormal"/>
        <w:widowControl w:val="0"/>
        <w:ind w:firstLine="0"/>
      </w:pPr>
      <w:r>
        <w:tab/>
        <w:t>Así, consideró, con apoyo en lo man</w:t>
      </w:r>
      <w:r>
        <w:t>i</w:t>
      </w:r>
      <w:r>
        <w:t>festado por los peritos, que era fatalmente i</w:t>
      </w:r>
      <w:r>
        <w:t>m</w:t>
      </w:r>
      <w:r>
        <w:t>posible que, de haber ocurrido la explosión en la vereda de la mutual, alguien hubiera sobrevivido; en especial, explicó, de e</w:t>
      </w:r>
      <w:r>
        <w:t>n</w:t>
      </w:r>
      <w:r>
        <w:t>contrarse tantos transeúntes en el lugar.</w:t>
      </w:r>
    </w:p>
    <w:p w:rsidR="00224567" w:rsidRDefault="00224567">
      <w:pPr>
        <w:pStyle w:val="Sangradetextonormal"/>
        <w:widowControl w:val="0"/>
        <w:ind w:firstLine="0"/>
      </w:pPr>
      <w:r>
        <w:tab/>
        <w:t>Luego, rebatió las aseveraciones de la querella en cuanto a que la caída de la loza de la base del hall de la mutual implicó la conf</w:t>
      </w:r>
      <w:r>
        <w:t>u</w:t>
      </w:r>
      <w:r>
        <w:t>sión del cráter con el sótano, impidiendo su medición, por entender que no p</w:t>
      </w:r>
      <w:r>
        <w:t>o</w:t>
      </w:r>
      <w:r>
        <w:t>día demostrarse el cráter mediante la afirmación de que una parte de la vereda se cayó en el sótano.</w:t>
      </w:r>
    </w:p>
    <w:p w:rsidR="00224567" w:rsidRDefault="00224567">
      <w:pPr>
        <w:pStyle w:val="Sangradetextonormal"/>
        <w:widowControl w:val="0"/>
        <w:ind w:firstLine="0"/>
      </w:pPr>
      <w:r>
        <w:tab/>
        <w:t>El defensor también señaló que las aserciones brindadas por la querella D.A.I.A., A.M.I.A. y “Grupo de Familiares”, en torno a la metralla secu</w:t>
      </w:r>
      <w:r>
        <w:t>n</w:t>
      </w:r>
      <w:r>
        <w:t>daria, no impedían sostener que la explosión pudo haberse prod</w:t>
      </w:r>
      <w:r>
        <w:t>u</w:t>
      </w:r>
      <w:r>
        <w:t>cido un metro y medio o dos metros adentro del hall de la mutual.</w:t>
      </w:r>
    </w:p>
    <w:p w:rsidR="00224567" w:rsidRDefault="00224567">
      <w:pPr>
        <w:pStyle w:val="Sangradetextonormal"/>
        <w:widowControl w:val="0"/>
        <w:ind w:firstLine="0"/>
      </w:pPr>
      <w:r>
        <w:tab/>
        <w:t xml:space="preserve">Por último, recalcó que </w:t>
      </w:r>
      <w:smartTag w:uri="urn:schemas-microsoft-com:office:smarttags" w:element="PersonName">
        <w:smartTagPr>
          <w:attr w:name="ProductID" w:val="la Trafic"/>
        </w:smartTagPr>
        <w:r>
          <w:t>la Trafic</w:t>
        </w:r>
      </w:smartTag>
      <w:r>
        <w:t xml:space="preserve"> no existió y que la base fáctica fue “una creación artifici</w:t>
      </w:r>
      <w:r>
        <w:t>o</w:t>
      </w:r>
      <w:r>
        <w:t xml:space="preserve">sa encubridora de un procedimiento”, ratificando que su hipótesis de cómo se produjo la explosión se encontraba sustentada en prueba directa que, a su criterio, era mucho más contundente que la teoría de </w:t>
      </w:r>
      <w:smartTag w:uri="urn:schemas-microsoft-com:office:smarttags" w:element="PersonName">
        <w:smartTagPr>
          <w:attr w:name="ProductID" w:val="la Trafic."/>
        </w:smartTagPr>
        <w:r>
          <w:t>la Trafic.</w:t>
        </w:r>
      </w:smartTag>
    </w:p>
    <w:p w:rsidR="00224567" w:rsidRDefault="00224567">
      <w:pPr>
        <w:pStyle w:val="Sangradetextonormal"/>
        <w:widowControl w:val="0"/>
        <w:ind w:firstLine="0"/>
      </w:pPr>
    </w:p>
    <w:p w:rsidR="00224567" w:rsidRDefault="00224567">
      <w:pPr>
        <w:pStyle w:val="Sangradetextonormal"/>
        <w:widowControl w:val="0"/>
        <w:ind w:firstLine="0"/>
      </w:pPr>
      <w:r>
        <w:tab/>
      </w:r>
      <w:r>
        <w:rPr>
          <w:b/>
          <w:bCs/>
        </w:rPr>
        <w:t>B.8)</w:t>
      </w:r>
      <w:r>
        <w:t xml:space="preserve"> Las restantes defensas no hici</w:t>
      </w:r>
      <w:r>
        <w:t>e</w:t>
      </w:r>
      <w:r>
        <w:t>ron uso del derecho que les confiere el art. 393, p</w:t>
      </w:r>
      <w:r>
        <w:t>á</w:t>
      </w:r>
      <w:r>
        <w:t>rrafos 4º y 5º, del C.P.P.N.</w:t>
      </w:r>
    </w:p>
    <w:p w:rsidR="00224567" w:rsidRDefault="00224567">
      <w:pPr>
        <w:widowControl w:val="0"/>
        <w:rPr>
          <w:lang w:val="es-ES_tradnl"/>
        </w:rPr>
      </w:pPr>
    </w:p>
    <w:p w:rsidR="00224567" w:rsidRDefault="00224567">
      <w:pPr>
        <w:pStyle w:val="Ttulo2"/>
        <w:widowControl w:val="0"/>
      </w:pPr>
      <w:r>
        <w:t>CAPÍTULO IV</w:t>
      </w:r>
    </w:p>
    <w:p w:rsidR="00224567" w:rsidRDefault="00224567">
      <w:pPr>
        <w:widowControl w:val="0"/>
      </w:pPr>
    </w:p>
    <w:p w:rsidR="00224567" w:rsidRDefault="00224567">
      <w:pPr>
        <w:pStyle w:val="Ttulo3"/>
        <w:widowControl w:val="0"/>
      </w:pPr>
      <w:r>
        <w:t>A) Declaraciones indagatorias de Carlos Alberto Telle</w:t>
      </w:r>
      <w:r>
        <w:t>l</w:t>
      </w:r>
      <w:r>
        <w:t>dín.</w:t>
      </w:r>
    </w:p>
    <w:p w:rsidR="00224567" w:rsidRDefault="00224567">
      <w:pPr>
        <w:widowControl w:val="0"/>
      </w:pPr>
      <w:r>
        <w:tab/>
      </w:r>
      <w:r>
        <w:tab/>
        <w:t>En la oportunidad prevista en el art. 378 del código de rito, Carlos Alberto T</w:t>
      </w:r>
      <w:r>
        <w:t>e</w:t>
      </w:r>
      <w:r>
        <w:t>lleldín se negó a prestar declaración indagatoria, dándose lectura a las volcadas a fs. 1440/1449, 2197/2213, 2217/2223, 7022/7037, 7213/7219, 10.359/10.360, 24.223/24.245, 26.780/26.785, 28.688/28.690, 31.465/31.469 y 42.597/42.598. Durante el transcurso del debate, el imputado prestó d</w:t>
      </w:r>
      <w:r>
        <w:t>e</w:t>
      </w:r>
      <w:r>
        <w:t>claración los días 29 y 30 de abril, 2 y 3 de mayo, 20 de junio, 30 de julio y 26 de septiembre, t</w:t>
      </w:r>
      <w:r>
        <w:t>o</w:t>
      </w:r>
      <w:r>
        <w:t xml:space="preserve">dos de 2002, como así también los días 13 de febrero, 23 de abril y 9 de diciembre de </w:t>
      </w:r>
      <w:smartTag w:uri="urn:schemas-microsoft-com:office:smarttags" w:element="metricconverter">
        <w:smartTagPr>
          <w:attr w:name="ProductID" w:val="2003. A"/>
        </w:smartTagPr>
        <w:r>
          <w:t>2003. A</w:t>
        </w:r>
      </w:smartTag>
      <w:r>
        <w:t xml:space="preserve"> ello se adunan los careos practicados entre el e</w:t>
      </w:r>
      <w:r>
        <w:t>n</w:t>
      </w:r>
      <w:r>
        <w:t>cartado y sus c</w:t>
      </w:r>
      <w:r>
        <w:t>o</w:t>
      </w:r>
      <w:r>
        <w:t>imputados Ariel Rodolfo Nitzcaner, Miguel Gustavo Jaimes y Hugo Antonio Pérez (fs. 8128/8130, 8603/8605 y 8606/8610, respectivamente), c</w:t>
      </w:r>
      <w:r>
        <w:t>o</w:t>
      </w:r>
      <w:r>
        <w:t>mo así también al llevado a cabo en la audiencia de d</w:t>
      </w:r>
      <w:r>
        <w:t>e</w:t>
      </w:r>
      <w:r>
        <w:t>bate con el testigo Javier Ign</w:t>
      </w:r>
      <w:r>
        <w:t>a</w:t>
      </w:r>
      <w:r>
        <w:t>cio De Gamas Soler el 19 de marzo de 2003.</w:t>
      </w:r>
    </w:p>
    <w:p w:rsidR="00224567" w:rsidRDefault="00224567">
      <w:pPr>
        <w:widowControl w:val="0"/>
      </w:pPr>
      <w:r>
        <w:tab/>
        <w:t>El 30 de julio de 1994 (conf. fs. 1440/1449), en ocasión de su primer declaración ante el magistrado instructor, el imputado indicó que se ded</w:t>
      </w:r>
      <w:r>
        <w:t>i</w:t>
      </w:r>
      <w:r>
        <w:t>caba a la compraventa de vehículos. Explicó que adquiría alr</w:t>
      </w:r>
      <w:r>
        <w:t>e</w:t>
      </w:r>
      <w:r>
        <w:t>dedor de tres o cuatro automóviles por mes, generalmente en la firma “Alejandro Automot</w:t>
      </w:r>
      <w:r>
        <w:t>o</w:t>
      </w:r>
      <w:r>
        <w:t>res” y que en su mayoría se trataba de rodados siniestrados o con faltantes. Al re</w:t>
      </w:r>
      <w:r>
        <w:t>s</w:t>
      </w:r>
      <w:r>
        <w:t>pecto, puntualizó que en el primer supuesto procedía a r</w:t>
      </w:r>
      <w:r>
        <w:t>e</w:t>
      </w:r>
      <w:r>
        <w:t>pararlos, por intermedio de mecánicos que conocía, adqu</w:t>
      </w:r>
      <w:r>
        <w:t>i</w:t>
      </w:r>
      <w:r>
        <w:t>riendo, en su caso, los elementos necesarios para compl</w:t>
      </w:r>
      <w:r>
        <w:t>e</w:t>
      </w:r>
      <w:r>
        <w:t>menta</w:t>
      </w:r>
      <w:r>
        <w:t>r</w:t>
      </w:r>
      <w:r>
        <w:t>los.</w:t>
      </w:r>
    </w:p>
    <w:p w:rsidR="00224567" w:rsidRDefault="00224567">
      <w:pPr>
        <w:widowControl w:val="0"/>
      </w:pPr>
      <w:r>
        <w:tab/>
        <w:t>Con relación a la camioneta Renault Trafic vinculada a las presentes actuaciones, manifestó que la compró quemada en “Alejandro Aut</w:t>
      </w:r>
      <w:r>
        <w:t>o</w:t>
      </w:r>
      <w:r>
        <w:t>motores”, pero, no obstante ello, el motor, es decir, la masa, funcionaba, debiendo sólo adquirir, para venderla, los elementos i</w:t>
      </w:r>
      <w:r>
        <w:t>n</w:t>
      </w:r>
      <w:r>
        <w:t>flamables –tapa de cilindros, carburador, alternador, b</w:t>
      </w:r>
      <w:r>
        <w:t>u</w:t>
      </w:r>
      <w:r>
        <w:t>rro de arranque, distribuidor, radiador, etc.- y el ch</w:t>
      </w:r>
      <w:r>
        <w:t>a</w:t>
      </w:r>
      <w:r>
        <w:t>sis.</w:t>
      </w:r>
    </w:p>
    <w:p w:rsidR="00224567" w:rsidRDefault="00224567">
      <w:pPr>
        <w:widowControl w:val="0"/>
      </w:pPr>
      <w:r>
        <w:tab/>
        <w:t>Admitió que por lo general agr</w:t>
      </w:r>
      <w:r>
        <w:t>e</w:t>
      </w:r>
      <w:r>
        <w:t>gaba a los automotores partes usadas, pudiendo suponer que c</w:t>
      </w:r>
      <w:r>
        <w:t>o</w:t>
      </w:r>
      <w:r>
        <w:t>rrespondían a vehículos robados; en el c</w:t>
      </w:r>
      <w:r>
        <w:t>a</w:t>
      </w:r>
      <w:r>
        <w:t>so puntual, podía figurarse que el chasis era robado. Manifestó que hizo c</w:t>
      </w:r>
      <w:r>
        <w:t>o</w:t>
      </w:r>
      <w:r>
        <w:t>locar el bloque del motor siniestrado en el chasis de p</w:t>
      </w:r>
      <w:r>
        <w:t>o</w:t>
      </w:r>
      <w:r>
        <w:t>sible origen ilícito y en esas condiciones vendió la c</w:t>
      </w:r>
      <w:r>
        <w:t>a</w:t>
      </w:r>
      <w:r>
        <w:t>mioneta, especificando que el rodado quedó formado con partes de dos vehículos distintos.</w:t>
      </w:r>
    </w:p>
    <w:p w:rsidR="00224567" w:rsidRDefault="00224567">
      <w:pPr>
        <w:widowControl w:val="0"/>
      </w:pPr>
      <w:r>
        <w:tab/>
        <w:t>Al respecto, explicó que el motor de la camioneta Renault Trafic siniestrada fue extraído por Cotoras, en tanto mandó a tirar las restantes pi</w:t>
      </w:r>
      <w:r>
        <w:t>e</w:t>
      </w:r>
      <w:r>
        <w:t>zas, toda vez que no servían. Con relación al motor, indicó que lo llevó al taller de Ariel; éste cambió las piezas quemadas por nuevas, retocó la caja y la cabina y la terminó de r</w:t>
      </w:r>
      <w:r>
        <w:t>e</w:t>
      </w:r>
      <w:r>
        <w:t>parar el viernes 8 de julio de 1994, ya que “estaba publ</w:t>
      </w:r>
      <w:r>
        <w:t>i</w:t>
      </w:r>
      <w:r>
        <w:t>cada” para la venta en el diario “Clarín” de ese fin de sem</w:t>
      </w:r>
      <w:r>
        <w:t>a</w:t>
      </w:r>
      <w:r>
        <w:t>na.</w:t>
      </w:r>
    </w:p>
    <w:p w:rsidR="00224567" w:rsidRDefault="00224567">
      <w:pPr>
        <w:widowControl w:val="0"/>
      </w:pPr>
      <w:r>
        <w:tab/>
        <w:t>Recordó que el sábado 9 de julio ll</w:t>
      </w:r>
      <w:r>
        <w:t>a</w:t>
      </w:r>
      <w:r>
        <w:t>maron v</w:t>
      </w:r>
      <w:r>
        <w:t>a</w:t>
      </w:r>
      <w:r>
        <w:t>rias personas interesadas en la compra, una de las cuales tenía acento extranjero, creye</w:t>
      </w:r>
      <w:r>
        <w:t>n</w:t>
      </w:r>
      <w:r>
        <w:t>do que era oriental, es decir, japonés o coreano; le preguntó si era coreano, respondiéndole que era español y requiriéndole su dire</w:t>
      </w:r>
      <w:r>
        <w:t>c</w:t>
      </w:r>
      <w:r>
        <w:t>ción.</w:t>
      </w:r>
    </w:p>
    <w:p w:rsidR="00224567" w:rsidRDefault="00224567">
      <w:pPr>
        <w:widowControl w:val="0"/>
      </w:pPr>
      <w:r>
        <w:tab/>
        <w:t>Relató que dos horas más tarde, alr</w:t>
      </w:r>
      <w:r>
        <w:t>e</w:t>
      </w:r>
      <w:r>
        <w:t>dedor de las 18.30 horas, arribaron a su domicilio tres personas de rasgos orient</w:t>
      </w:r>
      <w:r>
        <w:t>a</w:t>
      </w:r>
      <w:r>
        <w:t>les, con el mismo tono de voz y acento de quien hablara por teléfono, y dijeron venir de parte de la persona que había llamado pr</w:t>
      </w:r>
      <w:r>
        <w:t>e</w:t>
      </w:r>
      <w:r>
        <w:t>viamente. Éstos, comentó, se trasladaban en un automóvil Mits</w:t>
      </w:r>
      <w:r>
        <w:t>u</w:t>
      </w:r>
      <w:r>
        <w:t>bishi Galant cupé, cuyo número de dominio no recordó, de color negro y tapizado gris, con la carrocería det</w:t>
      </w:r>
      <w:r>
        <w:t>e</w:t>
      </w:r>
      <w:r>
        <w:t>riorada, ubicando el modelo e</w:t>
      </w:r>
      <w:r>
        <w:t>n</w:t>
      </w:r>
      <w:r>
        <w:t>tre los años 1979 y 1981.</w:t>
      </w:r>
    </w:p>
    <w:p w:rsidR="00224567" w:rsidRDefault="00224567">
      <w:pPr>
        <w:widowControl w:val="0"/>
      </w:pPr>
      <w:r>
        <w:tab/>
        <w:t>Telleldín apuntó que los sujetos se limitaron a abrir los dos portones traseros y mirar la c</w:t>
      </w:r>
      <w:r>
        <w:t>a</w:t>
      </w:r>
      <w:r>
        <w:t>ja, conversando entre ellos en una lengua que supuso oriental, aunque aclaró que no se hallaba en condiciones de di</w:t>
      </w:r>
      <w:r>
        <w:t>s</w:t>
      </w:r>
      <w:r>
        <w:t>tinguir idiomas de ese origen; el acento no parecía fingido, sino real y sus rasgos, en especial sus ojos, eran “achinados”. Aclaró que sólo les interesaba el m</w:t>
      </w:r>
      <w:r>
        <w:t>o</w:t>
      </w:r>
      <w:r>
        <w:t>delo de camioneta, toda vez que no repararon en el motor ni en otros det</w:t>
      </w:r>
      <w:r>
        <w:t>a</w:t>
      </w:r>
      <w:r>
        <w:t>lles.</w:t>
      </w:r>
    </w:p>
    <w:p w:rsidR="00224567" w:rsidRDefault="00224567">
      <w:pPr>
        <w:widowControl w:val="0"/>
      </w:pPr>
      <w:r>
        <w:tab/>
        <w:t>Señaló que le preguntó al que hablaba castellano si pensaban utilizar la camioneta para el tra</w:t>
      </w:r>
      <w:r>
        <w:t>s</w:t>
      </w:r>
      <w:r>
        <w:t>lado de vestimenta, respondiéndole en forma negativa, lu</w:t>
      </w:r>
      <w:r>
        <w:t>e</w:t>
      </w:r>
      <w:r>
        <w:t xml:space="preserve">go de lo cual siguieron hablando entre ellos. Por último, manifestó que en ningún momento lo interrogaron sobre el precio final de </w:t>
      </w:r>
      <w:smartTag w:uri="urn:schemas-microsoft-com:office:smarttags" w:element="PersonName">
        <w:smartTagPr>
          <w:attr w:name="ProductID" w:val="la Trafic"/>
        </w:smartTagPr>
        <w:r>
          <w:t>la Trafic</w:t>
        </w:r>
      </w:smartTag>
      <w:r>
        <w:t xml:space="preserve"> y, antes de retirarse, le dij</w:t>
      </w:r>
      <w:r>
        <w:t>e</w:t>
      </w:r>
      <w:r>
        <w:t>ron que la persona con la que había hablado por teléfono concurriría a finalizar la oper</w:t>
      </w:r>
      <w:r>
        <w:t>a</w:t>
      </w:r>
      <w:r>
        <w:t>ción.</w:t>
      </w:r>
    </w:p>
    <w:p w:rsidR="00224567" w:rsidRDefault="00224567">
      <w:pPr>
        <w:pStyle w:val="Textoindependiente"/>
        <w:spacing w:line="600" w:lineRule="auto"/>
      </w:pPr>
      <w:r>
        <w:tab/>
        <w:t>El 10 de julio, continuó, lo llamó la misma persona, preguntándole nuevamente la dirección y solicitá</w:t>
      </w:r>
      <w:r>
        <w:t>n</w:t>
      </w:r>
      <w:r>
        <w:t>dole que fuera preparando la factura. Especificó que se c</w:t>
      </w:r>
      <w:r>
        <w:t>o</w:t>
      </w:r>
      <w:r>
        <w:t>municó por primera vez a las 10.30 horas y por segunda a las 11.30 horas, diciéndole que se  hallaba perdido e int</w:t>
      </w:r>
      <w:r>
        <w:t>e</w:t>
      </w:r>
      <w:r>
        <w:t>rrogándolo acerca de la ubicación de “Villa Ballestor” (sic). Añadió que alrededor de las 13.00 horas llamó por última vez, arribando luego de ello, previo al a</w:t>
      </w:r>
      <w:r>
        <w:t>l</w:t>
      </w:r>
      <w:r>
        <w:t>muerzo.</w:t>
      </w:r>
    </w:p>
    <w:p w:rsidR="00224567" w:rsidRDefault="00224567">
      <w:pPr>
        <w:pStyle w:val="Textoindependiente"/>
        <w:spacing w:line="600" w:lineRule="auto"/>
      </w:pPr>
      <w:r>
        <w:tab/>
        <w:t>Aclaró que si bien publicó la c</w:t>
      </w:r>
      <w:r>
        <w:t>a</w:t>
      </w:r>
      <w:r>
        <w:t xml:space="preserve">mioneta en el diario en </w:t>
      </w:r>
      <w:r>
        <w:rPr>
          <w:lang w:val="es-MX"/>
        </w:rPr>
        <w:t xml:space="preserve">$ </w:t>
      </w:r>
      <w:r>
        <w:t>12.900, ni los sujetos de origen oriental que concurrieron el 9, ni la persona designada para concretar la compra lo consult</w:t>
      </w:r>
      <w:r>
        <w:t>a</w:t>
      </w:r>
      <w:r>
        <w:t>ron sobre el particular.</w:t>
      </w:r>
    </w:p>
    <w:p w:rsidR="00224567" w:rsidRDefault="00224567">
      <w:pPr>
        <w:pStyle w:val="Textoindependiente"/>
        <w:spacing w:line="600" w:lineRule="auto"/>
      </w:pPr>
      <w:r>
        <w:tab/>
        <w:t>El encartado manifestó que su línea telefón</w:t>
      </w:r>
      <w:r>
        <w:t>i</w:t>
      </w:r>
      <w:r>
        <w:t>ca era el nº 768-0902, suponiendo por los ruidos que se e</w:t>
      </w:r>
      <w:r>
        <w:t>s</w:t>
      </w:r>
      <w:r>
        <w:t>cuchaban que se hallaba “pinchada”; dedujo que el sujeto pudo haber llamado desde un teléfono celular, un teléfono público o un remise, toda vez que en el lugar donde se e</w:t>
      </w:r>
      <w:r>
        <w:t>n</w:t>
      </w:r>
      <w:r>
        <w:t>contraba su interlocutor había ru</w:t>
      </w:r>
      <w:r>
        <w:t>i</w:t>
      </w:r>
      <w:r>
        <w:t>do. Indicó que finalmente arribó a su domicilio caminando y portando un maletín ch</w:t>
      </w:r>
      <w:r>
        <w:t>i</w:t>
      </w:r>
      <w:r>
        <w:t>co, de los que se usaban al ho</w:t>
      </w:r>
      <w:r>
        <w:t>m</w:t>
      </w:r>
      <w:r>
        <w:t>bro con correa, cuyo tamaño era la mitad de un “att</w:t>
      </w:r>
      <w:r>
        <w:t>a</w:t>
      </w:r>
      <w:r>
        <w:t>ché”.</w:t>
      </w:r>
    </w:p>
    <w:p w:rsidR="00224567" w:rsidRDefault="00224567">
      <w:pPr>
        <w:pStyle w:val="Textoindependiente"/>
        <w:spacing w:line="600" w:lineRule="auto"/>
      </w:pPr>
      <w:r>
        <w:tab/>
        <w:t>Afirmó que podría reconocerlo y confecci</w:t>
      </w:r>
      <w:r>
        <w:t>o</w:t>
      </w:r>
      <w:r>
        <w:t>nar un identikit. Lo describió como de treinta años aproximad</w:t>
      </w:r>
      <w:r>
        <w:t>a</w:t>
      </w:r>
      <w:r>
        <w:t>mente, cutis trigueño, ojos redondos, nariz finita y pu</w:t>
      </w:r>
      <w:r>
        <w:t>n</w:t>
      </w:r>
      <w:r>
        <w:t>tiaguda, pelo ondulado, castaño pero con algunas pa</w:t>
      </w:r>
      <w:r>
        <w:t>r</w:t>
      </w:r>
      <w:r>
        <w:t>tes más claras, muy limpio y aparentemente largo, ya que usaba g</w:t>
      </w:r>
      <w:r>
        <w:t>o</w:t>
      </w:r>
      <w:r>
        <w:t>rra y anteojos. Calzaba zapatos negros tipo trenzados y portaba un reloj como el que usaba “Tinelli”. Remarcó que le llamaron la atención el color de pelo y los refl</w:t>
      </w:r>
      <w:r>
        <w:t>e</w:t>
      </w:r>
      <w:r>
        <w:t>jos, ya que no se condecían con el c</w:t>
      </w:r>
      <w:r>
        <w:t>o</w:t>
      </w:r>
      <w:r>
        <w:t>lor de su piel, aunque no pudo precisar si se trataba de pelo nat</w:t>
      </w:r>
      <w:r>
        <w:t>u</w:t>
      </w:r>
      <w:r>
        <w:t xml:space="preserve">ral o de peluca. Aseguró que tenía las manos muy bien cuidadas y que vestía un saco tipo de artista, de seda, color claro. Añadió que medía </w:t>
      </w:r>
      <w:smartTag w:uri="urn:schemas-microsoft-com:office:smarttags" w:element="metricconverter">
        <w:smartTagPr>
          <w:attr w:name="ProductID" w:val="1,75 m"/>
        </w:smartTagPr>
        <w:r>
          <w:t>1,75 m</w:t>
        </w:r>
      </w:smartTag>
      <w:r>
        <w:t xml:space="preserve"> aproximadamente y tenía voz su</w:t>
      </w:r>
      <w:r>
        <w:t>a</w:t>
      </w:r>
      <w:r>
        <w:t>ve.</w:t>
      </w:r>
    </w:p>
    <w:p w:rsidR="00224567" w:rsidRDefault="00224567">
      <w:pPr>
        <w:pStyle w:val="Textoindependiente"/>
        <w:spacing w:line="600" w:lineRule="auto"/>
      </w:pPr>
      <w:r>
        <w:tab/>
        <w:t>Que si bien el individuo resultaba muy par</w:t>
      </w:r>
      <w:r>
        <w:t>e</w:t>
      </w:r>
      <w:r>
        <w:t>cido –en un noventa por ciento- a uno de los hermanos det</w:t>
      </w:r>
      <w:r>
        <w:t>e</w:t>
      </w:r>
      <w:r>
        <w:t>nidos en la causa, no se trataba de la misma persona, t</w:t>
      </w:r>
      <w:r>
        <w:t>e</w:t>
      </w:r>
      <w:r>
        <w:t>niendo ambos la nariz muy parecida, una nariz poco común, ya que era “muy finítica, muy pa</w:t>
      </w:r>
      <w:r>
        <w:t>r</w:t>
      </w:r>
      <w:r>
        <w:t>ticular” (sic). Indicó que la voz era distinta y que ad</w:t>
      </w:r>
      <w:r>
        <w:t>e</w:t>
      </w:r>
      <w:r>
        <w:t>más la persona que concurrió a su domicilio tenía acento centroamericano, acl</w:t>
      </w:r>
      <w:r>
        <w:t>a</w:t>
      </w:r>
      <w:r>
        <w:t>rando que no era el mismo acento de quien lo llamara por teléfono, por lo que s</w:t>
      </w:r>
      <w:r>
        <w:t>u</w:t>
      </w:r>
      <w:r>
        <w:t>puso que éste era una quinta persona o uno de los orientales que concurriera a su domicilio. Acotó que si bien nunca viajó a Centroamérica, habiéndolo hecho únic</w:t>
      </w:r>
      <w:r>
        <w:t>a</w:t>
      </w:r>
      <w:r>
        <w:t>mente a países l</w:t>
      </w:r>
      <w:r>
        <w:t>i</w:t>
      </w:r>
      <w:r>
        <w:t>mítrofes, le pareció que el acento era de aquella región, de dónde supuso sería oriundo, ya que lo trataba de “Don Ca</w:t>
      </w:r>
      <w:r>
        <w:t>r</w:t>
      </w:r>
      <w:r>
        <w:t>los”.</w:t>
      </w:r>
    </w:p>
    <w:p w:rsidR="00224567" w:rsidRDefault="00224567">
      <w:pPr>
        <w:pStyle w:val="Textoindependiente"/>
        <w:spacing w:line="600" w:lineRule="auto"/>
      </w:pPr>
      <w:r>
        <w:tab/>
        <w:t xml:space="preserve">Al exhibírsele las fotografías obrantes en un legajo aportado por </w:t>
      </w:r>
      <w:smartTag w:uri="urn:schemas-microsoft-com:office:smarttags" w:element="PersonName">
        <w:smartTagPr>
          <w:attr w:name="ProductID" w:val="la Secretar￭a"/>
        </w:smartTagPr>
        <w:r>
          <w:t>la Secretaría</w:t>
        </w:r>
      </w:smartTag>
      <w:r>
        <w:t xml:space="preserve"> de Inteligencia de Est</w:t>
      </w:r>
      <w:r>
        <w:t>a</w:t>
      </w:r>
      <w:r>
        <w:t>do, Telleldín refirió que Asghari Ammad Reza resu</w:t>
      </w:r>
      <w:r>
        <w:t>l</w:t>
      </w:r>
      <w:r>
        <w:t>taba muy parec</w:t>
      </w:r>
      <w:r>
        <w:t>i</w:t>
      </w:r>
      <w:r>
        <w:t>do a quien describiera precedentemente como el sujeto con acento latinoamericano, aunque éste no tenía barba ni bigote y su pelo –al menos la parte que se veía, ya que usaba gorra- era distinto. Agregó que la nariz y los rasgos de la cara eran muy parec</w:t>
      </w:r>
      <w:r>
        <w:t>i</w:t>
      </w:r>
      <w:r>
        <w:t>dos.</w:t>
      </w:r>
    </w:p>
    <w:p w:rsidR="00224567" w:rsidRDefault="00224567">
      <w:pPr>
        <w:pStyle w:val="Textoindependiente"/>
        <w:spacing w:line="600" w:lineRule="auto"/>
      </w:pPr>
      <w:r>
        <w:tab/>
        <w:t>Prosiguió su narración explicando que el i</w:t>
      </w:r>
      <w:r>
        <w:t>n</w:t>
      </w:r>
      <w:r>
        <w:t>dividuo arribó a pie, revisó la parte trasera de la cami</w:t>
      </w:r>
      <w:r>
        <w:t>o</w:t>
      </w:r>
      <w:r>
        <w:t>neta, miró el motor y solicitó probarla. La camioneta se hallaba estacionada en la vereda de enfrente de su domic</w:t>
      </w:r>
      <w:r>
        <w:t>i</w:t>
      </w:r>
      <w:r>
        <w:t>lio y su vecino, cuyo nombre no recordó, preguntó si nec</w:t>
      </w:r>
      <w:r>
        <w:t>e</w:t>
      </w:r>
      <w:r>
        <w:t>sitaba que corriera su automóvil, respondiéndole negativ</w:t>
      </w:r>
      <w:r>
        <w:t>a</w:t>
      </w:r>
      <w:r>
        <w:t>mente. Destacó que su vecino y su mujer vieron al adquire</w:t>
      </w:r>
      <w:r>
        <w:t>n</w:t>
      </w:r>
      <w:r>
        <w:t>te del veh</w:t>
      </w:r>
      <w:r>
        <w:t>í</w:t>
      </w:r>
      <w:r>
        <w:t>culo.</w:t>
      </w:r>
    </w:p>
    <w:p w:rsidR="00224567" w:rsidRDefault="00224567">
      <w:pPr>
        <w:pStyle w:val="Textoindependiente"/>
        <w:spacing w:line="600" w:lineRule="auto"/>
      </w:pPr>
      <w:r>
        <w:tab/>
        <w:t>Señaló que el interesado dio una vuelta a la manzana conduciendo el rodado, como “picándolo”, sin efe</w:t>
      </w:r>
      <w:r>
        <w:t>c</w:t>
      </w:r>
      <w:r>
        <w:t>tuar pregunta alguna relacionada con la capacidad de carga del vehículo. Manifestó que mientras conducía inquirió si la operación podía hacerse con factura, a la vez que info</w:t>
      </w:r>
      <w:r>
        <w:t>r</w:t>
      </w:r>
      <w:r>
        <w:t>mó que la transferencia la harían en quince días, cuando arribara “el Viejo”, no pudiendo precisar si el término aludía al padre o a una persona mayor. Telleldín refirió que asintió, ya que los papeles del vehículo los tenía la firma “Alejandro Automotores”. Agregó que entregó al co</w:t>
      </w:r>
      <w:r>
        <w:t>m</w:t>
      </w:r>
      <w:r>
        <w:t>prador el título del automotor, p</w:t>
      </w:r>
      <w:r>
        <w:t>a</w:t>
      </w:r>
      <w:r>
        <w:t>tentes y el libre deuda, conjeturando que éste no poseía muchos conocimientos sobre automotores, toda vez que no solicitó la tarjeta ve</w:t>
      </w:r>
      <w:r>
        <w:t>r</w:t>
      </w:r>
      <w:r>
        <w:t>de, que de todos modos no tenía en su poder ya que se había quem</w:t>
      </w:r>
      <w:r>
        <w:t>a</w:t>
      </w:r>
      <w:r>
        <w:t>do.</w:t>
      </w:r>
    </w:p>
    <w:p w:rsidR="00224567" w:rsidRDefault="00224567">
      <w:pPr>
        <w:pStyle w:val="Textoindependiente"/>
        <w:spacing w:line="600" w:lineRule="auto"/>
      </w:pPr>
      <w:r>
        <w:tab/>
        <w:t>El encartado explicó que si bien en un pri</w:t>
      </w:r>
      <w:r>
        <w:t>n</w:t>
      </w:r>
      <w:r>
        <w:t>cipio no se habló del precio de venta, al cerrar la oper</w:t>
      </w:r>
      <w:r>
        <w:t>a</w:t>
      </w:r>
      <w:r>
        <w:t>ción el comprador ofreció USD 11.000, pa</w:t>
      </w:r>
      <w:r>
        <w:t>c</w:t>
      </w:r>
      <w:r>
        <w:t>tándose finalmente la venta en USD 11.500. Tras ello, refirió, i</w:t>
      </w:r>
      <w:r>
        <w:t>n</w:t>
      </w:r>
      <w:r>
        <w:t>gresaron a la casa, su mujer se hallaba cocinando, se sentaron a la mesa, redactó la factura, la fi</w:t>
      </w:r>
      <w:r>
        <w:t>r</w:t>
      </w:r>
      <w:r>
        <w:t>mó, en tanto el comprador, quien se quedó con dicho instrumento como comprobante del pago, asentó su número de documento; al serle exhib</w:t>
      </w:r>
      <w:r>
        <w:t>i</w:t>
      </w:r>
      <w:r>
        <w:t>do, reconoció el boleto de compraventa obrante a fs. 308 como el confe</w:t>
      </w:r>
      <w:r>
        <w:t>c</w:t>
      </w:r>
      <w:r>
        <w:t>cionado durante la oper</w:t>
      </w:r>
      <w:r>
        <w:t>a</w:t>
      </w:r>
      <w:r>
        <w:t>ción.</w:t>
      </w:r>
    </w:p>
    <w:p w:rsidR="00224567" w:rsidRDefault="00224567">
      <w:pPr>
        <w:pStyle w:val="Textoindependiente"/>
        <w:spacing w:line="600" w:lineRule="auto"/>
      </w:pPr>
      <w:r>
        <w:tab/>
        <w:t>Indicó que no tuvo en su poder el Documento Nacional de Ide</w:t>
      </w:r>
      <w:r>
        <w:t>n</w:t>
      </w:r>
      <w:r>
        <w:t>tidad del adquirente; pese a ello, llegó a leer el nombre, el número de la identificación y la dire</w:t>
      </w:r>
      <w:r>
        <w:t>c</w:t>
      </w:r>
      <w:r>
        <w:t>ción que allí constaba. Precisó que el docume</w:t>
      </w:r>
      <w:r>
        <w:t>n</w:t>
      </w:r>
      <w:r>
        <w:t>to era verde y con tapas de tela, no de cartón. Recordó que la fotogr</w:t>
      </w:r>
      <w:r>
        <w:t>a</w:t>
      </w:r>
      <w:r>
        <w:t>fía que lucía no correspondía a su interlocutor, quien r</w:t>
      </w:r>
      <w:r>
        <w:t>e</w:t>
      </w:r>
      <w:r>
        <w:t>firió “que el documento pertenecía al ‘Viejo’ y que tomaba los datos de éste para el boleto, ya que iba a estar a no</w:t>
      </w:r>
      <w:r>
        <w:t>m</w:t>
      </w:r>
      <w:r>
        <w:t>bre de aquél al lleva</w:t>
      </w:r>
      <w:r>
        <w:t>r</w:t>
      </w:r>
      <w:r>
        <w:t>se a cabo la transferencia” (sic).</w:t>
      </w:r>
    </w:p>
    <w:p w:rsidR="00224567" w:rsidRDefault="00224567">
      <w:pPr>
        <w:pStyle w:val="Textoindependiente"/>
        <w:spacing w:line="600" w:lineRule="auto"/>
      </w:pPr>
      <w:r>
        <w:tab/>
        <w:t>Luego, apuntó, su visitante abrió su “att</w:t>
      </w:r>
      <w:r>
        <w:t>a</w:t>
      </w:r>
      <w:r>
        <w:t>ché”, sacó un fajo de USD 10.000 y otro de, aparenteme</w:t>
      </w:r>
      <w:r>
        <w:t>n</w:t>
      </w:r>
      <w:r>
        <w:t>te, la misma suma, retirando de este último USD 1500 e introd</w:t>
      </w:r>
      <w:r>
        <w:t>u</w:t>
      </w:r>
      <w:r>
        <w:t>ciendo el remanente nuevamente en el bolso, donde pudo a</w:t>
      </w:r>
      <w:r>
        <w:t>d</w:t>
      </w:r>
      <w:r>
        <w:t>vertir que tenía otro fajo más. Expresó que su mujer lo i</w:t>
      </w:r>
      <w:r>
        <w:t>n</w:t>
      </w:r>
      <w:r>
        <w:t>vitó a almo</w:t>
      </w:r>
      <w:r>
        <w:t>r</w:t>
      </w:r>
      <w:r>
        <w:t>zar, excusándose por hallarse apurado.</w:t>
      </w:r>
    </w:p>
    <w:p w:rsidR="00224567" w:rsidRDefault="00224567">
      <w:pPr>
        <w:pStyle w:val="Textoindependiente"/>
        <w:spacing w:line="600" w:lineRule="auto"/>
      </w:pPr>
      <w:r>
        <w:tab/>
        <w:t>Telleldín refirió que controló el dinero, r</w:t>
      </w:r>
      <w:r>
        <w:t>e</w:t>
      </w:r>
      <w:r>
        <w:t>tirándose luego el comprador, con quien convino en conta</w:t>
      </w:r>
      <w:r>
        <w:t>c</w:t>
      </w:r>
      <w:r>
        <w:t>tarse a los quince días a efectos de finalizar con los p</w:t>
      </w:r>
      <w:r>
        <w:t>a</w:t>
      </w:r>
      <w:r>
        <w:t>peles. Resaltó que le llamó la atención que los billetes fueran nuevos, con exce</w:t>
      </w:r>
      <w:r>
        <w:t>p</w:t>
      </w:r>
      <w:r>
        <w:t>ción de uno que era del año 1986 y estaba s</w:t>
      </w:r>
      <w:r>
        <w:t>u</w:t>
      </w:r>
      <w:r>
        <w:t>cio.</w:t>
      </w:r>
    </w:p>
    <w:p w:rsidR="00224567" w:rsidRDefault="00224567">
      <w:pPr>
        <w:pStyle w:val="Textoindependiente"/>
        <w:spacing w:line="600" w:lineRule="auto"/>
      </w:pPr>
      <w:r>
        <w:tab/>
        <w:t>Explicó que la operación fue rápida, no</w:t>
      </w:r>
      <w:r>
        <w:t>r</w:t>
      </w:r>
      <w:r>
        <w:t>mal, duró cuarenta m</w:t>
      </w:r>
      <w:r>
        <w:t>i</w:t>
      </w:r>
      <w:r>
        <w:t>nutos, ya que realizó otras en ese tiempo. Agregó que el comprador de la camioneta habló sobre otros temas, utilizando frases cortas y, aunque no las recordó, creía que versaban sobre las operaciones que iba a real</w:t>
      </w:r>
      <w:r>
        <w:t>i</w:t>
      </w:r>
      <w:r>
        <w:t>zar. A lo expuesto añadió que tanto los tres individuos identificados como cor</w:t>
      </w:r>
      <w:r>
        <w:t>e</w:t>
      </w:r>
      <w:r>
        <w:t>anos como quien finalmente adquirió el rodado se limitaron a mirar la c</w:t>
      </w:r>
      <w:r>
        <w:t>a</w:t>
      </w:r>
      <w:r>
        <w:t>ja.</w:t>
      </w:r>
    </w:p>
    <w:p w:rsidR="00224567" w:rsidRDefault="00224567">
      <w:pPr>
        <w:pStyle w:val="Textoindependiente"/>
        <w:spacing w:line="600" w:lineRule="auto"/>
      </w:pPr>
      <w:r>
        <w:tab/>
        <w:t>Con relación al destino del dinero recib</w:t>
      </w:r>
      <w:r>
        <w:t>i</w:t>
      </w:r>
      <w:r>
        <w:t xml:space="preserve">do, explicó que entregó aproximadamente USD </w:t>
      </w:r>
      <w:smartTag w:uri="urn:schemas-microsoft-com:office:smarttags" w:element="metricconverter">
        <w:smartTagPr>
          <w:attr w:name="ProductID" w:val="7500 a"/>
        </w:smartTagPr>
        <w:r>
          <w:t>7500 a</w:t>
        </w:r>
      </w:smartTag>
      <w:r>
        <w:t xml:space="preserve"> la firma “Alejandro Automotores”; pagó un mes de alquiler de su v</w:t>
      </w:r>
      <w:r>
        <w:t>i</w:t>
      </w:r>
      <w:r>
        <w:t>vienda, que tenía atrasado –USD 1.300-; utilizó USD 1500 para pagar a un mecánico llamado M</w:t>
      </w:r>
      <w:r>
        <w:t>i</w:t>
      </w:r>
      <w:r>
        <w:t>guel -domiciliado en la calle Astiz al 1800 de la localidad de Haedo, provincia de Buenos Aires-, por la repar</w:t>
      </w:r>
      <w:r>
        <w:t>a</w:t>
      </w:r>
      <w:r>
        <w:t>ción de un automóvil que había adquirido y gastó el resto en dos viajes que realizó a Có</w:t>
      </w:r>
      <w:r>
        <w:t>r</w:t>
      </w:r>
      <w:r>
        <w:t>doba.</w:t>
      </w:r>
    </w:p>
    <w:p w:rsidR="00224567" w:rsidRDefault="00224567">
      <w:pPr>
        <w:pStyle w:val="Textoindependiente"/>
        <w:spacing w:line="600" w:lineRule="auto"/>
      </w:pPr>
      <w:r>
        <w:tab/>
        <w:t>El imputado avanzó en su versión manife</w:t>
      </w:r>
      <w:r>
        <w:t>s</w:t>
      </w:r>
      <w:r>
        <w:t>tando que el lunes 11 de julio de 1994, en la s</w:t>
      </w:r>
      <w:r>
        <w:t>e</w:t>
      </w:r>
      <w:r>
        <w:t>de de “Alejandro Automotores” le entregaron los formularios “</w:t>
      </w:r>
      <w:smartTag w:uri="urn:schemas-microsoft-com:office:smarttags" w:element="metricconverter">
        <w:smartTagPr>
          <w:attr w:name="ProductID" w:val="08”"/>
        </w:smartTagPr>
        <w:r>
          <w:t>08”</w:t>
        </w:r>
      </w:smartTag>
      <w:r>
        <w:t>, conc</w:t>
      </w:r>
      <w:r>
        <w:t>u</w:t>
      </w:r>
      <w:r>
        <w:t>rriendo, según creyó recordar, en horas de la noche del 14 ó 15 de julio al domic</w:t>
      </w:r>
      <w:r>
        <w:t>i</w:t>
      </w:r>
      <w:r>
        <w:t xml:space="preserve">lio aportado por el comprador de </w:t>
      </w:r>
      <w:smartTag w:uri="urn:schemas-microsoft-com:office:smarttags" w:element="PersonName">
        <w:smartTagPr>
          <w:attr w:name="ProductID" w:val="la Trafic"/>
        </w:smartTagPr>
        <w:r>
          <w:t>la Trafic</w:t>
        </w:r>
      </w:smartTag>
      <w:r>
        <w:t xml:space="preserve"> para entregárselos. Recordó que allí conversó con varios vecinos, negando todos conocer a un tal Ramón Mart</w:t>
      </w:r>
      <w:r>
        <w:t>í</w:t>
      </w:r>
      <w:r>
        <w:t>nez, aunque un empleado de un gar</w:t>
      </w:r>
      <w:r>
        <w:t>a</w:t>
      </w:r>
      <w:r>
        <w:t>je refirió conocer a una persona del edificio denunci</w:t>
      </w:r>
      <w:r>
        <w:t>a</w:t>
      </w:r>
      <w:r>
        <w:t>do que tenía una Trafic. Que, luego de ello, no tuvo ni intentó tener más contacto con el comprador de la camioneta Tr</w:t>
      </w:r>
      <w:r>
        <w:t>a</w:t>
      </w:r>
      <w:r>
        <w:t>fic.</w:t>
      </w:r>
    </w:p>
    <w:p w:rsidR="00224567" w:rsidRDefault="00224567">
      <w:pPr>
        <w:pStyle w:val="Textoindependiente"/>
        <w:spacing w:line="600" w:lineRule="auto"/>
      </w:pPr>
      <w:r>
        <w:tab/>
        <w:t>Con relación al 18 de julio de 1994, e</w:t>
      </w:r>
      <w:r>
        <w:t>x</w:t>
      </w:r>
      <w:r>
        <w:t>presó que se levantó a las 10.30 u 11.00 horas y su m</w:t>
      </w:r>
      <w:r>
        <w:t>u</w:t>
      </w:r>
      <w:r>
        <w:t>jer compró medialunas, enterándose, aproximad</w:t>
      </w:r>
      <w:r>
        <w:t>a</w:t>
      </w:r>
      <w:r>
        <w:t>mente, a las 12.00 horas de la comisión del atent</w:t>
      </w:r>
      <w:r>
        <w:t>a</w:t>
      </w:r>
      <w:r>
        <w:t>do. Apuntó que almorzó a las 14.00 ó 15.00 horas en su domicilio. S</w:t>
      </w:r>
      <w:r>
        <w:t>e</w:t>
      </w:r>
      <w:r>
        <w:t>gún creyó recordar, luego concurrió a una inmobiliaria a fin de buscar una vivienda para mudarse.</w:t>
      </w:r>
    </w:p>
    <w:p w:rsidR="00224567" w:rsidRDefault="00224567">
      <w:pPr>
        <w:pStyle w:val="Textoindependiente"/>
        <w:spacing w:line="600" w:lineRule="auto"/>
      </w:pPr>
      <w:r>
        <w:tab/>
        <w:t>Telleldín informó que al tomar conocimiento de los hechos i</w:t>
      </w:r>
      <w:r>
        <w:t>n</w:t>
      </w:r>
      <w:r>
        <w:t>vestigados en esta causa y toda vez que se encontraba de viaje, decidió regresar a esta ciudad a efe</w:t>
      </w:r>
      <w:r>
        <w:t>c</w:t>
      </w:r>
      <w:r>
        <w:t>tos de aclarar su situación procesal, arribando al aeropa</w:t>
      </w:r>
      <w:r>
        <w:t>r</w:t>
      </w:r>
      <w:r>
        <w:t>que el miércoles anterior a su declaración en un vuelo de la empresa “Austral”. Rel</w:t>
      </w:r>
      <w:r>
        <w:t>a</w:t>
      </w:r>
      <w:r>
        <w:t>tó que cuando llamó por teléfono a su esposa, conversó con una pers</w:t>
      </w:r>
      <w:r>
        <w:t>o</w:t>
      </w:r>
      <w:r>
        <w:t xml:space="preserve">na de </w:t>
      </w:r>
      <w:smartTag w:uri="urn:schemas-microsoft-com:office:smarttags" w:element="PersonName">
        <w:smartTagPr>
          <w:attr w:name="ProductID" w:val="la S.I"/>
        </w:smartTagPr>
        <w:r>
          <w:t>la S.I</w:t>
        </w:r>
      </w:smartTag>
      <w:r>
        <w:t>.D.E. que se hallaba con ella, a quien manifestó que lo esperaría al l</w:t>
      </w:r>
      <w:r>
        <w:t>a</w:t>
      </w:r>
      <w:r>
        <w:t>do de la oficina de informes. Por último, indicó que post</w:t>
      </w:r>
      <w:r>
        <w:t>e</w:t>
      </w:r>
      <w:r>
        <w:t xml:space="preserve">riormente conversó con un integrante de </w:t>
      </w:r>
      <w:smartTag w:uri="urn:schemas-microsoft-com:office:smarttags" w:element="PersonName">
        <w:smartTagPr>
          <w:attr w:name="ProductID" w:val="la Polic￭a Aeron￡utica"/>
        </w:smartTagPr>
        <w:r>
          <w:t>la Policía Aeroná</w:t>
        </w:r>
        <w:r>
          <w:t>u</w:t>
        </w:r>
        <w:r>
          <w:t>tica</w:t>
        </w:r>
      </w:smartTag>
      <w:r>
        <w:t>, a quien expl</w:t>
      </w:r>
      <w:r>
        <w:t>i</w:t>
      </w:r>
      <w:r>
        <w:t xml:space="preserve">có que había vendido </w:t>
      </w:r>
      <w:smartTag w:uri="urn:schemas-microsoft-com:office:smarttags" w:element="PersonName">
        <w:smartTagPr>
          <w:attr w:name="ProductID" w:val="la Trafic"/>
        </w:smartTagPr>
        <w:r>
          <w:t>la Trafic</w:t>
        </w:r>
      </w:smartTag>
      <w:r>
        <w:t xml:space="preserve"> y esperó que lo fueran a buscar.</w:t>
      </w:r>
    </w:p>
    <w:p w:rsidR="00224567" w:rsidRDefault="00224567">
      <w:pPr>
        <w:pStyle w:val="Textoindependiente"/>
        <w:spacing w:line="600" w:lineRule="auto"/>
      </w:pPr>
      <w:r>
        <w:tab/>
        <w:t>Negó tener relación o pertenecer a alguna o</w:t>
      </w:r>
      <w:r>
        <w:t>r</w:t>
      </w:r>
      <w:r>
        <w:t>ganización fundamentalista religiosa, conocer a algún mie</w:t>
      </w:r>
      <w:r>
        <w:t>m</w:t>
      </w:r>
      <w:r>
        <w:t>bro de la embajada iraní en Argentina y toda vinculación con el atentado. Asimismo, dijo que no conocía a Tomás D</w:t>
      </w:r>
      <w:r>
        <w:t>a</w:t>
      </w:r>
      <w:r>
        <w:t>vid Lorenz, Mario Alejandro L</w:t>
      </w:r>
      <w:r>
        <w:t>o</w:t>
      </w:r>
      <w:r>
        <w:t>renz, Susana Inés Froevers y Carlos Alejandro Mart</w:t>
      </w:r>
      <w:r>
        <w:t>í</w:t>
      </w:r>
      <w:r>
        <w:t>nez.</w:t>
      </w:r>
    </w:p>
    <w:p w:rsidR="00224567" w:rsidRDefault="00224567">
      <w:pPr>
        <w:widowControl w:val="0"/>
      </w:pPr>
      <w:r>
        <w:tab/>
        <w:t>Al ampliársele su declaración indag</w:t>
      </w:r>
      <w:r>
        <w:t>a</w:t>
      </w:r>
      <w:r>
        <w:t>toria el 6 de agosto de 1994 (fs. 2197/2213), Carlos A</w:t>
      </w:r>
      <w:r>
        <w:t>l</w:t>
      </w:r>
      <w:r>
        <w:t>berto Telleldín manifestó que se dedicaba a la co</w:t>
      </w:r>
      <w:r>
        <w:t>m</w:t>
      </w:r>
      <w:r>
        <w:t>praventa de automotores, habiendo tenido c</w:t>
      </w:r>
      <w:r>
        <w:t>o</w:t>
      </w:r>
      <w:r>
        <w:t>mercios de restaurante, lavadero de autos, un videoclub, un “boliche bailable” y una casa de electrodomésticos. Con r</w:t>
      </w:r>
      <w:r>
        <w:t>e</w:t>
      </w:r>
      <w:r>
        <w:t>lación al mencionado lavadero, so</w:t>
      </w:r>
      <w:r>
        <w:t>s</w:t>
      </w:r>
      <w:r>
        <w:t>tuvo que lo vendió en marzo de 1994.</w:t>
      </w:r>
    </w:p>
    <w:p w:rsidR="00224567" w:rsidRDefault="00224567">
      <w:pPr>
        <w:widowControl w:val="0"/>
      </w:pPr>
      <w:r>
        <w:tab/>
        <w:t>Debido a su actividad, indicó, tenía trato comercial con la agencia de automóviles “Alejandro Automotores” desde hacía dos años y medio, aproximadame</w:t>
      </w:r>
      <w:r>
        <w:t>n</w:t>
      </w:r>
      <w:r>
        <w:t>te. Mencionó que allí trataba la compraventa de automot</w:t>
      </w:r>
      <w:r>
        <w:t>o</w:t>
      </w:r>
      <w:r>
        <w:t>res con su propietario Alejandro Monjo, con</w:t>
      </w:r>
      <w:r>
        <w:t>o</w:t>
      </w:r>
      <w:r>
        <w:t>ciendo también a varios de los empleados, como ser los llamados Pedro y Fernando, cuyos apellidos no reco</w:t>
      </w:r>
      <w:r>
        <w:t>r</w:t>
      </w:r>
      <w:r>
        <w:t>dó, siendo el último el gestor de la firma. Negó conocer a Rodolfo Américo Setau y, al hacérsele saber que se trataba de un gestor de la agencia, aclaró que posiblemente lo conociera de vista. Precisó que “Alejandro Automotores” no le e</w:t>
      </w:r>
      <w:r>
        <w:t>n</w:t>
      </w:r>
      <w:r>
        <w:t>viaba clientes para los rodados que vendía, toda vez que no le convenía por tener su propia clientela y talleres de rep</w:t>
      </w:r>
      <w:r>
        <w:t>a</w:t>
      </w:r>
      <w:r>
        <w:t>ración.</w:t>
      </w:r>
    </w:p>
    <w:p w:rsidR="00224567" w:rsidRDefault="00224567">
      <w:pPr>
        <w:pStyle w:val="Sangradetextonormal"/>
        <w:widowControl w:val="0"/>
        <w:ind w:firstLine="0"/>
      </w:pPr>
      <w:r>
        <w:tab/>
        <w:t>Telleldín explicó que a lo largo de su actividad come</w:t>
      </w:r>
      <w:r>
        <w:t>r</w:t>
      </w:r>
      <w:r>
        <w:t>cial vendió cinco camionetas Renault Trafic y brindó detalles de cada una. Aclaró que una, en real</w:t>
      </w:r>
      <w:r>
        <w:t>i</w:t>
      </w:r>
      <w:r>
        <w:t>dad, la vendió en su domicilio –donde vivió desde abril hasta el 18 de julio- un amigo suyo llamado Hugo Antonio Pérez. Se procedió de esa forma, refirió, dado que Pérez figuraba como comprador en “Alejandro Automotores” y la adquirente deseaba que el nombrado firmara el boleto. Agregó que, además, aprovechó la oportunidad puesto que Pérez poseía número de C.U.I.T..</w:t>
      </w:r>
    </w:p>
    <w:p w:rsidR="00224567" w:rsidRDefault="00224567">
      <w:pPr>
        <w:widowControl w:val="0"/>
      </w:pPr>
      <w:r>
        <w:tab/>
        <w:t>Con relación al nombrado, hizo saber que lo conoció en la ciudad de Córdoba -dado que los p</w:t>
      </w:r>
      <w:r>
        <w:t>a</w:t>
      </w:r>
      <w:r>
        <w:t>dres de ambos eran policías-, acababa de divorciarse y se dedicaba a la construcción. Más adelante, Telleldín se rectificó y refirió que, en realidad, Pérez pe</w:t>
      </w:r>
      <w:r>
        <w:t>r</w:t>
      </w:r>
      <w:r>
        <w:t>maneció con ellos una semana más, hasta el 25 de julio. Recordó que durante el tiempo que vivió en su domicilio, Pérez se l</w:t>
      </w:r>
      <w:r>
        <w:t>e</w:t>
      </w:r>
      <w:r>
        <w:t>vantaba temprano para ir al country “Mapuche”, regresa</w:t>
      </w:r>
      <w:r>
        <w:t>n</w:t>
      </w:r>
      <w:r>
        <w:t>do a las 23.00 horas aproximadamente y que trabajaba todos los días, con excepción de los domingos, en que pe</w:t>
      </w:r>
      <w:r>
        <w:t>r</w:t>
      </w:r>
      <w:r>
        <w:t>manecía en su casa o, en ocasiones, salía. Aclaró que Pérez no i</w:t>
      </w:r>
      <w:r>
        <w:t>n</w:t>
      </w:r>
      <w:r>
        <w:t>tervino en ninguna de las operaciones de venta de rodados, ya que no entendía del t</w:t>
      </w:r>
      <w:r>
        <w:t>e</w:t>
      </w:r>
      <w:r>
        <w:t>ma.</w:t>
      </w:r>
    </w:p>
    <w:p w:rsidR="00224567" w:rsidRDefault="00224567">
      <w:pPr>
        <w:widowControl w:val="0"/>
      </w:pPr>
      <w:r>
        <w:tab/>
        <w:t xml:space="preserve">En cuanto a </w:t>
      </w:r>
      <w:smartTag w:uri="urn:schemas-microsoft-com:office:smarttags" w:element="PersonName">
        <w:smartTagPr>
          <w:attr w:name="ProductID" w:val="la Renault Trafic"/>
        </w:smartTagPr>
        <w:r>
          <w:t>la Renault Trafic</w:t>
        </w:r>
      </w:smartTag>
      <w:r>
        <w:t xml:space="preserve"> aquí pesquisada, la quinta que comercializó según sus dichos, expresó que la adquirió en “Alejandro Automotores” de la misma forma que las anteriores. Creyó recordar que esa firma le entregó el rodado siniestrado el lunes 4 de julio de 1994. Sin embargo, al señalársele que el 26 de junio llevó al taller de Cotoras el vehículo para que éste le extrajera el motor, Telleldín respondió que era posible que le hubieran entregado la camioneta con anterioridad, aunque no estaba seguro de que fuera el 26 de junio, agr</w:t>
      </w:r>
      <w:r>
        <w:t>e</w:t>
      </w:r>
      <w:r>
        <w:t>gando que la fecha exacta de entrega debía surgir de la documentación de “Alejandro Automotores”. Agregó que el vehículo siniestrado fue trasl</w:t>
      </w:r>
      <w:r>
        <w:t>a</w:t>
      </w:r>
      <w:r>
        <w:t>dado hasta el domicilio de Cotoras por una grúa de esa fi</w:t>
      </w:r>
      <w:r>
        <w:t>r</w:t>
      </w:r>
      <w:r>
        <w:t>ma.</w:t>
      </w:r>
    </w:p>
    <w:p w:rsidR="00224567" w:rsidRDefault="00224567">
      <w:pPr>
        <w:widowControl w:val="0"/>
      </w:pPr>
      <w:r>
        <w:tab/>
        <w:t>Mencionó que adquirió la carroc</w:t>
      </w:r>
      <w:r>
        <w:t>e</w:t>
      </w:r>
      <w:r>
        <w:t xml:space="preserve">ría de </w:t>
      </w:r>
      <w:smartTag w:uri="urn:schemas-microsoft-com:office:smarttags" w:element="PersonName">
        <w:smartTagPr>
          <w:attr w:name="ProductID" w:val="la Trafic"/>
        </w:smartTagPr>
        <w:r>
          <w:t>la Trafic</w:t>
        </w:r>
      </w:smartTag>
      <w:r>
        <w:t xml:space="preserve"> investigada en autos a una persona llamada M</w:t>
      </w:r>
      <w:r>
        <w:t>i</w:t>
      </w:r>
      <w:r>
        <w:t>guel, domiciliada en la calle Astiz al 1800 de Haedo, pr</w:t>
      </w:r>
      <w:r>
        <w:t>o</w:t>
      </w:r>
      <w:r>
        <w:t xml:space="preserve">vincia de Buenos Aires, quien era buscado por </w:t>
      </w:r>
      <w:smartTag w:uri="urn:schemas-microsoft-com:office:smarttags" w:element="PersonName">
        <w:smartTagPr>
          <w:attr w:name="ProductID" w:val="la Brigada"/>
        </w:smartTagPr>
        <w:r>
          <w:t>la Brigada</w:t>
        </w:r>
      </w:smartTag>
      <w:r>
        <w:t xml:space="preserve"> de Vicente López. Indicó que la caja quedó original, no habiéndola modificado los mecánicos; sólo quitó los la</w:t>
      </w:r>
      <w:r>
        <w:t>r</w:t>
      </w:r>
      <w:r>
        <w:t>gueros interiores, a fin de que no la identificaran. Que su idea era dejarla en el mismo estado en que se hallaba el rodado antes del siniestro. Agregó que cuando la co</w:t>
      </w:r>
      <w:r>
        <w:t>m</w:t>
      </w:r>
      <w:r>
        <w:t>pró era a gas, pero como el equipo se había quemado, no lo r</w:t>
      </w:r>
      <w:r>
        <w:t>e</w:t>
      </w:r>
      <w:r>
        <w:t>instaló, quedando naft</w:t>
      </w:r>
      <w:r>
        <w:t>e</w:t>
      </w:r>
      <w:r>
        <w:t>ra.</w:t>
      </w:r>
    </w:p>
    <w:p w:rsidR="00224567" w:rsidRDefault="00224567">
      <w:pPr>
        <w:widowControl w:val="0"/>
      </w:pPr>
      <w:r>
        <w:tab/>
        <w:t xml:space="preserve">Señaló Telleldín que el fin de semana del 9 y 10 de julio publicó un aviso de venta de </w:t>
      </w:r>
      <w:smartTag w:uri="urn:schemas-microsoft-com:office:smarttags" w:element="PersonName">
        <w:smartTagPr>
          <w:attr w:name="ProductID" w:val="la Renault Trafic"/>
        </w:smartTagPr>
        <w:r>
          <w:t>la R</w:t>
        </w:r>
        <w:r>
          <w:t>e</w:t>
        </w:r>
        <w:r>
          <w:t>nault Trafic</w:t>
        </w:r>
      </w:smartTag>
      <w:r>
        <w:t>, recibiendo el sábado, en horas de la ta</w:t>
      </w:r>
      <w:r>
        <w:t>r</w:t>
      </w:r>
      <w:r>
        <w:t>de, entre otras, una llamada de una persona con acento extr</w:t>
      </w:r>
      <w:r>
        <w:t>a</w:t>
      </w:r>
      <w:r>
        <w:t>ño, quien lo interrogó sobre la dirección para ver la c</w:t>
      </w:r>
      <w:r>
        <w:t>a</w:t>
      </w:r>
      <w:r>
        <w:t>mioneta que ofrecía a la venta; al informársela, le pr</w:t>
      </w:r>
      <w:r>
        <w:t>e</w:t>
      </w:r>
      <w:r>
        <w:t>guntó a su interlocutor si era japonés, a lo que respondió que era e</w:t>
      </w:r>
      <w:r>
        <w:t>s</w:t>
      </w:r>
      <w:r>
        <w:t>pañol.</w:t>
      </w:r>
    </w:p>
    <w:p w:rsidR="00224567" w:rsidRDefault="00224567">
      <w:pPr>
        <w:widowControl w:val="0"/>
      </w:pPr>
      <w:r>
        <w:tab/>
        <w:t>Reiteró que tres personas de rasgos orient</w:t>
      </w:r>
      <w:r>
        <w:t>a</w:t>
      </w:r>
      <w:r>
        <w:t>les fueron a ver la camioneta.</w:t>
      </w:r>
    </w:p>
    <w:p w:rsidR="00224567" w:rsidRDefault="00224567">
      <w:pPr>
        <w:widowControl w:val="0"/>
      </w:pPr>
      <w:r>
        <w:tab/>
        <w:t>Acerca de la venta de la camioneta, afirmó que se realizó el 10 de julio, precisando que ese día se levantó tarde, desayunó alrededor de las 10.30 y comenzó a atender el teléfono, porque tenía publicado el vehículo. Narró que llamaron e</w:t>
      </w:r>
      <w:r>
        <w:t>n</w:t>
      </w:r>
      <w:r>
        <w:t>tre nueve y diez personas, incluida la que lo había hecho el día sábado, quien lo h</w:t>
      </w:r>
      <w:r>
        <w:t>i</w:t>
      </w:r>
      <w:r>
        <w:t>zo después de que desayunara y a quien le dio la dire</w:t>
      </w:r>
      <w:r>
        <w:t>c</w:t>
      </w:r>
      <w:r>
        <w:t>ción, recibiendo un segundo llamado de este sujeto a efe</w:t>
      </w:r>
      <w:r>
        <w:t>c</w:t>
      </w:r>
      <w:r>
        <w:t>tos de preguntarle donde qued</w:t>
      </w:r>
      <w:r>
        <w:t>a</w:t>
      </w:r>
      <w:r>
        <w:t>ba “Villa Ballestor” (sic).</w:t>
      </w:r>
    </w:p>
    <w:p w:rsidR="00224567" w:rsidRDefault="00224567">
      <w:pPr>
        <w:widowControl w:val="0"/>
      </w:pPr>
      <w:r>
        <w:tab/>
        <w:t>Asimismo, refirió que en una tercera comunicación preguntó nuevamente dónde quedaba el lugar, reiterándole el camino que debía tomar. No recordó si le hizo saber dónde se encontraba, pero aclaró que las ref</w:t>
      </w:r>
      <w:r>
        <w:t>e</w:t>
      </w:r>
      <w:r>
        <w:t>rencias brindadas servían para todos los accesos, sup</w:t>
      </w:r>
      <w:r>
        <w:t>o</w:t>
      </w:r>
      <w:r>
        <w:t xml:space="preserve">niendo en definitiva que por las directivas dadas le debió haber dicho que venía de </w:t>
      </w:r>
      <w:smartTag w:uri="urn:schemas-microsoft-com:office:smarttags" w:element="PersonName">
        <w:smartTagPr>
          <w:attr w:name="ProductID" w:val="la Capital Federal."/>
        </w:smartTagPr>
        <w:r>
          <w:t>la Capital Federal.</w:t>
        </w:r>
      </w:smartTag>
      <w:r>
        <w:t xml:space="preserve"> Si bien no pudo precisar el tiempo exacto que demoró en arribar a su domicilio luego del último llamado, recordó que fue ba</w:t>
      </w:r>
      <w:r>
        <w:t>s</w:t>
      </w:r>
      <w:r>
        <w:t>tante, desconociendo en qué medio ll</w:t>
      </w:r>
      <w:r>
        <w:t>e</w:t>
      </w:r>
      <w:r>
        <w:t>gó.</w:t>
      </w:r>
    </w:p>
    <w:p w:rsidR="00224567" w:rsidRDefault="00224567">
      <w:pPr>
        <w:widowControl w:val="0"/>
      </w:pPr>
      <w:r>
        <w:tab/>
        <w:t>Aclaró que, aproximadamente, el pr</w:t>
      </w:r>
      <w:r>
        <w:t>i</w:t>
      </w:r>
      <w:r>
        <w:t>mer llamado se produjo a las 10.30, el segundo a las 11.10 y el tercero a las 12.00, suponiendo que arribó a su domic</w:t>
      </w:r>
      <w:r>
        <w:t>i</w:t>
      </w:r>
      <w:r>
        <w:t>lio a las 13.30, toda vez que aún no había almorzado. A pesar de que no recordó si Pérez se hallaba en su domic</w:t>
      </w:r>
      <w:r>
        <w:t>i</w:t>
      </w:r>
      <w:r>
        <w:t>lio en ese momento, refirió que, según creía, no e</w:t>
      </w:r>
      <w:r>
        <w:t>s</w:t>
      </w:r>
      <w:r>
        <w:t>taba, a la vez que aseguró que al momento de la transacción sólo se encontraba presente su mujer. No obstante, admitió h</w:t>
      </w:r>
      <w:r>
        <w:t>a</w:t>
      </w:r>
      <w:r>
        <w:t>berle hecho comentarios a Pérez sobre el comprador del vehíc</w:t>
      </w:r>
      <w:r>
        <w:t>u</w:t>
      </w:r>
      <w:r>
        <w:t>lo.</w:t>
      </w:r>
    </w:p>
    <w:p w:rsidR="00224567" w:rsidRDefault="00224567">
      <w:pPr>
        <w:widowControl w:val="0"/>
      </w:pPr>
      <w:r>
        <w:tab/>
        <w:t>Resaltó que también lo vio un vecino suyo, cuyo nombre no recordó, propietario de un Ford Fa</w:t>
      </w:r>
      <w:r>
        <w:t>l</w:t>
      </w:r>
      <w:r>
        <w:t>con color amarillo, quien era constructor y se e</w:t>
      </w:r>
      <w:r>
        <w:t>n</w:t>
      </w:r>
      <w:r>
        <w:t>contraba con la mujer y otra persona. Describió al m</w:t>
      </w:r>
      <w:r>
        <w:t>a</w:t>
      </w:r>
      <w:r>
        <w:t>trimonio como de más de cincuenta años de edad y siendo el hombre de b</w:t>
      </w:r>
      <w:r>
        <w:t>a</w:t>
      </w:r>
      <w:r>
        <w:t>ja estatura –1,64 m-, medio pelado canoso, italiano o de</w:t>
      </w:r>
      <w:r>
        <w:t>s</w:t>
      </w:r>
      <w:r>
        <w:t>cendiente de italianos y la señ</w:t>
      </w:r>
      <w:r>
        <w:t>o</w:t>
      </w:r>
      <w:r>
        <w:t>ra un poco más alta –1,74 m- y de pelo rojizo; la otra pers</w:t>
      </w:r>
      <w:r>
        <w:t>o</w:t>
      </w:r>
      <w:r>
        <w:t>na, según creía, era un alb</w:t>
      </w:r>
      <w:r>
        <w:t>a</w:t>
      </w:r>
      <w:r>
        <w:t>ñil.</w:t>
      </w:r>
    </w:p>
    <w:p w:rsidR="00224567" w:rsidRDefault="00224567">
      <w:pPr>
        <w:widowControl w:val="0"/>
      </w:pPr>
      <w:r>
        <w:tab/>
        <w:t>Expresó que el sujeto de referencia tenía una entonación centroamericana, deduciendo que no era el individuo que antes llamara y que la persona que concurrió a pagar la camioneta fue enviada por quien se comunicó telefónicamente. Recordó que el comprador usaba una gorra marrón, de tela a cuadritos pequeños, con visera abrochada al frente -tipo ant</w:t>
      </w:r>
      <w:r>
        <w:t>i</w:t>
      </w:r>
      <w:r>
        <w:t>gua-; que tenía pelo largo, ondulado, color castaño, con partes más claras, no cond</w:t>
      </w:r>
      <w:r>
        <w:t>i</w:t>
      </w:r>
      <w:r>
        <w:t>ciéndose con su cutis, que era trigu</w:t>
      </w:r>
      <w:r>
        <w:t>e</w:t>
      </w:r>
      <w:r>
        <w:t>ño, es decir, tostado o bien qu</w:t>
      </w:r>
      <w:r>
        <w:t>e</w:t>
      </w:r>
      <w:r>
        <w:t>mado por el sol; ojos redondos, chicos, ubicados en forma propo</w:t>
      </w:r>
      <w:r>
        <w:t>r</w:t>
      </w:r>
      <w:r>
        <w:t>cional en su cara, vale decir, ni cerca ni lejos de la nariz, color marrón oscuro, sin barba ni big</w:t>
      </w:r>
      <w:r>
        <w:t>o</w:t>
      </w:r>
      <w:r>
        <w:t xml:space="preserve">tes, nariz recta y fina de unos </w:t>
      </w:r>
      <w:smartTag w:uri="urn:schemas-microsoft-com:office:smarttags" w:element="metricconverter">
        <w:smartTagPr>
          <w:attr w:name="ProductID" w:val="5 cm"/>
        </w:smartTagPr>
        <w:r>
          <w:t>5 cm</w:t>
        </w:r>
      </w:smartTag>
      <w:r>
        <w:t xml:space="preserve"> de largo, labios f</w:t>
      </w:r>
      <w:r>
        <w:t>i</w:t>
      </w:r>
      <w:r>
        <w:t>nos, cara alargada y delgada, anteojos cuadrados m</w:t>
      </w:r>
      <w:r>
        <w:t>e</w:t>
      </w:r>
      <w:r>
        <w:t>dianos -color plateado-, cejas de pelo abundante de tamaño no</w:t>
      </w:r>
      <w:r>
        <w:t>r</w:t>
      </w:r>
      <w:r>
        <w:t>mal, manos que p</w:t>
      </w:r>
      <w:r>
        <w:t>a</w:t>
      </w:r>
      <w:r>
        <w:t xml:space="preserve">recían muy bien cuidadas y que eran unos </w:t>
      </w:r>
      <w:smartTag w:uri="urn:schemas-microsoft-com:office:smarttags" w:element="metricconverter">
        <w:smartTagPr>
          <w:attr w:name="ProductID" w:val="2 cm"/>
        </w:smartTagPr>
        <w:r>
          <w:t>2 cm</w:t>
        </w:r>
      </w:smartTag>
      <w:r>
        <w:t xml:space="preserve"> más grandes que las suyas y sin cicatrices ni otra característica que resa</w:t>
      </w:r>
      <w:r>
        <w:t>l</w:t>
      </w:r>
      <w:r>
        <w:t>tara.</w:t>
      </w:r>
    </w:p>
    <w:p w:rsidR="00224567" w:rsidRDefault="00224567">
      <w:pPr>
        <w:widowControl w:val="0"/>
      </w:pPr>
      <w:r>
        <w:tab/>
        <w:t>Agregó que no veía las orejas por la gran cantidad de pelo y que no podía determinar cómo era la frente, ya que se la tapaba la g</w:t>
      </w:r>
      <w:r>
        <w:t>o</w:t>
      </w:r>
      <w:r>
        <w:t xml:space="preserve">rra. Asimismo, indicó que medía 1,70 ó </w:t>
      </w:r>
      <w:smartTag w:uri="urn:schemas-microsoft-com:office:smarttags" w:element="metricconverter">
        <w:smartTagPr>
          <w:attr w:name="ProductID" w:val="1,74 m"/>
        </w:smartTagPr>
        <w:r>
          <w:t>1,74 m</w:t>
        </w:r>
      </w:smartTag>
      <w:r>
        <w:t>, que se trataba de una persona delgada, de aproximadamente treinta años, no pudiendo d</w:t>
      </w:r>
      <w:r>
        <w:t>e</w:t>
      </w:r>
      <w:r>
        <w:t>terminar si era muscul</w:t>
      </w:r>
      <w:r>
        <w:t>o</w:t>
      </w:r>
      <w:r>
        <w:t>so o no, puesto que llevaba puesto un saco color claro, tipo de seda con lanilla, que parecía muy caro, con rayas de color gris oscuro, pero que a la vista parecía claro; calzaba zapatos de color negro con una trenza en la parte superior y portaba una carterita colgante tipo “attaché”. Por último, indicó que lucía un reloj con cronómetro, malla de metal y eslabones pequ</w:t>
      </w:r>
      <w:r>
        <w:t>e</w:t>
      </w:r>
      <w:r>
        <w:t>ños, que le llamó la atención.</w:t>
      </w:r>
    </w:p>
    <w:p w:rsidR="00224567" w:rsidRDefault="00224567">
      <w:pPr>
        <w:widowControl w:val="0"/>
      </w:pPr>
      <w:r>
        <w:tab/>
        <w:t>Reiteró que luego de probar la cami</w:t>
      </w:r>
      <w:r>
        <w:t>o</w:t>
      </w:r>
      <w:r>
        <w:t>neta discutieron el precio, confeccionó el boleto, c</w:t>
      </w:r>
      <w:r>
        <w:t>o</w:t>
      </w:r>
      <w:r>
        <w:t>bró y controló si los billetes eran buenos, comprobando que t</w:t>
      </w:r>
      <w:r>
        <w:t>o</w:t>
      </w:r>
      <w:r>
        <w:t>dos, excepto uno, eran nuevos y correspo</w:t>
      </w:r>
      <w:r>
        <w:t>n</w:t>
      </w:r>
      <w:r>
        <w:t>dían a una serie nueva, estando cubiertos por una franja de seguridad. F</w:t>
      </w:r>
      <w:r>
        <w:t>i</w:t>
      </w:r>
      <w:r>
        <w:t>niquitada la operación el comprador se retiró y luego de almorzar, según creía recordar, salió a pasear con su e</w:t>
      </w:r>
      <w:r>
        <w:t>s</w:t>
      </w:r>
      <w:r>
        <w:t>posa e hijo, pasando por la casa de un amigo, Diego Barr</w:t>
      </w:r>
      <w:r>
        <w:t>e</w:t>
      </w:r>
      <w:r>
        <w:t>da; una vez de regreso, cenó y se acostó a do</w:t>
      </w:r>
      <w:r>
        <w:t>r</w:t>
      </w:r>
      <w:r>
        <w:t>mir.</w:t>
      </w:r>
    </w:p>
    <w:p w:rsidR="00224567" w:rsidRDefault="00224567">
      <w:pPr>
        <w:widowControl w:val="0"/>
      </w:pPr>
      <w:r>
        <w:tab/>
        <w:t>El sábado, sostuvo, sólo fueron a ver la camioneta las personas orientales antes menci</w:t>
      </w:r>
      <w:r>
        <w:t>o</w:t>
      </w:r>
      <w:r>
        <w:t>nadas, en tanto recordó que el domingo a la tarde, mientras confe</w:t>
      </w:r>
      <w:r>
        <w:t>c</w:t>
      </w:r>
      <w:r>
        <w:t>cionaba el boleto, se presentó otro i</w:t>
      </w:r>
      <w:r>
        <w:t>n</w:t>
      </w:r>
      <w:r>
        <w:t>teresado, quien fue atendido por su señora, informándole que ya estaba vend</w:t>
      </w:r>
      <w:r>
        <w:t>i</w:t>
      </w:r>
      <w:r>
        <w:t>da. En cuanto a los llamados telefónicos, el imputado i</w:t>
      </w:r>
      <w:r>
        <w:t>n</w:t>
      </w:r>
      <w:r>
        <w:t>dicó que el día sábado llamaron muchas personas por el aviso, en tanto el domingo 10 se produjeron las comunic</w:t>
      </w:r>
      <w:r>
        <w:t>a</w:t>
      </w:r>
      <w:r>
        <w:t>ciones que ya det</w:t>
      </w:r>
      <w:r>
        <w:t>a</w:t>
      </w:r>
      <w:r>
        <w:t>llara.</w:t>
      </w:r>
    </w:p>
    <w:p w:rsidR="00224567" w:rsidRDefault="00224567">
      <w:pPr>
        <w:widowControl w:val="0"/>
      </w:pPr>
      <w:r>
        <w:tab/>
        <w:t>En otro orden de ideas, el acusado n</w:t>
      </w:r>
      <w:r>
        <w:t>a</w:t>
      </w:r>
      <w:r>
        <w:t>rró que el 11 de julio, cerca del mediodía, fue a la firma “Alejandro Automotores” a pagar la suma adeudada, retira</w:t>
      </w:r>
      <w:r>
        <w:t>n</w:t>
      </w:r>
      <w:r>
        <w:t>do en la ocasión un Renault 9; también le entregaron los “</w:t>
      </w:r>
      <w:smartTag w:uri="urn:schemas-microsoft-com:office:smarttags" w:element="metricconverter">
        <w:smartTagPr>
          <w:attr w:name="ProductID" w:val="08”"/>
        </w:smartTagPr>
        <w:r>
          <w:t>08”</w:t>
        </w:r>
      </w:smartTag>
      <w:r>
        <w:t xml:space="preserve"> de </w:t>
      </w:r>
      <w:smartTag w:uri="urn:schemas-microsoft-com:office:smarttags" w:element="PersonName">
        <w:smartTagPr>
          <w:attr w:name="ProductID" w:val="la Trafic"/>
        </w:smartTagPr>
        <w:r>
          <w:t>la Trafic</w:t>
        </w:r>
      </w:smartTag>
      <w:r>
        <w:t xml:space="preserve"> y la documentación del vehículo al</w:t>
      </w:r>
      <w:r>
        <w:t>u</w:t>
      </w:r>
      <w:r>
        <w:t>dido.</w:t>
      </w:r>
    </w:p>
    <w:p w:rsidR="00224567" w:rsidRDefault="00224567">
      <w:pPr>
        <w:widowControl w:val="0"/>
      </w:pPr>
      <w:r>
        <w:tab/>
        <w:t>Que ese mismo lunes, a las 24.00, vi</w:t>
      </w:r>
      <w:r>
        <w:t>a</w:t>
      </w:r>
      <w:r>
        <w:t>jó en automóvil a la ciudad de Córdoba a fin de buscar a sus dos hijos, regresando el día 13. Reco</w:t>
      </w:r>
      <w:r>
        <w:t>r</w:t>
      </w:r>
      <w:r>
        <w:t>dó que arribó a Córdoba a las 6.00, aproximadamente, pasó el día en casa de su madre, donde durmió, vis</w:t>
      </w:r>
      <w:r>
        <w:t>i</w:t>
      </w:r>
      <w:r>
        <w:t xml:space="preserve">tó a su hija y concurrió al cementerio donde está enterrado su padre; el </w:t>
      </w:r>
      <w:smartTag w:uri="urn:schemas-microsoft-com:office:smarttags" w:element="metricconverter">
        <w:smartTagPr>
          <w:attr w:name="ProductID" w:val="13 a"/>
        </w:smartTagPr>
        <w:r>
          <w:t>13 a</w:t>
        </w:r>
      </w:smartTag>
      <w:r>
        <w:t xml:space="preserve"> las 16.00, aproximadamente, partió hacia esta ciudad, arriba</w:t>
      </w:r>
      <w:r>
        <w:t>n</w:t>
      </w:r>
      <w:r>
        <w:t>do a las 23.00.</w:t>
      </w:r>
    </w:p>
    <w:p w:rsidR="00224567" w:rsidRDefault="00224567">
      <w:pPr>
        <w:widowControl w:val="0"/>
      </w:pPr>
      <w:r>
        <w:tab/>
        <w:t>Indicó que el jueves 14, luego de a</w:t>
      </w:r>
      <w:r>
        <w:t>l</w:t>
      </w:r>
      <w:r>
        <w:t>morzar, se dir</w:t>
      </w:r>
      <w:r>
        <w:t>i</w:t>
      </w:r>
      <w:r>
        <w:t>gió a la zona de Martelli y Munro a efectos de comprar repuestos para el Renault 9 que adquiriera y que estaba en la cochera de su casa; regresó alrededor de las 15.00 y se retiró nuevamente a las 17.00, hacia el d</w:t>
      </w:r>
      <w:r>
        <w:t>o</w:t>
      </w:r>
      <w:r>
        <w:t>micilio de Diego Barreda, cuya mujer había tenido familia. Al llegar a la esquina de su domicilio se le cruzó de co</w:t>
      </w:r>
      <w:r>
        <w:t>n</w:t>
      </w:r>
      <w:r>
        <w:t>tramano un automóvil Peugeot 505, color gris, m</w:t>
      </w:r>
      <w:r>
        <w:t>o</w:t>
      </w:r>
      <w:r>
        <w:t>delo viejo –año 1983 ó 1984-, miró por el espejo retrovisor, obse</w:t>
      </w:r>
      <w:r>
        <w:t>r</w:t>
      </w:r>
      <w:r>
        <w:t>vando un aut</w:t>
      </w:r>
      <w:r>
        <w:t>o</w:t>
      </w:r>
      <w:r>
        <w:t>móvil Ford Galaxy, color azul, con las luces encendidas, que ava</w:t>
      </w:r>
      <w:r>
        <w:t>n</w:t>
      </w:r>
      <w:r>
        <w:t>zaba a su encuentro a alta velocidad. Suponiendo que eran ladrones, expresó, retrocedió para t</w:t>
      </w:r>
      <w:r>
        <w:t>o</w:t>
      </w:r>
      <w:r>
        <w:t>mar distancia y embistió la parte trasera del Peugeot 505 que estaba enfre</w:t>
      </w:r>
      <w:r>
        <w:t>n</w:t>
      </w:r>
      <w:r>
        <w:t>te suyo.</w:t>
      </w:r>
    </w:p>
    <w:p w:rsidR="00224567" w:rsidRDefault="00224567">
      <w:pPr>
        <w:widowControl w:val="0"/>
      </w:pPr>
      <w:r>
        <w:tab/>
        <w:t>En esas circunstancias, continuó, se dio a la fuga, siendo perseguido por el Galaxy, seguimie</w:t>
      </w:r>
      <w:r>
        <w:t>n</w:t>
      </w:r>
      <w:r>
        <w:t>to que duró aproximadamente cincuenta cuadras, hasta que se subió a la vereda y, al doblar, “embistió contra una vereda” (sic), momento en que fue alcanzado; en ese in</w:t>
      </w:r>
      <w:r>
        <w:t>s</w:t>
      </w:r>
      <w:r>
        <w:t>tante, del Galaxy descendieron unas personas vestidas de civil, suponiendo que eran policías, quienes pegaron con la culata de una pistola en el vidrio a fin de romperlo, logrando sólo astillarlo. Adunó que le hablaron en voz b</w:t>
      </w:r>
      <w:r>
        <w:t>a</w:t>
      </w:r>
      <w:r>
        <w:t>ja, indicándole que bajara para conversar, ante lo cual nuev</w:t>
      </w:r>
      <w:r>
        <w:t>a</w:t>
      </w:r>
      <w:r>
        <w:t>mente se fugó.</w:t>
      </w:r>
    </w:p>
    <w:p w:rsidR="00224567" w:rsidRDefault="00224567">
      <w:pPr>
        <w:widowControl w:val="0"/>
      </w:pPr>
      <w:r>
        <w:tab/>
        <w:t>A fin de no comprometer a sus am</w:t>
      </w:r>
      <w:r>
        <w:t>i</w:t>
      </w:r>
      <w:r>
        <w:t xml:space="preserve">gos, relató, se dirigió a </w:t>
      </w:r>
      <w:smartTag w:uri="urn:schemas-microsoft-com:office:smarttags" w:element="PersonName">
        <w:smartTagPr>
          <w:attr w:name="ProductID" w:val="la Capital Federal"/>
        </w:smartTagPr>
        <w:r>
          <w:t>la Capital Federal</w:t>
        </w:r>
      </w:smartTag>
      <w:r>
        <w:t>, dejando su aut</w:t>
      </w:r>
      <w:r>
        <w:t>o</w:t>
      </w:r>
      <w:r>
        <w:t>móvil en el estado en que se encontraba en una playa de estacionamiento en la zona de Be</w:t>
      </w:r>
      <w:r>
        <w:t>l</w:t>
      </w:r>
      <w:r>
        <w:t>grano, según creía entre las calles Amenábar y Blanco Encal</w:t>
      </w:r>
      <w:r>
        <w:t>a</w:t>
      </w:r>
      <w:r>
        <w:t>da; tomó un taxi hasta el centro de la ciudad y desde un teléfono públ</w:t>
      </w:r>
      <w:r>
        <w:t>i</w:t>
      </w:r>
      <w:r>
        <w:t>co llamó a Diego Barreda a fin de ponerlo en conocimiento de la s</w:t>
      </w:r>
      <w:r>
        <w:t>i</w:t>
      </w:r>
      <w:r>
        <w:t>tuación. Acotó que lo llamó nuev</w:t>
      </w:r>
      <w:r>
        <w:t>a</w:t>
      </w:r>
      <w:r>
        <w:t>mente una hora más tarde, refiriendo éste que ya sabía de dónde venía el problema. Aclaró que  policías de la provincia de Buenos Aires qu</w:t>
      </w:r>
      <w:r>
        <w:t>e</w:t>
      </w:r>
      <w:r>
        <w:t>rían cobrarle “peaje” (sic), vale decir, que si no pagaba una suma de dinero lo detendrían por sus antecedentes, puntualizando que la s</w:t>
      </w:r>
      <w:r>
        <w:t>u</w:t>
      </w:r>
      <w:r>
        <w:t>ma peticionada para “arreglar” era de USD 40.000.</w:t>
      </w:r>
    </w:p>
    <w:p w:rsidR="00224567" w:rsidRDefault="00224567">
      <w:pPr>
        <w:widowControl w:val="0"/>
      </w:pPr>
      <w:r>
        <w:tab/>
        <w:t>Añadió que en esos momentos se enco</w:t>
      </w:r>
      <w:r>
        <w:t>n</w:t>
      </w:r>
      <w:r>
        <w:t>traba con su esposa y que sus hijos estaban solos en su casa, a donde arribó Pérez a las 23.00, aproximadamente, tomando conocimiento por aquéllos de lo suced</w:t>
      </w:r>
      <w:r>
        <w:t>i</w:t>
      </w:r>
      <w:r>
        <w:t>do. Refirió que al conversar con Pérez le indicó que abandonara el d</w:t>
      </w:r>
      <w:r>
        <w:t>o</w:t>
      </w:r>
      <w:r>
        <w:t>micilio, pues podían ir los policías y aquél no tenía vi</w:t>
      </w:r>
      <w:r>
        <w:t>n</w:t>
      </w:r>
      <w:r>
        <w:t>culación alguna; que al nombrado lo capt</w:t>
      </w:r>
      <w:r>
        <w:t>u</w:t>
      </w:r>
      <w:r>
        <w:t>raron los mismos policías que se hallaban en el automóvil Galaxy y le peg</w:t>
      </w:r>
      <w:r>
        <w:t>a</w:t>
      </w:r>
      <w:r>
        <w:t xml:space="preserve">ron desde las 24.00 horas hasta las 6.00, conduciéndolo luego detenido a </w:t>
      </w:r>
      <w:smartTag w:uri="urn:schemas-microsoft-com:office:smarttags" w:element="PersonName">
        <w:smartTagPr>
          <w:attr w:name="ProductID" w:val="la Brigada"/>
        </w:smartTagPr>
        <w:r>
          <w:t>la Brigada</w:t>
        </w:r>
      </w:smartTag>
      <w:r>
        <w:t xml:space="preserve"> de Vicente López, donde le dieron ingreso por averiguación de antecede</w:t>
      </w:r>
      <w:r>
        <w:t>n</w:t>
      </w:r>
      <w:r>
        <w:t>tes.</w:t>
      </w:r>
    </w:p>
    <w:p w:rsidR="00224567" w:rsidRDefault="00224567">
      <w:pPr>
        <w:widowControl w:val="0"/>
      </w:pPr>
      <w:r>
        <w:tab/>
        <w:t>Esa noche, señaló, dio vueltas por el centro, realizó diversos llamados telefónicos desde un l</w:t>
      </w:r>
      <w:r>
        <w:t>o</w:t>
      </w:r>
      <w:r>
        <w:t xml:space="preserve">cutorio de “Telefónica”, sito en </w:t>
      </w:r>
      <w:smartTag w:uri="urn:schemas-microsoft-com:office:smarttags" w:element="PersonName">
        <w:smartTagPr>
          <w:attr w:name="ProductID" w:val="la Av. Corrientes"/>
        </w:smartTagPr>
        <w:r>
          <w:t>la Av. Corrientes</w:t>
        </w:r>
      </w:smartTag>
      <w:r>
        <w:t>, pe</w:t>
      </w:r>
      <w:r>
        <w:t>r</w:t>
      </w:r>
      <w:r>
        <w:t>noctando con su mujer en un albergue transitorio ubicado en el pasaje Tres Sa</w:t>
      </w:r>
      <w:r>
        <w:t>r</w:t>
      </w:r>
      <w:r>
        <w:t>gentos.</w:t>
      </w:r>
    </w:p>
    <w:p w:rsidR="00224567" w:rsidRDefault="00224567">
      <w:pPr>
        <w:pStyle w:val="Sangradetextonormal"/>
        <w:widowControl w:val="0"/>
        <w:ind w:firstLine="0"/>
      </w:pPr>
      <w:r>
        <w:tab/>
        <w:t>El 15 de julio, manifestó, se l</w:t>
      </w:r>
      <w:r>
        <w:t>e</w:t>
      </w:r>
      <w:r>
        <w:t>vantó a las 10.30 y se contactó con el abogado que le indicara Diego Barreda, el Dr. Bottegal; se reunió con el l</w:t>
      </w:r>
      <w:r>
        <w:t>e</w:t>
      </w:r>
      <w:r>
        <w:t>trado a las 15.00, en un bar sito en la interse</w:t>
      </w:r>
      <w:r>
        <w:t>c</w:t>
      </w:r>
      <w:r>
        <w:t>ción de las calles Monroe y Moldes, indicándole Bottegal que los policías p</w:t>
      </w:r>
      <w:r>
        <w:t>e</w:t>
      </w:r>
      <w:r>
        <w:t xml:space="preserve">dían USD </w:t>
      </w:r>
      <w:smartTag w:uri="urn:schemas-microsoft-com:office:smarttags" w:element="metricconverter">
        <w:smartTagPr>
          <w:attr w:name="ProductID" w:val="40.000, a"/>
        </w:smartTagPr>
        <w:r>
          <w:t>40.000, a</w:t>
        </w:r>
      </w:smartTag>
      <w:r>
        <w:t xml:space="preserve"> lo que le respondió que no tenía ni el diez por ciento de esa suma, toda vez que meses antes h</w:t>
      </w:r>
      <w:r>
        <w:t>a</w:t>
      </w:r>
      <w:r>
        <w:t>bía pagado otros USD 30.000 frente a una situación sim</w:t>
      </w:r>
      <w:r>
        <w:t>i</w:t>
      </w:r>
      <w:r>
        <w:t>lar. Finalmente, apuntó, arribaron a un arreglo, dirigié</w:t>
      </w:r>
      <w:r>
        <w:t>n</w:t>
      </w:r>
      <w:r>
        <w:t xml:space="preserve">dose luego a su domicilio, donde permanecieron. Agregó que Pérez recuperó su libertad el </w:t>
      </w:r>
      <w:smartTag w:uri="urn:schemas-microsoft-com:office:smarttags" w:element="metricconverter">
        <w:smartTagPr>
          <w:attr w:name="ProductID" w:val="15 a"/>
        </w:smartTagPr>
        <w:r>
          <w:t>15 a</w:t>
        </w:r>
      </w:smartTag>
      <w:r>
        <w:t xml:space="preserve"> la noche y que al día siguiente prosiguió con sus activid</w:t>
      </w:r>
      <w:r>
        <w:t>a</w:t>
      </w:r>
      <w:r>
        <w:t>des.</w:t>
      </w:r>
    </w:p>
    <w:p w:rsidR="00224567" w:rsidRDefault="00224567">
      <w:pPr>
        <w:widowControl w:val="0"/>
      </w:pPr>
      <w:r>
        <w:tab/>
        <w:t>En orden a los días 16 y 17 de julio, el acusado expresó que estuvo en su domicilio, toda vez que había publicad</w:t>
      </w:r>
      <w:r>
        <w:t>o</w:t>
      </w:r>
      <w:r>
        <w:t xml:space="preserve"> un aviso para la venta del Renault 9, operación que se concretó el 17. As</w:t>
      </w:r>
      <w:r>
        <w:t>i</w:t>
      </w:r>
      <w:r>
        <w:t>mismo, refirió que ese día enajenó un Renault 9 GTL a una joven, por la suma de USD 10.700; supuso que luego de ello vio el part</w:t>
      </w:r>
      <w:r>
        <w:t>i</w:t>
      </w:r>
      <w:r>
        <w:t>do final del mundial de fútbol y se quedó en su dom</w:t>
      </w:r>
      <w:r>
        <w:t>i</w:t>
      </w:r>
      <w:r>
        <w:t>cilio.</w:t>
      </w:r>
    </w:p>
    <w:p w:rsidR="00224567" w:rsidRDefault="00224567">
      <w:pPr>
        <w:widowControl w:val="0"/>
      </w:pPr>
      <w:r>
        <w:tab/>
        <w:t>El lunes 18 de julio, según creía r</w:t>
      </w:r>
      <w:r>
        <w:t>e</w:t>
      </w:r>
      <w:r>
        <w:t>cordar, se levantó después de acaecido el atent</w:t>
      </w:r>
      <w:r>
        <w:t>a</w:t>
      </w:r>
      <w:r>
        <w:t>do, ya que su mujer fue a comprar facturas, enterá</w:t>
      </w:r>
      <w:r>
        <w:t>n</w:t>
      </w:r>
      <w:r>
        <w:t>dose del hecho en la panadería, comunicándoselo al regresar, motivo por el cual encendió el televisor. Comentó que a</w:t>
      </w:r>
      <w:r>
        <w:t>l</w:t>
      </w:r>
      <w:r>
        <w:t xml:space="preserve">morzaron tarde y luego fueron a ver propiedades para mudarse, toda vez que tenía problemas con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w:t>
      </w:r>
    </w:p>
    <w:p w:rsidR="00224567" w:rsidRDefault="00224567">
      <w:pPr>
        <w:widowControl w:val="0"/>
      </w:pPr>
      <w:r>
        <w:tab/>
        <w:t>En cuanto a los días 19 y 20 de j</w:t>
      </w:r>
      <w:r>
        <w:t>u</w:t>
      </w:r>
      <w:r>
        <w:t>lio, manifestó que no trabajó, dedicándose exclusivamente a buscar un inmueble. R</w:t>
      </w:r>
      <w:r>
        <w:t>e</w:t>
      </w:r>
      <w:r>
        <w:t>cordó que el día 20, aproximadamente a las 21.30 horas, le robaron el reloj y dinero en el d</w:t>
      </w:r>
      <w:r>
        <w:t>o</w:t>
      </w:r>
      <w:r>
        <w:t>micilio de una persona con quien iba a concretar una op</w:t>
      </w:r>
      <w:r>
        <w:t>e</w:t>
      </w:r>
      <w:r>
        <w:t>ración de alquiler de una propiedad, hecho por el que fo</w:t>
      </w:r>
      <w:r>
        <w:t>r</w:t>
      </w:r>
      <w:r>
        <w:t xml:space="preserve">muló la denuncia en </w:t>
      </w:r>
      <w:smartTag w:uri="urn:schemas-microsoft-com:office:smarttags" w:element="PersonName">
        <w:smartTagPr>
          <w:attr w:name="ProductID" w:val="la Comisar￭a"/>
        </w:smartTagPr>
        <w:r>
          <w:t>la Comisaría</w:t>
        </w:r>
      </w:smartTag>
      <w:r>
        <w:t xml:space="preserve"> de Lomas del Mirador, provincia de Buenos Aires, regresando luego a su domic</w:t>
      </w:r>
      <w:r>
        <w:t>i</w:t>
      </w:r>
      <w:r>
        <w:t>lio.</w:t>
      </w:r>
    </w:p>
    <w:p w:rsidR="00224567" w:rsidRDefault="00224567">
      <w:pPr>
        <w:widowControl w:val="0"/>
      </w:pPr>
      <w:r>
        <w:tab/>
        <w:t>El 22 de julio, sostuvo, también se levantó tarde, desayunó, almorzó y, a las 17.00, aproxim</w:t>
      </w:r>
      <w:r>
        <w:t>a</w:t>
      </w:r>
      <w:r>
        <w:t>damente, concretó una operación de alquiler de una vivie</w:t>
      </w:r>
      <w:r>
        <w:t>n</w:t>
      </w:r>
      <w:r>
        <w:t xml:space="preserve">da que ya había visitado, ubicada en </w:t>
      </w:r>
      <w:smartTag w:uri="urn:schemas-microsoft-com:office:smarttags" w:element="PersonName">
        <w:smartTagPr>
          <w:attr w:name="ProductID" w:val="la Av. San"/>
        </w:smartTagPr>
        <w:r>
          <w:t>la Av. San</w:t>
        </w:r>
      </w:smartTag>
      <w:r>
        <w:t xml:space="preserve"> Martín al 1600; entregó USD 1000 en concepto de seña, dinero que r</w:t>
      </w:r>
      <w:r>
        <w:t>e</w:t>
      </w:r>
      <w:r>
        <w:t xml:space="preserve">cibiera como pago por </w:t>
      </w:r>
      <w:smartTag w:uri="urn:schemas-microsoft-com:office:smarttags" w:element="PersonName">
        <w:smartTagPr>
          <w:attr w:name="ProductID" w:val="la Trafic"/>
        </w:smartTagPr>
        <w:r>
          <w:t>la Trafic</w:t>
        </w:r>
      </w:smartTag>
      <w:r>
        <w:t xml:space="preserve"> vendida a la persona con acento centroamericano; luego, regresó a su domicilio, c</w:t>
      </w:r>
      <w:r>
        <w:t>e</w:t>
      </w:r>
      <w:r>
        <w:t>nó y se fue a dormir. No reco</w:t>
      </w:r>
      <w:r>
        <w:t>r</w:t>
      </w:r>
      <w:r>
        <w:t>dó Telleldín el nombre de la inmobiliaria, pero aclaró que, según creía, el recibo se hallaba secue</w:t>
      </w:r>
      <w:r>
        <w:t>s</w:t>
      </w:r>
      <w:r>
        <w:t>trado en la causa.</w:t>
      </w:r>
    </w:p>
    <w:p w:rsidR="00224567" w:rsidRDefault="00224567">
      <w:pPr>
        <w:widowControl w:val="0"/>
      </w:pPr>
      <w:r>
        <w:tab/>
        <w:t>En orden al destino asignado al r</w:t>
      </w:r>
      <w:r>
        <w:t>e</w:t>
      </w:r>
      <w:r>
        <w:t xml:space="preserve">sto del dinero que percibiera por la venta de </w:t>
      </w:r>
      <w:smartTag w:uri="urn:schemas-microsoft-com:office:smarttags" w:element="PersonName">
        <w:smartTagPr>
          <w:attr w:name="ProductID" w:val="la Trafic"/>
        </w:smartTagPr>
        <w:r>
          <w:t>la Trafic</w:t>
        </w:r>
      </w:smartTag>
      <w:r>
        <w:t>, pu</w:t>
      </w:r>
      <w:r>
        <w:t>n</w:t>
      </w:r>
      <w:r>
        <w:t xml:space="preserve">tualizó que entregó USD </w:t>
      </w:r>
      <w:smartTag w:uri="urn:schemas-microsoft-com:office:smarttags" w:element="metricconverter">
        <w:smartTagPr>
          <w:attr w:name="ProductID" w:val="7500 a"/>
        </w:smartTagPr>
        <w:r>
          <w:t>7500 a</w:t>
        </w:r>
      </w:smartTag>
      <w:r>
        <w:t xml:space="preserve"> “Alejandro Automot</w:t>
      </w:r>
      <w:r>
        <w:t>o</w:t>
      </w:r>
      <w:r>
        <w:t xml:space="preserve">res”, de los cuales USD 6500 correspondían a la compra de un vehículo marca Renault 9 y USD </w:t>
      </w:r>
      <w:smartTag w:uri="urn:schemas-microsoft-com:office:smarttags" w:element="metricconverter">
        <w:smartTagPr>
          <w:attr w:name="ProductID" w:val="1000 a"/>
        </w:smartTagPr>
        <w:r>
          <w:t>1000 a</w:t>
        </w:r>
      </w:smartTag>
      <w:r>
        <w:t xml:space="preserve"> una deuda por la compra de </w:t>
      </w:r>
      <w:smartTag w:uri="urn:schemas-microsoft-com:office:smarttags" w:element="PersonName">
        <w:smartTagPr>
          <w:attr w:name="ProductID" w:val="la Trafic"/>
        </w:smartTagPr>
        <w:r>
          <w:t>la Trafic</w:t>
        </w:r>
      </w:smartTag>
      <w:r>
        <w:t xml:space="preserve"> o de una a</w:t>
      </w:r>
      <w:r>
        <w:t>n</w:t>
      </w:r>
      <w:r>
        <w:t>terior; aclaró que, pese a que en la boleta confeccionada por la agencia de automot</w:t>
      </w:r>
      <w:r>
        <w:t>o</w:t>
      </w:r>
      <w:r>
        <w:t xml:space="preserve">res figuraba una suma inferior, la mencionada fue la que entregó. Recalcó que a la inmobiliaria le dio USD 1000 y que pagó USD </w:t>
      </w:r>
      <w:smartTag w:uri="urn:schemas-microsoft-com:office:smarttags" w:element="metricconverter">
        <w:smartTagPr>
          <w:attr w:name="ProductID" w:val="1350 a"/>
        </w:smartTagPr>
        <w:r>
          <w:t>1350 a</w:t>
        </w:r>
      </w:smartTag>
      <w:r>
        <w:t xml:space="preserve"> la inmobiliaria “Richards” por alqu</w:t>
      </w:r>
      <w:r>
        <w:t>i</w:t>
      </w:r>
      <w:r>
        <w:t>leres atrasados de su vivie</w:t>
      </w:r>
      <w:r>
        <w:t>n</w:t>
      </w:r>
      <w:r>
        <w:t>da.</w:t>
      </w:r>
    </w:p>
    <w:p w:rsidR="00224567" w:rsidRDefault="00224567">
      <w:pPr>
        <w:widowControl w:val="0"/>
      </w:pPr>
      <w:r>
        <w:tab/>
        <w:t>Asimismo, indicó que gastó USD 800 en la reparación del Renault 9, no pudiendo precisar en qué lugares entregó los billetes, toda vez que, según dijo, adquirió repuestos en varios loc</w:t>
      </w:r>
      <w:r>
        <w:t>a</w:t>
      </w:r>
      <w:r>
        <w:t xml:space="preserve">les de la zona de José C. Paz, comprando en cualquier negocio; USD 250 los dispuso en la compra de vidrios para ese rodado en el comercio “Parabrisas Florida”, ubicado en </w:t>
      </w:r>
      <w:smartTag w:uri="urn:schemas-microsoft-com:office:smarttags" w:element="PersonName">
        <w:smartTagPr>
          <w:attr w:name="ProductID" w:val="la Av. San"/>
        </w:smartTagPr>
        <w:r>
          <w:t>la Av. San</w:t>
        </w:r>
      </w:smartTag>
      <w:r>
        <w:t xml:space="preserve"> Martín y M</w:t>
      </w:r>
      <w:r>
        <w:t>i</w:t>
      </w:r>
      <w:r>
        <w:t>tre, e</w:t>
      </w:r>
      <w:r>
        <w:t>n</w:t>
      </w:r>
      <w:r>
        <w:t xml:space="preserve">tre Martelli y Munro, entregando tres billetes que le diera el comprador de </w:t>
      </w:r>
      <w:smartTag w:uri="urn:schemas-microsoft-com:office:smarttags" w:element="PersonName">
        <w:smartTagPr>
          <w:attr w:name="ProductID" w:val="la Trafic"/>
        </w:smartTagPr>
        <w:r>
          <w:t>la Trafic</w:t>
        </w:r>
      </w:smartTag>
      <w:r>
        <w:t xml:space="preserve"> y recibiendo como ca</w:t>
      </w:r>
      <w:r>
        <w:t>m</w:t>
      </w:r>
      <w:r>
        <w:t xml:space="preserve">bio aproximadamente </w:t>
      </w:r>
      <w:r>
        <w:rPr>
          <w:lang w:val="es-MX"/>
        </w:rPr>
        <w:t xml:space="preserve">$ </w:t>
      </w:r>
      <w:r>
        <w:t xml:space="preserve">50. Agregó que entregó USD </w:t>
      </w:r>
      <w:smartTag w:uri="urn:schemas-microsoft-com:office:smarttags" w:element="metricconverter">
        <w:smartTagPr>
          <w:attr w:name="ProductID" w:val="200 a"/>
        </w:smartTagPr>
        <w:r>
          <w:t>200 a</w:t>
        </w:r>
      </w:smartTag>
      <w:r>
        <w:t xml:space="preserve"> Ariel Nitzcaner como parte de pago de la deuda que mant</w:t>
      </w:r>
      <w:r>
        <w:t>e</w:t>
      </w:r>
      <w:r>
        <w:t>nía, totalizando así USD 11.100. Dijo que ignoraba en qué pudo haber gastado los restantes USD 400 y aclaró que los pagos antes referidos los hizo directamente en esa m</w:t>
      </w:r>
      <w:r>
        <w:t>o</w:t>
      </w:r>
      <w:r>
        <w:t>neda.</w:t>
      </w:r>
    </w:p>
    <w:p w:rsidR="00224567" w:rsidRDefault="00224567">
      <w:pPr>
        <w:widowControl w:val="0"/>
      </w:pPr>
      <w:r>
        <w:tab/>
        <w:t>Prosiguiendo con el relato de sus a</w:t>
      </w:r>
      <w:r>
        <w:t>c</w:t>
      </w:r>
      <w:r>
        <w:t>tividades, Telleldín manifestó que el 23 de julio se l</w:t>
      </w:r>
      <w:r>
        <w:t>e</w:t>
      </w:r>
      <w:r>
        <w:t>vantó a las 11.30, desayunó y, a las 14.00 ó 15.00 almo</w:t>
      </w:r>
      <w:r>
        <w:t>r</w:t>
      </w:r>
      <w:r>
        <w:t>zó, pasando todo el sábado en su domicilio; el d</w:t>
      </w:r>
      <w:r>
        <w:t>o</w:t>
      </w:r>
      <w:r>
        <w:t>mingo 24 permaneció en su casa y, en horas de la tarde o de la n</w:t>
      </w:r>
      <w:r>
        <w:t>o</w:t>
      </w:r>
      <w:r>
        <w:t>che, viajó a Córdoba en automóvil a fin de regresar a sus hijos.</w:t>
      </w:r>
    </w:p>
    <w:p w:rsidR="00224567" w:rsidRDefault="00224567">
      <w:pPr>
        <w:widowControl w:val="0"/>
      </w:pPr>
      <w:r>
        <w:tab/>
        <w:t>El 25 de julio, indicó, dejó su aut</w:t>
      </w:r>
      <w:r>
        <w:t>o</w:t>
      </w:r>
      <w:r>
        <w:t>móvil para reparar y más tarde recibió un llamado de su mujer diciéndole que ese día debía firmar el contrato de locación de la nueva casa; ante ello, regresó en el vuelo de “Austral” de las 20.55, arribando a su domic</w:t>
      </w:r>
      <w:r>
        <w:t>i</w:t>
      </w:r>
      <w:r>
        <w:t>lio a las 23.00, aproximadamente. Una vez allí, come</w:t>
      </w:r>
      <w:r>
        <w:t>n</w:t>
      </w:r>
      <w:r>
        <w:t>tó, le extrañó el movimiento de automóviles que había en la cuadra de su casa, por lo que decidió no pernoctar en el lugar y dir</w:t>
      </w:r>
      <w:r>
        <w:t>i</w:t>
      </w:r>
      <w:r>
        <w:t>girse a lo de su herm</w:t>
      </w:r>
      <w:r>
        <w:t>a</w:t>
      </w:r>
      <w:r>
        <w:t>no.</w:t>
      </w:r>
    </w:p>
    <w:p w:rsidR="00224567" w:rsidRDefault="00224567">
      <w:pPr>
        <w:widowControl w:val="0"/>
      </w:pPr>
      <w:r>
        <w:tab/>
        <w:t>Al día siguiente, añadió, habló con su mujer, quien le informó que el movimiento en la calle h</w:t>
      </w:r>
      <w:r>
        <w:t>a</w:t>
      </w:r>
      <w:r>
        <w:t xml:space="preserve">bía aumentado; ante ello, llamó al teléfono celular de una persona de </w:t>
      </w:r>
      <w:smartTag w:uri="urn:schemas-microsoft-com:office:smarttags" w:element="PersonName">
        <w:smartTagPr>
          <w:attr w:name="ProductID" w:val="la Brigada"/>
        </w:smartTagPr>
        <w:r>
          <w:t>la Brigada</w:t>
        </w:r>
      </w:smartTag>
      <w:r>
        <w:t xml:space="preserve"> de Vicente López, a efectos de d</w:t>
      </w:r>
      <w:r>
        <w:t>e</w:t>
      </w:r>
      <w:r>
        <w:t>cirle que “había una brigada de ellos que lo estaban bu</w:t>
      </w:r>
      <w:r>
        <w:t>s</w:t>
      </w:r>
      <w:r>
        <w:t>cando” (sic), respondiéndole éste que lo verificarían. Después del mediodía, narró, dado que desconocía qué est</w:t>
      </w:r>
      <w:r>
        <w:t>a</w:t>
      </w:r>
      <w:r>
        <w:t>ba sucedie</w:t>
      </w:r>
      <w:r>
        <w:t>n</w:t>
      </w:r>
      <w:r>
        <w:t>do, tomó un remise hasta Liniers y de allí otro a Haedo, donde se dirigió al domicilio de Miguel, obse</w:t>
      </w:r>
      <w:r>
        <w:t>r</w:t>
      </w:r>
      <w:r>
        <w:t>vando movimientos raros en su puerta. Frente a ello, ac</w:t>
      </w:r>
      <w:r>
        <w:t>o</w:t>
      </w:r>
      <w:r>
        <w:t>tó, se dirigió en remise a Luján, donde a las 18.30 abordó un micro hacia Posadas, provincia de Misi</w:t>
      </w:r>
      <w:r>
        <w:t>o</w:t>
      </w:r>
      <w:r>
        <w:t>nes.</w:t>
      </w:r>
    </w:p>
    <w:p w:rsidR="00224567" w:rsidRDefault="00224567">
      <w:pPr>
        <w:widowControl w:val="0"/>
      </w:pPr>
      <w:r>
        <w:tab/>
        <w:t>Telleldín explicó que el día 27 de j</w:t>
      </w:r>
      <w:r>
        <w:t>u</w:t>
      </w:r>
      <w:r>
        <w:t xml:space="preserve">lio, a las 8.30 horas, arribó a esa ciudad; a las 8.55 llamó a su casa, habló con su mujer, quien le dijo que los automóviles que se hallaban en la puerta de su casa no pertenecían a </w:t>
      </w:r>
      <w:smartTag w:uri="urn:schemas-microsoft-com:office:smarttags" w:element="PersonName">
        <w:smartTagPr>
          <w:attr w:name="ProductID" w:val="la Brigada"/>
        </w:smartTagPr>
        <w:r>
          <w:t>la Brigada</w:t>
        </w:r>
      </w:smartTag>
      <w:r>
        <w:t xml:space="preserve"> de Vicente López, sino a </w:t>
      </w:r>
      <w:smartTag w:uri="urn:schemas-microsoft-com:office:smarttags" w:element="PersonName">
        <w:smartTagPr>
          <w:attr w:name="ProductID" w:val="la S.I"/>
        </w:smartTagPr>
        <w:r>
          <w:t>la S.I</w:t>
        </w:r>
      </w:smartTag>
      <w:r>
        <w:t xml:space="preserve">.D.E. y que preguntaban por </w:t>
      </w:r>
      <w:smartTag w:uri="urn:schemas-microsoft-com:office:smarttags" w:element="PersonName">
        <w:smartTagPr>
          <w:attr w:name="ProductID" w:val="la Trafic"/>
        </w:smartTagPr>
        <w:r>
          <w:t>la Trafic</w:t>
        </w:r>
      </w:smartTag>
      <w:r>
        <w:t xml:space="preserve"> vendida, que t</w:t>
      </w:r>
      <w:r>
        <w:t>e</w:t>
      </w:r>
      <w:r>
        <w:t>nía relación con el atentado; tras la conversación, se d</w:t>
      </w:r>
      <w:r>
        <w:t>i</w:t>
      </w:r>
      <w:r>
        <w:t>rigió al aeropuerto de Posadas, obtuvo un pasaje de “Au</w:t>
      </w:r>
      <w:r>
        <w:t>s</w:t>
      </w:r>
      <w:r>
        <w:t xml:space="preserve">tral” y, a las 15.30, viajó hacia esta ciudad, arribando a las 17.00. Por último, refirió que al llegar llamó a su domicilio, donde habló con una persona de </w:t>
      </w:r>
      <w:smartTag w:uri="urn:schemas-microsoft-com:office:smarttags" w:element="PersonName">
        <w:smartTagPr>
          <w:attr w:name="ProductID" w:val="la S.I"/>
        </w:smartTagPr>
        <w:r>
          <w:t>la S.I</w:t>
        </w:r>
      </w:smartTag>
      <w:r>
        <w:t>.D.E., a quien le manifestó su deseo de esclarecer su situación, ya que era ajeno al s</w:t>
      </w:r>
      <w:r>
        <w:t>u</w:t>
      </w:r>
      <w:r>
        <w:t>ceso.</w:t>
      </w:r>
    </w:p>
    <w:p w:rsidR="00224567" w:rsidRDefault="00224567">
      <w:pPr>
        <w:widowControl w:val="0"/>
      </w:pPr>
      <w:r>
        <w:tab/>
        <w:t>En otro orden, el imputado dijo no r</w:t>
      </w:r>
      <w:r>
        <w:t>e</w:t>
      </w:r>
      <w:r>
        <w:t>cordar con precisión si concurrió a llevar los pap</w:t>
      </w:r>
      <w:r>
        <w:t>e</w:t>
      </w:r>
      <w:r>
        <w:t xml:space="preserve">les al comprador de </w:t>
      </w:r>
      <w:smartTag w:uri="urn:schemas-microsoft-com:office:smarttags" w:element="PersonName">
        <w:smartTagPr>
          <w:attr w:name="ProductID" w:val="la Trafic"/>
        </w:smartTagPr>
        <w:r>
          <w:t>la Trafic</w:t>
        </w:r>
      </w:smartTag>
      <w:r>
        <w:t xml:space="preserve"> con anterioridad o con posterior</w:t>
      </w:r>
      <w:r>
        <w:t>i</w:t>
      </w:r>
      <w:r>
        <w:t>dad al atentado. Aseguró que concurrió al l</w:t>
      </w:r>
      <w:r>
        <w:t>u</w:t>
      </w:r>
      <w:r>
        <w:t>gar acompañado por Hugo Pérez, a fin de entregar al comprador los “</w:t>
      </w:r>
      <w:smartTag w:uri="urn:schemas-microsoft-com:office:smarttags" w:element="metricconverter">
        <w:smartTagPr>
          <w:attr w:name="ProductID" w:val="08”"/>
        </w:smartTagPr>
        <w:r>
          <w:t>08”</w:t>
        </w:r>
      </w:smartTag>
      <w:r>
        <w:t xml:space="preserve"> certificados, verificando que el domicilio consignado no existía en la zona; conversó con varios vecinos, uno e</w:t>
      </w:r>
      <w:r>
        <w:t>n</w:t>
      </w:r>
      <w:r>
        <w:t>cargado de garaje y otro portero. Aclaró que era su co</w:t>
      </w:r>
      <w:r>
        <w:t>s</w:t>
      </w:r>
      <w:r>
        <w:t>tumbre llevar la documentación a los compradores a fin de evitar pr</w:t>
      </w:r>
      <w:r>
        <w:t>o</w:t>
      </w:r>
      <w:r>
        <w:t>blemas.</w:t>
      </w:r>
    </w:p>
    <w:p w:rsidR="00224567" w:rsidRDefault="00224567">
      <w:pPr>
        <w:widowControl w:val="0"/>
      </w:pPr>
      <w:r>
        <w:tab/>
        <w:t>Por otra parte, indicó que las únicas comunicaciones telefónicas al exterior del país que se efectuaron desde su domicilio se prod</w:t>
      </w:r>
      <w:r>
        <w:t>u</w:t>
      </w:r>
      <w:r>
        <w:t>jeron cuando se fue de vacaciones en enero de 1994 y su mujer lo llamó. Al respecto, explicó que en esa oc</w:t>
      </w:r>
      <w:r>
        <w:t>a</w:t>
      </w:r>
      <w:r>
        <w:t>sión viajó a Chile y Perú con José Luis Lo Prei</w:t>
      </w:r>
      <w:r>
        <w:t>a</w:t>
      </w:r>
      <w:r>
        <w:t>to y una amiga común llamada Sandra Marisa Petrucci, domiciliada en la calle Bolivia 366, planta baja, departamento “D”, teléfono nº 611-9712. Rel</w:t>
      </w:r>
      <w:r>
        <w:t>a</w:t>
      </w:r>
      <w:r>
        <w:t>tó que viajaron a Santiago de Chile y luego en ómnibus hasta Lima, traye</w:t>
      </w:r>
      <w:r>
        <w:t>c</w:t>
      </w:r>
      <w:r>
        <w:t>to que demandó seis días; además de esos países, conocía Uruguay, Paraguay y Br</w:t>
      </w:r>
      <w:r>
        <w:t>a</w:t>
      </w:r>
      <w:r>
        <w:t>sil, a los que fue a desca</w:t>
      </w:r>
      <w:r>
        <w:t>n</w:t>
      </w:r>
      <w:r>
        <w:t>sar.</w:t>
      </w:r>
    </w:p>
    <w:p w:rsidR="00224567" w:rsidRDefault="00224567">
      <w:pPr>
        <w:widowControl w:val="0"/>
      </w:pPr>
      <w:r>
        <w:tab/>
        <w:t>Puntualizó que en Uruguay estuvo en la ciudad de Colonia, cuatro o cinco veces, entre los años 1991 y 1992. Asimismo, señaló que en el año 1991 viajó a Paraguay en dos oportunidades, la pr</w:t>
      </w:r>
      <w:r>
        <w:t>i</w:t>
      </w:r>
      <w:r>
        <w:t>mera a Asunción y la segunda a la frontera de Argentina, Brasil y Paraguay, l</w:t>
      </w:r>
      <w:r>
        <w:t>u</w:t>
      </w:r>
      <w:r>
        <w:t>gar en el que también e</w:t>
      </w:r>
      <w:r>
        <w:t>s</w:t>
      </w:r>
      <w:r>
        <w:t>tuvo en el año 1992. Mencionó que en 1991 y 1992 estuvo en Foz de Iguazú, Brasil; negó con</w:t>
      </w:r>
      <w:r>
        <w:t>o</w:t>
      </w:r>
      <w:r>
        <w:t>cer a persona alguna en los lugares me</w:t>
      </w:r>
      <w:r>
        <w:t>n</w:t>
      </w:r>
      <w:r>
        <w:t>cionados.</w:t>
      </w:r>
    </w:p>
    <w:p w:rsidR="00224567" w:rsidRDefault="00224567">
      <w:pPr>
        <w:widowControl w:val="0"/>
      </w:pPr>
      <w:r>
        <w:tab/>
        <w:t>El 7 de agosto de 1994 (fs. 2217/2223) continuó prestando declaración indagat</w:t>
      </w:r>
      <w:r>
        <w:t>o</w:t>
      </w:r>
      <w:r>
        <w:t>ria Carlos Alberto Telleldín, ocasión en la que señaló que vendió la camion</w:t>
      </w:r>
      <w:r>
        <w:t>e</w:t>
      </w:r>
      <w:r>
        <w:t>ta Trafic objeto de pesquisa de la misma forma en que lo hacía los domingos que ve</w:t>
      </w:r>
      <w:r>
        <w:t>n</w:t>
      </w:r>
      <w:r>
        <w:t>día un automotor.</w:t>
      </w:r>
    </w:p>
    <w:p w:rsidR="00224567" w:rsidRDefault="00224567">
      <w:pPr>
        <w:widowControl w:val="0"/>
      </w:pPr>
      <w:r>
        <w:tab/>
        <w:t>Al respecto, indicó que publicó la c</w:t>
      </w:r>
      <w:r>
        <w:t>a</w:t>
      </w:r>
      <w:r>
        <w:t>mioneta como “Trafic corta – 90 –12900- T.E. 768-</w:t>
      </w:r>
      <w:smartTag w:uri="urn:schemas-microsoft-com:office:smarttags" w:element="metricconverter">
        <w:smartTagPr>
          <w:attr w:name="ProductID" w:val="0902”"/>
        </w:smartTagPr>
        <w:r>
          <w:t>0902”</w:t>
        </w:r>
      </w:smartTag>
      <w:r>
        <w:t>, no recordando si incluyó “excelente estado”, aunque habitua</w:t>
      </w:r>
      <w:r>
        <w:t>l</w:t>
      </w:r>
      <w:r>
        <w:t>mente lo hacía; que, en ocasiones, colocaba la palabra “liquido” en la public</w:t>
      </w:r>
      <w:r>
        <w:t>a</w:t>
      </w:r>
      <w:r>
        <w:t>ción, para dar a entender que podía bajar el valor. Refirió que en definitiva, y luego de h</w:t>
      </w:r>
      <w:r>
        <w:t>a</w:t>
      </w:r>
      <w:r>
        <w:t>berle peleado el precio el comprador, la vendió en USD 11.500, desconociendo los motivos por los que le co</w:t>
      </w:r>
      <w:r>
        <w:t>m</w:t>
      </w:r>
      <w:r>
        <w:t>praran la camioneta, aunque supuso que podría deberse a la cot</w:t>
      </w:r>
      <w:r>
        <w:t>i</w:t>
      </w:r>
      <w:r>
        <w:t>zación.</w:t>
      </w:r>
    </w:p>
    <w:p w:rsidR="00224567" w:rsidRDefault="00224567">
      <w:pPr>
        <w:widowControl w:val="0"/>
      </w:pPr>
      <w:r>
        <w:tab/>
        <w:t>Sostuvo que nadie le envió al compr</w:t>
      </w:r>
      <w:r>
        <w:t>a</w:t>
      </w:r>
      <w:r>
        <w:t>dor, dado que no trabajaba con otras personas o interm</w:t>
      </w:r>
      <w:r>
        <w:t>e</w:t>
      </w:r>
      <w:r>
        <w:t>diarios y que hacía sus ventas mediante publicaciones en el diario “Clarín”. Agregó que se hallaba s</w:t>
      </w:r>
      <w:r>
        <w:t>e</w:t>
      </w:r>
      <w:r>
        <w:t>guro de que se había presentado por la publicación, toda vez que al h</w:t>
      </w:r>
      <w:r>
        <w:t>a</w:t>
      </w:r>
      <w:r>
        <w:t>blar le solicitó la dirección, aunque no recordó si me</w:t>
      </w:r>
      <w:r>
        <w:t>n</w:t>
      </w:r>
      <w:r>
        <w:t>cionó que llamaba por el aviso del di</w:t>
      </w:r>
      <w:r>
        <w:t>a</w:t>
      </w:r>
      <w:r>
        <w:t>rio.</w:t>
      </w:r>
    </w:p>
    <w:p w:rsidR="00224567" w:rsidRDefault="00224567">
      <w:pPr>
        <w:widowControl w:val="0"/>
      </w:pPr>
      <w:r>
        <w:tab/>
        <w:t>Negó haber confeccionado el bol</w:t>
      </w:r>
      <w:r>
        <w:t>e</w:t>
      </w:r>
      <w:r>
        <w:t xml:space="preserve">to de venta de </w:t>
      </w:r>
      <w:smartTag w:uri="urn:schemas-microsoft-com:office:smarttags" w:element="PersonName">
        <w:smartTagPr>
          <w:attr w:name="ProductID" w:val="la Trafic"/>
        </w:smartTagPr>
        <w:r>
          <w:t>la Trafic</w:t>
        </w:r>
      </w:smartTag>
      <w:r>
        <w:t xml:space="preserve"> con posterioridad al atentado, afirma</w:t>
      </w:r>
      <w:r>
        <w:t>n</w:t>
      </w:r>
      <w:r>
        <w:t>do que lo hizo al m</w:t>
      </w:r>
      <w:r>
        <w:t>o</w:t>
      </w:r>
      <w:r>
        <w:t>mento de la venta y entrega, es decir, el día 10 de julio, en presencia de su mujer, siendo te</w:t>
      </w:r>
      <w:r>
        <w:t>s</w:t>
      </w:r>
      <w:r>
        <w:t>tigos de ello los vecinos mencionados en su anterior d</w:t>
      </w:r>
      <w:r>
        <w:t>e</w:t>
      </w:r>
      <w:r>
        <w:t>clar</w:t>
      </w:r>
      <w:r>
        <w:t>a</w:t>
      </w:r>
      <w:r>
        <w:t>ción.</w:t>
      </w:r>
    </w:p>
    <w:p w:rsidR="00224567" w:rsidRDefault="00224567">
      <w:pPr>
        <w:widowControl w:val="0"/>
      </w:pPr>
      <w:r>
        <w:tab/>
        <w:t>Si bien no pudo describir a la pers</w:t>
      </w:r>
      <w:r>
        <w:t>o</w:t>
      </w:r>
      <w:r>
        <w:t>na cuya fotografía lucía el Documento Nacional de Identidad presentado por el comprador, recordó que tenía bigotes, pelo negro y que era de aproximadamente cincuenta años; que la fotografía era en blanco y negro y que vio el ca</w:t>
      </w:r>
      <w:r>
        <w:t>r</w:t>
      </w:r>
      <w:r>
        <w:t xml:space="preserve">tular a una distancia de </w:t>
      </w:r>
      <w:smartTag w:uri="urn:schemas-microsoft-com:office:smarttags" w:element="metricconverter">
        <w:smartTagPr>
          <w:attr w:name="ProductID" w:val="50 cm"/>
        </w:smartTagPr>
        <w:r>
          <w:t>50 cm</w:t>
        </w:r>
      </w:smartTag>
      <w:r>
        <w:t xml:space="preserve"> aproxim</w:t>
      </w:r>
      <w:r>
        <w:t>a</w:t>
      </w:r>
      <w:r>
        <w:t>damente.</w:t>
      </w:r>
    </w:p>
    <w:p w:rsidR="00224567" w:rsidRDefault="00224567">
      <w:pPr>
        <w:widowControl w:val="0"/>
      </w:pPr>
      <w:r>
        <w:tab/>
        <w:t>Dicho instrumento, refirió, tenía la tapa verde, de tela y no de cartón como la del suyo; se trataba de un Documento Nacional de Ident</w:t>
      </w:r>
      <w:r>
        <w:t>i</w:t>
      </w:r>
      <w:r>
        <w:t>dad y no de otro tipo de documento, a la vez que aclaró que si bien conocía pasaportes de otros pa</w:t>
      </w:r>
      <w:r>
        <w:t>í</w:t>
      </w:r>
      <w:r>
        <w:t>ses, nunca había visto otro tipo de documentos de identidad, con excepción de una cédula de identidad uruguaya, la que difería del documento al que hizo referencia.</w:t>
      </w:r>
    </w:p>
    <w:p w:rsidR="00224567" w:rsidRDefault="00224567">
      <w:pPr>
        <w:widowControl w:val="0"/>
      </w:pPr>
      <w:r>
        <w:tab/>
        <w:t>A lo expuesto agregó que advirtió el número de documento escrito con birome en la parte sup</w:t>
      </w:r>
      <w:r>
        <w:t>e</w:t>
      </w:r>
      <w:r>
        <w:t>rior de la fotografía, pero no pudo constatar si se trat</w:t>
      </w:r>
      <w:r>
        <w:t>a</w:t>
      </w:r>
      <w:r>
        <w:t>ba del mismo número que surgía de la tapa; que vio el d</w:t>
      </w:r>
      <w:r>
        <w:t>o</w:t>
      </w:r>
      <w:r>
        <w:t>micilio de la calle San José. No supo precisar si el dom</w:t>
      </w:r>
      <w:r>
        <w:t>i</w:t>
      </w:r>
      <w:r>
        <w:t>cilio era de Capital Federal u otra localidad, ni recordó si así lo consignó en el boleto porque lo vio en el doc</w:t>
      </w:r>
      <w:r>
        <w:t>u</w:t>
      </w:r>
      <w:r>
        <w:t>mento o porque lo sup</w:t>
      </w:r>
      <w:r>
        <w:t>u</w:t>
      </w:r>
      <w:r>
        <w:t>so. Concluyó que si bien nunca tuvo el documento en sus manos, al verlo obtuvo los datos co</w:t>
      </w:r>
      <w:r>
        <w:t>n</w:t>
      </w:r>
      <w:r>
        <w:t>signados.</w:t>
      </w:r>
    </w:p>
    <w:p w:rsidR="00224567" w:rsidRDefault="00224567">
      <w:pPr>
        <w:widowControl w:val="0"/>
      </w:pPr>
      <w:r>
        <w:tab/>
        <w:t>Con respecto al comprador de la cami</w:t>
      </w:r>
      <w:r>
        <w:t>o</w:t>
      </w:r>
      <w:r>
        <w:t>neta Trafic, Telleldín indicó que, si bien no lo podía asegurar, creía que fue visto por Jesica –la hija de su concubina- y su amigo Humberto Mejías Pérez, alias “el P</w:t>
      </w:r>
      <w:r>
        <w:t>e</w:t>
      </w:r>
      <w:r>
        <w:t xml:space="preserve">ruano”. Este último, señaló, viajaba frecuentemente a </w:t>
      </w:r>
      <w:smartTag w:uri="urn:schemas-microsoft-com:office:smarttags" w:element="PersonName">
        <w:smartTagPr>
          <w:attr w:name="ProductID" w:val="la Rep￺blica Argentina"/>
        </w:smartTagPr>
        <w:r>
          <w:t>la República Argentina</w:t>
        </w:r>
      </w:smartTag>
      <w:r>
        <w:t>, vis</w:t>
      </w:r>
      <w:r>
        <w:t>i</w:t>
      </w:r>
      <w:r>
        <w:t>tándolo en esas ocasiones. Agregó que cuando Pérez Mejías vino a Buenos Aires, paró y trab</w:t>
      </w:r>
      <w:r>
        <w:t>a</w:t>
      </w:r>
      <w:r>
        <w:t>jó en el lavadero de automóviles, sito en la calle P</w:t>
      </w:r>
      <w:r>
        <w:t>e</w:t>
      </w:r>
      <w:r>
        <w:t xml:space="preserve">lliza esquina Quintana de Olivos. Reiteró que no estaba seguro que el día de la venta de </w:t>
      </w:r>
      <w:smartTag w:uri="urn:schemas-microsoft-com:office:smarttags" w:element="PersonName">
        <w:smartTagPr>
          <w:attr w:name="ProductID" w:val="la Trafic"/>
        </w:smartTagPr>
        <w:r>
          <w:t>la Trafic</w:t>
        </w:r>
      </w:smartTag>
      <w:r>
        <w:t xml:space="preserve"> hubieran estado pr</w:t>
      </w:r>
      <w:r>
        <w:t>e</w:t>
      </w:r>
      <w:r>
        <w:t>sentes el nombrado y Pérez, toda vez que la casa era gra</w:t>
      </w:r>
      <w:r>
        <w:t>n</w:t>
      </w:r>
      <w:r>
        <w:t>de.</w:t>
      </w:r>
    </w:p>
    <w:p w:rsidR="00224567" w:rsidRDefault="00224567">
      <w:pPr>
        <w:widowControl w:val="0"/>
      </w:pPr>
      <w:r>
        <w:tab/>
        <w:t>En otro orden, Telleldín manife</w:t>
      </w:r>
      <w:r>
        <w:t>s</w:t>
      </w:r>
      <w:r>
        <w:t>tó que nunca controló si la numeración del motor se c</w:t>
      </w:r>
      <w:r>
        <w:t>o</w:t>
      </w:r>
      <w:r>
        <w:t>rrespondía con la que figuraba en la documentación, en virtud de la relación de confianza que tenía con Alejandro Monjo de “Alejandro Automotores”. Al señalársele que la numeración del motor que su</w:t>
      </w:r>
      <w:r>
        <w:t>r</w:t>
      </w:r>
      <w:r>
        <w:t>gía del boleto de compraventa difería de la real, explicó que copió el número de motor del título del automotor que luego entregara al comprador. Atribuyó la diferencia a un error de impresión del documento o pr</w:t>
      </w:r>
      <w:r>
        <w:t>o</w:t>
      </w:r>
      <w:r>
        <w:t>pio al efe</w:t>
      </w:r>
      <w:r>
        <w:t>c</w:t>
      </w:r>
      <w:r>
        <w:t>tuar la trascripción.</w:t>
      </w:r>
    </w:p>
    <w:p w:rsidR="00224567" w:rsidRDefault="00224567">
      <w:pPr>
        <w:widowControl w:val="0"/>
      </w:pPr>
      <w:r>
        <w:tab/>
        <w:t>Refirió el imputado que fue tit</w:t>
      </w:r>
      <w:r>
        <w:t>u</w:t>
      </w:r>
      <w:r>
        <w:t>lar de un servicio de radio-llamado desde abril de 1994 aproxim</w:t>
      </w:r>
      <w:r>
        <w:t>a</w:t>
      </w:r>
      <w:r>
        <w:t>damente, siendo su número de código 25328 y su clave “st</w:t>
      </w:r>
      <w:r>
        <w:t>u</w:t>
      </w:r>
      <w:r>
        <w:t>dio”, a la vez que brindó un detalle de los 83 mensajes que de él surgían. Entre otros, explicó que el nº 28 era de Antonio Lo Preiato, padre de su ex-socio, quien no se hallaba vinculado a la venta de rodados. Al respecto, me</w:t>
      </w:r>
      <w:r>
        <w:t>n</w:t>
      </w:r>
      <w:r>
        <w:t>cionó que lo llamó a fin de informarle que había un pr</w:t>
      </w:r>
      <w:r>
        <w:t>o</w:t>
      </w:r>
      <w:r>
        <w:t>blema con la rendición de cuentas de unos vehículos vend</w:t>
      </w:r>
      <w:r>
        <w:t>i</w:t>
      </w:r>
      <w:r>
        <w:t>dos por su hijo a una mujer de apellido Torrisi y para s</w:t>
      </w:r>
      <w:r>
        <w:t>a</w:t>
      </w:r>
      <w:r>
        <w:t>ber si podía responsabilizarlo por ello. Asimismo, hizo saber que los mensajes nº 30, 31, 32, 33, 34 y 35 fueron de Luis Lo Preiato por ese mismo tema.</w:t>
      </w:r>
    </w:p>
    <w:p w:rsidR="00224567" w:rsidRDefault="00224567">
      <w:pPr>
        <w:widowControl w:val="0"/>
      </w:pPr>
      <w:r>
        <w:tab/>
        <w:t>Precisó que los llamados nº 68, 76, 74, 72 y 69 fueron del Dr. Bottegal, a raíz del inc</w:t>
      </w:r>
      <w:r>
        <w:t>i</w:t>
      </w:r>
      <w:r>
        <w:t xml:space="preserve">dente con </w:t>
      </w:r>
      <w:smartTag w:uri="urn:schemas-microsoft-com:office:smarttags" w:element="PersonName">
        <w:smartTagPr>
          <w:attr w:name="ProductID" w:val="la Brigada"/>
        </w:smartTagPr>
        <w:r>
          <w:t>la Brigada</w:t>
        </w:r>
      </w:smartTag>
      <w:r>
        <w:t xml:space="preserve"> de Vicente López y que el nº 67 fue de su hermano Eduardo, creyendo que obedecía al mismo tema que los anteriores. Los nº 66, 65, 64, 63, 62, 55, 51, 70, 71 y 78, mencionó, eran de Diego Barreda, quien se hallaba solucionando los problemas de Vice</w:t>
      </w:r>
      <w:r>
        <w:t>n</w:t>
      </w:r>
      <w:r>
        <w:t>te López.</w:t>
      </w:r>
    </w:p>
    <w:p w:rsidR="00224567" w:rsidRDefault="00224567">
      <w:pPr>
        <w:widowControl w:val="0"/>
      </w:pPr>
      <w:r>
        <w:tab/>
        <w:t>Barreda, explicó, era un oficial in</w:t>
      </w:r>
      <w:r>
        <w:t>s</w:t>
      </w:r>
      <w:r>
        <w:t xml:space="preserve">pector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w:t>
        </w:r>
        <w:r>
          <w:t>n</w:t>
        </w:r>
        <w:r>
          <w:t>cia</w:t>
        </w:r>
      </w:smartTag>
      <w:r>
        <w:t xml:space="preserve"> de Buenos Aires y, de cierto modo, amigo o conocido suyo. Negó saber qué hizo Barreda el fin de s</w:t>
      </w:r>
      <w:r>
        <w:t>e</w:t>
      </w:r>
      <w:r>
        <w:t xml:space="preserve">mana del 14 al 17 de julio de </w:t>
      </w:r>
      <w:smartTag w:uri="urn:schemas-microsoft-com:office:smarttags" w:element="metricconverter">
        <w:smartTagPr>
          <w:attr w:name="ProductID" w:val="1994, a"/>
        </w:smartTagPr>
        <w:r>
          <w:t>1994, a</w:t>
        </w:r>
      </w:smartTag>
      <w:r>
        <w:t xml:space="preserve"> la vez que admitió haberle contado sobre la venta de </w:t>
      </w:r>
      <w:smartTag w:uri="urn:schemas-microsoft-com:office:smarttags" w:element="PersonName">
        <w:smartTagPr>
          <w:attr w:name="ProductID" w:val="la Trafic"/>
        </w:smartTagPr>
        <w:r>
          <w:t>la Trafic</w:t>
        </w:r>
      </w:smartTag>
      <w:r>
        <w:t xml:space="preserve"> con anterioridad al atentado, comentándole que el comprador le había parecido extraño. Añadió que aproxim</w:t>
      </w:r>
      <w:r>
        <w:t>a</w:t>
      </w:r>
      <w:r>
        <w:t>damente una semana después del atentado, una vez determ</w:t>
      </w:r>
      <w:r>
        <w:t>i</w:t>
      </w:r>
      <w:r>
        <w:t>nado que se había utilizado una Trafic, Barreda le dijo “no será tu Trafic” (sic), respondiéndole que no creía t</w:t>
      </w:r>
      <w:r>
        <w:t>e</w:t>
      </w:r>
      <w:r>
        <w:t>ner tanta mala suerte, en alusión a que ello se sumaría al problema que había t</w:t>
      </w:r>
      <w:r>
        <w:t>e</w:t>
      </w:r>
      <w:r>
        <w:t xml:space="preserve">nido con </w:t>
      </w:r>
      <w:smartTag w:uri="urn:schemas-microsoft-com:office:smarttags" w:element="PersonName">
        <w:smartTagPr>
          <w:attr w:name="ProductID" w:val="la Brigada"/>
        </w:smartTagPr>
        <w:r>
          <w:t>la Brigada</w:t>
        </w:r>
      </w:smartTag>
      <w:r>
        <w:t xml:space="preserve"> de Vicente López y a un r</w:t>
      </w:r>
      <w:r>
        <w:t>o</w:t>
      </w:r>
      <w:r>
        <w:t>bo que había sufrido.</w:t>
      </w:r>
    </w:p>
    <w:p w:rsidR="00224567" w:rsidRDefault="00224567">
      <w:pPr>
        <w:widowControl w:val="0"/>
      </w:pPr>
      <w:r>
        <w:tab/>
        <w:t>El mensaje nº 73, indicó, era de la hija de su esposa, a fin de avisarle que el mal</w:t>
      </w:r>
      <w:r>
        <w:t>e</w:t>
      </w:r>
      <w:r>
        <w:t xml:space="preserve">tín había sido entregado al Dr. Bottegal, siendo su contenido para </w:t>
      </w:r>
      <w:smartTag w:uri="urn:schemas-microsoft-com:office:smarttags" w:element="PersonName">
        <w:smartTagPr>
          <w:attr w:name="ProductID" w:val="la Brigada"/>
        </w:smartTagPr>
        <w:r>
          <w:t>la Brigada</w:t>
        </w:r>
      </w:smartTag>
      <w:r>
        <w:t xml:space="preserve"> de Vicente López; que el llamado nº 77 era de Hugo Pérez a efectos de avisar que había salido en libe</w:t>
      </w:r>
      <w:r>
        <w:t>r</w:t>
      </w:r>
      <w:r>
        <w:t>tad y podía regresar a su domicilio. Que los llamados nº 80 y 83 eran de la inmobiliaria “La</w:t>
      </w:r>
      <w:r>
        <w:t>u</w:t>
      </w:r>
      <w:r>
        <w:t>ría” y se referían al pago de la seña del alquiler. Finalme</w:t>
      </w:r>
      <w:r>
        <w:t>n</w:t>
      </w:r>
      <w:r>
        <w:t>te, señaló que el nº 81 se hallaba relacionado con la compra de una garantía a fin de adquirir el i</w:t>
      </w:r>
      <w:r>
        <w:t>n</w:t>
      </w:r>
      <w:r>
        <w:t>mueble.</w:t>
      </w:r>
    </w:p>
    <w:p w:rsidR="00224567" w:rsidRDefault="00224567">
      <w:pPr>
        <w:widowControl w:val="0"/>
      </w:pPr>
      <w:r>
        <w:tab/>
        <w:t>En su ampliación de declaración de f</w:t>
      </w:r>
      <w:r>
        <w:t>e</w:t>
      </w:r>
      <w:r>
        <w:t>cha 29 de diciembre de 1994, glosada a fs. 7022/7037, Ca</w:t>
      </w:r>
      <w:r>
        <w:t>r</w:t>
      </w:r>
      <w:r>
        <w:t>los Alberto Telleldín manifestó que el lunes 25 ó martes 26 de julio de 1994 arribó a ésta proc</w:t>
      </w:r>
      <w:r>
        <w:t>e</w:t>
      </w:r>
      <w:r>
        <w:t>dente de la ciudad de Córdoba en el primer vuelo del día de la empresa “L</w:t>
      </w:r>
      <w:r>
        <w:t>a</w:t>
      </w:r>
      <w:r>
        <w:t>pa”; luego de hacer tiempo en el aeroparque, a las 9.00 regresó a su domicilio, en cuya esquina advirtió la pr</w:t>
      </w:r>
      <w:r>
        <w:t>e</w:t>
      </w:r>
      <w:r>
        <w:t>sencia de un hombre alto, vestido con saco azul y corbata, quien utilizaba un t</w:t>
      </w:r>
      <w:r>
        <w:t>e</w:t>
      </w:r>
      <w:r>
        <w:t>léfono “Movicom”.</w:t>
      </w:r>
    </w:p>
    <w:p w:rsidR="00224567" w:rsidRDefault="00224567">
      <w:pPr>
        <w:widowControl w:val="0"/>
      </w:pPr>
      <w:r>
        <w:tab/>
        <w:t>Indicó que telefoneó a la comisaría local porque le llamó la atención y, sin identificarse, avisó que era un vecino y que en el lugar había una pers</w:t>
      </w:r>
      <w:r>
        <w:t>o</w:t>
      </w:r>
      <w:r>
        <w:t>na extraña, sospechando que p</w:t>
      </w:r>
      <w:r>
        <w:t>o</w:t>
      </w:r>
      <w:r>
        <w:t>dría producirse un asalto en un banco cercano a su domicilio, sobre la calle Alvear. Señaló que cinco minutos más tarde se presentó un móvil policial que hizo subir al extraño y se retiró del lugar, regresando a los diez minutos, descendiendo el desconoc</w:t>
      </w:r>
      <w:r>
        <w:t>i</w:t>
      </w:r>
      <w:r>
        <w:t>do, quien permaneció en la esquina de su v</w:t>
      </w:r>
      <w:r>
        <w:t>i</w:t>
      </w:r>
      <w:r>
        <w:t>vienda.</w:t>
      </w:r>
    </w:p>
    <w:p w:rsidR="00224567" w:rsidRDefault="00224567">
      <w:pPr>
        <w:widowControl w:val="0"/>
      </w:pPr>
      <w:r>
        <w:tab/>
        <w:t>Puntualizó que la estancia de esa pe</w:t>
      </w:r>
      <w:r>
        <w:t>r</w:t>
      </w:r>
      <w:r>
        <w:t>sona le hizo barajar dos opciones, a saber: una, que qu</w:t>
      </w:r>
      <w:r>
        <w:t>i</w:t>
      </w:r>
      <w:r>
        <w:t>siera cometer un delito en el banco y la otra, que lo e</w:t>
      </w:r>
      <w:r>
        <w:t>s</w:t>
      </w:r>
      <w:r>
        <w:t xml:space="preserve">tuviera persiguiendo con relación al hostigamiento por parte de </w:t>
      </w:r>
      <w:smartTag w:uri="urn:schemas-microsoft-com:office:smarttags" w:element="PersonName">
        <w:smartTagPr>
          <w:attr w:name="ProductID" w:val="la Brigada"/>
        </w:smartTagPr>
        <w:r>
          <w:t>la Brigada</w:t>
        </w:r>
      </w:smartTag>
      <w:r>
        <w:t xml:space="preserve"> de Vicente López, como consecuencia del cual debió dar en garantía un crucero de su propi</w:t>
      </w:r>
      <w:r>
        <w:t>e</w:t>
      </w:r>
      <w:r>
        <w:t>dad; que al advertir que el individuo regresó a los diez min</w:t>
      </w:r>
      <w:r>
        <w:t>u</w:t>
      </w:r>
      <w:r>
        <w:t>tos, se convenció de que su estadía se vinculaba direct</w:t>
      </w:r>
      <w:r>
        <w:t>a</w:t>
      </w:r>
      <w:r>
        <w:t xml:space="preserve">mente con el problema con </w:t>
      </w:r>
      <w:smartTag w:uri="urn:schemas-microsoft-com:office:smarttags" w:element="PersonName">
        <w:smartTagPr>
          <w:attr w:name="ProductID" w:val="la Polic￭a"/>
        </w:smartTagPr>
        <w:r>
          <w:t>la Policía</w:t>
        </w:r>
      </w:smartTag>
      <w:r>
        <w:t xml:space="preserve"> de V</w:t>
      </w:r>
      <w:r>
        <w:t>i</w:t>
      </w:r>
      <w:r>
        <w:t>cente López.</w:t>
      </w:r>
    </w:p>
    <w:p w:rsidR="00224567" w:rsidRDefault="00224567">
      <w:pPr>
        <w:widowControl w:val="0"/>
      </w:pPr>
      <w:r>
        <w:tab/>
        <w:t>Que así fue que se dirigió a lo de su hermano en la localidad de Sáenz Peña, arribando a las 10.00 horas aproximadamente e ingresa</w:t>
      </w:r>
      <w:r>
        <w:t>n</w:t>
      </w:r>
      <w:r>
        <w:t>do con la llave que tenía; como no había nadie se ret</w:t>
      </w:r>
      <w:r>
        <w:t>i</w:t>
      </w:r>
      <w:r>
        <w:t xml:space="preserve">ró; que desde allí llamó a su mujer, quien le dijo que todo seguía igual. Luego, narró, caminó hasta </w:t>
      </w:r>
      <w:smartTag w:uri="urn:schemas-microsoft-com:office:smarttags" w:element="PersonName">
        <w:smartTagPr>
          <w:attr w:name="ProductID" w:val="la Av. General"/>
        </w:smartTagPr>
        <w:r>
          <w:t>la Av. General</w:t>
        </w:r>
      </w:smartTag>
      <w:r>
        <w:t xml:space="preserve"> Paz y, a la altura de un complejo de monoblocks denominado, según creía, Santa Rosalía, tomó un remise Pe</w:t>
      </w:r>
      <w:r>
        <w:t>u</w:t>
      </w:r>
      <w:r>
        <w:t>geot 505, color celeste o gris, indicándole al conductor que lo llevara hasta Liniers, descendiendo en un lugar donde existía un puente y un cine grande; bajó por una esc</w:t>
      </w:r>
      <w:r>
        <w:t>a</w:t>
      </w:r>
      <w:r>
        <w:t>lera y se dirigió a un locutorio telefónico, desde donde llamó a “Alejandro Automotores”, comunicándose por una línea común, con un gestor cuyo no</w:t>
      </w:r>
      <w:r>
        <w:t>m</w:t>
      </w:r>
      <w:r>
        <w:t>bre no recordó. Mencionó que en esa ocasión advirtió que no deseaban hablarle claro, cortándole y, en sucesivas c</w:t>
      </w:r>
      <w:r>
        <w:t>o</w:t>
      </w:r>
      <w:r>
        <w:t>municaci</w:t>
      </w:r>
      <w:r>
        <w:t>o</w:t>
      </w:r>
      <w:r>
        <w:t>nes, le dijeron cosas sin sentido, al hablarle de la documentación de un automóvil Renault 21, cuando, en realidad, lo concerniente a ese vehículo era un tema sup</w:t>
      </w:r>
      <w:r>
        <w:t>e</w:t>
      </w:r>
      <w:r>
        <w:t>rado.</w:t>
      </w:r>
    </w:p>
    <w:p w:rsidR="00224567" w:rsidRDefault="00224567">
      <w:pPr>
        <w:widowControl w:val="0"/>
      </w:pPr>
      <w:r>
        <w:tab/>
        <w:t>Indicó el encartado que, entonces, llamó por una línea privada por la que no se atendían ll</w:t>
      </w:r>
      <w:r>
        <w:t>a</w:t>
      </w:r>
      <w:r>
        <w:t>mados de publicaciones hechas en los diarios y que el e</w:t>
      </w:r>
      <w:r>
        <w:t>m</w:t>
      </w:r>
      <w:r>
        <w:t>pleado que atendió, de quien sólo recordó que era uno de los directivos, le informó que lo buscaba una brigada. Aseguró que hasta ese momento sólo pensaba que una fuerza de seguridad podría t</w:t>
      </w:r>
      <w:r>
        <w:t>e</w:t>
      </w:r>
      <w:r>
        <w:t xml:space="preserve">ner interés en él por el tema de </w:t>
      </w:r>
      <w:smartTag w:uri="urn:schemas-microsoft-com:office:smarttags" w:element="PersonName">
        <w:smartTagPr>
          <w:attr w:name="ProductID" w:val="la Brigada"/>
        </w:smartTagPr>
        <w:r>
          <w:t>la Brigada</w:t>
        </w:r>
      </w:smartTag>
      <w:r>
        <w:t xml:space="preserve"> de Vicente López. Adunó que desde el mismo locut</w:t>
      </w:r>
      <w:r>
        <w:t>o</w:t>
      </w:r>
      <w:r>
        <w:t>rio llamó a su mujer, quien le explicó que la situación en la zona de su domicilio no se había modif</w:t>
      </w:r>
      <w:r>
        <w:t>i</w:t>
      </w:r>
      <w:r>
        <w:t>cado.</w:t>
      </w:r>
    </w:p>
    <w:p w:rsidR="00224567" w:rsidRDefault="00224567">
      <w:pPr>
        <w:widowControl w:val="0"/>
      </w:pPr>
      <w:r>
        <w:tab/>
        <w:t>Señaló que en la esquina del lugar a</w:t>
      </w:r>
      <w:r>
        <w:t>n</w:t>
      </w:r>
      <w:r>
        <w:t>tes mencionado ascendió a un remise marca Ford Taunus, hasta Gaona, a la altura de “Makro”, donde descendió, a diez cuadras de una estación se servicio “Isaura”. Expl</w:t>
      </w:r>
      <w:r>
        <w:t>i</w:t>
      </w:r>
      <w:r>
        <w:t>có que su intención era hacer tiempo en lo de un amigo llam</w:t>
      </w:r>
      <w:r>
        <w:t>a</w:t>
      </w:r>
      <w:r>
        <w:t>do Darío, de quien desconocía otros datos personales, sa</w:t>
      </w:r>
      <w:r>
        <w:t>l</w:t>
      </w:r>
      <w:r>
        <w:t>vo que se dedicaba a la venta de automóviles usados. T</w:t>
      </w:r>
      <w:r>
        <w:t>e</w:t>
      </w:r>
      <w:r>
        <w:t>lleldín manifestó que toda vez que al llegar advirtió la presencia de un automóvil Peugeot 504 color blanco, con dos personas en su interior, continuó caminando varias cuadras en dirección a Luján, sin saber si su amigo est</w:t>
      </w:r>
      <w:r>
        <w:t>a</w:t>
      </w:r>
      <w:r>
        <w:t>ba.</w:t>
      </w:r>
    </w:p>
    <w:p w:rsidR="00224567" w:rsidRDefault="00224567">
      <w:pPr>
        <w:widowControl w:val="0"/>
      </w:pPr>
      <w:r>
        <w:tab/>
        <w:t>Prosiguiendo con su relato, expresó que al arribar a la estación de servicio antes referida, realizó diversos llamados telefónicos. En tal sentido, mencionó que llamó a su domicilio, informándole su mujer que todo seguía igual y que se hallaba bien. Asimismo, creyó recordar que también se comunicó con “Alejandro A</w:t>
      </w:r>
      <w:r>
        <w:t>u</w:t>
      </w:r>
      <w:r>
        <w:t>tomotores” y con Diego Barreda, no recordando si lo hizo al teléfono celular o al particular; a este último le s</w:t>
      </w:r>
      <w:r>
        <w:t>o</w:t>
      </w:r>
      <w:r>
        <w:t xml:space="preserve">licitó que averiguara qué sucedía y si era </w:t>
      </w:r>
      <w:smartTag w:uri="urn:schemas-microsoft-com:office:smarttags" w:element="PersonName">
        <w:smartTagPr>
          <w:attr w:name="ProductID" w:val="la Brigada"/>
        </w:smartTagPr>
        <w:r>
          <w:t>la Brigada</w:t>
        </w:r>
      </w:smartTag>
      <w:r>
        <w:t xml:space="preserve"> de Vicente López la que lo buscaba, respondiéndole su inte</w:t>
      </w:r>
      <w:r>
        <w:t>r</w:t>
      </w:r>
      <w:r>
        <w:t>locutor que se encargaría del tema. Luego, apuntó, se d</w:t>
      </w:r>
      <w:r>
        <w:t>i</w:t>
      </w:r>
      <w:r>
        <w:t>rigió a la estación de ómnibus de Luján, desde donde se comunicó con su mujer, quien le hizo saber que el descon</w:t>
      </w:r>
      <w:r>
        <w:t>o</w:t>
      </w:r>
      <w:r>
        <w:t xml:space="preserve">cido continuaba en el lugar. Agregó que pudo haber llamado también a “Alejandro Automotores” y a Barreda y reiteró que hasta ese momento atribuía la persecución al tema de </w:t>
      </w:r>
      <w:smartTag w:uri="urn:schemas-microsoft-com:office:smarttags" w:element="PersonName">
        <w:smartTagPr>
          <w:attr w:name="ProductID" w:val="la Brigada"/>
        </w:smartTagPr>
        <w:r>
          <w:t>la Brigada</w:t>
        </w:r>
      </w:smartTag>
      <w:r>
        <w:t xml:space="preserve"> de Vicente López, cuestión que creía solucion</w:t>
      </w:r>
      <w:r>
        <w:t>a</w:t>
      </w:r>
      <w:r>
        <w:t>da por el Dr. Bo</w:t>
      </w:r>
      <w:r>
        <w:t>t</w:t>
      </w:r>
      <w:r>
        <w:t>tegal.</w:t>
      </w:r>
    </w:p>
    <w:p w:rsidR="00224567" w:rsidRDefault="00224567">
      <w:pPr>
        <w:widowControl w:val="0"/>
      </w:pPr>
      <w:r>
        <w:tab/>
        <w:t>Una vez en la terminal, expresó, tomó un autobús de la empresa “El Rápido”, directo a la ci</w:t>
      </w:r>
      <w:r>
        <w:t>u</w:t>
      </w:r>
      <w:r>
        <w:t>dad de Posadas, saliendo a las 18.00 ó 18.30. No recordó cuá</w:t>
      </w:r>
      <w:r>
        <w:t>n</w:t>
      </w:r>
      <w:r>
        <w:t>to abonó y afirmó que sacó el pasaje a Posadas por cuanto era el primer colectivo que partía, ya que el resto lo h</w:t>
      </w:r>
      <w:r>
        <w:t>a</w:t>
      </w:r>
      <w:r>
        <w:t>cían después de las 20.00. Arribó a esa ciudad a las 8.00, dirigiéndose a un locutorio ubicado aproximadamente a seis cuadras de la estación te</w:t>
      </w:r>
      <w:r>
        <w:t>r</w:t>
      </w:r>
      <w:r>
        <w:t>minal, desde donde, a las 8.40, llamó a su domicilio. Recordó que habló primero con su m</w:t>
      </w:r>
      <w:r>
        <w:t>u</w:t>
      </w:r>
      <w:r>
        <w:t>jer, luego con el oficial Bareiro -quien le informó que la policía lo buscaba por la venta de una Trafic corta vinc</w:t>
      </w:r>
      <w:r>
        <w:t>u</w:t>
      </w:r>
      <w:r>
        <w:t xml:space="preserve">lada al atentado a </w:t>
      </w:r>
      <w:smartTag w:uri="urn:schemas-microsoft-com:office:smarttags" w:element="PersonName">
        <w:smartTagPr>
          <w:attr w:name="ProductID" w:val="la A.M"/>
        </w:smartTagPr>
        <w:r>
          <w:t>la A.M</w:t>
        </w:r>
      </w:smartTag>
      <w:r>
        <w:t>.I.A.- y por último con una pe</w:t>
      </w:r>
      <w:r>
        <w:t>r</w:t>
      </w:r>
      <w:r>
        <w:t xml:space="preserve">sona que dijo ser de </w:t>
      </w:r>
      <w:smartTag w:uri="urn:schemas-microsoft-com:office:smarttags" w:element="PersonName">
        <w:smartTagPr>
          <w:attr w:name="ProductID" w:val="la S.I"/>
        </w:smartTagPr>
        <w:r>
          <w:t>la S.I</w:t>
        </w:r>
      </w:smartTag>
      <w:r>
        <w:t>.D.E., quien le advirtió que inclusive el Mossad lo buscaba y que su vida corría pel</w:t>
      </w:r>
      <w:r>
        <w:t>i</w:t>
      </w:r>
      <w:r>
        <w:t>gro.</w:t>
      </w:r>
    </w:p>
    <w:p w:rsidR="00224567" w:rsidRDefault="00224567">
      <w:pPr>
        <w:widowControl w:val="0"/>
      </w:pPr>
      <w:r>
        <w:tab/>
        <w:t>Explicó Telleldín que, después de ello, se dirigió a la aerolínea “Austral”, siendo inform</w:t>
      </w:r>
      <w:r>
        <w:t>a</w:t>
      </w:r>
      <w:r>
        <w:t>do que sólo había pasajes a Buenos Aires en el vuelo de la noche, pero que podía presentarse en el aeropuerto y an</w:t>
      </w:r>
      <w:r>
        <w:t>o</w:t>
      </w:r>
      <w:r>
        <w:t xml:space="preserve">tarse en lista de espera. Que así lo hizo y luego llamó por teléfono a su domicilio, hablando con su mujer, el oficial Bareiro y una persona de </w:t>
      </w:r>
      <w:smartTag w:uri="urn:schemas-microsoft-com:office:smarttags" w:element="PersonName">
        <w:smartTagPr>
          <w:attr w:name="ProductID" w:val="la S.I"/>
        </w:smartTagPr>
        <w:r>
          <w:t>la S.I</w:t>
        </w:r>
      </w:smartTag>
      <w:r>
        <w:t>.D.E., a quienes informó su voluntad de presentarse y las razones de su d</w:t>
      </w:r>
      <w:r>
        <w:t>e</w:t>
      </w:r>
      <w:r>
        <w:t>mora. Negó haber hablado con persona alguna fuera de los empleados que lo atendieron en las distintas situaciones antes relatadas, tanto en la ciudad de Posadas como en el aer</w:t>
      </w:r>
      <w:r>
        <w:t>o</w:t>
      </w:r>
      <w:r>
        <w:t>puerto.</w:t>
      </w:r>
    </w:p>
    <w:p w:rsidR="00224567" w:rsidRDefault="00224567">
      <w:pPr>
        <w:widowControl w:val="0"/>
      </w:pPr>
      <w:r>
        <w:tab/>
        <w:t>Puntualizó que, si bien a su requer</w:t>
      </w:r>
      <w:r>
        <w:t>i</w:t>
      </w:r>
      <w:r>
        <w:t>miento el pasaje fue extendido a nombre de Hugo P</w:t>
      </w:r>
      <w:r>
        <w:t>é</w:t>
      </w:r>
      <w:r>
        <w:t xml:space="preserve">rez, al pasar por el control de </w:t>
      </w:r>
      <w:smartTag w:uri="urn:schemas-microsoft-com:office:smarttags" w:element="PersonName">
        <w:smartTagPr>
          <w:attr w:name="ProductID" w:val="la Polic￭a Aeron￡utica"/>
        </w:smartTagPr>
        <w:r>
          <w:t>la Policía Aeronáutica</w:t>
        </w:r>
      </w:smartTag>
      <w:r>
        <w:t xml:space="preserve"> e</w:t>
      </w:r>
      <w:r>
        <w:t>x</w:t>
      </w:r>
      <w:r>
        <w:t>hibió su documento, quedando así consignado en el listado de esa fuerza de seguridad; que sum</w:t>
      </w:r>
      <w:r>
        <w:t>i</w:t>
      </w:r>
      <w:r>
        <w:t xml:space="preserve">nistró otro nombre por cuanto personal de </w:t>
      </w:r>
      <w:smartTag w:uri="urn:schemas-microsoft-com:office:smarttags" w:element="PersonName">
        <w:smartTagPr>
          <w:attr w:name="ProductID" w:val="la S.I"/>
        </w:smartTagPr>
        <w:r>
          <w:t>la S.I</w:t>
        </w:r>
      </w:smartTag>
      <w:r>
        <w:t>.D.E., instalado en su domicilio, le i</w:t>
      </w:r>
      <w:r>
        <w:t>n</w:t>
      </w:r>
      <w:r>
        <w:t>formó que su vida corría peligro y que debía cuidarse, puesto que el Mossad lo busc</w:t>
      </w:r>
      <w:r>
        <w:t>a</w:t>
      </w:r>
      <w:r>
        <w:t>ba.</w:t>
      </w:r>
    </w:p>
    <w:p w:rsidR="00224567" w:rsidRDefault="00224567">
      <w:pPr>
        <w:pStyle w:val="Textoindependiente"/>
        <w:spacing w:line="600" w:lineRule="auto"/>
      </w:pPr>
      <w:r>
        <w:tab/>
        <w:t>Manifestó que arribó a esta ciudad a las 14.40, llamando desde el aeropuerto a su domicilio, expl</w:t>
      </w:r>
      <w:r>
        <w:t>i</w:t>
      </w:r>
      <w:r>
        <w:t xml:space="preserve">cándosele que personal de </w:t>
      </w:r>
      <w:smartTag w:uri="urn:schemas-microsoft-com:office:smarttags" w:element="PersonName">
        <w:smartTagPr>
          <w:attr w:name="ProductID" w:val="la S.I"/>
        </w:smartTagPr>
        <w:r>
          <w:t>la S.I</w:t>
        </w:r>
      </w:smartTag>
      <w:r>
        <w:t xml:space="preserve">.D.E. lo buscaría; que se presentó e identificó ante autoridades de </w:t>
      </w:r>
      <w:smartTag w:uri="urn:schemas-microsoft-com:office:smarttags" w:element="PersonName">
        <w:smartTagPr>
          <w:attr w:name="ProductID" w:val="la Polic￭a Aeron￡utica"/>
        </w:smartTagPr>
        <w:r>
          <w:t>la Policía Aer</w:t>
        </w:r>
        <w:r>
          <w:t>o</w:t>
        </w:r>
        <w:r>
          <w:t>náutica</w:t>
        </w:r>
      </w:smartTag>
      <w:r>
        <w:t>, indicando que era quien había vendido la cami</w:t>
      </w:r>
      <w:r>
        <w:t>o</w:t>
      </w:r>
      <w:r>
        <w:t xml:space="preserve">neta Trafic vinculada al atentado a la sede de </w:t>
      </w:r>
      <w:smartTag w:uri="urn:schemas-microsoft-com:office:smarttags" w:element="PersonName">
        <w:smartTagPr>
          <w:attr w:name="ProductID" w:val="la A.M"/>
        </w:smartTagPr>
        <w:r>
          <w:t>la A.M</w:t>
        </w:r>
      </w:smartTag>
      <w:r>
        <w:t>.I.A., a fin de evitar que su presencia en el aeropuerto fuera tom</w:t>
      </w:r>
      <w:r>
        <w:t>a</w:t>
      </w:r>
      <w:r>
        <w:t>da c</w:t>
      </w:r>
      <w:r>
        <w:t>o</w:t>
      </w:r>
      <w:r>
        <w:t>mo un intento de fuga.</w:t>
      </w:r>
    </w:p>
    <w:p w:rsidR="00224567" w:rsidRDefault="00224567">
      <w:pPr>
        <w:widowControl w:val="0"/>
      </w:pPr>
      <w:r>
        <w:tab/>
        <w:t>Mencionó que al momento de su dete</w:t>
      </w:r>
      <w:r>
        <w:t>n</w:t>
      </w:r>
      <w:r>
        <w:t>ción no se le secuestró la agenda electrónica, que fue luego entregada a su mujer, y que sus re</w:t>
      </w:r>
      <w:r>
        <w:t>s</w:t>
      </w:r>
      <w:r>
        <w:t>tantes efectos –documentación y dinero- recién fueron reten</w:t>
      </w:r>
      <w:r>
        <w:t>i</w:t>
      </w:r>
      <w:r>
        <w:t>dos cuando lo alojaron en un calabozo; resaltó que en el recibo de efe</w:t>
      </w:r>
      <w:r>
        <w:t>c</w:t>
      </w:r>
      <w:r>
        <w:t>tos sólo constaba el din</w:t>
      </w:r>
      <w:r>
        <w:t>e</w:t>
      </w:r>
      <w:r>
        <w:t>ro.</w:t>
      </w:r>
    </w:p>
    <w:p w:rsidR="00224567" w:rsidRDefault="00224567">
      <w:pPr>
        <w:widowControl w:val="0"/>
      </w:pPr>
      <w:r>
        <w:tab/>
        <w:t>Con relación a la quinta Trafic que vendiera, si bien el imputado no pudo brindar detalles acerca de a quiénes adquirió los repuestos para su repar</w:t>
      </w:r>
      <w:r>
        <w:t>a</w:t>
      </w:r>
      <w:r>
        <w:t>ción, manifestó que implicaron un gasto de USD 1500 ó 2000; que parte de la reparación de la camioneta se efe</w:t>
      </w:r>
      <w:r>
        <w:t>c</w:t>
      </w:r>
      <w:r>
        <w:t>tuó en el taller de Nitzcaner, a quien se le entregó, la semana anterior a retirarla, los reemplazos del motor -tapa de cilindro, burro de arranque, radiador y altern</w:t>
      </w:r>
      <w:r>
        <w:t>a</w:t>
      </w:r>
      <w:r>
        <w:t>dor, posiblemente también el cigüeñal-, de chapa y la pi</w:t>
      </w:r>
      <w:r>
        <w:t>n</w:t>
      </w:r>
      <w:r>
        <w:t>tura, a fin de que cambie todas las partes dañadas por partes usadas en condiciones; que no se cambió nada que alterase la numeración del m</w:t>
      </w:r>
      <w:r>
        <w:t>o</w:t>
      </w:r>
      <w:r>
        <w:t>tor.</w:t>
      </w:r>
    </w:p>
    <w:p w:rsidR="00224567" w:rsidRDefault="00224567">
      <w:pPr>
        <w:widowControl w:val="0"/>
      </w:pPr>
      <w:r>
        <w:tab/>
        <w:t>Explicó Telleldín que compró la carr</w:t>
      </w:r>
      <w:r>
        <w:t>o</w:t>
      </w:r>
      <w:r>
        <w:t>cería a un tal Miguel y que en esa carrocería y ch</w:t>
      </w:r>
      <w:r>
        <w:t>a</w:t>
      </w:r>
      <w:r>
        <w:t xml:space="preserve">sis se colocó el motor de </w:t>
      </w:r>
      <w:smartTag w:uri="urn:schemas-microsoft-com:office:smarttags" w:element="PersonName">
        <w:smartTagPr>
          <w:attr w:name="ProductID" w:val="la Trafic"/>
        </w:smartTagPr>
        <w:r>
          <w:t>la Trafic</w:t>
        </w:r>
      </w:smartTag>
      <w:r>
        <w:t xml:space="preserve"> quemada que había adquirido en “Alejandro Automotores”. Admitió que se modificó la n</w:t>
      </w:r>
      <w:r>
        <w:t>u</w:t>
      </w:r>
      <w:r>
        <w:t>meración de la carr</w:t>
      </w:r>
      <w:r>
        <w:t>o</w:t>
      </w:r>
      <w:r>
        <w:t>cería, pero no así la del chasis, toda vez que ese número no f</w:t>
      </w:r>
      <w:r>
        <w:t>i</w:t>
      </w:r>
      <w:r>
        <w:t>guraba en la documentación, ni era óbice para la exitosa verificación de un r</w:t>
      </w:r>
      <w:r>
        <w:t>o</w:t>
      </w:r>
      <w:r>
        <w:t>dado; que mandó a cortar la carrocería y el chasis de la camioneta ince</w:t>
      </w:r>
      <w:r>
        <w:t>n</w:t>
      </w:r>
      <w:r>
        <w:t>diada a un desarmadero ubicado en la ruta 8, antes de ll</w:t>
      </w:r>
      <w:r>
        <w:t>e</w:t>
      </w:r>
      <w:r>
        <w:t>gar al cruce de José C. Paz, doblando a la izquierda en dirección a Pilar, desconociendo a quien pertenecía y quiénes trabaj</w:t>
      </w:r>
      <w:r>
        <w:t>a</w:t>
      </w:r>
      <w:r>
        <w:t>ban allí.</w:t>
      </w:r>
    </w:p>
    <w:p w:rsidR="00224567" w:rsidRDefault="00224567">
      <w:pPr>
        <w:pStyle w:val="Sangradetextonormal"/>
        <w:widowControl w:val="0"/>
        <w:ind w:firstLine="0"/>
      </w:pPr>
      <w:r>
        <w:tab/>
        <w:t>Indicó que el traslado lo efectuó la grúa de una persona apodada “el Jorobado”, quien hacía servicios por la zona de Pablo Nogués y San Miguel; se trataba de una camioneta Dodge verde o celeste, con in</w:t>
      </w:r>
      <w:r>
        <w:t>s</w:t>
      </w:r>
      <w:r>
        <w:t>cripciones en las puertas que rezaban “Auxilio”, b</w:t>
      </w:r>
      <w:r>
        <w:t>a</w:t>
      </w:r>
      <w:r>
        <w:t>lizas y dos palos en la parte trasera con cubiertas una sobre la otra. Asimismo, afirmó que el desarmadero no abonó nada por la carrocería, ya que se hacían un favor m</w:t>
      </w:r>
      <w:r>
        <w:t>u</w:t>
      </w:r>
      <w:r>
        <w:t>tuo.</w:t>
      </w:r>
    </w:p>
    <w:p w:rsidR="00224567" w:rsidRDefault="00224567">
      <w:pPr>
        <w:widowControl w:val="0"/>
      </w:pPr>
      <w:r>
        <w:tab/>
        <w:t>Por otra parte, manifestó que s</w:t>
      </w:r>
      <w:r>
        <w:t>a</w:t>
      </w:r>
      <w:r>
        <w:t xml:space="preserve">có el motor de </w:t>
      </w:r>
      <w:smartTag w:uri="urn:schemas-microsoft-com:office:smarttags" w:element="PersonName">
        <w:smartTagPr>
          <w:attr w:name="ProductID" w:val="la Trafic"/>
        </w:smartTagPr>
        <w:r>
          <w:t>la Trafic</w:t>
        </w:r>
      </w:smartTag>
      <w:r>
        <w:t xml:space="preserve"> quemada, lo cargó en el Escort y lo llevó a lo de Nitzcaner, todo el mismo día; que el de </w:t>
      </w:r>
      <w:smartTag w:uri="urn:schemas-microsoft-com:office:smarttags" w:element="PersonName">
        <w:smartTagPr>
          <w:attr w:name="ProductID" w:val="la Trafic"/>
        </w:smartTagPr>
        <w:r>
          <w:t>la Trafic</w:t>
        </w:r>
      </w:smartTag>
      <w:r>
        <w:t xml:space="preserve"> que proveyó Miguel fue dejado en el taller de Nit</w:t>
      </w:r>
      <w:r>
        <w:t>z</w:t>
      </w:r>
      <w:r>
        <w:t>caner; allí le quitaron las partes que servían y se util</w:t>
      </w:r>
      <w:r>
        <w:t>i</w:t>
      </w:r>
      <w:r>
        <w:t>zaron para armar el motor de la camioneta quemada, como ser los cilindros; que Nitzcaner era quien sabía cuáles partes se usaron para el armado y qué se hizo con el “m</w:t>
      </w:r>
      <w:r>
        <w:t>o</w:t>
      </w:r>
      <w:r>
        <w:t>noblock” (sic).</w:t>
      </w:r>
    </w:p>
    <w:p w:rsidR="00224567" w:rsidRDefault="00224567">
      <w:pPr>
        <w:widowControl w:val="0"/>
      </w:pPr>
      <w:r>
        <w:tab/>
        <w:t>Expresó que cuando se refirió a la compra de repuestos incluyó la adquisición de la cami</w:t>
      </w:r>
      <w:r>
        <w:t>o</w:t>
      </w:r>
      <w:r>
        <w:t>neta a Miguel, de donde se obtuvieron casi todos los reempl</w:t>
      </w:r>
      <w:r>
        <w:t>a</w:t>
      </w:r>
      <w:r>
        <w:t>zos, debiendo adquirir los restantes en come</w:t>
      </w:r>
      <w:r>
        <w:t>r</w:t>
      </w:r>
      <w:r>
        <w:t>cios. Explicó que las chapas patentes de la camioneta comprada a Monjo fueron colocadas en la nueva camioneta rep</w:t>
      </w:r>
      <w:r>
        <w:t>a</w:t>
      </w:r>
      <w:r>
        <w:t>rada, a la que se le colocó el motor de la quemada. Aclaró que para su armado adquirió repuestos usados y que no cambió el dom</w:t>
      </w:r>
      <w:r>
        <w:t>i</w:t>
      </w:r>
      <w:r>
        <w:t>nio o numeración que se correspo</w:t>
      </w:r>
      <w:r>
        <w:t>n</w:t>
      </w:r>
      <w:r>
        <w:t>día entre motor y chasis.</w:t>
      </w:r>
    </w:p>
    <w:p w:rsidR="00224567" w:rsidRDefault="00224567">
      <w:pPr>
        <w:widowControl w:val="0"/>
      </w:pPr>
      <w:r>
        <w:tab/>
        <w:t>No pudo precisar el imputado si llevó el motor desde lo de Cotoras hasta el taller de Nitzc</w:t>
      </w:r>
      <w:r>
        <w:t>a</w:t>
      </w:r>
      <w:r>
        <w:t>ner el mismo día de su extracción o al día siguiente, toda vez que, según dijo, quitaron el motor en horas de la noche, en la calle, frente al d</w:t>
      </w:r>
      <w:r>
        <w:t>o</w:t>
      </w:r>
      <w:r>
        <w:t>micilio del primero. Recordó que en esa oportunidad se encontraba junto a Cotoras y Hugo Pérez o Pérez Mejías, a la vez que afirmó que uno de los dos últimos estaba y que nadie más participó; que la m</w:t>
      </w:r>
      <w:r>
        <w:t>a</w:t>
      </w:r>
      <w:r>
        <w:t>niobra llevó dos horas aproximadamente, ya que al estar quemada tuvieron algunas complicaci</w:t>
      </w:r>
      <w:r>
        <w:t>o</w:t>
      </w:r>
      <w:r>
        <w:t>nes.</w:t>
      </w:r>
    </w:p>
    <w:p w:rsidR="00224567" w:rsidRDefault="00224567">
      <w:pPr>
        <w:widowControl w:val="0"/>
      </w:pPr>
      <w:r>
        <w:tab/>
        <w:t xml:space="preserve">Refirió, con relación al equipo de gas de </w:t>
      </w:r>
      <w:smartTag w:uri="urn:schemas-microsoft-com:office:smarttags" w:element="PersonName">
        <w:smartTagPr>
          <w:attr w:name="ProductID" w:val="la Trafic"/>
        </w:smartTagPr>
        <w:r>
          <w:t>la Trafic</w:t>
        </w:r>
      </w:smartTag>
      <w:r>
        <w:t xml:space="preserve"> vinculada con el atentado, que, según creía recordar, el regul</w:t>
      </w:r>
      <w:r>
        <w:t>a</w:t>
      </w:r>
      <w:r>
        <w:t>dor se hallaba muy dañado y que era de dos tubos, que se encontraban en buen estado; que el equ</w:t>
      </w:r>
      <w:r>
        <w:t>i</w:t>
      </w:r>
      <w:r>
        <w:t>po no tenía papeles y se lo entregó a gente de José C. Paz, a quienes conocía porque tenían una grúa y le habían hecho varios traslados de vehículos. Especificó que se trataba del apodado “el Jorobado”, quien personalmente r</w:t>
      </w:r>
      <w:r>
        <w:t>e</w:t>
      </w:r>
      <w:r>
        <w:t>tiró el equipo del taller de Cotoras en las calles A</w:t>
      </w:r>
      <w:r>
        <w:t>l</w:t>
      </w:r>
      <w:r>
        <w:t>sina y Perú de Villa Martelli; se lo entregó a cuenta de fut</w:t>
      </w:r>
      <w:r>
        <w:t>u</w:t>
      </w:r>
      <w:r>
        <w:t>ros traslados de vehíc</w:t>
      </w:r>
      <w:r>
        <w:t>u</w:t>
      </w:r>
      <w:r>
        <w:t>los.</w:t>
      </w:r>
    </w:p>
    <w:p w:rsidR="00224567" w:rsidRDefault="00224567">
      <w:pPr>
        <w:widowControl w:val="0"/>
      </w:pPr>
      <w:r>
        <w:tab/>
        <w:t xml:space="preserve">En orden al automóvil Renault 19 que tuvo para la venta el mismo fin de semana que </w:t>
      </w:r>
      <w:smartTag w:uri="urn:schemas-microsoft-com:office:smarttags" w:element="PersonName">
        <w:smartTagPr>
          <w:attr w:name="ProductID" w:val="la Trafic"/>
        </w:smartTagPr>
        <w:r>
          <w:t>la Trafic</w:t>
        </w:r>
      </w:smartTag>
      <w:r>
        <w:t>, el imputado señaló que si bien hubo varios inter</w:t>
      </w:r>
      <w:r>
        <w:t>e</w:t>
      </w:r>
      <w:r>
        <w:t>sados, no lo pudo vender en Capital Federal; se vendió en Ros</w:t>
      </w:r>
      <w:r>
        <w:t>a</w:t>
      </w:r>
      <w:r>
        <w:t>rio o Santa Fe, luego de su detención, concretándose la oper</w:t>
      </w:r>
      <w:r>
        <w:t>a</w:t>
      </w:r>
      <w:r>
        <w:t>ción a través de un amigo, cuyo nombre se r</w:t>
      </w:r>
      <w:r>
        <w:t>e</w:t>
      </w:r>
      <w:r>
        <w:t>servó a fin de no complicarlo.</w:t>
      </w:r>
    </w:p>
    <w:p w:rsidR="00224567" w:rsidRDefault="00224567">
      <w:pPr>
        <w:widowControl w:val="0"/>
      </w:pPr>
      <w:r>
        <w:tab/>
        <w:t xml:space="preserve">El encartado observó que </w:t>
      </w:r>
      <w:smartTag w:uri="urn:schemas-microsoft-com:office:smarttags" w:element="PersonName">
        <w:smartTagPr>
          <w:attr w:name="ProductID" w:val="la Trafic"/>
        </w:smartTagPr>
        <w:r>
          <w:t>la Trafic</w:t>
        </w:r>
      </w:smartTag>
      <w:r>
        <w:t xml:space="preserve"> y el Renault 19 no se publicaron juntos y que, en caso de que así lo hubiera hecho, no lo record</w:t>
      </w:r>
      <w:r>
        <w:t>a</w:t>
      </w:r>
      <w:r>
        <w:t>ba.</w:t>
      </w:r>
    </w:p>
    <w:p w:rsidR="00224567" w:rsidRDefault="00224567">
      <w:pPr>
        <w:widowControl w:val="0"/>
      </w:pPr>
      <w:r>
        <w:tab/>
        <w:t>Telleldín aclaró que para esa época tuvo dos vehículos Renault 19, uno con patente de Cap</w:t>
      </w:r>
      <w:r>
        <w:t>i</w:t>
      </w:r>
      <w:r>
        <w:t>tal Federal y el otro de Santa Fe. Manifestó que el de Santa Fe fue vendido en esa provincia, en tanto el de Capital fue adquirido por una persona de E</w:t>
      </w:r>
      <w:r>
        <w:t>n</w:t>
      </w:r>
      <w:r>
        <w:t>tre Ríos, operación que llevó a cabo en su domic</w:t>
      </w:r>
      <w:r>
        <w:t>i</w:t>
      </w:r>
      <w:r>
        <w:t xml:space="preserve">lio, en el mes de julio de 1994; el patentado en Santa Fe lo compró y vendió siniestrado y dos personas concurrieron a ver el de patente de Capital Federal, creyendo que una de ellas fue dos o tres veces. Asimismo, indicó que dicho automóvil fue ofrecido en su domicilio y no pudo precisar si estuvo allí en la misma época que </w:t>
      </w:r>
      <w:smartTag w:uri="urn:schemas-microsoft-com:office:smarttags" w:element="PersonName">
        <w:smartTagPr>
          <w:attr w:name="ProductID" w:val="la Trafic."/>
        </w:smartTagPr>
        <w:r>
          <w:t>la Tr</w:t>
        </w:r>
        <w:r>
          <w:t>a</w:t>
        </w:r>
        <w:r>
          <w:t>fic.</w:t>
        </w:r>
      </w:smartTag>
    </w:p>
    <w:p w:rsidR="00224567" w:rsidRDefault="00224567">
      <w:pPr>
        <w:widowControl w:val="0"/>
      </w:pPr>
      <w:r>
        <w:tab/>
        <w:t>Con relación al manejo impositivo de la compraventa de vehículos, el imputado explicó que alg</w:t>
      </w:r>
      <w:r>
        <w:t>u</w:t>
      </w:r>
      <w:r>
        <w:t>nas compras se realizaban a nombre de Ana María Boragni, otras a nombre de Hugo Pérez, ambos matriculados con C.U.I.T., y las restantes a no</w:t>
      </w:r>
      <w:r>
        <w:t>m</w:t>
      </w:r>
      <w:r>
        <w:t>bre suyo, ocasiones en las que se facturaba como cons</w:t>
      </w:r>
      <w:r>
        <w:t>u</w:t>
      </w:r>
      <w:r>
        <w:t>midor final. Acotó que para la venta no era necesaria la facturación, toda vez que los compradores eran particulares y se les entregaba el form</w:t>
      </w:r>
      <w:r>
        <w:t>u</w:t>
      </w:r>
      <w:r>
        <w:t>lario “</w:t>
      </w:r>
      <w:smartTag w:uri="urn:schemas-microsoft-com:office:smarttags" w:element="metricconverter">
        <w:smartTagPr>
          <w:attr w:name="ProductID" w:val="08”"/>
        </w:smartTagPr>
        <w:r>
          <w:t>08”</w:t>
        </w:r>
      </w:smartTag>
      <w:r>
        <w:t xml:space="preserve"> certificado en blanco. Aclaró que las compras las efectuaban con factura letra “A”, a fin de que no se les discriminara el porcentaje del I.V.A., toda vez que en caso contrario le entregaban factura letra “B”, debiendo abonar el impuesto como consum</w:t>
      </w:r>
      <w:r>
        <w:t>i</w:t>
      </w:r>
      <w:r>
        <w:t>dor final; de esa manera se generaban créditos fiscales que le permitían recuperar o abonar una suma menor por el impuesto a las ganancias del lavadero, que se hallaba a nombre de Ana María Boragni y Lo Preiato.</w:t>
      </w:r>
    </w:p>
    <w:p w:rsidR="00224567" w:rsidRDefault="00224567">
      <w:pPr>
        <w:widowControl w:val="0"/>
      </w:pPr>
      <w:r>
        <w:tab/>
        <w:t>Dicho negocio, manifestó, que se e</w:t>
      </w:r>
      <w:r>
        <w:t>x</w:t>
      </w:r>
      <w:r>
        <w:t>plotó durante todo el año 1993 y los primeros meses de 1994, consistía en un snack bar, taller de automóviles y playa de lavado. Aclaró que manejaba el comercio a un ci</w:t>
      </w:r>
      <w:r>
        <w:t>n</w:t>
      </w:r>
      <w:r>
        <w:t>cuenta por ciento con Lo Preiato, sin perjuicio de que B</w:t>
      </w:r>
      <w:r>
        <w:t>o</w:t>
      </w:r>
      <w:r>
        <w:t>ragni figurara como dueña, en razón de haber aportado el capital, entregado a su vez por el padre de la no</w:t>
      </w:r>
      <w:r>
        <w:t>m</w:t>
      </w:r>
      <w:r>
        <w:t>brada.</w:t>
      </w:r>
    </w:p>
    <w:p w:rsidR="00224567" w:rsidRDefault="00224567">
      <w:pPr>
        <w:widowControl w:val="0"/>
      </w:pPr>
      <w:r>
        <w:tab/>
        <w:t>El encartado indicó que concurría por momentos, en tanto Lo Preiato dirigía el personal del l</w:t>
      </w:r>
      <w:r>
        <w:t>a</w:t>
      </w:r>
      <w:r>
        <w:t>vadero y la parte del taller se manejaba sola, toda vez que los empleados estaban a sus órdenes y realizaban rep</w:t>
      </w:r>
      <w:r>
        <w:t>a</w:t>
      </w:r>
      <w:r>
        <w:t>raciones, chapa y pintura y mecánica. Señaló que el neg</w:t>
      </w:r>
      <w:r>
        <w:t>o</w:t>
      </w:r>
      <w:r>
        <w:t>cio permaneció clausurado durante varios períodos por pr</w:t>
      </w:r>
      <w:r>
        <w:t>o</w:t>
      </w:r>
      <w:r>
        <w:t>blemas municipales, siendo entonces que lo que realmente funcionó hasta principios de 1994 fue el t</w:t>
      </w:r>
      <w:r>
        <w:t>a</w:t>
      </w:r>
      <w:r>
        <w:t>ller.</w:t>
      </w:r>
    </w:p>
    <w:p w:rsidR="00224567" w:rsidRDefault="00224567">
      <w:pPr>
        <w:widowControl w:val="0"/>
      </w:pPr>
      <w:r>
        <w:tab/>
        <w:t>Asimismo, refirió que, según cr</w:t>
      </w:r>
      <w:r>
        <w:t>e</w:t>
      </w:r>
      <w:r>
        <w:t>ía, en marzo de 1994 Lo Preiato publicó un aviso en el diario “Clarín” ofreciendo en venta todo el fondo de comercio. Recordó que el nombrado lo llamó a Córdoba, c</w:t>
      </w:r>
      <w:r>
        <w:t>o</w:t>
      </w:r>
      <w:r>
        <w:t xml:space="preserve">municándole que había recibido una seña </w:t>
      </w:r>
      <w:r>
        <w:rPr>
          <w:u w:val="single"/>
        </w:rPr>
        <w:t>ad referendum</w:t>
      </w:r>
      <w:r>
        <w:t>; que a su regr</w:t>
      </w:r>
      <w:r>
        <w:t>e</w:t>
      </w:r>
      <w:r>
        <w:t>so conoció a los futuros compradores, quienes entregaron una seña firme y, al poco tiempo, concluyeron la oper</w:t>
      </w:r>
      <w:r>
        <w:t>a</w:t>
      </w:r>
      <w:r>
        <w:t xml:space="preserve">ción. Añadió que efectuó las comunicaciones de cierre de negocio a </w:t>
      </w:r>
      <w:smartTag w:uri="urn:schemas-microsoft-com:office:smarttags" w:element="PersonName">
        <w:smartTagPr>
          <w:attr w:name="ProductID" w:val="la Municipalidad"/>
        </w:smartTagPr>
        <w:r>
          <w:t>la Municipal</w:t>
        </w:r>
        <w:r>
          <w:t>i</w:t>
        </w:r>
        <w:r>
          <w:t>dad</w:t>
        </w:r>
      </w:smartTag>
      <w:r>
        <w:t xml:space="preserve"> y a </w:t>
      </w:r>
      <w:smartTag w:uri="urn:schemas-microsoft-com:office:smarttags" w:element="PersonName">
        <w:smartTagPr>
          <w:attr w:name="ProductID" w:val="la D.G"/>
        </w:smartTagPr>
        <w:r>
          <w:t>la D.G</w:t>
        </w:r>
      </w:smartTag>
      <w:r>
        <w:t>.I..</w:t>
      </w:r>
    </w:p>
    <w:p w:rsidR="00224567" w:rsidRDefault="00224567">
      <w:pPr>
        <w:widowControl w:val="0"/>
      </w:pPr>
      <w:r>
        <w:tab/>
        <w:t>En orden a su vinculación con Monjo, Telleldín manifestó que mantenían una buena relación, c</w:t>
      </w:r>
      <w:r>
        <w:t>o</w:t>
      </w:r>
      <w:r>
        <w:t>nociéndose aproximadamente desde 1983, época en que el nombrado tenía y trabajaba con una grúa. Asimismo, recordó que para ese ento</w:t>
      </w:r>
      <w:r>
        <w:t>n</w:t>
      </w:r>
      <w:r>
        <w:t>ces Monjo también poseía una agencia en la calle Campana y otra en la calle Segurola, vendiendo automóviles siniestrados en la primera y reparados en la segunda.</w:t>
      </w:r>
    </w:p>
    <w:p w:rsidR="00224567" w:rsidRDefault="00224567">
      <w:pPr>
        <w:widowControl w:val="0"/>
      </w:pPr>
      <w:r>
        <w:tab/>
        <w:t>El imputado consideró que Monjo era una persona de gran fortuna, contando en su haber con a</w:t>
      </w:r>
      <w:r>
        <w:t>u</w:t>
      </w:r>
      <w:r>
        <w:t>tomóviles de marca y muchas propiedades. Añadió que ta</w:t>
      </w:r>
      <w:r>
        <w:t>m</w:t>
      </w:r>
      <w:r>
        <w:t>bién tenía vinculaciones con compañías de seguros, tenie</w:t>
      </w:r>
      <w:r>
        <w:t>n</w:t>
      </w:r>
      <w:r>
        <w:t>do depósitos donde esas compañías, como “Juncal”, guard</w:t>
      </w:r>
      <w:r>
        <w:t>a</w:t>
      </w:r>
      <w:r>
        <w:t>ban los vehículos s</w:t>
      </w:r>
      <w:r>
        <w:t>i</w:t>
      </w:r>
      <w:r>
        <w:t>niestrados que iban a remate. Explicó que de esa manera Monjo tenía la posibilidad de adquiri</w:t>
      </w:r>
      <w:r>
        <w:t>r</w:t>
      </w:r>
      <w:r>
        <w:t>los a muy buen precio, siendo “el gran cliente de las co</w:t>
      </w:r>
      <w:r>
        <w:t>m</w:t>
      </w:r>
      <w:r>
        <w:t>pañías de seguros”, ya que les compraba a t</w:t>
      </w:r>
      <w:r>
        <w:t>o</w:t>
      </w:r>
      <w:r>
        <w:t>das.</w:t>
      </w:r>
    </w:p>
    <w:p w:rsidR="00224567" w:rsidRDefault="00224567">
      <w:pPr>
        <w:widowControl w:val="0"/>
      </w:pPr>
      <w:r>
        <w:tab/>
        <w:t xml:space="preserve">En otro orden, el encartado refirió que </w:t>
      </w:r>
      <w:smartTag w:uri="urn:schemas-microsoft-com:office:smarttags" w:element="PersonName">
        <w:smartTagPr>
          <w:attr w:name="ProductID" w:val="la Trafic"/>
        </w:smartTagPr>
        <w:r>
          <w:t>la Trafic</w:t>
        </w:r>
      </w:smartTag>
      <w:r>
        <w:t xml:space="preserve"> vendida a Ramón Martínez le fue abonada en dólares. Aclaró que su casa era grande y la operación se realizó en el living, enco</w:t>
      </w:r>
      <w:r>
        <w:t>n</w:t>
      </w:r>
      <w:r>
        <w:t>trándose presente su mujer Ana Boragni. Añadió que en la cocina y comedor se hallaban H</w:t>
      </w:r>
      <w:r>
        <w:t>u</w:t>
      </w:r>
      <w:r>
        <w:t>go Pérez, Pérez Mejías y sus hijos, quienes no presenci</w:t>
      </w:r>
      <w:r>
        <w:t>a</w:t>
      </w:r>
      <w:r>
        <w:t>ron la transacción.</w:t>
      </w:r>
    </w:p>
    <w:p w:rsidR="00224567" w:rsidRDefault="00224567">
      <w:pPr>
        <w:widowControl w:val="0"/>
      </w:pPr>
      <w:r>
        <w:tab/>
        <w:t>Asimismo, afirmó que conocía a varias personas de apellido Martínez, una llamada Luis y otra J</w:t>
      </w:r>
      <w:r>
        <w:t>o</w:t>
      </w:r>
      <w:r>
        <w:t>sé, no pudiendo precisar si el nombre completo de alguna de ellas era José Ramón Juan Ma</w:t>
      </w:r>
      <w:r>
        <w:t>r</w:t>
      </w:r>
      <w:r>
        <w:t>tínez.</w:t>
      </w:r>
    </w:p>
    <w:p w:rsidR="00224567" w:rsidRDefault="00224567">
      <w:pPr>
        <w:widowControl w:val="0"/>
      </w:pPr>
      <w:r>
        <w:tab/>
        <w:t>Telleldín explicó que si bien la fa</w:t>
      </w:r>
      <w:r>
        <w:t>c</w:t>
      </w:r>
      <w:r>
        <w:t>tura de la empresa “Alejandro Automotores” era del 4 de julio de 1994, quedó debiendo una suma de dinero, que ab</w:t>
      </w:r>
      <w:r>
        <w:t>o</w:t>
      </w:r>
      <w:r>
        <w:t>nó con posterioridad, razón por la cual no le dieron el formulario “</w:t>
      </w:r>
      <w:smartTag w:uri="urn:schemas-microsoft-com:office:smarttags" w:element="metricconverter">
        <w:smartTagPr>
          <w:attr w:name="ProductID" w:val="08”"/>
        </w:smartTagPr>
        <w:r>
          <w:t>08”</w:t>
        </w:r>
      </w:smartTag>
      <w:r>
        <w:t>; que por ese motivo no pudo entregárs</w:t>
      </w:r>
      <w:r>
        <w:t>e</w:t>
      </w:r>
      <w:r>
        <w:t>lo a Ramón Martínez, recibiéndolo el 11 de julio al pagar lo adeudado.</w:t>
      </w:r>
    </w:p>
    <w:p w:rsidR="00224567" w:rsidRDefault="00224567">
      <w:pPr>
        <w:widowControl w:val="0"/>
      </w:pPr>
      <w:r>
        <w:tab/>
        <w:t>Relató que Ramón Martínez quedó en r</w:t>
      </w:r>
      <w:r>
        <w:t>e</w:t>
      </w:r>
      <w:r>
        <w:t>tornar a los quince días, cuando regresara “el Viejo”, e</w:t>
      </w:r>
      <w:r>
        <w:t>n</w:t>
      </w:r>
      <w:r>
        <w:t>tendiendo que por tal se refería al p</w:t>
      </w:r>
      <w:r>
        <w:t>a</w:t>
      </w:r>
      <w:r>
        <w:t>dre. Hizo saber que luego del tran</w:t>
      </w:r>
      <w:r>
        <w:t>s</w:t>
      </w:r>
      <w:r>
        <w:t>curso de un lapso que no pudo precisar, fue hasta el domicilio que aquél le suministrara a fin de e</w:t>
      </w:r>
      <w:r>
        <w:t>n</w:t>
      </w:r>
      <w:r>
        <w:t>tregar el formulario, con el interés de que el comprador hiciera la transferencia y así te</w:t>
      </w:r>
      <w:r>
        <w:t>r</w:t>
      </w:r>
      <w:r>
        <w:t>minar la operación para que no se le pudiera efectuar reclamo alguno y liberarse de toda eventual responsabilidad c</w:t>
      </w:r>
      <w:r>
        <w:t>i</w:t>
      </w:r>
      <w:r>
        <w:t>vil.</w:t>
      </w:r>
    </w:p>
    <w:p w:rsidR="00224567" w:rsidRDefault="00224567">
      <w:pPr>
        <w:widowControl w:val="0"/>
      </w:pPr>
      <w:r>
        <w:tab/>
        <w:t>Aclaró el imputado que no frecuent</w:t>
      </w:r>
      <w:r>
        <w:t>a</w:t>
      </w:r>
      <w:r>
        <w:t>ba, ni tenía amigos en la zona de San José al 800. No obsta</w:t>
      </w:r>
      <w:r>
        <w:t>n</w:t>
      </w:r>
      <w:r>
        <w:t>te, me</w:t>
      </w:r>
      <w:r>
        <w:t>n</w:t>
      </w:r>
      <w:r>
        <w:t>cionó que una persona de nombre Fabio que en el año 1990 le vendía tel</w:t>
      </w:r>
      <w:r>
        <w:t>e</w:t>
      </w:r>
      <w:r>
        <w:t>visores se domiciliaba en la calle San José, no reco</w:t>
      </w:r>
      <w:r>
        <w:t>r</w:t>
      </w:r>
      <w:r>
        <w:t>dando a qué altura.</w:t>
      </w:r>
    </w:p>
    <w:p w:rsidR="00224567" w:rsidRDefault="00224567">
      <w:pPr>
        <w:widowControl w:val="0"/>
      </w:pPr>
      <w:r>
        <w:tab/>
        <w:t>Por otra parte, Telleldín relató que en los años 1986 y 1987 alquiló un inmueble en la calle Pasteur 559, piso 5º, semipiso, donde fu</w:t>
      </w:r>
      <w:r>
        <w:t>n</w:t>
      </w:r>
      <w:r>
        <w:t>cionó una casa de masajes con un enca</w:t>
      </w:r>
      <w:r>
        <w:t>r</w:t>
      </w:r>
      <w:r>
        <w:t>gado y varias chicas. Agregó que en el mismo departamento y para la misma época fu</w:t>
      </w:r>
      <w:r>
        <w:t>n</w:t>
      </w:r>
      <w:r>
        <w:t>cionó también un sauna para homosexuales. Negó conocer a Nasrim Mokht</w:t>
      </w:r>
      <w:r>
        <w:t>a</w:t>
      </w:r>
      <w:r>
        <w:t>ri, a la vez que explicó que las mujeres que trabajaban para él lo hacían con ap</w:t>
      </w:r>
      <w:r>
        <w:t>o</w:t>
      </w:r>
      <w:r>
        <w:t>dos.</w:t>
      </w:r>
    </w:p>
    <w:p w:rsidR="00224567" w:rsidRDefault="00224567">
      <w:pPr>
        <w:widowControl w:val="0"/>
      </w:pPr>
      <w:r>
        <w:tab/>
        <w:t>Asimismo, el imputado indicó que cua</w:t>
      </w:r>
      <w:r>
        <w:t>n</w:t>
      </w:r>
      <w:r>
        <w:t>do vendió el lavadero se fue de vacaciones en enero o f</w:t>
      </w:r>
      <w:r>
        <w:t>e</w:t>
      </w:r>
      <w:r>
        <w:t>brero a Perú y a Chile con Sandra P</w:t>
      </w:r>
      <w:r>
        <w:t>e</w:t>
      </w:r>
      <w:r>
        <w:t>trucci y José Luis Lo Preiato. A su regreso, narró, al e</w:t>
      </w:r>
      <w:r>
        <w:t>n</w:t>
      </w:r>
      <w:r>
        <w:t>terarse Ana Boragni que había viajado con Sandra P</w:t>
      </w:r>
      <w:r>
        <w:t>e</w:t>
      </w:r>
      <w:r>
        <w:t>trucci, lo echó de su domicilio y envió toda su ropa al lavadero; en este lugar vivió un tiempo, luego en un hotel con Sandra Petrucci y, finalme</w:t>
      </w:r>
      <w:r>
        <w:t>n</w:t>
      </w:r>
      <w:r>
        <w:t>te, alquiló una quinta en la localidad de Tortuguitas, donde también residió con la no</w:t>
      </w:r>
      <w:r>
        <w:t>m</w:t>
      </w:r>
      <w:r>
        <w:t>brada.</w:t>
      </w:r>
    </w:p>
    <w:p w:rsidR="00224567" w:rsidRDefault="00224567">
      <w:pPr>
        <w:widowControl w:val="0"/>
      </w:pPr>
      <w:r>
        <w:tab/>
        <w:t xml:space="preserve">Pérez Mejías, según dijo, regresó al país aproximadamente una semana antes de la venta de </w:t>
      </w:r>
      <w:smartTag w:uri="urn:schemas-microsoft-com:office:smarttags" w:element="PersonName">
        <w:smartTagPr>
          <w:attr w:name="ProductID" w:val="la Trafic. Que"/>
        </w:smartTagPr>
        <w:r>
          <w:t>la Trafic. Que</w:t>
        </w:r>
      </w:smartTag>
      <w:r>
        <w:t xml:space="preserve"> tanto el nombrado como Hugo Pérez se aloj</w:t>
      </w:r>
      <w:r>
        <w:t>a</w:t>
      </w:r>
      <w:r>
        <w:t>ron en su domicilio hasta el día 25 de j</w:t>
      </w:r>
      <w:r>
        <w:t>u</w:t>
      </w:r>
      <w:r>
        <w:t>lio.</w:t>
      </w:r>
    </w:p>
    <w:p w:rsidR="00224567" w:rsidRDefault="00224567">
      <w:pPr>
        <w:widowControl w:val="0"/>
      </w:pPr>
      <w:r>
        <w:tab/>
        <w:t>Refirió que dejó un automóvil R</w:t>
      </w:r>
      <w:r>
        <w:t>e</w:t>
      </w:r>
      <w:r>
        <w:t>nault 19 chocado en la provincia de Córdoba, en la quinta de amigos, cuyos nombres se reservó porque se trataba de un funcionario provincial, y que llevó el vehículo a la pr</w:t>
      </w:r>
      <w:r>
        <w:t>o</w:t>
      </w:r>
      <w:r>
        <w:t>vincia de Santa Fe para su venta.</w:t>
      </w:r>
    </w:p>
    <w:p w:rsidR="00224567" w:rsidRDefault="00224567">
      <w:pPr>
        <w:widowControl w:val="0"/>
      </w:pPr>
      <w:r>
        <w:tab/>
        <w:t>En otro tramo de su declaración, T</w:t>
      </w:r>
      <w:r>
        <w:t>e</w:t>
      </w:r>
      <w:r>
        <w:t>lleldín manifestó que la casa de República 107 de Villa Ballester era grande y poseía una habitación en la parte izquierda, después de las cocheras, a la altura del qui</w:t>
      </w:r>
      <w:r>
        <w:t>n</w:t>
      </w:r>
      <w:r>
        <w:t>cho, que fue subalquilada junto con la correspondiente c</w:t>
      </w:r>
      <w:r>
        <w:t>o</w:t>
      </w:r>
      <w:r>
        <w:t>chera a un tal Ma</w:t>
      </w:r>
      <w:r>
        <w:t>r</w:t>
      </w:r>
      <w:r>
        <w:t>celo Barg, quien poseía un taller en la calle Hipólito Yrigoyen de esta ciudad. Describió al no</w:t>
      </w:r>
      <w:r>
        <w:t>m</w:t>
      </w:r>
      <w:r>
        <w:t xml:space="preserve">brado como una persona de </w:t>
      </w:r>
      <w:smartTag w:uri="urn:schemas-microsoft-com:office:smarttags" w:element="metricconverter">
        <w:smartTagPr>
          <w:attr w:name="ProductID" w:val="1,67 m"/>
        </w:smartTagPr>
        <w:r>
          <w:t>1,67 m</w:t>
        </w:r>
      </w:smartTag>
      <w:r>
        <w:t xml:space="preserve"> de altura, gordito, de cutis blanco, cabellos crespos castaño oscuro, de aprox</w:t>
      </w:r>
      <w:r>
        <w:t>i</w:t>
      </w:r>
      <w:r>
        <w:t>madamente 37 ó 38 años de edad, quien usaba ant</w:t>
      </w:r>
      <w:r>
        <w:t>e</w:t>
      </w:r>
      <w:r>
        <w:t>ojos.</w:t>
      </w:r>
    </w:p>
    <w:p w:rsidR="00224567" w:rsidRDefault="00224567">
      <w:pPr>
        <w:widowControl w:val="0"/>
      </w:pPr>
      <w:r>
        <w:tab/>
        <w:t>El imputado explicó que le suba</w:t>
      </w:r>
      <w:r>
        <w:t>l</w:t>
      </w:r>
      <w:r>
        <w:t>quiló la habitación en abril de 1994 aproximadamente, toda vez que Barg se había separado de la mujer, perman</w:t>
      </w:r>
      <w:r>
        <w:t>e</w:t>
      </w:r>
      <w:r>
        <w:t>ciendo allí hasta fines de julio de ese año. Aclaró que lo conoció a través de un gitano de la tribu Papadopulos, cuyo nombre descon</w:t>
      </w:r>
      <w:r>
        <w:t>o</w:t>
      </w:r>
      <w:r>
        <w:t>cía.</w:t>
      </w:r>
    </w:p>
    <w:p w:rsidR="00224567" w:rsidRDefault="00224567">
      <w:pPr>
        <w:widowControl w:val="0"/>
      </w:pPr>
      <w:r>
        <w:tab/>
        <w:t>Asimismo, refirió que tanto el bl</w:t>
      </w:r>
      <w:r>
        <w:t>o</w:t>
      </w:r>
      <w:r>
        <w:t>que de motor de Renault 9, como los diferentes repuestos h</w:t>
      </w:r>
      <w:r>
        <w:t>a</w:t>
      </w:r>
      <w:r>
        <w:t>llados en su domicilio pertenecían a Barg, no pudiendo precisar en qué fecha ll</w:t>
      </w:r>
      <w:r>
        <w:t>e</w:t>
      </w:r>
      <w:r>
        <w:t>vó el bloque.</w:t>
      </w:r>
    </w:p>
    <w:p w:rsidR="00224567" w:rsidRDefault="00224567">
      <w:pPr>
        <w:widowControl w:val="0"/>
      </w:pPr>
      <w:r>
        <w:tab/>
        <w:t>Añadió que el Renault 9 que en su a</w:t>
      </w:r>
      <w:r>
        <w:t>n</w:t>
      </w:r>
      <w:r>
        <w:t xml:space="preserve">terior declaración refirió haber vendido se lo compró a Barg en la época en que le subalquilaba la habitación, vendiendo el rodado el 17 de julio de </w:t>
      </w:r>
      <w:smartTag w:uri="urn:schemas-microsoft-com:office:smarttags" w:element="metricconverter">
        <w:smartTagPr>
          <w:attr w:name="ProductID" w:val="1994 a"/>
        </w:smartTagPr>
        <w:r>
          <w:t>1994 a</w:t>
        </w:r>
      </w:smartTag>
      <w:r>
        <w:t xml:space="preserve"> una joven, a quien entregó toda la documentación del vehículo, inclus</w:t>
      </w:r>
      <w:r>
        <w:t>i</w:t>
      </w:r>
      <w:r>
        <w:t>ve el “</w:t>
      </w:r>
      <w:smartTag w:uri="urn:schemas-microsoft-com:office:smarttags" w:element="metricconverter">
        <w:smartTagPr>
          <w:attr w:name="ProductID" w:val="08”"/>
        </w:smartTagPr>
        <w:r>
          <w:t>08”</w:t>
        </w:r>
      </w:smartTag>
      <w:r>
        <w:t xml:space="preserve"> firmado y certificado en blanco, patentes, t</w:t>
      </w:r>
      <w:r>
        <w:t>í</w:t>
      </w:r>
      <w:r>
        <w:t>tulo y cédula verde, sin recordar quién figuraba como t</w:t>
      </w:r>
      <w:r>
        <w:t>i</w:t>
      </w:r>
      <w:r>
        <w:t>tular.</w:t>
      </w:r>
    </w:p>
    <w:p w:rsidR="00224567" w:rsidRDefault="00224567">
      <w:pPr>
        <w:widowControl w:val="0"/>
      </w:pPr>
      <w:r>
        <w:tab/>
        <w:t xml:space="preserve">Carlos Alberto Telleldín amplió sus dichos el 2 de enero de 1995 (fs. 7213/7219), ocasión en la que manifestó que conoció a Bareiro y Barreda, personal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en 1984 ó 1985, ya que eran clientes de un cabaret ubicado en Amér</w:t>
      </w:r>
      <w:r>
        <w:t>i</w:t>
      </w:r>
      <w:r>
        <w:t>ca y General Paz y de un servicio de acompañantes de la zona, ambos de su propiedad. Mencionó que con ellos lo unía una pequeña amistad, en función de la cual los no</w:t>
      </w:r>
      <w:r>
        <w:t>m</w:t>
      </w:r>
      <w:r>
        <w:t>brados le solucionaban problemas de diversa índole, que no espec</w:t>
      </w:r>
      <w:r>
        <w:t>i</w:t>
      </w:r>
      <w:r>
        <w:t>ficó.</w:t>
      </w:r>
    </w:p>
    <w:p w:rsidR="00224567" w:rsidRDefault="00224567">
      <w:pPr>
        <w:widowControl w:val="0"/>
      </w:pPr>
      <w:r>
        <w:tab/>
        <w:t>Reiteró que el 10 de julio concurrió al domicilio de B</w:t>
      </w:r>
      <w:r>
        <w:t>a</w:t>
      </w:r>
      <w:r>
        <w:t>rreda, destacando que visitó la casa del nombrado en diversas oportunidades y que en una ocasión debió trasladar en su rodado al hijo de su actual coimp</w:t>
      </w:r>
      <w:r>
        <w:t>u</w:t>
      </w:r>
      <w:r>
        <w:t>tado, ya que se había descompuesto; describió la v</w:t>
      </w:r>
      <w:r>
        <w:t>i</w:t>
      </w:r>
      <w:r>
        <w:t>vienda.</w:t>
      </w:r>
    </w:p>
    <w:p w:rsidR="00224567" w:rsidRDefault="00224567">
      <w:pPr>
        <w:widowControl w:val="0"/>
      </w:pPr>
      <w:r>
        <w:tab/>
        <w:t>Desconoció Telleldín el papel con la inscripción “Embajada Islámica de Irán...” que se habría secuestrado en la finca sita en la calle Rep</w:t>
      </w:r>
      <w:r>
        <w:t>ú</w:t>
      </w:r>
      <w:r>
        <w:t>blica 107 de Villa Ballester, aclarando que no corre</w:t>
      </w:r>
      <w:r>
        <w:t>s</w:t>
      </w:r>
      <w:r>
        <w:t>pondía a su puño y letra y, según entendía, ta</w:t>
      </w:r>
      <w:r>
        <w:t>m</w:t>
      </w:r>
      <w:r>
        <w:t>poco al de su mujer; negó que estuviera en su domicilio y aclaró que no poseía motivos para contar con datos relativos a la embajada iraní, ya que nunca realizó trámite alguno ante tal legación dipl</w:t>
      </w:r>
      <w:r>
        <w:t>o</w:t>
      </w:r>
      <w:r>
        <w:t>mática ni conocía gente vinculada a ella.</w:t>
      </w:r>
    </w:p>
    <w:p w:rsidR="00224567" w:rsidRDefault="00224567">
      <w:pPr>
        <w:widowControl w:val="0"/>
      </w:pPr>
      <w:r>
        <w:tab/>
        <w:t>Remarcó que en su domicilio hab</w:t>
      </w:r>
      <w:r>
        <w:t>i</w:t>
      </w:r>
      <w:r>
        <w:t>taban otras personas, pudiendo pertenecer el papel a alguna de ellas; creyó reconocer la letra de Hugo Antonio Pérez, puesto que las grafías le resultaban similares y, ad</w:t>
      </w:r>
      <w:r>
        <w:t>e</w:t>
      </w:r>
      <w:r>
        <w:t>más, era costumbre del nombrado remarcar las palabras al escr</w:t>
      </w:r>
      <w:r>
        <w:t>i</w:t>
      </w:r>
      <w:r>
        <w:t>bi</w:t>
      </w:r>
      <w:r>
        <w:t>r</w:t>
      </w:r>
      <w:r>
        <w:t>las.</w:t>
      </w:r>
    </w:p>
    <w:p w:rsidR="00224567" w:rsidRDefault="00224567">
      <w:pPr>
        <w:widowControl w:val="0"/>
      </w:pPr>
      <w:r>
        <w:tab/>
        <w:t>A fs. 8128/8130 obra el careo ll</w:t>
      </w:r>
      <w:r>
        <w:t>e</w:t>
      </w:r>
      <w:r>
        <w:t>vado a cabo el 23 de enero de 1995 entre los encartados Ca</w:t>
      </w:r>
      <w:r>
        <w:t>r</w:t>
      </w:r>
      <w:r>
        <w:t>los Alberto Telleldín y Ariel Rodolfo Nitzcaner, oportunidad en la que ambos ratificaron sus declaraciones indagatorias y admitieron conoce</w:t>
      </w:r>
      <w:r>
        <w:t>r</w:t>
      </w:r>
      <w:r>
        <w:t>se.</w:t>
      </w:r>
    </w:p>
    <w:p w:rsidR="00224567" w:rsidRDefault="00224567">
      <w:pPr>
        <w:widowControl w:val="0"/>
      </w:pPr>
      <w:r>
        <w:tab/>
        <w:t>Por su parte, Carlos Alberto Telle</w:t>
      </w:r>
      <w:r>
        <w:t>l</w:t>
      </w:r>
      <w:r>
        <w:t>dín manifestó que trasladó al taller de Nitzcaner el motor p</w:t>
      </w:r>
      <w:r>
        <w:t>a</w:t>
      </w:r>
      <w:r>
        <w:t>ra colocar en la camioneta Trafic de “M</w:t>
      </w:r>
      <w:r>
        <w:t>i</w:t>
      </w:r>
      <w:r>
        <w:t>guel”, en compañía de Hugo Antonio Pérez, en el baúl del automóvil Ford E</w:t>
      </w:r>
      <w:r>
        <w:t>s</w:t>
      </w:r>
      <w:r>
        <w:t>cort. Aclaró que lo llevó en el mismo estado en que lo s</w:t>
      </w:r>
      <w:r>
        <w:t>a</w:t>
      </w:r>
      <w:r>
        <w:t>có Cotoras.</w:t>
      </w:r>
    </w:p>
    <w:p w:rsidR="00224567" w:rsidRDefault="00224567">
      <w:pPr>
        <w:widowControl w:val="0"/>
      </w:pPr>
      <w:r>
        <w:tab/>
        <w:t>Con relación a los repuestos, señaló que aportó algunos, en tanto otros fueron sacados del m</w:t>
      </w:r>
      <w:r>
        <w:t>o</w:t>
      </w:r>
      <w:r>
        <w:t>tor de la carrocería entregada por Miguel, a efectos de ser colocados en el otro. Refirió que el motor e</w:t>
      </w:r>
      <w:r>
        <w:t>x</w:t>
      </w:r>
      <w:r>
        <w:t>traído de esta carrocería quedó en el taller de su c</w:t>
      </w:r>
      <w:r>
        <w:t>o</w:t>
      </w:r>
      <w:r>
        <w:t>careado.</w:t>
      </w:r>
    </w:p>
    <w:p w:rsidR="00224567" w:rsidRDefault="00224567">
      <w:pPr>
        <w:widowControl w:val="0"/>
      </w:pPr>
      <w:r>
        <w:tab/>
        <w:t>Agregó que no tenía constancias de que Nitzcaner hubiera colocado en esa carrocería el mismo m</w:t>
      </w:r>
      <w:r>
        <w:t>o</w:t>
      </w:r>
      <w:r>
        <w:t>tor que le llevara junto a Pérez, toda vez que no vio su numeración ni presenció el trabajo. Así, dejó abierta la posibilidad de que su coimputado hubiese emplazado otro motor.</w:t>
      </w:r>
    </w:p>
    <w:p w:rsidR="00224567" w:rsidRDefault="00224567">
      <w:pPr>
        <w:widowControl w:val="0"/>
      </w:pPr>
      <w:r>
        <w:tab/>
        <w:t>A su turno, Ariel Rodolfo Nitzcaner afirmó que el motor para colocar fue llevado por Hugo A</w:t>
      </w:r>
      <w:r>
        <w:t>n</w:t>
      </w:r>
      <w:r>
        <w:t>tonio Pérez, quien fue solo. Indicó que no sacó r</w:t>
      </w:r>
      <w:r>
        <w:t>e</w:t>
      </w:r>
      <w:r>
        <w:t>puestos del motor que extrajo de la carrocería para c</w:t>
      </w:r>
      <w:r>
        <w:t>o</w:t>
      </w:r>
      <w:r>
        <w:t>locar en el que entregara Pérez. Añadió que, con la ayuda de Jouce, depositó el motor retirado de la carr</w:t>
      </w:r>
      <w:r>
        <w:t>o</w:t>
      </w:r>
      <w:r>
        <w:t>cería, en el estado en que se enco</w:t>
      </w:r>
      <w:r>
        <w:t>n</w:t>
      </w:r>
      <w:r>
        <w:t>traba, en el baúl del automóvil Renault 19 de Carlos Telleldín, quien, junto con Boragni, se lo ll</w:t>
      </w:r>
      <w:r>
        <w:t>e</w:t>
      </w:r>
      <w:r>
        <w:t>vó.</w:t>
      </w:r>
    </w:p>
    <w:p w:rsidR="00224567" w:rsidRDefault="00224567">
      <w:pPr>
        <w:widowControl w:val="0"/>
      </w:pPr>
      <w:r>
        <w:tab/>
        <w:t>Con respecto a las fotografías glos</w:t>
      </w:r>
      <w:r>
        <w:t>a</w:t>
      </w:r>
      <w:r>
        <w:t>das a fs. 232/239, Nitzcaner se remitió a lo oportun</w:t>
      </w:r>
      <w:r>
        <w:t>a</w:t>
      </w:r>
      <w:r>
        <w:t>mente declarado. Por su lado, Telleldín reconoció en la fotogr</w:t>
      </w:r>
      <w:r>
        <w:t>a</w:t>
      </w:r>
      <w:r>
        <w:t>fía obrante a fs. 239, parte inferior, el motor extraído por Cotoras y entregado a Nitzcaner. Acl</w:t>
      </w:r>
      <w:r>
        <w:t>a</w:t>
      </w:r>
      <w:r>
        <w:t>ró que se sacó el motor de la carrocería y Cotoras quitó los accesorios qu</w:t>
      </w:r>
      <w:r>
        <w:t>e</w:t>
      </w:r>
      <w:r>
        <w:t>mados.</w:t>
      </w:r>
    </w:p>
    <w:p w:rsidR="00224567" w:rsidRDefault="00224567">
      <w:pPr>
        <w:widowControl w:val="0"/>
      </w:pPr>
      <w:r>
        <w:tab/>
        <w:t>Asimismo, Telleldín señaló que a Nit</w:t>
      </w:r>
      <w:r>
        <w:t>z</w:t>
      </w:r>
      <w:r>
        <w:t>caner se le dio el bloque con la tapa de cilindros y que parte de los accesorios quemados permanecieron en lo de Cotoras, en tanto otros quedaron en lo de Nitzcaner, c</w:t>
      </w:r>
      <w:r>
        <w:t>o</w:t>
      </w:r>
      <w:r>
        <w:t>mo ser el burro de arranque y otro más que no recordó. Añadió que le manifestó a Nitzcaner que el motor “estaba joya”, toda vez que giraba.</w:t>
      </w:r>
    </w:p>
    <w:p w:rsidR="00224567" w:rsidRDefault="00224567">
      <w:pPr>
        <w:widowControl w:val="0"/>
      </w:pPr>
      <w:r>
        <w:tab/>
        <w:t>En otro sentido, Nitzcaner resa</w:t>
      </w:r>
      <w:r>
        <w:t>l</w:t>
      </w:r>
      <w:r>
        <w:t>tó, en ese acto, que T</w:t>
      </w:r>
      <w:r>
        <w:t>e</w:t>
      </w:r>
      <w:r>
        <w:t>lleldín refirió no hallarse seguro acerca de si el motor que extrajo de la carrocería de Miguel qu</w:t>
      </w:r>
      <w:r>
        <w:t>e</w:t>
      </w:r>
      <w:r>
        <w:t>dó en su taller. A su vez, Telleldín confirmó que no tenía esa certeza.</w:t>
      </w:r>
    </w:p>
    <w:p w:rsidR="00224567" w:rsidRDefault="00224567">
      <w:pPr>
        <w:widowControl w:val="0"/>
      </w:pPr>
      <w:r>
        <w:tab/>
        <w:t xml:space="preserve">En cuanto al supuesto ofrecimiento a Nitzcaner de un vehículo Renault </w:t>
      </w:r>
      <w:smartTag w:uri="urn:schemas-microsoft-com:office:smarttags" w:element="metricconverter">
        <w:smartTagPr>
          <w:attr w:name="ProductID" w:val="12, a"/>
        </w:smartTagPr>
        <w:r>
          <w:t>12, a</w:t>
        </w:r>
      </w:smartTag>
      <w:r>
        <w:t xml:space="preserve"> fin de que declar</w:t>
      </w:r>
      <w:r>
        <w:t>a</w:t>
      </w:r>
      <w:r>
        <w:t>ra que la camioneta arreglada era la quemada, Telleldín negó que fuera cierto, agregando que no poseía un rodado de tales características. Por su parte, Nit</w:t>
      </w:r>
      <w:r>
        <w:t>z</w:t>
      </w:r>
      <w:r>
        <w:t>caner ratificó sus dichos anteriores, explicando que mientras ambos se hallaban detenidos en el Departamento Prote</w:t>
      </w:r>
      <w:r>
        <w:t>c</w:t>
      </w:r>
      <w:r>
        <w:t>ción del Orden Constitucional, Telleldín les hizo saber a él y a Jouce que al magistrado instructor no le interesaban los autom</w:t>
      </w:r>
      <w:r>
        <w:t>o</w:t>
      </w:r>
      <w:r>
        <w:t>tores y que cuando salieran los iba a “chupar”.</w:t>
      </w:r>
    </w:p>
    <w:p w:rsidR="00224567" w:rsidRDefault="00224567">
      <w:pPr>
        <w:widowControl w:val="0"/>
      </w:pPr>
      <w:r>
        <w:tab/>
        <w:t>Nitzcaner añadió que su cocareado le indicó que debía declarar que habían arreglado la camion</w:t>
      </w:r>
      <w:r>
        <w:t>e</w:t>
      </w:r>
      <w:r>
        <w:t>ta Trafic quemada y le dio a entender que tenía un autom</w:t>
      </w:r>
      <w:r>
        <w:t>ó</w:t>
      </w:r>
      <w:r>
        <w:t>vil Renault 12 con el motor desarmado y un jeep a medio armar en el taller de Cotoras, que le entregaría si se pronunciaba de la manera requ</w:t>
      </w:r>
      <w:r>
        <w:t>e</w:t>
      </w:r>
      <w:r>
        <w:t>rida. Finalmente, Telleldín apuntó que, conforme los dichos de Nitzc</w:t>
      </w:r>
      <w:r>
        <w:t>a</w:t>
      </w:r>
      <w:r>
        <w:t>ner, el episodio ocurrió luego de levantada la incomunicación, lo que su cocareado r</w:t>
      </w:r>
      <w:r>
        <w:t>a</w:t>
      </w:r>
      <w:r>
        <w:t>tificó.</w:t>
      </w:r>
    </w:p>
    <w:p w:rsidR="00224567" w:rsidRDefault="00224567">
      <w:pPr>
        <w:widowControl w:val="0"/>
      </w:pPr>
      <w:r>
        <w:tab/>
        <w:t>El 30 de enero de 1995 se pract</w:t>
      </w:r>
      <w:r>
        <w:t>i</w:t>
      </w:r>
      <w:r>
        <w:t>có un careo entre los acusados Carlos Alberto Telleldín y M</w:t>
      </w:r>
      <w:r>
        <w:t>i</w:t>
      </w:r>
      <w:r>
        <w:t>guel Gustavo Jaimes (conf. fs. 8603/8605). En la ocasión, el segundo sostuvo que, a modo de favor, remolcó con su aut</w:t>
      </w:r>
      <w:r>
        <w:t>o</w:t>
      </w:r>
      <w:r>
        <w:t>móvil Ford Sierra, color verde, una camioneta Trafic que se hallaba estacionada en el domicilio del primero. Negó saber si ésta fue utilizada a efectos de perpetrar el atent</w:t>
      </w:r>
      <w:r>
        <w:t>a</w:t>
      </w:r>
      <w:r>
        <w:t xml:space="preserve">do a la sede de </w:t>
      </w:r>
      <w:smartTag w:uri="urn:schemas-microsoft-com:office:smarttags" w:element="PersonName">
        <w:smartTagPr>
          <w:attr w:name="ProductID" w:val="la A.M"/>
        </w:smartTagPr>
        <w:r>
          <w:t>la A.M</w:t>
        </w:r>
      </w:smartTag>
      <w:r>
        <w:t>.I.A. o cualquier otro tipo de hecho. Agregó que manejaba su vehículo Ford, en tanto su cocareado iba en la camioneta. No recordó en qué fecha u hora sucedió el episodio r</w:t>
      </w:r>
      <w:r>
        <w:t>e</w:t>
      </w:r>
      <w:r>
        <w:t>latado.</w:t>
      </w:r>
    </w:p>
    <w:p w:rsidR="00224567" w:rsidRDefault="00224567">
      <w:pPr>
        <w:widowControl w:val="0"/>
      </w:pPr>
      <w:r>
        <w:tab/>
        <w:t>A su turno, Telleldín negó que Jaimes hubiera provi</w:t>
      </w:r>
      <w:r>
        <w:t>s</w:t>
      </w:r>
      <w:r>
        <w:t>to la camioneta donde se colocó el motor de la siniestrada. Aclaró que al manifestar que le fue pr</w:t>
      </w:r>
      <w:r>
        <w:t>o</w:t>
      </w:r>
      <w:r>
        <w:t>vista por una persona llamada Miguel, no se refería a su cocareado, remitiéndose a sus anteriores declar</w:t>
      </w:r>
      <w:r>
        <w:t>a</w:t>
      </w:r>
      <w:r>
        <w:t>ciones en cuanto a demás datos de aquella persona. As</w:t>
      </w:r>
      <w:r>
        <w:t>i</w:t>
      </w:r>
      <w:r>
        <w:t>mismo, expresó que ese otro Miguel se domicili</w:t>
      </w:r>
      <w:r>
        <w:t>a</w:t>
      </w:r>
      <w:r>
        <w:t>ba en la misma zona que su cocare</w:t>
      </w:r>
      <w:r>
        <w:t>a</w:t>
      </w:r>
      <w:r>
        <w:t>do. Agregó que con éste nunca mantuvo una relación comercial, no habiéndole vendido, facilitado o entregado en oportunidad alguna vehículos o, en particular, una c</w:t>
      </w:r>
      <w:r>
        <w:t>a</w:t>
      </w:r>
      <w:r>
        <w:t>mioneta Trafic.</w:t>
      </w:r>
    </w:p>
    <w:p w:rsidR="00224567" w:rsidRDefault="00224567">
      <w:pPr>
        <w:widowControl w:val="0"/>
      </w:pPr>
      <w:r>
        <w:tab/>
        <w:t>Con relación a lo expuesto por Ja</w:t>
      </w:r>
      <w:r>
        <w:t>i</w:t>
      </w:r>
      <w:r>
        <w:t>mes, Telleldín indicó que atento al tiempo transcurrido no lo record</w:t>
      </w:r>
      <w:r>
        <w:t>a</w:t>
      </w:r>
      <w:r>
        <w:t>ba ni podía precisar.</w:t>
      </w:r>
    </w:p>
    <w:p w:rsidR="00224567" w:rsidRDefault="00224567">
      <w:pPr>
        <w:widowControl w:val="0"/>
      </w:pPr>
      <w:r>
        <w:tab/>
        <w:t>Por su parte, Jaimes negó haber part</w:t>
      </w:r>
      <w:r>
        <w:t>i</w:t>
      </w:r>
      <w:r>
        <w:t>cipado en algún tipo de organización tendiente a la com</w:t>
      </w:r>
      <w:r>
        <w:t>i</w:t>
      </w:r>
      <w:r>
        <w:t>sión de hechos delictivos. Añadió que jamás se dedicó a regrabar numeraciones de chasis o carr</w:t>
      </w:r>
      <w:r>
        <w:t>o</w:t>
      </w:r>
      <w:r>
        <w:t>cerías de rodados.</w:t>
      </w:r>
    </w:p>
    <w:p w:rsidR="00224567" w:rsidRDefault="00224567">
      <w:pPr>
        <w:widowControl w:val="0"/>
      </w:pPr>
      <w:r>
        <w:tab/>
        <w:t>En el mismo sentido, Telleldín asev</w:t>
      </w:r>
      <w:r>
        <w:t>e</w:t>
      </w:r>
      <w:r>
        <w:t>ró que no formó parte de una organización delictiva, ni r</w:t>
      </w:r>
      <w:r>
        <w:t>e</w:t>
      </w:r>
      <w:r>
        <w:t>quirió los servicios de su cocareado a efectos de r</w:t>
      </w:r>
      <w:r>
        <w:t>e</w:t>
      </w:r>
      <w:r>
        <w:t>grabar la numeración de vehículos. Al respecto, apuntó que trab</w:t>
      </w:r>
      <w:r>
        <w:t>a</w:t>
      </w:r>
      <w:r>
        <w:t>jaba en la venta de automotores, sin la colaboración de terceras personas.</w:t>
      </w:r>
    </w:p>
    <w:p w:rsidR="00224567" w:rsidRDefault="00224567">
      <w:pPr>
        <w:widowControl w:val="0"/>
      </w:pPr>
      <w:r>
        <w:tab/>
        <w:t>Con relación a Jaimes, el imputado s</w:t>
      </w:r>
      <w:r>
        <w:t>e</w:t>
      </w:r>
      <w:r>
        <w:t>ñaló que lo conocía desde hacía algún tiempo que no pudo fijar, a través de un amigo común llam</w:t>
      </w:r>
      <w:r>
        <w:t>a</w:t>
      </w:r>
      <w:r>
        <w:t>do César, a quien a su vez conoció por intermedio de otro. Precisó que M</w:t>
      </w:r>
      <w:r>
        <w:t>i</w:t>
      </w:r>
      <w:r>
        <w:t>guel Jaimes le fue presentado, hecho que pudo haber sucedido en el lavadero que e</w:t>
      </w:r>
      <w:r>
        <w:t>x</w:t>
      </w:r>
      <w:r>
        <w:t>plotaba. Adunó que siempre consideró la amistad de su cocareado como pasajera, como un simple c</w:t>
      </w:r>
      <w:r>
        <w:t>o</w:t>
      </w:r>
      <w:r>
        <w:t>nocido, sin llegar a ser un am</w:t>
      </w:r>
      <w:r>
        <w:t>i</w:t>
      </w:r>
      <w:r>
        <w:t>go íntimo.</w:t>
      </w:r>
    </w:p>
    <w:p w:rsidR="00224567" w:rsidRDefault="00224567">
      <w:pPr>
        <w:widowControl w:val="0"/>
      </w:pPr>
      <w:r>
        <w:tab/>
        <w:t>A su vez, Jaimes aclaró que no era tan amigo de su consorte de causa, sino que tenía mayor afin</w:t>
      </w:r>
      <w:r>
        <w:t>i</w:t>
      </w:r>
      <w:r>
        <w:t>dad y relación con su esposa, Ana B</w:t>
      </w:r>
      <w:r>
        <w:t>o</w:t>
      </w:r>
      <w:r>
        <w:t>ragni.</w:t>
      </w:r>
    </w:p>
    <w:p w:rsidR="00224567" w:rsidRDefault="00224567">
      <w:pPr>
        <w:widowControl w:val="0"/>
      </w:pPr>
      <w:r>
        <w:tab/>
        <w:t>El 30 de enero de 1995 se efectuó un careo entre los imputados Carlos Alberto Telle</w:t>
      </w:r>
      <w:r>
        <w:t>l</w:t>
      </w:r>
      <w:r>
        <w:t>dín y Hugo A</w:t>
      </w:r>
      <w:r>
        <w:t>n</w:t>
      </w:r>
      <w:r>
        <w:t>tonio Pérez (conf. fs. 8606/8610).</w:t>
      </w:r>
    </w:p>
    <w:p w:rsidR="00224567" w:rsidRDefault="00224567">
      <w:pPr>
        <w:widowControl w:val="0"/>
      </w:pPr>
      <w:r>
        <w:tab/>
        <w:t>En la ocasión, se les señaló que P</w:t>
      </w:r>
      <w:r>
        <w:t>é</w:t>
      </w:r>
      <w:r>
        <w:t>rez refirió que el mismo día en que se extrajo el m</w:t>
      </w:r>
      <w:r>
        <w:t>o</w:t>
      </w:r>
      <w:r>
        <w:t xml:space="preserve">tor de </w:t>
      </w:r>
      <w:smartTag w:uri="urn:schemas-microsoft-com:office:smarttags" w:element="PersonName">
        <w:smartTagPr>
          <w:attr w:name="ProductID" w:val="la Trafic"/>
        </w:smartTagPr>
        <w:r>
          <w:t>la Trafic</w:t>
        </w:r>
      </w:smartTag>
      <w:r>
        <w:t xml:space="preserve"> en el taller de Cotoras se lo llevó a Nitzcaner, en tanto Telleldín sostuvo que ello sucedió al día siguiente. Al respecto, el pr</w:t>
      </w:r>
      <w:r>
        <w:t>i</w:t>
      </w:r>
      <w:r>
        <w:t>mero, si bien no recordó con exactitud los hechos, manifestó que arribó en el automóvil Escort de Telleldín, ayudó a cargar el motor en el baúl y lo trasl</w:t>
      </w:r>
      <w:r>
        <w:t>a</w:t>
      </w:r>
      <w:r>
        <w:t>dó a lo de Nitzcaner, no pudiendo precisar las horas de los acontecimientos.</w:t>
      </w:r>
    </w:p>
    <w:p w:rsidR="00224567" w:rsidRDefault="00224567">
      <w:pPr>
        <w:widowControl w:val="0"/>
      </w:pPr>
      <w:r>
        <w:tab/>
        <w:t>A su turno, Telleldín expresó que fue a lo de Cotoras en un vehículo Renault 9 ó 21, en tanto Pérez lo hizo manejando el Ford Escort gris. Añadió que tomaron mate y que Cotoras fue ayudado a sacar el motor. No recordó si Pérez colaboró con la extra</w:t>
      </w:r>
      <w:r>
        <w:t>c</w:t>
      </w:r>
      <w:r>
        <w:t>ción, aunque sí que lo hizo a efectos de cargarlo en el baúl del Escort. Explicó que luego Pérez trasladó el motor hasta su domic</w:t>
      </w:r>
      <w:r>
        <w:t>i</w:t>
      </w:r>
      <w:r>
        <w:t>lio a fin de llevarlo a lo de Nitzcaner, tal como lo de</w:t>
      </w:r>
      <w:r>
        <w:t>s</w:t>
      </w:r>
      <w:r>
        <w:t>cribiera en sus anteriores declaraci</w:t>
      </w:r>
      <w:r>
        <w:t>o</w:t>
      </w:r>
      <w:r>
        <w:t>nes.</w:t>
      </w:r>
    </w:p>
    <w:p w:rsidR="00224567" w:rsidRDefault="00224567">
      <w:pPr>
        <w:widowControl w:val="0"/>
      </w:pPr>
      <w:r>
        <w:tab/>
        <w:t>Por su parte, Pérez admitió que los sucesos pudieron desarrollarse acorde a lo n</w:t>
      </w:r>
      <w:r>
        <w:t>a</w:t>
      </w:r>
      <w:r>
        <w:t>rrado por su cocareado, toda vez que en virtud del tiempo tran</w:t>
      </w:r>
      <w:r>
        <w:t>s</w:t>
      </w:r>
      <w:r>
        <w:t>currido no los recordaba con exactitud. Reconoció que pudo haber ayudado a extraer el motor, toda vez que era muy pesado, como así también que pudo haber pasado con el Escort por el domicilio de Telleldín, para ll</w:t>
      </w:r>
      <w:r>
        <w:t>e</w:t>
      </w:r>
      <w:r>
        <w:t>varlo al día siguiente a lo de Nitzc</w:t>
      </w:r>
      <w:r>
        <w:t>a</w:t>
      </w:r>
      <w:r>
        <w:t>ner.</w:t>
      </w:r>
    </w:p>
    <w:p w:rsidR="00224567" w:rsidRDefault="00224567">
      <w:pPr>
        <w:widowControl w:val="0"/>
      </w:pPr>
      <w:r>
        <w:tab/>
        <w:t>Con relación a los individuos cor</w:t>
      </w:r>
      <w:r>
        <w:t>e</w:t>
      </w:r>
      <w:r>
        <w:t>anos que habrían concurrido al domicilio de T</w:t>
      </w:r>
      <w:r>
        <w:t>e</w:t>
      </w:r>
      <w:r>
        <w:t>lleldín, respecto de los cuales éste refirió que, según dijeron, al día s</w:t>
      </w:r>
      <w:r>
        <w:t>i</w:t>
      </w:r>
      <w:r>
        <w:t>guiente se present</w:t>
      </w:r>
      <w:r>
        <w:t>a</w:t>
      </w:r>
      <w:r>
        <w:t>ría el comprador, en tanto Pérez indicó que su cocareado comentó que no tenían d</w:t>
      </w:r>
      <w:r>
        <w:t>i</w:t>
      </w:r>
      <w:r>
        <w:t>nero ni les había gustado la camioneta, este último sostuvo que no recordaba la circunstancia al</w:t>
      </w:r>
      <w:r>
        <w:t>u</w:t>
      </w:r>
      <w:r>
        <w:t>dida. A su turno, Telleldín negó tener conocimiento de que su coimputado hubiera visto a las pe</w:t>
      </w:r>
      <w:r>
        <w:t>r</w:t>
      </w:r>
      <w:r>
        <w:t>sonas señal</w:t>
      </w:r>
      <w:r>
        <w:t>a</w:t>
      </w:r>
      <w:r>
        <w:t>das. Agregó que era “medio sordo” y escuchaba la mitad de las cosas que se le d</w:t>
      </w:r>
      <w:r>
        <w:t>e</w:t>
      </w:r>
      <w:r>
        <w:t>cían.</w:t>
      </w:r>
    </w:p>
    <w:p w:rsidR="00224567" w:rsidRDefault="00224567">
      <w:pPr>
        <w:widowControl w:val="0"/>
      </w:pPr>
      <w:r>
        <w:tab/>
        <w:t>Por su lado, Pérez respaldó los d</w:t>
      </w:r>
      <w:r>
        <w:t>i</w:t>
      </w:r>
      <w:r>
        <w:t>chos de Telleldín, afirmando que tenía problemas de a</w:t>
      </w:r>
      <w:r>
        <w:t>u</w:t>
      </w:r>
      <w:r>
        <w:t>dición en su oído derecho, por lo que era posible que lo escuchado en su momento no se condijera con lo consignado en sus d</w:t>
      </w:r>
      <w:r>
        <w:t>e</w:t>
      </w:r>
      <w:r>
        <w:t>claraciones. Admitió que pudo haber malinterpretado las expresiones de su cocareado, motivo por el cual no se h</w:t>
      </w:r>
      <w:r>
        <w:t>a</w:t>
      </w:r>
      <w:r>
        <w:t>llaba en condiciones de ratificar lo expuesto con rel</w:t>
      </w:r>
      <w:r>
        <w:t>a</w:t>
      </w:r>
      <w:r>
        <w:t>ción a las personas coreanas.</w:t>
      </w:r>
    </w:p>
    <w:p w:rsidR="00224567" w:rsidRDefault="00224567">
      <w:pPr>
        <w:widowControl w:val="0"/>
      </w:pPr>
      <w:r>
        <w:tab/>
        <w:t>En cuanto a los desarmaderos ubic</w:t>
      </w:r>
      <w:r>
        <w:t>a</w:t>
      </w:r>
      <w:r>
        <w:t>dos en José C. Paz, Telleldín indicó que Pérez únicamente lo acompañó a lo de un sujeto apodado “el Cordobés”, cuyos datos desconocía, quien no tenía un desarmadero, sino un taller mecánico en José C. Paz, ubicado en la ruta 8, p</w:t>
      </w:r>
      <w:r>
        <w:t>a</w:t>
      </w:r>
      <w:r>
        <w:t xml:space="preserve">sando la ruta </w:t>
      </w:r>
      <w:smartTag w:uri="urn:schemas-microsoft-com:office:smarttags" w:element="metricconverter">
        <w:smartTagPr>
          <w:attr w:name="ProductID" w:val="197, a"/>
        </w:smartTagPr>
        <w:r>
          <w:t>197, a</w:t>
        </w:r>
      </w:smartTag>
      <w:r>
        <w:t xml:space="preserve"> la izquierda dos cu</w:t>
      </w:r>
      <w:r>
        <w:t>a</w:t>
      </w:r>
      <w:r>
        <w:t>dras. Refirió que la visita obedeció a la posible co</w:t>
      </w:r>
      <w:r>
        <w:t>m</w:t>
      </w:r>
      <w:r>
        <w:t>pra de un camión marca Fiat, modelo 1974, que finalmente no se concr</w:t>
      </w:r>
      <w:r>
        <w:t>e</w:t>
      </w:r>
      <w:r>
        <w:t>tó.</w:t>
      </w:r>
    </w:p>
    <w:p w:rsidR="00224567" w:rsidRDefault="00224567">
      <w:pPr>
        <w:widowControl w:val="0"/>
      </w:pPr>
      <w:r>
        <w:tab/>
        <w:t>Aclaró que esa fue la única oportun</w:t>
      </w:r>
      <w:r>
        <w:t>i</w:t>
      </w:r>
      <w:r>
        <w:t>dad en que Pérez lo acompañó a lo del “Cordobés” y que nunca fueron juntos a desarmadero alguno, toda vez que su coimputado se dedicaba a la construcción y no tenía vinc</w:t>
      </w:r>
      <w:r>
        <w:t>u</w:t>
      </w:r>
      <w:r>
        <w:t>lación alguna con los automóviles o repuestos. Adunó que Pérez trasladó el motor a lo de Nitzcaner c</w:t>
      </w:r>
      <w:r>
        <w:t>o</w:t>
      </w:r>
      <w:r>
        <w:t>mo una ayuda y que residía en su domicilio debido a que se había s</w:t>
      </w:r>
      <w:r>
        <w:t>e</w:t>
      </w:r>
      <w:r>
        <w:t>parado y a modo de favor le permitió vivir allí durante un tie</w:t>
      </w:r>
      <w:r>
        <w:t>m</w:t>
      </w:r>
      <w:r>
        <w:t>po.</w:t>
      </w:r>
    </w:p>
    <w:p w:rsidR="00224567" w:rsidRDefault="00224567">
      <w:pPr>
        <w:widowControl w:val="0"/>
      </w:pPr>
      <w:r>
        <w:tab/>
        <w:t>A su vez, Pérez manifestó que asistía razón a su cocareado y que la ocasión expuesta por éste fue la única en que lo acompañó a lo del “Cordobés”, no pudiendo precisar otra oportunidad en que hubieran conc</w:t>
      </w:r>
      <w:r>
        <w:t>u</w:t>
      </w:r>
      <w:r>
        <w:t>rrido juntos o solo al lugar. Añadió que era un tr</w:t>
      </w:r>
      <w:r>
        <w:t>a</w:t>
      </w:r>
      <w:r>
        <w:t>bajador independiente de la construcción y que no tenía relación con el negocio de los automot</w:t>
      </w:r>
      <w:r>
        <w:t>o</w:t>
      </w:r>
      <w:r>
        <w:t>res.</w:t>
      </w:r>
    </w:p>
    <w:p w:rsidR="00224567" w:rsidRDefault="00224567">
      <w:pPr>
        <w:widowControl w:val="0"/>
      </w:pPr>
      <w:r>
        <w:tab/>
        <w:t>Con respecto a la camioneta Trafic a</w:t>
      </w:r>
      <w:r>
        <w:t>m</w:t>
      </w:r>
      <w:r>
        <w:t>bulancia secuestrada en José C. Paz, Telleldín ref</w:t>
      </w:r>
      <w:r>
        <w:t>i</w:t>
      </w:r>
      <w:r>
        <w:t>rió que no recordaba aspectos vinculados a ese vehículo. Afirmó que al referirse a las cinco camionetas que vendió, hizo alusión a rodados “terminados”, pudiendo corresponderse aquélla con alguna camioneta siniestrada que comprara, utilizando a tales efectos el C.U.I.T. de Pérez. Añadió que no la recordaba, toda vez que probablemente no había sido reparada, sino pasada en el estado en que se hall</w:t>
      </w:r>
      <w:r>
        <w:t>a</w:t>
      </w:r>
      <w:r>
        <w:t>ba, es decir, que la pudo haber comprado siniestrada y ve</w:t>
      </w:r>
      <w:r>
        <w:t>n</w:t>
      </w:r>
      <w:r>
        <w:t>dido a cualquier desarmadero.</w:t>
      </w:r>
    </w:p>
    <w:p w:rsidR="00224567" w:rsidRDefault="00224567">
      <w:pPr>
        <w:widowControl w:val="0"/>
      </w:pPr>
      <w:r>
        <w:tab/>
        <w:t>Explicó que su negocio en la co</w:t>
      </w:r>
      <w:r>
        <w:t>m</w:t>
      </w:r>
      <w:r>
        <w:t>pra de vehículos sinie</w:t>
      </w:r>
      <w:r>
        <w:t>s</w:t>
      </w:r>
      <w:r>
        <w:t xml:space="preserve">trados radicaba en que ganaba </w:t>
      </w:r>
      <w:r>
        <w:rPr>
          <w:lang w:val="es-MX"/>
        </w:rPr>
        <w:t xml:space="preserve">$ </w:t>
      </w:r>
      <w:r>
        <w:t>500 ó 700 en la reventa a desarmaderos. Al respecto, señaló que en esos casos publicaba avisos en los diarios o los vendía por “contactos” o conocidos, no precisando con quién ll</w:t>
      </w:r>
      <w:r>
        <w:t>e</w:t>
      </w:r>
      <w:r>
        <w:t>vaba a cabo tales operaci</w:t>
      </w:r>
      <w:r>
        <w:t>o</w:t>
      </w:r>
      <w:r>
        <w:t>nes.</w:t>
      </w:r>
    </w:p>
    <w:p w:rsidR="00224567" w:rsidRDefault="00224567">
      <w:pPr>
        <w:widowControl w:val="0"/>
      </w:pPr>
      <w:r>
        <w:tab/>
        <w:t>A su turno, Pérez ratificó lo expres</w:t>
      </w:r>
      <w:r>
        <w:t>a</w:t>
      </w:r>
      <w:r>
        <w:t>do en su declar</w:t>
      </w:r>
      <w:r>
        <w:t>a</w:t>
      </w:r>
      <w:r>
        <w:t>ción indagatoria, afirmando que no fue él, sino Telleldín, quien adquirió la camioneta Trafic en la empresa “Alejandro Automot</w:t>
      </w:r>
      <w:r>
        <w:t>o</w:t>
      </w:r>
      <w:r>
        <w:t>res”.</w:t>
      </w:r>
    </w:p>
    <w:p w:rsidR="00224567" w:rsidRDefault="00224567">
      <w:pPr>
        <w:widowControl w:val="0"/>
      </w:pPr>
      <w:r>
        <w:tab/>
        <w:t>Por su parte, Telleldín no reco</w:t>
      </w:r>
      <w:r>
        <w:t>r</w:t>
      </w:r>
      <w:r>
        <w:t>dó si había comprado el vehículo en cuestión en “Alejandro Aut</w:t>
      </w:r>
      <w:r>
        <w:t>o</w:t>
      </w:r>
      <w:r>
        <w:t>motores”, a la vez que reiteró que al referirse a la venta de cinco Trafic lo hizo respecto de las term</w:t>
      </w:r>
      <w:r>
        <w:t>i</w:t>
      </w:r>
      <w:r>
        <w:t>nadas y no de las siniestradas. Tampoco recordó cuántas Trafic más a</w:t>
      </w:r>
      <w:r>
        <w:t>d</w:t>
      </w:r>
      <w:r>
        <w:t>quirió en esas condiciones.</w:t>
      </w:r>
    </w:p>
    <w:p w:rsidR="00224567" w:rsidRDefault="00224567">
      <w:pPr>
        <w:widowControl w:val="0"/>
      </w:pPr>
      <w:r>
        <w:tab/>
        <w:t>Asimismo, expresó que la camioneta e</w:t>
      </w:r>
      <w:r>
        <w:t>n</w:t>
      </w:r>
      <w:r>
        <w:t>tregada a Hugo Pérez en la comisaría de José C. Paz la compró utilizando el C.U.I.T. del nombrado, de la manera explicada en sus anteriores declaraciones. Manifestó que le encargó ir a la dependencia a firmar el retiro del r</w:t>
      </w:r>
      <w:r>
        <w:t>o</w:t>
      </w:r>
      <w:r>
        <w:t>dado, pero no lo llevó al desarmadero. Aclaró que Pérez concurrió a la seccional policial con su amigo el policía Diego Barreda y que la camioneta fue llevada a lo del “Cordobés” con una grúa que se consiguió en el lugar, no interviniendo su cocareado en este traslado. Agregó que en realidad no fue vendida al “Cordobés”, sino otorgada en forma pr</w:t>
      </w:r>
      <w:r>
        <w:t>o</w:t>
      </w:r>
      <w:r>
        <w:t>visoria.</w:t>
      </w:r>
    </w:p>
    <w:p w:rsidR="00224567" w:rsidRDefault="00224567">
      <w:pPr>
        <w:widowControl w:val="0"/>
      </w:pPr>
      <w:r>
        <w:tab/>
        <w:t>Al respecto, Pérez indicó que la ret</w:t>
      </w:r>
      <w:r>
        <w:t>i</w:t>
      </w:r>
      <w:r>
        <w:t>ró de la comisaría y se utilizó una grúa del lugar para transportarla al t</w:t>
      </w:r>
      <w:r>
        <w:t>a</w:t>
      </w:r>
      <w:r>
        <w:t>ller del “Cordobés”. Mencionó que junto con Barreda esperaron a Telleldín en una estación de se</w:t>
      </w:r>
      <w:r>
        <w:t>r</w:t>
      </w:r>
      <w:r>
        <w:t>vicio “Shell” sita en el cruce de las rutas 197 y 8, no recordando hacia dónde se dirigieron. Finalmente, Telle</w:t>
      </w:r>
      <w:r>
        <w:t>l</w:t>
      </w:r>
      <w:r>
        <w:t>dín confirmó lo expresado por Pérez, señalando que no r</w:t>
      </w:r>
      <w:r>
        <w:t>e</w:t>
      </w:r>
      <w:r>
        <w:t>cordaba adónde fueron luego de buscar a su cocareado y a Barreda en la estación de serv</w:t>
      </w:r>
      <w:r>
        <w:t>i</w:t>
      </w:r>
      <w:r>
        <w:t>cio.</w:t>
      </w:r>
    </w:p>
    <w:p w:rsidR="00224567" w:rsidRDefault="00224567">
      <w:pPr>
        <w:widowControl w:val="0"/>
      </w:pPr>
      <w:r>
        <w:tab/>
        <w:t>Al prestar declaración indagat</w:t>
      </w:r>
      <w:r>
        <w:t>o</w:t>
      </w:r>
      <w:r>
        <w:t>ria el 4 de abril de 1995 (fs. 10.359/10.360), Telleldín ref</w:t>
      </w:r>
      <w:r>
        <w:t>i</w:t>
      </w:r>
      <w:r>
        <w:t xml:space="preserve">rió que en su lugar de detención recibió visitas del capitán Vergéz, quien se presentó como personal de </w:t>
      </w:r>
      <w:smartTag w:uri="urn:schemas-microsoft-com:office:smarttags" w:element="PersonName">
        <w:smartTagPr>
          <w:attr w:name="ProductID" w:val="la Secretar￭a"/>
        </w:smartTagPr>
        <w:r>
          <w:t>la Secretaría</w:t>
        </w:r>
      </w:smartTag>
      <w:r>
        <w:t xml:space="preserve"> de Inteligencia de Estado. Aclaró que lo conocía desde tiempo antes, ya que trabajaba en el Departamento de Int</w:t>
      </w:r>
      <w:r>
        <w:t>e</w:t>
      </w:r>
      <w:r>
        <w:t xml:space="preserve">ligencia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Córdoba, donde su p</w:t>
      </w:r>
      <w:r>
        <w:t>a</w:t>
      </w:r>
      <w:r>
        <w:t>dre era jefe.</w:t>
      </w:r>
    </w:p>
    <w:p w:rsidR="00224567" w:rsidRDefault="00224567">
      <w:pPr>
        <w:widowControl w:val="0"/>
      </w:pPr>
      <w:r>
        <w:tab/>
        <w:t>Manifestó que si bien en un comienzo interpretó que las visitas obedecían al conocimiento que Vergéz tenía de su padre, luego de varias entrevistas aquél puso en su conocimiento que trabajaba para el org</w:t>
      </w:r>
      <w:r>
        <w:t>a</w:t>
      </w:r>
      <w:r>
        <w:t xml:space="preserve">nismo antes mencionado y que deseaba interrogarlo acerca del atentado a la sede de </w:t>
      </w:r>
      <w:smartTag w:uri="urn:schemas-microsoft-com:office:smarttags" w:element="PersonName">
        <w:smartTagPr>
          <w:attr w:name="ProductID" w:val="la A.M"/>
        </w:smartTagPr>
        <w:r>
          <w:t>la A.M</w:t>
        </w:r>
      </w:smartTag>
      <w:r>
        <w:t>.I.A.. R</w:t>
      </w:r>
      <w:r>
        <w:t>e</w:t>
      </w:r>
      <w:r>
        <w:t xml:space="preserve">cordó que Vergéz concurría acompañado por otra persona que también decía trabajar para </w:t>
      </w:r>
      <w:smartTag w:uri="urn:schemas-microsoft-com:office:smarttags" w:element="PersonName">
        <w:smartTagPr>
          <w:attr w:name="ProductID" w:val="la S.I"/>
        </w:smartTagPr>
        <w:r>
          <w:t>la S.I</w:t>
        </w:r>
      </w:smartTag>
      <w:r>
        <w:t>.D.E. y que a efectos de colab</w:t>
      </w:r>
      <w:r>
        <w:t>o</w:t>
      </w:r>
      <w:r>
        <w:t>rar con la investigación mantuvieron varias entrevistas, en las que informó las circunstancias que hiciera saber al juzg</w:t>
      </w:r>
      <w:r>
        <w:t>a</w:t>
      </w:r>
      <w:r>
        <w:t>do.</w:t>
      </w:r>
    </w:p>
    <w:p w:rsidR="00224567" w:rsidRDefault="00224567">
      <w:pPr>
        <w:widowControl w:val="0"/>
      </w:pPr>
      <w:r>
        <w:tab/>
        <w:t>Asimismo, indicó que luego de varios encuentros le solicitó que hablara con un individuo llam</w:t>
      </w:r>
      <w:r>
        <w:t>a</w:t>
      </w:r>
      <w:r>
        <w:t>do Barrientos Antesana, con quien se e</w:t>
      </w:r>
      <w:r>
        <w:t>n</w:t>
      </w:r>
      <w:r>
        <w:t>contraba alojado, a fin de que colaborara con la investig</w:t>
      </w:r>
      <w:r>
        <w:t>a</w:t>
      </w:r>
      <w:r>
        <w:t>ción. Expresó que se comunicaron con su mujer Ana Boragni, informándole que h</w:t>
      </w:r>
      <w:r>
        <w:t>a</w:t>
      </w:r>
      <w:r>
        <w:t>bían averiguado que el patrimonio de Barrientos Antesana ascendía a los USD 250.000.000 y que habían hablado en a</w:t>
      </w:r>
      <w:r>
        <w:t>l</w:t>
      </w:r>
      <w:r>
        <w:t>tas esferas para conseguir su libertad a cambio de aprox</w:t>
      </w:r>
      <w:r>
        <w:t>i</w:t>
      </w:r>
      <w:r>
        <w:t>madamente USD 25.000.000, de los cuales le ofrecían una suma que rondaba los 5.000.000 de esa moneda. Al respecto, mencionó que el 24 de marzo de 1995 su m</w:t>
      </w:r>
      <w:r>
        <w:t>u</w:t>
      </w:r>
      <w:r>
        <w:t>jer le manifestó que no tenía interés en ser parte de la cuestión y que, a partir del día 31 del mismo mes y año, se negó a recibi</w:t>
      </w:r>
      <w:r>
        <w:t>r</w:t>
      </w:r>
      <w:r>
        <w:t>los en las visitas a la unidad de dete</w:t>
      </w:r>
      <w:r>
        <w:t>n</w:t>
      </w:r>
      <w:r>
        <w:t>ción.</w:t>
      </w:r>
    </w:p>
    <w:p w:rsidR="00224567" w:rsidRDefault="00224567">
      <w:pPr>
        <w:widowControl w:val="0"/>
      </w:pPr>
      <w:r>
        <w:tab/>
        <w:t>Añadió que su mujer formuló denuncia por extorsión ante el Juzgado Federal de San Isidro, a cargo del Dr. Bergesio.</w:t>
      </w:r>
    </w:p>
    <w:p w:rsidR="00224567" w:rsidRDefault="00224567">
      <w:pPr>
        <w:widowControl w:val="0"/>
      </w:pPr>
      <w:r>
        <w:tab/>
        <w:t>Al ampliar nuevamente su declaración indagatoria el 5 de julio de 1996 (fs. 24.223/24.245), i</w:t>
      </w:r>
      <w:r>
        <w:t>n</w:t>
      </w:r>
      <w:r>
        <w:t>dicó Telleldín que existían circunstancias que no manife</w:t>
      </w:r>
      <w:r>
        <w:t>s</w:t>
      </w:r>
      <w:r>
        <w:t>tó antes por temor a represalias y porque lo i</w:t>
      </w:r>
      <w:r>
        <w:t>m</w:t>
      </w:r>
      <w:r>
        <w:t>plicaban en hechos ilícitos. Solicitó que sus manifestaciones no fu</w:t>
      </w:r>
      <w:r>
        <w:t>e</w:t>
      </w:r>
      <w:r>
        <w:t>ran utilizadas para incriminarlo en otras causas pen</w:t>
      </w:r>
      <w:r>
        <w:t>a</w:t>
      </w:r>
      <w:r>
        <w:t>les, como así también la eximición de pena en virtud de la f</w:t>
      </w:r>
      <w:r>
        <w:t>i</w:t>
      </w:r>
      <w:r>
        <w:t>gura del arr</w:t>
      </w:r>
      <w:r>
        <w:t>e</w:t>
      </w:r>
      <w:r>
        <w:t>pentido.</w:t>
      </w:r>
    </w:p>
    <w:p w:rsidR="00224567" w:rsidRDefault="00224567">
      <w:pPr>
        <w:widowControl w:val="0"/>
      </w:pPr>
      <w:r>
        <w:tab/>
        <w:t>En esa inteligencia, el imputado ref</w:t>
      </w:r>
      <w:r>
        <w:t>i</w:t>
      </w:r>
      <w:r>
        <w:t xml:space="preserve">rió que fue víctima de extorsiones por parte de personal de </w:t>
      </w:r>
      <w:smartTag w:uri="urn:schemas-microsoft-com:office:smarttags" w:element="PersonName">
        <w:smartTagPr>
          <w:attr w:name="ProductID" w:val="la Polic￭a Bonaerense"/>
        </w:smartTagPr>
        <w:r>
          <w:t>la Policía Bonaerense</w:t>
        </w:r>
      </w:smartTag>
      <w:r>
        <w:t>, que culmin</w:t>
      </w:r>
      <w:r>
        <w:t>a</w:t>
      </w:r>
      <w:r>
        <w:t>ron en la venta de la camioneta Trafic a una persona que los acompañaba.</w:t>
      </w:r>
    </w:p>
    <w:p w:rsidR="00224567" w:rsidRDefault="00224567">
      <w:pPr>
        <w:widowControl w:val="0"/>
      </w:pPr>
      <w:r>
        <w:tab/>
        <w:t>El encartado reconoció que siempre e</w:t>
      </w:r>
      <w:r>
        <w:t>s</w:t>
      </w:r>
      <w:r>
        <w:t>tuvo vinculado a actividades ilícitas; que instaló el l</w:t>
      </w:r>
      <w:r>
        <w:t>a</w:t>
      </w:r>
      <w:r>
        <w:t>vadero en la localidad de Olivos en el año 1993, aprov</w:t>
      </w:r>
      <w:r>
        <w:t>e</w:t>
      </w:r>
      <w:r>
        <w:t>chando que tenía un galpón donde armar automóviles sinie</w:t>
      </w:r>
      <w:r>
        <w:t>s</w:t>
      </w:r>
      <w:r>
        <w:t>trados con piezas de otros robados, para su posterior ve</w:t>
      </w:r>
      <w:r>
        <w:t>n</w:t>
      </w:r>
      <w:r>
        <w:t>ta. Sus contactos, dijo, eran Jaimes, quien “hacía los n</w:t>
      </w:r>
      <w:r>
        <w:t>ú</w:t>
      </w:r>
      <w:r>
        <w:t>meros” y César Fernández, que los “leva</w:t>
      </w:r>
      <w:r>
        <w:t>n</w:t>
      </w:r>
      <w:r>
        <w:t>taba”.</w:t>
      </w:r>
    </w:p>
    <w:p w:rsidR="00224567" w:rsidRDefault="00224567">
      <w:pPr>
        <w:widowControl w:val="0"/>
      </w:pPr>
      <w:r>
        <w:tab/>
        <w:t>A ello agregó que se produjo un all</w:t>
      </w:r>
      <w:r>
        <w:t>a</w:t>
      </w:r>
      <w:r>
        <w:t>namiento ilegal en el lavadero en ocasión de hallarse con Sandra Petrucci en la fiesta de casamiento del he</w:t>
      </w:r>
      <w:r>
        <w:t>r</w:t>
      </w:r>
      <w:r>
        <w:t>mano de Lo Preiato. Mencionó que en el comercio se encontraba P</w:t>
      </w:r>
      <w:r>
        <w:t>é</w:t>
      </w:r>
      <w:r>
        <w:t>rez Mejías, quien sólo pudo decir que se trataba de un uniformado y un c</w:t>
      </w:r>
      <w:r>
        <w:t>i</w:t>
      </w:r>
      <w:r>
        <w:t>vil en un rodado Ford Falcon. Aclaró que toda vez que sacaban los automóv</w:t>
      </w:r>
      <w:r>
        <w:t>i</w:t>
      </w:r>
      <w:r>
        <w:t>les “doblados” en el día, al inspeccionar no encontraron nada raro, sólo vehículos siniestrados pero l</w:t>
      </w:r>
      <w:r>
        <w:t>e</w:t>
      </w:r>
      <w:r>
        <w:t>gales.</w:t>
      </w:r>
    </w:p>
    <w:p w:rsidR="00224567" w:rsidRDefault="00224567">
      <w:pPr>
        <w:widowControl w:val="0"/>
      </w:pPr>
      <w:r>
        <w:tab/>
        <w:t>Manifestó que a raíz de ello habló con el comisario Spina, jefe del Comando Radioeléctrico ubic</w:t>
      </w:r>
      <w:r>
        <w:t>a</w:t>
      </w:r>
      <w:r>
        <w:t>do a la vuelta del lavadero, quien averiguó que los que llevaron a cabo aquel proced</w:t>
      </w:r>
      <w:r>
        <w:t>i</w:t>
      </w:r>
      <w:r>
        <w:t>miento no eran de la zona y, en consecuencia, le dijo que no podía sacarlos; luego de tales sucesos pensaron en desarmar el lavadero. Añ</w:t>
      </w:r>
      <w:r>
        <w:t>a</w:t>
      </w:r>
      <w:r>
        <w:t>dió que una tarde, estando con Sandra y el matrimonio Torrisi, con quienes discutía sobre el armado de un autom</w:t>
      </w:r>
      <w:r>
        <w:t>ó</w:t>
      </w:r>
      <w:r>
        <w:t>vil, observó un individuo ciego frente a su negocio, casi en la puerta del videoclub, vestido como un pordiosero y moviendo la cabeza como si mirara la circulación del tránsito; dedujo que sería de una brigada, por lo que con Sa</w:t>
      </w:r>
      <w:r>
        <w:t>n</w:t>
      </w:r>
      <w:r>
        <w:t>dra dejaron al matrimonio Torrisi en el lugar y se marcharon en el aut</w:t>
      </w:r>
      <w:r>
        <w:t>o</w:t>
      </w:r>
      <w:r>
        <w:t>móvil.</w:t>
      </w:r>
    </w:p>
    <w:p w:rsidR="00224567" w:rsidRDefault="00224567">
      <w:pPr>
        <w:widowControl w:val="0"/>
      </w:pPr>
      <w:r>
        <w:tab/>
        <w:t>Frente a tales acontecimientos, d</w:t>
      </w:r>
      <w:r>
        <w:t>i</w:t>
      </w:r>
      <w:r>
        <w:t>jo, comenzó a tomar precauciones; así, utilizaba su teléfono celular en Pilar y no en Tortuguitas. Que en una oportun</w:t>
      </w:r>
      <w:r>
        <w:t>i</w:t>
      </w:r>
      <w:r>
        <w:t>dad, en una curva cercana a la quinta que alquilaba en Tortuguitas, vio gente de brigada buscándolo y, toda vez que tenía conocimiento de que lo identificaban con un R</w:t>
      </w:r>
      <w:r>
        <w:t>e</w:t>
      </w:r>
      <w:r>
        <w:t>nault 18, se desplazaba en un Renault 11. Aclaró que para ese entonces sabía que lo buscaba la policía provincial, ignorando qué brigada y conjeturando que podría d</w:t>
      </w:r>
      <w:r>
        <w:t>e</w:t>
      </w:r>
      <w:r>
        <w:t>berse a pedidos de captura que tenía pendie</w:t>
      </w:r>
      <w:r>
        <w:t>n</w:t>
      </w:r>
      <w:r>
        <w:t>tes.</w:t>
      </w:r>
    </w:p>
    <w:p w:rsidR="00224567" w:rsidRDefault="00224567">
      <w:pPr>
        <w:widowControl w:val="0"/>
      </w:pPr>
      <w:r>
        <w:tab/>
        <w:t>Relató que estaba con Sandra cuando recibió un llamado de Ana Boragni, solicitándole dinero para los chicos, acordando encontrarse en Ugarte y Ma</w:t>
      </w:r>
      <w:r>
        <w:t>i</w:t>
      </w:r>
      <w:r>
        <w:t>pú a las 21.00, adonde esta última concurrió en su Ford E</w:t>
      </w:r>
      <w:r>
        <w:t>s</w:t>
      </w:r>
      <w:r>
        <w:t>cort; al llegar estacionó el auto que conducía -Renault 18- ju</w:t>
      </w:r>
      <w:r>
        <w:t>n</w:t>
      </w:r>
      <w:r>
        <w:t>to al de Boragni y trabó las puertas, cuando se le acerc</w:t>
      </w:r>
      <w:r>
        <w:t>a</w:t>
      </w:r>
      <w:r>
        <w:t>ron dos personas que dijeron ser policías, quienes le i</w:t>
      </w:r>
      <w:r>
        <w:t>n</w:t>
      </w:r>
      <w:r>
        <w:t>dicaron que debía bajar del rod</w:t>
      </w:r>
      <w:r>
        <w:t>a</w:t>
      </w:r>
      <w:r>
        <w:t>do. Comentó que pensó que si los atropellaba iría preso, por lo que retrocedió, ch</w:t>
      </w:r>
      <w:r>
        <w:t>o</w:t>
      </w:r>
      <w:r>
        <w:t>có un automóvil nuevo y se rompió el baúl del s</w:t>
      </w:r>
      <w:r>
        <w:t>u</w:t>
      </w:r>
      <w:r>
        <w:t>yo. Una de estas personas, narró, se colgó de la ventanilla de su l</w:t>
      </w:r>
      <w:r>
        <w:t>a</w:t>
      </w:r>
      <w:r>
        <w:t>do y lo apuntó, ante lo cual le indicó que se fuera po</w:t>
      </w:r>
      <w:r>
        <w:t>r</w:t>
      </w:r>
      <w:r>
        <w:t>que pondría el vehículo “al mango”. Indicó que al no cesar el individuo, dado que continuaba apuntánd</w:t>
      </w:r>
      <w:r>
        <w:t>o</w:t>
      </w:r>
      <w:r>
        <w:t>lo y gritando, lo arrastró en su marcha. A la altura de la quinta preside</w:t>
      </w:r>
      <w:r>
        <w:t>n</w:t>
      </w:r>
      <w:r>
        <w:t>cial, relató, el sujeto cayó y lo pisó; que Boragni llor</w:t>
      </w:r>
      <w:r>
        <w:t>a</w:t>
      </w:r>
      <w:r>
        <w:t>ba en la creencia de que lo había matado. Aclaró que de</w:t>
      </w:r>
      <w:r>
        <w:t>s</w:t>
      </w:r>
      <w:r>
        <w:t>conocía si realmente eran policías, ya que no exhibieron cr</w:t>
      </w:r>
      <w:r>
        <w:t>e</w:t>
      </w:r>
      <w:r>
        <w:t>dencial alguna.</w:t>
      </w:r>
    </w:p>
    <w:p w:rsidR="00224567" w:rsidRDefault="00224567">
      <w:pPr>
        <w:widowControl w:val="0"/>
      </w:pPr>
      <w:r>
        <w:tab/>
        <w:t>Manifestó que Boragni llamó por el t</w:t>
      </w:r>
      <w:r>
        <w:t>e</w:t>
      </w:r>
      <w:r>
        <w:t>léfono celular a Semorile, quien después le i</w:t>
      </w:r>
      <w:r>
        <w:t>n</w:t>
      </w:r>
      <w:r>
        <w:t xml:space="preserve">formó que no había denuncia por el choque en </w:t>
      </w:r>
      <w:smartTag w:uri="urn:schemas-microsoft-com:office:smarttags" w:element="PersonName">
        <w:smartTagPr>
          <w:attr w:name="ProductID" w:val="la Comisar￭a"/>
        </w:smartTagPr>
        <w:r>
          <w:t>la Comisaría</w:t>
        </w:r>
      </w:smartTag>
      <w:r>
        <w:t xml:space="preserve"> 1ª de Ol</w:t>
      </w:r>
      <w:r>
        <w:t>i</w:t>
      </w:r>
      <w:r>
        <w:t xml:space="preserve">vos. Añadió que fueron a una confitería del centro e hicieron varios llamados para averiguar qué pasaba y luego fue a Tortuguitas, dejando a Boragni en una empresa de remises frente a una carnicería en </w:t>
      </w:r>
      <w:smartTag w:uri="urn:schemas-microsoft-com:office:smarttags" w:element="PersonName">
        <w:smartTagPr>
          <w:attr w:name="ProductID" w:val="la Ruta"/>
        </w:smartTagPr>
        <w:r>
          <w:t>la Ruta</w:t>
        </w:r>
      </w:smartTag>
      <w:r>
        <w:t xml:space="preserve"> 8 vieja y el camino A</w:t>
      </w:r>
      <w:r>
        <w:t>r</w:t>
      </w:r>
      <w:r>
        <w:t>cos de Alvear; que tras explicarle a Sandra que había t</w:t>
      </w:r>
      <w:r>
        <w:t>e</w:t>
      </w:r>
      <w:r>
        <w:t>nido problemas, recogió a Boragni y pasó la noche con ésta en un albergue de la panamer</w:t>
      </w:r>
      <w:r>
        <w:t>i</w:t>
      </w:r>
      <w:r>
        <w:t>cana.</w:t>
      </w:r>
    </w:p>
    <w:p w:rsidR="00224567" w:rsidRDefault="00224567">
      <w:pPr>
        <w:widowControl w:val="0"/>
      </w:pPr>
      <w:r>
        <w:tab/>
        <w:t>Agregó que entregó el automóvil a su hermano Eduardo para que lo arreglara, manejánd</w:t>
      </w:r>
      <w:r>
        <w:t>o</w:t>
      </w:r>
      <w:r>
        <w:t>se, en el ínterin, con un Renault 11 -tenía dos-; que el otro era usado por Hugo P</w:t>
      </w:r>
      <w:r>
        <w:t>é</w:t>
      </w:r>
      <w:r>
        <w:t>rez.</w:t>
      </w:r>
    </w:p>
    <w:p w:rsidR="00224567" w:rsidRDefault="00224567">
      <w:pPr>
        <w:widowControl w:val="0"/>
      </w:pPr>
      <w:r>
        <w:tab/>
        <w:t>Aclaró que por la rapidez con que s</w:t>
      </w:r>
      <w:r>
        <w:t>u</w:t>
      </w:r>
      <w:r>
        <w:t>cedieron los acontecimientos, no podía precisar si c</w:t>
      </w:r>
      <w:r>
        <w:t>o</w:t>
      </w:r>
      <w:r>
        <w:t>nocía a alguno de los policías que intentaron detenerlo; que testigos del hecho fueron Ana Boragni y la persona del vehículo que chocó. Asimismo, indicó que el incidente s</w:t>
      </w:r>
      <w:r>
        <w:t>u</w:t>
      </w:r>
      <w:r>
        <w:t>cedió en la parada de taxis de Olivos, desconociendo si había gente en el lugar. Con posterioridad, dijo, se ent</w:t>
      </w:r>
      <w:r>
        <w:t>e</w:t>
      </w:r>
      <w:r>
        <w:t xml:space="preserve">ró que Ibarra estuvo a cargo del procedimiento, dado que cuando permaneció detenido en </w:t>
      </w:r>
      <w:smartTag w:uri="urn:schemas-microsoft-com:office:smarttags" w:element="PersonName">
        <w:smartTagPr>
          <w:attr w:name="ProductID" w:val="la Brigada"/>
        </w:smartTagPr>
        <w:r>
          <w:t>la Brigada</w:t>
        </w:r>
      </w:smartTag>
      <w:r>
        <w:t xml:space="preserve"> de Lanús le c</w:t>
      </w:r>
      <w:r>
        <w:t>o</w:t>
      </w:r>
      <w:r>
        <w:t>mentó que había ordenado no disparar, puesto que, en ese caso, deberían blanquear el proced</w:t>
      </w:r>
      <w:r>
        <w:t>i</w:t>
      </w:r>
      <w:r>
        <w:t>miento.</w:t>
      </w:r>
    </w:p>
    <w:p w:rsidR="00224567" w:rsidRDefault="00224567">
      <w:pPr>
        <w:widowControl w:val="0"/>
      </w:pPr>
      <w:r>
        <w:tab/>
        <w:t xml:space="preserve">Manifestó que su hermano Eduardo fue detenido por una brigada en Munro junto con su mujer y trasladados a </w:t>
      </w:r>
      <w:smartTag w:uri="urn:schemas-microsoft-com:office:smarttags" w:element="PersonName">
        <w:smartTagPr>
          <w:attr w:name="ProductID" w:val="la Comisar￭a"/>
        </w:smartTagPr>
        <w:r>
          <w:t>la Comisaría</w:t>
        </w:r>
      </w:smartTag>
      <w:r>
        <w:t xml:space="preserve"> de Martelli. Explicó que e</w:t>
      </w:r>
      <w:r>
        <w:t>n</w:t>
      </w:r>
      <w:r>
        <w:t xml:space="preserve">tre su hermano Héctor Banga, Ana Boragni y otra persona más, juntaron </w:t>
      </w:r>
      <w:r>
        <w:rPr>
          <w:lang w:val="es-MX"/>
        </w:rPr>
        <w:t xml:space="preserve">$ </w:t>
      </w:r>
      <w:r>
        <w:t>10.000 que entregaron y que enseguida “larg</w:t>
      </w:r>
      <w:r>
        <w:t>a</w:t>
      </w:r>
      <w:r>
        <w:t>ron” (sic) a Liliana Fernández, la mujer de Eduardo, en tanto que éste se fue después de unas horas, luego de e</w:t>
      </w:r>
      <w:r>
        <w:t>n</w:t>
      </w:r>
      <w:r>
        <w:t xml:space="preserve">tregar el dinero y una pistola </w:t>
      </w:r>
      <w:smartTag w:uri="urn:schemas-microsoft-com:office:smarttags" w:element="metricconverter">
        <w:smartTagPr>
          <w:attr w:name="ProductID" w:val="9 mm"/>
        </w:smartTagPr>
        <w:r>
          <w:t>9 mm</w:t>
        </w:r>
      </w:smartTag>
      <w:r>
        <w:t xml:space="preserve"> legal. Destacó que, según coment</w:t>
      </w:r>
      <w:r>
        <w:t>a</w:t>
      </w:r>
      <w:r>
        <w:t>rios efectuados a Eduardo en la comisaría, se había producido un error, ya que era a él a quien busc</w:t>
      </w:r>
      <w:r>
        <w:t>a</w:t>
      </w:r>
      <w:r>
        <w:t>ban. Añadió que en dicha transacción “estuvo Semorile reunido con todos, mientras que por el ‘Movicom’ le avis</w:t>
      </w:r>
      <w:r>
        <w:t>a</w:t>
      </w:r>
      <w:r>
        <w:t>ban” (sic) al deponente qué sucedía. Fina</w:t>
      </w:r>
      <w:r>
        <w:t>l</w:t>
      </w:r>
      <w:r>
        <w:t>mente, mencionó que luego del incidente Eduardo viajó a Córdoba con Bora</w:t>
      </w:r>
      <w:r>
        <w:t>g</w:t>
      </w:r>
      <w:r>
        <w:t>ni.</w:t>
      </w:r>
    </w:p>
    <w:p w:rsidR="00224567" w:rsidRDefault="00224567">
      <w:pPr>
        <w:widowControl w:val="0"/>
      </w:pPr>
      <w:r>
        <w:tab/>
        <w:t>Prosiguió su relato expresando que una noche fue con Sandra a lo de Cotoras y luego se d</w:t>
      </w:r>
      <w:r>
        <w:t>i</w:t>
      </w:r>
      <w:r>
        <w:t>rigieron a Tortuguitas, pasando por el videoclub después de las 21.00; al salir, subieron al automóvil y, antes de llegar a la esquina, les cruzaron un vehículo Renault 12 viejo, color blanco, con un burbuja color celeste. Le dijo a Sa</w:t>
      </w:r>
      <w:r>
        <w:t>n</w:t>
      </w:r>
      <w:r>
        <w:t>dra que se quedara tranquila, porque debían ser de la z</w:t>
      </w:r>
      <w:r>
        <w:t>o</w:t>
      </w:r>
      <w:r>
        <w:t>na, pero al mirar por el espejo retrovisor observó tres automóviles con ametralladoras formando “ca</w:t>
      </w:r>
      <w:r>
        <w:t>n</w:t>
      </w:r>
      <w:r>
        <w:t>dado”.</w:t>
      </w:r>
    </w:p>
    <w:p w:rsidR="00224567" w:rsidRDefault="00224567">
      <w:pPr>
        <w:widowControl w:val="0"/>
      </w:pPr>
      <w:r>
        <w:tab/>
        <w:t>Lo hicieron descender y le pregunt</w:t>
      </w:r>
      <w:r>
        <w:t>a</w:t>
      </w:r>
      <w:r>
        <w:t>ron si tenía armas, respondiendo en forma negativa, indicánd</w:t>
      </w:r>
      <w:r>
        <w:t>o</w:t>
      </w:r>
      <w:r>
        <w:t>le que lo llevarían para hablar con una gente; fue trasl</w:t>
      </w:r>
      <w:r>
        <w:t>a</w:t>
      </w:r>
      <w:r>
        <w:t>dado en un rod</w:t>
      </w:r>
      <w:r>
        <w:t>a</w:t>
      </w:r>
      <w:r>
        <w:t xml:space="preserve">do Senda color gris, en tanto Sandra viajó en su Renault 18 junto con uno de los subcomisarios, que luego supo se llamaba Ibarra. Comentó que le llamó la atención que lo llevaran en el piso trasero del vehículo, tapado con una frazada y que al transitar por </w:t>
      </w:r>
      <w:smartTag w:uri="urn:schemas-microsoft-com:office:smarttags" w:element="PersonName">
        <w:smartTagPr>
          <w:attr w:name="ProductID" w:val="la Autopista"/>
        </w:smartTagPr>
        <w:r>
          <w:t>la Aut</w:t>
        </w:r>
        <w:r>
          <w:t>o</w:t>
        </w:r>
        <w:r>
          <w:t>pista</w:t>
        </w:r>
      </w:smartTag>
      <w:r>
        <w:t xml:space="preserve"> 1 le indicaran que si los paraba </w:t>
      </w:r>
      <w:smartTag w:uri="urn:schemas-microsoft-com:office:smarttags" w:element="PersonName">
        <w:smartTagPr>
          <w:attr w:name="ProductID" w:val="la Polic￭a Federal"/>
        </w:smartTagPr>
        <w:r>
          <w:t>la Policía Federal</w:t>
        </w:r>
      </w:smartTag>
      <w:r>
        <w:t xml:space="preserve"> debía guardar silencio y queda</w:t>
      </w:r>
      <w:r>
        <w:t>r</w:t>
      </w:r>
      <w:r>
        <w:t>se donde estaba.</w:t>
      </w:r>
    </w:p>
    <w:p w:rsidR="00224567" w:rsidRDefault="00224567">
      <w:pPr>
        <w:widowControl w:val="0"/>
      </w:pPr>
      <w:r>
        <w:tab/>
        <w:t xml:space="preserve">Expresó Telleldín que a las 23.00 aproximadamente llegaron a </w:t>
      </w:r>
      <w:smartTag w:uri="urn:schemas-microsoft-com:office:smarttags" w:element="PersonName">
        <w:smartTagPr>
          <w:attr w:name="ProductID" w:val="la Brigada"/>
        </w:smartTagPr>
        <w:r>
          <w:t>la Brigada</w:t>
        </w:r>
      </w:smartTag>
      <w:r>
        <w:t xml:space="preserve"> de Lanús -con asie</w:t>
      </w:r>
      <w:r>
        <w:t>n</w:t>
      </w:r>
      <w:r>
        <w:t>to en Avellaneda-, donde fue llevado al despacho del com</w:t>
      </w:r>
      <w:r>
        <w:t>i</w:t>
      </w:r>
      <w:r>
        <w:t>sario Ribelli, quien le manifestó que “pusiera lo que t</w:t>
      </w:r>
      <w:r>
        <w:t>e</w:t>
      </w:r>
      <w:r>
        <w:t>nía que poner y se iba”.</w:t>
      </w:r>
    </w:p>
    <w:p w:rsidR="00224567" w:rsidRDefault="00224567">
      <w:pPr>
        <w:widowControl w:val="0"/>
      </w:pPr>
      <w:r>
        <w:tab/>
        <w:t>Precisó que en un primer momento lo ubicaron en una especie de “pajarera”, en la entrada de los calabozos, donde estaban unos indiv</w:t>
      </w:r>
      <w:r>
        <w:t>i</w:t>
      </w:r>
      <w:r>
        <w:t>duos detenidos por estafa, conocidos de un amigo suyo, llamado Valdez, qui</w:t>
      </w:r>
      <w:r>
        <w:t>e</w:t>
      </w:r>
      <w:r>
        <w:t>nes le indicaron que en la brigada eran flexibles para “arreglar”, que unos piratas del asfalto habían puesto p</w:t>
      </w:r>
      <w:r>
        <w:t>o</w:t>
      </w:r>
      <w:r>
        <w:t>ca plata y se fueron, pero que a ellos les p</w:t>
      </w:r>
      <w:r>
        <w:t>e</w:t>
      </w:r>
      <w:r>
        <w:t>dían el diez por ciento de la estafa y pref</w:t>
      </w:r>
      <w:r>
        <w:t>e</w:t>
      </w:r>
      <w:r>
        <w:t>rían no hacerlo.</w:t>
      </w:r>
    </w:p>
    <w:p w:rsidR="00224567" w:rsidRDefault="00224567">
      <w:pPr>
        <w:widowControl w:val="0"/>
      </w:pPr>
      <w:r>
        <w:tab/>
        <w:t>Sostuvo que Sandra permaneció espos</w:t>
      </w:r>
      <w:r>
        <w:t>a</w:t>
      </w:r>
      <w:r>
        <w:t>da en un hall donde había varias oficinas, incluida la de R</w:t>
      </w:r>
      <w:r>
        <w:t>i</w:t>
      </w:r>
      <w:r>
        <w:t>belli; que le permitían verla debido a que llor</w:t>
      </w:r>
      <w:r>
        <w:t>a</w:t>
      </w:r>
      <w:r>
        <w:t>ba.</w:t>
      </w:r>
    </w:p>
    <w:p w:rsidR="00224567" w:rsidRDefault="00224567">
      <w:pPr>
        <w:widowControl w:val="0"/>
      </w:pPr>
      <w:r>
        <w:tab/>
        <w:t>El encartado explicó que una hora más tarde lo condujeron a operaciones, en la planta alta, do</w:t>
      </w:r>
      <w:r>
        <w:t>n</w:t>
      </w:r>
      <w:r>
        <w:t>de los dos subcomisarios que participaron en su d</w:t>
      </w:r>
      <w:r>
        <w:t>e</w:t>
      </w:r>
      <w:r>
        <w:t>tención, le facilitaron un teléfono celular, de los viejos. Descr</w:t>
      </w:r>
      <w:r>
        <w:t>i</w:t>
      </w:r>
      <w:r>
        <w:t>bió a uno de ellos como de bigotes, de</w:t>
      </w:r>
      <w:r>
        <w:t>l</w:t>
      </w:r>
      <w:r>
        <w:t xml:space="preserve">gado y de </w:t>
      </w:r>
      <w:smartTag w:uri="urn:schemas-microsoft-com:office:smarttags" w:element="metricconverter">
        <w:smartTagPr>
          <w:attr w:name="ProductID" w:val="1,70 m"/>
        </w:smartTagPr>
        <w:r>
          <w:t>1,70 m</w:t>
        </w:r>
      </w:smartTag>
      <w:r>
        <w:t xml:space="preserve"> de altura y al otro como de pelo bla</w:t>
      </w:r>
      <w:r>
        <w:t>n</w:t>
      </w:r>
      <w:r>
        <w:t>co, ojos claros y “medio petiso” –menos de 1,70 m-, aunque un poco más alto que él; le indicaron que si deseaba retirarse debía llamar y co</w:t>
      </w:r>
      <w:r>
        <w:t>n</w:t>
      </w:r>
      <w:r>
        <w:t xml:space="preserve">seguir </w:t>
      </w:r>
      <w:r>
        <w:rPr>
          <w:lang w:val="es-MX"/>
        </w:rPr>
        <w:t xml:space="preserve">$ </w:t>
      </w:r>
      <w:r>
        <w:t xml:space="preserve">50.000; que ello sucedió entre las 24.00 y la 01.00. Aclaró que habló con Jesica, a quien le informó que se hallaba detenido en </w:t>
      </w:r>
      <w:smartTag w:uri="urn:schemas-microsoft-com:office:smarttags" w:element="PersonName">
        <w:smartTagPr>
          <w:attr w:name="ProductID" w:val="la Brigada"/>
        </w:smartTagPr>
        <w:r>
          <w:t>la Brigada</w:t>
        </w:r>
      </w:smartTag>
      <w:r>
        <w:t xml:space="preserve"> de Lanús y le solicitó que llamara a su madre -Ana Boragni-, que se encontraba en Córdoba, para que se encargara de “mandar” un abog</w:t>
      </w:r>
      <w:r>
        <w:t>a</w:t>
      </w:r>
      <w:r>
        <w:t>do.</w:t>
      </w:r>
    </w:p>
    <w:p w:rsidR="00224567" w:rsidRDefault="00224567">
      <w:pPr>
        <w:widowControl w:val="0"/>
      </w:pPr>
      <w:r>
        <w:tab/>
        <w:t>A la mañana, manifestó, se presentó Spagnu</w:t>
      </w:r>
      <w:r>
        <w:t>o</w:t>
      </w:r>
      <w:r>
        <w:t xml:space="preserve">lo, quien le informó que solicitaban </w:t>
      </w:r>
      <w:r>
        <w:rPr>
          <w:lang w:val="es-MX"/>
        </w:rPr>
        <w:t xml:space="preserve">$ </w:t>
      </w:r>
      <w:smartTag w:uri="urn:schemas-microsoft-com:office:smarttags" w:element="metricconverter">
        <w:smartTagPr>
          <w:attr w:name="ProductID" w:val="50.000, a"/>
        </w:smartTagPr>
        <w:r>
          <w:t>50.000, a</w:t>
        </w:r>
      </w:smartTag>
      <w:r>
        <w:t xml:space="preserve"> la vez que le aconsejó no entregar el dinero y salir en l</w:t>
      </w:r>
      <w:r>
        <w:t>i</w:t>
      </w:r>
      <w:r>
        <w:t>bertad desde tribunales; le dijo que le habían mostrado fotografías que supuestamente le pertenecían, p</w:t>
      </w:r>
      <w:r>
        <w:t>e</w:t>
      </w:r>
      <w:r>
        <w:t>ro que en realidad eran de un taller frente a la casa del he</w:t>
      </w:r>
      <w:r>
        <w:t>r</w:t>
      </w:r>
      <w:r>
        <w:t>mano de Lo Preiato en Lomas del Mirador y que habían supuesto que el taller le perten</w:t>
      </w:r>
      <w:r>
        <w:t>e</w:t>
      </w:r>
      <w:r>
        <w:t>cía.</w:t>
      </w:r>
    </w:p>
    <w:p w:rsidR="00224567" w:rsidRDefault="00224567">
      <w:pPr>
        <w:widowControl w:val="0"/>
      </w:pPr>
      <w:r>
        <w:tab/>
        <w:t>Indicó que a las 20.00 habló nuevame</w:t>
      </w:r>
      <w:r>
        <w:t>n</w:t>
      </w:r>
      <w:r>
        <w:t>te con Spagnuolo, quien le informó que sabían que el Doc</w:t>
      </w:r>
      <w:r>
        <w:t>u</w:t>
      </w:r>
      <w:r>
        <w:t>mento Nacional de Identidad era bueno, por lo que no p</w:t>
      </w:r>
      <w:r>
        <w:t>o</w:t>
      </w:r>
      <w:r>
        <w:t xml:space="preserve">dían hacerle causa por eso. Refirió que el abogado le hizo saber que habían revisado los automóviles que se hallaban en la quinta de Tortuguitas –el Renault 11 y </w:t>
      </w:r>
      <w:smartTag w:uri="urn:schemas-microsoft-com:office:smarttags" w:element="PersonName">
        <w:smartTagPr>
          <w:attr w:name="ProductID" w:val="la Trafic-,"/>
        </w:smartTagPr>
        <w:r>
          <w:t>la Trafic-,</w:t>
        </w:r>
      </w:smartTag>
      <w:r>
        <w:t xml:space="preserve"> los que no tenían motor y con la numeración de los sinie</w:t>
      </w:r>
      <w:r>
        <w:t>s</w:t>
      </w:r>
      <w:r>
        <w:t>trados, advirtiendo que no tenían pedidos de secuestro. Según el letrado, la policía sólo podía ponerlo a dispos</w:t>
      </w:r>
      <w:r>
        <w:t>i</w:t>
      </w:r>
      <w:r>
        <w:t>ción de los dos juzgados en que registraba capturas, por lo que le aconsejó “comerse” unos meses y no entregar d</w:t>
      </w:r>
      <w:r>
        <w:t>i</w:t>
      </w:r>
      <w:r>
        <w:t>nero.</w:t>
      </w:r>
    </w:p>
    <w:p w:rsidR="00224567" w:rsidRDefault="00224567">
      <w:pPr>
        <w:widowControl w:val="0"/>
      </w:pPr>
      <w:r>
        <w:tab/>
        <w:t>Expresó que permaneció en el c</w:t>
      </w:r>
      <w:r>
        <w:t>a</w:t>
      </w:r>
      <w:r>
        <w:t>labozo hasta las 21.00 ó 22.00, en que llegó Semor</w:t>
      </w:r>
      <w:r>
        <w:t>i</w:t>
      </w:r>
      <w:r>
        <w:t>le, ocasión en que lo condujeron a la oficina de operaciones en el primer piso, donde había pizarrones verdes, y el subc</w:t>
      </w:r>
      <w:r>
        <w:t>o</w:t>
      </w:r>
      <w:r>
        <w:t>misario de pelo blanco le a</w:t>
      </w:r>
      <w:r>
        <w:t>l</w:t>
      </w:r>
      <w:r>
        <w:t xml:space="preserve">canzó su celular. Manifestó que se llevó a cabo una reunión con Semorile, Eduardo y un comisario mayor de apellido Botey, traído por Eduardo, quien habló con Ribelli para que se llegara a un acuerdo lógico, ya que solicitaban </w:t>
      </w:r>
      <w:r>
        <w:rPr>
          <w:lang w:val="es-MX"/>
        </w:rPr>
        <w:t xml:space="preserve">$ </w:t>
      </w:r>
      <w:r>
        <w:t>50.000 y sólo p</w:t>
      </w:r>
      <w:r>
        <w:t>o</w:t>
      </w:r>
      <w:r>
        <w:t xml:space="preserve">día reunir </w:t>
      </w:r>
      <w:r>
        <w:rPr>
          <w:lang w:val="es-MX"/>
        </w:rPr>
        <w:t xml:space="preserve">$ </w:t>
      </w:r>
      <w:r>
        <w:t>30.000; que finalmente Eduardo le comunicó que habían llegado a un e</w:t>
      </w:r>
      <w:r>
        <w:t>n</w:t>
      </w:r>
      <w:r>
        <w:t>tend</w:t>
      </w:r>
      <w:r>
        <w:t>i</w:t>
      </w:r>
      <w:r>
        <w:t>miento.</w:t>
      </w:r>
    </w:p>
    <w:p w:rsidR="00224567" w:rsidRDefault="00224567">
      <w:pPr>
        <w:widowControl w:val="0"/>
      </w:pPr>
      <w:r>
        <w:tab/>
        <w:t>Explicó que Eduardo fue al domicilio de Lo Preiato a bu</w:t>
      </w:r>
      <w:r>
        <w:t>s</w:t>
      </w:r>
      <w:r>
        <w:t>car un automóvil Falcon y una moto que había recibido por la venta del lavadero; la moto fue ll</w:t>
      </w:r>
      <w:r>
        <w:t>e</w:t>
      </w:r>
      <w:r>
        <w:t>vada a la brigada por un fletero vecino de Eduardo, apod</w:t>
      </w:r>
      <w:r>
        <w:t>a</w:t>
      </w:r>
      <w:r>
        <w:t>do “Cacho”, y el Falcon por su he</w:t>
      </w:r>
      <w:r>
        <w:t>r</w:t>
      </w:r>
      <w:r>
        <w:t>mano. Adunó que también entregó el automóvil en el que circulaba al m</w:t>
      </w:r>
      <w:r>
        <w:t>o</w:t>
      </w:r>
      <w:r>
        <w:t>mento de la detención, más USD 2000 de su pertenencia, que Sandra t</w:t>
      </w:r>
      <w:r>
        <w:t>e</w:t>
      </w:r>
      <w:r>
        <w:t>nía en la campera; que esa suma se la dio a Semorile. Lu</w:t>
      </w:r>
      <w:r>
        <w:t>e</w:t>
      </w:r>
      <w:r>
        <w:t>go, relató, Semorile y la novia los llevaron en automóvil hasta la quinta de To</w:t>
      </w:r>
      <w:r>
        <w:t>r</w:t>
      </w:r>
      <w:r>
        <w:t>tuguitas.</w:t>
      </w:r>
    </w:p>
    <w:p w:rsidR="00224567" w:rsidRDefault="00224567">
      <w:pPr>
        <w:widowControl w:val="0"/>
      </w:pPr>
      <w:r>
        <w:tab/>
        <w:t>Aclaró que quedó debiendo USD 20.000 y antes de retirarse tuvo que firmar un papel en el que se hacía referencia a una causa y un artículo, lo que le p</w:t>
      </w:r>
      <w:r>
        <w:t>a</w:t>
      </w:r>
      <w:r>
        <w:t>reció grave, indicándole su abogado que firmara para i</w:t>
      </w:r>
      <w:r>
        <w:t>r</w:t>
      </w:r>
      <w:r>
        <w:t>se; dedujo que ese papel era la garantía por la de</w:t>
      </w:r>
      <w:r>
        <w:t>u</w:t>
      </w:r>
      <w:r>
        <w:t>da.</w:t>
      </w:r>
    </w:p>
    <w:p w:rsidR="00224567" w:rsidRDefault="00224567">
      <w:pPr>
        <w:widowControl w:val="0"/>
      </w:pPr>
      <w:r>
        <w:tab/>
        <w:t>Debió suscribir también, indicó, un boleto porque la moto no tenía formulario “</w:t>
      </w:r>
      <w:smartTag w:uri="urn:schemas-microsoft-com:office:smarttags" w:element="metricconverter">
        <w:smartTagPr>
          <w:attr w:name="ProductID" w:val="08”"/>
        </w:smartTagPr>
        <w:r>
          <w:t>08”</w:t>
        </w:r>
      </w:smartTag>
      <w:r>
        <w:t xml:space="preserve"> y, en co</w:t>
      </w:r>
      <w:r>
        <w:t>n</w:t>
      </w:r>
      <w:r>
        <w:t>secuencia, podrían sospechar que luego la denunci</w:t>
      </w:r>
      <w:r>
        <w:t>a</w:t>
      </w:r>
      <w:r>
        <w:t>ría como robada. Puntualizó que en el procedimiento participaron aproximadamente treinta personas, en cuatro automóviles. Recordó que, además de los dos subcomisarios, habló con Ribelli en su oficina -la que ubicó entrando, a la i</w:t>
      </w:r>
      <w:r>
        <w:t>z</w:t>
      </w:r>
      <w:r>
        <w:t>quierda- y que pese a que en esa época desconocía su no</w:t>
      </w:r>
      <w:r>
        <w:t>m</w:t>
      </w:r>
      <w:r>
        <w:t>bre, sabía que era el jefe, ya que así se presentó.</w:t>
      </w:r>
    </w:p>
    <w:p w:rsidR="00224567" w:rsidRDefault="00224567">
      <w:pPr>
        <w:widowControl w:val="0"/>
      </w:pPr>
      <w:r>
        <w:tab/>
        <w:t>Al ingresar a la dependencia, agr</w:t>
      </w:r>
      <w:r>
        <w:t>e</w:t>
      </w:r>
      <w:r>
        <w:t>gó, reconoció al individuo al que había pisado en los días a</w:t>
      </w:r>
      <w:r>
        <w:t>n</w:t>
      </w:r>
      <w:r>
        <w:t>teriores, porque se hallaba enyesado; este suj</w:t>
      </w:r>
      <w:r>
        <w:t>e</w:t>
      </w:r>
      <w:r>
        <w:t>to le dijo que por esa se salvaba, respo</w:t>
      </w:r>
      <w:r>
        <w:t>n</w:t>
      </w:r>
      <w:r>
        <w:t>diéndole que no había parado porque no se había identificado como pol</w:t>
      </w:r>
      <w:r>
        <w:t>i</w:t>
      </w:r>
      <w:r>
        <w:t>cía y le pareció un ladrón. Refirió que, según creía, no le sacaron fichas da</w:t>
      </w:r>
      <w:r>
        <w:t>c</w:t>
      </w:r>
      <w:r>
        <w:t>tiloscópicas.</w:t>
      </w:r>
    </w:p>
    <w:p w:rsidR="00224567" w:rsidRDefault="00224567">
      <w:pPr>
        <w:widowControl w:val="0"/>
      </w:pPr>
      <w:r>
        <w:tab/>
        <w:t>Añadió que al finalizar el arr</w:t>
      </w:r>
      <w:r>
        <w:t>e</w:t>
      </w:r>
      <w:r>
        <w:t>glo lo llamó a su celular Alejandro Monjo, ofrecié</w:t>
      </w:r>
      <w:r>
        <w:t>n</w:t>
      </w:r>
      <w:r>
        <w:t>dole dinero y que ese fue el único llamado que recibió. Apuntó que si bien le restituyeron el celular a las 19.00 aproximadame</w:t>
      </w:r>
      <w:r>
        <w:t>n</w:t>
      </w:r>
      <w:r>
        <w:t>te, recién le permitieron encenderlo a ú</w:t>
      </w:r>
      <w:r>
        <w:t>l</w:t>
      </w:r>
      <w:r>
        <w:t>tima hora.</w:t>
      </w:r>
    </w:p>
    <w:p w:rsidR="00224567" w:rsidRDefault="00224567">
      <w:pPr>
        <w:widowControl w:val="0"/>
      </w:pPr>
      <w:r>
        <w:tab/>
        <w:t>Mencionó que recuperó su libertad, junto con Sandra, a las 12.30 ó 01.00; que ayudó al flet</w:t>
      </w:r>
      <w:r>
        <w:t>e</w:t>
      </w:r>
      <w:r>
        <w:t>ro a bajar la moto junto con el comisario más a</w:t>
      </w:r>
      <w:r>
        <w:t>l</w:t>
      </w:r>
      <w:r>
        <w:t>to, quien lo inquirió acerca de si había llevado a verificar el R</w:t>
      </w:r>
      <w:r>
        <w:t>e</w:t>
      </w:r>
      <w:r>
        <w:t>nault 18 GXE, ya que aún tenía ace</w:t>
      </w:r>
      <w:r>
        <w:t>i</w:t>
      </w:r>
      <w:r>
        <w:t>te.</w:t>
      </w:r>
    </w:p>
    <w:p w:rsidR="00224567" w:rsidRDefault="00224567">
      <w:pPr>
        <w:widowControl w:val="0"/>
      </w:pPr>
      <w:r>
        <w:tab/>
        <w:t>Afirmó que pocas personas supi</w:t>
      </w:r>
      <w:r>
        <w:t>e</w:t>
      </w:r>
      <w:r>
        <w:t>ron del “arreglo”, entre ellas Pérez; asimismo, que lo so</w:t>
      </w:r>
      <w:r>
        <w:t>r</w:t>
      </w:r>
      <w:r>
        <w:t>prendió que lo detuvieran en Tortuguitas y lo llevaran a Lanús, donde no conocía a pers</w:t>
      </w:r>
      <w:r>
        <w:t>o</w:t>
      </w:r>
      <w:r>
        <w:t>na alguna.</w:t>
      </w:r>
    </w:p>
    <w:p w:rsidR="00224567" w:rsidRDefault="00224567">
      <w:pPr>
        <w:widowControl w:val="0"/>
      </w:pPr>
      <w:r>
        <w:tab/>
        <w:t>Aseguró que posteriormente advirtió que era vigilado e inclusive en una oportunidad pernoctó en el domicilio de Cotoras; en varias ocasiones notó mov</w:t>
      </w:r>
      <w:r>
        <w:t>i</w:t>
      </w:r>
      <w:r>
        <w:t>mientos extraños cerca de su casa, produciendo toda la s</w:t>
      </w:r>
      <w:r>
        <w:t>i</w:t>
      </w:r>
      <w:r>
        <w:t>tuación continuas discusiones con Sandra, hasta que se s</w:t>
      </w:r>
      <w:r>
        <w:t>e</w:t>
      </w:r>
      <w:r>
        <w:t>pararon. A raíz de ello, concluyó, regresó a vivir con Ana en el domicilio de Villa Balle</w:t>
      </w:r>
      <w:r>
        <w:t>s</w:t>
      </w:r>
      <w:r>
        <w:t>ter.</w:t>
      </w:r>
    </w:p>
    <w:p w:rsidR="00224567" w:rsidRDefault="00224567">
      <w:pPr>
        <w:widowControl w:val="0"/>
      </w:pPr>
      <w:r>
        <w:tab/>
        <w:t>Con relación a su Documento Nacional de Identidad, el acusado aseveró que el Registro de las Personas se lo entregó en las condiciones en que se hall</w:t>
      </w:r>
      <w:r>
        <w:t>a</w:t>
      </w:r>
      <w:r>
        <w:t>ba, incluidos los errores de o</w:t>
      </w:r>
      <w:r>
        <w:t>r</w:t>
      </w:r>
      <w:r>
        <w:t>tografía; que al recibirlo hizo la denuncia en el registro de Olivos, pero igual le servía por los problemas que tenía, habiéndolo usado, i</w:t>
      </w:r>
      <w:r>
        <w:t>n</w:t>
      </w:r>
      <w:r>
        <w:t>cluso, para salir del país.</w:t>
      </w:r>
    </w:p>
    <w:p w:rsidR="00224567" w:rsidRDefault="00224567">
      <w:pPr>
        <w:widowControl w:val="0"/>
      </w:pPr>
      <w:r>
        <w:tab/>
        <w:t xml:space="preserve">En otro orden, Telleldín relató que el 10 de julio de </w:t>
      </w:r>
      <w:smartTag w:uri="urn:schemas-microsoft-com:office:smarttags" w:element="metricconverter">
        <w:smartTagPr>
          <w:attr w:name="ProductID" w:val="1994, a"/>
        </w:smartTagPr>
        <w:r>
          <w:t>1994, a</w:t>
        </w:r>
      </w:smartTag>
      <w:r>
        <w:t xml:space="preserve"> las 14.30, aproximadamente, se pr</w:t>
      </w:r>
      <w:r>
        <w:t>e</w:t>
      </w:r>
      <w:r>
        <w:t xml:space="preserve">sentó en su domicilio una persona disfrazada con peluca, anteojos y gorra, que dijo estar interesada en </w:t>
      </w:r>
      <w:smartTag w:uri="urn:schemas-microsoft-com:office:smarttags" w:element="PersonName">
        <w:smartTagPr>
          <w:attr w:name="ProductID" w:val="la Trafic"/>
        </w:smartTagPr>
        <w:r>
          <w:t>la Trafic</w:t>
        </w:r>
      </w:smartTag>
      <w:r>
        <w:t xml:space="preserve"> que publicara para la venta, saliendo ambos a la calle a verla; allí, el indiv</w:t>
      </w:r>
      <w:r>
        <w:t>i</w:t>
      </w:r>
      <w:r>
        <w:t>duo le exhibió una credencial verde de policía y m</w:t>
      </w:r>
      <w:r>
        <w:t>a</w:t>
      </w:r>
      <w:r>
        <w:t>nifestó que había gente que lo quería ver. Narró que asce</w:t>
      </w:r>
      <w:r>
        <w:t>n</w:t>
      </w:r>
      <w:r>
        <w:t xml:space="preserve">dieron a </w:t>
      </w:r>
      <w:smartTag w:uri="urn:schemas-microsoft-com:office:smarttags" w:element="PersonName">
        <w:smartTagPr>
          <w:attr w:name="ProductID" w:val="la Trafic"/>
        </w:smartTagPr>
        <w:r>
          <w:t>la Trafic</w:t>
        </w:r>
      </w:smartTag>
      <w:r>
        <w:t>, que estaba estacionada en la vereda de enfrente, cond</w:t>
      </w:r>
      <w:r>
        <w:t>u</w:t>
      </w:r>
      <w:r>
        <w:t>ciéndola el sujeto hasta la vuelta de su casa, deteniendo la marcha detrás de un aut</w:t>
      </w:r>
      <w:r>
        <w:t>o</w:t>
      </w:r>
      <w:r>
        <w:t>móvil Fiat “Duna”, color blanco, donde otro ind</w:t>
      </w:r>
      <w:r>
        <w:t>i</w:t>
      </w:r>
      <w:r>
        <w:t>viduo, que se identificó como el oficial “Pino” de la brigada de i</w:t>
      </w:r>
      <w:r>
        <w:t>n</w:t>
      </w:r>
      <w:r>
        <w:t>vestigaci</w:t>
      </w:r>
      <w:r>
        <w:t>o</w:t>
      </w:r>
      <w:r>
        <w:t>nes, le dijo que tenían la manzana rodeada, que sabían cómo trab</w:t>
      </w:r>
      <w:r>
        <w:t>a</w:t>
      </w:r>
      <w:r>
        <w:t xml:space="preserve">jaba y que tenía que pagar lo que debía, pidiéndole </w:t>
      </w:r>
      <w:smartTag w:uri="urn:schemas-microsoft-com:office:smarttags" w:element="PersonName">
        <w:smartTagPr>
          <w:attr w:name="ProductID" w:val="la Trafic"/>
        </w:smartTagPr>
        <w:r>
          <w:t>la Trafic</w:t>
        </w:r>
      </w:smartTag>
      <w:r>
        <w:t xml:space="preserve"> y el Renault 19. Dentro del vehíc</w:t>
      </w:r>
      <w:r>
        <w:t>u</w:t>
      </w:r>
      <w:r>
        <w:t>lo, agregó, también se hallaba el subcomisario más alto y de bigotes, a quien conoció con motivo de su detención en L</w:t>
      </w:r>
      <w:r>
        <w:t>a</w:t>
      </w:r>
      <w:r>
        <w:t>nús.</w:t>
      </w:r>
    </w:p>
    <w:p w:rsidR="00224567" w:rsidRDefault="00224567">
      <w:pPr>
        <w:widowControl w:val="0"/>
      </w:pPr>
      <w:r>
        <w:tab/>
        <w:t>Indicó que en ese momento recordó que había firmado un papel en Lanús por una causa de Qui</w:t>
      </w:r>
      <w:r>
        <w:t>l</w:t>
      </w:r>
      <w:r>
        <w:t>mes. Acotó que “arregló” que entregaba sólo la camion</w:t>
      </w:r>
      <w:r>
        <w:t>e</w:t>
      </w:r>
      <w:r>
        <w:t>ta por un valor de USD 10.000, puesto que debía USD 25.000 del “arreglo” de Lanús; solicitó unos días para el pago total, otorgándosele cuatro o cinco días. La conversación, apu</w:t>
      </w:r>
      <w:r>
        <w:t>n</w:t>
      </w:r>
      <w:r>
        <w:t>tó, duró alrededor de veinte minutos, pues querían ambos vehículos y peleaba para que no se llevaran el R</w:t>
      </w:r>
      <w:r>
        <w:t>e</w:t>
      </w:r>
      <w:r>
        <w:t>nault 19.</w:t>
      </w:r>
    </w:p>
    <w:p w:rsidR="00224567" w:rsidRDefault="00224567">
      <w:pPr>
        <w:widowControl w:val="0"/>
      </w:pPr>
      <w:r>
        <w:tab/>
        <w:t>Que regresó a su domicilio con el i</w:t>
      </w:r>
      <w:r>
        <w:t>n</w:t>
      </w:r>
      <w:r>
        <w:t>dividuo que había tocado el timbre y manejado la camion</w:t>
      </w:r>
      <w:r>
        <w:t>e</w:t>
      </w:r>
      <w:r>
        <w:t>ta, quien, para confeccionar el boleto, exhibió un doc</w:t>
      </w:r>
      <w:r>
        <w:t>u</w:t>
      </w:r>
      <w:r>
        <w:t>mento a nombre de Ramón Martínez. Memoró que el sujeto e</w:t>
      </w:r>
      <w:r>
        <w:t>s</w:t>
      </w:r>
      <w:r>
        <w:t>taba apurado y ante la presencia de Ana se acomodaba la gorra para que no lo reconociera; que hicieron el boleto porque no tenía el formulario “</w:t>
      </w:r>
      <w:smartTag w:uri="urn:schemas-microsoft-com:office:smarttags" w:element="metricconverter">
        <w:smartTagPr>
          <w:attr w:name="ProductID" w:val="08”"/>
        </w:smartTagPr>
        <w:r>
          <w:t>08”</w:t>
        </w:r>
      </w:smartTag>
      <w:r>
        <w:t>, al igual que con la moto en el arreglo de Lanús. Así se lo exigieron, afirmó, ya que en caso contrario podría luego denunciar el r</w:t>
      </w:r>
      <w:r>
        <w:t>o</w:t>
      </w:r>
      <w:r>
        <w:t>bo.</w:t>
      </w:r>
    </w:p>
    <w:p w:rsidR="00224567" w:rsidRDefault="00224567">
      <w:pPr>
        <w:pStyle w:val="Sangradetextonormal"/>
        <w:widowControl w:val="0"/>
        <w:ind w:firstLine="0"/>
      </w:pPr>
      <w:r>
        <w:tab/>
        <w:t>Historió que mientras se encontraba fuera de su casa discutiendo con Ramón Mart</w:t>
      </w:r>
      <w:r>
        <w:t>í</w:t>
      </w:r>
      <w:r>
        <w:t>nez, antes de subir a la camioneta, llegó Guillermo Cotoras, a quien le informó que había problemas, que tenía la casa rodeada y autos “truchos” adentro, que no entrara porque podrían allanar su domicilio. Que Cotoras permaneció a la altura de una lavandería ubicada frente a su domicilio; al regr</w:t>
      </w:r>
      <w:r>
        <w:t>e</w:t>
      </w:r>
      <w:r>
        <w:t>sar de “la vuelta”, le solicitó que llamara a B</w:t>
      </w:r>
      <w:r>
        <w:t>a</w:t>
      </w:r>
      <w:r>
        <w:t>rreda y le avisara que tenía una brigada al mando de un oficial “Pino”. Añadió que le anotó el número de teléfono de B</w:t>
      </w:r>
      <w:r>
        <w:t>a</w:t>
      </w:r>
      <w:r>
        <w:t>rreda en un papel, pero Cotoras fue a ver a Eduardo, quien, a su vez, fue al domicilio del pr</w:t>
      </w:r>
      <w:r>
        <w:t>i</w:t>
      </w:r>
      <w:r>
        <w:t>mero.</w:t>
      </w:r>
    </w:p>
    <w:p w:rsidR="00224567" w:rsidRDefault="00224567">
      <w:pPr>
        <w:widowControl w:val="0"/>
      </w:pPr>
      <w:r>
        <w:tab/>
        <w:t>Afirmó Telleldín que Ana podía decl</w:t>
      </w:r>
      <w:r>
        <w:t>a</w:t>
      </w:r>
      <w:r>
        <w:t>rar sobre las personas a las que atendió y r</w:t>
      </w:r>
      <w:r>
        <w:t>e</w:t>
      </w:r>
      <w:r>
        <w:t>conocer a las dos que tocaron el timbre. Agregó que en la calle se h</w:t>
      </w:r>
      <w:r>
        <w:t>a</w:t>
      </w:r>
      <w:r>
        <w:t>llaba la familia Malacchia, quienes hablaron con el s</w:t>
      </w:r>
      <w:r>
        <w:t>u</w:t>
      </w:r>
      <w:r>
        <w:t>jeto que se presentó como Ramón Martínez, puesto que cuando fueron a “dar la vuelta” el “viejito” Malacchia se asomó a la ventanilla y le preguntó al conductor si nec</w:t>
      </w:r>
      <w:r>
        <w:t>e</w:t>
      </w:r>
      <w:r>
        <w:t>sitaba que moviera su automóvil Falcon, color amarillo, respondiénd</w:t>
      </w:r>
      <w:r>
        <w:t>o</w:t>
      </w:r>
      <w:r>
        <w:t>le que no era necesario.</w:t>
      </w:r>
    </w:p>
    <w:p w:rsidR="00224567" w:rsidRDefault="00224567">
      <w:pPr>
        <w:widowControl w:val="0"/>
      </w:pPr>
      <w:r>
        <w:tab/>
        <w:t>Puntualizó que no le pagaron la cami</w:t>
      </w:r>
      <w:r>
        <w:t>o</w:t>
      </w:r>
      <w:r>
        <w:t>neta, haciendo el boleto a fin de evitar la denuncia de robo; aclaró que se refirió a “venta” po</w:t>
      </w:r>
      <w:r>
        <w:t>r</w:t>
      </w:r>
      <w:r>
        <w:t xml:space="preserve">que era el precio de su libertad y que de la misma forma en que esa gente “compró” </w:t>
      </w:r>
      <w:smartTag w:uri="urn:schemas-microsoft-com:office:smarttags" w:element="PersonName">
        <w:smartTagPr>
          <w:attr w:name="ProductID" w:val="la Trafic"/>
        </w:smartTagPr>
        <w:r>
          <w:t>la Trafic</w:t>
        </w:r>
      </w:smartTag>
      <w:r>
        <w:t>, compró y vendió otros r</w:t>
      </w:r>
      <w:r>
        <w:t>o</w:t>
      </w:r>
      <w:r>
        <w:t>dados.</w:t>
      </w:r>
    </w:p>
    <w:p w:rsidR="00224567" w:rsidRDefault="00224567">
      <w:pPr>
        <w:widowControl w:val="0"/>
      </w:pPr>
      <w:r>
        <w:tab/>
        <w:t>En tal sentido, relató la venta de un automóvil Renault 21, modelo 91, dominio “L”, cuya t</w:t>
      </w:r>
      <w:r>
        <w:t>i</w:t>
      </w:r>
      <w:r>
        <w:t>tular era una tal Susana y el propietario anterior se llamaba Barg.</w:t>
      </w:r>
    </w:p>
    <w:p w:rsidR="00224567" w:rsidRDefault="00224567">
      <w:pPr>
        <w:widowControl w:val="0"/>
      </w:pPr>
      <w:r>
        <w:tab/>
        <w:t xml:space="preserve">Aclaró el imputado que vio al sujeto que presentó el documento a nombre de Ramón Martínez en otras dos oportunidades, junto a gente de </w:t>
      </w:r>
      <w:smartTag w:uri="urn:schemas-microsoft-com:office:smarttags" w:element="PersonName">
        <w:smartTagPr>
          <w:attr w:name="ProductID" w:val="la Brigada"/>
        </w:smartTagPr>
        <w:r>
          <w:t>la Brigada</w:t>
        </w:r>
      </w:smartTag>
      <w:r>
        <w:t xml:space="preserve"> de Lanús. Que esa persona era la misma que después apareció con el documento de Ramón Martínez, a la vez que señaló que en ocasiones usaba bigotes y en otras no. Negó c</w:t>
      </w:r>
      <w:r>
        <w:t>o</w:t>
      </w:r>
      <w:r>
        <w:t>nocer su verdadero nombre y conjeturó que podría tr</w:t>
      </w:r>
      <w:r>
        <w:t>a</w:t>
      </w:r>
      <w:r>
        <w:t>tarse de un policía que ponían en disponibilidad y trabajaba “trucho”. Indicó que podría ser individual</w:t>
      </w:r>
      <w:r>
        <w:t>i</w:t>
      </w:r>
      <w:r>
        <w:t>zado, por cuanto hizo una firma con escritura y no con signos. Adunó que también lo vio cuando hacía la “capacha” en un autom</w:t>
      </w:r>
      <w:r>
        <w:t>ó</w:t>
      </w:r>
      <w:r>
        <w:t>vil 128 viejo, a mediados de julio de 1994 y que su vecina la peletera lo obse</w:t>
      </w:r>
      <w:r>
        <w:t>r</w:t>
      </w:r>
      <w:r>
        <w:t>vó.</w:t>
      </w:r>
    </w:p>
    <w:p w:rsidR="00224567" w:rsidRDefault="00224567">
      <w:pPr>
        <w:widowControl w:val="0"/>
      </w:pPr>
      <w:r>
        <w:tab/>
        <w:t>Dedujo que la clave y quien debía s</w:t>
      </w:r>
      <w:r>
        <w:t>a</w:t>
      </w:r>
      <w:r>
        <w:t>ber todo era el “buchón”, es decir, Barreda, puesto que sabía que tenía la camioneta esa semana. Remarcó que a</w:t>
      </w:r>
      <w:r>
        <w:t>d</w:t>
      </w:r>
      <w:r>
        <w:t>virtió que se trataba de la misma persona tiempo de</w:t>
      </w:r>
      <w:r>
        <w:t>s</w:t>
      </w:r>
      <w:r>
        <w:t>pués, ya que al momento de la compra usaba gorra y peluca; que se le ocurrió que en la transferencia de un Renault 21</w:t>
      </w:r>
      <w:r>
        <w:rPr>
          <w:b/>
          <w:bCs/>
        </w:rPr>
        <w:t xml:space="preserve"> </w:t>
      </w:r>
      <w:r>
        <w:t>d</w:t>
      </w:r>
      <w:r>
        <w:t>e</w:t>
      </w:r>
      <w:r>
        <w:t>bía obrar una fotocopia del documento con la fotogr</w:t>
      </w:r>
      <w:r>
        <w:t>a</w:t>
      </w:r>
      <w:r>
        <w:t>fía de la persona que se presentó como Ramón Martínez.</w:t>
      </w:r>
    </w:p>
    <w:p w:rsidR="00224567" w:rsidRDefault="00224567">
      <w:pPr>
        <w:widowControl w:val="0"/>
      </w:pPr>
      <w:r>
        <w:tab/>
        <w:t>Con relación a la camioneta Trafic, aseguró que no se la encargaron, que cuando fue a lo de Monjo no la quería, toda vez que por la altura del techo no cabía en su domicilio. Expresó que sabían de la exi</w:t>
      </w:r>
      <w:r>
        <w:t>s</w:t>
      </w:r>
      <w:r>
        <w:t>tencia del vehículo los empleados –incluidos los talleri</w:t>
      </w:r>
      <w:r>
        <w:t>s</w:t>
      </w:r>
      <w:r>
        <w:t>tas-, Monjo, el “b</w:t>
      </w:r>
      <w:r>
        <w:t>u</w:t>
      </w:r>
      <w:r>
        <w:t>chón” –que, según creía, era Barreda-, Semorile –porque conocía a los Ibáñez y Ana les contaba todo a éstos-, Bareiro, Pérez y Pérez Mejías. Que luego comentó el hecho con Ana, Eduardo, Barr</w:t>
      </w:r>
      <w:r>
        <w:t>e</w:t>
      </w:r>
      <w:r>
        <w:t>da, Cotoras y Hugo Pérez, no así con Pérez Mejías y Jacinto Cruz; intentaba no contar ese tipo de episodios porque dejaba de ser co</w:t>
      </w:r>
      <w:r>
        <w:t>n</w:t>
      </w:r>
      <w:r>
        <w:t>fiable. Asimismo, afirmó que no exhibió el boleto a pers</w:t>
      </w:r>
      <w:r>
        <w:t>o</w:t>
      </w:r>
      <w:r>
        <w:t>na alguna con anterioridad a su detención y lo guardó a fin de garantizarse que había entregado el v</w:t>
      </w:r>
      <w:r>
        <w:t>e</w:t>
      </w:r>
      <w:r>
        <w:t>hículo.</w:t>
      </w:r>
    </w:p>
    <w:p w:rsidR="00224567" w:rsidRDefault="00224567">
      <w:pPr>
        <w:widowControl w:val="0"/>
      </w:pPr>
      <w:r>
        <w:tab/>
        <w:t>Aseveró Telleldín que publicó el av</w:t>
      </w:r>
      <w:r>
        <w:t>i</w:t>
      </w:r>
      <w:r>
        <w:t>so porque pensaba vender la camioneta, la que tuvo en su p</w:t>
      </w:r>
      <w:r>
        <w:t>o</w:t>
      </w:r>
      <w:r>
        <w:t>der sólo siete días, de los cuales cinco perman</w:t>
      </w:r>
      <w:r>
        <w:t>e</w:t>
      </w:r>
      <w:r>
        <w:t>ció en el taller para repararla.</w:t>
      </w:r>
    </w:p>
    <w:p w:rsidR="00224567" w:rsidRDefault="00224567">
      <w:pPr>
        <w:widowControl w:val="0"/>
      </w:pPr>
      <w:r>
        <w:tab/>
        <w:t>En cuanto a los pasos seguidos por el utilitario, explicó que Guillermo Cotoras e</w:t>
      </w:r>
      <w:r>
        <w:t>x</w:t>
      </w:r>
      <w:r>
        <w:t>trajo el motor de la camioneta siniestrada -comprada en “Alejandro Aut</w:t>
      </w:r>
      <w:r>
        <w:t>o</w:t>
      </w:r>
      <w:r>
        <w:t>motores”- y Hugo Pérez lo trasladó al taller de Nitzcaner, donde se colocó en otra cami</w:t>
      </w:r>
      <w:r>
        <w:t>o</w:t>
      </w:r>
      <w:r>
        <w:t>neta Trafic, cuya carrocería correspondía a un vehículo de origen ilícito, propiedad de un disc-jockey de apellido Sar</w:t>
      </w:r>
      <w:r>
        <w:t>a</w:t>
      </w:r>
      <w:r>
        <w:t>pura. Puntualizó que Miguel Jaimes consiguió esta últ</w:t>
      </w:r>
      <w:r>
        <w:t>i</w:t>
      </w:r>
      <w:r>
        <w:t>ma camioneta, por intermedio de César Fernández, ignorando cómo había llegado a manos de éste. Consideró que Nitzcaner no era creíble, pero Jouce sí, por lo que podría declarar sobre las circunstancias relativas al t</w:t>
      </w:r>
      <w:r>
        <w:t>a</w:t>
      </w:r>
      <w:r>
        <w:t>ller.</w:t>
      </w:r>
    </w:p>
    <w:p w:rsidR="00224567" w:rsidRDefault="00224567">
      <w:pPr>
        <w:widowControl w:val="0"/>
      </w:pPr>
      <w:r>
        <w:tab/>
        <w:t>Preguntado Telleldín si entre el 2 de julio de 1994 y la fecha de entrega de la camioneta se contactó con personal policial, explicó que Barreda conc</w:t>
      </w:r>
      <w:r>
        <w:t>u</w:t>
      </w:r>
      <w:r>
        <w:t>rría a su domicilio continuamente y que en una oportun</w:t>
      </w:r>
      <w:r>
        <w:t>i</w:t>
      </w:r>
      <w:r>
        <w:t>dad, un viernes, fue Bareiro a comer con la m</w:t>
      </w:r>
      <w:r>
        <w:t>u</w:t>
      </w:r>
      <w:r>
        <w:t>jer, aunque no pudo precisar si esa semana o la anterior. Añadió que durante esas semanas lo amenazaban telefónicamente, d</w:t>
      </w:r>
      <w:r>
        <w:t>i</w:t>
      </w:r>
      <w:r>
        <w:t>ciéndole que sería “boleta”, a la vez que recibía llamados extraños, en los que, por ejemplo, se oía música. Puntu</w:t>
      </w:r>
      <w:r>
        <w:t>a</w:t>
      </w:r>
      <w:r>
        <w:t>lizó que ello ocurrió a partir del 25 de junio, fecha de su cumpleaños, oportunidad en que estuvo con Diego Barr</w:t>
      </w:r>
      <w:r>
        <w:t>e</w:t>
      </w:r>
      <w:r>
        <w:t>da, la mujer y el su</w:t>
      </w:r>
      <w:r>
        <w:t>e</w:t>
      </w:r>
      <w:r>
        <w:t>gro.</w:t>
      </w:r>
    </w:p>
    <w:p w:rsidR="00224567" w:rsidRDefault="00224567">
      <w:pPr>
        <w:widowControl w:val="0"/>
      </w:pPr>
      <w:r>
        <w:tab/>
        <w:t>Agregó que también Ana sufrió amen</w:t>
      </w:r>
      <w:r>
        <w:t>a</w:t>
      </w:r>
      <w:r>
        <w:t>zas telefónicas, llamados que se producían hasta en la madr</w:t>
      </w:r>
      <w:r>
        <w:t>u</w:t>
      </w:r>
      <w:r>
        <w:t>gada; que cuando B</w:t>
      </w:r>
      <w:r>
        <w:t>a</w:t>
      </w:r>
      <w:r>
        <w:t>reiro fue a cenar le informó que tenía el teléfono intervenido y que por los pulsos averiguaban los números a los que llamaba. Durante ese período no r</w:t>
      </w:r>
      <w:r>
        <w:t>e</w:t>
      </w:r>
      <w:r>
        <w:t xml:space="preserve">cibió comunicación alguna relativa a la deuda pendiente con </w:t>
      </w:r>
      <w:smartTag w:uri="urn:schemas-microsoft-com:office:smarttags" w:element="PersonName">
        <w:smartTagPr>
          <w:attr w:name="ProductID" w:val="la Brigada"/>
        </w:smartTagPr>
        <w:r>
          <w:t>la Brigada</w:t>
        </w:r>
      </w:smartTag>
      <w:r>
        <w:t xml:space="preserve"> de L</w:t>
      </w:r>
      <w:r>
        <w:t>a</w:t>
      </w:r>
      <w:r>
        <w:t>nús.</w:t>
      </w:r>
    </w:p>
    <w:p w:rsidR="00224567" w:rsidRDefault="00224567">
      <w:pPr>
        <w:widowControl w:val="0"/>
      </w:pPr>
      <w:r>
        <w:tab/>
        <w:t>Sostuvo que sus manifestaciones ant</w:t>
      </w:r>
      <w:r>
        <w:t>e</w:t>
      </w:r>
      <w:r>
        <w:t>riores referidas a las personas de origen chino que conc</w:t>
      </w:r>
      <w:r>
        <w:t>u</w:t>
      </w:r>
      <w:r>
        <w:t>rrieron a su domicilio el 9 de julio de 1994, interes</w:t>
      </w:r>
      <w:r>
        <w:t>a</w:t>
      </w:r>
      <w:r>
        <w:t xml:space="preserve">dos en </w:t>
      </w:r>
      <w:smartTag w:uri="urn:schemas-microsoft-com:office:smarttags" w:element="PersonName">
        <w:smartTagPr>
          <w:attr w:name="ProductID" w:val="la Trafic"/>
        </w:smartTagPr>
        <w:r>
          <w:t>la Trafic</w:t>
        </w:r>
      </w:smartTag>
      <w:r>
        <w:t>, se ajustaban a la realidad. Al respecto, e</w:t>
      </w:r>
      <w:r>
        <w:t>x</w:t>
      </w:r>
      <w:r>
        <w:t>presó que luego advirtió que en esa época Semorile tenía un automóvil Mitsubishi Galant del mismo modelo, con tap</w:t>
      </w:r>
      <w:r>
        <w:t>i</w:t>
      </w:r>
      <w:r>
        <w:t>zado color gris, que no podía vender ya que se hallaba e</w:t>
      </w:r>
      <w:r>
        <w:t>m</w:t>
      </w:r>
      <w:r>
        <w:t>bargado o tenía algún otro problema. Manifestó que el vehículo propiedad de Semorile era de color rojo, en tanto el de los chinos se hallaba pint</w:t>
      </w:r>
      <w:r>
        <w:t>a</w:t>
      </w:r>
      <w:r>
        <w:t>do de negro con brocha y parecía pintado unos días antes, desconociendo si se tr</w:t>
      </w:r>
      <w:r>
        <w:t>a</w:t>
      </w:r>
      <w:r>
        <w:t>taba del mismo rodado, au</w:t>
      </w:r>
      <w:r>
        <w:t>n</w:t>
      </w:r>
      <w:r>
        <w:t>que las circunstancias relatadas le llamaban la atención. Adunó que se trataba de gente r</w:t>
      </w:r>
      <w:r>
        <w:t>a</w:t>
      </w:r>
      <w:r>
        <w:t>ra, que actuaba como si no existi</w:t>
      </w:r>
      <w:r>
        <w:t>e</w:t>
      </w:r>
      <w:r>
        <w:t>ra.</w:t>
      </w:r>
    </w:p>
    <w:p w:rsidR="00224567" w:rsidRDefault="00224567">
      <w:pPr>
        <w:widowControl w:val="0"/>
      </w:pPr>
      <w:r>
        <w:tab/>
        <w:t>Destacó que los datos del boleto de compraventa -número, dirección y nombre- los copió del d</w:t>
      </w:r>
      <w:r>
        <w:t>o</w:t>
      </w:r>
      <w:r>
        <w:t>cumento exhibido por el individuo que retiró la c</w:t>
      </w:r>
      <w:r>
        <w:t>a</w:t>
      </w:r>
      <w:r>
        <w:t>mioneta, aunque su rostro no se correspondía con el de la foto i</w:t>
      </w:r>
      <w:r>
        <w:t>n</w:t>
      </w:r>
      <w:r>
        <w:t>serta en el cartular. Aclaró que, en cambio, en la venta del Renault 21 sí figuraba la fotografía de esa persona. Estimó que no r</w:t>
      </w:r>
      <w:r>
        <w:t>e</w:t>
      </w:r>
      <w:r>
        <w:t>sultaba extraño que se hubiera “comido” el número de Documento Nacional de Identidad si lo mismo h</w:t>
      </w:r>
      <w:r>
        <w:t>a</w:t>
      </w:r>
      <w:r>
        <w:t>bía sucedido en el registro del automotor y figuraba el nombre de Barg. Explicó que no tuvo el documento en su mano, como para constatar si el número escrito coincidía con el perf</w:t>
      </w:r>
      <w:r>
        <w:t>o</w:t>
      </w:r>
      <w:r>
        <w:t>rado.</w:t>
      </w:r>
    </w:p>
    <w:p w:rsidR="00224567" w:rsidRDefault="00224567">
      <w:pPr>
        <w:widowControl w:val="0"/>
      </w:pPr>
      <w:r>
        <w:tab/>
        <w:t>En otro orden, Telleldín manifestó que, luego de que fue tiroteado por la gente a la que e</w:t>
      </w:r>
      <w:r>
        <w:t>n</w:t>
      </w:r>
      <w:r>
        <w:t xml:space="preserve">tregó </w:t>
      </w:r>
      <w:smartTag w:uri="urn:schemas-microsoft-com:office:smarttags" w:element="PersonName">
        <w:smartTagPr>
          <w:attr w:name="ProductID" w:val="la Trafic"/>
        </w:smartTagPr>
        <w:r>
          <w:t>la Trafic</w:t>
        </w:r>
      </w:smartTag>
      <w:r>
        <w:t>, Hugo Pérez torturado y de que Ana le c</w:t>
      </w:r>
      <w:r>
        <w:t>o</w:t>
      </w:r>
      <w:r>
        <w:t>mentara que permitió a Barreda ingresar a su domic</w:t>
      </w:r>
      <w:r>
        <w:t>i</w:t>
      </w:r>
      <w:r>
        <w:t>lio con un mecánico, pensó que quienes se llevaron el vehículo h</w:t>
      </w:r>
      <w:r>
        <w:t>a</w:t>
      </w:r>
      <w:r>
        <w:t xml:space="preserve">bían “pasado a los jefes”. Añadió que desconfió aún más cuando le preguntó a Barreda si conocía a alguien en </w:t>
      </w:r>
      <w:smartTag w:uri="urn:schemas-microsoft-com:office:smarttags" w:element="PersonName">
        <w:smartTagPr>
          <w:attr w:name="ProductID" w:val="la Brigada"/>
        </w:smartTagPr>
        <w:r>
          <w:t>la Brigada</w:t>
        </w:r>
      </w:smartTag>
      <w:r>
        <w:t xml:space="preserve"> de Vicente López y le dijo que no, pese a que B</w:t>
      </w:r>
      <w:r>
        <w:t>a</w:t>
      </w:r>
      <w:r>
        <w:t>reiro se dese</w:t>
      </w:r>
      <w:r>
        <w:t>m</w:t>
      </w:r>
      <w:r>
        <w:t>peñaba allí.</w:t>
      </w:r>
    </w:p>
    <w:p w:rsidR="00224567" w:rsidRDefault="00224567">
      <w:pPr>
        <w:widowControl w:val="0"/>
      </w:pPr>
      <w:r>
        <w:tab/>
        <w:t>Refirió que concurrió a la calle San José junto con Pérez a fin de averiguar a quién pert</w:t>
      </w:r>
      <w:r>
        <w:t>e</w:t>
      </w:r>
      <w:r>
        <w:t>necía el domic</w:t>
      </w:r>
      <w:r>
        <w:t>i</w:t>
      </w:r>
      <w:r>
        <w:t>lio y si la persona vivía allí, tal como hizo en el caso del automóvil Renault 21, en que también resultó ser inexistente el domicilio; además, debía entregar el formulario “</w:t>
      </w:r>
      <w:smartTag w:uri="urn:schemas-microsoft-com:office:smarttags" w:element="metricconverter">
        <w:smartTagPr>
          <w:attr w:name="ProductID" w:val="08”"/>
        </w:smartTagPr>
        <w:r>
          <w:t>08”</w:t>
        </w:r>
      </w:smartTag>
      <w:r>
        <w:t>.</w:t>
      </w:r>
    </w:p>
    <w:p w:rsidR="00224567" w:rsidRDefault="00224567">
      <w:pPr>
        <w:widowControl w:val="0"/>
      </w:pPr>
      <w:r>
        <w:tab/>
        <w:t>Negó que hubiese supuesto que el vehículo involucrado en la voladura fuera la camioneta Trafic que entregara, recordando que cuando Barreda le h</w:t>
      </w:r>
      <w:r>
        <w:t>i</w:t>
      </w:r>
      <w:r>
        <w:t>zo la misma pregunta, respondió que no creía tener tanta mala suerte. Al respecto, afirmó que, al igual que con los otros vehículos, desconocía el destino que tendría la c</w:t>
      </w:r>
      <w:r>
        <w:t>a</w:t>
      </w:r>
      <w:r>
        <w:t>mioneta; que cuando declaró que había supuesto que sería utilizada para transportar droga, lo hizo a fin de no i</w:t>
      </w:r>
      <w:r>
        <w:t>n</w:t>
      </w:r>
      <w:r>
        <w:t>volucrar a la policía y no perjud</w:t>
      </w:r>
      <w:r>
        <w:t>i</w:t>
      </w:r>
      <w:r>
        <w:t>carse más.</w:t>
      </w:r>
    </w:p>
    <w:p w:rsidR="00224567" w:rsidRDefault="00224567">
      <w:pPr>
        <w:widowControl w:val="0"/>
      </w:pPr>
      <w:r>
        <w:tab/>
        <w:t>Explicó que la camioneta Trafic y el automóvil Falcon fueron los dos únicos vehículos que e</w:t>
      </w:r>
      <w:r>
        <w:t>n</w:t>
      </w:r>
      <w:r>
        <w:t>tregó sin c</w:t>
      </w:r>
      <w:r>
        <w:t>é</w:t>
      </w:r>
      <w:r>
        <w:t>dula verde; en el primer caso, porque se había quemado y, en el segundo, debido a que la tenía la madre de Lo Preiato. Conjeturó que un particular habría esperado el duplicado; en cambio, personal pol</w:t>
      </w:r>
      <w:r>
        <w:t>i</w:t>
      </w:r>
      <w:r>
        <w:t>cial podría circular en un rodado sin cédula verde, pues, en caso de serle r</w:t>
      </w:r>
      <w:r>
        <w:t>e</w:t>
      </w:r>
      <w:r>
        <w:t>querida, exhibiría la crede</w:t>
      </w:r>
      <w:r>
        <w:t>n</w:t>
      </w:r>
      <w:r>
        <w:t>cial.</w:t>
      </w:r>
    </w:p>
    <w:p w:rsidR="00224567" w:rsidRDefault="00224567">
      <w:pPr>
        <w:widowControl w:val="0"/>
      </w:pPr>
      <w:r>
        <w:tab/>
        <w:t>Aclaró que la versión de la venta de la camioneta Renault Trafic brindada resultaba coinc</w:t>
      </w:r>
      <w:r>
        <w:t>i</w:t>
      </w:r>
      <w:r>
        <w:t>dente con la dada por Boragni, toda vez que ésta declaró la ve</w:t>
      </w:r>
      <w:r>
        <w:t>r</w:t>
      </w:r>
      <w:r>
        <w:t>dad, aunque sin involucrar a la policía, pue</w:t>
      </w:r>
      <w:r>
        <w:t>s</w:t>
      </w:r>
      <w:r>
        <w:t>to que de lo contrario dejaba de ser confiable para otro arreglo. Me</w:t>
      </w:r>
      <w:r>
        <w:t>n</w:t>
      </w:r>
      <w:r>
        <w:t>cionó que previo a declarar en el ju</w:t>
      </w:r>
      <w:r>
        <w:t>z</w:t>
      </w:r>
      <w:r>
        <w:t>gado instructor tuvo la oportunidad de hablar con Boragni, dado que no se e</w:t>
      </w:r>
      <w:r>
        <w:t>n</w:t>
      </w:r>
      <w:r>
        <w:t>contraba incomunicado.</w:t>
      </w:r>
    </w:p>
    <w:p w:rsidR="00224567" w:rsidRDefault="00224567">
      <w:pPr>
        <w:widowControl w:val="0"/>
      </w:pPr>
      <w:r>
        <w:tab/>
        <w:t>Añadió que su familia fue amenazada, recibió mensajes de gente que no identificó a fin de que no declarase y que cuando el juzgado citó a alguien de L</w:t>
      </w:r>
      <w:r>
        <w:t>a</w:t>
      </w:r>
      <w:r>
        <w:t>nús, un automóvil chocó a Ana, hubo advertencias y debió mudarse. También vecinos de V</w:t>
      </w:r>
      <w:r>
        <w:t>i</w:t>
      </w:r>
      <w:r>
        <w:t xml:space="preserve">lla Ballester, a los que Ana podía identificar, recibieron amenazas por parte “de </w:t>
      </w:r>
      <w:smartTag w:uri="urn:schemas-microsoft-com:office:smarttags" w:element="PersonName">
        <w:smartTagPr>
          <w:attr w:name="ProductID" w:val="la Brigada"/>
        </w:smartTagPr>
        <w:r>
          <w:t>la Brigada</w:t>
        </w:r>
      </w:smartTag>
      <w:r>
        <w:t xml:space="preserve"> de Lanús”; Ana recibió intimid</w:t>
      </w:r>
      <w:r>
        <w:t>a</w:t>
      </w:r>
      <w:r>
        <w:t>ciones a través de su teléfono celular, debiendo cambiar la compañía prest</w:t>
      </w:r>
      <w:r>
        <w:t>a</w:t>
      </w:r>
      <w:r>
        <w:t>dora.</w:t>
      </w:r>
    </w:p>
    <w:p w:rsidR="00224567" w:rsidRDefault="00224567">
      <w:pPr>
        <w:widowControl w:val="0"/>
      </w:pPr>
      <w:r>
        <w:tab/>
        <w:t>Al preguntársele si a partir de su d</w:t>
      </w:r>
      <w:r>
        <w:t>e</w:t>
      </w:r>
      <w:r>
        <w:t>tención mantuvo conversaciones con personal policial a efectos de que declarase de alguna forma en particular, respondió que Ana recibió algunos llam</w:t>
      </w:r>
      <w:r>
        <w:t>a</w:t>
      </w:r>
      <w:r>
        <w:t>dos de los que ella podría informar; no obstante, indicó, no le ofrecieron n</w:t>
      </w:r>
      <w:r>
        <w:t>a</w:t>
      </w:r>
      <w:r>
        <w:t>da.</w:t>
      </w:r>
    </w:p>
    <w:p w:rsidR="00224567" w:rsidRDefault="00224567">
      <w:pPr>
        <w:widowControl w:val="0"/>
      </w:pPr>
      <w:r>
        <w:tab/>
        <w:t xml:space="preserve">Con relación a los inconvenientes que tuvo con integrantes de </w:t>
      </w:r>
      <w:smartTag w:uri="urn:schemas-microsoft-com:office:smarttags" w:element="PersonName">
        <w:smartTagPr>
          <w:attr w:name="ProductID" w:val="la Polic￭a Bonaerense"/>
        </w:smartTagPr>
        <w:r>
          <w:t>la Policía Bonaerense</w:t>
        </w:r>
      </w:smartTag>
      <w:r>
        <w:t>, manifestó que el 14 de julio de 1994 fue a comprar cri</w:t>
      </w:r>
      <w:r>
        <w:t>s</w:t>
      </w:r>
      <w:r>
        <w:t>tales para el automóvil Renault 9; estaba pr</w:t>
      </w:r>
      <w:r>
        <w:t>e</w:t>
      </w:r>
      <w:r>
        <w:t>ocupado porque Ana le había dicho que mientras estuvo en Córd</w:t>
      </w:r>
      <w:r>
        <w:t>o</w:t>
      </w:r>
      <w:r>
        <w:t>ba Diego Barreda ingresó a la vivienda para observar los repue</w:t>
      </w:r>
      <w:r>
        <w:t>s</w:t>
      </w:r>
      <w:r>
        <w:t>tos que había en el quincho; así, lo primero que hizo fue sacar el auto “tr</w:t>
      </w:r>
      <w:r>
        <w:t>u</w:t>
      </w:r>
      <w:r>
        <w:t>cho” que estaba en la cochera sin m</w:t>
      </w:r>
      <w:r>
        <w:t>o</w:t>
      </w:r>
      <w:r>
        <w:t>tor ni cristales.</w:t>
      </w:r>
    </w:p>
    <w:p w:rsidR="00224567" w:rsidRDefault="00224567">
      <w:pPr>
        <w:widowControl w:val="0"/>
      </w:pPr>
      <w:r>
        <w:tab/>
        <w:t>Al regresar con los repuestos, ind</w:t>
      </w:r>
      <w:r>
        <w:t>i</w:t>
      </w:r>
      <w:r>
        <w:t>có, advirtió que había gente a una cuadra de su casa, fre</w:t>
      </w:r>
      <w:r>
        <w:t>n</w:t>
      </w:r>
      <w:r>
        <w:t xml:space="preserve">te a </w:t>
      </w:r>
      <w:smartTag w:uri="urn:schemas-microsoft-com:office:smarttags" w:element="PersonName">
        <w:smartTagPr>
          <w:attr w:name="ProductID" w:val="la Cruz Roja"/>
        </w:smartTagPr>
        <w:r>
          <w:t>la Cruz Roja</w:t>
        </w:r>
      </w:smartTag>
      <w:r>
        <w:t>, haciendo la “capacha”. Agregó que la br</w:t>
      </w:r>
      <w:r>
        <w:t>i</w:t>
      </w:r>
      <w:r>
        <w:t>gada observó cómo una empresa de fletes le llevó el motor pr</w:t>
      </w:r>
      <w:r>
        <w:t>o</w:t>
      </w:r>
      <w:r>
        <w:t>cedente de lo de Cotoras. Dedujo que se trataba de una brigada a la que Barreda le habría dado los datos; al s</w:t>
      </w:r>
      <w:r>
        <w:t>a</w:t>
      </w:r>
      <w:r>
        <w:t>lir luego con Ana intentaron detene</w:t>
      </w:r>
      <w:r>
        <w:t>r</w:t>
      </w:r>
      <w:r>
        <w:t>lo.</w:t>
      </w:r>
    </w:p>
    <w:p w:rsidR="00224567" w:rsidRDefault="00224567">
      <w:pPr>
        <w:widowControl w:val="0"/>
      </w:pPr>
      <w:r>
        <w:tab/>
        <w:t>Añadió que en el lugar se encontraba el automóvil 128 que mencionara la peletera, como así ta</w:t>
      </w:r>
      <w:r>
        <w:t>m</w:t>
      </w:r>
      <w:r>
        <w:t>bién un vehículo Galaxy de color oscuro, con reflectores blancos, plásticos, no originales, aunque no se trataba del azul que viera el 10 de ese mes. En tal sentido, acl</w:t>
      </w:r>
      <w:r>
        <w:t>a</w:t>
      </w:r>
      <w:r>
        <w:t xml:space="preserve">ró que cuando se llevaron </w:t>
      </w:r>
      <w:smartTag w:uri="urn:schemas-microsoft-com:office:smarttags" w:element="PersonName">
        <w:smartTagPr>
          <w:attr w:name="ProductID" w:val="la Trafic"/>
        </w:smartTagPr>
        <w:r>
          <w:t>la Trafic</w:t>
        </w:r>
      </w:smartTag>
      <w:r>
        <w:t>, era seguida por un automóvil Galaxy color azul, que lo pers</w:t>
      </w:r>
      <w:r>
        <w:t>i</w:t>
      </w:r>
      <w:r>
        <w:t>guió el día 14 de julio y luego trasladó a Pérez. Sintetizó que, en cons</w:t>
      </w:r>
      <w:r>
        <w:t>e</w:t>
      </w:r>
      <w:r>
        <w:t>cuencia, tal rodado intervino en tres lugares claves, a saber: escoltando la camioneta Trafic el día 10 de j</w:t>
      </w:r>
      <w:r>
        <w:t>u</w:t>
      </w:r>
      <w:r>
        <w:t>lio, persiguiéndolo el día 14 del mismo mes y “levantando” a Pérez esa n</w:t>
      </w:r>
      <w:r>
        <w:t>o</w:t>
      </w:r>
      <w:r>
        <w:t>che.</w:t>
      </w:r>
    </w:p>
    <w:p w:rsidR="00224567" w:rsidRDefault="00224567">
      <w:pPr>
        <w:widowControl w:val="0"/>
      </w:pPr>
      <w:r>
        <w:tab/>
        <w:t>Señaló que un automóvil Peugeot 505 viejo –anterior al año 1986- y un Duna color blanco –que también participó el 10 de julio- lo “cruzaron” al salir de su casa; transitaba en el sentido de la calle Repúbl</w:t>
      </w:r>
      <w:r>
        <w:t>i</w:t>
      </w:r>
      <w:r>
        <w:t>ca, en tanto los vehículos referidos lo hacían de contr</w:t>
      </w:r>
      <w:r>
        <w:t>a</w:t>
      </w:r>
      <w:r>
        <w:t>mano. Relató que vio por detrás al Galaxy azul con las l</w:t>
      </w:r>
      <w:r>
        <w:t>u</w:t>
      </w:r>
      <w:r>
        <w:t>ces encendidas y con cuatro personas con chaleco y gorra de brig</w:t>
      </w:r>
      <w:r>
        <w:t>a</w:t>
      </w:r>
      <w:r>
        <w:t>da.</w:t>
      </w:r>
    </w:p>
    <w:p w:rsidR="00224567" w:rsidRDefault="00224567">
      <w:pPr>
        <w:widowControl w:val="0"/>
      </w:pPr>
      <w:r>
        <w:tab/>
        <w:t>Refirió Telleldín que le indicó a Ana que se pusiera el cinturón de seguridad, tras lo cual ch</w:t>
      </w:r>
      <w:r>
        <w:t>o</w:t>
      </w:r>
      <w:r>
        <w:t>có al vehículo Duna en la puerta delantera izquierda, ro</w:t>
      </w:r>
      <w:r>
        <w:t>m</w:t>
      </w:r>
      <w:r>
        <w:t>piendo el espejo retrovisor; al Peugeot 505 “le pegó” del lado derecho, desplazándolo. Frente a ello, indicó, Ana comenzó a llorar, toda vez que había rayado el automóvil nuevo y dado que no había visto lo que acababa de suc</w:t>
      </w:r>
      <w:r>
        <w:t>e</w:t>
      </w:r>
      <w:r>
        <w:t>der.</w:t>
      </w:r>
    </w:p>
    <w:p w:rsidR="00224567" w:rsidRDefault="00224567">
      <w:pPr>
        <w:widowControl w:val="0"/>
      </w:pPr>
      <w:r>
        <w:tab/>
        <w:t>Relató que al escapar se topó con un embotellamiento en la esquina de José León Suárez, s</w:t>
      </w:r>
      <w:r>
        <w:t>u</w:t>
      </w:r>
      <w:r>
        <w:t>bió a la vereda y, al doblar, chocó contra una columna; en la colisión Ana se golpeó la cabeza e intentó abrir la pue</w:t>
      </w:r>
      <w:r>
        <w:t>r</w:t>
      </w:r>
      <w:r>
        <w:t>ta, impidiéndoselo. Que los ocupantes del veh</w:t>
      </w:r>
      <w:r>
        <w:t>í</w:t>
      </w:r>
      <w:r>
        <w:t>culo Galaxy llegaron corriendo adonde estaba, en tanto uno de ellos indicaba con la pistola que se baj</w:t>
      </w:r>
      <w:r>
        <w:t>a</w:t>
      </w:r>
      <w:r>
        <w:t>ra para hablar. Uno de los ind</w:t>
      </w:r>
      <w:r>
        <w:t>i</w:t>
      </w:r>
      <w:r>
        <w:t>viduos, agregó, tomó a Ana del cuello y otro puso la placa policial en el p</w:t>
      </w:r>
      <w:r>
        <w:t>a</w:t>
      </w:r>
      <w:r>
        <w:t xml:space="preserve">rabrisas para que la viera, dado que en el episodio de Olivos, según había dicho en </w:t>
      </w:r>
      <w:smartTag w:uri="urn:schemas-microsoft-com:office:smarttags" w:element="PersonName">
        <w:smartTagPr>
          <w:attr w:name="ProductID" w:val="la Brigada"/>
        </w:smartTagPr>
        <w:r>
          <w:t>la Br</w:t>
        </w:r>
        <w:r>
          <w:t>i</w:t>
        </w:r>
        <w:r>
          <w:t>gada</w:t>
        </w:r>
      </w:smartTag>
      <w:r>
        <w:t xml:space="preserve"> de Lanús, escapó debido a que ignoraba que eran pol</w:t>
      </w:r>
      <w:r>
        <w:t>i</w:t>
      </w:r>
      <w:r>
        <w:t>cías que intentaron interceptarlo. Manifestó que dio ma</w:t>
      </w:r>
      <w:r>
        <w:t>r</w:t>
      </w:r>
      <w:r>
        <w:t>cha atrás, se le trabó la dirección, logró arrancar y le dispararon un tiro, logrando huir, en tanto los demás a</w:t>
      </w:r>
      <w:r>
        <w:t>u</w:t>
      </w:r>
      <w:r>
        <w:t>tomóviles quedaron en el embotellamie</w:t>
      </w:r>
      <w:r>
        <w:t>n</w:t>
      </w:r>
      <w:r>
        <w:t>to.</w:t>
      </w:r>
    </w:p>
    <w:p w:rsidR="00224567" w:rsidRDefault="00224567">
      <w:pPr>
        <w:widowControl w:val="0"/>
      </w:pPr>
      <w:r>
        <w:tab/>
        <w:t>Telleldín señaló que dejó su v</w:t>
      </w:r>
      <w:r>
        <w:t>e</w:t>
      </w:r>
      <w:r>
        <w:t>hículo en una cochera, “trasladándolo luego a Córd</w:t>
      </w:r>
      <w:r>
        <w:t>o</w:t>
      </w:r>
      <w:r>
        <w:t>ba como prueba para demostrar que lo querían m</w:t>
      </w:r>
      <w:r>
        <w:t>a</w:t>
      </w:r>
      <w:r>
        <w:t>tar” (sic). Dijo que desde un teléfono público ubicado en la zona céntrica de la ci</w:t>
      </w:r>
      <w:r>
        <w:t>u</w:t>
      </w:r>
      <w:r>
        <w:t>dad de Buenos Aires llamó a Diego Barr</w:t>
      </w:r>
      <w:r>
        <w:t>e</w:t>
      </w:r>
      <w:r>
        <w:t>da y a Eduardo para que averiguasen qué pasaba, puesto que si bien el día 10 de julio le habían otorgado tres o cuatro días para term</w:t>
      </w:r>
      <w:r>
        <w:t>i</w:t>
      </w:r>
      <w:r>
        <w:t>nar el arreglo, no le habían dado un ultimátum. Así, n</w:t>
      </w:r>
      <w:r>
        <w:t>a</w:t>
      </w:r>
      <w:r>
        <w:t>rró, según Barreda podría tratarse de las brigadas de V</w:t>
      </w:r>
      <w:r>
        <w:t>i</w:t>
      </w:r>
      <w:r>
        <w:t>cente López y Lanús, aunque en la primera no tenía forma de averiguar, lo cual no era cierto ya que allí se dese</w:t>
      </w:r>
      <w:r>
        <w:t>m</w:t>
      </w:r>
      <w:r>
        <w:t>peñaba Bareiro. Puntualizó que esos llamados los realizó al teléfono celular de Barreda, quien decía que manejaba todo con un tal Fl</w:t>
      </w:r>
      <w:r>
        <w:t>o</w:t>
      </w:r>
      <w:r>
        <w:t>res.</w:t>
      </w:r>
    </w:p>
    <w:p w:rsidR="00224567" w:rsidRDefault="00224567">
      <w:pPr>
        <w:widowControl w:val="0"/>
      </w:pPr>
      <w:r>
        <w:tab/>
        <w:t>Explicó que pernoctó en el centro y al día siguiente se trasladó con Ana, en taxi, a una confit</w:t>
      </w:r>
      <w:r>
        <w:t>e</w:t>
      </w:r>
      <w:r>
        <w:t>ría sita en Monroe a dos cuadra de Crámer, toda vez que Barreda había arreglado una entr</w:t>
      </w:r>
      <w:r>
        <w:t>e</w:t>
      </w:r>
      <w:r>
        <w:t>vista con un abogado -Bottegal-, enviado por la brigada de investigaciones; a dicho letrado lo acompañaba una persona de barba que par</w:t>
      </w:r>
      <w:r>
        <w:t>e</w:t>
      </w:r>
      <w:r>
        <w:t>cía ser un policía de la brigada, pero que no i</w:t>
      </w:r>
      <w:r>
        <w:t>n</w:t>
      </w:r>
      <w:r>
        <w:t>tervino.</w:t>
      </w:r>
    </w:p>
    <w:p w:rsidR="00224567" w:rsidRDefault="00224567">
      <w:pPr>
        <w:widowControl w:val="0"/>
      </w:pPr>
      <w:r>
        <w:tab/>
        <w:t>Señaló que en la reunión hablaron del dinero que debía, resaltando que había solicitado cuatro días para pagar; a fin de obtener un plazo razonable, ofreció como garantía firmar un doc</w:t>
      </w:r>
      <w:r>
        <w:t>u</w:t>
      </w:r>
      <w:r>
        <w:t>mento por una isla de su propiedad ubicada en Tigre, v</w:t>
      </w:r>
      <w:r>
        <w:t>a</w:t>
      </w:r>
      <w:r>
        <w:t xml:space="preserve">luada en </w:t>
      </w:r>
      <w:r>
        <w:rPr>
          <w:lang w:val="es-MX"/>
        </w:rPr>
        <w:t xml:space="preserve">$ </w:t>
      </w:r>
      <w:r>
        <w:t>15.000, que no aceptaron, reclamándole el crucero. Apuntó que desconocía cómo se enteraron de la existe</w:t>
      </w:r>
      <w:r>
        <w:t>n</w:t>
      </w:r>
      <w:r>
        <w:t>cia de esa embarcación; que ofreció otro barco que t</w:t>
      </w:r>
      <w:r>
        <w:t>e</w:t>
      </w:r>
      <w:r>
        <w:t>nía en Uruguay, pero Ana no quiso y finalmente dio la embarcación “Gonzalo”, que valía, aproximadamente, USD 12.000, dado que el motor estaba r</w:t>
      </w:r>
      <w:r>
        <w:t>o</w:t>
      </w:r>
      <w:r>
        <w:t>to, circunstancia que omitió info</w:t>
      </w:r>
      <w:r>
        <w:t>r</w:t>
      </w:r>
      <w:r>
        <w:t>mar.</w:t>
      </w:r>
    </w:p>
    <w:p w:rsidR="00224567" w:rsidRDefault="00224567">
      <w:pPr>
        <w:widowControl w:val="0"/>
      </w:pPr>
      <w:r>
        <w:tab/>
        <w:t>Manifestó Telleldín que llamó a Jes</w:t>
      </w:r>
      <w:r>
        <w:t>i</w:t>
      </w:r>
      <w:r>
        <w:t>ca para avisarle que pasaría el Dr. Bottegal a retirar un m</w:t>
      </w:r>
      <w:r>
        <w:t>a</w:t>
      </w:r>
      <w:r>
        <w:t>letín con la documentación del barco y de propiedades de Ana. Relató que, encontrándose presente el padre de Jes</w:t>
      </w:r>
      <w:r>
        <w:t>i</w:t>
      </w:r>
      <w:r>
        <w:t>ca, Bottegal pasó a retirarlo por su domicilio, tal como surgía del radio-mensaje enviado por la nombrada. Puntu</w:t>
      </w:r>
      <w:r>
        <w:t>a</w:t>
      </w:r>
      <w:r>
        <w:t>lizó que se reencontró con Bottegal en un bar, sito en las Av. San Martín y General Paz, donde, al igual que con la camioneta Trafic, firmó un boleto, aunque en esta oport</w:t>
      </w:r>
      <w:r>
        <w:t>u</w:t>
      </w:r>
      <w:r>
        <w:t>nidad lo hizo en blanco, toda vez que la embarcación qu</w:t>
      </w:r>
      <w:r>
        <w:t>e</w:t>
      </w:r>
      <w:r>
        <w:t>daba en garantía; que para ello utilizó el mismo talon</w:t>
      </w:r>
      <w:r>
        <w:t>a</w:t>
      </w:r>
      <w:r>
        <w:t xml:space="preserve">rio de formularios que para el de </w:t>
      </w:r>
      <w:smartTag w:uri="urn:schemas-microsoft-com:office:smarttags" w:element="PersonName">
        <w:smartTagPr>
          <w:attr w:name="ProductID" w:val="la Trafic."/>
        </w:smartTagPr>
        <w:r>
          <w:t>la Trafic.</w:t>
        </w:r>
      </w:smartTag>
    </w:p>
    <w:p w:rsidR="00224567" w:rsidRDefault="00224567">
      <w:pPr>
        <w:widowControl w:val="0"/>
      </w:pPr>
      <w:r>
        <w:tab/>
        <w:t>Reconoció su firma en el boleto fot</w:t>
      </w:r>
      <w:r>
        <w:t>o</w:t>
      </w:r>
      <w:r>
        <w:t>copiado a fs. 1199, aclarando que el teléfono que allí f</w:t>
      </w:r>
      <w:r>
        <w:t>i</w:t>
      </w:r>
      <w:r>
        <w:t>guraba debía ser el de Bottegal, quien conducía un vehíc</w:t>
      </w:r>
      <w:r>
        <w:t>u</w:t>
      </w:r>
      <w:r>
        <w:t>lo cupé Fuego y que le dijo que se responsabil</w:t>
      </w:r>
      <w:r>
        <w:t>i</w:t>
      </w:r>
      <w:r>
        <w:t>zaba por su seguridad y que si veía algo raro le avisara, porque man</w:t>
      </w:r>
      <w:r>
        <w:t>e</w:t>
      </w:r>
      <w:r>
        <w:t>jaba a la policía y hablaba con t</w:t>
      </w:r>
      <w:r>
        <w:t>o</w:t>
      </w:r>
      <w:r>
        <w:t>dos los jefes.</w:t>
      </w:r>
    </w:p>
    <w:p w:rsidR="00224567" w:rsidRDefault="00224567">
      <w:pPr>
        <w:widowControl w:val="0"/>
      </w:pPr>
      <w:r>
        <w:tab/>
        <w:t>Mencionó que durante esos días lo ll</w:t>
      </w:r>
      <w:r>
        <w:t>a</w:t>
      </w:r>
      <w:r>
        <w:t>mó a Bottegal porque seguía viendo “capacha” en las inm</w:t>
      </w:r>
      <w:r>
        <w:t>e</w:t>
      </w:r>
      <w:r>
        <w:t>diaciones de su domicilio, en tanto en el ínterin busc</w:t>
      </w:r>
      <w:r>
        <w:t>a</w:t>
      </w:r>
      <w:r>
        <w:t>ba una vivienda para mudarse y que no lo encontraran. Por ú</w:t>
      </w:r>
      <w:r>
        <w:t>l</w:t>
      </w:r>
      <w:r>
        <w:t>timo, recordó que el abogado también le pidió un aut</w:t>
      </w:r>
      <w:r>
        <w:t>o</w:t>
      </w:r>
      <w:r>
        <w:t>móvil Renault 21.</w:t>
      </w:r>
    </w:p>
    <w:p w:rsidR="00224567" w:rsidRDefault="00224567">
      <w:pPr>
        <w:widowControl w:val="0"/>
      </w:pPr>
      <w:r>
        <w:tab/>
        <w:t>A efectos de explicar lo acont</w:t>
      </w:r>
      <w:r>
        <w:t>e</w:t>
      </w:r>
      <w:r>
        <w:t>cido la noche del 14 de julio, refirió que, al ll</w:t>
      </w:r>
      <w:r>
        <w:t>a</w:t>
      </w:r>
      <w:r>
        <w:t>mar por teléfono a su domicilio, Pérez le comentó que estaban rodeados y que una cámara de video apuntaba a la v</w:t>
      </w:r>
      <w:r>
        <w:t>i</w:t>
      </w:r>
      <w:r>
        <w:t>vienda; que en la casa también se encontraban Pérez Mejías y Cruz y que lo único comprom</w:t>
      </w:r>
      <w:r>
        <w:t>e</w:t>
      </w:r>
      <w:r>
        <w:t>tedor eran el bloque de motor del automóvil Renault 9 y los repuestos, que estaban en el fondo; le o</w:t>
      </w:r>
      <w:r>
        <w:t>r</w:t>
      </w:r>
      <w:r>
        <w:t>denó a Pérez salir para ver si lo detenían, indicándole que, en caso negativo, le enviara un radio-mensaje y luego s</w:t>
      </w:r>
      <w:r>
        <w:t>a</w:t>
      </w:r>
      <w:r>
        <w:t>lieran de a uno.</w:t>
      </w:r>
    </w:p>
    <w:p w:rsidR="00224567" w:rsidRDefault="00224567">
      <w:pPr>
        <w:widowControl w:val="0"/>
      </w:pPr>
      <w:r>
        <w:tab/>
        <w:t>Relató que Pérez salió del inmu</w:t>
      </w:r>
      <w:r>
        <w:t>e</w:t>
      </w:r>
      <w:r>
        <w:t>ble y de inmediato fue detenido por “Pino” y torturado durante seis horas a fin de que indicara su paradero, dato que aquél desconocía. Agregó Telleldín que, según creía, le dieron entrada a las 6.00, cuando en realidad la detención acaeció la noche anterior, recuperando su libertad el 15 de julio cua</w:t>
      </w:r>
      <w:r>
        <w:t>n</w:t>
      </w:r>
      <w:r>
        <w:t>do ya había anochecido.</w:t>
      </w:r>
    </w:p>
    <w:p w:rsidR="00224567" w:rsidRDefault="00224567">
      <w:pPr>
        <w:widowControl w:val="0"/>
      </w:pPr>
      <w:r>
        <w:tab/>
        <w:t>Asimismo, refirió que movilizó a Eduardo y a Barr</w:t>
      </w:r>
      <w:r>
        <w:t>e</w:t>
      </w:r>
      <w:r>
        <w:t>da a efectos de que averiguaran de dónde venía el problema y negociar, puesto que no sabía si eran sus acreedores o gente nueva. Negó conocer cómo había r</w:t>
      </w:r>
      <w:r>
        <w:t>e</w:t>
      </w:r>
      <w:r>
        <w:t>cuperado su libertad Pérez y si alguien se había interes</w:t>
      </w:r>
      <w:r>
        <w:t>a</w:t>
      </w:r>
      <w:r>
        <w:t>do por él. A la vez, añadió que la policía fue a su dom</w:t>
      </w:r>
      <w:r>
        <w:t>i</w:t>
      </w:r>
      <w:r>
        <w:t>cilio y tomó el nombre del ex marido de Ana, Schiavone, a quien le informaron que eran de una brigada de investig</w:t>
      </w:r>
      <w:r>
        <w:t>a</w:t>
      </w:r>
      <w:r>
        <w:t>ciones, que tenían montada una cámara en una camioneta vieja, con lona; as</w:t>
      </w:r>
      <w:r>
        <w:t>i</w:t>
      </w:r>
      <w:r>
        <w:t>mismo, que los chicos no debían tirar con aire comprimido porque romperían la lente de la cámara y que tenían conocimiento de que adentro del inmueble h</w:t>
      </w:r>
      <w:r>
        <w:t>a</w:t>
      </w:r>
      <w:r>
        <w:t>bía un automóvil “trucho”, por lo que allanarían el dom</w:t>
      </w:r>
      <w:r>
        <w:t>i</w:t>
      </w:r>
      <w:r>
        <w:t>cilio. Mencionó que Schiavone informó que no tenía vinc</w:t>
      </w:r>
      <w:r>
        <w:t>u</w:t>
      </w:r>
      <w:r>
        <w:t>lación alguna, que vivía en Salta y estaba visitando a los chicos.</w:t>
      </w:r>
    </w:p>
    <w:p w:rsidR="00224567" w:rsidRDefault="00224567">
      <w:pPr>
        <w:widowControl w:val="0"/>
      </w:pPr>
      <w:r>
        <w:tab/>
        <w:t>Por otra parte, narró el imputado que, en los primeros meses de 1995, conoció a Ramón Emilio S</w:t>
      </w:r>
      <w:r>
        <w:t>o</w:t>
      </w:r>
      <w:r>
        <w:t>lari, quien presentaba diversos tatu</w:t>
      </w:r>
      <w:r>
        <w:t>a</w:t>
      </w:r>
      <w:r>
        <w:t xml:space="preserve">jes en su cuerpo, en </w:t>
      </w:r>
      <w:smartTag w:uri="urn:schemas-microsoft-com:office:smarttags" w:element="PersonName">
        <w:smartTagPr>
          <w:attr w:name="ProductID" w:val="la Alcaid￭a"/>
        </w:smartTagPr>
        <w:r>
          <w:t>la Alcaidía</w:t>
        </w:r>
      </w:smartTag>
      <w:r>
        <w:t xml:space="preserve"> de Tribunales; el nombrado se presentó, le d</w:t>
      </w:r>
      <w:r>
        <w:t>i</w:t>
      </w:r>
      <w:r>
        <w:t>jo que estaba en la causa A.M.I.A. y le indicó que debía reconocerlo como el comprador de la camioneta, a lo que le respondió que estaba loco. Añadió que Solari le requirió información, como por ejemplo si la camioneta t</w:t>
      </w:r>
      <w:r>
        <w:t>e</w:t>
      </w:r>
      <w:r>
        <w:t>nía puerta lateral, contestándole que sí, cuando en realidad eso no era correcto; también le preguntó sobre las característ</w:t>
      </w:r>
      <w:r>
        <w:t>i</w:t>
      </w:r>
      <w:r>
        <w:t>cas del frente de su vivienda, a lo que respondió que era de ladr</w:t>
      </w:r>
      <w:r>
        <w:t>i</w:t>
      </w:r>
      <w:r>
        <w:t>llo vista, cuando en realidad era de piedra. Tales circunstancias, afirmó, las puso en conocimiento del d</w:t>
      </w:r>
      <w:r>
        <w:t>i</w:t>
      </w:r>
      <w:r>
        <w:t xml:space="preserve">rector de </w:t>
      </w:r>
      <w:smartTag w:uri="urn:schemas-microsoft-com:office:smarttags" w:element="PersonName">
        <w:smartTagPr>
          <w:attr w:name="ProductID" w:val="la Unidad"/>
        </w:smartTagPr>
        <w:r>
          <w:t>la Unidad</w:t>
        </w:r>
      </w:smartTag>
      <w:r>
        <w:t xml:space="preserve"> nº 28.</w:t>
      </w:r>
    </w:p>
    <w:p w:rsidR="00224567" w:rsidRDefault="00224567">
      <w:pPr>
        <w:widowControl w:val="0"/>
      </w:pPr>
      <w:r>
        <w:tab/>
        <w:t>Manifestó que cuando estaba detenido en el Departamento Protección del Orden Constituci</w:t>
      </w:r>
      <w:r>
        <w:t>o</w:t>
      </w:r>
      <w:r>
        <w:t>nal, a fines de 1994, Ana concurrió a visitarlo junto con una m</w:t>
      </w:r>
      <w:r>
        <w:t>u</w:t>
      </w:r>
      <w:r>
        <w:t>jer apodada “Vicky”, amante de Bareiro, contándole la s</w:t>
      </w:r>
      <w:r>
        <w:t>e</w:t>
      </w:r>
      <w:r>
        <w:t>gunda que un detenido que resultaba creíble corroboraría todos sus dichos; que unos días antes Ana comentó que B</w:t>
      </w:r>
      <w:r>
        <w:t>a</w:t>
      </w:r>
      <w:r>
        <w:t xml:space="preserve">reiro había dicho que en </w:t>
      </w:r>
      <w:smartTag w:uri="urn:schemas-microsoft-com:office:smarttags" w:element="PersonName">
        <w:smartTagPr>
          <w:attr w:name="ProductID" w:val="la Brigada"/>
        </w:smartTagPr>
        <w:r>
          <w:t>la Brigada</w:t>
        </w:r>
      </w:smartTag>
      <w:r>
        <w:t xml:space="preserve"> de Vicente López había un detenido que confirmaba sus dichos. Aclaró que ni Ana ni “Vicky” le informaron el nombre de la persona ref</w:t>
      </w:r>
      <w:r>
        <w:t>e</w:t>
      </w:r>
      <w:r>
        <w:t>rida.</w:t>
      </w:r>
    </w:p>
    <w:p w:rsidR="00224567" w:rsidRDefault="00224567">
      <w:pPr>
        <w:widowControl w:val="0"/>
      </w:pPr>
      <w:r>
        <w:tab/>
        <w:t>Expuso Telleldín que comunicó la s</w:t>
      </w:r>
      <w:r>
        <w:t>i</w:t>
      </w:r>
      <w:r>
        <w:t>tuación descripta a un oficial del Departamento Prote</w:t>
      </w:r>
      <w:r>
        <w:t>c</w:t>
      </w:r>
      <w:r>
        <w:t>ción del Orden Constitucional de apellido He</w:t>
      </w:r>
      <w:r>
        <w:t>i</w:t>
      </w:r>
      <w:r>
        <w:t>se, quien dijo no tener información sobre ese det</w:t>
      </w:r>
      <w:r>
        <w:t>e</w:t>
      </w:r>
      <w:r>
        <w:t>nido.</w:t>
      </w:r>
    </w:p>
    <w:p w:rsidR="00224567" w:rsidRDefault="00224567">
      <w:pPr>
        <w:widowControl w:val="0"/>
      </w:pPr>
      <w:r>
        <w:tab/>
        <w:t>Expresó que en enero fue trasl</w:t>
      </w:r>
      <w:r>
        <w:t>a</w:t>
      </w:r>
      <w:r>
        <w:t>dado a la cárcel de Caseros junto con su hermano Eduardo y aloj</w:t>
      </w:r>
      <w:r>
        <w:t>a</w:t>
      </w:r>
      <w:r>
        <w:t>dos en la planta baja “C”; tras una pelea en que unos i</w:t>
      </w:r>
      <w:r>
        <w:t>n</w:t>
      </w:r>
      <w:r>
        <w:t>dividuos de nacionalidad paraguaya los defendieron, é</w:t>
      </w:r>
      <w:r>
        <w:t>s</w:t>
      </w:r>
      <w:r>
        <w:t>tos le comentaron que en Vicente López habían estado con otra persona implicada en el tema A.M.I.A.. Precisó que los p</w:t>
      </w:r>
      <w:r>
        <w:t>a</w:t>
      </w:r>
      <w:r>
        <w:t>raguayos, cuyo apellido no r</w:t>
      </w:r>
      <w:r>
        <w:t>e</w:t>
      </w:r>
      <w:r>
        <w:t>cordó, se hallaban detenidos en la causa conocida como “Tormenta Verde”, vinculando e</w:t>
      </w:r>
      <w:r>
        <w:t>s</w:t>
      </w:r>
      <w:r>
        <w:t>tas manifestaciones con los dichos de “Vi</w:t>
      </w:r>
      <w:r>
        <w:t>c</w:t>
      </w:r>
      <w:r>
        <w:t>ky”.</w:t>
      </w:r>
    </w:p>
    <w:p w:rsidR="00224567" w:rsidRDefault="00224567">
      <w:pPr>
        <w:widowControl w:val="0"/>
      </w:pPr>
      <w:r>
        <w:tab/>
        <w:t>Que, conforme comentaran los paragu</w:t>
      </w:r>
      <w:r>
        <w:t>a</w:t>
      </w:r>
      <w:r>
        <w:t>yos, el sujeto referido salía todos los días a est</w:t>
      </w:r>
      <w:r>
        <w:t>u</w:t>
      </w:r>
      <w:r>
        <w:t xml:space="preserve">diar y tenía su dirección y papeles de </w:t>
      </w:r>
      <w:smartTag w:uri="urn:schemas-microsoft-com:office:smarttags" w:element="PersonName">
        <w:smartTagPr>
          <w:attr w:name="ProductID" w:val="la A.M"/>
        </w:smartTagPr>
        <w:r>
          <w:t>la A.M</w:t>
        </w:r>
      </w:smartTag>
      <w:r>
        <w:t>.I.A.; no supieron decirle si era para perjudicarlo, aceptando ser testigos en caso de así requerírselo. Asimismo, r</w:t>
      </w:r>
      <w:r>
        <w:t>e</w:t>
      </w:r>
      <w:r>
        <w:t>cordó que el más gordito, que según creía se llamaba Francisco, tenía una Biblia en la que se hallaba anotado su nombre, la dire</w:t>
      </w:r>
      <w:r>
        <w:t>c</w:t>
      </w:r>
      <w:r>
        <w:t xml:space="preserve">ción de la calle República y otros datos relativos a </w:t>
      </w:r>
      <w:smartTag w:uri="urn:schemas-microsoft-com:office:smarttags" w:element="PersonName">
        <w:smartTagPr>
          <w:attr w:name="ProductID" w:val="la Trafic"/>
        </w:smartTagPr>
        <w:r>
          <w:t>la Trafic</w:t>
        </w:r>
      </w:smartTag>
      <w:r>
        <w:t xml:space="preserve"> y a su estatura, explicándole que se la había reg</w:t>
      </w:r>
      <w:r>
        <w:t>a</w:t>
      </w:r>
      <w:r>
        <w:t>lado Solari mientras estuvieron detenidos ju</w:t>
      </w:r>
      <w:r>
        <w:t>n</w:t>
      </w:r>
      <w:r>
        <w:t>tos.</w:t>
      </w:r>
    </w:p>
    <w:p w:rsidR="00224567" w:rsidRDefault="00224567">
      <w:pPr>
        <w:widowControl w:val="0"/>
      </w:pPr>
      <w:r>
        <w:tab/>
        <w:t>Mencionó que los tres paraguayos ref</w:t>
      </w:r>
      <w:r>
        <w:t>i</w:t>
      </w:r>
      <w:r>
        <w:t>rieron que les resultaba extraño que Solari saliera con frecuencia y anduviera con tantos papeles, afirma</w:t>
      </w:r>
      <w:r>
        <w:t>n</w:t>
      </w:r>
      <w:r>
        <w:t>do estar vinculado con el tema A.M.I.A.; al encontrarlos en el ju</w:t>
      </w:r>
      <w:r>
        <w:t>z</w:t>
      </w:r>
      <w:r>
        <w:t>gado instructor, les solicitó que dijeran la verdad, pue</w:t>
      </w:r>
      <w:r>
        <w:t>s</w:t>
      </w:r>
      <w:r>
        <w:t>to que no lo perjudic</w:t>
      </w:r>
      <w:r>
        <w:t>a</w:t>
      </w:r>
      <w:r>
        <w:t>ban. Dedujo que si Solari estuvo en Vicente López debía ser conoc</w:t>
      </w:r>
      <w:r>
        <w:t>i</w:t>
      </w:r>
      <w:r>
        <w:t>do de Bareiro, toda vez que coincidía con lo dicho por “Vi</w:t>
      </w:r>
      <w:r>
        <w:t>c</w:t>
      </w:r>
      <w:r>
        <w:t>ky”.</w:t>
      </w:r>
    </w:p>
    <w:p w:rsidR="00224567" w:rsidRDefault="00224567">
      <w:pPr>
        <w:pStyle w:val="Textoindependiente"/>
        <w:spacing w:line="600" w:lineRule="auto"/>
      </w:pPr>
      <w:r>
        <w:tab/>
        <w:t>En otro orden, el imputado aclaró que al huir, cuando fue al domicilio de su hermano, no se d</w:t>
      </w:r>
      <w:r>
        <w:t>i</w:t>
      </w:r>
      <w:r>
        <w:t>rigió a la agencia tal como dijera precedentemente, s</w:t>
      </w:r>
      <w:r>
        <w:t>i</w:t>
      </w:r>
      <w:r>
        <w:t>no que fue a la casa de Jaimes, pensando en quedarse allí, pero al n</w:t>
      </w:r>
      <w:r>
        <w:t>o</w:t>
      </w:r>
      <w:r>
        <w:t>tar que había una “patota” en un automóvil Peugeot 504 c</w:t>
      </w:r>
      <w:r>
        <w:t>o</w:t>
      </w:r>
      <w:r>
        <w:t>lor blanco se fue a Luján y, luego de un rato, decidió t</w:t>
      </w:r>
      <w:r>
        <w:t>o</w:t>
      </w:r>
      <w:r>
        <w:t>mar el primer ómnibus que parti</w:t>
      </w:r>
      <w:r>
        <w:t>e</w:t>
      </w:r>
      <w:r>
        <w:t>ra.</w:t>
      </w:r>
    </w:p>
    <w:p w:rsidR="00224567" w:rsidRDefault="00224567">
      <w:pPr>
        <w:widowControl w:val="0"/>
      </w:pPr>
      <w:r>
        <w:tab/>
        <w:t>Telleldín señaló que antes de viajar habló con Ana y Barreda, avisándole la prim</w:t>
      </w:r>
      <w:r>
        <w:t>e</w:t>
      </w:r>
      <w:r>
        <w:t>ra que la casa se hallaba rodeada; viajó durante d</w:t>
      </w:r>
      <w:r>
        <w:t>o</w:t>
      </w:r>
      <w:r>
        <w:t xml:space="preserve">ce horas en autobús y al llegar llamó a Ana, quien le informó que había estado detenida por el tema de </w:t>
      </w:r>
      <w:smartTag w:uri="urn:schemas-microsoft-com:office:smarttags" w:element="PersonName">
        <w:smartTagPr>
          <w:attr w:name="ProductID" w:val="la A.M"/>
        </w:smartTagPr>
        <w:r>
          <w:t>la A.M</w:t>
        </w:r>
      </w:smartTag>
      <w:r>
        <w:t>.I.A. y lo comunicó con B</w:t>
      </w:r>
      <w:r>
        <w:t>a</w:t>
      </w:r>
      <w:r>
        <w:t>rreda y Bareiro, que le aconsejaron prese</w:t>
      </w:r>
      <w:r>
        <w:t>n</w:t>
      </w:r>
      <w:r>
        <w:t>tarse.</w:t>
      </w:r>
    </w:p>
    <w:p w:rsidR="00224567" w:rsidRDefault="00224567">
      <w:pPr>
        <w:widowControl w:val="0"/>
      </w:pPr>
      <w:r>
        <w:tab/>
        <w:t>En orden a su detención en Aeropa</w:t>
      </w:r>
      <w:r>
        <w:t>r</w:t>
      </w:r>
      <w:r>
        <w:t>que, dijo que Barr</w:t>
      </w:r>
      <w:r>
        <w:t>e</w:t>
      </w:r>
      <w:r>
        <w:t xml:space="preserve">da concurrió con la policía; cuando llamó a su casa conversó con personal de </w:t>
      </w:r>
      <w:smartTag w:uri="urn:schemas-microsoft-com:office:smarttags" w:element="PersonName">
        <w:smartTagPr>
          <w:attr w:name="ProductID" w:val="la S.I"/>
        </w:smartTagPr>
        <w:r>
          <w:t>la S.I</w:t>
        </w:r>
      </w:smartTag>
      <w:r>
        <w:t>.D.E. que se hall</w:t>
      </w:r>
      <w:r>
        <w:t>a</w:t>
      </w:r>
      <w:r>
        <w:t xml:space="preserve">ba allí junto con Barreda y Bareiro. Negó haber hablado con algún abogado. Añadió que la noche en que partió, Ana fue detenida y personal de </w:t>
      </w:r>
      <w:smartTag w:uri="urn:schemas-microsoft-com:office:smarttags" w:element="PersonName">
        <w:smartTagPr>
          <w:attr w:name="ProductID" w:val="la S.I"/>
        </w:smartTagPr>
        <w:r>
          <w:t>la S.I</w:t>
        </w:r>
      </w:smartTag>
      <w:r>
        <w:t>.D.E. se instaló en su domicilio, encontrándose allí, ta</w:t>
      </w:r>
      <w:r>
        <w:t>m</w:t>
      </w:r>
      <w:r>
        <w:t>bién, Barreda, Bareiro, “Vicky” y pe</w:t>
      </w:r>
      <w:r>
        <w:t>r</w:t>
      </w:r>
      <w:r>
        <w:t>sonal del Mossad.</w:t>
      </w:r>
    </w:p>
    <w:p w:rsidR="00224567" w:rsidRDefault="00224567">
      <w:pPr>
        <w:widowControl w:val="0"/>
      </w:pPr>
      <w:r>
        <w:tab/>
        <w:t>En otro sentido, el imputado negó c</w:t>
      </w:r>
      <w:r>
        <w:t>o</w:t>
      </w:r>
      <w:r>
        <w:t>nocer a un policía de apellido Valenzuela, a Edul o a otro p</w:t>
      </w:r>
      <w:r>
        <w:t>o</w:t>
      </w:r>
      <w:r>
        <w:t xml:space="preserve">licía llamado Chabán, al menos por ese nombre. Asimismo, rehusó conocer a persona alguna que durante el año 1994 prestara servicios en </w:t>
      </w:r>
      <w:smartTag w:uri="urn:schemas-microsoft-com:office:smarttags" w:element="PersonName">
        <w:smartTagPr>
          <w:attr w:name="ProductID" w:val="la Comisar￭a"/>
        </w:smartTagPr>
        <w:r>
          <w:t>la Comisaría</w:t>
        </w:r>
      </w:smartTag>
      <w:r>
        <w:t xml:space="preserve"> de Santos Lug</w:t>
      </w:r>
      <w:r>
        <w:t>a</w:t>
      </w:r>
      <w:r>
        <w:t>res, sin explicar los llamados realizados desde esa dependencia a su domicilio de la calle República 107, c</w:t>
      </w:r>
      <w:r>
        <w:t>o</w:t>
      </w:r>
      <w:r>
        <w:t>mo al de Eduardo Telleldín. No obstante, aclaró que Barreda y Bareiro pe</w:t>
      </w:r>
      <w:r>
        <w:t>r</w:t>
      </w:r>
      <w:r>
        <w:t>manecían en su casa mucho tiempo y podían recibir llam</w:t>
      </w:r>
      <w:r>
        <w:t>a</w:t>
      </w:r>
      <w:r>
        <w:t>das.</w:t>
      </w:r>
    </w:p>
    <w:p w:rsidR="00224567" w:rsidRDefault="00224567">
      <w:pPr>
        <w:widowControl w:val="0"/>
      </w:pPr>
      <w:r>
        <w:tab/>
        <w:t xml:space="preserve">Interrogado Telleldín acerca de las visitas de </w:t>
      </w:r>
      <w:smartTag w:uri="urn:schemas-microsoft-com:office:smarttags" w:element="PersonName">
        <w:smartTagPr>
          <w:attr w:name="ProductID" w:val="la Dra. Riva"/>
        </w:smartTagPr>
        <w:r>
          <w:t>la Dra. Riva</w:t>
        </w:r>
      </w:smartTag>
      <w:r>
        <w:t xml:space="preserve"> Aramayo a su lugar de detención, explicó que puso en conocimiento de la magistrada los arreglos policiales que debió efectuar y que co</w:t>
      </w:r>
      <w:r>
        <w:t>m</w:t>
      </w:r>
      <w:r>
        <w:t>prendieron la entrega de la camioneta. Asimismo, manifestó que si bien no tenía vincul</w:t>
      </w:r>
      <w:r>
        <w:t>a</w:t>
      </w:r>
      <w:r>
        <w:t>ción alguna con el tema del atentado, podía brindar la línea de investig</w:t>
      </w:r>
      <w:r>
        <w:t>a</w:t>
      </w:r>
      <w:r>
        <w:t>ción correcta, dándole algunos datos sobre testigos y descripciones del pe</w:t>
      </w:r>
      <w:r>
        <w:t>r</w:t>
      </w:r>
      <w:r>
        <w:t>sonal policial interviniente en los “apri</w:t>
      </w:r>
      <w:r>
        <w:t>e</w:t>
      </w:r>
      <w:r>
        <w:t>tes”.</w:t>
      </w:r>
    </w:p>
    <w:p w:rsidR="00224567" w:rsidRDefault="00224567">
      <w:pPr>
        <w:pStyle w:val="Sangradetextonormal"/>
        <w:widowControl w:val="0"/>
        <w:ind w:firstLine="0"/>
      </w:pPr>
      <w:r>
        <w:tab/>
        <w:t>Por otra parte, admitió que mantuvo entrevistas con p</w:t>
      </w:r>
      <w:r>
        <w:t>e</w:t>
      </w:r>
      <w:r>
        <w:t xml:space="preserve">riodistas del diario “Página </w:t>
      </w:r>
      <w:smartTag w:uri="urn:schemas-microsoft-com:office:smarttags" w:element="metricconverter">
        <w:smartTagPr>
          <w:attr w:name="ProductID" w:val="12”"/>
        </w:smartTagPr>
        <w:r>
          <w:t>12”</w:t>
        </w:r>
      </w:smartTag>
      <w:r>
        <w:t>, en las que se refirió a la corrupción policial, pero no al caso A.M.I.A., ajustándose el texto de la nota public</w:t>
      </w:r>
      <w:r>
        <w:t>a</w:t>
      </w:r>
      <w:r>
        <w:t>da el 16 de julio de 1995 (ver fs. 711 de la ex-causa 1598) a lo que dijera en esas entrevistas. Explicó que en ese repo</w:t>
      </w:r>
      <w:r>
        <w:t>r</w:t>
      </w:r>
      <w:r>
        <w:t>taje le dijo a su interlocutor que no era cierto que h</w:t>
      </w:r>
      <w:r>
        <w:t>u</w:t>
      </w:r>
      <w:r>
        <w:t xml:space="preserve">biera entregado </w:t>
      </w:r>
      <w:smartTag w:uri="urn:schemas-microsoft-com:office:smarttags" w:element="PersonName">
        <w:smartTagPr>
          <w:attr w:name="ProductID" w:val="la Trafic"/>
        </w:smartTagPr>
        <w:r>
          <w:t>la Trafic</w:t>
        </w:r>
      </w:smartTag>
      <w:r>
        <w:t xml:space="preserve"> a oficiales de </w:t>
      </w:r>
      <w:smartTag w:uri="urn:schemas-microsoft-com:office:smarttags" w:element="PersonName">
        <w:smartTagPr>
          <w:attr w:name="ProductID" w:val="la Polic￭a Bonaerense"/>
        </w:smartTagPr>
        <w:r>
          <w:t>la Policía Bona</w:t>
        </w:r>
        <w:r>
          <w:t>e</w:t>
        </w:r>
        <w:r>
          <w:t>rense</w:t>
        </w:r>
      </w:smartTag>
      <w:r>
        <w:t>, porque de lo contrario “se armaba un despelote” (sic), adecuándose el resto, en térm</w:t>
      </w:r>
      <w:r>
        <w:t>i</w:t>
      </w:r>
      <w:r>
        <w:t>nos generales, a sus manifestaciones, aunque algunas cosas no eran verd</w:t>
      </w:r>
      <w:r>
        <w:t>a</w:t>
      </w:r>
      <w:r>
        <w:t>deras. Finalmente, aseguró que la versión real era la brindada en esa declaración indag</w:t>
      </w:r>
      <w:r>
        <w:t>a</w:t>
      </w:r>
      <w:r>
        <w:t>toria.</w:t>
      </w:r>
    </w:p>
    <w:p w:rsidR="00224567" w:rsidRDefault="00224567">
      <w:pPr>
        <w:widowControl w:val="0"/>
      </w:pPr>
      <w:r>
        <w:tab/>
        <w:t>Por último, Telleldín confeccionó d</w:t>
      </w:r>
      <w:r>
        <w:t>i</w:t>
      </w:r>
      <w:r>
        <w:t>versos croquis, ind</w:t>
      </w:r>
      <w:r>
        <w:t>i</w:t>
      </w:r>
      <w:r>
        <w:t>vidualizados con las letras A, B, C y D, en los cuales graficó los proced</w:t>
      </w:r>
      <w:r>
        <w:t>i</w:t>
      </w:r>
      <w:r>
        <w:t>mientos de los días 15 de marzo, 4 de abril, 10 de julio y 14 de julio, respect</w:t>
      </w:r>
      <w:r>
        <w:t>i</w:t>
      </w:r>
      <w:r>
        <w:t>vamente.</w:t>
      </w:r>
    </w:p>
    <w:p w:rsidR="00224567" w:rsidRDefault="00224567">
      <w:pPr>
        <w:widowControl w:val="0"/>
      </w:pPr>
      <w:r>
        <w:tab/>
        <w:t>A fs. 42.597/42.598, el 20 de j</w:t>
      </w:r>
      <w:r>
        <w:t>u</w:t>
      </w:r>
      <w:r>
        <w:t>nio de 1997, Carlos Alberto Telleldín amplió su declaración ind</w:t>
      </w:r>
      <w:r>
        <w:t>a</w:t>
      </w:r>
      <w:r>
        <w:t>gatoria, ocasión en la que, entre otras manifestaciones, no reconoció a Barg entre las vistas fotográf</w:t>
      </w:r>
      <w:r>
        <w:t>i</w:t>
      </w:r>
      <w:r>
        <w:t>cas obrantes en el legajo de fotografías identificado como “1598 – R</w:t>
      </w:r>
      <w:r>
        <w:t>e</w:t>
      </w:r>
      <w:r>
        <w:t>lacionado con legajo 2-A”, agregando que ninguna de las personas lucía anteojos como el indiv</w:t>
      </w:r>
      <w:r>
        <w:t>i</w:t>
      </w:r>
      <w:r>
        <w:t>duo que se presentó como Ramón Martínez; en el mismo sentido, aseguró que no se trataba de ninguno de los sujetos fotografiados con los núm</w:t>
      </w:r>
      <w:r>
        <w:t>e</w:t>
      </w:r>
      <w:r>
        <w:t>ros 1, 3, 4, 5, 6 y 8.</w:t>
      </w:r>
    </w:p>
    <w:p w:rsidR="00224567" w:rsidRDefault="00224567">
      <w:pPr>
        <w:widowControl w:val="0"/>
      </w:pPr>
      <w:r>
        <w:tab/>
        <w:t>El 22 de agosto de 1997 (fs. 26.780/26.785) nuevame</w:t>
      </w:r>
      <w:r>
        <w:t>n</w:t>
      </w:r>
      <w:r>
        <w:t>te amplió sus dichos, ocasión en la que puso en conocimiento del magistrado instructor una s</w:t>
      </w:r>
      <w:r>
        <w:t>e</w:t>
      </w:r>
      <w:r>
        <w:t>rie de s</w:t>
      </w:r>
      <w:r>
        <w:t>i</w:t>
      </w:r>
      <w:r>
        <w:t>tuaciones irregulares que presenció a lo largo de su detención.</w:t>
      </w:r>
    </w:p>
    <w:p w:rsidR="00224567" w:rsidRDefault="00224567">
      <w:pPr>
        <w:widowControl w:val="0"/>
      </w:pPr>
      <w:r>
        <w:tab/>
        <w:t>A fs. 28.688/28.690, el 6 de febrero de 1998, manifestó Telleldín que la fotografía i</w:t>
      </w:r>
      <w:r>
        <w:t>n</w:t>
      </w:r>
      <w:r>
        <w:t>serta en su Documento Nacional de Identidad nº 14.536.215 era or</w:t>
      </w:r>
      <w:r>
        <w:t>i</w:t>
      </w:r>
      <w:r>
        <w:t>ginal. En tal sentido, refirió que le entregaron dicho instrumento en el Registro Nacional de las Pers</w:t>
      </w:r>
      <w:r>
        <w:t>o</w:t>
      </w:r>
      <w:r>
        <w:t>nas, en el mismo estado en que se encontraba; es decir, con las l</w:t>
      </w:r>
      <w:r>
        <w:t>e</w:t>
      </w:r>
      <w:r>
        <w:t>tras “CC” y sin la letra “L” en su apellido. Conjeturó que si la fotografía fue sustituida, ello d</w:t>
      </w:r>
      <w:r>
        <w:t>e</w:t>
      </w:r>
      <w:r>
        <w:t>bió ocurrir en el Departamento Protección del Orden Constitucional. Negó t</w:t>
      </w:r>
      <w:r>
        <w:t>o</w:t>
      </w:r>
      <w:r>
        <w:t>do tipo de imputación relativa a la adulteración del D.N.I. s</w:t>
      </w:r>
      <w:r>
        <w:t>e</w:t>
      </w:r>
      <w:r>
        <w:t>cuestrado.</w:t>
      </w:r>
    </w:p>
    <w:p w:rsidR="00224567" w:rsidRDefault="00224567">
      <w:pPr>
        <w:widowControl w:val="0"/>
      </w:pPr>
      <w:r>
        <w:tab/>
        <w:t>Se remitió a lo expuesto en sus ant</w:t>
      </w:r>
      <w:r>
        <w:t>e</w:t>
      </w:r>
      <w:r>
        <w:t xml:space="preserve">riores declaraciones, en cuanto a que en el año 1993 se presentó en </w:t>
      </w:r>
      <w:smartTag w:uri="urn:schemas-microsoft-com:office:smarttags" w:element="PersonName">
        <w:smartTagPr>
          <w:attr w:name="ProductID" w:val="la Secci￳n Olivos"/>
        </w:smartTagPr>
        <w:r>
          <w:t>la Se</w:t>
        </w:r>
        <w:r>
          <w:t>c</w:t>
        </w:r>
        <w:r>
          <w:t>ción Olivos</w:t>
        </w:r>
      </w:smartTag>
      <w:r>
        <w:t xml:space="preserve"> del Registro Nacional de las Personas a fin de solicitar que c</w:t>
      </w:r>
      <w:r>
        <w:t>o</w:t>
      </w:r>
      <w:r>
        <w:t>rrigieran el error en el apellido que presentaba el cartular, qu</w:t>
      </w:r>
      <w:r>
        <w:t>e</w:t>
      </w:r>
      <w:r>
        <w:t>dando ese trámite asentado en los registros de Olivos y de Belgrano, a los cuales conc</w:t>
      </w:r>
      <w:r>
        <w:t>u</w:t>
      </w:r>
      <w:r>
        <w:t>rrió.</w:t>
      </w:r>
    </w:p>
    <w:p w:rsidR="00224567" w:rsidRDefault="00224567">
      <w:pPr>
        <w:widowControl w:val="0"/>
      </w:pPr>
      <w:r>
        <w:tab/>
        <w:t>Expresó que al comparecer ante el R</w:t>
      </w:r>
      <w:r>
        <w:t>e</w:t>
      </w:r>
      <w:r>
        <w:t>gistro de Olivos a fin de denunciar la anomalía en su D</w:t>
      </w:r>
      <w:r>
        <w:t>o</w:t>
      </w:r>
      <w:r>
        <w:t>cumento Nacional de Identidad, solicitó un cuadripl</w:t>
      </w:r>
      <w:r>
        <w:t>i</w:t>
      </w:r>
      <w:r>
        <w:t>cado, oportunidad en la que le entregaron un comprobante y le informaron que el nuevo documento estaría listo en aprox</w:t>
      </w:r>
      <w:r>
        <w:t>i</w:t>
      </w:r>
      <w:r>
        <w:t>madamente ocho meses; no llegó a retirar el nuevo eje</w:t>
      </w:r>
      <w:r>
        <w:t>m</w:t>
      </w:r>
      <w:r>
        <w:t>plar, por cuanto resultó detenido en las presentes actu</w:t>
      </w:r>
      <w:r>
        <w:t>a</w:t>
      </w:r>
      <w:r>
        <w:t>ciones.</w:t>
      </w:r>
    </w:p>
    <w:p w:rsidR="00224567" w:rsidRDefault="00224567">
      <w:pPr>
        <w:widowControl w:val="0"/>
      </w:pPr>
      <w:r>
        <w:tab/>
        <w:t xml:space="preserve">Por otra parte, Telleldín afirmó que en ocasión de su detención por parte de personal de </w:t>
      </w:r>
      <w:smartTag w:uri="urn:schemas-microsoft-com:office:smarttags" w:element="PersonName">
        <w:smartTagPr>
          <w:attr w:name="ProductID" w:val="la Brigada"/>
        </w:smartTagPr>
        <w:r>
          <w:t>la Brigada</w:t>
        </w:r>
      </w:smartTag>
      <w:r>
        <w:t xml:space="preserve"> de Investigaciones de Lanús, al arr</w:t>
      </w:r>
      <w:r>
        <w:t>i</w:t>
      </w:r>
      <w:r>
        <w:t>bar a la sede de esa dependencia, presentó el documento en cuestión a fin de identificarse. Añadió que, según los dichos de Sp</w:t>
      </w:r>
      <w:r>
        <w:t>a</w:t>
      </w:r>
      <w:r>
        <w:t>gnuolo en la causa, Ribelli llamó al Registro de las Pe</w:t>
      </w:r>
      <w:r>
        <w:t>r</w:t>
      </w:r>
      <w:r>
        <w:t>sonas a fin de averiguar si el documento era bueno, toda vez que si comprobaba su falsedad tendría otro elemento más para obtener din</w:t>
      </w:r>
      <w:r>
        <w:t>e</w:t>
      </w:r>
      <w:r>
        <w:t>ro suyo.</w:t>
      </w:r>
    </w:p>
    <w:p w:rsidR="00224567" w:rsidRDefault="00224567">
      <w:pPr>
        <w:widowControl w:val="0"/>
      </w:pPr>
      <w:r>
        <w:tab/>
        <w:t>Señaló que en todo momento tuvo el instrumento cuestionado en su poder y que entre los años 1992 y 1994 fue su documento personal, para todo tipo de trámite que así lo requiriera, incl</w:t>
      </w:r>
      <w:r>
        <w:t>u</w:t>
      </w:r>
      <w:r>
        <w:t>yendo las operaciones comerciales que realizaba con a</w:t>
      </w:r>
      <w:r>
        <w:t>u</w:t>
      </w:r>
      <w:r>
        <w:t xml:space="preserve">tomotores. Hizo saber que cuando tramitó el registro de conductor ante </w:t>
      </w:r>
      <w:smartTag w:uri="urn:schemas-microsoft-com:office:smarttags" w:element="PersonName">
        <w:smartTagPr>
          <w:attr w:name="ProductID" w:val="la Municipalidad"/>
        </w:smartTagPr>
        <w:r>
          <w:t>la Municip</w:t>
        </w:r>
        <w:r>
          <w:t>a</w:t>
        </w:r>
        <w:r>
          <w:t>lidad</w:t>
        </w:r>
      </w:smartTag>
      <w:r>
        <w:t xml:space="preserve"> de Vicente López no accedieron a escribir su apell</w:t>
      </w:r>
      <w:r>
        <w:t>i</w:t>
      </w:r>
      <w:r>
        <w:t>do en forma correcta, argumentando que debían asentarlo tal como figuraba en su Documento Nacional de Ident</w:t>
      </w:r>
      <w:r>
        <w:t>i</w:t>
      </w:r>
      <w:r>
        <w:t>dad.</w:t>
      </w:r>
    </w:p>
    <w:p w:rsidR="00224567" w:rsidRDefault="00224567">
      <w:pPr>
        <w:widowControl w:val="0"/>
      </w:pPr>
      <w:r>
        <w:tab/>
        <w:t xml:space="preserve">Por último, expresó Telleldín que con ese documento se presentó ante </w:t>
      </w:r>
      <w:smartTag w:uri="urn:schemas-microsoft-com:office:smarttags" w:element="PersonName">
        <w:smartTagPr>
          <w:attr w:name="ProductID" w:val="la Polic￭a Federal"/>
        </w:smartTagPr>
        <w:r>
          <w:t>la Policía Federal</w:t>
        </w:r>
      </w:smartTag>
      <w:r>
        <w:t xml:space="preserve"> a raíz de esta causa, argumentando que si hubiera sido falso o adulterado lo habría descartado previo a su detención, puesto que aguardó una hora en el Aeroparque Jo</w:t>
      </w:r>
      <w:r>
        <w:t>r</w:t>
      </w:r>
      <w:r>
        <w:t>ge Newbery hasta la llegada de la policía, teniendo así el tiempo n</w:t>
      </w:r>
      <w:r>
        <w:t>e</w:t>
      </w:r>
      <w:r>
        <w:t>cesario para desprenderse de cualquier elemento que lo perjudic</w:t>
      </w:r>
      <w:r>
        <w:t>a</w:t>
      </w:r>
      <w:r>
        <w:t>ra.</w:t>
      </w:r>
    </w:p>
    <w:p w:rsidR="00224567" w:rsidRDefault="00224567">
      <w:pPr>
        <w:widowControl w:val="0"/>
      </w:pPr>
      <w:r>
        <w:tab/>
        <w:t>A fs. 31.465/31.469, el 17 de j</w:t>
      </w:r>
      <w:r>
        <w:t>u</w:t>
      </w:r>
      <w:r>
        <w:t>lio de 1998, Telleldín ratificó parcialmente los términos de la nota publicada en el nº 54 de la revista “Tres Puntos”, firmada por el periodista Román Lejtman; aclaró que las respuestas allí plasmadas no se correspondían con lo co</w:t>
      </w:r>
      <w:r>
        <w:t>n</w:t>
      </w:r>
      <w:r>
        <w:t>versado con Lejtman el 10 de j</w:t>
      </w:r>
      <w:r>
        <w:t>u</w:t>
      </w:r>
      <w:r>
        <w:t xml:space="preserve">lio de 1998, en la sala de dirección de </w:t>
      </w:r>
      <w:smartTag w:uri="urn:schemas-microsoft-com:office:smarttags" w:element="PersonName">
        <w:smartTagPr>
          <w:attr w:name="ProductID" w:val="la Unidad"/>
        </w:smartTagPr>
        <w:r>
          <w:t>la Unidad</w:t>
        </w:r>
      </w:smartTag>
      <w:r>
        <w:t xml:space="preserve"> nº 2 del Servicio Penitenciario F</w:t>
      </w:r>
      <w:r>
        <w:t>e</w:t>
      </w:r>
      <w:r>
        <w:t>deral, sino con dichos s</w:t>
      </w:r>
      <w:r>
        <w:t>u</w:t>
      </w:r>
      <w:r>
        <w:t>yos efectuados por vía telefónica al nombrado días a</w:t>
      </w:r>
      <w:r>
        <w:t>n</w:t>
      </w:r>
      <w:r>
        <w:t>tes.</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Al prestar declaración en la audie</w:t>
      </w:r>
      <w:r>
        <w:rPr>
          <w:rFonts w:ascii="Courier New" w:hAnsi="Courier New" w:cs="Courier New"/>
          <w:szCs w:val="24"/>
          <w:lang w:val="es-AR"/>
        </w:rPr>
        <w:t>n</w:t>
      </w:r>
      <w:r>
        <w:rPr>
          <w:rFonts w:ascii="Courier New" w:hAnsi="Courier New" w:cs="Courier New"/>
          <w:szCs w:val="24"/>
          <w:lang w:val="es-AR"/>
        </w:rPr>
        <w:t>cia de debate el 29 y 30 de abril y 2 y 3 de mayo de 2002, Carlos Alberto Telleldín proclamó su inocencia en cuanto a la comisión del atentado. Adjudicó su dete</w:t>
      </w:r>
      <w:r>
        <w:rPr>
          <w:rFonts w:ascii="Courier New" w:hAnsi="Courier New" w:cs="Courier New"/>
          <w:szCs w:val="24"/>
          <w:lang w:val="es-AR"/>
        </w:rPr>
        <w:t>n</w:t>
      </w:r>
      <w:r>
        <w:rPr>
          <w:rFonts w:ascii="Courier New" w:hAnsi="Courier New" w:cs="Courier New"/>
          <w:szCs w:val="24"/>
          <w:lang w:val="es-AR"/>
        </w:rPr>
        <w:t xml:space="preserve">ción al origen árabe de su apellido, a que su padre perteneció a </w:t>
      </w:r>
      <w:smartTag w:uri="urn:schemas-microsoft-com:office:smarttags" w:element="PersonName">
        <w:smartTagPr>
          <w:attr w:name="ProductID" w:val="la Polic￭a"/>
        </w:smartTagPr>
        <w:r>
          <w:rPr>
            <w:rFonts w:ascii="Courier New" w:hAnsi="Courier New" w:cs="Courier New"/>
            <w:szCs w:val="24"/>
            <w:lang w:val="es-AR"/>
          </w:rPr>
          <w:t>la Pol</w:t>
        </w:r>
        <w:r>
          <w:rPr>
            <w:rFonts w:ascii="Courier New" w:hAnsi="Courier New" w:cs="Courier New"/>
            <w:szCs w:val="24"/>
            <w:lang w:val="es-AR"/>
          </w:rPr>
          <w:t>i</w:t>
        </w:r>
        <w:r>
          <w:rPr>
            <w:rFonts w:ascii="Courier New" w:hAnsi="Courier New" w:cs="Courier New"/>
            <w:szCs w:val="24"/>
            <w:lang w:val="es-AR"/>
          </w:rPr>
          <w:t>cía</w:t>
        </w:r>
      </w:smartTag>
      <w:r>
        <w:rPr>
          <w:rFonts w:ascii="Courier New" w:hAnsi="Courier New" w:cs="Courier New"/>
          <w:szCs w:val="24"/>
          <w:lang w:val="es-AR"/>
        </w:rPr>
        <w:t xml:space="preserve"> de </w:t>
      </w:r>
      <w:smartTag w:uri="urn:schemas-microsoft-com:office:smarttags" w:element="PersonName">
        <w:smartTagPr>
          <w:attr w:name="ProductID" w:val="la Provincia"/>
        </w:smartTagPr>
        <w:r>
          <w:rPr>
            <w:rFonts w:ascii="Courier New" w:hAnsi="Courier New" w:cs="Courier New"/>
            <w:szCs w:val="24"/>
            <w:lang w:val="es-AR"/>
          </w:rPr>
          <w:t>la Provincia</w:t>
        </w:r>
      </w:smartTag>
      <w:r>
        <w:rPr>
          <w:rFonts w:ascii="Courier New" w:hAnsi="Courier New" w:cs="Courier New"/>
          <w:szCs w:val="24"/>
          <w:lang w:val="es-AR"/>
        </w:rPr>
        <w:t xml:space="preserve"> de Córdoba durante la época de la r</w:t>
      </w:r>
      <w:r>
        <w:rPr>
          <w:rFonts w:ascii="Courier New" w:hAnsi="Courier New" w:cs="Courier New"/>
          <w:szCs w:val="24"/>
          <w:lang w:val="es-AR"/>
        </w:rPr>
        <w:t>e</w:t>
      </w:r>
      <w:r>
        <w:rPr>
          <w:rFonts w:ascii="Courier New" w:hAnsi="Courier New" w:cs="Courier New"/>
          <w:szCs w:val="24"/>
          <w:lang w:val="es-AR"/>
        </w:rPr>
        <w:t>presión y a su actividad ligada a temas marginales. Agregó que fue presionado por los servicios de inteligencia y aclaró que no declararía sobre las extorsiones de las que fue víctima, toda vez que resultaban ajenas a su defensa.</w:t>
      </w:r>
    </w:p>
    <w:p w:rsidR="00224567" w:rsidRDefault="00224567">
      <w:pPr>
        <w:widowControl w:val="0"/>
      </w:pPr>
      <w:r>
        <w:tab/>
        <w:t>Relató que desde los diecisiete años se dedicaba a la actividad comercial de compraventa de a</w:t>
      </w:r>
      <w:r>
        <w:t>u</w:t>
      </w:r>
      <w:r>
        <w:t xml:space="preserve">tomotores; a esa edad, y mientras terminaba quinto año, ingresó a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Córdoba, con el cargo de correo, pero no trabajó en grupos operativos, sino como administrativo, presentando la renuncia al a</w:t>
      </w:r>
      <w:r>
        <w:t>s</w:t>
      </w:r>
      <w:r>
        <w:t>cender a agente. Para esa época, indicó, su padre se desempeñaba como comisario general en dicha fuerza pol</w:t>
      </w:r>
      <w:r>
        <w:t>i</w:t>
      </w:r>
      <w:r>
        <w:t>cial y era amigo de un comisario mayor, progenitor de Hugo P</w:t>
      </w:r>
      <w:r>
        <w:t>é</w:t>
      </w:r>
      <w:r>
        <w:t>rez.</w:t>
      </w:r>
    </w:p>
    <w:p w:rsidR="00224567" w:rsidRDefault="00224567">
      <w:pPr>
        <w:widowControl w:val="0"/>
      </w:pPr>
      <w:r>
        <w:tab/>
        <w:t>Recordó que su coimputado Pérez ta</w:t>
      </w:r>
      <w:r>
        <w:t>m</w:t>
      </w:r>
      <w:r>
        <w:t>bién ingresó como correo, graduándose luego de oficial ayudante, pero renunció y fue a trabajar a su primer age</w:t>
      </w:r>
      <w:r>
        <w:t>n</w:t>
      </w:r>
      <w:r>
        <w:t>cia de automotores, en Córdoba, pasando luego a una que abrió en Buenos Aires. Desde entonces, comentó, solían v</w:t>
      </w:r>
      <w:r>
        <w:t>i</w:t>
      </w:r>
      <w:r>
        <w:t>vir juntos, habiéndose mudado también a la quinta que a</w:t>
      </w:r>
      <w:r>
        <w:t>l</w:t>
      </w:r>
      <w:r>
        <w:t>quiló con Sandra Petrucci en Tortugu</w:t>
      </w:r>
      <w:r>
        <w:t>i</w:t>
      </w:r>
      <w:r>
        <w:t>tas.</w:t>
      </w:r>
    </w:p>
    <w:p w:rsidR="00224567" w:rsidRDefault="00224567">
      <w:pPr>
        <w:widowControl w:val="0"/>
      </w:pPr>
      <w:r>
        <w:tab/>
        <w:t>Agregó Telleldín que tuvo otras act</w:t>
      </w:r>
      <w:r>
        <w:t>i</w:t>
      </w:r>
      <w:r>
        <w:t>vidades, como ser locales bailables, nocturnos y saunas, complementando la venta de automóviles. Al respecto, man</w:t>
      </w:r>
      <w:r>
        <w:t>i</w:t>
      </w:r>
      <w:r>
        <w:t>festó que en los años 1986 y 1987 alquiló un inmueble e instaló sin éxito una casa de masajes y d</w:t>
      </w:r>
      <w:r>
        <w:t>e</w:t>
      </w:r>
      <w:r>
        <w:t>partamento para homosexuales en Pasteur al 500, no recordando la altura exacta, pero pudiendo tratarse de 599, quinto piso, no a la c</w:t>
      </w:r>
      <w:r>
        <w:t>a</w:t>
      </w:r>
      <w:r>
        <w:t>lle.</w:t>
      </w:r>
    </w:p>
    <w:p w:rsidR="00224567" w:rsidRDefault="00224567">
      <w:pPr>
        <w:widowControl w:val="0"/>
      </w:pPr>
      <w:r>
        <w:tab/>
        <w:t>Negó haber tenido alguna relación con un tal Lifschitz con motivo de un local bailable que t</w:t>
      </w:r>
      <w:r>
        <w:t>u</w:t>
      </w:r>
      <w:r>
        <w:t>viera o por los negocios que manejó en Flores. Agregó que Lifschitz se encontraba presente en su indagatoria del 5 de julio de 1996, no habiéndolo conocido con a</w:t>
      </w:r>
      <w:r>
        <w:t>n</w:t>
      </w:r>
      <w:r>
        <w:t>terioridad.</w:t>
      </w:r>
    </w:p>
    <w:p w:rsidR="00224567" w:rsidRDefault="00224567">
      <w:pPr>
        <w:pStyle w:val="Sangra3detindependiente"/>
        <w:widowControl w:val="0"/>
        <w:spacing w:line="600" w:lineRule="auto"/>
        <w:ind w:firstLine="0"/>
      </w:pPr>
      <w:r>
        <w:tab/>
        <w:t>Por otra parte, admitió que entre los años 1984 y 1991, aproximadamente, tuvo vínculos con pol</w:t>
      </w:r>
      <w:r>
        <w:t>i</w:t>
      </w:r>
      <w:r>
        <w:t>cías bonaerenses, debido a que se vio obligado a real</w:t>
      </w:r>
      <w:r>
        <w:t>i</w:t>
      </w:r>
      <w:r>
        <w:t>zar “arreglos” con distintas jurisdicciones por sus casas de masajes. Aclaró que, en cambio, el tema automotor no se prestaba para los “arreglos”, por cuanto la policía sólo negociaba en los rubros prostitución y juego. Al cerrar las casas de masajes, dijo, muchos de los comisarios que con</w:t>
      </w:r>
      <w:r>
        <w:t>o</w:t>
      </w:r>
      <w:r>
        <w:t>ció estaban retirados, pero continuó su amistad con su coimputado Barr</w:t>
      </w:r>
      <w:r>
        <w:t>e</w:t>
      </w:r>
      <w:r>
        <w:t>da.</w:t>
      </w:r>
    </w:p>
    <w:p w:rsidR="00224567" w:rsidRDefault="00224567">
      <w:pPr>
        <w:widowControl w:val="0"/>
        <w:rPr>
          <w:bCs/>
        </w:rPr>
      </w:pPr>
      <w:r>
        <w:tab/>
        <w:t>Con relación a su consorte de causa Bareiro, afirmó que lo conoció en 1984, aproximadamente, cuando se desempeñaba como oficial de calle en Santos L</w:t>
      </w:r>
      <w:r>
        <w:t>u</w:t>
      </w:r>
      <w:r>
        <w:t>gares y le cobraba el “arr</w:t>
      </w:r>
      <w:r>
        <w:t>e</w:t>
      </w:r>
      <w:r>
        <w:t>glo” por un sauna que tenía en la zona; lo volvió a ver cuando abrió un cabaret en Amér</w:t>
      </w:r>
      <w:r>
        <w:t>i</w:t>
      </w:r>
      <w:r>
        <w:t>ca y General Paz, época en la cual Bareiro prestaba fu</w:t>
      </w:r>
      <w:r>
        <w:t>n</w:t>
      </w:r>
      <w:r>
        <w:t>ciones en la comisaría de Sáenz Peña. Tiempo después, as</w:t>
      </w:r>
      <w:r>
        <w:t>e</w:t>
      </w:r>
      <w:r>
        <w:t>veró, el nombrado concurría con la novia a una discoteca que tuvo en Rivadavia y Callao. No obstante, e</w:t>
      </w:r>
      <w:r>
        <w:t>n</w:t>
      </w:r>
      <w:r>
        <w:t>fatizó que, a diferencia de Barreda, con quien se visitaban en sus d</w:t>
      </w:r>
      <w:r>
        <w:t>o</w:t>
      </w:r>
      <w:r>
        <w:t>micilios –pese a no tener trato laboral-, Bareiro no era de su amistad. Asimismo, acotó que</w:t>
      </w:r>
      <w:r>
        <w:rPr>
          <w:bCs/>
        </w:rPr>
        <w:t xml:space="preserve"> Pérez c</w:t>
      </w:r>
      <w:r>
        <w:rPr>
          <w:bCs/>
        </w:rPr>
        <w:t>o</w:t>
      </w:r>
      <w:r>
        <w:rPr>
          <w:bCs/>
        </w:rPr>
        <w:t>nocía a Barreda y Bareiro.</w:t>
      </w:r>
    </w:p>
    <w:p w:rsidR="00224567" w:rsidRDefault="00224567">
      <w:pPr>
        <w:widowControl w:val="0"/>
      </w:pPr>
      <w:r>
        <w:tab/>
        <w:t>Por otra parte, Telleldín refirió que conoció a Salguero cuando éste le cobraba el “arreglo” mensual por dos casas de masajes que tuvo en San Ma</w:t>
      </w:r>
      <w:r>
        <w:t>r</w:t>
      </w:r>
      <w:r>
        <w:t>tín. A su criterio, el nombrado había intervenido en el tema S</w:t>
      </w:r>
      <w:r>
        <w:t>o</w:t>
      </w:r>
      <w:r>
        <w:t>lari.</w:t>
      </w:r>
    </w:p>
    <w:p w:rsidR="00224567" w:rsidRDefault="00224567">
      <w:pPr>
        <w:widowControl w:val="0"/>
      </w:pPr>
      <w:r>
        <w:tab/>
        <w:t>Manifestó que en 1986 fue deten</w:t>
      </w:r>
      <w:r>
        <w:t>i</w:t>
      </w:r>
      <w:r>
        <w:t xml:space="preserve">do por </w:t>
      </w:r>
      <w:smartTag w:uri="urn:schemas-microsoft-com:office:smarttags" w:element="PersonName">
        <w:smartTagPr>
          <w:attr w:name="ProductID" w:val="la Brigada"/>
        </w:smartTagPr>
        <w:r>
          <w:t>la Brigada</w:t>
        </w:r>
      </w:smartTag>
      <w:r>
        <w:t xml:space="preserve"> de Homicidios de Quilmes o de Banfield, en oc</w:t>
      </w:r>
      <w:r>
        <w:t>a</w:t>
      </w:r>
      <w:r>
        <w:t>sión del allanamiento de una de sus casas de masajes, s</w:t>
      </w:r>
      <w:r>
        <w:t>e</w:t>
      </w:r>
      <w:r>
        <w:t>cuestrándose un paquete con, según creía, USD 200.000 ap</w:t>
      </w:r>
      <w:r>
        <w:t>ó</w:t>
      </w:r>
      <w:r>
        <w:t xml:space="preserve">crifos; permaneció detenido en </w:t>
      </w:r>
      <w:smartTag w:uri="urn:schemas-microsoft-com:office:smarttags" w:element="PersonName">
        <w:smartTagPr>
          <w:attr w:name="ProductID" w:val="la Divisi￳n Homicidios"/>
        </w:smartTagPr>
        <w:r>
          <w:t>la División Homicidios</w:t>
        </w:r>
      </w:smartTag>
      <w:r>
        <w:t xml:space="preserve"> o Delitos Graves, a la que le decían “El Pozo de Ba</w:t>
      </w:r>
      <w:r>
        <w:t>n</w:t>
      </w:r>
      <w:r>
        <w:t>field”.</w:t>
      </w:r>
    </w:p>
    <w:p w:rsidR="00224567" w:rsidRDefault="00224567">
      <w:pPr>
        <w:widowControl w:val="0"/>
      </w:pPr>
      <w:r>
        <w:tab/>
        <w:t>Relató que compartió la celda d</w:t>
      </w:r>
      <w:r>
        <w:t>u</w:t>
      </w:r>
      <w:r>
        <w:t>rante veinte días con cuatro detenidos, recordando los nombres de Robles, Santo Domingo y “Cacho” Lagarza, quienes le r</w:t>
      </w:r>
      <w:r>
        <w:t>e</w:t>
      </w:r>
      <w:r>
        <w:t>comendaron al abogado Semorile. Indicó que el letrado t</w:t>
      </w:r>
      <w:r>
        <w:t>o</w:t>
      </w:r>
      <w:r>
        <w:t>mó su causa y le comunicó que a cambio de una suma de dinero podría conseguir su libertad, sin especificar a quién d</w:t>
      </w:r>
      <w:r>
        <w:t>e</w:t>
      </w:r>
      <w:r>
        <w:t>bía entregarlo, obteniendo así su excarcelación. En otro tramo, refirió que Semorile dijo que el dinero era para “arreglar en el ju</w:t>
      </w:r>
      <w:r>
        <w:t>z</w:t>
      </w:r>
      <w:r>
        <w:t>gado”.</w:t>
      </w:r>
    </w:p>
    <w:p w:rsidR="00224567" w:rsidRDefault="00224567">
      <w:pPr>
        <w:widowControl w:val="0"/>
      </w:pPr>
      <w:r>
        <w:tab/>
        <w:t>A lo expuesto añadió que luego de su detención tuvo un problema psicológico, que motivó la a</w:t>
      </w:r>
      <w:r>
        <w:t>d</w:t>
      </w:r>
      <w:r>
        <w:t>quisición de una parcela de tierra en Enrique Fynn, a la que concurría todos los fines de semana y donde in</w:t>
      </w:r>
      <w:r>
        <w:t>s</w:t>
      </w:r>
      <w:r>
        <w:t>taló un criadero de cerdos, que c</w:t>
      </w:r>
      <w:r>
        <w:t>e</w:t>
      </w:r>
      <w:r>
        <w:t>rró en 1987. Agregó que el campo quedó abandonado y en 1998 lo entregó en concepto de hon</w:t>
      </w:r>
      <w:r>
        <w:t>o</w:t>
      </w:r>
      <w:r>
        <w:t>rarios.</w:t>
      </w:r>
    </w:p>
    <w:p w:rsidR="00224567" w:rsidRDefault="00224567">
      <w:pPr>
        <w:widowControl w:val="0"/>
      </w:pPr>
      <w:r>
        <w:tab/>
        <w:t>Con respecto a sus actividades vinc</w:t>
      </w:r>
      <w:r>
        <w:t>u</w:t>
      </w:r>
      <w:r>
        <w:t>ladas al rubro aut</w:t>
      </w:r>
      <w:r>
        <w:t>o</w:t>
      </w:r>
      <w:r>
        <w:t>motor, Telleldín manifestó que los años previos a su detención el negocio de venta de v</w:t>
      </w:r>
      <w:r>
        <w:t>e</w:t>
      </w:r>
      <w:r>
        <w:t>hículos no redituaba demasiado dinero, por lo que se dedicó a comprar automóviles siniestrados, tanto a Alejandro Monjo como a otras firmas, que luego publicaba para su venta en el i</w:t>
      </w:r>
      <w:r>
        <w:t>n</w:t>
      </w:r>
      <w:r>
        <w:t>terior; luego de adquiridos, les cambiaba la carrocería por otras de procedencia ilícita o compradas nuevas a la planta Santa Isabel, en Córdoba, o en d</w:t>
      </w:r>
      <w:r>
        <w:t>e</w:t>
      </w:r>
      <w:r>
        <w:t>sarmaderos o casas de venta de repuestos usados.</w:t>
      </w:r>
    </w:p>
    <w:p w:rsidR="00224567" w:rsidRDefault="00224567">
      <w:pPr>
        <w:widowControl w:val="0"/>
      </w:pPr>
      <w:r>
        <w:tab/>
        <w:t>Aseguró que no robaba v</w:t>
      </w:r>
      <w:r>
        <w:t>e</w:t>
      </w:r>
      <w:r>
        <w:t>hículos, sino que compraba las carrocerías acorde con las característ</w:t>
      </w:r>
      <w:r>
        <w:t>i</w:t>
      </w:r>
      <w:r>
        <w:t xml:space="preserve">cas de los siniestrados adquiridos. Puntualizó que de la causa surgían once vehículos reparados de esa forma, más </w:t>
      </w:r>
      <w:smartTag w:uri="urn:schemas-microsoft-com:office:smarttags" w:element="PersonName">
        <w:smartTagPr>
          <w:attr w:name="ProductID" w:val="la Trafic"/>
        </w:smartTagPr>
        <w:r>
          <w:t>la Trafic</w:t>
        </w:r>
      </w:smartTag>
      <w:r>
        <w:t xml:space="preserve"> investigada, habiendo en todos los casos cambi</w:t>
      </w:r>
      <w:r>
        <w:t>a</w:t>
      </w:r>
      <w:r>
        <w:t>do las carrocerías, en tanto los motores se mantuvieron originales. Asumió que tal actividad la realizaba solo y no co</w:t>
      </w:r>
      <w:r>
        <w:t>n</w:t>
      </w:r>
      <w:r>
        <w:t>taba con socios.</w:t>
      </w:r>
    </w:p>
    <w:p w:rsidR="00224567" w:rsidRDefault="00224567">
      <w:pPr>
        <w:widowControl w:val="0"/>
      </w:pPr>
      <w:r>
        <w:tab/>
        <w:t>Aclaró que los mecánicos con que tr</w:t>
      </w:r>
      <w:r>
        <w:t>a</w:t>
      </w:r>
      <w:r>
        <w:t>bajaba eran ocasionales. Explicó que el vehículo sinie</w:t>
      </w:r>
      <w:r>
        <w:t>s</w:t>
      </w:r>
      <w:r>
        <w:t>trado era trasladado a un taller y no era p</w:t>
      </w:r>
      <w:r>
        <w:t>o</w:t>
      </w:r>
      <w:r>
        <w:t>sible que a la semana o dos semanas saliera del mismo lugar un rodado “terminado” de iguales características, toda vez que los vecinos podrían sospechar. Por eso, acotó, siempre tenía dos o tres talleres y contrataba el que terminaba el vehículo, como ser el de Nitzcaner, sin que supieran que estaban trabajando con automóviles con dificultades en c</w:t>
      </w:r>
      <w:r>
        <w:t>a</w:t>
      </w:r>
      <w:r>
        <w:t>rr</w:t>
      </w:r>
      <w:r>
        <w:t>o</w:t>
      </w:r>
      <w:r>
        <w:t>cería o motor.</w:t>
      </w:r>
    </w:p>
    <w:p w:rsidR="00224567" w:rsidRDefault="00224567">
      <w:pPr>
        <w:pStyle w:val="Sangradetextonormal"/>
        <w:widowControl w:val="0"/>
        <w:ind w:firstLine="0"/>
      </w:pPr>
      <w:r>
        <w:tab/>
        <w:t>Sintetizó que en ningún momento les dijo a los talleristas que los rodados eran d</w:t>
      </w:r>
      <w:r>
        <w:t>o</w:t>
      </w:r>
      <w:r>
        <w:t>blados o que les ponía una carrocería sustraída con un motor legal. A los talleres, aseguró, llevaba la carrocería con las ch</w:t>
      </w:r>
      <w:r>
        <w:t>a</w:t>
      </w:r>
      <w:r>
        <w:t>pas patentes y los papeles del vehículo sinie</w:t>
      </w:r>
      <w:r>
        <w:t>s</w:t>
      </w:r>
      <w:r>
        <w:t>trado y así lo anotaban en los libros. Agregó que cuando no cambiaba el número de motor, los vehículos superaban la verific</w:t>
      </w:r>
      <w:r>
        <w:t>a</w:t>
      </w:r>
      <w:r>
        <w:t>ción; de esa forma trabajó entre 1992 y el momento de su detención, aclarando que a partir de 1991 se dedicó a tr</w:t>
      </w:r>
      <w:r>
        <w:t>a</w:t>
      </w:r>
      <w:r>
        <w:t>bajar únicamente la línea Renault.</w:t>
      </w:r>
    </w:p>
    <w:p w:rsidR="00224567" w:rsidRDefault="00224567">
      <w:pPr>
        <w:widowControl w:val="0"/>
      </w:pPr>
      <w:r>
        <w:tab/>
        <w:t>En marzo, señaló, adquirió a Mo</w:t>
      </w:r>
      <w:r>
        <w:t>n</w:t>
      </w:r>
      <w:r>
        <w:t>jo un lote de diez veh</w:t>
      </w:r>
      <w:r>
        <w:t>í</w:t>
      </w:r>
      <w:r>
        <w:t>culos, aproximadamente, todos de la línea Renault, que incluía dos Trafic largas, una corta, un R</w:t>
      </w:r>
      <w:r>
        <w:t>e</w:t>
      </w:r>
      <w:r>
        <w:t>nault 12, un Renault 11, un Renault 9 y una Renault Fuego, formando parte del conjunto la camioneta investigada; de</w:t>
      </w:r>
      <w:r>
        <w:t>s</w:t>
      </w:r>
      <w:r>
        <w:t>pués de un viaje de v</w:t>
      </w:r>
      <w:r>
        <w:t>a</w:t>
      </w:r>
      <w:r>
        <w:t>caciones a Perú comenzó a retirar un rodado por s</w:t>
      </w:r>
      <w:r>
        <w:t>e</w:t>
      </w:r>
      <w:r>
        <w:t>mana.</w:t>
      </w:r>
    </w:p>
    <w:p w:rsidR="00224567" w:rsidRDefault="00224567">
      <w:pPr>
        <w:widowControl w:val="0"/>
      </w:pPr>
      <w:r>
        <w:tab/>
        <w:t>En otro tramo de su declaración, T</w:t>
      </w:r>
      <w:r>
        <w:t>e</w:t>
      </w:r>
      <w:r>
        <w:t>lleldín manifestó que cuando regresó de Perú adquirió el lote de vehículos a Mo</w:t>
      </w:r>
      <w:r>
        <w:t>n</w:t>
      </w:r>
      <w:r>
        <w:t xml:space="preserve">jo, incluida </w:t>
      </w:r>
      <w:smartTag w:uri="urn:schemas-microsoft-com:office:smarttags" w:element="PersonName">
        <w:smartTagPr>
          <w:attr w:name="ProductID" w:val="la Trafic"/>
        </w:smartTagPr>
        <w:r>
          <w:t>la Trafic</w:t>
        </w:r>
      </w:smartTag>
      <w:r>
        <w:t xml:space="preserve"> de “Messin” y las que luego fueron adquiridas por una mujer llamada Toretta y un tal Nieto. Si bien no recordó la fecha con precisión, refirió que regresó de ese país en los primeros meses del año, según creía enero o febrero, para el cas</w:t>
      </w:r>
      <w:r>
        <w:t>a</w:t>
      </w:r>
      <w:r>
        <w:t>mie</w:t>
      </w:r>
      <w:r>
        <w:t>n</w:t>
      </w:r>
      <w:r>
        <w:t>to de un hermano de su socio Lo Preiato.</w:t>
      </w:r>
    </w:p>
    <w:p w:rsidR="00224567" w:rsidRDefault="00224567">
      <w:pPr>
        <w:widowControl w:val="0"/>
        <w:rPr>
          <w:bCs/>
        </w:rPr>
      </w:pPr>
      <w:r>
        <w:rPr>
          <w:bCs/>
        </w:rPr>
        <w:tab/>
        <w:t>En orden a ese viaje, aclaró que lo hizo con su documento a nombre de Teccedin, saliendo por Chile con un pase de cortesía de los p</w:t>
      </w:r>
      <w:r>
        <w:rPr>
          <w:bCs/>
        </w:rPr>
        <w:t>e</w:t>
      </w:r>
      <w:r>
        <w:rPr>
          <w:bCs/>
        </w:rPr>
        <w:t>ruanos, que obtuvo por unas monedas en el punto fronterizo de Tacn</w:t>
      </w:r>
      <w:r>
        <w:rPr>
          <w:bCs/>
        </w:rPr>
        <w:t>a</w:t>
      </w:r>
      <w:r>
        <w:rPr>
          <w:bCs/>
        </w:rPr>
        <w:t>-Arica.</w:t>
      </w:r>
    </w:p>
    <w:p w:rsidR="00224567" w:rsidRDefault="00224567">
      <w:pPr>
        <w:widowControl w:val="0"/>
      </w:pPr>
      <w:r>
        <w:tab/>
        <w:t>Expresó que al comprar vehículos a Alejandro Monjo u otras empresas no revisaba la numer</w:t>
      </w:r>
      <w:r>
        <w:t>a</w:t>
      </w:r>
      <w:r>
        <w:t>ción, es decir, que coincidiera lo entregado con la doc</w:t>
      </w:r>
      <w:r>
        <w:t>u</w:t>
      </w:r>
      <w:r>
        <w:t>mentación, puesto que resultaba extraño que un automóvil siniestrado tuviera el motor cambiado. Añadió que, por ejemplo, en el caso de las tres camionetas, estaban quem</w:t>
      </w:r>
      <w:r>
        <w:t>a</w:t>
      </w:r>
      <w:r>
        <w:t>das y resultaba imposible ver los números sin lijar. En definitiva, concluyó, no tenía la certeza de haber retir</w:t>
      </w:r>
      <w:r>
        <w:t>a</w:t>
      </w:r>
      <w:r>
        <w:t>do el m</w:t>
      </w:r>
      <w:r>
        <w:t>o</w:t>
      </w:r>
      <w:r>
        <w:t xml:space="preserve">tor que luego apareció en </w:t>
      </w:r>
      <w:smartTag w:uri="urn:schemas-microsoft-com:office:smarttags" w:element="PersonName">
        <w:smartTagPr>
          <w:attr w:name="ProductID" w:val="la A.M"/>
        </w:smartTagPr>
        <w:r>
          <w:t>la A.M</w:t>
        </w:r>
      </w:smartTag>
      <w:r>
        <w:t>.I.A..</w:t>
      </w:r>
    </w:p>
    <w:p w:rsidR="00224567" w:rsidRDefault="00224567">
      <w:pPr>
        <w:widowControl w:val="0"/>
      </w:pPr>
      <w:r>
        <w:tab/>
        <w:t>Explicó que, en general, Monjo envi</w:t>
      </w:r>
      <w:r>
        <w:t>a</w:t>
      </w:r>
      <w:r>
        <w:t>ba los rodados hasta el taller de Cotoras con una grúa, los dejaba en la puerta y le entregaba al nombrado la carpeta con los papeles del vehículo siniestrado, incluido el t</w:t>
      </w:r>
      <w:r>
        <w:t>í</w:t>
      </w:r>
      <w:r>
        <w:t>tulo automotor y la factura; si el rodado estaba dado de baja, también le llevaban los formul</w:t>
      </w:r>
      <w:r>
        <w:t>a</w:t>
      </w:r>
      <w:r>
        <w:t>rios “</w:t>
      </w:r>
      <w:smartTag w:uri="urn:schemas-microsoft-com:office:smarttags" w:element="metricconverter">
        <w:smartTagPr>
          <w:attr w:name="ProductID" w:val="04”"/>
        </w:smartTagPr>
        <w:r>
          <w:t>04”</w:t>
        </w:r>
      </w:smartTag>
      <w:r>
        <w:t>. Indicó que en el caso, uno de los gru</w:t>
      </w:r>
      <w:r>
        <w:t>e</w:t>
      </w:r>
      <w:r>
        <w:t>ros de Monjo, no sabiendo cuál, trasladó la camioneta siniestrada al domicilio de Cot</w:t>
      </w:r>
      <w:r>
        <w:t>o</w:t>
      </w:r>
      <w:r>
        <w:t>ras.</w:t>
      </w:r>
    </w:p>
    <w:p w:rsidR="00224567" w:rsidRDefault="00224567">
      <w:pPr>
        <w:widowControl w:val="0"/>
      </w:pPr>
      <w:r>
        <w:tab/>
        <w:t>Hizo saber que las tres Trafic del l</w:t>
      </w:r>
      <w:r>
        <w:t>o</w:t>
      </w:r>
      <w:r>
        <w:t>te se hallaban incendiadas y que en todos los casos se quitaron las carrocer</w:t>
      </w:r>
      <w:r>
        <w:t>í</w:t>
      </w:r>
      <w:r>
        <w:t>as quemadas y las destruyó, a fin de que no existieran dos camionetas con el mismo número; el paso siguiente era conseguir una carrocería de las mismas característ</w:t>
      </w:r>
      <w:r>
        <w:t>i</w:t>
      </w:r>
      <w:r>
        <w:t>cas.</w:t>
      </w:r>
    </w:p>
    <w:p w:rsidR="00224567" w:rsidRDefault="00224567">
      <w:pPr>
        <w:widowControl w:val="0"/>
      </w:pPr>
      <w:r>
        <w:tab/>
        <w:t>Detalló que en primer término retiró de lo de Monjo una camioneta larga, modelo ’88, la ll</w:t>
      </w:r>
      <w:r>
        <w:t>e</w:t>
      </w:r>
      <w:r>
        <w:t>vó a la zona de Tortuguitas y en una carrocería que o</w:t>
      </w:r>
      <w:r>
        <w:t>b</w:t>
      </w:r>
      <w:r>
        <w:t>tuvo puso el motor de la quemada, la publicó en el diario “Cl</w:t>
      </w:r>
      <w:r>
        <w:t>a</w:t>
      </w:r>
      <w:r>
        <w:t xml:space="preserve">rín” y la enajenó; luego ofertó </w:t>
      </w:r>
      <w:smartTag w:uri="urn:schemas-microsoft-com:office:smarttags" w:element="PersonName">
        <w:smartTagPr>
          <w:attr w:name="ProductID" w:val="la Trafic"/>
        </w:smartTagPr>
        <w:r>
          <w:t>la Trafic</w:t>
        </w:r>
      </w:smartTag>
      <w:r>
        <w:t xml:space="preserve"> que vendió a la señora Toretta el 28 de mayo y creyó recordar que, después de esa, armó un Renault 12, también ch</w:t>
      </w:r>
      <w:r>
        <w:t>o</w:t>
      </w:r>
      <w:r>
        <w:t>cado.</w:t>
      </w:r>
    </w:p>
    <w:p w:rsidR="00224567" w:rsidRDefault="00224567">
      <w:pPr>
        <w:widowControl w:val="0"/>
      </w:pPr>
      <w:r>
        <w:tab/>
        <w:t>Con respecto a la camioneta obj</w:t>
      </w:r>
      <w:r>
        <w:t>e</w:t>
      </w:r>
      <w:r>
        <w:t>to de esta pesquisa, destacó que encargó una carrocería a C</w:t>
      </w:r>
      <w:r>
        <w:t>é</w:t>
      </w:r>
      <w:r>
        <w:t>sar Fernández, quien, si bien consiguió una sin puerta lat</w:t>
      </w:r>
      <w:r>
        <w:t>e</w:t>
      </w:r>
      <w:r>
        <w:t>ral, se la vendió barata y, por ende, la utilizó para a</w:t>
      </w:r>
      <w:r>
        <w:t>r</w:t>
      </w:r>
      <w:r>
        <w:t xml:space="preserve">mar un vehículo con el motor de </w:t>
      </w:r>
      <w:smartTag w:uri="urn:schemas-microsoft-com:office:smarttags" w:element="PersonName">
        <w:smartTagPr>
          <w:attr w:name="ProductID" w:val="la Trafic"/>
        </w:smartTagPr>
        <w:r>
          <w:t>la Trafic</w:t>
        </w:r>
      </w:smartTag>
      <w:r>
        <w:t xml:space="preserve"> que llevó a lo de Cotoras. En otro tramo de su verborrágico relato, e</w:t>
      </w:r>
      <w:r>
        <w:t>x</w:t>
      </w:r>
      <w:r>
        <w:t>presó que el bajo costo obedeció a que la camioneta de S</w:t>
      </w:r>
      <w:r>
        <w:t>a</w:t>
      </w:r>
      <w:r>
        <w:t>rapura presentaba un choque de frente, que probablemente fue reparado con repuestos o chapa usados, que no eran m</w:t>
      </w:r>
      <w:r>
        <w:t>o</w:t>
      </w:r>
      <w:r>
        <w:t>delo ’91.</w:t>
      </w:r>
    </w:p>
    <w:p w:rsidR="00224567" w:rsidRDefault="00224567">
      <w:pPr>
        <w:widowControl w:val="0"/>
        <w:rPr>
          <w:bCs/>
        </w:rPr>
      </w:pPr>
      <w:r>
        <w:tab/>
        <w:t>Reconoció su letra en un papel rosa secuestrado en su domicilio, con la inscripción: “</w:t>
      </w:r>
      <w:r>
        <w:rPr>
          <w:bCs/>
        </w:rPr>
        <w:t>dom</w:t>
      </w:r>
      <w:r>
        <w:rPr>
          <w:bCs/>
        </w:rPr>
        <w:t>i</w:t>
      </w:r>
      <w:r>
        <w:rPr>
          <w:bCs/>
        </w:rPr>
        <w:t>nio: C14985506, motor: 2831467, carrocería: T310-</w:t>
      </w:r>
      <w:smartTag w:uri="urn:schemas-microsoft-com:office:smarttags" w:element="metricconverter">
        <w:smartTagPr>
          <w:attr w:name="ProductID" w:val="003325”"/>
        </w:smartTagPr>
        <w:r>
          <w:rPr>
            <w:bCs/>
          </w:rPr>
          <w:t>003325”</w:t>
        </w:r>
      </w:smartTag>
      <w:r>
        <w:rPr>
          <w:bCs/>
        </w:rPr>
        <w:t>. E</w:t>
      </w:r>
      <w:r>
        <w:rPr>
          <w:bCs/>
        </w:rPr>
        <w:t>x</w:t>
      </w:r>
      <w:r>
        <w:rPr>
          <w:bCs/>
        </w:rPr>
        <w:t>plicó que cuando adquiría vehículos en lo de Monjo, aco</w:t>
      </w:r>
      <w:r>
        <w:rPr>
          <w:bCs/>
        </w:rPr>
        <w:t>s</w:t>
      </w:r>
      <w:r>
        <w:rPr>
          <w:bCs/>
        </w:rPr>
        <w:t>tumbraba s</w:t>
      </w:r>
      <w:r>
        <w:rPr>
          <w:bCs/>
        </w:rPr>
        <w:t>o</w:t>
      </w:r>
      <w:r>
        <w:rPr>
          <w:bCs/>
        </w:rPr>
        <w:t>licitar a la agencia los datos para “marcar” la carrocería, mandar a hacer las patentes e imprimir el n</w:t>
      </w:r>
      <w:r>
        <w:rPr>
          <w:bCs/>
        </w:rPr>
        <w:t>ú</w:t>
      </w:r>
      <w:r>
        <w:rPr>
          <w:bCs/>
        </w:rPr>
        <w:t>mero en la camioneta robada. Puntualizó que uno de los gestores de Monjo le brindó los datos del vehículo de “Messin” siniestrado y que pasó el número de patente a Fernández, quien e</w:t>
      </w:r>
      <w:r>
        <w:rPr>
          <w:bCs/>
        </w:rPr>
        <w:t>n</w:t>
      </w:r>
      <w:r>
        <w:rPr>
          <w:bCs/>
        </w:rPr>
        <w:t>cargó las placas.</w:t>
      </w:r>
    </w:p>
    <w:p w:rsidR="00224567" w:rsidRDefault="00224567">
      <w:pPr>
        <w:widowControl w:val="0"/>
      </w:pPr>
      <w:r>
        <w:rPr>
          <w:bCs/>
        </w:rPr>
        <w:tab/>
        <w:t>No obstante, en otro tramo ref</w:t>
      </w:r>
      <w:r>
        <w:rPr>
          <w:bCs/>
        </w:rPr>
        <w:t>i</w:t>
      </w:r>
      <w:r>
        <w:rPr>
          <w:bCs/>
        </w:rPr>
        <w:t>rió que</w:t>
      </w:r>
      <w:r>
        <w:t xml:space="preserve"> en esa época existían muchas casas de chapas y no frecue</w:t>
      </w:r>
      <w:r>
        <w:t>n</w:t>
      </w:r>
      <w:r>
        <w:t>taba una en particular, por lo que no recordaba dónde ma</w:t>
      </w:r>
      <w:r>
        <w:t>n</w:t>
      </w:r>
      <w:r>
        <w:t>dó hacer las patentes o si Fernández se había encarg</w:t>
      </w:r>
      <w:r>
        <w:t>a</w:t>
      </w:r>
      <w:r>
        <w:t>do de esa tarea, pero sí afirmó que al serle entregada, la c</w:t>
      </w:r>
      <w:r>
        <w:t>a</w:t>
      </w:r>
      <w:r>
        <w:t>mioneta Trafic de Sarapura tenía colocadas las de la s</w:t>
      </w:r>
      <w:r>
        <w:t>i</w:t>
      </w:r>
      <w:r>
        <w:t>niestrada de “Messin S.R.L.”. En ocasiones, aclaró, se c</w:t>
      </w:r>
      <w:r>
        <w:t>o</w:t>
      </w:r>
      <w:r>
        <w:t>locaban las patentes de los siniestrados a los vehículos robados para evitar que el “levantador” fuera detenido al trasladarla; entonces, iba a su domicilio, se llevaba la tarjeta verde o el título y de esa manera circ</w:t>
      </w:r>
      <w:r>
        <w:t>u</w:t>
      </w:r>
      <w:r>
        <w:t>laba.</w:t>
      </w:r>
    </w:p>
    <w:p w:rsidR="00224567" w:rsidRDefault="00224567">
      <w:pPr>
        <w:widowControl w:val="0"/>
      </w:pPr>
      <w:r>
        <w:tab/>
        <w:t>Calculó que un juego de chapas cost</w:t>
      </w:r>
      <w:r>
        <w:t>a</w:t>
      </w:r>
      <w:r>
        <w:t xml:space="preserve">ba </w:t>
      </w:r>
      <w:r>
        <w:rPr>
          <w:lang w:val="es-MX"/>
        </w:rPr>
        <w:t xml:space="preserve">$ </w:t>
      </w:r>
      <w:r>
        <w:t>50, aproximadamente, e informó que las que se hallaban en el vehículo siniestrado quedaban puestas para su tra</w:t>
      </w:r>
      <w:r>
        <w:t>s</w:t>
      </w:r>
      <w:r>
        <w:t>lado desde lo de Cotoras hasta el desarmadero, por los controles que pudiera haber en el camino.</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No supo decir Telleldín qué empleado de la agencia de Monjo confeccionó la factura de la cami</w:t>
      </w:r>
      <w:r>
        <w:rPr>
          <w:rFonts w:ascii="Courier New" w:hAnsi="Courier New" w:cs="Courier New"/>
          <w:lang w:val="es-AR"/>
        </w:rPr>
        <w:t>o</w:t>
      </w:r>
      <w:r>
        <w:rPr>
          <w:rFonts w:ascii="Courier New" w:hAnsi="Courier New" w:cs="Courier New"/>
          <w:lang w:val="es-AR"/>
        </w:rPr>
        <w:t>neta de “Messin S.R.L.”. Concluyó que si allí figuraba c</w:t>
      </w:r>
      <w:r>
        <w:rPr>
          <w:rFonts w:ascii="Courier New" w:hAnsi="Courier New" w:cs="Courier New"/>
          <w:lang w:val="es-AR"/>
        </w:rPr>
        <w:t>o</w:t>
      </w:r>
      <w:r>
        <w:rPr>
          <w:rFonts w:ascii="Courier New" w:hAnsi="Courier New" w:cs="Courier New"/>
          <w:lang w:val="es-AR"/>
        </w:rPr>
        <w:t>mo Teccedin era porque había exhibido su Documento Naci</w:t>
      </w:r>
      <w:r>
        <w:rPr>
          <w:rFonts w:ascii="Courier New" w:hAnsi="Courier New" w:cs="Courier New"/>
          <w:lang w:val="es-AR"/>
        </w:rPr>
        <w:t>o</w:t>
      </w:r>
      <w:r>
        <w:rPr>
          <w:rFonts w:ascii="Courier New" w:hAnsi="Courier New" w:cs="Courier New"/>
          <w:lang w:val="es-AR"/>
        </w:rPr>
        <w:t>nal de Identidad para que copiaran los d</w:t>
      </w:r>
      <w:r>
        <w:rPr>
          <w:rFonts w:ascii="Courier New" w:hAnsi="Courier New" w:cs="Courier New"/>
          <w:lang w:val="es-AR"/>
        </w:rPr>
        <w:t>a</w:t>
      </w:r>
      <w:r>
        <w:rPr>
          <w:rFonts w:ascii="Courier New" w:hAnsi="Courier New" w:cs="Courier New"/>
          <w:lang w:val="es-AR"/>
        </w:rPr>
        <w:t>tos. Al respecto, expresó que trataba con Monjo la adquisición del lote y, al momento de retirar los vehículos, le entregaban la ca</w:t>
      </w:r>
      <w:r>
        <w:rPr>
          <w:rFonts w:ascii="Courier New" w:hAnsi="Courier New" w:cs="Courier New"/>
          <w:lang w:val="es-AR"/>
        </w:rPr>
        <w:t>r</w:t>
      </w:r>
      <w:r>
        <w:rPr>
          <w:rFonts w:ascii="Courier New" w:hAnsi="Courier New" w:cs="Courier New"/>
          <w:lang w:val="es-AR"/>
        </w:rPr>
        <w:t>peta y le confeccionaban una factura.</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Dedujo que Monjo no estuvo pr</w:t>
      </w:r>
      <w:r>
        <w:rPr>
          <w:rFonts w:ascii="Courier New" w:hAnsi="Courier New" w:cs="Courier New"/>
          <w:lang w:val="es-AR"/>
        </w:rPr>
        <w:t>e</w:t>
      </w:r>
      <w:r>
        <w:rPr>
          <w:rFonts w:ascii="Courier New" w:hAnsi="Courier New" w:cs="Courier New"/>
          <w:lang w:val="es-AR"/>
        </w:rPr>
        <w:t>sente y, en consecuencia, algún empleado o el gestor confe</w:t>
      </w:r>
      <w:r>
        <w:rPr>
          <w:rFonts w:ascii="Courier New" w:hAnsi="Courier New" w:cs="Courier New"/>
          <w:lang w:val="es-AR"/>
        </w:rPr>
        <w:t>c</w:t>
      </w:r>
      <w:r>
        <w:rPr>
          <w:rFonts w:ascii="Courier New" w:hAnsi="Courier New" w:cs="Courier New"/>
          <w:lang w:val="es-AR"/>
        </w:rPr>
        <w:t>cionaron la boleta. Creyó recordar que en el instrumento figuraba la dirección de Jonas Salk, que era su domicilio a</w:t>
      </w:r>
      <w:r>
        <w:rPr>
          <w:rFonts w:ascii="Courier New" w:hAnsi="Courier New" w:cs="Courier New"/>
          <w:lang w:val="es-AR"/>
        </w:rPr>
        <w:t>n</w:t>
      </w:r>
      <w:r>
        <w:rPr>
          <w:rFonts w:ascii="Courier New" w:hAnsi="Courier New" w:cs="Courier New"/>
          <w:lang w:val="es-AR"/>
        </w:rPr>
        <w:t>terior, por cuanto lo copiaron de su documento, a la vez que ind</w:t>
      </w:r>
      <w:r>
        <w:rPr>
          <w:rFonts w:ascii="Courier New" w:hAnsi="Courier New" w:cs="Courier New"/>
          <w:lang w:val="es-AR"/>
        </w:rPr>
        <w:t>i</w:t>
      </w:r>
      <w:r>
        <w:rPr>
          <w:rFonts w:ascii="Courier New" w:hAnsi="Courier New" w:cs="Courier New"/>
          <w:lang w:val="es-AR"/>
        </w:rPr>
        <w:t>có que era posible que el vend</w:t>
      </w:r>
      <w:r>
        <w:rPr>
          <w:rFonts w:ascii="Courier New" w:hAnsi="Courier New" w:cs="Courier New"/>
          <w:lang w:val="es-AR"/>
        </w:rPr>
        <w:t>e</w:t>
      </w:r>
      <w:r>
        <w:rPr>
          <w:rFonts w:ascii="Courier New" w:hAnsi="Courier New" w:cs="Courier New"/>
          <w:lang w:val="es-AR"/>
        </w:rPr>
        <w:t>dor, que seguramente era el gestor, se hubiera equivocado en la numeración; éste, aclaró, era quien confe</w:t>
      </w:r>
      <w:r>
        <w:rPr>
          <w:rFonts w:ascii="Courier New" w:hAnsi="Courier New" w:cs="Courier New"/>
          <w:lang w:val="es-AR"/>
        </w:rPr>
        <w:t>c</w:t>
      </w:r>
      <w:r>
        <w:rPr>
          <w:rFonts w:ascii="Courier New" w:hAnsi="Courier New" w:cs="Courier New"/>
          <w:lang w:val="es-AR"/>
        </w:rPr>
        <w:t>cionaba la boleta para el traslado de los veh</w:t>
      </w:r>
      <w:r>
        <w:rPr>
          <w:rFonts w:ascii="Courier New" w:hAnsi="Courier New" w:cs="Courier New"/>
          <w:lang w:val="es-AR"/>
        </w:rPr>
        <w:t>í</w:t>
      </w:r>
      <w:r>
        <w:rPr>
          <w:rFonts w:ascii="Courier New" w:hAnsi="Courier New" w:cs="Courier New"/>
          <w:lang w:val="es-AR"/>
        </w:rPr>
        <w:t>culos.</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Aseveró que al armar rodados nunca cambiaba el motor, sino que siempre utilizaba el orig</w:t>
      </w:r>
      <w:r>
        <w:rPr>
          <w:rFonts w:ascii="Courier New" w:hAnsi="Courier New" w:cs="Courier New"/>
          <w:lang w:val="es-AR"/>
        </w:rPr>
        <w:t>i</w:t>
      </w:r>
      <w:r>
        <w:rPr>
          <w:rFonts w:ascii="Courier New" w:hAnsi="Courier New" w:cs="Courier New"/>
          <w:lang w:val="es-AR"/>
        </w:rPr>
        <w:t xml:space="preserve">nal; asimismo, no los armaba </w:t>
      </w:r>
      <w:r>
        <w:rPr>
          <w:rFonts w:ascii="Courier New" w:hAnsi="Courier New" w:cs="Courier New"/>
        </w:rPr>
        <w:t>con la carr</w:t>
      </w:r>
      <w:r>
        <w:rPr>
          <w:rFonts w:ascii="Courier New" w:hAnsi="Courier New" w:cs="Courier New"/>
        </w:rPr>
        <w:t>o</w:t>
      </w:r>
      <w:r>
        <w:rPr>
          <w:rFonts w:ascii="Courier New" w:hAnsi="Courier New" w:cs="Courier New"/>
        </w:rPr>
        <w:t>cería de un año y los repuestos de otro, ya que en ese caso la reparación hubi</w:t>
      </w:r>
      <w:r>
        <w:rPr>
          <w:rFonts w:ascii="Courier New" w:hAnsi="Courier New" w:cs="Courier New"/>
        </w:rPr>
        <w:t>e</w:t>
      </w:r>
      <w:r>
        <w:rPr>
          <w:rFonts w:ascii="Courier New" w:hAnsi="Courier New" w:cs="Courier New"/>
        </w:rPr>
        <w:t>ra insumido un mes y, además, su forma de trabajar consi</w:t>
      </w:r>
      <w:r>
        <w:rPr>
          <w:rFonts w:ascii="Courier New" w:hAnsi="Courier New" w:cs="Courier New"/>
        </w:rPr>
        <w:t>s</w:t>
      </w:r>
      <w:r>
        <w:rPr>
          <w:rFonts w:ascii="Courier New" w:hAnsi="Courier New" w:cs="Courier New"/>
        </w:rPr>
        <w:t>tía en sacarle el motor a una carrocería, colocarle el m</w:t>
      </w:r>
      <w:r>
        <w:rPr>
          <w:rFonts w:ascii="Courier New" w:hAnsi="Courier New" w:cs="Courier New"/>
        </w:rPr>
        <w:t>o</w:t>
      </w:r>
      <w:r>
        <w:rPr>
          <w:rFonts w:ascii="Courier New" w:hAnsi="Courier New" w:cs="Courier New"/>
        </w:rPr>
        <w:t>tor de otra quemada, retocar los detalles y ve</w:t>
      </w:r>
      <w:r>
        <w:rPr>
          <w:rFonts w:ascii="Courier New" w:hAnsi="Courier New" w:cs="Courier New"/>
        </w:rPr>
        <w:t>n</w:t>
      </w:r>
      <w:r>
        <w:rPr>
          <w:rFonts w:ascii="Courier New" w:hAnsi="Courier New" w:cs="Courier New"/>
        </w:rPr>
        <w:t>derla.</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Indicó que Monjo facturaba discrim</w:t>
      </w:r>
      <w:r>
        <w:rPr>
          <w:rFonts w:ascii="Courier New" w:hAnsi="Courier New" w:cs="Courier New"/>
          <w:lang w:val="es-AR"/>
        </w:rPr>
        <w:t>i</w:t>
      </w:r>
      <w:r>
        <w:rPr>
          <w:rFonts w:ascii="Courier New" w:hAnsi="Courier New" w:cs="Courier New"/>
          <w:lang w:val="es-AR"/>
        </w:rPr>
        <w:t>nando el I.V.A., motivo por el cual ciertos vehículos f</w:t>
      </w:r>
      <w:r>
        <w:rPr>
          <w:rFonts w:ascii="Courier New" w:hAnsi="Courier New" w:cs="Courier New"/>
          <w:lang w:val="es-AR"/>
        </w:rPr>
        <w:t>i</w:t>
      </w:r>
      <w:r>
        <w:rPr>
          <w:rFonts w:ascii="Courier New" w:hAnsi="Courier New" w:cs="Courier New"/>
          <w:lang w:val="es-AR"/>
        </w:rPr>
        <w:t>guraban a nombre de su mujer o de Hugo Pérez, quienes p</w:t>
      </w:r>
      <w:r>
        <w:rPr>
          <w:rFonts w:ascii="Courier New" w:hAnsi="Courier New" w:cs="Courier New"/>
          <w:lang w:val="es-AR"/>
        </w:rPr>
        <w:t>o</w:t>
      </w:r>
      <w:r>
        <w:rPr>
          <w:rFonts w:ascii="Courier New" w:hAnsi="Courier New" w:cs="Courier New"/>
          <w:lang w:val="es-AR"/>
        </w:rPr>
        <w:t>seían número de C.U.I.T. y resultaban favorecidos con el crédito fiscal. Mencionó que P</w:t>
      </w:r>
      <w:r>
        <w:rPr>
          <w:rFonts w:ascii="Courier New" w:hAnsi="Courier New" w:cs="Courier New"/>
          <w:lang w:val="es-AR"/>
        </w:rPr>
        <w:t>é</w:t>
      </w:r>
      <w:r>
        <w:rPr>
          <w:rFonts w:ascii="Courier New" w:hAnsi="Courier New" w:cs="Courier New"/>
          <w:lang w:val="es-AR"/>
        </w:rPr>
        <w:t>rez trabajaba como</w:t>
      </w:r>
      <w:r>
        <w:rPr>
          <w:rFonts w:ascii="Courier New" w:hAnsi="Courier New" w:cs="Courier New"/>
          <w:szCs w:val="24"/>
          <w:lang w:val="es-AR"/>
        </w:rPr>
        <w:t xml:space="preserve"> albañil, constructor y contratista, por lo que </w:t>
      </w:r>
      <w:r>
        <w:rPr>
          <w:rFonts w:ascii="Courier New" w:hAnsi="Courier New" w:cs="Courier New"/>
          <w:lang w:val="es-AR"/>
        </w:rPr>
        <w:t>debía pagar impue</w:t>
      </w:r>
      <w:r>
        <w:rPr>
          <w:rFonts w:ascii="Courier New" w:hAnsi="Courier New" w:cs="Courier New"/>
          <w:lang w:val="es-AR"/>
        </w:rPr>
        <w:t>s</w:t>
      </w:r>
      <w:r>
        <w:rPr>
          <w:rFonts w:ascii="Courier New" w:hAnsi="Courier New" w:cs="Courier New"/>
          <w:lang w:val="es-AR"/>
        </w:rPr>
        <w:t>tos y que el lavadero de Olivos estaba a nombre de Bora</w:t>
      </w:r>
      <w:r>
        <w:rPr>
          <w:rFonts w:ascii="Courier New" w:hAnsi="Courier New" w:cs="Courier New"/>
          <w:lang w:val="es-AR"/>
        </w:rPr>
        <w:t>g</w:t>
      </w:r>
      <w:r>
        <w:rPr>
          <w:rFonts w:ascii="Courier New" w:hAnsi="Courier New" w:cs="Courier New"/>
          <w:lang w:val="es-AR"/>
        </w:rPr>
        <w:t>ni, habiendo llevado toda la contabilidad un contador, c</w:t>
      </w:r>
      <w:r>
        <w:rPr>
          <w:rFonts w:ascii="Courier New" w:hAnsi="Courier New" w:cs="Courier New"/>
          <w:lang w:val="es-AR"/>
        </w:rPr>
        <w:t>u</w:t>
      </w:r>
      <w:r>
        <w:rPr>
          <w:rFonts w:ascii="Courier New" w:hAnsi="Courier New" w:cs="Courier New"/>
          <w:lang w:val="es-AR"/>
        </w:rPr>
        <w:t>yo no</w:t>
      </w:r>
      <w:r>
        <w:rPr>
          <w:rFonts w:ascii="Courier New" w:hAnsi="Courier New" w:cs="Courier New"/>
          <w:lang w:val="es-AR"/>
        </w:rPr>
        <w:t>m</w:t>
      </w:r>
      <w:r>
        <w:rPr>
          <w:rFonts w:ascii="Courier New" w:hAnsi="Courier New" w:cs="Courier New"/>
          <w:lang w:val="es-AR"/>
        </w:rPr>
        <w:t>bre no recordó.</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Asimismo, hizo saber que compraba los vehículos con la certificación del vendedor en los form</w:t>
      </w:r>
      <w:r>
        <w:rPr>
          <w:rFonts w:ascii="Courier New" w:hAnsi="Courier New" w:cs="Courier New"/>
          <w:lang w:val="es-AR"/>
        </w:rPr>
        <w:t>u</w:t>
      </w:r>
      <w:r>
        <w:rPr>
          <w:rFonts w:ascii="Courier New" w:hAnsi="Courier New" w:cs="Courier New"/>
          <w:lang w:val="es-AR"/>
        </w:rPr>
        <w:t>larios “</w:t>
      </w:r>
      <w:smartTag w:uri="urn:schemas-microsoft-com:office:smarttags" w:element="metricconverter">
        <w:smartTagPr>
          <w:attr w:name="ProductID" w:val="08”"/>
        </w:smartTagPr>
        <w:r>
          <w:rPr>
            <w:rFonts w:ascii="Courier New" w:hAnsi="Courier New" w:cs="Courier New"/>
            <w:lang w:val="es-AR"/>
          </w:rPr>
          <w:t>08”</w:t>
        </w:r>
      </w:smartTag>
      <w:r>
        <w:rPr>
          <w:rFonts w:ascii="Courier New" w:hAnsi="Courier New" w:cs="Courier New"/>
          <w:lang w:val="es-AR"/>
        </w:rPr>
        <w:t xml:space="preserve"> en blanco, porque no los ponía a su nombre, sino que el comprador completaba sus datos.</w:t>
      </w:r>
    </w:p>
    <w:p w:rsidR="00224567" w:rsidRDefault="00224567">
      <w:pPr>
        <w:widowControl w:val="0"/>
      </w:pPr>
      <w:r>
        <w:tab/>
        <w:t>En cuanto a la modalidad de venta de los automotores que armaba, Telleldín señaló que los p</w:t>
      </w:r>
      <w:r>
        <w:t>u</w:t>
      </w:r>
      <w:r>
        <w:t>blicaba los sábados y domingos en el di</w:t>
      </w:r>
      <w:r>
        <w:t>a</w:t>
      </w:r>
      <w:r>
        <w:t>rio “Clarín”, con el tel</w:t>
      </w:r>
      <w:r>
        <w:t>é</w:t>
      </w:r>
      <w:r>
        <w:t>fono de su domicilio o el de Sandra Petrucci o con los domicilios de su hermano Eduardo Daniel, de Lo Prei</w:t>
      </w:r>
      <w:r>
        <w:t>a</w:t>
      </w:r>
      <w:r>
        <w:t>to, de la señora Torrisi o del lavadero de autos de Pell</w:t>
      </w:r>
      <w:r>
        <w:t>i</w:t>
      </w:r>
      <w:r>
        <w:t>za y Quintana. Sintetizó que anunciaba en diferentes lug</w:t>
      </w:r>
      <w:r>
        <w:t>a</w:t>
      </w:r>
      <w:r>
        <w:t>res, a fin de no aparentar ante los compradores que se trataba de una reventa, sino de una operación de partic</w:t>
      </w:r>
      <w:r>
        <w:t>u</w:t>
      </w:r>
      <w:r>
        <w:t>lar a particular y de ese modo venderlos más fáci</w:t>
      </w:r>
      <w:r>
        <w:t>l</w:t>
      </w:r>
      <w:r>
        <w:t>mente.</w:t>
      </w:r>
    </w:p>
    <w:p w:rsidR="00224567" w:rsidRDefault="00224567">
      <w:pPr>
        <w:widowControl w:val="0"/>
      </w:pPr>
      <w:r>
        <w:tab/>
        <w:t>A lo expuesto agregó que en las publ</w:t>
      </w:r>
      <w:r>
        <w:t>i</w:t>
      </w:r>
      <w:r>
        <w:t>caciones siempre insertaba el precio, ya que era e</w:t>
      </w:r>
      <w:r>
        <w:t>n</w:t>
      </w:r>
      <w:r>
        <w:t>tre USD 800 y 2000 más bajo que el de plaza; aseguró que en 1994 percibía entre USD 15.000 y 25.000 mensu</w:t>
      </w:r>
      <w:r>
        <w:t>a</w:t>
      </w:r>
      <w:r>
        <w:t>les.</w:t>
      </w:r>
    </w:p>
    <w:p w:rsidR="00224567" w:rsidRDefault="00224567">
      <w:pPr>
        <w:widowControl w:val="0"/>
      </w:pPr>
      <w:r>
        <w:tab/>
        <w:t>Ilustró que a los vehículos les ca</w:t>
      </w:r>
      <w:r>
        <w:t>m</w:t>
      </w:r>
      <w:r>
        <w:t>biaba el motor, los pintaba, los retocaba y les sacaba cualquier detalle que permitiera al dueño r</w:t>
      </w:r>
      <w:r>
        <w:t>e</w:t>
      </w:r>
      <w:r>
        <w:t>conocerlos en el hipotético caso de que fueran a verlo a raíz de la p</w:t>
      </w:r>
      <w:r>
        <w:t>u</w:t>
      </w:r>
      <w:r>
        <w:t>blicación para la venta. Ejemplificó que en el c</w:t>
      </w:r>
      <w:r>
        <w:t>a</w:t>
      </w:r>
      <w:r>
        <w:t>so de la camioneta de Sarapura, en el taller de Nitzcaner se le quitó un interior de madera. Negó haber modificado los elásticos de alguna de las camionetas arm</w:t>
      </w:r>
      <w:r>
        <w:t>a</w:t>
      </w:r>
      <w:r>
        <w:t>das.</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En otro orden, manifestó que era no</w:t>
      </w:r>
      <w:r>
        <w:rPr>
          <w:rFonts w:ascii="Courier New" w:hAnsi="Courier New" w:cs="Courier New"/>
          <w:lang w:val="es-AR"/>
        </w:rPr>
        <w:t>r</w:t>
      </w:r>
      <w:r>
        <w:rPr>
          <w:rFonts w:ascii="Courier New" w:hAnsi="Courier New" w:cs="Courier New"/>
          <w:lang w:val="es-AR"/>
        </w:rPr>
        <w:t>mal cambiar motores de rodados en cualquier taller, pero se debía hacer un trámite llam</w:t>
      </w:r>
      <w:r>
        <w:rPr>
          <w:rFonts w:ascii="Courier New" w:hAnsi="Courier New" w:cs="Courier New"/>
          <w:lang w:val="es-AR"/>
        </w:rPr>
        <w:t>a</w:t>
      </w:r>
      <w:r>
        <w:rPr>
          <w:rFonts w:ascii="Courier New" w:hAnsi="Courier New" w:cs="Courier New"/>
          <w:lang w:val="es-AR"/>
        </w:rPr>
        <w:t>do R.P.A.</w:t>
      </w:r>
      <w:r>
        <w:rPr>
          <w:rFonts w:ascii="Courier New" w:hAnsi="Courier New" w:cs="Courier New"/>
          <w:szCs w:val="24"/>
          <w:lang w:val="es-AR"/>
        </w:rPr>
        <w:t>. Asimismo, i</w:t>
      </w:r>
      <w:r>
        <w:rPr>
          <w:rFonts w:ascii="Courier New" w:hAnsi="Courier New" w:cs="Courier New"/>
          <w:lang w:val="es-AR"/>
        </w:rPr>
        <w:t>ndicó que si bien Nitzcaner podía presumir que estaba haciendo algo raro, también podía pensar que haría el trámite de cambio de motor, para sacar uno que no funcionaba y ree</w:t>
      </w:r>
      <w:r>
        <w:rPr>
          <w:rFonts w:ascii="Courier New" w:hAnsi="Courier New" w:cs="Courier New"/>
          <w:lang w:val="es-AR"/>
        </w:rPr>
        <w:t>m</w:t>
      </w:r>
      <w:r>
        <w:rPr>
          <w:rFonts w:ascii="Courier New" w:hAnsi="Courier New" w:cs="Courier New"/>
          <w:lang w:val="es-AR"/>
        </w:rPr>
        <w:t>plazarlo por otro nuevo o mejor. Dedujo que si hubiera s</w:t>
      </w:r>
      <w:r>
        <w:rPr>
          <w:rFonts w:ascii="Courier New" w:hAnsi="Courier New" w:cs="Courier New"/>
          <w:lang w:val="es-AR"/>
        </w:rPr>
        <w:t>a</w:t>
      </w:r>
      <w:r>
        <w:rPr>
          <w:rFonts w:ascii="Courier New" w:hAnsi="Courier New" w:cs="Courier New"/>
          <w:lang w:val="es-AR"/>
        </w:rPr>
        <w:t>bido que e</w:t>
      </w:r>
      <w:r>
        <w:rPr>
          <w:rFonts w:ascii="Courier New" w:hAnsi="Courier New" w:cs="Courier New"/>
          <w:lang w:val="es-AR"/>
        </w:rPr>
        <w:t>s</w:t>
      </w:r>
      <w:r>
        <w:rPr>
          <w:rFonts w:ascii="Courier New" w:hAnsi="Courier New" w:cs="Courier New"/>
          <w:lang w:val="es-AR"/>
        </w:rPr>
        <w:t xml:space="preserve">taba armando vehículos “truchos”, no le habría cobrado </w:t>
      </w:r>
      <w:r>
        <w:rPr>
          <w:rFonts w:ascii="Courier New" w:hAnsi="Courier New" w:cs="Courier New"/>
          <w:lang w:val="es-MX"/>
        </w:rPr>
        <w:t xml:space="preserve">$ </w:t>
      </w:r>
      <w:r>
        <w:rPr>
          <w:rFonts w:ascii="Courier New" w:hAnsi="Courier New" w:cs="Courier New"/>
          <w:lang w:val="es-AR"/>
        </w:rPr>
        <w:t>100 ó 150, sino mucho más o tal vez ni siquiera habría aceptado hacer el tr</w:t>
      </w:r>
      <w:r>
        <w:rPr>
          <w:rFonts w:ascii="Courier New" w:hAnsi="Courier New" w:cs="Courier New"/>
          <w:lang w:val="es-AR"/>
        </w:rPr>
        <w:t>a</w:t>
      </w:r>
      <w:r>
        <w:rPr>
          <w:rFonts w:ascii="Courier New" w:hAnsi="Courier New" w:cs="Courier New"/>
          <w:lang w:val="es-AR"/>
        </w:rPr>
        <w:t>bajo.</w:t>
      </w:r>
    </w:p>
    <w:p w:rsidR="00224567" w:rsidRDefault="00224567">
      <w:pPr>
        <w:pStyle w:val="Sangra3detindependiente"/>
        <w:widowControl w:val="0"/>
        <w:spacing w:line="600" w:lineRule="auto"/>
        <w:ind w:firstLine="0"/>
      </w:pPr>
      <w:r>
        <w:tab/>
        <w:t>El imputado ilustró que para a</w:t>
      </w:r>
      <w:r>
        <w:t>r</w:t>
      </w:r>
      <w:r>
        <w:t xml:space="preserve">mar </w:t>
      </w:r>
      <w:smartTag w:uri="urn:schemas-microsoft-com:office:smarttags" w:element="PersonName">
        <w:smartTagPr>
          <w:attr w:name="ProductID" w:val="la Trafic"/>
        </w:smartTagPr>
        <w:r>
          <w:t>la Trafic</w:t>
        </w:r>
      </w:smartTag>
      <w:r>
        <w:t xml:space="preserve"> investigada en esta causa gastó alrededor de </w:t>
      </w:r>
      <w:r>
        <w:rPr>
          <w:lang w:val="es-MX"/>
        </w:rPr>
        <w:t xml:space="preserve">$ </w:t>
      </w:r>
      <w:r>
        <w:t xml:space="preserve">5500, distribuidos en </w:t>
      </w:r>
      <w:r>
        <w:rPr>
          <w:lang w:val="es-MX"/>
        </w:rPr>
        <w:t xml:space="preserve">$ </w:t>
      </w:r>
      <w:r>
        <w:t>4000 aproximadamente para p</w:t>
      </w:r>
      <w:r>
        <w:t>a</w:t>
      </w:r>
      <w:r>
        <w:t xml:space="preserve">garle a Monjo, </w:t>
      </w:r>
      <w:r>
        <w:rPr>
          <w:lang w:val="es-MX"/>
        </w:rPr>
        <w:t xml:space="preserve">$ </w:t>
      </w:r>
      <w:r>
        <w:t>1000 la carrocería y el resto a Nitzcaner. En otro pasaje, puntualizó que el costo del a</w:t>
      </w:r>
      <w:r>
        <w:t>r</w:t>
      </w:r>
      <w:r>
        <w:t xml:space="preserve">mado fue de USD 5000 y que una Trafic robada costaba entre </w:t>
      </w:r>
      <w:r>
        <w:rPr>
          <w:lang w:val="es-MX"/>
        </w:rPr>
        <w:t xml:space="preserve">$ </w:t>
      </w:r>
      <w:r>
        <w:t>900 y 1100, según el estado en que estuviera, suma que le abonaba a César Fe</w:t>
      </w:r>
      <w:r>
        <w:t>r</w:t>
      </w:r>
      <w:r>
        <w:t>nández.</w:t>
      </w:r>
    </w:p>
    <w:p w:rsidR="00224567" w:rsidRDefault="00224567">
      <w:pPr>
        <w:pStyle w:val="Textoindependiente2"/>
        <w:widowControl w:val="0"/>
        <w:rPr>
          <w:rFonts w:ascii="Courier New" w:hAnsi="Courier New" w:cs="Courier New"/>
          <w:szCs w:val="24"/>
          <w:lang w:val="es-AR"/>
        </w:rPr>
      </w:pPr>
      <w:r>
        <w:rPr>
          <w:rFonts w:ascii="Courier New" w:hAnsi="Courier New" w:cs="Courier New"/>
        </w:rPr>
        <w:tab/>
      </w:r>
      <w:r>
        <w:rPr>
          <w:rFonts w:ascii="Courier New" w:hAnsi="Courier New" w:cs="Courier New"/>
          <w:szCs w:val="24"/>
          <w:lang w:val="es-AR"/>
        </w:rPr>
        <w:t>Del automotor siniestrado, refirió, extraían el bloque de motor con la numeración, en tanto del sustraído o comprado en desarmaderos utilizaban t</w:t>
      </w:r>
      <w:r>
        <w:rPr>
          <w:rFonts w:ascii="Courier New" w:hAnsi="Courier New" w:cs="Courier New"/>
          <w:szCs w:val="24"/>
          <w:lang w:val="es-AR"/>
        </w:rPr>
        <w:t>o</w:t>
      </w:r>
      <w:r>
        <w:rPr>
          <w:rFonts w:ascii="Courier New" w:hAnsi="Courier New" w:cs="Courier New"/>
          <w:szCs w:val="24"/>
          <w:lang w:val="es-AR"/>
        </w:rPr>
        <w:t>dos los accesorios, armándose así el rodado y cambiá</w:t>
      </w:r>
      <w:r>
        <w:rPr>
          <w:rFonts w:ascii="Courier New" w:hAnsi="Courier New" w:cs="Courier New"/>
          <w:szCs w:val="24"/>
          <w:lang w:val="es-AR"/>
        </w:rPr>
        <w:t>n</w:t>
      </w:r>
      <w:r>
        <w:rPr>
          <w:rFonts w:ascii="Courier New" w:hAnsi="Courier New" w:cs="Courier New"/>
          <w:szCs w:val="24"/>
          <w:lang w:val="es-AR"/>
        </w:rPr>
        <w:t xml:space="preserve">dole los números. Calculó que en </w:t>
      </w:r>
      <w:r>
        <w:rPr>
          <w:rFonts w:ascii="Courier New" w:hAnsi="Courier New" w:cs="Courier New"/>
        </w:rPr>
        <w:t>cuatro horas y media se podía h</w:t>
      </w:r>
      <w:r>
        <w:rPr>
          <w:rFonts w:ascii="Courier New" w:hAnsi="Courier New" w:cs="Courier New"/>
        </w:rPr>
        <w:t>a</w:t>
      </w:r>
      <w:r>
        <w:rPr>
          <w:rFonts w:ascii="Courier New" w:hAnsi="Courier New" w:cs="Courier New"/>
        </w:rPr>
        <w:t>cer todo el trabajo, ya que la extracción demandaba una hora y media o dos y la colocación otras tres. Eje</w:t>
      </w:r>
      <w:r>
        <w:rPr>
          <w:rFonts w:ascii="Courier New" w:hAnsi="Courier New" w:cs="Courier New"/>
        </w:rPr>
        <w:t>m</w:t>
      </w:r>
      <w:r>
        <w:rPr>
          <w:rFonts w:ascii="Courier New" w:hAnsi="Courier New" w:cs="Courier New"/>
        </w:rPr>
        <w:t>plificó que en 1993 hizo personalmente el trabajo sobre un Renault 18 gasolero, demorando dos horas y media en sacar el m</w:t>
      </w:r>
      <w:r>
        <w:rPr>
          <w:rFonts w:ascii="Courier New" w:hAnsi="Courier New" w:cs="Courier New"/>
        </w:rPr>
        <w:t>o</w:t>
      </w:r>
      <w:r>
        <w:rPr>
          <w:rFonts w:ascii="Courier New" w:hAnsi="Courier New" w:cs="Courier New"/>
        </w:rPr>
        <w:t>tor, colocarlo, p</w:t>
      </w:r>
      <w:r>
        <w:rPr>
          <w:rFonts w:ascii="Courier New" w:hAnsi="Courier New" w:cs="Courier New"/>
        </w:rPr>
        <w:t>o</w:t>
      </w:r>
      <w:r>
        <w:rPr>
          <w:rFonts w:ascii="Courier New" w:hAnsi="Courier New" w:cs="Courier New"/>
        </w:rPr>
        <w:t>nerlo en marcha y regularlo.</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Sostuvo que al hacérsele los n</w:t>
      </w:r>
      <w:r>
        <w:rPr>
          <w:rFonts w:ascii="Courier New" w:hAnsi="Courier New" w:cs="Courier New"/>
          <w:szCs w:val="24"/>
          <w:lang w:val="es-AR"/>
        </w:rPr>
        <w:t>ú</w:t>
      </w:r>
      <w:r>
        <w:rPr>
          <w:rFonts w:ascii="Courier New" w:hAnsi="Courier New" w:cs="Courier New"/>
          <w:szCs w:val="24"/>
          <w:lang w:val="es-AR"/>
        </w:rPr>
        <w:t>meros a la carrocería nueva, es decir, a la que po</w:t>
      </w:r>
      <w:r>
        <w:rPr>
          <w:rFonts w:ascii="Courier New" w:hAnsi="Courier New" w:cs="Courier New"/>
          <w:szCs w:val="24"/>
          <w:lang w:val="es-AR"/>
        </w:rPr>
        <w:t>r</w:t>
      </w:r>
      <w:r>
        <w:rPr>
          <w:rFonts w:ascii="Courier New" w:hAnsi="Courier New" w:cs="Courier New"/>
          <w:szCs w:val="24"/>
          <w:lang w:val="es-AR"/>
        </w:rPr>
        <w:t>taría el motor de la quemada, había dos carrocerías con la misma numer</w:t>
      </w:r>
      <w:r>
        <w:rPr>
          <w:rFonts w:ascii="Courier New" w:hAnsi="Courier New" w:cs="Courier New"/>
          <w:szCs w:val="24"/>
          <w:lang w:val="es-AR"/>
        </w:rPr>
        <w:t>a</w:t>
      </w:r>
      <w:r>
        <w:rPr>
          <w:rFonts w:ascii="Courier New" w:hAnsi="Courier New" w:cs="Courier New"/>
          <w:szCs w:val="24"/>
          <w:lang w:val="es-AR"/>
        </w:rPr>
        <w:t>ción, lo que podría acarrearle un problema policial; e</w:t>
      </w:r>
      <w:r>
        <w:rPr>
          <w:rFonts w:ascii="Courier New" w:hAnsi="Courier New" w:cs="Courier New"/>
          <w:szCs w:val="24"/>
        </w:rPr>
        <w:t>n consecuencia, mandaban las c</w:t>
      </w:r>
      <w:r>
        <w:rPr>
          <w:rFonts w:ascii="Courier New" w:hAnsi="Courier New" w:cs="Courier New"/>
          <w:szCs w:val="24"/>
        </w:rPr>
        <w:t>a</w:t>
      </w:r>
      <w:r>
        <w:rPr>
          <w:rFonts w:ascii="Courier New" w:hAnsi="Courier New" w:cs="Courier New"/>
          <w:szCs w:val="24"/>
        </w:rPr>
        <w:t>rrocerías a los desarmaderos o se las daban a los chatarreros, debiendo entregar</w:t>
      </w:r>
      <w:r>
        <w:rPr>
          <w:rFonts w:ascii="Courier New" w:hAnsi="Courier New" w:cs="Courier New"/>
        </w:rPr>
        <w:t>las con las cajas, ya que era prácticamente el pago por la de</w:t>
      </w:r>
      <w:r>
        <w:rPr>
          <w:rFonts w:ascii="Courier New" w:hAnsi="Courier New" w:cs="Courier New"/>
        </w:rPr>
        <w:t>s</w:t>
      </w:r>
      <w:r>
        <w:rPr>
          <w:rFonts w:ascii="Courier New" w:hAnsi="Courier New" w:cs="Courier New"/>
        </w:rPr>
        <w:t xml:space="preserve">trucción. Con respecto a </w:t>
      </w:r>
      <w:smartTag w:uri="urn:schemas-microsoft-com:office:smarttags" w:element="PersonName">
        <w:smartTagPr>
          <w:attr w:name="ProductID" w:val="la Trafic"/>
        </w:smartTagPr>
        <w:r>
          <w:rPr>
            <w:rFonts w:ascii="Courier New" w:hAnsi="Courier New" w:cs="Courier New"/>
          </w:rPr>
          <w:t>la Trafic</w:t>
        </w:r>
      </w:smartTag>
      <w:r>
        <w:rPr>
          <w:rFonts w:ascii="Courier New" w:hAnsi="Courier New" w:cs="Courier New"/>
        </w:rPr>
        <w:t xml:space="preserve"> de “Me</w:t>
      </w:r>
      <w:r>
        <w:rPr>
          <w:rFonts w:ascii="Courier New" w:hAnsi="Courier New" w:cs="Courier New"/>
        </w:rPr>
        <w:t>s</w:t>
      </w:r>
      <w:r>
        <w:rPr>
          <w:rFonts w:ascii="Courier New" w:hAnsi="Courier New" w:cs="Courier New"/>
        </w:rPr>
        <w:t xml:space="preserve">sin”, afirmó </w:t>
      </w:r>
      <w:r>
        <w:rPr>
          <w:rFonts w:ascii="Courier New" w:hAnsi="Courier New" w:cs="Courier New"/>
          <w:szCs w:val="24"/>
          <w:lang w:val="es-AR"/>
        </w:rPr>
        <w:t>que la envió con la grúa de un hombre apodado “Jorobado”, quien la retiró del domicilio de Cot</w:t>
      </w:r>
      <w:r>
        <w:rPr>
          <w:rFonts w:ascii="Courier New" w:hAnsi="Courier New" w:cs="Courier New"/>
          <w:szCs w:val="24"/>
          <w:lang w:val="es-AR"/>
        </w:rPr>
        <w:t>o</w:t>
      </w:r>
      <w:r>
        <w:rPr>
          <w:rFonts w:ascii="Courier New" w:hAnsi="Courier New" w:cs="Courier New"/>
          <w:szCs w:val="24"/>
          <w:lang w:val="es-AR"/>
        </w:rPr>
        <w:t>ras.</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Manifestó que trabajaba con varios desarmaderos; uno era el de Antonio Avelino Agüero, otro estaba ubicado cerca de Ramos Mejía, por la zona de Díaz Vélez y General Paz. Aseguró que no le interesaban los r</w:t>
      </w:r>
      <w:r>
        <w:rPr>
          <w:rFonts w:ascii="Courier New" w:hAnsi="Courier New" w:cs="Courier New"/>
          <w:szCs w:val="24"/>
          <w:lang w:val="es-AR"/>
        </w:rPr>
        <w:t>e</w:t>
      </w:r>
      <w:r>
        <w:rPr>
          <w:rFonts w:ascii="Courier New" w:hAnsi="Courier New" w:cs="Courier New"/>
          <w:szCs w:val="24"/>
          <w:lang w:val="es-AR"/>
        </w:rPr>
        <w:t>puestos de los siniestrados, sino, tan solo, que fueran destruidos, a fin de que no existieran dos vehículos con la misma numeración.</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 xml:space="preserve">Puntualizó que la carrocería del vehículo vendido a </w:t>
      </w:r>
      <w:smartTag w:uri="urn:schemas-microsoft-com:office:smarttags" w:element="PersonName">
        <w:smartTagPr>
          <w:attr w:name="ProductID" w:val="la Sra. Toretta"/>
        </w:smartTagPr>
        <w:r>
          <w:rPr>
            <w:rFonts w:ascii="Courier New" w:hAnsi="Courier New" w:cs="Courier New"/>
            <w:szCs w:val="24"/>
            <w:lang w:val="es-AR"/>
          </w:rPr>
          <w:t>la Sra. Toretta</w:t>
        </w:r>
      </w:smartTag>
      <w:r>
        <w:rPr>
          <w:rFonts w:ascii="Courier New" w:hAnsi="Courier New" w:cs="Courier New"/>
          <w:szCs w:val="24"/>
          <w:lang w:val="es-AR"/>
        </w:rPr>
        <w:t xml:space="preserve"> fue secuestrada por la policía de José C. Paz; en consecuencia, estaba una cami</w:t>
      </w:r>
      <w:r>
        <w:rPr>
          <w:rFonts w:ascii="Courier New" w:hAnsi="Courier New" w:cs="Courier New"/>
          <w:szCs w:val="24"/>
          <w:lang w:val="es-AR"/>
        </w:rPr>
        <w:t>o</w:t>
      </w:r>
      <w:r>
        <w:rPr>
          <w:rFonts w:ascii="Courier New" w:hAnsi="Courier New" w:cs="Courier New"/>
          <w:szCs w:val="24"/>
          <w:lang w:val="es-AR"/>
        </w:rPr>
        <w:t>neta en esa dependencia y existía otra que había vendido y debía transferir a la nombrada. Explicó que si el comis</w:t>
      </w:r>
      <w:r>
        <w:rPr>
          <w:rFonts w:ascii="Courier New" w:hAnsi="Courier New" w:cs="Courier New"/>
          <w:szCs w:val="24"/>
          <w:lang w:val="es-AR"/>
        </w:rPr>
        <w:t>a</w:t>
      </w:r>
      <w:r>
        <w:rPr>
          <w:rFonts w:ascii="Courier New" w:hAnsi="Courier New" w:cs="Courier New"/>
          <w:szCs w:val="24"/>
          <w:lang w:val="es-AR"/>
        </w:rPr>
        <w:t>rio informaba al registro que poseía la carrocería, el l</w:t>
      </w:r>
      <w:r>
        <w:rPr>
          <w:rFonts w:ascii="Courier New" w:hAnsi="Courier New" w:cs="Courier New"/>
          <w:szCs w:val="24"/>
          <w:lang w:val="es-AR"/>
        </w:rPr>
        <w:t>e</w:t>
      </w:r>
      <w:r>
        <w:rPr>
          <w:rFonts w:ascii="Courier New" w:hAnsi="Courier New" w:cs="Courier New"/>
          <w:szCs w:val="24"/>
          <w:lang w:val="es-AR"/>
        </w:rPr>
        <w:t>gajo resultaría bloqueado, por lo que debió enviar a B</w:t>
      </w:r>
      <w:r>
        <w:rPr>
          <w:rFonts w:ascii="Courier New" w:hAnsi="Courier New" w:cs="Courier New"/>
          <w:szCs w:val="24"/>
          <w:lang w:val="es-AR"/>
        </w:rPr>
        <w:t>a</w:t>
      </w:r>
      <w:r>
        <w:rPr>
          <w:rFonts w:ascii="Courier New" w:hAnsi="Courier New" w:cs="Courier New"/>
          <w:szCs w:val="24"/>
          <w:lang w:val="es-AR"/>
        </w:rPr>
        <w:t>rreda junto con Pérez y pagar un dinero para que se la e</w:t>
      </w:r>
      <w:r>
        <w:rPr>
          <w:rFonts w:ascii="Courier New" w:hAnsi="Courier New" w:cs="Courier New"/>
          <w:szCs w:val="24"/>
          <w:lang w:val="es-AR"/>
        </w:rPr>
        <w:t>n</w:t>
      </w:r>
      <w:r>
        <w:rPr>
          <w:rFonts w:ascii="Courier New" w:hAnsi="Courier New" w:cs="Courier New"/>
          <w:szCs w:val="24"/>
          <w:lang w:val="es-AR"/>
        </w:rPr>
        <w:t>tregaran el 30 de j</w:t>
      </w:r>
      <w:r>
        <w:rPr>
          <w:rFonts w:ascii="Courier New" w:hAnsi="Courier New" w:cs="Courier New"/>
          <w:szCs w:val="24"/>
          <w:lang w:val="es-AR"/>
        </w:rPr>
        <w:t>u</w:t>
      </w:r>
      <w:r>
        <w:rPr>
          <w:rFonts w:ascii="Courier New" w:hAnsi="Courier New" w:cs="Courier New"/>
          <w:szCs w:val="24"/>
          <w:lang w:val="es-AR"/>
        </w:rPr>
        <w:t>nio.</w:t>
      </w:r>
    </w:p>
    <w:p w:rsidR="00224567" w:rsidRDefault="00224567">
      <w:pPr>
        <w:widowControl w:val="0"/>
      </w:pPr>
      <w:r>
        <w:tab/>
        <w:t>Indicó que utilizaba la docume</w:t>
      </w:r>
      <w:r>
        <w:t>n</w:t>
      </w:r>
      <w:r>
        <w:t>tación de los vehículos siniestrados, a la vez que negó haber trabajado en alguna oportunidad con documentación adult</w:t>
      </w:r>
      <w:r>
        <w:t>e</w:t>
      </w:r>
      <w:r>
        <w:t>rada o apócrifa.</w:t>
      </w:r>
    </w:p>
    <w:p w:rsidR="00224567" w:rsidRDefault="00224567">
      <w:pPr>
        <w:widowControl w:val="0"/>
      </w:pPr>
      <w:r>
        <w:tab/>
        <w:t>Por otra parte, Telleldín manifestó que hacía el grabado de las carrocerías Renault con un l</w:t>
      </w:r>
      <w:r>
        <w:t>á</w:t>
      </w:r>
      <w:r>
        <w:t>piz óptico. Aclaró que si bien después de 1992 Renault cambió el sistema de numeración de carrocería por uno r</w:t>
      </w:r>
      <w:r>
        <w:t>o</w:t>
      </w:r>
      <w:r>
        <w:t>bótico, anteriormente se usaba un lápiz eléctrico para t</w:t>
      </w:r>
      <w:r>
        <w:t>o</w:t>
      </w:r>
      <w:r>
        <w:t>da la línea, que era el mismo que el utilizado para gr</w:t>
      </w:r>
      <w:r>
        <w:t>a</w:t>
      </w:r>
      <w:r>
        <w:t>bar los vidrios, y se conseguía en cua</w:t>
      </w:r>
      <w:r>
        <w:t>l</w:t>
      </w:r>
      <w:r>
        <w:t>quier lado.</w:t>
      </w:r>
    </w:p>
    <w:p w:rsidR="00224567" w:rsidRDefault="00224567">
      <w:pPr>
        <w:widowControl w:val="0"/>
      </w:pPr>
      <w:r>
        <w:tab/>
        <w:t xml:space="preserve">El encartado admitió que tanto en el caso de </w:t>
      </w:r>
      <w:smartTag w:uri="urn:schemas-microsoft-com:office:smarttags" w:element="PersonName">
        <w:smartTagPr>
          <w:attr w:name="ProductID" w:val="la Trafic"/>
        </w:smartTagPr>
        <w:r>
          <w:t>la Trafic</w:t>
        </w:r>
      </w:smartTag>
      <w:r>
        <w:t xml:space="preserve"> en estudio, como de los once vehículos por los que se e</w:t>
      </w:r>
      <w:r>
        <w:t>n</w:t>
      </w:r>
      <w:r>
        <w:t>contraba procesado en el juzgado nº 4, el grabado lo realizó personalmente. Refirió que anteriorme</w:t>
      </w:r>
      <w:r>
        <w:t>n</w:t>
      </w:r>
      <w:r>
        <w:t>te lo llevaba a cabo Jaimes, quien le enseñó y era muy d</w:t>
      </w:r>
      <w:r>
        <w:t>e</w:t>
      </w:r>
      <w:r>
        <w:t>tallista. Calculó que para hacer el número de la carroc</w:t>
      </w:r>
      <w:r>
        <w:t>e</w:t>
      </w:r>
      <w:r>
        <w:t>ría demoraba una hora o menos. No obstante, apuntó, un trabajo bien hecho, tal como le había enseñado Jaimes, d</w:t>
      </w:r>
      <w:r>
        <w:t>e</w:t>
      </w:r>
      <w:r>
        <w:t>moraba dos horas y media.</w:t>
      </w:r>
    </w:p>
    <w:p w:rsidR="00224567" w:rsidRDefault="00224567">
      <w:pPr>
        <w:pStyle w:val="Textoindependiente"/>
        <w:spacing w:line="600" w:lineRule="auto"/>
      </w:pPr>
      <w:r>
        <w:tab/>
        <w:t>Telleldín señaló que por la premura, a v</w:t>
      </w:r>
      <w:r>
        <w:t>e</w:t>
      </w:r>
      <w:r>
        <w:t>ces no hacía el proceso como correspondía, om</w:t>
      </w:r>
      <w:r>
        <w:t>i</w:t>
      </w:r>
      <w:r>
        <w:t>tiendo el uso de ácidos y limitándose a remarcar la numeración, a fin de vender los automóviles en la misma sem</w:t>
      </w:r>
      <w:r>
        <w:t>a</w:t>
      </w:r>
      <w:r>
        <w:t>na en que los había adquirido. Aseveró que eso hizo en el c</w:t>
      </w:r>
      <w:r>
        <w:t>a</w:t>
      </w:r>
      <w:r>
        <w:t xml:space="preserve">so de </w:t>
      </w:r>
      <w:smartTag w:uri="urn:schemas-microsoft-com:office:smarttags" w:element="PersonName">
        <w:smartTagPr>
          <w:attr w:name="ProductID" w:val="la Trafic"/>
        </w:smartTagPr>
        <w:r>
          <w:t>la Trafic</w:t>
        </w:r>
      </w:smartTag>
      <w:r>
        <w:t xml:space="preserve"> de marras.</w:t>
      </w:r>
    </w:p>
    <w:p w:rsidR="00224567" w:rsidRDefault="00224567">
      <w:pPr>
        <w:widowControl w:val="0"/>
      </w:pPr>
      <w:r>
        <w:tab/>
        <w:t xml:space="preserve">Manifestó el imputado que cuando se trataba de automóviles llevaba a cabo ese trabajo en su cochera o en el taller del lavadero de Olivos. Agregó que en el caso de la camioneta en cuestión, como así también en el de </w:t>
      </w:r>
      <w:smartTag w:uri="urn:schemas-microsoft-com:office:smarttags" w:element="PersonName">
        <w:smartTagPr>
          <w:attr w:name="ProductID" w:val="la Sra. Toretta"/>
        </w:smartTagPr>
        <w:r>
          <w:t>la Sra. Toretta</w:t>
        </w:r>
      </w:smartTag>
      <w:r>
        <w:t>, lo realizó en el taller de Nit</w:t>
      </w:r>
      <w:r>
        <w:t>z</w:t>
      </w:r>
      <w:r>
        <w:t>caner, en tanto la otra Trafic la hizo en la quinta sita en la localidad de Tortugu</w:t>
      </w:r>
      <w:r>
        <w:t>i</w:t>
      </w:r>
      <w:r>
        <w:t>tas.</w:t>
      </w:r>
    </w:p>
    <w:p w:rsidR="00224567" w:rsidRDefault="00224567">
      <w:pPr>
        <w:widowControl w:val="0"/>
      </w:pPr>
      <w:r>
        <w:tab/>
        <w:t>Aclaró que la tarea que hacía en el taller de Nitzcaner era por su cuenta, sin ninguna colab</w:t>
      </w:r>
      <w:r>
        <w:t>o</w:t>
      </w:r>
      <w:r>
        <w:t>ración, ya que el nombrado nunca tuvo conocimiento de lo que estaba realizando. Remarcó que se trataba de un t</w:t>
      </w:r>
      <w:r>
        <w:t>a</w:t>
      </w:r>
      <w:r>
        <w:t>ller ocasional, que contrató cuando vendió el lavadero de a</w:t>
      </w:r>
      <w:r>
        <w:t>u</w:t>
      </w:r>
      <w:r>
        <w:t>tos, donde le cobraban lo mismo que en otro por los arr</w:t>
      </w:r>
      <w:r>
        <w:t>e</w:t>
      </w:r>
      <w:r>
        <w:t>glos mecánicos o de otro tipo.</w:t>
      </w:r>
    </w:p>
    <w:p w:rsidR="00224567" w:rsidRDefault="00224567">
      <w:pPr>
        <w:widowControl w:val="0"/>
      </w:pPr>
      <w:r>
        <w:tab/>
        <w:t>En el taller de Nitzcaner, dijo, gr</w:t>
      </w:r>
      <w:r>
        <w:t>a</w:t>
      </w:r>
      <w:r>
        <w:t>bó los números de la carrocería de “Messin S.R.L.” en la de Sarapura, con un lápiz óptico; d</w:t>
      </w:r>
      <w:r>
        <w:t>e</w:t>
      </w:r>
      <w:r>
        <w:t>dujo que había llevado a cabo esa tarea en horas del mediodía, cuando Nitzcaner se retiraba a comer; el socio de éste, Jouce, quien entendía poco de automotores, estaba en la oficina, ubicada en la parte delantera del taller, donde a</w:t>
      </w:r>
      <w:r>
        <w:t>l</w:t>
      </w:r>
      <w:r>
        <w:t>morzaba. Adunó que el ruido que hacía el lápiz óptico era mín</w:t>
      </w:r>
      <w:r>
        <w:t>i</w:t>
      </w:r>
      <w:r>
        <w:t>mo, como el de una afeitadora eléctrica, menor al de una pulid</w:t>
      </w:r>
      <w:r>
        <w:t>o</w:t>
      </w:r>
      <w:r>
        <w:t>ra.</w:t>
      </w:r>
    </w:p>
    <w:p w:rsidR="00224567" w:rsidRDefault="00224567">
      <w:pPr>
        <w:widowControl w:val="0"/>
      </w:pPr>
      <w:r>
        <w:rPr>
          <w:bCs/>
        </w:rPr>
        <w:tab/>
        <w:t>En otro orden, manifestó Telle</w:t>
      </w:r>
      <w:r>
        <w:rPr>
          <w:bCs/>
        </w:rPr>
        <w:t>l</w:t>
      </w:r>
      <w:r>
        <w:rPr>
          <w:bCs/>
        </w:rPr>
        <w:t xml:space="preserve">dín que conoció </w:t>
      </w:r>
      <w:r>
        <w:t>a Cotoras en 1986, en tanto que a Nitzcaner en abril de 1994, aprox</w:t>
      </w:r>
      <w:r>
        <w:t>i</w:t>
      </w:r>
      <w:r>
        <w:t>madamente. Recordó que en 1990 ó 1991 residía en el barrio de Belgrano, donde Cotoras tuvo un taller mecánico junto con su p</w:t>
      </w:r>
      <w:r>
        <w:t>a</w:t>
      </w:r>
      <w:r>
        <w:t>dre.</w:t>
      </w:r>
    </w:p>
    <w:p w:rsidR="00224567" w:rsidRDefault="00224567">
      <w:pPr>
        <w:widowControl w:val="0"/>
      </w:pPr>
      <w:r>
        <w:tab/>
        <w:t>Indicó que entre 1992 ó 1993 y ma</w:t>
      </w:r>
      <w:r>
        <w:t>r</w:t>
      </w:r>
      <w:r>
        <w:t>zo o abril de 1994 tuvo, en sociedad con Lo Preiato, un lavad</w:t>
      </w:r>
      <w:r>
        <w:t>e</w:t>
      </w:r>
      <w:r>
        <w:t>ro de autos llamado “Puerto Ol</w:t>
      </w:r>
      <w:r>
        <w:t>i</w:t>
      </w:r>
      <w:r>
        <w:t>vos”, ubicado en Pelliza y Quintana. Explicó que alquiló el predio con una habilit</w:t>
      </w:r>
      <w:r>
        <w:t>a</w:t>
      </w:r>
      <w:r>
        <w:t>ción de taller mecánico incluida y, a través de un aviso en el di</w:t>
      </w:r>
      <w:r>
        <w:t>a</w:t>
      </w:r>
      <w:r>
        <w:t>rio “Clarín”, ofreció la venta del cincuenta por ciento del fondo de comercio del futuro lavadero, con</w:t>
      </w:r>
      <w:r>
        <w:t>o</w:t>
      </w:r>
      <w:r>
        <w:t>ciendo así al que se convirtió en su socio, a quien esc</w:t>
      </w:r>
      <w:r>
        <w:t>o</w:t>
      </w:r>
      <w:r>
        <w:t>gió porque pagó el cincuenta por ciento en efect</w:t>
      </w:r>
      <w:r>
        <w:t>i</w:t>
      </w:r>
      <w:r>
        <w:t>vo. En el lugar también había un galpón, donde tenía un taller co</w:t>
      </w:r>
      <w:r>
        <w:t>m</w:t>
      </w:r>
      <w:r>
        <w:t>pleto, con chapista, pintor, mecánico y todas las herr</w:t>
      </w:r>
      <w:r>
        <w:t>a</w:t>
      </w:r>
      <w:r>
        <w:t>mientas, para el armado de automóviles s</w:t>
      </w:r>
      <w:r>
        <w:t>i</w:t>
      </w:r>
      <w:r>
        <w:t>niestrados.</w:t>
      </w:r>
    </w:p>
    <w:p w:rsidR="00224567" w:rsidRDefault="00224567">
      <w:pPr>
        <w:widowControl w:val="0"/>
      </w:pPr>
      <w:r>
        <w:tab/>
        <w:t>Aseveró que mientras tuvo el l</w:t>
      </w:r>
      <w:r>
        <w:t>a</w:t>
      </w:r>
      <w:r>
        <w:t>vadero no utilizó el taller de Nitzcaner, en tanto Cotoras se l</w:t>
      </w:r>
      <w:r>
        <w:t>i</w:t>
      </w:r>
      <w:r>
        <w:t>mitaba a extraer motores, llevándose a cabo el resto del trabajo en su local.</w:t>
      </w:r>
    </w:p>
    <w:p w:rsidR="00224567" w:rsidRDefault="00224567">
      <w:pPr>
        <w:widowControl w:val="0"/>
      </w:pPr>
      <w:r>
        <w:tab/>
        <w:t>El encartado informó que al disolve</w:t>
      </w:r>
      <w:r>
        <w:t>r</w:t>
      </w:r>
      <w:r>
        <w:t>se la s</w:t>
      </w:r>
      <w:r>
        <w:t>o</w:t>
      </w:r>
      <w:r>
        <w:t>ciedad con Lo Preiato dividieron el fondo de comercio y el nombrado conservó un autom</w:t>
      </w:r>
      <w:r>
        <w:t>ó</w:t>
      </w:r>
      <w:r>
        <w:t>vil 405 SRI y el cincuenta por ciento del dinero obtenido, en tanto, por su parte, recibió un Falcon y dos motocicletas -una Honda XR y una Kawasaki 125-, de las cuales una la ve</w:t>
      </w:r>
      <w:r>
        <w:t>n</w:t>
      </w:r>
      <w:r>
        <w:t>dió y, en cuanto a la otra, se remitió a lo declar</w:t>
      </w:r>
      <w:r>
        <w:t>a</w:t>
      </w:r>
      <w:r>
        <w:t>do en el año 1996.</w:t>
      </w:r>
    </w:p>
    <w:p w:rsidR="00224567" w:rsidRDefault="00224567">
      <w:pPr>
        <w:widowControl w:val="0"/>
      </w:pPr>
      <w:r>
        <w:tab/>
        <w:t>Estimó probable que los primeros m</w:t>
      </w:r>
      <w:r>
        <w:t>e</w:t>
      </w:r>
      <w:r>
        <w:t>ses de 1994 utilizara el celular 478-7685, teléfono que fue adquirido por Lo Preiato -a cuyo no</w:t>
      </w:r>
      <w:r>
        <w:t>m</w:t>
      </w:r>
      <w:r>
        <w:t>bre figuraba- y que le restituyó el día de la venta del l</w:t>
      </w:r>
      <w:r>
        <w:t>a</w:t>
      </w:r>
      <w:r>
        <w:t>vadero.</w:t>
      </w:r>
    </w:p>
    <w:p w:rsidR="00224567" w:rsidRDefault="00224567">
      <w:pPr>
        <w:pStyle w:val="Textoindependiente"/>
        <w:spacing w:line="600" w:lineRule="auto"/>
        <w:ind w:right="20"/>
      </w:pPr>
      <w:r>
        <w:tab/>
      </w:r>
      <w:r>
        <w:tab/>
        <w:t>No recordó haber llamado a un tel</w:t>
      </w:r>
      <w:r>
        <w:t>é</w:t>
      </w:r>
      <w:r>
        <w:t>fono a nombre de Juan José Ribelli desde el celular antes ind</w:t>
      </w:r>
      <w:r>
        <w:t>i</w:t>
      </w:r>
      <w:r>
        <w:t>cado, aunque mencionó que en el incidente de abril, en L</w:t>
      </w:r>
      <w:r>
        <w:t>a</w:t>
      </w:r>
      <w:r>
        <w:t>nús, le quitaron el teléfono, a la vez que dedujo que pr</w:t>
      </w:r>
      <w:r>
        <w:t>o</w:t>
      </w:r>
      <w:r>
        <w:t>bablemente fue utilizado por alguien de la brigada de esa localidad. Aclaró que no estaba seguro si durante ese ep</w:t>
      </w:r>
      <w:r>
        <w:t>i</w:t>
      </w:r>
      <w:r>
        <w:t>sodio se lo habían devuelto o le habían facilitado otro p</w:t>
      </w:r>
      <w:r>
        <w:t>a</w:t>
      </w:r>
      <w:r>
        <w:t>ra comunicarse con su domicilio. Según dijo, llamó a Ant</w:t>
      </w:r>
      <w:r>
        <w:t>o</w:t>
      </w:r>
      <w:r>
        <w:t>nio Lo Preiato, padre de José Luis, para que entregase un Falcon; si bien no p</w:t>
      </w:r>
      <w:r>
        <w:t>u</w:t>
      </w:r>
      <w:r>
        <w:t>do precisar el horario, señaló que fue de ta</w:t>
      </w:r>
      <w:r>
        <w:t>r</w:t>
      </w:r>
      <w:r>
        <w:t>de, tal vez a las 20 ó 21.</w:t>
      </w:r>
    </w:p>
    <w:p w:rsidR="00224567" w:rsidRDefault="00224567">
      <w:pPr>
        <w:pStyle w:val="Textoindependiente"/>
        <w:spacing w:line="600" w:lineRule="auto"/>
        <w:ind w:right="20"/>
      </w:pPr>
      <w:r>
        <w:tab/>
      </w:r>
      <w:r>
        <w:tab/>
        <w:t>Con relación a ese suceso, el imp</w:t>
      </w:r>
      <w:r>
        <w:t>u</w:t>
      </w:r>
      <w:r>
        <w:t>tado informó que cuando resultó detenido intercedió Botey, ll</w:t>
      </w:r>
      <w:r>
        <w:t>e</w:t>
      </w:r>
      <w:r>
        <w:t>vado por uno de sus hermanos. También acotó que la docume</w:t>
      </w:r>
      <w:r>
        <w:t>n</w:t>
      </w:r>
      <w:r>
        <w:t>tación del Falcon y la moto entregados estaba completa, i</w:t>
      </w:r>
      <w:r>
        <w:t>n</w:t>
      </w:r>
      <w:r>
        <w:t>cluidos los formularios “</w:t>
      </w:r>
      <w:smartTag w:uri="urn:schemas-microsoft-com:office:smarttags" w:element="metricconverter">
        <w:smartTagPr>
          <w:attr w:name="ProductID" w:val="08”"/>
        </w:smartTagPr>
        <w:r>
          <w:t>08”</w:t>
        </w:r>
      </w:smartTag>
      <w:r>
        <w:t xml:space="preserve"> y los boletos. En ese sentido, expresó que Sandra Petrucci se retiró a</w:t>
      </w:r>
      <w:r>
        <w:t>n</w:t>
      </w:r>
      <w:r>
        <w:t>tes de la brigada y fue a buscar las carpetas, que se hall</w:t>
      </w:r>
      <w:r>
        <w:t>a</w:t>
      </w:r>
      <w:r>
        <w:t>ban guardadas en la caja fuerte de la madre, en tanto Lo Preiato aportó la del Fa</w:t>
      </w:r>
      <w:r>
        <w:t>l</w:t>
      </w:r>
      <w:r>
        <w:t>con.</w:t>
      </w:r>
    </w:p>
    <w:p w:rsidR="00224567" w:rsidRDefault="00224567">
      <w:pPr>
        <w:pStyle w:val="Textoindependiente"/>
        <w:spacing w:line="600" w:lineRule="auto"/>
        <w:ind w:right="20"/>
      </w:pPr>
      <w:r>
        <w:tab/>
      </w:r>
      <w:r>
        <w:tab/>
        <w:t>La moto, reiteró, tenía el formulario “</w:t>
      </w:r>
      <w:smartTag w:uri="urn:schemas-microsoft-com:office:smarttags" w:element="metricconverter">
        <w:smartTagPr>
          <w:attr w:name="ProductID" w:val="08”"/>
        </w:smartTagPr>
        <w:r>
          <w:t>08”</w:t>
        </w:r>
      </w:smartTag>
      <w:r>
        <w:t xml:space="preserve">, por lo que atribuyó a un error haber expresado </w:t>
      </w:r>
      <w:r>
        <w:rPr>
          <w:bCs/>
        </w:rPr>
        <w:t>en d</w:t>
      </w:r>
      <w:r>
        <w:rPr>
          <w:bCs/>
        </w:rPr>
        <w:t>e</w:t>
      </w:r>
      <w:r>
        <w:rPr>
          <w:bCs/>
        </w:rPr>
        <w:t xml:space="preserve">claraciones anteriores que debió firmar un boleto. A su vez, </w:t>
      </w:r>
      <w:r>
        <w:t>manifestó que aparentemente Semorile se quedó con la moto y el dinero, entregados como contraprestación por su particip</w:t>
      </w:r>
      <w:r>
        <w:t>a</w:t>
      </w:r>
      <w:r>
        <w:t>ción en los hechos del 4 de abril.</w:t>
      </w:r>
    </w:p>
    <w:p w:rsidR="00224567" w:rsidRDefault="00224567">
      <w:pPr>
        <w:pStyle w:val="Textoindependiente"/>
        <w:spacing w:line="600" w:lineRule="auto"/>
        <w:ind w:right="20"/>
      </w:pPr>
      <w:r>
        <w:tab/>
      </w:r>
      <w:r>
        <w:tab/>
        <w:t>A lo expuesto, adunó que luego de e</w:t>
      </w:r>
      <w:r>
        <w:t>n</w:t>
      </w:r>
      <w:r>
        <w:t xml:space="preserve">tregar la moto a policías integrantes de </w:t>
      </w:r>
      <w:smartTag w:uri="urn:schemas-microsoft-com:office:smarttags" w:element="PersonName">
        <w:smartTagPr>
          <w:attr w:name="ProductID" w:val="la Brigada"/>
        </w:smartTagPr>
        <w:r>
          <w:t>la Brigada</w:t>
        </w:r>
      </w:smartTag>
      <w:r>
        <w:t xml:space="preserve"> de L</w:t>
      </w:r>
      <w:r>
        <w:t>a</w:t>
      </w:r>
      <w:r>
        <w:t>nús, aquélla apareció en manos de Ibáñez y, finalmente, una persona llamada Eric fue detenida con ella y dijo habérsela comprado al nombrado. Señaló que Ibáñez llevó esa moto a Conti, a quien conocieron Semorile e Ib</w:t>
      </w:r>
      <w:r>
        <w:t>á</w:t>
      </w:r>
      <w:r>
        <w:t>ñez.</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En otro orden, apuntó que</w:t>
      </w:r>
      <w:r>
        <w:rPr>
          <w:rFonts w:ascii="Courier New" w:hAnsi="Courier New" w:cs="Courier New"/>
          <w:bCs/>
        </w:rPr>
        <w:t xml:space="preserve"> </w:t>
      </w:r>
      <w:r>
        <w:rPr>
          <w:rFonts w:ascii="Courier New" w:hAnsi="Courier New" w:cs="Courier New"/>
          <w:lang w:val="es-AR"/>
        </w:rPr>
        <w:t>al r</w:t>
      </w:r>
      <w:r>
        <w:rPr>
          <w:rFonts w:ascii="Courier New" w:hAnsi="Courier New" w:cs="Courier New"/>
          <w:lang w:val="es-AR"/>
        </w:rPr>
        <w:t>e</w:t>
      </w:r>
      <w:r>
        <w:rPr>
          <w:rFonts w:ascii="Courier New" w:hAnsi="Courier New" w:cs="Courier New"/>
          <w:lang w:val="es-AR"/>
        </w:rPr>
        <w:t xml:space="preserve">gresar de </w:t>
      </w:r>
      <w:smartTag w:uri="urn:schemas-microsoft-com:office:smarttags" w:element="PersonName">
        <w:smartTagPr>
          <w:attr w:name="ProductID" w:val="la Rep￺blica"/>
        </w:smartTagPr>
        <w:r>
          <w:rPr>
            <w:rFonts w:ascii="Courier New" w:hAnsi="Courier New" w:cs="Courier New"/>
          </w:rPr>
          <w:t>la República</w:t>
        </w:r>
      </w:smartTag>
      <w:r>
        <w:rPr>
          <w:rFonts w:ascii="Courier New" w:hAnsi="Courier New" w:cs="Courier New"/>
        </w:rPr>
        <w:t xml:space="preserve"> de </w:t>
      </w:r>
      <w:r>
        <w:rPr>
          <w:rFonts w:ascii="Courier New" w:hAnsi="Courier New" w:cs="Courier New"/>
          <w:lang w:val="es-AR"/>
        </w:rPr>
        <w:t xml:space="preserve">Perú se separó de Ana Boragni durante tres o cuatro meses, alquilando una quinta en </w:t>
      </w:r>
      <w:r>
        <w:rPr>
          <w:rFonts w:ascii="Courier New" w:hAnsi="Courier New" w:cs="Courier New"/>
          <w:szCs w:val="24"/>
          <w:lang w:val="es-AR"/>
        </w:rPr>
        <w:t>la l</w:t>
      </w:r>
      <w:r>
        <w:rPr>
          <w:rFonts w:ascii="Courier New" w:hAnsi="Courier New" w:cs="Courier New"/>
          <w:szCs w:val="24"/>
          <w:lang w:val="es-AR"/>
        </w:rPr>
        <w:t>o</w:t>
      </w:r>
      <w:r>
        <w:rPr>
          <w:rFonts w:ascii="Courier New" w:hAnsi="Courier New" w:cs="Courier New"/>
          <w:szCs w:val="24"/>
          <w:lang w:val="es-AR"/>
        </w:rPr>
        <w:t xml:space="preserve">calidad de </w:t>
      </w:r>
      <w:r>
        <w:rPr>
          <w:rFonts w:ascii="Courier New" w:hAnsi="Courier New" w:cs="Courier New"/>
          <w:lang w:val="es-AR"/>
        </w:rPr>
        <w:t>Tortuguitas, donde fue a vivir con Sa</w:t>
      </w:r>
      <w:r>
        <w:rPr>
          <w:rFonts w:ascii="Courier New" w:hAnsi="Courier New" w:cs="Courier New"/>
          <w:lang w:val="es-AR"/>
        </w:rPr>
        <w:t>n</w:t>
      </w:r>
      <w:r>
        <w:rPr>
          <w:rFonts w:ascii="Courier New" w:hAnsi="Courier New" w:cs="Courier New"/>
          <w:lang w:val="es-AR"/>
        </w:rPr>
        <w:t xml:space="preserve">dra Petrucci. En esa época </w:t>
      </w:r>
      <w:r>
        <w:rPr>
          <w:rFonts w:ascii="Courier New" w:hAnsi="Courier New" w:cs="Courier New"/>
          <w:szCs w:val="24"/>
          <w:lang w:val="es-AR"/>
        </w:rPr>
        <w:t xml:space="preserve">vendió el lavadero “Puerto Olivos”, quedándose así sin el taller mecánico. </w:t>
      </w:r>
      <w:r>
        <w:rPr>
          <w:rFonts w:ascii="Courier New" w:hAnsi="Courier New" w:cs="Courier New"/>
          <w:lang w:val="es-AR"/>
        </w:rPr>
        <w:t>L</w:t>
      </w:r>
      <w:r>
        <w:rPr>
          <w:rFonts w:ascii="Courier New" w:hAnsi="Courier New" w:cs="Courier New"/>
          <w:szCs w:val="24"/>
          <w:lang w:val="es-AR"/>
        </w:rPr>
        <w:t xml:space="preserve">uego del incidente con los policías integrantes de </w:t>
      </w:r>
      <w:smartTag w:uri="urn:schemas-microsoft-com:office:smarttags" w:element="PersonName">
        <w:smartTagPr>
          <w:attr w:name="ProductID" w:val="la Brigada"/>
        </w:smartTagPr>
        <w:r>
          <w:rPr>
            <w:rFonts w:ascii="Courier New" w:hAnsi="Courier New" w:cs="Courier New"/>
            <w:szCs w:val="24"/>
            <w:lang w:val="es-AR"/>
          </w:rPr>
          <w:t>la Brigada</w:t>
        </w:r>
      </w:smartTag>
      <w:r>
        <w:rPr>
          <w:rFonts w:ascii="Courier New" w:hAnsi="Courier New" w:cs="Courier New"/>
          <w:szCs w:val="24"/>
          <w:lang w:val="es-AR"/>
        </w:rPr>
        <w:t xml:space="preserve"> de Lanús, finalizó la relación con Petrucci, se reconcilió con su esposa, entr</w:t>
      </w:r>
      <w:r>
        <w:rPr>
          <w:rFonts w:ascii="Courier New" w:hAnsi="Courier New" w:cs="Courier New"/>
          <w:szCs w:val="24"/>
          <w:lang w:val="es-AR"/>
        </w:rPr>
        <w:t>e</w:t>
      </w:r>
      <w:r>
        <w:rPr>
          <w:rFonts w:ascii="Courier New" w:hAnsi="Courier New" w:cs="Courier New"/>
          <w:szCs w:val="24"/>
          <w:lang w:val="es-AR"/>
        </w:rPr>
        <w:t>gó la quinta y regresó a su domic</w:t>
      </w:r>
      <w:r>
        <w:rPr>
          <w:rFonts w:ascii="Courier New" w:hAnsi="Courier New" w:cs="Courier New"/>
          <w:szCs w:val="24"/>
          <w:lang w:val="es-AR"/>
        </w:rPr>
        <w:t>i</w:t>
      </w:r>
      <w:r>
        <w:rPr>
          <w:rFonts w:ascii="Courier New" w:hAnsi="Courier New" w:cs="Courier New"/>
          <w:szCs w:val="24"/>
          <w:lang w:val="es-AR"/>
        </w:rPr>
        <w:t>lio.</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Expuso que los automóviles legales, siniestrados, los llevaba siempre a la casa de Cotoras, donde había un acceso para vehículos, pero como las cami</w:t>
      </w:r>
      <w:r>
        <w:rPr>
          <w:rFonts w:ascii="Courier New" w:hAnsi="Courier New" w:cs="Courier New"/>
          <w:szCs w:val="24"/>
          <w:lang w:val="es-AR"/>
        </w:rPr>
        <w:t>o</w:t>
      </w:r>
      <w:r>
        <w:rPr>
          <w:rFonts w:ascii="Courier New" w:hAnsi="Courier New" w:cs="Courier New"/>
          <w:szCs w:val="24"/>
          <w:lang w:val="es-AR"/>
        </w:rPr>
        <w:t>netas Trafic no entraban, eran d</w:t>
      </w:r>
      <w:r>
        <w:rPr>
          <w:rFonts w:ascii="Courier New" w:hAnsi="Courier New" w:cs="Courier New"/>
          <w:szCs w:val="24"/>
          <w:lang w:val="es-AR"/>
        </w:rPr>
        <w:t>e</w:t>
      </w:r>
      <w:r>
        <w:rPr>
          <w:rFonts w:ascii="Courier New" w:hAnsi="Courier New" w:cs="Courier New"/>
          <w:szCs w:val="24"/>
          <w:lang w:val="es-AR"/>
        </w:rPr>
        <w:t xml:space="preserve">jadas en la calle. En el caso de la camioneta vendida a </w:t>
      </w:r>
      <w:smartTag w:uri="urn:schemas-microsoft-com:office:smarttags" w:element="PersonName">
        <w:smartTagPr>
          <w:attr w:name="ProductID" w:val="la Sra. Toretta"/>
        </w:smartTagPr>
        <w:r>
          <w:rPr>
            <w:rFonts w:ascii="Courier New" w:hAnsi="Courier New" w:cs="Courier New"/>
            <w:szCs w:val="24"/>
            <w:lang w:val="es-AR"/>
          </w:rPr>
          <w:t>la Sra. Toretta</w:t>
        </w:r>
      </w:smartTag>
      <w:r>
        <w:rPr>
          <w:rFonts w:ascii="Courier New" w:hAnsi="Courier New" w:cs="Courier New"/>
          <w:szCs w:val="24"/>
          <w:lang w:val="es-AR"/>
        </w:rPr>
        <w:t xml:space="preserve"> y de la i</w:t>
      </w:r>
      <w:r>
        <w:rPr>
          <w:rFonts w:ascii="Courier New" w:hAnsi="Courier New" w:cs="Courier New"/>
          <w:szCs w:val="24"/>
          <w:lang w:val="es-AR"/>
        </w:rPr>
        <w:t>n</w:t>
      </w:r>
      <w:r>
        <w:rPr>
          <w:rFonts w:ascii="Courier New" w:hAnsi="Courier New" w:cs="Courier New"/>
          <w:szCs w:val="24"/>
          <w:lang w:val="es-AR"/>
        </w:rPr>
        <w:t>vestigada, creía, fue al domicilio de Barreda para medir el portón de acceso a la casa, comprobando que, al igual que sucedía en su domicilio, no pasaban por la alt</w:t>
      </w:r>
      <w:r>
        <w:rPr>
          <w:rFonts w:ascii="Courier New" w:hAnsi="Courier New" w:cs="Courier New"/>
          <w:szCs w:val="24"/>
          <w:lang w:val="es-AR"/>
        </w:rPr>
        <w:t>u</w:t>
      </w:r>
      <w:r>
        <w:rPr>
          <w:rFonts w:ascii="Courier New" w:hAnsi="Courier New" w:cs="Courier New"/>
          <w:szCs w:val="24"/>
          <w:lang w:val="es-AR"/>
        </w:rPr>
        <w:t>ra.</w:t>
      </w:r>
    </w:p>
    <w:p w:rsidR="00224567" w:rsidRDefault="00224567">
      <w:pPr>
        <w:pStyle w:val="Textoindependiente2"/>
        <w:widowControl w:val="0"/>
        <w:rPr>
          <w:rFonts w:ascii="Courier New" w:hAnsi="Courier New" w:cs="Courier New"/>
        </w:rPr>
      </w:pPr>
      <w:r>
        <w:rPr>
          <w:rFonts w:ascii="Courier New" w:hAnsi="Courier New" w:cs="Courier New"/>
          <w:szCs w:val="24"/>
          <w:lang w:val="es-AR"/>
        </w:rPr>
        <w:tab/>
        <w:t>Explicó que su casa de Villa Balle</w:t>
      </w:r>
      <w:r>
        <w:rPr>
          <w:rFonts w:ascii="Courier New" w:hAnsi="Courier New" w:cs="Courier New"/>
          <w:szCs w:val="24"/>
          <w:lang w:val="es-AR"/>
        </w:rPr>
        <w:t>s</w:t>
      </w:r>
      <w:r>
        <w:rPr>
          <w:rFonts w:ascii="Courier New" w:hAnsi="Courier New" w:cs="Courier New"/>
          <w:szCs w:val="24"/>
          <w:lang w:val="es-AR"/>
        </w:rPr>
        <w:t xml:space="preserve">ter tenía </w:t>
      </w:r>
      <w:r>
        <w:rPr>
          <w:rFonts w:ascii="Courier New" w:hAnsi="Courier New" w:cs="Courier New"/>
        </w:rPr>
        <w:t>dos entradas de autos, una cochera t</w:t>
      </w:r>
      <w:r>
        <w:rPr>
          <w:rFonts w:ascii="Courier New" w:hAnsi="Courier New" w:cs="Courier New"/>
        </w:rPr>
        <w:t>e</w:t>
      </w:r>
      <w:r>
        <w:rPr>
          <w:rFonts w:ascii="Courier New" w:hAnsi="Courier New" w:cs="Courier New"/>
        </w:rPr>
        <w:t>chada para dos automóviles y otra con portón levad</w:t>
      </w:r>
      <w:r>
        <w:rPr>
          <w:rFonts w:ascii="Courier New" w:hAnsi="Courier New" w:cs="Courier New"/>
        </w:rPr>
        <w:t>i</w:t>
      </w:r>
      <w:r>
        <w:rPr>
          <w:rFonts w:ascii="Courier New" w:hAnsi="Courier New" w:cs="Courier New"/>
        </w:rPr>
        <w:t>zo, con capacidad para diez a quince vehículos en el parque interno, p</w:t>
      </w:r>
      <w:r>
        <w:rPr>
          <w:rFonts w:ascii="Courier New" w:hAnsi="Courier New" w:cs="Courier New"/>
        </w:rPr>
        <w:t>e</w:t>
      </w:r>
      <w:r>
        <w:rPr>
          <w:rFonts w:ascii="Courier New" w:hAnsi="Courier New" w:cs="Courier New"/>
        </w:rPr>
        <w:t>ro que las camionetas no podían ingresar por la altura del portón. En consecuencia, refirió, como no las podía reparar persona</w:t>
      </w:r>
      <w:r>
        <w:rPr>
          <w:rFonts w:ascii="Courier New" w:hAnsi="Courier New" w:cs="Courier New"/>
        </w:rPr>
        <w:t>l</w:t>
      </w:r>
      <w:r>
        <w:rPr>
          <w:rFonts w:ascii="Courier New" w:hAnsi="Courier New" w:cs="Courier New"/>
        </w:rPr>
        <w:t>mente, las llevaba directamente a Cotoras, quien extraía los motores.</w:t>
      </w:r>
    </w:p>
    <w:p w:rsidR="00224567" w:rsidRDefault="00224567">
      <w:pPr>
        <w:widowControl w:val="0"/>
      </w:pPr>
      <w:r>
        <w:tab/>
        <w:t>Telleldín afirmó que a partir de abril de 1994, en que vendió el lavadero, recurrió a los serv</w:t>
      </w:r>
      <w:r>
        <w:t>i</w:t>
      </w:r>
      <w:r>
        <w:t>cios de Nitzcaner por tres meses, pese a que le resultaba más costoso que armar los vehículos personalmente, por cuanto debía pagarle USD 200 ó 300; los restantes autom</w:t>
      </w:r>
      <w:r>
        <w:t>o</w:t>
      </w:r>
      <w:r>
        <w:t>tores los rep</w:t>
      </w:r>
      <w:r>
        <w:t>a</w:t>
      </w:r>
      <w:r>
        <w:t>raba en su cochera.</w:t>
      </w:r>
    </w:p>
    <w:p w:rsidR="00224567" w:rsidRDefault="00224567">
      <w:pPr>
        <w:widowControl w:val="0"/>
      </w:pPr>
      <w:r>
        <w:tab/>
        <w:t xml:space="preserve">En cuanto a </w:t>
      </w:r>
      <w:smartTag w:uri="urn:schemas-microsoft-com:office:smarttags" w:element="PersonName">
        <w:smartTagPr>
          <w:attr w:name="ProductID" w:val="la Trafic"/>
        </w:smartTagPr>
        <w:r>
          <w:t>la Trafic</w:t>
        </w:r>
      </w:smartTag>
      <w:r>
        <w:t xml:space="preserve"> inscripta a no</w:t>
      </w:r>
      <w:r>
        <w:t>m</w:t>
      </w:r>
      <w:r>
        <w:t>bre de “Messin S.R.L.”, señaló que cuando Monjo la dejó en lo de Cotoras llevó el título y las patentes; que no le entregó los formularios “</w:t>
      </w:r>
      <w:smartTag w:uri="urn:schemas-microsoft-com:office:smarttags" w:element="metricconverter">
        <w:smartTagPr>
          <w:attr w:name="ProductID" w:val="08”"/>
        </w:smartTagPr>
        <w:r>
          <w:t>08”</w:t>
        </w:r>
      </w:smartTag>
      <w:r>
        <w:t>, toda vez que mantenía una deuda con el agenciero, dado que tras la seña de todo el lote iba pagando por semana. Según cr</w:t>
      </w:r>
      <w:r>
        <w:t>e</w:t>
      </w:r>
      <w:r>
        <w:t>ía, retiró los “</w:t>
      </w:r>
      <w:smartTag w:uri="urn:schemas-microsoft-com:office:smarttags" w:element="metricconverter">
        <w:smartTagPr>
          <w:attr w:name="ProductID" w:val="08”"/>
        </w:smartTagPr>
        <w:r>
          <w:t>08”</w:t>
        </w:r>
      </w:smartTag>
      <w:r>
        <w:t xml:space="preserve"> el lunes siguiente o a la sem</w:t>
      </w:r>
      <w:r>
        <w:t>a</w:t>
      </w:r>
      <w:r>
        <w:t>na, junto con un Renault 9. Aclaró que la camioneta de autos no estaba dada de baja, ni se trataba de un caso de destrucción total, porque p</w:t>
      </w:r>
      <w:r>
        <w:t>o</w:t>
      </w:r>
      <w:r>
        <w:t>día ser reparada artesana</w:t>
      </w:r>
      <w:r>
        <w:t>l</w:t>
      </w:r>
      <w:r>
        <w:t>mente.</w:t>
      </w:r>
    </w:p>
    <w:p w:rsidR="00224567" w:rsidRDefault="00224567">
      <w:pPr>
        <w:widowControl w:val="0"/>
      </w:pPr>
      <w:r>
        <w:tab/>
        <w:t>A su vez, refirió que el gruero dejó la camioneta antes aludida frente al portón del domic</w:t>
      </w:r>
      <w:r>
        <w:t>i</w:t>
      </w:r>
      <w:r>
        <w:t>lio de Cotoras, al borde de la vereda. Sostuvo que a la noche la colocaron en ochava, con las ruedas delanteras en la vereda, sin que ingresara la trompa en la propiedad, en dirección a la casa de Cotoras, y extrajeron el motor. En ese momento también estaba Hugo Pérez y, c</w:t>
      </w:r>
      <w:r>
        <w:t>e</w:t>
      </w:r>
      <w:r>
        <w:t>bándoles mate, Ana Boragni. Negó que la mujer de Cotoras hubiera prese</w:t>
      </w:r>
      <w:r>
        <w:t>n</w:t>
      </w:r>
      <w:r>
        <w:t>ciado algún hecho, a la vez que as</w:t>
      </w:r>
      <w:r>
        <w:t>e</w:t>
      </w:r>
      <w:r>
        <w:t>guró que, a esa fecha, ni ella ni los hijos residían en ese domic</w:t>
      </w:r>
      <w:r>
        <w:t>i</w:t>
      </w:r>
      <w:r>
        <w:t>lio.</w:t>
      </w:r>
    </w:p>
    <w:p w:rsidR="00224567" w:rsidRDefault="00224567">
      <w:pPr>
        <w:widowControl w:val="0"/>
      </w:pPr>
      <w:r>
        <w:tab/>
        <w:t>Estimó que Cotoras realizó la tarea después de las 19.00 ó 20.00, dado que luego de final</w:t>
      </w:r>
      <w:r>
        <w:t>i</w:t>
      </w:r>
      <w:r>
        <w:t>zar su jornada de trabajo, en la empresa “</w:t>
      </w:r>
      <w:smartTag w:uri="urn:schemas-microsoft-com:office:smarttags" w:element="PersonName">
        <w:smartTagPr>
          <w:attr w:name="ProductID" w:val="La Camionera"/>
        </w:smartTagPr>
        <w:r>
          <w:t>La Camion</w:t>
        </w:r>
        <w:r>
          <w:t>e</w:t>
        </w:r>
        <w:r>
          <w:t>ra</w:t>
        </w:r>
      </w:smartTag>
      <w:r>
        <w:t>”, hacía las “changas”. Consideró que dem</w:t>
      </w:r>
      <w:r>
        <w:t>o</w:t>
      </w:r>
      <w:r>
        <w:t>ró dos horas y media (en otro tramo lo estimó en una hora y media o dos), a la vez que dedujo que habrían terminado a las 22.30 ó 23.00. Aclaró que Cotoras le cobró por la extra</w:t>
      </w:r>
      <w:r>
        <w:t>c</w:t>
      </w:r>
      <w:r>
        <w:t xml:space="preserve">ción del motor de </w:t>
      </w:r>
      <w:smartTag w:uri="urn:schemas-microsoft-com:office:smarttags" w:element="PersonName">
        <w:smartTagPr>
          <w:attr w:name="ProductID" w:val="la Trafic"/>
        </w:smartTagPr>
        <w:r>
          <w:t>la Trafic</w:t>
        </w:r>
      </w:smartTag>
      <w:r>
        <w:t>, toda vez que era un extra que hacía. En lo de Cotoras, apuntó, solían quedar repuestos de vehículos s</w:t>
      </w:r>
      <w:r>
        <w:t>i</w:t>
      </w:r>
      <w:r>
        <w:t>niestrados, de origen legal, como ser partes de un R</w:t>
      </w:r>
      <w:r>
        <w:t>e</w:t>
      </w:r>
      <w:r>
        <w:t>nault 9 y de un Renault 11, agregando que todo lo secue</w:t>
      </w:r>
      <w:r>
        <w:t>s</w:t>
      </w:r>
      <w:r>
        <w:t>trado le pertenecía.</w:t>
      </w:r>
    </w:p>
    <w:p w:rsidR="00224567" w:rsidRDefault="00224567">
      <w:pPr>
        <w:widowControl w:val="0"/>
      </w:pPr>
      <w:r>
        <w:tab/>
        <w:t>Señaló que luego de la extracción b</w:t>
      </w:r>
      <w:r>
        <w:t>a</w:t>
      </w:r>
      <w:r>
        <w:t>jaron el motor a la vereda y, junto con Hugo Pérez, lo cargó en el Escort de Boragni. Telleldín creyó recordar que se marchó en su Renault 19, en tanto Pérez condujo el Escort hasta su domic</w:t>
      </w:r>
      <w:r>
        <w:t>i</w:t>
      </w:r>
      <w:r>
        <w:t>lio.</w:t>
      </w:r>
    </w:p>
    <w:p w:rsidR="00224567" w:rsidRDefault="00224567">
      <w:pPr>
        <w:widowControl w:val="0"/>
      </w:pPr>
      <w:r>
        <w:tab/>
        <w:t>Aseguró que el motor de la camioneta incendiada permaneció toda la noche en el Escort y, r</w:t>
      </w:r>
      <w:r>
        <w:t>e</w:t>
      </w:r>
      <w:r>
        <w:t>cién al día siguiente, Pérez lo llevó al taller de Nitzcaner. A esa altura, aseguró, Nitzc</w:t>
      </w:r>
      <w:r>
        <w:t>a</w:t>
      </w:r>
      <w:r>
        <w:t xml:space="preserve">ner ya tenía </w:t>
      </w:r>
      <w:smartTag w:uri="urn:schemas-microsoft-com:office:smarttags" w:element="PersonName">
        <w:smartTagPr>
          <w:attr w:name="ProductID" w:val="la Trafic"/>
        </w:smartTagPr>
        <w:r>
          <w:t>la Trafic</w:t>
        </w:r>
      </w:smartTag>
      <w:r>
        <w:t xml:space="preserve"> con las chapas patentes y la documentación de la siniestrada y no podía imaginarse que se trataba de la camioneta de Sarap</w:t>
      </w:r>
      <w:r>
        <w:t>u</w:t>
      </w:r>
      <w:r>
        <w:t>ra.</w:t>
      </w:r>
    </w:p>
    <w:p w:rsidR="00224567" w:rsidRDefault="00224567">
      <w:pPr>
        <w:widowControl w:val="0"/>
        <w:rPr>
          <w:bCs/>
        </w:rPr>
      </w:pPr>
      <w:r>
        <w:tab/>
        <w:t>El encartado apuntó que pudo haber ido a lo de Nitzc</w:t>
      </w:r>
      <w:r>
        <w:t>a</w:t>
      </w:r>
      <w:r>
        <w:t>ner en el Renault 19 y Pérez en el Escort, o ambos en éste. Si bien no supo precisar en qué vehículos fueron, aseveró que ambos concurrieron, puesto que uno s</w:t>
      </w:r>
      <w:r>
        <w:t>o</w:t>
      </w:r>
      <w:r>
        <w:t>lo no podría haber bajado el motor; no pudo puntualizar a qué hora arribaron. Mencionó que se encontraba presente Nitzcaner y, según creía, Jouce e</w:t>
      </w:r>
      <w:r>
        <w:t>s</w:t>
      </w:r>
      <w:r>
        <w:t>taba en el interior del taller, no recordando a otros emple</w:t>
      </w:r>
      <w:r>
        <w:t>a</w:t>
      </w:r>
      <w:r>
        <w:t>dos.</w:t>
      </w:r>
    </w:p>
    <w:p w:rsidR="00224567" w:rsidRDefault="00224567">
      <w:pPr>
        <w:widowControl w:val="0"/>
      </w:pPr>
      <w:r>
        <w:rPr>
          <w:bCs/>
        </w:rPr>
        <w:tab/>
        <w:t>Aclaró, q</w:t>
      </w:r>
      <w:r>
        <w:t>ue si bien Hugo Pérez trab</w:t>
      </w:r>
      <w:r>
        <w:t>a</w:t>
      </w:r>
      <w:r>
        <w:t>jaba en el country “Mapuche” desde muy temprano hasta la noche, presenció cuando sacaron el motor de la camioneta registrada a nombre de “Messin S.R.L.” y cuando lo llev</w:t>
      </w:r>
      <w:r>
        <w:t>a</w:t>
      </w:r>
      <w:r>
        <w:t>ron a lo de Nit</w:t>
      </w:r>
      <w:r>
        <w:t>z</w:t>
      </w:r>
      <w:r>
        <w:t>caner.</w:t>
      </w:r>
    </w:p>
    <w:p w:rsidR="00224567" w:rsidRDefault="00224567">
      <w:pPr>
        <w:widowControl w:val="0"/>
      </w:pPr>
      <w:r>
        <w:tab/>
        <w:t>Con relación a la carrocería de esta Trafic, expresó que la envió desde el taller de Cotoras a un desarmadero ubicado a una cuadra del de Agüero. Hizo saber que allí los vehículos se destruían en cuestión de minutos, es decir, se extraían los r</w:t>
      </w:r>
      <w:r>
        <w:t>e</w:t>
      </w:r>
      <w:r>
        <w:t>puestos útiles y, en el caso de rodados incendiados, se utilizaban hidrolavad</w:t>
      </w:r>
      <w:r>
        <w:t>o</w:t>
      </w:r>
      <w:r>
        <w:t>ras con arena o bulones, que convertían la chapa en aren</w:t>
      </w:r>
      <w:r>
        <w:t>i</w:t>
      </w:r>
      <w:r>
        <w:t>lla, por cuanto no tenía valor alguno, ni servía nada de la parte exterior o i</w:t>
      </w:r>
      <w:r>
        <w:t>n</w:t>
      </w:r>
      <w:r>
        <w:t>terior.</w:t>
      </w:r>
    </w:p>
    <w:p w:rsidR="00224567" w:rsidRDefault="00224567">
      <w:pPr>
        <w:widowControl w:val="0"/>
      </w:pPr>
      <w:r>
        <w:tab/>
        <w:t>Mencionó que la patente delantera de la camioneta de “Messin S.R.L.” fue hallada en el taller de Cotoras, en tanto la trasera quedó puesta. O</w:t>
      </w:r>
      <w:r>
        <w:t>b</w:t>
      </w:r>
      <w:r>
        <w:t>servó que la fotografía obrante a fs. 235 era de la compañía de s</w:t>
      </w:r>
      <w:r>
        <w:t>e</w:t>
      </w:r>
      <w:r>
        <w:t>guros, a la vez que supuso que esa chapa estaría en el i</w:t>
      </w:r>
      <w:r>
        <w:t>n</w:t>
      </w:r>
      <w:r>
        <w:t>terior del rodado y Monjo debió haberla colocado, puesto que de lo contrario el gruero no hubiera podido circular; puntualizó que Monjo nunca le envió vehículos sin p</w:t>
      </w:r>
      <w:r>
        <w:t>a</w:t>
      </w:r>
      <w:r>
        <w:t>tente.</w:t>
      </w:r>
    </w:p>
    <w:p w:rsidR="00224567" w:rsidRDefault="00224567">
      <w:pPr>
        <w:widowControl w:val="0"/>
      </w:pPr>
      <w:r>
        <w:tab/>
        <w:t>En otro pasaje, refirió que era pos</w:t>
      </w:r>
      <w:r>
        <w:t>i</w:t>
      </w:r>
      <w:r>
        <w:t>ble que la camioneta fotografiada a fs. 233/239 fuera la adquir</w:t>
      </w:r>
      <w:r>
        <w:t>i</w:t>
      </w:r>
      <w:r>
        <w:t>da a Alejandro Monjo, aunque en las vistas lucía en mejor estado que al adquirirla, deduciendo que serían de la compañía de seguros. Explicó que al incendiarse, las camionetas tomaban un color óxido e iba desapareciendo el blanco, por lo que al comprarla estaba con más óx</w:t>
      </w:r>
      <w:r>
        <w:t>i</w:t>
      </w:r>
      <w:r>
        <w:t>do aún.</w:t>
      </w:r>
    </w:p>
    <w:p w:rsidR="00224567" w:rsidRDefault="00224567">
      <w:pPr>
        <w:widowControl w:val="0"/>
      </w:pPr>
      <w:r>
        <w:tab/>
        <w:t>Destacó Telleldín que Fernández dejó la camioneta de Sarapura estacionada a la vuelta de su c</w:t>
      </w:r>
      <w:r>
        <w:t>a</w:t>
      </w:r>
      <w:r>
        <w:t>sa, sobre la calle Alvear, frente a una fiambrería; que allí estuvo un día y, cuando la qu</w:t>
      </w:r>
      <w:r>
        <w:t>i</w:t>
      </w:r>
      <w:r>
        <w:t>so llevar, no arrancó. Apuntó que parecía que el motor estaba fundido, pero no intentaron repararlo, toda vez que era para sacar los r</w:t>
      </w:r>
      <w:r>
        <w:t>e</w:t>
      </w:r>
      <w:r>
        <w:t>puestos, ponerlos en la camioneta de “Me</w:t>
      </w:r>
      <w:r>
        <w:t>s</w:t>
      </w:r>
      <w:r>
        <w:t>sin” y mandarlo a d</w:t>
      </w:r>
      <w:r>
        <w:t>e</w:t>
      </w:r>
      <w:r>
        <w:t>sarme.</w:t>
      </w:r>
    </w:p>
    <w:p w:rsidR="00224567" w:rsidRDefault="00224567">
      <w:pPr>
        <w:widowControl w:val="0"/>
      </w:pPr>
      <w:r>
        <w:tab/>
        <w:t>En otro orden, el acusado relató que conoció a Jaimes en 1993, puesto que concurría con su s</w:t>
      </w:r>
      <w:r>
        <w:t>e</w:t>
      </w:r>
      <w:r>
        <w:t>ñora al lavadero de autos, donde también había vehículos en playa para la venta; que solían charlar e hicieron una pequeña amistad, aunque negó haberle ve</w:t>
      </w:r>
      <w:r>
        <w:t>n</w:t>
      </w:r>
      <w:r>
        <w:t>dido rodados.</w:t>
      </w:r>
    </w:p>
    <w:p w:rsidR="00224567" w:rsidRDefault="00224567">
      <w:pPr>
        <w:widowControl w:val="0"/>
      </w:pPr>
      <w:r>
        <w:tab/>
        <w:t>Mencionó que Miguel Jaimes y César Fernández eran amigos, trabajaban juntos vendiendo autom</w:t>
      </w:r>
      <w:r>
        <w:t>ó</w:t>
      </w:r>
      <w:r>
        <w:t>viles y, según creía, tenían una agencia. Aclaró que cua</w:t>
      </w:r>
      <w:r>
        <w:t>n</w:t>
      </w:r>
      <w:r>
        <w:t>do en sus anteriores declaraciones manifestó que la cami</w:t>
      </w:r>
      <w:r>
        <w:t>o</w:t>
      </w:r>
      <w:r>
        <w:t>neta se la llevó Miguel, quiso significar que la c</w:t>
      </w:r>
      <w:r>
        <w:t>a</w:t>
      </w:r>
      <w:r>
        <w:t>mioneta venía de parte de éste, pero, enfatizó, quien la “leva</w:t>
      </w:r>
      <w:r>
        <w:t>n</w:t>
      </w:r>
      <w:r>
        <w:t>tó”, es decir, la robó, fue César Ferná</w:t>
      </w:r>
      <w:r>
        <w:t>n</w:t>
      </w:r>
      <w:r>
        <w:t>dez.</w:t>
      </w:r>
    </w:p>
    <w:p w:rsidR="00224567" w:rsidRDefault="00224567">
      <w:pPr>
        <w:widowControl w:val="0"/>
      </w:pPr>
      <w:r>
        <w:tab/>
        <w:t>Afirmó que Miguel Jaimes lo ayudó a llevar la camioneta de Sarapura desde República y Alvear hasta el taller de Nitzcaner, remolcándola con su autom</w:t>
      </w:r>
      <w:r>
        <w:t>ó</w:t>
      </w:r>
      <w:r>
        <w:t>vil Si</w:t>
      </w:r>
      <w:r>
        <w:t>e</w:t>
      </w:r>
      <w:r>
        <w:t>rra, color verde.</w:t>
      </w:r>
    </w:p>
    <w:p w:rsidR="00224567" w:rsidRDefault="00224567">
      <w:pPr>
        <w:widowControl w:val="0"/>
      </w:pPr>
      <w:r>
        <w:tab/>
        <w:t>Recordó que en ese momento ya tenía los laterales y la parte de atrás lijados, es decir, co</w:t>
      </w:r>
      <w:r>
        <w:t>n</w:t>
      </w:r>
      <w:r>
        <w:t>taba con dos aureolas a los costados, y en la camioneta había una consola de madera, tarjetas de d</w:t>
      </w:r>
      <w:r>
        <w:t>i</w:t>
      </w:r>
      <w:r>
        <w:t>sc-jockey y un pie de parlante o algo similar.</w:t>
      </w:r>
    </w:p>
    <w:p w:rsidR="00224567" w:rsidRDefault="00224567">
      <w:pPr>
        <w:widowControl w:val="0"/>
      </w:pPr>
      <w:r>
        <w:tab/>
        <w:t>No recordó por qué motivo estaba Ja</w:t>
      </w:r>
      <w:r>
        <w:t>i</w:t>
      </w:r>
      <w:r>
        <w:t>mes en su domicilio el día del remolque, sin poder puntu</w:t>
      </w:r>
      <w:r>
        <w:t>a</w:t>
      </w:r>
      <w:r>
        <w:t>lizar si lo llamó para pedirle ayuda o simplemente se pr</w:t>
      </w:r>
      <w:r>
        <w:t>e</w:t>
      </w:r>
      <w:r>
        <w:t>sentó y le solicitó el traslado como favor. Al respecto, aclaró que lo veía cada dos días aproximad</w:t>
      </w:r>
      <w:r>
        <w:t>a</w:t>
      </w:r>
      <w:r>
        <w:t>mente. Jaimes, afirmó, desconocía si era un vehículo que tenía para la venta o si se trataba de una camioneta sustraída. Por ú</w:t>
      </w:r>
      <w:r>
        <w:t>l</w:t>
      </w:r>
      <w:r>
        <w:t>timo, mencionó que su consorte de causa remolcó la carr</w:t>
      </w:r>
      <w:r>
        <w:t>o</w:t>
      </w:r>
      <w:r>
        <w:t>cería y luego se retiró. Negó haberle abonado suma a</w:t>
      </w:r>
      <w:r>
        <w:t>l</w:t>
      </w:r>
      <w:r>
        <w:t>guna por la t</w:t>
      </w:r>
      <w:r>
        <w:t>a</w:t>
      </w:r>
      <w:r>
        <w:t>rea.</w:t>
      </w:r>
    </w:p>
    <w:p w:rsidR="00224567" w:rsidRDefault="00224567">
      <w:pPr>
        <w:widowControl w:val="0"/>
      </w:pPr>
      <w:r>
        <w:tab/>
        <w:t>Continuó su relato manifestando que la camioneta de Sarapura entró directamente al taller de N</w:t>
      </w:r>
      <w:r>
        <w:t>i</w:t>
      </w:r>
      <w:r>
        <w:t>tzcaner, donde se le c</w:t>
      </w:r>
      <w:r>
        <w:t>o</w:t>
      </w:r>
      <w:r>
        <w:t>locó el motor de la de “Messin”. Al respecto, puntualizó que primero tuvo la registrada a no</w:t>
      </w:r>
      <w:r>
        <w:t>m</w:t>
      </w:r>
      <w:r>
        <w:t>bre de “Messin S.R.L.” y luego emprendió la búsqueda de una similar, obteniendo así la de Sarapura. No descartó que hubieran ll</w:t>
      </w:r>
      <w:r>
        <w:t>e</w:t>
      </w:r>
      <w:r>
        <w:t>vado ambas el mismo día.</w:t>
      </w:r>
    </w:p>
    <w:p w:rsidR="00224567" w:rsidRDefault="00224567">
      <w:pPr>
        <w:widowControl w:val="0"/>
      </w:pPr>
      <w:r>
        <w:tab/>
        <w:t>En orden al taller de Nitzcaner, el encartado indicó que el nombrado tenía empleados, descon</w:t>
      </w:r>
      <w:r>
        <w:t>o</w:t>
      </w:r>
      <w:r>
        <w:t>ciendo los nombres del chapista y del pintor. Aclaró que el presupuesto se lo pas</w:t>
      </w:r>
      <w:r>
        <w:t>a</w:t>
      </w:r>
      <w:r>
        <w:t xml:space="preserve">ba Nitzcaner, que era el dueño y a éste abonaba el trabajo; que, según creía, Francisco Bonnefon y Pablo de </w:t>
      </w:r>
      <w:smartTag w:uri="urn:schemas-microsoft-com:office:smarttags" w:element="PersonName">
        <w:smartTagPr>
          <w:attr w:name="ProductID" w:val="La Cruz Ar￩valo"/>
        </w:smartTagPr>
        <w:r>
          <w:t>la Cruz Arévalo</w:t>
        </w:r>
      </w:smartTag>
      <w:r>
        <w:t xml:space="preserve"> eran los mecánicos o chapistas. Negó conocer a Augusto Ca</w:t>
      </w:r>
      <w:r>
        <w:t>r</w:t>
      </w:r>
      <w:r>
        <w:t>los Curel.</w:t>
      </w:r>
    </w:p>
    <w:p w:rsidR="00224567" w:rsidRDefault="00224567">
      <w:pPr>
        <w:widowControl w:val="0"/>
      </w:pPr>
      <w:r>
        <w:tab/>
        <w:t xml:space="preserve">Asimismo, señaló que antes de </w:t>
      </w:r>
      <w:smartTag w:uri="urn:schemas-microsoft-com:office:smarttags" w:element="PersonName">
        <w:smartTagPr>
          <w:attr w:name="ProductID" w:val="la Trafic"/>
        </w:smartTagPr>
        <w:r>
          <w:t>la Tr</w:t>
        </w:r>
        <w:r>
          <w:t>a</w:t>
        </w:r>
        <w:r>
          <w:t>fic</w:t>
        </w:r>
      </w:smartTag>
      <w:r>
        <w:t>, llevó a Nitzcaner tres o cuatro vehículos; en todos los casos, aseveró, el nombrado debía finalizar los arr</w:t>
      </w:r>
      <w:r>
        <w:t>e</w:t>
      </w:r>
      <w:r>
        <w:t>glos para el fin de semana, puesto que los public</w:t>
      </w:r>
      <w:r>
        <w:t>a</w:t>
      </w:r>
      <w:r>
        <w:t>ba para la venta. También aseguró que Nitzcaner ignoraba que est</w:t>
      </w:r>
      <w:r>
        <w:t>a</w:t>
      </w:r>
      <w:r>
        <w:t>ba trabajando con automóviles robados o que las carroc</w:t>
      </w:r>
      <w:r>
        <w:t>e</w:t>
      </w:r>
      <w:r>
        <w:t>rías estuvieran cambiadas. Comentó que, según creía, Nit</w:t>
      </w:r>
      <w:r>
        <w:t>z</w:t>
      </w:r>
      <w:r>
        <w:t>caner y Cotoras recién se conocieron d</w:t>
      </w:r>
      <w:r>
        <w:t>u</w:t>
      </w:r>
      <w:r>
        <w:t>rante su detención en el Departamento Protección del Orden Constituci</w:t>
      </w:r>
      <w:r>
        <w:t>o</w:t>
      </w:r>
      <w:r>
        <w:t>nal.</w:t>
      </w:r>
    </w:p>
    <w:p w:rsidR="00224567" w:rsidRDefault="00224567">
      <w:pPr>
        <w:widowControl w:val="0"/>
      </w:pPr>
      <w:r>
        <w:tab/>
        <w:t>Por otra parte, destacó que usualme</w:t>
      </w:r>
      <w:r>
        <w:t>n</w:t>
      </w:r>
      <w:r>
        <w:t>te le llevaba la tarjeta verde de los vehículos a Nit</w:t>
      </w:r>
      <w:r>
        <w:t>z</w:t>
      </w:r>
      <w:r>
        <w:t>caner; que en el caso de la su</w:t>
      </w:r>
      <w:r>
        <w:t>s</w:t>
      </w:r>
      <w:r>
        <w:t>traída a Sarapura, se la llevó con las chapas patentes de la de “Messin S.R.L.”, encomendá</w:t>
      </w:r>
      <w:r>
        <w:t>n</w:t>
      </w:r>
      <w:r>
        <w:t>dole a Nitzcaner que le sacara el revestimiento interior de madera que tenía en la caja, a efe</w:t>
      </w:r>
      <w:r>
        <w:t>c</w:t>
      </w:r>
      <w:r>
        <w:t>tos de que no fuera ident</w:t>
      </w:r>
      <w:r>
        <w:t>i</w:t>
      </w:r>
      <w:r>
        <w:t>ficada.</w:t>
      </w:r>
    </w:p>
    <w:p w:rsidR="00224567" w:rsidRDefault="00224567">
      <w:pPr>
        <w:widowControl w:val="0"/>
      </w:pPr>
      <w:r>
        <w:tab/>
        <w:t>Afirmó que a Nitzcaner le dejó los p</w:t>
      </w:r>
      <w:r>
        <w:t>a</w:t>
      </w:r>
      <w:r>
        <w:t>peles de la de “Messin S.R.L.”, ya que si bien le habían retenido los “</w:t>
      </w:r>
      <w:smartTag w:uri="urn:schemas-microsoft-com:office:smarttags" w:element="metricconverter">
        <w:smartTagPr>
          <w:attr w:name="ProductID" w:val="08”"/>
        </w:smartTagPr>
        <w:r>
          <w:t>08”</w:t>
        </w:r>
      </w:smartTag>
      <w:r>
        <w:t>, tenía el título de propiedad del vehículo. Esa camioneta, remarcó, no t</w:t>
      </w:r>
      <w:r>
        <w:t>e</w:t>
      </w:r>
      <w:r>
        <w:t>nía tarjeta verde, pero sí título de propiedad, recibo de patente y, según creía, la factura. Añadió que cuando César Fernández le entregó la camioneta de Sarapura, tenía dos aureolas en la parte exterior de la caja, dado que se habían lijado las insi</w:t>
      </w:r>
      <w:r>
        <w:t>g</w:t>
      </w:r>
      <w:r>
        <w:t>nias de disc-jockey. Afirmó que en las partes lijadas se veía la chapa, solicitándola de esa manera a efectos de que los chapistas y pintores no pudieran ver los n</w:t>
      </w:r>
      <w:r>
        <w:t>ú</w:t>
      </w:r>
      <w:r>
        <w:t>meros.</w:t>
      </w:r>
    </w:p>
    <w:p w:rsidR="00224567" w:rsidRDefault="00224567">
      <w:pPr>
        <w:widowControl w:val="0"/>
      </w:pPr>
      <w:r>
        <w:tab/>
        <w:t>Según explicó Telleldín, supo que pe</w:t>
      </w:r>
      <w:r>
        <w:t>r</w:t>
      </w:r>
      <w:r>
        <w:t>tenecía a Sarapura porque en el interior había tarjetas del disc-jockey, una cajita entre los dos asientos -como una consola con casetes y propagandas-, la tarjeta verde con el nombre de Sarapura y, según creía, parlantes. Apu</w:t>
      </w:r>
      <w:r>
        <w:t>n</w:t>
      </w:r>
      <w:r>
        <w:t>tó que no creía que Nitzcaner se hubiera enterado que la camioneta era propiedad de Sarapura, por cuanto limpió t</w:t>
      </w:r>
      <w:r>
        <w:t>o</w:t>
      </w:r>
      <w:r>
        <w:t>do y sacó las cosas. Al exhibírsele la fotografía del vehículo referido, indicó que era muy parecido al que al</w:t>
      </w:r>
      <w:r>
        <w:t>u</w:t>
      </w:r>
      <w:r>
        <w:t>diera, aclarando que lo recibió con los logotipos pul</w:t>
      </w:r>
      <w:r>
        <w:t>i</w:t>
      </w:r>
      <w:r>
        <w:t>dos.</w:t>
      </w:r>
    </w:p>
    <w:p w:rsidR="00224567" w:rsidRDefault="00224567">
      <w:pPr>
        <w:widowControl w:val="0"/>
        <w:rPr>
          <w:bCs/>
        </w:rPr>
      </w:pPr>
      <w:r>
        <w:tab/>
        <w:t xml:space="preserve">Asimismo, refirió que </w:t>
      </w:r>
      <w:smartTag w:uri="urn:schemas-microsoft-com:office:smarttags" w:element="PersonName">
        <w:smartTagPr>
          <w:attr w:name="ProductID" w:val="la Trafic"/>
        </w:smartTagPr>
        <w:r>
          <w:t>la Trafic</w:t>
        </w:r>
      </w:smartTag>
      <w:r>
        <w:t xml:space="preserve"> de S</w:t>
      </w:r>
      <w:r>
        <w:t>a</w:t>
      </w:r>
      <w:r>
        <w:t>rapura había sido chocada de frente y para repararla se utilizaron repuestos usados; que no arregló la parte ch</w:t>
      </w:r>
      <w:r>
        <w:t>o</w:t>
      </w:r>
      <w:r>
        <w:t>cada, pero la notó debido a los detalles de masilla que tenía en la goma del parabrisas, en la parte que daba al techo, pues tenía bolitas de óxido que se formaban y se levantaban cuando la pintura no era original. En definit</w:t>
      </w:r>
      <w:r>
        <w:t>i</w:t>
      </w:r>
      <w:r>
        <w:t>va, señaló que la carrocería tenía raspado el techo, es decir, estaba o</w:t>
      </w:r>
      <w:r>
        <w:t>n</w:t>
      </w:r>
      <w:r>
        <w:t>dulado. Agregó que el choque no afectó la zona donde se hallaba la numer</w:t>
      </w:r>
      <w:r>
        <w:t>a</w:t>
      </w:r>
      <w:r>
        <w:t>ción del chasis.</w:t>
      </w:r>
    </w:p>
    <w:p w:rsidR="00224567" w:rsidRDefault="00224567">
      <w:pPr>
        <w:widowControl w:val="0"/>
      </w:pPr>
      <w:r>
        <w:tab/>
        <w:t>Puntualizó que, además de que retir</w:t>
      </w:r>
      <w:r>
        <w:t>a</w:t>
      </w:r>
      <w:r>
        <w:t>sen el interior de madera, pidió que pintasen las a</w:t>
      </w:r>
      <w:r>
        <w:t>u</w:t>
      </w:r>
      <w:r>
        <w:t>reolas que tenía la camioneta a los costados, que efectuasen r</w:t>
      </w:r>
      <w:r>
        <w:t>e</w:t>
      </w:r>
      <w:r>
        <w:t>toques en el techo y en un “bollito” que tenía en el po</w:t>
      </w:r>
      <w:r>
        <w:t>r</w:t>
      </w:r>
      <w:r>
        <w:t>tón trasero y que colocaran una de las baguetas tra</w:t>
      </w:r>
      <w:r>
        <w:t>s</w:t>
      </w:r>
      <w:r>
        <w:t>eras. Para ello, adujo, compró la pintura, según creía, color “blanco chapelco” original de Renault, equivocándose de tonalidad, por lo que debió regresar a la pinturería, au</w:t>
      </w:r>
      <w:r>
        <w:t>n</w:t>
      </w:r>
      <w:r>
        <w:t>que no pudo precisar si este incidente se suscitó con esta camioneta o con la a</w:t>
      </w:r>
      <w:r>
        <w:t>n</w:t>
      </w:r>
      <w:r>
        <w:t>terior.</w:t>
      </w:r>
    </w:p>
    <w:p w:rsidR="00224567" w:rsidRDefault="00224567">
      <w:pPr>
        <w:widowControl w:val="0"/>
      </w:pPr>
      <w:r>
        <w:tab/>
        <w:t xml:space="preserve">El techo de la camioneta, aclaró, se encontraba como raspado por los árboles; por ello se le hizo un retoque de pintura a la altura del parabrisas, unos 20 ó </w:t>
      </w:r>
      <w:smartTag w:uri="urn:schemas-microsoft-com:office:smarttags" w:element="metricconverter">
        <w:smartTagPr>
          <w:attr w:name="ProductID" w:val="60 cm"/>
        </w:smartTagPr>
        <w:r>
          <w:t>60 cm</w:t>
        </w:r>
      </w:smartTag>
      <w:r>
        <w:t xml:space="preserve"> hacia atrás. Afirmó que la camioneta de Sarapura ingresó al taller de Nitzcaner con cubiertas “AR30”, que no fueron ca</w:t>
      </w:r>
      <w:r>
        <w:t>m</w:t>
      </w:r>
      <w:r>
        <w:t>biadas.</w:t>
      </w:r>
    </w:p>
    <w:p w:rsidR="00224567" w:rsidRDefault="00224567">
      <w:pPr>
        <w:widowControl w:val="0"/>
      </w:pPr>
      <w:r>
        <w:tab/>
        <w:t>Aseveró que en el taller de Nitzc</w:t>
      </w:r>
      <w:r>
        <w:t>a</w:t>
      </w:r>
      <w:r>
        <w:t>ner extrajeron el motor de la camioneta de Sarapura y coloc</w:t>
      </w:r>
      <w:r>
        <w:t>a</w:t>
      </w:r>
      <w:r>
        <w:t xml:space="preserve">ron en esa carrocería el de </w:t>
      </w:r>
      <w:smartTag w:uri="urn:schemas-microsoft-com:office:smarttags" w:element="PersonName">
        <w:smartTagPr>
          <w:attr w:name="ProductID" w:val="la Trafic"/>
        </w:smartTagPr>
        <w:r>
          <w:t>la Trafic</w:t>
        </w:r>
      </w:smartTag>
      <w:r>
        <w:t xml:space="preserve"> de “Messin S.R.L.”; de éste sólo servía el bloque con el número y se extraj</w:t>
      </w:r>
      <w:r>
        <w:t>e</w:t>
      </w:r>
      <w:r>
        <w:t>ron todos los repuestos no numerados del vehículo de Sar</w:t>
      </w:r>
      <w:r>
        <w:t>a</w:t>
      </w:r>
      <w:r>
        <w:t>pura. Agregó que adquirió las juntas de la tapa de cili</w:t>
      </w:r>
      <w:r>
        <w:t>n</w:t>
      </w:r>
      <w:r>
        <w:t>dros y del múltiple, bujías y, tal vez, tapa de distribu</w:t>
      </w:r>
      <w:r>
        <w:t>i</w:t>
      </w:r>
      <w:r>
        <w:t>dor, en alguna casa de repuestos de la zona o en Warnes. En definitiva, puntualizó que a la camioneta de “Messin” se le pusieron todas las piezas de la de Sarapura, salvo las mencion</w:t>
      </w:r>
      <w:r>
        <w:t>a</w:t>
      </w:r>
      <w:r>
        <w:t>das.</w:t>
      </w:r>
    </w:p>
    <w:p w:rsidR="00224567" w:rsidRDefault="00224567">
      <w:pPr>
        <w:widowControl w:val="0"/>
      </w:pPr>
      <w:r>
        <w:tab/>
        <w:t>Telleldín sostuvo que Nitzcaner decl</w:t>
      </w:r>
      <w:r>
        <w:t>a</w:t>
      </w:r>
      <w:r>
        <w:t>ró la verdad al decir que recibió un motor oxidado, por cuanto era producto del incendio. Enseñó que el m</w:t>
      </w:r>
      <w:r>
        <w:t>o</w:t>
      </w:r>
      <w:r>
        <w:t>tor era de hierro fundido, por lo que al incendiarse provocaba óxido, que daba la impresión de que hubiera estado a la intemperie. El motor de “Messin” funcion</w:t>
      </w:r>
      <w:r>
        <w:t>a</w:t>
      </w:r>
      <w:r>
        <w:t>ba, pese a haber estado sometido a un incendio y a e</w:t>
      </w:r>
      <w:r>
        <w:t>n</w:t>
      </w:r>
      <w:r>
        <w:t>contrarse como oxidado o como si hubiera estado al aire libre.</w:t>
      </w:r>
    </w:p>
    <w:p w:rsidR="00224567" w:rsidRDefault="00224567">
      <w:pPr>
        <w:widowControl w:val="0"/>
      </w:pPr>
      <w:r>
        <w:tab/>
        <w:t>No descartó que su coimputado hubiera ido a su domicilio a cobrar, aunque aclaró que en esas ocasiones no ingresaba a su vivienda, puesto que lo había conocido hacía muy poco tiempo y no era de su confianza, ni amistad, manteniendo solamente un trato comercial. No recordó haberle hecho comentarios con r</w:t>
      </w:r>
      <w:r>
        <w:t>e</w:t>
      </w:r>
      <w:r>
        <w:t>lación al destino de la cami</w:t>
      </w:r>
      <w:r>
        <w:t>o</w:t>
      </w:r>
      <w:r>
        <w:t>neta.</w:t>
      </w:r>
    </w:p>
    <w:p w:rsidR="00224567" w:rsidRDefault="00224567">
      <w:pPr>
        <w:widowControl w:val="0"/>
      </w:pPr>
      <w:r>
        <w:tab/>
        <w:t>Si bien no pudo precisar Telleldín cuánto tiempo permaneció la camioneta en lo de Nitzc</w:t>
      </w:r>
      <w:r>
        <w:t>a</w:t>
      </w:r>
      <w:r>
        <w:t>ner, señaló que fueron pocos días, toda vez que la reparación consistió en retoques. Explicó que el sistema bicapa de pintado permitía pintar sólo un pedazo del vehículo, sin que se formara a</w:t>
      </w:r>
      <w:r>
        <w:t>u</w:t>
      </w:r>
      <w:r>
        <w:t>reola; en el caso, se debieron masillar y pintar las dos aureolas a los co</w:t>
      </w:r>
      <w:r>
        <w:t>s</w:t>
      </w:r>
      <w:r>
        <w:t>tados y luego lustrarla, trabajo que, calculó, demand</w:t>
      </w:r>
      <w:r>
        <w:t>a</w:t>
      </w:r>
      <w:r>
        <w:t>ba medio día.</w:t>
      </w:r>
    </w:p>
    <w:p w:rsidR="00224567" w:rsidRDefault="00224567">
      <w:pPr>
        <w:widowControl w:val="0"/>
        <w:rPr>
          <w:bCs/>
        </w:rPr>
      </w:pPr>
      <w:r>
        <w:tab/>
        <w:t>Estimó que el motor de la cami</w:t>
      </w:r>
      <w:r>
        <w:t>o</w:t>
      </w:r>
      <w:r>
        <w:t>neta de Sarapura se habría destruido en la prensa del desa</w:t>
      </w:r>
      <w:r>
        <w:t>r</w:t>
      </w:r>
      <w:r>
        <w:t>madero de Agüero u otro; de ese rodado se destruyó el bloque de motor, do</w:t>
      </w:r>
      <w:r>
        <w:t>n</w:t>
      </w:r>
      <w:r>
        <w:t xml:space="preserve">de se encontraba la numeración. No obstante que </w:t>
      </w:r>
      <w:r>
        <w:rPr>
          <w:bCs/>
        </w:rPr>
        <w:t>en su declaración de fs. 7031 manife</w:t>
      </w:r>
      <w:r>
        <w:rPr>
          <w:bCs/>
        </w:rPr>
        <w:t>s</w:t>
      </w:r>
      <w:r>
        <w:rPr>
          <w:bCs/>
        </w:rPr>
        <w:t>tó que el motor de la de Sarapura quedó en lo de Nitzc</w:t>
      </w:r>
      <w:r>
        <w:rPr>
          <w:bCs/>
        </w:rPr>
        <w:t>a</w:t>
      </w:r>
      <w:r>
        <w:rPr>
          <w:bCs/>
        </w:rPr>
        <w:t xml:space="preserve">ner, sostuvo que éste se lo entregó y lo retiró en el Renault 19. </w:t>
      </w:r>
      <w:r>
        <w:t xml:space="preserve">Alegó </w:t>
      </w:r>
      <w:r>
        <w:rPr>
          <w:bCs/>
        </w:rPr>
        <w:t>que en un principio pudo haber incurrido en contradicciones porque se estaba defendiendo del tema autom</w:t>
      </w:r>
      <w:r>
        <w:rPr>
          <w:bCs/>
        </w:rPr>
        <w:t>o</w:t>
      </w:r>
      <w:r>
        <w:rPr>
          <w:bCs/>
        </w:rPr>
        <w:t>tor.</w:t>
      </w:r>
    </w:p>
    <w:p w:rsidR="00224567" w:rsidRDefault="00224567">
      <w:pPr>
        <w:widowControl w:val="0"/>
      </w:pPr>
      <w:r>
        <w:tab/>
        <w:t>El imputado indicó que la carrocería del rodado de “Messin S.R.L.” no podía ser repar</w:t>
      </w:r>
      <w:r>
        <w:t>a</w:t>
      </w:r>
      <w:r>
        <w:t>da, salvo de manera artesanal, lo que no le convenía, pues ello h</w:t>
      </w:r>
      <w:r>
        <w:t>a</w:t>
      </w:r>
      <w:r>
        <w:t>bría demorado dos meses, aproximadamente, dado que tendría que haberle cambiado las partes quemadas, como ser el t</w:t>
      </w:r>
      <w:r>
        <w:t>e</w:t>
      </w:r>
      <w:r>
        <w:t>cho y los guardabarros later</w:t>
      </w:r>
      <w:r>
        <w:t>a</w:t>
      </w:r>
      <w:r>
        <w:t>les.</w:t>
      </w:r>
    </w:p>
    <w:p w:rsidR="00224567" w:rsidRDefault="00224567">
      <w:pPr>
        <w:widowControl w:val="0"/>
      </w:pPr>
      <w:r>
        <w:tab/>
        <w:t>Sostuvo que, a su criterio, habían s</w:t>
      </w:r>
      <w:r>
        <w:t>i</w:t>
      </w:r>
      <w:r>
        <w:t>do sembr</w:t>
      </w:r>
      <w:r>
        <w:t>a</w:t>
      </w:r>
      <w:r>
        <w:t xml:space="preserve">dos en el predio de </w:t>
      </w:r>
      <w:smartTag w:uri="urn:schemas-microsoft-com:office:smarttags" w:element="PersonName">
        <w:smartTagPr>
          <w:attr w:name="ProductID" w:val="la A.M"/>
        </w:smartTagPr>
        <w:r>
          <w:t>la A.M</w:t>
        </w:r>
      </w:smartTag>
      <w:r>
        <w:t>.I.A. el hierro “U”, un elástico largo y uno co</w:t>
      </w:r>
      <w:r>
        <w:t>r</w:t>
      </w:r>
      <w:r>
        <w:t>to, un faro de Peugeot 504 –pese a que en el lugar no había ningún vehículo de esa marca- y una bomba de nafta de Renault 12 modelo ‘74, cuando resu</w:t>
      </w:r>
      <w:r>
        <w:t>l</w:t>
      </w:r>
      <w:r>
        <w:t>taba imposible que un motor de Trafic funcionara con tal elemento. Concluyó que, asimismo, muchos repuestos -los que no eran Renault- fueron destruidos por orden del Dr. Galeano. Añadió que tanto en lo de Cotoras como en lo de Nitzcaner secuestraron p</w:t>
      </w:r>
      <w:r>
        <w:t>a</w:t>
      </w:r>
      <w:r>
        <w:t>quetes de elásticos de camionetas la</w:t>
      </w:r>
      <w:r>
        <w:t>r</w:t>
      </w:r>
      <w:r>
        <w:t>gas.</w:t>
      </w:r>
    </w:p>
    <w:p w:rsidR="00224567" w:rsidRDefault="00224567">
      <w:pPr>
        <w:widowControl w:val="0"/>
      </w:pPr>
      <w:r>
        <w:tab/>
        <w:t>A fin de retomar su relato concernie</w:t>
      </w:r>
      <w:r>
        <w:t>n</w:t>
      </w:r>
      <w:r>
        <w:t>te al armado de la camioneta, Telleldín man</w:t>
      </w:r>
      <w:r>
        <w:t>i</w:t>
      </w:r>
      <w:r>
        <w:t xml:space="preserve">festó que una vez que estuvo lista </w:t>
      </w:r>
      <w:smartTag w:uri="urn:schemas-microsoft-com:office:smarttags" w:element="PersonName">
        <w:smartTagPr>
          <w:attr w:name="ProductID" w:val="la Trafic"/>
        </w:smartTagPr>
        <w:r>
          <w:t>la Trafic</w:t>
        </w:r>
      </w:smartTag>
      <w:r>
        <w:t xml:space="preserve"> de S</w:t>
      </w:r>
      <w:r>
        <w:t>a</w:t>
      </w:r>
      <w:r>
        <w:t>rapura con el motor de la de “Messin S.R.L.”, el viernes la retiró del t</w:t>
      </w:r>
      <w:r>
        <w:t>a</w:t>
      </w:r>
      <w:r>
        <w:t>ller de Nitzcaner junto con su mujer. No pudo precisar si la co</w:t>
      </w:r>
      <w:r>
        <w:t>n</w:t>
      </w:r>
      <w:r>
        <w:t>dujo personalmente y su mujer lo siguió en el R</w:t>
      </w:r>
      <w:r>
        <w:t>e</w:t>
      </w:r>
      <w:r>
        <w:t>nault 19 o viceversa, pero afirmó que el motor ya funcionaba y la e</w:t>
      </w:r>
      <w:r>
        <w:t>s</w:t>
      </w:r>
      <w:r>
        <w:t>tacionaron en la vereda de enfrente del domicilio de Rep</w:t>
      </w:r>
      <w:r>
        <w:t>ú</w:t>
      </w:r>
      <w:r>
        <w:t>blica 107, “no tocá</w:t>
      </w:r>
      <w:r>
        <w:t>n</w:t>
      </w:r>
      <w:r>
        <w:t>dola más”.</w:t>
      </w:r>
    </w:p>
    <w:p w:rsidR="00224567" w:rsidRDefault="00224567">
      <w:pPr>
        <w:pStyle w:val="Textoindependiente2"/>
        <w:widowControl w:val="0"/>
        <w:rPr>
          <w:rFonts w:ascii="Courier New" w:hAnsi="Courier New" w:cs="Courier New"/>
          <w:lang w:val="es-AR"/>
        </w:rPr>
      </w:pPr>
      <w:r>
        <w:rPr>
          <w:rFonts w:ascii="Courier New" w:hAnsi="Courier New" w:cs="Courier New"/>
          <w:szCs w:val="24"/>
          <w:lang w:val="es-AR"/>
        </w:rPr>
        <w:tab/>
        <w:t xml:space="preserve">Admitió que al publicar para la venta </w:t>
      </w:r>
      <w:r>
        <w:rPr>
          <w:rFonts w:ascii="Courier New" w:hAnsi="Courier New" w:cs="Courier New"/>
        </w:rPr>
        <w:t xml:space="preserve">la </w:t>
      </w:r>
      <w:r>
        <w:rPr>
          <w:rFonts w:ascii="Courier New" w:hAnsi="Courier New" w:cs="Courier New"/>
          <w:lang w:val="es-AR"/>
        </w:rPr>
        <w:t>camioneta de “Messin S.R.L.”</w:t>
      </w:r>
      <w:r>
        <w:rPr>
          <w:rFonts w:ascii="Courier New" w:hAnsi="Courier New" w:cs="Courier New"/>
        </w:rPr>
        <w:t xml:space="preserve"> </w:t>
      </w:r>
      <w:r>
        <w:rPr>
          <w:rFonts w:ascii="Courier New" w:hAnsi="Courier New" w:cs="Courier New"/>
          <w:lang w:val="es-AR"/>
        </w:rPr>
        <w:t>no contaba con la cédula verde, que se había quemado, como así tampoco con los fo</w:t>
      </w:r>
      <w:r>
        <w:rPr>
          <w:rFonts w:ascii="Courier New" w:hAnsi="Courier New" w:cs="Courier New"/>
          <w:lang w:val="es-AR"/>
        </w:rPr>
        <w:t>r</w:t>
      </w:r>
      <w:r>
        <w:rPr>
          <w:rFonts w:ascii="Courier New" w:hAnsi="Courier New" w:cs="Courier New"/>
          <w:lang w:val="es-AR"/>
        </w:rPr>
        <w:t>mularios “</w:t>
      </w:r>
      <w:smartTag w:uri="urn:schemas-microsoft-com:office:smarttags" w:element="metricconverter">
        <w:smartTagPr>
          <w:attr w:name="ProductID" w:val="08”"/>
        </w:smartTagPr>
        <w:r>
          <w:rPr>
            <w:rFonts w:ascii="Courier New" w:hAnsi="Courier New" w:cs="Courier New"/>
            <w:lang w:val="es-AR"/>
          </w:rPr>
          <w:t>08”</w:t>
        </w:r>
      </w:smartTag>
      <w:r>
        <w:rPr>
          <w:rFonts w:ascii="Courier New" w:hAnsi="Courier New" w:cs="Courier New"/>
          <w:lang w:val="es-AR"/>
        </w:rPr>
        <w:t>, toda vez que se los entregarían al lunes siguiente.</w:t>
      </w:r>
    </w:p>
    <w:p w:rsidR="00224567" w:rsidRDefault="00224567">
      <w:pPr>
        <w:pStyle w:val="Textoindependiente2"/>
        <w:widowControl w:val="0"/>
        <w:rPr>
          <w:rFonts w:ascii="Courier New" w:hAnsi="Courier New" w:cs="Courier New"/>
        </w:rPr>
      </w:pPr>
      <w:r>
        <w:rPr>
          <w:rFonts w:ascii="Courier New" w:hAnsi="Courier New" w:cs="Courier New"/>
          <w:lang w:val="es-AR"/>
        </w:rPr>
        <w:tab/>
      </w:r>
      <w:r>
        <w:rPr>
          <w:rFonts w:ascii="Courier New" w:hAnsi="Courier New" w:cs="Courier New"/>
        </w:rPr>
        <w:t>Pese a que Telleldín precisó que no declar</w:t>
      </w:r>
      <w:r>
        <w:rPr>
          <w:rFonts w:ascii="Courier New" w:hAnsi="Courier New" w:cs="Courier New"/>
        </w:rPr>
        <w:t>a</w:t>
      </w:r>
      <w:r>
        <w:rPr>
          <w:rFonts w:ascii="Courier New" w:hAnsi="Courier New" w:cs="Courier New"/>
        </w:rPr>
        <w:t>ría en orden a lo acaecido el 10 de julio de 1994, aseguró que vio a Ramón Martínez firmar el boleto de co</w:t>
      </w:r>
      <w:r>
        <w:rPr>
          <w:rFonts w:ascii="Courier New" w:hAnsi="Courier New" w:cs="Courier New"/>
        </w:rPr>
        <w:t>m</w:t>
      </w:r>
      <w:r>
        <w:rPr>
          <w:rFonts w:ascii="Courier New" w:hAnsi="Courier New" w:cs="Courier New"/>
        </w:rPr>
        <w:t>praventa, remitiéndose al respecto a sus versiones ant</w:t>
      </w:r>
      <w:r>
        <w:rPr>
          <w:rFonts w:ascii="Courier New" w:hAnsi="Courier New" w:cs="Courier New"/>
        </w:rPr>
        <w:t>e</w:t>
      </w:r>
      <w:r>
        <w:rPr>
          <w:rFonts w:ascii="Courier New" w:hAnsi="Courier New" w:cs="Courier New"/>
        </w:rPr>
        <w:t>riores, recalcando que no pensó que la camioneta sería utilizada para cometer un atentado terrorista. Reconoció su firma en el documento obrante a fs. 308, como así ta</w:t>
      </w:r>
      <w:r>
        <w:rPr>
          <w:rFonts w:ascii="Courier New" w:hAnsi="Courier New" w:cs="Courier New"/>
        </w:rPr>
        <w:t>m</w:t>
      </w:r>
      <w:r>
        <w:rPr>
          <w:rFonts w:ascii="Courier New" w:hAnsi="Courier New" w:cs="Courier New"/>
        </w:rPr>
        <w:t>bién haberlo completado; alegó que tuvo el utilitario ha</w:t>
      </w:r>
      <w:r>
        <w:rPr>
          <w:rFonts w:ascii="Courier New" w:hAnsi="Courier New" w:cs="Courier New"/>
        </w:rPr>
        <w:t>s</w:t>
      </w:r>
      <w:r>
        <w:rPr>
          <w:rFonts w:ascii="Courier New" w:hAnsi="Courier New" w:cs="Courier New"/>
        </w:rPr>
        <w:t>ta ese día, desconociendo qué pasó ult</w:t>
      </w:r>
      <w:r>
        <w:rPr>
          <w:rFonts w:ascii="Courier New" w:hAnsi="Courier New" w:cs="Courier New"/>
        </w:rPr>
        <w:t>e</w:t>
      </w:r>
      <w:r>
        <w:rPr>
          <w:rFonts w:ascii="Courier New" w:hAnsi="Courier New" w:cs="Courier New"/>
        </w:rPr>
        <w:t>riormente.</w:t>
      </w:r>
    </w:p>
    <w:p w:rsidR="00224567" w:rsidRDefault="00224567">
      <w:pPr>
        <w:widowControl w:val="0"/>
      </w:pPr>
      <w:r>
        <w:tab/>
        <w:t>El 10 de julio, refirió, tenía un R</w:t>
      </w:r>
      <w:r>
        <w:t>e</w:t>
      </w:r>
      <w:r>
        <w:t>nault 19 en su domicilio, que fue visto por el matrim</w:t>
      </w:r>
      <w:r>
        <w:t>o</w:t>
      </w:r>
      <w:r>
        <w:t xml:space="preserve">nio Schonbrod. Apuntó que el señor Schonbrod también vio </w:t>
      </w:r>
      <w:smartTag w:uri="urn:schemas-microsoft-com:office:smarttags" w:element="PersonName">
        <w:smartTagPr>
          <w:attr w:name="ProductID" w:val="la Trafic"/>
        </w:smartTagPr>
        <w:r>
          <w:t>la Trafic</w:t>
        </w:r>
      </w:smartTag>
      <w:r>
        <w:t xml:space="preserve"> en la puerta y la describió, en sus declaraci</w:t>
      </w:r>
      <w:r>
        <w:t>o</w:t>
      </w:r>
      <w:r>
        <w:t>nes, con ondulaciones en el techo, en coincidencia con lo d</w:t>
      </w:r>
      <w:r>
        <w:t>e</w:t>
      </w:r>
      <w:r>
        <w:t>clarado por Sarapura. T</w:t>
      </w:r>
      <w:r>
        <w:t>e</w:t>
      </w:r>
      <w:r>
        <w:t>lleldín comentó que no le dijo que le pertenecía, por cuanto no quería pasar por vendedor de autos, sino aparentar ser un particular que vendía un R</w:t>
      </w:r>
      <w:r>
        <w:t>e</w:t>
      </w:r>
      <w:r>
        <w:t>nault 19.</w:t>
      </w:r>
    </w:p>
    <w:p w:rsidR="00224567" w:rsidRDefault="00224567">
      <w:pPr>
        <w:widowControl w:val="0"/>
      </w:pPr>
      <w:r>
        <w:tab/>
        <w:t>Aseveró que los rasgos de su firma e</w:t>
      </w:r>
      <w:r>
        <w:t>s</w:t>
      </w:r>
      <w:r>
        <w:t xml:space="preserve">tampada en el boleto de compraventa de </w:t>
      </w:r>
      <w:smartTag w:uri="urn:schemas-microsoft-com:office:smarttags" w:element="PersonName">
        <w:smartTagPr>
          <w:attr w:name="ProductID" w:val="la Trafic"/>
        </w:smartTagPr>
        <w:r>
          <w:t>la Trafic</w:t>
        </w:r>
      </w:smartTag>
      <w:r>
        <w:t xml:space="preserve"> eran iguales a los del bol</w:t>
      </w:r>
      <w:r>
        <w:t>e</w:t>
      </w:r>
      <w:r>
        <w:t>to de compraventa del crucero y que ambas fueron asentadas en situaciones sim</w:t>
      </w:r>
      <w:r>
        <w:t>i</w:t>
      </w:r>
      <w:r>
        <w:t>lares.</w:t>
      </w:r>
    </w:p>
    <w:p w:rsidR="00224567" w:rsidRDefault="00224567">
      <w:pPr>
        <w:widowControl w:val="0"/>
      </w:pPr>
      <w:r>
        <w:tab/>
        <w:t>Al reproducirse la escucha de f</w:t>
      </w:r>
      <w:r>
        <w:t>e</w:t>
      </w:r>
      <w:r>
        <w:t xml:space="preserve">cha 9 de junio de 1995, obrante en el casete nº 92 del abonado </w:t>
      </w:r>
      <w:r>
        <w:rPr>
          <w:bCs/>
        </w:rPr>
        <w:t>787-4807, reconoció su voz y la de su esposa. Expl</w:t>
      </w:r>
      <w:r>
        <w:rPr>
          <w:bCs/>
        </w:rPr>
        <w:t>i</w:t>
      </w:r>
      <w:r>
        <w:rPr>
          <w:bCs/>
        </w:rPr>
        <w:t xml:space="preserve">có que en esa conversación </w:t>
      </w:r>
      <w:r>
        <w:t>mencionó la venta de un libro para contener a su mujer, porque en esa época los fiscales M</w:t>
      </w:r>
      <w:r>
        <w:t>u</w:t>
      </w:r>
      <w:r>
        <w:t>llen y Barbaccia p</w:t>
      </w:r>
      <w:r>
        <w:t>e</w:t>
      </w:r>
      <w:r>
        <w:t>dían la participación primaria de ella; que finalmente no publicó ningún l</w:t>
      </w:r>
      <w:r>
        <w:t>i</w:t>
      </w:r>
      <w:r>
        <w:t>bro.</w:t>
      </w:r>
    </w:p>
    <w:p w:rsidR="00224567" w:rsidRDefault="00224567">
      <w:pPr>
        <w:widowControl w:val="0"/>
      </w:pPr>
      <w:r>
        <w:tab/>
        <w:t>Afirmó que el 10 de julio, en su dom</w:t>
      </w:r>
      <w:r>
        <w:t>i</w:t>
      </w:r>
      <w:r>
        <w:t>cilio se encontraban Pérez Mejías, Hugo Pérez y otras pe</w:t>
      </w:r>
      <w:r>
        <w:t>r</w:t>
      </w:r>
      <w:r>
        <w:t>sonas, que se abstuvo de mencionar. Negó que Claudio Cot</w:t>
      </w:r>
      <w:r>
        <w:t>o</w:t>
      </w:r>
      <w:r>
        <w:t>ras fuera una de ellas.</w:t>
      </w:r>
    </w:p>
    <w:p w:rsidR="00224567" w:rsidRDefault="00224567">
      <w:pPr>
        <w:pStyle w:val="Textoindependiente2"/>
        <w:widowControl w:val="0"/>
        <w:rPr>
          <w:rFonts w:ascii="Courier New" w:hAnsi="Courier New" w:cs="Courier New"/>
          <w:bCs/>
          <w:lang w:val="es-AR"/>
        </w:rPr>
      </w:pPr>
      <w:r>
        <w:rPr>
          <w:rFonts w:ascii="Courier New" w:hAnsi="Courier New" w:cs="Courier New"/>
          <w:szCs w:val="24"/>
          <w:lang w:val="es-AR"/>
        </w:rPr>
        <w:tab/>
        <w:t>En otro orden, Telleldín no pudo pr</w:t>
      </w:r>
      <w:r>
        <w:rPr>
          <w:rFonts w:ascii="Courier New" w:hAnsi="Courier New" w:cs="Courier New"/>
          <w:szCs w:val="24"/>
          <w:lang w:val="es-AR"/>
        </w:rPr>
        <w:t>e</w:t>
      </w:r>
      <w:r>
        <w:rPr>
          <w:rFonts w:ascii="Courier New" w:hAnsi="Courier New" w:cs="Courier New"/>
          <w:szCs w:val="24"/>
          <w:lang w:val="es-AR"/>
        </w:rPr>
        <w:t>cisar en qué f</w:t>
      </w:r>
      <w:r>
        <w:rPr>
          <w:rFonts w:ascii="Courier New" w:hAnsi="Courier New" w:cs="Courier New"/>
          <w:szCs w:val="24"/>
          <w:lang w:val="es-AR"/>
        </w:rPr>
        <w:t>e</w:t>
      </w:r>
      <w:r>
        <w:rPr>
          <w:rFonts w:ascii="Courier New" w:hAnsi="Courier New" w:cs="Courier New"/>
          <w:szCs w:val="24"/>
          <w:lang w:val="es-AR"/>
        </w:rPr>
        <w:t>cha concurrió a la calle San José –domicilio aportado por Ramón Martínez para el boleto de compraventa- a efectos de llevar los formularios “</w:t>
      </w:r>
      <w:smartTag w:uri="urn:schemas-microsoft-com:office:smarttags" w:element="metricconverter">
        <w:smartTagPr>
          <w:attr w:name="ProductID" w:val="08”"/>
        </w:smartTagPr>
        <w:r>
          <w:rPr>
            <w:rFonts w:ascii="Courier New" w:hAnsi="Courier New" w:cs="Courier New"/>
            <w:szCs w:val="24"/>
            <w:lang w:val="es-AR"/>
          </w:rPr>
          <w:t>08”</w:t>
        </w:r>
      </w:smartTag>
      <w:r>
        <w:rPr>
          <w:rFonts w:ascii="Courier New" w:hAnsi="Courier New" w:cs="Courier New"/>
          <w:szCs w:val="24"/>
          <w:lang w:val="es-AR"/>
        </w:rPr>
        <w:t xml:space="preserve"> de la camioneta entregados por Monjo, o si fue antes o de</w:t>
      </w:r>
      <w:r>
        <w:rPr>
          <w:rFonts w:ascii="Courier New" w:hAnsi="Courier New" w:cs="Courier New"/>
          <w:szCs w:val="24"/>
          <w:lang w:val="es-AR"/>
        </w:rPr>
        <w:t>s</w:t>
      </w:r>
      <w:r>
        <w:rPr>
          <w:rFonts w:ascii="Courier New" w:hAnsi="Courier New" w:cs="Courier New"/>
          <w:szCs w:val="24"/>
          <w:lang w:val="es-AR"/>
        </w:rPr>
        <w:t>pués del 14 de julio. Se limitó a s</w:t>
      </w:r>
      <w:r>
        <w:rPr>
          <w:rFonts w:ascii="Courier New" w:hAnsi="Courier New" w:cs="Courier New"/>
          <w:szCs w:val="24"/>
          <w:lang w:val="es-AR"/>
        </w:rPr>
        <w:t>e</w:t>
      </w:r>
      <w:r>
        <w:rPr>
          <w:rFonts w:ascii="Courier New" w:hAnsi="Courier New" w:cs="Courier New"/>
          <w:szCs w:val="24"/>
          <w:lang w:val="es-AR"/>
        </w:rPr>
        <w:t>ñalar que una noche le pidió a Hugo Pérez que lo acompañe a llevarlos. Más ad</w:t>
      </w:r>
      <w:r>
        <w:rPr>
          <w:rFonts w:ascii="Courier New" w:hAnsi="Courier New" w:cs="Courier New"/>
          <w:szCs w:val="24"/>
          <w:lang w:val="es-AR"/>
        </w:rPr>
        <w:t>e</w:t>
      </w:r>
      <w:r>
        <w:rPr>
          <w:rFonts w:ascii="Courier New" w:hAnsi="Courier New" w:cs="Courier New"/>
          <w:szCs w:val="24"/>
          <w:lang w:val="es-AR"/>
        </w:rPr>
        <w:t>lante aseveró que fueron después del incidente del 14, m</w:t>
      </w:r>
      <w:r>
        <w:rPr>
          <w:rFonts w:ascii="Courier New" w:hAnsi="Courier New" w:cs="Courier New"/>
          <w:szCs w:val="24"/>
          <w:lang w:val="es-AR"/>
        </w:rPr>
        <w:t>a</w:t>
      </w:r>
      <w:r>
        <w:rPr>
          <w:rFonts w:ascii="Courier New" w:hAnsi="Courier New" w:cs="Courier New"/>
          <w:szCs w:val="24"/>
          <w:lang w:val="es-AR"/>
        </w:rPr>
        <w:t xml:space="preserve">nifestando </w:t>
      </w:r>
      <w:r>
        <w:rPr>
          <w:rFonts w:ascii="Courier New" w:hAnsi="Courier New" w:cs="Courier New"/>
          <w:bCs/>
          <w:lang w:val="es-AR"/>
        </w:rPr>
        <w:t>el sereno que había una Tr</w:t>
      </w:r>
      <w:r>
        <w:rPr>
          <w:rFonts w:ascii="Courier New" w:hAnsi="Courier New" w:cs="Courier New"/>
          <w:bCs/>
          <w:lang w:val="es-AR"/>
        </w:rPr>
        <w:t>a</w:t>
      </w:r>
      <w:r>
        <w:rPr>
          <w:rFonts w:ascii="Courier New" w:hAnsi="Courier New" w:cs="Courier New"/>
          <w:bCs/>
          <w:lang w:val="es-AR"/>
        </w:rPr>
        <w:t>fic, pero desconocía a Ma</w:t>
      </w:r>
      <w:r>
        <w:rPr>
          <w:rFonts w:ascii="Courier New" w:hAnsi="Courier New" w:cs="Courier New"/>
          <w:bCs/>
          <w:lang w:val="es-AR"/>
        </w:rPr>
        <w:t>r</w:t>
      </w:r>
      <w:r>
        <w:rPr>
          <w:rFonts w:ascii="Courier New" w:hAnsi="Courier New" w:cs="Courier New"/>
          <w:bCs/>
          <w:lang w:val="es-AR"/>
        </w:rPr>
        <w:t>tínez.</w:t>
      </w:r>
    </w:p>
    <w:p w:rsidR="00224567" w:rsidRDefault="00224567">
      <w:pPr>
        <w:pStyle w:val="Textoindependiente2"/>
        <w:widowControl w:val="0"/>
        <w:rPr>
          <w:rFonts w:ascii="Courier New" w:hAnsi="Courier New" w:cs="Courier New"/>
        </w:rPr>
      </w:pPr>
      <w:r>
        <w:rPr>
          <w:rFonts w:ascii="Courier New" w:hAnsi="Courier New" w:cs="Courier New"/>
        </w:rPr>
        <w:tab/>
        <w:t>Por otra parte, el imputado admitió conocer a tres ind</w:t>
      </w:r>
      <w:r>
        <w:rPr>
          <w:rFonts w:ascii="Courier New" w:hAnsi="Courier New" w:cs="Courier New"/>
        </w:rPr>
        <w:t>i</w:t>
      </w:r>
      <w:r>
        <w:rPr>
          <w:rFonts w:ascii="Courier New" w:hAnsi="Courier New" w:cs="Courier New"/>
        </w:rPr>
        <w:t>viduos de apellido Martínez, uno de los cuales se llamaba José Juan Ramón Martínez Rodríguez y h</w:t>
      </w:r>
      <w:r>
        <w:rPr>
          <w:rFonts w:ascii="Courier New" w:hAnsi="Courier New" w:cs="Courier New"/>
        </w:rPr>
        <w:t>a</w:t>
      </w:r>
      <w:r>
        <w:rPr>
          <w:rFonts w:ascii="Courier New" w:hAnsi="Courier New" w:cs="Courier New"/>
        </w:rPr>
        <w:t>bía estado implicado en una causa vinculada con produ</w:t>
      </w:r>
      <w:r>
        <w:rPr>
          <w:rFonts w:ascii="Courier New" w:hAnsi="Courier New" w:cs="Courier New"/>
        </w:rPr>
        <w:t>c</w:t>
      </w:r>
      <w:r>
        <w:rPr>
          <w:rFonts w:ascii="Courier New" w:hAnsi="Courier New" w:cs="Courier New"/>
        </w:rPr>
        <w:t>tos de electrónica años atrás, habiendo sido su abogado Sem</w:t>
      </w:r>
      <w:r>
        <w:rPr>
          <w:rFonts w:ascii="Courier New" w:hAnsi="Courier New" w:cs="Courier New"/>
        </w:rPr>
        <w:t>o</w:t>
      </w:r>
      <w:r>
        <w:rPr>
          <w:rFonts w:ascii="Courier New" w:hAnsi="Courier New" w:cs="Courier New"/>
        </w:rPr>
        <w:t>rile. Aclaró que desconocía que se llamara Ramón, ya que todos le decían José. Asimismo, r</w:t>
      </w:r>
      <w:r>
        <w:rPr>
          <w:rFonts w:ascii="Courier New" w:hAnsi="Courier New" w:cs="Courier New"/>
        </w:rPr>
        <w:t>e</w:t>
      </w:r>
      <w:r>
        <w:rPr>
          <w:rFonts w:ascii="Courier New" w:hAnsi="Courier New" w:cs="Courier New"/>
        </w:rPr>
        <w:t>saltó que habló del tema con el capitán Vergéz, encontrándose Martínez ya deten</w:t>
      </w:r>
      <w:r>
        <w:rPr>
          <w:rFonts w:ascii="Courier New" w:hAnsi="Courier New" w:cs="Courier New"/>
        </w:rPr>
        <w:t>i</w:t>
      </w:r>
      <w:r>
        <w:rPr>
          <w:rFonts w:ascii="Courier New" w:hAnsi="Courier New" w:cs="Courier New"/>
        </w:rPr>
        <w:t>do.</w:t>
      </w:r>
    </w:p>
    <w:p w:rsidR="00224567" w:rsidRDefault="00224567">
      <w:pPr>
        <w:widowControl w:val="0"/>
      </w:pPr>
      <w:r>
        <w:tab/>
        <w:t>Argumentó que no recurrió a B</w:t>
      </w:r>
      <w:r>
        <w:t>a</w:t>
      </w:r>
      <w:r>
        <w:t>rreda o Bareiro para hacer llegar los “</w:t>
      </w:r>
      <w:smartTag w:uri="urn:schemas-microsoft-com:office:smarttags" w:element="metricconverter">
        <w:smartTagPr>
          <w:attr w:name="ProductID" w:val="08”"/>
        </w:smartTagPr>
        <w:r>
          <w:t>08”</w:t>
        </w:r>
      </w:smartTag>
      <w:r>
        <w:t xml:space="preserve"> de </w:t>
      </w:r>
      <w:smartTag w:uri="urn:schemas-microsoft-com:office:smarttags" w:element="PersonName">
        <w:smartTagPr>
          <w:attr w:name="ProductID" w:val="la Trafic"/>
        </w:smartTagPr>
        <w:r>
          <w:t>la Trafic</w:t>
        </w:r>
      </w:smartTag>
      <w:r>
        <w:t xml:space="preserve"> a </w:t>
      </w:r>
      <w:smartTag w:uri="urn:schemas-microsoft-com:office:smarttags" w:element="PersonName">
        <w:smartTagPr>
          <w:attr w:name="ProductID" w:val="la Brigada"/>
        </w:smartTagPr>
        <w:r>
          <w:t>la Br</w:t>
        </w:r>
        <w:r>
          <w:t>i</w:t>
        </w:r>
        <w:r>
          <w:t>gada</w:t>
        </w:r>
      </w:smartTag>
      <w:r>
        <w:t xml:space="preserve"> de Vicente López, toda vez que sabía que debía din</w:t>
      </w:r>
      <w:r>
        <w:t>e</w:t>
      </w:r>
      <w:r>
        <w:t>ro, pero podía ser otra brigada la que fuera a cobrarlo. Indicó que después no hizo nada más al respecto y continuó con sus activid</w:t>
      </w:r>
      <w:r>
        <w:t>a</w:t>
      </w:r>
      <w:r>
        <w:t>des.</w:t>
      </w:r>
    </w:p>
    <w:p w:rsidR="00224567" w:rsidRDefault="00224567">
      <w:pPr>
        <w:widowControl w:val="0"/>
      </w:pPr>
      <w:r>
        <w:tab/>
        <w:t>Arguyó que, si bien no creía que en San José viviera Ramón Martínez, era posible que la cami</w:t>
      </w:r>
      <w:r>
        <w:t>o</w:t>
      </w:r>
      <w:r>
        <w:t>neta estuviera en manos de otro suj</w:t>
      </w:r>
      <w:r>
        <w:t>e</w:t>
      </w:r>
      <w:r>
        <w:t>to, que hubiera puesto ese domicilio. Basó su postura en que podría haber pasado lo mismo que con la moto, puesto que en ocasiones recibían bienes que luego transferían a nombre de otras personas. En el caso concreto, estimó que podrían haber pasado la camioneta a nombre de Martínez y que éste viviera en San José, por lo que concurrió al lugar esperando e</w:t>
      </w:r>
      <w:r>
        <w:t>n</w:t>
      </w:r>
      <w:r>
        <w:t>contrar a alguien.</w:t>
      </w:r>
    </w:p>
    <w:p w:rsidR="00224567" w:rsidRDefault="00224567">
      <w:pPr>
        <w:widowControl w:val="0"/>
      </w:pPr>
      <w:r>
        <w:tab/>
        <w:t>En definitiva, aseveró que concurri</w:t>
      </w:r>
      <w:r>
        <w:t>e</w:t>
      </w:r>
      <w:r>
        <w:t>ron a efectos de llevar los formularios “</w:t>
      </w:r>
      <w:smartTag w:uri="urn:schemas-microsoft-com:office:smarttags" w:element="metricconverter">
        <w:smartTagPr>
          <w:attr w:name="ProductID" w:val="08”"/>
        </w:smartTagPr>
        <w:r>
          <w:t>08”</w:t>
        </w:r>
      </w:smartTag>
      <w:r>
        <w:t xml:space="preserve"> para te</w:t>
      </w:r>
      <w:r>
        <w:t>r</w:t>
      </w:r>
      <w:r>
        <w:t>minar la operación, ya que de lo contrario la camioneta carecía de valor. En tal sentido, explicó que el 4 de abril Sem</w:t>
      </w:r>
      <w:r>
        <w:t>o</w:t>
      </w:r>
      <w:r>
        <w:t>rile le hizo firmar un papel en blanco en una causa por homicidio en una sodería –a cuyos imputados desconocía- como garantía por la deuda pendiente y por ese motivo deseaba terminar con el pago. Adunó que, conforme el ab</w:t>
      </w:r>
      <w:r>
        <w:t>o</w:t>
      </w:r>
      <w:r>
        <w:t>gado, adeudaba USD 20.000 ó 25.000, pero no le otorgaron plazo alg</w:t>
      </w:r>
      <w:r>
        <w:t>u</w:t>
      </w:r>
      <w:r>
        <w:t>no para efectivizarlo.</w:t>
      </w:r>
    </w:p>
    <w:p w:rsidR="00224567" w:rsidRDefault="00224567">
      <w:pPr>
        <w:pStyle w:val="Textoindependiente2"/>
        <w:widowControl w:val="0"/>
        <w:rPr>
          <w:rFonts w:ascii="Courier New" w:hAnsi="Courier New" w:cs="Courier New"/>
          <w:lang w:val="es-AR"/>
        </w:rPr>
      </w:pPr>
      <w:r>
        <w:rPr>
          <w:rFonts w:ascii="Courier New" w:hAnsi="Courier New" w:cs="Courier New"/>
        </w:rPr>
        <w:tab/>
        <w:t>Negó haber prometido a Nitzcaner un Renault 12 y un jeep para que dijese que la camioneta t</w:t>
      </w:r>
      <w:r>
        <w:rPr>
          <w:rFonts w:ascii="Courier New" w:hAnsi="Courier New" w:cs="Courier New"/>
        </w:rPr>
        <w:t>e</w:t>
      </w:r>
      <w:r>
        <w:rPr>
          <w:rFonts w:ascii="Courier New" w:hAnsi="Courier New" w:cs="Courier New"/>
        </w:rPr>
        <w:t>nía puerta lateral, a la vez que argumentó que nunca tuvo un jeep en su poder. Además, agregó, no tenía se</w:t>
      </w:r>
      <w:r>
        <w:rPr>
          <w:rFonts w:ascii="Courier New" w:hAnsi="Courier New" w:cs="Courier New"/>
        </w:rPr>
        <w:t>n</w:t>
      </w:r>
      <w:r>
        <w:rPr>
          <w:rFonts w:ascii="Courier New" w:hAnsi="Courier New" w:cs="Courier New"/>
        </w:rPr>
        <w:t>tido ese pedido a Nitzcaner, por cuanto desde un primer momento d</w:t>
      </w:r>
      <w:r>
        <w:rPr>
          <w:rFonts w:ascii="Courier New" w:hAnsi="Courier New" w:cs="Courier New"/>
        </w:rPr>
        <w:t>e</w:t>
      </w:r>
      <w:r>
        <w:rPr>
          <w:rFonts w:ascii="Courier New" w:hAnsi="Courier New" w:cs="Courier New"/>
        </w:rPr>
        <w:t>claró la verdad acerca de cómo había cambiado la carroc</w:t>
      </w:r>
      <w:r>
        <w:rPr>
          <w:rFonts w:ascii="Courier New" w:hAnsi="Courier New" w:cs="Courier New"/>
        </w:rPr>
        <w:t>e</w:t>
      </w:r>
      <w:r>
        <w:rPr>
          <w:rFonts w:ascii="Courier New" w:hAnsi="Courier New" w:cs="Courier New"/>
        </w:rPr>
        <w:t>ría y puesto una sin puerta lateral. Relató, en ese sent</w:t>
      </w:r>
      <w:r>
        <w:rPr>
          <w:rFonts w:ascii="Courier New" w:hAnsi="Courier New" w:cs="Courier New"/>
        </w:rPr>
        <w:t>i</w:t>
      </w:r>
      <w:r>
        <w:rPr>
          <w:rFonts w:ascii="Courier New" w:hAnsi="Courier New" w:cs="Courier New"/>
        </w:rPr>
        <w:t xml:space="preserve">do, </w:t>
      </w:r>
      <w:r>
        <w:rPr>
          <w:rFonts w:ascii="Courier New" w:hAnsi="Courier New" w:cs="Courier New"/>
          <w:lang w:val="es-AR"/>
        </w:rPr>
        <w:t>que cuando estuvo detenido en el Departamento Prote</w:t>
      </w:r>
      <w:r>
        <w:rPr>
          <w:rFonts w:ascii="Courier New" w:hAnsi="Courier New" w:cs="Courier New"/>
          <w:lang w:val="es-AR"/>
        </w:rPr>
        <w:t>c</w:t>
      </w:r>
      <w:r>
        <w:rPr>
          <w:rFonts w:ascii="Courier New" w:hAnsi="Courier New" w:cs="Courier New"/>
          <w:lang w:val="es-AR"/>
        </w:rPr>
        <w:t>ción del Orden Constitucional (D.P.O.C.), les indicó a t</w:t>
      </w:r>
      <w:r>
        <w:rPr>
          <w:rFonts w:ascii="Courier New" w:hAnsi="Courier New" w:cs="Courier New"/>
          <w:lang w:val="es-AR"/>
        </w:rPr>
        <w:t>o</w:t>
      </w:r>
      <w:r>
        <w:rPr>
          <w:rFonts w:ascii="Courier New" w:hAnsi="Courier New" w:cs="Courier New"/>
          <w:lang w:val="es-AR"/>
        </w:rPr>
        <w:t>dos los mecánicos que dijeran la verdad, porque pensaba reconocer el tema automotor.</w:t>
      </w:r>
    </w:p>
    <w:p w:rsidR="00224567" w:rsidRDefault="00224567">
      <w:pPr>
        <w:widowControl w:val="0"/>
      </w:pPr>
      <w:r>
        <w:tab/>
        <w:t>Narró que en ocasión en que Hugo P</w:t>
      </w:r>
      <w:r>
        <w:t>é</w:t>
      </w:r>
      <w:r>
        <w:t>rez trasladaba al desarmadero de Agüero una carrocería sin m</w:t>
      </w:r>
      <w:r>
        <w:t>o</w:t>
      </w:r>
      <w:r>
        <w:t>tor, es decir, la siniestrada legal de la camioneta que vendiera a Toretta, por la ruta ocho con una grúa, ésta sufrió un desperfecto y el nombrado dejó la carrocería e</w:t>
      </w:r>
      <w:r>
        <w:t>s</w:t>
      </w:r>
      <w:r>
        <w:t>tacionada sobre la ruta, frente al desarmadero de un ind</w:t>
      </w:r>
      <w:r>
        <w:t>i</w:t>
      </w:r>
      <w:r>
        <w:t>viduo al que llamaban “Sapito” Cu</w:t>
      </w:r>
      <w:r>
        <w:t>e</w:t>
      </w:r>
      <w:r>
        <w:t>llo. Que Cuello llamó a la comisaría de José C. Paz, procediéndose al secuestro del rodado y, unas horas después, Monjo lo llamó al cel</w:t>
      </w:r>
      <w:r>
        <w:t>u</w:t>
      </w:r>
      <w:r>
        <w:t>lar, informándole que el comis</w:t>
      </w:r>
      <w:r>
        <w:t>a</w:t>
      </w:r>
      <w:r>
        <w:t>rio exigía cinco mil pesos o dólares para retirarla, toda vez que la camioneta le r</w:t>
      </w:r>
      <w:r>
        <w:t>e</w:t>
      </w:r>
      <w:r>
        <w:t>sultaba sospechosa por carecer de motor. En otro pasaje, afirmó que el llamado de Monjo se produjo al día siguie</w:t>
      </w:r>
      <w:r>
        <w:t>n</w:t>
      </w:r>
      <w:r>
        <w:t>te, a las 11 ó 12 del mediodía. Que como Pérez era el t</w:t>
      </w:r>
      <w:r>
        <w:t>i</w:t>
      </w:r>
      <w:r>
        <w:t>tular, lo envió a la comisaría, junto con Diego Barreda y el dinero, logrando el policía retirar el vehículo en h</w:t>
      </w:r>
      <w:r>
        <w:t>o</w:t>
      </w:r>
      <w:r>
        <w:t>ras de la noche, a cambio de USD 3000 y trasladándolo f</w:t>
      </w:r>
      <w:r>
        <w:t>i</w:t>
      </w:r>
      <w:r>
        <w:t>nalmente al d</w:t>
      </w:r>
      <w:r>
        <w:t>e</w:t>
      </w:r>
      <w:r>
        <w:t>sarmadero de Agüero, ubicado a una cuadra y media aproximadame</w:t>
      </w:r>
      <w:r>
        <w:t>n</w:t>
      </w:r>
      <w:r>
        <w:t>te.</w:t>
      </w:r>
    </w:p>
    <w:p w:rsidR="00224567" w:rsidRDefault="00224567">
      <w:pPr>
        <w:widowControl w:val="0"/>
      </w:pPr>
      <w:r>
        <w:tab/>
        <w:t>Con relación a Hugo Pérez, relató que trabajaba de alb</w:t>
      </w:r>
      <w:r>
        <w:t>a</w:t>
      </w:r>
      <w:r>
        <w:t>ñil y era encargado de obra en el country “Mapuche”, habiéndole hecho el favor de trasladar el ut</w:t>
      </w:r>
      <w:r>
        <w:t>i</w:t>
      </w:r>
      <w:r>
        <w:t>litario.</w:t>
      </w:r>
    </w:p>
    <w:p w:rsidR="00224567" w:rsidRDefault="00224567">
      <w:pPr>
        <w:pStyle w:val="Textoindependiente2"/>
        <w:widowControl w:val="0"/>
        <w:rPr>
          <w:rFonts w:ascii="Courier New" w:hAnsi="Courier New" w:cs="Courier New"/>
        </w:rPr>
      </w:pPr>
      <w:r>
        <w:rPr>
          <w:rFonts w:ascii="Courier New" w:hAnsi="Courier New" w:cs="Courier New"/>
          <w:lang w:val="es-AR"/>
        </w:rPr>
        <w:tab/>
        <w:t>En orden a las actividades que des</w:t>
      </w:r>
      <w:r>
        <w:rPr>
          <w:rFonts w:ascii="Courier New" w:hAnsi="Courier New" w:cs="Courier New"/>
          <w:lang w:val="es-AR"/>
        </w:rPr>
        <w:t>a</w:t>
      </w:r>
      <w:r>
        <w:rPr>
          <w:rFonts w:ascii="Courier New" w:hAnsi="Courier New" w:cs="Courier New"/>
          <w:lang w:val="es-AR"/>
        </w:rPr>
        <w:t xml:space="preserve">rrollara el día del atentado, </w:t>
      </w:r>
      <w:r>
        <w:rPr>
          <w:rFonts w:ascii="Courier New" w:hAnsi="Courier New" w:cs="Courier New"/>
        </w:rPr>
        <w:t>Telleldín se remitió a lo que ya declarara, recalcando que en ese momento tenía e</w:t>
      </w:r>
      <w:r>
        <w:rPr>
          <w:rFonts w:ascii="Courier New" w:hAnsi="Courier New" w:cs="Courier New"/>
        </w:rPr>
        <w:t>n</w:t>
      </w:r>
      <w:r>
        <w:rPr>
          <w:rFonts w:ascii="Courier New" w:hAnsi="Courier New" w:cs="Courier New"/>
        </w:rPr>
        <w:t>tre sus preocupaciones mudarse y conseguir un t</w:t>
      </w:r>
      <w:r>
        <w:rPr>
          <w:rFonts w:ascii="Courier New" w:hAnsi="Courier New" w:cs="Courier New"/>
        </w:rPr>
        <w:t>a</w:t>
      </w:r>
      <w:r>
        <w:rPr>
          <w:rFonts w:ascii="Courier New" w:hAnsi="Courier New" w:cs="Courier New"/>
        </w:rPr>
        <w:t>ller para continuar con su actividad. Señaló que ese día su mujer regresó de la panadería y le informó sobre el s</w:t>
      </w:r>
      <w:r>
        <w:rPr>
          <w:rFonts w:ascii="Courier New" w:hAnsi="Courier New" w:cs="Courier New"/>
        </w:rPr>
        <w:t>u</w:t>
      </w:r>
      <w:r>
        <w:rPr>
          <w:rFonts w:ascii="Courier New" w:hAnsi="Courier New" w:cs="Courier New"/>
        </w:rPr>
        <w:t>ceso.</w:t>
      </w:r>
    </w:p>
    <w:p w:rsidR="00224567" w:rsidRDefault="00224567">
      <w:pPr>
        <w:widowControl w:val="0"/>
      </w:pPr>
      <w:r>
        <w:tab/>
        <w:t>Aclaró que se mudaba cada seis o si</w:t>
      </w:r>
      <w:r>
        <w:t>e</w:t>
      </w:r>
      <w:r>
        <w:t>te meses, por cuanto sus problemas no le dejaban otra alte</w:t>
      </w:r>
      <w:r>
        <w:t>r</w:t>
      </w:r>
      <w:r>
        <w:t>nativa. Explicó que cuando residió en el barrio River s</w:t>
      </w:r>
      <w:r>
        <w:t>u</w:t>
      </w:r>
      <w:r>
        <w:t>frió cinco allanamientos porque compraba artículos de electrónica robados en Cabildo y Juramento y, a raíz de ello, se mudó a Ol</w:t>
      </w:r>
      <w:r>
        <w:t>i</w:t>
      </w:r>
      <w:r>
        <w:t>vos Golf, de donde se fue a los seis o siete meses. Admitió que el 18 de julio y los días previos estuvo busca</w:t>
      </w:r>
      <w:r>
        <w:t>n</w:t>
      </w:r>
      <w:r>
        <w:t>do vivienda.</w:t>
      </w:r>
    </w:p>
    <w:p w:rsidR="00224567" w:rsidRDefault="00224567">
      <w:pPr>
        <w:widowControl w:val="0"/>
      </w:pPr>
      <w:r>
        <w:tab/>
        <w:t>Manifestó que, según creía, supo que se había utilizado una Trafic para el atentado a los cu</w:t>
      </w:r>
      <w:r>
        <w:t>a</w:t>
      </w:r>
      <w:r>
        <w:t xml:space="preserve">tro o cinco días de acaecido, enterándose que se trataba de su camioneta cuando habló por teléfono con personal de </w:t>
      </w:r>
      <w:smartTag w:uri="urn:schemas-microsoft-com:office:smarttags" w:element="PersonName">
        <w:smartTagPr>
          <w:attr w:name="ProductID" w:val="la Secretar￭a"/>
        </w:smartTagPr>
        <w:r>
          <w:t>la Secretaría</w:t>
        </w:r>
      </w:smartTag>
      <w:r>
        <w:t xml:space="preserve"> de Inteligencia (S.I.D.E.), según creía el 27 de julio, a las 8.00.</w:t>
      </w:r>
    </w:p>
    <w:p w:rsidR="00224567" w:rsidRDefault="00224567">
      <w:pPr>
        <w:widowControl w:val="0"/>
      </w:pPr>
      <w:r>
        <w:tab/>
        <w:t>Asimismo, sostuvo que Barreda lo ll</w:t>
      </w:r>
      <w:r>
        <w:t>a</w:t>
      </w:r>
      <w:r>
        <w:t>mó y le preguntó si no habría sido su Trafic, respo</w:t>
      </w:r>
      <w:r>
        <w:t>n</w:t>
      </w:r>
      <w:r>
        <w:t>diéndole que no creía tener tanta mala suerte. Refirió que temía por su integridad física si se e</w:t>
      </w:r>
      <w:r>
        <w:t>n</w:t>
      </w:r>
      <w:r>
        <w:t>teraban que el motor del barco que había entregado en g</w:t>
      </w:r>
      <w:r>
        <w:t>a</w:t>
      </w:r>
      <w:r>
        <w:t>rantía no funcionaba porque estaba “clavado”. Del mismo modo, observó que Hugo Pérez lo oyó preguntarse frente al televisor si no sería su Tr</w:t>
      </w:r>
      <w:r>
        <w:t>a</w:t>
      </w:r>
      <w:r>
        <w:t>fic, lo que obedeció a que en esos meses tuvo tres cami</w:t>
      </w:r>
      <w:r>
        <w:t>o</w:t>
      </w:r>
      <w:r>
        <w:t>netas de ese modelo.</w:t>
      </w:r>
    </w:p>
    <w:p w:rsidR="00224567" w:rsidRDefault="00224567">
      <w:pPr>
        <w:pStyle w:val="Textoindependiente2"/>
        <w:widowControl w:val="0"/>
        <w:rPr>
          <w:rFonts w:ascii="Courier New" w:hAnsi="Courier New" w:cs="Courier New"/>
        </w:rPr>
      </w:pPr>
      <w:r>
        <w:rPr>
          <w:rFonts w:ascii="Courier New" w:hAnsi="Courier New" w:cs="Courier New"/>
          <w:bCs/>
        </w:rPr>
        <w:tab/>
      </w:r>
      <w:r>
        <w:rPr>
          <w:rFonts w:ascii="Courier New" w:hAnsi="Courier New" w:cs="Courier New"/>
        </w:rPr>
        <w:t>Al reproducirse la escucha del 14 de agosto de 1995, obrante en el casete nº 23 del abonado 787-4807, reconoció su voz y la de Ana Boragni. Explicó que en la conversación su esposa se refirió a un epis</w:t>
      </w:r>
      <w:r>
        <w:rPr>
          <w:rFonts w:ascii="Courier New" w:hAnsi="Courier New" w:cs="Courier New"/>
        </w:rPr>
        <w:t>o</w:t>
      </w:r>
      <w:r>
        <w:rPr>
          <w:rFonts w:ascii="Courier New" w:hAnsi="Courier New" w:cs="Courier New"/>
        </w:rPr>
        <w:t>dio con Naldi -éste concurrió a su departamento, pero no lo atendió-, ante lo cual le indicó no hablar con nadie “de la provincia”, porque ya había sufrido un a</w:t>
      </w:r>
      <w:r>
        <w:rPr>
          <w:rFonts w:ascii="Courier New" w:hAnsi="Courier New" w:cs="Courier New"/>
        </w:rPr>
        <w:t>c</w:t>
      </w:r>
      <w:r>
        <w:rPr>
          <w:rFonts w:ascii="Courier New" w:hAnsi="Courier New" w:cs="Courier New"/>
        </w:rPr>
        <w:t>cidente en que la llevó por delante un automóvil y habían amen</w:t>
      </w:r>
      <w:r>
        <w:rPr>
          <w:rFonts w:ascii="Courier New" w:hAnsi="Courier New" w:cs="Courier New"/>
        </w:rPr>
        <w:t>a</w:t>
      </w:r>
      <w:r>
        <w:rPr>
          <w:rFonts w:ascii="Courier New" w:hAnsi="Courier New" w:cs="Courier New"/>
        </w:rPr>
        <w:t>zado a sus vecinos de Villa Ballester. Añadió que eso provocó su m</w:t>
      </w:r>
      <w:r>
        <w:rPr>
          <w:rFonts w:ascii="Courier New" w:hAnsi="Courier New" w:cs="Courier New"/>
        </w:rPr>
        <w:t>u</w:t>
      </w:r>
      <w:r>
        <w:rPr>
          <w:rFonts w:ascii="Courier New" w:hAnsi="Courier New" w:cs="Courier New"/>
        </w:rPr>
        <w:t>danza: primero a un depart</w:t>
      </w:r>
      <w:r>
        <w:rPr>
          <w:rFonts w:ascii="Courier New" w:hAnsi="Courier New" w:cs="Courier New"/>
        </w:rPr>
        <w:t>a</w:t>
      </w:r>
      <w:r>
        <w:rPr>
          <w:rFonts w:ascii="Courier New" w:hAnsi="Courier New" w:cs="Courier New"/>
        </w:rPr>
        <w:t>mento en Sáenz Peña y luego al de Roosevelt, hasta que lo remat</w:t>
      </w:r>
      <w:r>
        <w:rPr>
          <w:rFonts w:ascii="Courier New" w:hAnsi="Courier New" w:cs="Courier New"/>
        </w:rPr>
        <w:t>a</w:t>
      </w:r>
      <w:r>
        <w:rPr>
          <w:rFonts w:ascii="Courier New" w:hAnsi="Courier New" w:cs="Courier New"/>
        </w:rPr>
        <w:t>ron en 1995.</w:t>
      </w:r>
    </w:p>
    <w:p w:rsidR="00224567" w:rsidRDefault="00224567">
      <w:pPr>
        <w:widowControl w:val="0"/>
      </w:pPr>
      <w:r>
        <w:tab/>
        <w:t>También aclaró que en esa misma esc</w:t>
      </w:r>
      <w:r>
        <w:t>u</w:t>
      </w:r>
      <w:r>
        <w:t>cha, al mencionar al fletero que llevó la moto a Lanús, aludía a “Cacho” Setaro, quien, según creía, había fall</w:t>
      </w:r>
      <w:r>
        <w:t>e</w:t>
      </w:r>
      <w:r>
        <w:t>cido. Al nombrado lo conoció cuando vivía frente a la casa de su hermano y le prestó muchos se</w:t>
      </w:r>
      <w:r>
        <w:t>r</w:t>
      </w:r>
      <w:r>
        <w:t>vicios.</w:t>
      </w:r>
    </w:p>
    <w:p w:rsidR="00224567" w:rsidRDefault="00224567">
      <w:pPr>
        <w:pStyle w:val="Textoindependiente"/>
        <w:spacing w:line="600" w:lineRule="auto"/>
      </w:pPr>
      <w:r>
        <w:tab/>
      </w:r>
      <w:r>
        <w:tab/>
        <w:t>Además, reconoció como propias dos agendas que se le exhibieron. Al respecto, Telleldín info</w:t>
      </w:r>
      <w:r>
        <w:t>r</w:t>
      </w:r>
      <w:r>
        <w:t>mó que Gustavo Conti, cuyo teléfono figuraba allí inscri</w:t>
      </w:r>
      <w:r>
        <w:t>p</w:t>
      </w:r>
      <w:r>
        <w:t>to, era el encargado de Silvio Oltra y uno de los motivos por el que se extravió su agenda electrón</w:t>
      </w:r>
      <w:r>
        <w:t>i</w:t>
      </w:r>
      <w:r>
        <w:t>ca.</w:t>
      </w:r>
    </w:p>
    <w:p w:rsidR="00224567" w:rsidRDefault="00224567">
      <w:pPr>
        <w:pStyle w:val="Textoindependiente"/>
        <w:spacing w:line="600" w:lineRule="auto"/>
      </w:pPr>
      <w:r>
        <w:tab/>
      </w:r>
      <w:r>
        <w:tab/>
        <w:t>Aclaró que una de las agendas era de 1991 ó 1992, puesto que figuraban los gastos de los d</w:t>
      </w:r>
      <w:r>
        <w:t>ú</w:t>
      </w:r>
      <w:r>
        <w:t>plex que se estaban construyendo, televisores e importación de motos de Chile a Mendoza. Desconoció haber insertado dete</w:t>
      </w:r>
      <w:r>
        <w:t>r</w:t>
      </w:r>
      <w:r>
        <w:t>minadas inscripciones en una de las agendas, como ser “R</w:t>
      </w:r>
      <w:r>
        <w:t>i</w:t>
      </w:r>
      <w:r>
        <w:t>cardo...”, “Leo Valenzuela”, “T</w:t>
      </w:r>
      <w:r>
        <w:t>o</w:t>
      </w:r>
      <w:r>
        <w:t>rrisi” o “Sandra te amo”.</w:t>
      </w:r>
    </w:p>
    <w:p w:rsidR="00224567" w:rsidRDefault="00224567">
      <w:pPr>
        <w:widowControl w:val="0"/>
      </w:pPr>
      <w:r>
        <w:tab/>
        <w:t>Advirtió Telleldín que era investig</w:t>
      </w:r>
      <w:r>
        <w:t>a</w:t>
      </w:r>
      <w:r>
        <w:t>do por distintas brigadas, pero no podía determinar cuáles; según le pareció, “le hizo intelige</w:t>
      </w:r>
      <w:r>
        <w:t>n</w:t>
      </w:r>
      <w:r>
        <w:t xml:space="preserve">cia” un Fiat 128 de </w:t>
      </w:r>
      <w:smartTag w:uri="urn:schemas-microsoft-com:office:smarttags" w:element="PersonName">
        <w:smartTagPr>
          <w:attr w:name="ProductID" w:val="la Comisar￭a"/>
        </w:smartTagPr>
        <w:r>
          <w:t>la Comisaría</w:t>
        </w:r>
      </w:smartTag>
      <w:r>
        <w:t xml:space="preserve"> de Concepción, de lo que le avisó la pel</w:t>
      </w:r>
      <w:r>
        <w:t>e</w:t>
      </w:r>
      <w:r>
        <w:t>tera.</w:t>
      </w:r>
    </w:p>
    <w:p w:rsidR="00224567" w:rsidRDefault="00224567">
      <w:pPr>
        <w:widowControl w:val="0"/>
      </w:pPr>
      <w:r>
        <w:tab/>
        <w:t xml:space="preserve">Afirmó </w:t>
      </w:r>
      <w:r>
        <w:rPr>
          <w:bCs/>
        </w:rPr>
        <w:t>que vio a Ribelli una sola vez en su vida, pero no tuvieron trato, ni amistad y, antes del episodio de abril, no lo conocía. Que, salvo a B</w:t>
      </w:r>
      <w:r>
        <w:rPr>
          <w:bCs/>
        </w:rPr>
        <w:t>a</w:t>
      </w:r>
      <w:r>
        <w:rPr>
          <w:bCs/>
        </w:rPr>
        <w:t xml:space="preserve">rreda y Bareiro, prácticamente no conocía a sus restantes coimputados. En particular, señaló que </w:t>
      </w:r>
      <w:r>
        <w:t>vio por pr</w:t>
      </w:r>
      <w:r>
        <w:t>i</w:t>
      </w:r>
      <w:r>
        <w:t>mera vez al comisario Burguete en la audiencia de debate. Asimismo, negó haber visto a Ribelli, Leal o Ibarra en depende</w:t>
      </w:r>
      <w:r>
        <w:t>n</w:t>
      </w:r>
      <w:r>
        <w:t>cias del D.P.O.C..</w:t>
      </w:r>
    </w:p>
    <w:p w:rsidR="00224567" w:rsidRDefault="00224567">
      <w:pPr>
        <w:widowControl w:val="0"/>
      </w:pPr>
      <w:r>
        <w:tab/>
        <w:t>Con respecto a Bareiro, sostuvo que si bien no tenían un trato asiduo, un viernes lo visitó junto con Virginia Morri, alias “Vicky”, con quien ma</w:t>
      </w:r>
      <w:r>
        <w:t>n</w:t>
      </w:r>
      <w:r>
        <w:t>tenía una relación sentimental extramatr</w:t>
      </w:r>
      <w:r>
        <w:t>i</w:t>
      </w:r>
      <w:r>
        <w:t>monial. Adunó que mientras estuvo detenido en el D.P.O.C. fue visitado por la nombr</w:t>
      </w:r>
      <w:r>
        <w:t>a</w:t>
      </w:r>
      <w:r>
        <w:t xml:space="preserve">da. Además, hizo saber que Barreda y Bareiro trabajaron para </w:t>
      </w:r>
      <w:smartTag w:uri="urn:schemas-microsoft-com:office:smarttags" w:element="PersonName">
        <w:smartTagPr>
          <w:attr w:name="ProductID" w:val="la S.I"/>
        </w:smartTagPr>
        <w:r>
          <w:t>la S.I</w:t>
        </w:r>
      </w:smartTag>
      <w:r>
        <w:t>.D.E.</w:t>
      </w:r>
    </w:p>
    <w:p w:rsidR="00224567" w:rsidRDefault="00224567">
      <w:pPr>
        <w:pStyle w:val="Textoindependiente2"/>
        <w:widowControl w:val="0"/>
        <w:rPr>
          <w:rFonts w:ascii="Courier New" w:hAnsi="Courier New" w:cs="Courier New"/>
        </w:rPr>
      </w:pPr>
      <w:r>
        <w:rPr>
          <w:rFonts w:ascii="Courier New" w:hAnsi="Courier New" w:cs="Courier New"/>
        </w:rPr>
        <w:tab/>
        <w:t>Negó haber hablado por teléfono con Leal el 15 de julio, a la vez que afirmó que en realidad nunca se comunicaron telefónicamente. Acl</w:t>
      </w:r>
      <w:r>
        <w:rPr>
          <w:rFonts w:ascii="Courier New" w:hAnsi="Courier New" w:cs="Courier New"/>
        </w:rPr>
        <w:t>a</w:t>
      </w:r>
      <w:r>
        <w:rPr>
          <w:rFonts w:ascii="Courier New" w:hAnsi="Courier New" w:cs="Courier New"/>
        </w:rPr>
        <w:t>ró que fuera de los integrantes de su familia, el teléfono de su casa era utilizado por Barreda, Bareiro, Pérez, Pérez Mejías y Cruz, aunque el último hacía varias semanas que vivía en Quilmes.</w:t>
      </w:r>
    </w:p>
    <w:p w:rsidR="00224567" w:rsidRDefault="00224567">
      <w:pPr>
        <w:widowControl w:val="0"/>
      </w:pPr>
      <w:r>
        <w:tab/>
        <w:t>Del mismo modo, negó conocer o haber mantenido trato telefónico con el subcomisario Rago. Raz</w:t>
      </w:r>
      <w:r>
        <w:t>o</w:t>
      </w:r>
      <w:r>
        <w:t>nó que si existían llamados de Rago a su domicilio, prob</w:t>
      </w:r>
      <w:r>
        <w:t>a</w:t>
      </w:r>
      <w:r>
        <w:t>blemente obedecían a conversaciones con Barreda o Bare</w:t>
      </w:r>
      <w:r>
        <w:t>i</w:t>
      </w:r>
      <w:r>
        <w:t xml:space="preserve">ro y puntualizó que luego de su detención, en su domicilio estuvieron instalados </w:t>
      </w:r>
      <w:smartTag w:uri="urn:schemas-microsoft-com:office:smarttags" w:element="PersonName">
        <w:smartTagPr>
          <w:attr w:name="ProductID" w:val="la Polic￭a Federal"/>
        </w:smartTagPr>
        <w:r>
          <w:t>la Policía Federal</w:t>
        </w:r>
      </w:smartTag>
      <w:r>
        <w:t xml:space="preserve">, </w:t>
      </w:r>
      <w:smartTag w:uri="urn:schemas-microsoft-com:office:smarttags" w:element="PersonName">
        <w:smartTagPr>
          <w:attr w:name="ProductID" w:val="la S.I"/>
        </w:smartTagPr>
        <w:r>
          <w:t>la S.I</w:t>
        </w:r>
      </w:smartTag>
      <w:r>
        <w:t>.D.E., B</w:t>
      </w:r>
      <w:r>
        <w:t>a</w:t>
      </w:r>
      <w:r>
        <w:t>rreda, Bareiro y el F.B.I. y todos usaban el teléf</w:t>
      </w:r>
      <w:r>
        <w:t>o</w:t>
      </w:r>
      <w:r>
        <w:t>no.</w:t>
      </w:r>
    </w:p>
    <w:p w:rsidR="00224567" w:rsidRDefault="00224567">
      <w:pPr>
        <w:pStyle w:val="Textoindependiente"/>
        <w:spacing w:line="600" w:lineRule="auto"/>
      </w:pPr>
      <w:r>
        <w:tab/>
      </w:r>
      <w:r>
        <w:tab/>
        <w:t>Por otra parte, dijo que no conocía a Rosauro Valdez, aunque no descartó haberlo visto. En igual sentido se pronunció respecto de Ionno, el com</w:t>
      </w:r>
      <w:r>
        <w:t>i</w:t>
      </w:r>
      <w:r>
        <w:t>sario Ojeda, Abel Brahim Alí, Gabriel Fernando Scill</w:t>
      </w:r>
      <w:r>
        <w:t>o</w:t>
      </w:r>
      <w:r>
        <w:t>ne, Daniel Alberto Marcatini, Oscar Aristides Santos, Pablo Barg y un galpón llamado “Grace Gordon” o similar, con teléf</w:t>
      </w:r>
      <w:r>
        <w:t>o</w:t>
      </w:r>
      <w:r>
        <w:t>no 471-0719.</w:t>
      </w:r>
    </w:p>
    <w:p w:rsidR="00224567" w:rsidRDefault="00224567">
      <w:pPr>
        <w:pStyle w:val="Textoindependiente"/>
        <w:spacing w:line="600" w:lineRule="auto"/>
        <w:ind w:right="20"/>
      </w:pPr>
      <w:r>
        <w:tab/>
      </w:r>
      <w:r>
        <w:tab/>
        <w:t>Asimismo, negó conocer o haber hablado con Alberto Kanoore Edul. Alegó que el 10 de julio, luego de las 14, aproximadamente, salió con su esposa y, al r</w:t>
      </w:r>
      <w:r>
        <w:t>e</w:t>
      </w:r>
      <w:r>
        <w:t>gresar, en la cinta del contestador automático estaba la voz del nombrado, habiéndose extraviado el casete en el D.P.O.C..</w:t>
      </w:r>
    </w:p>
    <w:p w:rsidR="00224567" w:rsidRDefault="00224567">
      <w:pPr>
        <w:widowControl w:val="0"/>
      </w:pPr>
      <w:r>
        <w:tab/>
        <w:t>También manifestó no conocer a Ví</w:t>
      </w:r>
      <w:r>
        <w:t>c</w:t>
      </w:r>
      <w:r>
        <w:t>tor Chabán o a algún policía que para esa época prestara se</w:t>
      </w:r>
      <w:r>
        <w:t>r</w:t>
      </w:r>
      <w:r>
        <w:t xml:space="preserve">vicios en </w:t>
      </w:r>
      <w:smartTag w:uri="urn:schemas-microsoft-com:office:smarttags" w:element="PersonName">
        <w:smartTagPr>
          <w:attr w:name="ProductID" w:val="la Comisar￭a"/>
        </w:smartTagPr>
        <w:r>
          <w:t>la Comisaría</w:t>
        </w:r>
      </w:smartTag>
      <w:r>
        <w:t xml:space="preserve"> de Santos Lugares, a la vez que a</w:t>
      </w:r>
      <w:r>
        <w:t>r</w:t>
      </w:r>
      <w:r>
        <w:t>gumentó que los llamados telefónicos desde su domicilio hacia Santos Lugares fueron efectuados cuando Barreda y Bareiro estuvi</w:t>
      </w:r>
      <w:r>
        <w:t>e</w:t>
      </w:r>
      <w:r>
        <w:t>ron allí instalados. Agregó que ignoraba el origen de llamados anteriores, efectuados a su domicilio desde Santos Lugares, puesto que no conocía a n</w:t>
      </w:r>
      <w:r>
        <w:t>a</w:t>
      </w:r>
      <w:r>
        <w:t>die allí.</w:t>
      </w:r>
    </w:p>
    <w:p w:rsidR="00224567" w:rsidRDefault="00224567">
      <w:pPr>
        <w:widowControl w:val="0"/>
      </w:pPr>
      <w:r>
        <w:tab/>
        <w:t>Con relación al hecho del 14 de j</w:t>
      </w:r>
      <w:r>
        <w:t>u</w:t>
      </w:r>
      <w:r>
        <w:t>lio, confirmó que en esa fecha tuvo lugar el ep</w:t>
      </w:r>
      <w:r>
        <w:t>i</w:t>
      </w:r>
      <w:r>
        <w:t>sodio relatado por su coimputado Leal, habiendo sido perseguido por pol</w:t>
      </w:r>
      <w:r>
        <w:t>i</w:t>
      </w:r>
      <w:r>
        <w:t xml:space="preserve">cías integrantes de </w:t>
      </w:r>
      <w:smartTag w:uri="urn:schemas-microsoft-com:office:smarttags" w:element="PersonName">
        <w:smartTagPr>
          <w:attr w:name="ProductID" w:val="la Brigada"/>
        </w:smartTagPr>
        <w:r>
          <w:t>la Brigada</w:t>
        </w:r>
      </w:smartTag>
      <w:r>
        <w:t xml:space="preserve"> de Vicente López, toda vez que en su cochera tenía un automóvil Renault 9 robado. Ese día, refirió, arribó de Córdoba, según creía a la m</w:t>
      </w:r>
      <w:r>
        <w:t>a</w:t>
      </w:r>
      <w:r>
        <w:t>ñana, y fue a comprar los vidrios para el vehículo a una casa de cristales de la zona de Munro, prácticamente Florida, ya que los que poseía llevaban marcado el número de patente. Estimó que a las 14.00 ó 15.00 retornó a su domicilio, b</w:t>
      </w:r>
      <w:r>
        <w:t>a</w:t>
      </w:r>
      <w:r>
        <w:t>jó los vidrios y dejó su automóvil en la vereda. Agregó que un flete llevó el motor siniestrado y lo col</w:t>
      </w:r>
      <w:r>
        <w:t>o</w:t>
      </w:r>
      <w:r>
        <w:t>caron en la cochera de su domic</w:t>
      </w:r>
      <w:r>
        <w:t>i</w:t>
      </w:r>
      <w:r>
        <w:t>lio.</w:t>
      </w:r>
    </w:p>
    <w:p w:rsidR="00224567" w:rsidRDefault="00224567">
      <w:pPr>
        <w:widowControl w:val="0"/>
      </w:pPr>
      <w:r>
        <w:tab/>
        <w:t>Asimismo, señaló que, según creía de</w:t>
      </w:r>
      <w:r>
        <w:t>s</w:t>
      </w:r>
      <w:r>
        <w:t>pués del arribo del flete y al ir a buscar los cri</w:t>
      </w:r>
      <w:r>
        <w:t>s</w:t>
      </w:r>
      <w:r>
        <w:t>tales, observó estacionado cerca de su vivienda un a</w:t>
      </w:r>
      <w:r>
        <w:t>u</w:t>
      </w:r>
      <w:r>
        <w:t xml:space="preserve">tomóvil 128 de </w:t>
      </w:r>
      <w:smartTag w:uri="urn:schemas-microsoft-com:office:smarttags" w:element="PersonName">
        <w:smartTagPr>
          <w:attr w:name="ProductID" w:val="la Comisar￭a"/>
        </w:smartTagPr>
        <w:r>
          <w:t>la Comisaría</w:t>
        </w:r>
      </w:smartTag>
      <w:r>
        <w:t xml:space="preserve"> de Villa Conce</w:t>
      </w:r>
      <w:r>
        <w:t>p</w:t>
      </w:r>
      <w:r>
        <w:t>ción, que estaba de manera permanente y del que le había advertido la peletera en v</w:t>
      </w:r>
      <w:r>
        <w:t>a</w:t>
      </w:r>
      <w:r>
        <w:t>rias oportunidades, como así también un Galaxy oscuro y otros vehículos, que no recordó. En otro pasaje, afirmó que al arribar a su domicilio de comprar los cristales n</w:t>
      </w:r>
      <w:r>
        <w:t>o</w:t>
      </w:r>
      <w:r>
        <w:t>tó vigilancia a una cuadra aproximad</w:t>
      </w:r>
      <w:r>
        <w:t>a</w:t>
      </w:r>
      <w:r>
        <w:t>mente.</w:t>
      </w:r>
    </w:p>
    <w:p w:rsidR="00224567" w:rsidRDefault="00224567">
      <w:pPr>
        <w:widowControl w:val="0"/>
      </w:pPr>
      <w:r>
        <w:tab/>
        <w:t xml:space="preserve">Con relación al 128, refirió que se hallaba frente al dispensario, a unos </w:t>
      </w:r>
      <w:smartTag w:uri="urn:schemas-microsoft-com:office:smarttags" w:element="metricconverter">
        <w:smartTagPr>
          <w:attr w:name="ProductID" w:val="150 m"/>
        </w:smartTagPr>
        <w:r>
          <w:t>150 m</w:t>
        </w:r>
      </w:smartTag>
      <w:r>
        <w:t>, es decir, una cuadra atrás, a la altura de una garita. No pudo precisar si el Galaxy era un vehículo pol</w:t>
      </w:r>
      <w:r>
        <w:t>i</w:t>
      </w:r>
      <w:r>
        <w:t>cial, pero sostuvo que lo había visto previamente, el 10 de julio, y se remitió a sus declaraciones anteriores con relación a lo explicado sobre el Galaxy azul con reflect</w:t>
      </w:r>
      <w:r>
        <w:t>o</w:t>
      </w:r>
      <w:r>
        <w:t>res.</w:t>
      </w:r>
    </w:p>
    <w:p w:rsidR="00224567" w:rsidRDefault="00224567">
      <w:pPr>
        <w:pStyle w:val="Sangra3detindependiente"/>
        <w:widowControl w:val="0"/>
        <w:spacing w:line="600" w:lineRule="auto"/>
        <w:ind w:firstLine="0"/>
      </w:pPr>
      <w:r>
        <w:tab/>
        <w:t>Al señalársele que en su declaración del 5 de julio de 1996 manifestó que el Galaxy o</w:t>
      </w:r>
      <w:r>
        <w:t>s</w:t>
      </w:r>
      <w:r>
        <w:t>curo que lo persiguió el 14 no era el azul que había visto el 10, reafirmó que, sin ninguna duda, se trataba del mismo vehículo en ambos casos. Adunó que el Galaxy tenía refle</w:t>
      </w:r>
      <w:r>
        <w:t>c</w:t>
      </w:r>
      <w:r>
        <w:t>tores, que vio durante la persecución y dedujo que si el vehículo cuyas fotografías obraban a fs. 47.439/47.440 t</w:t>
      </w:r>
      <w:r>
        <w:t>e</w:t>
      </w:r>
      <w:r>
        <w:t>nía reflectores en el mismo lugar, podía tratarse del r</w:t>
      </w:r>
      <w:r>
        <w:t>e</w:t>
      </w:r>
      <w:r>
        <w:t>ferido, toda vez que el color coincidía. Añadió que ta</w:t>
      </w:r>
      <w:r>
        <w:t>n</w:t>
      </w:r>
      <w:r>
        <w:t>to la peletera como otros vecinos le manifestaron que desde un Galaxy lo estaban vigilando, como así también le avis</w:t>
      </w:r>
      <w:r>
        <w:t>a</w:t>
      </w:r>
      <w:r>
        <w:t>ron que en marzo aproximadamente había un Falcon con pe</w:t>
      </w:r>
      <w:r>
        <w:t>r</w:t>
      </w:r>
      <w:r>
        <w:t>sonal de brigada, quienes comentaron que eran policías de otra jurisdicción y lo estaban investigando para det</w:t>
      </w:r>
      <w:r>
        <w:t>e</w:t>
      </w:r>
      <w:r>
        <w:t>ner; también acotó que la peletera le advirtió acerca del 128 rojo.</w:t>
      </w:r>
    </w:p>
    <w:p w:rsidR="00224567" w:rsidRDefault="00224567">
      <w:pPr>
        <w:widowControl w:val="0"/>
      </w:pPr>
      <w:r>
        <w:tab/>
        <w:t>En otro tramo, el acusado menci</w:t>
      </w:r>
      <w:r>
        <w:t>o</w:t>
      </w:r>
      <w:r>
        <w:t>nó un rodado Duna, a la vez que señaló que había visto tanto a ese automóvil, como al Galaxy, con a</w:t>
      </w:r>
      <w:r>
        <w:t>n</w:t>
      </w:r>
      <w:r>
        <w:t>terioridad, en una o dos oportunidades, aunque no quiso explayarse sobre el particular. Explicó que, aunque no estaba seguro, había otro Galaxy, puesto que su vecina la peletera le había avisado que un automóvil lo estaba siguiendo y, según ella, era un Galaxy de color oscuro. Supuso que estaban hablando del mismo r</w:t>
      </w:r>
      <w:r>
        <w:t>o</w:t>
      </w:r>
      <w:r>
        <w:t>dado.</w:t>
      </w:r>
    </w:p>
    <w:p w:rsidR="00224567" w:rsidRDefault="00224567">
      <w:pPr>
        <w:widowControl w:val="0"/>
      </w:pPr>
      <w:r>
        <w:tab/>
        <w:t>Destacó que luego de regresar con los cristales, salió con su mujer a bordo de un Renault 19, que antes de la esquina se le cruzó un Peugeot 505, de frente, y vio por el espejo el G</w:t>
      </w:r>
      <w:r>
        <w:t>a</w:t>
      </w:r>
      <w:r>
        <w:t>laxy azul por atrás, con muchos ocupantes, sumado a un Duna color blanco que se h</w:t>
      </w:r>
      <w:r>
        <w:t>a</w:t>
      </w:r>
      <w:r>
        <w:t>llaba como estacionado de contramano. Ante ello, apuntó, emprendió la hu</w:t>
      </w:r>
      <w:r>
        <w:t>i</w:t>
      </w:r>
      <w:r>
        <w:t>da, embistiendo al Duna blanco y pegándole al 505, que hizo un trompo, pero fue perseguido por el G</w:t>
      </w:r>
      <w:r>
        <w:t>a</w:t>
      </w:r>
      <w:r>
        <w:t>laxy</w:t>
      </w:r>
      <w:r>
        <w:rPr>
          <w:bCs/>
        </w:rPr>
        <w:t xml:space="preserve"> con los reflectores encendidos</w:t>
      </w:r>
      <w:r>
        <w:t xml:space="preserve"> ha</w:t>
      </w:r>
      <w:r>
        <w:t>s</w:t>
      </w:r>
      <w:r>
        <w:t xml:space="preserve">ta la zona de José León Suárez, </w:t>
      </w:r>
      <w:r>
        <w:rPr>
          <w:bCs/>
        </w:rPr>
        <w:t>donde la calle Repúbl</w:t>
      </w:r>
      <w:r>
        <w:rPr>
          <w:bCs/>
        </w:rPr>
        <w:t>i</w:t>
      </w:r>
      <w:r>
        <w:rPr>
          <w:bCs/>
        </w:rPr>
        <w:t xml:space="preserve">ca finaliza, </w:t>
      </w:r>
      <w:r>
        <w:t>sintiendo un disparo en el trayecto.</w:t>
      </w:r>
    </w:p>
    <w:p w:rsidR="00224567" w:rsidRDefault="00224567">
      <w:pPr>
        <w:widowControl w:val="0"/>
        <w:ind w:firstLine="2835"/>
      </w:pPr>
      <w:r>
        <w:t xml:space="preserve">Allí, narró, </w:t>
      </w:r>
      <w:r>
        <w:rPr>
          <w:bCs/>
        </w:rPr>
        <w:t>se topó con un embotell</w:t>
      </w:r>
      <w:r>
        <w:rPr>
          <w:bCs/>
        </w:rPr>
        <w:t>a</w:t>
      </w:r>
      <w:r>
        <w:rPr>
          <w:bCs/>
        </w:rPr>
        <w:t xml:space="preserve">miento de vehículos, </w:t>
      </w:r>
      <w:r>
        <w:t>subió a la vereda, chocó una columna y, pese a que el Galaxy no pudo pasar, fue alcanzado por tres o cuatro efectivos de la policía, quienes le coloc</w:t>
      </w:r>
      <w:r>
        <w:t>a</w:t>
      </w:r>
      <w:r>
        <w:t>ron la chapa contra el vidrio a efectos de que se detuvi</w:t>
      </w:r>
      <w:r>
        <w:t>e</w:t>
      </w:r>
      <w:r>
        <w:t>ra para hablar e incluso uno golpeó la parte i</w:t>
      </w:r>
      <w:r>
        <w:t>z</w:t>
      </w:r>
      <w:r>
        <w:t>quierda del parabrisas con la culata de la pistola a fin de rompe</w:t>
      </w:r>
      <w:r>
        <w:t>r</w:t>
      </w:r>
      <w:r>
        <w:t>lo.</w:t>
      </w:r>
    </w:p>
    <w:p w:rsidR="00224567" w:rsidRDefault="00224567">
      <w:pPr>
        <w:widowControl w:val="0"/>
        <w:rPr>
          <w:bCs/>
        </w:rPr>
      </w:pPr>
      <w:r>
        <w:tab/>
        <w:t>El sujeto que se hallaba del lado d</w:t>
      </w:r>
      <w:r>
        <w:t>e</w:t>
      </w:r>
      <w:r>
        <w:t>recho, dijo, tomó a Ana del cuello, por lo que comenzó a subir el vidrio, pero la nombrada se golpeó la cabeza co</w:t>
      </w:r>
      <w:r>
        <w:t>n</w:t>
      </w:r>
      <w:r>
        <w:t>tra el parabrisas. Ante ello, indicó, retrocedió, realizó otras maniobras, hasta que finalmente se dio a la fuga, por la vereda, dejando a los policías en el lugar. Explicó que huyó porque tenía dos pedidos de captura, el aut</w:t>
      </w:r>
      <w:r>
        <w:t>o</w:t>
      </w:r>
      <w:r>
        <w:t xml:space="preserve">móvil Renault 9 “trucho” en la cochera y temía ser allanado. </w:t>
      </w:r>
      <w:r>
        <w:rPr>
          <w:bCs/>
        </w:rPr>
        <w:t>R</w:t>
      </w:r>
      <w:r>
        <w:rPr>
          <w:bCs/>
        </w:rPr>
        <w:t>e</w:t>
      </w:r>
      <w:r>
        <w:rPr>
          <w:bCs/>
        </w:rPr>
        <w:t>conoció su firma en el plano obra</w:t>
      </w:r>
      <w:r>
        <w:rPr>
          <w:bCs/>
        </w:rPr>
        <w:t>n</w:t>
      </w:r>
      <w:r>
        <w:rPr>
          <w:bCs/>
        </w:rPr>
        <w:t>te a fs. 38.626.</w:t>
      </w:r>
    </w:p>
    <w:p w:rsidR="00224567" w:rsidRDefault="00224567">
      <w:pPr>
        <w:widowControl w:val="0"/>
      </w:pPr>
      <w:r>
        <w:tab/>
        <w:t>Comentó Telleldín que relacionó ambas brig</w:t>
      </w:r>
      <w:r>
        <w:t>a</w:t>
      </w:r>
      <w:r>
        <w:t>das debido a que vio a Casas enyesado -a quien había atropellado en la localidad de Olivos en el mes de ma</w:t>
      </w:r>
      <w:r>
        <w:t>r</w:t>
      </w:r>
      <w:r>
        <w:t>zo- cuando fue detenido en abril, manifestándole que en aqu</w:t>
      </w:r>
      <w:r>
        <w:t>e</w:t>
      </w:r>
      <w:r>
        <w:t>lla ocasión desconocía que fuese policía, dado que al no exhibir las credenciales parecían ladr</w:t>
      </w:r>
      <w:r>
        <w:t>o</w:t>
      </w:r>
      <w:r>
        <w:t>nes. Respecto a ese hecho, explicó que, para evitar arrollarlos, dio marcha atrás, embistió un taxi marca Lada, rompió su automóvil, en tanto Casas se colgó del vehículo en su huída. Por ello, sostuvo, asoció este incidente con el del 14, por cuanto en esa última ocasión dos sujetos le e</w:t>
      </w:r>
      <w:r>
        <w:t>x</w:t>
      </w:r>
      <w:r>
        <w:t>hibieron las chapas, colocándolas cada uno a un lado del par</w:t>
      </w:r>
      <w:r>
        <w:t>a</w:t>
      </w:r>
      <w:r>
        <w:t>brisas del Renault 19.</w:t>
      </w:r>
    </w:p>
    <w:p w:rsidR="00224567" w:rsidRDefault="00224567">
      <w:pPr>
        <w:widowControl w:val="0"/>
        <w:rPr>
          <w:bCs/>
        </w:rPr>
      </w:pPr>
      <w:r>
        <w:tab/>
        <w:t>Aseguró que el 14 sólo pudo identif</w:t>
      </w:r>
      <w:r>
        <w:t>i</w:t>
      </w:r>
      <w:r>
        <w:t>car con un cien por ciento de certeza a Leal, en ta</w:t>
      </w:r>
      <w:r>
        <w:t>n</w:t>
      </w:r>
      <w:r>
        <w:t xml:space="preserve">to le fue imposible reconocer al sujeto que se encontraba del otro lado. Con respecto a Leal, indicó que, según creía, lo vio por primera vez el 10 de julio; no obstante, más adelante aseveró </w:t>
      </w:r>
      <w:r>
        <w:rPr>
          <w:bCs/>
        </w:rPr>
        <w:t>que lo vio los días 10 y 14 del mes ind</w:t>
      </w:r>
      <w:r>
        <w:rPr>
          <w:bCs/>
        </w:rPr>
        <w:t>i</w:t>
      </w:r>
      <w:r>
        <w:rPr>
          <w:bCs/>
        </w:rPr>
        <w:t>cado.</w:t>
      </w:r>
    </w:p>
    <w:p w:rsidR="00224567" w:rsidRDefault="00224567">
      <w:pPr>
        <w:widowControl w:val="0"/>
      </w:pPr>
      <w:r>
        <w:tab/>
        <w:t>Supuso que en su declaración del 6 de agosto de 1994, al referirse a la persecución del 14 de julio, olvidó mencionar el Fiat 128 y el Duna blanco. En cuanto al primero de los vehículos, afirmó que se lo señ</w:t>
      </w:r>
      <w:r>
        <w:t>a</w:t>
      </w:r>
      <w:r>
        <w:t>ló al Dr. Galeano en muchas oportunidades y estimó que si no lo colocó en el croquis efectuado en su ind</w:t>
      </w:r>
      <w:r>
        <w:t>a</w:t>
      </w:r>
      <w:r>
        <w:t>gatoria de julio de 1996, debe haber sido porque así se lo habrán p</w:t>
      </w:r>
      <w:r>
        <w:t>e</w:t>
      </w:r>
      <w:r>
        <w:t>dido.</w:t>
      </w:r>
    </w:p>
    <w:p w:rsidR="00224567" w:rsidRDefault="00224567">
      <w:pPr>
        <w:widowControl w:val="0"/>
      </w:pPr>
      <w:r>
        <w:tab/>
        <w:t>Calculó que la persecución policial aconteció después de las 16.00, aproximadame</w:t>
      </w:r>
      <w:r>
        <w:t>n</w:t>
      </w:r>
      <w:r>
        <w:t>te, a la vez que informó que ese día no regresaron a su casa, perno</w:t>
      </w:r>
      <w:r>
        <w:t>c</w:t>
      </w:r>
      <w:r>
        <w:t>tando en un hotel, en tanto el auto lo guardaron en una cochera en el barrio de Belgrano; que luego se comunicó con su amigo Barreda, que era quien, supuestamente, lo h</w:t>
      </w:r>
      <w:r>
        <w:t>a</w:t>
      </w:r>
      <w:r>
        <w:t>bía entregado a la br</w:t>
      </w:r>
      <w:r>
        <w:t>i</w:t>
      </w:r>
      <w:r>
        <w:t>gada.</w:t>
      </w:r>
    </w:p>
    <w:p w:rsidR="00224567" w:rsidRDefault="00224567">
      <w:pPr>
        <w:widowControl w:val="0"/>
      </w:pPr>
      <w:r>
        <w:tab/>
        <w:t>Afirmó que sospechaba de Barreda deb</w:t>
      </w:r>
      <w:r>
        <w:t>i</w:t>
      </w:r>
      <w:r>
        <w:t>do a que cuando llamó a Ana Boragni desde Córd</w:t>
      </w:r>
      <w:r>
        <w:t>o</w:t>
      </w:r>
      <w:r>
        <w:t>ba, ésta le comentó que aquél había entrado al qui</w:t>
      </w:r>
      <w:r>
        <w:t>n</w:t>
      </w:r>
      <w:r>
        <w:t>cho, junto con otra persona, con el pretexto de bu</w:t>
      </w:r>
      <w:r>
        <w:t>s</w:t>
      </w:r>
      <w:r>
        <w:t>car unos repuestos. En esa ocasión, aseguró, vio el Renault 9 que estaba en la coch</w:t>
      </w:r>
      <w:r>
        <w:t>e</w:t>
      </w:r>
      <w:r>
        <w:t xml:space="preserve">ra doble, que </w:t>
      </w:r>
      <w:r>
        <w:rPr>
          <w:bCs/>
        </w:rPr>
        <w:t>tenía otra patente y el baúl abierto, pero el número de patente del veh</w:t>
      </w:r>
      <w:r>
        <w:rPr>
          <w:bCs/>
        </w:rPr>
        <w:t>í</w:t>
      </w:r>
      <w:r>
        <w:rPr>
          <w:bCs/>
        </w:rPr>
        <w:t xml:space="preserve">culo robado estampado en los vidrios. Presumió que Barreda tomó </w:t>
      </w:r>
      <w:r>
        <w:t>los números e</w:t>
      </w:r>
      <w:r>
        <w:rPr>
          <w:bCs/>
        </w:rPr>
        <w:t xml:space="preserve"> i</w:t>
      </w:r>
      <w:r>
        <w:rPr>
          <w:bCs/>
        </w:rPr>
        <w:t>n</w:t>
      </w:r>
      <w:r>
        <w:rPr>
          <w:bCs/>
        </w:rPr>
        <w:t xml:space="preserve">formó a </w:t>
      </w:r>
      <w:smartTag w:uri="urn:schemas-microsoft-com:office:smarttags" w:element="PersonName">
        <w:smartTagPr>
          <w:attr w:name="ProductID" w:val="la Brigada"/>
        </w:smartTagPr>
        <w:r>
          <w:rPr>
            <w:bCs/>
          </w:rPr>
          <w:t>la Brigada</w:t>
        </w:r>
      </w:smartTag>
      <w:r>
        <w:rPr>
          <w:bCs/>
        </w:rPr>
        <w:t xml:space="preserve"> de Vicente López que tenía ese aut</w:t>
      </w:r>
      <w:r>
        <w:rPr>
          <w:bCs/>
        </w:rPr>
        <w:t>o</w:t>
      </w:r>
      <w:r>
        <w:rPr>
          <w:bCs/>
        </w:rPr>
        <w:t>móvil.</w:t>
      </w:r>
    </w:p>
    <w:p w:rsidR="00224567" w:rsidRDefault="00224567">
      <w:pPr>
        <w:widowControl w:val="0"/>
      </w:pPr>
      <w:r>
        <w:tab/>
        <w:t>Sostuvo, en cuanto al hecho del 14 de julio, que Barreda dijo desconocer quién estaba en el asunto, comprometiéndose a aver</w:t>
      </w:r>
      <w:r>
        <w:t>i</w:t>
      </w:r>
      <w:r>
        <w:t>guar qué sucedía; luego de unas horas, le informó que se trataba de la brigada de V</w:t>
      </w:r>
      <w:r>
        <w:t>i</w:t>
      </w:r>
      <w:r>
        <w:t>cente López. Telleldín arg</w:t>
      </w:r>
      <w:r>
        <w:t>u</w:t>
      </w:r>
      <w:r>
        <w:t>mentó que su coimputado mintió al decirle que ignoraba quién estaba en la cuestión, por cuanto Bareiro se desempeñaba en esa brigada. Asimismo, recordó que el primero nombró a un individuo llamado Fl</w:t>
      </w:r>
      <w:r>
        <w:t>o</w:t>
      </w:r>
      <w:r>
        <w:t>res como quien manejaba el tema y, finalmente, envió a Bottegal en representación de la br</w:t>
      </w:r>
      <w:r>
        <w:t>i</w:t>
      </w:r>
      <w:r>
        <w:t>gada.</w:t>
      </w:r>
    </w:p>
    <w:p w:rsidR="00224567" w:rsidRDefault="00224567">
      <w:pPr>
        <w:widowControl w:val="0"/>
      </w:pPr>
      <w:r>
        <w:tab/>
        <w:t>Sobre el tópico afirmó, en otro tramo de su declaración, que el 14 de julio llamó a B</w:t>
      </w:r>
      <w:r>
        <w:t>a</w:t>
      </w:r>
      <w:r>
        <w:t>rreda para que solucione el problema; presumía de dónde venía el t</w:t>
      </w:r>
      <w:r>
        <w:t>e</w:t>
      </w:r>
      <w:r>
        <w:t>ma, debido a que los vehículos coincidían con los utiliz</w:t>
      </w:r>
      <w:r>
        <w:t>a</w:t>
      </w:r>
      <w:r>
        <w:t>dos el 10 de julio. Negó haberle pedido a Barreda que av</w:t>
      </w:r>
      <w:r>
        <w:t>e</w:t>
      </w:r>
      <w:r>
        <w:t xml:space="preserve">riguara, a la vez que aseveró que lo que le solicitó fue que concurriera a </w:t>
      </w:r>
      <w:smartTag w:uri="urn:schemas-microsoft-com:office:smarttags" w:element="PersonName">
        <w:smartTagPr>
          <w:attr w:name="ProductID" w:val="la Brigada"/>
        </w:smartTagPr>
        <w:r>
          <w:t>la Brigada</w:t>
        </w:r>
      </w:smartTag>
      <w:r>
        <w:t xml:space="preserve"> de Vicente López para sol</w:t>
      </w:r>
      <w:r>
        <w:t>u</w:t>
      </w:r>
      <w:r>
        <w:t>cionarle la cuestión. El imputado afirmó que sabía que prov</w:t>
      </w:r>
      <w:r>
        <w:t>e</w:t>
      </w:r>
      <w:r>
        <w:t>nía de Vicente López.</w:t>
      </w:r>
    </w:p>
    <w:p w:rsidR="00224567" w:rsidRDefault="00224567">
      <w:pPr>
        <w:widowControl w:val="0"/>
      </w:pPr>
      <w:r>
        <w:tab/>
        <w:t>Con relación a la vinculación que efectuó de los sucesos del 10 y 14 de julio, expresó que en el primero vio desde atrás, en el interior de un aut</w:t>
      </w:r>
      <w:r>
        <w:t>o</w:t>
      </w:r>
      <w:r>
        <w:t>móvil, a una persona que, de vez en cuando, giraba la c</w:t>
      </w:r>
      <w:r>
        <w:t>a</w:t>
      </w:r>
      <w:r>
        <w:t>beza; que le pareció haber visto a ese sujeto con anteri</w:t>
      </w:r>
      <w:r>
        <w:t>o</w:t>
      </w:r>
      <w:r>
        <w:t>ridad, en el hecho de abril, y que era el ind</w:t>
      </w:r>
      <w:r>
        <w:t>i</w:t>
      </w:r>
      <w:r>
        <w:t xml:space="preserve">viduo al que luego identificaron como “el Zorro” o “Diego de </w:t>
      </w:r>
      <w:smartTag w:uri="urn:schemas-microsoft-com:office:smarttags" w:element="PersonName">
        <w:smartTagPr>
          <w:attr w:name="ProductID" w:val="la Vega"/>
        </w:smartTagPr>
        <w:r>
          <w:t>la Vega</w:t>
        </w:r>
      </w:smartTag>
      <w:r>
        <w:t xml:space="preserve">” y le solicitaron que reconociera. No supo explicar por qué pensó que el hecho del 14 provenía de </w:t>
      </w:r>
      <w:smartTag w:uri="urn:schemas-microsoft-com:office:smarttags" w:element="PersonName">
        <w:smartTagPr>
          <w:attr w:name="ProductID" w:val="la Brigada"/>
        </w:smartTagPr>
        <w:r>
          <w:t>la Brigada</w:t>
        </w:r>
      </w:smartTag>
      <w:r>
        <w:t xml:space="preserve"> de Vice</w:t>
      </w:r>
      <w:r>
        <w:t>n</w:t>
      </w:r>
      <w:r>
        <w:t>te López y no de la de Lanús, cuando en los dos incidentes previos había visto a Ib</w:t>
      </w:r>
      <w:r>
        <w:t>a</w:t>
      </w:r>
      <w:r>
        <w:t>rra.</w:t>
      </w:r>
    </w:p>
    <w:p w:rsidR="00224567" w:rsidRDefault="00224567">
      <w:pPr>
        <w:widowControl w:val="0"/>
      </w:pPr>
      <w:r>
        <w:tab/>
        <w:t>Asimismo, al señalársele que en su d</w:t>
      </w:r>
      <w:r>
        <w:t>e</w:t>
      </w:r>
      <w:r>
        <w:t>claración de julio de 1996 manifestó que Barr</w:t>
      </w:r>
      <w:r>
        <w:t>e</w:t>
      </w:r>
      <w:r>
        <w:t>da le había dicho que podían ser las brigadas de Lanús y Vicente L</w:t>
      </w:r>
      <w:r>
        <w:t>ó</w:t>
      </w:r>
      <w:r>
        <w:t>pez, en tanto en la última sólo mencionó a la segunda, respondió que era posible que el nombrado hubiera dicho eso, pero no lo r</w:t>
      </w:r>
      <w:r>
        <w:t>e</w:t>
      </w:r>
      <w:r>
        <w:t>cordaba.</w:t>
      </w:r>
    </w:p>
    <w:p w:rsidR="00224567" w:rsidRDefault="00224567">
      <w:pPr>
        <w:widowControl w:val="0"/>
      </w:pPr>
      <w:r>
        <w:tab/>
        <w:t>Negó Telleldín que hubiese habl</w:t>
      </w:r>
      <w:r>
        <w:t>a</w:t>
      </w:r>
      <w:r>
        <w:t xml:space="preserve">do con algún jefe de </w:t>
      </w:r>
      <w:smartTag w:uri="urn:schemas-microsoft-com:office:smarttags" w:element="PersonName">
        <w:smartTagPr>
          <w:attr w:name="ProductID" w:val="la Brigada"/>
        </w:smartTagPr>
        <w:r>
          <w:t>la Brigada</w:t>
        </w:r>
      </w:smartTag>
      <w:r>
        <w:t xml:space="preserve"> de Vicente López, aunque Barreda le envió al abogado Bottegal, quien dijo repr</w:t>
      </w:r>
      <w:r>
        <w:t>e</w:t>
      </w:r>
      <w:r>
        <w:t>sentar a las autoridades de aquella dependencia, cuyos nombres no esp</w:t>
      </w:r>
      <w:r>
        <w:t>e</w:t>
      </w:r>
      <w:r>
        <w:t>cificó. Que el letrado le indicó que la solución residía en aportar un determinado monto de d</w:t>
      </w:r>
      <w:r>
        <w:t>i</w:t>
      </w:r>
      <w:r>
        <w:t>nero, respondiéndole que se hallaba mal económicame</w:t>
      </w:r>
      <w:r>
        <w:t>n</w:t>
      </w:r>
      <w:r>
        <w:t>te porque había comprado un lote de vehículos siniestrados y tenía poco efectivo, ofreciendo bienes en garantía –una isla en Tigre sobre la que tenía una cesión de derechos, que no fue aceptada-, requiriéndole el crucero de su propiedad, cuya existencia ya con</w:t>
      </w:r>
      <w:r>
        <w:t>o</w:t>
      </w:r>
      <w:r>
        <w:t>cía.</w:t>
      </w:r>
    </w:p>
    <w:p w:rsidR="00224567" w:rsidRDefault="00224567">
      <w:pPr>
        <w:widowControl w:val="0"/>
      </w:pPr>
      <w:r>
        <w:tab/>
        <w:t>Al respecto, explicó Telleldín que p</w:t>
      </w:r>
      <w:r>
        <w:t>o</w:t>
      </w:r>
      <w:r>
        <w:t>seía dos cruceros, uno llamado “Benidorm” y el otro “Go</w:t>
      </w:r>
      <w:r>
        <w:t>n</w:t>
      </w:r>
      <w:r>
        <w:t>zalo” y, si bien le llamó la atención que supiera acerca de tales emba</w:t>
      </w:r>
      <w:r>
        <w:t>r</w:t>
      </w:r>
      <w:r>
        <w:t>caciones, no inquirió sobre el origen de la información, puesto que con el letrado tuvo poca convers</w:t>
      </w:r>
      <w:r>
        <w:t>a</w:t>
      </w:r>
      <w:r>
        <w:t>ción. No obstante, le atribuyó a Barreda, y tal vez ta</w:t>
      </w:r>
      <w:r>
        <w:t>m</w:t>
      </w:r>
      <w:r>
        <w:t>bién a Bareiro, haber informado sobre sus bienes y su s</w:t>
      </w:r>
      <w:r>
        <w:t>i</w:t>
      </w:r>
      <w:r>
        <w:t>tuación, sabiendo el primero que le gustaba la nav</w:t>
      </w:r>
      <w:r>
        <w:t>e</w:t>
      </w:r>
      <w:r>
        <w:t>gación.</w:t>
      </w:r>
    </w:p>
    <w:p w:rsidR="00224567" w:rsidRDefault="00224567">
      <w:pPr>
        <w:widowControl w:val="0"/>
      </w:pPr>
      <w:r>
        <w:tab/>
        <w:t>El primer encuentro con Bottegal, e</w:t>
      </w:r>
      <w:r>
        <w:t>x</w:t>
      </w:r>
      <w:r>
        <w:t>plicó, fue en una confitería sita en Monroe y Crámer, pa</w:t>
      </w:r>
      <w:r>
        <w:t>r</w:t>
      </w:r>
      <w:r>
        <w:t>ticipando también su mujer y un individuo de barba que acompañaba al letrado. Que en esa reunión Bottegal lo i</w:t>
      </w:r>
      <w:r>
        <w:t>m</w:t>
      </w:r>
      <w:r>
        <w:t xml:space="preserve">puso de la exigencia de los jefes de </w:t>
      </w:r>
      <w:smartTag w:uri="urn:schemas-microsoft-com:office:smarttags" w:element="PersonName">
        <w:smartTagPr>
          <w:attr w:name="ProductID" w:val="la Brigada"/>
        </w:smartTagPr>
        <w:r>
          <w:t>la Brigada</w:t>
        </w:r>
      </w:smartTag>
      <w:r>
        <w:t xml:space="preserve"> de Vicente L</w:t>
      </w:r>
      <w:r>
        <w:t>ó</w:t>
      </w:r>
      <w:r>
        <w:t>pez.</w:t>
      </w:r>
    </w:p>
    <w:p w:rsidR="00224567" w:rsidRDefault="00224567">
      <w:pPr>
        <w:widowControl w:val="0"/>
      </w:pPr>
      <w:r>
        <w:tab/>
        <w:t>Luego de la reunión, dijo, perman</w:t>
      </w:r>
      <w:r>
        <w:t>e</w:t>
      </w:r>
      <w:r>
        <w:t>ció en esta ciudad a la espera de la respuesta del abogado, reuniéndose nuevamente en San Martín y G</w:t>
      </w:r>
      <w:r>
        <w:t>e</w:t>
      </w:r>
      <w:r>
        <w:t>neral Paz, donde firmó un boleto en blanco sobre la embarcación “Gonzalo”. No recordó el horario en que se llevó a cabo esa segunda entrevista, pero sí que estaba presente su esposa y que Bottegal concurrió en un Renault Fuego n</w:t>
      </w:r>
      <w:r>
        <w:t>e</w:t>
      </w:r>
      <w:r>
        <w:t>gro.</w:t>
      </w:r>
    </w:p>
    <w:p w:rsidR="00224567" w:rsidRDefault="00224567">
      <w:pPr>
        <w:widowControl w:val="0"/>
        <w:ind w:firstLine="2835"/>
      </w:pPr>
      <w:r>
        <w:t>Asimismo, resaltó que, como no qu</w:t>
      </w:r>
      <w:r>
        <w:t>e</w:t>
      </w:r>
      <w:r>
        <w:t>ría cruzar a la provincia, Bottegal llevó un maletín que co</w:t>
      </w:r>
      <w:r>
        <w:t>n</w:t>
      </w:r>
      <w:r>
        <w:t>tenía la documentación de dos embarcaciones, que Jesica, la hija de Ana Boragni, le entregó en su domicilio. Bott</w:t>
      </w:r>
      <w:r>
        <w:t>e</w:t>
      </w:r>
      <w:r>
        <w:t>gal, sostuvo, quería la embarcación “Benidorm”, pero su esposa se opuso porque era de mayor valor, entregando f</w:t>
      </w:r>
      <w:r>
        <w:t>i</w:t>
      </w:r>
      <w:r>
        <w:t>nalmente el “Gonzalo”, a modo de garantía hasta que reuniera el dinero en efectivo. A Bottegal lo conoció ese día y no lo vo</w:t>
      </w:r>
      <w:r>
        <w:t>l</w:t>
      </w:r>
      <w:r>
        <w:t>vió a ver.</w:t>
      </w:r>
    </w:p>
    <w:p w:rsidR="00224567" w:rsidRDefault="00224567">
      <w:pPr>
        <w:widowControl w:val="0"/>
      </w:pPr>
      <w:r>
        <w:tab/>
        <w:t>Remarcó Telleldín que Barreda a</w:t>
      </w:r>
      <w:r>
        <w:t>c</w:t>
      </w:r>
      <w:r>
        <w:t>tuaba como si no t</w:t>
      </w:r>
      <w:r>
        <w:t>u</w:t>
      </w:r>
      <w:r>
        <w:t>viese vinculación alguna con el asunto, pese a haberle indicado que arreglara con Bottegal. A lo e</w:t>
      </w:r>
      <w:r>
        <w:t>x</w:t>
      </w:r>
      <w:r>
        <w:t>puesto añadió que el 14</w:t>
      </w:r>
      <w:r>
        <w:rPr>
          <w:bCs/>
        </w:rPr>
        <w:t xml:space="preserve"> de julio recurrió a Barreda para que encuentre una solución, pero no pensó en buscar abog</w:t>
      </w:r>
      <w:r>
        <w:rPr>
          <w:bCs/>
        </w:rPr>
        <w:t>a</w:t>
      </w:r>
      <w:r>
        <w:rPr>
          <w:bCs/>
        </w:rPr>
        <w:t>do, ni en llamar a Semorile, ni que se presentaría Bott</w:t>
      </w:r>
      <w:r>
        <w:rPr>
          <w:bCs/>
        </w:rPr>
        <w:t>e</w:t>
      </w:r>
      <w:r>
        <w:rPr>
          <w:bCs/>
        </w:rPr>
        <w:t>gal como letrado de la policía. R</w:t>
      </w:r>
      <w:r>
        <w:t>eveló que hablaba práct</w:t>
      </w:r>
      <w:r>
        <w:t>i</w:t>
      </w:r>
      <w:r>
        <w:t>camente todos los días con B</w:t>
      </w:r>
      <w:r>
        <w:t>a</w:t>
      </w:r>
      <w:r>
        <w:t>rreda y que a través de éste supo que “Pino” estuvo a cargo en el hecho del 10 de j</w:t>
      </w:r>
      <w:r>
        <w:t>u</w:t>
      </w:r>
      <w:r>
        <w:t>lio.</w:t>
      </w:r>
    </w:p>
    <w:p w:rsidR="00224567" w:rsidRDefault="00224567">
      <w:pPr>
        <w:widowControl w:val="0"/>
      </w:pPr>
      <w:r>
        <w:tab/>
        <w:t>La embarcación que garantizaba el arreglo, sostuvo, estaba en el parque náutico “Lalo’s”, sito en la localidad de Tigre y cuyo encargado se ll</w:t>
      </w:r>
      <w:r>
        <w:t>a</w:t>
      </w:r>
      <w:r>
        <w:t>maba Co</w:t>
      </w:r>
      <w:r>
        <w:t>l</w:t>
      </w:r>
      <w:r>
        <w:t>man.</w:t>
      </w:r>
    </w:p>
    <w:p w:rsidR="00224567" w:rsidRDefault="00224567">
      <w:pPr>
        <w:widowControl w:val="0"/>
      </w:pPr>
      <w:r>
        <w:tab/>
        <w:t>Aclaró que Bottegal no habló de hon</w:t>
      </w:r>
      <w:r>
        <w:t>o</w:t>
      </w:r>
      <w:r>
        <w:t>rarios, sino que fue en representación de los jefes de la brigada, circunstancia que no le constaba. Asimismo, arg</w:t>
      </w:r>
      <w:r>
        <w:t>u</w:t>
      </w:r>
      <w:r>
        <w:t>mentó que no podía saber si el abogado que le mandó Barr</w:t>
      </w:r>
      <w:r>
        <w:t>e</w:t>
      </w:r>
      <w:r>
        <w:t>da fue en representación de la dependencia pol</w:t>
      </w:r>
      <w:r>
        <w:t>i</w:t>
      </w:r>
      <w:r>
        <w:t>cial o del nombrado.</w:t>
      </w:r>
    </w:p>
    <w:p w:rsidR="00224567" w:rsidRDefault="00224567">
      <w:pPr>
        <w:widowControl w:val="0"/>
      </w:pPr>
      <w:r>
        <w:tab/>
        <w:t>No obstante, observó que el 14 de j</w:t>
      </w:r>
      <w:r>
        <w:t>u</w:t>
      </w:r>
      <w:r>
        <w:t>lio la manzana de su casa estaba rodeada y había una c</w:t>
      </w:r>
      <w:r>
        <w:t>a</w:t>
      </w:r>
      <w:r>
        <w:t>mioneta con cámara de televisión en frente, custodia que fue levantada luego de entregar el crucero a Bott</w:t>
      </w:r>
      <w:r>
        <w:t>e</w:t>
      </w:r>
      <w:r>
        <w:t>gal.</w:t>
      </w:r>
    </w:p>
    <w:p w:rsidR="00224567" w:rsidRDefault="00224567">
      <w:pPr>
        <w:widowControl w:val="0"/>
      </w:pPr>
      <w:r>
        <w:tab/>
        <w:t>Explicó que debía llamar a Bottegal ante cualquier problema que tuviera o si notaba que lo e</w:t>
      </w:r>
      <w:r>
        <w:t>s</w:t>
      </w:r>
      <w:r>
        <w:t>taban vigilando. Al respecto, explicó que se hallaba asu</w:t>
      </w:r>
      <w:r>
        <w:t>s</w:t>
      </w:r>
      <w:r>
        <w:t>tado porque el barco tenía el motor roto, circun</w:t>
      </w:r>
      <w:r>
        <w:t>s</w:t>
      </w:r>
      <w:r>
        <w:t>tancia no informada al abogado, por cuanto sólo lo había dado en g</w:t>
      </w:r>
      <w:r>
        <w:t>a</w:t>
      </w:r>
      <w:r>
        <w:t>rantía hasta que reuniera el dinero r</w:t>
      </w:r>
      <w:r>
        <w:t>e</w:t>
      </w:r>
      <w:r>
        <w:t xml:space="preserve">querido para que </w:t>
      </w:r>
      <w:smartTag w:uri="urn:schemas-microsoft-com:office:smarttags" w:element="PersonName">
        <w:smartTagPr>
          <w:attr w:name="ProductID" w:val="la Brigada"/>
        </w:smartTagPr>
        <w:r>
          <w:t>la Brigada</w:t>
        </w:r>
      </w:smartTag>
      <w:r>
        <w:t xml:space="preserve"> de Vicente López no lo molestase. Rema</w:t>
      </w:r>
      <w:r>
        <w:t>r</w:t>
      </w:r>
      <w:r>
        <w:t>có que por ese tema, en esos días, estuvo nervioso e intentó muda</w:t>
      </w:r>
      <w:r>
        <w:t>r</w:t>
      </w:r>
      <w:r>
        <w:t>se, temiendo que le pasara algo grave relacionado con el tema automotor, pese a que luego de la entrega nadie se prese</w:t>
      </w:r>
      <w:r>
        <w:t>n</w:t>
      </w:r>
      <w:r>
        <w:t>tó para hacerle saldar la de</w:t>
      </w:r>
      <w:r>
        <w:t>u</w:t>
      </w:r>
      <w:r>
        <w:t>da.</w:t>
      </w:r>
    </w:p>
    <w:p w:rsidR="00224567" w:rsidRDefault="00224567">
      <w:pPr>
        <w:widowControl w:val="0"/>
      </w:pPr>
      <w:r>
        <w:tab/>
        <w:t>Declaró que Bottegal lo llamaba para preguntarle cuándo cumpliría, requiriéndole, en esas oc</w:t>
      </w:r>
      <w:r>
        <w:t>a</w:t>
      </w:r>
      <w:r>
        <w:t>siones, tiempo para obtener dinero con la venta de vehíc</w:t>
      </w:r>
      <w:r>
        <w:t>u</w:t>
      </w:r>
      <w:r>
        <w:t>los. Asimismo, aseguró Telleldín, no tuvo trato directo con personal de la brigada, sino que se limitó a hacerlo con Bottegal y el individuo de barba. Indicó al respecto que, si bien el letrado nada dijo, le dio la impresión que el otro sujeto -que fue a la primera reunión y no pronu</w:t>
      </w:r>
      <w:r>
        <w:t>n</w:t>
      </w:r>
      <w:r>
        <w:t xml:space="preserve">ció palabra- era de </w:t>
      </w:r>
      <w:smartTag w:uri="urn:schemas-microsoft-com:office:smarttags" w:element="PersonName">
        <w:smartTagPr>
          <w:attr w:name="ProductID" w:val="la Brigada"/>
        </w:smartTagPr>
        <w:r>
          <w:t>la Brigada</w:t>
        </w:r>
      </w:smartTag>
      <w:r>
        <w:t xml:space="preserve"> de Vicente López y no de jera</w:t>
      </w:r>
      <w:r>
        <w:t>r</w:t>
      </w:r>
      <w:r>
        <w:t>quía alta, sino un principal o similar.</w:t>
      </w:r>
    </w:p>
    <w:p w:rsidR="00224567" w:rsidRDefault="00224567">
      <w:pPr>
        <w:pStyle w:val="Textoindependiente2"/>
        <w:widowControl w:val="0"/>
        <w:rPr>
          <w:rFonts w:ascii="Courier New" w:hAnsi="Courier New" w:cs="Courier New"/>
        </w:rPr>
      </w:pPr>
      <w:r>
        <w:rPr>
          <w:rFonts w:ascii="Courier New" w:hAnsi="Courier New" w:cs="Courier New"/>
        </w:rPr>
        <w:tab/>
        <w:t>Reconoció su firma y número de doc</w:t>
      </w:r>
      <w:r>
        <w:rPr>
          <w:rFonts w:ascii="Courier New" w:hAnsi="Courier New" w:cs="Courier New"/>
        </w:rPr>
        <w:t>u</w:t>
      </w:r>
      <w:r>
        <w:rPr>
          <w:rFonts w:ascii="Courier New" w:hAnsi="Courier New" w:cs="Courier New"/>
        </w:rPr>
        <w:t>mento en el boleto de compraventa del barco (fs. 1174), pero aclaró que el llenado no le correspo</w:t>
      </w:r>
      <w:r>
        <w:rPr>
          <w:rFonts w:ascii="Courier New" w:hAnsi="Courier New" w:cs="Courier New"/>
        </w:rPr>
        <w:t>n</w:t>
      </w:r>
      <w:r>
        <w:rPr>
          <w:rFonts w:ascii="Courier New" w:hAnsi="Courier New" w:cs="Courier New"/>
        </w:rPr>
        <w:t>día, puesto que lo suscribió en blanco. Dedujo que lo había completado Bottegal y explicó que quien lo hizo c</w:t>
      </w:r>
      <w:r>
        <w:rPr>
          <w:rFonts w:ascii="Courier New" w:hAnsi="Courier New" w:cs="Courier New"/>
        </w:rPr>
        <w:t>o</w:t>
      </w:r>
      <w:r>
        <w:rPr>
          <w:rFonts w:ascii="Courier New" w:hAnsi="Courier New" w:cs="Courier New"/>
        </w:rPr>
        <w:t>metió un error, ya que identificó el crucero como “Gonzalo, ex-Benidorm”, cuando en realidad se trataba de dos embarcaciones dif</w:t>
      </w:r>
      <w:r>
        <w:rPr>
          <w:rFonts w:ascii="Courier New" w:hAnsi="Courier New" w:cs="Courier New"/>
        </w:rPr>
        <w:t>e</w:t>
      </w:r>
      <w:r>
        <w:rPr>
          <w:rFonts w:ascii="Courier New" w:hAnsi="Courier New" w:cs="Courier New"/>
        </w:rPr>
        <w:t>rentes. Asimismo, informó que a los tres meses de su d</w:t>
      </w:r>
      <w:r>
        <w:rPr>
          <w:rFonts w:ascii="Courier New" w:hAnsi="Courier New" w:cs="Courier New"/>
        </w:rPr>
        <w:t>e</w:t>
      </w:r>
      <w:r>
        <w:rPr>
          <w:rFonts w:ascii="Courier New" w:hAnsi="Courier New" w:cs="Courier New"/>
        </w:rPr>
        <w:t>tención reclamaron el crucero en la gua</w:t>
      </w:r>
      <w:r>
        <w:rPr>
          <w:rFonts w:ascii="Courier New" w:hAnsi="Courier New" w:cs="Courier New"/>
        </w:rPr>
        <w:t>r</w:t>
      </w:r>
      <w:r>
        <w:rPr>
          <w:rFonts w:ascii="Courier New" w:hAnsi="Courier New" w:cs="Courier New"/>
        </w:rPr>
        <w:t>dería, como si les perteneci</w:t>
      </w:r>
      <w:r>
        <w:rPr>
          <w:rFonts w:ascii="Courier New" w:hAnsi="Courier New" w:cs="Courier New"/>
        </w:rPr>
        <w:t>e</w:t>
      </w:r>
      <w:r>
        <w:rPr>
          <w:rFonts w:ascii="Courier New" w:hAnsi="Courier New" w:cs="Courier New"/>
        </w:rPr>
        <w:t>ra.</w:t>
      </w:r>
    </w:p>
    <w:p w:rsidR="00224567" w:rsidRDefault="00224567">
      <w:pPr>
        <w:widowControl w:val="0"/>
      </w:pPr>
      <w:r>
        <w:tab/>
        <w:t>Expuso que el 14 de julio, a las 21.00 aproximadamente, llamó por teléfono a su domic</w:t>
      </w:r>
      <w:r>
        <w:t>i</w:t>
      </w:r>
      <w:r>
        <w:t>lio, donde se encontraban Hugo Pérez y Cruz, informándosele que la casa estaba rodeada. Que le s</w:t>
      </w:r>
      <w:r>
        <w:t>o</w:t>
      </w:r>
      <w:r>
        <w:t>licitó a Pérez que saliera y le enviara un radio-mensaje a los diez o quince minutos, pero el nombrado resultó detenido casi en la esquina, e</w:t>
      </w:r>
      <w:r>
        <w:t>s</w:t>
      </w:r>
      <w:r>
        <w:t>timando que ello habría acontecido entre las 20.00 y las 21.00.</w:t>
      </w:r>
    </w:p>
    <w:p w:rsidR="00224567" w:rsidRDefault="00224567">
      <w:pPr>
        <w:widowControl w:val="0"/>
      </w:pPr>
      <w:r>
        <w:tab/>
        <w:t>A su vez, mencionó que dentro de la casa quedó Pérez Mejías, a quien solicitó que punteara o perforara con la agujereadora los números del motor e</w:t>
      </w:r>
      <w:r>
        <w:t>x</w:t>
      </w:r>
      <w:r>
        <w:t>traído al Renault 9 robado, que Barreda había visto, po</w:t>
      </w:r>
      <w:r>
        <w:t>r</w:t>
      </w:r>
      <w:r>
        <w:t>que temía que se produjera un allanamiento. No obstante, en otro tramo refirió que ordenó, telefónicame</w:t>
      </w:r>
      <w:r>
        <w:t>n</w:t>
      </w:r>
      <w:r>
        <w:t>te, a Cruz o a Pérez Mejías, creyendo que al segundo, que realizase aquella tarea. Admitió que luego del incidente olvidaron sacar el motor y así resultó secuestrado, en tanto el ch</w:t>
      </w:r>
      <w:r>
        <w:t>a</w:t>
      </w:r>
      <w:r>
        <w:t>sis fue hallado con el motor de un automóvil siniestrado y figuraba en la causa del juez Mariano Be</w:t>
      </w:r>
      <w:r>
        <w:t>r</w:t>
      </w:r>
      <w:r>
        <w:t>gés.</w:t>
      </w:r>
    </w:p>
    <w:p w:rsidR="00224567" w:rsidRDefault="00224567">
      <w:pPr>
        <w:widowControl w:val="0"/>
      </w:pPr>
      <w:r>
        <w:tab/>
        <w:t>Con respecto al episodio del 14 de j</w:t>
      </w:r>
      <w:r>
        <w:t>u</w:t>
      </w:r>
      <w:r>
        <w:t>lio, añadió que Pérez, Cruz o Pérez Mejías le comentaron que Barreda pasó con su Falcon gris para ver la situ</w:t>
      </w:r>
      <w:r>
        <w:t>a</w:t>
      </w:r>
      <w:r>
        <w:t>ción.</w:t>
      </w:r>
    </w:p>
    <w:p w:rsidR="00224567" w:rsidRDefault="00224567">
      <w:pPr>
        <w:widowControl w:val="0"/>
      </w:pPr>
      <w:r>
        <w:tab/>
        <w:t>Expresó el imputado que descon</w:t>
      </w:r>
      <w:r>
        <w:t>o</w:t>
      </w:r>
      <w:r>
        <w:t>cía con quién había hablado Bottegal para que dej</w:t>
      </w:r>
      <w:r>
        <w:t>a</w:t>
      </w:r>
      <w:r>
        <w:t>ran en libertad a Pérez; que durante los encuentros con el l</w:t>
      </w:r>
      <w:r>
        <w:t>e</w:t>
      </w:r>
      <w:r>
        <w:t>trado, Pérez continuaba detenido, como así también cuando firmó, en h</w:t>
      </w:r>
      <w:r>
        <w:t>o</w:t>
      </w:r>
      <w:r>
        <w:t>ras de la noche, la venta del barco. Añadió que luego de que se retirara Bottegal se comunicó con Pérez, que “est</w:t>
      </w:r>
      <w:r>
        <w:t>a</w:t>
      </w:r>
      <w:r>
        <w:t>ba llegando a mi casa” (sic).</w:t>
      </w:r>
    </w:p>
    <w:p w:rsidR="00224567" w:rsidRDefault="00224567">
      <w:pPr>
        <w:widowControl w:val="0"/>
      </w:pPr>
      <w:r>
        <w:tab/>
        <w:t>Aclaró que entregó la embarcación en garantía para conseguir la libertad de Pérez, a fin de evitar el allanamiento a su domicilio y para que no lo m</w:t>
      </w:r>
      <w:r>
        <w:t>o</w:t>
      </w:r>
      <w:r>
        <w:t>lestaran más; que desconocía si lo buscaban porque tenía dos capturas o por el automóvil robado, pero sabía que e</w:t>
      </w:r>
      <w:r>
        <w:t>s</w:t>
      </w:r>
      <w:r>
        <w:t>taban al tanto de su actividad, por cuanto la policía le había manifestado al ex-esposo de su mujer que poseía un automóvil robado en la coch</w:t>
      </w:r>
      <w:r>
        <w:t>e</w:t>
      </w:r>
      <w:r>
        <w:t>ra.</w:t>
      </w:r>
    </w:p>
    <w:p w:rsidR="00224567" w:rsidRDefault="00224567">
      <w:pPr>
        <w:widowControl w:val="0"/>
      </w:pPr>
      <w:r>
        <w:tab/>
        <w:t>Retomó el relato acerca de sus activ</w:t>
      </w:r>
      <w:r>
        <w:t>i</w:t>
      </w:r>
      <w:r>
        <w:t>dades señalando que el 25 de julio, en horas de la noche, arribó a esta ciudad en avión, procedente de Córdoba, se dirigió a su domicilio y cerca de éste vio -en la e</w:t>
      </w:r>
      <w:r>
        <w:t>s</w:t>
      </w:r>
      <w:r>
        <w:t>quina de Alvear y República- un sujeto vestido de negro y en a</w:t>
      </w:r>
      <w:r>
        <w:t>c</w:t>
      </w:r>
      <w:r>
        <w:t>titud sospechosa, parecía de una brig</w:t>
      </w:r>
      <w:r>
        <w:t>a</w:t>
      </w:r>
      <w:r>
        <w:t>da, mirando hacia su casa -en otro tramo sostuvo que se trat</w:t>
      </w:r>
      <w:r>
        <w:t>a</w:t>
      </w:r>
      <w:r>
        <w:t>ba de varios-, por lo que se dirigió a lo de su hermano, desde donde llamó a Boragni, quien comentó que se trataba de gente rara, que la casa estaba rodeada y que cada vez había más polic</w:t>
      </w:r>
      <w:r>
        <w:t>í</w:t>
      </w:r>
      <w:r>
        <w:t>as.</w:t>
      </w:r>
    </w:p>
    <w:p w:rsidR="00224567" w:rsidRDefault="00224567">
      <w:pPr>
        <w:widowControl w:val="0"/>
        <w:ind w:firstLine="2835"/>
      </w:pPr>
      <w:r>
        <w:t>Expresó que denunció, por teléf</w:t>
      </w:r>
      <w:r>
        <w:t>o</w:t>
      </w:r>
      <w:r>
        <w:t>no, a la comisaría local la presencia de una persona en act</w:t>
      </w:r>
      <w:r>
        <w:t>i</w:t>
      </w:r>
      <w:r>
        <w:t>tud sospechosa, que, a su criterio, podía estar próxima a r</w:t>
      </w:r>
      <w:r>
        <w:t>o</w:t>
      </w:r>
      <w:r>
        <w:t>bar el Banco de Crédito ubicado en la ochava de las calles República y Alvear. La policía recogió al sujeto con un patrullero y, minutos después, lo r</w:t>
      </w:r>
      <w:r>
        <w:t>e</w:t>
      </w:r>
      <w:r>
        <w:t>tornó al mismo lugar, y ya no le cupieron dudas de que era un policía y lo est</w:t>
      </w:r>
      <w:r>
        <w:t>a</w:t>
      </w:r>
      <w:r>
        <w:t>ba bu</w:t>
      </w:r>
      <w:r>
        <w:t>s</w:t>
      </w:r>
      <w:r>
        <w:t>cando.</w:t>
      </w:r>
    </w:p>
    <w:p w:rsidR="00224567" w:rsidRDefault="00224567">
      <w:pPr>
        <w:widowControl w:val="0"/>
      </w:pPr>
      <w:r>
        <w:tab/>
        <w:t>Agregó que llamó a Monjo, informánd</w:t>
      </w:r>
      <w:r>
        <w:t>o</w:t>
      </w:r>
      <w:r>
        <w:t>le uno de sus gestores que tenían los papeles del R</w:t>
      </w:r>
      <w:r>
        <w:t>e</w:t>
      </w:r>
      <w:r>
        <w:t xml:space="preserve">nault </w:t>
      </w:r>
      <w:smartTag w:uri="urn:schemas-microsoft-com:office:smarttags" w:element="metricconverter">
        <w:smartTagPr>
          <w:attr w:name="ProductID" w:val="21 a"/>
        </w:smartTagPr>
        <w:r>
          <w:t>21 a</w:t>
        </w:r>
      </w:smartTag>
      <w:r>
        <w:t xml:space="preserve"> la vista, a raíz de lo cual sospechó que lo estaban bu</w:t>
      </w:r>
      <w:r>
        <w:t>s</w:t>
      </w:r>
      <w:r>
        <w:t>cando por un tema vinculado con automotores, puesto que tenía la documentación de ese vehículo en su poder, aunque aún no lo había retirado; que llamó otras dos veces a la agencia automotor desde distintos tel</w:t>
      </w:r>
      <w:r>
        <w:t>é</w:t>
      </w:r>
      <w:r>
        <w:t>fonos públicos, pero no le hablaban, lo cual le resultó extr</w:t>
      </w:r>
      <w:r>
        <w:t>a</w:t>
      </w:r>
      <w:r>
        <w:t>ño.</w:t>
      </w:r>
    </w:p>
    <w:p w:rsidR="00224567" w:rsidRDefault="00224567">
      <w:pPr>
        <w:widowControl w:val="0"/>
      </w:pPr>
      <w:r>
        <w:tab/>
        <w:t>En otro tramo explicó que se c</w:t>
      </w:r>
      <w:r>
        <w:t>o</w:t>
      </w:r>
      <w:r>
        <w:t>municó con Monjo en v</w:t>
      </w:r>
      <w:r>
        <w:t>a</w:t>
      </w:r>
      <w:r>
        <w:t>rias oportunidades para saber si alguien lo había ido a buscar, toda vez que pensaba que lo seguían por el tema automotor, es decir, que se trataba de un pr</w:t>
      </w:r>
      <w:r>
        <w:t>o</w:t>
      </w:r>
      <w:r>
        <w:t>cedimiento al estilo noticiero, en que lo iban a detener junto con aquél. Aseveró que le brindaron ciertas claves evidentes, como la de los papeles del Renault 21, por lo que no se quedó tranquilo y vo</w:t>
      </w:r>
      <w:r>
        <w:t>l</w:t>
      </w:r>
      <w:r>
        <w:t>vió a llamar.</w:t>
      </w:r>
    </w:p>
    <w:p w:rsidR="00224567" w:rsidRDefault="00224567">
      <w:pPr>
        <w:widowControl w:val="0"/>
      </w:pPr>
      <w:r>
        <w:tab/>
        <w:t>Narró que dejó el automóvil en la c</w:t>
      </w:r>
      <w:r>
        <w:t>a</w:t>
      </w:r>
      <w:r>
        <w:t>sa de su hermano y fue en remise hasta el domicilio de Ja</w:t>
      </w:r>
      <w:r>
        <w:t>i</w:t>
      </w:r>
      <w:r>
        <w:t>mes, en la localidad de Haedo, pero al arribar notó la presencia de un automotor con gente extraña; que no ingr</w:t>
      </w:r>
      <w:r>
        <w:t>e</w:t>
      </w:r>
      <w:r>
        <w:t>só lo de Jaimes y se dirigió a Luján, donde permaneció aproximadamente dos horas. Que desde la terminal llamó a su casa, informándole su e</w:t>
      </w:r>
      <w:r>
        <w:t>s</w:t>
      </w:r>
      <w:r>
        <w:t>posa que había gente rara y la manzana se hallaba rodeada; llamó a B</w:t>
      </w:r>
      <w:r>
        <w:t>a</w:t>
      </w:r>
      <w:r>
        <w:t>rreda y Bareiro para que averiguasen si se trataba de la mi</w:t>
      </w:r>
      <w:r>
        <w:t>s</w:t>
      </w:r>
      <w:r>
        <w:t>ma brigada o si era otra. Luego, dijo, abordó un autobús a Posadas, porque era el primero en partir, no recordando el nombre de la empr</w:t>
      </w:r>
      <w:r>
        <w:t>e</w:t>
      </w:r>
      <w:r>
        <w:t>sa.</w:t>
      </w:r>
    </w:p>
    <w:p w:rsidR="00224567" w:rsidRDefault="00224567">
      <w:pPr>
        <w:widowControl w:val="0"/>
      </w:pPr>
      <w:r>
        <w:tab/>
        <w:t>Relató que al arribar a esa ci</w:t>
      </w:r>
      <w:r>
        <w:t>u</w:t>
      </w:r>
      <w:r>
        <w:t>dad, a las 8.40 u 8.45 aproximadamente, llamó a su casa de</w:t>
      </w:r>
      <w:r>
        <w:t>s</w:t>
      </w:r>
      <w:r>
        <w:t>de un locutorio ubicado frente a la estación de micros y su e</w:t>
      </w:r>
      <w:r>
        <w:t>s</w:t>
      </w:r>
      <w:r>
        <w:t xml:space="preserve">posa lo comunicó directamente con los agentes de </w:t>
      </w:r>
      <w:smartTag w:uri="urn:schemas-microsoft-com:office:smarttags" w:element="PersonName">
        <w:smartTagPr>
          <w:attr w:name="ProductID" w:val="la S.I"/>
        </w:smartTagPr>
        <w:r>
          <w:t>la S.I</w:t>
        </w:r>
      </w:smartTag>
      <w:r>
        <w:t>.D.E., los organismos de seguridad y con Barreda y B</w:t>
      </w:r>
      <w:r>
        <w:t>a</w:t>
      </w:r>
      <w:r>
        <w:t>reiro, que habían sido detenidos al llegar a su d</w:t>
      </w:r>
      <w:r>
        <w:t>o</w:t>
      </w:r>
      <w:r>
        <w:t>micilio; allí también se encontraba personal del Mossad, F.B.I., Policía Federal</w:t>
      </w:r>
      <w:r>
        <w:rPr>
          <w:bCs/>
        </w:rPr>
        <w:t xml:space="preserve"> y de </w:t>
      </w:r>
      <w:smartTag w:uri="urn:schemas-microsoft-com:office:smarttags" w:element="PersonName">
        <w:smartTagPr>
          <w:attr w:name="ProductID" w:val="la Polic￭a"/>
        </w:smartTagPr>
        <w:r>
          <w:rPr>
            <w:bCs/>
          </w:rPr>
          <w:t>la Policía</w:t>
        </w:r>
      </w:smartTag>
      <w:r>
        <w:rPr>
          <w:bCs/>
        </w:rPr>
        <w:t xml:space="preserve"> de </w:t>
      </w:r>
      <w:smartTag w:uri="urn:schemas-microsoft-com:office:smarttags" w:element="PersonName">
        <w:smartTagPr>
          <w:attr w:name="ProductID" w:val="la Provincia. En"/>
        </w:smartTagPr>
        <w:r>
          <w:rPr>
            <w:bCs/>
          </w:rPr>
          <w:t>la Provincia</w:t>
        </w:r>
        <w:r>
          <w:t>. En</w:t>
        </w:r>
      </w:smartTag>
      <w:r>
        <w:t xml:space="preserve"> otro tramo estimó que su arribó a Posadas habría sido a las 8.30 y el llamado al domicilio de Rep</w:t>
      </w:r>
      <w:r>
        <w:t>ú</w:t>
      </w:r>
      <w:r>
        <w:t>blica a las 8.40.</w:t>
      </w:r>
    </w:p>
    <w:p w:rsidR="00224567" w:rsidRDefault="00224567">
      <w:pPr>
        <w:widowControl w:val="0"/>
      </w:pPr>
      <w:r>
        <w:tab/>
        <w:t>Más adelante refirió que llegó a la terminal de Posadas entre las 8.00 y las 8.30 de la m</w:t>
      </w:r>
      <w:r>
        <w:t>a</w:t>
      </w:r>
      <w:r>
        <w:t>ñana aproximadamente. Admitió que desde esa ciudad efectuó v</w:t>
      </w:r>
      <w:r>
        <w:t>a</w:t>
      </w:r>
      <w:r>
        <w:t>rias llamadas, pero sostuvo que era errónea la inform</w:t>
      </w:r>
      <w:r>
        <w:t>a</w:t>
      </w:r>
      <w:r>
        <w:t>ción de la que surgía que el primer llamado telefónico de Pos</w:t>
      </w:r>
      <w:r>
        <w:t>a</w:t>
      </w:r>
      <w:r>
        <w:t>das al 768-0902 era a las 6.54, ya que el locutorio abría a las 8 y su primer ll</w:t>
      </w:r>
      <w:r>
        <w:t>a</w:t>
      </w:r>
      <w:r>
        <w:t>mada la efectuó a las 8.45.</w:t>
      </w:r>
    </w:p>
    <w:p w:rsidR="00224567" w:rsidRDefault="00224567">
      <w:pPr>
        <w:widowControl w:val="0"/>
      </w:pPr>
      <w:r>
        <w:tab/>
        <w:t>No pudo precisar Telleldín cuántas c</w:t>
      </w:r>
      <w:r>
        <w:t>o</w:t>
      </w:r>
      <w:r>
        <w:t>municaciones realizó; estimó que desde el l</w:t>
      </w:r>
      <w:r>
        <w:t>o</w:t>
      </w:r>
      <w:r>
        <w:t>cutorio fueron dos o tres, a su domicilio, hablando con su m</w:t>
      </w:r>
      <w:r>
        <w:t>u</w:t>
      </w:r>
      <w:r>
        <w:t>jer, Barreda y Bareiro, que le contaron todo y le dijeron que después llamara, comunicá</w:t>
      </w:r>
      <w:r>
        <w:t>n</w:t>
      </w:r>
      <w:r>
        <w:t xml:space="preserve">dose así con </w:t>
      </w:r>
      <w:smartTag w:uri="urn:schemas-microsoft-com:office:smarttags" w:element="PersonName">
        <w:smartTagPr>
          <w:attr w:name="ProductID" w:val="la S.I"/>
        </w:smartTagPr>
        <w:r>
          <w:t>la S.I</w:t>
        </w:r>
      </w:smartTag>
      <w:r>
        <w:t>.D.E. y el Mossad.</w:t>
      </w:r>
    </w:p>
    <w:p w:rsidR="00224567" w:rsidRDefault="00224567">
      <w:pPr>
        <w:widowControl w:val="0"/>
      </w:pPr>
      <w:r>
        <w:tab/>
        <w:t>En ese momento, puntualizó, le come</w:t>
      </w:r>
      <w:r>
        <w:t>n</w:t>
      </w:r>
      <w:r>
        <w:t xml:space="preserve">taron que lo buscaban por el tema de </w:t>
      </w:r>
      <w:smartTag w:uri="urn:schemas-microsoft-com:office:smarttags" w:element="PersonName">
        <w:smartTagPr>
          <w:attr w:name="ProductID" w:val="la A.M"/>
        </w:smartTagPr>
        <w:r>
          <w:t>la A.M</w:t>
        </w:r>
      </w:smartTag>
      <w:r>
        <w:t xml:space="preserve">.I.A. y un agente de </w:t>
      </w:r>
      <w:smartTag w:uri="urn:schemas-microsoft-com:office:smarttags" w:element="PersonName">
        <w:smartTagPr>
          <w:attr w:name="ProductID" w:val="la S.I"/>
        </w:smartTagPr>
        <w:r>
          <w:t>la S.I</w:t>
        </w:r>
      </w:smartTag>
      <w:r>
        <w:t>.D.E. le informó que el Mossad y serv</w:t>
      </w:r>
      <w:r>
        <w:t>i</w:t>
      </w:r>
      <w:r>
        <w:t>cios e</w:t>
      </w:r>
      <w:r>
        <w:t>x</w:t>
      </w:r>
      <w:r>
        <w:t xml:space="preserve">tranjeros lo querían matar o </w:t>
      </w:r>
      <w:r>
        <w:rPr>
          <w:bCs/>
        </w:rPr>
        <w:t>trasladarlo a otro país</w:t>
      </w:r>
      <w:r>
        <w:t xml:space="preserve">, a la vez que le recomendó tomar recaudos y comunicarse con ellos al llegar al aeropuerto. Refirió que a cargo del operativo </w:t>
      </w:r>
      <w:r>
        <w:rPr>
          <w:bCs/>
        </w:rPr>
        <w:t xml:space="preserve">estaba un agente de inteligencia de </w:t>
      </w:r>
      <w:smartTag w:uri="urn:schemas-microsoft-com:office:smarttags" w:element="PersonName">
        <w:smartTagPr>
          <w:attr w:name="ProductID" w:val="la Polic￭a Federal"/>
        </w:smartTagPr>
        <w:r>
          <w:rPr>
            <w:bCs/>
          </w:rPr>
          <w:t>la Policía Federal</w:t>
        </w:r>
      </w:smartTag>
      <w:r>
        <w:rPr>
          <w:bCs/>
        </w:rPr>
        <w:t xml:space="preserve"> llamado Aldo y un tal Gastón -supuso que Herná</w:t>
      </w:r>
      <w:r>
        <w:rPr>
          <w:bCs/>
        </w:rPr>
        <w:t>n</w:t>
      </w:r>
      <w:r>
        <w:rPr>
          <w:bCs/>
        </w:rPr>
        <w:t xml:space="preserve">dez-, deduciendo que se trataría de nombres operativos y no reales. Destacó que mantuvo varias conversaciones con gente de </w:t>
      </w:r>
      <w:smartTag w:uri="urn:schemas-microsoft-com:office:smarttags" w:element="PersonName">
        <w:smartTagPr>
          <w:attr w:name="ProductID" w:val="la S.I"/>
        </w:smartTagPr>
        <w:r>
          <w:rPr>
            <w:bCs/>
          </w:rPr>
          <w:t>la S.I</w:t>
        </w:r>
      </w:smartTag>
      <w:r>
        <w:rPr>
          <w:bCs/>
        </w:rPr>
        <w:t>.D.E., todas del mismo tenor, en que le h</w:t>
      </w:r>
      <w:r>
        <w:rPr>
          <w:bCs/>
        </w:rPr>
        <w:t>a</w:t>
      </w:r>
      <w:r>
        <w:rPr>
          <w:bCs/>
        </w:rPr>
        <w:t>cían saber que no estaban interesados en el tema autom</w:t>
      </w:r>
      <w:r>
        <w:rPr>
          <w:bCs/>
        </w:rPr>
        <w:t>o</w:t>
      </w:r>
      <w:r>
        <w:rPr>
          <w:bCs/>
        </w:rPr>
        <w:t>tor o en sus capturas, sino en que se presentase y colab</w:t>
      </w:r>
      <w:r>
        <w:rPr>
          <w:bCs/>
        </w:rPr>
        <w:t>o</w:t>
      </w:r>
      <w:r>
        <w:rPr>
          <w:bCs/>
        </w:rPr>
        <w:t>rara, puesto que de lo contrario se le adjudicaría el atent</w:t>
      </w:r>
      <w:r>
        <w:rPr>
          <w:bCs/>
        </w:rPr>
        <w:t>a</w:t>
      </w:r>
      <w:r>
        <w:rPr>
          <w:bCs/>
        </w:rPr>
        <w:t>do.</w:t>
      </w:r>
    </w:p>
    <w:p w:rsidR="00224567" w:rsidRDefault="00224567">
      <w:pPr>
        <w:widowControl w:val="0"/>
      </w:pPr>
      <w:r>
        <w:tab/>
        <w:t>Explicó que para esa época poseía dos órdenes de captura, una de las cuales estaba próxima a prescribir y, conforme el consejo de su abogado Semor</w:t>
      </w:r>
      <w:r>
        <w:t>i</w:t>
      </w:r>
      <w:r>
        <w:t>le, no le convenía entregarse, poniendo en con</w:t>
      </w:r>
      <w:r>
        <w:t>o</w:t>
      </w:r>
      <w:r>
        <w:t>cimiento de su interlocutor sus dudas al respe</w:t>
      </w:r>
      <w:r>
        <w:t>c</w:t>
      </w:r>
      <w:r>
        <w:t>to.</w:t>
      </w:r>
      <w:r>
        <w:rPr>
          <w:bCs/>
        </w:rPr>
        <w:t xml:space="preserve"> </w:t>
      </w:r>
      <w:r>
        <w:t>No obstante, optó por hacerlo y, a tales efectos, abordó un avión hasta el aer</w:t>
      </w:r>
      <w:r>
        <w:t>o</w:t>
      </w:r>
      <w:r>
        <w:t>puerto Jorge Newbery, donde nadie lo esp</w:t>
      </w:r>
      <w:r>
        <w:t>e</w:t>
      </w:r>
      <w:r>
        <w:t>raba. No descartó haber solicitado a su esposa desde Posadas que Barreda acompañara a la gente que lo fuera a buscar al Aer</w:t>
      </w:r>
      <w:r>
        <w:t>o</w:t>
      </w:r>
      <w:r>
        <w:t>parque, toda vez que el nombrado se hallaba en su domicilio con Bareiro y al resto no los con</w:t>
      </w:r>
      <w:r>
        <w:t>o</w:t>
      </w:r>
      <w:r>
        <w:t>cía.</w:t>
      </w:r>
    </w:p>
    <w:p w:rsidR="00224567" w:rsidRDefault="00224567">
      <w:pPr>
        <w:widowControl w:val="0"/>
        <w:rPr>
          <w:bCs/>
        </w:rPr>
      </w:pPr>
      <w:r>
        <w:tab/>
        <w:t>Manifestó que desde el locutorio se dirigió a la oficina de la empresa “Austral”, que se h</w:t>
      </w:r>
      <w:r>
        <w:t>a</w:t>
      </w:r>
      <w:r>
        <w:t>llaba a una cuadra, reservó el pasaje y tomó un taxi hasta el aeropuerto, donde permaneció en la confitería y cont</w:t>
      </w:r>
      <w:r>
        <w:t>i</w:t>
      </w:r>
      <w:r>
        <w:t>nuó llamando a su domicilio, aproximadamente a las 14, por medio de un teléfono público</w:t>
      </w:r>
      <w:r>
        <w:rPr>
          <w:bCs/>
        </w:rPr>
        <w:t xml:space="preserve"> allí instalado. Aseguró que estaba preocupado, no por el atentado, sino debido a los procesos pendientes y, además, tenía problemas económicos, una familia e hijos para mantener y sabía que sería det</w:t>
      </w:r>
      <w:r>
        <w:rPr>
          <w:bCs/>
        </w:rPr>
        <w:t>e</w:t>
      </w:r>
      <w:r>
        <w:rPr>
          <w:bCs/>
        </w:rPr>
        <w:t>nido.</w:t>
      </w:r>
    </w:p>
    <w:p w:rsidR="00224567" w:rsidRDefault="00224567">
      <w:pPr>
        <w:widowControl w:val="0"/>
      </w:pPr>
      <w:r>
        <w:tab/>
        <w:t>Relató que se anotó en lista de esp</w:t>
      </w:r>
      <w:r>
        <w:t>e</w:t>
      </w:r>
      <w:r>
        <w:t>ra y abordó el vuelo del día de la empresa “Austral” desde Posadas. Aclaró que reservó el pasaje como Hugo Pérez, p</w:t>
      </w:r>
      <w:r>
        <w:t>e</w:t>
      </w:r>
      <w:r>
        <w:t>ro ante Gendarmería presentó su documento a nombre de Te</w:t>
      </w:r>
      <w:r>
        <w:t>c</w:t>
      </w:r>
      <w:r>
        <w:t>cedin y así quedó registrado en la planilla de arribo, d</w:t>
      </w:r>
      <w:r>
        <w:t>a</w:t>
      </w:r>
      <w:r>
        <w:t>do que no requerían que el nombre coincidiera con el del pasaje; que procedió así debido a que si compraba el pas</w:t>
      </w:r>
      <w:r>
        <w:t>a</w:t>
      </w:r>
      <w:r>
        <w:t>je a su nombre sería muy fácil localizarlo, en ta</w:t>
      </w:r>
      <w:r>
        <w:t>n</w:t>
      </w:r>
      <w:r>
        <w:t>to Pérez era un apellido común.</w:t>
      </w:r>
    </w:p>
    <w:p w:rsidR="00224567" w:rsidRDefault="00224567">
      <w:pPr>
        <w:widowControl w:val="0"/>
      </w:pPr>
      <w:r>
        <w:tab/>
        <w:t xml:space="preserve">Sostuvo que de las grabaciones debía surgir cómo personal de </w:t>
      </w:r>
      <w:smartTag w:uri="urn:schemas-microsoft-com:office:smarttags" w:element="PersonName">
        <w:smartTagPr>
          <w:attr w:name="ProductID" w:val="la S.I"/>
        </w:smartTagPr>
        <w:r>
          <w:t>la S.I</w:t>
        </w:r>
      </w:smartTag>
      <w:r>
        <w:t>.D.E. le advirtió que t</w:t>
      </w:r>
      <w:r>
        <w:t>o</w:t>
      </w:r>
      <w:r>
        <w:t>mara recaudos, aunque no sabía si figuraba entre las transcri</w:t>
      </w:r>
      <w:r>
        <w:t>p</w:t>
      </w:r>
      <w:r>
        <w:t>ciones de las sesenta y seis casetes extraviadas; que h</w:t>
      </w:r>
      <w:r>
        <w:t>a</w:t>
      </w:r>
      <w:r>
        <w:t>bía conversaciones con el agente que, creía, se llamaba Hernández, que no estaban agregadas a la causa y que fue quien le aconsejó tomar preca</w:t>
      </w:r>
      <w:r>
        <w:t>u</w:t>
      </w:r>
      <w:r>
        <w:t>ciones.</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Hizo saber que en su casa, durante tres o cuatro días, estuvieron instalados agentes del Mo</w:t>
      </w:r>
      <w:r>
        <w:rPr>
          <w:rFonts w:ascii="Courier New" w:hAnsi="Courier New" w:cs="Courier New"/>
          <w:lang w:val="es-AR"/>
        </w:rPr>
        <w:t>s</w:t>
      </w:r>
      <w:r>
        <w:rPr>
          <w:rFonts w:ascii="Courier New" w:hAnsi="Courier New" w:cs="Courier New"/>
          <w:lang w:val="es-AR"/>
        </w:rPr>
        <w:t>sad, S.I.D.E., Policía Federal y el F.B.I., quedá</w:t>
      </w:r>
      <w:r>
        <w:rPr>
          <w:rFonts w:ascii="Courier New" w:hAnsi="Courier New" w:cs="Courier New"/>
          <w:lang w:val="es-AR"/>
        </w:rPr>
        <w:t>n</w:t>
      </w:r>
      <w:r>
        <w:rPr>
          <w:rFonts w:ascii="Courier New" w:hAnsi="Courier New" w:cs="Courier New"/>
          <w:lang w:val="es-AR"/>
        </w:rPr>
        <w:t>dose aún después de su detención para hablar con los vecinos y h</w:t>
      </w:r>
      <w:r>
        <w:rPr>
          <w:rFonts w:ascii="Courier New" w:hAnsi="Courier New" w:cs="Courier New"/>
          <w:lang w:val="es-AR"/>
        </w:rPr>
        <w:t>a</w:t>
      </w:r>
      <w:r>
        <w:rPr>
          <w:rFonts w:ascii="Courier New" w:hAnsi="Courier New" w:cs="Courier New"/>
          <w:lang w:val="es-AR"/>
        </w:rPr>
        <w:t>cer un relev</w:t>
      </w:r>
      <w:r>
        <w:rPr>
          <w:rFonts w:ascii="Courier New" w:hAnsi="Courier New" w:cs="Courier New"/>
          <w:lang w:val="es-AR"/>
        </w:rPr>
        <w:t>a</w:t>
      </w:r>
      <w:r>
        <w:rPr>
          <w:rFonts w:ascii="Courier New" w:hAnsi="Courier New" w:cs="Courier New"/>
          <w:lang w:val="es-AR"/>
        </w:rPr>
        <w:t>miento.</w:t>
      </w:r>
    </w:p>
    <w:p w:rsidR="00224567" w:rsidRDefault="00224567">
      <w:pPr>
        <w:widowControl w:val="0"/>
        <w:rPr>
          <w:bCs/>
        </w:rPr>
      </w:pPr>
      <w:r>
        <w:tab/>
        <w:t>A través de la lectura</w:t>
      </w:r>
      <w:r>
        <w:rPr>
          <w:bCs/>
        </w:rPr>
        <w:t xml:space="preserve"> del expedie</w:t>
      </w:r>
      <w:r>
        <w:rPr>
          <w:bCs/>
        </w:rPr>
        <w:t>n</w:t>
      </w:r>
      <w:r>
        <w:rPr>
          <w:bCs/>
        </w:rPr>
        <w:t>te, agregó, supo qui</w:t>
      </w:r>
      <w:r>
        <w:rPr>
          <w:bCs/>
        </w:rPr>
        <w:t>é</w:t>
      </w:r>
      <w:r>
        <w:rPr>
          <w:bCs/>
        </w:rPr>
        <w:t xml:space="preserve">nes eran las personas de </w:t>
      </w:r>
      <w:smartTag w:uri="urn:schemas-microsoft-com:office:smarttags" w:element="PersonName">
        <w:smartTagPr>
          <w:attr w:name="ProductID" w:val="la S.I"/>
        </w:smartTagPr>
        <w:r>
          <w:rPr>
            <w:bCs/>
          </w:rPr>
          <w:t>la S.I</w:t>
        </w:r>
      </w:smartTag>
      <w:r>
        <w:rPr>
          <w:bCs/>
        </w:rPr>
        <w:t>.D.E. con las que había hablado. En ese sentido, señaló que, según creía, Gastón se llamaba Hernández y figuraba en los cas</w:t>
      </w:r>
      <w:r>
        <w:rPr>
          <w:bCs/>
        </w:rPr>
        <w:t>e</w:t>
      </w:r>
      <w:r>
        <w:rPr>
          <w:bCs/>
        </w:rPr>
        <w:t>tes perdidos, habiendo conve</w:t>
      </w:r>
      <w:r>
        <w:rPr>
          <w:bCs/>
        </w:rPr>
        <w:t>r</w:t>
      </w:r>
      <w:r>
        <w:rPr>
          <w:bCs/>
        </w:rPr>
        <w:t>sado también con su superior, quién sería Brousson; reiteró que ta</w:t>
      </w:r>
      <w:r>
        <w:rPr>
          <w:bCs/>
        </w:rPr>
        <w:t>m</w:t>
      </w:r>
      <w:r>
        <w:rPr>
          <w:bCs/>
        </w:rPr>
        <w:t>bién había un sujeto que utilizaba el nombre de Aldo, que era de intelige</w:t>
      </w:r>
      <w:r>
        <w:rPr>
          <w:bCs/>
        </w:rPr>
        <w:t>n</w:t>
      </w:r>
      <w:r>
        <w:rPr>
          <w:bCs/>
        </w:rPr>
        <w:t>cia.</w:t>
      </w:r>
    </w:p>
    <w:p w:rsidR="00224567" w:rsidRDefault="00224567">
      <w:pPr>
        <w:widowControl w:val="0"/>
      </w:pPr>
      <w:r>
        <w:tab/>
        <w:t xml:space="preserve">Expresó que al arribar a Aeroparque llamó por teléfono a personal de </w:t>
      </w:r>
      <w:smartTag w:uri="urn:schemas-microsoft-com:office:smarttags" w:element="PersonName">
        <w:smartTagPr>
          <w:attr w:name="ProductID" w:val="la S.I"/>
        </w:smartTagPr>
        <w:r>
          <w:t>la S.I</w:t>
        </w:r>
      </w:smartTag>
      <w:r>
        <w:t>.D.E., a su domic</w:t>
      </w:r>
      <w:r>
        <w:t>i</w:t>
      </w:r>
      <w:r>
        <w:t>lio, indicándole Gastón que esperase allí. Relató que lu</w:t>
      </w:r>
      <w:r>
        <w:t>e</w:t>
      </w:r>
      <w:r>
        <w:t>go de una hora, como estaba asustado, se prese</w:t>
      </w:r>
      <w:r>
        <w:t>n</w:t>
      </w:r>
      <w:r>
        <w:t xml:space="preserve">tó ante </w:t>
      </w:r>
      <w:smartTag w:uri="urn:schemas-microsoft-com:office:smarttags" w:element="PersonName">
        <w:smartTagPr>
          <w:attr w:name="ProductID" w:val="la Polic￭a Aeron￡utica"/>
        </w:smartTagPr>
        <w:r>
          <w:t>la Policía Aeronáutica</w:t>
        </w:r>
      </w:smartTag>
      <w:r>
        <w:t xml:space="preserve"> con su doc</w:t>
      </w:r>
      <w:r>
        <w:t>u</w:t>
      </w:r>
      <w:r>
        <w:t xml:space="preserve">mento, a fin de que quedara constancia que lo hacía voluntariamente; después arribó personal de drogas peligrosas y de </w:t>
      </w:r>
      <w:smartTag w:uri="urn:schemas-microsoft-com:office:smarttags" w:element="PersonName">
        <w:smartTagPr>
          <w:attr w:name="ProductID" w:val="la S.I"/>
        </w:smartTagPr>
        <w:r>
          <w:t>la S.I</w:t>
        </w:r>
      </w:smartTag>
      <w:r>
        <w:t>.D.E. y fue tra</w:t>
      </w:r>
      <w:r>
        <w:t>s</w:t>
      </w:r>
      <w:r>
        <w:t>lad</w:t>
      </w:r>
      <w:r>
        <w:t>a</w:t>
      </w:r>
      <w:r>
        <w:t>do al D.P.O.C..</w:t>
      </w:r>
    </w:p>
    <w:p w:rsidR="00224567" w:rsidRDefault="00224567">
      <w:pPr>
        <w:widowControl w:val="0"/>
      </w:pPr>
      <w:r>
        <w:tab/>
        <w:t>Asimismo, advirtió que si su Docume</w:t>
      </w:r>
      <w:r>
        <w:t>n</w:t>
      </w:r>
      <w:r>
        <w:t>to Nacional de Ide</w:t>
      </w:r>
      <w:r>
        <w:t>n</w:t>
      </w:r>
      <w:r>
        <w:t>tidad hubiera sido falso, lo habría roto o tirado, dado que no lo precisaba para presentarse deten</w:t>
      </w:r>
      <w:r>
        <w:t>i</w:t>
      </w:r>
      <w:r>
        <w:t xml:space="preserve">do; que, por el contrario, se presentó ante </w:t>
      </w:r>
      <w:smartTag w:uri="urn:schemas-microsoft-com:office:smarttags" w:element="PersonName">
        <w:smartTagPr>
          <w:attr w:name="ProductID" w:val="la Polic￭a Aeron￡utica"/>
        </w:smartTagPr>
        <w:r>
          <w:t>la Policía A</w:t>
        </w:r>
        <w:r>
          <w:t>e</w:t>
        </w:r>
        <w:r>
          <w:t>ronáutica</w:t>
        </w:r>
      </w:smartTag>
      <w:r>
        <w:t xml:space="preserve"> con el cartular a nombre de Teccedin, entregá</w:t>
      </w:r>
      <w:r>
        <w:t>n</w:t>
      </w:r>
      <w:r>
        <w:t>dolo luego en el D.P.O.C., junto con su agenda electrónica y su portadocumentos compl</w:t>
      </w:r>
      <w:r>
        <w:t>e</w:t>
      </w:r>
      <w:r>
        <w:t>to.</w:t>
      </w:r>
    </w:p>
    <w:p w:rsidR="00224567" w:rsidRDefault="00224567">
      <w:pPr>
        <w:pStyle w:val="Textoindependiente2"/>
        <w:widowControl w:val="0"/>
        <w:rPr>
          <w:rFonts w:ascii="Courier New" w:hAnsi="Courier New" w:cs="Courier New"/>
        </w:rPr>
      </w:pPr>
      <w:r>
        <w:rPr>
          <w:rFonts w:ascii="Courier New" w:hAnsi="Courier New" w:cs="Courier New"/>
          <w:szCs w:val="24"/>
          <w:lang w:val="es-AR"/>
        </w:rPr>
        <w:tab/>
        <w:t>Con relación a su documento triplic</w:t>
      </w:r>
      <w:r>
        <w:rPr>
          <w:rFonts w:ascii="Courier New" w:hAnsi="Courier New" w:cs="Courier New"/>
          <w:szCs w:val="24"/>
          <w:lang w:val="es-AR"/>
        </w:rPr>
        <w:t>a</w:t>
      </w:r>
      <w:r>
        <w:rPr>
          <w:rFonts w:ascii="Courier New" w:hAnsi="Courier New" w:cs="Courier New"/>
          <w:szCs w:val="24"/>
          <w:lang w:val="es-AR"/>
        </w:rPr>
        <w:t>do, a nombre de Carlos Alberto Teccedin, man</w:t>
      </w:r>
      <w:r>
        <w:rPr>
          <w:rFonts w:ascii="Courier New" w:hAnsi="Courier New" w:cs="Courier New"/>
          <w:szCs w:val="24"/>
          <w:lang w:val="es-AR"/>
        </w:rPr>
        <w:t>i</w:t>
      </w:r>
      <w:r>
        <w:rPr>
          <w:rFonts w:ascii="Courier New" w:hAnsi="Courier New" w:cs="Courier New"/>
          <w:szCs w:val="24"/>
          <w:lang w:val="es-AR"/>
        </w:rPr>
        <w:t xml:space="preserve">festó </w:t>
      </w:r>
      <w:r>
        <w:rPr>
          <w:rFonts w:ascii="Courier New" w:hAnsi="Courier New" w:cs="Courier New"/>
        </w:rPr>
        <w:t>que el Registro de las Personas de Belgrano se lo entregó con una falla en su apellido y, en consecuencia, se d</w:t>
      </w:r>
      <w:r>
        <w:rPr>
          <w:rFonts w:ascii="Courier New" w:hAnsi="Courier New" w:cs="Courier New"/>
        </w:rPr>
        <w:t>i</w:t>
      </w:r>
      <w:r>
        <w:rPr>
          <w:rFonts w:ascii="Courier New" w:hAnsi="Courier New" w:cs="Courier New"/>
        </w:rPr>
        <w:t>rigió al de Olivos para denunciar el error.</w:t>
      </w:r>
    </w:p>
    <w:p w:rsidR="00224567" w:rsidRDefault="00224567">
      <w:pPr>
        <w:pStyle w:val="Textoindependiente2"/>
        <w:widowControl w:val="0"/>
        <w:rPr>
          <w:rFonts w:ascii="Courier New" w:hAnsi="Courier New" w:cs="Courier New"/>
        </w:rPr>
      </w:pPr>
      <w:r>
        <w:rPr>
          <w:rFonts w:ascii="Courier New" w:hAnsi="Courier New" w:cs="Courier New"/>
        </w:rPr>
        <w:tab/>
        <w:t>Remarcó que las letras “c”, es decir, los palitos sobre las “l”</w:t>
      </w:r>
      <w:r>
        <w:rPr>
          <w:rFonts w:ascii="Courier New" w:hAnsi="Courier New" w:cs="Courier New"/>
          <w:szCs w:val="24"/>
          <w:lang w:val="es-AR"/>
        </w:rPr>
        <w:t xml:space="preserve"> fueron insertadas por la emple</w:t>
      </w:r>
      <w:r>
        <w:rPr>
          <w:rFonts w:ascii="Courier New" w:hAnsi="Courier New" w:cs="Courier New"/>
          <w:szCs w:val="24"/>
          <w:lang w:val="es-AR"/>
        </w:rPr>
        <w:t>a</w:t>
      </w:r>
      <w:r>
        <w:rPr>
          <w:rFonts w:ascii="Courier New" w:hAnsi="Courier New" w:cs="Courier New"/>
          <w:szCs w:val="24"/>
          <w:lang w:val="es-AR"/>
        </w:rPr>
        <w:t>da del registro, quien</w:t>
      </w:r>
      <w:r>
        <w:rPr>
          <w:rFonts w:ascii="Courier New" w:hAnsi="Courier New" w:cs="Courier New"/>
        </w:rPr>
        <w:t>, además, omitió colocar una letra “l”, quedando así Teccedín. Hizo saber que los doc</w:t>
      </w:r>
      <w:r>
        <w:rPr>
          <w:rFonts w:ascii="Courier New" w:hAnsi="Courier New" w:cs="Courier New"/>
        </w:rPr>
        <w:t>u</w:t>
      </w:r>
      <w:r>
        <w:rPr>
          <w:rFonts w:ascii="Courier New" w:hAnsi="Courier New" w:cs="Courier New"/>
        </w:rPr>
        <w:t>mentos se hallaban en blanco y eran completados al momento de la entrega, pero al ocurrir el error no podía ser reemplaz</w:t>
      </w:r>
      <w:r>
        <w:rPr>
          <w:rFonts w:ascii="Courier New" w:hAnsi="Courier New" w:cs="Courier New"/>
        </w:rPr>
        <w:t>a</w:t>
      </w:r>
      <w:r>
        <w:rPr>
          <w:rFonts w:ascii="Courier New" w:hAnsi="Courier New" w:cs="Courier New"/>
        </w:rPr>
        <w:t>do, por el perforado en la cartilla. En definitiva, indicó que, según creía, la falla la cometió la empleada que se lo entregó, advirtiéndola en ese mi</w:t>
      </w:r>
      <w:r>
        <w:rPr>
          <w:rFonts w:ascii="Courier New" w:hAnsi="Courier New" w:cs="Courier New"/>
        </w:rPr>
        <w:t>s</w:t>
      </w:r>
      <w:r>
        <w:rPr>
          <w:rFonts w:ascii="Courier New" w:hAnsi="Courier New" w:cs="Courier New"/>
        </w:rPr>
        <w:t>mo momento.</w:t>
      </w:r>
    </w:p>
    <w:p w:rsidR="00224567" w:rsidRDefault="00224567">
      <w:pPr>
        <w:pStyle w:val="Textoindependiente2"/>
        <w:widowControl w:val="0"/>
        <w:rPr>
          <w:rFonts w:ascii="Courier New" w:hAnsi="Courier New" w:cs="Courier New"/>
        </w:rPr>
      </w:pPr>
      <w:r>
        <w:rPr>
          <w:rFonts w:ascii="Courier New" w:hAnsi="Courier New" w:cs="Courier New"/>
        </w:rPr>
        <w:tab/>
        <w:t>Admitió que el cartular en esas cond</w:t>
      </w:r>
      <w:r>
        <w:rPr>
          <w:rFonts w:ascii="Courier New" w:hAnsi="Courier New" w:cs="Courier New"/>
        </w:rPr>
        <w:t>i</w:t>
      </w:r>
      <w:r>
        <w:rPr>
          <w:rFonts w:ascii="Courier New" w:hAnsi="Courier New" w:cs="Courier New"/>
        </w:rPr>
        <w:t xml:space="preserve">ciones le resultó útil debido a las órdenes de captura pendientes. No obstante, refirió que </w:t>
      </w:r>
      <w:r>
        <w:rPr>
          <w:rFonts w:ascii="Courier New" w:hAnsi="Courier New" w:cs="Courier New"/>
          <w:szCs w:val="24"/>
          <w:lang w:val="es-AR"/>
        </w:rPr>
        <w:t>al retirarlo hizo n</w:t>
      </w:r>
      <w:r>
        <w:rPr>
          <w:rFonts w:ascii="Courier New" w:hAnsi="Courier New" w:cs="Courier New"/>
          <w:szCs w:val="24"/>
          <w:lang w:val="es-AR"/>
        </w:rPr>
        <w:t>o</w:t>
      </w:r>
      <w:r>
        <w:rPr>
          <w:rFonts w:ascii="Courier New" w:hAnsi="Courier New" w:cs="Courier New"/>
          <w:szCs w:val="24"/>
          <w:lang w:val="es-AR"/>
        </w:rPr>
        <w:t>tar el error</w:t>
      </w:r>
      <w:r>
        <w:rPr>
          <w:rFonts w:ascii="Courier New" w:hAnsi="Courier New" w:cs="Courier New"/>
        </w:rPr>
        <w:t xml:space="preserve"> y efectuó el trámite a fin de evitar que se le imputara el delito de falsificación de documento o t</w:t>
      </w:r>
      <w:r>
        <w:rPr>
          <w:rFonts w:ascii="Courier New" w:hAnsi="Courier New" w:cs="Courier New"/>
        </w:rPr>
        <w:t>e</w:t>
      </w:r>
      <w:r>
        <w:rPr>
          <w:rFonts w:ascii="Courier New" w:hAnsi="Courier New" w:cs="Courier New"/>
        </w:rPr>
        <w:t>nencia de documento falso. Al respecto, indicó que la jefa del registro de Olivos le entregó un papel y le dijo que le iban a dar otro documento, a cuyos efectos debía rest</w:t>
      </w:r>
      <w:r>
        <w:rPr>
          <w:rFonts w:ascii="Courier New" w:hAnsi="Courier New" w:cs="Courier New"/>
        </w:rPr>
        <w:t>i</w:t>
      </w:r>
      <w:r>
        <w:rPr>
          <w:rFonts w:ascii="Courier New" w:hAnsi="Courier New" w:cs="Courier New"/>
        </w:rPr>
        <w:t>tuir el que tenía, respondiénd</w:t>
      </w:r>
      <w:r>
        <w:rPr>
          <w:rFonts w:ascii="Courier New" w:hAnsi="Courier New" w:cs="Courier New"/>
        </w:rPr>
        <w:t>o</w:t>
      </w:r>
      <w:r>
        <w:rPr>
          <w:rFonts w:ascii="Courier New" w:hAnsi="Courier New" w:cs="Courier New"/>
        </w:rPr>
        <w:t>le que lo conservaría hasta tanto le entregasen el nu</w:t>
      </w:r>
      <w:r>
        <w:rPr>
          <w:rFonts w:ascii="Courier New" w:hAnsi="Courier New" w:cs="Courier New"/>
        </w:rPr>
        <w:t>e</w:t>
      </w:r>
      <w:r>
        <w:rPr>
          <w:rFonts w:ascii="Courier New" w:hAnsi="Courier New" w:cs="Courier New"/>
        </w:rPr>
        <w:t>vo, ya que en esa época tardaban ocho o nueve m</w:t>
      </w:r>
      <w:r>
        <w:rPr>
          <w:rFonts w:ascii="Courier New" w:hAnsi="Courier New" w:cs="Courier New"/>
        </w:rPr>
        <w:t>e</w:t>
      </w:r>
      <w:r>
        <w:rPr>
          <w:rFonts w:ascii="Courier New" w:hAnsi="Courier New" w:cs="Courier New"/>
        </w:rPr>
        <w:t>ses.</w:t>
      </w:r>
    </w:p>
    <w:p w:rsidR="00224567" w:rsidRDefault="00224567">
      <w:pPr>
        <w:pStyle w:val="Textoindependiente2"/>
        <w:widowControl w:val="0"/>
        <w:rPr>
          <w:rFonts w:ascii="Courier New" w:hAnsi="Courier New" w:cs="Courier New"/>
          <w:szCs w:val="24"/>
          <w:lang w:val="es-AR"/>
        </w:rPr>
      </w:pPr>
      <w:r>
        <w:rPr>
          <w:rFonts w:ascii="Courier New" w:hAnsi="Courier New" w:cs="Courier New"/>
        </w:rPr>
        <w:tab/>
        <w:t>Al serle exhibido el documento lo r</w:t>
      </w:r>
      <w:r>
        <w:rPr>
          <w:rFonts w:ascii="Courier New" w:hAnsi="Courier New" w:cs="Courier New"/>
        </w:rPr>
        <w:t>e</w:t>
      </w:r>
      <w:r>
        <w:rPr>
          <w:rFonts w:ascii="Courier New" w:hAnsi="Courier New" w:cs="Courier New"/>
        </w:rPr>
        <w:t>conoció, observando que llevaba su número y sus domic</w:t>
      </w:r>
      <w:r>
        <w:rPr>
          <w:rFonts w:ascii="Courier New" w:hAnsi="Courier New" w:cs="Courier New"/>
        </w:rPr>
        <w:t>i</w:t>
      </w:r>
      <w:r>
        <w:rPr>
          <w:rFonts w:ascii="Courier New" w:hAnsi="Courier New" w:cs="Courier New"/>
        </w:rPr>
        <w:t>lios, estando mal escrito su apellido.</w:t>
      </w:r>
      <w:r>
        <w:rPr>
          <w:rFonts w:ascii="Courier New" w:hAnsi="Courier New" w:cs="Courier New"/>
          <w:szCs w:val="24"/>
          <w:lang w:val="es-AR"/>
        </w:rPr>
        <w:t xml:space="preserve"> R</w:t>
      </w:r>
      <w:r>
        <w:rPr>
          <w:rFonts w:ascii="Courier New" w:hAnsi="Courier New" w:cs="Courier New"/>
          <w:szCs w:val="24"/>
          <w:lang w:val="es-AR"/>
        </w:rPr>
        <w:t>e</w:t>
      </w:r>
      <w:r>
        <w:rPr>
          <w:rFonts w:ascii="Courier New" w:hAnsi="Courier New" w:cs="Courier New"/>
          <w:szCs w:val="24"/>
          <w:lang w:val="es-AR"/>
        </w:rPr>
        <w:t>iteró que cuando se lo entregaron decía Teccedin y agregó que la foto, si bien se hallaba despegada, era la or</w:t>
      </w:r>
      <w:r>
        <w:rPr>
          <w:rFonts w:ascii="Courier New" w:hAnsi="Courier New" w:cs="Courier New"/>
          <w:szCs w:val="24"/>
          <w:lang w:val="es-AR"/>
        </w:rPr>
        <w:t>i</w:t>
      </w:r>
      <w:r>
        <w:rPr>
          <w:rFonts w:ascii="Courier New" w:hAnsi="Courier New" w:cs="Courier New"/>
          <w:szCs w:val="24"/>
          <w:lang w:val="es-AR"/>
        </w:rPr>
        <w:t>ginal.</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Asimismo, informó que con ese cart</w:t>
      </w:r>
      <w:r>
        <w:rPr>
          <w:rFonts w:ascii="Courier New" w:hAnsi="Courier New" w:cs="Courier New"/>
          <w:szCs w:val="24"/>
          <w:lang w:val="es-AR"/>
        </w:rPr>
        <w:t>u</w:t>
      </w:r>
      <w:r>
        <w:rPr>
          <w:rFonts w:ascii="Courier New" w:hAnsi="Courier New" w:cs="Courier New"/>
          <w:szCs w:val="24"/>
          <w:lang w:val="es-AR"/>
        </w:rPr>
        <w:t>lar fue al registro a solicitar el cambio de domicilio a Ol</w:t>
      </w:r>
      <w:r>
        <w:rPr>
          <w:rFonts w:ascii="Courier New" w:hAnsi="Courier New" w:cs="Courier New"/>
          <w:szCs w:val="24"/>
          <w:lang w:val="es-AR"/>
        </w:rPr>
        <w:t>i</w:t>
      </w:r>
      <w:r>
        <w:rPr>
          <w:rFonts w:ascii="Courier New" w:hAnsi="Courier New" w:cs="Courier New"/>
          <w:szCs w:val="24"/>
          <w:lang w:val="es-AR"/>
        </w:rPr>
        <w:t>vos el 8 de julio de 1993, que figuraba luego de Gual</w:t>
      </w:r>
      <w:r>
        <w:rPr>
          <w:rFonts w:ascii="Courier New" w:hAnsi="Courier New" w:cs="Courier New"/>
          <w:szCs w:val="24"/>
          <w:lang w:val="es-AR"/>
        </w:rPr>
        <w:t>e</w:t>
      </w:r>
      <w:r>
        <w:rPr>
          <w:rFonts w:ascii="Courier New" w:hAnsi="Courier New" w:cs="Courier New"/>
          <w:szCs w:val="24"/>
          <w:lang w:val="es-AR"/>
        </w:rPr>
        <w:t xml:space="preserve">guaychú, vale decir, hizo ambos cambios de domicilio sin que le entregasen el nuevo documento. Añadió que efectuó </w:t>
      </w:r>
      <w:r>
        <w:rPr>
          <w:rFonts w:ascii="Courier New" w:hAnsi="Courier New" w:cs="Courier New"/>
        </w:rPr>
        <w:t>el trámite para reemplazarlo cuando realizó el cambio de domicilio en Olivos.</w:t>
      </w:r>
    </w:p>
    <w:p w:rsidR="00224567" w:rsidRDefault="00224567">
      <w:pPr>
        <w:widowControl w:val="0"/>
      </w:pPr>
      <w:r>
        <w:tab/>
        <w:t>No recordó haber extraviado su Doc</w:t>
      </w:r>
      <w:r>
        <w:t>u</w:t>
      </w:r>
      <w:r>
        <w:t>mento Nacional de Identidad en alguna oportunidad, au</w:t>
      </w:r>
      <w:r>
        <w:t>n</w:t>
      </w:r>
      <w:r>
        <w:t>que conjeturó que la entrega de uno nuevo habría obedecido a que lo había perdido o se había destruido.</w:t>
      </w:r>
    </w:p>
    <w:p w:rsidR="00224567" w:rsidRDefault="00224567">
      <w:pPr>
        <w:widowControl w:val="0"/>
      </w:pPr>
      <w:r>
        <w:tab/>
        <w:t>Al exhibírsele la fotocopia de un D</w:t>
      </w:r>
      <w:r>
        <w:t>o</w:t>
      </w:r>
      <w:r>
        <w:t>cumento Nacional de Identidad triplicado a nombre de Ca</w:t>
      </w:r>
      <w:r>
        <w:t>r</w:t>
      </w:r>
      <w:r>
        <w:t>los Alberto “Telledin”, secuestrada en un maletín en el allanamiento del domicilio de la calle Roosevelt 2462, p</w:t>
      </w:r>
      <w:r>
        <w:t>i</w:t>
      </w:r>
      <w:r>
        <w:t>so 3º, depto. “A”, de esta ciudad, el imputado manifestó que, si bien parecía ser del triplicado, podría tratarse de su documento anterior, aunque no est</w:t>
      </w:r>
      <w:r>
        <w:t>a</w:t>
      </w:r>
      <w:r>
        <w:t>ba seguro. Remarcó que lo exhibido era una fotocopia, por lo que dedujo que estaría arreglada y especuló que Galeano la habría borr</w:t>
      </w:r>
      <w:r>
        <w:t>a</w:t>
      </w:r>
      <w:r>
        <w:t>do. Aclaró que en otras dos ocasiones tuvo doc</w:t>
      </w:r>
      <w:r>
        <w:t>u</w:t>
      </w:r>
      <w:r>
        <w:t>mentos con su apellido mal escrito, figurando en uno como “Telle</w:t>
      </w:r>
      <w:r>
        <w:t>r</w:t>
      </w:r>
      <w:r>
        <w:t>din”.</w:t>
      </w:r>
    </w:p>
    <w:p w:rsidR="00224567" w:rsidRDefault="00224567">
      <w:pPr>
        <w:pStyle w:val="Textoindependiente2"/>
        <w:widowControl w:val="0"/>
        <w:rPr>
          <w:rFonts w:ascii="Courier New" w:hAnsi="Courier New" w:cs="Courier New"/>
        </w:rPr>
      </w:pPr>
      <w:r>
        <w:rPr>
          <w:rFonts w:ascii="Courier New" w:hAnsi="Courier New" w:cs="Courier New"/>
          <w:lang w:val="es-AR"/>
        </w:rPr>
        <w:tab/>
        <w:t>A su vez, si</w:t>
      </w:r>
      <w:r>
        <w:rPr>
          <w:rFonts w:ascii="Courier New" w:hAnsi="Courier New" w:cs="Courier New"/>
        </w:rPr>
        <w:t xml:space="preserve"> bien no recordó cuándo obtuvo el cart</w:t>
      </w:r>
      <w:r>
        <w:rPr>
          <w:rFonts w:ascii="Courier New" w:hAnsi="Courier New" w:cs="Courier New"/>
        </w:rPr>
        <w:t>u</w:t>
      </w:r>
      <w:r>
        <w:rPr>
          <w:rFonts w:ascii="Courier New" w:hAnsi="Courier New" w:cs="Courier New"/>
        </w:rPr>
        <w:t>lar cuestionado, declaró que en el año 1993 vendió un automóvil Falcon como Telleldín, pero a partir de ese momento en las restantes operaciones figuró como Teccedin. Resaltó que todas las actividades comerciales que realizó, desde el contrato de locación hasta las co</w:t>
      </w:r>
      <w:r>
        <w:rPr>
          <w:rFonts w:ascii="Courier New" w:hAnsi="Courier New" w:cs="Courier New"/>
        </w:rPr>
        <w:t>m</w:t>
      </w:r>
      <w:r>
        <w:rPr>
          <w:rFonts w:ascii="Courier New" w:hAnsi="Courier New" w:cs="Courier New"/>
        </w:rPr>
        <w:t>praventas de automotores, las llevó a cabo con ese nombre, toda vez que sus cocontratantes copiaban el ap</w:t>
      </w:r>
      <w:r>
        <w:rPr>
          <w:rFonts w:ascii="Courier New" w:hAnsi="Courier New" w:cs="Courier New"/>
        </w:rPr>
        <w:t>e</w:t>
      </w:r>
      <w:r>
        <w:rPr>
          <w:rFonts w:ascii="Courier New" w:hAnsi="Courier New" w:cs="Courier New"/>
        </w:rPr>
        <w:t>llido.</w:t>
      </w:r>
    </w:p>
    <w:p w:rsidR="00224567" w:rsidRDefault="00224567">
      <w:pPr>
        <w:widowControl w:val="0"/>
      </w:pPr>
      <w:r>
        <w:tab/>
        <w:t>Negó que se hubiera hecho llamar Te</w:t>
      </w:r>
      <w:r>
        <w:t>c</w:t>
      </w:r>
      <w:r>
        <w:t>cedin para no ser hallado, como así también que, con esa finalidad, el día del atentado hubiese emprendido la bú</w:t>
      </w:r>
      <w:r>
        <w:t>s</w:t>
      </w:r>
      <w:r>
        <w:t>queda de un inmueble para mudarse. A lo expuesto agregó que Alejandro Monjo lo conocía como Telleldín y así lo t</w:t>
      </w:r>
      <w:r>
        <w:t>e</w:t>
      </w:r>
      <w:r>
        <w:t>nía registrado en su agenda, al igual que Meli y el e</w:t>
      </w:r>
      <w:r>
        <w:t>m</w:t>
      </w:r>
      <w:r>
        <w:t>pleado de la agencia de apellido Quiroga. Señaló que uno de los empleados con que mayor trato tuvo era P</w:t>
      </w:r>
      <w:r>
        <w:t>e</w:t>
      </w:r>
      <w:r>
        <w:t>dro, quien conocía sus datos como Telleldín y entregó su radio-llamada, teléfono y Movicom a la policía. Argumentó que, no obstante, en algunas boletas fig</w:t>
      </w:r>
      <w:r>
        <w:t>u</w:t>
      </w:r>
      <w:r>
        <w:t>ra erróneamente, toda vez que quienes facturaban copiaban los datos del Docume</w:t>
      </w:r>
      <w:r>
        <w:t>n</w:t>
      </w:r>
      <w:r>
        <w:t>to Nacional de Identidad, ya que Monjo no confeccionaba las boletas persona</w:t>
      </w:r>
      <w:r>
        <w:t>l</w:t>
      </w:r>
      <w:r>
        <w:t>mente.</w:t>
      </w:r>
    </w:p>
    <w:p w:rsidR="00224567" w:rsidRDefault="00224567">
      <w:pPr>
        <w:widowControl w:val="0"/>
      </w:pPr>
      <w:r>
        <w:tab/>
        <w:t>En ese sentido, explicó que con Monjo trataba el lote de vehículos y el precio, pero luego se facturaban individualmente para el trasl</w:t>
      </w:r>
      <w:r>
        <w:t>a</w:t>
      </w:r>
      <w:r>
        <w:t>do. Reconoció su documento en la factura obrante a fs. 276, indicando que el empleado que la confeccionó copió de su cart</w:t>
      </w:r>
      <w:r>
        <w:t>u</w:t>
      </w:r>
      <w:r>
        <w:t>lar.</w:t>
      </w:r>
    </w:p>
    <w:p w:rsidR="00224567" w:rsidRDefault="00224567">
      <w:pPr>
        <w:widowControl w:val="0"/>
      </w:pPr>
      <w:r>
        <w:tab/>
        <w:t>Asimismo, explicó que poseía r</w:t>
      </w:r>
      <w:r>
        <w:t>e</w:t>
      </w:r>
      <w:r>
        <w:t>gistro de conductor de Capital, pero con el lavadero de autos “Puerto Olivos” debió sacar el de Olivos, ya que se lo exigían para mover los vehículos. Para tramitarlo, puntu</w:t>
      </w:r>
      <w:r>
        <w:t>a</w:t>
      </w:r>
      <w:r>
        <w:t>lizó, debió exhibir su Documento Nacional de Ident</w:t>
      </w:r>
      <w:r>
        <w:t>i</w:t>
      </w:r>
      <w:r>
        <w:t>dad. No supo explicar por qué figuraba como domicilio Jonas Salk 2878, aunque estimó que el empleado del r</w:t>
      </w:r>
      <w:r>
        <w:t>e</w:t>
      </w:r>
      <w:r>
        <w:t>gistro lo habría copiado mal.</w:t>
      </w:r>
    </w:p>
    <w:p w:rsidR="00224567" w:rsidRDefault="00224567">
      <w:pPr>
        <w:widowControl w:val="0"/>
      </w:pPr>
      <w:r>
        <w:tab/>
        <w:t xml:space="preserve">Con respecto a una credencial de </w:t>
      </w:r>
      <w:smartTag w:uri="urn:schemas-microsoft-com:office:smarttags" w:element="PersonName">
        <w:smartTagPr>
          <w:attr w:name="ProductID" w:val="la Cooperadora Policial"/>
        </w:smartTagPr>
        <w:r>
          <w:t>la Cooperadora Policial</w:t>
        </w:r>
      </w:smartTag>
      <w:r>
        <w:t xml:space="preserve"> Sec. 1ª Vicente López a su nombre, observó que era de </w:t>
      </w:r>
      <w:smartTag w:uri="urn:schemas-microsoft-com:office:smarttags" w:element="PersonName">
        <w:smartTagPr>
          <w:attr w:name="ProductID" w:val="la Comisar￭a I"/>
        </w:smartTagPr>
        <w:r>
          <w:t>la Comisaría I</w:t>
        </w:r>
      </w:smartTag>
      <w:r>
        <w:t xml:space="preserve"> de Vicente López, Ol</w:t>
      </w:r>
      <w:r>
        <w:t>i</w:t>
      </w:r>
      <w:r>
        <w:t>vos, los que pasaban todos los meses a cobrar y mencionó que la fotografía que lucía era de la época en que vivía en el domicilio de J</w:t>
      </w:r>
      <w:r>
        <w:t>o</w:t>
      </w:r>
      <w:r>
        <w:t>nas Salk, es decir, 1991 ó 1992.</w:t>
      </w:r>
    </w:p>
    <w:p w:rsidR="00224567" w:rsidRDefault="00224567">
      <w:pPr>
        <w:widowControl w:val="0"/>
      </w:pPr>
      <w:r>
        <w:tab/>
        <w:t>El encartado reconoció su firma en a</w:t>
      </w:r>
      <w:r>
        <w:t>l</w:t>
      </w:r>
      <w:r>
        <w:t>gunos boletos de compraventa de automotores. Aclaró que al efectuar las ventas exhibía su Documento Nacional de Ide</w:t>
      </w:r>
      <w:r>
        <w:t>n</w:t>
      </w:r>
      <w:r>
        <w:t>tidad a los compradores p</w:t>
      </w:r>
      <w:r>
        <w:t>a</w:t>
      </w:r>
      <w:r>
        <w:t>ra la confección de los boletos, por cuanto no lo con</w:t>
      </w:r>
      <w:r>
        <w:t>o</w:t>
      </w:r>
      <w:r>
        <w:t>cían.</w:t>
      </w:r>
    </w:p>
    <w:p w:rsidR="00224567" w:rsidRDefault="00224567">
      <w:pPr>
        <w:widowControl w:val="0"/>
        <w:rPr>
          <w:bCs/>
        </w:rPr>
      </w:pPr>
      <w:r>
        <w:tab/>
        <w:t>En otro orden, Telleldín manife</w:t>
      </w:r>
      <w:r>
        <w:t>s</w:t>
      </w:r>
      <w:r>
        <w:t>tó que luego de su detención en Aeroparque fue trasladado al D.P.O.C., donde al arribar fue interrogado por los comis</w:t>
      </w:r>
      <w:r>
        <w:t>a</w:t>
      </w:r>
      <w:r>
        <w:t>rios Palacios, De León y Castañeda. Que ahí le qu</w:t>
      </w:r>
      <w:r>
        <w:t>i</w:t>
      </w:r>
      <w:r>
        <w:t>taron la agenda electrónica, que desapareció en esa dependencia d</w:t>
      </w:r>
      <w:r>
        <w:t>e</w:t>
      </w:r>
      <w:r>
        <w:t>bido a los nombres que contenía, comprometedores para el gobierno y la policía</w:t>
      </w:r>
      <w:r>
        <w:rPr>
          <w:bCs/>
        </w:rPr>
        <w:t>. Sostuvo que al ser trasladado al departamento citado fue interrogado por el comisario Pal</w:t>
      </w:r>
      <w:r>
        <w:rPr>
          <w:bCs/>
        </w:rPr>
        <w:t>a</w:t>
      </w:r>
      <w:r>
        <w:rPr>
          <w:bCs/>
        </w:rPr>
        <w:t>cios y su gente y un oficial le quitó todas sus pertene</w:t>
      </w:r>
      <w:r>
        <w:rPr>
          <w:bCs/>
        </w:rPr>
        <w:t>n</w:t>
      </w:r>
      <w:r>
        <w:rPr>
          <w:bCs/>
        </w:rPr>
        <w:t>cias. Negó haberle entregado la agenda a su esposa, aunque en el D.P.O.C. le solicitaron que dijera eso, ya que se decía que se habían pe</w:t>
      </w:r>
      <w:r>
        <w:rPr>
          <w:bCs/>
        </w:rPr>
        <w:t>r</w:t>
      </w:r>
      <w:r>
        <w:rPr>
          <w:bCs/>
        </w:rPr>
        <w:t>dido los rollos de fotografías y el c</w:t>
      </w:r>
      <w:r>
        <w:rPr>
          <w:bCs/>
        </w:rPr>
        <w:t>a</w:t>
      </w:r>
      <w:r>
        <w:rPr>
          <w:bCs/>
        </w:rPr>
        <w:t>sete de radio-llamada.</w:t>
      </w:r>
    </w:p>
    <w:p w:rsidR="00224567" w:rsidRDefault="00224567">
      <w:pPr>
        <w:pStyle w:val="Textoindependiente2"/>
        <w:widowControl w:val="0"/>
        <w:rPr>
          <w:rFonts w:ascii="Courier New" w:hAnsi="Courier New" w:cs="Courier New"/>
        </w:rPr>
      </w:pPr>
      <w:r>
        <w:rPr>
          <w:rFonts w:ascii="Courier New" w:hAnsi="Courier New" w:cs="Courier New"/>
          <w:lang w:val="es-AR"/>
        </w:rPr>
        <w:tab/>
      </w:r>
      <w:r>
        <w:rPr>
          <w:rFonts w:ascii="Courier New" w:hAnsi="Courier New" w:cs="Courier New"/>
        </w:rPr>
        <w:t>En otro orden, refirió que en el D.P.O.C. le permitieron utilizar dos o tres celdas, como dormitorio y comedor, en tanto en otro sector había una cocina, donde había repuestos secuestrados y estaba aloj</w:t>
      </w:r>
      <w:r>
        <w:rPr>
          <w:rFonts w:ascii="Courier New" w:hAnsi="Courier New" w:cs="Courier New"/>
        </w:rPr>
        <w:t>a</w:t>
      </w:r>
      <w:r>
        <w:rPr>
          <w:rFonts w:ascii="Courier New" w:hAnsi="Courier New" w:cs="Courier New"/>
        </w:rPr>
        <w:t>da la señora de Gorriarán Merlo. Me</w:t>
      </w:r>
      <w:r>
        <w:rPr>
          <w:rFonts w:ascii="Courier New" w:hAnsi="Courier New" w:cs="Courier New"/>
        </w:rPr>
        <w:t>n</w:t>
      </w:r>
      <w:r>
        <w:rPr>
          <w:rFonts w:ascii="Courier New" w:hAnsi="Courier New" w:cs="Courier New"/>
        </w:rPr>
        <w:t>cionó que en ese mismo patio se hallaban los repuestos incautados en los allan</w:t>
      </w:r>
      <w:r>
        <w:rPr>
          <w:rFonts w:ascii="Courier New" w:hAnsi="Courier New" w:cs="Courier New"/>
        </w:rPr>
        <w:t>a</w:t>
      </w:r>
      <w:r>
        <w:rPr>
          <w:rFonts w:ascii="Courier New" w:hAnsi="Courier New" w:cs="Courier New"/>
        </w:rPr>
        <w:t xml:space="preserve">mientos y los hallados en el edificio de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 xml:space="preserve">.I.A., aclarando </w:t>
      </w:r>
      <w:r>
        <w:rPr>
          <w:rFonts w:ascii="Courier New" w:hAnsi="Courier New" w:cs="Courier New"/>
          <w:bCs/>
        </w:rPr>
        <w:t>que muchas piezas, incluidas las secuestradas en su d</w:t>
      </w:r>
      <w:r>
        <w:rPr>
          <w:rFonts w:ascii="Courier New" w:hAnsi="Courier New" w:cs="Courier New"/>
          <w:bCs/>
        </w:rPr>
        <w:t>o</w:t>
      </w:r>
      <w:r>
        <w:rPr>
          <w:rFonts w:ascii="Courier New" w:hAnsi="Courier New" w:cs="Courier New"/>
          <w:bCs/>
        </w:rPr>
        <w:t>micilio y en los talleres, como ser el de Nitzcaner, se hallaban tiradas y apiladas como bas</w:t>
      </w:r>
      <w:r>
        <w:rPr>
          <w:rFonts w:ascii="Courier New" w:hAnsi="Courier New" w:cs="Courier New"/>
          <w:bCs/>
        </w:rPr>
        <w:t>u</w:t>
      </w:r>
      <w:r>
        <w:rPr>
          <w:rFonts w:ascii="Courier New" w:hAnsi="Courier New" w:cs="Courier New"/>
          <w:bCs/>
        </w:rPr>
        <w:t>ra.</w:t>
      </w:r>
    </w:p>
    <w:p w:rsidR="00224567" w:rsidRDefault="00224567">
      <w:pPr>
        <w:widowControl w:val="0"/>
      </w:pPr>
      <w:r>
        <w:tab/>
        <w:t xml:space="preserve">En el patio, apuntó, observó un motor que, según decían, correspondía al de </w:t>
      </w:r>
      <w:smartTag w:uri="urn:schemas-microsoft-com:office:smarttags" w:element="PersonName">
        <w:smartTagPr>
          <w:attr w:name="ProductID" w:val="la A.M"/>
        </w:smartTagPr>
        <w:r>
          <w:t>la A.M</w:t>
        </w:r>
      </w:smartTag>
      <w:r>
        <w:t>.I.A. y t</w:t>
      </w:r>
      <w:r>
        <w:t>e</w:t>
      </w:r>
      <w:r>
        <w:t>nía caja de velocidad, un semieje y r</w:t>
      </w:r>
      <w:r>
        <w:t>o</w:t>
      </w:r>
      <w:r>
        <w:t>ta la parte de la chapa de la tapa de cilindro; aseveró que no se trataba del mi</w:t>
      </w:r>
      <w:r>
        <w:t>s</w:t>
      </w:r>
      <w:r>
        <w:t>mo motor que se hallaba fotografiado en a</w:t>
      </w:r>
      <w:r>
        <w:t>u</w:t>
      </w:r>
      <w:r>
        <w:t>tos.</w:t>
      </w:r>
    </w:p>
    <w:p w:rsidR="00224567" w:rsidRDefault="00224567">
      <w:pPr>
        <w:widowControl w:val="0"/>
      </w:pPr>
      <w:r>
        <w:tab/>
        <w:t>Relató que el comisario Figueroa, que según creía era el jefe de operaciones del D.P.O.C., le solicitó que, junto con Nitzcaner, lo lavaran, ya que t</w:t>
      </w:r>
      <w:r>
        <w:t>e</w:t>
      </w:r>
      <w:r>
        <w:t>nía caliza, como si hubiera estado bajo los escombros. T</w:t>
      </w:r>
      <w:r>
        <w:t>e</w:t>
      </w:r>
      <w:r>
        <w:t>lleldín expresó que al ver las fotografías del bloque obrantes en autos, dedujo que lo habrían desa</w:t>
      </w:r>
      <w:r>
        <w:t>r</w:t>
      </w:r>
      <w:r>
        <w:t>mado o bien que se tr</w:t>
      </w:r>
      <w:r>
        <w:t>a</w:t>
      </w:r>
      <w:r>
        <w:t>taría de otro motor.</w:t>
      </w:r>
    </w:p>
    <w:p w:rsidR="00224567" w:rsidRDefault="00224567">
      <w:pPr>
        <w:widowControl w:val="0"/>
      </w:pPr>
      <w:r>
        <w:tab/>
        <w:t>Con respecto a la pieza observada en el D.P.O.C., informó que se encontraba al costado de las ventanas, frente a los calabozos, donde también estaban todos los elementos secuestr</w:t>
      </w:r>
      <w:r>
        <w:t>a</w:t>
      </w:r>
      <w:r>
        <w:t xml:space="preserve">dos, tanto en el edificio de </w:t>
      </w:r>
      <w:smartTag w:uri="urn:schemas-microsoft-com:office:smarttags" w:element="PersonName">
        <w:smartTagPr>
          <w:attr w:name="ProductID" w:val="la A.M"/>
        </w:smartTagPr>
        <w:r>
          <w:t>la A.M</w:t>
        </w:r>
      </w:smartTag>
      <w:r>
        <w:t>.I.A. como en el predio de Ciudad Universitaria y en los talleres. Al fondo, señaló, se hallaba la oficina de operaciones, a la que concurrían los políticos, como ser Corach, a fin de observar las fotografías de la demolición del edificio, sin interesarse por los repuestos que se h</w:t>
      </w:r>
      <w:r>
        <w:t>a</w:t>
      </w:r>
      <w:r>
        <w:t>llaban junto a los calab</w:t>
      </w:r>
      <w:r>
        <w:t>o</w:t>
      </w:r>
      <w:r>
        <w:t>zos.</w:t>
      </w:r>
    </w:p>
    <w:p w:rsidR="00224567" w:rsidRDefault="00224567">
      <w:pPr>
        <w:pStyle w:val="Sangradetextonormal"/>
        <w:widowControl w:val="0"/>
        <w:ind w:firstLine="0"/>
      </w:pPr>
      <w:r>
        <w:tab/>
        <w:t xml:space="preserve">Aseguró el acusado que creyó que el mencionado motor era el de </w:t>
      </w:r>
      <w:smartTag w:uri="urn:schemas-microsoft-com:office:smarttags" w:element="PersonName">
        <w:smartTagPr>
          <w:attr w:name="ProductID" w:val="la A.M"/>
        </w:smartTagPr>
        <w:r>
          <w:t>la A.M</w:t>
        </w:r>
      </w:smartTag>
      <w:r>
        <w:t>.I.A., hasta que su ab</w:t>
      </w:r>
      <w:r>
        <w:t>o</w:t>
      </w:r>
      <w:r>
        <w:t>gado Sasso le mostró una fotografía del pedazo de bloque hallado, notando que ni siquiera se par</w:t>
      </w:r>
      <w:r>
        <w:t>e</w:t>
      </w:r>
      <w:r>
        <w:t>cían. Concluyó que se trataba de dos motores dif</w:t>
      </w:r>
      <w:r>
        <w:t>e</w:t>
      </w:r>
      <w:r>
        <w:t xml:space="preserve">rentes, a la vez que afirmó que </w:t>
      </w:r>
      <w:r>
        <w:rPr>
          <w:bCs/>
        </w:rPr>
        <w:t>nunca había visto el exhibido en la audiencia de deb</w:t>
      </w:r>
      <w:r>
        <w:rPr>
          <w:bCs/>
        </w:rPr>
        <w:t>a</w:t>
      </w:r>
      <w:r>
        <w:rPr>
          <w:bCs/>
        </w:rPr>
        <w:t>te</w:t>
      </w:r>
      <w:r>
        <w:t>. Con relación al que se encontraba en el D.P.O.C., o</w:t>
      </w:r>
      <w:r>
        <w:t>b</w:t>
      </w:r>
      <w:r>
        <w:t>servó que estaba raspado y daba la impresión de que hubi</w:t>
      </w:r>
      <w:r>
        <w:t>e</w:t>
      </w:r>
      <w:r>
        <w:t>ra estado debajo de arena o le hubiera caído caliza bla</w:t>
      </w:r>
      <w:r>
        <w:t>n</w:t>
      </w:r>
      <w:r>
        <w:t>ca.</w:t>
      </w:r>
    </w:p>
    <w:p w:rsidR="00224567" w:rsidRDefault="00224567">
      <w:pPr>
        <w:widowControl w:val="0"/>
      </w:pPr>
      <w:r>
        <w:rPr>
          <w:bCs/>
        </w:rPr>
        <w:tab/>
      </w:r>
      <w:r>
        <w:t>Explicó que el bloque de motor pert</w:t>
      </w:r>
      <w:r>
        <w:t>e</w:t>
      </w:r>
      <w:r>
        <w:t>necía a la camioneta de “Messin”, en tanto los acces</w:t>
      </w:r>
      <w:r>
        <w:t>o</w:t>
      </w:r>
      <w:r>
        <w:t>rios fueron cambiados y colocados los de Sarapura, aunque los pistones por ejemplo eran de la primera. Expresó que el motor de la de “Messin” se encontraba en buen estado, au</w:t>
      </w:r>
      <w:r>
        <w:t>n</w:t>
      </w:r>
      <w:r>
        <w:t>que estaba clavado, es decir, se le abrieron los aros y probablemente por el efecto del calor se le trabó el pi</w:t>
      </w:r>
      <w:r>
        <w:t>s</w:t>
      </w:r>
      <w:r>
        <w:t>tón, que se destrababa fácilmente con ker</w:t>
      </w:r>
      <w:r>
        <w:t>o</w:t>
      </w:r>
      <w:r>
        <w:t>sén.</w:t>
      </w:r>
    </w:p>
    <w:p w:rsidR="00224567" w:rsidRDefault="00224567">
      <w:pPr>
        <w:widowControl w:val="0"/>
      </w:pPr>
      <w:r>
        <w:tab/>
        <w:t>Hizo saber que en la camioneta que a</w:t>
      </w:r>
      <w:r>
        <w:t>r</w:t>
      </w:r>
      <w:r>
        <w:t>mó, la tapa del motor de la de Sarapura fue sacada con los balancines y todos sus accesorios, puesto que eran de al</w:t>
      </w:r>
      <w:r>
        <w:t>u</w:t>
      </w:r>
      <w:r>
        <w:t>minio y se hallaban en mal estado. Las juntas, es decir, junta de tapa de cilindro, junta de bomba de agua y todos los accesorios, como ser burro de arranque, alternador y demás accesorios, fueron sacados de la camioneta de Sar</w:t>
      </w:r>
      <w:r>
        <w:t>a</w:t>
      </w:r>
      <w:r>
        <w:t>pura y puestos en el “monoblock” (sic) de la de “Me</w:t>
      </w:r>
      <w:r>
        <w:t>s</w:t>
      </w:r>
      <w:r>
        <w:t>sin”. Afirmó que la bomba de agua era la de Sarap</w:t>
      </w:r>
      <w:r>
        <w:t>u</w:t>
      </w:r>
      <w:r>
        <w:t>ra.</w:t>
      </w:r>
    </w:p>
    <w:p w:rsidR="00224567" w:rsidRDefault="00224567">
      <w:pPr>
        <w:pStyle w:val="Textoindependiente2"/>
        <w:widowControl w:val="0"/>
        <w:rPr>
          <w:rFonts w:ascii="Courier New" w:hAnsi="Courier New" w:cs="Courier New"/>
          <w:bCs/>
          <w:szCs w:val="24"/>
          <w:lang w:val="es-AR"/>
        </w:rPr>
      </w:pPr>
      <w:r>
        <w:rPr>
          <w:rFonts w:ascii="Courier New" w:hAnsi="Courier New" w:cs="Courier New"/>
          <w:bCs/>
          <w:szCs w:val="24"/>
          <w:lang w:val="es-AR"/>
        </w:rPr>
        <w:tab/>
        <w:t>Resaltó que lo que vio en el D.P.O.C. era un motor con la carcasa de aluminio destruida, es d</w:t>
      </w:r>
      <w:r>
        <w:rPr>
          <w:rFonts w:ascii="Courier New" w:hAnsi="Courier New" w:cs="Courier New"/>
          <w:bCs/>
          <w:szCs w:val="24"/>
          <w:lang w:val="es-AR"/>
        </w:rPr>
        <w:t>e</w:t>
      </w:r>
      <w:r>
        <w:rPr>
          <w:rFonts w:ascii="Courier New" w:hAnsi="Courier New" w:cs="Courier New"/>
          <w:bCs/>
          <w:szCs w:val="24"/>
          <w:lang w:val="es-AR"/>
        </w:rPr>
        <w:t>cir, desgranada, con la chapa destruida y los balancines torcidos, como si hubiera ingresado en algún lugar, emp</w:t>
      </w:r>
      <w:r>
        <w:rPr>
          <w:rFonts w:ascii="Courier New" w:hAnsi="Courier New" w:cs="Courier New"/>
          <w:bCs/>
          <w:szCs w:val="24"/>
          <w:lang w:val="es-AR"/>
        </w:rPr>
        <w:t>u</w:t>
      </w:r>
      <w:r>
        <w:rPr>
          <w:rFonts w:ascii="Courier New" w:hAnsi="Courier New" w:cs="Courier New"/>
          <w:bCs/>
          <w:szCs w:val="24"/>
          <w:lang w:val="es-AR"/>
        </w:rPr>
        <w:t>jado y raspado; estaba muy dañado y no tenía burro de arranque.</w:t>
      </w:r>
    </w:p>
    <w:p w:rsidR="00224567" w:rsidRDefault="00224567">
      <w:pPr>
        <w:widowControl w:val="0"/>
      </w:pPr>
      <w:r>
        <w:tab/>
        <w:t>En otro orden, Telleldín aseveró que Semorile y Pablo y Miriam Salinas eran “testigos encubie</w:t>
      </w:r>
      <w:r>
        <w:t>r</w:t>
      </w:r>
      <w:r>
        <w:t>tos”, indicando que “Pablo Salinas” fue hallado con medio kilogramo de cocaína pura en su poder y llamado por G</w:t>
      </w:r>
      <w:r>
        <w:t>a</w:t>
      </w:r>
      <w:r>
        <w:t>leano a efectos de negociar su libertad a cambio de decl</w:t>
      </w:r>
      <w:r>
        <w:t>a</w:t>
      </w:r>
      <w:r>
        <w:t>rar en contra s</w:t>
      </w:r>
      <w:r>
        <w:t>u</w:t>
      </w:r>
      <w:r>
        <w:t>yo.</w:t>
      </w:r>
    </w:p>
    <w:p w:rsidR="00224567" w:rsidRDefault="00224567">
      <w:pPr>
        <w:widowControl w:val="0"/>
      </w:pPr>
      <w:r>
        <w:tab/>
        <w:t>En otro pasaje, el encartado refirió que Salinas le avisó de la solicitud de Galeano para que declarase en su contra, a lo que accedió, ya que el marido estuvo detenido treinta días en el hospital p</w:t>
      </w:r>
      <w:r>
        <w:t>e</w:t>
      </w:r>
      <w:r>
        <w:t xml:space="preserve">nitenciario de </w:t>
      </w:r>
      <w:smartTag w:uri="urn:schemas-microsoft-com:office:smarttags" w:element="PersonName">
        <w:smartTagPr>
          <w:attr w:name="ProductID" w:val="la Unidad"/>
        </w:smartTagPr>
        <w:r>
          <w:t>la Unidad</w:t>
        </w:r>
      </w:smartTag>
      <w:r>
        <w:t xml:space="preserve"> nº 2 con una alergia y se hallaba muy mal. Agregó que la mujer habló con su esposa y pidió verlo en la prisión, comentándole lo expuesto. El esposo, puntual</w:t>
      </w:r>
      <w:r>
        <w:t>i</w:t>
      </w:r>
      <w:r>
        <w:t>zó, declaró e inmediatamente recuperó su libe</w:t>
      </w:r>
      <w:r>
        <w:t>r</w:t>
      </w:r>
      <w:r>
        <w:t>tad.</w:t>
      </w:r>
    </w:p>
    <w:p w:rsidR="00224567" w:rsidRDefault="00224567">
      <w:pPr>
        <w:widowControl w:val="0"/>
      </w:pPr>
      <w:r>
        <w:tab/>
        <w:t>Sostuvo que le presentó al abogado S</w:t>
      </w:r>
      <w:r>
        <w:t>e</w:t>
      </w:r>
      <w:r>
        <w:t xml:space="preserve">morile a Ibáñez y luego lo defendió en la causa por las cinco mil dosis de cocaína; luego éste fue detenido </w:t>
      </w:r>
      <w:r>
        <w:rPr>
          <w:bCs/>
        </w:rPr>
        <w:t>con ocho mil dosis de droga, pero su conducta fue calificada como “tenencia simple”, ello a cambio de declarar como “testigo encubierto”.</w:t>
      </w:r>
      <w:r>
        <w:t xml:space="preserve"> Aclaró que, pese a que la mujer de Ibáñez -Miriam Salinas- era amiga de la suya, no tenía trato con el nombrado. Que sólo tuvieron rel</w:t>
      </w:r>
      <w:r>
        <w:t>a</w:t>
      </w:r>
      <w:r>
        <w:t>ción en 1991, cuando poseía un local de compraventa de electrónica us</w:t>
      </w:r>
      <w:r>
        <w:t>a</w:t>
      </w:r>
      <w:r>
        <w:t>da, Rolex y oro en Cabildo y Jurame</w:t>
      </w:r>
      <w:r>
        <w:t>n</w:t>
      </w:r>
      <w:r>
        <w:t>to e Ibáñez le vendía artículos de electrónica cuyo origen no podía rev</w:t>
      </w:r>
      <w:r>
        <w:t>e</w:t>
      </w:r>
      <w:r>
        <w:t>lar, no continuando luego el vínculo, pese a la amistad de sus e</w:t>
      </w:r>
      <w:r>
        <w:t>s</w:t>
      </w:r>
      <w:r>
        <w:t>posas.</w:t>
      </w:r>
    </w:p>
    <w:p w:rsidR="00224567" w:rsidRDefault="00224567">
      <w:pPr>
        <w:widowControl w:val="0"/>
      </w:pPr>
      <w:r>
        <w:tab/>
        <w:t>Respecto del abogado Semorile, man</w:t>
      </w:r>
      <w:r>
        <w:t>i</w:t>
      </w:r>
      <w:r>
        <w:t>festó que tomó conocimiento a través del secretario De G</w:t>
      </w:r>
      <w:r>
        <w:t>a</w:t>
      </w:r>
      <w:r>
        <w:t>mas que el magistrado instructor lo grabó mientras relat</w:t>
      </w:r>
      <w:r>
        <w:t>a</w:t>
      </w:r>
      <w:r>
        <w:t>ba el episodio de Lanús y luego lo obligó a declarar, ya que en caso contrario terminaría preso; as</w:t>
      </w:r>
      <w:r>
        <w:t>i</w:t>
      </w:r>
      <w:r>
        <w:t>mismo, refirió que aquel funcionario le había comentado que, en tanto Bottegal declaró “en crudo”, no sol</w:t>
      </w:r>
      <w:r>
        <w:t>i</w:t>
      </w:r>
      <w:r>
        <w:t>citó ser incluido como testigo encubierto y terminó preso, Semorile solicitó pr</w:t>
      </w:r>
      <w:r>
        <w:t>o</w:t>
      </w:r>
      <w:r>
        <w:t xml:space="preserve">tección; a éste lo habían grabado y debió declarar contra los policías de </w:t>
      </w:r>
      <w:smartTag w:uri="urn:schemas-microsoft-com:office:smarttags" w:element="PersonName">
        <w:smartTagPr>
          <w:attr w:name="ProductID" w:val="la Brigada"/>
        </w:smartTagPr>
        <w:r>
          <w:t>la Brigada</w:t>
        </w:r>
      </w:smartTag>
      <w:r>
        <w:t xml:space="preserve"> de Lanús para evitar ser det</w:t>
      </w:r>
      <w:r>
        <w:t>e</w:t>
      </w:r>
      <w:r>
        <w:t>nido. Aclaró que en muchas oportunidades, previo a reuni</w:t>
      </w:r>
      <w:r>
        <w:t>o</w:t>
      </w:r>
      <w:r>
        <w:t>nes que mantenía con Galeano, lo atendía De Gamas, con quien co</w:t>
      </w:r>
      <w:r>
        <w:t>n</w:t>
      </w:r>
      <w:r>
        <w:t>versaba unos minutos.</w:t>
      </w:r>
    </w:p>
    <w:p w:rsidR="00224567" w:rsidRDefault="00224567">
      <w:pPr>
        <w:widowControl w:val="0"/>
      </w:pPr>
      <w:r>
        <w:tab/>
        <w:t xml:space="preserve">Pese a que no pudo precisar la fecha, estimó que el diálogo con De Gamas tuvo lugar a fines de </w:t>
      </w:r>
      <w:smartTag w:uri="urn:schemas-microsoft-com:office:smarttags" w:element="metricconverter">
        <w:smartTagPr>
          <w:attr w:name="ProductID" w:val="1997, a"/>
        </w:smartTagPr>
        <w:r>
          <w:t>1997, a</w:t>
        </w:r>
      </w:smartTag>
      <w:r>
        <w:t xml:space="preserve"> la vez que aseguró que fue antes de 1998 y post</w:t>
      </w:r>
      <w:r>
        <w:t>e</w:t>
      </w:r>
      <w:r>
        <w:t>rior a las entrevistas con Riva Aramayo; que para ese e</w:t>
      </w:r>
      <w:r>
        <w:t>n</w:t>
      </w:r>
      <w:r>
        <w:t>tonces mantenía una buena relación con el magistrado in</w:t>
      </w:r>
      <w:r>
        <w:t>s</w:t>
      </w:r>
      <w:r>
        <w:t>tructor, dado que en una época cortó el vínculo con el nombrado y denunció irregularidades, recibiendo varias v</w:t>
      </w:r>
      <w:r>
        <w:t>i</w:t>
      </w:r>
      <w:r>
        <w:t xml:space="preserve">sitas de </w:t>
      </w:r>
      <w:smartTag w:uri="urn:schemas-microsoft-com:office:smarttags" w:element="PersonName">
        <w:smartTagPr>
          <w:attr w:name="ProductID" w:val="la Dra. Riva"/>
        </w:smartTagPr>
        <w:r>
          <w:t>la Dra. Riva</w:t>
        </w:r>
      </w:smartTag>
      <w:r>
        <w:t xml:space="preserve"> Aramayo. I</w:t>
      </w:r>
      <w:r>
        <w:t>n</w:t>
      </w:r>
      <w:r>
        <w:t>dicó que previo a éstas, semanas antes de 1996, se pr</w:t>
      </w:r>
      <w:r>
        <w:t>e</w:t>
      </w:r>
      <w:r>
        <w:t xml:space="preserve">sentó un alto funcionario de </w:t>
      </w:r>
      <w:smartTag w:uri="urn:schemas-microsoft-com:office:smarttags" w:element="PersonName">
        <w:smartTagPr>
          <w:attr w:name="ProductID" w:val="la S.I"/>
        </w:smartTagPr>
        <w:r>
          <w:t>la S.I</w:t>
        </w:r>
      </w:smartTag>
      <w:r>
        <w:t>.D.E., según creía un d</w:t>
      </w:r>
      <w:r>
        <w:t>i</w:t>
      </w:r>
      <w:r>
        <w:t xml:space="preserve">rector, llamado Luna, quien le informó que la pista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era firme y única, que querían perjudicar a Duhalde y que debía colaborar en todo lo que le pidiera Galeano, puesto que en el tema policial tenían la línea, pero les faltaban cosas. Expuso que le dijo, además, que si no colabor</w:t>
      </w:r>
      <w:r>
        <w:t>a</w:t>
      </w:r>
      <w:r>
        <w:t>ba no saldría de la cárcel y le sucedería lo mismo que con el tema Vergéz, que al haberlo denunciado, sufrió una condena, le revocaron un sobreseimiento y le complic</w:t>
      </w:r>
      <w:r>
        <w:t>a</w:t>
      </w:r>
      <w:r>
        <w:t xml:space="preserve">ron su situación procesal. Mencionó que Luna usaba bigotitos y que también lo visitó en </w:t>
      </w:r>
      <w:smartTag w:uri="urn:schemas-microsoft-com:office:smarttags" w:element="PersonName">
        <w:smartTagPr>
          <w:attr w:name="ProductID" w:val="la Unidad"/>
        </w:smartTagPr>
        <w:r>
          <w:t>la Unidad</w:t>
        </w:r>
      </w:smartTag>
      <w:r>
        <w:t xml:space="preserve"> nº 1, con Ve</w:t>
      </w:r>
      <w:r>
        <w:t>r</w:t>
      </w:r>
      <w:r>
        <w:t>géz.</w:t>
      </w:r>
    </w:p>
    <w:p w:rsidR="00224567" w:rsidRDefault="00224567">
      <w:pPr>
        <w:widowControl w:val="0"/>
      </w:pPr>
      <w:r>
        <w:tab/>
        <w:t xml:space="preserve">Relató que al efectuar una denuncia por su traslado y recusar a Galeano fue convocado por </w:t>
      </w:r>
      <w:smartTag w:uri="urn:schemas-microsoft-com:office:smarttags" w:element="PersonName">
        <w:smartTagPr>
          <w:attr w:name="ProductID" w:val="la C￡mara"/>
        </w:smartTagPr>
        <w:r>
          <w:t>la Cámara</w:t>
        </w:r>
      </w:smartTag>
      <w:r>
        <w:t xml:space="preserve">, donde efectuó una exposición </w:t>
      </w:r>
      <w:r>
        <w:rPr>
          <w:u w:val="single"/>
        </w:rPr>
        <w:t>in voce</w:t>
      </w:r>
      <w:r>
        <w:t xml:space="preserve"> ante los c</w:t>
      </w:r>
      <w:r>
        <w:t>a</w:t>
      </w:r>
      <w:r>
        <w:t>maristas, ocasión en la que habló de una irreg</w:t>
      </w:r>
      <w:r>
        <w:t>u</w:t>
      </w:r>
      <w:r>
        <w:t>laridad que había cometido el magistrado y del tema Vergéz, entre otros; luego, su abogado le comunicó que Riva Aramayo deseaba hablarle y lo visitó en el penal, haciéndose con</w:t>
      </w:r>
      <w:r>
        <w:t>s</w:t>
      </w:r>
      <w:r>
        <w:t>tar como si hubiera solicitado una entrevista con la no</w:t>
      </w:r>
      <w:r>
        <w:t>m</w:t>
      </w:r>
      <w:r>
        <w:t>brada.</w:t>
      </w:r>
    </w:p>
    <w:p w:rsidR="00224567" w:rsidRDefault="00224567">
      <w:pPr>
        <w:widowControl w:val="0"/>
      </w:pPr>
      <w:r>
        <w:tab/>
        <w:t>Negó Telleldín haber mantenido conta</w:t>
      </w:r>
      <w:r>
        <w:t>c</w:t>
      </w:r>
      <w:r>
        <w:t>tos con miembros del gobierno, aunque, según dijo, le fu</w:t>
      </w:r>
      <w:r>
        <w:t>e</w:t>
      </w:r>
      <w:r>
        <w:t xml:space="preserve">ron ofrecidos por </w:t>
      </w:r>
      <w:smartTag w:uri="urn:schemas-microsoft-com:office:smarttags" w:element="PersonName">
        <w:smartTagPr>
          <w:attr w:name="ProductID" w:val="la Dra. Riva"/>
        </w:smartTagPr>
        <w:r>
          <w:t>la Dra. Riva</w:t>
        </w:r>
      </w:smartTag>
      <w:r>
        <w:t xml:space="preserve"> Aramayo, dado que la prim</w:t>
      </w:r>
      <w:r>
        <w:t>e</w:t>
      </w:r>
      <w:r>
        <w:t>ra vez que lo entrevistó le sugirió que pensara bien lo que tenía que hacer, indicándole que había sido enviada por el presidente y p</w:t>
      </w:r>
      <w:r>
        <w:t>o</w:t>
      </w:r>
      <w:r>
        <w:t>día llevarle a cualquier persona del gobierno nacional, como Corach. A lo expuesto, adicionó que la jueza manifestó que no querían más ladrones de a</w:t>
      </w:r>
      <w:r>
        <w:t>u</w:t>
      </w:r>
      <w:r>
        <w:t>tomóviles y que el gobierno nacional estaba muy enojado por la falta de resultados. Con posterioridad, agregó, mantuvieron otras entrevistas; en una de ellas le contó lo sucedido con los Brizuela con relación al t</w:t>
      </w:r>
      <w:r>
        <w:t>e</w:t>
      </w:r>
      <w:r>
        <w:t>ma Solari.</w:t>
      </w:r>
    </w:p>
    <w:p w:rsidR="00224567" w:rsidRDefault="00224567">
      <w:pPr>
        <w:widowControl w:val="0"/>
      </w:pPr>
      <w:r>
        <w:tab/>
        <w:t>Refirió que debido a la repercusión que tuvo en la prensa el encuentro, Riva Aramayo confe</w:t>
      </w:r>
      <w:r>
        <w:t>c</w:t>
      </w:r>
      <w:r>
        <w:t>cionó un acta dejando constancia que en la primer entr</w:t>
      </w:r>
      <w:r>
        <w:t>e</w:t>
      </w:r>
      <w:r>
        <w:t>vista no había realizado negociación alguna; los últimos encue</w:t>
      </w:r>
      <w:r>
        <w:t>n</w:t>
      </w:r>
      <w:r>
        <w:t>tros, sostuvo, tuvieron otro cariz, por lo que en el acta que labró hizo un relato de las entrevi</w:t>
      </w:r>
      <w:r>
        <w:t>s</w:t>
      </w:r>
      <w:r>
        <w:t>tas.</w:t>
      </w:r>
    </w:p>
    <w:p w:rsidR="00224567" w:rsidRDefault="00224567">
      <w:pPr>
        <w:pStyle w:val="Textoindependiente"/>
        <w:spacing w:line="600" w:lineRule="auto"/>
      </w:pPr>
      <w:r>
        <w:tab/>
      </w:r>
      <w:r>
        <w:tab/>
        <w:t>Telleldín estimó que habría mantenido reuniones con Riva Aramayo durante un mes y medio o dos, aprox</w:t>
      </w:r>
      <w:r>
        <w:t>i</w:t>
      </w:r>
      <w:r>
        <w:t>madamente, una vez por semana. Apuntó que en algunas participó Stinfale, sin recordar puntualmente en cuáles, aunque luego señaló que estuvo pr</w:t>
      </w:r>
      <w:r>
        <w:t>e</w:t>
      </w:r>
      <w:r>
        <w:t xml:space="preserve">sente en la primera y en otra, que no pudo precisar. Expresó que era entrevistado en una oficina del primer piso de </w:t>
      </w:r>
      <w:smartTag w:uri="urn:schemas-microsoft-com:office:smarttags" w:element="PersonName">
        <w:smartTagPr>
          <w:attr w:name="ProductID" w:val="la Unidad"/>
        </w:smartTagPr>
        <w:r>
          <w:t>la Unidad</w:t>
        </w:r>
      </w:smartTag>
      <w:r>
        <w:t xml:space="preserve"> nº 2 y que la ju</w:t>
      </w:r>
      <w:r>
        <w:t>e</w:t>
      </w:r>
      <w:r>
        <w:t>za retiraba la batería de su “Movicom” para no ser escuch</w:t>
      </w:r>
      <w:r>
        <w:t>a</w:t>
      </w:r>
      <w:r>
        <w:t>da. Negó que otras personas hubieran interven</w:t>
      </w:r>
      <w:r>
        <w:t>i</w:t>
      </w:r>
      <w:r>
        <w:t>do, a la vez que señaló que cuando se dieron a conocer por la prensa, los encuentros final</w:t>
      </w:r>
      <w:r>
        <w:t>i</w:t>
      </w:r>
      <w:r>
        <w:t>zaron.</w:t>
      </w:r>
    </w:p>
    <w:p w:rsidR="00224567" w:rsidRDefault="00224567">
      <w:pPr>
        <w:widowControl w:val="0"/>
      </w:pPr>
      <w:r>
        <w:tab/>
        <w:t>Reseñó que la magistrada declaró s</w:t>
      </w:r>
      <w:r>
        <w:t>o</w:t>
      </w:r>
      <w:r>
        <w:t>bre hechos y circunsta</w:t>
      </w:r>
      <w:r>
        <w:t>n</w:t>
      </w:r>
      <w:r>
        <w:t>cias que le contó, muchos de los cuales no concordaban con sus dichos. Al respecto, cr</w:t>
      </w:r>
      <w:r>
        <w:t>e</w:t>
      </w:r>
      <w:r>
        <w:t>yó recordar que su abogado Stinfale había estado en una de las reuni</w:t>
      </w:r>
      <w:r>
        <w:t>o</w:t>
      </w:r>
      <w:r>
        <w:t>nes, en la que brindó datos equivocados. Dijo desconocer si los errores en ciertos det</w:t>
      </w:r>
      <w:r>
        <w:t>a</w:t>
      </w:r>
      <w:r>
        <w:t>lles -como por ejemplo en la descripción de Leal- obedecían a equivocaciones de la ju</w:t>
      </w:r>
      <w:r>
        <w:t>e</w:t>
      </w:r>
      <w:r>
        <w:t>za o de su letrado, aunque más adelante afirmó que la fa</w:t>
      </w:r>
      <w:r>
        <w:t>l</w:t>
      </w:r>
      <w:r>
        <w:t>ta fue del segundo. Con respecto a lo restante, aseguró que se ajustaba a la realidad y lo ratificó en su declar</w:t>
      </w:r>
      <w:r>
        <w:t>a</w:t>
      </w:r>
      <w:r>
        <w:t>ción de j</w:t>
      </w:r>
      <w:r>
        <w:t>u</w:t>
      </w:r>
      <w:r>
        <w:t>lio.</w:t>
      </w:r>
    </w:p>
    <w:p w:rsidR="00224567" w:rsidRDefault="00224567">
      <w:pPr>
        <w:widowControl w:val="0"/>
      </w:pPr>
      <w:r>
        <w:tab/>
        <w:t>Se negó a responder si Riva Ar</w:t>
      </w:r>
      <w:r>
        <w:t>a</w:t>
      </w:r>
      <w:r>
        <w:t>mayo le había solicitado algo en las reuniones. No obstante, ind</w:t>
      </w:r>
      <w:r>
        <w:t>i</w:t>
      </w:r>
      <w:r>
        <w:t>có que en un momento dado, en que según creía se hallaba presente su abogado, la nombrada prendió fuego al nombre de Ribelli y lo colocó en un cenicero, actitud que le ll</w:t>
      </w:r>
      <w:r>
        <w:t>a</w:t>
      </w:r>
      <w:r>
        <w:t xml:space="preserve">mó la atención. </w:t>
      </w:r>
      <w:r>
        <w:rPr>
          <w:bCs/>
        </w:rPr>
        <w:t xml:space="preserve">Negó haberle entregado algún </w:t>
      </w:r>
      <w:r>
        <w:t>documento o plano de su puño y letra o haber confeccionado el gráf</w:t>
      </w:r>
      <w:r>
        <w:t>i</w:t>
      </w:r>
      <w:r>
        <w:t>co obrante a fs. 37.377.</w:t>
      </w:r>
    </w:p>
    <w:p w:rsidR="00224567" w:rsidRDefault="00224567">
      <w:pPr>
        <w:widowControl w:val="0"/>
      </w:pPr>
      <w:r>
        <w:tab/>
        <w:t>Asimismo, creyó recordar que sus co</w:t>
      </w:r>
      <w:r>
        <w:t>n</w:t>
      </w:r>
      <w:r>
        <w:t>versaciones con Galeano sobre los policías provinciales comenzaron en noviembre de 1995, para la fecha de su pr</w:t>
      </w:r>
      <w:r>
        <w:t>o</w:t>
      </w:r>
      <w:r>
        <w:t>cesamiento por el tema automotor y asociación ilícita, cuando el magistrado le dijo que “si hubiera colaborado, ese procesamiento no habría salido”. Sostuvo que en esa reunión le mencionaron por primera vez que le pagarían por su colabor</w:t>
      </w:r>
      <w:r>
        <w:t>a</w:t>
      </w:r>
      <w:r>
        <w:t>ción.</w:t>
      </w:r>
    </w:p>
    <w:p w:rsidR="00224567" w:rsidRDefault="00224567">
      <w:pPr>
        <w:widowControl w:val="0"/>
      </w:pPr>
      <w:r>
        <w:tab/>
        <w:t>Puntualizó que la causa “Brig</w:t>
      </w:r>
      <w:r>
        <w:t>a</w:t>
      </w:r>
      <w:r>
        <w:t>das” se armó el 6 de junio de 1995 y en noviembre Galeano le ofr</w:t>
      </w:r>
      <w:r>
        <w:t>e</w:t>
      </w:r>
      <w:r>
        <w:t>ció su libertad y un pago. El dinero era importa</w:t>
      </w:r>
      <w:r>
        <w:t>n</w:t>
      </w:r>
      <w:r>
        <w:t>te, pero el hecho de que se lo diera un juez de esa manera, es d</w:t>
      </w:r>
      <w:r>
        <w:t>e</w:t>
      </w:r>
      <w:r>
        <w:t>cir, de forma “trucha”, le garantizaba su soltura. En d</w:t>
      </w:r>
      <w:r>
        <w:t>e</w:t>
      </w:r>
      <w:r>
        <w:t>finitiva, manifestó que la negociación se llevó a cabo e</w:t>
      </w:r>
      <w:r>
        <w:t>n</w:t>
      </w:r>
      <w:r>
        <w:t>tre noviembre y j</w:t>
      </w:r>
      <w:r>
        <w:t>u</w:t>
      </w:r>
      <w:r>
        <w:t>lio; que el juez le ofreció su libertad para octubre, cuando se vencían todas sus condenas, ind</w:t>
      </w:r>
      <w:r>
        <w:t>i</w:t>
      </w:r>
      <w:r>
        <w:t>cándole que debía presentar un pedido de excarcelación p</w:t>
      </w:r>
      <w:r>
        <w:t>a</w:t>
      </w:r>
      <w:r>
        <w:t>ra esa fecha. Si bien no pudo precisar cuántas ni con qué frecuencia, aseveró que mantuvo muchísimas reuniones con Galeano.</w:t>
      </w:r>
    </w:p>
    <w:p w:rsidR="00224567" w:rsidRDefault="00224567">
      <w:pPr>
        <w:widowControl w:val="0"/>
        <w:rPr>
          <w:bCs/>
        </w:rPr>
      </w:pPr>
      <w:r>
        <w:rPr>
          <w:bCs/>
        </w:rPr>
        <w:tab/>
        <w:t>Con relación al dinero, Telleldín r</w:t>
      </w:r>
      <w:r>
        <w:rPr>
          <w:bCs/>
        </w:rPr>
        <w:t>e</w:t>
      </w:r>
      <w:r>
        <w:rPr>
          <w:bCs/>
        </w:rPr>
        <w:t xml:space="preserve">firió que el magistrado instructor le ofreció </w:t>
      </w:r>
      <w:r>
        <w:t>USD</w:t>
      </w:r>
      <w:r>
        <w:rPr>
          <w:bCs/>
        </w:rPr>
        <w:t xml:space="preserve"> 1.000.000 en recompensas. Que en un principio habl</w:t>
      </w:r>
      <w:r>
        <w:rPr>
          <w:bCs/>
        </w:rPr>
        <w:t>a</w:t>
      </w:r>
      <w:r>
        <w:rPr>
          <w:bCs/>
        </w:rPr>
        <w:t xml:space="preserve">ron de </w:t>
      </w:r>
      <w:r>
        <w:t>USD</w:t>
      </w:r>
      <w:r>
        <w:rPr>
          <w:bCs/>
        </w:rPr>
        <w:t xml:space="preserve"> 350.000 en efectivo por su aporte a la causa, pero s</w:t>
      </w:r>
      <w:r>
        <w:rPr>
          <w:bCs/>
        </w:rPr>
        <w:t>o</w:t>
      </w:r>
      <w:r>
        <w:rPr>
          <w:bCs/>
        </w:rPr>
        <w:t xml:space="preserve">licitó </w:t>
      </w:r>
      <w:r>
        <w:t>USD</w:t>
      </w:r>
      <w:r>
        <w:rPr>
          <w:bCs/>
        </w:rPr>
        <w:t xml:space="preserve"> 500.000 porque incluía los honorarios de Sti</w:t>
      </w:r>
      <w:r>
        <w:rPr>
          <w:bCs/>
        </w:rPr>
        <w:t>n</w:t>
      </w:r>
      <w:r>
        <w:rPr>
          <w:bCs/>
        </w:rPr>
        <w:t xml:space="preserve">fale, arribando finalmente a la cifra de </w:t>
      </w:r>
      <w:r>
        <w:t>USD</w:t>
      </w:r>
      <w:r>
        <w:rPr>
          <w:bCs/>
        </w:rPr>
        <w:t xml:space="preserve"> </w:t>
      </w:r>
      <w:smartTag w:uri="urn:schemas-microsoft-com:office:smarttags" w:element="metricconverter">
        <w:smartTagPr>
          <w:attr w:name="ProductID" w:val="400.000, a"/>
        </w:smartTagPr>
        <w:r>
          <w:rPr>
            <w:bCs/>
          </w:rPr>
          <w:t>400.000, a</w:t>
        </w:r>
      </w:smartTag>
      <w:r>
        <w:rPr>
          <w:bCs/>
        </w:rPr>
        <w:t xml:space="preserve"> pagar en dos veces.</w:t>
      </w:r>
    </w:p>
    <w:p w:rsidR="00224567" w:rsidRDefault="00224567">
      <w:pPr>
        <w:widowControl w:val="0"/>
      </w:pPr>
      <w:r>
        <w:tab/>
        <w:t>Reparó que al video de abril le falt</w:t>
      </w:r>
      <w:r>
        <w:t>a</w:t>
      </w:r>
      <w:r>
        <w:t>ba prácticamente la mitad, dado que comienza</w:t>
      </w:r>
      <w:r>
        <w:rPr>
          <w:bCs/>
        </w:rPr>
        <w:t xml:space="preserve"> cuando ya e</w:t>
      </w:r>
      <w:r>
        <w:rPr>
          <w:bCs/>
        </w:rPr>
        <w:t>s</w:t>
      </w:r>
      <w:r>
        <w:rPr>
          <w:bCs/>
        </w:rPr>
        <w:t xml:space="preserve">tá hablando con Galeano, </w:t>
      </w:r>
      <w:r>
        <w:t>en tanto el de julio refleja más la verdad, debido a que comienza</w:t>
      </w:r>
      <w:r>
        <w:rPr>
          <w:bCs/>
        </w:rPr>
        <w:t xml:space="preserve"> la filmación cuando entra al despacho</w:t>
      </w:r>
      <w:r>
        <w:t>. Manifestó que el juez dijo que quienes co</w:t>
      </w:r>
      <w:r>
        <w:t>m</w:t>
      </w:r>
      <w:r>
        <w:t>praban el libro querían certezas y apuntó que sobre m</w:t>
      </w:r>
      <w:r>
        <w:t>u</w:t>
      </w:r>
      <w:r>
        <w:t>chas cosas tenía sospechas, en tanto otras las sabía; en la cuestión del reconocimiento del sujeto de cabello bla</w:t>
      </w:r>
      <w:r>
        <w:t>n</w:t>
      </w:r>
      <w:r>
        <w:t>co, el magistrado lo buscó, pero no lo pudo enco</w:t>
      </w:r>
      <w:r>
        <w:t>n</w:t>
      </w:r>
      <w:r>
        <w:t>trar.</w:t>
      </w:r>
    </w:p>
    <w:p w:rsidR="00224567" w:rsidRDefault="00224567">
      <w:pPr>
        <w:widowControl w:val="0"/>
      </w:pPr>
      <w:r>
        <w:tab/>
        <w:t>A lo expuesto agregó que en el caso del video de abril, en el acta constaba que su traslado obedecía a que un detenido llamado Saldaña habría manife</w:t>
      </w:r>
      <w:r>
        <w:t>s</w:t>
      </w:r>
      <w:r>
        <w:t>tado al juez que tenía un problema con el agua caliente, lo que no era cierto, como así tampoco que estuviera al</w:t>
      </w:r>
      <w:r>
        <w:t>o</w:t>
      </w:r>
      <w:r>
        <w:t>jado con alguien de ese nombre. Asimismo, aseguró que en esa entrevista faltaba la parte en que Galeano le mostró las fotografías de los elegidos, que se hallaban en un s</w:t>
      </w:r>
      <w:r>
        <w:t>o</w:t>
      </w:r>
      <w:r>
        <w:t>bre pequeño que contenía diversas vistas tipo carnet, n</w:t>
      </w:r>
      <w:r>
        <w:t>u</w:t>
      </w:r>
      <w:r>
        <w:t>meradas, incluyendo las de Leal e Ibarra, este ú</w:t>
      </w:r>
      <w:r>
        <w:t>l</w:t>
      </w:r>
      <w:r>
        <w:t xml:space="preserve">timo con el número seis; también había </w:t>
      </w:r>
      <w:r>
        <w:rPr>
          <w:bCs/>
        </w:rPr>
        <w:t>álbumes pol</w:t>
      </w:r>
      <w:r>
        <w:rPr>
          <w:bCs/>
        </w:rPr>
        <w:t>i</w:t>
      </w:r>
      <w:r>
        <w:rPr>
          <w:bCs/>
        </w:rPr>
        <w:t>ciales.</w:t>
      </w:r>
      <w:r>
        <w:t xml:space="preserve"> Aseveró que los testigos no podían identificar a nadie, pero d</w:t>
      </w:r>
      <w:r>
        <w:t>e</w:t>
      </w:r>
      <w:r>
        <w:t>bían reconocer esas fotografías, como en el caso de Cot</w:t>
      </w:r>
      <w:r>
        <w:t>o</w:t>
      </w:r>
      <w:r>
        <w:t>ras, que hizo lo que le ordenaron para evitar resultar d</w:t>
      </w:r>
      <w:r>
        <w:t>e</w:t>
      </w:r>
      <w:r>
        <w:t>ten</w:t>
      </w:r>
      <w:r>
        <w:t>i</w:t>
      </w:r>
      <w:r>
        <w:t>do.</w:t>
      </w:r>
    </w:p>
    <w:p w:rsidR="00224567" w:rsidRDefault="00224567">
      <w:pPr>
        <w:pStyle w:val="Textoindependiente"/>
        <w:spacing w:line="600" w:lineRule="auto"/>
        <w:ind w:right="20"/>
        <w:rPr>
          <w:bCs/>
        </w:rPr>
      </w:pPr>
      <w:r>
        <w:rPr>
          <w:bCs/>
        </w:rPr>
        <w:tab/>
      </w:r>
      <w:r>
        <w:rPr>
          <w:bCs/>
        </w:rPr>
        <w:tab/>
        <w:t>El día del video, dijo, estuvieron co</w:t>
      </w:r>
      <w:r>
        <w:rPr>
          <w:bCs/>
        </w:rPr>
        <w:t>n</w:t>
      </w:r>
      <w:r>
        <w:rPr>
          <w:bCs/>
        </w:rPr>
        <w:t>tinuamente con las fotografías y de entrada Galeano le e</w:t>
      </w:r>
      <w:r>
        <w:rPr>
          <w:bCs/>
        </w:rPr>
        <w:t>x</w:t>
      </w:r>
      <w:r>
        <w:rPr>
          <w:bCs/>
        </w:rPr>
        <w:t>hibió muchas, continuando luego con los álbumes; de manera espontánea reconoció a Casas, pero no así a otros. No ob</w:t>
      </w:r>
      <w:r>
        <w:rPr>
          <w:bCs/>
        </w:rPr>
        <w:t>s</w:t>
      </w:r>
      <w:r>
        <w:rPr>
          <w:bCs/>
        </w:rPr>
        <w:t xml:space="preserve">tante, en otro tramo afirmó que, si bien desconocía los nombres, </w:t>
      </w:r>
      <w:r>
        <w:t>reconoció a varios indiv</w:t>
      </w:r>
      <w:r>
        <w:t>i</w:t>
      </w:r>
      <w:r>
        <w:t>duos, como por ejemplo a Casas, relativos a los secuestros exto</w:t>
      </w:r>
      <w:r>
        <w:t>r</w:t>
      </w:r>
      <w:r>
        <w:t>sivos.</w:t>
      </w:r>
    </w:p>
    <w:p w:rsidR="00224567" w:rsidRDefault="00224567">
      <w:pPr>
        <w:pStyle w:val="Textoindependiente"/>
        <w:spacing w:line="600" w:lineRule="auto"/>
        <w:ind w:right="20"/>
      </w:pPr>
      <w:r>
        <w:rPr>
          <w:bCs/>
        </w:rPr>
        <w:tab/>
      </w:r>
      <w:r>
        <w:rPr>
          <w:bCs/>
        </w:rPr>
        <w:tab/>
        <w:t>En</w:t>
      </w:r>
      <w:r>
        <w:t xml:space="preserve"> el video de abril, añadió, se ref</w:t>
      </w:r>
      <w:r>
        <w:t>i</w:t>
      </w:r>
      <w:r>
        <w:t>rió a temas que venían de conversaciones previas, pero G</w:t>
      </w:r>
      <w:r>
        <w:t>a</w:t>
      </w:r>
      <w:r>
        <w:t>leano cortó las partes que lo comprometían. Resa</w:t>
      </w:r>
      <w:r>
        <w:t>l</w:t>
      </w:r>
      <w:r>
        <w:t>tó que, al mencionar que Semorile había estado en diversos lugares, estaba dando la conducción de la inve</w:t>
      </w:r>
      <w:r>
        <w:t>s</w:t>
      </w:r>
      <w:r>
        <w:t>tigación, dado que ya de las escuchas de Vergéz surgía que había hablado de ese letrado. Apuntó que en el e</w:t>
      </w:r>
      <w:r>
        <w:t>n</w:t>
      </w:r>
      <w:r>
        <w:t>cuentro de abril siguió con el tema Semorile y también hablaron de Conce</w:t>
      </w:r>
      <w:r>
        <w:t>p</w:t>
      </w:r>
      <w:r>
        <w:t>ción. Añadió que previo a ello –no recordó si en la primer parte de la e</w:t>
      </w:r>
      <w:r>
        <w:t>n</w:t>
      </w:r>
      <w:r>
        <w:t>trevista de abril o en una a</w:t>
      </w:r>
      <w:r>
        <w:t>n</w:t>
      </w:r>
      <w:r>
        <w:t>terior- Galeano le dijo que ya sabían quiénes habían estado en c</w:t>
      </w:r>
      <w:r>
        <w:t>a</w:t>
      </w:r>
      <w:r>
        <w:t>da hecho.</w:t>
      </w:r>
    </w:p>
    <w:p w:rsidR="00224567" w:rsidRDefault="00224567">
      <w:pPr>
        <w:pStyle w:val="Textoindependiente"/>
        <w:spacing w:line="600" w:lineRule="auto"/>
        <w:ind w:right="20"/>
      </w:pPr>
      <w:r>
        <w:tab/>
      </w:r>
      <w:r>
        <w:tab/>
        <w:t>Aclaró que en el programa “Punto Doc” se reflejaba la verdad de su declaración, en cuanto a que se había arreglado el reconocimiento de la fotografía núm</w:t>
      </w:r>
      <w:r>
        <w:t>e</w:t>
      </w:r>
      <w:r>
        <w:t>ro seis.</w:t>
      </w:r>
    </w:p>
    <w:p w:rsidR="00224567" w:rsidRDefault="00224567">
      <w:pPr>
        <w:pStyle w:val="Textoindependiente"/>
        <w:spacing w:line="600" w:lineRule="auto"/>
        <w:ind w:right="20"/>
      </w:pPr>
      <w:r>
        <w:tab/>
      </w:r>
      <w:r>
        <w:tab/>
        <w:t>Con relación al individuo que vio en el interior del Fiat Duna el 10 de julio, mencionó que lo as</w:t>
      </w:r>
      <w:r>
        <w:t>o</w:t>
      </w:r>
      <w:r>
        <w:t>ció con la persona presuntamente ciega que observó cuando tenía el lavadero, toda vez que poseían un par</w:t>
      </w:r>
      <w:r>
        <w:t>e</w:t>
      </w:r>
      <w:r>
        <w:t>cido físico, pero mantuvo grandes discusiones con Galeano y De Gamas porque no podía afirmar con total seguridad que se tr</w:t>
      </w:r>
      <w:r>
        <w:t>a</w:t>
      </w:r>
      <w:r>
        <w:t>tara del mismo sujeto.</w:t>
      </w:r>
    </w:p>
    <w:p w:rsidR="00224567" w:rsidRDefault="00224567">
      <w:pPr>
        <w:widowControl w:val="0"/>
      </w:pPr>
      <w:r>
        <w:tab/>
        <w:t>El imputado afirmó que en el mes de junio tuvo otra entrevista, cuyo video Galeano no envió, que difería de las otras, puesto que éstas eran una suerte de ensayo de lo que declararía, en tanto en aquélla le p</w:t>
      </w:r>
      <w:r>
        <w:t>e</w:t>
      </w:r>
      <w:r>
        <w:t>día lo necesario para cerrar todo en el expediente. En d</w:t>
      </w:r>
      <w:r>
        <w:t>e</w:t>
      </w:r>
      <w:r>
        <w:t>finitiva, aseguró que lo importante se hallaba en el v</w:t>
      </w:r>
      <w:r>
        <w:t>i</w:t>
      </w:r>
      <w:r>
        <w:t>deo de junio y los otros en que el juez le mostró las fotogr</w:t>
      </w:r>
      <w:r>
        <w:t>a</w:t>
      </w:r>
      <w:r>
        <w:t>fías, s</w:t>
      </w:r>
      <w:r>
        <w:t>e</w:t>
      </w:r>
      <w:r>
        <w:t>ñalándole quién era, por ejemplo, Leal.</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Al respecto, ilustró que en una de las entrevistas que no figuraba en los videos que envió G</w:t>
      </w:r>
      <w:r>
        <w:rPr>
          <w:rFonts w:ascii="Courier New" w:hAnsi="Courier New" w:cs="Courier New"/>
          <w:szCs w:val="24"/>
          <w:lang w:val="es-AR"/>
        </w:rPr>
        <w:t>a</w:t>
      </w:r>
      <w:r>
        <w:rPr>
          <w:rFonts w:ascii="Courier New" w:hAnsi="Courier New" w:cs="Courier New"/>
          <w:szCs w:val="24"/>
          <w:lang w:val="es-AR"/>
        </w:rPr>
        <w:t xml:space="preserve">leano, según creía en la del mes de junio, el magistrado extrajo un sobrecito con fotos cuatro por cuatro numeradas y dos álbumes grandes con personal de </w:t>
      </w:r>
      <w:smartTag w:uri="urn:schemas-microsoft-com:office:smarttags" w:element="PersonName">
        <w:smartTagPr>
          <w:attr w:name="ProductID" w:val="la Polic￭a Bonaerense"/>
        </w:smartTagPr>
        <w:r>
          <w:rPr>
            <w:rFonts w:ascii="Courier New" w:hAnsi="Courier New" w:cs="Courier New"/>
            <w:szCs w:val="24"/>
            <w:lang w:val="es-AR"/>
          </w:rPr>
          <w:t>la Policía Bonaere</w:t>
        </w:r>
        <w:r>
          <w:rPr>
            <w:rFonts w:ascii="Courier New" w:hAnsi="Courier New" w:cs="Courier New"/>
            <w:szCs w:val="24"/>
            <w:lang w:val="es-AR"/>
          </w:rPr>
          <w:t>n</w:t>
        </w:r>
        <w:r>
          <w:rPr>
            <w:rFonts w:ascii="Courier New" w:hAnsi="Courier New" w:cs="Courier New"/>
            <w:szCs w:val="24"/>
            <w:lang w:val="es-AR"/>
          </w:rPr>
          <w:t>se</w:t>
        </w:r>
      </w:smartTag>
      <w:r>
        <w:rPr>
          <w:rFonts w:ascii="Courier New" w:hAnsi="Courier New" w:cs="Courier New"/>
          <w:szCs w:val="24"/>
          <w:lang w:val="es-AR"/>
        </w:rPr>
        <w:t xml:space="preserve"> y dijo que esos eran los elegidos. Mencionó que las f</w:t>
      </w:r>
      <w:r>
        <w:rPr>
          <w:rFonts w:ascii="Courier New" w:hAnsi="Courier New" w:cs="Courier New"/>
          <w:szCs w:val="24"/>
          <w:lang w:val="es-AR"/>
        </w:rPr>
        <w:t>o</w:t>
      </w:r>
      <w:r>
        <w:rPr>
          <w:rFonts w:ascii="Courier New" w:hAnsi="Courier New" w:cs="Courier New"/>
          <w:szCs w:val="24"/>
          <w:lang w:val="es-AR"/>
        </w:rPr>
        <w:t>tografías de todos los policías imputados estaban en un sobre.</w:t>
      </w:r>
    </w:p>
    <w:p w:rsidR="00224567" w:rsidRDefault="00224567">
      <w:pPr>
        <w:widowControl w:val="0"/>
      </w:pPr>
      <w:r>
        <w:tab/>
        <w:t>Señaló que, según creía, durante la entrevista de junio su abogado permaneció afuera y no se hizo una audiencia, ni se firmó nada. Aclaró que con ant</w:t>
      </w:r>
      <w:r>
        <w:t>e</w:t>
      </w:r>
      <w:r>
        <w:t>lación a esa reunión sobre la fotografía número seis había tenido muchas otras reuniones con Galeano, en que le man</w:t>
      </w:r>
      <w:r>
        <w:t>i</w:t>
      </w:r>
      <w:r>
        <w:t>festó que no estaba seguro respecto al individuo a recon</w:t>
      </w:r>
      <w:r>
        <w:t>o</w:t>
      </w:r>
      <w:r>
        <w:t>cer, respondiéndole que debía esta</w:t>
      </w:r>
      <w:r>
        <w:t>r</w:t>
      </w:r>
      <w:r>
        <w:t>lo.</w:t>
      </w:r>
    </w:p>
    <w:p w:rsidR="00224567" w:rsidRDefault="00224567">
      <w:pPr>
        <w:widowControl w:val="0"/>
      </w:pPr>
      <w:r>
        <w:tab/>
        <w:t>Agregó que había otra vista fotográf</w:t>
      </w:r>
      <w:r>
        <w:t>i</w:t>
      </w:r>
      <w:r>
        <w:t>ca que marcaban, cuyo número no recordó, con el suj</w:t>
      </w:r>
      <w:r>
        <w:t>e</w:t>
      </w:r>
      <w:r>
        <w:t>to de pelo blanco, que teóricamente era Albarracín. También en este caso le informó a Galeano que no tenía ninguna seg</w:t>
      </w:r>
      <w:r>
        <w:t>u</w:t>
      </w:r>
      <w:r>
        <w:t>ridad de que fuera el nombrado, dado que lo asociaba más con Ferrari, pero más gordo. Asimismo, so</w:t>
      </w:r>
      <w:r>
        <w:t>s</w:t>
      </w:r>
      <w:r>
        <w:t xml:space="preserve">tuvo </w:t>
      </w:r>
      <w:r>
        <w:rPr>
          <w:bCs/>
        </w:rPr>
        <w:t>que uno de los policías bonaerenses encargados del traslado del det</w:t>
      </w:r>
      <w:r>
        <w:rPr>
          <w:bCs/>
        </w:rPr>
        <w:t>e</w:t>
      </w:r>
      <w:r>
        <w:rPr>
          <w:bCs/>
        </w:rPr>
        <w:t>nido Prellezo –caso Cabezas- guardaba un parecido con la persona que había mencionado, por lo que envió la fotogr</w:t>
      </w:r>
      <w:r>
        <w:rPr>
          <w:bCs/>
        </w:rPr>
        <w:t>a</w:t>
      </w:r>
      <w:r>
        <w:rPr>
          <w:bCs/>
        </w:rPr>
        <w:t>fía al Dr. Galeano por interm</w:t>
      </w:r>
      <w:r>
        <w:rPr>
          <w:bCs/>
        </w:rPr>
        <w:t>e</w:t>
      </w:r>
      <w:r>
        <w:rPr>
          <w:bCs/>
        </w:rPr>
        <w:t>dio del Dr. Stinfale.</w:t>
      </w:r>
    </w:p>
    <w:p w:rsidR="00224567" w:rsidRDefault="00224567">
      <w:pPr>
        <w:widowControl w:val="0"/>
      </w:pPr>
      <w:r>
        <w:tab/>
        <w:t>En otro pasaje, narró que Galeano se hallaba empecinado en que reconociera a Albarracín para ubicarlo bajando del automóvil, a lo que le respondió que no era el nombrado. En síntesis, indicó que, además de Ibarra, tuvo dudas con Albarr</w:t>
      </w:r>
      <w:r>
        <w:t>a</w:t>
      </w:r>
      <w:r>
        <w:t>cín, pero no así con otros. Asimismo, informó que cuando le mostr</w:t>
      </w:r>
      <w:r>
        <w:t>a</w:t>
      </w:r>
      <w:r>
        <w:t>ron las fotografías desconocía los nombres de los policías imputados, con e</w:t>
      </w:r>
      <w:r>
        <w:t>x</w:t>
      </w:r>
      <w:r>
        <w:t>cepción de Barr</w:t>
      </w:r>
      <w:r>
        <w:t>e</w:t>
      </w:r>
      <w:r>
        <w:t>da y Bareiro.</w:t>
      </w:r>
    </w:p>
    <w:p w:rsidR="00224567" w:rsidRDefault="00224567">
      <w:pPr>
        <w:widowControl w:val="0"/>
      </w:pPr>
      <w:r>
        <w:rPr>
          <w:bCs/>
        </w:rPr>
        <w:tab/>
      </w:r>
      <w:r>
        <w:t>No descartó haber mantenido entrevi</w:t>
      </w:r>
      <w:r>
        <w:t>s</w:t>
      </w:r>
      <w:r>
        <w:t>tas con Galeano que no quedaron registradas en declaraci</w:t>
      </w:r>
      <w:r>
        <w:t>o</w:t>
      </w:r>
      <w:r>
        <w:t>nes o actas, a la vez que se reprochó no haber tom</w:t>
      </w:r>
      <w:r>
        <w:t>a</w:t>
      </w:r>
      <w:r>
        <w:t>do otro abogado aparte de Stinfale, por cuanto el nombr</w:t>
      </w:r>
      <w:r>
        <w:t>a</w:t>
      </w:r>
      <w:r>
        <w:t>do se hizo amigo del magistrado. Agregó que en las reuniones estaba presente Stinfale o permanecía afuera o bien concurría y luego se r</w:t>
      </w:r>
      <w:r>
        <w:t>e</w:t>
      </w:r>
      <w:r>
        <w:t>tiraba.</w:t>
      </w:r>
    </w:p>
    <w:p w:rsidR="00224567" w:rsidRDefault="00224567">
      <w:pPr>
        <w:widowControl w:val="0"/>
        <w:rPr>
          <w:bCs/>
        </w:rPr>
      </w:pPr>
      <w:r>
        <w:tab/>
        <w:t>Aseveró Telleldín que el magistrado resolvió abonarle USD 200.000 el 5 de julio de 1996, au</w:t>
      </w:r>
      <w:r>
        <w:t>n</w:t>
      </w:r>
      <w:r>
        <w:t>que en realidad el pago se encontraba pl</w:t>
      </w:r>
      <w:r>
        <w:t>a</w:t>
      </w:r>
      <w:r>
        <w:t xml:space="preserve">neado para el 4. Si bien dijo no tener </w:t>
      </w:r>
      <w:r>
        <w:rPr>
          <w:bCs/>
        </w:rPr>
        <w:t>certeza acerca de la identidad de los agentes que participaron en el operativo, afirmó que el nombre de pila del que estaba a cargo era comandante David.</w:t>
      </w:r>
    </w:p>
    <w:p w:rsidR="00224567" w:rsidRDefault="00224567">
      <w:pPr>
        <w:widowControl w:val="0"/>
        <w:rPr>
          <w:bCs/>
        </w:rPr>
      </w:pPr>
      <w:r>
        <w:rPr>
          <w:bCs/>
        </w:rPr>
        <w:tab/>
        <w:t>Manifestó que el 4 de julio fue cit</w:t>
      </w:r>
      <w:r>
        <w:rPr>
          <w:bCs/>
        </w:rPr>
        <w:t>a</w:t>
      </w:r>
      <w:r>
        <w:rPr>
          <w:bCs/>
        </w:rPr>
        <w:t>do Stinfale, quien se hallaba asustado y se reunió con su m</w:t>
      </w:r>
      <w:r>
        <w:rPr>
          <w:bCs/>
        </w:rPr>
        <w:t>u</w:t>
      </w:r>
      <w:r>
        <w:rPr>
          <w:bCs/>
        </w:rPr>
        <w:t>jer en Belgrano. Explicó que lo convocaron a un bar, le entregaron un papel y lo hicieron concurrir a otro bar y luego a otro. Adujo que su abogado pensó que se trataba de una maniobra de Galeano para decir que había recibido el dinero producto de la venta de la camioneta, por lo que contrató personas para que oficiaran como testigos del p</w:t>
      </w:r>
      <w:r>
        <w:rPr>
          <w:bCs/>
        </w:rPr>
        <w:t>a</w:t>
      </w:r>
      <w:r>
        <w:rPr>
          <w:bCs/>
        </w:rPr>
        <w:t>go del dinero. Agregó que el grupo que se hallaba en la entrega lo advirtió y lo adjudicó como si fuera una brig</w:t>
      </w:r>
      <w:r>
        <w:rPr>
          <w:bCs/>
        </w:rPr>
        <w:t>a</w:t>
      </w:r>
      <w:r>
        <w:rPr>
          <w:bCs/>
        </w:rPr>
        <w:t>da de provincia.</w:t>
      </w:r>
    </w:p>
    <w:p w:rsidR="00224567" w:rsidRDefault="00224567">
      <w:pPr>
        <w:widowControl w:val="0"/>
        <w:rPr>
          <w:bCs/>
        </w:rPr>
      </w:pPr>
      <w:r>
        <w:rPr>
          <w:bCs/>
        </w:rPr>
        <w:tab/>
        <w:t>Al día siguiente, prosiguió, Galeano lo llamó para informarle que había una brigada “atrás” y no pudi</w:t>
      </w:r>
      <w:r>
        <w:rPr>
          <w:bCs/>
        </w:rPr>
        <w:t>e</w:t>
      </w:r>
      <w:r>
        <w:rPr>
          <w:bCs/>
        </w:rPr>
        <w:t>ron entregarle la plata, por lo que lo harían ese día. Aclaró que su mujer no quiso recibirla porque no fi</w:t>
      </w:r>
      <w:r>
        <w:rPr>
          <w:bCs/>
        </w:rPr>
        <w:t>r</w:t>
      </w:r>
      <w:r>
        <w:rPr>
          <w:bCs/>
        </w:rPr>
        <w:t>maban los derechos del libro que ya tenían rel</w:t>
      </w:r>
      <w:r>
        <w:rPr>
          <w:bCs/>
        </w:rPr>
        <w:t>a</w:t>
      </w:r>
      <w:r>
        <w:rPr>
          <w:bCs/>
        </w:rPr>
        <w:t>tado y, por seguridad de su familia, no deseaba el d</w:t>
      </w:r>
      <w:r>
        <w:rPr>
          <w:bCs/>
        </w:rPr>
        <w:t>e</w:t>
      </w:r>
      <w:r>
        <w:rPr>
          <w:bCs/>
        </w:rPr>
        <w:t>creto ley para no quedar como recibiendo el d</w:t>
      </w:r>
      <w:r>
        <w:rPr>
          <w:bCs/>
        </w:rPr>
        <w:t>i</w:t>
      </w:r>
      <w:r>
        <w:rPr>
          <w:bCs/>
        </w:rPr>
        <w:t>nero por un aporte. Apuntó que el juez le informó que había hablado con gente del g</w:t>
      </w:r>
      <w:r>
        <w:rPr>
          <w:bCs/>
        </w:rPr>
        <w:t>o</w:t>
      </w:r>
      <w:r>
        <w:rPr>
          <w:bCs/>
        </w:rPr>
        <w:t>bierno y se le abonaría en dos pa</w:t>
      </w:r>
      <w:r>
        <w:rPr>
          <w:bCs/>
        </w:rPr>
        <w:t>r</w:t>
      </w:r>
      <w:r>
        <w:rPr>
          <w:bCs/>
        </w:rPr>
        <w:t>tes.</w:t>
      </w:r>
    </w:p>
    <w:p w:rsidR="00224567" w:rsidRDefault="00224567">
      <w:pPr>
        <w:widowControl w:val="0"/>
        <w:rPr>
          <w:bCs/>
        </w:rPr>
      </w:pPr>
      <w:r>
        <w:rPr>
          <w:bCs/>
        </w:rPr>
        <w:tab/>
        <w:t>Explicó que se preparó todo para el pago en el Banco Quilmes, en la sucursal de Ramos Mejía, llegó el operativo con las camionetas mencionadas y un bolso y una valija con el dinero, rec</w:t>
      </w:r>
      <w:r>
        <w:rPr>
          <w:bCs/>
        </w:rPr>
        <w:t>i</w:t>
      </w:r>
      <w:r>
        <w:rPr>
          <w:bCs/>
        </w:rPr>
        <w:t>biéndolo uno de sus hermanos, cuyo nombre se reservó, que tomó la valija y partió en su a</w:t>
      </w:r>
      <w:r>
        <w:rPr>
          <w:bCs/>
        </w:rPr>
        <w:t>u</w:t>
      </w:r>
      <w:r>
        <w:rPr>
          <w:bCs/>
        </w:rPr>
        <w:t>tomóvil con los</w:t>
      </w:r>
      <w:r>
        <w:t xml:space="preserve"> USD</w:t>
      </w:r>
      <w:r>
        <w:rPr>
          <w:bCs/>
        </w:rPr>
        <w:t xml:space="preserve"> 200.000.</w:t>
      </w:r>
    </w:p>
    <w:p w:rsidR="00224567" w:rsidRDefault="00224567">
      <w:pPr>
        <w:widowControl w:val="0"/>
      </w:pPr>
      <w:r>
        <w:rPr>
          <w:bCs/>
        </w:rPr>
        <w:tab/>
        <w:t xml:space="preserve">Detalló </w:t>
      </w:r>
      <w:r>
        <w:t>que la entrega fue en la pue</w:t>
      </w:r>
      <w:r>
        <w:t>r</w:t>
      </w:r>
      <w:r>
        <w:t>ta del banco, ingr</w:t>
      </w:r>
      <w:r>
        <w:t>e</w:t>
      </w:r>
      <w:r>
        <w:t>sando toda la brigada, pero su mujer no depositó nada en la entidad, sino que retir</w:t>
      </w:r>
      <w:r>
        <w:t>a</w:t>
      </w:r>
      <w:r>
        <w:t>ron el dinero inmediatamente, puesto que temían que luego Galeano hici</w:t>
      </w:r>
      <w:r>
        <w:t>e</w:t>
      </w:r>
      <w:r>
        <w:t>ra un allanamiento e imp</w:t>
      </w:r>
      <w:r>
        <w:t>u</w:t>
      </w:r>
      <w:r>
        <w:t xml:space="preserve">tara los USD </w:t>
      </w:r>
      <w:smartTag w:uri="urn:schemas-microsoft-com:office:smarttags" w:element="metricconverter">
        <w:smartTagPr>
          <w:attr w:name="ProductID" w:val="200.000 a"/>
        </w:smartTagPr>
        <w:r>
          <w:t>200.000 a</w:t>
        </w:r>
      </w:smartTag>
      <w:r>
        <w:t xml:space="preserve"> </w:t>
      </w:r>
      <w:smartTag w:uri="urn:schemas-microsoft-com:office:smarttags" w:element="PersonName">
        <w:smartTagPr>
          <w:attr w:name="ProductID" w:val="la Trafic. Adun￳"/>
        </w:smartTagPr>
        <w:r>
          <w:t xml:space="preserve">la Trafic. </w:t>
        </w:r>
        <w:r>
          <w:rPr>
            <w:bCs/>
          </w:rPr>
          <w:t>Adunó</w:t>
        </w:r>
      </w:smartTag>
      <w:r>
        <w:rPr>
          <w:bCs/>
        </w:rPr>
        <w:t xml:space="preserve"> </w:t>
      </w:r>
      <w:r>
        <w:t>que Stinfale aguardó la llegada del grupo operativo y se marchó, dado que no quería comprometerse al recibir el paquete. En definitiva, afirmó que al momento de la e</w:t>
      </w:r>
      <w:r>
        <w:t>n</w:t>
      </w:r>
      <w:r>
        <w:t>trega estaban presentes su hermano, su mujer y Stinfale, aunque éste se asustó y retornó al juzg</w:t>
      </w:r>
      <w:r>
        <w:t>a</w:t>
      </w:r>
      <w:r>
        <w:t>do.</w:t>
      </w:r>
    </w:p>
    <w:p w:rsidR="00224567" w:rsidRDefault="00224567">
      <w:pPr>
        <w:pStyle w:val="Textoindependiente"/>
        <w:spacing w:line="600" w:lineRule="auto"/>
        <w:ind w:right="20"/>
        <w:rPr>
          <w:bCs/>
        </w:rPr>
      </w:pPr>
      <w:r>
        <w:rPr>
          <w:bCs/>
        </w:rPr>
        <w:tab/>
        <w:t>A lo expuesto añadió que a fs. 24.290 con</w:t>
      </w:r>
      <w:r>
        <w:rPr>
          <w:bCs/>
        </w:rPr>
        <w:t>s</w:t>
      </w:r>
      <w:r>
        <w:rPr>
          <w:bCs/>
        </w:rPr>
        <w:t>taba que, conjunt</w:t>
      </w:r>
      <w:r>
        <w:rPr>
          <w:bCs/>
        </w:rPr>
        <w:t>a</w:t>
      </w:r>
      <w:r>
        <w:rPr>
          <w:bCs/>
        </w:rPr>
        <w:t>mente con el primer pago, el 10 de julio el magistrado instructor dispuso cust</w:t>
      </w:r>
      <w:r>
        <w:rPr>
          <w:bCs/>
        </w:rPr>
        <w:t>o</w:t>
      </w:r>
      <w:r>
        <w:rPr>
          <w:bCs/>
        </w:rPr>
        <w:t>dia para su familia y su hermano Eduardo, lo que se hallaba i</w:t>
      </w:r>
      <w:r>
        <w:rPr>
          <w:bCs/>
        </w:rPr>
        <w:t>n</w:t>
      </w:r>
      <w:r>
        <w:rPr>
          <w:bCs/>
        </w:rPr>
        <w:t>cluido en el trato que hici</w:t>
      </w:r>
      <w:r>
        <w:rPr>
          <w:bCs/>
        </w:rPr>
        <w:t>e</w:t>
      </w:r>
      <w:r>
        <w:rPr>
          <w:bCs/>
        </w:rPr>
        <w:t>ron.</w:t>
      </w:r>
    </w:p>
    <w:p w:rsidR="00224567" w:rsidRDefault="00224567">
      <w:pPr>
        <w:pStyle w:val="Textoindependiente"/>
        <w:spacing w:line="600" w:lineRule="auto"/>
        <w:ind w:right="20"/>
      </w:pPr>
      <w:r>
        <w:tab/>
        <w:t>El día del pago, manifestó Telleldín, le a</w:t>
      </w:r>
      <w:r>
        <w:t>l</w:t>
      </w:r>
      <w:r>
        <w:t>canzaron un teléfono celular y el familiar que había envi</w:t>
      </w:r>
      <w:r>
        <w:t>a</w:t>
      </w:r>
      <w:r>
        <w:t>do le comunicó que ya se lo habían entregado. Dedujo que desde el teléfono público ubicado en la puerta del banco habrían llamado al celular de algún integra</w:t>
      </w:r>
      <w:r>
        <w:t>n</w:t>
      </w:r>
      <w:r>
        <w:t>te del juzgado. Afirmó que si su interlocutor le decía que no lo había r</w:t>
      </w:r>
      <w:r>
        <w:t>e</w:t>
      </w:r>
      <w:r>
        <w:t>cibido, no firmaba su declaración. En definitiva, admitió que el pago fue por su declaración indagatoria del 5 de j</w:t>
      </w:r>
      <w:r>
        <w:t>u</w:t>
      </w:r>
      <w:r>
        <w:t>lio de 1996, no obstante lo cual, ratificó sus manifest</w:t>
      </w:r>
      <w:r>
        <w:t>a</w:t>
      </w:r>
      <w:r>
        <w:t>ciones vertidas en ella. Aclaró que aceptó el texto -aunque no fueran sus palabras- y sus dichos comenzaban con la me</w:t>
      </w:r>
      <w:r>
        <w:t>n</w:t>
      </w:r>
      <w:r>
        <w:t>ción del lavadero ubicado en la localidad de Olivos en el año 1993.</w:t>
      </w:r>
    </w:p>
    <w:p w:rsidR="00224567" w:rsidRDefault="00224567">
      <w:pPr>
        <w:pStyle w:val="Textoindependiente"/>
        <w:spacing w:line="600" w:lineRule="auto"/>
        <w:ind w:right="20"/>
      </w:pPr>
      <w:r>
        <w:tab/>
        <w:t>Al respecto, señaló que estaba contando la verdad, pero no tenía certeza con relación al reconocimie</w:t>
      </w:r>
      <w:r>
        <w:t>n</w:t>
      </w:r>
      <w:r>
        <w:t>to de Ibarra; de todos modos, Gale</w:t>
      </w:r>
      <w:r>
        <w:t>a</w:t>
      </w:r>
      <w:r>
        <w:t>no le exigió a todos que apuntaran la fotografía seis. Acl</w:t>
      </w:r>
      <w:r>
        <w:t>a</w:t>
      </w:r>
      <w:r>
        <w:t>ró que en la declaración indagatoria del 5 de julio le exhibieron el mismo sobre y las mismas fotografías que le habían mostrado en una entr</w:t>
      </w:r>
      <w:r>
        <w:t>e</w:t>
      </w:r>
      <w:r>
        <w:t>vista ant</w:t>
      </w:r>
      <w:r>
        <w:t>e</w:t>
      </w:r>
      <w:r>
        <w:t>rior.</w:t>
      </w:r>
    </w:p>
    <w:p w:rsidR="00224567" w:rsidRDefault="00224567">
      <w:pPr>
        <w:widowControl w:val="0"/>
      </w:pPr>
      <w:r>
        <w:tab/>
        <w:t>En cuanto a quién entregó la camion</w:t>
      </w:r>
      <w:r>
        <w:t>e</w:t>
      </w:r>
      <w:r>
        <w:t>ta, ratificó sus d</w:t>
      </w:r>
      <w:r>
        <w:t>i</w:t>
      </w:r>
      <w:r>
        <w:t>chos, en punto a que le fue sacada por la policía, aunque los reconocimientos fueron llevados a cabo de manera irregular. Con relación a los sujetos me</w:t>
      </w:r>
      <w:r>
        <w:t>n</w:t>
      </w:r>
      <w:r>
        <w:t>cionados en la declaración referida como que descendieron de un Fiat, señaló que el de pelo blanco nunca fue local</w:t>
      </w:r>
      <w:r>
        <w:t>i</w:t>
      </w:r>
      <w:r>
        <w:t>zado, en tanto el identificado como “el Zorro” tenía un gran parecido con Ibarra, aunque no podía asegurar que fuera éste.</w:t>
      </w:r>
    </w:p>
    <w:p w:rsidR="00224567" w:rsidRDefault="00224567">
      <w:pPr>
        <w:widowControl w:val="0"/>
        <w:ind w:firstLine="2835"/>
      </w:pPr>
      <w:r>
        <w:t>Al respecto, destacó que se hallaba detrás de una ve</w:t>
      </w:r>
      <w:r>
        <w:t>n</w:t>
      </w:r>
      <w:r>
        <w:t>tana cuadrada, desde donde los vio, pero aclaró que con esa ubicación podía ver de lejos y no de cerca. Calculó que desde la mesa del living donde se h</w:t>
      </w:r>
      <w:r>
        <w:t>a</w:t>
      </w:r>
      <w:r>
        <w:t xml:space="preserve">llaba sentado hasta donde estaban las personas referidas habría 15 ó </w:t>
      </w:r>
      <w:smartTag w:uri="urn:schemas-microsoft-com:office:smarttags" w:element="metricconverter">
        <w:smartTagPr>
          <w:attr w:name="ProductID" w:val="20 m"/>
        </w:smartTagPr>
        <w:r>
          <w:t>20 m</w:t>
        </w:r>
      </w:smartTag>
      <w:r>
        <w:t>. R</w:t>
      </w:r>
      <w:r>
        <w:t>e</w:t>
      </w:r>
      <w:r>
        <w:t>iteró que si bien no estaba totalmente seguro de que fuera la persona, G</w:t>
      </w:r>
      <w:r>
        <w:t>a</w:t>
      </w:r>
      <w:r>
        <w:t>leano le exigía certeza en el reconocimiento. En def</w:t>
      </w:r>
      <w:r>
        <w:t>i</w:t>
      </w:r>
      <w:r>
        <w:t>nitiva, más adelante, admitió que sí lo vio de fre</w:t>
      </w:r>
      <w:r>
        <w:t>n</w:t>
      </w:r>
      <w:r>
        <w:t>te.</w:t>
      </w:r>
    </w:p>
    <w:p w:rsidR="00224567" w:rsidRDefault="00224567">
      <w:pPr>
        <w:pStyle w:val="Textoindependiente"/>
        <w:spacing w:line="600" w:lineRule="auto"/>
        <w:ind w:right="20"/>
        <w:rPr>
          <w:bCs/>
        </w:rPr>
      </w:pPr>
      <w:r>
        <w:tab/>
      </w:r>
      <w:r>
        <w:tab/>
        <w:t xml:space="preserve">A su vez, expresó </w:t>
      </w:r>
      <w:r>
        <w:rPr>
          <w:bCs/>
        </w:rPr>
        <w:t>que se hallaban pr</w:t>
      </w:r>
      <w:r>
        <w:rPr>
          <w:bCs/>
        </w:rPr>
        <w:t>e</w:t>
      </w:r>
      <w:r>
        <w:rPr>
          <w:bCs/>
        </w:rPr>
        <w:t xml:space="preserve">sentes en su declaración Lifschitz, Spina y De Gamas, el primero de los cuales </w:t>
      </w:r>
      <w:r>
        <w:t>entraba y salía continuamente y par</w:t>
      </w:r>
      <w:r>
        <w:t>e</w:t>
      </w:r>
      <w:r>
        <w:t>cía el principal colaborador del juez</w:t>
      </w:r>
      <w:r>
        <w:rPr>
          <w:bCs/>
        </w:rPr>
        <w:t>. Manifestó</w:t>
      </w:r>
      <w:r>
        <w:t xml:space="preserve"> que,</w:t>
      </w:r>
      <w:r>
        <w:rPr>
          <w:bCs/>
        </w:rPr>
        <w:t xml:space="preserve"> según creía, Mullen y Barbaccia no estuvieron, sino que asistió un ayudante de la fiscalía u otro fi</w:t>
      </w:r>
      <w:r>
        <w:rPr>
          <w:bCs/>
        </w:rPr>
        <w:t>s</w:t>
      </w:r>
      <w:r>
        <w:rPr>
          <w:bCs/>
        </w:rPr>
        <w:t>cal.</w:t>
      </w:r>
    </w:p>
    <w:p w:rsidR="00224567" w:rsidRDefault="00224567">
      <w:pPr>
        <w:pStyle w:val="Textoindependiente"/>
        <w:spacing w:line="600" w:lineRule="auto"/>
        <w:ind w:right="20"/>
      </w:pPr>
      <w:r>
        <w:rPr>
          <w:bCs/>
        </w:rPr>
        <w:tab/>
      </w:r>
      <w:r>
        <w:rPr>
          <w:bCs/>
        </w:rPr>
        <w:tab/>
        <w:t xml:space="preserve">Con relación a su abogado, apuntó que </w:t>
      </w:r>
      <w:r>
        <w:t>al m</w:t>
      </w:r>
      <w:r>
        <w:t>o</w:t>
      </w:r>
      <w:r>
        <w:t>mento de su deposición se hallaba en el Banco Quilmes con su esposa, pero luego fue hasta el juzgado y, según creía, después de un rato se retiró. No pudo precisar cuá</w:t>
      </w:r>
      <w:r>
        <w:t>n</w:t>
      </w:r>
      <w:r>
        <w:t>tas veces entró y salió de su declaración; no obstante ello, afirmó que no se quedó durante todo el acto en el l</w:t>
      </w:r>
      <w:r>
        <w:t>u</w:t>
      </w:r>
      <w:r>
        <w:t>gar.</w:t>
      </w:r>
    </w:p>
    <w:p w:rsidR="00224567" w:rsidRDefault="00224567">
      <w:pPr>
        <w:pStyle w:val="Textoindependiente"/>
        <w:spacing w:line="600" w:lineRule="auto"/>
        <w:ind w:right="20"/>
      </w:pPr>
      <w:r>
        <w:tab/>
      </w:r>
      <w:r>
        <w:tab/>
        <w:t>Telleldín denunció que fue víctima de presiones y extorsiones por parte del gobierno nacional y del juez Galeano, citando como ejemplo su d</w:t>
      </w:r>
      <w:r>
        <w:t>e</w:t>
      </w:r>
      <w:r>
        <w:t xml:space="preserve">claración del 5 de julio. Explicó que gente de </w:t>
      </w:r>
      <w:smartTag w:uri="urn:schemas-microsoft-com:office:smarttags" w:element="PersonName">
        <w:smartTagPr>
          <w:attr w:name="ProductID" w:val="la S.I"/>
        </w:smartTagPr>
        <w:r>
          <w:t>la S.I</w:t>
        </w:r>
      </w:smartTag>
      <w:r>
        <w:t>.D.E. lo estaba gr</w:t>
      </w:r>
      <w:r>
        <w:t>a</w:t>
      </w:r>
      <w:r>
        <w:t>bando, Galeano lo sacaba cont</w:t>
      </w:r>
      <w:r>
        <w:t>i</w:t>
      </w:r>
      <w:r>
        <w:t xml:space="preserve">nuamente del despacho y obvió convocar a la defensora oficial, a fin de ocultar las </w:t>
      </w:r>
      <w:r>
        <w:rPr>
          <w:bCs/>
        </w:rPr>
        <w:t>irr</w:t>
      </w:r>
      <w:r>
        <w:rPr>
          <w:bCs/>
        </w:rPr>
        <w:t>e</w:t>
      </w:r>
      <w:r>
        <w:rPr>
          <w:bCs/>
        </w:rPr>
        <w:t xml:space="preserve">gularidades y </w:t>
      </w:r>
      <w:r>
        <w:t>los reconocimientos fotogr</w:t>
      </w:r>
      <w:r>
        <w:t>á</w:t>
      </w:r>
      <w:r>
        <w:t>ficos.</w:t>
      </w:r>
    </w:p>
    <w:p w:rsidR="00224567" w:rsidRDefault="00224567">
      <w:pPr>
        <w:pStyle w:val="Textoindependiente"/>
        <w:spacing w:line="600" w:lineRule="auto"/>
        <w:ind w:right="20"/>
      </w:pPr>
      <w:r>
        <w:tab/>
      </w:r>
      <w:r>
        <w:tab/>
        <w:t>Asimismo, puntualizó que el juez lo r</w:t>
      </w:r>
      <w:r>
        <w:t>e</w:t>
      </w:r>
      <w:r>
        <w:t>tiró de la audiencia entre cuatro y seis veces para señ</w:t>
      </w:r>
      <w:r>
        <w:t>a</w:t>
      </w:r>
      <w:r>
        <w:t>larle que se había olvidado de declarar ciertas cosas y d</w:t>
      </w:r>
      <w:r>
        <w:t>e</w:t>
      </w:r>
      <w:r>
        <w:t>bía agregar otras, aunque no recordó cuáles. Graficó que prestaba declaración en un despacho, en tanto Galeano pe</w:t>
      </w:r>
      <w:r>
        <w:t>r</w:t>
      </w:r>
      <w:r>
        <w:t>manecía en el suyo, pero lo hacía salir y se encontraban frente a una fotocopiadora, donde estaba el agente penite</w:t>
      </w:r>
      <w:r>
        <w:t>n</w:t>
      </w:r>
      <w:r>
        <w:t>ciario Devilliuk sentado. Aclaró que ello sólo sucedió en esa indagatoria y no en todas las d</w:t>
      </w:r>
      <w:r>
        <w:t>e</w:t>
      </w:r>
      <w:r>
        <w:t>más.</w:t>
      </w:r>
    </w:p>
    <w:p w:rsidR="00224567" w:rsidRDefault="00224567">
      <w:pPr>
        <w:pStyle w:val="Textoindependiente"/>
        <w:spacing w:line="600" w:lineRule="auto"/>
        <w:ind w:right="20"/>
      </w:pPr>
      <w:r>
        <w:tab/>
      </w:r>
      <w:r>
        <w:tab/>
        <w:t>Al señalársele que en su declar</w:t>
      </w:r>
      <w:r>
        <w:t>a</w:t>
      </w:r>
      <w:r>
        <w:t>ción de julio de 1996 m</w:t>
      </w:r>
      <w:r>
        <w:t>a</w:t>
      </w:r>
      <w:r>
        <w:t>nifestó que con Ana sabían que no se podía nombrar a la policía, en tanto en sus primeras declaraci</w:t>
      </w:r>
      <w:r>
        <w:t>o</w:t>
      </w:r>
      <w:r>
        <w:t>nes relató la persecución policial del 14, adujó que la contradicción obedecía a que esa fue una de las cosas que Galeano le indicó que dijera, dado que no tenían otra e</w:t>
      </w:r>
      <w:r>
        <w:t>x</w:t>
      </w:r>
      <w:r>
        <w:t>plicación. En el mismo sentido, refirió que qu</w:t>
      </w:r>
      <w:r>
        <w:t>e</w:t>
      </w:r>
      <w:r>
        <w:t>daban huecos a los que no sabía cómo responder y el juez le bri</w:t>
      </w:r>
      <w:r>
        <w:t>n</w:t>
      </w:r>
      <w:r>
        <w:t>daba la solución.</w:t>
      </w:r>
    </w:p>
    <w:p w:rsidR="00224567" w:rsidRDefault="00224567">
      <w:pPr>
        <w:pStyle w:val="Textoindependiente"/>
        <w:spacing w:line="600" w:lineRule="auto"/>
        <w:ind w:right="20"/>
      </w:pPr>
      <w:r>
        <w:tab/>
      </w:r>
      <w:r>
        <w:tab/>
        <w:t>Sostuvo que en esa deposición la m</w:t>
      </w:r>
      <w:r>
        <w:t>i</w:t>
      </w:r>
      <w:r>
        <w:t>tad no eran sus dichos, es decir, las contradicciones que exi</w:t>
      </w:r>
      <w:r>
        <w:t>s</w:t>
      </w:r>
      <w:r>
        <w:t>tían obedecían a que ciertas respuestas las había ind</w:t>
      </w:r>
      <w:r>
        <w:t>i</w:t>
      </w:r>
      <w:r>
        <w:t>cado el juez Galeano. Ejemplificó con el tramo referido a que sabían que no se debía nombrar a la policía, a la vez que adunó que así había otras, aunque no pudo precisar cu</w:t>
      </w:r>
      <w:r>
        <w:t>á</w:t>
      </w:r>
      <w:r>
        <w:t>les. Detalló que el encabezado y otras explicaciones no le pe</w:t>
      </w:r>
      <w:r>
        <w:t>r</w:t>
      </w:r>
      <w:r>
        <w:t>tenecían y por eso al cotejar la declaración con otras no había coincidencias. Concluyó que en la declaración había man</w:t>
      </w:r>
      <w:r>
        <w:t>i</w:t>
      </w:r>
      <w:r>
        <w:t>festaciones que le pusieron para que dijera y otras que eran ciertas, como ser las exto</w:t>
      </w:r>
      <w:r>
        <w:t>r</w:t>
      </w:r>
      <w:r>
        <w:t>siones.</w:t>
      </w:r>
    </w:p>
    <w:p w:rsidR="00224567" w:rsidRDefault="00224567">
      <w:pPr>
        <w:widowControl w:val="0"/>
      </w:pPr>
      <w:r>
        <w:tab/>
        <w:t>Indicó que Devilliuk era un cel</w:t>
      </w:r>
      <w:r>
        <w:t>a</w:t>
      </w:r>
      <w:r>
        <w:t>dor y custodio comisionado por el Servicio Penitenciario para acompañarlo a todos lados, por lo que presenció la ampli</w:t>
      </w:r>
      <w:r>
        <w:t>a</w:t>
      </w:r>
      <w:r>
        <w:t>ción de indagatoria del 5 de julio y vio cómo el juez lo sacó en varias oportunid</w:t>
      </w:r>
      <w:r>
        <w:t>a</w:t>
      </w:r>
      <w:r>
        <w:t xml:space="preserve">des, puesto que se hallaba en el pasillo junto con </w:t>
      </w:r>
      <w:smartTag w:uri="urn:schemas-microsoft-com:office:smarttags" w:element="PersonName">
        <w:smartTagPr>
          <w:attr w:name="ProductID" w:val="la S.I"/>
        </w:smartTagPr>
        <w:r>
          <w:t>la S.I</w:t>
        </w:r>
      </w:smartTag>
      <w:r>
        <w:t>.D.E., grabando y oyendo con aur</w:t>
      </w:r>
      <w:r>
        <w:t>i</w:t>
      </w:r>
      <w:r>
        <w:t>culares lo que d</w:t>
      </w:r>
      <w:r>
        <w:t>e</w:t>
      </w:r>
      <w:r>
        <w:t>claraba.</w:t>
      </w:r>
    </w:p>
    <w:p w:rsidR="00224567" w:rsidRDefault="00224567">
      <w:pPr>
        <w:pStyle w:val="Textoindependiente"/>
        <w:spacing w:line="600" w:lineRule="auto"/>
        <w:ind w:right="20"/>
      </w:pPr>
      <w:r>
        <w:tab/>
      </w:r>
      <w:r>
        <w:tab/>
        <w:t>Con relación al segundo pago, man</w:t>
      </w:r>
      <w:r>
        <w:t>i</w:t>
      </w:r>
      <w:r>
        <w:t>festó que pasado un mes y medio o dos del primero, en varias oportunidades reclamó el resto del d</w:t>
      </w:r>
      <w:r>
        <w:t>i</w:t>
      </w:r>
      <w:r>
        <w:t>nero a De Gamas, quien abrió una caja fuerte que había en su oficina y se lo mo</w:t>
      </w:r>
      <w:r>
        <w:t>s</w:t>
      </w:r>
      <w:r>
        <w:t>tró, a la vez que le informó que tenían órdenes de entr</w:t>
      </w:r>
      <w:r>
        <w:t>e</w:t>
      </w:r>
      <w:r>
        <w:t>gárselo. Por último, i</w:t>
      </w:r>
      <w:r>
        <w:t>n</w:t>
      </w:r>
      <w:r>
        <w:t>dicó que, aproximadamente, en el mes de octubre le abonaron otros USD 200.000, de la misma forma que los primeros, es decir, entregaron una valija a uno de sus hermanos, cuyo nombre se reservó. En definitiva, asev</w:t>
      </w:r>
      <w:r>
        <w:t>e</w:t>
      </w:r>
      <w:r>
        <w:t>ró que en total recibió USD 400.000, negándose a declarar en cuanto al destino que les oto</w:t>
      </w:r>
      <w:r>
        <w:t>r</w:t>
      </w:r>
      <w:r>
        <w:t>gó.</w:t>
      </w:r>
    </w:p>
    <w:p w:rsidR="00224567" w:rsidRDefault="00224567">
      <w:pPr>
        <w:widowControl w:val="0"/>
      </w:pPr>
      <w:r>
        <w:tab/>
        <w:t>Asimismo, explicó que Galeano le ab</w:t>
      </w:r>
      <w:r>
        <w:t>o</w:t>
      </w:r>
      <w:r>
        <w:t>nó la primera parte del dinero, pero no quería pagarle el saldo hasta tanto no declarasen todos los testigos, motivo por el cual se postergó hasta octubre. Agregó que, ad</w:t>
      </w:r>
      <w:r>
        <w:t>e</w:t>
      </w:r>
      <w:r>
        <w:t>más, era el damnificado de las extorsiones y los secuestros y no quería denuncia</w:t>
      </w:r>
      <w:r>
        <w:t>r</w:t>
      </w:r>
      <w:r>
        <w:t>los, pero al juez le parecía importante que relatara cronológicame</w:t>
      </w:r>
      <w:r>
        <w:t>n</w:t>
      </w:r>
      <w:r>
        <w:t>te esos hechos.</w:t>
      </w:r>
    </w:p>
    <w:p w:rsidR="00224567" w:rsidRDefault="00224567">
      <w:pPr>
        <w:widowControl w:val="0"/>
      </w:pPr>
      <w:r>
        <w:tab/>
        <w:t>Dejó en claro que en el video de j</w:t>
      </w:r>
      <w:r>
        <w:t>u</w:t>
      </w:r>
      <w:r>
        <w:t>lio el término “libro” designaba a la declaración ind</w:t>
      </w:r>
      <w:r>
        <w:t>a</w:t>
      </w:r>
      <w:r>
        <w:t>gatoria. Mencionó que la filmación fue hecha por Galeano para mo</w:t>
      </w:r>
      <w:r>
        <w:t>s</w:t>
      </w:r>
      <w:r>
        <w:t>trársela a las autoridades que aportaban el dinero, pero dedujo que por ese motivo no podía decir que le pagaban por la declaración y la refirió como el “libro”. Añadió que no acordaron previamente llama</w:t>
      </w:r>
      <w:r>
        <w:t>r</w:t>
      </w:r>
      <w:r>
        <w:t>la así, sino que en esa misma reunión comenzó a referirse en esos términos y apu</w:t>
      </w:r>
      <w:r>
        <w:t>n</w:t>
      </w:r>
      <w:r>
        <w:t>tó que lo del libro era ficticio, toda vez que no tenía intenciones de escr</w:t>
      </w:r>
      <w:r>
        <w:t>i</w:t>
      </w:r>
      <w:r>
        <w:t>birlo.</w:t>
      </w:r>
    </w:p>
    <w:p w:rsidR="00224567" w:rsidRDefault="00224567">
      <w:pPr>
        <w:widowControl w:val="0"/>
      </w:pPr>
      <w:r>
        <w:tab/>
        <w:t>Con relación al tema del dinero, me</w:t>
      </w:r>
      <w:r>
        <w:t>n</w:t>
      </w:r>
      <w:r>
        <w:t>cionó que en el juzgado lo sabía De Gamas, que el único abogado del juzgado que no participó fue Velasco, con quien tuvo poco trato, y que Spina colaboraba. En defin</w:t>
      </w:r>
      <w:r>
        <w:t>i</w:t>
      </w:r>
      <w:r>
        <w:t>tiva, aseveró que manejó todo el trato con Galeano y De Gamas, sin participación de otro integrante del Poder J</w:t>
      </w:r>
      <w:r>
        <w:t>u</w:t>
      </w:r>
      <w:r>
        <w:t>dicial en el ofrecimie</w:t>
      </w:r>
      <w:r>
        <w:t>n</w:t>
      </w:r>
      <w:r>
        <w:t>to.</w:t>
      </w:r>
    </w:p>
    <w:p w:rsidR="00224567" w:rsidRDefault="00224567">
      <w:pPr>
        <w:widowControl w:val="0"/>
      </w:pPr>
      <w:r>
        <w:tab/>
        <w:t>El encartado aseguró que aceptó el p</w:t>
      </w:r>
      <w:r>
        <w:t>a</w:t>
      </w:r>
      <w:r>
        <w:t>go porque habló directamente con Galeano, por cuant</w:t>
      </w:r>
      <w:r>
        <w:t>o</w:t>
      </w:r>
      <w:r>
        <w:t xml:space="preserve"> nunca hubiera admitido dinero proveniente de un servicio de i</w:t>
      </w:r>
      <w:r>
        <w:t>n</w:t>
      </w:r>
      <w:r>
        <w:t>teligencia, toda vez que luego podrían decir que fue pr</w:t>
      </w:r>
      <w:r>
        <w:t>o</w:t>
      </w:r>
      <w:r>
        <w:t>ducto de la camioneta. En ese sentido, e</w:t>
      </w:r>
      <w:r>
        <w:t>x</w:t>
      </w:r>
      <w:r>
        <w:t>presó que por eso su mujer no recibía el dinero si no se firmaban los der</w:t>
      </w:r>
      <w:r>
        <w:t>e</w:t>
      </w:r>
      <w:r>
        <w:t>chos del libro.</w:t>
      </w:r>
    </w:p>
    <w:p w:rsidR="00224567" w:rsidRDefault="00224567">
      <w:pPr>
        <w:widowControl w:val="0"/>
      </w:pPr>
      <w:r>
        <w:tab/>
        <w:t>Asimismo, refirió que, a diferencia del acuerdo con Galeano, no aceptó USD 1.000.000 ofr</w:t>
      </w:r>
      <w:r>
        <w:t>e</w:t>
      </w:r>
      <w:r>
        <w:t>cidos por Vergéz para inculpar a unos paraguayos; que el nombr</w:t>
      </w:r>
      <w:r>
        <w:t>a</w:t>
      </w:r>
      <w:r>
        <w:t>do concurrió con una valija con el dinero y ta</w:t>
      </w:r>
      <w:r>
        <w:t>m</w:t>
      </w:r>
      <w:r>
        <w:t>bién se lo llevó a su mujer.</w:t>
      </w:r>
    </w:p>
    <w:p w:rsidR="00224567" w:rsidRDefault="00224567">
      <w:pPr>
        <w:widowControl w:val="0"/>
      </w:pPr>
      <w:r>
        <w:tab/>
        <w:t>Negó conocer el origen de los USD 400.000 que le abonaron, aunque presumió que prov</w:t>
      </w:r>
      <w:r>
        <w:t>e</w:t>
      </w:r>
      <w:r>
        <w:t xml:space="preserve">nían de los gastos reservados de </w:t>
      </w:r>
      <w:smartTag w:uri="urn:schemas-microsoft-com:office:smarttags" w:element="PersonName">
        <w:smartTagPr>
          <w:attr w:name="ProductID" w:val="la S.I"/>
        </w:smartTagPr>
        <w:r>
          <w:t>la S.I</w:t>
        </w:r>
      </w:smartTag>
      <w:r>
        <w:t>.D.E.. Refirió que, por c</w:t>
      </w:r>
      <w:r>
        <w:t>o</w:t>
      </w:r>
      <w:r>
        <w:t>mentarios, supo que podrían haber procedido del Banco M</w:t>
      </w:r>
      <w:r>
        <w:t>a</w:t>
      </w:r>
      <w:r>
        <w:t xml:space="preserve">yo, de </w:t>
      </w:r>
      <w:smartTag w:uri="urn:schemas-microsoft-com:office:smarttags" w:element="PersonName">
        <w:smartTagPr>
          <w:attr w:name="ProductID" w:val="la S.I"/>
        </w:smartTagPr>
        <w:r>
          <w:t>la S.I</w:t>
        </w:r>
      </w:smartTag>
      <w:r>
        <w:t>.D.E. o del Mossad, puesto que en el equipo de quienes entregaron el dinero en Ramos Mejía había un extranjero, que hablaba como si fuera israelí. Más adela</w:t>
      </w:r>
      <w:r>
        <w:t>n</w:t>
      </w:r>
      <w:r>
        <w:t>te indicó que, según su abogado Stinfale, eran del Banco Mayo. Si bien no recordó con precisión, refirió que G</w:t>
      </w:r>
      <w:r>
        <w:t>a</w:t>
      </w:r>
      <w:r>
        <w:t xml:space="preserve">leano pudo haber dicho que el dinero provenía del Banco Mayo, de </w:t>
      </w:r>
      <w:smartTag w:uri="urn:schemas-microsoft-com:office:smarttags" w:element="PersonName">
        <w:smartTagPr>
          <w:attr w:name="ProductID" w:val="la S.I"/>
        </w:smartTagPr>
        <w:r>
          <w:t>la S.I</w:t>
        </w:r>
      </w:smartTag>
      <w:r>
        <w:t>.D.E. o de otra gente.</w:t>
      </w:r>
    </w:p>
    <w:p w:rsidR="00224567" w:rsidRDefault="00224567">
      <w:pPr>
        <w:widowControl w:val="0"/>
      </w:pPr>
      <w:r>
        <w:tab/>
        <w:t xml:space="preserve">En otro orden, manifestó que en la causa en trámite por ante el juzgado de Bonadío se halló una cuenta en </w:t>
      </w:r>
      <w:smartTag w:uri="urn:schemas-microsoft-com:office:smarttags" w:element="PersonName">
        <w:smartTagPr>
          <w:attr w:name="ProductID" w:val="la Banca Nazionale"/>
        </w:smartTagPr>
        <w:r>
          <w:t>la Banca Nazionale</w:t>
        </w:r>
      </w:smartTag>
      <w:r>
        <w:t xml:space="preserve"> del Lavoro. Aseveró que se trataba de un dinero que no se relacionaba con el ab</w:t>
      </w:r>
      <w:r>
        <w:t>o</w:t>
      </w:r>
      <w:r>
        <w:t>nado por Galeano, sino que correspondía a una cuenta abierta por el Dr. Lafferriere, un abogado de Paraná, quien lo giró a Ur</w:t>
      </w:r>
      <w:r>
        <w:t>u</w:t>
      </w:r>
      <w:r>
        <w:t>guay.</w:t>
      </w:r>
    </w:p>
    <w:p w:rsidR="00224567" w:rsidRDefault="00224567">
      <w:pPr>
        <w:widowControl w:val="0"/>
      </w:pPr>
      <w:r>
        <w:tab/>
        <w:t>Explicó que ese dinero provenía de dos seguros que cobró de la “Compañía Autárquica de Entre Ríos” en el año 1996, uno a su nombre y el otro al de su mujer, Ana María Boragni, sumando más de USD 100.000. R</w:t>
      </w:r>
      <w:r>
        <w:t>e</w:t>
      </w:r>
      <w:r>
        <w:t>firió que Lafferriere, además de su abogado, era su apod</w:t>
      </w:r>
      <w:r>
        <w:t>e</w:t>
      </w:r>
      <w:r>
        <w:t>rado, habiendo hecho el juicio, ganado y cobrado. Detalló que un juicio fue por un robo al videoclub de Gualegua</w:t>
      </w:r>
      <w:r>
        <w:t>y</w:t>
      </w:r>
      <w:r>
        <w:t>chú, en tanto el otro fue por el cobro de un automóvil R</w:t>
      </w:r>
      <w:r>
        <w:t>e</w:t>
      </w:r>
      <w:r>
        <w:t>gata que la compañía se negó a abonar, toda vez que pens</w:t>
      </w:r>
      <w:r>
        <w:t>a</w:t>
      </w:r>
      <w:r>
        <w:t>ban que lo había comprado siniestrado y así lo quiso c</w:t>
      </w:r>
      <w:r>
        <w:t>o</w:t>
      </w:r>
      <w:r>
        <w:t>brar, cuando en realidad ese vehículo fue parte de pago por los tríplex que estaba constr</w:t>
      </w:r>
      <w:r>
        <w:t>u</w:t>
      </w:r>
      <w:r>
        <w:t>yendo.</w:t>
      </w:r>
    </w:p>
    <w:p w:rsidR="00224567" w:rsidRDefault="00224567">
      <w:pPr>
        <w:widowControl w:val="0"/>
        <w:rPr>
          <w:bCs/>
        </w:rPr>
      </w:pPr>
      <w:r>
        <w:tab/>
        <w:t>Por otra parte, Telleldín indicó que, además del mo</w:t>
      </w:r>
      <w:r>
        <w:t>n</w:t>
      </w:r>
      <w:r>
        <w:t>to pactado con Galeano, durante un tiempo se le abonó una suma mensual, como así también su fia</w:t>
      </w:r>
      <w:r>
        <w:t>n</w:t>
      </w:r>
      <w:r>
        <w:t>za y la de su mujer -cuyos montos no recordó- en la causa por d</w:t>
      </w:r>
      <w:r>
        <w:t>i</w:t>
      </w:r>
      <w:r>
        <w:t>nero falso que tramitó en el juzgado de Piotti y luego p</w:t>
      </w:r>
      <w:r>
        <w:t>a</w:t>
      </w:r>
      <w:r>
        <w:t xml:space="preserve">só a Marquevich. Aclaró que tales pagos </w:t>
      </w:r>
      <w:r>
        <w:rPr>
          <w:bCs/>
        </w:rPr>
        <w:t>comenzaron con la aparición de Vergéz y continuaron hasta muchos meses de</w:t>
      </w:r>
      <w:r>
        <w:rPr>
          <w:bCs/>
        </w:rPr>
        <w:t>s</w:t>
      </w:r>
      <w:r>
        <w:rPr>
          <w:bCs/>
        </w:rPr>
        <w:t>pués, es decir, desde principios de 1995 y ha</w:t>
      </w:r>
      <w:r>
        <w:rPr>
          <w:bCs/>
        </w:rPr>
        <w:t>s</w:t>
      </w:r>
      <w:r>
        <w:rPr>
          <w:bCs/>
        </w:rPr>
        <w:t>ta antes de su indagatoria del 5 de julio de 1996.</w:t>
      </w:r>
    </w:p>
    <w:p w:rsidR="00224567" w:rsidRDefault="00224567">
      <w:pPr>
        <w:widowControl w:val="0"/>
      </w:pPr>
      <w:r>
        <w:tab/>
        <w:t>Agregó que las sumas mensuales eran para sus gastos, tratándose de importes no muy altos, ju</w:t>
      </w:r>
      <w:r>
        <w:t>s</w:t>
      </w:r>
      <w:r>
        <w:t>to como para vivir, alrededor de los USD 3000 ó 4000 me</w:t>
      </w:r>
      <w:r>
        <w:t>n</w:t>
      </w:r>
      <w:r>
        <w:t>suales. Puntualizó que el arreglo fue posterior al r</w:t>
      </w:r>
      <w:r>
        <w:t>e</w:t>
      </w:r>
      <w:r>
        <w:t>mate del departamento de Roosevelt en 1995. Asimismo, razonó que en abril denunció a Ve</w:t>
      </w:r>
      <w:r>
        <w:t>r</w:t>
      </w:r>
      <w:r>
        <w:t>géz, por lo que debió empezar a verlo antes, aunque luego el nombrado cont</w:t>
      </w:r>
      <w:r>
        <w:t>i</w:t>
      </w:r>
      <w:r>
        <w:t xml:space="preserve">nuó yendo a </w:t>
      </w:r>
      <w:smartTag w:uri="urn:schemas-microsoft-com:office:smarttags" w:element="PersonName">
        <w:smartTagPr>
          <w:attr w:name="ProductID" w:val="la Unidad. Detall￳"/>
        </w:smartTagPr>
        <w:r>
          <w:t>la Unidad. Detalló</w:t>
        </w:r>
      </w:smartTag>
      <w:r>
        <w:t xml:space="preserve"> que el dinero le era entregado a su he</w:t>
      </w:r>
      <w:r>
        <w:t>r</w:t>
      </w:r>
      <w:r>
        <w:t>mano o en el kiosco de la mujer de éste, es decir, le ll</w:t>
      </w:r>
      <w:r>
        <w:t>e</w:t>
      </w:r>
      <w:r>
        <w:t>gaba a través de su familia y no se firmaba recibo por eso.</w:t>
      </w:r>
    </w:p>
    <w:p w:rsidR="00224567" w:rsidRDefault="00224567">
      <w:pPr>
        <w:widowControl w:val="0"/>
      </w:pPr>
      <w:r>
        <w:tab/>
        <w:t>Por otra parte, el encartado señaló que en el video de abril o de julio Galeano le dio la mano, comprometiéndose a no agravarle más su situación procesal, pero luego sacó a la luz una causa que tuvo r</w:t>
      </w:r>
      <w:r>
        <w:t>e</w:t>
      </w:r>
      <w:r>
        <w:t>tenida durante tres años y seis m</w:t>
      </w:r>
      <w:r>
        <w:t>e</w:t>
      </w:r>
      <w:r>
        <w:t>ses, del año 1985, sobre un automóvil de carrera, en la que tenía un sobreseimie</w:t>
      </w:r>
      <w:r>
        <w:t>n</w:t>
      </w:r>
      <w:r>
        <w:t>to. Resaltó que si no remitía esa causa quedaba libre, t</w:t>
      </w:r>
      <w:r>
        <w:t>o</w:t>
      </w:r>
      <w:r>
        <w:t>da vez que había cumplido los tiempos de detención, por lo que advirtió que el magistrado tenía órdenes de dejarlo det</w:t>
      </w:r>
      <w:r>
        <w:t>e</w:t>
      </w:r>
      <w:r>
        <w:t>nido.</w:t>
      </w:r>
    </w:p>
    <w:p w:rsidR="00224567" w:rsidRDefault="00224567">
      <w:pPr>
        <w:widowControl w:val="0"/>
      </w:pPr>
      <w:r>
        <w:tab/>
        <w:t>En tal sentido, manifestó que luego del robo del video Galeano entró en pánico; Beraja le p</w:t>
      </w:r>
      <w:r>
        <w:t>i</w:t>
      </w:r>
      <w:r>
        <w:t>dió personalmente a Stinfale que lo ap</w:t>
      </w:r>
      <w:r>
        <w:t>o</w:t>
      </w:r>
      <w:r>
        <w:t>yaran y que el juez precisaba que firmaran un legajo por la recompensa, dado que estaban preocupados, incluido Dobniewski. Apuntó que no le permitieron leerlo, pero firmó varios papeles por indicación de Stinfale. No recordó el mes en que ello aconteció, pero aseguró que fue después del robo, cuando el video aparecía en todos los not</w:t>
      </w:r>
      <w:r>
        <w:t>i</w:t>
      </w:r>
      <w:r>
        <w:t>ciosos.</w:t>
      </w:r>
    </w:p>
    <w:p w:rsidR="00224567" w:rsidRDefault="00224567">
      <w:pPr>
        <w:widowControl w:val="0"/>
      </w:pPr>
      <w:r>
        <w:tab/>
        <w:t>Reconoció como suya la firma que luce a fs. 13 del incidente relativo al pedido de recompensas formulado por el Dr. Víctor Stinfale. La fecha, remarcó, coincidía por cuanto fue en 1997, posterior al robo. Agr</w:t>
      </w:r>
      <w:r>
        <w:t>e</w:t>
      </w:r>
      <w:r>
        <w:t>gó que también le hicieron firmar un recibo por el d</w:t>
      </w:r>
      <w:r>
        <w:t>i</w:t>
      </w:r>
      <w:r>
        <w:t>nero cobrado; lo hizo por indicación de su abogado y allí con</w:t>
      </w:r>
      <w:r>
        <w:t>s</w:t>
      </w:r>
      <w:r>
        <w:t>taba que solicitaba que se mantuviera en máxima reserva para seguridad de su familia. No supo la cifra que figur</w:t>
      </w:r>
      <w:r>
        <w:t>a</w:t>
      </w:r>
      <w:r>
        <w:t>ba en el recibo, toda vez que no le permitieron lee</w:t>
      </w:r>
      <w:r>
        <w:t>r</w:t>
      </w:r>
      <w:r>
        <w:t>lo.</w:t>
      </w:r>
    </w:p>
    <w:p w:rsidR="00224567" w:rsidRDefault="00224567">
      <w:pPr>
        <w:widowControl w:val="0"/>
      </w:pPr>
      <w:r>
        <w:tab/>
        <w:t>Mencionó que en ese momento G</w:t>
      </w:r>
      <w:r>
        <w:t>a</w:t>
      </w:r>
      <w:r>
        <w:t>leano le prometió dejarlo en libertad en octubre, fecha en la que envió a Stinfale a reclamarle a Dobniewski porque le est</w:t>
      </w:r>
      <w:r>
        <w:t>a</w:t>
      </w:r>
      <w:r>
        <w:t>ban complicando su situación procesal adrede, en otras causas, respondiéndole éste que se quedara tranqu</w:t>
      </w:r>
      <w:r>
        <w:t>i</w:t>
      </w:r>
      <w:r>
        <w:t>lo.</w:t>
      </w:r>
    </w:p>
    <w:p w:rsidR="00224567" w:rsidRDefault="00224567">
      <w:pPr>
        <w:widowControl w:val="0"/>
      </w:pPr>
      <w:r>
        <w:tab/>
        <w:t>Asimismo, indicó que en octubre de 1997 presentó su excarcelación, se la denegaron y di</w:t>
      </w:r>
      <w:r>
        <w:t>s</w:t>
      </w:r>
      <w:r>
        <w:t>cutió fuertemente con Gale</w:t>
      </w:r>
      <w:r>
        <w:t>a</w:t>
      </w:r>
      <w:r>
        <w:t>no, quien llamó a su mujer y le habló afuera de su despacho, solicitándole que lo contuviera, porque ella también estaba al borde de estar en su misma posición. Señaló que le otorgaron una e</w:t>
      </w:r>
      <w:r>
        <w:t>n</w:t>
      </w:r>
      <w:r>
        <w:t>trevista con ella y le pidió que se calmase, tras lo cual fue trasladado a la prisión en un estado de total nervi</w:t>
      </w:r>
      <w:r>
        <w:t>o</w:t>
      </w:r>
      <w:r>
        <w:t>sismo.</w:t>
      </w:r>
    </w:p>
    <w:p w:rsidR="00224567" w:rsidRDefault="00224567">
      <w:pPr>
        <w:widowControl w:val="0"/>
      </w:pPr>
      <w:r>
        <w:tab/>
        <w:t>En definitiva, detalló que, ad</w:t>
      </w:r>
      <w:r>
        <w:t>e</w:t>
      </w:r>
      <w:r>
        <w:t>más de la promesa del dinero, el juez le ofreció su libertad, amén de reconocer delante de su abogado que sabía de su inocencia, pero que las presiones políticas y de la cole</w:t>
      </w:r>
      <w:r>
        <w:t>c</w:t>
      </w:r>
      <w:r>
        <w:t>tividad lo obligaban a mantene</w:t>
      </w:r>
      <w:r>
        <w:t>r</w:t>
      </w:r>
      <w:r>
        <w:t>lo detenido. Aclaró que el acuerdo con el magistrado no incluía garantías para la s</w:t>
      </w:r>
      <w:r>
        <w:t>i</w:t>
      </w:r>
      <w:r>
        <w:t>tuación de su mujer.</w:t>
      </w:r>
    </w:p>
    <w:p w:rsidR="00224567" w:rsidRDefault="00224567">
      <w:pPr>
        <w:widowControl w:val="0"/>
      </w:pPr>
      <w:r>
        <w:tab/>
        <w:t>A lo expuesto, agregó que discuti</w:t>
      </w:r>
      <w:r>
        <w:t>e</w:t>
      </w:r>
      <w:r>
        <w:t>ron por el tema de Ibarra, diciéndole al juez que “blanque</w:t>
      </w:r>
      <w:r>
        <w:t>a</w:t>
      </w:r>
      <w:r>
        <w:t>ría”, es decir, contaría la verdad, sobre los reconoc</w:t>
      </w:r>
      <w:r>
        <w:t>i</w:t>
      </w:r>
      <w:r>
        <w:t>mientos, específicamente el de la fotografía número seis. Señaló que lo hizo público y luego lo confirmó Lifschitz en los m</w:t>
      </w:r>
      <w:r>
        <w:t>e</w:t>
      </w:r>
      <w:r>
        <w:t>dios.</w:t>
      </w:r>
    </w:p>
    <w:p w:rsidR="00224567" w:rsidRDefault="00224567">
      <w:pPr>
        <w:widowControl w:val="0"/>
      </w:pPr>
      <w:r>
        <w:tab/>
        <w:t>En otro orden, Telleldín manife</w:t>
      </w:r>
      <w:r>
        <w:t>s</w:t>
      </w:r>
      <w:r>
        <w:t xml:space="preserve">tó </w:t>
      </w:r>
      <w:r>
        <w:rPr>
          <w:bCs/>
        </w:rPr>
        <w:t>que uno de los puntos por los que Galeano le pagó la recompe</w:t>
      </w:r>
      <w:r>
        <w:rPr>
          <w:bCs/>
        </w:rPr>
        <w:t>n</w:t>
      </w:r>
      <w:r>
        <w:rPr>
          <w:bCs/>
        </w:rPr>
        <w:t>sa fue el aporte del tema Solari a la causa</w:t>
      </w:r>
      <w:r>
        <w:t>, incluidos los testigos, a quienes debió convencer para que declarasen. Indicó que cuando hizo declarar a los paraguayos estaba arreglando el pago con Galeano.</w:t>
      </w:r>
    </w:p>
    <w:p w:rsidR="00224567" w:rsidRDefault="00224567">
      <w:pPr>
        <w:widowControl w:val="0"/>
      </w:pPr>
      <w:r>
        <w:tab/>
        <w:t>En definitiva, aseveró que el p</w:t>
      </w:r>
      <w:r>
        <w:t>a</w:t>
      </w:r>
      <w:r>
        <w:t>go de Galeano fue por ese aporte y por el reconocimiento de la fotografía número seis con certeza, cuando en real</w:t>
      </w:r>
      <w:r>
        <w:t>i</w:t>
      </w:r>
      <w:r>
        <w:t>dad no estaba seguro. Al respecto, añadió que si bien Cotoras r</w:t>
      </w:r>
      <w:r>
        <w:t>e</w:t>
      </w:r>
      <w:r>
        <w:t>lató un hecho real, fue “apretado” para que reconociera esa fotografía y, según tenía entendido, también se le p</w:t>
      </w:r>
      <w:r>
        <w:t>a</w:t>
      </w:r>
      <w:r>
        <w:t>gó. Asimismo, refirió que existía un legajo reservado del nombrado, según creía el número 378, en el que estaba siendo “apretado”, dado que allí declaró un cuñado del nombrado, enfermo me</w:t>
      </w:r>
      <w:r>
        <w:t>n</w:t>
      </w:r>
      <w:r>
        <w:t>tal.</w:t>
      </w:r>
    </w:p>
    <w:p w:rsidR="00224567" w:rsidRDefault="00224567">
      <w:pPr>
        <w:pStyle w:val="Textoindependiente2"/>
        <w:widowControl w:val="0"/>
        <w:rPr>
          <w:rFonts w:ascii="Courier New" w:hAnsi="Courier New" w:cs="Courier New"/>
        </w:rPr>
      </w:pPr>
      <w:r>
        <w:rPr>
          <w:rFonts w:ascii="Courier New" w:hAnsi="Courier New" w:cs="Courier New"/>
          <w:szCs w:val="24"/>
        </w:rPr>
        <w:tab/>
      </w:r>
      <w:r>
        <w:rPr>
          <w:rFonts w:ascii="Courier New" w:hAnsi="Courier New" w:cs="Courier New"/>
        </w:rPr>
        <w:t>Con respecto al “apriete” de test</w:t>
      </w:r>
      <w:r>
        <w:rPr>
          <w:rFonts w:ascii="Courier New" w:hAnsi="Courier New" w:cs="Courier New"/>
        </w:rPr>
        <w:t>i</w:t>
      </w:r>
      <w:r>
        <w:rPr>
          <w:rFonts w:ascii="Courier New" w:hAnsi="Courier New" w:cs="Courier New"/>
        </w:rPr>
        <w:t>gos, resaltó que, en el caso de los paraguayos, el co</w:t>
      </w:r>
      <w:r>
        <w:rPr>
          <w:rFonts w:ascii="Courier New" w:hAnsi="Courier New" w:cs="Courier New"/>
        </w:rPr>
        <w:t>n</w:t>
      </w:r>
      <w:r>
        <w:rPr>
          <w:rFonts w:ascii="Courier New" w:hAnsi="Courier New" w:cs="Courier New"/>
        </w:rPr>
        <w:t>tenido de las declaraciones era verdadero, pero la forma no era la correcta.</w:t>
      </w:r>
    </w:p>
    <w:p w:rsidR="00224567" w:rsidRDefault="00224567">
      <w:pPr>
        <w:widowControl w:val="0"/>
      </w:pPr>
      <w:r>
        <w:tab/>
        <w:t>En cuanto al tema Solari, relató que durante su detención en el D.P.O.C. fue visitado por su mujer, junto con una tal “Vicky”, amante de Bareiro, quien refirió que había una persona deten</w:t>
      </w:r>
      <w:r>
        <w:t>i</w:t>
      </w:r>
      <w:r>
        <w:t>da que decía ser Ramón Martínez y que había retirado la camioneta de su domic</w:t>
      </w:r>
      <w:r>
        <w:t>i</w:t>
      </w:r>
      <w:r>
        <w:t>lio.</w:t>
      </w:r>
    </w:p>
    <w:p w:rsidR="00224567" w:rsidRDefault="00224567">
      <w:pPr>
        <w:widowControl w:val="0"/>
      </w:pPr>
      <w:r>
        <w:tab/>
        <w:t>Narró que, en una oportunidad, en la alcaldía se cruzó a Solari, quien se hallaba sin c</w:t>
      </w:r>
      <w:r>
        <w:t>a</w:t>
      </w:r>
      <w:r>
        <w:t xml:space="preserve">misa y todo tatuado. Indicó que se presentó como Solari y le dijo que quería hacerse cargo del atentado a </w:t>
      </w:r>
      <w:smartTag w:uri="urn:schemas-microsoft-com:office:smarttags" w:element="PersonName">
        <w:smartTagPr>
          <w:attr w:name="ProductID" w:val="la A.M"/>
        </w:smartTagPr>
        <w:r>
          <w:t>la A.M</w:t>
        </w:r>
      </w:smartTag>
      <w:r>
        <w:t>.I.A., pue</w:t>
      </w:r>
      <w:r>
        <w:t>s</w:t>
      </w:r>
      <w:r>
        <w:t>to que le convenía, solicitándole que d</w:t>
      </w:r>
      <w:r>
        <w:t>i</w:t>
      </w:r>
      <w:r>
        <w:t>jera que le había vendido la camioneta. Añadió que le preguntó si el r</w:t>
      </w:r>
      <w:r>
        <w:t>o</w:t>
      </w:r>
      <w:r>
        <w:t xml:space="preserve">dado tenía puerta lateral y cómo era el frente de su domicilio, respondiéndole en forma errónea, toda vez que le pareció un enfermo mental. No descartó que </w:t>
      </w:r>
      <w:r>
        <w:rPr>
          <w:bCs/>
        </w:rPr>
        <w:t>le hubiera hecho un c</w:t>
      </w:r>
      <w:r>
        <w:rPr>
          <w:bCs/>
        </w:rPr>
        <w:t>o</w:t>
      </w:r>
      <w:r>
        <w:rPr>
          <w:bCs/>
        </w:rPr>
        <w:t xml:space="preserve">mentario sobre un “gordo” que le había ofrecido </w:t>
      </w:r>
      <w:r>
        <w:t>USD</w:t>
      </w:r>
      <w:r>
        <w:rPr>
          <w:bCs/>
        </w:rPr>
        <w:t xml:space="preserve"> 100.000, aunque descon</w:t>
      </w:r>
      <w:r>
        <w:rPr>
          <w:bCs/>
        </w:rPr>
        <w:t>o</w:t>
      </w:r>
      <w:r>
        <w:rPr>
          <w:bCs/>
        </w:rPr>
        <w:t>cía de quién se trataría</w:t>
      </w:r>
      <w:r>
        <w:t>. A su vez, hizo saber que informó al director de la unidad del epis</w:t>
      </w:r>
      <w:r>
        <w:t>o</w:t>
      </w:r>
      <w:r>
        <w:t>dio, no viéndolo nu</w:t>
      </w:r>
      <w:r>
        <w:t>n</w:t>
      </w:r>
      <w:r>
        <w:t>ca más.</w:t>
      </w:r>
    </w:p>
    <w:p w:rsidR="00224567" w:rsidRDefault="00224567">
      <w:pPr>
        <w:widowControl w:val="0"/>
      </w:pPr>
      <w:r>
        <w:tab/>
        <w:t xml:space="preserve">Manifestó que fue trasladado a </w:t>
      </w:r>
      <w:smartTag w:uri="urn:schemas-microsoft-com:office:smarttags" w:element="PersonName">
        <w:smartTagPr>
          <w:attr w:name="ProductID" w:val="la Unidad"/>
        </w:smartTagPr>
        <w:r>
          <w:t>la Un</w:t>
        </w:r>
        <w:r>
          <w:t>i</w:t>
        </w:r>
        <w:r>
          <w:t>dad</w:t>
        </w:r>
      </w:smartTag>
      <w:r>
        <w:t xml:space="preserve"> nº 1 junto con su hermano y un hombre llamado Barbi</w:t>
      </w:r>
      <w:r>
        <w:t>e</w:t>
      </w:r>
      <w:r>
        <w:t>ri, a quien no conocía y que poseía un taller frente al de Agüero. Señaló que en Caseros fueron ub</w:t>
      </w:r>
      <w:r>
        <w:t>i</w:t>
      </w:r>
      <w:r>
        <w:t>cados en la planta baja “C” y al ingresar tuvieron un incidente con otros d</w:t>
      </w:r>
      <w:r>
        <w:t>e</w:t>
      </w:r>
      <w:r>
        <w:t>tenidos, por cuanto era común que a los nuevos se les i</w:t>
      </w:r>
      <w:r>
        <w:t>n</w:t>
      </w:r>
      <w:r>
        <w:t>tentara quitar la ropa. Ref</w:t>
      </w:r>
      <w:r>
        <w:t>i</w:t>
      </w:r>
      <w:r>
        <w:t>rió que se provocó una pelea y tres individuos de origen paraguayo, llamados Brizuela, los d</w:t>
      </w:r>
      <w:r>
        <w:t>e</w:t>
      </w:r>
      <w:r>
        <w:t>fendieron.</w:t>
      </w:r>
    </w:p>
    <w:p w:rsidR="00224567" w:rsidRDefault="00224567">
      <w:pPr>
        <w:widowControl w:val="0"/>
      </w:pPr>
      <w:r>
        <w:tab/>
        <w:t>Relató que los Brizuela mencionaron que hab</w:t>
      </w:r>
      <w:r>
        <w:t>í</w:t>
      </w:r>
      <w:r>
        <w:t xml:space="preserve">an estado en </w:t>
      </w:r>
      <w:smartTag w:uri="urn:schemas-microsoft-com:office:smarttags" w:element="PersonName">
        <w:smartTagPr>
          <w:attr w:name="ProductID" w:val="la Brigada"/>
        </w:smartTagPr>
        <w:r>
          <w:t>la Brigada</w:t>
        </w:r>
      </w:smartTag>
      <w:r>
        <w:t xml:space="preserve"> de Vicente López y en una celda contigua había un detenido que decía estar invol</w:t>
      </w:r>
      <w:r>
        <w:t>u</w:t>
      </w:r>
      <w:r>
        <w:t>crado en el tema A.M.I.A.; que le llevaban los diarios e información referente a su persona, sabiendo su nombre y dirección. Alegó que lo relacionó con  los  dichos de “V</w:t>
      </w:r>
      <w:r>
        <w:t>i</w:t>
      </w:r>
      <w:r>
        <w:t>cky” y temió que estuvieran inventando a</w:t>
      </w:r>
      <w:r>
        <w:t>l</w:t>
      </w:r>
      <w:r>
        <w:t>go nuevo.</w:t>
      </w:r>
    </w:p>
    <w:p w:rsidR="00224567" w:rsidRDefault="00224567">
      <w:pPr>
        <w:widowControl w:val="0"/>
      </w:pPr>
      <w:r>
        <w:tab/>
        <w:t>Telleldín recordó que estuvo alojado en la planta baja “C” unos días y luego pasó al tercero “B”, en tanto los Brizuela fueron alojados en el tercero “A”. Refirió que los pabellones “A” y “B” no se contact</w:t>
      </w:r>
      <w:r>
        <w:t>a</w:t>
      </w:r>
      <w:r>
        <w:t>ban, por lo que no tuvo relación con los nombrados, con excepción de uno de ellos que le llevaba la com</w:t>
      </w:r>
      <w:r>
        <w:t>i</w:t>
      </w:r>
      <w:r>
        <w:t>da cuando trabajaba en el centro de cómputos.</w:t>
      </w:r>
    </w:p>
    <w:p w:rsidR="00224567" w:rsidRDefault="00224567">
      <w:pPr>
        <w:widowControl w:val="0"/>
      </w:pPr>
      <w:r>
        <w:tab/>
        <w:t>Destacó que los Brizuela se neg</w:t>
      </w:r>
      <w:r>
        <w:t>a</w:t>
      </w:r>
      <w:r>
        <w:t>ban a declarar por temor a lo que les pudiera suc</w:t>
      </w:r>
      <w:r>
        <w:t>e</w:t>
      </w:r>
      <w:r>
        <w:t>der, dado que desconocían la legislación argentina. Mencionó que De G</w:t>
      </w:r>
      <w:r>
        <w:t>a</w:t>
      </w:r>
      <w:r>
        <w:t xml:space="preserve">mas lo llamó a la oficina de judiciales de </w:t>
      </w:r>
      <w:smartTag w:uri="urn:schemas-microsoft-com:office:smarttags" w:element="PersonName">
        <w:smartTagPr>
          <w:attr w:name="ProductID" w:val="la Unidad"/>
        </w:smartTagPr>
        <w:r>
          <w:t>la Un</w:t>
        </w:r>
        <w:r>
          <w:t>i</w:t>
        </w:r>
        <w:r>
          <w:t>dad</w:t>
        </w:r>
      </w:smartTag>
      <w:r>
        <w:t xml:space="preserve"> nº 2 y habló con el oficial C</w:t>
      </w:r>
      <w:r>
        <w:t>a</w:t>
      </w:r>
      <w:r>
        <w:t>ballero, requiriendo su presencia para que intercediera y los convenciera de atestiguar. Así, comentó, habló con ellos unos minutos y les indicó decir la ve</w:t>
      </w:r>
      <w:r>
        <w:t>r</w:t>
      </w:r>
      <w:r>
        <w:t>dad.</w:t>
      </w:r>
    </w:p>
    <w:p w:rsidR="00224567" w:rsidRDefault="00224567">
      <w:pPr>
        <w:widowControl w:val="0"/>
      </w:pPr>
      <w:r>
        <w:tab/>
        <w:t>A lo expuesto agregó que si bien el contenido de las declaraciones era verdadero por coi</w:t>
      </w:r>
      <w:r>
        <w:t>n</w:t>
      </w:r>
      <w:r>
        <w:t>cidir con lo que le habían relatado en la prisión, d</w:t>
      </w:r>
      <w:r>
        <w:t>e</w:t>
      </w:r>
      <w:r>
        <w:t>seaban algo a cambio. Explicó que se hallaban detenidos por el caso conocido como “Tormenta Verde” y exigieron ciertas cond</w:t>
      </w:r>
      <w:r>
        <w:t>i</w:t>
      </w:r>
      <w:r>
        <w:t>ciones, que Galeano les otorgó. Detalló que se negoció y así consiguieron que se les red</w:t>
      </w:r>
      <w:r>
        <w:t>u</w:t>
      </w:r>
      <w:r>
        <w:t xml:space="preserve">jera la pena a nueve años de prisión pese a tener </w:t>
      </w:r>
      <w:smartTag w:uri="urn:schemas-microsoft-com:office:smarttags" w:element="metricconverter">
        <w:smartTagPr>
          <w:attr w:name="ProductID" w:val="1000 kg"/>
        </w:smartTagPr>
        <w:r>
          <w:t>1000 kg</w:t>
        </w:r>
      </w:smartTag>
      <w:r>
        <w:t xml:space="preserve"> de droga y que se les aplicara indebidamente el dos por uno. Asimismo, apuntó que para firmar la</w:t>
      </w:r>
      <w:r>
        <w:rPr>
          <w:b/>
        </w:rPr>
        <w:t xml:space="preserve"> </w:t>
      </w:r>
      <w:r>
        <w:t>declaración pusieron como requisito que los patrocinara Sti</w:t>
      </w:r>
      <w:r>
        <w:t>n</w:t>
      </w:r>
      <w:r>
        <w:t>fale.</w:t>
      </w:r>
    </w:p>
    <w:p w:rsidR="00224567" w:rsidRDefault="00224567">
      <w:pPr>
        <w:widowControl w:val="0"/>
      </w:pPr>
      <w:r>
        <w:tab/>
        <w:t>Respecto de la persona que habría pr</w:t>
      </w:r>
      <w:r>
        <w:t>e</w:t>
      </w:r>
      <w:r>
        <w:t xml:space="preserve">parado a Solari en </w:t>
      </w:r>
      <w:smartTag w:uri="urn:schemas-microsoft-com:office:smarttags" w:element="PersonName">
        <w:smartTagPr>
          <w:attr w:name="ProductID" w:val="la Brigada"/>
        </w:smartTagPr>
        <w:r>
          <w:t>la Brigada</w:t>
        </w:r>
      </w:smartTag>
      <w:r>
        <w:t xml:space="preserve"> de Vicente López, el acusado refirió que la de</w:t>
      </w:r>
      <w:r>
        <w:t>s</w:t>
      </w:r>
      <w:r>
        <w:t>cripción efectuada por los Brizuela, en especial por el más gordo, respondía a Bare</w:t>
      </w:r>
      <w:r>
        <w:t>i</w:t>
      </w:r>
      <w:r>
        <w:t>ro.</w:t>
      </w:r>
    </w:p>
    <w:p w:rsidR="00224567" w:rsidRDefault="00224567">
      <w:pPr>
        <w:widowControl w:val="0"/>
      </w:pPr>
      <w:r>
        <w:tab/>
        <w:t>Con relación a las entrevistas con el capitán Vergéz, el imputado expresó que en una oc</w:t>
      </w:r>
      <w:r>
        <w:t>a</w:t>
      </w:r>
      <w:r>
        <w:t>sión, en el mes de abril, con el pretexto de una visita a los méd</w:t>
      </w:r>
      <w:r>
        <w:t>i</w:t>
      </w:r>
      <w:r>
        <w:t>cos forenses, fue trasladado y el secretario Velasco le refirió que había un familiar que deseaba hablarle, pr</w:t>
      </w:r>
      <w:r>
        <w:t>e</w:t>
      </w:r>
      <w:r>
        <w:t>sentándole al capitán Vergéz (conf. constancia de fs. 8619). Apuntó que la entrevista se desarrolló en el desp</w:t>
      </w:r>
      <w:r>
        <w:t>a</w:t>
      </w:r>
      <w:r>
        <w:t>cho de De Gamas y no participó nadie del juzg</w:t>
      </w:r>
      <w:r>
        <w:t>a</w:t>
      </w:r>
      <w:r>
        <w:t>do.</w:t>
      </w:r>
    </w:p>
    <w:p w:rsidR="00224567" w:rsidRDefault="00224567">
      <w:pPr>
        <w:widowControl w:val="0"/>
      </w:pPr>
      <w:r>
        <w:tab/>
        <w:t>Aclaró que Vergéz no era fam</w:t>
      </w:r>
      <w:r>
        <w:t>i</w:t>
      </w:r>
      <w:r>
        <w:t>liar, ni lo conocía, tan sólo lo trató en una oportunidad, diec</w:t>
      </w:r>
      <w:r>
        <w:t>i</w:t>
      </w:r>
      <w:r>
        <w:t>siete años atrás, en que lo vio durante un breve lapso, cuando con su padre concurrieron al domicilio de aquél p</w:t>
      </w:r>
      <w:r>
        <w:t>a</w:t>
      </w:r>
      <w:r>
        <w:t>ra ver una motocicleta Honda que ofrecía a la venta, op</w:t>
      </w:r>
      <w:r>
        <w:t>e</w:t>
      </w:r>
      <w:r>
        <w:t>ración que finalmente no se concretó. Vergéz, acotó, le preguntó si necesitaba dinero u otra cosa y refirió que trabajaba para el gobierno nacional y concurría de parte del presidente Menem -cuya campaña electoral estaba ll</w:t>
      </w:r>
      <w:r>
        <w:t>e</w:t>
      </w:r>
      <w:r>
        <w:t>vando a cabo- para solucionarle el problema, dado que s</w:t>
      </w:r>
      <w:r>
        <w:t>a</w:t>
      </w:r>
      <w:r>
        <w:t xml:space="preserve">bían que no se hallaba involucrado. Los encuentros con personal de </w:t>
      </w:r>
      <w:smartTag w:uri="urn:schemas-microsoft-com:office:smarttags" w:element="PersonName">
        <w:smartTagPr>
          <w:attr w:name="ProductID" w:val="la S.I"/>
        </w:smartTagPr>
        <w:r>
          <w:t>la S.I</w:t>
        </w:r>
      </w:smartTag>
      <w:r>
        <w:t>.D.E., precisó, comenzaron en el desp</w:t>
      </w:r>
      <w:r>
        <w:t>a</w:t>
      </w:r>
      <w:r>
        <w:t>cho del juez Galeano, aproximadamente en el mes de abril; otras entrevistas se llevaron a cabo en la unidad de d</w:t>
      </w:r>
      <w:r>
        <w:t>e</w:t>
      </w:r>
      <w:r>
        <w:t>tención, en las oficinas de los oficiales Omar Romero y Di Tom</w:t>
      </w:r>
      <w:r>
        <w:t>a</w:t>
      </w:r>
      <w:r>
        <w:t>si.</w:t>
      </w:r>
    </w:p>
    <w:p w:rsidR="00224567" w:rsidRDefault="00224567">
      <w:pPr>
        <w:widowControl w:val="0"/>
      </w:pPr>
      <w:r>
        <w:tab/>
        <w:t>En consecuencia, explicó, lo vio en dos o tres oportunidades, hasta que advirtió que el obj</w:t>
      </w:r>
      <w:r>
        <w:t>e</w:t>
      </w:r>
      <w:r>
        <w:t>tivo era inculpar a unos libaneses-paraguayos que se h</w:t>
      </w:r>
      <w:r>
        <w:t>a</w:t>
      </w:r>
      <w:r>
        <w:t>llaban detenidos en Paraguay. Al respecto, señaló que le mostraron fotos y legajos y uno de ellos, de pelo largo, se ajustaba al identikit de Ramón Martínez, comentándole Ve</w:t>
      </w:r>
      <w:r>
        <w:t>r</w:t>
      </w:r>
      <w:r>
        <w:t>géz que precisaban un efecto para la elección de Menem, aunque nunca mencionaron que rea</w:t>
      </w:r>
      <w:r>
        <w:t>l</w:t>
      </w:r>
      <w:r>
        <w:t>mente fuera ése el grupo que había cometido el atentado. Creyó recordar que ta</w:t>
      </w:r>
      <w:r>
        <w:t>m</w:t>
      </w:r>
      <w:r>
        <w:t>bién a Ana Boragni le habían exhibido un maletín con dinero y las fotografías de los paraguayos. En otro tramo afirmó que mantuvo más de cinco entr</w:t>
      </w:r>
      <w:r>
        <w:t>e</w:t>
      </w:r>
      <w:r>
        <w:t>vistas con Vergéz.</w:t>
      </w:r>
    </w:p>
    <w:p w:rsidR="00224567" w:rsidRDefault="00224567">
      <w:pPr>
        <w:widowControl w:val="0"/>
      </w:pPr>
      <w:r>
        <w:tab/>
        <w:t>Relató Telleldín que solicitó a su e</w:t>
      </w:r>
      <w:r>
        <w:t>s</w:t>
      </w:r>
      <w:r>
        <w:t>posa que denunciara en el juzgado del Dr. Be</w:t>
      </w:r>
      <w:r>
        <w:t>r</w:t>
      </w:r>
      <w:r>
        <w:t>gesio, en San Isidro, las amen</w:t>
      </w:r>
      <w:r>
        <w:t>a</w:t>
      </w:r>
      <w:r>
        <w:t>zas que sufriera, consistentes en que si no aceptaba USD 1.000.000 por colaborar, le colocarían droga en su domicilio. Prosiguió, indicando que al ent</w:t>
      </w:r>
      <w:r>
        <w:t>e</w:t>
      </w:r>
      <w:r>
        <w:t>rarse Galeano de la denuncia, lo convocó con un pr</w:t>
      </w:r>
      <w:r>
        <w:t>e</w:t>
      </w:r>
      <w:r>
        <w:t>texto y le solicitó que llamara a Boragni para que declarase en su juzgado, siendo ésa la primera depos</w:t>
      </w:r>
      <w:r>
        <w:t>i</w:t>
      </w:r>
      <w:r>
        <w:t>ción de la nombrada.</w:t>
      </w:r>
    </w:p>
    <w:p w:rsidR="00224567" w:rsidRDefault="00224567">
      <w:pPr>
        <w:widowControl w:val="0"/>
      </w:pPr>
      <w:r>
        <w:tab/>
        <w:t>Reconoció las entrevistas con Ve</w:t>
      </w:r>
      <w:r>
        <w:t>r</w:t>
      </w:r>
      <w:r>
        <w:t>géz, de las que dan cuenta los casetes aportados por Daniel R</w:t>
      </w:r>
      <w:r>
        <w:t>o</w:t>
      </w:r>
      <w:r>
        <w:t>mero a fs. 106.609, brindó diversas explicaciones al re</w:t>
      </w:r>
      <w:r>
        <w:t>s</w:t>
      </w:r>
      <w:r>
        <w:t>pecto y aclaró que ciertos tramos no se relacionaban con el tema A.M.I.A.. Respecto de Romero, señaló que supo su nombre a través del programa televis</w:t>
      </w:r>
      <w:r>
        <w:t>i</w:t>
      </w:r>
      <w:r>
        <w:t>vo “Punto Doc”.</w:t>
      </w:r>
    </w:p>
    <w:p w:rsidR="00224567" w:rsidRDefault="00224567">
      <w:pPr>
        <w:widowControl w:val="0"/>
      </w:pPr>
      <w:r>
        <w:tab/>
        <w:t xml:space="preserve">Por otra parte, el imputado remarcó </w:t>
      </w:r>
      <w:r>
        <w:rPr>
          <w:bCs/>
        </w:rPr>
        <w:t xml:space="preserve">que en las cintas faltaban las </w:t>
      </w:r>
      <w:r>
        <w:t xml:space="preserve">cinco o seis </w:t>
      </w:r>
      <w:r>
        <w:rPr>
          <w:bCs/>
        </w:rPr>
        <w:t>entrevistas posteriores, en las que Vergéz le solicitó reconocer e i</w:t>
      </w:r>
      <w:r>
        <w:rPr>
          <w:bCs/>
        </w:rPr>
        <w:t>n</w:t>
      </w:r>
      <w:r>
        <w:rPr>
          <w:bCs/>
        </w:rPr>
        <w:t xml:space="preserve">culpar a los individuos detenidos en Paraguay y le exhibió sus fotografías, momento en que rompió la relación. En otro tramo aseveró </w:t>
      </w:r>
      <w:r>
        <w:t>que el tema de los paraguayos se tocó en tres reuniones y que el “apri</w:t>
      </w:r>
      <w:r>
        <w:t>e</w:t>
      </w:r>
      <w:r>
        <w:t>te” a su mujer por parte de Vergéz –en el que, según creía, también participó Rom</w:t>
      </w:r>
      <w:r>
        <w:t>e</w:t>
      </w:r>
      <w:r>
        <w:t>ro- fue cuando lo echó de Caseros y le dijo que no lo atendería más.</w:t>
      </w:r>
    </w:p>
    <w:p w:rsidR="00224567" w:rsidRDefault="00224567">
      <w:pPr>
        <w:pStyle w:val="Sangra3detindependiente"/>
        <w:widowControl w:val="0"/>
        <w:spacing w:line="600" w:lineRule="auto"/>
        <w:ind w:firstLine="0"/>
      </w:pPr>
      <w:r>
        <w:tab/>
        <w:t>Por otra parte, hizo saber que de las entrevistas surgió el interés de “apretar” al abogado S</w:t>
      </w:r>
      <w:r>
        <w:t>e</w:t>
      </w:r>
      <w:r>
        <w:t>morile y, si bien Vergéz no dijo venir de parte del juez, luego manifestó que le pasó los d</w:t>
      </w:r>
      <w:r>
        <w:t>a</w:t>
      </w:r>
      <w:r>
        <w:t>tos a éste. Sostuvo que Semorile “lo entregó a Lanús” y luego, como testigo enc</w:t>
      </w:r>
      <w:r>
        <w:t>u</w:t>
      </w:r>
      <w:r>
        <w:t>bierto, “mandó preso a Lanús”.</w:t>
      </w:r>
    </w:p>
    <w:p w:rsidR="00224567" w:rsidRDefault="00224567">
      <w:pPr>
        <w:pStyle w:val="Sangra3detindependiente"/>
        <w:widowControl w:val="0"/>
        <w:spacing w:line="600" w:lineRule="auto"/>
        <w:ind w:firstLine="0"/>
      </w:pPr>
      <w:r>
        <w:tab/>
        <w:t>En definitiva, concluyó que Semorile le resultaba sospechoso porque actuó en varias ocasi</w:t>
      </w:r>
      <w:r>
        <w:t>o</w:t>
      </w:r>
      <w:r>
        <w:t>nes y tenía algo que ver, pero, al enco</w:t>
      </w:r>
      <w:r>
        <w:t>n</w:t>
      </w:r>
      <w:r>
        <w:t>trarse perdido, negoció con Galeano, blanqueando ciertas situ</w:t>
      </w:r>
      <w:r>
        <w:t>a</w:t>
      </w:r>
      <w:r>
        <w:t>ciones.</w:t>
      </w:r>
    </w:p>
    <w:p w:rsidR="00224567" w:rsidRDefault="00224567">
      <w:pPr>
        <w:pStyle w:val="Textoindependiente"/>
        <w:spacing w:line="600" w:lineRule="auto"/>
      </w:pPr>
      <w:r>
        <w:tab/>
      </w:r>
      <w:r>
        <w:tab/>
        <w:t>Recordó que cuando fue trasladado a D</w:t>
      </w:r>
      <w:r>
        <w:t>e</w:t>
      </w:r>
      <w:r>
        <w:t>voto, en la sala de dirección recibió la visita de un ind</w:t>
      </w:r>
      <w:r>
        <w:t>i</w:t>
      </w:r>
      <w:r>
        <w:t>viduo que se identificó como subcomisario Ferná</w:t>
      </w:r>
      <w:r>
        <w:t>n</w:t>
      </w:r>
      <w:r>
        <w:t xml:space="preserve">dez,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m</w:t>
      </w:r>
      <w:r>
        <w:t>a</w:t>
      </w:r>
      <w:r>
        <w:t>nifestándole su celador, Daniel Devilliuk, que se tr</w:t>
      </w:r>
      <w:r>
        <w:t>a</w:t>
      </w:r>
      <w:r>
        <w:t xml:space="preserve">taba de Guglielminetti y que iba por orden de </w:t>
      </w:r>
      <w:smartTag w:uri="urn:schemas-microsoft-com:office:smarttags" w:element="PersonName">
        <w:smartTagPr>
          <w:attr w:name="ProductID" w:val="la S.I"/>
        </w:smartTagPr>
        <w:r>
          <w:t>la S.I</w:t>
        </w:r>
      </w:smartTag>
      <w:r>
        <w:t>.D.E.</w:t>
      </w:r>
    </w:p>
    <w:p w:rsidR="00224567" w:rsidRDefault="00224567">
      <w:pPr>
        <w:pStyle w:val="Textoindependiente"/>
        <w:spacing w:line="600" w:lineRule="auto"/>
      </w:pPr>
      <w:r>
        <w:tab/>
      </w:r>
      <w:r>
        <w:tab/>
        <w:t>A lo expuesto agregó que en ese tie</w:t>
      </w:r>
      <w:r>
        <w:t>m</w:t>
      </w:r>
      <w:r>
        <w:t>po recibió visitas de mucha gente que decía v</w:t>
      </w:r>
      <w:r>
        <w:t>e</w:t>
      </w:r>
      <w:r>
        <w:t>nir de parte de Piotti u otros, aconsejándole los primeros que permaneciera en silencio y no declarase, ya que se tr</w:t>
      </w:r>
      <w:r>
        <w:t>a</w:t>
      </w:r>
      <w:r>
        <w:t>taba de una causa polít</w:t>
      </w:r>
      <w:r>
        <w:t>i</w:t>
      </w:r>
      <w:r>
        <w:t>ca.</w:t>
      </w:r>
    </w:p>
    <w:p w:rsidR="00224567" w:rsidRDefault="00224567">
      <w:pPr>
        <w:pStyle w:val="Textoindependiente"/>
        <w:spacing w:line="600" w:lineRule="auto"/>
      </w:pPr>
      <w:r>
        <w:tab/>
      </w:r>
      <w:r>
        <w:tab/>
        <w:t>Por otra parte, el acusado afirmó que con el capitán Vergéz comenzó la operación del libro, que luego continuó el periodista Román Lejtman, aunque no r</w:t>
      </w:r>
      <w:r>
        <w:t>e</w:t>
      </w:r>
      <w:r>
        <w:t>cordó si el primero mencionó quién sería el escritor. En determinado momento, dijo, se presentaron varios periodi</w:t>
      </w:r>
      <w:r>
        <w:t>s</w:t>
      </w:r>
      <w:r>
        <w:t>tas interes</w:t>
      </w:r>
      <w:r>
        <w:t>a</w:t>
      </w:r>
      <w:r>
        <w:t>dos en la compra.</w:t>
      </w:r>
    </w:p>
    <w:p w:rsidR="00224567" w:rsidRDefault="00224567">
      <w:pPr>
        <w:pStyle w:val="Textoindependiente"/>
        <w:spacing w:line="600" w:lineRule="auto"/>
      </w:pPr>
      <w:r>
        <w:tab/>
      </w:r>
      <w:r>
        <w:tab/>
        <w:t>Señaló que la idea original de escr</w:t>
      </w:r>
      <w:r>
        <w:t>i</w:t>
      </w:r>
      <w:r>
        <w:t xml:space="preserve">birlo fue del ex-fiscal Damonte –también alojado en </w:t>
      </w:r>
      <w:smartTag w:uri="urn:schemas-microsoft-com:office:smarttags" w:element="PersonName">
        <w:smartTagPr>
          <w:attr w:name="ProductID" w:val="la Unidad"/>
        </w:smartTagPr>
        <w:r>
          <w:t>la Un</w:t>
        </w:r>
        <w:r>
          <w:t>i</w:t>
        </w:r>
        <w:r>
          <w:t>dad</w:t>
        </w:r>
      </w:smartTag>
      <w:r>
        <w:t xml:space="preserve"> nº 2-, quien le aconsejó hacerlo para su segur</w:t>
      </w:r>
      <w:r>
        <w:t>i</w:t>
      </w:r>
      <w:r>
        <w:t>dad.</w:t>
      </w:r>
    </w:p>
    <w:p w:rsidR="00224567" w:rsidRDefault="00224567">
      <w:pPr>
        <w:pStyle w:val="Textoindependiente"/>
        <w:spacing w:line="600" w:lineRule="auto"/>
      </w:pPr>
      <w:r>
        <w:tab/>
      </w:r>
      <w:r>
        <w:tab/>
        <w:t>Telleldín indicó que luego de las vis</w:t>
      </w:r>
      <w:r>
        <w:t>i</w:t>
      </w:r>
      <w:r>
        <w:t>tas de Riva Aramayo entregó el manuscrito en guarda, como garantía, a Lejtman, quien prácticamente reconoció que h</w:t>
      </w:r>
      <w:r>
        <w:t>a</w:t>
      </w:r>
      <w:r>
        <w:t>bía sido enviado por el gobierno nacional. En otro tramo expr</w:t>
      </w:r>
      <w:r>
        <w:t>e</w:t>
      </w:r>
      <w:r>
        <w:t>só que, según creía, el periodista fue contratado por el Ministerio del Interior y enviado por un alto funcion</w:t>
      </w:r>
      <w:r>
        <w:t>a</w:t>
      </w:r>
      <w:r>
        <w:t>rio del gobierno a fin de incent</w:t>
      </w:r>
      <w:r>
        <w:t>i</w:t>
      </w:r>
      <w:r>
        <w:t>varlo a escribir un libro para una determinada editorial, que, creía, se trataba de “Sudamericana”, pero no le interesó y lo rechazó. Si bien no recordó con precisión el monto de la oferta, la estimó en USD 30.000, más un cierto dinero por las ventas.</w:t>
      </w:r>
    </w:p>
    <w:p w:rsidR="00224567" w:rsidRDefault="00224567">
      <w:pPr>
        <w:widowControl w:val="0"/>
      </w:pPr>
      <w:r>
        <w:tab/>
        <w:t>Asimismo, luego de reconocer su voz y la de su mujer en la escucha telefónica del 23 de abril de 1995, correspondiente al abonado 787-4807, casete nº 49, aclaró que allí aludían a un proyecto de hacer dos libros –uno sobre lo publicado en los medios periodí</w:t>
      </w:r>
      <w:r>
        <w:t>s</w:t>
      </w:r>
      <w:r>
        <w:t>ticos y otro una novela-, que finalmente no llevó a cabo, ni se rel</w:t>
      </w:r>
      <w:r>
        <w:t>a</w:t>
      </w:r>
      <w:r>
        <w:t>cionaban con el manuscrito entregado a Lej</w:t>
      </w:r>
      <w:r>
        <w:t>t</w:t>
      </w:r>
      <w:r>
        <w:t>man.</w:t>
      </w:r>
    </w:p>
    <w:p w:rsidR="00224567" w:rsidRDefault="00224567">
      <w:pPr>
        <w:pStyle w:val="Textoindependiente"/>
        <w:spacing w:line="600" w:lineRule="auto"/>
      </w:pPr>
      <w:r>
        <w:tab/>
      </w:r>
      <w:r>
        <w:tab/>
        <w:t>En último término, al reproducirse una conversación del 1º de marzo de 1997, casete nº 321 del abonado 760-2343, manifestó que comentó</w:t>
      </w:r>
      <w:r>
        <w:rPr>
          <w:bCs/>
        </w:rPr>
        <w:t xml:space="preserve"> un artículo del diario, que no se relacionaba con ninguna fotografía. Ta</w:t>
      </w:r>
      <w:r>
        <w:rPr>
          <w:bCs/>
        </w:rPr>
        <w:t>m</w:t>
      </w:r>
      <w:r>
        <w:rPr>
          <w:bCs/>
        </w:rPr>
        <w:t>bién explicó que durante el diálogo aludió a su abogado Stinfale, sobre quien tuvo dudas acerca de si trabajaba p</w:t>
      </w:r>
      <w:r>
        <w:rPr>
          <w:bCs/>
        </w:rPr>
        <w:t>a</w:t>
      </w:r>
      <w:r>
        <w:rPr>
          <w:bCs/>
        </w:rPr>
        <w:t xml:space="preserve">ra </w:t>
      </w:r>
      <w:smartTag w:uri="urn:schemas-microsoft-com:office:smarttags" w:element="PersonName">
        <w:smartTagPr>
          <w:attr w:name="ProductID" w:val="la S.I"/>
        </w:smartTagPr>
        <w:r>
          <w:rPr>
            <w:bCs/>
          </w:rPr>
          <w:t>la S.I</w:t>
        </w:r>
      </w:smartTag>
      <w:r>
        <w:rPr>
          <w:bCs/>
        </w:rPr>
        <w:t xml:space="preserve">.D.E., habiéndolo hecho para </w:t>
      </w:r>
      <w:smartTag w:uri="urn:schemas-microsoft-com:office:smarttags" w:element="PersonName">
        <w:smartTagPr>
          <w:attr w:name="ProductID" w:val="la C.I"/>
        </w:smartTagPr>
        <w:r>
          <w:rPr>
            <w:bCs/>
          </w:rPr>
          <w:t>la C.I</w:t>
        </w:r>
      </w:smartTag>
      <w:r>
        <w:rPr>
          <w:bCs/>
        </w:rPr>
        <w:t>.A.. Consideró que pudo haber relacionado a Cúneo Libar</w:t>
      </w:r>
      <w:r>
        <w:rPr>
          <w:bCs/>
        </w:rPr>
        <w:t>o</w:t>
      </w:r>
      <w:r>
        <w:rPr>
          <w:bCs/>
        </w:rPr>
        <w:t>na en ese tramo de la conversación porque era muy amigo de Stinfale, a la vez que señaló que ambos trab</w:t>
      </w:r>
      <w:r>
        <w:rPr>
          <w:bCs/>
        </w:rPr>
        <w:t>a</w:t>
      </w:r>
      <w:r>
        <w:rPr>
          <w:bCs/>
        </w:rPr>
        <w:t xml:space="preserve">jaban para </w:t>
      </w:r>
      <w:smartTag w:uri="urn:schemas-microsoft-com:office:smarttags" w:element="PersonName">
        <w:smartTagPr>
          <w:attr w:name="ProductID" w:val="la S.I"/>
        </w:smartTagPr>
        <w:r>
          <w:rPr>
            <w:bCs/>
          </w:rPr>
          <w:t>la S.I</w:t>
        </w:r>
      </w:smartTag>
      <w:r>
        <w:rPr>
          <w:bCs/>
        </w:rPr>
        <w:t>.D.E.</w:t>
      </w:r>
    </w:p>
    <w:p w:rsidR="00224567" w:rsidRDefault="00224567">
      <w:pPr>
        <w:pStyle w:val="Textoindependiente2"/>
        <w:widowControl w:val="0"/>
        <w:rPr>
          <w:rFonts w:ascii="Courier New" w:hAnsi="Courier New" w:cs="Courier New"/>
          <w:szCs w:val="24"/>
          <w:lang w:val="es-AR"/>
        </w:rPr>
      </w:pPr>
      <w:r>
        <w:rPr>
          <w:rFonts w:ascii="Courier New" w:hAnsi="Courier New" w:cs="Courier New"/>
        </w:rPr>
        <w:tab/>
      </w:r>
      <w:r>
        <w:rPr>
          <w:rFonts w:ascii="Courier New" w:hAnsi="Courier New" w:cs="Courier New"/>
          <w:szCs w:val="24"/>
          <w:lang w:val="es-AR"/>
        </w:rPr>
        <w:t>Al ampliar su declaración indag</w:t>
      </w:r>
      <w:r>
        <w:rPr>
          <w:rFonts w:ascii="Courier New" w:hAnsi="Courier New" w:cs="Courier New"/>
          <w:szCs w:val="24"/>
          <w:lang w:val="es-AR"/>
        </w:rPr>
        <w:t>a</w:t>
      </w:r>
      <w:r>
        <w:rPr>
          <w:rFonts w:ascii="Courier New" w:hAnsi="Courier New" w:cs="Courier New"/>
          <w:szCs w:val="24"/>
          <w:lang w:val="es-AR"/>
        </w:rPr>
        <w:t>toria en la audiencia de debate del 30 de julio de 2002, Ca</w:t>
      </w:r>
      <w:r>
        <w:rPr>
          <w:rFonts w:ascii="Courier New" w:hAnsi="Courier New" w:cs="Courier New"/>
          <w:szCs w:val="24"/>
          <w:lang w:val="es-AR"/>
        </w:rPr>
        <w:t>r</w:t>
      </w:r>
      <w:r>
        <w:rPr>
          <w:rFonts w:ascii="Courier New" w:hAnsi="Courier New" w:cs="Courier New"/>
          <w:szCs w:val="24"/>
          <w:lang w:val="es-AR"/>
        </w:rPr>
        <w:t>los Alberto Telleldín aclaró que las camionetas Tr</w:t>
      </w:r>
      <w:r>
        <w:rPr>
          <w:rFonts w:ascii="Courier New" w:hAnsi="Courier New" w:cs="Courier New"/>
          <w:szCs w:val="24"/>
          <w:lang w:val="es-AR"/>
        </w:rPr>
        <w:t>a</w:t>
      </w:r>
      <w:r>
        <w:rPr>
          <w:rFonts w:ascii="Courier New" w:hAnsi="Courier New" w:cs="Courier New"/>
          <w:szCs w:val="24"/>
          <w:lang w:val="es-AR"/>
        </w:rPr>
        <w:t>fic cortas funcionaban con motores de hi</w:t>
      </w:r>
      <w:r>
        <w:rPr>
          <w:rFonts w:ascii="Courier New" w:hAnsi="Courier New" w:cs="Courier New"/>
          <w:szCs w:val="24"/>
          <w:lang w:val="es-AR"/>
        </w:rPr>
        <w:t>e</w:t>
      </w:r>
      <w:r>
        <w:rPr>
          <w:rFonts w:ascii="Courier New" w:hAnsi="Courier New" w:cs="Courier New"/>
          <w:szCs w:val="24"/>
          <w:lang w:val="es-AR"/>
        </w:rPr>
        <w:t>rro fundido, que se oxidaban al ser expuestos a alta temperatura, como si hubieran e</w:t>
      </w:r>
      <w:r>
        <w:rPr>
          <w:rFonts w:ascii="Courier New" w:hAnsi="Courier New" w:cs="Courier New"/>
          <w:szCs w:val="24"/>
          <w:lang w:val="es-AR"/>
        </w:rPr>
        <w:t>s</w:t>
      </w:r>
      <w:r>
        <w:rPr>
          <w:rFonts w:ascii="Courier New" w:hAnsi="Courier New" w:cs="Courier New"/>
          <w:szCs w:val="24"/>
          <w:lang w:val="es-AR"/>
        </w:rPr>
        <w:t>tado a la intemperie, a diferencia de lo que sucedía con las Trafic largas, cuyos motores eran de aluminio y tom</w:t>
      </w:r>
      <w:r>
        <w:rPr>
          <w:rFonts w:ascii="Courier New" w:hAnsi="Courier New" w:cs="Courier New"/>
          <w:szCs w:val="24"/>
          <w:lang w:val="es-AR"/>
        </w:rPr>
        <w:t>a</w:t>
      </w:r>
      <w:r>
        <w:rPr>
          <w:rFonts w:ascii="Courier New" w:hAnsi="Courier New" w:cs="Courier New"/>
          <w:szCs w:val="24"/>
          <w:lang w:val="es-AR"/>
        </w:rPr>
        <w:t>ban un color negro.</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Explicó que asistía razón a Jouce al declarar que el motor presentaba un color óxido y que lo recibieron sin la tapa de cilindro, por cuanto en esa pa</w:t>
      </w:r>
      <w:r>
        <w:rPr>
          <w:rFonts w:ascii="Courier New" w:hAnsi="Courier New" w:cs="Courier New"/>
          <w:szCs w:val="24"/>
          <w:lang w:val="es-AR"/>
        </w:rPr>
        <w:t>r</w:t>
      </w:r>
      <w:r>
        <w:rPr>
          <w:rFonts w:ascii="Courier New" w:hAnsi="Courier New" w:cs="Courier New"/>
          <w:szCs w:val="24"/>
          <w:lang w:val="es-AR"/>
        </w:rPr>
        <w:t>te se hallaban todos los accesorios quemados que fueron reemplazados con los extraídos a la camion</w:t>
      </w:r>
      <w:r>
        <w:rPr>
          <w:rFonts w:ascii="Courier New" w:hAnsi="Courier New" w:cs="Courier New"/>
          <w:szCs w:val="24"/>
          <w:lang w:val="es-AR"/>
        </w:rPr>
        <w:t>e</w:t>
      </w:r>
      <w:r>
        <w:rPr>
          <w:rFonts w:ascii="Courier New" w:hAnsi="Courier New" w:cs="Courier New"/>
          <w:szCs w:val="24"/>
          <w:lang w:val="es-AR"/>
        </w:rPr>
        <w:t>ta de Sarapura.</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Negó que el motor hubiera estado cl</w:t>
      </w:r>
      <w:r>
        <w:rPr>
          <w:rFonts w:ascii="Courier New" w:hAnsi="Courier New" w:cs="Courier New"/>
          <w:szCs w:val="24"/>
          <w:lang w:val="es-AR"/>
        </w:rPr>
        <w:t>a</w:t>
      </w:r>
      <w:r>
        <w:rPr>
          <w:rFonts w:ascii="Courier New" w:hAnsi="Courier New" w:cs="Courier New"/>
          <w:szCs w:val="24"/>
          <w:lang w:val="es-AR"/>
        </w:rPr>
        <w:t>vado, puesto que, argumentó, de esa manera no habría fu</w:t>
      </w:r>
      <w:r>
        <w:rPr>
          <w:rFonts w:ascii="Courier New" w:hAnsi="Courier New" w:cs="Courier New"/>
          <w:szCs w:val="24"/>
          <w:lang w:val="es-AR"/>
        </w:rPr>
        <w:t>n</w:t>
      </w:r>
      <w:r>
        <w:rPr>
          <w:rFonts w:ascii="Courier New" w:hAnsi="Courier New" w:cs="Courier New"/>
          <w:szCs w:val="24"/>
          <w:lang w:val="es-AR"/>
        </w:rPr>
        <w:t>cionado. En cambio, admitió como posible que los aros h</w:t>
      </w:r>
      <w:r>
        <w:rPr>
          <w:rFonts w:ascii="Courier New" w:hAnsi="Courier New" w:cs="Courier New"/>
          <w:szCs w:val="24"/>
          <w:lang w:val="es-AR"/>
        </w:rPr>
        <w:t>u</w:t>
      </w:r>
      <w:r>
        <w:rPr>
          <w:rFonts w:ascii="Courier New" w:hAnsi="Courier New" w:cs="Courier New"/>
          <w:szCs w:val="24"/>
          <w:lang w:val="es-AR"/>
        </w:rPr>
        <w:t>bieran estado pegados, motivo por el cual se debió emp</w:t>
      </w:r>
      <w:r>
        <w:rPr>
          <w:rFonts w:ascii="Courier New" w:hAnsi="Courier New" w:cs="Courier New"/>
          <w:szCs w:val="24"/>
          <w:lang w:val="es-AR"/>
        </w:rPr>
        <w:t>u</w:t>
      </w:r>
      <w:r>
        <w:rPr>
          <w:rFonts w:ascii="Courier New" w:hAnsi="Courier New" w:cs="Courier New"/>
          <w:szCs w:val="24"/>
          <w:lang w:val="es-AR"/>
        </w:rPr>
        <w:t>jar la camioneta con un Dodge Polara para hacerla arra</w:t>
      </w:r>
      <w:r>
        <w:rPr>
          <w:rFonts w:ascii="Courier New" w:hAnsi="Courier New" w:cs="Courier New"/>
          <w:szCs w:val="24"/>
          <w:lang w:val="es-AR"/>
        </w:rPr>
        <w:t>n</w:t>
      </w:r>
      <w:r>
        <w:rPr>
          <w:rFonts w:ascii="Courier New" w:hAnsi="Courier New" w:cs="Courier New"/>
          <w:szCs w:val="24"/>
          <w:lang w:val="es-AR"/>
        </w:rPr>
        <w:t>car.</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 xml:space="preserve">A lo expuesto adunó que </w:t>
      </w:r>
      <w:smartTag w:uri="urn:schemas-microsoft-com:office:smarttags" w:element="PersonName">
        <w:smartTagPr>
          <w:attr w:name="ProductID" w:val="la Trafic"/>
        </w:smartTagPr>
        <w:r>
          <w:rPr>
            <w:rFonts w:ascii="Courier New" w:hAnsi="Courier New" w:cs="Courier New"/>
            <w:szCs w:val="24"/>
            <w:lang w:val="es-AR"/>
          </w:rPr>
          <w:t>la Trafic</w:t>
        </w:r>
      </w:smartTag>
      <w:r>
        <w:rPr>
          <w:rFonts w:ascii="Courier New" w:hAnsi="Courier New" w:cs="Courier New"/>
          <w:szCs w:val="24"/>
          <w:lang w:val="es-AR"/>
        </w:rPr>
        <w:t xml:space="preserve"> de Sarapura era corta, con motor 1400 de cilindrada, debié</w:t>
      </w:r>
      <w:r>
        <w:rPr>
          <w:rFonts w:ascii="Courier New" w:hAnsi="Courier New" w:cs="Courier New"/>
          <w:szCs w:val="24"/>
          <w:lang w:val="es-AR"/>
        </w:rPr>
        <w:t>n</w:t>
      </w:r>
      <w:r>
        <w:rPr>
          <w:rFonts w:ascii="Courier New" w:hAnsi="Courier New" w:cs="Courier New"/>
          <w:szCs w:val="24"/>
          <w:lang w:val="es-AR"/>
        </w:rPr>
        <w:t>dose contar con un vehículo de similares caract</w:t>
      </w:r>
      <w:r>
        <w:rPr>
          <w:rFonts w:ascii="Courier New" w:hAnsi="Courier New" w:cs="Courier New"/>
          <w:szCs w:val="24"/>
          <w:lang w:val="es-AR"/>
        </w:rPr>
        <w:t>e</w:t>
      </w:r>
      <w:r>
        <w:rPr>
          <w:rFonts w:ascii="Courier New" w:hAnsi="Courier New" w:cs="Courier New"/>
          <w:szCs w:val="24"/>
          <w:lang w:val="es-AR"/>
        </w:rPr>
        <w:t>rísticas. En consecuencia, descartó la posibilidad de haberle col</w:t>
      </w:r>
      <w:r>
        <w:rPr>
          <w:rFonts w:ascii="Courier New" w:hAnsi="Courier New" w:cs="Courier New"/>
          <w:szCs w:val="24"/>
          <w:lang w:val="es-AR"/>
        </w:rPr>
        <w:t>o</w:t>
      </w:r>
      <w:r>
        <w:rPr>
          <w:rFonts w:ascii="Courier New" w:hAnsi="Courier New" w:cs="Courier New"/>
          <w:szCs w:val="24"/>
          <w:lang w:val="es-AR"/>
        </w:rPr>
        <w:t>cado repuestos de la camioneta de Toretta, por cuanto era motor 2000, es decir, de mayor cilindr</w:t>
      </w:r>
      <w:r>
        <w:rPr>
          <w:rFonts w:ascii="Courier New" w:hAnsi="Courier New" w:cs="Courier New"/>
          <w:szCs w:val="24"/>
          <w:lang w:val="es-AR"/>
        </w:rPr>
        <w:t>a</w:t>
      </w:r>
      <w:r>
        <w:rPr>
          <w:rFonts w:ascii="Courier New" w:hAnsi="Courier New" w:cs="Courier New"/>
          <w:szCs w:val="24"/>
          <w:lang w:val="es-AR"/>
        </w:rPr>
        <w:t>da.</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En otro orden, negó el supuesto ofr</w:t>
      </w:r>
      <w:r>
        <w:rPr>
          <w:rFonts w:ascii="Courier New" w:hAnsi="Courier New" w:cs="Courier New"/>
          <w:szCs w:val="24"/>
          <w:lang w:val="es-AR"/>
        </w:rPr>
        <w:t>e</w:t>
      </w:r>
      <w:r>
        <w:rPr>
          <w:rFonts w:ascii="Courier New" w:hAnsi="Courier New" w:cs="Courier New"/>
          <w:szCs w:val="24"/>
          <w:lang w:val="es-AR"/>
        </w:rPr>
        <w:t>cimiento a su coimputado Nitzcaner, a la vez que aseveró que en su primer indagatoria relató la verdad acerca del modo en que armó la camion</w:t>
      </w:r>
      <w:r>
        <w:rPr>
          <w:rFonts w:ascii="Courier New" w:hAnsi="Courier New" w:cs="Courier New"/>
          <w:szCs w:val="24"/>
          <w:lang w:val="es-AR"/>
        </w:rPr>
        <w:t>e</w:t>
      </w:r>
      <w:r>
        <w:rPr>
          <w:rFonts w:ascii="Courier New" w:hAnsi="Courier New" w:cs="Courier New"/>
          <w:szCs w:val="24"/>
          <w:lang w:val="es-AR"/>
        </w:rPr>
        <w:t>ta.</w:t>
      </w:r>
    </w:p>
    <w:p w:rsidR="00224567" w:rsidRDefault="00224567">
      <w:pPr>
        <w:widowControl w:val="0"/>
      </w:pPr>
      <w:r>
        <w:tab/>
        <w:t>Por otra parte, Telleldín destacó que, si bien en un pr</w:t>
      </w:r>
      <w:r>
        <w:t>i</w:t>
      </w:r>
      <w:r>
        <w:t>mer momento manifestó que el traslado de la camioneta incendiada lo había realizado un individuo apodado “el Jorobado”, era posible que lo hubiera efectu</w:t>
      </w:r>
      <w:r>
        <w:t>a</w:t>
      </w:r>
      <w:r>
        <w:t>do el gruero Chueco, ya que no se enca</w:t>
      </w:r>
      <w:r>
        <w:t>r</w:t>
      </w:r>
      <w:r>
        <w:t xml:space="preserve">gaba personalmente de esos temas. No obstante, aseguró que </w:t>
      </w:r>
      <w:smartTag w:uri="urn:schemas-microsoft-com:office:smarttags" w:element="PersonName">
        <w:smartTagPr>
          <w:attr w:name="ProductID" w:val="la Trafic"/>
        </w:smartTagPr>
        <w:r>
          <w:t>la Trafic</w:t>
        </w:r>
      </w:smartTag>
      <w:r>
        <w:t xml:space="preserve"> nunca estuvo en las inmediaciones del t</w:t>
      </w:r>
      <w:r>
        <w:t>a</w:t>
      </w:r>
      <w:r>
        <w:t>ller de Nitzcaner, sino en lo de C</w:t>
      </w:r>
      <w:r>
        <w:t>o</w:t>
      </w:r>
      <w:r>
        <w:t>toras.</w:t>
      </w:r>
    </w:p>
    <w:p w:rsidR="00224567" w:rsidRDefault="00224567">
      <w:pPr>
        <w:widowControl w:val="0"/>
      </w:pPr>
      <w:r>
        <w:tab/>
        <w:t>Amplió su indagatoria Telleldín el 26 de septiembre de 2002, ocasión en la que, entre otras co</w:t>
      </w:r>
      <w:r>
        <w:t>n</w:t>
      </w:r>
      <w:r>
        <w:t>sideraciones, señaló que Lo Preiato adquirió la m</w:t>
      </w:r>
      <w:r>
        <w:t>i</w:t>
      </w:r>
      <w:r>
        <w:t>tad del fondo de comercio del lavadero, entregándole al venderlo la mitad del efectivo, la mitad de la moto y del Falcon, pero para saldar esa deuda le dio un vehículo 405 SRI, c</w:t>
      </w:r>
      <w:r>
        <w:t>u</w:t>
      </w:r>
      <w:r>
        <w:t>yo cincuenta por ciento le pertenecía. Aseguró que tal e</w:t>
      </w:r>
      <w:r>
        <w:t>n</w:t>
      </w:r>
      <w:r>
        <w:t>trega fue hecha con el consentimiento del juez Galeano, quien no secuestró ese automóvil, pese a que estaba rep</w:t>
      </w:r>
      <w:r>
        <w:t>a</w:t>
      </w:r>
      <w:r>
        <w:t>rado de la misma forma que los restantes r</w:t>
      </w:r>
      <w:r>
        <w:t>o</w:t>
      </w:r>
      <w:r>
        <w:t>dados.</w:t>
      </w:r>
    </w:p>
    <w:p w:rsidR="00224567" w:rsidRDefault="00224567">
      <w:pPr>
        <w:widowControl w:val="0"/>
      </w:pPr>
      <w:r>
        <w:tab/>
        <w:t>Consideró acreditado que la moto Kaw</w:t>
      </w:r>
      <w:r>
        <w:t>a</w:t>
      </w:r>
      <w:r>
        <w:t>saki 125 que le fue sacada por la fuerza, la tuvo S</w:t>
      </w:r>
      <w:r>
        <w:t>e</w:t>
      </w:r>
      <w:r>
        <w:t>morile y luego fue vendida por P</w:t>
      </w:r>
      <w:r>
        <w:t>a</w:t>
      </w:r>
      <w:r>
        <w:t>blo Ibáñez. Remarcó que éste, al igual que Miriam Salinas y Hebert Núñez, eran allegados del letrado, habiendo sido las declaraciones de los tres preparadas por el juzgado con Sem</w:t>
      </w:r>
      <w:r>
        <w:t>o</w:t>
      </w:r>
      <w:r>
        <w:t>rile.</w:t>
      </w:r>
    </w:p>
    <w:p w:rsidR="00224567" w:rsidRDefault="00224567">
      <w:pPr>
        <w:widowControl w:val="0"/>
      </w:pPr>
      <w:r>
        <w:tab/>
        <w:t>Con fecha 13 de febrero de 2003 Ca</w:t>
      </w:r>
      <w:r>
        <w:t>r</w:t>
      </w:r>
      <w:r>
        <w:t>los Alberto Telleldín amplió su indagatoria a efectos de re</w:t>
      </w:r>
      <w:r>
        <w:t>a</w:t>
      </w:r>
      <w:r>
        <w:t>lizar algunas aclaraciones. En ese sentido, man</w:t>
      </w:r>
      <w:r>
        <w:t>i</w:t>
      </w:r>
      <w:r>
        <w:t>festó, con relación a un vehículo R</w:t>
      </w:r>
      <w:r>
        <w:t>e</w:t>
      </w:r>
      <w:r>
        <w:t>nault 19, que viajó a Córdoba en ese rodado con sus hijos, de su anterior pareja; estando en esa provincia su mujer le informó que debía firmar o dar la seña del contrato de locación por un inmueble en Ramos Mejía, situación que motivó su regreso en avión, d</w:t>
      </w:r>
      <w:r>
        <w:t>e</w:t>
      </w:r>
      <w:r>
        <w:t>jando el automóvil en la cochera de la casa de su m</w:t>
      </w:r>
      <w:r>
        <w:t>a</w:t>
      </w:r>
      <w:r>
        <w:t>dre.</w:t>
      </w:r>
    </w:p>
    <w:p w:rsidR="00224567" w:rsidRDefault="00224567">
      <w:pPr>
        <w:widowControl w:val="0"/>
      </w:pPr>
      <w:r>
        <w:tab/>
        <w:t>En diciembre, puntualizó, durante el allanamiento a la vivienda de su progenitora, en la pr</w:t>
      </w:r>
      <w:r>
        <w:t>o</w:t>
      </w:r>
      <w:r>
        <w:t>vincia de Córdoba, el juez Galeano omitió secuestrar el Renault 19. Luego del allan</w:t>
      </w:r>
      <w:r>
        <w:t>a</w:t>
      </w:r>
      <w:r>
        <w:t xml:space="preserve">miento, agregó, personal de </w:t>
      </w:r>
      <w:smartTag w:uri="urn:schemas-microsoft-com:office:smarttags" w:element="PersonName">
        <w:smartTagPr>
          <w:attr w:name="ProductID" w:val="la Secretar￭a"/>
        </w:smartTagPr>
        <w:r>
          <w:t>la Secretaría</w:t>
        </w:r>
      </w:smartTag>
      <w:r>
        <w:t xml:space="preserve"> de Inteligencia sacó el rodado, lo revisó en busca de un maletín y lo dejó en la puerta, siendo fina</w:t>
      </w:r>
      <w:r>
        <w:t>l</w:t>
      </w:r>
      <w:r>
        <w:t>mente guardado, a pedido de su madre, por uno de los e</w:t>
      </w:r>
      <w:r>
        <w:t>m</w:t>
      </w:r>
      <w:r>
        <w:t>pleados o administr</w:t>
      </w:r>
      <w:r>
        <w:t>a</w:t>
      </w:r>
      <w:r>
        <w:t>dores de la cochera donde fue hallado.</w:t>
      </w:r>
    </w:p>
    <w:p w:rsidR="00224567" w:rsidRDefault="00224567">
      <w:pPr>
        <w:widowControl w:val="0"/>
      </w:pPr>
      <w:r>
        <w:tab/>
        <w:t>El imputado aseguró tener toda la d</w:t>
      </w:r>
      <w:r>
        <w:t>o</w:t>
      </w:r>
      <w:r>
        <w:t>cumentación del vehículo, incluidos la tarjeta verde, t</w:t>
      </w:r>
      <w:r>
        <w:t>í</w:t>
      </w:r>
      <w:r>
        <w:t>tulos, formularios “</w:t>
      </w:r>
      <w:smartTag w:uri="urn:schemas-microsoft-com:office:smarttags" w:element="metricconverter">
        <w:smartTagPr>
          <w:attr w:name="ProductID" w:val="08”"/>
        </w:smartTagPr>
        <w:r>
          <w:t>08”</w:t>
        </w:r>
      </w:smartTag>
      <w:r>
        <w:t xml:space="preserve"> e incluso la llave.</w:t>
      </w:r>
    </w:p>
    <w:p w:rsidR="00224567" w:rsidRDefault="00224567">
      <w:pPr>
        <w:widowControl w:val="0"/>
      </w:pPr>
      <w:r>
        <w:tab/>
        <w:t xml:space="preserve">Asimismo, aseveró que el Renault 19 fue entregado por su defensor Stinfale a </w:t>
      </w:r>
      <w:smartTag w:uri="urn:schemas-microsoft-com:office:smarttags" w:element="PersonName">
        <w:smartTagPr>
          <w:attr w:name="ProductID" w:val="la Dra. Riva"/>
        </w:smartTagPr>
        <w:r>
          <w:t>la Dra. Riva</w:t>
        </w:r>
      </w:smartTag>
      <w:r>
        <w:t xml:space="preserve"> Ar</w:t>
      </w:r>
      <w:r>
        <w:t>a</w:t>
      </w:r>
      <w:r>
        <w:t>mayo, como prueba de lo acaecido el 14 de julio, previo a saber que los policías iban a admitir la forma en que s</w:t>
      </w:r>
      <w:r>
        <w:t>u</w:t>
      </w:r>
      <w:r>
        <w:t>cedieron los hechos. Aclaró que, en una reunión con la m</w:t>
      </w:r>
      <w:r>
        <w:t>a</w:t>
      </w:r>
      <w:r>
        <w:t>gistrada, su abogado le brindó el dato acerca de la ubic</w:t>
      </w:r>
      <w:r>
        <w:t>a</w:t>
      </w:r>
      <w:r>
        <w:t>ción del vehículo, pasándoselo aqu</w:t>
      </w:r>
      <w:r>
        <w:t>é</w:t>
      </w:r>
      <w:r>
        <w:t>lla a su vez a Galeano y siendo secuestrado a la sem</w:t>
      </w:r>
      <w:r>
        <w:t>a</w:t>
      </w:r>
      <w:r>
        <w:t>na.</w:t>
      </w:r>
    </w:p>
    <w:p w:rsidR="00224567" w:rsidRDefault="00224567">
      <w:pPr>
        <w:pStyle w:val="Textoindependiente2"/>
        <w:widowControl w:val="0"/>
        <w:rPr>
          <w:rFonts w:ascii="Courier New" w:hAnsi="Courier New" w:cs="Courier New"/>
        </w:rPr>
      </w:pPr>
      <w:r>
        <w:rPr>
          <w:rFonts w:ascii="Courier New" w:hAnsi="Courier New" w:cs="Courier New"/>
          <w:lang w:val="es-AR"/>
        </w:rPr>
        <w:tab/>
        <w:t>En otro orden, si bien el encartado admitió haber cobrado dinero proveniente del Dr. Gale</w:t>
      </w:r>
      <w:r>
        <w:rPr>
          <w:rFonts w:ascii="Courier New" w:hAnsi="Courier New" w:cs="Courier New"/>
          <w:lang w:val="es-AR"/>
        </w:rPr>
        <w:t>a</w:t>
      </w:r>
      <w:r>
        <w:rPr>
          <w:rFonts w:ascii="Courier New" w:hAnsi="Courier New" w:cs="Courier New"/>
          <w:lang w:val="es-AR"/>
        </w:rPr>
        <w:t>no, resaltó que los fondos que estaban en Uruguay tenían su origen en una compañía de seguros de Gualegua</w:t>
      </w:r>
      <w:r>
        <w:rPr>
          <w:rFonts w:ascii="Courier New" w:hAnsi="Courier New" w:cs="Courier New"/>
          <w:lang w:val="es-AR"/>
        </w:rPr>
        <w:t>y</w:t>
      </w:r>
      <w:r>
        <w:rPr>
          <w:rFonts w:ascii="Courier New" w:hAnsi="Courier New" w:cs="Courier New"/>
          <w:lang w:val="es-AR"/>
        </w:rPr>
        <w:t>chú. Detalló que previo a su detención poseía</w:t>
      </w:r>
      <w:r>
        <w:rPr>
          <w:rFonts w:ascii="Courier New" w:hAnsi="Courier New" w:cs="Courier New"/>
        </w:rPr>
        <w:t xml:space="preserve"> USD</w:t>
      </w:r>
      <w:r>
        <w:rPr>
          <w:rFonts w:ascii="Courier New" w:hAnsi="Courier New" w:cs="Courier New"/>
          <w:lang w:val="es-AR"/>
        </w:rPr>
        <w:t xml:space="preserve"> 30.000 en el Banco Nación, sucursal Olivos, a nombre de Ana y Domingo Bora</w:t>
      </w:r>
      <w:r>
        <w:rPr>
          <w:rFonts w:ascii="Courier New" w:hAnsi="Courier New" w:cs="Courier New"/>
          <w:lang w:val="es-AR"/>
        </w:rPr>
        <w:t>g</w:t>
      </w:r>
      <w:r>
        <w:rPr>
          <w:rFonts w:ascii="Courier New" w:hAnsi="Courier New" w:cs="Courier New"/>
          <w:lang w:val="es-AR"/>
        </w:rPr>
        <w:t xml:space="preserve">ni; libreta de ahorro a la vista por </w:t>
      </w:r>
      <w:r>
        <w:rPr>
          <w:rFonts w:ascii="Courier New" w:hAnsi="Courier New" w:cs="Courier New"/>
        </w:rPr>
        <w:t>USD</w:t>
      </w:r>
      <w:r>
        <w:rPr>
          <w:rFonts w:ascii="Courier New" w:hAnsi="Courier New" w:cs="Courier New"/>
          <w:lang w:val="es-AR"/>
        </w:rPr>
        <w:t xml:space="preserve"> 55.000</w:t>
      </w:r>
      <w:r>
        <w:rPr>
          <w:rFonts w:ascii="Courier New" w:hAnsi="Courier New" w:cs="Courier New"/>
        </w:rPr>
        <w:t xml:space="preserve"> </w:t>
      </w:r>
      <w:r>
        <w:rPr>
          <w:rFonts w:ascii="Courier New" w:hAnsi="Courier New" w:cs="Courier New"/>
          <w:lang w:val="es-AR"/>
        </w:rPr>
        <w:t>en el Ba</w:t>
      </w:r>
      <w:r>
        <w:rPr>
          <w:rFonts w:ascii="Courier New" w:hAnsi="Courier New" w:cs="Courier New"/>
          <w:lang w:val="es-AR"/>
        </w:rPr>
        <w:t>n</w:t>
      </w:r>
      <w:r>
        <w:rPr>
          <w:rFonts w:ascii="Courier New" w:hAnsi="Courier New" w:cs="Courier New"/>
          <w:lang w:val="es-AR"/>
        </w:rPr>
        <w:t xml:space="preserve">co Credicop de la calle Garay, a su nombre; </w:t>
      </w:r>
      <w:r>
        <w:rPr>
          <w:rFonts w:ascii="Courier New" w:hAnsi="Courier New" w:cs="Courier New"/>
        </w:rPr>
        <w:t>USD</w:t>
      </w:r>
      <w:r>
        <w:rPr>
          <w:rFonts w:ascii="Courier New" w:hAnsi="Courier New" w:cs="Courier New"/>
          <w:lang w:val="es-AR"/>
        </w:rPr>
        <w:t xml:space="preserve"> 200.000 por la venta de dos dúplex sitos en Echeverría y Marconi y </w:t>
      </w:r>
      <w:r>
        <w:rPr>
          <w:rFonts w:ascii="Courier New" w:hAnsi="Courier New" w:cs="Courier New"/>
        </w:rPr>
        <w:t xml:space="preserve">USD 40.000 que cobró en la escribanía </w:t>
      </w:r>
      <w:r>
        <w:rPr>
          <w:rFonts w:ascii="Courier New" w:hAnsi="Courier New" w:cs="Courier New"/>
          <w:bCs/>
        </w:rPr>
        <w:t>Warcovesky por una hipoteca sobre esos inmuebles</w:t>
      </w:r>
      <w:r>
        <w:rPr>
          <w:rFonts w:ascii="Courier New" w:hAnsi="Courier New" w:cs="Courier New"/>
          <w:lang w:val="es-AR"/>
        </w:rPr>
        <w:t xml:space="preserve">; y </w:t>
      </w:r>
      <w:r>
        <w:rPr>
          <w:rFonts w:ascii="Courier New" w:hAnsi="Courier New" w:cs="Courier New"/>
        </w:rPr>
        <w:t>USD</w:t>
      </w:r>
      <w:r>
        <w:rPr>
          <w:rFonts w:ascii="Courier New" w:hAnsi="Courier New" w:cs="Courier New"/>
          <w:lang w:val="es-AR"/>
        </w:rPr>
        <w:t xml:space="preserve"> 30.000 provenientes de la venta de una </w:t>
      </w:r>
      <w:r>
        <w:rPr>
          <w:rFonts w:ascii="Courier New" w:hAnsi="Courier New" w:cs="Courier New"/>
        </w:rPr>
        <w:t>GTA cero kilómetro a unos git</w:t>
      </w:r>
      <w:r>
        <w:rPr>
          <w:rFonts w:ascii="Courier New" w:hAnsi="Courier New" w:cs="Courier New"/>
        </w:rPr>
        <w:t>a</w:t>
      </w:r>
      <w:r>
        <w:rPr>
          <w:rFonts w:ascii="Courier New" w:hAnsi="Courier New" w:cs="Courier New"/>
        </w:rPr>
        <w:t>nos.</w:t>
      </w:r>
    </w:p>
    <w:p w:rsidR="00224567" w:rsidRDefault="00224567">
      <w:pPr>
        <w:pStyle w:val="Textoindependiente2"/>
        <w:widowControl w:val="0"/>
        <w:rPr>
          <w:rFonts w:ascii="Courier New" w:hAnsi="Courier New" w:cs="Courier New"/>
        </w:rPr>
      </w:pPr>
      <w:r>
        <w:rPr>
          <w:rFonts w:ascii="Courier New" w:hAnsi="Courier New" w:cs="Courier New"/>
        </w:rPr>
        <w:tab/>
        <w:t>Aclaró que ese dinero lo tenía en i</w:t>
      </w:r>
      <w:r>
        <w:rPr>
          <w:rFonts w:ascii="Courier New" w:hAnsi="Courier New" w:cs="Courier New"/>
        </w:rPr>
        <w:t>n</w:t>
      </w:r>
      <w:r>
        <w:rPr>
          <w:rFonts w:ascii="Courier New" w:hAnsi="Courier New" w:cs="Courier New"/>
        </w:rPr>
        <w:t>versiones, inmovilizado durante treinta y seis meses, no explicando en qué consistían. A lo expuesto adunó que ta</w:t>
      </w:r>
      <w:r>
        <w:rPr>
          <w:rFonts w:ascii="Courier New" w:hAnsi="Courier New" w:cs="Courier New"/>
        </w:rPr>
        <w:t>m</w:t>
      </w:r>
      <w:r>
        <w:rPr>
          <w:rFonts w:ascii="Courier New" w:hAnsi="Courier New" w:cs="Courier New"/>
        </w:rPr>
        <w:t>bién obtuvo dinero, que empleó para v</w:t>
      </w:r>
      <w:r>
        <w:rPr>
          <w:rFonts w:ascii="Courier New" w:hAnsi="Courier New" w:cs="Courier New"/>
        </w:rPr>
        <w:t>i</w:t>
      </w:r>
      <w:r>
        <w:rPr>
          <w:rFonts w:ascii="Courier New" w:hAnsi="Courier New" w:cs="Courier New"/>
        </w:rPr>
        <w:t>vir, de la venta del fondo de comercio del lavadero, de dos taxis, de una Honda CVR 1000 c</w:t>
      </w:r>
      <w:r>
        <w:rPr>
          <w:rFonts w:ascii="Courier New" w:hAnsi="Courier New" w:cs="Courier New"/>
        </w:rPr>
        <w:t>e</w:t>
      </w:r>
      <w:r>
        <w:rPr>
          <w:rFonts w:ascii="Courier New" w:hAnsi="Courier New" w:cs="Courier New"/>
        </w:rPr>
        <w:t>ro kilómetro, de una Pacific Coast 800 ’87 y de un departamento en la calle Del V</w:t>
      </w:r>
      <w:r>
        <w:rPr>
          <w:rFonts w:ascii="Courier New" w:hAnsi="Courier New" w:cs="Courier New"/>
        </w:rPr>
        <w:t>a</w:t>
      </w:r>
      <w:r>
        <w:rPr>
          <w:rFonts w:ascii="Courier New" w:hAnsi="Courier New" w:cs="Courier New"/>
        </w:rPr>
        <w:t>lle.</w:t>
      </w:r>
    </w:p>
    <w:p w:rsidR="00224567" w:rsidRDefault="00224567">
      <w:pPr>
        <w:pStyle w:val="Textoindependiente2"/>
        <w:widowControl w:val="0"/>
        <w:rPr>
          <w:rFonts w:ascii="Courier New" w:hAnsi="Courier New" w:cs="Courier New"/>
        </w:rPr>
      </w:pPr>
      <w:r>
        <w:rPr>
          <w:rFonts w:ascii="Courier New" w:hAnsi="Courier New" w:cs="Courier New"/>
        </w:rPr>
        <w:tab/>
        <w:t>Con referencia al dinero que dijo h</w:t>
      </w:r>
      <w:r>
        <w:rPr>
          <w:rFonts w:ascii="Courier New" w:hAnsi="Courier New" w:cs="Courier New"/>
        </w:rPr>
        <w:t>a</w:t>
      </w:r>
      <w:r>
        <w:rPr>
          <w:rFonts w:ascii="Courier New" w:hAnsi="Courier New" w:cs="Courier New"/>
        </w:rPr>
        <w:t>ber cobrado el 5 de julio, señaló que comandó la entrega desde el juzgado instructor. Al respecto, declaró que la persona que lo recibió se comunicó a través de un teléf</w:t>
      </w:r>
      <w:r>
        <w:rPr>
          <w:rFonts w:ascii="Courier New" w:hAnsi="Courier New" w:cs="Courier New"/>
        </w:rPr>
        <w:t>o</w:t>
      </w:r>
      <w:r>
        <w:rPr>
          <w:rFonts w:ascii="Courier New" w:hAnsi="Courier New" w:cs="Courier New"/>
        </w:rPr>
        <w:t>no público ubicado en la esquina del banco a un celular. Si bien se negó a declarar con relación al destino otorgado a esa plata, Telleldín aseveró que Galeano y De Gamas le aconsejaron cómo invertirla para sortear eventuales emba</w:t>
      </w:r>
      <w:r>
        <w:rPr>
          <w:rFonts w:ascii="Courier New" w:hAnsi="Courier New" w:cs="Courier New"/>
        </w:rPr>
        <w:t>r</w:t>
      </w:r>
      <w:r>
        <w:rPr>
          <w:rFonts w:ascii="Courier New" w:hAnsi="Courier New" w:cs="Courier New"/>
        </w:rPr>
        <w:t>gos en causas civiles por parte de los damnif</w:t>
      </w:r>
      <w:r>
        <w:rPr>
          <w:rFonts w:ascii="Courier New" w:hAnsi="Courier New" w:cs="Courier New"/>
        </w:rPr>
        <w:t>i</w:t>
      </w:r>
      <w:r>
        <w:rPr>
          <w:rFonts w:ascii="Courier New" w:hAnsi="Courier New" w:cs="Courier New"/>
        </w:rPr>
        <w:t>cados que le compraron vehículos.</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En cuanto a las grabaciones de las e</w:t>
      </w:r>
      <w:r>
        <w:rPr>
          <w:rFonts w:ascii="Courier New" w:hAnsi="Courier New" w:cs="Courier New"/>
          <w:lang w:val="es-AR"/>
        </w:rPr>
        <w:t>n</w:t>
      </w:r>
      <w:r>
        <w:rPr>
          <w:rFonts w:ascii="Courier New" w:hAnsi="Courier New" w:cs="Courier New"/>
          <w:lang w:val="es-AR"/>
        </w:rPr>
        <w:t>trevistas con el capitán Vergéz, Telleldín sost</w:t>
      </w:r>
      <w:r>
        <w:rPr>
          <w:rFonts w:ascii="Courier New" w:hAnsi="Courier New" w:cs="Courier New"/>
          <w:lang w:val="es-AR"/>
        </w:rPr>
        <w:t>u</w:t>
      </w:r>
      <w:r>
        <w:rPr>
          <w:rFonts w:ascii="Courier New" w:hAnsi="Courier New" w:cs="Courier New"/>
          <w:lang w:val="es-AR"/>
        </w:rPr>
        <w:t>vo que no nombró a Ribelli por cuanto en ese momento desconocía su apellido. Asimismo, mencionó que el primero operó por o</w:t>
      </w:r>
      <w:r>
        <w:rPr>
          <w:rFonts w:ascii="Courier New" w:hAnsi="Courier New" w:cs="Courier New"/>
          <w:lang w:val="es-AR"/>
        </w:rPr>
        <w:t>r</w:t>
      </w:r>
      <w:r>
        <w:rPr>
          <w:rFonts w:ascii="Courier New" w:hAnsi="Courier New" w:cs="Courier New"/>
          <w:lang w:val="es-AR"/>
        </w:rPr>
        <w:t xml:space="preserve">den de </w:t>
      </w:r>
      <w:smartTag w:uri="urn:schemas-microsoft-com:office:smarttags" w:element="PersonName">
        <w:smartTagPr>
          <w:attr w:name="ProductID" w:val="la S.I"/>
        </w:smartTagPr>
        <w:r>
          <w:rPr>
            <w:rFonts w:ascii="Courier New" w:hAnsi="Courier New" w:cs="Courier New"/>
            <w:lang w:val="es-AR"/>
          </w:rPr>
          <w:t>la S.I</w:t>
        </w:r>
      </w:smartTag>
      <w:r>
        <w:rPr>
          <w:rFonts w:ascii="Courier New" w:hAnsi="Courier New" w:cs="Courier New"/>
          <w:lang w:val="es-AR"/>
        </w:rPr>
        <w:t>.D.E., con Romero a sus órdenes. De ese org</w:t>
      </w:r>
      <w:r>
        <w:rPr>
          <w:rFonts w:ascii="Courier New" w:hAnsi="Courier New" w:cs="Courier New"/>
          <w:lang w:val="es-AR"/>
        </w:rPr>
        <w:t>a</w:t>
      </w:r>
      <w:r>
        <w:rPr>
          <w:rFonts w:ascii="Courier New" w:hAnsi="Courier New" w:cs="Courier New"/>
          <w:lang w:val="es-AR"/>
        </w:rPr>
        <w:t xml:space="preserve">nismo, dijo, recibió </w:t>
      </w:r>
      <w:r>
        <w:rPr>
          <w:rFonts w:ascii="Courier New" w:hAnsi="Courier New" w:cs="Courier New"/>
        </w:rPr>
        <w:t>USD</w:t>
      </w:r>
      <w:r>
        <w:rPr>
          <w:rFonts w:ascii="Courier New" w:hAnsi="Courier New" w:cs="Courier New"/>
          <w:lang w:val="es-AR"/>
        </w:rPr>
        <w:t xml:space="preserve"> 5000 por mes durante más de un año y el resto lo “filtraban”, e</w:t>
      </w:r>
      <w:r>
        <w:rPr>
          <w:rFonts w:ascii="Courier New" w:hAnsi="Courier New" w:cs="Courier New"/>
          <w:lang w:val="es-AR"/>
        </w:rPr>
        <w:t>n</w:t>
      </w:r>
      <w:r>
        <w:rPr>
          <w:rFonts w:ascii="Courier New" w:hAnsi="Courier New" w:cs="Courier New"/>
          <w:lang w:val="es-AR"/>
        </w:rPr>
        <w:t>viándole Vergéz bolsas de alimentos, un freezer y otros eleme</w:t>
      </w:r>
      <w:r>
        <w:rPr>
          <w:rFonts w:ascii="Courier New" w:hAnsi="Courier New" w:cs="Courier New"/>
          <w:lang w:val="es-AR"/>
        </w:rPr>
        <w:t>n</w:t>
      </w:r>
      <w:r>
        <w:rPr>
          <w:rFonts w:ascii="Courier New" w:hAnsi="Courier New" w:cs="Courier New"/>
          <w:lang w:val="es-AR"/>
        </w:rPr>
        <w:t>tos.</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Con relación a la moto Kawasaki vinc</w:t>
      </w:r>
      <w:r>
        <w:rPr>
          <w:rFonts w:ascii="Courier New" w:hAnsi="Courier New" w:cs="Courier New"/>
          <w:lang w:val="es-AR"/>
        </w:rPr>
        <w:t>u</w:t>
      </w:r>
      <w:r>
        <w:rPr>
          <w:rFonts w:ascii="Courier New" w:hAnsi="Courier New" w:cs="Courier New"/>
          <w:lang w:val="es-AR"/>
        </w:rPr>
        <w:t>lada a estas actu</w:t>
      </w:r>
      <w:r>
        <w:rPr>
          <w:rFonts w:ascii="Courier New" w:hAnsi="Courier New" w:cs="Courier New"/>
          <w:lang w:val="es-AR"/>
        </w:rPr>
        <w:t>a</w:t>
      </w:r>
      <w:r>
        <w:rPr>
          <w:rFonts w:ascii="Courier New" w:hAnsi="Courier New" w:cs="Courier New"/>
          <w:lang w:val="es-AR"/>
        </w:rPr>
        <w:t>ciones, el imputado resaltó que efectuó una denuncia en el Juzgado de Instrucción nº 4, haciendo saber que no dio la moto al Dr. Semorile, sino que la e</w:t>
      </w:r>
      <w:r>
        <w:rPr>
          <w:rFonts w:ascii="Courier New" w:hAnsi="Courier New" w:cs="Courier New"/>
          <w:lang w:val="es-AR"/>
        </w:rPr>
        <w:t>n</w:t>
      </w:r>
      <w:r>
        <w:rPr>
          <w:rFonts w:ascii="Courier New" w:hAnsi="Courier New" w:cs="Courier New"/>
          <w:lang w:val="es-AR"/>
        </w:rPr>
        <w:t xml:space="preserve">tregó en </w:t>
      </w:r>
      <w:smartTag w:uri="urn:schemas-microsoft-com:office:smarttags" w:element="PersonName">
        <w:smartTagPr>
          <w:attr w:name="ProductID" w:val="la Brigada"/>
        </w:smartTagPr>
        <w:r>
          <w:rPr>
            <w:rFonts w:ascii="Courier New" w:hAnsi="Courier New" w:cs="Courier New"/>
            <w:lang w:val="es-AR"/>
          </w:rPr>
          <w:t>la Brigada</w:t>
        </w:r>
      </w:smartTag>
      <w:r>
        <w:rPr>
          <w:rFonts w:ascii="Courier New" w:hAnsi="Courier New" w:cs="Courier New"/>
          <w:lang w:val="es-AR"/>
        </w:rPr>
        <w:t xml:space="preserve"> de Lanús y luego apareció en manos del letrado –información con la que el Dr. Galeano contaba-, habiendo sido aquél quien brindó el dato a la brigada a efectos de que lo detuvieran y le sacaran bienes. Agregó que por ese episodio pagó </w:t>
      </w:r>
      <w:r>
        <w:rPr>
          <w:rFonts w:ascii="Courier New" w:hAnsi="Courier New" w:cs="Courier New"/>
        </w:rPr>
        <w:t>USD</w:t>
      </w:r>
      <w:r>
        <w:rPr>
          <w:rFonts w:ascii="Courier New" w:hAnsi="Courier New" w:cs="Courier New"/>
          <w:lang w:val="es-AR"/>
        </w:rPr>
        <w:t xml:space="preserve"> 1000 en efectivo a Semorile. También acotó que en 1992 le abonó honorarios por </w:t>
      </w:r>
      <w:r>
        <w:rPr>
          <w:rFonts w:ascii="Courier New" w:hAnsi="Courier New" w:cs="Courier New"/>
        </w:rPr>
        <w:t>USD</w:t>
      </w:r>
      <w:r>
        <w:rPr>
          <w:rFonts w:ascii="Courier New" w:hAnsi="Courier New" w:cs="Courier New"/>
          <w:lang w:val="es-AR"/>
        </w:rPr>
        <w:t xml:space="preserve"> 1500, por un problema en Gualeguaychú, en que dos emple</w:t>
      </w:r>
      <w:r>
        <w:rPr>
          <w:rFonts w:ascii="Courier New" w:hAnsi="Courier New" w:cs="Courier New"/>
          <w:lang w:val="es-AR"/>
        </w:rPr>
        <w:t>a</w:t>
      </w:r>
      <w:r>
        <w:rPr>
          <w:rFonts w:ascii="Courier New" w:hAnsi="Courier New" w:cs="Courier New"/>
          <w:lang w:val="es-AR"/>
        </w:rPr>
        <w:t>dos suyos fueron deten</w:t>
      </w:r>
      <w:r>
        <w:rPr>
          <w:rFonts w:ascii="Courier New" w:hAnsi="Courier New" w:cs="Courier New"/>
          <w:lang w:val="es-AR"/>
        </w:rPr>
        <w:t>i</w:t>
      </w:r>
      <w:r>
        <w:rPr>
          <w:rFonts w:ascii="Courier New" w:hAnsi="Courier New" w:cs="Courier New"/>
          <w:lang w:val="es-AR"/>
        </w:rPr>
        <w:t>dos.</w:t>
      </w:r>
    </w:p>
    <w:p w:rsidR="00224567" w:rsidRDefault="00224567">
      <w:pPr>
        <w:pStyle w:val="Textoindependiente2"/>
        <w:widowControl w:val="0"/>
        <w:rPr>
          <w:rFonts w:ascii="Courier New" w:hAnsi="Courier New" w:cs="Courier New"/>
        </w:rPr>
      </w:pPr>
      <w:r>
        <w:rPr>
          <w:rFonts w:ascii="Courier New" w:hAnsi="Courier New" w:cs="Courier New"/>
          <w:lang w:val="es-AR"/>
        </w:rPr>
        <w:tab/>
        <w:t>El 19 de marzo de 2003 se pract</w:t>
      </w:r>
      <w:r>
        <w:rPr>
          <w:rFonts w:ascii="Courier New" w:hAnsi="Courier New" w:cs="Courier New"/>
          <w:lang w:val="es-AR"/>
        </w:rPr>
        <w:t>i</w:t>
      </w:r>
      <w:r>
        <w:rPr>
          <w:rFonts w:ascii="Courier New" w:hAnsi="Courier New" w:cs="Courier New"/>
          <w:lang w:val="es-AR"/>
        </w:rPr>
        <w:t>có un careo entre el imputado Telleldín y el testigo Javier I</w:t>
      </w:r>
      <w:r>
        <w:rPr>
          <w:rFonts w:ascii="Courier New" w:hAnsi="Courier New" w:cs="Courier New"/>
          <w:lang w:val="es-AR"/>
        </w:rPr>
        <w:t>g</w:t>
      </w:r>
      <w:r>
        <w:rPr>
          <w:rFonts w:ascii="Courier New" w:hAnsi="Courier New" w:cs="Courier New"/>
          <w:lang w:val="es-AR"/>
        </w:rPr>
        <w:t>nacio De Gamas Soler, oportunidad en la que ambos se ma</w:t>
      </w:r>
      <w:r>
        <w:rPr>
          <w:rFonts w:ascii="Courier New" w:hAnsi="Courier New" w:cs="Courier New"/>
          <w:lang w:val="es-AR"/>
        </w:rPr>
        <w:t>n</w:t>
      </w:r>
      <w:r>
        <w:rPr>
          <w:rFonts w:ascii="Courier New" w:hAnsi="Courier New" w:cs="Courier New"/>
          <w:lang w:val="es-AR"/>
        </w:rPr>
        <w:t>tuvieron en sus dichos. Por su parte, Telleldín m</w:t>
      </w:r>
      <w:r>
        <w:rPr>
          <w:rFonts w:ascii="Courier New" w:hAnsi="Courier New" w:cs="Courier New"/>
          <w:lang w:val="es-AR"/>
        </w:rPr>
        <w:t>a</w:t>
      </w:r>
      <w:r>
        <w:rPr>
          <w:rFonts w:ascii="Courier New" w:hAnsi="Courier New" w:cs="Courier New"/>
          <w:lang w:val="es-AR"/>
        </w:rPr>
        <w:t xml:space="preserve">nifestó que </w:t>
      </w:r>
      <w:r>
        <w:rPr>
          <w:rFonts w:ascii="Courier New" w:hAnsi="Courier New" w:cs="Courier New"/>
        </w:rPr>
        <w:t>cuando el video de su entrevista con Galeano se hizo público, fue conv</w:t>
      </w:r>
      <w:r>
        <w:rPr>
          <w:rFonts w:ascii="Courier New" w:hAnsi="Courier New" w:cs="Courier New"/>
        </w:rPr>
        <w:t>o</w:t>
      </w:r>
      <w:r>
        <w:rPr>
          <w:rFonts w:ascii="Courier New" w:hAnsi="Courier New" w:cs="Courier New"/>
        </w:rPr>
        <w:t>cado al juzgado y le hicieron firmar un pedido de recompensa en blanco, ocasión en la que se h</w:t>
      </w:r>
      <w:r>
        <w:rPr>
          <w:rFonts w:ascii="Courier New" w:hAnsi="Courier New" w:cs="Courier New"/>
        </w:rPr>
        <w:t>a</w:t>
      </w:r>
      <w:r>
        <w:rPr>
          <w:rFonts w:ascii="Courier New" w:hAnsi="Courier New" w:cs="Courier New"/>
        </w:rPr>
        <w:t>llaban presentes el magistrado y De Gamas.</w:t>
      </w:r>
    </w:p>
    <w:p w:rsidR="00224567" w:rsidRDefault="00224567">
      <w:pPr>
        <w:pStyle w:val="Textoindependiente2"/>
        <w:widowControl w:val="0"/>
        <w:rPr>
          <w:rFonts w:ascii="Courier New" w:hAnsi="Courier New" w:cs="Courier New"/>
        </w:rPr>
      </w:pPr>
      <w:r>
        <w:rPr>
          <w:rFonts w:ascii="Courier New" w:hAnsi="Courier New" w:cs="Courier New"/>
        </w:rPr>
        <w:tab/>
        <w:t>Con relación a los testigos Br</w:t>
      </w:r>
      <w:r>
        <w:rPr>
          <w:rFonts w:ascii="Courier New" w:hAnsi="Courier New" w:cs="Courier New"/>
        </w:rPr>
        <w:t>i</w:t>
      </w:r>
      <w:r>
        <w:rPr>
          <w:rFonts w:ascii="Courier New" w:hAnsi="Courier New" w:cs="Courier New"/>
        </w:rPr>
        <w:t>zuela, Telleldín aseguró que fue quien los aportó, en tanto De Gamas llamó a un tal Caballero, jefe de judiciales de la prisión de Devoto, a los efectos de su traslado a Tribun</w:t>
      </w:r>
      <w:r>
        <w:rPr>
          <w:rFonts w:ascii="Courier New" w:hAnsi="Courier New" w:cs="Courier New"/>
        </w:rPr>
        <w:t>a</w:t>
      </w:r>
      <w:r>
        <w:rPr>
          <w:rFonts w:ascii="Courier New" w:hAnsi="Courier New" w:cs="Courier New"/>
        </w:rPr>
        <w:t>les, para que los convenciera de declarar. Ref</w:t>
      </w:r>
      <w:r>
        <w:rPr>
          <w:rFonts w:ascii="Courier New" w:hAnsi="Courier New" w:cs="Courier New"/>
        </w:rPr>
        <w:t>i</w:t>
      </w:r>
      <w:r>
        <w:rPr>
          <w:rFonts w:ascii="Courier New" w:hAnsi="Courier New" w:cs="Courier New"/>
        </w:rPr>
        <w:t>rió que se reunió con los Br</w:t>
      </w:r>
      <w:r>
        <w:rPr>
          <w:rFonts w:ascii="Courier New" w:hAnsi="Courier New" w:cs="Courier New"/>
        </w:rPr>
        <w:t>i</w:t>
      </w:r>
      <w:r>
        <w:rPr>
          <w:rFonts w:ascii="Courier New" w:hAnsi="Courier New" w:cs="Courier New"/>
        </w:rPr>
        <w:t>zuela en presencia de Stinfale, sin que De Gamas se hallara en el lugar. Su cocareado negó ese e</w:t>
      </w:r>
      <w:r>
        <w:rPr>
          <w:rFonts w:ascii="Courier New" w:hAnsi="Courier New" w:cs="Courier New"/>
        </w:rPr>
        <w:t>x</w:t>
      </w:r>
      <w:r>
        <w:rPr>
          <w:rFonts w:ascii="Courier New" w:hAnsi="Courier New" w:cs="Courier New"/>
        </w:rPr>
        <w:t>tremo.</w:t>
      </w:r>
    </w:p>
    <w:p w:rsidR="00224567" w:rsidRDefault="00224567">
      <w:pPr>
        <w:pStyle w:val="Textoindependiente2"/>
        <w:widowControl w:val="0"/>
        <w:rPr>
          <w:rFonts w:ascii="Courier New" w:hAnsi="Courier New" w:cs="Courier New"/>
        </w:rPr>
      </w:pPr>
      <w:r>
        <w:rPr>
          <w:rFonts w:ascii="Courier New" w:hAnsi="Courier New" w:cs="Courier New"/>
        </w:rPr>
        <w:tab/>
        <w:t>A su vez, Telleldín expresó que De G</w:t>
      </w:r>
      <w:r>
        <w:rPr>
          <w:rFonts w:ascii="Courier New" w:hAnsi="Courier New" w:cs="Courier New"/>
        </w:rPr>
        <w:t>a</w:t>
      </w:r>
      <w:r>
        <w:rPr>
          <w:rFonts w:ascii="Courier New" w:hAnsi="Courier New" w:cs="Courier New"/>
        </w:rPr>
        <w:t>mas le comentó que había grabado a Semorile y le habían ofrecido declarar con identidad protegida, en tanto Bott</w:t>
      </w:r>
      <w:r>
        <w:rPr>
          <w:rFonts w:ascii="Courier New" w:hAnsi="Courier New" w:cs="Courier New"/>
        </w:rPr>
        <w:t>e</w:t>
      </w:r>
      <w:r>
        <w:rPr>
          <w:rFonts w:ascii="Courier New" w:hAnsi="Courier New" w:cs="Courier New"/>
        </w:rPr>
        <w:t>gal no solicitó resguardo y “lo mandaron a la p</w:t>
      </w:r>
      <w:r>
        <w:rPr>
          <w:rFonts w:ascii="Courier New" w:hAnsi="Courier New" w:cs="Courier New"/>
        </w:rPr>
        <w:t>a</w:t>
      </w:r>
      <w:r>
        <w:rPr>
          <w:rFonts w:ascii="Courier New" w:hAnsi="Courier New" w:cs="Courier New"/>
        </w:rPr>
        <w:t>rrilla”.</w:t>
      </w:r>
    </w:p>
    <w:p w:rsidR="00224567" w:rsidRDefault="00224567">
      <w:pPr>
        <w:pStyle w:val="Textoindependiente2"/>
        <w:widowControl w:val="0"/>
        <w:rPr>
          <w:rFonts w:ascii="Courier New" w:hAnsi="Courier New" w:cs="Courier New"/>
        </w:rPr>
      </w:pPr>
      <w:r>
        <w:rPr>
          <w:rFonts w:ascii="Courier New" w:hAnsi="Courier New" w:cs="Courier New"/>
        </w:rPr>
        <w:tab/>
        <w:t>En cuanto al dinero que dijo haber percibido, Telle</w:t>
      </w:r>
      <w:r>
        <w:rPr>
          <w:rFonts w:ascii="Courier New" w:hAnsi="Courier New" w:cs="Courier New"/>
        </w:rPr>
        <w:t>l</w:t>
      </w:r>
      <w:r>
        <w:rPr>
          <w:rFonts w:ascii="Courier New" w:hAnsi="Courier New" w:cs="Courier New"/>
        </w:rPr>
        <w:t>dín señaló que arregló el primer pago con el Dr. Galeano y recibió USD 200.000 el día de su declar</w:t>
      </w:r>
      <w:r>
        <w:rPr>
          <w:rFonts w:ascii="Courier New" w:hAnsi="Courier New" w:cs="Courier New"/>
        </w:rPr>
        <w:t>a</w:t>
      </w:r>
      <w:r>
        <w:rPr>
          <w:rFonts w:ascii="Courier New" w:hAnsi="Courier New" w:cs="Courier New"/>
        </w:rPr>
        <w:t>ción. Con respecto al resto, aseveró que De Gamas le dio su palabra de honor de que se le pagaría y, en septiembre, le mostró el dinero, que se hallaba en una caja. A los p</w:t>
      </w:r>
      <w:r>
        <w:rPr>
          <w:rFonts w:ascii="Courier New" w:hAnsi="Courier New" w:cs="Courier New"/>
        </w:rPr>
        <w:t>o</w:t>
      </w:r>
      <w:r>
        <w:rPr>
          <w:rFonts w:ascii="Courier New" w:hAnsi="Courier New" w:cs="Courier New"/>
        </w:rPr>
        <w:t>cos días, adunó, se lo entregaron, aunque no lo hizo el nombrado.</w:t>
      </w:r>
    </w:p>
    <w:p w:rsidR="00224567" w:rsidRDefault="00224567">
      <w:pPr>
        <w:pStyle w:val="Textoindependiente2"/>
        <w:widowControl w:val="0"/>
        <w:rPr>
          <w:rFonts w:ascii="Courier New" w:hAnsi="Courier New" w:cs="Courier New"/>
        </w:rPr>
      </w:pPr>
      <w:r>
        <w:rPr>
          <w:rFonts w:ascii="Courier New" w:hAnsi="Courier New" w:cs="Courier New"/>
        </w:rPr>
        <w:tab/>
        <w:t>Asimismo, el imputado afirmó, con r</w:t>
      </w:r>
      <w:r>
        <w:rPr>
          <w:rFonts w:ascii="Courier New" w:hAnsi="Courier New" w:cs="Courier New"/>
        </w:rPr>
        <w:t>e</w:t>
      </w:r>
      <w:r>
        <w:rPr>
          <w:rFonts w:ascii="Courier New" w:hAnsi="Courier New" w:cs="Courier New"/>
        </w:rPr>
        <w:t>lación a su indagatoria del 5 de julio, que se la tom</w:t>
      </w:r>
      <w:r>
        <w:rPr>
          <w:rFonts w:ascii="Courier New" w:hAnsi="Courier New" w:cs="Courier New"/>
        </w:rPr>
        <w:t>a</w:t>
      </w:r>
      <w:r>
        <w:rPr>
          <w:rFonts w:ascii="Courier New" w:hAnsi="Courier New" w:cs="Courier New"/>
        </w:rPr>
        <w:t>ron De Gamas y Spina, en tanto Lifschitz entraba y salía. Pu</w:t>
      </w:r>
      <w:r>
        <w:rPr>
          <w:rFonts w:ascii="Courier New" w:hAnsi="Courier New" w:cs="Courier New"/>
        </w:rPr>
        <w:t>n</w:t>
      </w:r>
      <w:r>
        <w:rPr>
          <w:rFonts w:ascii="Courier New" w:hAnsi="Courier New" w:cs="Courier New"/>
        </w:rPr>
        <w:t>tualizó que el primero escribió el encabezamiento hasta más de la mitad, luego continuó la segunda y, por último, otro emple</w:t>
      </w:r>
      <w:r>
        <w:rPr>
          <w:rFonts w:ascii="Courier New" w:hAnsi="Courier New" w:cs="Courier New"/>
        </w:rPr>
        <w:t>a</w:t>
      </w:r>
      <w:r>
        <w:rPr>
          <w:rFonts w:ascii="Courier New" w:hAnsi="Courier New" w:cs="Courier New"/>
        </w:rPr>
        <w:t>do. Añadió que Stinfale se encontraba en Ramos Mejía con el trámite del dinero, arribando al juzgado de</w:t>
      </w:r>
      <w:r>
        <w:rPr>
          <w:rFonts w:ascii="Courier New" w:hAnsi="Courier New" w:cs="Courier New"/>
        </w:rPr>
        <w:t>s</w:t>
      </w:r>
      <w:r>
        <w:rPr>
          <w:rFonts w:ascii="Courier New" w:hAnsi="Courier New" w:cs="Courier New"/>
        </w:rPr>
        <w:t>pués del horario bancario. A su turno, De Gamas sostuvo que, si bien estaba en el juzgado, no presenció la indag</w:t>
      </w:r>
      <w:r>
        <w:rPr>
          <w:rFonts w:ascii="Courier New" w:hAnsi="Courier New" w:cs="Courier New"/>
        </w:rPr>
        <w:t>a</w:t>
      </w:r>
      <w:r>
        <w:rPr>
          <w:rFonts w:ascii="Courier New" w:hAnsi="Courier New" w:cs="Courier New"/>
        </w:rPr>
        <w:t>toria, aunque en algún momento pasó; agregó que no se tr</w:t>
      </w:r>
      <w:r>
        <w:rPr>
          <w:rFonts w:ascii="Courier New" w:hAnsi="Courier New" w:cs="Courier New"/>
        </w:rPr>
        <w:t>a</w:t>
      </w:r>
      <w:r>
        <w:rPr>
          <w:rFonts w:ascii="Courier New" w:hAnsi="Courier New" w:cs="Courier New"/>
        </w:rPr>
        <w:t>taba de su forma de r</w:t>
      </w:r>
      <w:r>
        <w:rPr>
          <w:rFonts w:ascii="Courier New" w:hAnsi="Courier New" w:cs="Courier New"/>
        </w:rPr>
        <w:t>e</w:t>
      </w:r>
      <w:r>
        <w:rPr>
          <w:rFonts w:ascii="Courier New" w:hAnsi="Courier New" w:cs="Courier New"/>
        </w:rPr>
        <w:t>dactar.</w:t>
      </w:r>
    </w:p>
    <w:p w:rsidR="00224567" w:rsidRDefault="00224567">
      <w:pPr>
        <w:widowControl w:val="0"/>
      </w:pPr>
      <w:r>
        <w:tab/>
        <w:t>El 23 de abril de 2003 Carlos A</w:t>
      </w:r>
      <w:r>
        <w:t>l</w:t>
      </w:r>
      <w:r>
        <w:t>berto Telleldín amplió su declaración indagatoria, oportunidad en la que brindó explicaciones relativas al grabado de n</w:t>
      </w:r>
      <w:r>
        <w:t>u</w:t>
      </w:r>
      <w:r>
        <w:t>meración en las carrocerías de los rodados robados, a efectos de doblarlos.</w:t>
      </w:r>
    </w:p>
    <w:p w:rsidR="00224567" w:rsidRDefault="00224567">
      <w:pPr>
        <w:widowControl w:val="0"/>
      </w:pPr>
      <w:r>
        <w:tab/>
        <w:t>En otro orden, negó haber alterado n</w:t>
      </w:r>
      <w:r>
        <w:t>ú</w:t>
      </w:r>
      <w:r>
        <w:t>meros de motor. Por ese motivo, refirió, compraba el rod</w:t>
      </w:r>
      <w:r>
        <w:t>a</w:t>
      </w:r>
      <w:r>
        <w:t>do siniestrado, a efectos de “legalizar” el vehíc</w:t>
      </w:r>
      <w:r>
        <w:t>u</w:t>
      </w:r>
      <w:r>
        <w:t>lo.</w:t>
      </w:r>
    </w:p>
    <w:p w:rsidR="00224567" w:rsidRDefault="00224567">
      <w:pPr>
        <w:widowControl w:val="0"/>
      </w:pPr>
      <w:r>
        <w:tab/>
        <w:t>Con relación al Renault 19 secuestr</w:t>
      </w:r>
      <w:r>
        <w:t>a</w:t>
      </w:r>
      <w:r>
        <w:t>do en la causa, Telleldín explicó que esos automóviles no t</w:t>
      </w:r>
      <w:r>
        <w:t>e</w:t>
      </w:r>
      <w:r>
        <w:t>nían número de motor, sino una chapita con el número en aluminio. Admitió que a ese rodado no sólo le cambió la numeración, sino también le extrajo la chapita al sinie</w:t>
      </w:r>
      <w:r>
        <w:t>s</w:t>
      </w:r>
      <w:r>
        <w:t>trado y se la colocó al otro. También aceptó haber esta</w:t>
      </w:r>
      <w:r>
        <w:t>m</w:t>
      </w:r>
      <w:r>
        <w:t>pado el número personalmente, punteando con un clavo ox</w:t>
      </w:r>
      <w:r>
        <w:t>i</w:t>
      </w:r>
      <w:r>
        <w:t>dado y arrojándole ácido hasta que el anterior dejó de florecer. Aclaró que siempre compraba los su</w:t>
      </w:r>
      <w:r>
        <w:t>s</w:t>
      </w:r>
      <w:r>
        <w:t>traídos en la misma semana, por lo que estimó que si se buscaba una c</w:t>
      </w:r>
      <w:r>
        <w:t>a</w:t>
      </w:r>
      <w:r>
        <w:t>rrocería que hubiera sido rob</w:t>
      </w:r>
      <w:r>
        <w:t>a</w:t>
      </w:r>
      <w:r>
        <w:t>da próxima a la fecha de la factura de compra del vehículo, así se lo podría hallar. Con respecto al motor, expresó que lo llevó a José C. Paz para su desarme.</w:t>
      </w:r>
    </w:p>
    <w:p w:rsidR="00224567" w:rsidRDefault="00224567">
      <w:pPr>
        <w:widowControl w:val="0"/>
      </w:pPr>
      <w:r>
        <w:tab/>
        <w:t>Por último, al ampliar su decl</w:t>
      </w:r>
      <w:r>
        <w:t>a</w:t>
      </w:r>
      <w:r>
        <w:t>ración indagatoria el 9 de diciembre de 2003, Carlos Alberto T</w:t>
      </w:r>
      <w:r>
        <w:t>e</w:t>
      </w:r>
      <w:r>
        <w:t>lleldín ratificó las denuncias presentadas por sus abog</w:t>
      </w:r>
      <w:r>
        <w:t>a</w:t>
      </w:r>
      <w:r>
        <w:t>dos –cuyas c</w:t>
      </w:r>
      <w:r>
        <w:t>o</w:t>
      </w:r>
      <w:r>
        <w:t>pias se hallan glosadas a fs. 117.109/117.124 y 117.250/117.265-, de las que, indicó, surgía una de</w:t>
      </w:r>
      <w:r>
        <w:t>s</w:t>
      </w:r>
      <w:r>
        <w:t>cripción de las partes de su declaración indagatoria del 5 de julio de 1996 que fueron insertadas a pedido del juez Gale</w:t>
      </w:r>
      <w:r>
        <w:t>a</w:t>
      </w:r>
      <w:r>
        <w:t>no.</w:t>
      </w:r>
    </w:p>
    <w:p w:rsidR="00224567" w:rsidRDefault="00224567">
      <w:pPr>
        <w:widowControl w:val="0"/>
      </w:pPr>
      <w:r>
        <w:tab/>
        <w:t>Por otra parte, el imputado aportó diez croquis, en los que graficó los sucesos de marzo, 4 de abril y 10 y 14 de julio, todos de 1994.</w:t>
      </w:r>
    </w:p>
    <w:p w:rsidR="00224567" w:rsidRDefault="00224567">
      <w:pPr>
        <w:widowControl w:val="0"/>
      </w:pPr>
      <w:r>
        <w:tab/>
        <w:t>En tal sentido, explicó, con r</w:t>
      </w:r>
      <w:r>
        <w:t>e</w:t>
      </w:r>
      <w:r>
        <w:t>lación al hecho de marzo, que concurrió en un R</w:t>
      </w:r>
      <w:r>
        <w:t>e</w:t>
      </w:r>
      <w:r>
        <w:t xml:space="preserve">nault 18 desde su lavadero de autos “Puerto Olivos” hasta </w:t>
      </w:r>
      <w:smartTag w:uri="urn:schemas-microsoft-com:office:smarttags" w:element="PersonName">
        <w:smartTagPr>
          <w:attr w:name="ProductID" w:val="la Av. Maip￺"/>
        </w:smartTagPr>
        <w:r>
          <w:t>la Av. Maipú</w:t>
        </w:r>
      </w:smartTag>
      <w:r>
        <w:t>, do</w:t>
      </w:r>
      <w:r>
        <w:t>n</w:t>
      </w:r>
      <w:r>
        <w:t>de se encontró con Ana María Boragni, a los fines de e</w:t>
      </w:r>
      <w:r>
        <w:t>n</w:t>
      </w:r>
      <w:r>
        <w:t>tregarle dinero, toda vez que estaban separ</w:t>
      </w:r>
      <w:r>
        <w:t>a</w:t>
      </w:r>
      <w:r>
        <w:t>dos. Manifestó que en el lugar estacionó junto al E</w:t>
      </w:r>
      <w:r>
        <w:t>s</w:t>
      </w:r>
      <w:r>
        <w:t>cort de la nombrada y en ese momento dos personas se colocaron d</w:t>
      </w:r>
      <w:r>
        <w:t>e</w:t>
      </w:r>
      <w:r>
        <w:t>lante suyo, sin indicar que eran policías, ante lo cual dio marcha atrás, chocó a un automóvil Lada blanco y huyó. S</w:t>
      </w:r>
      <w:r>
        <w:t>e</w:t>
      </w:r>
      <w:r>
        <w:t>ñaló que uno de los sujetos –a quien luego reconoció como el imputado C</w:t>
      </w:r>
      <w:r>
        <w:t>a</w:t>
      </w:r>
      <w:r>
        <w:t>sas- se “pre</w:t>
      </w:r>
      <w:r>
        <w:t>n</w:t>
      </w:r>
      <w:r>
        <w:t>dió” de la puerta de su vehículo y lo apuntó con un arma, ordenándole detenerse, a lo que se n</w:t>
      </w:r>
      <w:r>
        <w:t>e</w:t>
      </w:r>
      <w:r>
        <w:t>gó; así, le pisó una pierna con una rueda trasera, quedando el arma dentro de su rodado, por lo que la arrojó por la ventan</w:t>
      </w:r>
      <w:r>
        <w:t>i</w:t>
      </w:r>
      <w:r>
        <w:t xml:space="preserve">lla en medio de </w:t>
      </w:r>
      <w:smartTag w:uri="urn:schemas-microsoft-com:office:smarttags" w:element="PersonName">
        <w:smartTagPr>
          <w:attr w:name="ProductID" w:val="la Av. Maip￺"/>
        </w:smartTagPr>
        <w:r>
          <w:t>la Av. Maipú</w:t>
        </w:r>
      </w:smartTag>
      <w:r>
        <w:t>, a la altura de la “preside</w:t>
      </w:r>
      <w:r>
        <w:t>n</w:t>
      </w:r>
      <w:r>
        <w:t>cia”.</w:t>
      </w:r>
    </w:p>
    <w:p w:rsidR="00224567" w:rsidRDefault="00224567">
      <w:pPr>
        <w:widowControl w:val="0"/>
      </w:pPr>
      <w:r>
        <w:tab/>
        <w:t>Luego, relató, se comunicó telefónic</w:t>
      </w:r>
      <w:r>
        <w:t>a</w:t>
      </w:r>
      <w:r>
        <w:t>mente con el Dr. Semorile, a quien solicitó se dir</w:t>
      </w:r>
      <w:r>
        <w:t>i</w:t>
      </w:r>
      <w:r>
        <w:t xml:space="preserve">giera a </w:t>
      </w:r>
      <w:smartTag w:uri="urn:schemas-microsoft-com:office:smarttags" w:element="PersonName">
        <w:smartTagPr>
          <w:attr w:name="ProductID" w:val="la Comisar￭a Olivos"/>
        </w:smartTagPr>
        <w:r>
          <w:t>la Comisaría Olivos</w:t>
        </w:r>
      </w:smartTag>
      <w:r>
        <w:t xml:space="preserve"> I a efectos de averiguar quién lo bu</w:t>
      </w:r>
      <w:r>
        <w:t>s</w:t>
      </w:r>
      <w:r>
        <w:t>caba, respondiéndole luego que no eran de ninguna br</w:t>
      </w:r>
      <w:r>
        <w:t>i</w:t>
      </w:r>
      <w:r>
        <w:t>gada. Adunó que, toda vez que su vehículo sufrió daños en la parte trasera, fue al domicilio de su hermano para que é</w:t>
      </w:r>
      <w:r>
        <w:t>s</w:t>
      </w:r>
      <w:r>
        <w:t>te lo llevara a un taller en Santos Lugares. A partir de ese momento, comentó, empezó a trasladarse con otro aut</w:t>
      </w:r>
      <w:r>
        <w:t>o</w:t>
      </w:r>
      <w:r>
        <w:t>móvil, dado que poseía cuatro o cinco, incluidos dos R</w:t>
      </w:r>
      <w:r>
        <w:t>e</w:t>
      </w:r>
      <w:r>
        <w:t>nault 11.</w:t>
      </w:r>
    </w:p>
    <w:p w:rsidR="00224567" w:rsidRDefault="00224567">
      <w:pPr>
        <w:widowControl w:val="0"/>
      </w:pPr>
      <w:r>
        <w:tab/>
        <w:t>Con respecto a lo acontecido el 4 de abril de 1994, refirió que para esa época estaba sep</w:t>
      </w:r>
      <w:r>
        <w:t>a</w:t>
      </w:r>
      <w:r>
        <w:t>rado de Boragni y vivía con Sandra Petrucci en la loc</w:t>
      </w:r>
      <w:r>
        <w:t>a</w:t>
      </w:r>
      <w:r>
        <w:t>lidad de Tortuguitas. Ese día, manifestó, al salir de un vide</w:t>
      </w:r>
      <w:r>
        <w:t>o</w:t>
      </w:r>
      <w:r>
        <w:t>club, su automóvil Renault 18 –el mismo con el que se desplazó en el hecho anterior, que ya estaba reparado- fue bloque</w:t>
      </w:r>
      <w:r>
        <w:t>a</w:t>
      </w:r>
      <w:r>
        <w:t xml:space="preserve">do por un Renault 12 blanco con una baliza, un Senda –en el que luego fue trasladado en la parte trasera, esposado y con una manta, a </w:t>
      </w:r>
      <w:smartTag w:uri="urn:schemas-microsoft-com:office:smarttags" w:element="PersonName">
        <w:smartTagPr>
          <w:attr w:name="ProductID" w:val="la Brigada"/>
        </w:smartTagPr>
        <w:r>
          <w:t>la Brigada</w:t>
        </w:r>
      </w:smartTag>
      <w:r>
        <w:t xml:space="preserve"> de Av</w:t>
      </w:r>
      <w:r>
        <w:t>e</w:t>
      </w:r>
      <w:r>
        <w:t>llaneda, es decir, de Lanús, por Albarracín- y otro vehículo, que no pudo dete</w:t>
      </w:r>
      <w:r>
        <w:t>r</w:t>
      </w:r>
      <w:r>
        <w:t>minar si se trataba de un Sierra blanco. Acotó que el su</w:t>
      </w:r>
      <w:r>
        <w:t>b</w:t>
      </w:r>
      <w:r>
        <w:t>comisario Ibarra se quedó con su Renault 18 y en él cond</w:t>
      </w:r>
      <w:r>
        <w:t>u</w:t>
      </w:r>
      <w:r>
        <w:t>jo a Petrucci a la br</w:t>
      </w:r>
      <w:r>
        <w:t>i</w:t>
      </w:r>
      <w:r>
        <w:t>gada.</w:t>
      </w:r>
    </w:p>
    <w:p w:rsidR="00224567" w:rsidRDefault="00224567">
      <w:pPr>
        <w:widowControl w:val="0"/>
      </w:pPr>
      <w:r>
        <w:tab/>
        <w:t xml:space="preserve">Una vez en </w:t>
      </w:r>
      <w:smartTag w:uri="urn:schemas-microsoft-com:office:smarttags" w:element="PersonName">
        <w:smartTagPr>
          <w:attr w:name="ProductID" w:val="la Brigada"/>
        </w:smartTagPr>
        <w:r>
          <w:t>la Brigada</w:t>
        </w:r>
      </w:smartTag>
      <w:r>
        <w:t xml:space="preserve"> de Lanús, rel</w:t>
      </w:r>
      <w:r>
        <w:t>a</w:t>
      </w:r>
      <w:r>
        <w:t>tó, lo colocaron en una “pajarera”, en tanto a Petrucci la pusieron en una oficina, pero continuamente lo ll</w:t>
      </w:r>
      <w:r>
        <w:t>e</w:t>
      </w:r>
      <w:r>
        <w:t>vaban a verla para que dejara de llorar; precisó que la dete</w:t>
      </w:r>
      <w:r>
        <w:t>n</w:t>
      </w:r>
      <w:r>
        <w:t>ción duró casi 24 horas. Agregó que al ingresar, inmedi</w:t>
      </w:r>
      <w:r>
        <w:t>a</w:t>
      </w:r>
      <w:r>
        <w:t>tamente fue conducido a una oficina, donde lo recibió el comisario Ribelli, quien le manifestó que “p</w:t>
      </w:r>
      <w:r>
        <w:t>u</w:t>
      </w:r>
      <w:r>
        <w:t>siera lo que tenía que poner y se iba”. Asimismo, recordó que se topó con Casas, que tenía un yeso en una pierna, a quien le d</w:t>
      </w:r>
      <w:r>
        <w:t>i</w:t>
      </w:r>
      <w:r>
        <w:t>jo que no se había identificado como policía, respondiéndole que por esta “se salv</w:t>
      </w:r>
      <w:r>
        <w:t>a</w:t>
      </w:r>
      <w:r>
        <w:t>ba”.</w:t>
      </w:r>
    </w:p>
    <w:p w:rsidR="00224567" w:rsidRDefault="00224567">
      <w:pPr>
        <w:widowControl w:val="0"/>
      </w:pPr>
      <w:r>
        <w:tab/>
        <w:t>Adunó que Casas le tomó las huellas, tras lo cual fue alojado en las celdas. El encartado señ</w:t>
      </w:r>
      <w:r>
        <w:t>a</w:t>
      </w:r>
      <w:r>
        <w:t>ló que en un determinado momento lo condujeron a operaci</w:t>
      </w:r>
      <w:r>
        <w:t>o</w:t>
      </w:r>
      <w:r>
        <w:t>nes, en el primer piso, donde comenzaron las negociaci</w:t>
      </w:r>
      <w:r>
        <w:t>o</w:t>
      </w:r>
      <w:r>
        <w:t xml:space="preserve">nes; pedían una importante suma de dinero –USD 100.000 ó 70.000-, que sería destinado a los detenidos por </w:t>
      </w:r>
      <w:smartTag w:uri="urn:schemas-microsoft-com:office:smarttags" w:element="PersonName">
        <w:smartTagPr>
          <w:attr w:name="ProductID" w:val="la Masacre"/>
        </w:smartTagPr>
        <w:r>
          <w:t>la Mas</w:t>
        </w:r>
        <w:r>
          <w:t>a</w:t>
        </w:r>
        <w:r>
          <w:t>cre</w:t>
        </w:r>
      </w:smartTag>
      <w:r>
        <w:t xml:space="preserve"> de Wilde. Así, indicó, le facilitaron un teléfono, se comunicó con su domicilio, habló con Jessica, a la que r</w:t>
      </w:r>
      <w:r>
        <w:t>e</w:t>
      </w:r>
      <w:r>
        <w:t>quirió que llame a la madre -que estaba en Córdoba- para que le mande un abogado, presentándose luego Spagnuolo; éste le aconsejó no aportar el dinero porque su documento era bueno y las capturas eran “to</w:t>
      </w:r>
      <w:r>
        <w:t>n</w:t>
      </w:r>
      <w:r>
        <w:t>terías”.</w:t>
      </w:r>
    </w:p>
    <w:p w:rsidR="00224567" w:rsidRDefault="00224567">
      <w:pPr>
        <w:widowControl w:val="0"/>
      </w:pPr>
      <w:r>
        <w:tab/>
        <w:t>Telleldín aseveró que quería s</w:t>
      </w:r>
      <w:r>
        <w:t>a</w:t>
      </w:r>
      <w:r>
        <w:t>lir en libertad en ese momento, pero Spagnuolo no accedió a pre</w:t>
      </w:r>
      <w:r>
        <w:t>s</w:t>
      </w:r>
      <w:r>
        <w:t xml:space="preserve">tarse a ese negocio, apareciendo así en escena Semorile; éste le comunicó que había arreglado en aproximadamente USD </w:t>
      </w:r>
      <w:smartTag w:uri="urn:schemas-microsoft-com:office:smarttags" w:element="metricconverter">
        <w:smartTagPr>
          <w:attr w:name="ProductID" w:val="50.000, a"/>
        </w:smartTagPr>
        <w:r>
          <w:t>50.000, a</w:t>
        </w:r>
      </w:smartTag>
      <w:r>
        <w:t xml:space="preserve"> pagar en vehículos. Recordó que su Renault 18 ya estaba en el lugar, por lo que hablaron con su he</w:t>
      </w:r>
      <w:r>
        <w:t>r</w:t>
      </w:r>
      <w:r>
        <w:t>mano para que trasladara un Falcon y una motocicleta, p</w:t>
      </w:r>
      <w:r>
        <w:t>i</w:t>
      </w:r>
      <w:r>
        <w:t>diéndole a un fletero que la fuera a buscar al domicilio de Lo Preiato.</w:t>
      </w:r>
    </w:p>
    <w:p w:rsidR="00224567" w:rsidRDefault="00224567">
      <w:pPr>
        <w:widowControl w:val="0"/>
      </w:pPr>
      <w:r>
        <w:tab/>
        <w:t>Hizo saber que recuperó su libertad cuando llegaron todos los vehículos y también dio dinero en efectivo que tenía Petrucci en la campera. Tras ello, agregó, fue conducido por Semorile y la señora hasta To</w:t>
      </w:r>
      <w:r>
        <w:t>r</w:t>
      </w:r>
      <w:r>
        <w:t>tugu</w:t>
      </w:r>
      <w:r>
        <w:t>i</w:t>
      </w:r>
      <w:r>
        <w:t>tas.</w:t>
      </w:r>
    </w:p>
    <w:p w:rsidR="00224567" w:rsidRDefault="00224567">
      <w:pPr>
        <w:widowControl w:val="0"/>
      </w:pPr>
      <w:r>
        <w:tab/>
        <w:t>Con relación a lo acontecido el 10 de julio, Telleldín recordó que en las inmedi</w:t>
      </w:r>
      <w:r>
        <w:t>a</w:t>
      </w:r>
      <w:r>
        <w:t>ciones había un automóvil Duna blanco, un Fiat 128 –que pertenecía a la dependencia policial de Villa Concepción- y un Galaxy o</w:t>
      </w:r>
      <w:r>
        <w:t>s</w:t>
      </w:r>
      <w:r>
        <w:t xml:space="preserve">curo, además de </w:t>
      </w:r>
      <w:smartTag w:uri="urn:schemas-microsoft-com:office:smarttags" w:element="PersonName">
        <w:smartTagPr>
          <w:attr w:name="ProductID" w:val="la Trafic"/>
        </w:smartTagPr>
        <w:r>
          <w:t>la Trafic</w:t>
        </w:r>
      </w:smartTag>
      <w:r>
        <w:t xml:space="preserve"> –justo frente a su domicilio-, el Falcon de Malacchia y otro vehículo que estaba en el lugar. Relató que ese día llamó por tel</w:t>
      </w:r>
      <w:r>
        <w:t>é</w:t>
      </w:r>
      <w:r>
        <w:t>fono una persona, que luego se presentó con el nombre de Ramón Martínez, discutieron el precio y dieron una vuelta con el utilit</w:t>
      </w:r>
      <w:r>
        <w:t>a</w:t>
      </w:r>
      <w:r>
        <w:t>rio.</w:t>
      </w:r>
    </w:p>
    <w:p w:rsidR="00224567" w:rsidRDefault="00224567">
      <w:pPr>
        <w:widowControl w:val="0"/>
      </w:pPr>
      <w:r>
        <w:tab/>
        <w:t>Resaltó que vendió la camioneta como vendía todos sus vehículos, sin preguntar qué dest</w:t>
      </w:r>
      <w:r>
        <w:t>i</w:t>
      </w:r>
      <w:r>
        <w:t>no les iban a dar. Agregó que era su costumbre entregar la doc</w:t>
      </w:r>
      <w:r>
        <w:t>u</w:t>
      </w:r>
      <w:r>
        <w:t>mentación en los domicilios de los compradores; ello p</w:t>
      </w:r>
      <w:r>
        <w:t>a</w:t>
      </w:r>
      <w:r>
        <w:t>ra evitar el riesgo de que el adquirente fuera a ver al tit</w:t>
      </w:r>
      <w:r>
        <w:t>u</w:t>
      </w:r>
      <w:r>
        <w:t>lar y éste advirtiera que el automotor estaba en buenas condiciones, en lugar de ince</w:t>
      </w:r>
      <w:r>
        <w:t>n</w:t>
      </w:r>
      <w:r>
        <w:t>diado.</w:t>
      </w:r>
    </w:p>
    <w:p w:rsidR="00224567" w:rsidRDefault="00224567">
      <w:pPr>
        <w:widowControl w:val="0"/>
      </w:pPr>
      <w:r>
        <w:tab/>
        <w:t>Aseguró que no conocía a Ramón Mart</w:t>
      </w:r>
      <w:r>
        <w:t>í</w:t>
      </w:r>
      <w:r>
        <w:t>nez. Asimismo, sostuvo que el Galaxy azul siguió a la c</w:t>
      </w:r>
      <w:r>
        <w:t>a</w:t>
      </w:r>
      <w:r>
        <w:t>mioneta luego de concretada la venta, aunque dijo descon</w:t>
      </w:r>
      <w:r>
        <w:t>o</w:t>
      </w:r>
      <w:r>
        <w:t>cer si se hallaban relacionados o no. Explicó que relaci</w:t>
      </w:r>
      <w:r>
        <w:t>o</w:t>
      </w:r>
      <w:r>
        <w:t>nó al Galaxy y al Duna con este hecho luego del día 14, debido a que en ambas ocasiones el primero tenía dos r</w:t>
      </w:r>
      <w:r>
        <w:t>e</w:t>
      </w:r>
      <w:r>
        <w:t>flectores adelante.</w:t>
      </w:r>
    </w:p>
    <w:p w:rsidR="00224567" w:rsidRDefault="00224567">
      <w:pPr>
        <w:widowControl w:val="0"/>
      </w:pPr>
      <w:r>
        <w:tab/>
        <w:t>Aseveró el imputado que luego del i</w:t>
      </w:r>
      <w:r>
        <w:t>n</w:t>
      </w:r>
      <w:r>
        <w:t xml:space="preserve">cidente en </w:t>
      </w:r>
      <w:smartTag w:uri="urn:schemas-microsoft-com:office:smarttags" w:element="PersonName">
        <w:smartTagPr>
          <w:attr w:name="ProductID" w:val="la Brigada"/>
        </w:smartTagPr>
        <w:r>
          <w:t>la Brigada</w:t>
        </w:r>
      </w:smartTag>
      <w:r>
        <w:t xml:space="preserve"> de Lanús quedó “como perseguido”, motivo por el cual prestaba atención a los vehículos que pudieran estar siguiéndolo.</w:t>
      </w:r>
    </w:p>
    <w:p w:rsidR="00224567" w:rsidRDefault="00224567">
      <w:pPr>
        <w:widowControl w:val="0"/>
      </w:pPr>
      <w:r>
        <w:tab/>
        <w:t>En cuanto a lo sucedido el 14 de j</w:t>
      </w:r>
      <w:r>
        <w:t>u</w:t>
      </w:r>
      <w:r>
        <w:t>lio, manifestó que salió de su domicilio con un Renault 19 y fue interceptado por un automóvil 505 y un Duna, a los que chocó, emprendiendo una fuga del lugar. Así, indicó, el Galaxy lo persiguió con la luces prendidas hasta el f</w:t>
      </w:r>
      <w:r>
        <w:t>i</w:t>
      </w:r>
      <w:r>
        <w:t>nal de la calle República, donde, ante un embotellamiento, subió a la vereda, chocó un poste de luz y los ocupantes abandonaron el Galaxy y se le colocaron uno a cada lado, exhibiéndole chapas de Policía Bonaerense. Adunó que si</w:t>
      </w:r>
      <w:r>
        <w:t>n</w:t>
      </w:r>
      <w:r>
        <w:t>tió disparos, se le trabó la dirección, pero finalmente salió con su automóvil y huyó, d</w:t>
      </w:r>
      <w:r>
        <w:t>e</w:t>
      </w:r>
      <w:r>
        <w:t>jando a sus perseguidores atrás.</w:t>
      </w:r>
    </w:p>
    <w:p w:rsidR="00224567" w:rsidRDefault="00224567">
      <w:pPr>
        <w:widowControl w:val="0"/>
      </w:pPr>
      <w:r>
        <w:tab/>
        <w:t>Con relación al pago del dinero, el encartado señaló que obedeció a su aporte del tema S</w:t>
      </w:r>
      <w:r>
        <w:t>o</w:t>
      </w:r>
      <w:r>
        <w:t>lari. Añadió que cobró por “las hipótesis transformadas en realidad del juez Galeano”, quien aseguraba que tenía pr</w:t>
      </w:r>
      <w:r>
        <w:t>o</w:t>
      </w:r>
      <w:r>
        <w:t xml:space="preserve">bado por otros medios que los policías estaban con Ramón Martínez, lo que, aclaró Telleldín, nunca pudo saber a ciencia cierta. Asimismo, apuntó que Galeano le hizo saber que Semorile lo había entregado a </w:t>
      </w:r>
      <w:smartTag w:uri="urn:schemas-microsoft-com:office:smarttags" w:element="PersonName">
        <w:smartTagPr>
          <w:attr w:name="ProductID" w:val="la Brigada"/>
        </w:smartTagPr>
        <w:r>
          <w:t>la Brigada</w:t>
        </w:r>
      </w:smartTag>
      <w:r>
        <w:t xml:space="preserve"> de Lanús y Barreda a la de Vicente López.</w:t>
      </w:r>
    </w:p>
    <w:p w:rsidR="00224567" w:rsidRDefault="00224567">
      <w:pPr>
        <w:widowControl w:val="0"/>
      </w:pPr>
      <w:r>
        <w:tab/>
        <w:t>En último término, aportó un código penal que, según dijo, le fue entregado por el juez G</w:t>
      </w:r>
      <w:r>
        <w:t>a</w:t>
      </w:r>
      <w:r>
        <w:t>leano en 1995.</w:t>
      </w:r>
    </w:p>
    <w:p w:rsidR="00224567" w:rsidRDefault="00224567">
      <w:pPr>
        <w:widowControl w:val="0"/>
      </w:pPr>
    </w:p>
    <w:p w:rsidR="00224567" w:rsidRDefault="00224567">
      <w:pPr>
        <w:pStyle w:val="Ttulo3"/>
        <w:widowControl w:val="0"/>
      </w:pPr>
      <w:r>
        <w:t>B) Declaraciones indagatorias de Hugo Antonio Pérez.</w:t>
      </w:r>
    </w:p>
    <w:p w:rsidR="00224567" w:rsidRDefault="00224567">
      <w:pPr>
        <w:pStyle w:val="Textoindependiente"/>
        <w:spacing w:line="600" w:lineRule="auto"/>
      </w:pPr>
      <w:r>
        <w:tab/>
      </w:r>
      <w:r>
        <w:tab/>
        <w:t xml:space="preserve">En la oportunidad prevista en el art. 378 del código de forma, Hugo Antonio Pérez se abstuvo de prestar declaración indagatoria, por lo que se dio lectura a las brindadas ante la instrucción a fs. </w:t>
      </w:r>
      <w:r>
        <w:rPr>
          <w:lang w:val="es-ES"/>
        </w:rPr>
        <w:t xml:space="preserve">7849/7857, </w:t>
      </w:r>
      <w:r>
        <w:t>7898/7910 y 13.928/13.933, como así también a los careos llevados a cabo entre el nombrado y sus coimputados Ariel Rodolfo Nitzcaner y Carlos Albe</w:t>
      </w:r>
      <w:r>
        <w:t>r</w:t>
      </w:r>
      <w:r>
        <w:t>to Telleldín (fs. 8131/8133 y 8606/8610, respectivame</w:t>
      </w:r>
      <w:r>
        <w:t>n</w:t>
      </w:r>
      <w:r>
        <w:t>te).</w:t>
      </w:r>
    </w:p>
    <w:p w:rsidR="00224567" w:rsidRDefault="00224567">
      <w:pPr>
        <w:widowControl w:val="0"/>
      </w:pPr>
      <w:r>
        <w:tab/>
        <w:t>El 11 de enero de 1995, al declarar por primera vez ante el magistrado instructor, el encart</w:t>
      </w:r>
      <w:r>
        <w:t>a</w:t>
      </w:r>
      <w:r>
        <w:t>do indicó que Carlos Alberto Telleldín se dedicaba a la compraventa de automotores. En orden al vehículo presunt</w:t>
      </w:r>
      <w:r>
        <w:t>a</w:t>
      </w:r>
      <w:r>
        <w:t>mente utilizado en el atentado, Pérez señaló que el no</w:t>
      </w:r>
      <w:r>
        <w:t>m</w:t>
      </w:r>
      <w:r>
        <w:t>brado adquirió una camioneta Trafic siniestrada en “Al</w:t>
      </w:r>
      <w:r>
        <w:t>e</w:t>
      </w:r>
      <w:r>
        <w:t>jandro Automotores”, aproximadamente diez o doce días a</w:t>
      </w:r>
      <w:r>
        <w:t>n</w:t>
      </w:r>
      <w:r>
        <w:t>tes de dicho suceso. Aclaró que si bien para esa época r</w:t>
      </w:r>
      <w:r>
        <w:t>e</w:t>
      </w:r>
      <w:r>
        <w:t>sidía en el domicilio de Telleldín, sito en la calle Rep</w:t>
      </w:r>
      <w:r>
        <w:t>ú</w:t>
      </w:r>
      <w:r>
        <w:t>blica 107 de Villa Ballester, permanecía poco tiempo allí, sólo los fines de semana, dado que trabajaba en el country “Mapuche”, ubicado en la ruta 8 de la localidad de Pilar. Especificó que vivió en casa del nombrado durante dos m</w:t>
      </w:r>
      <w:r>
        <w:t>e</w:t>
      </w:r>
      <w:r>
        <w:t>ses aproximadamente, desde abril o mayo y hasta el domingo siguiente al 18 de julio de 1994.</w:t>
      </w:r>
    </w:p>
    <w:p w:rsidR="00224567" w:rsidRDefault="00224567">
      <w:pPr>
        <w:widowControl w:val="0"/>
      </w:pPr>
      <w:r>
        <w:tab/>
        <w:t>Acerca de la camioneta Renault Tr</w:t>
      </w:r>
      <w:r>
        <w:t>a</w:t>
      </w:r>
      <w:r>
        <w:t>fic, expresó que Telleldín le comentó que la había puesto en venta. Recordó que la primera vez que la vio se hallaba estacionada en la puerta del domicilio del nombrado, lo que ocurrió dos o tres días antes de la transa</w:t>
      </w:r>
      <w:r>
        <w:t>c</w:t>
      </w:r>
      <w:r>
        <w:t>ción.</w:t>
      </w:r>
    </w:p>
    <w:p w:rsidR="00224567" w:rsidRDefault="00224567">
      <w:pPr>
        <w:widowControl w:val="0"/>
      </w:pPr>
      <w:r>
        <w:tab/>
        <w:t>Puntualizó que en esa ocasión, si bien notó que la pintura se encontraba un poco desprolija, e</w:t>
      </w:r>
      <w:r>
        <w:t>s</w:t>
      </w:r>
      <w:r>
        <w:t>taba arreglada, aclarando que por el primer término se r</w:t>
      </w:r>
      <w:r>
        <w:t>e</w:t>
      </w:r>
      <w:r>
        <w:t>fería a que se notaba en la pintura, especialmente en el costado derecho, que no había sido pulida, como así ta</w:t>
      </w:r>
      <w:r>
        <w:t>m</w:t>
      </w:r>
      <w:r>
        <w:t>bién que parecía que al guardabarros trasero le habían h</w:t>
      </w:r>
      <w:r>
        <w:t>e</w:t>
      </w:r>
      <w:r>
        <w:t>cho un mal arreglo. Agregó que, según creía, los parago</w:t>
      </w:r>
      <w:r>
        <w:t>l</w:t>
      </w:r>
      <w:r>
        <w:t>pes eran de caño negro y no recordó otros detalles del vehículo.</w:t>
      </w:r>
    </w:p>
    <w:p w:rsidR="00224567" w:rsidRDefault="00224567">
      <w:pPr>
        <w:widowControl w:val="0"/>
      </w:pPr>
      <w:r>
        <w:tab/>
        <w:t>El imputado indicó que un domi</w:t>
      </w:r>
      <w:r>
        <w:t>n</w:t>
      </w:r>
      <w:r>
        <w:t>go, en oportunidad en que se encontraba con Pérez Mejías en la cocina de la casa, siendo aproximadamente las 16.00 ó 16.30, tocaron el timbre y, momentos después, Ana B</w:t>
      </w:r>
      <w:r>
        <w:t>o</w:t>
      </w:r>
      <w:r>
        <w:t>ragni ingresó a la cocina, mencionando que se trataba de un p</w:t>
      </w:r>
      <w:r>
        <w:t>o</w:t>
      </w:r>
      <w:r>
        <w:t>tencial cliente. Añadió que, transc</w:t>
      </w:r>
      <w:r>
        <w:t>u</w:t>
      </w:r>
      <w:r>
        <w:t>rridos aproximadamente veinte o veinticinco minutos, Boragni y Telleldín les c</w:t>
      </w:r>
      <w:r>
        <w:t>o</w:t>
      </w:r>
      <w:r>
        <w:t>mentaron que habían vendido la camioneta a una pe</w:t>
      </w:r>
      <w:r>
        <w:t>r</w:t>
      </w:r>
      <w:r>
        <w:t>sona de origen extranjero, quien hablaba un idioma centroamer</w:t>
      </w:r>
      <w:r>
        <w:t>i</w:t>
      </w:r>
      <w:r>
        <w:t>cano, aclarando la primera que usaba una gorra y un reloj, llevaba un portafolio con USD 30.000 ó 40.000 y par</w:t>
      </w:r>
      <w:r>
        <w:t>e</w:t>
      </w:r>
      <w:r>
        <w:t>cía un narcotraficante, agregando el segundo que la operación se co</w:t>
      </w:r>
      <w:r>
        <w:t>n</w:t>
      </w:r>
      <w:r>
        <w:t>cretó en USD 10.000 aproximadamente. Pérez refirió que no había visto al comprador de la camioneta por cuanto perman</w:t>
      </w:r>
      <w:r>
        <w:t>e</w:t>
      </w:r>
      <w:r>
        <w:t xml:space="preserve">ció en la cocina todo el tiempo. Afirmó que ese día sólo se presentó el comprador de </w:t>
      </w:r>
      <w:smartTag w:uri="urn:schemas-microsoft-com:office:smarttags" w:element="PersonName">
        <w:smartTagPr>
          <w:attr w:name="ProductID" w:val="la Trafic"/>
        </w:smartTagPr>
        <w:r>
          <w:t>la Tr</w:t>
        </w:r>
        <w:r>
          <w:t>a</w:t>
        </w:r>
        <w:r>
          <w:t>fic</w:t>
        </w:r>
      </w:smartTag>
      <w:r>
        <w:t>, desconociendo si Telleldín recibió llamados telefónicos de otros inter</w:t>
      </w:r>
      <w:r>
        <w:t>e</w:t>
      </w:r>
      <w:r>
        <w:t>sados.</w:t>
      </w:r>
    </w:p>
    <w:p w:rsidR="00224567" w:rsidRDefault="00224567">
      <w:pPr>
        <w:widowControl w:val="0"/>
      </w:pPr>
      <w:r>
        <w:tab/>
        <w:t>Asimismo, narró que el día ant</w:t>
      </w:r>
      <w:r>
        <w:t>e</w:t>
      </w:r>
      <w:r>
        <w:t>rior a la venta, es d</w:t>
      </w:r>
      <w:r>
        <w:t>e</w:t>
      </w:r>
      <w:r>
        <w:t>cir, el sábado al mediodía, observó, desde una ventana de la casa, a Telleldín junto a tres pe</w:t>
      </w:r>
      <w:r>
        <w:t>r</w:t>
      </w:r>
      <w:r>
        <w:t>sonas, mirando la camioneta. Dos de esas personas eran de origen coreano, con cabellos cortos, en tanto la tercera era o</w:t>
      </w:r>
      <w:r>
        <w:t>c</w:t>
      </w:r>
      <w:r>
        <w:t xml:space="preserve">cidental, delgada, de cabellos largos y color oscuro, de 1.70 ó </w:t>
      </w:r>
      <w:smartTag w:uri="urn:schemas-microsoft-com:office:smarttags" w:element="metricconverter">
        <w:smartTagPr>
          <w:attr w:name="ProductID" w:val="1.75 m"/>
        </w:smartTagPr>
        <w:r>
          <w:t>1.75 m</w:t>
        </w:r>
      </w:smartTag>
      <w:r>
        <w:t xml:space="preserve"> de altura. Adunó que previamente habían ll</w:t>
      </w:r>
      <w:r>
        <w:t>a</w:t>
      </w:r>
      <w:r>
        <w:t>mado dos o tres veces por teléfono, por cuanto se habían perdido en el camino al domicilio de Telle</w:t>
      </w:r>
      <w:r>
        <w:t>l</w:t>
      </w:r>
      <w:r>
        <w:t>dín.</w:t>
      </w:r>
    </w:p>
    <w:p w:rsidR="00224567" w:rsidRDefault="00224567">
      <w:pPr>
        <w:widowControl w:val="0"/>
      </w:pPr>
      <w:r>
        <w:tab/>
        <w:t>Señaló que en esa ocasión se encontr</w:t>
      </w:r>
      <w:r>
        <w:t>a</w:t>
      </w:r>
      <w:r>
        <w:t>ban presentes en la casa Ana Boragni, Pérez Mejías y, s</w:t>
      </w:r>
      <w:r>
        <w:t>e</w:t>
      </w:r>
      <w:r>
        <w:t>gún creyó recordar, Jacinto Cruz. Pu</w:t>
      </w:r>
      <w:r>
        <w:t>n</w:t>
      </w:r>
      <w:r>
        <w:t>tualizó que cuando se retiró con destino al country donde trabajaba, T</w:t>
      </w:r>
      <w:r>
        <w:t>e</w:t>
      </w:r>
      <w:r>
        <w:t>lleldín y los tres individuos continuaban en la calle co</w:t>
      </w:r>
      <w:r>
        <w:t>n</w:t>
      </w:r>
      <w:r>
        <w:t>versando y que a su regreso, a las 18.00, su coimputado le comentó que no tenían dinero ni les había gustado la camioneta. Conforme los dichos de Pérez, los descriptos fueron los únicos interesados en la camioneta que concurrieron mie</w:t>
      </w:r>
      <w:r>
        <w:t>n</w:t>
      </w:r>
      <w:r>
        <w:t>tras permaneció en lo de T</w:t>
      </w:r>
      <w:r>
        <w:t>e</w:t>
      </w:r>
      <w:r>
        <w:t>lleldín.</w:t>
      </w:r>
    </w:p>
    <w:p w:rsidR="00224567" w:rsidRDefault="00224567">
      <w:pPr>
        <w:widowControl w:val="0"/>
      </w:pPr>
      <w:r>
        <w:tab/>
        <w:t>Evocó Pérez que aproximadamente dos o tres días después del atentado, pudiendo tr</w:t>
      </w:r>
      <w:r>
        <w:t>a</w:t>
      </w:r>
      <w:r>
        <w:t>tarse del día miércoles, en horas de la noche, al ver por telev</w:t>
      </w:r>
      <w:r>
        <w:t>i</w:t>
      </w:r>
      <w:r>
        <w:t>sión las noticias relativas al hecho y ante la posibilidad de que el cochebomba hubiera sido una Trafic, B</w:t>
      </w:r>
      <w:r>
        <w:t>o</w:t>
      </w:r>
      <w:r>
        <w:t>ragni y Telleldín comentaron que no les había gustado el comprador de la c</w:t>
      </w:r>
      <w:r>
        <w:t>a</w:t>
      </w:r>
      <w:r>
        <w:t>mioneta. Recordó que a partir del día siguiente ambos c</w:t>
      </w:r>
      <w:r>
        <w:t>o</w:t>
      </w:r>
      <w:r>
        <w:t>menzaron a denotar un estado de nerviosi</w:t>
      </w:r>
      <w:r>
        <w:t>s</w:t>
      </w:r>
      <w:r>
        <w:t xml:space="preserve">mo, a la vez que hacían acotaciones tales como “mirá si </w:t>
      </w:r>
      <w:smartTag w:uri="urn:schemas-microsoft-com:office:smarttags" w:element="PersonName">
        <w:smartTagPr>
          <w:attr w:name="ProductID" w:val="la Trafic"/>
        </w:smartTagPr>
        <w:r>
          <w:t>la Trafic</w:t>
        </w:r>
      </w:smartTag>
      <w:r>
        <w:t xml:space="preserve"> que ve</w:t>
      </w:r>
      <w:r>
        <w:t>n</w:t>
      </w:r>
      <w:r>
        <w:t>dimos es la cami</w:t>
      </w:r>
      <w:r>
        <w:t>o</w:t>
      </w:r>
      <w:r>
        <w:t>neta del atentado” (sic).</w:t>
      </w:r>
    </w:p>
    <w:p w:rsidR="00224567" w:rsidRDefault="00224567">
      <w:pPr>
        <w:widowControl w:val="0"/>
      </w:pPr>
      <w:r>
        <w:tab/>
        <w:t>Asimismo, señaló que el viernes, al regresar de su trabajo, Telleldín le solicitó que lo aco</w:t>
      </w:r>
      <w:r>
        <w:t>m</w:t>
      </w:r>
      <w:r>
        <w:t>pañara a entregar la documentación del rodado o a verif</w:t>
      </w:r>
      <w:r>
        <w:t>i</w:t>
      </w:r>
      <w:r>
        <w:t>car la existencia del domicilio del adquirente, oportun</w:t>
      </w:r>
      <w:r>
        <w:t>i</w:t>
      </w:r>
      <w:r>
        <w:t xml:space="preserve">dad en la que observó el boleto de compraventa de </w:t>
      </w:r>
      <w:smartTag w:uri="urn:schemas-microsoft-com:office:smarttags" w:element="PersonName">
        <w:smartTagPr>
          <w:attr w:name="ProductID" w:val="la Trafic. Al"/>
        </w:smartTagPr>
        <w:r>
          <w:t>la Tr</w:t>
        </w:r>
        <w:r>
          <w:t>a</w:t>
        </w:r>
        <w:r>
          <w:t>fic. Al</w:t>
        </w:r>
      </w:smartTag>
      <w:r>
        <w:t xml:space="preserve"> respecto, aclaró que, conforme lo dicho por T</w:t>
      </w:r>
      <w:r>
        <w:t>e</w:t>
      </w:r>
      <w:r>
        <w:t>lleldín, sólo le había dado al comprador la cédula verde del vehículo, quedando pendiente la entr</w:t>
      </w:r>
      <w:r>
        <w:t>e</w:t>
      </w:r>
      <w:r>
        <w:t>ga del formulario “</w:t>
      </w:r>
      <w:smartTag w:uri="urn:schemas-microsoft-com:office:smarttags" w:element="metricconverter">
        <w:smartTagPr>
          <w:attr w:name="ProductID" w:val="08”"/>
        </w:smartTagPr>
        <w:r>
          <w:t>08”</w:t>
        </w:r>
      </w:smartTag>
      <w:r>
        <w:t xml:space="preserve"> o del tít</w:t>
      </w:r>
      <w:r>
        <w:t>u</w:t>
      </w:r>
      <w:r>
        <w:t>lo del automotor.</w:t>
      </w:r>
    </w:p>
    <w:p w:rsidR="00224567" w:rsidRDefault="00224567">
      <w:pPr>
        <w:widowControl w:val="0"/>
      </w:pPr>
      <w:r>
        <w:tab/>
        <w:t>Indicó que a las 22.00 horas lleg</w:t>
      </w:r>
      <w:r>
        <w:t>a</w:t>
      </w:r>
      <w:r>
        <w:t>ron a la dirección consignada en el boleto de compraventa, donde hallaron un portón que correspondía a un terreno baldío. Según relató Pérez, preguntó al encargado de un garaje ubicado en la vereda de enfrente si conocía a la persona buscada, de apellido Martínez, sugirié</w:t>
      </w:r>
      <w:r>
        <w:t>n</w:t>
      </w:r>
      <w:r>
        <w:t>dole aquél que averiguase en el edificio de al lado e info</w:t>
      </w:r>
      <w:r>
        <w:t>r</w:t>
      </w:r>
      <w:r>
        <w:t>mando que había visto una Trafic blanca en las semanas anteriores entrando en el terreno baldío. Explicó que, en consecue</w:t>
      </w:r>
      <w:r>
        <w:t>n</w:t>
      </w:r>
      <w:r>
        <w:t>cia, inquirieron en el edificio vecino, sin resultados p</w:t>
      </w:r>
      <w:r>
        <w:t>o</w:t>
      </w:r>
      <w:r>
        <w:t>sit</w:t>
      </w:r>
      <w:r>
        <w:t>i</w:t>
      </w:r>
      <w:r>
        <w:t>vos.</w:t>
      </w:r>
    </w:p>
    <w:p w:rsidR="00224567" w:rsidRDefault="00224567">
      <w:pPr>
        <w:widowControl w:val="0"/>
      </w:pPr>
      <w:r>
        <w:tab/>
        <w:t>En otro orden de ideas, expresó que el domingo posterior al atentado Boragni y Telleldín decidi</w:t>
      </w:r>
      <w:r>
        <w:t>e</w:t>
      </w:r>
      <w:r>
        <w:t>ron mudarse. Pérez explicó que a raíz de ello permaneció un día en el domicilio de Eduardo Telleldín y luego se alojó en una pensión sita en la c</w:t>
      </w:r>
      <w:r>
        <w:t>a</w:t>
      </w:r>
      <w:r>
        <w:t>lle Soler 6082.</w:t>
      </w:r>
    </w:p>
    <w:p w:rsidR="00224567" w:rsidRDefault="00224567">
      <w:pPr>
        <w:widowControl w:val="0"/>
      </w:pPr>
      <w:r>
        <w:tab/>
        <w:t>En último término, el imputado estimó de importancia relatar un episodio acaecido veinte días antes del atentado. Al respecto, señaló que en esa fecha se comunicó telefónicamente con el abonado 771-9908, que obtuvo de una publicación en el diario “Cl</w:t>
      </w:r>
      <w:r>
        <w:t>a</w:t>
      </w:r>
      <w:r>
        <w:t>rín”, a fin de contratar personal p</w:t>
      </w:r>
      <w:r>
        <w:t>a</w:t>
      </w:r>
      <w:r>
        <w:t>ra una obra en el country “Mapuche”. Hizo saber que de esa manera contrató a los hermanos Hor</w:t>
      </w:r>
      <w:r>
        <w:t>a</w:t>
      </w:r>
      <w:r>
        <w:t>cio y Darío Lira, a un cuñado de ellos llamado “Tutu” Ca</w:t>
      </w:r>
      <w:r>
        <w:t>m</w:t>
      </w:r>
      <w:r>
        <w:t>pos y al padre de éste, entablando con los dos primeros una ami</w:t>
      </w:r>
      <w:r>
        <w:t>s</w:t>
      </w:r>
      <w:r>
        <w:t>tad y mudándose con ellos al domicilio de la calle Bompland 1629, piso 1º, depart</w:t>
      </w:r>
      <w:r>
        <w:t>a</w:t>
      </w:r>
      <w:r>
        <w:t>mento “B”.</w:t>
      </w:r>
    </w:p>
    <w:p w:rsidR="00224567" w:rsidRDefault="00224567">
      <w:pPr>
        <w:pStyle w:val="Sangradetextonormal"/>
        <w:widowControl w:val="0"/>
        <w:ind w:firstLine="0"/>
      </w:pPr>
      <w:r>
        <w:tab/>
        <w:t>Recordó que cuando les comentó a los hermanos Lira que fue llamado a declarar en esta causa, en el mes de octubre del año anterior, Darío le preguntó a Horacio si ya había quemado la doc</w:t>
      </w:r>
      <w:r>
        <w:t>u</w:t>
      </w:r>
      <w:r>
        <w:t>mentación y los planos, respondiéndole el segundo de manera afirmativa. Asimismo, mencionó que en el d</w:t>
      </w:r>
      <w:r>
        <w:t>o</w:t>
      </w:r>
      <w:r>
        <w:t>micilio de los Lira notó la presencia de revistas islámicas y que en una oport</w:t>
      </w:r>
      <w:r>
        <w:t>u</w:t>
      </w:r>
      <w:r>
        <w:t>nidad Aída Díaz, esposa de Horacio Lira, le reprochó a éste haber llevado a su domicilio a “esos iraníes locos y as</w:t>
      </w:r>
      <w:r>
        <w:t>e</w:t>
      </w:r>
      <w:r>
        <w:t>sinos” (sic).</w:t>
      </w:r>
    </w:p>
    <w:p w:rsidR="00224567" w:rsidRDefault="00224567">
      <w:pPr>
        <w:widowControl w:val="0"/>
      </w:pPr>
      <w:r>
        <w:tab/>
        <w:t>En el mismo sentido, refirió que D</w:t>
      </w:r>
      <w:r>
        <w:t>a</w:t>
      </w:r>
      <w:r>
        <w:t>río Lira le come</w:t>
      </w:r>
      <w:r>
        <w:t>n</w:t>
      </w:r>
      <w:r>
        <w:t xml:space="preserve">tó que había ido a </w:t>
      </w:r>
      <w:smartTag w:uri="urn:schemas-microsoft-com:office:smarttags" w:element="PersonName">
        <w:smartTagPr>
          <w:attr w:name="ProductID" w:val="la Embajada"/>
        </w:smartTagPr>
        <w:r>
          <w:t>la Embajada</w:t>
        </w:r>
      </w:smartTag>
      <w:r>
        <w:t xml:space="preserve"> de Irán con un arquitecto de apellido Gordillo y que conocía a cuatro iraníes cuya captura fue requerida en las presentes actu</w:t>
      </w:r>
      <w:r>
        <w:t>a</w:t>
      </w:r>
      <w:r>
        <w:t>ciones. Agregó que Darío Lira y Gordillo fueron varias v</w:t>
      </w:r>
      <w:r>
        <w:t>e</w:t>
      </w:r>
      <w:r>
        <w:t xml:space="preserve">ces a </w:t>
      </w:r>
      <w:smartTag w:uri="urn:schemas-microsoft-com:office:smarttags" w:element="PersonName">
        <w:smartTagPr>
          <w:attr w:name="ProductID" w:val="la Embajada"/>
        </w:smartTagPr>
        <w:r>
          <w:t>la Embajada</w:t>
        </w:r>
      </w:smartTag>
      <w:r>
        <w:t xml:space="preserve"> de Irán, donde se encontraban haciendo refacciones, e incluso fueron invitados a una recepción aproximadamente cinco o seis meses antes del atentado. Asimismo, señaló que Gordillo mantuvo conversaciones tel</w:t>
      </w:r>
      <w:r>
        <w:t>e</w:t>
      </w:r>
      <w:r>
        <w:t>fónicas con los hermanos Lira, inquiriendo si el declara</w:t>
      </w:r>
      <w:r>
        <w:t>n</w:t>
      </w:r>
      <w:r>
        <w:t>te pondría en conocimiento del juzgado las circunsta</w:t>
      </w:r>
      <w:r>
        <w:t>n</w:t>
      </w:r>
      <w:r>
        <w:t>cias aquí relatadas.</w:t>
      </w:r>
    </w:p>
    <w:p w:rsidR="00224567" w:rsidRDefault="00224567">
      <w:pPr>
        <w:widowControl w:val="0"/>
      </w:pPr>
      <w:r>
        <w:tab/>
        <w:t>Pérez dijo sospechar que los herm</w:t>
      </w:r>
      <w:r>
        <w:t>a</w:t>
      </w:r>
      <w:r>
        <w:t>nos Lira podrían ser quienes mandaron a comprar la camion</w:t>
      </w:r>
      <w:r>
        <w:t>e</w:t>
      </w:r>
      <w:r>
        <w:t>ta a lo de Telleldín, señ</w:t>
      </w:r>
      <w:r>
        <w:t>a</w:t>
      </w:r>
      <w:r>
        <w:t>lando que se mudó con ellos a fin de obtener datos para colaborar con la investigación. Fina</w:t>
      </w:r>
      <w:r>
        <w:t>l</w:t>
      </w:r>
      <w:r>
        <w:t>mente, indicó que entre el 17 y el 20 de d</w:t>
      </w:r>
      <w:r>
        <w:t>i</w:t>
      </w:r>
      <w:r>
        <w:t>ciembre de 1994 los nombrados tiraron una caja de cartón y una bolsa de residuos conteniendo papeles, c</w:t>
      </w:r>
      <w:r>
        <w:t>u</w:t>
      </w:r>
      <w:r>
        <w:t>ya procedencia desconocía, y que también para esa época le dijeron que no debía me</w:t>
      </w:r>
      <w:r>
        <w:t>n</w:t>
      </w:r>
      <w:r>
        <w:t>cionarlos al d</w:t>
      </w:r>
      <w:r>
        <w:t>e</w:t>
      </w:r>
      <w:r>
        <w:t>clarar.</w:t>
      </w:r>
    </w:p>
    <w:p w:rsidR="00224567" w:rsidRDefault="00224567">
      <w:pPr>
        <w:widowControl w:val="0"/>
      </w:pPr>
      <w:r>
        <w:tab/>
        <w:t>Hugo Antonio Pérez continuó pre</w:t>
      </w:r>
      <w:r>
        <w:t>s</w:t>
      </w:r>
      <w:r>
        <w:t>tando declaración indagatoria el 12 de en</w:t>
      </w:r>
      <w:r>
        <w:t>e</w:t>
      </w:r>
      <w:r>
        <w:t>ro de 1995 (conf. fs. 7898/7910), oportunidad en la que expresó que i</w:t>
      </w:r>
      <w:r>
        <w:t>n</w:t>
      </w:r>
      <w:r>
        <w:t xml:space="preserve">gresó a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Córdoba en 1968 ó 1969 y se r</w:t>
      </w:r>
      <w:r>
        <w:t>e</w:t>
      </w:r>
      <w:r>
        <w:t>tiró en 1979 con el cargo de subayudante, habiéndose desempeñado antes como correo y agente. Relató que doce o quince años antes, aproximadamente, mientras cumplía fu</w:t>
      </w:r>
      <w:r>
        <w:t>n</w:t>
      </w:r>
      <w:r>
        <w:t xml:space="preserve">ciones en </w:t>
      </w:r>
      <w:smartTag w:uri="urn:schemas-microsoft-com:office:smarttags" w:element="PersonName">
        <w:smartTagPr>
          <w:attr w:name="ProductID" w:val="la Direcci￳n General"/>
        </w:smartTagPr>
        <w:r>
          <w:t>la Dirección General</w:t>
        </w:r>
      </w:smartTag>
      <w:r>
        <w:t xml:space="preserve"> de Administración, con</w:t>
      </w:r>
      <w:r>
        <w:t>o</w:t>
      </w:r>
      <w:r>
        <w:t>ció a Carlos Alberto Telleldín, quien también trabajaba para esa fuerza de seguridad como oficial de intelige</w:t>
      </w:r>
      <w:r>
        <w:t>n</w:t>
      </w:r>
      <w:r>
        <w:t>cia.</w:t>
      </w:r>
    </w:p>
    <w:p w:rsidR="00224567" w:rsidRDefault="00224567">
      <w:pPr>
        <w:pStyle w:val="Sangradetextonormal"/>
        <w:widowControl w:val="0"/>
        <w:ind w:firstLine="0"/>
      </w:pPr>
      <w:r>
        <w:tab/>
        <w:t>El encartado señaló que se ree</w:t>
      </w:r>
      <w:r>
        <w:t>n</w:t>
      </w:r>
      <w:r>
        <w:t>contró con Telleldín en Buenos Aires, aproximadamente en el año 1982 ó 1983, abriendo juntos dos re</w:t>
      </w:r>
      <w:r>
        <w:t>s</w:t>
      </w:r>
      <w:r>
        <w:t>taurantes de parrilla, uno en las Av. Gen</w:t>
      </w:r>
      <w:r>
        <w:t>e</w:t>
      </w:r>
      <w:r>
        <w:t>ral Paz y Richieri y otro en el Mercado Central, n</w:t>
      </w:r>
      <w:r>
        <w:t>e</w:t>
      </w:r>
      <w:r>
        <w:t>gocio que duró unos dos años. Agregó que luego de no verse durante dos o tres meses, se desempeñó como encargado de algunos de los “video-bares” que tuvo Telle</w:t>
      </w:r>
      <w:r>
        <w:t>l</w:t>
      </w:r>
      <w:r>
        <w:t>dín en las zonas de San Martín, Sáenz Peña, Belgrano, R</w:t>
      </w:r>
      <w:r>
        <w:t>e</w:t>
      </w:r>
      <w:r>
        <w:t>coleta, Barrio Norte, Urquiza y Pueyrredón, actividad que se prolongó hasta el año 1989 aproximadame</w:t>
      </w:r>
      <w:r>
        <w:t>n</w:t>
      </w:r>
      <w:r>
        <w:t>te.</w:t>
      </w:r>
    </w:p>
    <w:p w:rsidR="00224567" w:rsidRDefault="00224567">
      <w:pPr>
        <w:widowControl w:val="0"/>
      </w:pPr>
      <w:r>
        <w:tab/>
        <w:t>Asimismo, manifestó que hacia 1990 fue encargado de un club bailable de Telleldín, sito en las Av. Rivadavia y Callao, denominado “High Lagt”, que se e</w:t>
      </w:r>
      <w:r>
        <w:t>n</w:t>
      </w:r>
      <w:r>
        <w:t>contraba al lado del “Hotel Mar del Plata” y que perman</w:t>
      </w:r>
      <w:r>
        <w:t>e</w:t>
      </w:r>
      <w:r>
        <w:t>ció abierto durante un año y medio. Recordó que luego de ello no se vieron durante dos años, dado que trabajó en seguridad para “Bunge &amp; Born”, hasta que en 1994 se enco</w:t>
      </w:r>
      <w:r>
        <w:t>n</w:t>
      </w:r>
      <w:r>
        <w:t>traron por casualidad en la zona de Villa Urquiza, come</w:t>
      </w:r>
      <w:r>
        <w:t>n</w:t>
      </w:r>
      <w:r>
        <w:t>tándole el declarante que estaba próximo a sep</w:t>
      </w:r>
      <w:r>
        <w:t>a</w:t>
      </w:r>
      <w:r>
        <w:t>rarse de su pareja y que no tenía dónde vivir. Pérez explicó que T</w:t>
      </w:r>
      <w:r>
        <w:t>e</w:t>
      </w:r>
      <w:r>
        <w:t>lleldín, luego de consultar con su esposa, lo albergó en su casa. Añadió que ya antes de ese encuentro se hallaba trabajando como contratista de obra, actividad que des</w:t>
      </w:r>
      <w:r>
        <w:t>a</w:t>
      </w:r>
      <w:r>
        <w:t>rrolló hasta su detención, motivo por el cual no part</w:t>
      </w:r>
      <w:r>
        <w:t>i</w:t>
      </w:r>
      <w:r>
        <w:t>cipó en negocio alguno con Carlos Telleldín u otro miembro de su fam</w:t>
      </w:r>
      <w:r>
        <w:t>i</w:t>
      </w:r>
      <w:r>
        <w:t>lia.</w:t>
      </w:r>
    </w:p>
    <w:p w:rsidR="00224567" w:rsidRDefault="00224567">
      <w:pPr>
        <w:widowControl w:val="0"/>
      </w:pPr>
      <w:r>
        <w:tab/>
        <w:t>Por otra parte, admitió que en una o dos oportunidades concurrió a una sala de masajes que Ca</w:t>
      </w:r>
      <w:r>
        <w:t>r</w:t>
      </w:r>
      <w:r>
        <w:t>los Telleldín tenía en la calle Pasteur 559, cuya encarg</w:t>
      </w:r>
      <w:r>
        <w:t>a</w:t>
      </w:r>
      <w:r>
        <w:t>da era Ana Boragni. Si bien el imputado no r</w:t>
      </w:r>
      <w:r>
        <w:t>e</w:t>
      </w:r>
      <w:r>
        <w:t xml:space="preserve">cordó en qué momento sucedió eso, señaló que para esa época Telleldín poseía diversas casas de masajes en </w:t>
      </w:r>
      <w:smartTag w:uri="urn:schemas-microsoft-com:office:smarttags" w:element="PersonName">
        <w:smartTagPr>
          <w:attr w:name="ProductID" w:val="la Capital Federal"/>
        </w:smartTagPr>
        <w:r>
          <w:t>la Capital Federal</w:t>
        </w:r>
      </w:smartTag>
      <w:r>
        <w:t xml:space="preserve"> y en la provincia de Buenos Aires. En tal sentido, también mencionó el domicilio de la calle Roosevelt 2462, propi</w:t>
      </w:r>
      <w:r>
        <w:t>e</w:t>
      </w:r>
      <w:r>
        <w:t>dad de los padres de Ana Boragni, departamento que visitó tanto cuando Telleldín y Bora</w:t>
      </w:r>
      <w:r>
        <w:t>g</w:t>
      </w:r>
      <w:r>
        <w:t>ni residían allí como luego, cuando lo convirtieron en c</w:t>
      </w:r>
      <w:r>
        <w:t>a</w:t>
      </w:r>
      <w:r>
        <w:t>sa de masajes.</w:t>
      </w:r>
    </w:p>
    <w:p w:rsidR="00224567" w:rsidRDefault="00224567">
      <w:pPr>
        <w:widowControl w:val="0"/>
      </w:pPr>
      <w:r>
        <w:tab/>
        <w:t>Asimismo, refirió que mientras res</w:t>
      </w:r>
      <w:r>
        <w:t>i</w:t>
      </w:r>
      <w:r>
        <w:t>dió en el domicilio de Telleldín a éste lo vis</w:t>
      </w:r>
      <w:r>
        <w:t>i</w:t>
      </w:r>
      <w:r>
        <w:t>taron su madre y su hermano Eduardo. Agregó que también lo visitaba una persona vinculada a esta causa, a quien prim</w:t>
      </w:r>
      <w:r>
        <w:t>e</w:t>
      </w:r>
      <w:r>
        <w:t>ro identificó como Adrián y luego recordó se ll</w:t>
      </w:r>
      <w:r>
        <w:t>a</w:t>
      </w:r>
      <w:r>
        <w:t>maba Ariel, de apellido judío, quien era mecánico y t</w:t>
      </w:r>
      <w:r>
        <w:t>e</w:t>
      </w:r>
      <w:r>
        <w:t>nía su taller en el partido de San Martín. Indicó que el individuo llamado Ariel arr</w:t>
      </w:r>
      <w:r>
        <w:t>e</w:t>
      </w:r>
      <w:r>
        <w:t>glaba los automóviles que luego Telleldín ve</w:t>
      </w:r>
      <w:r>
        <w:t>n</w:t>
      </w:r>
      <w:r>
        <w:t>día.</w:t>
      </w:r>
    </w:p>
    <w:p w:rsidR="00224567" w:rsidRDefault="00224567">
      <w:pPr>
        <w:widowControl w:val="0"/>
      </w:pPr>
      <w:r>
        <w:tab/>
        <w:t>A lo expuesto adunó que en dos o tres oportunidades visitó a Telleldín un tal Miguel, quien, s</w:t>
      </w:r>
      <w:r>
        <w:t>e</w:t>
      </w:r>
      <w:r>
        <w:t>gún el primero, se dedicaba a la compra o venta de autom</w:t>
      </w:r>
      <w:r>
        <w:t>ó</w:t>
      </w:r>
      <w:r>
        <w:t>viles. Describió a este sujeto como alto, delgado, de c</w:t>
      </w:r>
      <w:r>
        <w:t>a</w:t>
      </w:r>
      <w:r>
        <w:t>bellos cortos castaños y de aproximadamente 27 ó 28 años de edad.</w:t>
      </w:r>
    </w:p>
    <w:p w:rsidR="00224567" w:rsidRDefault="00224567">
      <w:pPr>
        <w:widowControl w:val="0"/>
      </w:pPr>
      <w:r>
        <w:tab/>
        <w:t>Manifestó que Jacinto Cruz y Carlos Telleldín se conocieron unos quince o veinte años antes. También señaló que, según creía, Humberto Pérez Mejías y Telleldín se conocieron cuando éste tenía un lavadero en Olivos, añadiendo que por comentarios de su consorte de causa supo que en una oportunidad viajó al exterior con Pérez Mejías y una mujer llamada Sa</w:t>
      </w:r>
      <w:r>
        <w:t>n</w:t>
      </w:r>
      <w:r>
        <w:t>dra.</w:t>
      </w:r>
    </w:p>
    <w:p w:rsidR="00224567" w:rsidRDefault="00224567">
      <w:pPr>
        <w:widowControl w:val="0"/>
      </w:pPr>
      <w:r>
        <w:tab/>
        <w:t>En otro orden, negó haber confeccion</w:t>
      </w:r>
      <w:r>
        <w:t>a</w:t>
      </w:r>
      <w:r>
        <w:t>do las grafías del papel secuestrado en el domicilio de Telleldín con la in</w:t>
      </w:r>
      <w:r>
        <w:t>s</w:t>
      </w:r>
      <w:r>
        <w:t>cripción “Embajada Islámica de Irán – Av. Figueroa A</w:t>
      </w:r>
      <w:r>
        <w:t>l</w:t>
      </w:r>
      <w:r>
        <w:t>corta 3229 – 802-1470 – 805-</w:t>
      </w:r>
      <w:smartTag w:uri="urn:schemas-microsoft-com:office:smarttags" w:element="metricconverter">
        <w:smartTagPr>
          <w:attr w:name="ProductID" w:val="4409”"/>
        </w:smartTagPr>
        <w:r>
          <w:t>4409”</w:t>
        </w:r>
      </w:smartTag>
      <w:r>
        <w:t>, como así también haberlo visto con ant</w:t>
      </w:r>
      <w:r>
        <w:t>e</w:t>
      </w:r>
      <w:r>
        <w:t>rioridad.</w:t>
      </w:r>
    </w:p>
    <w:p w:rsidR="00224567" w:rsidRDefault="00224567">
      <w:pPr>
        <w:widowControl w:val="0"/>
      </w:pPr>
      <w:r>
        <w:tab/>
        <w:t>Dijo no conocer personalmente a Al</w:t>
      </w:r>
      <w:r>
        <w:t>e</w:t>
      </w:r>
      <w:r>
        <w:t>jandro Monjo, aclarando que en “Alejandro Automot</w:t>
      </w:r>
      <w:r>
        <w:t>o</w:t>
      </w:r>
      <w:r>
        <w:t>res” fue atendido por un gestor cuyo nombre desconocía. Adunó que en otra ocasión acompañó a Carlos Telleldín a la citada agencia, esperándolo en el vehículo Ford Sierra del no</w:t>
      </w:r>
      <w:r>
        <w:t>m</w:t>
      </w:r>
      <w:r>
        <w:t>brado en el que se habían traslad</w:t>
      </w:r>
      <w:r>
        <w:t>a</w:t>
      </w:r>
      <w:r>
        <w:t>do.</w:t>
      </w:r>
    </w:p>
    <w:p w:rsidR="00224567" w:rsidRDefault="00224567">
      <w:pPr>
        <w:widowControl w:val="0"/>
      </w:pPr>
      <w:r>
        <w:tab/>
        <w:t>Pérez relató que en una oportun</w:t>
      </w:r>
      <w:r>
        <w:t>i</w:t>
      </w:r>
      <w:r>
        <w:t>dad se hallaba trasladando una camioneta Renault Trafic sinie</w:t>
      </w:r>
      <w:r>
        <w:t>s</w:t>
      </w:r>
      <w:r>
        <w:t>trada que Carlos Telleldín había adquirido en “Alejandro Automotores” hacia la ciudad de Córdoba, donde se la r</w:t>
      </w:r>
      <w:r>
        <w:t>e</w:t>
      </w:r>
      <w:r>
        <w:t>faccionaría y convertiría en “ar</w:t>
      </w:r>
      <w:r>
        <w:t>e</w:t>
      </w:r>
      <w:r>
        <w:t>nero”, cuando la grúa se descompuso en la loc</w:t>
      </w:r>
      <w:r>
        <w:t>a</w:t>
      </w:r>
      <w:r>
        <w:t>lidad de José C. Paz. Explicó que la dejó en el camino y, cuando r</w:t>
      </w:r>
      <w:r>
        <w:t>e</w:t>
      </w:r>
      <w:r>
        <w:t>gresó en su busca, descubrió que había sido llevada a la comisaría l</w:t>
      </w:r>
      <w:r>
        <w:t>o</w:t>
      </w:r>
      <w:r>
        <w:t>cal.</w:t>
      </w:r>
    </w:p>
    <w:p w:rsidR="00224567" w:rsidRDefault="00224567">
      <w:pPr>
        <w:widowControl w:val="0"/>
        <w:ind w:firstLine="2835"/>
      </w:pPr>
      <w:r>
        <w:t>Manifestó que, a pedido de T</w:t>
      </w:r>
      <w:r>
        <w:t>e</w:t>
      </w:r>
      <w:r>
        <w:t>lleldín, hizo los trámites para su recupero en tal dependencia, acompañado por un policía llamado Diego, amigo del prim</w:t>
      </w:r>
      <w:r>
        <w:t>e</w:t>
      </w:r>
      <w:r>
        <w:t>ro, transportando luego la camioneta al desa</w:t>
      </w:r>
      <w:r>
        <w:t>r</w:t>
      </w:r>
      <w:r>
        <w:t>madero de una persona apodada “el Cordobés”, a quien le dejó la docume</w:t>
      </w:r>
      <w:r>
        <w:t>n</w:t>
      </w:r>
      <w:r>
        <w:t>tación del vehículo. Refirió que a ese desarmadero conc</w:t>
      </w:r>
      <w:r>
        <w:t>u</w:t>
      </w:r>
      <w:r>
        <w:t>rrió en dos o tres oportunidades, entre abril y junio de 1994, acompañando a Telleldín. Indicó que el cambio de destino del rodado fue dispuesto por Telleldín, toda vez que la refacción planeada sería demasiado cost</w:t>
      </w:r>
      <w:r>
        <w:t>o</w:t>
      </w:r>
      <w:r>
        <w:t>sa.</w:t>
      </w:r>
    </w:p>
    <w:p w:rsidR="00224567" w:rsidRDefault="00224567">
      <w:pPr>
        <w:widowControl w:val="0"/>
      </w:pPr>
      <w:r>
        <w:tab/>
        <w:t>Con relación a su participación en el episodio de la camioneta Trafic llevada al desarm</w:t>
      </w:r>
      <w:r>
        <w:t>a</w:t>
      </w:r>
      <w:r>
        <w:t>dero del “Cordobés”, el imputado explicó que obed</w:t>
      </w:r>
      <w:r>
        <w:t>e</w:t>
      </w:r>
      <w:r>
        <w:t>ció a hacerle un favor a Telleldín, al igual que al acompañarlo a “Aleja</w:t>
      </w:r>
      <w:r>
        <w:t>n</w:t>
      </w:r>
      <w:r>
        <w:t>dro Automotores” y al desarm</w:t>
      </w:r>
      <w:r>
        <w:t>a</w:t>
      </w:r>
      <w:r>
        <w:t>dero antes mencionado. Dedujo que en esos momentos estaría en casa del nombrado sin a</w:t>
      </w:r>
      <w:r>
        <w:t>c</w:t>
      </w:r>
      <w:r>
        <w:t>tividad alguna, no existiendo motivos para negarse a aco</w:t>
      </w:r>
      <w:r>
        <w:t>m</w:t>
      </w:r>
      <w:r>
        <w:t>pañarlo ante su requer</w:t>
      </w:r>
      <w:r>
        <w:t>i</w:t>
      </w:r>
      <w:r>
        <w:t>miento.</w:t>
      </w:r>
    </w:p>
    <w:p w:rsidR="00224567" w:rsidRDefault="00224567">
      <w:pPr>
        <w:widowControl w:val="0"/>
      </w:pPr>
      <w:r>
        <w:tab/>
        <w:t>Al exhibírsele una hoja de papel obrante entre sus efectos personales, de la que surgían los nombres de Horacio Lira, Darío Lira y Go</w:t>
      </w:r>
      <w:r>
        <w:t>r</w:t>
      </w:r>
      <w:r>
        <w:t>dillo, junto con números de documento y teléfonos, Pérez explicó que averiguó los números de documento de los hermanos Lira m</w:t>
      </w:r>
      <w:r>
        <w:t>i</w:t>
      </w:r>
      <w:r>
        <w:t>rando sus agendas y con la finalidad de aportarlos a la causa. Añadió que los datos de Gordillo –su teléfono pa</w:t>
      </w:r>
      <w:r>
        <w:t>r</w:t>
      </w:r>
      <w:r>
        <w:t>ticular y la dirección y teléfonos de su empresa- los o</w:t>
      </w:r>
      <w:r>
        <w:t>b</w:t>
      </w:r>
      <w:r>
        <w:t>tuvo de una tarjeta que se hallaba en una agenda de los Lira.</w:t>
      </w:r>
    </w:p>
    <w:p w:rsidR="00224567" w:rsidRDefault="00224567">
      <w:pPr>
        <w:widowControl w:val="0"/>
      </w:pPr>
      <w:r>
        <w:tab/>
        <w:t>El encartado manifestó que co</w:t>
      </w:r>
      <w:r>
        <w:t>n</w:t>
      </w:r>
      <w:r>
        <w:t>trató a los hermanos Lira para trabajar en las obras que tenía y que, luego de abandonar el domicilio de Carlos T</w:t>
      </w:r>
      <w:r>
        <w:t>e</w:t>
      </w:r>
      <w:r>
        <w:t>lleldín, pernoctar en lo de Eduardo Telleldín y permanecer aprox</w:t>
      </w:r>
      <w:r>
        <w:t>i</w:t>
      </w:r>
      <w:r>
        <w:t>madamente dos meses en una pensión en la calle Soler, al no poder afrontar este gasto los hermanos Lira le ofreci</w:t>
      </w:r>
      <w:r>
        <w:t>e</w:t>
      </w:r>
      <w:r>
        <w:t>ron v</w:t>
      </w:r>
      <w:r>
        <w:t>i</w:t>
      </w:r>
      <w:r>
        <w:t>vir con ellos en la casa sita en la calle Bompland. Señaló que ambos hermanos se ma</w:t>
      </w:r>
      <w:r>
        <w:t>n</w:t>
      </w:r>
      <w:r>
        <w:t>tenían realizando labores de albañilería y obras en general, habiendo trabajado en varias obras del arquitecto Gord</w:t>
      </w:r>
      <w:r>
        <w:t>i</w:t>
      </w:r>
      <w:r>
        <w:t>llo.</w:t>
      </w:r>
    </w:p>
    <w:p w:rsidR="00224567" w:rsidRDefault="00224567">
      <w:pPr>
        <w:widowControl w:val="0"/>
      </w:pPr>
      <w:r>
        <w:tab/>
        <w:t>Pérez creyó reconocer en los ident</w:t>
      </w:r>
      <w:r>
        <w:t>i</w:t>
      </w:r>
      <w:r>
        <w:t xml:space="preserve">kits obrantes a fs. 2969 y </w:t>
      </w:r>
      <w:smartTag w:uri="urn:schemas-microsoft-com:office:smarttags" w:element="metricconverter">
        <w:smartTagPr>
          <w:attr w:name="ProductID" w:val="2970 a"/>
        </w:smartTagPr>
        <w:r>
          <w:t>2970 a</w:t>
        </w:r>
      </w:smartTag>
      <w:r>
        <w:t xml:space="preserve"> la persona que co</w:t>
      </w:r>
      <w:r>
        <w:t>n</w:t>
      </w:r>
      <w:r>
        <w:t>trató para la obra del country “Mapuche”, llevado por los Lira, cuyo apellido creía era Campos, padre del apodado “T</w:t>
      </w:r>
      <w:r>
        <w:t>u</w:t>
      </w:r>
      <w:r>
        <w:t>tu”. Asimismo, a fs. 39 del “Anexo de Reconstrucciones Integr</w:t>
      </w:r>
      <w:r>
        <w:t>a</w:t>
      </w:r>
      <w:r>
        <w:t>les” creyó reconocer a “T</w:t>
      </w:r>
      <w:r>
        <w:t>u</w:t>
      </w:r>
      <w:r>
        <w:t>tu” Campos, cuñado de los Lira e hijo del mencionado precedenteme</w:t>
      </w:r>
      <w:r>
        <w:t>n</w:t>
      </w:r>
      <w:r>
        <w:t>te.</w:t>
      </w:r>
    </w:p>
    <w:p w:rsidR="00224567" w:rsidRDefault="00224567">
      <w:pPr>
        <w:pStyle w:val="Textoindependiente"/>
        <w:spacing w:line="600" w:lineRule="auto"/>
      </w:pPr>
      <w:r>
        <w:tab/>
      </w:r>
      <w:r>
        <w:tab/>
        <w:t>A fs. 8131/8133 obra el careo cel</w:t>
      </w:r>
      <w:r>
        <w:t>e</w:t>
      </w:r>
      <w:r>
        <w:t>brado el día 23 de enero de 1995 entre los imput</w:t>
      </w:r>
      <w:r>
        <w:t>a</w:t>
      </w:r>
      <w:r>
        <w:t>dos Hugo Antonio Pérez y Ariel Rodolfo Nitzcaner, ocasión en la que admiti</w:t>
      </w:r>
      <w:r>
        <w:t>e</w:t>
      </w:r>
      <w:r>
        <w:t>ron c</w:t>
      </w:r>
      <w:r>
        <w:t>o</w:t>
      </w:r>
      <w:r>
        <w:t>nocerse.</w:t>
      </w:r>
    </w:p>
    <w:p w:rsidR="00224567" w:rsidRDefault="00224567">
      <w:pPr>
        <w:widowControl w:val="0"/>
      </w:pPr>
      <w:r>
        <w:tab/>
        <w:t>Por su parte, Hugo Antonio Pérez, lu</w:t>
      </w:r>
      <w:r>
        <w:t>e</w:t>
      </w:r>
      <w:r>
        <w:t>go de ratificar sus declaraciones indagatorias, m</w:t>
      </w:r>
      <w:r>
        <w:t>a</w:t>
      </w:r>
      <w:r>
        <w:t>nifestó que a pedido de Carlos Telleldín transportó el motor de una camioneta Trafic, que se hallaba quemado, al taller de su cocareado, aunque no brindó más det</w:t>
      </w:r>
      <w:r>
        <w:t>a</w:t>
      </w:r>
      <w:r>
        <w:t>lles, alegando que no era experto en mecánica. Aseveró que supuso que el m</w:t>
      </w:r>
      <w:r>
        <w:t>o</w:t>
      </w:r>
      <w:r>
        <w:t>tor era para reparar, puesto que observó que algunas de sus partes se hallaban quemadas, no pudiendo precisar cu</w:t>
      </w:r>
      <w:r>
        <w:t>á</w:t>
      </w:r>
      <w:r>
        <w:t>les.</w:t>
      </w:r>
    </w:p>
    <w:p w:rsidR="00224567" w:rsidRDefault="00224567">
      <w:pPr>
        <w:widowControl w:val="0"/>
      </w:pPr>
      <w:r>
        <w:tab/>
        <w:t>Asimismo, Pérez refirió que no estaba cuando Cotoras extrajo el motor; llegó de</w:t>
      </w:r>
      <w:r>
        <w:t>s</w:t>
      </w:r>
      <w:r>
        <w:t>pués. Aclaró que se hallaba con Carlos Telleldín cuando concurrió a ret</w:t>
      </w:r>
      <w:r>
        <w:t>i</w:t>
      </w:r>
      <w:r>
        <w:t>rarlo. Recordó haber visto cuando ca</w:t>
      </w:r>
      <w:r>
        <w:t>r</w:t>
      </w:r>
      <w:r>
        <w:t>gaban el motor en el baúl de un automóvil Ford Escort color gris, pr</w:t>
      </w:r>
      <w:r>
        <w:t>o</w:t>
      </w:r>
      <w:r>
        <w:t>piedad de Telleldín, con el que lo trasladó solo, a pedido de T</w:t>
      </w:r>
      <w:r>
        <w:t>e</w:t>
      </w:r>
      <w:r>
        <w:t>lleldín, al taller de Nitzcaner, y que no llevó ninguna clase de repuestos. Mencionó que en el taller se encontr</w:t>
      </w:r>
      <w:r>
        <w:t>a</w:t>
      </w:r>
      <w:r>
        <w:t>ban Nitzcaner y el chapista, no recordando si había a</w:t>
      </w:r>
      <w:r>
        <w:t>l</w:t>
      </w:r>
      <w:r>
        <w:t>guien más.</w:t>
      </w:r>
    </w:p>
    <w:p w:rsidR="00224567" w:rsidRDefault="00224567">
      <w:pPr>
        <w:widowControl w:val="0"/>
      </w:pPr>
      <w:r>
        <w:tab/>
        <w:t>Alegó que, debido al tiempo transc</w:t>
      </w:r>
      <w:r>
        <w:t>u</w:t>
      </w:r>
      <w:r>
        <w:t>rrido, no recordaba en qué fecha o a qué hora retiró el motor del taller de Cotoras y lo trasladó hasta el de N</w:t>
      </w:r>
      <w:r>
        <w:t>i</w:t>
      </w:r>
      <w:r>
        <w:t>tzcaner. No obstante, precisó que sucedió antes del ate</w:t>
      </w:r>
      <w:r>
        <w:t>n</w:t>
      </w:r>
      <w:r>
        <w:t>tado y que todo ocurrió el mismo día. Afirmó que T</w:t>
      </w:r>
      <w:r>
        <w:t>e</w:t>
      </w:r>
      <w:r>
        <w:t>lleldín sólo le indicó que debía transportar el motor al taller de Nitzcaner. Por su parte, Ariel Nitzcaner rat</w:t>
      </w:r>
      <w:r>
        <w:t>i</w:t>
      </w:r>
      <w:r>
        <w:t>ficó lo dicho por Pérez, al afirmar que cuando éste llevó el motor le preguntó si “el Enano” le había dicho algo más, respo</w:t>
      </w:r>
      <w:r>
        <w:t>n</w:t>
      </w:r>
      <w:r>
        <w:t>diéndole que sólo le había indicado lleva</w:t>
      </w:r>
      <w:r>
        <w:t>r</w:t>
      </w:r>
      <w:r>
        <w:t>lo.</w:t>
      </w:r>
    </w:p>
    <w:p w:rsidR="00224567" w:rsidRDefault="00224567">
      <w:pPr>
        <w:widowControl w:val="0"/>
      </w:pPr>
      <w:r>
        <w:tab/>
        <w:t>A su turno, Nitzcaner, tras rem</w:t>
      </w:r>
      <w:r>
        <w:t>i</w:t>
      </w:r>
      <w:r>
        <w:t>tirse a lo expuesto en su declaración indagatoria, co</w:t>
      </w:r>
      <w:r>
        <w:t>n</w:t>
      </w:r>
      <w:r>
        <w:t>cordó con su cocareado en cuanto a que éste entregó el motor que d</w:t>
      </w:r>
      <w:r>
        <w:t>e</w:t>
      </w:r>
      <w:r>
        <w:t>bía colocar en la carrocería aportada por Telleldín. So</w:t>
      </w:r>
      <w:r>
        <w:t>s</w:t>
      </w:r>
      <w:r>
        <w:t>tuvo que lo recibió cerca del mediodía, ya que recordó h</w:t>
      </w:r>
      <w:r>
        <w:t>a</w:t>
      </w:r>
      <w:r>
        <w:t>ber comentado que iba a comer. Al respecto, Pérez e</w:t>
      </w:r>
      <w:r>
        <w:t>x</w:t>
      </w:r>
      <w:r>
        <w:t>presó que era posible que hubiera sucedido de esa manera, a la vez que agregó que podría haber ocurrido un día en que no concurrió a trabajar al cou</w:t>
      </w:r>
      <w:r>
        <w:t>n</w:t>
      </w:r>
      <w:r>
        <w:t>try.</w:t>
      </w:r>
    </w:p>
    <w:p w:rsidR="00224567" w:rsidRDefault="00224567">
      <w:pPr>
        <w:widowControl w:val="0"/>
      </w:pPr>
      <w:r>
        <w:tab/>
        <w:t>Asimismo, Pérez refirió que arr</w:t>
      </w:r>
      <w:r>
        <w:t>i</w:t>
      </w:r>
      <w:r>
        <w:t>bó al taller de Cotoras a bordo del automóvil Ford Escort pr</w:t>
      </w:r>
      <w:r>
        <w:t>o</w:t>
      </w:r>
      <w:r>
        <w:t>piedad de Telleldín. Aclaró que éste aún no había llegado al lugar, haciéndolo en su vehículo Renault 19 en el m</w:t>
      </w:r>
      <w:r>
        <w:t>o</w:t>
      </w:r>
      <w:r>
        <w:t>mento en que Cotoras cargaba el motor en el baúl del E</w:t>
      </w:r>
      <w:r>
        <w:t>s</w:t>
      </w:r>
      <w:r>
        <w:t>cort, tarea con la que col</w:t>
      </w:r>
      <w:r>
        <w:t>a</w:t>
      </w:r>
      <w:r>
        <w:t>boró.</w:t>
      </w:r>
    </w:p>
    <w:p w:rsidR="00224567" w:rsidRDefault="00224567">
      <w:pPr>
        <w:widowControl w:val="0"/>
      </w:pPr>
      <w:r>
        <w:tab/>
        <w:t>Hugo Antonio Pérez afirmó que se ca</w:t>
      </w:r>
      <w:r>
        <w:t>r</w:t>
      </w:r>
      <w:r>
        <w:t>gó el motor en el baúl del Escort y se dirigió desde el t</w:t>
      </w:r>
      <w:r>
        <w:t>a</w:t>
      </w:r>
      <w:r>
        <w:t>ller de Cotoras, ubicado en la localidad de Villa Mart</w:t>
      </w:r>
      <w:r>
        <w:t>e</w:t>
      </w:r>
      <w:r>
        <w:t>lli, hasta el taller de Nitzcaner, sito en la calle It</w:t>
      </w:r>
      <w:r>
        <w:t>u</w:t>
      </w:r>
      <w:r>
        <w:t>zaingó 2335 de Villa Maipú, ambas de la provincia de Bu</w:t>
      </w:r>
      <w:r>
        <w:t>e</w:t>
      </w:r>
      <w:r>
        <w:t>nos Aires. A lo expuesto adunó que Telleldín se r</w:t>
      </w:r>
      <w:r>
        <w:t>e</w:t>
      </w:r>
      <w:r>
        <w:t>tiró del taller de Cotoras en su vehículo Renault 19, sin comenta</w:t>
      </w:r>
      <w:r>
        <w:t>r</w:t>
      </w:r>
      <w:r>
        <w:t>le hacia dónde se dirigía.</w:t>
      </w:r>
    </w:p>
    <w:p w:rsidR="00224567" w:rsidRDefault="00224567">
      <w:pPr>
        <w:widowControl w:val="0"/>
      </w:pPr>
      <w:r>
        <w:tab/>
        <w:t>En cuanto a lo referido por Pérez al ser careado con Ca</w:t>
      </w:r>
      <w:r>
        <w:t>r</w:t>
      </w:r>
      <w:r>
        <w:t>los Alberto Telleldín a fs. 8606/8610, cabe remitirse a lo consignado en ocasión de detallarse las declaraciones del último.</w:t>
      </w:r>
    </w:p>
    <w:p w:rsidR="00224567" w:rsidRDefault="00224567">
      <w:pPr>
        <w:widowControl w:val="0"/>
      </w:pPr>
      <w:r>
        <w:tab/>
        <w:t>Al prestar declaración indagat</w:t>
      </w:r>
      <w:r>
        <w:t>o</w:t>
      </w:r>
      <w:r>
        <w:t>ria el 24 de julio de 1995 (conf. fs. 13.928/13.933), Hugo Ant</w:t>
      </w:r>
      <w:r>
        <w:t>o</w:t>
      </w:r>
      <w:r>
        <w:t>nio Pérez m</w:t>
      </w:r>
      <w:r>
        <w:t>a</w:t>
      </w:r>
      <w:r>
        <w:t>nifestó que el domingo 10 de julio de 1994 se levantó a las 9.30 horas aproximadamente y co</w:t>
      </w:r>
      <w:r>
        <w:t>n</w:t>
      </w:r>
      <w:r>
        <w:t>currió a la cocina a tomar mate junto con Carlos Alberto Telleldín, Ana María Boragni, Pérez Mejías y los hijos de la nombr</w:t>
      </w:r>
      <w:r>
        <w:t>a</w:t>
      </w:r>
      <w:r>
        <w:t>da, sin poder recordar si también se encontraba en el l</w:t>
      </w:r>
      <w:r>
        <w:t>u</w:t>
      </w:r>
      <w:r>
        <w:t>gar Jaci</w:t>
      </w:r>
      <w:r>
        <w:t>n</w:t>
      </w:r>
      <w:r>
        <w:t>to Cruz.</w:t>
      </w:r>
    </w:p>
    <w:p w:rsidR="00224567" w:rsidRDefault="00224567">
      <w:pPr>
        <w:widowControl w:val="0"/>
      </w:pPr>
      <w:r>
        <w:tab/>
        <w:t>Asimismo, recordó haber escuchado una conversación telefónica por la venta de la camioneta, en la que Carlos Telleldín explicaba el c</w:t>
      </w:r>
      <w:r>
        <w:t>a</w:t>
      </w:r>
      <w:r>
        <w:t>mino para arribar a su domicilio. Manifestó que, en horas del mediodía, almo</w:t>
      </w:r>
      <w:r>
        <w:t>r</w:t>
      </w:r>
      <w:r>
        <w:t>zó con Pérez Mejías, Bora</w:t>
      </w:r>
      <w:r>
        <w:t>g</w:t>
      </w:r>
      <w:r>
        <w:t>ni, Telleldín y los hijos de la nombrada y que hacia las 17 se encontraba en la cocina m</w:t>
      </w:r>
      <w:r>
        <w:t>i</w:t>
      </w:r>
      <w:r>
        <w:t>rando televisión junto con Pérez Mejías, cuando ingresó Ana Boragni y comentó que su e</w:t>
      </w:r>
      <w:r>
        <w:t>s</w:t>
      </w:r>
      <w:r>
        <w:t>poso estaba con un cliente para la camioneta, retirándose nuevame</w:t>
      </w:r>
      <w:r>
        <w:t>n</w:t>
      </w:r>
      <w:r>
        <w:t>te al living.</w:t>
      </w:r>
    </w:p>
    <w:p w:rsidR="00224567" w:rsidRDefault="00224567">
      <w:pPr>
        <w:widowControl w:val="0"/>
      </w:pPr>
      <w:r>
        <w:tab/>
        <w:t>Continuó su relato indicando que treinta minutos más tarde Boragni y Telleldín les inform</w:t>
      </w:r>
      <w:r>
        <w:t>a</w:t>
      </w:r>
      <w:r>
        <w:t>ron que habían vendido la camioneta a una persona que les pareció extraña, hablaba con acento centroamericano y t</w:t>
      </w:r>
      <w:r>
        <w:t>e</w:t>
      </w:r>
      <w:r>
        <w:t>nía cabellos largos. Mencionó que Telleldín solía guardar sus papeles en un mal</w:t>
      </w:r>
      <w:r>
        <w:t>e</w:t>
      </w:r>
      <w:r>
        <w:t>tín negro que tenía en su habitación y, al ingresar a la c</w:t>
      </w:r>
      <w:r>
        <w:t>o</w:t>
      </w:r>
      <w:r>
        <w:t>cina luego de efectuada la venta, no lo llevaba cons</w:t>
      </w:r>
      <w:r>
        <w:t>i</w:t>
      </w:r>
      <w:r>
        <w:t>go.</w:t>
      </w:r>
    </w:p>
    <w:p w:rsidR="00224567" w:rsidRDefault="00224567">
      <w:pPr>
        <w:widowControl w:val="0"/>
      </w:pPr>
      <w:r>
        <w:tab/>
        <w:t>Memoró que al momento de la transa</w:t>
      </w:r>
      <w:r>
        <w:t>c</w:t>
      </w:r>
      <w:r>
        <w:t>ción los hijos de Ana Boragni se encontraban en la vivie</w:t>
      </w:r>
      <w:r>
        <w:t>n</w:t>
      </w:r>
      <w:r>
        <w:t>da y, si bien no pudo precisar en qué a</w:t>
      </w:r>
      <w:r>
        <w:t>m</w:t>
      </w:r>
      <w:r>
        <w:t>biente, afirmó que no se hallaban en la cocina. As</w:t>
      </w:r>
      <w:r>
        <w:t>i</w:t>
      </w:r>
      <w:r>
        <w:t xml:space="preserve">mismo, creyó recordar que la noche de la venta de </w:t>
      </w:r>
      <w:smartTag w:uri="urn:schemas-microsoft-com:office:smarttags" w:element="PersonName">
        <w:smartTagPr>
          <w:attr w:name="ProductID" w:val="la Trafic"/>
        </w:smartTagPr>
        <w:r>
          <w:t>la Tr</w:t>
        </w:r>
        <w:r>
          <w:t>a</w:t>
        </w:r>
        <w:r>
          <w:t>fic</w:t>
        </w:r>
      </w:smartTag>
      <w:r>
        <w:t>, Jacinto Cruz estaba en el domicilio de Telleldín, donde norma</w:t>
      </w:r>
      <w:r>
        <w:t>l</w:t>
      </w:r>
      <w:r>
        <w:t>mente dormía, salvo que se quedara en lo de un amigo que r</w:t>
      </w:r>
      <w:r>
        <w:t>e</w:t>
      </w:r>
      <w:r>
        <w:t>sidía en el barrio de Belgrano o en lo de otro amigo, domiciliado en la loc</w:t>
      </w:r>
      <w:r>
        <w:t>a</w:t>
      </w:r>
      <w:r>
        <w:t>lidad de Wilde, provincia de Buenos Aires. Finalmente, aseguró que el ex-marido de Boragni, de apellido Schiav</w:t>
      </w:r>
      <w:r>
        <w:t>o</w:t>
      </w:r>
      <w:r>
        <w:t>ne, no se hallaba presente al momento de la transa</w:t>
      </w:r>
      <w:r>
        <w:t>c</w:t>
      </w:r>
      <w:r>
        <w:t>ción.</w:t>
      </w:r>
    </w:p>
    <w:p w:rsidR="00224567" w:rsidRDefault="00224567">
      <w:pPr>
        <w:widowControl w:val="0"/>
      </w:pPr>
      <w:r>
        <w:tab/>
        <w:t>En otro orden de ideas, el imputado indicó que Jacinto Cruz, además de tener trabajos partic</w:t>
      </w:r>
      <w:r>
        <w:t>u</w:t>
      </w:r>
      <w:r>
        <w:t xml:space="preserve">lares de albañilería, colaboraba con él en una obra sita en </w:t>
      </w:r>
      <w:smartTag w:uri="urn:schemas-microsoft-com:office:smarttags" w:element="PersonName">
        <w:smartTagPr>
          <w:attr w:name="ProductID" w:val="la Av. Coronel"/>
        </w:smartTagPr>
        <w:r>
          <w:t>la Av. Coronel</w:t>
        </w:r>
      </w:smartTag>
      <w:r>
        <w:t xml:space="preserve"> Díaz al 2000, donde trabajaba de lunes a sábados, regresando al domicilio de Telle</w:t>
      </w:r>
      <w:r>
        <w:t>l</w:t>
      </w:r>
      <w:r>
        <w:t>dín a las 20.00 ó 20.30 horas aproximadamente. Acotó que por lo general los días domingo Jacinto Cruz concurría a la casa del am</w:t>
      </w:r>
      <w:r>
        <w:t>i</w:t>
      </w:r>
      <w:r>
        <w:t>go referido precedentemente, portero de edificio, en el barrio de Be</w:t>
      </w:r>
      <w:r>
        <w:t>l</w:t>
      </w:r>
      <w:r>
        <w:t>grano.</w:t>
      </w:r>
    </w:p>
    <w:p w:rsidR="00224567" w:rsidRDefault="00224567">
      <w:pPr>
        <w:widowControl w:val="0"/>
      </w:pPr>
      <w:r>
        <w:tab/>
        <w:t>Recordó que Telleldín le presentó a Cruz unos siete años antes -dado que el segundo vivía en la casa del primero- y que desde que conocía a Cruz éste residía en el domicilio de su co</w:t>
      </w:r>
      <w:r>
        <w:t>n</w:t>
      </w:r>
      <w:r>
        <w:t>sorte de causa, quien lo empleaba para hacer trabajos de albañilería o plom</w:t>
      </w:r>
      <w:r>
        <w:t>e</w:t>
      </w:r>
      <w:r>
        <w:t>ría. El encartado explicó que en el año 1988 ó 1989 vivió junto con Cruz en un campo de Telleldín ub</w:t>
      </w:r>
      <w:r>
        <w:t>i</w:t>
      </w:r>
      <w:r>
        <w:t>cado en el pueblo de Frinsh, partido de General Rodríguez, donde, por encargo de su coimputado, se dedicaban a la cría de chanchos, a</w:t>
      </w:r>
      <w:r>
        <w:t>c</w:t>
      </w:r>
      <w:r>
        <w:t>tividad que se prolongó durante ocho meses aproximadame</w:t>
      </w:r>
      <w:r>
        <w:t>n</w:t>
      </w:r>
      <w:r>
        <w:t>te. Agregó que cada veinte días Telleldín concurría al campo, en ocasiones acompañado por Ana Boragni y sus h</w:t>
      </w:r>
      <w:r>
        <w:t>i</w:t>
      </w:r>
      <w:r>
        <w:t>jos, pero que nunca lo vio con otra pe</w:t>
      </w:r>
      <w:r>
        <w:t>r</w:t>
      </w:r>
      <w:r>
        <w:t>sona.</w:t>
      </w:r>
    </w:p>
    <w:p w:rsidR="00224567" w:rsidRDefault="00224567">
      <w:pPr>
        <w:widowControl w:val="0"/>
      </w:pPr>
      <w:r>
        <w:tab/>
        <w:t>Asimismo, refirió que Cruz también h</w:t>
      </w:r>
      <w:r>
        <w:t>a</w:t>
      </w:r>
      <w:r>
        <w:t>bría efectuado trabajos de albañilería en un dúplex pr</w:t>
      </w:r>
      <w:r>
        <w:t>o</w:t>
      </w:r>
      <w:r>
        <w:t>piedad de Telleldín en la zona de Olivos, por las calles Pelliza y Panamericana. Por último, Pérez señaló que do</w:t>
      </w:r>
      <w:r>
        <w:t>r</w:t>
      </w:r>
      <w:r>
        <w:t>mía en un cuarto de la planta superior, junto con Cruz y un hijo de Boragni llamado D</w:t>
      </w:r>
      <w:r>
        <w:t>a</w:t>
      </w:r>
      <w:r>
        <w:t>mián.</w:t>
      </w:r>
    </w:p>
    <w:p w:rsidR="00224567" w:rsidRDefault="00224567">
      <w:pPr>
        <w:widowControl w:val="0"/>
      </w:pPr>
      <w:r>
        <w:tab/>
        <w:t>Por otra parte, el encartado manife</w:t>
      </w:r>
      <w:r>
        <w:t>s</w:t>
      </w:r>
      <w:r>
        <w:t>tó que fue a v</w:t>
      </w:r>
      <w:r>
        <w:t>i</w:t>
      </w:r>
      <w:r>
        <w:t xml:space="preserve">vir al domicilio de Telleldín en mayo de 1994 aproximadamente, al separarse de su esposa. Explicó que desde ese momento comenzó a trabajar con Cruz, habiendo realizado diversas publicaciones en el diario “Clarín” y tomando así las obras de </w:t>
      </w:r>
      <w:smartTag w:uri="urn:schemas-microsoft-com:office:smarttags" w:element="PersonName">
        <w:smartTagPr>
          <w:attr w:name="ProductID" w:val="la Av. Coronel"/>
        </w:smartTagPr>
        <w:r>
          <w:t>la Av. Coronel</w:t>
        </w:r>
      </w:smartTag>
      <w:r>
        <w:t xml:space="preserve"> Díaz y del country “Mapuche”. Puntualizó que desde mayo de 1994 y hasta el momento del atentado trabajaron en la obra de </w:t>
      </w:r>
      <w:smartTag w:uri="urn:schemas-microsoft-com:office:smarttags" w:element="PersonName">
        <w:smartTagPr>
          <w:attr w:name="ProductID" w:val="la Av. Coronel"/>
        </w:smartTagPr>
        <w:r>
          <w:t>la Av. Cor</w:t>
        </w:r>
        <w:r>
          <w:t>o</w:t>
        </w:r>
        <w:r>
          <w:t>nel</w:t>
        </w:r>
      </w:smartTag>
      <w:r>
        <w:t xml:space="preserve"> Díaz antes referida, a la que concurrían todos los días de lunes a sábado, descansando sólo los domingos. Añadió que cuando Cruz conseguía otros trabajos, dejaba momentáneame</w:t>
      </w:r>
      <w:r>
        <w:t>n</w:t>
      </w:r>
      <w:r>
        <w:t>te la obra.</w:t>
      </w:r>
    </w:p>
    <w:p w:rsidR="00224567" w:rsidRDefault="00224567">
      <w:pPr>
        <w:widowControl w:val="0"/>
      </w:pPr>
      <w:r>
        <w:tab/>
        <w:t>Aclaró que tomó la obra del country “Mapuche” en junio de 1994 y que Cruz no realizó labor a</w:t>
      </w:r>
      <w:r>
        <w:t>l</w:t>
      </w:r>
      <w:r>
        <w:t>guna en ella. Señaló que para esa tarea contrató por el diario a las personas de apellido Lira.</w:t>
      </w:r>
    </w:p>
    <w:p w:rsidR="00224567" w:rsidRDefault="00224567">
      <w:pPr>
        <w:widowControl w:val="0"/>
      </w:pPr>
      <w:r>
        <w:tab/>
        <w:t xml:space="preserve">Asimismo, explicó que para llevar a cabo esas obras debió inscribirse en </w:t>
      </w:r>
      <w:smartTag w:uri="urn:schemas-microsoft-com:office:smarttags" w:element="PersonName">
        <w:smartTagPr>
          <w:attr w:name="ProductID" w:val="la Direcci￳n General"/>
        </w:smartTagPr>
        <w:r>
          <w:t>la Dirección Gen</w:t>
        </w:r>
        <w:r>
          <w:t>e</w:t>
        </w:r>
        <w:r>
          <w:t>ral</w:t>
        </w:r>
      </w:smartTag>
      <w:r>
        <w:t xml:space="preserve"> Impositiva en mayo o junio de 1994, como responsable in</w:t>
      </w:r>
      <w:r>
        <w:t>s</w:t>
      </w:r>
      <w:r>
        <w:t>cripto. Refirió que por ello Telleldín le solicitó que comprara una camioneta Renault Trafic en “Alejandro Aut</w:t>
      </w:r>
      <w:r>
        <w:t>o</w:t>
      </w:r>
      <w:r>
        <w:t>motores”, toda vez que al recibir factura de tipo “A” p</w:t>
      </w:r>
      <w:r>
        <w:t>o</w:t>
      </w:r>
      <w:r>
        <w:t>dría obtener una discriminación del I.V.A., con el cons</w:t>
      </w:r>
      <w:r>
        <w:t>i</w:t>
      </w:r>
      <w:r>
        <w:t>guiente beneficio que le generaba el crédito fiscal por aquella co</w:t>
      </w:r>
      <w:r>
        <w:t>m</w:t>
      </w:r>
      <w:r>
        <w:t>pra.</w:t>
      </w:r>
    </w:p>
    <w:p w:rsidR="00224567" w:rsidRDefault="00224567">
      <w:pPr>
        <w:widowControl w:val="0"/>
      </w:pPr>
      <w:r>
        <w:tab/>
        <w:t>Con relación al día 18 de julio de 1994, expresó que a las 6.00 concurrió al country “Map</w:t>
      </w:r>
      <w:r>
        <w:t>u</w:t>
      </w:r>
      <w:r>
        <w:t>che”, no encontrando a nadie allí. Indicó que, en cons</w:t>
      </w:r>
      <w:r>
        <w:t>e</w:t>
      </w:r>
      <w:r>
        <w:t xml:space="preserve">cuencia, se dirigió a la obra de </w:t>
      </w:r>
      <w:smartTag w:uri="urn:schemas-microsoft-com:office:smarttags" w:element="PersonName">
        <w:smartTagPr>
          <w:attr w:name="ProductID" w:val="la Av. Coronel"/>
        </w:smartTagPr>
        <w:r>
          <w:t>la Av. Coronel</w:t>
        </w:r>
      </w:smartTag>
      <w:r>
        <w:t xml:space="preserve"> Díaz, do</w:t>
      </w:r>
      <w:r>
        <w:t>n</w:t>
      </w:r>
      <w:r>
        <w:t>de a las 8.30 se encontró con la familia Lira, Jacinto Cruz y Pérez Mejías, a quien había co</w:t>
      </w:r>
      <w:r>
        <w:t>n</w:t>
      </w:r>
      <w:r>
        <w:t>tratado en los días previos para hacer una changa, puesto que se encontraba desocupado. Agregó que al mediodía concurrió a una pint</w:t>
      </w:r>
      <w:r>
        <w:t>u</w:t>
      </w:r>
      <w:r>
        <w:t xml:space="preserve">rería sita en </w:t>
      </w:r>
      <w:smartTag w:uri="urn:schemas-microsoft-com:office:smarttags" w:element="PersonName">
        <w:smartTagPr>
          <w:attr w:name="ProductID" w:val="la Av. Las"/>
        </w:smartTagPr>
        <w:r>
          <w:t>la Av. Las</w:t>
        </w:r>
      </w:smartTag>
      <w:r>
        <w:t xml:space="preserve"> Heras y Salguero, regresando lu</w:t>
      </w:r>
      <w:r>
        <w:t>e</w:t>
      </w:r>
      <w:r>
        <w:t>go a la obra, donde permaneció hasta las 16.00 ó 16.30 h</w:t>
      </w:r>
      <w:r>
        <w:t>o</w:t>
      </w:r>
      <w:r>
        <w:t>ras aproximadamente, momento en que se retiró junto con Cruz rumbo al domicilio de Telleldín.</w:t>
      </w:r>
    </w:p>
    <w:p w:rsidR="00224567" w:rsidRDefault="00224567">
      <w:pPr>
        <w:widowControl w:val="0"/>
      </w:pPr>
    </w:p>
    <w:p w:rsidR="00224567" w:rsidRDefault="00224567">
      <w:pPr>
        <w:pStyle w:val="Ttulo3"/>
        <w:widowControl w:val="0"/>
      </w:pPr>
      <w:r>
        <w:t>C) Declaraciones indagatoria de Miguel Gustavo Ja</w:t>
      </w:r>
      <w:r>
        <w:t>i</w:t>
      </w:r>
      <w:r>
        <w:t>mes.</w:t>
      </w:r>
    </w:p>
    <w:p w:rsidR="00224567" w:rsidRDefault="00224567">
      <w:pPr>
        <w:widowControl w:val="0"/>
      </w:pPr>
      <w:r>
        <w:tab/>
        <w:t>Miguel Gustavo Jaimes se abstuvo de prestar declaración indagatoria en la audiencia de d</w:t>
      </w:r>
      <w:r>
        <w:t>e</w:t>
      </w:r>
      <w:r>
        <w:t>bate, por lo que se dio lectura a las vo</w:t>
      </w:r>
      <w:r>
        <w:t>l</w:t>
      </w:r>
      <w:r>
        <w:t>cadas a fs. 8148/8156, 28.859/28.862 y 35.484/35.486 y al careo efectuado entre el nombrado y Carlos Alberto Telleldín, que corre a fs. 8603/8605.</w:t>
      </w:r>
    </w:p>
    <w:p w:rsidR="00224567" w:rsidRDefault="00224567">
      <w:pPr>
        <w:widowControl w:val="0"/>
      </w:pPr>
      <w:r>
        <w:tab/>
        <w:t>Al declarar el 23 de enero de 1995 (fs. 8148/8156), Jaimes manifestó que conoció a Carlos A</w:t>
      </w:r>
      <w:r>
        <w:t>l</w:t>
      </w:r>
      <w:r>
        <w:t>berto Telleldín un año antes, dado que éste publicó un aviso para vender un automóvil Fiat Duna, que finalmente no adquirió. De inmediato se rectificó, señalando que lo conoció en ocasión de llevar su automóvil a un lavadero que el nombrado tenía en la zona de Olivos. Al respecto, aclaró que si bien residía en Ha</w:t>
      </w:r>
      <w:r>
        <w:t>e</w:t>
      </w:r>
      <w:r>
        <w:t>do, solía salir a pasear con su mujer por zonas más lindas, como ser Olivos. Que en una oportunidad, circulando por la calle Pelliza de la l</w:t>
      </w:r>
      <w:r>
        <w:t>o</w:t>
      </w:r>
      <w:r>
        <w:t>calidad antes mencionada, enco</w:t>
      </w:r>
      <w:r>
        <w:t>n</w:t>
      </w:r>
      <w:r>
        <w:t>tró el lavadero, hallándose presente T</w:t>
      </w:r>
      <w:r>
        <w:t>e</w:t>
      </w:r>
      <w:r>
        <w:t>lleldín, quien le pareció una persona “macanuda y entradora”. Estimó que concurrió al mencionado negocio entre diez y veinte veces, sea para lavar su auto o co</w:t>
      </w:r>
      <w:r>
        <w:t>n</w:t>
      </w:r>
      <w:r>
        <w:t>versar con Telleldín, con</w:t>
      </w:r>
      <w:r>
        <w:t>o</w:t>
      </w:r>
      <w:r>
        <w:t>ciendo también allí a su mujer, Ana.</w:t>
      </w:r>
    </w:p>
    <w:p w:rsidR="00224567" w:rsidRDefault="00224567">
      <w:pPr>
        <w:widowControl w:val="0"/>
      </w:pPr>
      <w:r>
        <w:tab/>
        <w:t>Más adelante, Jaimes modificó su ve</w:t>
      </w:r>
      <w:r>
        <w:t>r</w:t>
      </w:r>
      <w:r>
        <w:t>sión, indicando que conoció a Telleldín en oportun</w:t>
      </w:r>
      <w:r>
        <w:t>i</w:t>
      </w:r>
      <w:r>
        <w:t>dad de acompañar a un conocido suyo, César, al lavadero de Ol</w:t>
      </w:r>
      <w:r>
        <w:t>i</w:t>
      </w:r>
      <w:r>
        <w:t>vos. Relató que a César lo conocía “de la noche de Ramos Mejía” y, si bien no pudo aportar otros datos acerca del nombrado, recordó que residía en el barrio de Colegiales. Comentó que, luego de esa ocasión, concurrió otras veces al lavadero de Telleldín, habiéndolo visitado también en su domicilio, toda vez que entabló una amistad con el m</w:t>
      </w:r>
      <w:r>
        <w:t>a</w:t>
      </w:r>
      <w:r>
        <w:t>trimonio Telle</w:t>
      </w:r>
      <w:r>
        <w:t>l</w:t>
      </w:r>
      <w:r>
        <w:t>dín.</w:t>
      </w:r>
    </w:p>
    <w:p w:rsidR="00224567" w:rsidRDefault="00224567">
      <w:pPr>
        <w:widowControl w:val="0"/>
      </w:pPr>
      <w:r>
        <w:tab/>
        <w:t>Jaimes indicó que de los allegados a Telleldín conocía a su esposa Ana, los hijos de la p</w:t>
      </w:r>
      <w:r>
        <w:t>a</w:t>
      </w:r>
      <w:r>
        <w:t>reja, a un mecánico llamado Ariel, a Aleja</w:t>
      </w:r>
      <w:r>
        <w:t>n</w:t>
      </w:r>
      <w:r>
        <w:t>dro Monjo, a Eduardo Telleldín –a quien conoció con posterioridad a la dete</w:t>
      </w:r>
      <w:r>
        <w:t>n</w:t>
      </w:r>
      <w:r>
        <w:t>ción de su hermano-, al s</w:t>
      </w:r>
      <w:r>
        <w:t>o</w:t>
      </w:r>
      <w:r>
        <w:t>cio de Telleldín en el lavadero de nombre Luis y al encargado del lavadero de nombre Ca</w:t>
      </w:r>
      <w:r>
        <w:t>r</w:t>
      </w:r>
      <w:r>
        <w:t>los.</w:t>
      </w:r>
    </w:p>
    <w:p w:rsidR="00224567" w:rsidRDefault="00224567">
      <w:pPr>
        <w:widowControl w:val="0"/>
      </w:pPr>
      <w:r>
        <w:tab/>
        <w:t>Con respecto a Carlos Telleldín, e</w:t>
      </w:r>
      <w:r>
        <w:t>x</w:t>
      </w:r>
      <w:r>
        <w:t>presó que se dedicaba a la compraventa de automóviles y que en el lavadero trabajaban cuatro o cinco empleados, desconociendo si allí funcionaba un taller mecánico. R</w:t>
      </w:r>
      <w:r>
        <w:t>e</w:t>
      </w:r>
      <w:r>
        <w:t>cordó que el nombrado comentó que compraba automóviles s</w:t>
      </w:r>
      <w:r>
        <w:t>i</w:t>
      </w:r>
      <w:r>
        <w:t>niestrados en la firma “Alejandro Automotores”, los rep</w:t>
      </w:r>
      <w:r>
        <w:t>a</w:t>
      </w:r>
      <w:r>
        <w:t>raba y luego los vendía. Si bien dijo desconocer la mod</w:t>
      </w:r>
      <w:r>
        <w:t>a</w:t>
      </w:r>
      <w:r>
        <w:t>lidad de venta, indicó que en el l</w:t>
      </w:r>
      <w:r>
        <w:t>a</w:t>
      </w:r>
      <w:r>
        <w:t>vadero vio automóviles con oferta de venta y que sabía que Telleldín también p</w:t>
      </w:r>
      <w:r>
        <w:t>u</w:t>
      </w:r>
      <w:r>
        <w:t>blicaba avisos en los di</w:t>
      </w:r>
      <w:r>
        <w:t>a</w:t>
      </w:r>
      <w:r>
        <w:t>rios.</w:t>
      </w:r>
    </w:p>
    <w:p w:rsidR="00224567" w:rsidRDefault="00224567">
      <w:pPr>
        <w:widowControl w:val="0"/>
      </w:pPr>
      <w:r>
        <w:tab/>
        <w:t>Con relación a sus propias activid</w:t>
      </w:r>
      <w:r>
        <w:t>a</w:t>
      </w:r>
      <w:r>
        <w:t>des, explicó que desde hacía cinco meses trabajaba como visitador médico de la firma “Elea” y, con anterioridad, se había dedicado a la venta de ropa. Menci</w:t>
      </w:r>
      <w:r>
        <w:t>o</w:t>
      </w:r>
      <w:r>
        <w:t>nó que también había incursionado en la compraventa de rod</w:t>
      </w:r>
      <w:r>
        <w:t>a</w:t>
      </w:r>
      <w:r>
        <w:t>dos, actividad que incrementó cuando conoció a Carlos Alberto Telleldín, quien lo incentivó. Estimó que antes de conocerlo vendió dos vehículos y, luego de ello, otros cuatro, siendo que en ningún caso publicó avisos en los diarios, sino que concretó las ventas a través de conocidos o por medio de carteles.</w:t>
      </w:r>
    </w:p>
    <w:p w:rsidR="00224567" w:rsidRDefault="00224567">
      <w:pPr>
        <w:widowControl w:val="0"/>
      </w:pPr>
      <w:r>
        <w:tab/>
        <w:t>El encartado refirió que tenía conoc</w:t>
      </w:r>
      <w:r>
        <w:t>i</w:t>
      </w:r>
      <w:r>
        <w:t>mientos de chapa y pintura, motivo por el cual se encarg</w:t>
      </w:r>
      <w:r>
        <w:t>a</w:t>
      </w:r>
      <w:r>
        <w:t>ba personalmente de realizar arreglos menores en los aut</w:t>
      </w:r>
      <w:r>
        <w:t>o</w:t>
      </w:r>
      <w:r>
        <w:t>móviles, derivando los más importantes a un pintor llamado Osvaldo. Negó haber co</w:t>
      </w:r>
      <w:r>
        <w:t>m</w:t>
      </w:r>
      <w:r>
        <w:t>prado vehículos a Telleldín o haber realizado trab</w:t>
      </w:r>
      <w:r>
        <w:t>a</w:t>
      </w:r>
      <w:r>
        <w:t>jos para éste.</w:t>
      </w:r>
    </w:p>
    <w:p w:rsidR="00224567" w:rsidRDefault="00224567">
      <w:pPr>
        <w:widowControl w:val="0"/>
      </w:pPr>
      <w:r>
        <w:tab/>
        <w:t>Jaimes señaló que hacía seis o siete meses había vendido un automóvil Ford Sierra color ve</w:t>
      </w:r>
      <w:r>
        <w:t>r</w:t>
      </w:r>
      <w:r>
        <w:t>de, de su propiedad, a un remisero de la localidad de San Ju</w:t>
      </w:r>
      <w:r>
        <w:t>s</w:t>
      </w:r>
      <w:r>
        <w:t>to, sin recordar otros datos al respecto.</w:t>
      </w:r>
    </w:p>
    <w:p w:rsidR="00224567" w:rsidRDefault="00224567">
      <w:pPr>
        <w:widowControl w:val="0"/>
      </w:pPr>
      <w:r>
        <w:tab/>
        <w:t>Dijo haber ido al domicilio de Ca</w:t>
      </w:r>
      <w:r>
        <w:t>r</w:t>
      </w:r>
      <w:r>
        <w:t>los Telleldín en la calle República en varias oportunidades con su automóvil Ford Sierra y que, en una ocasión, el nombrado le solicitó que remolcara una cami</w:t>
      </w:r>
      <w:r>
        <w:t>o</w:t>
      </w:r>
      <w:r>
        <w:t>neta Trafic de color blanco hasta un taller de un mec</w:t>
      </w:r>
      <w:r>
        <w:t>á</w:t>
      </w:r>
      <w:r>
        <w:t>nico de la zona de San Andrés, a quien creía haber visto también en el dom</w:t>
      </w:r>
      <w:r>
        <w:t>i</w:t>
      </w:r>
      <w:r>
        <w:t>cilio de Telle</w:t>
      </w:r>
      <w:r>
        <w:t>l</w:t>
      </w:r>
      <w:r>
        <w:t>dín, enterándose luego por los diarios que su nombre era Ariel.</w:t>
      </w:r>
    </w:p>
    <w:p w:rsidR="00224567" w:rsidRDefault="00224567">
      <w:pPr>
        <w:widowControl w:val="0"/>
        <w:ind w:firstLine="2835"/>
      </w:pPr>
      <w:r>
        <w:t>Manifestó que, según dichos de Telle</w:t>
      </w:r>
      <w:r>
        <w:t>l</w:t>
      </w:r>
      <w:r>
        <w:t xml:space="preserve">dín, la camioneta no funcionaba, motivo por el cual la llevaba a reparar. Si bien Jaimes expresó que la pintura del rodado se hallaba en buen estado de conservación, no recordó otros detalles. Supuso que tenía patente, puesto que, según refirió, lo contrario le habría llamado la atención; indicó que desconocía si </w:t>
      </w:r>
      <w:smartTag w:uri="urn:schemas-microsoft-com:office:smarttags" w:element="PersonName">
        <w:smartTagPr>
          <w:attr w:name="ProductID" w:val="la Trafic"/>
        </w:smartTagPr>
        <w:r>
          <w:t>la Tr</w:t>
        </w:r>
        <w:r>
          <w:t>a</w:t>
        </w:r>
        <w:r>
          <w:t>fic</w:t>
        </w:r>
      </w:smartTag>
      <w:r>
        <w:t xml:space="preserve"> tenía motor.</w:t>
      </w:r>
    </w:p>
    <w:p w:rsidR="00224567" w:rsidRDefault="00224567">
      <w:pPr>
        <w:widowControl w:val="0"/>
      </w:pPr>
      <w:r>
        <w:tab/>
        <w:t>Comentó que, según creía, el remo</w:t>
      </w:r>
      <w:r>
        <w:t>l</w:t>
      </w:r>
      <w:r>
        <w:t>que lo había efectuado entre los meses de junio o julio, pr</w:t>
      </w:r>
      <w:r>
        <w:t>e</w:t>
      </w:r>
      <w:r>
        <w:t>cisando que fue antes del atentado. Asimismo, creyó reco</w:t>
      </w:r>
      <w:r>
        <w:t>r</w:t>
      </w:r>
      <w:r>
        <w:t>dar que se llevó a cabo un fin de semana en horas de la mañana o el mediodía, pudiendo tratarse de un sábado. I</w:t>
      </w:r>
      <w:r>
        <w:t>n</w:t>
      </w:r>
      <w:r>
        <w:t>formó que cuando llegó al domicilio de Telleldín la cami</w:t>
      </w:r>
      <w:r>
        <w:t>o</w:t>
      </w:r>
      <w:r>
        <w:t>neta estaba estacionada en la esquina y éste la unió m</w:t>
      </w:r>
      <w:r>
        <w:t>e</w:t>
      </w:r>
      <w:r>
        <w:t xml:space="preserve">diante una cuarta a su Ford Sierra, haciendo el trayecto hasta el taller en </w:t>
      </w:r>
      <w:smartTag w:uri="urn:schemas-microsoft-com:office:smarttags" w:element="PersonName">
        <w:smartTagPr>
          <w:attr w:name="ProductID" w:val="la Trafic"/>
        </w:smartTagPr>
        <w:r>
          <w:t>la Trafic</w:t>
        </w:r>
      </w:smartTag>
      <w:r>
        <w:t>, desde donde le indicaba el camino. Explicó que en el taller de Ariel desengancharon la camioneta, dejó la cuarta y se retiró. Apuntó que en ese lugar se encontraba el Ford Escort propiedad de Ana Boragni.</w:t>
      </w:r>
    </w:p>
    <w:p w:rsidR="00224567" w:rsidRDefault="00224567">
      <w:pPr>
        <w:widowControl w:val="0"/>
      </w:pPr>
      <w:r>
        <w:tab/>
        <w:t>Negó haber vendido esa camioneta a T</w:t>
      </w:r>
      <w:r>
        <w:t>e</w:t>
      </w:r>
      <w:r>
        <w:t>lleldín o haberla adquirido, sustraído o robado, como así también tener conocimiento del destino que Telleldín h</w:t>
      </w:r>
      <w:r>
        <w:t>a</w:t>
      </w:r>
      <w:r>
        <w:t xml:space="preserve">bría de darle. Asimismo, negó haber adulterado o regrabado la numeración de la carrocería o chasis de </w:t>
      </w:r>
      <w:smartTag w:uri="urn:schemas-microsoft-com:office:smarttags" w:element="PersonName">
        <w:smartTagPr>
          <w:attr w:name="ProductID" w:val="la Trafic"/>
        </w:smartTagPr>
        <w:r>
          <w:t>la Trafic</w:t>
        </w:r>
      </w:smartTag>
      <w:r>
        <w:t xml:space="preserve"> o a</w:t>
      </w:r>
      <w:r>
        <w:t>l</w:t>
      </w:r>
      <w:r>
        <w:t>gún otro trabajo sobre ella. Aclaró que Telleldín no le abonó suma de dinero alguna por el traslado, toda vez que se trató de un favor.</w:t>
      </w:r>
    </w:p>
    <w:p w:rsidR="00224567" w:rsidRDefault="00224567">
      <w:pPr>
        <w:widowControl w:val="0"/>
      </w:pPr>
      <w:r>
        <w:tab/>
        <w:t>Si bien en un primer momento Jaimes indicó que al taller de Ariel había concurrido previ</w:t>
      </w:r>
      <w:r>
        <w:t>a</w:t>
      </w:r>
      <w:r>
        <w:t>mente a presupuestar el arreglo de su vehículo Ford Sierra por recomendación de Telleldín, luego señaló que tal epis</w:t>
      </w:r>
      <w:r>
        <w:t>o</w:t>
      </w:r>
      <w:r>
        <w:t>dio ocurrió dos o tres días después del remolque de la cami</w:t>
      </w:r>
      <w:r>
        <w:t>o</w:t>
      </w:r>
      <w:r>
        <w:t>neta Trafic, oportunidad en la que no prestó ate</w:t>
      </w:r>
      <w:r>
        <w:t>n</w:t>
      </w:r>
      <w:r>
        <w:t>ción a la presencia o no de la camioneta en el l</w:t>
      </w:r>
      <w:r>
        <w:t>u</w:t>
      </w:r>
      <w:r>
        <w:t>gar. Puntualizó que si bien conocía al mecánico por haberlo visto en el dom</w:t>
      </w:r>
      <w:r>
        <w:t>i</w:t>
      </w:r>
      <w:r>
        <w:t>cilio de Telleldín, el día del remolque fue la primera oportunidad en que concurrió a su t</w:t>
      </w:r>
      <w:r>
        <w:t>a</w:t>
      </w:r>
      <w:r>
        <w:t>ller.</w:t>
      </w:r>
    </w:p>
    <w:p w:rsidR="00224567" w:rsidRDefault="00224567">
      <w:pPr>
        <w:widowControl w:val="0"/>
      </w:pPr>
      <w:r>
        <w:tab/>
        <w:t>Las manifestaciones vertidas por Ja</w:t>
      </w:r>
      <w:r>
        <w:t>i</w:t>
      </w:r>
      <w:r>
        <w:t>mes al ser careado con Carlos Alberto Telleldín a fs. 8603/8605 fueron volcadas junto con las declaraciones i</w:t>
      </w:r>
      <w:r>
        <w:t>n</w:t>
      </w:r>
      <w:r>
        <w:t>dagatorias de éste.</w:t>
      </w:r>
    </w:p>
    <w:p w:rsidR="00224567" w:rsidRDefault="00224567">
      <w:pPr>
        <w:widowControl w:val="0"/>
      </w:pPr>
    </w:p>
    <w:p w:rsidR="00224567" w:rsidRDefault="00224567">
      <w:pPr>
        <w:pStyle w:val="Ttulo3"/>
        <w:widowControl w:val="0"/>
      </w:pPr>
      <w:r>
        <w:t>D) Declaraciones indagatorias de Ariel Rodolfo Nitzc</w:t>
      </w:r>
      <w:r>
        <w:t>a</w:t>
      </w:r>
      <w:r>
        <w:t>ner.</w:t>
      </w:r>
    </w:p>
    <w:p w:rsidR="00224567" w:rsidRDefault="00224567">
      <w:pPr>
        <w:widowControl w:val="0"/>
      </w:pPr>
      <w:r>
        <w:tab/>
        <w:t>En ocasión del debate, de acuerdo con lo prescripto por el art. 378 del Código Proc</w:t>
      </w:r>
      <w:r>
        <w:t>e</w:t>
      </w:r>
      <w:r>
        <w:t xml:space="preserve">sal Penal de </w:t>
      </w:r>
      <w:smartTag w:uri="urn:schemas-microsoft-com:office:smarttags" w:element="PersonName">
        <w:smartTagPr>
          <w:attr w:name="ProductID" w:val="la Naci￳n"/>
        </w:smartTagPr>
        <w:r>
          <w:t>la Nación</w:t>
        </w:r>
      </w:smartTag>
      <w:r>
        <w:t>, Ariel Rodolfo Nitzcaner hizo uso de su derecho constitucional de negarse a declarar, motivo por el cual se procedió a la lectura de sus dichos vertidos ante el magistrado instructor (fs. 1418/1420, 7959/7970 y 12.916/12.922), así como también a los c</w:t>
      </w:r>
      <w:r>
        <w:t>a</w:t>
      </w:r>
      <w:r>
        <w:t>reos practicados con Hugo Antonio Pérez (fs. 8131/8133) y Carlos Alberto Telleldín (fs. 8128/8130). Durante el transcurso del ju</w:t>
      </w:r>
      <w:r>
        <w:t>i</w:t>
      </w:r>
      <w:r>
        <w:t>cio oral, el encartado prestó decl</w:t>
      </w:r>
      <w:r>
        <w:t>a</w:t>
      </w:r>
      <w:r>
        <w:t>ración indagatoria los días 20 de junio y 17 de julio, ambos de 2002. Asimismo, en la segunda oportunidad fue careado con el testigo Ca</w:t>
      </w:r>
      <w:r>
        <w:t>r</w:t>
      </w:r>
      <w:r>
        <w:t>los Osvaldo De Náp</w:t>
      </w:r>
      <w:r>
        <w:t>o</w:t>
      </w:r>
      <w:r>
        <w:t>li.</w:t>
      </w:r>
    </w:p>
    <w:p w:rsidR="00224567" w:rsidRDefault="00224567">
      <w:pPr>
        <w:widowControl w:val="0"/>
      </w:pPr>
      <w:r>
        <w:tab/>
        <w:t>Al prestar su primer declaración ante el juez federal, el 30 de julio de 1994 (fs. 1418/1420), dijo que era mecánico y se dedicaba a reparar chapa y pi</w:t>
      </w:r>
      <w:r>
        <w:t>n</w:t>
      </w:r>
      <w:r>
        <w:t>tura de vehíc</w:t>
      </w:r>
      <w:r>
        <w:t>u</w:t>
      </w:r>
      <w:r>
        <w:t>los en su taller sito en la calle Ituzaingó 2335. Refirió que un cliente suyo, a quien conocía como Carlos “Tellerin”, llevó una camioneta Renault Trafic a remolque, “con detalles de carr</w:t>
      </w:r>
      <w:r>
        <w:t>o</w:t>
      </w:r>
      <w:r>
        <w:t>cería”, para cambiarle el motor y “disfrazarla” para la venta, estimando que ello sucedió el primer sábado de julio de 1994, toda vez que el viernes 8 de julio la entregó arreglada a “Tellerin”, quien se hallaba con su esposa.</w:t>
      </w:r>
    </w:p>
    <w:p w:rsidR="00224567" w:rsidRDefault="00224567">
      <w:pPr>
        <w:widowControl w:val="0"/>
      </w:pPr>
      <w:r>
        <w:tab/>
        <w:t>El imputado recordó que la camioneta tenía el techo picado, medio lateral -de cada lado- de</w:t>
      </w:r>
      <w:r>
        <w:t>s</w:t>
      </w:r>
      <w:r>
        <w:t>pintado, “el motor sin batería”, ni carburador, c</w:t>
      </w:r>
      <w:r>
        <w:t>a</w:t>
      </w:r>
      <w:r>
        <w:t>recía de accesorios, a la vez que señaló que “Tellerin” llevó un motor para colocar -cuya procedencia Nitzcaner dijo desc</w:t>
      </w:r>
      <w:r>
        <w:t>o</w:t>
      </w:r>
      <w:r>
        <w:t>nocer- llevándose el anterior. Indicó que cambió la tapa del cilindro y del carburador, reemplazándolas por la de otros motores, y aclaró que no cambió la patente. Afirmó que en su taller no quedaron constancias del número de m</w:t>
      </w:r>
      <w:r>
        <w:t>o</w:t>
      </w:r>
      <w:r>
        <w:t>tor o pate</w:t>
      </w:r>
      <w:r>
        <w:t>n</w:t>
      </w:r>
      <w:r>
        <w:t xml:space="preserve">te de </w:t>
      </w:r>
      <w:smartTag w:uri="urn:schemas-microsoft-com:office:smarttags" w:element="PersonName">
        <w:smartTagPr>
          <w:attr w:name="ProductID" w:val="la Trafic"/>
        </w:smartTagPr>
        <w:r>
          <w:t>la Trafic</w:t>
        </w:r>
      </w:smartTag>
      <w:r>
        <w:t>, habiéndole exhibido “Tellerin” una fotocopia del tít</w:t>
      </w:r>
      <w:r>
        <w:t>u</w:t>
      </w:r>
      <w:r>
        <w:t>lo, diciéndole que se encontraba en trámite y que debía realizarse la verific</w:t>
      </w:r>
      <w:r>
        <w:t>a</w:t>
      </w:r>
      <w:r>
        <w:t>ción.</w:t>
      </w:r>
    </w:p>
    <w:p w:rsidR="00224567" w:rsidRDefault="00224567">
      <w:pPr>
        <w:widowControl w:val="0"/>
      </w:pPr>
      <w:r>
        <w:tab/>
        <w:t>Mencionó que, según comentara “Tell</w:t>
      </w:r>
      <w:r>
        <w:t>e</w:t>
      </w:r>
      <w:r>
        <w:t>rin”, había contratado la publicación del aviso de venta de la camioneta para el sábado 9 y el domingo 10 de julio de ese año. Indicó que vio a “Tellerin” el lunes 11 de j</w:t>
      </w:r>
      <w:r>
        <w:t>u</w:t>
      </w:r>
      <w:r>
        <w:t>lio a la noche, oportunidad en la que le abonó el saldo pendiente por el arreglo de la camioneta y le comentó que la había vendido. Al respecto, Nitzcaner recordó que “T</w:t>
      </w:r>
      <w:r>
        <w:t>e</w:t>
      </w:r>
      <w:r>
        <w:t>llerin” señaló que primero lo llamaron por teléfono y lu</w:t>
      </w:r>
      <w:r>
        <w:t>e</w:t>
      </w:r>
      <w:r>
        <w:t>go concurrieron dos personas de habla japonesa u otro idioma que desconocía a ver el vehículo, quienes “pele</w:t>
      </w:r>
      <w:r>
        <w:t>a</w:t>
      </w:r>
      <w:r>
        <w:t>ron” el precio y manifestaron que iría a comprarla la pe</w:t>
      </w:r>
      <w:r>
        <w:t>r</w:t>
      </w:r>
      <w:r>
        <w:t>sona que había llamado. Asimismo, refirió que la m</w:t>
      </w:r>
      <w:r>
        <w:t>u</w:t>
      </w:r>
      <w:r>
        <w:t>jer de “Tellerin” observó que los compradores querían la camion</w:t>
      </w:r>
      <w:r>
        <w:t>e</w:t>
      </w:r>
      <w:r>
        <w:t>ta para “a</w:t>
      </w:r>
      <w:r>
        <w:t>l</w:t>
      </w:r>
      <w:r>
        <w:t>go raro”, toda vez que no quisieron verificarla y se limitaron a revisa</w:t>
      </w:r>
      <w:r>
        <w:t>r</w:t>
      </w:r>
      <w:r>
        <w:t>la, suponiendo que podría tratarse de algún asunto vinculado con estupefacie</w:t>
      </w:r>
      <w:r>
        <w:t>n</w:t>
      </w:r>
      <w:r>
        <w:t>tes.</w:t>
      </w:r>
    </w:p>
    <w:p w:rsidR="00224567" w:rsidRDefault="00224567">
      <w:pPr>
        <w:pStyle w:val="Textoindependiente"/>
        <w:spacing w:line="600" w:lineRule="auto"/>
      </w:pPr>
      <w:r>
        <w:tab/>
      </w:r>
      <w:r>
        <w:tab/>
        <w:t>Con relación a su vínculo con “Tell</w:t>
      </w:r>
      <w:r>
        <w:t>e</w:t>
      </w:r>
      <w:r>
        <w:t>rin”, explicó que éste era agenciero de automóviles y lo conoció aproximadamente cinco meses antes, en tanto la m</w:t>
      </w:r>
      <w:r>
        <w:t>u</w:t>
      </w:r>
      <w:r>
        <w:t>jer del nombrado -Ana- ya había concurrido a su taller como clienta. Indicó que “T</w:t>
      </w:r>
      <w:r>
        <w:t>e</w:t>
      </w:r>
      <w:r>
        <w:t>llerin” le llevaba automóviles para armar, mostrándole siempre los papeles de los rod</w:t>
      </w:r>
      <w:r>
        <w:t>a</w:t>
      </w:r>
      <w:r>
        <w:t>dos.</w:t>
      </w:r>
    </w:p>
    <w:p w:rsidR="00224567" w:rsidRDefault="00224567">
      <w:pPr>
        <w:widowControl w:val="0"/>
      </w:pPr>
      <w:r>
        <w:tab/>
        <w:t>Refirió Nitzcaner que subalquil</w:t>
      </w:r>
      <w:r>
        <w:t>a</w:t>
      </w:r>
      <w:r>
        <w:t>ba su taller a un mecánico llamado Marcelo Fabián Jouce, trab</w:t>
      </w:r>
      <w:r>
        <w:t>a</w:t>
      </w:r>
      <w:r>
        <w:t>jando ambos en el lugar. Con respecto a la camioneta Tr</w:t>
      </w:r>
      <w:r>
        <w:t>a</w:t>
      </w:r>
      <w:r>
        <w:t>fic investigada en las presentes actuaciones, prec</w:t>
      </w:r>
      <w:r>
        <w:t>i</w:t>
      </w:r>
      <w:r>
        <w:t>só que si bien “Tellerin” era cliente suyo, Jouce lo ayudó a c</w:t>
      </w:r>
      <w:r>
        <w:t>o</w:t>
      </w:r>
      <w:r>
        <w:t>locar el motor; negó conocer a Claudio Guillermo C</w:t>
      </w:r>
      <w:r>
        <w:t>o</w:t>
      </w:r>
      <w:r>
        <w:t>toras.</w:t>
      </w:r>
    </w:p>
    <w:p w:rsidR="00224567" w:rsidRDefault="00224567">
      <w:pPr>
        <w:widowControl w:val="0"/>
      </w:pPr>
      <w:r>
        <w:tab/>
        <w:t>Por último, aclaró que su familia pe</w:t>
      </w:r>
      <w:r>
        <w:t>r</w:t>
      </w:r>
      <w:r>
        <w:t xml:space="preserve">tenecía a la colectividad judía, concurriendo su padre mensualmente a la sede de </w:t>
      </w:r>
      <w:smartTag w:uri="urn:schemas-microsoft-com:office:smarttags" w:element="PersonName">
        <w:smartTagPr>
          <w:attr w:name="ProductID" w:val="la A.M"/>
        </w:smartTagPr>
        <w:r>
          <w:t>la A.M</w:t>
        </w:r>
      </w:smartTag>
      <w:r>
        <w:t>.I.A. a efe</w:t>
      </w:r>
      <w:r>
        <w:t>c</w:t>
      </w:r>
      <w:r>
        <w:t>tos de abonar la cuota correspondiente al ceme</w:t>
      </w:r>
      <w:r>
        <w:t>n</w:t>
      </w:r>
      <w:r>
        <w:t>terio de sus abuelos.</w:t>
      </w:r>
    </w:p>
    <w:p w:rsidR="00224567" w:rsidRDefault="00224567">
      <w:pPr>
        <w:widowControl w:val="0"/>
      </w:pPr>
      <w:r>
        <w:tab/>
        <w:t>Al ampliar sus dichos el 17 de enero de 1995 (fs. 7959/7970), Nitzcaner manifestó que con</w:t>
      </w:r>
      <w:r>
        <w:t>o</w:t>
      </w:r>
      <w:r>
        <w:t>ció a Carlos Telleldín aproximadamente cinco meses antes del atentado a través de su esposa Ana María Bora</w:t>
      </w:r>
      <w:r>
        <w:t>g</w:t>
      </w:r>
      <w:r>
        <w:t>ni, a quien, a su vez, había conocido un mes antes a raíz de un despe</w:t>
      </w:r>
      <w:r>
        <w:t>r</w:t>
      </w:r>
      <w:r>
        <w:t>fecto mecánico en un autom</w:t>
      </w:r>
      <w:r>
        <w:t>ó</w:t>
      </w:r>
      <w:r>
        <w:t>vil Ford Escort propiedad de la nombrada, que acaeció en las inmediaciones de su t</w:t>
      </w:r>
      <w:r>
        <w:t>a</w:t>
      </w:r>
      <w:r>
        <w:t>ller.</w:t>
      </w:r>
    </w:p>
    <w:p w:rsidR="00224567" w:rsidRDefault="00224567">
      <w:pPr>
        <w:pStyle w:val="Sangradetextonormal"/>
        <w:widowControl w:val="0"/>
        <w:ind w:firstLine="0"/>
      </w:pPr>
      <w:r>
        <w:tab/>
        <w:t>Relató que el primer trabajo que ll</w:t>
      </w:r>
      <w:r>
        <w:t>e</w:t>
      </w:r>
      <w:r>
        <w:t>vó a cabo para Telleldín consistió en el armado de una cami</w:t>
      </w:r>
      <w:r>
        <w:t>o</w:t>
      </w:r>
      <w:r>
        <w:t>neta Trafic, habiéndole llevado el nombrado un motor de</w:t>
      </w:r>
      <w:r>
        <w:t>s</w:t>
      </w:r>
      <w:r>
        <w:t>armado y una carrocería del modelo referido. Explicó que en esa oportunidad se limitó a armar el motor con la tot</w:t>
      </w:r>
      <w:r>
        <w:t>a</w:t>
      </w:r>
      <w:r>
        <w:t>lidad de las piezas aportadas por su consorte de causa, quien le explicó que le encomendaba el tr</w:t>
      </w:r>
      <w:r>
        <w:t>a</w:t>
      </w:r>
      <w:r>
        <w:t>bajo por cuanto se encontraba disconforme con su anterior mecánico, apod</w:t>
      </w:r>
      <w:r>
        <w:t>a</w:t>
      </w:r>
      <w:r>
        <w:t>do “Guille”. Nitzcaner indicó que conoció a Claudio Gu</w:t>
      </w:r>
      <w:r>
        <w:t>i</w:t>
      </w:r>
      <w:r>
        <w:t>llermo Miguel Cotoras en ocasión de hallarse detenido en el Departamento Protección del Orden Constitucional, sup</w:t>
      </w:r>
      <w:r>
        <w:t>o</w:t>
      </w:r>
      <w:r>
        <w:t>niendo que se trataba del mecánico al</w:t>
      </w:r>
      <w:r>
        <w:t>u</w:t>
      </w:r>
      <w:r>
        <w:t>dido.</w:t>
      </w:r>
    </w:p>
    <w:p w:rsidR="00224567" w:rsidRDefault="00224567">
      <w:pPr>
        <w:pStyle w:val="Sangradetextonormal"/>
        <w:widowControl w:val="0"/>
        <w:ind w:firstLine="0"/>
      </w:pPr>
      <w:r>
        <w:tab/>
        <w:t>Continuó relatando que luego hizo otros trabajos por encargo de Telleldín, como ser el arm</w:t>
      </w:r>
      <w:r>
        <w:t>a</w:t>
      </w:r>
      <w:r>
        <w:t>do de un motor de un automóvil Renault 12 y refa</w:t>
      </w:r>
      <w:r>
        <w:t>c</w:t>
      </w:r>
      <w:r>
        <w:t>ciones en una camioneta Trafic larga. Con relación a la camioneta Renault Trafic investigada en esta causa, Nitzcaner man</w:t>
      </w:r>
      <w:r>
        <w:t>i</w:t>
      </w:r>
      <w:r>
        <w:t>festó que el sábado anterior al viernes 8 de julio de 1994, entre las 13.00 y las 13.30 horas, Telleldín la ll</w:t>
      </w:r>
      <w:r>
        <w:t>e</w:t>
      </w:r>
      <w:r>
        <w:t>vó a su taller, remolcada por un automóvil Ford Sierra c</w:t>
      </w:r>
      <w:r>
        <w:t>o</w:t>
      </w:r>
      <w:r>
        <w:t>lor verde, aparentemente propiedad de Miguel, un amigo del antes nombrado, visitador médico, quien ya había concurr</w:t>
      </w:r>
      <w:r>
        <w:t>i</w:t>
      </w:r>
      <w:r>
        <w:t>do con aquél al taller en varias oportunidades; no recordó si en aquella ocasión se encontraba presente también Ana Boragni.</w:t>
      </w:r>
    </w:p>
    <w:p w:rsidR="00224567" w:rsidRDefault="00224567">
      <w:pPr>
        <w:pStyle w:val="Sangra2detindependiente"/>
        <w:widowControl w:val="0"/>
        <w:spacing w:line="600" w:lineRule="auto"/>
        <w:ind w:firstLine="0"/>
      </w:pPr>
      <w:r>
        <w:rPr>
          <w:lang w:val="es-AR"/>
        </w:rPr>
        <w:tab/>
      </w:r>
      <w:r>
        <w:rPr>
          <w:lang w:val="es-AR"/>
        </w:rPr>
        <w:tab/>
      </w:r>
      <w:r>
        <w:rPr>
          <w:lang w:val="es-AR"/>
        </w:rPr>
        <w:tab/>
      </w:r>
      <w:r>
        <w:t>Reiteró que la camioneta Trafic no funcionaba, explicá</w:t>
      </w:r>
      <w:r>
        <w:t>n</w:t>
      </w:r>
      <w:r>
        <w:t>dole Telleldín que el motor se hallaba roto y que tenía uno entero para ponerle. Señaló que la carrocería era modelo 1991 y aseguró que la patente no era con la letra “B” ni “C”, creyendo recordar que era “X”. Relató que ese mismo sábado sacó el motor a pedido de T</w:t>
      </w:r>
      <w:r>
        <w:t>e</w:t>
      </w:r>
      <w:r>
        <w:t>lleldín y, conforme sus indicaciones, no lo desarmó, ret</w:t>
      </w:r>
      <w:r>
        <w:t>i</w:t>
      </w:r>
      <w:r>
        <w:t>rándolo éste y Ana Boragni el lunes a las 18.00 en un R</w:t>
      </w:r>
      <w:r>
        <w:t>e</w:t>
      </w:r>
      <w:r>
        <w:t>nault 19, color gris oscuro.</w:t>
      </w:r>
    </w:p>
    <w:p w:rsidR="00224567" w:rsidRDefault="00224567">
      <w:pPr>
        <w:widowControl w:val="0"/>
      </w:pPr>
      <w:r>
        <w:tab/>
        <w:t>Nitzcaner continuó su narración señ</w:t>
      </w:r>
      <w:r>
        <w:t>a</w:t>
      </w:r>
      <w:r>
        <w:t>lando que al mediodía del lunes siguiente, Hugo Antonio Pérez, a quien conocía como “Hugo el Cordobés”, conc</w:t>
      </w:r>
      <w:r>
        <w:t>u</w:t>
      </w:r>
      <w:r>
        <w:t>rrió al taller en el automóvil Escort de Ana B</w:t>
      </w:r>
      <w:r>
        <w:t>o</w:t>
      </w:r>
      <w:r>
        <w:t>ragni y le llevó el motor que debía colocar en la c</w:t>
      </w:r>
      <w:r>
        <w:t>a</w:t>
      </w:r>
      <w:r>
        <w:t>mioneta, junto con una fotocopia del formulario “</w:t>
      </w:r>
      <w:smartTag w:uri="urn:schemas-microsoft-com:office:smarttags" w:element="metricconverter">
        <w:smartTagPr>
          <w:attr w:name="ProductID" w:val="04”"/>
        </w:smartTagPr>
        <w:r>
          <w:t>04”</w:t>
        </w:r>
      </w:smartTag>
      <w:r>
        <w:t>, correspondiente a la baja del motor. Explicó que Pérez era amigo de Telleldín y B</w:t>
      </w:r>
      <w:r>
        <w:t>o</w:t>
      </w:r>
      <w:r>
        <w:t>ragni, solía acompañarlos en sus visitas al taller y res</w:t>
      </w:r>
      <w:r>
        <w:t>i</w:t>
      </w:r>
      <w:r>
        <w:t>día en el domicilio de é</w:t>
      </w:r>
      <w:r>
        <w:t>s</w:t>
      </w:r>
      <w:r>
        <w:t>tos.</w:t>
      </w:r>
    </w:p>
    <w:p w:rsidR="00224567" w:rsidRDefault="00224567">
      <w:pPr>
        <w:widowControl w:val="0"/>
      </w:pPr>
      <w:r>
        <w:tab/>
        <w:t>Sostuvo que omitió anotar en el l</w:t>
      </w:r>
      <w:r>
        <w:t>i</w:t>
      </w:r>
      <w:r>
        <w:t>bro del taller los datos relativos a la camioneta Tr</w:t>
      </w:r>
      <w:r>
        <w:t>a</w:t>
      </w:r>
      <w:r>
        <w:t>fic y del motor que le entregara Pérez, por cuanto Telleldín le h</w:t>
      </w:r>
      <w:r>
        <w:t>a</w:t>
      </w:r>
      <w:r>
        <w:t>bía dicho que la documentación original se hallaba en p</w:t>
      </w:r>
      <w:r>
        <w:t>o</w:t>
      </w:r>
      <w:r>
        <w:t>der de un gestor. Comentó que el nombrado le entregó una fotocopia del título del automotor, que le restituyó al momento en que Ana Boragni retiró el vehículo de su t</w:t>
      </w:r>
      <w:r>
        <w:t>a</w:t>
      </w:r>
      <w:r>
        <w:t>ller.</w:t>
      </w:r>
    </w:p>
    <w:p w:rsidR="00224567" w:rsidRDefault="00224567">
      <w:pPr>
        <w:pStyle w:val="Sangra3detindependiente"/>
        <w:widowControl w:val="0"/>
        <w:spacing w:line="600" w:lineRule="auto"/>
        <w:ind w:firstLine="0"/>
      </w:pPr>
      <w:r>
        <w:tab/>
        <w:t>Explicó que el motor entregado por P</w:t>
      </w:r>
      <w:r>
        <w:t>é</w:t>
      </w:r>
      <w:r>
        <w:t>rez era de 1400 cm³ y que no se trataba de un motor de los utilizados con equipos de gas, toda vez que estos prese</w:t>
      </w:r>
      <w:r>
        <w:t>n</w:t>
      </w:r>
      <w:r>
        <w:t>taban en el múltiple de admisión un racor conectado al diafragma del equipo de gas, que no advirtió. Asimismo, recordó que se encontraba ox</w:t>
      </w:r>
      <w:r>
        <w:t>i</w:t>
      </w:r>
      <w:r>
        <w:t>dado, como si hubiera estado a la intemperie una o dos semanas; no tenía grasa por fu</w:t>
      </w:r>
      <w:r>
        <w:t>e</w:t>
      </w:r>
      <w:r>
        <w:t>ra y, pese a estar “clavado” –sin bujías, distribuidor, alternador y filtro de aceite-, era totalmente recuper</w:t>
      </w:r>
      <w:r>
        <w:t>a</w:t>
      </w:r>
      <w:r>
        <w:t>ble.</w:t>
      </w:r>
    </w:p>
    <w:p w:rsidR="00224567" w:rsidRDefault="00224567">
      <w:pPr>
        <w:widowControl w:val="0"/>
      </w:pPr>
      <w:r>
        <w:tab/>
        <w:t>Aclaró que si bien en su primer decl</w:t>
      </w:r>
      <w:r>
        <w:t>a</w:t>
      </w:r>
      <w:r>
        <w:t>ración quedó consignado que le cambió la tapa de cili</w:t>
      </w:r>
      <w:r>
        <w:t>n</w:t>
      </w:r>
      <w:r>
        <w:t>dros, en realidad ello no fue necesario, limitándose a cambiar la junta de tapa de cilindros. Al respecto, pu</w:t>
      </w:r>
      <w:r>
        <w:t>n</w:t>
      </w:r>
      <w:r>
        <w:t>tualizó que al abrir el motor destrabó los pistones, ca</w:t>
      </w:r>
      <w:r>
        <w:t>m</w:t>
      </w:r>
      <w:r>
        <w:t>bió las juntas y el motor quedó en buen est</w:t>
      </w:r>
      <w:r>
        <w:t>a</w:t>
      </w:r>
      <w:r>
        <w:t>do.</w:t>
      </w:r>
    </w:p>
    <w:p w:rsidR="00224567" w:rsidRDefault="00224567">
      <w:pPr>
        <w:widowControl w:val="0"/>
      </w:pPr>
      <w:r>
        <w:tab/>
        <w:t>Al exhibírsele la foto obrante a fs. 239, Nitzcaner negó que el motor allí ilustrado se corre</w:t>
      </w:r>
      <w:r>
        <w:t>s</w:t>
      </w:r>
      <w:r>
        <w:t>pondiera con el que colocó en la camioneta Trafic. Basó tal afirmación en el hecho de que el motor de la fotogr</w:t>
      </w:r>
      <w:r>
        <w:t>a</w:t>
      </w:r>
      <w:r>
        <w:t>fía presentaba quemado el carburador, el múltiple de adm</w:t>
      </w:r>
      <w:r>
        <w:t>i</w:t>
      </w:r>
      <w:r>
        <w:t>sión y la tapa de válvula y que, de habe</w:t>
      </w:r>
      <w:r>
        <w:t>r</w:t>
      </w:r>
      <w:r>
        <w:t>se tratado de ese motor, tendría que haber hallado vestigios de aluminio d</w:t>
      </w:r>
      <w:r>
        <w:t>e</w:t>
      </w:r>
      <w:r>
        <w:t>rretido al abrirlo, extremo que no se verificó. Agregó que en la imagen se observaba el equipo de gas, en tanto que el motor al que hizo ref</w:t>
      </w:r>
      <w:r>
        <w:t>e</w:t>
      </w:r>
      <w:r>
        <w:t>rencia no era apto para tal uso, enfatizando que la bomba de nafta no podría haberse enco</w:t>
      </w:r>
      <w:r>
        <w:t>n</w:t>
      </w:r>
      <w:r>
        <w:t>trado en el buen estado en que se hallaba de haberse tr</w:t>
      </w:r>
      <w:r>
        <w:t>a</w:t>
      </w:r>
      <w:r>
        <w:t>tado de un motor ince</w:t>
      </w:r>
      <w:r>
        <w:t>n</w:t>
      </w:r>
      <w:r>
        <w:t>diado.</w:t>
      </w:r>
    </w:p>
    <w:p w:rsidR="00224567" w:rsidRDefault="00224567">
      <w:pPr>
        <w:widowControl w:val="0"/>
      </w:pPr>
      <w:r>
        <w:tab/>
        <w:t>Aclaró que al mencionar en su ant</w:t>
      </w:r>
      <w:r>
        <w:t>e</w:t>
      </w:r>
      <w:r>
        <w:t>rior decl</w:t>
      </w:r>
      <w:r>
        <w:t>a</w:t>
      </w:r>
      <w:r>
        <w:t xml:space="preserve">ración que debía “disfrazar” </w:t>
      </w:r>
      <w:smartTag w:uri="urn:schemas-microsoft-com:office:smarttags" w:element="PersonName">
        <w:smartTagPr>
          <w:attr w:name="ProductID" w:val="la Trafic"/>
        </w:smartTagPr>
        <w:r>
          <w:t>la Trafic</w:t>
        </w:r>
      </w:smartTag>
      <w:r>
        <w:t>, se refirió a que debía realizarle trabajos de chapa y pi</w:t>
      </w:r>
      <w:r>
        <w:t>n</w:t>
      </w:r>
      <w:r>
        <w:t>tura, a fin de disimular las partes picadas o en mal estado. Detalló que en el caso puntual se ll</w:t>
      </w:r>
      <w:r>
        <w:t>e</w:t>
      </w:r>
      <w:r>
        <w:t>varon a cabo trabajos en el marco del parabrisas y en el techo -donde presentaba una aboll</w:t>
      </w:r>
      <w:r>
        <w:t>a</w:t>
      </w:r>
      <w:r>
        <w:t>dura-, se pintaron los paneles del costado de donde par</w:t>
      </w:r>
      <w:r>
        <w:t>e</w:t>
      </w:r>
      <w:r>
        <w:t>cía que se había erradicado un logotipo y se quitó una b</w:t>
      </w:r>
      <w:r>
        <w:t>a</w:t>
      </w:r>
      <w:r>
        <w:t>gueta del portón trasero y un revestimiento de madera del inte</w:t>
      </w:r>
      <w:r>
        <w:t>r</w:t>
      </w:r>
      <w:r>
        <w:t>ior.</w:t>
      </w:r>
    </w:p>
    <w:p w:rsidR="00224567" w:rsidRDefault="00224567">
      <w:pPr>
        <w:widowControl w:val="0"/>
      </w:pPr>
      <w:r>
        <w:tab/>
        <w:t>Indicó Nitzcaner que para la ép</w:t>
      </w:r>
      <w:r>
        <w:t>o</w:t>
      </w:r>
      <w:r>
        <w:t xml:space="preserve">ca del armado de </w:t>
      </w:r>
      <w:smartTag w:uri="urn:schemas-microsoft-com:office:smarttags" w:element="PersonName">
        <w:smartTagPr>
          <w:attr w:name="ProductID" w:val="la Trafic"/>
        </w:smartTagPr>
        <w:r>
          <w:t>la Trafic</w:t>
        </w:r>
      </w:smartTag>
      <w:r>
        <w:t>, en su taller trabajaban Marcelo Jo</w:t>
      </w:r>
      <w:r>
        <w:t>u</w:t>
      </w:r>
      <w:r>
        <w:t xml:space="preserve">ce, Francisco Bonnefon y Pablo de </w:t>
      </w:r>
      <w:smartTag w:uri="urn:schemas-microsoft-com:office:smarttags" w:element="PersonName">
        <w:smartTagPr>
          <w:attr w:name="ProductID" w:val="la Cruz"/>
        </w:smartTagPr>
        <w:r>
          <w:t>la Cruz</w:t>
        </w:r>
      </w:smartTag>
      <w:r>
        <w:t>, habiendo col</w:t>
      </w:r>
      <w:r>
        <w:t>a</w:t>
      </w:r>
      <w:r>
        <w:t>borado el primero con la parte mecánica y el ú</w:t>
      </w:r>
      <w:r>
        <w:t>l</w:t>
      </w:r>
      <w:r>
        <w:t>timo con la pintura. Al respecto, precisó que los tr</w:t>
      </w:r>
      <w:r>
        <w:t>a</w:t>
      </w:r>
      <w:r>
        <w:t>bajos de pintura demandaron una semana, de lunes a viernes, en tanto el del motor, si bien era factible llevarlo a cabo en un solo día, fue realizado con tranquil</w:t>
      </w:r>
      <w:r>
        <w:t>i</w:t>
      </w:r>
      <w:r>
        <w:t>dad.</w:t>
      </w:r>
    </w:p>
    <w:p w:rsidR="00224567" w:rsidRDefault="00224567">
      <w:pPr>
        <w:widowControl w:val="0"/>
      </w:pPr>
      <w:r>
        <w:tab/>
        <w:t>Manifestó que el día martes o miérc</w:t>
      </w:r>
      <w:r>
        <w:t>o</w:t>
      </w:r>
      <w:r>
        <w:t>les Telleldín ll</w:t>
      </w:r>
      <w:r>
        <w:t>e</w:t>
      </w:r>
      <w:r>
        <w:t>vó los repuestos necesarios para el motor que debía colocar. O</w:t>
      </w:r>
      <w:r>
        <w:t>b</w:t>
      </w:r>
      <w:r>
        <w:t>servó que si bien usualmente era Ana Boragni quien se encargaba de alcanzarle los repuestos y darle las instrucciones para los rodados que debía rep</w:t>
      </w:r>
      <w:r>
        <w:t>a</w:t>
      </w:r>
      <w:r>
        <w:t xml:space="preserve">rar, en el caso de </w:t>
      </w:r>
      <w:smartTag w:uri="urn:schemas-microsoft-com:office:smarttags" w:element="PersonName">
        <w:smartTagPr>
          <w:attr w:name="ProductID" w:val="la Trafic"/>
        </w:smartTagPr>
        <w:r>
          <w:t>la Trafic</w:t>
        </w:r>
      </w:smartTag>
      <w:r>
        <w:t xml:space="preserve"> lo hizo el nombrado. Comentó que los repue</w:t>
      </w:r>
      <w:r>
        <w:t>s</w:t>
      </w:r>
      <w:r>
        <w:t>tos proporcionados por Telleldín eran usados y que los conseguía en un desarmadero, propiedad de una persona apodada “Cord</w:t>
      </w:r>
      <w:r>
        <w:t>o</w:t>
      </w:r>
      <w:r>
        <w:t>bés”.</w:t>
      </w:r>
    </w:p>
    <w:p w:rsidR="00224567" w:rsidRDefault="00224567">
      <w:pPr>
        <w:widowControl w:val="0"/>
      </w:pPr>
      <w:r>
        <w:tab/>
        <w:t>Expresó Nitzcaner que la camioneta e</w:t>
      </w:r>
      <w:r>
        <w:t>s</w:t>
      </w:r>
      <w:r>
        <w:t>tuvo lista el viernes 8 de julio, probándola Carlos T</w:t>
      </w:r>
      <w:r>
        <w:t>e</w:t>
      </w:r>
      <w:r>
        <w:t>lleldín y Ana Boragni a eso de las 20.00. Asimismo, reco</w:t>
      </w:r>
      <w:r>
        <w:t>r</w:t>
      </w:r>
      <w:r>
        <w:t>dó que le solicitaron dejarla allí hasta el día s</w:t>
      </w:r>
      <w:r>
        <w:t>i</w:t>
      </w:r>
      <w:r>
        <w:t>guiente, toda vez que no tenían dónde guardarla, retirándola fina</w:t>
      </w:r>
      <w:r>
        <w:t>l</w:t>
      </w:r>
      <w:r>
        <w:t>mente la nombrada el sábado 9 de julio, a las 11.00.</w:t>
      </w:r>
    </w:p>
    <w:p w:rsidR="00224567" w:rsidRDefault="00224567">
      <w:pPr>
        <w:widowControl w:val="0"/>
      </w:pPr>
      <w:r>
        <w:tab/>
        <w:t>En otro tramo de su declaración, el encartado refirió que Telleldín le había solic</w:t>
      </w:r>
      <w:r>
        <w:t>i</w:t>
      </w:r>
      <w:r>
        <w:t>tado que el trabajo estuviera listo para el día viernes 8 de julio a la mañana, oportunidad en la que se presentó en su t</w:t>
      </w:r>
      <w:r>
        <w:t>a</w:t>
      </w:r>
      <w:r>
        <w:t>ller junto con Ana Boragni y, toda vez que aún no había final</w:t>
      </w:r>
      <w:r>
        <w:t>i</w:t>
      </w:r>
      <w:r>
        <w:t>zado, le recriminó su incumplimiento y le comentó que h</w:t>
      </w:r>
      <w:r>
        <w:t>a</w:t>
      </w:r>
      <w:r>
        <w:t>bía encomendado la publicación del aviso de venta para el 9 y 10 de julio.</w:t>
      </w:r>
    </w:p>
    <w:p w:rsidR="00224567" w:rsidRDefault="00224567">
      <w:pPr>
        <w:widowControl w:val="0"/>
      </w:pPr>
      <w:r>
        <w:tab/>
        <w:t>Nitzcaner manifestó que por el trab</w:t>
      </w:r>
      <w:r>
        <w:t>a</w:t>
      </w:r>
      <w:r>
        <w:t xml:space="preserve">jo cobró </w:t>
      </w:r>
      <w:r>
        <w:rPr>
          <w:lang w:val="es-MX"/>
        </w:rPr>
        <w:t xml:space="preserve">$ </w:t>
      </w:r>
      <w:r>
        <w:t xml:space="preserve">850, correspondiendo </w:t>
      </w:r>
      <w:r>
        <w:rPr>
          <w:lang w:val="es-MX"/>
        </w:rPr>
        <w:t xml:space="preserve">$ </w:t>
      </w:r>
      <w:smartTag w:uri="urn:schemas-microsoft-com:office:smarttags" w:element="metricconverter">
        <w:smartTagPr>
          <w:attr w:name="ProductID" w:val="550 a"/>
        </w:smartTagPr>
        <w:r>
          <w:t>550 a</w:t>
        </w:r>
      </w:smartTag>
      <w:r>
        <w:t xml:space="preserve"> la pi</w:t>
      </w:r>
      <w:r>
        <w:t>n</w:t>
      </w:r>
      <w:r>
        <w:t>tura y el resto a la parte de mecánica. Detalló que del importe imputado al trabajo de pintura conservó un treinta por ciento, de</w:t>
      </w:r>
      <w:r>
        <w:t>s</w:t>
      </w:r>
      <w:r>
        <w:t xml:space="preserve">contando materiales, en tanto Pablo de </w:t>
      </w:r>
      <w:smartTag w:uri="urn:schemas-microsoft-com:office:smarttags" w:element="PersonName">
        <w:smartTagPr>
          <w:attr w:name="ProductID" w:val="la Cruz"/>
        </w:smartTagPr>
        <w:r>
          <w:t>la Cruz</w:t>
        </w:r>
      </w:smartTag>
      <w:r>
        <w:t xml:space="preserve"> obtuvo el resto; a su vez, lo percibido por el trabajo de mecánica realizado con Jouce se dividió en partes igu</w:t>
      </w:r>
      <w:r>
        <w:t>a</w:t>
      </w:r>
      <w:r>
        <w:t>les.</w:t>
      </w:r>
    </w:p>
    <w:p w:rsidR="00224567" w:rsidRDefault="00224567">
      <w:pPr>
        <w:widowControl w:val="0"/>
      </w:pPr>
      <w:r>
        <w:tab/>
        <w:t xml:space="preserve">Puntualizó que le fueron abonados </w:t>
      </w:r>
      <w:r>
        <w:rPr>
          <w:lang w:val="es-MX"/>
        </w:rPr>
        <w:t xml:space="preserve">$ </w:t>
      </w:r>
      <w:r>
        <w:t>650 el viernes 8 de julio y el saldo el lunes 11 en el d</w:t>
      </w:r>
      <w:r>
        <w:t>o</w:t>
      </w:r>
      <w:r>
        <w:t>micilio de Telleldín, una vez vendida la c</w:t>
      </w:r>
      <w:r>
        <w:t>a</w:t>
      </w:r>
      <w:r>
        <w:t>mioneta, según refiriera éste. Recordó que en esa última oportunidad T</w:t>
      </w:r>
      <w:r>
        <w:t>e</w:t>
      </w:r>
      <w:r>
        <w:t>lleldín comentó que la persona que había adquirido la c</w:t>
      </w:r>
      <w:r>
        <w:t>a</w:t>
      </w:r>
      <w:r>
        <w:t>mioneta era extraña, se hallaba disfrazada y la querían para algo r</w:t>
      </w:r>
      <w:r>
        <w:t>a</w:t>
      </w:r>
      <w:r>
        <w:t xml:space="preserve">ro, agregando que había vendido el rodado en </w:t>
      </w:r>
      <w:r>
        <w:rPr>
          <w:lang w:val="es-MX"/>
        </w:rPr>
        <w:t xml:space="preserve">$ </w:t>
      </w:r>
      <w:r>
        <w:t>11.500 y había llevado el dinero a la casa de su hermano por temor a que se lo r</w:t>
      </w:r>
      <w:r>
        <w:t>o</w:t>
      </w:r>
      <w:r>
        <w:t>baran.</w:t>
      </w:r>
    </w:p>
    <w:p w:rsidR="00224567" w:rsidRDefault="00224567">
      <w:pPr>
        <w:widowControl w:val="0"/>
      </w:pPr>
      <w:r>
        <w:tab/>
        <w:t>Precisó que esa fue la primera oc</w:t>
      </w:r>
      <w:r>
        <w:t>a</w:t>
      </w:r>
      <w:r>
        <w:t>sión en que Telleldín efectuó comentarios acerca de las ci</w:t>
      </w:r>
      <w:r>
        <w:t>r</w:t>
      </w:r>
      <w:r>
        <w:t>cunstancias que rodearon la venta de un vehículo r</w:t>
      </w:r>
      <w:r>
        <w:t>e</w:t>
      </w:r>
      <w:r>
        <w:t>parado por él, deduciendo que esas referencias realiz</w:t>
      </w:r>
      <w:r>
        <w:t>a</w:t>
      </w:r>
      <w:r>
        <w:t>das por el nombrado y Boragni tenían como finalidad que los record</w:t>
      </w:r>
      <w:r>
        <w:t>a</w:t>
      </w:r>
      <w:r>
        <w:t>ra.</w:t>
      </w:r>
    </w:p>
    <w:p w:rsidR="00224567" w:rsidRDefault="00224567">
      <w:pPr>
        <w:widowControl w:val="0"/>
      </w:pPr>
      <w:r>
        <w:tab/>
        <w:t>Asimismo, afirmó que luego de la e</w:t>
      </w:r>
      <w:r>
        <w:t>n</w:t>
      </w:r>
      <w:r>
        <w:t>trega de la camioneta Trafic vio a Telleldín en dos opo</w:t>
      </w:r>
      <w:r>
        <w:t>r</w:t>
      </w:r>
      <w:r>
        <w:t>tunidades, siendo una de ellas cuando le pidió un pres</w:t>
      </w:r>
      <w:r>
        <w:t>u</w:t>
      </w:r>
      <w:r>
        <w:t>puesto por el arreglo del automóvil Escort y la otra por la reparación de un vehículo Renault 19 que había sido chocado, lo que aconteció en la semana posterior a la e</w:t>
      </w:r>
      <w:r>
        <w:t>n</w:t>
      </w:r>
      <w:r>
        <w:t>trega de la c</w:t>
      </w:r>
      <w:r>
        <w:t>a</w:t>
      </w:r>
      <w:r>
        <w:t>mioneta y ya ocurrido el atentado.</w:t>
      </w:r>
    </w:p>
    <w:p w:rsidR="00224567" w:rsidRDefault="00224567">
      <w:pPr>
        <w:widowControl w:val="0"/>
      </w:pPr>
      <w:r>
        <w:tab/>
        <w:t>Señaló que en esas ocasiones Telle</w:t>
      </w:r>
      <w:r>
        <w:t>l</w:t>
      </w:r>
      <w:r>
        <w:t>dín y Boragni hicieron comentarios risueños ante la posibil</w:t>
      </w:r>
      <w:r>
        <w:t>i</w:t>
      </w:r>
      <w:r>
        <w:t>dad de que la camioneta utilizada en el atentado hubiera sido la que ellos vendieron y que el día en que Boragni recuperó su libertad le comentó telefónicamente que la c</w:t>
      </w:r>
      <w:r>
        <w:t>a</w:t>
      </w:r>
      <w:r>
        <w:t>mioneta usada en el atentado efectivamente fue la arregl</w:t>
      </w:r>
      <w:r>
        <w:t>a</w:t>
      </w:r>
      <w:r>
        <w:t>da en su t</w:t>
      </w:r>
      <w:r>
        <w:t>a</w:t>
      </w:r>
      <w:r>
        <w:t>ller.</w:t>
      </w:r>
    </w:p>
    <w:p w:rsidR="00224567" w:rsidRDefault="00224567">
      <w:pPr>
        <w:widowControl w:val="0"/>
      </w:pPr>
      <w:r>
        <w:tab/>
        <w:t>Finalmente, informó que hallándose d</w:t>
      </w:r>
      <w:r>
        <w:t>e</w:t>
      </w:r>
      <w:r>
        <w:t>tenido en el Departamento Protección del Orden Constit</w:t>
      </w:r>
      <w:r>
        <w:t>u</w:t>
      </w:r>
      <w:r>
        <w:t xml:space="preserve">cional, Carlos Telleldín le ofreció un automóvil Renault 12, modelo </w:t>
      </w:r>
      <w:smartTag w:uri="urn:schemas-microsoft-com:office:smarttags" w:element="metricconverter">
        <w:smartTagPr>
          <w:attr w:name="ProductID" w:val="1984, a"/>
        </w:smartTagPr>
        <w:r>
          <w:t>1984, a</w:t>
        </w:r>
      </w:smartTag>
      <w:r>
        <w:t xml:space="preserve"> cambio de que dijera que la camioneta Tr</w:t>
      </w:r>
      <w:r>
        <w:t>a</w:t>
      </w:r>
      <w:r>
        <w:t>fic arreglada era la quemada.</w:t>
      </w:r>
    </w:p>
    <w:p w:rsidR="00224567" w:rsidRDefault="00224567">
      <w:pPr>
        <w:widowControl w:val="0"/>
      </w:pPr>
      <w:r>
        <w:tab/>
        <w:t>Con relación a los dichos vert</w:t>
      </w:r>
      <w:r>
        <w:t>i</w:t>
      </w:r>
      <w:r>
        <w:t>dos por Ariel Rodolfo Nitzcaner en ocasión de ser careado con Hugo Antonio Pérez (fs. 8131/8133) y Carlos Alberto Telleldín (fs. 8128/8130), cabe remitirse a lo consignado en oport</w:t>
      </w:r>
      <w:r>
        <w:t>u</w:t>
      </w:r>
      <w:r>
        <w:t>nidad de relatar las declar</w:t>
      </w:r>
      <w:r>
        <w:t>a</w:t>
      </w:r>
      <w:r>
        <w:t>ciones de los dos últimos.</w:t>
      </w:r>
    </w:p>
    <w:p w:rsidR="00224567" w:rsidRDefault="00224567">
      <w:pPr>
        <w:widowControl w:val="0"/>
      </w:pPr>
      <w:r>
        <w:tab/>
        <w:t>Indagado nuevamente el 3 de julio de 1995 (fs. 12.916/12.922), indicó Nitzcaner que su taller se denominaba “Poleposition” y se encontraba en la calle Ituzaingó 2335 de Villa Maipú, provincia de Bu</w:t>
      </w:r>
      <w:r>
        <w:t>e</w:t>
      </w:r>
      <w:r>
        <w:t>nos Aires, habiendo alquilado el local desde fines del año 1993 hasta m</w:t>
      </w:r>
      <w:r>
        <w:t>a</w:t>
      </w:r>
      <w:r>
        <w:t>yo de 1995.</w:t>
      </w:r>
    </w:p>
    <w:p w:rsidR="00224567" w:rsidRDefault="00224567">
      <w:pPr>
        <w:widowControl w:val="0"/>
      </w:pPr>
      <w:r>
        <w:tab/>
        <w:t>Con relación a la carrocería de la c</w:t>
      </w:r>
      <w:r>
        <w:t>a</w:t>
      </w:r>
      <w:r>
        <w:t>mioneta llev</w:t>
      </w:r>
      <w:r>
        <w:t>a</w:t>
      </w:r>
      <w:r>
        <w:t xml:space="preserve">da por Carlos Telleldín el 2 de julio de </w:t>
      </w:r>
      <w:smartTag w:uri="urn:schemas-microsoft-com:office:smarttags" w:element="metricconverter">
        <w:smartTagPr>
          <w:attr w:name="ProductID" w:val="1994 a"/>
        </w:smartTagPr>
        <w:r>
          <w:t>1994 a</w:t>
        </w:r>
      </w:smartTag>
      <w:r>
        <w:t xml:space="preserve"> su taller, recordó que tenía lijados dos sectores en a</w:t>
      </w:r>
      <w:r>
        <w:t>m</w:t>
      </w:r>
      <w:r>
        <w:t>bos laterales, como si allí hubiera existido algún logot</w:t>
      </w:r>
      <w:r>
        <w:t>i</w:t>
      </w:r>
      <w:r>
        <w:t>po, pudiendo percibirse que se trataba de un dibujo que representaba medio disco y un r</w:t>
      </w:r>
      <w:r>
        <w:t>e</w:t>
      </w:r>
      <w:r>
        <w:t>cuadro con una leyenda en rojo. Asimismo, señaló que en la parte inferior de la puerta posterior trasera se advertía la presencia de un logotipo rojo y negro, igual al de los laterales, aunque de menor tamaño.</w:t>
      </w:r>
    </w:p>
    <w:p w:rsidR="00224567" w:rsidRDefault="00224567">
      <w:pPr>
        <w:widowControl w:val="0"/>
        <w:ind w:firstLine="2835"/>
      </w:pPr>
      <w:r>
        <w:t>Aclaró que la camioneta no tenía pue</w:t>
      </w:r>
      <w:r>
        <w:t>r</w:t>
      </w:r>
      <w:r>
        <w:t>tas laterales y la carroc</w:t>
      </w:r>
      <w:r>
        <w:t>e</w:t>
      </w:r>
      <w:r>
        <w:t>ría era color “blanco chapelco”, habiendo repintado las partes que se hall</w:t>
      </w:r>
      <w:r>
        <w:t>a</w:t>
      </w:r>
      <w:r>
        <w:t>ban pulidas con ese mismo color, con pintura marca “C</w:t>
      </w:r>
      <w:r>
        <w:t>o</w:t>
      </w:r>
      <w:r>
        <w:t>lorín”, notándose la diferencia entre la pintura orig</w:t>
      </w:r>
      <w:r>
        <w:t>i</w:t>
      </w:r>
      <w:r>
        <w:t>nal y esta última.</w:t>
      </w:r>
    </w:p>
    <w:p w:rsidR="00224567" w:rsidRDefault="00224567">
      <w:pPr>
        <w:widowControl w:val="0"/>
      </w:pPr>
      <w:r>
        <w:tab/>
        <w:t>En una fotocopia de una fotogr</w:t>
      </w:r>
      <w:r>
        <w:t>a</w:t>
      </w:r>
      <w:r>
        <w:t>fía que ilustraba una camioneta Renault Trafic mod</w:t>
      </w:r>
      <w:r>
        <w:t>e</w:t>
      </w:r>
      <w:r>
        <w:t>lo TA 12, luego de puntualizar que se trataba de un mod</w:t>
      </w:r>
      <w:r>
        <w:t>e</w:t>
      </w:r>
      <w:r>
        <w:t>lo distinto al que había arreglado, marcó como repintados los paneles later</w:t>
      </w:r>
      <w:r>
        <w:t>a</w:t>
      </w:r>
      <w:r>
        <w:t>les superiores, los laterales de cola, los laterales inf</w:t>
      </w:r>
      <w:r>
        <w:t>e</w:t>
      </w:r>
      <w:r>
        <w:t>riores de portones traseros, el techo de c</w:t>
      </w:r>
      <w:r>
        <w:t>a</w:t>
      </w:r>
      <w:r>
        <w:t>bina, el marco del parabrisas y una puntera derecha de zócalo trasero posterior o puntera de paragolpes tra</w:t>
      </w:r>
      <w:r>
        <w:t>s</w:t>
      </w:r>
      <w:r>
        <w:t>ero.</w:t>
      </w:r>
    </w:p>
    <w:p w:rsidR="00224567" w:rsidRDefault="00224567">
      <w:pPr>
        <w:widowControl w:val="0"/>
      </w:pPr>
      <w:r>
        <w:tab/>
        <w:t>Al exhibírsele una fotografía recon</w:t>
      </w:r>
      <w:r>
        <w:t>o</w:t>
      </w:r>
      <w:r>
        <w:t>ció la camioneta Renault Trafic que perteneciera a Pedro Eugenio Sarapura como la reparada en su t</w:t>
      </w:r>
      <w:r>
        <w:t>a</w:t>
      </w:r>
      <w:r>
        <w:t>ller. Puntualizó que la camioneta fotografiada no poseía los baguetones o paragolpes traseros, en tanto la que arr</w:t>
      </w:r>
      <w:r>
        <w:t>e</w:t>
      </w:r>
      <w:r>
        <w:t>gló sí tenía uno, aunque no recordó si pertenecía a la puerta trasera i</w:t>
      </w:r>
      <w:r>
        <w:t>z</w:t>
      </w:r>
      <w:r>
        <w:t>quierda o derecha; señaló que retiró el bagu</w:t>
      </w:r>
      <w:r>
        <w:t>e</w:t>
      </w:r>
      <w:r>
        <w:t>tón, tapó los agujeros y lo pintó.</w:t>
      </w:r>
    </w:p>
    <w:p w:rsidR="00224567" w:rsidRDefault="00224567">
      <w:pPr>
        <w:widowControl w:val="0"/>
      </w:pPr>
      <w:r>
        <w:tab/>
        <w:t>Asimismo, explicó que la camioneta presentaba una abolladura en el techo de la cabina del l</w:t>
      </w:r>
      <w:r>
        <w:t>a</w:t>
      </w:r>
      <w:r>
        <w:t>do de la ventanilla izquierda, como si el conductor hubi</w:t>
      </w:r>
      <w:r>
        <w:t>e</w:t>
      </w:r>
      <w:r>
        <w:t>ra querido pasar por un lugar más b</w:t>
      </w:r>
      <w:r>
        <w:t>a</w:t>
      </w:r>
      <w:r>
        <w:t>jo de lo que su altura le pe</w:t>
      </w:r>
      <w:r>
        <w:t>r</w:t>
      </w:r>
      <w:r>
        <w:t>mitía.</w:t>
      </w:r>
    </w:p>
    <w:p w:rsidR="00224567" w:rsidRDefault="00224567">
      <w:pPr>
        <w:widowControl w:val="0"/>
      </w:pPr>
      <w:r>
        <w:tab/>
        <w:t xml:space="preserve">Al observar la fotografía obrante a fs. 86 del Informe Preliminar de Bomberos de </w:t>
      </w:r>
      <w:smartTag w:uri="urn:schemas-microsoft-com:office:smarttags" w:element="PersonName">
        <w:smartTagPr>
          <w:attr w:name="ProductID" w:val="la Polic￭a Federal"/>
        </w:smartTagPr>
        <w:r>
          <w:t>la Policía Federal</w:t>
        </w:r>
      </w:smartTag>
      <w:r>
        <w:t xml:space="preserve"> Argentina, Nitzc</w:t>
      </w:r>
      <w:r>
        <w:t>a</w:t>
      </w:r>
      <w:r>
        <w:t xml:space="preserve">ner negó que las cubiertas marca “Fate AR </w:t>
      </w:r>
      <w:smartTag w:uri="urn:schemas-microsoft-com:office:smarttags" w:element="metricconverter">
        <w:smartTagPr>
          <w:attr w:name="ProductID" w:val="30”"/>
        </w:smartTagPr>
        <w:r>
          <w:t>30”</w:t>
        </w:r>
      </w:smartTag>
      <w:r>
        <w:t xml:space="preserve"> allí ilustradas se correspondieran con las que poseía la camioneta Renault Trafic arreglada, por cuanto ésta presentaba cuatro cubiertas marca “Wrangler”. Además, afirmó que retuvo una llave de ru</w:t>
      </w:r>
      <w:r>
        <w:t>e</w:t>
      </w:r>
      <w:r>
        <w:t xml:space="preserve">das de </w:t>
      </w:r>
      <w:smartTag w:uri="urn:schemas-microsoft-com:office:smarttags" w:element="PersonName">
        <w:smartTagPr>
          <w:attr w:name="ProductID" w:val="la Trafic"/>
        </w:smartTagPr>
        <w:r>
          <w:t>la Trafic</w:t>
        </w:r>
      </w:smartTag>
      <w:r>
        <w:t xml:space="preserve"> reparada, llamándole la atención que en el lugar de los hechos se hubiera secuestrado otra de similares caract</w:t>
      </w:r>
      <w:r>
        <w:t>e</w:t>
      </w:r>
      <w:r>
        <w:t>rísticas.</w:t>
      </w:r>
    </w:p>
    <w:p w:rsidR="00224567" w:rsidRDefault="00224567">
      <w:pPr>
        <w:widowControl w:val="0"/>
      </w:pPr>
      <w:r>
        <w:tab/>
        <w:t>Con respecto al motor que extrajo de la camioneta, el encartado refirió que giraba y le falt</w:t>
      </w:r>
      <w:r>
        <w:t>a</w:t>
      </w:r>
      <w:r>
        <w:t>ban todas las piezas básicas para poder arrancar, c</w:t>
      </w:r>
      <w:r>
        <w:t>o</w:t>
      </w:r>
      <w:r>
        <w:t>mo ser el carburador, el distribuidor, el burro de arranque, la batería y el alternador, careciendo asimismo de bujías. Recordó también que se trataba de un motor de 1400 cm³, naftero y que no pe</w:t>
      </w:r>
      <w:r>
        <w:t>r</w:t>
      </w:r>
      <w:r>
        <w:t>día aceite.</w:t>
      </w:r>
    </w:p>
    <w:p w:rsidR="00224567" w:rsidRDefault="00224567">
      <w:pPr>
        <w:widowControl w:val="0"/>
        <w:ind w:firstLine="2835"/>
      </w:pPr>
      <w:r>
        <w:t>Manifestó que, al advertir que gir</w:t>
      </w:r>
      <w:r>
        <w:t>a</w:t>
      </w:r>
      <w:r>
        <w:t>ba, le propuso a Telleldín repararlo, respo</w:t>
      </w:r>
      <w:r>
        <w:t>n</w:t>
      </w:r>
      <w:r>
        <w:t>diéndole éste que su intención era colocar otro motor, que ya había comenz</w:t>
      </w:r>
      <w:r>
        <w:t>a</w:t>
      </w:r>
      <w:r>
        <w:t>do los trámites para regularizar la situación y le urgía publicarla a la venta, queriendo que la tuviera lista p</w:t>
      </w:r>
      <w:r>
        <w:t>a</w:t>
      </w:r>
      <w:r>
        <w:t>ra el día viernes al mediodía a fin de llevar a cabo la ver</w:t>
      </w:r>
      <w:r>
        <w:t>i</w:t>
      </w:r>
      <w:r>
        <w:t>ficación del rodado. Nitzcaner dedujo que su coimputado quitó del motor las piezas básicas para su funcion</w:t>
      </w:r>
      <w:r>
        <w:t>a</w:t>
      </w:r>
      <w:r>
        <w:t>miento, a fin de que colocara en la camioneta el motor que dese</w:t>
      </w:r>
      <w:r>
        <w:t>a</w:t>
      </w:r>
      <w:r>
        <w:t>ba.</w:t>
      </w:r>
    </w:p>
    <w:p w:rsidR="00224567" w:rsidRDefault="00224567">
      <w:pPr>
        <w:widowControl w:val="0"/>
      </w:pPr>
      <w:r>
        <w:tab/>
        <w:t xml:space="preserve">Por otra parte, el acusado manifestó que el lunes a las 12.00, Hugo Antonio Pérez le llevó un motor para que colocara en </w:t>
      </w:r>
      <w:smartTag w:uri="urn:schemas-microsoft-com:office:smarttags" w:element="PersonName">
        <w:smartTagPr>
          <w:attr w:name="ProductID" w:val="la Trafic"/>
        </w:smartTagPr>
        <w:r>
          <w:t>la Trafic</w:t>
        </w:r>
      </w:smartTag>
      <w:r>
        <w:t>, el que estaba “cl</w:t>
      </w:r>
      <w:r>
        <w:t>a</w:t>
      </w:r>
      <w:r>
        <w:t>vado” (sic), oxid</w:t>
      </w:r>
      <w:r>
        <w:t>a</w:t>
      </w:r>
      <w:r>
        <w:t>do, como si hubiera estado seis o siete meses a la intemperie, calificándolo como un t</w:t>
      </w:r>
      <w:r>
        <w:t>í</w:t>
      </w:r>
      <w:r>
        <w:t>pico motor de desarmadero. Afirmó que no se hall</w:t>
      </w:r>
      <w:r>
        <w:t>a</w:t>
      </w:r>
      <w:r>
        <w:t>ba quemado, toda vez que las partes de aleación livi</w:t>
      </w:r>
      <w:r>
        <w:t>a</w:t>
      </w:r>
      <w:r>
        <w:t>na se encontraban enteras y no presentaban daños ni dilatación por haber sido e</w:t>
      </w:r>
      <w:r>
        <w:t>x</w:t>
      </w:r>
      <w:r>
        <w:t>puestas a altas temperat</w:t>
      </w:r>
      <w:r>
        <w:t>u</w:t>
      </w:r>
      <w:r>
        <w:t>ras.</w:t>
      </w:r>
    </w:p>
    <w:p w:rsidR="00224567" w:rsidRDefault="00224567">
      <w:pPr>
        <w:widowControl w:val="0"/>
      </w:pPr>
      <w:r>
        <w:tab/>
        <w:t>Remarcó que, en efecto, las juntas y retenes del motor no estaban quemados, sino en perfecto estado. Explicó que ante el calor las piezas se dilatan, los tornillos que las sostienen se estiran y, al enfria</w:t>
      </w:r>
      <w:r>
        <w:t>r</w:t>
      </w:r>
      <w:r>
        <w:t>se, las primeras vuelven a su posición original, pero no así los segundos, que al ser de acero qu</w:t>
      </w:r>
      <w:r>
        <w:t>e</w:t>
      </w:r>
      <w:r>
        <w:t>dan estirados. El imputado descartó que el óxido que pr</w:t>
      </w:r>
      <w:r>
        <w:t>e</w:t>
      </w:r>
      <w:r>
        <w:t>sentaba el motor en cuestión se debiera a la acción i</w:t>
      </w:r>
      <w:r>
        <w:t>g</w:t>
      </w:r>
      <w:r>
        <w:t>nífuga, toda vez que los tornillos no se hallaban estirados. Ahondó en la explic</w:t>
      </w:r>
      <w:r>
        <w:t>a</w:t>
      </w:r>
      <w:r>
        <w:t>ción señalando que cuando el óxido era originado por la acción inte</w:t>
      </w:r>
      <w:r>
        <w:t>n</w:t>
      </w:r>
      <w:r>
        <w:t>sa del fuego, quemaba la grasa que lo cubría y no resultaba fácil de sacar, al contrario de lo que suc</w:t>
      </w:r>
      <w:r>
        <w:t>e</w:t>
      </w:r>
      <w:r>
        <w:t>día con el óxido producido por haber estado a la intemp</w:t>
      </w:r>
      <w:r>
        <w:t>e</w:t>
      </w:r>
      <w:r>
        <w:t>rie. Agregó que el motor tenía la bomba de nafta, la que se debería haber quemado en caso de incendio, y que el múltiple de admisión no presentaba vestigios de aluminio derr</w:t>
      </w:r>
      <w:r>
        <w:t>e</w:t>
      </w:r>
      <w:r>
        <w:t>tido.</w:t>
      </w:r>
    </w:p>
    <w:p w:rsidR="00224567" w:rsidRDefault="00224567">
      <w:pPr>
        <w:widowControl w:val="0"/>
      </w:pPr>
      <w:r>
        <w:tab/>
        <w:t>Además, acotó que la placa y disco de embrague eran marca “Wobron”, aunque esas piezas no eran las originales de fábrica de Renault. También memoró que debajo del múltiple de escape, en el cilindro número uno, se encontraba una sold</w:t>
      </w:r>
      <w:r>
        <w:t>a</w:t>
      </w:r>
      <w:r>
        <w:t>dura, como si una biela se hubiera salido de lugar, y que el tornillo superior de la vuelta de caja era una varilla roscada de un la</w:t>
      </w:r>
      <w:r>
        <w:t>r</w:t>
      </w:r>
      <w:r>
        <w:t xml:space="preserve">go aproximado de </w:t>
      </w:r>
      <w:smartTag w:uri="urn:schemas-microsoft-com:office:smarttags" w:element="metricconverter">
        <w:smartTagPr>
          <w:attr w:name="ProductID" w:val="15 cm"/>
        </w:smartTagPr>
        <w:r>
          <w:t>15 cm</w:t>
        </w:r>
      </w:smartTag>
      <w:r>
        <w:t>, no original de fábrica. Añadió que la camioneta era de embrague a cable, sistema que se empezó a utilizar en el año 1990.</w:t>
      </w:r>
    </w:p>
    <w:p w:rsidR="00224567" w:rsidRDefault="00224567">
      <w:pPr>
        <w:widowControl w:val="0"/>
      </w:pPr>
      <w:r>
        <w:tab/>
        <w:t>Finalmente, indicó que el motor entr</w:t>
      </w:r>
      <w:r>
        <w:t>e</w:t>
      </w:r>
      <w:r>
        <w:t>gado por Hugo Antonio Pérez no presentaba or</w:t>
      </w:r>
      <w:r>
        <w:t>i</w:t>
      </w:r>
      <w:r>
        <w:t>ficio alguno que hiciera presuponer que había funcionado a gas, tran</w:t>
      </w:r>
      <w:r>
        <w:t>s</w:t>
      </w:r>
      <w:r>
        <w:t>formándose luego en na</w:t>
      </w:r>
      <w:r>
        <w:t>f</w:t>
      </w:r>
      <w:r>
        <w:t>tero.</w:t>
      </w:r>
    </w:p>
    <w:p w:rsidR="00224567" w:rsidRDefault="00224567">
      <w:pPr>
        <w:widowControl w:val="0"/>
      </w:pPr>
      <w:r>
        <w:tab/>
        <w:t>Recordó Nitzcaner que mientras se h</w:t>
      </w:r>
      <w:r>
        <w:t>a</w:t>
      </w:r>
      <w:r>
        <w:t xml:space="preserve">llaba arreglando </w:t>
      </w:r>
      <w:smartTag w:uri="urn:schemas-microsoft-com:office:smarttags" w:element="PersonName">
        <w:smartTagPr>
          <w:attr w:name="ProductID" w:val="la Trafic"/>
        </w:smartTagPr>
        <w:r>
          <w:t>la Trafic</w:t>
        </w:r>
      </w:smartTag>
      <w:r>
        <w:t xml:space="preserve">, Telleldín se presentó en su taller con una persona que tenía una pierna enyesada y tripulaba un Renault Fuego GTA de color rojo, refiriendo el primero que se trataba de personal policial de </w:t>
      </w:r>
      <w:smartTag w:uri="urn:schemas-microsoft-com:office:smarttags" w:element="PersonName">
        <w:smartTagPr>
          <w:attr w:name="ProductID" w:val="la Brigada"/>
        </w:smartTagPr>
        <w:r>
          <w:t>la Br</w:t>
        </w:r>
        <w:r>
          <w:t>i</w:t>
        </w:r>
        <w:r>
          <w:t>gada</w:t>
        </w:r>
      </w:smartTag>
      <w:r>
        <w:t xml:space="preserve"> de Vicente López. Agregó que en otra oportun</w:t>
      </w:r>
      <w:r>
        <w:t>i</w:t>
      </w:r>
      <w:r>
        <w:t>dad vio a la persona sindicada como policía en la puerta del dom</w:t>
      </w:r>
      <w:r>
        <w:t>i</w:t>
      </w:r>
      <w:r>
        <w:t>cilio de Telle</w:t>
      </w:r>
      <w:r>
        <w:t>l</w:t>
      </w:r>
      <w:r>
        <w:t>dín.</w:t>
      </w:r>
    </w:p>
    <w:p w:rsidR="00224567" w:rsidRDefault="00224567">
      <w:pPr>
        <w:pStyle w:val="Textoindependiente"/>
        <w:spacing w:line="600" w:lineRule="auto"/>
      </w:pPr>
      <w:r>
        <w:tab/>
      </w:r>
      <w:r>
        <w:tab/>
        <w:t>El 20 de junio de 2002, Ariel Rodolfo Nitzcaner prestó declaración indagatoria en la audie</w:t>
      </w:r>
      <w:r>
        <w:t>n</w:t>
      </w:r>
      <w:r>
        <w:t>cia de debate a efectos de realizar ciertas aclaraci</w:t>
      </w:r>
      <w:r>
        <w:t>o</w:t>
      </w:r>
      <w:r>
        <w:t>nes.</w:t>
      </w:r>
    </w:p>
    <w:p w:rsidR="00224567" w:rsidRDefault="00224567">
      <w:pPr>
        <w:widowControl w:val="0"/>
      </w:pPr>
      <w:r>
        <w:tab/>
        <w:t>En ese sentido, relató que en 1995 ó 1996 r</w:t>
      </w:r>
      <w:r>
        <w:t>e</w:t>
      </w:r>
      <w:r>
        <w:t>cibió una llamada de los fiscales de la causa para avisarle que a media mañana concurrirían a su domicilio, aunque no recordó puntualmente qué le manife</w:t>
      </w:r>
      <w:r>
        <w:t>s</w:t>
      </w:r>
      <w:r>
        <w:t>taron. En la ocasión, adunó, su madre preparó empanadas y también se encontraba presente su hija, que para esa época contaba con 5 ó 6 años de edad. Puntualizó que conversaron sobre el estado del motor y un revestimiento que tenía la cami</w:t>
      </w:r>
      <w:r>
        <w:t>o</w:t>
      </w:r>
      <w:r>
        <w:t>neta -que acreditaría que carecía de puerta lateral- e i</w:t>
      </w:r>
      <w:r>
        <w:t>n</w:t>
      </w:r>
      <w:r>
        <w:t>dicó que le explicaron que la reunión se hacía en su casa “para adela</w:t>
      </w:r>
      <w:r>
        <w:t>n</w:t>
      </w:r>
      <w:r>
        <w:t>tar”.</w:t>
      </w:r>
    </w:p>
    <w:p w:rsidR="00224567" w:rsidRDefault="00224567">
      <w:pPr>
        <w:widowControl w:val="0"/>
      </w:pPr>
      <w:r>
        <w:tab/>
        <w:t>Especificó que en la delegación fed</w:t>
      </w:r>
      <w:r>
        <w:t>e</w:t>
      </w:r>
      <w:r>
        <w:t>ral de San Martín sufrió apremios ilegales o tortura, ap</w:t>
      </w:r>
      <w:r>
        <w:t>a</w:t>
      </w:r>
      <w:r>
        <w:t>rejándole un problema de pánico, pero para ese m</w:t>
      </w:r>
      <w:r>
        <w:t>o</w:t>
      </w:r>
      <w:r>
        <w:t>mento ya se encontraba bajo tr</w:t>
      </w:r>
      <w:r>
        <w:t>a</w:t>
      </w:r>
      <w:r>
        <w:t>tamiento psiquiátrico, medicado y en perfecto estado de salud. Incluso, apuntó, solía ir a di</w:t>
      </w:r>
      <w:r>
        <w:t>a</w:t>
      </w:r>
      <w:r>
        <w:t>rio al juzgado instructor, para, por ejemplo, reconocer fotografías, labrándose actas en casi todas las oportun</w:t>
      </w:r>
      <w:r>
        <w:t>i</w:t>
      </w:r>
      <w:r>
        <w:t>dades, en las que se encontraba presente, cuando fi</w:t>
      </w:r>
      <w:r>
        <w:t>r</w:t>
      </w:r>
      <w:r>
        <w:t>maba, su abogado. Añadió que era éste quien, en todas las oc</w:t>
      </w:r>
      <w:r>
        <w:t>a</w:t>
      </w:r>
      <w:r>
        <w:t>siones, le avisaba que debía co</w:t>
      </w:r>
      <w:r>
        <w:t>n</w:t>
      </w:r>
      <w:r>
        <w:t>currir al juzgado.</w:t>
      </w:r>
    </w:p>
    <w:p w:rsidR="00224567" w:rsidRDefault="00224567">
      <w:pPr>
        <w:widowControl w:val="0"/>
      </w:pPr>
      <w:r>
        <w:tab/>
        <w:t>Sin embargo, en otro pasaje, el enca</w:t>
      </w:r>
      <w:r>
        <w:t>r</w:t>
      </w:r>
      <w:r>
        <w:t>tado refirió que desde que recuperó su libertad hasta 1996, aproximadamente, concurría al juzgado alrededor de dos o tres veces por mes.</w:t>
      </w:r>
    </w:p>
    <w:p w:rsidR="00224567" w:rsidRDefault="00224567">
      <w:pPr>
        <w:widowControl w:val="0"/>
      </w:pPr>
      <w:r>
        <w:tab/>
        <w:t>Agregó que al día siguiente del e</w:t>
      </w:r>
      <w:r>
        <w:t>n</w:t>
      </w:r>
      <w:r>
        <w:t>cuentro con los fiscales lo fue a buscar el aut</w:t>
      </w:r>
      <w:r>
        <w:t>o</w:t>
      </w:r>
      <w:r>
        <w:t>móvil del Dr. Mullen, un Falcon verde con chofer, para tra</w:t>
      </w:r>
      <w:r>
        <w:t>s</w:t>
      </w:r>
      <w:r>
        <w:t>ladarlo a la fiscalía, siendo la única vez que concurrió a esa d</w:t>
      </w:r>
      <w:r>
        <w:t>e</w:t>
      </w:r>
      <w:r>
        <w:t>pendencia. Allí, relató, debieron esperar a que se fuera gente del juzgado, almorzaron y, después del mediodía, h</w:t>
      </w:r>
      <w:r>
        <w:t>a</w:t>
      </w:r>
      <w:r>
        <w:t>cia las 14.30 ó 15.00, concurrieron al juzgado en el Pal</w:t>
      </w:r>
      <w:r>
        <w:t>a</w:t>
      </w:r>
      <w:r>
        <w:t>cio de Tribunales, donde prestó d</w:t>
      </w:r>
      <w:r>
        <w:t>e</w:t>
      </w:r>
      <w:r>
        <w:t>claración indagatoria en presencia de su abogado, apo</w:t>
      </w:r>
      <w:r>
        <w:t>r</w:t>
      </w:r>
      <w:r>
        <w:t>tando datos novedosos, que se abstuvo de pu</w:t>
      </w:r>
      <w:r>
        <w:t>n</w:t>
      </w:r>
      <w:r>
        <w:t>tualizar.</w:t>
      </w:r>
    </w:p>
    <w:p w:rsidR="00224567" w:rsidRDefault="00224567">
      <w:pPr>
        <w:widowControl w:val="0"/>
      </w:pPr>
      <w:r>
        <w:tab/>
        <w:t>No obstante, señaló, se le indicó que declarara que tuvo relaciones sexuales con Ana María Bor</w:t>
      </w:r>
      <w:r>
        <w:t>a</w:t>
      </w:r>
      <w:r>
        <w:t>gni, lo que no era su deseo expresar, toda vez que tenía novia. Aclaró que para la fiscalía, conforme lo manifest</w:t>
      </w:r>
      <w:r>
        <w:t>a</w:t>
      </w:r>
      <w:r>
        <w:t>do por Barbaccia, Mullen o un s</w:t>
      </w:r>
      <w:r>
        <w:t>e</w:t>
      </w:r>
      <w:r>
        <w:t>cretario, el hecho de que una mujer lo sedujera podía trata</w:t>
      </w:r>
      <w:r>
        <w:t>r</w:t>
      </w:r>
      <w:r>
        <w:t xml:space="preserve">se de un </w:t>
      </w:r>
      <w:r>
        <w:rPr>
          <w:u w:val="single"/>
        </w:rPr>
        <w:t>modus operandi</w:t>
      </w:r>
      <w:r>
        <w:t xml:space="preserve"> del terrorismo para captarlo para algún acto de esa índole y por eso resultaba importante exterioriza</w:t>
      </w:r>
      <w:r>
        <w:t>r</w:t>
      </w:r>
      <w:r>
        <w:t>lo.</w:t>
      </w:r>
    </w:p>
    <w:p w:rsidR="00224567" w:rsidRDefault="00224567">
      <w:pPr>
        <w:widowControl w:val="0"/>
      </w:pPr>
      <w:r>
        <w:tab/>
        <w:t>Le dijeron, aseveró el acusado, que mientras más colaboraba mejor era y le prometieron que a su respecto no se llegaría a juicio oral y se iría “li</w:t>
      </w:r>
      <w:r>
        <w:t>m</w:t>
      </w:r>
      <w:r>
        <w:t>pio”, sin antecedentes. Indicó que tal promesa era en vi</w:t>
      </w:r>
      <w:r>
        <w:t>r</w:t>
      </w:r>
      <w:r>
        <w:t>tud de lo que aportaba en sus declaraciones y señaló que no le brindaron explicación alguna por ese i</w:t>
      </w:r>
      <w:r>
        <w:t>n</w:t>
      </w:r>
      <w:r>
        <w:t>cumplimiento. No recordó con precisión cuándo le ofr</w:t>
      </w:r>
      <w:r>
        <w:t>e</w:t>
      </w:r>
      <w:r>
        <w:t>cieron no llegar a juicio a cambio de su cooperación, aunque lo ubicó en f</w:t>
      </w:r>
      <w:r>
        <w:t>e</w:t>
      </w:r>
      <w:r>
        <w:t>cha cercana a su segunda indagat</w:t>
      </w:r>
      <w:r>
        <w:t>o</w:t>
      </w:r>
      <w:r>
        <w:t>ria.</w:t>
      </w:r>
    </w:p>
    <w:p w:rsidR="00224567" w:rsidRDefault="00224567">
      <w:pPr>
        <w:widowControl w:val="0"/>
      </w:pPr>
      <w:r>
        <w:tab/>
        <w:t>Asimismo, refirió que al momento de su declaración, su abogado -que es su hermano- descon</w:t>
      </w:r>
      <w:r>
        <w:t>o</w:t>
      </w:r>
      <w:r>
        <w:t>cía que había tenido lugar una reunión con los fiscales en su c</w:t>
      </w:r>
      <w:r>
        <w:t>a</w:t>
      </w:r>
      <w:r>
        <w:t>sa, habiéndoselo comentado después. En otro tramo, el ac</w:t>
      </w:r>
      <w:r>
        <w:t>u</w:t>
      </w:r>
      <w:r>
        <w:t>sado indicó que entre el momento en que los fiscales lo llamaron y el que arribaron a su dom</w:t>
      </w:r>
      <w:r>
        <w:t>i</w:t>
      </w:r>
      <w:r>
        <w:t>cilio no se contactó con su hermano, porque estaba en los tribunales de San Martín, tenía el teléfono celular apagado y le disgustaba dejar mensajes.</w:t>
      </w:r>
    </w:p>
    <w:p w:rsidR="00224567" w:rsidRDefault="00224567">
      <w:pPr>
        <w:widowControl w:val="0"/>
      </w:pPr>
      <w:r>
        <w:tab/>
        <w:t>A su vez, Nitzcaner manifestó que el día de su declaración permaneció en el juzgado hasta las 21.00 horas, siendo luego trasladado a su domicilio en el a</w:t>
      </w:r>
      <w:r>
        <w:t>u</w:t>
      </w:r>
      <w:r>
        <w:t>tomóvil de Mullen.</w:t>
      </w:r>
    </w:p>
    <w:p w:rsidR="00224567" w:rsidRDefault="00224567">
      <w:pPr>
        <w:widowControl w:val="0"/>
      </w:pPr>
      <w:r>
        <w:tab/>
        <w:t>El encartado aseguró que nunca mi</w:t>
      </w:r>
      <w:r>
        <w:t>n</w:t>
      </w:r>
      <w:r>
        <w:t>tió, pero los fisc</w:t>
      </w:r>
      <w:r>
        <w:t>a</w:t>
      </w:r>
      <w:r>
        <w:t>les fueron a su domicilio para armar lo que debía declarar al día siguiente. A</w:t>
      </w:r>
      <w:r>
        <w:rPr>
          <w:bCs/>
        </w:rPr>
        <w:t>claró que al mencionar que “armaron” su declaración no se refería a insertar d</w:t>
      </w:r>
      <w:r>
        <w:rPr>
          <w:bCs/>
        </w:rPr>
        <w:t>a</w:t>
      </w:r>
      <w:r>
        <w:rPr>
          <w:bCs/>
        </w:rPr>
        <w:t>tos falsos, sino a qué debía narrar, como por ejemplo lo concerniente a Boragni.</w:t>
      </w:r>
    </w:p>
    <w:p w:rsidR="00224567" w:rsidRDefault="00224567">
      <w:pPr>
        <w:widowControl w:val="0"/>
      </w:pPr>
      <w:r>
        <w:tab/>
        <w:t>Por otra parte, el imputado señ</w:t>
      </w:r>
      <w:r>
        <w:t>a</w:t>
      </w:r>
      <w:r>
        <w:t>ló que para la época del careo con Telleldín recibió am</w:t>
      </w:r>
      <w:r>
        <w:t>e</w:t>
      </w:r>
      <w:r>
        <w:t>nazas y, luego, halló en su moto un cable de bujía que iba al ta</w:t>
      </w:r>
      <w:r>
        <w:t>n</w:t>
      </w:r>
      <w:r>
        <w:t>que, que resultó ser un nódulo; llamó a la policía y realizó la denuncia, secuestrándosele el v</w:t>
      </w:r>
      <w:r>
        <w:t>e</w:t>
      </w:r>
      <w:r>
        <w:t>hículo. Aclaró que no tenía en</w:t>
      </w:r>
      <w:r>
        <w:t>e</w:t>
      </w:r>
      <w:r>
        <w:t>migos y, si bien sufrió varios atentados, como cuando lo balearon, nunca supo de dónde pr</w:t>
      </w:r>
      <w:r>
        <w:t>o</w:t>
      </w:r>
      <w:r>
        <w:t>venían.</w:t>
      </w:r>
    </w:p>
    <w:p w:rsidR="00224567" w:rsidRDefault="00224567">
      <w:pPr>
        <w:widowControl w:val="0"/>
      </w:pPr>
      <w:r>
        <w:tab/>
        <w:t>Por último, negó haber prestado alg</w:t>
      </w:r>
      <w:r>
        <w:t>u</w:t>
      </w:r>
      <w:r>
        <w:t>na declaración bajo juramento de decir verdad, a la vez que expresó que nunca le dijeron que era testigo, sino imp</w:t>
      </w:r>
      <w:r>
        <w:t>u</w:t>
      </w:r>
      <w:r>
        <w:t>tado.</w:t>
      </w:r>
    </w:p>
    <w:p w:rsidR="00224567" w:rsidRDefault="00224567">
      <w:pPr>
        <w:widowControl w:val="0"/>
      </w:pPr>
      <w:r>
        <w:tab/>
        <w:t>El 17 de julio de 2002, Ariel R</w:t>
      </w:r>
      <w:r>
        <w:t>o</w:t>
      </w:r>
      <w:r>
        <w:t>dolfo Nitzcaner a</w:t>
      </w:r>
      <w:r>
        <w:t>m</w:t>
      </w:r>
      <w:r>
        <w:t>plió su declaración indagatoria al sólo efecto de realizar algunas aclaraciones relat</w:t>
      </w:r>
      <w:r>
        <w:t>i</w:t>
      </w:r>
      <w:r>
        <w:t>vas a lo declarado por el testigo Carlos Osvaldo De Nápoli. En ese sentido, manifestó que vio las fotogr</w:t>
      </w:r>
      <w:r>
        <w:t>a</w:t>
      </w:r>
      <w:r>
        <w:t>fías de la camioneta quemada en el juzgado instructor y sabía que se hallaba incendi</w:t>
      </w:r>
      <w:r>
        <w:t>a</w:t>
      </w:r>
      <w:r>
        <w:t>da, como así también su motor, desde antes que fuera el nombrado. Indicó que conoció a De Nápoli en el ju</w:t>
      </w:r>
      <w:r>
        <w:t>z</w:t>
      </w:r>
      <w:r>
        <w:t>gado, el día del careo con Telleldín, ocasión en que lo ayudó a abandonar el Palacio de Tribunales sin que los medios lo interceptaran.</w:t>
      </w:r>
    </w:p>
    <w:p w:rsidR="00224567" w:rsidRDefault="00224567">
      <w:pPr>
        <w:widowControl w:val="0"/>
      </w:pPr>
      <w:r>
        <w:tab/>
        <w:t>Señaló que tenía el teléfono partic</w:t>
      </w:r>
      <w:r>
        <w:t>u</w:t>
      </w:r>
      <w:r>
        <w:t>lar del periodista mencionado por De Nápoli, puesto que era amigo de su hermano. Al respecto, agregó que cuando salió de prisión le informó a Hugo Ferrer sobre amenazas que había recibido y le hizo una entrevista que fue publ</w:t>
      </w:r>
      <w:r>
        <w:t>i</w:t>
      </w:r>
      <w:r>
        <w:t xml:space="preserve">cada en el diario “Página </w:t>
      </w:r>
      <w:smartTag w:uri="urn:schemas-microsoft-com:office:smarttags" w:element="metricconverter">
        <w:smartTagPr>
          <w:attr w:name="ProductID" w:val="12”"/>
        </w:smartTagPr>
        <w:r>
          <w:t>12”</w:t>
        </w:r>
      </w:smartTag>
      <w:r>
        <w:t>, con el título “Submarino seco”. Dijo que recibió amenazas porque al ser puesto en libertad denunció apremios ilegales; así, le dijeron “c</w:t>
      </w:r>
      <w:r>
        <w:t>a</w:t>
      </w:r>
      <w:r>
        <w:t>llate la boca porque vos vas a ap</w:t>
      </w:r>
      <w:r>
        <w:t>a</w:t>
      </w:r>
      <w:r>
        <w:t>recer en un zanjón y tu socio se va a pudrir adentro”, volviendo a llamar a Ferrer para ponerlo en conocimie</w:t>
      </w:r>
      <w:r>
        <w:t>n</w:t>
      </w:r>
      <w:r>
        <w:t>to de lo sucedido.</w:t>
      </w:r>
    </w:p>
    <w:p w:rsidR="00224567" w:rsidRDefault="00224567">
      <w:pPr>
        <w:widowControl w:val="0"/>
      </w:pPr>
      <w:r>
        <w:tab/>
        <w:t>Recordó que en una oportunidad, en la oficina del magistrado instructor, De Nápoli le preguntó la dirección de su taller para hacer un arreglo en una c</w:t>
      </w:r>
      <w:r>
        <w:t>a</w:t>
      </w:r>
      <w:r>
        <w:t>mioneta, tarea que finalmente no llevó a cabo. Añadió que el nombrado concurrió en una sola oportun</w:t>
      </w:r>
      <w:r>
        <w:t>i</w:t>
      </w:r>
      <w:r>
        <w:t>dad a su taller, pero negó haberle hablado de sus se</w:t>
      </w:r>
      <w:r>
        <w:t>n</w:t>
      </w:r>
      <w:r>
        <w:t>timientos personales u otros temas en la ocasión.</w:t>
      </w:r>
    </w:p>
    <w:p w:rsidR="00224567" w:rsidRDefault="00224567">
      <w:pPr>
        <w:widowControl w:val="0"/>
      </w:pPr>
      <w:r>
        <w:tab/>
        <w:t>Por último, negó haber comentado a De Nápoli sobre el ofrecimiento de Telleldín, como así ta</w:t>
      </w:r>
      <w:r>
        <w:t>m</w:t>
      </w:r>
      <w:r>
        <w:t>bién negó que hubiera podido observar las m</w:t>
      </w:r>
      <w:r>
        <w:t>a</w:t>
      </w:r>
      <w:r>
        <w:t>deras, puesto que ya habían sido secuestr</w:t>
      </w:r>
      <w:r>
        <w:t>a</w:t>
      </w:r>
      <w:r>
        <w:t>das.</w:t>
      </w:r>
    </w:p>
    <w:p w:rsidR="00224567" w:rsidRDefault="00224567">
      <w:pPr>
        <w:widowControl w:val="0"/>
      </w:pPr>
      <w:r>
        <w:tab/>
        <w:t>El 17 de julio de 2002 se llevó a c</w:t>
      </w:r>
      <w:r>
        <w:t>a</w:t>
      </w:r>
      <w:r>
        <w:t>bo un careo entre el imputado Ariel Rodolfo Nitzcaner y el testigo Carlos Osvaldo De Nápoli, a resultas del cual, e</w:t>
      </w:r>
      <w:r>
        <w:t>n</w:t>
      </w:r>
      <w:r>
        <w:t>tre otras confrontaciones, el s</w:t>
      </w:r>
      <w:r>
        <w:t>e</w:t>
      </w:r>
      <w:r>
        <w:t>gundo negó haber conocido al primero en Tribunales, sino en su taller, a través de un llamado realizado por Nitzcaner a Ferrer. Por su parte, el encartado sostuvo que se conocieron en ocasión de su careo con Telleldín, oportun</w:t>
      </w:r>
      <w:r>
        <w:t>i</w:t>
      </w:r>
      <w:r>
        <w:t>dad en que también se hallaba presente su ab</w:t>
      </w:r>
      <w:r>
        <w:t>o</w:t>
      </w:r>
      <w:r>
        <w:t>gado.</w:t>
      </w:r>
    </w:p>
    <w:p w:rsidR="00224567" w:rsidRDefault="00224567">
      <w:pPr>
        <w:pStyle w:val="Textoindependiente"/>
        <w:spacing w:line="600" w:lineRule="auto"/>
      </w:pPr>
    </w:p>
    <w:p w:rsidR="00224567" w:rsidRDefault="00224567">
      <w:pPr>
        <w:pStyle w:val="Ttulo3"/>
      </w:pPr>
      <w:r>
        <w:t>E) Declaraciones indagatorias de Raúl Edilio Ibarra.</w:t>
      </w:r>
    </w:p>
    <w:p w:rsidR="00224567" w:rsidRDefault="00224567">
      <w:pPr>
        <w:widowControl w:val="0"/>
      </w:pPr>
      <w:r>
        <w:tab/>
        <w:t>En la oportunidad prevista en el art. 378 del código de rito, Raúl Edilio Ibarra se negó a pre</w:t>
      </w:r>
      <w:r>
        <w:t>s</w:t>
      </w:r>
      <w:r>
        <w:t>tar declaración indagatoria, por lo que se dio lectura a las volcadas a fs. 39.774/39.778, 39.988/39.998 y 42.722/42.723.</w:t>
      </w:r>
    </w:p>
    <w:p w:rsidR="00224567" w:rsidRDefault="00224567">
      <w:pPr>
        <w:widowControl w:val="0"/>
        <w:ind w:firstLine="2835"/>
      </w:pPr>
      <w:r>
        <w:t>El 24 de julio de 1996 (conf. fs. 39.774/39.778) el nombrado negó cualquier particip</w:t>
      </w:r>
      <w:r>
        <w:t>a</w:t>
      </w:r>
      <w:r>
        <w:t>ción en los hechos que se le imputaron.</w:t>
      </w:r>
    </w:p>
    <w:p w:rsidR="00224567" w:rsidRDefault="00224567">
      <w:pPr>
        <w:pStyle w:val="Sangradetextonormal"/>
        <w:widowControl w:val="0"/>
        <w:ind w:firstLine="2835"/>
        <w:rPr>
          <w:lang w:val="es-ES"/>
        </w:rPr>
      </w:pPr>
      <w:r>
        <w:rPr>
          <w:lang w:val="es-ES"/>
        </w:rPr>
        <w:t>Relató que a mediados del mes de ma</w:t>
      </w:r>
      <w:r>
        <w:rPr>
          <w:lang w:val="es-ES"/>
        </w:rPr>
        <w:t>r</w:t>
      </w:r>
      <w:r>
        <w:rPr>
          <w:lang w:val="es-ES"/>
        </w:rPr>
        <w:t xml:space="preserve">zo de </w:t>
      </w:r>
      <w:smartTag w:uri="urn:schemas-microsoft-com:office:smarttags" w:element="metricconverter">
        <w:smartTagPr>
          <w:attr w:name="ProductID" w:val="1994, a"/>
        </w:smartTagPr>
        <w:r>
          <w:rPr>
            <w:lang w:val="es-ES"/>
          </w:rPr>
          <w:t>1994, a</w:t>
        </w:r>
      </w:smartTag>
      <w:r>
        <w:rPr>
          <w:lang w:val="es-ES"/>
        </w:rPr>
        <w:t xml:space="preserve"> raíz de una actuación iniciada en </w:t>
      </w:r>
      <w:smartTag w:uri="urn:schemas-microsoft-com:office:smarttags" w:element="PersonName">
        <w:smartTagPr>
          <w:attr w:name="ProductID" w:val="la Brigada"/>
        </w:smartTagPr>
        <w:r>
          <w:rPr>
            <w:lang w:val="es-ES"/>
          </w:rPr>
          <w:t>la Br</w:t>
        </w:r>
        <w:r>
          <w:rPr>
            <w:lang w:val="es-ES"/>
          </w:rPr>
          <w:t>i</w:t>
        </w:r>
        <w:r>
          <w:rPr>
            <w:lang w:val="es-ES"/>
          </w:rPr>
          <w:t>gada</w:t>
        </w:r>
      </w:smartTag>
      <w:r>
        <w:rPr>
          <w:lang w:val="es-ES"/>
        </w:rPr>
        <w:t xml:space="preserve"> de Investigaciones de Lanús, fueron det</w:t>
      </w:r>
      <w:r>
        <w:rPr>
          <w:lang w:val="es-ES"/>
        </w:rPr>
        <w:t>e</w:t>
      </w:r>
      <w:r>
        <w:rPr>
          <w:lang w:val="es-ES"/>
        </w:rPr>
        <w:t>nidas unas personas a las que se les imputó la com</w:t>
      </w:r>
      <w:r>
        <w:rPr>
          <w:lang w:val="es-ES"/>
        </w:rPr>
        <w:t>i</w:t>
      </w:r>
      <w:r>
        <w:rPr>
          <w:lang w:val="es-ES"/>
        </w:rPr>
        <w:t>sión del delito de homicidio, cuya víctima fue un policía. Precisó que uno de los det</w:t>
      </w:r>
      <w:r>
        <w:rPr>
          <w:lang w:val="es-ES"/>
        </w:rPr>
        <w:t>e</w:t>
      </w:r>
      <w:r>
        <w:rPr>
          <w:lang w:val="es-ES"/>
        </w:rPr>
        <w:t>nidos se ll</w:t>
      </w:r>
      <w:r>
        <w:rPr>
          <w:lang w:val="es-ES"/>
        </w:rPr>
        <w:t>a</w:t>
      </w:r>
      <w:r>
        <w:rPr>
          <w:lang w:val="es-ES"/>
        </w:rPr>
        <w:t>maba Ambrosi o Ambrosiano.</w:t>
      </w:r>
    </w:p>
    <w:p w:rsidR="00224567" w:rsidRDefault="00224567">
      <w:pPr>
        <w:widowControl w:val="0"/>
        <w:ind w:firstLine="2835"/>
      </w:pPr>
      <w:r>
        <w:t>Agregó que se vinculó a esa causa a una persona apodada “Enano”, quien se dedicaría a la c</w:t>
      </w:r>
      <w:r>
        <w:t>o</w:t>
      </w:r>
      <w:r>
        <w:t>mercialización de vehículos adulterados, los que serían entregados por el nombrado Ambrosi o Ambrosiano. De la c</w:t>
      </w:r>
      <w:r>
        <w:t>i</w:t>
      </w:r>
      <w:r>
        <w:t>tada causa, mencionó, surgieron lugares de la zona norte del Gran Bu</w:t>
      </w:r>
      <w:r>
        <w:t>e</w:t>
      </w:r>
      <w:r>
        <w:t>nos Aires en los que se podía llegar a ubicar al “Enano”. Recordó que se recorrieron diferentes barrios, pero no pudo precisar cu</w:t>
      </w:r>
      <w:r>
        <w:t>á</w:t>
      </w:r>
      <w:r>
        <w:t>les.</w:t>
      </w:r>
    </w:p>
    <w:p w:rsidR="00224567" w:rsidRDefault="00224567">
      <w:pPr>
        <w:widowControl w:val="0"/>
        <w:ind w:firstLine="2835"/>
      </w:pPr>
      <w:r>
        <w:t>Explicó que la individualización del “Enano” le fue encomendada por el instructor del sum</w:t>
      </w:r>
      <w:r>
        <w:t>a</w:t>
      </w:r>
      <w:r>
        <w:t>rio. Si bien no pudo precisar quién desempeñaba ese cargo en aquél momento, manifestó que creía que se trataba del c</w:t>
      </w:r>
      <w:r>
        <w:t>o</w:t>
      </w:r>
      <w:r>
        <w:t>misario Burgu</w:t>
      </w:r>
      <w:r>
        <w:t>e</w:t>
      </w:r>
      <w:r>
        <w:t>te.</w:t>
      </w:r>
    </w:p>
    <w:p w:rsidR="00224567" w:rsidRDefault="00224567">
      <w:pPr>
        <w:widowControl w:val="0"/>
        <w:ind w:firstLine="2835"/>
      </w:pPr>
      <w:r>
        <w:t>Señaló que tomó conocimiento de que el “Enano”, quien sería Telleldín, se movilizaba en un aut</w:t>
      </w:r>
      <w:r>
        <w:t>o</w:t>
      </w:r>
      <w:r>
        <w:t>móvil Renault 18.</w:t>
      </w:r>
    </w:p>
    <w:p w:rsidR="00224567" w:rsidRDefault="00224567">
      <w:pPr>
        <w:widowControl w:val="0"/>
        <w:ind w:firstLine="2835"/>
      </w:pPr>
      <w:r>
        <w:t>Originariamente, agregó, intentó ind</w:t>
      </w:r>
      <w:r>
        <w:t>i</w:t>
      </w:r>
      <w:r>
        <w:t>vidualizar al nombrado recorriendo la zona de Olivos, pr</w:t>
      </w:r>
      <w:r>
        <w:t>e</w:t>
      </w:r>
      <w:r>
        <w:t>cisamente en un lugar donde había una e</w:t>
      </w:r>
      <w:r>
        <w:t>s</w:t>
      </w:r>
      <w:r>
        <w:t>tación de servicio o un l</w:t>
      </w:r>
      <w:r>
        <w:t>a</w:t>
      </w:r>
      <w:r>
        <w:t>vadero.</w:t>
      </w:r>
    </w:p>
    <w:p w:rsidR="00224567" w:rsidRDefault="00224567">
      <w:pPr>
        <w:widowControl w:val="0"/>
        <w:ind w:firstLine="2835"/>
      </w:pPr>
      <w:r>
        <w:t>Refirió que también el sargento Cruz fue hasta Olivos. No recordó si se dirigieron hasta allí en un rodado o en varios, como tampoco si utilizó su vehículo Volkswagen Senda color azul, d</w:t>
      </w:r>
      <w:r>
        <w:t>o</w:t>
      </w:r>
      <w:r>
        <w:t>minio B 2.617.577.</w:t>
      </w:r>
    </w:p>
    <w:p w:rsidR="00224567" w:rsidRDefault="00224567">
      <w:pPr>
        <w:widowControl w:val="0"/>
        <w:ind w:firstLine="2835"/>
      </w:pPr>
      <w:r>
        <w:t>Indicó que durante el recorrido, o</w:t>
      </w:r>
      <w:r>
        <w:t>b</w:t>
      </w:r>
      <w:r>
        <w:t>servaron el automóvil Renault 18 de Telleldín s</w:t>
      </w:r>
      <w:r>
        <w:t>o</w:t>
      </w:r>
      <w:r>
        <w:t xml:space="preserve">bre </w:t>
      </w:r>
      <w:smartTag w:uri="urn:schemas-microsoft-com:office:smarttags" w:element="PersonName">
        <w:smartTagPr>
          <w:attr w:name="ProductID" w:val="la Av. Maip￺"/>
        </w:smartTagPr>
        <w:r>
          <w:t>la Av. Maipú</w:t>
        </w:r>
      </w:smartTag>
      <w:r>
        <w:t xml:space="preserve"> de la localidad de Olivos, precisamente sobre la mano en dirección a Capital Federal. A fin de lograr la individualización del ocupante, se dirigió caminando, ju</w:t>
      </w:r>
      <w:r>
        <w:t>n</w:t>
      </w:r>
      <w:r>
        <w:t>to con los suboficiales Casas y Toledo, hacia dicho vehículo –que se encontraba detenido-; se acercaron simu</w:t>
      </w:r>
      <w:r>
        <w:t>l</w:t>
      </w:r>
      <w:r>
        <w:t>táneamente y se ident</w:t>
      </w:r>
      <w:r>
        <w:t>i</w:t>
      </w:r>
      <w:r>
        <w:t>ficaron como policías.</w:t>
      </w:r>
    </w:p>
    <w:p w:rsidR="00224567" w:rsidRDefault="00224567">
      <w:pPr>
        <w:widowControl w:val="0"/>
        <w:ind w:firstLine="2835"/>
      </w:pPr>
      <w:r>
        <w:t>En ese momento, el ocupante del rod</w:t>
      </w:r>
      <w:r>
        <w:t>a</w:t>
      </w:r>
      <w:r>
        <w:t>do levantó los brazos y casi al mismo tiempo colocó la reve</w:t>
      </w:r>
      <w:r>
        <w:t>r</w:t>
      </w:r>
      <w:r>
        <w:t>sa e impactó contra un vehículo que estaba detrás. Luego arrancó raudamente, por lo que no pudieron observar su p</w:t>
      </w:r>
      <w:r>
        <w:t>a</w:t>
      </w:r>
      <w:r>
        <w:t>tente. No recordó en la ocasión si, además, esquivó otro automóvil que se encontraba ad</w:t>
      </w:r>
      <w:r>
        <w:t>e</w:t>
      </w:r>
      <w:r>
        <w:t>lante.</w:t>
      </w:r>
    </w:p>
    <w:p w:rsidR="00224567" w:rsidRDefault="00224567">
      <w:pPr>
        <w:widowControl w:val="0"/>
        <w:ind w:firstLine="2835"/>
      </w:pPr>
      <w:r>
        <w:t>Agregó que Casas intentó agarrar al conductor del Renault 18, pero el declarante le advirtió que se soltara porque el vehículo estaba tomando veloc</w:t>
      </w:r>
      <w:r>
        <w:t>i</w:t>
      </w:r>
      <w:r>
        <w:t>dad.</w:t>
      </w:r>
    </w:p>
    <w:p w:rsidR="00224567" w:rsidRDefault="00224567">
      <w:pPr>
        <w:widowControl w:val="0"/>
        <w:ind w:firstLine="2835"/>
      </w:pPr>
      <w:r>
        <w:t>El dicente refirió que se labró un a</w:t>
      </w:r>
      <w:r>
        <w:t>c</w:t>
      </w:r>
      <w:r>
        <w:t>ta en la que se dejó constancia de lo que había suc</w:t>
      </w:r>
      <w:r>
        <w:t>e</w:t>
      </w:r>
      <w:r>
        <w:t xml:space="preserve">dido y que después volvieron a </w:t>
      </w:r>
      <w:smartTag w:uri="urn:schemas-microsoft-com:office:smarttags" w:element="PersonName">
        <w:smartTagPr>
          <w:attr w:name="ProductID" w:val="la Brigada"/>
        </w:smartTagPr>
        <w:r>
          <w:t>la Brigada</w:t>
        </w:r>
      </w:smartTag>
      <w:r>
        <w:t xml:space="preserve"> de Investigaciones II de Lanús en el vehículo del suboficial Cruz, quien no pa</w:t>
      </w:r>
      <w:r>
        <w:t>r</w:t>
      </w:r>
      <w:r>
        <w:t>ticipó del hecho. Dio la novedad y se le practicó un i</w:t>
      </w:r>
      <w:r>
        <w:t>n</w:t>
      </w:r>
      <w:r>
        <w:t>forme médico a C</w:t>
      </w:r>
      <w:r>
        <w:t>a</w:t>
      </w:r>
      <w:r>
        <w:t>sas por las heridas que presentaba.</w:t>
      </w:r>
    </w:p>
    <w:p w:rsidR="00224567" w:rsidRDefault="00224567">
      <w:pPr>
        <w:widowControl w:val="0"/>
        <w:ind w:firstLine="2835"/>
      </w:pPr>
      <w:r>
        <w:t>Expresó que “cuando a uno se le esc</w:t>
      </w:r>
      <w:r>
        <w:t>a</w:t>
      </w:r>
      <w:r>
        <w:t>pa una persona no queda bien parado”.</w:t>
      </w:r>
    </w:p>
    <w:p w:rsidR="00224567" w:rsidRDefault="00224567">
      <w:pPr>
        <w:widowControl w:val="0"/>
        <w:ind w:firstLine="2835"/>
      </w:pPr>
      <w:r>
        <w:t>Agregó que con el resto del personal mencionado no trabajó más ya que continuó la investig</w:t>
      </w:r>
      <w:r>
        <w:t>a</w:t>
      </w:r>
      <w:r>
        <w:t>ción con otro gr</w:t>
      </w:r>
      <w:r>
        <w:t>u</w:t>
      </w:r>
      <w:r>
        <w:t>po operativo.</w:t>
      </w:r>
    </w:p>
    <w:p w:rsidR="00224567" w:rsidRDefault="00224567">
      <w:pPr>
        <w:widowControl w:val="0"/>
        <w:ind w:firstLine="2835"/>
      </w:pPr>
      <w:r>
        <w:t>Indicó, en cuanto a los recorr</w:t>
      </w:r>
      <w:r>
        <w:t>i</w:t>
      </w:r>
      <w:r>
        <w:t>dos que se efectuaron por la zona norte del Gran Buenos Aires tr</w:t>
      </w:r>
      <w:r>
        <w:t>a</w:t>
      </w:r>
      <w:r>
        <w:t>tando de individualizar a T</w:t>
      </w:r>
      <w:r>
        <w:t>e</w:t>
      </w:r>
      <w:r>
        <w:t>lleldín, que después de varios días advirtieron su presencia en la entrada a Tortuguitas, por lo que intentaron inte</w:t>
      </w:r>
      <w:r>
        <w:t>r</w:t>
      </w:r>
      <w:r>
        <w:t>ceptarlo.</w:t>
      </w:r>
    </w:p>
    <w:p w:rsidR="00224567" w:rsidRDefault="00224567">
      <w:pPr>
        <w:widowControl w:val="0"/>
        <w:ind w:firstLine="2835"/>
      </w:pPr>
      <w:r>
        <w:t>Señaló que a esa localidad concurrió junto con el princ</w:t>
      </w:r>
      <w:r>
        <w:t>i</w:t>
      </w:r>
      <w:r>
        <w:t>pal Albarracín, el inspector Araya y el suboficial Castro, quien tenía un vehíc</w:t>
      </w:r>
      <w:r>
        <w:t>u</w:t>
      </w:r>
      <w:r>
        <w:t>lo viejo de color blanco, mientras que los restantes estaban en un Volksw</w:t>
      </w:r>
      <w:r>
        <w:t>a</w:t>
      </w:r>
      <w:r>
        <w:t>gen Gacel verde. En esa oportunidad, interceptaron a T</w:t>
      </w:r>
      <w:r>
        <w:t>e</w:t>
      </w:r>
      <w:r>
        <w:t>lleldín y a una acompañante de éste en las inmediaciones de Tortuguitas, más precisamente en las cercanías de un video club.</w:t>
      </w:r>
    </w:p>
    <w:p w:rsidR="00224567" w:rsidRDefault="00224567">
      <w:pPr>
        <w:widowControl w:val="0"/>
        <w:ind w:firstLine="2835"/>
      </w:pPr>
      <w:r>
        <w:t>Al respecto, relató que le solicit</w:t>
      </w:r>
      <w:r>
        <w:t>a</w:t>
      </w:r>
      <w:r>
        <w:t>ron el D.N.I. al ocupante del rodado, constatando que se tr</w:t>
      </w:r>
      <w:r>
        <w:t>a</w:t>
      </w:r>
      <w:r>
        <w:t>taba de “Teccedin” o Telleldín, la misma persona que bu</w:t>
      </w:r>
      <w:r>
        <w:t>s</w:t>
      </w:r>
      <w:r>
        <w:t>caban y que se había escapado en la zona de Ol</w:t>
      </w:r>
      <w:r>
        <w:t>i</w:t>
      </w:r>
      <w:r>
        <w:t>vos.</w:t>
      </w:r>
    </w:p>
    <w:p w:rsidR="00224567" w:rsidRDefault="00224567">
      <w:pPr>
        <w:widowControl w:val="0"/>
        <w:ind w:firstLine="2835"/>
      </w:pPr>
      <w:r>
        <w:t xml:space="preserve">Indicó que ante ello, el nombrado fue detenido y trasladado a </w:t>
      </w:r>
      <w:smartTag w:uri="urn:schemas-microsoft-com:office:smarttags" w:element="PersonName">
        <w:smartTagPr>
          <w:attr w:name="ProductID" w:val="la Brigada"/>
        </w:smartTagPr>
        <w:r>
          <w:t>la Brigada</w:t>
        </w:r>
      </w:smartTag>
      <w:r>
        <w:t xml:space="preserve"> de Lanús para determ</w:t>
      </w:r>
      <w:r>
        <w:t>i</w:t>
      </w:r>
      <w:r>
        <w:t>nar si efectivamente se trataba del mismo sujeto que se estaba investigando en la causa del homicidio antes me</w:t>
      </w:r>
      <w:r>
        <w:t>n</w:t>
      </w:r>
      <w:r>
        <w:t>cionada, y también para establ</w:t>
      </w:r>
      <w:r>
        <w:t>e</w:t>
      </w:r>
      <w:r>
        <w:t>cer si el rodado en el que circulaban tenía algún imped</w:t>
      </w:r>
      <w:r>
        <w:t>i</w:t>
      </w:r>
      <w:r>
        <w:t>mento.</w:t>
      </w:r>
    </w:p>
    <w:p w:rsidR="00224567" w:rsidRDefault="00224567">
      <w:pPr>
        <w:widowControl w:val="0"/>
        <w:ind w:firstLine="2835"/>
      </w:pPr>
      <w:r>
        <w:t>Ibarra sostuvo que se trasladó a la dependencia con la mujer aprehendida en el veh</w:t>
      </w:r>
      <w:r>
        <w:t>í</w:t>
      </w:r>
      <w:r>
        <w:t>culo en el que circulaban los detenidos, que creía era un R</w:t>
      </w:r>
      <w:r>
        <w:t>e</w:t>
      </w:r>
      <w:r>
        <w:t>nault 18, mientras que detrás los siguieron Albarracín y Araya, quienes trasladaron al sujeto masculino en el Volkswagen ve</w:t>
      </w:r>
      <w:r>
        <w:t>r</w:t>
      </w:r>
      <w:r>
        <w:t>de.</w:t>
      </w:r>
    </w:p>
    <w:p w:rsidR="00224567" w:rsidRDefault="00224567">
      <w:pPr>
        <w:widowControl w:val="0"/>
        <w:ind w:firstLine="2835"/>
      </w:pPr>
      <w:r>
        <w:t>Una vez en la dependencia, com</w:t>
      </w:r>
      <w:r>
        <w:t>u</w:t>
      </w:r>
      <w:r>
        <w:t xml:space="preserve">nicó a la instrucción que traían a dos personas detenidas y las entregó a </w:t>
      </w:r>
      <w:smartTag w:uri="urn:schemas-microsoft-com:office:smarttags" w:element="PersonName">
        <w:smartTagPr>
          <w:attr w:name="ProductID" w:val="la Oficina"/>
        </w:smartTagPr>
        <w:r>
          <w:t>la Of</w:t>
        </w:r>
        <w:r>
          <w:t>i</w:t>
        </w:r>
        <w:r>
          <w:t>cina</w:t>
        </w:r>
      </w:smartTag>
      <w:r>
        <w:t xml:space="preserve"> de Judiciales.</w:t>
      </w:r>
    </w:p>
    <w:p w:rsidR="00224567" w:rsidRDefault="00224567">
      <w:pPr>
        <w:widowControl w:val="0"/>
        <w:ind w:firstLine="2835"/>
      </w:pPr>
      <w:r>
        <w:t>Ibarra afirmó que, según creía, en j</w:t>
      </w:r>
      <w:r>
        <w:t>u</w:t>
      </w:r>
      <w:r>
        <w:t>diciales estaban el comisario Burguete, el principal Bac</w:t>
      </w:r>
      <w:r>
        <w:t>i</w:t>
      </w:r>
      <w:r>
        <w:t>galupo y el subcomisario Arancibia, y que fue en esa of</w:t>
      </w:r>
      <w:r>
        <w:t>i</w:t>
      </w:r>
      <w:r>
        <w:t>cina donde le recibieron declaración testim</w:t>
      </w:r>
      <w:r>
        <w:t>o</w:t>
      </w:r>
      <w:r>
        <w:t>nial.</w:t>
      </w:r>
    </w:p>
    <w:p w:rsidR="00224567" w:rsidRDefault="00224567">
      <w:pPr>
        <w:pStyle w:val="Sangradetextonormal"/>
        <w:widowControl w:val="0"/>
        <w:ind w:firstLine="2835"/>
        <w:rPr>
          <w:lang w:val="es-ES"/>
        </w:rPr>
      </w:pPr>
      <w:r>
        <w:rPr>
          <w:lang w:val="es-ES"/>
        </w:rPr>
        <w:t>Sostuvo que el detenido quedó alojado en un calabozo, no así la mujer ya que la dependencia no contaba con calab</w:t>
      </w:r>
      <w:r>
        <w:rPr>
          <w:lang w:val="es-ES"/>
        </w:rPr>
        <w:t>o</w:t>
      </w:r>
      <w:r>
        <w:rPr>
          <w:lang w:val="es-ES"/>
        </w:rPr>
        <w:t>zos para mujeres.</w:t>
      </w:r>
    </w:p>
    <w:p w:rsidR="00224567" w:rsidRDefault="00224567">
      <w:pPr>
        <w:widowControl w:val="0"/>
        <w:ind w:firstLine="2835"/>
      </w:pPr>
      <w:r>
        <w:t>Explicó que del trámite de averigu</w:t>
      </w:r>
      <w:r>
        <w:t>a</w:t>
      </w:r>
      <w:r>
        <w:t xml:space="preserve">ción de antecedentes de los detenidos se encargó </w:t>
      </w:r>
      <w:smartTag w:uri="urn:schemas-microsoft-com:office:smarttags" w:element="PersonName">
        <w:smartTagPr>
          <w:attr w:name="ProductID" w:val="la Oficina"/>
        </w:smartTagPr>
        <w:r>
          <w:t>la Ofic</w:t>
        </w:r>
        <w:r>
          <w:t>i</w:t>
        </w:r>
        <w:r>
          <w:t>na</w:t>
        </w:r>
      </w:smartTag>
      <w:r>
        <w:t xml:space="preserve"> de Judiciales y que en ese momento tomó conocimiento que aquellos no registraban antecede</w:t>
      </w:r>
      <w:r>
        <w:t>n</w:t>
      </w:r>
      <w:r>
        <w:t>tes.</w:t>
      </w:r>
    </w:p>
    <w:p w:rsidR="00224567" w:rsidRDefault="00224567">
      <w:pPr>
        <w:widowControl w:val="0"/>
        <w:ind w:firstLine="2835"/>
      </w:pPr>
      <w:r>
        <w:t xml:space="preserve">Recordó que al día siguiente constató que el vehículo en que circulaban los detenidos no tenía impedimentos legales y que los datos de la cédula verde del rodado coincidían con los que obraban en el Registro de </w:t>
      </w:r>
      <w:smartTag w:uri="urn:schemas-microsoft-com:office:smarttags" w:element="PersonName">
        <w:smartTagPr>
          <w:attr w:name="ProductID" w:val="la Propiedad Automotor."/>
        </w:smartTagPr>
        <w:r>
          <w:t>la Propiedad Autom</w:t>
        </w:r>
        <w:r>
          <w:t>o</w:t>
        </w:r>
        <w:r>
          <w:t>tor.</w:t>
        </w:r>
      </w:smartTag>
    </w:p>
    <w:p w:rsidR="00224567" w:rsidRDefault="00224567">
      <w:pPr>
        <w:widowControl w:val="0"/>
        <w:ind w:firstLine="2835"/>
      </w:pPr>
      <w:r>
        <w:t>Afirmó que se consultó con el juzgado de Quilmes el temperamento a adoptar respecto de la pers</w:t>
      </w:r>
      <w:r>
        <w:t>o</w:t>
      </w:r>
      <w:r>
        <w:t>na en cue</w:t>
      </w:r>
      <w:r>
        <w:t>s</w:t>
      </w:r>
      <w:r>
        <w:t>tión –lo que debía constar en la causa que ante dicho tribunal tramitaba-; sin embargo, no recordó cu</w:t>
      </w:r>
      <w:r>
        <w:t>á</w:t>
      </w:r>
      <w:r>
        <w:t>les fueron las instrucciones impartidas por el magistrado i</w:t>
      </w:r>
      <w:r>
        <w:t>n</w:t>
      </w:r>
      <w:r>
        <w:t>terviniente.</w:t>
      </w:r>
    </w:p>
    <w:p w:rsidR="00224567" w:rsidRDefault="00224567">
      <w:pPr>
        <w:widowControl w:val="0"/>
        <w:ind w:firstLine="2835"/>
      </w:pPr>
      <w:r>
        <w:t>A esa altura de los acontecimientos, expresó Ibarra, no había indicios para vincular al deten</w:t>
      </w:r>
      <w:r>
        <w:t>i</w:t>
      </w:r>
      <w:r>
        <w:t>do con aquella investigación. Sin embargo, Telleldín pe</w:t>
      </w:r>
      <w:r>
        <w:t>r</w:t>
      </w:r>
      <w:r>
        <w:t>maneció en ese estado por las actuaci</w:t>
      </w:r>
      <w:r>
        <w:t>o</w:t>
      </w:r>
      <w:r>
        <w:t>nes de averiguación de antecedentes labradas, co</w:t>
      </w:r>
      <w:r>
        <w:t>n</w:t>
      </w:r>
      <w:r>
        <w:t>tando con un margen de hasta 24 horas para verificar esa circunsta</w:t>
      </w:r>
      <w:r>
        <w:t>n</w:t>
      </w:r>
      <w:r>
        <w:t>cia.</w:t>
      </w:r>
    </w:p>
    <w:p w:rsidR="00224567" w:rsidRDefault="00224567">
      <w:pPr>
        <w:widowControl w:val="0"/>
        <w:ind w:firstLine="2835"/>
      </w:pPr>
      <w:r>
        <w:t>Al día siguiente –5 de abril de 1994-, al verificar que los detenidos no tenían pedidos de capt</w:t>
      </w:r>
      <w:r>
        <w:t>u</w:t>
      </w:r>
      <w:r>
        <w:t>ra, se los dejó en libertad y aclaró que ese trámite y d</w:t>
      </w:r>
      <w:r>
        <w:t>e</w:t>
      </w:r>
      <w:r>
        <w:t xml:space="preserve">cisión correspondía a </w:t>
      </w:r>
      <w:smartTag w:uri="urn:schemas-microsoft-com:office:smarttags" w:element="PersonName">
        <w:smartTagPr>
          <w:attr w:name="ProductID" w:val="la Oficina"/>
        </w:smartTagPr>
        <w:r>
          <w:t>la Oficina</w:t>
        </w:r>
      </w:smartTag>
      <w:r>
        <w:t xml:space="preserve"> de Judici</w:t>
      </w:r>
      <w:r>
        <w:t>a</w:t>
      </w:r>
      <w:r>
        <w:t>les.</w:t>
      </w:r>
    </w:p>
    <w:p w:rsidR="00224567" w:rsidRDefault="00224567">
      <w:pPr>
        <w:widowControl w:val="0"/>
        <w:ind w:firstLine="2835"/>
      </w:pPr>
      <w:r>
        <w:t>Refirió que para la época de los pr</w:t>
      </w:r>
      <w:r>
        <w:t>o</w:t>
      </w:r>
      <w:r>
        <w:t>cedimientos de Olivos y Tortuguitas no tenía pe</w:t>
      </w:r>
      <w:r>
        <w:t>r</w:t>
      </w:r>
      <w:r>
        <w:t>sonal a su cargo, por lo que tuvo que elegirlo personalmente. Como criterio de selección valoró su educación y corrección y aclaró que no fue supervisado para esa ele</w:t>
      </w:r>
      <w:r>
        <w:t>c</w:t>
      </w:r>
      <w:r>
        <w:t>ción porque no era necesario, bastando para ello la mera consu</w:t>
      </w:r>
      <w:r>
        <w:t>l</w:t>
      </w:r>
      <w:r>
        <w:t>ta.</w:t>
      </w:r>
    </w:p>
    <w:p w:rsidR="00224567" w:rsidRDefault="00224567">
      <w:pPr>
        <w:widowControl w:val="0"/>
        <w:ind w:firstLine="2835"/>
      </w:pPr>
      <w:r>
        <w:t>En tal sentido, preguntó respecto de Casas, encargado de fichar detenidos, de Toledo, chofer del camión celular de traslado de det</w:t>
      </w:r>
      <w:r>
        <w:t>e</w:t>
      </w:r>
      <w:r>
        <w:t>nidos y también del grupo operativo integrado por Albarracín, Araya y Ca</w:t>
      </w:r>
      <w:r>
        <w:t>s</w:t>
      </w:r>
      <w:r>
        <w:t>tro.</w:t>
      </w:r>
    </w:p>
    <w:p w:rsidR="00224567" w:rsidRDefault="00224567">
      <w:pPr>
        <w:widowControl w:val="0"/>
        <w:ind w:firstLine="2835"/>
      </w:pPr>
      <w:r>
        <w:t>Ibarra indicó que esas consultas se efectuaban al segundo jefe de la brigada o al jefe de op</w:t>
      </w:r>
      <w:r>
        <w:t>e</w:t>
      </w:r>
      <w:r>
        <w:t>raciones, pero no recordó a quién le preguntó en esa opo</w:t>
      </w:r>
      <w:r>
        <w:t>r</w:t>
      </w:r>
      <w:r>
        <w:t>tunidad.</w:t>
      </w:r>
    </w:p>
    <w:p w:rsidR="00224567" w:rsidRDefault="00224567">
      <w:pPr>
        <w:widowControl w:val="0"/>
        <w:ind w:firstLine="2835"/>
      </w:pPr>
      <w:r>
        <w:t>Precisó que las únicas tareas de int</w:t>
      </w:r>
      <w:r>
        <w:t>e</w:t>
      </w:r>
      <w:r>
        <w:t>ligencia tendientes a la individualización del “Enano” o “Teccedin” fueron practicadas por él y estuvieron limit</w:t>
      </w:r>
      <w:r>
        <w:t>a</w:t>
      </w:r>
      <w:r>
        <w:t>das a seguimientos basados en la información que recibió al ser comisionado a tal fin.</w:t>
      </w:r>
    </w:p>
    <w:p w:rsidR="00224567" w:rsidRDefault="00224567">
      <w:pPr>
        <w:widowControl w:val="0"/>
      </w:pPr>
      <w:r>
        <w:tab/>
        <w:t>En su declaración del 25 de julio de 1996 (conf. 39.988/39.998) Ibarra negó haber tenido tel</w:t>
      </w:r>
      <w:r>
        <w:t>é</w:t>
      </w:r>
      <w:r>
        <w:t>fono celular en el año 1994. R</w:t>
      </w:r>
      <w:r>
        <w:t>e</w:t>
      </w:r>
      <w:r>
        <w:t>firió que no lo tuvo en el procedimiento en el que Telleldín se escapó, ni en el ll</w:t>
      </w:r>
      <w:r>
        <w:t>e</w:t>
      </w:r>
      <w:r>
        <w:t>vado a cabo en la localidad de Tortuguitas. Recién en d</w:t>
      </w:r>
      <w:r>
        <w:t>i</w:t>
      </w:r>
      <w:r>
        <w:t>ciembre de 1994 compró un teléfono “Movicom”, n</w:t>
      </w:r>
      <w:r>
        <w:t>ú</w:t>
      </w:r>
      <w:r>
        <w:t>mero 445-9953.</w:t>
      </w:r>
    </w:p>
    <w:p w:rsidR="00224567" w:rsidRDefault="00224567">
      <w:pPr>
        <w:widowControl w:val="0"/>
        <w:ind w:firstLine="2835"/>
      </w:pPr>
      <w:r>
        <w:t>Dijo que en algunos procedimie</w:t>
      </w:r>
      <w:r>
        <w:t>n</w:t>
      </w:r>
      <w:r>
        <w:t>tos de la brigada utilizaban algún celular provisto por el jefe de operaciones, comisario Juan José R</w:t>
      </w:r>
      <w:r>
        <w:t>i</w:t>
      </w:r>
      <w:r>
        <w:t>belli, pero resaltó que en los referidos no ut</w:t>
      </w:r>
      <w:r>
        <w:t>i</w:t>
      </w:r>
      <w:r>
        <w:t>lizó ninguno.</w:t>
      </w:r>
    </w:p>
    <w:p w:rsidR="00224567" w:rsidRDefault="00224567">
      <w:pPr>
        <w:widowControl w:val="0"/>
        <w:ind w:firstLine="2835"/>
      </w:pPr>
      <w:r>
        <w:t>Manifestó que contaba con un equipo de radiomensaje que se pagaba “haciendo una vaquita” entre los compañeros, pero no recordó el número de la empresa que lo proveía.</w:t>
      </w:r>
    </w:p>
    <w:p w:rsidR="00224567" w:rsidRDefault="00224567">
      <w:pPr>
        <w:widowControl w:val="0"/>
        <w:ind w:firstLine="2835"/>
      </w:pPr>
      <w:r>
        <w:t>Afirmó estar seguro de que en la br</w:t>
      </w:r>
      <w:r>
        <w:t>i</w:t>
      </w:r>
      <w:r>
        <w:t>gada los detenidos efectuaron la llamada que les corre</w:t>
      </w:r>
      <w:r>
        <w:t>s</w:t>
      </w:r>
      <w:r>
        <w:t>pondía, pero dijo desconocer si lo hicieron mediante un teléfono celular o alguno de tierra de la depe</w:t>
      </w:r>
      <w:r>
        <w:t>n</w:t>
      </w:r>
      <w:r>
        <w:t>dencia.</w:t>
      </w:r>
    </w:p>
    <w:p w:rsidR="00224567" w:rsidRDefault="00224567">
      <w:pPr>
        <w:widowControl w:val="0"/>
        <w:ind w:firstLine="2835"/>
      </w:pPr>
      <w:r>
        <w:t xml:space="preserve">Negó haber advertido los días 4 ó 5 de abril de 1994 la presencia de familiares de Telleldín, abogados o personal retirado de </w:t>
      </w:r>
      <w:smartTag w:uri="urn:schemas-microsoft-com:office:smarttags" w:element="PersonName">
        <w:smartTagPr>
          <w:attr w:name="ProductID" w:val="la Polic￭a Bonaerense"/>
        </w:smartTagPr>
        <w:r>
          <w:t>la Policía Bonaerense</w:t>
        </w:r>
      </w:smartTag>
      <w:r>
        <w:t xml:space="preserve"> en </w:t>
      </w:r>
      <w:smartTag w:uri="urn:schemas-microsoft-com:office:smarttags" w:element="PersonName">
        <w:smartTagPr>
          <w:attr w:name="ProductID" w:val="la Brigada"/>
        </w:smartTagPr>
        <w:r>
          <w:t>la Brigada</w:t>
        </w:r>
      </w:smartTag>
      <w:r>
        <w:t xml:space="preserve"> de Lanús. Tampoco observó que se hubiera dejado dinero en efectivo ni vehículos, incluyendo aquél en el que se desplazó Telleldín en ocasión de ser aprehendido. Señaló que no podía determinar si algún familiar de los detenidos se acercó a la brigada.</w:t>
      </w:r>
    </w:p>
    <w:p w:rsidR="00224567" w:rsidRDefault="00224567">
      <w:pPr>
        <w:widowControl w:val="0"/>
        <w:ind w:firstLine="2835"/>
      </w:pPr>
      <w:r>
        <w:t>Afirmó que ningún integrante de su grupo ni de otras “patotas” interrogó a Telle</w:t>
      </w:r>
      <w:r>
        <w:t>l</w:t>
      </w:r>
      <w:r>
        <w:t>dín. Que si bien pudieron hacerlo el segundo jefe de la brigada y el jefe de operaciones, no lo pudo recordar. Aclaró que, c</w:t>
      </w:r>
      <w:r>
        <w:t>o</w:t>
      </w:r>
      <w:r>
        <w:t>mo regla no interrogaba a ningún detenido, limitándose a pr</w:t>
      </w:r>
      <w:r>
        <w:t>e</w:t>
      </w:r>
      <w:r>
        <w:t>guntarle por sus d</w:t>
      </w:r>
      <w:r>
        <w:t>a</w:t>
      </w:r>
      <w:r>
        <w:t>tos personales.</w:t>
      </w:r>
    </w:p>
    <w:p w:rsidR="00224567" w:rsidRDefault="00224567">
      <w:pPr>
        <w:widowControl w:val="0"/>
        <w:ind w:firstLine="2835"/>
      </w:pPr>
      <w:r>
        <w:t>Ibarra indicó que el recorrido de r</w:t>
      </w:r>
      <w:r>
        <w:t>e</w:t>
      </w:r>
      <w:r>
        <w:t>greso a la brigada, luego del procedimiento de Tortugu</w:t>
      </w:r>
      <w:r>
        <w:t>i</w:t>
      </w:r>
      <w:r>
        <w:t xml:space="preserve">tas, fue por </w:t>
      </w:r>
      <w:smartTag w:uri="urn:schemas-microsoft-com:office:smarttags" w:element="PersonName">
        <w:smartTagPr>
          <w:attr w:name="ProductID" w:val="la Panamericana"/>
        </w:smartTagPr>
        <w:r>
          <w:t>la Panamericana</w:t>
        </w:r>
      </w:smartTag>
      <w:r>
        <w:t xml:space="preserve"> hasta el acceso a Boulogne, Ruta 4 hasta el Puente 12, hasta llegar a una Facultad de Derecho. Explicó que a la izquierda estaba el Camino N</w:t>
      </w:r>
      <w:r>
        <w:t>e</w:t>
      </w:r>
      <w:r>
        <w:t xml:space="preserve">gro, por el que siguieron hasta Larroque, llegando así a </w:t>
      </w:r>
      <w:smartTag w:uri="urn:schemas-microsoft-com:office:smarttags" w:element="PersonName">
        <w:smartTagPr>
          <w:attr w:name="ProductID" w:val="la Brigada"/>
        </w:smartTagPr>
        <w:r>
          <w:t>la Brigada</w:t>
        </w:r>
      </w:smartTag>
      <w:r>
        <w:t xml:space="preserve"> de L</w:t>
      </w:r>
      <w:r>
        <w:t>a</w:t>
      </w:r>
      <w:r>
        <w:t>nús.</w:t>
      </w:r>
    </w:p>
    <w:p w:rsidR="00224567" w:rsidRDefault="00224567">
      <w:pPr>
        <w:widowControl w:val="0"/>
        <w:ind w:firstLine="2835"/>
      </w:pPr>
      <w:r>
        <w:t>Precisó que si bien por costumbre nu</w:t>
      </w:r>
      <w:r>
        <w:t>n</w:t>
      </w:r>
      <w:r>
        <w:t xml:space="preserve">ca tomaba vías que cruzaran </w:t>
      </w:r>
      <w:smartTag w:uri="urn:schemas-microsoft-com:office:smarttags" w:element="PersonName">
        <w:smartTagPr>
          <w:attr w:name="ProductID" w:val="la Capital Federal"/>
        </w:smartTagPr>
        <w:r>
          <w:t>la Capital Federal</w:t>
        </w:r>
      </w:smartTag>
      <w:r>
        <w:t>, ll</w:t>
      </w:r>
      <w:r>
        <w:t>e</w:t>
      </w:r>
      <w:r>
        <w:t>vara o no detenidos, creyó que en la ocasión tomó el camino más corto.</w:t>
      </w:r>
    </w:p>
    <w:p w:rsidR="00224567" w:rsidRDefault="00224567">
      <w:pPr>
        <w:widowControl w:val="0"/>
        <w:ind w:firstLine="2835"/>
      </w:pPr>
      <w:r>
        <w:t>Afirmó que no se informó de la real</w:t>
      </w:r>
      <w:r>
        <w:t>i</w:t>
      </w:r>
      <w:r>
        <w:t>zación del procedimiento a ninguna dependencia del l</w:t>
      </w:r>
      <w:r>
        <w:t>u</w:t>
      </w:r>
      <w:r>
        <w:t>gar, ya que su actuación estaba dentro del marco de una causa judicial.</w:t>
      </w:r>
    </w:p>
    <w:p w:rsidR="00224567" w:rsidRDefault="00224567">
      <w:pPr>
        <w:widowControl w:val="0"/>
        <w:ind w:firstLine="2835"/>
      </w:pPr>
      <w:r>
        <w:t>Sostuvo que en una o dos oportunid</w:t>
      </w:r>
      <w:r>
        <w:t>a</w:t>
      </w:r>
      <w:r>
        <w:t>des controló el domicilio de Telleldín de la calle República al 100 de Villa Ballester, como parte de tareas de intel</w:t>
      </w:r>
      <w:r>
        <w:t>i</w:t>
      </w:r>
      <w:r>
        <w:t>gencia, pero no recordó las fechas de tales dil</w:t>
      </w:r>
      <w:r>
        <w:t>i</w:t>
      </w:r>
      <w:r>
        <w:t>gencias.</w:t>
      </w:r>
    </w:p>
    <w:p w:rsidR="00224567" w:rsidRDefault="00224567">
      <w:pPr>
        <w:widowControl w:val="0"/>
        <w:ind w:firstLine="2835"/>
      </w:pPr>
      <w:r>
        <w:t>Precisó que en una ocasión conc</w:t>
      </w:r>
      <w:r>
        <w:t>u</w:t>
      </w:r>
      <w:r>
        <w:t>rrió a dicha morada con Cruz en su vehículo, que s</w:t>
      </w:r>
      <w:r>
        <w:t>e</w:t>
      </w:r>
      <w:r>
        <w:t>gún creía era un Ford Falcon antiguo, y mencionó que quizás también h</w:t>
      </w:r>
      <w:r>
        <w:t>a</w:t>
      </w:r>
      <w:r>
        <w:t>bía ido Casas.</w:t>
      </w:r>
    </w:p>
    <w:p w:rsidR="00224567" w:rsidRDefault="00224567">
      <w:pPr>
        <w:widowControl w:val="0"/>
        <w:ind w:firstLine="2835"/>
      </w:pPr>
      <w:r>
        <w:t>Ibarra afirmó que en esa ocasión est</w:t>
      </w:r>
      <w:r>
        <w:t>a</w:t>
      </w:r>
      <w:r>
        <w:t>cionaron, levantaron el capó del auto para no generar so</w:t>
      </w:r>
      <w:r>
        <w:t>s</w:t>
      </w:r>
      <w:r>
        <w:t>pechas y hablaron con un comerciante de una casa de fot</w:t>
      </w:r>
      <w:r>
        <w:t>o</w:t>
      </w:r>
      <w:r>
        <w:t>grafías de la zona. Así estuvieron no más de media hora sin advertir movimiento alg</w:t>
      </w:r>
      <w:r>
        <w:t>u</w:t>
      </w:r>
      <w:r>
        <w:t>no.</w:t>
      </w:r>
    </w:p>
    <w:p w:rsidR="00224567" w:rsidRDefault="00224567">
      <w:pPr>
        <w:widowControl w:val="0"/>
        <w:ind w:firstLine="2835"/>
      </w:pPr>
      <w:r>
        <w:t>Agregó que tenían identificada la c</w:t>
      </w:r>
      <w:r>
        <w:t>a</w:t>
      </w:r>
      <w:r>
        <w:t>sa de la persona que buscaban, un chalé con ligu</w:t>
      </w:r>
      <w:r>
        <w:t>s</w:t>
      </w:r>
      <w:r>
        <w:t>trina. Creyó recordar que siguieron a un Rastr</w:t>
      </w:r>
      <w:r>
        <w:t>o</w:t>
      </w:r>
      <w:r>
        <w:t xml:space="preserve">jero pero no rememoró si esa diligencia arrojó resultado positivo o lo perdió al llegar a la zona de </w:t>
      </w:r>
      <w:smartTag w:uri="urn:schemas-microsoft-com:office:smarttags" w:element="PersonName">
        <w:smartTagPr>
          <w:attr w:name="ProductID" w:val="La Matanza."/>
        </w:smartTagPr>
        <w:r>
          <w:t>La M</w:t>
        </w:r>
        <w:r>
          <w:t>a</w:t>
        </w:r>
        <w:r>
          <w:t>tanza.</w:t>
        </w:r>
      </w:smartTag>
    </w:p>
    <w:p w:rsidR="00224567" w:rsidRDefault="00224567">
      <w:pPr>
        <w:widowControl w:val="0"/>
        <w:ind w:firstLine="2835"/>
      </w:pPr>
      <w:r>
        <w:t>En la segunda oportunidad, concurrió al lugar con Casas y Toledo en el automóvil Volkswagen Senda del declarante. En esa ocasión repitió la oper</w:t>
      </w:r>
      <w:r>
        <w:t>a</w:t>
      </w:r>
      <w:r>
        <w:t>ción de levantar el capó del vehículo, conversar nuev</w:t>
      </w:r>
      <w:r>
        <w:t>a</w:t>
      </w:r>
      <w:r>
        <w:t>mente con el fotógrafo, que estaba nervioso, pero de todos modos i</w:t>
      </w:r>
      <w:r>
        <w:t>n</w:t>
      </w:r>
      <w:r>
        <w:t>formó que en aquella casa se veía gente sospechosa o mov</w:t>
      </w:r>
      <w:r>
        <w:t>i</w:t>
      </w:r>
      <w:r>
        <w:t>mientos raros no aclarados. Tampoco advirtió, esta vez, movimiento alguno en el domicilio observ</w:t>
      </w:r>
      <w:r>
        <w:t>a</w:t>
      </w:r>
      <w:r>
        <w:t>do.</w:t>
      </w:r>
    </w:p>
    <w:p w:rsidR="00224567" w:rsidRDefault="00224567">
      <w:pPr>
        <w:widowControl w:val="0"/>
        <w:ind w:firstLine="2835"/>
      </w:pPr>
      <w:r>
        <w:t>Expresó que en ninguna de las dos oportunidades relatadas concurrió con vehículos de ap</w:t>
      </w:r>
      <w:r>
        <w:t>o</w:t>
      </w:r>
      <w:r>
        <w:t>yo.</w:t>
      </w:r>
    </w:p>
    <w:p w:rsidR="00224567" w:rsidRDefault="00224567">
      <w:pPr>
        <w:widowControl w:val="0"/>
        <w:ind w:firstLine="2835"/>
      </w:pPr>
      <w:r>
        <w:t>Por otro lado, negó haber efectuado durante el mes de j</w:t>
      </w:r>
      <w:r>
        <w:t>u</w:t>
      </w:r>
      <w:r>
        <w:t>lio de 1994 algún tipo de control del domicilio mencionado o de algún otro lugar frecue</w:t>
      </w:r>
      <w:r>
        <w:t>n</w:t>
      </w:r>
      <w:r>
        <w:t>tado por la persona buscada.</w:t>
      </w:r>
    </w:p>
    <w:p w:rsidR="00224567" w:rsidRDefault="00224567">
      <w:pPr>
        <w:widowControl w:val="0"/>
        <w:ind w:firstLine="2835"/>
      </w:pPr>
      <w:r>
        <w:t>Ibarra recordó que en j</w:t>
      </w:r>
      <w:r>
        <w:t>u</w:t>
      </w:r>
      <w:r>
        <w:t>nio de 1994 se efectuó un requerimiento de citación para Telleldín, por parte del juzgado de Quilmes, que arrojó resultado negat</w:t>
      </w:r>
      <w:r>
        <w:t>i</w:t>
      </w:r>
      <w:r>
        <w:t>vo ya que el requerido no vivía en ese lugar. Ibarra no pudo precisar la dire</w:t>
      </w:r>
      <w:r>
        <w:t>c</w:t>
      </w:r>
      <w:r>
        <w:t>ción donde se efectuó la diligencia, pero expresó, sin poder asegurarlo, que también se trató de ubicar al citado por teléfono.</w:t>
      </w:r>
    </w:p>
    <w:p w:rsidR="00224567" w:rsidRDefault="00224567">
      <w:pPr>
        <w:pStyle w:val="Sangradetextonormal"/>
        <w:widowControl w:val="0"/>
        <w:ind w:firstLine="2835"/>
        <w:rPr>
          <w:lang w:val="es-ES"/>
        </w:rPr>
      </w:pPr>
      <w:r>
        <w:rPr>
          <w:lang w:val="es-ES"/>
        </w:rPr>
        <w:t>Dijo que sabía que Víctor Carlos Cruz se encontraba en disponibilidad preventiva al momento de efectuarse el proced</w:t>
      </w:r>
      <w:r>
        <w:rPr>
          <w:lang w:val="es-ES"/>
        </w:rPr>
        <w:t>i</w:t>
      </w:r>
      <w:r>
        <w:rPr>
          <w:lang w:val="es-ES"/>
        </w:rPr>
        <w:t>miento del 15 de marzo de 1994 en la zona de Olivos y reiteró que el nombrado no pa</w:t>
      </w:r>
      <w:r>
        <w:rPr>
          <w:lang w:val="es-ES"/>
        </w:rPr>
        <w:t>r</w:t>
      </w:r>
      <w:r>
        <w:rPr>
          <w:lang w:val="es-ES"/>
        </w:rPr>
        <w:t>ticipó del operativo, ya que no figuró en el acta y, en defin</w:t>
      </w:r>
      <w:r>
        <w:rPr>
          <w:lang w:val="es-ES"/>
        </w:rPr>
        <w:t>i</w:t>
      </w:r>
      <w:r>
        <w:rPr>
          <w:lang w:val="es-ES"/>
        </w:rPr>
        <w:t>tiva, a quien se le escapó “Teccedin” fue a él y no a Cruz.</w:t>
      </w:r>
    </w:p>
    <w:p w:rsidR="00224567" w:rsidRDefault="00224567">
      <w:pPr>
        <w:pStyle w:val="Sangradetextonormal"/>
        <w:widowControl w:val="0"/>
        <w:ind w:firstLine="2835"/>
        <w:rPr>
          <w:lang w:val="es-ES"/>
        </w:rPr>
      </w:pPr>
      <w:r>
        <w:rPr>
          <w:lang w:val="es-ES"/>
        </w:rPr>
        <w:t>Aclaró que Cruz se limitó a quedarse en el vehículo y a acompañarlo a efectuar los controles de las zonas que “Teccedin” solía frecue</w:t>
      </w:r>
      <w:r>
        <w:rPr>
          <w:lang w:val="es-ES"/>
        </w:rPr>
        <w:t>n</w:t>
      </w:r>
      <w:r>
        <w:rPr>
          <w:lang w:val="es-ES"/>
        </w:rPr>
        <w:t>tar.</w:t>
      </w:r>
    </w:p>
    <w:p w:rsidR="00224567" w:rsidRDefault="00224567">
      <w:pPr>
        <w:widowControl w:val="0"/>
        <w:ind w:firstLine="2835"/>
      </w:pPr>
      <w:r>
        <w:t>Afirmó que cuando Cruz estuvo con él aportando su vehículo Ford para controlar el d</w:t>
      </w:r>
      <w:r>
        <w:t>o</w:t>
      </w:r>
      <w:r>
        <w:t>micilio de “Teccedin”, también estaba en disponibilidad preve</w:t>
      </w:r>
      <w:r>
        <w:t>n</w:t>
      </w:r>
      <w:r>
        <w:t>tiva.</w:t>
      </w:r>
    </w:p>
    <w:p w:rsidR="00224567" w:rsidRDefault="00224567">
      <w:pPr>
        <w:widowControl w:val="0"/>
        <w:ind w:firstLine="2835"/>
      </w:pPr>
      <w:r>
        <w:t>Más adelante sostuvo que fue una sola vez con Cruz a tratar de individualizar a “Teccedin” o T</w:t>
      </w:r>
      <w:r>
        <w:t>e</w:t>
      </w:r>
      <w:r>
        <w:t>lleldín, estimando que Cruz no participó del procedimie</w:t>
      </w:r>
      <w:r>
        <w:t>n</w:t>
      </w:r>
      <w:r>
        <w:t>to, por cuanto sólo se limitó a llevarlo en el a</w:t>
      </w:r>
      <w:r>
        <w:t>u</w:t>
      </w:r>
      <w:r>
        <w:t>to.</w:t>
      </w:r>
    </w:p>
    <w:p w:rsidR="00224567" w:rsidRDefault="00224567">
      <w:pPr>
        <w:widowControl w:val="0"/>
        <w:ind w:firstLine="2835"/>
      </w:pPr>
      <w:r>
        <w:t>Indicó que conoció al subcomisario Jorge Horacio Rago en el año 1996 investigando un secue</w:t>
      </w:r>
      <w:r>
        <w:t>s</w:t>
      </w:r>
      <w:r>
        <w:t>tro extorsivo en el que intervino el juez federal, Dr. Suárez Araujo; aclaró que nunca compartió destino con aquél.</w:t>
      </w:r>
    </w:p>
    <w:p w:rsidR="00224567" w:rsidRDefault="00224567">
      <w:pPr>
        <w:widowControl w:val="0"/>
        <w:ind w:firstLine="2835"/>
      </w:pPr>
      <w:r>
        <w:t>Refirió que al subcomisario Ana</w:t>
      </w:r>
      <w:r>
        <w:t>s</w:t>
      </w:r>
      <w:r>
        <w:t>tasio Ireneo Leal, al subinspector Daniel Emilio Quinteros, a Diego Enrique Barreda y a Mario Norberto Bareiro los con</w:t>
      </w:r>
      <w:r>
        <w:t>o</w:t>
      </w:r>
      <w:r>
        <w:t>ció una vez deten</w:t>
      </w:r>
      <w:r>
        <w:t>i</w:t>
      </w:r>
      <w:r>
        <w:t>do con motivo de esta causa.</w:t>
      </w:r>
    </w:p>
    <w:p w:rsidR="00224567" w:rsidRDefault="00224567">
      <w:pPr>
        <w:widowControl w:val="0"/>
        <w:ind w:firstLine="2835"/>
      </w:pPr>
      <w:r>
        <w:t>Relató que trabajó con Bautista Albe</w:t>
      </w:r>
      <w:r>
        <w:t>r</w:t>
      </w:r>
      <w:r>
        <w:t xml:space="preserve">to Huici en </w:t>
      </w:r>
      <w:smartTag w:uri="urn:schemas-microsoft-com:office:smarttags" w:element="PersonName">
        <w:smartTagPr>
          <w:attr w:name="ProductID" w:val="la Comisar￭a"/>
        </w:smartTagPr>
        <w:r>
          <w:t>la Com</w:t>
        </w:r>
        <w:r>
          <w:t>i</w:t>
        </w:r>
        <w:r>
          <w:t>saría</w:t>
        </w:r>
      </w:smartTag>
      <w:r>
        <w:t xml:space="preserve"> de Lanús 1ª en el año 1980 o 1981 y no lo volvió a ver hasta 1994, cuando compartieron de</w:t>
      </w:r>
      <w:r>
        <w:t>s</w:t>
      </w:r>
      <w:r>
        <w:t xml:space="preserve">tino en </w:t>
      </w:r>
      <w:smartTag w:uri="urn:schemas-microsoft-com:office:smarttags" w:element="PersonName">
        <w:smartTagPr>
          <w:attr w:name="ProductID" w:val="la Brigada"/>
        </w:smartTagPr>
        <w:r>
          <w:t>la Brigada</w:t>
        </w:r>
      </w:smartTag>
      <w:r>
        <w:t xml:space="preserve"> de Lanús.</w:t>
      </w:r>
    </w:p>
    <w:p w:rsidR="00224567" w:rsidRDefault="00224567">
      <w:pPr>
        <w:widowControl w:val="0"/>
        <w:ind w:firstLine="2835"/>
      </w:pPr>
      <w:r>
        <w:t xml:space="preserve">Indicó que era de la misma promoción de Bacigalupo, con quien compartió destino en </w:t>
      </w:r>
      <w:smartTag w:uri="urn:schemas-microsoft-com:office:smarttags" w:element="PersonName">
        <w:smartTagPr>
          <w:attr w:name="ProductID" w:val="la Brigada"/>
        </w:smartTagPr>
        <w:r>
          <w:t>la Brigada</w:t>
        </w:r>
      </w:smartTag>
      <w:r>
        <w:t xml:space="preserve"> de Lanús, en el año 1995 en </w:t>
      </w:r>
      <w:smartTag w:uri="urn:schemas-microsoft-com:office:smarttags" w:element="PersonName">
        <w:smartTagPr>
          <w:attr w:name="ProductID" w:val="la Brigada"/>
        </w:smartTagPr>
        <w:r>
          <w:t>la Brigada</w:t>
        </w:r>
      </w:smartTag>
      <w:r>
        <w:t xml:space="preserve"> de Quilmes y de</w:t>
      </w:r>
      <w:r>
        <w:t>s</w:t>
      </w:r>
      <w:r>
        <w:t xml:space="preserve">pués en </w:t>
      </w:r>
      <w:smartTag w:uri="urn:schemas-microsoft-com:office:smarttags" w:element="PersonName">
        <w:smartTagPr>
          <w:attr w:name="ProductID" w:val="la Divisi￳n Sustracci￳n"/>
        </w:smartTagPr>
        <w:r>
          <w:t>la División Sustracción</w:t>
        </w:r>
      </w:smartTag>
      <w:r>
        <w:t xml:space="preserve"> de A</w:t>
      </w:r>
      <w:r>
        <w:t>u</w:t>
      </w:r>
      <w:r>
        <w:t>tomotores de Vicente López.</w:t>
      </w:r>
    </w:p>
    <w:p w:rsidR="00224567" w:rsidRDefault="00224567">
      <w:pPr>
        <w:widowControl w:val="0"/>
        <w:ind w:firstLine="2835"/>
      </w:pPr>
      <w:r>
        <w:t xml:space="preserve">Ibarra precisó que si bien los pases los disponía la superioridad, en cuanto a </w:t>
      </w:r>
      <w:smartTag w:uri="urn:schemas-microsoft-com:office:smarttags" w:element="PersonName">
        <w:smartTagPr>
          <w:attr w:name="ProductID" w:val="la Brigada"/>
        </w:smartTagPr>
        <w:r>
          <w:t>la Brigada</w:t>
        </w:r>
      </w:smartTag>
      <w:r>
        <w:t xml:space="preserve"> de Quilmes, tanto él como Bacigalupo, por una cuestión de confianza y porque era un destino cercano a sus domic</w:t>
      </w:r>
      <w:r>
        <w:t>i</w:t>
      </w:r>
      <w:r>
        <w:t>lios, gestionaron los medios para que así se dispusiera, máxime considerando que el comisario de Quilmes no opuso rep</w:t>
      </w:r>
      <w:r>
        <w:t>a</w:t>
      </w:r>
      <w:r>
        <w:t>ro alguno.</w:t>
      </w:r>
    </w:p>
    <w:p w:rsidR="00224567" w:rsidRDefault="00224567">
      <w:pPr>
        <w:widowControl w:val="0"/>
        <w:ind w:firstLine="2835"/>
      </w:pPr>
      <w:r>
        <w:t>Agregó que lo mismo ocurrió con rel</w:t>
      </w:r>
      <w:r>
        <w:t>a</w:t>
      </w:r>
      <w:r>
        <w:t xml:space="preserve">ción a </w:t>
      </w:r>
      <w:smartTag w:uri="urn:schemas-microsoft-com:office:smarttags" w:element="PersonName">
        <w:smartTagPr>
          <w:attr w:name="ProductID" w:val="la Divisi￳n Sustracci￳n"/>
        </w:smartTagPr>
        <w:r>
          <w:t>la División Sustracción</w:t>
        </w:r>
      </w:smartTag>
      <w:r>
        <w:t xml:space="preserve"> de Automotores, el comis</w:t>
      </w:r>
      <w:r>
        <w:t>a</w:t>
      </w:r>
      <w:r>
        <w:t>rio Ribelli tampoco se opuso a ello por la confianza exi</w:t>
      </w:r>
      <w:r>
        <w:t>s</w:t>
      </w:r>
      <w:r>
        <w:t>tente entre ambos.</w:t>
      </w:r>
    </w:p>
    <w:p w:rsidR="00224567" w:rsidRDefault="00224567">
      <w:pPr>
        <w:widowControl w:val="0"/>
        <w:ind w:firstLine="2835"/>
      </w:pPr>
      <w:r>
        <w:t>Indicó que también fueron otros int</w:t>
      </w:r>
      <w:r>
        <w:t>e</w:t>
      </w:r>
      <w:r>
        <w:t xml:space="preserve">grantes de </w:t>
      </w:r>
      <w:smartTag w:uri="urn:schemas-microsoft-com:office:smarttags" w:element="PersonName">
        <w:smartTagPr>
          <w:attr w:name="ProductID" w:val="la Brigada"/>
        </w:smartTagPr>
        <w:r>
          <w:t>la Brigada</w:t>
        </w:r>
      </w:smartTag>
      <w:r>
        <w:t xml:space="preserve"> de Lanús en el año 1994. Máxime po</w:t>
      </w:r>
      <w:r>
        <w:t>r</w:t>
      </w:r>
      <w:r>
        <w:t xml:space="preserve">que en virtud de los convenios entre </w:t>
      </w:r>
      <w:smartTag w:uri="urn:schemas-microsoft-com:office:smarttags" w:element="PersonName">
        <w:smartTagPr>
          <w:attr w:name="ProductID" w:val="la Polic￭a Bonaerense"/>
        </w:smartTagPr>
        <w:r>
          <w:t>la Policía B</w:t>
        </w:r>
        <w:r>
          <w:t>o</w:t>
        </w:r>
        <w:r>
          <w:t>naerense</w:t>
        </w:r>
      </w:smartTag>
      <w:r>
        <w:t xml:space="preserve"> y el Registro de </w:t>
      </w:r>
      <w:smartTag w:uri="urn:schemas-microsoft-com:office:smarttags" w:element="PersonName">
        <w:smartTagPr>
          <w:attr w:name="ProductID" w:val="la Propiedad Automotor"/>
        </w:smartTagPr>
        <w:r>
          <w:t>la Propiedad Aut</w:t>
        </w:r>
        <w:r>
          <w:t>o</w:t>
        </w:r>
        <w:r>
          <w:t>motor</w:t>
        </w:r>
      </w:smartTag>
      <w:r>
        <w:t xml:space="preserve"> se les abonaba un adicional de $ 1000 aproximad</w:t>
      </w:r>
      <w:r>
        <w:t>a</w:t>
      </w:r>
      <w:r>
        <w:t>mente.</w:t>
      </w:r>
    </w:p>
    <w:p w:rsidR="00224567" w:rsidRDefault="00224567">
      <w:pPr>
        <w:widowControl w:val="0"/>
        <w:ind w:firstLine="2835"/>
      </w:pPr>
      <w:r>
        <w:t>Afirmó que Arancibia fue de su prom</w:t>
      </w:r>
      <w:r>
        <w:t>o</w:t>
      </w:r>
      <w:r>
        <w:t xml:space="preserve">ción y compartieron destino por primera y única vez en </w:t>
      </w:r>
      <w:smartTag w:uri="urn:schemas-microsoft-com:office:smarttags" w:element="PersonName">
        <w:smartTagPr>
          <w:attr w:name="ProductID" w:val="la Brigada"/>
        </w:smartTagPr>
        <w:r>
          <w:t>la Br</w:t>
        </w:r>
        <w:r>
          <w:t>i</w:t>
        </w:r>
        <w:r>
          <w:t>gada</w:t>
        </w:r>
      </w:smartTag>
      <w:r>
        <w:t xml:space="preserve"> de Lanús.</w:t>
      </w:r>
    </w:p>
    <w:p w:rsidR="00224567" w:rsidRDefault="00224567">
      <w:pPr>
        <w:widowControl w:val="0"/>
        <w:ind w:firstLine="2835"/>
      </w:pPr>
      <w:r>
        <w:t>Respecto de Albarracín, ref</w:t>
      </w:r>
      <w:r>
        <w:t>i</w:t>
      </w:r>
      <w:r>
        <w:t xml:space="preserve">rió que lo conoció en </w:t>
      </w:r>
      <w:smartTag w:uri="urn:schemas-microsoft-com:office:smarttags" w:element="PersonName">
        <w:smartTagPr>
          <w:attr w:name="ProductID" w:val="la Brigada"/>
        </w:smartTagPr>
        <w:r>
          <w:t>la Brigada</w:t>
        </w:r>
      </w:smartTag>
      <w:r>
        <w:t xml:space="preserve"> de Lanús y luego compartieron de</w:t>
      </w:r>
      <w:r>
        <w:t>s</w:t>
      </w:r>
      <w:r>
        <w:t xml:space="preserve">tino en </w:t>
      </w:r>
      <w:smartTag w:uri="urn:schemas-microsoft-com:office:smarttags" w:element="PersonName">
        <w:smartTagPr>
          <w:attr w:name="ProductID" w:val="la Brigada"/>
        </w:smartTagPr>
        <w:r>
          <w:t>la Brigada</w:t>
        </w:r>
      </w:smartTag>
      <w:r>
        <w:t xml:space="preserve"> de Quilmes y en </w:t>
      </w:r>
      <w:smartTag w:uri="urn:schemas-microsoft-com:office:smarttags" w:element="PersonName">
        <w:smartTagPr>
          <w:attr w:name="ProductID" w:val="la Divisi￳n Sustracci￳n"/>
        </w:smartTagPr>
        <w:r>
          <w:t>la División Sustracción</w:t>
        </w:r>
      </w:smartTag>
      <w:r>
        <w:t xml:space="preserve"> de A</w:t>
      </w:r>
      <w:r>
        <w:t>u</w:t>
      </w:r>
      <w:r>
        <w:t>tomotores.</w:t>
      </w:r>
    </w:p>
    <w:p w:rsidR="00224567" w:rsidRDefault="00224567">
      <w:pPr>
        <w:widowControl w:val="0"/>
        <w:ind w:firstLine="2835"/>
      </w:pPr>
      <w:r>
        <w:t>En cuanto a Ribelli dijo que trabaj</w:t>
      </w:r>
      <w:r>
        <w:t>a</w:t>
      </w:r>
      <w:r>
        <w:t>ron juntos en el año 1977 en la comisaría de L</w:t>
      </w:r>
      <w:r>
        <w:t>a</w:t>
      </w:r>
      <w:r>
        <w:t xml:space="preserve">nús 1ª y lo siguió viendo hasta 1980 por razones de servicio, ya que su posterior destino dependía de la delegación en la que se desempeñaba Ribelli. Afirmó ser amigo de éste, con quien compartió destinos en </w:t>
      </w:r>
      <w:smartTag w:uri="urn:schemas-microsoft-com:office:smarttags" w:element="PersonName">
        <w:smartTagPr>
          <w:attr w:name="ProductID" w:val="la Brigada"/>
        </w:smartTagPr>
        <w:r>
          <w:t>la Brigada</w:t>
        </w:r>
      </w:smartTag>
      <w:r>
        <w:t xml:space="preserve"> de Lanús, de Qui</w:t>
      </w:r>
      <w:r>
        <w:t>l</w:t>
      </w:r>
      <w:r>
        <w:t xml:space="preserve">mes y en </w:t>
      </w:r>
      <w:smartTag w:uri="urn:schemas-microsoft-com:office:smarttags" w:element="PersonName">
        <w:smartTagPr>
          <w:attr w:name="ProductID" w:val="la Divisi￳n Sustracci￳n"/>
        </w:smartTagPr>
        <w:r>
          <w:t>la División Sustracción</w:t>
        </w:r>
      </w:smartTag>
      <w:r>
        <w:t xml:space="preserve"> de Autom</w:t>
      </w:r>
      <w:r>
        <w:t>o</w:t>
      </w:r>
      <w:r>
        <w:t>tores de Vicente López.</w:t>
      </w:r>
    </w:p>
    <w:p w:rsidR="00224567" w:rsidRDefault="00224567">
      <w:pPr>
        <w:widowControl w:val="0"/>
        <w:ind w:firstLine="2835"/>
      </w:pPr>
      <w:r>
        <w:t xml:space="preserve">Con relación a Burguete manifestó que trabajaron juntos en Villa Caraza en el año 1977, en la comisaría que dependía de Lanús 1ª donde estaba Ribelli, encontrándose después en </w:t>
      </w:r>
      <w:smartTag w:uri="urn:schemas-microsoft-com:office:smarttags" w:element="PersonName">
        <w:smartTagPr>
          <w:attr w:name="ProductID" w:val="la Brigada"/>
        </w:smartTagPr>
        <w:r>
          <w:t>la Brigada</w:t>
        </w:r>
      </w:smartTag>
      <w:r>
        <w:t xml:space="preserve"> de Lanús.</w:t>
      </w:r>
    </w:p>
    <w:p w:rsidR="00224567" w:rsidRDefault="00224567">
      <w:pPr>
        <w:widowControl w:val="0"/>
        <w:ind w:firstLine="2835"/>
      </w:pPr>
      <w:r>
        <w:t>Refirió que conoció al inspector Cla</w:t>
      </w:r>
      <w:r>
        <w:t>u</w:t>
      </w:r>
      <w:r>
        <w:t xml:space="preserve">dio Walter Araya en </w:t>
      </w:r>
      <w:smartTag w:uri="urn:schemas-microsoft-com:office:smarttags" w:element="PersonName">
        <w:smartTagPr>
          <w:attr w:name="ProductID" w:val="la Brigada"/>
        </w:smartTagPr>
        <w:r>
          <w:t>la Brigada</w:t>
        </w:r>
      </w:smartTag>
      <w:r>
        <w:t xml:space="preserve"> de L</w:t>
      </w:r>
      <w:r>
        <w:t>a</w:t>
      </w:r>
      <w:r>
        <w:t>nús.</w:t>
      </w:r>
    </w:p>
    <w:p w:rsidR="00224567" w:rsidRDefault="00224567">
      <w:pPr>
        <w:widowControl w:val="0"/>
        <w:ind w:firstLine="2835"/>
      </w:pPr>
      <w:r>
        <w:t>En cuanto al sargento Argentino G</w:t>
      </w:r>
      <w:r>
        <w:t>a</w:t>
      </w:r>
      <w:r>
        <w:t>briel Lasala y al suboficial Eduardo Diego Toledo negó c</w:t>
      </w:r>
      <w:r>
        <w:t>o</w:t>
      </w:r>
      <w:r>
        <w:t>noce</w:t>
      </w:r>
      <w:r>
        <w:t>r</w:t>
      </w:r>
      <w:r>
        <w:t>los y haber compartido destino.</w:t>
      </w:r>
    </w:p>
    <w:p w:rsidR="00224567" w:rsidRDefault="00224567">
      <w:pPr>
        <w:widowControl w:val="0"/>
        <w:ind w:firstLine="2835"/>
      </w:pPr>
      <w:r>
        <w:t>Respecto del subcomisario José Aur</w:t>
      </w:r>
      <w:r>
        <w:t>e</w:t>
      </w:r>
      <w:r>
        <w:t>lio Ferrari refirió que lo conocía exclusivamente por su ap</w:t>
      </w:r>
      <w:r>
        <w:t>a</w:t>
      </w:r>
      <w:r>
        <w:t>rición en las últimas publicaciones, aclarando que nunca co</w:t>
      </w:r>
      <w:r>
        <w:t>m</w:t>
      </w:r>
      <w:r>
        <w:t>partió destino con aquél.</w:t>
      </w:r>
    </w:p>
    <w:p w:rsidR="00224567" w:rsidRDefault="00224567">
      <w:pPr>
        <w:widowControl w:val="0"/>
        <w:ind w:firstLine="2835"/>
      </w:pPr>
      <w:r>
        <w:t xml:space="preserve">Indicó que a los suboficiales Marcelo Darío Casas y Walter Alejandro Castro los conoció en </w:t>
      </w:r>
      <w:smartTag w:uri="urn:schemas-microsoft-com:office:smarttags" w:element="PersonName">
        <w:smartTagPr>
          <w:attr w:name="ProductID" w:val="la Brigada"/>
        </w:smartTagPr>
        <w:r>
          <w:t>la Brigada</w:t>
        </w:r>
      </w:smartTag>
      <w:r>
        <w:t xml:space="preserve"> de Lanús y que después compa</w:t>
      </w:r>
      <w:r>
        <w:t>r</w:t>
      </w:r>
      <w:r>
        <w:t xml:space="preserve">tieron destino en </w:t>
      </w:r>
      <w:smartTag w:uri="urn:schemas-microsoft-com:office:smarttags" w:element="PersonName">
        <w:smartTagPr>
          <w:attr w:name="ProductID" w:val="la Divisi￳n Sustracci￳n"/>
        </w:smartTagPr>
        <w:r>
          <w:t>la División Sustracción</w:t>
        </w:r>
      </w:smartTag>
      <w:r>
        <w:t xml:space="preserve"> de Automotores de Vicente López, aclarando que Castro dependía de la sección sur de Banf</w:t>
      </w:r>
      <w:r>
        <w:t>i</w:t>
      </w:r>
      <w:r>
        <w:t>eld.</w:t>
      </w:r>
    </w:p>
    <w:p w:rsidR="00224567" w:rsidRDefault="00224567">
      <w:pPr>
        <w:widowControl w:val="0"/>
        <w:ind w:firstLine="2835"/>
      </w:pPr>
      <w:r>
        <w:t xml:space="preserve">Al suboficial Víctor Carlos Cruz lo conoció recién en </w:t>
      </w:r>
      <w:smartTag w:uri="urn:schemas-microsoft-com:office:smarttags" w:element="PersonName">
        <w:smartTagPr>
          <w:attr w:name="ProductID" w:val="la Brigada"/>
        </w:smartTagPr>
        <w:r>
          <w:t>la Brigada</w:t>
        </w:r>
      </w:smartTag>
      <w:r>
        <w:t xml:space="preserve"> de Lanús y no compartió con éste ningún otro destino.</w:t>
      </w:r>
    </w:p>
    <w:p w:rsidR="00224567" w:rsidRDefault="00224567">
      <w:pPr>
        <w:widowControl w:val="0"/>
        <w:ind w:firstLine="2835"/>
      </w:pPr>
      <w:r>
        <w:t>Al exhibírsele la causa nº 5681 del registro del Juzgado en lo Criminal y Correccional n° 5 del Departamento Judicial de Quilmes, esp</w:t>
      </w:r>
      <w:r>
        <w:t>e</w:t>
      </w:r>
      <w:r>
        <w:t xml:space="preserve">cíficamente las fs. </w:t>
      </w:r>
      <w:smartTag w:uri="urn:schemas-microsoft-com:office:smarttags" w:element="metricconverter">
        <w:smartTagPr>
          <w:attr w:name="ProductID" w:val="623 a"/>
        </w:smartTagPr>
        <w:r>
          <w:t>623 a</w:t>
        </w:r>
      </w:smartTag>
      <w:r>
        <w:t xml:space="preserve"> 625, expresó que no recordaba el domic</w:t>
      </w:r>
      <w:r>
        <w:t>i</w:t>
      </w:r>
      <w:r>
        <w:t>lio de la calle Jonas Salk 2798 de Olivos como perteneciente a Ca</w:t>
      </w:r>
      <w:r>
        <w:t>r</w:t>
      </w:r>
      <w:r>
        <w:t>los Alberto “Teccedin” ni recordó si efe</w:t>
      </w:r>
      <w:r>
        <w:t>c</w:t>
      </w:r>
      <w:r>
        <w:t>tuó seguimientos a dicha persona en el referido domic</w:t>
      </w:r>
      <w:r>
        <w:t>i</w:t>
      </w:r>
      <w:r>
        <w:t>lio.</w:t>
      </w:r>
    </w:p>
    <w:p w:rsidR="00224567" w:rsidRDefault="00224567">
      <w:pPr>
        <w:widowControl w:val="0"/>
        <w:ind w:firstLine="2835"/>
      </w:pPr>
      <w:r>
        <w:t>Al ser preguntado para que explique cuál fue el motivo por el que se citó a “Teccedin” al d</w:t>
      </w:r>
      <w:r>
        <w:t>o</w:t>
      </w:r>
      <w:r>
        <w:t xml:space="preserve">micilio recién mencionado de Olivos, cuando </w:t>
      </w:r>
      <w:smartTag w:uri="urn:schemas-microsoft-com:office:smarttags" w:element="PersonName">
        <w:smartTagPr>
          <w:attr w:name="ProductID" w:val="la Brigada"/>
        </w:smartTagPr>
        <w:r>
          <w:t>la Brig</w:t>
        </w:r>
        <w:r>
          <w:t>a</w:t>
        </w:r>
        <w:r>
          <w:t>da</w:t>
        </w:r>
      </w:smartTag>
      <w:r>
        <w:t xml:space="preserve"> de Lanús contaba con el domicilio de Villa Balle</w:t>
      </w:r>
      <w:r>
        <w:t>s</w:t>
      </w:r>
      <w:r>
        <w:t xml:space="preserve">ter, expresó que dicha citación la confeccionó </w:t>
      </w:r>
      <w:smartTag w:uri="urn:schemas-microsoft-com:office:smarttags" w:element="PersonName">
        <w:smartTagPr>
          <w:attr w:name="ProductID" w:val="la Oficina"/>
        </w:smartTagPr>
        <w:r>
          <w:t>la Of</w:t>
        </w:r>
        <w:r>
          <w:t>i</w:t>
        </w:r>
        <w:r>
          <w:t>cina</w:t>
        </w:r>
      </w:smartTag>
      <w:r>
        <w:t xml:space="preserve"> de Judiciales y no él.</w:t>
      </w:r>
    </w:p>
    <w:p w:rsidR="00224567" w:rsidRDefault="00224567">
      <w:pPr>
        <w:widowControl w:val="0"/>
        <w:ind w:firstLine="2835"/>
      </w:pPr>
      <w:r>
        <w:t>Explicó que en virtud de que la ofic</w:t>
      </w:r>
      <w:r>
        <w:t>i</w:t>
      </w:r>
      <w:r>
        <w:t>na citada notificaba la libertad, “Teccedin” pudo haber aportado ese domicilio en ese momento.</w:t>
      </w:r>
    </w:p>
    <w:p w:rsidR="00224567" w:rsidRDefault="00224567">
      <w:pPr>
        <w:widowControl w:val="0"/>
        <w:ind w:firstLine="2835"/>
      </w:pPr>
      <w:r>
        <w:t>Al exhibírsele la declaración testim</w:t>
      </w:r>
      <w:r>
        <w:t>o</w:t>
      </w:r>
      <w:r>
        <w:t>nial obrante a fs. 37.223/37.224, ratificó su cont</w:t>
      </w:r>
      <w:r>
        <w:t>e</w:t>
      </w:r>
      <w:r>
        <w:t>nido y reconoció su firma. Refirió que allí describió el proced</w:t>
      </w:r>
      <w:r>
        <w:t>i</w:t>
      </w:r>
      <w:r>
        <w:t>miento llevado a cabo en Olivos cuando “Teccedin” se le escapó. No recordó cómo tomó conocimiento del domicilio sito en la calle Eduardo Acosta, esquina Pueyrredón, de la localidad de Lomas del Mirador, ni pudo precisar si además de los domicilios que surgían de dicha declaración se constit</w:t>
      </w:r>
      <w:r>
        <w:t>u</w:t>
      </w:r>
      <w:r>
        <w:t>yó en algún otro.</w:t>
      </w:r>
    </w:p>
    <w:p w:rsidR="00224567" w:rsidRDefault="00224567">
      <w:pPr>
        <w:widowControl w:val="0"/>
        <w:ind w:firstLine="2835"/>
      </w:pPr>
      <w:r>
        <w:t>Además, ratificó el contenido y rec</w:t>
      </w:r>
      <w:r>
        <w:t>o</w:t>
      </w:r>
      <w:r>
        <w:t>noció su firma en la declaración de fs. 37.268/37.269. M</w:t>
      </w:r>
      <w:r>
        <w:t>a</w:t>
      </w:r>
      <w:r>
        <w:t>nifestó que allí relató tanto el procedimiento de Olivos como el de Tort</w:t>
      </w:r>
      <w:r>
        <w:t>u</w:t>
      </w:r>
      <w:r>
        <w:t>guitas.</w:t>
      </w:r>
    </w:p>
    <w:p w:rsidR="00224567" w:rsidRDefault="00224567">
      <w:pPr>
        <w:widowControl w:val="0"/>
        <w:ind w:firstLine="2835"/>
      </w:pPr>
      <w:r>
        <w:t>Ratificó y reconoció como propia una de las firmas esta</w:t>
      </w:r>
      <w:r>
        <w:t>m</w:t>
      </w:r>
      <w:r>
        <w:t>padas en el acta de fs. 37.225/37.228. Sostuvo que la labró en ocasión de la fuga de “Teccedin” y en virtud de la cual resultó her</w:t>
      </w:r>
      <w:r>
        <w:t>i</w:t>
      </w:r>
      <w:r>
        <w:t>do el suboficial Casas y embestido un taxi.</w:t>
      </w:r>
    </w:p>
    <w:p w:rsidR="00224567" w:rsidRDefault="00224567">
      <w:pPr>
        <w:widowControl w:val="0"/>
        <w:ind w:firstLine="2835"/>
      </w:pPr>
      <w:r>
        <w:t>Respecto a la declaración que en c</w:t>
      </w:r>
      <w:r>
        <w:t>o</w:t>
      </w:r>
      <w:r>
        <w:t>pia corre a fs. 37.233/37.234, también ratificó su co</w:t>
      </w:r>
      <w:r>
        <w:t>n</w:t>
      </w:r>
      <w:r>
        <w:t>tenido y reconoció su firma inserta en el documento. Mencionó que allí describió el procedimiento que tuvo lugar en Tort</w:t>
      </w:r>
      <w:r>
        <w:t>u</w:t>
      </w:r>
      <w:r>
        <w:t>guitas y por el cual se det</w:t>
      </w:r>
      <w:r>
        <w:t>u</w:t>
      </w:r>
      <w:r>
        <w:t>vo a quien se identificó como Carlos Alberto “Teccedin” y su acompaña</w:t>
      </w:r>
      <w:r>
        <w:t>n</w:t>
      </w:r>
      <w:r>
        <w:t>te.</w:t>
      </w:r>
    </w:p>
    <w:p w:rsidR="00224567" w:rsidRDefault="00224567">
      <w:pPr>
        <w:widowControl w:val="0"/>
        <w:ind w:firstLine="2835"/>
      </w:pPr>
      <w:r>
        <w:t>En la te</w:t>
      </w:r>
      <w:r>
        <w:t>s</w:t>
      </w:r>
      <w:r>
        <w:t>timonial obrante a fs. 37.330 reconoció su firma. Dijo que le recibieron dos declaraci</w:t>
      </w:r>
      <w:r>
        <w:t>o</w:t>
      </w:r>
      <w:r>
        <w:t xml:space="preserve">nes testimoniales por el mismo hecho, por un problema de </w:t>
      </w:r>
      <w:smartTag w:uri="urn:schemas-microsoft-com:office:smarttags" w:element="PersonName">
        <w:smartTagPr>
          <w:attr w:name="ProductID" w:val="la Oficina"/>
        </w:smartTagPr>
        <w:r>
          <w:t>la Oficina</w:t>
        </w:r>
      </w:smartTag>
      <w:r>
        <w:t xml:space="preserve"> de Judiciales, interviniendo diferentes secr</w:t>
      </w:r>
      <w:r>
        <w:t>e</w:t>
      </w:r>
      <w:r>
        <w:t>tarios de actuación, no p</w:t>
      </w:r>
      <w:r>
        <w:t>u</w:t>
      </w:r>
      <w:r>
        <w:t>diendo explicar por qué ello se hizo así. Precisó que cuando le dijeron “Ibarra, firme”, fue y firmó.</w:t>
      </w:r>
    </w:p>
    <w:p w:rsidR="00224567" w:rsidRDefault="00224567">
      <w:pPr>
        <w:widowControl w:val="0"/>
        <w:ind w:firstLine="2835"/>
      </w:pPr>
      <w:r>
        <w:t>Con relación a las dos testimoniales que suscribió, en las que firmaron como secretarios de a</w:t>
      </w:r>
      <w:r>
        <w:t>c</w:t>
      </w:r>
      <w:r>
        <w:t>tuación Bacigalupo y Arancibia, sostuvo que era posible que una copia se hubiera agregado a la causa penal y la otra al expediente de averiguación de antecede</w:t>
      </w:r>
      <w:r>
        <w:t>n</w:t>
      </w:r>
      <w:r>
        <w:t>tes.</w:t>
      </w:r>
    </w:p>
    <w:p w:rsidR="00224567" w:rsidRDefault="00224567">
      <w:pPr>
        <w:widowControl w:val="0"/>
        <w:ind w:firstLine="2835"/>
      </w:pPr>
      <w:r>
        <w:t xml:space="preserve">Manifestó saber que en </w:t>
      </w:r>
      <w:smartTag w:uri="urn:schemas-microsoft-com:office:smarttags" w:element="PersonName">
        <w:smartTagPr>
          <w:attr w:name="ProductID" w:val="la Oficina"/>
        </w:smartTagPr>
        <w:r>
          <w:t>la Oficina</w:t>
        </w:r>
      </w:smartTag>
      <w:r>
        <w:t xml:space="preserve"> de Judiciales de </w:t>
      </w:r>
      <w:smartTag w:uri="urn:schemas-microsoft-com:office:smarttags" w:element="PersonName">
        <w:smartTagPr>
          <w:attr w:name="ProductID" w:val="la Brigada"/>
        </w:smartTagPr>
        <w:r>
          <w:t>la Brigada</w:t>
        </w:r>
      </w:smartTag>
      <w:r>
        <w:t xml:space="preserve"> de Lanús estaban tanto el of</w:t>
      </w:r>
      <w:r>
        <w:t>i</w:t>
      </w:r>
      <w:r>
        <w:t>cial Arancibia como el oficial Bacig</w:t>
      </w:r>
      <w:r>
        <w:t>a</w:t>
      </w:r>
      <w:r>
        <w:t>lupo.</w:t>
      </w:r>
    </w:p>
    <w:p w:rsidR="00224567" w:rsidRDefault="00224567">
      <w:pPr>
        <w:widowControl w:val="0"/>
        <w:ind w:firstLine="2835"/>
      </w:pPr>
      <w:r>
        <w:t>Respecto de la transcripción de una conversación mantenida entre el declarante y Juan José R</w:t>
      </w:r>
      <w:r>
        <w:t>i</w:t>
      </w:r>
      <w:r>
        <w:t>belli con fecha 5 de julio de 1996, correspondiente al n</w:t>
      </w:r>
      <w:r>
        <w:t>ú</w:t>
      </w:r>
      <w:r>
        <w:t>mero de abonado 440-6746, y procediéndose a la escucha de la casete nº 34, manife</w:t>
      </w:r>
      <w:r>
        <w:t>s</w:t>
      </w:r>
      <w:r>
        <w:t>tó que desconocía como propias las v</w:t>
      </w:r>
      <w:r>
        <w:t>o</w:t>
      </w:r>
      <w:r>
        <w:t>ces que allí surgían.</w:t>
      </w:r>
    </w:p>
    <w:p w:rsidR="00224567" w:rsidRDefault="00224567">
      <w:pPr>
        <w:widowControl w:val="0"/>
        <w:ind w:firstLine="2835"/>
      </w:pPr>
      <w:r>
        <w:t>Refirió que conocía a un “T</w:t>
      </w:r>
      <w:r>
        <w:t>o</w:t>
      </w:r>
      <w:r>
        <w:t xml:space="preserve">rres”, que era un fotógrafo de </w:t>
      </w:r>
      <w:smartTag w:uri="urn:schemas-microsoft-com:office:smarttags" w:element="PersonName">
        <w:smartTagPr>
          <w:attr w:name="ProductID" w:val="la Divisi￳n Sustracci￳n"/>
        </w:smartTagPr>
        <w:r>
          <w:t>la División Sustracción</w:t>
        </w:r>
      </w:smartTag>
      <w:r>
        <w:t xml:space="preserve"> de A</w:t>
      </w:r>
      <w:r>
        <w:t>u</w:t>
      </w:r>
      <w:r>
        <w:t>tomotores de Vicente López. Negó conocer a “Pirucho” y haber part</w:t>
      </w:r>
      <w:r>
        <w:t>i</w:t>
      </w:r>
      <w:r>
        <w:t>cipado en una investigación “relacionada con Monte Ching</w:t>
      </w:r>
      <w:r>
        <w:t>o</w:t>
      </w:r>
      <w:r>
        <w:t>lo”.</w:t>
      </w:r>
    </w:p>
    <w:p w:rsidR="00224567" w:rsidRDefault="00224567">
      <w:pPr>
        <w:widowControl w:val="0"/>
        <w:ind w:firstLine="2835"/>
      </w:pPr>
      <w:r>
        <w:t xml:space="preserve">Agregó que sabía que Rossi era jefe de narcotráfico de </w:t>
      </w:r>
      <w:smartTag w:uri="urn:schemas-microsoft-com:office:smarttags" w:element="PersonName">
        <w:smartTagPr>
          <w:attr w:name="ProductID" w:val="la Polic￭a Bonaerense."/>
        </w:smartTagPr>
        <w:r>
          <w:t>la Policía Bonaerense.</w:t>
        </w:r>
      </w:smartTag>
      <w:r>
        <w:t xml:space="preserve"> Negó conocer a “F</w:t>
      </w:r>
      <w:r>
        <w:t>e</w:t>
      </w:r>
      <w:r>
        <w:t xml:space="preserve">de” y dijo que Sisso era un oficial ayudante de </w:t>
      </w:r>
      <w:smartTag w:uri="urn:schemas-microsoft-com:office:smarttags" w:element="PersonName">
        <w:smartTagPr>
          <w:attr w:name="ProductID" w:val="la Divisi￳n Sustracci￳n"/>
        </w:smartTagPr>
        <w:r>
          <w:t>la Div</w:t>
        </w:r>
        <w:r>
          <w:t>i</w:t>
        </w:r>
        <w:r>
          <w:t>sión Sustracción</w:t>
        </w:r>
      </w:smartTag>
      <w:r>
        <w:t xml:space="preserve"> de Automotores de Vicente López.</w:t>
      </w:r>
    </w:p>
    <w:p w:rsidR="00224567" w:rsidRDefault="00224567">
      <w:pPr>
        <w:widowControl w:val="0"/>
        <w:ind w:firstLine="2835"/>
      </w:pPr>
      <w:r>
        <w:t>Luego de la reproducción de las esc</w:t>
      </w:r>
      <w:r>
        <w:t>u</w:t>
      </w:r>
      <w:r>
        <w:t>chas de la casete nº 12 correspondiente al ab</w:t>
      </w:r>
      <w:r>
        <w:t>o</w:t>
      </w:r>
      <w:r>
        <w:t>nado 425-8982, del 8 de julio de 1996, entre un tal Raúl e Ib</w:t>
      </w:r>
      <w:r>
        <w:t>a</w:t>
      </w:r>
      <w:r>
        <w:t>rra; de la casete nº 20 del mismo abonado, correspondiente al 11 de julio de 1996 y de la misma casete, abonado 425-0222 del 12 de julio de 1996; estas dos ú</w:t>
      </w:r>
      <w:r>
        <w:t>l</w:t>
      </w:r>
      <w:r>
        <w:t>timas entre Ibarra y Juan José Ribelli, exhibidas las respectivas transcripci</w:t>
      </w:r>
      <w:r>
        <w:t>o</w:t>
      </w:r>
      <w:r>
        <w:t>nes, Ibarra negó reconocer su voz y la de su interlocutor en esas tres conversaci</w:t>
      </w:r>
      <w:r>
        <w:t>o</w:t>
      </w:r>
      <w:r>
        <w:t>nes.</w:t>
      </w:r>
    </w:p>
    <w:p w:rsidR="00224567" w:rsidRDefault="00224567">
      <w:pPr>
        <w:widowControl w:val="0"/>
        <w:ind w:firstLine="2835"/>
      </w:pPr>
      <w:r>
        <w:t xml:space="preserve">Manifestó desconocer a “Reinoso” y afirmó, respecto de Aguilera, que si bien no lo conocía personalmente, podía tratarse de alguien de </w:t>
      </w:r>
      <w:smartTag w:uri="urn:schemas-microsoft-com:office:smarttags" w:element="PersonName">
        <w:smartTagPr>
          <w:attr w:name="ProductID" w:val="la Divisi￳n Sustracci￳n"/>
        </w:smartTagPr>
        <w:r>
          <w:t>la División Sustracción</w:t>
        </w:r>
      </w:smartTag>
      <w:r>
        <w:t xml:space="preserve"> de Automotores de Vice</w:t>
      </w:r>
      <w:r>
        <w:t>n</w:t>
      </w:r>
      <w:r>
        <w:t>te López, al que quizás le encargaron alguna diligencia de notificación. Ignoraba si se encontraba en act</w:t>
      </w:r>
      <w:r>
        <w:t>i</w:t>
      </w:r>
      <w:r>
        <w:t>vidad.</w:t>
      </w:r>
    </w:p>
    <w:p w:rsidR="00224567" w:rsidRDefault="00224567">
      <w:pPr>
        <w:widowControl w:val="0"/>
        <w:ind w:firstLine="2835"/>
      </w:pPr>
      <w:r>
        <w:t>Respecto a una persona apodada “Git</w:t>
      </w:r>
      <w:r>
        <w:t>a</w:t>
      </w:r>
      <w:r>
        <w:t>na” dijo que no la conocía, como así tampoco alguna inve</w:t>
      </w:r>
      <w:r>
        <w:t>s</w:t>
      </w:r>
      <w:r>
        <w:t>tigación efectuada respecto de la nombrada. También man</w:t>
      </w:r>
      <w:r>
        <w:t>i</w:t>
      </w:r>
      <w:r>
        <w:t>festó desconocer a “Fanchioti” y a “Raulito”.</w:t>
      </w:r>
    </w:p>
    <w:p w:rsidR="00224567" w:rsidRDefault="00224567">
      <w:pPr>
        <w:widowControl w:val="0"/>
        <w:ind w:firstLine="2835"/>
      </w:pPr>
      <w:r>
        <w:t>Tras escuchar la casete nº 12 corre</w:t>
      </w:r>
      <w:r>
        <w:t>s</w:t>
      </w:r>
      <w:r>
        <w:t>pondiente al abonado número 440-6746, del 27 de junio de 1996, entre Ibarra y Juan José Ribelli, manifestó que no reconocía su voz, ni la de su interloc</w:t>
      </w:r>
      <w:r>
        <w:t>u</w:t>
      </w:r>
      <w:r>
        <w:t>tor.</w:t>
      </w:r>
    </w:p>
    <w:p w:rsidR="00224567" w:rsidRDefault="00224567">
      <w:pPr>
        <w:widowControl w:val="0"/>
        <w:ind w:firstLine="2835"/>
      </w:pPr>
      <w:r>
        <w:t xml:space="preserve">Afirmó que había un subcomisario de apellido Gati en </w:t>
      </w:r>
      <w:smartTag w:uri="urn:schemas-microsoft-com:office:smarttags" w:element="PersonName">
        <w:smartTagPr>
          <w:attr w:name="ProductID" w:val="la Divisi￳n Sustracci￳n"/>
        </w:smartTagPr>
        <w:r>
          <w:t>la División Sustracción</w:t>
        </w:r>
      </w:smartTag>
      <w:r>
        <w:t xml:space="preserve"> de Aut</w:t>
      </w:r>
      <w:r>
        <w:t>o</w:t>
      </w:r>
      <w:r>
        <w:t>motores de Vicente López, y un comisario mayor Sosa que era el coo</w:t>
      </w:r>
      <w:r>
        <w:t>r</w:t>
      </w:r>
      <w:r>
        <w:t xml:space="preserve">dinador de </w:t>
      </w:r>
      <w:smartTag w:uri="urn:schemas-microsoft-com:office:smarttags" w:element="PersonName">
        <w:smartTagPr>
          <w:attr w:name="ProductID" w:val="la Direcci￳n General"/>
        </w:smartTagPr>
        <w:r>
          <w:t>la Dirección General</w:t>
        </w:r>
      </w:smartTag>
      <w:r>
        <w:t xml:space="preserve"> de Investigaciones de la jefatura de </w:t>
      </w:r>
      <w:smartTag w:uri="urn:schemas-microsoft-com:office:smarttags" w:element="PersonName">
        <w:smartTagPr>
          <w:attr w:name="ProductID" w:val="la Polic￭a Bonaerense."/>
        </w:smartTagPr>
        <w:r>
          <w:t>la Policía Bona</w:t>
        </w:r>
        <w:r>
          <w:t>e</w:t>
        </w:r>
        <w:r>
          <w:t>rense.</w:t>
        </w:r>
      </w:smartTag>
    </w:p>
    <w:p w:rsidR="00224567" w:rsidRDefault="00224567">
      <w:pPr>
        <w:widowControl w:val="0"/>
        <w:ind w:firstLine="2835"/>
      </w:pPr>
      <w:r>
        <w:t>Negó conocer a “Aldo” y haber partic</w:t>
      </w:r>
      <w:r>
        <w:t>i</w:t>
      </w:r>
      <w:r>
        <w:t>pado en investigaciones con Gati o S</w:t>
      </w:r>
      <w:r>
        <w:t>o</w:t>
      </w:r>
      <w:r>
        <w:t>sa.</w:t>
      </w:r>
    </w:p>
    <w:p w:rsidR="00224567" w:rsidRDefault="00224567">
      <w:pPr>
        <w:widowControl w:val="0"/>
        <w:ind w:firstLine="2835"/>
      </w:pPr>
      <w:r>
        <w:t>Luego de escuchar la conversación r</w:t>
      </w:r>
      <w:r>
        <w:t>e</w:t>
      </w:r>
      <w:r>
        <w:t>gistrada el 12 de julio de 1996, entre el declarante y Juan José Ribelli, obrante en la casete nº 60 del ab</w:t>
      </w:r>
      <w:r>
        <w:t>o</w:t>
      </w:r>
      <w:r>
        <w:t>nado 440-6746, Ibarra refirió que no rec</w:t>
      </w:r>
      <w:r>
        <w:t>o</w:t>
      </w:r>
      <w:r>
        <w:t>nocía su voz, ni la de su interloc</w:t>
      </w:r>
      <w:r>
        <w:t>u</w:t>
      </w:r>
      <w:r>
        <w:t>tor.</w:t>
      </w:r>
    </w:p>
    <w:p w:rsidR="00224567" w:rsidRDefault="00224567">
      <w:pPr>
        <w:widowControl w:val="0"/>
        <w:ind w:firstLine="2835"/>
      </w:pPr>
      <w:r>
        <w:t>Sostuvo que había un suboficial Gu</w:t>
      </w:r>
      <w:r>
        <w:t>z</w:t>
      </w:r>
      <w:r>
        <w:t xml:space="preserve">mán en </w:t>
      </w:r>
      <w:smartTag w:uri="urn:schemas-microsoft-com:office:smarttags" w:element="PersonName">
        <w:smartTagPr>
          <w:attr w:name="ProductID" w:val="la Divisi￳n Sustracci￳n"/>
        </w:smartTagPr>
        <w:r>
          <w:t>la División Sustracción</w:t>
        </w:r>
      </w:smartTag>
      <w:r>
        <w:t xml:space="preserve"> de Automotores de Vicente L</w:t>
      </w:r>
      <w:r>
        <w:t>ó</w:t>
      </w:r>
      <w:r>
        <w:t>pez.</w:t>
      </w:r>
    </w:p>
    <w:p w:rsidR="00224567" w:rsidRDefault="00224567">
      <w:pPr>
        <w:widowControl w:val="0"/>
        <w:ind w:firstLine="2835"/>
      </w:pPr>
      <w:r>
        <w:t>Afirmó que el 12 de julio de 1996 se encontraba en la citada dependencia cuando lo detuvi</w:t>
      </w:r>
      <w:r>
        <w:t>e</w:t>
      </w:r>
      <w:r>
        <w:t xml:space="preserve">ron. Recordó a una persona detenida en la zona de </w:t>
      </w:r>
      <w:smartTag w:uri="urn:schemas-microsoft-com:office:smarttags" w:element="PersonName">
        <w:smartTagPr>
          <w:attr w:name="ProductID" w:val="La Matanza"/>
        </w:smartTagPr>
        <w:r>
          <w:t>La Matanza</w:t>
        </w:r>
      </w:smartTag>
      <w:r>
        <w:t>, que fue llevada a la dependencia como testigo compulsivo y a quien luego se le dio ingreso por d</w:t>
      </w:r>
      <w:r>
        <w:t>e</w:t>
      </w:r>
      <w:r>
        <w:t>fraudación, pero no recordó su nombre, apellido ni domicilio. Refirió que no fueron detenidas otras personas ese día, ni siquiera por averiguación de antecede</w:t>
      </w:r>
      <w:r>
        <w:t>n</w:t>
      </w:r>
      <w:r>
        <w:t>tes.</w:t>
      </w:r>
    </w:p>
    <w:p w:rsidR="00224567" w:rsidRDefault="00224567">
      <w:pPr>
        <w:widowControl w:val="0"/>
        <w:ind w:firstLine="2835"/>
      </w:pPr>
      <w:r>
        <w:t>Al reproducirse la conversación de f</w:t>
      </w:r>
      <w:r>
        <w:t>e</w:t>
      </w:r>
      <w:r>
        <w:t>cha 12 de julio de 1996, entre Ibarra y Juan José R</w:t>
      </w:r>
      <w:r>
        <w:t>i</w:t>
      </w:r>
      <w:r>
        <w:t>belli, registrada en la casete nº 62 del abonado 440-6746, desc</w:t>
      </w:r>
      <w:r>
        <w:t>o</w:t>
      </w:r>
      <w:r>
        <w:t>noció en la grabación su voz y la de su interloc</w:t>
      </w:r>
      <w:r>
        <w:t>u</w:t>
      </w:r>
      <w:r>
        <w:t>tor.</w:t>
      </w:r>
    </w:p>
    <w:p w:rsidR="00224567" w:rsidRDefault="00224567">
      <w:pPr>
        <w:widowControl w:val="0"/>
        <w:ind w:firstLine="2835"/>
      </w:pPr>
      <w:r>
        <w:t>Negó conocer a alguna persona apodada “Baci” y a otra de apellido “Hirrera”.</w:t>
      </w:r>
    </w:p>
    <w:p w:rsidR="00224567" w:rsidRDefault="00224567">
      <w:pPr>
        <w:widowControl w:val="0"/>
        <w:ind w:firstLine="2835"/>
      </w:pPr>
      <w:r>
        <w:t>Afirmó que fue ayudado por el comis</w:t>
      </w:r>
      <w:r>
        <w:t>a</w:t>
      </w:r>
      <w:r>
        <w:t>rio Juan José Ribelli exclusivamente para conseguir la p</w:t>
      </w:r>
      <w:r>
        <w:t>o</w:t>
      </w:r>
      <w:r>
        <w:t>sibilidad de cumplir adicionales.</w:t>
      </w:r>
    </w:p>
    <w:p w:rsidR="00224567" w:rsidRDefault="00224567">
      <w:pPr>
        <w:widowControl w:val="0"/>
        <w:ind w:firstLine="2835"/>
      </w:pPr>
      <w:r>
        <w:t>Al reproducirse la conversación regi</w:t>
      </w:r>
      <w:r>
        <w:t>s</w:t>
      </w:r>
      <w:r>
        <w:t>trada el 12 de julio de 1996 en la casete 63 del abonado número 440-6746, individualizada como mantenida entre Ib</w:t>
      </w:r>
      <w:r>
        <w:t>a</w:t>
      </w:r>
      <w:r>
        <w:t>rra y Juan José Ribelli, el declarante no r</w:t>
      </w:r>
      <w:r>
        <w:t>e</w:t>
      </w:r>
      <w:r>
        <w:t>conoció su voz ni la de su interloc</w:t>
      </w:r>
      <w:r>
        <w:t>u</w:t>
      </w:r>
      <w:r>
        <w:t>tor.</w:t>
      </w:r>
    </w:p>
    <w:p w:rsidR="00224567" w:rsidRDefault="00224567">
      <w:pPr>
        <w:widowControl w:val="0"/>
        <w:ind w:firstLine="2835"/>
      </w:pPr>
      <w:r>
        <w:t>Idéntica respuesta dio después de oír la casete nº 66 del mismo abonado, fecha e interlocut</w:t>
      </w:r>
      <w:r>
        <w:t>o</w:t>
      </w:r>
      <w:r>
        <w:t>res. En esa oportunidad señaló que no conocía a una persona apodada “Turco”, ni a otra de nombre “Alejandro”, ni a otra que la ll</w:t>
      </w:r>
      <w:r>
        <w:t>a</w:t>
      </w:r>
      <w:r>
        <w:t>maran “Patrón”.</w:t>
      </w:r>
    </w:p>
    <w:p w:rsidR="00224567" w:rsidRDefault="00224567">
      <w:pPr>
        <w:widowControl w:val="0"/>
        <w:ind w:firstLine="2835"/>
      </w:pPr>
      <w:r>
        <w:t>Manifestó no recordar cuál fue la ú</w:t>
      </w:r>
      <w:r>
        <w:t>l</w:t>
      </w:r>
      <w:r>
        <w:t>tima vez que mantuvo una conversación telefónica antes de ser detenido. Destacó que estando preso, antes de ser trasladado al juzgado instructor, no se comunicó con pe</w:t>
      </w:r>
      <w:r>
        <w:t>r</w:t>
      </w:r>
      <w:r>
        <w:t>sona alguna.</w:t>
      </w:r>
    </w:p>
    <w:p w:rsidR="00224567" w:rsidRDefault="00224567">
      <w:pPr>
        <w:widowControl w:val="0"/>
        <w:ind w:firstLine="2835"/>
      </w:pPr>
      <w:r>
        <w:t xml:space="preserve">Expuso que fue detenido en </w:t>
      </w:r>
      <w:smartTag w:uri="urn:schemas-microsoft-com:office:smarttags" w:element="PersonName">
        <w:smartTagPr>
          <w:attr w:name="ProductID" w:val="la Divisi￳n Sustracci￳n"/>
        </w:smartTagPr>
        <w:r>
          <w:t>la Div</w:t>
        </w:r>
        <w:r>
          <w:t>i</w:t>
        </w:r>
        <w:r>
          <w:t>sión Sustracción</w:t>
        </w:r>
      </w:smartTag>
      <w:r>
        <w:t xml:space="preserve"> de A</w:t>
      </w:r>
      <w:r>
        <w:t>u</w:t>
      </w:r>
      <w:r>
        <w:t xml:space="preserve">tomotores de Vicente López y que de allí fue conducido a las </w:t>
      </w:r>
      <w:smartTag w:uri="urn:schemas-microsoft-com:office:smarttags" w:element="metricconverter">
        <w:smartTagPr>
          <w:attr w:name="ProductID" w:val="22.00 a"/>
        </w:smartTagPr>
        <w:r>
          <w:t>22.00 a</w:t>
        </w:r>
      </w:smartTag>
      <w:r>
        <w:t xml:space="preserve"> </w:t>
      </w:r>
      <w:smartTag w:uri="urn:schemas-microsoft-com:office:smarttags" w:element="PersonName">
        <w:smartTagPr>
          <w:attr w:name="ProductID" w:val="la Brigada"/>
        </w:smartTagPr>
        <w:r>
          <w:t>la Brigada</w:t>
        </w:r>
      </w:smartTag>
      <w:r>
        <w:t xml:space="preserve"> de Investig</w:t>
      </w:r>
      <w:r>
        <w:t>a</w:t>
      </w:r>
      <w:r>
        <w:t xml:space="preserve">ciones de Quilmes, donde permaneció esa noche. Agregó que en </w:t>
      </w:r>
      <w:smartTag w:uri="urn:schemas-microsoft-com:office:smarttags" w:element="PersonName">
        <w:smartTagPr>
          <w:attr w:name="ProductID" w:val="la Divisi￳n"/>
        </w:smartTagPr>
        <w:r>
          <w:t>la División</w:t>
        </w:r>
      </w:smartTag>
      <w:r>
        <w:t xml:space="preserve"> de Automotores de Vicente López firmó un acta, pero a renglón seguido, se re</w:t>
      </w:r>
      <w:r>
        <w:t>c</w:t>
      </w:r>
      <w:r>
        <w:t xml:space="preserve">tificó y dijo que el acta la rubricó en </w:t>
      </w:r>
      <w:smartTag w:uri="urn:schemas-microsoft-com:office:smarttags" w:element="PersonName">
        <w:smartTagPr>
          <w:attr w:name="ProductID" w:val="la Brigada"/>
        </w:smartTagPr>
        <w:r>
          <w:t>la Brigada</w:t>
        </w:r>
      </w:smartTag>
      <w:r>
        <w:t xml:space="preserve"> de Quilmes en horas de la madrug</w:t>
      </w:r>
      <w:r>
        <w:t>a</w:t>
      </w:r>
      <w:r>
        <w:t>da; lugar en el que le extrajeron el primer juego de fichas dactiloscópicas.</w:t>
      </w:r>
    </w:p>
    <w:p w:rsidR="00224567" w:rsidRDefault="00224567">
      <w:pPr>
        <w:widowControl w:val="0"/>
        <w:ind w:firstLine="2835"/>
      </w:pPr>
      <w:r>
        <w:t>Especificó que en esta dependencia e</w:t>
      </w:r>
      <w:r>
        <w:t>s</w:t>
      </w:r>
      <w:r>
        <w:t>tuvo alojado solo, en una pieza sita dentro del lugar de los calabozos, y que los demás detenidos estaban distr</w:t>
      </w:r>
      <w:r>
        <w:t>i</w:t>
      </w:r>
      <w:r>
        <w:t>buidos en otros lugares.</w:t>
      </w:r>
    </w:p>
    <w:p w:rsidR="00224567" w:rsidRDefault="00224567">
      <w:pPr>
        <w:widowControl w:val="0"/>
        <w:ind w:firstLine="2835"/>
      </w:pPr>
      <w:r>
        <w:t>Al día siguiente, indicó, fue trasl</w:t>
      </w:r>
      <w:r>
        <w:t>a</w:t>
      </w:r>
      <w:r>
        <w:t xml:space="preserve">dado al Juzgado Federal de </w:t>
      </w:r>
      <w:smartTag w:uri="urn:schemas-microsoft-com:office:smarttags" w:element="PersonName">
        <w:smartTagPr>
          <w:attr w:name="ProductID" w:val="La Plata"/>
        </w:smartTagPr>
        <w:r>
          <w:t>La Plata</w:t>
        </w:r>
      </w:smartTag>
      <w:r>
        <w:t>, donde le notific</w:t>
      </w:r>
      <w:r>
        <w:t>a</w:t>
      </w:r>
      <w:r>
        <w:t>ron su incomunicación y el motivo de la dete</w:t>
      </w:r>
      <w:r>
        <w:t>n</w:t>
      </w:r>
      <w:r>
        <w:t>ción.</w:t>
      </w:r>
    </w:p>
    <w:p w:rsidR="00224567" w:rsidRDefault="00224567">
      <w:pPr>
        <w:widowControl w:val="0"/>
        <w:ind w:firstLine="2835"/>
      </w:pPr>
      <w:r>
        <w:t>Precisó que el segundo juego de f</w:t>
      </w:r>
      <w:r>
        <w:t>i</w:t>
      </w:r>
      <w:r>
        <w:t xml:space="preserve">chas dactiloscópicas se lo extrajeron una vez detenido en </w:t>
      </w:r>
      <w:smartTag w:uri="urn:schemas-microsoft-com:office:smarttags" w:element="PersonName">
        <w:smartTagPr>
          <w:attr w:name="ProductID" w:val="la Polic￭a Federal."/>
        </w:smartTagPr>
        <w:r>
          <w:t>la Policía Federal.</w:t>
        </w:r>
      </w:smartTag>
    </w:p>
    <w:p w:rsidR="00224567" w:rsidRDefault="00224567">
      <w:pPr>
        <w:widowControl w:val="0"/>
        <w:ind w:firstLine="2835"/>
      </w:pPr>
      <w:r>
        <w:t>Tras la reproducción de la convers</w:t>
      </w:r>
      <w:r>
        <w:t>a</w:t>
      </w:r>
      <w:r>
        <w:t>ción registrada en la casete nº 63 correspondiente al ab</w:t>
      </w:r>
      <w:r>
        <w:t>o</w:t>
      </w:r>
      <w:r>
        <w:t>nado nº 440-6746 del 12 de julio de 1996, mantenida entre Juan José Ribelli, una persona no identificada e Ibarra, el dicente negó reconocer su voz y la de los demás inte</w:t>
      </w:r>
      <w:r>
        <w:t>r</w:t>
      </w:r>
      <w:r>
        <w:t>locutores.</w:t>
      </w:r>
    </w:p>
    <w:p w:rsidR="00224567" w:rsidRDefault="00224567">
      <w:pPr>
        <w:widowControl w:val="0"/>
        <w:ind w:firstLine="2835"/>
      </w:pPr>
      <w:r>
        <w:t xml:space="preserve">Manifestó, además, que no conocía a personas apodadas como “Juancito” o “el Gordo” y que el subcomisario Provenzano era el jefe de turno de </w:t>
      </w:r>
      <w:smartTag w:uri="urn:schemas-microsoft-com:office:smarttags" w:element="PersonName">
        <w:smartTagPr>
          <w:attr w:name="ProductID" w:val="la Divisi￳n Sustracci￳n"/>
        </w:smartTagPr>
        <w:r>
          <w:t>la Div</w:t>
        </w:r>
        <w:r>
          <w:t>i</w:t>
        </w:r>
        <w:r>
          <w:t>sión Sustracción</w:t>
        </w:r>
      </w:smartTag>
      <w:r>
        <w:t xml:space="preserve"> de Automotores de Vicente López el día de su detención, pero que dependía de </w:t>
      </w:r>
      <w:smartTag w:uri="urn:schemas-microsoft-com:office:smarttags" w:element="PersonName">
        <w:smartTagPr>
          <w:attr w:name="ProductID" w:val="la Divisi￳n Sustracci￳n"/>
        </w:smartTagPr>
        <w:r>
          <w:t>la División Sustracción</w:t>
        </w:r>
      </w:smartTag>
      <w:r>
        <w:t xml:space="preserve"> de Automotores de </w:t>
      </w:r>
      <w:smartTag w:uri="urn:schemas-microsoft-com:office:smarttags" w:element="PersonName">
        <w:smartTagPr>
          <w:attr w:name="ProductID" w:val="La Matanza."/>
        </w:smartTagPr>
        <w:r>
          <w:t>La Mata</w:t>
        </w:r>
        <w:r>
          <w:t>n</w:t>
        </w:r>
        <w:r>
          <w:t>za.</w:t>
        </w:r>
      </w:smartTag>
    </w:p>
    <w:p w:rsidR="00224567" w:rsidRDefault="00224567">
      <w:pPr>
        <w:widowControl w:val="0"/>
        <w:ind w:firstLine="2835"/>
      </w:pPr>
      <w:r>
        <w:t>Agregó que el subcomisario Maisú est</w:t>
      </w:r>
      <w:r>
        <w:t>a</w:t>
      </w:r>
      <w:r>
        <w:t xml:space="preserve">ba a cargo de </w:t>
      </w:r>
      <w:smartTag w:uri="urn:schemas-microsoft-com:office:smarttags" w:element="PersonName">
        <w:smartTagPr>
          <w:attr w:name="ProductID" w:val="la Divisi￳n Sustracci￳n"/>
        </w:smartTagPr>
        <w:r>
          <w:t>la División Sustracción</w:t>
        </w:r>
      </w:smartTag>
      <w:r>
        <w:t xml:space="preserve"> de Automotores de Banfield y no recordó haberlo visto en Vicente López el día de su detención.</w:t>
      </w:r>
    </w:p>
    <w:p w:rsidR="00224567" w:rsidRDefault="00224567">
      <w:pPr>
        <w:widowControl w:val="0"/>
        <w:ind w:firstLine="2835"/>
      </w:pPr>
      <w:r>
        <w:t xml:space="preserve">Dijo que Espósito era un oficial de inteligencia de </w:t>
      </w:r>
      <w:smartTag w:uri="urn:schemas-microsoft-com:office:smarttags" w:element="PersonName">
        <w:smartTagPr>
          <w:attr w:name="ProductID" w:val="la Divisi￳n Sustracci￳n"/>
        </w:smartTagPr>
        <w:r>
          <w:t>la División Sustracción</w:t>
        </w:r>
      </w:smartTag>
      <w:r>
        <w:t xml:space="preserve"> de Aut</w:t>
      </w:r>
      <w:r>
        <w:t>o</w:t>
      </w:r>
      <w:r>
        <w:t>motores de V</w:t>
      </w:r>
      <w:r>
        <w:t>i</w:t>
      </w:r>
      <w:r>
        <w:t>cente López.</w:t>
      </w:r>
    </w:p>
    <w:p w:rsidR="00224567" w:rsidRDefault="00224567">
      <w:pPr>
        <w:widowControl w:val="0"/>
        <w:ind w:firstLine="2835"/>
      </w:pPr>
      <w:r>
        <w:t>Expuso que esa dependencia cont</w:t>
      </w:r>
      <w:r>
        <w:t>a</w:t>
      </w:r>
      <w:r>
        <w:t>ba con una sola caja fuerte en la oficina del dice</w:t>
      </w:r>
      <w:r>
        <w:t>n</w:t>
      </w:r>
      <w:r>
        <w:t>te y que allí reservaban el dinero de unas rifas que realizaba la coop</w:t>
      </w:r>
      <w:r>
        <w:t>e</w:t>
      </w:r>
      <w:r>
        <w:t>radora de la escuela de policía y los valores de los ad</w:t>
      </w:r>
      <w:r>
        <w:t>i</w:t>
      </w:r>
      <w:r>
        <w:t>cionales correspondientes al dinero que se pagaba en fu</w:t>
      </w:r>
      <w:r>
        <w:t>n</w:t>
      </w:r>
      <w:r>
        <w:t xml:space="preserve">ción del convenio entre </w:t>
      </w:r>
      <w:smartTag w:uri="urn:schemas-microsoft-com:office:smarttags" w:element="PersonName">
        <w:smartTagPr>
          <w:attr w:name="ProductID" w:val="la Polic￭a Bonaerense"/>
        </w:smartTagPr>
        <w:r>
          <w:t>la Policía Bonaerense</w:t>
        </w:r>
      </w:smartTag>
      <w:r>
        <w:t xml:space="preserve"> y el Regi</w:t>
      </w:r>
      <w:r>
        <w:t>s</w:t>
      </w:r>
      <w:r>
        <w:t>tro del Automotor, que comprendía ocho zonas de la provi</w:t>
      </w:r>
      <w:r>
        <w:t>n</w:t>
      </w:r>
      <w:r>
        <w:t>cia de Buenos Aires.</w:t>
      </w:r>
    </w:p>
    <w:p w:rsidR="00224567" w:rsidRDefault="00224567">
      <w:pPr>
        <w:widowControl w:val="0"/>
        <w:ind w:firstLine="2835"/>
      </w:pPr>
      <w:r>
        <w:t>Ibarra negó haber recibido recomend</w:t>
      </w:r>
      <w:r>
        <w:t>a</w:t>
      </w:r>
      <w:r>
        <w:t>ciones en cuanto a cómo debía actuar frente al juzgado instructor, por parte del comisario Juan José Ribelli. N</w:t>
      </w:r>
      <w:r>
        <w:t>e</w:t>
      </w:r>
      <w:r>
        <w:t>gó haber impartido directivas a superiores o inferi</w:t>
      </w:r>
      <w:r>
        <w:t>o</w:t>
      </w:r>
      <w:r>
        <w:t>res de su división en cuanto a la forma de actuar respecto a los efectos personales que tuviera en aquélla, limitándose a impartir directivas a quien correspondía en orden a las noved</w:t>
      </w:r>
      <w:r>
        <w:t>a</w:t>
      </w:r>
      <w:r>
        <w:t>des del servicio.</w:t>
      </w:r>
    </w:p>
    <w:p w:rsidR="00224567" w:rsidRDefault="00224567">
      <w:pPr>
        <w:widowControl w:val="0"/>
        <w:ind w:firstLine="2835"/>
      </w:pPr>
      <w:r>
        <w:t>Al reproducirse la escucha de la co</w:t>
      </w:r>
      <w:r>
        <w:t>n</w:t>
      </w:r>
      <w:r>
        <w:t>versación registrada en la casete nº 11 del ab</w:t>
      </w:r>
      <w:r>
        <w:t>o</w:t>
      </w:r>
      <w:r>
        <w:t>nado 440-6746, de fecha 27 de junio de 1996, supuestamente manten</w:t>
      </w:r>
      <w:r>
        <w:t>i</w:t>
      </w:r>
      <w:r>
        <w:t>da entre Ibarra y Juan José Ribelli, expresó que no rec</w:t>
      </w:r>
      <w:r>
        <w:t>o</w:t>
      </w:r>
      <w:r>
        <w:t>nocía las voces de los interlocut</w:t>
      </w:r>
      <w:r>
        <w:t>o</w:t>
      </w:r>
      <w:r>
        <w:t>res.</w:t>
      </w:r>
    </w:p>
    <w:p w:rsidR="00224567" w:rsidRDefault="00224567">
      <w:pPr>
        <w:widowControl w:val="0"/>
        <w:ind w:firstLine="2835"/>
      </w:pPr>
      <w:r>
        <w:t>Dijo que no participó en actuaciones en las que interviniera algún contador o en las que se realizara un peritaje co</w:t>
      </w:r>
      <w:r>
        <w:t>n</w:t>
      </w:r>
      <w:r>
        <w:t>table.</w:t>
      </w:r>
    </w:p>
    <w:p w:rsidR="00224567" w:rsidRDefault="00224567">
      <w:pPr>
        <w:widowControl w:val="0"/>
        <w:ind w:firstLine="2835"/>
      </w:pPr>
      <w:r>
        <w:t>Manifestó desconocer a alguna persona a quien se refiriera como “el Doctor” y negó haber inte</w:t>
      </w:r>
      <w:r>
        <w:t>r</w:t>
      </w:r>
      <w:r>
        <w:t>venido en alguna actuación relacionada con un tema o pe</w:t>
      </w:r>
      <w:r>
        <w:t>r</w:t>
      </w:r>
      <w:r>
        <w:t>sona denomin</w:t>
      </w:r>
      <w:r>
        <w:t>a</w:t>
      </w:r>
      <w:r>
        <w:t>da “Pollito”.</w:t>
      </w:r>
    </w:p>
    <w:p w:rsidR="00224567" w:rsidRDefault="00224567">
      <w:pPr>
        <w:widowControl w:val="0"/>
        <w:ind w:firstLine="2835"/>
      </w:pPr>
      <w:r>
        <w:t>Señaló que no reconocía a las pers</w:t>
      </w:r>
      <w:r>
        <w:t>o</w:t>
      </w:r>
      <w:r>
        <w:t>nas llamadas Barreimundo, Vidal, Cadena, Pastore o Bianchi, pero que en su oportunidad tomó con</w:t>
      </w:r>
      <w:r>
        <w:t>o</w:t>
      </w:r>
      <w:r>
        <w:t>cimiento por orden del día que habían pasado a ret</w:t>
      </w:r>
      <w:r>
        <w:t>i</w:t>
      </w:r>
      <w:r>
        <w:t>ro.</w:t>
      </w:r>
    </w:p>
    <w:p w:rsidR="00224567" w:rsidRDefault="00224567">
      <w:pPr>
        <w:widowControl w:val="0"/>
        <w:ind w:firstLine="2835"/>
      </w:pPr>
      <w:r>
        <w:t>Expresó que nunca intervino ni supo de actuaciones o investigaciones relativas al delito de cu</w:t>
      </w:r>
      <w:r>
        <w:t>a</w:t>
      </w:r>
      <w:r>
        <w:t>trerismo.</w:t>
      </w:r>
    </w:p>
    <w:p w:rsidR="00224567" w:rsidRDefault="00224567">
      <w:pPr>
        <w:widowControl w:val="0"/>
        <w:ind w:firstLine="2835"/>
      </w:pPr>
      <w:r>
        <w:t>Indicó que ni a la fecha de la última conversación que se le hiciera escuchar, ni en días pr</w:t>
      </w:r>
      <w:r>
        <w:t>e</w:t>
      </w:r>
      <w:r>
        <w:t>vios a aquella, tomó conocimiento o intervención en actu</w:t>
      </w:r>
      <w:r>
        <w:t>a</w:t>
      </w:r>
      <w:r>
        <w:t>ciones o en investigación alguna en la que tuviera que justificarse la permanencia por 24 horas de alguna pers</w:t>
      </w:r>
      <w:r>
        <w:t>o</w:t>
      </w:r>
      <w:r>
        <w:t>na.</w:t>
      </w:r>
    </w:p>
    <w:p w:rsidR="00224567" w:rsidRDefault="00224567">
      <w:pPr>
        <w:widowControl w:val="0"/>
        <w:ind w:firstLine="2835"/>
      </w:pPr>
      <w:r>
        <w:t>Luego de escuchar la conversación r</w:t>
      </w:r>
      <w:r>
        <w:t>e</w:t>
      </w:r>
      <w:r>
        <w:t>gistrada en la casete nº 61 del abon</w:t>
      </w:r>
      <w:r>
        <w:t>a</w:t>
      </w:r>
      <w:r>
        <w:t>do 440-6746, de fecha 12 de julio de 1996, individualizada como mant</w:t>
      </w:r>
      <w:r>
        <w:t>e</w:t>
      </w:r>
      <w:r>
        <w:t>nida entre Ibarra y Juan José Ribelli, manife</w:t>
      </w:r>
      <w:r>
        <w:t>s</w:t>
      </w:r>
      <w:r>
        <w:t>tó que no reconocía su voz, ni la de su interloc</w:t>
      </w:r>
      <w:r>
        <w:t>u</w:t>
      </w:r>
      <w:r>
        <w:t>tor.</w:t>
      </w:r>
    </w:p>
    <w:p w:rsidR="00224567" w:rsidRDefault="00224567">
      <w:pPr>
        <w:widowControl w:val="0"/>
        <w:ind w:firstLine="2835"/>
      </w:pPr>
      <w:r>
        <w:t>Negó haber intervenido en alguna a</w:t>
      </w:r>
      <w:r>
        <w:t>c</w:t>
      </w:r>
      <w:r>
        <w:t>tuación relativa a un camión Scania, como haber particip</w:t>
      </w:r>
      <w:r>
        <w:t>a</w:t>
      </w:r>
      <w:r>
        <w:t>do en alguna investigación con intervención del juez Lle</w:t>
      </w:r>
      <w:r>
        <w:t>r</w:t>
      </w:r>
      <w:r>
        <w:t>manos. Asimismo, negó conocer a una persona apodada “el Turco”.</w:t>
      </w:r>
    </w:p>
    <w:p w:rsidR="00224567" w:rsidRDefault="00224567">
      <w:pPr>
        <w:widowControl w:val="0"/>
        <w:ind w:firstLine="2835"/>
      </w:pPr>
      <w:r>
        <w:t>Expuso que desconocía la total</w:t>
      </w:r>
      <w:r>
        <w:t>i</w:t>
      </w:r>
      <w:r>
        <w:t>dad del contenido de las conversaciones que surgían de las tran</w:t>
      </w:r>
      <w:r>
        <w:t>s</w:t>
      </w:r>
      <w:r>
        <w:t>cripciones exhibidas y de las correspondientes c</w:t>
      </w:r>
      <w:r>
        <w:t>a</w:t>
      </w:r>
      <w:r>
        <w:t>setes que se le hicieron escuchar.</w:t>
      </w:r>
    </w:p>
    <w:p w:rsidR="00224567" w:rsidRDefault="00224567">
      <w:pPr>
        <w:widowControl w:val="0"/>
        <w:ind w:firstLine="2835"/>
      </w:pPr>
      <w:r>
        <w:t>Afirmó que el 440-6746 era el número del teléfono celular utilizado por el com</w:t>
      </w:r>
      <w:r>
        <w:t>i</w:t>
      </w:r>
      <w:r>
        <w:t>sario Juan José Ribelli y el 425-8982 le correspondía al declarante, señ</w:t>
      </w:r>
      <w:r>
        <w:t>a</w:t>
      </w:r>
      <w:r>
        <w:t>lando que lo compró en el mes de m</w:t>
      </w:r>
      <w:r>
        <w:t>a</w:t>
      </w:r>
      <w:r>
        <w:t>yo o junio de 1996.</w:t>
      </w:r>
    </w:p>
    <w:p w:rsidR="00224567" w:rsidRDefault="00224567">
      <w:pPr>
        <w:widowControl w:val="0"/>
        <w:ind w:firstLine="2835"/>
      </w:pPr>
      <w:r>
        <w:t>Agregó que además de las líneas me</w:t>
      </w:r>
      <w:r>
        <w:t>n</w:t>
      </w:r>
      <w:r>
        <w:t>cionadas tuvo la nº 425-0222 desde mayo de 1995 hasta mayo de 1996 y la vendió porque no podía afrontar los gastos de los dos abonados.</w:t>
      </w:r>
    </w:p>
    <w:p w:rsidR="00224567" w:rsidRDefault="00224567">
      <w:pPr>
        <w:widowControl w:val="0"/>
        <w:ind w:firstLine="2835"/>
      </w:pPr>
      <w:r>
        <w:t>Pregunt</w:t>
      </w:r>
      <w:r>
        <w:t>a</w:t>
      </w:r>
      <w:r>
        <w:t>do para que explicara, ya que la línea 425-8982 refirió haberla comprado en mayo de 1996 -inmediatamente después o al mismo tiempo de vender la l</w:t>
      </w:r>
      <w:r>
        <w:t>í</w:t>
      </w:r>
      <w:r>
        <w:t>nea 425-0222-, dijo que la línea 445-9953 pertenecía a la empresa “Movicom” y se la habían cortado por falta de p</w:t>
      </w:r>
      <w:r>
        <w:t>a</w:t>
      </w:r>
      <w:r>
        <w:t>go.</w:t>
      </w:r>
    </w:p>
    <w:p w:rsidR="00224567" w:rsidRDefault="00224567">
      <w:pPr>
        <w:widowControl w:val="0"/>
        <w:ind w:firstLine="2835"/>
      </w:pPr>
      <w:r>
        <w:t>Añadió que cambió la línea 425-0222, porque el aparato que tenía llamado comúnmente “ladr</w:t>
      </w:r>
      <w:r>
        <w:t>i</w:t>
      </w:r>
      <w:r>
        <w:t>llo”, no funcionaba bien, por lo que compró otro apar</w:t>
      </w:r>
      <w:r>
        <w:t>a</w:t>
      </w:r>
      <w:r>
        <w:t>to con la línea 425-8982.</w:t>
      </w:r>
    </w:p>
    <w:p w:rsidR="00224567" w:rsidRDefault="00224567">
      <w:pPr>
        <w:widowControl w:val="0"/>
        <w:ind w:firstLine="2835"/>
      </w:pPr>
      <w:r>
        <w:t>Afirmó que sus ingresos mensuales a</w:t>
      </w:r>
      <w:r>
        <w:t>s</w:t>
      </w:r>
      <w:r>
        <w:t>cendían a $ 1700 ó 1750, precisando que el primer mes del adicional c</w:t>
      </w:r>
      <w:r>
        <w:t>o</w:t>
      </w:r>
      <w:r>
        <w:t>bró en total $ 2300.</w:t>
      </w:r>
    </w:p>
    <w:p w:rsidR="00224567" w:rsidRDefault="00224567">
      <w:pPr>
        <w:widowControl w:val="0"/>
        <w:ind w:firstLine="2835"/>
      </w:pPr>
      <w:r>
        <w:t>Dijo que cuando detenía a una persona con elementos provenientes de un delito,  procedía a int</w:t>
      </w:r>
      <w:r>
        <w:t>e</w:t>
      </w:r>
      <w:r>
        <w:t>rrogarlo por las circunstancias personales, la mercade</w:t>
      </w:r>
      <w:r>
        <w:t>r</w:t>
      </w:r>
      <w:r>
        <w:t>ía, los rodados en que circulaba o armas; todo ello para d</w:t>
      </w:r>
      <w:r>
        <w:t>e</w:t>
      </w:r>
      <w:r>
        <w:t>terminar si los mismos tenían pedido de secuestro. S</w:t>
      </w:r>
      <w:r>
        <w:t>e</w:t>
      </w:r>
      <w:r>
        <w:t>ñaló que si el individuo no llevaba nada encima se le pregunt</w:t>
      </w:r>
      <w:r>
        <w:t>a</w:t>
      </w:r>
      <w:r>
        <w:t>ba sol</w:t>
      </w:r>
      <w:r>
        <w:t>a</w:t>
      </w:r>
      <w:r>
        <w:t>mente su nombre.</w:t>
      </w:r>
    </w:p>
    <w:p w:rsidR="00224567" w:rsidRDefault="00224567">
      <w:pPr>
        <w:widowControl w:val="0"/>
        <w:ind w:firstLine="2835"/>
      </w:pPr>
      <w:r>
        <w:t>Negó conocer a una persona llamada “Hauch”.</w:t>
      </w:r>
    </w:p>
    <w:p w:rsidR="00224567" w:rsidRDefault="00224567">
      <w:pPr>
        <w:widowControl w:val="0"/>
        <w:ind w:firstLine="2835"/>
      </w:pPr>
      <w:r>
        <w:t>Preguntado acerca de si sabía que las líneas 440-8667, 417-1470, 446-4648, 412-6165, 416-4460, 401-5350, 448-0447, 412-6149, 412-2690, 416-3048, 410-6500 y 403-2532 pertenecían a Juan José Ribelli y si alguna vez se comunicó con ellas o le fueron proporcionados para su utilización, contestó que conocía la pertenencia de d</w:t>
      </w:r>
      <w:r>
        <w:t>i</w:t>
      </w:r>
      <w:r>
        <w:t>chas líneas, pero no tenía presente si se comunicó hacia o de</w:t>
      </w:r>
      <w:r>
        <w:t>s</w:t>
      </w:r>
      <w:r>
        <w:t>de dichas líneas alguna vez.</w:t>
      </w:r>
    </w:p>
    <w:p w:rsidR="00224567" w:rsidRDefault="00224567">
      <w:pPr>
        <w:pStyle w:val="Textoindependiente"/>
        <w:spacing w:line="600" w:lineRule="auto"/>
        <w:ind w:firstLine="2835"/>
        <w:rPr>
          <w:lang w:val="es-ES"/>
        </w:rPr>
      </w:pPr>
      <w:r>
        <w:rPr>
          <w:lang w:val="es-ES"/>
        </w:rPr>
        <w:t>Al prestar declaración indagatoria en la audiencia de debate del 4 de noviembre de 2003, en o</w:t>
      </w:r>
      <w:r>
        <w:rPr>
          <w:lang w:val="es-ES"/>
        </w:rPr>
        <w:t>r</w:t>
      </w:r>
      <w:r>
        <w:rPr>
          <w:lang w:val="es-ES"/>
        </w:rPr>
        <w:t>den a los hechos contemplados en los autos nº 502/03 del regi</w:t>
      </w:r>
      <w:r>
        <w:rPr>
          <w:lang w:val="es-ES"/>
        </w:rPr>
        <w:t>s</w:t>
      </w:r>
      <w:r>
        <w:rPr>
          <w:lang w:val="es-ES"/>
        </w:rPr>
        <w:t>tro de este Tribunal, Raúl Edilio Ibarra manifestó que no respondería preguntas por consejo de sus abogados.</w:t>
      </w:r>
    </w:p>
    <w:p w:rsidR="00224567" w:rsidRDefault="00224567">
      <w:pPr>
        <w:pStyle w:val="Textoindependiente"/>
        <w:spacing w:line="600" w:lineRule="auto"/>
        <w:ind w:firstLine="2835"/>
        <w:rPr>
          <w:lang w:val="es-ES"/>
        </w:rPr>
      </w:pPr>
      <w:r>
        <w:rPr>
          <w:lang w:val="es-ES"/>
        </w:rPr>
        <w:t>Señaló que nunca mintió ni instigó a Casas y a Toledo a mentir, desconociendo cuáles fueron los artilugios utilizados por el juez Galeano para inducir a los nombrados a faltar a la verdad.</w:t>
      </w:r>
    </w:p>
    <w:p w:rsidR="00224567" w:rsidRDefault="00224567">
      <w:pPr>
        <w:pStyle w:val="Textoindependiente"/>
        <w:spacing w:line="600" w:lineRule="auto"/>
        <w:ind w:firstLine="2835"/>
        <w:rPr>
          <w:lang w:val="es-ES"/>
        </w:rPr>
      </w:pPr>
      <w:r>
        <w:rPr>
          <w:lang w:val="es-ES"/>
        </w:rPr>
        <w:t>Afirmó que si ellos no hubieran sido mendaces, estarían en la misma situación que los re</w:t>
      </w:r>
      <w:r>
        <w:rPr>
          <w:lang w:val="es-ES"/>
        </w:rPr>
        <w:t>s</w:t>
      </w:r>
      <w:r>
        <w:rPr>
          <w:lang w:val="es-ES"/>
        </w:rPr>
        <w:t>tantes coprocesados, destacando el caso de Cruz, quien estuvo seis años privado de su libertad por no declarar lo que quería el magistrado instru</w:t>
      </w:r>
      <w:r>
        <w:rPr>
          <w:lang w:val="es-ES"/>
        </w:rPr>
        <w:t>c</w:t>
      </w:r>
      <w:r>
        <w:rPr>
          <w:lang w:val="es-ES"/>
        </w:rPr>
        <w:t>tor.</w:t>
      </w:r>
    </w:p>
    <w:p w:rsidR="00224567" w:rsidRDefault="00224567">
      <w:pPr>
        <w:pStyle w:val="Textoindependiente"/>
        <w:spacing w:line="600" w:lineRule="auto"/>
        <w:ind w:firstLine="2835"/>
        <w:rPr>
          <w:lang w:val="es-ES"/>
        </w:rPr>
      </w:pPr>
      <w:r>
        <w:rPr>
          <w:lang w:val="es-ES"/>
        </w:rPr>
        <w:t>Mencionó los dichos volcados en el d</w:t>
      </w:r>
      <w:r>
        <w:rPr>
          <w:lang w:val="es-ES"/>
        </w:rPr>
        <w:t>e</w:t>
      </w:r>
      <w:r>
        <w:rPr>
          <w:lang w:val="es-ES"/>
        </w:rPr>
        <w:t>bate por testigos que reconocieron haber sido obligados a mentir, y recordó que Lifschitz había comentado las amen</w:t>
      </w:r>
      <w:r>
        <w:rPr>
          <w:lang w:val="es-ES"/>
        </w:rPr>
        <w:t>a</w:t>
      </w:r>
      <w:r>
        <w:rPr>
          <w:lang w:val="es-ES"/>
        </w:rPr>
        <w:t>zas que le profirieron a un te</w:t>
      </w:r>
      <w:r>
        <w:rPr>
          <w:lang w:val="es-ES"/>
        </w:rPr>
        <w:t>s</w:t>
      </w:r>
      <w:r>
        <w:rPr>
          <w:lang w:val="es-ES"/>
        </w:rPr>
        <w:t>tigo, en cuanto a que sería internado en un orfanato si no declaraba como querían en el juzg</w:t>
      </w:r>
      <w:r>
        <w:rPr>
          <w:lang w:val="es-ES"/>
        </w:rPr>
        <w:t>a</w:t>
      </w:r>
      <w:r>
        <w:rPr>
          <w:lang w:val="es-ES"/>
        </w:rPr>
        <w:t>do.</w:t>
      </w:r>
    </w:p>
    <w:p w:rsidR="00224567" w:rsidRDefault="00224567">
      <w:pPr>
        <w:pStyle w:val="Textoindependiente"/>
        <w:spacing w:line="600" w:lineRule="auto"/>
        <w:ind w:firstLine="2835"/>
        <w:rPr>
          <w:lang w:val="es-ES"/>
        </w:rPr>
      </w:pPr>
      <w:r>
        <w:rPr>
          <w:lang w:val="es-ES"/>
        </w:rPr>
        <w:t>Manifestó que el celular 446-4158 señ</w:t>
      </w:r>
      <w:r>
        <w:rPr>
          <w:lang w:val="es-ES"/>
        </w:rPr>
        <w:t>a</w:t>
      </w:r>
      <w:r>
        <w:rPr>
          <w:lang w:val="es-ES"/>
        </w:rPr>
        <w:t>lado en el debate por Stiuso, como utilizado por el Dr. G</w:t>
      </w:r>
      <w:r>
        <w:rPr>
          <w:lang w:val="es-ES"/>
        </w:rPr>
        <w:t>a</w:t>
      </w:r>
      <w:r>
        <w:rPr>
          <w:lang w:val="es-ES"/>
        </w:rPr>
        <w:t>leano el día del primer pago a Telleldín, regi</w:t>
      </w:r>
      <w:r>
        <w:rPr>
          <w:lang w:val="es-ES"/>
        </w:rPr>
        <w:t>s</w:t>
      </w:r>
      <w:r>
        <w:rPr>
          <w:lang w:val="es-ES"/>
        </w:rPr>
        <w:t>traba varios llamados en esa fecha, indicando que el respectivo entr</w:t>
      </w:r>
      <w:r>
        <w:rPr>
          <w:lang w:val="es-ES"/>
        </w:rPr>
        <w:t>e</w:t>
      </w:r>
      <w:r>
        <w:rPr>
          <w:lang w:val="es-ES"/>
        </w:rPr>
        <w:t>cruzamiento se encuentra agregado a fs. 116.566 y sgtes.</w:t>
      </w:r>
    </w:p>
    <w:p w:rsidR="00224567" w:rsidRDefault="00224567">
      <w:pPr>
        <w:pStyle w:val="Textoindependiente"/>
        <w:spacing w:line="600" w:lineRule="auto"/>
        <w:ind w:firstLine="2835"/>
        <w:rPr>
          <w:lang w:val="es-ES"/>
        </w:rPr>
      </w:pPr>
      <w:r>
        <w:rPr>
          <w:lang w:val="es-ES"/>
        </w:rPr>
        <w:t>Durante el acto se reprodujo el me</w:t>
      </w:r>
      <w:r>
        <w:rPr>
          <w:lang w:val="es-ES"/>
        </w:rPr>
        <w:t>n</w:t>
      </w:r>
      <w:r>
        <w:rPr>
          <w:lang w:val="es-ES"/>
        </w:rPr>
        <w:t xml:space="preserve">saje dejado por </w:t>
      </w:r>
      <w:smartTag w:uri="urn:schemas-microsoft-com:office:smarttags" w:element="PersonName">
        <w:smartTagPr>
          <w:attr w:name="ProductID" w:val="la Dra. Spina"/>
        </w:smartTagPr>
        <w:r>
          <w:rPr>
            <w:lang w:val="es-ES"/>
          </w:rPr>
          <w:t>la Dra. Spina</w:t>
        </w:r>
      </w:smartTag>
      <w:r>
        <w:rPr>
          <w:lang w:val="es-ES"/>
        </w:rPr>
        <w:t xml:space="preserve"> en el contestador automático del teléfono del Dr. Galeano, registrado en la casete n° 1, l</w:t>
      </w:r>
      <w:r>
        <w:rPr>
          <w:lang w:val="es-ES"/>
        </w:rPr>
        <w:t>a</w:t>
      </w:r>
      <w:r>
        <w:rPr>
          <w:lang w:val="es-ES"/>
        </w:rPr>
        <w:t>do “A”, a partir de la vuelta 1872, correspondiente al ab</w:t>
      </w:r>
      <w:r>
        <w:rPr>
          <w:lang w:val="es-ES"/>
        </w:rPr>
        <w:t>o</w:t>
      </w:r>
      <w:r>
        <w:rPr>
          <w:lang w:val="es-ES"/>
        </w:rPr>
        <w:t>nado 803-0849 de la nombrada funcionaria, de fecha 5 de abril de 1997.</w:t>
      </w:r>
    </w:p>
    <w:p w:rsidR="00224567" w:rsidRDefault="00224567">
      <w:pPr>
        <w:pStyle w:val="Textoindependiente"/>
        <w:spacing w:line="600" w:lineRule="auto"/>
        <w:ind w:firstLine="2835"/>
        <w:rPr>
          <w:lang w:val="es-ES"/>
        </w:rPr>
      </w:pPr>
      <w:r>
        <w:rPr>
          <w:lang w:val="es-ES"/>
        </w:rPr>
        <w:t>En otro orden de cosas, el imputado r</w:t>
      </w:r>
      <w:r>
        <w:rPr>
          <w:lang w:val="es-ES"/>
        </w:rPr>
        <w:t>e</w:t>
      </w:r>
      <w:r>
        <w:rPr>
          <w:lang w:val="es-ES"/>
        </w:rPr>
        <w:t xml:space="preserve">cordó que “Pinocho” González declaró en el debate que se había instruido a personal de </w:t>
      </w:r>
      <w:smartTag w:uri="urn:schemas-microsoft-com:office:smarttags" w:element="PersonName">
        <w:smartTagPr>
          <w:attr w:name="ProductID" w:val="la S.I"/>
        </w:smartTagPr>
        <w:r>
          <w:rPr>
            <w:lang w:val="es-ES"/>
          </w:rPr>
          <w:t>la S.I</w:t>
        </w:r>
      </w:smartTag>
      <w:r>
        <w:rPr>
          <w:lang w:val="es-ES"/>
        </w:rPr>
        <w:t>.D.E para manejar el polígrafo. Destacó Ibarra, previa exhibición de su escrito de fs. 50.556, que oportunamente había sol</w:t>
      </w:r>
      <w:r>
        <w:rPr>
          <w:lang w:val="es-ES"/>
        </w:rPr>
        <w:t>i</w:t>
      </w:r>
      <w:r>
        <w:rPr>
          <w:lang w:val="es-ES"/>
        </w:rPr>
        <w:t>citado que se le efectuara la prueba del polígrafo, para demostrar que sie</w:t>
      </w:r>
      <w:r>
        <w:rPr>
          <w:lang w:val="es-ES"/>
        </w:rPr>
        <w:t>m</w:t>
      </w:r>
      <w:r>
        <w:rPr>
          <w:lang w:val="es-ES"/>
        </w:rPr>
        <w:t>pre dijo la verdad.</w:t>
      </w:r>
    </w:p>
    <w:p w:rsidR="00224567" w:rsidRDefault="00224567">
      <w:pPr>
        <w:pStyle w:val="Textoindependiente"/>
        <w:spacing w:line="600" w:lineRule="auto"/>
        <w:ind w:firstLine="2835"/>
        <w:rPr>
          <w:lang w:val="es-ES"/>
        </w:rPr>
      </w:pPr>
      <w:r>
        <w:rPr>
          <w:lang w:val="es-ES"/>
        </w:rPr>
        <w:t>Expresó que los secretarios del ju</w:t>
      </w:r>
      <w:r>
        <w:rPr>
          <w:lang w:val="es-ES"/>
        </w:rPr>
        <w:t>z</w:t>
      </w:r>
      <w:r>
        <w:rPr>
          <w:lang w:val="es-ES"/>
        </w:rPr>
        <w:t>gado instructor mintieron en el debate cuando negaron tener c</w:t>
      </w:r>
      <w:r>
        <w:rPr>
          <w:lang w:val="es-ES"/>
        </w:rPr>
        <w:t>o</w:t>
      </w:r>
      <w:r>
        <w:rPr>
          <w:lang w:val="es-ES"/>
        </w:rPr>
        <w:t>nocimiento del pago. Resaltó que dichos funci</w:t>
      </w:r>
      <w:r>
        <w:rPr>
          <w:lang w:val="es-ES"/>
        </w:rPr>
        <w:t>o</w:t>
      </w:r>
      <w:r>
        <w:rPr>
          <w:lang w:val="es-ES"/>
        </w:rPr>
        <w:t>narios sabían que el juez Galeano había ordenado el aporte d</w:t>
      </w:r>
      <w:r>
        <w:rPr>
          <w:lang w:val="es-ES"/>
        </w:rPr>
        <w:t>i</w:t>
      </w:r>
      <w:r>
        <w:rPr>
          <w:lang w:val="es-ES"/>
        </w:rPr>
        <w:t>nerario.</w:t>
      </w:r>
    </w:p>
    <w:p w:rsidR="00224567" w:rsidRDefault="00224567">
      <w:pPr>
        <w:pStyle w:val="Textoindependiente"/>
        <w:spacing w:line="600" w:lineRule="auto"/>
        <w:ind w:firstLine="2835"/>
        <w:rPr>
          <w:lang w:val="es-ES"/>
        </w:rPr>
      </w:pPr>
      <w:r>
        <w:rPr>
          <w:lang w:val="es-ES"/>
        </w:rPr>
        <w:t>En tal sentido, hizo expresa mención del falso testimonio agravado cometido por el empleado “P</w:t>
      </w:r>
      <w:r>
        <w:rPr>
          <w:lang w:val="es-ES"/>
        </w:rPr>
        <w:t>e</w:t>
      </w:r>
      <w:r>
        <w:rPr>
          <w:lang w:val="es-ES"/>
        </w:rPr>
        <w:t>po” Pereyra y, previa reproducción de la convers</w:t>
      </w:r>
      <w:r>
        <w:rPr>
          <w:lang w:val="es-ES"/>
        </w:rPr>
        <w:t>a</w:t>
      </w:r>
      <w:r>
        <w:rPr>
          <w:lang w:val="es-ES"/>
        </w:rPr>
        <w:t>ción del 6 de abril de 1997, registrada en la casete n° 2, lado “A”, vuelta 2685 de la línea 791-1605, perteneciente a dicho testigo, indicó que se desprendía claramente del diálogo que Pereyra le comentó a un amigo s</w:t>
      </w:r>
      <w:r>
        <w:rPr>
          <w:lang w:val="es-ES"/>
        </w:rPr>
        <w:t>o</w:t>
      </w:r>
      <w:r>
        <w:rPr>
          <w:lang w:val="es-ES"/>
        </w:rPr>
        <w:t>bre el pago a Telleldín para que éste hablara y frenara la publicación del libro. Agregó el dicente que en el libro se informaba sobre la venta de la camioneta en la suma de USD 11.500, y el pacto era no detener a Bora</w:t>
      </w:r>
      <w:r>
        <w:rPr>
          <w:lang w:val="es-ES"/>
        </w:rPr>
        <w:t>g</w:t>
      </w:r>
      <w:r>
        <w:rPr>
          <w:lang w:val="es-ES"/>
        </w:rPr>
        <w:t>ni, ni al hermano de Telleldín, ni a Cotoras.</w:t>
      </w:r>
    </w:p>
    <w:p w:rsidR="00224567" w:rsidRDefault="00224567">
      <w:pPr>
        <w:pStyle w:val="Textoindependiente"/>
        <w:spacing w:line="600" w:lineRule="auto"/>
        <w:ind w:firstLine="2835"/>
        <w:rPr>
          <w:lang w:val="es-ES"/>
        </w:rPr>
      </w:pPr>
      <w:r>
        <w:rPr>
          <w:lang w:val="es-ES"/>
        </w:rPr>
        <w:t>Señaló que a “Pinocho” González, enca</w:t>
      </w:r>
      <w:r>
        <w:rPr>
          <w:lang w:val="es-ES"/>
        </w:rPr>
        <w:t>r</w:t>
      </w:r>
      <w:r>
        <w:rPr>
          <w:lang w:val="es-ES"/>
        </w:rPr>
        <w:t>gado del análisis de las escuchas del personal del juzgado, no pudo haberle pasado inadvertido el diálogo mencionado, por lo que debería habérselo comunicado al juez correspo</w:t>
      </w:r>
      <w:r>
        <w:rPr>
          <w:lang w:val="es-ES"/>
        </w:rPr>
        <w:t>n</w:t>
      </w:r>
      <w:r>
        <w:rPr>
          <w:lang w:val="es-ES"/>
        </w:rPr>
        <w:t>diente. Concluyó que el testigo González mintió en el ju</w:t>
      </w:r>
      <w:r>
        <w:rPr>
          <w:lang w:val="es-ES"/>
        </w:rPr>
        <w:t>i</w:t>
      </w:r>
      <w:r>
        <w:rPr>
          <w:lang w:val="es-ES"/>
        </w:rPr>
        <w:t>cio cuando dijo desconocer si en las escuchas se mencionaba el pago de los USD 400.000.</w:t>
      </w:r>
    </w:p>
    <w:p w:rsidR="00224567" w:rsidRDefault="00224567">
      <w:pPr>
        <w:pStyle w:val="Textoindependiente"/>
        <w:spacing w:line="600" w:lineRule="auto"/>
        <w:ind w:firstLine="2835"/>
        <w:rPr>
          <w:lang w:val="es-ES"/>
        </w:rPr>
      </w:pPr>
      <w:r>
        <w:rPr>
          <w:lang w:val="es-ES"/>
        </w:rPr>
        <w:t>En esa misma línea, Ibarra señaló que oportunamente Galeano contó con el apoyo de parte de la c</w:t>
      </w:r>
      <w:r>
        <w:rPr>
          <w:lang w:val="es-ES"/>
        </w:rPr>
        <w:t>o</w:t>
      </w:r>
      <w:r>
        <w:rPr>
          <w:lang w:val="es-ES"/>
        </w:rPr>
        <w:t>munidad judía, del poder político y del Poder Judicial, y que el Dr. Oyarbide tenía conocimiento de la causa que e</w:t>
      </w:r>
      <w:r>
        <w:rPr>
          <w:lang w:val="es-ES"/>
        </w:rPr>
        <w:t>s</w:t>
      </w:r>
      <w:r>
        <w:rPr>
          <w:lang w:val="es-ES"/>
        </w:rPr>
        <w:t>taba instruyendo el Dr. Cavallo, en la que se investigaba al Dr. Galeano y al Dr. De Gamas con relación a la vide</w:t>
      </w:r>
      <w:r>
        <w:rPr>
          <w:lang w:val="es-ES"/>
        </w:rPr>
        <w:t>o</w:t>
      </w:r>
      <w:r>
        <w:rPr>
          <w:lang w:val="es-ES"/>
        </w:rPr>
        <w:t>cinta. Sin embargo, el diálogo de P</w:t>
      </w:r>
      <w:r>
        <w:rPr>
          <w:lang w:val="es-ES"/>
        </w:rPr>
        <w:t>e</w:t>
      </w:r>
      <w:r>
        <w:rPr>
          <w:lang w:val="es-ES"/>
        </w:rPr>
        <w:t>reyra se mantuvo oculto en un legajo al cual las partes nunca tuvi</w:t>
      </w:r>
      <w:r>
        <w:rPr>
          <w:lang w:val="es-ES"/>
        </w:rPr>
        <w:t>e</w:t>
      </w:r>
      <w:r>
        <w:rPr>
          <w:lang w:val="es-ES"/>
        </w:rPr>
        <w:t>ron acceso.</w:t>
      </w:r>
    </w:p>
    <w:p w:rsidR="00224567" w:rsidRDefault="00224567">
      <w:pPr>
        <w:pStyle w:val="Textoindependiente"/>
        <w:spacing w:line="600" w:lineRule="auto"/>
        <w:ind w:firstLine="2835"/>
        <w:rPr>
          <w:lang w:val="es-ES"/>
        </w:rPr>
      </w:pPr>
      <w:r>
        <w:rPr>
          <w:lang w:val="es-ES"/>
        </w:rPr>
        <w:t>Ibarra enfatizó que los policías det</w:t>
      </w:r>
      <w:r>
        <w:rPr>
          <w:lang w:val="es-ES"/>
        </w:rPr>
        <w:t>e</w:t>
      </w:r>
      <w:r>
        <w:rPr>
          <w:lang w:val="es-ES"/>
        </w:rPr>
        <w:t>nidos nunca tuvieron un pacto de silencio y que dijeron siempre la verdad, a diferencia de lo ocurrido en el juzg</w:t>
      </w:r>
      <w:r>
        <w:rPr>
          <w:lang w:val="es-ES"/>
        </w:rPr>
        <w:t>a</w:t>
      </w:r>
      <w:r>
        <w:rPr>
          <w:lang w:val="es-ES"/>
        </w:rPr>
        <w:t>do, donde dicho pacto se mantuvo.</w:t>
      </w:r>
    </w:p>
    <w:p w:rsidR="00224567" w:rsidRDefault="00224567">
      <w:pPr>
        <w:pStyle w:val="Textoindependiente"/>
        <w:spacing w:line="600" w:lineRule="auto"/>
        <w:ind w:firstLine="2835"/>
        <w:rPr>
          <w:lang w:val="es-ES"/>
        </w:rPr>
      </w:pPr>
      <w:r>
        <w:rPr>
          <w:lang w:val="es-ES"/>
        </w:rPr>
        <w:t xml:space="preserve">Apuntó que </w:t>
      </w:r>
      <w:smartTag w:uri="urn:schemas-microsoft-com:office:smarttags" w:element="PersonName">
        <w:smartTagPr>
          <w:attr w:name="ProductID" w:val="la Trafic"/>
        </w:smartTagPr>
        <w:r>
          <w:rPr>
            <w:lang w:val="es-ES"/>
          </w:rPr>
          <w:t>la Trafic</w:t>
        </w:r>
      </w:smartTag>
      <w:r>
        <w:rPr>
          <w:lang w:val="es-ES"/>
        </w:rPr>
        <w:t xml:space="preserve"> no pasó por sus manos el 10 de julio de 1994, que ese domingo estuvo con su familia, que no tenía razones para concurrir a la casa de Telleldín y que desconocía a Leal.</w:t>
      </w:r>
    </w:p>
    <w:p w:rsidR="00224567" w:rsidRDefault="00224567">
      <w:pPr>
        <w:pStyle w:val="Textoindependiente"/>
        <w:spacing w:line="600" w:lineRule="auto"/>
        <w:ind w:firstLine="2835"/>
        <w:rPr>
          <w:lang w:val="es-ES"/>
        </w:rPr>
      </w:pPr>
      <w:r>
        <w:rPr>
          <w:lang w:val="es-ES"/>
        </w:rPr>
        <w:t>Tras la reproducción de la convers</w:t>
      </w:r>
      <w:r>
        <w:rPr>
          <w:lang w:val="es-ES"/>
        </w:rPr>
        <w:t>a</w:t>
      </w:r>
      <w:r>
        <w:rPr>
          <w:lang w:val="es-ES"/>
        </w:rPr>
        <w:t>ción registrada en la casete n° 1, lado “A”, vuelta 2340, del 6 de abril de 1997, correspondiente al abonado 962-8220 de Javier Ignacio De Gamas Soler, Ibarra explicó que se trat</w:t>
      </w:r>
      <w:r>
        <w:rPr>
          <w:lang w:val="es-ES"/>
        </w:rPr>
        <w:t>a</w:t>
      </w:r>
      <w:r>
        <w:rPr>
          <w:lang w:val="es-ES"/>
        </w:rPr>
        <w:t>ba de un diálogo entre el mencionado secretario y el Dr. Carlos Vela</w:t>
      </w:r>
      <w:r>
        <w:rPr>
          <w:lang w:val="es-ES"/>
        </w:rPr>
        <w:t>s</w:t>
      </w:r>
      <w:r>
        <w:rPr>
          <w:lang w:val="es-ES"/>
        </w:rPr>
        <w:t xml:space="preserve">co, alias “Charly”, en el cual combinaban ir a ver con </w:t>
      </w:r>
      <w:smartTag w:uri="urn:schemas-microsoft-com:office:smarttags" w:element="PersonName">
        <w:smartTagPr>
          <w:attr w:name="ProductID" w:val="la Dra. Spina"/>
        </w:smartTagPr>
        <w:r>
          <w:rPr>
            <w:lang w:val="es-ES"/>
          </w:rPr>
          <w:t>la Dra. Spina</w:t>
        </w:r>
      </w:smartTag>
      <w:r>
        <w:rPr>
          <w:lang w:val="es-ES"/>
        </w:rPr>
        <w:t xml:space="preserve"> y el Dr. Javier Astigarraga un v</w:t>
      </w:r>
      <w:r>
        <w:rPr>
          <w:lang w:val="es-ES"/>
        </w:rPr>
        <w:t>í</w:t>
      </w:r>
      <w:r>
        <w:rPr>
          <w:lang w:val="es-ES"/>
        </w:rPr>
        <w:t>deo que se iba a proyectar en el Canal 2 de telev</w:t>
      </w:r>
      <w:r>
        <w:rPr>
          <w:lang w:val="es-ES"/>
        </w:rPr>
        <w:t>i</w:t>
      </w:r>
      <w:r>
        <w:rPr>
          <w:lang w:val="es-ES"/>
        </w:rPr>
        <w:t>sión.</w:t>
      </w:r>
    </w:p>
    <w:p w:rsidR="00224567" w:rsidRDefault="00224567">
      <w:pPr>
        <w:pStyle w:val="Textoindependiente"/>
        <w:spacing w:line="600" w:lineRule="auto"/>
        <w:ind w:firstLine="2835"/>
        <w:rPr>
          <w:lang w:val="es-ES"/>
        </w:rPr>
      </w:pPr>
      <w:r>
        <w:rPr>
          <w:lang w:val="es-ES"/>
        </w:rPr>
        <w:t>Por ello dijo que en virtud de que en el año 1997 había aparecido el tema del vídeo en los m</w:t>
      </w:r>
      <w:r>
        <w:rPr>
          <w:lang w:val="es-ES"/>
        </w:rPr>
        <w:t>e</w:t>
      </w:r>
      <w:r>
        <w:rPr>
          <w:lang w:val="es-ES"/>
        </w:rPr>
        <w:t>dios, todos los actuarios mantenían reuni</w:t>
      </w:r>
      <w:r>
        <w:rPr>
          <w:lang w:val="es-ES"/>
        </w:rPr>
        <w:t>o</w:t>
      </w:r>
      <w:r>
        <w:rPr>
          <w:lang w:val="es-ES"/>
        </w:rPr>
        <w:t>nes con parte de la querella para coordinar los pasos a seguir en el enc</w:t>
      </w:r>
      <w:r>
        <w:rPr>
          <w:lang w:val="es-ES"/>
        </w:rPr>
        <w:t>u</w:t>
      </w:r>
      <w:r>
        <w:rPr>
          <w:lang w:val="es-ES"/>
        </w:rPr>
        <w:t>brimiento.</w:t>
      </w:r>
    </w:p>
    <w:p w:rsidR="00224567" w:rsidRDefault="00224567">
      <w:pPr>
        <w:pStyle w:val="Textoindependiente"/>
        <w:spacing w:line="600" w:lineRule="auto"/>
        <w:ind w:firstLine="2835"/>
        <w:rPr>
          <w:lang w:val="es-ES"/>
        </w:rPr>
      </w:pPr>
      <w:r>
        <w:rPr>
          <w:lang w:val="es-ES"/>
        </w:rPr>
        <w:t>En cuanto al respaldo que recibía el Dr. Galeano de parte del Poder Judicial, Ibarra recordó el procesamiento de Ribelli, Cúneo Libarona y Vigliero, di</w:t>
      </w:r>
      <w:r>
        <w:rPr>
          <w:lang w:val="es-ES"/>
        </w:rPr>
        <w:t>s</w:t>
      </w:r>
      <w:r>
        <w:rPr>
          <w:lang w:val="es-ES"/>
        </w:rPr>
        <w:t>puesto por el juez Oyarbide y agregó que Galeano llamó al Dr. Velasco y festejó esa med</w:t>
      </w:r>
      <w:r>
        <w:rPr>
          <w:lang w:val="es-ES"/>
        </w:rPr>
        <w:t>i</w:t>
      </w:r>
      <w:r>
        <w:rPr>
          <w:lang w:val="es-ES"/>
        </w:rPr>
        <w:t>da, explicando dicha conducta en que los funcionarios del juzgado instructor querían sa</w:t>
      </w:r>
      <w:r>
        <w:rPr>
          <w:lang w:val="es-ES"/>
        </w:rPr>
        <w:t>l</w:t>
      </w:r>
      <w:r>
        <w:rPr>
          <w:lang w:val="es-ES"/>
        </w:rPr>
        <w:t>vaguardar el tema del vídeo. Compl</w:t>
      </w:r>
      <w:r>
        <w:rPr>
          <w:lang w:val="es-ES"/>
        </w:rPr>
        <w:t>e</w:t>
      </w:r>
      <w:r>
        <w:rPr>
          <w:lang w:val="es-ES"/>
        </w:rPr>
        <w:t>mentando su exposición, durante la audiencia se reprodujo el respectivo diálogo r</w:t>
      </w:r>
      <w:r>
        <w:rPr>
          <w:lang w:val="es-ES"/>
        </w:rPr>
        <w:t>e</w:t>
      </w:r>
      <w:r>
        <w:rPr>
          <w:lang w:val="es-ES"/>
        </w:rPr>
        <w:t>gistrado en la casete n° 27, lado “A”, vuelta 1410, del 21 de abril de 1997, c</w:t>
      </w:r>
      <w:r>
        <w:rPr>
          <w:lang w:val="es-ES"/>
        </w:rPr>
        <w:t>o</w:t>
      </w:r>
      <w:r>
        <w:rPr>
          <w:lang w:val="es-ES"/>
        </w:rPr>
        <w:t>rrespondiente al abonado 824-6578.</w:t>
      </w:r>
    </w:p>
    <w:p w:rsidR="00224567" w:rsidRDefault="00224567">
      <w:pPr>
        <w:pStyle w:val="Textoindependiente"/>
        <w:spacing w:line="600" w:lineRule="auto"/>
        <w:ind w:firstLine="2835"/>
        <w:rPr>
          <w:lang w:val="es-ES"/>
        </w:rPr>
      </w:pPr>
      <w:r>
        <w:rPr>
          <w:lang w:val="es-ES"/>
        </w:rPr>
        <w:t>Al ampliar su declaración indagatoria en la audiencia de debate del 3 de diciembre de 2003, Raúl Edilio Ibarra manifestó nuevamente que no respondería pr</w:t>
      </w:r>
      <w:r>
        <w:rPr>
          <w:lang w:val="es-ES"/>
        </w:rPr>
        <w:t>e</w:t>
      </w:r>
      <w:r>
        <w:rPr>
          <w:lang w:val="es-ES"/>
        </w:rPr>
        <w:t>guntas por consejo de sus abog</w:t>
      </w:r>
      <w:r>
        <w:rPr>
          <w:lang w:val="es-ES"/>
        </w:rPr>
        <w:t>a</w:t>
      </w:r>
      <w:r>
        <w:rPr>
          <w:lang w:val="es-ES"/>
        </w:rPr>
        <w:t>dos.</w:t>
      </w:r>
    </w:p>
    <w:p w:rsidR="00224567" w:rsidRDefault="00224567">
      <w:pPr>
        <w:pStyle w:val="Textoindependiente"/>
        <w:spacing w:line="600" w:lineRule="auto"/>
        <w:ind w:firstLine="2835"/>
        <w:rPr>
          <w:lang w:val="es-ES"/>
        </w:rPr>
      </w:pPr>
      <w:r>
        <w:rPr>
          <w:lang w:val="es-ES"/>
        </w:rPr>
        <w:t>El acusado señaló que el pago de USD 200.000 efectuado en el mes de octubre de 1996, se co</w:t>
      </w:r>
      <w:r>
        <w:rPr>
          <w:lang w:val="es-ES"/>
        </w:rPr>
        <w:t>n</w:t>
      </w:r>
      <w:r>
        <w:rPr>
          <w:lang w:val="es-ES"/>
        </w:rPr>
        <w:t xml:space="preserve">cretó el jueves </w:t>
      </w:r>
      <w:smartTag w:uri="urn:schemas-microsoft-com:office:smarttags" w:element="metricconverter">
        <w:smartTagPr>
          <w:attr w:name="ProductID" w:val="17. A"/>
        </w:smartTagPr>
        <w:r>
          <w:rPr>
            <w:lang w:val="es-ES"/>
          </w:rPr>
          <w:t>17. A</w:t>
        </w:r>
      </w:smartTag>
      <w:r>
        <w:rPr>
          <w:lang w:val="es-ES"/>
        </w:rPr>
        <w:t xml:space="preserve"> tal fin, se reprodujo la conversación efe</w:t>
      </w:r>
      <w:r>
        <w:rPr>
          <w:lang w:val="es-ES"/>
        </w:rPr>
        <w:t>c</w:t>
      </w:r>
      <w:r>
        <w:rPr>
          <w:lang w:val="es-ES"/>
        </w:rPr>
        <w:t>tuada en esa fecha y registrada en la casete nº 37 del ab</w:t>
      </w:r>
      <w:r>
        <w:rPr>
          <w:lang w:val="es-ES"/>
        </w:rPr>
        <w:t>o</w:t>
      </w:r>
      <w:r>
        <w:rPr>
          <w:lang w:val="es-ES"/>
        </w:rPr>
        <w:t>nado 760-2343, lado A, vuelta 955.</w:t>
      </w:r>
    </w:p>
    <w:p w:rsidR="00224567" w:rsidRDefault="00224567">
      <w:pPr>
        <w:pStyle w:val="Textoindependiente"/>
        <w:spacing w:line="600" w:lineRule="auto"/>
        <w:ind w:firstLine="2835"/>
        <w:rPr>
          <w:lang w:val="es-ES"/>
        </w:rPr>
      </w:pPr>
      <w:r>
        <w:rPr>
          <w:lang w:val="es-ES"/>
        </w:rPr>
        <w:t>Ibarra explicó que se trataba de un diálogo mantenido en horas de  la  mañana  entre  “J</w:t>
      </w:r>
      <w:r>
        <w:rPr>
          <w:lang w:val="es-ES"/>
        </w:rPr>
        <w:t>u</w:t>
      </w:r>
      <w:r>
        <w:rPr>
          <w:lang w:val="es-ES"/>
        </w:rPr>
        <w:t>lio”  -quien sería Héctor Salvador Maiolo, alias “Julio Mansur”- y Ana Boragni, en el que el primero citaba a la segunda p</w:t>
      </w:r>
      <w:r>
        <w:rPr>
          <w:lang w:val="es-ES"/>
        </w:rPr>
        <w:t>a</w:t>
      </w:r>
      <w:r>
        <w:rPr>
          <w:lang w:val="es-ES"/>
        </w:rPr>
        <w:t>ra que fuera en cuarenta minutos al bol</w:t>
      </w:r>
      <w:r>
        <w:rPr>
          <w:lang w:val="es-ES"/>
        </w:rPr>
        <w:t>i</w:t>
      </w:r>
      <w:r>
        <w:rPr>
          <w:lang w:val="es-ES"/>
        </w:rPr>
        <w:t>che donde se habían reunido con el “señor anciano”, quien, a juicio del imp</w:t>
      </w:r>
      <w:r>
        <w:rPr>
          <w:lang w:val="es-ES"/>
        </w:rPr>
        <w:t>u</w:t>
      </w:r>
      <w:r>
        <w:rPr>
          <w:lang w:val="es-ES"/>
        </w:rPr>
        <w:t>tado, se trataba de Legascue. Precisó que el lugar de e</w:t>
      </w:r>
      <w:r>
        <w:rPr>
          <w:lang w:val="es-ES"/>
        </w:rPr>
        <w:t>n</w:t>
      </w:r>
      <w:r>
        <w:rPr>
          <w:lang w:val="es-ES"/>
        </w:rPr>
        <w:t>cuentro fue el local sito en Cabildo y Monroe, donde se h</w:t>
      </w:r>
      <w:r>
        <w:rPr>
          <w:lang w:val="es-ES"/>
        </w:rPr>
        <w:t>a</w:t>
      </w:r>
      <w:r>
        <w:rPr>
          <w:lang w:val="es-ES"/>
        </w:rPr>
        <w:t>bían visto los días pr</w:t>
      </w:r>
      <w:r>
        <w:rPr>
          <w:lang w:val="es-ES"/>
        </w:rPr>
        <w:t>e</w:t>
      </w:r>
      <w:r>
        <w:rPr>
          <w:lang w:val="es-ES"/>
        </w:rPr>
        <w:t>vios al 5 de julio de 1996.</w:t>
      </w:r>
    </w:p>
    <w:p w:rsidR="00224567" w:rsidRDefault="00224567">
      <w:pPr>
        <w:pStyle w:val="Textoindependiente"/>
        <w:spacing w:line="600" w:lineRule="auto"/>
        <w:ind w:firstLine="2835"/>
        <w:rPr>
          <w:lang w:val="es-ES"/>
        </w:rPr>
      </w:pPr>
      <w:r>
        <w:rPr>
          <w:lang w:val="es-ES"/>
        </w:rPr>
        <w:t>El acusado señaló que dicha llamada  coincidía con lo manifestado al respecto por Maiolo al prestar declaración testimonial en el d</w:t>
      </w:r>
      <w:r>
        <w:rPr>
          <w:lang w:val="es-ES"/>
        </w:rPr>
        <w:t>e</w:t>
      </w:r>
      <w:r>
        <w:rPr>
          <w:lang w:val="es-ES"/>
        </w:rPr>
        <w:t>bate.</w:t>
      </w:r>
    </w:p>
    <w:p w:rsidR="00224567" w:rsidRDefault="00224567">
      <w:pPr>
        <w:pStyle w:val="Textoindependiente"/>
        <w:spacing w:line="600" w:lineRule="auto"/>
        <w:ind w:firstLine="2835"/>
        <w:rPr>
          <w:lang w:val="es-ES"/>
        </w:rPr>
      </w:pPr>
      <w:r>
        <w:rPr>
          <w:lang w:val="es-ES"/>
        </w:rPr>
        <w:t>Agregó que en el segundo pago interv</w:t>
      </w:r>
      <w:r>
        <w:rPr>
          <w:lang w:val="es-ES"/>
        </w:rPr>
        <w:t>i</w:t>
      </w:r>
      <w:r>
        <w:rPr>
          <w:lang w:val="es-ES"/>
        </w:rPr>
        <w:t>nieron, al igual que en el primero, los agentes Brousson y “Pinocho” González, circunstancia que ellos mismos confi</w:t>
      </w:r>
      <w:r>
        <w:rPr>
          <w:lang w:val="es-ES"/>
        </w:rPr>
        <w:t>r</w:t>
      </w:r>
      <w:r>
        <w:rPr>
          <w:lang w:val="es-ES"/>
        </w:rPr>
        <w:t>maron al declarar en el juicio oral.</w:t>
      </w:r>
    </w:p>
    <w:p w:rsidR="00224567" w:rsidRDefault="00224567">
      <w:pPr>
        <w:pStyle w:val="Textoindependiente"/>
        <w:spacing w:line="600" w:lineRule="auto"/>
        <w:ind w:firstLine="2835"/>
        <w:rPr>
          <w:lang w:val="es-ES"/>
        </w:rPr>
      </w:pPr>
      <w:r>
        <w:rPr>
          <w:lang w:val="es-ES"/>
        </w:rPr>
        <w:t>Tras exhibirse la planilla apo</w:t>
      </w:r>
      <w:r>
        <w:rPr>
          <w:lang w:val="es-ES"/>
        </w:rPr>
        <w:t>r</w:t>
      </w:r>
      <w:r>
        <w:rPr>
          <w:lang w:val="es-ES"/>
        </w:rPr>
        <w:t>tada por el declarante, glosada a fs. 117.414/117.415, conteniendo diversos contactos telefónicos que habrían s</w:t>
      </w:r>
      <w:r>
        <w:rPr>
          <w:lang w:val="es-ES"/>
        </w:rPr>
        <w:t>i</w:t>
      </w:r>
      <w:r>
        <w:rPr>
          <w:lang w:val="es-ES"/>
        </w:rPr>
        <w:t>do efectuados el 17 de octubre de 1996 por los diversos integrantes del operativo, explicó que en esa fecha comenzaron los prepar</w:t>
      </w:r>
      <w:r>
        <w:rPr>
          <w:lang w:val="es-ES"/>
        </w:rPr>
        <w:t>a</w:t>
      </w:r>
      <w:r>
        <w:rPr>
          <w:lang w:val="es-ES"/>
        </w:rPr>
        <w:t>tivos del segundo pago en horario bancario, e indicó que “Pinocho” González efectuó una primer llamada a las 10.09 desde su celular 446-4252, línea que utilizó conforme lo relatado en su declaración testimonial prestada en el deb</w:t>
      </w:r>
      <w:r>
        <w:rPr>
          <w:lang w:val="es-ES"/>
        </w:rPr>
        <w:t>a</w:t>
      </w:r>
      <w:r>
        <w:rPr>
          <w:lang w:val="es-ES"/>
        </w:rPr>
        <w:t>te, llamando luego al teléfono 554-3369 de Sala Patria.</w:t>
      </w:r>
    </w:p>
    <w:p w:rsidR="00224567" w:rsidRDefault="00224567">
      <w:pPr>
        <w:pStyle w:val="Textoindependiente"/>
        <w:spacing w:line="600" w:lineRule="auto"/>
        <w:ind w:firstLine="2835"/>
        <w:rPr>
          <w:lang w:val="es-ES"/>
        </w:rPr>
      </w:pPr>
      <w:r>
        <w:rPr>
          <w:lang w:val="es-ES"/>
        </w:rPr>
        <w:t>A las 10.25, Maiolo estableció una c</w:t>
      </w:r>
      <w:r>
        <w:rPr>
          <w:lang w:val="es-ES"/>
        </w:rPr>
        <w:t>o</w:t>
      </w:r>
      <w:r>
        <w:rPr>
          <w:lang w:val="es-ES"/>
        </w:rPr>
        <w:t>municación telefón</w:t>
      </w:r>
      <w:r>
        <w:rPr>
          <w:lang w:val="es-ES"/>
        </w:rPr>
        <w:t>i</w:t>
      </w:r>
      <w:r>
        <w:rPr>
          <w:lang w:val="es-ES"/>
        </w:rPr>
        <w:t>ca, siendo ése el motivo por el cual el dicente afirmó que ese agente conversó con B</w:t>
      </w:r>
      <w:r>
        <w:rPr>
          <w:lang w:val="es-ES"/>
        </w:rPr>
        <w:t>o</w:t>
      </w:r>
      <w:r>
        <w:rPr>
          <w:lang w:val="es-ES"/>
        </w:rPr>
        <w:t>ragni durante la mañana. Recordó que en el diálogo r</w:t>
      </w:r>
      <w:r>
        <w:rPr>
          <w:lang w:val="es-ES"/>
        </w:rPr>
        <w:t>e</w:t>
      </w:r>
      <w:r>
        <w:rPr>
          <w:lang w:val="es-ES"/>
        </w:rPr>
        <w:t>producido, Julio le habló a Ana sobre una llamada de Telleldín entre las 13.00 y las 13.30, transmitiéndole así el mensaje de que en ese lapso se iba a material</w:t>
      </w:r>
      <w:r>
        <w:rPr>
          <w:lang w:val="es-ES"/>
        </w:rPr>
        <w:t>i</w:t>
      </w:r>
      <w:r>
        <w:rPr>
          <w:lang w:val="es-ES"/>
        </w:rPr>
        <w:t>zar el aporte dinerario.</w:t>
      </w:r>
    </w:p>
    <w:p w:rsidR="00224567" w:rsidRDefault="00224567">
      <w:pPr>
        <w:pStyle w:val="Textoindependiente"/>
        <w:spacing w:line="600" w:lineRule="auto"/>
        <w:ind w:firstLine="2835"/>
        <w:rPr>
          <w:lang w:val="es-ES"/>
        </w:rPr>
      </w:pPr>
      <w:r>
        <w:rPr>
          <w:lang w:val="es-ES"/>
        </w:rPr>
        <w:t>A las 11.44, continuó, se inició el operativo “pago”, horario en que “Pinocho” González se co</w:t>
      </w:r>
      <w:r>
        <w:rPr>
          <w:lang w:val="es-ES"/>
        </w:rPr>
        <w:t>n</w:t>
      </w:r>
      <w:r>
        <w:rPr>
          <w:lang w:val="es-ES"/>
        </w:rPr>
        <w:t>tactó con la línea 447-2495 del Dr. M</w:t>
      </w:r>
      <w:r>
        <w:rPr>
          <w:lang w:val="es-ES"/>
        </w:rPr>
        <w:t>u</w:t>
      </w:r>
      <w:r>
        <w:rPr>
          <w:lang w:val="es-ES"/>
        </w:rPr>
        <w:t>llen. A las 13.08, el Dr. Barbaccia llamó al Dr. V</w:t>
      </w:r>
      <w:r>
        <w:rPr>
          <w:lang w:val="es-ES"/>
        </w:rPr>
        <w:t>e</w:t>
      </w:r>
      <w:r>
        <w:rPr>
          <w:lang w:val="es-ES"/>
        </w:rPr>
        <w:t>lasco, a las 13.10, el agente González se contactó con el teléfono 447-2495 del Dr. M</w:t>
      </w:r>
      <w:r>
        <w:rPr>
          <w:lang w:val="es-ES"/>
        </w:rPr>
        <w:t>u</w:t>
      </w:r>
      <w:r>
        <w:rPr>
          <w:lang w:val="es-ES"/>
        </w:rPr>
        <w:t>llen y a las 15.17, lo hizo con el Dr. Galeano, habiendo ya co</w:t>
      </w:r>
      <w:r>
        <w:rPr>
          <w:lang w:val="es-ES"/>
        </w:rPr>
        <w:t>n</w:t>
      </w:r>
      <w:r>
        <w:rPr>
          <w:lang w:val="es-ES"/>
        </w:rPr>
        <w:t>cluido la transacción.</w:t>
      </w:r>
    </w:p>
    <w:p w:rsidR="00224567" w:rsidRDefault="00224567">
      <w:pPr>
        <w:pStyle w:val="Textoindependiente"/>
        <w:spacing w:line="600" w:lineRule="auto"/>
        <w:ind w:firstLine="2835"/>
        <w:rPr>
          <w:lang w:val="es-ES"/>
        </w:rPr>
      </w:pPr>
      <w:r>
        <w:rPr>
          <w:lang w:val="es-ES"/>
        </w:rPr>
        <w:t>Indicó que los cruces telefónicos exi</w:t>
      </w:r>
      <w:r>
        <w:rPr>
          <w:lang w:val="es-ES"/>
        </w:rPr>
        <w:t>s</w:t>
      </w:r>
      <w:r>
        <w:rPr>
          <w:lang w:val="es-ES"/>
        </w:rPr>
        <w:t>tieron y surgían de la causa del Dr. Bonadío, más allá de las explicaciones fuera de contexto que se aportaran, agr</w:t>
      </w:r>
      <w:r>
        <w:rPr>
          <w:lang w:val="es-ES"/>
        </w:rPr>
        <w:t>e</w:t>
      </w:r>
      <w:r>
        <w:rPr>
          <w:lang w:val="es-ES"/>
        </w:rPr>
        <w:t>gando que oportunamente se faltó a la verdad.</w:t>
      </w:r>
    </w:p>
    <w:p w:rsidR="00224567" w:rsidRDefault="00224567">
      <w:pPr>
        <w:pStyle w:val="Textoindependiente"/>
        <w:spacing w:line="600" w:lineRule="auto"/>
        <w:ind w:firstLine="2835"/>
        <w:rPr>
          <w:lang w:val="es-ES"/>
        </w:rPr>
      </w:pPr>
      <w:r>
        <w:rPr>
          <w:lang w:val="es-ES"/>
        </w:rPr>
        <w:t>Por último, Ibarra declaró que fue d</w:t>
      </w:r>
      <w:r>
        <w:rPr>
          <w:lang w:val="es-ES"/>
        </w:rPr>
        <w:t>e</w:t>
      </w:r>
      <w:r>
        <w:rPr>
          <w:lang w:val="es-ES"/>
        </w:rPr>
        <w:t>tenido por una mentira, circunstancia que le impidió aco</w:t>
      </w:r>
      <w:r>
        <w:rPr>
          <w:lang w:val="es-ES"/>
        </w:rPr>
        <w:t>m</w:t>
      </w:r>
      <w:r>
        <w:rPr>
          <w:lang w:val="es-ES"/>
        </w:rPr>
        <w:t>pañar a sus hijos en las diversas etapas de su v</w:t>
      </w:r>
      <w:r>
        <w:rPr>
          <w:lang w:val="es-ES"/>
        </w:rPr>
        <w:t>i</w:t>
      </w:r>
      <w:r>
        <w:rPr>
          <w:lang w:val="es-ES"/>
        </w:rPr>
        <w:t>da.</w:t>
      </w:r>
    </w:p>
    <w:p w:rsidR="00224567" w:rsidRDefault="00224567">
      <w:pPr>
        <w:pStyle w:val="Textoindependiente"/>
        <w:spacing w:line="600" w:lineRule="auto"/>
      </w:pPr>
    </w:p>
    <w:p w:rsidR="00224567" w:rsidRDefault="00224567">
      <w:pPr>
        <w:pStyle w:val="Ttulo3"/>
        <w:keepNext w:val="0"/>
        <w:widowControl w:val="0"/>
      </w:pPr>
      <w:r>
        <w:t>F) Declaraciones indagatorias de Anastasio Ireneo Leal.</w:t>
      </w:r>
    </w:p>
    <w:p w:rsidR="00224567" w:rsidRDefault="00224567">
      <w:pPr>
        <w:pStyle w:val="Textoindependiente2"/>
        <w:widowControl w:val="0"/>
        <w:tabs>
          <w:tab w:val="left" w:pos="2835"/>
        </w:tabs>
        <w:rPr>
          <w:rFonts w:ascii="Courier New" w:hAnsi="Courier New" w:cs="Courier New"/>
          <w:lang w:val="es-ES_tradnl"/>
        </w:rPr>
      </w:pPr>
      <w:r>
        <w:rPr>
          <w:rFonts w:ascii="Courier New" w:hAnsi="Courier New" w:cs="Courier New"/>
          <w:lang w:val="es-ES_tradnl"/>
        </w:rPr>
        <w:tab/>
        <w:t>En la oportunidad prevista en el art. 378 del rito, Anastasio Ireneo Leal prestó declaración y comenzó su exposición afirmando que no existe ni nunca existió un pacto de silencio entre los policías involucr</w:t>
      </w:r>
      <w:r>
        <w:rPr>
          <w:rFonts w:ascii="Courier New" w:hAnsi="Courier New" w:cs="Courier New"/>
          <w:lang w:val="es-ES_tradnl"/>
        </w:rPr>
        <w:t>a</w:t>
      </w:r>
      <w:r>
        <w:rPr>
          <w:rFonts w:ascii="Courier New" w:hAnsi="Courier New" w:cs="Courier New"/>
          <w:lang w:val="es-ES_tradnl"/>
        </w:rPr>
        <w:t>dos en la causa y, en su caso particular, ello queda cl</w:t>
      </w:r>
      <w:r>
        <w:rPr>
          <w:rFonts w:ascii="Courier New" w:hAnsi="Courier New" w:cs="Courier New"/>
          <w:lang w:val="es-ES_tradnl"/>
        </w:rPr>
        <w:t>a</w:t>
      </w:r>
      <w:r>
        <w:rPr>
          <w:rFonts w:ascii="Courier New" w:hAnsi="Courier New" w:cs="Courier New"/>
          <w:lang w:val="es-ES_tradnl"/>
        </w:rPr>
        <w:t>ramente demostrado dado que declaró todas las veces que fue convocado, con excepción de la primera vez que conc</w:t>
      </w:r>
      <w:r>
        <w:rPr>
          <w:rFonts w:ascii="Courier New" w:hAnsi="Courier New" w:cs="Courier New"/>
          <w:lang w:val="es-ES_tradnl"/>
        </w:rPr>
        <w:t>u</w:t>
      </w:r>
      <w:r>
        <w:rPr>
          <w:rFonts w:ascii="Courier New" w:hAnsi="Courier New" w:cs="Courier New"/>
          <w:lang w:val="es-ES_tradnl"/>
        </w:rPr>
        <w:t>rrió al juzgado instructor debido a que no estaba presente su abog</w:t>
      </w:r>
      <w:r>
        <w:rPr>
          <w:rFonts w:ascii="Courier New" w:hAnsi="Courier New" w:cs="Courier New"/>
          <w:lang w:val="es-ES_tradnl"/>
        </w:rPr>
        <w:t>a</w:t>
      </w:r>
      <w:r>
        <w:rPr>
          <w:rFonts w:ascii="Courier New" w:hAnsi="Courier New" w:cs="Courier New"/>
          <w:lang w:val="es-ES_tradnl"/>
        </w:rPr>
        <w:t>do.</w:t>
      </w:r>
    </w:p>
    <w:p w:rsidR="00224567" w:rsidRDefault="00224567">
      <w:pPr>
        <w:widowControl w:val="0"/>
        <w:tabs>
          <w:tab w:val="left" w:pos="2835"/>
        </w:tabs>
      </w:pPr>
      <w:r>
        <w:rPr>
          <w:lang w:val="es-ES_tradnl"/>
        </w:rPr>
        <w:tab/>
        <w:t>Ratificó en su totalidad el co</w:t>
      </w:r>
      <w:r>
        <w:rPr>
          <w:lang w:val="es-ES_tradnl"/>
        </w:rPr>
        <w:t>n</w:t>
      </w:r>
      <w:r>
        <w:rPr>
          <w:lang w:val="es-ES_tradnl"/>
        </w:rPr>
        <w:t>tenido de las declaraciones testimoniales prestadas en sede pol</w:t>
      </w:r>
      <w:r>
        <w:rPr>
          <w:lang w:val="es-ES_tradnl"/>
        </w:rPr>
        <w:t>i</w:t>
      </w:r>
      <w:r>
        <w:rPr>
          <w:lang w:val="es-ES_tradnl"/>
        </w:rPr>
        <w:t>cial y cuya falsedad se le enrostra, puesto que reflejan la realidad de lo acontecido</w:t>
      </w:r>
      <w:r>
        <w:t>.</w:t>
      </w:r>
    </w:p>
    <w:p w:rsidR="00224567" w:rsidRDefault="00224567">
      <w:pPr>
        <w:widowControl w:val="0"/>
        <w:tabs>
          <w:tab w:val="left" w:pos="2835"/>
        </w:tabs>
        <w:ind w:firstLine="851"/>
      </w:pPr>
      <w:r>
        <w:tab/>
        <w:t xml:space="preserve">Con relación a los hechos del 14 de julio de 1994 dijo que Mario Bareiro informó a </w:t>
      </w:r>
      <w:smartTag w:uri="urn:schemas-microsoft-com:office:smarttags" w:element="PersonName">
        <w:smartTagPr>
          <w:attr w:name="ProductID" w:val="la Brigada"/>
        </w:smartTagPr>
        <w:r>
          <w:t>la Br</w:t>
        </w:r>
        <w:r>
          <w:t>i</w:t>
        </w:r>
        <w:r>
          <w:t>gada</w:t>
        </w:r>
      </w:smartTag>
      <w:r>
        <w:t xml:space="preserve"> de Vicente López, días antes -no pudo precisar fecha exa</w:t>
      </w:r>
      <w:r>
        <w:t>c</w:t>
      </w:r>
      <w:r>
        <w:t>ta, pero en los primeros días del mes de julio- que una persona llamada Carlos Alberto Telleldín se manejaba con un vehículo de procedencia ilícita. Ese vehículo era un Renault 19, patente S, color gris. Esa información fue c</w:t>
      </w:r>
      <w:r>
        <w:t>o</w:t>
      </w:r>
      <w:r>
        <w:t>municada al jefe de operaciones, que en ese momento era el subcomisario Rago, y éste de inmediato la transmitió al jefe de la brigada, comisario inspector Enrique Forgione. A raíz de ello, el subcomisario Rago, cumpliendo las d</w:t>
      </w:r>
      <w:r>
        <w:t>i</w:t>
      </w:r>
      <w:r>
        <w:t>rectivas del jefe de la brigada, le ordenó que procediera a efectuar las tareas de investigación pertinentes a fin de corroborar o descartar la not</w:t>
      </w:r>
      <w:r>
        <w:t>i</w:t>
      </w:r>
      <w:r>
        <w:t>cia.</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Cumpliendo dicho mandato, el 8 de j</w:t>
      </w:r>
      <w:r>
        <w:rPr>
          <w:rFonts w:ascii="Courier New" w:hAnsi="Courier New" w:cs="Courier New"/>
        </w:rPr>
        <w:t>u</w:t>
      </w:r>
      <w:r>
        <w:rPr>
          <w:rFonts w:ascii="Courier New" w:hAnsi="Courier New" w:cs="Courier New"/>
        </w:rPr>
        <w:t>lio de 1994, aproximadamente a las 21.00, conc</w:t>
      </w:r>
      <w:r>
        <w:rPr>
          <w:rFonts w:ascii="Courier New" w:hAnsi="Courier New" w:cs="Courier New"/>
        </w:rPr>
        <w:t>u</w:t>
      </w:r>
      <w:r>
        <w:rPr>
          <w:rFonts w:ascii="Courier New" w:hAnsi="Courier New" w:cs="Courier New"/>
        </w:rPr>
        <w:t>rrió junto con Bareiro al domicilio de Diego Barreda, que era el of</w:t>
      </w:r>
      <w:r>
        <w:rPr>
          <w:rFonts w:ascii="Courier New" w:hAnsi="Courier New" w:cs="Courier New"/>
        </w:rPr>
        <w:t>i</w:t>
      </w:r>
      <w:r>
        <w:rPr>
          <w:rFonts w:ascii="Courier New" w:hAnsi="Courier New" w:cs="Courier New"/>
        </w:rPr>
        <w:t>cial que le había dado a aquél la información sobre T</w:t>
      </w:r>
      <w:r>
        <w:rPr>
          <w:rFonts w:ascii="Courier New" w:hAnsi="Courier New" w:cs="Courier New"/>
        </w:rPr>
        <w:t>e</w:t>
      </w:r>
      <w:r>
        <w:rPr>
          <w:rFonts w:ascii="Courier New" w:hAnsi="Courier New" w:cs="Courier New"/>
        </w:rPr>
        <w:t>lleldín. Aclaró Leal que a Telleldín no lo c</w:t>
      </w:r>
      <w:r>
        <w:rPr>
          <w:rFonts w:ascii="Courier New" w:hAnsi="Courier New" w:cs="Courier New"/>
        </w:rPr>
        <w:t>o</w:t>
      </w:r>
      <w:r>
        <w:rPr>
          <w:rFonts w:ascii="Courier New" w:hAnsi="Courier New" w:cs="Courier New"/>
        </w:rPr>
        <w:t>nocía, nunca lo había visto en su vida. Prueba que concurrió a ese l</w:t>
      </w:r>
      <w:r>
        <w:rPr>
          <w:rFonts w:ascii="Courier New" w:hAnsi="Courier New" w:cs="Courier New"/>
        </w:rPr>
        <w:t>u</w:t>
      </w:r>
      <w:r>
        <w:rPr>
          <w:rFonts w:ascii="Courier New" w:hAnsi="Courier New" w:cs="Courier New"/>
        </w:rPr>
        <w:t>gar un llamado telefónico al domicilio de Barreda. Es el primer llamado telefónico que existe en su Movicom, que era el nº 440-2132. Barreda ratificó la información apo</w:t>
      </w:r>
      <w:r>
        <w:rPr>
          <w:rFonts w:ascii="Courier New" w:hAnsi="Courier New" w:cs="Courier New"/>
        </w:rPr>
        <w:t>r</w:t>
      </w:r>
      <w:r>
        <w:rPr>
          <w:rFonts w:ascii="Courier New" w:hAnsi="Courier New" w:cs="Courier New"/>
        </w:rPr>
        <w:t>tada por Bareiro y le dijo que Telleldín se dedicaba a comprar vehículos siniestrados, luego mandaba a robar r</w:t>
      </w:r>
      <w:r>
        <w:rPr>
          <w:rFonts w:ascii="Courier New" w:hAnsi="Courier New" w:cs="Courier New"/>
        </w:rPr>
        <w:t>o</w:t>
      </w:r>
      <w:r>
        <w:rPr>
          <w:rFonts w:ascii="Courier New" w:hAnsi="Courier New" w:cs="Courier New"/>
        </w:rPr>
        <w:t>dados de similares caracterí</w:t>
      </w:r>
      <w:r>
        <w:rPr>
          <w:rFonts w:ascii="Courier New" w:hAnsi="Courier New" w:cs="Courier New"/>
        </w:rPr>
        <w:t>s</w:t>
      </w:r>
      <w:r>
        <w:rPr>
          <w:rFonts w:ascii="Courier New" w:hAnsi="Courier New" w:cs="Courier New"/>
        </w:rPr>
        <w:t>ticas, después le remarcaban el número de motor, número de carrocería y con los papeles originales o adulter</w:t>
      </w:r>
      <w:r>
        <w:rPr>
          <w:rFonts w:ascii="Courier New" w:hAnsi="Courier New" w:cs="Courier New"/>
        </w:rPr>
        <w:t>a</w:t>
      </w:r>
      <w:r>
        <w:rPr>
          <w:rFonts w:ascii="Courier New" w:hAnsi="Courier New" w:cs="Courier New"/>
        </w:rPr>
        <w:t>dos los vendía.</w:t>
      </w:r>
    </w:p>
    <w:p w:rsidR="00224567" w:rsidRDefault="00224567">
      <w:pPr>
        <w:widowControl w:val="0"/>
        <w:tabs>
          <w:tab w:val="left" w:pos="2835"/>
        </w:tabs>
      </w:pPr>
      <w:r>
        <w:tab/>
        <w:t>Esa noche concurrieron a la agencia “Alejandro Automotores”, ubicada en Capital Federal, que según le indicaron era el lugar donde Telleldín compraba los coches sinie</w:t>
      </w:r>
      <w:r>
        <w:t>s</w:t>
      </w:r>
      <w:r>
        <w:t>trados. Recordó que a una cuadra de allí existía un depósito donde el agenciero tenía otros vehíc</w:t>
      </w:r>
      <w:r>
        <w:t>u</w:t>
      </w:r>
      <w:r>
        <w:t>los dañados. De allí lo llevaron a la casa de Telleldín para indicarle cuál era. Así terminó la tarea de intel</w:t>
      </w:r>
      <w:r>
        <w:t>i</w:t>
      </w:r>
      <w:r>
        <w:t>gencia del día 8 de julio de 1994.</w:t>
      </w:r>
    </w:p>
    <w:p w:rsidR="00224567" w:rsidRDefault="00224567">
      <w:pPr>
        <w:widowControl w:val="0"/>
        <w:tabs>
          <w:tab w:val="left" w:pos="2835"/>
        </w:tabs>
      </w:pPr>
      <w:r>
        <w:tab/>
        <w:t>Refirió Leal que los sábados y domi</w:t>
      </w:r>
      <w:r>
        <w:t>n</w:t>
      </w:r>
      <w:r>
        <w:t>gos la brigada normalmente no trabajaba por lo que se t</w:t>
      </w:r>
      <w:r>
        <w:t>o</w:t>
      </w:r>
      <w:r>
        <w:t>maban franco. No recordó qué tareas realizó el l</w:t>
      </w:r>
      <w:r>
        <w:t>u</w:t>
      </w:r>
      <w:r>
        <w:t>nes, pero si que el día 14 concurrió, junto con Mario Bareiro, G</w:t>
      </w:r>
      <w:r>
        <w:t>a</w:t>
      </w:r>
      <w:r>
        <w:t>briel Lasala -que junto con el sargento Enrique García i</w:t>
      </w:r>
      <w:r>
        <w:t>n</w:t>
      </w:r>
      <w:r>
        <w:t>tegraban su grupo operativo- a observar el domicilio de Telleldín y verificar si el Renault 19 que utilizaba era de procedencia ilícita. Cuando llegaron al lugar, el rod</w:t>
      </w:r>
      <w:r>
        <w:t>a</w:t>
      </w:r>
      <w:r>
        <w:t>do no estaba. Aguardaron varias horas, incluso a</w:t>
      </w:r>
      <w:r>
        <w:t>l</w:t>
      </w:r>
      <w:r>
        <w:t>morzaron allí. En horas de la tarde apareció Telleldín con el aut</w:t>
      </w:r>
      <w:r>
        <w:t>o</w:t>
      </w:r>
      <w:r>
        <w:t>motor, ingresó a la casa y después salió con la señora o con una mujer rubia que posteriormente se enteraron era Ana Boragni.</w:t>
      </w:r>
    </w:p>
    <w:p w:rsidR="00224567" w:rsidRDefault="00224567">
      <w:pPr>
        <w:widowControl w:val="0"/>
        <w:tabs>
          <w:tab w:val="left" w:pos="2835"/>
        </w:tabs>
      </w:pPr>
      <w:r>
        <w:tab/>
        <w:t>Cuando Telleldín salió de la vivie</w:t>
      </w:r>
      <w:r>
        <w:t>n</w:t>
      </w:r>
      <w:r>
        <w:t>da, Mario Bareiro que estaba en el interior de la c</w:t>
      </w:r>
      <w:r>
        <w:t>a</w:t>
      </w:r>
      <w:r>
        <w:t>mioneta de García –dotada con caja cerrada- y era amigo o conoc</w:t>
      </w:r>
      <w:r>
        <w:t>i</w:t>
      </w:r>
      <w:r>
        <w:t>do de aquél, lo identifica y se lo señala. Ante ello Lasala i</w:t>
      </w:r>
      <w:r>
        <w:t>n</w:t>
      </w:r>
      <w:r>
        <w:t>tentó interceptarlo con su rodado marca Peugeot 505, tr</w:t>
      </w:r>
      <w:r>
        <w:t>a</w:t>
      </w:r>
      <w:r>
        <w:t>tando de enc</w:t>
      </w:r>
      <w:r>
        <w:t>e</w:t>
      </w:r>
      <w:r>
        <w:t>rrarlo, y él por detrás trató de cortarle el paso para lograr una especie de cerrojo. Telleldín al n</w:t>
      </w:r>
      <w:r>
        <w:t>o</w:t>
      </w:r>
      <w:r>
        <w:t>tar el movimiento de los coches efectuó una mani</w:t>
      </w:r>
      <w:r>
        <w:t>o</w:t>
      </w:r>
      <w:r>
        <w:t>bra, rozó el guardabarros trasero derecho del automotor de L</w:t>
      </w:r>
      <w:r>
        <w:t>a</w:t>
      </w:r>
      <w:r>
        <w:t>sala, a la altura del paragolpes, y se dio a la fuga, subiéndose al cordón de la vereda. Leal lo pe</w:t>
      </w:r>
      <w:r>
        <w:t>r</w:t>
      </w:r>
      <w:r>
        <w:t>siguió más o menos unas veinte o treinta cuadras; hasta que nuevamente quedó enc</w:t>
      </w:r>
      <w:r>
        <w:t>e</w:t>
      </w:r>
      <w:r>
        <w:t>rrado por el tráns</w:t>
      </w:r>
      <w:r>
        <w:t>i</w:t>
      </w:r>
      <w:r>
        <w:t>to, se subió a la vereda y chocó contra un poste de luz, lo que permitió que lo alcanzaran. Con García se bajaron del automotor e intentaron en vano abrir las puertas del Renault 19. Finalmente, T</w:t>
      </w:r>
      <w:r>
        <w:t>e</w:t>
      </w:r>
      <w:r>
        <w:t>lleldín realizó una maniobra y se dio a la fuga.</w:t>
      </w:r>
    </w:p>
    <w:p w:rsidR="00224567" w:rsidRDefault="00224567">
      <w:pPr>
        <w:widowControl w:val="0"/>
        <w:tabs>
          <w:tab w:val="left" w:pos="2835"/>
        </w:tabs>
      </w:pPr>
      <w:r>
        <w:tab/>
        <w:t>En su momento, no sabía si el vehíc</w:t>
      </w:r>
      <w:r>
        <w:t>u</w:t>
      </w:r>
      <w:r>
        <w:t>lo de Telleldín tenía o no pedido de secuestro, ya que las informaciones de Bareiro, sólo indicaban que el m</w:t>
      </w:r>
      <w:r>
        <w:t>o</w:t>
      </w:r>
      <w:r>
        <w:t>tor y la carrocería e</w:t>
      </w:r>
      <w:r>
        <w:t>s</w:t>
      </w:r>
      <w:r>
        <w:t>taban “crudos”, que para ellos significa que tenían pedido de secuestro y era neces</w:t>
      </w:r>
      <w:r>
        <w:t>a</w:t>
      </w:r>
      <w:r>
        <w:t>rio interceptarlos. Al darse a la fuga, en el procedimiento quedó relativame</w:t>
      </w:r>
      <w:r>
        <w:t>n</w:t>
      </w:r>
      <w:r>
        <w:t>te frustrado.</w:t>
      </w:r>
    </w:p>
    <w:p w:rsidR="00224567" w:rsidRDefault="00224567">
      <w:pPr>
        <w:widowControl w:val="0"/>
        <w:tabs>
          <w:tab w:val="left" w:pos="2835"/>
        </w:tabs>
      </w:pPr>
      <w:r>
        <w:tab/>
        <w:t>Regresa entonces, junto con Ga</w:t>
      </w:r>
      <w:r>
        <w:t>r</w:t>
      </w:r>
      <w:r>
        <w:t>cía, al lugar donde habían permanecido vigilando, ya que allí h</w:t>
      </w:r>
      <w:r>
        <w:t>a</w:t>
      </w:r>
      <w:r>
        <w:t>bía quedado Lasala con su automotor, que presentaba de</w:t>
      </w:r>
      <w:r>
        <w:t>s</w:t>
      </w:r>
      <w:r>
        <w:t>perfectos mecánicos y, por ello, no había participado en la persecución. También había quedado Bareiro con la c</w:t>
      </w:r>
      <w:r>
        <w:t>a</w:t>
      </w:r>
      <w:r>
        <w:t>mioneta, a quien le contó que Telleldín se les había esc</w:t>
      </w:r>
      <w:r>
        <w:t>a</w:t>
      </w:r>
      <w:r>
        <w:t>pado. Bareiro, por su parte, le refirió que éste debía r</w:t>
      </w:r>
      <w:r>
        <w:t>e</w:t>
      </w:r>
      <w:r>
        <w:t>gresar porque tenía hijos que seguramente se encontraban en la vivienda y que si él no lo hacía retornaría la m</w:t>
      </w:r>
      <w:r>
        <w:t>u</w:t>
      </w:r>
      <w:r>
        <w:t>jer; a</w:t>
      </w:r>
      <w:r>
        <w:t>l</w:t>
      </w:r>
      <w:r>
        <w:t>guien tenía que volver.</w:t>
      </w:r>
    </w:p>
    <w:p w:rsidR="00224567" w:rsidRDefault="00224567">
      <w:pPr>
        <w:widowControl w:val="0"/>
        <w:tabs>
          <w:tab w:val="left" w:pos="2835"/>
        </w:tabs>
      </w:pPr>
      <w:r>
        <w:tab/>
        <w:t>Permanecieron en el lugar y ese mismo 14 de julio, desde las cercanías, se efectuó un llamado telefónico de su Movicom al domicilio observado, para c</w:t>
      </w:r>
      <w:r>
        <w:t>o</w:t>
      </w:r>
      <w:r>
        <w:t>rroborar si estaban los niños, dado que de ser así, se quedaban vigilando. Como determinaron que estaban aguard</w:t>
      </w:r>
      <w:r>
        <w:t>a</w:t>
      </w:r>
      <w:r>
        <w:t>ron a Telleldín, que no apareció.</w:t>
      </w:r>
    </w:p>
    <w:p w:rsidR="00224567" w:rsidRDefault="00224567">
      <w:pPr>
        <w:widowControl w:val="0"/>
        <w:tabs>
          <w:tab w:val="left" w:pos="2835"/>
        </w:tabs>
      </w:pPr>
      <w:r>
        <w:tab/>
        <w:t>Refirió Leal que avisó a Rago que se le había escapado Telleldín. Agregó que tiene conoc</w:t>
      </w:r>
      <w:r>
        <w:t>i</w:t>
      </w:r>
      <w:r>
        <w:t>miento que Rago, en su momento, informó lo aco</w:t>
      </w:r>
      <w:r>
        <w:t>n</w:t>
      </w:r>
      <w:r>
        <w:t>tecido al jefe de la brigada y éste autorizó que permanecieran en el l</w:t>
      </w:r>
      <w:r>
        <w:t>u</w:t>
      </w:r>
      <w:r>
        <w:t>gar, vigilando.</w:t>
      </w:r>
    </w:p>
    <w:p w:rsidR="00224567" w:rsidRDefault="00224567">
      <w:pPr>
        <w:widowControl w:val="0"/>
        <w:tabs>
          <w:tab w:val="left" w:pos="2835"/>
        </w:tabs>
      </w:pPr>
      <w:r>
        <w:tab/>
        <w:t>Aproximadamente a la medianoche, o</w:t>
      </w:r>
      <w:r>
        <w:t>b</w:t>
      </w:r>
      <w:r>
        <w:t>servaron salir de la casa a quien posteriormente determ</w:t>
      </w:r>
      <w:r>
        <w:t>i</w:t>
      </w:r>
      <w:r>
        <w:t>naron era Hugo Pérez. El suboficial García le transmitió esa información por radio y él le ordenó que lo interce</w:t>
      </w:r>
      <w:r>
        <w:t>p</w:t>
      </w:r>
      <w:r>
        <w:t>tara enviando en apoyo al suboficial Lasala, hasta que se acercó él. Al hacerlo le preguntó como se llamaba, respo</w:t>
      </w:r>
      <w:r>
        <w:t>n</w:t>
      </w:r>
      <w:r>
        <w:t>diendo Hugo Antonio Pérez; le solicitó documento y no t</w:t>
      </w:r>
      <w:r>
        <w:t>e</w:t>
      </w:r>
      <w:r>
        <w:t>nía; le preguntó dónde vivía y en primera instancia le d</w:t>
      </w:r>
      <w:r>
        <w:t>i</w:t>
      </w:r>
      <w:r>
        <w:t>jo que en Córdoba, después que lo hacía en el lugar; le requirió en qué trabaja, respondiendo que era pintor de casas, albañil o algo por el estilo; le solicitó que le mostrara las manos y vio que las tenía con grasa.</w:t>
      </w:r>
    </w:p>
    <w:p w:rsidR="00224567" w:rsidRDefault="00224567">
      <w:pPr>
        <w:widowControl w:val="0"/>
        <w:tabs>
          <w:tab w:val="left" w:pos="2835"/>
        </w:tabs>
      </w:pPr>
      <w:r>
        <w:tab/>
        <w:t>A raíz de que Pérez estaba indocume</w:t>
      </w:r>
      <w:r>
        <w:t>n</w:t>
      </w:r>
      <w:r>
        <w:t>tado y que no fueron satisfactorias sus respuestas, info</w:t>
      </w:r>
      <w:r>
        <w:t>r</w:t>
      </w:r>
      <w:r>
        <w:t>mó a la brigada lo acontecido y solicitó directivas acerca de qué hacía con esta pers</w:t>
      </w:r>
      <w:r>
        <w:t>o</w:t>
      </w:r>
      <w:r>
        <w:t>na.</w:t>
      </w:r>
    </w:p>
    <w:p w:rsidR="00224567" w:rsidRDefault="00224567">
      <w:pPr>
        <w:widowControl w:val="0"/>
        <w:tabs>
          <w:tab w:val="left" w:pos="2835"/>
        </w:tabs>
      </w:pPr>
      <w:r>
        <w:tab/>
        <w:t>Puntualizó Leal que en un primer m</w:t>
      </w:r>
      <w:r>
        <w:t>o</w:t>
      </w:r>
      <w:r>
        <w:t>mento afirmó que la llamada a la brigada había sido efe</w:t>
      </w:r>
      <w:r>
        <w:t>c</w:t>
      </w:r>
      <w:r>
        <w:t>tuada a través de un Movicom, pero después, teniendo el listado de llamadas, estableció que no había sido así. E</w:t>
      </w:r>
      <w:r>
        <w:t>s</w:t>
      </w:r>
      <w:r>
        <w:t>tá seguro, entonces, que el llamado se realizó a través del equipo de radio que tenía colocado en el v</w:t>
      </w:r>
      <w:r>
        <w:t>e</w:t>
      </w:r>
      <w:r>
        <w:t>hículo Ford Galaxy, de color azul, que está secuestr</w:t>
      </w:r>
      <w:r>
        <w:t>a</w:t>
      </w:r>
      <w:r>
        <w:t>do. Luego de unos minutos, se le ordenó que trasladara al señor Pérez en averiguación de sus antecedentes.</w:t>
      </w:r>
    </w:p>
    <w:p w:rsidR="00224567" w:rsidRDefault="00224567">
      <w:pPr>
        <w:widowControl w:val="0"/>
        <w:tabs>
          <w:tab w:val="left" w:pos="2835"/>
        </w:tabs>
      </w:pPr>
      <w:r>
        <w:tab/>
        <w:t>Dijo saber que Rago consultó, en su momento, al jefe de la brigada y éste avaló la detención de Pérez.</w:t>
      </w:r>
    </w:p>
    <w:p w:rsidR="00224567" w:rsidRDefault="00224567">
      <w:pPr>
        <w:widowControl w:val="0"/>
        <w:tabs>
          <w:tab w:val="left" w:pos="2835"/>
        </w:tabs>
      </w:pPr>
      <w:r>
        <w:tab/>
        <w:t>Mientras estuvo en el lugar llamó por teléfono a Barreda para que le dijera quién era Hugo Ant</w:t>
      </w:r>
      <w:r>
        <w:t>o</w:t>
      </w:r>
      <w:r>
        <w:t>nio Pérez, porque no tenía información de esta persona. Barreda le manifestó que era la mano derecha o el testaf</w:t>
      </w:r>
      <w:r>
        <w:t>e</w:t>
      </w:r>
      <w:r>
        <w:t>rro de Telleldín y que estaba involucrado en las activid</w:t>
      </w:r>
      <w:r>
        <w:t>a</w:t>
      </w:r>
      <w:r>
        <w:t>des de éste. Esa fue la única información que tuvo acerca de Pérez.</w:t>
      </w:r>
    </w:p>
    <w:p w:rsidR="00224567" w:rsidRDefault="00224567">
      <w:pPr>
        <w:widowControl w:val="0"/>
        <w:tabs>
          <w:tab w:val="left" w:pos="2835"/>
        </w:tabs>
      </w:pPr>
      <w:r>
        <w:tab/>
        <w:t>Desde el lugar donde se comunicó, trasladó a Hugo Antonio Pérez a la brigada. El traslado habrá durado entre treinta y cuarenta minutos aproximad</w:t>
      </w:r>
      <w:r>
        <w:t>a</w:t>
      </w:r>
      <w:r>
        <w:t>mente, teniendo en cuenta la distancia desde Villa Balle</w:t>
      </w:r>
      <w:r>
        <w:t>s</w:t>
      </w:r>
      <w:r>
        <w:t>ter hasta el lugar donde está ub</w:t>
      </w:r>
      <w:r>
        <w:t>i</w:t>
      </w:r>
      <w:r>
        <w:t>cada la brigada.</w:t>
      </w:r>
    </w:p>
    <w:p w:rsidR="00224567" w:rsidRDefault="00224567">
      <w:pPr>
        <w:widowControl w:val="0"/>
        <w:tabs>
          <w:tab w:val="left" w:pos="2835"/>
        </w:tabs>
      </w:pPr>
      <w:r>
        <w:tab/>
        <w:t>Cuando llegó a la dependencia le i</w:t>
      </w:r>
      <w:r>
        <w:t>n</w:t>
      </w:r>
      <w:r>
        <w:t>formó al subcomisario Rago que había arribado con la pe</w:t>
      </w:r>
      <w:r>
        <w:t>r</w:t>
      </w:r>
      <w:r>
        <w:t>sona detenida; le explicó personalmente lo que había oc</w:t>
      </w:r>
      <w:r>
        <w:t>u</w:t>
      </w:r>
      <w:r>
        <w:t>rrido y Rago ordenó que se le recibiera la declaración testim</w:t>
      </w:r>
      <w:r>
        <w:t>o</w:t>
      </w:r>
      <w:r>
        <w:t>nial que ahora obra en la causa. A raíz de ello se le dio ingreso en los libros respectivos a Hugo Antonio Pérez, por averiguación de antecedentes. Así terminó el día 14 y la madrugada del 15.</w:t>
      </w:r>
    </w:p>
    <w:p w:rsidR="00224567" w:rsidRDefault="00224567">
      <w:pPr>
        <w:widowControl w:val="0"/>
        <w:tabs>
          <w:tab w:val="left" w:pos="2835"/>
        </w:tabs>
      </w:pPr>
      <w:r>
        <w:tab/>
        <w:t>El día 15, por estar de retén, fue c</w:t>
      </w:r>
      <w:r>
        <w:t>o</w:t>
      </w:r>
      <w:r>
        <w:t>misionado a llevar un detenido, llamado Diz, al juzgado federal a cargo del doctor Bergesio, donde permaneció d</w:t>
      </w:r>
      <w:r>
        <w:t>u</w:t>
      </w:r>
      <w:r>
        <w:t>rante todo el día. Estuvo ocupado con esa tarea desde las 9.00 hasta las 20.00. A las 19.50 regresó a la brigada con el detenido y el jefe le refirió que lo declarado por él no configuraba ningún delito; que había que seguir inve</w:t>
      </w:r>
      <w:r>
        <w:t>s</w:t>
      </w:r>
      <w:r>
        <w:t>tigando a Telleldín, comisionarlo a Bareiro y, cuando t</w:t>
      </w:r>
      <w:r>
        <w:t>u</w:t>
      </w:r>
      <w:r>
        <w:t>viera información, que la tran</w:t>
      </w:r>
      <w:r>
        <w:t>s</w:t>
      </w:r>
      <w:r>
        <w:t>mitiera.</w:t>
      </w:r>
    </w:p>
    <w:p w:rsidR="00224567" w:rsidRDefault="00224567">
      <w:pPr>
        <w:widowControl w:val="0"/>
        <w:tabs>
          <w:tab w:val="left" w:pos="2835"/>
        </w:tabs>
      </w:pPr>
      <w:r>
        <w:tab/>
        <w:t>Esa misma noche, previo a ret</w:t>
      </w:r>
      <w:r>
        <w:t>i</w:t>
      </w:r>
      <w:r>
        <w:t>rarse de la dependencia, llamó por teléfono a Barreda, le transm</w:t>
      </w:r>
      <w:r>
        <w:t>i</w:t>
      </w:r>
      <w:r>
        <w:t>tió la orden recibida y le dijo que cuando se asentaran los actores lo hicieran saber para continuar el proced</w:t>
      </w:r>
      <w:r>
        <w:t>i</w:t>
      </w:r>
      <w:r>
        <w:t>miento. Así terminó el procedimiento con T</w:t>
      </w:r>
      <w:r>
        <w:t>e</w:t>
      </w:r>
      <w:r>
        <w:t>lleldín.</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Desde el principio hasta el fin cu</w:t>
      </w:r>
      <w:r>
        <w:rPr>
          <w:rFonts w:ascii="Courier New" w:hAnsi="Courier New" w:cs="Courier New"/>
        </w:rPr>
        <w:t>m</w:t>
      </w:r>
      <w:r>
        <w:rPr>
          <w:rFonts w:ascii="Courier New" w:hAnsi="Courier New" w:cs="Courier New"/>
        </w:rPr>
        <w:t>plió las órdenes impartidas por el jefe de operaciones y el jefe de la brigada. Éste estuvo al tanto de todo lo que ocurrió en el lugar y de todas las diligencias que él realizó. En ningún momento mandó a nadie a extorsionar a Telleldín, como se le imputa. Menos aún al doctor Bott</w:t>
      </w:r>
      <w:r>
        <w:rPr>
          <w:rFonts w:ascii="Courier New" w:hAnsi="Courier New" w:cs="Courier New"/>
        </w:rPr>
        <w:t>e</w:t>
      </w:r>
      <w:r>
        <w:rPr>
          <w:rFonts w:ascii="Courier New" w:hAnsi="Courier New" w:cs="Courier New"/>
        </w:rPr>
        <w:t>gal, a quien ni conocía, viéndolo por primera vez en la audie</w:t>
      </w:r>
      <w:r>
        <w:rPr>
          <w:rFonts w:ascii="Courier New" w:hAnsi="Courier New" w:cs="Courier New"/>
        </w:rPr>
        <w:t>n</w:t>
      </w:r>
      <w:r>
        <w:rPr>
          <w:rFonts w:ascii="Courier New" w:hAnsi="Courier New" w:cs="Courier New"/>
        </w:rPr>
        <w:t>cia.</w:t>
      </w:r>
    </w:p>
    <w:p w:rsidR="00224567" w:rsidRDefault="00224567">
      <w:pPr>
        <w:widowControl w:val="0"/>
        <w:tabs>
          <w:tab w:val="left" w:pos="2835"/>
        </w:tabs>
      </w:pPr>
      <w:r>
        <w:tab/>
      </w:r>
      <w:smartTag w:uri="urn:schemas-microsoft-com:office:smarttags" w:element="PersonName">
        <w:smartTagPr>
          <w:attr w:name="ProductID" w:val="la Brigada"/>
        </w:smartTagPr>
        <w:r>
          <w:t>La Brigada</w:t>
        </w:r>
      </w:smartTag>
      <w:r>
        <w:t xml:space="preserve"> de Investigaciones de V</w:t>
      </w:r>
      <w:r>
        <w:t>i</w:t>
      </w:r>
      <w:r>
        <w:t>cente López únicamente realizó un procedimiento desde el comienzo hasta su finalización, y si hubo un hecho exto</w:t>
      </w:r>
      <w:r>
        <w:t>r</w:t>
      </w:r>
      <w:r>
        <w:t>sivo entre medio, él no tiene conocimiento. Ni él ni el jefe de la brigada ni Rago mandaron a nadie. Dijo que B</w:t>
      </w:r>
      <w:r>
        <w:t>a</w:t>
      </w:r>
      <w:r>
        <w:t>rreda o Bareiro van a tener que explicar por qué motivo dijeron lo que expresaron en sus declaraciones indagat</w:t>
      </w:r>
      <w:r>
        <w:t>o</w:t>
      </w:r>
      <w:r>
        <w:t xml:space="preserve">rias. Agregó que </w:t>
      </w:r>
      <w:smartTag w:uri="urn:schemas-microsoft-com:office:smarttags" w:element="PersonName">
        <w:smartTagPr>
          <w:attr w:name="ProductID" w:val="la Brigada"/>
        </w:smartTagPr>
        <w:r>
          <w:t>la Brigada</w:t>
        </w:r>
      </w:smartTag>
      <w:r>
        <w:t xml:space="preserve"> de Vicente López no mandó a invest</w:t>
      </w:r>
      <w:r>
        <w:t>i</w:t>
      </w:r>
      <w:r>
        <w:t>gar a nadie.</w:t>
      </w:r>
    </w:p>
    <w:p w:rsidR="00224567" w:rsidRDefault="00224567">
      <w:pPr>
        <w:widowControl w:val="0"/>
        <w:tabs>
          <w:tab w:val="left" w:pos="2835"/>
        </w:tabs>
      </w:pPr>
      <w:r>
        <w:tab/>
        <w:t>Reiteró que Mario Bareiro aportó la información antes referida sobre Telleldín, de quien era amigo o conocido. Supo que había tomado conocimiento de ella a través de un amigo llamado Diego Barrera. No reco</w:t>
      </w:r>
      <w:r>
        <w:t>r</w:t>
      </w:r>
      <w:r>
        <w:t>dó si Bareiro le habló de una camioneta Renault Trafic.</w:t>
      </w:r>
    </w:p>
    <w:p w:rsidR="00224567" w:rsidRDefault="00224567">
      <w:pPr>
        <w:widowControl w:val="0"/>
        <w:tabs>
          <w:tab w:val="left" w:pos="2835"/>
        </w:tabs>
      </w:pPr>
      <w:r>
        <w:tab/>
      </w:r>
      <w:r>
        <w:rPr>
          <w:lang w:val="es-ES_tradnl"/>
        </w:rPr>
        <w:t>Cuando</w:t>
      </w:r>
      <w:r>
        <w:t xml:space="preserve"> alguien llevaba un dato o una información, primero había que transmitírsela al jefe de operaciones, quien se la comunicaba al jefe de la brigada y éste, a su vez, ordenaba qué tareas se efectuaban al respecto. Aclaró que a él le ordenaron hacer tareas de i</w:t>
      </w:r>
      <w:r>
        <w:t>n</w:t>
      </w:r>
      <w:r>
        <w:t>teligencia y est</w:t>
      </w:r>
      <w:r>
        <w:t>a</w:t>
      </w:r>
      <w:r>
        <w:t>blecer si lo manifestado por Bareiro era verdad, dado que éste venía de otra brigada -la de San Martín- y no se lo conocía aún.</w:t>
      </w:r>
    </w:p>
    <w:p w:rsidR="00224567" w:rsidRDefault="00224567">
      <w:pPr>
        <w:widowControl w:val="0"/>
        <w:tabs>
          <w:tab w:val="left" w:pos="2835"/>
        </w:tabs>
        <w:rPr>
          <w:lang w:val="es-ES_tradnl"/>
        </w:rPr>
      </w:pPr>
      <w:r>
        <w:tab/>
        <w:t>Reafirmó que las tareas de intelige</w:t>
      </w:r>
      <w:r>
        <w:t>n</w:t>
      </w:r>
      <w:r>
        <w:t>cia consistieron en pasar por el domicilio de Telleldín, el día ocho de julio, un viernes, aproximadamente a las 21.00, en el horario que figura su llamado a la casa de Barreda. Se desplazó en su vehículo Ford Galaxy de color azul que está secuestrado. De allí fue a la casa de Barr</w:t>
      </w:r>
      <w:r>
        <w:t>e</w:t>
      </w:r>
      <w:r>
        <w:t>da, hablaron con éste, fueron a observar la agencia y el depósito de Monjo, pasaron nuevamente por la vivienda de Telle</w:t>
      </w:r>
      <w:r>
        <w:t>l</w:t>
      </w:r>
      <w:r>
        <w:t>dín y luego, hasta el día 14 no fue más.</w:t>
      </w:r>
    </w:p>
    <w:p w:rsidR="00224567" w:rsidRDefault="00224567">
      <w:pPr>
        <w:widowControl w:val="0"/>
        <w:tabs>
          <w:tab w:val="left" w:pos="2835"/>
        </w:tabs>
      </w:pPr>
      <w:r>
        <w:rPr>
          <w:lang w:val="es-ES_tradnl"/>
        </w:rPr>
        <w:tab/>
        <w:t>Barreda</w:t>
      </w:r>
      <w:r>
        <w:t xml:space="preserve"> corroboró la información que había dado Bareiro respecto Telleldín y el rodado R</w:t>
      </w:r>
      <w:r>
        <w:t>e</w:t>
      </w:r>
      <w:r>
        <w:t>nault 19 con el que se movilizaba.</w:t>
      </w:r>
    </w:p>
    <w:p w:rsidR="00224567" w:rsidRDefault="00224567">
      <w:pPr>
        <w:widowControl w:val="0"/>
        <w:tabs>
          <w:tab w:val="left" w:pos="2835"/>
        </w:tabs>
      </w:pPr>
      <w:r>
        <w:tab/>
        <w:t>Por ese motivo es que intentó inte</w:t>
      </w:r>
      <w:r>
        <w:t>r</w:t>
      </w:r>
      <w:r>
        <w:t>ceptar a Telleldín, para establecer si tenía pedido de s</w:t>
      </w:r>
      <w:r>
        <w:t>e</w:t>
      </w:r>
      <w:r>
        <w:t>cuestro, ya que la patente figuraba como inexistente, y entonces era la única forma de establecer si el vehículo era o no de procedencia ilíc</w:t>
      </w:r>
      <w:r>
        <w:t>i</w:t>
      </w:r>
      <w:r>
        <w:t>ta.</w:t>
      </w:r>
    </w:p>
    <w:p w:rsidR="00224567" w:rsidRDefault="00224567">
      <w:pPr>
        <w:widowControl w:val="0"/>
        <w:tabs>
          <w:tab w:val="left" w:pos="2835"/>
        </w:tabs>
        <w:rPr>
          <w:lang w:val="es-ES_tradnl"/>
        </w:rPr>
      </w:pPr>
      <w:r>
        <w:tab/>
        <w:t>Abundó respecto de que si la patente figura inexistente por pantalla, debe informar que se co</w:t>
      </w:r>
      <w:r>
        <w:t>n</w:t>
      </w:r>
      <w:r>
        <w:t>sultó con informática y que no tiene pedido de secue</w:t>
      </w:r>
      <w:r>
        <w:t>s</w:t>
      </w:r>
      <w:r>
        <w:t>tro o que no existe ningún dato al respecto. Entonces es neces</w:t>
      </w:r>
      <w:r>
        <w:t>a</w:t>
      </w:r>
      <w:r>
        <w:t>rio interceptar el automotor, detenerlo para que su co</w:t>
      </w:r>
      <w:r>
        <w:t>n</w:t>
      </w:r>
      <w:r>
        <w:t>ductor acredite que tiene la cédula verde o el título, y la numeración de estos corresponda con la que tiene esta</w:t>
      </w:r>
      <w:r>
        <w:t>m</w:t>
      </w:r>
      <w:r>
        <w:t>pada el vehículo; debe establecerse si el motor, por su numeración, tiene pedido de secuestro y sobre la base de ello se inicia la actuación. Se trata de un pr</w:t>
      </w:r>
      <w:r>
        <w:t>o</w:t>
      </w:r>
      <w:r>
        <w:t>cedimiento normal, común, simple, que realiza cualquier policía en cualquier lugar, aún en una diligencia de interceptación en la vía p</w:t>
      </w:r>
      <w:r>
        <w:t>ú</w:t>
      </w:r>
      <w:r>
        <w:t>blica.</w:t>
      </w:r>
    </w:p>
    <w:p w:rsidR="00224567" w:rsidRDefault="00224567">
      <w:pPr>
        <w:widowControl w:val="0"/>
        <w:tabs>
          <w:tab w:val="left" w:pos="2835"/>
        </w:tabs>
        <w:rPr>
          <w:lang w:val="es-ES_tradnl"/>
        </w:rPr>
      </w:pPr>
      <w:r>
        <w:rPr>
          <w:lang w:val="es-ES_tradnl"/>
        </w:rPr>
        <w:tab/>
      </w:r>
      <w:r>
        <w:t>El motivo por el cual fueron a “Al</w:t>
      </w:r>
      <w:r>
        <w:t>e</w:t>
      </w:r>
      <w:r>
        <w:t>jandro Automotores” y después al depósito era que si se detenía a Telleldín y se comprobaba la procedencia il</w:t>
      </w:r>
      <w:r>
        <w:t>í</w:t>
      </w:r>
      <w:r>
        <w:t>cita del vehículo, había que llegar a quién se lo había vend</w:t>
      </w:r>
      <w:r>
        <w:t>i</w:t>
      </w:r>
      <w:r>
        <w:t>do. En la agencia no se e</w:t>
      </w:r>
      <w:r>
        <w:t>n</w:t>
      </w:r>
      <w:r>
        <w:t>trevistó con nadie, sólo pasaron -de noche- y miraron. Había vehículos chocados, siniestr</w:t>
      </w:r>
      <w:r>
        <w:t>a</w:t>
      </w:r>
      <w:r>
        <w:t>dos, y la agencia estaba cerr</w:t>
      </w:r>
      <w:r>
        <w:t>a</w:t>
      </w:r>
      <w:r>
        <w:t>da.</w:t>
      </w:r>
    </w:p>
    <w:p w:rsidR="00224567" w:rsidRDefault="00224567">
      <w:pPr>
        <w:widowControl w:val="0"/>
        <w:tabs>
          <w:tab w:val="left" w:pos="2835"/>
        </w:tabs>
      </w:pPr>
      <w:r>
        <w:rPr>
          <w:lang w:val="es-ES_tradnl"/>
        </w:rPr>
        <w:tab/>
        <w:t>Afirmó nuevamente que por lo de T</w:t>
      </w:r>
      <w:r>
        <w:rPr>
          <w:lang w:val="es-ES_tradnl"/>
        </w:rPr>
        <w:t>e</w:t>
      </w:r>
      <w:r>
        <w:rPr>
          <w:lang w:val="es-ES_tradnl"/>
        </w:rPr>
        <w:t>lleldín</w:t>
      </w:r>
      <w:r>
        <w:t xml:space="preserve"> no pasó el día 10 de julio. La frase que indica eso en una declaración indagatoria prestada durante la instrucción fue colocada allí. Bareiro y Barreda también dijeron lo mismo; por ello no lo conforma que ah</w:t>
      </w:r>
      <w:r>
        <w:t>o</w:t>
      </w:r>
      <w:r>
        <w:t>ra digan que fueron mal interpretados o que no dijeron tal cosa. Solicitó que éstos digan realmente por qué realizaron tal afirmación si saben que no es verdad.</w:t>
      </w:r>
    </w:p>
    <w:p w:rsidR="00224567" w:rsidRDefault="00224567">
      <w:pPr>
        <w:widowControl w:val="0"/>
        <w:tabs>
          <w:tab w:val="left" w:pos="2835"/>
        </w:tabs>
        <w:rPr>
          <w:lang w:val="es-ES_tradnl"/>
        </w:rPr>
      </w:pPr>
      <w:r>
        <w:tab/>
        <w:t>Preguntado acerca de las actividades que realizó los días 9 y 10, dijo que para esa época tenía una amante, que se llama Neli Isabel Velasco, y con ella salía el primer y segundo domingo de cada mes. Se enco</w:t>
      </w:r>
      <w:r>
        <w:t>n</w:t>
      </w:r>
      <w:r>
        <w:t>traban para almorzar. Almorz</w:t>
      </w:r>
      <w:r>
        <w:t>a</w:t>
      </w:r>
      <w:r>
        <w:t>ban en un lugar que se llama “</w:t>
      </w:r>
      <w:smartTag w:uri="urn:schemas-microsoft-com:office:smarttags" w:element="PersonName">
        <w:smartTagPr>
          <w:attr w:name="ProductID" w:val="La Lechonera"/>
        </w:smartTagPr>
        <w:r>
          <w:t>La Lechonera</w:t>
        </w:r>
      </w:smartTag>
      <w:r>
        <w:t>” en San Justo, sobre Camino de Cintura.</w:t>
      </w:r>
    </w:p>
    <w:p w:rsidR="00224567" w:rsidRDefault="00224567">
      <w:pPr>
        <w:widowControl w:val="0"/>
        <w:tabs>
          <w:tab w:val="left" w:pos="2835"/>
        </w:tabs>
      </w:pPr>
      <w:r>
        <w:rPr>
          <w:lang w:val="es-ES_tradnl"/>
        </w:rPr>
        <w:tab/>
      </w:r>
      <w:r>
        <w:t>Los primeros y segundos domingos, al mediodía, hacía eso y a las tres de la tarde tenía que e</w:t>
      </w:r>
      <w:r>
        <w:t>s</w:t>
      </w:r>
      <w:r>
        <w:t>tar en su casa, dado que concurría a un templo eva</w:t>
      </w:r>
      <w:r>
        <w:t>n</w:t>
      </w:r>
      <w:r>
        <w:t>gelista en José C. Paz con su esposa e hijas, del que regresaba a altas horas de la n</w:t>
      </w:r>
      <w:r>
        <w:t>o</w:t>
      </w:r>
      <w:r>
        <w:t>che.</w:t>
      </w:r>
    </w:p>
    <w:p w:rsidR="00224567" w:rsidRDefault="00224567">
      <w:pPr>
        <w:widowControl w:val="0"/>
        <w:tabs>
          <w:tab w:val="left" w:pos="2835"/>
        </w:tabs>
      </w:pPr>
      <w:r>
        <w:tab/>
        <w:t>Con relación al día sábado 9, no pudo ind</w:t>
      </w:r>
      <w:r>
        <w:t>i</w:t>
      </w:r>
      <w:r>
        <w:t>car qué hizo.</w:t>
      </w:r>
    </w:p>
    <w:p w:rsidR="00224567" w:rsidRDefault="00224567">
      <w:pPr>
        <w:widowControl w:val="0"/>
        <w:tabs>
          <w:tab w:val="left" w:pos="2835"/>
        </w:tabs>
      </w:pPr>
      <w:r>
        <w:tab/>
        <w:t>Con respecto a los horarios de trab</w:t>
      </w:r>
      <w:r>
        <w:t>a</w:t>
      </w:r>
      <w:r>
        <w:t>jo durante los fines de semana, Leal señaló que, operativ</w:t>
      </w:r>
      <w:r>
        <w:t>a</w:t>
      </w:r>
      <w:r>
        <w:t>mente, la brigada del viernes a la tarde al lunes a la  mañana normalmente no trabaja y aseguró que él no lo h</w:t>
      </w:r>
      <w:r>
        <w:t>a</w:t>
      </w:r>
      <w:r>
        <w:t>cía. La única oportunidad en que lo hacía era si debía cumplir función de retén o estaba de turno. Pero esos días no lo hizo, es más, pasaron cuatro o cinco días que no fue a la brigada.</w:t>
      </w:r>
    </w:p>
    <w:p w:rsidR="00224567" w:rsidRDefault="00224567">
      <w:pPr>
        <w:widowControl w:val="0"/>
        <w:tabs>
          <w:tab w:val="left" w:pos="2835"/>
        </w:tabs>
        <w:rPr>
          <w:lang w:val="es-AR"/>
        </w:rPr>
      </w:pPr>
      <w:r>
        <w:tab/>
        <w:t>Interrogado sobre si tenía conocimie</w:t>
      </w:r>
      <w:r>
        <w:t>n</w:t>
      </w:r>
      <w:r>
        <w:t>to que para los días 9 y 10 de julio del año 1994 Carlos Telleldín p</w:t>
      </w:r>
      <w:r>
        <w:t>u</w:t>
      </w:r>
      <w:r>
        <w:t>blicó uno o más vehículos para la venta, dijo que tomó conocimiento cuando leyó la causa y vio los r</w:t>
      </w:r>
      <w:r>
        <w:t>e</w:t>
      </w:r>
      <w:r>
        <w:t>cortes periodísticos adjuntados a la misma, con posteri</w:t>
      </w:r>
      <w:r>
        <w:t>o</w:t>
      </w:r>
      <w:r>
        <w:t>ridad a su detención. Recordó que antes de salir de la brigada el 14 de julio, Mario Bareiro andaba con un clas</w:t>
      </w:r>
      <w:r>
        <w:t>i</w:t>
      </w:r>
      <w:r>
        <w:t>ficado de “Clarín”, que tenía un vehículo p</w:t>
      </w:r>
      <w:r>
        <w:t>u</w:t>
      </w:r>
      <w:r>
        <w:t>blicado, pero no sabe que vehículo era, y que en virtud de esa public</w:t>
      </w:r>
      <w:r>
        <w:t>a</w:t>
      </w:r>
      <w:r>
        <w:t>ción llamaron, desde allí, a la casa de Telleldín y ate</w:t>
      </w:r>
      <w:r>
        <w:t>n</w:t>
      </w:r>
      <w:r>
        <w:t>dió una mujer que contestó que el vehículo se había vend</w:t>
      </w:r>
      <w:r>
        <w:t>i</w:t>
      </w:r>
      <w:r>
        <w:t>do, pero no recordó qué veh</w:t>
      </w:r>
      <w:r>
        <w:t>í</w:t>
      </w:r>
      <w:r>
        <w:t xml:space="preserve">culo era, qué marca, ni de qué fecha era ese anuncio. </w:t>
      </w:r>
    </w:p>
    <w:p w:rsidR="00224567" w:rsidRDefault="00224567">
      <w:pPr>
        <w:widowControl w:val="0"/>
        <w:tabs>
          <w:tab w:val="left" w:pos="2835"/>
        </w:tabs>
        <w:rPr>
          <w:lang w:val="es-AR"/>
        </w:rPr>
      </w:pPr>
      <w:r>
        <w:rPr>
          <w:lang w:val="es-AR"/>
        </w:rPr>
        <w:tab/>
        <w:t>Cuando la fiscalía lo inquirió respe</w:t>
      </w:r>
      <w:r>
        <w:rPr>
          <w:lang w:val="es-AR"/>
        </w:rPr>
        <w:t>c</w:t>
      </w:r>
      <w:r>
        <w:rPr>
          <w:lang w:val="es-AR"/>
        </w:rPr>
        <w:t xml:space="preserve">to a la razón por la cual </w:t>
      </w:r>
      <w:r>
        <w:t xml:space="preserve">concurrió al lugar a hacer el procedimiento, contestó: el Renault 19, debía certificar lo que decía Bareiro, respecto de la procedencia ilícita de dicho rodado. Aclaró que no dijo que este vehículo haya sido publicado para la venta, no tiene conocimiento de ello. De la publicación de </w:t>
      </w:r>
      <w:smartTag w:uri="urn:schemas-microsoft-com:office:smarttags" w:element="PersonName">
        <w:smartTagPr>
          <w:attr w:name="ProductID" w:val="la Renault Trafic"/>
        </w:smartTagPr>
        <w:r>
          <w:t>la Renault Trafic</w:t>
        </w:r>
      </w:smartTag>
      <w:r>
        <w:t xml:space="preserve"> tomó conoc</w:t>
      </w:r>
      <w:r>
        <w:t>i</w:t>
      </w:r>
      <w:r>
        <w:t>miento luego de haber leído la causa, con ant</w:t>
      </w:r>
      <w:r>
        <w:t>e</w:t>
      </w:r>
      <w:r>
        <w:t>rioridad no.</w:t>
      </w:r>
    </w:p>
    <w:p w:rsidR="00224567" w:rsidRDefault="00224567">
      <w:pPr>
        <w:pStyle w:val="Textoindependiente2"/>
        <w:widowControl w:val="0"/>
        <w:tabs>
          <w:tab w:val="left" w:pos="2835"/>
        </w:tabs>
        <w:rPr>
          <w:rFonts w:ascii="Courier New" w:hAnsi="Courier New" w:cs="Courier New"/>
          <w:lang w:val="es-AR"/>
        </w:rPr>
      </w:pPr>
      <w:r>
        <w:rPr>
          <w:rFonts w:ascii="Courier New" w:hAnsi="Courier New" w:cs="Courier New"/>
        </w:rPr>
        <w:tab/>
        <w:t>No prestó a nadie su vehículo Ford G</w:t>
      </w:r>
      <w:r>
        <w:rPr>
          <w:rFonts w:ascii="Courier New" w:hAnsi="Courier New" w:cs="Courier New"/>
        </w:rPr>
        <w:t>a</w:t>
      </w:r>
      <w:r>
        <w:rPr>
          <w:rFonts w:ascii="Courier New" w:hAnsi="Courier New" w:cs="Courier New"/>
        </w:rPr>
        <w:t>laxy para que concurriera al domicilio de Telleldín a re</w:t>
      </w:r>
      <w:r>
        <w:rPr>
          <w:rFonts w:ascii="Courier New" w:hAnsi="Courier New" w:cs="Courier New"/>
        </w:rPr>
        <w:t>a</w:t>
      </w:r>
      <w:r>
        <w:rPr>
          <w:rFonts w:ascii="Courier New" w:hAnsi="Courier New" w:cs="Courier New"/>
        </w:rPr>
        <w:t>lizar tareas de inteligencia y puede ocurrir que los te</w:t>
      </w:r>
      <w:r>
        <w:rPr>
          <w:rFonts w:ascii="Courier New" w:hAnsi="Courier New" w:cs="Courier New"/>
        </w:rPr>
        <w:t>s</w:t>
      </w:r>
      <w:r>
        <w:rPr>
          <w:rFonts w:ascii="Courier New" w:hAnsi="Courier New" w:cs="Courier New"/>
        </w:rPr>
        <w:t>tigos se confundan con el automotor de uno de los invest</w:t>
      </w:r>
      <w:r>
        <w:rPr>
          <w:rFonts w:ascii="Courier New" w:hAnsi="Courier New" w:cs="Courier New"/>
        </w:rPr>
        <w:t>i</w:t>
      </w:r>
      <w:r>
        <w:rPr>
          <w:rFonts w:ascii="Courier New" w:hAnsi="Courier New" w:cs="Courier New"/>
        </w:rPr>
        <w:t>gadores, pues según supo, un tal Rausch lo habría hecho en un automotor de esa marca.</w:t>
      </w:r>
    </w:p>
    <w:p w:rsidR="00224567" w:rsidRDefault="00224567">
      <w:pPr>
        <w:pStyle w:val="Textoindependiente2"/>
        <w:widowControl w:val="0"/>
        <w:tabs>
          <w:tab w:val="left" w:pos="2835"/>
        </w:tabs>
        <w:rPr>
          <w:rFonts w:ascii="Courier New" w:hAnsi="Courier New" w:cs="Courier New"/>
          <w:lang w:val="es-AR"/>
        </w:rPr>
      </w:pPr>
      <w:r>
        <w:rPr>
          <w:rFonts w:ascii="Courier New" w:hAnsi="Courier New" w:cs="Courier New"/>
        </w:rPr>
        <w:tab/>
        <w:t>Dijo que recién constató la existe</w:t>
      </w:r>
      <w:r>
        <w:rPr>
          <w:rFonts w:ascii="Courier New" w:hAnsi="Courier New" w:cs="Courier New"/>
        </w:rPr>
        <w:t>n</w:t>
      </w:r>
      <w:r>
        <w:rPr>
          <w:rFonts w:ascii="Courier New" w:hAnsi="Courier New" w:cs="Courier New"/>
        </w:rPr>
        <w:t>cia del Renault 19 cuando fue al lugar y vio a Telleldín f</w:t>
      </w:r>
      <w:r>
        <w:rPr>
          <w:rFonts w:ascii="Courier New" w:hAnsi="Courier New" w:cs="Courier New"/>
        </w:rPr>
        <w:t>u</w:t>
      </w:r>
      <w:r>
        <w:rPr>
          <w:rFonts w:ascii="Courier New" w:hAnsi="Courier New" w:cs="Courier New"/>
        </w:rPr>
        <w:t>garse en un vehículo de tales caract</w:t>
      </w:r>
      <w:r>
        <w:rPr>
          <w:rFonts w:ascii="Courier New" w:hAnsi="Courier New" w:cs="Courier New"/>
        </w:rPr>
        <w:t>e</w:t>
      </w:r>
      <w:r>
        <w:rPr>
          <w:rFonts w:ascii="Courier New" w:hAnsi="Courier New" w:cs="Courier New"/>
        </w:rPr>
        <w:t>rísticas con patente que iniciaba con la letra S. A través del expediente est</w:t>
      </w:r>
      <w:r>
        <w:rPr>
          <w:rFonts w:ascii="Courier New" w:hAnsi="Courier New" w:cs="Courier New"/>
        </w:rPr>
        <w:t>a</w:t>
      </w:r>
      <w:r>
        <w:rPr>
          <w:rFonts w:ascii="Courier New" w:hAnsi="Courier New" w:cs="Courier New"/>
        </w:rPr>
        <w:t>bleció –posteriormente- que la información que le había dado Mario B</w:t>
      </w:r>
      <w:r>
        <w:rPr>
          <w:rFonts w:ascii="Courier New" w:hAnsi="Courier New" w:cs="Courier New"/>
        </w:rPr>
        <w:t>a</w:t>
      </w:r>
      <w:r>
        <w:rPr>
          <w:rFonts w:ascii="Courier New" w:hAnsi="Courier New" w:cs="Courier New"/>
        </w:rPr>
        <w:t xml:space="preserve">reiro no era veraz, porque </w:t>
      </w:r>
      <w:smartTag w:uri="urn:schemas-microsoft-com:office:smarttags" w:element="PersonName">
        <w:smartTagPr>
          <w:attr w:name="ProductID" w:val="la Polic￭a Federal"/>
        </w:smartTagPr>
        <w:r>
          <w:rPr>
            <w:rFonts w:ascii="Courier New" w:hAnsi="Courier New" w:cs="Courier New"/>
          </w:rPr>
          <w:t>la Policía Federal</w:t>
        </w:r>
      </w:smartTag>
      <w:r>
        <w:rPr>
          <w:rFonts w:ascii="Courier New" w:hAnsi="Courier New" w:cs="Courier New"/>
        </w:rPr>
        <w:t xml:space="preserve"> secuestró ese automotor e informó que poseía numeraciones norm</w:t>
      </w:r>
      <w:r>
        <w:rPr>
          <w:rFonts w:ascii="Courier New" w:hAnsi="Courier New" w:cs="Courier New"/>
        </w:rPr>
        <w:t>a</w:t>
      </w:r>
      <w:r>
        <w:rPr>
          <w:rFonts w:ascii="Courier New" w:hAnsi="Courier New" w:cs="Courier New"/>
        </w:rPr>
        <w:t>les, tanto en su carrocería como en su motor.</w:t>
      </w:r>
    </w:p>
    <w:p w:rsidR="00224567" w:rsidRDefault="00224567">
      <w:pPr>
        <w:widowControl w:val="0"/>
        <w:tabs>
          <w:tab w:val="left" w:pos="2835"/>
        </w:tabs>
        <w:rPr>
          <w:lang w:val="es-AR"/>
        </w:rPr>
      </w:pPr>
      <w:r>
        <w:rPr>
          <w:lang w:val="es-AR"/>
        </w:rPr>
        <w:tab/>
      </w:r>
      <w:r>
        <w:t>Señaló que para esa fecha tenía un t</w:t>
      </w:r>
      <w:r>
        <w:t>e</w:t>
      </w:r>
      <w:r>
        <w:t>léfono celular, cuyo número era el 440-2132 y que a pa</w:t>
      </w:r>
      <w:r>
        <w:t>r</w:t>
      </w:r>
      <w:r>
        <w:t>tir del 10 de julio sólo mantuvo comunicaciones vi</w:t>
      </w:r>
      <w:r>
        <w:t>n</w:t>
      </w:r>
      <w:r>
        <w:t xml:space="preserve">culadas al tema del automotor de Telleldín con Bareiro y Barreda. Agregó que ni para esa fecha ni en el año 1994 efectuó llamados telefónicos con su celular a </w:t>
      </w:r>
      <w:smartTag w:uri="urn:schemas-microsoft-com:office:smarttags" w:element="PersonName">
        <w:smartTagPr>
          <w:attr w:name="ProductID" w:val="la Brigada"/>
        </w:smartTagPr>
        <w:r>
          <w:t>la Brigada</w:t>
        </w:r>
      </w:smartTag>
      <w:r>
        <w:t xml:space="preserve"> de Lanús pues no tenía mot</w:t>
      </w:r>
      <w:r>
        <w:t>i</w:t>
      </w:r>
      <w:r>
        <w:t>vos para ello.</w:t>
      </w:r>
    </w:p>
    <w:p w:rsidR="00224567" w:rsidRDefault="00224567">
      <w:pPr>
        <w:widowControl w:val="0"/>
        <w:tabs>
          <w:tab w:val="left" w:pos="2835"/>
        </w:tabs>
        <w:rPr>
          <w:lang w:val="es-AR"/>
        </w:rPr>
      </w:pPr>
      <w:r>
        <w:rPr>
          <w:lang w:val="es-AR"/>
        </w:rPr>
        <w:tab/>
        <w:t>Luego de una pregunta de la fiscalía al respecto, expresó que no recordaba el tel</w:t>
      </w:r>
      <w:r>
        <w:rPr>
          <w:lang w:val="es-AR"/>
        </w:rPr>
        <w:t>é</w:t>
      </w:r>
      <w:r>
        <w:rPr>
          <w:lang w:val="es-AR"/>
        </w:rPr>
        <w:t>fono 222-3333 ni el 222-3733;</w:t>
      </w:r>
      <w:r>
        <w:t xml:space="preserve"> pero si figuran en los listados de llam</w:t>
      </w:r>
      <w:r>
        <w:t>a</w:t>
      </w:r>
      <w:r>
        <w:t>das de su celular, pudo haber efectuado algún ll</w:t>
      </w:r>
      <w:r>
        <w:t>a</w:t>
      </w:r>
      <w:r>
        <w:t>mado.</w:t>
      </w:r>
    </w:p>
    <w:p w:rsidR="00224567" w:rsidRDefault="00224567">
      <w:pPr>
        <w:widowControl w:val="0"/>
        <w:tabs>
          <w:tab w:val="left" w:pos="2835"/>
        </w:tabs>
        <w:rPr>
          <w:lang w:val="es-AR"/>
        </w:rPr>
      </w:pPr>
      <w:r>
        <w:rPr>
          <w:lang w:val="es-AR"/>
        </w:rPr>
        <w:tab/>
      </w:r>
      <w:r>
        <w:t>Reiteró que detuvo personalmente a H</w:t>
      </w:r>
      <w:r>
        <w:t>u</w:t>
      </w:r>
      <w:r>
        <w:t>go Antonio Pérez aproximadamente a la medianoche y lo trasladó a la brigada, demorando entre treinta y cu</w:t>
      </w:r>
      <w:r>
        <w:t>a</w:t>
      </w:r>
      <w:r>
        <w:t>renta minutos en el viaje en automotor. Además, que cuando ll</w:t>
      </w:r>
      <w:r>
        <w:t>e</w:t>
      </w:r>
      <w:r>
        <w:t>gó a la dependencia, le tuvo que comunicar al jefe de oper</w:t>
      </w:r>
      <w:r>
        <w:t>a</w:t>
      </w:r>
      <w:r>
        <w:t>ciones lo que había ocurrido en el lugar y lo que pasaba con esa persona. Éste, que en ese momento estaba cumplie</w:t>
      </w:r>
      <w:r>
        <w:t>n</w:t>
      </w:r>
      <w:r>
        <w:t>do las funciones de jefe de turno o jefe de judiciales, ordenó se le tomara declaración testimonial. Entregó el detenido al oficial de servicio, que era el oficial Qui</w:t>
      </w:r>
      <w:r>
        <w:t>n</w:t>
      </w:r>
      <w:r>
        <w:t>teros, y éste, con la declar</w:t>
      </w:r>
      <w:r>
        <w:t>a</w:t>
      </w:r>
      <w:r>
        <w:t>ción y el detenido, lo asentó en el libro de guardia y en el libro de detenidos, a tr</w:t>
      </w:r>
      <w:r>
        <w:t>a</w:t>
      </w:r>
      <w:r>
        <w:t>vés del ayudante de guardia; después hizo las comunicaci</w:t>
      </w:r>
      <w:r>
        <w:t>o</w:t>
      </w:r>
      <w:r>
        <w:t>nes a Jefatura de Policía, a Averiguación de Antecede</w:t>
      </w:r>
      <w:r>
        <w:t>n</w:t>
      </w:r>
      <w:r>
        <w:t xml:space="preserve">tes de </w:t>
      </w:r>
      <w:smartTag w:uri="urn:schemas-microsoft-com:office:smarttags" w:element="PersonName">
        <w:smartTagPr>
          <w:attr w:name="ProductID" w:val="la Persona"/>
        </w:smartTagPr>
        <w:r>
          <w:t>la Persona</w:t>
        </w:r>
      </w:smartTag>
      <w:r>
        <w:t xml:space="preserve"> y al juzgado del departamento judicial donde se produjo la detención de Pérez, que era el de San Ma</w:t>
      </w:r>
      <w:r>
        <w:t>r</w:t>
      </w:r>
      <w:r>
        <w:t>tín.</w:t>
      </w:r>
    </w:p>
    <w:p w:rsidR="00224567" w:rsidRDefault="00224567">
      <w:pPr>
        <w:widowControl w:val="0"/>
        <w:tabs>
          <w:tab w:val="left" w:pos="2835"/>
        </w:tabs>
        <w:rPr>
          <w:lang w:val="es-AR"/>
        </w:rPr>
      </w:pPr>
      <w:r>
        <w:rPr>
          <w:lang w:val="es-AR"/>
        </w:rPr>
        <w:tab/>
        <w:t>Puntualizó Leal que no podía pr</w:t>
      </w:r>
      <w:r>
        <w:rPr>
          <w:lang w:val="es-AR"/>
        </w:rPr>
        <w:t>e</w:t>
      </w:r>
      <w:r>
        <w:rPr>
          <w:lang w:val="es-AR"/>
        </w:rPr>
        <w:t xml:space="preserve">cisar la hora </w:t>
      </w:r>
      <w:r>
        <w:t>exacta, pero hizo la cuenta que si detuvo a P</w:t>
      </w:r>
      <w:r>
        <w:t>é</w:t>
      </w:r>
      <w:r>
        <w:t>rez alrededor de la medianoche, demoró cuarenta minutos en llegar, más lo que explicó, que son cincuenta min</w:t>
      </w:r>
      <w:r>
        <w:t>u</w:t>
      </w:r>
      <w:r>
        <w:t>tos, más el tiempo en que se le tomó la declaración a él -otros quince o veinte minutos más- se tarda, en total, aproxim</w:t>
      </w:r>
      <w:r>
        <w:t>a</w:t>
      </w:r>
      <w:r>
        <w:t>damente entre una y una hora y m</w:t>
      </w:r>
      <w:r>
        <w:t>e</w:t>
      </w:r>
      <w:r>
        <w:t>dia.</w:t>
      </w:r>
    </w:p>
    <w:p w:rsidR="00224567" w:rsidRDefault="00224567">
      <w:pPr>
        <w:widowControl w:val="0"/>
        <w:tabs>
          <w:tab w:val="left" w:pos="2835"/>
        </w:tabs>
        <w:rPr>
          <w:lang w:val="es-AR"/>
        </w:rPr>
      </w:pPr>
      <w:r>
        <w:rPr>
          <w:lang w:val="es-AR"/>
        </w:rPr>
        <w:tab/>
      </w:r>
      <w:r>
        <w:t>Manifestó que por ley estaba autoriz</w:t>
      </w:r>
      <w:r>
        <w:t>a</w:t>
      </w:r>
      <w:r>
        <w:t>do a detener a Pérez por averiguación de antecedentes. P</w:t>
      </w:r>
      <w:r>
        <w:t>é</w:t>
      </w:r>
      <w:r>
        <w:t>rez le dijo que era albañil o pintor de casas. Cualquier persona que ejerce estos oficios, según Leal, tiene call</w:t>
      </w:r>
      <w:r>
        <w:t>o</w:t>
      </w:r>
      <w:r>
        <w:t>sidades en las manos, la piel quebradiza, rugosa, pero con Pérez no fue así, sino que las tenía llenas de grasa.</w:t>
      </w:r>
      <w:r>
        <w:rPr>
          <w:lang w:val="es-AR"/>
        </w:rPr>
        <w:t xml:space="preserve"> Sin embargo, tal cuestión no fue la determinante para la d</w:t>
      </w:r>
      <w:r>
        <w:rPr>
          <w:lang w:val="es-AR"/>
        </w:rPr>
        <w:t>e</w:t>
      </w:r>
      <w:r>
        <w:rPr>
          <w:lang w:val="es-AR"/>
        </w:rPr>
        <w:t>tención, puntualizó Leal, sino la circun</w:t>
      </w:r>
      <w:r>
        <w:rPr>
          <w:lang w:val="es-AR"/>
        </w:rPr>
        <w:t>s</w:t>
      </w:r>
      <w:r>
        <w:rPr>
          <w:lang w:val="es-AR"/>
        </w:rPr>
        <w:t>tancia de que</w:t>
      </w:r>
      <w:r>
        <w:t xml:space="preserve"> la persona estuviera indocume</w:t>
      </w:r>
      <w:r>
        <w:t>n</w:t>
      </w:r>
      <w:r>
        <w:t>tada y no pudiera explicar por qué motivo e</w:t>
      </w:r>
      <w:r>
        <w:t>s</w:t>
      </w:r>
      <w:r>
        <w:t>taba en el lugar.</w:t>
      </w:r>
    </w:p>
    <w:p w:rsidR="00224567" w:rsidRDefault="00224567">
      <w:pPr>
        <w:widowControl w:val="0"/>
        <w:tabs>
          <w:tab w:val="left" w:pos="2835"/>
        </w:tabs>
        <w:rPr>
          <w:lang w:val="es-AR"/>
        </w:rPr>
      </w:pPr>
      <w:r>
        <w:rPr>
          <w:lang w:val="es-AR"/>
        </w:rPr>
        <w:tab/>
      </w:r>
      <w:r>
        <w:t>Interrogado puntualmente acerca de si se pretendía extorsionar a Carlos Telleldín mediante la detención de Pérez, Leal respondió que cómo iba a exto</w:t>
      </w:r>
      <w:r>
        <w:t>r</w:t>
      </w:r>
      <w:r>
        <w:t>sionar a una persona y dejarlo doc</w:t>
      </w:r>
      <w:r>
        <w:t>u</w:t>
      </w:r>
      <w:r>
        <w:t>mentado. Él fue a hacer un procedimiento claro y concreto, que está plasmado en una declaración testimonial que le tomó el subcomisario Rago. En ningún momento fue, ni mandó a extorsionar a n</w:t>
      </w:r>
      <w:r>
        <w:t>a</w:t>
      </w:r>
      <w:r>
        <w:t>die, jamás extorsionaría a alguien.</w:t>
      </w:r>
    </w:p>
    <w:p w:rsidR="00224567" w:rsidRDefault="00224567">
      <w:pPr>
        <w:widowControl w:val="0"/>
        <w:tabs>
          <w:tab w:val="left" w:pos="2835"/>
        </w:tabs>
        <w:rPr>
          <w:lang w:val="es-AR"/>
        </w:rPr>
      </w:pPr>
      <w:r>
        <w:rPr>
          <w:lang w:val="es-AR"/>
        </w:rPr>
        <w:tab/>
      </w:r>
      <w:r>
        <w:t>Cuando la fiscalía le requirió si t</w:t>
      </w:r>
      <w:r>
        <w:t>o</w:t>
      </w:r>
      <w:r>
        <w:t>mó conocimiento en algún momento que esta maniobra fue util</w:t>
      </w:r>
      <w:r>
        <w:t>i</w:t>
      </w:r>
      <w:r>
        <w:t>zada para extorsionar a alguien, concretamente a Telle</w:t>
      </w:r>
      <w:r>
        <w:t>l</w:t>
      </w:r>
      <w:r>
        <w:t>dín, Leal manifestó que se enteró a raíz de la dete</w:t>
      </w:r>
      <w:r>
        <w:t>n</w:t>
      </w:r>
      <w:r>
        <w:t>ción.</w:t>
      </w:r>
    </w:p>
    <w:p w:rsidR="00224567" w:rsidRDefault="00224567">
      <w:pPr>
        <w:widowControl w:val="0"/>
        <w:tabs>
          <w:tab w:val="left" w:pos="2835"/>
        </w:tabs>
        <w:rPr>
          <w:lang w:val="es-AR"/>
        </w:rPr>
      </w:pPr>
      <w:r>
        <w:rPr>
          <w:lang w:val="es-AR"/>
        </w:rPr>
        <w:tab/>
      </w:r>
      <w:r>
        <w:t>Se le marcó una supuesta contradi</w:t>
      </w:r>
      <w:r>
        <w:t>c</w:t>
      </w:r>
      <w:r>
        <w:t>ción con lo declarado a fojas 66.907vta. donde señaló que la extorsión de Telleldín existió, pero de espaldas a la br</w:t>
      </w:r>
      <w:r>
        <w:t>i</w:t>
      </w:r>
      <w:r>
        <w:t>gada, más precisamente sin con</w:t>
      </w:r>
      <w:r>
        <w:t>o</w:t>
      </w:r>
      <w:r>
        <w:t>cimiento de él, del jefe de la brigada y de Rago, y que quienes participaron fueron Barreda, Bareiro y el abogado Bottegal, ya que a través de las declaraciones de este ú</w:t>
      </w:r>
      <w:r>
        <w:t>l</w:t>
      </w:r>
      <w:r>
        <w:t>timo, le dijeron que no fuera a la brigada.</w:t>
      </w:r>
    </w:p>
    <w:p w:rsidR="00224567" w:rsidRDefault="00224567">
      <w:pPr>
        <w:pStyle w:val="Textoindependiente2"/>
        <w:widowControl w:val="0"/>
        <w:tabs>
          <w:tab w:val="left" w:pos="2835"/>
        </w:tabs>
        <w:rPr>
          <w:rFonts w:ascii="Courier New" w:hAnsi="Courier New" w:cs="Courier New"/>
          <w:lang w:val="es-AR"/>
        </w:rPr>
      </w:pPr>
      <w:r>
        <w:rPr>
          <w:rFonts w:ascii="Courier New" w:hAnsi="Courier New" w:cs="Courier New"/>
        </w:rPr>
        <w:tab/>
        <w:t>Aclaró entonces Leal que lo que afi</w:t>
      </w:r>
      <w:r>
        <w:rPr>
          <w:rFonts w:ascii="Courier New" w:hAnsi="Courier New" w:cs="Courier New"/>
        </w:rPr>
        <w:t>r</w:t>
      </w:r>
      <w:r>
        <w:rPr>
          <w:rFonts w:ascii="Courier New" w:hAnsi="Courier New" w:cs="Courier New"/>
        </w:rPr>
        <w:t>mó se basa en la d</w:t>
      </w:r>
      <w:r>
        <w:rPr>
          <w:rFonts w:ascii="Courier New" w:hAnsi="Courier New" w:cs="Courier New"/>
        </w:rPr>
        <w:t>e</w:t>
      </w:r>
      <w:r>
        <w:rPr>
          <w:rFonts w:ascii="Courier New" w:hAnsi="Courier New" w:cs="Courier New"/>
        </w:rPr>
        <w:t>claración de Bottegal, pero que a él no le constaba que lo fueran a extorsionar, puesto que no les ordenó que fueran a extorsionar a alguien, ni tampoco e</w:t>
      </w:r>
      <w:r>
        <w:rPr>
          <w:rFonts w:ascii="Courier New" w:hAnsi="Courier New" w:cs="Courier New"/>
        </w:rPr>
        <w:t>n</w:t>
      </w:r>
      <w:r>
        <w:rPr>
          <w:rFonts w:ascii="Courier New" w:hAnsi="Courier New" w:cs="Courier New"/>
        </w:rPr>
        <w:t>vió al doctor Bottegal.</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Señaló que para esa época tenía un r</w:t>
      </w:r>
      <w:r>
        <w:rPr>
          <w:rFonts w:ascii="Courier New" w:hAnsi="Courier New" w:cs="Courier New"/>
        </w:rPr>
        <w:t>a</w:t>
      </w:r>
      <w:r>
        <w:rPr>
          <w:rFonts w:ascii="Courier New" w:hAnsi="Courier New" w:cs="Courier New"/>
        </w:rPr>
        <w:t>diomensaje. Estando en Lanús tenía el nº 13.623 y no r</w:t>
      </w:r>
      <w:r>
        <w:rPr>
          <w:rFonts w:ascii="Courier New" w:hAnsi="Courier New" w:cs="Courier New"/>
        </w:rPr>
        <w:t>e</w:t>
      </w:r>
      <w:r>
        <w:rPr>
          <w:rFonts w:ascii="Courier New" w:hAnsi="Courier New" w:cs="Courier New"/>
        </w:rPr>
        <w:t>cordó si cuando estuvo en Vicente López lo cambió o lo h</w:t>
      </w:r>
      <w:r>
        <w:rPr>
          <w:rFonts w:ascii="Courier New" w:hAnsi="Courier New" w:cs="Courier New"/>
        </w:rPr>
        <w:t>i</w:t>
      </w:r>
      <w:r>
        <w:rPr>
          <w:rFonts w:ascii="Courier New" w:hAnsi="Courier New" w:cs="Courier New"/>
        </w:rPr>
        <w:t>zo posteriormente. Tampoco recordó haber recibido mens</w:t>
      </w:r>
      <w:r>
        <w:rPr>
          <w:rFonts w:ascii="Courier New" w:hAnsi="Courier New" w:cs="Courier New"/>
        </w:rPr>
        <w:t>a</w:t>
      </w:r>
      <w:r>
        <w:rPr>
          <w:rFonts w:ascii="Courier New" w:hAnsi="Courier New" w:cs="Courier New"/>
        </w:rPr>
        <w:t>jes relacionados con los hechos investigados.</w:t>
      </w:r>
    </w:p>
    <w:p w:rsidR="00224567" w:rsidRDefault="00224567">
      <w:pPr>
        <w:pStyle w:val="Textoindependiente2"/>
        <w:widowControl w:val="0"/>
        <w:tabs>
          <w:tab w:val="left" w:pos="2835"/>
        </w:tabs>
        <w:rPr>
          <w:rFonts w:ascii="Courier New" w:hAnsi="Courier New" w:cs="Courier New"/>
        </w:rPr>
      </w:pPr>
      <w:r>
        <w:rPr>
          <w:rFonts w:ascii="Courier New" w:hAnsi="Courier New" w:cs="Courier New"/>
        </w:rPr>
        <w:tab/>
        <w:t>Volvió a afirmar que las tareas de v</w:t>
      </w:r>
      <w:r>
        <w:rPr>
          <w:rFonts w:ascii="Courier New" w:hAnsi="Courier New" w:cs="Courier New"/>
        </w:rPr>
        <w:t>i</w:t>
      </w:r>
      <w:r>
        <w:rPr>
          <w:rFonts w:ascii="Courier New" w:hAnsi="Courier New" w:cs="Courier New"/>
        </w:rPr>
        <w:t>gilancia consistieron en pasar por el lugar y obse</w:t>
      </w:r>
      <w:r>
        <w:rPr>
          <w:rFonts w:ascii="Courier New" w:hAnsi="Courier New" w:cs="Courier New"/>
        </w:rPr>
        <w:t>r</w:t>
      </w:r>
      <w:r>
        <w:rPr>
          <w:rFonts w:ascii="Courier New" w:hAnsi="Courier New" w:cs="Courier New"/>
        </w:rPr>
        <w:t>varlo; por ese motivo habían estacionado, en las cercanías, la camioneta de García, en cuyo interior estaba únicamente Mario Bareiro, con un “handy”, a fin de estudiar los mov</w:t>
      </w:r>
      <w:r>
        <w:rPr>
          <w:rFonts w:ascii="Courier New" w:hAnsi="Courier New" w:cs="Courier New"/>
        </w:rPr>
        <w:t>i</w:t>
      </w:r>
      <w:r>
        <w:rPr>
          <w:rFonts w:ascii="Courier New" w:hAnsi="Courier New" w:cs="Courier New"/>
        </w:rPr>
        <w:t>mientos en torno a la vivienda. Era una camioneta Chevr</w:t>
      </w:r>
      <w:r>
        <w:rPr>
          <w:rFonts w:ascii="Courier New" w:hAnsi="Courier New" w:cs="Courier New"/>
        </w:rPr>
        <w:t>o</w:t>
      </w:r>
      <w:r>
        <w:rPr>
          <w:rFonts w:ascii="Courier New" w:hAnsi="Courier New" w:cs="Courier New"/>
        </w:rPr>
        <w:t>let, color roja, caja mudancera, totalmente cerrada, que tenía una pequeña mirilla, para poder observar hacia afu</w:t>
      </w:r>
      <w:r>
        <w:rPr>
          <w:rFonts w:ascii="Courier New" w:hAnsi="Courier New" w:cs="Courier New"/>
        </w:rPr>
        <w:t>e</w:t>
      </w:r>
      <w:r>
        <w:rPr>
          <w:rFonts w:ascii="Courier New" w:hAnsi="Courier New" w:cs="Courier New"/>
        </w:rPr>
        <w:t>ra y ver los movimientos.</w:t>
      </w:r>
    </w:p>
    <w:p w:rsidR="00224567" w:rsidRDefault="00224567">
      <w:pPr>
        <w:widowControl w:val="0"/>
        <w:tabs>
          <w:tab w:val="left" w:pos="2835"/>
        </w:tabs>
        <w:rPr>
          <w:lang w:val="es-AR"/>
        </w:rPr>
      </w:pPr>
      <w:r>
        <w:rPr>
          <w:lang w:val="es-AR"/>
        </w:rPr>
        <w:tab/>
        <w:t>Luego de la persecución de T</w:t>
      </w:r>
      <w:r>
        <w:rPr>
          <w:lang w:val="es-AR"/>
        </w:rPr>
        <w:t>e</w:t>
      </w:r>
      <w:r>
        <w:rPr>
          <w:lang w:val="es-AR"/>
        </w:rPr>
        <w:t>lleldín, regr</w:t>
      </w:r>
      <w:r>
        <w:rPr>
          <w:lang w:val="es-AR"/>
        </w:rPr>
        <w:t>e</w:t>
      </w:r>
      <w:r>
        <w:rPr>
          <w:lang w:val="es-AR"/>
        </w:rPr>
        <w:t>só al lugar puesto que el</w:t>
      </w:r>
      <w:r>
        <w:t xml:space="preserve"> Peugeot 505 de Lasala había quedado cruzado y habían quedado dos subofici</w:t>
      </w:r>
      <w:r>
        <w:t>a</w:t>
      </w:r>
      <w:r>
        <w:t>les, es por eso que vo</w:t>
      </w:r>
      <w:r>
        <w:t>l</w:t>
      </w:r>
      <w:r>
        <w:t>vió.</w:t>
      </w:r>
    </w:p>
    <w:p w:rsidR="00224567" w:rsidRDefault="00224567">
      <w:pPr>
        <w:pStyle w:val="Sangra3detindependiente"/>
        <w:widowControl w:val="0"/>
        <w:spacing w:line="600" w:lineRule="auto"/>
        <w:rPr>
          <w:lang w:val="es-AR"/>
        </w:rPr>
      </w:pPr>
      <w:r>
        <w:tab/>
        <w:t>Interrogado respecto a los acc</w:t>
      </w:r>
      <w:r>
        <w:t>e</w:t>
      </w:r>
      <w:r>
        <w:t>sos que tenía la vivienda de Telleldín como para escaparse, dijo que lo único que observó fue una puerta de ingreso y ve</w:t>
      </w:r>
      <w:r>
        <w:t>n</w:t>
      </w:r>
      <w:r>
        <w:t>tanas.</w:t>
      </w:r>
    </w:p>
    <w:p w:rsidR="00224567" w:rsidRDefault="00224567">
      <w:pPr>
        <w:widowControl w:val="0"/>
        <w:tabs>
          <w:tab w:val="left" w:pos="2835"/>
        </w:tabs>
        <w:rPr>
          <w:lang w:val="es-AR"/>
        </w:rPr>
      </w:pPr>
      <w:r>
        <w:rPr>
          <w:lang w:val="es-AR"/>
        </w:rPr>
        <w:tab/>
        <w:t xml:space="preserve">Cuando se le preguntó si </w:t>
      </w:r>
      <w:r>
        <w:t>recibió, en el tiempo que estuvo haciendo vigilancia, balines o disp</w:t>
      </w:r>
      <w:r>
        <w:t>a</w:t>
      </w:r>
      <w:r>
        <w:t>ros de los niños de Telleldín, desde la ve</w:t>
      </w:r>
      <w:r>
        <w:t>n</w:t>
      </w:r>
      <w:r>
        <w:t>tana, manifestó que eso ocurrió cuando no estaba en el lugar y que tomó conocimiento después, por una declaración que efectuó Ga</w:t>
      </w:r>
      <w:r>
        <w:t>r</w:t>
      </w:r>
      <w:r>
        <w:t>cía, en donde indicó que mientras él estaba de vigila</w:t>
      </w:r>
      <w:r>
        <w:t>n</w:t>
      </w:r>
      <w:r>
        <w:t xml:space="preserve">cia en el lugar, unos chicos le efectuaron unos disparos con balines. </w:t>
      </w:r>
    </w:p>
    <w:p w:rsidR="00224567" w:rsidRDefault="00224567">
      <w:pPr>
        <w:widowControl w:val="0"/>
        <w:tabs>
          <w:tab w:val="left" w:pos="2835"/>
        </w:tabs>
        <w:rPr>
          <w:lang w:val="es-AR"/>
        </w:rPr>
      </w:pPr>
      <w:r>
        <w:rPr>
          <w:lang w:val="es-AR"/>
        </w:rPr>
        <w:tab/>
      </w:r>
      <w:r>
        <w:t>Desde el comienzo de la vigilancia, estuvo presente en el lugar, con Lasala, García y B</w:t>
      </w:r>
      <w:r>
        <w:t>a</w:t>
      </w:r>
      <w:r>
        <w:t>reiro. Luego de la persecución y huida de Telleldín, regresaron al lugar y durante unas horas permanecieron ahí. Después se fue Bareiro y al ll</w:t>
      </w:r>
      <w:r>
        <w:t>e</w:t>
      </w:r>
      <w:r>
        <w:t>gar la medianoche, estando García, Lasala y él, salió de la casa Hugo P</w:t>
      </w:r>
      <w:r>
        <w:t>é</w:t>
      </w:r>
      <w:r>
        <w:t>rez, se lo interceptó y se lo condujo a la brigada. Él se fue con Lasala y Pérez a la brigada. García perman</w:t>
      </w:r>
      <w:r>
        <w:t>e</w:t>
      </w:r>
      <w:r>
        <w:t>ció vigilando en la zona toda esa noche y hasta aprox</w:t>
      </w:r>
      <w:r>
        <w:t>i</w:t>
      </w:r>
      <w:r>
        <w:t xml:space="preserve">madamente las 20.00 del día 15. Es más, agregó Leal, la detención de Pérez fue el 15 en horas de medianoche. El Peugeot 505 quedó por allí porque tenía desperfectos mecánicos, lo que le impidió salir en apoyo durante la persecución. Después tuvieron que ir a retirar el vehículo temprano. </w:t>
      </w:r>
      <w:r>
        <w:rPr>
          <w:lang w:val="es-AR"/>
        </w:rPr>
        <w:t>A</w:t>
      </w:r>
      <w:r>
        <w:t xml:space="preserve"> las 9.00 tenían que estar en la brig</w:t>
      </w:r>
      <w:r>
        <w:t>a</w:t>
      </w:r>
      <w:r>
        <w:t>da para trasladar a un detenido al juzgado.</w:t>
      </w:r>
    </w:p>
    <w:p w:rsidR="00224567" w:rsidRDefault="00224567">
      <w:pPr>
        <w:widowControl w:val="0"/>
        <w:tabs>
          <w:tab w:val="left" w:pos="2835"/>
        </w:tabs>
        <w:rPr>
          <w:lang w:val="es-AR"/>
        </w:rPr>
      </w:pPr>
      <w:r>
        <w:rPr>
          <w:lang w:val="es-AR"/>
        </w:rPr>
        <w:tab/>
      </w:r>
      <w:r>
        <w:t>Lo único que Pérez le comentó es que Telleldín era una persona que andaba en un automotor de procedencia ilícita, que dentro de la casa tenía un vehículo de similares características, pero no tenían n</w:t>
      </w:r>
      <w:r>
        <w:t>ú</w:t>
      </w:r>
      <w:r>
        <w:t>mero de patente ni de motor, no tenían ningún dato. No i</w:t>
      </w:r>
      <w:r>
        <w:t>n</w:t>
      </w:r>
      <w:r>
        <w:t>gres</w:t>
      </w:r>
      <w:r>
        <w:t>a</w:t>
      </w:r>
      <w:r>
        <w:t>ron al domicilio porque hubieran precisado una orden de allanamiento para ello.</w:t>
      </w:r>
    </w:p>
    <w:p w:rsidR="00224567" w:rsidRDefault="00224567">
      <w:pPr>
        <w:widowControl w:val="0"/>
        <w:tabs>
          <w:tab w:val="left" w:pos="2835"/>
        </w:tabs>
        <w:rPr>
          <w:lang w:val="es-AR"/>
        </w:rPr>
      </w:pPr>
      <w:r>
        <w:rPr>
          <w:lang w:val="es-AR"/>
        </w:rPr>
        <w:tab/>
      </w:r>
      <w:r>
        <w:t>La vigilancia en lo de Telleldín se extendió desde la mañana hasta aproximadamente las 20.00 del 14 de julio.</w:t>
      </w:r>
    </w:p>
    <w:p w:rsidR="00224567" w:rsidRDefault="00224567">
      <w:pPr>
        <w:widowControl w:val="0"/>
        <w:tabs>
          <w:tab w:val="left" w:pos="2835"/>
        </w:tabs>
        <w:rPr>
          <w:lang w:val="es-AR"/>
        </w:rPr>
      </w:pPr>
      <w:r>
        <w:rPr>
          <w:lang w:val="es-AR"/>
        </w:rPr>
        <w:tab/>
        <w:t>El Peugeot 505 s</w:t>
      </w:r>
      <w:r>
        <w:t>e estacionó a cien m</w:t>
      </w:r>
      <w:r>
        <w:t>e</w:t>
      </w:r>
      <w:r>
        <w:t>tros de la casa, el Galaxy cien metros en sentido contr</w:t>
      </w:r>
      <w:r>
        <w:t>a</w:t>
      </w:r>
      <w:r>
        <w:t>rio a esa vivienda y la camioneta Chevrolet color roja a unos treinta o cuarenta metros, vacía la parte de la cab</w:t>
      </w:r>
      <w:r>
        <w:t>i</w:t>
      </w:r>
      <w:r>
        <w:t>na y Bareiro en la parte de la caja. García se fue con él al Galaxy y ambos persiguieron a Telle</w:t>
      </w:r>
      <w:r>
        <w:t>l</w:t>
      </w:r>
      <w:r>
        <w:t>dín.</w:t>
      </w:r>
    </w:p>
    <w:p w:rsidR="00224567" w:rsidRDefault="00224567">
      <w:pPr>
        <w:widowControl w:val="0"/>
        <w:tabs>
          <w:tab w:val="left" w:pos="2835"/>
        </w:tabs>
      </w:pPr>
      <w:r>
        <w:rPr>
          <w:lang w:val="es-AR"/>
        </w:rPr>
        <w:tab/>
        <w:t>La persecución comenzó en horas de la tarde, aproximadamente a las 17.00, 18.00 ó 19.00 y duró aproximadamente cinco o diez min</w:t>
      </w:r>
      <w:r>
        <w:rPr>
          <w:lang w:val="es-AR"/>
        </w:rPr>
        <w:t>u</w:t>
      </w:r>
      <w:r>
        <w:rPr>
          <w:lang w:val="es-AR"/>
        </w:rPr>
        <w:t>tos.</w:t>
      </w:r>
      <w:r>
        <w:t xml:space="preserve"> </w:t>
      </w:r>
    </w:p>
    <w:p w:rsidR="00224567" w:rsidRDefault="00224567">
      <w:pPr>
        <w:widowControl w:val="0"/>
        <w:tabs>
          <w:tab w:val="left" w:pos="2835"/>
        </w:tabs>
      </w:pPr>
      <w:r>
        <w:tab/>
        <w:t>Cuando regresó con Lasala y Pérez, B</w:t>
      </w:r>
      <w:r>
        <w:t>a</w:t>
      </w:r>
      <w:r>
        <w:t>reiro ya se había retirado del lugar, así que no estaba con él. Pero Bareiro sí estaba cuando volvió de la pers</w:t>
      </w:r>
      <w:r>
        <w:t>e</w:t>
      </w:r>
      <w:r>
        <w:t>cución. Estuvieron un rato y luego se fue del l</w:t>
      </w:r>
      <w:r>
        <w:t>u</w:t>
      </w:r>
      <w:r>
        <w:t>gar. Nadie sabía dónde estaba Telleldín, había que seguir investiga</w:t>
      </w:r>
      <w:r>
        <w:t>n</w:t>
      </w:r>
      <w:r>
        <w:t>do dónde estaba y con los únicos que p</w:t>
      </w:r>
      <w:r>
        <w:t>o</w:t>
      </w:r>
      <w:r>
        <w:t>día conectarse era con Barreda o Bareiro. Telleldín no e</w:t>
      </w:r>
      <w:r>
        <w:t>s</w:t>
      </w:r>
      <w:r>
        <w:t>taba al tanto de que lo estaban persiguiendo.</w:t>
      </w:r>
    </w:p>
    <w:p w:rsidR="00224567" w:rsidRDefault="00224567">
      <w:pPr>
        <w:widowControl w:val="0"/>
        <w:tabs>
          <w:tab w:val="left" w:pos="2835"/>
        </w:tabs>
      </w:pPr>
      <w:r>
        <w:tab/>
        <w:t>El único Movicom que había en el l</w:t>
      </w:r>
      <w:r>
        <w:t>u</w:t>
      </w:r>
      <w:r>
        <w:t>gar era el suyo.</w:t>
      </w:r>
    </w:p>
    <w:p w:rsidR="00224567" w:rsidRDefault="00224567">
      <w:pPr>
        <w:widowControl w:val="0"/>
        <w:tabs>
          <w:tab w:val="left" w:pos="2835"/>
        </w:tabs>
      </w:pPr>
      <w:r>
        <w:tab/>
        <w:t>Todo lo que le manifestó Pérez en el trayecto del lugar de detención a la  brigada está vo</w:t>
      </w:r>
      <w:r>
        <w:t>l</w:t>
      </w:r>
      <w:r>
        <w:t>cado en la declaración del 15 de julio de 1994, que le tomó el subcomisario Rago. En esa declaración explicó la inform</w:t>
      </w:r>
      <w:r>
        <w:t>a</w:t>
      </w:r>
      <w:r>
        <w:t>ción que obtuvo sobre Telleldín, sobre el vehículo en el que se movilizaba, la detención de Pérez y, según lo man</w:t>
      </w:r>
      <w:r>
        <w:t>i</w:t>
      </w:r>
      <w:r>
        <w:t>festado por éste, que dentro de la casa había otro vehíc</w:t>
      </w:r>
      <w:r>
        <w:t>u</w:t>
      </w:r>
      <w:r>
        <w:t>lo de procedencia ilícita.</w:t>
      </w:r>
    </w:p>
    <w:p w:rsidR="00224567" w:rsidRDefault="00224567">
      <w:pPr>
        <w:widowControl w:val="0"/>
        <w:tabs>
          <w:tab w:val="left" w:pos="2835"/>
        </w:tabs>
      </w:pPr>
      <w:r>
        <w:tab/>
        <w:t>Le pareció que el automotor que est</w:t>
      </w:r>
      <w:r>
        <w:t>a</w:t>
      </w:r>
      <w:r>
        <w:t>ba en el interior de lo de Telleldín era un R</w:t>
      </w:r>
      <w:r>
        <w:t>e</w:t>
      </w:r>
      <w:r>
        <w:t>nault 9, no una camioneta Trafic. Afirmó concretamente que nunca tuvo i</w:t>
      </w:r>
      <w:r>
        <w:t>n</w:t>
      </w:r>
      <w:r>
        <w:t>formación de ninguna Trafic relacionada a T</w:t>
      </w:r>
      <w:r>
        <w:t>e</w:t>
      </w:r>
      <w:r>
        <w:t>lleldín.</w:t>
      </w:r>
    </w:p>
    <w:p w:rsidR="00224567" w:rsidRDefault="00224567">
      <w:pPr>
        <w:widowControl w:val="0"/>
        <w:tabs>
          <w:tab w:val="left" w:pos="2835"/>
        </w:tabs>
      </w:pPr>
      <w:r>
        <w:tab/>
        <w:t>Si hubiese sabido de los disparos de balines a García lo hubiese puesto en su declaración te</w:t>
      </w:r>
      <w:r>
        <w:t>s</w:t>
      </w:r>
      <w:r>
        <w:t>timonial. Lo mismo hubiese hecho con el tema del disparo. García se bajó a tratar de abrirle la puerta al vehículo de Telleldín, y allí escuchó la explosión, pero nunca constató que García hubiese efectuado un disparo. Se ent</w:t>
      </w:r>
      <w:r>
        <w:t>e</w:t>
      </w:r>
      <w:r>
        <w:t>ro de esa circunstancia después de un año. Si bien estuvo en el lugar, para él fue la explosión del motor del aut</w:t>
      </w:r>
      <w:r>
        <w:t>o</w:t>
      </w:r>
      <w:r>
        <w:t>motor de Las</w:t>
      </w:r>
      <w:r>
        <w:t>a</w:t>
      </w:r>
      <w:r>
        <w:t>la.</w:t>
      </w:r>
    </w:p>
    <w:p w:rsidR="00224567" w:rsidRDefault="00224567">
      <w:pPr>
        <w:widowControl w:val="0"/>
        <w:tabs>
          <w:tab w:val="left" w:pos="2835"/>
        </w:tabs>
      </w:pPr>
      <w:r>
        <w:tab/>
        <w:t>Luego de retirarse de la zona, trasl</w:t>
      </w:r>
      <w:r>
        <w:t>a</w:t>
      </w:r>
      <w:r>
        <w:t>dando a Pérez, no volvió a pasar por la vivienda de T</w:t>
      </w:r>
      <w:r>
        <w:t>e</w:t>
      </w:r>
      <w:r>
        <w:t>lleldín.</w:t>
      </w:r>
    </w:p>
    <w:p w:rsidR="00224567" w:rsidRDefault="00224567">
      <w:pPr>
        <w:widowControl w:val="0"/>
        <w:tabs>
          <w:tab w:val="left" w:pos="2835"/>
        </w:tabs>
      </w:pPr>
      <w:r>
        <w:tab/>
        <w:t>Señaló que cuando se escapó T</w:t>
      </w:r>
      <w:r>
        <w:t>e</w:t>
      </w:r>
      <w:r>
        <w:t>lleldín automáticamente comunicó tal circunstancia a sus superi</w:t>
      </w:r>
      <w:r>
        <w:t>o</w:t>
      </w:r>
      <w:r>
        <w:t>res inmediatos. Hay un llamado telefónico a la br</w:t>
      </w:r>
      <w:r>
        <w:t>i</w:t>
      </w:r>
      <w:r>
        <w:t>gada por medio del cual le hizo saber al subcomisario Rago lo oc</w:t>
      </w:r>
      <w:r>
        <w:t>u</w:t>
      </w:r>
      <w:r>
        <w:t>rrido.</w:t>
      </w:r>
    </w:p>
    <w:p w:rsidR="00224567" w:rsidRDefault="00224567">
      <w:pPr>
        <w:widowControl w:val="0"/>
        <w:tabs>
          <w:tab w:val="left" w:pos="2835"/>
        </w:tabs>
      </w:pPr>
      <w:r>
        <w:tab/>
        <w:t>Cuando se le preguntó si anotició al comando radioeléctrico la huida de Telleldín, Leal dio a entender que no podía hacerlo porque tenía patente inexi</w:t>
      </w:r>
      <w:r>
        <w:t>s</w:t>
      </w:r>
      <w:r>
        <w:t>tente.</w:t>
      </w:r>
    </w:p>
    <w:p w:rsidR="00224567" w:rsidRDefault="00224567">
      <w:pPr>
        <w:widowControl w:val="0"/>
        <w:tabs>
          <w:tab w:val="left" w:pos="2835"/>
        </w:tabs>
      </w:pPr>
      <w:r>
        <w:tab/>
        <w:t>Manifestó que no conocía el lavadero de T</w:t>
      </w:r>
      <w:r>
        <w:t>e</w:t>
      </w:r>
      <w:r>
        <w:t>lleldín, ni al Sr. Lo Preiato.</w:t>
      </w:r>
    </w:p>
    <w:p w:rsidR="00224567" w:rsidRDefault="00224567">
      <w:pPr>
        <w:widowControl w:val="0"/>
        <w:tabs>
          <w:tab w:val="left" w:pos="2835"/>
        </w:tabs>
      </w:pPr>
      <w:r>
        <w:tab/>
        <w:t>Volvió a decir que no le consta que se haya producido una extorsión y que cuando se refirió a B</w:t>
      </w:r>
      <w:r>
        <w:t>a</w:t>
      </w:r>
      <w:r>
        <w:t>rreda, Bareiro y Bottegal, lo hizo sobre la base de la d</w:t>
      </w:r>
      <w:r>
        <w:t>e</w:t>
      </w:r>
      <w:r>
        <w:t>claración de este ultimo, que leyó de la causa. Al barco “Gonzalo” no lo conoce, no s</w:t>
      </w:r>
      <w:r>
        <w:t>a</w:t>
      </w:r>
      <w:r>
        <w:t>be dónde está, nunca lo fue a ver; extremo que pueden confirmar los propietarios del l</w:t>
      </w:r>
      <w:r>
        <w:t>u</w:t>
      </w:r>
      <w:r>
        <w:t>gar donde está la embarcación.</w:t>
      </w:r>
    </w:p>
    <w:p w:rsidR="00224567" w:rsidRDefault="00224567">
      <w:pPr>
        <w:widowControl w:val="0"/>
        <w:tabs>
          <w:tab w:val="left" w:pos="2835"/>
        </w:tabs>
      </w:pPr>
      <w:r>
        <w:tab/>
        <w:t>Sostuvo que pudo haber dado vue</w:t>
      </w:r>
      <w:r>
        <w:t>l</w:t>
      </w:r>
      <w:r>
        <w:t>tas a la manzana o haber pasado por el frente del domicilio de Telleldín el día del procedimiento y que no sabe si éste tenía guardado vehículos en otro lugar, aparte de los ya mencionados.</w:t>
      </w:r>
    </w:p>
    <w:p w:rsidR="00224567" w:rsidRDefault="00224567">
      <w:pPr>
        <w:widowControl w:val="0"/>
        <w:tabs>
          <w:tab w:val="left" w:pos="2835"/>
        </w:tabs>
      </w:pPr>
      <w:r>
        <w:tab/>
        <w:t>Barreda le indicó que Pérez era la mano derecha de Telleldín, ello ocurrió el día de la d</w:t>
      </w:r>
      <w:r>
        <w:t>e</w:t>
      </w:r>
      <w:r>
        <w:t>tención, alrededor de medianoche, a través de un llamado telefónico.</w:t>
      </w:r>
    </w:p>
    <w:p w:rsidR="00224567" w:rsidRDefault="00224567">
      <w:pPr>
        <w:widowControl w:val="0"/>
        <w:tabs>
          <w:tab w:val="left" w:pos="2835"/>
        </w:tabs>
      </w:pPr>
      <w:r>
        <w:tab/>
        <w:t>Cuando se lo demandó acerca de por qué dem</w:t>
      </w:r>
      <w:r>
        <w:t>o</w:t>
      </w:r>
      <w:r>
        <w:t>ró tanto en concretar el procedimiento, Leal manifestó que sábados y domingos no trabajaba, el día lunes no r</w:t>
      </w:r>
      <w:r>
        <w:t>e</w:t>
      </w:r>
      <w:r>
        <w:t>cordó qué tareas le fueron asignadas y T</w:t>
      </w:r>
      <w:r>
        <w:t>e</w:t>
      </w:r>
      <w:r>
        <w:t xml:space="preserve">lleldín el lunes a la noche se fue a Córdoba y volvió el </w:t>
      </w:r>
      <w:smartTag w:uri="urn:schemas-microsoft-com:office:smarttags" w:element="metricconverter">
        <w:smartTagPr>
          <w:attr w:name="ProductID" w:val="13 a"/>
        </w:smartTagPr>
        <w:r>
          <w:t>13 a</w:t>
        </w:r>
      </w:smartTag>
      <w:r>
        <w:t xml:space="preserve"> la noche, por ese motivo se inicio el proced</w:t>
      </w:r>
      <w:r>
        <w:t>i</w:t>
      </w:r>
      <w:r>
        <w:t>miento el día 14.</w:t>
      </w:r>
    </w:p>
    <w:p w:rsidR="00224567" w:rsidRDefault="00224567">
      <w:pPr>
        <w:widowControl w:val="0"/>
        <w:tabs>
          <w:tab w:val="left" w:pos="2835"/>
        </w:tabs>
      </w:pPr>
      <w:r>
        <w:tab/>
        <w:t>Reseñó que no estaban vigilando a T</w:t>
      </w:r>
      <w:r>
        <w:t>e</w:t>
      </w:r>
      <w:r>
        <w:t>lledín, sino corroborando la información que aportaran B</w:t>
      </w:r>
      <w:r>
        <w:t>a</w:t>
      </w:r>
      <w:r>
        <w:t>reiro y Barr</w:t>
      </w:r>
      <w:r>
        <w:t>e</w:t>
      </w:r>
      <w:r>
        <w:t>da.</w:t>
      </w:r>
    </w:p>
    <w:p w:rsidR="00224567" w:rsidRDefault="00224567">
      <w:pPr>
        <w:widowControl w:val="0"/>
        <w:tabs>
          <w:tab w:val="left" w:pos="2835"/>
        </w:tabs>
      </w:pPr>
      <w:r>
        <w:tab/>
        <w:t>Ante otro requerimiento concreto, afirmó que no podía indicar si desde la ventana de Telle</w:t>
      </w:r>
      <w:r>
        <w:t>l</w:t>
      </w:r>
      <w:r>
        <w:t>dín se podía ver el Peugeot 505 de Las</w:t>
      </w:r>
      <w:r>
        <w:t>a</w:t>
      </w:r>
      <w:r>
        <w:t>la.</w:t>
      </w:r>
    </w:p>
    <w:p w:rsidR="00224567" w:rsidRDefault="00224567">
      <w:pPr>
        <w:widowControl w:val="0"/>
        <w:tabs>
          <w:tab w:val="left" w:pos="2835"/>
        </w:tabs>
      </w:pPr>
      <w:r>
        <w:tab/>
        <w:t>A Diego Barreda lo conoció el 8 de j</w:t>
      </w:r>
      <w:r>
        <w:t>u</w:t>
      </w:r>
      <w:r>
        <w:t xml:space="preserve">lio de </w:t>
      </w:r>
      <w:smartTag w:uri="urn:schemas-microsoft-com:office:smarttags" w:element="metricconverter">
        <w:smartTagPr>
          <w:attr w:name="ProductID" w:val="1994, a"/>
        </w:smartTagPr>
        <w:r>
          <w:t>1994, a</w:t>
        </w:r>
      </w:smartTag>
      <w:r>
        <w:t xml:space="preserve"> la hora que mantuvo la comunicación telef</w:t>
      </w:r>
      <w:r>
        <w:t>ó</w:t>
      </w:r>
      <w:r>
        <w:t>nica con él, aproximadamente a las 21.00. Luego efectuó varios llamados; los días 14 y 15 de julio lo llamó dura</w:t>
      </w:r>
      <w:r>
        <w:t>n</w:t>
      </w:r>
      <w:r>
        <w:t>te todo el día, después que se le escapó T</w:t>
      </w:r>
      <w:r>
        <w:t>e</w:t>
      </w:r>
      <w:r>
        <w:t>lleldín, por si éste se com</w:t>
      </w:r>
      <w:r>
        <w:t>u</w:t>
      </w:r>
      <w:r>
        <w:t>nicaba con él y lo podían ubicar.</w:t>
      </w:r>
    </w:p>
    <w:p w:rsidR="00224567" w:rsidRDefault="00224567">
      <w:pPr>
        <w:widowControl w:val="0"/>
        <w:tabs>
          <w:tab w:val="left" w:pos="2835"/>
        </w:tabs>
      </w:pPr>
      <w:r>
        <w:tab/>
        <w:t>No tiene conocimiento si en el domic</w:t>
      </w:r>
      <w:r>
        <w:t>i</w:t>
      </w:r>
      <w:r>
        <w:t>lio de Telleldín había autopartes de origen ilícito; sie</w:t>
      </w:r>
      <w:r>
        <w:t>m</w:t>
      </w:r>
      <w:r>
        <w:t>pre se manejó con la información de un Renault 19 de pr</w:t>
      </w:r>
      <w:r>
        <w:t>o</w:t>
      </w:r>
      <w:r>
        <w:t>cedencia ilícita.</w:t>
      </w:r>
    </w:p>
    <w:p w:rsidR="00224567" w:rsidRDefault="00224567">
      <w:pPr>
        <w:widowControl w:val="0"/>
        <w:tabs>
          <w:tab w:val="left" w:pos="2835"/>
        </w:tabs>
      </w:pPr>
      <w:r>
        <w:tab/>
        <w:t>Cuando se le preguntó sobre la prese</w:t>
      </w:r>
      <w:r>
        <w:t>n</w:t>
      </w:r>
      <w:r>
        <w:t>cia de un flete en lo de Telleldín el día 14, reco</w:t>
      </w:r>
      <w:r>
        <w:t>r</w:t>
      </w:r>
      <w:r>
        <w:t>dó que ese día llegó una camioneta al lugar, le informaron por radio y no lo asentó en la declaración porque no consid</w:t>
      </w:r>
      <w:r>
        <w:t>e</w:t>
      </w:r>
      <w:r>
        <w:t>ró que fuera relevante. No recordó si en esa camioneta s</w:t>
      </w:r>
      <w:r>
        <w:t>u</w:t>
      </w:r>
      <w:r>
        <w:t>bían o bajaban cosas.</w:t>
      </w:r>
    </w:p>
    <w:p w:rsidR="00224567" w:rsidRDefault="00224567">
      <w:pPr>
        <w:widowControl w:val="0"/>
        <w:tabs>
          <w:tab w:val="left" w:pos="2835"/>
        </w:tabs>
      </w:pPr>
      <w:r>
        <w:tab/>
        <w:t>Contestando un interrogante ace</w:t>
      </w:r>
      <w:r>
        <w:t>r</w:t>
      </w:r>
      <w:r>
        <w:t>ca de si durante la persecución del automóvil en el que iba T</w:t>
      </w:r>
      <w:r>
        <w:t>e</w:t>
      </w:r>
      <w:r>
        <w:t>lleldín, en algún momento, lo pudo ver suficientemente cerca como para poder identificarlo, Leal manifestó que cuando el nombrado chocó contra la columna de luz, la d</w:t>
      </w:r>
      <w:r>
        <w:t>i</w:t>
      </w:r>
      <w:r>
        <w:t>ferencia que existió entre ellos fue un vidrio. Intentó abrirle la puerta, pero estaba trabada. Observó a Ana M</w:t>
      </w:r>
      <w:r>
        <w:t>a</w:t>
      </w:r>
      <w:r>
        <w:t>ría Boragni, vio que estaba a su lado, no sabe que dif</w:t>
      </w:r>
      <w:r>
        <w:t>e</w:t>
      </w:r>
      <w:r>
        <w:t>rencia pudo haber entre ambas butacas.</w:t>
      </w:r>
    </w:p>
    <w:p w:rsidR="00224567" w:rsidRDefault="00224567">
      <w:pPr>
        <w:widowControl w:val="0"/>
        <w:tabs>
          <w:tab w:val="left" w:pos="2835"/>
        </w:tabs>
      </w:pPr>
      <w:r>
        <w:tab/>
        <w:t>Cuando intentaron abrirles las pue</w:t>
      </w:r>
      <w:r>
        <w:t>r</w:t>
      </w:r>
      <w:r>
        <w:t>tas a Telleldín, la culata de la pistola de García go</w:t>
      </w:r>
      <w:r>
        <w:t>l</w:t>
      </w:r>
      <w:r>
        <w:t>peó con la parte superior del vidrio, pero no es que lo haya qu</w:t>
      </w:r>
      <w:r>
        <w:t>e</w:t>
      </w:r>
      <w:r>
        <w:t>rido golpear, sino que en el int</w:t>
      </w:r>
      <w:r>
        <w:t>e</w:t>
      </w:r>
      <w:r>
        <w:t>rés de querer abrir, como iba para atrás y para adelante, pegó con el arma. Si lo hubiera querido impactar, le hubiese fraccionado el v</w:t>
      </w:r>
      <w:r>
        <w:t>i</w:t>
      </w:r>
      <w:r>
        <w:t>drio.</w:t>
      </w:r>
    </w:p>
    <w:p w:rsidR="00224567" w:rsidRDefault="00224567">
      <w:pPr>
        <w:widowControl w:val="0"/>
        <w:tabs>
          <w:tab w:val="left" w:pos="2835"/>
        </w:tabs>
      </w:pPr>
      <w:r>
        <w:tab/>
        <w:t>Agregó Leal que tenía la crede</w:t>
      </w:r>
      <w:r>
        <w:t>n</w:t>
      </w:r>
      <w:r>
        <w:t>cial y la pistola en la mano, alcanzó a sacar la credencial para que parara, pero no frenó. Todos estaban de civil, en la brigada de investigaciones todas son personas de civil; muchas veces se utiliza un chaleco identificatorio que atrás dice “P</w:t>
      </w:r>
      <w:r>
        <w:t>o</w:t>
      </w:r>
      <w:r>
        <w:t xml:space="preserve">licía de </w:t>
      </w:r>
      <w:smartTag w:uri="urn:schemas-microsoft-com:office:smarttags" w:element="PersonName">
        <w:smartTagPr>
          <w:attr w:name="ProductID" w:val="la Provincia"/>
        </w:smartTagPr>
        <w:r>
          <w:t>la Provincia</w:t>
        </w:r>
      </w:smartTag>
      <w:r>
        <w:t xml:space="preserve"> de Buenos Aires”. Pero dio a ente</w:t>
      </w:r>
      <w:r>
        <w:t>n</w:t>
      </w:r>
      <w:r>
        <w:t>der que cuando se hacen tareas de inteligencia no se utiliza porque quedarían en ev</w:t>
      </w:r>
      <w:r>
        <w:t>i</w:t>
      </w:r>
      <w:r>
        <w:t>dencia.</w:t>
      </w:r>
    </w:p>
    <w:p w:rsidR="00224567" w:rsidRDefault="00224567">
      <w:pPr>
        <w:widowControl w:val="0"/>
        <w:tabs>
          <w:tab w:val="left" w:pos="2835"/>
        </w:tabs>
      </w:pPr>
      <w:r>
        <w:tab/>
        <w:t>No se labró ningún acta a raíz de la colisión de los vehículos, pues fue un roce a la altura del paragolpes, del guardabarros derecho del 505 de L</w:t>
      </w:r>
      <w:r>
        <w:t>a</w:t>
      </w:r>
      <w:r>
        <w:t>sala. A su modo de ver no había que hacer ningún tipo de actuación. En todo caso, Lasala podría haber labrado un acta de choque, pero el rodado no tenía seguro.</w:t>
      </w:r>
    </w:p>
    <w:p w:rsidR="00224567" w:rsidRDefault="00224567">
      <w:pPr>
        <w:widowControl w:val="0"/>
        <w:tabs>
          <w:tab w:val="left" w:pos="2835"/>
        </w:tabs>
      </w:pPr>
      <w:r>
        <w:tab/>
        <w:t>El día 14, el día del procedimiento, no vio a Barreda en el lugar.</w:t>
      </w:r>
    </w:p>
    <w:p w:rsidR="00224567" w:rsidRDefault="00224567">
      <w:pPr>
        <w:widowControl w:val="0"/>
        <w:tabs>
          <w:tab w:val="left" w:pos="2835"/>
        </w:tabs>
      </w:pPr>
      <w:r>
        <w:tab/>
        <w:t>No recordó que existiera testigo a</w:t>
      </w:r>
      <w:r>
        <w:t>l</w:t>
      </w:r>
      <w:r>
        <w:t>guno de la detención de Pérez, pero sabe que apareció un remisero de la calle Alvear que declaró que se lo detuvo a Pérez después de las 22.00. Si se tiene en cuenta ese h</w:t>
      </w:r>
      <w:r>
        <w:t>o</w:t>
      </w:r>
      <w:r>
        <w:t>rario, las 12 de la noche o cerca de la medianoche sign</w:t>
      </w:r>
      <w:r>
        <w:t>i</w:t>
      </w:r>
      <w:r>
        <w:t>fica después de las 22.00, argumentó Leal.</w:t>
      </w:r>
    </w:p>
    <w:p w:rsidR="00224567" w:rsidRDefault="00224567">
      <w:pPr>
        <w:widowControl w:val="0"/>
        <w:tabs>
          <w:tab w:val="left" w:pos="2835"/>
        </w:tabs>
      </w:pPr>
      <w:r>
        <w:tab/>
        <w:t>El que ordenó confeccionar las actu</w:t>
      </w:r>
      <w:r>
        <w:t>a</w:t>
      </w:r>
      <w:r>
        <w:t>ciones cuando arribó con Pérez a la dependencia fue R</w:t>
      </w:r>
      <w:r>
        <w:t>a</w:t>
      </w:r>
      <w:r>
        <w:t>go, previo consultar al jefe y éste fue el que ordenó labra</w:t>
      </w:r>
      <w:r>
        <w:t>r</w:t>
      </w:r>
      <w:r>
        <w:t>las.</w:t>
      </w:r>
    </w:p>
    <w:p w:rsidR="00224567" w:rsidRDefault="00224567">
      <w:pPr>
        <w:widowControl w:val="0"/>
        <w:tabs>
          <w:tab w:val="left" w:pos="2835"/>
        </w:tabs>
      </w:pPr>
      <w:r>
        <w:tab/>
        <w:t>Cuando Telleldín se escapó, no lo c</w:t>
      </w:r>
      <w:r>
        <w:t>o</w:t>
      </w:r>
      <w:r>
        <w:t>municó al comando. Interrogado acerca del motivo de ello, dijo que lo anotició al superior inmediato, el subcomis</w:t>
      </w:r>
      <w:r>
        <w:t>a</w:t>
      </w:r>
      <w:r>
        <w:t>rio Rago, y no se le ocurrió hacerlo, además, al comando, dado que el automotor tenía patente inexistente. Además, no tenía la frecuencia directa del comando ni de algún otro móvil. En caso de enfrentamie</w:t>
      </w:r>
      <w:r>
        <w:t>n</w:t>
      </w:r>
      <w:r>
        <w:t>tos, se comunicaba con la brigada y ésta le enviaba el apoyo, no el comando. No podía comunicarse desde su a</w:t>
      </w:r>
      <w:r>
        <w:t>u</w:t>
      </w:r>
      <w:r>
        <w:t>tomotor al comando porque no tenía la frecuencia y tampoco tenía el número del tel</w:t>
      </w:r>
      <w:r>
        <w:t>é</w:t>
      </w:r>
      <w:r>
        <w:t>fono. A la brigada avisó por teléfono que se le había e</w:t>
      </w:r>
      <w:r>
        <w:t>s</w:t>
      </w:r>
      <w:r>
        <w:t>capado Telle</w:t>
      </w:r>
      <w:r>
        <w:t>l</w:t>
      </w:r>
      <w:r>
        <w:t>dín.</w:t>
      </w:r>
    </w:p>
    <w:p w:rsidR="00224567" w:rsidRDefault="00224567">
      <w:pPr>
        <w:widowControl w:val="0"/>
        <w:tabs>
          <w:tab w:val="left" w:pos="2835"/>
        </w:tabs>
      </w:pPr>
      <w:r>
        <w:tab/>
        <w:t>Según Leal, Barreda y Bareiro no est</w:t>
      </w:r>
      <w:r>
        <w:t>u</w:t>
      </w:r>
      <w:r>
        <w:t>vieron en la brigada mientras Pérez estuvo det</w:t>
      </w:r>
      <w:r>
        <w:t>e</w:t>
      </w:r>
      <w:r>
        <w:t>nido.</w:t>
      </w:r>
    </w:p>
    <w:p w:rsidR="00224567" w:rsidRDefault="00224567">
      <w:pPr>
        <w:widowControl w:val="0"/>
        <w:tabs>
          <w:tab w:val="left" w:pos="2835"/>
        </w:tabs>
      </w:pPr>
      <w:r>
        <w:tab/>
        <w:t>Con relación a las irregularid</w:t>
      </w:r>
      <w:r>
        <w:t>a</w:t>
      </w:r>
      <w:r>
        <w:t>des que existen en el expediente por averiguación de ant</w:t>
      </w:r>
      <w:r>
        <w:t>e</w:t>
      </w:r>
      <w:r>
        <w:t>cedentes de Pérez, puntualizó que no sabe lo que pasó; quienes d</w:t>
      </w:r>
      <w:r>
        <w:t>e</w:t>
      </w:r>
      <w:r>
        <w:t>ben dar las explicaciones correspondientes son el secret</w:t>
      </w:r>
      <w:r>
        <w:t>a</w:t>
      </w:r>
      <w:r>
        <w:t>rio de actuaciones y el in</w:t>
      </w:r>
      <w:r>
        <w:t>s</w:t>
      </w:r>
      <w:r>
        <w:t>tructor. Él sólo tiene que ver con su declaración del 14 y 15 de julio de 1994, donde r</w:t>
      </w:r>
      <w:r>
        <w:t>e</w:t>
      </w:r>
      <w:r>
        <w:t>lató esos hechos, y la firma corre</w:t>
      </w:r>
      <w:r>
        <w:t>s</w:t>
      </w:r>
      <w:r>
        <w:t>pondiente.</w:t>
      </w:r>
    </w:p>
    <w:p w:rsidR="00224567" w:rsidRDefault="00224567">
      <w:pPr>
        <w:widowControl w:val="0"/>
        <w:tabs>
          <w:tab w:val="left" w:pos="2835"/>
        </w:tabs>
      </w:pPr>
      <w:r>
        <w:tab/>
        <w:t>El día 15, desde las 9.00 hasta las 19.00, estuvo en un juzgado por el traslado de un deten</w:t>
      </w:r>
      <w:r>
        <w:t>i</w:t>
      </w:r>
      <w:r>
        <w:t>do. Durante ese tiempo pudo haber recibido algún llamado telefónico. No recordó con quién se comunicó. Pudo haberse comunicado a la brigada. García había quedado afectado a la vigilancia y puede ser que lo haya llamado a éste por teléfono y le haya dicho que esperara hasta que el jefe ordenara o hubiese alguna novedad.</w:t>
      </w:r>
    </w:p>
    <w:p w:rsidR="00224567" w:rsidRDefault="00224567">
      <w:pPr>
        <w:widowControl w:val="0"/>
        <w:tabs>
          <w:tab w:val="left" w:pos="2835"/>
        </w:tabs>
      </w:pPr>
      <w:r>
        <w:tab/>
        <w:t>Cree que cuando regresó a la br</w:t>
      </w:r>
      <w:r>
        <w:t>i</w:t>
      </w:r>
      <w:r>
        <w:t>gada, Pérez aún se enco</w:t>
      </w:r>
      <w:r>
        <w:t>n</w:t>
      </w:r>
      <w:r>
        <w:t>traba detenido. Lo único que recordó fue que el jefe de la brigada le ordenó que continuaran las investigaciones, y él, a su vez, se lo retransmitió a B</w:t>
      </w:r>
      <w:r>
        <w:t>a</w:t>
      </w:r>
      <w:r>
        <w:t>rreda y a Bareiro por intermedio de un llamado t</w:t>
      </w:r>
      <w:r>
        <w:t>e</w:t>
      </w:r>
      <w:r>
        <w:t>lefónico que efectuó en la brigada de</w:t>
      </w:r>
      <w:r>
        <w:t>s</w:t>
      </w:r>
      <w:r>
        <w:t>de su teléfono celular.</w:t>
      </w:r>
    </w:p>
    <w:p w:rsidR="00224567" w:rsidRDefault="00224567">
      <w:pPr>
        <w:widowControl w:val="0"/>
        <w:tabs>
          <w:tab w:val="left" w:pos="2835"/>
        </w:tabs>
      </w:pPr>
      <w:r>
        <w:tab/>
        <w:t>Después de detener a Pérez se comun</w:t>
      </w:r>
      <w:r>
        <w:t>i</w:t>
      </w:r>
      <w:r>
        <w:t>có con Barreda para ver quién era aquél, pero con B</w:t>
      </w:r>
      <w:r>
        <w:t>a</w:t>
      </w:r>
      <w:r>
        <w:t>reiro no porque éste no tenía celular. Con posterioridad, durante la noche, lo llamó a Barreda un par de v</w:t>
      </w:r>
      <w:r>
        <w:t>e</w:t>
      </w:r>
      <w:r>
        <w:t>ces más, a ver si había alguna nov</w:t>
      </w:r>
      <w:r>
        <w:t>e</w:t>
      </w:r>
      <w:r>
        <w:t>dad con respecto a Telleldín.</w:t>
      </w:r>
    </w:p>
    <w:p w:rsidR="00224567" w:rsidRDefault="00224567">
      <w:pPr>
        <w:widowControl w:val="0"/>
        <w:tabs>
          <w:tab w:val="left" w:pos="2835"/>
        </w:tabs>
      </w:pPr>
      <w:r>
        <w:tab/>
        <w:t>No sabía si Bareiro o Barreda se com</w:t>
      </w:r>
      <w:r>
        <w:t>u</w:t>
      </w:r>
      <w:r>
        <w:t>nicaron con Telleldín o Ana Boragni ese día 14, con post</w:t>
      </w:r>
      <w:r>
        <w:t>e</w:t>
      </w:r>
      <w:r>
        <w:t>rioridad a la detención de Pérez. Tomó conocimiento de ello a través de la causa.</w:t>
      </w:r>
    </w:p>
    <w:p w:rsidR="00224567" w:rsidRDefault="00224567">
      <w:pPr>
        <w:widowControl w:val="0"/>
        <w:tabs>
          <w:tab w:val="left" w:pos="2835"/>
        </w:tabs>
      </w:pPr>
      <w:r>
        <w:tab/>
        <w:t>Tampoco sabía que Telleldín hubiera entregado un bien o dinero a algún miembro de la pol</w:t>
      </w:r>
      <w:r>
        <w:t>i</w:t>
      </w:r>
      <w:r>
        <w:t>cía. De ello se enteró con posterioridad, al momento de leer la prisión preve</w:t>
      </w:r>
      <w:r>
        <w:t>n</w:t>
      </w:r>
      <w:r>
        <w:t>tiva.</w:t>
      </w:r>
    </w:p>
    <w:p w:rsidR="00224567" w:rsidRDefault="00224567">
      <w:pPr>
        <w:widowControl w:val="0"/>
        <w:tabs>
          <w:tab w:val="left" w:pos="2835"/>
        </w:tabs>
      </w:pPr>
      <w:r>
        <w:tab/>
        <w:t>El 8 de julio de 1994, cuando se e</w:t>
      </w:r>
      <w:r>
        <w:t>n</w:t>
      </w:r>
      <w:r>
        <w:t>contraron en la casa de Barreda, vio que éste tenía una pierna enyesada. Ni Bareiro ni él ingresaron a la v</w:t>
      </w:r>
      <w:r>
        <w:t>i</w:t>
      </w:r>
      <w:r>
        <w:t>vienda de Barreda. Bareiro llamó a Barrera y éste salió camin</w:t>
      </w:r>
      <w:r>
        <w:t>a</w:t>
      </w:r>
      <w:r>
        <w:t>do con una pierna enyesada. Ahí es donde Bareiro le presentó a Barreda.</w:t>
      </w:r>
    </w:p>
    <w:p w:rsidR="00224567" w:rsidRDefault="00224567">
      <w:pPr>
        <w:widowControl w:val="0"/>
        <w:tabs>
          <w:tab w:val="left" w:pos="2835"/>
        </w:tabs>
      </w:pPr>
      <w:r>
        <w:tab/>
        <w:t>Puntualizó que el Renault 19 que pe</w:t>
      </w:r>
      <w:r>
        <w:t>r</w:t>
      </w:r>
      <w:r>
        <w:t>siguió debe tener la secuela del choque de adelante que fue contra un poste de luz. Se le exhibió una foto del R</w:t>
      </w:r>
      <w:r>
        <w:t>e</w:t>
      </w:r>
      <w:r>
        <w:t>nault 19 que poseía Telleldín y ref</w:t>
      </w:r>
      <w:r>
        <w:t>i</w:t>
      </w:r>
      <w:r>
        <w:t>rió que no está seguro si es el que él persiguió.</w:t>
      </w:r>
    </w:p>
    <w:p w:rsidR="00224567" w:rsidRDefault="00224567">
      <w:pPr>
        <w:widowControl w:val="0"/>
        <w:tabs>
          <w:tab w:val="left" w:pos="2835"/>
        </w:tabs>
      </w:pPr>
      <w:r>
        <w:tab/>
        <w:t>Sabía que Bareiro y Barreda eran con</w:t>
      </w:r>
      <w:r>
        <w:t>o</w:t>
      </w:r>
      <w:r>
        <w:t>cidos de Telleldín y que tenían la orden de seguir inve</w:t>
      </w:r>
      <w:r>
        <w:t>s</w:t>
      </w:r>
      <w:r>
        <w:t>tigándolo y cuando obtuvieran información comun</w:t>
      </w:r>
      <w:r>
        <w:t>i</w:t>
      </w:r>
      <w:r>
        <w:t>carla a la brigada. Esa orden la impartió el jefe de la brigada, se la transmitió a él a través de Rago y él se la comunicó a Barreda al Movicom y a Bareiro.</w:t>
      </w:r>
    </w:p>
    <w:p w:rsidR="00224567" w:rsidRDefault="00224567">
      <w:pPr>
        <w:widowControl w:val="0"/>
        <w:tabs>
          <w:tab w:val="left" w:pos="2835"/>
        </w:tabs>
      </w:pPr>
      <w:r>
        <w:tab/>
        <w:t>Al escaparse Telleldín, el jefe de la brigada dijo que había que tratar de reflotar la invest</w:t>
      </w:r>
      <w:r>
        <w:t>i</w:t>
      </w:r>
      <w:r>
        <w:t>gación y seguir investigando a esa persona; cuando se s</w:t>
      </w:r>
      <w:r>
        <w:t>u</w:t>
      </w:r>
      <w:r>
        <w:t>piera que Telleldín estaba nuevame</w:t>
      </w:r>
      <w:r>
        <w:t>n</w:t>
      </w:r>
      <w:r>
        <w:t>te delinquiendo, ellos tenían que informar a la brigada para reiniciar el proc</w:t>
      </w:r>
      <w:r>
        <w:t>e</w:t>
      </w:r>
      <w:r>
        <w:t>dimiento. Barrera y Bareiro eran amigos de Telleldín y p</w:t>
      </w:r>
      <w:r>
        <w:t>o</w:t>
      </w:r>
      <w:r>
        <w:t>dían ir a la casa; ellos se iban a enterar si estaba com</w:t>
      </w:r>
      <w:r>
        <w:t>e</w:t>
      </w:r>
      <w:r>
        <w:t>tiendo nuevamente algún delito.</w:t>
      </w:r>
    </w:p>
    <w:p w:rsidR="00224567" w:rsidRDefault="00224567">
      <w:pPr>
        <w:widowControl w:val="0"/>
        <w:tabs>
          <w:tab w:val="left" w:pos="2835"/>
        </w:tabs>
      </w:pPr>
      <w:r>
        <w:tab/>
        <w:t>Requerido acerca de las ordenes impa</w:t>
      </w:r>
      <w:r>
        <w:t>r</w:t>
      </w:r>
      <w:r>
        <w:t>tidas por Rago, Leal explicó que había que hacer t</w:t>
      </w:r>
      <w:r>
        <w:t>a</w:t>
      </w:r>
      <w:r>
        <w:t>reas de inteligencia, observar el lugar e interceptar el vehículo para establecer la procedencia. Rago dispuso que se ubic</w:t>
      </w:r>
      <w:r>
        <w:t>a</w:t>
      </w:r>
      <w:r>
        <w:t>ran los lugares y posteriormente se interceptara el R</w:t>
      </w:r>
      <w:r>
        <w:t>e</w:t>
      </w:r>
      <w:r>
        <w:t>nault 19 y, si éste poseía pedido de secuestro, se actuaba en consecue</w:t>
      </w:r>
      <w:r>
        <w:t>n</w:t>
      </w:r>
      <w:r>
        <w:t xml:space="preserve">cia. </w:t>
      </w:r>
    </w:p>
    <w:p w:rsidR="00224567" w:rsidRDefault="00224567">
      <w:pPr>
        <w:widowControl w:val="0"/>
        <w:tabs>
          <w:tab w:val="left" w:pos="2835"/>
        </w:tabs>
      </w:pPr>
      <w:r>
        <w:tab/>
        <w:t>Cuando se le preguntó por qué no di</w:t>
      </w:r>
      <w:r>
        <w:t>s</w:t>
      </w:r>
      <w:r>
        <w:t>puso la detención de Telleldín cuando se dio a la fuga, señaló que pudo haberlo confundido con un delincuente y que si bien le exhibió la credencial p</w:t>
      </w:r>
      <w:r>
        <w:t>u</w:t>
      </w:r>
      <w:r>
        <w:t>do no haberla visto por la situación de nerviosismo. Admitió que pudo haber errores de parte suya.</w:t>
      </w:r>
    </w:p>
    <w:p w:rsidR="00224567" w:rsidRDefault="00224567">
      <w:pPr>
        <w:widowControl w:val="0"/>
        <w:tabs>
          <w:tab w:val="left" w:pos="2835"/>
        </w:tabs>
      </w:pPr>
      <w:r>
        <w:tab/>
        <w:t>Se le exhibió una fotografía del Ford Galaxy secuestrado en autos y lo reconoció como el suyo. Asimismo una de un Peugeot 505 y ref</w:t>
      </w:r>
      <w:r>
        <w:t>i</w:t>
      </w:r>
      <w:r>
        <w:t>rió que puede ser el de Lasala, pero que el vehículo no se dañó del modo que luce con la colisión ocurrida durante la huida de Telle</w:t>
      </w:r>
      <w:r>
        <w:t>l</w:t>
      </w:r>
      <w:r>
        <w:t>dín.</w:t>
      </w:r>
    </w:p>
    <w:p w:rsidR="00224567" w:rsidRDefault="00224567">
      <w:pPr>
        <w:widowControl w:val="0"/>
        <w:tabs>
          <w:tab w:val="left" w:pos="2835"/>
        </w:tabs>
      </w:pPr>
      <w:r>
        <w:tab/>
        <w:t>El día 15 volvió a hablar con B</w:t>
      </w:r>
      <w:r>
        <w:t>a</w:t>
      </w:r>
      <w:r>
        <w:t>rreda preguntándole si había alguna novedad sobre Telleldín. Ni Barreda ni Bareiro le comentaron que habían consultado o se habían reunido con algún abogado. Nunca ordenó a Barr</w:t>
      </w:r>
      <w:r>
        <w:t>e</w:t>
      </w:r>
      <w:r>
        <w:t>da o a Bareiro que extorsionaran a alguien; todas las c</w:t>
      </w:r>
      <w:r>
        <w:t>o</w:t>
      </w:r>
      <w:r>
        <w:t>municaciones exi</w:t>
      </w:r>
      <w:r>
        <w:t>s</w:t>
      </w:r>
      <w:r>
        <w:t>tentes respondieron al procedimiento.</w:t>
      </w:r>
    </w:p>
    <w:p w:rsidR="00224567" w:rsidRDefault="00224567">
      <w:pPr>
        <w:widowControl w:val="0"/>
        <w:tabs>
          <w:tab w:val="left" w:pos="2835"/>
        </w:tabs>
      </w:pPr>
      <w:r>
        <w:tab/>
        <w:t>Insistió que al Dr. Bottegal, lo con</w:t>
      </w:r>
      <w:r>
        <w:t>o</w:t>
      </w:r>
      <w:r>
        <w:t>ció en la sala de audiencias. Si se hace un relevamiento de todos los teléfonos que tiene en sus agendas, argumentó Leal, se verá que no lo conocía, no hay ningún tipo de c</w:t>
      </w:r>
      <w:r>
        <w:t>o</w:t>
      </w:r>
      <w:r>
        <w:t>nocimiento o conexión con él. No sabe si Barreda o Bareiro lo conocían.</w:t>
      </w:r>
    </w:p>
    <w:p w:rsidR="00224567" w:rsidRDefault="00224567">
      <w:pPr>
        <w:widowControl w:val="0"/>
        <w:tabs>
          <w:tab w:val="left" w:pos="2835"/>
        </w:tabs>
      </w:pPr>
      <w:r>
        <w:tab/>
        <w:t xml:space="preserve">Afirmó que una cosa es </w:t>
      </w:r>
      <w:smartTag w:uri="urn:schemas-microsoft-com:office:smarttags" w:element="PersonName">
        <w:smartTagPr>
          <w:attr w:name="ProductID" w:val="la Brigada"/>
        </w:smartTagPr>
        <w:r>
          <w:t>la Brigada</w:t>
        </w:r>
      </w:smartTag>
      <w:r>
        <w:t xml:space="preserve"> de Vicente López y otra es </w:t>
      </w:r>
      <w:smartTag w:uri="urn:schemas-microsoft-com:office:smarttags" w:element="PersonName">
        <w:smartTagPr>
          <w:attr w:name="ProductID" w:val="la Brigada"/>
        </w:smartTagPr>
        <w:r>
          <w:t>la Brigada</w:t>
        </w:r>
      </w:smartTag>
      <w:r>
        <w:t xml:space="preserve"> de Lanús.</w:t>
      </w:r>
    </w:p>
    <w:p w:rsidR="00224567" w:rsidRDefault="00224567">
      <w:pPr>
        <w:widowControl w:val="0"/>
        <w:tabs>
          <w:tab w:val="left" w:pos="2835"/>
        </w:tabs>
      </w:pPr>
      <w:r>
        <w:tab/>
        <w:t>Expuso que nadie tuvo en cuenta que los policías en toda su vida nunca han tenido proceso p</w:t>
      </w:r>
      <w:r>
        <w:t>e</w:t>
      </w:r>
      <w:r>
        <w:t>nal alguno y que no son sinvergüenzas ni delincue</w:t>
      </w:r>
      <w:r>
        <w:t>n</w:t>
      </w:r>
      <w:r>
        <w:t>tes.</w:t>
      </w:r>
    </w:p>
    <w:p w:rsidR="00224567" w:rsidRDefault="00224567">
      <w:pPr>
        <w:widowControl w:val="0"/>
        <w:tabs>
          <w:tab w:val="left" w:pos="2835"/>
        </w:tabs>
      </w:pPr>
      <w:r>
        <w:tab/>
        <w:t xml:space="preserve">Dijo que lo que hizo </w:t>
      </w:r>
      <w:smartTag w:uri="urn:schemas-microsoft-com:office:smarttags" w:element="PersonName">
        <w:smartTagPr>
          <w:attr w:name="ProductID" w:val="la Brigada"/>
        </w:smartTagPr>
        <w:r>
          <w:t>la Brigada</w:t>
        </w:r>
      </w:smartTag>
      <w:r>
        <w:t xml:space="preserve"> de L</w:t>
      </w:r>
      <w:r>
        <w:t>a</w:t>
      </w:r>
      <w:r>
        <w:t xml:space="preserve">nús en marzo o abril es responsabilidad de Lanús y lo que hizo </w:t>
      </w:r>
      <w:smartTag w:uri="urn:schemas-microsoft-com:office:smarttags" w:element="PersonName">
        <w:smartTagPr>
          <w:attr w:name="ProductID" w:val="la Brigada"/>
        </w:smartTagPr>
        <w:r>
          <w:t>la Brigada</w:t>
        </w:r>
      </w:smartTag>
      <w:r>
        <w:t xml:space="preserve"> de Vicente López es otra cosa.</w:t>
      </w:r>
    </w:p>
    <w:p w:rsidR="00224567" w:rsidRDefault="00224567">
      <w:pPr>
        <w:widowControl w:val="0"/>
        <w:tabs>
          <w:tab w:val="left" w:pos="2835"/>
        </w:tabs>
      </w:pPr>
      <w:r>
        <w:tab/>
        <w:t>Continuó relatando que era común en la brigada que se realizaran procedimientos fuera de la co</w:t>
      </w:r>
      <w:r>
        <w:t>m</w:t>
      </w:r>
      <w:r>
        <w:t xml:space="preserve">petencia territorial de ésta; </w:t>
      </w:r>
      <w:smartTag w:uri="urn:schemas-microsoft-com:office:smarttags" w:element="PersonName">
        <w:smartTagPr>
          <w:attr w:name="ProductID" w:val="la Brigada"/>
        </w:smartTagPr>
        <w:r>
          <w:t>la Brigada</w:t>
        </w:r>
      </w:smartTag>
      <w:r>
        <w:t xml:space="preserve"> de Vicente López hacía procedimientos en San Martín y se lo comunicaba al juez competente en ese sitio. No anoticiaban a la brigada de la otra zona porque no correspondía; mientras se hici</w:t>
      </w:r>
      <w:r>
        <w:t>e</w:t>
      </w:r>
      <w:r>
        <w:t>ra saber al juez jurisdiccional, se llevaba a cabo el pr</w:t>
      </w:r>
      <w:r>
        <w:t>o</w:t>
      </w:r>
      <w:r>
        <w:t>cedimiento.</w:t>
      </w:r>
    </w:p>
    <w:p w:rsidR="00224567" w:rsidRDefault="00224567">
      <w:pPr>
        <w:widowControl w:val="0"/>
        <w:tabs>
          <w:tab w:val="left" w:pos="2835"/>
        </w:tabs>
      </w:pPr>
      <w:r>
        <w:tab/>
        <w:t>Cuando efectuaban investigaciones en otra zona se lo comunicaban al jefe de operaci</w:t>
      </w:r>
      <w:r>
        <w:t>o</w:t>
      </w:r>
      <w:r>
        <w:t>nes y éste se lo transmitía al jefe de la br</w:t>
      </w:r>
      <w:r>
        <w:t>i</w:t>
      </w:r>
      <w:r>
        <w:t>gada. Quedaba a criterio de éste si informaba a la superioridad o no. Para hacer tareas de inteligencia o para hacer un procedimiento pie</w:t>
      </w:r>
      <w:r>
        <w:t>n</w:t>
      </w:r>
      <w:r>
        <w:t>sa que no, afirmó Leal.</w:t>
      </w:r>
    </w:p>
    <w:p w:rsidR="00224567" w:rsidRDefault="00224567">
      <w:pPr>
        <w:widowControl w:val="0"/>
        <w:tabs>
          <w:tab w:val="left" w:pos="2835"/>
        </w:tabs>
      </w:pPr>
      <w:r>
        <w:tab/>
        <w:t>Expresó que era común que realizaran operativos conjuntos con otras brigadas, por ejemplo en un secuestro extorsivo, en el cual se convocaba a dif</w:t>
      </w:r>
      <w:r>
        <w:t>e</w:t>
      </w:r>
      <w:r>
        <w:t>rentes brigadas o a diferentes grupos operativos para que trab</w:t>
      </w:r>
      <w:r>
        <w:t>a</w:t>
      </w:r>
      <w:r>
        <w:t>jaran. En cambio era muy raro que compartieran información con otra br</w:t>
      </w:r>
      <w:r>
        <w:t>i</w:t>
      </w:r>
      <w:r>
        <w:t>gada.</w:t>
      </w:r>
    </w:p>
    <w:p w:rsidR="00224567" w:rsidRDefault="00224567">
      <w:pPr>
        <w:widowControl w:val="0"/>
        <w:tabs>
          <w:tab w:val="left" w:pos="2835"/>
        </w:tabs>
      </w:pPr>
      <w:r>
        <w:tab/>
        <w:t>Para comunicarse, los miembros del grupo operativo, normalmente, utilizaban equipo de r</w:t>
      </w:r>
      <w:r>
        <w:t>a</w:t>
      </w:r>
      <w:r>
        <w:t>dio. En su automotor tenía un equipo base, ese equipo se com</w:t>
      </w:r>
      <w:r>
        <w:t>u</w:t>
      </w:r>
      <w:r>
        <w:t>nicaba a su vez con la brigada y por intermedio de “handy” se comunicaba con los demás integrantes del grupo. Ese equipo era suyo. Ga</w:t>
      </w:r>
      <w:r>
        <w:t>r</w:t>
      </w:r>
      <w:r>
        <w:t>cía y Lasala tenían su propio “handy”.</w:t>
      </w:r>
    </w:p>
    <w:p w:rsidR="00224567" w:rsidRDefault="00224567">
      <w:pPr>
        <w:widowControl w:val="0"/>
        <w:tabs>
          <w:tab w:val="left" w:pos="2835"/>
        </w:tabs>
      </w:pPr>
      <w:r>
        <w:tab/>
        <w:t xml:space="preserve">En </w:t>
      </w:r>
      <w:smartTag w:uri="urn:schemas-microsoft-com:office:smarttags" w:element="PersonName">
        <w:smartTagPr>
          <w:attr w:name="ProductID" w:val="la Brigada"/>
        </w:smartTagPr>
        <w:r>
          <w:t>la Brigada</w:t>
        </w:r>
      </w:smartTag>
      <w:r>
        <w:t xml:space="preserve"> de Vicente López había un equipo de radio, cuyo propietario era Rago; cuando se fue trasladado a la brigada de San Ju</w:t>
      </w:r>
      <w:r>
        <w:t>s</w:t>
      </w:r>
      <w:r>
        <w:t>to, el mismo equipo fue utilizado allí y él fue a trabajar con su equipo de radio personal.</w:t>
      </w:r>
    </w:p>
    <w:p w:rsidR="00224567" w:rsidRDefault="00224567">
      <w:pPr>
        <w:widowControl w:val="0"/>
        <w:tabs>
          <w:tab w:val="left" w:pos="2835"/>
        </w:tabs>
      </w:pPr>
      <w:r>
        <w:tab/>
        <w:t>Precisó que para la época en que h</w:t>
      </w:r>
      <w:r>
        <w:t>i</w:t>
      </w:r>
      <w:r>
        <w:t>cieron el procedimiento en Lanús, no estaba en Vicente L</w:t>
      </w:r>
      <w:r>
        <w:t>ó</w:t>
      </w:r>
      <w:r>
        <w:t xml:space="preserve">pez, sino en </w:t>
      </w:r>
      <w:smartTag w:uri="urn:schemas-microsoft-com:office:smarttags" w:element="PersonName">
        <w:smartTagPr>
          <w:attr w:name="ProductID" w:val="la Direcci￳n"/>
        </w:smartTagPr>
        <w:r>
          <w:t>la Dirección</w:t>
        </w:r>
      </w:smartTag>
      <w:r>
        <w:t xml:space="preserve"> de Investigaciones de </w:t>
      </w:r>
      <w:smartTag w:uri="urn:schemas-microsoft-com:office:smarttags" w:element="PersonName">
        <w:smartTagPr>
          <w:attr w:name="ProductID" w:val="la Jefatura"/>
        </w:smartTagPr>
        <w:r>
          <w:t>la Jefat</w:t>
        </w:r>
        <w:r>
          <w:t>u</w:t>
        </w:r>
        <w:r>
          <w:t>ra</w:t>
        </w:r>
      </w:smartTag>
      <w:r>
        <w:t>, tanto en marzo como en abril. Con Ribelli no se con</w:t>
      </w:r>
      <w:r>
        <w:t>o</w:t>
      </w:r>
      <w:r>
        <w:t>cía, nunca trabajaron juntos; sabía que existía Ribelli, pero nunca tuvo trato con él. Con respecto a Ibarra sucede lo mismo, nunca lo había visto, lo con</w:t>
      </w:r>
      <w:r>
        <w:t>o</w:t>
      </w:r>
      <w:r>
        <w:t xml:space="preserve">ció en un calabozo en Comodoro Py, al igual que a Cruz y Arancibia. Conocía al oficial Albarracín con quien había compartido destino durante un mes en </w:t>
      </w:r>
      <w:smartTag w:uri="urn:schemas-microsoft-com:office:smarttags" w:element="PersonName">
        <w:smartTagPr>
          <w:attr w:name="ProductID" w:val="la Brigada"/>
        </w:smartTagPr>
        <w:r>
          <w:t>la Brigada</w:t>
        </w:r>
      </w:smartTag>
      <w:r>
        <w:t xml:space="preserve"> de Almirante Brown, en el mismo edificio, pero en diferentes grupos oper</w:t>
      </w:r>
      <w:r>
        <w:t>a</w:t>
      </w:r>
      <w:r>
        <w:t>tivos. Fue en la época en que fue denunciado por apremios. A raíz de que se lo detuvo, todo el plantel de esa brigada fue de</w:t>
      </w:r>
      <w:r>
        <w:t>s</w:t>
      </w:r>
      <w:r>
        <w:t xml:space="preserve">membrado. Él fue a parar a </w:t>
      </w:r>
      <w:smartTag w:uri="urn:schemas-microsoft-com:office:smarttags" w:element="PersonName">
        <w:smartTagPr>
          <w:attr w:name="ProductID" w:val="la Jefatura"/>
        </w:smartTagPr>
        <w:r>
          <w:t>la Jefatura</w:t>
        </w:r>
      </w:smartTag>
      <w:r>
        <w:t xml:space="preserve"> de Policía. Estuvo con Bacigalupo en </w:t>
      </w:r>
      <w:smartTag w:uri="urn:schemas-microsoft-com:office:smarttags" w:element="PersonName">
        <w:smartTagPr>
          <w:attr w:name="ProductID" w:val="la Brigada"/>
        </w:smartTagPr>
        <w:r>
          <w:t>la Brigada</w:t>
        </w:r>
      </w:smartTag>
      <w:r>
        <w:t xml:space="preserve"> de Lanús en 1993; él trabajó desde d</w:t>
      </w:r>
      <w:r>
        <w:t>i</w:t>
      </w:r>
      <w:r>
        <w:t>ciembre de 1992 hasta el 5 de mayo de 1993. Aclaró que con Bacigalupo se desempeñaban en el mismo edificio, pero Bacigalupo era un oficial que estaba en la parte a</w:t>
      </w:r>
      <w:r>
        <w:t>d</w:t>
      </w:r>
      <w:r>
        <w:t>ministrativa y él estaba en grupos operativos. Cuando ll</w:t>
      </w:r>
      <w:r>
        <w:t>e</w:t>
      </w:r>
      <w:r>
        <w:t xml:space="preserve">gó el comisario inspector Ojeda, junto con quien en ese momento era el subcomisario Ribelli y su gente, ese mismo día, él fue trasladado a </w:t>
      </w:r>
      <w:smartTag w:uri="urn:schemas-microsoft-com:office:smarttags" w:element="PersonName">
        <w:smartTagPr>
          <w:attr w:name="ProductID" w:val="la Brigada"/>
        </w:smartTagPr>
        <w:r>
          <w:t>la Brigada</w:t>
        </w:r>
      </w:smartTag>
      <w:r>
        <w:t xml:space="preserve"> de Investig</w:t>
      </w:r>
      <w:r>
        <w:t>a</w:t>
      </w:r>
      <w:r>
        <w:t>ciones de Mercedes, ni siquiera tuvo contacto visual con Ribelli. Por ello, agregó Leal, no pudo cruzar una palabra con él, hasta el día que en los calabozos de Comodoro Py le pr</w:t>
      </w:r>
      <w:r>
        <w:t>e</w:t>
      </w:r>
      <w:r>
        <w:t>guntó si era Leal y le refirió que estaban presos por pa</w:t>
      </w:r>
      <w:r>
        <w:t>r</w:t>
      </w:r>
      <w:r>
        <w:t xml:space="preserve">tícipes en el atentado a </w:t>
      </w:r>
      <w:smartTag w:uri="urn:schemas-microsoft-com:office:smarttags" w:element="PersonName">
        <w:smartTagPr>
          <w:attr w:name="ProductID" w:val="la A.M"/>
        </w:smartTagPr>
        <w:r>
          <w:t>la A.M</w:t>
        </w:r>
      </w:smartTag>
      <w:r>
        <w:t>.I.A. De este modo fue c</w:t>
      </w:r>
      <w:r>
        <w:t>o</w:t>
      </w:r>
      <w:r>
        <w:t>nociendo al resto de los imputados.</w:t>
      </w:r>
    </w:p>
    <w:p w:rsidR="00224567" w:rsidRDefault="00224567">
      <w:pPr>
        <w:widowControl w:val="0"/>
        <w:tabs>
          <w:tab w:val="left" w:pos="2835"/>
        </w:tabs>
      </w:pPr>
      <w:r>
        <w:tab/>
        <w:t>Señaló que no sabría decir si tiene conocidos en común con Ribelli. Si se cotejan los li</w:t>
      </w:r>
      <w:r>
        <w:t>s</w:t>
      </w:r>
      <w:r>
        <w:t>tados de llamados de Ribelli y los suyos se verá que nunca t</w:t>
      </w:r>
      <w:r>
        <w:t>u</w:t>
      </w:r>
      <w:r>
        <w:t>vieron contacto ni relación entre ellos. Recordó que a</w:t>
      </w:r>
      <w:r>
        <w:t>m</w:t>
      </w:r>
      <w:r>
        <w:t>bas brigadas son independientes y que con una mentira se ha unido a ambas.</w:t>
      </w:r>
    </w:p>
    <w:p w:rsidR="00224567" w:rsidRDefault="00224567">
      <w:pPr>
        <w:widowControl w:val="0"/>
        <w:tabs>
          <w:tab w:val="left" w:pos="2835"/>
        </w:tabs>
      </w:pPr>
      <w:r>
        <w:tab/>
        <w:t>Relató los diversos destinos que tuvo en los años 1992 y 1993, remarcando que nunca estuvo de</w:t>
      </w:r>
      <w:r>
        <w:t>s</w:t>
      </w:r>
      <w:r>
        <w:t>tinado ni con Ribelli ni con Ibarra.</w:t>
      </w:r>
    </w:p>
    <w:p w:rsidR="00224567" w:rsidRDefault="00224567">
      <w:pPr>
        <w:widowControl w:val="0"/>
        <w:tabs>
          <w:tab w:val="left" w:pos="2835"/>
        </w:tabs>
        <w:rPr>
          <w:lang w:val="es-AR"/>
        </w:rPr>
      </w:pPr>
      <w:r>
        <w:tab/>
      </w:r>
      <w:r>
        <w:rPr>
          <w:lang w:val="es-AR"/>
        </w:rPr>
        <w:t>En 1994 estuvo en disponibilidad pr</w:t>
      </w:r>
      <w:r>
        <w:rPr>
          <w:lang w:val="es-AR"/>
        </w:rPr>
        <w:t>e</w:t>
      </w:r>
      <w:r>
        <w:rPr>
          <w:lang w:val="es-AR"/>
        </w:rPr>
        <w:t>ventiva por una causa de apremios, la que se l</w:t>
      </w:r>
      <w:r>
        <w:rPr>
          <w:lang w:val="es-AR"/>
        </w:rPr>
        <w:t>e</w:t>
      </w:r>
      <w:r>
        <w:rPr>
          <w:lang w:val="es-AR"/>
        </w:rPr>
        <w:t>vantó el 14 de marzo, se prolongó por aproximadamente dos sem</w:t>
      </w:r>
      <w:r>
        <w:rPr>
          <w:lang w:val="es-AR"/>
        </w:rPr>
        <w:t>a</w:t>
      </w:r>
      <w:r>
        <w:rPr>
          <w:lang w:val="es-AR"/>
        </w:rPr>
        <w:t>nas.</w:t>
      </w:r>
    </w:p>
    <w:p w:rsidR="00224567" w:rsidRDefault="00224567">
      <w:pPr>
        <w:widowControl w:val="0"/>
        <w:tabs>
          <w:tab w:val="left" w:pos="2835"/>
        </w:tabs>
        <w:rPr>
          <w:lang w:val="es-AR"/>
        </w:rPr>
      </w:pPr>
      <w:r>
        <w:rPr>
          <w:lang w:val="es-AR"/>
        </w:rPr>
        <w:tab/>
        <w:t>A Vicente López llegó en los pr</w:t>
      </w:r>
      <w:r>
        <w:rPr>
          <w:lang w:val="es-AR"/>
        </w:rPr>
        <w:t>i</w:t>
      </w:r>
      <w:r>
        <w:rPr>
          <w:lang w:val="es-AR"/>
        </w:rPr>
        <w:t>meros días de mayo de 1994 y continuaba con la jerarquía de of</w:t>
      </w:r>
      <w:r>
        <w:rPr>
          <w:lang w:val="es-AR"/>
        </w:rPr>
        <w:t>i</w:t>
      </w:r>
      <w:r>
        <w:rPr>
          <w:lang w:val="es-AR"/>
        </w:rPr>
        <w:t>cial principal; era jefe de un grupo operativo de segur</w:t>
      </w:r>
      <w:r>
        <w:rPr>
          <w:lang w:val="es-AR"/>
        </w:rPr>
        <w:t>i</w:t>
      </w:r>
      <w:r>
        <w:rPr>
          <w:lang w:val="es-AR"/>
        </w:rPr>
        <w:t>dad personal y de robos y hurtos. El grupo estaba integr</w:t>
      </w:r>
      <w:r>
        <w:rPr>
          <w:lang w:val="es-AR"/>
        </w:rPr>
        <w:t>a</w:t>
      </w:r>
      <w:r>
        <w:rPr>
          <w:lang w:val="es-AR"/>
        </w:rPr>
        <w:t>do por el sargento primero Manuel García, el sargento pr</w:t>
      </w:r>
      <w:r>
        <w:rPr>
          <w:lang w:val="es-AR"/>
        </w:rPr>
        <w:t>i</w:t>
      </w:r>
      <w:r>
        <w:rPr>
          <w:lang w:val="es-AR"/>
        </w:rPr>
        <w:t>mero Gabriel Lasala y él. Era el único of</w:t>
      </w:r>
      <w:r>
        <w:rPr>
          <w:lang w:val="es-AR"/>
        </w:rPr>
        <w:t>i</w:t>
      </w:r>
      <w:r>
        <w:rPr>
          <w:lang w:val="es-AR"/>
        </w:rPr>
        <w:t>cial del grupo. Sus superiores jerárquicos eran Jorge Horacio Rago –jefe de operaciones- y el comisario in</w:t>
      </w:r>
      <w:r>
        <w:rPr>
          <w:lang w:val="es-AR"/>
        </w:rPr>
        <w:t>s</w:t>
      </w:r>
      <w:r>
        <w:rPr>
          <w:lang w:val="es-AR"/>
        </w:rPr>
        <w:t>pector Enrique Forgione –jefe de la brigada-. A su vez, había un segundo j</w:t>
      </w:r>
      <w:r>
        <w:rPr>
          <w:lang w:val="es-AR"/>
        </w:rPr>
        <w:t>e</w:t>
      </w:r>
      <w:r>
        <w:rPr>
          <w:lang w:val="es-AR"/>
        </w:rPr>
        <w:t>fe, que era el encargado de la parte administrativa, cuyo nombre no recordó.</w:t>
      </w:r>
    </w:p>
    <w:p w:rsidR="00224567" w:rsidRDefault="00224567">
      <w:pPr>
        <w:widowControl w:val="0"/>
        <w:tabs>
          <w:tab w:val="left" w:pos="2835"/>
        </w:tabs>
        <w:rPr>
          <w:lang w:val="es-AR"/>
        </w:rPr>
      </w:pPr>
      <w:r>
        <w:rPr>
          <w:lang w:val="es-AR"/>
        </w:rPr>
        <w:tab/>
        <w:t>Con Jorge Rago ingresaron juntos en la escuela de policía, el 8 de marzo de 1976 y egresaron en el año 1978. Desconoce a qué dependencia fue destinado R</w:t>
      </w:r>
      <w:r>
        <w:rPr>
          <w:lang w:val="es-AR"/>
        </w:rPr>
        <w:t>a</w:t>
      </w:r>
      <w:r>
        <w:rPr>
          <w:lang w:val="es-AR"/>
        </w:rPr>
        <w:t>go, pero él fue a una de la zona norte. Antes de ir a V</w:t>
      </w:r>
      <w:r>
        <w:rPr>
          <w:lang w:val="es-AR"/>
        </w:rPr>
        <w:t>i</w:t>
      </w:r>
      <w:r>
        <w:rPr>
          <w:lang w:val="es-AR"/>
        </w:rPr>
        <w:t>cente López, no compartió destino con R</w:t>
      </w:r>
      <w:r>
        <w:rPr>
          <w:lang w:val="es-AR"/>
        </w:rPr>
        <w:t>a</w:t>
      </w:r>
      <w:r>
        <w:rPr>
          <w:lang w:val="es-AR"/>
        </w:rPr>
        <w:t>go. A Forgione lo conoció en Vicente López.</w:t>
      </w:r>
    </w:p>
    <w:p w:rsidR="00224567" w:rsidRDefault="00224567">
      <w:pPr>
        <w:widowControl w:val="0"/>
        <w:tabs>
          <w:tab w:val="left" w:pos="2835"/>
        </w:tabs>
        <w:rPr>
          <w:lang w:val="es-ES_tradnl"/>
        </w:rPr>
      </w:pPr>
      <w:r>
        <w:rPr>
          <w:lang w:val="es-AR"/>
        </w:rPr>
        <w:tab/>
        <w:t>Con r</w:t>
      </w:r>
      <w:r>
        <w:rPr>
          <w:lang w:val="es-ES_tradnl"/>
        </w:rPr>
        <w:t>especto a Mario Bareiro dijo que</w:t>
      </w:r>
      <w:r>
        <w:t xml:space="preserve"> lo conoció en </w:t>
      </w:r>
      <w:smartTag w:uri="urn:schemas-microsoft-com:office:smarttags" w:element="PersonName">
        <w:smartTagPr>
          <w:attr w:name="ProductID" w:val="la Divisi￳n Sustracci￳n"/>
        </w:smartTagPr>
        <w:r>
          <w:t>la División Sustracción</w:t>
        </w:r>
      </w:smartTag>
      <w:r>
        <w:t xml:space="preserve"> de Automotores de Vicente López, en el año 1991 ó 1992, cuando estaba el c</w:t>
      </w:r>
      <w:r>
        <w:t>o</w:t>
      </w:r>
      <w:r>
        <w:t xml:space="preserve">misario Naldi. Compartió destino en </w:t>
      </w:r>
      <w:smartTag w:uri="urn:schemas-microsoft-com:office:smarttags" w:element="PersonName">
        <w:smartTagPr>
          <w:attr w:name="ProductID" w:val="la Brigada"/>
        </w:smartTagPr>
        <w:r>
          <w:t>la Brigada</w:t>
        </w:r>
      </w:smartTag>
      <w:r>
        <w:t xml:space="preserve"> de Invest</w:t>
      </w:r>
      <w:r>
        <w:t>i</w:t>
      </w:r>
      <w:r>
        <w:t>gaciones de Vicente López con posterioridad a ello.</w:t>
      </w:r>
    </w:p>
    <w:p w:rsidR="00224567" w:rsidRDefault="00224567">
      <w:pPr>
        <w:widowControl w:val="0"/>
        <w:tabs>
          <w:tab w:val="left" w:pos="2835"/>
        </w:tabs>
      </w:pPr>
      <w:r>
        <w:rPr>
          <w:lang w:val="es-ES_tradnl"/>
        </w:rPr>
        <w:tab/>
        <w:t xml:space="preserve">Añadió que </w:t>
      </w:r>
      <w:r>
        <w:t xml:space="preserve">cuando estuvieron en </w:t>
      </w:r>
      <w:smartTag w:uri="urn:schemas-microsoft-com:office:smarttags" w:element="PersonName">
        <w:smartTagPr>
          <w:attr w:name="ProductID" w:val="la Divisi￳n Sustracci￳n"/>
        </w:smartTagPr>
        <w:r>
          <w:t>la D</w:t>
        </w:r>
        <w:r>
          <w:t>i</w:t>
        </w:r>
        <w:r>
          <w:t>visión Sustracción</w:t>
        </w:r>
      </w:smartTag>
      <w:r>
        <w:t xml:space="preserve"> de Automotores compartieron el edif</w:t>
      </w:r>
      <w:r>
        <w:t>i</w:t>
      </w:r>
      <w:r>
        <w:t>cio, pero estaban en distintos grupos oper</w:t>
      </w:r>
      <w:r>
        <w:t>a</w:t>
      </w:r>
      <w:r>
        <w:t>tivos; cree que Bareiro estaba en el grupo operativo de la zona de San Martín, mientras él permanecía en el grupo operativo de la zona Matanza y en Vicente López. Mario Bareiro era un of</w:t>
      </w:r>
      <w:r>
        <w:t>i</w:t>
      </w:r>
      <w:r>
        <w:t>cial de servicio, de la guardia, en tanto que él era un oficial de calle.</w:t>
      </w:r>
    </w:p>
    <w:p w:rsidR="00224567" w:rsidRDefault="00224567">
      <w:pPr>
        <w:widowControl w:val="0"/>
        <w:tabs>
          <w:tab w:val="left" w:pos="2835"/>
        </w:tabs>
      </w:pPr>
      <w:r>
        <w:tab/>
        <w:t>En la causa que tuvo por apremios il</w:t>
      </w:r>
      <w:r>
        <w:t>e</w:t>
      </w:r>
      <w:r>
        <w:t>gales también estaban imputados el comisario Ricardo Go</w:t>
      </w:r>
      <w:r>
        <w:t>n</w:t>
      </w:r>
      <w:r>
        <w:t>zález, el subcomisario Julio García, con quienes había e</w:t>
      </w:r>
      <w:r>
        <w:t>s</w:t>
      </w:r>
      <w:r>
        <w:t xml:space="preserve">tado en </w:t>
      </w:r>
      <w:smartTag w:uri="urn:schemas-microsoft-com:office:smarttags" w:element="PersonName">
        <w:smartTagPr>
          <w:attr w:name="ProductID" w:val="la Brigada"/>
        </w:smartTagPr>
        <w:r>
          <w:t>la Brigada</w:t>
        </w:r>
      </w:smartTag>
      <w:r>
        <w:t xml:space="preserve"> de Lanús y fueron trasladados el 5 de mayo de </w:t>
      </w:r>
      <w:smartTag w:uri="urn:schemas-microsoft-com:office:smarttags" w:element="metricconverter">
        <w:smartTagPr>
          <w:attr w:name="ProductID" w:val="1993 a"/>
        </w:smartTagPr>
        <w:r>
          <w:t>1993 a</w:t>
        </w:r>
      </w:smartTag>
      <w:r>
        <w:t xml:space="preserve"> </w:t>
      </w:r>
      <w:smartTag w:uri="urn:schemas-microsoft-com:office:smarttags" w:element="PersonName">
        <w:smartTagPr>
          <w:attr w:name="ProductID" w:val="la Brigada"/>
        </w:smartTagPr>
        <w:r>
          <w:t>la Brigada</w:t>
        </w:r>
      </w:smartTag>
      <w:r>
        <w:t xml:space="preserve"> de Mercedes. Los tres, junto con el comisario inspector Simboli, fueron a </w:t>
      </w:r>
      <w:smartTag w:uri="urn:schemas-microsoft-com:office:smarttags" w:element="PersonName">
        <w:smartTagPr>
          <w:attr w:name="ProductID" w:val="la Brigada"/>
        </w:smartTagPr>
        <w:r>
          <w:t>la Brigada</w:t>
        </w:r>
      </w:smartTag>
      <w:r>
        <w:t xml:space="preserve"> de L</w:t>
      </w:r>
      <w:r>
        <w:t>u</w:t>
      </w:r>
      <w:r>
        <w:t xml:space="preserve">jan y de ahí a </w:t>
      </w:r>
      <w:smartTag w:uri="urn:schemas-microsoft-com:office:smarttags" w:element="PersonName">
        <w:smartTagPr>
          <w:attr w:name="ProductID" w:val="la Brigada"/>
        </w:smartTagPr>
        <w:r>
          <w:t>la Brigada</w:t>
        </w:r>
      </w:smartTag>
      <w:r>
        <w:t xml:space="preserve"> de Almira</w:t>
      </w:r>
      <w:r>
        <w:t>n</w:t>
      </w:r>
      <w:r>
        <w:t>te Brown.</w:t>
      </w:r>
    </w:p>
    <w:p w:rsidR="00224567" w:rsidRDefault="00224567">
      <w:pPr>
        <w:widowControl w:val="0"/>
        <w:tabs>
          <w:tab w:val="left" w:pos="2835"/>
        </w:tabs>
      </w:pPr>
      <w:r>
        <w:tab/>
        <w:t>Con el ex comisario Salguero tuvo tr</w:t>
      </w:r>
      <w:r>
        <w:t>a</w:t>
      </w:r>
      <w:r>
        <w:t>to a raíz de operativos en conjunto realizados en 1995 vinculados a un secuestro extorsivo. No recordó quién era Juan Carlos Negrón ni el comisario retirado Córdoba, de quien sólo sabe que estuvo en la brigada. Conoce al com</w:t>
      </w:r>
      <w:r>
        <w:t>i</w:t>
      </w:r>
      <w:r>
        <w:t>sario Carlos Antonio Calabró, director de investigaciones donde él estuvo. A Félix Alberto Sosa no lo conoce, como tampoco a Jaime Stiuso o Stiler. Conoce al comisario Gar</w:t>
      </w:r>
      <w:r>
        <w:t>e</w:t>
      </w:r>
      <w:r>
        <w:t xml:space="preserve">lo, jefe suyo en </w:t>
      </w:r>
      <w:smartTag w:uri="urn:schemas-microsoft-com:office:smarttags" w:element="PersonName">
        <w:smartTagPr>
          <w:attr w:name="ProductID" w:val="la Divisi￳n Sustracci￳n"/>
        </w:smartTagPr>
        <w:r>
          <w:t>la División Su</w:t>
        </w:r>
        <w:r>
          <w:t>s</w:t>
        </w:r>
        <w:r>
          <w:t>tracción</w:t>
        </w:r>
      </w:smartTag>
      <w:r>
        <w:t xml:space="preserve"> de Automotores de Vicente López en el año 1992, al comisario José Aurelio Ferrari y al comisario Naldi porque fue jefe suyo en Su</w:t>
      </w:r>
      <w:r>
        <w:t>s</w:t>
      </w:r>
      <w:r>
        <w:t>tracción de Automotores. A Jorge Hugo Bianchi no lo con</w:t>
      </w:r>
      <w:r>
        <w:t>o</w:t>
      </w:r>
      <w:r>
        <w:t>ce.</w:t>
      </w:r>
    </w:p>
    <w:p w:rsidR="00224567" w:rsidRDefault="00224567">
      <w:pPr>
        <w:widowControl w:val="0"/>
        <w:tabs>
          <w:tab w:val="left" w:pos="2835"/>
        </w:tabs>
      </w:pPr>
      <w:r>
        <w:tab/>
        <w:t xml:space="preserve">Su jefe en </w:t>
      </w:r>
      <w:smartTag w:uri="urn:schemas-microsoft-com:office:smarttags" w:element="PersonName">
        <w:smartTagPr>
          <w:attr w:name="ProductID" w:val="la Brigada"/>
        </w:smartTagPr>
        <w:r>
          <w:t>la Brigada</w:t>
        </w:r>
      </w:smartTag>
      <w:r>
        <w:t xml:space="preserve"> de Investigaci</w:t>
      </w:r>
      <w:r>
        <w:t>o</w:t>
      </w:r>
      <w:r>
        <w:t>nes de Almirante Brown fue el comisario inspe</w:t>
      </w:r>
      <w:r>
        <w:t>c</w:t>
      </w:r>
      <w:r>
        <w:t xml:space="preserve">tor Pallero. No prestó servicios en </w:t>
      </w:r>
      <w:smartTag w:uri="urn:schemas-microsoft-com:office:smarttags" w:element="PersonName">
        <w:smartTagPr>
          <w:attr w:name="ProductID" w:val="la Brigada"/>
        </w:smartTagPr>
        <w:r>
          <w:t>la Brigada</w:t>
        </w:r>
      </w:smartTag>
      <w:r>
        <w:t xml:space="preserve"> de General Sarmiento, tampoco en la de Quilmes. A Maisú y a Mantel los conoce porque son de un año anterior a su curso, son promoción cuarenta y uno, y él cuarenta y dos. Agregó que las prom</w:t>
      </w:r>
      <w:r>
        <w:t>o</w:t>
      </w:r>
      <w:r>
        <w:t>ciones a veces se conocen y a veces con el transcurso del tiempo también por los distintos destinos que pueden ll</w:t>
      </w:r>
      <w:r>
        <w:t>e</w:t>
      </w:r>
      <w:r>
        <w:t>gar a tener. Toda su carrera no fue en investigaciones, sino que empezó en 1989.</w:t>
      </w:r>
    </w:p>
    <w:p w:rsidR="00224567" w:rsidRDefault="00224567">
      <w:pPr>
        <w:widowControl w:val="0"/>
        <w:tabs>
          <w:tab w:val="left" w:pos="2835"/>
        </w:tabs>
      </w:pPr>
      <w:r>
        <w:tab/>
        <w:t>Con el oficial Daniel Rago, hermano del procesado Rago, se conocen porque es de la misma pr</w:t>
      </w:r>
      <w:r>
        <w:t>o</w:t>
      </w:r>
      <w:r>
        <w:t xml:space="preserve">moción de </w:t>
      </w:r>
      <w:smartTag w:uri="urn:schemas-microsoft-com:office:smarttags" w:element="PersonName">
        <w:smartTagPr>
          <w:attr w:name="ProductID" w:val="la Escuela"/>
        </w:smartTagPr>
        <w:r>
          <w:t>la Escuela</w:t>
        </w:r>
      </w:smartTag>
      <w:r>
        <w:t xml:space="preserve"> de Policía, pero de diferente comp</w:t>
      </w:r>
      <w:r>
        <w:t>a</w:t>
      </w:r>
      <w:r>
        <w:t>ñía; mas no supo si tuvo relación con el imputado Ribelli.</w:t>
      </w:r>
    </w:p>
    <w:p w:rsidR="00224567" w:rsidRDefault="00224567">
      <w:pPr>
        <w:widowControl w:val="0"/>
        <w:tabs>
          <w:tab w:val="left" w:pos="2835"/>
        </w:tabs>
      </w:pPr>
      <w:r>
        <w:tab/>
        <w:t xml:space="preserve">A Manuel Enrique García lo tuvo en el grupo operativo, entre 1992 y 1993, en </w:t>
      </w:r>
      <w:smartTag w:uri="urn:schemas-microsoft-com:office:smarttags" w:element="PersonName">
        <w:smartTagPr>
          <w:attr w:name="ProductID" w:val="la Brigada"/>
        </w:smartTagPr>
        <w:r>
          <w:t>la Brigada</w:t>
        </w:r>
      </w:smartTag>
      <w:r>
        <w:t xml:space="preserve"> de L</w:t>
      </w:r>
      <w:r>
        <w:t>a</w:t>
      </w:r>
      <w:r>
        <w:t>nús. Reiteró que fue trasladado a esa brigada en dicie</w:t>
      </w:r>
      <w:r>
        <w:t>m</w:t>
      </w:r>
      <w:r>
        <w:t>bre de 1992 y el 5 de mayo del 1993 se fue a Mercedes, mie</w:t>
      </w:r>
      <w:r>
        <w:t>n</w:t>
      </w:r>
      <w:r>
        <w:t>tras que Manuel García fue a una brigada o a una depende</w:t>
      </w:r>
      <w:r>
        <w:t>n</w:t>
      </w:r>
      <w:r>
        <w:t>cia en la co</w:t>
      </w:r>
      <w:r>
        <w:t>s</w:t>
      </w:r>
      <w:r>
        <w:t>ta.</w:t>
      </w:r>
    </w:p>
    <w:p w:rsidR="00224567" w:rsidRDefault="00224567">
      <w:pPr>
        <w:widowControl w:val="0"/>
        <w:tabs>
          <w:tab w:val="left" w:pos="2835"/>
        </w:tabs>
      </w:pPr>
      <w:r>
        <w:tab/>
        <w:t xml:space="preserve">Desconocía el edificio de </w:t>
      </w:r>
      <w:smartTag w:uri="urn:schemas-microsoft-com:office:smarttags" w:element="PersonName">
        <w:smartTagPr>
          <w:attr w:name="ProductID" w:val="la A.M"/>
        </w:smartTagPr>
        <w:r>
          <w:t>la A.M</w:t>
        </w:r>
      </w:smartTag>
      <w:r>
        <w:t>.I.A. y supo por los m</w:t>
      </w:r>
      <w:r>
        <w:t>e</w:t>
      </w:r>
      <w:r>
        <w:t>dios periodísticos de la explosión y las víctimas.</w:t>
      </w:r>
    </w:p>
    <w:p w:rsidR="00224567" w:rsidRDefault="00224567">
      <w:pPr>
        <w:widowControl w:val="0"/>
        <w:tabs>
          <w:tab w:val="left" w:pos="2835"/>
        </w:tabs>
      </w:pPr>
      <w:r>
        <w:tab/>
        <w:t>Dijo que se enteró que el vehíc</w:t>
      </w:r>
      <w:r>
        <w:t>u</w:t>
      </w:r>
      <w:r>
        <w:t xml:space="preserve">lo que estalló en </w:t>
      </w:r>
      <w:smartTag w:uri="urn:schemas-microsoft-com:office:smarttags" w:element="PersonName">
        <w:smartTagPr>
          <w:attr w:name="ProductID" w:val="la A.M"/>
        </w:smartTagPr>
        <w:r>
          <w:t>la A.M</w:t>
        </w:r>
      </w:smartTag>
      <w:r>
        <w:t>.I.A había pasado por las manos de T</w:t>
      </w:r>
      <w:r>
        <w:t>e</w:t>
      </w:r>
      <w:r>
        <w:t xml:space="preserve">lleldín después de estar detenido. </w:t>
      </w:r>
    </w:p>
    <w:p w:rsidR="00224567" w:rsidRDefault="00224567">
      <w:pPr>
        <w:widowControl w:val="0"/>
        <w:tabs>
          <w:tab w:val="left" w:pos="2835"/>
        </w:tabs>
      </w:pPr>
      <w:r>
        <w:tab/>
        <w:t>Expresó que a raíz de estar detenido en esta causa se vio en la obligación de emp</w:t>
      </w:r>
      <w:r>
        <w:t>e</w:t>
      </w:r>
      <w:r>
        <w:t xml:space="preserve">zar a ver, a leer lo que había pasado en </w:t>
      </w:r>
      <w:smartTag w:uri="urn:schemas-microsoft-com:office:smarttags" w:element="PersonName">
        <w:smartTagPr>
          <w:attr w:name="ProductID" w:val="la A.M"/>
        </w:smartTagPr>
        <w:r>
          <w:t>la A.M</w:t>
        </w:r>
      </w:smartTag>
      <w:r>
        <w:t>.I.A.. Al principio no tenía toda la causa, solamente podía extraer fotoc</w:t>
      </w:r>
      <w:r>
        <w:t>o</w:t>
      </w:r>
      <w:r>
        <w:t>pias de unas declaraciones principales, como la de Telleldín, y analizó cada una de las declaraciones de é</w:t>
      </w:r>
      <w:r>
        <w:t>s</w:t>
      </w:r>
      <w:r>
        <w:t>te. No sabe el motivo por el cual, en su momento, imp</w:t>
      </w:r>
      <w:r>
        <w:t>u</w:t>
      </w:r>
      <w:r>
        <w:t>tó a dos brigadas. Por ello quería buscar las razones de tal actuar. Cuando comenzó a leer sus declaraciones pudo adve</w:t>
      </w:r>
      <w:r>
        <w:t>r</w:t>
      </w:r>
      <w:r>
        <w:t>tir que en las tres primeras explicó claramente como había vendido la c</w:t>
      </w:r>
      <w:r>
        <w:t>a</w:t>
      </w:r>
      <w:r>
        <w:t>mioneta Trafic a una persona, Ramón Martínez, en la suma de USD 11.500. Telleldín explicó concretamente toda la operación e incluso cómo gastó ese dinero. Él mismo colocó como testigo de ello a una serie de personas de su e</w:t>
      </w:r>
      <w:r>
        <w:t>n</w:t>
      </w:r>
      <w:r>
        <w:t>torno, principa</w:t>
      </w:r>
      <w:r>
        <w:t>l</w:t>
      </w:r>
      <w:r>
        <w:t>mente a su mujer Ana María Boragni, quien fue muy espontánea y brindó datos concretos sobre la op</w:t>
      </w:r>
      <w:r>
        <w:t>e</w:t>
      </w:r>
      <w:r>
        <w:t>ración. Ella dijo que contó y revisó el dinero, y uno de los billetes era más viejo que el resto, que eran billetes nuevos aparentemente. Después apareció el señor Hugo Ant</w:t>
      </w:r>
      <w:r>
        <w:t>o</w:t>
      </w:r>
      <w:r>
        <w:t>nio Pérez diciendo que por come</w:t>
      </w:r>
      <w:r>
        <w:t>n</w:t>
      </w:r>
      <w:r>
        <w:t>tarios de Telleldín y Ana Boragni se enteró que había vendido la camioneta. Señaló Leal que esas personas son te</w:t>
      </w:r>
      <w:r>
        <w:t>s</w:t>
      </w:r>
      <w:r>
        <w:t>tigos que avalan la venta de la c</w:t>
      </w:r>
      <w:r>
        <w:t>a</w:t>
      </w:r>
      <w:r>
        <w:t>mioneta Trafic.</w:t>
      </w:r>
    </w:p>
    <w:p w:rsidR="00224567" w:rsidRDefault="00224567">
      <w:pPr>
        <w:widowControl w:val="0"/>
        <w:tabs>
          <w:tab w:val="left" w:pos="2835"/>
        </w:tabs>
      </w:pPr>
      <w:r>
        <w:tab/>
        <w:t xml:space="preserve">No sólo eso, agregó, sino que después se efectuó una investigación con los datos que aportara acerca de cómo había gastado el dinero. Telleldín afirmó que parte del dinero se lo entregó, como pago parcial, a la “Inmobiliaria Richter”. En esta inmobiliaria alquilaba la casa de República y pagaba mil trescientos cincuenta pesos de alquiler. Ello que fue confirmado por </w:t>
      </w:r>
      <w:smartTag w:uri="urn:schemas-microsoft-com:office:smarttags" w:element="PersonName">
        <w:smartTagPr>
          <w:attr w:name="ProductID" w:val="la Polic￭a Federal"/>
        </w:smartTagPr>
        <w:r>
          <w:t>la Policía Fed</w:t>
        </w:r>
        <w:r>
          <w:t>e</w:t>
        </w:r>
        <w:r>
          <w:t>ral</w:t>
        </w:r>
      </w:smartTag>
      <w:r>
        <w:t xml:space="preserve"> que realizó la averiguación por medio del oficial Prado, que entrevistó a la señora Richter que confirmó h</w:t>
      </w:r>
      <w:r>
        <w:t>a</w:t>
      </w:r>
      <w:r>
        <w:t>ber recib</w:t>
      </w:r>
      <w:r>
        <w:t>i</w:t>
      </w:r>
      <w:r>
        <w:t xml:space="preserve">do el pago. </w:t>
      </w:r>
    </w:p>
    <w:p w:rsidR="00224567" w:rsidRDefault="00224567">
      <w:pPr>
        <w:widowControl w:val="0"/>
        <w:tabs>
          <w:tab w:val="left" w:pos="2835"/>
        </w:tabs>
      </w:pPr>
      <w:r>
        <w:tab/>
        <w:t>A su vez, continuó argumentando Leal, Telleldín también mencionó que parte de ese dinero de la venta de la camioneta lo gastó en la “Inmobiliaria La</w:t>
      </w:r>
      <w:r>
        <w:t>u</w:t>
      </w:r>
      <w:r>
        <w:t>ría”. El mismo oficial de Policía concurrió a esa inmob</w:t>
      </w:r>
      <w:r>
        <w:t>i</w:t>
      </w:r>
      <w:r>
        <w:t>liaria en la localidad de Lomas del Mirador y efectivame</w:t>
      </w:r>
      <w:r>
        <w:t>n</w:t>
      </w:r>
      <w:r>
        <w:t>te corroboró el gasto de dicho dinero. Incluso trajo el recibo 1420 de ese comercio. Lauría después declaró que efectivamente recibió dicho dinero y que tuvo que devo</w:t>
      </w:r>
      <w:r>
        <w:t>l</w:t>
      </w:r>
      <w:r>
        <w:t>verle una parte porque el contrato no se llegó a firmar debido a que Telleldín estaba deten</w:t>
      </w:r>
      <w:r>
        <w:t>i</w:t>
      </w:r>
      <w:r>
        <w:t>do.</w:t>
      </w:r>
    </w:p>
    <w:p w:rsidR="00224567" w:rsidRDefault="00224567">
      <w:pPr>
        <w:widowControl w:val="0"/>
        <w:tabs>
          <w:tab w:val="left" w:pos="2835"/>
        </w:tabs>
      </w:pPr>
      <w:r>
        <w:tab/>
        <w:t>También dentro de las personas que atestiguan sobre el gasto del dinero está uno de los pr</w:t>
      </w:r>
      <w:r>
        <w:t>o</w:t>
      </w:r>
      <w:r>
        <w:t>cesados, Nitzcaner. Este afirmó que el 11 de julio conc</w:t>
      </w:r>
      <w:r>
        <w:t>u</w:t>
      </w:r>
      <w:r>
        <w:t xml:space="preserve">rrió a la casa de Telleldín a cobrar el dinero que éste le había quedado debiendo por el tema del arreglo de </w:t>
      </w:r>
      <w:smartTag w:uri="urn:schemas-microsoft-com:office:smarttags" w:element="PersonName">
        <w:smartTagPr>
          <w:attr w:name="ProductID" w:val="la Trafic"/>
        </w:smartTagPr>
        <w:r>
          <w:t>la Tr</w:t>
        </w:r>
        <w:r>
          <w:t>a</w:t>
        </w:r>
        <w:r>
          <w:t>fic</w:t>
        </w:r>
      </w:smartTag>
      <w:r>
        <w:t xml:space="preserve"> que, según Leal, eran $ 200.</w:t>
      </w:r>
    </w:p>
    <w:p w:rsidR="00224567" w:rsidRDefault="00224567">
      <w:pPr>
        <w:widowControl w:val="0"/>
        <w:tabs>
          <w:tab w:val="left" w:pos="2835"/>
        </w:tabs>
      </w:pPr>
      <w:r>
        <w:tab/>
        <w:t>A ello hay que adunar lo dicho por el testigo Schiavone, en el sentido que concurrió a la casa de Telleldín el 15 de julio y, por comentarios de Ana B</w:t>
      </w:r>
      <w:r>
        <w:t>o</w:t>
      </w:r>
      <w:r>
        <w:t>ragni, se enteró que aquél había vendido la c</w:t>
      </w:r>
      <w:r>
        <w:t>a</w:t>
      </w:r>
      <w:r>
        <w:t xml:space="preserve">mioneta. </w:t>
      </w:r>
    </w:p>
    <w:p w:rsidR="00224567" w:rsidRDefault="00224567">
      <w:pPr>
        <w:widowControl w:val="0"/>
        <w:tabs>
          <w:tab w:val="left" w:pos="2835"/>
        </w:tabs>
      </w:pPr>
      <w:r>
        <w:tab/>
        <w:t>Por su parte, Bottegal dijo que tres días antes del atentado, el 15 de julio, se e</w:t>
      </w:r>
      <w:r>
        <w:t>n</w:t>
      </w:r>
      <w:r>
        <w:t>trevistó con Telleldín y éste le comentó que había vendido la camioneta y que había cobrado.</w:t>
      </w:r>
    </w:p>
    <w:p w:rsidR="00224567" w:rsidRDefault="00224567">
      <w:pPr>
        <w:widowControl w:val="0"/>
        <w:tabs>
          <w:tab w:val="left" w:pos="2835"/>
        </w:tabs>
      </w:pPr>
      <w:r>
        <w:tab/>
        <w:t xml:space="preserve">Entonces, argumentó Leal, si existen todas estas personas que avalan la venta de </w:t>
      </w:r>
      <w:smartTag w:uri="urn:schemas-microsoft-com:office:smarttags" w:element="PersonName">
        <w:smartTagPr>
          <w:attr w:name="ProductID" w:val="la Trafic"/>
        </w:smartTagPr>
        <w:r>
          <w:t>la Trafic</w:t>
        </w:r>
      </w:smartTag>
      <w:r>
        <w:t>, c</w:t>
      </w:r>
      <w:r>
        <w:t>ó</w:t>
      </w:r>
      <w:r>
        <w:t>mo puede ser que le hayan creído lo declarado el 5 de j</w:t>
      </w:r>
      <w:r>
        <w:t>u</w:t>
      </w:r>
      <w:r>
        <w:t>lio de 1996, que es mentira.</w:t>
      </w:r>
    </w:p>
    <w:p w:rsidR="00224567" w:rsidRDefault="00224567">
      <w:pPr>
        <w:widowControl w:val="0"/>
        <w:tabs>
          <w:tab w:val="left" w:pos="2835"/>
        </w:tabs>
      </w:pPr>
      <w:r>
        <w:tab/>
        <w:t>A eso debe sumarse –a su ente</w:t>
      </w:r>
      <w:r>
        <w:t>n</w:t>
      </w:r>
      <w:r>
        <w:t>der- el tema del video, en donde Telleldín está n</w:t>
      </w:r>
      <w:r>
        <w:t>e</w:t>
      </w:r>
      <w:r>
        <w:t>gociando con el juez Galeano como si fueran dos he</w:t>
      </w:r>
      <w:r>
        <w:t>r</w:t>
      </w:r>
      <w:r>
        <w:t>manos, en donde éste le muestra una hoja y le dice que le conteste por si o por no. ¿Estamos en presencia de la justicia o en presencia del negociante?, se preguntó Leal.</w:t>
      </w:r>
    </w:p>
    <w:p w:rsidR="00224567" w:rsidRDefault="00224567">
      <w:pPr>
        <w:widowControl w:val="0"/>
        <w:tabs>
          <w:tab w:val="left" w:pos="2835"/>
        </w:tabs>
      </w:pPr>
      <w:r>
        <w:tab/>
        <w:t xml:space="preserve">Si Telleldín empezó el negociado con </w:t>
      </w:r>
      <w:smartTag w:uri="urn:schemas-microsoft-com:office:smarttags" w:element="PersonName">
        <w:smartTagPr>
          <w:attr w:name="ProductID" w:val="la Dra. Riva"/>
        </w:smartTagPr>
        <w:r>
          <w:t>la Dra. Riva</w:t>
        </w:r>
      </w:smartTag>
      <w:r>
        <w:t xml:space="preserve"> Aramayo el 15 de agosto de </w:t>
      </w:r>
      <w:smartTag w:uri="urn:schemas-microsoft-com:office:smarttags" w:element="metricconverter">
        <w:smartTagPr>
          <w:attr w:name="ProductID" w:val="1995, a"/>
        </w:smartTagPr>
        <w:r>
          <w:t>1995, a</w:t>
        </w:r>
      </w:smartTag>
      <w:r>
        <w:t xml:space="preserve"> pedido del Dr. Stinfale, y le refirió que iba a colaborar con la i</w:t>
      </w:r>
      <w:r>
        <w:t>n</w:t>
      </w:r>
      <w:r>
        <w:t>vestigación bajo ciertas prestaciones, se preguntó Leal cuáles fueron las prestaciones, si no habrían consistido en la suma de USD 400.000.</w:t>
      </w:r>
    </w:p>
    <w:p w:rsidR="00224567" w:rsidRDefault="00224567">
      <w:pPr>
        <w:widowControl w:val="0"/>
        <w:tabs>
          <w:tab w:val="left" w:pos="2835"/>
        </w:tabs>
      </w:pPr>
      <w:r>
        <w:tab/>
        <w:t>Sostuvo Leal que Telleldín debe expl</w:t>
      </w:r>
      <w:r>
        <w:t>i</w:t>
      </w:r>
      <w:r>
        <w:t>car cuáles fueron las prestaciones, qué significa ese d</w:t>
      </w:r>
      <w:r>
        <w:t>i</w:t>
      </w:r>
      <w:r>
        <w:t>nero y otras cosas más dentro del video. Si se tiene en cuenta que Telleldín le está imputando que se llevó la c</w:t>
      </w:r>
      <w:r>
        <w:t>a</w:t>
      </w:r>
      <w:r>
        <w:t>mioneta Trafic o que el presunto “Pino” retiró la camion</w:t>
      </w:r>
      <w:r>
        <w:t>e</w:t>
      </w:r>
      <w:r>
        <w:t xml:space="preserve">ta, y le señaló a </w:t>
      </w:r>
      <w:smartTag w:uri="urn:schemas-microsoft-com:office:smarttags" w:element="PersonName">
        <w:smartTagPr>
          <w:attr w:name="ProductID" w:val="la Dra. Riva"/>
        </w:smartTagPr>
        <w:r>
          <w:t>la Dra. Riva</w:t>
        </w:r>
      </w:smartTag>
      <w:r>
        <w:t xml:space="preserve"> Aramayo que ese “Pino” t</w:t>
      </w:r>
      <w:r>
        <w:t>e</w:t>
      </w:r>
      <w:r>
        <w:t>nía bigotes, era delgado y de contextura robusta, se va a ver que no se corresponde con sus datos fisonómicos.</w:t>
      </w:r>
    </w:p>
    <w:p w:rsidR="00224567" w:rsidRDefault="00224567">
      <w:pPr>
        <w:widowControl w:val="0"/>
        <w:tabs>
          <w:tab w:val="left" w:pos="2835"/>
        </w:tabs>
      </w:pPr>
      <w:r>
        <w:tab/>
        <w:t>Para demostrar ello, Leal aportó unas fotografías suyas de 1989, 1994 y 1995, en las cuales, s</w:t>
      </w:r>
      <w:r>
        <w:t>e</w:t>
      </w:r>
      <w:r>
        <w:t>gún señaló, se puede observar que nunca utilizó bigotes. Además, Telleldín describió a una persona delgada, pero él es petiso, y gordito, de tez trigueña y no de tez morocha como lo describe. Concluye entonces en que se está ref</w:t>
      </w:r>
      <w:r>
        <w:t>i</w:t>
      </w:r>
      <w:r>
        <w:t>riendo a otro “Pino” o a otra persona.</w:t>
      </w:r>
    </w:p>
    <w:p w:rsidR="00224567" w:rsidRDefault="00224567">
      <w:pPr>
        <w:widowControl w:val="0"/>
        <w:tabs>
          <w:tab w:val="left" w:pos="2835"/>
        </w:tabs>
      </w:pPr>
      <w:r>
        <w:tab/>
        <w:t>Afirmó Leal que el señor juez instru</w:t>
      </w:r>
      <w:r>
        <w:t>c</w:t>
      </w:r>
      <w:r>
        <w:t>tor debería haberlo investigado desde el primer m</w:t>
      </w:r>
      <w:r>
        <w:t>o</w:t>
      </w:r>
      <w:r>
        <w:t xml:space="preserve">mento, a partir de que Telleldín habló con </w:t>
      </w:r>
      <w:smartTag w:uri="urn:schemas-microsoft-com:office:smarttags" w:element="PersonName">
        <w:smartTagPr>
          <w:attr w:name="ProductID" w:val="la Dra. Riva"/>
        </w:smartTagPr>
        <w:r>
          <w:t>la Dra. Riva</w:t>
        </w:r>
      </w:smartTag>
      <w:r>
        <w:t xml:space="preserve"> Aramayo, para ver si los datos fisonómicos que aportaba correspo</w:t>
      </w:r>
      <w:r>
        <w:t>n</w:t>
      </w:r>
      <w:r>
        <w:t>dían a su persona. Pero ni siquiera lo siguieron, ni le sacaron fotos, ni lo filmaron para saber si realmente e</w:t>
      </w:r>
      <w:r>
        <w:t>s</w:t>
      </w:r>
      <w:r>
        <w:t>taba hablando de la misma persona, no le intervinieron el tel</w:t>
      </w:r>
      <w:r>
        <w:t>é</w:t>
      </w:r>
      <w:r>
        <w:t>fono de su casa o su Movicom; nadie lo hizo, concluyó L</w:t>
      </w:r>
      <w:r>
        <w:t>e</w:t>
      </w:r>
      <w:r>
        <w:t>al.</w:t>
      </w:r>
    </w:p>
    <w:p w:rsidR="00224567" w:rsidRDefault="00224567">
      <w:pPr>
        <w:widowControl w:val="0"/>
        <w:tabs>
          <w:tab w:val="left" w:pos="2835"/>
        </w:tabs>
      </w:pPr>
      <w:r>
        <w:tab/>
        <w:t xml:space="preserve">Además, dijo, en diciembre de 1995, antes que declarara Telleldín, en el diario “Página </w:t>
      </w:r>
      <w:smartTag w:uri="urn:schemas-microsoft-com:office:smarttags" w:element="metricconverter">
        <w:smartTagPr>
          <w:attr w:name="ProductID" w:val="12”"/>
        </w:smartTagPr>
        <w:r>
          <w:t>12”</w:t>
        </w:r>
      </w:smartTag>
      <w:r>
        <w:t xml:space="preserve"> ya se publicaba que la camioneta Trafic se la habían dado a un subcomisario “Pino” o Irineo Leal. Cuando vio esto, en el acto, a través del Dr. Pascual, que le fu</w:t>
      </w:r>
      <w:r>
        <w:t>e</w:t>
      </w:r>
      <w:r>
        <w:t>ra presentado por su amiga Alicia Echetba, se puso a disposición del Dr. Galeano, quien contestó que su presentación era improc</w:t>
      </w:r>
      <w:r>
        <w:t>e</w:t>
      </w:r>
      <w:r>
        <w:t>dente. A raíz de que para él la contestación no fue suf</w:t>
      </w:r>
      <w:r>
        <w:t>i</w:t>
      </w:r>
      <w:r>
        <w:t>ciente, se puso nuevamente a disposición del magi</w:t>
      </w:r>
      <w:r>
        <w:t>s</w:t>
      </w:r>
      <w:r>
        <w:t>trado y éste le dijo que no era persona investigada. Todo eso f</w:t>
      </w:r>
      <w:r>
        <w:t>i</w:t>
      </w:r>
      <w:r>
        <w:t>gura en la causa nº 1156 y cree que hay un incidente que está firmado por el fiscal doctor Montenegro, quien en su momento no t</w:t>
      </w:r>
      <w:r>
        <w:t>e</w:t>
      </w:r>
      <w:r>
        <w:t>nía ningún tipo de problema con respecto a su presentación en el expediente. Resaltó que estuvo a disp</w:t>
      </w:r>
      <w:r>
        <w:t>o</w:t>
      </w:r>
      <w:r>
        <w:t>sición de la justicia y nadie, hasta el momento de su d</w:t>
      </w:r>
      <w:r>
        <w:t>e</w:t>
      </w:r>
      <w:r>
        <w:t>tención, lo llamó.</w:t>
      </w:r>
    </w:p>
    <w:p w:rsidR="00224567" w:rsidRDefault="00224567">
      <w:pPr>
        <w:widowControl w:val="0"/>
        <w:tabs>
          <w:tab w:val="left" w:pos="2835"/>
        </w:tabs>
      </w:pPr>
      <w:r>
        <w:tab/>
        <w:t>Así se llegó hasta el año 1996; el 1º de julio Telleldín se entrevistó con el juez Galeano, ci</w:t>
      </w:r>
      <w:r>
        <w:t>r</w:t>
      </w:r>
      <w:r>
        <w:t>cunstancia que se conoce a través del famoso video. T</w:t>
      </w:r>
      <w:r>
        <w:t>e</w:t>
      </w:r>
      <w:r>
        <w:t>lleldín negoció con aquel magistrado sus detenciones deb</w:t>
      </w:r>
      <w:r>
        <w:t>i</w:t>
      </w:r>
      <w:r>
        <w:t>do a que los fiscales Mullen y Barbaccia habían p</w:t>
      </w:r>
      <w:r>
        <w:t>e</w:t>
      </w:r>
      <w:r>
        <w:t>dido el procesamiento y d</w:t>
      </w:r>
      <w:r>
        <w:t>e</w:t>
      </w:r>
      <w:r>
        <w:t>tención suya en la causa A.M.I.A., la de Ana María Boragni y la de Hugo A</w:t>
      </w:r>
      <w:r>
        <w:t>n</w:t>
      </w:r>
      <w:r>
        <w:t xml:space="preserve">tonio Pérez. </w:t>
      </w:r>
    </w:p>
    <w:p w:rsidR="00224567" w:rsidRDefault="00224567">
      <w:pPr>
        <w:widowControl w:val="0"/>
        <w:tabs>
          <w:tab w:val="left" w:pos="2835"/>
        </w:tabs>
        <w:rPr>
          <w:lang w:val="es-ES_tradnl"/>
        </w:rPr>
      </w:pPr>
      <w:r>
        <w:tab/>
        <w:t>Aparentemente, señaló Leal, se llegó al acuerdo o negociado jurídico y Ana Boragni está en su casa, Hugo Antonio Pérez está en libertad y la investig</w:t>
      </w:r>
      <w:r>
        <w:t>a</w:t>
      </w:r>
      <w:r>
        <w:t xml:space="preserve">ción por el atentado a la sede de </w:t>
      </w:r>
      <w:smartTag w:uri="urn:schemas-microsoft-com:office:smarttags" w:element="PersonName">
        <w:smartTagPr>
          <w:attr w:name="ProductID" w:val="la A.M"/>
        </w:smartTagPr>
        <w:r>
          <w:t>la A.M</w:t>
        </w:r>
      </w:smartTag>
      <w:r>
        <w:t>.I.A. quedó en a</w:t>
      </w:r>
      <w:r>
        <w:t>l</w:t>
      </w:r>
      <w:r>
        <w:t>gún lado, se olvidaron dos años de investigaciones, dos años en lo cual se invirtió gran cantidad de dinero del Estado argentino y quedó todo en la n</w:t>
      </w:r>
      <w:r>
        <w:t>a</w:t>
      </w:r>
      <w:r>
        <w:t>da</w:t>
      </w:r>
      <w:r>
        <w:rPr>
          <w:lang w:val="es-ES_tradnl"/>
        </w:rPr>
        <w:t>.</w:t>
      </w:r>
    </w:p>
    <w:p w:rsidR="00224567" w:rsidRDefault="00224567">
      <w:pPr>
        <w:widowControl w:val="0"/>
        <w:tabs>
          <w:tab w:val="left" w:pos="2835"/>
        </w:tabs>
        <w:rPr>
          <w:lang w:val="es-ES_tradnl"/>
        </w:rPr>
      </w:pPr>
      <w:r>
        <w:rPr>
          <w:lang w:val="es-ES_tradnl"/>
        </w:rPr>
        <w:tab/>
      </w:r>
      <w:r>
        <w:rPr>
          <w:lang w:val="es-AR"/>
        </w:rPr>
        <w:t>Prosiguiendo con su relato, exp</w:t>
      </w:r>
      <w:r>
        <w:rPr>
          <w:lang w:val="es-AR"/>
        </w:rPr>
        <w:t>u</w:t>
      </w:r>
      <w:r>
        <w:rPr>
          <w:lang w:val="es-AR"/>
        </w:rPr>
        <w:t>so que Telleldín hizo o intentó efectuar el negociado con Gale</w:t>
      </w:r>
      <w:r>
        <w:rPr>
          <w:lang w:val="es-AR"/>
        </w:rPr>
        <w:t>a</w:t>
      </w:r>
      <w:r>
        <w:rPr>
          <w:lang w:val="es-AR"/>
        </w:rPr>
        <w:t>no para que no detengan a Ana María Boragni, quien había d</w:t>
      </w:r>
      <w:r>
        <w:rPr>
          <w:lang w:val="es-AR"/>
        </w:rPr>
        <w:t>e</w:t>
      </w:r>
      <w:r>
        <w:rPr>
          <w:lang w:val="es-AR"/>
        </w:rPr>
        <w:t xml:space="preserve">clarado que era testigo de la venta de </w:t>
      </w:r>
      <w:smartTag w:uri="urn:schemas-microsoft-com:office:smarttags" w:element="PersonName">
        <w:smartTagPr>
          <w:attr w:name="ProductID" w:val="la Trafic"/>
        </w:smartTagPr>
        <w:r>
          <w:rPr>
            <w:lang w:val="es-AR"/>
          </w:rPr>
          <w:t>la Trafic</w:t>
        </w:r>
      </w:smartTag>
      <w:r>
        <w:rPr>
          <w:lang w:val="es-AR"/>
        </w:rPr>
        <w:t>, ni a H</w:t>
      </w:r>
      <w:r>
        <w:rPr>
          <w:lang w:val="es-AR"/>
        </w:rPr>
        <w:t>u</w:t>
      </w:r>
      <w:r>
        <w:rPr>
          <w:lang w:val="es-AR"/>
        </w:rPr>
        <w:t>go Pérez, que es la persona que ha estado siempre al l</w:t>
      </w:r>
      <w:r>
        <w:rPr>
          <w:lang w:val="es-AR"/>
        </w:rPr>
        <w:t>a</w:t>
      </w:r>
      <w:r>
        <w:rPr>
          <w:lang w:val="es-AR"/>
        </w:rPr>
        <w:t>do de Telleldín. Sabe que lo consiguió porque a cinco años del atentado la mujer no está detenida y Hugo Antonio P</w:t>
      </w:r>
      <w:r>
        <w:rPr>
          <w:lang w:val="es-AR"/>
        </w:rPr>
        <w:t>é</w:t>
      </w:r>
      <w:r>
        <w:rPr>
          <w:lang w:val="es-AR"/>
        </w:rPr>
        <w:t>rez tampoco. La declaración que Telleldín efectuó es me</w:t>
      </w:r>
      <w:r>
        <w:rPr>
          <w:lang w:val="es-AR"/>
        </w:rPr>
        <w:t>n</w:t>
      </w:r>
      <w:r>
        <w:rPr>
          <w:lang w:val="es-AR"/>
        </w:rPr>
        <w:t>tirosa en todos sus puntos. Estamos hablando, afirmó Leal, de una persona que es delincuente, pero no es un deli</w:t>
      </w:r>
      <w:r>
        <w:rPr>
          <w:lang w:val="es-AR"/>
        </w:rPr>
        <w:t>n</w:t>
      </w:r>
      <w:r>
        <w:rPr>
          <w:lang w:val="es-AR"/>
        </w:rPr>
        <w:t>cuente nato, sino un r</w:t>
      </w:r>
      <w:r>
        <w:rPr>
          <w:lang w:val="es-AR"/>
        </w:rPr>
        <w:t>a</w:t>
      </w:r>
      <w:r>
        <w:rPr>
          <w:lang w:val="es-AR"/>
        </w:rPr>
        <w:t>tero.</w:t>
      </w:r>
    </w:p>
    <w:p w:rsidR="00224567" w:rsidRDefault="00224567">
      <w:pPr>
        <w:widowControl w:val="0"/>
        <w:tabs>
          <w:tab w:val="left" w:pos="2835"/>
        </w:tabs>
        <w:rPr>
          <w:lang w:val="es-AR"/>
        </w:rPr>
      </w:pPr>
      <w:r>
        <w:rPr>
          <w:lang w:val="es-ES_tradnl"/>
        </w:rPr>
        <w:tab/>
      </w:r>
      <w:r>
        <w:rPr>
          <w:lang w:val="es-AR"/>
        </w:rPr>
        <w:t>Resaltó que hace cinco años que está detenido por las mentiras de Telleldín, que es una pe</w:t>
      </w:r>
      <w:r>
        <w:rPr>
          <w:lang w:val="es-AR"/>
        </w:rPr>
        <w:t>r</w:t>
      </w:r>
      <w:r>
        <w:rPr>
          <w:lang w:val="es-AR"/>
        </w:rPr>
        <w:t>sona que ha negociado su detención por USD 400.000. Añadió que hace cinco años que está solicitando careos. Expresó que le han mentido a todo el mundo.</w:t>
      </w:r>
    </w:p>
    <w:p w:rsidR="00224567" w:rsidRDefault="00224567">
      <w:pPr>
        <w:widowControl w:val="0"/>
        <w:tabs>
          <w:tab w:val="left" w:pos="2835"/>
        </w:tabs>
        <w:rPr>
          <w:lang w:val="es-AR"/>
        </w:rPr>
      </w:pPr>
      <w:r>
        <w:rPr>
          <w:lang w:val="es-AR"/>
        </w:rPr>
        <w:tab/>
        <w:t>Continuando con el detalle de eleme</w:t>
      </w:r>
      <w:r>
        <w:rPr>
          <w:lang w:val="es-AR"/>
        </w:rPr>
        <w:t>n</w:t>
      </w:r>
      <w:r>
        <w:rPr>
          <w:lang w:val="es-AR"/>
        </w:rPr>
        <w:t>tos de descargo, puso de relieve que el 28 de agosto de 2000, en un reportaje que le hace el señor Lejtman, T</w:t>
      </w:r>
      <w:r>
        <w:rPr>
          <w:lang w:val="es-AR"/>
        </w:rPr>
        <w:t>e</w:t>
      </w:r>
      <w:r>
        <w:rPr>
          <w:lang w:val="es-AR"/>
        </w:rPr>
        <w:t>lleldín manifestó que negoció con el doctor Galeano por USD 400.000; que el que estaba convencido que eran los culpables era el doctor Galeano, pero él no. Cuando el p</w:t>
      </w:r>
      <w:r>
        <w:rPr>
          <w:lang w:val="es-AR"/>
        </w:rPr>
        <w:t>e</w:t>
      </w:r>
      <w:r>
        <w:rPr>
          <w:lang w:val="es-AR"/>
        </w:rPr>
        <w:t>riodista le dijo: pero usted reconoció a los policías, T</w:t>
      </w:r>
      <w:r>
        <w:rPr>
          <w:lang w:val="es-AR"/>
        </w:rPr>
        <w:t>e</w:t>
      </w:r>
      <w:r>
        <w:rPr>
          <w:lang w:val="es-AR"/>
        </w:rPr>
        <w:t>lleldín respondió: si, me dijo el juez que los reconoci</w:t>
      </w:r>
      <w:r>
        <w:rPr>
          <w:lang w:val="es-AR"/>
        </w:rPr>
        <w:t>e</w:t>
      </w:r>
      <w:r>
        <w:rPr>
          <w:lang w:val="es-AR"/>
        </w:rPr>
        <w:t>ra. Y cuando le preguntó si lo conocía a Leal, alias “Pino”, expresó: no, ese es un subcomisario que me pers</w:t>
      </w:r>
      <w:r>
        <w:rPr>
          <w:lang w:val="es-AR"/>
        </w:rPr>
        <w:t>i</w:t>
      </w:r>
      <w:r>
        <w:rPr>
          <w:lang w:val="es-AR"/>
        </w:rPr>
        <w:t>guió el día 14 de julio.</w:t>
      </w:r>
    </w:p>
    <w:p w:rsidR="00224567" w:rsidRDefault="00224567">
      <w:pPr>
        <w:widowControl w:val="0"/>
        <w:tabs>
          <w:tab w:val="left" w:pos="2835"/>
        </w:tabs>
        <w:rPr>
          <w:lang w:val="es-AR"/>
        </w:rPr>
      </w:pPr>
      <w:r>
        <w:rPr>
          <w:lang w:val="es-AR"/>
        </w:rPr>
        <w:tab/>
        <w:t>Entonces, argumentó Leal, si Telle</w:t>
      </w:r>
      <w:r>
        <w:rPr>
          <w:lang w:val="es-AR"/>
        </w:rPr>
        <w:t>l</w:t>
      </w:r>
      <w:r>
        <w:rPr>
          <w:lang w:val="es-AR"/>
        </w:rPr>
        <w:t>dín avaló que él lo persiguió el 14 de julio, que el juez le indicó la foto que tenía que recon</w:t>
      </w:r>
      <w:r>
        <w:rPr>
          <w:lang w:val="es-AR"/>
        </w:rPr>
        <w:t>o</w:t>
      </w:r>
      <w:r>
        <w:rPr>
          <w:lang w:val="es-AR"/>
        </w:rPr>
        <w:t>cer, por qué tiene que estar dando explicaciones del tema A.M.I.A, cuando no ti</w:t>
      </w:r>
      <w:r>
        <w:rPr>
          <w:lang w:val="es-AR"/>
        </w:rPr>
        <w:t>e</w:t>
      </w:r>
      <w:r>
        <w:rPr>
          <w:lang w:val="es-AR"/>
        </w:rPr>
        <w:t>ne nada que ver con ello; no es terrori</w:t>
      </w:r>
      <w:r>
        <w:rPr>
          <w:lang w:val="es-AR"/>
        </w:rPr>
        <w:t>s</w:t>
      </w:r>
      <w:r>
        <w:rPr>
          <w:lang w:val="es-AR"/>
        </w:rPr>
        <w:t>ta, no es ladrón, no es exto</w:t>
      </w:r>
      <w:r>
        <w:rPr>
          <w:lang w:val="es-AR"/>
        </w:rPr>
        <w:t>r</w:t>
      </w:r>
      <w:r>
        <w:rPr>
          <w:lang w:val="es-AR"/>
        </w:rPr>
        <w:t>sionador.</w:t>
      </w:r>
    </w:p>
    <w:p w:rsidR="00224567" w:rsidRDefault="00224567">
      <w:pPr>
        <w:widowControl w:val="0"/>
        <w:tabs>
          <w:tab w:val="left" w:pos="2835"/>
        </w:tabs>
        <w:rPr>
          <w:lang w:val="es-AR"/>
        </w:rPr>
      </w:pPr>
      <w:r>
        <w:rPr>
          <w:lang w:val="es-AR"/>
        </w:rPr>
        <w:tab/>
        <w:t xml:space="preserve">Señaló que todo esto lo denunció ante el señor Carlos Menem, el 26 de marzo de </w:t>
      </w:r>
      <w:smartTag w:uri="urn:schemas-microsoft-com:office:smarttags" w:element="metricconverter">
        <w:smartTagPr>
          <w:attr w:name="ProductID" w:val="1998, a"/>
        </w:smartTagPr>
        <w:r>
          <w:rPr>
            <w:lang w:val="es-AR"/>
          </w:rPr>
          <w:t>1998, a</w:t>
        </w:r>
      </w:smartTag>
      <w:r>
        <w:rPr>
          <w:lang w:val="es-AR"/>
        </w:rPr>
        <w:t xml:space="preserve"> través del Dr. Zárate, quien presentó un escrito en preside</w:t>
      </w:r>
      <w:r>
        <w:rPr>
          <w:lang w:val="es-AR"/>
        </w:rPr>
        <w:t>n</w:t>
      </w:r>
      <w:r>
        <w:rPr>
          <w:lang w:val="es-AR"/>
        </w:rPr>
        <w:t>cia. Menem lo recibió y pasó por el Ministerio del Interior, donde estuvo cuarenta días, se lo envió al comisario Pal</w:t>
      </w:r>
      <w:r>
        <w:rPr>
          <w:lang w:val="es-AR"/>
        </w:rPr>
        <w:t>a</w:t>
      </w:r>
      <w:r>
        <w:rPr>
          <w:lang w:val="es-AR"/>
        </w:rPr>
        <w:t>cios, se lo remitió a Galeano diciéndole que se f</w:t>
      </w:r>
      <w:r>
        <w:rPr>
          <w:lang w:val="es-AR"/>
        </w:rPr>
        <w:t>i</w:t>
      </w:r>
      <w:r>
        <w:rPr>
          <w:lang w:val="es-AR"/>
        </w:rPr>
        <w:t xml:space="preserve">jara que Leal lo estaba denunciando. También lo denunció en </w:t>
      </w:r>
      <w:smartTag w:uri="urn:schemas-microsoft-com:office:smarttags" w:element="PersonName">
        <w:smartTagPr>
          <w:attr w:name="ProductID" w:val="la Comisi￳n Bicameral"/>
        </w:smartTagPr>
        <w:r>
          <w:rPr>
            <w:lang w:val="es-AR"/>
          </w:rPr>
          <w:t>la C</w:t>
        </w:r>
        <w:r>
          <w:rPr>
            <w:lang w:val="es-AR"/>
          </w:rPr>
          <w:t>o</w:t>
        </w:r>
        <w:r>
          <w:rPr>
            <w:lang w:val="es-AR"/>
          </w:rPr>
          <w:t>misión Bicameral</w:t>
        </w:r>
      </w:smartTag>
      <w:r>
        <w:rPr>
          <w:lang w:val="es-AR"/>
        </w:rPr>
        <w:t>, al señor diputado Melchor Cruchaga, el 24 de marzo, donde explicó que era un armado.</w:t>
      </w:r>
    </w:p>
    <w:p w:rsidR="00224567" w:rsidRDefault="00224567">
      <w:pPr>
        <w:widowControl w:val="0"/>
        <w:tabs>
          <w:tab w:val="left" w:pos="2835"/>
        </w:tabs>
        <w:rPr>
          <w:lang w:val="es-AR"/>
        </w:rPr>
      </w:pPr>
      <w:r>
        <w:rPr>
          <w:lang w:val="es-AR"/>
        </w:rPr>
        <w:tab/>
        <w:t>Denunció al juez, a los fiscales y a Telleldín; consideró que para armar esta causa en contra de ellos, tanto la fiscalía, como el juez y Telleldín fo</w:t>
      </w:r>
      <w:r>
        <w:rPr>
          <w:lang w:val="es-AR"/>
        </w:rPr>
        <w:t>r</w:t>
      </w:r>
      <w:r>
        <w:rPr>
          <w:lang w:val="es-AR"/>
        </w:rPr>
        <w:t>maron una verdadera asociación ilícita destinada a enc</w:t>
      </w:r>
      <w:r>
        <w:rPr>
          <w:lang w:val="es-AR"/>
        </w:rPr>
        <w:t>u</w:t>
      </w:r>
      <w:r>
        <w:rPr>
          <w:lang w:val="es-AR"/>
        </w:rPr>
        <w:t xml:space="preserve">brir a los verdaderos autores del atentado a </w:t>
      </w:r>
      <w:smartTag w:uri="urn:schemas-microsoft-com:office:smarttags" w:element="PersonName">
        <w:smartTagPr>
          <w:attr w:name="ProductID" w:val="la A.M"/>
        </w:smartTagPr>
        <w:r>
          <w:rPr>
            <w:lang w:val="es-AR"/>
          </w:rPr>
          <w:t>la A.M</w:t>
        </w:r>
      </w:smartTag>
      <w:r>
        <w:rPr>
          <w:lang w:val="es-AR"/>
        </w:rPr>
        <w:t>.I.A. Agregó que nadie lo atiende y todas las denuncias que hizo fueron desestimadas. Posteriormente, refirió Leal, apar</w:t>
      </w:r>
      <w:r>
        <w:rPr>
          <w:lang w:val="es-AR"/>
        </w:rPr>
        <w:t>e</w:t>
      </w:r>
      <w:r>
        <w:rPr>
          <w:lang w:val="es-AR"/>
        </w:rPr>
        <w:t>ció el Dr. Lifschitz y acreditó lo que él d</w:t>
      </w:r>
      <w:r>
        <w:rPr>
          <w:lang w:val="es-AR"/>
        </w:rPr>
        <w:t>e</w:t>
      </w:r>
      <w:r>
        <w:rPr>
          <w:lang w:val="es-AR"/>
        </w:rPr>
        <w:t>nunció.</w:t>
      </w:r>
    </w:p>
    <w:p w:rsidR="00224567" w:rsidRDefault="00224567">
      <w:pPr>
        <w:widowControl w:val="0"/>
        <w:tabs>
          <w:tab w:val="left" w:pos="2835"/>
        </w:tabs>
        <w:rPr>
          <w:lang w:val="es-AR"/>
        </w:rPr>
      </w:pPr>
      <w:r>
        <w:rPr>
          <w:lang w:val="es-AR"/>
        </w:rPr>
        <w:tab/>
        <w:t>Según Leal, la causa A.M.I.A., con los policías va a llegar a una nulidad, una nulidad a</w:t>
      </w:r>
      <w:r>
        <w:rPr>
          <w:lang w:val="es-AR"/>
        </w:rPr>
        <w:t>b</w:t>
      </w:r>
      <w:r>
        <w:rPr>
          <w:lang w:val="es-AR"/>
        </w:rPr>
        <w:t xml:space="preserve">soluta, porque acá no están los autores de </w:t>
      </w:r>
      <w:smartTag w:uri="urn:schemas-microsoft-com:office:smarttags" w:element="PersonName">
        <w:smartTagPr>
          <w:attr w:name="ProductID" w:val="la A.M"/>
        </w:smartTagPr>
        <w:r>
          <w:rPr>
            <w:lang w:val="es-AR"/>
          </w:rPr>
          <w:t>la A.M</w:t>
        </w:r>
      </w:smartTag>
      <w:r>
        <w:rPr>
          <w:lang w:val="es-AR"/>
        </w:rPr>
        <w:t>.I.A. ni los p</w:t>
      </w:r>
      <w:r>
        <w:rPr>
          <w:lang w:val="es-AR"/>
        </w:rPr>
        <w:t>o</w:t>
      </w:r>
      <w:r>
        <w:rPr>
          <w:lang w:val="es-AR"/>
        </w:rPr>
        <w:t>licías que extorsionaron a Telleldín; la camioneta Tr</w:t>
      </w:r>
      <w:r>
        <w:rPr>
          <w:lang w:val="es-AR"/>
        </w:rPr>
        <w:t>a</w:t>
      </w:r>
      <w:r>
        <w:rPr>
          <w:lang w:val="es-AR"/>
        </w:rPr>
        <w:t>fic no pasó por la policía ni de Vicente López ni de Lanús. Aclaró que no defendía a Lanús, pero a partir de que han vivido juntos cinco años se han aut</w:t>
      </w:r>
      <w:r>
        <w:rPr>
          <w:lang w:val="es-AR"/>
        </w:rPr>
        <w:t>o</w:t>
      </w:r>
      <w:r>
        <w:rPr>
          <w:lang w:val="es-AR"/>
        </w:rPr>
        <w:t>investigado porque uno sospechaba del otro y, leyendo la causa, ven que se está a siete años del atentado y lo único que se tiene es una causa arm</w:t>
      </w:r>
      <w:r>
        <w:rPr>
          <w:lang w:val="es-AR"/>
        </w:rPr>
        <w:t>a</w:t>
      </w:r>
      <w:r>
        <w:rPr>
          <w:lang w:val="es-AR"/>
        </w:rPr>
        <w:t>da, viciada de nulidades, con un testigo que es el principal y el último tenedor de la camioneta, que r</w:t>
      </w:r>
      <w:r>
        <w:rPr>
          <w:lang w:val="es-AR"/>
        </w:rPr>
        <w:t>e</w:t>
      </w:r>
      <w:r>
        <w:rPr>
          <w:lang w:val="es-AR"/>
        </w:rPr>
        <w:t>cibió USD 400.000 que fueron repartidos con el Dr. Stinf</w:t>
      </w:r>
      <w:r>
        <w:rPr>
          <w:lang w:val="es-AR"/>
        </w:rPr>
        <w:t>a</w:t>
      </w:r>
      <w:r>
        <w:rPr>
          <w:lang w:val="es-AR"/>
        </w:rPr>
        <w:t>le.</w:t>
      </w:r>
    </w:p>
    <w:p w:rsidR="00224567" w:rsidRDefault="00224567">
      <w:pPr>
        <w:widowControl w:val="0"/>
        <w:tabs>
          <w:tab w:val="left" w:pos="2835"/>
        </w:tabs>
        <w:rPr>
          <w:lang w:val="es-AR"/>
        </w:rPr>
      </w:pPr>
      <w:r>
        <w:rPr>
          <w:lang w:val="es-AR"/>
        </w:rPr>
        <w:tab/>
        <w:t>A su criterio, Telleldín tiene que d</w:t>
      </w:r>
      <w:r>
        <w:rPr>
          <w:lang w:val="es-AR"/>
        </w:rPr>
        <w:t>e</w:t>
      </w:r>
      <w:r>
        <w:rPr>
          <w:lang w:val="es-AR"/>
        </w:rPr>
        <w:t>clarar y decir qué hizo con la camioneta Trafic, si rea</w:t>
      </w:r>
      <w:r>
        <w:rPr>
          <w:lang w:val="es-AR"/>
        </w:rPr>
        <w:t>l</w:t>
      </w:r>
      <w:r>
        <w:rPr>
          <w:lang w:val="es-AR"/>
        </w:rPr>
        <w:t>mente se la dio a la policía o si la vendió. Señaló que en una oportunidad escuchó a una de las querellas decir que el fin justifica los m</w:t>
      </w:r>
      <w:r>
        <w:rPr>
          <w:lang w:val="es-AR"/>
        </w:rPr>
        <w:t>e</w:t>
      </w:r>
      <w:r>
        <w:rPr>
          <w:lang w:val="es-AR"/>
        </w:rPr>
        <w:t>dios, entonces habrá que buscar un medio para que Telleldín hable y diga la verdad. La cami</w:t>
      </w:r>
      <w:r>
        <w:rPr>
          <w:lang w:val="es-AR"/>
        </w:rPr>
        <w:t>o</w:t>
      </w:r>
      <w:r>
        <w:rPr>
          <w:lang w:val="es-AR"/>
        </w:rPr>
        <w:t>neta por la policía no pasó, afi</w:t>
      </w:r>
      <w:r>
        <w:rPr>
          <w:lang w:val="es-AR"/>
        </w:rPr>
        <w:t>r</w:t>
      </w:r>
      <w:r>
        <w:rPr>
          <w:lang w:val="es-AR"/>
        </w:rPr>
        <w:t>mó.</w:t>
      </w:r>
    </w:p>
    <w:p w:rsidR="00224567" w:rsidRDefault="00224567">
      <w:pPr>
        <w:widowControl w:val="0"/>
        <w:tabs>
          <w:tab w:val="left" w:pos="2835"/>
        </w:tabs>
        <w:rPr>
          <w:lang w:val="es-AR"/>
        </w:rPr>
      </w:pPr>
      <w:r>
        <w:rPr>
          <w:lang w:val="es-AR"/>
        </w:rPr>
        <w:tab/>
        <w:t>Además debe tenerse en cuenta, añ</w:t>
      </w:r>
      <w:r>
        <w:rPr>
          <w:lang w:val="es-AR"/>
        </w:rPr>
        <w:t>a</w:t>
      </w:r>
      <w:r>
        <w:rPr>
          <w:lang w:val="es-AR"/>
        </w:rPr>
        <w:t xml:space="preserve">dió, que hay falencias terribles dentro de la causa. El 22 de julio de 1994 se presentó en </w:t>
      </w:r>
      <w:smartTag w:uri="urn:schemas-microsoft-com:office:smarttags" w:element="PersonName">
        <w:smartTagPr>
          <w:attr w:name="ProductID" w:val="la Brigada"/>
        </w:smartTagPr>
        <w:r>
          <w:rPr>
            <w:lang w:val="es-AR"/>
          </w:rPr>
          <w:t>la Brigada</w:t>
        </w:r>
      </w:smartTag>
      <w:r>
        <w:rPr>
          <w:lang w:val="es-AR"/>
        </w:rPr>
        <w:t xml:space="preserve"> de Vicente López la periodista Fanny Mandelbaum, diciendo que había unos iraníes que podían e</w:t>
      </w:r>
      <w:r>
        <w:rPr>
          <w:lang w:val="es-AR"/>
        </w:rPr>
        <w:t>s</w:t>
      </w:r>
      <w:r>
        <w:rPr>
          <w:lang w:val="es-AR"/>
        </w:rPr>
        <w:t>tar vinculados en la causa A.M.I.A.. Ante ello el comisario inspector Enrique Forgione comisi</w:t>
      </w:r>
      <w:r>
        <w:rPr>
          <w:lang w:val="es-AR"/>
        </w:rPr>
        <w:t>o</w:t>
      </w:r>
      <w:r>
        <w:rPr>
          <w:lang w:val="es-AR"/>
        </w:rPr>
        <w:t>nó al subcomisario Avesani, quien hizo las investig</w:t>
      </w:r>
      <w:r>
        <w:rPr>
          <w:lang w:val="es-AR"/>
        </w:rPr>
        <w:t>a</w:t>
      </w:r>
      <w:r>
        <w:rPr>
          <w:lang w:val="es-AR"/>
        </w:rPr>
        <w:t>ciones del caso y comunicó lo que había averiguado, se le tomó declaración testimonial y el jefe de dependencia se com</w:t>
      </w:r>
      <w:r>
        <w:rPr>
          <w:lang w:val="es-AR"/>
        </w:rPr>
        <w:t>u</w:t>
      </w:r>
      <w:r>
        <w:rPr>
          <w:lang w:val="es-AR"/>
        </w:rPr>
        <w:t>nicó con el juez en turno del Departame</w:t>
      </w:r>
      <w:r>
        <w:rPr>
          <w:lang w:val="es-AR"/>
        </w:rPr>
        <w:t>n</w:t>
      </w:r>
      <w:r>
        <w:rPr>
          <w:lang w:val="es-AR"/>
        </w:rPr>
        <w:t>to Judicial de San Isidro, Dr. Bergesio, quien, luego de consultar con G</w:t>
      </w:r>
      <w:r>
        <w:rPr>
          <w:lang w:val="es-AR"/>
        </w:rPr>
        <w:t>a</w:t>
      </w:r>
      <w:r>
        <w:rPr>
          <w:lang w:val="es-AR"/>
        </w:rPr>
        <w:t xml:space="preserve">leano, el día 23 ordenó que las actuaciones existentes en </w:t>
      </w:r>
      <w:smartTag w:uri="urn:schemas-microsoft-com:office:smarttags" w:element="PersonName">
        <w:smartTagPr>
          <w:attr w:name="ProductID" w:val="la Brigada"/>
        </w:smartTagPr>
        <w:r>
          <w:rPr>
            <w:lang w:val="es-AR"/>
          </w:rPr>
          <w:t>la Brigada</w:t>
        </w:r>
      </w:smartTag>
      <w:r>
        <w:rPr>
          <w:lang w:val="es-AR"/>
        </w:rPr>
        <w:t xml:space="preserve"> de Vicente López pasaran al P.O.C.. El 23 de julio fue recibido en el P.O.C.. Dos años después se dan cuenta que esas actuaciones estaban allí y que se habían perdido. A los cuatro años recién allanaron y no encontr</w:t>
      </w:r>
      <w:r>
        <w:rPr>
          <w:lang w:val="es-AR"/>
        </w:rPr>
        <w:t>a</w:t>
      </w:r>
      <w:r>
        <w:rPr>
          <w:lang w:val="es-AR"/>
        </w:rPr>
        <w:t xml:space="preserve">ron nada. La negligencia fue del juzgado instructor y no de </w:t>
      </w:r>
      <w:smartTag w:uri="urn:schemas-microsoft-com:office:smarttags" w:element="PersonName">
        <w:smartTagPr>
          <w:attr w:name="ProductID" w:val="la Brigada"/>
        </w:smartTagPr>
        <w:r>
          <w:rPr>
            <w:lang w:val="es-AR"/>
          </w:rPr>
          <w:t>la Br</w:t>
        </w:r>
        <w:r>
          <w:rPr>
            <w:lang w:val="es-AR"/>
          </w:rPr>
          <w:t>i</w:t>
        </w:r>
        <w:r>
          <w:rPr>
            <w:lang w:val="es-AR"/>
          </w:rPr>
          <w:t>gada</w:t>
        </w:r>
      </w:smartTag>
      <w:r>
        <w:rPr>
          <w:lang w:val="es-AR"/>
        </w:rPr>
        <w:t xml:space="preserve"> de Vicente López.</w:t>
      </w:r>
    </w:p>
    <w:p w:rsidR="00224567" w:rsidRDefault="00224567">
      <w:pPr>
        <w:widowControl w:val="0"/>
        <w:tabs>
          <w:tab w:val="left" w:pos="2835"/>
        </w:tabs>
        <w:rPr>
          <w:lang w:val="es-AR"/>
        </w:rPr>
      </w:pPr>
      <w:r>
        <w:rPr>
          <w:lang w:val="es-AR"/>
        </w:rPr>
        <w:tab/>
        <w:t>Aseveró que es una barbaridad que e</w:t>
      </w:r>
      <w:r>
        <w:rPr>
          <w:lang w:val="es-AR"/>
        </w:rPr>
        <w:t>s</w:t>
      </w:r>
      <w:r>
        <w:rPr>
          <w:lang w:val="es-AR"/>
        </w:rPr>
        <w:t>tén dando explicaciones de cosas que no saben, cosas que se tenían que haber hecho desde el primer momento de la investigación. No puede ser que el juez, en el auto elev</w:t>
      </w:r>
      <w:r>
        <w:rPr>
          <w:lang w:val="es-AR"/>
        </w:rPr>
        <w:t>a</w:t>
      </w:r>
      <w:r>
        <w:rPr>
          <w:lang w:val="es-AR"/>
        </w:rPr>
        <w:t xml:space="preserve">ción a juicio, se esté disculpando de cosas que no hizo. La única responsabilidad es del juez. Si se le perdieron pruebas en el lugar de los hechos, porque supuestamente había mucha gente, el juez tenía los resortes necesarios como para ordenar a </w:t>
      </w:r>
      <w:smartTag w:uri="urn:schemas-microsoft-com:office:smarttags" w:element="PersonName">
        <w:smartTagPr>
          <w:attr w:name="ProductID" w:val="la Polic￭a Federal"/>
        </w:smartTagPr>
        <w:r>
          <w:rPr>
            <w:lang w:val="es-AR"/>
          </w:rPr>
          <w:t>la Policía Federal</w:t>
        </w:r>
      </w:smartTag>
      <w:r>
        <w:rPr>
          <w:lang w:val="es-AR"/>
        </w:rPr>
        <w:t>, Gendarmería, Pr</w:t>
      </w:r>
      <w:r>
        <w:rPr>
          <w:lang w:val="es-AR"/>
        </w:rPr>
        <w:t>e</w:t>
      </w:r>
      <w:r>
        <w:rPr>
          <w:lang w:val="es-AR"/>
        </w:rPr>
        <w:t>fectura y Ejé</w:t>
      </w:r>
      <w:r>
        <w:rPr>
          <w:lang w:val="es-AR"/>
        </w:rPr>
        <w:t>r</w:t>
      </w:r>
      <w:r>
        <w:rPr>
          <w:lang w:val="es-AR"/>
        </w:rPr>
        <w:t>cito que cortaran los lugares.</w:t>
      </w:r>
    </w:p>
    <w:p w:rsidR="00224567" w:rsidRDefault="00224567">
      <w:pPr>
        <w:widowControl w:val="0"/>
        <w:tabs>
          <w:tab w:val="left" w:pos="2835"/>
        </w:tabs>
        <w:rPr>
          <w:lang w:val="es-AR"/>
        </w:rPr>
      </w:pPr>
      <w:r>
        <w:rPr>
          <w:lang w:val="es-AR"/>
        </w:rPr>
        <w:tab/>
        <w:t>Indicó que dentro de toda la tramit</w:t>
      </w:r>
      <w:r>
        <w:rPr>
          <w:lang w:val="es-AR"/>
        </w:rPr>
        <w:t>a</w:t>
      </w:r>
      <w:r>
        <w:rPr>
          <w:lang w:val="es-AR"/>
        </w:rPr>
        <w:t>ción de la causa han paseado por todo el mundo, han conc</w:t>
      </w:r>
      <w:r>
        <w:rPr>
          <w:lang w:val="es-AR"/>
        </w:rPr>
        <w:t>u</w:t>
      </w:r>
      <w:r>
        <w:rPr>
          <w:lang w:val="es-AR"/>
        </w:rPr>
        <w:t>rrido a Estados Unidos, Alemania, todo por la investig</w:t>
      </w:r>
      <w:r>
        <w:rPr>
          <w:lang w:val="es-AR"/>
        </w:rPr>
        <w:t>a</w:t>
      </w:r>
      <w:r>
        <w:rPr>
          <w:lang w:val="es-AR"/>
        </w:rPr>
        <w:t>ción y sólo hay quince policías que no tienen nada que ver con el atentado y un vendedor “trucho” que es Carlos A</w:t>
      </w:r>
      <w:r>
        <w:rPr>
          <w:lang w:val="es-AR"/>
        </w:rPr>
        <w:t>l</w:t>
      </w:r>
      <w:r>
        <w:rPr>
          <w:lang w:val="es-AR"/>
        </w:rPr>
        <w:t>berto Telleldín, que les mintió. Le llama la atención, d</w:t>
      </w:r>
      <w:r>
        <w:rPr>
          <w:lang w:val="es-AR"/>
        </w:rPr>
        <w:t>i</w:t>
      </w:r>
      <w:r>
        <w:rPr>
          <w:lang w:val="es-AR"/>
        </w:rPr>
        <w:t>jo Leal, que los señores fiscales en su momento no hayan tomado los r</w:t>
      </w:r>
      <w:r>
        <w:rPr>
          <w:lang w:val="es-AR"/>
        </w:rPr>
        <w:t>e</w:t>
      </w:r>
      <w:r>
        <w:rPr>
          <w:lang w:val="es-AR"/>
        </w:rPr>
        <w:t>caudos del caso.</w:t>
      </w:r>
    </w:p>
    <w:p w:rsidR="00224567" w:rsidRDefault="00224567">
      <w:pPr>
        <w:widowControl w:val="0"/>
        <w:tabs>
          <w:tab w:val="left" w:pos="2835"/>
        </w:tabs>
        <w:rPr>
          <w:lang w:val="es-AR"/>
        </w:rPr>
      </w:pPr>
      <w:r>
        <w:rPr>
          <w:lang w:val="es-AR"/>
        </w:rPr>
        <w:tab/>
        <w:t xml:space="preserve">Continuó exponiendo que en el cuerpo 14 de la causa nº 1256 hay un informe de </w:t>
      </w:r>
      <w:smartTag w:uri="urn:schemas-microsoft-com:office:smarttags" w:element="PersonName">
        <w:smartTagPr>
          <w:attr w:name="ProductID" w:val="la C￡mara"/>
        </w:smartTagPr>
        <w:r>
          <w:rPr>
            <w:lang w:val="es-AR"/>
          </w:rPr>
          <w:t>la Cámara</w:t>
        </w:r>
      </w:smartTag>
      <w:r>
        <w:rPr>
          <w:lang w:val="es-AR"/>
        </w:rPr>
        <w:t xml:space="preserve"> de R</w:t>
      </w:r>
      <w:r>
        <w:rPr>
          <w:lang w:val="es-AR"/>
        </w:rPr>
        <w:t>e</w:t>
      </w:r>
      <w:r>
        <w:rPr>
          <w:lang w:val="es-AR"/>
        </w:rPr>
        <w:t>presentantes de los Estados Unidos que está adulterado. Los fiscales tenían acceso y se tendrían que haber dado cuenta que estaba adulterado; dos o tres meses después fueron a Estados Un</w:t>
      </w:r>
      <w:r>
        <w:rPr>
          <w:lang w:val="es-AR"/>
        </w:rPr>
        <w:t>i</w:t>
      </w:r>
      <w:r>
        <w:rPr>
          <w:lang w:val="es-AR"/>
        </w:rPr>
        <w:t>dos, recibieron el mismo informe y no se dieron cuenta que uno difiere del otro. El segundo i</w:t>
      </w:r>
      <w:r>
        <w:rPr>
          <w:lang w:val="es-AR"/>
        </w:rPr>
        <w:t>n</w:t>
      </w:r>
      <w:r>
        <w:rPr>
          <w:lang w:val="es-AR"/>
        </w:rPr>
        <w:t>forme que trajeron los fiscales tiene cu</w:t>
      </w:r>
      <w:r>
        <w:rPr>
          <w:lang w:val="es-AR"/>
        </w:rPr>
        <w:t>a</w:t>
      </w:r>
      <w:r>
        <w:rPr>
          <w:lang w:val="es-AR"/>
        </w:rPr>
        <w:t>tro hojas y en la última parte hay un gráfico en donde se explica cómo han actuado las fuerzas de Hezbollah. Pero el informe que e</w:t>
      </w:r>
      <w:r>
        <w:rPr>
          <w:lang w:val="es-AR"/>
        </w:rPr>
        <w:t>n</w:t>
      </w:r>
      <w:r>
        <w:rPr>
          <w:lang w:val="es-AR"/>
        </w:rPr>
        <w:t>tregaron en primera instancia, en el cuerpo 14, es el i</w:t>
      </w:r>
      <w:r>
        <w:rPr>
          <w:lang w:val="es-AR"/>
        </w:rPr>
        <w:t>n</w:t>
      </w:r>
      <w:r>
        <w:rPr>
          <w:lang w:val="es-AR"/>
        </w:rPr>
        <w:t>forme que entregó el señor Anzorreguy; hay cuatro hojas que fueron hechas con una maquina de escribir y nadie se dio cuenta o no se quisi</w:t>
      </w:r>
      <w:r>
        <w:rPr>
          <w:lang w:val="es-AR"/>
        </w:rPr>
        <w:t>e</w:t>
      </w:r>
      <w:r>
        <w:rPr>
          <w:lang w:val="es-AR"/>
        </w:rPr>
        <w:t>ron dar cuenta.</w:t>
      </w:r>
    </w:p>
    <w:p w:rsidR="00224567" w:rsidRDefault="00224567">
      <w:pPr>
        <w:widowControl w:val="0"/>
        <w:tabs>
          <w:tab w:val="left" w:pos="2835"/>
        </w:tabs>
        <w:rPr>
          <w:lang w:val="es-AR"/>
        </w:rPr>
      </w:pPr>
      <w:r>
        <w:rPr>
          <w:lang w:val="es-AR"/>
        </w:rPr>
        <w:tab/>
        <w:t>Tampoco han tenido en cuenta t</w:t>
      </w:r>
      <w:r>
        <w:rPr>
          <w:lang w:val="es-AR"/>
        </w:rPr>
        <w:t>o</w:t>
      </w:r>
      <w:r>
        <w:rPr>
          <w:lang w:val="es-AR"/>
        </w:rPr>
        <w:t>das las personas que se han presentado a declarar en la causa. En su caso particular, manifestó Leal, se pr</w:t>
      </w:r>
      <w:r>
        <w:rPr>
          <w:lang w:val="es-AR"/>
        </w:rPr>
        <w:t>e</w:t>
      </w:r>
      <w:r>
        <w:rPr>
          <w:lang w:val="es-AR"/>
        </w:rPr>
        <w:t>sentó una señora Marta Gómez, que vive aproximadamente a cinco o seis cu</w:t>
      </w:r>
      <w:r>
        <w:rPr>
          <w:lang w:val="es-AR"/>
        </w:rPr>
        <w:t>a</w:t>
      </w:r>
      <w:r>
        <w:rPr>
          <w:lang w:val="es-AR"/>
        </w:rPr>
        <w:t>dras de su casa, primero en el programa que era de Mauro Viale, después en un tribunal federal de Morón y finalme</w:t>
      </w:r>
      <w:r>
        <w:rPr>
          <w:lang w:val="es-AR"/>
        </w:rPr>
        <w:t>n</w:t>
      </w:r>
      <w:r>
        <w:rPr>
          <w:lang w:val="es-AR"/>
        </w:rPr>
        <w:t>te terminó en el juzgado del doctor Galeano. Esta señora declaró que había visto en la casa de Leal una camioneta Trafic, a la cual le e</w:t>
      </w:r>
      <w:r>
        <w:rPr>
          <w:lang w:val="es-AR"/>
        </w:rPr>
        <w:t>s</w:t>
      </w:r>
      <w:r>
        <w:rPr>
          <w:lang w:val="es-AR"/>
        </w:rPr>
        <w:t>taban cargando explosivos. Como no sabía quién era esa persona, se puso a investigar y a tr</w:t>
      </w:r>
      <w:r>
        <w:rPr>
          <w:lang w:val="es-AR"/>
        </w:rPr>
        <w:t>a</w:t>
      </w:r>
      <w:r>
        <w:rPr>
          <w:lang w:val="es-AR"/>
        </w:rPr>
        <w:t>vés de su abogado estableció que Marta Gómez tiene tres juicios por ins</w:t>
      </w:r>
      <w:r>
        <w:rPr>
          <w:lang w:val="es-AR"/>
        </w:rPr>
        <w:t>a</w:t>
      </w:r>
      <w:r>
        <w:rPr>
          <w:lang w:val="es-AR"/>
        </w:rPr>
        <w:t>nia en el departamento judicial de Morón; es la hermana de una persona que él detuvo en Isidro Cas</w:t>
      </w:r>
      <w:r>
        <w:rPr>
          <w:lang w:val="es-AR"/>
        </w:rPr>
        <w:t>a</w:t>
      </w:r>
      <w:r>
        <w:rPr>
          <w:lang w:val="es-AR"/>
        </w:rPr>
        <w:t>nova, de apellido Cáceres, que estaba imputada de un tr</w:t>
      </w:r>
      <w:r>
        <w:rPr>
          <w:lang w:val="es-AR"/>
        </w:rPr>
        <w:t>i</w:t>
      </w:r>
      <w:r>
        <w:rPr>
          <w:lang w:val="es-AR"/>
        </w:rPr>
        <w:t>ple homicidio en B</w:t>
      </w:r>
      <w:r>
        <w:rPr>
          <w:lang w:val="es-AR"/>
        </w:rPr>
        <w:t>a</w:t>
      </w:r>
      <w:r>
        <w:rPr>
          <w:lang w:val="es-AR"/>
        </w:rPr>
        <w:t>hía Blanca. Esta señora, por despecho, declaró en su c</w:t>
      </w:r>
      <w:r>
        <w:rPr>
          <w:lang w:val="es-AR"/>
        </w:rPr>
        <w:t>o</w:t>
      </w:r>
      <w:r>
        <w:rPr>
          <w:lang w:val="es-AR"/>
        </w:rPr>
        <w:t>ntra, pero nadie hizo nada al respecto y, en su momento, se tomaron esos dichos como prueba de ca</w:t>
      </w:r>
      <w:r>
        <w:rPr>
          <w:lang w:val="es-AR"/>
        </w:rPr>
        <w:t>r</w:t>
      </w:r>
      <w:r>
        <w:rPr>
          <w:lang w:val="es-AR"/>
        </w:rPr>
        <w:t>go.</w:t>
      </w:r>
    </w:p>
    <w:p w:rsidR="00224567" w:rsidRDefault="00224567">
      <w:pPr>
        <w:widowControl w:val="0"/>
        <w:tabs>
          <w:tab w:val="left" w:pos="2835"/>
        </w:tabs>
        <w:rPr>
          <w:lang w:val="es-AR"/>
        </w:rPr>
      </w:pPr>
      <w:r>
        <w:rPr>
          <w:lang w:val="es-AR"/>
        </w:rPr>
        <w:tab/>
        <w:t>No entiende por qué motivo han orden</w:t>
      </w:r>
      <w:r>
        <w:rPr>
          <w:lang w:val="es-AR"/>
        </w:rPr>
        <w:t>a</w:t>
      </w:r>
      <w:r>
        <w:rPr>
          <w:lang w:val="es-AR"/>
        </w:rPr>
        <w:t>do el secuestro de su vehículo, el que está totalmente d</w:t>
      </w:r>
      <w:r>
        <w:rPr>
          <w:lang w:val="es-AR"/>
        </w:rPr>
        <w:t>e</w:t>
      </w:r>
      <w:r>
        <w:rPr>
          <w:lang w:val="es-AR"/>
        </w:rPr>
        <w:t>teriorado y al que le faltan repuestos, lo que ya ha d</w:t>
      </w:r>
      <w:r>
        <w:rPr>
          <w:lang w:val="es-AR"/>
        </w:rPr>
        <w:t>e</w:t>
      </w:r>
      <w:r>
        <w:rPr>
          <w:lang w:val="es-AR"/>
        </w:rPr>
        <w:t>nunciado, sin tener respuesta. Solicitó al Tribunal le h</w:t>
      </w:r>
      <w:r>
        <w:rPr>
          <w:lang w:val="es-AR"/>
        </w:rPr>
        <w:t>i</w:t>
      </w:r>
      <w:r>
        <w:rPr>
          <w:lang w:val="es-AR"/>
        </w:rPr>
        <w:t>cieran entrega del automotor.</w:t>
      </w:r>
    </w:p>
    <w:p w:rsidR="00224567" w:rsidRDefault="00224567">
      <w:pPr>
        <w:widowControl w:val="0"/>
        <w:tabs>
          <w:tab w:val="left" w:pos="2835"/>
        </w:tabs>
        <w:rPr>
          <w:lang w:val="es-AR"/>
        </w:rPr>
      </w:pPr>
      <w:r>
        <w:rPr>
          <w:lang w:val="es-AR"/>
        </w:rPr>
        <w:tab/>
        <w:t>Prosiguió diciendo que debido a que Telleldín refirió que el 10 de julio de 1994 había un vehículo Ford Galaxy que tenía dos faros busca huella en la parte delantera, solicitó al juzgado del doctor Galeano que por favor se hicieran las pericias en el vehículo. Así se determinó que el rodado nunca tuvo esos suplementos y estaba original. Entonces tampoco se trata del coche al que al</w:t>
      </w:r>
      <w:r>
        <w:rPr>
          <w:lang w:val="es-AR"/>
        </w:rPr>
        <w:t>u</w:t>
      </w:r>
      <w:r>
        <w:rPr>
          <w:lang w:val="es-AR"/>
        </w:rPr>
        <w:t>de Telleldín.</w:t>
      </w:r>
    </w:p>
    <w:p w:rsidR="00224567" w:rsidRDefault="00224567">
      <w:pPr>
        <w:widowControl w:val="0"/>
        <w:tabs>
          <w:tab w:val="left" w:pos="2835"/>
        </w:tabs>
        <w:rPr>
          <w:lang w:val="es-AR"/>
        </w:rPr>
      </w:pPr>
      <w:r>
        <w:rPr>
          <w:lang w:val="es-AR"/>
        </w:rPr>
        <w:tab/>
        <w:t>Expresó que se pone a disposición de quien sea para ser interrogado bajo cualquier circunsta</w:t>
      </w:r>
      <w:r>
        <w:rPr>
          <w:lang w:val="es-AR"/>
        </w:rPr>
        <w:t>n</w:t>
      </w:r>
      <w:r>
        <w:rPr>
          <w:lang w:val="es-AR"/>
        </w:rPr>
        <w:t xml:space="preserve">cia, aún bajo la máquina de la verdad y bajo tortura; se ha puesto a disposición de </w:t>
      </w:r>
      <w:smartTag w:uri="urn:schemas-microsoft-com:office:smarttags" w:element="PersonName">
        <w:smartTagPr>
          <w:attr w:name="ProductID" w:val="la Embajada"/>
        </w:smartTagPr>
        <w:r>
          <w:rPr>
            <w:lang w:val="es-AR"/>
          </w:rPr>
          <w:t>la Embajada</w:t>
        </w:r>
      </w:smartTag>
      <w:r>
        <w:rPr>
          <w:lang w:val="es-AR"/>
        </w:rPr>
        <w:t xml:space="preserve"> de Israel y del Mossad.</w:t>
      </w:r>
    </w:p>
    <w:p w:rsidR="00224567" w:rsidRDefault="00224567">
      <w:pPr>
        <w:widowControl w:val="0"/>
        <w:tabs>
          <w:tab w:val="left" w:pos="2835"/>
        </w:tabs>
        <w:rPr>
          <w:lang w:val="es-AR"/>
        </w:rPr>
      </w:pPr>
      <w:r>
        <w:rPr>
          <w:lang w:val="es-AR"/>
        </w:rPr>
        <w:tab/>
        <w:t>Leal se dirigió a los familiares de las víctimas que se encontraban en la sala y les man</w:t>
      </w:r>
      <w:r>
        <w:rPr>
          <w:lang w:val="es-AR"/>
        </w:rPr>
        <w:t>i</w:t>
      </w:r>
      <w:r>
        <w:rPr>
          <w:lang w:val="es-AR"/>
        </w:rPr>
        <w:t>festó que han sido engañados durante siete años y si no se ponen firmes van a seguir siendo engañ</w:t>
      </w:r>
      <w:r>
        <w:rPr>
          <w:lang w:val="es-AR"/>
        </w:rPr>
        <w:t>a</w:t>
      </w:r>
      <w:r>
        <w:rPr>
          <w:lang w:val="es-AR"/>
        </w:rPr>
        <w:t>dos. Agregó que desea la verdad como cada uno de los familiares, ya que ha perdido cinco años de su vida, que no va a recuperar, en los cu</w:t>
      </w:r>
      <w:r>
        <w:rPr>
          <w:lang w:val="es-AR"/>
        </w:rPr>
        <w:t>a</w:t>
      </w:r>
      <w:r>
        <w:rPr>
          <w:lang w:val="es-AR"/>
        </w:rPr>
        <w:t>les perdió el cr</w:t>
      </w:r>
      <w:r>
        <w:rPr>
          <w:lang w:val="es-AR"/>
        </w:rPr>
        <w:t>e</w:t>
      </w:r>
      <w:r>
        <w:rPr>
          <w:lang w:val="es-AR"/>
        </w:rPr>
        <w:t>cimiento de sus hijas y eso no se lo paga nadie.</w:t>
      </w:r>
    </w:p>
    <w:p w:rsidR="00224567" w:rsidRDefault="00224567">
      <w:pPr>
        <w:widowControl w:val="0"/>
        <w:tabs>
          <w:tab w:val="left" w:pos="2835"/>
        </w:tabs>
        <w:rPr>
          <w:lang w:val="es-ES_tradnl"/>
        </w:rPr>
      </w:pPr>
      <w:r>
        <w:rPr>
          <w:lang w:val="es-AR"/>
        </w:rPr>
        <w:tab/>
        <w:t>Con</w:t>
      </w:r>
      <w:r>
        <w:rPr>
          <w:lang w:val="es-ES_tradnl"/>
        </w:rPr>
        <w:t xml:space="preserve"> relación al apodo “Pino”, aclaró que está detenido porque supuestamente posee ese apodo, pero que él no es “Pino” y su verdadero sobrenombre es “Tito”. En su familia le decían “P</w:t>
      </w:r>
      <w:r>
        <w:rPr>
          <w:lang w:val="es-ES_tradnl"/>
        </w:rPr>
        <w:t>i</w:t>
      </w:r>
      <w:r>
        <w:rPr>
          <w:lang w:val="es-ES_tradnl"/>
        </w:rPr>
        <w:t>no” a su abuelo, quien durante todo el proceso nunca fue investigado. En la pol</w:t>
      </w:r>
      <w:r>
        <w:rPr>
          <w:lang w:val="es-ES_tradnl"/>
        </w:rPr>
        <w:t>i</w:t>
      </w:r>
      <w:r>
        <w:rPr>
          <w:lang w:val="es-ES_tradnl"/>
        </w:rPr>
        <w:t>cía, su padre era conocido como el hijo de “Pino” y cuando él se recibió de oficial algunos policías mayores de la zona de 25 de Mayo lo conocían como el hijo de “Pino”. S</w:t>
      </w:r>
      <w:r>
        <w:rPr>
          <w:lang w:val="es-ES_tradnl"/>
        </w:rPr>
        <w:t>e</w:t>
      </w:r>
      <w:r>
        <w:rPr>
          <w:lang w:val="es-ES_tradnl"/>
        </w:rPr>
        <w:t>ría fácil comprobar que él no es “Pino”, habría que ir a la zona de 25 de Mayo y averiguar a quién realmente le d</w:t>
      </w:r>
      <w:r>
        <w:rPr>
          <w:lang w:val="es-ES_tradnl"/>
        </w:rPr>
        <w:t>i</w:t>
      </w:r>
      <w:r>
        <w:rPr>
          <w:lang w:val="es-ES_tradnl"/>
        </w:rPr>
        <w:t>cen “Pino”; allí viven sus abuelos. Su abuelo falleció, pero todos los vecinos del lugar le decían “Pino”. Incluso respecto a su apodo “Tito” también se puede averiguar en Isidro Casanova, donde vive desde hace treinta años y do</w:t>
      </w:r>
      <w:r>
        <w:rPr>
          <w:lang w:val="es-ES_tradnl"/>
        </w:rPr>
        <w:t>n</w:t>
      </w:r>
      <w:r>
        <w:rPr>
          <w:lang w:val="es-ES_tradnl"/>
        </w:rPr>
        <w:t>de todas las pe</w:t>
      </w:r>
      <w:r>
        <w:rPr>
          <w:lang w:val="es-ES_tradnl"/>
        </w:rPr>
        <w:t>r</w:t>
      </w:r>
      <w:r>
        <w:rPr>
          <w:lang w:val="es-ES_tradnl"/>
        </w:rPr>
        <w:t>sonas lo conocen como “Tito”.</w:t>
      </w:r>
    </w:p>
    <w:p w:rsidR="00224567" w:rsidRDefault="00224567">
      <w:pPr>
        <w:widowControl w:val="0"/>
        <w:tabs>
          <w:tab w:val="left" w:pos="2835"/>
        </w:tabs>
      </w:pPr>
      <w:r>
        <w:rPr>
          <w:lang w:val="es-ES_tradnl"/>
        </w:rPr>
        <w:tab/>
        <w:t>Manifestó que es de la religión eva</w:t>
      </w:r>
      <w:r>
        <w:rPr>
          <w:lang w:val="es-ES_tradnl"/>
        </w:rPr>
        <w:t>n</w:t>
      </w:r>
      <w:r>
        <w:rPr>
          <w:lang w:val="es-ES_tradnl"/>
        </w:rPr>
        <w:t xml:space="preserve">gelista de </w:t>
      </w:r>
      <w:smartTag w:uri="urn:schemas-microsoft-com:office:smarttags" w:element="PersonName">
        <w:smartTagPr>
          <w:attr w:name="ProductID" w:val="la Iglesia Pentecostal"/>
        </w:smartTagPr>
        <w:r>
          <w:rPr>
            <w:lang w:val="es-ES_tradnl"/>
          </w:rPr>
          <w:t>la Iglesia Pentecostal</w:t>
        </w:r>
      </w:smartTag>
      <w:r>
        <w:rPr>
          <w:lang w:val="es-ES_tradnl"/>
        </w:rPr>
        <w:t xml:space="preserve"> y muchos fieles de ahí lo conocen por “Tito”. </w:t>
      </w:r>
      <w:r>
        <w:t>Cuando se le pr</w:t>
      </w:r>
      <w:r>
        <w:t>e</w:t>
      </w:r>
      <w:r>
        <w:t>guntó por qué en la declaración del 14 de julio de 1996, cuando dijo que “Pino” le decían a su abuelo y a su padre, pero a él lo con</w:t>
      </w:r>
      <w:r>
        <w:t>o</w:t>
      </w:r>
      <w:r>
        <w:t>cen como el hijo de “Pino”, no señaló que lo apodaban “T</w:t>
      </w:r>
      <w:r>
        <w:t>i</w:t>
      </w:r>
      <w:r>
        <w:t>to”, respondió que no se le ocurrió por los nervios del momento.</w:t>
      </w:r>
    </w:p>
    <w:p w:rsidR="00224567" w:rsidRDefault="00224567">
      <w:pPr>
        <w:widowControl w:val="0"/>
        <w:tabs>
          <w:tab w:val="left" w:pos="2835"/>
        </w:tabs>
        <w:rPr>
          <w:lang w:val="es-AR"/>
        </w:rPr>
      </w:pPr>
      <w:r>
        <w:tab/>
      </w:r>
      <w:r>
        <w:rPr>
          <w:lang w:val="es-AR"/>
        </w:rPr>
        <w:t>Dijo que hay muchas falencias en sus declaraciones ant</w:t>
      </w:r>
      <w:r>
        <w:rPr>
          <w:lang w:val="es-AR"/>
        </w:rPr>
        <w:t>e</w:t>
      </w:r>
      <w:r>
        <w:rPr>
          <w:lang w:val="es-AR"/>
        </w:rPr>
        <w:t>riores. En la del día 23 de diciembre de 1996 se colocaron frases que no expr</w:t>
      </w:r>
      <w:r>
        <w:rPr>
          <w:lang w:val="es-AR"/>
        </w:rPr>
        <w:t>e</w:t>
      </w:r>
      <w:r>
        <w:rPr>
          <w:lang w:val="es-AR"/>
        </w:rPr>
        <w:t>só, una de ellas, que es muy importante, dice que estuvo el día 10 en la casa de Telleldín, pero eso nunca lo refirió. Por ello, si en su declaración consta que es “Pino”, no se percató; pero ta</w:t>
      </w:r>
      <w:r>
        <w:rPr>
          <w:lang w:val="es-AR"/>
        </w:rPr>
        <w:t>m</w:t>
      </w:r>
      <w:r>
        <w:rPr>
          <w:lang w:val="es-AR"/>
        </w:rPr>
        <w:t>bién puede ser una de las frases que le colocaron, pero nunca dijo que es “Pino”. Dijo que en 25 de Mayo hay pol</w:t>
      </w:r>
      <w:r>
        <w:rPr>
          <w:lang w:val="es-AR"/>
        </w:rPr>
        <w:t>i</w:t>
      </w:r>
      <w:r>
        <w:rPr>
          <w:lang w:val="es-AR"/>
        </w:rPr>
        <w:t>cías que han sido compañeros de su padre y muchos dicen: “mirá el hijo de Pino es of</w:t>
      </w:r>
      <w:r>
        <w:rPr>
          <w:lang w:val="es-AR"/>
        </w:rPr>
        <w:t>i</w:t>
      </w:r>
      <w:r>
        <w:rPr>
          <w:lang w:val="es-AR"/>
        </w:rPr>
        <w:t>cial”.</w:t>
      </w:r>
    </w:p>
    <w:p w:rsidR="00224567" w:rsidRDefault="00224567">
      <w:pPr>
        <w:widowControl w:val="0"/>
        <w:tabs>
          <w:tab w:val="left" w:pos="2835"/>
        </w:tabs>
        <w:rPr>
          <w:lang w:val="es-ES_tradnl"/>
        </w:rPr>
      </w:pPr>
      <w:r>
        <w:rPr>
          <w:lang w:val="es-AR"/>
        </w:rPr>
        <w:tab/>
        <w:t>A solicitud de la fiscalía ta</w:t>
      </w:r>
      <w:r>
        <w:rPr>
          <w:lang w:val="es-AR"/>
        </w:rPr>
        <w:t>m</w:t>
      </w:r>
      <w:r>
        <w:rPr>
          <w:lang w:val="es-AR"/>
        </w:rPr>
        <w:t>bién se le hizo notar una posible contradicción, respecto al apodo que se le atribuye, con lo que d</w:t>
      </w:r>
      <w:r>
        <w:rPr>
          <w:lang w:val="es-AR"/>
        </w:rPr>
        <w:t>e</w:t>
      </w:r>
      <w:r>
        <w:rPr>
          <w:lang w:val="es-AR"/>
        </w:rPr>
        <w:t>claró a fojas 39.832vta. donde manifestó que se hacía llamar “Pino”, el hijo de “Pino”, Anastasio o Leal.</w:t>
      </w:r>
      <w:r>
        <w:t xml:space="preserve"> Respondió Leal que el 26 de d</w:t>
      </w:r>
      <w:r>
        <w:t>i</w:t>
      </w:r>
      <w:r>
        <w:t xml:space="preserve">ciembre de 1996 denunció que </w:t>
      </w:r>
      <w:smartTag w:uri="urn:schemas-microsoft-com:office:smarttags" w:element="PersonName">
        <w:smartTagPr>
          <w:attr w:name="ProductID" w:val="la Dra. Spina"/>
        </w:smartTagPr>
        <w:r>
          <w:t>la Dra. Spina</w:t>
        </w:r>
      </w:smartTag>
      <w:r>
        <w:t xml:space="preserve"> colocó frases en la declaración, que no se perc</w:t>
      </w:r>
      <w:r>
        <w:t>a</w:t>
      </w:r>
      <w:r>
        <w:t>tó y que firmó. Reiteró que su verdadero sobrenombre es “Tito” o Anastasio o Ir</w:t>
      </w:r>
      <w:r>
        <w:t>e</w:t>
      </w:r>
      <w:r>
        <w:t>neo, esos son sus nombres, pero no es “Pino”. E</w:t>
      </w:r>
      <w:r>
        <w:t>x</w:t>
      </w:r>
      <w:r>
        <w:t>plicó que no leyó la declaración prestada en instrucción, contaba con asistencia letrada y supone que su abogado estuvo pr</w:t>
      </w:r>
      <w:r>
        <w:t>e</w:t>
      </w:r>
      <w:r>
        <w:t>sente. Señaló el estado de nerviosismo que implicaba esa declaración.</w:t>
      </w:r>
    </w:p>
    <w:p w:rsidR="00224567" w:rsidRDefault="00224567">
      <w:pPr>
        <w:widowControl w:val="0"/>
        <w:tabs>
          <w:tab w:val="left" w:pos="2835"/>
        </w:tabs>
        <w:rPr>
          <w:lang w:val="es-AR"/>
        </w:rPr>
      </w:pPr>
      <w:r>
        <w:rPr>
          <w:lang w:val="es-ES_tradnl"/>
        </w:rPr>
        <w:tab/>
      </w:r>
      <w:r>
        <w:rPr>
          <w:lang w:val="es-AR"/>
        </w:rPr>
        <w:t>Afirmó</w:t>
      </w:r>
      <w:r>
        <w:t xml:space="preserve"> que para la época que e</w:t>
      </w:r>
      <w:r>
        <w:t>s</w:t>
      </w:r>
      <w:r>
        <w:t xml:space="preserve">tuvo en </w:t>
      </w:r>
      <w:smartTag w:uri="urn:schemas-microsoft-com:office:smarttags" w:element="PersonName">
        <w:smartTagPr>
          <w:attr w:name="ProductID" w:val="la Brigada"/>
        </w:smartTagPr>
        <w:r>
          <w:t>la Brigada</w:t>
        </w:r>
      </w:smartTag>
      <w:r>
        <w:t xml:space="preserve"> de Vicente López estuvo detenida una persona llamada Ramón Emilio Solari Torres, i</w:t>
      </w:r>
      <w:r>
        <w:t>m</w:t>
      </w:r>
      <w:r>
        <w:t>putada de un doble o triple homicidio, que era muy conflictivo y que no quería estar en la brigada.</w:t>
      </w:r>
    </w:p>
    <w:p w:rsidR="00224567" w:rsidRDefault="00224567">
      <w:pPr>
        <w:widowControl w:val="0"/>
        <w:tabs>
          <w:tab w:val="left" w:pos="2835"/>
          <w:tab w:val="left" w:pos="6396"/>
        </w:tabs>
        <w:rPr>
          <w:lang w:val="es-AR"/>
        </w:rPr>
      </w:pPr>
      <w:r>
        <w:rPr>
          <w:lang w:val="es-AR"/>
        </w:rPr>
        <w:tab/>
        <w:t>Si bien no</w:t>
      </w:r>
      <w:r>
        <w:t xml:space="preserve"> tenía trato con los deten</w:t>
      </w:r>
      <w:r>
        <w:t>i</w:t>
      </w:r>
      <w:r>
        <w:t>dos en esa época, se enteró a través de lo a</w:t>
      </w:r>
      <w:r>
        <w:t>c</w:t>
      </w:r>
      <w:r>
        <w:t>tuado en esta causa que el antes nombrado dijo que él le prestaba su c</w:t>
      </w:r>
      <w:r>
        <w:t>e</w:t>
      </w:r>
      <w:r>
        <w:t>lular, pero esto es falso, dado que no le facilitaba el teléfono a nadie, ni siquiera a su mujer, menos a un det</w:t>
      </w:r>
      <w:r>
        <w:t>e</w:t>
      </w:r>
      <w:r>
        <w:t>nido. Eso se puede comprobar –señaló- m</w:t>
      </w:r>
      <w:r>
        <w:t>e</w:t>
      </w:r>
      <w:r>
        <w:t>diante el sistema “Excalibur”.</w:t>
      </w:r>
    </w:p>
    <w:p w:rsidR="00224567" w:rsidRDefault="00224567">
      <w:pPr>
        <w:widowControl w:val="0"/>
        <w:tabs>
          <w:tab w:val="left" w:pos="2835"/>
        </w:tabs>
        <w:rPr>
          <w:lang w:val="es-AR"/>
        </w:rPr>
      </w:pPr>
      <w:r>
        <w:rPr>
          <w:lang w:val="es-AR"/>
        </w:rPr>
        <w:tab/>
        <w:t>Refirió que no conocía con anterior</w:t>
      </w:r>
      <w:r>
        <w:rPr>
          <w:lang w:val="es-AR"/>
        </w:rPr>
        <w:t>i</w:t>
      </w:r>
      <w:r>
        <w:rPr>
          <w:lang w:val="es-AR"/>
        </w:rPr>
        <w:t>dad a Solari y se enteró que</w:t>
      </w:r>
      <w:r>
        <w:t xml:space="preserve"> prestó varias declaraci</w:t>
      </w:r>
      <w:r>
        <w:t>o</w:t>
      </w:r>
      <w:r>
        <w:t>nes, en las que volcaba información que en ese momento salía publicada en los diarios. Dentro de esas manife</w:t>
      </w:r>
      <w:r>
        <w:t>s</w:t>
      </w:r>
      <w:r>
        <w:t>taciones, mencionó a un tal Rabbani y señaló a sus compañeros de causa relacionándolos a un homicidio, e i</w:t>
      </w:r>
      <w:r>
        <w:t>n</w:t>
      </w:r>
      <w:r>
        <w:t>cluso vinculó en el tema A.M.I.A. a la persona que fue su víctima, y nadie se percató.</w:t>
      </w:r>
    </w:p>
    <w:p w:rsidR="00224567" w:rsidRDefault="00224567">
      <w:pPr>
        <w:widowControl w:val="0"/>
        <w:tabs>
          <w:tab w:val="left" w:pos="2835"/>
        </w:tabs>
        <w:rPr>
          <w:lang w:val="es-AR"/>
        </w:rPr>
      </w:pPr>
      <w:r>
        <w:rPr>
          <w:lang w:val="es-AR"/>
        </w:rPr>
        <w:tab/>
      </w:r>
      <w:r>
        <w:t>Manifestó que Solari no tenía ningún trato con él; que es un mentiroso y usó a los fiscales y al doctor Galeano, logrando de ese modo salir de la pr</w:t>
      </w:r>
      <w:r>
        <w:t>o</w:t>
      </w:r>
      <w:r>
        <w:t xml:space="preserve">vincia e ir a </w:t>
      </w:r>
      <w:smartTag w:uri="urn:schemas-microsoft-com:office:smarttags" w:element="PersonName">
        <w:smartTagPr>
          <w:attr w:name="ProductID" w:val="la Unidad"/>
        </w:smartTagPr>
        <w:r>
          <w:t>la Unidad</w:t>
        </w:r>
      </w:smartTag>
      <w:r>
        <w:t xml:space="preserve"> 1, donde consiguió visitas esp</w:t>
      </w:r>
      <w:r>
        <w:t>e</w:t>
      </w:r>
      <w:r>
        <w:t>ciales, almorzar y tomar café en el juzgado, y tener cie</w:t>
      </w:r>
      <w:r>
        <w:t>r</w:t>
      </w:r>
      <w:r>
        <w:t>ta amistad o relaciones con la gente del mismo. Después que se demostraron sus mentiras, lo mandaron a Sierra Ch</w:t>
      </w:r>
      <w:r>
        <w:t>i</w:t>
      </w:r>
      <w:r>
        <w:t>ca. Aquí utilizando a los diputados, obtuvo una serie de beneficios y lo único que hizo fue desviar la investig</w:t>
      </w:r>
      <w:r>
        <w:t>a</w:t>
      </w:r>
      <w:r>
        <w:t>ción.</w:t>
      </w:r>
    </w:p>
    <w:p w:rsidR="00224567" w:rsidRDefault="00224567">
      <w:pPr>
        <w:widowControl w:val="0"/>
        <w:tabs>
          <w:tab w:val="left" w:pos="2835"/>
        </w:tabs>
      </w:pPr>
      <w:r>
        <w:rPr>
          <w:lang w:val="es-AR"/>
        </w:rPr>
        <w:tab/>
      </w:r>
      <w:r>
        <w:t>Consultado sobre si Mario Bareiro t</w:t>
      </w:r>
      <w:r>
        <w:t>u</w:t>
      </w:r>
      <w:r>
        <w:t>vo trato con Solari en la brigada, dijo que el nombrado se desempeñaba como oficial de servicio; y su función es co</w:t>
      </w:r>
      <w:r>
        <w:t>n</w:t>
      </w:r>
      <w:r>
        <w:t>trolar a los detenidos durante las veinticuatro horas en que se desempeña como tal, evitar cualquier tipo de pr</w:t>
      </w:r>
      <w:r>
        <w:t>o</w:t>
      </w:r>
      <w:r>
        <w:t>blemas que pueda orig</w:t>
      </w:r>
      <w:r>
        <w:t>i</w:t>
      </w:r>
      <w:r>
        <w:t>nar el detenido, darle la asistencia que necesita; y si está enfermo, llamar al médico de pol</w:t>
      </w:r>
      <w:r>
        <w:t>i</w:t>
      </w:r>
      <w:r>
        <w:t>cía para que lo asista.</w:t>
      </w:r>
    </w:p>
    <w:p w:rsidR="00224567" w:rsidRDefault="00224567">
      <w:pPr>
        <w:widowControl w:val="0"/>
        <w:tabs>
          <w:tab w:val="left" w:pos="2835"/>
        </w:tabs>
        <w:rPr>
          <w:lang w:val="es-AR"/>
        </w:rPr>
      </w:pPr>
      <w:r>
        <w:tab/>
        <w:t>La brigada era muy especial, con re</w:t>
      </w:r>
      <w:r>
        <w:t>s</w:t>
      </w:r>
      <w:r>
        <w:t>pecto a los calabozos. Tenía un sistema por el cual no i</w:t>
      </w:r>
      <w:r>
        <w:t>n</w:t>
      </w:r>
      <w:r>
        <w:t>gresaba ningún tipo de comida, ni de vestimenta, ni de m</w:t>
      </w:r>
      <w:r>
        <w:t>e</w:t>
      </w:r>
      <w:r>
        <w:t>dicamento; todos esos elementos los proveía la brigada. Solari obtuvo información de los diarios.</w:t>
      </w:r>
    </w:p>
    <w:p w:rsidR="00224567" w:rsidRDefault="00224567">
      <w:pPr>
        <w:widowControl w:val="0"/>
        <w:tabs>
          <w:tab w:val="left" w:pos="2835"/>
        </w:tabs>
        <w:rPr>
          <w:lang w:val="es-AR"/>
        </w:rPr>
      </w:pPr>
      <w:r>
        <w:rPr>
          <w:lang w:val="es-AR"/>
        </w:rPr>
        <w:tab/>
        <w:t>Relató que pese a que él cumplía sus tareas realizando investigaciones en la</w:t>
      </w:r>
      <w:r>
        <w:t xml:space="preserve"> calle y, por ta</w:t>
      </w:r>
      <w:r>
        <w:t>n</w:t>
      </w:r>
      <w:r>
        <w:t>to, no tenía trato con los detenidos, puede decir que cualquier persona o cualquier detenido tenía un diario, como lo tuvo Solari en la cárcel, es decir esa persona e</w:t>
      </w:r>
      <w:r>
        <w:t>x</w:t>
      </w:r>
      <w:r>
        <w:t>plotó la información que el doctor Galeano o quién fuere le daba a la prensa, que era parte de la causa. Lo que se dice en los diarios y en las declar</w:t>
      </w:r>
      <w:r>
        <w:t>a</w:t>
      </w:r>
      <w:r>
        <w:t>ciones de Solari es lo mismo.</w:t>
      </w:r>
    </w:p>
    <w:p w:rsidR="00224567" w:rsidRDefault="00224567">
      <w:pPr>
        <w:widowControl w:val="0"/>
        <w:tabs>
          <w:tab w:val="left" w:pos="2835"/>
        </w:tabs>
        <w:rPr>
          <w:lang w:val="es-AR"/>
        </w:rPr>
      </w:pPr>
      <w:r>
        <w:rPr>
          <w:lang w:val="es-AR"/>
        </w:rPr>
        <w:tab/>
        <w:t>No está seguro pero que cree que Sol</w:t>
      </w:r>
      <w:r>
        <w:rPr>
          <w:lang w:val="es-AR"/>
        </w:rPr>
        <w:t>a</w:t>
      </w:r>
      <w:r>
        <w:rPr>
          <w:lang w:val="es-AR"/>
        </w:rPr>
        <w:t>ri llegó</w:t>
      </w:r>
      <w:r>
        <w:t xml:space="preserve"> de otra d</w:t>
      </w:r>
      <w:r>
        <w:t>e</w:t>
      </w:r>
      <w:r>
        <w:t xml:space="preserve">pendencia, vino de </w:t>
      </w:r>
      <w:smartTag w:uri="urn:schemas-microsoft-com:office:smarttags" w:element="PersonName">
        <w:smartTagPr>
          <w:attr w:name="ProductID" w:val="la Brigada"/>
        </w:smartTagPr>
        <w:r>
          <w:t>la Brigada</w:t>
        </w:r>
      </w:smartTag>
      <w:r>
        <w:t xml:space="preserve"> de Tigre o de otra brigada cercana, porque era un detenido confli</w:t>
      </w:r>
      <w:r>
        <w:t>c</w:t>
      </w:r>
      <w:r>
        <w:t>tivo y no lo querían tener en ningún lado. Como Vicente López tenía unos calabozos muy seguros, muy e</w:t>
      </w:r>
      <w:r>
        <w:t>s</w:t>
      </w:r>
      <w:r>
        <w:t>peciales, y el sistema era en base a un reglamento, lo mandan ahí.</w:t>
      </w:r>
    </w:p>
    <w:p w:rsidR="00224567" w:rsidRDefault="00224567">
      <w:pPr>
        <w:widowControl w:val="0"/>
        <w:tabs>
          <w:tab w:val="left" w:pos="2835"/>
        </w:tabs>
      </w:pPr>
      <w:r>
        <w:rPr>
          <w:lang w:val="es-AR"/>
        </w:rPr>
        <w:tab/>
      </w:r>
      <w:r>
        <w:t xml:space="preserve">Afirmó que no tiene conocimiento que Ribelli se haya entrevistado con Solari o Bareiro en el ámbito de </w:t>
      </w:r>
      <w:smartTag w:uri="urn:schemas-microsoft-com:office:smarttags" w:element="PersonName">
        <w:smartTagPr>
          <w:attr w:name="ProductID" w:val="la Brigada"/>
        </w:smartTagPr>
        <w:r>
          <w:t>la Brigada</w:t>
        </w:r>
      </w:smartTag>
      <w:r>
        <w:t xml:space="preserve"> de Vicente López.</w:t>
      </w:r>
    </w:p>
    <w:p w:rsidR="00224567" w:rsidRDefault="00224567">
      <w:pPr>
        <w:widowControl w:val="0"/>
        <w:tabs>
          <w:tab w:val="left" w:pos="2835"/>
        </w:tabs>
      </w:pPr>
      <w:r>
        <w:tab/>
        <w:t xml:space="preserve">Reconoció haber llamado por teléfono el día 27 de julio de </w:t>
      </w:r>
      <w:smartTag w:uri="urn:schemas-microsoft-com:office:smarttags" w:element="metricconverter">
        <w:smartTagPr>
          <w:attr w:name="ProductID" w:val="1994 a"/>
        </w:smartTagPr>
        <w:r>
          <w:t>1994 a</w:t>
        </w:r>
      </w:smartTag>
      <w:r>
        <w:t xml:space="preserve"> lo de Telleldín. Explicó que recibió en su radiomensaje un radio en el cual le dijeron que se comunicara a este teléf</w:t>
      </w:r>
      <w:r>
        <w:t>o</w:t>
      </w:r>
      <w:r>
        <w:t>no, así lo hizo y habló con Mario Bareiro.</w:t>
      </w:r>
    </w:p>
    <w:p w:rsidR="00224567" w:rsidRDefault="00224567">
      <w:pPr>
        <w:widowControl w:val="0"/>
        <w:tabs>
          <w:tab w:val="left" w:pos="2835"/>
        </w:tabs>
      </w:pPr>
      <w:r>
        <w:tab/>
        <w:t>Con respecto a la transcripción de esa conversación tel</w:t>
      </w:r>
      <w:r>
        <w:t>e</w:t>
      </w:r>
      <w:r>
        <w:t>fónica, señaló que quisiera oír el casete porque de allí surge que está hablando un tal Héctor y él no es Héctor Leal. Nunca la pudo escuchar y así como se han armado tantas cosas, también ese diálogo lo está. A</w:t>
      </w:r>
      <w:r>
        <w:t>d</w:t>
      </w:r>
      <w:r>
        <w:t>mitió haber efectuado el llamado, pero no lo que surge del texto volcado. No recordó lo hablado, pero sí que no fue lo que está escrito.</w:t>
      </w:r>
    </w:p>
    <w:p w:rsidR="00224567" w:rsidRDefault="00224567">
      <w:pPr>
        <w:widowControl w:val="0"/>
        <w:tabs>
          <w:tab w:val="left" w:pos="2835"/>
        </w:tabs>
      </w:pPr>
      <w:r>
        <w:tab/>
        <w:t xml:space="preserve">Expresó que cuando habló el día 27 de julio a lo de Telleldín no dialogó con oficiales de </w:t>
      </w:r>
      <w:smartTag w:uri="urn:schemas-microsoft-com:office:smarttags" w:element="PersonName">
        <w:smartTagPr>
          <w:attr w:name="ProductID" w:val="la Polic￭a Federal"/>
        </w:smartTagPr>
        <w:r>
          <w:t>la P</w:t>
        </w:r>
        <w:r>
          <w:t>o</w:t>
        </w:r>
        <w:r>
          <w:t>licía Federal</w:t>
        </w:r>
      </w:smartTag>
      <w:r>
        <w:t>, sólo lo hizo con B</w:t>
      </w:r>
      <w:r>
        <w:t>a</w:t>
      </w:r>
      <w:r>
        <w:t>reiro.</w:t>
      </w:r>
    </w:p>
    <w:p w:rsidR="00224567" w:rsidRDefault="00224567">
      <w:pPr>
        <w:widowControl w:val="0"/>
        <w:tabs>
          <w:tab w:val="left" w:pos="2835"/>
        </w:tabs>
      </w:pPr>
      <w:r>
        <w:tab/>
        <w:t>Cuando se le indicó que en el listado telefónico aparecen tres llamadas efectuadas del nº 440-</w:t>
      </w:r>
      <w:smartTag w:uri="urn:schemas-microsoft-com:office:smarttags" w:element="metricconverter">
        <w:smartTagPr>
          <w:attr w:name="ProductID" w:val="2132 a"/>
        </w:smartTagPr>
        <w:r>
          <w:t>2132 a</w:t>
        </w:r>
      </w:smartTag>
      <w:r>
        <w:t xml:space="preserve"> la casa de Telleldín; uno a las 22.43, otro a la 22.53 y un tercero a la 23.42, manifestó que habló una s</w:t>
      </w:r>
      <w:r>
        <w:t>o</w:t>
      </w:r>
      <w:r>
        <w:t>la vez con Bareiro. Con relación a las otras dos quizás pudo haber llamado y daba ocupado. Agregó que si aparece esa casete, se conocerá qué conversaciones existieron, puesto que ese día estaba intervenido el teléfono de T</w:t>
      </w:r>
      <w:r>
        <w:t>e</w:t>
      </w:r>
      <w:r>
        <w:t>lleldín.</w:t>
      </w:r>
    </w:p>
    <w:p w:rsidR="00224567" w:rsidRDefault="00224567">
      <w:pPr>
        <w:widowControl w:val="0"/>
        <w:tabs>
          <w:tab w:val="left" w:pos="2835"/>
        </w:tabs>
      </w:pPr>
      <w:r>
        <w:tab/>
        <w:t>Al marcársele la contradicción con lo que refirió en la declaración indagatoria del 25 de j</w:t>
      </w:r>
      <w:r>
        <w:t>u</w:t>
      </w:r>
      <w:r>
        <w:t>lio de 1996, donde negó la existencia de esas llamadas y adm</w:t>
      </w:r>
      <w:r>
        <w:t>i</w:t>
      </w:r>
      <w:r>
        <w:t>tió que pudo haber sucedido que Bareiro le dejara un rec</w:t>
      </w:r>
      <w:r>
        <w:t>a</w:t>
      </w:r>
      <w:r>
        <w:t>do en su radio-mensaje, contestó que ahora ha leído el listado de llamadas del Movicom que está en la causa, pero antes no lo tenía y pensaba que no había efectuado el ll</w:t>
      </w:r>
      <w:r>
        <w:t>a</w:t>
      </w:r>
      <w:r>
        <w:t>mado. También le dijeron que había llamado a la casa de Telleldín, pero él no sabía cuál era el número de esta persona; lo aprendió a través de la lectura de estos a</w:t>
      </w:r>
      <w:r>
        <w:t>u</w:t>
      </w:r>
      <w:r>
        <w:t>tos.</w:t>
      </w:r>
    </w:p>
    <w:p w:rsidR="00224567" w:rsidRDefault="00224567">
      <w:pPr>
        <w:widowControl w:val="0"/>
        <w:tabs>
          <w:tab w:val="left" w:pos="2835"/>
        </w:tabs>
      </w:pPr>
      <w:r>
        <w:tab/>
        <w:t>Añadió que en aquella declaración no se le exhibió el registro de llamadas, sino una transcri</w:t>
      </w:r>
      <w:r>
        <w:t>p</w:t>
      </w:r>
      <w:r>
        <w:t>ción de la conversación telefónica. Lo que le mostraron fueron tres llamados separados de todo el listado en gen</w:t>
      </w:r>
      <w:r>
        <w:t>e</w:t>
      </w:r>
      <w:r>
        <w:t>ral. Posteriormente solicitó la nómina de c</w:t>
      </w:r>
      <w:r>
        <w:t>o</w:t>
      </w:r>
      <w:r>
        <w:t>municaciones a Movicom y observó los llamados que su</w:t>
      </w:r>
      <w:r>
        <w:t>r</w:t>
      </w:r>
      <w:r>
        <w:t>gen.</w:t>
      </w:r>
    </w:p>
    <w:p w:rsidR="00224567" w:rsidRDefault="00224567">
      <w:pPr>
        <w:widowControl w:val="0"/>
        <w:tabs>
          <w:tab w:val="left" w:pos="2835"/>
        </w:tabs>
      </w:pPr>
      <w:r>
        <w:tab/>
        <w:t>Cuando se le señaló que, de las tres comunicaciones a casa de Telleldín, hay una de tres min</w:t>
      </w:r>
      <w:r>
        <w:t>u</w:t>
      </w:r>
      <w:r>
        <w:t>tos de duración, otra de dos minutos y una tercera de un minuto, reiteró que habló una sola vez con Bareiro y nada más, por lo que no sabe responder al respecto.</w:t>
      </w:r>
    </w:p>
    <w:p w:rsidR="00224567" w:rsidRDefault="00224567">
      <w:pPr>
        <w:widowControl w:val="0"/>
        <w:tabs>
          <w:tab w:val="left" w:pos="2835"/>
        </w:tabs>
      </w:pPr>
      <w:r>
        <w:tab/>
        <w:t>Expuso que con anterioridad al proc</w:t>
      </w:r>
      <w:r>
        <w:t>e</w:t>
      </w:r>
      <w:r>
        <w:t>dimiento nunca se comunicó a la vivienda de T</w:t>
      </w:r>
      <w:r>
        <w:t>e</w:t>
      </w:r>
      <w:r>
        <w:t>lleldín. El 14 de julio se hizo un llamado a ese d</w:t>
      </w:r>
      <w:r>
        <w:t>o</w:t>
      </w:r>
      <w:r>
        <w:t>micilio, para saber si aún tenía un vehículo, y una persona con voz femenina informó que ya se había vendido. Cuando Bare</w:t>
      </w:r>
      <w:r>
        <w:t>i</w:t>
      </w:r>
      <w:r>
        <w:t>ro habló por teléfono e</w:t>
      </w:r>
      <w:r>
        <w:t>s</w:t>
      </w:r>
      <w:r>
        <w:t>taban juntos en una oficina de la brigada.</w:t>
      </w:r>
    </w:p>
    <w:p w:rsidR="00224567" w:rsidRDefault="00224567">
      <w:pPr>
        <w:widowControl w:val="0"/>
        <w:tabs>
          <w:tab w:val="left" w:pos="2835"/>
        </w:tabs>
      </w:pPr>
      <w:r>
        <w:tab/>
        <w:t>El día 14, cuando se comunicó a lo de Telleldín, estaba con Bareiro y éste le dio el número de teléfono. Atendió un chico, no preguntó si en la casa h</w:t>
      </w:r>
      <w:r>
        <w:t>a</w:t>
      </w:r>
      <w:r>
        <w:t>bía alguien más y cortaron. Tampoco le preguntó a Bareiro si había alguien más en la casa.</w:t>
      </w:r>
    </w:p>
    <w:p w:rsidR="00224567" w:rsidRDefault="00224567">
      <w:pPr>
        <w:widowControl w:val="0"/>
        <w:tabs>
          <w:tab w:val="left" w:pos="2835"/>
        </w:tabs>
      </w:pPr>
      <w:r>
        <w:tab/>
        <w:t>Asimismo dijo que no recuerda quién contestó por teléfono el día 27.</w:t>
      </w:r>
    </w:p>
    <w:p w:rsidR="00224567" w:rsidRDefault="00224567">
      <w:pPr>
        <w:widowControl w:val="0"/>
        <w:tabs>
          <w:tab w:val="left" w:pos="2835"/>
        </w:tabs>
      </w:pPr>
      <w:r>
        <w:tab/>
        <w:t>Interrogado acerca de por qué siguió haciendo el procedimiento si por teléfono ya se había e</w:t>
      </w:r>
      <w:r>
        <w:t>n</w:t>
      </w:r>
      <w:r>
        <w:t>terado que se había vendido el vehíc</w:t>
      </w:r>
      <w:r>
        <w:t>u</w:t>
      </w:r>
      <w:r>
        <w:t>lo, respondió porque había un Renault 19.</w:t>
      </w:r>
    </w:p>
    <w:p w:rsidR="00224567" w:rsidRDefault="00224567">
      <w:pPr>
        <w:widowControl w:val="0"/>
        <w:tabs>
          <w:tab w:val="left" w:pos="2835"/>
        </w:tabs>
      </w:pPr>
      <w:r>
        <w:tab/>
        <w:t>Preguntado puntualmente al respecto dijo no recordar que Bareiro o Barreda le hayan indicado que se apresurara a realizar el procedimiento porque exi</w:t>
      </w:r>
      <w:r>
        <w:t>s</w:t>
      </w:r>
      <w:r>
        <w:t>tía el riesgo de que Telleldín hiciera desaparecer algún vehículo.</w:t>
      </w:r>
    </w:p>
    <w:p w:rsidR="00224567" w:rsidRDefault="00224567">
      <w:pPr>
        <w:widowControl w:val="0"/>
        <w:tabs>
          <w:tab w:val="left" w:pos="2835"/>
        </w:tabs>
      </w:pPr>
      <w:r>
        <w:tab/>
        <w:t>También puntualizó que tenía conoc</w:t>
      </w:r>
      <w:r>
        <w:t>i</w:t>
      </w:r>
      <w:r>
        <w:t>miento que Barreda o Bareiro cooperaron con personal pol</w:t>
      </w:r>
      <w:r>
        <w:t>i</w:t>
      </w:r>
      <w:r>
        <w:t xml:space="preserve">cial o con personal de </w:t>
      </w:r>
      <w:smartTag w:uri="urn:schemas-microsoft-com:office:smarttags" w:element="PersonName">
        <w:smartTagPr>
          <w:attr w:name="ProductID" w:val="la S.I"/>
        </w:smartTagPr>
        <w:r>
          <w:t>la S.I</w:t>
        </w:r>
      </w:smartTag>
      <w:r>
        <w:t>.D.E. en la investig</w:t>
      </w:r>
      <w:r>
        <w:t>a</w:t>
      </w:r>
      <w:r>
        <w:t xml:space="preserve">ción del atentado, ya que estando en </w:t>
      </w:r>
      <w:smartTag w:uri="urn:schemas-microsoft-com:office:smarttags" w:element="PersonName">
        <w:smartTagPr>
          <w:attr w:name="ProductID" w:val="la Brigada"/>
        </w:smartTagPr>
        <w:r>
          <w:t>la Brigada</w:t>
        </w:r>
      </w:smartTag>
      <w:r>
        <w:t xml:space="preserve"> de I</w:t>
      </w:r>
      <w:r>
        <w:t>n</w:t>
      </w:r>
      <w:r>
        <w:t>vestigaciones de Vicente López, Bareiro fue desafectado de sus funciones como oficial de servicio y fue a tr</w:t>
      </w:r>
      <w:r>
        <w:t>a</w:t>
      </w:r>
      <w:r>
        <w:t xml:space="preserve">bajar con personal de </w:t>
      </w:r>
      <w:smartTag w:uri="urn:schemas-microsoft-com:office:smarttags" w:element="PersonName">
        <w:smartTagPr>
          <w:attr w:name="ProductID" w:val="la Secretar￭a"/>
        </w:smartTagPr>
        <w:r>
          <w:t>la Secretaría</w:t>
        </w:r>
      </w:smartTag>
      <w:r>
        <w:t xml:space="preserve"> de Inteligencia; cree que incluso en la ca</w:t>
      </w:r>
      <w:r>
        <w:t>u</w:t>
      </w:r>
      <w:r>
        <w:t>sa figura el informe de que ellos colaboraron con dicho organismo. Además, precisó Leal, ellos fueron de las pri</w:t>
      </w:r>
      <w:r>
        <w:t>n</w:t>
      </w:r>
      <w:r>
        <w:t>cipales personas que c</w:t>
      </w:r>
      <w:r>
        <w:t>o</w:t>
      </w:r>
      <w:r>
        <w:t>laboraron para detener a Telleldín, porque gracias a ellos regresó de donde estaba, aparent</w:t>
      </w:r>
      <w:r>
        <w:t>e</w:t>
      </w:r>
      <w:r>
        <w:t>mente Posadas, se logró aprehenderlo, se obtuvo inform</w:t>
      </w:r>
      <w:r>
        <w:t>a</w:t>
      </w:r>
      <w:r>
        <w:t>ción y se aportaron los eleme</w:t>
      </w:r>
      <w:r>
        <w:t>n</w:t>
      </w:r>
      <w:r>
        <w:t>tos que existen en la causa. Todo ello surge de la causa, aclaró Leal.</w:t>
      </w:r>
    </w:p>
    <w:p w:rsidR="00224567" w:rsidRDefault="00224567">
      <w:pPr>
        <w:widowControl w:val="0"/>
        <w:tabs>
          <w:tab w:val="left" w:pos="2835"/>
        </w:tabs>
      </w:pPr>
      <w:r>
        <w:tab/>
        <w:t>Indicó que no sabe cómo se cone</w:t>
      </w:r>
      <w:r>
        <w:t>c</w:t>
      </w:r>
      <w:r>
        <w:t xml:space="preserve">taron con </w:t>
      </w:r>
      <w:smartTag w:uri="urn:schemas-microsoft-com:office:smarttags" w:element="PersonName">
        <w:smartTagPr>
          <w:attr w:name="ProductID" w:val="la S.I"/>
        </w:smartTagPr>
        <w:r>
          <w:t>la S.I</w:t>
        </w:r>
      </w:smartTag>
      <w:r>
        <w:t>.D.E, sólo conoce lo que surge de la causa re</w:t>
      </w:r>
      <w:r>
        <w:t>s</w:t>
      </w:r>
      <w:r>
        <w:t>pecto al día 27 de julio en el domicilio de Telle</w:t>
      </w:r>
      <w:r>
        <w:t>l</w:t>
      </w:r>
      <w:r>
        <w:t>dín. En los libros de guardia de la brigada debe figurar que B</w:t>
      </w:r>
      <w:r>
        <w:t>a</w:t>
      </w:r>
      <w:r>
        <w:t xml:space="preserve">reiro no prestó servicios por un tiempo, ya que trabajaba en </w:t>
      </w:r>
      <w:smartTag w:uri="urn:schemas-microsoft-com:office:smarttags" w:element="PersonName">
        <w:smartTagPr>
          <w:attr w:name="ProductID" w:val="la S.I"/>
        </w:smartTagPr>
        <w:r>
          <w:t>la S.I</w:t>
        </w:r>
      </w:smartTag>
      <w:r>
        <w:t>.D.E.</w:t>
      </w:r>
    </w:p>
    <w:p w:rsidR="00224567" w:rsidRDefault="00224567">
      <w:pPr>
        <w:widowControl w:val="0"/>
        <w:tabs>
          <w:tab w:val="left" w:pos="2835"/>
        </w:tabs>
      </w:pPr>
      <w:r>
        <w:tab/>
        <w:t>Desconoce si esa Secretaría proveyó algún teléfono cel</w:t>
      </w:r>
      <w:r>
        <w:t>u</w:t>
      </w:r>
      <w:r>
        <w:t>lar a Bareiro y Barreda.</w:t>
      </w:r>
    </w:p>
    <w:p w:rsidR="00224567" w:rsidRDefault="00224567">
      <w:pPr>
        <w:widowControl w:val="0"/>
        <w:tabs>
          <w:tab w:val="left" w:pos="2835"/>
        </w:tabs>
      </w:pPr>
      <w:r>
        <w:tab/>
        <w:t xml:space="preserve">Reiteró que, después del 14 de julio de 1994, Bareiro y Barreda empezaron a trabajar con </w:t>
      </w:r>
      <w:smartTag w:uri="urn:schemas-microsoft-com:office:smarttags" w:element="PersonName">
        <w:smartTagPr>
          <w:attr w:name="ProductID" w:val="la S.I"/>
        </w:smartTagPr>
        <w:r>
          <w:t>la S.I</w:t>
        </w:r>
      </w:smartTag>
      <w:r>
        <w:t>.D.E. y se desvincularon de la depe</w:t>
      </w:r>
      <w:r>
        <w:t>n</w:t>
      </w:r>
      <w:r>
        <w:t>dencia. Después que se escapó Telleldín él no hizo ningún tipo de tareas de inteligencia. Si hubiese sabido que Telleldín realmente poseía un vehículo de procedencia ilícita, hubiese solic</w:t>
      </w:r>
      <w:r>
        <w:t>i</w:t>
      </w:r>
      <w:r>
        <w:t>tado un allan</w:t>
      </w:r>
      <w:r>
        <w:t>a</w:t>
      </w:r>
      <w:r>
        <w:t>miento. La brigada iba a actuar en base a la información que obtuvieran Bareiro y Barreda en el domic</w:t>
      </w:r>
      <w:r>
        <w:t>i</w:t>
      </w:r>
      <w:r>
        <w:t>lio de Telleldín.</w:t>
      </w:r>
    </w:p>
    <w:p w:rsidR="00224567" w:rsidRDefault="00224567">
      <w:pPr>
        <w:widowControl w:val="0"/>
        <w:tabs>
          <w:tab w:val="left" w:pos="2835"/>
        </w:tabs>
        <w:rPr>
          <w:lang w:val="es-ES_tradnl"/>
        </w:rPr>
      </w:pPr>
      <w:r>
        <w:tab/>
      </w:r>
      <w:r>
        <w:rPr>
          <w:lang w:val="es-ES_tradnl"/>
        </w:rPr>
        <w:t>En la audiencia de debate se incorp</w:t>
      </w:r>
      <w:r>
        <w:rPr>
          <w:lang w:val="es-ES_tradnl"/>
        </w:rPr>
        <w:t>o</w:t>
      </w:r>
      <w:r>
        <w:rPr>
          <w:lang w:val="es-ES_tradnl"/>
        </w:rPr>
        <w:t>raron fragmentos de la declaración indagatoria prestada el 25 de julio de 1996 por Anastasio Ireneo Leal (fs. 39.831/39.833). Allí se le habían exhibido detalles de llamadas efectuadas desde el abonado nº 440-2132 (número de aparato celular de Leal) al nº 768-0902 (número de t</w:t>
      </w:r>
      <w:r>
        <w:rPr>
          <w:lang w:val="es-ES_tradnl"/>
        </w:rPr>
        <w:t>e</w:t>
      </w:r>
      <w:r>
        <w:rPr>
          <w:lang w:val="es-ES_tradnl"/>
        </w:rPr>
        <w:t>léfono del domicilio de T</w:t>
      </w:r>
      <w:r>
        <w:rPr>
          <w:lang w:val="es-ES_tradnl"/>
        </w:rPr>
        <w:t>e</w:t>
      </w:r>
      <w:r>
        <w:rPr>
          <w:lang w:val="es-ES_tradnl"/>
        </w:rPr>
        <w:t>lleldín), una del 14 de julio de 1994 y las otras tres del 27 de julio de 1994 y dijo que ninguno de los llamados los efectuó él. Agregó que puede ser que le haya prestado su teléfono celular a Bareiro y que éste se haya comunicado con el número mencionado. Nu</w:t>
      </w:r>
      <w:r>
        <w:rPr>
          <w:lang w:val="es-ES_tradnl"/>
        </w:rPr>
        <w:t>n</w:t>
      </w:r>
      <w:r>
        <w:rPr>
          <w:lang w:val="es-ES_tradnl"/>
        </w:rPr>
        <w:t>ca mantuvo conversación con Telleldín ni con famili</w:t>
      </w:r>
      <w:r>
        <w:rPr>
          <w:lang w:val="es-ES_tradnl"/>
        </w:rPr>
        <w:t>a</w:t>
      </w:r>
      <w:r>
        <w:rPr>
          <w:lang w:val="es-ES_tradnl"/>
        </w:rPr>
        <w:t>res o conocidos de éste.</w:t>
      </w:r>
    </w:p>
    <w:p w:rsidR="00224567" w:rsidRDefault="00224567">
      <w:pPr>
        <w:widowControl w:val="0"/>
        <w:tabs>
          <w:tab w:val="left" w:pos="2835"/>
        </w:tabs>
        <w:rPr>
          <w:lang w:val="es-ES_tradnl"/>
        </w:rPr>
      </w:pPr>
      <w:r>
        <w:rPr>
          <w:lang w:val="es-ES_tradnl"/>
        </w:rPr>
        <w:tab/>
        <w:t>Se dio lectura a la transcripción de la conversación ma</w:t>
      </w:r>
      <w:r>
        <w:rPr>
          <w:lang w:val="es-ES_tradnl"/>
        </w:rPr>
        <w:t>n</w:t>
      </w:r>
      <w:r>
        <w:rPr>
          <w:lang w:val="es-ES_tradnl"/>
        </w:rPr>
        <w:t>tenida con fecha 27 de julio de 1994 e interrogado acerca de si reconocía su existencia, afirmó que puede ser que Bareiro le haya dejado un recado en su radio-mensaje, solicitándole que lo llamara al teléfono mencionado, pero no recordó haber mantenido esa convers</w:t>
      </w:r>
      <w:r>
        <w:rPr>
          <w:lang w:val="es-ES_tradnl"/>
        </w:rPr>
        <w:t>a</w:t>
      </w:r>
      <w:r>
        <w:rPr>
          <w:lang w:val="es-ES_tradnl"/>
        </w:rPr>
        <w:t>ción. Asimismo solicitó escuchar la casete correspondie</w:t>
      </w:r>
      <w:r>
        <w:rPr>
          <w:lang w:val="es-ES_tradnl"/>
        </w:rPr>
        <w:t>n</w:t>
      </w:r>
      <w:r>
        <w:rPr>
          <w:lang w:val="es-ES_tradnl"/>
        </w:rPr>
        <w:t>te, lo que no pudo llevarse a cabo debido a que -según lo que surge del acta- no había sido recepcionado en el ju</w:t>
      </w:r>
      <w:r>
        <w:rPr>
          <w:lang w:val="es-ES_tradnl"/>
        </w:rPr>
        <w:t>z</w:t>
      </w:r>
      <w:r>
        <w:rPr>
          <w:lang w:val="es-ES_tradnl"/>
        </w:rPr>
        <w:t>gado instructor. Firmó, al igual que su defensor, las f</w:t>
      </w:r>
      <w:r>
        <w:rPr>
          <w:lang w:val="es-ES_tradnl"/>
        </w:rPr>
        <w:t>o</w:t>
      </w:r>
      <w:r>
        <w:rPr>
          <w:lang w:val="es-ES_tradnl"/>
        </w:rPr>
        <w:t>tocopias certificadas del listado de llamadas y de la trascripción, que se encuentran agregadas como parte int</w:t>
      </w:r>
      <w:r>
        <w:rPr>
          <w:lang w:val="es-ES_tradnl"/>
        </w:rPr>
        <w:t>e</w:t>
      </w:r>
      <w:r>
        <w:rPr>
          <w:lang w:val="es-ES_tradnl"/>
        </w:rPr>
        <w:t>grante de la declaración.</w:t>
      </w:r>
    </w:p>
    <w:p w:rsidR="00224567" w:rsidRDefault="00224567">
      <w:pPr>
        <w:widowControl w:val="0"/>
        <w:tabs>
          <w:tab w:val="left" w:pos="2835"/>
        </w:tabs>
        <w:rPr>
          <w:lang w:val="es-ES_tradnl"/>
        </w:rPr>
      </w:pPr>
      <w:r>
        <w:rPr>
          <w:lang w:val="es-ES_tradnl"/>
        </w:rPr>
        <w:tab/>
        <w:t>Afirmó que el código de su radio-ll</w:t>
      </w:r>
      <w:r>
        <w:rPr>
          <w:lang w:val="es-ES_tradnl"/>
        </w:rPr>
        <w:t>a</w:t>
      </w:r>
      <w:r>
        <w:rPr>
          <w:lang w:val="es-ES_tradnl"/>
        </w:rPr>
        <w:t>mado era 13.623 y el nº de teléfono 311-0056/9 ó 319-9000. Señaló que a Telleldín el único día que lo vio fue cuando lo persiguió con su vehículo. A Ibarra lo conoció con motivo de esta causa. Con Ribelli nunca tuvo contacto, ta</w:t>
      </w:r>
      <w:r>
        <w:rPr>
          <w:lang w:val="es-ES_tradnl"/>
        </w:rPr>
        <w:t>m</w:t>
      </w:r>
      <w:r>
        <w:rPr>
          <w:lang w:val="es-ES_tradnl"/>
        </w:rPr>
        <w:t>poco con su gente.</w:t>
      </w:r>
    </w:p>
    <w:p w:rsidR="00224567" w:rsidRDefault="00224567">
      <w:pPr>
        <w:widowControl w:val="0"/>
        <w:tabs>
          <w:tab w:val="left" w:pos="2835"/>
        </w:tabs>
        <w:rPr>
          <w:lang w:val="es-ES_tradnl"/>
        </w:rPr>
      </w:pPr>
      <w:r>
        <w:rPr>
          <w:lang w:val="es-ES_tradnl"/>
        </w:rPr>
        <w:tab/>
        <w:t>No se hacía llamar ni se ident</w:t>
      </w:r>
      <w:r>
        <w:rPr>
          <w:lang w:val="es-ES_tradnl"/>
        </w:rPr>
        <w:t>i</w:t>
      </w:r>
      <w:r>
        <w:rPr>
          <w:lang w:val="es-ES_tradnl"/>
        </w:rPr>
        <w:t>ficaba con el nombre de Héctor, sino que se hacía llamar “P</w:t>
      </w:r>
      <w:r>
        <w:rPr>
          <w:lang w:val="es-ES_tradnl"/>
        </w:rPr>
        <w:t>i</w:t>
      </w:r>
      <w:r>
        <w:rPr>
          <w:lang w:val="es-ES_tradnl"/>
        </w:rPr>
        <w:t>no”, el hijo de “Pino” o Anastasio o Leal.</w:t>
      </w:r>
    </w:p>
    <w:p w:rsidR="00224567" w:rsidRDefault="00224567">
      <w:pPr>
        <w:widowControl w:val="0"/>
        <w:tabs>
          <w:tab w:val="left" w:pos="2835"/>
        </w:tabs>
        <w:rPr>
          <w:lang w:val="es-ES_tradnl"/>
        </w:rPr>
      </w:pPr>
      <w:r>
        <w:rPr>
          <w:lang w:val="es-ES_tradnl"/>
        </w:rPr>
        <w:tab/>
        <w:t xml:space="preserve">El radio-mensaje estuvo en una época a nombre de </w:t>
      </w:r>
      <w:smartTag w:uri="urn:schemas-microsoft-com:office:smarttags" w:element="PersonName">
        <w:smartTagPr>
          <w:attr w:name="ProductID" w:val="la Brigada"/>
        </w:smartTagPr>
        <w:r>
          <w:rPr>
            <w:lang w:val="es-ES_tradnl"/>
          </w:rPr>
          <w:t>la Br</w:t>
        </w:r>
        <w:r>
          <w:rPr>
            <w:lang w:val="es-ES_tradnl"/>
          </w:rPr>
          <w:t>i</w:t>
        </w:r>
        <w:r>
          <w:rPr>
            <w:lang w:val="es-ES_tradnl"/>
          </w:rPr>
          <w:t>gada</w:t>
        </w:r>
      </w:smartTag>
      <w:r>
        <w:rPr>
          <w:lang w:val="es-ES_tradnl"/>
        </w:rPr>
        <w:t xml:space="preserve"> de Investigaciones de Lanús, después, cuando lo trasladaron a </w:t>
      </w:r>
      <w:smartTag w:uri="urn:schemas-microsoft-com:office:smarttags" w:element="PersonName">
        <w:smartTagPr>
          <w:attr w:name="ProductID" w:val="la Brigada"/>
        </w:smartTagPr>
        <w:r>
          <w:rPr>
            <w:lang w:val="es-ES_tradnl"/>
          </w:rPr>
          <w:t>la Brigada</w:t>
        </w:r>
      </w:smartTag>
      <w:r>
        <w:rPr>
          <w:lang w:val="es-ES_tradnl"/>
        </w:rPr>
        <w:t xml:space="preserve"> de Merc</w:t>
      </w:r>
      <w:r>
        <w:rPr>
          <w:lang w:val="es-ES_tradnl"/>
        </w:rPr>
        <w:t>e</w:t>
      </w:r>
      <w:r>
        <w:rPr>
          <w:lang w:val="es-ES_tradnl"/>
        </w:rPr>
        <w:t>des, lo puso a su nombre.</w:t>
      </w:r>
    </w:p>
    <w:p w:rsidR="00224567" w:rsidRDefault="00224567">
      <w:pPr>
        <w:widowControl w:val="0"/>
        <w:tabs>
          <w:tab w:val="left" w:pos="2835"/>
        </w:tabs>
        <w:rPr>
          <w:lang w:val="es-AR"/>
        </w:rPr>
      </w:pPr>
      <w:r>
        <w:rPr>
          <w:lang w:val="es-ES_tradnl"/>
        </w:rPr>
        <w:tab/>
        <w:t>Se pronunció sobre el llamado telef</w:t>
      </w:r>
      <w:r>
        <w:rPr>
          <w:lang w:val="es-ES_tradnl"/>
        </w:rPr>
        <w:t>ó</w:t>
      </w:r>
      <w:r>
        <w:rPr>
          <w:lang w:val="es-ES_tradnl"/>
        </w:rPr>
        <w:t>nico del 14 de julio de 1994, dado que del listado de ll</w:t>
      </w:r>
      <w:r>
        <w:rPr>
          <w:lang w:val="es-ES_tradnl"/>
        </w:rPr>
        <w:t>a</w:t>
      </w:r>
      <w:r>
        <w:rPr>
          <w:lang w:val="es-ES_tradnl"/>
        </w:rPr>
        <w:t>madas incorporado a la declaración indagatoria que se d</w:t>
      </w:r>
      <w:r>
        <w:rPr>
          <w:lang w:val="es-ES_tradnl"/>
        </w:rPr>
        <w:t>e</w:t>
      </w:r>
      <w:r>
        <w:rPr>
          <w:lang w:val="es-ES_tradnl"/>
        </w:rPr>
        <w:t>talla (fs. 39.830) surge que al teléfono 768-0902 de Ca</w:t>
      </w:r>
      <w:r>
        <w:rPr>
          <w:lang w:val="es-ES_tradnl"/>
        </w:rPr>
        <w:t>r</w:t>
      </w:r>
      <w:r>
        <w:rPr>
          <w:lang w:val="es-ES_tradnl"/>
        </w:rPr>
        <w:t>los Alberto Telleldín ingresó una llamada telefónica pr</w:t>
      </w:r>
      <w:r>
        <w:rPr>
          <w:lang w:val="es-ES_tradnl"/>
        </w:rPr>
        <w:t>o</w:t>
      </w:r>
      <w:r>
        <w:rPr>
          <w:lang w:val="es-ES_tradnl"/>
        </w:rPr>
        <w:t>veniente del nº 440-2132 correspondiente a él, en esa f</w:t>
      </w:r>
      <w:r>
        <w:rPr>
          <w:lang w:val="es-ES_tradnl"/>
        </w:rPr>
        <w:t>e</w:t>
      </w:r>
      <w:r>
        <w:rPr>
          <w:lang w:val="es-ES_tradnl"/>
        </w:rPr>
        <w:t>cha a las 19.39. Al respecto dijo que se encontraba a unos cien metros de la casa de Telleldín, esperando que éste regresara, pudiéndose haber efectuado un llamado, a los fines de establecer si éste había ingresado por otro lugar a la vivienda. Bien pudo ocurrir que le prestara el tel</w:t>
      </w:r>
      <w:r>
        <w:rPr>
          <w:lang w:val="es-ES_tradnl"/>
        </w:rPr>
        <w:t>é</w:t>
      </w:r>
      <w:r>
        <w:rPr>
          <w:lang w:val="es-ES_tradnl"/>
        </w:rPr>
        <w:t>fono a Bareiro o que Bareiro le hubiera dado el número, para ver si el hombre había regresado. Agregó que no podía dar una explicación concreta ya que no lo recordaba. Sí pudo afirmar que para ese horario se encontraba en las i</w:t>
      </w:r>
      <w:r>
        <w:rPr>
          <w:lang w:val="es-ES_tradnl"/>
        </w:rPr>
        <w:t>n</w:t>
      </w:r>
      <w:r>
        <w:rPr>
          <w:lang w:val="es-ES_tradnl"/>
        </w:rPr>
        <w:t>mediaciones de la casa de Telleldín esperando que volvi</w:t>
      </w:r>
      <w:r>
        <w:rPr>
          <w:lang w:val="es-ES_tradnl"/>
        </w:rPr>
        <w:t>e</w:t>
      </w:r>
      <w:r>
        <w:rPr>
          <w:lang w:val="es-ES_tradnl"/>
        </w:rPr>
        <w:t>ra. El número se lo tiene que haber aportado Bareiro, ya que él no lo tenía. Interrogado sobre si Bareiro perman</w:t>
      </w:r>
      <w:r>
        <w:rPr>
          <w:lang w:val="es-ES_tradnl"/>
        </w:rPr>
        <w:t>e</w:t>
      </w:r>
      <w:r>
        <w:rPr>
          <w:lang w:val="es-ES_tradnl"/>
        </w:rPr>
        <w:t>ció en las inmediaciones el día y hora en que se efectuó el llamado, Leal dijo que no lo recordaba.</w:t>
      </w:r>
    </w:p>
    <w:p w:rsidR="00224567" w:rsidRDefault="00224567">
      <w:pPr>
        <w:widowControl w:val="0"/>
        <w:tabs>
          <w:tab w:val="left" w:pos="2835"/>
        </w:tabs>
        <w:rPr>
          <w:lang w:val="es-ES_tradnl"/>
        </w:rPr>
      </w:pPr>
      <w:r>
        <w:rPr>
          <w:lang w:val="es-AR"/>
        </w:rPr>
        <w:tab/>
        <w:t xml:space="preserve">Al debate también se incorporaron fragmentos de la declaración indagatoria prestada por Anastasio Ireneo </w:t>
      </w:r>
      <w:r>
        <w:rPr>
          <w:lang w:val="es-ES_tradnl"/>
        </w:rPr>
        <w:t>Leal el 27 de agosto de 1999 (fs. 66.905/66.907). Allí declaró sobre el hecho supuest</w:t>
      </w:r>
      <w:r>
        <w:rPr>
          <w:lang w:val="es-ES_tradnl"/>
        </w:rPr>
        <w:t>a</w:t>
      </w:r>
      <w:r>
        <w:rPr>
          <w:lang w:val="es-ES_tradnl"/>
        </w:rPr>
        <w:t>mente acontecido el 10 de julio de 1994 y so</w:t>
      </w:r>
      <w:r>
        <w:rPr>
          <w:lang w:val="es-ES_tradnl"/>
        </w:rPr>
        <w:t>s</w:t>
      </w:r>
      <w:r>
        <w:rPr>
          <w:lang w:val="es-ES_tradnl"/>
        </w:rPr>
        <w:t>tuvo que, tanto él como Bareiro no se encontraban en el domicilio de Telle</w:t>
      </w:r>
      <w:r>
        <w:rPr>
          <w:lang w:val="es-ES_tradnl"/>
        </w:rPr>
        <w:t>l</w:t>
      </w:r>
      <w:r>
        <w:rPr>
          <w:lang w:val="es-ES_tradnl"/>
        </w:rPr>
        <w:t>dín ese día.</w:t>
      </w:r>
    </w:p>
    <w:p w:rsidR="00224567" w:rsidRDefault="00224567">
      <w:pPr>
        <w:widowControl w:val="0"/>
        <w:tabs>
          <w:tab w:val="left" w:pos="2835"/>
        </w:tabs>
        <w:rPr>
          <w:lang w:val="es-ES_tradnl"/>
        </w:rPr>
      </w:pPr>
      <w:r>
        <w:rPr>
          <w:lang w:val="es-ES_tradnl"/>
        </w:rPr>
        <w:tab/>
        <w:t xml:space="preserve">Bareiro se encontraba, de acuerdo al libro de guardia de </w:t>
      </w:r>
      <w:smartTag w:uri="urn:schemas-microsoft-com:office:smarttags" w:element="PersonName">
        <w:smartTagPr>
          <w:attr w:name="ProductID" w:val="la Brigada"/>
        </w:smartTagPr>
        <w:r>
          <w:rPr>
            <w:lang w:val="es-ES_tradnl"/>
          </w:rPr>
          <w:t>la Brigada</w:t>
        </w:r>
      </w:smartTag>
      <w:r>
        <w:rPr>
          <w:lang w:val="es-ES_tradnl"/>
        </w:rPr>
        <w:t xml:space="preserve"> de Vicente López, como of</w:t>
      </w:r>
      <w:r>
        <w:rPr>
          <w:lang w:val="es-ES_tradnl"/>
        </w:rPr>
        <w:t>i</w:t>
      </w:r>
      <w:r>
        <w:rPr>
          <w:lang w:val="es-ES_tradnl"/>
        </w:rPr>
        <w:t>cial de servicio, habiendo ingresado a las 11.30 y retir</w:t>
      </w:r>
      <w:r>
        <w:rPr>
          <w:lang w:val="es-ES_tradnl"/>
        </w:rPr>
        <w:t>a</w:t>
      </w:r>
      <w:r>
        <w:rPr>
          <w:lang w:val="es-ES_tradnl"/>
        </w:rPr>
        <w:t>do el día 11 cuando vino el relevo. Explicó que el oficial de servicio es el único que no puede retirarse de la d</w:t>
      </w:r>
      <w:r>
        <w:rPr>
          <w:lang w:val="es-ES_tradnl"/>
        </w:rPr>
        <w:t>e</w:t>
      </w:r>
      <w:r>
        <w:rPr>
          <w:lang w:val="es-ES_tradnl"/>
        </w:rPr>
        <w:t>pendencia sin causa ju</w:t>
      </w:r>
      <w:r>
        <w:rPr>
          <w:lang w:val="es-ES_tradnl"/>
        </w:rPr>
        <w:t>s</w:t>
      </w:r>
      <w:r>
        <w:rPr>
          <w:lang w:val="es-ES_tradnl"/>
        </w:rPr>
        <w:t>tificada, ya que es la persona que tiene la llave de los calabozos de la dependencia, y debe ser reemplazado por otro oficial. Agregó que no sólo es responsable de los detenidos, s</w:t>
      </w:r>
      <w:r>
        <w:rPr>
          <w:lang w:val="es-ES_tradnl"/>
        </w:rPr>
        <w:t>i</w:t>
      </w:r>
      <w:r>
        <w:rPr>
          <w:lang w:val="es-ES_tradnl"/>
        </w:rPr>
        <w:t>no de la brigada en sí; es como la “llave” de la dependencia. Señaló que su i</w:t>
      </w:r>
      <w:r>
        <w:rPr>
          <w:lang w:val="es-ES_tradnl"/>
        </w:rPr>
        <w:t>n</w:t>
      </w:r>
      <w:r>
        <w:rPr>
          <w:lang w:val="es-ES_tradnl"/>
        </w:rPr>
        <w:t>tención no es defender a Bareiro, sino que se remite a los eleme</w:t>
      </w:r>
      <w:r>
        <w:rPr>
          <w:lang w:val="es-ES_tradnl"/>
        </w:rPr>
        <w:t>n</w:t>
      </w:r>
      <w:r>
        <w:rPr>
          <w:lang w:val="es-ES_tradnl"/>
        </w:rPr>
        <w:t>tos de prueba y a las constancias que obran en la causa.</w:t>
      </w:r>
    </w:p>
    <w:p w:rsidR="00224567" w:rsidRDefault="00224567">
      <w:pPr>
        <w:widowControl w:val="0"/>
        <w:tabs>
          <w:tab w:val="left" w:pos="2835"/>
        </w:tabs>
        <w:rPr>
          <w:lang w:val="es-ES_tradnl"/>
        </w:rPr>
      </w:pPr>
      <w:r>
        <w:rPr>
          <w:lang w:val="es-ES_tradnl"/>
        </w:rPr>
        <w:tab/>
        <w:t>Respecto a él, cuando se lo i</w:t>
      </w:r>
      <w:r>
        <w:rPr>
          <w:lang w:val="es-ES_tradnl"/>
        </w:rPr>
        <w:t>n</w:t>
      </w:r>
      <w:r>
        <w:rPr>
          <w:lang w:val="es-ES_tradnl"/>
        </w:rPr>
        <w:t>terrogó con relación al día 10 de julio de 1994, afirmó que desde 1993 mantenía una relación sent</w:t>
      </w:r>
      <w:r>
        <w:rPr>
          <w:lang w:val="es-ES_tradnl"/>
        </w:rPr>
        <w:t>i</w:t>
      </w:r>
      <w:r>
        <w:rPr>
          <w:lang w:val="es-ES_tradnl"/>
        </w:rPr>
        <w:t>mental con una vecina que también estaba casada, llamada Isabel Nelly V</w:t>
      </w:r>
      <w:r>
        <w:rPr>
          <w:lang w:val="es-ES_tradnl"/>
        </w:rPr>
        <w:t>e</w:t>
      </w:r>
      <w:r>
        <w:rPr>
          <w:lang w:val="es-ES_tradnl"/>
        </w:rPr>
        <w:t>lasco.</w:t>
      </w:r>
    </w:p>
    <w:p w:rsidR="00224567" w:rsidRDefault="00224567">
      <w:pPr>
        <w:widowControl w:val="0"/>
        <w:tabs>
          <w:tab w:val="left" w:pos="2835"/>
        </w:tabs>
        <w:rPr>
          <w:lang w:val="es-ES_tradnl"/>
        </w:rPr>
      </w:pPr>
      <w:r>
        <w:rPr>
          <w:lang w:val="es-ES_tradnl"/>
        </w:rPr>
        <w:tab/>
        <w:t>Explicó Leal que con Velasco iban a una confitería de nombre “Lago Azul”, en Laferrere. Ta</w:t>
      </w:r>
      <w:r>
        <w:rPr>
          <w:lang w:val="es-ES_tradnl"/>
        </w:rPr>
        <w:t>m</w:t>
      </w:r>
      <w:r>
        <w:rPr>
          <w:lang w:val="es-ES_tradnl"/>
        </w:rPr>
        <w:t>bién el primer y segundo fin de semana de cada mes almo</w:t>
      </w:r>
      <w:r>
        <w:rPr>
          <w:lang w:val="es-ES_tradnl"/>
        </w:rPr>
        <w:t>r</w:t>
      </w:r>
      <w:r>
        <w:rPr>
          <w:lang w:val="es-ES_tradnl"/>
        </w:rPr>
        <w:t>zaban juntos, ya que él cobraba su sueldo el pr</w:t>
      </w:r>
      <w:r>
        <w:rPr>
          <w:lang w:val="es-ES_tradnl"/>
        </w:rPr>
        <w:t>i</w:t>
      </w:r>
      <w:r>
        <w:rPr>
          <w:lang w:val="es-ES_tradnl"/>
        </w:rPr>
        <w:t>mer fin de semana y ella el segundo. Iban a comer a un comercio ub</w:t>
      </w:r>
      <w:r>
        <w:rPr>
          <w:lang w:val="es-ES_tradnl"/>
        </w:rPr>
        <w:t>i</w:t>
      </w:r>
      <w:r>
        <w:rPr>
          <w:lang w:val="es-ES_tradnl"/>
        </w:rPr>
        <w:t>cado en Camino de Cintura, a dos o tres cuadras de la r</w:t>
      </w:r>
      <w:r>
        <w:rPr>
          <w:lang w:val="es-ES_tradnl"/>
        </w:rPr>
        <w:t>o</w:t>
      </w:r>
      <w:r>
        <w:rPr>
          <w:lang w:val="es-ES_tradnl"/>
        </w:rPr>
        <w:t>tonda de San Justo, denominado “</w:t>
      </w:r>
      <w:smartTag w:uri="urn:schemas-microsoft-com:office:smarttags" w:element="PersonName">
        <w:smartTagPr>
          <w:attr w:name="ProductID" w:val="La Lechonera"/>
        </w:smartTagPr>
        <w:r>
          <w:rPr>
            <w:lang w:val="es-ES_tradnl"/>
          </w:rPr>
          <w:t>La Lechonera</w:t>
        </w:r>
      </w:smartTag>
      <w:r>
        <w:rPr>
          <w:lang w:val="es-ES_tradnl"/>
        </w:rPr>
        <w:t>”. Iban a c</w:t>
      </w:r>
      <w:r>
        <w:rPr>
          <w:lang w:val="es-ES_tradnl"/>
        </w:rPr>
        <w:t>o</w:t>
      </w:r>
      <w:r>
        <w:rPr>
          <w:lang w:val="es-ES_tradnl"/>
        </w:rPr>
        <w:t>mer los días en que él no estaba de guardia, puesto que si c</w:t>
      </w:r>
      <w:r>
        <w:rPr>
          <w:lang w:val="es-ES_tradnl"/>
        </w:rPr>
        <w:t>o</w:t>
      </w:r>
      <w:r>
        <w:rPr>
          <w:lang w:val="es-ES_tradnl"/>
        </w:rPr>
        <w:t>incidía, iban al otro fin de semana.</w:t>
      </w:r>
    </w:p>
    <w:p w:rsidR="00224567" w:rsidRDefault="00224567">
      <w:pPr>
        <w:widowControl w:val="0"/>
        <w:tabs>
          <w:tab w:val="left" w:pos="2835"/>
        </w:tabs>
        <w:rPr>
          <w:lang w:val="es-ES_tradnl"/>
        </w:rPr>
      </w:pPr>
      <w:r>
        <w:rPr>
          <w:lang w:val="es-ES_tradnl"/>
        </w:rPr>
        <w:tab/>
        <w:t>En cuanto al 10 de julio explicó que no estaba de guardia y fue a comer a ese lugar. Los días domingo pasaba a buscar a Velasco a las 12.00 ó 12.30 por el supermercado “Extra” donde ella trabajaba e iban a c</w:t>
      </w:r>
      <w:r>
        <w:rPr>
          <w:lang w:val="es-ES_tradnl"/>
        </w:rPr>
        <w:t>o</w:t>
      </w:r>
      <w:r>
        <w:rPr>
          <w:lang w:val="es-ES_tradnl"/>
        </w:rPr>
        <w:t>mer. No tardaban más de 15 ó 20 minutos desde el superme</w:t>
      </w:r>
      <w:r>
        <w:rPr>
          <w:lang w:val="es-ES_tradnl"/>
        </w:rPr>
        <w:t>r</w:t>
      </w:r>
      <w:r>
        <w:rPr>
          <w:lang w:val="es-ES_tradnl"/>
        </w:rPr>
        <w:t>cado hasta la rotonda de San Justo. Después de comer la dejaba a tres o cuatro cuadras de la casa, en donde se t</w:t>
      </w:r>
      <w:r>
        <w:rPr>
          <w:lang w:val="es-ES_tradnl"/>
        </w:rPr>
        <w:t>o</w:t>
      </w:r>
      <w:r>
        <w:rPr>
          <w:lang w:val="es-ES_tradnl"/>
        </w:rPr>
        <w:t>maba un remis o se iba caminando, mientras que él iba a su casa y pasaba a buscar a su esposa para ir al templo eva</w:t>
      </w:r>
      <w:r>
        <w:rPr>
          <w:lang w:val="es-ES_tradnl"/>
        </w:rPr>
        <w:t>n</w:t>
      </w:r>
      <w:r>
        <w:rPr>
          <w:lang w:val="es-ES_tradnl"/>
        </w:rPr>
        <w:t>gélico. Agregó que la comida del día 10 de julio de 1994 fue abonada por Velasco, pues era el segundo fin de semana del mes.</w:t>
      </w:r>
    </w:p>
    <w:p w:rsidR="00224567" w:rsidRDefault="00224567">
      <w:pPr>
        <w:widowControl w:val="0"/>
        <w:tabs>
          <w:tab w:val="left" w:pos="2835"/>
        </w:tabs>
        <w:rPr>
          <w:lang w:val="es-ES_tradnl"/>
        </w:rPr>
      </w:pPr>
      <w:r>
        <w:rPr>
          <w:lang w:val="es-ES_tradnl"/>
        </w:rPr>
        <w:tab/>
        <w:t>Con su mujer y sus hijas se dir</w:t>
      </w:r>
      <w:r>
        <w:rPr>
          <w:lang w:val="es-ES_tradnl"/>
        </w:rPr>
        <w:t>i</w:t>
      </w:r>
      <w:r>
        <w:rPr>
          <w:lang w:val="es-ES_tradnl"/>
        </w:rPr>
        <w:t>gía a la localidad de J</w:t>
      </w:r>
      <w:r>
        <w:rPr>
          <w:lang w:val="es-ES_tradnl"/>
        </w:rPr>
        <w:t>o</w:t>
      </w:r>
      <w:r>
        <w:rPr>
          <w:lang w:val="es-ES_tradnl"/>
        </w:rPr>
        <w:t>sé C. Paz, donde estaba la iglesia a la que concurrían. El culto comenzaba a las 17.00 hasta las 22.00 y después el pastor y la pastora daban asi</w:t>
      </w:r>
      <w:r>
        <w:rPr>
          <w:lang w:val="es-ES_tradnl"/>
        </w:rPr>
        <w:t>s</w:t>
      </w:r>
      <w:r>
        <w:rPr>
          <w:lang w:val="es-ES_tradnl"/>
        </w:rPr>
        <w:t>tencia de consejería a los fieles. Se retiraban a las 24.00 y gen</w:t>
      </w:r>
      <w:r>
        <w:rPr>
          <w:lang w:val="es-ES_tradnl"/>
        </w:rPr>
        <w:t>e</w:t>
      </w:r>
      <w:r>
        <w:rPr>
          <w:lang w:val="es-ES_tradnl"/>
        </w:rPr>
        <w:t>ralmente iban a comer a casa del pastor.</w:t>
      </w:r>
    </w:p>
    <w:p w:rsidR="00224567" w:rsidRDefault="00224567">
      <w:pPr>
        <w:widowControl w:val="0"/>
        <w:tabs>
          <w:tab w:val="left" w:pos="2835"/>
        </w:tabs>
        <w:rPr>
          <w:lang w:val="es-ES_tradnl"/>
        </w:rPr>
      </w:pPr>
      <w:r>
        <w:rPr>
          <w:lang w:val="es-ES_tradnl"/>
        </w:rPr>
        <w:tab/>
        <w:t>Señaló que tenía aproximadamente una hora y media de viaje, dependiendo del tránsito, siendo que además pasaba a buscar al pastor Héctor Heredia y a la pastora Gladis. No recordó el domicilio exacto de éstos, pero sí su teléfono celular nº 413-5841. Este teléfono lo compró él en 1993 y se lo pasó al pastor, quien se encargó de habilitarlo y se lo quedó para su uso. Aclaró Leal que él nunca lo utilizó. Lo gestionó porque en esa época había un plan promocional para p</w:t>
      </w:r>
      <w:r>
        <w:rPr>
          <w:lang w:val="es-ES_tradnl"/>
        </w:rPr>
        <w:t>o</w:t>
      </w:r>
      <w:r>
        <w:rPr>
          <w:lang w:val="es-ES_tradnl"/>
        </w:rPr>
        <w:t xml:space="preserve">licías llamado “Corporate </w:t>
      </w:r>
      <w:smartTag w:uri="urn:schemas-microsoft-com:office:smarttags" w:element="metricconverter">
        <w:smartTagPr>
          <w:attr w:name="ProductID" w:val="20”"/>
        </w:smartTagPr>
        <w:r>
          <w:rPr>
            <w:lang w:val="es-ES_tradnl"/>
          </w:rPr>
          <w:t>20”</w:t>
        </w:r>
      </w:smartTag>
      <w:r>
        <w:rPr>
          <w:lang w:val="es-ES_tradnl"/>
        </w:rPr>
        <w:t>. El templo al que concurría se llama “Las Buenas Ondas de Jesús”, se trata de un anexo de la iglesia del Pastor J</w:t>
      </w:r>
      <w:r>
        <w:rPr>
          <w:lang w:val="es-ES_tradnl"/>
        </w:rPr>
        <w:t>i</w:t>
      </w:r>
      <w:r>
        <w:rPr>
          <w:lang w:val="es-ES_tradnl"/>
        </w:rPr>
        <w:t>ménez. Aclaró Leal que los días que estaba de guardia no iba al templo.</w:t>
      </w:r>
    </w:p>
    <w:p w:rsidR="00224567" w:rsidRDefault="00224567">
      <w:pPr>
        <w:widowControl w:val="0"/>
        <w:tabs>
          <w:tab w:val="left" w:pos="2835"/>
        </w:tabs>
        <w:rPr>
          <w:lang w:val="es-ES_tradnl"/>
        </w:rPr>
      </w:pPr>
      <w:r>
        <w:rPr>
          <w:lang w:val="es-ES_tradnl"/>
        </w:rPr>
        <w:tab/>
        <w:t>Refirió que, al momento de declarar, aún continuaba su relación con la mencionada Velasco.</w:t>
      </w:r>
    </w:p>
    <w:p w:rsidR="00224567" w:rsidRDefault="00224567">
      <w:pPr>
        <w:widowControl w:val="0"/>
        <w:tabs>
          <w:tab w:val="left" w:pos="2835"/>
        </w:tabs>
        <w:rPr>
          <w:lang w:val="es-ES_tradnl"/>
        </w:rPr>
      </w:pPr>
      <w:r>
        <w:rPr>
          <w:lang w:val="es-ES_tradnl"/>
        </w:rPr>
        <w:tab/>
        <w:t>Se le exhibieron las agendas que se le secuestraron y e</w:t>
      </w:r>
      <w:r>
        <w:rPr>
          <w:lang w:val="es-ES_tradnl"/>
        </w:rPr>
        <w:t>x</w:t>
      </w:r>
      <w:r>
        <w:rPr>
          <w:lang w:val="es-ES_tradnl"/>
        </w:rPr>
        <w:t>plicó que en la identificada con el nº 1 (Citanova) en la letra M figura el nº 466-2036 con la i</w:t>
      </w:r>
      <w:r>
        <w:rPr>
          <w:lang w:val="es-ES_tradnl"/>
        </w:rPr>
        <w:t>n</w:t>
      </w:r>
      <w:r>
        <w:rPr>
          <w:lang w:val="es-ES_tradnl"/>
        </w:rPr>
        <w:t>dicación “Sr. Mercado”. Aclaró que con la mención “Merc</w:t>
      </w:r>
      <w:r>
        <w:rPr>
          <w:lang w:val="es-ES_tradnl"/>
        </w:rPr>
        <w:t>a</w:t>
      </w:r>
      <w:r>
        <w:rPr>
          <w:lang w:val="es-ES_tradnl"/>
        </w:rPr>
        <w:t>do” ella le dejaba mensajes en el celular o en el radi</w:t>
      </w:r>
      <w:r>
        <w:rPr>
          <w:lang w:val="es-ES_tradnl"/>
        </w:rPr>
        <w:t>o</w:t>
      </w:r>
      <w:r>
        <w:rPr>
          <w:lang w:val="es-ES_tradnl"/>
        </w:rPr>
        <w:t>mensaje para que no fuera descubierta la relación por su esposa. La palabra Mercado aludía al lugar donde trabajaba Velasco.</w:t>
      </w:r>
    </w:p>
    <w:p w:rsidR="00224567" w:rsidRDefault="00224567">
      <w:pPr>
        <w:widowControl w:val="0"/>
        <w:tabs>
          <w:tab w:val="left" w:pos="2835"/>
        </w:tabs>
        <w:rPr>
          <w:lang w:val="es-ES_tradnl"/>
        </w:rPr>
      </w:pPr>
      <w:r>
        <w:rPr>
          <w:lang w:val="es-ES_tradnl"/>
        </w:rPr>
        <w:tab/>
        <w:t>Asimismo agregó que en la misma age</w:t>
      </w:r>
      <w:r>
        <w:rPr>
          <w:lang w:val="es-ES_tradnl"/>
        </w:rPr>
        <w:t>n</w:t>
      </w:r>
      <w:r>
        <w:rPr>
          <w:lang w:val="es-ES_tradnl"/>
        </w:rPr>
        <w:t>da hay un “cheque” del “Ministerio Ondas de Amor y Paz”, de fecha 10 de febrero de 1996, que da cuenta de que iba al templo. En la letra I también se encuentra anotado el t</w:t>
      </w:r>
      <w:r>
        <w:rPr>
          <w:lang w:val="es-ES_tradnl"/>
        </w:rPr>
        <w:t>e</w:t>
      </w:r>
      <w:r>
        <w:rPr>
          <w:lang w:val="es-ES_tradnl"/>
        </w:rPr>
        <w:t>léfono y dirección del templo del Pastor Jiménez, al cual también concurría, que prueba que profesa la religión evangelista desde hace muchos años.</w:t>
      </w:r>
    </w:p>
    <w:p w:rsidR="00224567" w:rsidRDefault="00224567">
      <w:pPr>
        <w:widowControl w:val="0"/>
        <w:tabs>
          <w:tab w:val="left" w:pos="2835"/>
        </w:tabs>
        <w:rPr>
          <w:lang w:val="es-ES_tradnl"/>
        </w:rPr>
      </w:pPr>
      <w:r>
        <w:rPr>
          <w:lang w:val="es-ES_tradnl"/>
        </w:rPr>
        <w:tab/>
        <w:t>También indicó que en la agenda hay dos fotos en las cuales se puede ver el estado en el que se encontraba su automotor para el 10 de febrero de 1996 y que, al momento de su declaración, se encuentra deterior</w:t>
      </w:r>
      <w:r>
        <w:rPr>
          <w:lang w:val="es-ES_tradnl"/>
        </w:rPr>
        <w:t>a</w:t>
      </w:r>
      <w:r>
        <w:rPr>
          <w:lang w:val="es-ES_tradnl"/>
        </w:rPr>
        <w:t>do.</w:t>
      </w:r>
    </w:p>
    <w:p w:rsidR="00224567" w:rsidRDefault="00224567">
      <w:pPr>
        <w:widowControl w:val="0"/>
        <w:tabs>
          <w:tab w:val="left" w:pos="2835"/>
        </w:tabs>
        <w:rPr>
          <w:lang w:val="es-ES_tradnl"/>
        </w:rPr>
      </w:pPr>
      <w:r>
        <w:rPr>
          <w:lang w:val="es-ES_tradnl"/>
        </w:rPr>
        <w:tab/>
        <w:t>Relató que después de analizar las d</w:t>
      </w:r>
      <w:r>
        <w:rPr>
          <w:lang w:val="es-ES_tradnl"/>
        </w:rPr>
        <w:t>e</w:t>
      </w:r>
      <w:r>
        <w:rPr>
          <w:lang w:val="es-ES_tradnl"/>
        </w:rPr>
        <w:t>claraciones de T</w:t>
      </w:r>
      <w:r>
        <w:rPr>
          <w:lang w:val="es-ES_tradnl"/>
        </w:rPr>
        <w:t>e</w:t>
      </w:r>
      <w:r>
        <w:rPr>
          <w:lang w:val="es-ES_tradnl"/>
        </w:rPr>
        <w:t xml:space="preserve">lleldín, con relación al día 10 de julio de 1994, éste se contradice, al dar como referencia que cuando se aludió a </w:t>
      </w:r>
      <w:smartTag w:uri="urn:schemas-microsoft-com:office:smarttags" w:element="PersonName">
        <w:smartTagPr>
          <w:attr w:name="ProductID" w:val="la Trafic"/>
        </w:smartTagPr>
        <w:r>
          <w:rPr>
            <w:lang w:val="es-ES_tradnl"/>
          </w:rPr>
          <w:t>la Trafic</w:t>
        </w:r>
      </w:smartTag>
      <w:r>
        <w:rPr>
          <w:lang w:val="es-ES_tradnl"/>
        </w:rPr>
        <w:t>, observó un Galaxy que no era del mismo color azul que el que lo había perseguido el día 14. Es evidente, afirmó Leal, que se trata de dos vehíc</w:t>
      </w:r>
      <w:r>
        <w:rPr>
          <w:lang w:val="es-ES_tradnl"/>
        </w:rPr>
        <w:t>u</w:t>
      </w:r>
      <w:r>
        <w:rPr>
          <w:lang w:val="es-ES_tradnl"/>
        </w:rPr>
        <w:t>los diferentes y que el del día 10 no es el suyo.</w:t>
      </w:r>
    </w:p>
    <w:p w:rsidR="00224567" w:rsidRDefault="00224567">
      <w:pPr>
        <w:widowControl w:val="0"/>
        <w:tabs>
          <w:tab w:val="left" w:pos="2835"/>
        </w:tabs>
        <w:rPr>
          <w:lang w:val="es-ES_tradnl"/>
        </w:rPr>
      </w:pPr>
      <w:r>
        <w:rPr>
          <w:lang w:val="es-ES_tradnl"/>
        </w:rPr>
        <w:tab/>
        <w:t>Según Telleldín el automóvil marca D</w:t>
      </w:r>
      <w:r>
        <w:rPr>
          <w:lang w:val="es-ES_tradnl"/>
        </w:rPr>
        <w:t>u</w:t>
      </w:r>
      <w:r>
        <w:rPr>
          <w:lang w:val="es-ES_tradnl"/>
        </w:rPr>
        <w:t>na, color blanco, se encontraba los días 10 y 14 frente a su vivienda, y explicó Leal que a través de las declar</w:t>
      </w:r>
      <w:r>
        <w:rPr>
          <w:lang w:val="es-ES_tradnl"/>
        </w:rPr>
        <w:t>a</w:t>
      </w:r>
      <w:r>
        <w:rPr>
          <w:lang w:val="es-ES_tradnl"/>
        </w:rPr>
        <w:t>ciones del personal policial interviniente -Bareiro, Ga</w:t>
      </w:r>
      <w:r>
        <w:rPr>
          <w:lang w:val="es-ES_tradnl"/>
        </w:rPr>
        <w:t>r</w:t>
      </w:r>
      <w:r>
        <w:rPr>
          <w:lang w:val="es-ES_tradnl"/>
        </w:rPr>
        <w:t>cía y Lasala- se ha establecido que ese v</w:t>
      </w:r>
      <w:r>
        <w:rPr>
          <w:lang w:val="es-ES_tradnl"/>
        </w:rPr>
        <w:t>e</w:t>
      </w:r>
      <w:r>
        <w:rPr>
          <w:lang w:val="es-ES_tradnl"/>
        </w:rPr>
        <w:t xml:space="preserve">hículo no estuvo en el lugar, a lo que se suma la pericia de rastros que hizo el Laboratorio Químico de </w:t>
      </w:r>
      <w:smartTag w:uri="urn:schemas-microsoft-com:office:smarttags" w:element="PersonName">
        <w:smartTagPr>
          <w:attr w:name="ProductID" w:val="la P.F"/>
        </w:smartTagPr>
        <w:r>
          <w:rPr>
            <w:lang w:val="es-ES_tradnl"/>
          </w:rPr>
          <w:t>la P.F</w:t>
        </w:r>
      </w:smartTag>
      <w:r>
        <w:rPr>
          <w:lang w:val="es-ES_tradnl"/>
        </w:rPr>
        <w:t>.A., donde se dete</w:t>
      </w:r>
      <w:r>
        <w:rPr>
          <w:lang w:val="es-ES_tradnl"/>
        </w:rPr>
        <w:t>r</w:t>
      </w:r>
      <w:r>
        <w:rPr>
          <w:lang w:val="es-ES_tradnl"/>
        </w:rPr>
        <w:t>minó que el Renault 19 de Telleldín no presentaba restos de pint</w:t>
      </w:r>
      <w:r>
        <w:rPr>
          <w:lang w:val="es-ES_tradnl"/>
        </w:rPr>
        <w:t>u</w:t>
      </w:r>
      <w:r>
        <w:rPr>
          <w:lang w:val="es-ES_tradnl"/>
        </w:rPr>
        <w:t>ra de otros vehículos.</w:t>
      </w:r>
    </w:p>
    <w:p w:rsidR="00224567" w:rsidRDefault="00224567">
      <w:pPr>
        <w:widowControl w:val="0"/>
        <w:tabs>
          <w:tab w:val="left" w:pos="2835"/>
        </w:tabs>
        <w:rPr>
          <w:lang w:val="es-ES_tradnl"/>
        </w:rPr>
      </w:pPr>
      <w:r>
        <w:rPr>
          <w:lang w:val="es-ES_tradnl"/>
        </w:rPr>
        <w:tab/>
        <w:t>Afirmó Leal que el “Pino” al que al</w:t>
      </w:r>
      <w:r>
        <w:rPr>
          <w:lang w:val="es-ES_tradnl"/>
        </w:rPr>
        <w:t>u</w:t>
      </w:r>
      <w:r>
        <w:rPr>
          <w:lang w:val="es-ES_tradnl"/>
        </w:rPr>
        <w:t>de Telleldín no es él.</w:t>
      </w:r>
    </w:p>
    <w:p w:rsidR="00224567" w:rsidRDefault="00224567">
      <w:pPr>
        <w:widowControl w:val="0"/>
        <w:tabs>
          <w:tab w:val="left" w:pos="2835"/>
        </w:tabs>
        <w:rPr>
          <w:lang w:val="es-ES_tradnl"/>
        </w:rPr>
      </w:pPr>
      <w:r>
        <w:rPr>
          <w:lang w:val="es-ES_tradnl"/>
        </w:rPr>
        <w:tab/>
        <w:t>Relató que la detención de Pérez se efectuó alrededor de la medianoche, existiendo un ll</w:t>
      </w:r>
      <w:r>
        <w:rPr>
          <w:lang w:val="es-ES_tradnl"/>
        </w:rPr>
        <w:t>a</w:t>
      </w:r>
      <w:r>
        <w:rPr>
          <w:lang w:val="es-ES_tradnl"/>
        </w:rPr>
        <w:t>mado telefónico del Movicom suyo al de Barreda para consultar quién era Pérez, dado que la información que le había e</w:t>
      </w:r>
      <w:r>
        <w:rPr>
          <w:lang w:val="es-ES_tradnl"/>
        </w:rPr>
        <w:t>n</w:t>
      </w:r>
      <w:r>
        <w:rPr>
          <w:lang w:val="es-ES_tradnl"/>
        </w:rPr>
        <w:t>tregado era de Telleldín y no de Pérez. Barreda le dijo que Pérez estaba dentro del entorno de Telleldín y lo ay</w:t>
      </w:r>
      <w:r>
        <w:rPr>
          <w:lang w:val="es-ES_tradnl"/>
        </w:rPr>
        <w:t>u</w:t>
      </w:r>
      <w:r>
        <w:rPr>
          <w:lang w:val="es-ES_tradnl"/>
        </w:rPr>
        <w:t xml:space="preserve">daba a cometer delitos en el rubro automotor. Consultó a la brigada por radio, ya que la tenía instalada en su vehículo, operando punto a punto con la dependencia o a través de un enlace por </w:t>
      </w:r>
      <w:smartTag w:uri="urn:schemas-microsoft-com:office:smarttags" w:element="PersonName">
        <w:smartTagPr>
          <w:attr w:name="ProductID" w:val="la Unidad Regional"/>
        </w:smartTagPr>
        <w:r>
          <w:rPr>
            <w:lang w:val="es-ES_tradnl"/>
          </w:rPr>
          <w:t>la Unidad Regional</w:t>
        </w:r>
      </w:smartTag>
      <w:r>
        <w:rPr>
          <w:lang w:val="es-ES_tradnl"/>
        </w:rPr>
        <w:t xml:space="preserve"> de Vicente L</w:t>
      </w:r>
      <w:r>
        <w:rPr>
          <w:lang w:val="es-ES_tradnl"/>
        </w:rPr>
        <w:t>ó</w:t>
      </w:r>
      <w:r>
        <w:rPr>
          <w:lang w:val="es-ES_tradnl"/>
        </w:rPr>
        <w:t>pez. Rago le dio la orden de conducirlo a la depende</w:t>
      </w:r>
      <w:r>
        <w:rPr>
          <w:lang w:val="es-ES_tradnl"/>
        </w:rPr>
        <w:t>n</w:t>
      </w:r>
      <w:r>
        <w:rPr>
          <w:lang w:val="es-ES_tradnl"/>
        </w:rPr>
        <w:t>cia, pr</w:t>
      </w:r>
      <w:r>
        <w:rPr>
          <w:lang w:val="es-ES_tradnl"/>
        </w:rPr>
        <w:t>e</w:t>
      </w:r>
      <w:r>
        <w:rPr>
          <w:lang w:val="es-ES_tradnl"/>
        </w:rPr>
        <w:t>vio consultar con el jefe de la brigada.</w:t>
      </w:r>
    </w:p>
    <w:p w:rsidR="00224567" w:rsidRDefault="00224567">
      <w:pPr>
        <w:widowControl w:val="0"/>
        <w:tabs>
          <w:tab w:val="left" w:pos="2835"/>
        </w:tabs>
        <w:rPr>
          <w:lang w:val="es-ES_tradnl"/>
        </w:rPr>
      </w:pPr>
      <w:r>
        <w:rPr>
          <w:lang w:val="es-ES_tradnl"/>
        </w:rPr>
        <w:tab/>
        <w:t>Al llegar a la brigada –añadió- entr</w:t>
      </w:r>
      <w:r>
        <w:rPr>
          <w:lang w:val="es-ES_tradnl"/>
        </w:rPr>
        <w:t>e</w:t>
      </w:r>
      <w:r>
        <w:rPr>
          <w:lang w:val="es-ES_tradnl"/>
        </w:rPr>
        <w:t>gó el detenido y dio las novedades a Rago, quien o</w:t>
      </w:r>
      <w:r>
        <w:rPr>
          <w:lang w:val="es-ES_tradnl"/>
        </w:rPr>
        <w:t>r</w:t>
      </w:r>
      <w:r>
        <w:rPr>
          <w:lang w:val="es-ES_tradnl"/>
        </w:rPr>
        <w:t>denó a Quinteros que le reciba una declaración testim</w:t>
      </w:r>
      <w:r>
        <w:rPr>
          <w:lang w:val="es-ES_tradnl"/>
        </w:rPr>
        <w:t>o</w:t>
      </w:r>
      <w:r>
        <w:rPr>
          <w:lang w:val="es-ES_tradnl"/>
        </w:rPr>
        <w:t>nial a él y se efectúen las comunicaci</w:t>
      </w:r>
      <w:r>
        <w:rPr>
          <w:lang w:val="es-ES_tradnl"/>
        </w:rPr>
        <w:t>o</w:t>
      </w:r>
      <w:r>
        <w:rPr>
          <w:lang w:val="es-ES_tradnl"/>
        </w:rPr>
        <w:t>nes a policía y al juzgado y se efectúe reconocimiento médico a Pérez. Quinteros, de acuerdo al l</w:t>
      </w:r>
      <w:r>
        <w:rPr>
          <w:lang w:val="es-ES_tradnl"/>
        </w:rPr>
        <w:t>i</w:t>
      </w:r>
      <w:r>
        <w:rPr>
          <w:lang w:val="es-ES_tradnl"/>
        </w:rPr>
        <w:t>bro de guardia, tramitó toda la averiguación de a</w:t>
      </w:r>
      <w:r>
        <w:rPr>
          <w:lang w:val="es-ES_tradnl"/>
        </w:rPr>
        <w:t>n</w:t>
      </w:r>
      <w:r>
        <w:rPr>
          <w:lang w:val="es-ES_tradnl"/>
        </w:rPr>
        <w:t>tecedentes de principio a fin y es quien debería dar las explicaciones acerca de las irr</w:t>
      </w:r>
      <w:r>
        <w:rPr>
          <w:lang w:val="es-ES_tradnl"/>
        </w:rPr>
        <w:t>e</w:t>
      </w:r>
      <w:r>
        <w:rPr>
          <w:lang w:val="es-ES_tradnl"/>
        </w:rPr>
        <w:t>gularidades.</w:t>
      </w:r>
    </w:p>
    <w:p w:rsidR="00224567" w:rsidRDefault="00224567">
      <w:pPr>
        <w:widowControl w:val="0"/>
        <w:tabs>
          <w:tab w:val="left" w:pos="2835"/>
        </w:tabs>
        <w:rPr>
          <w:lang w:val="es-ES_tradnl"/>
        </w:rPr>
      </w:pPr>
      <w:r>
        <w:rPr>
          <w:lang w:val="es-ES_tradnl"/>
        </w:rPr>
        <w:tab/>
        <w:t>Refirió que la extorsión a Telleldín existió, pero de espaldas a la brigada, más precisame</w:t>
      </w:r>
      <w:r>
        <w:rPr>
          <w:lang w:val="es-ES_tradnl"/>
        </w:rPr>
        <w:t>n</w:t>
      </w:r>
      <w:r>
        <w:rPr>
          <w:lang w:val="es-ES_tradnl"/>
        </w:rPr>
        <w:t>te, sin conocimiento de él, del jefe de la brigada y de Rago. Los que participaron en ella fueron Barreda, B</w:t>
      </w:r>
      <w:r>
        <w:rPr>
          <w:lang w:val="es-ES_tradnl"/>
        </w:rPr>
        <w:t>a</w:t>
      </w:r>
      <w:r>
        <w:rPr>
          <w:lang w:val="es-ES_tradnl"/>
        </w:rPr>
        <w:t>reiro y el abogado Bottegal, dado que a través de las declaraciones de este último le dijeron que no fuera a la brigada. Si Bottegal se presentaba en la brig</w:t>
      </w:r>
      <w:r>
        <w:rPr>
          <w:lang w:val="es-ES_tradnl"/>
        </w:rPr>
        <w:t>a</w:t>
      </w:r>
      <w:r>
        <w:rPr>
          <w:lang w:val="es-ES_tradnl"/>
        </w:rPr>
        <w:t>da se iba a descubrir la maniobra extorsiva que se estaba realizando, ya que diría lo que había obtenido de Telleldín y que era ignorado en la brigada. A ello se suma, dijo Leal, que a Bottegal se le secuestró el boleto de compr</w:t>
      </w:r>
      <w:r>
        <w:rPr>
          <w:lang w:val="es-ES_tradnl"/>
        </w:rPr>
        <w:t>a</w:t>
      </w:r>
      <w:r>
        <w:rPr>
          <w:lang w:val="es-ES_tradnl"/>
        </w:rPr>
        <w:t>venta del barco “Gonzalo” y que cuando concurrió a reclamar en la guardería lo exh</w:t>
      </w:r>
      <w:r>
        <w:rPr>
          <w:lang w:val="es-ES_tradnl"/>
        </w:rPr>
        <w:t>i</w:t>
      </w:r>
      <w:r>
        <w:rPr>
          <w:lang w:val="es-ES_tradnl"/>
        </w:rPr>
        <w:t>bió en blanco y después con su nombre, según las declar</w:t>
      </w:r>
      <w:r>
        <w:rPr>
          <w:lang w:val="es-ES_tradnl"/>
        </w:rPr>
        <w:t>a</w:t>
      </w:r>
      <w:r>
        <w:rPr>
          <w:lang w:val="es-ES_tradnl"/>
        </w:rPr>
        <w:t>ciones del dueño y los e</w:t>
      </w:r>
      <w:r>
        <w:rPr>
          <w:lang w:val="es-ES_tradnl"/>
        </w:rPr>
        <w:t>m</w:t>
      </w:r>
      <w:r>
        <w:rPr>
          <w:lang w:val="es-ES_tradnl"/>
        </w:rPr>
        <w:t>pleados de ese lugar.</w:t>
      </w:r>
    </w:p>
    <w:p w:rsidR="00224567" w:rsidRDefault="00224567">
      <w:pPr>
        <w:widowControl w:val="0"/>
        <w:tabs>
          <w:tab w:val="left" w:pos="2835"/>
        </w:tabs>
        <w:rPr>
          <w:lang w:val="es-ES_tradnl"/>
        </w:rPr>
      </w:pPr>
      <w:r>
        <w:rPr>
          <w:lang w:val="es-ES_tradnl"/>
        </w:rPr>
        <w:tab/>
        <w:t>Interrogado acerca de por qué no man</w:t>
      </w:r>
      <w:r>
        <w:rPr>
          <w:lang w:val="es-ES_tradnl"/>
        </w:rPr>
        <w:t>i</w:t>
      </w:r>
      <w:r>
        <w:rPr>
          <w:lang w:val="es-ES_tradnl"/>
        </w:rPr>
        <w:t>festó todo esto con anterioridad, respondió que trató de evitar un conflicto familiar con la posib</w:t>
      </w:r>
      <w:r>
        <w:rPr>
          <w:lang w:val="es-ES_tradnl"/>
        </w:rPr>
        <w:t>i</w:t>
      </w:r>
      <w:r>
        <w:rPr>
          <w:lang w:val="es-ES_tradnl"/>
        </w:rPr>
        <w:t>lidad de que no le dejaran ver más a sus hijas y, además, por consejo de sus letrados.</w:t>
      </w:r>
    </w:p>
    <w:p w:rsidR="00224567" w:rsidRDefault="00224567">
      <w:pPr>
        <w:widowControl w:val="0"/>
        <w:tabs>
          <w:tab w:val="left" w:pos="2835"/>
        </w:tabs>
      </w:pPr>
      <w:r>
        <w:rPr>
          <w:lang w:val="es-ES_tradnl"/>
        </w:rPr>
        <w:tab/>
      </w:r>
      <w:r>
        <w:t>Al ampliar su declaración indag</w:t>
      </w:r>
      <w:r>
        <w:t>a</w:t>
      </w:r>
      <w:r>
        <w:t>toria en la audiencia de debate del 17 de septiembre de 2002 en orden a los hechos contemplados en la causa nº 501/01, Anastasio Ireneo Leal manifestó que el procedimiento del 14 de julio de 1994 fue descripto claramente en su indag</w:t>
      </w:r>
      <w:r>
        <w:t>a</w:t>
      </w:r>
      <w:r>
        <w:t>toria prestada el 10 de octubre de 2001, destacando al respecto que él cumplió en todo momento las órdenes impa</w:t>
      </w:r>
      <w:r>
        <w:t>r</w:t>
      </w:r>
      <w:r>
        <w:t>tidas por su jefe de operaciones el subcomisario Rago, las cuales provenían a su vez del titular de la brigada, com</w:t>
      </w:r>
      <w:r>
        <w:t>i</w:t>
      </w:r>
      <w:r>
        <w:t>sario inspector Forgione.</w:t>
      </w:r>
    </w:p>
    <w:p w:rsidR="00224567" w:rsidRDefault="00224567">
      <w:pPr>
        <w:widowControl w:val="0"/>
        <w:tabs>
          <w:tab w:val="left" w:pos="2835"/>
        </w:tabs>
      </w:pPr>
      <w:r>
        <w:tab/>
        <w:t>Respondiendo al cuestionamiento efe</w:t>
      </w:r>
      <w:r>
        <w:t>c</w:t>
      </w:r>
      <w:r>
        <w:t>tuado por los fiscales referido a que él habría mentido cuando oportunamente declaró que “ayer” tomó conoc</w:t>
      </w:r>
      <w:r>
        <w:t>i</w:t>
      </w:r>
      <w:r>
        <w:t>miento que en las inmediaciones de Alvear y República se enco</w:t>
      </w:r>
      <w:r>
        <w:t>n</w:t>
      </w:r>
      <w:r>
        <w:t>traba una persona cometiendo ilícitos, el ac</w:t>
      </w:r>
      <w:r>
        <w:t>u</w:t>
      </w:r>
      <w:r>
        <w:t>sado explicó que cuando dijo “ayer” se refirió al 13 de julio de 1994, basándose en dicha fecha porque la información aportada por el oficial Bareiro refería que el mencionado día T</w:t>
      </w:r>
      <w:r>
        <w:t>e</w:t>
      </w:r>
      <w:r>
        <w:t>lleldín había regresado de la provincia de Córdoba, agr</w:t>
      </w:r>
      <w:r>
        <w:t>e</w:t>
      </w:r>
      <w:r>
        <w:t>gando que esta última circunstancia está volcada en la d</w:t>
      </w:r>
      <w:r>
        <w:t>e</w:t>
      </w:r>
      <w:r>
        <w:t>claración de su coprocesado del 6 de agosto de 1994.</w:t>
      </w:r>
    </w:p>
    <w:p w:rsidR="00224567" w:rsidRDefault="00224567">
      <w:pPr>
        <w:widowControl w:val="0"/>
        <w:tabs>
          <w:tab w:val="left" w:pos="2835"/>
        </w:tabs>
      </w:pPr>
      <w:r>
        <w:tab/>
        <w:t xml:space="preserve">En cuanto a lo manifestado por </w:t>
      </w:r>
      <w:smartTag w:uri="urn:schemas-microsoft-com:office:smarttags" w:element="PersonName">
        <w:smartTagPr>
          <w:attr w:name="ProductID" w:val="La Dra. Nercellas"/>
        </w:smartTagPr>
        <w:r>
          <w:t>la Dra. Nercellas</w:t>
        </w:r>
      </w:smartTag>
      <w:r>
        <w:t xml:space="preserve"> al corrérsele vista en el debate sobre la nul</w:t>
      </w:r>
      <w:r>
        <w:t>i</w:t>
      </w:r>
      <w:r>
        <w:t>dad y prescripción de la causa nº 501/01, quien refiriera que la privación ilegal de la libertad de T</w:t>
      </w:r>
      <w:r>
        <w:t>e</w:t>
      </w:r>
      <w:r>
        <w:t>lleldín estaba consumada, el encartado explicó que la fuga de éste se desprendía de diversas constancias de la causa, señalando que si bien era posible que los haya confundido con ladr</w:t>
      </w:r>
      <w:r>
        <w:t>o</w:t>
      </w:r>
      <w:r>
        <w:t>nes como sostuviera en su re</w:t>
      </w:r>
      <w:r>
        <w:t>s</w:t>
      </w:r>
      <w:r>
        <w:t>pectiva indagatoria, también es cierto que tenía motivos para escaparse, dadas las ca</w:t>
      </w:r>
      <w:r>
        <w:t>p</w:t>
      </w:r>
      <w:r>
        <w:t>turas que tenía vigentes para esa época, sus actividades ilegales y la posesión en el interior de su casa de un R</w:t>
      </w:r>
      <w:r>
        <w:t>e</w:t>
      </w:r>
      <w:r>
        <w:t>nault 9 de procedencia ilícita, ci</w:t>
      </w:r>
      <w:r>
        <w:t>r</w:t>
      </w:r>
      <w:r>
        <w:t>cunstancia esta última que se desprende de las d</w:t>
      </w:r>
      <w:r>
        <w:t>e</w:t>
      </w:r>
      <w:r>
        <w:t>claraciones de Telleldín y de la incautación con m</w:t>
      </w:r>
      <w:r>
        <w:t>o</w:t>
      </w:r>
      <w:r>
        <w:t>tivo del allanamiento del inmueble de la calle República 107, de un bloque de motor correspo</w:t>
      </w:r>
      <w:r>
        <w:t>n</w:t>
      </w:r>
      <w:r>
        <w:t>diente a un Renault 9 B 2.487.944 con pedido de secuestro, que habría sido sustraído el 11 de julio de 1994.</w:t>
      </w:r>
    </w:p>
    <w:p w:rsidR="00224567" w:rsidRDefault="00224567">
      <w:pPr>
        <w:widowControl w:val="0"/>
        <w:tabs>
          <w:tab w:val="left" w:pos="2835"/>
        </w:tabs>
      </w:pPr>
      <w:r>
        <w:tab/>
        <w:t>Leal refirió que no comprendía las r</w:t>
      </w:r>
      <w:r>
        <w:t>a</w:t>
      </w:r>
      <w:r>
        <w:t>zones por las cuales tenía que dar explicaciones s</w:t>
      </w:r>
      <w:r>
        <w:t>o</w:t>
      </w:r>
      <w:r>
        <w:t>bre una privación ilegal de la libertad que no cometió cuando, a su entender, se desprende tanto de la causa como de lo m</w:t>
      </w:r>
      <w:r>
        <w:t>a</w:t>
      </w:r>
      <w:r>
        <w:t>nifestado por Telleldín, que éste se dedicaba a la su</w:t>
      </w:r>
      <w:r>
        <w:t>s</w:t>
      </w:r>
      <w:r>
        <w:t>tracción y comercialización de vehículos de procedencia ilícita, tenía antecedentes y se había dado a la fuga, conforme afirmara oportunamente el d</w:t>
      </w:r>
      <w:r>
        <w:t>e</w:t>
      </w:r>
      <w:r>
        <w:t>clarante.</w:t>
      </w:r>
    </w:p>
    <w:p w:rsidR="00224567" w:rsidRDefault="00224567">
      <w:pPr>
        <w:widowControl w:val="0"/>
        <w:tabs>
          <w:tab w:val="left" w:pos="2835"/>
        </w:tabs>
      </w:pPr>
      <w:r>
        <w:tab/>
        <w:t>Continuó su relato reiterando que cu</w:t>
      </w:r>
      <w:r>
        <w:t>m</w:t>
      </w:r>
      <w:r>
        <w:t>plió las órdenes impartidas por sus superiores, que co</w:t>
      </w:r>
      <w:r>
        <w:t>n</w:t>
      </w:r>
      <w:r>
        <w:t>sistieron en ir al lugar, observar, interceptar el vehíc</w:t>
      </w:r>
      <w:r>
        <w:t>u</w:t>
      </w:r>
      <w:r>
        <w:t>lo y en caso que éste tuviera pedido de secuestro, in</w:t>
      </w:r>
      <w:r>
        <w:t>i</w:t>
      </w:r>
      <w:r>
        <w:t>ciar las actuaciones judiciales.</w:t>
      </w:r>
    </w:p>
    <w:p w:rsidR="00224567" w:rsidRDefault="00224567">
      <w:pPr>
        <w:widowControl w:val="0"/>
        <w:tabs>
          <w:tab w:val="left" w:pos="2835"/>
        </w:tabs>
      </w:pPr>
      <w:r>
        <w:tab/>
        <w:t>Todo lo que el declarante obró en co</w:t>
      </w:r>
      <w:r>
        <w:t>n</w:t>
      </w:r>
      <w:r>
        <w:t>secuencia fue volcado en una declaración escrita, tomada bajo juramento de ley, la cual, a su ente</w:t>
      </w:r>
      <w:r>
        <w:t>n</w:t>
      </w:r>
      <w:r>
        <w:t>der, constituye una denuncia, habiendo de esta manera cumplido con las obligaciones que le corresponden a un funcionario pol</w:t>
      </w:r>
      <w:r>
        <w:t>i</w:t>
      </w:r>
      <w:r>
        <w:t>cial, no pudiéndosele atribuir responsabilidad alguna si el jefe de la dependencia decidió no hacer un sumario, agregando que él también cumplió con las respectivas di</w:t>
      </w:r>
      <w:r>
        <w:t>s</w:t>
      </w:r>
      <w:r>
        <w:t>posiciones reglamentarias, a c</w:t>
      </w:r>
      <w:r>
        <w:t>u</w:t>
      </w:r>
      <w:r>
        <w:t>yo fin citó el artículo 15 del capítulo V de la respectiva reglamentación, conforme orden del día 85/93, expediente 641.885/93, resolución 75.385.</w:t>
      </w:r>
    </w:p>
    <w:p w:rsidR="00224567" w:rsidRDefault="00224567">
      <w:pPr>
        <w:widowControl w:val="0"/>
        <w:tabs>
          <w:tab w:val="left" w:pos="2835"/>
        </w:tabs>
      </w:pPr>
      <w:r>
        <w:tab/>
        <w:t>Asimismo, señaló que Rago explicó m</w:t>
      </w:r>
      <w:r>
        <w:t>u</w:t>
      </w:r>
      <w:r>
        <w:t>chas cuestiones de la supuesta privación ilegal de la l</w:t>
      </w:r>
      <w:r>
        <w:t>i</w:t>
      </w:r>
      <w:r>
        <w:t>bertad, siendo bastante explícito sobre las funciones de Leal y las órdenes impartidas por la superioridad.</w:t>
      </w:r>
    </w:p>
    <w:p w:rsidR="00224567" w:rsidRDefault="00224567">
      <w:pPr>
        <w:widowControl w:val="0"/>
        <w:tabs>
          <w:tab w:val="left" w:pos="2835"/>
        </w:tabs>
      </w:pPr>
      <w:r>
        <w:tab/>
        <w:t>En otro orden de ideas y contestando lo sostenido por el Dr. Nisman en cuanto a que él habría incurrido en una contradicción con respecto a su nombre, explicó que siempre dijo cómo se llamaba y cuál era su s</w:t>
      </w:r>
      <w:r>
        <w:t>o</w:t>
      </w:r>
      <w:r>
        <w:t>brenombre, precisando que en su declaración del 23 de d</w:t>
      </w:r>
      <w:r>
        <w:t>i</w:t>
      </w:r>
      <w:r>
        <w:t>ciembre de 1996 refirió que su apodo era “Tito” –fs. 4512 de la causa nº 1598-, circunsta</w:t>
      </w:r>
      <w:r>
        <w:t>n</w:t>
      </w:r>
      <w:r>
        <w:t>cia que no obstante no fue investigada en su momento, luego resultó confirmada por muchos vecinos que fueron cit</w:t>
      </w:r>
      <w:r>
        <w:t>a</w:t>
      </w:r>
      <w:r>
        <w:t>dos como testigos con motivo de la denuncia efectuada por Marta Alicia Gómez, quien h</w:t>
      </w:r>
      <w:r>
        <w:t>a</w:t>
      </w:r>
      <w:r>
        <w:t>bría intentado involucrarlo en el homicidio de Miguel Á</w:t>
      </w:r>
      <w:r>
        <w:t>n</w:t>
      </w:r>
      <w:r>
        <w:t>gel Cañete, ocurrido cuando aquél se encontraba deten</w:t>
      </w:r>
      <w:r>
        <w:t>i</w:t>
      </w:r>
      <w:r>
        <w:t>do.</w:t>
      </w:r>
    </w:p>
    <w:p w:rsidR="00224567" w:rsidRDefault="00224567">
      <w:pPr>
        <w:widowControl w:val="0"/>
        <w:tabs>
          <w:tab w:val="left" w:pos="2835"/>
        </w:tabs>
      </w:pPr>
      <w:r>
        <w:tab/>
        <w:t>El acusado recordó que en su declar</w:t>
      </w:r>
      <w:r>
        <w:t>a</w:t>
      </w:r>
      <w:r>
        <w:t>ción del 23 de d</w:t>
      </w:r>
      <w:r>
        <w:t>i</w:t>
      </w:r>
      <w:r>
        <w:t>ciembre de 1996 denunció el armado de la causa, refiriéndose tanto a su vinculación a ésta como a la colocación de frases que él no había emitido –fs. 4511vta. y 4512vta./4513, respe</w:t>
      </w:r>
      <w:r>
        <w:t>c</w:t>
      </w:r>
      <w:r>
        <w:t>tivamente, de la causa nº 1598-, aclarando que él concretamente manife</w:t>
      </w:r>
      <w:r>
        <w:t>s</w:t>
      </w:r>
      <w:r>
        <w:t>tó que cuando estaba prestando declaración indagatoria en el juzgado instructor, se cortó la luz y al momento de retomar la d</w:t>
      </w:r>
      <w:r>
        <w:t>e</w:t>
      </w:r>
      <w:r>
        <w:t xml:space="preserve">claración, </w:t>
      </w:r>
      <w:smartTag w:uri="urn:schemas-microsoft-com:office:smarttags" w:element="PersonName">
        <w:smartTagPr>
          <w:attr w:name="ProductID" w:val="la Dra. Spina"/>
        </w:smartTagPr>
        <w:r>
          <w:t>la Dra. Spina</w:t>
        </w:r>
      </w:smartTag>
      <w:r>
        <w:t xml:space="preserve"> colocó frases que él no había d</w:t>
      </w:r>
      <w:r>
        <w:t>i</w:t>
      </w:r>
      <w:r>
        <w:t>cho, ni se había percatado de ello, precisando que si uno se remite a la declaración del 14 de julio de 1996 –fs. 1771vta./1772 de la causa nº 1.598- allí reza “pregu</w:t>
      </w:r>
      <w:r>
        <w:t>n</w:t>
      </w:r>
      <w:r>
        <w:t>tado si recuerda el día que realizaron tales averiguaciones d</w:t>
      </w:r>
      <w:r>
        <w:t>i</w:t>
      </w:r>
      <w:r>
        <w:t>ce que no lo recuerda pero que fue unos días antes del procedimiento que se lleva a cabo el 14 ó 15 de julio de 1994; por lo que pudo haber sido aproxim</w:t>
      </w:r>
      <w:r>
        <w:t>a</w:t>
      </w:r>
      <w:r>
        <w:t>damente el 10 de julio. Aclara que como máximo pudo haber ocurrido una s</w:t>
      </w:r>
      <w:r>
        <w:t>e</w:t>
      </w:r>
      <w:r>
        <w:t>mana antes del procedimiento”, siendo la referencia al 10 de julio una frase colocada maliciosamente que él nunca emitió.</w:t>
      </w:r>
    </w:p>
    <w:p w:rsidR="00224567" w:rsidRDefault="00224567">
      <w:pPr>
        <w:widowControl w:val="0"/>
        <w:tabs>
          <w:tab w:val="left" w:pos="2835"/>
        </w:tabs>
      </w:pPr>
      <w:r>
        <w:tab/>
        <w:t xml:space="preserve">Manifestó que Telleldín vendió </w:t>
      </w:r>
      <w:smartTag w:uri="urn:schemas-microsoft-com:office:smarttags" w:element="PersonName">
        <w:smartTagPr>
          <w:attr w:name="ProductID" w:val="la Trafic"/>
        </w:smartTagPr>
        <w:r>
          <w:t>la Tr</w:t>
        </w:r>
        <w:r>
          <w:t>a</w:t>
        </w:r>
        <w:r>
          <w:t>fic</w:t>
        </w:r>
      </w:smartTag>
      <w:r>
        <w:t>, circunstancia que se desprende del mismo exp</w:t>
      </w:r>
      <w:r>
        <w:t>e</w:t>
      </w:r>
      <w:r>
        <w:t>diente, como ser del boleto de compraventa y de las d</w:t>
      </w:r>
      <w:r>
        <w:t>e</w:t>
      </w:r>
      <w:r>
        <w:t>claraciones testimoniales, entendiendo asimismo que é</w:t>
      </w:r>
      <w:r>
        <w:t>s</w:t>
      </w:r>
      <w:r>
        <w:t>te miente en lo que se refiere a su pers</w:t>
      </w:r>
      <w:r>
        <w:t>o</w:t>
      </w:r>
      <w:r>
        <w:t>na.</w:t>
      </w:r>
    </w:p>
    <w:p w:rsidR="00224567" w:rsidRDefault="00224567">
      <w:pPr>
        <w:widowControl w:val="0"/>
        <w:tabs>
          <w:tab w:val="left" w:pos="2835"/>
        </w:tabs>
      </w:pPr>
      <w:r>
        <w:tab/>
        <w:t>Indicó que vio el documento y el v</w:t>
      </w:r>
      <w:r>
        <w:t>i</w:t>
      </w:r>
      <w:r>
        <w:t>deo de fecha 24 de marzo aportados por la querella donde T</w:t>
      </w:r>
      <w:r>
        <w:t>e</w:t>
      </w:r>
      <w:r>
        <w:t>lleldín refiere que el magistrado instructor ya tenía el</w:t>
      </w:r>
      <w:r>
        <w:t>e</w:t>
      </w:r>
      <w:r>
        <w:t>gidos a los policías y los estaba marcando, opinando el indagado que esos dichos pueden ser cie</w:t>
      </w:r>
      <w:r>
        <w:t>r</w:t>
      </w:r>
      <w:r>
        <w:t xml:space="preserve">tos, a cuyo fin se remitió a la entrevista efectuada por el diario “Página </w:t>
      </w:r>
      <w:smartTag w:uri="urn:schemas-microsoft-com:office:smarttags" w:element="metricconverter">
        <w:smartTagPr>
          <w:attr w:name="ProductID" w:val="12”"/>
        </w:smartTagPr>
        <w:r>
          <w:t>12”</w:t>
        </w:r>
      </w:smartTag>
      <w:r>
        <w:t xml:space="preserve"> –fs. 711 de la causa nº 1598- en la cual su coproces</w:t>
      </w:r>
      <w:r>
        <w:t>a</w:t>
      </w:r>
      <w:r>
        <w:t xml:space="preserve">do habla sobre la venta de </w:t>
      </w:r>
      <w:smartTag w:uri="urn:schemas-microsoft-com:office:smarttags" w:element="PersonName">
        <w:smartTagPr>
          <w:attr w:name="ProductID" w:val="la Trafic"/>
        </w:smartTagPr>
        <w:r>
          <w:t>la Trafic</w:t>
        </w:r>
      </w:smartTag>
      <w:r>
        <w:t>, señala que Galeano es una buena persona, distinto de los fiscales Mullen y Barbaccia, quienes le habrían propuesto señalar a un of</w:t>
      </w:r>
      <w:r>
        <w:t>i</w:t>
      </w:r>
      <w:r>
        <w:t>cial de policía o un carapint</w:t>
      </w:r>
      <w:r>
        <w:t>a</w:t>
      </w:r>
      <w:r>
        <w:t>da a cambio de su libertad.</w:t>
      </w:r>
    </w:p>
    <w:p w:rsidR="00224567" w:rsidRDefault="00224567">
      <w:pPr>
        <w:widowControl w:val="0"/>
        <w:tabs>
          <w:tab w:val="left" w:pos="2835"/>
        </w:tabs>
      </w:pPr>
      <w:r>
        <w:tab/>
        <w:t>Se procedió a la reproducción de d</w:t>
      </w:r>
      <w:r>
        <w:t>i</w:t>
      </w:r>
      <w:r>
        <w:t>versas imágenes contenidas en un disco compacto aportado por la defensa del indagado previo al inicio de la audie</w:t>
      </w:r>
      <w:r>
        <w:t>n</w:t>
      </w:r>
      <w:r>
        <w:t>cia, referidas al video del 24 marzo, como así ta</w:t>
      </w:r>
      <w:r>
        <w:t>m</w:t>
      </w:r>
      <w:r>
        <w:t>bién de otras correspondientes al video de la reunión entre G</w:t>
      </w:r>
      <w:r>
        <w:t>a</w:t>
      </w:r>
      <w:r>
        <w:t>leano y Telleldín del 10 de abril de 1996.</w:t>
      </w:r>
    </w:p>
    <w:p w:rsidR="00224567" w:rsidRDefault="00224567">
      <w:pPr>
        <w:widowControl w:val="0"/>
        <w:tabs>
          <w:tab w:val="left" w:pos="2835"/>
        </w:tabs>
      </w:pPr>
      <w:r>
        <w:tab/>
        <w:t>Señaló que, conforme se desprende de las mismas, Telleldín acusa al juez de tener si</w:t>
      </w:r>
      <w:r>
        <w:t>n</w:t>
      </w:r>
      <w:r>
        <w:t>dicadas a las personas que iba a detener, encontrá</w:t>
      </w:r>
      <w:r>
        <w:t>n</w:t>
      </w:r>
      <w:r>
        <w:t>dose entre éstas un suboficial Valenzuela.</w:t>
      </w:r>
    </w:p>
    <w:p w:rsidR="00224567" w:rsidRDefault="00224567">
      <w:pPr>
        <w:widowControl w:val="0"/>
        <w:tabs>
          <w:tab w:val="left" w:pos="2835"/>
        </w:tabs>
      </w:pPr>
      <w:r>
        <w:tab/>
        <w:t>En consonancia con ello, se ref</w:t>
      </w:r>
      <w:r>
        <w:t>i</w:t>
      </w:r>
      <w:r>
        <w:t xml:space="preserve">rió al informe de </w:t>
      </w:r>
      <w:smartTag w:uri="urn:schemas-microsoft-com:office:smarttags" w:element="PersonName">
        <w:smartTagPr>
          <w:attr w:name="ProductID" w:val="la Dra. Spina"/>
        </w:smartTagPr>
        <w:r>
          <w:t>la Dra. Spina</w:t>
        </w:r>
      </w:smartTag>
      <w:r>
        <w:t xml:space="preserve"> del 26 de diciembre de 1995 –fs. 617 de la causa nº 1598- en el cual ésta comunica la r</w:t>
      </w:r>
      <w:r>
        <w:t>e</w:t>
      </w:r>
      <w:r>
        <w:t>cepción de un llamado telefónico anónimo que d</w:t>
      </w:r>
      <w:r>
        <w:t>e</w:t>
      </w:r>
      <w:r>
        <w:t xml:space="preserve">nuncia que además de lo publicado en el diario “Página </w:t>
      </w:r>
      <w:smartTag w:uri="urn:schemas-microsoft-com:office:smarttags" w:element="metricconverter">
        <w:smartTagPr>
          <w:attr w:name="ProductID" w:val="12”"/>
        </w:smartTagPr>
        <w:r>
          <w:t>12”</w:t>
        </w:r>
      </w:smartTag>
      <w:r>
        <w:t xml:space="preserve"> de dicha fecha, debe invest</w:t>
      </w:r>
      <w:r>
        <w:t>i</w:t>
      </w:r>
      <w:r>
        <w:t xml:space="preserve">garse a los policías de la provincia de Buenos Aires Valenzuela y Ribelli, el primero por haber entregado </w:t>
      </w:r>
      <w:smartTag w:uri="urn:schemas-microsoft-com:office:smarttags" w:element="PersonName">
        <w:smartTagPr>
          <w:attr w:name="ProductID" w:val="la Trafic"/>
        </w:smartTagPr>
        <w:r>
          <w:t>la Trafic</w:t>
        </w:r>
      </w:smartTag>
      <w:r>
        <w:t xml:space="preserve"> a Leal y el segundo por pertenecer a </w:t>
      </w:r>
      <w:smartTag w:uri="urn:schemas-microsoft-com:office:smarttags" w:element="PersonName">
        <w:smartTagPr>
          <w:attr w:name="ProductID" w:val="la Brigada"/>
        </w:smartTagPr>
        <w:r>
          <w:t>la Brigada</w:t>
        </w:r>
      </w:smartTag>
      <w:r>
        <w:t xml:space="preserve"> de Lanús.</w:t>
      </w:r>
    </w:p>
    <w:p w:rsidR="00224567" w:rsidRDefault="00224567">
      <w:pPr>
        <w:widowControl w:val="0"/>
        <w:tabs>
          <w:tab w:val="left" w:pos="2835"/>
        </w:tabs>
      </w:pPr>
      <w:r>
        <w:tab/>
        <w:t>Explicó que la mencionada constancia actuarial fue armada por el juzgado para involucrar a V</w:t>
      </w:r>
      <w:r>
        <w:t>a</w:t>
      </w:r>
      <w:r>
        <w:t>lenzuela, a quien querían relacionar con él, toda vez que el 15 de julio de 1994 ambos habían estado en una depe</w:t>
      </w:r>
      <w:r>
        <w:t>n</w:t>
      </w:r>
      <w:r>
        <w:t>dencia judicial con el detenido Diz desde las 9.00 hasta las 19.30, no pudiendo lograr su cometido por no contar con la apr</w:t>
      </w:r>
      <w:r>
        <w:t>o</w:t>
      </w:r>
      <w:r>
        <w:t>bación de Telleldín.</w:t>
      </w:r>
    </w:p>
    <w:p w:rsidR="00224567" w:rsidRDefault="00224567">
      <w:pPr>
        <w:widowControl w:val="0"/>
        <w:tabs>
          <w:tab w:val="left" w:pos="2835"/>
        </w:tabs>
      </w:pPr>
      <w:r>
        <w:tab/>
        <w:t>Indicó, en ese sentido, haberse ent</w:t>
      </w:r>
      <w:r>
        <w:t>e</w:t>
      </w:r>
      <w:r>
        <w:t xml:space="preserve">rado por los medios periodísticos que </w:t>
      </w:r>
      <w:smartTag w:uri="urn:schemas-microsoft-com:office:smarttags" w:element="PersonName">
        <w:smartTagPr>
          <w:attr w:name="ProductID" w:val="la Dra. Spina"/>
        </w:smartTagPr>
        <w:r>
          <w:t>la Dra. Spina</w:t>
        </w:r>
      </w:smartTag>
      <w:r>
        <w:t xml:space="preserve"> ta</w:t>
      </w:r>
      <w:r>
        <w:t>m</w:t>
      </w:r>
      <w:r>
        <w:t xml:space="preserve">bién confeccionó una constancia actuarial mentirosa en la causa “Canarias” para incriminar al Dr. Valotta, en ese entonces secretario de </w:t>
      </w:r>
      <w:smartTag w:uri="urn:schemas-microsoft-com:office:smarttags" w:element="PersonName">
        <w:smartTagPr>
          <w:attr w:name="ProductID" w:val="la Defensor￭a Oficial"/>
        </w:smartTagPr>
        <w:r>
          <w:t>la Defensoría Oficial</w:t>
        </w:r>
      </w:smartTag>
      <w:r>
        <w:t>, que critic</w:t>
      </w:r>
      <w:r>
        <w:t>a</w:t>
      </w:r>
      <w:r>
        <w:t>ba la forma de inve</w:t>
      </w:r>
      <w:r>
        <w:t>s</w:t>
      </w:r>
      <w:r>
        <w:t>tigar del Dr. Galeano.</w:t>
      </w:r>
    </w:p>
    <w:p w:rsidR="00224567" w:rsidRDefault="00224567">
      <w:pPr>
        <w:widowControl w:val="0"/>
        <w:tabs>
          <w:tab w:val="left" w:pos="2835"/>
        </w:tabs>
      </w:pPr>
      <w:r>
        <w:tab/>
        <w:t>Asimismo, el encartado dio lect</w:t>
      </w:r>
      <w:r>
        <w:t>u</w:t>
      </w:r>
      <w:r>
        <w:t xml:space="preserve">ra de fragmentos de una nota periodística del 30 de julio de 1998 publicada en la “Revista </w:t>
      </w:r>
      <w:smartTag w:uri="urn:schemas-microsoft-com:office:smarttags" w:element="metricconverter">
        <w:smartTagPr>
          <w:attr w:name="ProductID" w:val="21”"/>
        </w:smartTagPr>
        <w:r>
          <w:t>21”</w:t>
        </w:r>
      </w:smartTag>
      <w:r>
        <w:t>, relativa a estas actu</w:t>
      </w:r>
      <w:r>
        <w:t>a</w:t>
      </w:r>
      <w:r>
        <w:t>ciones, en la cual se informa que el mismo observó los m</w:t>
      </w:r>
      <w:r>
        <w:t>é</w:t>
      </w:r>
      <w:r>
        <w:t>todos del Dr. Galeano para determinar a imputados a decl</w:t>
      </w:r>
      <w:r>
        <w:t>a</w:t>
      </w:r>
      <w:r>
        <w:t>rar contra su voluntad violando la garantía contra la a</w:t>
      </w:r>
      <w:r>
        <w:t>u</w:t>
      </w:r>
      <w:r>
        <w:t>toincriminación, no siendo la primera vez que un trib</w:t>
      </w:r>
      <w:r>
        <w:t>u</w:t>
      </w:r>
      <w:r>
        <w:t>nal oral objeta en dicho sentido los métodos del magistrado instructor.</w:t>
      </w:r>
    </w:p>
    <w:p w:rsidR="00224567" w:rsidRDefault="00224567">
      <w:pPr>
        <w:widowControl w:val="0"/>
        <w:tabs>
          <w:tab w:val="left" w:pos="2835"/>
        </w:tabs>
      </w:pPr>
      <w:r>
        <w:tab/>
        <w:t>Avanzó en su relato refiriendo que T</w:t>
      </w:r>
      <w:r>
        <w:t>e</w:t>
      </w:r>
      <w:r>
        <w:t>lleldín reconoció que Galeano le exhibió una fotografía suya, conforme se desprende de uno de los archivos repr</w:t>
      </w:r>
      <w:r>
        <w:t>o</w:t>
      </w:r>
      <w:r>
        <w:t>ducidos, aclarando el acusado que la respectiva vista fue extraída del sobre glosado a fs. 247 de la causa nº 1598 en el cual se acompañaron los retratos de los int</w:t>
      </w:r>
      <w:r>
        <w:t>e</w:t>
      </w:r>
      <w:r>
        <w:t>grantes de las Brigadas de Lanús y Vicente L</w:t>
      </w:r>
      <w:r>
        <w:t>ó</w:t>
      </w:r>
      <w:r>
        <w:t>pez que intervinieron en los procedimientos de Telle</w:t>
      </w:r>
      <w:r>
        <w:t>l</w:t>
      </w:r>
      <w:r>
        <w:t>dín.</w:t>
      </w:r>
    </w:p>
    <w:p w:rsidR="00224567" w:rsidRDefault="00224567">
      <w:pPr>
        <w:widowControl w:val="0"/>
        <w:tabs>
          <w:tab w:val="left" w:pos="2835"/>
        </w:tabs>
      </w:pPr>
      <w:r>
        <w:tab/>
        <w:t>Destacó que, conforme se despre</w:t>
      </w:r>
      <w:r>
        <w:t>n</w:t>
      </w:r>
      <w:r>
        <w:t>de de otros archivos exhibidos, su coprocesado dijo que rec</w:t>
      </w:r>
      <w:r>
        <w:t>i</w:t>
      </w:r>
      <w:r>
        <w:t>bió dinero para hacer el reconocimiento, que le fue exhibida la foto del policía para que la reconozca, que G</w:t>
      </w:r>
      <w:r>
        <w:t>a</w:t>
      </w:r>
      <w:r>
        <w:t>leano le indicó a quiénes tenía que individualizar, que recibió presiones tanto del magistrado como de los fiscales, que negoció tanto los reconocimientos como la libertad de pe</w:t>
      </w:r>
      <w:r>
        <w:t>r</w:t>
      </w:r>
      <w:r>
        <w:t>sonas alleg</w:t>
      </w:r>
      <w:r>
        <w:t>a</w:t>
      </w:r>
      <w:r>
        <w:t>das a él y que la verdad no le importaba.</w:t>
      </w:r>
    </w:p>
    <w:p w:rsidR="00224567" w:rsidRDefault="00224567">
      <w:pPr>
        <w:widowControl w:val="0"/>
        <w:tabs>
          <w:tab w:val="left" w:pos="2835"/>
        </w:tabs>
      </w:pPr>
      <w:r>
        <w:tab/>
        <w:t>De esta manera, continuó, Telleldín fue mendaz sin impo</w:t>
      </w:r>
      <w:r>
        <w:t>r</w:t>
      </w:r>
      <w:r>
        <w:t>tarle la muerte de las ochenta y cinco víctimas del atentado, obtuvo un b</w:t>
      </w:r>
      <w:r>
        <w:t>e</w:t>
      </w:r>
      <w:r>
        <w:t>neficio de USD 400.000 e involucró con su mentira al declarante, quien siempre valoró y respetó la vida humana, sufriendo en consecuencia el distanciamiento de sus hijos y la discriminación para estudiar en la cárcel por su supuesta vinculación con la causa A.M.I.A.</w:t>
      </w:r>
    </w:p>
    <w:p w:rsidR="00224567" w:rsidRDefault="00224567">
      <w:pPr>
        <w:widowControl w:val="0"/>
        <w:tabs>
          <w:tab w:val="left" w:pos="2835"/>
        </w:tabs>
      </w:pPr>
      <w:r>
        <w:tab/>
        <w:t>Resaltó los dichos de Telleldín que se desprenden de otro de los archivos, en cuanto manifiesta que un preso hace cualquier cosa para o</w:t>
      </w:r>
      <w:r>
        <w:t>b</w:t>
      </w:r>
      <w:r>
        <w:t>tener su libertad, recordando el indagado los casos de Solari y Brizuela, quienes obtuvieron beneficios por hablar, no importándole a Galeano que mi</w:t>
      </w:r>
      <w:r>
        <w:t>n</w:t>
      </w:r>
      <w:r>
        <w:t>tieran.</w:t>
      </w:r>
    </w:p>
    <w:p w:rsidR="00224567" w:rsidRDefault="00224567">
      <w:pPr>
        <w:widowControl w:val="0"/>
        <w:tabs>
          <w:tab w:val="left" w:pos="2835"/>
        </w:tabs>
      </w:pPr>
      <w:r>
        <w:tab/>
        <w:t>Remarcó que en otro archivo T</w:t>
      </w:r>
      <w:r>
        <w:t>e</w:t>
      </w:r>
      <w:r>
        <w:t>lleldín reconoció que marca a cualquiera a pedido del juez, ac</w:t>
      </w:r>
      <w:r>
        <w:t>o</w:t>
      </w:r>
      <w:r>
        <w:t>tando el declarante que mientras su coencausado relató c</w:t>
      </w:r>
      <w:r>
        <w:t>o</w:t>
      </w:r>
      <w:r>
        <w:t>sas ciertas a los medios, no dijo la verdad en el deb</w:t>
      </w:r>
      <w:r>
        <w:t>a</w:t>
      </w:r>
      <w:r>
        <w:t>te, omitiendo expedirse sobre lo que hizo con la camioneta, reiterando el indagado que a su criterio aquél la ve</w:t>
      </w:r>
      <w:r>
        <w:t>n</w:t>
      </w:r>
      <w:r>
        <w:t>dió, porque a él no se la dio.</w:t>
      </w:r>
    </w:p>
    <w:p w:rsidR="00224567" w:rsidRDefault="00224567">
      <w:pPr>
        <w:widowControl w:val="0"/>
        <w:tabs>
          <w:tab w:val="left" w:pos="2835"/>
        </w:tabs>
      </w:pPr>
      <w:r>
        <w:tab/>
        <w:t>Evocó la entrevista del 28 de agosto de 2000 efectuada por el periodista Román Lejtman de la radio “Rock &amp; Pop” a Telleldín, en la cual éste explicó que en abril fue a tribunales, donde le mostraron las f</w:t>
      </w:r>
      <w:r>
        <w:t>o</w:t>
      </w:r>
      <w:r>
        <w:t>tografías del declarante y los testigos; también le ind</w:t>
      </w:r>
      <w:r>
        <w:t>i</w:t>
      </w:r>
      <w:r>
        <w:t>vidualizaron la de Ibarra, identificada con el número 6, para que la indique. Que Telleldín agregó que el dicente lo persiguió el día 14, pero no lo vio en ningún m</w:t>
      </w:r>
      <w:r>
        <w:t>o</w:t>
      </w:r>
      <w:r>
        <w:t>mento, explicando que como se trató de una persecución de gente vestida de civil, creyó que se trataba de ladrones, dánd</w:t>
      </w:r>
      <w:r>
        <w:t>o</w:t>
      </w:r>
      <w:r>
        <w:t>se a la fuga luego del disparo, señalando por último que por el susto no miró a la cara al mencionado policía, por lo que nunca lo habría podido r</w:t>
      </w:r>
      <w:r>
        <w:t>e</w:t>
      </w:r>
      <w:r>
        <w:t>conocer.</w:t>
      </w:r>
    </w:p>
    <w:p w:rsidR="00224567" w:rsidRDefault="00224567">
      <w:pPr>
        <w:widowControl w:val="0"/>
        <w:tabs>
          <w:tab w:val="left" w:pos="2835"/>
        </w:tabs>
      </w:pPr>
      <w:r>
        <w:tab/>
        <w:t>Afirmó que corroboró que muchas man</w:t>
      </w:r>
      <w:r>
        <w:t>i</w:t>
      </w:r>
      <w:r>
        <w:t>festaciones efectuadas por Telleldín a la prensa y en el video eran ciertas.</w:t>
      </w:r>
    </w:p>
    <w:p w:rsidR="00224567" w:rsidRDefault="00224567">
      <w:pPr>
        <w:widowControl w:val="0"/>
        <w:tabs>
          <w:tab w:val="left" w:pos="2835"/>
        </w:tabs>
      </w:pPr>
      <w:r>
        <w:tab/>
        <w:t>Al respecto, hizo hincapié en que, conforme se desprende de la reunión de Galeano y T</w:t>
      </w:r>
      <w:r>
        <w:t>e</w:t>
      </w:r>
      <w:r>
        <w:t>lleldín efectuada el 10 de abril de 1996, el magistrado dijo que ya tenía algunos nombres y una vez que le acercan la causa nº 1598, señala a Leal sin motivo alguno, acotando el i</w:t>
      </w:r>
      <w:r>
        <w:t>n</w:t>
      </w:r>
      <w:r>
        <w:t>dagado que como cons</w:t>
      </w:r>
      <w:r>
        <w:t>e</w:t>
      </w:r>
      <w:r>
        <w:t>cuencia del respectivo reconocimiento devino involucrado como partícipe en la causa A.M.I.A., resultándole difícil l</w:t>
      </w:r>
      <w:r>
        <w:t>u</w:t>
      </w:r>
      <w:r>
        <w:t>char contra una mentira avalada por el propio juez, agregando que él siempre dijo la verdad desde su primer declaración del 15 de julio de 1994.</w:t>
      </w:r>
    </w:p>
    <w:p w:rsidR="00224567" w:rsidRDefault="00224567">
      <w:pPr>
        <w:widowControl w:val="0"/>
        <w:tabs>
          <w:tab w:val="left" w:pos="2835"/>
        </w:tabs>
      </w:pPr>
      <w:r>
        <w:tab/>
        <w:t xml:space="preserve">Aseguró que el magistrado instructor está moviendo sus influencias con motivo del juicio oral, incluso en </w:t>
      </w:r>
      <w:smartTag w:uri="urn:schemas-microsoft-com:office:smarttags" w:element="PersonName">
        <w:smartTagPr>
          <w:attr w:name="ProductID" w:val="la Polic￭a Federal"/>
        </w:smartTagPr>
        <w:r>
          <w:t>la Policía Federal</w:t>
        </w:r>
      </w:smartTag>
      <w:r>
        <w:t>, organismo que en las tran</w:t>
      </w:r>
      <w:r>
        <w:t>s</w:t>
      </w:r>
      <w:r>
        <w:t>cripciones pone como incomprensibles aquellas frases que comprometen al juez, indicando concretamente al respecto que, no obstante que en el debate se escuchó claramente cuando Galeano señaló su foto a Telleldín, incluso él lo pudo oír con una computadora vieja que tiene, en las transcripciones de fs. 96.104vta. figura como inintelig</w:t>
      </w:r>
      <w:r>
        <w:t>i</w:t>
      </w:r>
      <w:r>
        <w:t>ble la parte pertinente, siendo que con el equipo sofist</w:t>
      </w:r>
      <w:r>
        <w:t>i</w:t>
      </w:r>
      <w:r>
        <w:t xml:space="preserve">cado con que cuenta </w:t>
      </w:r>
      <w:smartTag w:uri="urn:schemas-microsoft-com:office:smarttags" w:element="PersonName">
        <w:smartTagPr>
          <w:attr w:name="ProductID" w:val="la Polic￭a Federal"/>
        </w:smartTagPr>
        <w:r>
          <w:t>la Policía Federal</w:t>
        </w:r>
      </w:smartTag>
      <w:r>
        <w:t xml:space="preserve"> se tendría que h</w:t>
      </w:r>
      <w:r>
        <w:t>a</w:t>
      </w:r>
      <w:r>
        <w:t>ber entendido la frase.</w:t>
      </w:r>
    </w:p>
    <w:p w:rsidR="00224567" w:rsidRDefault="00224567">
      <w:pPr>
        <w:widowControl w:val="0"/>
        <w:tabs>
          <w:tab w:val="left" w:pos="2835"/>
        </w:tabs>
      </w:pPr>
      <w:r>
        <w:tab/>
        <w:t>Reseñó que el juez lo eligió para imputarle el atentado creyendo o utilizando a un deli</w:t>
      </w:r>
      <w:r>
        <w:t>n</w:t>
      </w:r>
      <w:r>
        <w:t>cuente como Telleldín que tenía en su haber numerosos d</w:t>
      </w:r>
      <w:r>
        <w:t>e</w:t>
      </w:r>
      <w:r>
        <w:t>litos, sin valorar que el declarante nunca había tenido prontuario delictual y contaba con un legajo policial ejemplar.</w:t>
      </w:r>
    </w:p>
    <w:p w:rsidR="00224567" w:rsidRDefault="00224567">
      <w:pPr>
        <w:widowControl w:val="0"/>
        <w:tabs>
          <w:tab w:val="left" w:pos="2835"/>
        </w:tabs>
      </w:pPr>
      <w:r>
        <w:tab/>
        <w:t>En punto a las actividades del 14 de julio de 1994, el acusado manifestó que él fue a hacer un procedimiento y no a extorsionar, agregando que no sacó nada a nadie y que tampoco mandó a Bottegal a hacerlo. Agregó que desde el 15 de julio en que se confecciona el boleto de compraventa o el abogado obtiene el barco, el declarante nunca le efectuó ningún reclamo de la embarc</w:t>
      </w:r>
      <w:r>
        <w:t>a</w:t>
      </w:r>
      <w:r>
        <w:t>ción, circunstancia que desecha la acusación de que el l</w:t>
      </w:r>
      <w:r>
        <w:t>e</w:t>
      </w:r>
      <w:r>
        <w:t>trado habría ido en nombre de su Br</w:t>
      </w:r>
      <w:r>
        <w:t>i</w:t>
      </w:r>
      <w:r>
        <w:t>gada.</w:t>
      </w:r>
    </w:p>
    <w:p w:rsidR="00224567" w:rsidRDefault="00224567">
      <w:pPr>
        <w:widowControl w:val="0"/>
        <w:tabs>
          <w:tab w:val="left" w:pos="2835"/>
        </w:tabs>
      </w:pPr>
      <w:r>
        <w:tab/>
        <w:t>En tal sentido, explicó que nunca se contactó ni estableció comunicación telefónica con Bott</w:t>
      </w:r>
      <w:r>
        <w:t>e</w:t>
      </w:r>
      <w:r>
        <w:t>gal, reiterando que lo conoció en el deb</w:t>
      </w:r>
      <w:r>
        <w:t>a</w:t>
      </w:r>
      <w:r>
        <w:t xml:space="preserve">te. Agregó que él no se llevó </w:t>
      </w:r>
      <w:smartTag w:uri="urn:schemas-microsoft-com:office:smarttags" w:element="PersonName">
        <w:smartTagPr>
          <w:attr w:name="ProductID" w:val="la Trafic."/>
        </w:smartTagPr>
        <w:r>
          <w:t>la Trafic.</w:t>
        </w:r>
      </w:smartTag>
    </w:p>
    <w:p w:rsidR="00224567" w:rsidRDefault="00224567">
      <w:pPr>
        <w:widowControl w:val="0"/>
        <w:tabs>
          <w:tab w:val="left" w:pos="2835"/>
        </w:tabs>
      </w:pPr>
      <w:r>
        <w:tab/>
        <w:t>Por último, el imputado manifestó que no iba a contestar preguntas.</w:t>
      </w:r>
    </w:p>
    <w:p w:rsidR="00224567" w:rsidRDefault="00224567">
      <w:pPr>
        <w:widowControl w:val="0"/>
        <w:tabs>
          <w:tab w:val="left" w:pos="2835"/>
        </w:tabs>
      </w:pPr>
      <w:r>
        <w:tab/>
        <w:t>Anastasio Ireneo Leal amplió nuevame</w:t>
      </w:r>
      <w:r>
        <w:t>n</w:t>
      </w:r>
      <w:r>
        <w:t>te su declaración indagatoria en la audiencia de debate del 18 de diciembre de 2003, comenzando por man</w:t>
      </w:r>
      <w:r>
        <w:t>i</w:t>
      </w:r>
      <w:r>
        <w:t>festar que no respondería preguntas.</w:t>
      </w:r>
    </w:p>
    <w:p w:rsidR="00224567" w:rsidRDefault="00224567">
      <w:pPr>
        <w:widowControl w:val="0"/>
        <w:tabs>
          <w:tab w:val="left" w:pos="2835"/>
        </w:tabs>
      </w:pPr>
      <w:r>
        <w:tab/>
        <w:t>Refutó los dichos de un letrado de la querella A.M.I.A. y D.A.I.A. volcados en la entrevista p</w:t>
      </w:r>
      <w:r>
        <w:t>u</w:t>
      </w:r>
      <w:r>
        <w:t>blicada en el “Diario Judicial” del 19 de febrero de 2002, en el sentido que él habría mentido descaradamente cua</w:t>
      </w:r>
      <w:r>
        <w:t>n</w:t>
      </w:r>
      <w:r>
        <w:t>do afirmó que se enteró que era investigado a partir del s</w:t>
      </w:r>
      <w:r>
        <w:t>u</w:t>
      </w:r>
      <w:r>
        <w:t xml:space="preserve">mario administrativo instruido en </w:t>
      </w:r>
      <w:smartTag w:uri="urn:schemas-microsoft-com:office:smarttags" w:element="PersonName">
        <w:smartTagPr>
          <w:attr w:name="ProductID" w:val="la Polic￭a Bonaerense"/>
        </w:smartTagPr>
        <w:r>
          <w:t>la Policía Bonaerense</w:t>
        </w:r>
      </w:smartTag>
      <w:r>
        <w:t>, toda vez que él dijo la verdad, explicando que en su m</w:t>
      </w:r>
      <w:r>
        <w:t>o</w:t>
      </w:r>
      <w:r>
        <w:t>mento se puso a disposición del magistrado instructor en dos oportunidades, siendo su p</w:t>
      </w:r>
      <w:r>
        <w:t>e</w:t>
      </w:r>
      <w:r>
        <w:t>tición rechazada en ambas, precisando que conforme se desprendía del segundo auto, del 26 de febrero de 1996, en ese entonces no era consid</w:t>
      </w:r>
      <w:r>
        <w:t>e</w:t>
      </w:r>
      <w:r>
        <w:t>rado parte. Agregó que dichas afirmaciones le provocaron un perjuicio fam</w:t>
      </w:r>
      <w:r>
        <w:t>i</w:t>
      </w:r>
      <w:r>
        <w:t>liar.</w:t>
      </w:r>
    </w:p>
    <w:p w:rsidR="00224567" w:rsidRDefault="00224567">
      <w:pPr>
        <w:widowControl w:val="0"/>
        <w:tabs>
          <w:tab w:val="left" w:pos="2835"/>
        </w:tabs>
      </w:pPr>
      <w:r>
        <w:tab/>
        <w:t>Continuó, indicando que también mole</w:t>
      </w:r>
      <w:r>
        <w:t>s</w:t>
      </w:r>
      <w:r>
        <w:t>taban las manifestaciones de la referida quer</w:t>
      </w:r>
      <w:r>
        <w:t>e</w:t>
      </w:r>
      <w:r>
        <w:t>lla, cuando sostiene que habría delitos en la causa que nu</w:t>
      </w:r>
      <w:r>
        <w:t>n</w:t>
      </w:r>
      <w:r>
        <w:t>ca tendrían prueba directa porque ésta no existe, no hay una fotogr</w:t>
      </w:r>
      <w:r>
        <w:t>a</w:t>
      </w:r>
      <w:r>
        <w:t>fía de los policías entregándole la camioneta a los terr</w:t>
      </w:r>
      <w:r>
        <w:t>o</w:t>
      </w:r>
      <w:r>
        <w:t>ristas, por lo que habría que armar los elementos probat</w:t>
      </w:r>
      <w:r>
        <w:t>o</w:t>
      </w:r>
      <w:r>
        <w:t>rios. El indagado señaló al respecto que así como le i</w:t>
      </w:r>
      <w:r>
        <w:t>n</w:t>
      </w:r>
      <w:r>
        <w:t xml:space="preserve">ventaron la causa a los imputados, éstos cuentan con dos videos, uno en el cual el Dr. Galeano marca su foto y otro en el cual Telleldín y el magistrado negocian, también con numerosas cintas de audio demostrativas del arreglo para que Telleldín los involucrara, y con las confesiones de los agentes de </w:t>
      </w:r>
      <w:smartTag w:uri="urn:schemas-microsoft-com:office:smarttags" w:element="PersonName">
        <w:smartTagPr>
          <w:attr w:name="ProductID" w:val="la S.I"/>
        </w:smartTagPr>
        <w:r>
          <w:t>la S.I</w:t>
        </w:r>
      </w:smartTag>
      <w:r>
        <w:t>.D.E. que lo instrument</w:t>
      </w:r>
      <w:r>
        <w:t>a</w:t>
      </w:r>
      <w:r>
        <w:t>ron. Concluyó preguntándose a qué prueba se refería la querella, agr</w:t>
      </w:r>
      <w:r>
        <w:t>e</w:t>
      </w:r>
      <w:r>
        <w:t>gando si habría que armar sobre lo armado.</w:t>
      </w:r>
    </w:p>
    <w:p w:rsidR="00224567" w:rsidRDefault="00224567">
      <w:pPr>
        <w:widowControl w:val="0"/>
        <w:tabs>
          <w:tab w:val="left" w:pos="2835"/>
        </w:tabs>
      </w:pPr>
      <w:r>
        <w:tab/>
        <w:t>Manifestó que el referido abog</w:t>
      </w:r>
      <w:r>
        <w:t>a</w:t>
      </w:r>
      <w:r>
        <w:t>do, en otro tramo de la entrevista y al referirse a la elev</w:t>
      </w:r>
      <w:r>
        <w:t>a</w:t>
      </w:r>
      <w:r>
        <w:t>ción de la causa a juicio, señaló que pensaron mucho antes de acusar porque ellos no juegan con la libertad, acotando Leal que a su criterio, jugaron con su vida y su culpab</w:t>
      </w:r>
      <w:r>
        <w:t>i</w:t>
      </w:r>
      <w:r>
        <w:t>lidad, porque si hubieran estudiado la causa habrían a</w:t>
      </w:r>
      <w:r>
        <w:t>d</w:t>
      </w:r>
      <w:r>
        <w:t>vertido las irreg</w:t>
      </w:r>
      <w:r>
        <w:t>u</w:t>
      </w:r>
      <w:r>
        <w:t>laridades.</w:t>
      </w:r>
    </w:p>
    <w:p w:rsidR="00224567" w:rsidRDefault="00224567">
      <w:pPr>
        <w:widowControl w:val="0"/>
        <w:tabs>
          <w:tab w:val="left" w:pos="2835"/>
        </w:tabs>
      </w:pPr>
      <w:r>
        <w:tab/>
        <w:t>Luego sostuvo que Lucas, Hernández, Stiuso, Ferro o Fernández y De Lucía lo ubicaron erróne</w:t>
      </w:r>
      <w:r>
        <w:t>a</w:t>
      </w:r>
      <w:r>
        <w:t>mente en la casa de Telleldín el 26 de julio, cuando, co</w:t>
      </w:r>
      <w:r>
        <w:t>n</w:t>
      </w:r>
      <w:r>
        <w:t xml:space="preserve">forme se desprende del libro de guardia, en la mencionada fecha permaneció en </w:t>
      </w:r>
      <w:smartTag w:uri="urn:schemas-microsoft-com:office:smarttags" w:element="PersonName">
        <w:smartTagPr>
          <w:attr w:name="ProductID" w:val="la Brigada"/>
        </w:smartTagPr>
        <w:r>
          <w:t>la Brigada</w:t>
        </w:r>
      </w:smartTag>
      <w:r>
        <w:t xml:space="preserve"> de Investigaciones de V</w:t>
      </w:r>
      <w:r>
        <w:t>i</w:t>
      </w:r>
      <w:r>
        <w:t>cente López desde las 21.00, retirándose a las 2.00 del 27, agregando que a las 3.00 y a las 3.20 sale de la d</w:t>
      </w:r>
      <w:r>
        <w:t>e</w:t>
      </w:r>
      <w:r>
        <w:t>pendencia con motivo de procedimientos; por lo que no se explica la razón por la cual lo ubican en casa de é</w:t>
      </w:r>
      <w:r>
        <w:t>s</w:t>
      </w:r>
      <w:r>
        <w:t>te.</w:t>
      </w:r>
    </w:p>
    <w:p w:rsidR="00224567" w:rsidRDefault="00224567">
      <w:pPr>
        <w:widowControl w:val="0"/>
        <w:tabs>
          <w:tab w:val="left" w:pos="2835"/>
        </w:tabs>
      </w:pPr>
      <w:r>
        <w:tab/>
        <w:t>Indicó que también lo acusan de estar involucrado en la extorsión, cuando él nunca le pidió nada a Telleldín y éste jamás declaró en el debate que él le haya sacado algo o le haya mandado a alguien a que lo h</w:t>
      </w:r>
      <w:r>
        <w:t>i</w:t>
      </w:r>
      <w:r>
        <w:t>ciera. Dijo también que sólo podía esclarecer y respo</w:t>
      </w:r>
      <w:r>
        <w:t>n</w:t>
      </w:r>
      <w:r>
        <w:t>der por sus actos personales, mas no por los de sus subalte</w:t>
      </w:r>
      <w:r>
        <w:t>r</w:t>
      </w:r>
      <w:r>
        <w:t>nos ni los de sus superiores, aclarando que oportun</w:t>
      </w:r>
      <w:r>
        <w:t>a</w:t>
      </w:r>
      <w:r>
        <w:t>mente efectuó una denuncia, siendo responsab</w:t>
      </w:r>
      <w:r>
        <w:t>i</w:t>
      </w:r>
      <w:r>
        <w:t>lidad de sus jefes no haber hecho nada al respecto.</w:t>
      </w:r>
    </w:p>
    <w:p w:rsidR="00224567" w:rsidRDefault="00224567">
      <w:pPr>
        <w:widowControl w:val="0"/>
        <w:tabs>
          <w:tab w:val="left" w:pos="2835"/>
        </w:tabs>
      </w:pPr>
      <w:r>
        <w:tab/>
        <w:t>Manifestó que le resultaba incompre</w:t>
      </w:r>
      <w:r>
        <w:t>n</w:t>
      </w:r>
      <w:r>
        <w:t>sible continuar detenido a pesar de haberse d</w:t>
      </w:r>
      <w:r>
        <w:t>e</w:t>
      </w:r>
      <w:r>
        <w:t>mostrado su desvinculación del atentado, recordando que el 23 de d</w:t>
      </w:r>
      <w:r>
        <w:t>i</w:t>
      </w:r>
      <w:r>
        <w:t>ciembre de 1996 él denunció el armado de la causa.</w:t>
      </w:r>
    </w:p>
    <w:p w:rsidR="00224567" w:rsidRDefault="00224567">
      <w:pPr>
        <w:widowControl w:val="0"/>
        <w:tabs>
          <w:tab w:val="left" w:pos="2835"/>
        </w:tabs>
      </w:pPr>
      <w:r>
        <w:tab/>
        <w:t>Del mismo modo, expresó que está acl</w:t>
      </w:r>
      <w:r>
        <w:t>a</w:t>
      </w:r>
      <w:r>
        <w:t>rado que el comis</w:t>
      </w:r>
      <w:r>
        <w:t>a</w:t>
      </w:r>
      <w:r>
        <w:t xml:space="preserve">rio “Japonés” López -perteneciente a </w:t>
      </w:r>
      <w:smartTag w:uri="urn:schemas-microsoft-com:office:smarttags" w:element="PersonName">
        <w:smartTagPr>
          <w:attr w:name="ProductID" w:val="la Brigada San"/>
        </w:smartTagPr>
        <w:r>
          <w:t>la Brigada San</w:t>
        </w:r>
      </w:smartTag>
      <w:r>
        <w:t xml:space="preserve"> Martín- fue quien estuvo en República 107, s</w:t>
      </w:r>
      <w:r>
        <w:t>o</w:t>
      </w:r>
      <w:r>
        <w:t>licitando se lo cite a declarar para que dé las explic</w:t>
      </w:r>
      <w:r>
        <w:t>a</w:t>
      </w:r>
      <w:r>
        <w:t>ciones pertinentes, se secuestren los libros de guardia de la dependencia o se investigue quién concurrió al lugar.</w:t>
      </w:r>
    </w:p>
    <w:p w:rsidR="00224567" w:rsidRDefault="00224567">
      <w:pPr>
        <w:widowControl w:val="0"/>
        <w:tabs>
          <w:tab w:val="left" w:pos="2835"/>
        </w:tabs>
      </w:pPr>
      <w:r>
        <w:tab/>
        <w:t>Destacó, en tal sentido, los d</w:t>
      </w:r>
      <w:r>
        <w:t>i</w:t>
      </w:r>
      <w:r>
        <w:t>chos de Bottegal, quien, tanto en su declaración testimonial como en su indagatoria, reconoció la presencia del comisario López en el domicilio de T</w:t>
      </w:r>
      <w:r>
        <w:t>e</w:t>
      </w:r>
      <w:r>
        <w:t>lleldín.</w:t>
      </w:r>
    </w:p>
    <w:p w:rsidR="00224567" w:rsidRDefault="00224567">
      <w:pPr>
        <w:widowControl w:val="0"/>
        <w:tabs>
          <w:tab w:val="left" w:pos="2835"/>
        </w:tabs>
      </w:pPr>
      <w:r>
        <w:tab/>
        <w:t>Incluso, continuó, hay comunic</w:t>
      </w:r>
      <w:r>
        <w:t>a</w:t>
      </w:r>
      <w:r>
        <w:t>ciones telefónicas del mencionado López con Bareiro  y  Barr</w:t>
      </w:r>
      <w:r>
        <w:t>e</w:t>
      </w:r>
      <w:r>
        <w:t>da  –fs. 6 y 14, respectivamente, del legajo de transcripci</w:t>
      </w:r>
      <w:r>
        <w:t>o</w:t>
      </w:r>
      <w:r>
        <w:t xml:space="preserve">nes de </w:t>
      </w:r>
      <w:smartTag w:uri="urn:schemas-microsoft-com:office:smarttags" w:element="PersonName">
        <w:smartTagPr>
          <w:attr w:name="ProductID" w:val="la S.I"/>
        </w:smartTagPr>
        <w:r>
          <w:t>la S.I</w:t>
        </w:r>
      </w:smartTag>
      <w:r>
        <w:t>.D.E. del 768-0902-, las cuales demuestran que aquél tenía conocimiento de la presencia de éstos en la finca y e</w:t>
      </w:r>
      <w:r>
        <w:t>s</w:t>
      </w:r>
      <w:r>
        <w:t>tuvo allí.</w:t>
      </w:r>
    </w:p>
    <w:p w:rsidR="00224567" w:rsidRDefault="00224567">
      <w:pPr>
        <w:pStyle w:val="Textoindependiente3"/>
        <w:widowControl w:val="0"/>
        <w:tabs>
          <w:tab w:val="left" w:pos="2835"/>
        </w:tabs>
        <w:rPr>
          <w:rFonts w:ascii="Courier New" w:hAnsi="Courier New" w:cs="Courier New"/>
          <w:b w:val="0"/>
          <w:bCs/>
          <w:sz w:val="24"/>
        </w:rPr>
      </w:pPr>
      <w:r>
        <w:rPr>
          <w:rFonts w:ascii="Courier New" w:hAnsi="Courier New" w:cs="Courier New"/>
          <w:b w:val="0"/>
          <w:bCs/>
          <w:sz w:val="24"/>
        </w:rPr>
        <w:tab/>
        <w:t>El agente Delizia declaró que en el lugar se presentó una persona que no exhibió credencial, entró a la casa, habló con los policías y se retiró, no pudiendo explicar Fernández en qué medio de transporte arribó el mencionado sujeto. El acusado r</w:t>
      </w:r>
      <w:r>
        <w:rPr>
          <w:rFonts w:ascii="Courier New" w:hAnsi="Courier New" w:cs="Courier New"/>
          <w:b w:val="0"/>
          <w:bCs/>
          <w:sz w:val="24"/>
        </w:rPr>
        <w:t>e</w:t>
      </w:r>
      <w:r>
        <w:rPr>
          <w:rFonts w:ascii="Courier New" w:hAnsi="Courier New" w:cs="Courier New"/>
          <w:b w:val="0"/>
          <w:bCs/>
          <w:sz w:val="24"/>
        </w:rPr>
        <w:t>iteró que él no estuvo allí y reveló que, a su entender, la referida ci</w:t>
      </w:r>
      <w:r>
        <w:rPr>
          <w:rFonts w:ascii="Courier New" w:hAnsi="Courier New" w:cs="Courier New"/>
          <w:b w:val="0"/>
          <w:bCs/>
          <w:sz w:val="24"/>
        </w:rPr>
        <w:t>r</w:t>
      </w:r>
      <w:r>
        <w:rPr>
          <w:rFonts w:ascii="Courier New" w:hAnsi="Courier New" w:cs="Courier New"/>
          <w:b w:val="0"/>
          <w:bCs/>
          <w:sz w:val="24"/>
        </w:rPr>
        <w:t>cunstancia se supo mucho tiempo a</w:t>
      </w:r>
      <w:r>
        <w:rPr>
          <w:rFonts w:ascii="Courier New" w:hAnsi="Courier New" w:cs="Courier New"/>
          <w:b w:val="0"/>
          <w:bCs/>
          <w:sz w:val="24"/>
        </w:rPr>
        <w:t>n</w:t>
      </w:r>
      <w:r>
        <w:rPr>
          <w:rFonts w:ascii="Courier New" w:hAnsi="Courier New" w:cs="Courier New"/>
          <w:b w:val="0"/>
          <w:bCs/>
          <w:sz w:val="24"/>
        </w:rPr>
        <w:t>tes, toda vez que en su declaración indagatoria la querella le preguntó si desde la ventana del domicilio de Telleldín se podían ver los coches estacionados en la calle, resultando que luego, c</w:t>
      </w:r>
      <w:r>
        <w:rPr>
          <w:rFonts w:ascii="Courier New" w:hAnsi="Courier New" w:cs="Courier New"/>
          <w:b w:val="0"/>
          <w:bCs/>
          <w:sz w:val="24"/>
        </w:rPr>
        <w:t>a</w:t>
      </w:r>
      <w:r>
        <w:rPr>
          <w:rFonts w:ascii="Courier New" w:hAnsi="Courier New" w:cs="Courier New"/>
          <w:b w:val="0"/>
          <w:bCs/>
          <w:sz w:val="24"/>
        </w:rPr>
        <w:t xml:space="preserve">sualmente, </w:t>
      </w:r>
      <w:smartTag w:uri="urn:schemas-microsoft-com:office:smarttags" w:element="PersonName">
        <w:smartTagPr>
          <w:attr w:name="ProductID" w:val="la S.I"/>
        </w:smartTagPr>
        <w:r>
          <w:rPr>
            <w:rFonts w:ascii="Courier New" w:hAnsi="Courier New" w:cs="Courier New"/>
            <w:b w:val="0"/>
            <w:bCs/>
            <w:sz w:val="24"/>
          </w:rPr>
          <w:t>la S.I</w:t>
        </w:r>
      </w:smartTag>
      <w:r>
        <w:rPr>
          <w:rFonts w:ascii="Courier New" w:hAnsi="Courier New" w:cs="Courier New"/>
          <w:b w:val="0"/>
          <w:bCs/>
          <w:sz w:val="24"/>
        </w:rPr>
        <w:t>.D.E. lo situó dentro de la fi</w:t>
      </w:r>
      <w:r>
        <w:rPr>
          <w:rFonts w:ascii="Courier New" w:hAnsi="Courier New" w:cs="Courier New"/>
          <w:b w:val="0"/>
          <w:bCs/>
          <w:sz w:val="24"/>
        </w:rPr>
        <w:t>n</w:t>
      </w:r>
      <w:r>
        <w:rPr>
          <w:rFonts w:ascii="Courier New" w:hAnsi="Courier New" w:cs="Courier New"/>
          <w:b w:val="0"/>
          <w:bCs/>
          <w:sz w:val="24"/>
        </w:rPr>
        <w:t>ca.</w:t>
      </w:r>
    </w:p>
    <w:p w:rsidR="00224567" w:rsidRDefault="00224567">
      <w:pPr>
        <w:widowControl w:val="0"/>
        <w:tabs>
          <w:tab w:val="left" w:pos="2835"/>
        </w:tabs>
      </w:pPr>
      <w:r>
        <w:tab/>
        <w:t>En otro orden, recordó la decl</w:t>
      </w:r>
      <w:r>
        <w:t>a</w:t>
      </w:r>
      <w:r>
        <w:t>ración indagatoria prestada en el debate por Telle</w:t>
      </w:r>
      <w:r>
        <w:t>l</w:t>
      </w:r>
      <w:r>
        <w:t>dín en la cual revelara que el 10 de julio vio un Galaxy azul con faros adelante, aclarando el acusado que su coprocesado no se refirió a su vehículo sino a otro, para lo cual se proc</w:t>
      </w:r>
      <w:r>
        <w:t>e</w:t>
      </w:r>
      <w:r>
        <w:t>dió a la exhibición de las fotografías correspo</w:t>
      </w:r>
      <w:r>
        <w:t>n</w:t>
      </w:r>
      <w:r>
        <w:t>dientes al Galaxy propiedad suya –obrantes en el expediente-, acl</w:t>
      </w:r>
      <w:r>
        <w:t>a</w:t>
      </w:r>
      <w:r>
        <w:t>rando que éste nunca tuvo un faro busca-huellas, precisa</w:t>
      </w:r>
      <w:r>
        <w:t>n</w:t>
      </w:r>
      <w:r>
        <w:t>do que su coche tiene las tapas origin</w:t>
      </w:r>
      <w:r>
        <w:t>a</w:t>
      </w:r>
      <w:r>
        <w:t>les en el paragolpe delantero, la cual debería ser rota para col</w:t>
      </w:r>
      <w:r>
        <w:t>o</w:t>
      </w:r>
      <w:r>
        <w:t>carle un faro o para introducirle un botón para el encendido de aquél, habiendo determinado el respectivo informe per</w:t>
      </w:r>
      <w:r>
        <w:t>i</w:t>
      </w:r>
      <w:r>
        <w:t>cial que el automóvil nunca tuvo ni cables ni perillas adicionales p</w:t>
      </w:r>
      <w:r>
        <w:t>a</w:t>
      </w:r>
      <w:r>
        <w:t>ra e</w:t>
      </w:r>
      <w:r>
        <w:t>n</w:t>
      </w:r>
      <w:r>
        <w:t>cender.</w:t>
      </w:r>
    </w:p>
    <w:p w:rsidR="00224567" w:rsidRDefault="00224567">
      <w:pPr>
        <w:widowControl w:val="0"/>
        <w:tabs>
          <w:tab w:val="left" w:pos="2835"/>
        </w:tabs>
      </w:pPr>
      <w:r>
        <w:tab/>
        <w:t>Con referencia a la embarcación Gonz</w:t>
      </w:r>
      <w:r>
        <w:t>a</w:t>
      </w:r>
      <w:r>
        <w:t>lo, el acusado manifestó que, conforme se desprende del video del 1º de julio de 1996, es Telle</w:t>
      </w:r>
      <w:r>
        <w:t>l</w:t>
      </w:r>
      <w:r>
        <w:t>dín quien intenta vincularlo, aclarando que las transcripciones no constit</w:t>
      </w:r>
      <w:r>
        <w:t>u</w:t>
      </w:r>
      <w:r>
        <w:t>yen una reproducción fiel. Leal destacó que su coprocesado le preguntó al Dr. De Gamas si su foto había sido recon</w:t>
      </w:r>
      <w:r>
        <w:t>o</w:t>
      </w:r>
      <w:r>
        <w:t>cida, contestando el actuario en forma negativa y que e</w:t>
      </w:r>
      <w:r>
        <w:t>s</w:t>
      </w:r>
      <w:r>
        <w:t>taba desvinculado de dicho asunto; incluso Telleldín tr</w:t>
      </w:r>
      <w:r>
        <w:t>a</w:t>
      </w:r>
      <w:r>
        <w:t>tó de introducir dos o tres veces su apellido, respo</w:t>
      </w:r>
      <w:r>
        <w:t>n</w:t>
      </w:r>
      <w:r>
        <w:t>diéndole el actuario que quien estaba involucrado era un abogado, refiriéndole el nombre de Bottegal, entendiendo el decl</w:t>
      </w:r>
      <w:r>
        <w:t>a</w:t>
      </w:r>
      <w:r>
        <w:t>rante que si Telleldín fue e</w:t>
      </w:r>
      <w:r>
        <w:t>x</w:t>
      </w:r>
      <w:r>
        <w:t>torsionado debería conocer la persona a quien le e</w:t>
      </w:r>
      <w:r>
        <w:t>n</w:t>
      </w:r>
      <w:r>
        <w:t>tregó el barco, agregando al respecto que también se trató de conectar a Bareiro dentro de la organización, habiendo aclarado Telleldín que dicho pol</w:t>
      </w:r>
      <w:r>
        <w:t>i</w:t>
      </w:r>
      <w:r>
        <w:t>cía no tuvo mucha relación con él. Leal concluyó que e</w:t>
      </w:r>
      <w:r>
        <w:t>s</w:t>
      </w:r>
      <w:r>
        <w:t>tas eran pruebas de que trataron de armar una asociación entre p</w:t>
      </w:r>
      <w:r>
        <w:t>o</w:t>
      </w:r>
      <w:r>
        <w:t>licías y delincuentes.</w:t>
      </w:r>
    </w:p>
    <w:p w:rsidR="00224567" w:rsidRDefault="00224567">
      <w:pPr>
        <w:widowControl w:val="0"/>
        <w:tabs>
          <w:tab w:val="left" w:pos="2835"/>
        </w:tabs>
      </w:pPr>
      <w:r>
        <w:tab/>
        <w:t>Afirmó que nunca mintió y que si se examina su declaración del 14 de julio, se puede adve</w:t>
      </w:r>
      <w:r>
        <w:t>r</w:t>
      </w:r>
      <w:r>
        <w:t>tir que sus manifestaciones fueron corroboradas por las decl</w:t>
      </w:r>
      <w:r>
        <w:t>a</w:t>
      </w:r>
      <w:r>
        <w:t>raciones de los testigos del debate oral en cuanto a que Telleldín tenía antecedentes, contaba con pedido de capt</w:t>
      </w:r>
      <w:r>
        <w:t>u</w:t>
      </w:r>
      <w:r>
        <w:t>ra, poseía un coche rob</w:t>
      </w:r>
      <w:r>
        <w:t>a</w:t>
      </w:r>
      <w:r>
        <w:t>do en su casa y escapó en la forma por él descripta.</w:t>
      </w:r>
    </w:p>
    <w:p w:rsidR="00224567" w:rsidRDefault="00224567">
      <w:pPr>
        <w:widowControl w:val="0"/>
        <w:tabs>
          <w:tab w:val="left" w:pos="2835"/>
        </w:tabs>
      </w:pPr>
      <w:r>
        <w:tab/>
        <w:t xml:space="preserve">Señaló que la causa de </w:t>
      </w:r>
      <w:smartTag w:uri="urn:schemas-microsoft-com:office:smarttags" w:element="PersonName">
        <w:smartTagPr>
          <w:attr w:name="ProductID" w:val="la A.M"/>
        </w:smartTagPr>
        <w:r>
          <w:t>la A.M</w:t>
        </w:r>
      </w:smartTag>
      <w:r>
        <w:t>.I.A. “daba para todo”, especificando que en la causa tram</w:t>
      </w:r>
      <w:r>
        <w:t>i</w:t>
      </w:r>
      <w:r>
        <w:t>tada a su respecto por apremios, el fiscal pidió su sobrese</w:t>
      </w:r>
      <w:r>
        <w:t>i</w:t>
      </w:r>
      <w:r>
        <w:t xml:space="preserve">miento en 1994 y, ya detenido, la investigación fue reabierta en 1996, siendo condenado en 1997, tratándose casualmente de un expediente vinculado con </w:t>
      </w:r>
      <w:smartTag w:uri="urn:schemas-microsoft-com:office:smarttags" w:element="PersonName">
        <w:smartTagPr>
          <w:attr w:name="ProductID" w:val="la Brigada"/>
        </w:smartTagPr>
        <w:r>
          <w:t>la Brigada</w:t>
        </w:r>
      </w:smartTag>
      <w:r>
        <w:t xml:space="preserve"> de Lanús.</w:t>
      </w:r>
    </w:p>
    <w:p w:rsidR="00224567" w:rsidRDefault="00224567">
      <w:pPr>
        <w:widowControl w:val="0"/>
        <w:tabs>
          <w:tab w:val="left" w:pos="2835"/>
        </w:tabs>
      </w:pPr>
      <w:r>
        <w:tab/>
        <w:t>Destacó que este proceso lo destruyó social, económica y laboralmente, precisando que el E</w:t>
      </w:r>
      <w:r>
        <w:t>s</w:t>
      </w:r>
      <w:r>
        <w:t>tado estuvo en contra suyo porque sus d</w:t>
      </w:r>
      <w:r>
        <w:t>e</w:t>
      </w:r>
      <w:r>
        <w:t>nuncias sobre el armado de la causa y la violación de sus derechos humanos fueron ignoradas, siendo su único delito haber intentado hacer un proced</w:t>
      </w:r>
      <w:r>
        <w:t>i</w:t>
      </w:r>
      <w:r>
        <w:t>miento y dejarlo documentado.</w:t>
      </w:r>
    </w:p>
    <w:p w:rsidR="00224567" w:rsidRDefault="00224567">
      <w:pPr>
        <w:widowControl w:val="0"/>
        <w:tabs>
          <w:tab w:val="left" w:pos="2835"/>
        </w:tabs>
      </w:pPr>
      <w:r>
        <w:tab/>
        <w:t>Por último, puso de resalto que se veía obligado a dar explicaciones sobre circunstancias que no pasaron por sus sentidos, respecto de un atentado que no sabía cómo ocurrió, en una causa con nulid</w:t>
      </w:r>
      <w:r>
        <w:t>a</w:t>
      </w:r>
      <w:r>
        <w:t>des desde su inicio, cuando quienes debían aportar las respuestas eran el juez in</w:t>
      </w:r>
      <w:r>
        <w:t>s</w:t>
      </w:r>
      <w:r>
        <w:t>tructor, sus secretarios, el Poder Ejecutivo y el Poder Legisl</w:t>
      </w:r>
      <w:r>
        <w:t>a</w:t>
      </w:r>
      <w:r>
        <w:t>tivo.</w:t>
      </w:r>
    </w:p>
    <w:p w:rsidR="00224567" w:rsidRDefault="00224567">
      <w:pPr>
        <w:widowControl w:val="0"/>
      </w:pPr>
    </w:p>
    <w:p w:rsidR="00224567" w:rsidRDefault="00224567">
      <w:pPr>
        <w:pStyle w:val="Ttulo3"/>
        <w:keepNext w:val="0"/>
        <w:widowControl w:val="0"/>
      </w:pPr>
      <w:r>
        <w:t>G) Declaraciones indagatorias de Mario Norberto Bare</w:t>
      </w:r>
      <w:r>
        <w:t>i</w:t>
      </w:r>
      <w:r>
        <w:t>ro.</w:t>
      </w:r>
    </w:p>
    <w:p w:rsidR="00224567" w:rsidRDefault="00224567">
      <w:pPr>
        <w:widowControl w:val="0"/>
      </w:pPr>
      <w:r>
        <w:tab/>
        <w:t>Mario Norberto Bareiro se negó a d</w:t>
      </w:r>
      <w:r>
        <w:t>e</w:t>
      </w:r>
      <w:r>
        <w:t>clarar en la audiencia de debate, dándose lectura a sus indagat</w:t>
      </w:r>
      <w:r>
        <w:t>o</w:t>
      </w:r>
      <w:r>
        <w:t>rias ante la instrucción.</w:t>
      </w:r>
    </w:p>
    <w:p w:rsidR="00224567" w:rsidRDefault="00224567">
      <w:pPr>
        <w:widowControl w:val="0"/>
      </w:pPr>
      <w:r>
        <w:tab/>
        <w:t xml:space="preserve">Declaró en indagatoria, por primera vez, a fs. 38.886/38.894, oportunidad en la que admitió haber conocido a Carlos Alberto Telleldín en 1984, en </w:t>
      </w:r>
      <w:smartTag w:uri="urn:schemas-microsoft-com:office:smarttags" w:element="PersonName">
        <w:smartTagPr>
          <w:attr w:name="ProductID" w:val="la Comisar￭a"/>
        </w:smartTagPr>
        <w:r>
          <w:t>la Comis</w:t>
        </w:r>
        <w:r>
          <w:t>a</w:t>
        </w:r>
        <w:r>
          <w:t>ría</w:t>
        </w:r>
      </w:smartTag>
      <w:r>
        <w:t xml:space="preserve">  de  Santos  Lugares, debido a  que el nombrado –propietario de un sauna en esa jurisdicción- se ofreció como informante de actividades ilícitas, perdiendo conta</w:t>
      </w:r>
      <w:r>
        <w:t>c</w:t>
      </w:r>
      <w:r>
        <w:t xml:space="preserve">to con él en 1986, al irse de pase a </w:t>
      </w:r>
      <w:smartTag w:uri="urn:schemas-microsoft-com:office:smarttags" w:element="PersonName">
        <w:smartTagPr>
          <w:attr w:name="ProductID" w:val="la Comisar￭a"/>
        </w:smartTagPr>
        <w:r>
          <w:t>la Comisaría</w:t>
        </w:r>
      </w:smartTag>
      <w:r>
        <w:t xml:space="preserve"> de San Miguel.</w:t>
      </w:r>
    </w:p>
    <w:p w:rsidR="00224567" w:rsidRDefault="00224567">
      <w:pPr>
        <w:widowControl w:val="0"/>
      </w:pPr>
      <w:r>
        <w:tab/>
        <w:t>Explicó que en los años 1989 ó 1990 volvió a contactarse con Telleldín, en forma casual, opo</w:t>
      </w:r>
      <w:r>
        <w:t>r</w:t>
      </w:r>
      <w:r>
        <w:t xml:space="preserve">tunidad en que éste le comentó que tenía un local de baile en la esquina de Callao y Rivadavia de </w:t>
      </w:r>
      <w:smartTag w:uri="urn:schemas-microsoft-com:office:smarttags" w:element="PersonName">
        <w:smartTagPr>
          <w:attr w:name="ProductID" w:val="la Capital Federal"/>
        </w:smartTagPr>
        <w:r>
          <w:t>la C</w:t>
        </w:r>
        <w:r>
          <w:t>a</w:t>
        </w:r>
        <w:r>
          <w:t>pital Federal</w:t>
        </w:r>
      </w:smartTag>
      <w:r>
        <w:t xml:space="preserve"> y un “privado” en </w:t>
      </w:r>
      <w:smartTag w:uri="urn:schemas-microsoft-com:office:smarttags" w:element="PersonName">
        <w:smartTagPr>
          <w:attr w:name="ProductID" w:val="la Av. Constituyentes"/>
        </w:smartTagPr>
        <w:r>
          <w:t>la Av. Constituyentes</w:t>
        </w:r>
      </w:smartTag>
      <w:r>
        <w:t xml:space="preserve">, a unos </w:t>
      </w:r>
      <w:smartTag w:uri="urn:schemas-microsoft-com:office:smarttags" w:element="metricconverter">
        <w:smartTagPr>
          <w:attr w:name="ProductID" w:val="200 metros"/>
        </w:smartTagPr>
        <w:r>
          <w:t>200 metros</w:t>
        </w:r>
      </w:smartTag>
      <w:r>
        <w:t xml:space="preserve"> de </w:t>
      </w:r>
      <w:smartTag w:uri="urn:schemas-microsoft-com:office:smarttags" w:element="PersonName">
        <w:smartTagPr>
          <w:attr w:name="ProductID" w:val="la Av. General"/>
        </w:smartTagPr>
        <w:r>
          <w:t>la Av. General</w:t>
        </w:r>
      </w:smartTag>
      <w:r>
        <w:t xml:space="preserve"> Paz; lugares que luego visitó, precisa</w:t>
      </w:r>
      <w:r>
        <w:t>n</w:t>
      </w:r>
      <w:r>
        <w:t>do que al local bailable conc</w:t>
      </w:r>
      <w:r>
        <w:t>u</w:t>
      </w:r>
      <w:r>
        <w:t xml:space="preserve">rrió una vez que le salió el pase a </w:t>
      </w:r>
      <w:smartTag w:uri="urn:schemas-microsoft-com:office:smarttags" w:element="PersonName">
        <w:smartTagPr>
          <w:attr w:name="ProductID" w:val="la Divisi￳n Sustracci￳n"/>
        </w:smartTagPr>
        <w:r>
          <w:t>la División Sustracción</w:t>
        </w:r>
      </w:smartTag>
      <w:r>
        <w:t xml:space="preserve"> de Automotores de Vicente López, de donde se alejó en 1992. Tras revistar en la c</w:t>
      </w:r>
      <w:r>
        <w:t>o</w:t>
      </w:r>
      <w:r>
        <w:t xml:space="preserve">misaría de Villa Concepción y en </w:t>
      </w:r>
      <w:smartTag w:uri="urn:schemas-microsoft-com:office:smarttags" w:element="PersonName">
        <w:smartTagPr>
          <w:attr w:name="ProductID" w:val="la Brigada"/>
        </w:smartTagPr>
        <w:r>
          <w:t>la Brigada</w:t>
        </w:r>
      </w:smartTag>
      <w:r>
        <w:t xml:space="preserve"> de Investig</w:t>
      </w:r>
      <w:r>
        <w:t>a</w:t>
      </w:r>
      <w:r>
        <w:t xml:space="preserve">ciones de General San Martín, cuyo jefe era el comisario Inspector Naldi, fue trasladado, en mayo de </w:t>
      </w:r>
      <w:smartTag w:uri="urn:schemas-microsoft-com:office:smarttags" w:element="metricconverter">
        <w:smartTagPr>
          <w:attr w:name="ProductID" w:val="1994, a"/>
        </w:smartTagPr>
        <w:r>
          <w:t>1994, a</w:t>
        </w:r>
      </w:smartTag>
      <w:r>
        <w:t xml:space="preserve"> </w:t>
      </w:r>
      <w:smartTag w:uri="urn:schemas-microsoft-com:office:smarttags" w:element="PersonName">
        <w:smartTagPr>
          <w:attr w:name="ProductID" w:val="la Brigada"/>
        </w:smartTagPr>
        <w:r>
          <w:t>la Brigada</w:t>
        </w:r>
      </w:smartTag>
      <w:r>
        <w:t xml:space="preserve"> de Investigaciones de Vicente López, donde sólo conocía al pri</w:t>
      </w:r>
      <w:r>
        <w:t>n</w:t>
      </w:r>
      <w:r>
        <w:t xml:space="preserve">cipal Leal y al subcomisario Jorge Rago; al primero por haber compartido destino en </w:t>
      </w:r>
      <w:smartTag w:uri="urn:schemas-microsoft-com:office:smarttags" w:element="PersonName">
        <w:smartTagPr>
          <w:attr w:name="ProductID" w:val="la Divisi￳n Sustracci￳n"/>
        </w:smartTagPr>
        <w:r>
          <w:t>la División Su</w:t>
        </w:r>
        <w:r>
          <w:t>s</w:t>
        </w:r>
        <w:r>
          <w:t>tracción</w:t>
        </w:r>
      </w:smartTag>
      <w:r>
        <w:t xml:space="preserve"> de Automotores de Vicente López y, al segundo, por haber sido instructor en </w:t>
      </w:r>
      <w:smartTag w:uri="urn:schemas-microsoft-com:office:smarttags" w:element="PersonName">
        <w:smartTagPr>
          <w:attr w:name="ProductID" w:val="la Escuela"/>
        </w:smartTagPr>
        <w:r>
          <w:t>la E</w:t>
        </w:r>
        <w:r>
          <w:t>s</w:t>
        </w:r>
        <w:r>
          <w:t>cuela</w:t>
        </w:r>
      </w:smartTag>
      <w:r>
        <w:t xml:space="preserve"> de Cadetes</w:t>
      </w:r>
      <w:r>
        <w:rPr>
          <w:b/>
          <w:bCs/>
        </w:rPr>
        <w:t xml:space="preserve">. </w:t>
      </w:r>
      <w:r>
        <w:t>Aclaró que en todos los destinos que estuvo cumplió funciones dentro y fuera de las depe</w:t>
      </w:r>
      <w:r>
        <w:t>n</w:t>
      </w:r>
      <w:r>
        <w:t>dencias policiales.</w:t>
      </w:r>
    </w:p>
    <w:p w:rsidR="00224567" w:rsidRDefault="00224567">
      <w:pPr>
        <w:widowControl w:val="0"/>
      </w:pPr>
      <w:r>
        <w:tab/>
        <w:t>En otro orden de cosas, Bareiro ref</w:t>
      </w:r>
      <w:r>
        <w:t>i</w:t>
      </w:r>
      <w:r>
        <w:t>rió que a fines de junio de 1994 Barreda le c</w:t>
      </w:r>
      <w:r>
        <w:t>o</w:t>
      </w:r>
      <w:r>
        <w:t>mentó que se había encontrado con Telleldín, quien le contó que se d</w:t>
      </w:r>
      <w:r>
        <w:t>e</w:t>
      </w:r>
      <w:r>
        <w:t>dicaba al “doblado” de automotores y que su inte</w:t>
      </w:r>
      <w:r>
        <w:t>n</w:t>
      </w:r>
      <w:r>
        <w:t xml:space="preserve">ción era “hacerle un buen trabajo para voltearlo”, pero que él no podía hacerlo con </w:t>
      </w:r>
      <w:smartTag w:uri="urn:schemas-microsoft-com:office:smarttags" w:element="PersonName">
        <w:smartTagPr>
          <w:attr w:name="ProductID" w:val="la Brigada"/>
        </w:smartTagPr>
        <w:r>
          <w:t>la Br</w:t>
        </w:r>
        <w:r>
          <w:t>i</w:t>
        </w:r>
        <w:r>
          <w:t>gada</w:t>
        </w:r>
      </w:smartTag>
      <w:r>
        <w:t xml:space="preserve"> de San Martín por cuanto iba a ser muy evidente que él lo había e</w:t>
      </w:r>
      <w:r>
        <w:t>n</w:t>
      </w:r>
      <w:r>
        <w:t xml:space="preserve">tregado. Ante ello le ofreció conversar la cuestión con Leal, para hacerlo a través de </w:t>
      </w:r>
      <w:smartTag w:uri="urn:schemas-microsoft-com:office:smarttags" w:element="PersonName">
        <w:smartTagPr>
          <w:attr w:name="ProductID" w:val="la Brigada"/>
        </w:smartTagPr>
        <w:r>
          <w:t>la Brigada</w:t>
        </w:r>
      </w:smartTag>
      <w:r>
        <w:t xml:space="preserve"> de Vicente López, siendo su interés llevar un buen trabajo para salir de la guardia i</w:t>
      </w:r>
      <w:r>
        <w:t>n</w:t>
      </w:r>
      <w:r>
        <w:t>terna y pasar a algún grupo operativo que le red</w:t>
      </w:r>
      <w:r>
        <w:t>i</w:t>
      </w:r>
      <w:r>
        <w:t>tuaría beneficios económicos, dado que, por lo general, esos grupos son su</w:t>
      </w:r>
      <w:r>
        <w:t>b</w:t>
      </w:r>
      <w:r>
        <w:t>vencionados, de alguna man</w:t>
      </w:r>
      <w:r>
        <w:t>e</w:t>
      </w:r>
      <w:r>
        <w:t>ra, por el jefe de la brigada.</w:t>
      </w:r>
    </w:p>
    <w:p w:rsidR="00224567" w:rsidRDefault="00224567">
      <w:pPr>
        <w:widowControl w:val="0"/>
      </w:pPr>
      <w:r>
        <w:tab/>
        <w:t>Continuó su relato recordando que ju</w:t>
      </w:r>
      <w:r>
        <w:t>n</w:t>
      </w:r>
      <w:r>
        <w:t>to con Barreda decidieron ir a ver a Leal quien, tras co</w:t>
      </w:r>
      <w:r>
        <w:t>n</w:t>
      </w:r>
      <w:r>
        <w:t>sultar con el subcomisario Rago, jefe operativo de la br</w:t>
      </w:r>
      <w:r>
        <w:t>i</w:t>
      </w:r>
      <w:r>
        <w:t>gada, obtuvo el visto bueno para que se “volteara” a T</w:t>
      </w:r>
      <w:r>
        <w:t>e</w:t>
      </w:r>
      <w:r>
        <w:t>lleldín.</w:t>
      </w:r>
    </w:p>
    <w:p w:rsidR="00224567" w:rsidRDefault="00224567">
      <w:pPr>
        <w:widowControl w:val="0"/>
      </w:pPr>
      <w:r>
        <w:tab/>
        <w:t>Así fue que en los primeros días de julio de 1994, él y Barreda le señalaron a Leal el domic</w:t>
      </w:r>
      <w:r>
        <w:t>i</w:t>
      </w:r>
      <w:r>
        <w:t>lio de Telleldín, de calle República 107 de Villa Balle</w:t>
      </w:r>
      <w:r>
        <w:t>s</w:t>
      </w:r>
      <w:r>
        <w:t>ter, la agencia “Alejandro Automotores”, en la que el no</w:t>
      </w:r>
      <w:r>
        <w:t>m</w:t>
      </w:r>
      <w:r>
        <w:t>brado compraba los autos siniestrados y obtenía la doc</w:t>
      </w:r>
      <w:r>
        <w:t>u</w:t>
      </w:r>
      <w:r>
        <w:t>mentación que ut</w:t>
      </w:r>
      <w:r>
        <w:t>i</w:t>
      </w:r>
      <w:r>
        <w:t>lizaba para el doblado de los vehículos y un depósito perteneciente a dicha firma. También le info</w:t>
      </w:r>
      <w:r>
        <w:t>r</w:t>
      </w:r>
      <w:r>
        <w:t>maron que Telleldín poseía un Renault 19 y una camioneta Renault Trafic y que la venta de esta última iba a ser p</w:t>
      </w:r>
      <w:r>
        <w:t>u</w:t>
      </w:r>
      <w:r>
        <w:t>blicada, al parecer, el s</w:t>
      </w:r>
      <w:r>
        <w:t>á</w:t>
      </w:r>
      <w:r>
        <w:t>bado 9 y el domingo 10 de julio de 1994; fechas que recordó de tomar como referencia el nacimiento del hijo de Diego Barreda, del que iba a ser padrino.</w:t>
      </w:r>
    </w:p>
    <w:p w:rsidR="00224567" w:rsidRDefault="00224567">
      <w:pPr>
        <w:widowControl w:val="0"/>
      </w:pPr>
      <w:r>
        <w:tab/>
        <w:t>También precisó Bareiro que a Leal le indicaron que estuviera atento a la publicación de venta de la camioneta a fin de “voltearlo” antes de que se co</w:t>
      </w:r>
      <w:r>
        <w:t>n</w:t>
      </w:r>
      <w:r>
        <w:t>cretara y que, al tanto de esta inform</w:t>
      </w:r>
      <w:r>
        <w:t>a</w:t>
      </w:r>
      <w:r>
        <w:t>ción, también debía estar el subcomisario Jorge Rago, al que incluso, según creyó recordar, se le exhibió el diario donde figuraba d</w:t>
      </w:r>
      <w:r>
        <w:t>i</w:t>
      </w:r>
      <w:r>
        <w:t>cha public</w:t>
      </w:r>
      <w:r>
        <w:t>a</w:t>
      </w:r>
      <w:r>
        <w:t>ción. Pasado el día 10 de julio, quizás el 11, pero antes del 14, al consultar a Leal acerca de si habían efectuado el proc</w:t>
      </w:r>
      <w:r>
        <w:t>e</w:t>
      </w:r>
      <w:r>
        <w:t xml:space="preserve">dimiento, éste le contestó que había ido al domicilio particular de Telleldín para verificar la existencia de </w:t>
      </w:r>
      <w:smartTag w:uri="urn:schemas-microsoft-com:office:smarttags" w:element="PersonName">
        <w:smartTagPr>
          <w:attr w:name="ProductID" w:val="la Trafic"/>
        </w:smartTagPr>
        <w:r>
          <w:t>la Trafic</w:t>
        </w:r>
      </w:smartTag>
      <w:r>
        <w:t>, a cuyo fin se había hecho pasar por un supuesto comprador, habiéndole indicado una mujer que la camion</w:t>
      </w:r>
      <w:r>
        <w:t>e</w:t>
      </w:r>
      <w:r>
        <w:t>ta se había vendido; comentario que luego no pudo precisar si lo conoció de boca de Leal o de Barr</w:t>
      </w:r>
      <w:r>
        <w:t>e</w:t>
      </w:r>
      <w:r>
        <w:t>da.</w:t>
      </w:r>
    </w:p>
    <w:p w:rsidR="00224567" w:rsidRDefault="00224567">
      <w:pPr>
        <w:widowControl w:val="0"/>
      </w:pPr>
      <w:r>
        <w:tab/>
        <w:t>Agregó Bareiro que con el tiempo esa circunstancia le llamó la atención, pues si el motivo de la visita fue verificar la existencia de ese vehículo, j</w:t>
      </w:r>
      <w:r>
        <w:t>a</w:t>
      </w:r>
      <w:r>
        <w:t xml:space="preserve">más podría haberse presentado como comprador toda vez que, al solo figurar en la publicación de </w:t>
      </w:r>
      <w:smartTag w:uri="urn:schemas-microsoft-com:office:smarttags" w:element="PersonName">
        <w:smartTagPr>
          <w:attr w:name="ProductID" w:val="la Trafic"/>
        </w:smartTagPr>
        <w:r>
          <w:t>la Trafic</w:t>
        </w:r>
      </w:smartTag>
      <w:r>
        <w:t xml:space="preserve"> un número de teléfono, hubiera despertado dudas si antes no conce</w:t>
      </w:r>
      <w:r>
        <w:t>r</w:t>
      </w:r>
      <w:r>
        <w:t>taba una entrevista a tales fines. Explicó, ad</w:t>
      </w:r>
      <w:r>
        <w:t>e</w:t>
      </w:r>
      <w:r>
        <w:t>más, que en este caso Leal se hubiese anoticiado de que la camioneta había sido vendida y, por ende, no le hubieran f</w:t>
      </w:r>
      <w:r>
        <w:t>a</w:t>
      </w:r>
      <w:r>
        <w:t>cilitado la d</w:t>
      </w:r>
      <w:r>
        <w:t>i</w:t>
      </w:r>
      <w:r>
        <w:t>rección.</w:t>
      </w:r>
    </w:p>
    <w:p w:rsidR="00224567" w:rsidRDefault="00224567">
      <w:pPr>
        <w:widowControl w:val="0"/>
      </w:pPr>
      <w:r>
        <w:tab/>
        <w:t>Recordó Bareiro que, en su pr</w:t>
      </w:r>
      <w:r>
        <w:t>e</w:t>
      </w:r>
      <w:r>
        <w:t>sencia, Rago y Leal decidieron llevar a cabo el procedimiento el 14 de julio de 1994, por lo que, autorizado por el prim</w:t>
      </w:r>
      <w:r>
        <w:t>e</w:t>
      </w:r>
      <w:r>
        <w:t>ro, dejó su guardia antes de tiempo para encontrarse con Leal en cercanías del domicilio de Telleldín, entre las 7.30 y las 8.00. Explicó que arribó al l</w:t>
      </w:r>
      <w:r>
        <w:t>u</w:t>
      </w:r>
      <w:r>
        <w:t>gar a bordo de la camioneta del suboficial García, llegando lu</w:t>
      </w:r>
      <w:r>
        <w:t>e</w:t>
      </w:r>
      <w:r>
        <w:t>go Leal en su vehículo particular, un Ford Galaxy, azul, sin comp</w:t>
      </w:r>
      <w:r>
        <w:t>a</w:t>
      </w:r>
      <w:r>
        <w:t>ñía y el suboficial Lasala, que lo hizo conduciendo su rodado Peugeot 505, no habiendo otros efectivos policiales. E</w:t>
      </w:r>
      <w:r>
        <w:t>x</w:t>
      </w:r>
      <w:r>
        <w:t>plicó que Leal, a su arribo, acordó la forma en que se iba a realizar el procedimiento, tras lo cual se retiro, r</w:t>
      </w:r>
      <w:r>
        <w:t>e</w:t>
      </w:r>
      <w:r>
        <w:t>gresando al mediodía para llevarlo a cabo, ubicando estr</w:t>
      </w:r>
      <w:r>
        <w:t>a</w:t>
      </w:r>
      <w:r>
        <w:t>tégicamente los vehículos, a fin de aprehender a T</w:t>
      </w:r>
      <w:r>
        <w:t>e</w:t>
      </w:r>
      <w:r>
        <w:t>lleldín cuando estuviese a bordo del vehículo Renault 19, de pr</w:t>
      </w:r>
      <w:r>
        <w:t>o</w:t>
      </w:r>
      <w:r>
        <w:t>cede</w:t>
      </w:r>
      <w:r>
        <w:t>n</w:t>
      </w:r>
      <w:r>
        <w:t>cia ilícita.</w:t>
      </w:r>
    </w:p>
    <w:p w:rsidR="00224567" w:rsidRDefault="00224567">
      <w:pPr>
        <w:widowControl w:val="0"/>
      </w:pPr>
      <w:r>
        <w:tab/>
        <w:t>Puntualizó que, en realidad, el proc</w:t>
      </w:r>
      <w:r>
        <w:t>e</w:t>
      </w:r>
      <w:r>
        <w:t>dimiento tenía como finalidad detener a Telle</w:t>
      </w:r>
      <w:r>
        <w:t>l</w:t>
      </w:r>
      <w:r>
        <w:t>dín en esas circunstancias para obligarlo a “arr</w:t>
      </w:r>
      <w:r>
        <w:t>e</w:t>
      </w:r>
      <w:r>
        <w:t>glar”, por lo que el objetivo no consistía en iniciarle una causa sino la bú</w:t>
      </w:r>
      <w:r>
        <w:t>s</w:t>
      </w:r>
      <w:r>
        <w:t>queda de una solución económica para ganar d</w:t>
      </w:r>
      <w:r>
        <w:t>i</w:t>
      </w:r>
      <w:r>
        <w:t>nero que, en el caso, se repartiría entre Rago, Leal, Lasala, García, Barreda y él. Indicó que aguardó en el interior de la c</w:t>
      </w:r>
      <w:r>
        <w:t>a</w:t>
      </w:r>
      <w:r>
        <w:t>mioneta la salida de Telleldín de su domicilio y que su concurrencia al lugar fue para “marcarlo” por cuanto los demás, supuestamente, no lo conocían. Que al salir Telle</w:t>
      </w:r>
      <w:r>
        <w:t>l</w:t>
      </w:r>
      <w:r>
        <w:t>dín junto con su mujer, a eso de las 17.00 y ascender al vehículo Renault, le avisó por “handy” a Leal, quien c</w:t>
      </w:r>
      <w:r>
        <w:t>o</w:t>
      </w:r>
      <w:r>
        <w:t>menzó la perseguirlo, viendo pasar al Renault y luego al Ford Galaxy.</w:t>
      </w:r>
    </w:p>
    <w:p w:rsidR="00224567" w:rsidRDefault="00224567">
      <w:pPr>
        <w:widowControl w:val="0"/>
      </w:pPr>
      <w:r>
        <w:tab/>
        <w:t>Aclaró que, posteriormente, Leal le comentó que Telleldín se había dado a la fuga previo col</w:t>
      </w:r>
      <w:r>
        <w:t>i</w:t>
      </w:r>
      <w:r>
        <w:t>sionar al vehículo conducido por Lasala, habiéndose exte</w:t>
      </w:r>
      <w:r>
        <w:t>n</w:t>
      </w:r>
      <w:r>
        <w:t>dido la persecución hasta la localidad de José León Su</w:t>
      </w:r>
      <w:r>
        <w:t>á</w:t>
      </w:r>
      <w:r>
        <w:t>rez; inclusive le comentó que García, en un m</w:t>
      </w:r>
      <w:r>
        <w:t>o</w:t>
      </w:r>
      <w:r>
        <w:t>mento en que se detuvo el rodado de Telleldín, le había dado un culat</w:t>
      </w:r>
      <w:r>
        <w:t>a</w:t>
      </w:r>
      <w:r>
        <w:t>zo al parabrisas. Tras ello, regresaron a lo de Telleldín y perman</w:t>
      </w:r>
      <w:r>
        <w:t>e</w:t>
      </w:r>
      <w:r>
        <w:t>cieron en el lugar.</w:t>
      </w:r>
    </w:p>
    <w:p w:rsidR="00224567" w:rsidRDefault="00224567">
      <w:pPr>
        <w:widowControl w:val="0"/>
      </w:pPr>
      <w:r>
        <w:tab/>
        <w:t>Recordó Bareiro que a eso de las 20.30 o</w:t>
      </w:r>
      <w:r>
        <w:t>b</w:t>
      </w:r>
      <w:r>
        <w:t>servó que del domicilio de Telleldín salió un sujeto al que se lo detuvo por suponer que se trataría de algún i</w:t>
      </w:r>
      <w:r>
        <w:t>n</w:t>
      </w:r>
      <w:r>
        <w:t>tegrante de la banda de Telleldín; detención que materi</w:t>
      </w:r>
      <w:r>
        <w:t>a</w:t>
      </w:r>
      <w:r>
        <w:t>lizaron García y Lasala, quienes lo trasladaron al int</w:t>
      </w:r>
      <w:r>
        <w:t>e</w:t>
      </w:r>
      <w:r>
        <w:t>rior del Ford Galaxy y que tuvo por fin</w:t>
      </w:r>
      <w:r>
        <w:t>a</w:t>
      </w:r>
      <w:r>
        <w:t>lidad “tener algo” para poder “apretar” a Telleldín que se había escapado y obtener así un beneficio económico para la brigada. Prec</w:t>
      </w:r>
      <w:r>
        <w:t>i</w:t>
      </w:r>
      <w:r>
        <w:t>só que, en ese momento, Leal -único que contaba con tel</w:t>
      </w:r>
      <w:r>
        <w:t>é</w:t>
      </w:r>
      <w:r>
        <w:t>fono celular- le refirió que la persona detenida se llam</w:t>
      </w:r>
      <w:r>
        <w:t>a</w:t>
      </w:r>
      <w:r>
        <w:t>ba Hugo P</w:t>
      </w:r>
      <w:r>
        <w:t>é</w:t>
      </w:r>
      <w:r>
        <w:t>rez.</w:t>
      </w:r>
    </w:p>
    <w:p w:rsidR="00224567" w:rsidRDefault="00224567">
      <w:pPr>
        <w:widowControl w:val="0"/>
      </w:pPr>
      <w:r>
        <w:tab/>
        <w:t>En su relato, Bareiro indicó que a</w:t>
      </w:r>
      <w:r>
        <w:t>n</w:t>
      </w:r>
      <w:r>
        <w:t>tes de iniciar la persecución y mientras vigilaban las inm</w:t>
      </w:r>
      <w:r>
        <w:t>e</w:t>
      </w:r>
      <w:r>
        <w:t>diaciones, al manifestarle que “ahí enfrente” se encontr</w:t>
      </w:r>
      <w:r>
        <w:t>a</w:t>
      </w:r>
      <w:r>
        <w:t>ba Telleldín, Leal le respondió contundentemente que no, “que al menos no era el que había visto a</w:t>
      </w:r>
      <w:r>
        <w:t>n</w:t>
      </w:r>
      <w:r>
        <w:t>tes” o bien “que no era el que le habían mostrado a</w:t>
      </w:r>
      <w:r>
        <w:t>n</w:t>
      </w:r>
      <w:r>
        <w:t>tes”, no recordando en forma pr</w:t>
      </w:r>
      <w:r>
        <w:t>e</w:t>
      </w:r>
      <w:r>
        <w:t>cisa cuál de esas dos frases le refirió.</w:t>
      </w:r>
    </w:p>
    <w:p w:rsidR="00224567" w:rsidRDefault="00224567">
      <w:pPr>
        <w:widowControl w:val="0"/>
      </w:pPr>
      <w:r>
        <w:tab/>
        <w:t>Bareiro continuó señalando que al día s</w:t>
      </w:r>
      <w:r>
        <w:t>i</w:t>
      </w:r>
      <w:r>
        <w:t>guiente de la persecución Barreda recibió un llamado de Telleldín pidiéndole que le averigüe qué brigada era la que estaba detrás de él y si podía ubicarle un abogado p</w:t>
      </w:r>
      <w:r>
        <w:t>a</w:t>
      </w:r>
      <w:r>
        <w:t>ra solucionar el problema; motivo por el cual se contact</w:t>
      </w:r>
      <w:r>
        <w:t>a</w:t>
      </w:r>
      <w:r>
        <w:t>ron con el abogado Bottegal para intentar alcanzar “un acuerdo” con Telleldín. Que d</w:t>
      </w:r>
      <w:r>
        <w:t>i</w:t>
      </w:r>
      <w:r>
        <w:t>cho letrado les preguntó con cuánto se podía arreglar en la brigada, por lo que le s</w:t>
      </w:r>
      <w:r>
        <w:t>u</w:t>
      </w:r>
      <w:r>
        <w:t>girieron un precio, no obstante estar di</w:t>
      </w:r>
      <w:r>
        <w:t>s</w:t>
      </w:r>
      <w:r>
        <w:t>puestos a llegar a un acuerdo por el monto que fuera. Aclaró que Leal est</w:t>
      </w:r>
      <w:r>
        <w:t>a</w:t>
      </w:r>
      <w:r>
        <w:t>ba al tanto de todo.</w:t>
      </w:r>
    </w:p>
    <w:p w:rsidR="00224567" w:rsidRDefault="00224567">
      <w:pPr>
        <w:widowControl w:val="0"/>
      </w:pPr>
      <w:r>
        <w:tab/>
        <w:t>Explicó que en la reunión con Bott</w:t>
      </w:r>
      <w:r>
        <w:t>e</w:t>
      </w:r>
      <w:r>
        <w:t xml:space="preserve">gal, Telleldín le ofreció un barco -al que tasó en USD 15.000- para solucionar su situación con </w:t>
      </w:r>
      <w:smartTag w:uri="urn:schemas-microsoft-com:office:smarttags" w:element="PersonName">
        <w:smartTagPr>
          <w:attr w:name="ProductID" w:val="la Brigada"/>
        </w:smartTagPr>
        <w:r>
          <w:t>la Brigada</w:t>
        </w:r>
      </w:smartTag>
      <w:r>
        <w:t xml:space="preserve"> de V</w:t>
      </w:r>
      <w:r>
        <w:t>i</w:t>
      </w:r>
      <w:r>
        <w:t>cente López, firmándole un boleto de compraventa como g</w:t>
      </w:r>
      <w:r>
        <w:t>a</w:t>
      </w:r>
      <w:r>
        <w:t>rantía de pago, tras lo cual se conformaron tanto él como Barreda o Leal, sin necesidad de ver la embarcación; por tal razón dejaron de perseguirlo. Indicó que recién unos meses después, junto con Barreda y Bottegal, conc</w:t>
      </w:r>
      <w:r>
        <w:t>u</w:t>
      </w:r>
      <w:r>
        <w:t>rrió en dos o tres oportunidades a la guardería de embarcaciones del Tigre para ver en qué situ</w:t>
      </w:r>
      <w:r>
        <w:t>a</w:t>
      </w:r>
      <w:r>
        <w:t>ción se encontraba el barco y a qué precio lo podían vender.</w:t>
      </w:r>
    </w:p>
    <w:p w:rsidR="00224567" w:rsidRDefault="00224567">
      <w:pPr>
        <w:widowControl w:val="0"/>
      </w:pPr>
      <w:r>
        <w:tab/>
        <w:t>Con relación al detenido Solari, B</w:t>
      </w:r>
      <w:r>
        <w:t>a</w:t>
      </w:r>
      <w:r>
        <w:t xml:space="preserve">reiro manifestó que se contactó con él mientras estuvo alojado en </w:t>
      </w:r>
      <w:smartTag w:uri="urn:schemas-microsoft-com:office:smarttags" w:element="PersonName">
        <w:smartTagPr>
          <w:attr w:name="ProductID" w:val="la Brigada"/>
        </w:smartTagPr>
        <w:r>
          <w:t>la Brigada</w:t>
        </w:r>
      </w:smartTag>
      <w:r>
        <w:t xml:space="preserve"> de Vicente López y que a los dos m</w:t>
      </w:r>
      <w:r>
        <w:t>e</w:t>
      </w:r>
      <w:r>
        <w:t>ses de estar detenido allí, espontáneamente, refirió p</w:t>
      </w:r>
      <w:r>
        <w:t>o</w:t>
      </w:r>
      <w:r>
        <w:t xml:space="preserve">seer información acerca del atentado a </w:t>
      </w:r>
      <w:smartTag w:uri="urn:schemas-microsoft-com:office:smarttags" w:element="PersonName">
        <w:smartTagPr>
          <w:attr w:name="ProductID" w:val="la A.M"/>
        </w:smartTagPr>
        <w:r>
          <w:t>la A.M</w:t>
        </w:r>
      </w:smartTag>
      <w:r>
        <w:t xml:space="preserve">.I.A.; lapso que pudo establecer al tomar como referencia que durante igual período dejó de concurrir a la brigada por cuanto estaba colaborando con </w:t>
      </w:r>
      <w:smartTag w:uri="urn:schemas-microsoft-com:office:smarttags" w:element="PersonName">
        <w:smartTagPr>
          <w:attr w:name="ProductID" w:val="la S.I"/>
        </w:smartTagPr>
        <w:r>
          <w:t>la S.I</w:t>
        </w:r>
      </w:smartTag>
      <w:r>
        <w:t>.D.E. en la inve</w:t>
      </w:r>
      <w:r>
        <w:t>s</w:t>
      </w:r>
      <w:r>
        <w:t>tigación.</w:t>
      </w:r>
    </w:p>
    <w:p w:rsidR="00224567" w:rsidRDefault="00224567">
      <w:pPr>
        <w:widowControl w:val="0"/>
      </w:pPr>
      <w:r>
        <w:tab/>
        <w:t>Precisó que Solari mantenía un diál</w:t>
      </w:r>
      <w:r>
        <w:t>o</w:t>
      </w:r>
      <w:r>
        <w:t xml:space="preserve">go permanente con casi todos los oficiales de </w:t>
      </w:r>
      <w:smartTag w:uri="urn:schemas-microsoft-com:office:smarttags" w:element="PersonName">
        <w:smartTagPr>
          <w:attr w:name="ProductID" w:val="la Brigada"/>
        </w:smartTagPr>
        <w:r>
          <w:t>la Brigada</w:t>
        </w:r>
      </w:smartTag>
      <w:r>
        <w:t xml:space="preserve"> de Vicente López y que el nombrado gozaba de un régimen de privilegio por una orden superior; que en virtud de ello podía utilizar el teléfono de la brigada cuantas veces quisiera y, de recibir un llamado, los policías lo busc</w:t>
      </w:r>
      <w:r>
        <w:t>a</w:t>
      </w:r>
      <w:r>
        <w:t>ban de inmediato. En cuanto a las salidas de su celda, B</w:t>
      </w:r>
      <w:r>
        <w:t>a</w:t>
      </w:r>
      <w:r>
        <w:t>reiro indicó que éstas solo se efectuaban por motivos of</w:t>
      </w:r>
      <w:r>
        <w:t>i</w:t>
      </w:r>
      <w:r>
        <w:t>ciales.</w:t>
      </w:r>
    </w:p>
    <w:p w:rsidR="00224567" w:rsidRDefault="00224567">
      <w:pPr>
        <w:widowControl w:val="0"/>
      </w:pPr>
      <w:r>
        <w:tab/>
        <w:t>Bareiro recordó que Solari decía que Telleldín le había vendido a un tal “Ramón Martínez” la camioneta Trafic utilizada en el atentado y que dicha ci</w:t>
      </w:r>
      <w:r>
        <w:t>r</w:t>
      </w:r>
      <w:r>
        <w:t>cunstancia la iba a poner en conocimiento del emb</w:t>
      </w:r>
      <w:r>
        <w:t>a</w:t>
      </w:r>
      <w:r>
        <w:t>jador de Israel.</w:t>
      </w:r>
    </w:p>
    <w:p w:rsidR="00224567" w:rsidRDefault="00224567">
      <w:pPr>
        <w:widowControl w:val="0"/>
      </w:pPr>
      <w:r>
        <w:tab/>
        <w:t xml:space="preserve">Asimismo, reconoció la conversación telefónica del 27 de julio de </w:t>
      </w:r>
      <w:smartTag w:uri="urn:schemas-microsoft-com:office:smarttags" w:element="metricconverter">
        <w:smartTagPr>
          <w:attr w:name="ProductID" w:val="1994, a"/>
        </w:smartTagPr>
        <w:r>
          <w:t>1994, a</w:t>
        </w:r>
      </w:smartTag>
      <w:r>
        <w:t xml:space="preserve"> las 22.45, por i</w:t>
      </w:r>
      <w:r>
        <w:t>n</w:t>
      </w:r>
      <w:r>
        <w:t>termedio del abonado 768-0902, registrada en el casete nro. 7, en la que Leal le refirió que tenía que verlo u</w:t>
      </w:r>
      <w:r>
        <w:t>r</w:t>
      </w:r>
      <w:r>
        <w:t>gente porque le había llegado un comentario que no conco</w:t>
      </w:r>
      <w:r>
        <w:t>r</w:t>
      </w:r>
      <w:r>
        <w:t>daba con lo sucedido, explicando que dicho llamado lo efectuó aquél a la casa de Telleldín para reclamarle que tanto él como Barreda, con motivo del “apri</w:t>
      </w:r>
      <w:r>
        <w:t>e</w:t>
      </w:r>
      <w:r>
        <w:t>te” del 14 de julio, “lo habían pasado”, sea porque le cobraron a T</w:t>
      </w:r>
      <w:r>
        <w:t>e</w:t>
      </w:r>
      <w:r>
        <w:t>lleldín un valor importante o porque se habrían quedado con una propiedad en el Tigre o las i</w:t>
      </w:r>
      <w:r>
        <w:t>s</w:t>
      </w:r>
      <w:r>
        <w:t>las. También admitió que ante dicho reclamo le respondió “no, no, no, hay que cortar todo eso”, con lo que quiso significar que a T</w:t>
      </w:r>
      <w:r>
        <w:t>e</w:t>
      </w:r>
      <w:r>
        <w:t>lleldín no se le podía seguir exigiendo dinero alguno. D</w:t>
      </w:r>
      <w:r>
        <w:t>e</w:t>
      </w:r>
      <w:r>
        <w:t>dujo, finalmente, que en vi</w:t>
      </w:r>
      <w:r>
        <w:t>r</w:t>
      </w:r>
      <w:r>
        <w:t>tud de las conversaciones que mantuvo con Leal éste pudo obtener, solapadamente, info</w:t>
      </w:r>
      <w:r>
        <w:t>r</w:t>
      </w:r>
      <w:r>
        <w:t>mación acerca de lo que ocurría en torno a la investig</w:t>
      </w:r>
      <w:r>
        <w:t>a</w:t>
      </w:r>
      <w:r>
        <w:t>ción del atentado. Admitió conocer a sus coi</w:t>
      </w:r>
      <w:r>
        <w:t>m</w:t>
      </w:r>
      <w:r>
        <w:t>putados Jorge Horacio Rago, Anastasio Ireneo Leal, Daniel Emilio Quint</w:t>
      </w:r>
      <w:r>
        <w:t>e</w:t>
      </w:r>
      <w:r>
        <w:t>ros y Argentino Gabriel Lasala, como así también a José Aurelio Ferrari y a Manuel Enrique Ga</w:t>
      </w:r>
      <w:r>
        <w:t>r</w:t>
      </w:r>
      <w:r>
        <w:t>cía.</w:t>
      </w:r>
    </w:p>
    <w:p w:rsidR="00224567" w:rsidRDefault="00224567">
      <w:pPr>
        <w:widowControl w:val="0"/>
      </w:pPr>
      <w:r>
        <w:tab/>
        <w:t>A raíz del contenido de distintas p</w:t>
      </w:r>
      <w:r>
        <w:t>u</w:t>
      </w:r>
      <w:r>
        <w:t>blicaciones periodísticas, Bareiro amplió su indagat</w:t>
      </w:r>
      <w:r>
        <w:t>o</w:t>
      </w:r>
      <w:r>
        <w:t>ria a fs. 39.718/39.720, donde explicó que cuando cursaba el s</w:t>
      </w:r>
      <w:r>
        <w:t>e</w:t>
      </w:r>
      <w:r>
        <w:t xml:space="preserve">gundo año en </w:t>
      </w:r>
      <w:smartTag w:uri="urn:schemas-microsoft-com:office:smarttags" w:element="PersonName">
        <w:smartTagPr>
          <w:attr w:name="ProductID" w:val="la Escuela"/>
        </w:smartTagPr>
        <w:r>
          <w:t>la Escuela</w:t>
        </w:r>
      </w:smartTag>
      <w:r>
        <w:t xml:space="preserve"> de Cadetes “Juan Vucetich” de </w:t>
      </w:r>
      <w:smartTag w:uri="urn:schemas-microsoft-com:office:smarttags" w:element="PersonName">
        <w:smartTagPr>
          <w:attr w:name="ProductID" w:val="la Polic￭a Bonaerense"/>
        </w:smartTagPr>
        <w:r>
          <w:t>la Policía Bonaere</w:t>
        </w:r>
        <w:r>
          <w:t>n</w:t>
        </w:r>
        <w:r>
          <w:t>se</w:t>
        </w:r>
      </w:smartTag>
      <w:r>
        <w:t xml:space="preserve">, también lo hacía como cadete de primer año Abel Ibrahim Ali, con quien compartió destino, en el año 1993, en </w:t>
      </w:r>
      <w:smartTag w:uri="urn:schemas-microsoft-com:office:smarttags" w:element="PersonName">
        <w:smartTagPr>
          <w:attr w:name="ProductID" w:val="la Brigada"/>
        </w:smartTagPr>
        <w:r>
          <w:t>la Brigada</w:t>
        </w:r>
      </w:smartTag>
      <w:r>
        <w:t xml:space="preserve"> de Invest</w:t>
      </w:r>
      <w:r>
        <w:t>i</w:t>
      </w:r>
      <w:r>
        <w:t xml:space="preserve">gaciones de San Martín, siendo trasladado luego a </w:t>
      </w:r>
      <w:smartTag w:uri="urn:schemas-microsoft-com:office:smarttags" w:element="PersonName">
        <w:smartTagPr>
          <w:attr w:name="ProductID" w:val="la Divisi￳n Sustracci￳n"/>
        </w:smartTagPr>
        <w:r>
          <w:t>la División Sustracción</w:t>
        </w:r>
      </w:smartTag>
      <w:r>
        <w:t xml:space="preserve"> de Aut</w:t>
      </w:r>
      <w:r>
        <w:t>o</w:t>
      </w:r>
      <w:r>
        <w:t>motores de Vicente López, donde ta</w:t>
      </w:r>
      <w:r>
        <w:t>m</w:t>
      </w:r>
      <w:r>
        <w:t>bién prestaba servicios su mujer, suboficial y abogada, cuyo apellido creyó que era Chir</w:t>
      </w:r>
      <w:r>
        <w:t>i</w:t>
      </w:r>
      <w:r>
        <w:t xml:space="preserve">vill. Recordó que Alí se desempeño en </w:t>
      </w:r>
      <w:smartTag w:uri="urn:schemas-microsoft-com:office:smarttags" w:element="PersonName">
        <w:smartTagPr>
          <w:attr w:name="ProductID" w:val="la Brigada"/>
        </w:smartTagPr>
        <w:r>
          <w:t>la Brigada</w:t>
        </w:r>
      </w:smartTag>
      <w:r>
        <w:t xml:space="preserve"> de General Sarmiento y en las comisarías de Villa Balle</w:t>
      </w:r>
      <w:r>
        <w:t>s</w:t>
      </w:r>
      <w:r>
        <w:t>ter Oeste y Villa Co</w:t>
      </w:r>
      <w:r>
        <w:t>n</w:t>
      </w:r>
      <w:r>
        <w:t>cepción y que en una oportunidad tomó contactó con él, interesándose  por su situación en la fuerza y demostrando tener conocimientos de la investig</w:t>
      </w:r>
      <w:r>
        <w:t>a</w:t>
      </w:r>
      <w:r>
        <w:t>ción acerca del ate</w:t>
      </w:r>
      <w:r>
        <w:t>n</w:t>
      </w:r>
      <w:r>
        <w:t xml:space="preserve">tado a </w:t>
      </w:r>
      <w:smartTag w:uri="urn:schemas-microsoft-com:office:smarttags" w:element="PersonName">
        <w:smartTagPr>
          <w:attr w:name="ProductID" w:val="la A.M"/>
        </w:smartTagPr>
        <w:r>
          <w:t>la A.M</w:t>
        </w:r>
      </w:smartTag>
      <w:r>
        <w:t>.I.A.</w:t>
      </w:r>
    </w:p>
    <w:p w:rsidR="00224567" w:rsidRDefault="00224567">
      <w:pPr>
        <w:widowControl w:val="0"/>
      </w:pPr>
      <w:r>
        <w:tab/>
        <w:t>Además, precisó que en el mes de se</w:t>
      </w:r>
      <w:r>
        <w:t>p</w:t>
      </w:r>
      <w:r>
        <w:t>tiembre u octubre de 1995, Alí le comentó que su mujer h</w:t>
      </w:r>
      <w:r>
        <w:t>a</w:t>
      </w:r>
      <w:r>
        <w:t xml:space="preserve">bía sido designada por </w:t>
      </w:r>
      <w:smartTag w:uri="urn:schemas-microsoft-com:office:smarttags" w:element="PersonName">
        <w:smartTagPr>
          <w:attr w:name="ProductID" w:val="la Jefatura"/>
        </w:smartTagPr>
        <w:r>
          <w:t>la Jefatura</w:t>
        </w:r>
      </w:smartTag>
      <w:r>
        <w:t xml:space="preserve"> de </w:t>
      </w:r>
      <w:smartTag w:uri="urn:schemas-microsoft-com:office:smarttags" w:element="PersonName">
        <w:smartTagPr>
          <w:attr w:name="ProductID" w:val="la Polic￭a Bonaerense"/>
        </w:smartTagPr>
        <w:r>
          <w:t>la Policía Bonaere</w:t>
        </w:r>
        <w:r>
          <w:t>n</w:t>
        </w:r>
        <w:r>
          <w:t>se</w:t>
        </w:r>
      </w:smartTag>
      <w:r>
        <w:t xml:space="preserve"> como una especie de enlace o representante ante el ju</w:t>
      </w:r>
      <w:r>
        <w:t>z</w:t>
      </w:r>
      <w:r>
        <w:t>gado que instruyó el sumario; que, incluso, hasta había retirado de allí órdenes de allanamiento, refiriendo que dos de ellas eran para la zona de Santos Lugares y Sáenz Peña.</w:t>
      </w:r>
    </w:p>
    <w:p w:rsidR="00224567" w:rsidRDefault="00224567">
      <w:pPr>
        <w:widowControl w:val="0"/>
      </w:pPr>
      <w:r>
        <w:tab/>
        <w:t>En cuanto a la forma en que canaliz</w:t>
      </w:r>
      <w:r>
        <w:t>a</w:t>
      </w:r>
      <w:r>
        <w:t>rían la venta del vehículo que posiblemente o</w:t>
      </w:r>
      <w:r>
        <w:t>b</w:t>
      </w:r>
      <w:r>
        <w:t>tuvieran del “volteo” a Telleldín, Bareiro señaló que esa cue</w:t>
      </w:r>
      <w:r>
        <w:t>s</w:t>
      </w:r>
      <w:r>
        <w:t>tión era resorte de Leal, quien comandaba el operativo, o de sus superiores jerárquicos.</w:t>
      </w:r>
    </w:p>
    <w:p w:rsidR="00224567" w:rsidRDefault="00224567">
      <w:pPr>
        <w:widowControl w:val="0"/>
      </w:pPr>
      <w:r>
        <w:tab/>
        <w:t>También admitió que Nélida Virginia Morri, alias “Vicky”, con quien mantenía una relación se</w:t>
      </w:r>
      <w:r>
        <w:t>n</w:t>
      </w:r>
      <w:r>
        <w:t>timental, visitó a Carlos Alberto Telle</w:t>
      </w:r>
      <w:r>
        <w:t>l</w:t>
      </w:r>
      <w:r>
        <w:t>dín en su lugar de detención y que, al menos en una oportunidad, la nombrada acompañó a Ana Boragni al Departamento Protección del O</w:t>
      </w:r>
      <w:r>
        <w:t>r</w:t>
      </w:r>
      <w:r>
        <w:t xml:space="preserve">den Constitucional de </w:t>
      </w:r>
      <w:smartTag w:uri="urn:schemas-microsoft-com:office:smarttags" w:element="PersonName">
        <w:smartTagPr>
          <w:attr w:name="ProductID" w:val="la Polic￭a Federal"/>
        </w:smartTagPr>
        <w:r>
          <w:t>la Policía Federal</w:t>
        </w:r>
      </w:smartTag>
      <w:r>
        <w:t xml:space="preserve"> Argentina para ver si podía escuchar alguna convers</w:t>
      </w:r>
      <w:r>
        <w:t>a</w:t>
      </w:r>
      <w:r>
        <w:t>ción entre aquél y su concubina, a fin de colaborar con la investig</w:t>
      </w:r>
      <w:r>
        <w:t>a</w:t>
      </w:r>
      <w:r>
        <w:t>ción.</w:t>
      </w:r>
    </w:p>
    <w:p w:rsidR="00224567" w:rsidRDefault="00224567">
      <w:pPr>
        <w:widowControl w:val="0"/>
      </w:pPr>
      <w:r>
        <w:tab/>
        <w:t>A fs. 40.899/40.903 Bareiro amplió nuevamente su declaración indagatoria. Reiteró que en el procedimiento del 14 de julio de 1994 su única misión co</w:t>
      </w:r>
      <w:r>
        <w:t>n</w:t>
      </w:r>
      <w:r>
        <w:t>sistió en “apu</w:t>
      </w:r>
      <w:r>
        <w:t>n</w:t>
      </w:r>
      <w:r>
        <w:t>tar” a Carlos Alberto Telleldín; razón por la cual, una vez cumplido su cometido, se retiró del l</w:t>
      </w:r>
      <w:r>
        <w:t>u</w:t>
      </w:r>
      <w:r>
        <w:t>gar.</w:t>
      </w:r>
    </w:p>
    <w:p w:rsidR="00224567" w:rsidRDefault="00224567">
      <w:pPr>
        <w:widowControl w:val="0"/>
      </w:pPr>
      <w:r>
        <w:tab/>
        <w:t xml:space="preserve">Destacó que su traslado a </w:t>
      </w:r>
      <w:smartTag w:uri="urn:schemas-microsoft-com:office:smarttags" w:element="PersonName">
        <w:smartTagPr>
          <w:attr w:name="ProductID" w:val="la Brigada"/>
        </w:smartTagPr>
        <w:r>
          <w:t>la Brigada</w:t>
        </w:r>
      </w:smartTag>
      <w:r>
        <w:t xml:space="preserve"> de V</w:t>
      </w:r>
      <w:r>
        <w:t>i</w:t>
      </w:r>
      <w:r>
        <w:t xml:space="preserve">cente López se debió, exclusivamente, a una orden de </w:t>
      </w:r>
      <w:smartTag w:uri="urn:schemas-microsoft-com:office:smarttags" w:element="PersonName">
        <w:smartTagPr>
          <w:attr w:name="ProductID" w:val="la Jefatura"/>
        </w:smartTagPr>
        <w:r>
          <w:t>la Jefatura</w:t>
        </w:r>
      </w:smartTag>
      <w:r>
        <w:t>, tal como lo expresó el comisario inspector Guzmán y no por acercamiento o amistad con Rago, Leal o cualquier otro integra</w:t>
      </w:r>
      <w:r>
        <w:t>n</w:t>
      </w:r>
      <w:r>
        <w:t>te de esa brigada.</w:t>
      </w:r>
    </w:p>
    <w:p w:rsidR="00224567" w:rsidRDefault="00224567">
      <w:pPr>
        <w:widowControl w:val="0"/>
      </w:pPr>
      <w:r>
        <w:tab/>
        <w:t>Desmintió haber estado en la casa de Telleldín con anterioridad a la detención de Hugo Ant</w:t>
      </w:r>
      <w:r>
        <w:t>o</w:t>
      </w:r>
      <w:r>
        <w:t>nio Pérez, contrariamente a lo afirmado por é</w:t>
      </w:r>
      <w:r>
        <w:t>s</w:t>
      </w:r>
      <w:r>
        <w:t>te, toda vez que en todo momento se procuró mantener encubierta su partic</w:t>
      </w:r>
      <w:r>
        <w:t>i</w:t>
      </w:r>
      <w:r>
        <w:t>pación y la de Barreda; versión corroborada por los dichos de Ana María Boragni al manifestar que concurrió por pr</w:t>
      </w:r>
      <w:r>
        <w:t>i</w:t>
      </w:r>
      <w:r>
        <w:t>mera vez a su casa varios días después del 14 de julio o luego de producirse el ate</w:t>
      </w:r>
      <w:r>
        <w:t>n</w:t>
      </w:r>
      <w:r>
        <w:t>tado.</w:t>
      </w:r>
    </w:p>
    <w:p w:rsidR="00224567" w:rsidRDefault="00224567">
      <w:pPr>
        <w:widowControl w:val="0"/>
      </w:pPr>
      <w:r>
        <w:tab/>
        <w:t>Señaló la inexactitud del informe n</w:t>
      </w:r>
      <w:r>
        <w:t>e</w:t>
      </w:r>
      <w:r>
        <w:t xml:space="preserve">gativo elaborado por </w:t>
      </w:r>
      <w:smartTag w:uri="urn:schemas-microsoft-com:office:smarttags" w:element="PersonName">
        <w:smartTagPr>
          <w:attr w:name="ProductID" w:val="la S.I"/>
        </w:smartTagPr>
        <w:r>
          <w:t>la S.I</w:t>
        </w:r>
      </w:smartTag>
      <w:r>
        <w:t>.D.E. respecto de Miguel Gust</w:t>
      </w:r>
      <w:r>
        <w:t>a</w:t>
      </w:r>
      <w:r>
        <w:t>vo Jaimes, toda vez él y Barreda lo localizaron, dando cuenta de ello a Horacio Jaime Stiler, de esa s</w:t>
      </w:r>
      <w:r>
        <w:t>e</w:t>
      </w:r>
      <w:r>
        <w:t>cretaría.</w:t>
      </w:r>
    </w:p>
    <w:p w:rsidR="00224567" w:rsidRDefault="00224567">
      <w:pPr>
        <w:widowControl w:val="0"/>
      </w:pPr>
      <w:r>
        <w:tab/>
        <w:t>En cuanto a los dichos de Solari, i</w:t>
      </w:r>
      <w:r>
        <w:t>n</w:t>
      </w:r>
      <w:r>
        <w:t>dicó que éste fue mendaz cuando señaló que ambos con</w:t>
      </w:r>
      <w:r>
        <w:t>o</w:t>
      </w:r>
      <w:r>
        <w:t>cían a Telleldín, toda vez que nunca le comentó que lo conoci</w:t>
      </w:r>
      <w:r>
        <w:t>e</w:t>
      </w:r>
      <w:r>
        <w:t>ra, como así tambien cuando sostuvo que fue suya la idea de colocar seis testigos que dijeran que Ramón Martínez había ido sólo a buscar la camioneta, que la venta se efectuó en la casa de Telleldín y que el 10 de julio, cuando se retiró el boleto de compraventa, había estado prese</w:t>
      </w:r>
      <w:r>
        <w:t>n</w:t>
      </w:r>
      <w:r>
        <w:t>te.</w:t>
      </w:r>
    </w:p>
    <w:p w:rsidR="00224567" w:rsidRDefault="00224567">
      <w:pPr>
        <w:widowControl w:val="0"/>
      </w:pPr>
      <w:r>
        <w:tab/>
        <w:t>Con relación al trato que se le di</w:t>
      </w:r>
      <w:r>
        <w:t>s</w:t>
      </w:r>
      <w:r>
        <w:t xml:space="preserve">pensaba en </w:t>
      </w:r>
      <w:smartTag w:uri="urn:schemas-microsoft-com:office:smarttags" w:element="PersonName">
        <w:smartTagPr>
          <w:attr w:name="ProductID" w:val="la Brigada"/>
        </w:smartTagPr>
        <w:r>
          <w:t>la Brigada</w:t>
        </w:r>
      </w:smartTag>
      <w:r>
        <w:t xml:space="preserve"> de Investigaciones de Vicente L</w:t>
      </w:r>
      <w:r>
        <w:t>ó</w:t>
      </w:r>
      <w:r>
        <w:t>pez, explicó que no le constaba que Solari haya gozado de un trato preferencial, con libre circulación dentro de la d</w:t>
      </w:r>
      <w:r>
        <w:t>e</w:t>
      </w:r>
      <w:r>
        <w:t>pendencia y salidas frecuentes de su celda d</w:t>
      </w:r>
      <w:r>
        <w:t>u</w:t>
      </w:r>
      <w:r>
        <w:t>rante horas o durante toda una tarde. Admitió, en cambio, que por tr</w:t>
      </w:r>
      <w:r>
        <w:t>a</w:t>
      </w:r>
      <w:r>
        <w:t>tarse de un detenido conflictivo, aco</w:t>
      </w:r>
      <w:r>
        <w:t>s</w:t>
      </w:r>
      <w:r>
        <w:t>tumbraba a dialogar con él para evitar alborotos o de</w:t>
      </w:r>
      <w:r>
        <w:t>s</w:t>
      </w:r>
      <w:r>
        <w:t>órdenes con el resto de la población ca</w:t>
      </w:r>
      <w:r>
        <w:t>r</w:t>
      </w:r>
      <w:r>
        <w:t>celaria.</w:t>
      </w:r>
    </w:p>
    <w:p w:rsidR="00224567" w:rsidRDefault="00224567">
      <w:pPr>
        <w:widowControl w:val="0"/>
      </w:pPr>
      <w:r>
        <w:tab/>
        <w:t>Bareiro aclaró que la información que le brindó a la brigada acerca de Telleldín tenía como i</w:t>
      </w:r>
      <w:r>
        <w:t>n</w:t>
      </w:r>
      <w:r>
        <w:t>tención la realizacón de un trabajo que le permitiera s</w:t>
      </w:r>
      <w:r>
        <w:t>a</w:t>
      </w:r>
      <w:r>
        <w:t>lir a cumplir funciones en la calle, por cuanto para e</w:t>
      </w:r>
      <w:r>
        <w:t>n</w:t>
      </w:r>
      <w:r>
        <w:t>tonces trabajaba adentro de la d</w:t>
      </w:r>
      <w:r>
        <w:t>e</w:t>
      </w:r>
      <w:r>
        <w:t>pendencia y que si bien, a veces, los procedimientos policiales se distorsionan, derivando hacia otros fines, no le consta que en este caso haya acontec</w:t>
      </w:r>
      <w:r>
        <w:t>i</w:t>
      </w:r>
      <w:r>
        <w:t>do.</w:t>
      </w:r>
    </w:p>
    <w:p w:rsidR="00224567" w:rsidRDefault="00224567">
      <w:pPr>
        <w:widowControl w:val="0"/>
      </w:pPr>
      <w:r>
        <w:tab/>
        <w:t>En ese sentido, consideró que su pr</w:t>
      </w:r>
      <w:r>
        <w:t>i</w:t>
      </w:r>
      <w:r>
        <w:t>migenia versión de los hechos fue malinterpretada o, qu</w:t>
      </w:r>
      <w:r>
        <w:t>i</w:t>
      </w:r>
      <w:r>
        <w:t>zás, se expresó mal por el lógico nerviosismo del m</w:t>
      </w:r>
      <w:r>
        <w:t>o</w:t>
      </w:r>
      <w:r>
        <w:t>mento porque, en realidad, lo que quiso decir es que en caso de que se fuera a obtener algún tipo de beneficio, probabl</w:t>
      </w:r>
      <w:r>
        <w:t>e</w:t>
      </w:r>
      <w:r>
        <w:t>mente, lo habrían participado; negó que ese haya sido su objetivo primario o secundario, como también que sus sup</w:t>
      </w:r>
      <w:r>
        <w:t>e</w:t>
      </w:r>
      <w:r>
        <w:t>riores lo hayan interrogado acerca de la posibilidad de obtener alguna ventaja económica.</w:t>
      </w:r>
    </w:p>
    <w:p w:rsidR="00224567" w:rsidRDefault="00224567">
      <w:pPr>
        <w:widowControl w:val="0"/>
      </w:pPr>
      <w:r>
        <w:tab/>
        <w:t>Respecto de la conversación telefón</w:t>
      </w:r>
      <w:r>
        <w:t>i</w:t>
      </w:r>
      <w:r>
        <w:t>ca mantenida entre Telleldín y Ana Boragni, en la que aquél manifiesta que tanto Barreda como Bareiro se encontraban nerviosos, necesitando que viniera, aclaró que, efectiv</w:t>
      </w:r>
      <w:r>
        <w:t>a</w:t>
      </w:r>
      <w:r>
        <w:t>mente, él y Barreda deseaban que Telleldín regrese por cuanto nada temían al no tener vinculación alguna con el ate</w:t>
      </w:r>
      <w:r>
        <w:t>n</w:t>
      </w:r>
      <w:r>
        <w:t>tado.</w:t>
      </w:r>
    </w:p>
    <w:p w:rsidR="00224567" w:rsidRDefault="00224567">
      <w:pPr>
        <w:widowControl w:val="0"/>
      </w:pPr>
      <w:r>
        <w:tab/>
        <w:t>Reiteró que concurrió al domicilio de T</w:t>
      </w:r>
      <w:r>
        <w:t>e</w:t>
      </w:r>
      <w:r>
        <w:t xml:space="preserve">lleldín en una sola oportunidad; que nunca participó ni colaboró en la reparación de </w:t>
      </w:r>
      <w:smartTag w:uri="urn:schemas-microsoft-com:office:smarttags" w:element="PersonName">
        <w:smartTagPr>
          <w:attr w:name="ProductID" w:val="la Trafic"/>
        </w:smartTagPr>
        <w:r>
          <w:t>la Trafic</w:t>
        </w:r>
      </w:smartTag>
      <w:r>
        <w:t xml:space="preserve"> ni de ningún otro vehículo de los que pasaron por las manos de Telleldín; que tanto él como Barreda conocieron del “arreglo” alca</w:t>
      </w:r>
      <w:r>
        <w:t>n</w:t>
      </w:r>
      <w:r>
        <w:t xml:space="preserve">zado en </w:t>
      </w:r>
      <w:smartTag w:uri="urn:schemas-microsoft-com:office:smarttags" w:element="PersonName">
        <w:smartTagPr>
          <w:attr w:name="ProductID" w:val="la Brigada"/>
        </w:smartTagPr>
        <w:r>
          <w:t>la Brigada</w:t>
        </w:r>
      </w:smartTag>
      <w:r>
        <w:t xml:space="preserve"> de Lanús de boca de T</w:t>
      </w:r>
      <w:r>
        <w:t>e</w:t>
      </w:r>
      <w:r>
        <w:t>lleldín y que, en relación al llamado de Leal a la casa de T</w:t>
      </w:r>
      <w:r>
        <w:t>e</w:t>
      </w:r>
      <w:r>
        <w:t>lleldín, el 27 de julio, supuso que lo realizó con la intención de con</w:t>
      </w:r>
      <w:r>
        <w:t>o</w:t>
      </w:r>
      <w:r>
        <w:t>cer algo respecto de las versiones periodísticas que señ</w:t>
      </w:r>
      <w:r>
        <w:t>a</w:t>
      </w:r>
      <w:r>
        <w:t xml:space="preserve">laban que el nombrado habría sido quien vendió </w:t>
      </w:r>
      <w:smartTag w:uri="urn:schemas-microsoft-com:office:smarttags" w:element="PersonName">
        <w:smartTagPr>
          <w:attr w:name="ProductID" w:val="la Trafic"/>
        </w:smartTagPr>
        <w:r>
          <w:t>la Trafic</w:t>
        </w:r>
      </w:smartTag>
      <w:r>
        <w:t xml:space="preserve"> utilizada en el atentado, en tanto aún se encontraba pe</w:t>
      </w:r>
      <w:r>
        <w:t>n</w:t>
      </w:r>
      <w:r>
        <w:t>diente la investigación a su respecto; máxime que sus s</w:t>
      </w:r>
      <w:r>
        <w:t>u</w:t>
      </w:r>
      <w:r>
        <w:t>periores conocían que se encontraba allí intentando que aquél regresara.</w:t>
      </w:r>
    </w:p>
    <w:p w:rsidR="00224567" w:rsidRDefault="00224567">
      <w:pPr>
        <w:widowControl w:val="0"/>
      </w:pPr>
      <w:r>
        <w:tab/>
        <w:t>Finalmente, Bareiro insistió en que jamás intentó desviar el curso de la investigación apo</w:t>
      </w:r>
      <w:r>
        <w:t>r</w:t>
      </w:r>
      <w:r>
        <w:t>tando a Solari datos falsos y que era totalmente ajeno a los delitos que se le imp</w:t>
      </w:r>
      <w:r>
        <w:t>u</w:t>
      </w:r>
      <w:r>
        <w:t>tan.</w:t>
      </w:r>
    </w:p>
    <w:p w:rsidR="00224567" w:rsidRDefault="00224567">
      <w:pPr>
        <w:widowControl w:val="0"/>
      </w:pPr>
      <w:r>
        <w:tab/>
        <w:t>Al ser convocado prestar indagatoria en la audiencia de debate del 12 de septiembre de 2002, por los hechos de la causa nº 501/01, Mario Norberto B</w:t>
      </w:r>
      <w:r>
        <w:t>a</w:t>
      </w:r>
      <w:r>
        <w:t>reiro se negó a declarar, no dándose lectura de las real</w:t>
      </w:r>
      <w:r>
        <w:t>i</w:t>
      </w:r>
      <w:r>
        <w:t>zadas ante la instructor, por haber sido leídas con ant</w:t>
      </w:r>
      <w:r>
        <w:t>e</w:t>
      </w:r>
      <w:r>
        <w:t>rioridad a esa co</w:t>
      </w:r>
      <w:r>
        <w:t>n</w:t>
      </w:r>
      <w:r>
        <w:t>vocatoria.</w:t>
      </w:r>
    </w:p>
    <w:p w:rsidR="00224567" w:rsidRDefault="00224567">
      <w:pPr>
        <w:widowControl w:val="0"/>
      </w:pPr>
    </w:p>
    <w:p w:rsidR="00224567" w:rsidRDefault="00224567">
      <w:pPr>
        <w:pStyle w:val="Ttulo3"/>
      </w:pPr>
      <w:r>
        <w:t>H) Declaraciones indagatorias de Juan José Ribelli.</w:t>
      </w:r>
    </w:p>
    <w:p w:rsidR="00224567" w:rsidRDefault="00224567">
      <w:pPr>
        <w:pStyle w:val="Sangra3detindependiente"/>
        <w:widowControl w:val="0"/>
        <w:spacing w:line="600" w:lineRule="auto"/>
      </w:pPr>
      <w:r>
        <w:t xml:space="preserve">Que en la oportunidad establecida en el art. 378 del Código Procesal Penal de </w:t>
      </w:r>
      <w:smartTag w:uri="urn:schemas-microsoft-com:office:smarttags" w:element="PersonName">
        <w:smartTagPr>
          <w:attr w:name="ProductID" w:val="la Naci￳n"/>
        </w:smartTagPr>
        <w:r>
          <w:t>la Nación</w:t>
        </w:r>
      </w:smartTag>
      <w:r>
        <w:t>, el imputado Juan José Ribelli brindó su versión de los h</w:t>
      </w:r>
      <w:r>
        <w:t>e</w:t>
      </w:r>
      <w:r>
        <w:t>chos, no obstante se negó a contestar preguntas.</w:t>
      </w:r>
    </w:p>
    <w:p w:rsidR="00224567" w:rsidRDefault="00224567">
      <w:pPr>
        <w:pStyle w:val="Sangra3detindependiente"/>
        <w:widowControl w:val="0"/>
        <w:spacing w:line="600" w:lineRule="auto"/>
      </w:pPr>
      <w:r>
        <w:t>En primer lugar, efectuó una res</w:t>
      </w:r>
      <w:r>
        <w:t>e</w:t>
      </w:r>
      <w:r>
        <w:t xml:space="preserve">ña de su carrera policial. Dijo que en el año </w:t>
      </w:r>
      <w:smartTag w:uri="urn:schemas-microsoft-com:office:smarttags" w:element="metricconverter">
        <w:smartTagPr>
          <w:attr w:name="ProductID" w:val="1969, a"/>
        </w:smartTagPr>
        <w:r>
          <w:t>1969, a</w:t>
        </w:r>
      </w:smartTag>
      <w:r>
        <w:t xml:space="preserve"> los doce años de edad, ingresó al Liceo Policial, contiguo a la e</w:t>
      </w:r>
      <w:r>
        <w:t>s</w:t>
      </w:r>
      <w:r>
        <w:t>cuela Vucetich, en el cual formó parte de la séptima pr</w:t>
      </w:r>
      <w:r>
        <w:t>o</w:t>
      </w:r>
      <w:r>
        <w:t>moción y cursó todo el secundario; se rec</w:t>
      </w:r>
      <w:r>
        <w:t>i</w:t>
      </w:r>
      <w:r>
        <w:t>bió de bachiller en el año 1973 y alcanzó por méritos de estudio ser el aband</w:t>
      </w:r>
      <w:r>
        <w:t>e</w:t>
      </w:r>
      <w:r>
        <w:t>rado de su clase.</w:t>
      </w:r>
    </w:p>
    <w:p w:rsidR="00224567" w:rsidRDefault="00224567">
      <w:pPr>
        <w:widowControl w:val="0"/>
      </w:pPr>
      <w:r>
        <w:tab/>
        <w:t>Acotó que el imputado Alejandro Bu</w:t>
      </w:r>
      <w:r>
        <w:t>r</w:t>
      </w:r>
      <w:r>
        <w:t>guete fue su compañero durante el liceo y en el curso di</w:t>
      </w:r>
      <w:r>
        <w:t>c</w:t>
      </w:r>
      <w:r>
        <w:t xml:space="preserve">tado en </w:t>
      </w:r>
      <w:smartTag w:uri="urn:schemas-microsoft-com:office:smarttags" w:element="PersonName">
        <w:smartTagPr>
          <w:attr w:name="ProductID" w:val="la Escuela"/>
        </w:smartTagPr>
        <w:r>
          <w:t>la Escuela</w:t>
        </w:r>
      </w:smartTag>
      <w:r>
        <w:t xml:space="preserve"> de Policía Juan Vuc</w:t>
      </w:r>
      <w:r>
        <w:t>e</w:t>
      </w:r>
      <w:r>
        <w:t>tich, de la cual el dicente egresó a mediados de 1974 con la jerarquía de of</w:t>
      </w:r>
      <w:r>
        <w:t>i</w:t>
      </w:r>
      <w:r>
        <w:t>cial subayuda</w:t>
      </w:r>
      <w:r>
        <w:t>n</w:t>
      </w:r>
      <w:r>
        <w:t>te.</w:t>
      </w:r>
    </w:p>
    <w:p w:rsidR="00224567" w:rsidRDefault="00224567">
      <w:pPr>
        <w:widowControl w:val="0"/>
      </w:pPr>
      <w:r>
        <w:tab/>
        <w:t xml:space="preserve">Su primer destino fue </w:t>
      </w:r>
      <w:smartTag w:uri="urn:schemas-microsoft-com:office:smarttags" w:element="PersonName">
        <w:smartTagPr>
          <w:attr w:name="ProductID" w:val="la Comisar￭a"/>
        </w:smartTagPr>
        <w:r>
          <w:t>la Comis</w:t>
        </w:r>
        <w:r>
          <w:t>a</w:t>
        </w:r>
        <w:r>
          <w:t>ría</w:t>
        </w:r>
      </w:smartTag>
      <w:r>
        <w:t xml:space="preserve"> 1ª de Avellaneda, donde prestó servicio durante uno o dos años, pasando luego a la que en aquel momento se denomin</w:t>
      </w:r>
      <w:r>
        <w:t>a</w:t>
      </w:r>
      <w:r>
        <w:t>ba Unidad Regional de Lanús, de donde fue traslad</w:t>
      </w:r>
      <w:r>
        <w:t>a</w:t>
      </w:r>
      <w:r>
        <w:t xml:space="preserve">do a </w:t>
      </w:r>
      <w:smartTag w:uri="urn:schemas-microsoft-com:office:smarttags" w:element="PersonName">
        <w:smartTagPr>
          <w:attr w:name="ProductID" w:val="la Comisar￭a"/>
        </w:smartTagPr>
        <w:r>
          <w:t>la Comisaría</w:t>
        </w:r>
      </w:smartTag>
      <w:r>
        <w:t xml:space="preserve"> 1ª de Lanús; allí conoció al imputado Ibarra, quien trabajaba en la subcomisaría que dependía de aqu</w:t>
      </w:r>
      <w:r>
        <w:t>e</w:t>
      </w:r>
      <w:r>
        <w:t>lla.</w:t>
      </w:r>
    </w:p>
    <w:p w:rsidR="00224567" w:rsidRDefault="00224567">
      <w:pPr>
        <w:widowControl w:val="0"/>
      </w:pPr>
      <w:r>
        <w:tab/>
        <w:t>Relató que a partir del año 1978 o 1979 la superioridad policial dispuso su traslado al ámb</w:t>
      </w:r>
      <w:r>
        <w:t>i</w:t>
      </w:r>
      <w:r>
        <w:t xml:space="preserve">to de investigaciones y fue destinado a </w:t>
      </w:r>
      <w:smartTag w:uri="urn:schemas-microsoft-com:office:smarttags" w:element="PersonName">
        <w:smartTagPr>
          <w:attr w:name="ProductID" w:val="la Brigada"/>
        </w:smartTagPr>
        <w:r>
          <w:t>la Brigada</w:t>
        </w:r>
      </w:smartTag>
      <w:r>
        <w:t xml:space="preserve"> de L</w:t>
      </w:r>
      <w:r>
        <w:t>a</w:t>
      </w:r>
      <w:r>
        <w:t>nús, con asiento en la localidad de Avellaneda. Luego de permanecer varios años en esa brigada fue d</w:t>
      </w:r>
      <w:r>
        <w:t>e</w:t>
      </w:r>
      <w:r>
        <w:t xml:space="preserve">rivado a otro órgano dependiente de </w:t>
      </w:r>
      <w:smartTag w:uri="urn:schemas-microsoft-com:office:smarttags" w:element="PersonName">
        <w:smartTagPr>
          <w:attr w:name="ProductID" w:val="la Direcci￳n"/>
        </w:smartTagPr>
        <w:r>
          <w:t>la Dirección</w:t>
        </w:r>
      </w:smartTag>
      <w:r>
        <w:t xml:space="preserve"> de I</w:t>
      </w:r>
      <w:r>
        <w:t>n</w:t>
      </w:r>
      <w:r>
        <w:t>vestigaciones, que trataba temas específicos de homic</w:t>
      </w:r>
      <w:r>
        <w:t>i</w:t>
      </w:r>
      <w:r>
        <w:t>dios.</w:t>
      </w:r>
    </w:p>
    <w:p w:rsidR="00224567" w:rsidRDefault="00224567">
      <w:pPr>
        <w:widowControl w:val="0"/>
      </w:pPr>
      <w:r>
        <w:tab/>
        <w:t xml:space="preserve">Posteriormente, pasó por </w:t>
      </w:r>
      <w:smartTag w:uri="urn:schemas-microsoft-com:office:smarttags" w:element="PersonName">
        <w:smartTagPr>
          <w:attr w:name="ProductID" w:val="la Brigada"/>
        </w:smartTagPr>
        <w:r>
          <w:t>la Br</w:t>
        </w:r>
        <w:r>
          <w:t>i</w:t>
        </w:r>
        <w:r>
          <w:t>gada</w:t>
        </w:r>
      </w:smartTag>
      <w:r>
        <w:t xml:space="preserve"> de Investigaciones de Almirante Brown, donde el jefe era el comisario inspector Klod</w:t>
      </w:r>
      <w:r>
        <w:t>c</w:t>
      </w:r>
      <w:r>
        <w:t>zyk.</w:t>
      </w:r>
    </w:p>
    <w:p w:rsidR="00224567" w:rsidRDefault="00224567">
      <w:pPr>
        <w:widowControl w:val="0"/>
      </w:pPr>
      <w:r>
        <w:tab/>
        <w:t xml:space="preserve">Mencionó que su próximo traslado fue a </w:t>
      </w:r>
      <w:smartTag w:uri="urn:schemas-microsoft-com:office:smarttags" w:element="PersonName">
        <w:smartTagPr>
          <w:attr w:name="ProductID" w:val="la Brigada"/>
        </w:smartTagPr>
        <w:r>
          <w:t>la Brigada</w:t>
        </w:r>
      </w:smartTag>
      <w:r>
        <w:t xml:space="preserve"> de Investigaciones de Quilmes, donde también tuvo en una oportunidad como jefe al señor Klod</w:t>
      </w:r>
      <w:r>
        <w:t>c</w:t>
      </w:r>
      <w:r>
        <w:t>zyk y, en otra, al señor Calabró.</w:t>
      </w:r>
    </w:p>
    <w:p w:rsidR="00224567" w:rsidRDefault="00224567">
      <w:pPr>
        <w:widowControl w:val="0"/>
      </w:pPr>
      <w:r>
        <w:tab/>
        <w:t>Para el año 1991 trabajó nuev</w:t>
      </w:r>
      <w:r>
        <w:t>a</w:t>
      </w:r>
      <w:r>
        <w:t xml:space="preserve">mente en </w:t>
      </w:r>
      <w:smartTag w:uri="urn:schemas-microsoft-com:office:smarttags" w:element="PersonName">
        <w:smartTagPr>
          <w:attr w:name="ProductID" w:val="la Brigada"/>
        </w:smartTagPr>
        <w:r>
          <w:t>la Brigada</w:t>
        </w:r>
      </w:smartTag>
      <w:r>
        <w:t xml:space="preserve"> de I</w:t>
      </w:r>
      <w:r>
        <w:t>n</w:t>
      </w:r>
      <w:r>
        <w:t xml:space="preserve">vestigaciones de Avellaneda -que vendría a ser </w:t>
      </w:r>
      <w:smartTag w:uri="urn:schemas-microsoft-com:office:smarttags" w:element="PersonName">
        <w:smartTagPr>
          <w:attr w:name="ProductID" w:val="la Brigada"/>
        </w:smartTagPr>
        <w:r>
          <w:t>la Brigada</w:t>
        </w:r>
      </w:smartTag>
      <w:r>
        <w:t xml:space="preserve"> de Lanús- bajo las órdenes del entonces c</w:t>
      </w:r>
      <w:r>
        <w:t>o</w:t>
      </w:r>
      <w:r>
        <w:t xml:space="preserve">misario inspector Guzmán, de donde fue trasladado a </w:t>
      </w:r>
      <w:smartTag w:uri="urn:schemas-microsoft-com:office:smarttags" w:element="PersonName">
        <w:smartTagPr>
          <w:attr w:name="ProductID" w:val="la Brigada"/>
        </w:smartTagPr>
        <w:r>
          <w:t>la Brigada</w:t>
        </w:r>
      </w:smartTag>
      <w:r>
        <w:t xml:space="preserve"> de Investigaciones de General Sarmiento. Allí pe</w:t>
      </w:r>
      <w:r>
        <w:t>r</w:t>
      </w:r>
      <w:r>
        <w:t>maneció por espacio de un año y medio aproximadamente, siendo el día 5 de mayo de 1993 nuev</w:t>
      </w:r>
      <w:r>
        <w:t>a</w:t>
      </w:r>
      <w:r>
        <w:t>mente destinado a la de L</w:t>
      </w:r>
      <w:r>
        <w:t>a</w:t>
      </w:r>
      <w:r>
        <w:t>nús.</w:t>
      </w:r>
    </w:p>
    <w:p w:rsidR="00224567" w:rsidRDefault="00224567">
      <w:pPr>
        <w:widowControl w:val="0"/>
      </w:pPr>
      <w:r>
        <w:tab/>
        <w:t>Sostuvo que, en ocasión de arribar a esa brigada, y como era normal en todos los mov</w:t>
      </w:r>
      <w:r>
        <w:t>i</w:t>
      </w:r>
      <w:r>
        <w:t>mientos de traslados de una dependencia a otra, cuando cambi</w:t>
      </w:r>
      <w:r>
        <w:t>a</w:t>
      </w:r>
      <w:r>
        <w:t>ban sus jefes se producía un intercambio de personal policial di</w:t>
      </w:r>
      <w:r>
        <w:t>s</w:t>
      </w:r>
      <w:r>
        <w:t xml:space="preserve">puesto por </w:t>
      </w:r>
      <w:smartTag w:uri="urn:schemas-microsoft-com:office:smarttags" w:element="PersonName">
        <w:smartTagPr>
          <w:attr w:name="ProductID" w:val="la Direcci￳n General"/>
        </w:smartTagPr>
        <w:r>
          <w:t>la Dirección General</w:t>
        </w:r>
      </w:smartTag>
      <w:r>
        <w:t xml:space="preserve"> de Investigaciones, a tr</w:t>
      </w:r>
      <w:r>
        <w:t>a</w:t>
      </w:r>
      <w:r>
        <w:t>vés de su área de personal, y autorizado y ordenado por el director general de investig</w:t>
      </w:r>
      <w:r>
        <w:t>a</w:t>
      </w:r>
      <w:r>
        <w:t>ciones.</w:t>
      </w:r>
    </w:p>
    <w:p w:rsidR="00224567" w:rsidRDefault="00224567">
      <w:pPr>
        <w:pStyle w:val="Sangra3detindependiente"/>
        <w:widowControl w:val="0"/>
        <w:spacing w:line="600" w:lineRule="auto"/>
        <w:ind w:firstLine="0"/>
      </w:pPr>
      <w:r>
        <w:tab/>
        <w:t>En aquella oportunidad, al llegar a Lanús, se hizo cargo del lugar el esposo de su hermana, el comisario inspector José Miguel Ojeda, quien relevó al c</w:t>
      </w:r>
      <w:r>
        <w:t>o</w:t>
      </w:r>
      <w:r>
        <w:t xml:space="preserve">misario inspector Simboli, el que fue trasladado por la jefatura desde </w:t>
      </w:r>
      <w:smartTag w:uri="urn:schemas-microsoft-com:office:smarttags" w:element="PersonName">
        <w:smartTagPr>
          <w:attr w:name="ProductID" w:val="la Brigada"/>
        </w:smartTagPr>
        <w:r>
          <w:t>la Brigada</w:t>
        </w:r>
      </w:smartTag>
      <w:r>
        <w:t xml:space="preserve"> de Lanús a la de General Merc</w:t>
      </w:r>
      <w:r>
        <w:t>e</w:t>
      </w:r>
      <w:r>
        <w:t>des.</w:t>
      </w:r>
    </w:p>
    <w:p w:rsidR="00224567" w:rsidRDefault="00224567">
      <w:pPr>
        <w:pStyle w:val="Textoindependiente"/>
        <w:spacing w:line="600" w:lineRule="auto"/>
        <w:rPr>
          <w:lang w:val="es-AR"/>
        </w:rPr>
      </w:pPr>
      <w:r>
        <w:rPr>
          <w:lang w:val="es-AR"/>
        </w:rPr>
        <w:tab/>
        <w:t xml:space="preserve">Ribelli explicó que, en ese intercambio de personal, varios oficiales, subcomisarios o comisarios de </w:t>
      </w:r>
      <w:smartTag w:uri="urn:schemas-microsoft-com:office:smarttags" w:element="PersonName">
        <w:smartTagPr>
          <w:attr w:name="ProductID" w:val="la Brigada"/>
        </w:smartTagPr>
        <w:r>
          <w:rPr>
            <w:lang w:val="es-AR"/>
          </w:rPr>
          <w:t>la Brigada</w:t>
        </w:r>
      </w:smartTag>
      <w:r>
        <w:rPr>
          <w:lang w:val="es-AR"/>
        </w:rPr>
        <w:t xml:space="preserve"> de Lanús fueron trasladados por la jefatura a otras dependencias, entre los que se hallaba el oficial Leal, quien fue a </w:t>
      </w:r>
      <w:smartTag w:uri="urn:schemas-microsoft-com:office:smarttags" w:element="PersonName">
        <w:smartTagPr>
          <w:attr w:name="ProductID" w:val="la Brigada"/>
        </w:smartTagPr>
        <w:r>
          <w:rPr>
            <w:lang w:val="es-AR"/>
          </w:rPr>
          <w:t>la Brig</w:t>
        </w:r>
        <w:r>
          <w:rPr>
            <w:lang w:val="es-AR"/>
          </w:rPr>
          <w:t>a</w:t>
        </w:r>
        <w:r>
          <w:rPr>
            <w:lang w:val="es-AR"/>
          </w:rPr>
          <w:t>da</w:t>
        </w:r>
      </w:smartTag>
      <w:r>
        <w:rPr>
          <w:lang w:val="es-AR"/>
        </w:rPr>
        <w:t xml:space="preserve"> de Mercedes.</w:t>
      </w:r>
    </w:p>
    <w:p w:rsidR="00224567" w:rsidRDefault="00224567">
      <w:pPr>
        <w:pStyle w:val="Textoindependiente"/>
        <w:spacing w:line="600" w:lineRule="auto"/>
        <w:rPr>
          <w:lang w:val="es-AR"/>
        </w:rPr>
      </w:pPr>
      <w:r>
        <w:rPr>
          <w:lang w:val="es-AR"/>
        </w:rPr>
        <w:tab/>
        <w:t>Dijo que después de la detención y a raíz de la gran cantidad de informes que existían en la causa, a</w:t>
      </w:r>
      <w:r>
        <w:rPr>
          <w:lang w:val="es-AR"/>
        </w:rPr>
        <w:t>c</w:t>
      </w:r>
      <w:r>
        <w:rPr>
          <w:lang w:val="es-AR"/>
        </w:rPr>
        <w:t>cedió a las fechas exactas para p</w:t>
      </w:r>
      <w:r>
        <w:rPr>
          <w:lang w:val="es-AR"/>
        </w:rPr>
        <w:t>o</w:t>
      </w:r>
      <w:r>
        <w:rPr>
          <w:lang w:val="es-AR"/>
        </w:rPr>
        <w:t>der corroborar este tipo de trasl</w:t>
      </w:r>
      <w:r>
        <w:rPr>
          <w:lang w:val="es-AR"/>
        </w:rPr>
        <w:t>a</w:t>
      </w:r>
      <w:r>
        <w:rPr>
          <w:lang w:val="es-AR"/>
        </w:rPr>
        <w:t>dos. En este sentido, le impresionó que el fiscal Nisman le preguntara a Leal con respecto a su destino ant</w:t>
      </w:r>
      <w:r>
        <w:rPr>
          <w:lang w:val="es-AR"/>
        </w:rPr>
        <w:t>e</w:t>
      </w:r>
      <w:r>
        <w:rPr>
          <w:lang w:val="es-AR"/>
        </w:rPr>
        <w:t>rior a Mercedes o si había compartido algún de</w:t>
      </w:r>
      <w:r>
        <w:rPr>
          <w:lang w:val="es-AR"/>
        </w:rPr>
        <w:t>s</w:t>
      </w:r>
      <w:r>
        <w:rPr>
          <w:lang w:val="es-AR"/>
        </w:rPr>
        <w:t>tino con él.</w:t>
      </w:r>
    </w:p>
    <w:p w:rsidR="00224567" w:rsidRDefault="00224567">
      <w:pPr>
        <w:widowControl w:val="0"/>
      </w:pPr>
      <w:r>
        <w:tab/>
        <w:t>Remarcó que esa impresión se increme</w:t>
      </w:r>
      <w:r>
        <w:t>n</w:t>
      </w:r>
      <w:r>
        <w:t>tó al ver publicado en una edición del diario “</w:t>
      </w:r>
      <w:smartTag w:uri="urn:schemas-microsoft-com:office:smarttags" w:element="PersonName">
        <w:smartTagPr>
          <w:attr w:name="ProductID" w:val="la Naci￳n"/>
        </w:smartTagPr>
        <w:r>
          <w:t>La N</w:t>
        </w:r>
        <w:r>
          <w:t>a</w:t>
        </w:r>
        <w:r>
          <w:t>ción</w:t>
        </w:r>
      </w:smartTag>
      <w:r>
        <w:t>” que los fiscales –independientemente de que Leal negara haber trabajado con Ribelli- sostenían que en su legajo figuraba que habrían trabajado juntos durante ocho meses.</w:t>
      </w:r>
    </w:p>
    <w:p w:rsidR="00224567" w:rsidRDefault="00224567">
      <w:pPr>
        <w:widowControl w:val="0"/>
      </w:pPr>
      <w:r>
        <w:tab/>
        <w:t>En este punto, aclaró que jamás trab</w:t>
      </w:r>
      <w:r>
        <w:t>a</w:t>
      </w:r>
      <w:r>
        <w:t>jó con Leal y que si lo hubiera hecho no tendría ningún inconveniente en reconocerlo, como lo hizo cuando afirmó que trabajó con Ibarra o con otro personal; ello toda vez que consideró que trabajar con policías no era ningún tipo de del</w:t>
      </w:r>
      <w:r>
        <w:t>i</w:t>
      </w:r>
      <w:r>
        <w:t>to.</w:t>
      </w:r>
    </w:p>
    <w:p w:rsidR="00224567" w:rsidRDefault="00224567">
      <w:pPr>
        <w:widowControl w:val="0"/>
      </w:pPr>
      <w:r>
        <w:tab/>
        <w:t>Señaló que hacía esa referencia po</w:t>
      </w:r>
      <w:r>
        <w:t>r</w:t>
      </w:r>
      <w:r>
        <w:t>que durante más de cinco años de detención advirtió que la h</w:t>
      </w:r>
      <w:r>
        <w:t>i</w:t>
      </w:r>
      <w:r>
        <w:t>pótesis principal de la investigación de la causa A.M.I.A. se concentraba en determinar quien trabajó con quien; ci</w:t>
      </w:r>
      <w:r>
        <w:t>r</w:t>
      </w:r>
      <w:r>
        <w:t>cunstancia que originó que el personal policial -incluso algunos retirados- intentara demostrar un alejamiento de su persona y, a veces, en una actitud defensista, negar que lo conocían o que trabajaron juntos, o bien que hubi</w:t>
      </w:r>
      <w:r>
        <w:t>e</w:t>
      </w:r>
      <w:r>
        <w:t>ran salido alguna noche a tomar algo o frecuentado la f</w:t>
      </w:r>
      <w:r>
        <w:t>a</w:t>
      </w:r>
      <w:r>
        <w:t>milia.</w:t>
      </w:r>
    </w:p>
    <w:p w:rsidR="00224567" w:rsidRDefault="00224567">
      <w:pPr>
        <w:widowControl w:val="0"/>
      </w:pPr>
      <w:r>
        <w:tab/>
        <w:t>Refirió que esto lo decía porque alg</w:t>
      </w:r>
      <w:r>
        <w:t>u</w:t>
      </w:r>
      <w:r>
        <w:t>nos imputados e incluso defensores mantuvieron esta pos</w:t>
      </w:r>
      <w:r>
        <w:t>i</w:t>
      </w:r>
      <w:r>
        <w:t xml:space="preserve">ción, agregando que lo comprendía porque en 1996 la causa A.M.I.A. fue una hecatombe para </w:t>
      </w:r>
      <w:smartTag w:uri="urn:schemas-microsoft-com:office:smarttags" w:element="PersonName">
        <w:smartTagPr>
          <w:attr w:name="ProductID" w:val="la Polic￭a Bonaerense"/>
        </w:smartTagPr>
        <w:r>
          <w:t>la Policía Bonaerense</w:t>
        </w:r>
      </w:smartTag>
      <w:r>
        <w:t xml:space="preserve"> ya que simbolizó la corrupción policial con el comisario R</w:t>
      </w:r>
      <w:r>
        <w:t>i</w:t>
      </w:r>
      <w:r>
        <w:t>belli.</w:t>
      </w:r>
    </w:p>
    <w:p w:rsidR="00224567" w:rsidRDefault="00224567">
      <w:pPr>
        <w:widowControl w:val="0"/>
      </w:pPr>
      <w:r>
        <w:tab/>
        <w:t>Afirmó que, sobre la base de lo e</w:t>
      </w:r>
      <w:r>
        <w:t>x</w:t>
      </w:r>
      <w:r>
        <w:t>puesto y por el accionar del juez Galeano o de sus colab</w:t>
      </w:r>
      <w:r>
        <w:t>o</w:t>
      </w:r>
      <w:r>
        <w:t>radores, toda aquella persona que estaba cerca de su pe</w:t>
      </w:r>
      <w:r>
        <w:t>r</w:t>
      </w:r>
      <w:r>
        <w:t>sona comenzó a verse perjudicada en su faz laboral y, en el caso de los civiles en el ámbito come</w:t>
      </w:r>
      <w:r>
        <w:t>r</w:t>
      </w:r>
      <w:r>
        <w:t>cial.</w:t>
      </w:r>
    </w:p>
    <w:p w:rsidR="00224567" w:rsidRDefault="00224567">
      <w:pPr>
        <w:widowControl w:val="0"/>
      </w:pPr>
      <w:r>
        <w:tab/>
        <w:t>En ese sentido, señaló que existían constancias en la causa de las que se desprendía que alg</w:t>
      </w:r>
      <w:r>
        <w:t>u</w:t>
      </w:r>
      <w:r>
        <w:t>nos oficiales que con muy buena predi</w:t>
      </w:r>
      <w:r>
        <w:t>s</w:t>
      </w:r>
      <w:r>
        <w:t>posición lo fueron a visitar a la unidad penitenciaria cuando nadie se an</w:t>
      </w:r>
      <w:r>
        <w:t>i</w:t>
      </w:r>
      <w:r>
        <w:t>maba a hacerlo, porque su apellido Ribelli era mala palabra, fueron despedidos de la fuerza sin existir un sumario a</w:t>
      </w:r>
      <w:r>
        <w:t>d</w:t>
      </w:r>
      <w:r>
        <w:t>ministrativo.</w:t>
      </w:r>
    </w:p>
    <w:p w:rsidR="00224567" w:rsidRDefault="00224567">
      <w:pPr>
        <w:widowControl w:val="0"/>
      </w:pPr>
      <w:r>
        <w:tab/>
        <w:t>Manifestó que alguien se podría pr</w:t>
      </w:r>
      <w:r>
        <w:t>e</w:t>
      </w:r>
      <w:r>
        <w:t>guntar qué tenía que ver esto con el tema A.M.I.A., re</w:t>
      </w:r>
      <w:r>
        <w:t>s</w:t>
      </w:r>
      <w:r>
        <w:t>pondiendo que,  lamentablemente, toda la investig</w:t>
      </w:r>
      <w:r>
        <w:t>a</w:t>
      </w:r>
      <w:r>
        <w:t>ción se desarrolló en un extenso contexto, con amplias imputaci</w:t>
      </w:r>
      <w:r>
        <w:t>o</w:t>
      </w:r>
      <w:r>
        <w:t>nes y un sometimiento a cualquier tipo de i</w:t>
      </w:r>
      <w:r>
        <w:t>m</w:t>
      </w:r>
      <w:r>
        <w:t>properios o de versiones   falsas   y  mentirosas   de  varias  pe</w:t>
      </w:r>
      <w:r>
        <w:t>r</w:t>
      </w:r>
      <w:r>
        <w:t>sonas –policías, civiles y detenidos-, que cada uno utilizó la causa a su antojo, estimando que algunos mintieron para lograr beneficios, situación que les dejaba la conciencia intranquila, pero al mismo l</w:t>
      </w:r>
      <w:r>
        <w:t>o</w:t>
      </w:r>
      <w:r>
        <w:t>graban una tranquilidad para su familia, al ser separados de la invest</w:t>
      </w:r>
      <w:r>
        <w:t>i</w:t>
      </w:r>
      <w:r>
        <w:t>gación.</w:t>
      </w:r>
    </w:p>
    <w:p w:rsidR="00224567" w:rsidRDefault="00224567">
      <w:pPr>
        <w:pStyle w:val="Textoindependiente"/>
        <w:spacing w:line="600" w:lineRule="auto"/>
        <w:rPr>
          <w:lang w:val="es-AR"/>
        </w:rPr>
      </w:pPr>
      <w:r>
        <w:rPr>
          <w:lang w:val="es-AR"/>
        </w:rPr>
        <w:tab/>
        <w:t>Indicó que, desde ese punto de vista, los comprendía y tal era así que después de cinco años y varios meses que llevaba detenido no abrig</w:t>
      </w:r>
      <w:r>
        <w:rPr>
          <w:lang w:val="es-AR"/>
        </w:rPr>
        <w:t>a</w:t>
      </w:r>
      <w:r>
        <w:rPr>
          <w:lang w:val="es-AR"/>
        </w:rPr>
        <w:t>ba ningún rencor hacia ellos, porque sabía que durante el transcurso del debate iban a dilucidarse un montón de situ</w:t>
      </w:r>
      <w:r>
        <w:rPr>
          <w:lang w:val="es-AR"/>
        </w:rPr>
        <w:t>a</w:t>
      </w:r>
      <w:r>
        <w:rPr>
          <w:lang w:val="es-AR"/>
        </w:rPr>
        <w:t>ciones e iba a quedar claro quien mintió, como también iba a aclararse lo suced</w:t>
      </w:r>
      <w:r>
        <w:rPr>
          <w:lang w:val="es-AR"/>
        </w:rPr>
        <w:t>i</w:t>
      </w:r>
      <w:r>
        <w:rPr>
          <w:lang w:val="es-AR"/>
        </w:rPr>
        <w:t>do, porque no había mejor vivencia que e</w:t>
      </w:r>
      <w:r>
        <w:rPr>
          <w:lang w:val="es-AR"/>
        </w:rPr>
        <w:t>s</w:t>
      </w:r>
      <w:r>
        <w:rPr>
          <w:lang w:val="es-AR"/>
        </w:rPr>
        <w:t>tar en la sala de audiencias, donde todos se veían, se iban conociendo y d</w:t>
      </w:r>
      <w:r>
        <w:rPr>
          <w:lang w:val="es-AR"/>
        </w:rPr>
        <w:t>u</w:t>
      </w:r>
      <w:r>
        <w:rPr>
          <w:lang w:val="es-AR"/>
        </w:rPr>
        <w:t>rante el año que ten</w:t>
      </w:r>
      <w:r>
        <w:rPr>
          <w:lang w:val="es-AR"/>
        </w:rPr>
        <w:t>í</w:t>
      </w:r>
      <w:r>
        <w:rPr>
          <w:lang w:val="es-AR"/>
        </w:rPr>
        <w:t>an por delante se iban a desenmascarar situaciones, abriendo un poco el panorama y los ojos de t</w:t>
      </w:r>
      <w:r>
        <w:rPr>
          <w:lang w:val="es-AR"/>
        </w:rPr>
        <w:t>o</w:t>
      </w:r>
      <w:r>
        <w:rPr>
          <w:lang w:val="es-AR"/>
        </w:rPr>
        <w:t>do el mu</w:t>
      </w:r>
      <w:r>
        <w:rPr>
          <w:lang w:val="es-AR"/>
        </w:rPr>
        <w:t>n</w:t>
      </w:r>
      <w:r>
        <w:rPr>
          <w:lang w:val="es-AR"/>
        </w:rPr>
        <w:t>do.</w:t>
      </w:r>
    </w:p>
    <w:p w:rsidR="00224567" w:rsidRDefault="00224567">
      <w:pPr>
        <w:widowControl w:val="0"/>
      </w:pPr>
      <w:r>
        <w:tab/>
        <w:t>Ello, porque no le alcanzaba decir s</w:t>
      </w:r>
      <w:r>
        <w:t>o</w:t>
      </w:r>
      <w:r>
        <w:t>lamente que era inocente, acotando que la imputación fue tan grande y tan genérica que era casi imposible defende</w:t>
      </w:r>
      <w:r>
        <w:t>r</w:t>
      </w:r>
      <w:r>
        <w:t>se cuando todo el mundo estaba en su contra.</w:t>
      </w:r>
    </w:p>
    <w:p w:rsidR="00224567" w:rsidRDefault="00224567">
      <w:pPr>
        <w:widowControl w:val="0"/>
      </w:pPr>
      <w:r>
        <w:tab/>
        <w:t>Precisó que quienes en realidad est</w:t>
      </w:r>
      <w:r>
        <w:t>a</w:t>
      </w:r>
      <w:r>
        <w:t>ban en su contra eran seres individuales que respondían a un provecho propio o a una conspiración, que durante el deb</w:t>
      </w:r>
      <w:r>
        <w:t>a</w:t>
      </w:r>
      <w:r>
        <w:t>te iba a tratar de probar, destacando que de esa forma se fue gestando esta sensación en la cual hoy él era el terrorista y respons</w:t>
      </w:r>
      <w:r>
        <w:t>a</w:t>
      </w:r>
      <w:r>
        <w:t xml:space="preserve">ble de la conexión local. </w:t>
      </w:r>
    </w:p>
    <w:p w:rsidR="00224567" w:rsidRDefault="00224567">
      <w:pPr>
        <w:widowControl w:val="0"/>
      </w:pPr>
      <w:r>
        <w:tab/>
        <w:t>Como primera medida expresó que, gr</w:t>
      </w:r>
      <w:r>
        <w:t>a</w:t>
      </w:r>
      <w:r>
        <w:t>cias a Dios, estaba en condiciones de que todo el mu</w:t>
      </w:r>
      <w:r>
        <w:t>n</w:t>
      </w:r>
      <w:r>
        <w:t>do, a través de lo que ocurriera en la sala de audiencias, emp</w:t>
      </w:r>
      <w:r>
        <w:t>e</w:t>
      </w:r>
      <w:r>
        <w:t>zara a abrir los ojos y a permitirse escuchar y dudar, considerando que era el principal elemento para llegar a la verdad tan ansiada que requerían todas las partes, agregando que él también buscaba la verdad, porque allí estaba su libertad, y no tenía dudas de que iba a probar su inocencia durante el deb</w:t>
      </w:r>
      <w:r>
        <w:t>a</w:t>
      </w:r>
      <w:r>
        <w:t>te.</w:t>
      </w:r>
    </w:p>
    <w:p w:rsidR="00224567" w:rsidRDefault="00224567">
      <w:pPr>
        <w:widowControl w:val="0"/>
      </w:pPr>
      <w:r>
        <w:tab/>
        <w:t>Añadió que la famosa Trafic jamás p</w:t>
      </w:r>
      <w:r>
        <w:t>a</w:t>
      </w:r>
      <w:r>
        <w:t>só por sus manos y, respecto al atentado, que jamás conoció nada que pudiera responsabilizarlo por omisión o por a</w:t>
      </w:r>
      <w:r>
        <w:t>c</w:t>
      </w:r>
      <w:r>
        <w:t>ción.</w:t>
      </w:r>
    </w:p>
    <w:p w:rsidR="00224567" w:rsidRDefault="00224567">
      <w:pPr>
        <w:widowControl w:val="0"/>
      </w:pPr>
      <w:r>
        <w:tab/>
        <w:t>Como respuesta a la pregunta de una de las querellas que quería saber cuál era la instru</w:t>
      </w:r>
      <w:r>
        <w:t>c</w:t>
      </w:r>
      <w:r>
        <w:t>ción del personal policial imputado, procedió a la lectura de un anexo donde constaban felicitaciones, méritos, condecor</w:t>
      </w:r>
      <w:r>
        <w:t>a</w:t>
      </w:r>
      <w:r>
        <w:t>ciones, medallas, sumarios administrativos y sus resol</w:t>
      </w:r>
      <w:r>
        <w:t>u</w:t>
      </w:r>
      <w:r>
        <w:t>ciones, que determinaron su sobrese</w:t>
      </w:r>
      <w:r>
        <w:t>i</w:t>
      </w:r>
      <w:r>
        <w:t>miento porque actuó en enfrentamientos en cumplimiento de su función, aclarando que si bien no quería resaltar los galardones obtenidos durante la carrera, quería destacar que desde 1979 ó 1980 hasta 1996 en que fue detenido, fue acreedor de distintos premios y estím</w:t>
      </w:r>
      <w:r>
        <w:t>u</w:t>
      </w:r>
      <w:r>
        <w:t>los, y afirmó que esto lo expresaba porque en la causa se había insinuado que era el ahijado del e</w:t>
      </w:r>
      <w:r>
        <w:t>n</w:t>
      </w:r>
      <w:r>
        <w:t>tonces jefe de policía.</w:t>
      </w:r>
    </w:p>
    <w:p w:rsidR="00224567" w:rsidRDefault="00224567">
      <w:pPr>
        <w:pStyle w:val="Sangra2detindependiente"/>
        <w:widowControl w:val="0"/>
        <w:spacing w:line="600" w:lineRule="auto"/>
        <w:ind w:firstLine="0"/>
        <w:rPr>
          <w:lang w:val="es-AR"/>
        </w:rPr>
      </w:pPr>
      <w:r>
        <w:rPr>
          <w:lang w:val="es-AR"/>
        </w:rPr>
        <w:tab/>
        <w:t>Respecto a la entrega del premio “Liga Patri</w:t>
      </w:r>
      <w:r>
        <w:rPr>
          <w:lang w:val="es-AR"/>
        </w:rPr>
        <w:t>ó</w:t>
      </w:r>
      <w:r>
        <w:rPr>
          <w:lang w:val="es-AR"/>
        </w:rPr>
        <w:t>tica argentina”, efectuada el día 13 de d</w:t>
      </w:r>
      <w:r>
        <w:rPr>
          <w:lang w:val="es-AR"/>
        </w:rPr>
        <w:t>i</w:t>
      </w:r>
      <w:r>
        <w:rPr>
          <w:lang w:val="es-AR"/>
        </w:rPr>
        <w:t>ciembre de 1988, señaló existían algunas constancias en la ca</w:t>
      </w:r>
      <w:r>
        <w:rPr>
          <w:lang w:val="es-AR"/>
        </w:rPr>
        <w:t>u</w:t>
      </w:r>
      <w:r>
        <w:rPr>
          <w:lang w:val="es-AR"/>
        </w:rPr>
        <w:t>sa y también trascendidos de algunos medios de comunicación adjudicá</w:t>
      </w:r>
      <w:r>
        <w:rPr>
          <w:lang w:val="es-AR"/>
        </w:rPr>
        <w:t>n</w:t>
      </w:r>
      <w:r>
        <w:rPr>
          <w:lang w:val="es-AR"/>
        </w:rPr>
        <w:t>dole una cierta identidad antisemita, a partir de haber sido condecorado por aquella entidad, que obedecía a un nacionalismo a</w:t>
      </w:r>
      <w:r>
        <w:rPr>
          <w:lang w:val="es-AR"/>
        </w:rPr>
        <w:t>n</w:t>
      </w:r>
      <w:r>
        <w:rPr>
          <w:lang w:val="es-AR"/>
        </w:rPr>
        <w:t>tisemita.</w:t>
      </w:r>
    </w:p>
    <w:p w:rsidR="00224567" w:rsidRDefault="00224567">
      <w:pPr>
        <w:pStyle w:val="Sangra2detindependiente"/>
        <w:widowControl w:val="0"/>
        <w:spacing w:line="600" w:lineRule="auto"/>
        <w:ind w:firstLine="0"/>
        <w:rPr>
          <w:lang w:val="es-AR"/>
        </w:rPr>
      </w:pPr>
      <w:r>
        <w:rPr>
          <w:lang w:val="es-AR"/>
        </w:rPr>
        <w:tab/>
        <w:t>En este punto, refirió que desconocía qui</w:t>
      </w:r>
      <w:r>
        <w:rPr>
          <w:lang w:val="es-AR"/>
        </w:rPr>
        <w:t>é</w:t>
      </w:r>
      <w:r>
        <w:rPr>
          <w:lang w:val="es-AR"/>
        </w:rPr>
        <w:t>nes eran los integrantes de esa liga, pero podía aclarar que anualmente el día de entrega de premios de la policía b</w:t>
      </w:r>
      <w:r>
        <w:rPr>
          <w:lang w:val="es-AR"/>
        </w:rPr>
        <w:t>o</w:t>
      </w:r>
      <w:r>
        <w:rPr>
          <w:lang w:val="es-AR"/>
        </w:rPr>
        <w:t xml:space="preserve">naerense –13 de diciembre- en la ciudad de </w:t>
      </w:r>
      <w:smartTag w:uri="urn:schemas-microsoft-com:office:smarttags" w:element="PersonName">
        <w:smartTagPr>
          <w:attr w:name="ProductID" w:val="La Plata"/>
        </w:smartTagPr>
        <w:r>
          <w:rPr>
            <w:lang w:val="es-AR"/>
          </w:rPr>
          <w:t>La Plata</w:t>
        </w:r>
      </w:smartTag>
      <w:r>
        <w:rPr>
          <w:lang w:val="es-AR"/>
        </w:rPr>
        <w:t>, la liga patriótica siempre otorgaba cinco, diez o quince d</w:t>
      </w:r>
      <w:r>
        <w:rPr>
          <w:lang w:val="es-AR"/>
        </w:rPr>
        <w:t>i</w:t>
      </w:r>
      <w:r>
        <w:rPr>
          <w:lang w:val="es-AR"/>
        </w:rPr>
        <w:t>plomas o condecoraciones a personal pol</w:t>
      </w:r>
      <w:r>
        <w:rPr>
          <w:lang w:val="es-AR"/>
        </w:rPr>
        <w:t>i</w:t>
      </w:r>
      <w:r>
        <w:rPr>
          <w:lang w:val="es-AR"/>
        </w:rPr>
        <w:t>cial, que surgían de un análisis efectuado por la jef</w:t>
      </w:r>
      <w:r>
        <w:rPr>
          <w:lang w:val="es-AR"/>
        </w:rPr>
        <w:t>a</w:t>
      </w:r>
      <w:r>
        <w:rPr>
          <w:lang w:val="es-AR"/>
        </w:rPr>
        <w:t>tura de policía sobre la base de las órdenes de servicio y los procedimientos realizados, y no por cuenta y orden de la mencionada ent</w:t>
      </w:r>
      <w:r>
        <w:rPr>
          <w:lang w:val="es-AR"/>
        </w:rPr>
        <w:t>i</w:t>
      </w:r>
      <w:r>
        <w:rPr>
          <w:lang w:val="es-AR"/>
        </w:rPr>
        <w:t>dad; por ello, arguyó que no podía concluirse que quienes hubieran recibido el premio de la liga patriótica argent</w:t>
      </w:r>
      <w:r>
        <w:rPr>
          <w:lang w:val="es-AR"/>
        </w:rPr>
        <w:t>i</w:t>
      </w:r>
      <w:r>
        <w:rPr>
          <w:lang w:val="es-AR"/>
        </w:rPr>
        <w:t>na fueran personas a</w:t>
      </w:r>
      <w:r>
        <w:rPr>
          <w:lang w:val="es-AR"/>
        </w:rPr>
        <w:t>n</w:t>
      </w:r>
      <w:r>
        <w:rPr>
          <w:lang w:val="es-AR"/>
        </w:rPr>
        <w:t>tisemitas.</w:t>
      </w:r>
    </w:p>
    <w:p w:rsidR="00224567" w:rsidRDefault="00224567">
      <w:pPr>
        <w:pStyle w:val="Sangra2detindependiente"/>
        <w:widowControl w:val="0"/>
        <w:spacing w:line="600" w:lineRule="auto"/>
        <w:ind w:firstLine="0"/>
        <w:rPr>
          <w:lang w:val="es-AR"/>
        </w:rPr>
      </w:pPr>
      <w:r>
        <w:rPr>
          <w:lang w:val="es-AR"/>
        </w:rPr>
        <w:tab/>
        <w:t>Acotó que profesaba la religión católica apo</w:t>
      </w:r>
      <w:r>
        <w:rPr>
          <w:lang w:val="es-AR"/>
        </w:rPr>
        <w:t>s</w:t>
      </w:r>
      <w:r>
        <w:rPr>
          <w:lang w:val="es-AR"/>
        </w:rPr>
        <w:t>tólica romana por lo que considera a todas las pers</w:t>
      </w:r>
      <w:r>
        <w:rPr>
          <w:lang w:val="es-AR"/>
        </w:rPr>
        <w:t>o</w:t>
      </w:r>
      <w:r>
        <w:rPr>
          <w:lang w:val="es-AR"/>
        </w:rPr>
        <w:t>nas a su alrededor como prójimos, puntualizando que jamás efe</w:t>
      </w:r>
      <w:r>
        <w:rPr>
          <w:lang w:val="es-AR"/>
        </w:rPr>
        <w:t>c</w:t>
      </w:r>
      <w:r>
        <w:rPr>
          <w:lang w:val="es-AR"/>
        </w:rPr>
        <w:t>tuó un acto discriminatorio, ni tuvo una actitud antisem</w:t>
      </w:r>
      <w:r>
        <w:rPr>
          <w:lang w:val="es-AR"/>
        </w:rPr>
        <w:t>i</w:t>
      </w:r>
      <w:r>
        <w:rPr>
          <w:lang w:val="es-AR"/>
        </w:rPr>
        <w:t>ta y por eso negaba toda imput</w:t>
      </w:r>
      <w:r>
        <w:rPr>
          <w:lang w:val="es-AR"/>
        </w:rPr>
        <w:t>a</w:t>
      </w:r>
      <w:r>
        <w:rPr>
          <w:lang w:val="es-AR"/>
        </w:rPr>
        <w:t>ción de odio racial que se le hiciera en esta causa y en este juicio, ya que no exi</w:t>
      </w:r>
      <w:r>
        <w:rPr>
          <w:lang w:val="es-AR"/>
        </w:rPr>
        <w:t>s</w:t>
      </w:r>
      <w:r>
        <w:rPr>
          <w:lang w:val="es-AR"/>
        </w:rPr>
        <w:t>tía en toda la investigación desarrollada por el juez G</w:t>
      </w:r>
      <w:r>
        <w:rPr>
          <w:lang w:val="es-AR"/>
        </w:rPr>
        <w:t>a</w:t>
      </w:r>
      <w:r>
        <w:rPr>
          <w:lang w:val="es-AR"/>
        </w:rPr>
        <w:t>leano un mínimo indicio o sugerencia que permitiera sost</w:t>
      </w:r>
      <w:r>
        <w:rPr>
          <w:lang w:val="es-AR"/>
        </w:rPr>
        <w:t>e</w:t>
      </w:r>
      <w:r>
        <w:rPr>
          <w:lang w:val="es-AR"/>
        </w:rPr>
        <w:t>ne</w:t>
      </w:r>
      <w:r>
        <w:rPr>
          <w:lang w:val="es-AR"/>
        </w:rPr>
        <w:t>r</w:t>
      </w:r>
      <w:r>
        <w:rPr>
          <w:lang w:val="es-AR"/>
        </w:rPr>
        <w:t>la.</w:t>
      </w:r>
    </w:p>
    <w:p w:rsidR="00224567" w:rsidRDefault="00224567">
      <w:pPr>
        <w:pStyle w:val="Sangra2detindependiente"/>
        <w:widowControl w:val="0"/>
        <w:spacing w:line="600" w:lineRule="auto"/>
        <w:ind w:firstLine="0"/>
        <w:rPr>
          <w:lang w:val="es-AR"/>
        </w:rPr>
      </w:pPr>
      <w:r>
        <w:rPr>
          <w:lang w:val="es-AR"/>
        </w:rPr>
        <w:tab/>
        <w:t>En cuanto al sumario administrativo 379.888/92 y 374.763/92 por presunta extorsión, en el que fuera d</w:t>
      </w:r>
      <w:r>
        <w:rPr>
          <w:lang w:val="es-AR"/>
        </w:rPr>
        <w:t>e</w:t>
      </w:r>
      <w:r>
        <w:rPr>
          <w:lang w:val="es-AR"/>
        </w:rPr>
        <w:t>clarado exento de sanción disciplinaria el 7 de abril de 1992, aclaró que durante los años de servicio un policía estaba expuesto a pos</w:t>
      </w:r>
      <w:r>
        <w:rPr>
          <w:lang w:val="es-AR"/>
        </w:rPr>
        <w:t>i</w:t>
      </w:r>
      <w:r>
        <w:rPr>
          <w:lang w:val="es-AR"/>
        </w:rPr>
        <w:t>bles denuncias de apremios ilegales o de extorsiones, indicando que muchas obedecían a actit</w:t>
      </w:r>
      <w:r>
        <w:rPr>
          <w:lang w:val="es-AR"/>
        </w:rPr>
        <w:t>u</w:t>
      </w:r>
      <w:r>
        <w:rPr>
          <w:lang w:val="es-AR"/>
        </w:rPr>
        <w:t>des defensistas de los detenidos y en algunos c</w:t>
      </w:r>
      <w:r>
        <w:rPr>
          <w:lang w:val="es-AR"/>
        </w:rPr>
        <w:t>a</w:t>
      </w:r>
      <w:r>
        <w:rPr>
          <w:lang w:val="es-AR"/>
        </w:rPr>
        <w:t>sos podían ser reales, para lo cual estaba la justicia.</w:t>
      </w:r>
    </w:p>
    <w:p w:rsidR="00224567" w:rsidRDefault="00224567">
      <w:pPr>
        <w:pStyle w:val="Sangra2detindependiente"/>
        <w:widowControl w:val="0"/>
        <w:spacing w:line="600" w:lineRule="auto"/>
        <w:ind w:firstLine="0"/>
        <w:rPr>
          <w:lang w:val="es-AR"/>
        </w:rPr>
      </w:pPr>
      <w:r>
        <w:rPr>
          <w:lang w:val="es-AR"/>
        </w:rPr>
        <w:tab/>
        <w:t>En este caso en particular, ante una imp</w:t>
      </w:r>
      <w:r>
        <w:rPr>
          <w:lang w:val="es-AR"/>
        </w:rPr>
        <w:t>u</w:t>
      </w:r>
      <w:r>
        <w:rPr>
          <w:lang w:val="es-AR"/>
        </w:rPr>
        <w:t>tación que estaba circulando en el año 1992, en cuanto a que una persona afectada a una investigación –que no r</w:t>
      </w:r>
      <w:r>
        <w:rPr>
          <w:lang w:val="es-AR"/>
        </w:rPr>
        <w:t>e</w:t>
      </w:r>
      <w:r>
        <w:rPr>
          <w:lang w:val="es-AR"/>
        </w:rPr>
        <w:t>cordó si estaba detenida- habría sido víctima de una e</w:t>
      </w:r>
      <w:r>
        <w:rPr>
          <w:lang w:val="es-AR"/>
        </w:rPr>
        <w:t>x</w:t>
      </w:r>
      <w:r>
        <w:rPr>
          <w:lang w:val="es-AR"/>
        </w:rPr>
        <w:t>torsión, se puso a disposición del tribunal de turno en Quilmes –creía que era el juzgado de Cisneros- y pidió que se abriera la invest</w:t>
      </w:r>
      <w:r>
        <w:rPr>
          <w:lang w:val="es-AR"/>
        </w:rPr>
        <w:t>i</w:t>
      </w:r>
      <w:r>
        <w:rPr>
          <w:lang w:val="es-AR"/>
        </w:rPr>
        <w:t xml:space="preserve">gación. </w:t>
      </w:r>
    </w:p>
    <w:p w:rsidR="00224567" w:rsidRDefault="00224567">
      <w:pPr>
        <w:pStyle w:val="Sangra2detindependiente"/>
        <w:widowControl w:val="0"/>
        <w:spacing w:line="600" w:lineRule="auto"/>
        <w:ind w:firstLine="0"/>
        <w:rPr>
          <w:lang w:val="es-AR"/>
        </w:rPr>
      </w:pPr>
      <w:r>
        <w:rPr>
          <w:lang w:val="es-AR"/>
        </w:rPr>
        <w:tab/>
        <w:t>Comentó que se hizo una investigación que ll</w:t>
      </w:r>
      <w:r>
        <w:rPr>
          <w:lang w:val="es-AR"/>
        </w:rPr>
        <w:t>e</w:t>
      </w:r>
      <w:r>
        <w:rPr>
          <w:lang w:val="es-AR"/>
        </w:rPr>
        <w:t>vó a cabo el propio juzgado, en la cual no surgió ningún elemento de convicción para que su señoría dispusiera a</w:t>
      </w:r>
      <w:r>
        <w:rPr>
          <w:lang w:val="es-AR"/>
        </w:rPr>
        <w:t>l</w:t>
      </w:r>
      <w:r>
        <w:rPr>
          <w:lang w:val="es-AR"/>
        </w:rPr>
        <w:t>guna medida restrictiva, resultando exento de sanción di</w:t>
      </w:r>
      <w:r>
        <w:rPr>
          <w:lang w:val="es-AR"/>
        </w:rPr>
        <w:t>s</w:t>
      </w:r>
      <w:r>
        <w:rPr>
          <w:lang w:val="es-AR"/>
        </w:rPr>
        <w:t>ciplinaria en el sumario admini</w:t>
      </w:r>
      <w:r>
        <w:rPr>
          <w:lang w:val="es-AR"/>
        </w:rPr>
        <w:t>s</w:t>
      </w:r>
      <w:r>
        <w:rPr>
          <w:lang w:val="es-AR"/>
        </w:rPr>
        <w:t>trativo.</w:t>
      </w:r>
    </w:p>
    <w:p w:rsidR="00224567" w:rsidRDefault="00224567">
      <w:pPr>
        <w:pStyle w:val="Sangra2detindependiente"/>
        <w:widowControl w:val="0"/>
        <w:spacing w:line="600" w:lineRule="auto"/>
        <w:ind w:firstLine="0"/>
        <w:rPr>
          <w:lang w:val="es-AR"/>
        </w:rPr>
      </w:pPr>
      <w:r>
        <w:rPr>
          <w:lang w:val="es-AR"/>
        </w:rPr>
        <w:tab/>
        <w:t>Luego, manifestó que el 21 de noviembre de 1995 el director general de investigaciones, comisario g</w:t>
      </w:r>
      <w:r>
        <w:rPr>
          <w:lang w:val="es-AR"/>
        </w:rPr>
        <w:t>e</w:t>
      </w:r>
      <w:r>
        <w:rPr>
          <w:lang w:val="es-AR"/>
        </w:rPr>
        <w:t xml:space="preserve">neral don Armando Antonio Calabró, por resolución D.P.R. 715 zxc dispuso su traslado a </w:t>
      </w:r>
      <w:smartTag w:uri="urn:schemas-microsoft-com:office:smarttags" w:element="PersonName">
        <w:smartTagPr>
          <w:attr w:name="ProductID" w:val="la Divisi￳n Sustracci￳n"/>
        </w:smartTagPr>
        <w:r>
          <w:rPr>
            <w:lang w:val="es-AR"/>
          </w:rPr>
          <w:t>la División Sustracción</w:t>
        </w:r>
      </w:smartTag>
      <w:r>
        <w:rPr>
          <w:lang w:val="es-AR"/>
        </w:rPr>
        <w:t xml:space="preserve"> de Automotores; fecha en que fue designado jefe de aquella división de Vicente López, permaneciendo en tal carácter hasta el 12 de julio de 1996, cuando surgió la orden de detención y se presentó espontánea y voluntariame</w:t>
      </w:r>
      <w:r>
        <w:rPr>
          <w:lang w:val="es-AR"/>
        </w:rPr>
        <w:t>n</w:t>
      </w:r>
      <w:r>
        <w:rPr>
          <w:lang w:val="es-AR"/>
        </w:rPr>
        <w:t>te.</w:t>
      </w:r>
    </w:p>
    <w:p w:rsidR="00224567" w:rsidRDefault="00224567">
      <w:pPr>
        <w:pStyle w:val="Sangra2detindependiente"/>
        <w:widowControl w:val="0"/>
        <w:spacing w:line="600" w:lineRule="auto"/>
        <w:ind w:firstLine="0"/>
        <w:rPr>
          <w:lang w:val="es-AR"/>
        </w:rPr>
      </w:pPr>
      <w:r>
        <w:rPr>
          <w:lang w:val="es-AR"/>
        </w:rPr>
        <w:tab/>
        <w:t>Aclaró que al decir “División Sustracción de Automotores de V</w:t>
      </w:r>
      <w:r>
        <w:rPr>
          <w:lang w:val="es-AR"/>
        </w:rPr>
        <w:t>i</w:t>
      </w:r>
      <w:r>
        <w:rPr>
          <w:lang w:val="es-AR"/>
        </w:rPr>
        <w:t>cente López” no implicaba para nada decir “Brigada de Investigaciones de V</w:t>
      </w:r>
      <w:r>
        <w:rPr>
          <w:lang w:val="es-AR"/>
        </w:rPr>
        <w:t>i</w:t>
      </w:r>
      <w:r>
        <w:rPr>
          <w:lang w:val="es-AR"/>
        </w:rPr>
        <w:t>cente López”, ya que eran dos dependencias distintas e independie</w:t>
      </w:r>
      <w:r>
        <w:rPr>
          <w:lang w:val="es-AR"/>
        </w:rPr>
        <w:t>n</w:t>
      </w:r>
      <w:r>
        <w:rPr>
          <w:lang w:val="es-AR"/>
        </w:rPr>
        <w:t>tes entre sí.</w:t>
      </w:r>
    </w:p>
    <w:p w:rsidR="00224567" w:rsidRDefault="00224567">
      <w:pPr>
        <w:pStyle w:val="Sangra2detindependiente"/>
        <w:widowControl w:val="0"/>
        <w:spacing w:line="600" w:lineRule="auto"/>
        <w:ind w:firstLine="0"/>
      </w:pPr>
      <w:r>
        <w:tab/>
        <w:t>Además, precisó que las fechas de las resol</w:t>
      </w:r>
      <w:r>
        <w:t>u</w:t>
      </w:r>
      <w:r>
        <w:t>ciones de las felicitaciones no significaban que el pers</w:t>
      </w:r>
      <w:r>
        <w:t>o</w:t>
      </w:r>
      <w:r>
        <w:t xml:space="preserve">nal siguiera cumpliendo funciones en ese mismo destino, destacando que se podía observar que en diciembre se lo felicitó por una actuación de </w:t>
      </w:r>
      <w:smartTag w:uri="urn:schemas-microsoft-com:office:smarttags" w:element="PersonName">
        <w:smartTagPr>
          <w:attr w:name="ProductID" w:val="la Brigada"/>
        </w:smartTagPr>
        <w:r>
          <w:t>la Brigada</w:t>
        </w:r>
      </w:smartTag>
      <w:r>
        <w:t xml:space="preserve"> de Quilmes, cua</w:t>
      </w:r>
      <w:r>
        <w:t>n</w:t>
      </w:r>
      <w:r>
        <w:t xml:space="preserve">do para esa fecha prestaba servicio en </w:t>
      </w:r>
      <w:smartTag w:uri="urn:schemas-microsoft-com:office:smarttags" w:element="PersonName">
        <w:smartTagPr>
          <w:attr w:name="ProductID" w:val="la Divisi￳n Sustracci￳n"/>
        </w:smartTagPr>
        <w:r>
          <w:t>la División Su</w:t>
        </w:r>
        <w:r>
          <w:t>s</w:t>
        </w:r>
        <w:r>
          <w:t>tracción</w:t>
        </w:r>
      </w:smartTag>
      <w:r>
        <w:t xml:space="preserve"> de Automotores de Vicente L</w:t>
      </w:r>
      <w:r>
        <w:t>ó</w:t>
      </w:r>
      <w:r>
        <w:t xml:space="preserve">pez. </w:t>
      </w:r>
    </w:p>
    <w:p w:rsidR="00224567" w:rsidRDefault="00224567">
      <w:pPr>
        <w:widowControl w:val="0"/>
      </w:pPr>
      <w:r>
        <w:tab/>
        <w:t>Agregó que la reseña efectuada prec</w:t>
      </w:r>
      <w:r>
        <w:t>e</w:t>
      </w:r>
      <w:r>
        <w:t>dentemente no la hizo para resaltar sus méritos, sino po</w:t>
      </w:r>
      <w:r>
        <w:t>r</w:t>
      </w:r>
      <w:r>
        <w:t>que muchos de ellos se asociaban a parte de las imputaci</w:t>
      </w:r>
      <w:r>
        <w:t>o</w:t>
      </w:r>
      <w:r>
        <w:t>nes existentes en su contra.</w:t>
      </w:r>
    </w:p>
    <w:p w:rsidR="00224567" w:rsidRDefault="00224567">
      <w:pPr>
        <w:widowControl w:val="0"/>
      </w:pPr>
      <w:r>
        <w:tab/>
        <w:t>Así, Ribelli expresó que se sostuvo que era posible que hubiera realizado el atentado, po</w:t>
      </w:r>
      <w:r>
        <w:t>r</w:t>
      </w:r>
      <w:r>
        <w:t>que había concurrido a capacitarse a los Estados Unidos en m</w:t>
      </w:r>
      <w:r>
        <w:t>a</w:t>
      </w:r>
      <w:r>
        <w:t>teria de antiterr</w:t>
      </w:r>
      <w:r>
        <w:t>o</w:t>
      </w:r>
      <w:r>
        <w:t>rismo.</w:t>
      </w:r>
    </w:p>
    <w:p w:rsidR="00224567" w:rsidRDefault="00224567">
      <w:pPr>
        <w:widowControl w:val="0"/>
      </w:pPr>
      <w:r>
        <w:tab/>
        <w:t>En este sentido, afirmó que era cie</w:t>
      </w:r>
      <w:r>
        <w:t>r</w:t>
      </w:r>
      <w:r>
        <w:t>to que había concurrido y jamás lo negó, sino al contrario, aportó estos elementos al juez Galeano cuando él todavía no los t</w:t>
      </w:r>
      <w:r>
        <w:t>e</w:t>
      </w:r>
      <w:r>
        <w:t>nía.</w:t>
      </w:r>
    </w:p>
    <w:p w:rsidR="00224567" w:rsidRDefault="00224567">
      <w:pPr>
        <w:widowControl w:val="0"/>
      </w:pPr>
      <w:r>
        <w:tab/>
        <w:t>Relató que para el año 1993, princ</w:t>
      </w:r>
      <w:r>
        <w:t>i</w:t>
      </w:r>
      <w:r>
        <w:t>pios de 1994, concurrió en dos ocasiones al curso sobre antiterrorismo y liberación de rehenes; evento que fue o</w:t>
      </w:r>
      <w:r>
        <w:t>r</w:t>
      </w:r>
      <w:r>
        <w:t>ganizado por la embajada de Estados Unidos, al que asi</w:t>
      </w:r>
      <w:r>
        <w:t>s</w:t>
      </w:r>
      <w:r>
        <w:t xml:space="preserve">tieron aproximadamente entre veinte y veinticinco personas de todas las policías de nuestro país, precisando que  concurrieron cinco efectivos de </w:t>
      </w:r>
      <w:smartTag w:uri="urn:schemas-microsoft-com:office:smarttags" w:element="PersonName">
        <w:smartTagPr>
          <w:attr w:name="ProductID" w:val="la Polic￭a"/>
        </w:smartTagPr>
        <w:r>
          <w:t>la Pol</w:t>
        </w:r>
        <w:r>
          <w:t>i</w:t>
        </w:r>
        <w:r>
          <w:t>cía</w:t>
        </w:r>
      </w:smartTag>
      <w:r>
        <w:t xml:space="preserve"> de </w:t>
      </w:r>
      <w:smartTag w:uri="urn:schemas-microsoft-com:office:smarttags" w:element="PersonName">
        <w:smartTagPr>
          <w:attr w:name="ProductID" w:val="la Provincia"/>
        </w:smartTagPr>
        <w:r>
          <w:t>la Provincia</w:t>
        </w:r>
      </w:smartTag>
      <w:r>
        <w:t xml:space="preserve"> de Buenos Aires en las dos ocasiones, designados a tr</w:t>
      </w:r>
      <w:r>
        <w:t>a</w:t>
      </w:r>
      <w:r>
        <w:t>vés de la jefatura a cargo del señor Klod</w:t>
      </w:r>
      <w:r>
        <w:t>c</w:t>
      </w:r>
      <w:r>
        <w:t>zyk.</w:t>
      </w:r>
    </w:p>
    <w:p w:rsidR="00224567" w:rsidRDefault="00224567">
      <w:pPr>
        <w:widowControl w:val="0"/>
      </w:pPr>
      <w:r>
        <w:tab/>
        <w:t>Señaló que algunos podrían decir que durante la jefatura del señor Klodczyk efectuó la mayor cantidad de cursos, lo cual dijo que era cierto, explica</w:t>
      </w:r>
      <w:r>
        <w:t>n</w:t>
      </w:r>
      <w:r>
        <w:t>do que se debió a que Klodczyk fue quien tuvo mayor perm</w:t>
      </w:r>
      <w:r>
        <w:t>a</w:t>
      </w:r>
      <w:r>
        <w:t>nencia en el cargo de jefe de p</w:t>
      </w:r>
      <w:r>
        <w:t>o</w:t>
      </w:r>
      <w:r>
        <w:t>licía y durante su gestión se produjo un avance en la tecnificación e in</w:t>
      </w:r>
      <w:r>
        <w:t>s</w:t>
      </w:r>
      <w:r>
        <w:t>trucción del personal policial de nuestro país, siendo que con anteri</w:t>
      </w:r>
      <w:r>
        <w:t>o</w:t>
      </w:r>
      <w:r>
        <w:t>ridad aqu</w:t>
      </w:r>
      <w:r>
        <w:t>e</w:t>
      </w:r>
      <w:r>
        <w:t>llos cursos prácticamente no existían.</w:t>
      </w:r>
    </w:p>
    <w:p w:rsidR="00224567" w:rsidRDefault="00224567">
      <w:pPr>
        <w:widowControl w:val="0"/>
      </w:pPr>
      <w:r>
        <w:tab/>
        <w:t>Por otra parte, afirmó conocer a D</w:t>
      </w:r>
      <w:r>
        <w:t>a</w:t>
      </w:r>
      <w:r>
        <w:t xml:space="preserve">niel Rago, hermano del imputado Jorge Rago, en razón de que para fines del año 1993, cuando trabajaba en </w:t>
      </w:r>
      <w:smartTag w:uri="urn:schemas-microsoft-com:office:smarttags" w:element="PersonName">
        <w:smartTagPr>
          <w:attr w:name="ProductID" w:val="la Brigada"/>
        </w:smartTagPr>
        <w:r>
          <w:t>la Brig</w:t>
        </w:r>
        <w:r>
          <w:t>a</w:t>
        </w:r>
        <w:r>
          <w:t>da</w:t>
        </w:r>
      </w:smartTag>
      <w:r>
        <w:t xml:space="preserve"> de Investigaciones de Lanús, fue convocado al primer curso que realizó en Estados Un</w:t>
      </w:r>
      <w:r>
        <w:t>i</w:t>
      </w:r>
      <w:r>
        <w:t>dos.</w:t>
      </w:r>
    </w:p>
    <w:p w:rsidR="00224567" w:rsidRDefault="00224567">
      <w:pPr>
        <w:widowControl w:val="0"/>
      </w:pPr>
      <w:r>
        <w:tab/>
        <w:t>Explicó que, dentro de la com</w:t>
      </w:r>
      <w:r>
        <w:t>i</w:t>
      </w:r>
      <w:r>
        <w:t>sión de cinco integrantes, designados por la jefatura de pol</w:t>
      </w:r>
      <w:r>
        <w:t>i</w:t>
      </w:r>
      <w:r>
        <w:t>cía, estaba Daniel Rago quien, según cr</w:t>
      </w:r>
      <w:r>
        <w:t>e</w:t>
      </w:r>
      <w:r>
        <w:t>ía, ostentaba el cargo de subcomisario, aclarando que si hubiera c</w:t>
      </w:r>
      <w:r>
        <w:t>o</w:t>
      </w:r>
      <w:r>
        <w:t>nocido a Jorge Rago en aquel momento no tendría ningún problema en expr</w:t>
      </w:r>
      <w:r>
        <w:t>e</w:t>
      </w:r>
      <w:r>
        <w:t>sarlo.</w:t>
      </w:r>
    </w:p>
    <w:p w:rsidR="00224567" w:rsidRDefault="00224567">
      <w:pPr>
        <w:widowControl w:val="0"/>
      </w:pPr>
      <w:r>
        <w:tab/>
        <w:t>Afirmó que a Jorge Rago lo con</w:t>
      </w:r>
      <w:r>
        <w:t>o</w:t>
      </w:r>
      <w:r>
        <w:t>ció en el ámbito funcional, recién en mayo del año 1996, meses antes que surgieran las ordenes de d</w:t>
      </w:r>
      <w:r>
        <w:t>e</w:t>
      </w:r>
      <w:r>
        <w:t xml:space="preserve">tención. Relató que, mientras se desempeñaba en </w:t>
      </w:r>
      <w:smartTag w:uri="urn:schemas-microsoft-com:office:smarttags" w:element="PersonName">
        <w:smartTagPr>
          <w:attr w:name="ProductID" w:val="la Divisi￳n Sustracci￳n"/>
        </w:smartTagPr>
        <w:r>
          <w:t>la División Sustracción</w:t>
        </w:r>
      </w:smartTag>
      <w:r>
        <w:t xml:space="preserve"> de A</w:t>
      </w:r>
      <w:r>
        <w:t>u</w:t>
      </w:r>
      <w:r>
        <w:t>tomotores de Vicente López, fue convocado por el juez f</w:t>
      </w:r>
      <w:r>
        <w:t>e</w:t>
      </w:r>
      <w:r>
        <w:t xml:space="preserve">deral de San Martín, Dr. Suárez Araujo, al igual que el personal de </w:t>
      </w:r>
      <w:smartTag w:uri="urn:schemas-microsoft-com:office:smarttags" w:element="PersonName">
        <w:smartTagPr>
          <w:attr w:name="ProductID" w:val="la Brigada"/>
        </w:smartTagPr>
        <w:r>
          <w:t>la Brigada</w:t>
        </w:r>
      </w:smartTag>
      <w:r>
        <w:t xml:space="preserve"> de General Sarmiento, a cargo del comisario inspector Meniscarpo y en la que trabajaba el subcomisario Jorge Rago, para investigar un hecho de s</w:t>
      </w:r>
      <w:r>
        <w:t>e</w:t>
      </w:r>
      <w:r>
        <w:t>cuestro extorsivo.</w:t>
      </w:r>
    </w:p>
    <w:p w:rsidR="00224567" w:rsidRDefault="00224567">
      <w:pPr>
        <w:widowControl w:val="0"/>
      </w:pPr>
      <w:r>
        <w:tab/>
        <w:t xml:space="preserve">Detalló que trabajaron por un lapso que no superó el mes en </w:t>
      </w:r>
      <w:smartTag w:uri="urn:schemas-microsoft-com:office:smarttags" w:element="PersonName">
        <w:smartTagPr>
          <w:attr w:name="ProductID" w:val="la Brigada"/>
        </w:smartTagPr>
        <w:r>
          <w:t>la Brigada</w:t>
        </w:r>
      </w:smartTag>
      <w:r>
        <w:t xml:space="preserve"> de Investigaciones de General San Ma</w:t>
      </w:r>
      <w:r>
        <w:t>r</w:t>
      </w:r>
      <w:r>
        <w:t>tín, a cargo del señor Guzmán, que se tomó como base para la investigación por razones de cercanía con el domicilio de la ví</w:t>
      </w:r>
      <w:r>
        <w:t>c</w:t>
      </w:r>
      <w:r>
        <w:t>tima.</w:t>
      </w:r>
    </w:p>
    <w:p w:rsidR="00224567" w:rsidRDefault="00224567">
      <w:pPr>
        <w:widowControl w:val="0"/>
      </w:pPr>
      <w:r>
        <w:tab/>
        <w:t>Expresó que el comentario ant</w:t>
      </w:r>
      <w:r>
        <w:t>e</w:t>
      </w:r>
      <w:r>
        <w:t>rior se debió a que, en una oportunidad, dura</w:t>
      </w:r>
      <w:r>
        <w:t>n</w:t>
      </w:r>
      <w:r>
        <w:t>te la instrucción de la causa el juez federal Galeano, citó al comisario in</w:t>
      </w:r>
      <w:r>
        <w:t>s</w:t>
      </w:r>
      <w:r>
        <w:t>pector Vicat, quien debía efectuar averiguaciones para c</w:t>
      </w:r>
      <w:r>
        <w:t>o</w:t>
      </w:r>
      <w:r>
        <w:t>rroborar si el imputado Rago había trabajo con él en oc</w:t>
      </w:r>
      <w:r>
        <w:t>a</w:t>
      </w:r>
      <w:r>
        <w:t>sión del secuestro extorsivo, agregando que Vicat informó que no existía ningún tipo de antecede</w:t>
      </w:r>
      <w:r>
        <w:t>n</w:t>
      </w:r>
      <w:r>
        <w:t>tes al respecto.</w:t>
      </w:r>
    </w:p>
    <w:p w:rsidR="00224567" w:rsidRDefault="00224567">
      <w:pPr>
        <w:widowControl w:val="0"/>
      </w:pPr>
      <w:r>
        <w:tab/>
        <w:t>En este punto, el imputado subr</w:t>
      </w:r>
      <w:r>
        <w:t>a</w:t>
      </w:r>
      <w:r>
        <w:t>yó que Vicat se desempeñaba como jefe del área esp</w:t>
      </w:r>
      <w:r>
        <w:t>e</w:t>
      </w:r>
      <w:r>
        <w:t>cial que creó el gobierno de la provincia para col</w:t>
      </w:r>
      <w:r>
        <w:t>a</w:t>
      </w:r>
      <w:r>
        <w:t>borar e investigar el atentado, respecto a la cual tenía sus reservas sobre su actuación, estimando que hubo varios sectores que sólo buscaron figurar o lograr beneficios de trascendencia a escala institucional o polít</w:t>
      </w:r>
      <w:r>
        <w:t>i</w:t>
      </w:r>
      <w:r>
        <w:t>ca.</w:t>
      </w:r>
    </w:p>
    <w:p w:rsidR="00224567" w:rsidRDefault="00224567">
      <w:pPr>
        <w:widowControl w:val="0"/>
      </w:pPr>
      <w:r>
        <w:tab/>
        <w:t>Añadió que la circunstancia relatada era un ejemplo de los numerosos informes irregulares em</w:t>
      </w:r>
      <w:r>
        <w:t>i</w:t>
      </w:r>
      <w:r>
        <w:t>tidos por organismos policiales o no.</w:t>
      </w:r>
    </w:p>
    <w:p w:rsidR="00224567" w:rsidRDefault="00224567">
      <w:pPr>
        <w:widowControl w:val="0"/>
      </w:pPr>
      <w:r>
        <w:tab/>
        <w:t>Para acreditar que trabajó con Rago en el secuestro extorsivo refirió que presentó en el ofrec</w:t>
      </w:r>
      <w:r>
        <w:t>i</w:t>
      </w:r>
      <w:r>
        <w:t>miento de prueba un oficio de Suárez Araujo enviado a la jefatura de policía, en donde se efectuó un recon</w:t>
      </w:r>
      <w:r>
        <w:t>o</w:t>
      </w:r>
      <w:r>
        <w:t xml:space="preserve">cimiento y felicitación por su actuación, y la del jefe de </w:t>
      </w:r>
      <w:smartTag w:uri="urn:schemas-microsoft-com:office:smarttags" w:element="PersonName">
        <w:smartTagPr>
          <w:attr w:name="ProductID" w:val="la Brigada"/>
        </w:smartTagPr>
        <w:r>
          <w:t>la Br</w:t>
        </w:r>
        <w:r>
          <w:t>i</w:t>
        </w:r>
        <w:r>
          <w:t>gada</w:t>
        </w:r>
      </w:smartTag>
      <w:r>
        <w:t xml:space="preserve"> de General Sarmiento, precisando que ello indicaba que  Rago, quien dependía en aquel momento de Meniscarpo, trabajó en esa invest</w:t>
      </w:r>
      <w:r>
        <w:t>i</w:t>
      </w:r>
      <w:r>
        <w:t>gación.</w:t>
      </w:r>
    </w:p>
    <w:p w:rsidR="00224567" w:rsidRDefault="00224567">
      <w:pPr>
        <w:widowControl w:val="0"/>
      </w:pPr>
      <w:r>
        <w:tab/>
        <w:t>Sostuvo que había muchas fechas de traslados que no quedaban claras en el expediente, dá</w:t>
      </w:r>
      <w:r>
        <w:t>n</w:t>
      </w:r>
      <w:r>
        <w:t>dole la razón al fi</w:t>
      </w:r>
      <w:r>
        <w:t>s</w:t>
      </w:r>
      <w:r>
        <w:t>cal Nisman cuando planteó la duda respecto a que parecería que había trabajado junto con Leal.</w:t>
      </w:r>
    </w:p>
    <w:p w:rsidR="00224567" w:rsidRDefault="00224567">
      <w:pPr>
        <w:widowControl w:val="0"/>
      </w:pPr>
      <w:r>
        <w:tab/>
        <w:t>Al respecto, puntualizó que tuvo que aclarar durante el juicio las fechas de traslado porque fueron utilizadas como elementos cargosos, tanto en el a</w:t>
      </w:r>
      <w:r>
        <w:t>u</w:t>
      </w:r>
      <w:r>
        <w:t>to procesamiento, como en el requerimiento y auto de el</w:t>
      </w:r>
      <w:r>
        <w:t>e</w:t>
      </w:r>
      <w:r>
        <w:t>vación a juicio, expresando que ello también ocurrió con otras situaciones, citando como ejemplo la fecha de lleg</w:t>
      </w:r>
      <w:r>
        <w:t>a</w:t>
      </w:r>
      <w:r>
        <w:t xml:space="preserve">da de los oficiales Araya y Albarracín a </w:t>
      </w:r>
      <w:smartTag w:uri="urn:schemas-microsoft-com:office:smarttags" w:element="PersonName">
        <w:smartTagPr>
          <w:attr w:name="ProductID" w:val="la Brigada"/>
        </w:smartTagPr>
        <w:r>
          <w:t>la Brigada</w:t>
        </w:r>
      </w:smartTag>
      <w:r>
        <w:t xml:space="preserve"> de L</w:t>
      </w:r>
      <w:r>
        <w:t>a</w:t>
      </w:r>
      <w:r>
        <w:t>nús, para determinar si habían estado o no en esa depe</w:t>
      </w:r>
      <w:r>
        <w:t>n</w:t>
      </w:r>
      <w:r>
        <w:t>dencia antes de los procedimie</w:t>
      </w:r>
      <w:r>
        <w:t>n</w:t>
      </w:r>
      <w:r>
        <w:t xml:space="preserve">tos de marzo del 1994. </w:t>
      </w:r>
    </w:p>
    <w:p w:rsidR="00224567" w:rsidRDefault="00224567">
      <w:pPr>
        <w:widowControl w:val="0"/>
      </w:pPr>
      <w:r>
        <w:tab/>
        <w:t>En este punto, afirmó que los nombr</w:t>
      </w:r>
      <w:r>
        <w:t>a</w:t>
      </w:r>
      <w:r>
        <w:t>dos arribaron después del procedimiento de ma</w:t>
      </w:r>
      <w:r>
        <w:t>r</w:t>
      </w:r>
      <w:r>
        <w:t>zo del 1994, pero antes del realizado el 4 de abril de ese mismo año.</w:t>
      </w:r>
    </w:p>
    <w:p w:rsidR="00224567" w:rsidRDefault="00224567">
      <w:pPr>
        <w:widowControl w:val="0"/>
      </w:pPr>
      <w:r>
        <w:tab/>
        <w:t>Posteriormente, a raíz de una pregu</w:t>
      </w:r>
      <w:r>
        <w:t>n</w:t>
      </w:r>
      <w:r>
        <w:t>ta que originó una investigación, mediante el libr</w:t>
      </w:r>
      <w:r>
        <w:t>a</w:t>
      </w:r>
      <w:r>
        <w:t>miento de exhortos del juez Galeano a Est</w:t>
      </w:r>
      <w:r>
        <w:t>a</w:t>
      </w:r>
      <w:r>
        <w:t>dos Unidos para establecer la existencia de una tarjeta de crédito a su nombre en a</w:t>
      </w:r>
      <w:r>
        <w:t>l</w:t>
      </w:r>
      <w:r>
        <w:t>guna entidad bancaria de ese país, señaló que los gastos correspo</w:t>
      </w:r>
      <w:r>
        <w:t>n</w:t>
      </w:r>
      <w:r>
        <w:t>dientes a los dos cursos que asistió en Luisiana –Baton Rouge- y en los que también participaron Daniel R</w:t>
      </w:r>
      <w:r>
        <w:t>a</w:t>
      </w:r>
      <w:r>
        <w:t>go y otros 3 funcionarios policiales, fueron solventados por la jefatura de policía a través de los expedientes c</w:t>
      </w:r>
      <w:r>
        <w:t>o</w:t>
      </w:r>
      <w:r>
        <w:t xml:space="preserve">rrespondientes de </w:t>
      </w:r>
      <w:smartTag w:uri="urn:schemas-microsoft-com:office:smarttags" w:element="PersonName">
        <w:smartTagPr>
          <w:attr w:name="ProductID" w:val="la Direcci￳n"/>
        </w:smartTagPr>
        <w:r>
          <w:t>la D</w:t>
        </w:r>
        <w:r>
          <w:t>i</w:t>
        </w:r>
        <w:r>
          <w:t>rección</w:t>
        </w:r>
      </w:smartTag>
      <w:r>
        <w:t xml:space="preserve"> de Finanzas, estimando que debían estar agregados a la ca</w:t>
      </w:r>
      <w:r>
        <w:t>u</w:t>
      </w:r>
      <w:r>
        <w:t>sa.</w:t>
      </w:r>
    </w:p>
    <w:p w:rsidR="00224567" w:rsidRDefault="00224567">
      <w:pPr>
        <w:widowControl w:val="0"/>
      </w:pPr>
      <w:r>
        <w:tab/>
        <w:t>Aclaró que, sin perjuicio de lo e</w:t>
      </w:r>
      <w:r>
        <w:t>x</w:t>
      </w:r>
      <w:r>
        <w:t>puesto anteriormente, toda vez que al momento de reserva</w:t>
      </w:r>
      <w:r>
        <w:t>r</w:t>
      </w:r>
      <w:r>
        <w:t>se los pasajes para viajar a Estados Unidos la sección contaduría no les había acreditado el pago del d</w:t>
      </w:r>
      <w:r>
        <w:t>i</w:t>
      </w:r>
      <w:r>
        <w:t>nero que correspondía para los pasajes y viáticos, concurrieron a una agencia de viajes de Capital Federal donde hicieron las reservas y compraron los pasajes a través de la tarj</w:t>
      </w:r>
      <w:r>
        <w:t>e</w:t>
      </w:r>
      <w:r>
        <w:t>ta de crédito a su nombre de la firma “Amer</w:t>
      </w:r>
      <w:r>
        <w:t>i</w:t>
      </w:r>
      <w:r>
        <w:t>can Express”, para efectuar las reservas y adquirir los pasajes con a</w:t>
      </w:r>
      <w:r>
        <w:t>n</w:t>
      </w:r>
      <w:r>
        <w:t>ticipación, precisando que, una vez que les abonó la se</w:t>
      </w:r>
      <w:r>
        <w:t>c</w:t>
      </w:r>
      <w:r>
        <w:t>ción contaduría de la jefatura de policía, cada uno pagó la parte proporcional que c</w:t>
      </w:r>
      <w:r>
        <w:t>o</w:t>
      </w:r>
      <w:r>
        <w:t>rrespondía de su pasaje.</w:t>
      </w:r>
    </w:p>
    <w:p w:rsidR="00224567" w:rsidRDefault="00224567">
      <w:pPr>
        <w:widowControl w:val="0"/>
      </w:pPr>
      <w:r>
        <w:tab/>
        <w:t>Refirió que esa misma tarjeta de cr</w:t>
      </w:r>
      <w:r>
        <w:t>é</w:t>
      </w:r>
      <w:r>
        <w:t>dito la utilizó para cubrir diferentes gastos ocasion</w:t>
      </w:r>
      <w:r>
        <w:t>a</w:t>
      </w:r>
      <w:r>
        <w:t>les en aquel país, producto de algunas visitas cuando tenían franco del curso, como así también para alquilar un vehículo entre los cinco –lo que hicieron en las dos oc</w:t>
      </w:r>
      <w:r>
        <w:t>a</w:t>
      </w:r>
      <w:r>
        <w:t>siones- y que todo esto estaba acreditado a través de los informes de “American E</w:t>
      </w:r>
      <w:r>
        <w:t>x</w:t>
      </w:r>
      <w:r>
        <w:t>press”.</w:t>
      </w:r>
    </w:p>
    <w:p w:rsidR="00224567" w:rsidRDefault="00224567">
      <w:pPr>
        <w:widowControl w:val="0"/>
      </w:pPr>
      <w:r>
        <w:tab/>
        <w:t>Consideró que hubo una mala interpr</w:t>
      </w:r>
      <w:r>
        <w:t>e</w:t>
      </w:r>
      <w:r>
        <w:t>tación de los investigadores o del juez Galeano en pe</w:t>
      </w:r>
      <w:r>
        <w:t>n</w:t>
      </w:r>
      <w:r>
        <w:t>sar ciegamente que existía una tarjeta de crédito a su nombre otorgada por un banco de Estados Unidos, cuando de los i</w:t>
      </w:r>
      <w:r>
        <w:t>n</w:t>
      </w:r>
      <w:r>
        <w:t>formes remitidos de aquel país observaron que unos pasajes de Miami a Nueva Orleáns, que era el aeropuerto más ce</w:t>
      </w:r>
      <w:r>
        <w:t>r</w:t>
      </w:r>
      <w:r>
        <w:t>cano a Louisiana, habían sido pagados a través de una ta</w:t>
      </w:r>
      <w:r>
        <w:t>r</w:t>
      </w:r>
      <w:r>
        <w:t>jeta de crédito otorgada por un banco de Estados Un</w:t>
      </w:r>
      <w:r>
        <w:t>i</w:t>
      </w:r>
      <w:r>
        <w:t>dos.</w:t>
      </w:r>
    </w:p>
    <w:p w:rsidR="00224567" w:rsidRDefault="00224567">
      <w:pPr>
        <w:widowControl w:val="0"/>
      </w:pPr>
      <w:r>
        <w:tab/>
        <w:t>Atribuyó la confusión a que se gui</w:t>
      </w:r>
      <w:r>
        <w:t>a</w:t>
      </w:r>
      <w:r>
        <w:t>ron porque ese informe venía dentro del contexto general de los pasajes que se habían adquirido a través de su tarj</w:t>
      </w:r>
      <w:r>
        <w:t>e</w:t>
      </w:r>
      <w:r>
        <w:t>ta, remarcando que de haberse efectuado un análisis pr</w:t>
      </w:r>
      <w:r>
        <w:t>o</w:t>
      </w:r>
      <w:r>
        <w:t>fundo de esos mismos informes, hubieran adve</w:t>
      </w:r>
      <w:r>
        <w:t>r</w:t>
      </w:r>
      <w:r>
        <w:t>tido que esa tarjeta de crédito no estaba a nombre s</w:t>
      </w:r>
      <w:r>
        <w:t>u</w:t>
      </w:r>
      <w:r>
        <w:t>yo, sino al de un empleado de la embajada de aquel país que era una especie de guía, mencionando que aquella persona fue designada por la embajada de Estados Unidos para recibir en Miami al contingente de policías de las provincias que viajaban desde Buenos Aires, y desde aquella ciudad trasl</w:t>
      </w:r>
      <w:r>
        <w:t>a</w:t>
      </w:r>
      <w:r>
        <w:t>darlos a través de un vuelo de Miami a Nueva Orleáns y, a posteri</w:t>
      </w:r>
      <w:r>
        <w:t>o</w:t>
      </w:r>
      <w:r>
        <w:t>ri en ómnibus hasta Baton Rouge.</w:t>
      </w:r>
    </w:p>
    <w:p w:rsidR="00224567" w:rsidRDefault="00224567">
      <w:pPr>
        <w:widowControl w:val="0"/>
      </w:pPr>
      <w:r>
        <w:tab/>
        <w:t>Con lo relatado anteriormente quiso significar que jamás tuvo una tarjeta de crédito oto</w:t>
      </w:r>
      <w:r>
        <w:t>r</w:t>
      </w:r>
      <w:r>
        <w:t>gada por un banco en el exterior, ya que las que poseyó fueron otorgadas a través de bancos en este país y estaban acr</w:t>
      </w:r>
      <w:r>
        <w:t>e</w:t>
      </w:r>
      <w:r>
        <w:t>ditadas en el expediente. Específicamente se refirió a la tarjeta “American Express”, que fue la sujeta a mayor i</w:t>
      </w:r>
      <w:r>
        <w:t>n</w:t>
      </w:r>
      <w:r>
        <w:t>vestigación porque existían varios gastos de viajes efe</w:t>
      </w:r>
      <w:r>
        <w:t>c</w:t>
      </w:r>
      <w:r>
        <w:t>tuados con aquella.</w:t>
      </w:r>
    </w:p>
    <w:p w:rsidR="00224567" w:rsidRDefault="00224567">
      <w:pPr>
        <w:widowControl w:val="0"/>
      </w:pPr>
      <w:r>
        <w:tab/>
        <w:t>Recordó que después de finalizado el segundo viaje a Estados Unidos le otorgaron permiso para permanecer una semana, razón por la cual viajó la familia de cada uno y permanecieron por espacio de cinco o seis días en territorio de ese p</w:t>
      </w:r>
      <w:r>
        <w:t>a</w:t>
      </w:r>
      <w:r>
        <w:t>ís.</w:t>
      </w:r>
    </w:p>
    <w:p w:rsidR="00224567" w:rsidRDefault="00224567">
      <w:pPr>
        <w:widowControl w:val="0"/>
      </w:pPr>
      <w:r>
        <w:tab/>
        <w:t>Aclaró esto porque dentro del grupo familiar de Daniel Rago viajó una s</w:t>
      </w:r>
      <w:r>
        <w:t>o</w:t>
      </w:r>
      <w:r>
        <w:t>brina de él, hija del imputado Jorge Rago, y si bien en aquel momento comparti</w:t>
      </w:r>
      <w:r>
        <w:t>e</w:t>
      </w:r>
      <w:r>
        <w:t>ron cuatro, cinco o seis días de viaje en el ámbito fam</w:t>
      </w:r>
      <w:r>
        <w:t>i</w:t>
      </w:r>
      <w:r>
        <w:t>liar, no conoció al procesado en esa oc</w:t>
      </w:r>
      <w:r>
        <w:t>a</w:t>
      </w:r>
      <w:r>
        <w:t>sión.</w:t>
      </w:r>
    </w:p>
    <w:p w:rsidR="00224567" w:rsidRDefault="00224567">
      <w:pPr>
        <w:widowControl w:val="0"/>
      </w:pPr>
      <w:r>
        <w:tab/>
        <w:t>Respecto a la lectura de los m</w:t>
      </w:r>
      <w:r>
        <w:t>é</w:t>
      </w:r>
      <w:r>
        <w:t>ritos, diplomas o cursos que existían, señaló que podía haber a</w:t>
      </w:r>
      <w:r>
        <w:t>l</w:t>
      </w:r>
      <w:r>
        <w:t>guna otra constancia del legajo personal que no tuvo a mano para poder incluirla, mencionando que en esas con</w:t>
      </w:r>
      <w:r>
        <w:t>s</w:t>
      </w:r>
      <w:r>
        <w:t>tancias también figuraba un viaje designado como “congreso ecológico a Egi</w:t>
      </w:r>
      <w:r>
        <w:t>p</w:t>
      </w:r>
      <w:r>
        <w:t>to y Libia”, que en un primer momento, al presentar fotocopia su pasaporte al juzgado del doctor G</w:t>
      </w:r>
      <w:r>
        <w:t>a</w:t>
      </w:r>
      <w:r>
        <w:t>leano, se dijo muy ligeramente que había estado en Libia, aclarando que si hubiera estado allí, lo habría reconocido po</w:t>
      </w:r>
      <w:r>
        <w:t>r</w:t>
      </w:r>
      <w:r>
        <w:t>que ello no constituía ningún delito.</w:t>
      </w:r>
    </w:p>
    <w:p w:rsidR="00224567" w:rsidRDefault="00224567">
      <w:pPr>
        <w:widowControl w:val="0"/>
      </w:pPr>
      <w:r>
        <w:tab/>
        <w:t>Precisó que aquél viaje fue organiz</w:t>
      </w:r>
      <w:r>
        <w:t>a</w:t>
      </w:r>
      <w:r>
        <w:t>do por intermedio del Juzgado Criminal n° 11 de Lomas de Z</w:t>
      </w:r>
      <w:r>
        <w:t>a</w:t>
      </w:r>
      <w:r>
        <w:t>mora, ya que iban a concurrir al congreso su titular, la secretaria y el prosecretario.</w:t>
      </w:r>
    </w:p>
    <w:p w:rsidR="00224567" w:rsidRDefault="00224567">
      <w:pPr>
        <w:widowControl w:val="0"/>
      </w:pPr>
      <w:r>
        <w:tab/>
        <w:t>Dijo que se le propuso integrar la c</w:t>
      </w:r>
      <w:r>
        <w:t>o</w:t>
      </w:r>
      <w:r>
        <w:t>misión, por lo que se efectuaron los pedidos de autoriz</w:t>
      </w:r>
      <w:r>
        <w:t>a</w:t>
      </w:r>
      <w:r>
        <w:t>ción a la jefatura de policía, en su caso, y a la cámara de apelaciones para el personal jud</w:t>
      </w:r>
      <w:r>
        <w:t>i</w:t>
      </w:r>
      <w:r>
        <w:t>cial.</w:t>
      </w:r>
    </w:p>
    <w:p w:rsidR="00224567" w:rsidRDefault="00224567">
      <w:pPr>
        <w:widowControl w:val="0"/>
      </w:pPr>
      <w:r>
        <w:tab/>
        <w:t>Una vez otorgados los permisos con una fecha de inicio de este evento, tomó conoc</w:t>
      </w:r>
      <w:r>
        <w:t>i</w:t>
      </w:r>
      <w:r>
        <w:t>miento a través de diferentes reuniones en el juzgado referido que se e</w:t>
      </w:r>
      <w:r>
        <w:t>s</w:t>
      </w:r>
      <w:r>
        <w:t>taba demorando la salida del viaje por algunos inconv</w:t>
      </w:r>
      <w:r>
        <w:t>e</w:t>
      </w:r>
      <w:r>
        <w:t>nientes de la parte organ</w:t>
      </w:r>
      <w:r>
        <w:t>i</w:t>
      </w:r>
      <w:r>
        <w:t>zadora. Por eso, como ya tenían otorgadas las licencias, junto con el prosecretario y la secretaria del tribunal, tomaron la dec</w:t>
      </w:r>
      <w:r>
        <w:t>i</w:t>
      </w:r>
      <w:r>
        <w:t>sión de emprender inmediatamente el viaje, lo que permitió a uno de los pr</w:t>
      </w:r>
      <w:r>
        <w:t>o</w:t>
      </w:r>
      <w:r>
        <w:t>secretarios pasar por el pueblo donde había nacido su p</w:t>
      </w:r>
      <w:r>
        <w:t>a</w:t>
      </w:r>
      <w:r>
        <w:t>dre en Italia. Luego, vía telefónica, se comunicaron a Buenos Aires para tomar con</w:t>
      </w:r>
      <w:r>
        <w:t>o</w:t>
      </w:r>
      <w:r>
        <w:t>cimiento de la fecha de inicio del curso y, de este m</w:t>
      </w:r>
      <w:r>
        <w:t>o</w:t>
      </w:r>
      <w:r>
        <w:t>do, acoplarse al congreso.</w:t>
      </w:r>
    </w:p>
    <w:p w:rsidR="00224567" w:rsidRDefault="00224567">
      <w:pPr>
        <w:widowControl w:val="0"/>
      </w:pPr>
      <w:r>
        <w:tab/>
        <w:t>Relató que viajaron de Buenos A</w:t>
      </w:r>
      <w:r>
        <w:t>i</w:t>
      </w:r>
      <w:r>
        <w:t>res a Madrid, donde permanecieron dos o tres días; de ahí se trasladaron a Sevilla y luego fueron hasta Italia. Rec</w:t>
      </w:r>
      <w:r>
        <w:t>o</w:t>
      </w:r>
      <w:r>
        <w:t>rrieron el sur de ese país, donde estaba el pueblo en el que nació el padre de este funcionario judicial y donde tomaron conocimiento que el congreso se suspe</w:t>
      </w:r>
      <w:r>
        <w:t>n</w:t>
      </w:r>
      <w:r>
        <w:t>día.</w:t>
      </w:r>
    </w:p>
    <w:p w:rsidR="00224567" w:rsidRDefault="00224567">
      <w:pPr>
        <w:widowControl w:val="0"/>
      </w:pPr>
      <w:r>
        <w:tab/>
        <w:t>De todas formas, sostuvo que igual concurrieron a Egipto para conocer las pirámides, donde estuvieron cuatro o cinco días, y desde allí tomaron el camino de regreso a Buenos Aires, pasando por Italia y E</w:t>
      </w:r>
      <w:r>
        <w:t>s</w:t>
      </w:r>
      <w:r>
        <w:t>paña.</w:t>
      </w:r>
    </w:p>
    <w:p w:rsidR="00224567" w:rsidRDefault="00224567">
      <w:pPr>
        <w:widowControl w:val="0"/>
      </w:pPr>
      <w:r>
        <w:tab/>
        <w:t>Indicó que quiso aclarar este viaje porque se había sostenido como hipótesis de investig</w:t>
      </w:r>
      <w:r>
        <w:t>a</w:t>
      </w:r>
      <w:r>
        <w:t>ción que si había concurrido a Libia -país reconocido como vi</w:t>
      </w:r>
      <w:r>
        <w:t>n</w:t>
      </w:r>
      <w:r>
        <w:t>culado algunos sectores de terrorismo internacional- era posible que hubiera tenido vinculación con elementos fu</w:t>
      </w:r>
      <w:r>
        <w:t>n</w:t>
      </w:r>
      <w:r>
        <w:t>damentalistas; circunstancia que negó rotundamente sost</w:t>
      </w:r>
      <w:r>
        <w:t>e</w:t>
      </w:r>
      <w:r>
        <w:t>niendo que de la lectura del expedie</w:t>
      </w:r>
      <w:r>
        <w:t>n</w:t>
      </w:r>
      <w:r>
        <w:t>te, las declaraciones del personal judicial a través de la investigación efe</w:t>
      </w:r>
      <w:r>
        <w:t>c</w:t>
      </w:r>
      <w:r>
        <w:t>tuada por el F.B.I. e Interpol, y mediante el informe de su pasaporte, surgía que jamás estuvo en Libia, porque no se re</w:t>
      </w:r>
      <w:r>
        <w:t>a</w:t>
      </w:r>
      <w:r>
        <w:t>lizó dicho congreso.</w:t>
      </w:r>
    </w:p>
    <w:p w:rsidR="00224567" w:rsidRDefault="00224567">
      <w:pPr>
        <w:widowControl w:val="0"/>
      </w:pPr>
      <w:r>
        <w:tab/>
        <w:t>Posteriormente hizo referencia al pr</w:t>
      </w:r>
      <w:r>
        <w:t>o</w:t>
      </w:r>
      <w:r>
        <w:t>cedimiento que originó su vinculación con esta causa, s</w:t>
      </w:r>
      <w:r>
        <w:t>e</w:t>
      </w:r>
      <w:r>
        <w:t>ñalando que había que remontarse a marzo de 1994, oport</w:t>
      </w:r>
      <w:r>
        <w:t>u</w:t>
      </w:r>
      <w:r>
        <w:t xml:space="preserve">nidad en la que era jefe de operaciones de </w:t>
      </w:r>
      <w:smartTag w:uri="urn:schemas-microsoft-com:office:smarttags" w:element="PersonName">
        <w:smartTagPr>
          <w:attr w:name="ProductID" w:val="la Brigada"/>
        </w:smartTagPr>
        <w:r>
          <w:t>la Brigada</w:t>
        </w:r>
      </w:smartTag>
      <w:r>
        <w:t xml:space="preserve"> de Lanús con asiento en Avellaneda, desempeñá</w:t>
      </w:r>
      <w:r>
        <w:t>n</w:t>
      </w:r>
      <w:r>
        <w:t>dose como jefe de la dependencia el comisario inspe</w:t>
      </w:r>
      <w:r>
        <w:t>c</w:t>
      </w:r>
      <w:r>
        <w:t>tor Negrón, mientras que el comisario Alejandro Bu</w:t>
      </w:r>
      <w:r>
        <w:t>r</w:t>
      </w:r>
      <w:r>
        <w:t>guete lo hacía como segundo jefe.</w:t>
      </w:r>
    </w:p>
    <w:p w:rsidR="00224567" w:rsidRDefault="00224567">
      <w:pPr>
        <w:widowControl w:val="0"/>
      </w:pPr>
      <w:r>
        <w:tab/>
        <w:t>Aclaró que ostentaba la jerarquía de subcomisario a pesar de haber sido compañero de curso de Alejandro Burguete ya que éste, por circunstancias de la carrera y por su mejor actuación policial, pudo ascender al grado de comisario un año antes, razón por la cual oc</w:t>
      </w:r>
      <w:r>
        <w:t>u</w:t>
      </w:r>
      <w:r>
        <w:t>paba el cargo de segundo jefe.</w:t>
      </w:r>
    </w:p>
    <w:p w:rsidR="00224567" w:rsidRDefault="00224567">
      <w:pPr>
        <w:widowControl w:val="0"/>
      </w:pPr>
      <w:r>
        <w:tab/>
        <w:t>Indicó que Ibarra trabaj</w:t>
      </w:r>
      <w:r>
        <w:t>a</w:t>
      </w:r>
      <w:r>
        <w:t>ba en el área de operaciones e inteligencia de esa depende</w:t>
      </w:r>
      <w:r>
        <w:t>n</w:t>
      </w:r>
      <w:r>
        <w:t>cia, mientras que el oficial Bacigalupo y el oficial o subcomisario Arancibia se desempeñaban en el área judicial. Además, c</w:t>
      </w:r>
      <w:r>
        <w:t>o</w:t>
      </w:r>
      <w:r>
        <w:t>mentó al 15 de marzo de 1994 los oficiales Albarracín y Araya no estaban presentes en la brigada, siendo, aprox</w:t>
      </w:r>
      <w:r>
        <w:t>i</w:t>
      </w:r>
      <w:r>
        <w:t>madamente a la semana siguie</w:t>
      </w:r>
      <w:r>
        <w:t>n</w:t>
      </w:r>
      <w:r>
        <w:t xml:space="preserve">te, cuando fueron trasladados desde </w:t>
      </w:r>
      <w:smartTag w:uri="urn:schemas-microsoft-com:office:smarttags" w:element="PersonName">
        <w:smartTagPr>
          <w:attr w:name="ProductID" w:val="la Brigada"/>
        </w:smartTagPr>
        <w:r>
          <w:t>la Brigada</w:t>
        </w:r>
      </w:smartTag>
      <w:r>
        <w:t xml:space="preserve"> de Almirante Brown.</w:t>
      </w:r>
    </w:p>
    <w:p w:rsidR="00224567" w:rsidRDefault="00224567">
      <w:pPr>
        <w:widowControl w:val="0"/>
      </w:pPr>
      <w:r>
        <w:tab/>
        <w:t>También, comentó que para la fecha c</w:t>
      </w:r>
      <w:r>
        <w:t>i</w:t>
      </w:r>
      <w:r>
        <w:t>tada, el suboficial Cruz se hallaba en situación de disp</w:t>
      </w:r>
      <w:r>
        <w:t>o</w:t>
      </w:r>
      <w:r>
        <w:t>nibilidad preventiva por un sumario originado por la ev</w:t>
      </w:r>
      <w:r>
        <w:t>a</w:t>
      </w:r>
      <w:r>
        <w:t>sión de un detenido afectado a una causa del juzgado cr</w:t>
      </w:r>
      <w:r>
        <w:t>i</w:t>
      </w:r>
      <w:r>
        <w:t xml:space="preserve">minal n° 11 de Lomas de Zamora, a cargo de </w:t>
      </w:r>
      <w:smartTag w:uri="urn:schemas-microsoft-com:office:smarttags" w:element="PersonName">
        <w:smartTagPr>
          <w:attr w:name="ProductID" w:val="la Dra.Gonz￡lez"/>
        </w:smartTagPr>
        <w:r>
          <w:t>la Dra.González</w:t>
        </w:r>
      </w:smartTag>
      <w:r>
        <w:t>, aclarando que en virtud de que aquel subof</w:t>
      </w:r>
      <w:r>
        <w:t>i</w:t>
      </w:r>
      <w:r>
        <w:t>cial vivía en la zona de Chascomús, durante los días de sem</w:t>
      </w:r>
      <w:r>
        <w:t>a</w:t>
      </w:r>
      <w:r>
        <w:t>na pernoctaba en el lugar de trabajo.</w:t>
      </w:r>
    </w:p>
    <w:p w:rsidR="00224567" w:rsidRDefault="00224567">
      <w:pPr>
        <w:widowControl w:val="0"/>
      </w:pPr>
      <w:r>
        <w:tab/>
        <w:t xml:space="preserve">En cuanto al personal que comúnmente estaba identificado como integrante de </w:t>
      </w:r>
      <w:smartTag w:uri="urn:schemas-microsoft-com:office:smarttags" w:element="PersonName">
        <w:smartTagPr>
          <w:attr w:name="ProductID" w:val="la Brigada"/>
        </w:smartTagPr>
        <w:r>
          <w:t>la Brigada</w:t>
        </w:r>
      </w:smartTag>
      <w:r>
        <w:t xml:space="preserve"> de V</w:t>
      </w:r>
      <w:r>
        <w:t>i</w:t>
      </w:r>
      <w:r>
        <w:t>cente López, es decir, los señores Rago, Leal, Qui</w:t>
      </w:r>
      <w:r>
        <w:t>n</w:t>
      </w:r>
      <w:r>
        <w:t>teros, Barrera y B</w:t>
      </w:r>
      <w:r>
        <w:t>a</w:t>
      </w:r>
      <w:r>
        <w:t>reiro, expresó que a esa fecha no los conocía y que jamás trabajaron ju</w:t>
      </w:r>
      <w:r>
        <w:t>n</w:t>
      </w:r>
      <w:r>
        <w:t>tos, entendiendo que ello había quedado claro porque no existían comunicaciones ni entr</w:t>
      </w:r>
      <w:r>
        <w:t>e</w:t>
      </w:r>
      <w:r>
        <w:t>cruzamientos telef</w:t>
      </w:r>
      <w:r>
        <w:t>ó</w:t>
      </w:r>
      <w:r>
        <w:t>nicos de uno con otros.</w:t>
      </w:r>
    </w:p>
    <w:p w:rsidR="00224567" w:rsidRDefault="00224567">
      <w:pPr>
        <w:pStyle w:val="Sangra2detindependiente"/>
        <w:widowControl w:val="0"/>
        <w:spacing w:line="600" w:lineRule="auto"/>
        <w:ind w:firstLine="0"/>
        <w:rPr>
          <w:lang w:val="es-AR"/>
        </w:rPr>
      </w:pPr>
      <w:r>
        <w:rPr>
          <w:lang w:val="es-AR"/>
        </w:rPr>
        <w:tab/>
        <w:t>Dijo haber escuchado que el fiscal Nisman le preguntó a Leal por el teléfono 222-3333, el cual pudo h</w:t>
      </w:r>
      <w:r>
        <w:rPr>
          <w:lang w:val="es-AR"/>
        </w:rPr>
        <w:t>a</w:t>
      </w:r>
      <w:r>
        <w:rPr>
          <w:lang w:val="es-AR"/>
        </w:rPr>
        <w:t xml:space="preserve">ber sido el correspondiente a </w:t>
      </w:r>
      <w:smartTag w:uri="urn:schemas-microsoft-com:office:smarttags" w:element="PersonName">
        <w:smartTagPr>
          <w:attr w:name="ProductID" w:val="la Brigada"/>
        </w:smartTagPr>
        <w:r>
          <w:rPr>
            <w:lang w:val="es-AR"/>
          </w:rPr>
          <w:t>la Brigada</w:t>
        </w:r>
      </w:smartTag>
      <w:r>
        <w:rPr>
          <w:lang w:val="es-AR"/>
        </w:rPr>
        <w:t xml:space="preserve"> de Lanús, rema</w:t>
      </w:r>
      <w:r>
        <w:rPr>
          <w:lang w:val="es-AR"/>
        </w:rPr>
        <w:t>r</w:t>
      </w:r>
      <w:r>
        <w:rPr>
          <w:lang w:val="es-AR"/>
        </w:rPr>
        <w:t>cando que el fiscal omitió decirle al imputado la f</w:t>
      </w:r>
      <w:r>
        <w:rPr>
          <w:lang w:val="es-AR"/>
        </w:rPr>
        <w:t>e</w:t>
      </w:r>
      <w:r>
        <w:rPr>
          <w:lang w:val="es-AR"/>
        </w:rPr>
        <w:t>cha en que se produjo ese llamado.</w:t>
      </w:r>
    </w:p>
    <w:p w:rsidR="00224567" w:rsidRDefault="00224567">
      <w:pPr>
        <w:pStyle w:val="Sangra2detindependiente"/>
        <w:widowControl w:val="0"/>
        <w:spacing w:line="600" w:lineRule="auto"/>
        <w:ind w:firstLine="0"/>
      </w:pPr>
      <w:r>
        <w:tab/>
        <w:t>Al respecto, Ribelli sostuvo que le interes</w:t>
      </w:r>
      <w:r>
        <w:t>a</w:t>
      </w:r>
      <w:r>
        <w:t>ría conocer la fecha de ese llamado para dar responder el interrogante del fiscal, a pesar de entender que no con</w:t>
      </w:r>
      <w:r>
        <w:t>s</w:t>
      </w:r>
      <w:r>
        <w:t>tituía ningún delito que un funcionario policial se com</w:t>
      </w:r>
      <w:r>
        <w:t>u</w:t>
      </w:r>
      <w:r>
        <w:t>nicara de una dependencia a otra.</w:t>
      </w:r>
      <w:r>
        <w:rPr>
          <w:lang w:val="es-AR"/>
        </w:rPr>
        <w:t xml:space="preserve"> Sin embargo,</w:t>
      </w:r>
      <w:r>
        <w:t xml:space="preserve"> consideró que hubiera sido bueno aclararlo porque se pensaba que t</w:t>
      </w:r>
      <w:r>
        <w:t>o</w:t>
      </w:r>
      <w:r>
        <w:t>dos los policías que se ligaran entre sí podían ser int</w:t>
      </w:r>
      <w:r>
        <w:t>e</w:t>
      </w:r>
      <w:r>
        <w:t>grantes potenciales de una asoci</w:t>
      </w:r>
      <w:r>
        <w:t>a</w:t>
      </w:r>
      <w:r>
        <w:t>ción ilícita.</w:t>
      </w:r>
    </w:p>
    <w:p w:rsidR="00224567" w:rsidRDefault="00224567">
      <w:pPr>
        <w:widowControl w:val="0"/>
      </w:pPr>
      <w:r>
        <w:tab/>
        <w:t>Manifestó que, según lo que él ente</w:t>
      </w:r>
      <w:r>
        <w:t>n</w:t>
      </w:r>
      <w:r>
        <w:t>día y lo que surgiría de la lectura del expediente, la llamada por la que preguntó el fiscal surgía de una cert</w:t>
      </w:r>
      <w:r>
        <w:t>i</w:t>
      </w:r>
      <w:r>
        <w:t xml:space="preserve">ficación realizada por </w:t>
      </w:r>
      <w:smartTag w:uri="urn:schemas-microsoft-com:office:smarttags" w:element="PersonName">
        <w:smartTagPr>
          <w:attr w:name="ProductID" w:val="la Dra. Spina"/>
        </w:smartTagPr>
        <w:r>
          <w:t>la Dra. Spina</w:t>
        </w:r>
      </w:smartTag>
      <w:r>
        <w:t xml:space="preserve">, donde decía que el celular a nombre de Leal registraba uno o dos llamados a </w:t>
      </w:r>
      <w:smartTag w:uri="urn:schemas-microsoft-com:office:smarttags" w:element="PersonName">
        <w:smartTagPr>
          <w:attr w:name="ProductID" w:val="la Brigada"/>
        </w:smartTagPr>
        <w:r>
          <w:t>la Brigada</w:t>
        </w:r>
      </w:smartTag>
      <w:r>
        <w:t xml:space="preserve"> de Lanús.</w:t>
      </w:r>
    </w:p>
    <w:p w:rsidR="00224567" w:rsidRDefault="00224567">
      <w:pPr>
        <w:widowControl w:val="0"/>
      </w:pPr>
      <w:r>
        <w:tab/>
        <w:t>Al respecto, estimó que Spina no col</w:t>
      </w:r>
      <w:r>
        <w:t>o</w:t>
      </w:r>
      <w:r>
        <w:t>có en ese informe la fecha exacta en que se realizó el llamado porque si lo hacía debía afirmar que había ocurr</w:t>
      </w:r>
      <w:r>
        <w:t>i</w:t>
      </w:r>
      <w:r>
        <w:t xml:space="preserve">do en el año 1995; año en el cual tanto él como Ibarra y Bacigalupo ya no integraban </w:t>
      </w:r>
      <w:smartTag w:uri="urn:schemas-microsoft-com:office:smarttags" w:element="PersonName">
        <w:smartTagPr>
          <w:attr w:name="ProductID" w:val="la Brigada"/>
        </w:smartTagPr>
        <w:r>
          <w:t>la Brigada</w:t>
        </w:r>
      </w:smartTag>
      <w:r>
        <w:t xml:space="preserve"> de I</w:t>
      </w:r>
      <w:r>
        <w:t>n</w:t>
      </w:r>
      <w:r>
        <w:t>vestigaciones de Lanús, sino la de Qui</w:t>
      </w:r>
      <w:r>
        <w:t>l</w:t>
      </w:r>
      <w:r>
        <w:t>mes.</w:t>
      </w:r>
    </w:p>
    <w:p w:rsidR="00224567" w:rsidRDefault="00224567">
      <w:pPr>
        <w:widowControl w:val="0"/>
      </w:pPr>
      <w:r>
        <w:tab/>
        <w:t>Independientemente de lo expue</w:t>
      </w:r>
      <w:r>
        <w:t>s</w:t>
      </w:r>
      <w:r>
        <w:t>to, el imputado dijo que desconocía el motivo por el cual pudo haber llamado Leal, si es que llamó a la br</w:t>
      </w:r>
      <w:r>
        <w:t>i</w:t>
      </w:r>
      <w:r>
        <w:t>gada.</w:t>
      </w:r>
    </w:p>
    <w:p w:rsidR="00224567" w:rsidRDefault="00224567">
      <w:pPr>
        <w:widowControl w:val="0"/>
      </w:pPr>
      <w:r>
        <w:tab/>
        <w:t>Sin pe</w:t>
      </w:r>
      <w:r>
        <w:t>r</w:t>
      </w:r>
      <w:r>
        <w:t>juicio de ello solicitó, en la ocasión que fuera posible, tener conocimiento exacto del llamado al que se refirió el Dr. Nisman para poder darle una nueva explicación.</w:t>
      </w:r>
    </w:p>
    <w:p w:rsidR="00224567" w:rsidRDefault="00224567">
      <w:pPr>
        <w:widowControl w:val="0"/>
      </w:pPr>
      <w:r>
        <w:tab/>
        <w:t>Acto seguido, Ribelli precisó que iba a referirse a  muchas circunstancias, no porque las reco</w:t>
      </w:r>
      <w:r>
        <w:t>r</w:t>
      </w:r>
      <w:r>
        <w:t>dara por haberlas vivido, sino porque a raíz del sumario administrativo iniciado a mediados de 1995 se fue elab</w:t>
      </w:r>
      <w:r>
        <w:t>o</w:t>
      </w:r>
      <w:r>
        <w:t>rando un criterio para dar una explicación razonable de cómo se  desarr</w:t>
      </w:r>
      <w:r>
        <w:t>o</w:t>
      </w:r>
      <w:r>
        <w:t>llaron los hechos.</w:t>
      </w:r>
    </w:p>
    <w:p w:rsidR="00224567" w:rsidRDefault="00224567">
      <w:pPr>
        <w:widowControl w:val="0"/>
      </w:pPr>
      <w:r>
        <w:tab/>
        <w:t xml:space="preserve">Relató que, para el 15 de marzo de 1994 en la oficina judicial de </w:t>
      </w:r>
      <w:smartTag w:uri="urn:schemas-microsoft-com:office:smarttags" w:element="PersonName">
        <w:smartTagPr>
          <w:attr w:name="ProductID" w:val="la Brigada"/>
        </w:smartTagPr>
        <w:r>
          <w:t>la Brigada</w:t>
        </w:r>
      </w:smartTag>
      <w:r>
        <w:t xml:space="preserve"> de Investigaci</w:t>
      </w:r>
      <w:r>
        <w:t>o</w:t>
      </w:r>
      <w:r>
        <w:t xml:space="preserve">nes de Lanús se instruía la causa 5681 del juzgado de </w:t>
      </w:r>
      <w:smartTag w:uri="urn:schemas-microsoft-com:office:smarttags" w:element="PersonName">
        <w:smartTagPr>
          <w:attr w:name="ProductID" w:val="la Dra. Allaza"/>
        </w:smartTagPr>
        <w:r>
          <w:t>la Dra. Allaza</w:t>
        </w:r>
      </w:smartTag>
      <w:r>
        <w:t xml:space="preserve"> de Iturburu de Quilmes. </w:t>
      </w:r>
    </w:p>
    <w:p w:rsidR="00224567" w:rsidRDefault="00224567">
      <w:pPr>
        <w:widowControl w:val="0"/>
      </w:pPr>
      <w:r>
        <w:tab/>
        <w:t>Comentó que, en el marco de esa inve</w:t>
      </w:r>
      <w:r>
        <w:t>s</w:t>
      </w:r>
      <w:r>
        <w:t>tigación el subcomisario Huici cumplía funciones en la brigada, destacando que estaba a cargo de un grupo oper</w:t>
      </w:r>
      <w:r>
        <w:t>a</w:t>
      </w:r>
      <w:r>
        <w:t>tivo y efectuaba diligencias respecto a la investigación de un homicidio en la zona de Varela, en ese contexto d</w:t>
      </w:r>
      <w:r>
        <w:t>e</w:t>
      </w:r>
      <w:r>
        <w:t>tuvo a dos personas, de cuyo interrogatorio surgió la vi</w:t>
      </w:r>
      <w:r>
        <w:t>n</w:t>
      </w:r>
      <w:r>
        <w:t>culación de un sujeto apodado “enano” y de los lugares que fr</w:t>
      </w:r>
      <w:r>
        <w:t>e</w:t>
      </w:r>
      <w:r>
        <w:t>cuentaba.</w:t>
      </w:r>
    </w:p>
    <w:p w:rsidR="00224567" w:rsidRDefault="00224567">
      <w:pPr>
        <w:widowControl w:val="0"/>
      </w:pPr>
      <w:r>
        <w:tab/>
        <w:t>En este punto, Ribelli aclaró que de lo expuesto tuvo conocimiento posteriormente, por la le</w:t>
      </w:r>
      <w:r>
        <w:t>c</w:t>
      </w:r>
      <w:r>
        <w:t>tura de toda la causa y según lo volcado por el subcomis</w:t>
      </w:r>
      <w:r>
        <w:t>a</w:t>
      </w:r>
      <w:r>
        <w:t>rio Huici en una declaración ante la instrucción en el e</w:t>
      </w:r>
      <w:r>
        <w:t>x</w:t>
      </w:r>
      <w:r>
        <w:t>pediente aludido.</w:t>
      </w:r>
    </w:p>
    <w:p w:rsidR="00224567" w:rsidRDefault="00224567">
      <w:pPr>
        <w:widowControl w:val="0"/>
      </w:pPr>
      <w:r>
        <w:tab/>
        <w:t>Continuó relatando que, en esa causa, el instructor, el comisario Burguete, comisionó al subc</w:t>
      </w:r>
      <w:r>
        <w:t>o</w:t>
      </w:r>
      <w:r>
        <w:t>misario Ibarra para efectuar las diligencias pert</w:t>
      </w:r>
      <w:r>
        <w:t>i</w:t>
      </w:r>
      <w:r>
        <w:t>nentes. Así, el día 15 de marzo de 1994 Ibarra, acomp</w:t>
      </w:r>
      <w:r>
        <w:t>a</w:t>
      </w:r>
      <w:r>
        <w:t>ñado de los suboficiales Casas, Toledo y Cruz, encontrándose éste ú</w:t>
      </w:r>
      <w:r>
        <w:t>l</w:t>
      </w:r>
      <w:r>
        <w:t>timo en disponibilidad preventiva, fueron a la zona no</w:t>
      </w:r>
      <w:r>
        <w:t>r</w:t>
      </w:r>
      <w:r>
        <w:t>te y en momentos en que se hallaban sobre la avenida Maipú, frente a un bar, intentaron detener al sujeto ap</w:t>
      </w:r>
      <w:r>
        <w:t>o</w:t>
      </w:r>
      <w:r>
        <w:t>dado “el Enano”, quien se desplazaba a bordo de un automóvil R</w:t>
      </w:r>
      <w:r>
        <w:t>e</w:t>
      </w:r>
      <w:r>
        <w:t>nault 18; sin embargo, éste eludió el accionar policial, chocó a otro vehículo y escapó del l</w:t>
      </w:r>
      <w:r>
        <w:t>u</w:t>
      </w:r>
      <w:r>
        <w:t>gar.</w:t>
      </w:r>
    </w:p>
    <w:p w:rsidR="00224567" w:rsidRDefault="00224567">
      <w:pPr>
        <w:widowControl w:val="0"/>
      </w:pPr>
      <w:r>
        <w:tab/>
        <w:t>Refirió que tomó conocimiento del i</w:t>
      </w:r>
      <w:r>
        <w:t>n</w:t>
      </w:r>
      <w:r>
        <w:t>cidente porque Ibarra labró un acta en el lugar de los h</w:t>
      </w:r>
      <w:r>
        <w:t>e</w:t>
      </w:r>
      <w:r>
        <w:t>chos identificando al sujeto del taxi que había sido ch</w:t>
      </w:r>
      <w:r>
        <w:t>o</w:t>
      </w:r>
      <w:r>
        <w:t>cado por el automóvil que huyó.</w:t>
      </w:r>
    </w:p>
    <w:p w:rsidR="00224567" w:rsidRDefault="00224567">
      <w:pPr>
        <w:widowControl w:val="0"/>
      </w:pPr>
      <w:r>
        <w:tab/>
        <w:t>Afirmó que en la oficina judicial de la br</w:t>
      </w:r>
      <w:r>
        <w:t>i</w:t>
      </w:r>
      <w:r>
        <w:t>gada también se confeccionó un informe a través del médico de policía para establecer las lesiones sufridas por el suboficial Casas, quien había sido arrastrado por el vehículo al tratar de detener al “Enano” y que todo ello fue volcado a la causa penal referida.</w:t>
      </w:r>
    </w:p>
    <w:p w:rsidR="00224567" w:rsidRDefault="00224567">
      <w:pPr>
        <w:widowControl w:val="0"/>
      </w:pPr>
      <w:r>
        <w:tab/>
        <w:t>Señaló que era cierto -como lo sost</w:t>
      </w:r>
      <w:r>
        <w:t>u</w:t>
      </w:r>
      <w:r>
        <w:t>viera el Dr. Galeano y los fiscales- que en el acta me</w:t>
      </w:r>
      <w:r>
        <w:t>n</w:t>
      </w:r>
      <w:r>
        <w:t>cionada no figuraba el suboficial Cruz, que estaba en di</w:t>
      </w:r>
      <w:r>
        <w:t>s</w:t>
      </w:r>
      <w:r>
        <w:t>ponibilidad preventiva, remarcando que la instrucción co</w:t>
      </w:r>
      <w:r>
        <w:t>n</w:t>
      </w:r>
      <w:r>
        <w:t>sideró ilícito el accionar de Cruz porque entendió que el estar en disponibilidad preventiva no podía cumplir la o</w:t>
      </w:r>
      <w:r>
        <w:t>r</w:t>
      </w:r>
      <w:r>
        <w:t xml:space="preserve">den de un superior, en este caso Ibarra, quien le pidió que lo llevara con el vehículo; ello a pesar de que Cruz no intervino en el procedimiento ya que permaneció a </w:t>
      </w:r>
      <w:smartTag w:uri="urn:schemas-microsoft-com:office:smarttags" w:element="metricconverter">
        <w:smartTagPr>
          <w:attr w:name="ProductID" w:val="100 metros"/>
        </w:smartTagPr>
        <w:r>
          <w:t>100 metros</w:t>
        </w:r>
      </w:smartTag>
      <w:r>
        <w:t xml:space="preserve"> con su veh</w:t>
      </w:r>
      <w:r>
        <w:t>í</w:t>
      </w:r>
      <w:r>
        <w:t>culo, motivo por el cual no figuró en el acta.</w:t>
      </w:r>
    </w:p>
    <w:p w:rsidR="00224567" w:rsidRDefault="00224567">
      <w:pPr>
        <w:widowControl w:val="0"/>
      </w:pPr>
      <w:r>
        <w:tab/>
        <w:t>Comentó que tal omisión no le llamó la atención porque, desde sus inicios en la policía y en m</w:t>
      </w:r>
      <w:r>
        <w:t>u</w:t>
      </w:r>
      <w:r>
        <w:t>chas charlas con los magistrados de los lugares donde tr</w:t>
      </w:r>
      <w:r>
        <w:t>a</w:t>
      </w:r>
      <w:r>
        <w:t>bajaron, siempre les aconsej</w:t>
      </w:r>
      <w:r>
        <w:t>a</w:t>
      </w:r>
      <w:r>
        <w:t>ron que volcaran fielmente en los papeles lo vivido, y que si una persona no estuvo pr</w:t>
      </w:r>
      <w:r>
        <w:t>e</w:t>
      </w:r>
      <w:r>
        <w:t>sente físicamente no debía figurar en el acta, ya que de lo contrario incurrirían en una falsedad de instrumento públ</w:t>
      </w:r>
      <w:r>
        <w:t>i</w:t>
      </w:r>
      <w:r>
        <w:t>co.</w:t>
      </w:r>
    </w:p>
    <w:p w:rsidR="00224567" w:rsidRDefault="00224567">
      <w:pPr>
        <w:widowControl w:val="0"/>
      </w:pPr>
      <w:r>
        <w:tab/>
        <w:t>Entendió que el caso de Cruz parecía todo lo contrario, ya que por no figurar en el acta en cuestión, se interpretó que se había cometido una fa</w:t>
      </w:r>
      <w:r>
        <w:t>l</w:t>
      </w:r>
      <w:r>
        <w:t>sedad de instrumento público.</w:t>
      </w:r>
    </w:p>
    <w:p w:rsidR="00224567" w:rsidRDefault="00224567">
      <w:pPr>
        <w:widowControl w:val="0"/>
      </w:pPr>
      <w:r>
        <w:tab/>
        <w:t>En este punto, Ribelli recalcó que si bien tendría que limitarse a hablar sobre su persona y no sobre el resto del personal pol</w:t>
      </w:r>
      <w:r>
        <w:t>i</w:t>
      </w:r>
      <w:r>
        <w:t>cial, consideraba que como la imputación hacia él era tan amplia y venía e</w:t>
      </w:r>
      <w:r>
        <w:t>n</w:t>
      </w:r>
      <w:r>
        <w:t>cadenada a las imputaciones de los demás policías, la situación de ellos era la que realmente debía ser puesta de relieve y aclarada en esta ocasión.</w:t>
      </w:r>
    </w:p>
    <w:p w:rsidR="00224567" w:rsidRDefault="00224567">
      <w:pPr>
        <w:widowControl w:val="0"/>
      </w:pPr>
      <w:r>
        <w:tab/>
        <w:t>Para exponer sobre la situación de Cruz, efectuó un análisis de la ley del personal de la p</w:t>
      </w:r>
      <w:r>
        <w:t>o</w:t>
      </w:r>
      <w:r>
        <w:t>licía bonaerense (decreto ley 9550), particularmente, de los artículos 14 y 15. El primero detallaba los deberes del personal del agrupamiento comando y el segundo regul</w:t>
      </w:r>
      <w:r>
        <w:t>a</w:t>
      </w:r>
      <w:r>
        <w:t>ba sus derechos, mientras que en el artículo 86 se trataba el tema de la disponibilidad pr</w:t>
      </w:r>
      <w:r>
        <w:t>e</w:t>
      </w:r>
      <w:r>
        <w:t>ventiva.</w:t>
      </w:r>
    </w:p>
    <w:p w:rsidR="00224567" w:rsidRDefault="00224567">
      <w:pPr>
        <w:widowControl w:val="0"/>
      </w:pPr>
      <w:r>
        <w:tab/>
        <w:t>Expuso que esta última norma d</w:t>
      </w:r>
      <w:r>
        <w:t>e</w:t>
      </w:r>
      <w:r>
        <w:t>cía que mientras durara la disponibilidad preventiva el agente quedaba relevado del cumplimiento de los deberes establ</w:t>
      </w:r>
      <w:r>
        <w:t>e</w:t>
      </w:r>
      <w:r>
        <w:t>cidos en los incs. a, b, c, d, f, g y l del art. 14 y c</w:t>
      </w:r>
      <w:r>
        <w:t>o</w:t>
      </w:r>
      <w:r>
        <w:t>rrelativamente quedaba en suspenso el ejercicio de los d</w:t>
      </w:r>
      <w:r>
        <w:t>e</w:t>
      </w:r>
      <w:r>
        <w:t>rechos enumer</w:t>
      </w:r>
      <w:r>
        <w:t>a</w:t>
      </w:r>
      <w:r>
        <w:t>dos en los incs. a, c, d, e, f, g, h, i, n, ñ y q del art. 15.</w:t>
      </w:r>
    </w:p>
    <w:p w:rsidR="00224567" w:rsidRDefault="00224567">
      <w:pPr>
        <w:widowControl w:val="0"/>
      </w:pPr>
      <w:r>
        <w:tab/>
        <w:t>Manifestó que si el juez de instru</w:t>
      </w:r>
      <w:r>
        <w:t>c</w:t>
      </w:r>
      <w:r>
        <w:t>ción o los fiscales hubieran efectuado un análisis profu</w:t>
      </w:r>
      <w:r>
        <w:t>n</w:t>
      </w:r>
      <w:r>
        <w:t>do de e</w:t>
      </w:r>
      <w:r>
        <w:t>s</w:t>
      </w:r>
      <w:r>
        <w:t>ta ley de personal, que estaba agregada a la causa desde 1996, hubieran advertido que un funcionario en di</w:t>
      </w:r>
      <w:r>
        <w:t>s</w:t>
      </w:r>
      <w:r>
        <w:t>ponibilidad preventiva no perdía su estado pol</w:t>
      </w:r>
      <w:r>
        <w:t>i</w:t>
      </w:r>
      <w:r>
        <w:t>cial, sino tan sólo de algunos derechos y se lo eximía de algunas obligaciones o deberes, dentro de los cuales estaba el uso del uniforme e insignia, pero no se lo eximía del “deber del funcionario de someterse al régimen disciplinario pr</w:t>
      </w:r>
      <w:r>
        <w:t>e</w:t>
      </w:r>
      <w:r>
        <w:t>visto en la presente ley y su reglamentación” (art. 14, inc. e) y tampoco del deber establecido inciso “h” que, entre otras cosas, aludía “desempeñar cargos, fu</w:t>
      </w:r>
      <w:r>
        <w:t>n</w:t>
      </w:r>
      <w:r>
        <w:t>ciones y comisiones de servicio ordenados por autoridad compete</w:t>
      </w:r>
      <w:r>
        <w:t>n</w:t>
      </w:r>
      <w:r>
        <w:t>te”.</w:t>
      </w:r>
    </w:p>
    <w:p w:rsidR="00224567" w:rsidRDefault="00224567">
      <w:pPr>
        <w:widowControl w:val="0"/>
      </w:pPr>
      <w:r>
        <w:tab/>
        <w:t>En este caso, consideró que Cruz no hizo ni más ni menos que cumplir con una comisión de se</w:t>
      </w:r>
      <w:r>
        <w:t>r</w:t>
      </w:r>
      <w:r>
        <w:t>vicios ordenada por una autoridad competente -el subcom</w:t>
      </w:r>
      <w:r>
        <w:t>i</w:t>
      </w:r>
      <w:r>
        <w:t>sario Ibarra- al ordenarle o pedirle -que era lo mismo, porque venía desde un superior- que lo traslad</w:t>
      </w:r>
      <w:r>
        <w:t>a</w:t>
      </w:r>
      <w:r>
        <w:t>ra hasta la zona norte para hacer esas tareas de inteligencia o te</w:t>
      </w:r>
      <w:r>
        <w:t>n</w:t>
      </w:r>
      <w:r>
        <w:t>dientes a lograr la detención del s</w:t>
      </w:r>
      <w:r>
        <w:t>u</w:t>
      </w:r>
      <w:r>
        <w:t>jeto buscado.</w:t>
      </w:r>
    </w:p>
    <w:p w:rsidR="00224567" w:rsidRDefault="00224567">
      <w:pPr>
        <w:widowControl w:val="0"/>
      </w:pPr>
      <w:r>
        <w:tab/>
        <w:t>Concluyó que una mala o parcial inte</w:t>
      </w:r>
      <w:r>
        <w:t>r</w:t>
      </w:r>
      <w:r>
        <w:t>pretación de los reglamentos conducía a situaciones como las que debía soportar Cruz, quien llevaba más de cinco años de detención por un accionar ilegal del que no exi</w:t>
      </w:r>
      <w:r>
        <w:t>s</w:t>
      </w:r>
      <w:r>
        <w:t>tían eleme</w:t>
      </w:r>
      <w:r>
        <w:t>n</w:t>
      </w:r>
      <w:r>
        <w:t>tos concretos.</w:t>
      </w:r>
    </w:p>
    <w:p w:rsidR="00224567" w:rsidRDefault="00224567">
      <w:pPr>
        <w:widowControl w:val="0"/>
      </w:pPr>
      <w:r>
        <w:tab/>
        <w:t>Continuó relatando Ribelli que de</w:t>
      </w:r>
      <w:r>
        <w:t>s</w:t>
      </w:r>
      <w:r>
        <w:t>pués del 15 de marzo de 1994 el subcomisario Ibarra siguió re</w:t>
      </w:r>
      <w:r>
        <w:t>a</w:t>
      </w:r>
      <w:r>
        <w:t>lizando tareas de inteligencia -con su conocimiento como jefe de operaciones- y logró el día 4 de abril de ese mi</w:t>
      </w:r>
      <w:r>
        <w:t>s</w:t>
      </w:r>
      <w:r>
        <w:t>mo año en la localidad de Tortuguitas la detención de quien fuera apodado “Enano” y la de su acompañante, la s</w:t>
      </w:r>
      <w:r>
        <w:t>e</w:t>
      </w:r>
      <w:r>
        <w:t>ñora Petrucci.</w:t>
      </w:r>
    </w:p>
    <w:p w:rsidR="00224567" w:rsidRDefault="00224567">
      <w:pPr>
        <w:widowControl w:val="0"/>
      </w:pPr>
      <w:r>
        <w:tab/>
        <w:t>Precisó que al momento de su dete</w:t>
      </w:r>
      <w:r>
        <w:t>n</w:t>
      </w:r>
      <w:r>
        <w:t xml:space="preserve">ción el sujeto portaba un documento de identidad a nombre de Carlos Alberto Teccedin y fue trasladado a </w:t>
      </w:r>
      <w:smartTag w:uri="urn:schemas-microsoft-com:office:smarttags" w:element="PersonName">
        <w:smartTagPr>
          <w:attr w:name="ProductID" w:val="la Brigada"/>
        </w:smartTagPr>
        <w:r>
          <w:t>la Brigada</w:t>
        </w:r>
      </w:smartTag>
      <w:r>
        <w:t xml:space="preserve"> de Investigaciones de Lanús, donde ingresó para ser afe</w:t>
      </w:r>
      <w:r>
        <w:t>c</w:t>
      </w:r>
      <w:r>
        <w:t>tado a la causa de Quilmes que se estaba instruyendo y efe</w:t>
      </w:r>
      <w:r>
        <w:t>c</w:t>
      </w:r>
      <w:r>
        <w:t>tuarse la averiguación de antecedentes bajo el artíc</w:t>
      </w:r>
      <w:r>
        <w:t>u</w:t>
      </w:r>
      <w:r>
        <w:t>lo 13 de la ley policial.</w:t>
      </w:r>
    </w:p>
    <w:p w:rsidR="00224567" w:rsidRDefault="00224567">
      <w:pPr>
        <w:widowControl w:val="0"/>
      </w:pPr>
      <w:r>
        <w:tab/>
        <w:t>Con relación a esta situación señaló que era posible que hubiera visto el ingreso del det</w:t>
      </w:r>
      <w:r>
        <w:t>e</w:t>
      </w:r>
      <w:r>
        <w:t>nido, como pudo haber visto a cualquier d</w:t>
      </w:r>
      <w:r>
        <w:t>e</w:t>
      </w:r>
      <w:r>
        <w:t>tenido que ingresara a una dependencia policial, destacando que no eran ciertas las palabras que puso este señor cuando efectuó una imp</w:t>
      </w:r>
      <w:r>
        <w:t>u</w:t>
      </w:r>
      <w:r>
        <w:t>tación en su contra al sostener que le dijo “poné lo que tengas que poner y te vas”, agregando que durante el deb</w:t>
      </w:r>
      <w:r>
        <w:t>a</w:t>
      </w:r>
      <w:r>
        <w:t>te iba a probar los motivos por los cuales se produjeron aquellas imputaciones.</w:t>
      </w:r>
    </w:p>
    <w:p w:rsidR="00224567" w:rsidRDefault="00224567">
      <w:pPr>
        <w:widowControl w:val="0"/>
      </w:pPr>
      <w:r>
        <w:tab/>
        <w:t>En cuanto al registro de la d</w:t>
      </w:r>
      <w:r>
        <w:t>e</w:t>
      </w:r>
      <w:r>
        <w:t xml:space="preserve">tención del señor Teccedin en </w:t>
      </w:r>
      <w:smartTag w:uri="urn:schemas-microsoft-com:office:smarttags" w:element="PersonName">
        <w:smartTagPr>
          <w:attr w:name="ProductID" w:val="la Brigada"/>
        </w:smartTagPr>
        <w:r>
          <w:t>la Brigada</w:t>
        </w:r>
      </w:smartTag>
      <w:r>
        <w:t xml:space="preserve"> de Lanús, Ribelli menci</w:t>
      </w:r>
      <w:r>
        <w:t>o</w:t>
      </w:r>
      <w:r>
        <w:t>nó que surgieron sospechas de que se utilizara un docume</w:t>
      </w:r>
      <w:r>
        <w:t>n</w:t>
      </w:r>
      <w:r>
        <w:t>to falso para eludir los pedidos de captura que tenía.</w:t>
      </w:r>
    </w:p>
    <w:p w:rsidR="00224567" w:rsidRDefault="00224567">
      <w:pPr>
        <w:widowControl w:val="0"/>
      </w:pPr>
      <w:r>
        <w:tab/>
        <w:t>Al respecto, Ribelli negó dicha ci</w:t>
      </w:r>
      <w:r>
        <w:t>r</w:t>
      </w:r>
      <w:r>
        <w:t>cunstancia, explicando que a toda persona se la ingr</w:t>
      </w:r>
      <w:r>
        <w:t>e</w:t>
      </w:r>
      <w:r>
        <w:t>saba con el nombre que figuraba en su documento de identidad, explicando que luego tomaron conocimiento, a través del estudio de la causa, que para julio del año 1994, cuando Teccedin fue deten</w:t>
      </w:r>
      <w:r>
        <w:t>i</w:t>
      </w:r>
      <w:r>
        <w:t>do, portaba todavía ese documento y que lo utilizaba para diferentes operaciones comerciales, t</w:t>
      </w:r>
      <w:r>
        <w:t>a</w:t>
      </w:r>
      <w:r>
        <w:t>les como la co</w:t>
      </w:r>
      <w:r>
        <w:t>m</w:t>
      </w:r>
      <w:r>
        <w:t>pra y verificaciones de vehículos.</w:t>
      </w:r>
    </w:p>
    <w:p w:rsidR="00224567" w:rsidRDefault="00224567">
      <w:pPr>
        <w:widowControl w:val="0"/>
      </w:pPr>
      <w:r>
        <w:tab/>
        <w:t xml:space="preserve">Indicó que en </w:t>
      </w:r>
      <w:smartTag w:uri="urn:schemas-microsoft-com:office:smarttags" w:element="PersonName">
        <w:smartTagPr>
          <w:attr w:name="ProductID" w:val="la Brigada"/>
        </w:smartTagPr>
        <w:r>
          <w:t>la Brigada</w:t>
        </w:r>
      </w:smartTag>
      <w:r>
        <w:t xml:space="preserve"> de Lanús se hizo la averiguación de antecedentes de Teccedin para su correcta identificación, de forma independiente al info</w:t>
      </w:r>
      <w:r>
        <w:t>r</w:t>
      </w:r>
      <w:r>
        <w:t>mado a la jueza de la causa de Quilmes, quien había ord</w:t>
      </w:r>
      <w:r>
        <w:t>e</w:t>
      </w:r>
      <w:r>
        <w:t>nado la identificación de Teccedin en la ca</w:t>
      </w:r>
      <w:r>
        <w:t>u</w:t>
      </w:r>
      <w:r>
        <w:t>sa.</w:t>
      </w:r>
    </w:p>
    <w:p w:rsidR="00224567" w:rsidRDefault="00224567">
      <w:pPr>
        <w:widowControl w:val="0"/>
      </w:pPr>
      <w:r>
        <w:t xml:space="preserve"> </w:t>
      </w:r>
      <w:r>
        <w:tab/>
        <w:t>Asimismo, Ribelli negó que tuviera asidero lo dicho por el imputado Burguete, en cuanto le llamaba la atención que no se hubiera agregado la copia de las actuaciones de averiguación de antecedentes a la ca</w:t>
      </w:r>
      <w:r>
        <w:t>u</w:t>
      </w:r>
      <w:r>
        <w:t>sa. Ello, toda vez que en provincia recibieron d</w:t>
      </w:r>
      <w:r>
        <w:t>i</w:t>
      </w:r>
      <w:r>
        <w:t>rectivas expresas de todos los tribunales en cuanto a que las a</w:t>
      </w:r>
      <w:r>
        <w:t>c</w:t>
      </w:r>
      <w:r>
        <w:t>tuaciones de averiguación de antecedentes j</w:t>
      </w:r>
      <w:r>
        <w:t>a</w:t>
      </w:r>
      <w:r>
        <w:t>más podían ir agregadas a una causa judicial, pero sí debía dejarse constancia en la causa judicial de que habían exi</w:t>
      </w:r>
      <w:r>
        <w:t>s</w:t>
      </w:r>
      <w:r>
        <w:t>tido.</w:t>
      </w:r>
    </w:p>
    <w:p w:rsidR="00224567" w:rsidRDefault="00224567">
      <w:pPr>
        <w:widowControl w:val="0"/>
      </w:pPr>
      <w:r>
        <w:tab/>
        <w:t>Afirmó que aquél fue el proced</w:t>
      </w:r>
      <w:r>
        <w:t>i</w:t>
      </w:r>
      <w:r>
        <w:t>miento realizado por la oficina de judiciales en esta causa, ya que hizo constar que paralelamente a la identific</w:t>
      </w:r>
      <w:r>
        <w:t>a</w:t>
      </w:r>
      <w:r>
        <w:t>ción del señor Teccedin en la causa de Quilmes se labraron actu</w:t>
      </w:r>
      <w:r>
        <w:t>a</w:t>
      </w:r>
      <w:r>
        <w:t>ciones por averiguación de a</w:t>
      </w:r>
      <w:r>
        <w:t>n</w:t>
      </w:r>
      <w:r>
        <w:t>tecedentes, entendiendo que, tal vez, en el año 1996 las sospechas existentes tenían que ser fortalecidas por dichos de imputados, personal p</w:t>
      </w:r>
      <w:r>
        <w:t>o</w:t>
      </w:r>
      <w:r>
        <w:t>licial o quien fuera, porque sino se diluían.</w:t>
      </w:r>
    </w:p>
    <w:p w:rsidR="00224567" w:rsidRDefault="00224567">
      <w:pPr>
        <w:widowControl w:val="0"/>
      </w:pPr>
      <w:r>
        <w:tab/>
        <w:t>Para terminar su exposición ace</w:t>
      </w:r>
      <w:r>
        <w:t>r</w:t>
      </w:r>
      <w:r>
        <w:t>ca de lo ocurrido el día 4 de abril de 1994, man</w:t>
      </w:r>
      <w:r>
        <w:t>i</w:t>
      </w:r>
      <w:r>
        <w:t>festó saber que Teccedin estuvo detenido durante 24 horas, recup</w:t>
      </w:r>
      <w:r>
        <w:t>e</w:t>
      </w:r>
      <w:r>
        <w:t>rando su libertad al día siguiente, momento desde el cual jamás t</w:t>
      </w:r>
      <w:r>
        <w:t>u</w:t>
      </w:r>
      <w:r>
        <w:t>vo contacto personal, telefónico ni a través de interm</w:t>
      </w:r>
      <w:r>
        <w:t>e</w:t>
      </w:r>
      <w:r>
        <w:t>diarios con el no</w:t>
      </w:r>
      <w:r>
        <w:t>m</w:t>
      </w:r>
      <w:r>
        <w:t>brado.</w:t>
      </w:r>
    </w:p>
    <w:p w:rsidR="00224567" w:rsidRDefault="00224567">
      <w:pPr>
        <w:widowControl w:val="0"/>
      </w:pPr>
      <w:r>
        <w:tab/>
        <w:t>Afirmó que el juez Galeano sostuvo erróneamente en el a</w:t>
      </w:r>
      <w:r>
        <w:t>u</w:t>
      </w:r>
      <w:r>
        <w:t>to de procesamiento de julio de 1996 como en el de elevación a juicio, que exi</w:t>
      </w:r>
      <w:r>
        <w:t>s</w:t>
      </w:r>
      <w:r>
        <w:t>tía una llamada del 28 de mayo de 1994 desde un celular que estaba a su nombre, al teléfono que correspondería a la casa de T</w:t>
      </w:r>
      <w:r>
        <w:t>e</w:t>
      </w:r>
      <w:r>
        <w:t>lleldín.</w:t>
      </w:r>
    </w:p>
    <w:p w:rsidR="00224567" w:rsidRDefault="00224567">
      <w:pPr>
        <w:widowControl w:val="0"/>
      </w:pPr>
      <w:r>
        <w:tab/>
        <w:t>Luego, manifestó que a mediados de 1995 se inició en la jefatura de policía un sumario adm</w:t>
      </w:r>
      <w:r>
        <w:t>i</w:t>
      </w:r>
      <w:r>
        <w:t>nistrativo con motivo de trascendidos periodísticos, ind</w:t>
      </w:r>
      <w:r>
        <w:t>i</w:t>
      </w:r>
      <w:r>
        <w:t xml:space="preserve">cando que el diario “Página </w:t>
      </w:r>
      <w:smartTag w:uri="urn:schemas-microsoft-com:office:smarttags" w:element="metricconverter">
        <w:smartTagPr>
          <w:attr w:name="ProductID" w:val="12”"/>
        </w:smartTagPr>
        <w:r>
          <w:t>12”</w:t>
        </w:r>
      </w:smartTag>
      <w:r>
        <w:t xml:space="preserve"> publicó que Telleldín h</w:t>
      </w:r>
      <w:r>
        <w:t>a</w:t>
      </w:r>
      <w:r>
        <w:t>bía estado detenido en las Brigadas de Vicente López y L</w:t>
      </w:r>
      <w:r>
        <w:t>a</w:t>
      </w:r>
      <w:r>
        <w:t>nús, y que había co</w:t>
      </w:r>
      <w:r>
        <w:t>i</w:t>
      </w:r>
      <w:r>
        <w:t>meado a los policías para recuperar su libe</w:t>
      </w:r>
      <w:r>
        <w:t>r</w:t>
      </w:r>
      <w:r>
        <w:t>tad.</w:t>
      </w:r>
    </w:p>
    <w:p w:rsidR="00224567" w:rsidRDefault="00224567">
      <w:pPr>
        <w:widowControl w:val="0"/>
      </w:pPr>
      <w:r>
        <w:tab/>
        <w:t>Explicó que, a raíz de ello, la jef</w:t>
      </w:r>
      <w:r>
        <w:t>a</w:t>
      </w:r>
      <w:r>
        <w:t>tura de policía realizó -con buen criterio- un sumario a</w:t>
      </w:r>
      <w:r>
        <w:t>d</w:t>
      </w:r>
      <w:r>
        <w:t>ministrativo, pero -con mal criterio- en lugar de r</w:t>
      </w:r>
      <w:r>
        <w:t>e</w:t>
      </w:r>
      <w:r>
        <w:t>mitir el original del sumario al juez de la jurisdicción del l</w:t>
      </w:r>
      <w:r>
        <w:t>u</w:t>
      </w:r>
      <w:r>
        <w:t>gar correspondiente, se lo envió al juez Galeano, aclara</w:t>
      </w:r>
      <w:r>
        <w:t>n</w:t>
      </w:r>
      <w:r>
        <w:t>do que no sabía el motivo de ello o si se debió a alguna indicación extraof</w:t>
      </w:r>
      <w:r>
        <w:t>i</w:t>
      </w:r>
      <w:r>
        <w:t>cial.</w:t>
      </w:r>
    </w:p>
    <w:p w:rsidR="00224567" w:rsidRDefault="00224567">
      <w:pPr>
        <w:widowControl w:val="0"/>
      </w:pPr>
      <w:r>
        <w:tab/>
        <w:t>Dijo que aquel sumario admini</w:t>
      </w:r>
      <w:r>
        <w:t>s</w:t>
      </w:r>
      <w:r>
        <w:t xml:space="preserve">trativo se instruyó en </w:t>
      </w:r>
      <w:smartTag w:uri="urn:schemas-microsoft-com:office:smarttags" w:element="PersonName">
        <w:smartTagPr>
          <w:attr w:name="ProductID" w:val="la Divisi￳n Sumarios"/>
        </w:smartTagPr>
        <w:r>
          <w:t>la División Sumarios</w:t>
        </w:r>
      </w:smartTag>
      <w:r>
        <w:t xml:space="preserve"> Admini</w:t>
      </w:r>
      <w:r>
        <w:t>s</w:t>
      </w:r>
      <w:r>
        <w:t xml:space="preserve">trativos de </w:t>
      </w:r>
      <w:smartTag w:uri="urn:schemas-microsoft-com:office:smarttags" w:element="PersonName">
        <w:smartTagPr>
          <w:attr w:name="ProductID" w:val="la Polic￭a Bonaerense"/>
        </w:smartTagPr>
        <w:r>
          <w:t>la Policía Bonaerense</w:t>
        </w:r>
      </w:smartTag>
      <w:r>
        <w:t xml:space="preserve"> y comenzó a ser denominado como la ca</w:t>
      </w:r>
      <w:r>
        <w:t>u</w:t>
      </w:r>
      <w:r>
        <w:t>sa A.M.I.A. o el sum</w:t>
      </w:r>
      <w:r>
        <w:t>a</w:t>
      </w:r>
      <w:r>
        <w:t>rio o la causa “Baci”.</w:t>
      </w:r>
    </w:p>
    <w:p w:rsidR="00224567" w:rsidRDefault="00224567">
      <w:pPr>
        <w:widowControl w:val="0"/>
      </w:pPr>
      <w:r>
        <w:tab/>
        <w:t>Señaló que tanto se habló de la ca</w:t>
      </w:r>
      <w:r>
        <w:t>u</w:t>
      </w:r>
      <w:r>
        <w:t>sa “Baci” y la causa A.M.I.A. en su entorno y en el de los policías, que lo han reflotado o revivido durante cinco años y lo mantuvieron en los requerimientos de elev</w:t>
      </w:r>
      <w:r>
        <w:t>a</w:t>
      </w:r>
      <w:r>
        <w:t>ción a juicio.</w:t>
      </w:r>
    </w:p>
    <w:p w:rsidR="00224567" w:rsidRDefault="00224567">
      <w:pPr>
        <w:widowControl w:val="0"/>
      </w:pPr>
      <w:r>
        <w:tab/>
        <w:t>Dijo que durante su carrera policial siempre se pronunció en el sentido de que un policía tenía el derecho a que se presumiera su inocencia hasta que se demostrara lo contr</w:t>
      </w:r>
      <w:r>
        <w:t>a</w:t>
      </w:r>
      <w:r>
        <w:t>rio en una condena firme que recayera sobre su pe</w:t>
      </w:r>
      <w:r>
        <w:t>r</w:t>
      </w:r>
      <w:r>
        <w:t>sona.</w:t>
      </w:r>
    </w:p>
    <w:p w:rsidR="00224567" w:rsidRDefault="00224567">
      <w:pPr>
        <w:widowControl w:val="0"/>
      </w:pPr>
      <w:r>
        <w:tab/>
        <w:t>Manifestó que siempre se preocupó por la situación familiar y laboral del personal que estuvo bajo sus órdenes.</w:t>
      </w:r>
    </w:p>
    <w:p w:rsidR="00224567" w:rsidRDefault="00224567">
      <w:pPr>
        <w:widowControl w:val="0"/>
      </w:pPr>
      <w:r>
        <w:tab/>
        <w:t xml:space="preserve">Relató que en el año 1995, en virtud de que el oficial Bacigalupo trabajaba en </w:t>
      </w:r>
      <w:smartTag w:uri="urn:schemas-microsoft-com:office:smarttags" w:element="PersonName">
        <w:smartTagPr>
          <w:attr w:name="ProductID" w:val="la Brigada"/>
        </w:smartTagPr>
        <w:r>
          <w:t>la Brigada</w:t>
        </w:r>
      </w:smartTag>
      <w:r>
        <w:t xml:space="preserve"> de Quilmes, y él era el segundo jefe, tomó conocimiento del inicio de ese sumario.</w:t>
      </w:r>
    </w:p>
    <w:p w:rsidR="00224567" w:rsidRDefault="00224567">
      <w:pPr>
        <w:widowControl w:val="0"/>
      </w:pPr>
      <w:r>
        <w:tab/>
        <w:t>Explicó que se cuestionó la circun</w:t>
      </w:r>
      <w:r>
        <w:t>s</w:t>
      </w:r>
      <w:r>
        <w:t xml:space="preserve">tancia de que se habían omitido el fichaje de Teccedin, cuando había estado detenido en </w:t>
      </w:r>
      <w:smartTag w:uri="urn:schemas-microsoft-com:office:smarttags" w:element="PersonName">
        <w:smartTagPr>
          <w:attr w:name="ProductID" w:val="la Brigada"/>
        </w:smartTagPr>
        <w:r>
          <w:t>la Brig</w:t>
        </w:r>
        <w:r>
          <w:t>a</w:t>
        </w:r>
        <w:r>
          <w:t>da</w:t>
        </w:r>
      </w:smartTag>
      <w:r>
        <w:t xml:space="preserve"> de Lanús, para facilitarle la libertad y para evitar que le surgieran capturas.</w:t>
      </w:r>
    </w:p>
    <w:p w:rsidR="00224567" w:rsidRDefault="00224567">
      <w:pPr>
        <w:widowControl w:val="0"/>
      </w:pPr>
      <w:r>
        <w:tab/>
        <w:t>En este punto, manifestó que cr</w:t>
      </w:r>
      <w:r>
        <w:t>e</w:t>
      </w:r>
      <w:r>
        <w:t>ía que el comisario Burguete, que trabajaba en otra depe</w:t>
      </w:r>
      <w:r>
        <w:t>n</w:t>
      </w:r>
      <w:r>
        <w:t>dencia, también estaba imputado en ese sumario admini</w:t>
      </w:r>
      <w:r>
        <w:t>s</w:t>
      </w:r>
      <w:r>
        <w:t>trativo, que era copia de la causa que se estaba instruyendo con inte</w:t>
      </w:r>
      <w:r>
        <w:t>r</w:t>
      </w:r>
      <w:r>
        <w:t>ve</w:t>
      </w:r>
      <w:r>
        <w:t>n</w:t>
      </w:r>
      <w:r>
        <w:t>ción del juez Galeano.</w:t>
      </w:r>
    </w:p>
    <w:p w:rsidR="00224567" w:rsidRDefault="00224567">
      <w:pPr>
        <w:widowControl w:val="0"/>
      </w:pPr>
      <w:r>
        <w:tab/>
        <w:t>Expresó que en ese sumario la instru</w:t>
      </w:r>
      <w:r>
        <w:t>c</w:t>
      </w:r>
      <w:r>
        <w:t>ción sostuvo, más precisamente el comisario Bretschneider, que no habían ingresado las fichas de Teccedin en la div</w:t>
      </w:r>
      <w:r>
        <w:t>i</w:t>
      </w:r>
      <w:r>
        <w:t>sión antecedentes el 6 de abril de 1994, cuando ingr</w:t>
      </w:r>
      <w:r>
        <w:t>e</w:t>
      </w:r>
      <w:r>
        <w:t>saron las de Sandra Petrucci.</w:t>
      </w:r>
    </w:p>
    <w:p w:rsidR="00224567" w:rsidRDefault="00224567">
      <w:pPr>
        <w:widowControl w:val="0"/>
      </w:pPr>
      <w:r>
        <w:tab/>
        <w:t>Para demostrar que había sido f</w:t>
      </w:r>
      <w:r>
        <w:t>i</w:t>
      </w:r>
      <w:r>
        <w:t>chado y que habían sido enviadas las fichas, Ribelli indicó que Bacigalupo, sin saber si Burguete también, aportaron rec</w:t>
      </w:r>
      <w:r>
        <w:t>i</w:t>
      </w:r>
      <w:r>
        <w:t>bos de correspondencias y demás constancias al sumario a</w:t>
      </w:r>
      <w:r>
        <w:t>d</w:t>
      </w:r>
      <w:r>
        <w:t>ministr</w:t>
      </w:r>
      <w:r>
        <w:t>a</w:t>
      </w:r>
      <w:r>
        <w:t>tivo.</w:t>
      </w:r>
    </w:p>
    <w:p w:rsidR="00224567" w:rsidRDefault="00224567">
      <w:pPr>
        <w:widowControl w:val="0"/>
      </w:pPr>
      <w:r>
        <w:tab/>
        <w:t>Manifestó que en la imputación –tanto la efectuada por los fiscales, como en el auto de elev</w:t>
      </w:r>
      <w:r>
        <w:t>a</w:t>
      </w:r>
      <w:r>
        <w:t>ción a juicio- se enfatizó que si bien de</w:t>
      </w:r>
      <w:r>
        <w:t>s</w:t>
      </w:r>
      <w:r>
        <w:t>pués quedó claro que las fichas ingresaron a la jefatura, fueron enviadas con posterioridad a que recuperaran la libe</w:t>
      </w:r>
      <w:r>
        <w:t>r</w:t>
      </w:r>
      <w:r>
        <w:t>tad Teccedin y Sandra Petrucci, en forma adrede p</w:t>
      </w:r>
      <w:r>
        <w:t>a</w:t>
      </w:r>
      <w:r>
        <w:t>ra que no le surgieran las capturas, cuando cotejaran las huellas dact</w:t>
      </w:r>
      <w:r>
        <w:t>i</w:t>
      </w:r>
      <w:r>
        <w:t>lares.</w:t>
      </w:r>
    </w:p>
    <w:p w:rsidR="00224567" w:rsidRDefault="00224567">
      <w:pPr>
        <w:widowControl w:val="0"/>
      </w:pPr>
      <w:r>
        <w:tab/>
        <w:t>Aclaró que se citaba esta causa como causa “Baci” o causa “A.M.I.A.” porque el más perjud</w:t>
      </w:r>
      <w:r>
        <w:t>i</w:t>
      </w:r>
      <w:r>
        <w:t>cado administrativamente era el oficial Bac</w:t>
      </w:r>
      <w:r>
        <w:t>i</w:t>
      </w:r>
      <w:r>
        <w:t xml:space="preserve">galupo. </w:t>
      </w:r>
    </w:p>
    <w:p w:rsidR="00224567" w:rsidRDefault="00224567">
      <w:pPr>
        <w:widowControl w:val="0"/>
      </w:pPr>
      <w:r>
        <w:tab/>
        <w:t>Refirió que cuando se inició el sum</w:t>
      </w:r>
      <w:r>
        <w:t>a</w:t>
      </w:r>
      <w:r>
        <w:t>rio, en 1995 ó 1996, Galeano sostuvo que eso no era cierto basándose en un informe producido por el comisario inspe</w:t>
      </w:r>
      <w:r>
        <w:t>c</w:t>
      </w:r>
      <w:r>
        <w:t>tor Vicat, a quien se le había encomendado la realiz</w:t>
      </w:r>
      <w:r>
        <w:t>a</w:t>
      </w:r>
      <w:r>
        <w:t>ción de un relevamiento sobre la situación funcional y de pos</w:t>
      </w:r>
      <w:r>
        <w:t>i</w:t>
      </w:r>
      <w:r>
        <w:t>bles ascensos de todos los afectados en e</w:t>
      </w:r>
      <w:r>
        <w:t>s</w:t>
      </w:r>
      <w:r>
        <w:t>ta causa.</w:t>
      </w:r>
    </w:p>
    <w:p w:rsidR="00224567" w:rsidRDefault="00224567">
      <w:pPr>
        <w:widowControl w:val="0"/>
      </w:pPr>
      <w:r>
        <w:tab/>
        <w:t>Dijo que el juez de grado, en la el</w:t>
      </w:r>
      <w:r>
        <w:t>e</w:t>
      </w:r>
      <w:r>
        <w:t>vación a juicio, en forma errónea sostuvo -basándose en el informe de fs. 43.953/43.956- que no surgía del i</w:t>
      </w:r>
      <w:r>
        <w:t>n</w:t>
      </w:r>
      <w:r>
        <w:t>forme de Vicat que Bacigalupo era el más afectado administrativ</w:t>
      </w:r>
      <w:r>
        <w:t>a</w:t>
      </w:r>
      <w:r>
        <w:t>mente y que Ribelli no se ref</w:t>
      </w:r>
      <w:r>
        <w:t>i</w:t>
      </w:r>
      <w:r>
        <w:t>rió luego al tema.</w:t>
      </w:r>
    </w:p>
    <w:p w:rsidR="00224567" w:rsidRDefault="00224567">
      <w:pPr>
        <w:widowControl w:val="0"/>
      </w:pPr>
      <w:r>
        <w:tab/>
        <w:t>En este punto, Ribelli señaló que no volvió a referirse al tema, porque consideró que Gale</w:t>
      </w:r>
      <w:r>
        <w:t>a</w:t>
      </w:r>
      <w:r>
        <w:t>no o los fiscales que intervinieron en primera insta</w:t>
      </w:r>
      <w:r>
        <w:t>n</w:t>
      </w:r>
      <w:r>
        <w:t>cia –Mullen o Barbaccia- tenían la capacidad e inteligencia s</w:t>
      </w:r>
      <w:r>
        <w:t>u</w:t>
      </w:r>
      <w:r>
        <w:t>ficientes para advertir que ese informe era totalmente exacto, y que si lo analizaban con respecto a los años 1995 y 1996, surgía que B</w:t>
      </w:r>
      <w:r>
        <w:t>a</w:t>
      </w:r>
      <w:r>
        <w:t>cigalupo era el más perjudicado porque no pudo ascender al grado inmediato sup</w:t>
      </w:r>
      <w:r>
        <w:t>e</w:t>
      </w:r>
      <w:r>
        <w:t>rior, esto es, de subcomisario. Ello, ya que con la jerarquía de of</w:t>
      </w:r>
      <w:r>
        <w:t>i</w:t>
      </w:r>
      <w:r>
        <w:t>cial principal que en esa época ostentaba Bacigalupo, n</w:t>
      </w:r>
      <w:r>
        <w:t>e</w:t>
      </w:r>
      <w:r>
        <w:t>cesitaba una antigüedad de cuatro años en el cargo para poder asce</w:t>
      </w:r>
      <w:r>
        <w:t>n</w:t>
      </w:r>
      <w:r>
        <w:t>der.</w:t>
      </w:r>
    </w:p>
    <w:p w:rsidR="00224567" w:rsidRDefault="00224567">
      <w:pPr>
        <w:widowControl w:val="0"/>
      </w:pPr>
      <w:r>
        <w:tab/>
        <w:t>Ribelli manifestó que, según ese i</w:t>
      </w:r>
      <w:r>
        <w:t>n</w:t>
      </w:r>
      <w:r>
        <w:t>forme, Bacigalupo, el 1º de enero de 1991 había asce</w:t>
      </w:r>
      <w:r>
        <w:t>n</w:t>
      </w:r>
      <w:r>
        <w:t>dido a of</w:t>
      </w:r>
      <w:r>
        <w:t>i</w:t>
      </w:r>
      <w:r>
        <w:t>cial principal, razón por la cual, al 1º de enero de 1995 estaba en condiciones de ser subcomisario. El 1º de enero de 1995 no poseía sumario y, evidentemente, no a</w:t>
      </w:r>
      <w:r>
        <w:t>l</w:t>
      </w:r>
      <w:r>
        <w:t>canzó el grado de subcomisario porque no existió en ese año el cupo suficiente como para que el orden del escal</w:t>
      </w:r>
      <w:r>
        <w:t>a</w:t>
      </w:r>
      <w:r>
        <w:t>fonamiento le permitiera ascender al grado antes indic</w:t>
      </w:r>
      <w:r>
        <w:t>a</w:t>
      </w:r>
      <w:r>
        <w:t>do.</w:t>
      </w:r>
    </w:p>
    <w:p w:rsidR="00224567" w:rsidRDefault="00224567">
      <w:pPr>
        <w:widowControl w:val="0"/>
      </w:pPr>
      <w:r>
        <w:tab/>
        <w:t>Aclaró que cuando afirmó que el más afectado era Bacigalupo lo dijo en función del sumario a</w:t>
      </w:r>
      <w:r>
        <w:t>d</w:t>
      </w:r>
      <w:r>
        <w:t>ministrativo, en el que fueron indagados el nombrado y Burguete.</w:t>
      </w:r>
    </w:p>
    <w:p w:rsidR="00224567" w:rsidRDefault="00224567">
      <w:pPr>
        <w:widowControl w:val="0"/>
      </w:pPr>
      <w:r>
        <w:tab/>
        <w:t>Precisó que Burguete había sido prom</w:t>
      </w:r>
      <w:r>
        <w:t>o</w:t>
      </w:r>
      <w:r>
        <w:t>vido a comisario el 1º de enero de 1994, razón por la cual recién en el año 1997 iba a estar en condiciones de asce</w:t>
      </w:r>
      <w:r>
        <w:t>n</w:t>
      </w:r>
      <w:r>
        <w:t>der al grado inmediato superior, esto es, el de comisario inspe</w:t>
      </w:r>
      <w:r>
        <w:t>c</w:t>
      </w:r>
      <w:r>
        <w:t>tor.</w:t>
      </w:r>
    </w:p>
    <w:p w:rsidR="00224567" w:rsidRDefault="00224567">
      <w:pPr>
        <w:widowControl w:val="0"/>
      </w:pPr>
      <w:r>
        <w:tab/>
        <w:t>De este modo, Ribelli explicó que por ese motivo llegó a tomarse con más preocupación el no</w:t>
      </w:r>
      <w:r>
        <w:t>m</w:t>
      </w:r>
      <w:r>
        <w:t>bre de “Baci”, como diminutivo de Bacigalupo, porque su pre</w:t>
      </w:r>
      <w:r>
        <w:t>o</w:t>
      </w:r>
      <w:r>
        <w:t>cupación como jefe era ver realmente por qué lo seguían suspendiendo o perjudicando en el ascenso si estaba acl</w:t>
      </w:r>
      <w:r>
        <w:t>a</w:t>
      </w:r>
      <w:r>
        <w:t>rada la situación en el sumario administrat</w:t>
      </w:r>
      <w:r>
        <w:t>i</w:t>
      </w:r>
      <w:r>
        <w:t>vo.</w:t>
      </w:r>
    </w:p>
    <w:p w:rsidR="00224567" w:rsidRDefault="00224567">
      <w:pPr>
        <w:widowControl w:val="0"/>
      </w:pPr>
      <w:r>
        <w:tab/>
        <w:t>Agregó que esto no sólo ocurrió hasta fines de 1995, sino hasta julio de 1996, ya que a p</w:t>
      </w:r>
      <w:r>
        <w:t>e</w:t>
      </w:r>
      <w:r>
        <w:t>sar de haber pasado más de 1 año, no le cerraban el sumario adm</w:t>
      </w:r>
      <w:r>
        <w:t>i</w:t>
      </w:r>
      <w:r>
        <w:t>ni</w:t>
      </w:r>
      <w:r>
        <w:t>s</w:t>
      </w:r>
      <w:r>
        <w:t>trativo.</w:t>
      </w:r>
    </w:p>
    <w:p w:rsidR="00224567" w:rsidRDefault="00224567">
      <w:pPr>
        <w:widowControl w:val="0"/>
      </w:pPr>
      <w:r>
        <w:tab/>
        <w:t>Subrayó que si un jefe de un funcion</w:t>
      </w:r>
      <w:r>
        <w:t>a</w:t>
      </w:r>
      <w:r>
        <w:t>rio policial no se preocupaba por la situación un emple</w:t>
      </w:r>
      <w:r>
        <w:t>a</w:t>
      </w:r>
      <w:r>
        <w:t xml:space="preserve">do, no estaría cumpliendo con su función, remarcando que si bien se ocupó personalmente, en </w:t>
      </w:r>
      <w:smartTag w:uri="urn:schemas-microsoft-com:office:smarttags" w:element="PersonName">
        <w:smartTagPr>
          <w:attr w:name="ProductID" w:val="la Direcci￳n"/>
        </w:smartTagPr>
        <w:r>
          <w:t>la Dirección</w:t>
        </w:r>
      </w:smartTag>
      <w:r>
        <w:t xml:space="preserve"> de Sum</w:t>
      </w:r>
      <w:r>
        <w:t>a</w:t>
      </w:r>
      <w:r>
        <w:t xml:space="preserve">rios Administrativos de </w:t>
      </w:r>
      <w:smartTag w:uri="urn:schemas-microsoft-com:office:smarttags" w:element="PersonName">
        <w:smartTagPr>
          <w:attr w:name="ProductID" w:val="la Polic￭a Bonaerense"/>
        </w:smartTagPr>
        <w:r>
          <w:t>la Policía Bonaerense</w:t>
        </w:r>
      </w:smartTag>
      <w:r>
        <w:t xml:space="preserve"> nunca le dieron una respuesta coh</w:t>
      </w:r>
      <w:r>
        <w:t>e</w:t>
      </w:r>
      <w:r>
        <w:t>rente.</w:t>
      </w:r>
    </w:p>
    <w:p w:rsidR="00224567" w:rsidRDefault="00224567">
      <w:pPr>
        <w:widowControl w:val="0"/>
      </w:pPr>
      <w:r>
        <w:tab/>
        <w:t>Luego, el encausado hizo refere</w:t>
      </w:r>
      <w:r>
        <w:t>n</w:t>
      </w:r>
      <w:r>
        <w:t>cia a las fs. 92, 93 y 95 del libro de guardia de investigaci</w:t>
      </w:r>
      <w:r>
        <w:t>o</w:t>
      </w:r>
      <w:r>
        <w:t>nes y, específicame</w:t>
      </w:r>
      <w:r>
        <w:t>n</w:t>
      </w:r>
      <w:r>
        <w:t xml:space="preserve">te exhibió la fs. 95, de la que surgía que el día 6 de abril de </w:t>
      </w:r>
      <w:smartTag w:uri="urn:schemas-microsoft-com:office:smarttags" w:element="metricconverter">
        <w:smartTagPr>
          <w:attr w:name="ProductID" w:val="1994, a"/>
        </w:smartTagPr>
        <w:r>
          <w:t>1994, a</w:t>
        </w:r>
      </w:smartTag>
      <w:r>
        <w:t xml:space="preserve"> las 9.30 salió el c</w:t>
      </w:r>
      <w:r>
        <w:t>o</w:t>
      </w:r>
      <w:r>
        <w:t xml:space="preserve">rreo a </w:t>
      </w:r>
      <w:smartTag w:uri="urn:schemas-microsoft-com:office:smarttags" w:element="PersonName">
        <w:smartTagPr>
          <w:attr w:name="ProductID" w:val="La Plata"/>
        </w:smartTagPr>
        <w:r>
          <w:t>La Plata</w:t>
        </w:r>
      </w:smartTag>
      <w:r>
        <w:t xml:space="preserve"> -sargento Luis Filiponi-, con la nota nº 102, y más adelante decía “ficha de Petrucci, Sandra Marisa, y Teccedin, Ca</w:t>
      </w:r>
      <w:r>
        <w:t>r</w:t>
      </w:r>
      <w:r>
        <w:t>los Alberto”.</w:t>
      </w:r>
    </w:p>
    <w:p w:rsidR="00224567" w:rsidRDefault="00224567">
      <w:pPr>
        <w:widowControl w:val="0"/>
      </w:pPr>
      <w:r>
        <w:tab/>
        <w:t xml:space="preserve">Posteriormente, citó las fs. </w:t>
      </w:r>
      <w:smartTag w:uri="urn:schemas-microsoft-com:office:smarttags" w:element="metricconverter">
        <w:smartTagPr>
          <w:attr w:name="ProductID" w:val="125 a"/>
        </w:smartTagPr>
        <w:r>
          <w:t>125 a</w:t>
        </w:r>
      </w:smartTag>
      <w:r>
        <w:t xml:space="preserve"> 133 del libro de guardia, y exhibió la fs. 129, donde se h</w:t>
      </w:r>
      <w:r>
        <w:t>a</w:t>
      </w:r>
      <w:r>
        <w:t>llaba la consta</w:t>
      </w:r>
      <w:r>
        <w:t>n</w:t>
      </w:r>
      <w:r>
        <w:t>cia del 12 de abril de 1994.</w:t>
      </w:r>
    </w:p>
    <w:p w:rsidR="00224567" w:rsidRDefault="00224567">
      <w:pPr>
        <w:widowControl w:val="0"/>
      </w:pPr>
      <w:r>
        <w:tab/>
        <w:t>Señaló que tenía que hacer ref</w:t>
      </w:r>
      <w:r>
        <w:t>e</w:t>
      </w:r>
      <w:r>
        <w:t>rencia a estas dos constancias del libro de guardia, a pesar de que no era su función controlar esas constancias de ingr</w:t>
      </w:r>
      <w:r>
        <w:t>e</w:t>
      </w:r>
      <w:r>
        <w:t>sos o salidas de fichas, porque la imputación fue tan g</w:t>
      </w:r>
      <w:r>
        <w:t>e</w:t>
      </w:r>
      <w:r>
        <w:t>neralizada respecto a todos los policías que e</w:t>
      </w:r>
      <w:r>
        <w:t>s</w:t>
      </w:r>
      <w:r>
        <w:t>taban ahí, que tenía que aclarar punto por punto para demostrar por qué se seguían sosteniendo algunos temas que estaban pe</w:t>
      </w:r>
      <w:r>
        <w:t>r</w:t>
      </w:r>
      <w:r>
        <w:t>fectamente acl</w:t>
      </w:r>
      <w:r>
        <w:t>a</w:t>
      </w:r>
      <w:r>
        <w:t>rados.</w:t>
      </w:r>
    </w:p>
    <w:p w:rsidR="00224567" w:rsidRDefault="00224567">
      <w:pPr>
        <w:widowControl w:val="0"/>
      </w:pPr>
      <w:r>
        <w:tab/>
        <w:t>En este sentido, dijo que era cierto que las fichas de Petrucci y Teccedin sali</w:t>
      </w:r>
      <w:r>
        <w:t>e</w:t>
      </w:r>
      <w:r>
        <w:t>ron el día 6 de abril de 1994 y que para esa fecha no estaban detenidos; no obstante, consideró que era totalmente erróneo el an</w:t>
      </w:r>
      <w:r>
        <w:t>á</w:t>
      </w:r>
      <w:r>
        <w:t>lisis que hizo la fiscalía o juez de grado, con respecto a que las fichas pudieron haber salido p</w:t>
      </w:r>
      <w:r>
        <w:t>a</w:t>
      </w:r>
      <w:r>
        <w:t>ra ocultar algo.</w:t>
      </w:r>
    </w:p>
    <w:p w:rsidR="00224567" w:rsidRDefault="00224567">
      <w:pPr>
        <w:widowControl w:val="0"/>
      </w:pPr>
      <w:r>
        <w:tab/>
        <w:t>Agregó que cualquier persona que t</w:t>
      </w:r>
      <w:r>
        <w:t>u</w:t>
      </w:r>
      <w:r>
        <w:t>viera conocimientos del funcionamiento de las depende</w:t>
      </w:r>
      <w:r>
        <w:t>n</w:t>
      </w:r>
      <w:r>
        <w:t xml:space="preserve">cias de </w:t>
      </w:r>
      <w:smartTag w:uri="urn:schemas-microsoft-com:office:smarttags" w:element="PersonName">
        <w:smartTagPr>
          <w:attr w:name="ProductID" w:val="la Polic￭a Bonaerense"/>
        </w:smartTagPr>
        <w:r>
          <w:t>la Policía Bonaerense</w:t>
        </w:r>
      </w:smartTag>
      <w:r>
        <w:t>, y más específ</w:t>
      </w:r>
      <w:r>
        <w:t>i</w:t>
      </w:r>
      <w:r>
        <w:t>camente de lo que eran actuaciones de averiguación de antecedentes, f</w:t>
      </w:r>
      <w:r>
        <w:t>i</w:t>
      </w:r>
      <w:r>
        <w:t>chaje y remisión de antecedentes, sabría que el adelanto sobre la existencia de capt</w:t>
      </w:r>
      <w:r>
        <w:t>u</w:t>
      </w:r>
      <w:r>
        <w:t>ras de una persona se efectuaba por vía telefónica a una oficina que dependía de la jefatura de policía.</w:t>
      </w:r>
    </w:p>
    <w:p w:rsidR="00224567" w:rsidRDefault="00224567">
      <w:pPr>
        <w:widowControl w:val="0"/>
      </w:pPr>
      <w:r>
        <w:tab/>
        <w:t>Refirió que este llamado, según las constancias de la causa, existió y contestaron que Tecc</w:t>
      </w:r>
      <w:r>
        <w:t>e</w:t>
      </w:r>
      <w:r>
        <w:t>din no tenía antecedentes.</w:t>
      </w:r>
    </w:p>
    <w:p w:rsidR="00224567" w:rsidRDefault="00224567">
      <w:pPr>
        <w:widowControl w:val="0"/>
      </w:pPr>
      <w:r>
        <w:tab/>
        <w:t>Ribelli señaló en la hoja exhibida, correspondiente al 12 de abril de 1994, el asiento que d</w:t>
      </w:r>
      <w:r>
        <w:t>e</w:t>
      </w:r>
      <w:r>
        <w:t>cía que el correo local -sargento pr</w:t>
      </w:r>
      <w:r>
        <w:t>i</w:t>
      </w:r>
      <w:r>
        <w:t>mero Delgado- regresó a las 11.30 de ese día con el correo electrónico nº 40605229.</w:t>
      </w:r>
    </w:p>
    <w:p w:rsidR="00224567" w:rsidRDefault="00224567">
      <w:pPr>
        <w:widowControl w:val="0"/>
      </w:pPr>
      <w:r>
        <w:tab/>
        <w:t>Aclaró que un correo electrónico era una comunicación por intermedio de las comput</w:t>
      </w:r>
      <w:r>
        <w:t>a</w:t>
      </w:r>
      <w:r>
        <w:t>doras de la policía, que efectuaba la dirección o división antecede</w:t>
      </w:r>
      <w:r>
        <w:t>n</w:t>
      </w:r>
      <w:r>
        <w:t>tes de la jefatura de policía a la unidad regional de L</w:t>
      </w:r>
      <w:r>
        <w:t>a</w:t>
      </w:r>
      <w:r>
        <w:t>nús, que era la más cercana con este tipo de equipamie</w:t>
      </w:r>
      <w:r>
        <w:t>n</w:t>
      </w:r>
      <w:r>
        <w:t>to, añadiendo que el correo local era el que retiraba esta c</w:t>
      </w:r>
      <w:r>
        <w:t>o</w:t>
      </w:r>
      <w:r>
        <w:t>municación y constancia para la br</w:t>
      </w:r>
      <w:r>
        <w:t>i</w:t>
      </w:r>
      <w:r>
        <w:t xml:space="preserve">gada, y no el correo de </w:t>
      </w:r>
      <w:smartTag w:uri="urn:schemas-microsoft-com:office:smarttags" w:element="PersonName">
        <w:smartTagPr>
          <w:attr w:name="ProductID" w:val="La Plata."/>
        </w:smartTagPr>
        <w:r>
          <w:t>La Plata.</w:t>
        </w:r>
      </w:smartTag>
    </w:p>
    <w:p w:rsidR="00224567" w:rsidRDefault="00224567">
      <w:pPr>
        <w:widowControl w:val="0"/>
      </w:pPr>
      <w:r>
        <w:tab/>
        <w:t>Luego, Ribelli exhibió lo que ident</w:t>
      </w:r>
      <w:r>
        <w:t>i</w:t>
      </w:r>
      <w:r>
        <w:t>ficó como el telegr</w:t>
      </w:r>
      <w:r>
        <w:t>a</w:t>
      </w:r>
      <w:r>
        <w:t>ma del correo electrónico, que era la contestación fidedigna que indicaba que Teccedin, Carlos Alberto, con el legajo I.G. 55.963 y Petrucci, Sandra M</w:t>
      </w:r>
      <w:r>
        <w:t>a</w:t>
      </w:r>
      <w:r>
        <w:t>risa I.G. 55.960, sin antecedentes penales, y estaba fi</w:t>
      </w:r>
      <w:r>
        <w:t>r</w:t>
      </w:r>
      <w:r>
        <w:t xml:space="preserve">mada por la subcomisario Graciela Hassa, mencionando que la fecha era del 11 de abril de </w:t>
      </w:r>
      <w:smartTag w:uri="urn:schemas-microsoft-com:office:smarttags" w:element="metricconverter">
        <w:smartTagPr>
          <w:attr w:name="ProductID" w:val="1994 a"/>
        </w:smartTagPr>
        <w:r>
          <w:t>1994 a</w:t>
        </w:r>
      </w:smartTag>
      <w:r>
        <w:t xml:space="preserve"> las 21.36, y fig</w:t>
      </w:r>
      <w:r>
        <w:t>u</w:t>
      </w:r>
      <w:r>
        <w:t xml:space="preserve">raba como destinatario </w:t>
      </w:r>
      <w:smartTag w:uri="urn:schemas-microsoft-com:office:smarttags" w:element="PersonName">
        <w:smartTagPr>
          <w:attr w:name="ProductID" w:val="la Brigada"/>
        </w:smartTagPr>
        <w:r>
          <w:t>la Brigada</w:t>
        </w:r>
      </w:smartTag>
      <w:r>
        <w:t xml:space="preserve"> de L</w:t>
      </w:r>
      <w:r>
        <w:t>a</w:t>
      </w:r>
      <w:r>
        <w:t>nús, nº 5007.</w:t>
      </w:r>
    </w:p>
    <w:p w:rsidR="00224567" w:rsidRDefault="00224567">
      <w:pPr>
        <w:widowControl w:val="0"/>
      </w:pPr>
      <w:r>
        <w:tab/>
        <w:t>Refirió que, independientemente de que ese telegrama electrónico indicaba y certificaba que el adelanto telefónico había sido veraz, que Teccedin no t</w:t>
      </w:r>
      <w:r>
        <w:t>e</w:t>
      </w:r>
      <w:r>
        <w:t>nía antecedentes, importaba algo mucho más real, que era la f</w:t>
      </w:r>
      <w:r>
        <w:t>e</w:t>
      </w:r>
      <w:r>
        <w:t>cha de su emisión.</w:t>
      </w:r>
    </w:p>
    <w:p w:rsidR="00224567" w:rsidRDefault="00224567">
      <w:pPr>
        <w:widowControl w:val="0"/>
      </w:pPr>
      <w:r>
        <w:tab/>
        <w:t>Dijo que si el juez de grado y los fiscales lo hubieran observado se  hubieran dado cuenta que unas fichas de antecedentes que ingresaron el 6 de abril de 1994, fueron informadas mediante una contest</w:t>
      </w:r>
      <w:r>
        <w:t>a</w:t>
      </w:r>
      <w:r>
        <w:t>ción veraz y normal el 11 de abril de 1994, es decir, cinco días de</w:t>
      </w:r>
      <w:r>
        <w:t>s</w:t>
      </w:r>
      <w:r>
        <w:t>pués.</w:t>
      </w:r>
    </w:p>
    <w:p w:rsidR="00224567" w:rsidRDefault="00224567">
      <w:pPr>
        <w:widowControl w:val="0"/>
      </w:pPr>
      <w:r>
        <w:tab/>
        <w:t>Por ello, se preguntó como se podía pensar, aunque las fichas de Teccedin hubieran ido el 4 o 5 de abril de 1994, que el personal policial iba a mant</w:t>
      </w:r>
      <w:r>
        <w:t>e</w:t>
      </w:r>
      <w:r>
        <w:t>ner en detención a este sujeto Teccedin hasta que vo</w:t>
      </w:r>
      <w:r>
        <w:t>l</w:t>
      </w:r>
      <w:r>
        <w:t>viera la información del correo electrónico, cuando aquí e</w:t>
      </w:r>
      <w:r>
        <w:t>s</w:t>
      </w:r>
      <w:r>
        <w:t>taba demostrado que tardaban normalmente cinco días o más, m</w:t>
      </w:r>
      <w:r>
        <w:t>a</w:t>
      </w:r>
      <w:r>
        <w:t>nifestando que si hubieran mantenido detenido a Teccedin hasta esperar la confirmación del correo electrónico, no conformándose con el adelanto telefónico, habrían incurr</w:t>
      </w:r>
      <w:r>
        <w:t>i</w:t>
      </w:r>
      <w:r>
        <w:t>do en una privación ilegítima de la libertad, por la que deberían responder.</w:t>
      </w:r>
    </w:p>
    <w:p w:rsidR="00224567" w:rsidRDefault="00224567">
      <w:pPr>
        <w:widowControl w:val="0"/>
      </w:pPr>
      <w:r>
        <w:tab/>
        <w:t>Remarcó que a lo largo del debate, cuando depusiere el personal de estas divisiones, qu</w:t>
      </w:r>
      <w:r>
        <w:t>e</w:t>
      </w:r>
      <w:r>
        <w:t>daría claro que cuando un telegrama de estos dice “sin antec</w:t>
      </w:r>
      <w:r>
        <w:t>e</w:t>
      </w:r>
      <w:r>
        <w:t>dentes penales”, significaba que se habían cotejado las fichas o los datos, o efectuado las tareas correspondie</w:t>
      </w:r>
      <w:r>
        <w:t>n</w:t>
      </w:r>
      <w:r>
        <w:t>tes p</w:t>
      </w:r>
      <w:r>
        <w:t>a</w:t>
      </w:r>
      <w:r>
        <w:t>ra contestar de esa forma.</w:t>
      </w:r>
    </w:p>
    <w:p w:rsidR="00224567" w:rsidRDefault="00224567">
      <w:pPr>
        <w:widowControl w:val="0"/>
      </w:pPr>
      <w:r>
        <w:tab/>
        <w:t>Refirió que mucho más adelante en ese sumario administrativo contestó la señora oficial princ</w:t>
      </w:r>
      <w:r>
        <w:t>i</w:t>
      </w:r>
      <w:r>
        <w:t xml:space="preserve">pal Graciela Gómez de </w:t>
      </w:r>
      <w:smartTag w:uri="urn:schemas-microsoft-com:office:smarttags" w:element="PersonName">
        <w:smartTagPr>
          <w:attr w:name="ProductID" w:val="la Divisi￳n Antecedentes"/>
        </w:smartTagPr>
        <w:r>
          <w:t>la División Antec</w:t>
        </w:r>
        <w:r>
          <w:t>e</w:t>
        </w:r>
        <w:r>
          <w:t>dentes</w:t>
        </w:r>
      </w:smartTag>
      <w:r>
        <w:t xml:space="preserve"> (sobre 30), que era la que estaba a cargo de la división informes p</w:t>
      </w:r>
      <w:r>
        <w:t>o</w:t>
      </w:r>
      <w:r>
        <w:t>liciales y judiciales, y que fue la que orig</w:t>
      </w:r>
      <w:r>
        <w:t>i</w:t>
      </w:r>
      <w:r>
        <w:t>nó todo este estado de sospecha sobre Bacigalupo, Bu</w:t>
      </w:r>
      <w:r>
        <w:t>r</w:t>
      </w:r>
      <w:r>
        <w:t>guete y, a raíz de eso, sobre todo el personal pol</w:t>
      </w:r>
      <w:r>
        <w:t>i</w:t>
      </w:r>
      <w:r>
        <w:t>cial.</w:t>
      </w:r>
    </w:p>
    <w:p w:rsidR="00224567" w:rsidRDefault="00224567">
      <w:pPr>
        <w:widowControl w:val="0"/>
      </w:pPr>
      <w:r>
        <w:tab/>
        <w:t>Estimó que allí se podía observar que cuando le preguntaron si ingresaron las fichas de P</w:t>
      </w:r>
      <w:r>
        <w:t>e</w:t>
      </w:r>
      <w:r>
        <w:t>trucci y Teccedin, contestó con una cierta picardía -tal vez p</w:t>
      </w:r>
      <w:r>
        <w:t>a</w:t>
      </w:r>
      <w:r>
        <w:t>ra encubrir un error administrativo- que se había dado cu</w:t>
      </w:r>
      <w:r>
        <w:t>m</w:t>
      </w:r>
      <w:r>
        <w:t>plimiento a lo solicitado y que nominativamente Sandra M</w:t>
      </w:r>
      <w:r>
        <w:t>a</w:t>
      </w:r>
      <w:r>
        <w:t>risa Petrucci se encontraba identificada en los archivos de esa división, registrando I.G. 55.960, y que en el caso de Carlos Alberto Teccedin figuraba identificado una pe</w:t>
      </w:r>
      <w:r>
        <w:t>r</w:t>
      </w:r>
      <w:r>
        <w:t>sona con los mismos datos filiatorios, con el nombre Ca</w:t>
      </w:r>
      <w:r>
        <w:t>r</w:t>
      </w:r>
      <w:r>
        <w:t>los A</w:t>
      </w:r>
      <w:r>
        <w:t>l</w:t>
      </w:r>
      <w:r>
        <w:t>berto Telleldín.</w:t>
      </w:r>
    </w:p>
    <w:p w:rsidR="00224567" w:rsidRDefault="00224567">
      <w:pPr>
        <w:widowControl w:val="0"/>
      </w:pPr>
      <w:r>
        <w:tab/>
        <w:t>Ribelli entendió que si se analizaba esta contestación, se advertía que no decía que las f</w:t>
      </w:r>
      <w:r>
        <w:t>i</w:t>
      </w:r>
      <w:r>
        <w:t>chas de Teccedin no habían ingresado, s</w:t>
      </w:r>
      <w:r>
        <w:t>i</w:t>
      </w:r>
      <w:r>
        <w:t>no que para cambiar el eje de atención se expresó que bajo el nombre Teccedin, figuraba identificada otra persona con el nombre Carlos Alberto Telleldín, concl</w:t>
      </w:r>
      <w:r>
        <w:t>u</w:t>
      </w:r>
      <w:r>
        <w:t>yendo que ello se debió a que se dio cuenta que las fichas de Teccedin habían ingresado el día 6, y el funcionario policial que debió informar m</w:t>
      </w:r>
      <w:r>
        <w:t>e</w:t>
      </w:r>
      <w:r>
        <w:t>diante el correo electrónico el 11 de abril, tendría que haber info</w:t>
      </w:r>
      <w:r>
        <w:t>r</w:t>
      </w:r>
      <w:r>
        <w:t>mado los antecedentes de Telleldín.</w:t>
      </w:r>
    </w:p>
    <w:p w:rsidR="00224567" w:rsidRDefault="00224567">
      <w:pPr>
        <w:widowControl w:val="0"/>
      </w:pPr>
      <w:r>
        <w:tab/>
        <w:t>Consideró que el comisario in</w:t>
      </w:r>
      <w:r>
        <w:t>s</w:t>
      </w:r>
      <w:r>
        <w:t>pector o mayor Bretschneider -instructor del sumario administrat</w:t>
      </w:r>
      <w:r>
        <w:t>i</w:t>
      </w:r>
      <w:r>
        <w:t>vo-, tal vez con picardía o para enco</w:t>
      </w:r>
      <w:r>
        <w:t>n</w:t>
      </w:r>
      <w:r>
        <w:t>trar algún elemento que pudiera satisfacer alguna imputación al personal pol</w:t>
      </w:r>
      <w:r>
        <w:t>i</w:t>
      </w:r>
      <w:r>
        <w:t>cial, tomó aquel informe y dio por cierto que no ingres</w:t>
      </w:r>
      <w:r>
        <w:t>a</w:t>
      </w:r>
      <w:r>
        <w:t>ron las fichas de Teccedin; por ello, c</w:t>
      </w:r>
      <w:r>
        <w:t>a</w:t>
      </w:r>
      <w:r>
        <w:t>lificó de falsa la imputación dirigida a Burguete y B</w:t>
      </w:r>
      <w:r>
        <w:t>a</w:t>
      </w:r>
      <w:r>
        <w:t>cigalupo.</w:t>
      </w:r>
    </w:p>
    <w:p w:rsidR="00224567" w:rsidRDefault="00224567">
      <w:pPr>
        <w:widowControl w:val="0"/>
      </w:pPr>
      <w:r>
        <w:tab/>
        <w:t>Luego de exhibir el contenido del s</w:t>
      </w:r>
      <w:r>
        <w:t>o</w:t>
      </w:r>
      <w:r>
        <w:t>bre nº 31, Ribelli señaló que para el mes de se</w:t>
      </w:r>
      <w:r>
        <w:t>p</w:t>
      </w:r>
      <w:r>
        <w:t>tiembre de 1995, en ese sumario administrativo de Bacigalupo, a tr</w:t>
      </w:r>
      <w:r>
        <w:t>a</w:t>
      </w:r>
      <w:r>
        <w:t>vés de los reclamos al comisario inspector Bretschne</w:t>
      </w:r>
      <w:r>
        <w:t>i</w:t>
      </w:r>
      <w:r>
        <w:t>der, se pedieron nuevos informes a la división información de antecedentes. De este modo, el comisario técnico, María del Carmen Mejía, informó que Carlos Alberto Teccedin pr</w:t>
      </w:r>
      <w:r>
        <w:t>e</w:t>
      </w:r>
      <w:r>
        <w:t>sentaba el prontuario n° 55.963, exactamente tres números más adelante que el de Sandra P</w:t>
      </w:r>
      <w:r>
        <w:t>e</w:t>
      </w:r>
      <w:r>
        <w:t>trucci.</w:t>
      </w:r>
    </w:p>
    <w:p w:rsidR="00224567" w:rsidRDefault="00224567">
      <w:pPr>
        <w:widowControl w:val="0"/>
      </w:pPr>
      <w:r>
        <w:tab/>
        <w:t>Luego de exhibir la fotocopia del l</w:t>
      </w:r>
      <w:r>
        <w:t>i</w:t>
      </w:r>
      <w:r>
        <w:t>bro de registros (sobre nº 32) y aclarar que era el que daba número a los prontuarios, Ribelli refirió que si en aquel primer momento la oficial principal hubiera recurr</w:t>
      </w:r>
      <w:r>
        <w:t>i</w:t>
      </w:r>
      <w:r>
        <w:t>do a los libros de ingreso de las fichas y de registro del prontuario, hubiera podido advertir que ahí figuraba Sa</w:t>
      </w:r>
      <w:r>
        <w:t>n</w:t>
      </w:r>
      <w:r>
        <w:t>dra Petrucci, y tres renglones más ab</w:t>
      </w:r>
      <w:r>
        <w:t>a</w:t>
      </w:r>
      <w:r>
        <w:t>jo, con el nº 55.963 constaba el ingreso de la ficha de Carlos Alberto Tecc</w:t>
      </w:r>
      <w:r>
        <w:t>e</w:t>
      </w:r>
      <w:r>
        <w:t>din.</w:t>
      </w:r>
    </w:p>
    <w:p w:rsidR="00224567" w:rsidRDefault="00224567">
      <w:pPr>
        <w:widowControl w:val="0"/>
      </w:pPr>
      <w:r>
        <w:tab/>
        <w:t xml:space="preserve">Acto seguido, exhibió copia del libro de </w:t>
      </w:r>
      <w:smartTag w:uri="urn:schemas-microsoft-com:office:smarttags" w:element="PersonName">
        <w:smartTagPr>
          <w:attr w:name="ProductID" w:val="la Divisi￳n Informes"/>
        </w:smartTagPr>
        <w:r>
          <w:t>la División Informes</w:t>
        </w:r>
      </w:smartTag>
      <w:r>
        <w:t xml:space="preserve"> Judiciales y Polici</w:t>
      </w:r>
      <w:r>
        <w:t>a</w:t>
      </w:r>
      <w:r>
        <w:t>les, donde se registraba el ingreso de las fichas dactilares, y señaló que allí se observaba que el día 6 de abril de 1994 ingr</w:t>
      </w:r>
      <w:r>
        <w:t>e</w:t>
      </w:r>
      <w:r>
        <w:t>saron las fichas de Ca</w:t>
      </w:r>
      <w:r>
        <w:t>r</w:t>
      </w:r>
      <w:r>
        <w:t>los Alberto Teccedin y, al renglón siguiente, las de Sandra Petrucci, concluyendo que resu</w:t>
      </w:r>
      <w:r>
        <w:t>l</w:t>
      </w:r>
      <w:r>
        <w:t xml:space="preserve">taba inexplicable la razón por la cual </w:t>
      </w:r>
      <w:smartTag w:uri="urn:schemas-microsoft-com:office:smarttags" w:element="PersonName">
        <w:smartTagPr>
          <w:attr w:name="ProductID" w:val="la Divisi￳n Antecedentes"/>
        </w:smartTagPr>
        <w:r>
          <w:t>la División Antec</w:t>
        </w:r>
        <w:r>
          <w:t>e</w:t>
        </w:r>
        <w:r>
          <w:t>dentes</w:t>
        </w:r>
      </w:smartTag>
      <w:r>
        <w:t xml:space="preserve"> informó de esa forma en aquel m</w:t>
      </w:r>
      <w:r>
        <w:t>o</w:t>
      </w:r>
      <w:r>
        <w:t>mento.</w:t>
      </w:r>
    </w:p>
    <w:p w:rsidR="00224567" w:rsidRDefault="00224567">
      <w:pPr>
        <w:widowControl w:val="0"/>
      </w:pPr>
      <w:r>
        <w:tab/>
        <w:t>Sin perjuicio de ello, Ribelli relató que se le tomó declaración a un cabo García, que tal vez estuvo de guardia el día que lleg</w:t>
      </w:r>
      <w:r>
        <w:t>a</w:t>
      </w:r>
      <w:r>
        <w:t>ron las fichas, y quizás fue el encargado de cotejarlas, quien en posición de de</w:t>
      </w:r>
      <w:r>
        <w:t>s</w:t>
      </w:r>
      <w:r>
        <w:t>cargo y defensista, dijo que las fichas debían haber est</w:t>
      </w:r>
      <w:r>
        <w:t>a</w:t>
      </w:r>
      <w:r>
        <w:t>do mal sac</w:t>
      </w:r>
      <w:r>
        <w:t>a</w:t>
      </w:r>
      <w:r>
        <w:t>das.</w:t>
      </w:r>
    </w:p>
    <w:p w:rsidR="00224567" w:rsidRDefault="00224567">
      <w:pPr>
        <w:widowControl w:val="0"/>
      </w:pPr>
      <w:r>
        <w:tab/>
        <w:t>En este punto, afirmó que iba a qu</w:t>
      </w:r>
      <w:r>
        <w:t>e</w:t>
      </w:r>
      <w:r>
        <w:t>dar claro cuando viniera esta gente y fuera interrogada por las partes, que si algunas fichas no eran legibles no se emitía un correo electrónico diciendo “fulano de tal sin antecedentes”, sino que se remitía uno que dijera “rem</w:t>
      </w:r>
      <w:r>
        <w:t>í</w:t>
      </w:r>
      <w:r>
        <w:t>tase nuevo juego de f</w:t>
      </w:r>
      <w:r>
        <w:t>i</w:t>
      </w:r>
      <w:r>
        <w:t>chas”.</w:t>
      </w:r>
    </w:p>
    <w:p w:rsidR="00224567" w:rsidRDefault="00224567">
      <w:pPr>
        <w:widowControl w:val="0"/>
      </w:pPr>
      <w:r>
        <w:tab/>
        <w:t>Añadió que en el debate y ante la pr</w:t>
      </w:r>
      <w:r>
        <w:t>e</w:t>
      </w:r>
      <w:r>
        <w:t>sencia de estas personas, el tribunal iba a poder valorar realmente si existió o no en aquel momento el fichaje, y si se quiso ocultar o no la identidad de Teccedin -que a</w:t>
      </w:r>
      <w:r>
        <w:t>c</w:t>
      </w:r>
      <w:r>
        <w:t>tualmente se sabe que era Telleldín- y si se incurrió en un error o en una falta p</w:t>
      </w:r>
      <w:r>
        <w:t>e</w:t>
      </w:r>
      <w:r>
        <w:t>nal.</w:t>
      </w:r>
    </w:p>
    <w:p w:rsidR="00224567" w:rsidRDefault="00224567">
      <w:pPr>
        <w:widowControl w:val="0"/>
      </w:pPr>
      <w:r>
        <w:tab/>
        <w:t xml:space="preserve">Seguidamente, Ribelli manifestó que a fines del año 1995, principios de 1996, estando en </w:t>
      </w:r>
      <w:smartTag w:uri="urn:schemas-microsoft-com:office:smarttags" w:element="PersonName">
        <w:smartTagPr>
          <w:attr w:name="ProductID" w:val="la Divisi￳n"/>
        </w:smartTagPr>
        <w:r>
          <w:t>la D</w:t>
        </w:r>
        <w:r>
          <w:t>i</w:t>
        </w:r>
        <w:r>
          <w:t>visión</w:t>
        </w:r>
      </w:smartTag>
      <w:r>
        <w:t xml:space="preserve"> de Automotores, existieron una serie de ped</w:t>
      </w:r>
      <w:r>
        <w:t>i</w:t>
      </w:r>
      <w:r>
        <w:t>dos de informes acerca del personal que había trabajado en los procedimientos de Lanús, solicitando la remisión de fot</w:t>
      </w:r>
      <w:r>
        <w:t>o</w:t>
      </w:r>
      <w:r>
        <w:t>grafías actualiz</w:t>
      </w:r>
      <w:r>
        <w:t>a</w:t>
      </w:r>
      <w:r>
        <w:t>das.</w:t>
      </w:r>
    </w:p>
    <w:p w:rsidR="00224567" w:rsidRDefault="00224567">
      <w:pPr>
        <w:widowControl w:val="0"/>
      </w:pPr>
      <w:r>
        <w:tab/>
        <w:t>Ribelli refirió que entonces no era cierto lo que muchas veces se dijo a lo largo de la in</w:t>
      </w:r>
      <w:r>
        <w:t>s</w:t>
      </w:r>
      <w:r>
        <w:t>trucción, que él no tenía que conocer que se estaba inve</w:t>
      </w:r>
      <w:r>
        <w:t>s</w:t>
      </w:r>
      <w:r>
        <w:t>tigando al personal policial, porque estaba demo</w:t>
      </w:r>
      <w:r>
        <w:t>s</w:t>
      </w:r>
      <w:r>
        <w:t>trado en e</w:t>
      </w:r>
      <w:r>
        <w:t>s</w:t>
      </w:r>
      <w:r>
        <w:t>te sumario administrativo, que hacía un año que se venía gestando, agregando documentación y que sabía que estaba interviniendo un juez como Galeano, que no era el juez n</w:t>
      </w:r>
      <w:r>
        <w:t>a</w:t>
      </w:r>
      <w:r>
        <w:t xml:space="preserve">tural en ese tipo de delitos denunciados por el diario “Página </w:t>
      </w:r>
      <w:smartTag w:uri="urn:schemas-microsoft-com:office:smarttags" w:element="metricconverter">
        <w:smartTagPr>
          <w:attr w:name="ProductID" w:val="12”"/>
        </w:smartTagPr>
        <w:r>
          <w:t>12”</w:t>
        </w:r>
      </w:smartTag>
      <w:r>
        <w:t>, por el señor T</w:t>
      </w:r>
      <w:r>
        <w:t>e</w:t>
      </w:r>
      <w:r>
        <w:t>lledin.</w:t>
      </w:r>
    </w:p>
    <w:p w:rsidR="00224567" w:rsidRDefault="00224567">
      <w:pPr>
        <w:widowControl w:val="0"/>
      </w:pPr>
      <w:r>
        <w:tab/>
        <w:t>Justificó su preocupación y la del personal policial que se veía afectado a esta investig</w:t>
      </w:r>
      <w:r>
        <w:t>a</w:t>
      </w:r>
      <w:r>
        <w:t>ción al observar que iba a tener que dar explicaci</w:t>
      </w:r>
      <w:r>
        <w:t>o</w:t>
      </w:r>
      <w:r>
        <w:t>nes al juez Galeano.</w:t>
      </w:r>
    </w:p>
    <w:p w:rsidR="00224567" w:rsidRDefault="00224567">
      <w:pPr>
        <w:widowControl w:val="0"/>
      </w:pPr>
      <w:r>
        <w:tab/>
        <w:t>Señaló que en su ampliación indagat</w:t>
      </w:r>
      <w:r>
        <w:t>o</w:t>
      </w:r>
      <w:r>
        <w:t>ria de marzo de 1997 aportó constancias de los pedidos de informes de fotografías y listados del personal que G</w:t>
      </w:r>
      <w:r>
        <w:t>a</w:t>
      </w:r>
      <w:r>
        <w:t>leano no acumuló como foja útil luego de su declaración, sino que lo r</w:t>
      </w:r>
      <w:r>
        <w:t>e</w:t>
      </w:r>
      <w:r>
        <w:t>servó como un anexo.</w:t>
      </w:r>
    </w:p>
    <w:p w:rsidR="00224567" w:rsidRDefault="00224567">
      <w:pPr>
        <w:widowControl w:val="0"/>
      </w:pPr>
      <w:r>
        <w:tab/>
        <w:t>Agregó que ante sus reiterados recl</w:t>
      </w:r>
      <w:r>
        <w:t>a</w:t>
      </w:r>
      <w:r>
        <w:t>mos, se dejó una sola constancia de que ya había info</w:t>
      </w:r>
      <w:r>
        <w:t>r</w:t>
      </w:r>
      <w:r>
        <w:t>mes en la causa. Sin embargo, Ribelli expr</w:t>
      </w:r>
      <w:r>
        <w:t>e</w:t>
      </w:r>
      <w:r>
        <w:t>só que ello no era cierto porque había aportado pruebas que no se hallaban agregadas de la forma en que lo había hecho, y que exi</w:t>
      </w:r>
      <w:r>
        <w:t>s</w:t>
      </w:r>
      <w:r>
        <w:t>tían listados de llamados telefónicos y otra documentación que no estaba agregada a la ca</w:t>
      </w:r>
      <w:r>
        <w:t>u</w:t>
      </w:r>
      <w:r>
        <w:t>sa.</w:t>
      </w:r>
    </w:p>
    <w:p w:rsidR="00224567" w:rsidRDefault="00224567">
      <w:pPr>
        <w:widowControl w:val="0"/>
      </w:pPr>
      <w:r>
        <w:tab/>
        <w:t>Mencionó que cualquier persona que consultara la causa hubiera podido obtener explicación a varios puntos que se le cuestionaron a partir del a</w:t>
      </w:r>
      <w:r>
        <w:t>c</w:t>
      </w:r>
      <w:r>
        <w:t>ceso a esa documentación.</w:t>
      </w:r>
    </w:p>
    <w:p w:rsidR="00224567" w:rsidRDefault="00224567">
      <w:pPr>
        <w:widowControl w:val="0"/>
      </w:pPr>
      <w:r>
        <w:tab/>
        <w:t>Posteriormente, el imputado sostuvo que en 1996 la pr</w:t>
      </w:r>
      <w:r>
        <w:t>e</w:t>
      </w:r>
      <w:r>
        <w:t>ocupación no consistía en que los iban a implicar en el atentado, ni en el temor a que los sindic</w:t>
      </w:r>
      <w:r>
        <w:t>a</w:t>
      </w:r>
      <w:r>
        <w:t>ran como terroristas, tal como lo estuvieron durante más de cinco años, sino en la preocupación l</w:t>
      </w:r>
      <w:r>
        <w:t>ó</w:t>
      </w:r>
      <w:r>
        <w:t>gica de cualquier personal policial que se veía afectado a una i</w:t>
      </w:r>
      <w:r>
        <w:t>n</w:t>
      </w:r>
      <w:r>
        <w:t>vestigación judicial.</w:t>
      </w:r>
    </w:p>
    <w:p w:rsidR="00224567" w:rsidRDefault="00224567">
      <w:pPr>
        <w:widowControl w:val="0"/>
      </w:pPr>
      <w:r>
        <w:tab/>
        <w:t>Indicó que esa no era su inqui</w:t>
      </w:r>
      <w:r>
        <w:t>e</w:t>
      </w:r>
      <w:r>
        <w:t>tud, ya que no estaba siendo investigado dentro de ese sumario a</w:t>
      </w:r>
      <w:r>
        <w:t>d</w:t>
      </w:r>
      <w:r>
        <w:t>ministrativo o en esa causa penal, por lo menos al in</w:t>
      </w:r>
      <w:r>
        <w:t>i</w:t>
      </w:r>
      <w:r>
        <w:t>cio de las actuaciones.</w:t>
      </w:r>
    </w:p>
    <w:p w:rsidR="00224567" w:rsidRDefault="00224567">
      <w:pPr>
        <w:widowControl w:val="0"/>
      </w:pPr>
      <w:r>
        <w:tab/>
        <w:t>Después, cuando se siguieron agrega</w:t>
      </w:r>
      <w:r>
        <w:t>n</w:t>
      </w:r>
      <w:r>
        <w:t>do listados de todo el personal, y que los policías cuesti</w:t>
      </w:r>
      <w:r>
        <w:t>o</w:t>
      </w:r>
      <w:r>
        <w:t>nados se encontraban bajo su mando, ente</w:t>
      </w:r>
      <w:r>
        <w:t>n</w:t>
      </w:r>
      <w:r>
        <w:t>dió que en algún momento iba a tener que dar explicaciones ante el juez G</w:t>
      </w:r>
      <w:r>
        <w:t>a</w:t>
      </w:r>
      <w:r>
        <w:t>leano.</w:t>
      </w:r>
    </w:p>
    <w:p w:rsidR="00224567" w:rsidRDefault="00224567">
      <w:pPr>
        <w:widowControl w:val="0"/>
      </w:pPr>
      <w:r>
        <w:tab/>
        <w:t>Concluyó que no debía interpr</w:t>
      </w:r>
      <w:r>
        <w:t>e</w:t>
      </w:r>
      <w:r>
        <w:t>tarse la llegada de un aniversario del atentado a la sede de la “A.M.I.A.” como si fuera su preocupación por el atentado en sí mismo o por su vinculación con aquél, aunque recon</w:t>
      </w:r>
      <w:r>
        <w:t>o</w:t>
      </w:r>
      <w:r>
        <w:t>ció que existía esa inquietud y ese tipo de comentarios entre el pers</w:t>
      </w:r>
      <w:r>
        <w:t>o</w:t>
      </w:r>
      <w:r>
        <w:t>nal policial que se veía afectado al tema de la ca</w:t>
      </w:r>
      <w:r>
        <w:t>u</w:t>
      </w:r>
      <w:r>
        <w:t>sa “Baci” o de la causa A.M.I.A.</w:t>
      </w:r>
    </w:p>
    <w:p w:rsidR="00224567" w:rsidRDefault="00224567">
      <w:pPr>
        <w:widowControl w:val="0"/>
      </w:pPr>
      <w:r>
        <w:tab/>
        <w:t>Expresó que en el anexo que agr</w:t>
      </w:r>
      <w:r>
        <w:t>e</w:t>
      </w:r>
      <w:r>
        <w:t>gó en su declaración indagatoria existía un sinnúmero de con</w:t>
      </w:r>
      <w:r>
        <w:t>s</w:t>
      </w:r>
      <w:r>
        <w:t>tancias y oficios, que, en el marco del sumario admini</w:t>
      </w:r>
      <w:r>
        <w:t>s</w:t>
      </w:r>
      <w:r>
        <w:t>trativo, e</w:t>
      </w:r>
      <w:r>
        <w:t>n</w:t>
      </w:r>
      <w:r>
        <w:t>vió la jefatura de policía a distintos lugares de la misma institución y a algunos órganos extra polici</w:t>
      </w:r>
      <w:r>
        <w:t>a</w:t>
      </w:r>
      <w:r>
        <w:t>les.</w:t>
      </w:r>
    </w:p>
    <w:p w:rsidR="00224567" w:rsidRDefault="00224567">
      <w:pPr>
        <w:widowControl w:val="0"/>
      </w:pPr>
      <w:r>
        <w:tab/>
        <w:t>Afirmó que en todos esos oficios l</w:t>
      </w:r>
      <w:r>
        <w:t>i</w:t>
      </w:r>
      <w:r>
        <w:t>brados dentro del sumario administrativo se consignó que correspondían a una causa por violación a los deberes de funcionario público con intervención del juez federal Juan José Galeano, que resultaba conexa a la causa A.M.I.A., razón por la cual todos sabían que todas las diligencias que se estaban realizando en ese sumario administrativo estaban siendo derivadas a la causa A.M.I.A., considerando que era lógica la refere</w:t>
      </w:r>
      <w:r>
        <w:t>n</w:t>
      </w:r>
      <w:r>
        <w:t>cia a ese sumario administrativo como la ca</w:t>
      </w:r>
      <w:r>
        <w:t>u</w:t>
      </w:r>
      <w:r>
        <w:t>sa A.M.I.A. o “Baci”.</w:t>
      </w:r>
    </w:p>
    <w:p w:rsidR="00224567" w:rsidRDefault="00224567">
      <w:pPr>
        <w:widowControl w:val="0"/>
      </w:pPr>
      <w:r>
        <w:tab/>
        <w:t>Por otra parte, manifestó que el vie</w:t>
      </w:r>
      <w:r>
        <w:t>r</w:t>
      </w:r>
      <w:r>
        <w:t xml:space="preserve">nes 12 de julio de 1996, siendo jefe de </w:t>
      </w:r>
      <w:smartTag w:uri="urn:schemas-microsoft-com:office:smarttags" w:element="PersonName">
        <w:smartTagPr>
          <w:attr w:name="ProductID" w:val="la Divisi￳n"/>
        </w:smartTagPr>
        <w:r>
          <w:t>la División</w:t>
        </w:r>
      </w:smartTag>
      <w:r>
        <w:t xml:space="preserve"> de A</w:t>
      </w:r>
      <w:r>
        <w:t>u</w:t>
      </w:r>
      <w:r>
        <w:t>tomotores, tomó conocimiento de la existencia de ordenes de detención para él y para otro personal pol</w:t>
      </w:r>
      <w:r>
        <w:t>i</w:t>
      </w:r>
      <w:r>
        <w:t>cial, por lo que tomó la decisión de presentarse espontáneamente. De este modo, una vez que terminó de organizar temas de índ</w:t>
      </w:r>
      <w:r>
        <w:t>o</w:t>
      </w:r>
      <w:r>
        <w:t>le privada en los que no tardó más de tres horas, se pr</w:t>
      </w:r>
      <w:r>
        <w:t>e</w:t>
      </w:r>
      <w:r>
        <w:t>sentó voluntariamente en la dirección de investigaciones de la jefatura de p</w:t>
      </w:r>
      <w:r>
        <w:t>o</w:t>
      </w:r>
      <w:r>
        <w:t>licía.</w:t>
      </w:r>
    </w:p>
    <w:p w:rsidR="00224567" w:rsidRDefault="00224567">
      <w:pPr>
        <w:widowControl w:val="0"/>
      </w:pPr>
      <w:r>
        <w:tab/>
        <w:t>Al respecto, mencionó que en la causa obraba el acta,  labrada por el comisario inspector Bia</w:t>
      </w:r>
      <w:r>
        <w:t>n</w:t>
      </w:r>
      <w:r>
        <w:t>chi, donde constaba que en se había presentado en forma voluntaria para ponerse a disposición de la justicia, a fin de aclarar su situación, subrayando que jamás pasó por su mente que iba a verse envuelto en la causa A.M.I.A. en la cual, entre la innumerable cant</w:t>
      </w:r>
      <w:r>
        <w:t>i</w:t>
      </w:r>
      <w:r>
        <w:t>dad de imputaciones, se le atribuyó el haber sido partícipe o el cerebro de la c</w:t>
      </w:r>
      <w:r>
        <w:t>o</w:t>
      </w:r>
      <w:r>
        <w:t>nexión local, de lo que tomó conocimiento el primer día que se pr</w:t>
      </w:r>
      <w:r>
        <w:t>e</w:t>
      </w:r>
      <w:r>
        <w:t>sentó ante el juzgado a cargo del Dr. Galeano.</w:t>
      </w:r>
    </w:p>
    <w:p w:rsidR="00224567" w:rsidRDefault="00224567">
      <w:pPr>
        <w:widowControl w:val="0"/>
      </w:pPr>
      <w:r>
        <w:tab/>
        <w:t>Relató que, ante dicha imputación, h</w:t>
      </w:r>
      <w:r>
        <w:t>i</w:t>
      </w:r>
      <w:r>
        <w:t>zo uso del derecho de guardar silencio, sin que ello d</w:t>
      </w:r>
      <w:r>
        <w:t>e</w:t>
      </w:r>
      <w:r>
        <w:t>biera ser utilizado como una presunción en su contra; idéntica actitud asumieron otros pr</w:t>
      </w:r>
      <w:r>
        <w:t>o</w:t>
      </w:r>
      <w:r>
        <w:t>cesados.</w:t>
      </w:r>
    </w:p>
    <w:p w:rsidR="00224567" w:rsidRDefault="00224567">
      <w:pPr>
        <w:widowControl w:val="0"/>
      </w:pPr>
      <w:r>
        <w:tab/>
        <w:t>Destacó que durante la instru</w:t>
      </w:r>
      <w:r>
        <w:t>c</w:t>
      </w:r>
      <w:r>
        <w:t>ción se hizo referencia al pacto de silencio, no para darle a</w:t>
      </w:r>
      <w:r>
        <w:t>l</w:t>
      </w:r>
      <w:r>
        <w:t>guna significación jurídica, sino para indicar que él fue el que ordenó u obligó a que no se hablara, ci</w:t>
      </w:r>
      <w:r>
        <w:t>r</w:t>
      </w:r>
      <w:r>
        <w:t>cunstancia que negó, señalando que jamás le pidió a a</w:t>
      </w:r>
      <w:r>
        <w:t>l</w:t>
      </w:r>
      <w:r>
        <w:t>guien que mintiera o se apartara de la realidad y que, por el contrario, creía que siempre había que ir con la verdad.</w:t>
      </w:r>
    </w:p>
    <w:p w:rsidR="00224567" w:rsidRDefault="00224567">
      <w:pPr>
        <w:widowControl w:val="0"/>
      </w:pPr>
      <w:r>
        <w:tab/>
        <w:t>Sostuvo que era cierto que en alguna oportunidad pudo haberle dicho a algún funcionario pol</w:t>
      </w:r>
      <w:r>
        <w:t>i</w:t>
      </w:r>
      <w:r>
        <w:t>cial que podía negarse a declarar, expl</w:t>
      </w:r>
      <w:r>
        <w:t>i</w:t>
      </w:r>
      <w:r>
        <w:t>cando que ello lo hizo como superior, para recordarle un derecho constit</w:t>
      </w:r>
      <w:r>
        <w:t>u</w:t>
      </w:r>
      <w:r>
        <w:t>cional.</w:t>
      </w:r>
    </w:p>
    <w:p w:rsidR="00224567" w:rsidRDefault="00224567">
      <w:pPr>
        <w:widowControl w:val="0"/>
      </w:pPr>
      <w:r>
        <w:tab/>
        <w:t>Refirió que todo el personal p</w:t>
      </w:r>
      <w:r>
        <w:t>o</w:t>
      </w:r>
      <w:r>
        <w:t>licial declaró en infinidad de oportunidades durante la instru</w:t>
      </w:r>
      <w:r>
        <w:t>c</w:t>
      </w:r>
      <w:r>
        <w:t>ción, y que incluso efectuó imput</w:t>
      </w:r>
      <w:r>
        <w:t>a</w:t>
      </w:r>
      <w:r>
        <w:t>ciones sobre sus mismas pers</w:t>
      </w:r>
      <w:r>
        <w:t>o</w:t>
      </w:r>
      <w:r>
        <w:t>nas u otras y también sobre él, concluyendo en que no tenía sustento alguno hablar de ese pacto de silencio.</w:t>
      </w:r>
    </w:p>
    <w:p w:rsidR="00224567" w:rsidRDefault="00224567">
      <w:pPr>
        <w:widowControl w:val="0"/>
      </w:pPr>
      <w:r>
        <w:tab/>
        <w:t>En este punto, recordó que una de las querellas pidió que se leyeran las negativas a declarar, lo que interpretó como un intento de demostrar la existe</w:t>
      </w:r>
      <w:r>
        <w:t>n</w:t>
      </w:r>
      <w:r>
        <w:t xml:space="preserve">cia de ese pacto. </w:t>
      </w:r>
    </w:p>
    <w:p w:rsidR="00224567" w:rsidRDefault="00224567">
      <w:pPr>
        <w:widowControl w:val="0"/>
      </w:pPr>
      <w:r>
        <w:tab/>
        <w:t>Por otro lado señaló que cuando tomó conocimiento de la imputación en el juzgado del juez G</w:t>
      </w:r>
      <w:r>
        <w:t>a</w:t>
      </w:r>
      <w:r>
        <w:t>leano, no pudo comprender la valoración que se hizo de a</w:t>
      </w:r>
      <w:r>
        <w:t>l</w:t>
      </w:r>
      <w:r>
        <w:t>gunos listados de llamados telefónicos de celul</w:t>
      </w:r>
      <w:r>
        <w:t>a</w:t>
      </w:r>
      <w:r>
        <w:t>res que en aquella época figuraban a su nombre.</w:t>
      </w:r>
    </w:p>
    <w:p w:rsidR="00224567" w:rsidRDefault="00224567">
      <w:pPr>
        <w:widowControl w:val="0"/>
      </w:pPr>
      <w:r>
        <w:tab/>
        <w:t>Aclaró que después explicó que aprox</w:t>
      </w:r>
      <w:r>
        <w:t>i</w:t>
      </w:r>
      <w:r>
        <w:t xml:space="preserve">madamente en el año 1991 fue titular de celulares de la empresa Movicom, precisando que gozó del plan “corporate </w:t>
      </w:r>
      <w:smartTag w:uri="urn:schemas-microsoft-com:office:smarttags" w:element="metricconverter">
        <w:smartTagPr>
          <w:attr w:name="ProductID" w:val="20”"/>
        </w:smartTagPr>
        <w:r>
          <w:t>20”</w:t>
        </w:r>
      </w:smartTag>
      <w:r>
        <w:t>, cuya constancia fue agregada en el anexo antes cit</w:t>
      </w:r>
      <w:r>
        <w:t>a</w:t>
      </w:r>
      <w:r>
        <w:t>do; plan que permitía obtener un de</w:t>
      </w:r>
      <w:r>
        <w:t>s</w:t>
      </w:r>
      <w:r>
        <w:t>cuento especial en los minutos en las llamadas y otro beneficio, consistente en que no había que realizar d</w:t>
      </w:r>
      <w:r>
        <w:t>e</w:t>
      </w:r>
      <w:r>
        <w:t>pósito alguno para adquirir un segundo o tercer cel</w:t>
      </w:r>
      <w:r>
        <w:t>u</w:t>
      </w:r>
      <w:r>
        <w:t>lar.</w:t>
      </w:r>
    </w:p>
    <w:p w:rsidR="00224567" w:rsidRDefault="00224567">
      <w:pPr>
        <w:widowControl w:val="0"/>
      </w:pPr>
      <w:r>
        <w:tab/>
        <w:t>Explicó que aquella circunstancia pe</w:t>
      </w:r>
      <w:r>
        <w:t>r</w:t>
      </w:r>
      <w:r>
        <w:t>mitió ofrecerle a muchos de los funcionarios policiales que trabajaron con él un teléfono c</w:t>
      </w:r>
      <w:r>
        <w:t>e</w:t>
      </w:r>
      <w:r>
        <w:t>lular, en un principio a su nombre, pagando ellos las facturas c</w:t>
      </w:r>
      <w:r>
        <w:t>o</w:t>
      </w:r>
      <w:r>
        <w:t>rrespondientes, pero beneficiándose con el bajo costo de los llamados y los depós</w:t>
      </w:r>
      <w:r>
        <w:t>i</w:t>
      </w:r>
      <w:r>
        <w:t>tos que no debían realizar.</w:t>
      </w:r>
    </w:p>
    <w:p w:rsidR="00224567" w:rsidRDefault="00224567">
      <w:pPr>
        <w:widowControl w:val="0"/>
      </w:pPr>
      <w:r>
        <w:tab/>
        <w:t>Relató que luego de varios meses, al desaparecer la re</w:t>
      </w:r>
      <w:r>
        <w:t>s</w:t>
      </w:r>
      <w:r>
        <w:t>tricción de la empresa Movicom en cuanto al lapso que tenía que transcurrir para poder hacerse la transferencia de titularidad de los teléfonos, muchos la hicieron, circunstancia que se podía corroborar en una i</w:t>
      </w:r>
      <w:r>
        <w:t>n</w:t>
      </w:r>
      <w:r>
        <w:t>numerable cantidad de c</w:t>
      </w:r>
      <w:r>
        <w:t>e</w:t>
      </w:r>
      <w:r>
        <w:t>lulares.</w:t>
      </w:r>
    </w:p>
    <w:p w:rsidR="00224567" w:rsidRDefault="00224567">
      <w:pPr>
        <w:widowControl w:val="0"/>
      </w:pPr>
      <w:r>
        <w:tab/>
        <w:t>En cuanto a las imputaciones que le formularon policías no afectados a la investig</w:t>
      </w:r>
      <w:r>
        <w:t>a</w:t>
      </w:r>
      <w:r>
        <w:t>ción y que se hallaban en libertad, como Nicolau, se reservó la d</w:t>
      </w:r>
      <w:r>
        <w:t>e</w:t>
      </w:r>
      <w:r>
        <w:t>mostración de su mendacidad y el motivo de la misma para el momento de su citación.</w:t>
      </w:r>
    </w:p>
    <w:p w:rsidR="00224567" w:rsidRDefault="00224567">
      <w:pPr>
        <w:widowControl w:val="0"/>
      </w:pPr>
      <w:r>
        <w:tab/>
        <w:t>Con respecto a las imputaciones que le efectuaran algunos de los imputados presentes durante la audiencia, dijo que esperaría también el momento en que pasaran al estrado para escuchar como las sost</w:t>
      </w:r>
      <w:r>
        <w:t>e</w:t>
      </w:r>
      <w:r>
        <w:t>nían.</w:t>
      </w:r>
    </w:p>
    <w:p w:rsidR="00224567" w:rsidRDefault="00224567">
      <w:pPr>
        <w:widowControl w:val="0"/>
      </w:pPr>
      <w:r>
        <w:tab/>
        <w:t>Luego de exhibir la fotografía aport</w:t>
      </w:r>
      <w:r>
        <w:t>a</w:t>
      </w:r>
      <w:r>
        <w:t>da en el sobre n° 10, expuso que la misma fue tomada entre 1993 y principios de 1994, durante el verano, en una reunión celebrada en el liceo policial con los egresados de la séptima promoción al cumplir veinte años del egreso, oportunidad en la que se colocó una placa recordatoria en aquel inst</w:t>
      </w:r>
      <w:r>
        <w:t>i</w:t>
      </w:r>
      <w:r>
        <w:t>tuto.</w:t>
      </w:r>
    </w:p>
    <w:p w:rsidR="00224567" w:rsidRDefault="00224567">
      <w:pPr>
        <w:widowControl w:val="0"/>
      </w:pPr>
      <w:r>
        <w:tab/>
        <w:t>Indicó que en esa fotografía se podía apreciar al imputado Burguete, con el que compartió no s</w:t>
      </w:r>
      <w:r>
        <w:t>ó</w:t>
      </w:r>
      <w:r>
        <w:t>lo aquella  reunión sino varias otras en el ámbito fam</w:t>
      </w:r>
      <w:r>
        <w:t>i</w:t>
      </w:r>
      <w:r>
        <w:t>liar.</w:t>
      </w:r>
    </w:p>
    <w:p w:rsidR="00224567" w:rsidRDefault="00224567">
      <w:pPr>
        <w:widowControl w:val="0"/>
      </w:pPr>
      <w:r>
        <w:tab/>
        <w:t>Señaló que el nombrado realizó alg</w:t>
      </w:r>
      <w:r>
        <w:t>u</w:t>
      </w:r>
      <w:r>
        <w:t>nas apreciaciones falsas, las cuales refirió entender, por cuanto en aquél momento debió mentir para benef</w:t>
      </w:r>
      <w:r>
        <w:t>i</w:t>
      </w:r>
      <w:r>
        <w:t>ciarse con la libertad y así permanecer al lado de sus hijos.</w:t>
      </w:r>
    </w:p>
    <w:p w:rsidR="00224567" w:rsidRDefault="00224567">
      <w:pPr>
        <w:widowControl w:val="0"/>
      </w:pPr>
      <w:r>
        <w:tab/>
        <w:t>Además remarcó que en la fotografía mencionada, correspondiente al verano de 1993/1994, se p</w:t>
      </w:r>
      <w:r>
        <w:t>o</w:t>
      </w:r>
      <w:r>
        <w:t>día apreciar que Burguete poseía en la mano izquierda un cel</w:t>
      </w:r>
      <w:r>
        <w:t>u</w:t>
      </w:r>
      <w:r>
        <w:t>lar.</w:t>
      </w:r>
    </w:p>
    <w:p w:rsidR="00224567" w:rsidRDefault="00224567">
      <w:pPr>
        <w:widowControl w:val="0"/>
      </w:pPr>
      <w:r>
        <w:tab/>
        <w:t>De este modo, Ribelli indicó que Bu</w:t>
      </w:r>
      <w:r>
        <w:t>r</w:t>
      </w:r>
      <w:r>
        <w:t>guete dijo la verdad cuando fue preguntado si tuvo algún cel</w:t>
      </w:r>
      <w:r>
        <w:t>u</w:t>
      </w:r>
      <w:r>
        <w:t>lar en el año 1994 y contestó que tuvo el n° 417-1471, y que lo adquirió en agosto de ese año, pero omitió decir que en aquella época utiliz</w:t>
      </w:r>
      <w:r>
        <w:t>a</w:t>
      </w:r>
      <w:r>
        <w:t>ba un celular que estaba a su nombre aunque Burguete afrontaba los gastos, entendiendo que dicha omisión no debía ser interpretada como una me</w:t>
      </w:r>
      <w:r>
        <w:t>n</w:t>
      </w:r>
      <w:r>
        <w:t>tira.</w:t>
      </w:r>
    </w:p>
    <w:p w:rsidR="00224567" w:rsidRDefault="00224567">
      <w:pPr>
        <w:widowControl w:val="0"/>
      </w:pPr>
      <w:r>
        <w:tab/>
        <w:t>Estimó que, como en aquel momento, t</w:t>
      </w:r>
      <w:r>
        <w:t>o</w:t>
      </w:r>
      <w:r>
        <w:t>dos sus celulares estaban bajo sospecha, era lógico para todo policía en actitud defensista que, sin esperar a c</w:t>
      </w:r>
      <w:r>
        <w:t>o</w:t>
      </w:r>
      <w:r>
        <w:t>nocer cuáles eran los elementos de cargo coherentes, neg</w:t>
      </w:r>
      <w:r>
        <w:t>a</w:t>
      </w:r>
      <w:r>
        <w:t>ra haber tenido celulares a su nombre.</w:t>
      </w:r>
    </w:p>
    <w:p w:rsidR="00224567" w:rsidRDefault="00224567">
      <w:pPr>
        <w:widowControl w:val="0"/>
      </w:pPr>
      <w:r>
        <w:tab/>
        <w:t>Explicó que con lo expuesto anterio</w:t>
      </w:r>
      <w:r>
        <w:t>r</w:t>
      </w:r>
      <w:r>
        <w:t>mente quiso evidenciar cómo se fue produciendo el a</w:t>
      </w:r>
      <w:r>
        <w:t>c</w:t>
      </w:r>
      <w:r>
        <w:t>cionar del personal policial que iba pasando por el juzgado a cargo del juez Galeano, concluyendo que muchos de ellos fueron víctimas de una actuación irregular de esa depe</w:t>
      </w:r>
      <w:r>
        <w:t>n</w:t>
      </w:r>
      <w:r>
        <w:t>dencia judicial; circunstancia que iba a quedar en evide</w:t>
      </w:r>
      <w:r>
        <w:t>n</w:t>
      </w:r>
      <w:r>
        <w:t>cia a lo largo del juicio y en virtud de las d</w:t>
      </w:r>
      <w:r>
        <w:t>e</w:t>
      </w:r>
      <w:r>
        <w:t>claraciones de un ex prosecretario del magistrado instructor que e</w:t>
      </w:r>
      <w:r>
        <w:t>x</w:t>
      </w:r>
      <w:r>
        <w:t>plicó cómo se extorsionaba, apretaba o presionaba a los testigos.</w:t>
      </w:r>
    </w:p>
    <w:p w:rsidR="00224567" w:rsidRDefault="00224567">
      <w:pPr>
        <w:widowControl w:val="0"/>
      </w:pPr>
      <w:r>
        <w:tab/>
        <w:t>Afirmó que era cierto que Nicolau p</w:t>
      </w:r>
      <w:r>
        <w:t>a</w:t>
      </w:r>
      <w:r>
        <w:t>ra aquella época tenía el cel</w:t>
      </w:r>
      <w:r>
        <w:t>u</w:t>
      </w:r>
      <w:r>
        <w:t>lar n° 440-8667, el cual, según su análisis fue la línea más sujeta a investigación, ya que tenía todos sus llamados en la zona de la fam</w:t>
      </w:r>
      <w:r>
        <w:t>o</w:t>
      </w:r>
      <w:r>
        <w:t>sa celda 13 de Villa Ballester.</w:t>
      </w:r>
    </w:p>
    <w:p w:rsidR="00224567" w:rsidRDefault="00224567">
      <w:pPr>
        <w:widowControl w:val="0"/>
      </w:pPr>
      <w:r>
        <w:tab/>
        <w:t>Puntualizó que le dijo al juez Gale</w:t>
      </w:r>
      <w:r>
        <w:t>a</w:t>
      </w:r>
      <w:r>
        <w:t>no que con los pocos elementos que tenía al alcance podía vislumbrar que era imposible que un celular que había efectuado una llamada realizada en la celda 13 de Balle</w:t>
      </w:r>
      <w:r>
        <w:t>s</w:t>
      </w:r>
      <w:r>
        <w:t>ter a las 8.00, se encontrara localizado a los diez min</w:t>
      </w:r>
      <w:r>
        <w:t>u</w:t>
      </w:r>
      <w:r>
        <w:t>tos en la zona de Wilde, según lo que indicaban esos li</w:t>
      </w:r>
      <w:r>
        <w:t>s</w:t>
      </w:r>
      <w:r>
        <w:t>tados; situación que quiso aclarar aunque el mencionado teléfono no estaba bajo su posesión, me</w:t>
      </w:r>
      <w:r>
        <w:t>n</w:t>
      </w:r>
      <w:r>
        <w:t>cionando, además, que luego de varios reclamos la empresa Movicom remitió nuevos informes.</w:t>
      </w:r>
    </w:p>
    <w:p w:rsidR="00224567" w:rsidRDefault="00224567">
      <w:pPr>
        <w:widowControl w:val="0"/>
      </w:pPr>
      <w:r>
        <w:tab/>
        <w:t>Por ello, caracterizó de falsos los primeros informes enviados por la empresa Movicom, dest</w:t>
      </w:r>
      <w:r>
        <w:t>a</w:t>
      </w:r>
      <w:r>
        <w:t>cando que el presidente de esa firma, Mauricio Wior, adm</w:t>
      </w:r>
      <w:r>
        <w:t>i</w:t>
      </w:r>
      <w:r>
        <w:t>tió que habían cometido un error involuntario. No obsta</w:t>
      </w:r>
      <w:r>
        <w:t>n</w:t>
      </w:r>
      <w:r>
        <w:t>te ello, subrayó que el juez Galeano, en su afán de sostener la imputación, creó un manto de sospecha sobre aquella primera respuesta y ordenó que se instruyera una causa a</w:t>
      </w:r>
      <w:r>
        <w:t>n</w:t>
      </w:r>
      <w:r>
        <w:t>te el juzgado a cargo del Dr. Bonadío para determinar si esa e</w:t>
      </w:r>
      <w:r>
        <w:t>m</w:t>
      </w:r>
      <w:r>
        <w:t>presa resguardó como debía los elementos que tenía a su ca</w:t>
      </w:r>
      <w:r>
        <w:t>r</w:t>
      </w:r>
      <w:r>
        <w:t>go.</w:t>
      </w:r>
    </w:p>
    <w:p w:rsidR="00224567" w:rsidRDefault="00224567">
      <w:pPr>
        <w:widowControl w:val="0"/>
      </w:pPr>
      <w:r>
        <w:tab/>
        <w:t>Remarcó que en aquella causa, c</w:t>
      </w:r>
      <w:r>
        <w:t>o</w:t>
      </w:r>
      <w:r>
        <w:t>mo en la presente, todas las personas que intervinieron en los citados informes coincidi</w:t>
      </w:r>
      <w:r>
        <w:t>e</w:t>
      </w:r>
      <w:r>
        <w:t xml:space="preserve">ron en que se trató de un error involuntario, porque sus celulares no se hallaban en la zona donde se entregó </w:t>
      </w:r>
      <w:smartTag w:uri="urn:schemas-microsoft-com:office:smarttags" w:element="PersonName">
        <w:smartTagPr>
          <w:attr w:name="ProductID" w:val="la Trafic"/>
        </w:smartTagPr>
        <w:r>
          <w:t>la Trafic</w:t>
        </w:r>
      </w:smartTag>
      <w:r>
        <w:t>, sino en Avellaneda, c</w:t>
      </w:r>
      <w:r>
        <w:t>o</w:t>
      </w:r>
      <w:r>
        <w:t>rrespondiente al radio de trab</w:t>
      </w:r>
      <w:r>
        <w:t>a</w:t>
      </w:r>
      <w:r>
        <w:t xml:space="preserve">jo de </w:t>
      </w:r>
      <w:smartTag w:uri="urn:schemas-microsoft-com:office:smarttags" w:element="PersonName">
        <w:smartTagPr>
          <w:attr w:name="ProductID" w:val="la Brigada"/>
        </w:smartTagPr>
        <w:r>
          <w:t>la Brigada</w:t>
        </w:r>
      </w:smartTag>
      <w:r>
        <w:t xml:space="preserve"> de Lanús.</w:t>
      </w:r>
    </w:p>
    <w:p w:rsidR="00224567" w:rsidRDefault="00224567">
      <w:pPr>
        <w:widowControl w:val="0"/>
      </w:pPr>
      <w:r>
        <w:tab/>
        <w:t>Por otra parte, expresó que entre las imputaciones que le formuló el juez Galeano, se habló de un testigo Solari, a quien jamás con</w:t>
      </w:r>
      <w:r>
        <w:t>o</w:t>
      </w:r>
      <w:r>
        <w:t>ció ni tuvo contacto alguno.</w:t>
      </w:r>
    </w:p>
    <w:p w:rsidR="00224567" w:rsidRDefault="00224567">
      <w:pPr>
        <w:widowControl w:val="0"/>
      </w:pPr>
      <w:r>
        <w:tab/>
        <w:t>Indicó que del estudio de la causa a</w:t>
      </w:r>
      <w:r>
        <w:t>d</w:t>
      </w:r>
      <w:r>
        <w:t>virtió que el magistrado instructor sostuvo que un deten</w:t>
      </w:r>
      <w:r>
        <w:t>i</w:t>
      </w:r>
      <w:r>
        <w:t xml:space="preserve">do de </w:t>
      </w:r>
      <w:smartTag w:uri="urn:schemas-microsoft-com:office:smarttags" w:element="PersonName">
        <w:smartTagPr>
          <w:attr w:name="ProductID" w:val="la Brigada"/>
        </w:smartTagPr>
        <w:r>
          <w:t>la Brigada</w:t>
        </w:r>
      </w:smartTag>
      <w:r>
        <w:t xml:space="preserve"> de Vicente López había sido prepar</w:t>
      </w:r>
      <w:r>
        <w:t>a</w:t>
      </w:r>
      <w:r>
        <w:t>do por personal policial, explicando que en virtud de ello come</w:t>
      </w:r>
      <w:r>
        <w:t>n</w:t>
      </w:r>
      <w:r>
        <w:t>zó a interiorizarse por quién era Solari.</w:t>
      </w:r>
    </w:p>
    <w:p w:rsidR="00224567" w:rsidRDefault="00224567">
      <w:pPr>
        <w:widowControl w:val="0"/>
      </w:pPr>
      <w:r>
        <w:tab/>
        <w:t>En este punto, recordó que a p</w:t>
      </w:r>
      <w:r>
        <w:t>e</w:t>
      </w:r>
      <w:r>
        <w:t>sar de haber solicitado la entrega de los legajos “C” y “D”, do</w:t>
      </w:r>
      <w:r>
        <w:t>n</w:t>
      </w:r>
      <w:r>
        <w:t>de obraba la investigación de Solari y eran citados por el juez Galeano, éste se los negó, no obstante los utilizó para sostener las imputaci</w:t>
      </w:r>
      <w:r>
        <w:t>o</w:t>
      </w:r>
      <w:r>
        <w:t>nes.</w:t>
      </w:r>
    </w:p>
    <w:p w:rsidR="00224567" w:rsidRDefault="00224567">
      <w:pPr>
        <w:widowControl w:val="0"/>
      </w:pPr>
      <w:r>
        <w:tab/>
        <w:t xml:space="preserve"> Refirió que luego tomó conocimiento que Solari había estado detenido y que al momento de la audiencia se encontraba cumpliendo una condena de recl</w:t>
      </w:r>
      <w:r>
        <w:t>u</w:t>
      </w:r>
      <w:r>
        <w:t>sión, por ser el responsable de varios asesinatos, prec</w:t>
      </w:r>
      <w:r>
        <w:t>i</w:t>
      </w:r>
      <w:r>
        <w:t>sando que en el auto de procesamiento del 31 de julio de 1996 el juez Galeano sostuvo que Solari había sido prep</w:t>
      </w:r>
      <w:r>
        <w:t>a</w:t>
      </w:r>
      <w:r>
        <w:t>rado por la policía, sin existir en la causa ninguna man</w:t>
      </w:r>
      <w:r>
        <w:t>i</w:t>
      </w:r>
      <w:r>
        <w:t>festación del nombrado en ese sentido.</w:t>
      </w:r>
    </w:p>
    <w:p w:rsidR="00224567" w:rsidRDefault="00224567">
      <w:pPr>
        <w:widowControl w:val="0"/>
      </w:pPr>
      <w:r>
        <w:tab/>
        <w:t>Además, resaltó que en aquél decis</w:t>
      </w:r>
      <w:r>
        <w:t>o</w:t>
      </w:r>
      <w:r>
        <w:t>rio el juez sostuvo que la causa de Quilmes había sido util</w:t>
      </w:r>
      <w:r>
        <w:t>i</w:t>
      </w:r>
      <w:r>
        <w:t>zada para volcar datos falsos y relacionar a T</w:t>
      </w:r>
      <w:r>
        <w:t>e</w:t>
      </w:r>
      <w:r>
        <w:t>lleldín con esas actuaciones, destaca</w:t>
      </w:r>
      <w:r>
        <w:t>n</w:t>
      </w:r>
      <w:r>
        <w:t>do que en agosto de 1996, logró que el imputado Huici se retractara en algunos de sus d</w:t>
      </w:r>
      <w:r>
        <w:t>i</w:t>
      </w:r>
      <w:r>
        <w:t>chos y recon</w:t>
      </w:r>
      <w:r>
        <w:t>o</w:t>
      </w:r>
      <w:r>
        <w:t>ciera que en la causa de Quilmes se armó una declaración para sostener y cubrir unas lesiones de C</w:t>
      </w:r>
      <w:r>
        <w:t>a</w:t>
      </w:r>
      <w:r>
        <w:t>sas.</w:t>
      </w:r>
    </w:p>
    <w:p w:rsidR="00224567" w:rsidRDefault="00224567">
      <w:pPr>
        <w:widowControl w:val="0"/>
      </w:pPr>
      <w:r>
        <w:tab/>
        <w:t>Al respecto, Ribelli estimó que las lesiones del suboficial Casas no necesitaban ser c</w:t>
      </w:r>
      <w:r>
        <w:t>u</w:t>
      </w:r>
      <w:r>
        <w:t>biertas administrativamente, porque el informe m</w:t>
      </w:r>
      <w:r>
        <w:t>é</w:t>
      </w:r>
      <w:r>
        <w:t>dico existente en la causa concluyó en que padeció una serie de excoriaci</w:t>
      </w:r>
      <w:r>
        <w:t>o</w:t>
      </w:r>
      <w:r>
        <w:t>nes, calificadas como lesiones leves, que se trata de un delito dependiente de insta</w:t>
      </w:r>
      <w:r>
        <w:t>n</w:t>
      </w:r>
      <w:r>
        <w:t>cia privada.</w:t>
      </w:r>
    </w:p>
    <w:p w:rsidR="00224567" w:rsidRDefault="00224567">
      <w:pPr>
        <w:widowControl w:val="0"/>
      </w:pPr>
      <w:r>
        <w:tab/>
        <w:t>También, señaló que dichas her</w:t>
      </w:r>
      <w:r>
        <w:t>i</w:t>
      </w:r>
      <w:r>
        <w:t>das no impidieron que se presentara al servicio; circunstancia que podía corroborarse con el libro de guardia, en el que surgía que Casas no se ausentó ni un solo día luego del incidente, considerando que no existía mérito para que se labrara un sumario admini</w:t>
      </w:r>
      <w:r>
        <w:t>s</w:t>
      </w:r>
      <w:r>
        <w:t>trativo.</w:t>
      </w:r>
    </w:p>
    <w:p w:rsidR="00224567" w:rsidRDefault="00224567">
      <w:pPr>
        <w:widowControl w:val="0"/>
      </w:pPr>
      <w:r>
        <w:tab/>
        <w:t>Para responder al cuestionamiento co</w:t>
      </w:r>
      <w:r>
        <w:t>n</w:t>
      </w:r>
      <w:r>
        <w:t>sistente en que no se había instruido un sumario p</w:t>
      </w:r>
      <w:r>
        <w:t>e</w:t>
      </w:r>
      <w:r>
        <w:t>nal por la fuga de Telleldín el 15 de marzo de 1994 en Olivos, R</w:t>
      </w:r>
      <w:r>
        <w:t>i</w:t>
      </w:r>
      <w:r>
        <w:t>belli explicó que todas las ci</w:t>
      </w:r>
      <w:r>
        <w:t>r</w:t>
      </w:r>
      <w:r>
        <w:t>cunstancias vinculadas con ello fueron volcadas en la causa judicial de Quilmes, pr</w:t>
      </w:r>
      <w:r>
        <w:t>e</w:t>
      </w:r>
      <w:r>
        <w:t>cisando que era el juez quien debía evaluar si se declar</w:t>
      </w:r>
      <w:r>
        <w:t>a</w:t>
      </w:r>
      <w:r>
        <w:t>ba incompetente o mantenía la c</w:t>
      </w:r>
      <w:r>
        <w:t>o</w:t>
      </w:r>
      <w:r>
        <w:t>nexidad, como hizo el juez Galeano cuando le comunicaron el inicio del sumario adm</w:t>
      </w:r>
      <w:r>
        <w:t>i</w:t>
      </w:r>
      <w:r>
        <w:t>nistrativo y la copia penal que dio origen a la causa nº 1598.</w:t>
      </w:r>
    </w:p>
    <w:p w:rsidR="00224567" w:rsidRDefault="00224567">
      <w:pPr>
        <w:widowControl w:val="0"/>
      </w:pPr>
      <w:r>
        <w:tab/>
        <w:t>Con relación al tema “Solari”, Rib</w:t>
      </w:r>
      <w:r>
        <w:t>e</w:t>
      </w:r>
      <w:r>
        <w:t>lli refirió que el nombrado, en sus primeras declaraciones a</w:t>
      </w:r>
      <w:r>
        <w:t>n</w:t>
      </w:r>
      <w:r>
        <w:t>te el juez Galeano, afirmó haber sido testigo de la entr</w:t>
      </w:r>
      <w:r>
        <w:t>e</w:t>
      </w:r>
      <w:r>
        <w:t xml:space="preserve">ga de </w:t>
      </w:r>
      <w:smartTag w:uri="urn:schemas-microsoft-com:office:smarttags" w:element="PersonName">
        <w:smartTagPr>
          <w:attr w:name="ProductID" w:val="la Trafic"/>
        </w:smartTagPr>
        <w:r>
          <w:t>la Trafic</w:t>
        </w:r>
      </w:smartTag>
      <w:r>
        <w:t xml:space="preserve"> por parte de T</w:t>
      </w:r>
      <w:r>
        <w:t>e</w:t>
      </w:r>
      <w:r>
        <w:t>lleldin a un señor Husein y a otro llamado Ramón Martínez, encontrándose presente ta</w:t>
      </w:r>
      <w:r>
        <w:t>m</w:t>
      </w:r>
      <w:r>
        <w:t>bién B</w:t>
      </w:r>
      <w:r>
        <w:t>a</w:t>
      </w:r>
      <w:r>
        <w:t>rreiro.</w:t>
      </w:r>
    </w:p>
    <w:p w:rsidR="00224567" w:rsidRDefault="00224567">
      <w:pPr>
        <w:widowControl w:val="0"/>
      </w:pPr>
      <w:r>
        <w:tab/>
        <w:t>Apuntó que tanto el juez Galeano como los fiscales sostuvieron que tanto Barreiro como él, al igual que otro personal policial, instruyeron a Solari p</w:t>
      </w:r>
      <w:r>
        <w:t>a</w:t>
      </w:r>
      <w:r>
        <w:t>ra que desviara la investigación, estimando que ello car</w:t>
      </w:r>
      <w:r>
        <w:t>e</w:t>
      </w:r>
      <w:r>
        <w:t>cía de sentido.</w:t>
      </w:r>
    </w:p>
    <w:p w:rsidR="00224567" w:rsidRDefault="00224567">
      <w:pPr>
        <w:widowControl w:val="0"/>
      </w:pPr>
      <w:r>
        <w:tab/>
        <w:t>Mencionó que a través de la investig</w:t>
      </w:r>
      <w:r>
        <w:t>a</w:t>
      </w:r>
      <w:r>
        <w:t>ción se presentaron ante el juez Galeano un sinnúmero de detenidos de diferentes unidades carcelarias quienes apr</w:t>
      </w:r>
      <w:r>
        <w:t>o</w:t>
      </w:r>
      <w:r>
        <w:t>vecharon la situación, aclarando que si bien los entendía, porque se encontraban privados de su libertad, consideró que era mejor estar preso que tener cargo de conciencia por mentir e involucrar en el atentado a personas inoce</w:t>
      </w:r>
      <w:r>
        <w:t>n</w:t>
      </w:r>
      <w:r>
        <w:t>tes.</w:t>
      </w:r>
    </w:p>
    <w:p w:rsidR="00224567" w:rsidRDefault="00224567">
      <w:pPr>
        <w:widowControl w:val="0"/>
      </w:pPr>
      <w:r>
        <w:tab/>
        <w:t>En este orden de ideas, exhibió una carta de Solari, que recibió a m</w:t>
      </w:r>
      <w:r>
        <w:t>e</w:t>
      </w:r>
      <w:r>
        <w:t xml:space="preserve">diados de 1997, cuando se hallaba en </w:t>
      </w:r>
      <w:smartTag w:uri="urn:schemas-microsoft-com:office:smarttags" w:element="PersonName">
        <w:smartTagPr>
          <w:attr w:name="ProductID" w:val="la Unidad"/>
        </w:smartTagPr>
        <w:r>
          <w:t>la Unidad</w:t>
        </w:r>
      </w:smartTag>
      <w:r>
        <w:t xml:space="preserve"> 16 del S.P.F., prec</w:t>
      </w:r>
      <w:r>
        <w:t>i</w:t>
      </w:r>
      <w:r>
        <w:t>sando que cuando le informaron que tenía correspondencia firmó un libro y le entregaron un sobre cuyo remitente contenía un membrete a nombre de Graciela Bernal, con un domic</w:t>
      </w:r>
      <w:r>
        <w:t>i</w:t>
      </w:r>
      <w:r>
        <w:t>lio en la calle Tucumán de Capital Federal, a quien desconocía en ese m</w:t>
      </w:r>
      <w:r>
        <w:t>o</w:t>
      </w:r>
      <w:r>
        <w:t>mento.</w:t>
      </w:r>
    </w:p>
    <w:p w:rsidR="00224567" w:rsidRDefault="00224567">
      <w:pPr>
        <w:widowControl w:val="0"/>
      </w:pPr>
      <w:r>
        <w:tab/>
        <w:t>Relató que la carta lo sorprendió, e</w:t>
      </w:r>
      <w:r>
        <w:t>n</w:t>
      </w:r>
      <w:r>
        <w:t>tendiendo que Solari, ante el incumplimiento de lo prom</w:t>
      </w:r>
      <w:r>
        <w:t>e</w:t>
      </w:r>
      <w:r>
        <w:t>tido por el juez Galeano había decido sincerarse.</w:t>
      </w:r>
    </w:p>
    <w:p w:rsidR="00224567" w:rsidRDefault="00224567">
      <w:pPr>
        <w:widowControl w:val="0"/>
      </w:pPr>
      <w:r>
        <w:tab/>
        <w:t>Afirmó que Solari, a través de la ca</w:t>
      </w:r>
      <w:r>
        <w:t>u</w:t>
      </w:r>
      <w:r>
        <w:t>sa A.M.I.A., logró muchos beneficios, entre ellos, ser trasladado a una cá</w:t>
      </w:r>
      <w:r>
        <w:t>r</w:t>
      </w:r>
      <w:r>
        <w:t>cel federal.</w:t>
      </w:r>
    </w:p>
    <w:p w:rsidR="00224567" w:rsidRDefault="00224567">
      <w:pPr>
        <w:widowControl w:val="0"/>
      </w:pPr>
      <w:r>
        <w:tab/>
        <w:t>Refirió que en el año 1999, en mome</w:t>
      </w:r>
      <w:r>
        <w:t>n</w:t>
      </w:r>
      <w:r>
        <w:t>tos en que Solari se hallaba detenido en Sierra Chica, vio por televisión que miembros de la comisión bicameral, e</w:t>
      </w:r>
      <w:r>
        <w:t>n</w:t>
      </w:r>
      <w:r>
        <w:t>cabezados por Soria, junto a Cruchaga, Juan Pablo Cafi</w:t>
      </w:r>
      <w:r>
        <w:t>e</w:t>
      </w:r>
      <w:r>
        <w:t>ro y Galván, concurrieron a Olavarría, remarcando que se tr</w:t>
      </w:r>
      <w:r>
        <w:t>a</w:t>
      </w:r>
      <w:r>
        <w:t>taba de la segunda visita que efectuaban los nombrados porque la primera la había hecho C</w:t>
      </w:r>
      <w:r>
        <w:t>a</w:t>
      </w:r>
      <w:r>
        <w:t>fiero para obtener una imputación de S</w:t>
      </w:r>
      <w:r>
        <w:t>o</w:t>
      </w:r>
      <w:r>
        <w:t>lari hacia él.</w:t>
      </w:r>
    </w:p>
    <w:p w:rsidR="00224567" w:rsidRDefault="00224567">
      <w:pPr>
        <w:widowControl w:val="0"/>
      </w:pPr>
      <w:r>
        <w:tab/>
        <w:t>Dijo que desconocía lo que pudo haber existido para lograr que Solari, ante los miembros de la comisión bicameral, dijera abiert</w:t>
      </w:r>
      <w:r>
        <w:t>a</w:t>
      </w:r>
      <w:r>
        <w:t xml:space="preserve">mente que él lo preparó en </w:t>
      </w:r>
      <w:smartTag w:uri="urn:schemas-microsoft-com:office:smarttags" w:element="PersonName">
        <w:smartTagPr>
          <w:attr w:name="ProductID" w:val="la Brigada"/>
        </w:smartTagPr>
        <w:r>
          <w:t>la Brigada</w:t>
        </w:r>
      </w:smartTag>
      <w:r>
        <w:t xml:space="preserve"> de Vicente López, ofreciéndole una suma de cien mil dólares.</w:t>
      </w:r>
    </w:p>
    <w:p w:rsidR="00224567" w:rsidRDefault="00224567">
      <w:pPr>
        <w:widowControl w:val="0"/>
      </w:pPr>
      <w:r>
        <w:tab/>
        <w:t>Asimismo, manifestó que Solari mezcló en la imputación a Bareiro, Leal y Rago, ci</w:t>
      </w:r>
      <w:r>
        <w:t>r</w:t>
      </w:r>
      <w:r>
        <w:t>cunstancia que permitió cerrar las hipótesis del juez Galeano como para que la causa estuviera en condiciones de ser elevada a juicio.</w:t>
      </w:r>
    </w:p>
    <w:p w:rsidR="00224567" w:rsidRDefault="00224567">
      <w:pPr>
        <w:widowControl w:val="0"/>
      </w:pPr>
      <w:r>
        <w:tab/>
        <w:t>Calificó de falsas las imputaciones realizadas por Solari, destacando que cuando éstas se co</w:t>
      </w:r>
      <w:r>
        <w:t>n</w:t>
      </w:r>
      <w:r>
        <w:t>cretaron en el ámbito periodístico, presentó un e</w:t>
      </w:r>
      <w:r>
        <w:t>s</w:t>
      </w:r>
      <w:r>
        <w:t>crito al juez Galeano  para que solicitara a la com</w:t>
      </w:r>
      <w:r>
        <w:t>i</w:t>
      </w:r>
      <w:r>
        <w:t>sión bicameral el envío de la declar</w:t>
      </w:r>
      <w:r>
        <w:t>a</w:t>
      </w:r>
      <w:r>
        <w:t>ción del nombrado y también a fin de que citara a Solari al juzgado.</w:t>
      </w:r>
    </w:p>
    <w:p w:rsidR="00224567" w:rsidRDefault="00224567">
      <w:pPr>
        <w:widowControl w:val="0"/>
      </w:pPr>
      <w:r>
        <w:tab/>
        <w:t>No obstante ello, Ribelli refirió que el magistrado no lo citó, estimando que ello se debía a que todavía seguían neg</w:t>
      </w:r>
      <w:r>
        <w:t>o</w:t>
      </w:r>
      <w:r>
        <w:t>ciando.</w:t>
      </w:r>
    </w:p>
    <w:p w:rsidR="00224567" w:rsidRDefault="00224567">
      <w:pPr>
        <w:widowControl w:val="0"/>
      </w:pPr>
      <w:r>
        <w:tab/>
        <w:t>En cuanto a la imputación princ</w:t>
      </w:r>
      <w:r>
        <w:t>i</w:t>
      </w:r>
      <w:r>
        <w:t>pal de Telleldín, firmada el 5 de julio de 1996, Ribelli se r</w:t>
      </w:r>
      <w:r>
        <w:t>e</w:t>
      </w:r>
      <w:r>
        <w:t>montó a la existencia del video.</w:t>
      </w:r>
    </w:p>
    <w:p w:rsidR="00224567" w:rsidRDefault="00224567">
      <w:pPr>
        <w:widowControl w:val="0"/>
      </w:pPr>
      <w:r>
        <w:tab/>
        <w:t>Seguidamente, Ribelli brindó su ve</w:t>
      </w:r>
      <w:r>
        <w:t>r</w:t>
      </w:r>
      <w:r>
        <w:t>sión de los hechos con relación a la imputación endi</w:t>
      </w:r>
      <w:r>
        <w:t>l</w:t>
      </w:r>
      <w:r>
        <w:t>gada en la causa nº 496, que habrán de menci</w:t>
      </w:r>
      <w:r>
        <w:t>o</w:t>
      </w:r>
      <w:r>
        <w:t>narse en el título II de esta sentencia.</w:t>
      </w:r>
    </w:p>
    <w:p w:rsidR="00224567" w:rsidRDefault="00224567">
      <w:pPr>
        <w:widowControl w:val="0"/>
      </w:pPr>
      <w:r>
        <w:tab/>
        <w:t>Posteriormente, solicitó acceder a la identidad y legajos de los testigos de identidad reserv</w:t>
      </w:r>
      <w:r>
        <w:t>a</w:t>
      </w:r>
      <w:r>
        <w:t>da, en especial, los identificados con los números dos y seis, para responder a sus imput</w:t>
      </w:r>
      <w:r>
        <w:t>a</w:t>
      </w:r>
      <w:r>
        <w:t>ciones.</w:t>
      </w:r>
    </w:p>
    <w:p w:rsidR="00224567" w:rsidRDefault="00224567">
      <w:pPr>
        <w:widowControl w:val="0"/>
      </w:pPr>
      <w:r>
        <w:t xml:space="preserve"> </w:t>
      </w:r>
      <w:r>
        <w:tab/>
        <w:t>Luego se refirió a la donación de su padre, aclarando que se documentó en una escritura públ</w:t>
      </w:r>
      <w:r>
        <w:t>i</w:t>
      </w:r>
      <w:r>
        <w:t>ca, remarcando que era cierto todo lo que decía y que ello no había sido rebatido por los fi</w:t>
      </w:r>
      <w:r>
        <w:t>s</w:t>
      </w:r>
      <w:r>
        <w:t>cales hasta el momento.</w:t>
      </w:r>
    </w:p>
    <w:p w:rsidR="00224567" w:rsidRDefault="00224567">
      <w:pPr>
        <w:widowControl w:val="0"/>
      </w:pPr>
      <w:r>
        <w:tab/>
        <w:t>Si bien manifestó que daría todas las explicaciones d</w:t>
      </w:r>
      <w:r>
        <w:t>u</w:t>
      </w:r>
      <w:r>
        <w:t>rante el debate con relación al origen de la donación, exigió que los fiscales probaran primero c</w:t>
      </w:r>
      <w:r>
        <w:t>ó</w:t>
      </w:r>
      <w:r>
        <w:t>mo ese dinero, que ellos presuponían que era el pago por el atentado, había ingresado al patrimonio de su familia de manos de los terrori</w:t>
      </w:r>
      <w:r>
        <w:t>s</w:t>
      </w:r>
      <w:r>
        <w:t>tas.</w:t>
      </w:r>
    </w:p>
    <w:p w:rsidR="00224567" w:rsidRDefault="00224567">
      <w:pPr>
        <w:widowControl w:val="0"/>
      </w:pPr>
      <w:r>
        <w:tab/>
        <w:t>Por otra parte, Ribelli alegó que existían un sinnúmero de sospechas originadas en esc</w:t>
      </w:r>
      <w:r>
        <w:t>u</w:t>
      </w:r>
      <w:r>
        <w:t>chas, producto de intervenciones telefónicas, estimando que m</w:t>
      </w:r>
      <w:r>
        <w:t>u</w:t>
      </w:r>
      <w:r>
        <w:t>chos fragmentos habían sido editados.</w:t>
      </w:r>
    </w:p>
    <w:p w:rsidR="00224567" w:rsidRDefault="00224567">
      <w:pPr>
        <w:widowControl w:val="0"/>
      </w:pPr>
      <w:r>
        <w:tab/>
        <w:t>Ello, por considerar que la pista p</w:t>
      </w:r>
      <w:r>
        <w:t>o</w:t>
      </w:r>
      <w:r>
        <w:t>licial se originó en pruebas armadas, en virtud del int</w:t>
      </w:r>
      <w:r>
        <w:t>e</w:t>
      </w:r>
      <w:r>
        <w:t>rés de un sector político para que la investigación fu</w:t>
      </w:r>
      <w:r>
        <w:t>e</w:t>
      </w:r>
      <w:r>
        <w:t xml:space="preserve">ra dirigida hacia la policía bonaerense, puntualizando que dichas escuchas telefónicas fueron realizadas por </w:t>
      </w:r>
      <w:smartTag w:uri="urn:schemas-microsoft-com:office:smarttags" w:element="PersonName">
        <w:smartTagPr>
          <w:attr w:name="ProductID" w:val="la S.I"/>
        </w:smartTagPr>
        <w:r>
          <w:t>la S.I</w:t>
        </w:r>
      </w:smartTag>
      <w:r>
        <w:t>.D.E., dependiente del Ministerio del Interior del P</w:t>
      </w:r>
      <w:r>
        <w:t>o</w:t>
      </w:r>
      <w:r>
        <w:t xml:space="preserve">der Ejecutivo de </w:t>
      </w:r>
      <w:smartTag w:uri="urn:schemas-microsoft-com:office:smarttags" w:element="PersonName">
        <w:smartTagPr>
          <w:attr w:name="ProductID" w:val="la Naci￳n."/>
        </w:smartTagPr>
        <w:r>
          <w:t>la Nación.</w:t>
        </w:r>
      </w:smartTag>
    </w:p>
    <w:p w:rsidR="00224567" w:rsidRDefault="00224567">
      <w:pPr>
        <w:widowControl w:val="0"/>
      </w:pPr>
      <w:r>
        <w:tab/>
        <w:t>Si bien reconoció haber mantenido co</w:t>
      </w:r>
      <w:r>
        <w:t>n</w:t>
      </w:r>
      <w:r>
        <w:t>versaciones con v</w:t>
      </w:r>
      <w:r>
        <w:t>a</w:t>
      </w:r>
      <w:r>
        <w:t>rias personas, aclaró que jamás lo hizo en el contexto o de acuerdo a la interpretación que le dieron durante todos e</w:t>
      </w:r>
      <w:r>
        <w:t>s</w:t>
      </w:r>
      <w:r>
        <w:t>tos años.</w:t>
      </w:r>
    </w:p>
    <w:p w:rsidR="00224567" w:rsidRDefault="00224567">
      <w:pPr>
        <w:widowControl w:val="0"/>
      </w:pPr>
      <w:r>
        <w:tab/>
        <w:t>Refirió que solicitó una serie de m</w:t>
      </w:r>
      <w:r>
        <w:t>e</w:t>
      </w:r>
      <w:r>
        <w:t>didas de prueba para demostrar la inexistencia de la cad</w:t>
      </w:r>
      <w:r>
        <w:t>e</w:t>
      </w:r>
      <w:r>
        <w:t>na de seguridad que debían preservar las casetes de esc</w:t>
      </w:r>
      <w:r>
        <w:t>u</w:t>
      </w:r>
      <w:r>
        <w:t>chas telefónicas.</w:t>
      </w:r>
    </w:p>
    <w:p w:rsidR="00224567" w:rsidRDefault="00224567">
      <w:pPr>
        <w:widowControl w:val="0"/>
      </w:pPr>
      <w:r>
        <w:tab/>
        <w:t>Luego de exhibir una fotografía obra</w:t>
      </w:r>
      <w:r>
        <w:t>n</w:t>
      </w:r>
      <w:r>
        <w:t>te en el sobre nº 4, Ribelli señaló que la misma había s</w:t>
      </w:r>
      <w:r>
        <w:t>i</w:t>
      </w:r>
      <w:r>
        <w:t>do tomada por el fallecido fotógrafo C</w:t>
      </w:r>
      <w:r>
        <w:t>a</w:t>
      </w:r>
      <w:r>
        <w:t>bezas y había sido publicada en una revista hace unos años, estimando que allí se podía apreciar de qué forma el ju</w:t>
      </w:r>
      <w:r>
        <w:t>z</w:t>
      </w:r>
      <w:r>
        <w:t>gado mantenía la cadena de segur</w:t>
      </w:r>
      <w:r>
        <w:t>i</w:t>
      </w:r>
      <w:r>
        <w:t xml:space="preserve">dad de las casetes. </w:t>
      </w:r>
    </w:p>
    <w:p w:rsidR="00224567" w:rsidRDefault="00224567">
      <w:pPr>
        <w:widowControl w:val="0"/>
      </w:pPr>
      <w:r>
        <w:tab/>
        <w:t>En otro orden de ideas, expresó que en los videos aportados por su defensa se podía apr</w:t>
      </w:r>
      <w:r>
        <w:t>e</w:t>
      </w:r>
      <w:r>
        <w:t xml:space="preserve">ciar qué hizo los días previos a la entrega de </w:t>
      </w:r>
      <w:smartTag w:uri="urn:schemas-microsoft-com:office:smarttags" w:element="PersonName">
        <w:smartTagPr>
          <w:attr w:name="ProductID" w:val="la Trafic"/>
        </w:smartTagPr>
        <w:r>
          <w:t>la Trafic</w:t>
        </w:r>
      </w:smartTag>
      <w:r>
        <w:t xml:space="preserve"> y al ate</w:t>
      </w:r>
      <w:r>
        <w:t>n</w:t>
      </w:r>
      <w:r>
        <w:t>tado.</w:t>
      </w:r>
    </w:p>
    <w:p w:rsidR="00224567" w:rsidRDefault="00224567">
      <w:pPr>
        <w:widowControl w:val="0"/>
      </w:pPr>
      <w:r>
        <w:tab/>
        <w:t>Recordó que de la proyección de un v</w:t>
      </w:r>
      <w:r>
        <w:t>i</w:t>
      </w:r>
      <w:r>
        <w:t>deo surgía que había estado en las Cataratas del Iguazú y en los lugares turísticos adyace</w:t>
      </w:r>
      <w:r>
        <w:t>n</w:t>
      </w:r>
      <w:r>
        <w:t>tes, como Foz de Iguazú y Ciudad del Este.</w:t>
      </w:r>
    </w:p>
    <w:p w:rsidR="00224567" w:rsidRDefault="00224567">
      <w:pPr>
        <w:widowControl w:val="0"/>
      </w:pPr>
      <w:r>
        <w:tab/>
        <w:t>Además, agregó que en la causa figur</w:t>
      </w:r>
      <w:r>
        <w:t>a</w:t>
      </w:r>
      <w:r>
        <w:t>ban los registros de su alojamiento junto a su fam</w:t>
      </w:r>
      <w:r>
        <w:t>i</w:t>
      </w:r>
      <w:r>
        <w:t>lia en hotel Internacional de Cataratas, y que tenía entendido que el tribunal pidió informes acerca de los llamados efectuados desde ese lugar, recalcando que e</w:t>
      </w:r>
      <w:r>
        <w:t>s</w:t>
      </w:r>
      <w:r>
        <w:t>taba gozando de varios días de vacaciones, y no así controlando el a</w:t>
      </w:r>
      <w:r>
        <w:t>c</w:t>
      </w:r>
      <w:r>
        <w:t>cionar policial, como se dijera.</w:t>
      </w:r>
    </w:p>
    <w:p w:rsidR="00224567" w:rsidRDefault="00224567">
      <w:pPr>
        <w:widowControl w:val="0"/>
      </w:pPr>
      <w:r>
        <w:tab/>
        <w:t>Acto seguido, indicó que el video lo exhibía circulando a bordo un automóvil alquilado en las Cataratas, el día 7 de julio del 1994, lo mostraba cruza</w:t>
      </w:r>
      <w:r>
        <w:t>n</w:t>
      </w:r>
      <w:r>
        <w:t>do el puente internacional para rec</w:t>
      </w:r>
      <w:r>
        <w:t>o</w:t>
      </w:r>
      <w:r>
        <w:t>rrer la zona de Foz de Iguazú y, seguidamente, lo ilustraba cruzando a Ciudad del Este, en Par</w:t>
      </w:r>
      <w:r>
        <w:t>a</w:t>
      </w:r>
      <w:r>
        <w:t>guay.</w:t>
      </w:r>
    </w:p>
    <w:p w:rsidR="00224567" w:rsidRDefault="00224567">
      <w:pPr>
        <w:widowControl w:val="0"/>
      </w:pPr>
      <w:r>
        <w:tab/>
        <w:t>Precisó que pasó por Ciudad del Este después de las 13.00 y que regresó a las 16.00, porque se trataba de un lugar realmente detest</w:t>
      </w:r>
      <w:r>
        <w:t>a</w:t>
      </w:r>
      <w:r>
        <w:t>ble.</w:t>
      </w:r>
    </w:p>
    <w:p w:rsidR="00224567" w:rsidRDefault="00224567">
      <w:pPr>
        <w:widowControl w:val="0"/>
      </w:pPr>
      <w:r>
        <w:tab/>
        <w:t>Por otra parte, caracterizó de falsa la hipótesis que sostenía que no era necesario que est</w:t>
      </w:r>
      <w:r>
        <w:t>u</w:t>
      </w:r>
      <w:r>
        <w:t>viera presente en la zona de la entr</w:t>
      </w:r>
      <w:r>
        <w:t>e</w:t>
      </w:r>
      <w:r>
        <w:t xml:space="preserve">ga de </w:t>
      </w:r>
      <w:smartTag w:uri="urn:schemas-microsoft-com:office:smarttags" w:element="PersonName">
        <w:smartTagPr>
          <w:attr w:name="ProductID" w:val="la Trafic"/>
        </w:smartTagPr>
        <w:r>
          <w:t>la Trafic</w:t>
        </w:r>
      </w:smartTag>
      <w:r>
        <w:t xml:space="preserve"> o en la zona del atentado para ser el ideólogo o re</w:t>
      </w:r>
      <w:r>
        <w:t>s</w:t>
      </w:r>
      <w:r>
        <w:t>ponsable de la conexión local, en virtud de que no había nada en la causa ni fuera de ella que le diera sustento.</w:t>
      </w:r>
    </w:p>
    <w:p w:rsidR="00224567" w:rsidRDefault="00224567">
      <w:pPr>
        <w:widowControl w:val="0"/>
      </w:pPr>
      <w:r>
        <w:tab/>
        <w:t>Afirmó que el día 10 de julio de 1994, pasado el mediodía, estuvo de regreso en Buenos Aires, circunstancia que fue aprovechada por la parte acusadora para sostener que era posible que regresara para ir a bu</w:t>
      </w:r>
      <w:r>
        <w:t>s</w:t>
      </w:r>
      <w:r>
        <w:t xml:space="preserve">car </w:t>
      </w:r>
      <w:smartTag w:uri="urn:schemas-microsoft-com:office:smarttags" w:element="PersonName">
        <w:smartTagPr>
          <w:attr w:name="ProductID" w:val="la Trafic"/>
        </w:smartTagPr>
        <w:r>
          <w:t>la Trafic</w:t>
        </w:r>
      </w:smartTag>
      <w:r>
        <w:t>, remarcando que ello era una total mentira.</w:t>
      </w:r>
    </w:p>
    <w:p w:rsidR="00224567" w:rsidRDefault="00224567">
      <w:pPr>
        <w:widowControl w:val="0"/>
      </w:pPr>
      <w:r>
        <w:tab/>
        <w:t>Por otra parte, manifestó que se h</w:t>
      </w:r>
      <w:r>
        <w:t>a</w:t>
      </w:r>
      <w:r>
        <w:t>llaba acreditado que el día 13 de julio de 1994 partió de vacaciones junto a sus hijas mayores y su madre hacia B</w:t>
      </w:r>
      <w:r>
        <w:t>u</w:t>
      </w:r>
      <w:r>
        <w:t>zios, en Brasil, destacando que luego de varios reclamos efectuados al juez Galeano, se agregaron las constancias de los hoteles en los que se alojó y del vehículo que a</w:t>
      </w:r>
      <w:r>
        <w:t>l</w:t>
      </w:r>
      <w:r>
        <w:t>quiló.</w:t>
      </w:r>
    </w:p>
    <w:p w:rsidR="00224567" w:rsidRDefault="00224567">
      <w:pPr>
        <w:widowControl w:val="0"/>
      </w:pPr>
      <w:r>
        <w:tab/>
        <w:t>Señaló que en la filmación ta</w:t>
      </w:r>
      <w:r>
        <w:t>m</w:t>
      </w:r>
      <w:r>
        <w:t>bién se observaba el rodado Fiat Tipo, color bordó, y se apr</w:t>
      </w:r>
      <w:r>
        <w:t>e</w:t>
      </w:r>
      <w:r>
        <w:t>ciaba su patente, indicando que se hallaba certificado en la causa que ese rodado fue devuelto en Río de J</w:t>
      </w:r>
      <w:r>
        <w:t>a</w:t>
      </w:r>
      <w:r>
        <w:t>neiro el 18 de julio, pasadas las 17.00.</w:t>
      </w:r>
    </w:p>
    <w:p w:rsidR="00224567" w:rsidRDefault="00224567">
      <w:pPr>
        <w:widowControl w:val="0"/>
      </w:pPr>
      <w:r>
        <w:tab/>
        <w:t>Afirmó que aquél día, en el aeropue</w:t>
      </w:r>
      <w:r>
        <w:t>r</w:t>
      </w:r>
      <w:r>
        <w:t>to de Río de Janeiro, tomó conocimiento que en el país había ocurrido un atentado, ya que le informaron que los aer</w:t>
      </w:r>
      <w:r>
        <w:t>o</w:t>
      </w:r>
      <w:r>
        <w:t>puertos estaban cerrados.</w:t>
      </w:r>
    </w:p>
    <w:p w:rsidR="00224567" w:rsidRDefault="00224567">
      <w:pPr>
        <w:widowControl w:val="0"/>
      </w:pPr>
      <w:r>
        <w:tab/>
        <w:t>Mencionó que existieron varias inte</w:t>
      </w:r>
      <w:r>
        <w:t>r</w:t>
      </w:r>
      <w:r>
        <w:t>pretaciones acerca de su estadía en las Cataratas del Iguazú y en Brasil; algunos dijeron que se trataba de una coartada, otros que no había viajado, hubo quienes indic</w:t>
      </w:r>
      <w:r>
        <w:t>a</w:t>
      </w:r>
      <w:r>
        <w:t>ron que en la zona de la triple frontera, en Ciudad del Este, estaban las células dormidas y por último, se sost</w:t>
      </w:r>
      <w:r>
        <w:t>u</w:t>
      </w:r>
      <w:r>
        <w:t>vo que una pa</w:t>
      </w:r>
      <w:r>
        <w:t>r</w:t>
      </w:r>
      <w:r>
        <w:t>te del atentado se pudo haber programado en Brasil.</w:t>
      </w:r>
    </w:p>
    <w:p w:rsidR="00224567" w:rsidRDefault="00224567">
      <w:pPr>
        <w:widowControl w:val="0"/>
      </w:pPr>
      <w:r>
        <w:tab/>
        <w:t>Acto seguido, comentó que en la film</w:t>
      </w:r>
      <w:r>
        <w:t>a</w:t>
      </w:r>
      <w:r>
        <w:t>ción oportunamente aportada, se observaba que el día 17 se hallaba en el interior del hotel, y explicó que circun</w:t>
      </w:r>
      <w:r>
        <w:t>s</w:t>
      </w:r>
      <w:r>
        <w:t>tancialmente filmó las imágenes de televisión porque se desarrolló el campeonato del mundo de 1994 en el que  Br</w:t>
      </w:r>
      <w:r>
        <w:t>a</w:t>
      </w:r>
      <w:r>
        <w:t>sil s</w:t>
      </w:r>
      <w:r>
        <w:t>a</w:t>
      </w:r>
      <w:r>
        <w:t>lió campeón.</w:t>
      </w:r>
    </w:p>
    <w:p w:rsidR="00224567" w:rsidRDefault="00224567">
      <w:pPr>
        <w:widowControl w:val="0"/>
      </w:pPr>
      <w:r>
        <w:tab/>
        <w:t>Agradeció a Dios que las imágenes de sus vacaciones quedaran registradas, manifestando que d</w:t>
      </w:r>
      <w:r>
        <w:t>i</w:t>
      </w:r>
      <w:r>
        <w:t>chas filmaciones se  correspondían con la re</w:t>
      </w:r>
      <w:r>
        <w:t>a</w:t>
      </w:r>
      <w:r>
        <w:t>lidad, que no fueron editadas y que las casetes originales fueron entr</w:t>
      </w:r>
      <w:r>
        <w:t>e</w:t>
      </w:r>
      <w:r>
        <w:t>gados para ser sometidos a eventuales per</w:t>
      </w:r>
      <w:r>
        <w:t>i</w:t>
      </w:r>
      <w:r>
        <w:t>tajes.</w:t>
      </w:r>
    </w:p>
    <w:p w:rsidR="00224567" w:rsidRDefault="00224567">
      <w:pPr>
        <w:widowControl w:val="0"/>
      </w:pPr>
      <w:r>
        <w:tab/>
        <w:t>Estimó que el hecho de no haber est</w:t>
      </w:r>
      <w:r>
        <w:t>a</w:t>
      </w:r>
      <w:r>
        <w:t xml:space="preserve">do en Buenos Aires era fundamental para terminar de aclarar que jamás tuvo contacto con </w:t>
      </w:r>
      <w:smartTag w:uri="urn:schemas-microsoft-com:office:smarttags" w:element="PersonName">
        <w:smartTagPr>
          <w:attr w:name="ProductID" w:val="la Trafic"/>
        </w:smartTagPr>
        <w:r>
          <w:t>la Trafic</w:t>
        </w:r>
      </w:smartTag>
      <w:r>
        <w:t xml:space="preserve"> ni vinculación alg</w:t>
      </w:r>
      <w:r>
        <w:t>u</w:t>
      </w:r>
      <w:r>
        <w:t xml:space="preserve">na con el atentado a la sede de </w:t>
      </w:r>
      <w:smartTag w:uri="urn:schemas-microsoft-com:office:smarttags" w:element="PersonName">
        <w:smartTagPr>
          <w:attr w:name="ProductID" w:val="la A.M"/>
        </w:smartTagPr>
        <w:r>
          <w:t>la A.M</w:t>
        </w:r>
      </w:smartTag>
      <w:r>
        <w:t>.I.A..</w:t>
      </w:r>
    </w:p>
    <w:p w:rsidR="00224567" w:rsidRDefault="00224567">
      <w:pPr>
        <w:widowControl w:val="0"/>
      </w:pPr>
      <w:r>
        <w:tab/>
        <w:t>Mencionó que se sostenían ment</w:t>
      </w:r>
      <w:r>
        <w:t>i</w:t>
      </w:r>
      <w:r>
        <w:t>ras en el auto de elev</w:t>
      </w:r>
      <w:r>
        <w:t>a</w:t>
      </w:r>
      <w:r>
        <w:t>ción a juicio, como cuando se decía que su celular nº 448-0447 tenía un llamado del 28 de mayo de 1994 al nº 768-0902, correspondiente a la casa de Telle</w:t>
      </w:r>
      <w:r>
        <w:t>l</w:t>
      </w:r>
      <w:r>
        <w:t>dín.</w:t>
      </w:r>
    </w:p>
    <w:p w:rsidR="00224567" w:rsidRDefault="00224567">
      <w:pPr>
        <w:widowControl w:val="0"/>
      </w:pPr>
      <w:r>
        <w:tab/>
        <w:t>Explicó que, una vez aclarado que ese teléfono era utilizado por el muchacho que tr</w:t>
      </w:r>
      <w:r>
        <w:t>a</w:t>
      </w:r>
      <w:r>
        <w:t>bajaba en la agencia, el juez Galeano dijo que era mentira porque Can</w:t>
      </w:r>
      <w:r>
        <w:t>e</w:t>
      </w:r>
      <w:r>
        <w:t>va, en una declaración ante otro juzgado reconoció haber hecho esa llam</w:t>
      </w:r>
      <w:r>
        <w:t>a</w:t>
      </w:r>
      <w:r>
        <w:t>da.</w:t>
      </w:r>
    </w:p>
    <w:p w:rsidR="00224567" w:rsidRDefault="00224567">
      <w:pPr>
        <w:widowControl w:val="0"/>
      </w:pPr>
      <w:r>
        <w:tab/>
        <w:t>Ribelli sostuvo que lo afirmado por el juez Galeano no era cierto, para lo cual bastaba con cot</w:t>
      </w:r>
      <w:r>
        <w:t>e</w:t>
      </w:r>
      <w:r>
        <w:t>jar la declaración brindada por aquel ante el ju</w:t>
      </w:r>
      <w:r>
        <w:t>z</w:t>
      </w:r>
      <w:r>
        <w:t>gado del Dr. Cavallo.</w:t>
      </w:r>
    </w:p>
    <w:p w:rsidR="00224567" w:rsidRDefault="00224567">
      <w:pPr>
        <w:widowControl w:val="0"/>
      </w:pPr>
      <w:r>
        <w:tab/>
        <w:t>Luego de exhibirse fragmentos del v</w:t>
      </w:r>
      <w:r>
        <w:t>i</w:t>
      </w:r>
      <w:r>
        <w:t>deo del 1º de julio de 1996, Ribelli señaló que se veía al juez Galeano negociando una declaración con Telleldín a cambio de una suma de dinero, y también se obse</w:t>
      </w:r>
      <w:r>
        <w:t>r</w:t>
      </w:r>
      <w:r>
        <w:t>vaba cómo el magistrado le entregaba un cuestionario a Telleldín, estimando que ambos habían mantenido conversaciones ant</w:t>
      </w:r>
      <w:r>
        <w:t>e</w:t>
      </w:r>
      <w:r>
        <w:t>riores porque estaban hablando de cosas que ambos con</w:t>
      </w:r>
      <w:r>
        <w:t>o</w:t>
      </w:r>
      <w:r>
        <w:t>cían, como la s</w:t>
      </w:r>
      <w:r>
        <w:t>u</w:t>
      </w:r>
      <w:r>
        <w:t>puesta venta del libro.</w:t>
      </w:r>
    </w:p>
    <w:p w:rsidR="00224567" w:rsidRDefault="00224567">
      <w:pPr>
        <w:widowControl w:val="0"/>
      </w:pPr>
      <w:r>
        <w:tab/>
        <w:t>Asimismo, indicó que en otro tr</w:t>
      </w:r>
      <w:r>
        <w:t>a</w:t>
      </w:r>
      <w:r>
        <w:t>mo de la filmación se veía cómo Telleldín contestaba algunas preguntas y que otras no podía hacerlo con la verdad.</w:t>
      </w:r>
    </w:p>
    <w:p w:rsidR="00224567" w:rsidRDefault="00224567">
      <w:pPr>
        <w:widowControl w:val="0"/>
      </w:pPr>
      <w:r>
        <w:tab/>
        <w:t>Igualmente, Ribelli destacó que en aquél video Telleldín afirmó reconocerlo en una foto, pu</w:t>
      </w:r>
      <w:r>
        <w:t>n</w:t>
      </w:r>
      <w:r>
        <w:t>tualizando que a esa fecha no existía constancia a</w:t>
      </w:r>
      <w:r>
        <w:t>l</w:t>
      </w:r>
      <w:r>
        <w:t>guna en la causa que indicara que el juez Galeano legalmente le hubiera e</w:t>
      </w:r>
      <w:r>
        <w:t>x</w:t>
      </w:r>
      <w:r>
        <w:t>hibido fotografías a Telleldín para que pudiera expresarse de esa forma.</w:t>
      </w:r>
    </w:p>
    <w:p w:rsidR="00224567" w:rsidRDefault="00224567">
      <w:pPr>
        <w:widowControl w:val="0"/>
      </w:pPr>
      <w:r>
        <w:tab/>
        <w:t>Refirió que en otra parte de esa ci</w:t>
      </w:r>
      <w:r>
        <w:t>n</w:t>
      </w:r>
      <w:r>
        <w:t>ta se veía cuando Telleldín le decía al magistrado que le e</w:t>
      </w:r>
      <w:r>
        <w:t>x</w:t>
      </w:r>
      <w:r>
        <w:t>hibiera la foto de Ibarra con bigotes; prueba que demo</w:t>
      </w:r>
      <w:r>
        <w:t>s</w:t>
      </w:r>
      <w:r>
        <w:t>traba aún más que Telleldín tuvo acceso a todas esas fot</w:t>
      </w:r>
      <w:r>
        <w:t>o</w:t>
      </w:r>
      <w:r>
        <w:t>grafías.</w:t>
      </w:r>
    </w:p>
    <w:p w:rsidR="00224567" w:rsidRDefault="00224567">
      <w:pPr>
        <w:widowControl w:val="0"/>
      </w:pPr>
      <w:r>
        <w:tab/>
        <w:t>Señaló que detrás de esta conspir</w:t>
      </w:r>
      <w:r>
        <w:t>a</w:t>
      </w:r>
      <w:r>
        <w:t xml:space="preserve">ción para involucrarlo en el atentado a </w:t>
      </w:r>
      <w:smartTag w:uri="urn:schemas-microsoft-com:office:smarttags" w:element="PersonName">
        <w:smartTagPr>
          <w:attr w:name="ProductID" w:val="la A.M"/>
        </w:smartTagPr>
        <w:r>
          <w:t>la A.M</w:t>
        </w:r>
      </w:smartTag>
      <w:r>
        <w:t>.I.A. el juez G</w:t>
      </w:r>
      <w:r>
        <w:t>a</w:t>
      </w:r>
      <w:r>
        <w:t>le</w:t>
      </w:r>
      <w:r>
        <w:t>a</w:t>
      </w:r>
      <w:r>
        <w:t>no no actuó solo, sino que lo hizo con otros organismos del Poder Ejecutivo Nacional y a través del Ministro del Interior, del que dependían algunos est</w:t>
      </w:r>
      <w:r>
        <w:t>a</w:t>
      </w:r>
      <w:r>
        <w:t>mentos.</w:t>
      </w:r>
    </w:p>
    <w:p w:rsidR="00224567" w:rsidRDefault="00224567">
      <w:pPr>
        <w:widowControl w:val="0"/>
      </w:pPr>
      <w:r>
        <w:tab/>
        <w:t>Luego de oída la grabación correspo</w:t>
      </w:r>
      <w:r>
        <w:t>n</w:t>
      </w:r>
      <w:r>
        <w:t>diente al nº 427-7829 Ribelli dijo que, según lo que exi</w:t>
      </w:r>
      <w:r>
        <w:t>s</w:t>
      </w:r>
      <w:r>
        <w:t>tía en la causa, dicha escucha pertenecía a la línea tel</w:t>
      </w:r>
      <w:r>
        <w:t>e</w:t>
      </w:r>
      <w:r>
        <w:t xml:space="preserve">fónica que, según </w:t>
      </w:r>
      <w:smartTag w:uri="urn:schemas-microsoft-com:office:smarttags" w:element="PersonName">
        <w:smartTagPr>
          <w:attr w:name="ProductID" w:val="la S.I"/>
        </w:smartTagPr>
        <w:r>
          <w:t>la S.I</w:t>
        </w:r>
      </w:smartTag>
      <w:r>
        <w:t>.D.E., era utilizada por Ana Bor</w:t>
      </w:r>
      <w:r>
        <w:t>a</w:t>
      </w:r>
      <w:r>
        <w:t>gni, esposa de Telleldín, y había sido realizada el 3 de julio de 1996, es decir, dos días después de la film</w:t>
      </w:r>
      <w:r>
        <w:t>a</w:t>
      </w:r>
      <w:r>
        <w:t>ción del video a</w:t>
      </w:r>
      <w:r>
        <w:t>n</w:t>
      </w:r>
      <w:r>
        <w:t>tes mencionado.</w:t>
      </w:r>
    </w:p>
    <w:p w:rsidR="00224567" w:rsidRDefault="00224567">
      <w:pPr>
        <w:widowControl w:val="0"/>
      </w:pPr>
      <w:r>
        <w:tab/>
        <w:t>Afirmó que tendría que ser el trib</w:t>
      </w:r>
      <w:r>
        <w:t>u</w:t>
      </w:r>
      <w:r>
        <w:t>nal el que determinara desde dónde llamaron y quiénes eran e</w:t>
      </w:r>
      <w:r>
        <w:t>s</w:t>
      </w:r>
      <w:r>
        <w:t xml:space="preserve">tas personas, estimando posible que pudieran haber sido agentes de </w:t>
      </w:r>
      <w:smartTag w:uri="urn:schemas-microsoft-com:office:smarttags" w:element="PersonName">
        <w:smartTagPr>
          <w:attr w:name="ProductID" w:val="la S.I"/>
        </w:smartTagPr>
        <w:r>
          <w:t>la S.I</w:t>
        </w:r>
      </w:smartTag>
      <w:r>
        <w:t>.D.E., sosteniendo que, de esa forma, probaría la existencia del pago.</w:t>
      </w:r>
    </w:p>
    <w:p w:rsidR="00224567" w:rsidRDefault="00224567">
      <w:pPr>
        <w:widowControl w:val="0"/>
      </w:pPr>
      <w:r>
        <w:tab/>
        <w:t>Oída la siguiente escucha propuesta, Ribelli sostuvo que la misma se registró el día 4 de j</w:t>
      </w:r>
      <w:r>
        <w:t>u</w:t>
      </w:r>
      <w:r>
        <w:t>lio, y se compadecía con otra nueva re</w:t>
      </w:r>
      <w:r>
        <w:t>u</w:t>
      </w:r>
      <w:r>
        <w:t>nión que se estaría llevando a cabo al día siguiente, en función de la ant</w:t>
      </w:r>
      <w:r>
        <w:t>e</w:t>
      </w:r>
      <w:r>
        <w:t>rior que se frustró por ver pe</w:t>
      </w:r>
      <w:r>
        <w:t>r</w:t>
      </w:r>
      <w:r>
        <w:t>sonas extrañas.</w:t>
      </w:r>
    </w:p>
    <w:p w:rsidR="00224567" w:rsidRDefault="00224567">
      <w:pPr>
        <w:widowControl w:val="0"/>
        <w:rPr>
          <w:highlight w:val="yellow"/>
        </w:rPr>
      </w:pPr>
      <w:r>
        <w:tab/>
        <w:t>Señaló que nuevamente fracasó la reunión y que David debía ser un nombre supuesto de a</w:t>
      </w:r>
      <w:r>
        <w:t>l</w:t>
      </w:r>
      <w:r>
        <w:t>guien que estaba en combinación con el juzgado a cargo del Dr. Galeano, y que fue el que transmitió que por razones de implementación judicial no podían trasladar ese día al d</w:t>
      </w:r>
      <w:r>
        <w:t>e</w:t>
      </w:r>
      <w:r>
        <w:t>tenido –que según su interpretación sería Telleldín- al tribunal.</w:t>
      </w:r>
    </w:p>
    <w:p w:rsidR="00224567" w:rsidRDefault="00224567">
      <w:pPr>
        <w:widowControl w:val="0"/>
      </w:pPr>
      <w:r>
        <w:tab/>
        <w:t>Luego de escuchar la siguiente grab</w:t>
      </w:r>
      <w:r>
        <w:t>a</w:t>
      </w:r>
      <w:r>
        <w:t xml:space="preserve">ción señaló que según las transcripciones de </w:t>
      </w:r>
      <w:smartTag w:uri="urn:schemas-microsoft-com:office:smarttags" w:element="PersonName">
        <w:smartTagPr>
          <w:attr w:name="ProductID" w:val="la S.I"/>
        </w:smartTagPr>
        <w:r>
          <w:t>la S.I</w:t>
        </w:r>
      </w:smartTag>
      <w:r>
        <w:t>.D.E. se trataría de una conversación mantenida entre B</w:t>
      </w:r>
      <w:r>
        <w:t>o</w:t>
      </w:r>
      <w:r>
        <w:t>ragni y Telleldín el 4 de julio de 1996, o sea, un día antes de que Telleldín firmara la declaración imputando a los pol</w:t>
      </w:r>
      <w:r>
        <w:t>i</w:t>
      </w:r>
      <w:r>
        <w:t>cías b</w:t>
      </w:r>
      <w:r>
        <w:t>o</w:t>
      </w:r>
      <w:r>
        <w:t>naerenses.</w:t>
      </w:r>
    </w:p>
    <w:p w:rsidR="00224567" w:rsidRDefault="00224567">
      <w:pPr>
        <w:widowControl w:val="0"/>
        <w:rPr>
          <w:highlight w:val="yellow"/>
        </w:rPr>
      </w:pPr>
      <w:r>
        <w:tab/>
        <w:t>Seguidamente, estimó que con r</w:t>
      </w:r>
      <w:r>
        <w:t>e</w:t>
      </w:r>
      <w:r>
        <w:t xml:space="preserve">lación a las escuchas telefónicas </w:t>
      </w:r>
      <w:smartTag w:uri="urn:schemas-microsoft-com:office:smarttags" w:element="PersonName">
        <w:smartTagPr>
          <w:attr w:name="ProductID" w:val="la S.I"/>
        </w:smartTagPr>
        <w:r>
          <w:t>la S.I</w:t>
        </w:r>
      </w:smartTag>
      <w:r>
        <w:t>.D.E. había actuado de manera irregular.</w:t>
      </w:r>
    </w:p>
    <w:p w:rsidR="00224567" w:rsidRDefault="00224567">
      <w:pPr>
        <w:widowControl w:val="0"/>
      </w:pPr>
      <w:r>
        <w:tab/>
        <w:t>Acto seguido, valoró la prueba doc</w:t>
      </w:r>
      <w:r>
        <w:t>u</w:t>
      </w:r>
      <w:r>
        <w:t>mental, producida en esta etapa, relacionada con info</w:t>
      </w:r>
      <w:r>
        <w:t>r</w:t>
      </w:r>
      <w:r>
        <w:t>mes remitidos a distintos bancos, sobre Ana B</w:t>
      </w:r>
      <w:r>
        <w:t>o</w:t>
      </w:r>
      <w:r>
        <w:t>ragni.</w:t>
      </w:r>
    </w:p>
    <w:p w:rsidR="00224567" w:rsidRDefault="00224567">
      <w:pPr>
        <w:widowControl w:val="0"/>
      </w:pPr>
      <w:r>
        <w:tab/>
        <w:t>Luego de serle exhibidas las fs. 1414 y 1420 de instrucción suplementaria, señaló que la pr</w:t>
      </w:r>
      <w:r>
        <w:t>i</w:t>
      </w:r>
      <w:r>
        <w:t>mera era una constancia del Banco Quilmes, sucursal Ramos M</w:t>
      </w:r>
      <w:r>
        <w:t>e</w:t>
      </w:r>
      <w:r>
        <w:t>jía, de una cuenta a nombre de la señora Ana María Bora</w:t>
      </w:r>
      <w:r>
        <w:t>g</w:t>
      </w:r>
      <w:r>
        <w:t>ni, domiciliada en Roosevelt 2462 de Capital Federal, y que la fecha que figuraba en la parte de abajo, que era el 5 de julio de 1996, había sido la fecha de apertura de e</w:t>
      </w:r>
      <w:r>
        <w:t>s</w:t>
      </w:r>
      <w:r>
        <w:t>ta cuenta.</w:t>
      </w:r>
    </w:p>
    <w:p w:rsidR="00224567" w:rsidRDefault="00224567">
      <w:pPr>
        <w:widowControl w:val="0"/>
      </w:pPr>
      <w:r>
        <w:tab/>
        <w:t>Mencionó que en dicha fecha T</w:t>
      </w:r>
      <w:r>
        <w:t>e</w:t>
      </w:r>
      <w:r>
        <w:t>lleldín firmó en el juzgado a cargo del juez Galeano su declar</w:t>
      </w:r>
      <w:r>
        <w:t>a</w:t>
      </w:r>
      <w:r>
        <w:t>ción, previo pago o concert</w:t>
      </w:r>
      <w:r>
        <w:t>a</w:t>
      </w:r>
      <w:r>
        <w:t>ción de un primer pago -según se desprendía de los d</w:t>
      </w:r>
      <w:r>
        <w:t>i</w:t>
      </w:r>
      <w:r>
        <w:t>chos del prosecretario Lifschitz y otras constancias de la causa- de USD 200.000, mientras que el resto del dinero se iba a entregar la semana s</w:t>
      </w:r>
      <w:r>
        <w:t>i</w:t>
      </w:r>
      <w:r>
        <w:t>guiente, tal como se advertía de fragme</w:t>
      </w:r>
      <w:r>
        <w:t>n</w:t>
      </w:r>
      <w:r>
        <w:t>tos de una escucha telefónica antes citada, de la cual surgía la apertura de una caja de seguridad.</w:t>
      </w:r>
    </w:p>
    <w:p w:rsidR="00224567" w:rsidRDefault="00224567">
      <w:pPr>
        <w:widowControl w:val="0"/>
      </w:pPr>
      <w:r>
        <w:tab/>
        <w:t>Señaló que si bien el 15 de julio de 1996 el banco  efectúo el descuento de gastos por la exi</w:t>
      </w:r>
      <w:r>
        <w:t>s</w:t>
      </w:r>
      <w:r>
        <w:t>tencia de esa caja de seguridad, la misma p</w:t>
      </w:r>
      <w:r>
        <w:t>u</w:t>
      </w:r>
      <w:r>
        <w:t>do haber sido abierta con anterioridad, coligiendo que ello ocurrió el día 5.</w:t>
      </w:r>
    </w:p>
    <w:p w:rsidR="00224567" w:rsidRDefault="00224567">
      <w:pPr>
        <w:widowControl w:val="0"/>
      </w:pPr>
      <w:r>
        <w:tab/>
        <w:t>Señaló que el otro documento e</w:t>
      </w:r>
      <w:r>
        <w:t>x</w:t>
      </w:r>
      <w:r>
        <w:t>hibido se trataba de la contestación del banco, que indicaba que la cuenta de la sucursal Ramos Mejía coincidía con las i</w:t>
      </w:r>
      <w:r>
        <w:t>n</w:t>
      </w:r>
      <w:r>
        <w:t>dicaciones vertidas en la conversación previamente esc</w:t>
      </w:r>
      <w:r>
        <w:t>u</w:t>
      </w:r>
      <w:r>
        <w:t>chada, estimando que podía tratarse de Telleldín y Ana B</w:t>
      </w:r>
      <w:r>
        <w:t>o</w:t>
      </w:r>
      <w:r>
        <w:t>ragni, circunstancia que confirmaba que la cuenta fue abierta en Ramos Mejía.</w:t>
      </w:r>
    </w:p>
    <w:p w:rsidR="00224567" w:rsidRDefault="00224567">
      <w:pPr>
        <w:widowControl w:val="0"/>
      </w:pPr>
      <w:r>
        <w:tab/>
        <w:t>También agregó que, según las consta</w:t>
      </w:r>
      <w:r>
        <w:t>n</w:t>
      </w:r>
      <w:r>
        <w:t>cias de la causa del video, el domicilio o estudio del d</w:t>
      </w:r>
      <w:r>
        <w:t>e</w:t>
      </w:r>
      <w:r>
        <w:t>fensor de Telleldín se encontraba ubic</w:t>
      </w:r>
      <w:r>
        <w:t>a</w:t>
      </w:r>
      <w:r>
        <w:t>do en la localidad de Ramos Mejía, lo cual se compadecía con las instrucci</w:t>
      </w:r>
      <w:r>
        <w:t>o</w:t>
      </w:r>
      <w:r>
        <w:t>nes que surgían del diál</w:t>
      </w:r>
      <w:r>
        <w:t>o</w:t>
      </w:r>
      <w:r>
        <w:t>go antes citado.</w:t>
      </w:r>
    </w:p>
    <w:p w:rsidR="00224567" w:rsidRDefault="00224567">
      <w:pPr>
        <w:widowControl w:val="0"/>
      </w:pPr>
      <w:r>
        <w:tab/>
        <w:t>Por lo expuesto, Ribelli denunció al ex presidente Menem, al ex ministro Corach, a la señora Riva Aramayo, al juez Galeano, a los fiscales Mullen y Barbaccia y a los secretarios Velasco y De Gamas por e</w:t>
      </w:r>
      <w:r>
        <w:t>n</w:t>
      </w:r>
      <w:r>
        <w:t xml:space="preserve">tender que, a través de jefe de </w:t>
      </w:r>
      <w:smartTag w:uri="urn:schemas-microsoft-com:office:smarttags" w:element="PersonName">
        <w:smartTagPr>
          <w:attr w:name="ProductID" w:val="la S.I"/>
        </w:smartTagPr>
        <w:r>
          <w:t>la S.I</w:t>
        </w:r>
      </w:smartTag>
      <w:r>
        <w:t>.D.E., Hugo Anzorr</w:t>
      </w:r>
      <w:r>
        <w:t>e</w:t>
      </w:r>
      <w:r>
        <w:t>guy, conspiraron para que se efectuara un pago irreg</w:t>
      </w:r>
      <w:r>
        <w:t>u</w:t>
      </w:r>
      <w:r>
        <w:t>lar, ilegal y violatorio de todas las garantías constitucion</w:t>
      </w:r>
      <w:r>
        <w:t>a</w:t>
      </w:r>
      <w:r>
        <w:t>les, para que un detenido como Telleldín produjera una imputación formal contra su persona y varios policías b</w:t>
      </w:r>
      <w:r>
        <w:t>o</w:t>
      </w:r>
      <w:r>
        <w:t>naere</w:t>
      </w:r>
      <w:r>
        <w:t>n</w:t>
      </w:r>
      <w:r>
        <w:t>ses.</w:t>
      </w:r>
    </w:p>
    <w:p w:rsidR="00224567" w:rsidRDefault="00224567">
      <w:pPr>
        <w:widowControl w:val="0"/>
      </w:pPr>
      <w:r>
        <w:tab/>
        <w:t>Señaló que dicha denuncia no sólo la radicó para conoc</w:t>
      </w:r>
      <w:r>
        <w:t>i</w:t>
      </w:r>
      <w:r>
        <w:t>miento del tribunal, sino que la efectúo como ampliación de la denuncia oportunamente formulada a</w:t>
      </w:r>
      <w:r>
        <w:t>n</w:t>
      </w:r>
      <w:r>
        <w:t xml:space="preserve">te </w:t>
      </w:r>
      <w:smartTag w:uri="urn:schemas-microsoft-com:office:smarttags" w:element="PersonName">
        <w:smartTagPr>
          <w:attr w:name="ProductID" w:val="la Comisi￳n Interamericana"/>
        </w:smartTagPr>
        <w:r>
          <w:t>la Comisión Interamericana</w:t>
        </w:r>
      </w:smartTag>
      <w:r>
        <w:t xml:space="preserve"> en Washin</w:t>
      </w:r>
      <w:r>
        <w:t>g</w:t>
      </w:r>
      <w:r>
        <w:t>ton.</w:t>
      </w:r>
    </w:p>
    <w:p w:rsidR="00224567" w:rsidRDefault="00224567">
      <w:pPr>
        <w:widowControl w:val="0"/>
      </w:pPr>
      <w:r>
        <w:tab/>
        <w:t>Aclaró, refiriéndose a los fiscales Mullen y Barbaccia, que el juez Galeano pregonó por t</w:t>
      </w:r>
      <w:r>
        <w:t>o</w:t>
      </w:r>
      <w:r>
        <w:t>dos lados que los nombrados siempre tuvieron acceso irrestri</w:t>
      </w:r>
      <w:r>
        <w:t>c</w:t>
      </w:r>
      <w:r>
        <w:t>to a toda la prueba existente en la causa, razón por la cual estimó que habían incurrido en el delito de encubr</w:t>
      </w:r>
      <w:r>
        <w:t>i</w:t>
      </w:r>
      <w:r>
        <w:t>miento o incumplimiento de los deberes de funcionario p</w:t>
      </w:r>
      <w:r>
        <w:t>ú</w:t>
      </w:r>
      <w:r>
        <w:t>blico.</w:t>
      </w:r>
    </w:p>
    <w:p w:rsidR="00224567" w:rsidRDefault="00224567">
      <w:pPr>
        <w:widowControl w:val="0"/>
      </w:pPr>
      <w:r>
        <w:tab/>
        <w:t>Explicó pudo acceder a esas escuchas telefónicas tres días antes de que finalizara el ofrec</w:t>
      </w:r>
      <w:r>
        <w:t>i</w:t>
      </w:r>
      <w:r>
        <w:t>miento de prueba, mientras que los fiscales Mullen y Ba</w:t>
      </w:r>
      <w:r>
        <w:t>r</w:t>
      </w:r>
      <w:r>
        <w:t>baccia las conocieron porque tomó estado público que en el juzgado a cargo del juez Cavallo, Galeano fue inve</w:t>
      </w:r>
      <w:r>
        <w:t>s</w:t>
      </w:r>
      <w:r>
        <w:t>tigado por su actuación que surgía del video del 1º de julio.</w:t>
      </w:r>
    </w:p>
    <w:p w:rsidR="00224567" w:rsidRDefault="00224567">
      <w:pPr>
        <w:widowControl w:val="0"/>
      </w:pPr>
      <w:r>
        <w:tab/>
        <w:t>Relató que en aquella causa nº 3150 del juzgado federal nº 4, el magistrado, guiánd</w:t>
      </w:r>
      <w:r>
        <w:t>o</w:t>
      </w:r>
      <w:r>
        <w:t>se por el fragmento del video en el que Telleldín dijo “dep</w:t>
      </w:r>
      <w:r>
        <w:t>o</w:t>
      </w:r>
      <w:r>
        <w:t>sítenlo en el banco Lloyds de Cabildo”, únicamente pidió i</w:t>
      </w:r>
      <w:r>
        <w:t>n</w:t>
      </w:r>
      <w:r>
        <w:t>forme a ese banco después de abril de 1997, que fue cuando se inició esta causa.</w:t>
      </w:r>
    </w:p>
    <w:p w:rsidR="00224567" w:rsidRDefault="00224567">
      <w:pPr>
        <w:widowControl w:val="0"/>
      </w:pPr>
      <w:r>
        <w:tab/>
        <w:t>Por lo expuesto, remarcó que si a tr</w:t>
      </w:r>
      <w:r>
        <w:t>a</w:t>
      </w:r>
      <w:r>
        <w:t>vés de esas escuchas telefónicas, tres días antes de que finalizara el ofrecimiento de prueba, con los pocos el</w:t>
      </w:r>
      <w:r>
        <w:t>e</w:t>
      </w:r>
      <w:r>
        <w:t>mentos que contaba y con las manos atadas pudo determ</w:t>
      </w:r>
      <w:r>
        <w:t>i</w:t>
      </w:r>
      <w:r>
        <w:t>nar lo denunciado, no había excusa valedera que justific</w:t>
      </w:r>
      <w:r>
        <w:t>a</w:t>
      </w:r>
      <w:r>
        <w:t>ra el encubrimiento en el ámbito jud</w:t>
      </w:r>
      <w:r>
        <w:t>i</w:t>
      </w:r>
      <w:r>
        <w:t>cial.</w:t>
      </w:r>
    </w:p>
    <w:p w:rsidR="00224567" w:rsidRDefault="00224567">
      <w:pPr>
        <w:widowControl w:val="0"/>
      </w:pPr>
      <w:r>
        <w:tab/>
        <w:t>Estimó que si esto no hubiera ocurr</w:t>
      </w:r>
      <w:r>
        <w:t>i</w:t>
      </w:r>
      <w:r>
        <w:t>do el juez Galeano no hubiera sido beneficiado con un sobr</w:t>
      </w:r>
      <w:r>
        <w:t>e</w:t>
      </w:r>
      <w:r>
        <w:t>seimiento por inexistencia de del</w:t>
      </w:r>
      <w:r>
        <w:t>i</w:t>
      </w:r>
      <w:r>
        <w:t>to, y podría haber sido recusado de la instrucción de la causa en la cual era i</w:t>
      </w:r>
      <w:r>
        <w:t>n</w:t>
      </w:r>
      <w:r>
        <w:t>vestigado.</w:t>
      </w:r>
    </w:p>
    <w:p w:rsidR="00224567" w:rsidRDefault="00224567">
      <w:pPr>
        <w:widowControl w:val="0"/>
      </w:pPr>
      <w:r>
        <w:tab/>
        <w:t>Posteriormente, Ribelli explicó que, al prestar declaración en el juzgado a cargo del Dr. G</w:t>
      </w:r>
      <w:r>
        <w:t>a</w:t>
      </w:r>
      <w:r>
        <w:t>leano, siempre controló lo que se iba volcando en la computadora, cuyo monitor lo tenía ante su vista, agrega</w:t>
      </w:r>
      <w:r>
        <w:t>n</w:t>
      </w:r>
      <w:r>
        <w:t>do que las preguntas se la formulaban oralmente, la escr</w:t>
      </w:r>
      <w:r>
        <w:t>i</w:t>
      </w:r>
      <w:r>
        <w:t>bían en la computadora y lu</w:t>
      </w:r>
      <w:r>
        <w:t>e</w:t>
      </w:r>
      <w:r>
        <w:t>go las contestaba.</w:t>
      </w:r>
    </w:p>
    <w:p w:rsidR="00224567" w:rsidRDefault="00224567">
      <w:pPr>
        <w:widowControl w:val="0"/>
        <w:rPr>
          <w:highlight w:val="yellow"/>
        </w:rPr>
      </w:pPr>
      <w:r>
        <w:tab/>
        <w:t>Expresó, de acuerdo a lo que su</w:t>
      </w:r>
      <w:r>
        <w:t>r</w:t>
      </w:r>
      <w:r>
        <w:t>gía de los videos y trascendidos periodísticos, que Semor</w:t>
      </w:r>
      <w:r>
        <w:t>i</w:t>
      </w:r>
      <w:r>
        <w:t>le era el testigo de ide</w:t>
      </w:r>
      <w:r>
        <w:t>n</w:t>
      </w:r>
      <w:r>
        <w:t>tidad reservada nº 2.</w:t>
      </w:r>
    </w:p>
    <w:p w:rsidR="00224567" w:rsidRDefault="00224567">
      <w:pPr>
        <w:widowControl w:val="0"/>
      </w:pPr>
      <w:r>
        <w:tab/>
        <w:t>También, señaló que el juez G</w:t>
      </w:r>
      <w:r>
        <w:t>a</w:t>
      </w:r>
      <w:r>
        <w:t xml:space="preserve">leano lo privó del derecho de defensa con relación al tema de la moto que, según los dichos Telleldín, dejó en </w:t>
      </w:r>
      <w:smartTag w:uri="urn:schemas-microsoft-com:office:smarttags" w:element="PersonName">
        <w:smartTagPr>
          <w:attr w:name="ProductID" w:val="la Brigada"/>
        </w:smartTagPr>
        <w:r>
          <w:t>la Brigada</w:t>
        </w:r>
      </w:smartTag>
      <w:r>
        <w:t xml:space="preserve"> de Lanús porque al elevar la causa a juicio, al ref</w:t>
      </w:r>
      <w:r>
        <w:t>e</w:t>
      </w:r>
      <w:r>
        <w:t>rirse al hecho del 4 de abril de 1994, dijo que se intentó loc</w:t>
      </w:r>
      <w:r>
        <w:t>a</w:t>
      </w:r>
      <w:r>
        <w:t>lizar a los poseedores y tenedores de los vehículos. Así se ubicó a Erik Ferrer y a partir de allí se hicieron d</w:t>
      </w:r>
      <w:r>
        <w:t>i</w:t>
      </w:r>
      <w:r>
        <w:t>ligencias para establecer el itinerario de la m</w:t>
      </w:r>
      <w:r>
        <w:t>o</w:t>
      </w:r>
      <w:r>
        <w:t>to, el que hasta la fecha no arrojó ningún resultado de int</w:t>
      </w:r>
      <w:r>
        <w:t>e</w:t>
      </w:r>
      <w:r>
        <w:t>rés.</w:t>
      </w:r>
    </w:p>
    <w:p w:rsidR="00224567" w:rsidRDefault="00224567">
      <w:pPr>
        <w:widowControl w:val="0"/>
      </w:pPr>
      <w:r>
        <w:tab/>
        <w:t>Exhibió lo que dijo sería una certif</w:t>
      </w:r>
      <w:r>
        <w:t>i</w:t>
      </w:r>
      <w:r>
        <w:t>cación realizada por la secretaria del juez Galeano, re</w:t>
      </w:r>
      <w:r>
        <w:t>s</w:t>
      </w:r>
      <w:r>
        <w:t>pecto a los dichos del testigo de identidad reservada nº 2, manifestando que el 10 de j</w:t>
      </w:r>
      <w:r>
        <w:t>u</w:t>
      </w:r>
      <w:r>
        <w:t>lio de 1996, aquél testigo dijo que “después se enteró que fue detenido por esa br</w:t>
      </w:r>
      <w:r>
        <w:t>i</w:t>
      </w:r>
      <w:r>
        <w:t>gada entregando a Ribelli y Leal, dos automotores y una moto”.</w:t>
      </w:r>
    </w:p>
    <w:p w:rsidR="00224567" w:rsidRDefault="00224567">
      <w:pPr>
        <w:widowControl w:val="0"/>
      </w:pPr>
      <w:r>
        <w:tab/>
        <w:t>Advirtió que el juez no dejó otras constancias respecto al itinerario de la moto, y del video exhibido se desprendía que el magistrado instru</w:t>
      </w:r>
      <w:r>
        <w:t>c</w:t>
      </w:r>
      <w:r>
        <w:t>tor estaba en conocimiento de que Semorile tendría esa motoc</w:t>
      </w:r>
      <w:r>
        <w:t>i</w:t>
      </w:r>
      <w:r>
        <w:t>cleta.</w:t>
      </w:r>
    </w:p>
    <w:p w:rsidR="00224567" w:rsidRDefault="00224567">
      <w:pPr>
        <w:widowControl w:val="0"/>
      </w:pPr>
      <w:r>
        <w:tab/>
        <w:t>Mencionó que el juez Galeano, en dif</w:t>
      </w:r>
      <w:r>
        <w:t>e</w:t>
      </w:r>
      <w:r>
        <w:t>rentes oportunidades, requirió informes a todas las mun</w:t>
      </w:r>
      <w:r>
        <w:t>i</w:t>
      </w:r>
      <w:r>
        <w:t>cipalidades, plantas de verificación y co</w:t>
      </w:r>
      <w:r>
        <w:t>m</w:t>
      </w:r>
      <w:r>
        <w:t>pañías de seguro para rastrear aquella motocicleta y probar si la misma h</w:t>
      </w:r>
      <w:r>
        <w:t>a</w:t>
      </w:r>
      <w:r>
        <w:t>bía pasado por las manos de los policías, como lo había sostenido Telle</w:t>
      </w:r>
      <w:r>
        <w:t>l</w:t>
      </w:r>
      <w:r>
        <w:t>dín.</w:t>
      </w:r>
    </w:p>
    <w:p w:rsidR="00224567" w:rsidRDefault="00224567">
      <w:pPr>
        <w:widowControl w:val="0"/>
      </w:pPr>
      <w:r>
        <w:tab/>
        <w:t>Indicó que dichas diligencias arroj</w:t>
      </w:r>
      <w:r>
        <w:t>a</w:t>
      </w:r>
      <w:r>
        <w:t>ron resultado negativo hasta que el 23 de o</w:t>
      </w:r>
      <w:r>
        <w:t>c</w:t>
      </w:r>
      <w:r>
        <w:t>tubre de 1996 prestó declaración el señor Meza, quien afirmó que era el propietario de aquella motocicleta, explicando que la h</w:t>
      </w:r>
      <w:r>
        <w:t>a</w:t>
      </w:r>
      <w:r>
        <w:t>bía adquirido de Erik Ferrer, y que a posteriori se la d</w:t>
      </w:r>
      <w:r>
        <w:t>e</w:t>
      </w:r>
      <w:r>
        <w:t>volvió, negando al mismo tiempo haber sido visitado por personal p</w:t>
      </w:r>
      <w:r>
        <w:t>o</w:t>
      </w:r>
      <w:r>
        <w:t>licial, interesados en esa moto.</w:t>
      </w:r>
    </w:p>
    <w:p w:rsidR="00224567" w:rsidRDefault="00224567">
      <w:pPr>
        <w:widowControl w:val="0"/>
      </w:pPr>
      <w:r>
        <w:tab/>
        <w:t>Además, el imputado recordó que F</w:t>
      </w:r>
      <w:r>
        <w:t>e</w:t>
      </w:r>
      <w:r>
        <w:t>rrer, dijo haber adquirido aquella motocicleta del señor Juan Manuel Ledesma, quien al igual que Ferrer negó haber sido visitado por personal policial, e</w:t>
      </w:r>
      <w:r>
        <w:t>x</w:t>
      </w:r>
      <w:r>
        <w:t>plicando que dicho rodado lo había adquirido en el mes de junio de 1994, de una persona de nombre P</w:t>
      </w:r>
      <w:r>
        <w:t>a</w:t>
      </w:r>
      <w:r>
        <w:t>blo, cuyo domicilio podía aportar, siendo que recién en febrero de 1997 el momento en que identificó correctamente a quien le ve</w:t>
      </w:r>
      <w:r>
        <w:t>n</w:t>
      </w:r>
      <w:r>
        <w:t>dió la moto.</w:t>
      </w:r>
    </w:p>
    <w:p w:rsidR="00224567" w:rsidRDefault="00224567">
      <w:pPr>
        <w:widowControl w:val="0"/>
      </w:pPr>
      <w:r>
        <w:tab/>
        <w:t>En aquella ocasión, Ledesma ind</w:t>
      </w:r>
      <w:r>
        <w:t>i</w:t>
      </w:r>
      <w:r>
        <w:t>có que le había comprado la moto a Pablo Ibáñez, domiciliado en la calle Amancio Alcorta 1731 de Flor</w:t>
      </w:r>
      <w:r>
        <w:t>i</w:t>
      </w:r>
      <w:r>
        <w:t xml:space="preserve">da. </w:t>
      </w:r>
    </w:p>
    <w:p w:rsidR="00224567" w:rsidRDefault="00224567">
      <w:pPr>
        <w:widowControl w:val="0"/>
      </w:pPr>
      <w:r>
        <w:tab/>
        <w:t>Ribelli refirió que, posteriormente, el juez no dispuso la citación de Pablo Ibáñez ni que se averiguara si residía en el domicilio aportado, e</w:t>
      </w:r>
      <w:r>
        <w:t>s</w:t>
      </w:r>
      <w:r>
        <w:t>timando que dicha omisión se debió a que el magistrado ya sabía que la moto jamás había pasado por las manos de la pol</w:t>
      </w:r>
      <w:r>
        <w:t>i</w:t>
      </w:r>
      <w:r>
        <w:t>cía.</w:t>
      </w:r>
    </w:p>
    <w:p w:rsidR="00224567" w:rsidRDefault="00224567">
      <w:pPr>
        <w:widowControl w:val="0"/>
      </w:pPr>
      <w:r>
        <w:tab/>
        <w:t>Seguidamente, el encausado come</w:t>
      </w:r>
      <w:r>
        <w:t>n</w:t>
      </w:r>
      <w:r>
        <w:t>tó que allí se diluyó el intento de ubicar aquella motocicleta, destacando que el 26 de febrero de 2000, al elevar la ca</w:t>
      </w:r>
      <w:r>
        <w:t>u</w:t>
      </w:r>
      <w:r>
        <w:t>sa a juicio, el juez sostuvo que las dilige</w:t>
      </w:r>
      <w:r>
        <w:t>n</w:t>
      </w:r>
      <w:r>
        <w:t>cias no habían arrojado r</w:t>
      </w:r>
      <w:r>
        <w:t>e</w:t>
      </w:r>
      <w:r>
        <w:t>sultados de interés.</w:t>
      </w:r>
    </w:p>
    <w:p w:rsidR="00224567" w:rsidRDefault="00224567">
      <w:pPr>
        <w:widowControl w:val="0"/>
      </w:pPr>
      <w:r>
        <w:tab/>
        <w:t>Por otra parte, Ribelli exhibió otro escrito, correspo</w:t>
      </w:r>
      <w:r>
        <w:t>n</w:t>
      </w:r>
      <w:r>
        <w:t xml:space="preserve">diente a la causa nº 1156, señalando que en marzo de 1995, </w:t>
      </w:r>
      <w:smartTag w:uri="urn:schemas-microsoft-com:office:smarttags" w:element="PersonName">
        <w:smartTagPr>
          <w:attr w:name="ProductID" w:val="la S.I"/>
        </w:smartTagPr>
        <w:r>
          <w:t>la S.I</w:t>
        </w:r>
      </w:smartTag>
      <w:r>
        <w:t>.D.E. le había informado al juez quién era P</w:t>
      </w:r>
      <w:r>
        <w:t>a</w:t>
      </w:r>
      <w:r>
        <w:t>blo Ibáñez, que estaba domiciliado en Agustín Álvarez 1731, y que los matrimonios Ibáñez y Telleldín, mant</w:t>
      </w:r>
      <w:r>
        <w:t>e</w:t>
      </w:r>
      <w:r>
        <w:t>nían una amistad de varios años.</w:t>
      </w:r>
    </w:p>
    <w:p w:rsidR="00224567" w:rsidRDefault="00224567">
      <w:pPr>
        <w:widowControl w:val="0"/>
      </w:pPr>
      <w:r>
        <w:tab/>
        <w:t>Remarcó que dicho informe estaba fi</w:t>
      </w:r>
      <w:r>
        <w:t>r</w:t>
      </w:r>
      <w:r>
        <w:t>mado por uno de los s</w:t>
      </w:r>
      <w:r>
        <w:t>e</w:t>
      </w:r>
      <w:r>
        <w:t xml:space="preserve">cretarios de </w:t>
      </w:r>
      <w:smartTag w:uri="urn:schemas-microsoft-com:office:smarttags" w:element="PersonName">
        <w:smartTagPr>
          <w:attr w:name="ProductID" w:val="la S.I"/>
        </w:smartTagPr>
        <w:r>
          <w:t>la S.I</w:t>
        </w:r>
      </w:smartTag>
      <w:r>
        <w:t>.D.E. y que luego el señor Pablo Ibáñez fue detenido e indagado como part</w:t>
      </w:r>
      <w:r>
        <w:t>í</w:t>
      </w:r>
      <w:r>
        <w:t>cipe del atentado por el juez Gale</w:t>
      </w:r>
      <w:r>
        <w:t>a</w:t>
      </w:r>
      <w:r>
        <w:t>no.</w:t>
      </w:r>
    </w:p>
    <w:p w:rsidR="00224567" w:rsidRDefault="00224567">
      <w:pPr>
        <w:widowControl w:val="0"/>
      </w:pPr>
      <w:r>
        <w:tab/>
        <w:t>En virtud de todo lo expuesto, concl</w:t>
      </w:r>
      <w:r>
        <w:t>u</w:t>
      </w:r>
      <w:r>
        <w:t>yó que el magistrado supo en todo momento quién era P</w:t>
      </w:r>
      <w:r>
        <w:t>a</w:t>
      </w:r>
      <w:r>
        <w:t>blo Ibáñez, que pertenecía al entorno de Telleldín y que era defendido por el Dr. Semorile, tal como surgía de otro e</w:t>
      </w:r>
      <w:r>
        <w:t>s</w:t>
      </w:r>
      <w:r>
        <w:t>crito glosado a continu</w:t>
      </w:r>
      <w:r>
        <w:t>a</w:t>
      </w:r>
      <w:r>
        <w:t>ción.</w:t>
      </w:r>
    </w:p>
    <w:p w:rsidR="00224567" w:rsidRDefault="00224567">
      <w:pPr>
        <w:widowControl w:val="0"/>
      </w:pPr>
      <w:r>
        <w:tab/>
        <w:t>Asimismo, Ribelli expresó que le ll</w:t>
      </w:r>
      <w:r>
        <w:t>a</w:t>
      </w:r>
      <w:r>
        <w:t>mó la atención que en la declaración de Juan Ledesma se co</w:t>
      </w:r>
      <w:r>
        <w:t>n</w:t>
      </w:r>
      <w:r>
        <w:t>signara como domicilio de Pablo Ibáñez el ubicado en Ama</w:t>
      </w:r>
      <w:r>
        <w:t>n</w:t>
      </w:r>
      <w:r>
        <w:t>cio Alcorta 1731 de Florida o V</w:t>
      </w:r>
      <w:r>
        <w:t>i</w:t>
      </w:r>
      <w:r>
        <w:t>cente López, toda vez que las inciales de esa calle y su numeración coincidían exa</w:t>
      </w:r>
      <w:r>
        <w:t>c</w:t>
      </w:r>
      <w:r>
        <w:t>tamente con la de calle Agustín Álvarez 1731 de Florida, de Vicente L</w:t>
      </w:r>
      <w:r>
        <w:t>ó</w:t>
      </w:r>
      <w:r>
        <w:t xml:space="preserve">pez. </w:t>
      </w:r>
    </w:p>
    <w:p w:rsidR="00224567" w:rsidRDefault="00224567">
      <w:pPr>
        <w:widowControl w:val="0"/>
      </w:pPr>
      <w:r>
        <w:tab/>
        <w:t>Por eso, planteó sus dudas con rel</w:t>
      </w:r>
      <w:r>
        <w:t>a</w:t>
      </w:r>
      <w:r>
        <w:t>ción a si Ledesma, había informado el dom</w:t>
      </w:r>
      <w:r>
        <w:t>i</w:t>
      </w:r>
      <w:r>
        <w:t>cilio real y si por algún motivo ello se había tergiversado para que en los papeles no se llegara a ubicar a Pablo Ibáñez.</w:t>
      </w:r>
    </w:p>
    <w:p w:rsidR="00224567" w:rsidRDefault="00224567">
      <w:pPr>
        <w:widowControl w:val="0"/>
      </w:pPr>
      <w:r>
        <w:tab/>
        <w:t>Posteriormente, Ribelli afirmó que el juez Galeano lo privó del derecho a defensa al no incorp</w:t>
      </w:r>
      <w:r>
        <w:t>o</w:t>
      </w:r>
      <w:r>
        <w:t>rar los dichos de Ibáñez en la etapa instructoria, y al privarlo también a la fecha porque no le resolvió su s</w:t>
      </w:r>
      <w:r>
        <w:t>i</w:t>
      </w:r>
      <w:r>
        <w:t>tuación procesal, estimando que ello constituía un ob</w:t>
      </w:r>
      <w:r>
        <w:t>s</w:t>
      </w:r>
      <w:r>
        <w:t>táculo para que d</w:t>
      </w:r>
      <w:r>
        <w:t>e</w:t>
      </w:r>
      <w:r>
        <w:t>clarara en el juicio.</w:t>
      </w:r>
    </w:p>
    <w:p w:rsidR="00224567" w:rsidRDefault="00224567">
      <w:pPr>
        <w:widowControl w:val="0"/>
      </w:pPr>
      <w:r>
        <w:tab/>
        <w:t>Remarcó que de lo expuesto anterio</w:t>
      </w:r>
      <w:r>
        <w:t>r</w:t>
      </w:r>
      <w:r>
        <w:t>mente se podía observar cómo se había incorpor</w:t>
      </w:r>
      <w:r>
        <w:t>a</w:t>
      </w:r>
      <w:r>
        <w:t>do en forma irregular un testigo de identidad reservada, con conoc</w:t>
      </w:r>
      <w:r>
        <w:t>i</w:t>
      </w:r>
      <w:r>
        <w:t>miento del juez acerca del recorrido de una moto, y cómo se habían alterado muchas situaciones para sostener una imputación en su c</w:t>
      </w:r>
      <w:r>
        <w:t>o</w:t>
      </w:r>
      <w:r>
        <w:t>ntra.</w:t>
      </w:r>
    </w:p>
    <w:p w:rsidR="00224567" w:rsidRDefault="00224567">
      <w:pPr>
        <w:widowControl w:val="0"/>
      </w:pPr>
      <w:r>
        <w:tab/>
        <w:t>Por otra parte, con relación al video oportunamente proyectado, Ribelli estimó que Vergéz mant</w:t>
      </w:r>
      <w:r>
        <w:t>u</w:t>
      </w:r>
      <w:r>
        <w:t>vo entrevi</w:t>
      </w:r>
      <w:r>
        <w:t>s</w:t>
      </w:r>
      <w:r>
        <w:t xml:space="preserve">tas con Telleldín. </w:t>
      </w:r>
    </w:p>
    <w:p w:rsidR="00224567" w:rsidRDefault="00224567">
      <w:pPr>
        <w:widowControl w:val="0"/>
      </w:pPr>
      <w:r>
        <w:tab/>
        <w:t>En este punto, recordó que, en su m</w:t>
      </w:r>
      <w:r>
        <w:t>o</w:t>
      </w:r>
      <w:r>
        <w:t xml:space="preserve">mento, su defensa solicitó que </w:t>
      </w:r>
      <w:smartTag w:uri="urn:schemas-microsoft-com:office:smarttags" w:element="PersonName">
        <w:smartTagPr>
          <w:attr w:name="ProductID" w:val="la S.I"/>
        </w:smartTagPr>
        <w:r>
          <w:t>la S.I</w:t>
        </w:r>
      </w:smartTag>
      <w:r>
        <w:t>.D.E. informara si Vergéz había pertenecido o col</w:t>
      </w:r>
      <w:r>
        <w:t>a</w:t>
      </w:r>
      <w:r>
        <w:t>borado con ese organismo en algunas tareas de investigación, obteniendo una re</w:t>
      </w:r>
      <w:r>
        <w:t>s</w:t>
      </w:r>
      <w:r>
        <w:t>puesta negativa.</w:t>
      </w:r>
    </w:p>
    <w:p w:rsidR="00224567" w:rsidRDefault="00224567">
      <w:pPr>
        <w:widowControl w:val="0"/>
      </w:pPr>
      <w:r>
        <w:tab/>
        <w:t xml:space="preserve">No obstante, expresó que tenía dudas con respecto a si en aquellos informes </w:t>
      </w:r>
      <w:smartTag w:uri="urn:schemas-microsoft-com:office:smarttags" w:element="PersonName">
        <w:smartTagPr>
          <w:attr w:name="ProductID" w:val="la S.I"/>
        </w:smartTagPr>
        <w:r>
          <w:t>la S.I</w:t>
        </w:r>
      </w:smartTag>
      <w:r>
        <w:t>.D.E. había incluido a los elementos operativos, como a los no oper</w:t>
      </w:r>
      <w:r>
        <w:t>a</w:t>
      </w:r>
      <w:r>
        <w:t>tivos, orgánicos o inorgánicos, tal como den</w:t>
      </w:r>
      <w:r>
        <w:t>o</w:t>
      </w:r>
      <w:r>
        <w:t>minaban a las personas  contratadas para algunas situ</w:t>
      </w:r>
      <w:r>
        <w:t>a</w:t>
      </w:r>
      <w:r>
        <w:t>ciones especiales, como pudo haber sido el caso de Ve</w:t>
      </w:r>
      <w:r>
        <w:t>r</w:t>
      </w:r>
      <w:r>
        <w:t>géz.</w:t>
      </w:r>
    </w:p>
    <w:p w:rsidR="00224567" w:rsidRDefault="00224567">
      <w:pPr>
        <w:widowControl w:val="0"/>
      </w:pPr>
      <w:r>
        <w:tab/>
        <w:t xml:space="preserve">Estimó que de los dichos por Daniel Romero, ex integrante de </w:t>
      </w:r>
      <w:smartTag w:uri="urn:schemas-microsoft-com:office:smarttags" w:element="PersonName">
        <w:smartTagPr>
          <w:attr w:name="ProductID" w:val="la S.I"/>
        </w:smartTagPr>
        <w:r>
          <w:t>la S.I</w:t>
        </w:r>
      </w:smartTag>
      <w:r>
        <w:t>.D.E., surgía que en aquél video existía material de relevancia, razón por la cual solicitó que el nombrado aportara todos los elementos que estuvieran en su poder, o que especificara dónde se enco</w:t>
      </w:r>
      <w:r>
        <w:t>n</w:t>
      </w:r>
      <w:r>
        <w:t>traban.</w:t>
      </w:r>
    </w:p>
    <w:p w:rsidR="00224567" w:rsidRDefault="00224567">
      <w:pPr>
        <w:widowControl w:val="0"/>
      </w:pPr>
      <w:r>
        <w:tab/>
        <w:t>Dijo que no le quedaban dudas que Ve</w:t>
      </w:r>
      <w:r>
        <w:t>r</w:t>
      </w:r>
      <w:r>
        <w:t xml:space="preserve">géz trabajó para </w:t>
      </w:r>
      <w:smartTag w:uri="urn:schemas-microsoft-com:office:smarttags" w:element="PersonName">
        <w:smartTagPr>
          <w:attr w:name="ProductID" w:val="la S.I"/>
        </w:smartTagPr>
        <w:r>
          <w:t>la S.I</w:t>
        </w:r>
      </w:smartTag>
      <w:r>
        <w:t>.D.E. o contratado para el Dr. G</w:t>
      </w:r>
      <w:r>
        <w:t>a</w:t>
      </w:r>
      <w:r>
        <w:t>leano, ya que por las certificaciones exhibidas, era el juez quien autorizó la visita con Telleldín, coligiendo por ello que cuando se solicitaron informes al Servicio Penitenciario Federal en la etapa de citación a juicio aquel organismo informó que no existían con</w:t>
      </w:r>
      <w:r>
        <w:t>s</w:t>
      </w:r>
      <w:r>
        <w:t>tancias.</w:t>
      </w:r>
    </w:p>
    <w:p w:rsidR="00224567" w:rsidRDefault="00224567">
      <w:pPr>
        <w:pStyle w:val="Sangradetextonormal"/>
        <w:widowControl w:val="0"/>
        <w:ind w:firstLine="0"/>
      </w:pPr>
      <w:r>
        <w:tab/>
        <w:t>Al ampliar su declaración indag</w:t>
      </w:r>
      <w:r>
        <w:t>a</w:t>
      </w:r>
      <w:r>
        <w:t>toria en la audiencia de debate del 12 de septiembre de 2002, en orden a los hechos contemplados en la causa nº 501/01, Juan José Ribelli brindó su versión, no obsta</w:t>
      </w:r>
      <w:r>
        <w:t>n</w:t>
      </w:r>
      <w:r>
        <w:t>te se negó a responder preguntas.</w:t>
      </w:r>
    </w:p>
    <w:p w:rsidR="00224567" w:rsidRDefault="00224567">
      <w:pPr>
        <w:pStyle w:val="Sangradetextonormal"/>
        <w:widowControl w:val="0"/>
        <w:ind w:firstLine="0"/>
      </w:pPr>
      <w:r>
        <w:tab/>
        <w:t>En primer lugar, estimó que se había violado su derecho de defensa, toda vez que en la etapa instructoria nunca le fue imputado el delito de instig</w:t>
      </w:r>
      <w:r>
        <w:t>a</w:t>
      </w:r>
      <w:r>
        <w:t>ción al falso testimonio agravado.</w:t>
      </w:r>
    </w:p>
    <w:p w:rsidR="00224567" w:rsidRDefault="00224567">
      <w:pPr>
        <w:pStyle w:val="Sangradetextonormal"/>
        <w:widowControl w:val="0"/>
        <w:ind w:firstLine="0"/>
      </w:pPr>
      <w:r>
        <w:tab/>
        <w:t>Refirió que en el requerimiento fi</w:t>
      </w:r>
      <w:r>
        <w:t>s</w:t>
      </w:r>
      <w:r>
        <w:t>cal de elevación a juicio los acusadores citaron las declar</w:t>
      </w:r>
      <w:r>
        <w:t>a</w:t>
      </w:r>
      <w:r>
        <w:t>ciones de Buján, Ambrosi, Smurro, Díaz y Huici para afi</w:t>
      </w:r>
      <w:r>
        <w:t>r</w:t>
      </w:r>
      <w:r>
        <w:t>mar que instó al último de los nombrados a declarar fals</w:t>
      </w:r>
      <w:r>
        <w:t>a</w:t>
      </w:r>
      <w:r>
        <w:t>mente en perjuicio de un imputado. Al respecto, Ribelli remarcó que Buján y Ambrosi no lo me</w:t>
      </w:r>
      <w:r>
        <w:t>n</w:t>
      </w:r>
      <w:r>
        <w:t>cionaron, ni siquiera subrepticiame</w:t>
      </w:r>
      <w:r>
        <w:t>n</w:t>
      </w:r>
      <w:r>
        <w:t>te, mientras que Smurro y Díaz sólo dijeron que Huici había recibido las indicaciones de un par o un superior.</w:t>
      </w:r>
    </w:p>
    <w:p w:rsidR="00224567" w:rsidRDefault="00224567">
      <w:pPr>
        <w:pStyle w:val="Sangradetextonormal"/>
        <w:widowControl w:val="0"/>
        <w:ind w:firstLine="0"/>
      </w:pPr>
      <w:r>
        <w:tab/>
        <w:t>Sostuvo que en el marco de la invest</w:t>
      </w:r>
      <w:r>
        <w:t>i</w:t>
      </w:r>
      <w:r>
        <w:t>gación de la causa nº 5681 del Juzgado Criminal y Corre</w:t>
      </w:r>
      <w:r>
        <w:t>c</w:t>
      </w:r>
      <w:r>
        <w:t>cional nº 5 del Departamento Judicial de Quilmes, los te</w:t>
      </w:r>
      <w:r>
        <w:t>s</w:t>
      </w:r>
      <w:r>
        <w:t>timonios de Buján y Ambrosi se utilizaron para sostener que ellos jamás le hablaron a Huici sobre “el enano de la zona norte”, considera</w:t>
      </w:r>
      <w:r>
        <w:t>n</w:t>
      </w:r>
      <w:r>
        <w:t>do que era lógico que ambos negaran ante el Dr. Galeano haber aport</w:t>
      </w:r>
      <w:r>
        <w:t>a</w:t>
      </w:r>
      <w:r>
        <w:t>do algún dato, a fin de no autoi</w:t>
      </w:r>
      <w:r>
        <w:t>n</w:t>
      </w:r>
      <w:r>
        <w:t xml:space="preserve">criminarse. </w:t>
      </w:r>
    </w:p>
    <w:p w:rsidR="00224567" w:rsidRDefault="00224567">
      <w:pPr>
        <w:widowControl w:val="0"/>
      </w:pPr>
      <w:r>
        <w:tab/>
        <w:t>Asimismo, Ribelli señaló que en la d</w:t>
      </w:r>
      <w:r>
        <w:t>e</w:t>
      </w:r>
      <w:r>
        <w:t>claración de Huici se consignaron dichos “inventados” de Ambrosi y de Buján, en punto a que éstos jamás le revel</w:t>
      </w:r>
      <w:r>
        <w:t>a</w:t>
      </w:r>
      <w:r>
        <w:t xml:space="preserve">ron detalles acerca de Telleldín. </w:t>
      </w:r>
    </w:p>
    <w:p w:rsidR="00224567" w:rsidRDefault="00224567">
      <w:pPr>
        <w:widowControl w:val="0"/>
      </w:pPr>
      <w:r>
        <w:tab/>
        <w:t>Entendió, conforme se desprendía del referido expediente de Quilmes y de los de antecedentes registrados por Buján y Ambrosi, que los nombrados eran delincuentes con condenas penales, razón por la cual iban a desmentir sus dichos anteriores y atribuírselos al pe</w:t>
      </w:r>
      <w:r>
        <w:t>r</w:t>
      </w:r>
      <w:r>
        <w:t>sonal policial interv</w:t>
      </w:r>
      <w:r>
        <w:t>i</w:t>
      </w:r>
      <w:r>
        <w:t xml:space="preserve">niente, que en este caso fue Huici. </w:t>
      </w:r>
    </w:p>
    <w:p w:rsidR="00224567" w:rsidRDefault="00224567">
      <w:pPr>
        <w:widowControl w:val="0"/>
      </w:pPr>
      <w:r>
        <w:tab/>
        <w:t>Aseveró que en el auto de procesamie</w:t>
      </w:r>
      <w:r>
        <w:t>n</w:t>
      </w:r>
      <w:r>
        <w:t>to del 31 de julio de 1996, el juez Galeano afirmó que lo declarado por Huici el 14 de marzo de 1994 era falso, po</w:t>
      </w:r>
      <w:r>
        <w:t>r</w:t>
      </w:r>
      <w:r>
        <w:t>que necesitaba que todo lo documentado en la causa de Quilmes fuera irregular para demostrar la ilegalidad del procedimiento vi</w:t>
      </w:r>
      <w:r>
        <w:t>n</w:t>
      </w:r>
      <w:r>
        <w:t>culado a Telleldín.</w:t>
      </w:r>
    </w:p>
    <w:p w:rsidR="00224567" w:rsidRDefault="00224567">
      <w:pPr>
        <w:widowControl w:val="0"/>
      </w:pPr>
      <w:r>
        <w:tab/>
        <w:t>El encausado refirió que el 8 de ago</w:t>
      </w:r>
      <w:r>
        <w:t>s</w:t>
      </w:r>
      <w:r>
        <w:t>to de 1996 el juez a cargo del Juzgado Criminal y Corre</w:t>
      </w:r>
      <w:r>
        <w:t>c</w:t>
      </w:r>
      <w:r>
        <w:t>cional nº 5 de Lomas de Zamora, intervinie</w:t>
      </w:r>
      <w:r>
        <w:t>n</w:t>
      </w:r>
      <w:r>
        <w:t>te en la causa nº 40.607, le remitió al Dr. Galeano escuchas telefónicas del abonado nº 240-3006, correspondiente a Huici, cuyo análisis fue ordenado el 12 de agosto de 1996 –fs. 3372 de la causa nº 1598-, siendo luego devue</w:t>
      </w:r>
      <w:r>
        <w:t>l</w:t>
      </w:r>
      <w:r>
        <w:t>tos los originales y reservadas sus copias -fs. 3651 vuelta de la causa nº 1598-.</w:t>
      </w:r>
    </w:p>
    <w:p w:rsidR="00224567" w:rsidRDefault="00224567">
      <w:pPr>
        <w:widowControl w:val="0"/>
      </w:pPr>
      <w:r>
        <w:tab/>
        <w:t>Relató que el 14 de agosto de 1996 Huici desmintió ante el juez Galeano sus dichos anteri</w:t>
      </w:r>
      <w:r>
        <w:t>o</w:t>
      </w:r>
      <w:r>
        <w:t>res, al afirmar que Buján y Ambrosi nunca le hablaron acerca de Telleldín y que él le había indicado que minti</w:t>
      </w:r>
      <w:r>
        <w:t>e</w:t>
      </w:r>
      <w:r>
        <w:t>ra, al mismo tiempo que le atribuyó falsamente haberle proferido expresiones tales como “conchudo” o “traidor”.</w:t>
      </w:r>
    </w:p>
    <w:p w:rsidR="00224567" w:rsidRDefault="00224567">
      <w:pPr>
        <w:widowControl w:val="0"/>
      </w:pPr>
      <w:r>
        <w:tab/>
        <w:t>Estimó que el cambio de la declar</w:t>
      </w:r>
      <w:r>
        <w:t>a</w:t>
      </w:r>
      <w:r>
        <w:t>ción de Huici obedeció a su pánico a la cárcel, dest</w:t>
      </w:r>
      <w:r>
        <w:t>a</w:t>
      </w:r>
      <w:r>
        <w:t>cando que ello coincidió con la época en que comenzó a circular el rumor que sostenía que se iban a producir detenciones si no aparecían más elementos en su contra.</w:t>
      </w:r>
    </w:p>
    <w:p w:rsidR="00224567" w:rsidRDefault="00224567">
      <w:pPr>
        <w:widowControl w:val="0"/>
      </w:pPr>
      <w:r>
        <w:tab/>
        <w:t xml:space="preserve">Indicó que Huici fue el único que en ese momento permaneció en dependencias de </w:t>
      </w:r>
      <w:smartTag w:uri="urn:schemas-microsoft-com:office:smarttags" w:element="PersonName">
        <w:smartTagPr>
          <w:attr w:name="ProductID" w:val="la Polic￭a Federal"/>
        </w:smartTagPr>
        <w:r>
          <w:t>la Policía Fed</w:t>
        </w:r>
        <w:r>
          <w:t>e</w:t>
        </w:r>
        <w:r>
          <w:t>ral</w:t>
        </w:r>
      </w:smartTag>
      <w:r>
        <w:t>, mientras que Cruz, Rago, Leal, Barreiro y Barreda fueron trasladados a la cárcel, tal como se de</w:t>
      </w:r>
      <w:r>
        <w:t>s</w:t>
      </w:r>
      <w:r>
        <w:t>prendía de fs. 3458 de la causa nº 1598.</w:t>
      </w:r>
    </w:p>
    <w:p w:rsidR="00224567" w:rsidRDefault="00224567">
      <w:pPr>
        <w:widowControl w:val="0"/>
      </w:pPr>
      <w:r>
        <w:tab/>
        <w:t>Estimó que, mediante la presentación del escrito obrante a fs. 861 del sumario administrativo nº 266.505/96, Huici se contradijo con sus dichos vertidos tres meses antes, en la causa nº 1598.</w:t>
      </w:r>
    </w:p>
    <w:p w:rsidR="00224567" w:rsidRDefault="00224567">
      <w:pPr>
        <w:widowControl w:val="0"/>
      </w:pPr>
      <w:r>
        <w:tab/>
        <w:t>Por lo expuesto, Ribelli concluyó que Huici, ante el magistrado instructor mantuvo su imput</w:t>
      </w:r>
      <w:r>
        <w:t>a</w:t>
      </w:r>
      <w:r>
        <w:t>ción hacia él, mientras que, en ause</w:t>
      </w:r>
      <w:r>
        <w:t>n</w:t>
      </w:r>
      <w:r>
        <w:t>cia del juez, se remitía a la realidad de los hechos, siendo dicha co</w:t>
      </w:r>
      <w:r>
        <w:t>n</w:t>
      </w:r>
      <w:r>
        <w:t>ducta la única forma de permanecer alojado en una dependencia que no fu</w:t>
      </w:r>
      <w:r>
        <w:t>e</w:t>
      </w:r>
      <w:r>
        <w:t>ra la cá</w:t>
      </w:r>
      <w:r>
        <w:t>r</w:t>
      </w:r>
      <w:r>
        <w:t>cel.</w:t>
      </w:r>
    </w:p>
    <w:p w:rsidR="00224567" w:rsidRDefault="00224567">
      <w:pPr>
        <w:widowControl w:val="0"/>
      </w:pPr>
      <w:r>
        <w:tab/>
        <w:t>Además, precisó que con el tran</w:t>
      </w:r>
      <w:r>
        <w:t>s</w:t>
      </w:r>
      <w:r>
        <w:t>curso del tiempo, Huici fue modificando sus dichos en virtud de las promesas de mejorar su situación y recuperar su libe</w:t>
      </w:r>
      <w:r>
        <w:t>r</w:t>
      </w:r>
      <w:r>
        <w:t>tad, efectuadas por Galeano, por intermedio de D</w:t>
      </w:r>
      <w:r>
        <w:t>o</w:t>
      </w:r>
      <w:r>
        <w:t>mínguez, Parascándolo y otros abog</w:t>
      </w:r>
      <w:r>
        <w:t>a</w:t>
      </w:r>
      <w:r>
        <w:t xml:space="preserve">dos. </w:t>
      </w:r>
    </w:p>
    <w:p w:rsidR="00224567" w:rsidRDefault="00224567">
      <w:pPr>
        <w:widowControl w:val="0"/>
      </w:pPr>
      <w:r>
        <w:tab/>
        <w:t>Acto seguido, Ribelli alegó que Huici mintió al afirmar que la declaración del 14 de marzo había sido tomada el 15 de ese mes en la oficina de judiciales ante la presencia de Bacigalupo y Arancibia, toda vez que en esos días Bacigalupo se encontraba de vacaciones, ci</w:t>
      </w:r>
      <w:r>
        <w:t>r</w:t>
      </w:r>
      <w:r>
        <w:t>cunstancia que se desprendía del test</w:t>
      </w:r>
      <w:r>
        <w:t>i</w:t>
      </w:r>
      <w:r>
        <w:t xml:space="preserve">monio del nombrado, de las constancias obrantes a fs. 249/250 del libro de guardia de </w:t>
      </w:r>
      <w:smartTag w:uri="urn:schemas-microsoft-com:office:smarttags" w:element="PersonName">
        <w:smartTagPr>
          <w:attr w:name="ProductID" w:val="la Brigada"/>
        </w:smartTagPr>
        <w:r>
          <w:t>la Brigada</w:t>
        </w:r>
      </w:smartTag>
      <w:r>
        <w:t xml:space="preserve"> de Investigaciones de Lanús, del respe</w:t>
      </w:r>
      <w:r>
        <w:t>c</w:t>
      </w:r>
      <w:r>
        <w:t>tivo legajo policial, de la certificación efectuada por el actuario acerca de la denuncia del ilícito del cual fuera víctima durante su estadía en Córdoba y del i</w:t>
      </w:r>
      <w:r>
        <w:t>n</w:t>
      </w:r>
      <w:r>
        <w:t>forme del hotel Molino de Oro de Carlos Paz.</w:t>
      </w:r>
    </w:p>
    <w:p w:rsidR="00224567" w:rsidRDefault="00224567">
      <w:pPr>
        <w:widowControl w:val="0"/>
      </w:pPr>
      <w:r>
        <w:tab/>
        <w:t>El imputado señaló que Smurro y Díaz, en su carácter de funcionarios policiales, estaban oblig</w:t>
      </w:r>
      <w:r>
        <w:t>a</w:t>
      </w:r>
      <w:r>
        <w:t>dos a efectuar la respectiva denuncia, al tiempo en que Huici les comentó en un bar ubicado al lado de la brigada que había sido obligado a d</w:t>
      </w:r>
      <w:r>
        <w:t>e</w:t>
      </w:r>
      <w:r>
        <w:t>clarar.</w:t>
      </w:r>
    </w:p>
    <w:p w:rsidR="00224567" w:rsidRDefault="00224567">
      <w:pPr>
        <w:widowControl w:val="0"/>
      </w:pPr>
      <w:r>
        <w:tab/>
        <w:t>Destacó que los nombrados trabajaron bastante tiempo a las órdenes de Huici, agregando que en 1995 Díaz había sido detenido por el dicente en el marco de la causa nº 43.046 del Juzgado Criminal y C</w:t>
      </w:r>
      <w:r>
        <w:t>o</w:t>
      </w:r>
      <w:r>
        <w:t>rreccional nº 7 de Lomas de Zamora, tal como se de</w:t>
      </w:r>
      <w:r>
        <w:t>s</w:t>
      </w:r>
      <w:r>
        <w:t>prendía de las fs. 241/242, 815 y 1091/1102, 241/242 del legajo de instru</w:t>
      </w:r>
      <w:r>
        <w:t>c</w:t>
      </w:r>
      <w:r>
        <w:t>ción supl</w:t>
      </w:r>
      <w:r>
        <w:t>e</w:t>
      </w:r>
      <w:r>
        <w:t>mentaria, entendiendo que dichas circunstancias debían ser consideradas por el tribunal al valorar la prueba de cargo.</w:t>
      </w:r>
    </w:p>
    <w:p w:rsidR="00224567" w:rsidRDefault="00224567">
      <w:pPr>
        <w:widowControl w:val="0"/>
      </w:pPr>
      <w:r>
        <w:tab/>
        <w:t>Con relación a lo sostenido por Huici en punto a que él lo habría obligado a declarar fals</w:t>
      </w:r>
      <w:r>
        <w:t>a</w:t>
      </w:r>
      <w:r>
        <w:t>mente para cubrir una situación administrativa respecto a las lesiones sufridas por Casas, sostuvo que si bien el área administrativa no estaba bajo su supervisión, las refer</w:t>
      </w:r>
      <w:r>
        <w:t>i</w:t>
      </w:r>
      <w:r>
        <w:t>das heridas no necesitaban amparo legal alguno por trata</w:t>
      </w:r>
      <w:r>
        <w:t>r</w:t>
      </w:r>
      <w:r>
        <w:t>se de lesiones leves -delito dependiente de instancia pr</w:t>
      </w:r>
      <w:r>
        <w:t>i</w:t>
      </w:r>
      <w:r>
        <w:t>vada-, que no lo imposibilitaron para trabajar. No obsta</w:t>
      </w:r>
      <w:r>
        <w:t>n</w:t>
      </w:r>
      <w:r>
        <w:t>te ello, aclaró que fueron certificadas por el médico de la policía y asentadas en la causa nº 5681 del departame</w:t>
      </w:r>
      <w:r>
        <w:t>n</w:t>
      </w:r>
      <w:r>
        <w:t>to judicial de Quilmes.</w:t>
      </w:r>
    </w:p>
    <w:p w:rsidR="00224567" w:rsidRDefault="00224567">
      <w:pPr>
        <w:widowControl w:val="0"/>
      </w:pPr>
      <w:r>
        <w:tab/>
        <w:t>En cuanto a las acusaciones ref</w:t>
      </w:r>
      <w:r>
        <w:t>e</w:t>
      </w:r>
      <w:r>
        <w:t>ridas a que no se había instruido causa penal por las lesi</w:t>
      </w:r>
      <w:r>
        <w:t>o</w:t>
      </w:r>
      <w:r>
        <w:t>nes o por la huída de Telleldín, Ribelli explicó que la dilige</w:t>
      </w:r>
      <w:r>
        <w:t>n</w:t>
      </w:r>
      <w:r>
        <w:t>cia fue cumplida por Ibarra en el marco de la causa nº 5681 y notificada al juzg</w:t>
      </w:r>
      <w:r>
        <w:t>a</w:t>
      </w:r>
      <w:r>
        <w:t>do, escapando del dominio de la brigada y de la responsabilidad del instructor Burguete, el hecho que la magistrada interv</w:t>
      </w:r>
      <w:r>
        <w:t>i</w:t>
      </w:r>
      <w:r>
        <w:t>niente entendiera que no se d</w:t>
      </w:r>
      <w:r>
        <w:t>e</w:t>
      </w:r>
      <w:r>
        <w:t>bían extraer testimonios.</w:t>
      </w:r>
    </w:p>
    <w:p w:rsidR="00224567" w:rsidRDefault="00224567">
      <w:pPr>
        <w:widowControl w:val="0"/>
      </w:pPr>
      <w:r>
        <w:tab/>
        <w:t>Con respecto a la acusación que se le formula consistente en que la declaración falsa de Huici fue armada para justificar el sumario administrativo, el encartado respondió que no existió ningún sumario admini</w:t>
      </w:r>
      <w:r>
        <w:t>s</w:t>
      </w:r>
      <w:r>
        <w:t>trativo.</w:t>
      </w:r>
    </w:p>
    <w:p w:rsidR="00224567" w:rsidRDefault="00224567">
      <w:pPr>
        <w:widowControl w:val="0"/>
      </w:pPr>
      <w:r>
        <w:tab/>
        <w:t>Acto seguido, Ribelli sostuvo que en marzo de 1997 se refirió vagamente a las acusaciones de Huici, por tratarse de las manifest</w:t>
      </w:r>
      <w:r>
        <w:t>a</w:t>
      </w:r>
      <w:r>
        <w:t>ciones de un co-procesado en busca de un beneficio personal, oportunidad en la que no se le hizo saber la imputación por la inst</w:t>
      </w:r>
      <w:r>
        <w:t>i</w:t>
      </w:r>
      <w:r>
        <w:t>gación al falso test</w:t>
      </w:r>
      <w:r>
        <w:t>i</w:t>
      </w:r>
      <w:r>
        <w:t>monio, como tampoco al ser reenviado el expediente a la instrucción, afirmando que de haber s</w:t>
      </w:r>
      <w:r>
        <w:t>i</w:t>
      </w:r>
      <w:r>
        <w:t>do así, hubi</w:t>
      </w:r>
      <w:r>
        <w:t>e</w:t>
      </w:r>
      <w:r>
        <w:t>ra brindado las explicaciones pertinentes.</w:t>
      </w:r>
    </w:p>
    <w:p w:rsidR="00224567" w:rsidRDefault="00224567">
      <w:pPr>
        <w:widowControl w:val="0"/>
      </w:pPr>
      <w:r>
        <w:tab/>
        <w:t>Por último, consideró que se había afectado su derecho de defensa al serle endilgados los d</w:t>
      </w:r>
      <w:r>
        <w:t>i</w:t>
      </w:r>
      <w:r>
        <w:t>chos del testigo de identidad reservada nº 2, el cual s</w:t>
      </w:r>
      <w:r>
        <w:t>e</w:t>
      </w:r>
      <w:r>
        <w:t>gún el rumor general sería Semorile.</w:t>
      </w:r>
    </w:p>
    <w:p w:rsidR="00224567" w:rsidRDefault="00224567">
      <w:pPr>
        <w:widowControl w:val="0"/>
      </w:pPr>
      <w:r>
        <w:tab/>
        <w:t>Por lo expuesto, concluyó que no co</w:t>
      </w:r>
      <w:r>
        <w:t>n</w:t>
      </w:r>
      <w:r>
        <w:t>tó con todas las garantías del debido proceso para re</w:t>
      </w:r>
      <w:r>
        <w:t>s</w:t>
      </w:r>
      <w:r>
        <w:t>ponder el requerimiento de elevación a juicio correspondiente a la causa nº 501.</w:t>
      </w:r>
    </w:p>
    <w:p w:rsidR="00224567" w:rsidRDefault="00224567">
      <w:pPr>
        <w:pStyle w:val="Sangradetextonormal"/>
        <w:widowControl w:val="0"/>
        <w:ind w:firstLine="0"/>
      </w:pPr>
      <w:r>
        <w:tab/>
        <w:t>Al ampliar nuevamente su declaración indagatoria, el imputado Juan José Ribelli aclaró que T</w:t>
      </w:r>
      <w:r>
        <w:t>e</w:t>
      </w:r>
      <w:r>
        <w:t xml:space="preserve">lleldín fue detenido el 12 de agosto de 1987 en </w:t>
      </w:r>
      <w:smartTag w:uri="urn:schemas-microsoft-com:office:smarttags" w:element="PersonName">
        <w:smartTagPr>
          <w:attr w:name="ProductID" w:val="la Divisi￳n Homicidios"/>
        </w:smartTagPr>
        <w:r>
          <w:t>la Div</w:t>
        </w:r>
        <w:r>
          <w:t>i</w:t>
        </w:r>
        <w:r>
          <w:t>sión Homicidios</w:t>
        </w:r>
      </w:smartTag>
      <w:r>
        <w:t>, según constaba en el respectivo anexo prontuarial. Si bien reconoció haber prestado servicios ante dicha división, explicó que el 10 de j</w:t>
      </w:r>
      <w:r>
        <w:t>u</w:t>
      </w:r>
      <w:r>
        <w:t xml:space="preserve">lio de 1987 lo trasladaron a </w:t>
      </w:r>
      <w:smartTag w:uri="urn:schemas-microsoft-com:office:smarttags" w:element="PersonName">
        <w:smartTagPr>
          <w:attr w:name="ProductID" w:val="la Unidad Regional"/>
        </w:smartTagPr>
        <w:r>
          <w:t>la Unidad Regional</w:t>
        </w:r>
      </w:smartTag>
      <w:r>
        <w:t xml:space="preserve"> de Vicente López, razón por la cual, a la fecha de la citada detención, no se h</w:t>
      </w:r>
      <w:r>
        <w:t>a</w:t>
      </w:r>
      <w:r>
        <w:t>llaba trabajando en aquella depe</w:t>
      </w:r>
      <w:r>
        <w:t>n</w:t>
      </w:r>
      <w:r>
        <w:t xml:space="preserve">dencia. </w:t>
      </w:r>
    </w:p>
    <w:p w:rsidR="00224567" w:rsidRDefault="00224567">
      <w:pPr>
        <w:pStyle w:val="Sangradetextonormal"/>
        <w:widowControl w:val="0"/>
        <w:ind w:firstLine="0"/>
      </w:pPr>
      <w:r>
        <w:tab/>
        <w:t xml:space="preserve">Del mismo modo, indicó que tampoco prestó servicios en </w:t>
      </w:r>
      <w:smartTag w:uri="urn:schemas-microsoft-com:office:smarttags" w:element="PersonName">
        <w:smartTagPr>
          <w:attr w:name="ProductID" w:val="la Divisi￳n Homicidios"/>
        </w:smartTagPr>
        <w:r>
          <w:t>la División Homicidios</w:t>
        </w:r>
      </w:smartTag>
      <w:r>
        <w:t xml:space="preserve"> al momento en que Telleldín recuperó su libertad, ya que en octubre de 1987 fue trasladado a </w:t>
      </w:r>
      <w:smartTag w:uri="urn:schemas-microsoft-com:office:smarttags" w:element="PersonName">
        <w:smartTagPr>
          <w:attr w:name="ProductID" w:val="la Brigada"/>
        </w:smartTagPr>
        <w:r>
          <w:t>la Brigada</w:t>
        </w:r>
      </w:smartTag>
      <w:r>
        <w:t xml:space="preserve"> de Investigaciones de Quilmes. </w:t>
      </w:r>
    </w:p>
    <w:p w:rsidR="00224567" w:rsidRDefault="00224567">
      <w:pPr>
        <w:pStyle w:val="Sangradetextonormal"/>
        <w:widowControl w:val="0"/>
        <w:ind w:firstLine="0"/>
      </w:pPr>
      <w:r>
        <w:tab/>
        <w:t>Además, aclaró que, de acuerdo al l</w:t>
      </w:r>
      <w:r>
        <w:t>i</w:t>
      </w:r>
      <w:r>
        <w:t xml:space="preserve">bro de guardia de </w:t>
      </w:r>
      <w:smartTag w:uri="urn:schemas-microsoft-com:office:smarttags" w:element="PersonName">
        <w:smartTagPr>
          <w:attr w:name="ProductID" w:val="la Brigada"/>
        </w:smartTagPr>
        <w:r>
          <w:t>la Brigada</w:t>
        </w:r>
      </w:smartTag>
      <w:r>
        <w:t xml:space="preserve"> de Vicente López, mientras estuvo detenido Solari, un cabo de nombre José Ojeda de </w:t>
      </w:r>
      <w:smartTag w:uri="urn:schemas-microsoft-com:office:smarttags" w:element="PersonName">
        <w:smartTagPr>
          <w:attr w:name="ProductID" w:val="la Brigada"/>
        </w:smartTagPr>
        <w:r>
          <w:t>la Brigada</w:t>
        </w:r>
      </w:smartTag>
      <w:r>
        <w:t xml:space="preserve"> de Tigre, prestó servicio en calidad de imagin</w:t>
      </w:r>
      <w:r>
        <w:t>a</w:t>
      </w:r>
      <w:r>
        <w:t>ria, cuidando los calabozos.</w:t>
      </w:r>
    </w:p>
    <w:p w:rsidR="00224567" w:rsidRDefault="00224567">
      <w:pPr>
        <w:pStyle w:val="Sangradetextonormal"/>
        <w:widowControl w:val="0"/>
        <w:ind w:firstLine="0"/>
      </w:pPr>
      <w:r>
        <w:tab/>
        <w:t>Si bien Ribelli manifestó tener un s</w:t>
      </w:r>
      <w:r>
        <w:t>o</w:t>
      </w:r>
      <w:r>
        <w:t>brino con el nombre de José Miguel Ojeda, precisó que el cabo antes mencionado no lo era, ni tenía vincul</w:t>
      </w:r>
      <w:r>
        <w:t>a</w:t>
      </w:r>
      <w:r>
        <w:t>ción con el dicente, señalando que tampoco tenía relación alguna con los otros dos agentes de apellido Ojeda, Walter y Ví</w:t>
      </w:r>
      <w:r>
        <w:t>c</w:t>
      </w:r>
      <w:r>
        <w:t>tor, cuyos nombres figuraban en el l</w:t>
      </w:r>
      <w:r>
        <w:t>i</w:t>
      </w:r>
      <w:r>
        <w:t>bro mencionado.</w:t>
      </w:r>
    </w:p>
    <w:p w:rsidR="00224567" w:rsidRDefault="00224567">
      <w:pPr>
        <w:pStyle w:val="Sangradetextonormal"/>
        <w:widowControl w:val="0"/>
        <w:ind w:firstLine="0"/>
      </w:pPr>
      <w:r>
        <w:tab/>
        <w:t>Luego hizo referencia al funcionario Vertúa, precisando que el nombrado fue quien le informó a Ibarra que Teccedin y Petrucci carecían de antecede</w:t>
      </w:r>
      <w:r>
        <w:t>n</w:t>
      </w:r>
      <w:r>
        <w:t xml:space="preserve">tes. </w:t>
      </w:r>
    </w:p>
    <w:p w:rsidR="00224567" w:rsidRDefault="00224567">
      <w:pPr>
        <w:pStyle w:val="Sangradetextonormal"/>
        <w:widowControl w:val="0"/>
        <w:ind w:firstLine="0"/>
      </w:pPr>
      <w:r>
        <w:t>Manifestó que averiguó que alguien llamado Rubén Alberto Vertúa había sido suboficial, y que no pertenecería a la fuerza desde julio de 2000. Si bien aclaró que no tenía certeza de ello, refirió que todo indicaba que el no</w:t>
      </w:r>
      <w:r>
        <w:t>m</w:t>
      </w:r>
      <w:r>
        <w:t xml:space="preserve">brado la persona que en aquel momento trabajó en </w:t>
      </w:r>
      <w:smartTag w:uri="urn:schemas-microsoft-com:office:smarttags" w:element="PersonName">
        <w:smartTagPr>
          <w:attr w:name="ProductID" w:val="la Direcci￳n General"/>
        </w:smartTagPr>
        <w:r>
          <w:t>la Dirección General</w:t>
        </w:r>
      </w:smartTag>
      <w:r>
        <w:t xml:space="preserve"> de Invest</w:t>
      </w:r>
      <w:r>
        <w:t>i</w:t>
      </w:r>
      <w:r>
        <w:t>gaciones.</w:t>
      </w:r>
    </w:p>
    <w:p w:rsidR="00224567" w:rsidRDefault="00224567">
      <w:pPr>
        <w:pStyle w:val="Sangradetextonormal"/>
        <w:widowControl w:val="0"/>
        <w:ind w:firstLine="0"/>
      </w:pPr>
      <w:r>
        <w:tab/>
        <w:t>Seguidamente, Ribelli hizo ref</w:t>
      </w:r>
      <w:r>
        <w:t>e</w:t>
      </w:r>
      <w:r>
        <w:t>rencia al informe producido por Graciela Gómez, remarcando que ello ocasionó que en el año 1995 se efectuara una imp</w:t>
      </w:r>
      <w:r>
        <w:t>u</w:t>
      </w:r>
      <w:r>
        <w:t>tación administrativa contra Bu</w:t>
      </w:r>
      <w:r>
        <w:t>r</w:t>
      </w:r>
      <w:r>
        <w:t xml:space="preserve">guete y Bacigalupo. </w:t>
      </w:r>
    </w:p>
    <w:p w:rsidR="00224567" w:rsidRDefault="00224567">
      <w:pPr>
        <w:pStyle w:val="Sangradetextonormal"/>
        <w:widowControl w:val="0"/>
        <w:ind w:firstLine="0"/>
      </w:pPr>
      <w:r>
        <w:tab/>
        <w:t>Reflexionó acerca de la ilegitimidad que tenían esos informes remitidos por la jefatura de p</w:t>
      </w:r>
      <w:r>
        <w:t>o</w:t>
      </w:r>
      <w:r>
        <w:t xml:space="preserve">licía bonaerense y, en especial, </w:t>
      </w:r>
      <w:smartTag w:uri="urn:schemas-microsoft-com:office:smarttags" w:element="PersonName">
        <w:smartTagPr>
          <w:attr w:name="ProductID" w:val="la Direcci￳n"/>
        </w:smartTagPr>
        <w:r>
          <w:t>la Dirección</w:t>
        </w:r>
      </w:smartTag>
      <w:r>
        <w:t xml:space="preserve"> de Antec</w:t>
      </w:r>
      <w:r>
        <w:t>e</w:t>
      </w:r>
      <w:r>
        <w:t>dentes Personales, estimando que no se podía desconocer que las fichas fueron enviadas y que el sumario admini</w:t>
      </w:r>
      <w:r>
        <w:t>s</w:t>
      </w:r>
      <w:r>
        <w:t>trativo y la imputación penal surgía de ese i</w:t>
      </w:r>
      <w:r>
        <w:t>n</w:t>
      </w:r>
      <w:r>
        <w:t>forme.</w:t>
      </w:r>
    </w:p>
    <w:p w:rsidR="00224567" w:rsidRDefault="00224567">
      <w:pPr>
        <w:pStyle w:val="Sangradetextonormal"/>
        <w:widowControl w:val="0"/>
        <w:ind w:firstLine="0"/>
      </w:pPr>
      <w:r>
        <w:tab/>
        <w:t>Posteriormente, Ribelli se expr</w:t>
      </w:r>
      <w:r>
        <w:t>e</w:t>
      </w:r>
      <w:r>
        <w:t>só con relación a la declaración del testigo de identidad rese</w:t>
      </w:r>
      <w:r>
        <w:t>r</w:t>
      </w:r>
      <w:r>
        <w:t>vada número seis, considerando que se violaron las gara</w:t>
      </w:r>
      <w:r>
        <w:t>n</w:t>
      </w:r>
      <w:r>
        <w:t>tías de defensa en juicio, por no haber podido acceder a los legajos de identidad r</w:t>
      </w:r>
      <w:r>
        <w:t>e</w:t>
      </w:r>
      <w:r>
        <w:t xml:space="preserve">servada. </w:t>
      </w:r>
    </w:p>
    <w:p w:rsidR="00224567" w:rsidRDefault="00224567">
      <w:pPr>
        <w:pStyle w:val="Sangradetextonormal"/>
        <w:widowControl w:val="0"/>
        <w:ind w:firstLine="0"/>
      </w:pPr>
      <w:r>
        <w:tab/>
        <w:t>Por otra parte entendió que el Dr. G</w:t>
      </w:r>
      <w:r>
        <w:t>a</w:t>
      </w:r>
      <w:r>
        <w:t>leano, sus secretarios y los fiscales Mullen y Barbaccia cometieron los delitos de encubrimiento, viol</w:t>
      </w:r>
      <w:r>
        <w:t>a</w:t>
      </w:r>
      <w:r>
        <w:t>ción de los deberes de funcionario público y ocult</w:t>
      </w:r>
      <w:r>
        <w:t>a</w:t>
      </w:r>
      <w:r>
        <w:t>miento de pruebas, ya que se le escondió la fecha en que el testigo antes c</w:t>
      </w:r>
      <w:r>
        <w:t>i</w:t>
      </w:r>
      <w:r>
        <w:t xml:space="preserve">tado dijo haberlo visto manejando una Trafic blanca, que fue el día 10 de julio de 1994. </w:t>
      </w:r>
    </w:p>
    <w:p w:rsidR="00224567" w:rsidRDefault="00224567">
      <w:pPr>
        <w:pStyle w:val="Sangradetextonormal"/>
        <w:widowControl w:val="0"/>
        <w:ind w:firstLine="0"/>
      </w:pPr>
      <w:r>
        <w:tab/>
        <w:t>Al respecto, el imputado recordó que aportó  documentación que demostraba que había realizado un viaje a Brasil y a las Cataratas del Iguazú, r</w:t>
      </w:r>
      <w:r>
        <w:t>e</w:t>
      </w:r>
      <w:r>
        <w:t>gresando el día 10 de julio de 1994 en horas de la ta</w:t>
      </w:r>
      <w:r>
        <w:t>r</w:t>
      </w:r>
      <w:r>
        <w:t xml:space="preserve">de. </w:t>
      </w:r>
    </w:p>
    <w:p w:rsidR="00224567" w:rsidRDefault="00224567">
      <w:pPr>
        <w:pStyle w:val="Sangradetextonormal"/>
        <w:widowControl w:val="0"/>
        <w:ind w:firstLine="0"/>
      </w:pPr>
      <w:r>
        <w:tab/>
        <w:t>Del mismo modo, cuestionó la afirm</w:t>
      </w:r>
      <w:r>
        <w:t>a</w:t>
      </w:r>
      <w:r>
        <w:t>ción del testigo de identidad reservada número seis en cuanto manifestó que el 18 de julio de 1994 Federico y el “Colo” se hallaban sentados en la pizzería donde trabaj</w:t>
      </w:r>
      <w:r>
        <w:t>a</w:t>
      </w:r>
      <w:r>
        <w:t xml:space="preserve">ba y que él había llegado cerca del mediodía. </w:t>
      </w:r>
    </w:p>
    <w:p w:rsidR="00224567" w:rsidRDefault="00224567">
      <w:pPr>
        <w:pStyle w:val="Sangradetextonormal"/>
        <w:widowControl w:val="0"/>
        <w:ind w:firstLine="0"/>
      </w:pPr>
      <w:r>
        <w:tab/>
        <w:t>En este punto, remarcó que el juez G</w:t>
      </w:r>
      <w:r>
        <w:t>a</w:t>
      </w:r>
      <w:r>
        <w:t>leano, sus secret</w:t>
      </w:r>
      <w:r>
        <w:t>a</w:t>
      </w:r>
      <w:r>
        <w:t>rios y los fiscales sabían que el 18 de julio de 1994 no estaba en Argentina, tal como lo acred</w:t>
      </w:r>
      <w:r>
        <w:t>i</w:t>
      </w:r>
      <w:r>
        <w:t>taba la documentación oportunamente presentada, concluye</w:t>
      </w:r>
      <w:r>
        <w:t>n</w:t>
      </w:r>
      <w:r>
        <w:t>do que los nombrados ocultaron ese dato y lo privaron de ejercer su derecho de defensa.</w:t>
      </w:r>
    </w:p>
    <w:p w:rsidR="00224567" w:rsidRDefault="00224567">
      <w:pPr>
        <w:pStyle w:val="Sangradetextonormal"/>
        <w:widowControl w:val="0"/>
        <w:ind w:firstLine="0"/>
      </w:pPr>
      <w:r>
        <w:tab/>
        <w:t>Entendió que aquél testigo, con la complicidad del juez Galeano, los secretarios y los fisc</w:t>
      </w:r>
      <w:r>
        <w:t>a</w:t>
      </w:r>
      <w:r>
        <w:t>les Mullen y Barbaccia plasmó cosas inciertas, razón por la cual solicitó al tribunal la e</w:t>
      </w:r>
      <w:r>
        <w:t>x</w:t>
      </w:r>
      <w:r>
        <w:t>tracción de testimonios para que un juzgado inte</w:t>
      </w:r>
      <w:r>
        <w:t>r</w:t>
      </w:r>
      <w:r>
        <w:t>venga y se llegue a la verdad.</w:t>
      </w:r>
    </w:p>
    <w:p w:rsidR="00224567" w:rsidRDefault="00224567">
      <w:pPr>
        <w:pStyle w:val="Sangradetextonormal"/>
        <w:widowControl w:val="0"/>
        <w:ind w:firstLine="0"/>
      </w:pPr>
      <w:r>
        <w:tab/>
        <w:t xml:space="preserve">Por otra parte, Ribelli analizó las escuchas telefónicas obtenidas en la causa nº 10.247/98, caratulada “Beraja, Rubén y otros s/defraudación contra </w:t>
      </w:r>
      <w:smartTag w:uri="urn:schemas-microsoft-com:office:smarttags" w:element="PersonName">
        <w:smartTagPr>
          <w:attr w:name="ProductID" w:val="la Administraci￳n P￺blica"/>
        </w:smartTagPr>
        <w:r>
          <w:t>la Administración Pública</w:t>
        </w:r>
      </w:smartTag>
      <w:r>
        <w:t>”, del juzgado a cargo del Dr. Oya</w:t>
      </w:r>
      <w:r>
        <w:t>r</w:t>
      </w:r>
      <w:r>
        <w:t>bide, concluyendo que mie</w:t>
      </w:r>
      <w:r>
        <w:t>n</w:t>
      </w:r>
      <w:r>
        <w:t>tras el Dr. Galeano continuara a cargo de la investigación de esta causa, no se iba a ll</w:t>
      </w:r>
      <w:r>
        <w:t>e</w:t>
      </w:r>
      <w:r>
        <w:t>gar a la verdad.</w:t>
      </w:r>
    </w:p>
    <w:p w:rsidR="00224567" w:rsidRDefault="00224567">
      <w:pPr>
        <w:pStyle w:val="Sangradetextonormal"/>
        <w:widowControl w:val="0"/>
        <w:ind w:firstLine="0"/>
      </w:pPr>
      <w:r>
        <w:tab/>
        <w:t>Luego, Ribelli precisó que el p</w:t>
      </w:r>
      <w:r>
        <w:t>a</w:t>
      </w:r>
      <w:r>
        <w:t>go de USD 400.000 efectuado a Telleldín, a través del Juez G</w:t>
      </w:r>
      <w:r>
        <w:t>a</w:t>
      </w:r>
      <w:r>
        <w:t>leano se efectivizó y Telleldín firmó su declaración ind</w:t>
      </w:r>
      <w:r>
        <w:t>a</w:t>
      </w:r>
      <w:r>
        <w:t xml:space="preserve">gatoria imputando a los policías.  </w:t>
      </w:r>
    </w:p>
    <w:p w:rsidR="00224567" w:rsidRDefault="00224567">
      <w:pPr>
        <w:pStyle w:val="Sangradetextonormal"/>
        <w:widowControl w:val="0"/>
        <w:ind w:firstLine="0"/>
      </w:pPr>
      <w:r>
        <w:tab/>
        <w:t>Mencionó que el día en que se produjo el pago se efectuó un llamado del teléfono correspo</w:t>
      </w:r>
      <w:r>
        <w:t>n</w:t>
      </w:r>
      <w:r>
        <w:t>diente al fallecido Dr. Natalio Chichowoski al celular particular del Dr. Stinfale, preguntándose qué tenía que hablar el representante que debía velar por los intereses de los f</w:t>
      </w:r>
      <w:r>
        <w:t>a</w:t>
      </w:r>
      <w:r>
        <w:t>miliares de las víctimas del atentado, con el abogado del principal imputado.</w:t>
      </w:r>
    </w:p>
    <w:p w:rsidR="00224567" w:rsidRDefault="00224567">
      <w:pPr>
        <w:pStyle w:val="Sangradetextonormal"/>
        <w:widowControl w:val="0"/>
        <w:ind w:firstLine="0"/>
      </w:pPr>
      <w:r>
        <w:tab/>
        <w:t>Señaló que el teléfono celular nº 4277829, perteneciente a Ana Boragni, estuvo intervenido hasta agosto de 1997 y no hasta 1996, estimando que el juez Galeano se estaba burlando del tribunal, al esconde</w:t>
      </w:r>
      <w:r>
        <w:t>r</w:t>
      </w:r>
      <w:r>
        <w:t>le un año de escuchas telefónicas, correspondiente al p</w:t>
      </w:r>
      <w:r>
        <w:t>e</w:t>
      </w:r>
      <w:r>
        <w:t xml:space="preserve">ríodo en el que surgían los llamados de Boragni con </w:t>
      </w:r>
      <w:smartTag w:uri="urn:schemas-microsoft-com:office:smarttags" w:element="PersonName">
        <w:smartTagPr>
          <w:attr w:name="ProductID" w:val="la S.I"/>
        </w:smartTagPr>
        <w:r>
          <w:t>la S.I</w:t>
        </w:r>
      </w:smartTag>
      <w:r>
        <w:t>.D.E.</w:t>
      </w:r>
    </w:p>
    <w:p w:rsidR="00224567" w:rsidRDefault="00224567">
      <w:pPr>
        <w:pStyle w:val="Sangradetextonormal"/>
        <w:widowControl w:val="0"/>
        <w:ind w:firstLine="0"/>
      </w:pPr>
      <w:r>
        <w:tab/>
        <w:t>Acto seguido citó las fs. 352 y 746 del legajo que contiene todas las órdenes de información telefónica de la causa nº 1156.</w:t>
      </w:r>
    </w:p>
    <w:p w:rsidR="00224567" w:rsidRDefault="00224567">
      <w:pPr>
        <w:pStyle w:val="Sangradetextonormal"/>
        <w:widowControl w:val="0"/>
        <w:ind w:firstLine="0"/>
      </w:pPr>
      <w:r>
        <w:tab/>
        <w:t>Sobre la base a lo expuesto, s</w:t>
      </w:r>
      <w:r>
        <w:t>o</w:t>
      </w:r>
      <w:r>
        <w:t>licitó al tribunal que dispusiera las medidas necesarias para e</w:t>
      </w:r>
      <w:r>
        <w:t>n</w:t>
      </w:r>
      <w:r>
        <w:t>contrar aquellas casetes de esc</w:t>
      </w:r>
      <w:r>
        <w:t>u</w:t>
      </w:r>
      <w:r>
        <w:t>chas telefónicas.</w:t>
      </w:r>
    </w:p>
    <w:p w:rsidR="00224567" w:rsidRDefault="00224567">
      <w:pPr>
        <w:pStyle w:val="Sangradetextonormal"/>
        <w:widowControl w:val="0"/>
        <w:ind w:firstLine="0"/>
      </w:pPr>
      <w:r>
        <w:tab/>
        <w:t xml:space="preserve">Manifestó no tener dudas en punto a que el pago de USD 400.000 fue realizado por </w:t>
      </w:r>
      <w:smartTag w:uri="urn:schemas-microsoft-com:office:smarttags" w:element="PersonName">
        <w:smartTagPr>
          <w:attr w:name="ProductID" w:val="la S.I"/>
        </w:smartTagPr>
        <w:r>
          <w:t>la S.I</w:t>
        </w:r>
      </w:smartTag>
      <w:r>
        <w:t>.D.E. con conocimiento del juez Galeano, quien negoció con T</w:t>
      </w:r>
      <w:r>
        <w:t>e</w:t>
      </w:r>
      <w:r>
        <w:t>lleldín, entendiendo que ello constituía una asociación ilícita, al haberse cometido delitos ind</w:t>
      </w:r>
      <w:r>
        <w:t>e</w:t>
      </w:r>
      <w:r>
        <w:t>terminados con la finalidad de desviar el rumbo de la investigación al inv</w:t>
      </w:r>
      <w:r>
        <w:t>o</w:t>
      </w:r>
      <w:r>
        <w:t>lucrar a los pol</w:t>
      </w:r>
      <w:r>
        <w:t>i</w:t>
      </w:r>
      <w:r>
        <w:t>cías bonaerenses, tratándose de una falsa conexión local.</w:t>
      </w:r>
    </w:p>
    <w:p w:rsidR="00224567" w:rsidRDefault="00224567">
      <w:pPr>
        <w:pStyle w:val="Sangradetextonormal"/>
        <w:widowControl w:val="0"/>
        <w:ind w:firstLine="0"/>
      </w:pPr>
      <w:r>
        <w:tab/>
        <w:t>Luego, Ribelli hizo referencia a la fs. 114 de la causa principal, de la cual surgían 32 núm</w:t>
      </w:r>
      <w:r>
        <w:t>e</w:t>
      </w:r>
      <w:r>
        <w:t>ros telefónicos cuya intervención fue pedida por el D.P.O.C., destacando que 21 líneas fueron i</w:t>
      </w:r>
      <w:r>
        <w:t>n</w:t>
      </w:r>
      <w:r>
        <w:t>tervenidas sin o</w:t>
      </w:r>
      <w:r>
        <w:t>r</w:t>
      </w:r>
      <w:r>
        <w:t xml:space="preserve">den judicial. </w:t>
      </w:r>
    </w:p>
    <w:p w:rsidR="00224567" w:rsidRDefault="00224567">
      <w:pPr>
        <w:pStyle w:val="Sangradetextonormal"/>
        <w:widowControl w:val="0"/>
        <w:ind w:firstLine="0"/>
      </w:pPr>
      <w:r>
        <w:tab/>
        <w:t xml:space="preserve">Expresó que </w:t>
      </w:r>
      <w:smartTag w:uri="urn:schemas-microsoft-com:office:smarttags" w:element="PersonName">
        <w:smartTagPr>
          <w:attr w:name="ProductID" w:val="la S.I"/>
        </w:smartTagPr>
        <w:r>
          <w:t>la S.I</w:t>
        </w:r>
      </w:smartTag>
      <w:r>
        <w:t>.D.E. estuvo esc</w:t>
      </w:r>
      <w:r>
        <w:t>u</w:t>
      </w:r>
      <w:r>
        <w:t xml:space="preserve">chando conversaciones provenientes de aquellos abonados, pertenecientes a gente relacionada con </w:t>
      </w:r>
      <w:smartTag w:uri="urn:schemas-microsoft-com:office:smarttags" w:element="PersonName">
        <w:smartTagPr>
          <w:attr w:name="ProductID" w:val="la Embajada"/>
        </w:smartTagPr>
        <w:r>
          <w:t>la Embajada</w:t>
        </w:r>
      </w:smartTag>
      <w:r>
        <w:t xml:space="preserve"> de Irán; información que provenía de las planillas de las e</w:t>
      </w:r>
      <w:r>
        <w:t>m</w:t>
      </w:r>
      <w:r>
        <w:t>presas Telecom, Movicom y Telef</w:t>
      </w:r>
      <w:r>
        <w:t>ó</w:t>
      </w:r>
      <w:r>
        <w:t xml:space="preserve">nica. </w:t>
      </w:r>
    </w:p>
    <w:p w:rsidR="00224567" w:rsidRDefault="00224567">
      <w:pPr>
        <w:pStyle w:val="Sangradetextonormal"/>
        <w:widowControl w:val="0"/>
        <w:ind w:firstLine="0"/>
      </w:pPr>
      <w:r>
        <w:tab/>
        <w:t>Puntualizó que en la fs. 114 no fig</w:t>
      </w:r>
      <w:r>
        <w:t>u</w:t>
      </w:r>
      <w:r>
        <w:t xml:space="preserve">raba un número que fue intervenido con la misma orden 1914, correspondiente a </w:t>
      </w:r>
      <w:smartTag w:uri="urn:schemas-microsoft-com:office:smarttags" w:element="PersonName">
        <w:smartTagPr>
          <w:attr w:name="ProductID" w:val="la Embajada"/>
        </w:smartTagPr>
        <w:r>
          <w:t>la Embajada</w:t>
        </w:r>
      </w:smartTag>
      <w:r>
        <w:t xml:space="preserve"> de Irán, preguntá</w:t>
      </w:r>
      <w:r>
        <w:t>n</w:t>
      </w:r>
      <w:r>
        <w:t>dose dónde se hallaban las casetes correspondientes a las i</w:t>
      </w:r>
      <w:r>
        <w:t>n</w:t>
      </w:r>
      <w:r>
        <w:t xml:space="preserve">tervenciones de esos 21 teléfonos y al de </w:t>
      </w:r>
      <w:smartTag w:uri="urn:schemas-microsoft-com:office:smarttags" w:element="PersonName">
        <w:smartTagPr>
          <w:attr w:name="ProductID" w:val="la Embajada"/>
        </w:smartTagPr>
        <w:r>
          <w:t>la Embajada</w:t>
        </w:r>
      </w:smartTag>
      <w:r>
        <w:t xml:space="preserve"> de Irán, que se produjeron de</w:t>
      </w:r>
      <w:r>
        <w:t>s</w:t>
      </w:r>
      <w:r>
        <w:t>pués del atentado.</w:t>
      </w:r>
    </w:p>
    <w:p w:rsidR="00224567" w:rsidRDefault="00224567">
      <w:pPr>
        <w:pStyle w:val="Sangradetextonormal"/>
        <w:widowControl w:val="0"/>
        <w:ind w:firstLine="0"/>
      </w:pPr>
      <w:r>
        <w:tab/>
        <w:t>Posteriormente, Ribelli remarcó que de a acuerdo a las órdenes de conexión aportadas por la e</w:t>
      </w:r>
      <w:r>
        <w:t>m</w:t>
      </w:r>
      <w:r>
        <w:t>presa Telecom, el 8 de junio de 1994, es decir, cuarenta días anteriores al atentado, la o</w:t>
      </w:r>
      <w:r>
        <w:t>r</w:t>
      </w:r>
      <w:r>
        <w:t xml:space="preserve">den de conexión nº 1473, firmada por el subsecretario de </w:t>
      </w:r>
      <w:smartTag w:uri="urn:schemas-microsoft-com:office:smarttags" w:element="PersonName">
        <w:smartTagPr>
          <w:attr w:name="ProductID" w:val="la S.I"/>
        </w:smartTagPr>
        <w:r>
          <w:t>la S.I</w:t>
        </w:r>
      </w:smartTag>
      <w:r>
        <w:t>.D.E., dispuso la intervención una serie de teléfonos, entre los que se e</w:t>
      </w:r>
      <w:r>
        <w:t>n</w:t>
      </w:r>
      <w:r>
        <w:t xml:space="preserve">contraba el perteneciente a </w:t>
      </w:r>
      <w:smartTag w:uri="urn:schemas-microsoft-com:office:smarttags" w:element="PersonName">
        <w:smartTagPr>
          <w:attr w:name="ProductID" w:val="la Conserjer￭a Cultural"/>
        </w:smartTagPr>
        <w:r>
          <w:t>la Conserjería Cultural</w:t>
        </w:r>
      </w:smartTag>
      <w:r>
        <w:t xml:space="preserve"> de </w:t>
      </w:r>
      <w:smartTag w:uri="urn:schemas-microsoft-com:office:smarttags" w:element="PersonName">
        <w:smartTagPr>
          <w:attr w:name="ProductID" w:val="la Embajada"/>
        </w:smartTagPr>
        <w:r>
          <w:t>la Embajada</w:t>
        </w:r>
      </w:smartTag>
      <w:r>
        <w:t xml:space="preserve"> de Irán, de las Embajadas de Irán y C</w:t>
      </w:r>
      <w:r>
        <w:t>u</w:t>
      </w:r>
      <w:r>
        <w:t xml:space="preserve">ba. </w:t>
      </w:r>
    </w:p>
    <w:p w:rsidR="00224567" w:rsidRDefault="00224567">
      <w:pPr>
        <w:pStyle w:val="Sangradetextonormal"/>
        <w:widowControl w:val="0"/>
        <w:ind w:firstLine="0"/>
      </w:pPr>
      <w:r>
        <w:tab/>
        <w:t>Si bien el imputado manifestó descon</w:t>
      </w:r>
      <w:r>
        <w:t>o</w:t>
      </w:r>
      <w:r>
        <w:t>cer hasta dónde había llegado aquella “investigación par</w:t>
      </w:r>
      <w:r>
        <w:t>a</w:t>
      </w:r>
      <w:r>
        <w:t>lela”, correspondía que todos aquellas intervenciones fu</w:t>
      </w:r>
      <w:r>
        <w:t>e</w:t>
      </w:r>
      <w:r>
        <w:t>ran aportadas al tribunal para llegar a la ve</w:t>
      </w:r>
      <w:r>
        <w:t>r</w:t>
      </w:r>
      <w:r>
        <w:t>dad, citando al respecto las fs. 712 de esta causa y la 3753 de la ca</w:t>
      </w:r>
      <w:r>
        <w:t>u</w:t>
      </w:r>
      <w:r>
        <w:t>sa nº 1627 conocida como la de “Khalil Ghatea”, de Lomas de Zamora.</w:t>
      </w:r>
    </w:p>
    <w:p w:rsidR="00224567" w:rsidRDefault="00224567">
      <w:pPr>
        <w:pStyle w:val="Sangradetextonormal"/>
        <w:widowControl w:val="0"/>
        <w:ind w:firstLine="0"/>
      </w:pPr>
      <w:r>
        <w:tab/>
        <w:t>Asimismo, Ribelli destacó que no t</w:t>
      </w:r>
      <w:r>
        <w:t>e</w:t>
      </w:r>
      <w:r>
        <w:t xml:space="preserve">nía explicación que dos días antes de la aparición del motor de </w:t>
      </w:r>
      <w:smartTag w:uri="urn:schemas-microsoft-com:office:smarttags" w:element="PersonName">
        <w:smartTagPr>
          <w:attr w:name="ProductID" w:val="la Trafic"/>
        </w:smartTagPr>
        <w:r>
          <w:t>la Trafic</w:t>
        </w:r>
      </w:smartTag>
      <w:r>
        <w:t xml:space="preserve">, </w:t>
      </w:r>
      <w:smartTag w:uri="urn:schemas-microsoft-com:office:smarttags" w:element="PersonName">
        <w:smartTagPr>
          <w:attr w:name="ProductID" w:val="la S.I"/>
        </w:smartTagPr>
        <w:r>
          <w:t>la S.I</w:t>
        </w:r>
      </w:smartTag>
      <w:r>
        <w:t>.D.E le solicitara al gerente del H</w:t>
      </w:r>
      <w:r>
        <w:t>o</w:t>
      </w:r>
      <w:r>
        <w:t>tel de Las Américas, Alejandro Serván, el listado de las personas alojadas entre el 10 y el 18 de julio.</w:t>
      </w:r>
    </w:p>
    <w:p w:rsidR="00224567" w:rsidRDefault="00224567">
      <w:pPr>
        <w:pStyle w:val="Sangradetextonormal"/>
        <w:widowControl w:val="0"/>
        <w:ind w:firstLine="0"/>
      </w:pPr>
      <w:r>
        <w:tab/>
        <w:t>Por lo expuesto, solicitó al tr</w:t>
      </w:r>
      <w:r>
        <w:t>i</w:t>
      </w:r>
      <w:r>
        <w:t>bunal que arbitrara los medios necesarios para secuestrar todo el material de escuchas telefónicas que comenzó cuarenta días antes del atentado y continuó un año después, como también que se averiguara si existía algún reclamo efe</w:t>
      </w:r>
      <w:r>
        <w:t>c</w:t>
      </w:r>
      <w:r>
        <w:t>tuado por las Embajadas de Irán y Cuba por haber sido o</w:t>
      </w:r>
      <w:r>
        <w:t>b</w:t>
      </w:r>
      <w:r>
        <w:t>jeto de escuchas ilegales.</w:t>
      </w:r>
    </w:p>
    <w:p w:rsidR="00224567" w:rsidRDefault="00224567">
      <w:pPr>
        <w:widowControl w:val="0"/>
      </w:pPr>
      <w:r>
        <w:tab/>
        <w:t>Posteriormente, en virtud de lo r</w:t>
      </w:r>
      <w:r>
        <w:t>e</w:t>
      </w:r>
      <w:r>
        <w:t>suelto durante el deb</w:t>
      </w:r>
      <w:r>
        <w:t>a</w:t>
      </w:r>
      <w:r>
        <w:t>te se procedió a dar lectura de las declaraciones indagatorias prestadas por Ribelli durante la instrucción.</w:t>
      </w:r>
    </w:p>
    <w:p w:rsidR="00224567" w:rsidRDefault="00224567">
      <w:pPr>
        <w:widowControl w:val="0"/>
        <w:rPr>
          <w:lang w:val="es-ES_tradnl"/>
        </w:rPr>
      </w:pPr>
      <w:r>
        <w:tab/>
        <w:t>A fs. 39.283/39.284</w:t>
      </w:r>
      <w:r>
        <w:rPr>
          <w:lang w:val="es-ES_tradnl"/>
        </w:rPr>
        <w:t>, Ribelli hizo uso de su derecho de negarse a decl</w:t>
      </w:r>
      <w:r>
        <w:rPr>
          <w:lang w:val="es-ES_tradnl"/>
        </w:rPr>
        <w:t>a</w:t>
      </w:r>
      <w:r>
        <w:rPr>
          <w:lang w:val="es-ES_tradnl"/>
        </w:rPr>
        <w:t>rar.</w:t>
      </w:r>
    </w:p>
    <w:p w:rsidR="00224567" w:rsidRDefault="00224567">
      <w:pPr>
        <w:widowControl w:val="0"/>
        <w:rPr>
          <w:lang w:val="es-ES_tradnl"/>
        </w:rPr>
      </w:pPr>
      <w:r>
        <w:rPr>
          <w:lang w:val="es-ES_tradnl"/>
        </w:rPr>
        <w:tab/>
        <w:t>A fs. 39.624/39.628 manifestó que no tenía ningún tipo de conocimiento con respecto a la exi</w:t>
      </w:r>
      <w:r>
        <w:rPr>
          <w:lang w:val="es-ES_tradnl"/>
        </w:rPr>
        <w:t>s</w:t>
      </w:r>
      <w:r>
        <w:rPr>
          <w:lang w:val="es-ES_tradnl"/>
        </w:rPr>
        <w:t>tencia o entrega de una camioneta Trafic, como ta</w:t>
      </w:r>
      <w:r>
        <w:rPr>
          <w:lang w:val="es-ES_tradnl"/>
        </w:rPr>
        <w:t>m</w:t>
      </w:r>
      <w:r>
        <w:rPr>
          <w:lang w:val="es-ES_tradnl"/>
        </w:rPr>
        <w:t>poco de quiénes pudieron tomar contacto o saber algo sobre el r</w:t>
      </w:r>
      <w:r>
        <w:rPr>
          <w:lang w:val="es-ES_tradnl"/>
        </w:rPr>
        <w:t>o</w:t>
      </w:r>
      <w:r>
        <w:rPr>
          <w:lang w:val="es-ES_tradnl"/>
        </w:rPr>
        <w:t xml:space="preserve">dado aludido, negando haber participado en forma alguna del atentado ocurrido en la sede de </w:t>
      </w:r>
      <w:smartTag w:uri="urn:schemas-microsoft-com:office:smarttags" w:element="PersonName">
        <w:smartTagPr>
          <w:attr w:name="ProductID" w:val="la A.M"/>
        </w:smartTagPr>
        <w:r>
          <w:rPr>
            <w:lang w:val="es-ES_tradnl"/>
          </w:rPr>
          <w:t>la A.M</w:t>
        </w:r>
      </w:smartTag>
      <w:r>
        <w:rPr>
          <w:lang w:val="es-ES_tradnl"/>
        </w:rPr>
        <w:t>.I.A.</w:t>
      </w:r>
    </w:p>
    <w:p w:rsidR="00224567" w:rsidRDefault="00224567">
      <w:pPr>
        <w:widowControl w:val="0"/>
        <w:rPr>
          <w:lang w:val="es-ES_tradnl"/>
        </w:rPr>
      </w:pPr>
      <w:r>
        <w:rPr>
          <w:lang w:val="es-ES_tradnl"/>
        </w:rPr>
        <w:tab/>
        <w:t xml:space="preserve">Además, expresó que en 1994 prestaba funciones en </w:t>
      </w:r>
      <w:smartTag w:uri="urn:schemas-microsoft-com:office:smarttags" w:element="PersonName">
        <w:smartTagPr>
          <w:attr w:name="ProductID" w:val="la Brigada"/>
        </w:smartTagPr>
        <w:r>
          <w:rPr>
            <w:lang w:val="es-ES_tradnl"/>
          </w:rPr>
          <w:t>la Br</w:t>
        </w:r>
        <w:r>
          <w:rPr>
            <w:lang w:val="es-ES_tradnl"/>
          </w:rPr>
          <w:t>i</w:t>
        </w:r>
        <w:r>
          <w:rPr>
            <w:lang w:val="es-ES_tradnl"/>
          </w:rPr>
          <w:t>gada</w:t>
        </w:r>
      </w:smartTag>
      <w:r>
        <w:rPr>
          <w:lang w:val="es-ES_tradnl"/>
        </w:rPr>
        <w:t xml:space="preserve"> de Investigaciones de Lanús de </w:t>
      </w:r>
      <w:smartTag w:uri="urn:schemas-microsoft-com:office:smarttags" w:element="PersonName">
        <w:smartTagPr>
          <w:attr w:name="ProductID" w:val="la Polic￭a Bonaerense"/>
        </w:smartTagPr>
        <w:r>
          <w:rPr>
            <w:lang w:val="es-ES_tradnl"/>
          </w:rPr>
          <w:t>la Policía Bonaerense</w:t>
        </w:r>
      </w:smartTag>
      <w:r>
        <w:rPr>
          <w:lang w:val="es-ES_tradnl"/>
        </w:rPr>
        <w:t>, negando haber t</w:t>
      </w:r>
      <w:r>
        <w:rPr>
          <w:lang w:val="es-ES_tradnl"/>
        </w:rPr>
        <w:t>e</w:t>
      </w:r>
      <w:r>
        <w:rPr>
          <w:lang w:val="es-ES_tradnl"/>
        </w:rPr>
        <w:t xml:space="preserve">nido relación laboral o de alguna otra índole con quienes trabajaban a esa fecha en </w:t>
      </w:r>
      <w:smartTag w:uri="urn:schemas-microsoft-com:office:smarttags" w:element="PersonName">
        <w:smartTagPr>
          <w:attr w:name="ProductID" w:val="la Brigada"/>
        </w:smartTagPr>
        <w:r>
          <w:rPr>
            <w:lang w:val="es-ES_tradnl"/>
          </w:rPr>
          <w:t>la Brigada</w:t>
        </w:r>
      </w:smartTag>
      <w:r>
        <w:rPr>
          <w:lang w:val="es-ES_tradnl"/>
        </w:rPr>
        <w:t xml:space="preserve"> de Vicente López, que al momento de la d</w:t>
      </w:r>
      <w:r>
        <w:rPr>
          <w:lang w:val="es-ES_tradnl"/>
        </w:rPr>
        <w:t>e</w:t>
      </w:r>
      <w:r>
        <w:rPr>
          <w:lang w:val="es-ES_tradnl"/>
        </w:rPr>
        <w:t>claración estaban detenidos, ya que cada brigada de inve</w:t>
      </w:r>
      <w:r>
        <w:rPr>
          <w:lang w:val="es-ES_tradnl"/>
        </w:rPr>
        <w:t>s</w:t>
      </w:r>
      <w:r>
        <w:rPr>
          <w:lang w:val="es-ES_tradnl"/>
        </w:rPr>
        <w:t>tigaciones era independiente en su accionar respecto de las resta</w:t>
      </w:r>
      <w:r>
        <w:rPr>
          <w:lang w:val="es-ES_tradnl"/>
        </w:rPr>
        <w:t>n</w:t>
      </w:r>
      <w:r>
        <w:rPr>
          <w:lang w:val="es-ES_tradnl"/>
        </w:rPr>
        <w:t>tes.</w:t>
      </w:r>
    </w:p>
    <w:p w:rsidR="00224567" w:rsidRDefault="00224567">
      <w:pPr>
        <w:widowControl w:val="0"/>
        <w:rPr>
          <w:lang w:val="es-ES_tradnl"/>
        </w:rPr>
      </w:pPr>
      <w:r>
        <w:rPr>
          <w:lang w:val="es-ES_tradnl"/>
        </w:rPr>
        <w:tab/>
        <w:t>Relató que hacia fines de 1995 colab</w:t>
      </w:r>
      <w:r>
        <w:rPr>
          <w:lang w:val="es-ES_tradnl"/>
        </w:rPr>
        <w:t>o</w:t>
      </w:r>
      <w:r>
        <w:rPr>
          <w:lang w:val="es-ES_tradnl"/>
        </w:rPr>
        <w:t>ró en la realización de operativos, en los que el juez instructor detuvo a varios integrantes del ejército y otras personas, con relación a la investigación del ate</w:t>
      </w:r>
      <w:r>
        <w:rPr>
          <w:lang w:val="es-ES_tradnl"/>
        </w:rPr>
        <w:t>n</w:t>
      </w:r>
      <w:r>
        <w:rPr>
          <w:lang w:val="es-ES_tradnl"/>
        </w:rPr>
        <w:t xml:space="preserve">tado a la sede de </w:t>
      </w:r>
      <w:smartTag w:uri="urn:schemas-microsoft-com:office:smarttags" w:element="PersonName">
        <w:smartTagPr>
          <w:attr w:name="ProductID" w:val="la A.M"/>
        </w:smartTagPr>
        <w:r>
          <w:rPr>
            <w:lang w:val="es-ES_tradnl"/>
          </w:rPr>
          <w:t>la A.M</w:t>
        </w:r>
      </w:smartTag>
      <w:r>
        <w:rPr>
          <w:lang w:val="es-ES_tradnl"/>
        </w:rPr>
        <w:t>.I.A.</w:t>
      </w:r>
    </w:p>
    <w:p w:rsidR="00224567" w:rsidRDefault="00224567">
      <w:pPr>
        <w:widowControl w:val="0"/>
        <w:rPr>
          <w:lang w:val="es-ES_tradnl"/>
        </w:rPr>
      </w:pPr>
      <w:r>
        <w:rPr>
          <w:lang w:val="es-ES_tradnl"/>
        </w:rPr>
        <w:tab/>
        <w:t xml:space="preserve">En cuanto a la imputación de haber participado y colaborado en </w:t>
      </w:r>
      <w:smartTag w:uri="urn:schemas-microsoft-com:office:smarttags" w:element="PersonName">
        <w:smartTagPr>
          <w:attr w:name="ProductID" w:val="la Brigada"/>
        </w:smartTagPr>
        <w:r>
          <w:rPr>
            <w:lang w:val="es-ES_tradnl"/>
          </w:rPr>
          <w:t>la Brigada</w:t>
        </w:r>
      </w:smartTag>
      <w:r>
        <w:rPr>
          <w:lang w:val="es-ES_tradnl"/>
        </w:rPr>
        <w:t xml:space="preserve"> de Lanús de </w:t>
      </w:r>
      <w:smartTag w:uri="urn:schemas-microsoft-com:office:smarttags" w:element="PersonName">
        <w:smartTagPr>
          <w:attr w:name="ProductID" w:val="la Polic￭a Bonaerense"/>
        </w:smartTagPr>
        <w:r>
          <w:rPr>
            <w:lang w:val="es-ES_tradnl"/>
          </w:rPr>
          <w:t>la P</w:t>
        </w:r>
        <w:r>
          <w:rPr>
            <w:lang w:val="es-ES_tradnl"/>
          </w:rPr>
          <w:t>o</w:t>
        </w:r>
        <w:r>
          <w:rPr>
            <w:lang w:val="es-ES_tradnl"/>
          </w:rPr>
          <w:t>licía Bonaerense</w:t>
        </w:r>
      </w:smartTag>
      <w:r>
        <w:rPr>
          <w:lang w:val="es-ES_tradnl"/>
        </w:rPr>
        <w:t xml:space="preserve"> en acciones tendientes a la dete</w:t>
      </w:r>
      <w:r>
        <w:rPr>
          <w:lang w:val="es-ES_tradnl"/>
        </w:rPr>
        <w:t>n</w:t>
      </w:r>
      <w:r>
        <w:rPr>
          <w:lang w:val="es-ES_tradnl"/>
        </w:rPr>
        <w:t>ción de Carlos Alberto Telleldín y Ana Boragni, y así pr</w:t>
      </w:r>
      <w:r>
        <w:rPr>
          <w:lang w:val="es-ES_tradnl"/>
        </w:rPr>
        <w:t>i</w:t>
      </w:r>
      <w:r>
        <w:rPr>
          <w:lang w:val="es-ES_tradnl"/>
        </w:rPr>
        <w:t>varlos en forma ilegítima de su libertad, con el fin de obtener re</w:t>
      </w:r>
      <w:r>
        <w:rPr>
          <w:lang w:val="es-ES_tradnl"/>
        </w:rPr>
        <w:t>s</w:t>
      </w:r>
      <w:r>
        <w:rPr>
          <w:lang w:val="es-ES_tradnl"/>
        </w:rPr>
        <w:t>cate para posibilitar su liberación, manifestó que no ll</w:t>
      </w:r>
      <w:r>
        <w:rPr>
          <w:lang w:val="es-ES_tradnl"/>
        </w:rPr>
        <w:t>e</w:t>
      </w:r>
      <w:r>
        <w:rPr>
          <w:lang w:val="es-ES_tradnl"/>
        </w:rPr>
        <w:t>vó a cabo ninguna acción ilícita, tal como se le enrostr</w:t>
      </w:r>
      <w:r>
        <w:rPr>
          <w:lang w:val="es-ES_tradnl"/>
        </w:rPr>
        <w:t>a</w:t>
      </w:r>
      <w:r>
        <w:rPr>
          <w:lang w:val="es-ES_tradnl"/>
        </w:rPr>
        <w:t>ba.</w:t>
      </w:r>
    </w:p>
    <w:p w:rsidR="00224567" w:rsidRDefault="00224567">
      <w:pPr>
        <w:widowControl w:val="0"/>
        <w:rPr>
          <w:lang w:val="es-ES_tradnl"/>
        </w:rPr>
      </w:pPr>
      <w:r>
        <w:rPr>
          <w:lang w:val="es-ES_tradnl"/>
        </w:rPr>
        <w:tab/>
        <w:t>Refirió que el único conocimiento que tenía con relación a algún procedimiento efe</w:t>
      </w:r>
      <w:r>
        <w:rPr>
          <w:lang w:val="es-ES_tradnl"/>
        </w:rPr>
        <w:t>c</w:t>
      </w:r>
      <w:r>
        <w:rPr>
          <w:lang w:val="es-ES_tradnl"/>
        </w:rPr>
        <w:t xml:space="preserve">tuado por el personal de </w:t>
      </w:r>
      <w:smartTag w:uri="urn:schemas-microsoft-com:office:smarttags" w:element="PersonName">
        <w:smartTagPr>
          <w:attr w:name="ProductID" w:val="la Brigada"/>
        </w:smartTagPr>
        <w:r>
          <w:rPr>
            <w:lang w:val="es-ES_tradnl"/>
          </w:rPr>
          <w:t>la Brigada</w:t>
        </w:r>
      </w:smartTag>
      <w:r>
        <w:rPr>
          <w:lang w:val="es-ES_tradnl"/>
        </w:rPr>
        <w:t xml:space="preserve"> de Investigaci</w:t>
      </w:r>
      <w:r>
        <w:rPr>
          <w:lang w:val="es-ES_tradnl"/>
        </w:rPr>
        <w:t>o</w:t>
      </w:r>
      <w:r>
        <w:rPr>
          <w:lang w:val="es-ES_tradnl"/>
        </w:rPr>
        <w:t>nes de Lanús, y que por relación de fechas podría haber llevado a cabo el su</w:t>
      </w:r>
      <w:r>
        <w:rPr>
          <w:lang w:val="es-ES_tradnl"/>
        </w:rPr>
        <w:t>b</w:t>
      </w:r>
      <w:r>
        <w:rPr>
          <w:lang w:val="es-ES_tradnl"/>
        </w:rPr>
        <w:t>comisario Ibarra en el marco de la investigación de una causa, consistió en que se le había escapado una persona que intentó detener en la zona de Vicente López, la cual chocó a un auto y se dio a la fuga, lesionándose en esa ocasión un policía de apellido C</w:t>
      </w:r>
      <w:r>
        <w:rPr>
          <w:lang w:val="es-ES_tradnl"/>
        </w:rPr>
        <w:t>a</w:t>
      </w:r>
      <w:r>
        <w:rPr>
          <w:lang w:val="es-ES_tradnl"/>
        </w:rPr>
        <w:t>sas.</w:t>
      </w:r>
    </w:p>
    <w:p w:rsidR="00224567" w:rsidRDefault="00224567">
      <w:pPr>
        <w:widowControl w:val="0"/>
        <w:rPr>
          <w:lang w:val="es-ES_tradnl"/>
        </w:rPr>
      </w:pPr>
      <w:r>
        <w:rPr>
          <w:lang w:val="es-ES_tradnl"/>
        </w:rPr>
        <w:tab/>
        <w:t>Explicó que de ello se enteró después de ocurrido el incidente, porque fue comentado en la d</w:t>
      </w:r>
      <w:r>
        <w:rPr>
          <w:lang w:val="es-ES_tradnl"/>
        </w:rPr>
        <w:t>e</w:t>
      </w:r>
      <w:r>
        <w:rPr>
          <w:lang w:val="es-ES_tradnl"/>
        </w:rPr>
        <w:t>pendencia y en virtud del sumario administrativo que inició la jefatura de la fuerza.</w:t>
      </w:r>
    </w:p>
    <w:p w:rsidR="00224567" w:rsidRDefault="00224567">
      <w:pPr>
        <w:pStyle w:val="Sangra2detindependiente"/>
        <w:widowControl w:val="0"/>
        <w:spacing w:line="600" w:lineRule="auto"/>
        <w:ind w:firstLine="0"/>
      </w:pPr>
      <w:r>
        <w:tab/>
        <w:t>Por otra parte, negó haber integrado una com</w:t>
      </w:r>
      <w:r>
        <w:t>i</w:t>
      </w:r>
      <w:r>
        <w:t>sión policial que procedió, el 4 de abril de 1994 en la zona de Tortuguitas de la provincia de Buenos Aires, a la detención de Carlos Alberto Telleldín y Sandra Petrucci, ejerciendo sobre el primero las presiones necesarias que lo determinaran a entregar un automóvil R</w:t>
      </w:r>
      <w:r>
        <w:t>e</w:t>
      </w:r>
      <w:r>
        <w:t>nault 18, domino B 2.270.130, un Ford Falcon C 1.213.656 y una motoc</w:t>
      </w:r>
      <w:r>
        <w:t>i</w:t>
      </w:r>
      <w:r>
        <w:t>cleta marca Kawasaky 328 APX, a cambio de obtener su libe</w:t>
      </w:r>
      <w:r>
        <w:t>r</w:t>
      </w:r>
      <w:r>
        <w:t>tad y la de su acompañante.</w:t>
      </w:r>
    </w:p>
    <w:p w:rsidR="00224567" w:rsidRDefault="00224567">
      <w:pPr>
        <w:widowControl w:val="0"/>
        <w:rPr>
          <w:lang w:val="es-ES_tradnl"/>
        </w:rPr>
      </w:pPr>
      <w:r>
        <w:rPr>
          <w:lang w:val="es-ES_tradnl"/>
        </w:rPr>
        <w:tab/>
        <w:t>En cuanto a los rodados aludidos, R</w:t>
      </w:r>
      <w:r>
        <w:rPr>
          <w:lang w:val="es-ES_tradnl"/>
        </w:rPr>
        <w:t>i</w:t>
      </w:r>
      <w:r>
        <w:rPr>
          <w:lang w:val="es-ES_tradnl"/>
        </w:rPr>
        <w:t>belli negó haber tenido conocimiento de su existencia, c</w:t>
      </w:r>
      <w:r>
        <w:rPr>
          <w:lang w:val="es-ES_tradnl"/>
        </w:rPr>
        <w:t>o</w:t>
      </w:r>
      <w:r>
        <w:rPr>
          <w:lang w:val="es-ES_tradnl"/>
        </w:rPr>
        <w:t xml:space="preserve">mo también que personal de </w:t>
      </w:r>
      <w:smartTag w:uri="urn:schemas-microsoft-com:office:smarttags" w:element="PersonName">
        <w:smartTagPr>
          <w:attr w:name="ProductID" w:val="la Brigada"/>
        </w:smartTagPr>
        <w:r>
          <w:rPr>
            <w:lang w:val="es-ES_tradnl"/>
          </w:rPr>
          <w:t>la Brigada</w:t>
        </w:r>
      </w:smartTag>
      <w:r>
        <w:rPr>
          <w:lang w:val="es-ES_tradnl"/>
        </w:rPr>
        <w:t xml:space="preserve"> de Lanús pudiera h</w:t>
      </w:r>
      <w:r>
        <w:rPr>
          <w:lang w:val="es-ES_tradnl"/>
        </w:rPr>
        <w:t>a</w:t>
      </w:r>
      <w:r>
        <w:rPr>
          <w:lang w:val="es-ES_tradnl"/>
        </w:rPr>
        <w:t>ber llevado a cabo alguna actividad como las detalladas anteriormente. Sólo recordó que el subcomisario Ibarra, con personal a su cargo, l</w:t>
      </w:r>
      <w:r>
        <w:rPr>
          <w:lang w:val="es-ES_tradnl"/>
        </w:rPr>
        <w:t>o</w:t>
      </w:r>
      <w:r>
        <w:rPr>
          <w:lang w:val="es-ES_tradnl"/>
        </w:rPr>
        <w:t>gró la detención de la persona que, según comentó, sería la que se había fugado y lesi</w:t>
      </w:r>
      <w:r>
        <w:rPr>
          <w:lang w:val="es-ES_tradnl"/>
        </w:rPr>
        <w:t>o</w:t>
      </w:r>
      <w:r>
        <w:rPr>
          <w:lang w:val="es-ES_tradnl"/>
        </w:rPr>
        <w:t>nado a Casas.</w:t>
      </w:r>
    </w:p>
    <w:p w:rsidR="00224567" w:rsidRDefault="00224567">
      <w:pPr>
        <w:widowControl w:val="0"/>
        <w:rPr>
          <w:lang w:val="es-ES_tradnl"/>
        </w:rPr>
      </w:pPr>
      <w:r>
        <w:rPr>
          <w:lang w:val="es-ES_tradnl"/>
        </w:rPr>
        <w:tab/>
        <w:t>Manifestó que, con el correr del tie</w:t>
      </w:r>
      <w:r>
        <w:rPr>
          <w:lang w:val="es-ES_tradnl"/>
        </w:rPr>
        <w:t>m</w:t>
      </w:r>
      <w:r>
        <w:rPr>
          <w:lang w:val="es-ES_tradnl"/>
        </w:rPr>
        <w:t>po se enteró, a raíz del sumario administrativo antes me</w:t>
      </w:r>
      <w:r>
        <w:rPr>
          <w:lang w:val="es-ES_tradnl"/>
        </w:rPr>
        <w:t>n</w:t>
      </w:r>
      <w:r>
        <w:rPr>
          <w:lang w:val="es-ES_tradnl"/>
        </w:rPr>
        <w:t>cionado y por trascendidos periodíst</w:t>
      </w:r>
      <w:r>
        <w:rPr>
          <w:lang w:val="es-ES_tradnl"/>
        </w:rPr>
        <w:t>i</w:t>
      </w:r>
      <w:r>
        <w:rPr>
          <w:lang w:val="es-ES_tradnl"/>
        </w:rPr>
        <w:t xml:space="preserve">cos, que el sujeto de apellido Teccedin –que estuvo detenido en </w:t>
      </w:r>
      <w:smartTag w:uri="urn:schemas-microsoft-com:office:smarttags" w:element="PersonName">
        <w:smartTagPr>
          <w:attr w:name="ProductID" w:val="la Brigada"/>
        </w:smartTagPr>
        <w:r>
          <w:rPr>
            <w:lang w:val="es-ES_tradnl"/>
          </w:rPr>
          <w:t>la Brigada</w:t>
        </w:r>
      </w:smartTag>
      <w:r>
        <w:rPr>
          <w:lang w:val="es-ES_tradnl"/>
        </w:rPr>
        <w:t xml:space="preserve"> de Lanús- podría tratarse de la misma persona que estaba d</w:t>
      </w:r>
      <w:r>
        <w:rPr>
          <w:lang w:val="es-ES_tradnl"/>
        </w:rPr>
        <w:t>e</w:t>
      </w:r>
      <w:r>
        <w:rPr>
          <w:lang w:val="es-ES_tradnl"/>
        </w:rPr>
        <w:t xml:space="preserve">tenido por el atentado a la sede de </w:t>
      </w:r>
      <w:smartTag w:uri="urn:schemas-microsoft-com:office:smarttags" w:element="PersonName">
        <w:smartTagPr>
          <w:attr w:name="ProductID" w:val="la A.M"/>
        </w:smartTagPr>
        <w:r>
          <w:rPr>
            <w:lang w:val="es-ES_tradnl"/>
          </w:rPr>
          <w:t>la A.M</w:t>
        </w:r>
      </w:smartTag>
      <w:r>
        <w:rPr>
          <w:lang w:val="es-ES_tradnl"/>
        </w:rPr>
        <w:t>.I.A.</w:t>
      </w:r>
    </w:p>
    <w:p w:rsidR="00224567" w:rsidRDefault="00224567">
      <w:pPr>
        <w:widowControl w:val="0"/>
        <w:rPr>
          <w:lang w:val="es-ES_tradnl"/>
        </w:rPr>
      </w:pPr>
      <w:r>
        <w:rPr>
          <w:lang w:val="es-ES_tradnl"/>
        </w:rPr>
        <w:tab/>
        <w:t>Manifestó tener conocimiento de que existían constancias en la causa judicial y trámites i</w:t>
      </w:r>
      <w:r>
        <w:rPr>
          <w:lang w:val="es-ES_tradnl"/>
        </w:rPr>
        <w:t>n</w:t>
      </w:r>
      <w:r>
        <w:rPr>
          <w:lang w:val="es-ES_tradnl"/>
        </w:rPr>
        <w:t>ternos que demostraban la legalidad del arresto de Tecc</w:t>
      </w:r>
      <w:r>
        <w:rPr>
          <w:lang w:val="es-ES_tradnl"/>
        </w:rPr>
        <w:t>e</w:t>
      </w:r>
      <w:r>
        <w:rPr>
          <w:lang w:val="es-ES_tradnl"/>
        </w:rPr>
        <w:t>din.</w:t>
      </w:r>
    </w:p>
    <w:p w:rsidR="00224567" w:rsidRDefault="00224567">
      <w:pPr>
        <w:widowControl w:val="0"/>
        <w:rPr>
          <w:lang w:val="es-ES_tradnl"/>
        </w:rPr>
      </w:pPr>
      <w:r>
        <w:rPr>
          <w:lang w:val="es-ES_tradnl"/>
        </w:rPr>
        <w:tab/>
        <w:t>También, destacó que a raíz de ese s</w:t>
      </w:r>
      <w:r>
        <w:rPr>
          <w:lang w:val="es-ES_tradnl"/>
        </w:rPr>
        <w:t>u</w:t>
      </w:r>
      <w:r>
        <w:rPr>
          <w:lang w:val="es-ES_tradnl"/>
        </w:rPr>
        <w:t>mario administrativo el personal allí invol</w:t>
      </w:r>
      <w:r>
        <w:rPr>
          <w:lang w:val="es-ES_tradnl"/>
        </w:rPr>
        <w:t>u</w:t>
      </w:r>
      <w:r>
        <w:rPr>
          <w:lang w:val="es-ES_tradnl"/>
        </w:rPr>
        <w:t>crado y que se encontraba en condiciones de ascender, no lo p</w:t>
      </w:r>
      <w:r>
        <w:rPr>
          <w:lang w:val="es-ES_tradnl"/>
        </w:rPr>
        <w:t>u</w:t>
      </w:r>
      <w:r>
        <w:rPr>
          <w:lang w:val="es-ES_tradnl"/>
        </w:rPr>
        <w:t>do hacer.</w:t>
      </w:r>
    </w:p>
    <w:p w:rsidR="00224567" w:rsidRDefault="00224567">
      <w:pPr>
        <w:widowControl w:val="0"/>
        <w:rPr>
          <w:lang w:val="es-ES_tradnl"/>
        </w:rPr>
      </w:pPr>
      <w:r>
        <w:rPr>
          <w:lang w:val="es-ES_tradnl"/>
        </w:rPr>
        <w:tab/>
        <w:t>Por otra parte, negó haber integrado en algún momento una asoci</w:t>
      </w:r>
      <w:r>
        <w:rPr>
          <w:lang w:val="es-ES_tradnl"/>
        </w:rPr>
        <w:t>a</w:t>
      </w:r>
      <w:r>
        <w:rPr>
          <w:lang w:val="es-ES_tradnl"/>
        </w:rPr>
        <w:t>ción ilícita.</w:t>
      </w:r>
    </w:p>
    <w:p w:rsidR="00224567" w:rsidRDefault="00224567">
      <w:pPr>
        <w:widowControl w:val="0"/>
        <w:rPr>
          <w:lang w:val="es-ES_tradnl"/>
        </w:rPr>
      </w:pPr>
      <w:r>
        <w:rPr>
          <w:lang w:val="es-ES_tradnl"/>
        </w:rPr>
        <w:tab/>
        <w:t>Recalcó que, al enterarse de la exi</w:t>
      </w:r>
      <w:r>
        <w:rPr>
          <w:lang w:val="es-ES_tradnl"/>
        </w:rPr>
        <w:t>s</w:t>
      </w:r>
      <w:r>
        <w:rPr>
          <w:lang w:val="es-ES_tradnl"/>
        </w:rPr>
        <w:t>tencia de una orden de detención sobre su persona se pr</w:t>
      </w:r>
      <w:r>
        <w:rPr>
          <w:lang w:val="es-ES_tradnl"/>
        </w:rPr>
        <w:t>e</w:t>
      </w:r>
      <w:r>
        <w:rPr>
          <w:lang w:val="es-ES_tradnl"/>
        </w:rPr>
        <w:t xml:space="preserve">sentó voluntariamente en la jefatura de </w:t>
      </w:r>
      <w:smartTag w:uri="urn:schemas-microsoft-com:office:smarttags" w:element="PersonName">
        <w:smartTagPr>
          <w:attr w:name="ProductID" w:val="la Polic￭a Bonaerense"/>
        </w:smartTagPr>
        <w:r>
          <w:rPr>
            <w:lang w:val="es-ES_tradnl"/>
          </w:rPr>
          <w:t>la Policía Bona</w:t>
        </w:r>
        <w:r>
          <w:rPr>
            <w:lang w:val="es-ES_tradnl"/>
          </w:rPr>
          <w:t>e</w:t>
        </w:r>
        <w:r>
          <w:rPr>
            <w:lang w:val="es-ES_tradnl"/>
          </w:rPr>
          <w:t>rense</w:t>
        </w:r>
      </w:smartTag>
      <w:r>
        <w:rPr>
          <w:lang w:val="es-ES_tradnl"/>
        </w:rPr>
        <w:t>, con el objeto de aclarar lo antes posible su situ</w:t>
      </w:r>
      <w:r>
        <w:rPr>
          <w:lang w:val="es-ES_tradnl"/>
        </w:rPr>
        <w:t>a</w:t>
      </w:r>
      <w:r>
        <w:rPr>
          <w:lang w:val="es-ES_tradnl"/>
        </w:rPr>
        <w:t>ción ante la justicia.</w:t>
      </w:r>
    </w:p>
    <w:p w:rsidR="00224567" w:rsidRDefault="00224567">
      <w:pPr>
        <w:widowControl w:val="0"/>
        <w:rPr>
          <w:lang w:val="es-ES_tradnl"/>
        </w:rPr>
      </w:pPr>
      <w:r>
        <w:rPr>
          <w:lang w:val="es-ES_tradnl"/>
        </w:rPr>
        <w:tab/>
        <w:t>Indicó que no pudo entender la razón por la cual se hallaban sindicados en la misma causa pe</w:t>
      </w:r>
      <w:r>
        <w:rPr>
          <w:lang w:val="es-ES_tradnl"/>
        </w:rPr>
        <w:t>r</w:t>
      </w:r>
      <w:r>
        <w:rPr>
          <w:lang w:val="es-ES_tradnl"/>
        </w:rPr>
        <w:t xml:space="preserve">sonal de </w:t>
      </w:r>
      <w:smartTag w:uri="urn:schemas-microsoft-com:office:smarttags" w:element="PersonName">
        <w:smartTagPr>
          <w:attr w:name="ProductID" w:val="la Brigada"/>
        </w:smartTagPr>
        <w:r>
          <w:rPr>
            <w:lang w:val="es-ES_tradnl"/>
          </w:rPr>
          <w:t>la Brigada</w:t>
        </w:r>
      </w:smartTag>
      <w:r>
        <w:rPr>
          <w:lang w:val="es-ES_tradnl"/>
        </w:rPr>
        <w:t xml:space="preserve"> de Vicente L</w:t>
      </w:r>
      <w:r>
        <w:rPr>
          <w:lang w:val="es-ES_tradnl"/>
        </w:rPr>
        <w:t>ó</w:t>
      </w:r>
      <w:r>
        <w:rPr>
          <w:lang w:val="es-ES_tradnl"/>
        </w:rPr>
        <w:t>pez y de Lanús.</w:t>
      </w:r>
    </w:p>
    <w:p w:rsidR="00224567" w:rsidRDefault="00224567">
      <w:pPr>
        <w:widowControl w:val="0"/>
        <w:rPr>
          <w:lang w:val="es-ES_tradnl"/>
        </w:rPr>
      </w:pPr>
      <w:r>
        <w:rPr>
          <w:lang w:val="es-ES_tradnl"/>
        </w:rPr>
        <w:tab/>
        <w:t>Comentó que en una brigada de invest</w:t>
      </w:r>
      <w:r>
        <w:rPr>
          <w:lang w:val="es-ES_tradnl"/>
        </w:rPr>
        <w:t>i</w:t>
      </w:r>
      <w:r>
        <w:rPr>
          <w:lang w:val="es-ES_tradnl"/>
        </w:rPr>
        <w:t>gaciones podía dar las órdenes para llevar a cabo tareas en el marco de una causa judicial tanto el jefe de oper</w:t>
      </w:r>
      <w:r>
        <w:rPr>
          <w:lang w:val="es-ES_tradnl"/>
        </w:rPr>
        <w:t>a</w:t>
      </w:r>
      <w:r>
        <w:rPr>
          <w:lang w:val="es-ES_tradnl"/>
        </w:rPr>
        <w:t>ciones como el instructor de la ca</w:t>
      </w:r>
      <w:r>
        <w:rPr>
          <w:lang w:val="es-ES_tradnl"/>
        </w:rPr>
        <w:t>u</w:t>
      </w:r>
      <w:r>
        <w:rPr>
          <w:lang w:val="es-ES_tradnl"/>
        </w:rPr>
        <w:t>sa.</w:t>
      </w:r>
    </w:p>
    <w:p w:rsidR="00224567" w:rsidRDefault="00224567">
      <w:pPr>
        <w:widowControl w:val="0"/>
        <w:rPr>
          <w:lang w:val="es-ES_tradnl"/>
        </w:rPr>
      </w:pPr>
      <w:r>
        <w:rPr>
          <w:lang w:val="es-ES_tradnl"/>
        </w:rPr>
        <w:tab/>
        <w:t>Subrayó que los días 15 de marzo, 4 de abril y durante la primera quincena del mes de julio de 1994 no realizó tareas de inteligencia en el domic</w:t>
      </w:r>
      <w:r>
        <w:rPr>
          <w:lang w:val="es-ES_tradnl"/>
        </w:rPr>
        <w:t>i</w:t>
      </w:r>
      <w:r>
        <w:rPr>
          <w:lang w:val="es-ES_tradnl"/>
        </w:rPr>
        <w:t>lio de la calle República 107 de Ballester y sus alrededores, desconociendo si las mismas se llevaron a cabo por otras personas. Además, agregó que no sabía a quien correspondía el  domicilio me</w:t>
      </w:r>
      <w:r>
        <w:rPr>
          <w:lang w:val="es-ES_tradnl"/>
        </w:rPr>
        <w:t>n</w:t>
      </w:r>
      <w:r>
        <w:rPr>
          <w:lang w:val="es-ES_tradnl"/>
        </w:rPr>
        <w:t>cionado.</w:t>
      </w:r>
    </w:p>
    <w:p w:rsidR="00224567" w:rsidRDefault="00224567">
      <w:pPr>
        <w:widowControl w:val="0"/>
        <w:rPr>
          <w:lang w:val="es-ES_tradnl"/>
        </w:rPr>
      </w:pPr>
      <w:r>
        <w:rPr>
          <w:lang w:val="es-ES_tradnl"/>
        </w:rPr>
        <w:tab/>
        <w:t>Si bien manifestó saber que el subc</w:t>
      </w:r>
      <w:r>
        <w:rPr>
          <w:lang w:val="es-ES_tradnl"/>
        </w:rPr>
        <w:t>o</w:t>
      </w:r>
      <w:r>
        <w:rPr>
          <w:lang w:val="es-ES_tradnl"/>
        </w:rPr>
        <w:t>misario Ibarra, antes de la detención de Teccedin, ll</w:t>
      </w:r>
      <w:r>
        <w:rPr>
          <w:lang w:val="es-ES_tradnl"/>
        </w:rPr>
        <w:t>e</w:t>
      </w:r>
      <w:r>
        <w:rPr>
          <w:lang w:val="es-ES_tradnl"/>
        </w:rPr>
        <w:t>vó a cabo tareas de inteligencia para lograr su detención, i</w:t>
      </w:r>
      <w:r>
        <w:rPr>
          <w:lang w:val="es-ES_tradnl"/>
        </w:rPr>
        <w:t>g</w:t>
      </w:r>
      <w:r>
        <w:rPr>
          <w:lang w:val="es-ES_tradnl"/>
        </w:rPr>
        <w:t>noraba la zona y si el domicilio indicado podía estar de</w:t>
      </w:r>
      <w:r>
        <w:rPr>
          <w:lang w:val="es-ES_tradnl"/>
        </w:rPr>
        <w:t>n</w:t>
      </w:r>
      <w:r>
        <w:rPr>
          <w:lang w:val="es-ES_tradnl"/>
        </w:rPr>
        <w:t>tro de la misma.</w:t>
      </w:r>
    </w:p>
    <w:p w:rsidR="00224567" w:rsidRDefault="00224567">
      <w:pPr>
        <w:widowControl w:val="0"/>
        <w:rPr>
          <w:lang w:val="es-ES_tradnl"/>
        </w:rPr>
      </w:pPr>
      <w:r>
        <w:rPr>
          <w:lang w:val="es-ES_tradnl"/>
        </w:rPr>
        <w:tab/>
        <w:t>Luego, Ribelli sostuvo que bien pudo haber visto a  Ca</w:t>
      </w:r>
      <w:r>
        <w:rPr>
          <w:lang w:val="es-ES_tradnl"/>
        </w:rPr>
        <w:t>r</w:t>
      </w:r>
      <w:r>
        <w:rPr>
          <w:lang w:val="es-ES_tradnl"/>
        </w:rPr>
        <w:t>los Alberto Telleldín si se trataba del mismo sujeto que estaba detenido al momento de su declar</w:t>
      </w:r>
      <w:r>
        <w:rPr>
          <w:lang w:val="es-ES_tradnl"/>
        </w:rPr>
        <w:t>a</w:t>
      </w:r>
      <w:r>
        <w:rPr>
          <w:lang w:val="es-ES_tradnl"/>
        </w:rPr>
        <w:t xml:space="preserve">ción en la causa por el atentado a la sede de </w:t>
      </w:r>
      <w:smartTag w:uri="urn:schemas-microsoft-com:office:smarttags" w:element="PersonName">
        <w:smartTagPr>
          <w:attr w:name="ProductID" w:val="la A.M"/>
        </w:smartTagPr>
        <w:r>
          <w:rPr>
            <w:lang w:val="es-ES_tradnl"/>
          </w:rPr>
          <w:t>la A.M</w:t>
        </w:r>
      </w:smartTag>
      <w:r>
        <w:rPr>
          <w:lang w:val="es-ES_tradnl"/>
        </w:rPr>
        <w:t xml:space="preserve">.I.A., y si su vez era la misma persona que había estado detenida en </w:t>
      </w:r>
      <w:smartTag w:uri="urn:schemas-microsoft-com:office:smarttags" w:element="PersonName">
        <w:smartTagPr>
          <w:attr w:name="ProductID" w:val="la Brigada"/>
        </w:smartTagPr>
        <w:r>
          <w:rPr>
            <w:lang w:val="es-ES_tradnl"/>
          </w:rPr>
          <w:t>la Brigada</w:t>
        </w:r>
      </w:smartTag>
      <w:r>
        <w:rPr>
          <w:lang w:val="es-ES_tradnl"/>
        </w:rPr>
        <w:t xml:space="preserve"> de Investigaciones de Lanús con apellido Teccedin, explicando que era normal, encontrándose en la dependencia, ver a los detenidos que ingr</w:t>
      </w:r>
      <w:r>
        <w:rPr>
          <w:lang w:val="es-ES_tradnl"/>
        </w:rPr>
        <w:t>e</w:t>
      </w:r>
      <w:r>
        <w:rPr>
          <w:lang w:val="es-ES_tradnl"/>
        </w:rPr>
        <w:t>saban.</w:t>
      </w:r>
    </w:p>
    <w:p w:rsidR="00224567" w:rsidRDefault="00224567">
      <w:pPr>
        <w:widowControl w:val="0"/>
        <w:rPr>
          <w:lang w:val="es-ES_tradnl"/>
        </w:rPr>
      </w:pPr>
      <w:r>
        <w:rPr>
          <w:lang w:val="es-ES_tradnl"/>
        </w:rPr>
        <w:tab/>
        <w:t>Por último, no recordó si en aquella ocasión mantuvo una conversación con el nombrado T</w:t>
      </w:r>
      <w:r>
        <w:rPr>
          <w:lang w:val="es-ES_tradnl"/>
        </w:rPr>
        <w:t>e</w:t>
      </w:r>
      <w:r>
        <w:rPr>
          <w:lang w:val="es-ES_tradnl"/>
        </w:rPr>
        <w:t>lleldín y expresó que no conoció el teléfono particular del no</w:t>
      </w:r>
      <w:r>
        <w:rPr>
          <w:lang w:val="es-ES_tradnl"/>
        </w:rPr>
        <w:t>m</w:t>
      </w:r>
      <w:r>
        <w:rPr>
          <w:lang w:val="es-ES_tradnl"/>
        </w:rPr>
        <w:t>brado.</w:t>
      </w:r>
    </w:p>
    <w:p w:rsidR="00224567" w:rsidRDefault="00224567">
      <w:pPr>
        <w:widowControl w:val="0"/>
        <w:rPr>
          <w:lang w:val="es-ES_tradnl"/>
        </w:rPr>
      </w:pPr>
      <w:r>
        <w:rPr>
          <w:lang w:val="es-ES_tradnl"/>
        </w:rPr>
        <w:tab/>
        <w:t xml:space="preserve">A fs. 39.949/39.957 Ribelli prestó nuevamente declaración indagatoria. </w:t>
      </w:r>
    </w:p>
    <w:p w:rsidR="00224567" w:rsidRDefault="00224567">
      <w:pPr>
        <w:widowControl w:val="0"/>
        <w:rPr>
          <w:lang w:val="es-ES_tradnl"/>
        </w:rPr>
      </w:pPr>
      <w:r>
        <w:rPr>
          <w:lang w:val="es-ES_tradnl"/>
        </w:rPr>
        <w:tab/>
        <w:t>En dicha ocasión, exhibida una tran</w:t>
      </w:r>
      <w:r>
        <w:rPr>
          <w:lang w:val="es-ES_tradnl"/>
        </w:rPr>
        <w:t>s</w:t>
      </w:r>
      <w:r>
        <w:rPr>
          <w:lang w:val="es-ES_tradnl"/>
        </w:rPr>
        <w:t>cripción correspondiente al abonado nº 440-6746, que r</w:t>
      </w:r>
      <w:r>
        <w:rPr>
          <w:lang w:val="es-ES_tradnl"/>
        </w:rPr>
        <w:t>e</w:t>
      </w:r>
      <w:r>
        <w:rPr>
          <w:lang w:val="es-ES_tradnl"/>
        </w:rPr>
        <w:t>gistraba una conversación efe</w:t>
      </w:r>
      <w:r>
        <w:rPr>
          <w:lang w:val="es-ES_tradnl"/>
        </w:rPr>
        <w:t>c</w:t>
      </w:r>
      <w:r>
        <w:rPr>
          <w:lang w:val="es-ES_tradnl"/>
        </w:rPr>
        <w:t>tuada el 5 de julio de 1996 entre él y una persona de sexo masculino, manife</w:t>
      </w:r>
      <w:r>
        <w:rPr>
          <w:lang w:val="es-ES_tradnl"/>
        </w:rPr>
        <w:t>s</w:t>
      </w:r>
      <w:r>
        <w:rPr>
          <w:lang w:val="es-ES_tradnl"/>
        </w:rPr>
        <w:t>tó que no la reconocía como efectuada por él.</w:t>
      </w:r>
    </w:p>
    <w:p w:rsidR="00224567" w:rsidRDefault="00224567">
      <w:pPr>
        <w:widowControl w:val="0"/>
        <w:rPr>
          <w:lang w:val="es-ES_tradnl"/>
        </w:rPr>
      </w:pPr>
      <w:r>
        <w:rPr>
          <w:lang w:val="es-ES_tradnl"/>
        </w:rPr>
        <w:tab/>
        <w:t>Dijo que el teléfono nº 440-6746 era uno de los abonados a su nombre, que podía ser utilizado por él o por otra persona del trabajo.</w:t>
      </w:r>
    </w:p>
    <w:p w:rsidR="00224567" w:rsidRDefault="00224567">
      <w:pPr>
        <w:widowControl w:val="0"/>
        <w:rPr>
          <w:lang w:val="es-ES_tradnl"/>
        </w:rPr>
      </w:pPr>
      <w:r>
        <w:rPr>
          <w:lang w:val="es-ES_tradnl"/>
        </w:rPr>
        <w:tab/>
        <w:t>Luego de procederse a oír la c</w:t>
      </w:r>
      <w:r>
        <w:rPr>
          <w:lang w:val="es-ES_tradnl"/>
        </w:rPr>
        <w:t>a</w:t>
      </w:r>
      <w:r>
        <w:rPr>
          <w:lang w:val="es-ES_tradnl"/>
        </w:rPr>
        <w:t>sete nº 34 correspondiente a la escucha aludida, Ribelli man</w:t>
      </w:r>
      <w:r>
        <w:rPr>
          <w:lang w:val="es-ES_tradnl"/>
        </w:rPr>
        <w:t>i</w:t>
      </w:r>
      <w:r>
        <w:rPr>
          <w:lang w:val="es-ES_tradnl"/>
        </w:rPr>
        <w:t>festó desconocerla.</w:t>
      </w:r>
    </w:p>
    <w:p w:rsidR="00224567" w:rsidRDefault="00224567">
      <w:pPr>
        <w:widowControl w:val="0"/>
        <w:rPr>
          <w:lang w:val="es-ES_tradnl"/>
        </w:rPr>
      </w:pPr>
      <w:r>
        <w:rPr>
          <w:lang w:val="es-ES_tradnl"/>
        </w:rPr>
        <w:tab/>
        <w:t>Preguntado acerca de si alguna de las personas a las que le facilitaba algún teléfono celular respondía al nombre de Juan o Juancito, expresó que no c</w:t>
      </w:r>
      <w:r>
        <w:rPr>
          <w:lang w:val="es-ES_tradnl"/>
        </w:rPr>
        <w:t>o</w:t>
      </w:r>
      <w:r>
        <w:rPr>
          <w:lang w:val="es-ES_tradnl"/>
        </w:rPr>
        <w:t>nocía el nombre de pila de las personas que trabaj</w:t>
      </w:r>
      <w:r>
        <w:rPr>
          <w:lang w:val="es-ES_tradnl"/>
        </w:rPr>
        <w:t>a</w:t>
      </w:r>
      <w:r>
        <w:rPr>
          <w:lang w:val="es-ES_tradnl"/>
        </w:rPr>
        <w:t>ban en la d</w:t>
      </w:r>
      <w:r>
        <w:rPr>
          <w:lang w:val="es-ES_tradnl"/>
        </w:rPr>
        <w:t>e</w:t>
      </w:r>
      <w:r>
        <w:rPr>
          <w:lang w:val="es-ES_tradnl"/>
        </w:rPr>
        <w:t>pendencia.</w:t>
      </w:r>
    </w:p>
    <w:p w:rsidR="00224567" w:rsidRDefault="00224567">
      <w:pPr>
        <w:widowControl w:val="0"/>
        <w:rPr>
          <w:lang w:val="es-ES_tradnl"/>
        </w:rPr>
      </w:pPr>
      <w:r>
        <w:rPr>
          <w:lang w:val="es-ES_tradnl"/>
        </w:rPr>
        <w:tab/>
        <w:t>También, negó haber oído mencionar, conocer o leer los nombres en la dependencia o en algún otro lado de Gaby R</w:t>
      </w:r>
      <w:r>
        <w:rPr>
          <w:lang w:val="es-ES_tradnl"/>
        </w:rPr>
        <w:t>o</w:t>
      </w:r>
      <w:r>
        <w:rPr>
          <w:lang w:val="es-ES_tradnl"/>
        </w:rPr>
        <w:t>mero y Morgenstein.</w:t>
      </w:r>
    </w:p>
    <w:p w:rsidR="00224567" w:rsidRDefault="00224567">
      <w:pPr>
        <w:widowControl w:val="0"/>
        <w:rPr>
          <w:lang w:val="es-ES_tradnl"/>
        </w:rPr>
      </w:pPr>
      <w:r>
        <w:rPr>
          <w:lang w:val="es-ES_tradnl"/>
        </w:rPr>
        <w:tab/>
        <w:t>Por otra parte, afirmó que en a</w:t>
      </w:r>
      <w:r>
        <w:rPr>
          <w:lang w:val="es-ES_tradnl"/>
        </w:rPr>
        <w:t>l</w:t>
      </w:r>
      <w:r>
        <w:rPr>
          <w:lang w:val="es-ES_tradnl"/>
        </w:rPr>
        <w:t>gunas causas se secue</w:t>
      </w:r>
      <w:r>
        <w:rPr>
          <w:lang w:val="es-ES_tradnl"/>
        </w:rPr>
        <w:t>s</w:t>
      </w:r>
      <w:r>
        <w:rPr>
          <w:lang w:val="es-ES_tradnl"/>
        </w:rPr>
        <w:t>traron vehículos “</w:t>
      </w:r>
      <w:smartTag w:uri="urn:schemas-microsoft-com:office:smarttags" w:element="metricconverter">
        <w:smartTagPr>
          <w:attr w:name="ProductID" w:val="405”"/>
        </w:smartTagPr>
        <w:r>
          <w:rPr>
            <w:lang w:val="es-ES_tradnl"/>
          </w:rPr>
          <w:t>405”</w:t>
        </w:r>
      </w:smartTag>
      <w:r>
        <w:rPr>
          <w:lang w:val="es-ES_tradnl"/>
        </w:rPr>
        <w:t>.</w:t>
      </w:r>
    </w:p>
    <w:p w:rsidR="00224567" w:rsidRDefault="00224567">
      <w:pPr>
        <w:widowControl w:val="0"/>
        <w:rPr>
          <w:lang w:val="es-ES_tradnl"/>
        </w:rPr>
      </w:pPr>
      <w:r>
        <w:rPr>
          <w:lang w:val="es-ES_tradnl"/>
        </w:rPr>
        <w:tab/>
        <w:t>Interrogado acerca de si conocía a a</w:t>
      </w:r>
      <w:r>
        <w:rPr>
          <w:lang w:val="es-ES_tradnl"/>
        </w:rPr>
        <w:t>l</w:t>
      </w:r>
      <w:r>
        <w:rPr>
          <w:lang w:val="es-ES_tradnl"/>
        </w:rPr>
        <w:t>guien de apellido Villar y/o Canale, respondió que no s</w:t>
      </w:r>
      <w:r>
        <w:rPr>
          <w:lang w:val="es-ES_tradnl"/>
        </w:rPr>
        <w:t>a</w:t>
      </w:r>
      <w:r>
        <w:rPr>
          <w:lang w:val="es-ES_tradnl"/>
        </w:rPr>
        <w:t>bía de qué Villar o Canale podían estar hablando, agrega</w:t>
      </w:r>
      <w:r>
        <w:rPr>
          <w:lang w:val="es-ES_tradnl"/>
        </w:rPr>
        <w:t>n</w:t>
      </w:r>
      <w:r>
        <w:rPr>
          <w:lang w:val="es-ES_tradnl"/>
        </w:rPr>
        <w:t>do que también con apellido Galeano podía haber un mo</w:t>
      </w:r>
      <w:r>
        <w:rPr>
          <w:lang w:val="es-ES_tradnl"/>
        </w:rPr>
        <w:t>n</w:t>
      </w:r>
      <w:r>
        <w:rPr>
          <w:lang w:val="es-ES_tradnl"/>
        </w:rPr>
        <w:t>tón de gente; no obstante, manifestó que no recordaba personas con dichos apell</w:t>
      </w:r>
      <w:r>
        <w:rPr>
          <w:lang w:val="es-ES_tradnl"/>
        </w:rPr>
        <w:t>i</w:t>
      </w:r>
      <w:r>
        <w:rPr>
          <w:lang w:val="es-ES_tradnl"/>
        </w:rPr>
        <w:t>dos.</w:t>
      </w:r>
    </w:p>
    <w:p w:rsidR="00224567" w:rsidRDefault="00224567">
      <w:pPr>
        <w:widowControl w:val="0"/>
        <w:rPr>
          <w:lang w:val="es-ES_tradnl"/>
        </w:rPr>
      </w:pPr>
      <w:r>
        <w:rPr>
          <w:lang w:val="es-ES_tradnl"/>
        </w:rPr>
        <w:tab/>
        <w:t>Exhibida la transcripción de la co</w:t>
      </w:r>
      <w:r>
        <w:rPr>
          <w:lang w:val="es-ES_tradnl"/>
        </w:rPr>
        <w:t>n</w:t>
      </w:r>
      <w:r>
        <w:rPr>
          <w:lang w:val="es-ES_tradnl"/>
        </w:rPr>
        <w:t>versación del abonado nº 440-6746, mantenida el 5 de julio de 1996 entre él y Raúl Ibarra, regi</w:t>
      </w:r>
      <w:r>
        <w:rPr>
          <w:lang w:val="es-ES_tradnl"/>
        </w:rPr>
        <w:t>s</w:t>
      </w:r>
      <w:r>
        <w:rPr>
          <w:lang w:val="es-ES_tradnl"/>
        </w:rPr>
        <w:t>trada en la casete nº 34, manifestó que no la reconocía; idéntica actitud asumió luego de escuchar su repr</w:t>
      </w:r>
      <w:r>
        <w:rPr>
          <w:lang w:val="es-ES_tradnl"/>
        </w:rPr>
        <w:t>o</w:t>
      </w:r>
      <w:r>
        <w:rPr>
          <w:lang w:val="es-ES_tradnl"/>
        </w:rPr>
        <w:t>ducción.</w:t>
      </w:r>
    </w:p>
    <w:p w:rsidR="00224567" w:rsidRDefault="00224567">
      <w:pPr>
        <w:widowControl w:val="0"/>
        <w:rPr>
          <w:lang w:val="es-ES_tradnl"/>
        </w:rPr>
      </w:pPr>
      <w:r>
        <w:rPr>
          <w:lang w:val="es-ES_tradnl"/>
        </w:rPr>
        <w:tab/>
        <w:t>Con relación a las personas de apell</w:t>
      </w:r>
      <w:r>
        <w:rPr>
          <w:lang w:val="es-ES_tradnl"/>
        </w:rPr>
        <w:t>i</w:t>
      </w:r>
      <w:r>
        <w:rPr>
          <w:lang w:val="es-ES_tradnl"/>
        </w:rPr>
        <w:t>do Provenzano, Siso y Espósito, Ribelli, afirmó que exi</w:t>
      </w:r>
      <w:r>
        <w:rPr>
          <w:lang w:val="es-ES_tradnl"/>
        </w:rPr>
        <w:t>s</w:t>
      </w:r>
      <w:r>
        <w:rPr>
          <w:lang w:val="es-ES_tradnl"/>
        </w:rPr>
        <w:t xml:space="preserve">tía personal con dicho apellido en </w:t>
      </w:r>
      <w:smartTag w:uri="urn:schemas-microsoft-com:office:smarttags" w:element="PersonName">
        <w:smartTagPr>
          <w:attr w:name="ProductID" w:val="la Divisi￳n Sustracci￳n"/>
        </w:smartTagPr>
        <w:r>
          <w:rPr>
            <w:lang w:val="es-ES_tradnl"/>
          </w:rPr>
          <w:t>la División Su</w:t>
        </w:r>
        <w:r>
          <w:rPr>
            <w:lang w:val="es-ES_tradnl"/>
          </w:rPr>
          <w:t>s</w:t>
        </w:r>
        <w:r>
          <w:rPr>
            <w:lang w:val="es-ES_tradnl"/>
          </w:rPr>
          <w:t>tracción</w:t>
        </w:r>
      </w:smartTag>
      <w:r>
        <w:rPr>
          <w:lang w:val="es-ES_tradnl"/>
        </w:rPr>
        <w:t xml:space="preserve"> de Automotores, aclarando que los dos últimos estaban de</w:t>
      </w:r>
      <w:r>
        <w:rPr>
          <w:lang w:val="es-ES_tradnl"/>
        </w:rPr>
        <w:t>s</w:t>
      </w:r>
      <w:r>
        <w:rPr>
          <w:lang w:val="es-ES_tradnl"/>
        </w:rPr>
        <w:t>tinados en Vicente López y Provenzano en la repartición mencionada, correspondiente a la loc</w:t>
      </w:r>
      <w:r>
        <w:rPr>
          <w:lang w:val="es-ES_tradnl"/>
        </w:rPr>
        <w:t>a</w:t>
      </w:r>
      <w:r>
        <w:rPr>
          <w:lang w:val="es-ES_tradnl"/>
        </w:rPr>
        <w:t xml:space="preserve">lidad de </w:t>
      </w:r>
      <w:smartTag w:uri="urn:schemas-microsoft-com:office:smarttags" w:element="PersonName">
        <w:smartTagPr>
          <w:attr w:name="ProductID" w:val="La Matanza."/>
        </w:smartTagPr>
        <w:r>
          <w:rPr>
            <w:lang w:val="es-ES_tradnl"/>
          </w:rPr>
          <w:t>La Matanza.</w:t>
        </w:r>
      </w:smartTag>
    </w:p>
    <w:p w:rsidR="00224567" w:rsidRDefault="00224567">
      <w:pPr>
        <w:widowControl w:val="0"/>
        <w:rPr>
          <w:lang w:val="es-ES_tradnl"/>
        </w:rPr>
      </w:pPr>
      <w:r>
        <w:rPr>
          <w:lang w:val="es-ES_tradnl"/>
        </w:rPr>
        <w:t>Luego, indicó que desconocía a Hausch, Torres y Fede, n</w:t>
      </w:r>
      <w:r>
        <w:rPr>
          <w:lang w:val="es-ES_tradnl"/>
        </w:rPr>
        <w:t>e</w:t>
      </w:r>
      <w:r>
        <w:rPr>
          <w:lang w:val="es-ES_tradnl"/>
        </w:rPr>
        <w:t>gando conocer algún enfrentamiento de San J</w:t>
      </w:r>
      <w:r>
        <w:rPr>
          <w:lang w:val="es-ES_tradnl"/>
        </w:rPr>
        <w:t>o</w:t>
      </w:r>
      <w:r>
        <w:rPr>
          <w:lang w:val="es-ES_tradnl"/>
        </w:rPr>
        <w:t>sé.</w:t>
      </w:r>
    </w:p>
    <w:p w:rsidR="00224567" w:rsidRDefault="00224567">
      <w:pPr>
        <w:widowControl w:val="0"/>
        <w:rPr>
          <w:lang w:val="es-ES_tradnl"/>
        </w:rPr>
      </w:pPr>
      <w:r>
        <w:rPr>
          <w:lang w:val="es-ES_tradnl"/>
        </w:rPr>
        <w:tab/>
        <w:t>Al serle presentado el detalle del diálogo del abonado nº 440-6746, mantenido el 5 de julio de 1996 entre él y una persona de sexo masculino, regi</w:t>
      </w:r>
      <w:r>
        <w:rPr>
          <w:lang w:val="es-ES_tradnl"/>
        </w:rPr>
        <w:t>s</w:t>
      </w:r>
      <w:r>
        <w:rPr>
          <w:lang w:val="es-ES_tradnl"/>
        </w:rPr>
        <w:t>trada en la casete nº 33, dijo que no la reconocía; idé</w:t>
      </w:r>
      <w:r>
        <w:rPr>
          <w:lang w:val="es-ES_tradnl"/>
        </w:rPr>
        <w:t>n</w:t>
      </w:r>
      <w:r>
        <w:rPr>
          <w:lang w:val="es-ES_tradnl"/>
        </w:rPr>
        <w:t>tica respuesta brindó luego de procederse a la reprodu</w:t>
      </w:r>
      <w:r>
        <w:rPr>
          <w:lang w:val="es-ES_tradnl"/>
        </w:rPr>
        <w:t>c</w:t>
      </w:r>
      <w:r>
        <w:rPr>
          <w:lang w:val="es-ES_tradnl"/>
        </w:rPr>
        <w:t>ción de la mencionada cas</w:t>
      </w:r>
      <w:r>
        <w:rPr>
          <w:lang w:val="es-ES_tradnl"/>
        </w:rPr>
        <w:t>e</w:t>
      </w:r>
      <w:r>
        <w:rPr>
          <w:lang w:val="es-ES_tradnl"/>
        </w:rPr>
        <w:t>te.</w:t>
      </w:r>
    </w:p>
    <w:p w:rsidR="00224567" w:rsidRDefault="00224567">
      <w:pPr>
        <w:widowControl w:val="0"/>
        <w:rPr>
          <w:lang w:val="es-ES_tradnl"/>
        </w:rPr>
      </w:pPr>
      <w:r>
        <w:rPr>
          <w:lang w:val="es-ES_tradnl"/>
        </w:rPr>
        <w:tab/>
        <w:t>Acto seguido, manifestó desconocer a alguien llamado R</w:t>
      </w:r>
      <w:r>
        <w:rPr>
          <w:lang w:val="es-ES_tradnl"/>
        </w:rPr>
        <w:t>o</w:t>
      </w:r>
      <w:r>
        <w:rPr>
          <w:lang w:val="es-ES_tradnl"/>
        </w:rPr>
        <w:t>dríguez “El Banquero”.</w:t>
      </w:r>
    </w:p>
    <w:p w:rsidR="00224567" w:rsidRDefault="00224567">
      <w:pPr>
        <w:widowControl w:val="0"/>
        <w:rPr>
          <w:lang w:val="es-ES_tradnl"/>
        </w:rPr>
      </w:pPr>
      <w:r>
        <w:rPr>
          <w:lang w:val="es-ES_tradnl"/>
        </w:rPr>
        <w:tab/>
        <w:t>Expuesto el contenido de la comunic</w:t>
      </w:r>
      <w:r>
        <w:rPr>
          <w:lang w:val="es-ES_tradnl"/>
        </w:rPr>
        <w:t>a</w:t>
      </w:r>
      <w:r>
        <w:rPr>
          <w:lang w:val="es-ES_tradnl"/>
        </w:rPr>
        <w:t xml:space="preserve">ción mantenida el 12 de julio de </w:t>
      </w:r>
      <w:smartTag w:uri="urn:schemas-microsoft-com:office:smarttags" w:element="metricconverter">
        <w:smartTagPr>
          <w:attr w:name="ProductID" w:val="1996 a"/>
        </w:smartTagPr>
        <w:r>
          <w:rPr>
            <w:lang w:val="es-ES_tradnl"/>
          </w:rPr>
          <w:t>1996 a</w:t>
        </w:r>
      </w:smartTag>
      <w:r>
        <w:rPr>
          <w:lang w:val="es-ES_tradnl"/>
        </w:rPr>
        <w:t xml:space="preserve"> través del abon</w:t>
      </w:r>
      <w:r>
        <w:rPr>
          <w:lang w:val="es-ES_tradnl"/>
        </w:rPr>
        <w:t>a</w:t>
      </w:r>
      <w:r>
        <w:rPr>
          <w:lang w:val="es-ES_tradnl"/>
        </w:rPr>
        <w:t>do nº 440-6746 entre él y Raúl Ibarra, manifestó desconoce</w:t>
      </w:r>
      <w:r>
        <w:rPr>
          <w:lang w:val="es-ES_tradnl"/>
        </w:rPr>
        <w:t>r</w:t>
      </w:r>
      <w:r>
        <w:rPr>
          <w:lang w:val="es-ES_tradnl"/>
        </w:rPr>
        <w:t>la; análoga postura adoptó al escuchar esa conversación, obrante en la casete nº 62.</w:t>
      </w:r>
    </w:p>
    <w:p w:rsidR="00224567" w:rsidRDefault="00224567">
      <w:pPr>
        <w:widowControl w:val="0"/>
        <w:rPr>
          <w:lang w:val="es-ES_tradnl"/>
        </w:rPr>
      </w:pPr>
      <w:r>
        <w:rPr>
          <w:lang w:val="es-ES_tradnl"/>
        </w:rPr>
        <w:tab/>
        <w:t>Posteriormente, Ribelli negó c</w:t>
      </w:r>
      <w:r>
        <w:rPr>
          <w:lang w:val="es-ES_tradnl"/>
        </w:rPr>
        <w:t>o</w:t>
      </w:r>
      <w:r>
        <w:rPr>
          <w:lang w:val="es-ES_tradnl"/>
        </w:rPr>
        <w:t>nocer a alguien a quien llamaran “Basi”.</w:t>
      </w:r>
    </w:p>
    <w:p w:rsidR="00224567" w:rsidRDefault="00224567">
      <w:pPr>
        <w:widowControl w:val="0"/>
        <w:rPr>
          <w:lang w:val="es-ES_tradnl"/>
        </w:rPr>
      </w:pPr>
      <w:r>
        <w:rPr>
          <w:lang w:val="es-ES_tradnl"/>
        </w:rPr>
        <w:tab/>
        <w:t>Exhibida la transcripción de la co</w:t>
      </w:r>
      <w:r>
        <w:rPr>
          <w:lang w:val="es-ES_tradnl"/>
        </w:rPr>
        <w:t>n</w:t>
      </w:r>
      <w:r>
        <w:rPr>
          <w:lang w:val="es-ES_tradnl"/>
        </w:rPr>
        <w:t>versación de fecha 12 de julio de 1996 del abonado antes citado, mant</w:t>
      </w:r>
      <w:r>
        <w:rPr>
          <w:lang w:val="es-ES_tradnl"/>
        </w:rPr>
        <w:t>e</w:t>
      </w:r>
      <w:r>
        <w:rPr>
          <w:lang w:val="es-ES_tradnl"/>
        </w:rPr>
        <w:t>nida entre él, que disca el número 241-4444, y un oficial de nombre Ojeda, registrada en la casete nº 62, negó reconocerla; similar posición mantuvo al esc</w:t>
      </w:r>
      <w:r>
        <w:rPr>
          <w:lang w:val="es-ES_tradnl"/>
        </w:rPr>
        <w:t>u</w:t>
      </w:r>
      <w:r>
        <w:rPr>
          <w:lang w:val="es-ES_tradnl"/>
        </w:rPr>
        <w:t>charla.</w:t>
      </w:r>
    </w:p>
    <w:p w:rsidR="00224567" w:rsidRDefault="00224567">
      <w:pPr>
        <w:widowControl w:val="0"/>
        <w:rPr>
          <w:lang w:val="es-ES_tradnl"/>
        </w:rPr>
      </w:pPr>
      <w:r>
        <w:rPr>
          <w:lang w:val="es-ES_tradnl"/>
        </w:rPr>
        <w:tab/>
        <w:t>Luego, negó tener presente al abonado nº 241-4444 y afirmó conocer a un oficial de apellido Oj</w:t>
      </w:r>
      <w:r>
        <w:rPr>
          <w:lang w:val="es-ES_tradnl"/>
        </w:rPr>
        <w:t>e</w:t>
      </w:r>
      <w:r>
        <w:rPr>
          <w:lang w:val="es-ES_tradnl"/>
        </w:rPr>
        <w:t xml:space="preserve">da, que cumplía funciones en </w:t>
      </w:r>
      <w:smartTag w:uri="urn:schemas-microsoft-com:office:smarttags" w:element="PersonName">
        <w:smartTagPr>
          <w:attr w:name="ProductID" w:val="la Comisar￭a"/>
        </w:smartTagPr>
        <w:r>
          <w:rPr>
            <w:lang w:val="es-ES_tradnl"/>
          </w:rPr>
          <w:t>la Comisaría</w:t>
        </w:r>
      </w:smartTag>
      <w:r>
        <w:rPr>
          <w:lang w:val="es-ES_tradnl"/>
        </w:rPr>
        <w:t xml:space="preserve"> de Lanús 1ª, agregando que se trataba de su s</w:t>
      </w:r>
      <w:r>
        <w:rPr>
          <w:lang w:val="es-ES_tradnl"/>
        </w:rPr>
        <w:t>o</w:t>
      </w:r>
      <w:r>
        <w:rPr>
          <w:lang w:val="es-ES_tradnl"/>
        </w:rPr>
        <w:t>brino.</w:t>
      </w:r>
    </w:p>
    <w:p w:rsidR="00224567" w:rsidRDefault="00224567">
      <w:pPr>
        <w:widowControl w:val="0"/>
        <w:rPr>
          <w:lang w:val="es-ES_tradnl"/>
        </w:rPr>
      </w:pPr>
      <w:r>
        <w:rPr>
          <w:lang w:val="es-ES_tradnl"/>
        </w:rPr>
        <w:tab/>
        <w:t>Dijo conocer a una persona de nombre Justina, manifestando que se trata de la esposa de Oj</w:t>
      </w:r>
      <w:r>
        <w:rPr>
          <w:lang w:val="es-ES_tradnl"/>
        </w:rPr>
        <w:t>e</w:t>
      </w:r>
      <w:r>
        <w:rPr>
          <w:lang w:val="es-ES_tradnl"/>
        </w:rPr>
        <w:t>da, quien al momento de la declaración tenía probl</w:t>
      </w:r>
      <w:r>
        <w:rPr>
          <w:lang w:val="es-ES_tradnl"/>
        </w:rPr>
        <w:t>e</w:t>
      </w:r>
      <w:r>
        <w:rPr>
          <w:lang w:val="es-ES_tradnl"/>
        </w:rPr>
        <w:t>mas con un embarazo.</w:t>
      </w:r>
    </w:p>
    <w:p w:rsidR="00224567" w:rsidRDefault="00224567">
      <w:pPr>
        <w:widowControl w:val="0"/>
        <w:rPr>
          <w:lang w:val="es-ES_tradnl"/>
        </w:rPr>
      </w:pPr>
      <w:r>
        <w:rPr>
          <w:lang w:val="es-ES_tradnl"/>
        </w:rPr>
        <w:tab/>
        <w:t>Acto seguido, negó haberle fac</w:t>
      </w:r>
      <w:r>
        <w:rPr>
          <w:lang w:val="es-ES_tradnl"/>
        </w:rPr>
        <w:t>i</w:t>
      </w:r>
      <w:r>
        <w:rPr>
          <w:lang w:val="es-ES_tradnl"/>
        </w:rPr>
        <w:t>litado el celular a a</w:t>
      </w:r>
      <w:r>
        <w:rPr>
          <w:lang w:val="es-ES_tradnl"/>
        </w:rPr>
        <w:t>l</w:t>
      </w:r>
      <w:r>
        <w:rPr>
          <w:lang w:val="es-ES_tradnl"/>
        </w:rPr>
        <w:t>guien con su mismo apellido.</w:t>
      </w:r>
    </w:p>
    <w:p w:rsidR="00224567" w:rsidRDefault="00224567">
      <w:pPr>
        <w:widowControl w:val="0"/>
        <w:rPr>
          <w:lang w:val="es-ES_tradnl"/>
        </w:rPr>
      </w:pPr>
      <w:r>
        <w:rPr>
          <w:lang w:val="es-ES_tradnl"/>
        </w:rPr>
        <w:tab/>
        <w:t>Al presentarle el texto de una comun</w:t>
      </w:r>
      <w:r>
        <w:rPr>
          <w:lang w:val="es-ES_tradnl"/>
        </w:rPr>
        <w:t>i</w:t>
      </w:r>
      <w:r>
        <w:rPr>
          <w:lang w:val="es-ES_tradnl"/>
        </w:rPr>
        <w:t>cación del abonado nº 440-6746, de fecha 12 de julio de 1996, entre él y una persona de sexo masculino, no la identif</w:t>
      </w:r>
      <w:r>
        <w:rPr>
          <w:lang w:val="es-ES_tradnl"/>
        </w:rPr>
        <w:t>i</w:t>
      </w:r>
      <w:r>
        <w:rPr>
          <w:lang w:val="es-ES_tradnl"/>
        </w:rPr>
        <w:t>có; idéntica posición mantuvo tras oírla.</w:t>
      </w:r>
    </w:p>
    <w:p w:rsidR="00224567" w:rsidRDefault="00224567">
      <w:pPr>
        <w:widowControl w:val="0"/>
        <w:rPr>
          <w:lang w:val="es-ES_tradnl"/>
        </w:rPr>
      </w:pPr>
      <w:r>
        <w:rPr>
          <w:lang w:val="es-ES_tradnl"/>
        </w:rPr>
        <w:tab/>
        <w:t>A continuación expuso que si bien no recordó cómo, supo que el 12 de julio de 1996 allanaron el domicilio del subcomisario Ibarra y que esa dilige</w:t>
      </w:r>
      <w:r>
        <w:rPr>
          <w:lang w:val="es-ES_tradnl"/>
        </w:rPr>
        <w:t>n</w:t>
      </w:r>
      <w:r>
        <w:rPr>
          <w:lang w:val="es-ES_tradnl"/>
        </w:rPr>
        <w:t>cia se relacionaba con el tema A.M.I.A., ya que desde hacía un tiempo y en más de una conversación, era mot</w:t>
      </w:r>
      <w:r>
        <w:rPr>
          <w:lang w:val="es-ES_tradnl"/>
        </w:rPr>
        <w:t>i</w:t>
      </w:r>
      <w:r>
        <w:rPr>
          <w:lang w:val="es-ES_tradnl"/>
        </w:rPr>
        <w:t>vo de charlas en virtud de un sumario adm</w:t>
      </w:r>
      <w:r>
        <w:rPr>
          <w:lang w:val="es-ES_tradnl"/>
        </w:rPr>
        <w:t>i</w:t>
      </w:r>
      <w:r>
        <w:rPr>
          <w:lang w:val="es-ES_tradnl"/>
        </w:rPr>
        <w:t>nistrativo.</w:t>
      </w:r>
    </w:p>
    <w:p w:rsidR="00224567" w:rsidRDefault="00224567">
      <w:pPr>
        <w:widowControl w:val="0"/>
        <w:rPr>
          <w:lang w:val="es-ES_tradnl"/>
        </w:rPr>
      </w:pPr>
      <w:r>
        <w:rPr>
          <w:lang w:val="es-ES_tradnl"/>
        </w:rPr>
        <w:tab/>
        <w:t>Precisó que había gran preocupación por parte del personal policial que estaba siendo afe</w:t>
      </w:r>
      <w:r>
        <w:rPr>
          <w:lang w:val="es-ES_tradnl"/>
        </w:rPr>
        <w:t>c</w:t>
      </w:r>
      <w:r>
        <w:rPr>
          <w:lang w:val="es-ES_tradnl"/>
        </w:rPr>
        <w:t>tado en su carrera, y que incluso se hicieron bromas con motivo de la cercanía del an</w:t>
      </w:r>
      <w:r>
        <w:rPr>
          <w:lang w:val="es-ES_tradnl"/>
        </w:rPr>
        <w:t>i</w:t>
      </w:r>
      <w:r>
        <w:rPr>
          <w:lang w:val="es-ES_tradnl"/>
        </w:rPr>
        <w:t>versario.</w:t>
      </w:r>
    </w:p>
    <w:p w:rsidR="00224567" w:rsidRDefault="00224567">
      <w:pPr>
        <w:widowControl w:val="0"/>
        <w:rPr>
          <w:lang w:val="es-ES_tradnl"/>
        </w:rPr>
      </w:pPr>
      <w:r>
        <w:rPr>
          <w:lang w:val="es-ES_tradnl"/>
        </w:rPr>
        <w:tab/>
        <w:t>Expuesto el detalle del diálogo del abonado nº 440-6746, de fecha 10 de julio de 1996 entre él y un hombre, expresó que lo desconocía; respuesta que ta</w:t>
      </w:r>
      <w:r>
        <w:rPr>
          <w:lang w:val="es-ES_tradnl"/>
        </w:rPr>
        <w:t>m</w:t>
      </w:r>
      <w:r>
        <w:rPr>
          <w:lang w:val="es-ES_tradnl"/>
        </w:rPr>
        <w:t>bién brindó al escucharlo, grabada en la casete nº 51.</w:t>
      </w:r>
    </w:p>
    <w:p w:rsidR="00224567" w:rsidRDefault="00224567">
      <w:pPr>
        <w:widowControl w:val="0"/>
        <w:rPr>
          <w:lang w:val="es-ES_tradnl"/>
        </w:rPr>
      </w:pPr>
      <w:r>
        <w:rPr>
          <w:lang w:val="es-ES_tradnl"/>
        </w:rPr>
        <w:tab/>
        <w:t>Frente a la exhibición del contenido de una conversación del mismo abonado mantenida por él con una persona de apellido Meno, registrada en la casete nº 59 manifestó que no la reconocía, haciendo lo propio cua</w:t>
      </w:r>
      <w:r>
        <w:rPr>
          <w:lang w:val="es-ES_tradnl"/>
        </w:rPr>
        <w:t>n</w:t>
      </w:r>
      <w:r>
        <w:rPr>
          <w:lang w:val="es-ES_tradnl"/>
        </w:rPr>
        <w:t>do la oyó. Sin embargo, man</w:t>
      </w:r>
      <w:r>
        <w:rPr>
          <w:lang w:val="es-ES_tradnl"/>
        </w:rPr>
        <w:t>i</w:t>
      </w:r>
      <w:r>
        <w:rPr>
          <w:lang w:val="es-ES_tradnl"/>
        </w:rPr>
        <w:t>festó conocer a un oficial de investigaci</w:t>
      </w:r>
      <w:r>
        <w:rPr>
          <w:lang w:val="es-ES_tradnl"/>
        </w:rPr>
        <w:t>o</w:t>
      </w:r>
      <w:r>
        <w:rPr>
          <w:lang w:val="es-ES_tradnl"/>
        </w:rPr>
        <w:t>nes de apellido Meno.</w:t>
      </w:r>
    </w:p>
    <w:p w:rsidR="00224567" w:rsidRDefault="00224567">
      <w:pPr>
        <w:widowControl w:val="0"/>
        <w:rPr>
          <w:lang w:val="es-ES_tradnl"/>
        </w:rPr>
      </w:pPr>
      <w:r>
        <w:rPr>
          <w:lang w:val="es-ES_tradnl"/>
        </w:rPr>
        <w:tab/>
        <w:t>Presentado el texto de la comunic</w:t>
      </w:r>
      <w:r>
        <w:rPr>
          <w:lang w:val="es-ES_tradnl"/>
        </w:rPr>
        <w:t>a</w:t>
      </w:r>
      <w:r>
        <w:rPr>
          <w:lang w:val="es-ES_tradnl"/>
        </w:rPr>
        <w:t>ción del mismo abonado telefónico del 12 de julio de 1996, ma</w:t>
      </w:r>
      <w:r>
        <w:rPr>
          <w:lang w:val="es-ES_tradnl"/>
        </w:rPr>
        <w:t>n</w:t>
      </w:r>
      <w:r>
        <w:rPr>
          <w:lang w:val="es-ES_tradnl"/>
        </w:rPr>
        <w:t>tenida entre él y una mujer, registrada en la casete nº 59, no la reconoció. Consecuentemente se r</w:t>
      </w:r>
      <w:r>
        <w:rPr>
          <w:lang w:val="es-ES_tradnl"/>
        </w:rPr>
        <w:t>e</w:t>
      </w:r>
      <w:r>
        <w:rPr>
          <w:lang w:val="es-ES_tradnl"/>
        </w:rPr>
        <w:t>produjo aquella y también la desconoció.</w:t>
      </w:r>
    </w:p>
    <w:p w:rsidR="00224567" w:rsidRDefault="00224567">
      <w:pPr>
        <w:widowControl w:val="0"/>
        <w:rPr>
          <w:lang w:val="es-ES_tradnl"/>
        </w:rPr>
      </w:pPr>
      <w:r>
        <w:rPr>
          <w:lang w:val="es-ES_tradnl"/>
        </w:rPr>
        <w:tab/>
        <w:t>Exhibida otra transcripción de una conversación de fecha 12 de julio de 1996, del mismo ab</w:t>
      </w:r>
      <w:r>
        <w:rPr>
          <w:lang w:val="es-ES_tradnl"/>
        </w:rPr>
        <w:t>o</w:t>
      </w:r>
      <w:r>
        <w:rPr>
          <w:lang w:val="es-ES_tradnl"/>
        </w:rPr>
        <w:t>nado, entre él y una escribana Pichou, m</w:t>
      </w:r>
      <w:r>
        <w:rPr>
          <w:lang w:val="es-ES_tradnl"/>
        </w:rPr>
        <w:t>a</w:t>
      </w:r>
      <w:r>
        <w:rPr>
          <w:lang w:val="es-ES_tradnl"/>
        </w:rPr>
        <w:t>nifestó que no la identificaba. Análoga postura adoptó al escucharla; no obstante, refirió saber que en Quilmes había una e</w:t>
      </w:r>
      <w:r>
        <w:rPr>
          <w:lang w:val="es-ES_tradnl"/>
        </w:rPr>
        <w:t>s</w:t>
      </w:r>
      <w:r>
        <w:rPr>
          <w:lang w:val="es-ES_tradnl"/>
        </w:rPr>
        <w:t>cribana llamada Pichou.</w:t>
      </w:r>
    </w:p>
    <w:p w:rsidR="00224567" w:rsidRDefault="00224567">
      <w:pPr>
        <w:widowControl w:val="0"/>
        <w:rPr>
          <w:lang w:val="es-ES_tradnl"/>
        </w:rPr>
      </w:pPr>
      <w:r>
        <w:rPr>
          <w:lang w:val="es-ES_tradnl"/>
        </w:rPr>
        <w:tab/>
        <w:t>Después le fue expuesto el det</w:t>
      </w:r>
      <w:r>
        <w:rPr>
          <w:lang w:val="es-ES_tradnl"/>
        </w:rPr>
        <w:t>a</w:t>
      </w:r>
      <w:r>
        <w:rPr>
          <w:lang w:val="es-ES_tradnl"/>
        </w:rPr>
        <w:t>lle de la comunicación, del mismo abonado, entre él y un ho</w:t>
      </w:r>
      <w:r>
        <w:rPr>
          <w:lang w:val="es-ES_tradnl"/>
        </w:rPr>
        <w:t>m</w:t>
      </w:r>
      <w:r>
        <w:rPr>
          <w:lang w:val="es-ES_tradnl"/>
        </w:rPr>
        <w:t>bre, registrada en la casete nº 59 y no la reconoció, al igual que a sus voces luego de procederse a su esc</w:t>
      </w:r>
      <w:r>
        <w:rPr>
          <w:lang w:val="es-ES_tradnl"/>
        </w:rPr>
        <w:t>u</w:t>
      </w:r>
      <w:r>
        <w:rPr>
          <w:lang w:val="es-ES_tradnl"/>
        </w:rPr>
        <w:t>cha.</w:t>
      </w:r>
    </w:p>
    <w:p w:rsidR="00224567" w:rsidRDefault="00224567">
      <w:pPr>
        <w:widowControl w:val="0"/>
        <w:rPr>
          <w:lang w:val="es-ES_tradnl"/>
        </w:rPr>
      </w:pPr>
      <w:r>
        <w:rPr>
          <w:lang w:val="es-ES_tradnl"/>
        </w:rPr>
        <w:tab/>
        <w:t>Posteriormente, Ribelli negó conocer al Dr. Schiodo o a Papadopulo.</w:t>
      </w:r>
    </w:p>
    <w:p w:rsidR="00224567" w:rsidRDefault="00224567">
      <w:pPr>
        <w:widowControl w:val="0"/>
        <w:rPr>
          <w:lang w:val="es-ES_tradnl"/>
        </w:rPr>
      </w:pPr>
      <w:r>
        <w:rPr>
          <w:lang w:val="es-ES_tradnl"/>
        </w:rPr>
        <w:tab/>
        <w:t>Al presentarle el texto de un diál</w:t>
      </w:r>
      <w:r>
        <w:rPr>
          <w:lang w:val="es-ES_tradnl"/>
        </w:rPr>
        <w:t>o</w:t>
      </w:r>
      <w:r>
        <w:rPr>
          <w:lang w:val="es-ES_tradnl"/>
        </w:rPr>
        <w:t>go, del mismo abonado, de mismo día y casete, entre él y un hombre negó reconocerla; hizo lo propio respecto de las voces oídas en la casete.</w:t>
      </w:r>
    </w:p>
    <w:p w:rsidR="00224567" w:rsidRDefault="00224567">
      <w:pPr>
        <w:widowControl w:val="0"/>
        <w:rPr>
          <w:lang w:val="es-ES_tradnl"/>
        </w:rPr>
      </w:pPr>
      <w:r>
        <w:rPr>
          <w:lang w:val="es-ES_tradnl"/>
        </w:rPr>
        <w:tab/>
        <w:t>Luego, negó estar vinculado a alguna transacción relaci</w:t>
      </w:r>
      <w:r>
        <w:rPr>
          <w:lang w:val="es-ES_tradnl"/>
        </w:rPr>
        <w:t>o</w:t>
      </w:r>
      <w:r>
        <w:rPr>
          <w:lang w:val="es-ES_tradnl"/>
        </w:rPr>
        <w:t>nada con parabrisas.</w:t>
      </w:r>
    </w:p>
    <w:p w:rsidR="00224567" w:rsidRDefault="00224567">
      <w:pPr>
        <w:widowControl w:val="0"/>
        <w:rPr>
          <w:lang w:val="es-ES_tradnl"/>
        </w:rPr>
      </w:pPr>
      <w:r>
        <w:rPr>
          <w:lang w:val="es-ES_tradnl"/>
        </w:rPr>
        <w:tab/>
        <w:t>Exhibida del mismo abonado el conten</w:t>
      </w:r>
      <w:r>
        <w:rPr>
          <w:lang w:val="es-ES_tradnl"/>
        </w:rPr>
        <w:t>i</w:t>
      </w:r>
      <w:r>
        <w:rPr>
          <w:lang w:val="es-ES_tradnl"/>
        </w:rPr>
        <w:t>do de una convers</w:t>
      </w:r>
      <w:r>
        <w:rPr>
          <w:lang w:val="es-ES_tradnl"/>
        </w:rPr>
        <w:t>a</w:t>
      </w:r>
      <w:r>
        <w:rPr>
          <w:lang w:val="es-ES_tradnl"/>
        </w:rPr>
        <w:t>ción de fecha 11 de julio, entre él y un señor, manifestó que no la identific</w:t>
      </w:r>
      <w:r>
        <w:rPr>
          <w:lang w:val="es-ES_tradnl"/>
        </w:rPr>
        <w:t>a</w:t>
      </w:r>
      <w:r>
        <w:rPr>
          <w:lang w:val="es-ES_tradnl"/>
        </w:rPr>
        <w:t>ba. La misma actitud asumió al e</w:t>
      </w:r>
      <w:r>
        <w:rPr>
          <w:lang w:val="es-ES_tradnl"/>
        </w:rPr>
        <w:t>s</w:t>
      </w:r>
      <w:r>
        <w:rPr>
          <w:lang w:val="es-ES_tradnl"/>
        </w:rPr>
        <w:t>cucharla (casete nº 53).</w:t>
      </w:r>
    </w:p>
    <w:p w:rsidR="00224567" w:rsidRDefault="00224567">
      <w:pPr>
        <w:widowControl w:val="0"/>
        <w:rPr>
          <w:lang w:val="es-ES_tradnl"/>
        </w:rPr>
      </w:pPr>
      <w:r>
        <w:rPr>
          <w:lang w:val="es-ES_tradnl"/>
        </w:rPr>
        <w:tab/>
        <w:t>En idéntica forma se expresó re</w:t>
      </w:r>
      <w:r>
        <w:rPr>
          <w:lang w:val="es-ES_tradnl"/>
        </w:rPr>
        <w:t>s</w:t>
      </w:r>
      <w:r>
        <w:rPr>
          <w:lang w:val="es-ES_tradnl"/>
        </w:rPr>
        <w:t>pecto de otra comunicación del mismo abonado, entre él y un ho</w:t>
      </w:r>
      <w:r>
        <w:rPr>
          <w:lang w:val="es-ES_tradnl"/>
        </w:rPr>
        <w:t>m</w:t>
      </w:r>
      <w:r>
        <w:rPr>
          <w:lang w:val="es-ES_tradnl"/>
        </w:rPr>
        <w:t>bre, registrada en la casete nº 53.</w:t>
      </w:r>
    </w:p>
    <w:p w:rsidR="00224567" w:rsidRDefault="00224567">
      <w:pPr>
        <w:widowControl w:val="0"/>
        <w:rPr>
          <w:lang w:val="es-ES_tradnl"/>
        </w:rPr>
      </w:pPr>
      <w:r>
        <w:rPr>
          <w:lang w:val="es-ES_tradnl"/>
        </w:rPr>
        <w:tab/>
        <w:t>Señaló que Pagliarino y Cortiñas pe</w:t>
      </w:r>
      <w:r>
        <w:rPr>
          <w:lang w:val="es-ES_tradnl"/>
        </w:rPr>
        <w:t>r</w:t>
      </w:r>
      <w:r>
        <w:rPr>
          <w:lang w:val="es-ES_tradnl"/>
        </w:rPr>
        <w:t xml:space="preserve">tenecían a </w:t>
      </w:r>
      <w:smartTag w:uri="urn:schemas-microsoft-com:office:smarttags" w:element="PersonName">
        <w:smartTagPr>
          <w:attr w:name="ProductID" w:val="la Polic￭a Bonaerense"/>
        </w:smartTagPr>
        <w:r>
          <w:rPr>
            <w:lang w:val="es-ES_tradnl"/>
          </w:rPr>
          <w:t>la Policía Bonaerense</w:t>
        </w:r>
      </w:smartTag>
      <w:r>
        <w:rPr>
          <w:lang w:val="es-ES_tradnl"/>
        </w:rPr>
        <w:t>; el primero se desempeñ</w:t>
      </w:r>
      <w:r>
        <w:rPr>
          <w:lang w:val="es-ES_tradnl"/>
        </w:rPr>
        <w:t>a</w:t>
      </w:r>
      <w:r>
        <w:rPr>
          <w:lang w:val="es-ES_tradnl"/>
        </w:rPr>
        <w:t>ba como subcomisario dentro de la sección R.E.N.A.U. (R</w:t>
      </w:r>
      <w:r>
        <w:rPr>
          <w:lang w:val="es-ES_tradnl"/>
        </w:rPr>
        <w:t>e</w:t>
      </w:r>
      <w:r>
        <w:rPr>
          <w:lang w:val="es-ES_tradnl"/>
        </w:rPr>
        <w:t xml:space="preserve">gistro Nacional Automotor), ubicada en el edificio central del Registro Nacional de </w:t>
      </w:r>
      <w:smartTag w:uri="urn:schemas-microsoft-com:office:smarttags" w:element="PersonName">
        <w:smartTagPr>
          <w:attr w:name="ProductID" w:val="la Propiedad"/>
        </w:smartTagPr>
        <w:r>
          <w:rPr>
            <w:lang w:val="es-ES_tradnl"/>
          </w:rPr>
          <w:t>la Pr</w:t>
        </w:r>
        <w:r>
          <w:rPr>
            <w:lang w:val="es-ES_tradnl"/>
          </w:rPr>
          <w:t>o</w:t>
        </w:r>
        <w:r>
          <w:rPr>
            <w:lang w:val="es-ES_tradnl"/>
          </w:rPr>
          <w:t>piedad</w:t>
        </w:r>
      </w:smartTag>
      <w:r>
        <w:rPr>
          <w:lang w:val="es-ES_tradnl"/>
        </w:rPr>
        <w:t xml:space="preserve"> del Automotor y que dependía de </w:t>
      </w:r>
      <w:smartTag w:uri="urn:schemas-microsoft-com:office:smarttags" w:element="PersonName">
        <w:smartTagPr>
          <w:attr w:name="ProductID" w:val="la Divisi￳n Sustracci￳n"/>
        </w:smartTagPr>
        <w:r>
          <w:rPr>
            <w:lang w:val="es-ES_tradnl"/>
          </w:rPr>
          <w:t>la División Sustracción</w:t>
        </w:r>
      </w:smartTag>
      <w:r>
        <w:rPr>
          <w:lang w:val="es-ES_tradnl"/>
        </w:rPr>
        <w:t xml:space="preserve"> de Automotores de V</w:t>
      </w:r>
      <w:r>
        <w:rPr>
          <w:lang w:val="es-ES_tradnl"/>
        </w:rPr>
        <w:t>i</w:t>
      </w:r>
      <w:r>
        <w:rPr>
          <w:lang w:val="es-ES_tradnl"/>
        </w:rPr>
        <w:t>cente López, mientras que el segu</w:t>
      </w:r>
      <w:r>
        <w:rPr>
          <w:lang w:val="es-ES_tradnl"/>
        </w:rPr>
        <w:t>n</w:t>
      </w:r>
      <w:r>
        <w:rPr>
          <w:lang w:val="es-ES_tradnl"/>
        </w:rPr>
        <w:t>do cumplía funciones en esa misma sede.</w:t>
      </w:r>
    </w:p>
    <w:p w:rsidR="00224567" w:rsidRDefault="00224567">
      <w:pPr>
        <w:widowControl w:val="0"/>
        <w:rPr>
          <w:lang w:val="es-ES_tradnl"/>
        </w:rPr>
      </w:pPr>
      <w:r>
        <w:rPr>
          <w:lang w:val="es-ES_tradnl"/>
        </w:rPr>
        <w:tab/>
        <w:t>Al presentarle una transcripción de una conversación del mismo abonado, de fecha 12 de j</w:t>
      </w:r>
      <w:r>
        <w:rPr>
          <w:lang w:val="es-ES_tradnl"/>
        </w:rPr>
        <w:t>u</w:t>
      </w:r>
      <w:r>
        <w:rPr>
          <w:lang w:val="es-ES_tradnl"/>
        </w:rPr>
        <w:t>lio, entre él y un hombre, registrada en la casete nº 61, e</w:t>
      </w:r>
      <w:r>
        <w:rPr>
          <w:lang w:val="es-ES_tradnl"/>
        </w:rPr>
        <w:t>x</w:t>
      </w:r>
      <w:r>
        <w:rPr>
          <w:lang w:val="es-ES_tradnl"/>
        </w:rPr>
        <w:t>presó no reconocerla, como tampoco las voces que surgían ella. En igual dirección se pronunció con relación al co</w:t>
      </w:r>
      <w:r>
        <w:rPr>
          <w:lang w:val="es-ES_tradnl"/>
        </w:rPr>
        <w:t>n</w:t>
      </w:r>
      <w:r>
        <w:rPr>
          <w:lang w:val="es-ES_tradnl"/>
        </w:rPr>
        <w:t>tenido de otra conversación del mismo día, registrada en la casete antes citado.</w:t>
      </w:r>
    </w:p>
    <w:p w:rsidR="00224567" w:rsidRDefault="00224567">
      <w:pPr>
        <w:widowControl w:val="0"/>
        <w:rPr>
          <w:lang w:val="es-ES_tradnl"/>
        </w:rPr>
      </w:pPr>
      <w:r>
        <w:rPr>
          <w:lang w:val="es-ES_tradnl"/>
        </w:rPr>
        <w:tab/>
        <w:t>Posteriormente, sostuvo que no tenía conocimiento de la causa de Maisú de los c</w:t>
      </w:r>
      <w:r>
        <w:rPr>
          <w:lang w:val="es-ES_tradnl"/>
        </w:rPr>
        <w:t>a</w:t>
      </w:r>
      <w:r>
        <w:rPr>
          <w:lang w:val="es-ES_tradnl"/>
        </w:rPr>
        <w:t>miones.</w:t>
      </w:r>
    </w:p>
    <w:p w:rsidR="00224567" w:rsidRDefault="00224567">
      <w:pPr>
        <w:widowControl w:val="0"/>
        <w:rPr>
          <w:lang w:val="es-ES_tradnl"/>
        </w:rPr>
      </w:pPr>
      <w:r>
        <w:rPr>
          <w:lang w:val="es-ES_tradnl"/>
        </w:rPr>
        <w:tab/>
        <w:t>Por otra parte, no reconoció la tran</w:t>
      </w:r>
      <w:r>
        <w:rPr>
          <w:lang w:val="es-ES_tradnl"/>
        </w:rPr>
        <w:t>s</w:t>
      </w:r>
      <w:r>
        <w:rPr>
          <w:lang w:val="es-ES_tradnl"/>
        </w:rPr>
        <w:t>cripción de una comunicación de fecha 12 de j</w:t>
      </w:r>
      <w:r>
        <w:rPr>
          <w:lang w:val="es-ES_tradnl"/>
        </w:rPr>
        <w:t>u</w:t>
      </w:r>
      <w:r>
        <w:rPr>
          <w:lang w:val="es-ES_tradnl"/>
        </w:rPr>
        <w:t>lio de 1996, entre él y Raúl Ibarra, como tampoco las voces oídas (c</w:t>
      </w:r>
      <w:r>
        <w:rPr>
          <w:lang w:val="es-ES_tradnl"/>
        </w:rPr>
        <w:t>a</w:t>
      </w:r>
      <w:r>
        <w:rPr>
          <w:lang w:val="es-ES_tradnl"/>
        </w:rPr>
        <w:t>sete nº 60).</w:t>
      </w:r>
    </w:p>
    <w:p w:rsidR="00224567" w:rsidRDefault="00224567">
      <w:pPr>
        <w:widowControl w:val="0"/>
        <w:rPr>
          <w:lang w:val="es-ES_tradnl"/>
        </w:rPr>
      </w:pPr>
      <w:r>
        <w:rPr>
          <w:lang w:val="es-ES_tradnl"/>
        </w:rPr>
        <w:tab/>
        <w:t>La misma posición adoptó con r</w:t>
      </w:r>
      <w:r>
        <w:rPr>
          <w:lang w:val="es-ES_tradnl"/>
        </w:rPr>
        <w:t>e</w:t>
      </w:r>
      <w:r>
        <w:rPr>
          <w:lang w:val="es-ES_tradnl"/>
        </w:rPr>
        <w:t>lación al texto del diál</w:t>
      </w:r>
      <w:r>
        <w:rPr>
          <w:lang w:val="es-ES_tradnl"/>
        </w:rPr>
        <w:t>o</w:t>
      </w:r>
      <w:r>
        <w:rPr>
          <w:lang w:val="es-ES_tradnl"/>
        </w:rPr>
        <w:t>go de fecha 12 de julio de 1996 entre él y un suj</w:t>
      </w:r>
      <w:r>
        <w:rPr>
          <w:lang w:val="es-ES_tradnl"/>
        </w:rPr>
        <w:t>e</w:t>
      </w:r>
      <w:r>
        <w:rPr>
          <w:lang w:val="es-ES_tradnl"/>
        </w:rPr>
        <w:t>to, obrante en la casete nº 57.</w:t>
      </w:r>
    </w:p>
    <w:p w:rsidR="00224567" w:rsidRDefault="00224567">
      <w:pPr>
        <w:widowControl w:val="0"/>
        <w:rPr>
          <w:lang w:val="es-ES_tradnl"/>
        </w:rPr>
      </w:pPr>
      <w:r>
        <w:rPr>
          <w:lang w:val="es-ES_tradnl"/>
        </w:rPr>
        <w:tab/>
        <w:t>No recordó si conocía alguna persona de apellido Baglione, Salvador, Salomon y/o C</w:t>
      </w:r>
      <w:r>
        <w:rPr>
          <w:lang w:val="es-ES_tradnl"/>
        </w:rPr>
        <w:t>a</w:t>
      </w:r>
      <w:r>
        <w:rPr>
          <w:lang w:val="es-ES_tradnl"/>
        </w:rPr>
        <w:t>labró.</w:t>
      </w:r>
    </w:p>
    <w:p w:rsidR="00224567" w:rsidRDefault="00224567">
      <w:pPr>
        <w:widowControl w:val="0"/>
        <w:rPr>
          <w:lang w:val="es-ES_tradnl"/>
        </w:rPr>
      </w:pPr>
      <w:r>
        <w:rPr>
          <w:lang w:val="es-ES_tradnl"/>
        </w:rPr>
        <w:tab/>
        <w:t>Luego, al presentarle el detalle de otra conversación entre él y una persona de nombre Marc</w:t>
      </w:r>
      <w:r>
        <w:rPr>
          <w:lang w:val="es-ES_tradnl"/>
        </w:rPr>
        <w:t>e</w:t>
      </w:r>
      <w:r>
        <w:rPr>
          <w:lang w:val="es-ES_tradnl"/>
        </w:rPr>
        <w:t>lo, contestó que no la reconocía.</w:t>
      </w:r>
    </w:p>
    <w:p w:rsidR="00224567" w:rsidRDefault="00224567">
      <w:pPr>
        <w:widowControl w:val="0"/>
        <w:rPr>
          <w:lang w:val="es-ES_tradnl"/>
        </w:rPr>
      </w:pPr>
      <w:r>
        <w:rPr>
          <w:lang w:val="es-ES_tradnl"/>
        </w:rPr>
        <w:tab/>
        <w:t>Expuesto el contenido de una comunic</w:t>
      </w:r>
      <w:r>
        <w:rPr>
          <w:lang w:val="es-ES_tradnl"/>
        </w:rPr>
        <w:t>a</w:t>
      </w:r>
      <w:r>
        <w:rPr>
          <w:lang w:val="es-ES_tradnl"/>
        </w:rPr>
        <w:t>ción del mismo día y abonado, registrada en la casete 58, entre él y un tal Marcelo negó identificarla; tampoco r</w:t>
      </w:r>
      <w:r>
        <w:rPr>
          <w:lang w:val="es-ES_tradnl"/>
        </w:rPr>
        <w:t>e</w:t>
      </w:r>
      <w:r>
        <w:rPr>
          <w:lang w:val="es-ES_tradnl"/>
        </w:rPr>
        <w:t>conoció las voces que escuchó.</w:t>
      </w:r>
    </w:p>
    <w:p w:rsidR="00224567" w:rsidRDefault="00224567">
      <w:pPr>
        <w:widowControl w:val="0"/>
        <w:rPr>
          <w:lang w:val="es-ES_tradnl"/>
        </w:rPr>
      </w:pPr>
      <w:r>
        <w:rPr>
          <w:lang w:val="es-ES_tradnl"/>
        </w:rPr>
        <w:tab/>
        <w:t>Señaló que no recordaba al comisario inspe</w:t>
      </w:r>
      <w:r>
        <w:rPr>
          <w:lang w:val="es-ES_tradnl"/>
        </w:rPr>
        <w:t>c</w:t>
      </w:r>
      <w:r>
        <w:rPr>
          <w:lang w:val="es-ES_tradnl"/>
        </w:rPr>
        <w:t>tor Carreño ni a una persona de apellido Sobico.</w:t>
      </w:r>
    </w:p>
    <w:p w:rsidR="00224567" w:rsidRDefault="00224567">
      <w:pPr>
        <w:widowControl w:val="0"/>
        <w:rPr>
          <w:lang w:val="es-ES_tradnl"/>
        </w:rPr>
      </w:pPr>
      <w:r>
        <w:rPr>
          <w:lang w:val="es-ES_tradnl"/>
        </w:rPr>
        <w:tab/>
        <w:t>No reconoció la transcripción de un diálogo entre él y Raúl Ibarra, del mismo abonado, regi</w:t>
      </w:r>
      <w:r>
        <w:rPr>
          <w:lang w:val="es-ES_tradnl"/>
        </w:rPr>
        <w:t>s</w:t>
      </w:r>
      <w:r>
        <w:rPr>
          <w:lang w:val="es-ES_tradnl"/>
        </w:rPr>
        <w:t>trado en la casete nº 63; respuesta que mantuvo luego de escucharlo. Tampoco recordó si conocía a algún mayor de nombre S</w:t>
      </w:r>
      <w:r>
        <w:rPr>
          <w:lang w:val="es-ES_tradnl"/>
        </w:rPr>
        <w:t>o</w:t>
      </w:r>
      <w:r>
        <w:rPr>
          <w:lang w:val="es-ES_tradnl"/>
        </w:rPr>
        <w:t>sa.</w:t>
      </w:r>
    </w:p>
    <w:p w:rsidR="00224567" w:rsidRDefault="00224567">
      <w:pPr>
        <w:widowControl w:val="0"/>
        <w:rPr>
          <w:lang w:val="es-ES_tradnl"/>
        </w:rPr>
      </w:pPr>
      <w:r>
        <w:rPr>
          <w:lang w:val="es-ES_tradnl"/>
        </w:rPr>
        <w:tab/>
        <w:t>En el mismo sentido se expresó con r</w:t>
      </w:r>
      <w:r>
        <w:rPr>
          <w:lang w:val="es-ES_tradnl"/>
        </w:rPr>
        <w:t>e</w:t>
      </w:r>
      <w:r>
        <w:rPr>
          <w:lang w:val="es-ES_tradnl"/>
        </w:rPr>
        <w:t>lación al contenido de otra conversación del 12 de julio de 1996 entre él y una persona del sexo masculino, regi</w:t>
      </w:r>
      <w:r>
        <w:rPr>
          <w:lang w:val="es-ES_tradnl"/>
        </w:rPr>
        <w:t>s</w:t>
      </w:r>
      <w:r>
        <w:rPr>
          <w:lang w:val="es-ES_tradnl"/>
        </w:rPr>
        <w:t>trada en la casete nº 63. Por lo tanto se procedió a su escucha y reflejó idént</w:t>
      </w:r>
      <w:r>
        <w:rPr>
          <w:lang w:val="es-ES_tradnl"/>
        </w:rPr>
        <w:t>i</w:t>
      </w:r>
      <w:r>
        <w:rPr>
          <w:lang w:val="es-ES_tradnl"/>
        </w:rPr>
        <w:t>ca impresión.</w:t>
      </w:r>
    </w:p>
    <w:p w:rsidR="00224567" w:rsidRDefault="00224567">
      <w:pPr>
        <w:widowControl w:val="0"/>
        <w:rPr>
          <w:lang w:val="es-ES_tradnl"/>
        </w:rPr>
      </w:pPr>
      <w:r>
        <w:rPr>
          <w:lang w:val="es-ES_tradnl"/>
        </w:rPr>
        <w:tab/>
        <w:t>Al exponerle el texto de un diálogo del mismo abonado, de fecha 12 de julio de 1996, entre él y una persona del sexo masculino, manifestó que no la r</w:t>
      </w:r>
      <w:r>
        <w:rPr>
          <w:lang w:val="es-ES_tradnl"/>
        </w:rPr>
        <w:t>e</w:t>
      </w:r>
      <w:r>
        <w:rPr>
          <w:lang w:val="es-ES_tradnl"/>
        </w:rPr>
        <w:t>conocía. La misma posición s</w:t>
      </w:r>
      <w:r>
        <w:rPr>
          <w:lang w:val="es-ES_tradnl"/>
        </w:rPr>
        <w:t>i</w:t>
      </w:r>
      <w:r>
        <w:rPr>
          <w:lang w:val="es-ES_tradnl"/>
        </w:rPr>
        <w:t>guió al escucharla (casete nº 65).</w:t>
      </w:r>
    </w:p>
    <w:p w:rsidR="00224567" w:rsidRDefault="00224567">
      <w:pPr>
        <w:widowControl w:val="0"/>
        <w:rPr>
          <w:lang w:val="es-ES_tradnl"/>
        </w:rPr>
      </w:pPr>
      <w:r>
        <w:rPr>
          <w:lang w:val="es-ES_tradnl"/>
        </w:rPr>
        <w:tab/>
        <w:t>Frente a la exhibición del det</w:t>
      </w:r>
      <w:r>
        <w:rPr>
          <w:lang w:val="es-ES_tradnl"/>
        </w:rPr>
        <w:t>a</w:t>
      </w:r>
      <w:r>
        <w:rPr>
          <w:lang w:val="es-ES_tradnl"/>
        </w:rPr>
        <w:t>lle de la c</w:t>
      </w:r>
      <w:r>
        <w:rPr>
          <w:lang w:val="es-ES_tradnl"/>
        </w:rPr>
        <w:t>o</w:t>
      </w:r>
      <w:r>
        <w:rPr>
          <w:lang w:val="es-ES_tradnl"/>
        </w:rPr>
        <w:t>municación del mismo abonado, de fecha 12 de julio de 1996, entre él y una persona del sexo masculino, m</w:t>
      </w:r>
      <w:r>
        <w:rPr>
          <w:lang w:val="es-ES_tradnl"/>
        </w:rPr>
        <w:t>a</w:t>
      </w:r>
      <w:r>
        <w:rPr>
          <w:lang w:val="es-ES_tradnl"/>
        </w:rPr>
        <w:t>nifestó que no la reconocía. Hizo lo propio cuando oyó esa grab</w:t>
      </w:r>
      <w:r>
        <w:rPr>
          <w:lang w:val="es-ES_tradnl"/>
        </w:rPr>
        <w:t>a</w:t>
      </w:r>
      <w:r>
        <w:rPr>
          <w:lang w:val="es-ES_tradnl"/>
        </w:rPr>
        <w:t>ción, registrada en la casete nº 64.</w:t>
      </w:r>
    </w:p>
    <w:p w:rsidR="00224567" w:rsidRDefault="00224567">
      <w:pPr>
        <w:widowControl w:val="0"/>
        <w:rPr>
          <w:lang w:val="es-ES_tradnl"/>
        </w:rPr>
      </w:pPr>
      <w:r>
        <w:rPr>
          <w:lang w:val="es-ES_tradnl"/>
        </w:rPr>
        <w:tab/>
        <w:t>Igual actitud asumió con relación a las transcripciones de dos conversaciones del mismo abon</w:t>
      </w:r>
      <w:r>
        <w:rPr>
          <w:lang w:val="es-ES_tradnl"/>
        </w:rPr>
        <w:t>a</w:t>
      </w:r>
      <w:r>
        <w:rPr>
          <w:lang w:val="es-ES_tradnl"/>
        </w:rPr>
        <w:t>do, de fecha 12 de julio de 1996, obrantes en la casete nº 66.</w:t>
      </w:r>
    </w:p>
    <w:p w:rsidR="00224567" w:rsidRDefault="00224567">
      <w:pPr>
        <w:widowControl w:val="0"/>
        <w:rPr>
          <w:lang w:val="es-ES_tradnl"/>
        </w:rPr>
      </w:pPr>
      <w:r>
        <w:rPr>
          <w:lang w:val="es-ES_tradnl"/>
        </w:rPr>
        <w:tab/>
        <w:t>Dijo que no recordaba haber esc</w:t>
      </w:r>
      <w:r>
        <w:rPr>
          <w:lang w:val="es-ES_tradnl"/>
        </w:rPr>
        <w:t>u</w:t>
      </w:r>
      <w:r>
        <w:rPr>
          <w:lang w:val="es-ES_tradnl"/>
        </w:rPr>
        <w:t>chado algo relativo a la causa “Baci”, aclarando que dicho dim</w:t>
      </w:r>
      <w:r>
        <w:rPr>
          <w:lang w:val="es-ES_tradnl"/>
        </w:rPr>
        <w:t>i</w:t>
      </w:r>
      <w:r>
        <w:rPr>
          <w:lang w:val="es-ES_tradnl"/>
        </w:rPr>
        <w:t>nutivo podía estar asociado o no con Bacigalupo; oficial que había sido el más perjudicado de su carr</w:t>
      </w:r>
      <w:r>
        <w:rPr>
          <w:lang w:val="es-ES_tradnl"/>
        </w:rPr>
        <w:t>e</w:t>
      </w:r>
      <w:r>
        <w:rPr>
          <w:lang w:val="es-ES_tradnl"/>
        </w:rPr>
        <w:t>ra, toda vez que debido al sumario administrativo relacionado con las fichas de Telleldín, su ascenso al grado de subcomisario fue postergado en dos oportunidades, en los años 1995 y 1996, al cuestionársele que no había remitido unas fichas dact</w:t>
      </w:r>
      <w:r>
        <w:rPr>
          <w:lang w:val="es-ES_tradnl"/>
        </w:rPr>
        <w:t>i</w:t>
      </w:r>
      <w:r>
        <w:rPr>
          <w:lang w:val="es-ES_tradnl"/>
        </w:rPr>
        <w:t xml:space="preserve">lares. </w:t>
      </w:r>
    </w:p>
    <w:p w:rsidR="00224567" w:rsidRDefault="00224567">
      <w:pPr>
        <w:widowControl w:val="0"/>
        <w:rPr>
          <w:lang w:val="es-ES_tradnl"/>
        </w:rPr>
      </w:pPr>
      <w:r>
        <w:rPr>
          <w:lang w:val="es-ES_tradnl"/>
        </w:rPr>
        <w:tab/>
        <w:t>Precisó que cada vez que se hablaba del sumario administrativo o de algo relacionado a ello, se lo nombraba como A.M.I.A. o algo similar.</w:t>
      </w:r>
    </w:p>
    <w:p w:rsidR="00224567" w:rsidRDefault="00224567">
      <w:pPr>
        <w:widowControl w:val="0"/>
        <w:rPr>
          <w:lang w:val="es-ES_tradnl"/>
        </w:rPr>
      </w:pPr>
      <w:r>
        <w:rPr>
          <w:lang w:val="es-ES_tradnl"/>
        </w:rPr>
        <w:tab/>
        <w:t>Expuesto el detalle de un diálogo del mismo abonado de fecha 28 de junio de 1996, efectuada e</w:t>
      </w:r>
      <w:r>
        <w:rPr>
          <w:lang w:val="es-ES_tradnl"/>
        </w:rPr>
        <w:t>n</w:t>
      </w:r>
      <w:r>
        <w:rPr>
          <w:lang w:val="es-ES_tradnl"/>
        </w:rPr>
        <w:t>tre él y un hombre, registrada en la casete nº 14, man</w:t>
      </w:r>
      <w:r>
        <w:rPr>
          <w:lang w:val="es-ES_tradnl"/>
        </w:rPr>
        <w:t>i</w:t>
      </w:r>
      <w:r>
        <w:rPr>
          <w:lang w:val="es-ES_tradnl"/>
        </w:rPr>
        <w:t>festó que no la reconocía. Hizo lo propio frente a su e</w:t>
      </w:r>
      <w:r>
        <w:rPr>
          <w:lang w:val="es-ES_tradnl"/>
        </w:rPr>
        <w:t>s</w:t>
      </w:r>
      <w:r>
        <w:rPr>
          <w:lang w:val="es-ES_tradnl"/>
        </w:rPr>
        <w:t>cucha.</w:t>
      </w:r>
    </w:p>
    <w:p w:rsidR="00224567" w:rsidRDefault="00224567">
      <w:pPr>
        <w:pStyle w:val="Sangra2detindependiente"/>
        <w:widowControl w:val="0"/>
        <w:spacing w:line="600" w:lineRule="auto"/>
        <w:ind w:firstLine="0"/>
      </w:pPr>
      <w:r>
        <w:tab/>
        <w:t>Después de mostrarle el texto de otra comun</w:t>
      </w:r>
      <w:r>
        <w:t>i</w:t>
      </w:r>
      <w:r>
        <w:t>cación del mismo abonado, registrada en la casete nº 11, efectuada el 27 de junio de 1996, entre él y Raúl Ibarra no la identificó. Tampoco lo hizo luego de su esc</w:t>
      </w:r>
      <w:r>
        <w:t>u</w:t>
      </w:r>
      <w:r>
        <w:t>cha.</w:t>
      </w:r>
    </w:p>
    <w:p w:rsidR="00224567" w:rsidRDefault="00224567">
      <w:pPr>
        <w:widowControl w:val="0"/>
        <w:rPr>
          <w:lang w:val="es-ES_tradnl"/>
        </w:rPr>
      </w:pPr>
      <w:r>
        <w:rPr>
          <w:lang w:val="es-ES_tradnl"/>
        </w:rPr>
        <w:tab/>
        <w:t>No recordó haber escuchado nombrar o tener conocimiento acerca del tema del Poll</w:t>
      </w:r>
      <w:r>
        <w:rPr>
          <w:lang w:val="es-ES_tradnl"/>
        </w:rPr>
        <w:t>i</w:t>
      </w:r>
      <w:r>
        <w:rPr>
          <w:lang w:val="es-ES_tradnl"/>
        </w:rPr>
        <w:t>to.</w:t>
      </w:r>
    </w:p>
    <w:p w:rsidR="00224567" w:rsidRDefault="00224567">
      <w:pPr>
        <w:widowControl w:val="0"/>
        <w:rPr>
          <w:lang w:val="es-ES_tradnl"/>
        </w:rPr>
      </w:pPr>
      <w:r>
        <w:rPr>
          <w:lang w:val="es-ES_tradnl"/>
        </w:rPr>
        <w:tab/>
        <w:t>Acto seguido, no identificó otra co</w:t>
      </w:r>
      <w:r>
        <w:rPr>
          <w:lang w:val="es-ES_tradnl"/>
        </w:rPr>
        <w:t>n</w:t>
      </w:r>
      <w:r>
        <w:rPr>
          <w:lang w:val="es-ES_tradnl"/>
        </w:rPr>
        <w:t>versación del mismo abonado, de fecha 2 de julio, regi</w:t>
      </w:r>
      <w:r>
        <w:rPr>
          <w:lang w:val="es-ES_tradnl"/>
        </w:rPr>
        <w:t>s</w:t>
      </w:r>
      <w:r>
        <w:rPr>
          <w:lang w:val="es-ES_tradnl"/>
        </w:rPr>
        <w:t>trada en el casete nº 22, ni luego de su reprodu</w:t>
      </w:r>
      <w:r>
        <w:rPr>
          <w:lang w:val="es-ES_tradnl"/>
        </w:rPr>
        <w:t>c</w:t>
      </w:r>
      <w:r>
        <w:rPr>
          <w:lang w:val="es-ES_tradnl"/>
        </w:rPr>
        <w:t>ción.</w:t>
      </w:r>
    </w:p>
    <w:p w:rsidR="00224567" w:rsidRDefault="00224567">
      <w:pPr>
        <w:widowControl w:val="0"/>
        <w:rPr>
          <w:lang w:val="es-ES_tradnl"/>
        </w:rPr>
      </w:pPr>
      <w:r>
        <w:rPr>
          <w:lang w:val="es-ES_tradnl"/>
        </w:rPr>
        <w:tab/>
        <w:t>No recordó si conocía a una persona apellidada Garello ni a una “causa de los c</w:t>
      </w:r>
      <w:r>
        <w:rPr>
          <w:lang w:val="es-ES_tradnl"/>
        </w:rPr>
        <w:t>o</w:t>
      </w:r>
      <w:r>
        <w:rPr>
          <w:lang w:val="es-ES_tradnl"/>
        </w:rPr>
        <w:t>lectivos”.</w:t>
      </w:r>
    </w:p>
    <w:p w:rsidR="00224567" w:rsidRDefault="00224567">
      <w:pPr>
        <w:pStyle w:val="Sangra2detindependiente"/>
        <w:widowControl w:val="0"/>
        <w:spacing w:line="600" w:lineRule="auto"/>
        <w:ind w:firstLine="0"/>
      </w:pPr>
      <w:r>
        <w:tab/>
        <w:t>Frente a la exposición del texto de otro di</w:t>
      </w:r>
      <w:r>
        <w:t>á</w:t>
      </w:r>
      <w:r>
        <w:t>logo entre el mismo abonado y una persona del sexo masc</w:t>
      </w:r>
      <w:r>
        <w:t>u</w:t>
      </w:r>
      <w:r>
        <w:t>lino, de fecha 27 de junio de 1996, registrado en la cas</w:t>
      </w:r>
      <w:r>
        <w:t>e</w:t>
      </w:r>
      <w:r>
        <w:t>te nº 12, entre él y un señor Taboada, refirió que no lo reconocía. Idéntica actitud asumió luego de escucharla.</w:t>
      </w:r>
    </w:p>
    <w:p w:rsidR="00224567" w:rsidRDefault="00224567">
      <w:pPr>
        <w:widowControl w:val="0"/>
        <w:rPr>
          <w:lang w:val="es-ES_tradnl"/>
        </w:rPr>
      </w:pPr>
      <w:r>
        <w:rPr>
          <w:lang w:val="es-ES_tradnl"/>
        </w:rPr>
        <w:tab/>
        <w:t>Afirmó conocer a una firma comercial de nombre “Cetoc”, manifestando que estaba r</w:t>
      </w:r>
      <w:r>
        <w:rPr>
          <w:lang w:val="es-ES_tradnl"/>
        </w:rPr>
        <w:t>e</w:t>
      </w:r>
      <w:r>
        <w:rPr>
          <w:lang w:val="es-ES_tradnl"/>
        </w:rPr>
        <w:t>lacionada con los blindajes de puertas de los patrulleros y que se est</w:t>
      </w:r>
      <w:r>
        <w:rPr>
          <w:lang w:val="es-ES_tradnl"/>
        </w:rPr>
        <w:t>a</w:t>
      </w:r>
      <w:r>
        <w:rPr>
          <w:lang w:val="es-ES_tradnl"/>
        </w:rPr>
        <w:t>ba gestionando la donación por parte de esa firma de las matrices, fórmulas y capacitación necesaria para la fabr</w:t>
      </w:r>
      <w:r>
        <w:rPr>
          <w:lang w:val="es-ES_tradnl"/>
        </w:rPr>
        <w:t>i</w:t>
      </w:r>
      <w:r>
        <w:rPr>
          <w:lang w:val="es-ES_tradnl"/>
        </w:rPr>
        <w:t xml:space="preserve">cación de esos blindajes, por parte de </w:t>
      </w:r>
      <w:smartTag w:uri="urn:schemas-microsoft-com:office:smarttags" w:element="PersonName">
        <w:smartTagPr>
          <w:attr w:name="ProductID" w:val="la Polic￭a Bonaerense"/>
        </w:smartTagPr>
        <w:r>
          <w:rPr>
            <w:lang w:val="es-ES_tradnl"/>
          </w:rPr>
          <w:t>la Policía Bona</w:t>
        </w:r>
        <w:r>
          <w:rPr>
            <w:lang w:val="es-ES_tradnl"/>
          </w:rPr>
          <w:t>e</w:t>
        </w:r>
        <w:r>
          <w:rPr>
            <w:lang w:val="es-ES_tradnl"/>
          </w:rPr>
          <w:t>rense</w:t>
        </w:r>
      </w:smartTag>
      <w:r>
        <w:rPr>
          <w:lang w:val="es-ES_tradnl"/>
        </w:rPr>
        <w:t>, siendo él quien recibiría, en r</w:t>
      </w:r>
      <w:r>
        <w:rPr>
          <w:lang w:val="es-ES_tradnl"/>
        </w:rPr>
        <w:t>e</w:t>
      </w:r>
      <w:r>
        <w:rPr>
          <w:lang w:val="es-ES_tradnl"/>
        </w:rPr>
        <w:t>presentación de la policía bonaerense, la donación al</w:t>
      </w:r>
      <w:r>
        <w:rPr>
          <w:lang w:val="es-ES_tradnl"/>
        </w:rPr>
        <w:t>u</w:t>
      </w:r>
      <w:r>
        <w:rPr>
          <w:lang w:val="es-ES_tradnl"/>
        </w:rPr>
        <w:t>dida.</w:t>
      </w:r>
    </w:p>
    <w:p w:rsidR="00224567" w:rsidRDefault="00224567">
      <w:pPr>
        <w:widowControl w:val="0"/>
        <w:rPr>
          <w:lang w:val="es-ES_tradnl"/>
        </w:rPr>
      </w:pPr>
      <w:r>
        <w:rPr>
          <w:lang w:val="es-ES_tradnl"/>
        </w:rPr>
        <w:tab/>
        <w:t>Al presentarle el detalle de otra c</w:t>
      </w:r>
      <w:r>
        <w:rPr>
          <w:lang w:val="es-ES_tradnl"/>
        </w:rPr>
        <w:t>o</w:t>
      </w:r>
      <w:r>
        <w:rPr>
          <w:lang w:val="es-ES_tradnl"/>
        </w:rPr>
        <w:t>municación entre él y una persona del sexo masculino, de fecha 26 de junio de 1996, registrada en la casete nº 10, refirió que no lo reconocía; desconocimiento que reiteró al escucharla.</w:t>
      </w:r>
    </w:p>
    <w:p w:rsidR="00224567" w:rsidRDefault="00224567">
      <w:pPr>
        <w:widowControl w:val="0"/>
        <w:rPr>
          <w:lang w:val="es-ES_tradnl"/>
        </w:rPr>
      </w:pPr>
      <w:r>
        <w:rPr>
          <w:lang w:val="es-ES_tradnl"/>
        </w:rPr>
        <w:tab/>
        <w:t>Luego de exhibírsele otra convers</w:t>
      </w:r>
      <w:r>
        <w:rPr>
          <w:lang w:val="es-ES_tradnl"/>
        </w:rPr>
        <w:t>a</w:t>
      </w:r>
      <w:r>
        <w:rPr>
          <w:lang w:val="es-ES_tradnl"/>
        </w:rPr>
        <w:t>ción del mismo abonado, de fecha 26 de junio de 1996, registr</w:t>
      </w:r>
      <w:r>
        <w:rPr>
          <w:lang w:val="es-ES_tradnl"/>
        </w:rPr>
        <w:t>a</w:t>
      </w:r>
      <w:r>
        <w:rPr>
          <w:lang w:val="es-ES_tradnl"/>
        </w:rPr>
        <w:t>da en la casete nº 10, negó identificarla. An</w:t>
      </w:r>
      <w:r>
        <w:rPr>
          <w:lang w:val="es-ES_tradnl"/>
        </w:rPr>
        <w:t>á</w:t>
      </w:r>
      <w:r>
        <w:rPr>
          <w:lang w:val="es-ES_tradnl"/>
        </w:rPr>
        <w:t>loga postura adoptó al escucharla.</w:t>
      </w:r>
    </w:p>
    <w:p w:rsidR="00224567" w:rsidRDefault="00224567">
      <w:pPr>
        <w:widowControl w:val="0"/>
        <w:rPr>
          <w:lang w:val="es-ES_tradnl"/>
        </w:rPr>
      </w:pPr>
      <w:r>
        <w:rPr>
          <w:lang w:val="es-ES_tradnl"/>
        </w:rPr>
        <w:tab/>
        <w:t>Idéntica respuesta birndó al exponé</w:t>
      </w:r>
      <w:r>
        <w:rPr>
          <w:lang w:val="es-ES_tradnl"/>
        </w:rPr>
        <w:t>r</w:t>
      </w:r>
      <w:r>
        <w:rPr>
          <w:lang w:val="es-ES_tradnl"/>
        </w:rPr>
        <w:t>sele el detalle de otro diálogo del mismo abonado, de f</w:t>
      </w:r>
      <w:r>
        <w:rPr>
          <w:lang w:val="es-ES_tradnl"/>
        </w:rPr>
        <w:t>e</w:t>
      </w:r>
      <w:r>
        <w:rPr>
          <w:lang w:val="es-ES_tradnl"/>
        </w:rPr>
        <w:t>cha 4 de julio de 1996, registrada en la casete nº 31, e</w:t>
      </w:r>
      <w:r>
        <w:rPr>
          <w:lang w:val="es-ES_tradnl"/>
        </w:rPr>
        <w:t>n</w:t>
      </w:r>
      <w:r>
        <w:rPr>
          <w:lang w:val="es-ES_tradnl"/>
        </w:rPr>
        <w:t>tre él y Raúl Torres, jefe del S.E.I.T.</w:t>
      </w:r>
    </w:p>
    <w:p w:rsidR="00224567" w:rsidRDefault="00224567">
      <w:pPr>
        <w:widowControl w:val="0"/>
        <w:rPr>
          <w:lang w:val="es-ES_tradnl"/>
        </w:rPr>
      </w:pPr>
      <w:r>
        <w:rPr>
          <w:lang w:val="es-ES_tradnl"/>
        </w:rPr>
        <w:tab/>
        <w:t>En la misma dirección se expresó de</w:t>
      </w:r>
      <w:r>
        <w:rPr>
          <w:lang w:val="es-ES_tradnl"/>
        </w:rPr>
        <w:t>s</w:t>
      </w:r>
      <w:r>
        <w:rPr>
          <w:lang w:val="es-ES_tradnl"/>
        </w:rPr>
        <w:t>pués de presentársele el texto de otra conversación del mismo abonado, de fecha 25 de junio de 1996, obrante en la casete nº 8.</w:t>
      </w:r>
    </w:p>
    <w:p w:rsidR="00224567" w:rsidRDefault="00224567">
      <w:pPr>
        <w:widowControl w:val="0"/>
        <w:rPr>
          <w:lang w:val="es-ES_tradnl"/>
        </w:rPr>
      </w:pPr>
      <w:r>
        <w:rPr>
          <w:lang w:val="es-ES_tradnl"/>
        </w:rPr>
        <w:tab/>
        <w:t>Tampoco reconoció el contenido de otra conversación del el mismo, de fecha 24 de junio de 1996, registrada en la casete nº 7 ni el diálogo de la comunic</w:t>
      </w:r>
      <w:r>
        <w:rPr>
          <w:lang w:val="es-ES_tradnl"/>
        </w:rPr>
        <w:t>a</w:t>
      </w:r>
      <w:r>
        <w:rPr>
          <w:lang w:val="es-ES_tradnl"/>
        </w:rPr>
        <w:t>ción del mismo abonado, de fecha 12 de julio de 1996, obrante en la casete nº 58.</w:t>
      </w:r>
    </w:p>
    <w:p w:rsidR="00224567" w:rsidRDefault="00224567">
      <w:pPr>
        <w:widowControl w:val="0"/>
        <w:rPr>
          <w:lang w:val="es-ES_tradnl"/>
        </w:rPr>
      </w:pPr>
      <w:r>
        <w:rPr>
          <w:lang w:val="es-ES_tradnl"/>
        </w:rPr>
        <w:tab/>
        <w:t>Exhibida la trascripción de otra co</w:t>
      </w:r>
      <w:r>
        <w:rPr>
          <w:lang w:val="es-ES_tradnl"/>
        </w:rPr>
        <w:t>n</w:t>
      </w:r>
      <w:r>
        <w:rPr>
          <w:lang w:val="es-ES_tradnl"/>
        </w:rPr>
        <w:t>versación entre el mismo abonado y una persona del sexo masculino, registrada en la casete nº 12, entre el decl</w:t>
      </w:r>
      <w:r>
        <w:rPr>
          <w:lang w:val="es-ES_tradnl"/>
        </w:rPr>
        <w:t>a</w:t>
      </w:r>
      <w:r>
        <w:rPr>
          <w:lang w:val="es-ES_tradnl"/>
        </w:rPr>
        <w:t>rante y Raúl Ibarra, no la reconoció como tampoco lo hizo al esc</w:t>
      </w:r>
      <w:r>
        <w:rPr>
          <w:lang w:val="es-ES_tradnl"/>
        </w:rPr>
        <w:t>u</w:t>
      </w:r>
      <w:r>
        <w:rPr>
          <w:lang w:val="es-ES_tradnl"/>
        </w:rPr>
        <w:t>charla.</w:t>
      </w:r>
    </w:p>
    <w:p w:rsidR="00224567" w:rsidRDefault="00224567">
      <w:pPr>
        <w:widowControl w:val="0"/>
        <w:rPr>
          <w:lang w:val="es-ES_tradnl"/>
        </w:rPr>
      </w:pPr>
      <w:r>
        <w:rPr>
          <w:lang w:val="es-ES_tradnl"/>
        </w:rPr>
        <w:tab/>
        <w:t>No recordó conocer o haber escuchado nombrar a alguna persona de nombre Aldo.</w:t>
      </w:r>
    </w:p>
    <w:p w:rsidR="00224567" w:rsidRDefault="00224567">
      <w:pPr>
        <w:widowControl w:val="0"/>
        <w:rPr>
          <w:lang w:val="es-ES_tradnl"/>
        </w:rPr>
      </w:pPr>
      <w:r>
        <w:rPr>
          <w:lang w:val="es-ES_tradnl"/>
        </w:rPr>
        <w:tab/>
        <w:t>Posteriormente, se procedió a la esc</w:t>
      </w:r>
      <w:r>
        <w:rPr>
          <w:lang w:val="es-ES_tradnl"/>
        </w:rPr>
        <w:t>u</w:t>
      </w:r>
      <w:r>
        <w:rPr>
          <w:lang w:val="es-ES_tradnl"/>
        </w:rPr>
        <w:t>cha de la casete nº 10, del 18 de julio de 1996, corre</w:t>
      </w:r>
      <w:r>
        <w:rPr>
          <w:lang w:val="es-ES_tradnl"/>
        </w:rPr>
        <w:t>s</w:t>
      </w:r>
      <w:r>
        <w:rPr>
          <w:lang w:val="es-ES_tradnl"/>
        </w:rPr>
        <w:t>pondiente al abonado nº 664-5988, que efectu</w:t>
      </w:r>
      <w:r>
        <w:rPr>
          <w:lang w:val="es-ES_tradnl"/>
        </w:rPr>
        <w:t>a</w:t>
      </w:r>
      <w:r>
        <w:rPr>
          <w:lang w:val="es-ES_tradnl"/>
        </w:rPr>
        <w:t>ba un llamado al nº 413-5976 (lado B), concretamente a la conversación realizada entre Juan Ionno y Juan Carlos Nicolau, en la que se hacía referencia a que “está localizado lo de T</w:t>
      </w:r>
      <w:r>
        <w:rPr>
          <w:lang w:val="es-ES_tradnl"/>
        </w:rPr>
        <w:t>i</w:t>
      </w:r>
      <w:r>
        <w:rPr>
          <w:lang w:val="es-ES_tradnl"/>
        </w:rPr>
        <w:t>gre” y la otra persona contestó “los que se llevaron el vehículo”. Al ser preguntado al re</w:t>
      </w:r>
      <w:r>
        <w:rPr>
          <w:lang w:val="es-ES_tradnl"/>
        </w:rPr>
        <w:t>s</w:t>
      </w:r>
      <w:r>
        <w:rPr>
          <w:lang w:val="es-ES_tradnl"/>
        </w:rPr>
        <w:t>pecto, Ribelli dijo que no reconocía las voces de la misma.</w:t>
      </w:r>
    </w:p>
    <w:p w:rsidR="00224567" w:rsidRDefault="00224567">
      <w:pPr>
        <w:widowControl w:val="0"/>
        <w:rPr>
          <w:lang w:val="es-ES_tradnl"/>
        </w:rPr>
      </w:pPr>
      <w:r>
        <w:rPr>
          <w:lang w:val="es-ES_tradnl"/>
        </w:rPr>
        <w:tab/>
        <w:t>Luego, afirmó que conocía a un subof</w:t>
      </w:r>
      <w:r>
        <w:rPr>
          <w:lang w:val="es-ES_tradnl"/>
        </w:rPr>
        <w:t>i</w:t>
      </w:r>
      <w:r>
        <w:rPr>
          <w:lang w:val="es-ES_tradnl"/>
        </w:rPr>
        <w:t xml:space="preserve">cial de nombre Nicolau que trabajaba en </w:t>
      </w:r>
      <w:smartTag w:uri="urn:schemas-microsoft-com:office:smarttags" w:element="PersonName">
        <w:smartTagPr>
          <w:attr w:name="ProductID" w:val="la Divisi￳n Sustracci￳n"/>
        </w:smartTagPr>
        <w:r>
          <w:rPr>
            <w:lang w:val="es-ES_tradnl"/>
          </w:rPr>
          <w:t>la División Su</w:t>
        </w:r>
        <w:r>
          <w:rPr>
            <w:lang w:val="es-ES_tradnl"/>
          </w:rPr>
          <w:t>s</w:t>
        </w:r>
        <w:r>
          <w:rPr>
            <w:lang w:val="es-ES_tradnl"/>
          </w:rPr>
          <w:t>tracción</w:t>
        </w:r>
      </w:smartTag>
      <w:r>
        <w:rPr>
          <w:lang w:val="es-ES_tradnl"/>
        </w:rPr>
        <w:t xml:space="preserve"> de Automotores de Vicente López, precisando que estaba dentro del grupo de suboficiales operativos, que trabajaba con él hace aproximadamente 18 años y s</w:t>
      </w:r>
      <w:r>
        <w:rPr>
          <w:lang w:val="es-ES_tradnl"/>
        </w:rPr>
        <w:t>a</w:t>
      </w:r>
      <w:r>
        <w:rPr>
          <w:lang w:val="es-ES_tradnl"/>
        </w:rPr>
        <w:t>bía que desde que se unió en p</w:t>
      </w:r>
      <w:r>
        <w:rPr>
          <w:lang w:val="es-ES_tradnl"/>
        </w:rPr>
        <w:t>a</w:t>
      </w:r>
      <w:r>
        <w:rPr>
          <w:lang w:val="es-ES_tradnl"/>
        </w:rPr>
        <w:t>reja con una señora de San Miguel, con la que tenía una hija de dos años –al momento de la declar</w:t>
      </w:r>
      <w:r>
        <w:rPr>
          <w:lang w:val="es-ES_tradnl"/>
        </w:rPr>
        <w:t>a</w:t>
      </w:r>
      <w:r>
        <w:rPr>
          <w:lang w:val="es-ES_tradnl"/>
        </w:rPr>
        <w:t>ción-, comenzó a frecuentar esa zona, hasta que se mudó hacía unos cuantos meses.</w:t>
      </w:r>
    </w:p>
    <w:p w:rsidR="00224567" w:rsidRDefault="00224567">
      <w:pPr>
        <w:widowControl w:val="0"/>
        <w:rPr>
          <w:lang w:val="es-ES_tradnl"/>
        </w:rPr>
      </w:pPr>
      <w:r>
        <w:rPr>
          <w:lang w:val="es-ES_tradnl"/>
        </w:rPr>
        <w:tab/>
        <w:t>Además, comentó que en el mes de j</w:t>
      </w:r>
      <w:r>
        <w:rPr>
          <w:lang w:val="es-ES_tradnl"/>
        </w:rPr>
        <w:t>u</w:t>
      </w:r>
      <w:r>
        <w:rPr>
          <w:lang w:val="es-ES_tradnl"/>
        </w:rPr>
        <w:t xml:space="preserve">lio de 1994 Nicolau era uno de los suboficiales que realizaba tareas operativas en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nús.</w:t>
      </w:r>
    </w:p>
    <w:p w:rsidR="00224567" w:rsidRDefault="00224567">
      <w:pPr>
        <w:widowControl w:val="0"/>
        <w:rPr>
          <w:lang w:val="es-ES_tradnl"/>
        </w:rPr>
      </w:pPr>
      <w:r>
        <w:rPr>
          <w:lang w:val="es-ES_tradnl"/>
        </w:rPr>
        <w:tab/>
        <w:t>Asimismo, destacó que Ionno era un m</w:t>
      </w:r>
      <w:r>
        <w:rPr>
          <w:lang w:val="es-ES_tradnl"/>
        </w:rPr>
        <w:t>u</w:t>
      </w:r>
      <w:r>
        <w:rPr>
          <w:lang w:val="es-ES_tradnl"/>
        </w:rPr>
        <w:t>chacho que poseía una joyería en Lanús, y que él era el padrino de una de sus hijas, existiendo una relación de tipo f</w:t>
      </w:r>
      <w:r>
        <w:rPr>
          <w:lang w:val="es-ES_tradnl"/>
        </w:rPr>
        <w:t>a</w:t>
      </w:r>
      <w:r>
        <w:rPr>
          <w:lang w:val="es-ES_tradnl"/>
        </w:rPr>
        <w:t>miliar.</w:t>
      </w:r>
    </w:p>
    <w:p w:rsidR="00224567" w:rsidRDefault="00224567">
      <w:pPr>
        <w:widowControl w:val="0"/>
        <w:rPr>
          <w:lang w:val="es-ES_tradnl"/>
        </w:rPr>
      </w:pPr>
      <w:r>
        <w:rPr>
          <w:lang w:val="es-ES_tradnl"/>
        </w:rPr>
        <w:tab/>
        <w:t xml:space="preserve">Por otra parte, manifestó desconocer la titularidad del abonado nº 664-5988. </w:t>
      </w:r>
    </w:p>
    <w:p w:rsidR="00224567" w:rsidRDefault="00224567">
      <w:pPr>
        <w:widowControl w:val="0"/>
        <w:rPr>
          <w:lang w:val="es-ES_tradnl"/>
        </w:rPr>
      </w:pPr>
      <w:r>
        <w:rPr>
          <w:lang w:val="es-ES_tradnl"/>
        </w:rPr>
        <w:tab/>
        <w:t>Seguidamente se le exhibieron los d</w:t>
      </w:r>
      <w:r>
        <w:rPr>
          <w:lang w:val="es-ES_tradnl"/>
        </w:rPr>
        <w:t>e</w:t>
      </w:r>
      <w:r>
        <w:rPr>
          <w:lang w:val="es-ES_tradnl"/>
        </w:rPr>
        <w:t>talles de llamadas certificadas por la actuaria, efectu</w:t>
      </w:r>
      <w:r>
        <w:rPr>
          <w:lang w:val="es-ES_tradnl"/>
        </w:rPr>
        <w:t>a</w:t>
      </w:r>
      <w:r>
        <w:rPr>
          <w:lang w:val="es-ES_tradnl"/>
        </w:rPr>
        <w:t>das por los abonados 412-6165 y 412-4179 al domicilio pa</w:t>
      </w:r>
      <w:r>
        <w:rPr>
          <w:lang w:val="es-ES_tradnl"/>
        </w:rPr>
        <w:t>r</w:t>
      </w:r>
      <w:r>
        <w:rPr>
          <w:lang w:val="es-ES_tradnl"/>
        </w:rPr>
        <w:t>ticular de Telleldín (768-0902), con fecha 4 de abril de 1994.</w:t>
      </w:r>
    </w:p>
    <w:p w:rsidR="00224567" w:rsidRDefault="00224567">
      <w:pPr>
        <w:widowControl w:val="0"/>
        <w:rPr>
          <w:lang w:val="es-ES_tradnl"/>
        </w:rPr>
      </w:pPr>
      <w:r>
        <w:rPr>
          <w:lang w:val="es-ES_tradnl"/>
        </w:rPr>
        <w:tab/>
        <w:t>También se le mostró el detalle de dos llamadas efectuadas al teléfono de Telleldín, m</w:t>
      </w:r>
      <w:r>
        <w:rPr>
          <w:lang w:val="es-ES_tradnl"/>
        </w:rPr>
        <w:t>e</w:t>
      </w:r>
      <w:r>
        <w:rPr>
          <w:lang w:val="es-ES_tradnl"/>
        </w:rPr>
        <w:t>diante el ab</w:t>
      </w:r>
      <w:r>
        <w:rPr>
          <w:lang w:val="es-ES_tradnl"/>
        </w:rPr>
        <w:t>o</w:t>
      </w:r>
      <w:r>
        <w:rPr>
          <w:lang w:val="es-ES_tradnl"/>
        </w:rPr>
        <w:t>nado 448-0447 con fecha 28 de mayo de 1994, así como el detalle de los teléfonos de la empresa Movicom que oper</w:t>
      </w:r>
      <w:r>
        <w:rPr>
          <w:lang w:val="es-ES_tradnl"/>
        </w:rPr>
        <w:t>a</w:t>
      </w:r>
      <w:r>
        <w:rPr>
          <w:lang w:val="es-ES_tradnl"/>
        </w:rPr>
        <w:t>ron en las celdas 13 y 35 en el mes de julio de 1994.</w:t>
      </w:r>
    </w:p>
    <w:p w:rsidR="00224567" w:rsidRDefault="00224567">
      <w:pPr>
        <w:widowControl w:val="0"/>
        <w:rPr>
          <w:lang w:val="es-ES_tradnl"/>
        </w:rPr>
      </w:pPr>
      <w:r>
        <w:rPr>
          <w:lang w:val="es-ES_tradnl"/>
        </w:rPr>
        <w:tab/>
        <w:t>Al respecto, Ribelli refirió que no recordaba los números de teléfonos de la empresa Movicom que tenía, asegurando que dichos números no los utilizaba él.</w:t>
      </w:r>
    </w:p>
    <w:p w:rsidR="00224567" w:rsidRDefault="00224567">
      <w:pPr>
        <w:widowControl w:val="0"/>
        <w:rPr>
          <w:lang w:val="es-ES_tradnl"/>
        </w:rPr>
      </w:pPr>
      <w:r>
        <w:rPr>
          <w:lang w:val="es-ES_tradnl"/>
        </w:rPr>
        <w:tab/>
        <w:t>En cuanto a los teléfonos celulares que existían o existieron a su nombre, expresó que no r</w:t>
      </w:r>
      <w:r>
        <w:rPr>
          <w:lang w:val="es-ES_tradnl"/>
        </w:rPr>
        <w:t>e</w:t>
      </w:r>
      <w:r>
        <w:rPr>
          <w:lang w:val="es-ES_tradnl"/>
        </w:rPr>
        <w:t>cordaba exactamente la totalidad, ni los números de los mismos; tampoco recordó quién hacía uso de sus t</w:t>
      </w:r>
      <w:r>
        <w:rPr>
          <w:lang w:val="es-ES_tradnl"/>
        </w:rPr>
        <w:t>e</w:t>
      </w:r>
      <w:r>
        <w:rPr>
          <w:lang w:val="es-ES_tradnl"/>
        </w:rPr>
        <w:t>léfonos.</w:t>
      </w:r>
    </w:p>
    <w:p w:rsidR="00224567" w:rsidRDefault="00224567">
      <w:pPr>
        <w:pStyle w:val="Sangradetextonormal"/>
        <w:widowControl w:val="0"/>
        <w:ind w:firstLine="0"/>
      </w:pPr>
      <w:r>
        <w:tab/>
        <w:t>En este punto, explicó que a tr</w:t>
      </w:r>
      <w:r>
        <w:t>a</w:t>
      </w:r>
      <w:r>
        <w:t>vés de su cuenta podía obtener mejores precios con respecto a los planes de uso y a los minutos que se les brind</w:t>
      </w:r>
      <w:r>
        <w:t>a</w:t>
      </w:r>
      <w:r>
        <w:t>ban.</w:t>
      </w:r>
    </w:p>
    <w:p w:rsidR="00224567" w:rsidRDefault="00224567">
      <w:pPr>
        <w:widowControl w:val="0"/>
        <w:rPr>
          <w:lang w:val="es-ES_tradnl"/>
        </w:rPr>
      </w:pPr>
      <w:r>
        <w:rPr>
          <w:lang w:val="es-ES_tradnl"/>
        </w:rPr>
        <w:tab/>
        <w:t>Con relación a los listados exhib</w:t>
      </w:r>
      <w:r>
        <w:rPr>
          <w:lang w:val="es-ES_tradnl"/>
        </w:rPr>
        <w:t>i</w:t>
      </w:r>
      <w:r>
        <w:rPr>
          <w:lang w:val="es-ES_tradnl"/>
        </w:rPr>
        <w:t>dos, dijo que tendría que hacer memoria para s</w:t>
      </w:r>
      <w:r>
        <w:rPr>
          <w:lang w:val="es-ES_tradnl"/>
        </w:rPr>
        <w:t>a</w:t>
      </w:r>
      <w:r>
        <w:rPr>
          <w:lang w:val="es-ES_tradnl"/>
        </w:rPr>
        <w:t>ber quien usaba cada Movicom y, con respecto a la celda, sostuvo que no recordaba en que lugares había estado hacía dos años –desde la declaración-, reiterando que en ningún momento estuvo rondando por la casa de T</w:t>
      </w:r>
      <w:r>
        <w:rPr>
          <w:lang w:val="es-ES_tradnl"/>
        </w:rPr>
        <w:t>e</w:t>
      </w:r>
      <w:r>
        <w:rPr>
          <w:lang w:val="es-ES_tradnl"/>
        </w:rPr>
        <w:t>lleldín.</w:t>
      </w:r>
    </w:p>
    <w:p w:rsidR="00224567" w:rsidRDefault="00224567">
      <w:pPr>
        <w:widowControl w:val="0"/>
        <w:rPr>
          <w:lang w:val="es-ES_tradnl"/>
        </w:rPr>
      </w:pPr>
      <w:r>
        <w:rPr>
          <w:lang w:val="es-ES_tradnl"/>
        </w:rPr>
        <w:tab/>
        <w:t>Nuevamente Ribelli prestó decl</w:t>
      </w:r>
      <w:r>
        <w:rPr>
          <w:lang w:val="es-ES_tradnl"/>
        </w:rPr>
        <w:t>a</w:t>
      </w:r>
      <w:r>
        <w:rPr>
          <w:lang w:val="es-ES_tradnl"/>
        </w:rPr>
        <w:t>ración indagatoria a fs. 41.937/41.948, aclarando que dicha a</w:t>
      </w:r>
      <w:r>
        <w:rPr>
          <w:lang w:val="es-ES_tradnl"/>
        </w:rPr>
        <w:t>m</w:t>
      </w:r>
      <w:r>
        <w:rPr>
          <w:lang w:val="es-ES_tradnl"/>
        </w:rPr>
        <w:t>pliación no se correspondía con la ruptura de un pa</w:t>
      </w:r>
      <w:r>
        <w:rPr>
          <w:lang w:val="es-ES_tradnl"/>
        </w:rPr>
        <w:t>c</w:t>
      </w:r>
      <w:r>
        <w:rPr>
          <w:lang w:val="es-ES_tradnl"/>
        </w:rPr>
        <w:t>to de silencio al que hacían referencia varios medios periodí</w:t>
      </w:r>
      <w:r>
        <w:rPr>
          <w:lang w:val="es-ES_tradnl"/>
        </w:rPr>
        <w:t>s</w:t>
      </w:r>
      <w:r>
        <w:rPr>
          <w:lang w:val="es-ES_tradnl"/>
        </w:rPr>
        <w:t>ticos, ya que aquel nunca había existido.</w:t>
      </w:r>
    </w:p>
    <w:p w:rsidR="00224567" w:rsidRDefault="00224567">
      <w:pPr>
        <w:widowControl w:val="0"/>
        <w:rPr>
          <w:lang w:val="es-ES_tradnl"/>
        </w:rPr>
      </w:pPr>
      <w:r>
        <w:rPr>
          <w:lang w:val="es-ES_tradnl"/>
        </w:rPr>
        <w:tab/>
        <w:t>Manifestó que el no haber podido co</w:t>
      </w:r>
      <w:r>
        <w:rPr>
          <w:lang w:val="es-ES_tradnl"/>
        </w:rPr>
        <w:t>n</w:t>
      </w:r>
      <w:r>
        <w:rPr>
          <w:lang w:val="es-ES_tradnl"/>
        </w:rPr>
        <w:t>currir antes se debió a que el conseguir direcciones, f</w:t>
      </w:r>
      <w:r>
        <w:rPr>
          <w:lang w:val="es-ES_tradnl"/>
        </w:rPr>
        <w:t>e</w:t>
      </w:r>
      <w:r>
        <w:rPr>
          <w:lang w:val="es-ES_tradnl"/>
        </w:rPr>
        <w:t>chas y tratar de recordar circunstancias de hacía tres años (de la declaración) se le había hecho muy dificult</w:t>
      </w:r>
      <w:r>
        <w:rPr>
          <w:lang w:val="es-ES_tradnl"/>
        </w:rPr>
        <w:t>o</w:t>
      </w:r>
      <w:r>
        <w:rPr>
          <w:lang w:val="es-ES_tradnl"/>
        </w:rPr>
        <w:t>so.</w:t>
      </w:r>
    </w:p>
    <w:p w:rsidR="00224567" w:rsidRDefault="00224567">
      <w:pPr>
        <w:widowControl w:val="0"/>
        <w:rPr>
          <w:lang w:val="es-ES_tradnl"/>
        </w:rPr>
      </w:pPr>
      <w:r>
        <w:rPr>
          <w:lang w:val="es-ES_tradnl"/>
        </w:rPr>
        <w:tab/>
        <w:t>Señaló que profesaba la religión cat</w:t>
      </w:r>
      <w:r>
        <w:rPr>
          <w:lang w:val="es-ES_tradnl"/>
        </w:rPr>
        <w:t>ó</w:t>
      </w:r>
      <w:r>
        <w:rPr>
          <w:lang w:val="es-ES_tradnl"/>
        </w:rPr>
        <w:t>lica apostólica r</w:t>
      </w:r>
      <w:r>
        <w:rPr>
          <w:lang w:val="es-ES_tradnl"/>
        </w:rPr>
        <w:t>o</w:t>
      </w:r>
      <w:r>
        <w:rPr>
          <w:lang w:val="es-ES_tradnl"/>
        </w:rPr>
        <w:t>mana desde los primeros años de su vida y hasta el momento de la declaración. En consecuencia so</w:t>
      </w:r>
      <w:r>
        <w:rPr>
          <w:lang w:val="es-ES_tradnl"/>
        </w:rPr>
        <w:t>s</w:t>
      </w:r>
      <w:r>
        <w:rPr>
          <w:lang w:val="es-ES_tradnl"/>
        </w:rPr>
        <w:t>tuvo que no existía en su persona ningún tipo de odio r</w:t>
      </w:r>
      <w:r>
        <w:rPr>
          <w:lang w:val="es-ES_tradnl"/>
        </w:rPr>
        <w:t>a</w:t>
      </w:r>
      <w:r>
        <w:rPr>
          <w:lang w:val="es-ES_tradnl"/>
        </w:rPr>
        <w:t>cial, ni signos de discrimin</w:t>
      </w:r>
      <w:r>
        <w:rPr>
          <w:lang w:val="es-ES_tradnl"/>
        </w:rPr>
        <w:t>a</w:t>
      </w:r>
      <w:r>
        <w:rPr>
          <w:lang w:val="es-ES_tradnl"/>
        </w:rPr>
        <w:t>ción hacia persona alguna.</w:t>
      </w:r>
    </w:p>
    <w:p w:rsidR="00224567" w:rsidRDefault="00224567">
      <w:pPr>
        <w:widowControl w:val="0"/>
        <w:rPr>
          <w:lang w:val="es-ES_tradnl"/>
        </w:rPr>
      </w:pPr>
      <w:r>
        <w:rPr>
          <w:lang w:val="es-ES_tradnl"/>
        </w:rPr>
        <w:tab/>
        <w:t>Hizo entrega como anexo A de una fot</w:t>
      </w:r>
      <w:r>
        <w:rPr>
          <w:lang w:val="es-ES_tradnl"/>
        </w:rPr>
        <w:t>o</w:t>
      </w:r>
      <w:r>
        <w:rPr>
          <w:lang w:val="es-ES_tradnl"/>
        </w:rPr>
        <w:t>copia de una carta de su padre, que estaba próximo a cu</w:t>
      </w:r>
      <w:r>
        <w:rPr>
          <w:lang w:val="es-ES_tradnl"/>
        </w:rPr>
        <w:t>m</w:t>
      </w:r>
      <w:r>
        <w:rPr>
          <w:lang w:val="es-ES_tradnl"/>
        </w:rPr>
        <w:t>plir los 90 años y fue el principal pilar en la religión que profesaba.</w:t>
      </w:r>
    </w:p>
    <w:p w:rsidR="00224567" w:rsidRDefault="00224567">
      <w:pPr>
        <w:widowControl w:val="0"/>
        <w:rPr>
          <w:lang w:val="es-ES_tradnl"/>
        </w:rPr>
      </w:pPr>
      <w:r>
        <w:rPr>
          <w:lang w:val="es-ES_tradnl"/>
        </w:rPr>
        <w:tab/>
        <w:t>Comentó que cursó estudios primarios en colegios religiosos y el secundario en el Liceo Pol</w:t>
      </w:r>
      <w:r>
        <w:rPr>
          <w:lang w:val="es-ES_tradnl"/>
        </w:rPr>
        <w:t>i</w:t>
      </w:r>
      <w:r>
        <w:rPr>
          <w:lang w:val="es-ES_tradnl"/>
        </w:rPr>
        <w:t xml:space="preserve">cial de </w:t>
      </w:r>
      <w:smartTag w:uri="urn:schemas-microsoft-com:office:smarttags" w:element="PersonName">
        <w:smartTagPr>
          <w:attr w:name="ProductID" w:val="la Polic￭a"/>
        </w:smartTagPr>
        <w:r>
          <w:rPr>
            <w:lang w:val="es-ES_tradnl"/>
          </w:rPr>
          <w:t>la Policía</w:t>
        </w:r>
      </w:smartTag>
      <w:r>
        <w:rPr>
          <w:lang w:val="es-ES_tradnl"/>
        </w:rPr>
        <w:t xml:space="preserve"> de </w:t>
      </w:r>
      <w:smartTag w:uri="urn:schemas-microsoft-com:office:smarttags" w:element="PersonName">
        <w:smartTagPr>
          <w:attr w:name="ProductID" w:val="la Provincia"/>
        </w:smartTagPr>
        <w:r>
          <w:rPr>
            <w:lang w:val="es-ES_tradnl"/>
          </w:rPr>
          <w:t>la Provincia</w:t>
        </w:r>
      </w:smartTag>
      <w:r>
        <w:rPr>
          <w:lang w:val="es-ES_tradnl"/>
        </w:rPr>
        <w:t xml:space="preserve"> de Bu</w:t>
      </w:r>
      <w:r>
        <w:rPr>
          <w:lang w:val="es-ES_tradnl"/>
        </w:rPr>
        <w:t>e</w:t>
      </w:r>
      <w:r>
        <w:rPr>
          <w:lang w:val="es-ES_tradnl"/>
        </w:rPr>
        <w:t>nos Aires, donde fue egresado de la séptima prom</w:t>
      </w:r>
      <w:r>
        <w:rPr>
          <w:lang w:val="es-ES_tradnl"/>
        </w:rPr>
        <w:t>o</w:t>
      </w:r>
      <w:r>
        <w:rPr>
          <w:lang w:val="es-ES_tradnl"/>
        </w:rPr>
        <w:t>ción.</w:t>
      </w:r>
    </w:p>
    <w:p w:rsidR="00224567" w:rsidRDefault="00224567">
      <w:pPr>
        <w:widowControl w:val="0"/>
        <w:rPr>
          <w:lang w:val="es-ES_tradnl"/>
        </w:rPr>
      </w:pPr>
      <w:r>
        <w:rPr>
          <w:lang w:val="es-ES_tradnl"/>
        </w:rPr>
        <w:tab/>
        <w:t xml:space="preserve">Luego, dijo que estudió en </w:t>
      </w:r>
      <w:smartTag w:uri="urn:schemas-microsoft-com:office:smarttags" w:element="PersonName">
        <w:smartTagPr>
          <w:attr w:name="ProductID" w:val="la Escuela"/>
        </w:smartTagPr>
        <w:r>
          <w:rPr>
            <w:lang w:val="es-ES_tradnl"/>
          </w:rPr>
          <w:t>la E</w:t>
        </w:r>
        <w:r>
          <w:rPr>
            <w:lang w:val="es-ES_tradnl"/>
          </w:rPr>
          <w:t>s</w:t>
        </w:r>
        <w:r>
          <w:rPr>
            <w:lang w:val="es-ES_tradnl"/>
          </w:rPr>
          <w:t>cuela</w:t>
        </w:r>
      </w:smartTag>
      <w:r>
        <w:rPr>
          <w:lang w:val="es-ES_tradnl"/>
        </w:rPr>
        <w:t xml:space="preserve"> de Policía Juan Vucetich, donde egresó como oficial sub</w:t>
      </w:r>
      <w:r>
        <w:rPr>
          <w:lang w:val="es-ES_tradnl"/>
        </w:rPr>
        <w:t>a</w:t>
      </w:r>
      <w:r>
        <w:rPr>
          <w:lang w:val="es-ES_tradnl"/>
        </w:rPr>
        <w:t>yudante.</w:t>
      </w:r>
    </w:p>
    <w:p w:rsidR="00224567" w:rsidRDefault="00224567">
      <w:pPr>
        <w:widowControl w:val="0"/>
        <w:rPr>
          <w:lang w:val="es-ES_tradnl"/>
        </w:rPr>
      </w:pPr>
      <w:r>
        <w:rPr>
          <w:lang w:val="es-ES_tradnl"/>
        </w:rPr>
        <w:tab/>
        <w:t>Entregó como anexo B un detalle de f</w:t>
      </w:r>
      <w:r>
        <w:rPr>
          <w:lang w:val="es-ES_tradnl"/>
        </w:rPr>
        <w:t>e</w:t>
      </w:r>
      <w:r>
        <w:rPr>
          <w:lang w:val="es-ES_tradnl"/>
        </w:rPr>
        <w:t xml:space="preserve">licitaciones, diplomas, medallas, constancias de cursos, que se fueron acumulando a lo largo de los años que se desempeñó en </w:t>
      </w:r>
      <w:smartTag w:uri="urn:schemas-microsoft-com:office:smarttags" w:element="PersonName">
        <w:smartTagPr>
          <w:attr w:name="ProductID" w:val="la Polic￭a Bonaerense"/>
        </w:smartTagPr>
        <w:r>
          <w:rPr>
            <w:lang w:val="es-ES_tradnl"/>
          </w:rPr>
          <w:t>la Policía Bonaerense</w:t>
        </w:r>
      </w:smartTag>
      <w:r>
        <w:rPr>
          <w:lang w:val="es-ES_tradnl"/>
        </w:rPr>
        <w:t>, todo ello en fotocopia y detallados como anexo B 1 y subs</w:t>
      </w:r>
      <w:r>
        <w:rPr>
          <w:lang w:val="es-ES_tradnl"/>
        </w:rPr>
        <w:t>i</w:t>
      </w:r>
      <w:r>
        <w:rPr>
          <w:lang w:val="es-ES_tradnl"/>
        </w:rPr>
        <w:t>guientes hasta el B 37.</w:t>
      </w:r>
    </w:p>
    <w:p w:rsidR="00224567" w:rsidRDefault="00224567">
      <w:pPr>
        <w:widowControl w:val="0"/>
        <w:rPr>
          <w:lang w:val="es-ES_tradnl"/>
        </w:rPr>
      </w:pPr>
      <w:r>
        <w:rPr>
          <w:lang w:val="es-ES_tradnl"/>
        </w:rPr>
        <w:tab/>
        <w:t>Explicó que la preocupación que exi</w:t>
      </w:r>
      <w:r>
        <w:rPr>
          <w:lang w:val="es-ES_tradnl"/>
        </w:rPr>
        <w:t>s</w:t>
      </w:r>
      <w:r>
        <w:rPr>
          <w:lang w:val="es-ES_tradnl"/>
        </w:rPr>
        <w:t>tió entre varios funcionarios policiales por una invest</w:t>
      </w:r>
      <w:r>
        <w:rPr>
          <w:lang w:val="es-ES_tradnl"/>
        </w:rPr>
        <w:t>i</w:t>
      </w:r>
      <w:r>
        <w:rPr>
          <w:lang w:val="es-ES_tradnl"/>
        </w:rPr>
        <w:t xml:space="preserve">gación administrativa ligada a una judicial, relacionada con la causa A.M.I.A., se debió a la publicación de la edición del diario “Página </w:t>
      </w:r>
      <w:smartTag w:uri="urn:schemas-microsoft-com:office:smarttags" w:element="metricconverter">
        <w:smartTagPr>
          <w:attr w:name="ProductID" w:val="12”"/>
        </w:smartTagPr>
        <w:r>
          <w:rPr>
            <w:lang w:val="es-ES_tradnl"/>
          </w:rPr>
          <w:t>12”</w:t>
        </w:r>
      </w:smartTag>
      <w:r>
        <w:rPr>
          <w:lang w:val="es-ES_tradnl"/>
        </w:rPr>
        <w:t xml:space="preserve"> del 16 de julio de 1995 de una entrevista a T</w:t>
      </w:r>
      <w:r>
        <w:rPr>
          <w:lang w:val="es-ES_tradnl"/>
        </w:rPr>
        <w:t>e</w:t>
      </w:r>
      <w:r>
        <w:rPr>
          <w:lang w:val="es-ES_tradnl"/>
        </w:rPr>
        <w:t xml:space="preserve">lleldín, la cual aportó como anexo C 1 y C 2, en la que éste afirmó que entregó una moto, tres vehículos y 5000 dólares a </w:t>
      </w:r>
      <w:smartTag w:uri="urn:schemas-microsoft-com:office:smarttags" w:element="PersonName">
        <w:smartTagPr>
          <w:attr w:name="ProductID" w:val="la Brigada"/>
        </w:smartTagPr>
        <w:r>
          <w:rPr>
            <w:lang w:val="es-ES_tradnl"/>
          </w:rPr>
          <w:t>la Brigada</w:t>
        </w:r>
      </w:smartTag>
      <w:r>
        <w:rPr>
          <w:lang w:val="es-ES_tradnl"/>
        </w:rPr>
        <w:t xml:space="preserve"> de Lanús; circun</w:t>
      </w:r>
      <w:r>
        <w:rPr>
          <w:lang w:val="es-ES_tradnl"/>
        </w:rPr>
        <w:t>s</w:t>
      </w:r>
      <w:r>
        <w:rPr>
          <w:lang w:val="es-ES_tradnl"/>
        </w:rPr>
        <w:t>tancia que subrayó en rojo en el anexo C 1.</w:t>
      </w:r>
    </w:p>
    <w:p w:rsidR="00224567" w:rsidRDefault="00224567">
      <w:pPr>
        <w:widowControl w:val="0"/>
        <w:rPr>
          <w:lang w:val="es-ES_tradnl"/>
        </w:rPr>
      </w:pPr>
      <w:r>
        <w:rPr>
          <w:lang w:val="es-ES_tradnl"/>
        </w:rPr>
        <w:tab/>
        <w:t>En cuanto a las actuaciones admini</w:t>
      </w:r>
      <w:r>
        <w:rPr>
          <w:lang w:val="es-ES_tradnl"/>
        </w:rPr>
        <w:t>s</w:t>
      </w:r>
      <w:r>
        <w:rPr>
          <w:lang w:val="es-ES_tradnl"/>
        </w:rPr>
        <w:t xml:space="preserve">trativas, reiteró que siempre se habló de éstas como la causa A.M.I.A., porque en múltiples diligencias que se llevaron a cabo, </w:t>
      </w:r>
      <w:smartTag w:uri="urn:schemas-microsoft-com:office:smarttags" w:element="PersonName">
        <w:smartTagPr>
          <w:attr w:name="ProductID" w:val="la Direcci￳n General"/>
        </w:smartTagPr>
        <w:r>
          <w:rPr>
            <w:lang w:val="es-ES_tradnl"/>
          </w:rPr>
          <w:t>la Dirección General</w:t>
        </w:r>
      </w:smartTag>
      <w:r>
        <w:rPr>
          <w:lang w:val="es-ES_tradnl"/>
        </w:rPr>
        <w:t xml:space="preserve"> de Asuntos Judici</w:t>
      </w:r>
      <w:r>
        <w:rPr>
          <w:lang w:val="es-ES_tradnl"/>
        </w:rPr>
        <w:t>a</w:t>
      </w:r>
      <w:r>
        <w:rPr>
          <w:lang w:val="es-ES_tradnl"/>
        </w:rPr>
        <w:t>les hacía mención a causa A.M.I.A. como se veía en el anexo D 1 que aportara; ello también surgía de las fotoc</w:t>
      </w:r>
      <w:r>
        <w:rPr>
          <w:lang w:val="es-ES_tradnl"/>
        </w:rPr>
        <w:t>o</w:t>
      </w:r>
      <w:r>
        <w:rPr>
          <w:lang w:val="es-ES_tradnl"/>
        </w:rPr>
        <w:t>pias que aportó en los anexos que iban del D 2 al D 25, los cuales pertenecían al sumario administrativo nº 266.505/96, instruido por violación a los deberes de fu</w:t>
      </w:r>
      <w:r>
        <w:rPr>
          <w:lang w:val="es-ES_tradnl"/>
        </w:rPr>
        <w:t>n</w:t>
      </w:r>
      <w:r>
        <w:rPr>
          <w:lang w:val="es-ES_tradnl"/>
        </w:rPr>
        <w:t>cionario público, en el cual habían sido indagados adm</w:t>
      </w:r>
      <w:r>
        <w:rPr>
          <w:lang w:val="es-ES_tradnl"/>
        </w:rPr>
        <w:t>i</w:t>
      </w:r>
      <w:r>
        <w:rPr>
          <w:lang w:val="es-ES_tradnl"/>
        </w:rPr>
        <w:t>nistrativamente los imputados Burguete y Bacigalupo, por atribuírseles la conducta de no haber fichado a Carlos A</w:t>
      </w:r>
      <w:r>
        <w:rPr>
          <w:lang w:val="es-ES_tradnl"/>
        </w:rPr>
        <w:t>l</w:t>
      </w:r>
      <w:r>
        <w:rPr>
          <w:lang w:val="es-ES_tradnl"/>
        </w:rPr>
        <w:t>berto Teccedin en ocasión de ser d</w:t>
      </w:r>
      <w:r>
        <w:rPr>
          <w:lang w:val="es-ES_tradnl"/>
        </w:rPr>
        <w:t>e</w:t>
      </w:r>
      <w:r>
        <w:rPr>
          <w:lang w:val="es-ES_tradnl"/>
        </w:rPr>
        <w:t>tenido el 4 de abril de 1994 junto a Sandra P</w:t>
      </w:r>
      <w:r>
        <w:rPr>
          <w:lang w:val="es-ES_tradnl"/>
        </w:rPr>
        <w:t>e</w:t>
      </w:r>
      <w:r>
        <w:rPr>
          <w:lang w:val="es-ES_tradnl"/>
        </w:rPr>
        <w:t xml:space="preserve">trucci en </w:t>
      </w:r>
      <w:smartTag w:uri="urn:schemas-microsoft-com:office:smarttags" w:element="PersonName">
        <w:smartTagPr>
          <w:attr w:name="ProductID" w:val="la Brigada"/>
        </w:smartTagPr>
        <w:r>
          <w:rPr>
            <w:lang w:val="es-ES_tradnl"/>
          </w:rPr>
          <w:t>la Brigada</w:t>
        </w:r>
      </w:smartTag>
      <w:r>
        <w:rPr>
          <w:lang w:val="es-ES_tradnl"/>
        </w:rPr>
        <w:t xml:space="preserve"> de Lanús. </w:t>
      </w:r>
    </w:p>
    <w:p w:rsidR="00224567" w:rsidRDefault="00224567">
      <w:pPr>
        <w:widowControl w:val="0"/>
        <w:rPr>
          <w:lang w:val="es-ES_tradnl"/>
        </w:rPr>
      </w:pPr>
      <w:r>
        <w:rPr>
          <w:lang w:val="es-ES_tradnl"/>
        </w:rPr>
        <w:tab/>
        <w:t>Agregó que, ya para septiembre de 1995 y según constaba en el anexo D 20 que fuera entregado, e</w:t>
      </w:r>
      <w:r>
        <w:rPr>
          <w:lang w:val="es-ES_tradnl"/>
        </w:rPr>
        <w:t>s</w:t>
      </w:r>
      <w:r>
        <w:rPr>
          <w:lang w:val="es-ES_tradnl"/>
        </w:rPr>
        <w:t>taba perfectamente acreditado que Teccedin registró el prontuario I.G. 55963, sin surgir del mismo antecedentes ni ningún tipo de captura pe</w:t>
      </w:r>
      <w:r>
        <w:rPr>
          <w:lang w:val="es-ES_tradnl"/>
        </w:rPr>
        <w:t>n</w:t>
      </w:r>
      <w:r>
        <w:rPr>
          <w:lang w:val="es-ES_tradnl"/>
        </w:rPr>
        <w:t>diente.</w:t>
      </w:r>
    </w:p>
    <w:p w:rsidR="00224567" w:rsidRDefault="00224567">
      <w:pPr>
        <w:widowControl w:val="0"/>
        <w:rPr>
          <w:lang w:val="es-ES_tradnl"/>
        </w:rPr>
      </w:pPr>
      <w:r>
        <w:rPr>
          <w:lang w:val="es-ES_tradnl"/>
        </w:rPr>
        <w:tab/>
        <w:t>En cambio, Sandra Petrucci adoptó el prontuario I.G. 55960, según constaba en el anexo D 18 vuelta, que se correspondía con la defensa administr</w:t>
      </w:r>
      <w:r>
        <w:rPr>
          <w:lang w:val="es-ES_tradnl"/>
        </w:rPr>
        <w:t>a</w:t>
      </w:r>
      <w:r>
        <w:rPr>
          <w:lang w:val="es-ES_tradnl"/>
        </w:rPr>
        <w:t>tiva pr</w:t>
      </w:r>
      <w:r>
        <w:rPr>
          <w:lang w:val="es-ES_tradnl"/>
        </w:rPr>
        <w:t>e</w:t>
      </w:r>
      <w:r>
        <w:rPr>
          <w:lang w:val="es-ES_tradnl"/>
        </w:rPr>
        <w:t>sentada por el oficial Bacigalupo.</w:t>
      </w:r>
    </w:p>
    <w:p w:rsidR="00224567" w:rsidRDefault="00224567">
      <w:pPr>
        <w:widowControl w:val="0"/>
        <w:rPr>
          <w:lang w:val="es-ES_tradnl"/>
        </w:rPr>
      </w:pPr>
      <w:r>
        <w:rPr>
          <w:lang w:val="es-ES_tradnl"/>
        </w:rPr>
        <w:tab/>
        <w:t>Con lo expuesto quiso resaltar que a diario existían co</w:t>
      </w:r>
      <w:r>
        <w:rPr>
          <w:lang w:val="es-ES_tradnl"/>
        </w:rPr>
        <w:t>n</w:t>
      </w:r>
      <w:r>
        <w:rPr>
          <w:lang w:val="es-ES_tradnl"/>
        </w:rPr>
        <w:t>versaciones entre personal policial en clara alusión a esta causa A.M.I.A. que también podía ll</w:t>
      </w:r>
      <w:r>
        <w:rPr>
          <w:lang w:val="es-ES_tradnl"/>
        </w:rPr>
        <w:t>a</w:t>
      </w:r>
      <w:r>
        <w:rPr>
          <w:lang w:val="es-ES_tradnl"/>
        </w:rPr>
        <w:t>mársele “causa Baci”, por el diminutivo de Bac</w:t>
      </w:r>
      <w:r>
        <w:rPr>
          <w:lang w:val="es-ES_tradnl"/>
        </w:rPr>
        <w:t>i</w:t>
      </w:r>
      <w:r>
        <w:rPr>
          <w:lang w:val="es-ES_tradnl"/>
        </w:rPr>
        <w:t>galupo.</w:t>
      </w:r>
    </w:p>
    <w:p w:rsidR="00224567" w:rsidRDefault="00224567">
      <w:pPr>
        <w:widowControl w:val="0"/>
        <w:rPr>
          <w:lang w:val="es-ES_tradnl"/>
        </w:rPr>
      </w:pPr>
      <w:r>
        <w:rPr>
          <w:lang w:val="es-ES_tradnl"/>
        </w:rPr>
        <w:tab/>
        <w:t>Lo que nadie se explicaba era por qué si estaba aclarada la falta que se le atribuía al pe</w:t>
      </w:r>
      <w:r>
        <w:rPr>
          <w:lang w:val="es-ES_tradnl"/>
        </w:rPr>
        <w:t>r</w:t>
      </w:r>
      <w:r>
        <w:rPr>
          <w:lang w:val="es-ES_tradnl"/>
        </w:rPr>
        <w:t>sonal policial con relación al sumario adm</w:t>
      </w:r>
      <w:r>
        <w:rPr>
          <w:lang w:val="es-ES_tradnl"/>
        </w:rPr>
        <w:t>i</w:t>
      </w:r>
      <w:r>
        <w:rPr>
          <w:lang w:val="es-ES_tradnl"/>
        </w:rPr>
        <w:t>nistrativo, no se le daba una resolución final.</w:t>
      </w:r>
    </w:p>
    <w:p w:rsidR="00224567" w:rsidRDefault="00224567">
      <w:pPr>
        <w:widowControl w:val="0"/>
        <w:rPr>
          <w:lang w:val="es-ES_tradnl"/>
        </w:rPr>
      </w:pPr>
      <w:r>
        <w:rPr>
          <w:lang w:val="es-ES_tradnl"/>
        </w:rPr>
        <w:tab/>
        <w:t>Aclaró que la situación de Bac</w:t>
      </w:r>
      <w:r>
        <w:rPr>
          <w:lang w:val="es-ES_tradnl"/>
        </w:rPr>
        <w:t>i</w:t>
      </w:r>
      <w:r>
        <w:rPr>
          <w:lang w:val="es-ES_tradnl"/>
        </w:rPr>
        <w:t>galupo tomó mayor trascendencia en virtud de que el año 1995 t</w:t>
      </w:r>
      <w:r>
        <w:rPr>
          <w:lang w:val="es-ES_tradnl"/>
        </w:rPr>
        <w:t>e</w:t>
      </w:r>
      <w:r>
        <w:rPr>
          <w:lang w:val="es-ES_tradnl"/>
        </w:rPr>
        <w:t>nía que haber ascendido a subcomisario, pero no pudo h</w:t>
      </w:r>
      <w:r>
        <w:rPr>
          <w:lang w:val="es-ES_tradnl"/>
        </w:rPr>
        <w:t>a</w:t>
      </w:r>
      <w:r>
        <w:rPr>
          <w:lang w:val="es-ES_tradnl"/>
        </w:rPr>
        <w:t>cerlo por la existencia de esta investigación, previéndose que en 1996 se podía volver a repetir la s</w:t>
      </w:r>
      <w:r>
        <w:rPr>
          <w:lang w:val="es-ES_tradnl"/>
        </w:rPr>
        <w:t>i</w:t>
      </w:r>
      <w:r>
        <w:rPr>
          <w:lang w:val="es-ES_tradnl"/>
        </w:rPr>
        <w:t>tuación, a raíz de que hasta julio, y pese a las dif</w:t>
      </w:r>
      <w:r>
        <w:rPr>
          <w:lang w:val="es-ES_tradnl"/>
        </w:rPr>
        <w:t>e</w:t>
      </w:r>
      <w:r>
        <w:rPr>
          <w:lang w:val="es-ES_tradnl"/>
        </w:rPr>
        <w:t>rentes consultas que se efectuaban sobre el cierre de dicho sumario, no le d</w:t>
      </w:r>
      <w:r>
        <w:rPr>
          <w:lang w:val="es-ES_tradnl"/>
        </w:rPr>
        <w:t>a</w:t>
      </w:r>
      <w:r>
        <w:rPr>
          <w:lang w:val="es-ES_tradnl"/>
        </w:rPr>
        <w:t>ban expl</w:t>
      </w:r>
      <w:r>
        <w:rPr>
          <w:lang w:val="es-ES_tradnl"/>
        </w:rPr>
        <w:t>i</w:t>
      </w:r>
      <w:r>
        <w:rPr>
          <w:lang w:val="es-ES_tradnl"/>
        </w:rPr>
        <w:t>caciones valederas.</w:t>
      </w:r>
    </w:p>
    <w:p w:rsidR="00224567" w:rsidRDefault="00224567">
      <w:pPr>
        <w:widowControl w:val="0"/>
        <w:rPr>
          <w:lang w:val="es-ES_tradnl"/>
        </w:rPr>
      </w:pPr>
      <w:r>
        <w:rPr>
          <w:lang w:val="es-ES_tradnl"/>
        </w:rPr>
        <w:tab/>
        <w:t>Mencionó que en los últimos meses ce</w:t>
      </w:r>
      <w:r>
        <w:rPr>
          <w:lang w:val="es-ES_tradnl"/>
        </w:rPr>
        <w:t>r</w:t>
      </w:r>
      <w:r>
        <w:rPr>
          <w:lang w:val="es-ES_tradnl"/>
        </w:rPr>
        <w:t>canos a julio de 1996, recrudeció la preocupación por la causa A.M.I.A. o “Baci” en clara alusión a los acontec</w:t>
      </w:r>
      <w:r>
        <w:rPr>
          <w:lang w:val="es-ES_tradnl"/>
        </w:rPr>
        <w:t>i</w:t>
      </w:r>
      <w:r>
        <w:rPr>
          <w:lang w:val="es-ES_tradnl"/>
        </w:rPr>
        <w:t>mientos que pudieron haber ocurrido, según dichos de T</w:t>
      </w:r>
      <w:r>
        <w:rPr>
          <w:lang w:val="es-ES_tradnl"/>
        </w:rPr>
        <w:t>e</w:t>
      </w:r>
      <w:r>
        <w:rPr>
          <w:lang w:val="es-ES_tradnl"/>
        </w:rPr>
        <w:t xml:space="preserve">lleldín, en ocasión de estar detenido el 4 de abril de 1994 en </w:t>
      </w:r>
      <w:smartTag w:uri="urn:schemas-microsoft-com:office:smarttags" w:element="PersonName">
        <w:smartTagPr>
          <w:attr w:name="ProductID" w:val="la Brigada"/>
        </w:smartTagPr>
        <w:r>
          <w:rPr>
            <w:lang w:val="es-ES_tradnl"/>
          </w:rPr>
          <w:t>la Brigada</w:t>
        </w:r>
      </w:smartTag>
      <w:r>
        <w:rPr>
          <w:lang w:val="es-ES_tradnl"/>
        </w:rPr>
        <w:t xml:space="preserve"> de Lanús, es decir, de acuerdo a la c</w:t>
      </w:r>
      <w:r>
        <w:rPr>
          <w:lang w:val="es-ES_tradnl"/>
        </w:rPr>
        <w:t>a</w:t>
      </w:r>
      <w:r>
        <w:rPr>
          <w:lang w:val="es-ES_tradnl"/>
        </w:rPr>
        <w:t>rátula de la investigación, la violación de los d</w:t>
      </w:r>
      <w:r>
        <w:rPr>
          <w:lang w:val="es-ES_tradnl"/>
        </w:rPr>
        <w:t>e</w:t>
      </w:r>
      <w:r>
        <w:rPr>
          <w:lang w:val="es-ES_tradnl"/>
        </w:rPr>
        <w:t>beres de funcionario público.</w:t>
      </w:r>
    </w:p>
    <w:p w:rsidR="00224567" w:rsidRDefault="00224567">
      <w:pPr>
        <w:widowControl w:val="0"/>
        <w:rPr>
          <w:lang w:val="es-ES_tradnl"/>
        </w:rPr>
      </w:pPr>
      <w:r>
        <w:rPr>
          <w:lang w:val="es-ES_tradnl"/>
        </w:rPr>
        <w:tab/>
        <w:t>Atribuyó aquél recrudecimiento al co</w:t>
      </w:r>
      <w:r>
        <w:rPr>
          <w:lang w:val="es-ES_tradnl"/>
        </w:rPr>
        <w:t>n</w:t>
      </w:r>
      <w:r>
        <w:rPr>
          <w:lang w:val="es-ES_tradnl"/>
        </w:rPr>
        <w:t>tinuo pedido de informes por parte de la jefatura de pol</w:t>
      </w:r>
      <w:r>
        <w:rPr>
          <w:lang w:val="es-ES_tradnl"/>
        </w:rPr>
        <w:t>i</w:t>
      </w:r>
      <w:r>
        <w:rPr>
          <w:lang w:val="es-ES_tradnl"/>
        </w:rPr>
        <w:t xml:space="preserve">cía respecto del personal que trabajaba para esos años en </w:t>
      </w:r>
      <w:smartTag w:uri="urn:schemas-microsoft-com:office:smarttags" w:element="PersonName">
        <w:smartTagPr>
          <w:attr w:name="ProductID" w:val="la Brigada"/>
        </w:smartTagPr>
        <w:r>
          <w:rPr>
            <w:lang w:val="es-ES_tradnl"/>
          </w:rPr>
          <w:t>la Brigada</w:t>
        </w:r>
      </w:smartTag>
      <w:r>
        <w:rPr>
          <w:lang w:val="es-ES_tradnl"/>
        </w:rPr>
        <w:t xml:space="preserve"> de Lanús y otros destinos, solicitando en más de una ocasión la remisión de fotografías actualizadas, según constaba en los anexos D 26 y D 27 que aportó ta</w:t>
      </w:r>
      <w:r>
        <w:rPr>
          <w:lang w:val="es-ES_tradnl"/>
        </w:rPr>
        <w:t>m</w:t>
      </w:r>
      <w:r>
        <w:rPr>
          <w:lang w:val="es-ES_tradnl"/>
        </w:rPr>
        <w:t>bién en fotocopias, señalando que el último correspondía al 17 de mayo de 1996, en el que se remitieron fot</w:t>
      </w:r>
      <w:r>
        <w:rPr>
          <w:lang w:val="es-ES_tradnl"/>
        </w:rPr>
        <w:t>o</w:t>
      </w:r>
      <w:r>
        <w:rPr>
          <w:lang w:val="es-ES_tradnl"/>
        </w:rPr>
        <w:t>grafías de él, Ibarra, Bacigalupo y otros.</w:t>
      </w:r>
    </w:p>
    <w:p w:rsidR="00224567" w:rsidRDefault="00224567">
      <w:pPr>
        <w:widowControl w:val="0"/>
        <w:rPr>
          <w:lang w:val="es-ES_tradnl"/>
        </w:rPr>
      </w:pPr>
      <w:r>
        <w:rPr>
          <w:lang w:val="es-ES_tradnl"/>
        </w:rPr>
        <w:tab/>
        <w:t>Con todo ello, quiso dejar aclarado que en ningún momento se pensó que algunos de los que fu</w:t>
      </w:r>
      <w:r>
        <w:rPr>
          <w:lang w:val="es-ES_tradnl"/>
        </w:rPr>
        <w:t>e</w:t>
      </w:r>
      <w:r>
        <w:rPr>
          <w:lang w:val="es-ES_tradnl"/>
        </w:rPr>
        <w:t xml:space="preserve">ron detenidos en esta causa, que pertenecían en el año </w:t>
      </w:r>
      <w:smartTag w:uri="urn:schemas-microsoft-com:office:smarttags" w:element="metricconverter">
        <w:smartTagPr>
          <w:attr w:name="ProductID" w:val="1994 a"/>
        </w:smartTagPr>
        <w:r>
          <w:rPr>
            <w:lang w:val="es-ES_tradnl"/>
          </w:rPr>
          <w:t>1994 a</w:t>
        </w:r>
      </w:smartTag>
      <w:r>
        <w:rPr>
          <w:lang w:val="es-ES_tradnl"/>
        </w:rPr>
        <w:t xml:space="preserve"> </w:t>
      </w:r>
      <w:smartTag w:uri="urn:schemas-microsoft-com:office:smarttags" w:element="PersonName">
        <w:smartTagPr>
          <w:attr w:name="ProductID" w:val="la Brigada"/>
        </w:smartTagPr>
        <w:r>
          <w:rPr>
            <w:lang w:val="es-ES_tradnl"/>
          </w:rPr>
          <w:t>la Brigada</w:t>
        </w:r>
      </w:smartTag>
      <w:r>
        <w:rPr>
          <w:lang w:val="es-ES_tradnl"/>
        </w:rPr>
        <w:t xml:space="preserve"> de Lanús, pudieran estar relaci</w:t>
      </w:r>
      <w:r>
        <w:rPr>
          <w:lang w:val="es-ES_tradnl"/>
        </w:rPr>
        <w:t>o</w:t>
      </w:r>
      <w:r>
        <w:rPr>
          <w:lang w:val="es-ES_tradnl"/>
        </w:rPr>
        <w:t xml:space="preserve">nados o vinculados con el atentado a la sede de </w:t>
      </w:r>
      <w:smartTag w:uri="urn:schemas-microsoft-com:office:smarttags" w:element="PersonName">
        <w:smartTagPr>
          <w:attr w:name="ProductID" w:val="la A.M"/>
        </w:smartTagPr>
        <w:r>
          <w:rPr>
            <w:lang w:val="es-ES_tradnl"/>
          </w:rPr>
          <w:t>la A.M</w:t>
        </w:r>
      </w:smartTag>
      <w:r>
        <w:rPr>
          <w:lang w:val="es-ES_tradnl"/>
        </w:rPr>
        <w:t>.I.A. en sí, sino que el temor existente era que por las proximidades del aniversario de dicho atentado, y en mérito a los tra</w:t>
      </w:r>
      <w:r>
        <w:rPr>
          <w:lang w:val="es-ES_tradnl"/>
        </w:rPr>
        <w:t>s</w:t>
      </w:r>
      <w:r>
        <w:rPr>
          <w:lang w:val="es-ES_tradnl"/>
        </w:rPr>
        <w:t>cendidos periodísticos y las solicitudes de remisión de fotos, pudiera existir algún tipo de diligencia procesal referida a la violación de los deberes de funcionario p</w:t>
      </w:r>
      <w:r>
        <w:rPr>
          <w:lang w:val="es-ES_tradnl"/>
        </w:rPr>
        <w:t>ú</w:t>
      </w:r>
      <w:r>
        <w:rPr>
          <w:lang w:val="es-ES_tradnl"/>
        </w:rPr>
        <w:t>blico que estaba cuesti</w:t>
      </w:r>
      <w:r>
        <w:rPr>
          <w:lang w:val="es-ES_tradnl"/>
        </w:rPr>
        <w:t>o</w:t>
      </w:r>
      <w:r>
        <w:rPr>
          <w:lang w:val="es-ES_tradnl"/>
        </w:rPr>
        <w:t>nada.</w:t>
      </w:r>
    </w:p>
    <w:p w:rsidR="00224567" w:rsidRDefault="00224567">
      <w:pPr>
        <w:widowControl w:val="0"/>
        <w:rPr>
          <w:lang w:val="es-ES_tradnl"/>
        </w:rPr>
      </w:pPr>
      <w:r>
        <w:rPr>
          <w:lang w:val="es-ES_tradnl"/>
        </w:rPr>
        <w:tab/>
        <w:t>Luego explicó el concepto de ce</w:t>
      </w:r>
      <w:r>
        <w:rPr>
          <w:lang w:val="es-ES_tradnl"/>
        </w:rPr>
        <w:t>l</w:t>
      </w:r>
      <w:r>
        <w:rPr>
          <w:lang w:val="es-ES_tradnl"/>
        </w:rPr>
        <w:t>da, al que se hacía referencia muy puntualmente en el auto de proc</w:t>
      </w:r>
      <w:r>
        <w:rPr>
          <w:lang w:val="es-ES_tradnl"/>
        </w:rPr>
        <w:t>e</w:t>
      </w:r>
      <w:r>
        <w:rPr>
          <w:lang w:val="es-ES_tradnl"/>
        </w:rPr>
        <w:t>samiento.</w:t>
      </w:r>
    </w:p>
    <w:p w:rsidR="00224567" w:rsidRDefault="00224567">
      <w:pPr>
        <w:widowControl w:val="0"/>
        <w:rPr>
          <w:lang w:val="es-ES_tradnl"/>
        </w:rPr>
      </w:pPr>
      <w:r>
        <w:rPr>
          <w:lang w:val="es-ES_tradnl"/>
        </w:rPr>
        <w:tab/>
        <w:t>Señaló que a él le llevó bastante tiempo obtener información que se ajustara a la real</w:t>
      </w:r>
      <w:r>
        <w:rPr>
          <w:lang w:val="es-ES_tradnl"/>
        </w:rPr>
        <w:t>i</w:t>
      </w:r>
      <w:r>
        <w:rPr>
          <w:lang w:val="es-ES_tradnl"/>
        </w:rPr>
        <w:t>dad, manifestando que   la lectura del auto de procesamiento daba la impresión que si un llamado de un celular Mov</w:t>
      </w:r>
      <w:r>
        <w:rPr>
          <w:lang w:val="es-ES_tradnl"/>
        </w:rPr>
        <w:t>i</w:t>
      </w:r>
      <w:r>
        <w:rPr>
          <w:lang w:val="es-ES_tradnl"/>
        </w:rPr>
        <w:t>com se efectuó, por ejemplo, en la celda 13, el teléfono nec</w:t>
      </w:r>
      <w:r>
        <w:rPr>
          <w:lang w:val="es-ES_tradnl"/>
        </w:rPr>
        <w:t>e</w:t>
      </w:r>
      <w:r>
        <w:rPr>
          <w:lang w:val="es-ES_tradnl"/>
        </w:rPr>
        <w:t>sariamente tenía que estar dentro de ese sector, circun</w:t>
      </w:r>
      <w:r>
        <w:rPr>
          <w:lang w:val="es-ES_tradnl"/>
        </w:rPr>
        <w:t>s</w:t>
      </w:r>
      <w:r>
        <w:rPr>
          <w:lang w:val="es-ES_tradnl"/>
        </w:rPr>
        <w:t>tancia que señalaba la presencia física del tenedor del celular en dicha área.</w:t>
      </w:r>
    </w:p>
    <w:p w:rsidR="00224567" w:rsidRDefault="00224567">
      <w:pPr>
        <w:widowControl w:val="0"/>
        <w:rPr>
          <w:lang w:val="es-ES_tradnl"/>
        </w:rPr>
      </w:pPr>
      <w:r>
        <w:rPr>
          <w:lang w:val="es-ES_tradnl"/>
        </w:rPr>
        <w:tab/>
        <w:t>Indicó que ello no era así, por lo m</w:t>
      </w:r>
      <w:r>
        <w:rPr>
          <w:lang w:val="es-ES_tradnl"/>
        </w:rPr>
        <w:t>e</w:t>
      </w:r>
      <w:r>
        <w:rPr>
          <w:lang w:val="es-ES_tradnl"/>
        </w:rPr>
        <w:t>nos respecto de la hipótesis sustentada en autos, en cua</w:t>
      </w:r>
      <w:r>
        <w:rPr>
          <w:lang w:val="es-ES_tradnl"/>
        </w:rPr>
        <w:t>n</w:t>
      </w:r>
      <w:r>
        <w:rPr>
          <w:lang w:val="es-ES_tradnl"/>
        </w:rPr>
        <w:t>to a que él o personal a su cargo hubieran vigilado el d</w:t>
      </w:r>
      <w:r>
        <w:rPr>
          <w:lang w:val="es-ES_tradnl"/>
        </w:rPr>
        <w:t>o</w:t>
      </w:r>
      <w:r>
        <w:rPr>
          <w:lang w:val="es-ES_tradnl"/>
        </w:rPr>
        <w:t>micilio de la calle República 107 de Villa Ballester, pe</w:t>
      </w:r>
      <w:r>
        <w:rPr>
          <w:lang w:val="es-ES_tradnl"/>
        </w:rPr>
        <w:t>r</w:t>
      </w:r>
      <w:r>
        <w:rPr>
          <w:lang w:val="es-ES_tradnl"/>
        </w:rPr>
        <w:t>teneciente a Carlos Alberto Telleldín.</w:t>
      </w:r>
    </w:p>
    <w:p w:rsidR="00224567" w:rsidRDefault="00224567">
      <w:pPr>
        <w:widowControl w:val="0"/>
        <w:rPr>
          <w:lang w:val="es-ES_tradnl"/>
        </w:rPr>
      </w:pPr>
      <w:r>
        <w:rPr>
          <w:lang w:val="es-ES_tradnl"/>
        </w:rPr>
        <w:tab/>
        <w:t>Aclaró que dicha área se correspo</w:t>
      </w:r>
      <w:r>
        <w:rPr>
          <w:lang w:val="es-ES_tradnl"/>
        </w:rPr>
        <w:t>n</w:t>
      </w:r>
      <w:r>
        <w:rPr>
          <w:lang w:val="es-ES_tradnl"/>
        </w:rPr>
        <w:t>día con la celda 13 y la lindante de la zona de Olivos era menci</w:t>
      </w:r>
      <w:r>
        <w:rPr>
          <w:lang w:val="es-ES_tradnl"/>
        </w:rPr>
        <w:t>o</w:t>
      </w:r>
      <w:r>
        <w:rPr>
          <w:lang w:val="es-ES_tradnl"/>
        </w:rPr>
        <w:t>nada como la celda 35.</w:t>
      </w:r>
    </w:p>
    <w:p w:rsidR="00224567" w:rsidRDefault="00224567">
      <w:pPr>
        <w:widowControl w:val="0"/>
        <w:rPr>
          <w:lang w:val="es-ES_tradnl"/>
        </w:rPr>
      </w:pPr>
      <w:r>
        <w:rPr>
          <w:lang w:val="es-ES_tradnl"/>
        </w:rPr>
        <w:tab/>
        <w:t>Expuso que la cobertura de una celda abarcaba un radio equivalente a una superficie de 100 km2, ya que la torre donde se hallaba inst</w:t>
      </w:r>
      <w:r>
        <w:rPr>
          <w:lang w:val="es-ES_tradnl"/>
        </w:rPr>
        <w:t>a</w:t>
      </w:r>
      <w:r>
        <w:rPr>
          <w:lang w:val="es-ES_tradnl"/>
        </w:rPr>
        <w:t xml:space="preserve">lada cubría un radio de </w:t>
      </w:r>
      <w:smartTag w:uri="urn:schemas-microsoft-com:office:smarttags" w:element="metricconverter">
        <w:smartTagPr>
          <w:attr w:name="ProductID" w:val="5 km"/>
        </w:smartTagPr>
        <w:r>
          <w:rPr>
            <w:lang w:val="es-ES_tradnl"/>
          </w:rPr>
          <w:t>5 km</w:t>
        </w:r>
      </w:smartTag>
      <w:r>
        <w:rPr>
          <w:lang w:val="es-ES_tradnl"/>
        </w:rPr>
        <w:t xml:space="preserve">, es decir, un diámetro de </w:t>
      </w:r>
      <w:smartTag w:uri="urn:schemas-microsoft-com:office:smarttags" w:element="metricconverter">
        <w:smartTagPr>
          <w:attr w:name="ProductID" w:val="10 km"/>
        </w:smartTagPr>
        <w:r>
          <w:rPr>
            <w:lang w:val="es-ES_tradnl"/>
          </w:rPr>
          <w:t>10 km</w:t>
        </w:r>
      </w:smartTag>
      <w:r>
        <w:rPr>
          <w:lang w:val="es-ES_tradnl"/>
        </w:rPr>
        <w:t>, co</w:t>
      </w:r>
      <w:r>
        <w:rPr>
          <w:lang w:val="es-ES_tradnl"/>
        </w:rPr>
        <w:t>m</w:t>
      </w:r>
      <w:r>
        <w:rPr>
          <w:lang w:val="es-ES_tradnl"/>
        </w:rPr>
        <w:t>prendiendo una zona de 10.000 manz</w:t>
      </w:r>
      <w:r>
        <w:rPr>
          <w:lang w:val="es-ES_tradnl"/>
        </w:rPr>
        <w:t>a</w:t>
      </w:r>
      <w:r>
        <w:rPr>
          <w:lang w:val="es-ES_tradnl"/>
        </w:rPr>
        <w:t>nas.</w:t>
      </w:r>
    </w:p>
    <w:p w:rsidR="00224567" w:rsidRDefault="00224567">
      <w:pPr>
        <w:widowControl w:val="0"/>
        <w:rPr>
          <w:lang w:val="es-ES_tradnl"/>
        </w:rPr>
      </w:pPr>
      <w:r>
        <w:rPr>
          <w:lang w:val="es-ES_tradnl"/>
        </w:rPr>
        <w:tab/>
        <w:t>Refirió que para tener una idea más acertada aún sobre la causa por la que existían regi</w:t>
      </w:r>
      <w:r>
        <w:rPr>
          <w:lang w:val="es-ES_tradnl"/>
        </w:rPr>
        <w:t>s</w:t>
      </w:r>
      <w:r>
        <w:rPr>
          <w:lang w:val="es-ES_tradnl"/>
        </w:rPr>
        <w:t>tros de llamados emitidos o recibidos por cel</w:t>
      </w:r>
      <w:r>
        <w:rPr>
          <w:lang w:val="es-ES_tradnl"/>
        </w:rPr>
        <w:t>u</w:t>
      </w:r>
      <w:r>
        <w:rPr>
          <w:lang w:val="es-ES_tradnl"/>
        </w:rPr>
        <w:t>lares a su nombre en la celda 13 o 35, procedió a obtener de la empresa M</w:t>
      </w:r>
      <w:r>
        <w:rPr>
          <w:lang w:val="es-ES_tradnl"/>
        </w:rPr>
        <w:t>o</w:t>
      </w:r>
      <w:r>
        <w:rPr>
          <w:lang w:val="es-ES_tradnl"/>
        </w:rPr>
        <w:t>vicom listados completos sobre los registros de los llam</w:t>
      </w:r>
      <w:r>
        <w:rPr>
          <w:lang w:val="es-ES_tradnl"/>
        </w:rPr>
        <w:t>a</w:t>
      </w:r>
      <w:r>
        <w:rPr>
          <w:lang w:val="es-ES_tradnl"/>
        </w:rPr>
        <w:t>dos a que hiciera referencia, de los celulares cuestion</w:t>
      </w:r>
      <w:r>
        <w:rPr>
          <w:lang w:val="es-ES_tradnl"/>
        </w:rPr>
        <w:t>a</w:t>
      </w:r>
      <w:r>
        <w:rPr>
          <w:lang w:val="es-ES_tradnl"/>
        </w:rPr>
        <w:t>dos, que eran el 440-6746, 446-4648, 412-2690, 412-6165, 412-6149 y 440-8667.</w:t>
      </w:r>
    </w:p>
    <w:p w:rsidR="00224567" w:rsidRDefault="00224567">
      <w:pPr>
        <w:widowControl w:val="0"/>
        <w:rPr>
          <w:lang w:val="es-ES_tradnl"/>
        </w:rPr>
      </w:pPr>
      <w:r>
        <w:rPr>
          <w:lang w:val="es-ES_tradnl"/>
        </w:rPr>
        <w:tab/>
        <w:t>Luego, entregó como anexo E 1 hasta el E 14 inclusive, los registros del período comprendido e</w:t>
      </w:r>
      <w:r>
        <w:rPr>
          <w:lang w:val="es-ES_tradnl"/>
        </w:rPr>
        <w:t>n</w:t>
      </w:r>
      <w:r>
        <w:rPr>
          <w:lang w:val="es-ES_tradnl"/>
        </w:rPr>
        <w:t>tre el 1º y el 10 de julio de 1994, señalando que si se sumaban los registros en ese período de los 6 celulares cuestionados, arrojaba un total de 569 llamados emitidos y/o recib</w:t>
      </w:r>
      <w:r>
        <w:rPr>
          <w:lang w:val="es-ES_tradnl"/>
        </w:rPr>
        <w:t>i</w:t>
      </w:r>
      <w:r>
        <w:rPr>
          <w:lang w:val="es-ES_tradnl"/>
        </w:rPr>
        <w:t>dos.</w:t>
      </w:r>
    </w:p>
    <w:p w:rsidR="00224567" w:rsidRDefault="00224567">
      <w:pPr>
        <w:widowControl w:val="0"/>
        <w:rPr>
          <w:lang w:val="es-ES_tradnl"/>
        </w:rPr>
      </w:pPr>
      <w:r>
        <w:rPr>
          <w:lang w:val="es-ES_tradnl"/>
        </w:rPr>
        <w:tab/>
        <w:t>Apuntó que de todos ellos sólo se d</w:t>
      </w:r>
      <w:r>
        <w:rPr>
          <w:lang w:val="es-ES_tradnl"/>
        </w:rPr>
        <w:t>e</w:t>
      </w:r>
      <w:r>
        <w:rPr>
          <w:lang w:val="es-ES_tradnl"/>
        </w:rPr>
        <w:t>tectaron, según las constancias del auto de proces</w:t>
      </w:r>
      <w:r>
        <w:rPr>
          <w:lang w:val="es-ES_tradnl"/>
        </w:rPr>
        <w:t>a</w:t>
      </w:r>
      <w:r>
        <w:rPr>
          <w:lang w:val="es-ES_tradnl"/>
        </w:rPr>
        <w:t>miento, 23 llamados en la celda 13 y 8 llam</w:t>
      </w:r>
      <w:r>
        <w:rPr>
          <w:lang w:val="es-ES_tradnl"/>
        </w:rPr>
        <w:t>a</w:t>
      </w:r>
      <w:r>
        <w:rPr>
          <w:lang w:val="es-ES_tradnl"/>
        </w:rPr>
        <w:t>dos en la celda 35.</w:t>
      </w:r>
    </w:p>
    <w:p w:rsidR="00224567" w:rsidRDefault="00224567">
      <w:pPr>
        <w:widowControl w:val="0"/>
        <w:rPr>
          <w:lang w:val="es-ES_tradnl"/>
        </w:rPr>
      </w:pPr>
      <w:r>
        <w:rPr>
          <w:lang w:val="es-ES_tradnl"/>
        </w:rPr>
        <w:tab/>
        <w:t>Dijo que si se observaba el li</w:t>
      </w:r>
      <w:r>
        <w:rPr>
          <w:lang w:val="es-ES_tradnl"/>
        </w:rPr>
        <w:t>s</w:t>
      </w:r>
      <w:r>
        <w:rPr>
          <w:lang w:val="es-ES_tradnl"/>
        </w:rPr>
        <w:t>tado de llamados entregado como anexo E, se vería que esos llam</w:t>
      </w:r>
      <w:r>
        <w:rPr>
          <w:lang w:val="es-ES_tradnl"/>
        </w:rPr>
        <w:t>a</w:t>
      </w:r>
      <w:r>
        <w:rPr>
          <w:lang w:val="es-ES_tradnl"/>
        </w:rPr>
        <w:t>dos o registros duraron uno o escasos minutos e inmediat</w:t>
      </w:r>
      <w:r>
        <w:rPr>
          <w:lang w:val="es-ES_tradnl"/>
        </w:rPr>
        <w:t>a</w:t>
      </w:r>
      <w:r>
        <w:rPr>
          <w:lang w:val="es-ES_tradnl"/>
        </w:rPr>
        <w:t>mente antes o después de ellos existían registros de ll</w:t>
      </w:r>
      <w:r>
        <w:rPr>
          <w:lang w:val="es-ES_tradnl"/>
        </w:rPr>
        <w:t>a</w:t>
      </w:r>
      <w:r>
        <w:rPr>
          <w:lang w:val="es-ES_tradnl"/>
        </w:rPr>
        <w:t>mados emitidos y/o recibidos que no ocuparon la celda 13 ni la 35, puesto que de ser así habrían e</w:t>
      </w:r>
      <w:r>
        <w:rPr>
          <w:lang w:val="es-ES_tradnl"/>
        </w:rPr>
        <w:t>n</w:t>
      </w:r>
      <w:r>
        <w:rPr>
          <w:lang w:val="es-ES_tradnl"/>
        </w:rPr>
        <w:t>grosado la lista de los det</w:t>
      </w:r>
      <w:r>
        <w:rPr>
          <w:lang w:val="es-ES_tradnl"/>
        </w:rPr>
        <w:t>a</w:t>
      </w:r>
      <w:r>
        <w:rPr>
          <w:lang w:val="es-ES_tradnl"/>
        </w:rPr>
        <w:t>llados en la resolución mencionada.</w:t>
      </w:r>
    </w:p>
    <w:p w:rsidR="00224567" w:rsidRDefault="00224567">
      <w:pPr>
        <w:widowControl w:val="0"/>
        <w:rPr>
          <w:lang w:val="es-ES_tradnl"/>
        </w:rPr>
      </w:pPr>
      <w:r>
        <w:rPr>
          <w:lang w:val="es-ES_tradnl"/>
        </w:rPr>
        <w:tab/>
        <w:t>Se preguntó cuál era la explicación lógica para decir que el tenedor de alguno de esos celul</w:t>
      </w:r>
      <w:r>
        <w:rPr>
          <w:lang w:val="es-ES_tradnl"/>
        </w:rPr>
        <w:t>a</w:t>
      </w:r>
      <w:r>
        <w:rPr>
          <w:lang w:val="es-ES_tradnl"/>
        </w:rPr>
        <w:t>res había estado en esa área vigilando un domicilio, si minutos antes o después el celular registraba otras ce</w:t>
      </w:r>
      <w:r>
        <w:rPr>
          <w:lang w:val="es-ES_tradnl"/>
        </w:rPr>
        <w:t>l</w:t>
      </w:r>
      <w:r>
        <w:rPr>
          <w:lang w:val="es-ES_tradnl"/>
        </w:rPr>
        <w:t>das.</w:t>
      </w:r>
    </w:p>
    <w:p w:rsidR="00224567" w:rsidRDefault="00224567">
      <w:pPr>
        <w:widowControl w:val="0"/>
        <w:rPr>
          <w:lang w:val="es-ES_tradnl"/>
        </w:rPr>
      </w:pPr>
      <w:r>
        <w:rPr>
          <w:lang w:val="es-ES_tradnl"/>
        </w:rPr>
        <w:tab/>
        <w:t>Entendió que lo que cabía pensar era que ese individuo con el celular, circunsta</w:t>
      </w:r>
      <w:r>
        <w:rPr>
          <w:lang w:val="es-ES_tradnl"/>
        </w:rPr>
        <w:t>n</w:t>
      </w:r>
      <w:r>
        <w:rPr>
          <w:lang w:val="es-ES_tradnl"/>
        </w:rPr>
        <w:t>cialmente y en de</w:t>
      </w:r>
      <w:r>
        <w:rPr>
          <w:lang w:val="es-ES_tradnl"/>
        </w:rPr>
        <w:t>s</w:t>
      </w:r>
      <w:r>
        <w:rPr>
          <w:lang w:val="es-ES_tradnl"/>
        </w:rPr>
        <w:t>plazamiento, pudo haber estado en las cercanías de las zonas de la celda 13 o 35, agregando que debía t</w:t>
      </w:r>
      <w:r>
        <w:rPr>
          <w:lang w:val="es-ES_tradnl"/>
        </w:rPr>
        <w:t>e</w:t>
      </w:r>
      <w:r>
        <w:rPr>
          <w:lang w:val="es-ES_tradnl"/>
        </w:rPr>
        <w:t>nerse en cuenta que en esos lugares existían arterias muy importa</w:t>
      </w:r>
      <w:r>
        <w:rPr>
          <w:lang w:val="es-ES_tradnl"/>
        </w:rPr>
        <w:t>n</w:t>
      </w:r>
      <w:r>
        <w:rPr>
          <w:lang w:val="es-ES_tradnl"/>
        </w:rPr>
        <w:t xml:space="preserve">tes, entre las que se hallaban avenidas, </w:t>
      </w:r>
      <w:smartTag w:uri="urn:schemas-microsoft-com:office:smarttags" w:element="PersonName">
        <w:smartTagPr>
          <w:attr w:name="ProductID" w:val="la Panamericana"/>
        </w:smartTagPr>
        <w:r>
          <w:rPr>
            <w:lang w:val="es-ES_tradnl"/>
          </w:rPr>
          <w:t>la Panamericana</w:t>
        </w:r>
      </w:smartTag>
      <w:r>
        <w:rPr>
          <w:lang w:val="es-ES_tradnl"/>
        </w:rPr>
        <w:t xml:space="preserve"> y el Cam</w:t>
      </w:r>
      <w:r>
        <w:rPr>
          <w:lang w:val="es-ES_tradnl"/>
        </w:rPr>
        <w:t>i</w:t>
      </w:r>
      <w:r>
        <w:rPr>
          <w:lang w:val="es-ES_tradnl"/>
        </w:rPr>
        <w:t>no del Buen Ayre.</w:t>
      </w:r>
    </w:p>
    <w:p w:rsidR="00224567" w:rsidRDefault="00224567">
      <w:pPr>
        <w:widowControl w:val="0"/>
        <w:rPr>
          <w:lang w:val="es-ES_tradnl"/>
        </w:rPr>
      </w:pPr>
      <w:r>
        <w:rPr>
          <w:lang w:val="es-ES_tradnl"/>
        </w:rPr>
        <w:tab/>
        <w:t>Ribelli mencionó que en el anexo E 3 y según constancias anteriores obrantes a fs. 1482 del sum</w:t>
      </w:r>
      <w:r>
        <w:rPr>
          <w:lang w:val="es-ES_tradnl"/>
        </w:rPr>
        <w:t>a</w:t>
      </w:r>
      <w:r>
        <w:rPr>
          <w:lang w:val="es-ES_tradnl"/>
        </w:rPr>
        <w:t>rio princ</w:t>
      </w:r>
      <w:r>
        <w:rPr>
          <w:lang w:val="es-ES_tradnl"/>
        </w:rPr>
        <w:t>i</w:t>
      </w:r>
      <w:r>
        <w:rPr>
          <w:lang w:val="es-ES_tradnl"/>
        </w:rPr>
        <w:t>pal, el día 4 de julio de 1994 el celular 440-6746 registró un llamado a las 8.06 en celda 13, corre</w:t>
      </w:r>
      <w:r>
        <w:rPr>
          <w:lang w:val="es-ES_tradnl"/>
        </w:rPr>
        <w:t>s</w:t>
      </w:r>
      <w:r>
        <w:rPr>
          <w:lang w:val="es-ES_tradnl"/>
        </w:rPr>
        <w:t>pondiente a V</w:t>
      </w:r>
      <w:r>
        <w:rPr>
          <w:lang w:val="es-ES_tradnl"/>
        </w:rPr>
        <w:t>i</w:t>
      </w:r>
      <w:r>
        <w:rPr>
          <w:lang w:val="es-ES_tradnl"/>
        </w:rPr>
        <w:t>lla Ballester, y otro a las 8.15 en la celda 19 –correspondiente a Wilde- distante varios kilómetros de la zona del domicilio de Telle</w:t>
      </w:r>
      <w:r>
        <w:rPr>
          <w:lang w:val="es-ES_tradnl"/>
        </w:rPr>
        <w:t>l</w:t>
      </w:r>
      <w:r>
        <w:rPr>
          <w:lang w:val="es-ES_tradnl"/>
        </w:rPr>
        <w:t>dín.</w:t>
      </w:r>
    </w:p>
    <w:p w:rsidR="00224567" w:rsidRDefault="00224567">
      <w:pPr>
        <w:widowControl w:val="0"/>
        <w:rPr>
          <w:lang w:val="es-ES_tradnl"/>
        </w:rPr>
      </w:pPr>
      <w:r>
        <w:rPr>
          <w:lang w:val="es-ES_tradnl"/>
        </w:rPr>
        <w:tab/>
        <w:t>Expuso que los manifestado precedent</w:t>
      </w:r>
      <w:r>
        <w:rPr>
          <w:lang w:val="es-ES_tradnl"/>
        </w:rPr>
        <w:t>e</w:t>
      </w:r>
      <w:r>
        <w:rPr>
          <w:lang w:val="es-ES_tradnl"/>
        </w:rPr>
        <w:t>mente lo citaba como ejemplo, ya que existían varios ll</w:t>
      </w:r>
      <w:r>
        <w:rPr>
          <w:lang w:val="es-ES_tradnl"/>
        </w:rPr>
        <w:t>a</w:t>
      </w:r>
      <w:r>
        <w:rPr>
          <w:lang w:val="es-ES_tradnl"/>
        </w:rPr>
        <w:t>mados en los que ocurría lo mismo y, por otra parte no se contaba con la información total sobre las celdas que oc</w:t>
      </w:r>
      <w:r>
        <w:rPr>
          <w:lang w:val="es-ES_tradnl"/>
        </w:rPr>
        <w:t>u</w:t>
      </w:r>
      <w:r>
        <w:rPr>
          <w:lang w:val="es-ES_tradnl"/>
        </w:rPr>
        <w:t>paron los 569 registros de llam</w:t>
      </w:r>
      <w:r>
        <w:rPr>
          <w:lang w:val="es-ES_tradnl"/>
        </w:rPr>
        <w:t>a</w:t>
      </w:r>
      <w:r>
        <w:rPr>
          <w:lang w:val="es-ES_tradnl"/>
        </w:rPr>
        <w:t>dos.</w:t>
      </w:r>
    </w:p>
    <w:p w:rsidR="00224567" w:rsidRDefault="00224567">
      <w:pPr>
        <w:widowControl w:val="0"/>
        <w:rPr>
          <w:lang w:val="es-ES_tradnl"/>
        </w:rPr>
      </w:pPr>
      <w:r>
        <w:rPr>
          <w:lang w:val="es-ES_tradnl"/>
        </w:rPr>
        <w:tab/>
        <w:t>Remarcó que con esa información se p</w:t>
      </w:r>
      <w:r>
        <w:rPr>
          <w:lang w:val="es-ES_tradnl"/>
        </w:rPr>
        <w:t>o</w:t>
      </w:r>
      <w:r>
        <w:rPr>
          <w:lang w:val="es-ES_tradnl"/>
        </w:rPr>
        <w:t>día ver la diversidad de celdas que habían registrado los llamados, destacando que ello se corroboraba con los i</w:t>
      </w:r>
      <w:r>
        <w:rPr>
          <w:lang w:val="es-ES_tradnl"/>
        </w:rPr>
        <w:t>n</w:t>
      </w:r>
      <w:r>
        <w:rPr>
          <w:lang w:val="es-ES_tradnl"/>
        </w:rPr>
        <w:t>formes emitidos por las empresas Miniphone y M</w:t>
      </w:r>
      <w:r>
        <w:rPr>
          <w:lang w:val="es-ES_tradnl"/>
        </w:rPr>
        <w:t>o</w:t>
      </w:r>
      <w:r>
        <w:rPr>
          <w:lang w:val="es-ES_tradnl"/>
        </w:rPr>
        <w:t>vicom.</w:t>
      </w:r>
    </w:p>
    <w:p w:rsidR="00224567" w:rsidRDefault="00224567">
      <w:pPr>
        <w:widowControl w:val="0"/>
        <w:rPr>
          <w:lang w:val="es-ES_tradnl"/>
        </w:rPr>
      </w:pPr>
      <w:r>
        <w:rPr>
          <w:lang w:val="es-ES_tradnl"/>
        </w:rPr>
        <w:tab/>
        <w:t>Así, señaló que la empresa Miniphone concluyó en el informe entregado como anexo F 1, obra</w:t>
      </w:r>
      <w:r>
        <w:rPr>
          <w:lang w:val="es-ES_tradnl"/>
        </w:rPr>
        <w:t>n</w:t>
      </w:r>
      <w:r>
        <w:rPr>
          <w:lang w:val="es-ES_tradnl"/>
        </w:rPr>
        <w:t>te a fs. 3854 de la causa, que “si existiera congestión la ll</w:t>
      </w:r>
      <w:r>
        <w:rPr>
          <w:lang w:val="es-ES_tradnl"/>
        </w:rPr>
        <w:t>a</w:t>
      </w:r>
      <w:r>
        <w:rPr>
          <w:lang w:val="es-ES_tradnl"/>
        </w:rPr>
        <w:t>mada puede ser tomada por la radiobase más próxima”, mie</w:t>
      </w:r>
      <w:r>
        <w:rPr>
          <w:lang w:val="es-ES_tradnl"/>
        </w:rPr>
        <w:t>n</w:t>
      </w:r>
      <w:r>
        <w:rPr>
          <w:lang w:val="es-ES_tradnl"/>
        </w:rPr>
        <w:t>tras que Movicom, tal como surgía del sumario administr</w:t>
      </w:r>
      <w:r>
        <w:rPr>
          <w:lang w:val="es-ES_tradnl"/>
        </w:rPr>
        <w:t>a</w:t>
      </w:r>
      <w:r>
        <w:rPr>
          <w:lang w:val="es-ES_tradnl"/>
        </w:rPr>
        <w:t xml:space="preserve">tivo (anexos F </w:t>
      </w:r>
      <w:smartTag w:uri="urn:schemas-microsoft-com:office:smarttags" w:element="metricconverter">
        <w:smartTagPr>
          <w:attr w:name="ProductID" w:val="2, F"/>
        </w:smartTagPr>
        <w:r>
          <w:rPr>
            <w:lang w:val="es-ES_tradnl"/>
          </w:rPr>
          <w:t>2, F</w:t>
        </w:r>
      </w:smartTag>
      <w:r>
        <w:rPr>
          <w:lang w:val="es-ES_tradnl"/>
        </w:rPr>
        <w:t xml:space="preserve"> 3 y F 4) respondió que “las coberturas de los diferentes sectores y celdas tienen zonas de supe</w:t>
      </w:r>
      <w:r>
        <w:rPr>
          <w:lang w:val="es-ES_tradnl"/>
        </w:rPr>
        <w:t>r</w:t>
      </w:r>
      <w:r>
        <w:rPr>
          <w:lang w:val="es-ES_tradnl"/>
        </w:rPr>
        <w:t>posición o solapamiento”; “...puede suceder que en una z</w:t>
      </w:r>
      <w:r>
        <w:rPr>
          <w:lang w:val="es-ES_tradnl"/>
        </w:rPr>
        <w:t>o</w:t>
      </w:r>
      <w:r>
        <w:rPr>
          <w:lang w:val="es-ES_tradnl"/>
        </w:rPr>
        <w:t>na donde las coberturas sean compartidas puede estar cu</w:t>
      </w:r>
      <w:r>
        <w:rPr>
          <w:lang w:val="es-ES_tradnl"/>
        </w:rPr>
        <w:t>r</w:t>
      </w:r>
      <w:r>
        <w:rPr>
          <w:lang w:val="es-ES_tradnl"/>
        </w:rPr>
        <w:t>sando la llamada con alguna celda adyacente”; “...cuando una llamada cambia de celda es porque la segunda celda que cursa la llam</w:t>
      </w:r>
      <w:r>
        <w:rPr>
          <w:lang w:val="es-ES_tradnl"/>
        </w:rPr>
        <w:t>a</w:t>
      </w:r>
      <w:r>
        <w:rPr>
          <w:lang w:val="es-ES_tradnl"/>
        </w:rPr>
        <w:t>da posee mejor señal que la primera” y “esto sucede generalmente cuando el móvil está en mov</w:t>
      </w:r>
      <w:r>
        <w:rPr>
          <w:lang w:val="es-ES_tradnl"/>
        </w:rPr>
        <w:t>i</w:t>
      </w:r>
      <w:r>
        <w:rPr>
          <w:lang w:val="es-ES_tradnl"/>
        </w:rPr>
        <w:t>miento”.</w:t>
      </w:r>
    </w:p>
    <w:p w:rsidR="00224567" w:rsidRDefault="00224567">
      <w:pPr>
        <w:widowControl w:val="0"/>
        <w:rPr>
          <w:lang w:val="es-ES_tradnl"/>
        </w:rPr>
      </w:pPr>
      <w:r>
        <w:rPr>
          <w:lang w:val="es-ES_tradnl"/>
        </w:rPr>
        <w:tab/>
        <w:t>En este punto, manifestó tener dos e</w:t>
      </w:r>
      <w:r>
        <w:rPr>
          <w:lang w:val="es-ES_tradnl"/>
        </w:rPr>
        <w:t>x</w:t>
      </w:r>
      <w:r>
        <w:rPr>
          <w:lang w:val="es-ES_tradnl"/>
        </w:rPr>
        <w:t>plicaciones; una consistía en que el tenedor del c</w:t>
      </w:r>
      <w:r>
        <w:rPr>
          <w:lang w:val="es-ES_tradnl"/>
        </w:rPr>
        <w:t>e</w:t>
      </w:r>
      <w:r>
        <w:rPr>
          <w:lang w:val="es-ES_tradnl"/>
        </w:rPr>
        <w:t>lular, circunstancialmente y en desplazamiento, hubiera pasado por las cercanías de las celdas en cuestión; otra consi</w:t>
      </w:r>
      <w:r>
        <w:rPr>
          <w:lang w:val="es-ES_tradnl"/>
        </w:rPr>
        <w:t>s</w:t>
      </w:r>
      <w:r>
        <w:rPr>
          <w:lang w:val="es-ES_tradnl"/>
        </w:rPr>
        <w:t>tía en que sin ni siquiera pasar por las cercanías, un congestionamiento o rebote de llamada pudiera haber  or</w:t>
      </w:r>
      <w:r>
        <w:rPr>
          <w:lang w:val="es-ES_tradnl"/>
        </w:rPr>
        <w:t>i</w:t>
      </w:r>
      <w:r>
        <w:rPr>
          <w:lang w:val="es-ES_tradnl"/>
        </w:rPr>
        <w:t>gin</w:t>
      </w:r>
      <w:r>
        <w:rPr>
          <w:lang w:val="es-ES_tradnl"/>
        </w:rPr>
        <w:t>a</w:t>
      </w:r>
      <w:r>
        <w:rPr>
          <w:lang w:val="es-ES_tradnl"/>
        </w:rPr>
        <w:t>do el registro de celda 13 ó 35.</w:t>
      </w:r>
    </w:p>
    <w:p w:rsidR="00224567" w:rsidRDefault="00224567">
      <w:pPr>
        <w:widowControl w:val="0"/>
        <w:rPr>
          <w:lang w:val="es-ES_tradnl"/>
        </w:rPr>
      </w:pPr>
      <w:r>
        <w:rPr>
          <w:lang w:val="es-ES_tradnl"/>
        </w:rPr>
        <w:tab/>
        <w:t>No obstante ello, teniendo en cuenta que sobre los 569 llamados emitidos y/o recibidos por pa</w:t>
      </w:r>
      <w:r>
        <w:rPr>
          <w:lang w:val="es-ES_tradnl"/>
        </w:rPr>
        <w:t>r</w:t>
      </w:r>
      <w:r>
        <w:rPr>
          <w:lang w:val="es-ES_tradnl"/>
        </w:rPr>
        <w:t>te de los seis celulares cuestionados, sólo 23 r</w:t>
      </w:r>
      <w:r>
        <w:rPr>
          <w:lang w:val="es-ES_tradnl"/>
        </w:rPr>
        <w:t>e</w:t>
      </w:r>
      <w:r>
        <w:rPr>
          <w:lang w:val="es-ES_tradnl"/>
        </w:rPr>
        <w:t>gistraban la celda 13 y 8 la celda 35, calculó matemáticamente la posibilidad de presencia física del tenedor del celular por espacio de uno o pocos minutos en las zonas aludidas, durante los diez días comprendidos en el p</w:t>
      </w:r>
      <w:r>
        <w:rPr>
          <w:lang w:val="es-ES_tradnl"/>
        </w:rPr>
        <w:t>e</w:t>
      </w:r>
      <w:r>
        <w:rPr>
          <w:lang w:val="es-ES_tradnl"/>
        </w:rPr>
        <w:t>ríodo del 1º al 10 de julio de 1994.</w:t>
      </w:r>
    </w:p>
    <w:p w:rsidR="00224567" w:rsidRDefault="00224567">
      <w:pPr>
        <w:widowControl w:val="0"/>
        <w:rPr>
          <w:lang w:val="es-ES_tradnl"/>
        </w:rPr>
      </w:pPr>
      <w:r>
        <w:rPr>
          <w:lang w:val="es-ES_tradnl"/>
        </w:rPr>
        <w:tab/>
        <w:t>Indicó que en el caso de la celda 13, al realizar la siguiente operación: 100/569 x 23/6, daba como resultado 0,674 por ciento. De igual forma, para la celda 35 y al efectuar la misma operación, el porcentaje era del 0,234 por ciento.</w:t>
      </w:r>
    </w:p>
    <w:p w:rsidR="00224567" w:rsidRDefault="00224567">
      <w:pPr>
        <w:widowControl w:val="0"/>
        <w:rPr>
          <w:lang w:val="es-ES_tradnl"/>
        </w:rPr>
      </w:pPr>
      <w:r>
        <w:rPr>
          <w:lang w:val="es-ES_tradnl"/>
        </w:rPr>
        <w:tab/>
        <w:t>Por otra parte mencionó que a fs. 3139 vta. de la causa decía: “también Ribelli tenía conocimie</w:t>
      </w:r>
      <w:r>
        <w:rPr>
          <w:lang w:val="es-ES_tradnl"/>
        </w:rPr>
        <w:t>n</w:t>
      </w:r>
      <w:r>
        <w:rPr>
          <w:lang w:val="es-ES_tradnl"/>
        </w:rPr>
        <w:t>to de la existencia de la camioneta Trafic, ya que los c</w:t>
      </w:r>
      <w:r>
        <w:rPr>
          <w:lang w:val="es-ES_tradnl"/>
        </w:rPr>
        <w:t>e</w:t>
      </w:r>
      <w:r>
        <w:rPr>
          <w:lang w:val="es-ES_tradnl"/>
        </w:rPr>
        <w:t>lulares a su nombre operaron en forma intensa (más de 30 llamados) durante los diez días previos; circunstancia que cesa el 10 de j</w:t>
      </w:r>
      <w:r>
        <w:rPr>
          <w:lang w:val="es-ES_tradnl"/>
        </w:rPr>
        <w:t>u</w:t>
      </w:r>
      <w:r>
        <w:rPr>
          <w:lang w:val="es-ES_tradnl"/>
        </w:rPr>
        <w:t xml:space="preserve">lio de </w:t>
      </w:r>
      <w:smartTag w:uri="urn:schemas-microsoft-com:office:smarttags" w:element="metricconverter">
        <w:smartTagPr>
          <w:attr w:name="ProductID" w:val="1994”"/>
        </w:smartTagPr>
        <w:r>
          <w:rPr>
            <w:lang w:val="es-ES_tradnl"/>
          </w:rPr>
          <w:t>1994”</w:t>
        </w:r>
      </w:smartTag>
      <w:r>
        <w:rPr>
          <w:lang w:val="es-ES_tradnl"/>
        </w:rPr>
        <w:t>.</w:t>
      </w:r>
    </w:p>
    <w:p w:rsidR="00224567" w:rsidRDefault="00224567">
      <w:pPr>
        <w:widowControl w:val="0"/>
        <w:rPr>
          <w:lang w:val="es-ES_tradnl"/>
        </w:rPr>
      </w:pPr>
      <w:r>
        <w:rPr>
          <w:lang w:val="es-ES_tradnl"/>
        </w:rPr>
        <w:tab/>
        <w:t>Ribelli estimó la última frase no se ajustaba a la verdad, en virtud de que según constancias que obraban en la causa a fs. 1482/1487 siguieron apar</w:t>
      </w:r>
      <w:r>
        <w:rPr>
          <w:lang w:val="es-ES_tradnl"/>
        </w:rPr>
        <w:t>e</w:t>
      </w:r>
      <w:r>
        <w:rPr>
          <w:lang w:val="es-ES_tradnl"/>
        </w:rPr>
        <w:t>ciendo llamados registrados en las celdas 13 y 35 por pa</w:t>
      </w:r>
      <w:r>
        <w:rPr>
          <w:lang w:val="es-ES_tradnl"/>
        </w:rPr>
        <w:t>r</w:t>
      </w:r>
      <w:r>
        <w:rPr>
          <w:lang w:val="es-ES_tradnl"/>
        </w:rPr>
        <w:t>te de los celulares cuestion</w:t>
      </w:r>
      <w:r>
        <w:rPr>
          <w:lang w:val="es-ES_tradnl"/>
        </w:rPr>
        <w:t>a</w:t>
      </w:r>
      <w:r>
        <w:rPr>
          <w:lang w:val="es-ES_tradnl"/>
        </w:rPr>
        <w:t>dos.</w:t>
      </w:r>
    </w:p>
    <w:p w:rsidR="00224567" w:rsidRDefault="00224567">
      <w:pPr>
        <w:widowControl w:val="0"/>
        <w:rPr>
          <w:lang w:val="es-ES_tradnl"/>
        </w:rPr>
      </w:pPr>
      <w:r>
        <w:rPr>
          <w:lang w:val="es-ES_tradnl"/>
        </w:rPr>
        <w:tab/>
        <w:t xml:space="preserve">Así, hizo entrega como anexo G </w:t>
      </w:r>
      <w:smartTag w:uri="urn:schemas-microsoft-com:office:smarttags" w:element="metricconverter">
        <w:smartTagPr>
          <w:attr w:name="ProductID" w:val="1 a"/>
        </w:smartTagPr>
        <w:r>
          <w:rPr>
            <w:lang w:val="es-ES_tradnl"/>
          </w:rPr>
          <w:t>1 a</w:t>
        </w:r>
      </w:smartTag>
      <w:r>
        <w:rPr>
          <w:lang w:val="es-ES_tradnl"/>
        </w:rPr>
        <w:t xml:space="preserve"> G 6 de una copia de las fs. aludidas, donde subrayó con rojo los registros de la celda 13 y con azul los de la celda 35, remarcando que no pudo seguir detallando otros porque sólo se contaba con información hasta el 27 de julio de 1994.</w:t>
      </w:r>
    </w:p>
    <w:p w:rsidR="00224567" w:rsidRDefault="00224567">
      <w:pPr>
        <w:widowControl w:val="0"/>
        <w:rPr>
          <w:lang w:val="es-ES_tradnl"/>
        </w:rPr>
      </w:pPr>
      <w:r>
        <w:rPr>
          <w:lang w:val="es-ES_tradnl"/>
        </w:rPr>
        <w:tab/>
        <w:t>Explicó que existían varios cel</w:t>
      </w:r>
      <w:r>
        <w:rPr>
          <w:lang w:val="es-ES_tradnl"/>
        </w:rPr>
        <w:t>u</w:t>
      </w:r>
      <w:r>
        <w:rPr>
          <w:lang w:val="es-ES_tradnl"/>
        </w:rPr>
        <w:t>lares de la empresa Movicom bajo su titularidad porque en su cuenta personal, debido a la antigüedad y cantidad de c</w:t>
      </w:r>
      <w:r>
        <w:rPr>
          <w:lang w:val="es-ES_tradnl"/>
        </w:rPr>
        <w:t>e</w:t>
      </w:r>
      <w:r>
        <w:rPr>
          <w:lang w:val="es-ES_tradnl"/>
        </w:rPr>
        <w:t xml:space="preserve">lulares, la empresa le había otorgado el beneficio del plan Corporate </w:t>
      </w:r>
      <w:smartTag w:uri="urn:schemas-microsoft-com:office:smarttags" w:element="metricconverter">
        <w:smartTagPr>
          <w:attr w:name="ProductID" w:val="20, a"/>
        </w:smartTagPr>
        <w:r>
          <w:rPr>
            <w:lang w:val="es-ES_tradnl"/>
          </w:rPr>
          <w:t>20, a</w:t>
        </w:r>
      </w:smartTag>
      <w:r>
        <w:rPr>
          <w:lang w:val="es-ES_tradnl"/>
        </w:rPr>
        <w:t xml:space="preserve"> través del cual abonaba un arancel menor al de los planes comunes por minuto en el aire; s</w:t>
      </w:r>
      <w:r>
        <w:rPr>
          <w:lang w:val="es-ES_tradnl"/>
        </w:rPr>
        <w:t>i</w:t>
      </w:r>
      <w:r>
        <w:rPr>
          <w:lang w:val="es-ES_tradnl"/>
        </w:rPr>
        <w:t>tuación que redundaba en beneficio del pe</w:t>
      </w:r>
      <w:r>
        <w:rPr>
          <w:lang w:val="es-ES_tradnl"/>
        </w:rPr>
        <w:t>r</w:t>
      </w:r>
      <w:r>
        <w:rPr>
          <w:lang w:val="es-ES_tradnl"/>
        </w:rPr>
        <w:t>sonal policial, ya que al adquirirlo bajo su nombre se conseguían descue</w:t>
      </w:r>
      <w:r>
        <w:rPr>
          <w:lang w:val="es-ES_tradnl"/>
        </w:rPr>
        <w:t>n</w:t>
      </w:r>
      <w:r>
        <w:rPr>
          <w:lang w:val="es-ES_tradnl"/>
        </w:rPr>
        <w:t>tos impo</w:t>
      </w:r>
      <w:r>
        <w:rPr>
          <w:lang w:val="es-ES_tradnl"/>
        </w:rPr>
        <w:t>r</w:t>
      </w:r>
      <w:r>
        <w:rPr>
          <w:lang w:val="es-ES_tradnl"/>
        </w:rPr>
        <w:t>tantes.</w:t>
      </w:r>
    </w:p>
    <w:p w:rsidR="00224567" w:rsidRDefault="00224567">
      <w:pPr>
        <w:widowControl w:val="0"/>
        <w:rPr>
          <w:lang w:val="es-ES_tradnl"/>
        </w:rPr>
      </w:pPr>
      <w:r>
        <w:rPr>
          <w:lang w:val="es-ES_tradnl"/>
        </w:rPr>
        <w:tab/>
        <w:t>Además, expresó que mientras d</w:t>
      </w:r>
      <w:r>
        <w:rPr>
          <w:lang w:val="es-ES_tradnl"/>
        </w:rPr>
        <w:t>u</w:t>
      </w:r>
      <w:r>
        <w:rPr>
          <w:lang w:val="es-ES_tradnl"/>
        </w:rPr>
        <w:t>raba la permanencia bajo su titularidad, los consumos eran abon</w:t>
      </w:r>
      <w:r>
        <w:rPr>
          <w:lang w:val="es-ES_tradnl"/>
        </w:rPr>
        <w:t>a</w:t>
      </w:r>
      <w:r>
        <w:rPr>
          <w:lang w:val="es-ES_tradnl"/>
        </w:rPr>
        <w:t>dos por los tenedores de los celulares y en muchas ocasi</w:t>
      </w:r>
      <w:r>
        <w:rPr>
          <w:lang w:val="es-ES_tradnl"/>
        </w:rPr>
        <w:t>o</w:t>
      </w:r>
      <w:r>
        <w:rPr>
          <w:lang w:val="es-ES_tradnl"/>
        </w:rPr>
        <w:t>nes luego de un par de meses los transferían a su no</w:t>
      </w:r>
      <w:r>
        <w:rPr>
          <w:lang w:val="es-ES_tradnl"/>
        </w:rPr>
        <w:t>m</w:t>
      </w:r>
      <w:r>
        <w:rPr>
          <w:lang w:val="es-ES_tradnl"/>
        </w:rPr>
        <w:t>bre.</w:t>
      </w:r>
    </w:p>
    <w:p w:rsidR="00224567" w:rsidRDefault="00224567">
      <w:pPr>
        <w:widowControl w:val="0"/>
        <w:rPr>
          <w:lang w:val="es-ES_tradnl"/>
        </w:rPr>
      </w:pPr>
      <w:r>
        <w:rPr>
          <w:lang w:val="es-ES_tradnl"/>
        </w:rPr>
        <w:tab/>
        <w:t>Hizo entrega como anexo H 1 del info</w:t>
      </w:r>
      <w:r>
        <w:rPr>
          <w:lang w:val="es-ES_tradnl"/>
        </w:rPr>
        <w:t>r</w:t>
      </w:r>
      <w:r>
        <w:rPr>
          <w:lang w:val="es-ES_tradnl"/>
        </w:rPr>
        <w:t>me de la empresa Movicom en fotocopia, que obraba a fs. 934 del sumario a</w:t>
      </w:r>
      <w:r>
        <w:rPr>
          <w:lang w:val="es-ES_tradnl"/>
        </w:rPr>
        <w:t>d</w:t>
      </w:r>
      <w:r>
        <w:rPr>
          <w:lang w:val="es-ES_tradnl"/>
        </w:rPr>
        <w:t>ministrativo.</w:t>
      </w:r>
    </w:p>
    <w:p w:rsidR="00224567" w:rsidRDefault="00224567">
      <w:pPr>
        <w:widowControl w:val="0"/>
        <w:rPr>
          <w:lang w:val="es-ES_tradnl"/>
        </w:rPr>
      </w:pPr>
      <w:r>
        <w:rPr>
          <w:lang w:val="es-ES_tradnl"/>
        </w:rPr>
        <w:tab/>
        <w:t>Refirió que allí se informaba que el celular 440-8667 fue de su propiedad desde el 27 de d</w:t>
      </w:r>
      <w:r>
        <w:rPr>
          <w:lang w:val="es-ES_tradnl"/>
        </w:rPr>
        <w:t>i</w:t>
      </w:r>
      <w:r>
        <w:rPr>
          <w:lang w:val="es-ES_tradnl"/>
        </w:rPr>
        <w:t>ciembre de 1993 hasta el 11 de abril de 1996, remarcando que dicho teléfono, desde su adquisición, fue utilizado por el suboficial mayor Juan Carlos Nicolau, quien así lo reconoció en su declaración testimonial, con la salvedad que en ésta falseó en gran parte sus dichos, como por ejemplo cuando dijo que el celular se lo entregó él para el mes de junio o j</w:t>
      </w:r>
      <w:r>
        <w:rPr>
          <w:lang w:val="es-ES_tradnl"/>
        </w:rPr>
        <w:t>u</w:t>
      </w:r>
      <w:r>
        <w:rPr>
          <w:lang w:val="es-ES_tradnl"/>
        </w:rPr>
        <w:t>lio de 1994.</w:t>
      </w:r>
    </w:p>
    <w:p w:rsidR="00224567" w:rsidRDefault="00224567">
      <w:pPr>
        <w:widowControl w:val="0"/>
        <w:rPr>
          <w:lang w:val="es-ES_tradnl"/>
        </w:rPr>
      </w:pPr>
      <w:r>
        <w:rPr>
          <w:lang w:val="es-ES_tradnl"/>
        </w:rPr>
        <w:tab/>
        <w:t>Al respecto, Ribelli negó que ello fuera así, ya que tr</w:t>
      </w:r>
      <w:r>
        <w:rPr>
          <w:lang w:val="es-ES_tradnl"/>
        </w:rPr>
        <w:t>a</w:t>
      </w:r>
      <w:r>
        <w:rPr>
          <w:lang w:val="es-ES_tradnl"/>
        </w:rPr>
        <w:t>mos más adelante Nicolau admitió que lo recibió recién adquirido, lo que ocurrió en diciembre de 1993.</w:t>
      </w:r>
    </w:p>
    <w:p w:rsidR="00224567" w:rsidRDefault="00224567">
      <w:pPr>
        <w:widowControl w:val="0"/>
        <w:rPr>
          <w:lang w:val="es-ES_tradnl"/>
        </w:rPr>
      </w:pPr>
      <w:r>
        <w:rPr>
          <w:lang w:val="es-ES_tradnl"/>
        </w:rPr>
        <w:tab/>
        <w:t>Al intentar encontrar una expl</w:t>
      </w:r>
      <w:r>
        <w:rPr>
          <w:lang w:val="es-ES_tradnl"/>
        </w:rPr>
        <w:t>i</w:t>
      </w:r>
      <w:r>
        <w:rPr>
          <w:lang w:val="es-ES_tradnl"/>
        </w:rPr>
        <w:t>cación sobre por qué ese celular registraba la mayor cantidad de llamados emitidos y/o recibidos en la celda 13, según el auto de procesamiento, estimó que ello podía obedecer a que p</w:t>
      </w:r>
      <w:r>
        <w:rPr>
          <w:lang w:val="es-ES_tradnl"/>
        </w:rPr>
        <w:t>a</w:t>
      </w:r>
      <w:r>
        <w:rPr>
          <w:lang w:val="es-ES_tradnl"/>
        </w:rPr>
        <w:t>ra esas fechas Nicolau podría haber ido a domicilios de familiares de su actual esposa, los que vivieron sie</w:t>
      </w:r>
      <w:r>
        <w:rPr>
          <w:lang w:val="es-ES_tradnl"/>
        </w:rPr>
        <w:t>m</w:t>
      </w:r>
      <w:r>
        <w:rPr>
          <w:lang w:val="es-ES_tradnl"/>
        </w:rPr>
        <w:t>pre en la zona de San Miguel, cercana a la zona de la ce</w:t>
      </w:r>
      <w:r>
        <w:rPr>
          <w:lang w:val="es-ES_tradnl"/>
        </w:rPr>
        <w:t>l</w:t>
      </w:r>
      <w:r>
        <w:rPr>
          <w:lang w:val="es-ES_tradnl"/>
        </w:rPr>
        <w:t>da mencionada y la cual se debía atravesar para llegar hasta allí.</w:t>
      </w:r>
    </w:p>
    <w:p w:rsidR="00224567" w:rsidRDefault="00224567">
      <w:pPr>
        <w:widowControl w:val="0"/>
        <w:rPr>
          <w:lang w:val="es-ES_tradnl"/>
        </w:rPr>
      </w:pPr>
      <w:r>
        <w:rPr>
          <w:lang w:val="es-ES_tradnl"/>
        </w:rPr>
        <w:tab/>
        <w:t>Mencionó que Nicolau no fue veraz cuando dijo, en la me</w:t>
      </w:r>
      <w:r>
        <w:rPr>
          <w:lang w:val="es-ES_tradnl"/>
        </w:rPr>
        <w:t>n</w:t>
      </w:r>
      <w:r>
        <w:rPr>
          <w:lang w:val="es-ES_tradnl"/>
        </w:rPr>
        <w:t xml:space="preserve">cionada declaración, que no fue a la zona norte en los años 1993, 1994 y 1995, puesto que en mayo de 1993 fue trasladado de </w:t>
      </w:r>
      <w:smartTag w:uri="urn:schemas-microsoft-com:office:smarttags" w:element="PersonName">
        <w:smartTagPr>
          <w:attr w:name="ProductID" w:val="la Brigada"/>
        </w:smartTagPr>
        <w:r>
          <w:rPr>
            <w:lang w:val="es-ES_tradnl"/>
          </w:rPr>
          <w:t>la Brigada</w:t>
        </w:r>
      </w:smartTag>
      <w:r>
        <w:rPr>
          <w:lang w:val="es-ES_tradnl"/>
        </w:rPr>
        <w:t xml:space="preserve"> de General Sa</w:t>
      </w:r>
      <w:r>
        <w:rPr>
          <w:lang w:val="es-ES_tradnl"/>
        </w:rPr>
        <w:t>r</w:t>
      </w:r>
      <w:r>
        <w:rPr>
          <w:lang w:val="es-ES_tradnl"/>
        </w:rPr>
        <w:t xml:space="preserve">miento (San Miguel) a </w:t>
      </w:r>
      <w:smartTag w:uri="urn:schemas-microsoft-com:office:smarttags" w:element="PersonName">
        <w:smartTagPr>
          <w:attr w:name="ProductID" w:val="la Brigada"/>
        </w:smartTagPr>
        <w:r>
          <w:rPr>
            <w:lang w:val="es-ES_tradnl"/>
          </w:rPr>
          <w:t>la Brigada</w:t>
        </w:r>
      </w:smartTag>
      <w:r>
        <w:rPr>
          <w:lang w:val="es-ES_tradnl"/>
        </w:rPr>
        <w:t xml:space="preserve"> de Lanús y a posteriori continuó yendo a la zona norte por motivos fam</w:t>
      </w:r>
      <w:r>
        <w:rPr>
          <w:lang w:val="es-ES_tradnl"/>
        </w:rPr>
        <w:t>i</w:t>
      </w:r>
      <w:r>
        <w:rPr>
          <w:lang w:val="es-ES_tradnl"/>
        </w:rPr>
        <w:t>liares.</w:t>
      </w:r>
    </w:p>
    <w:p w:rsidR="00224567" w:rsidRDefault="00224567">
      <w:pPr>
        <w:widowControl w:val="0"/>
        <w:rPr>
          <w:lang w:val="es-ES_tradnl"/>
        </w:rPr>
      </w:pPr>
      <w:r>
        <w:rPr>
          <w:lang w:val="es-ES_tradnl"/>
        </w:rPr>
        <w:tab/>
        <w:t>Agregó que en más de una ocasión el nombrado se hospedaba en el hotel Prince, ubicado en la calle Zubiría 1470 de San Miguel, propiedad del Sr. José Pérez, el cual tenía los teléfonos 664-1222 y 667-3105.</w:t>
      </w:r>
    </w:p>
    <w:p w:rsidR="00224567" w:rsidRDefault="00224567">
      <w:pPr>
        <w:widowControl w:val="0"/>
        <w:rPr>
          <w:lang w:val="es-ES_tradnl"/>
        </w:rPr>
      </w:pPr>
      <w:r>
        <w:rPr>
          <w:lang w:val="es-ES_tradnl"/>
        </w:rPr>
        <w:tab/>
        <w:t>Hizo entrega, como anexo I 1/13, de fotoc</w:t>
      </w:r>
      <w:r>
        <w:rPr>
          <w:lang w:val="es-ES_tradnl"/>
        </w:rPr>
        <w:t>o</w:t>
      </w:r>
      <w:r>
        <w:rPr>
          <w:lang w:val="es-ES_tradnl"/>
        </w:rPr>
        <w:t>pias de algunas de las hojas pertenecientes al libro de registro de pasajeros del hotel a</w:t>
      </w:r>
      <w:r>
        <w:rPr>
          <w:lang w:val="es-ES_tradnl"/>
        </w:rPr>
        <w:t>n</w:t>
      </w:r>
      <w:r>
        <w:rPr>
          <w:lang w:val="es-ES_tradnl"/>
        </w:rPr>
        <w:t>tes aludido, donde se encontraban subrayadas con rojo algunas de las estad</w:t>
      </w:r>
      <w:r>
        <w:rPr>
          <w:lang w:val="es-ES_tradnl"/>
        </w:rPr>
        <w:t>í</w:t>
      </w:r>
      <w:r>
        <w:rPr>
          <w:lang w:val="es-ES_tradnl"/>
        </w:rPr>
        <w:t>as de Nicolau.</w:t>
      </w:r>
    </w:p>
    <w:p w:rsidR="00224567" w:rsidRDefault="00224567">
      <w:pPr>
        <w:widowControl w:val="0"/>
        <w:rPr>
          <w:lang w:val="es-ES_tradnl"/>
        </w:rPr>
      </w:pPr>
      <w:r>
        <w:rPr>
          <w:lang w:val="es-ES_tradnl"/>
        </w:rPr>
        <w:tab/>
        <w:t>Por otro lado mencionó la foja 3145 del principal donde decía “...finalmente, cobra singular importancia la conversación mantenida entre Nicolau e Io</w:t>
      </w:r>
      <w:r>
        <w:rPr>
          <w:lang w:val="es-ES_tradnl"/>
        </w:rPr>
        <w:t>n</w:t>
      </w:r>
      <w:r>
        <w:rPr>
          <w:lang w:val="es-ES_tradnl"/>
        </w:rPr>
        <w:t>no, en cuanto a que ambos conocen que la camioneta Tr</w:t>
      </w:r>
      <w:r>
        <w:rPr>
          <w:lang w:val="es-ES_tradnl"/>
        </w:rPr>
        <w:t>a</w:t>
      </w:r>
      <w:r>
        <w:rPr>
          <w:lang w:val="es-ES_tradnl"/>
        </w:rPr>
        <w:t>fic pasó por las manos de su grupo y su eventual destino...”, mientras que en la declaración de Nicolau, obrante a fs. 3059 vuelta, éste s</w:t>
      </w:r>
      <w:r>
        <w:rPr>
          <w:lang w:val="es-ES_tradnl"/>
        </w:rPr>
        <w:t>e</w:t>
      </w:r>
      <w:r>
        <w:rPr>
          <w:lang w:val="es-ES_tradnl"/>
        </w:rPr>
        <w:t>ñaló textualmente: “...ante la escucha de la conversación manten</w:t>
      </w:r>
      <w:r>
        <w:rPr>
          <w:lang w:val="es-ES_tradnl"/>
        </w:rPr>
        <w:t>i</w:t>
      </w:r>
      <w:r>
        <w:rPr>
          <w:lang w:val="es-ES_tradnl"/>
        </w:rPr>
        <w:t>da,...refiere reconocer a una de las voces como propia del declarante y a la otra como la de Juan Io</w:t>
      </w:r>
      <w:r>
        <w:rPr>
          <w:lang w:val="es-ES_tradnl"/>
        </w:rPr>
        <w:t>n</w:t>
      </w:r>
      <w:r>
        <w:rPr>
          <w:lang w:val="es-ES_tradnl"/>
        </w:rPr>
        <w:t>no...Preguntado el compareciente para que diga si cuando se refiere al veh</w:t>
      </w:r>
      <w:r>
        <w:rPr>
          <w:lang w:val="es-ES_tradnl"/>
        </w:rPr>
        <w:t>í</w:t>
      </w:r>
      <w:r>
        <w:rPr>
          <w:lang w:val="es-ES_tradnl"/>
        </w:rPr>
        <w:t xml:space="preserve">culo está haciendo referencia a </w:t>
      </w:r>
      <w:smartTag w:uri="urn:schemas-microsoft-com:office:smarttags" w:element="PersonName">
        <w:smartTagPr>
          <w:attr w:name="ProductID" w:val="la Trafic"/>
        </w:smartTagPr>
        <w:r>
          <w:rPr>
            <w:lang w:val="es-ES_tradnl"/>
          </w:rPr>
          <w:t>la Trafic</w:t>
        </w:r>
      </w:smartTag>
      <w:r>
        <w:rPr>
          <w:lang w:val="es-ES_tradnl"/>
        </w:rPr>
        <w:t xml:space="preserve"> que poseía Telleldín, manifiesta que sí, que se r</w:t>
      </w:r>
      <w:r>
        <w:rPr>
          <w:lang w:val="es-ES_tradnl"/>
        </w:rPr>
        <w:t>e</w:t>
      </w:r>
      <w:r>
        <w:rPr>
          <w:lang w:val="es-ES_tradnl"/>
        </w:rPr>
        <w:t>fería a ese vehículo...”.</w:t>
      </w:r>
    </w:p>
    <w:p w:rsidR="00224567" w:rsidRDefault="00224567">
      <w:pPr>
        <w:widowControl w:val="0"/>
        <w:rPr>
          <w:lang w:val="es-ES_tradnl"/>
        </w:rPr>
      </w:pPr>
      <w:r>
        <w:rPr>
          <w:lang w:val="es-ES_tradnl"/>
        </w:rPr>
        <w:tab/>
        <w:t>En cuanto a la declaración prestada por Ionno, glosada a fs. 3063 y vuelta, dijo “...que en el llamado escuchado, Nicolau lo llamó equivocado y le tran</w:t>
      </w:r>
      <w:r>
        <w:rPr>
          <w:lang w:val="es-ES_tradnl"/>
        </w:rPr>
        <w:t>s</w:t>
      </w:r>
      <w:r>
        <w:rPr>
          <w:lang w:val="es-ES_tradnl"/>
        </w:rPr>
        <w:t>mitió lo que recogía en la calle y en los di</w:t>
      </w:r>
      <w:r>
        <w:rPr>
          <w:lang w:val="es-ES_tradnl"/>
        </w:rPr>
        <w:t>a</w:t>
      </w:r>
      <w:r>
        <w:rPr>
          <w:lang w:val="es-ES_tradnl"/>
        </w:rPr>
        <w:t>rios...Preguntado si el comentario realizado respecto de un vehículo se refiere a la camioneta Trafic investig</w:t>
      </w:r>
      <w:r>
        <w:rPr>
          <w:lang w:val="es-ES_tradnl"/>
        </w:rPr>
        <w:t>a</w:t>
      </w:r>
      <w:r>
        <w:rPr>
          <w:lang w:val="es-ES_tradnl"/>
        </w:rPr>
        <w:t>da, dijo que supone que debe ser ese vehículo, pero es una m</w:t>
      </w:r>
      <w:r>
        <w:rPr>
          <w:lang w:val="es-ES_tradnl"/>
        </w:rPr>
        <w:t>a</w:t>
      </w:r>
      <w:r>
        <w:rPr>
          <w:lang w:val="es-ES_tradnl"/>
        </w:rPr>
        <w:t>nifestación que hizo Nicolau...”.</w:t>
      </w:r>
    </w:p>
    <w:p w:rsidR="00224567" w:rsidRDefault="00224567">
      <w:pPr>
        <w:widowControl w:val="0"/>
        <w:rPr>
          <w:lang w:val="es-ES_tradnl"/>
        </w:rPr>
      </w:pPr>
      <w:r>
        <w:rPr>
          <w:lang w:val="es-ES_tradnl"/>
        </w:rPr>
        <w:tab/>
        <w:t>Ribelli explicó que a pesar de que trató de encontrar dentro de las actuaciones, el su</w:t>
      </w:r>
      <w:r>
        <w:rPr>
          <w:lang w:val="es-ES_tradnl"/>
        </w:rPr>
        <w:t>s</w:t>
      </w:r>
      <w:r>
        <w:rPr>
          <w:lang w:val="es-ES_tradnl"/>
        </w:rPr>
        <w:t>tento de la primer frase aludida, todavía existía el interroga</w:t>
      </w:r>
      <w:r>
        <w:rPr>
          <w:lang w:val="es-ES_tradnl"/>
        </w:rPr>
        <w:t>n</w:t>
      </w:r>
      <w:r>
        <w:rPr>
          <w:lang w:val="es-ES_tradnl"/>
        </w:rPr>
        <w:t xml:space="preserve">te acerca de dónde surgía que </w:t>
      </w:r>
      <w:smartTag w:uri="urn:schemas-microsoft-com:office:smarttags" w:element="PersonName">
        <w:smartTagPr>
          <w:attr w:name="ProductID" w:val="la Trafic"/>
        </w:smartTagPr>
        <w:r>
          <w:rPr>
            <w:lang w:val="es-ES_tradnl"/>
          </w:rPr>
          <w:t>la Trafic</w:t>
        </w:r>
      </w:smartTag>
      <w:r>
        <w:rPr>
          <w:lang w:val="es-ES_tradnl"/>
        </w:rPr>
        <w:t xml:space="preserve"> pasó por las manos del grupo.</w:t>
      </w:r>
    </w:p>
    <w:p w:rsidR="00224567" w:rsidRDefault="00224567">
      <w:pPr>
        <w:widowControl w:val="0"/>
        <w:rPr>
          <w:lang w:val="es-ES_tradnl"/>
        </w:rPr>
      </w:pPr>
      <w:r>
        <w:rPr>
          <w:lang w:val="es-ES_tradnl"/>
        </w:rPr>
        <w:tab/>
        <w:t xml:space="preserve">Señaló que el abonado 412-2690 desde su adquisición, fue instalado fijo en una oficina móvil, que se diseñó en </w:t>
      </w:r>
      <w:smartTag w:uri="urn:schemas-microsoft-com:office:smarttags" w:element="PersonName">
        <w:smartTagPr>
          <w:attr w:name="ProductID" w:val="la Brigada"/>
        </w:smartTagPr>
        <w:r>
          <w:rPr>
            <w:lang w:val="es-ES_tradnl"/>
          </w:rPr>
          <w:t>la Brigada</w:t>
        </w:r>
      </w:smartTag>
      <w:r>
        <w:rPr>
          <w:lang w:val="es-ES_tradnl"/>
        </w:rPr>
        <w:t xml:space="preserve"> de Investigaciones de Lanús hacia fines del año 1993, la cual constaba en su interior con equipos de computación conectados, por medio del si</w:t>
      </w:r>
      <w:r>
        <w:rPr>
          <w:lang w:val="es-ES_tradnl"/>
        </w:rPr>
        <w:t>s</w:t>
      </w:r>
      <w:r>
        <w:rPr>
          <w:lang w:val="es-ES_tradnl"/>
        </w:rPr>
        <w:t>tema de módem telefón</w:t>
      </w:r>
      <w:r>
        <w:rPr>
          <w:lang w:val="es-ES_tradnl"/>
        </w:rPr>
        <w:t>i</w:t>
      </w:r>
      <w:r>
        <w:rPr>
          <w:lang w:val="es-ES_tradnl"/>
        </w:rPr>
        <w:t xml:space="preserve">co con interfase para Movicom, a </w:t>
      </w:r>
      <w:smartTag w:uri="urn:schemas-microsoft-com:office:smarttags" w:element="PersonName">
        <w:smartTagPr>
          <w:attr w:name="ProductID" w:val="la Jefatura"/>
        </w:smartTagPr>
        <w:r>
          <w:rPr>
            <w:lang w:val="es-ES_tradnl"/>
          </w:rPr>
          <w:t>la Jefatura</w:t>
        </w:r>
      </w:smartTag>
      <w:r>
        <w:rPr>
          <w:lang w:val="es-ES_tradnl"/>
        </w:rPr>
        <w:t xml:space="preserve"> de Policía o al lugar que requiriera la dilige</w:t>
      </w:r>
      <w:r>
        <w:rPr>
          <w:lang w:val="es-ES_tradnl"/>
        </w:rPr>
        <w:t>n</w:t>
      </w:r>
      <w:r>
        <w:rPr>
          <w:lang w:val="es-ES_tradnl"/>
        </w:rPr>
        <w:t>cia que se llevaba a cabo.</w:t>
      </w:r>
    </w:p>
    <w:p w:rsidR="00224567" w:rsidRDefault="00224567">
      <w:pPr>
        <w:widowControl w:val="0"/>
        <w:rPr>
          <w:lang w:val="es-ES_tradnl"/>
        </w:rPr>
      </w:pPr>
      <w:r>
        <w:rPr>
          <w:lang w:val="es-ES_tradnl"/>
        </w:rPr>
        <w:tab/>
        <w:t>Describió que aquella poseía b</w:t>
      </w:r>
      <w:r>
        <w:rPr>
          <w:lang w:val="es-ES_tradnl"/>
        </w:rPr>
        <w:t>a</w:t>
      </w:r>
      <w:r>
        <w:rPr>
          <w:lang w:val="es-ES_tradnl"/>
        </w:rPr>
        <w:t xml:space="preserve">lizas a la vista, inscripciones de </w:t>
      </w:r>
      <w:smartTag w:uri="urn:schemas-microsoft-com:office:smarttags" w:element="PersonName">
        <w:smartTagPr>
          <w:attr w:name="ProductID" w:val="la Polic￭a Bonaerense"/>
        </w:smartTagPr>
        <w:r>
          <w:rPr>
            <w:lang w:val="es-ES_tradnl"/>
          </w:rPr>
          <w:t>la Policía Bona</w:t>
        </w:r>
        <w:r>
          <w:rPr>
            <w:lang w:val="es-ES_tradnl"/>
          </w:rPr>
          <w:t>e</w:t>
        </w:r>
        <w:r>
          <w:rPr>
            <w:lang w:val="es-ES_tradnl"/>
          </w:rPr>
          <w:t>rense</w:t>
        </w:r>
      </w:smartTag>
      <w:r>
        <w:rPr>
          <w:lang w:val="es-ES_tradnl"/>
        </w:rPr>
        <w:t xml:space="preserve"> y estaba montada sobre una camioneta provi</w:t>
      </w:r>
      <w:r>
        <w:rPr>
          <w:lang w:val="es-ES_tradnl"/>
        </w:rPr>
        <w:t>s</w:t>
      </w:r>
      <w:r>
        <w:rPr>
          <w:lang w:val="es-ES_tradnl"/>
        </w:rPr>
        <w:t>ta Chevrolet Luv 2300.</w:t>
      </w:r>
    </w:p>
    <w:p w:rsidR="00224567" w:rsidRDefault="00224567">
      <w:pPr>
        <w:widowControl w:val="0"/>
        <w:rPr>
          <w:lang w:val="es-ES_tradnl"/>
        </w:rPr>
      </w:pPr>
      <w:r>
        <w:rPr>
          <w:lang w:val="es-ES_tradnl"/>
        </w:rPr>
        <w:t>Además, precisó que era un móvil tecnológico policial, porque desde la misma, se podía operar como si se estuvi</w:t>
      </w:r>
      <w:r>
        <w:rPr>
          <w:lang w:val="es-ES_tradnl"/>
        </w:rPr>
        <w:t>e</w:t>
      </w:r>
      <w:r>
        <w:rPr>
          <w:lang w:val="es-ES_tradnl"/>
        </w:rPr>
        <w:t>ra en la dependencia policial y que su uso era de</w:t>
      </w:r>
      <w:r>
        <w:rPr>
          <w:lang w:val="es-ES_tradnl"/>
        </w:rPr>
        <w:t>s</w:t>
      </w:r>
      <w:r>
        <w:rPr>
          <w:lang w:val="es-ES_tradnl"/>
        </w:rPr>
        <w:t>tinado a cubrir eventuales hechos importantes y reconstrucciones cuando la solicitaban magistr</w:t>
      </w:r>
      <w:r>
        <w:rPr>
          <w:lang w:val="es-ES_tradnl"/>
        </w:rPr>
        <w:t>a</w:t>
      </w:r>
      <w:r>
        <w:rPr>
          <w:lang w:val="es-ES_tradnl"/>
        </w:rPr>
        <w:t>dos, entre otros.</w:t>
      </w:r>
    </w:p>
    <w:p w:rsidR="00224567" w:rsidRDefault="00224567">
      <w:pPr>
        <w:widowControl w:val="0"/>
        <w:rPr>
          <w:lang w:val="es-ES_tradnl"/>
        </w:rPr>
      </w:pPr>
      <w:r>
        <w:rPr>
          <w:lang w:val="es-ES_tradnl"/>
        </w:rPr>
        <w:tab/>
        <w:t>Luego, hizo entrega del anexo J 1/6 que ilustraba acerca del móvil antes señalado, y subrayó en el adjunto J 2 la publicación de la revista instituci</w:t>
      </w:r>
      <w:r>
        <w:rPr>
          <w:lang w:val="es-ES_tradnl"/>
        </w:rPr>
        <w:t>o</w:t>
      </w:r>
      <w:r>
        <w:rPr>
          <w:lang w:val="es-ES_tradnl"/>
        </w:rPr>
        <w:t>nal Policía Bonaerense 1994 –año II número I-, la frase textual “...conectado a un teléfono celular móvil...” en clara alusión al celular antes citado.</w:t>
      </w:r>
    </w:p>
    <w:p w:rsidR="00224567" w:rsidRDefault="00224567">
      <w:pPr>
        <w:widowControl w:val="0"/>
        <w:rPr>
          <w:lang w:val="es-ES_tradnl"/>
        </w:rPr>
      </w:pPr>
      <w:r>
        <w:rPr>
          <w:lang w:val="es-ES_tradnl"/>
        </w:rPr>
        <w:tab/>
        <w:t>Concluyó, que los llamados registr</w:t>
      </w:r>
      <w:r>
        <w:rPr>
          <w:lang w:val="es-ES_tradnl"/>
        </w:rPr>
        <w:t>a</w:t>
      </w:r>
      <w:r>
        <w:rPr>
          <w:lang w:val="es-ES_tradnl"/>
        </w:rPr>
        <w:t>dos emitidos y/o recibidos por ese celular debían haber sido efectuados desde aquél móvil, estimando que al ser ident</w:t>
      </w:r>
      <w:r>
        <w:rPr>
          <w:lang w:val="es-ES_tradnl"/>
        </w:rPr>
        <w:t>i</w:t>
      </w:r>
      <w:r>
        <w:rPr>
          <w:lang w:val="es-ES_tradnl"/>
        </w:rPr>
        <w:t>ficable, era imposible que con el mismo se pretendieran hacer tareas de inteligencia.</w:t>
      </w:r>
    </w:p>
    <w:p w:rsidR="00224567" w:rsidRDefault="00224567">
      <w:pPr>
        <w:widowControl w:val="0"/>
        <w:rPr>
          <w:lang w:val="es-ES_tradnl"/>
        </w:rPr>
      </w:pPr>
      <w:r>
        <w:rPr>
          <w:lang w:val="es-ES_tradnl"/>
        </w:rPr>
        <w:tab/>
        <w:t>Expuso que estuvo tratando de enco</w:t>
      </w:r>
      <w:r>
        <w:rPr>
          <w:lang w:val="es-ES_tradnl"/>
        </w:rPr>
        <w:t>n</w:t>
      </w:r>
      <w:r>
        <w:rPr>
          <w:lang w:val="es-ES_tradnl"/>
        </w:rPr>
        <w:t>trar una explicación de por qué el celular nº 448-0447 r</w:t>
      </w:r>
      <w:r>
        <w:rPr>
          <w:lang w:val="es-ES_tradnl"/>
        </w:rPr>
        <w:t>e</w:t>
      </w:r>
      <w:r>
        <w:rPr>
          <w:lang w:val="es-ES_tradnl"/>
        </w:rPr>
        <w:t xml:space="preserve">gistrado a su nombre, registró el día 28 de mayo de </w:t>
      </w:r>
      <w:smartTag w:uri="urn:schemas-microsoft-com:office:smarttags" w:element="metricconverter">
        <w:smartTagPr>
          <w:attr w:name="ProductID" w:val="1994 a"/>
        </w:smartTagPr>
        <w:r>
          <w:rPr>
            <w:lang w:val="es-ES_tradnl"/>
          </w:rPr>
          <w:t>1994 a</w:t>
        </w:r>
      </w:smartTag>
      <w:r>
        <w:rPr>
          <w:lang w:val="es-ES_tradnl"/>
        </w:rPr>
        <w:t xml:space="preserve"> las 14.08 y a las 14.26 llamados al abonado nº 768-0902.</w:t>
      </w:r>
    </w:p>
    <w:p w:rsidR="00224567" w:rsidRDefault="00224567">
      <w:pPr>
        <w:widowControl w:val="0"/>
        <w:rPr>
          <w:lang w:val="es-ES_tradnl"/>
        </w:rPr>
      </w:pPr>
      <w:r>
        <w:rPr>
          <w:lang w:val="es-ES_tradnl"/>
        </w:rPr>
        <w:tab/>
        <w:t>Para ello procedió a obtener de la firma Movicom llamados emitidos y/o recibidos por ese c</w:t>
      </w:r>
      <w:r>
        <w:rPr>
          <w:lang w:val="es-ES_tradnl"/>
        </w:rPr>
        <w:t>e</w:t>
      </w:r>
      <w:r>
        <w:rPr>
          <w:lang w:val="es-ES_tradnl"/>
        </w:rPr>
        <w:t>lular en ese día y cercanos al mismo, y advi</w:t>
      </w:r>
      <w:r>
        <w:rPr>
          <w:lang w:val="es-ES_tradnl"/>
        </w:rPr>
        <w:t>r</w:t>
      </w:r>
      <w:r>
        <w:rPr>
          <w:lang w:val="es-ES_tradnl"/>
        </w:rPr>
        <w:t>tió que entre ellos figuraba el número de una agencia de automotores perteneciente al Sr. Reinaldo Álvarez, persona de su con</w:t>
      </w:r>
      <w:r>
        <w:rPr>
          <w:lang w:val="es-ES_tradnl"/>
        </w:rPr>
        <w:t>o</w:t>
      </w:r>
      <w:r>
        <w:rPr>
          <w:lang w:val="es-ES_tradnl"/>
        </w:rPr>
        <w:t>cimiento.</w:t>
      </w:r>
    </w:p>
    <w:p w:rsidR="00224567" w:rsidRDefault="00224567">
      <w:pPr>
        <w:widowControl w:val="0"/>
        <w:rPr>
          <w:lang w:val="es-ES_tradnl"/>
        </w:rPr>
      </w:pPr>
      <w:r>
        <w:rPr>
          <w:lang w:val="es-ES_tradnl"/>
        </w:rPr>
        <w:tab/>
        <w:t>Relató que dicha agencia se encontr</w:t>
      </w:r>
      <w:r>
        <w:rPr>
          <w:lang w:val="es-ES_tradnl"/>
        </w:rPr>
        <w:t>a</w:t>
      </w:r>
      <w:r>
        <w:rPr>
          <w:lang w:val="es-ES_tradnl"/>
        </w:rPr>
        <w:t>ba ubicada en la calle Hipólito Yrigoyen 7031 de Banfield, provincia de Buenos Aires, recordando que, en más de una ocasión -y en especial los fines de semana- cuando s</w:t>
      </w:r>
      <w:r>
        <w:rPr>
          <w:lang w:val="es-ES_tradnl"/>
        </w:rPr>
        <w:t>a</w:t>
      </w:r>
      <w:r>
        <w:rPr>
          <w:lang w:val="es-ES_tradnl"/>
        </w:rPr>
        <w:t>lía a adquirir algún vehículo, le prestaba el c</w:t>
      </w:r>
      <w:r>
        <w:rPr>
          <w:lang w:val="es-ES_tradnl"/>
        </w:rPr>
        <w:t>e</w:t>
      </w:r>
      <w:r>
        <w:rPr>
          <w:lang w:val="es-ES_tradnl"/>
        </w:rPr>
        <w:t>lular.</w:t>
      </w:r>
    </w:p>
    <w:p w:rsidR="00224567" w:rsidRDefault="00224567">
      <w:pPr>
        <w:widowControl w:val="0"/>
        <w:rPr>
          <w:lang w:val="es-ES_tradnl"/>
        </w:rPr>
      </w:pPr>
      <w:r>
        <w:rPr>
          <w:lang w:val="es-ES_tradnl"/>
        </w:rPr>
        <w:tab/>
        <w:t>Por consiguiente, le surgió la idea de investigar uno por uno los llamados anteriores y posteri</w:t>
      </w:r>
      <w:r>
        <w:rPr>
          <w:lang w:val="es-ES_tradnl"/>
        </w:rPr>
        <w:t>o</w:t>
      </w:r>
      <w:r>
        <w:rPr>
          <w:lang w:val="es-ES_tradnl"/>
        </w:rPr>
        <w:t>res a los del nº 768-0902, para ver si por c</w:t>
      </w:r>
      <w:r>
        <w:rPr>
          <w:lang w:val="es-ES_tradnl"/>
        </w:rPr>
        <w:t>a</w:t>
      </w:r>
      <w:r>
        <w:rPr>
          <w:lang w:val="es-ES_tradnl"/>
        </w:rPr>
        <w:t>sualidad, se podían corresponder con alguna operación comercial que h</w:t>
      </w:r>
      <w:r>
        <w:rPr>
          <w:lang w:val="es-ES_tradnl"/>
        </w:rPr>
        <w:t>u</w:t>
      </w:r>
      <w:r>
        <w:rPr>
          <w:lang w:val="es-ES_tradnl"/>
        </w:rPr>
        <w:t>biera realizado el antes nombrado.</w:t>
      </w:r>
    </w:p>
    <w:p w:rsidR="00224567" w:rsidRDefault="00224567">
      <w:pPr>
        <w:widowControl w:val="0"/>
        <w:rPr>
          <w:lang w:val="es-ES_tradnl"/>
        </w:rPr>
      </w:pPr>
      <w:r>
        <w:rPr>
          <w:lang w:val="es-ES_tradnl"/>
        </w:rPr>
        <w:tab/>
        <w:t>Así, a través de la hemeroteca del H</w:t>
      </w:r>
      <w:r>
        <w:rPr>
          <w:lang w:val="es-ES_tradnl"/>
        </w:rPr>
        <w:t>o</w:t>
      </w:r>
      <w:r>
        <w:rPr>
          <w:lang w:val="es-ES_tradnl"/>
        </w:rPr>
        <w:t xml:space="preserve">norable Consejo Deliberante de </w:t>
      </w:r>
      <w:smartTag w:uri="urn:schemas-microsoft-com:office:smarttags" w:element="PersonName">
        <w:smartTagPr>
          <w:attr w:name="ProductID" w:val="la Ciudad"/>
        </w:smartTagPr>
        <w:r>
          <w:rPr>
            <w:lang w:val="es-ES_tradnl"/>
          </w:rPr>
          <w:t>la Ciudad</w:t>
        </w:r>
      </w:smartTag>
      <w:r>
        <w:rPr>
          <w:lang w:val="es-ES_tradnl"/>
        </w:rPr>
        <w:t xml:space="preserve"> de Buenos A</w:t>
      </w:r>
      <w:r>
        <w:rPr>
          <w:lang w:val="es-ES_tradnl"/>
        </w:rPr>
        <w:t>i</w:t>
      </w:r>
      <w:r>
        <w:rPr>
          <w:lang w:val="es-ES_tradnl"/>
        </w:rPr>
        <w:t>res, sita en la calle Perú 130 de esta capital, obtuvo avisos clasificados del rubro automotor del día 28 de mayo de 1994, anteriores y posteriores, estableciendo que en la columna nº 2, de la página 72 de la edición del diario Clarín del día antes indicado, se publicó un aviso de ve</w:t>
      </w:r>
      <w:r>
        <w:rPr>
          <w:lang w:val="es-ES_tradnl"/>
        </w:rPr>
        <w:t>n</w:t>
      </w:r>
      <w:r>
        <w:rPr>
          <w:lang w:val="es-ES_tradnl"/>
        </w:rPr>
        <w:t>ta de un automotor con el teléfono nº 768-0902, y que ta</w:t>
      </w:r>
      <w:r>
        <w:rPr>
          <w:lang w:val="es-ES_tradnl"/>
        </w:rPr>
        <w:t>n</w:t>
      </w:r>
      <w:r>
        <w:rPr>
          <w:lang w:val="es-ES_tradnl"/>
        </w:rPr>
        <w:t>to en esa columna como en la nº 1, aparecían diferentes avisos de venta, cuyos números de teléfonos se correspo</w:t>
      </w:r>
      <w:r>
        <w:rPr>
          <w:lang w:val="es-ES_tradnl"/>
        </w:rPr>
        <w:t>n</w:t>
      </w:r>
      <w:r>
        <w:rPr>
          <w:lang w:val="es-ES_tradnl"/>
        </w:rPr>
        <w:t>dían en forma secue</w:t>
      </w:r>
      <w:r>
        <w:rPr>
          <w:lang w:val="es-ES_tradnl"/>
        </w:rPr>
        <w:t>n</w:t>
      </w:r>
      <w:r>
        <w:rPr>
          <w:lang w:val="es-ES_tradnl"/>
        </w:rPr>
        <w:t>cial con los obrantes en el listado de llamados aportados por la empresa M</w:t>
      </w:r>
      <w:r>
        <w:rPr>
          <w:lang w:val="es-ES_tradnl"/>
        </w:rPr>
        <w:t>o</w:t>
      </w:r>
      <w:r>
        <w:rPr>
          <w:lang w:val="es-ES_tradnl"/>
        </w:rPr>
        <w:t>vicom.</w:t>
      </w:r>
    </w:p>
    <w:p w:rsidR="00224567" w:rsidRDefault="00224567">
      <w:pPr>
        <w:widowControl w:val="0"/>
        <w:rPr>
          <w:lang w:val="es-ES_tradnl"/>
        </w:rPr>
      </w:pPr>
      <w:r>
        <w:rPr>
          <w:lang w:val="es-ES_tradnl"/>
        </w:rPr>
        <w:tab/>
        <w:t>El detalle que efectuó fue el siguie</w:t>
      </w:r>
      <w:r>
        <w:rPr>
          <w:lang w:val="es-ES_tradnl"/>
        </w:rPr>
        <w:t>n</w:t>
      </w:r>
      <w:r>
        <w:rPr>
          <w:lang w:val="es-ES_tradnl"/>
        </w:rPr>
        <w:t>te: 14.07 al 521-8838 (columna nº 2); 14.08 al 768-0902 (columna nº 2); 14.12 al 602-5162 (columna nº 2); 14.26 al 768-0902 (columna nº 2); 14.28 al 484-2840 (columna nº 1); 14.30 al 248-2403 (columna nº 1); 17.18 al 521-8831 (rep</w:t>
      </w:r>
      <w:r>
        <w:rPr>
          <w:lang w:val="es-ES_tradnl"/>
        </w:rPr>
        <w:t>i</w:t>
      </w:r>
      <w:r>
        <w:rPr>
          <w:lang w:val="es-ES_tradnl"/>
        </w:rPr>
        <w:t>te el primer llamado, en columna 2); todos ellos perten</w:t>
      </w:r>
      <w:r>
        <w:rPr>
          <w:lang w:val="es-ES_tradnl"/>
        </w:rPr>
        <w:t>e</w:t>
      </w:r>
      <w:r>
        <w:rPr>
          <w:lang w:val="es-ES_tradnl"/>
        </w:rPr>
        <w:t>cientes a la página 72 del diario Clarín del día 28 de m</w:t>
      </w:r>
      <w:r>
        <w:rPr>
          <w:lang w:val="es-ES_tradnl"/>
        </w:rPr>
        <w:t>a</w:t>
      </w:r>
      <w:r>
        <w:rPr>
          <w:lang w:val="es-ES_tradnl"/>
        </w:rPr>
        <w:t>yo de 1994 que en fotocopia entregó al trib</w:t>
      </w:r>
      <w:r>
        <w:rPr>
          <w:lang w:val="es-ES_tradnl"/>
        </w:rPr>
        <w:t>u</w:t>
      </w:r>
      <w:r>
        <w:rPr>
          <w:lang w:val="es-ES_tradnl"/>
        </w:rPr>
        <w:t>nal como anexo K 3.</w:t>
      </w:r>
    </w:p>
    <w:p w:rsidR="00224567" w:rsidRDefault="00224567">
      <w:pPr>
        <w:widowControl w:val="0"/>
        <w:rPr>
          <w:lang w:val="es-ES_tradnl"/>
        </w:rPr>
      </w:pPr>
      <w:r>
        <w:rPr>
          <w:lang w:val="es-ES_tradnl"/>
        </w:rPr>
        <w:tab/>
        <w:t>Acompañó también el anexo K 1 (regi</w:t>
      </w:r>
      <w:r>
        <w:rPr>
          <w:lang w:val="es-ES_tradnl"/>
        </w:rPr>
        <w:t>s</w:t>
      </w:r>
      <w:r>
        <w:rPr>
          <w:lang w:val="es-ES_tradnl"/>
        </w:rPr>
        <w:t>tro de llamados de Movicom) y el anexo K 2 (listado de c</w:t>
      </w:r>
      <w:r>
        <w:rPr>
          <w:lang w:val="es-ES_tradnl"/>
        </w:rPr>
        <w:t>o</w:t>
      </w:r>
      <w:r>
        <w:rPr>
          <w:lang w:val="es-ES_tradnl"/>
        </w:rPr>
        <w:t>rrespondencia entre los llamados que figuran en K 1 y de lo explicado previamente).</w:t>
      </w:r>
    </w:p>
    <w:p w:rsidR="00224567" w:rsidRDefault="00224567">
      <w:pPr>
        <w:widowControl w:val="0"/>
        <w:rPr>
          <w:lang w:val="es-ES_tradnl"/>
        </w:rPr>
      </w:pPr>
      <w:r>
        <w:rPr>
          <w:lang w:val="es-ES_tradnl"/>
        </w:rPr>
        <w:tab/>
        <w:t>Además, hizo entrega de una public</w:t>
      </w:r>
      <w:r>
        <w:rPr>
          <w:lang w:val="es-ES_tradnl"/>
        </w:rPr>
        <w:t>a</w:t>
      </w:r>
      <w:r>
        <w:rPr>
          <w:lang w:val="es-ES_tradnl"/>
        </w:rPr>
        <w:t>ción efe</w:t>
      </w:r>
      <w:r>
        <w:rPr>
          <w:lang w:val="es-ES_tradnl"/>
        </w:rPr>
        <w:t>c</w:t>
      </w:r>
      <w:r>
        <w:rPr>
          <w:lang w:val="es-ES_tradnl"/>
        </w:rPr>
        <w:t xml:space="preserve">tuada por el mismo diario con fecha 29 de mayo de 1994 al que identificó como K 4. </w:t>
      </w:r>
    </w:p>
    <w:p w:rsidR="00224567" w:rsidRDefault="00224567">
      <w:pPr>
        <w:widowControl w:val="0"/>
        <w:rPr>
          <w:lang w:val="es-ES_tradnl"/>
        </w:rPr>
      </w:pPr>
      <w:r>
        <w:rPr>
          <w:lang w:val="es-ES_tradnl"/>
        </w:rPr>
        <w:tab/>
        <w:t>Destacó que en el anexo K 1, en el día 29 de mayo de 1994, siguieron apareciendo llamados a núm</w:t>
      </w:r>
      <w:r>
        <w:rPr>
          <w:lang w:val="es-ES_tradnl"/>
        </w:rPr>
        <w:t>e</w:t>
      </w:r>
      <w:r>
        <w:rPr>
          <w:lang w:val="es-ES_tradnl"/>
        </w:rPr>
        <w:t>ros telefónicos que se correspondían en forma secuencial con las publicaciones de venta de a</w:t>
      </w:r>
      <w:r>
        <w:rPr>
          <w:lang w:val="es-ES_tradnl"/>
        </w:rPr>
        <w:t>u</w:t>
      </w:r>
      <w:r>
        <w:rPr>
          <w:lang w:val="es-ES_tradnl"/>
        </w:rPr>
        <w:t>tomotores (K 4), según el siguiente detalle: 9.43 al 923-2448; 9.44 al 768-2101; 9.46 al 633-5869; 9.47 al 568-6572; todos obrantes en la columna nº 6 de la página 70 del suplemento de clasific</w:t>
      </w:r>
      <w:r>
        <w:rPr>
          <w:lang w:val="es-ES_tradnl"/>
        </w:rPr>
        <w:t>a</w:t>
      </w:r>
      <w:r>
        <w:rPr>
          <w:lang w:val="es-ES_tradnl"/>
        </w:rPr>
        <w:t>dos del diario Clarín. A las 10.53 del día 29 de mayo de 1994 se repitió un llamado al 521-8831, el que se corre</w:t>
      </w:r>
      <w:r>
        <w:rPr>
          <w:lang w:val="es-ES_tradnl"/>
        </w:rPr>
        <w:t>s</w:t>
      </w:r>
      <w:r>
        <w:rPr>
          <w:lang w:val="es-ES_tradnl"/>
        </w:rPr>
        <w:t>pondía con la primera comunicación del día anterior. Acl</w:t>
      </w:r>
      <w:r>
        <w:rPr>
          <w:lang w:val="es-ES_tradnl"/>
        </w:rPr>
        <w:t>a</w:t>
      </w:r>
      <w:r>
        <w:rPr>
          <w:lang w:val="es-ES_tradnl"/>
        </w:rPr>
        <w:t>ró que dicha correspondencia también obraba en el anexo K 2.</w:t>
      </w:r>
    </w:p>
    <w:p w:rsidR="00224567" w:rsidRDefault="00224567">
      <w:pPr>
        <w:widowControl w:val="0"/>
        <w:rPr>
          <w:lang w:val="es-ES_tradnl"/>
        </w:rPr>
      </w:pPr>
      <w:r>
        <w:rPr>
          <w:lang w:val="es-ES_tradnl"/>
        </w:rPr>
        <w:tab/>
        <w:t>De este modo, concluyó en que los r</w:t>
      </w:r>
      <w:r>
        <w:rPr>
          <w:lang w:val="es-ES_tradnl"/>
        </w:rPr>
        <w:t>e</w:t>
      </w:r>
      <w:r>
        <w:rPr>
          <w:lang w:val="es-ES_tradnl"/>
        </w:rPr>
        <w:t>gistros de llamados al nº 768-0902 fueron efectuados en forma casual y con relación al normal dese</w:t>
      </w:r>
      <w:r>
        <w:rPr>
          <w:lang w:val="es-ES_tradnl"/>
        </w:rPr>
        <w:t>n</w:t>
      </w:r>
      <w:r>
        <w:rPr>
          <w:lang w:val="es-ES_tradnl"/>
        </w:rPr>
        <w:t>volvimiento de lo que era una operación de compra de algún automotor a través de avisos clasific</w:t>
      </w:r>
      <w:r>
        <w:rPr>
          <w:lang w:val="es-ES_tradnl"/>
        </w:rPr>
        <w:t>a</w:t>
      </w:r>
      <w:r>
        <w:rPr>
          <w:lang w:val="es-ES_tradnl"/>
        </w:rPr>
        <w:t>dos del diario.</w:t>
      </w:r>
    </w:p>
    <w:p w:rsidR="00224567" w:rsidRDefault="00224567">
      <w:pPr>
        <w:widowControl w:val="0"/>
        <w:rPr>
          <w:lang w:val="es-ES_tradnl"/>
        </w:rPr>
      </w:pPr>
      <w:r>
        <w:rPr>
          <w:lang w:val="es-ES_tradnl"/>
        </w:rPr>
        <w:tab/>
        <w:t>Para reforzar más la teoría que su</w:t>
      </w:r>
      <w:r>
        <w:rPr>
          <w:lang w:val="es-ES_tradnl"/>
        </w:rPr>
        <w:t>s</w:t>
      </w:r>
      <w:r>
        <w:rPr>
          <w:lang w:val="es-ES_tradnl"/>
        </w:rPr>
        <w:t>tentaba, manifestó que envió a consultar a Reinaldo Álv</w:t>
      </w:r>
      <w:r>
        <w:rPr>
          <w:lang w:val="es-ES_tradnl"/>
        </w:rPr>
        <w:t>a</w:t>
      </w:r>
      <w:r>
        <w:rPr>
          <w:lang w:val="es-ES_tradnl"/>
        </w:rPr>
        <w:t>rez si recordaba haber averiguado o adquirido para esa época una camioneta Trafic, en correspondencia a los av</w:t>
      </w:r>
      <w:r>
        <w:rPr>
          <w:lang w:val="es-ES_tradnl"/>
        </w:rPr>
        <w:t>i</w:t>
      </w:r>
      <w:r>
        <w:rPr>
          <w:lang w:val="es-ES_tradnl"/>
        </w:rPr>
        <w:t>sos clasificados antes detallados, informándole que efe</w:t>
      </w:r>
      <w:r>
        <w:rPr>
          <w:lang w:val="es-ES_tradnl"/>
        </w:rPr>
        <w:t>c</w:t>
      </w:r>
      <w:r>
        <w:rPr>
          <w:lang w:val="es-ES_tradnl"/>
        </w:rPr>
        <w:t xml:space="preserve">tivamente, para esa fecha había adquirido una camioneta Trafic patente C </w:t>
      </w:r>
      <w:smartTag w:uri="urn:schemas-microsoft-com:office:smarttags" w:element="metricconverter">
        <w:smartTagPr>
          <w:attr w:name="ProductID" w:val="1.589.999 a"/>
        </w:smartTagPr>
        <w:r>
          <w:rPr>
            <w:lang w:val="es-ES_tradnl"/>
          </w:rPr>
          <w:t>1.589.999 a</w:t>
        </w:r>
      </w:smartTag>
      <w:r>
        <w:rPr>
          <w:lang w:val="es-ES_tradnl"/>
        </w:rPr>
        <w:t xml:space="preserve"> un señor de nombre Cebrero con domicilio en la calle Monroe 4891 de Capital Federal, enviándole la constancia de </w:t>
      </w:r>
      <w:smartTag w:uri="urn:schemas-microsoft-com:office:smarttags" w:element="PersonName">
        <w:smartTagPr>
          <w:attr w:name="ProductID" w:val="la Direcci￳n General"/>
        </w:smartTagPr>
        <w:r>
          <w:rPr>
            <w:lang w:val="es-ES_tradnl"/>
          </w:rPr>
          <w:t>la Dirección General</w:t>
        </w:r>
      </w:smartTag>
      <w:r>
        <w:rPr>
          <w:lang w:val="es-ES_tradnl"/>
        </w:rPr>
        <w:t xml:space="preserve"> de Re</w:t>
      </w:r>
      <w:r>
        <w:rPr>
          <w:lang w:val="es-ES_tradnl"/>
        </w:rPr>
        <w:t>n</w:t>
      </w:r>
      <w:r>
        <w:rPr>
          <w:lang w:val="es-ES_tradnl"/>
        </w:rPr>
        <w:t>tas, que hizo entrega como anexo K 5, constancia de renta perteneciente a dicho automotor, donde figuraba como tit</w:t>
      </w:r>
      <w:r>
        <w:rPr>
          <w:lang w:val="es-ES_tradnl"/>
        </w:rPr>
        <w:t>u</w:t>
      </w:r>
      <w:r>
        <w:rPr>
          <w:lang w:val="es-ES_tradnl"/>
        </w:rPr>
        <w:t>lar César Cebrero y/o Salsacate, calle Monroe 4891 de C</w:t>
      </w:r>
      <w:r>
        <w:rPr>
          <w:lang w:val="es-ES_tradnl"/>
        </w:rPr>
        <w:t>a</w:t>
      </w:r>
      <w:r>
        <w:rPr>
          <w:lang w:val="es-ES_tradnl"/>
        </w:rPr>
        <w:t>pital Federal.</w:t>
      </w:r>
    </w:p>
    <w:p w:rsidR="00224567" w:rsidRDefault="00224567">
      <w:pPr>
        <w:widowControl w:val="0"/>
        <w:rPr>
          <w:lang w:val="es-ES_tradnl"/>
        </w:rPr>
      </w:pPr>
      <w:r>
        <w:rPr>
          <w:lang w:val="es-ES_tradnl"/>
        </w:rPr>
        <w:tab/>
        <w:t>Agregó que este domicilio se corre</w:t>
      </w:r>
      <w:r>
        <w:rPr>
          <w:lang w:val="es-ES_tradnl"/>
        </w:rPr>
        <w:t>s</w:t>
      </w:r>
      <w:r>
        <w:rPr>
          <w:lang w:val="es-ES_tradnl"/>
        </w:rPr>
        <w:t>pondió con el del aviso clasificado de la columna 2, pág</w:t>
      </w:r>
      <w:r>
        <w:rPr>
          <w:lang w:val="es-ES_tradnl"/>
        </w:rPr>
        <w:t>i</w:t>
      </w:r>
      <w:r>
        <w:rPr>
          <w:lang w:val="es-ES_tradnl"/>
        </w:rPr>
        <w:t>na 72 de la edición del diario Clarín del 28 de mayo de 1994, donde figuraba el tel</w:t>
      </w:r>
      <w:r>
        <w:rPr>
          <w:lang w:val="es-ES_tradnl"/>
        </w:rPr>
        <w:t>é</w:t>
      </w:r>
      <w:r>
        <w:rPr>
          <w:lang w:val="es-ES_tradnl"/>
        </w:rPr>
        <w:t>fono nº 521-8831.</w:t>
      </w:r>
    </w:p>
    <w:p w:rsidR="00224567" w:rsidRDefault="00224567">
      <w:pPr>
        <w:widowControl w:val="0"/>
        <w:rPr>
          <w:lang w:val="es-ES_tradnl"/>
        </w:rPr>
      </w:pPr>
      <w:r>
        <w:rPr>
          <w:lang w:val="es-ES_tradnl"/>
        </w:rPr>
        <w:tab/>
        <w:t>Remarcó que aquél rodado fue transf</w:t>
      </w:r>
      <w:r>
        <w:rPr>
          <w:lang w:val="es-ES_tradnl"/>
        </w:rPr>
        <w:t>e</w:t>
      </w:r>
      <w:r>
        <w:rPr>
          <w:lang w:val="es-ES_tradnl"/>
        </w:rPr>
        <w:t xml:space="preserve">rido por Álvarez a su nombre, el día 30 de mayo de 1994 y vendido el 23 de octubre de </w:t>
      </w:r>
      <w:smartTag w:uri="urn:schemas-microsoft-com:office:smarttags" w:element="metricconverter">
        <w:smartTagPr>
          <w:attr w:name="ProductID" w:val="1996 a"/>
        </w:smartTagPr>
        <w:r>
          <w:rPr>
            <w:lang w:val="es-ES_tradnl"/>
          </w:rPr>
          <w:t>1996 a</w:t>
        </w:r>
      </w:smartTag>
      <w:r>
        <w:rPr>
          <w:lang w:val="es-ES_tradnl"/>
        </w:rPr>
        <w:t xml:space="preserve"> la firma Mar Sal S.R.L., sita en L. S. Peña 2057 de C</w:t>
      </w:r>
      <w:r>
        <w:rPr>
          <w:lang w:val="es-ES_tradnl"/>
        </w:rPr>
        <w:t>a</w:t>
      </w:r>
      <w:r>
        <w:rPr>
          <w:lang w:val="es-ES_tradnl"/>
        </w:rPr>
        <w:t>pital Federal.</w:t>
      </w:r>
    </w:p>
    <w:p w:rsidR="00224567" w:rsidRDefault="00224567">
      <w:pPr>
        <w:widowControl w:val="0"/>
        <w:rPr>
          <w:lang w:val="es-ES_tradnl"/>
        </w:rPr>
      </w:pPr>
      <w:r>
        <w:rPr>
          <w:lang w:val="es-ES_tradnl"/>
        </w:rPr>
        <w:tab/>
        <w:t>Alegó que lo expuesto precedent</w:t>
      </w:r>
      <w:r>
        <w:rPr>
          <w:lang w:val="es-ES_tradnl"/>
        </w:rPr>
        <w:t>e</w:t>
      </w:r>
      <w:r>
        <w:rPr>
          <w:lang w:val="es-ES_tradnl"/>
        </w:rPr>
        <w:t>mente fue la explicación real que encontró de por qué se hall</w:t>
      </w:r>
      <w:r>
        <w:rPr>
          <w:lang w:val="es-ES_tradnl"/>
        </w:rPr>
        <w:t>a</w:t>
      </w:r>
      <w:r>
        <w:rPr>
          <w:lang w:val="es-ES_tradnl"/>
        </w:rPr>
        <w:t>ron esos registros al nº 768-0902, en un celular que se hallaba bajo titularidad del declarante, ci</w:t>
      </w:r>
      <w:r>
        <w:rPr>
          <w:lang w:val="es-ES_tradnl"/>
        </w:rPr>
        <w:t>r</w:t>
      </w:r>
      <w:r>
        <w:rPr>
          <w:lang w:val="es-ES_tradnl"/>
        </w:rPr>
        <w:t>cunstancia que no se correspondía en lo más mínimo con la constancia existente a fs. 3138 de la causa, donde en una parte del auto de proces</w:t>
      </w:r>
      <w:r>
        <w:rPr>
          <w:lang w:val="es-ES_tradnl"/>
        </w:rPr>
        <w:t>a</w:t>
      </w:r>
      <w:r>
        <w:rPr>
          <w:lang w:val="es-ES_tradnl"/>
        </w:rPr>
        <w:t>miento se decía: “...qué otro motivo podía tener el comisario Ribelli, para llamar a Telleldín, que no sea reclamar la deuda pendie</w:t>
      </w:r>
      <w:r>
        <w:rPr>
          <w:lang w:val="es-ES_tradnl"/>
        </w:rPr>
        <w:t>n</w:t>
      </w:r>
      <w:r>
        <w:rPr>
          <w:lang w:val="es-ES_tradnl"/>
        </w:rPr>
        <w:t>te?...”.</w:t>
      </w:r>
    </w:p>
    <w:p w:rsidR="00224567" w:rsidRDefault="00224567">
      <w:pPr>
        <w:widowControl w:val="0"/>
        <w:rPr>
          <w:lang w:val="es-ES_tradnl"/>
        </w:rPr>
      </w:pPr>
      <w:r>
        <w:rPr>
          <w:lang w:val="es-ES_tradnl"/>
        </w:rPr>
        <w:tab/>
        <w:t>Al respecto, Ribelli destacó que  j</w:t>
      </w:r>
      <w:r>
        <w:rPr>
          <w:lang w:val="es-ES_tradnl"/>
        </w:rPr>
        <w:t>a</w:t>
      </w:r>
      <w:r>
        <w:rPr>
          <w:lang w:val="es-ES_tradnl"/>
        </w:rPr>
        <w:t xml:space="preserve">más podía reclamar una deuda pendiente porque nunca le exigió a Telleldín la entrega de ningún bien o dinero. </w:t>
      </w:r>
    </w:p>
    <w:p w:rsidR="00224567" w:rsidRDefault="00224567">
      <w:pPr>
        <w:widowControl w:val="0"/>
        <w:rPr>
          <w:lang w:val="es-ES_tradnl"/>
        </w:rPr>
      </w:pPr>
      <w:r>
        <w:rPr>
          <w:lang w:val="es-ES_tradnl"/>
        </w:rPr>
        <w:tab/>
        <w:t>En cuanto al día 10 de j</w:t>
      </w:r>
      <w:r>
        <w:rPr>
          <w:lang w:val="es-ES_tradnl"/>
        </w:rPr>
        <w:t>u</w:t>
      </w:r>
      <w:r>
        <w:rPr>
          <w:lang w:val="es-ES_tradnl"/>
        </w:rPr>
        <w:t>lio de 1994, indicado como fecha de la posible entrega del vehículo por parte de Telleldín a personal policial, Ribelli mencionó que si bien era cierto que no existía ninguna imputación directa hacia él, quería d</w:t>
      </w:r>
      <w:r>
        <w:rPr>
          <w:lang w:val="es-ES_tradnl"/>
        </w:rPr>
        <w:t>e</w:t>
      </w:r>
      <w:r>
        <w:rPr>
          <w:lang w:val="es-ES_tradnl"/>
        </w:rPr>
        <w:t>jar aclarado que desde el día 6 al 10 de julio de 1994 estuvo alojado en el Hotel Intern</w:t>
      </w:r>
      <w:r>
        <w:rPr>
          <w:lang w:val="es-ES_tradnl"/>
        </w:rPr>
        <w:t>a</w:t>
      </w:r>
      <w:r>
        <w:rPr>
          <w:lang w:val="es-ES_tradnl"/>
        </w:rPr>
        <w:t>cional Iguazú Argentina, situado en las Cataratas, hacie</w:t>
      </w:r>
      <w:r>
        <w:rPr>
          <w:lang w:val="es-ES_tradnl"/>
        </w:rPr>
        <w:t>n</w:t>
      </w:r>
      <w:r>
        <w:rPr>
          <w:lang w:val="es-ES_tradnl"/>
        </w:rPr>
        <w:t>do entrega como anexo L 1 y L 2 de certificación de su e</w:t>
      </w:r>
      <w:r>
        <w:rPr>
          <w:lang w:val="es-ES_tradnl"/>
        </w:rPr>
        <w:t>s</w:t>
      </w:r>
      <w:r>
        <w:rPr>
          <w:lang w:val="es-ES_tradnl"/>
        </w:rPr>
        <w:t>tadía y copia del registro del hotel i</w:t>
      </w:r>
      <w:r>
        <w:rPr>
          <w:lang w:val="es-ES_tradnl"/>
        </w:rPr>
        <w:t>n</w:t>
      </w:r>
      <w:r>
        <w:rPr>
          <w:lang w:val="es-ES_tradnl"/>
        </w:rPr>
        <w:t>dicado.</w:t>
      </w:r>
    </w:p>
    <w:p w:rsidR="00224567" w:rsidRDefault="00224567">
      <w:pPr>
        <w:widowControl w:val="0"/>
        <w:rPr>
          <w:lang w:val="es-ES_tradnl"/>
        </w:rPr>
      </w:pPr>
      <w:r>
        <w:rPr>
          <w:lang w:val="es-ES_tradnl"/>
        </w:rPr>
        <w:tab/>
        <w:t>Con relación al día 18 de julio de 1994 aclaró que no se encontraba en el país, ya que el día 13 de julio de 1994 estuvo alojado en el Hotel Intercont</w:t>
      </w:r>
      <w:r>
        <w:rPr>
          <w:lang w:val="es-ES_tradnl"/>
        </w:rPr>
        <w:t>i</w:t>
      </w:r>
      <w:r>
        <w:rPr>
          <w:lang w:val="es-ES_tradnl"/>
        </w:rPr>
        <w:t>nental de Río de Janeiro, Brasil, ubicado en Avenida Pr</w:t>
      </w:r>
      <w:r>
        <w:rPr>
          <w:lang w:val="es-ES_tradnl"/>
        </w:rPr>
        <w:t>e</w:t>
      </w:r>
      <w:r>
        <w:rPr>
          <w:lang w:val="es-ES_tradnl"/>
        </w:rPr>
        <w:t>feito Mendez de Morais 222, Praia da Gávea de esa ci</w:t>
      </w:r>
      <w:r>
        <w:rPr>
          <w:lang w:val="es-ES_tradnl"/>
        </w:rPr>
        <w:t>u</w:t>
      </w:r>
      <w:r>
        <w:rPr>
          <w:lang w:val="es-ES_tradnl"/>
        </w:rPr>
        <w:t>dad, con teléfono 55 (021) 322-2200/5500.</w:t>
      </w:r>
    </w:p>
    <w:p w:rsidR="00224567" w:rsidRDefault="00224567">
      <w:pPr>
        <w:widowControl w:val="0"/>
        <w:rPr>
          <w:lang w:val="es-ES_tradnl"/>
        </w:rPr>
      </w:pPr>
      <w:r>
        <w:rPr>
          <w:lang w:val="es-ES_tradnl"/>
        </w:rPr>
        <w:tab/>
        <w:t>Relató que el día 14 de julio de 1994 partió en automóvil a Buzios, alojándose en el Hotel Gal</w:t>
      </w:r>
      <w:r>
        <w:rPr>
          <w:lang w:val="es-ES_tradnl"/>
        </w:rPr>
        <w:t>á</w:t>
      </w:r>
      <w:r>
        <w:rPr>
          <w:lang w:val="es-ES_tradnl"/>
        </w:rPr>
        <w:t>pagos Inn, que poseía el teléfono 55 (246) 23-2297/6161, ubicado en Praia de Joao Fernandinho, Buzios, Brasil, do</w:t>
      </w:r>
      <w:r>
        <w:rPr>
          <w:lang w:val="es-ES_tradnl"/>
        </w:rPr>
        <w:t>n</w:t>
      </w:r>
      <w:r>
        <w:rPr>
          <w:lang w:val="es-ES_tradnl"/>
        </w:rPr>
        <w:t>de  permaneció hasta el día 18 de j</w:t>
      </w:r>
      <w:r>
        <w:rPr>
          <w:lang w:val="es-ES_tradnl"/>
        </w:rPr>
        <w:t>u</w:t>
      </w:r>
      <w:r>
        <w:rPr>
          <w:lang w:val="es-ES_tradnl"/>
        </w:rPr>
        <w:t>lio de 1994, fecha en que tenía pas</w:t>
      </w:r>
      <w:r>
        <w:rPr>
          <w:lang w:val="es-ES_tradnl"/>
        </w:rPr>
        <w:t>a</w:t>
      </w:r>
      <w:r>
        <w:rPr>
          <w:lang w:val="es-ES_tradnl"/>
        </w:rPr>
        <w:t>je aéreo de regreso a Buenos Aires.</w:t>
      </w:r>
    </w:p>
    <w:p w:rsidR="00224567" w:rsidRDefault="00224567">
      <w:pPr>
        <w:widowControl w:val="0"/>
        <w:rPr>
          <w:lang w:val="es-ES_tradnl"/>
        </w:rPr>
      </w:pPr>
      <w:r>
        <w:rPr>
          <w:lang w:val="es-ES_tradnl"/>
        </w:rPr>
        <w:tab/>
        <w:t>Por lo tanto, entregó el vehículo en una agencia de aut</w:t>
      </w:r>
      <w:r>
        <w:rPr>
          <w:lang w:val="es-ES_tradnl"/>
        </w:rPr>
        <w:t>o</w:t>
      </w:r>
      <w:r>
        <w:rPr>
          <w:lang w:val="es-ES_tradnl"/>
        </w:rPr>
        <w:t xml:space="preserve">móviles de alquiler, ubicada en Río de Janeiro, y ya en el aeropuerto se enteró que todos los vuelos para </w:t>
      </w:r>
      <w:smartTag w:uri="urn:schemas-microsoft-com:office:smarttags" w:element="PersonName">
        <w:smartTagPr>
          <w:attr w:name="ProductID" w:val="la Argentina"/>
        </w:smartTagPr>
        <w:r>
          <w:rPr>
            <w:lang w:val="es-ES_tradnl"/>
          </w:rPr>
          <w:t>la Argentina</w:t>
        </w:r>
      </w:smartTag>
      <w:r>
        <w:rPr>
          <w:lang w:val="es-ES_tradnl"/>
        </w:rPr>
        <w:t xml:space="preserve"> se hallaban suspendidos, en vi</w:t>
      </w:r>
      <w:r>
        <w:rPr>
          <w:lang w:val="es-ES_tradnl"/>
        </w:rPr>
        <w:t>r</w:t>
      </w:r>
      <w:r>
        <w:rPr>
          <w:lang w:val="es-ES_tradnl"/>
        </w:rPr>
        <w:t>tud de que por el estallido de una bomba se hab</w:t>
      </w:r>
      <w:r>
        <w:rPr>
          <w:lang w:val="es-ES_tradnl"/>
        </w:rPr>
        <w:t>í</w:t>
      </w:r>
      <w:r>
        <w:rPr>
          <w:lang w:val="es-ES_tradnl"/>
        </w:rPr>
        <w:t>an cerrado los aeropuertos.</w:t>
      </w:r>
    </w:p>
    <w:p w:rsidR="00224567" w:rsidRDefault="00224567">
      <w:pPr>
        <w:widowControl w:val="0"/>
        <w:rPr>
          <w:lang w:val="es-ES_tradnl"/>
        </w:rPr>
      </w:pPr>
      <w:r>
        <w:rPr>
          <w:lang w:val="es-ES_tradnl"/>
        </w:rPr>
        <w:tab/>
        <w:t>Aclaró que la situación que le tocó vivir era igual a la de numerosas personas que tenían que viajar y por ello, la empresa aérea, que creyó era Aerol</w:t>
      </w:r>
      <w:r>
        <w:rPr>
          <w:lang w:val="es-ES_tradnl"/>
        </w:rPr>
        <w:t>í</w:t>
      </w:r>
      <w:r>
        <w:rPr>
          <w:lang w:val="es-ES_tradnl"/>
        </w:rPr>
        <w:t>neas Argentinas, distribuyó a los pasajeros en distintos hoteles de Río de Janeiro corriendo por su cuenta los ga</w:t>
      </w:r>
      <w:r>
        <w:rPr>
          <w:lang w:val="es-ES_tradnl"/>
        </w:rPr>
        <w:t>s</w:t>
      </w:r>
      <w:r>
        <w:rPr>
          <w:lang w:val="es-ES_tradnl"/>
        </w:rPr>
        <w:t>tos que dicha s</w:t>
      </w:r>
      <w:r>
        <w:rPr>
          <w:lang w:val="es-ES_tradnl"/>
        </w:rPr>
        <w:t>i</w:t>
      </w:r>
      <w:r>
        <w:rPr>
          <w:lang w:val="es-ES_tradnl"/>
        </w:rPr>
        <w:t>tuación devengaba.</w:t>
      </w:r>
    </w:p>
    <w:p w:rsidR="00224567" w:rsidRDefault="00224567">
      <w:pPr>
        <w:widowControl w:val="0"/>
        <w:rPr>
          <w:lang w:val="es-ES_tradnl"/>
        </w:rPr>
      </w:pPr>
      <w:r>
        <w:rPr>
          <w:lang w:val="es-ES_tradnl"/>
        </w:rPr>
        <w:tab/>
        <w:t>Por consiguiente, el día 18 de julio de 1994 estuvo alojado en el hotel Gloria, ubicado en Praia Do Russell 632 de Río de Janeiro y teléfono 55 (21) 24-51660 o 20-57272.</w:t>
      </w:r>
    </w:p>
    <w:p w:rsidR="00224567" w:rsidRDefault="00224567">
      <w:pPr>
        <w:widowControl w:val="0"/>
        <w:rPr>
          <w:lang w:val="es-ES_tradnl"/>
        </w:rPr>
      </w:pPr>
      <w:r>
        <w:rPr>
          <w:lang w:val="es-ES_tradnl"/>
        </w:rPr>
        <w:tab/>
        <w:t>También recordó que ese viaje fue ab</w:t>
      </w:r>
      <w:r>
        <w:rPr>
          <w:lang w:val="es-ES_tradnl"/>
        </w:rPr>
        <w:t>o</w:t>
      </w:r>
      <w:r>
        <w:rPr>
          <w:lang w:val="es-ES_tradnl"/>
        </w:rPr>
        <w:t>nado con la tarjeta “American Express” que poseía y que el alquiler del rodado fue reservado por dicha e</w:t>
      </w:r>
      <w:r>
        <w:rPr>
          <w:lang w:val="es-ES_tradnl"/>
        </w:rPr>
        <w:t>m</w:t>
      </w:r>
      <w:r>
        <w:rPr>
          <w:lang w:val="es-ES_tradnl"/>
        </w:rPr>
        <w:t>presa.</w:t>
      </w:r>
    </w:p>
    <w:p w:rsidR="00224567" w:rsidRDefault="00224567">
      <w:pPr>
        <w:widowControl w:val="0"/>
        <w:rPr>
          <w:lang w:val="es-ES_tradnl"/>
        </w:rPr>
      </w:pPr>
      <w:r>
        <w:rPr>
          <w:lang w:val="es-ES_tradnl"/>
        </w:rPr>
        <w:tab/>
        <w:t>En este punto, hizo referencia la constancia glosada a fs. 3379, donde “American Express” informó al tribunal sobre los gastos efectu</w:t>
      </w:r>
      <w:r>
        <w:rPr>
          <w:lang w:val="es-ES_tradnl"/>
        </w:rPr>
        <w:t>a</w:t>
      </w:r>
      <w:r>
        <w:rPr>
          <w:lang w:val="es-ES_tradnl"/>
        </w:rPr>
        <w:t>dos en el mes de julio de 1994, y a fs. 3381 se hallaba el detalle del vi</w:t>
      </w:r>
      <w:r>
        <w:rPr>
          <w:lang w:val="es-ES_tradnl"/>
        </w:rPr>
        <w:t>a</w:t>
      </w:r>
      <w:r>
        <w:rPr>
          <w:lang w:val="es-ES_tradnl"/>
        </w:rPr>
        <w:t>je a Río/Buzios.</w:t>
      </w:r>
    </w:p>
    <w:p w:rsidR="00224567" w:rsidRDefault="00224567">
      <w:pPr>
        <w:widowControl w:val="0"/>
        <w:rPr>
          <w:lang w:val="es-ES_tradnl"/>
        </w:rPr>
      </w:pPr>
      <w:r>
        <w:rPr>
          <w:lang w:val="es-ES_tradnl"/>
        </w:rPr>
        <w:tab/>
        <w:t>Entregó la tarjeta del Hotel Interco</w:t>
      </w:r>
      <w:r>
        <w:rPr>
          <w:lang w:val="es-ES_tradnl"/>
        </w:rPr>
        <w:t>n</w:t>
      </w:r>
      <w:r>
        <w:rPr>
          <w:lang w:val="es-ES_tradnl"/>
        </w:rPr>
        <w:t>tinental (identificada como M 1), donde figuraba manuscr</w:t>
      </w:r>
      <w:r>
        <w:rPr>
          <w:lang w:val="es-ES_tradnl"/>
        </w:rPr>
        <w:t>i</w:t>
      </w:r>
      <w:r>
        <w:rPr>
          <w:lang w:val="es-ES_tradnl"/>
        </w:rPr>
        <w:t>to “Mario o Gil”, que eran quienes se habían e</w:t>
      </w:r>
      <w:r>
        <w:rPr>
          <w:lang w:val="es-ES_tradnl"/>
        </w:rPr>
        <w:t>n</w:t>
      </w:r>
      <w:r>
        <w:rPr>
          <w:lang w:val="es-ES_tradnl"/>
        </w:rPr>
        <w:t>cargado de buscar las constancias sobre el alojamiento antes alud</w:t>
      </w:r>
      <w:r>
        <w:rPr>
          <w:lang w:val="es-ES_tradnl"/>
        </w:rPr>
        <w:t>i</w:t>
      </w:r>
      <w:r>
        <w:rPr>
          <w:lang w:val="es-ES_tradnl"/>
        </w:rPr>
        <w:t>do.</w:t>
      </w:r>
    </w:p>
    <w:p w:rsidR="00224567" w:rsidRDefault="00224567">
      <w:pPr>
        <w:widowControl w:val="0"/>
        <w:rPr>
          <w:lang w:val="es-ES_tradnl"/>
        </w:rPr>
      </w:pPr>
      <w:r>
        <w:rPr>
          <w:lang w:val="es-ES_tradnl"/>
        </w:rPr>
        <w:tab/>
        <w:t>Indicó que en el hotel Galápagos Inn se encontraban buscando antecedentes el Sr. Claudio y la gerenta del mismo, a pesar de que este viaje ya estaba v</w:t>
      </w:r>
      <w:r>
        <w:rPr>
          <w:lang w:val="es-ES_tradnl"/>
        </w:rPr>
        <w:t>e</w:t>
      </w:r>
      <w:r>
        <w:rPr>
          <w:lang w:val="es-ES_tradnl"/>
        </w:rPr>
        <w:t>rificado en la causa por el informe que envió la empresa “American Express” y que obraba a fs. 3381.</w:t>
      </w:r>
    </w:p>
    <w:p w:rsidR="00224567" w:rsidRDefault="00224567">
      <w:pPr>
        <w:widowControl w:val="0"/>
        <w:rPr>
          <w:lang w:val="es-ES_tradnl"/>
        </w:rPr>
      </w:pPr>
      <w:r>
        <w:rPr>
          <w:lang w:val="es-ES_tradnl"/>
        </w:rPr>
        <w:tab/>
        <w:t>A fs. 41.959/41.966, Ribelli vo</w:t>
      </w:r>
      <w:r>
        <w:rPr>
          <w:lang w:val="es-ES_tradnl"/>
        </w:rPr>
        <w:t>l</w:t>
      </w:r>
      <w:r>
        <w:rPr>
          <w:lang w:val="es-ES_tradnl"/>
        </w:rPr>
        <w:t>vió a prestar declaración indagatoria. En esa oc</w:t>
      </w:r>
      <w:r>
        <w:rPr>
          <w:lang w:val="es-ES_tradnl"/>
        </w:rPr>
        <w:t>a</w:t>
      </w:r>
      <w:r>
        <w:rPr>
          <w:lang w:val="es-ES_tradnl"/>
        </w:rPr>
        <w:t>sión, luego que le fueron presentados los planos de celdas remitidos por la empresa Movicom, aclaró que advertía que en el plano exhibido no figuraban la totalidad de celdas que cubrían el Gran Buenos Aires, por lo que estimaba de interés que oportunamente se solicitara a dicha co</w:t>
      </w:r>
      <w:r>
        <w:rPr>
          <w:lang w:val="es-ES_tradnl"/>
        </w:rPr>
        <w:t>m</w:t>
      </w:r>
      <w:r>
        <w:rPr>
          <w:lang w:val="es-ES_tradnl"/>
        </w:rPr>
        <w:t>pañía la totalidad de la información, que se correspondiera con los 569 ll</w:t>
      </w:r>
      <w:r>
        <w:rPr>
          <w:lang w:val="es-ES_tradnl"/>
        </w:rPr>
        <w:t>a</w:t>
      </w:r>
      <w:r>
        <w:rPr>
          <w:lang w:val="es-ES_tradnl"/>
        </w:rPr>
        <w:t>mados mencionados.</w:t>
      </w:r>
    </w:p>
    <w:p w:rsidR="00224567" w:rsidRDefault="00224567">
      <w:pPr>
        <w:widowControl w:val="0"/>
        <w:rPr>
          <w:lang w:val="es-ES_tradnl"/>
        </w:rPr>
      </w:pPr>
      <w:r>
        <w:rPr>
          <w:lang w:val="es-ES_tradnl"/>
        </w:rPr>
        <w:tab/>
        <w:t>También consideró importante que Mov</w:t>
      </w:r>
      <w:r>
        <w:rPr>
          <w:lang w:val="es-ES_tradnl"/>
        </w:rPr>
        <w:t>i</w:t>
      </w:r>
      <w:r>
        <w:rPr>
          <w:lang w:val="es-ES_tradnl"/>
        </w:rPr>
        <w:t>com informara los números de celda que ocuparon cada uno de esos 569 llamados en el período comprendido e</w:t>
      </w:r>
      <w:r>
        <w:rPr>
          <w:lang w:val="es-ES_tradnl"/>
        </w:rPr>
        <w:t>n</w:t>
      </w:r>
      <w:r>
        <w:rPr>
          <w:lang w:val="es-ES_tradnl"/>
        </w:rPr>
        <w:t>tre el 1º y el 10 de julio de 1994, sobre los seis celulares cue</w:t>
      </w:r>
      <w:r>
        <w:rPr>
          <w:lang w:val="es-ES_tradnl"/>
        </w:rPr>
        <w:t>s</w:t>
      </w:r>
      <w:r>
        <w:rPr>
          <w:lang w:val="es-ES_tradnl"/>
        </w:rPr>
        <w:t>tionados, que eran las líneas 440-6746, 412-2690, 412-6165, 446-4648, 412-6149 y 440-8667.</w:t>
      </w:r>
    </w:p>
    <w:p w:rsidR="00224567" w:rsidRDefault="00224567">
      <w:pPr>
        <w:widowControl w:val="0"/>
        <w:rPr>
          <w:lang w:val="es-ES_tradnl"/>
        </w:rPr>
      </w:pPr>
      <w:r>
        <w:rPr>
          <w:lang w:val="es-ES_tradnl"/>
        </w:rPr>
        <w:tab/>
        <w:t>Por otra parte, manifestó que mie</w:t>
      </w:r>
      <w:r>
        <w:rPr>
          <w:lang w:val="es-ES_tradnl"/>
        </w:rPr>
        <w:t>n</w:t>
      </w:r>
      <w:r>
        <w:rPr>
          <w:lang w:val="es-ES_tradnl"/>
        </w:rPr>
        <w:t>tras se hallaba alojado en la unidad de detención, a raíz de trascendidos periodísticos, tomó conocimiento de coment</w:t>
      </w:r>
      <w:r>
        <w:rPr>
          <w:lang w:val="es-ES_tradnl"/>
        </w:rPr>
        <w:t>a</w:t>
      </w:r>
      <w:r>
        <w:rPr>
          <w:lang w:val="es-ES_tradnl"/>
        </w:rPr>
        <w:t>rios acerca de un supuesto viaje suyo a L</w:t>
      </w:r>
      <w:r>
        <w:rPr>
          <w:lang w:val="es-ES_tradnl"/>
        </w:rPr>
        <w:t>i</w:t>
      </w:r>
      <w:r>
        <w:rPr>
          <w:lang w:val="es-ES_tradnl"/>
        </w:rPr>
        <w:t>bia.</w:t>
      </w:r>
    </w:p>
    <w:p w:rsidR="00224567" w:rsidRDefault="00224567">
      <w:pPr>
        <w:widowControl w:val="0"/>
        <w:rPr>
          <w:lang w:val="es-ES_tradnl"/>
        </w:rPr>
      </w:pPr>
      <w:r>
        <w:rPr>
          <w:lang w:val="es-ES_tradnl"/>
        </w:rPr>
        <w:tab/>
        <w:t>Al respecto expresó que ello no era cierto y que en ni</w:t>
      </w:r>
      <w:r>
        <w:rPr>
          <w:lang w:val="es-ES_tradnl"/>
        </w:rPr>
        <w:t>n</w:t>
      </w:r>
      <w:r>
        <w:rPr>
          <w:lang w:val="es-ES_tradnl"/>
        </w:rPr>
        <w:t>guna oportunidad de su vida viajó a ese país ni tomó contacto con personas de dicha naci</w:t>
      </w:r>
      <w:r>
        <w:rPr>
          <w:lang w:val="es-ES_tradnl"/>
        </w:rPr>
        <w:t>o</w:t>
      </w:r>
      <w:r>
        <w:rPr>
          <w:lang w:val="es-ES_tradnl"/>
        </w:rPr>
        <w:t>nalidad.</w:t>
      </w:r>
    </w:p>
    <w:p w:rsidR="00224567" w:rsidRDefault="00224567">
      <w:pPr>
        <w:widowControl w:val="0"/>
        <w:rPr>
          <w:lang w:val="es-ES_tradnl"/>
        </w:rPr>
      </w:pPr>
      <w:r>
        <w:rPr>
          <w:lang w:val="es-ES_tradnl"/>
        </w:rPr>
        <w:tab/>
        <w:t>Estimó que el mal entendido de ese r</w:t>
      </w:r>
      <w:r>
        <w:rPr>
          <w:lang w:val="es-ES_tradnl"/>
        </w:rPr>
        <w:t>u</w:t>
      </w:r>
      <w:r>
        <w:rPr>
          <w:lang w:val="es-ES_tradnl"/>
        </w:rPr>
        <w:t>mor pudo originarse en una invitación que recibió por pa</w:t>
      </w:r>
      <w:r>
        <w:rPr>
          <w:lang w:val="es-ES_tradnl"/>
        </w:rPr>
        <w:t>r</w:t>
      </w:r>
      <w:r>
        <w:rPr>
          <w:lang w:val="es-ES_tradnl"/>
        </w:rPr>
        <w:t>te del Juzgado Criminal y Correccional nº 10 de Lomas de Zamora, para concurrir a un congreso de deporte y ec</w:t>
      </w:r>
      <w:r>
        <w:rPr>
          <w:lang w:val="es-ES_tradnl"/>
        </w:rPr>
        <w:t>o</w:t>
      </w:r>
      <w:r>
        <w:rPr>
          <w:lang w:val="es-ES_tradnl"/>
        </w:rPr>
        <w:t>logía que se llevaría a cabo en Libia y Egipto.</w:t>
      </w:r>
    </w:p>
    <w:p w:rsidR="00224567" w:rsidRDefault="00224567">
      <w:pPr>
        <w:widowControl w:val="0"/>
        <w:rPr>
          <w:lang w:val="es-ES_tradnl"/>
        </w:rPr>
      </w:pPr>
      <w:r>
        <w:rPr>
          <w:lang w:val="es-ES_tradnl"/>
        </w:rPr>
        <w:tab/>
        <w:t>Precisó que ello había ocurrido alr</w:t>
      </w:r>
      <w:r>
        <w:rPr>
          <w:lang w:val="es-ES_tradnl"/>
        </w:rPr>
        <w:t>e</w:t>
      </w:r>
      <w:r>
        <w:rPr>
          <w:lang w:val="es-ES_tradnl"/>
        </w:rPr>
        <w:t>dedor de los meses de septiembre y octubre de 1995, po</w:t>
      </w:r>
      <w:r>
        <w:rPr>
          <w:lang w:val="es-ES_tradnl"/>
        </w:rPr>
        <w:t>s</w:t>
      </w:r>
      <w:r>
        <w:rPr>
          <w:lang w:val="es-ES_tradnl"/>
        </w:rPr>
        <w:t>tergándose el congreso de un día para otro, hasta que fue suspendido.</w:t>
      </w:r>
    </w:p>
    <w:p w:rsidR="00224567" w:rsidRDefault="00224567">
      <w:pPr>
        <w:widowControl w:val="0"/>
        <w:rPr>
          <w:lang w:val="es-ES_tradnl"/>
        </w:rPr>
      </w:pPr>
      <w:r>
        <w:rPr>
          <w:lang w:val="es-ES_tradnl"/>
        </w:rPr>
        <w:tab/>
        <w:t>Explicó que, para ese entonces ya t</w:t>
      </w:r>
      <w:r>
        <w:rPr>
          <w:lang w:val="es-ES_tradnl"/>
        </w:rPr>
        <w:t>e</w:t>
      </w:r>
      <w:r>
        <w:rPr>
          <w:lang w:val="es-ES_tradnl"/>
        </w:rPr>
        <w:t>nía organizado el viaje, al igual que un empleado de ese tribunal -Aldo Panuzio- y la secret</w:t>
      </w:r>
      <w:r>
        <w:rPr>
          <w:lang w:val="es-ES_tradnl"/>
        </w:rPr>
        <w:t>a</w:t>
      </w:r>
      <w:r>
        <w:rPr>
          <w:lang w:val="es-ES_tradnl"/>
        </w:rPr>
        <w:t>ria del juzgado –Marina Coler-, por lo que decidieron efectuar un viaje cultural, especialmente para tratar de visitar las pirám</w:t>
      </w:r>
      <w:r>
        <w:rPr>
          <w:lang w:val="es-ES_tradnl"/>
        </w:rPr>
        <w:t>i</w:t>
      </w:r>
      <w:r>
        <w:rPr>
          <w:lang w:val="es-ES_tradnl"/>
        </w:rPr>
        <w:t>des en Egi</w:t>
      </w:r>
      <w:r>
        <w:rPr>
          <w:lang w:val="es-ES_tradnl"/>
        </w:rPr>
        <w:t>p</w:t>
      </w:r>
      <w:r>
        <w:rPr>
          <w:lang w:val="es-ES_tradnl"/>
        </w:rPr>
        <w:t>to.</w:t>
      </w:r>
    </w:p>
    <w:p w:rsidR="00224567" w:rsidRDefault="00224567">
      <w:pPr>
        <w:widowControl w:val="0"/>
        <w:rPr>
          <w:lang w:val="es-ES_tradnl"/>
        </w:rPr>
      </w:pPr>
      <w:r>
        <w:rPr>
          <w:lang w:val="es-ES_tradnl"/>
        </w:rPr>
        <w:tab/>
        <w:t>Indicó que viajó de Buenos Aires a M</w:t>
      </w:r>
      <w:r>
        <w:rPr>
          <w:lang w:val="es-ES_tradnl"/>
        </w:rPr>
        <w:t>a</w:t>
      </w:r>
      <w:r>
        <w:rPr>
          <w:lang w:val="es-ES_tradnl"/>
        </w:rPr>
        <w:t>drid y permaneció 4 ó 5 días en España, donde visitó, e</w:t>
      </w:r>
      <w:r>
        <w:rPr>
          <w:lang w:val="es-ES_tradnl"/>
        </w:rPr>
        <w:t>n</w:t>
      </w:r>
      <w:r>
        <w:rPr>
          <w:lang w:val="es-ES_tradnl"/>
        </w:rPr>
        <w:t>tre otros lugares, Sevilla; de allí se trasladaron a It</w:t>
      </w:r>
      <w:r>
        <w:rPr>
          <w:lang w:val="es-ES_tradnl"/>
        </w:rPr>
        <w:t>a</w:t>
      </w:r>
      <w:r>
        <w:rPr>
          <w:lang w:val="es-ES_tradnl"/>
        </w:rPr>
        <w:t>lia, más precisamente a la ciudad de Roma, para d</w:t>
      </w:r>
      <w:r>
        <w:rPr>
          <w:lang w:val="es-ES_tradnl"/>
        </w:rPr>
        <w:t>i</w:t>
      </w:r>
      <w:r>
        <w:rPr>
          <w:lang w:val="es-ES_tradnl"/>
        </w:rPr>
        <w:t>rigirse luego al sur de Italia vía aérea.</w:t>
      </w:r>
    </w:p>
    <w:p w:rsidR="00224567" w:rsidRDefault="00224567">
      <w:pPr>
        <w:widowControl w:val="0"/>
        <w:rPr>
          <w:lang w:val="es-ES_tradnl"/>
        </w:rPr>
      </w:pPr>
      <w:r>
        <w:rPr>
          <w:lang w:val="es-ES_tradnl"/>
        </w:rPr>
        <w:tab/>
        <w:t>Luego alquilaron un vehículo con el fin de trasladarse al pueblo denominado Mormano, donde h</w:t>
      </w:r>
      <w:r>
        <w:rPr>
          <w:lang w:val="es-ES_tradnl"/>
        </w:rPr>
        <w:t>a</w:t>
      </w:r>
      <w:r>
        <w:rPr>
          <w:lang w:val="es-ES_tradnl"/>
        </w:rPr>
        <w:t>bía nacido y vivido el padre de P</w:t>
      </w:r>
      <w:r>
        <w:rPr>
          <w:lang w:val="es-ES_tradnl"/>
        </w:rPr>
        <w:t>a</w:t>
      </w:r>
      <w:r>
        <w:rPr>
          <w:lang w:val="es-ES_tradnl"/>
        </w:rPr>
        <w:t>nuzio.</w:t>
      </w:r>
    </w:p>
    <w:p w:rsidR="00224567" w:rsidRDefault="00224567">
      <w:pPr>
        <w:widowControl w:val="0"/>
        <w:rPr>
          <w:lang w:val="es-ES_tradnl"/>
        </w:rPr>
      </w:pPr>
      <w:r>
        <w:rPr>
          <w:lang w:val="es-ES_tradnl"/>
        </w:rPr>
        <w:tab/>
        <w:t>Regresaron en forma aérea a Roma y desde allí organizaron la visita de Egipto, para lo cual obtuvieron las visas correspondientes que tramit</w:t>
      </w:r>
      <w:r>
        <w:rPr>
          <w:lang w:val="es-ES_tradnl"/>
        </w:rPr>
        <w:t>a</w:t>
      </w:r>
      <w:r>
        <w:rPr>
          <w:lang w:val="es-ES_tradnl"/>
        </w:rPr>
        <w:t>ron ante la emb</w:t>
      </w:r>
      <w:r>
        <w:rPr>
          <w:lang w:val="es-ES_tradnl"/>
        </w:rPr>
        <w:t>a</w:t>
      </w:r>
      <w:r>
        <w:rPr>
          <w:lang w:val="es-ES_tradnl"/>
        </w:rPr>
        <w:t>jada o consulado de ese país en Roma.</w:t>
      </w:r>
    </w:p>
    <w:p w:rsidR="00224567" w:rsidRDefault="00224567">
      <w:pPr>
        <w:widowControl w:val="0"/>
        <w:rPr>
          <w:lang w:val="es-ES_tradnl"/>
        </w:rPr>
      </w:pPr>
      <w:r>
        <w:rPr>
          <w:lang w:val="es-ES_tradnl"/>
        </w:rPr>
        <w:tab/>
        <w:t>Comentó que, una vez en Egipto se ho</w:t>
      </w:r>
      <w:r>
        <w:rPr>
          <w:lang w:val="es-ES_tradnl"/>
        </w:rPr>
        <w:t>s</w:t>
      </w:r>
      <w:r>
        <w:rPr>
          <w:lang w:val="es-ES_tradnl"/>
        </w:rPr>
        <w:t>pedaron en un hotel de El Cairo, cuyo nombre no recordó, pero fue en el único donde estuvieron los 4 ó 5 días de estadía visitando las pirámides y otros lug</w:t>
      </w:r>
      <w:r>
        <w:rPr>
          <w:lang w:val="es-ES_tradnl"/>
        </w:rPr>
        <w:t>a</w:t>
      </w:r>
      <w:r>
        <w:rPr>
          <w:lang w:val="es-ES_tradnl"/>
        </w:rPr>
        <w:t>res.</w:t>
      </w:r>
    </w:p>
    <w:p w:rsidR="00224567" w:rsidRDefault="00224567">
      <w:pPr>
        <w:widowControl w:val="0"/>
        <w:rPr>
          <w:lang w:val="es-ES_tradnl"/>
        </w:rPr>
      </w:pPr>
      <w:r>
        <w:rPr>
          <w:lang w:val="es-ES_tradnl"/>
        </w:rPr>
        <w:tab/>
        <w:t>Remarcó que en ningún momento ni él ni sus acompañantes estuvieron en Libia, puntualizando que las constancias de los hoteles donde estuvieron hosped</w:t>
      </w:r>
      <w:r>
        <w:rPr>
          <w:lang w:val="es-ES_tradnl"/>
        </w:rPr>
        <w:t>a</w:t>
      </w:r>
      <w:r>
        <w:rPr>
          <w:lang w:val="es-ES_tradnl"/>
        </w:rPr>
        <w:t>dos, pasajes aéreos utilizados y demás gastos podían ce</w:t>
      </w:r>
      <w:r>
        <w:rPr>
          <w:lang w:val="es-ES_tradnl"/>
        </w:rPr>
        <w:t>r</w:t>
      </w:r>
      <w:r>
        <w:rPr>
          <w:lang w:val="es-ES_tradnl"/>
        </w:rPr>
        <w:t>tificarse a través de la firma “American Express”, por h</w:t>
      </w:r>
      <w:r>
        <w:rPr>
          <w:lang w:val="es-ES_tradnl"/>
        </w:rPr>
        <w:t>a</w:t>
      </w:r>
      <w:r>
        <w:rPr>
          <w:lang w:val="es-ES_tradnl"/>
        </w:rPr>
        <w:t>ber utilizado esa tarjeta de crédito en la mayoría de los c</w:t>
      </w:r>
      <w:r>
        <w:rPr>
          <w:lang w:val="es-ES_tradnl"/>
        </w:rPr>
        <w:t>a</w:t>
      </w:r>
      <w:r>
        <w:rPr>
          <w:lang w:val="es-ES_tradnl"/>
        </w:rPr>
        <w:t>sos.</w:t>
      </w:r>
    </w:p>
    <w:p w:rsidR="00224567" w:rsidRDefault="00224567">
      <w:pPr>
        <w:widowControl w:val="0"/>
        <w:rPr>
          <w:lang w:val="es-ES_tradnl"/>
        </w:rPr>
      </w:pPr>
      <w:r>
        <w:rPr>
          <w:lang w:val="es-ES_tradnl"/>
        </w:rPr>
        <w:tab/>
        <w:t>Acto seguido, entregó como anexo N 1/17 fotocopia color de su pasaporte nº 9.476.677, cert</w:t>
      </w:r>
      <w:r>
        <w:rPr>
          <w:lang w:val="es-ES_tradnl"/>
        </w:rPr>
        <w:t>i</w:t>
      </w:r>
      <w:r>
        <w:rPr>
          <w:lang w:val="es-ES_tradnl"/>
        </w:rPr>
        <w:t>ficadas ante escribano público, recalca</w:t>
      </w:r>
      <w:r>
        <w:rPr>
          <w:lang w:val="es-ES_tradnl"/>
        </w:rPr>
        <w:t>n</w:t>
      </w:r>
      <w:r>
        <w:rPr>
          <w:lang w:val="es-ES_tradnl"/>
        </w:rPr>
        <w:t>do que no existía en todo el documento constancia de haber estado en Libia.</w:t>
      </w:r>
    </w:p>
    <w:p w:rsidR="00224567" w:rsidRDefault="00224567">
      <w:pPr>
        <w:widowControl w:val="0"/>
        <w:rPr>
          <w:lang w:val="es-ES_tradnl"/>
        </w:rPr>
      </w:pPr>
      <w:r>
        <w:rPr>
          <w:lang w:val="es-ES_tradnl"/>
        </w:rPr>
        <w:tab/>
        <w:t>Agregó que en las hojas 20 y 21 c</w:t>
      </w:r>
      <w:r>
        <w:rPr>
          <w:lang w:val="es-ES_tradnl"/>
        </w:rPr>
        <w:t>o</w:t>
      </w:r>
      <w:r>
        <w:rPr>
          <w:lang w:val="es-ES_tradnl"/>
        </w:rPr>
        <w:t>rrespondiente al anexo N 10 se podía observar la consta</w:t>
      </w:r>
      <w:r>
        <w:rPr>
          <w:lang w:val="es-ES_tradnl"/>
        </w:rPr>
        <w:t>n</w:t>
      </w:r>
      <w:r>
        <w:rPr>
          <w:lang w:val="es-ES_tradnl"/>
        </w:rPr>
        <w:t>cia de visa a Egipto expedida en Roma y que llevó el nº 1617, fechada el 10 de octubre de 1995 y, a su lado, los sellos e inscripciones con rasgos arábigos del ingreso y sal</w:t>
      </w:r>
      <w:r>
        <w:rPr>
          <w:lang w:val="es-ES_tradnl"/>
        </w:rPr>
        <w:t>i</w:t>
      </w:r>
      <w:r>
        <w:rPr>
          <w:lang w:val="es-ES_tradnl"/>
        </w:rPr>
        <w:t>da de ese país.</w:t>
      </w:r>
    </w:p>
    <w:p w:rsidR="00224567" w:rsidRDefault="00224567">
      <w:pPr>
        <w:widowControl w:val="0"/>
        <w:rPr>
          <w:lang w:val="es-ES_tradnl"/>
        </w:rPr>
      </w:pPr>
      <w:r>
        <w:rPr>
          <w:lang w:val="es-ES_tradnl"/>
        </w:rPr>
        <w:tab/>
        <w:t>En otro orden de cosas, reiteró que nunca existió y menos aún para el año 1994, relación lab</w:t>
      </w:r>
      <w:r>
        <w:rPr>
          <w:lang w:val="es-ES_tradnl"/>
        </w:rPr>
        <w:t>o</w:t>
      </w:r>
      <w:r>
        <w:rPr>
          <w:lang w:val="es-ES_tradnl"/>
        </w:rPr>
        <w:t xml:space="preserve">ral ni de alguna otra índole entre </w:t>
      </w:r>
      <w:smartTag w:uri="urn:schemas-microsoft-com:office:smarttags" w:element="PersonName">
        <w:smartTagPr>
          <w:attr w:name="ProductID" w:val="la Brigada"/>
        </w:smartTagPr>
        <w:r>
          <w:rPr>
            <w:lang w:val="es-ES_tradnl"/>
          </w:rPr>
          <w:t>la Brigada</w:t>
        </w:r>
      </w:smartTag>
      <w:r>
        <w:rPr>
          <w:lang w:val="es-ES_tradnl"/>
        </w:rPr>
        <w:t xml:space="preserve"> de Lanús y </w:t>
      </w:r>
      <w:smartTag w:uri="urn:schemas-microsoft-com:office:smarttags" w:element="PersonName">
        <w:smartTagPr>
          <w:attr w:name="ProductID" w:val="la Brigada"/>
        </w:smartTagPr>
        <w:r>
          <w:rPr>
            <w:lang w:val="es-ES_tradnl"/>
          </w:rPr>
          <w:t>la Brigada</w:t>
        </w:r>
      </w:smartTag>
      <w:r>
        <w:rPr>
          <w:lang w:val="es-ES_tradnl"/>
        </w:rPr>
        <w:t xml:space="preserve"> de Vicente López.</w:t>
      </w:r>
    </w:p>
    <w:p w:rsidR="00224567" w:rsidRDefault="00224567">
      <w:pPr>
        <w:widowControl w:val="0"/>
        <w:rPr>
          <w:lang w:val="es-ES_tradnl"/>
        </w:rPr>
      </w:pPr>
      <w:r>
        <w:rPr>
          <w:lang w:val="es-ES_tradnl"/>
        </w:rPr>
        <w:tab/>
        <w:t>Asimismo, manifestó que ello podía c</w:t>
      </w:r>
      <w:r>
        <w:rPr>
          <w:lang w:val="es-ES_tradnl"/>
        </w:rPr>
        <w:t>o</w:t>
      </w:r>
      <w:r>
        <w:rPr>
          <w:lang w:val="es-ES_tradnl"/>
        </w:rPr>
        <w:t>rroborarse con la ausencia de entrecruzamientos de teléf</w:t>
      </w:r>
      <w:r>
        <w:rPr>
          <w:lang w:val="es-ES_tradnl"/>
        </w:rPr>
        <w:t>o</w:t>
      </w:r>
      <w:r>
        <w:rPr>
          <w:lang w:val="es-ES_tradnl"/>
        </w:rPr>
        <w:t>nos para esa época entre los deten</w:t>
      </w:r>
      <w:r>
        <w:rPr>
          <w:lang w:val="es-ES_tradnl"/>
        </w:rPr>
        <w:t>i</w:t>
      </w:r>
      <w:r>
        <w:rPr>
          <w:lang w:val="es-ES_tradnl"/>
        </w:rPr>
        <w:t>dos de ambas brigadas.</w:t>
      </w:r>
    </w:p>
    <w:p w:rsidR="00224567" w:rsidRDefault="00224567">
      <w:pPr>
        <w:widowControl w:val="0"/>
        <w:rPr>
          <w:lang w:val="es-ES_tradnl"/>
        </w:rPr>
      </w:pPr>
      <w:r>
        <w:rPr>
          <w:lang w:val="es-ES_tradnl"/>
        </w:rPr>
        <w:tab/>
        <w:t>Indicó que nunca compartió el destino con el subcomisario Rago, siendo alrededor de mayo de 1996, la primera vez que trabajaron juntos, al ser conv</w:t>
      </w:r>
      <w:r>
        <w:rPr>
          <w:lang w:val="es-ES_tradnl"/>
        </w:rPr>
        <w:t>o</w:t>
      </w:r>
      <w:r>
        <w:rPr>
          <w:lang w:val="es-ES_tradnl"/>
        </w:rPr>
        <w:t>cados por la jefatura de Policía, al igual que gran cant</w:t>
      </w:r>
      <w:r>
        <w:rPr>
          <w:lang w:val="es-ES_tradnl"/>
        </w:rPr>
        <w:t>i</w:t>
      </w:r>
      <w:r>
        <w:rPr>
          <w:lang w:val="es-ES_tradnl"/>
        </w:rPr>
        <w:t xml:space="preserve">dad de personal de </w:t>
      </w:r>
      <w:smartTag w:uri="urn:schemas-microsoft-com:office:smarttags" w:element="PersonName">
        <w:smartTagPr>
          <w:attr w:name="ProductID" w:val="la Brigada"/>
        </w:smartTagPr>
        <w:r>
          <w:rPr>
            <w:lang w:val="es-ES_tradnl"/>
          </w:rPr>
          <w:t>la Brigada</w:t>
        </w:r>
      </w:smartTag>
      <w:r>
        <w:rPr>
          <w:lang w:val="es-ES_tradnl"/>
        </w:rPr>
        <w:t xml:space="preserve"> de San Miguel -donde Rago trabajaba- y de </w:t>
      </w:r>
      <w:smartTag w:uri="urn:schemas-microsoft-com:office:smarttags" w:element="PersonName">
        <w:smartTagPr>
          <w:attr w:name="ProductID" w:val="la Divisi￳n  Sustracci￳n"/>
        </w:smartTagPr>
        <w:r>
          <w:rPr>
            <w:lang w:val="es-ES_tradnl"/>
          </w:rPr>
          <w:t>la División  Sustracción</w:t>
        </w:r>
      </w:smartTag>
      <w:r>
        <w:rPr>
          <w:lang w:val="es-ES_tradnl"/>
        </w:rPr>
        <w:t xml:space="preserve">  de  A</w:t>
      </w:r>
      <w:r>
        <w:rPr>
          <w:lang w:val="es-ES_tradnl"/>
        </w:rPr>
        <w:t>u</w:t>
      </w:r>
      <w:r>
        <w:rPr>
          <w:lang w:val="es-ES_tradnl"/>
        </w:rPr>
        <w:t>tomotores -donde trabajaba él-, para investigar un secuestro exto</w:t>
      </w:r>
      <w:r>
        <w:rPr>
          <w:lang w:val="es-ES_tradnl"/>
        </w:rPr>
        <w:t>r</w:t>
      </w:r>
      <w:r>
        <w:rPr>
          <w:lang w:val="es-ES_tradnl"/>
        </w:rPr>
        <w:t>sivo, cuya víctima era un industrial de la localidad de San Ma</w:t>
      </w:r>
      <w:r>
        <w:rPr>
          <w:lang w:val="es-ES_tradnl"/>
        </w:rPr>
        <w:t>r</w:t>
      </w:r>
      <w:r>
        <w:rPr>
          <w:lang w:val="es-ES_tradnl"/>
        </w:rPr>
        <w:t>tín.</w:t>
      </w:r>
    </w:p>
    <w:p w:rsidR="00224567" w:rsidRDefault="00224567">
      <w:pPr>
        <w:widowControl w:val="0"/>
        <w:rPr>
          <w:lang w:val="es-ES_tradnl"/>
        </w:rPr>
      </w:pPr>
      <w:r>
        <w:rPr>
          <w:lang w:val="es-ES_tradnl"/>
        </w:rPr>
        <w:tab/>
        <w:t>Ribelli aclaró que para el año 1994 conocía a un hermano del subcomisario Rago, de nombre D</w:t>
      </w:r>
      <w:r>
        <w:rPr>
          <w:lang w:val="es-ES_tradnl"/>
        </w:rPr>
        <w:t>a</w:t>
      </w:r>
      <w:r>
        <w:rPr>
          <w:lang w:val="es-ES_tradnl"/>
        </w:rPr>
        <w:t>niel R</w:t>
      </w:r>
      <w:r>
        <w:rPr>
          <w:lang w:val="es-ES_tradnl"/>
        </w:rPr>
        <w:t>a</w:t>
      </w:r>
      <w:r>
        <w:rPr>
          <w:lang w:val="es-ES_tradnl"/>
        </w:rPr>
        <w:t xml:space="preserve">go, también efectivo de </w:t>
      </w:r>
      <w:smartTag w:uri="urn:schemas-microsoft-com:office:smarttags" w:element="PersonName">
        <w:smartTagPr>
          <w:attr w:name="ProductID" w:val="la Polic￭a Bonaerense"/>
        </w:smartTagPr>
        <w:r>
          <w:rPr>
            <w:lang w:val="es-ES_tradnl"/>
          </w:rPr>
          <w:t>la Policía Bonaerense</w:t>
        </w:r>
      </w:smartTag>
      <w:r>
        <w:rPr>
          <w:lang w:val="es-ES_tradnl"/>
        </w:rPr>
        <w:t>, por haber sido convocados por la jefatura de policía para co</w:t>
      </w:r>
      <w:r>
        <w:rPr>
          <w:lang w:val="es-ES_tradnl"/>
        </w:rPr>
        <w:t>n</w:t>
      </w:r>
      <w:r>
        <w:rPr>
          <w:lang w:val="es-ES_tradnl"/>
        </w:rPr>
        <w:t>currir a Estados Unidos, junto a delegaciones de policías de nuestro país, para realizar cursos sobre antiterrori</w:t>
      </w:r>
      <w:r>
        <w:rPr>
          <w:lang w:val="es-ES_tradnl"/>
        </w:rPr>
        <w:t>s</w:t>
      </w:r>
      <w:r>
        <w:rPr>
          <w:lang w:val="es-ES_tradnl"/>
        </w:rPr>
        <w:t>mo.</w:t>
      </w:r>
    </w:p>
    <w:p w:rsidR="00224567" w:rsidRDefault="00224567">
      <w:pPr>
        <w:widowControl w:val="0"/>
        <w:rPr>
          <w:lang w:val="es-ES_tradnl"/>
        </w:rPr>
      </w:pPr>
      <w:r>
        <w:rPr>
          <w:lang w:val="es-ES_tradnl"/>
        </w:rPr>
        <w:tab/>
        <w:t>Señaló que el primer curso fue dict</w:t>
      </w:r>
      <w:r>
        <w:rPr>
          <w:lang w:val="es-ES_tradnl"/>
        </w:rPr>
        <w:t>a</w:t>
      </w:r>
      <w:r>
        <w:rPr>
          <w:lang w:val="es-ES_tradnl"/>
        </w:rPr>
        <w:t xml:space="preserve">do en noviembre de 1993, duró aproximadamente 18 días, y se desarrolló en </w:t>
      </w:r>
      <w:smartTag w:uri="urn:schemas-microsoft-com:office:smarttags" w:element="PersonName">
        <w:smartTagPr>
          <w:attr w:name="ProductID" w:val="la Academia"/>
        </w:smartTagPr>
        <w:r>
          <w:rPr>
            <w:lang w:val="es-ES_tradnl"/>
          </w:rPr>
          <w:t>la Academia</w:t>
        </w:r>
      </w:smartTag>
      <w:r>
        <w:rPr>
          <w:lang w:val="es-ES_tradnl"/>
        </w:rPr>
        <w:t xml:space="preserve"> de Policía de Louisiana, ub</w:t>
      </w:r>
      <w:r>
        <w:rPr>
          <w:lang w:val="es-ES_tradnl"/>
        </w:rPr>
        <w:t>i</w:t>
      </w:r>
      <w:r>
        <w:rPr>
          <w:lang w:val="es-ES_tradnl"/>
        </w:rPr>
        <w:t>cada en Baton Rouge, destacando que los cursos eran intensivos y con asistencia obligatoria a clases teór</w:t>
      </w:r>
      <w:r>
        <w:rPr>
          <w:lang w:val="es-ES_tradnl"/>
        </w:rPr>
        <w:t>i</w:t>
      </w:r>
      <w:r>
        <w:rPr>
          <w:lang w:val="es-ES_tradnl"/>
        </w:rPr>
        <w:t>cas y prácticas durante mañ</w:t>
      </w:r>
      <w:r>
        <w:rPr>
          <w:lang w:val="es-ES_tradnl"/>
        </w:rPr>
        <w:t>a</w:t>
      </w:r>
      <w:r>
        <w:rPr>
          <w:lang w:val="es-ES_tradnl"/>
        </w:rPr>
        <w:t>na y tarde.</w:t>
      </w:r>
    </w:p>
    <w:p w:rsidR="00224567" w:rsidRDefault="00224567">
      <w:pPr>
        <w:widowControl w:val="0"/>
        <w:rPr>
          <w:lang w:val="es-ES_tradnl"/>
        </w:rPr>
      </w:pPr>
      <w:r>
        <w:rPr>
          <w:lang w:val="es-ES_tradnl"/>
        </w:rPr>
        <w:tab/>
        <w:t>Al dictarse una ampliación de ese cu</w:t>
      </w:r>
      <w:r>
        <w:rPr>
          <w:lang w:val="es-ES_tradnl"/>
        </w:rPr>
        <w:t>r</w:t>
      </w:r>
      <w:r>
        <w:rPr>
          <w:lang w:val="es-ES_tradnl"/>
        </w:rPr>
        <w:t>so, que se realizó en el mismo l</w:t>
      </w:r>
      <w:r>
        <w:rPr>
          <w:lang w:val="es-ES_tradnl"/>
        </w:rPr>
        <w:t>u</w:t>
      </w:r>
      <w:r>
        <w:rPr>
          <w:lang w:val="es-ES_tradnl"/>
        </w:rPr>
        <w:t>gar y por igual cantidad de días, fue convocado nuevamente, al igual que el citado Daniel R</w:t>
      </w:r>
      <w:r>
        <w:rPr>
          <w:lang w:val="es-ES_tradnl"/>
        </w:rPr>
        <w:t>a</w:t>
      </w:r>
      <w:r>
        <w:rPr>
          <w:lang w:val="es-ES_tradnl"/>
        </w:rPr>
        <w:t>go en febrero de 1994.</w:t>
      </w:r>
    </w:p>
    <w:p w:rsidR="00224567" w:rsidRDefault="00224567">
      <w:pPr>
        <w:widowControl w:val="0"/>
        <w:rPr>
          <w:lang w:val="es-ES_tradnl"/>
        </w:rPr>
      </w:pPr>
      <w:r>
        <w:rPr>
          <w:lang w:val="es-ES_tradnl"/>
        </w:rPr>
        <w:tab/>
        <w:t>Indicó que, por haber realizado d</w:t>
      </w:r>
      <w:r>
        <w:rPr>
          <w:lang w:val="es-ES_tradnl"/>
        </w:rPr>
        <w:t>i</w:t>
      </w:r>
      <w:r>
        <w:rPr>
          <w:lang w:val="es-ES_tradnl"/>
        </w:rPr>
        <w:t>chos cursos le entregaron diplomas que se agregaron c</w:t>
      </w:r>
      <w:r>
        <w:rPr>
          <w:lang w:val="es-ES_tradnl"/>
        </w:rPr>
        <w:t>o</w:t>
      </w:r>
      <w:r>
        <w:rPr>
          <w:lang w:val="es-ES_tradnl"/>
        </w:rPr>
        <w:t>mo anexo B.</w:t>
      </w:r>
    </w:p>
    <w:p w:rsidR="00224567" w:rsidRDefault="00224567">
      <w:pPr>
        <w:widowControl w:val="0"/>
        <w:rPr>
          <w:lang w:val="es-ES_tradnl"/>
        </w:rPr>
      </w:pPr>
      <w:r>
        <w:rPr>
          <w:lang w:val="es-ES_tradnl"/>
        </w:rPr>
        <w:tab/>
        <w:t xml:space="preserve">Por otra parte, negó haber trabajado con el subcomisario Leal, recordando que para mayo de 1993, cuando fue trasladado de </w:t>
      </w:r>
      <w:smartTag w:uri="urn:schemas-microsoft-com:office:smarttags" w:element="PersonName">
        <w:smartTagPr>
          <w:attr w:name="ProductID" w:val="la Brigada"/>
        </w:smartTagPr>
        <w:r>
          <w:rPr>
            <w:lang w:val="es-ES_tradnl"/>
          </w:rPr>
          <w:t>la Brigada</w:t>
        </w:r>
      </w:smartTag>
      <w:r>
        <w:rPr>
          <w:lang w:val="es-ES_tradnl"/>
        </w:rPr>
        <w:t xml:space="preserve"> de General Sa</w:t>
      </w:r>
      <w:r>
        <w:rPr>
          <w:lang w:val="es-ES_tradnl"/>
        </w:rPr>
        <w:t>r</w:t>
      </w:r>
      <w:r>
        <w:rPr>
          <w:lang w:val="es-ES_tradnl"/>
        </w:rPr>
        <w:t xml:space="preserve">miento a </w:t>
      </w:r>
      <w:smartTag w:uri="urn:schemas-microsoft-com:office:smarttags" w:element="PersonName">
        <w:smartTagPr>
          <w:attr w:name="ProductID" w:val="la Brigada"/>
        </w:smartTagPr>
        <w:r>
          <w:rPr>
            <w:lang w:val="es-ES_tradnl"/>
          </w:rPr>
          <w:t>la Brigada</w:t>
        </w:r>
      </w:smartTag>
      <w:r>
        <w:rPr>
          <w:lang w:val="es-ES_tradnl"/>
        </w:rPr>
        <w:t xml:space="preserve"> de Lanús, Leal integraba esa d</w:t>
      </w:r>
      <w:r>
        <w:rPr>
          <w:lang w:val="es-ES_tradnl"/>
        </w:rPr>
        <w:t>o</w:t>
      </w:r>
      <w:r>
        <w:rPr>
          <w:lang w:val="es-ES_tradnl"/>
        </w:rPr>
        <w:t>tación con la jerarquía de oficial principal; no obstante ello, reiteró que jamás trabajaron juntos ya que aquel integró un grupo policial que fue trasladado a otros dest</w:t>
      </w:r>
      <w:r>
        <w:rPr>
          <w:lang w:val="es-ES_tradnl"/>
        </w:rPr>
        <w:t>i</w:t>
      </w:r>
      <w:r>
        <w:rPr>
          <w:lang w:val="es-ES_tradnl"/>
        </w:rPr>
        <w:t>nos.</w:t>
      </w:r>
    </w:p>
    <w:p w:rsidR="00224567" w:rsidRDefault="00224567">
      <w:pPr>
        <w:widowControl w:val="0"/>
        <w:rPr>
          <w:lang w:val="es-ES_tradnl"/>
        </w:rPr>
      </w:pPr>
      <w:r>
        <w:rPr>
          <w:lang w:val="es-ES_tradnl"/>
        </w:rPr>
        <w:tab/>
        <w:t xml:space="preserve">Expresó que varios oficiales, entre los cuales se hallaba Leal, fueron a </w:t>
      </w:r>
      <w:smartTag w:uri="urn:schemas-microsoft-com:office:smarttags" w:element="PersonName">
        <w:smartTagPr>
          <w:attr w:name="ProductID" w:val="la Brigada"/>
        </w:smartTagPr>
        <w:r>
          <w:rPr>
            <w:lang w:val="es-ES_tradnl"/>
          </w:rPr>
          <w:t>la Brigada</w:t>
        </w:r>
      </w:smartTag>
      <w:r>
        <w:rPr>
          <w:lang w:val="es-ES_tradnl"/>
        </w:rPr>
        <w:t xml:space="preserve"> de Inve</w:t>
      </w:r>
      <w:r>
        <w:rPr>
          <w:lang w:val="es-ES_tradnl"/>
        </w:rPr>
        <w:t>s</w:t>
      </w:r>
      <w:r>
        <w:rPr>
          <w:lang w:val="es-ES_tradnl"/>
        </w:rPr>
        <w:t>tigaciones de Mercedes.</w:t>
      </w:r>
    </w:p>
    <w:p w:rsidR="00224567" w:rsidRDefault="00224567">
      <w:pPr>
        <w:widowControl w:val="0"/>
        <w:rPr>
          <w:lang w:val="es-ES_tradnl"/>
        </w:rPr>
      </w:pPr>
      <w:r>
        <w:rPr>
          <w:lang w:val="es-ES_tradnl"/>
        </w:rPr>
        <w:tab/>
        <w:t>Además, manifestó desconocer circun</w:t>
      </w:r>
      <w:r>
        <w:rPr>
          <w:lang w:val="es-ES_tradnl"/>
        </w:rPr>
        <w:t>s</w:t>
      </w:r>
      <w:r>
        <w:rPr>
          <w:lang w:val="es-ES_tradnl"/>
        </w:rPr>
        <w:t>tancias que rodearan la vida de Leal, como sus números t</w:t>
      </w:r>
      <w:r>
        <w:rPr>
          <w:lang w:val="es-ES_tradnl"/>
        </w:rPr>
        <w:t>e</w:t>
      </w:r>
      <w:r>
        <w:rPr>
          <w:lang w:val="es-ES_tradnl"/>
        </w:rPr>
        <w:t>lefónicos particulares o de celulares, si era que los p</w:t>
      </w:r>
      <w:r>
        <w:rPr>
          <w:lang w:val="es-ES_tradnl"/>
        </w:rPr>
        <w:t>o</w:t>
      </w:r>
      <w:r>
        <w:rPr>
          <w:lang w:val="es-ES_tradnl"/>
        </w:rPr>
        <w:t>seía.</w:t>
      </w:r>
    </w:p>
    <w:p w:rsidR="00224567" w:rsidRDefault="00224567">
      <w:pPr>
        <w:widowControl w:val="0"/>
        <w:rPr>
          <w:lang w:val="es-ES_tradnl"/>
        </w:rPr>
      </w:pPr>
      <w:r>
        <w:rPr>
          <w:lang w:val="es-ES_tradnl"/>
        </w:rPr>
        <w:tab/>
        <w:t>Dijo que los primeros contactos o di</w:t>
      </w:r>
      <w:r>
        <w:rPr>
          <w:lang w:val="es-ES_tradnl"/>
        </w:rPr>
        <w:t>á</w:t>
      </w:r>
      <w:r>
        <w:rPr>
          <w:lang w:val="es-ES_tradnl"/>
        </w:rPr>
        <w:t xml:space="preserve">logos con Leal los mantuvo en </w:t>
      </w:r>
      <w:smartTag w:uri="urn:schemas-microsoft-com:office:smarttags" w:element="PersonName">
        <w:smartTagPr>
          <w:attr w:name="ProductID" w:val="la Alcaid￭a"/>
        </w:smartTagPr>
        <w:r>
          <w:rPr>
            <w:lang w:val="es-ES_tradnl"/>
          </w:rPr>
          <w:t>la Alcaidía</w:t>
        </w:r>
      </w:smartTag>
      <w:r>
        <w:rPr>
          <w:lang w:val="es-ES_tradnl"/>
        </w:rPr>
        <w:t xml:space="preserve"> de Trib</w:t>
      </w:r>
      <w:r>
        <w:rPr>
          <w:lang w:val="es-ES_tradnl"/>
        </w:rPr>
        <w:t>u</w:t>
      </w:r>
      <w:r>
        <w:rPr>
          <w:lang w:val="es-ES_tradnl"/>
        </w:rPr>
        <w:t xml:space="preserve">nales, y luego del primer mes de detención en </w:t>
      </w:r>
      <w:smartTag w:uri="urn:schemas-microsoft-com:office:smarttags" w:element="PersonName">
        <w:smartTagPr>
          <w:attr w:name="ProductID" w:val="la Unidad"/>
        </w:smartTagPr>
        <w:r>
          <w:rPr>
            <w:lang w:val="es-ES_tradnl"/>
          </w:rPr>
          <w:t>la Unidad</w:t>
        </w:r>
      </w:smartTag>
      <w:r>
        <w:rPr>
          <w:lang w:val="es-ES_tradnl"/>
        </w:rPr>
        <w:t xml:space="preserve"> nº 16, do</w:t>
      </w:r>
      <w:r>
        <w:rPr>
          <w:lang w:val="es-ES_tradnl"/>
        </w:rPr>
        <w:t>n</w:t>
      </w:r>
      <w:r>
        <w:rPr>
          <w:lang w:val="es-ES_tradnl"/>
        </w:rPr>
        <w:t>de fueron trasladados.</w:t>
      </w:r>
    </w:p>
    <w:p w:rsidR="00224567" w:rsidRDefault="00224567">
      <w:pPr>
        <w:widowControl w:val="0"/>
        <w:rPr>
          <w:lang w:val="es-ES_tradnl"/>
        </w:rPr>
      </w:pPr>
      <w:r>
        <w:rPr>
          <w:lang w:val="es-ES_tradnl"/>
        </w:rPr>
        <w:tab/>
        <w:t>Por otra parte, señaló que del est</w:t>
      </w:r>
      <w:r>
        <w:rPr>
          <w:lang w:val="es-ES_tradnl"/>
        </w:rPr>
        <w:t>u</w:t>
      </w:r>
      <w:r>
        <w:rPr>
          <w:lang w:val="es-ES_tradnl"/>
        </w:rPr>
        <w:t>dio que efectuó del auto de procesamiento, tomó conocimiento de la existencia de un tal Solari, que por las constancias allí obrantes habría protagonizado diferentes circunsta</w:t>
      </w:r>
      <w:r>
        <w:rPr>
          <w:lang w:val="es-ES_tradnl"/>
        </w:rPr>
        <w:t>n</w:t>
      </w:r>
      <w:r>
        <w:rPr>
          <w:lang w:val="es-ES_tradnl"/>
        </w:rPr>
        <w:t>cias relacionadas a la i</w:t>
      </w:r>
      <w:r>
        <w:rPr>
          <w:lang w:val="es-ES_tradnl"/>
        </w:rPr>
        <w:t>n</w:t>
      </w:r>
      <w:r>
        <w:rPr>
          <w:lang w:val="es-ES_tradnl"/>
        </w:rPr>
        <w:t>vestigación de la causa.</w:t>
      </w:r>
    </w:p>
    <w:p w:rsidR="00224567" w:rsidRDefault="00224567">
      <w:pPr>
        <w:widowControl w:val="0"/>
        <w:rPr>
          <w:lang w:val="es-ES_tradnl"/>
        </w:rPr>
      </w:pPr>
      <w:r>
        <w:rPr>
          <w:lang w:val="es-ES_tradnl"/>
        </w:rPr>
        <w:tab/>
        <w:t>Aclaró que jamás conoció al no</w:t>
      </w:r>
      <w:r>
        <w:rPr>
          <w:lang w:val="es-ES_tradnl"/>
        </w:rPr>
        <w:t>m</w:t>
      </w:r>
      <w:r>
        <w:rPr>
          <w:lang w:val="es-ES_tradnl"/>
        </w:rPr>
        <w:t>brado, ni escuchó hablar de él, y por lo que advi</w:t>
      </w:r>
      <w:r>
        <w:rPr>
          <w:lang w:val="es-ES_tradnl"/>
        </w:rPr>
        <w:t>r</w:t>
      </w:r>
      <w:r>
        <w:rPr>
          <w:lang w:val="es-ES_tradnl"/>
        </w:rPr>
        <w:t xml:space="preserve">tió en la causa sería una persona que estuvo detenida en </w:t>
      </w:r>
      <w:smartTag w:uri="urn:schemas-microsoft-com:office:smarttags" w:element="PersonName">
        <w:smartTagPr>
          <w:attr w:name="ProductID" w:val="la Brigada"/>
        </w:smartTagPr>
        <w:r>
          <w:rPr>
            <w:lang w:val="es-ES_tradnl"/>
          </w:rPr>
          <w:t>la Brigada</w:t>
        </w:r>
      </w:smartTag>
      <w:r>
        <w:rPr>
          <w:lang w:val="es-ES_tradnl"/>
        </w:rPr>
        <w:t xml:space="preserve"> de V</w:t>
      </w:r>
      <w:r>
        <w:rPr>
          <w:lang w:val="es-ES_tradnl"/>
        </w:rPr>
        <w:t>i</w:t>
      </w:r>
      <w:r>
        <w:rPr>
          <w:lang w:val="es-ES_tradnl"/>
        </w:rPr>
        <w:t>ce</w:t>
      </w:r>
      <w:r>
        <w:rPr>
          <w:lang w:val="es-ES_tradnl"/>
        </w:rPr>
        <w:t>n</w:t>
      </w:r>
      <w:r>
        <w:rPr>
          <w:lang w:val="es-ES_tradnl"/>
        </w:rPr>
        <w:t>te López.</w:t>
      </w:r>
    </w:p>
    <w:p w:rsidR="00224567" w:rsidRDefault="00224567">
      <w:pPr>
        <w:widowControl w:val="0"/>
        <w:rPr>
          <w:lang w:val="es-ES_tradnl"/>
        </w:rPr>
      </w:pPr>
      <w:r>
        <w:rPr>
          <w:lang w:val="es-ES_tradnl"/>
        </w:rPr>
        <w:tab/>
        <w:t>Con relación a Telleldín, Ribelli so</w:t>
      </w:r>
      <w:r>
        <w:rPr>
          <w:lang w:val="es-ES_tradnl"/>
        </w:rPr>
        <w:t>s</w:t>
      </w:r>
      <w:r>
        <w:rPr>
          <w:lang w:val="es-ES_tradnl"/>
        </w:rPr>
        <w:t>tuvo, teniendo en cuenta, entre otros, los dichos del te</w:t>
      </w:r>
      <w:r>
        <w:rPr>
          <w:lang w:val="es-ES_tradnl"/>
        </w:rPr>
        <w:t>s</w:t>
      </w:r>
      <w:r>
        <w:rPr>
          <w:lang w:val="es-ES_tradnl"/>
        </w:rPr>
        <w:t>tigo de identidad reservada nº 2, que era falso que lo h</w:t>
      </w:r>
      <w:r>
        <w:rPr>
          <w:lang w:val="es-ES_tradnl"/>
        </w:rPr>
        <w:t>u</w:t>
      </w:r>
      <w:r>
        <w:rPr>
          <w:lang w:val="es-ES_tradnl"/>
        </w:rPr>
        <w:t>biera conocido y enviado personal policial a buscarlo para charlar con él.</w:t>
      </w:r>
    </w:p>
    <w:p w:rsidR="00224567" w:rsidRDefault="00224567">
      <w:pPr>
        <w:widowControl w:val="0"/>
        <w:rPr>
          <w:lang w:val="es-ES_tradnl"/>
        </w:rPr>
      </w:pPr>
      <w:r>
        <w:rPr>
          <w:lang w:val="es-ES_tradnl"/>
        </w:rPr>
        <w:tab/>
        <w:t xml:space="preserve">Precisó que cuando Telleldín estuvo detenido en </w:t>
      </w:r>
      <w:smartTag w:uri="urn:schemas-microsoft-com:office:smarttags" w:element="PersonName">
        <w:smartTagPr>
          <w:attr w:name="ProductID" w:val="la Brigada"/>
        </w:smartTagPr>
        <w:r>
          <w:rPr>
            <w:lang w:val="es-ES_tradnl"/>
          </w:rPr>
          <w:t>la Brigada</w:t>
        </w:r>
      </w:smartTag>
      <w:r>
        <w:rPr>
          <w:lang w:val="es-ES_tradnl"/>
        </w:rPr>
        <w:t xml:space="preserve"> de Lanús el 4 de abril de 1994, j</w:t>
      </w:r>
      <w:r>
        <w:rPr>
          <w:lang w:val="es-ES_tradnl"/>
        </w:rPr>
        <w:t>a</w:t>
      </w:r>
      <w:r>
        <w:rPr>
          <w:lang w:val="es-ES_tradnl"/>
        </w:rPr>
        <w:t>más le exigió la entrega de bienes o dinero alguno, y ta</w:t>
      </w:r>
      <w:r>
        <w:rPr>
          <w:lang w:val="es-ES_tradnl"/>
        </w:rPr>
        <w:t>m</w:t>
      </w:r>
      <w:r>
        <w:rPr>
          <w:lang w:val="es-ES_tradnl"/>
        </w:rPr>
        <w:t>poco le facilitó algún celular para que efectuara llam</w:t>
      </w:r>
      <w:r>
        <w:rPr>
          <w:lang w:val="es-ES_tradnl"/>
        </w:rPr>
        <w:t>a</w:t>
      </w:r>
      <w:r>
        <w:rPr>
          <w:lang w:val="es-ES_tradnl"/>
        </w:rPr>
        <w:t xml:space="preserve">dos. </w:t>
      </w:r>
    </w:p>
    <w:p w:rsidR="00224567" w:rsidRDefault="00224567">
      <w:pPr>
        <w:widowControl w:val="0"/>
        <w:rPr>
          <w:lang w:val="es-ES_tradnl"/>
        </w:rPr>
      </w:pPr>
      <w:r>
        <w:rPr>
          <w:lang w:val="es-ES_tradnl"/>
        </w:rPr>
        <w:tab/>
        <w:t>Consideró que lo expuesto a fs. 3099 del auto de procesamiento, que decía: “...es necesario r</w:t>
      </w:r>
      <w:r>
        <w:rPr>
          <w:lang w:val="es-ES_tradnl"/>
        </w:rPr>
        <w:t>e</w:t>
      </w:r>
      <w:r>
        <w:rPr>
          <w:lang w:val="es-ES_tradnl"/>
        </w:rPr>
        <w:t>calcar las propias m</w:t>
      </w:r>
      <w:r>
        <w:rPr>
          <w:lang w:val="es-ES_tradnl"/>
        </w:rPr>
        <w:t>a</w:t>
      </w:r>
      <w:r>
        <w:rPr>
          <w:lang w:val="es-ES_tradnl"/>
        </w:rPr>
        <w:t>nifestaciones de Telleldín en cuanto señaló que el propio comisario Juan José Ribelli le fac</w:t>
      </w:r>
      <w:r>
        <w:rPr>
          <w:lang w:val="es-ES_tradnl"/>
        </w:rPr>
        <w:t>i</w:t>
      </w:r>
      <w:r>
        <w:rPr>
          <w:lang w:val="es-ES_tradnl"/>
        </w:rPr>
        <w:t>litó uno de sus teléfonos móviles para llamar a su domic</w:t>
      </w:r>
      <w:r>
        <w:rPr>
          <w:lang w:val="es-ES_tradnl"/>
        </w:rPr>
        <w:t>i</w:t>
      </w:r>
      <w:r>
        <w:rPr>
          <w:lang w:val="es-ES_tradnl"/>
        </w:rPr>
        <w:t>lio y reunir el dinero que se le exigía a cambio...”, se contraponía con lo existente a fs. 3085 vuelta del mismo auto, donde al transcribirse dichos de Telleldín y en fo</w:t>
      </w:r>
      <w:r>
        <w:rPr>
          <w:lang w:val="es-ES_tradnl"/>
        </w:rPr>
        <w:t>r</w:t>
      </w:r>
      <w:r>
        <w:rPr>
          <w:lang w:val="es-ES_tradnl"/>
        </w:rPr>
        <w:t>ma te</w:t>
      </w:r>
      <w:r>
        <w:rPr>
          <w:lang w:val="es-ES_tradnl"/>
        </w:rPr>
        <w:t>x</w:t>
      </w:r>
      <w:r>
        <w:rPr>
          <w:lang w:val="es-ES_tradnl"/>
        </w:rPr>
        <w:t xml:space="preserve">tual decía “...llegaron a </w:t>
      </w:r>
      <w:smartTag w:uri="urn:schemas-microsoft-com:office:smarttags" w:element="PersonName">
        <w:smartTagPr>
          <w:attr w:name="ProductID" w:val="la Brigada"/>
        </w:smartTagPr>
        <w:r>
          <w:rPr>
            <w:lang w:val="es-ES_tradnl"/>
          </w:rPr>
          <w:t>la Brigada</w:t>
        </w:r>
      </w:smartTag>
      <w:r>
        <w:rPr>
          <w:lang w:val="es-ES_tradnl"/>
        </w:rPr>
        <w:t xml:space="preserve"> de Lanús a las 11 de la n</w:t>
      </w:r>
      <w:r>
        <w:rPr>
          <w:lang w:val="es-ES_tradnl"/>
        </w:rPr>
        <w:t>o</w:t>
      </w:r>
      <w:r>
        <w:rPr>
          <w:lang w:val="es-ES_tradnl"/>
        </w:rPr>
        <w:t>che aproximadamente, donde el comisario Ribelli le dijo... ponga lo que tenía que poner y se va...a la h</w:t>
      </w:r>
      <w:r>
        <w:rPr>
          <w:lang w:val="es-ES_tradnl"/>
        </w:rPr>
        <w:t>o</w:t>
      </w:r>
      <w:r>
        <w:rPr>
          <w:lang w:val="es-ES_tradnl"/>
        </w:rPr>
        <w:t>ra se lo llevaron a la oficina de operaciones donde los dos subcomisarios que estaban en la detención le dieron un Movicom para que llamara...”, concluyendo que en ningún momento Telleldín hizo referencia a que él le entregó un Movicom.</w:t>
      </w:r>
    </w:p>
    <w:p w:rsidR="00224567" w:rsidRDefault="00224567">
      <w:pPr>
        <w:widowControl w:val="0"/>
        <w:rPr>
          <w:lang w:val="es-ES_tradnl"/>
        </w:rPr>
      </w:pPr>
      <w:r>
        <w:rPr>
          <w:lang w:val="es-ES_tradnl"/>
        </w:rPr>
        <w:tab/>
        <w:t>En cuanto a los eventos ocurridos el día 15 de marzo de 1994 en Olivos, oportunidad en que al subcomisario Ibarra se le escapó una persona, quedando l</w:t>
      </w:r>
      <w:r>
        <w:rPr>
          <w:lang w:val="es-ES_tradnl"/>
        </w:rPr>
        <w:t>e</w:t>
      </w:r>
      <w:r>
        <w:rPr>
          <w:lang w:val="es-ES_tradnl"/>
        </w:rPr>
        <w:t>sionado el suboficial Casas, manifestó que tomó conoc</w:t>
      </w:r>
      <w:r>
        <w:rPr>
          <w:lang w:val="es-ES_tradnl"/>
        </w:rPr>
        <w:t>i</w:t>
      </w:r>
      <w:r>
        <w:rPr>
          <w:lang w:val="es-ES_tradnl"/>
        </w:rPr>
        <w:t>miento de ello después que Ibarra regresara a la depende</w:t>
      </w:r>
      <w:r>
        <w:rPr>
          <w:lang w:val="es-ES_tradnl"/>
        </w:rPr>
        <w:t>n</w:t>
      </w:r>
      <w:r>
        <w:rPr>
          <w:lang w:val="es-ES_tradnl"/>
        </w:rPr>
        <w:t>cia y declarara lo ocurrido, como ya lo puso de manifiesto en anteriores oport</w:t>
      </w:r>
      <w:r>
        <w:rPr>
          <w:lang w:val="es-ES_tradnl"/>
        </w:rPr>
        <w:t>u</w:t>
      </w:r>
      <w:r>
        <w:rPr>
          <w:lang w:val="es-ES_tradnl"/>
        </w:rPr>
        <w:t>nidades.</w:t>
      </w:r>
    </w:p>
    <w:p w:rsidR="00224567" w:rsidRDefault="00224567">
      <w:pPr>
        <w:widowControl w:val="0"/>
        <w:rPr>
          <w:lang w:val="es-ES_tradnl"/>
        </w:rPr>
      </w:pPr>
      <w:r>
        <w:rPr>
          <w:lang w:val="es-ES_tradnl"/>
        </w:rPr>
        <w:tab/>
        <w:t>Con respecto a las circunstancias que rodearon la detención de Carlos Alberto Teccedin y Sa</w:t>
      </w:r>
      <w:r>
        <w:rPr>
          <w:lang w:val="es-ES_tradnl"/>
        </w:rPr>
        <w:t>n</w:t>
      </w:r>
      <w:r>
        <w:rPr>
          <w:lang w:val="es-ES_tradnl"/>
        </w:rPr>
        <w:t>dra Petrucci, entendió que ello se pr</w:t>
      </w:r>
      <w:r>
        <w:rPr>
          <w:lang w:val="es-ES_tradnl"/>
        </w:rPr>
        <w:t>o</w:t>
      </w:r>
      <w:r>
        <w:rPr>
          <w:lang w:val="es-ES_tradnl"/>
        </w:rPr>
        <w:t xml:space="preserve">dujo en el marco de una investigación en una causa, con intervención de </w:t>
      </w:r>
      <w:smartTag w:uri="urn:schemas-microsoft-com:office:smarttags" w:element="PersonName">
        <w:smartTagPr>
          <w:attr w:name="ProductID" w:val="la Dra. Margarita"/>
        </w:smartTagPr>
        <w:r>
          <w:rPr>
            <w:lang w:val="es-ES_tradnl"/>
          </w:rPr>
          <w:t>la Dra. Margarita</w:t>
        </w:r>
      </w:smartTag>
      <w:r>
        <w:rPr>
          <w:lang w:val="es-ES_tradnl"/>
        </w:rPr>
        <w:t xml:space="preserve"> Allaza de Iturburu del Departamento J</w:t>
      </w:r>
      <w:r>
        <w:rPr>
          <w:lang w:val="es-ES_tradnl"/>
        </w:rPr>
        <w:t>u</w:t>
      </w:r>
      <w:r>
        <w:rPr>
          <w:lang w:val="es-ES_tradnl"/>
        </w:rPr>
        <w:t>dicial de Quilmes, y que incluso, las comunicaciones efectuadas al juzgado del Dr. Borrino para anoticiar acerca de la dete</w:t>
      </w:r>
      <w:r>
        <w:rPr>
          <w:lang w:val="es-ES_tradnl"/>
        </w:rPr>
        <w:t>n</w:t>
      </w:r>
      <w:r>
        <w:rPr>
          <w:lang w:val="es-ES_tradnl"/>
        </w:rPr>
        <w:t>ción por averiguación de antecedentes de los antes nombr</w:t>
      </w:r>
      <w:r>
        <w:rPr>
          <w:lang w:val="es-ES_tradnl"/>
        </w:rPr>
        <w:t>a</w:t>
      </w:r>
      <w:r>
        <w:rPr>
          <w:lang w:val="es-ES_tradnl"/>
        </w:rPr>
        <w:t>dos, según lo que fue advirtiendo en el sumario admini</w:t>
      </w:r>
      <w:r>
        <w:rPr>
          <w:lang w:val="es-ES_tradnl"/>
        </w:rPr>
        <w:t>s</w:t>
      </w:r>
      <w:r>
        <w:rPr>
          <w:lang w:val="es-ES_tradnl"/>
        </w:rPr>
        <w:t>trativo y causa judicial, fueron enviadas correct</w:t>
      </w:r>
      <w:r>
        <w:rPr>
          <w:lang w:val="es-ES_tradnl"/>
        </w:rPr>
        <w:t>a</w:t>
      </w:r>
      <w:r>
        <w:rPr>
          <w:lang w:val="es-ES_tradnl"/>
        </w:rPr>
        <w:t>mente.</w:t>
      </w:r>
    </w:p>
    <w:p w:rsidR="00224567" w:rsidRDefault="00224567">
      <w:pPr>
        <w:widowControl w:val="0"/>
        <w:rPr>
          <w:lang w:val="es-ES_tradnl"/>
        </w:rPr>
      </w:pPr>
      <w:r>
        <w:rPr>
          <w:lang w:val="es-ES_tradnl"/>
        </w:rPr>
        <w:tab/>
        <w:t>Agregó, que de la lectura que efectu</w:t>
      </w:r>
      <w:r>
        <w:rPr>
          <w:lang w:val="es-ES_tradnl"/>
        </w:rPr>
        <w:t>a</w:t>
      </w:r>
      <w:r>
        <w:rPr>
          <w:lang w:val="es-ES_tradnl"/>
        </w:rPr>
        <w:t>ra del auto de procesamiento, más precisame</w:t>
      </w:r>
      <w:r>
        <w:rPr>
          <w:lang w:val="es-ES_tradnl"/>
        </w:rPr>
        <w:t>n</w:t>
      </w:r>
      <w:r>
        <w:rPr>
          <w:lang w:val="es-ES_tradnl"/>
        </w:rPr>
        <w:t xml:space="preserve">te del punto D a fs. 3084, donde decía: “...a fs. 970 y por orden del suscripto </w:t>
      </w:r>
      <w:smartTag w:uri="urn:schemas-microsoft-com:office:smarttags" w:element="PersonName">
        <w:smartTagPr>
          <w:attr w:name="ProductID" w:val="la Actuaria"/>
        </w:smartTagPr>
        <w:r>
          <w:rPr>
            <w:lang w:val="es-ES_tradnl"/>
          </w:rPr>
          <w:t>la Actuaria</w:t>
        </w:r>
      </w:smartTag>
      <w:r>
        <w:rPr>
          <w:lang w:val="es-ES_tradnl"/>
        </w:rPr>
        <w:t xml:space="preserve"> se comunicó telefónicamente a los juzgados a lo que se habrían informado las dete</w:t>
      </w:r>
      <w:r>
        <w:rPr>
          <w:lang w:val="es-ES_tradnl"/>
        </w:rPr>
        <w:t>n</w:t>
      </w:r>
      <w:r>
        <w:rPr>
          <w:lang w:val="es-ES_tradnl"/>
        </w:rPr>
        <w:t>ciones de Teccedin, Petrucci y Pérez, según constancia de los exp</w:t>
      </w:r>
      <w:r>
        <w:rPr>
          <w:lang w:val="es-ES_tradnl"/>
        </w:rPr>
        <w:t>e</w:t>
      </w:r>
      <w:r>
        <w:rPr>
          <w:lang w:val="es-ES_tradnl"/>
        </w:rPr>
        <w:t>dientes policiales, los que refirieron no tener registro de tales comunicaciones...”, daba la impresión que dichas comunicaciones no se habían efectuado, por lo que result</w:t>
      </w:r>
      <w:r>
        <w:rPr>
          <w:lang w:val="es-ES_tradnl"/>
        </w:rPr>
        <w:t>a</w:t>
      </w:r>
      <w:r>
        <w:rPr>
          <w:lang w:val="es-ES_tradnl"/>
        </w:rPr>
        <w:t>ba de interés resaltar la totalidad del i</w:t>
      </w:r>
      <w:r>
        <w:rPr>
          <w:lang w:val="es-ES_tradnl"/>
        </w:rPr>
        <w:t>n</w:t>
      </w:r>
      <w:r>
        <w:rPr>
          <w:lang w:val="es-ES_tradnl"/>
        </w:rPr>
        <w:t>forme de fs. 970 donde decía “///ñor juez: Informo a Ud. que en el día de la fecha me comuniqué telefónicamente con el Juzgado Cr</w:t>
      </w:r>
      <w:r>
        <w:rPr>
          <w:lang w:val="es-ES_tradnl"/>
        </w:rPr>
        <w:t>i</w:t>
      </w:r>
      <w:r>
        <w:rPr>
          <w:lang w:val="es-ES_tradnl"/>
        </w:rPr>
        <w:t>minal y Correccional nº 11 del Dr. Raúl Borrino del Depa</w:t>
      </w:r>
      <w:r>
        <w:rPr>
          <w:lang w:val="es-ES_tradnl"/>
        </w:rPr>
        <w:t>r</w:t>
      </w:r>
      <w:r>
        <w:rPr>
          <w:lang w:val="es-ES_tradnl"/>
        </w:rPr>
        <w:t>tamento Judicial de San Is</w:t>
      </w:r>
      <w:r>
        <w:rPr>
          <w:lang w:val="es-ES_tradnl"/>
        </w:rPr>
        <w:t>i</w:t>
      </w:r>
      <w:r>
        <w:rPr>
          <w:lang w:val="es-ES_tradnl"/>
        </w:rPr>
        <w:t>dro (742-9090), siendo atendida por quien dijo ser el oficial mayor Rubén Ga</w:t>
      </w:r>
      <w:r>
        <w:rPr>
          <w:lang w:val="es-ES_tradnl"/>
        </w:rPr>
        <w:t>r</w:t>
      </w:r>
      <w:r>
        <w:rPr>
          <w:lang w:val="es-ES_tradnl"/>
        </w:rPr>
        <w:t>cía, quien me informó que cuando se realiza una detención por averigu</w:t>
      </w:r>
      <w:r>
        <w:rPr>
          <w:lang w:val="es-ES_tradnl"/>
        </w:rPr>
        <w:t>a</w:t>
      </w:r>
      <w:r>
        <w:rPr>
          <w:lang w:val="es-ES_tradnl"/>
        </w:rPr>
        <w:t>ción de antecedentes, no se inician actuaciones judici</w:t>
      </w:r>
      <w:r>
        <w:rPr>
          <w:lang w:val="es-ES_tradnl"/>
        </w:rPr>
        <w:t>a</w:t>
      </w:r>
      <w:r>
        <w:rPr>
          <w:lang w:val="es-ES_tradnl"/>
        </w:rPr>
        <w:t>les. Sin perjuicio de ello, la seccional preventora com</w:t>
      </w:r>
      <w:r>
        <w:rPr>
          <w:lang w:val="es-ES_tradnl"/>
        </w:rPr>
        <w:t>u</w:t>
      </w:r>
      <w:r>
        <w:rPr>
          <w:lang w:val="es-ES_tradnl"/>
        </w:rPr>
        <w:t>nica al juzgado de turno dicha detención mediante un of</w:t>
      </w:r>
      <w:r>
        <w:rPr>
          <w:lang w:val="es-ES_tradnl"/>
        </w:rPr>
        <w:t>i</w:t>
      </w:r>
      <w:r>
        <w:rPr>
          <w:lang w:val="es-ES_tradnl"/>
        </w:rPr>
        <w:t>cio, el cual es remitido al tribunal, reservándose hasta finalizar el turno correspondiente, procediéndose post</w:t>
      </w:r>
      <w:r>
        <w:rPr>
          <w:lang w:val="es-ES_tradnl"/>
        </w:rPr>
        <w:t>e</w:t>
      </w:r>
      <w:r>
        <w:rPr>
          <w:lang w:val="es-ES_tradnl"/>
        </w:rPr>
        <w:t>riormente a su destru</w:t>
      </w:r>
      <w:r>
        <w:rPr>
          <w:lang w:val="es-ES_tradnl"/>
        </w:rPr>
        <w:t>c</w:t>
      </w:r>
      <w:r>
        <w:rPr>
          <w:lang w:val="es-ES_tradnl"/>
        </w:rPr>
        <w:t>ción...”.</w:t>
      </w:r>
    </w:p>
    <w:p w:rsidR="00224567" w:rsidRDefault="00224567">
      <w:pPr>
        <w:widowControl w:val="0"/>
        <w:rPr>
          <w:lang w:val="es-ES_tradnl"/>
        </w:rPr>
      </w:pPr>
      <w:r>
        <w:rPr>
          <w:lang w:val="es-ES_tradnl"/>
        </w:rPr>
        <w:tab/>
        <w:t>Expresó que ante los dichos del abog</w:t>
      </w:r>
      <w:r>
        <w:rPr>
          <w:lang w:val="es-ES_tradnl"/>
        </w:rPr>
        <w:t>a</w:t>
      </w:r>
      <w:r>
        <w:rPr>
          <w:lang w:val="es-ES_tradnl"/>
        </w:rPr>
        <w:t>do Spagnuolo citados en el auto de procesamiento, j</w:t>
      </w:r>
      <w:r>
        <w:rPr>
          <w:lang w:val="es-ES_tradnl"/>
        </w:rPr>
        <w:t>a</w:t>
      </w:r>
      <w:r>
        <w:rPr>
          <w:lang w:val="es-ES_tradnl"/>
        </w:rPr>
        <w:t>más le exigió a aquel ninguna entrega de dinero o bienes, como tampoco participó de cualquier otro tipo de negoci</w:t>
      </w:r>
      <w:r>
        <w:rPr>
          <w:lang w:val="es-ES_tradnl"/>
        </w:rPr>
        <w:t>a</w:t>
      </w:r>
      <w:r>
        <w:rPr>
          <w:lang w:val="es-ES_tradnl"/>
        </w:rPr>
        <w:t>ción.</w:t>
      </w:r>
    </w:p>
    <w:p w:rsidR="00224567" w:rsidRDefault="00224567">
      <w:pPr>
        <w:widowControl w:val="0"/>
        <w:rPr>
          <w:lang w:val="es-ES_tradnl"/>
        </w:rPr>
      </w:pPr>
      <w:r>
        <w:rPr>
          <w:lang w:val="es-ES_tradnl"/>
        </w:rPr>
        <w:tab/>
        <w:t>Respecto de los dichos vertidos por el comisario Huici en la ampliación de su ind</w:t>
      </w:r>
      <w:r>
        <w:rPr>
          <w:lang w:val="es-ES_tradnl"/>
        </w:rPr>
        <w:t>a</w:t>
      </w:r>
      <w:r>
        <w:rPr>
          <w:lang w:val="es-ES_tradnl"/>
        </w:rPr>
        <w:t>gatoria, señaló que jamás le indicó –y menos aún lo obligó- que colocara datos falsos en diligencia judicial alguna, más precis</w:t>
      </w:r>
      <w:r>
        <w:rPr>
          <w:lang w:val="es-ES_tradnl"/>
        </w:rPr>
        <w:t>a</w:t>
      </w:r>
      <w:r>
        <w:rPr>
          <w:lang w:val="es-ES_tradnl"/>
        </w:rPr>
        <w:t>mente en lo que se refiriera a su actuación en la causa tramitada ante el Juzgado Criminal de Qui</w:t>
      </w:r>
      <w:r>
        <w:rPr>
          <w:lang w:val="es-ES_tradnl"/>
        </w:rPr>
        <w:t>l</w:t>
      </w:r>
      <w:r>
        <w:rPr>
          <w:lang w:val="es-ES_tradnl"/>
        </w:rPr>
        <w:t>mes.</w:t>
      </w:r>
    </w:p>
    <w:p w:rsidR="00224567" w:rsidRDefault="00224567">
      <w:pPr>
        <w:widowControl w:val="0"/>
        <w:rPr>
          <w:lang w:val="es-ES_tradnl"/>
        </w:rPr>
      </w:pPr>
      <w:r>
        <w:rPr>
          <w:lang w:val="es-ES_tradnl"/>
        </w:rPr>
        <w:tab/>
        <w:t>Exhibida la presentación efectu</w:t>
      </w:r>
      <w:r>
        <w:rPr>
          <w:lang w:val="es-ES_tradnl"/>
        </w:rPr>
        <w:t>a</w:t>
      </w:r>
      <w:r>
        <w:rPr>
          <w:lang w:val="es-ES_tradnl"/>
        </w:rPr>
        <w:t>da por los querellantes Dres. Dobniewski y Astirraga y los orig</w:t>
      </w:r>
      <w:r>
        <w:rPr>
          <w:lang w:val="es-ES_tradnl"/>
        </w:rPr>
        <w:t>i</w:t>
      </w:r>
      <w:r>
        <w:rPr>
          <w:lang w:val="es-ES_tradnl"/>
        </w:rPr>
        <w:t>nales de la nota vinculada a la invest</w:t>
      </w:r>
      <w:r>
        <w:rPr>
          <w:lang w:val="es-ES_tradnl"/>
        </w:rPr>
        <w:t>i</w:t>
      </w:r>
      <w:r>
        <w:rPr>
          <w:lang w:val="es-ES_tradnl"/>
        </w:rPr>
        <w:t>gación, en páginas 1/4 de la edición del día domingo 23 próximo pasado del diario Clarín, refirió que desconocía el origen de la nota presentada.</w:t>
      </w:r>
    </w:p>
    <w:p w:rsidR="00224567" w:rsidRDefault="00224567">
      <w:pPr>
        <w:widowControl w:val="0"/>
        <w:rPr>
          <w:lang w:val="es-ES_tradnl"/>
        </w:rPr>
      </w:pPr>
      <w:r>
        <w:rPr>
          <w:lang w:val="es-ES_tradnl"/>
        </w:rPr>
        <w:tab/>
        <w:t>Preguntado sobre el contenido de d</w:t>
      </w:r>
      <w:r>
        <w:rPr>
          <w:lang w:val="es-ES_tradnl"/>
        </w:rPr>
        <w:t>i</w:t>
      </w:r>
      <w:r>
        <w:rPr>
          <w:lang w:val="es-ES_tradnl"/>
        </w:rPr>
        <w:t>cha publicación, y específicamente del conocimiento que te</w:t>
      </w:r>
      <w:r>
        <w:rPr>
          <w:lang w:val="es-ES_tradnl"/>
        </w:rPr>
        <w:t>n</w:t>
      </w:r>
      <w:r>
        <w:rPr>
          <w:lang w:val="es-ES_tradnl"/>
        </w:rPr>
        <w:t>drían tanto él como el procesado Ibarra de un matrimonio de apellido Ali, quienes habrían tenido participación en el atentado investigado, dijo que lo que surgía de la nota periodística no le constaba en absoluto, desc</w:t>
      </w:r>
      <w:r>
        <w:rPr>
          <w:lang w:val="es-ES_tradnl"/>
        </w:rPr>
        <w:t>o</w:t>
      </w:r>
      <w:r>
        <w:rPr>
          <w:lang w:val="es-ES_tradnl"/>
        </w:rPr>
        <w:t>nociendo la fuente de esos dichos.</w:t>
      </w:r>
    </w:p>
    <w:p w:rsidR="00224567" w:rsidRDefault="00224567">
      <w:pPr>
        <w:widowControl w:val="0"/>
        <w:rPr>
          <w:lang w:val="es-ES_tradnl"/>
        </w:rPr>
      </w:pPr>
      <w:r>
        <w:rPr>
          <w:lang w:val="es-ES_tradnl"/>
        </w:rPr>
        <w:tab/>
        <w:t>Aclaró –previa consulta de sus apu</w:t>
      </w:r>
      <w:r>
        <w:rPr>
          <w:lang w:val="es-ES_tradnl"/>
        </w:rPr>
        <w:t>n</w:t>
      </w:r>
      <w:r>
        <w:rPr>
          <w:lang w:val="es-ES_tradnl"/>
        </w:rPr>
        <w:t>tes personales- que del estudio de la causa a</w:t>
      </w:r>
      <w:r>
        <w:rPr>
          <w:lang w:val="es-ES_tradnl"/>
        </w:rPr>
        <w:t>d</w:t>
      </w:r>
      <w:r>
        <w:rPr>
          <w:lang w:val="es-ES_tradnl"/>
        </w:rPr>
        <w:t>virtió que a fs. 2965, el 26 de julio de 1996, el testigo de identidad r</w:t>
      </w:r>
      <w:r>
        <w:rPr>
          <w:lang w:val="es-ES_tradnl"/>
        </w:rPr>
        <w:t>e</w:t>
      </w:r>
      <w:r>
        <w:rPr>
          <w:lang w:val="es-ES_tradnl"/>
        </w:rPr>
        <w:t>servada nº 4 hizo mención a un tal Ali y la relación que podría haber tenido é</w:t>
      </w:r>
      <w:r>
        <w:rPr>
          <w:lang w:val="es-ES_tradnl"/>
        </w:rPr>
        <w:t>s</w:t>
      </w:r>
      <w:r>
        <w:rPr>
          <w:lang w:val="es-ES_tradnl"/>
        </w:rPr>
        <w:t>te con una Trafic.</w:t>
      </w:r>
    </w:p>
    <w:p w:rsidR="00224567" w:rsidRDefault="00224567">
      <w:pPr>
        <w:widowControl w:val="0"/>
        <w:rPr>
          <w:lang w:val="es-ES_tradnl"/>
        </w:rPr>
      </w:pPr>
      <w:r>
        <w:rPr>
          <w:lang w:val="es-ES_tradnl"/>
        </w:rPr>
        <w:tab/>
        <w:t>Ribelli agregó que a fs. 4372, obraba un informe que d</w:t>
      </w:r>
      <w:r>
        <w:rPr>
          <w:lang w:val="es-ES_tradnl"/>
        </w:rPr>
        <w:t>e</w:t>
      </w:r>
      <w:r>
        <w:rPr>
          <w:lang w:val="es-ES_tradnl"/>
        </w:rPr>
        <w:t>cía que el tal Ali habría participado de la venta de una camioneta Trafic por parte de T</w:t>
      </w:r>
      <w:r>
        <w:rPr>
          <w:lang w:val="es-ES_tradnl"/>
        </w:rPr>
        <w:t>e</w:t>
      </w:r>
      <w:r>
        <w:rPr>
          <w:lang w:val="es-ES_tradnl"/>
        </w:rPr>
        <w:t>lleldín, y que tendría vinculación con el oficial Barreiro, manife</w:t>
      </w:r>
      <w:r>
        <w:rPr>
          <w:lang w:val="es-ES_tradnl"/>
        </w:rPr>
        <w:t>s</w:t>
      </w:r>
      <w:r>
        <w:rPr>
          <w:lang w:val="es-ES_tradnl"/>
        </w:rPr>
        <w:t>tando que desconocía los orígenes de tales consta</w:t>
      </w:r>
      <w:r>
        <w:rPr>
          <w:lang w:val="es-ES_tradnl"/>
        </w:rPr>
        <w:t>n</w:t>
      </w:r>
      <w:r>
        <w:rPr>
          <w:lang w:val="es-ES_tradnl"/>
        </w:rPr>
        <w:t>cias.</w:t>
      </w:r>
    </w:p>
    <w:p w:rsidR="00224567" w:rsidRDefault="00224567">
      <w:pPr>
        <w:widowControl w:val="0"/>
        <w:rPr>
          <w:lang w:val="es-ES_tradnl"/>
        </w:rPr>
      </w:pPr>
      <w:r>
        <w:rPr>
          <w:lang w:val="es-ES_tradnl"/>
        </w:rPr>
        <w:tab/>
        <w:t>Además, dijo que dentro de la unidad de detención fue muy poco el contacto que tuvo con Ib</w:t>
      </w:r>
      <w:r>
        <w:rPr>
          <w:lang w:val="es-ES_tradnl"/>
        </w:rPr>
        <w:t>a</w:t>
      </w:r>
      <w:r>
        <w:rPr>
          <w:lang w:val="es-ES_tradnl"/>
        </w:rPr>
        <w:t>rra, dado que siempre estuvieron alojados en lugares difere</w:t>
      </w:r>
      <w:r>
        <w:rPr>
          <w:lang w:val="es-ES_tradnl"/>
        </w:rPr>
        <w:t>n</w:t>
      </w:r>
      <w:r>
        <w:rPr>
          <w:lang w:val="es-ES_tradnl"/>
        </w:rPr>
        <w:t>tes; no obstante ello, afirmó que le constaba la gran preocupación que tenía el no</w:t>
      </w:r>
      <w:r>
        <w:rPr>
          <w:lang w:val="es-ES_tradnl"/>
        </w:rPr>
        <w:t>m</w:t>
      </w:r>
      <w:r>
        <w:rPr>
          <w:lang w:val="es-ES_tradnl"/>
        </w:rPr>
        <w:t>brado en tratar de demostrar su inocencia, razón por la cual Ibarra estaba al tanto de varias circunstancias que se encontraban en la causa nº 1598, tales como las menciones sobre el tal Alí.</w:t>
      </w:r>
    </w:p>
    <w:p w:rsidR="00224567" w:rsidRDefault="00224567">
      <w:pPr>
        <w:widowControl w:val="0"/>
        <w:rPr>
          <w:lang w:val="es-ES_tradnl"/>
        </w:rPr>
      </w:pPr>
      <w:r>
        <w:rPr>
          <w:lang w:val="es-ES_tradnl"/>
        </w:rPr>
        <w:tab/>
        <w:t>En cuanto al tal Alí, Ribelli e</w:t>
      </w:r>
      <w:r>
        <w:rPr>
          <w:lang w:val="es-ES_tradnl"/>
        </w:rPr>
        <w:t>x</w:t>
      </w:r>
      <w:r>
        <w:rPr>
          <w:lang w:val="es-ES_tradnl"/>
        </w:rPr>
        <w:t xml:space="preserve">presó no saber si se podía tratar de un oficial que tenía ese apellido y que para fines del año 1991 estaba en </w:t>
      </w:r>
      <w:smartTag w:uri="urn:schemas-microsoft-com:office:smarttags" w:element="PersonName">
        <w:smartTagPr>
          <w:attr w:name="ProductID" w:val="la Brigada"/>
        </w:smartTagPr>
        <w:r>
          <w:rPr>
            <w:lang w:val="es-ES_tradnl"/>
          </w:rPr>
          <w:t>la Brig</w:t>
        </w:r>
        <w:r>
          <w:rPr>
            <w:lang w:val="es-ES_tradnl"/>
          </w:rPr>
          <w:t>a</w:t>
        </w:r>
        <w:r>
          <w:rPr>
            <w:lang w:val="es-ES_tradnl"/>
          </w:rPr>
          <w:t>da</w:t>
        </w:r>
      </w:smartTag>
      <w:r>
        <w:rPr>
          <w:lang w:val="es-ES_tradnl"/>
        </w:rPr>
        <w:t xml:space="preserve"> de General Sarmiento.</w:t>
      </w:r>
    </w:p>
    <w:p w:rsidR="00224567" w:rsidRDefault="00224567">
      <w:pPr>
        <w:pStyle w:val="Textoindependiente"/>
        <w:spacing w:line="600" w:lineRule="auto"/>
      </w:pPr>
      <w:r>
        <w:tab/>
        <w:t>Por último, dijo que escuchó coment</w:t>
      </w:r>
      <w:r>
        <w:t>a</w:t>
      </w:r>
      <w:r>
        <w:t>rios, sin constarle, acerca de que el tal Alí se parecería físicame</w:t>
      </w:r>
      <w:r>
        <w:t>n</w:t>
      </w:r>
      <w:r>
        <w:t xml:space="preserve">te a Ibarra y refirió no saber si Alí tenía una esposa que trabajara en </w:t>
      </w:r>
      <w:smartTag w:uri="urn:schemas-microsoft-com:office:smarttags" w:element="PersonName">
        <w:smartTagPr>
          <w:attr w:name="ProductID" w:val="la Polic￭a Bonaerense."/>
        </w:smartTagPr>
        <w:r>
          <w:t>la Policía B</w:t>
        </w:r>
        <w:r>
          <w:t>o</w:t>
        </w:r>
        <w:r>
          <w:t>naerense.</w:t>
        </w:r>
      </w:smartTag>
    </w:p>
    <w:p w:rsidR="00224567" w:rsidRDefault="00224567">
      <w:pPr>
        <w:widowControl w:val="0"/>
        <w:rPr>
          <w:lang w:val="es-ES_tradnl"/>
        </w:rPr>
      </w:pPr>
    </w:p>
    <w:p w:rsidR="00224567" w:rsidRDefault="00224567">
      <w:pPr>
        <w:pStyle w:val="Ttulo3"/>
        <w:widowControl w:val="0"/>
      </w:pPr>
      <w:r>
        <w:t>I) Declaraciones indagatorias de Diego Enrique B</w:t>
      </w:r>
      <w:r>
        <w:t>a</w:t>
      </w:r>
      <w:r>
        <w:t>rreda.</w:t>
      </w:r>
    </w:p>
    <w:p w:rsidR="00224567" w:rsidRDefault="00224567">
      <w:pPr>
        <w:widowControl w:val="0"/>
      </w:pPr>
      <w:r>
        <w:tab/>
        <w:t>En la audiencia de debate Diego Enr</w:t>
      </w:r>
      <w:r>
        <w:t>i</w:t>
      </w:r>
      <w:r>
        <w:t>que Barreda se abstuvo de declarar, limitándose a señ</w:t>
      </w:r>
      <w:r>
        <w:t>a</w:t>
      </w:r>
      <w:r>
        <w:t>lar que durante su indagatoria del 13 de julio de 1996 no co</w:t>
      </w:r>
      <w:r>
        <w:t>n</w:t>
      </w:r>
      <w:r>
        <w:t>tó con asistencia letrada y que los dichos asentados en ella no se ajustan ni a la realidad de lo s</w:t>
      </w:r>
      <w:r>
        <w:t>u</w:t>
      </w:r>
      <w:r>
        <w:t>cedido ni a lo expresado por él en su momento.</w:t>
      </w:r>
    </w:p>
    <w:p w:rsidR="00224567" w:rsidRDefault="00224567">
      <w:pPr>
        <w:widowControl w:val="0"/>
        <w:rPr>
          <w:lang w:val="es-ES_tradnl"/>
        </w:rPr>
      </w:pPr>
      <w:r>
        <w:rPr>
          <w:lang w:val="es-ES_tradnl"/>
        </w:rPr>
        <w:tab/>
        <w:t>En la etapa anterior declaró por pr</w:t>
      </w:r>
      <w:r>
        <w:rPr>
          <w:lang w:val="es-ES_tradnl"/>
        </w:rPr>
        <w:t>i</w:t>
      </w:r>
      <w:r>
        <w:rPr>
          <w:lang w:val="es-ES_tradnl"/>
        </w:rPr>
        <w:t>mera vez en aquella fecha (fs. 38.802/38.809), oport</w:t>
      </w:r>
      <w:r>
        <w:rPr>
          <w:lang w:val="es-ES_tradnl"/>
        </w:rPr>
        <w:t>u</w:t>
      </w:r>
      <w:r>
        <w:rPr>
          <w:lang w:val="es-ES_tradnl"/>
        </w:rPr>
        <w:t>nidad en la que refirió que conoció a Telleldín en 1988 cuando éste era propietario de un sa</w:t>
      </w:r>
      <w:r>
        <w:rPr>
          <w:lang w:val="es-ES_tradnl"/>
        </w:rPr>
        <w:t>u</w:t>
      </w:r>
      <w:r>
        <w:rPr>
          <w:lang w:val="es-ES_tradnl"/>
        </w:rPr>
        <w:t>na en la localidad de Sáenz Peña, entablándose a partir de entonces y hasta 1990 ó 1991 una relación que se hizo más intensa al pasar a tr</w:t>
      </w:r>
      <w:r>
        <w:rPr>
          <w:lang w:val="es-ES_tradnl"/>
        </w:rPr>
        <w:t>a</w:t>
      </w:r>
      <w:r>
        <w:rPr>
          <w:lang w:val="es-ES_tradnl"/>
        </w:rPr>
        <w:t>bajar en el servicio externo de la comisaría, para luego reencontrarlo en 1992 ó 1993, por la zona de Villa Balle</w:t>
      </w:r>
      <w:r>
        <w:rPr>
          <w:lang w:val="es-ES_tradnl"/>
        </w:rPr>
        <w:t>s</w:t>
      </w:r>
      <w:r>
        <w:rPr>
          <w:lang w:val="es-ES_tradnl"/>
        </w:rPr>
        <w:t>ter, en que le comentó que poseía un lavadero de autos en Olivos, Provincia de Buenos A</w:t>
      </w:r>
      <w:r>
        <w:rPr>
          <w:lang w:val="es-ES_tradnl"/>
        </w:rPr>
        <w:t>i</w:t>
      </w:r>
      <w:r>
        <w:rPr>
          <w:lang w:val="es-ES_tradnl"/>
        </w:rPr>
        <w:t>res.</w:t>
      </w:r>
    </w:p>
    <w:p w:rsidR="00224567" w:rsidRDefault="00224567">
      <w:pPr>
        <w:widowControl w:val="0"/>
        <w:rPr>
          <w:lang w:val="es-ES_tradnl"/>
        </w:rPr>
      </w:pPr>
      <w:r>
        <w:rPr>
          <w:lang w:val="es-ES_tradnl"/>
        </w:rPr>
        <w:tab/>
        <w:t xml:space="preserve">Explicó que a fines de 1993 prestaba servicios en </w:t>
      </w:r>
      <w:smartTag w:uri="urn:schemas-microsoft-com:office:smarttags" w:element="PersonName">
        <w:smartTagPr>
          <w:attr w:name="ProductID" w:val="la Brigada"/>
        </w:smartTagPr>
        <w:r>
          <w:rPr>
            <w:lang w:val="es-ES_tradnl"/>
          </w:rPr>
          <w:t>la Brigada</w:t>
        </w:r>
      </w:smartTag>
      <w:r>
        <w:rPr>
          <w:lang w:val="es-ES_tradnl"/>
        </w:rPr>
        <w:t xml:space="preserve"> de Investigaciones de San Ma</w:t>
      </w:r>
      <w:r>
        <w:rPr>
          <w:lang w:val="es-ES_tradnl"/>
        </w:rPr>
        <w:t>r</w:t>
      </w:r>
      <w:r>
        <w:rPr>
          <w:lang w:val="es-ES_tradnl"/>
        </w:rPr>
        <w:t>tín, en un grupo de robos y hurtos</w:t>
      </w:r>
      <w:r>
        <w:rPr>
          <w:i/>
          <w:iCs/>
          <w:lang w:val="es-ES_tradnl"/>
        </w:rPr>
        <w:t xml:space="preserve">, </w:t>
      </w:r>
      <w:r>
        <w:rPr>
          <w:lang w:val="es-ES_tradnl"/>
        </w:rPr>
        <w:t>al igual que Bare</w:t>
      </w:r>
      <w:r>
        <w:rPr>
          <w:lang w:val="es-ES_tradnl"/>
        </w:rPr>
        <w:t>i</w:t>
      </w:r>
      <w:r>
        <w:rPr>
          <w:lang w:val="es-ES_tradnl"/>
        </w:rPr>
        <w:t>ro, quien lo hacía como jefe de otro grupo operativo y que, a medi</w:t>
      </w:r>
      <w:r>
        <w:rPr>
          <w:lang w:val="es-ES_tradnl"/>
        </w:rPr>
        <w:t>a</w:t>
      </w:r>
      <w:r>
        <w:rPr>
          <w:lang w:val="es-ES_tradnl"/>
        </w:rPr>
        <w:t xml:space="preserve">dos de mayo, este último fue trasladado a </w:t>
      </w:r>
      <w:smartTag w:uri="urn:schemas-microsoft-com:office:smarttags" w:element="PersonName">
        <w:smartTagPr>
          <w:attr w:name="ProductID" w:val="la Brigada"/>
        </w:smartTagPr>
        <w:r>
          <w:rPr>
            <w:lang w:val="es-ES_tradnl"/>
          </w:rPr>
          <w:t>la Brigada</w:t>
        </w:r>
      </w:smartTag>
      <w:r>
        <w:rPr>
          <w:lang w:val="es-ES_tradnl"/>
        </w:rPr>
        <w:t xml:space="preserve"> de Vicente López, donde conocía al principal Leal y al subc</w:t>
      </w:r>
      <w:r>
        <w:rPr>
          <w:lang w:val="es-ES_tradnl"/>
        </w:rPr>
        <w:t>o</w:t>
      </w:r>
      <w:r>
        <w:rPr>
          <w:lang w:val="es-ES_tradnl"/>
        </w:rPr>
        <w:t>misario Jorge R</w:t>
      </w:r>
      <w:r>
        <w:rPr>
          <w:lang w:val="es-ES_tradnl"/>
        </w:rPr>
        <w:t>a</w:t>
      </w:r>
      <w:r>
        <w:rPr>
          <w:lang w:val="es-ES_tradnl"/>
        </w:rPr>
        <w:t>go.</w:t>
      </w:r>
    </w:p>
    <w:p w:rsidR="00224567" w:rsidRDefault="00224567">
      <w:pPr>
        <w:widowControl w:val="0"/>
        <w:rPr>
          <w:lang w:val="es-ES_tradnl"/>
        </w:rPr>
      </w:pPr>
      <w:r>
        <w:rPr>
          <w:lang w:val="es-ES_tradnl"/>
        </w:rPr>
        <w:tab/>
        <w:t>Desde septiembre de 1993 hasta, apr</w:t>
      </w:r>
      <w:r>
        <w:rPr>
          <w:lang w:val="es-ES_tradnl"/>
        </w:rPr>
        <w:t>o</w:t>
      </w:r>
      <w:r>
        <w:rPr>
          <w:lang w:val="es-ES_tradnl"/>
        </w:rPr>
        <w:t>ximadamente, el mes de mayo de 1994, no tuvo más co</w:t>
      </w:r>
      <w:r>
        <w:rPr>
          <w:lang w:val="es-ES_tradnl"/>
        </w:rPr>
        <w:t>n</w:t>
      </w:r>
      <w:r>
        <w:rPr>
          <w:lang w:val="es-ES_tradnl"/>
        </w:rPr>
        <w:t>tactos con Carlos Telleldín, pese a ser vecino de su hermano Eduardo, volviéndolo a ver en su domicilio en una oport</w:t>
      </w:r>
      <w:r>
        <w:rPr>
          <w:lang w:val="es-ES_tradnl"/>
        </w:rPr>
        <w:t>u</w:t>
      </w:r>
      <w:r>
        <w:rPr>
          <w:lang w:val="es-ES_tradnl"/>
        </w:rPr>
        <w:t>nidad en que aquél lo visitó con motivo de la oper</w:t>
      </w:r>
      <w:r>
        <w:rPr>
          <w:lang w:val="es-ES_tradnl"/>
        </w:rPr>
        <w:t>a</w:t>
      </w:r>
      <w:r>
        <w:rPr>
          <w:lang w:val="es-ES_tradnl"/>
        </w:rPr>
        <w:t>ción a la que fue sometido por haber recibido, el 12 de mayo de 1994, un disparo accidental en su pierna izquierda; oc</w:t>
      </w:r>
      <w:r>
        <w:rPr>
          <w:lang w:val="es-ES_tradnl"/>
        </w:rPr>
        <w:t>a</w:t>
      </w:r>
      <w:r>
        <w:rPr>
          <w:lang w:val="es-ES_tradnl"/>
        </w:rPr>
        <w:t>sión en que le comentó que no se dedicaba más a saunas ni videocl</w:t>
      </w:r>
      <w:r>
        <w:rPr>
          <w:lang w:val="es-ES_tradnl"/>
        </w:rPr>
        <w:t>u</w:t>
      </w:r>
      <w:r>
        <w:rPr>
          <w:lang w:val="es-ES_tradnl"/>
        </w:rPr>
        <w:t>bes, sino a comprar y vender autos.</w:t>
      </w:r>
    </w:p>
    <w:p w:rsidR="00224567" w:rsidRDefault="00224567">
      <w:pPr>
        <w:widowControl w:val="0"/>
        <w:rPr>
          <w:lang w:val="es-ES_tradnl"/>
        </w:rPr>
      </w:pPr>
      <w:r>
        <w:rPr>
          <w:lang w:val="es-ES_tradnl"/>
        </w:rPr>
        <w:tab/>
        <w:t>Manifestó Barreda que tiempo después tomó conocimiento de que, en realidad, lo que hacía T</w:t>
      </w:r>
      <w:r>
        <w:rPr>
          <w:lang w:val="es-ES_tradnl"/>
        </w:rPr>
        <w:t>e</w:t>
      </w:r>
      <w:r>
        <w:rPr>
          <w:lang w:val="es-ES_tradnl"/>
        </w:rPr>
        <w:t>lleldín era “doblar” autos siniestrados que adquiría en la agencia de Alejandro Monjo, siempre de la línea Renault, dado que tenía una persona e</w:t>
      </w:r>
      <w:r>
        <w:rPr>
          <w:lang w:val="es-ES_tradnl"/>
        </w:rPr>
        <w:t>s</w:t>
      </w:r>
      <w:r>
        <w:rPr>
          <w:lang w:val="es-ES_tradnl"/>
        </w:rPr>
        <w:t>pecializada en esa marca para regrabar las numeraciones de las carrocer</w:t>
      </w:r>
      <w:r>
        <w:rPr>
          <w:lang w:val="es-ES_tradnl"/>
        </w:rPr>
        <w:t>í</w:t>
      </w:r>
      <w:r>
        <w:rPr>
          <w:lang w:val="es-ES_tradnl"/>
        </w:rPr>
        <w:t>as; información a partir de la cual se dio cuenta que estaba frente a una persona que contaba con una importante estructura delict</w:t>
      </w:r>
      <w:r>
        <w:rPr>
          <w:lang w:val="es-ES_tradnl"/>
        </w:rPr>
        <w:t>i</w:t>
      </w:r>
      <w:r>
        <w:rPr>
          <w:lang w:val="es-ES_tradnl"/>
        </w:rPr>
        <w:t>va, por lo que, sin conocimiento de la brigada, donde se encontraba en uso de licencia a raíz de la lesión en la pierna, decidió “pegársele” para sacarle inform</w:t>
      </w:r>
      <w:r>
        <w:rPr>
          <w:lang w:val="es-ES_tradnl"/>
        </w:rPr>
        <w:t>a</w:t>
      </w:r>
      <w:r>
        <w:rPr>
          <w:lang w:val="es-ES_tradnl"/>
        </w:rPr>
        <w:t>ción y así poder investigarlo.</w:t>
      </w:r>
    </w:p>
    <w:p w:rsidR="00224567" w:rsidRDefault="00224567">
      <w:pPr>
        <w:widowControl w:val="0"/>
        <w:rPr>
          <w:lang w:val="es-ES_tradnl"/>
        </w:rPr>
      </w:pPr>
      <w:r>
        <w:rPr>
          <w:lang w:val="es-ES_tradnl"/>
        </w:rPr>
        <w:tab/>
        <w:t>Aclaró que luego dicha información d</w:t>
      </w:r>
      <w:r>
        <w:rPr>
          <w:lang w:val="es-ES_tradnl"/>
        </w:rPr>
        <w:t>e</w:t>
      </w:r>
      <w:r>
        <w:rPr>
          <w:lang w:val="es-ES_tradnl"/>
        </w:rPr>
        <w:t>cidió entregársela a su amigo Bareiro en razón que si i</w:t>
      </w:r>
      <w:r>
        <w:rPr>
          <w:lang w:val="es-ES_tradnl"/>
        </w:rPr>
        <w:t>n</w:t>
      </w:r>
      <w:r>
        <w:rPr>
          <w:lang w:val="es-ES_tradnl"/>
        </w:rPr>
        <w:t xml:space="preserve">tervenía </w:t>
      </w:r>
      <w:smartTag w:uri="urn:schemas-microsoft-com:office:smarttags" w:element="PersonName">
        <w:smartTagPr>
          <w:attr w:name="ProductID" w:val="la Brigada"/>
        </w:smartTagPr>
        <w:r>
          <w:rPr>
            <w:lang w:val="es-ES_tradnl"/>
          </w:rPr>
          <w:t>la Brigada</w:t>
        </w:r>
      </w:smartTag>
      <w:r>
        <w:rPr>
          <w:lang w:val="es-ES_tradnl"/>
        </w:rPr>
        <w:t xml:space="preserve"> de San Martín Telleldín se iba a dar cuenta que él había aportado el dato y, además, porque aquél andaba necesitando entregar un buen trab</w:t>
      </w:r>
      <w:r>
        <w:rPr>
          <w:lang w:val="es-ES_tradnl"/>
        </w:rPr>
        <w:t>a</w:t>
      </w:r>
      <w:r>
        <w:rPr>
          <w:lang w:val="es-ES_tradnl"/>
        </w:rPr>
        <w:t>jo para que lo llevaran a trab</w:t>
      </w:r>
      <w:r>
        <w:rPr>
          <w:lang w:val="es-ES_tradnl"/>
        </w:rPr>
        <w:t>a</w:t>
      </w:r>
      <w:r>
        <w:rPr>
          <w:lang w:val="es-ES_tradnl"/>
        </w:rPr>
        <w:t>jar como jefe de algún grupo operativo y así poder compartir los “beneficios económicos” que o</w:t>
      </w:r>
      <w:r>
        <w:rPr>
          <w:lang w:val="es-ES_tradnl"/>
        </w:rPr>
        <w:t>b</w:t>
      </w:r>
      <w:r>
        <w:rPr>
          <w:lang w:val="es-ES_tradnl"/>
        </w:rPr>
        <w:t>tienen quienes trabajan en la calle.</w:t>
      </w:r>
    </w:p>
    <w:p w:rsidR="00224567" w:rsidRDefault="00224567">
      <w:pPr>
        <w:widowControl w:val="0"/>
        <w:rPr>
          <w:lang w:val="es-ES_tradnl"/>
        </w:rPr>
      </w:pPr>
      <w:r>
        <w:rPr>
          <w:lang w:val="es-ES_tradnl"/>
        </w:rPr>
        <w:tab/>
        <w:t>Recordó Barreda que al tomar conoc</w:t>
      </w:r>
      <w:r>
        <w:rPr>
          <w:lang w:val="es-ES_tradnl"/>
        </w:rPr>
        <w:t>i</w:t>
      </w:r>
      <w:r>
        <w:rPr>
          <w:lang w:val="es-ES_tradnl"/>
        </w:rPr>
        <w:t>miento de la real actividad de Telleldín, también se ent</w:t>
      </w:r>
      <w:r>
        <w:rPr>
          <w:lang w:val="es-ES_tradnl"/>
        </w:rPr>
        <w:t>e</w:t>
      </w:r>
      <w:r>
        <w:rPr>
          <w:lang w:val="es-ES_tradnl"/>
        </w:rPr>
        <w:t xml:space="preserve">ró que éste, a principios de año, había “perdido” en </w:t>
      </w:r>
      <w:smartTag w:uri="urn:schemas-microsoft-com:office:smarttags" w:element="PersonName">
        <w:smartTagPr>
          <w:attr w:name="ProductID" w:val="la Brigada"/>
        </w:smartTagPr>
        <w:r>
          <w:rPr>
            <w:lang w:val="es-ES_tradnl"/>
          </w:rPr>
          <w:t>la Brigada</w:t>
        </w:r>
      </w:smartTag>
      <w:r>
        <w:rPr>
          <w:lang w:val="es-ES_tradnl"/>
        </w:rPr>
        <w:t xml:space="preserve"> de Lanús y que arregló su libertad entr</w:t>
      </w:r>
      <w:r>
        <w:rPr>
          <w:lang w:val="es-ES_tradnl"/>
        </w:rPr>
        <w:t>e</w:t>
      </w:r>
      <w:r>
        <w:rPr>
          <w:lang w:val="es-ES_tradnl"/>
        </w:rPr>
        <w:t>gando una moto marca Kawasaki, dos a</w:t>
      </w:r>
      <w:r>
        <w:rPr>
          <w:lang w:val="es-ES_tradnl"/>
        </w:rPr>
        <w:t>u</w:t>
      </w:r>
      <w:r>
        <w:rPr>
          <w:lang w:val="es-ES_tradnl"/>
        </w:rPr>
        <w:t xml:space="preserve">tos, uno de ellos Renault 18 y dinero en efectivo, creyendo que le habían pedido </w:t>
      </w:r>
      <w:r>
        <w:t>USD</w:t>
      </w:r>
      <w:r>
        <w:rPr>
          <w:lang w:val="es-ES_tradnl"/>
        </w:rPr>
        <w:t xml:space="preserve"> 50.000 u 80.000.</w:t>
      </w:r>
    </w:p>
    <w:p w:rsidR="00224567" w:rsidRDefault="00224567">
      <w:pPr>
        <w:widowControl w:val="0"/>
        <w:rPr>
          <w:lang w:val="es-ES_tradnl"/>
        </w:rPr>
      </w:pPr>
      <w:r>
        <w:rPr>
          <w:lang w:val="es-ES_tradnl"/>
        </w:rPr>
        <w:tab/>
        <w:t>Indicó que en los primeros días de j</w:t>
      </w:r>
      <w:r>
        <w:rPr>
          <w:lang w:val="es-ES_tradnl"/>
        </w:rPr>
        <w:t>u</w:t>
      </w:r>
      <w:r>
        <w:rPr>
          <w:lang w:val="es-ES_tradnl"/>
        </w:rPr>
        <w:t>lio de 1994, fecha que precisó en virtud de haber nacido su hijo el 10 de ese mes, entregó el dato a Bare</w:t>
      </w:r>
      <w:r>
        <w:rPr>
          <w:lang w:val="es-ES_tradnl"/>
        </w:rPr>
        <w:t>i</w:t>
      </w:r>
      <w:r>
        <w:rPr>
          <w:lang w:val="es-ES_tradnl"/>
        </w:rPr>
        <w:t>ro y éste lo trasmitió al subcomisario Jorge Rago, quien dispuso que el procedimiento lo lleve a cabo aquél junto al principal Leal, por lo que una noche ambos concurrieron a su domic</w:t>
      </w:r>
      <w:r>
        <w:rPr>
          <w:lang w:val="es-ES_tradnl"/>
        </w:rPr>
        <w:t>i</w:t>
      </w:r>
      <w:r>
        <w:rPr>
          <w:lang w:val="es-ES_tradnl"/>
        </w:rPr>
        <w:t>lio a fin de interiorizarse de los movimie</w:t>
      </w:r>
      <w:r>
        <w:rPr>
          <w:lang w:val="es-ES_tradnl"/>
        </w:rPr>
        <w:t>n</w:t>
      </w:r>
      <w:r>
        <w:rPr>
          <w:lang w:val="es-ES_tradnl"/>
        </w:rPr>
        <w:t>tos y personas que integraban la banda de Telleldín.</w:t>
      </w:r>
    </w:p>
    <w:p w:rsidR="00224567" w:rsidRDefault="00224567">
      <w:pPr>
        <w:widowControl w:val="0"/>
        <w:rPr>
          <w:lang w:val="es-ES_tradnl"/>
        </w:rPr>
      </w:pPr>
      <w:r>
        <w:rPr>
          <w:lang w:val="es-ES_tradnl"/>
        </w:rPr>
        <w:tab/>
        <w:t>Puntualizó Barreda que la info</w:t>
      </w:r>
      <w:r>
        <w:rPr>
          <w:lang w:val="es-ES_tradnl"/>
        </w:rPr>
        <w:t>r</w:t>
      </w:r>
      <w:r>
        <w:rPr>
          <w:lang w:val="es-ES_tradnl"/>
        </w:rPr>
        <w:t>mación que suministró daba cuenta que Carlos Telleldín “dobl</w:t>
      </w:r>
      <w:r>
        <w:rPr>
          <w:lang w:val="es-ES_tradnl"/>
        </w:rPr>
        <w:t>a</w:t>
      </w:r>
      <w:r>
        <w:rPr>
          <w:lang w:val="es-ES_tradnl"/>
        </w:rPr>
        <w:t>ba” automotores que adquiría siniestrados en la agencia “Aut</w:t>
      </w:r>
      <w:r>
        <w:rPr>
          <w:lang w:val="es-ES_tradnl"/>
        </w:rPr>
        <w:t>o</w:t>
      </w:r>
      <w:r>
        <w:rPr>
          <w:lang w:val="es-ES_tradnl"/>
        </w:rPr>
        <w:t xml:space="preserve">motores Alejandro”, sita en </w:t>
      </w:r>
      <w:smartTag w:uri="urn:schemas-microsoft-com:office:smarttags" w:element="PersonName">
        <w:smartTagPr>
          <w:attr w:name="ProductID" w:val="la Av. San"/>
        </w:smartTagPr>
        <w:r>
          <w:rPr>
            <w:lang w:val="es-ES_tradnl"/>
          </w:rPr>
          <w:t>la Av. San</w:t>
        </w:r>
      </w:smartTag>
      <w:r>
        <w:rPr>
          <w:lang w:val="es-ES_tradnl"/>
        </w:rPr>
        <w:t xml:space="preserve"> Martín, la que se vinculaba a un galpón en Rodríguez Peña y Ruta 8, donde guardaban autos siniestrados y que una persona de nombre Miguel se e</w:t>
      </w:r>
      <w:r>
        <w:rPr>
          <w:lang w:val="es-ES_tradnl"/>
        </w:rPr>
        <w:t>n</w:t>
      </w:r>
      <w:r>
        <w:rPr>
          <w:lang w:val="es-ES_tradnl"/>
        </w:rPr>
        <w:t>cargaba de regrabar, con un lápiz óptico, las numeraciones de los chasis de los vehículos que se mand</w:t>
      </w:r>
      <w:r>
        <w:rPr>
          <w:lang w:val="es-ES_tradnl"/>
        </w:rPr>
        <w:t>a</w:t>
      </w:r>
      <w:r>
        <w:rPr>
          <w:lang w:val="es-ES_tradnl"/>
        </w:rPr>
        <w:t>ban sustraer para su “doblaje”, siendo su trabajo tan bueno que pasaban los controles de verif</w:t>
      </w:r>
      <w:r>
        <w:rPr>
          <w:lang w:val="es-ES_tradnl"/>
        </w:rPr>
        <w:t>i</w:t>
      </w:r>
      <w:r>
        <w:rPr>
          <w:lang w:val="es-ES_tradnl"/>
        </w:rPr>
        <w:t>cación.</w:t>
      </w:r>
    </w:p>
    <w:p w:rsidR="00224567" w:rsidRDefault="00224567">
      <w:pPr>
        <w:widowControl w:val="0"/>
        <w:rPr>
          <w:lang w:val="es-ES_tradnl"/>
        </w:rPr>
      </w:pPr>
      <w:r>
        <w:rPr>
          <w:lang w:val="es-ES_tradnl"/>
        </w:rPr>
        <w:tab/>
        <w:t>Además de dicha información, Barreda refirió que a bordo del Ford Galaxy de Leal, procedió a verificar junto a éste y Bareiro, los lugares y el domic</w:t>
      </w:r>
      <w:r>
        <w:rPr>
          <w:lang w:val="es-ES_tradnl"/>
        </w:rPr>
        <w:t>i</w:t>
      </w:r>
      <w:r>
        <w:rPr>
          <w:lang w:val="es-ES_tradnl"/>
        </w:rPr>
        <w:t>lio de República 107 de Villa Ballester, descon</w:t>
      </w:r>
      <w:r>
        <w:rPr>
          <w:lang w:val="es-ES_tradnl"/>
        </w:rPr>
        <w:t>o</w:t>
      </w:r>
      <w:r>
        <w:rPr>
          <w:lang w:val="es-ES_tradnl"/>
        </w:rPr>
        <w:t>ciendo en qué taller o talleres Telleldín de</w:t>
      </w:r>
      <w:r>
        <w:rPr>
          <w:lang w:val="es-ES_tradnl"/>
        </w:rPr>
        <w:t>s</w:t>
      </w:r>
      <w:r>
        <w:rPr>
          <w:lang w:val="es-ES_tradnl"/>
        </w:rPr>
        <w:t>arrollaría su actividad ilícita.</w:t>
      </w:r>
    </w:p>
    <w:p w:rsidR="00224567" w:rsidRDefault="00224567">
      <w:pPr>
        <w:widowControl w:val="0"/>
        <w:rPr>
          <w:lang w:val="es-ES_tradnl"/>
        </w:rPr>
      </w:pPr>
      <w:r>
        <w:rPr>
          <w:lang w:val="es-ES_tradnl"/>
        </w:rPr>
        <w:tab/>
        <w:t>Precisó que para el 5 de julio sabía que Carlos Telleldín tenía en su poder una camioneta R</w:t>
      </w:r>
      <w:r>
        <w:rPr>
          <w:lang w:val="es-ES_tradnl"/>
        </w:rPr>
        <w:t>e</w:t>
      </w:r>
      <w:r>
        <w:rPr>
          <w:lang w:val="es-ES_tradnl"/>
        </w:rPr>
        <w:t>nault Trafic que, según éste, estaba armando; un Renault 19, que era utilizado por él y un Renault 9 que también estaba armando en el dom</w:t>
      </w:r>
      <w:r>
        <w:rPr>
          <w:lang w:val="es-ES_tradnl"/>
        </w:rPr>
        <w:t>i</w:t>
      </w:r>
      <w:r>
        <w:rPr>
          <w:lang w:val="es-ES_tradnl"/>
        </w:rPr>
        <w:t>cilio mencionado; en base a ello, en la reunión con Leal y Bareiro, les dijo que Telleldín estaba para ser “volteado”, pese a lo cual Leal no hizo ningún pr</w:t>
      </w:r>
      <w:r>
        <w:rPr>
          <w:lang w:val="es-ES_tradnl"/>
        </w:rPr>
        <w:t>o</w:t>
      </w:r>
      <w:r>
        <w:rPr>
          <w:lang w:val="es-ES_tradnl"/>
        </w:rPr>
        <w:t>cedimiento los días 6, 7 y 8 de julio. Al tomar conocimiento que Telleldín había publicado la ve</w:t>
      </w:r>
      <w:r>
        <w:rPr>
          <w:lang w:val="es-ES_tradnl"/>
        </w:rPr>
        <w:t>n</w:t>
      </w:r>
      <w:r>
        <w:rPr>
          <w:lang w:val="es-ES_tradnl"/>
        </w:rPr>
        <w:t>ta de la camioneta para los días sábado y domingo siguientes, el viernes anterior o el sábado, le sol</w:t>
      </w:r>
      <w:r>
        <w:rPr>
          <w:lang w:val="es-ES_tradnl"/>
        </w:rPr>
        <w:t>i</w:t>
      </w:r>
      <w:r>
        <w:rPr>
          <w:lang w:val="es-ES_tradnl"/>
        </w:rPr>
        <w:t>citó a Bareiro que le avisara otra vez a Leal que se apresuren a “voltear” a T</w:t>
      </w:r>
      <w:r>
        <w:rPr>
          <w:lang w:val="es-ES_tradnl"/>
        </w:rPr>
        <w:t>e</w:t>
      </w:r>
      <w:r>
        <w:rPr>
          <w:lang w:val="es-ES_tradnl"/>
        </w:rPr>
        <w:t>lleldín porque, de lo contrario, se quedarían sin uno de los vehículos.</w:t>
      </w:r>
    </w:p>
    <w:p w:rsidR="00224567" w:rsidRDefault="00224567">
      <w:pPr>
        <w:widowControl w:val="0"/>
        <w:rPr>
          <w:lang w:val="es-ES_tradnl"/>
        </w:rPr>
      </w:pPr>
      <w:r>
        <w:rPr>
          <w:lang w:val="es-ES_tradnl"/>
        </w:rPr>
        <w:tab/>
        <w:t>Señaló que luego del nacimiento de su hijo, pero antes del 15 de julio, Leal les comentó a B</w:t>
      </w:r>
      <w:r>
        <w:rPr>
          <w:lang w:val="es-ES_tradnl"/>
        </w:rPr>
        <w:t>a</w:t>
      </w:r>
      <w:r>
        <w:rPr>
          <w:lang w:val="es-ES_tradnl"/>
        </w:rPr>
        <w:t>reiro y a él que había concurrido –no r</w:t>
      </w:r>
      <w:r>
        <w:rPr>
          <w:lang w:val="es-ES_tradnl"/>
        </w:rPr>
        <w:t>e</w:t>
      </w:r>
      <w:r>
        <w:rPr>
          <w:lang w:val="es-ES_tradnl"/>
        </w:rPr>
        <w:t>cordaba si solo o acompañado- a la casa de Telleldín el sábado 9 o el domi</w:t>
      </w:r>
      <w:r>
        <w:rPr>
          <w:lang w:val="es-ES_tradnl"/>
        </w:rPr>
        <w:t>n</w:t>
      </w:r>
      <w:r>
        <w:rPr>
          <w:lang w:val="es-ES_tradnl"/>
        </w:rPr>
        <w:t xml:space="preserve">go 10, en los que se publicó </w:t>
      </w:r>
      <w:smartTag w:uri="urn:schemas-microsoft-com:office:smarttags" w:element="PersonName">
        <w:smartTagPr>
          <w:attr w:name="ProductID" w:val="la Trafic"/>
        </w:smartTagPr>
        <w:r>
          <w:rPr>
            <w:lang w:val="es-ES_tradnl"/>
          </w:rPr>
          <w:t>la Trafic</w:t>
        </w:r>
      </w:smartTag>
      <w:r>
        <w:rPr>
          <w:lang w:val="es-ES_tradnl"/>
        </w:rPr>
        <w:t>, haciéndose pasar por comprador, para averiguar o const</w:t>
      </w:r>
      <w:r>
        <w:rPr>
          <w:lang w:val="es-ES_tradnl"/>
        </w:rPr>
        <w:t>a</w:t>
      </w:r>
      <w:r>
        <w:rPr>
          <w:lang w:val="es-ES_tradnl"/>
        </w:rPr>
        <w:t>tar la existencia de ese automotor, oportunidad en la que una mujer rubia ate</w:t>
      </w:r>
      <w:r>
        <w:rPr>
          <w:lang w:val="es-ES_tradnl"/>
        </w:rPr>
        <w:t>n</w:t>
      </w:r>
      <w:r>
        <w:rPr>
          <w:lang w:val="es-ES_tradnl"/>
        </w:rPr>
        <w:t>dió la puerta, expresándole que la camioneta se había ve</w:t>
      </w:r>
      <w:r>
        <w:rPr>
          <w:lang w:val="es-ES_tradnl"/>
        </w:rPr>
        <w:t>n</w:t>
      </w:r>
      <w:r>
        <w:rPr>
          <w:lang w:val="es-ES_tradnl"/>
        </w:rPr>
        <w:t>dido.</w:t>
      </w:r>
    </w:p>
    <w:p w:rsidR="00224567" w:rsidRDefault="00224567">
      <w:pPr>
        <w:widowControl w:val="0"/>
        <w:rPr>
          <w:lang w:val="es-ES_tradnl"/>
        </w:rPr>
      </w:pPr>
      <w:r>
        <w:rPr>
          <w:lang w:val="es-ES_tradnl"/>
        </w:rPr>
        <w:tab/>
        <w:t>Indicó Barreda que el 10 de julio de 1994, salvo en horas de la mañana, en las que buscó unas cosas, su teléfono celular permaneció en poder de su esp</w:t>
      </w:r>
      <w:r>
        <w:rPr>
          <w:lang w:val="es-ES_tradnl"/>
        </w:rPr>
        <w:t>o</w:t>
      </w:r>
      <w:r>
        <w:rPr>
          <w:lang w:val="es-ES_tradnl"/>
        </w:rPr>
        <w:t>sa, en el sanatorio donde acababa de nacer su hijo; apar</w:t>
      </w:r>
      <w:r>
        <w:rPr>
          <w:lang w:val="es-ES_tradnl"/>
        </w:rPr>
        <w:t>a</w:t>
      </w:r>
      <w:r>
        <w:rPr>
          <w:lang w:val="es-ES_tradnl"/>
        </w:rPr>
        <w:t>to que era utilizado exclusivamente por él, aunque a v</w:t>
      </w:r>
      <w:r>
        <w:rPr>
          <w:lang w:val="es-ES_tradnl"/>
        </w:rPr>
        <w:t>e</w:t>
      </w:r>
      <w:r>
        <w:rPr>
          <w:lang w:val="es-ES_tradnl"/>
        </w:rPr>
        <w:t>ces, cuando estaban juntos, también lo ut</w:t>
      </w:r>
      <w:r>
        <w:rPr>
          <w:lang w:val="es-ES_tradnl"/>
        </w:rPr>
        <w:t>i</w:t>
      </w:r>
      <w:r>
        <w:rPr>
          <w:lang w:val="es-ES_tradnl"/>
        </w:rPr>
        <w:t>lizaba Bareiro.</w:t>
      </w:r>
    </w:p>
    <w:p w:rsidR="00224567" w:rsidRDefault="00224567">
      <w:pPr>
        <w:widowControl w:val="0"/>
        <w:rPr>
          <w:lang w:val="es-ES_tradnl"/>
        </w:rPr>
      </w:pPr>
      <w:r>
        <w:rPr>
          <w:lang w:val="es-ES_tradnl"/>
        </w:rPr>
        <w:tab/>
        <w:t>En cuanto a la camioneta Trafic, man</w:t>
      </w:r>
      <w:r>
        <w:rPr>
          <w:lang w:val="es-ES_tradnl"/>
        </w:rPr>
        <w:t>i</w:t>
      </w:r>
      <w:r>
        <w:rPr>
          <w:lang w:val="es-ES_tradnl"/>
        </w:rPr>
        <w:t>festó que Telleldín la estaba armando para la venta, al igual que el Renault 9 y que si la intención era “voltea</w:t>
      </w:r>
      <w:r>
        <w:rPr>
          <w:lang w:val="es-ES_tradnl"/>
        </w:rPr>
        <w:t>r</w:t>
      </w:r>
      <w:r>
        <w:rPr>
          <w:lang w:val="es-ES_tradnl"/>
        </w:rPr>
        <w:t>lo”, no se explicaba por qué r</w:t>
      </w:r>
      <w:r>
        <w:rPr>
          <w:lang w:val="es-ES_tradnl"/>
        </w:rPr>
        <w:t>a</w:t>
      </w:r>
      <w:r>
        <w:rPr>
          <w:lang w:val="es-ES_tradnl"/>
        </w:rPr>
        <w:t>zón concurrió Leal, sólo o acompañado, a constatar su existencia cuando, por los d</w:t>
      </w:r>
      <w:r>
        <w:rPr>
          <w:lang w:val="es-ES_tradnl"/>
        </w:rPr>
        <w:t>a</w:t>
      </w:r>
      <w:r>
        <w:rPr>
          <w:lang w:val="es-ES_tradnl"/>
        </w:rPr>
        <w:t>tos que les había proporcionado, te</w:t>
      </w:r>
      <w:r>
        <w:rPr>
          <w:lang w:val="es-ES_tradnl"/>
        </w:rPr>
        <w:t>n</w:t>
      </w:r>
      <w:r>
        <w:rPr>
          <w:lang w:val="es-ES_tradnl"/>
        </w:rPr>
        <w:t>dría que haber llevado a cabo el procedimiento directame</w:t>
      </w:r>
      <w:r>
        <w:rPr>
          <w:lang w:val="es-ES_tradnl"/>
        </w:rPr>
        <w:t>n</w:t>
      </w:r>
      <w:r>
        <w:rPr>
          <w:lang w:val="es-ES_tradnl"/>
        </w:rPr>
        <w:t>te.</w:t>
      </w:r>
    </w:p>
    <w:p w:rsidR="00224567" w:rsidRDefault="00224567">
      <w:pPr>
        <w:widowControl w:val="0"/>
        <w:rPr>
          <w:lang w:val="es-ES_tradnl"/>
        </w:rPr>
      </w:pPr>
      <w:r>
        <w:rPr>
          <w:lang w:val="es-ES_tradnl"/>
        </w:rPr>
        <w:tab/>
        <w:t>Barreda explicó que el 14 de julio B</w:t>
      </w:r>
      <w:r>
        <w:rPr>
          <w:lang w:val="es-ES_tradnl"/>
        </w:rPr>
        <w:t>a</w:t>
      </w:r>
      <w:r>
        <w:rPr>
          <w:lang w:val="es-ES_tradnl"/>
        </w:rPr>
        <w:t>reiro le comentó que iban a “aguantar” a Telleldín en su casa para “voltearlo”, recibiendo ese mismo día, por la noche, un llamado de Leal a su teléfono celular, interr</w:t>
      </w:r>
      <w:r>
        <w:rPr>
          <w:lang w:val="es-ES_tradnl"/>
        </w:rPr>
        <w:t>o</w:t>
      </w:r>
      <w:r>
        <w:rPr>
          <w:lang w:val="es-ES_tradnl"/>
        </w:rPr>
        <w:t>gándolo acerca de si conocía a un tal Hugo Pérez, a quien habían detenido al salir de República 107, para luego e</w:t>
      </w:r>
      <w:r>
        <w:rPr>
          <w:lang w:val="es-ES_tradnl"/>
        </w:rPr>
        <w:t>x</w:t>
      </w:r>
      <w:r>
        <w:rPr>
          <w:lang w:val="es-ES_tradnl"/>
        </w:rPr>
        <w:t>plicarle que, pese al procedimiento dispuesto, Telleldín había logrado escapar conduciendo su vehículo, luego de una persecución en la que, inclusive, habían efectuado disparos.</w:t>
      </w:r>
    </w:p>
    <w:p w:rsidR="00224567" w:rsidRDefault="00224567">
      <w:pPr>
        <w:widowControl w:val="0"/>
        <w:rPr>
          <w:lang w:val="es-ES_tradnl"/>
        </w:rPr>
      </w:pPr>
      <w:r>
        <w:rPr>
          <w:lang w:val="es-ES_tradnl"/>
        </w:rPr>
        <w:tab/>
        <w:t>Según Barreda, al día siguiente rec</w:t>
      </w:r>
      <w:r>
        <w:rPr>
          <w:lang w:val="es-ES_tradnl"/>
        </w:rPr>
        <w:t>i</w:t>
      </w:r>
      <w:r>
        <w:rPr>
          <w:lang w:val="es-ES_tradnl"/>
        </w:rPr>
        <w:t xml:space="preserve">bió un llamado de Telleldín donde le explicó lo sucedido el día anterior y le solicitó que le averiguara de qué brigada podían ser; ante ello, omitió informarle en ese momento que se trataba de </w:t>
      </w:r>
      <w:smartTag w:uri="urn:schemas-microsoft-com:office:smarttags" w:element="PersonName">
        <w:smartTagPr>
          <w:attr w:name="ProductID" w:val="la Brigada"/>
        </w:smartTagPr>
        <w:r>
          <w:rPr>
            <w:lang w:val="es-ES_tradnl"/>
          </w:rPr>
          <w:t>la Brigada</w:t>
        </w:r>
      </w:smartTag>
      <w:r>
        <w:rPr>
          <w:lang w:val="es-ES_tradnl"/>
        </w:rPr>
        <w:t xml:space="preserve"> de Vicente López, p</w:t>
      </w:r>
      <w:r>
        <w:rPr>
          <w:lang w:val="es-ES_tradnl"/>
        </w:rPr>
        <w:t>a</w:t>
      </w:r>
      <w:r>
        <w:rPr>
          <w:lang w:val="es-ES_tradnl"/>
        </w:rPr>
        <w:t>ra que no se diera cuenta que él también estaba detrás del procedimiento, pero luego lo llamó y le dijo que lo había buscado dicha brigada. En esa ocasión Telleldín le solic</w:t>
      </w:r>
      <w:r>
        <w:rPr>
          <w:lang w:val="es-ES_tradnl"/>
        </w:rPr>
        <w:t>i</w:t>
      </w:r>
      <w:r>
        <w:rPr>
          <w:lang w:val="es-ES_tradnl"/>
        </w:rPr>
        <w:t>tó que mediara en el tema, por lo que le aconsejó contr</w:t>
      </w:r>
      <w:r>
        <w:rPr>
          <w:lang w:val="es-ES_tradnl"/>
        </w:rPr>
        <w:t>a</w:t>
      </w:r>
      <w:r>
        <w:rPr>
          <w:lang w:val="es-ES_tradnl"/>
        </w:rPr>
        <w:t>tar a un abogado que le solucione el problema y, ante ello, se contactó con Bareiro y éste a su vez con Leal, tras lo cual decidieron ir a ver al Dr. Bottegal, por no haber encontr</w:t>
      </w:r>
      <w:r>
        <w:rPr>
          <w:lang w:val="es-ES_tradnl"/>
        </w:rPr>
        <w:t>a</w:t>
      </w:r>
      <w:r>
        <w:rPr>
          <w:lang w:val="es-ES_tradnl"/>
        </w:rPr>
        <w:t>do al Dr. Lufrano que era de su confianza.</w:t>
      </w:r>
    </w:p>
    <w:p w:rsidR="00224567" w:rsidRDefault="00224567">
      <w:pPr>
        <w:widowControl w:val="0"/>
        <w:rPr>
          <w:lang w:val="es-ES_tradnl"/>
        </w:rPr>
      </w:pPr>
      <w:r>
        <w:rPr>
          <w:lang w:val="es-ES_tradnl"/>
        </w:rPr>
        <w:tab/>
        <w:t>Una vez contactados con Bottegal, lo pusieron al tanto de la situación y éste preguntó con cuánto podía solucionar su problema Telleldín, indicá</w:t>
      </w:r>
      <w:r>
        <w:rPr>
          <w:lang w:val="es-ES_tradnl"/>
        </w:rPr>
        <w:t>n</w:t>
      </w:r>
      <w:r>
        <w:rPr>
          <w:lang w:val="es-ES_tradnl"/>
        </w:rPr>
        <w:t>dole Bareiro que podía pedir hasta aproxim</w:t>
      </w:r>
      <w:r>
        <w:rPr>
          <w:lang w:val="es-ES_tradnl"/>
        </w:rPr>
        <w:t>a</w:t>
      </w:r>
      <w:r>
        <w:rPr>
          <w:lang w:val="es-ES_tradnl"/>
        </w:rPr>
        <w:t xml:space="preserve">damente </w:t>
      </w:r>
      <w:r>
        <w:t>USD</w:t>
      </w:r>
      <w:r>
        <w:rPr>
          <w:lang w:val="es-ES_tradnl"/>
        </w:rPr>
        <w:t xml:space="preserve"> 50.000, en razón que esa era la suma que Telleldín, de acuerdo a sus comentarios, había puesto en Lanús, además de los r</w:t>
      </w:r>
      <w:r>
        <w:rPr>
          <w:lang w:val="es-ES_tradnl"/>
        </w:rPr>
        <w:t>o</w:t>
      </w:r>
      <w:r>
        <w:rPr>
          <w:lang w:val="es-ES_tradnl"/>
        </w:rPr>
        <w:t>dados entregados.</w:t>
      </w:r>
    </w:p>
    <w:p w:rsidR="00224567" w:rsidRDefault="00224567">
      <w:pPr>
        <w:widowControl w:val="0"/>
        <w:rPr>
          <w:lang w:val="es-ES_tradnl"/>
        </w:rPr>
      </w:pPr>
      <w:r>
        <w:rPr>
          <w:lang w:val="es-ES_tradnl"/>
        </w:rPr>
        <w:tab/>
        <w:t>Bottegal se encontró con Telle</w:t>
      </w:r>
      <w:r>
        <w:rPr>
          <w:lang w:val="es-ES_tradnl"/>
        </w:rPr>
        <w:t>l</w:t>
      </w:r>
      <w:r>
        <w:rPr>
          <w:lang w:val="es-ES_tradnl"/>
        </w:rPr>
        <w:t xml:space="preserve">dín en </w:t>
      </w:r>
      <w:smartTag w:uri="urn:schemas-microsoft-com:office:smarttags" w:element="PersonName">
        <w:smartTagPr>
          <w:attr w:name="ProductID" w:val="la Capital Federal"/>
        </w:smartTagPr>
        <w:r>
          <w:rPr>
            <w:lang w:val="es-ES_tradnl"/>
          </w:rPr>
          <w:t>la Capital Federal</w:t>
        </w:r>
      </w:smartTag>
      <w:r>
        <w:rPr>
          <w:lang w:val="es-ES_tradnl"/>
        </w:rPr>
        <w:t>, oportunidad en que le explicó que no tenía más dinero y que lo único que podía ofrecer era un barco que tenía en el Tigre, v</w:t>
      </w:r>
      <w:r>
        <w:rPr>
          <w:lang w:val="es-ES_tradnl"/>
        </w:rPr>
        <w:t>a</w:t>
      </w:r>
      <w:r>
        <w:rPr>
          <w:lang w:val="es-ES_tradnl"/>
        </w:rPr>
        <w:t xml:space="preserve">luado en </w:t>
      </w:r>
      <w:r>
        <w:t>USD</w:t>
      </w:r>
      <w:r>
        <w:rPr>
          <w:lang w:val="es-ES_tradnl"/>
        </w:rPr>
        <w:t xml:space="preserve"> 15.000, el que entregó en garantía de una suma igual que se comprometió a pagar para se le solucionen sus problemas con la brigada; suma que incluía los honorarios del letr</w:t>
      </w:r>
      <w:r>
        <w:rPr>
          <w:lang w:val="es-ES_tradnl"/>
        </w:rPr>
        <w:t>a</w:t>
      </w:r>
      <w:r>
        <w:rPr>
          <w:lang w:val="es-ES_tradnl"/>
        </w:rPr>
        <w:t>do.</w:t>
      </w:r>
    </w:p>
    <w:p w:rsidR="00224567" w:rsidRDefault="00224567">
      <w:pPr>
        <w:widowControl w:val="0"/>
        <w:rPr>
          <w:lang w:val="es-ES_tradnl"/>
        </w:rPr>
      </w:pPr>
      <w:r>
        <w:rPr>
          <w:lang w:val="es-ES_tradnl"/>
        </w:rPr>
        <w:tab/>
        <w:t>Agregó Barreda que luego recibió un llamado telefónico de Leal a quien, él o Bareiro, inform</w:t>
      </w:r>
      <w:r>
        <w:rPr>
          <w:lang w:val="es-ES_tradnl"/>
        </w:rPr>
        <w:t>a</w:t>
      </w:r>
      <w:r>
        <w:rPr>
          <w:lang w:val="es-ES_tradnl"/>
        </w:rPr>
        <w:t>ron acerca de lo sucedido, anoticiándolos a su vez que a Pérez se le vencía el plazo para dem</w:t>
      </w:r>
      <w:r>
        <w:rPr>
          <w:lang w:val="es-ES_tradnl"/>
        </w:rPr>
        <w:t>o</w:t>
      </w:r>
      <w:r>
        <w:rPr>
          <w:lang w:val="es-ES_tradnl"/>
        </w:rPr>
        <w:t>rarlo en averiguación de antecedentes; circunstancia que demue</w:t>
      </w:r>
      <w:r>
        <w:rPr>
          <w:lang w:val="es-ES_tradnl"/>
        </w:rPr>
        <w:t>s</w:t>
      </w:r>
      <w:r>
        <w:rPr>
          <w:lang w:val="es-ES_tradnl"/>
        </w:rPr>
        <w:t>tra, a su juicio, que el encuentro entre Bottegal y Telleldín no fue para negociar la libe</w:t>
      </w:r>
      <w:r>
        <w:rPr>
          <w:lang w:val="es-ES_tradnl"/>
        </w:rPr>
        <w:t>r</w:t>
      </w:r>
      <w:r>
        <w:rPr>
          <w:lang w:val="es-ES_tradnl"/>
        </w:rPr>
        <w:t xml:space="preserve">tad de Pérez, por cuanto el término de su detención vencía indefectiblemente, sino para solucionar el problema que había tenido con </w:t>
      </w:r>
      <w:smartTag w:uri="urn:schemas-microsoft-com:office:smarttags" w:element="PersonName">
        <w:smartTagPr>
          <w:attr w:name="ProductID" w:val="la Brigada"/>
        </w:smartTagPr>
        <w:r>
          <w:rPr>
            <w:lang w:val="es-ES_tradnl"/>
          </w:rPr>
          <w:t>la Brigada</w:t>
        </w:r>
      </w:smartTag>
      <w:r>
        <w:rPr>
          <w:lang w:val="es-ES_tradnl"/>
        </w:rPr>
        <w:t xml:space="preserve"> de Vicente L</w:t>
      </w:r>
      <w:r>
        <w:rPr>
          <w:lang w:val="es-ES_tradnl"/>
        </w:rPr>
        <w:t>ó</w:t>
      </w:r>
      <w:r>
        <w:rPr>
          <w:lang w:val="es-ES_tradnl"/>
        </w:rPr>
        <w:t>pez, a partir de los d</w:t>
      </w:r>
      <w:r>
        <w:rPr>
          <w:lang w:val="es-ES_tradnl"/>
        </w:rPr>
        <w:t>a</w:t>
      </w:r>
      <w:r>
        <w:rPr>
          <w:lang w:val="es-ES_tradnl"/>
        </w:rPr>
        <w:t>tos que había brindado.</w:t>
      </w:r>
    </w:p>
    <w:p w:rsidR="00224567" w:rsidRDefault="00224567">
      <w:pPr>
        <w:widowControl w:val="0"/>
        <w:rPr>
          <w:lang w:val="es-ES_tradnl"/>
        </w:rPr>
      </w:pPr>
      <w:r>
        <w:rPr>
          <w:lang w:val="es-ES_tradnl"/>
        </w:rPr>
        <w:tab/>
        <w:t>Explicó que, con relación al mentado encue</w:t>
      </w:r>
      <w:r>
        <w:rPr>
          <w:lang w:val="es-ES_tradnl"/>
        </w:rPr>
        <w:t>n</w:t>
      </w:r>
      <w:r>
        <w:rPr>
          <w:lang w:val="es-ES_tradnl"/>
        </w:rPr>
        <w:t>tro y a fin de interiorizarse del tema, el único que los llamó tanto a él como a Bareiro fue Leal, recordando también haber hablado en alguna oportunidad para que Bo</w:t>
      </w:r>
      <w:r>
        <w:rPr>
          <w:lang w:val="es-ES_tradnl"/>
        </w:rPr>
        <w:t>t</w:t>
      </w:r>
      <w:r>
        <w:rPr>
          <w:lang w:val="es-ES_tradnl"/>
        </w:rPr>
        <w:t>tegal vendiera el barco y les pagara algo en atención a que le habían acercado un cliente.</w:t>
      </w:r>
    </w:p>
    <w:p w:rsidR="00224567" w:rsidRDefault="00224567">
      <w:pPr>
        <w:widowControl w:val="0"/>
        <w:rPr>
          <w:lang w:val="es-ES_tradnl"/>
        </w:rPr>
      </w:pPr>
      <w:r>
        <w:rPr>
          <w:lang w:val="es-ES_tradnl"/>
        </w:rPr>
        <w:tab/>
        <w:t xml:space="preserve">Indicó, además, que concurrió a </w:t>
      </w:r>
      <w:smartTag w:uri="urn:schemas-microsoft-com:office:smarttags" w:element="PersonName">
        <w:smartTagPr>
          <w:attr w:name="ProductID" w:val="la Brigada"/>
        </w:smartTagPr>
        <w:r>
          <w:rPr>
            <w:lang w:val="es-ES_tradnl"/>
          </w:rPr>
          <w:t>la Brigada</w:t>
        </w:r>
      </w:smartTag>
      <w:r>
        <w:rPr>
          <w:lang w:val="es-ES_tradnl"/>
        </w:rPr>
        <w:t xml:space="preserve"> de Vicente López en un par de oportunidades, con</w:t>
      </w:r>
      <w:r>
        <w:rPr>
          <w:lang w:val="es-ES_tradnl"/>
        </w:rPr>
        <w:t>o</w:t>
      </w:r>
      <w:r>
        <w:rPr>
          <w:lang w:val="es-ES_tradnl"/>
        </w:rPr>
        <w:t>ciendo a Leal y Rago y que si bien no figura en las actu</w:t>
      </w:r>
      <w:r>
        <w:rPr>
          <w:lang w:val="es-ES_tradnl"/>
        </w:rPr>
        <w:t>a</w:t>
      </w:r>
      <w:r>
        <w:rPr>
          <w:lang w:val="es-ES_tradnl"/>
        </w:rPr>
        <w:t>ciones, supo que Bareiro participó del procedimiento que se llevó a cabo el 14 de j</w:t>
      </w:r>
      <w:r>
        <w:rPr>
          <w:lang w:val="es-ES_tradnl"/>
        </w:rPr>
        <w:t>u</w:t>
      </w:r>
      <w:r>
        <w:rPr>
          <w:lang w:val="es-ES_tradnl"/>
        </w:rPr>
        <w:t>lio de 1994.</w:t>
      </w:r>
    </w:p>
    <w:p w:rsidR="00224567" w:rsidRDefault="00224567">
      <w:pPr>
        <w:widowControl w:val="0"/>
        <w:rPr>
          <w:lang w:val="es-ES_tradnl"/>
        </w:rPr>
      </w:pPr>
      <w:r>
        <w:rPr>
          <w:lang w:val="es-ES_tradnl"/>
        </w:rPr>
        <w:tab/>
        <w:t>En otro orden de cosas, Barreda reco</w:t>
      </w:r>
      <w:r>
        <w:rPr>
          <w:lang w:val="es-ES_tradnl"/>
        </w:rPr>
        <w:t>r</w:t>
      </w:r>
      <w:r>
        <w:rPr>
          <w:lang w:val="es-ES_tradnl"/>
        </w:rPr>
        <w:t>dó que en una oportunidad Bareiro le refirió que en la brigada había un detenido de apellido Solari que decía c</w:t>
      </w:r>
      <w:r>
        <w:rPr>
          <w:lang w:val="es-ES_tradnl"/>
        </w:rPr>
        <w:t>o</w:t>
      </w:r>
      <w:r>
        <w:rPr>
          <w:lang w:val="es-ES_tradnl"/>
        </w:rPr>
        <w:t xml:space="preserve">nocer detalles del atentado y que estaba escribiendo o quería escribir una carta para enviarla a </w:t>
      </w:r>
      <w:smartTag w:uri="urn:schemas-microsoft-com:office:smarttags" w:element="PersonName">
        <w:smartTagPr>
          <w:attr w:name="ProductID" w:val="la Embajada"/>
        </w:smartTagPr>
        <w:r>
          <w:rPr>
            <w:lang w:val="es-ES_tradnl"/>
          </w:rPr>
          <w:t>la Embajada</w:t>
        </w:r>
      </w:smartTag>
      <w:r>
        <w:rPr>
          <w:lang w:val="es-ES_tradnl"/>
        </w:rPr>
        <w:t xml:space="preserve"> de Israel o al juez Galeano.</w:t>
      </w:r>
    </w:p>
    <w:p w:rsidR="00224567" w:rsidRDefault="00224567">
      <w:pPr>
        <w:widowControl w:val="0"/>
        <w:rPr>
          <w:lang w:val="es-ES_tradnl"/>
        </w:rPr>
      </w:pPr>
      <w:r>
        <w:rPr>
          <w:lang w:val="es-ES_tradnl"/>
        </w:rPr>
        <w:tab/>
        <w:t>Finalmente, sostuvo su ajenidad a cualquier tipo de colaboración relacionada con el ate</w:t>
      </w:r>
      <w:r>
        <w:rPr>
          <w:lang w:val="es-ES_tradnl"/>
        </w:rPr>
        <w:t>n</w:t>
      </w:r>
      <w:r>
        <w:rPr>
          <w:lang w:val="es-ES_tradnl"/>
        </w:rPr>
        <w:t xml:space="preserve">tado a la sede de </w:t>
      </w:r>
      <w:smartTag w:uri="urn:schemas-microsoft-com:office:smarttags" w:element="PersonName">
        <w:smartTagPr>
          <w:attr w:name="ProductID" w:val="la A.M"/>
        </w:smartTagPr>
        <w:r>
          <w:rPr>
            <w:lang w:val="es-ES_tradnl"/>
          </w:rPr>
          <w:t>la A.M</w:t>
        </w:r>
      </w:smartTag>
      <w:r>
        <w:rPr>
          <w:lang w:val="es-ES_tradnl"/>
        </w:rPr>
        <w:t>.I.A.</w:t>
      </w:r>
    </w:p>
    <w:p w:rsidR="00224567" w:rsidRDefault="00224567">
      <w:pPr>
        <w:widowControl w:val="0"/>
        <w:rPr>
          <w:lang w:val="es-ES_tradnl"/>
        </w:rPr>
      </w:pPr>
      <w:r>
        <w:rPr>
          <w:lang w:val="es-ES_tradnl"/>
        </w:rPr>
        <w:tab/>
        <w:t>Barreda continuó su declaración al día s</w:t>
      </w:r>
      <w:r>
        <w:rPr>
          <w:lang w:val="es-ES_tradnl"/>
        </w:rPr>
        <w:t>i</w:t>
      </w:r>
      <w:r>
        <w:rPr>
          <w:lang w:val="es-ES_tradnl"/>
        </w:rPr>
        <w:t>guiente (fs. 38.860/38.868). Manifestó que el 16 ó 17 de julio de 1994 Telleldín y Ana Boragni lo habían visitado en su domicilio comentándole los pormenores de lo que h</w:t>
      </w:r>
      <w:r>
        <w:rPr>
          <w:lang w:val="es-ES_tradnl"/>
        </w:rPr>
        <w:t>a</w:t>
      </w:r>
      <w:r>
        <w:rPr>
          <w:lang w:val="es-ES_tradnl"/>
        </w:rPr>
        <w:t xml:space="preserve">bía acontecido con </w:t>
      </w:r>
      <w:smartTag w:uri="urn:schemas-microsoft-com:office:smarttags" w:element="PersonName">
        <w:smartTagPr>
          <w:attr w:name="ProductID" w:val="la Brigada"/>
        </w:smartTagPr>
        <w:r>
          <w:rPr>
            <w:lang w:val="es-ES_tradnl"/>
          </w:rPr>
          <w:t>la Brigada</w:t>
        </w:r>
      </w:smartTag>
      <w:r>
        <w:rPr>
          <w:lang w:val="es-ES_tradnl"/>
        </w:rPr>
        <w:t xml:space="preserve"> de Vicente López. Aquél le relató que había sido perseguido por dos automóviles -un Peugeot 505 y un Ford Galaxy- y que para escaparse debió colisionar al primer rodado y transitar por la acera. Ta</w:t>
      </w:r>
      <w:r>
        <w:rPr>
          <w:lang w:val="es-ES_tradnl"/>
        </w:rPr>
        <w:t>m</w:t>
      </w:r>
      <w:r>
        <w:rPr>
          <w:lang w:val="es-ES_tradnl"/>
        </w:rPr>
        <w:t>bién le manifestó que sus perseguidores efectuaron un di</w:t>
      </w:r>
      <w:r>
        <w:rPr>
          <w:lang w:val="es-ES_tradnl"/>
        </w:rPr>
        <w:t>s</w:t>
      </w:r>
      <w:r>
        <w:rPr>
          <w:lang w:val="es-ES_tradnl"/>
        </w:rPr>
        <w:t>paro de arma de fuego y que en un momento en que fue a</w:t>
      </w:r>
      <w:r>
        <w:rPr>
          <w:lang w:val="es-ES_tradnl"/>
        </w:rPr>
        <w:t>l</w:t>
      </w:r>
      <w:r>
        <w:rPr>
          <w:lang w:val="es-ES_tradnl"/>
        </w:rPr>
        <w:t>canzado, uno de ellos aprovechó para romperle, con la c</w:t>
      </w:r>
      <w:r>
        <w:rPr>
          <w:lang w:val="es-ES_tradnl"/>
        </w:rPr>
        <w:t>u</w:t>
      </w:r>
      <w:r>
        <w:rPr>
          <w:lang w:val="es-ES_tradnl"/>
        </w:rPr>
        <w:t>lata de la pistola, uno de los vidrios del vehículo. A ese respecto, recordó que en la reunión que había mantenido con Leal y Bareiro a fin de informarles acerca de las a</w:t>
      </w:r>
      <w:r>
        <w:rPr>
          <w:lang w:val="es-ES_tradnl"/>
        </w:rPr>
        <w:t>c</w:t>
      </w:r>
      <w:r>
        <w:rPr>
          <w:lang w:val="es-ES_tradnl"/>
        </w:rPr>
        <w:t>tividades de Telleldín, les señaló que éste, según sus propios dichos, era una persona muy hábil para escaparse de la policía y que, de decidirse el procedimiento, no t</w:t>
      </w:r>
      <w:r>
        <w:rPr>
          <w:lang w:val="es-ES_tradnl"/>
        </w:rPr>
        <w:t>e</w:t>
      </w:r>
      <w:r>
        <w:rPr>
          <w:lang w:val="es-ES_tradnl"/>
        </w:rPr>
        <w:t>nían que dejarlo subir al vehículo.</w:t>
      </w:r>
    </w:p>
    <w:p w:rsidR="00224567" w:rsidRDefault="00224567">
      <w:pPr>
        <w:widowControl w:val="0"/>
        <w:rPr>
          <w:lang w:val="es-ES_tradnl"/>
        </w:rPr>
      </w:pPr>
      <w:r>
        <w:rPr>
          <w:lang w:val="es-ES_tradnl"/>
        </w:rPr>
        <w:tab/>
        <w:t>Aclaró que Telleldín, en la vis</w:t>
      </w:r>
      <w:r>
        <w:rPr>
          <w:lang w:val="es-ES_tradnl"/>
        </w:rPr>
        <w:t>i</w:t>
      </w:r>
      <w:r>
        <w:rPr>
          <w:lang w:val="es-ES_tradnl"/>
        </w:rPr>
        <w:t>ta que le realizó junto a Ana Boragni, le refirió que el 10 de julio había vendido la camioneta Trafic; incluso le exh</w:t>
      </w:r>
      <w:r>
        <w:rPr>
          <w:lang w:val="es-ES_tradnl"/>
        </w:rPr>
        <w:t>i</w:t>
      </w:r>
      <w:r>
        <w:rPr>
          <w:lang w:val="es-ES_tradnl"/>
        </w:rPr>
        <w:t>bió el boleto de compraventa,  señalándole  espontáneame</w:t>
      </w:r>
      <w:r>
        <w:rPr>
          <w:lang w:val="es-ES_tradnl"/>
        </w:rPr>
        <w:t>n</w:t>
      </w:r>
      <w:r>
        <w:rPr>
          <w:lang w:val="es-ES_tradnl"/>
        </w:rPr>
        <w:t>te distintas circunstan- cias de la operación, tales como que se la había vendido a una persona con acento centro</w:t>
      </w:r>
      <w:r>
        <w:rPr>
          <w:lang w:val="es-ES_tradnl"/>
        </w:rPr>
        <w:t>a</w:t>
      </w:r>
      <w:r>
        <w:rPr>
          <w:lang w:val="es-ES_tradnl"/>
        </w:rPr>
        <w:t>mericano que le exhibió un Documento Nacional de Ide</w:t>
      </w:r>
      <w:r>
        <w:rPr>
          <w:lang w:val="es-ES_tradnl"/>
        </w:rPr>
        <w:t>n</w:t>
      </w:r>
      <w:r>
        <w:rPr>
          <w:lang w:val="es-ES_tradnl"/>
        </w:rPr>
        <w:t>tidad aparentemente apócrifo y que tenía en su poder el formul</w:t>
      </w:r>
      <w:r>
        <w:rPr>
          <w:lang w:val="es-ES_tradnl"/>
        </w:rPr>
        <w:t>a</w:t>
      </w:r>
      <w:r>
        <w:rPr>
          <w:lang w:val="es-ES_tradnl"/>
        </w:rPr>
        <w:t>rio “</w:t>
      </w:r>
      <w:smartTag w:uri="urn:schemas-microsoft-com:office:smarttags" w:element="metricconverter">
        <w:smartTagPr>
          <w:attr w:name="ProductID" w:val="08”"/>
        </w:smartTagPr>
        <w:r>
          <w:rPr>
            <w:lang w:val="es-ES_tradnl"/>
          </w:rPr>
          <w:t>08”</w:t>
        </w:r>
      </w:smartTag>
      <w:r>
        <w:rPr>
          <w:lang w:val="es-ES_tradnl"/>
        </w:rPr>
        <w:t>. Asimismo, Boragni le comentó que no se pudo arreglar la camioneta en su domicilio de República 107 en razón que por la altura no entraba en el garaje, motivo por el cual Telleldín debió buscar otro lugar para hace</w:t>
      </w:r>
      <w:r>
        <w:rPr>
          <w:lang w:val="es-ES_tradnl"/>
        </w:rPr>
        <w:t>r</w:t>
      </w:r>
      <w:r>
        <w:rPr>
          <w:lang w:val="es-ES_tradnl"/>
        </w:rPr>
        <w:t>lo.</w:t>
      </w:r>
    </w:p>
    <w:p w:rsidR="00224567" w:rsidRDefault="00224567">
      <w:pPr>
        <w:widowControl w:val="0"/>
        <w:rPr>
          <w:lang w:val="es-ES_tradnl"/>
        </w:rPr>
      </w:pPr>
      <w:r>
        <w:rPr>
          <w:lang w:val="es-ES_tradnl"/>
        </w:rPr>
        <w:tab/>
        <w:t>Barreda refirió -sin precisar la f</w:t>
      </w:r>
      <w:r>
        <w:rPr>
          <w:lang w:val="es-ES_tradnl"/>
        </w:rPr>
        <w:t>e</w:t>
      </w:r>
      <w:r>
        <w:rPr>
          <w:lang w:val="es-ES_tradnl"/>
        </w:rPr>
        <w:t>cha- que luego del atentado se reintegró al serv</w:t>
      </w:r>
      <w:r>
        <w:rPr>
          <w:lang w:val="es-ES_tradnl"/>
        </w:rPr>
        <w:t>i</w:t>
      </w:r>
      <w:r>
        <w:rPr>
          <w:lang w:val="es-ES_tradnl"/>
        </w:rPr>
        <w:t>cio y que desde ese momento hasta el 25 ó 26 de julio, en que se c</w:t>
      </w:r>
      <w:r>
        <w:rPr>
          <w:lang w:val="es-ES_tradnl"/>
        </w:rPr>
        <w:t>o</w:t>
      </w:r>
      <w:r>
        <w:rPr>
          <w:lang w:val="es-ES_tradnl"/>
        </w:rPr>
        <w:t>municaron telefónicamente, nada supo de Telleldín y su e</w:t>
      </w:r>
      <w:r>
        <w:rPr>
          <w:lang w:val="es-ES_tradnl"/>
        </w:rPr>
        <w:t>s</w:t>
      </w:r>
      <w:r>
        <w:rPr>
          <w:lang w:val="es-ES_tradnl"/>
        </w:rPr>
        <w:t>posa. Que en esa oport</w:t>
      </w:r>
      <w:r>
        <w:rPr>
          <w:lang w:val="es-ES_tradnl"/>
        </w:rPr>
        <w:t>u</w:t>
      </w:r>
      <w:r>
        <w:rPr>
          <w:lang w:val="es-ES_tradnl"/>
        </w:rPr>
        <w:t>nidad, Boragni le señaló que había gente extraña frente a su domicilio -“un montón de pers</w:t>
      </w:r>
      <w:r>
        <w:rPr>
          <w:lang w:val="es-ES_tradnl"/>
        </w:rPr>
        <w:t>o</w:t>
      </w:r>
      <w:r>
        <w:rPr>
          <w:lang w:val="es-ES_tradnl"/>
        </w:rPr>
        <w:t xml:space="preserve">nal policial”- y le solicitó que averiguara si era que </w:t>
      </w:r>
      <w:smartTag w:uri="urn:schemas-microsoft-com:office:smarttags" w:element="PersonName">
        <w:smartTagPr>
          <w:attr w:name="ProductID" w:val="la Brigada"/>
        </w:smartTagPr>
        <w:r>
          <w:rPr>
            <w:lang w:val="es-ES_tradnl"/>
          </w:rPr>
          <w:t>la Brigada</w:t>
        </w:r>
      </w:smartTag>
      <w:r>
        <w:rPr>
          <w:lang w:val="es-ES_tradnl"/>
        </w:rPr>
        <w:t xml:space="preserve"> de Vicente López le estaba “aguantando” nuevamente la casa. Ante ello concurrió al lugar junto con Bareiro, pudiendo observar varios automotores con gente que les r</w:t>
      </w:r>
      <w:r>
        <w:rPr>
          <w:lang w:val="es-ES_tradnl"/>
        </w:rPr>
        <w:t>e</w:t>
      </w:r>
      <w:r>
        <w:rPr>
          <w:lang w:val="es-ES_tradnl"/>
        </w:rPr>
        <w:t>sultó extraña, intuyendo que no era personal policial; tras dar una vuelta a la manzana, se dirigieron al domic</w:t>
      </w:r>
      <w:r>
        <w:rPr>
          <w:lang w:val="es-ES_tradnl"/>
        </w:rPr>
        <w:t>i</w:t>
      </w:r>
      <w:r>
        <w:rPr>
          <w:lang w:val="es-ES_tradnl"/>
        </w:rPr>
        <w:t>lio de Ana, quien les explicó que el movimiento que se a</w:t>
      </w:r>
      <w:r>
        <w:rPr>
          <w:lang w:val="es-ES_tradnl"/>
        </w:rPr>
        <w:t>d</w:t>
      </w:r>
      <w:r>
        <w:rPr>
          <w:lang w:val="es-ES_tradnl"/>
        </w:rPr>
        <w:t xml:space="preserve">vertía en los alrededores podía deberse a que </w:t>
      </w:r>
      <w:smartTag w:uri="urn:schemas-microsoft-com:office:smarttags" w:element="PersonName">
        <w:smartTagPr>
          <w:attr w:name="ProductID" w:val="la Trafic"/>
        </w:smartTagPr>
        <w:r>
          <w:rPr>
            <w:lang w:val="es-ES_tradnl"/>
          </w:rPr>
          <w:t>la Trafic</w:t>
        </w:r>
      </w:smartTag>
      <w:r>
        <w:rPr>
          <w:lang w:val="es-ES_tradnl"/>
        </w:rPr>
        <w:t xml:space="preserve"> vendida por Telleldín habría sido la utilizada en el ate</w:t>
      </w:r>
      <w:r>
        <w:rPr>
          <w:lang w:val="es-ES_tradnl"/>
        </w:rPr>
        <w:t>n</w:t>
      </w:r>
      <w:r>
        <w:rPr>
          <w:lang w:val="es-ES_tradnl"/>
        </w:rPr>
        <w:t xml:space="preserve">tado a </w:t>
      </w:r>
      <w:smartTag w:uri="urn:schemas-microsoft-com:office:smarttags" w:element="PersonName">
        <w:smartTagPr>
          <w:attr w:name="ProductID" w:val="la A.M"/>
        </w:smartTagPr>
        <w:r>
          <w:rPr>
            <w:lang w:val="es-ES_tradnl"/>
          </w:rPr>
          <w:t>la A.M</w:t>
        </w:r>
      </w:smartTag>
      <w:r>
        <w:rPr>
          <w:lang w:val="es-ES_tradnl"/>
        </w:rPr>
        <w:t>.I.A.</w:t>
      </w:r>
    </w:p>
    <w:p w:rsidR="00224567" w:rsidRDefault="00224567">
      <w:pPr>
        <w:widowControl w:val="0"/>
        <w:rPr>
          <w:lang w:val="es-ES_tradnl"/>
        </w:rPr>
      </w:pPr>
      <w:r>
        <w:rPr>
          <w:lang w:val="es-ES_tradnl"/>
        </w:rPr>
        <w:tab/>
        <w:t>Enterado de tal circunstancia, Barr</w:t>
      </w:r>
      <w:r>
        <w:rPr>
          <w:lang w:val="es-ES_tradnl"/>
        </w:rPr>
        <w:t>e</w:t>
      </w:r>
      <w:r>
        <w:rPr>
          <w:lang w:val="es-ES_tradnl"/>
        </w:rPr>
        <w:t>da decidió salir de la casa junto con Bareiro y tomar conta</w:t>
      </w:r>
      <w:r>
        <w:rPr>
          <w:lang w:val="es-ES_tradnl"/>
        </w:rPr>
        <w:t>c</w:t>
      </w:r>
      <w:r>
        <w:rPr>
          <w:lang w:val="es-ES_tradnl"/>
        </w:rPr>
        <w:t>to con el personal que la vigilaba, con el fin de ident</w:t>
      </w:r>
      <w:r>
        <w:rPr>
          <w:lang w:val="es-ES_tradnl"/>
        </w:rPr>
        <w:t>i</w:t>
      </w:r>
      <w:r>
        <w:rPr>
          <w:lang w:val="es-ES_tradnl"/>
        </w:rPr>
        <w:t xml:space="preserve">ficarse y aclarar los motivos de su presencia en el lugar, siendo interceptados por agentes de </w:t>
      </w:r>
      <w:smartTag w:uri="urn:schemas-microsoft-com:office:smarttags" w:element="PersonName">
        <w:smartTagPr>
          <w:attr w:name="ProductID" w:val="la Polic￭a Federal"/>
        </w:smartTagPr>
        <w:r>
          <w:rPr>
            <w:lang w:val="es-ES_tradnl"/>
          </w:rPr>
          <w:t>la Policía Federal</w:t>
        </w:r>
      </w:smartTag>
      <w:r>
        <w:rPr>
          <w:lang w:val="es-ES_tradnl"/>
        </w:rPr>
        <w:t xml:space="preserve"> y de </w:t>
      </w:r>
      <w:smartTag w:uri="urn:schemas-microsoft-com:office:smarttags" w:element="PersonName">
        <w:smartTagPr>
          <w:attr w:name="ProductID" w:val="la S.I"/>
        </w:smartTagPr>
        <w:r>
          <w:rPr>
            <w:lang w:val="es-ES_tradnl"/>
          </w:rPr>
          <w:t>la S.I</w:t>
        </w:r>
      </w:smartTag>
      <w:r>
        <w:rPr>
          <w:lang w:val="es-ES_tradnl"/>
        </w:rPr>
        <w:t>.D.E. que les indicaron que querían ubicar a T</w:t>
      </w:r>
      <w:r>
        <w:rPr>
          <w:lang w:val="es-ES_tradnl"/>
        </w:rPr>
        <w:t>e</w:t>
      </w:r>
      <w:r>
        <w:rPr>
          <w:lang w:val="es-ES_tradnl"/>
        </w:rPr>
        <w:t>lleldín, ya que había sido el último tenedor de la cami</w:t>
      </w:r>
      <w:r>
        <w:rPr>
          <w:lang w:val="es-ES_tradnl"/>
        </w:rPr>
        <w:t>o</w:t>
      </w:r>
      <w:r>
        <w:rPr>
          <w:lang w:val="es-ES_tradnl"/>
        </w:rPr>
        <w:t>neta que había explotado en el atentado, por lo que ofr</w:t>
      </w:r>
      <w:r>
        <w:rPr>
          <w:lang w:val="es-ES_tradnl"/>
        </w:rPr>
        <w:t>e</w:t>
      </w:r>
      <w:r>
        <w:rPr>
          <w:lang w:val="es-ES_tradnl"/>
        </w:rPr>
        <w:t>cieron su colaboración. Asimismo, les manifestaron que e</w:t>
      </w:r>
      <w:r>
        <w:rPr>
          <w:lang w:val="es-ES_tradnl"/>
        </w:rPr>
        <w:t>s</w:t>
      </w:r>
      <w:r>
        <w:rPr>
          <w:lang w:val="es-ES_tradnl"/>
        </w:rPr>
        <w:t>taban esperando una orden de allanamiento para ingr</w:t>
      </w:r>
      <w:r>
        <w:rPr>
          <w:lang w:val="es-ES_tradnl"/>
        </w:rPr>
        <w:t>e</w:t>
      </w:r>
      <w:r>
        <w:rPr>
          <w:lang w:val="es-ES_tradnl"/>
        </w:rPr>
        <w:t>sar a la vivienda; tras ello, regresaron a la c</w:t>
      </w:r>
      <w:r>
        <w:rPr>
          <w:lang w:val="es-ES_tradnl"/>
        </w:rPr>
        <w:t>a</w:t>
      </w:r>
      <w:r>
        <w:rPr>
          <w:lang w:val="es-ES_tradnl"/>
        </w:rPr>
        <w:t>sa y comenzaron a intermediar entre Ana Boragni y el personal que realiz</w:t>
      </w:r>
      <w:r>
        <w:rPr>
          <w:lang w:val="es-ES_tradnl"/>
        </w:rPr>
        <w:t>a</w:t>
      </w:r>
      <w:r>
        <w:rPr>
          <w:lang w:val="es-ES_tradnl"/>
        </w:rPr>
        <w:t>ba el procedimie</w:t>
      </w:r>
      <w:r>
        <w:rPr>
          <w:lang w:val="es-ES_tradnl"/>
        </w:rPr>
        <w:t>n</w:t>
      </w:r>
      <w:r>
        <w:rPr>
          <w:lang w:val="es-ES_tradnl"/>
        </w:rPr>
        <w:t>to, para poder facilitar los objetivos.</w:t>
      </w:r>
    </w:p>
    <w:p w:rsidR="00224567" w:rsidRDefault="00224567">
      <w:pPr>
        <w:widowControl w:val="0"/>
        <w:rPr>
          <w:lang w:val="es-ES_tradnl"/>
        </w:rPr>
      </w:pPr>
      <w:r>
        <w:rPr>
          <w:lang w:val="es-ES_tradnl"/>
        </w:rPr>
        <w:tab/>
        <w:t>Recordó que durante la mañana del 27 de julio de 1994, encontrándose con Ana Boragni, Bare</w:t>
      </w:r>
      <w:r>
        <w:rPr>
          <w:lang w:val="es-ES_tradnl"/>
        </w:rPr>
        <w:t>i</w:t>
      </w:r>
      <w:r>
        <w:rPr>
          <w:lang w:val="es-ES_tradnl"/>
        </w:rPr>
        <w:t>ro y el pers</w:t>
      </w:r>
      <w:r>
        <w:rPr>
          <w:lang w:val="es-ES_tradnl"/>
        </w:rPr>
        <w:t>o</w:t>
      </w:r>
      <w:r>
        <w:rPr>
          <w:lang w:val="es-ES_tradnl"/>
        </w:rPr>
        <w:t xml:space="preserve">nal de </w:t>
      </w:r>
      <w:smartTag w:uri="urn:schemas-microsoft-com:office:smarttags" w:element="PersonName">
        <w:smartTagPr>
          <w:attr w:name="ProductID" w:val="la Polic￭a Federal"/>
        </w:smartTagPr>
        <w:r>
          <w:rPr>
            <w:lang w:val="es-ES_tradnl"/>
          </w:rPr>
          <w:t>la Policía Federal</w:t>
        </w:r>
      </w:smartTag>
      <w:r>
        <w:rPr>
          <w:lang w:val="es-ES_tradnl"/>
        </w:rPr>
        <w:t xml:space="preserve"> y de </w:t>
      </w:r>
      <w:smartTag w:uri="urn:schemas-microsoft-com:office:smarttags" w:element="PersonName">
        <w:smartTagPr>
          <w:attr w:name="ProductID" w:val="la SIDE"/>
        </w:smartTagPr>
        <w:r>
          <w:rPr>
            <w:lang w:val="es-ES_tradnl"/>
          </w:rPr>
          <w:t>la SIDE</w:t>
        </w:r>
      </w:smartTag>
      <w:r>
        <w:rPr>
          <w:lang w:val="es-ES_tradnl"/>
        </w:rPr>
        <w:t>, Telleldín comenzó a llamar por teléfono desde Misiones, oportunidad en que los tres lo convenci</w:t>
      </w:r>
      <w:r>
        <w:rPr>
          <w:lang w:val="es-ES_tradnl"/>
        </w:rPr>
        <w:t>e</w:t>
      </w:r>
      <w:r>
        <w:rPr>
          <w:lang w:val="es-ES_tradnl"/>
        </w:rPr>
        <w:t>ron para que regrese a Buenos Aires, lo que hizo ese mismo día, arribando al aeroparque metropolitano.</w:t>
      </w:r>
    </w:p>
    <w:p w:rsidR="00224567" w:rsidRDefault="00224567">
      <w:pPr>
        <w:widowControl w:val="0"/>
        <w:rPr>
          <w:lang w:val="es-ES_tradnl"/>
        </w:rPr>
      </w:pPr>
      <w:r>
        <w:rPr>
          <w:lang w:val="es-ES_tradnl"/>
        </w:rPr>
        <w:tab/>
        <w:t>Mencionó Barreda que en junio de 1994 Telleldín, además de comentarle que había sido detenido por una brigada de Lanús, a la que debió entregarle d</w:t>
      </w:r>
      <w:r>
        <w:rPr>
          <w:lang w:val="es-ES_tradnl"/>
        </w:rPr>
        <w:t>i</w:t>
      </w:r>
      <w:r>
        <w:rPr>
          <w:lang w:val="es-ES_tradnl"/>
        </w:rPr>
        <w:t>nero y vehículos, le refirió -sin precisar la fecha ni los i</w:t>
      </w:r>
      <w:r>
        <w:rPr>
          <w:lang w:val="es-ES_tradnl"/>
        </w:rPr>
        <w:t>n</w:t>
      </w:r>
      <w:r>
        <w:rPr>
          <w:lang w:val="es-ES_tradnl"/>
        </w:rPr>
        <w:t>tervinientes- que con ant</w:t>
      </w:r>
      <w:r>
        <w:rPr>
          <w:lang w:val="es-ES_tradnl"/>
        </w:rPr>
        <w:t>e</w:t>
      </w:r>
      <w:r>
        <w:rPr>
          <w:lang w:val="es-ES_tradnl"/>
        </w:rPr>
        <w:t>rioridad había sido “apretado”, en la zona de Olivos o Vicente López, por una brigada de la zona norte, habiéndose fijado en las personas que i</w:t>
      </w:r>
      <w:r>
        <w:rPr>
          <w:lang w:val="es-ES_tradnl"/>
        </w:rPr>
        <w:t>n</w:t>
      </w:r>
      <w:r>
        <w:rPr>
          <w:lang w:val="es-ES_tradnl"/>
        </w:rPr>
        <w:t>tentaron hacerlo, a una de las cuales lastimó. Que, en virtud de ello, al ocurrir los hechos del 15 de julio de 1994, Telleldín le expresó que era muy posible que los aprietes anteriores tuvieran relación con las circunsta</w:t>
      </w:r>
      <w:r>
        <w:rPr>
          <w:lang w:val="es-ES_tradnl"/>
        </w:rPr>
        <w:t>n</w:t>
      </w:r>
      <w:r>
        <w:rPr>
          <w:lang w:val="es-ES_tradnl"/>
        </w:rPr>
        <w:t>cias que estaba viviendo en ese momento, por cuanto era normal que la brigada de una zona pasara el dato a otra para continuar con “la volteada” que se le pretendía h</w:t>
      </w:r>
      <w:r>
        <w:rPr>
          <w:lang w:val="es-ES_tradnl"/>
        </w:rPr>
        <w:t>a</w:t>
      </w:r>
      <w:r>
        <w:rPr>
          <w:lang w:val="es-ES_tradnl"/>
        </w:rPr>
        <w:t>cer.</w:t>
      </w:r>
    </w:p>
    <w:p w:rsidR="00224567" w:rsidRDefault="00224567">
      <w:pPr>
        <w:widowControl w:val="0"/>
        <w:rPr>
          <w:lang w:val="es-ES_tradnl"/>
        </w:rPr>
      </w:pPr>
      <w:r>
        <w:rPr>
          <w:lang w:val="es-ES_tradnl"/>
        </w:rPr>
        <w:tab/>
        <w:t>Señaló que todo lo que expuso en sus declaraciones indagatorias, a excepción de lo de Solari, que aconteció luego, lo puso en conocimiento de los efe</w:t>
      </w:r>
      <w:r>
        <w:rPr>
          <w:lang w:val="es-ES_tradnl"/>
        </w:rPr>
        <w:t>c</w:t>
      </w:r>
      <w:r>
        <w:rPr>
          <w:lang w:val="es-ES_tradnl"/>
        </w:rPr>
        <w:t xml:space="preserve">tivos de </w:t>
      </w:r>
      <w:smartTag w:uri="urn:schemas-microsoft-com:office:smarttags" w:element="PersonName">
        <w:smartTagPr>
          <w:attr w:name="ProductID" w:val="la Polic￭a Federal"/>
        </w:smartTagPr>
        <w:r>
          <w:rPr>
            <w:lang w:val="es-ES_tradnl"/>
          </w:rPr>
          <w:t>la Policía Federal</w:t>
        </w:r>
      </w:smartTag>
      <w:r>
        <w:rPr>
          <w:lang w:val="es-ES_tradnl"/>
        </w:rPr>
        <w:t xml:space="preserve"> y de </w:t>
      </w:r>
      <w:smartTag w:uri="urn:schemas-microsoft-com:office:smarttags" w:element="PersonName">
        <w:smartTagPr>
          <w:attr w:name="ProductID" w:val="la S.I"/>
        </w:smartTagPr>
        <w:r>
          <w:rPr>
            <w:lang w:val="es-ES_tradnl"/>
          </w:rPr>
          <w:t>la S.I</w:t>
        </w:r>
      </w:smartTag>
      <w:r>
        <w:rPr>
          <w:lang w:val="es-ES_tradnl"/>
        </w:rPr>
        <w:t>.D.E., en ocasión de permanecer, junto con ellos, en el domicilio de Telle</w:t>
      </w:r>
      <w:r>
        <w:rPr>
          <w:lang w:val="es-ES_tradnl"/>
        </w:rPr>
        <w:t>l</w:t>
      </w:r>
      <w:r>
        <w:rPr>
          <w:lang w:val="es-ES_tradnl"/>
        </w:rPr>
        <w:t>dín, en la noche del 26 al 27 de julio.</w:t>
      </w:r>
    </w:p>
    <w:p w:rsidR="00224567" w:rsidRDefault="00224567">
      <w:pPr>
        <w:widowControl w:val="0"/>
        <w:rPr>
          <w:lang w:val="es-ES_tradnl"/>
        </w:rPr>
      </w:pPr>
      <w:r>
        <w:rPr>
          <w:lang w:val="es-ES_tradnl"/>
        </w:rPr>
        <w:tab/>
        <w:t xml:space="preserve">Refirió Barreda que la existencia del detenido Solari en </w:t>
      </w:r>
      <w:smartTag w:uri="urn:schemas-microsoft-com:office:smarttags" w:element="PersonName">
        <w:smartTagPr>
          <w:attr w:name="ProductID" w:val="la Brigada"/>
        </w:smartTagPr>
        <w:r>
          <w:rPr>
            <w:lang w:val="es-ES_tradnl"/>
          </w:rPr>
          <w:t>la Brigada</w:t>
        </w:r>
      </w:smartTag>
      <w:r>
        <w:rPr>
          <w:lang w:val="es-ES_tradnl"/>
        </w:rPr>
        <w:t xml:space="preserve"> de Vicente López la con</w:t>
      </w:r>
      <w:r>
        <w:rPr>
          <w:lang w:val="es-ES_tradnl"/>
        </w:rPr>
        <w:t>o</w:t>
      </w:r>
      <w:r>
        <w:rPr>
          <w:lang w:val="es-ES_tradnl"/>
        </w:rPr>
        <w:t>ció por Bareiro, quien le mencionó que en dicha dependencia había varias personas que conocían de ese tema y que alg</w:t>
      </w:r>
      <w:r>
        <w:rPr>
          <w:lang w:val="es-ES_tradnl"/>
        </w:rPr>
        <w:t>u</w:t>
      </w:r>
      <w:r>
        <w:rPr>
          <w:lang w:val="es-ES_tradnl"/>
        </w:rPr>
        <w:t>nos daban credibilidad a lo que Solari coment</w:t>
      </w:r>
      <w:r>
        <w:rPr>
          <w:lang w:val="es-ES_tradnl"/>
        </w:rPr>
        <w:t>a</w:t>
      </w:r>
      <w:r>
        <w:rPr>
          <w:lang w:val="es-ES_tradnl"/>
        </w:rPr>
        <w:t>ba, relativo a que conocía detalles del atentado y a su intención de efectuar una presentación escrita.</w:t>
      </w:r>
    </w:p>
    <w:p w:rsidR="00224567" w:rsidRDefault="00224567">
      <w:pPr>
        <w:widowControl w:val="0"/>
        <w:rPr>
          <w:lang w:val="es-ES_tradnl"/>
        </w:rPr>
      </w:pPr>
      <w:r>
        <w:rPr>
          <w:lang w:val="es-ES_tradnl"/>
        </w:rPr>
        <w:tab/>
        <w:t>Barreda negó conocer todo lo at</w:t>
      </w:r>
      <w:r>
        <w:rPr>
          <w:lang w:val="es-ES_tradnl"/>
        </w:rPr>
        <w:t>i</w:t>
      </w:r>
      <w:r>
        <w:rPr>
          <w:lang w:val="es-ES_tradnl"/>
        </w:rPr>
        <w:t xml:space="preserve">nente al trato que habría recibido Solari en </w:t>
      </w:r>
      <w:smartTag w:uri="urn:schemas-microsoft-com:office:smarttags" w:element="PersonName">
        <w:smartTagPr>
          <w:attr w:name="ProductID" w:val="la Brigada"/>
        </w:smartTagPr>
        <w:r>
          <w:rPr>
            <w:lang w:val="es-ES_tradnl"/>
          </w:rPr>
          <w:t>la Brigada</w:t>
        </w:r>
      </w:smartTag>
      <w:r>
        <w:rPr>
          <w:lang w:val="es-ES_tradnl"/>
        </w:rPr>
        <w:t xml:space="preserve"> de V</w:t>
      </w:r>
      <w:r>
        <w:rPr>
          <w:lang w:val="es-ES_tradnl"/>
        </w:rPr>
        <w:t>i</w:t>
      </w:r>
      <w:r>
        <w:rPr>
          <w:lang w:val="es-ES_tradnl"/>
        </w:rPr>
        <w:t>cente López por cuanto Bareiro no le efectuó ningún come</w:t>
      </w:r>
      <w:r>
        <w:rPr>
          <w:lang w:val="es-ES_tradnl"/>
        </w:rPr>
        <w:t>n</w:t>
      </w:r>
      <w:r>
        <w:rPr>
          <w:lang w:val="es-ES_tradnl"/>
        </w:rPr>
        <w:t>tario al respecto y que si bien regresó a esa brigada en los meses de agosto y septiembre de 1994, ign</w:t>
      </w:r>
      <w:r>
        <w:rPr>
          <w:lang w:val="es-ES_tradnl"/>
        </w:rPr>
        <w:t>o</w:t>
      </w:r>
      <w:r>
        <w:rPr>
          <w:lang w:val="es-ES_tradnl"/>
        </w:rPr>
        <w:t>raba si para entonces el nombrado permanecía detenido en esa depende</w:t>
      </w:r>
      <w:r>
        <w:rPr>
          <w:lang w:val="es-ES_tradnl"/>
        </w:rPr>
        <w:t>n</w:t>
      </w:r>
      <w:r>
        <w:rPr>
          <w:lang w:val="es-ES_tradnl"/>
        </w:rPr>
        <w:t>cia en razón que siempre concurría a la of</w:t>
      </w:r>
      <w:r>
        <w:rPr>
          <w:lang w:val="es-ES_tradnl"/>
        </w:rPr>
        <w:t>i</w:t>
      </w:r>
      <w:r>
        <w:rPr>
          <w:lang w:val="es-ES_tradnl"/>
        </w:rPr>
        <w:t>cina de guardia y no al sector de los calabozos. También señaló que a R</w:t>
      </w:r>
      <w:r>
        <w:rPr>
          <w:lang w:val="es-ES_tradnl"/>
        </w:rPr>
        <w:t>i</w:t>
      </w:r>
      <w:r>
        <w:rPr>
          <w:lang w:val="es-ES_tradnl"/>
        </w:rPr>
        <w:t xml:space="preserve">belli sólo lo conocía de nombre y que a Rago lo conoció en </w:t>
      </w:r>
      <w:smartTag w:uri="urn:schemas-microsoft-com:office:smarttags" w:element="PersonName">
        <w:smartTagPr>
          <w:attr w:name="ProductID" w:val="la Brigada"/>
        </w:smartTagPr>
        <w:r>
          <w:rPr>
            <w:lang w:val="es-ES_tradnl"/>
          </w:rPr>
          <w:t>la Brigada</w:t>
        </w:r>
      </w:smartTag>
      <w:r>
        <w:rPr>
          <w:lang w:val="es-ES_tradnl"/>
        </w:rPr>
        <w:t xml:space="preserve"> de Vicente López, en oportunidad de presentá</w:t>
      </w:r>
      <w:r>
        <w:rPr>
          <w:lang w:val="es-ES_tradnl"/>
        </w:rPr>
        <w:t>r</w:t>
      </w:r>
      <w:r>
        <w:rPr>
          <w:lang w:val="es-ES_tradnl"/>
        </w:rPr>
        <w:t>selo Bareiro, siendo el nombrado a quien éste le pasó el dato que él había aportado sobre Telleldín, designando a Leal para realizar el procedimiento.</w:t>
      </w:r>
    </w:p>
    <w:p w:rsidR="00224567" w:rsidRDefault="00224567">
      <w:pPr>
        <w:widowControl w:val="0"/>
        <w:rPr>
          <w:lang w:val="es-ES_tradnl"/>
        </w:rPr>
      </w:pPr>
      <w:r>
        <w:rPr>
          <w:lang w:val="es-ES_tradnl"/>
        </w:rPr>
        <w:tab/>
        <w:t>Manifestó Barreda que no conocía a Raúl Edilio Ibarra, José Miguel Arancibia, Bautista Albe</w:t>
      </w:r>
      <w:r>
        <w:rPr>
          <w:lang w:val="es-ES_tradnl"/>
        </w:rPr>
        <w:t>r</w:t>
      </w:r>
      <w:r>
        <w:rPr>
          <w:lang w:val="es-ES_tradnl"/>
        </w:rPr>
        <w:t>to Huici, Oscar Eusebio Bacigalupo, Marcelo Gustavo Alb</w:t>
      </w:r>
      <w:r>
        <w:rPr>
          <w:lang w:val="es-ES_tradnl"/>
        </w:rPr>
        <w:t>a</w:t>
      </w:r>
      <w:r>
        <w:rPr>
          <w:lang w:val="es-ES_tradnl"/>
        </w:rPr>
        <w:t>rracín, Claudio Walter Araya, Víctor Carlos Cruz y Eduardo Diego Toledo; le sonaban los apellidos Bacig</w:t>
      </w:r>
      <w:r>
        <w:rPr>
          <w:lang w:val="es-ES_tradnl"/>
        </w:rPr>
        <w:t>a</w:t>
      </w:r>
      <w:r>
        <w:rPr>
          <w:lang w:val="es-ES_tradnl"/>
        </w:rPr>
        <w:t>lupo y Casas; conocía a una persona de apellido Quint</w:t>
      </w:r>
      <w:r>
        <w:rPr>
          <w:lang w:val="es-ES_tradnl"/>
        </w:rPr>
        <w:t>e</w:t>
      </w:r>
      <w:r>
        <w:rPr>
          <w:lang w:val="es-ES_tradnl"/>
        </w:rPr>
        <w:t>ros -quien estuvo en la comisaría de Villa Martelli y cree que ta</w:t>
      </w:r>
      <w:r>
        <w:rPr>
          <w:lang w:val="es-ES_tradnl"/>
        </w:rPr>
        <w:t>m</w:t>
      </w:r>
      <w:r>
        <w:rPr>
          <w:lang w:val="es-ES_tradnl"/>
        </w:rPr>
        <w:t xml:space="preserve">bién en </w:t>
      </w:r>
      <w:smartTag w:uri="urn:schemas-microsoft-com:office:smarttags" w:element="PersonName">
        <w:smartTagPr>
          <w:attr w:name="ProductID" w:val="la Brigada"/>
        </w:smartTagPr>
        <w:r>
          <w:rPr>
            <w:lang w:val="es-ES_tradnl"/>
          </w:rPr>
          <w:t>la Brigada</w:t>
        </w:r>
      </w:smartTag>
      <w:r>
        <w:rPr>
          <w:lang w:val="es-ES_tradnl"/>
        </w:rPr>
        <w:t xml:space="preserve"> de Vicente López cumpliendo fu</w:t>
      </w:r>
      <w:r>
        <w:rPr>
          <w:lang w:val="es-ES_tradnl"/>
        </w:rPr>
        <w:t>n</w:t>
      </w:r>
      <w:r>
        <w:rPr>
          <w:lang w:val="es-ES_tradnl"/>
        </w:rPr>
        <w:t>ciones internas en la época en que trabajó Bareiro-, a Lasala, García, Ferr</w:t>
      </w:r>
      <w:r>
        <w:rPr>
          <w:lang w:val="es-ES_tradnl"/>
        </w:rPr>
        <w:t>a</w:t>
      </w:r>
      <w:r>
        <w:rPr>
          <w:lang w:val="es-ES_tradnl"/>
        </w:rPr>
        <w:t>ri y a un oficial de apellido Castro, compañero de curso en la escuela de policía. Rago se movilizaba en un autom</w:t>
      </w:r>
      <w:r>
        <w:rPr>
          <w:lang w:val="es-ES_tradnl"/>
        </w:rPr>
        <w:t>o</w:t>
      </w:r>
      <w:r>
        <w:rPr>
          <w:lang w:val="es-ES_tradnl"/>
        </w:rPr>
        <w:t>tor marca Mo</w:t>
      </w:r>
      <w:r>
        <w:rPr>
          <w:lang w:val="es-ES_tradnl"/>
        </w:rPr>
        <w:t>n</w:t>
      </w:r>
      <w:r>
        <w:rPr>
          <w:lang w:val="es-ES_tradnl"/>
        </w:rPr>
        <w:t>za; Lasala y García poseían un Peugeot 505 y una camioneta Chevrolet, en tanto que Leal tenía un Ford Galaxy color azul o de algún otro color oscuro, con el que junto a Bareiro y Leal realizó las averiguaciones re</w:t>
      </w:r>
      <w:r>
        <w:rPr>
          <w:lang w:val="es-ES_tradnl"/>
        </w:rPr>
        <w:t>s</w:t>
      </w:r>
      <w:r>
        <w:rPr>
          <w:lang w:val="es-ES_tradnl"/>
        </w:rPr>
        <w:t>pecto a las actividades de T</w:t>
      </w:r>
      <w:r>
        <w:rPr>
          <w:lang w:val="es-ES_tradnl"/>
        </w:rPr>
        <w:t>e</w:t>
      </w:r>
      <w:r>
        <w:rPr>
          <w:lang w:val="es-ES_tradnl"/>
        </w:rPr>
        <w:t>lleldín.</w:t>
      </w:r>
    </w:p>
    <w:p w:rsidR="00224567" w:rsidRDefault="00224567">
      <w:pPr>
        <w:widowControl w:val="0"/>
        <w:rPr>
          <w:lang w:val="es-ES_tradnl"/>
        </w:rPr>
      </w:pPr>
      <w:r>
        <w:rPr>
          <w:lang w:val="es-ES_tradnl"/>
        </w:rPr>
        <w:tab/>
        <w:t xml:space="preserve">Barreda reiteró ser totalmente ajeno al atentado a </w:t>
      </w:r>
      <w:smartTag w:uri="urn:schemas-microsoft-com:office:smarttags" w:element="PersonName">
        <w:smartTagPr>
          <w:attr w:name="ProductID" w:val="la A.M"/>
        </w:smartTagPr>
        <w:r>
          <w:rPr>
            <w:lang w:val="es-ES_tradnl"/>
          </w:rPr>
          <w:t>la A.M</w:t>
        </w:r>
      </w:smartTag>
      <w:r>
        <w:rPr>
          <w:lang w:val="es-ES_tradnl"/>
        </w:rPr>
        <w:t>.I.A., a la obtención de la cami</w:t>
      </w:r>
      <w:r>
        <w:rPr>
          <w:lang w:val="es-ES_tradnl"/>
        </w:rPr>
        <w:t>o</w:t>
      </w:r>
      <w:r>
        <w:rPr>
          <w:lang w:val="es-ES_tradnl"/>
        </w:rPr>
        <w:t xml:space="preserve">neta Trafic utilizada como cochebomba y al “apriete” a Carlos Telleldín o a alguna persona de su entorno por parte de </w:t>
      </w:r>
      <w:smartTag w:uri="urn:schemas-microsoft-com:office:smarttags" w:element="PersonName">
        <w:smartTagPr>
          <w:attr w:name="ProductID" w:val="la Brigada"/>
        </w:smartTagPr>
        <w:r>
          <w:rPr>
            <w:lang w:val="es-ES_tradnl"/>
          </w:rPr>
          <w:t>la Brigada</w:t>
        </w:r>
      </w:smartTag>
      <w:r>
        <w:rPr>
          <w:lang w:val="es-ES_tradnl"/>
        </w:rPr>
        <w:t xml:space="preserve"> de Vicente López. En cuanto a este último suceso, refirió que se limitó a aportar una serie de datos en pr</w:t>
      </w:r>
      <w:r>
        <w:rPr>
          <w:lang w:val="es-ES_tradnl"/>
        </w:rPr>
        <w:t>o</w:t>
      </w:r>
      <w:r>
        <w:rPr>
          <w:lang w:val="es-ES_tradnl"/>
        </w:rPr>
        <w:t>cura de que Leal realice un procedimiento policial, si bien luego, ante conductas adoptadas por éste, no pudo apartarse ante el conocimiento que tenía de Telleldín; f</w:t>
      </w:r>
      <w:r>
        <w:rPr>
          <w:lang w:val="es-ES_tradnl"/>
        </w:rPr>
        <w:t>i</w:t>
      </w:r>
      <w:r>
        <w:rPr>
          <w:lang w:val="es-ES_tradnl"/>
        </w:rPr>
        <w:t>nalmente, negó integrar una asociación destinada a cometer delitos, menos aún con las pe</w:t>
      </w:r>
      <w:r>
        <w:rPr>
          <w:lang w:val="es-ES_tradnl"/>
        </w:rPr>
        <w:t>r</w:t>
      </w:r>
      <w:r>
        <w:rPr>
          <w:lang w:val="es-ES_tradnl"/>
        </w:rPr>
        <w:t>sonas arriba mencionadas.</w:t>
      </w:r>
    </w:p>
    <w:p w:rsidR="00224567" w:rsidRDefault="00224567">
      <w:pPr>
        <w:widowControl w:val="0"/>
        <w:rPr>
          <w:lang w:val="es-ES_tradnl"/>
        </w:rPr>
      </w:pPr>
      <w:r>
        <w:rPr>
          <w:lang w:val="es-ES_tradnl"/>
        </w:rPr>
        <w:tab/>
        <w:t>Diego Enrique Barreda volvió a prestar declaración el 23 de julio de 1996 (fs. 39.722/39.726). Allí exp</w:t>
      </w:r>
      <w:r>
        <w:rPr>
          <w:lang w:val="es-ES_tradnl"/>
        </w:rPr>
        <w:t>u</w:t>
      </w:r>
      <w:r>
        <w:rPr>
          <w:lang w:val="es-ES_tradnl"/>
        </w:rPr>
        <w:t>so que el día 10 de julio de 1994, en horas de la madrugada, estuvo en la “Clínica Maternal de Caseros” acompañando a su esposa, G</w:t>
      </w:r>
      <w:r>
        <w:rPr>
          <w:lang w:val="es-ES_tradnl"/>
        </w:rPr>
        <w:t>a</w:t>
      </w:r>
      <w:r>
        <w:rPr>
          <w:lang w:val="es-ES_tradnl"/>
        </w:rPr>
        <w:t>briela Rosana Schirripa, quien dio a luz, a eso de las 5.30, a su segundo hijo, perman</w:t>
      </w:r>
      <w:r>
        <w:rPr>
          <w:lang w:val="es-ES_tradnl"/>
        </w:rPr>
        <w:t>e</w:t>
      </w:r>
      <w:r>
        <w:rPr>
          <w:lang w:val="es-ES_tradnl"/>
        </w:rPr>
        <w:t>ciendo en dicho nosocomio hasta la media mañana en que fue a buscar a su hijo mayor. Recordó que ese día, al retira</w:t>
      </w:r>
      <w:r>
        <w:rPr>
          <w:lang w:val="es-ES_tradnl"/>
        </w:rPr>
        <w:t>r</w:t>
      </w:r>
      <w:r>
        <w:rPr>
          <w:lang w:val="es-ES_tradnl"/>
        </w:rPr>
        <w:t>se, le dejó el teléfono celular a su esposa, la que en su ausencia recibió un llamado de Carlos Alberto Telleldín, quien la felicitó por el n</w:t>
      </w:r>
      <w:r>
        <w:rPr>
          <w:lang w:val="es-ES_tradnl"/>
        </w:rPr>
        <w:t>a</w:t>
      </w:r>
      <w:r>
        <w:rPr>
          <w:lang w:val="es-ES_tradnl"/>
        </w:rPr>
        <w:t>cimiento y le mencionó que ese día no iría a visitarla dado que había publicado en el diario un aviso de venta de un vehículo; en horas de la tarde retornó a la clínica y permaneció en ella hasta el día s</w:t>
      </w:r>
      <w:r>
        <w:rPr>
          <w:lang w:val="es-ES_tradnl"/>
        </w:rPr>
        <w:t>i</w:t>
      </w:r>
      <w:r>
        <w:rPr>
          <w:lang w:val="es-ES_tradnl"/>
        </w:rPr>
        <w:t>guiente, a la noche.</w:t>
      </w:r>
    </w:p>
    <w:p w:rsidR="00224567" w:rsidRDefault="00224567">
      <w:pPr>
        <w:widowControl w:val="0"/>
        <w:rPr>
          <w:lang w:val="es-ES_tradnl"/>
        </w:rPr>
      </w:pPr>
      <w:r>
        <w:rPr>
          <w:lang w:val="es-ES_tradnl"/>
        </w:rPr>
        <w:tab/>
      </w:r>
      <w:r>
        <w:rPr>
          <w:lang w:val="es-ES_tradnl"/>
        </w:rPr>
        <w:tab/>
        <w:t>Con relación a las publicaciones p</w:t>
      </w:r>
      <w:r>
        <w:rPr>
          <w:lang w:val="es-ES_tradnl"/>
        </w:rPr>
        <w:t>e</w:t>
      </w:r>
      <w:r>
        <w:rPr>
          <w:lang w:val="es-ES_tradnl"/>
        </w:rPr>
        <w:t xml:space="preserve">riodísticas que vinculaban al inspector Abel Ali, de </w:t>
      </w:r>
      <w:smartTag w:uri="urn:schemas-microsoft-com:office:smarttags" w:element="PersonName">
        <w:smartTagPr>
          <w:attr w:name="ProductID" w:val="la Polic￭a Bonaerense"/>
        </w:smartTagPr>
        <w:r>
          <w:rPr>
            <w:lang w:val="es-ES_tradnl"/>
          </w:rPr>
          <w:t>la Policía Bonaerense</w:t>
        </w:r>
      </w:smartTag>
      <w:r>
        <w:rPr>
          <w:lang w:val="es-ES_tradnl"/>
        </w:rPr>
        <w:t>, con el atentado, Barreda manifestó c</w:t>
      </w:r>
      <w:r>
        <w:rPr>
          <w:lang w:val="es-ES_tradnl"/>
        </w:rPr>
        <w:t>o</w:t>
      </w:r>
      <w:r>
        <w:rPr>
          <w:lang w:val="es-ES_tradnl"/>
        </w:rPr>
        <w:t xml:space="preserve">nocerlo por haber compartido destino en </w:t>
      </w:r>
      <w:smartTag w:uri="urn:schemas-microsoft-com:office:smarttags" w:element="PersonName">
        <w:smartTagPr>
          <w:attr w:name="ProductID" w:val="la Brigada"/>
        </w:smartTagPr>
        <w:r>
          <w:rPr>
            <w:lang w:val="es-ES_tradnl"/>
          </w:rPr>
          <w:t>la Brigada</w:t>
        </w:r>
      </w:smartTag>
      <w:r>
        <w:rPr>
          <w:lang w:val="es-ES_tradnl"/>
        </w:rPr>
        <w:t xml:space="preserve"> de I</w:t>
      </w:r>
      <w:r>
        <w:rPr>
          <w:lang w:val="es-ES_tradnl"/>
        </w:rPr>
        <w:t>n</w:t>
      </w:r>
      <w:r>
        <w:rPr>
          <w:lang w:val="es-ES_tradnl"/>
        </w:rPr>
        <w:t>vestigaciones de San Martín, encontrándolo después en d</w:t>
      </w:r>
      <w:r>
        <w:rPr>
          <w:lang w:val="es-ES_tradnl"/>
        </w:rPr>
        <w:t>i</w:t>
      </w:r>
      <w:r>
        <w:rPr>
          <w:lang w:val="es-ES_tradnl"/>
        </w:rPr>
        <w:t>versas oportunidades y siempre por cuestiones laborales, en otros destinos. Conocía que estaba casado con una su</w:t>
      </w:r>
      <w:r>
        <w:rPr>
          <w:lang w:val="es-ES_tradnl"/>
        </w:rPr>
        <w:t>b</w:t>
      </w:r>
      <w:r>
        <w:rPr>
          <w:lang w:val="es-ES_tradnl"/>
        </w:rPr>
        <w:t xml:space="preserve">oficial de </w:t>
      </w:r>
      <w:smartTag w:uri="urn:schemas-microsoft-com:office:smarttags" w:element="PersonName">
        <w:smartTagPr>
          <w:attr w:name="ProductID" w:val="la Divisi￳n Sustracci￳n"/>
        </w:smartTagPr>
        <w:r>
          <w:rPr>
            <w:lang w:val="es-ES_tradnl"/>
          </w:rPr>
          <w:t>la División Sustracción</w:t>
        </w:r>
      </w:smartTag>
      <w:r>
        <w:rPr>
          <w:lang w:val="es-ES_tradnl"/>
        </w:rPr>
        <w:t xml:space="preserve"> de Automotores de V</w:t>
      </w:r>
      <w:r>
        <w:rPr>
          <w:lang w:val="es-ES_tradnl"/>
        </w:rPr>
        <w:t>i</w:t>
      </w:r>
      <w:r>
        <w:rPr>
          <w:lang w:val="es-ES_tradnl"/>
        </w:rPr>
        <w:t>cente López apellidada Chiriville o Chirivill e ignoraba si aquél conocía a Telleldín o a otra persona de apellido Chaban.</w:t>
      </w:r>
    </w:p>
    <w:p w:rsidR="00224567" w:rsidRDefault="00224567">
      <w:pPr>
        <w:widowControl w:val="0"/>
        <w:rPr>
          <w:lang w:val="es-ES_tradnl"/>
        </w:rPr>
      </w:pPr>
      <w:r>
        <w:rPr>
          <w:lang w:val="es-ES_tradnl"/>
        </w:rPr>
        <w:tab/>
        <w:t>El 4 de septiembre de 1996 Barreda volvió a prestar declaración indagatoria con la inte</w:t>
      </w:r>
      <w:r>
        <w:rPr>
          <w:lang w:val="es-ES_tradnl"/>
        </w:rPr>
        <w:t>n</w:t>
      </w:r>
      <w:r>
        <w:rPr>
          <w:lang w:val="es-ES_tradnl"/>
        </w:rPr>
        <w:t>ción, según dijo, de aclarar algunas cuestiones (fs. 40.905/40.909).</w:t>
      </w:r>
    </w:p>
    <w:p w:rsidR="00224567" w:rsidRDefault="00224567">
      <w:pPr>
        <w:widowControl w:val="0"/>
        <w:rPr>
          <w:lang w:val="es-ES_tradnl"/>
        </w:rPr>
      </w:pPr>
      <w:r>
        <w:rPr>
          <w:lang w:val="es-ES_tradnl"/>
        </w:rPr>
        <w:tab/>
        <w:t>En ese sentido, negó que el 10 de j</w:t>
      </w:r>
      <w:r>
        <w:rPr>
          <w:lang w:val="es-ES_tradnl"/>
        </w:rPr>
        <w:t>u</w:t>
      </w:r>
      <w:r>
        <w:rPr>
          <w:lang w:val="es-ES_tradnl"/>
        </w:rPr>
        <w:t>lio Guillermo Cotoras y Eduardo Telleldín lo hayan ll</w:t>
      </w:r>
      <w:r>
        <w:rPr>
          <w:lang w:val="es-ES_tradnl"/>
        </w:rPr>
        <w:t>a</w:t>
      </w:r>
      <w:r>
        <w:rPr>
          <w:lang w:val="es-ES_tradnl"/>
        </w:rPr>
        <w:t>mado por teléfono a su celular, como así también que los hechos del 14 y 15 de julio hayan tenido una finalidad e</w:t>
      </w:r>
      <w:r>
        <w:rPr>
          <w:lang w:val="es-ES_tradnl"/>
        </w:rPr>
        <w:t>x</w:t>
      </w:r>
      <w:r>
        <w:rPr>
          <w:lang w:val="es-ES_tradnl"/>
        </w:rPr>
        <w:t>torsiva.</w:t>
      </w:r>
    </w:p>
    <w:p w:rsidR="00224567" w:rsidRDefault="00224567">
      <w:pPr>
        <w:widowControl w:val="0"/>
        <w:rPr>
          <w:lang w:val="es-ES_tradnl"/>
        </w:rPr>
      </w:pPr>
      <w:r>
        <w:rPr>
          <w:lang w:val="es-ES_tradnl"/>
        </w:rPr>
        <w:tab/>
        <w:t>Indicó, además, que en septiembre de 1994, aproximadamente, tanto él como Bareiro c</w:t>
      </w:r>
      <w:r>
        <w:rPr>
          <w:lang w:val="es-ES_tradnl"/>
        </w:rPr>
        <w:t>o</w:t>
      </w:r>
      <w:r>
        <w:rPr>
          <w:lang w:val="es-ES_tradnl"/>
        </w:rPr>
        <w:t xml:space="preserve">menzaron a colaborar con </w:t>
      </w:r>
      <w:smartTag w:uri="urn:schemas-microsoft-com:office:smarttags" w:element="PersonName">
        <w:smartTagPr>
          <w:attr w:name="ProductID" w:val="la S.I"/>
        </w:smartTagPr>
        <w:r>
          <w:rPr>
            <w:lang w:val="es-ES_tradnl"/>
          </w:rPr>
          <w:t>la S.I</w:t>
        </w:r>
      </w:smartTag>
      <w:r>
        <w:rPr>
          <w:lang w:val="es-ES_tradnl"/>
        </w:rPr>
        <w:t>.D.E. en la investigación del atent</w:t>
      </w:r>
      <w:r>
        <w:rPr>
          <w:lang w:val="es-ES_tradnl"/>
        </w:rPr>
        <w:t>a</w:t>
      </w:r>
      <w:r>
        <w:rPr>
          <w:lang w:val="es-ES_tradnl"/>
        </w:rPr>
        <w:t>do, a las órdenes de Jaime Horacio Stiler, quien dijo ser uno de los jefes del área de contrainteligencia. En ese cometido, se les solicitaron, entre otras cosas, la ind</w:t>
      </w:r>
      <w:r>
        <w:rPr>
          <w:lang w:val="es-ES_tradnl"/>
        </w:rPr>
        <w:t>i</w:t>
      </w:r>
      <w:r>
        <w:rPr>
          <w:lang w:val="es-ES_tradnl"/>
        </w:rPr>
        <w:t>vidualización de un tal Miguel, que luego establecieron era Miguel Gustavo Jaimes y “acercarse” lo más posible a Carlos Telleldín y su entorno fam</w:t>
      </w:r>
      <w:r>
        <w:rPr>
          <w:lang w:val="es-ES_tradnl"/>
        </w:rPr>
        <w:t>i</w:t>
      </w:r>
      <w:r>
        <w:rPr>
          <w:lang w:val="es-ES_tradnl"/>
        </w:rPr>
        <w:t>liar; motivo por el cual Bareiro se arrimó a Eduardo Telleldín y él a Ana Bora</w:t>
      </w:r>
      <w:r>
        <w:rPr>
          <w:lang w:val="es-ES_tradnl"/>
        </w:rPr>
        <w:t>g</w:t>
      </w:r>
      <w:r>
        <w:rPr>
          <w:lang w:val="es-ES_tradnl"/>
        </w:rPr>
        <w:t>ni, la que, amén de contarle la forma en que se adulteró la “Trafic”, siempre le refirió que el que se llevó dicho vehículo aparentaba ser centroamer</w:t>
      </w:r>
      <w:r>
        <w:rPr>
          <w:lang w:val="es-ES_tradnl"/>
        </w:rPr>
        <w:t>i</w:t>
      </w:r>
      <w:r>
        <w:rPr>
          <w:lang w:val="es-ES_tradnl"/>
        </w:rPr>
        <w:t>cano.</w:t>
      </w:r>
    </w:p>
    <w:p w:rsidR="00224567" w:rsidRDefault="00224567">
      <w:pPr>
        <w:widowControl w:val="0"/>
        <w:rPr>
          <w:lang w:val="es-ES_tradnl"/>
        </w:rPr>
      </w:pPr>
      <w:r>
        <w:rPr>
          <w:lang w:val="es-ES_tradnl"/>
        </w:rPr>
        <w:tab/>
        <w:t>Manifestó Barreda que con Bareiro t</w:t>
      </w:r>
      <w:r>
        <w:rPr>
          <w:lang w:val="es-ES_tradnl"/>
        </w:rPr>
        <w:t>e</w:t>
      </w:r>
      <w:r>
        <w:rPr>
          <w:lang w:val="es-ES_tradnl"/>
        </w:rPr>
        <w:t>nía una relación asidua, mientras que a Leal, Rago, L</w:t>
      </w:r>
      <w:r>
        <w:rPr>
          <w:lang w:val="es-ES_tradnl"/>
        </w:rPr>
        <w:t>a</w:t>
      </w:r>
      <w:r>
        <w:rPr>
          <w:lang w:val="es-ES_tradnl"/>
        </w:rPr>
        <w:t>sala, García y Quinteros los conoció circunstancialmente por los procedimientos del 14 y 15 de julio, no habiendo ma</w:t>
      </w:r>
      <w:r>
        <w:rPr>
          <w:lang w:val="es-ES_tradnl"/>
        </w:rPr>
        <w:t>n</w:t>
      </w:r>
      <w:r>
        <w:rPr>
          <w:lang w:val="es-ES_tradnl"/>
        </w:rPr>
        <w:t>tenido jamás con el resto de los imputados conversación alguna, siendo Leal la única persona relacionada con el intento de detención de Telleldín que lo llamó para esas fechas. Especificó que el 8 de julio, a las 21.17, habló con Leal para manifestarle que hiciera el trabajo; el 14, entre las 19.24 y las 23.41, las cuatro llamadas que se verifican se vinculan con el procedimiento que se estaba llevando a cabo y con la posterior fuga de Telleldín; el 15 de julio, entre las 0.11 y las 21.26, se establecieron cinco comunicaciones y en una de ellas, la de la 0.11, Leal le preguntó quién era Hugo Pérez. Las registradas a las 2.13, 2.16 y 2.18, por su brevedad, se e</w:t>
      </w:r>
      <w:r>
        <w:rPr>
          <w:lang w:val="es-ES_tradnl"/>
        </w:rPr>
        <w:t>x</w:t>
      </w:r>
      <w:r>
        <w:rPr>
          <w:lang w:val="es-ES_tradnl"/>
        </w:rPr>
        <w:t>plican porque estaba el celular apagado, ocupado o por haberse cortado la comunicación; la ultima, a las 21.26, estima que es aquélla en que Leal le informó que Pérez, por no tener capturas, recuperaría su libertad, a la vez que lo int</w:t>
      </w:r>
      <w:r>
        <w:rPr>
          <w:lang w:val="es-ES_tradnl"/>
        </w:rPr>
        <w:t>e</w:t>
      </w:r>
      <w:r>
        <w:rPr>
          <w:lang w:val="es-ES_tradnl"/>
        </w:rPr>
        <w:t>rrogó acerca del paradero de Telleldín.</w:t>
      </w:r>
    </w:p>
    <w:p w:rsidR="00224567" w:rsidRDefault="00224567">
      <w:pPr>
        <w:widowControl w:val="0"/>
        <w:rPr>
          <w:lang w:val="es-ES_tradnl"/>
        </w:rPr>
      </w:pPr>
      <w:r>
        <w:rPr>
          <w:lang w:val="es-ES_tradnl"/>
        </w:rPr>
        <w:tab/>
        <w:t>Por último, reiteró que por los suc</w:t>
      </w:r>
      <w:r>
        <w:rPr>
          <w:lang w:val="es-ES_tradnl"/>
        </w:rPr>
        <w:t>e</w:t>
      </w:r>
      <w:r>
        <w:rPr>
          <w:lang w:val="es-ES_tradnl"/>
        </w:rPr>
        <w:t>sos del 14 y 15 de julio nunca recibió ni exigió bien a</w:t>
      </w:r>
      <w:r>
        <w:rPr>
          <w:lang w:val="es-ES_tradnl"/>
        </w:rPr>
        <w:t>l</w:t>
      </w:r>
      <w:r>
        <w:rPr>
          <w:lang w:val="es-ES_tradnl"/>
        </w:rPr>
        <w:t>guno y que el personal policial que participó en ellos tampoco se b</w:t>
      </w:r>
      <w:r>
        <w:rPr>
          <w:lang w:val="es-ES_tradnl"/>
        </w:rPr>
        <w:t>e</w:t>
      </w:r>
      <w:r>
        <w:rPr>
          <w:lang w:val="es-ES_tradnl"/>
        </w:rPr>
        <w:t>nefició económicamente.</w:t>
      </w:r>
    </w:p>
    <w:p w:rsidR="00224567" w:rsidRDefault="00224567">
      <w:pPr>
        <w:widowControl w:val="0"/>
        <w:rPr>
          <w:lang w:val="es-ES_tradnl"/>
        </w:rPr>
      </w:pPr>
      <w:r>
        <w:rPr>
          <w:lang w:val="es-ES_tradnl"/>
        </w:rPr>
        <w:tab/>
        <w:t>A fs. 45.958/45.968, el 4 de ma</w:t>
      </w:r>
      <w:r>
        <w:rPr>
          <w:lang w:val="es-ES_tradnl"/>
        </w:rPr>
        <w:t>r</w:t>
      </w:r>
      <w:r>
        <w:rPr>
          <w:lang w:val="es-ES_tradnl"/>
        </w:rPr>
        <w:t>zo de 1998, Diego Enrique Barreda amplió su declaración indag</w:t>
      </w:r>
      <w:r>
        <w:rPr>
          <w:lang w:val="es-ES_tradnl"/>
        </w:rPr>
        <w:t>a</w:t>
      </w:r>
      <w:r>
        <w:rPr>
          <w:lang w:val="es-ES_tradnl"/>
        </w:rPr>
        <w:t>toria; ocasión en la que reiteró sus protestas de inoce</w:t>
      </w:r>
      <w:r>
        <w:rPr>
          <w:lang w:val="es-ES_tradnl"/>
        </w:rPr>
        <w:t>n</w:t>
      </w:r>
      <w:r>
        <w:rPr>
          <w:lang w:val="es-ES_tradnl"/>
        </w:rPr>
        <w:t>cia con relación a las detenciones de Carlos Telleldín y Hugo Pérez.</w:t>
      </w:r>
    </w:p>
    <w:p w:rsidR="00224567" w:rsidRDefault="00224567">
      <w:pPr>
        <w:widowControl w:val="0"/>
        <w:rPr>
          <w:lang w:val="es-ES_tradnl"/>
        </w:rPr>
      </w:pPr>
      <w:r>
        <w:rPr>
          <w:lang w:val="es-ES_tradnl"/>
        </w:rPr>
        <w:tab/>
        <w:t>En ese sentido, aclaró que al abogado Bottegal ni él ni Bareiro le solicitaron dinero, ni tamp</w:t>
      </w:r>
      <w:r>
        <w:rPr>
          <w:lang w:val="es-ES_tradnl"/>
        </w:rPr>
        <w:t>o</w:t>
      </w:r>
      <w:r>
        <w:rPr>
          <w:lang w:val="es-ES_tradnl"/>
        </w:rPr>
        <w:t>co que le sacara dinero a Telleldín, limitándose a señ</w:t>
      </w:r>
      <w:r>
        <w:rPr>
          <w:lang w:val="es-ES_tradnl"/>
        </w:rPr>
        <w:t>a</w:t>
      </w:r>
      <w:r>
        <w:rPr>
          <w:lang w:val="es-ES_tradnl"/>
        </w:rPr>
        <w:t xml:space="preserve">larle que en </w:t>
      </w:r>
      <w:smartTag w:uri="urn:schemas-microsoft-com:office:smarttags" w:element="PersonName">
        <w:smartTagPr>
          <w:attr w:name="ProductID" w:val="la Brigada"/>
        </w:smartTagPr>
        <w:r>
          <w:rPr>
            <w:lang w:val="es-ES_tradnl"/>
          </w:rPr>
          <w:t>la Brigada</w:t>
        </w:r>
      </w:smartTag>
      <w:r>
        <w:rPr>
          <w:lang w:val="es-ES_tradnl"/>
        </w:rPr>
        <w:t xml:space="preserve"> de Lanús aquél había entregado d</w:t>
      </w:r>
      <w:r>
        <w:rPr>
          <w:lang w:val="es-ES_tradnl"/>
        </w:rPr>
        <w:t>i</w:t>
      </w:r>
      <w:r>
        <w:rPr>
          <w:lang w:val="es-ES_tradnl"/>
        </w:rPr>
        <w:t>nero y bienes a cambio de su libertad, dando por descont</w:t>
      </w:r>
      <w:r>
        <w:rPr>
          <w:lang w:val="es-ES_tradnl"/>
        </w:rPr>
        <w:t>a</w:t>
      </w:r>
      <w:r>
        <w:rPr>
          <w:lang w:val="es-ES_tradnl"/>
        </w:rPr>
        <w:t>do que, de tomar el c</w:t>
      </w:r>
      <w:r>
        <w:rPr>
          <w:lang w:val="es-ES_tradnl"/>
        </w:rPr>
        <w:t>a</w:t>
      </w:r>
      <w:r>
        <w:rPr>
          <w:lang w:val="es-ES_tradnl"/>
        </w:rPr>
        <w:t>so, el letrado tendría con ellos una atención económ</w:t>
      </w:r>
      <w:r>
        <w:rPr>
          <w:lang w:val="es-ES_tradnl"/>
        </w:rPr>
        <w:t>i</w:t>
      </w:r>
      <w:r>
        <w:rPr>
          <w:lang w:val="es-ES_tradnl"/>
        </w:rPr>
        <w:t>ca.</w:t>
      </w:r>
    </w:p>
    <w:p w:rsidR="00224567" w:rsidRDefault="00224567">
      <w:pPr>
        <w:widowControl w:val="0"/>
        <w:rPr>
          <w:lang w:val="es-ES_tradnl"/>
        </w:rPr>
      </w:pPr>
      <w:r>
        <w:rPr>
          <w:lang w:val="es-ES_tradnl"/>
        </w:rPr>
        <w:tab/>
        <w:t>Consecuentemente, Barreda sostuvo que la entrega a Bottegal de un boleto de compraventa de la embarcación propiedad de Telleldín fue en garantía de h</w:t>
      </w:r>
      <w:r>
        <w:rPr>
          <w:lang w:val="es-ES_tradnl"/>
        </w:rPr>
        <w:t>o</w:t>
      </w:r>
      <w:r>
        <w:rPr>
          <w:lang w:val="es-ES_tradnl"/>
        </w:rPr>
        <w:t>norarios.</w:t>
      </w:r>
    </w:p>
    <w:p w:rsidR="00224567" w:rsidRDefault="00224567">
      <w:pPr>
        <w:widowControl w:val="0"/>
        <w:rPr>
          <w:lang w:val="es-ES_tradnl"/>
        </w:rPr>
      </w:pPr>
      <w:r>
        <w:rPr>
          <w:lang w:val="es-ES_tradnl"/>
        </w:rPr>
        <w:tab/>
        <w:t>Respecto de los sucesos que, según T</w:t>
      </w:r>
      <w:r>
        <w:rPr>
          <w:lang w:val="es-ES_tradnl"/>
        </w:rPr>
        <w:t>e</w:t>
      </w:r>
      <w:r>
        <w:rPr>
          <w:lang w:val="es-ES_tradnl"/>
        </w:rPr>
        <w:t>lleldín, habrían ocurrido el 10 de julio de 1994 Barreda sostuvo la mendacidad del nombrado -a quien consideraba “bastante mitómano”- en algunos tramos de su versión, r</w:t>
      </w:r>
      <w:r>
        <w:rPr>
          <w:lang w:val="es-ES_tradnl"/>
        </w:rPr>
        <w:t>e</w:t>
      </w:r>
      <w:r>
        <w:rPr>
          <w:lang w:val="es-ES_tradnl"/>
        </w:rPr>
        <w:t>sultándole inexplicable, en atención al grado de co</w:t>
      </w:r>
      <w:r>
        <w:rPr>
          <w:lang w:val="es-ES_tradnl"/>
        </w:rPr>
        <w:t>n</w:t>
      </w:r>
      <w:r>
        <w:rPr>
          <w:lang w:val="es-ES_tradnl"/>
        </w:rPr>
        <w:t>fianza que tenía con él, que jamás le haya manifestado algo ace</w:t>
      </w:r>
      <w:r>
        <w:rPr>
          <w:lang w:val="es-ES_tradnl"/>
        </w:rPr>
        <w:t>r</w:t>
      </w:r>
      <w:r>
        <w:rPr>
          <w:lang w:val="es-ES_tradnl"/>
        </w:rPr>
        <w:t>ca de que la c</w:t>
      </w:r>
      <w:r>
        <w:rPr>
          <w:lang w:val="es-ES_tradnl"/>
        </w:rPr>
        <w:t>a</w:t>
      </w:r>
      <w:r>
        <w:rPr>
          <w:lang w:val="es-ES_tradnl"/>
        </w:rPr>
        <w:t>mioneta se la había llevado la policía.</w:t>
      </w:r>
    </w:p>
    <w:p w:rsidR="00224567" w:rsidRDefault="00224567">
      <w:pPr>
        <w:widowControl w:val="0"/>
        <w:rPr>
          <w:lang w:val="es-ES_tradnl"/>
        </w:rPr>
      </w:pPr>
      <w:r>
        <w:rPr>
          <w:lang w:val="es-ES_tradnl"/>
        </w:rPr>
        <w:tab/>
        <w:t>Recordó que a fines de 1996 y princ</w:t>
      </w:r>
      <w:r>
        <w:rPr>
          <w:lang w:val="es-ES_tradnl"/>
        </w:rPr>
        <w:t>i</w:t>
      </w:r>
      <w:r>
        <w:rPr>
          <w:lang w:val="es-ES_tradnl"/>
        </w:rPr>
        <w:t>pios del siguiente su padre Alberto Enrique, comisario r</w:t>
      </w:r>
      <w:r>
        <w:rPr>
          <w:lang w:val="es-ES_tradnl"/>
        </w:rPr>
        <w:t>e</w:t>
      </w:r>
      <w:r>
        <w:rPr>
          <w:lang w:val="es-ES_tradnl"/>
        </w:rPr>
        <w:t xml:space="preserve">tirado de </w:t>
      </w:r>
      <w:smartTag w:uri="urn:schemas-microsoft-com:office:smarttags" w:element="PersonName">
        <w:smartTagPr>
          <w:attr w:name="ProductID" w:val="la Polic￭a Bonaerense"/>
        </w:smartTagPr>
        <w:r>
          <w:rPr>
            <w:lang w:val="es-ES_tradnl"/>
          </w:rPr>
          <w:t>la Policía Bonaerense</w:t>
        </w:r>
      </w:smartTag>
      <w:r>
        <w:rPr>
          <w:lang w:val="es-ES_tradnl"/>
        </w:rPr>
        <w:t>, fue citado por el comis</w:t>
      </w:r>
      <w:r>
        <w:rPr>
          <w:lang w:val="es-ES_tradnl"/>
        </w:rPr>
        <w:t>a</w:t>
      </w:r>
      <w:r>
        <w:rPr>
          <w:lang w:val="es-ES_tradnl"/>
        </w:rPr>
        <w:t>rio inspector Luis Ernesto Vicat en el hotel L</w:t>
      </w:r>
      <w:r>
        <w:rPr>
          <w:lang w:val="es-ES_tradnl"/>
        </w:rPr>
        <w:t>i</w:t>
      </w:r>
      <w:r>
        <w:rPr>
          <w:lang w:val="es-ES_tradnl"/>
        </w:rPr>
        <w:t>bertador de esta ciudad, en donde le ofreció dinero y una mejora de su situación procesal a cambio de que modifique su declar</w:t>
      </w:r>
      <w:r>
        <w:rPr>
          <w:lang w:val="es-ES_tradnl"/>
        </w:rPr>
        <w:t>a</w:t>
      </w:r>
      <w:r>
        <w:rPr>
          <w:lang w:val="es-ES_tradnl"/>
        </w:rPr>
        <w:t>ción e involucre al comisario Rib</w:t>
      </w:r>
      <w:r>
        <w:rPr>
          <w:lang w:val="es-ES_tradnl"/>
        </w:rPr>
        <w:t>e</w:t>
      </w:r>
      <w:r>
        <w:rPr>
          <w:lang w:val="es-ES_tradnl"/>
        </w:rPr>
        <w:t>lli.</w:t>
      </w:r>
    </w:p>
    <w:p w:rsidR="00224567" w:rsidRDefault="00224567">
      <w:pPr>
        <w:widowControl w:val="0"/>
        <w:rPr>
          <w:lang w:val="es-ES_tradnl"/>
        </w:rPr>
      </w:pPr>
      <w:r>
        <w:rPr>
          <w:lang w:val="es-ES_tradnl"/>
        </w:rPr>
        <w:tab/>
        <w:t>Con posterioridad a ese encuentro V</w:t>
      </w:r>
      <w:r>
        <w:rPr>
          <w:lang w:val="es-ES_tradnl"/>
        </w:rPr>
        <w:t>i</w:t>
      </w:r>
      <w:r>
        <w:rPr>
          <w:lang w:val="es-ES_tradnl"/>
        </w:rPr>
        <w:t xml:space="preserve">cat, acompañado por un oficial subinspector de </w:t>
      </w:r>
      <w:smartTag w:uri="urn:schemas-microsoft-com:office:smarttags" w:element="PersonName">
        <w:smartTagPr>
          <w:attr w:name="ProductID" w:val="la Polic￭a Bonaerense"/>
        </w:smartTagPr>
        <w:r>
          <w:rPr>
            <w:lang w:val="es-ES_tradnl"/>
          </w:rPr>
          <w:t>la Pol</w:t>
        </w:r>
        <w:r>
          <w:rPr>
            <w:lang w:val="es-ES_tradnl"/>
          </w:rPr>
          <w:t>i</w:t>
        </w:r>
        <w:r>
          <w:rPr>
            <w:lang w:val="es-ES_tradnl"/>
          </w:rPr>
          <w:t>cía Bonaerense</w:t>
        </w:r>
      </w:smartTag>
      <w:r>
        <w:rPr>
          <w:lang w:val="es-ES_tradnl"/>
        </w:rPr>
        <w:t xml:space="preserve"> que trabajó con él en </w:t>
      </w:r>
      <w:smartTag w:uri="urn:schemas-microsoft-com:office:smarttags" w:element="PersonName">
        <w:smartTagPr>
          <w:attr w:name="ProductID" w:val="la Comisar￭a San"/>
        </w:smartTagPr>
        <w:r>
          <w:rPr>
            <w:lang w:val="es-ES_tradnl"/>
          </w:rPr>
          <w:t>la Comisaría San</w:t>
        </w:r>
      </w:smartTag>
      <w:r>
        <w:rPr>
          <w:lang w:val="es-ES_tradnl"/>
        </w:rPr>
        <w:t xml:space="preserve"> Martín 8ª, de nombre Aldo Spicaccci, se presentó en su lugar de detención a fin de reit</w:t>
      </w:r>
      <w:r>
        <w:rPr>
          <w:lang w:val="es-ES_tradnl"/>
        </w:rPr>
        <w:t>e</w:t>
      </w:r>
      <w:r>
        <w:rPr>
          <w:lang w:val="es-ES_tradnl"/>
        </w:rPr>
        <w:t>rarle su ofrecimiento, consistente en involucrar a Ribelli directamente con el atentado, a cambio de lo cual se gestionaría su libe</w:t>
      </w:r>
      <w:r>
        <w:rPr>
          <w:lang w:val="es-ES_tradnl"/>
        </w:rPr>
        <w:t>r</w:t>
      </w:r>
      <w:r>
        <w:rPr>
          <w:lang w:val="es-ES_tradnl"/>
        </w:rPr>
        <w:t xml:space="preserve">tad, se cambiaría su identidad y la de su familia y se le abonaría un sueldo de </w:t>
      </w:r>
      <w:r>
        <w:t>USD</w:t>
      </w:r>
      <w:r>
        <w:rPr>
          <w:lang w:val="es-ES_tradnl"/>
        </w:rPr>
        <w:t xml:space="preserve"> 3.000 mensuales en el l</w:t>
      </w:r>
      <w:r>
        <w:rPr>
          <w:lang w:val="es-ES_tradnl"/>
        </w:rPr>
        <w:t>u</w:t>
      </w:r>
      <w:r>
        <w:rPr>
          <w:lang w:val="es-ES_tradnl"/>
        </w:rPr>
        <w:t>gar del mundo que quisiera. Barreda explicó que rechazó desde un inicio los términos del ofrecimiento por cuanto no conocía a Ribelli y no le constaba que tuviera algún tipo de participación en el atentado, indicándole Vicat que Burguete había transado y se había ido en libertad y que Huici estaba por transar, por lo que gozaba de mejores condiciones de d</w:t>
      </w:r>
      <w:r>
        <w:rPr>
          <w:lang w:val="es-ES_tradnl"/>
        </w:rPr>
        <w:t>e</w:t>
      </w:r>
      <w:r>
        <w:rPr>
          <w:lang w:val="es-ES_tradnl"/>
        </w:rPr>
        <w:t>tención que él.</w:t>
      </w:r>
    </w:p>
    <w:p w:rsidR="00224567" w:rsidRDefault="00224567">
      <w:pPr>
        <w:widowControl w:val="0"/>
        <w:rPr>
          <w:lang w:val="es-ES_tradnl"/>
        </w:rPr>
      </w:pPr>
      <w:r>
        <w:rPr>
          <w:lang w:val="es-ES_tradnl"/>
        </w:rPr>
        <w:tab/>
        <w:t>Señaló que si bien tuvo intenci</w:t>
      </w:r>
      <w:r>
        <w:rPr>
          <w:lang w:val="es-ES_tradnl"/>
        </w:rPr>
        <w:t>o</w:t>
      </w:r>
      <w:r>
        <w:rPr>
          <w:lang w:val="es-ES_tradnl"/>
        </w:rPr>
        <w:t>nes de realizar una cámara oculta, a fin de poner en ev</w:t>
      </w:r>
      <w:r>
        <w:rPr>
          <w:lang w:val="es-ES_tradnl"/>
        </w:rPr>
        <w:t>i</w:t>
      </w:r>
      <w:r>
        <w:rPr>
          <w:lang w:val="es-ES_tradnl"/>
        </w:rPr>
        <w:t>dencia la maniobra, desistió de ello al no encontrar eco periodíst</w:t>
      </w:r>
      <w:r>
        <w:rPr>
          <w:lang w:val="es-ES_tradnl"/>
        </w:rPr>
        <w:t>i</w:t>
      </w:r>
      <w:r>
        <w:rPr>
          <w:lang w:val="es-ES_tradnl"/>
        </w:rPr>
        <w:t>co, aclarando que no efectúo denuncia alguna por cuanto ignoraba a quién respondía Vicat para hacer semejante ofrecimiento. Que el 3 de marzo de 1997, Vicat se presentó nuevamente a su lugar de detención y le manifestó que t</w:t>
      </w:r>
      <w:r>
        <w:rPr>
          <w:lang w:val="es-ES_tradnl"/>
        </w:rPr>
        <w:t>e</w:t>
      </w:r>
      <w:r>
        <w:rPr>
          <w:lang w:val="es-ES_tradnl"/>
        </w:rPr>
        <w:t>nía que “transar sí o sí”, a lo que él le respondió que arreglara con su abogado, el Dr. Miguel Gargano, concr</w:t>
      </w:r>
      <w:r>
        <w:rPr>
          <w:lang w:val="es-ES_tradnl"/>
        </w:rPr>
        <w:t>e</w:t>
      </w:r>
      <w:r>
        <w:rPr>
          <w:lang w:val="es-ES_tradnl"/>
        </w:rPr>
        <w:t>tándose una reunión, que también se llevó a cabo en el h</w:t>
      </w:r>
      <w:r>
        <w:rPr>
          <w:lang w:val="es-ES_tradnl"/>
        </w:rPr>
        <w:t>o</w:t>
      </w:r>
      <w:r>
        <w:rPr>
          <w:lang w:val="es-ES_tradnl"/>
        </w:rPr>
        <w:t>tel Libertador, a la que asistieron su abogado, su p</w:t>
      </w:r>
      <w:r>
        <w:rPr>
          <w:lang w:val="es-ES_tradnl"/>
        </w:rPr>
        <w:t>a</w:t>
      </w:r>
      <w:r>
        <w:rPr>
          <w:lang w:val="es-ES_tradnl"/>
        </w:rPr>
        <w:t>dre, Vicat y, según creía recordar, Spicacci; oportunidad  en que le reiteró el ofrec</w:t>
      </w:r>
      <w:r>
        <w:rPr>
          <w:lang w:val="es-ES_tradnl"/>
        </w:rPr>
        <w:t>i</w:t>
      </w:r>
      <w:r>
        <w:rPr>
          <w:lang w:val="es-ES_tradnl"/>
        </w:rPr>
        <w:t>miento.</w:t>
      </w:r>
    </w:p>
    <w:p w:rsidR="00224567" w:rsidRDefault="00224567">
      <w:pPr>
        <w:widowControl w:val="0"/>
        <w:rPr>
          <w:lang w:val="es-ES_tradnl"/>
        </w:rPr>
      </w:pPr>
      <w:r>
        <w:rPr>
          <w:lang w:val="es-ES_tradnl"/>
        </w:rPr>
        <w:tab/>
        <w:t>Además, Barreda recordó que en alguna de las oportunid</w:t>
      </w:r>
      <w:r>
        <w:rPr>
          <w:lang w:val="es-ES_tradnl"/>
        </w:rPr>
        <w:t>a</w:t>
      </w:r>
      <w:r>
        <w:rPr>
          <w:lang w:val="es-ES_tradnl"/>
        </w:rPr>
        <w:t>des en que Vicat lo visitó, éste le dijo que no importaba si lo que iba a decir era verdad, por cuanto Telleldín también había transado su declar</w:t>
      </w:r>
      <w:r>
        <w:rPr>
          <w:lang w:val="es-ES_tradnl"/>
        </w:rPr>
        <w:t>a</w:t>
      </w:r>
      <w:r>
        <w:rPr>
          <w:lang w:val="es-ES_tradnl"/>
        </w:rPr>
        <w:t xml:space="preserve">ción con </w:t>
      </w:r>
      <w:smartTag w:uri="urn:schemas-microsoft-com:office:smarttags" w:element="PersonName">
        <w:smartTagPr>
          <w:attr w:name="ProductID" w:val="la C￡mara Federal"/>
        </w:smartTagPr>
        <w:r>
          <w:rPr>
            <w:lang w:val="es-ES_tradnl"/>
          </w:rPr>
          <w:t>la Cámara Federal</w:t>
        </w:r>
      </w:smartTag>
      <w:r>
        <w:rPr>
          <w:lang w:val="es-ES_tradnl"/>
        </w:rPr>
        <w:t xml:space="preserve"> en procura de mejorar su s</w:t>
      </w:r>
      <w:r>
        <w:rPr>
          <w:lang w:val="es-ES_tradnl"/>
        </w:rPr>
        <w:t>i</w:t>
      </w:r>
      <w:r>
        <w:rPr>
          <w:lang w:val="es-ES_tradnl"/>
        </w:rPr>
        <w:t>tuación.</w:t>
      </w:r>
    </w:p>
    <w:p w:rsidR="00224567" w:rsidRDefault="00224567">
      <w:pPr>
        <w:widowControl w:val="0"/>
        <w:rPr>
          <w:lang w:val="es-ES_tradnl"/>
        </w:rPr>
      </w:pPr>
      <w:r>
        <w:rPr>
          <w:lang w:val="es-ES_tradnl"/>
        </w:rPr>
        <w:tab/>
        <w:t>Tras su definitivo rechazo del ofrec</w:t>
      </w:r>
      <w:r>
        <w:rPr>
          <w:lang w:val="es-ES_tradnl"/>
        </w:rPr>
        <w:t>i</w:t>
      </w:r>
      <w:r>
        <w:rPr>
          <w:lang w:val="es-ES_tradnl"/>
        </w:rPr>
        <w:t>miento, Barreda refirió que su esposa comenzó a recibir amenazas telefónicas en su domicilio, por lo que efectuó una denuncia en el Juzgado Federal de San Ma</w:t>
      </w:r>
      <w:r>
        <w:rPr>
          <w:lang w:val="es-ES_tradnl"/>
        </w:rPr>
        <w:t>r</w:t>
      </w:r>
      <w:r>
        <w:rPr>
          <w:lang w:val="es-ES_tradnl"/>
        </w:rPr>
        <w:t>tín, a la vez que dos automotores, estacionados cerca de su casa, vig</w:t>
      </w:r>
      <w:r>
        <w:rPr>
          <w:lang w:val="es-ES_tradnl"/>
        </w:rPr>
        <w:t>i</w:t>
      </w:r>
      <w:r>
        <w:rPr>
          <w:lang w:val="es-ES_tradnl"/>
        </w:rPr>
        <w:t>laban los movimientos de su f</w:t>
      </w:r>
      <w:r>
        <w:rPr>
          <w:lang w:val="es-ES_tradnl"/>
        </w:rPr>
        <w:t>a</w:t>
      </w:r>
      <w:r>
        <w:rPr>
          <w:lang w:val="es-ES_tradnl"/>
        </w:rPr>
        <w:t>milia.</w:t>
      </w:r>
    </w:p>
    <w:p w:rsidR="00224567" w:rsidRDefault="00224567">
      <w:pPr>
        <w:widowControl w:val="0"/>
        <w:rPr>
          <w:lang w:val="es-ES_tradnl"/>
        </w:rPr>
      </w:pPr>
      <w:r>
        <w:rPr>
          <w:lang w:val="es-ES_tradnl"/>
        </w:rPr>
        <w:tab/>
        <w:t>Explicó Barreda que unos días después del atentado, entre el 21 y 23 de julio de 1994, Ana Bor</w:t>
      </w:r>
      <w:r>
        <w:rPr>
          <w:lang w:val="es-ES_tradnl"/>
        </w:rPr>
        <w:t>a</w:t>
      </w:r>
      <w:r>
        <w:rPr>
          <w:lang w:val="es-ES_tradnl"/>
        </w:rPr>
        <w:t>gni lo llamó a él y a Bareiro, mencionándole que había gente en los alrededores de su c</w:t>
      </w:r>
      <w:r>
        <w:rPr>
          <w:lang w:val="es-ES_tradnl"/>
        </w:rPr>
        <w:t>a</w:t>
      </w:r>
      <w:r>
        <w:rPr>
          <w:lang w:val="es-ES_tradnl"/>
        </w:rPr>
        <w:t xml:space="preserve">sa y que quería saber si eran de alguna brigada. Al establecer que no eran ni de </w:t>
      </w:r>
      <w:smartTag w:uri="urn:schemas-microsoft-com:office:smarttags" w:element="PersonName">
        <w:smartTagPr>
          <w:attr w:name="ProductID" w:val="la Brigada"/>
        </w:smartTagPr>
        <w:r>
          <w:rPr>
            <w:lang w:val="es-ES_tradnl"/>
          </w:rPr>
          <w:t>la Brigada</w:t>
        </w:r>
      </w:smartTag>
      <w:r>
        <w:rPr>
          <w:lang w:val="es-ES_tradnl"/>
        </w:rPr>
        <w:t xml:space="preserve"> de San Martín ni de </w:t>
      </w:r>
      <w:smartTag w:uri="urn:schemas-microsoft-com:office:smarttags" w:element="PersonName">
        <w:smartTagPr>
          <w:attr w:name="ProductID" w:val="la Vicente L￳pez"/>
        </w:smartTagPr>
        <w:r>
          <w:rPr>
            <w:lang w:val="es-ES_tradnl"/>
          </w:rPr>
          <w:t>la Vicente López</w:t>
        </w:r>
      </w:smartTag>
      <w:r>
        <w:rPr>
          <w:lang w:val="es-ES_tradnl"/>
        </w:rPr>
        <w:t>, decidieron concurrir a la vivienda y, tras conversar con Ana, quien intuía que su marido era buscado por haber vendido la c</w:t>
      </w:r>
      <w:r>
        <w:rPr>
          <w:lang w:val="es-ES_tradnl"/>
        </w:rPr>
        <w:t>a</w:t>
      </w:r>
      <w:r>
        <w:rPr>
          <w:lang w:val="es-ES_tradnl"/>
        </w:rPr>
        <w:t xml:space="preserve">mioneta que explotó en </w:t>
      </w:r>
      <w:smartTag w:uri="urn:schemas-microsoft-com:office:smarttags" w:element="PersonName">
        <w:smartTagPr>
          <w:attr w:name="ProductID" w:val="la A.M"/>
        </w:smartTagPr>
        <w:r>
          <w:rPr>
            <w:lang w:val="es-ES_tradnl"/>
          </w:rPr>
          <w:t>la A.M</w:t>
        </w:r>
      </w:smartTag>
      <w:r>
        <w:rPr>
          <w:lang w:val="es-ES_tradnl"/>
        </w:rPr>
        <w:t>.I.A., se identificaron ante esas personas, las que le confirmaron tal e</w:t>
      </w:r>
      <w:r>
        <w:rPr>
          <w:lang w:val="es-ES_tradnl"/>
        </w:rPr>
        <w:t>x</w:t>
      </w:r>
      <w:r>
        <w:rPr>
          <w:lang w:val="es-ES_tradnl"/>
        </w:rPr>
        <w:t>tremo.</w:t>
      </w:r>
    </w:p>
    <w:p w:rsidR="00224567" w:rsidRDefault="00224567">
      <w:pPr>
        <w:widowControl w:val="0"/>
        <w:rPr>
          <w:lang w:val="es-ES_tradnl"/>
        </w:rPr>
      </w:pPr>
      <w:r>
        <w:rPr>
          <w:lang w:val="es-ES_tradnl"/>
        </w:rPr>
        <w:tab/>
        <w:t>Dichas personas les pidieron que se quedaran en la casa de Ana a la espera de un llamado de Telleldín, en procura de convencerlo de que debía regr</w:t>
      </w:r>
      <w:r>
        <w:rPr>
          <w:lang w:val="es-ES_tradnl"/>
        </w:rPr>
        <w:t>e</w:t>
      </w:r>
      <w:r>
        <w:rPr>
          <w:lang w:val="es-ES_tradnl"/>
        </w:rPr>
        <w:t>sar, lo que así ocurrió, arribando el nombrado al Aeropa</w:t>
      </w:r>
      <w:r>
        <w:rPr>
          <w:lang w:val="es-ES_tradnl"/>
        </w:rPr>
        <w:t>r</w:t>
      </w:r>
      <w:r>
        <w:rPr>
          <w:lang w:val="es-ES_tradnl"/>
        </w:rPr>
        <w:t xml:space="preserve">que donde lo aguardaban, además de él, gente de </w:t>
      </w:r>
      <w:smartTag w:uri="urn:schemas-microsoft-com:office:smarttags" w:element="PersonName">
        <w:smartTagPr>
          <w:attr w:name="ProductID" w:val="la S.I"/>
        </w:smartTagPr>
        <w:r>
          <w:rPr>
            <w:lang w:val="es-ES_tradnl"/>
          </w:rPr>
          <w:t>la S.I</w:t>
        </w:r>
      </w:smartTag>
      <w:r>
        <w:rPr>
          <w:lang w:val="es-ES_tradnl"/>
        </w:rPr>
        <w:t>.D.E. y del D.P.O.C.. Luego de ello la superior</w:t>
      </w:r>
      <w:r>
        <w:rPr>
          <w:lang w:val="es-ES_tradnl"/>
        </w:rPr>
        <w:t>i</w:t>
      </w:r>
      <w:r>
        <w:rPr>
          <w:lang w:val="es-ES_tradnl"/>
        </w:rPr>
        <w:t>dad le comunicó que debían colaborar con la investig</w:t>
      </w:r>
      <w:r>
        <w:rPr>
          <w:lang w:val="es-ES_tradnl"/>
        </w:rPr>
        <w:t>a</w:t>
      </w:r>
      <w:r>
        <w:rPr>
          <w:lang w:val="es-ES_tradnl"/>
        </w:rPr>
        <w:t>ción por lo que, a los pocos días, concurrieron a unas ofic</w:t>
      </w:r>
      <w:r>
        <w:rPr>
          <w:lang w:val="es-ES_tradnl"/>
        </w:rPr>
        <w:t>i</w:t>
      </w:r>
      <w:r>
        <w:rPr>
          <w:lang w:val="es-ES_tradnl"/>
        </w:rPr>
        <w:t xml:space="preserve">nas de </w:t>
      </w:r>
      <w:smartTag w:uri="urn:schemas-microsoft-com:office:smarttags" w:element="PersonName">
        <w:smartTagPr>
          <w:attr w:name="ProductID" w:val="la S.I"/>
        </w:smartTagPr>
        <w:r>
          <w:rPr>
            <w:lang w:val="es-ES_tradnl"/>
          </w:rPr>
          <w:t>la S.I</w:t>
        </w:r>
      </w:smartTag>
      <w:r>
        <w:rPr>
          <w:lang w:val="es-ES_tradnl"/>
        </w:rPr>
        <w:t xml:space="preserve">.D.E. sitas en Estados Unidos y </w:t>
      </w:r>
      <w:smartTag w:uri="urn:schemas-microsoft-com:office:smarttags" w:element="PersonName">
        <w:smartTagPr>
          <w:attr w:name="ProductID" w:val="La Rioja"/>
        </w:smartTagPr>
        <w:r>
          <w:rPr>
            <w:lang w:val="es-ES_tradnl"/>
          </w:rPr>
          <w:t>La Rioja</w:t>
        </w:r>
      </w:smartTag>
      <w:r>
        <w:rPr>
          <w:lang w:val="es-ES_tradnl"/>
        </w:rPr>
        <w:t xml:space="preserve"> de esta ci</w:t>
      </w:r>
      <w:r>
        <w:rPr>
          <w:lang w:val="es-ES_tradnl"/>
        </w:rPr>
        <w:t>u</w:t>
      </w:r>
      <w:r>
        <w:rPr>
          <w:lang w:val="es-ES_tradnl"/>
        </w:rPr>
        <w:t>dad, donde se encontraron con el comisario Naldi, el com</w:t>
      </w:r>
      <w:r>
        <w:rPr>
          <w:lang w:val="es-ES_tradnl"/>
        </w:rPr>
        <w:t>i</w:t>
      </w:r>
      <w:r>
        <w:rPr>
          <w:lang w:val="es-ES_tradnl"/>
        </w:rPr>
        <w:t>sario Ramón Oreste Verón y una persona que se presentó c</w:t>
      </w:r>
      <w:r>
        <w:rPr>
          <w:lang w:val="es-ES_tradnl"/>
        </w:rPr>
        <w:t>o</w:t>
      </w:r>
      <w:r>
        <w:rPr>
          <w:lang w:val="es-ES_tradnl"/>
        </w:rPr>
        <w:t>mo el ingeniero Stiler, quienes les explicaron en que co</w:t>
      </w:r>
      <w:r>
        <w:rPr>
          <w:lang w:val="es-ES_tradnl"/>
        </w:rPr>
        <w:t>n</w:t>
      </w:r>
      <w:r>
        <w:rPr>
          <w:lang w:val="es-ES_tradnl"/>
        </w:rPr>
        <w:t>sistía la colaboración que debían prestar, remarcándoles la búsqueda de una agenda de Telle</w:t>
      </w:r>
      <w:r>
        <w:rPr>
          <w:lang w:val="es-ES_tradnl"/>
        </w:rPr>
        <w:t>l</w:t>
      </w:r>
      <w:r>
        <w:rPr>
          <w:lang w:val="es-ES_tradnl"/>
        </w:rPr>
        <w:t>dín.</w:t>
      </w:r>
    </w:p>
    <w:p w:rsidR="00224567" w:rsidRDefault="00224567">
      <w:pPr>
        <w:widowControl w:val="0"/>
        <w:rPr>
          <w:lang w:val="es-ES_tradnl"/>
        </w:rPr>
      </w:pPr>
      <w:r>
        <w:rPr>
          <w:lang w:val="es-ES_tradnl"/>
        </w:rPr>
        <w:tab/>
        <w:t>Refirió Barreda que en función de la misión encomendada comenzó a salir con Ana Boragni y que sus conversaciones con ella las grabó utilizando un apar</w:t>
      </w:r>
      <w:r>
        <w:rPr>
          <w:lang w:val="es-ES_tradnl"/>
        </w:rPr>
        <w:t>a</w:t>
      </w:r>
      <w:r>
        <w:rPr>
          <w:lang w:val="es-ES_tradnl"/>
        </w:rPr>
        <w:t>to que le facilitó Stiler; en todas esas charlas Ana rep</w:t>
      </w:r>
      <w:r>
        <w:rPr>
          <w:lang w:val="es-ES_tradnl"/>
        </w:rPr>
        <w:t>e</w:t>
      </w:r>
      <w:r>
        <w:rPr>
          <w:lang w:val="es-ES_tradnl"/>
        </w:rPr>
        <w:t xml:space="preserve">tía que </w:t>
      </w:r>
      <w:smartTag w:uri="urn:schemas-microsoft-com:office:smarttags" w:element="PersonName">
        <w:smartTagPr>
          <w:attr w:name="ProductID" w:val="la Trafic"/>
        </w:smartTagPr>
        <w:r>
          <w:rPr>
            <w:lang w:val="es-ES_tradnl"/>
          </w:rPr>
          <w:t>la Trafic</w:t>
        </w:r>
      </w:smartTag>
      <w:r>
        <w:rPr>
          <w:lang w:val="es-ES_tradnl"/>
        </w:rPr>
        <w:t xml:space="preserve"> había sido vendida a un centroameric</w:t>
      </w:r>
      <w:r>
        <w:rPr>
          <w:lang w:val="es-ES_tradnl"/>
        </w:rPr>
        <w:t>a</w:t>
      </w:r>
      <w:r>
        <w:rPr>
          <w:lang w:val="es-ES_tradnl"/>
        </w:rPr>
        <w:t>no con anteojos y gorra que tenía mucho dinero en el m</w:t>
      </w:r>
      <w:r>
        <w:rPr>
          <w:lang w:val="es-ES_tradnl"/>
        </w:rPr>
        <w:t>a</w:t>
      </w:r>
      <w:r>
        <w:rPr>
          <w:lang w:val="es-ES_tradnl"/>
        </w:rPr>
        <w:t>letín. Que, además del grabador, Stiler le solventaba el alquiler de un aparato celular.</w:t>
      </w:r>
    </w:p>
    <w:p w:rsidR="00224567" w:rsidRDefault="00224567">
      <w:pPr>
        <w:widowControl w:val="0"/>
      </w:pPr>
      <w:r>
        <w:rPr>
          <w:lang w:val="es-ES_tradnl"/>
        </w:rPr>
        <w:tab/>
        <w:t>El 20 de noviembre de 1998 (fs. 48.753/48.756) y el 11 de febrero de 1999 (fs. 49.965/49.966) amplió su indagatoria, sin agregar en se</w:t>
      </w:r>
      <w:r>
        <w:rPr>
          <w:lang w:val="es-ES_tradnl"/>
        </w:rPr>
        <w:t>n</w:t>
      </w:r>
      <w:r>
        <w:rPr>
          <w:lang w:val="es-ES_tradnl"/>
        </w:rPr>
        <w:t>das declaraciones ci</w:t>
      </w:r>
      <w:r>
        <w:rPr>
          <w:lang w:val="es-ES_tradnl"/>
        </w:rPr>
        <w:t>r</w:t>
      </w:r>
      <w:r>
        <w:rPr>
          <w:lang w:val="es-ES_tradnl"/>
        </w:rPr>
        <w:t>cunstancias novedosas.</w:t>
      </w:r>
    </w:p>
    <w:p w:rsidR="00224567" w:rsidRDefault="00224567">
      <w:pPr>
        <w:widowControl w:val="0"/>
      </w:pPr>
      <w:r>
        <w:tab/>
        <w:t>Al ser convocado prestar indagatoria en la audiencia de debate del 12 de septiembre de 2002, por los hechos de la causa nº 501/01, Diego Enrique Barr</w:t>
      </w:r>
      <w:r>
        <w:t>e</w:t>
      </w:r>
      <w:r>
        <w:t>da se negó a declarar, no dándose lectura de las realiz</w:t>
      </w:r>
      <w:r>
        <w:t>a</w:t>
      </w:r>
      <w:r>
        <w:t>das ante la instructor, por haber sido leídas con anteri</w:t>
      </w:r>
      <w:r>
        <w:t>o</w:t>
      </w:r>
      <w:r>
        <w:t>ridad a esa conv</w:t>
      </w:r>
      <w:r>
        <w:t>o</w:t>
      </w:r>
      <w:r>
        <w:t>catoria.</w:t>
      </w:r>
    </w:p>
    <w:p w:rsidR="00224567" w:rsidRDefault="00224567">
      <w:pPr>
        <w:widowControl w:val="0"/>
        <w:rPr>
          <w:lang w:val="es-ES_tradnl"/>
        </w:rPr>
      </w:pPr>
    </w:p>
    <w:p w:rsidR="00224567" w:rsidRDefault="00224567">
      <w:pPr>
        <w:pStyle w:val="Ttulo3"/>
        <w:keepNext w:val="0"/>
        <w:widowControl w:val="0"/>
      </w:pPr>
      <w:r>
        <w:t>J) Declaraciones indagatorias de Bautista Alberto Hu</w:t>
      </w:r>
      <w:r>
        <w:t>i</w:t>
      </w:r>
      <w:r>
        <w:t>ci.</w:t>
      </w:r>
    </w:p>
    <w:p w:rsidR="00224567" w:rsidRDefault="00224567">
      <w:pPr>
        <w:pStyle w:val="Sangra2detindependiente"/>
        <w:widowControl w:val="0"/>
        <w:tabs>
          <w:tab w:val="clear" w:pos="0"/>
          <w:tab w:val="clear" w:pos="1728"/>
          <w:tab w:val="clear" w:pos="2160"/>
          <w:tab w:val="clear" w:pos="2835"/>
          <w:tab w:val="clear" w:pos="2880"/>
          <w:tab w:val="clear" w:pos="3600"/>
          <w:tab w:val="clear" w:pos="4320"/>
          <w:tab w:val="clear" w:pos="5040"/>
          <w:tab w:val="clear" w:pos="5760"/>
          <w:tab w:val="clear" w:pos="6480"/>
          <w:tab w:val="clear" w:pos="7200"/>
          <w:tab w:val="clear" w:pos="7920"/>
          <w:tab w:val="clear" w:pos="8640"/>
        </w:tabs>
        <w:spacing w:line="600" w:lineRule="auto"/>
        <w:ind w:firstLine="0"/>
      </w:pPr>
      <w:r>
        <w:rPr>
          <w:lang w:val="es-ES"/>
        </w:rPr>
        <w:tab/>
      </w:r>
      <w:r>
        <w:t>Que en ocasión de ejercer su principal acto de defe</w:t>
      </w:r>
      <w:r>
        <w:t>n</w:t>
      </w:r>
      <w:r>
        <w:t>sa material durante el debate, el imputado Bautista Albe</w:t>
      </w:r>
      <w:r>
        <w:t>r</w:t>
      </w:r>
      <w:r>
        <w:t>to Huici hizo uso de su derecho de negarse a declarar. Consecuentemente se incorporaron las indagatorias brind</w:t>
      </w:r>
      <w:r>
        <w:t>a</w:t>
      </w:r>
      <w:r>
        <w:t>das ante el juez instru</w:t>
      </w:r>
      <w:r>
        <w:t>c</w:t>
      </w:r>
      <w:r>
        <w:t>tor.</w:t>
      </w:r>
    </w:p>
    <w:p w:rsidR="00224567" w:rsidRDefault="00224567">
      <w:pPr>
        <w:pStyle w:val="Sangra2detindependiente"/>
        <w:widowControl w:val="0"/>
        <w:tabs>
          <w:tab w:val="clear" w:pos="0"/>
          <w:tab w:val="clear" w:pos="1728"/>
          <w:tab w:val="clear" w:pos="2160"/>
          <w:tab w:val="clear" w:pos="2835"/>
          <w:tab w:val="clear" w:pos="2880"/>
          <w:tab w:val="clear" w:pos="3600"/>
          <w:tab w:val="clear" w:pos="4320"/>
          <w:tab w:val="clear" w:pos="5040"/>
          <w:tab w:val="clear" w:pos="5760"/>
          <w:tab w:val="clear" w:pos="6480"/>
          <w:tab w:val="clear" w:pos="7200"/>
          <w:tab w:val="clear" w:pos="7920"/>
          <w:tab w:val="clear" w:pos="8640"/>
        </w:tabs>
        <w:spacing w:line="600" w:lineRule="auto"/>
        <w:ind w:firstLine="0"/>
      </w:pPr>
      <w:r>
        <w:tab/>
        <w:t xml:space="preserve">Con fecha 17 de julio de 1996 (fs. 39.438/39.441), manifestó que ingresó en </w:t>
      </w:r>
      <w:smartTag w:uri="urn:schemas-microsoft-com:office:smarttags" w:element="PersonName">
        <w:smartTagPr>
          <w:attr w:name="ProductID" w:val="la Polic￭a Bonaerense"/>
        </w:smartTagPr>
        <w:r>
          <w:t>la Policía Bonaerense</w:t>
        </w:r>
      </w:smartTag>
      <w:r>
        <w:t xml:space="preserve"> en el año 1972 y pasó por distintos destinos hasta desempeñarse en el año 1990 como subcomisario en </w:t>
      </w:r>
      <w:smartTag w:uri="urn:schemas-microsoft-com:office:smarttags" w:element="PersonName">
        <w:smartTagPr>
          <w:attr w:name="ProductID" w:val="la Seccional VI"/>
        </w:smartTagPr>
        <w:r>
          <w:t>la Seccional VI</w:t>
        </w:r>
      </w:smartTag>
      <w:r>
        <w:t xml:space="preserve"> de Av</w:t>
      </w:r>
      <w:r>
        <w:t>e</w:t>
      </w:r>
      <w:r>
        <w:t xml:space="preserve">llaneda. De allí fue trasladado a </w:t>
      </w:r>
      <w:smartTag w:uri="urn:schemas-microsoft-com:office:smarttags" w:element="PersonName">
        <w:smartTagPr>
          <w:attr w:name="ProductID" w:val="la Seccional I"/>
        </w:smartTagPr>
        <w:r>
          <w:t>la Se</w:t>
        </w:r>
        <w:r>
          <w:t>c</w:t>
        </w:r>
        <w:r>
          <w:t>cional I</w:t>
        </w:r>
      </w:smartTag>
      <w:r>
        <w:t xml:space="preserve"> de Varela y luego a </w:t>
      </w:r>
      <w:smartTag w:uri="urn:schemas-microsoft-com:office:smarttags" w:element="PersonName">
        <w:smartTagPr>
          <w:attr w:name="ProductID" w:val="la Brigada"/>
        </w:smartTagPr>
        <w:r>
          <w:t>la Brigada</w:t>
        </w:r>
      </w:smartTag>
      <w:r>
        <w:t xml:space="preserve"> de </w:t>
      </w:r>
      <w:smartTag w:uri="urn:schemas-microsoft-com:office:smarttags" w:element="PersonName">
        <w:smartTagPr>
          <w:attr w:name="ProductID" w:val="La Matanza."/>
        </w:smartTagPr>
        <w:r>
          <w:t>La M</w:t>
        </w:r>
        <w:r>
          <w:t>a</w:t>
        </w:r>
        <w:r>
          <w:t>tanza.</w:t>
        </w:r>
      </w:smartTag>
    </w:p>
    <w:p w:rsidR="00224567" w:rsidRDefault="00224567">
      <w:pPr>
        <w:widowControl w:val="0"/>
        <w:ind w:firstLine="2835"/>
        <w:rPr>
          <w:lang w:val="es-ES_tradnl"/>
        </w:rPr>
      </w:pPr>
      <w:r>
        <w:rPr>
          <w:lang w:val="es-ES_tradnl"/>
        </w:rPr>
        <w:t>Posteriormente, ya en el año 1993, realizó el curso para ascender a comisario y lo transf</w:t>
      </w:r>
      <w:r>
        <w:rPr>
          <w:lang w:val="es-ES_tradnl"/>
        </w:rPr>
        <w:t>i</w:t>
      </w:r>
      <w:r>
        <w:rPr>
          <w:lang w:val="es-ES_tradnl"/>
        </w:rPr>
        <w:t xml:space="preserve">rieron con el cargo de subcomisario a </w:t>
      </w:r>
      <w:smartTag w:uri="urn:schemas-microsoft-com:office:smarttags" w:element="PersonName">
        <w:smartTagPr>
          <w:attr w:name="ProductID" w:val="la Comisar￭a"/>
        </w:smartTagPr>
        <w:r>
          <w:rPr>
            <w:lang w:val="es-ES_tradnl"/>
          </w:rPr>
          <w:t>la Comisaría</w:t>
        </w:r>
      </w:smartTag>
      <w:r>
        <w:rPr>
          <w:lang w:val="es-ES_tradnl"/>
        </w:rPr>
        <w:t xml:space="preserve"> de Ma</w:t>
      </w:r>
      <w:r>
        <w:rPr>
          <w:lang w:val="es-ES_tradnl"/>
        </w:rPr>
        <w:t>i</w:t>
      </w:r>
      <w:r>
        <w:rPr>
          <w:lang w:val="es-ES_tradnl"/>
        </w:rPr>
        <w:t>pú.</w:t>
      </w:r>
    </w:p>
    <w:p w:rsidR="00224567" w:rsidRDefault="00224567">
      <w:pPr>
        <w:widowControl w:val="0"/>
        <w:ind w:firstLine="2835"/>
        <w:rPr>
          <w:lang w:val="es-ES_tradnl"/>
        </w:rPr>
      </w:pPr>
      <w:r>
        <w:rPr>
          <w:lang w:val="es-ES_tradnl"/>
        </w:rPr>
        <w:t>Luego, la superioridad dispuso un nu</w:t>
      </w:r>
      <w:r>
        <w:rPr>
          <w:lang w:val="es-ES_tradnl"/>
        </w:rPr>
        <w:t>e</w:t>
      </w:r>
      <w:r>
        <w:rPr>
          <w:lang w:val="es-ES_tradnl"/>
        </w:rPr>
        <w:t xml:space="preserve">vo traslado a </w:t>
      </w:r>
      <w:smartTag w:uri="urn:schemas-microsoft-com:office:smarttags" w:element="PersonName">
        <w:smartTagPr>
          <w:attr w:name="ProductID" w:val="la Brigada"/>
        </w:smartTagPr>
        <w:r>
          <w:rPr>
            <w:lang w:val="es-ES_tradnl"/>
          </w:rPr>
          <w:t>la Brigada</w:t>
        </w:r>
      </w:smartTag>
      <w:r>
        <w:rPr>
          <w:lang w:val="es-ES_tradnl"/>
        </w:rPr>
        <w:t xml:space="preserve"> de Investigaciones II de Lanús, donde trabajó desde enero hasta n</w:t>
      </w:r>
      <w:r>
        <w:rPr>
          <w:lang w:val="es-ES_tradnl"/>
        </w:rPr>
        <w:t>o</w:t>
      </w:r>
      <w:r>
        <w:rPr>
          <w:lang w:val="es-ES_tradnl"/>
        </w:rPr>
        <w:t>viembre de 1994. En tal lugar empezó como jefe de turno y después ocupó el cargo de jefe de grupo operativo. Estimó que desempeñó esa fu</w:t>
      </w:r>
      <w:r>
        <w:rPr>
          <w:lang w:val="es-ES_tradnl"/>
        </w:rPr>
        <w:t>n</w:t>
      </w:r>
      <w:r>
        <w:rPr>
          <w:lang w:val="es-ES_tradnl"/>
        </w:rPr>
        <w:t>ción como consecuencia de varias disponibilidades que se sucedieron en la brigada con motivo de la “masacre de Wi</w:t>
      </w:r>
      <w:r>
        <w:rPr>
          <w:lang w:val="es-ES_tradnl"/>
        </w:rPr>
        <w:t>l</w:t>
      </w:r>
      <w:r>
        <w:rPr>
          <w:lang w:val="es-ES_tradnl"/>
        </w:rPr>
        <w:t>de”.</w:t>
      </w:r>
    </w:p>
    <w:p w:rsidR="00224567" w:rsidRDefault="00224567">
      <w:pPr>
        <w:widowControl w:val="0"/>
        <w:ind w:firstLine="2835"/>
        <w:rPr>
          <w:lang w:val="es-ES_tradnl"/>
        </w:rPr>
      </w:pPr>
      <w:r>
        <w:rPr>
          <w:lang w:val="es-ES_tradnl"/>
        </w:rPr>
        <w:t xml:space="preserve">A fines de 1994, permaneció un mes con la nueva jefatura y luego fue trasladado a </w:t>
      </w:r>
      <w:smartTag w:uri="urn:schemas-microsoft-com:office:smarttags" w:element="PersonName">
        <w:smartTagPr>
          <w:attr w:name="ProductID" w:val="la Unidad Regional"/>
        </w:smartTagPr>
        <w:r>
          <w:rPr>
            <w:lang w:val="es-ES_tradnl"/>
          </w:rPr>
          <w:t>la Unidad R</w:t>
        </w:r>
        <w:r>
          <w:rPr>
            <w:lang w:val="es-ES_tradnl"/>
          </w:rPr>
          <w:t>e</w:t>
        </w:r>
        <w:r>
          <w:rPr>
            <w:lang w:val="es-ES_tradnl"/>
          </w:rPr>
          <w:t>gional</w:t>
        </w:r>
      </w:smartTag>
      <w:r>
        <w:rPr>
          <w:lang w:val="es-ES_tradnl"/>
        </w:rPr>
        <w:t xml:space="preserve"> de </w:t>
      </w:r>
      <w:smartTag w:uri="urn:schemas-microsoft-com:office:smarttags" w:element="PersonName">
        <w:smartTagPr>
          <w:attr w:name="ProductID" w:val="La Matanza."/>
        </w:smartTagPr>
        <w:r>
          <w:rPr>
            <w:lang w:val="es-ES_tradnl"/>
          </w:rPr>
          <w:t>La Mata</w:t>
        </w:r>
        <w:r>
          <w:rPr>
            <w:lang w:val="es-ES_tradnl"/>
          </w:rPr>
          <w:t>n</w:t>
        </w:r>
        <w:r>
          <w:rPr>
            <w:lang w:val="es-ES_tradnl"/>
          </w:rPr>
          <w:t>za.</w:t>
        </w:r>
      </w:smartTag>
    </w:p>
    <w:p w:rsidR="00224567" w:rsidRDefault="00224567">
      <w:pPr>
        <w:widowControl w:val="0"/>
        <w:ind w:firstLine="2835"/>
        <w:rPr>
          <w:lang w:val="es-ES_tradnl"/>
        </w:rPr>
      </w:pPr>
      <w:r>
        <w:rPr>
          <w:lang w:val="es-ES_tradnl"/>
        </w:rPr>
        <w:t xml:space="preserve">De allí, fue a Varela IV, después a </w:t>
      </w:r>
      <w:smartTag w:uri="urn:schemas-microsoft-com:office:smarttags" w:element="PersonName">
        <w:smartTagPr>
          <w:attr w:name="ProductID" w:val="la Comisar￭a I"/>
        </w:smartTagPr>
        <w:r>
          <w:rPr>
            <w:lang w:val="es-ES_tradnl"/>
          </w:rPr>
          <w:t>la Comisaría I</w:t>
        </w:r>
      </w:smartTag>
      <w:r>
        <w:rPr>
          <w:lang w:val="es-ES_tradnl"/>
        </w:rPr>
        <w:t xml:space="preserve"> de Quilmes y, posteriormente, a </w:t>
      </w:r>
      <w:smartTag w:uri="urn:schemas-microsoft-com:office:smarttags" w:element="PersonName">
        <w:smartTagPr>
          <w:attr w:name="ProductID" w:val="la Seccional"/>
        </w:smartTagPr>
        <w:r>
          <w:rPr>
            <w:lang w:val="es-ES_tradnl"/>
          </w:rPr>
          <w:t>la Seccional</w:t>
        </w:r>
      </w:smartTag>
      <w:r>
        <w:rPr>
          <w:lang w:val="es-ES_tradnl"/>
        </w:rPr>
        <w:t xml:space="preserve"> de Ballester II. Finalmente, fue ascendido a c</w:t>
      </w:r>
      <w:r>
        <w:rPr>
          <w:lang w:val="es-ES_tradnl"/>
        </w:rPr>
        <w:t>o</w:t>
      </w:r>
      <w:r>
        <w:rPr>
          <w:lang w:val="es-ES_tradnl"/>
        </w:rPr>
        <w:t xml:space="preserve">misario de </w:t>
      </w:r>
      <w:smartTag w:uri="urn:schemas-microsoft-com:office:smarttags" w:element="PersonName">
        <w:smartTagPr>
          <w:attr w:name="ProductID" w:val="la Seccional VI"/>
        </w:smartTagPr>
        <w:r>
          <w:rPr>
            <w:lang w:val="es-ES_tradnl"/>
          </w:rPr>
          <w:t>la Seccional VI</w:t>
        </w:r>
      </w:smartTag>
      <w:r>
        <w:rPr>
          <w:lang w:val="es-ES_tradnl"/>
        </w:rPr>
        <w:t xml:space="preserve"> de Villa Maipú, sita en el Partido de San Martín.</w:t>
      </w:r>
    </w:p>
    <w:p w:rsidR="00224567" w:rsidRDefault="00224567">
      <w:pPr>
        <w:widowControl w:val="0"/>
        <w:ind w:firstLine="2835"/>
        <w:rPr>
          <w:lang w:val="es-ES_tradnl"/>
        </w:rPr>
      </w:pPr>
      <w:r>
        <w:rPr>
          <w:lang w:val="es-ES_tradnl"/>
        </w:rPr>
        <w:t xml:space="preserve">Recordó que en el año 1994, mientras cumplía servicios en </w:t>
      </w:r>
      <w:smartTag w:uri="urn:schemas-microsoft-com:office:smarttags" w:element="PersonName">
        <w:smartTagPr>
          <w:attr w:name="ProductID" w:val="la Brigada"/>
        </w:smartTagPr>
        <w:r>
          <w:rPr>
            <w:lang w:val="es-ES_tradnl"/>
          </w:rPr>
          <w:t>la Brigada</w:t>
        </w:r>
      </w:smartTag>
      <w:r>
        <w:rPr>
          <w:lang w:val="es-ES_tradnl"/>
        </w:rPr>
        <w:t xml:space="preserve"> de Investigaciones II de Lanús como subcomisario, estuvo haciendo una inve</w:t>
      </w:r>
      <w:r>
        <w:rPr>
          <w:lang w:val="es-ES_tradnl"/>
        </w:rPr>
        <w:t>s</w:t>
      </w:r>
      <w:r>
        <w:rPr>
          <w:lang w:val="es-ES_tradnl"/>
        </w:rPr>
        <w:t>tigación por un homicidio ocurrido en una sodería de Florencio V</w:t>
      </w:r>
      <w:r>
        <w:rPr>
          <w:lang w:val="es-ES_tradnl"/>
        </w:rPr>
        <w:t>a</w:t>
      </w:r>
      <w:r>
        <w:rPr>
          <w:lang w:val="es-ES_tradnl"/>
        </w:rPr>
        <w:t>rela. Por las características del hecho, se creía que la persona responsable del asunto era un ex policía que tr</w:t>
      </w:r>
      <w:r>
        <w:rPr>
          <w:lang w:val="es-ES_tradnl"/>
        </w:rPr>
        <w:t>a</w:t>
      </w:r>
      <w:r>
        <w:rPr>
          <w:lang w:val="es-ES_tradnl"/>
        </w:rPr>
        <w:t>bajó como su s</w:t>
      </w:r>
      <w:r>
        <w:rPr>
          <w:lang w:val="es-ES_tradnl"/>
        </w:rPr>
        <w:t>u</w:t>
      </w:r>
      <w:r>
        <w:rPr>
          <w:lang w:val="es-ES_tradnl"/>
        </w:rPr>
        <w:t xml:space="preserve">bordinado en </w:t>
      </w:r>
      <w:smartTag w:uri="urn:schemas-microsoft-com:office:smarttags" w:element="PersonName">
        <w:smartTagPr>
          <w:attr w:name="ProductID" w:val="la Comisar￭a"/>
        </w:smartTagPr>
        <w:r>
          <w:rPr>
            <w:lang w:val="es-ES_tradnl"/>
          </w:rPr>
          <w:t>la Comisaría</w:t>
        </w:r>
      </w:smartTag>
      <w:r>
        <w:rPr>
          <w:lang w:val="es-ES_tradnl"/>
        </w:rPr>
        <w:t xml:space="preserve"> 6ª de Avellaneda.</w:t>
      </w:r>
    </w:p>
    <w:p w:rsidR="00224567" w:rsidRDefault="00224567">
      <w:pPr>
        <w:widowControl w:val="0"/>
        <w:ind w:firstLine="2835"/>
        <w:rPr>
          <w:lang w:val="es-ES_tradnl"/>
        </w:rPr>
      </w:pPr>
      <w:r>
        <w:rPr>
          <w:lang w:val="es-ES_tradnl"/>
        </w:rPr>
        <w:t>Aquél se apellidaba Ambrosi y él lo apodaba “el Gordo”. Señaló que el juzgado interviniente dispuso su detención a raíz de las tareas de intelige</w:t>
      </w:r>
      <w:r>
        <w:rPr>
          <w:lang w:val="es-ES_tradnl"/>
        </w:rPr>
        <w:t>n</w:t>
      </w:r>
      <w:r>
        <w:rPr>
          <w:lang w:val="es-ES_tradnl"/>
        </w:rPr>
        <w:t>cia que practicó el dicente. No recordó en qué consistieron estas tareas, pero aseguró que tenían que obrar en dicha causa p</w:t>
      </w:r>
      <w:r>
        <w:rPr>
          <w:lang w:val="es-ES_tradnl"/>
        </w:rPr>
        <w:t>e</w:t>
      </w:r>
      <w:r>
        <w:rPr>
          <w:lang w:val="es-ES_tradnl"/>
        </w:rPr>
        <w:t>nal.</w:t>
      </w:r>
    </w:p>
    <w:p w:rsidR="00224567" w:rsidRDefault="00224567">
      <w:pPr>
        <w:widowControl w:val="0"/>
        <w:ind w:firstLine="2835"/>
        <w:rPr>
          <w:lang w:val="es-ES_tradnl"/>
        </w:rPr>
      </w:pPr>
      <w:r>
        <w:rPr>
          <w:lang w:val="es-ES_tradnl"/>
        </w:rPr>
        <w:t>Agregó que Ambrosi, a raíz de que no aparecía el auto utilizado en la muerte del policía, le dijo que “el Petiso” o “el Enano” Telleldín o “Tecc</w:t>
      </w:r>
      <w:r>
        <w:rPr>
          <w:lang w:val="es-ES_tradnl"/>
        </w:rPr>
        <w:t>e</w:t>
      </w:r>
      <w:r>
        <w:rPr>
          <w:lang w:val="es-ES_tradnl"/>
        </w:rPr>
        <w:t>din”, que vivía en la zona norte, le compraba o vendía c</w:t>
      </w:r>
      <w:r>
        <w:rPr>
          <w:lang w:val="es-ES_tradnl"/>
        </w:rPr>
        <w:t>o</w:t>
      </w:r>
      <w:r>
        <w:rPr>
          <w:lang w:val="es-ES_tradnl"/>
        </w:rPr>
        <w:t>ches.</w:t>
      </w:r>
    </w:p>
    <w:p w:rsidR="00224567" w:rsidRDefault="00224567">
      <w:pPr>
        <w:widowControl w:val="0"/>
        <w:ind w:firstLine="2835"/>
        <w:rPr>
          <w:lang w:val="es-ES_tradnl"/>
        </w:rPr>
      </w:pPr>
      <w:r>
        <w:rPr>
          <w:lang w:val="es-ES_tradnl"/>
        </w:rPr>
        <w:t>Dijo que no le dio importancia a lo dicho por Ambrosi porque en la provincia no era muy v</w:t>
      </w:r>
      <w:r>
        <w:rPr>
          <w:lang w:val="es-ES_tradnl"/>
        </w:rPr>
        <w:t>á</w:t>
      </w:r>
      <w:r>
        <w:rPr>
          <w:lang w:val="es-ES_tradnl"/>
        </w:rPr>
        <w:t>lida la declaración espontánea, sumado a que lo que él invest</w:t>
      </w:r>
      <w:r>
        <w:rPr>
          <w:lang w:val="es-ES_tradnl"/>
        </w:rPr>
        <w:t>i</w:t>
      </w:r>
      <w:r>
        <w:rPr>
          <w:lang w:val="es-ES_tradnl"/>
        </w:rPr>
        <w:t>gaba era el robo y la muerte del policía y no la bú</w:t>
      </w:r>
      <w:r>
        <w:rPr>
          <w:lang w:val="es-ES_tradnl"/>
        </w:rPr>
        <w:t>s</w:t>
      </w:r>
      <w:r>
        <w:rPr>
          <w:lang w:val="es-ES_tradnl"/>
        </w:rPr>
        <w:t>queda del automóvil.</w:t>
      </w:r>
    </w:p>
    <w:p w:rsidR="00224567" w:rsidRDefault="00224567">
      <w:pPr>
        <w:widowControl w:val="0"/>
        <w:ind w:firstLine="2835"/>
        <w:rPr>
          <w:lang w:val="es-ES_tradnl"/>
        </w:rPr>
      </w:pPr>
      <w:r>
        <w:rPr>
          <w:lang w:val="es-ES_tradnl"/>
        </w:rPr>
        <w:t xml:space="preserve">Señaló el dicente que esos datos los volcó en su declaración prestada en </w:t>
      </w:r>
      <w:smartTag w:uri="urn:schemas-microsoft-com:office:smarttags" w:element="PersonName">
        <w:smartTagPr>
          <w:attr w:name="ProductID" w:val="la Brigada"/>
        </w:smartTagPr>
        <w:r>
          <w:rPr>
            <w:lang w:val="es-ES_tradnl"/>
          </w:rPr>
          <w:t>la Brigada</w:t>
        </w:r>
      </w:smartTag>
      <w:r>
        <w:rPr>
          <w:lang w:val="es-ES_tradnl"/>
        </w:rPr>
        <w:t xml:space="preserve"> de Lanús. Como consecuencia de esto, se destinó al subcomisario Ib</w:t>
      </w:r>
      <w:r>
        <w:rPr>
          <w:lang w:val="es-ES_tradnl"/>
        </w:rPr>
        <w:t>a</w:t>
      </w:r>
      <w:r>
        <w:rPr>
          <w:lang w:val="es-ES_tradnl"/>
        </w:rPr>
        <w:t>rra para que investigara a la persona mencionada por A</w:t>
      </w:r>
      <w:r>
        <w:rPr>
          <w:lang w:val="es-ES_tradnl"/>
        </w:rPr>
        <w:t>m</w:t>
      </w:r>
      <w:r>
        <w:rPr>
          <w:lang w:val="es-ES_tradnl"/>
        </w:rPr>
        <w:t>brosi.</w:t>
      </w:r>
    </w:p>
    <w:p w:rsidR="00224567" w:rsidRDefault="00224567">
      <w:pPr>
        <w:widowControl w:val="0"/>
        <w:ind w:firstLine="2835"/>
        <w:rPr>
          <w:lang w:val="es-ES_tradnl"/>
        </w:rPr>
      </w:pPr>
      <w:r>
        <w:rPr>
          <w:lang w:val="es-ES_tradnl"/>
        </w:rPr>
        <w:t>Supuso que el segundo jefe Bu</w:t>
      </w:r>
      <w:r>
        <w:rPr>
          <w:lang w:val="es-ES_tradnl"/>
        </w:rPr>
        <w:t>r</w:t>
      </w:r>
      <w:r>
        <w:rPr>
          <w:lang w:val="es-ES_tradnl"/>
        </w:rPr>
        <w:t>guete o el jefe de operaciones Juan José Ribelli fueron quienes destinaron a Ib</w:t>
      </w:r>
      <w:r>
        <w:rPr>
          <w:lang w:val="es-ES_tradnl"/>
        </w:rPr>
        <w:t>a</w:t>
      </w:r>
      <w:r>
        <w:rPr>
          <w:lang w:val="es-ES_tradnl"/>
        </w:rPr>
        <w:t>rra a esa tarea.</w:t>
      </w:r>
    </w:p>
    <w:p w:rsidR="00224567" w:rsidRDefault="00224567">
      <w:pPr>
        <w:widowControl w:val="0"/>
        <w:ind w:firstLine="2835"/>
        <w:rPr>
          <w:lang w:val="es-ES_tradnl"/>
        </w:rPr>
      </w:pPr>
      <w:r>
        <w:rPr>
          <w:lang w:val="es-ES_tradnl"/>
        </w:rPr>
        <w:t>Precisó que fue normal que se comisi</w:t>
      </w:r>
      <w:r>
        <w:rPr>
          <w:lang w:val="es-ES_tradnl"/>
        </w:rPr>
        <w:t>o</w:t>
      </w:r>
      <w:r>
        <w:rPr>
          <w:lang w:val="es-ES_tradnl"/>
        </w:rPr>
        <w:t>nara a otro funcionario policial para que investigara la cuestión del rodado, en vez de continuarla él; pero que, de todas formas, le dio bronca que lo sacaran del caso.</w:t>
      </w:r>
    </w:p>
    <w:p w:rsidR="00224567" w:rsidRDefault="00224567">
      <w:pPr>
        <w:widowControl w:val="0"/>
        <w:ind w:firstLine="2835"/>
        <w:rPr>
          <w:lang w:val="es-ES_tradnl"/>
        </w:rPr>
      </w:pPr>
      <w:r>
        <w:rPr>
          <w:lang w:val="es-ES_tradnl"/>
        </w:rPr>
        <w:t>Agregó que desconocía los motivos por los que se comisionó a Ibarra para continuar la investig</w:t>
      </w:r>
      <w:r>
        <w:rPr>
          <w:lang w:val="es-ES_tradnl"/>
        </w:rPr>
        <w:t>a</w:t>
      </w:r>
      <w:r>
        <w:rPr>
          <w:lang w:val="es-ES_tradnl"/>
        </w:rPr>
        <w:t>ción, pero que eso lo resolvía la superi</w:t>
      </w:r>
      <w:r>
        <w:rPr>
          <w:lang w:val="es-ES_tradnl"/>
        </w:rPr>
        <w:t>o</w:t>
      </w:r>
      <w:r>
        <w:rPr>
          <w:lang w:val="es-ES_tradnl"/>
        </w:rPr>
        <w:t>ridad.</w:t>
      </w:r>
    </w:p>
    <w:p w:rsidR="00224567" w:rsidRDefault="00224567">
      <w:pPr>
        <w:widowControl w:val="0"/>
        <w:ind w:firstLine="2835"/>
        <w:rPr>
          <w:lang w:val="es-ES_tradnl"/>
        </w:rPr>
      </w:pPr>
      <w:r>
        <w:rPr>
          <w:lang w:val="es-ES_tradnl"/>
        </w:rPr>
        <w:t xml:space="preserve">Aclaró que, en virtud del cargo que ocupaba dentro de </w:t>
      </w:r>
      <w:smartTag w:uri="urn:schemas-microsoft-com:office:smarttags" w:element="PersonName">
        <w:smartTagPr>
          <w:attr w:name="ProductID" w:val="la Brigada"/>
        </w:smartTagPr>
        <w:r>
          <w:rPr>
            <w:lang w:val="es-ES_tradnl"/>
          </w:rPr>
          <w:t>la Brigada</w:t>
        </w:r>
      </w:smartTag>
      <w:r>
        <w:rPr>
          <w:lang w:val="es-ES_tradnl"/>
        </w:rPr>
        <w:t xml:space="preserve"> de Lanús, no podía saber el manejo interno de ésta.</w:t>
      </w:r>
    </w:p>
    <w:p w:rsidR="00224567" w:rsidRDefault="00224567">
      <w:pPr>
        <w:widowControl w:val="0"/>
        <w:ind w:firstLine="2835"/>
        <w:rPr>
          <w:lang w:val="es-ES_tradnl"/>
        </w:rPr>
      </w:pPr>
      <w:r>
        <w:rPr>
          <w:lang w:val="es-ES_tradnl"/>
        </w:rPr>
        <w:t>Preguntado para que diga qué m</w:t>
      </w:r>
      <w:r>
        <w:rPr>
          <w:lang w:val="es-ES_tradnl"/>
        </w:rPr>
        <w:t>o</w:t>
      </w:r>
      <w:r>
        <w:rPr>
          <w:lang w:val="es-ES_tradnl"/>
        </w:rPr>
        <w:t>tivo lo llevó a volcar en un expediente labrado por un homicidio el tema mencionado por Ambrosi, respondió que siempre p</w:t>
      </w:r>
      <w:r>
        <w:rPr>
          <w:lang w:val="es-ES_tradnl"/>
        </w:rPr>
        <w:t>o</w:t>
      </w:r>
      <w:r>
        <w:rPr>
          <w:lang w:val="es-ES_tradnl"/>
        </w:rPr>
        <w:t>nía lo que le decía un acusado.</w:t>
      </w:r>
    </w:p>
    <w:p w:rsidR="00224567" w:rsidRDefault="00224567">
      <w:pPr>
        <w:widowControl w:val="0"/>
        <w:ind w:firstLine="2835"/>
        <w:rPr>
          <w:lang w:val="es-ES_tradnl"/>
        </w:rPr>
      </w:pPr>
      <w:r>
        <w:rPr>
          <w:lang w:val="es-ES_tradnl"/>
        </w:rPr>
        <w:t>Explicó que era común que realizara procedimientos fuera de su jurisdicción; por ejemplo, en robos de banco, tuvo que cumplir funciones en otras loc</w:t>
      </w:r>
      <w:r>
        <w:rPr>
          <w:lang w:val="es-ES_tradnl"/>
        </w:rPr>
        <w:t>a</w:t>
      </w:r>
      <w:r>
        <w:rPr>
          <w:lang w:val="es-ES_tradnl"/>
        </w:rPr>
        <w:t>lidades para descubrir el caso.</w:t>
      </w:r>
    </w:p>
    <w:p w:rsidR="00224567" w:rsidRDefault="00224567">
      <w:pPr>
        <w:widowControl w:val="0"/>
        <w:ind w:firstLine="2835"/>
        <w:rPr>
          <w:lang w:val="es-ES_tradnl"/>
        </w:rPr>
      </w:pPr>
      <w:r>
        <w:rPr>
          <w:lang w:val="es-ES_tradnl"/>
        </w:rPr>
        <w:t>Añadió que estaba contento ya que h</w:t>
      </w:r>
      <w:r>
        <w:rPr>
          <w:lang w:val="es-ES_tradnl"/>
        </w:rPr>
        <w:t>a</w:t>
      </w:r>
      <w:r>
        <w:rPr>
          <w:lang w:val="es-ES_tradnl"/>
        </w:rPr>
        <w:t>bía descubierto al autor del homicidio, no interesándole el a</w:t>
      </w:r>
      <w:r>
        <w:rPr>
          <w:lang w:val="es-ES_tradnl"/>
        </w:rPr>
        <w:t>u</w:t>
      </w:r>
      <w:r>
        <w:rPr>
          <w:lang w:val="es-ES_tradnl"/>
        </w:rPr>
        <w:t>tomotor.</w:t>
      </w:r>
    </w:p>
    <w:p w:rsidR="00224567" w:rsidRDefault="00224567">
      <w:pPr>
        <w:widowControl w:val="0"/>
        <w:ind w:firstLine="2835"/>
        <w:rPr>
          <w:lang w:val="es-ES_tradnl"/>
        </w:rPr>
      </w:pPr>
      <w:r>
        <w:rPr>
          <w:lang w:val="es-ES_tradnl"/>
        </w:rPr>
        <w:t xml:space="preserve">Interrogado acerca de si le resultó sugestivo el hecho de haber recibido en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nús, el 16 de marzo de 1994, un llamado anónimo en el cual se mencionaba el número de celular del “Enano”, re</w:t>
      </w:r>
      <w:r>
        <w:rPr>
          <w:lang w:val="es-ES_tradnl"/>
        </w:rPr>
        <w:t>s</w:t>
      </w:r>
      <w:r>
        <w:rPr>
          <w:lang w:val="es-ES_tradnl"/>
        </w:rPr>
        <w:t>pondió que recién durante la declaración se enteró de ello. Agr</w:t>
      </w:r>
      <w:r>
        <w:rPr>
          <w:lang w:val="es-ES_tradnl"/>
        </w:rPr>
        <w:t>e</w:t>
      </w:r>
      <w:r>
        <w:rPr>
          <w:lang w:val="es-ES_tradnl"/>
        </w:rPr>
        <w:t>gó que era común que se recibieran anón</w:t>
      </w:r>
      <w:r>
        <w:rPr>
          <w:lang w:val="es-ES_tradnl"/>
        </w:rPr>
        <w:t>i</w:t>
      </w:r>
      <w:r>
        <w:rPr>
          <w:lang w:val="es-ES_tradnl"/>
        </w:rPr>
        <w:t>mos.</w:t>
      </w:r>
    </w:p>
    <w:p w:rsidR="00224567" w:rsidRDefault="00224567">
      <w:pPr>
        <w:widowControl w:val="0"/>
        <w:ind w:firstLine="2835"/>
        <w:rPr>
          <w:lang w:val="es-ES_tradnl"/>
        </w:rPr>
      </w:pPr>
      <w:r>
        <w:rPr>
          <w:lang w:val="es-ES_tradnl"/>
        </w:rPr>
        <w:t xml:space="preserve">Al serle exhibidas sus declaraciones obrantes a fs. 186 y 201 de la causa n° </w:t>
      </w:r>
      <w:r>
        <w:t>5681 del regi</w:t>
      </w:r>
      <w:r>
        <w:t>s</w:t>
      </w:r>
      <w:r>
        <w:t>tro del Juzgado en lo Criminal y Correccional n° 5 del Depa</w:t>
      </w:r>
      <w:r>
        <w:t>r</w:t>
      </w:r>
      <w:r>
        <w:t>tamento Judicial de Quilmes</w:t>
      </w:r>
      <w:r>
        <w:rPr>
          <w:lang w:val="es-ES_tradnl"/>
        </w:rPr>
        <w:t>, car</w:t>
      </w:r>
      <w:r>
        <w:rPr>
          <w:lang w:val="es-ES_tradnl"/>
        </w:rPr>
        <w:t>a</w:t>
      </w:r>
      <w:r>
        <w:rPr>
          <w:lang w:val="es-ES_tradnl"/>
        </w:rPr>
        <w:t>tulada “Ambrosi, Enrique Alejandro y otros s/ doble homicidio en ocasión de robo”, las ratificó y rec</w:t>
      </w:r>
      <w:r>
        <w:rPr>
          <w:lang w:val="es-ES_tradnl"/>
        </w:rPr>
        <w:t>o</w:t>
      </w:r>
      <w:r>
        <w:rPr>
          <w:lang w:val="es-ES_tradnl"/>
        </w:rPr>
        <w:t>noció sus firmas.</w:t>
      </w:r>
    </w:p>
    <w:p w:rsidR="00224567" w:rsidRDefault="00224567">
      <w:pPr>
        <w:widowControl w:val="0"/>
        <w:ind w:firstLine="2835"/>
        <w:rPr>
          <w:lang w:val="es-ES_tradnl"/>
        </w:rPr>
      </w:pPr>
      <w:r>
        <w:rPr>
          <w:lang w:val="es-ES_tradnl"/>
        </w:rPr>
        <w:t>Dijo que luego de prestar esos test</w:t>
      </w:r>
      <w:r>
        <w:rPr>
          <w:lang w:val="es-ES_tradnl"/>
        </w:rPr>
        <w:t>i</w:t>
      </w:r>
      <w:r>
        <w:rPr>
          <w:lang w:val="es-ES_tradnl"/>
        </w:rPr>
        <w:t>monios, se desvinculó del tema del automóvil y prosiguió con la investigación del homicidio hasta culmina</w:t>
      </w:r>
      <w:r>
        <w:rPr>
          <w:lang w:val="es-ES_tradnl"/>
        </w:rPr>
        <w:t>r</w:t>
      </w:r>
      <w:r>
        <w:rPr>
          <w:lang w:val="es-ES_tradnl"/>
        </w:rPr>
        <w:t>la.</w:t>
      </w:r>
    </w:p>
    <w:p w:rsidR="00224567" w:rsidRDefault="00224567">
      <w:pPr>
        <w:widowControl w:val="0"/>
        <w:ind w:firstLine="2835"/>
        <w:rPr>
          <w:lang w:val="es-ES_tradnl"/>
        </w:rPr>
      </w:pPr>
      <w:r>
        <w:rPr>
          <w:lang w:val="es-ES_tradnl"/>
        </w:rPr>
        <w:t>Afirmó que no tenía un horario fijo en la brigada, puesto que al trabajar en la calle era muy cambiante su pe</w:t>
      </w:r>
      <w:r>
        <w:rPr>
          <w:lang w:val="es-ES_tradnl"/>
        </w:rPr>
        <w:t>r</w:t>
      </w:r>
      <w:r>
        <w:rPr>
          <w:lang w:val="es-ES_tradnl"/>
        </w:rPr>
        <w:t>manencia en ella.</w:t>
      </w:r>
    </w:p>
    <w:p w:rsidR="00224567" w:rsidRDefault="00224567">
      <w:pPr>
        <w:widowControl w:val="0"/>
        <w:ind w:firstLine="2835"/>
        <w:rPr>
          <w:lang w:val="es-ES_tradnl"/>
        </w:rPr>
      </w:pPr>
      <w:r>
        <w:rPr>
          <w:lang w:val="es-ES_tradnl"/>
        </w:rPr>
        <w:t>Aclaró que asoció los nombres de  “Teccedin”,  Telle</w:t>
      </w:r>
      <w:r>
        <w:rPr>
          <w:lang w:val="es-ES_tradnl"/>
        </w:rPr>
        <w:t>l</w:t>
      </w:r>
      <w:r>
        <w:rPr>
          <w:lang w:val="es-ES_tradnl"/>
        </w:rPr>
        <w:t>dín  o  parecido,  en  virtud  de  que  -posteriormente a que fuera detenida esta persona y por comentarios en la brigada- tomó conocimiento de cuál era el apellido del “Enano”.</w:t>
      </w:r>
    </w:p>
    <w:p w:rsidR="00224567" w:rsidRDefault="00224567">
      <w:pPr>
        <w:widowControl w:val="0"/>
        <w:ind w:firstLine="2835"/>
        <w:rPr>
          <w:lang w:val="es-ES_tradnl"/>
        </w:rPr>
      </w:pPr>
      <w:r>
        <w:rPr>
          <w:lang w:val="es-ES_tradnl"/>
        </w:rPr>
        <w:t>Precisó que Ambrosi sólo le dio alg</w:t>
      </w:r>
      <w:r>
        <w:rPr>
          <w:lang w:val="es-ES_tradnl"/>
        </w:rPr>
        <w:t>u</w:t>
      </w:r>
      <w:r>
        <w:rPr>
          <w:lang w:val="es-ES_tradnl"/>
        </w:rPr>
        <w:t>nas supuestas direcciones, que se volcaron oportunamente en sus anteriores declaraciones, donde solía moverse o frecuentar “el Enano”.</w:t>
      </w:r>
    </w:p>
    <w:p w:rsidR="00224567" w:rsidRDefault="00224567">
      <w:pPr>
        <w:widowControl w:val="0"/>
        <w:ind w:firstLine="2835"/>
        <w:rPr>
          <w:lang w:val="es-ES_tradnl"/>
        </w:rPr>
      </w:pPr>
      <w:r>
        <w:t>En su declaración indagatoria prest</w:t>
      </w:r>
      <w:r>
        <w:t>a</w:t>
      </w:r>
      <w:r>
        <w:t>da el 14 de agosto de 1996 (fs. 40.543/40.555) dijo, con r</w:t>
      </w:r>
      <w:r>
        <w:t>e</w:t>
      </w:r>
      <w:r>
        <w:t>lación a la causa n° 5681, que ninguno de los d</w:t>
      </w:r>
      <w:r>
        <w:t>e</w:t>
      </w:r>
      <w:r>
        <w:t>tenidos en ese sumario realizó manifestaciones acerca de la existe</w:t>
      </w:r>
      <w:r>
        <w:t>n</w:t>
      </w:r>
      <w:r>
        <w:t>cia de una persona apodada “el Enano” que viviría en la zona de Vicente L</w:t>
      </w:r>
      <w:r>
        <w:t>ó</w:t>
      </w:r>
      <w:r>
        <w:t>pez.</w:t>
      </w:r>
    </w:p>
    <w:p w:rsidR="00224567" w:rsidRDefault="00224567">
      <w:pPr>
        <w:widowControl w:val="0"/>
        <w:ind w:firstLine="2835"/>
        <w:rPr>
          <w:lang w:val="es-ES_tradnl"/>
        </w:rPr>
      </w:pPr>
      <w:r>
        <w:rPr>
          <w:lang w:val="es-ES_tradnl"/>
        </w:rPr>
        <w:t>En ese sentido, indicó que en una oportunidad, a mediados de marzo de 1994, mientras se e</w:t>
      </w:r>
      <w:r>
        <w:rPr>
          <w:lang w:val="es-ES_tradnl"/>
        </w:rPr>
        <w:t>n</w:t>
      </w:r>
      <w:r>
        <w:rPr>
          <w:lang w:val="es-ES_tradnl"/>
        </w:rPr>
        <w:t>contraba trabajando en la inve</w:t>
      </w:r>
      <w:r>
        <w:rPr>
          <w:lang w:val="es-ES_tradnl"/>
        </w:rPr>
        <w:t>s</w:t>
      </w:r>
      <w:r>
        <w:rPr>
          <w:lang w:val="es-ES_tradnl"/>
        </w:rPr>
        <w:t>tigación de la causa antes citada, ya detenidos Ambrosi, Buján y una mujer –de la que no recordó el nombre-, el declarante fue con los integra</w:t>
      </w:r>
      <w:r>
        <w:rPr>
          <w:lang w:val="es-ES_tradnl"/>
        </w:rPr>
        <w:t>n</w:t>
      </w:r>
      <w:r>
        <w:rPr>
          <w:lang w:val="es-ES_tradnl"/>
        </w:rPr>
        <w:t xml:space="preserve">tes del grupo operativo dedicado a robos y hurtos de </w:t>
      </w:r>
      <w:smartTag w:uri="urn:schemas-microsoft-com:office:smarttags" w:element="PersonName">
        <w:smartTagPr>
          <w:attr w:name="ProductID" w:val="la Brigada"/>
        </w:smartTagPr>
        <w:r>
          <w:rPr>
            <w:lang w:val="es-ES_tradnl"/>
          </w:rPr>
          <w:t>la Brigada</w:t>
        </w:r>
      </w:smartTag>
      <w:r>
        <w:rPr>
          <w:lang w:val="es-ES_tradnl"/>
        </w:rPr>
        <w:t xml:space="preserve"> de Investigaciones de Lanús, a tomar un café al bar sito al lado de la dependencia.</w:t>
      </w:r>
    </w:p>
    <w:p w:rsidR="00224567" w:rsidRDefault="00224567">
      <w:pPr>
        <w:widowControl w:val="0"/>
        <w:ind w:firstLine="2835"/>
        <w:rPr>
          <w:lang w:val="es-ES_tradnl"/>
        </w:rPr>
      </w:pPr>
      <w:r>
        <w:rPr>
          <w:lang w:val="es-ES_tradnl"/>
        </w:rPr>
        <w:t>Antes de dirigirse cada uno a su dom</w:t>
      </w:r>
      <w:r>
        <w:rPr>
          <w:lang w:val="es-ES_tradnl"/>
        </w:rPr>
        <w:t>i</w:t>
      </w:r>
      <w:r>
        <w:rPr>
          <w:lang w:val="es-ES_tradnl"/>
        </w:rPr>
        <w:t>cilio, ya finalizado el trabajo del día, se dirigió a la brigada a fin de constatar si podían r</w:t>
      </w:r>
      <w:r>
        <w:rPr>
          <w:lang w:val="es-ES_tradnl"/>
        </w:rPr>
        <w:t>e</w:t>
      </w:r>
      <w:r>
        <w:rPr>
          <w:lang w:val="es-ES_tradnl"/>
        </w:rPr>
        <w:t>tirarse.</w:t>
      </w:r>
    </w:p>
    <w:p w:rsidR="00224567" w:rsidRDefault="00224567">
      <w:pPr>
        <w:pStyle w:val="Sangradetextonormal"/>
        <w:widowControl w:val="0"/>
        <w:ind w:firstLine="2835"/>
      </w:pPr>
      <w:r>
        <w:t>En esa ocasión, mientras los otros i</w:t>
      </w:r>
      <w:r>
        <w:t>n</w:t>
      </w:r>
      <w:r>
        <w:t>tegrantes del grupo –suboficiales Díaz y Smurro- aguard</w:t>
      </w:r>
      <w:r>
        <w:t>a</w:t>
      </w:r>
      <w:r>
        <w:t>ban en el bar, advirtió que Casas estaba con el brazo la</w:t>
      </w:r>
      <w:r>
        <w:t>s</w:t>
      </w:r>
      <w:r>
        <w:t>tim</w:t>
      </w:r>
      <w:r>
        <w:t>a</w:t>
      </w:r>
      <w:r>
        <w:t>do.</w:t>
      </w:r>
    </w:p>
    <w:p w:rsidR="00224567" w:rsidRDefault="00224567">
      <w:pPr>
        <w:widowControl w:val="0"/>
        <w:ind w:firstLine="2835"/>
        <w:rPr>
          <w:lang w:val="es-ES_tradnl"/>
        </w:rPr>
      </w:pPr>
      <w:r>
        <w:rPr>
          <w:lang w:val="es-ES_tradnl"/>
        </w:rPr>
        <w:t>Aclaró que éste cumplía funciones a</w:t>
      </w:r>
      <w:r>
        <w:rPr>
          <w:lang w:val="es-ES_tradnl"/>
        </w:rPr>
        <w:t>d</w:t>
      </w:r>
      <w:r>
        <w:rPr>
          <w:lang w:val="es-ES_tradnl"/>
        </w:rPr>
        <w:t>ministrativas en la dependencia, tales como fichar a los detenidos. El dicente le preguntó si se había p</w:t>
      </w:r>
      <w:r>
        <w:rPr>
          <w:lang w:val="es-ES_tradnl"/>
        </w:rPr>
        <w:t>e</w:t>
      </w:r>
      <w:r>
        <w:rPr>
          <w:lang w:val="es-ES_tradnl"/>
        </w:rPr>
        <w:t>leado con alguien y Casas le respondió que había ido con Ibarra a detener a un tipo en Vicente López y que casi los mata, que chocó un taxi y lo arra</w:t>
      </w:r>
      <w:r>
        <w:rPr>
          <w:lang w:val="es-ES_tradnl"/>
        </w:rPr>
        <w:t>s</w:t>
      </w:r>
      <w:r>
        <w:rPr>
          <w:lang w:val="es-ES_tradnl"/>
        </w:rPr>
        <w:t>tró.</w:t>
      </w:r>
    </w:p>
    <w:p w:rsidR="00224567" w:rsidRDefault="00224567">
      <w:pPr>
        <w:widowControl w:val="0"/>
        <w:ind w:firstLine="2835"/>
        <w:rPr>
          <w:lang w:val="es-ES_tradnl"/>
        </w:rPr>
      </w:pPr>
      <w:r>
        <w:rPr>
          <w:lang w:val="es-ES_tradnl"/>
        </w:rPr>
        <w:t>Narró que Casas ingresó a la brigada junto con Ibarra y que este último se dirigió direct</w:t>
      </w:r>
      <w:r>
        <w:rPr>
          <w:lang w:val="es-ES_tradnl"/>
        </w:rPr>
        <w:t>a</w:t>
      </w:r>
      <w:r>
        <w:rPr>
          <w:lang w:val="es-ES_tradnl"/>
        </w:rPr>
        <w:t>mente a entrevistarse con el jefe de oper</w:t>
      </w:r>
      <w:r>
        <w:rPr>
          <w:lang w:val="es-ES_tradnl"/>
        </w:rPr>
        <w:t>a</w:t>
      </w:r>
      <w:r>
        <w:rPr>
          <w:lang w:val="es-ES_tradnl"/>
        </w:rPr>
        <w:t>ciones –Ribelli- y le dio las novedades.</w:t>
      </w:r>
    </w:p>
    <w:p w:rsidR="00224567" w:rsidRDefault="00224567">
      <w:pPr>
        <w:widowControl w:val="0"/>
        <w:ind w:firstLine="2835"/>
        <w:rPr>
          <w:lang w:val="es-ES_tradnl"/>
        </w:rPr>
      </w:pPr>
      <w:r>
        <w:rPr>
          <w:lang w:val="es-ES_tradnl"/>
        </w:rPr>
        <w:t>Posteriormente, el dicente fue llam</w:t>
      </w:r>
      <w:r>
        <w:rPr>
          <w:lang w:val="es-ES_tradnl"/>
        </w:rPr>
        <w:t>a</w:t>
      </w:r>
      <w:r>
        <w:rPr>
          <w:lang w:val="es-ES_tradnl"/>
        </w:rPr>
        <w:t>do a la oficina de Ribelli y se cruzó con Ib</w:t>
      </w:r>
      <w:r>
        <w:rPr>
          <w:lang w:val="es-ES_tradnl"/>
        </w:rPr>
        <w:t>a</w:t>
      </w:r>
      <w:r>
        <w:rPr>
          <w:lang w:val="es-ES_tradnl"/>
        </w:rPr>
        <w:t>rra. El jefe de operaciones le preguntó si había e</w:t>
      </w:r>
      <w:r>
        <w:rPr>
          <w:lang w:val="es-ES_tradnl"/>
        </w:rPr>
        <w:t>n</w:t>
      </w:r>
      <w:r>
        <w:rPr>
          <w:lang w:val="es-ES_tradnl"/>
        </w:rPr>
        <w:t>contrado el Peugeot 505 color m</w:t>
      </w:r>
      <w:r>
        <w:rPr>
          <w:lang w:val="es-ES_tradnl"/>
        </w:rPr>
        <w:t>a</w:t>
      </w:r>
      <w:r>
        <w:rPr>
          <w:lang w:val="es-ES_tradnl"/>
        </w:rPr>
        <w:t>rrón, propiedad de Ambrosi, a lo que respondió en forma negativa pero afirmó que estaba por dirigirse a un tercer lugar, donde le habían referido que podría enco</w:t>
      </w:r>
      <w:r>
        <w:rPr>
          <w:lang w:val="es-ES_tradnl"/>
        </w:rPr>
        <w:t>n</w:t>
      </w:r>
      <w:r>
        <w:rPr>
          <w:lang w:val="es-ES_tradnl"/>
        </w:rPr>
        <w:t>trarlo. Aclaró que en realidad ello lo manifestó para p</w:t>
      </w:r>
      <w:r>
        <w:rPr>
          <w:lang w:val="es-ES_tradnl"/>
        </w:rPr>
        <w:t>o</w:t>
      </w:r>
      <w:r>
        <w:rPr>
          <w:lang w:val="es-ES_tradnl"/>
        </w:rPr>
        <w:t>der retirarse a su domic</w:t>
      </w:r>
      <w:r>
        <w:rPr>
          <w:lang w:val="es-ES_tradnl"/>
        </w:rPr>
        <w:t>i</w:t>
      </w:r>
      <w:r>
        <w:rPr>
          <w:lang w:val="es-ES_tradnl"/>
        </w:rPr>
        <w:t>lio.</w:t>
      </w:r>
    </w:p>
    <w:p w:rsidR="00224567" w:rsidRDefault="00224567">
      <w:pPr>
        <w:widowControl w:val="0"/>
        <w:ind w:firstLine="2835"/>
        <w:rPr>
          <w:lang w:val="es-ES_tradnl"/>
        </w:rPr>
      </w:pPr>
      <w:r>
        <w:rPr>
          <w:lang w:val="es-ES_tradnl"/>
        </w:rPr>
        <w:t>Destacó que Juan José Ribelli le c</w:t>
      </w:r>
      <w:r>
        <w:rPr>
          <w:lang w:val="es-ES_tradnl"/>
        </w:rPr>
        <w:t>o</w:t>
      </w:r>
      <w:r>
        <w:rPr>
          <w:lang w:val="es-ES_tradnl"/>
        </w:rPr>
        <w:t>mentó que había mandado a Ibarra a buscar a un “sucio” a Vicente López, que se le escapó, chocó un taxi y la</w:t>
      </w:r>
      <w:r>
        <w:rPr>
          <w:lang w:val="es-ES_tradnl"/>
        </w:rPr>
        <w:t>s</w:t>
      </w:r>
      <w:r>
        <w:rPr>
          <w:lang w:val="es-ES_tradnl"/>
        </w:rPr>
        <w:t>timó a Casas. También Ribelli le indicó que se olvidara del vehículo de Ambrosi y que iba a tener que agregar una d</w:t>
      </w:r>
      <w:r>
        <w:rPr>
          <w:lang w:val="es-ES_tradnl"/>
        </w:rPr>
        <w:t>e</w:t>
      </w:r>
      <w:r>
        <w:rPr>
          <w:lang w:val="es-ES_tradnl"/>
        </w:rPr>
        <w:t>clar</w:t>
      </w:r>
      <w:r>
        <w:rPr>
          <w:lang w:val="es-ES_tradnl"/>
        </w:rPr>
        <w:t>a</w:t>
      </w:r>
      <w:r>
        <w:rPr>
          <w:lang w:val="es-ES_tradnl"/>
        </w:rPr>
        <w:t>ción suya, en la que dijera que “el Enano” de la zona no</w:t>
      </w:r>
      <w:r>
        <w:rPr>
          <w:lang w:val="es-ES_tradnl"/>
        </w:rPr>
        <w:t>r</w:t>
      </w:r>
      <w:r>
        <w:rPr>
          <w:lang w:val="es-ES_tradnl"/>
        </w:rPr>
        <w:t>te se intercambiaba coches con alguno de los imputados. Precisó que no recordaba a cuál de los dos detenidos de la ca</w:t>
      </w:r>
      <w:r>
        <w:rPr>
          <w:lang w:val="es-ES_tradnl"/>
        </w:rPr>
        <w:t>u</w:t>
      </w:r>
      <w:r>
        <w:rPr>
          <w:lang w:val="es-ES_tradnl"/>
        </w:rPr>
        <w:t>sa n° 5681 se refería.</w:t>
      </w:r>
    </w:p>
    <w:p w:rsidR="00224567" w:rsidRDefault="00224567">
      <w:pPr>
        <w:widowControl w:val="0"/>
        <w:ind w:firstLine="2835"/>
        <w:rPr>
          <w:lang w:val="es-ES_tradnl"/>
        </w:rPr>
      </w:pPr>
      <w:r>
        <w:rPr>
          <w:lang w:val="es-ES_tradnl"/>
        </w:rPr>
        <w:t>Asimismo, manifestó que Ribelli dijo que le pasaría unos domicilios a la oficina de judici</w:t>
      </w:r>
      <w:r>
        <w:rPr>
          <w:lang w:val="es-ES_tradnl"/>
        </w:rPr>
        <w:t>a</w:t>
      </w:r>
      <w:r>
        <w:rPr>
          <w:lang w:val="es-ES_tradnl"/>
        </w:rPr>
        <w:t>les para que los agregara. El dicente preguntó si no iba a t</w:t>
      </w:r>
      <w:r>
        <w:rPr>
          <w:lang w:val="es-ES_tradnl"/>
        </w:rPr>
        <w:t>e</w:t>
      </w:r>
      <w:r>
        <w:rPr>
          <w:lang w:val="es-ES_tradnl"/>
        </w:rPr>
        <w:t>ner problemas con esto, a lo que Ribelli le replicó d</w:t>
      </w:r>
      <w:r>
        <w:rPr>
          <w:lang w:val="es-ES_tradnl"/>
        </w:rPr>
        <w:t>i</w:t>
      </w:r>
      <w:r>
        <w:rPr>
          <w:lang w:val="es-ES_tradnl"/>
        </w:rPr>
        <w:t>ciéndole “¿vos sos conchudo o traidor?”.</w:t>
      </w:r>
    </w:p>
    <w:p w:rsidR="00224567" w:rsidRDefault="00224567">
      <w:pPr>
        <w:widowControl w:val="0"/>
        <w:ind w:firstLine="2835"/>
        <w:rPr>
          <w:lang w:val="es-ES_tradnl"/>
        </w:rPr>
      </w:pPr>
      <w:r>
        <w:rPr>
          <w:lang w:val="es-ES_tradnl"/>
        </w:rPr>
        <w:t>Aclaró que “conchudo” significaba en la jerga policial que se trataba de una persona poco ho</w:t>
      </w:r>
      <w:r>
        <w:rPr>
          <w:lang w:val="es-ES_tradnl"/>
        </w:rPr>
        <w:t>m</w:t>
      </w:r>
      <w:r>
        <w:rPr>
          <w:lang w:val="es-ES_tradnl"/>
        </w:rPr>
        <w:t>bre, que no tenía testículos. Que traidor probablemente estaba referido a las lesiones que presentaba el subof</w:t>
      </w:r>
      <w:r>
        <w:rPr>
          <w:lang w:val="es-ES_tradnl"/>
        </w:rPr>
        <w:t>i</w:t>
      </w:r>
      <w:r>
        <w:rPr>
          <w:lang w:val="es-ES_tradnl"/>
        </w:rPr>
        <w:t>cial Casas, ya que el incidente que sucedió podría ac</w:t>
      </w:r>
      <w:r>
        <w:rPr>
          <w:lang w:val="es-ES_tradnl"/>
        </w:rPr>
        <w:t>a</w:t>
      </w:r>
      <w:r>
        <w:rPr>
          <w:lang w:val="es-ES_tradnl"/>
        </w:rPr>
        <w:t>rrearle algún tipo de problema administrativo dentro de la policía; ello, por cuanto hubo un choque a un taxi y se encontraba lastimado, además de tratarse de una persona que cumplía funciones no oper</w:t>
      </w:r>
      <w:r>
        <w:rPr>
          <w:lang w:val="es-ES_tradnl"/>
        </w:rPr>
        <w:t>a</w:t>
      </w:r>
      <w:r>
        <w:rPr>
          <w:lang w:val="es-ES_tradnl"/>
        </w:rPr>
        <w:t>tivas.</w:t>
      </w:r>
    </w:p>
    <w:p w:rsidR="00224567" w:rsidRDefault="00224567">
      <w:pPr>
        <w:widowControl w:val="0"/>
        <w:ind w:firstLine="2835"/>
        <w:rPr>
          <w:lang w:val="es-ES_tradnl"/>
        </w:rPr>
      </w:pPr>
      <w:r>
        <w:rPr>
          <w:lang w:val="es-ES_tradnl"/>
        </w:rPr>
        <w:t>Añadió que cuando se retiró de la of</w:t>
      </w:r>
      <w:r>
        <w:rPr>
          <w:lang w:val="es-ES_tradnl"/>
        </w:rPr>
        <w:t>i</w:t>
      </w:r>
      <w:r>
        <w:rPr>
          <w:lang w:val="es-ES_tradnl"/>
        </w:rPr>
        <w:t>cina de Ribelli, pensó que una declaración espontánea en la pr</w:t>
      </w:r>
      <w:r>
        <w:rPr>
          <w:lang w:val="es-ES_tradnl"/>
        </w:rPr>
        <w:t>o</w:t>
      </w:r>
      <w:r>
        <w:rPr>
          <w:lang w:val="es-ES_tradnl"/>
        </w:rPr>
        <w:t>vincia no incriminaba ni más ni menos al imputado y que, con el poder que aquél tenía dentro de la pol</w:t>
      </w:r>
      <w:r>
        <w:rPr>
          <w:lang w:val="es-ES_tradnl"/>
        </w:rPr>
        <w:t>i</w:t>
      </w:r>
      <w:r>
        <w:rPr>
          <w:lang w:val="es-ES_tradnl"/>
        </w:rPr>
        <w:t xml:space="preserve">cía, al ser amigo del director general, del jefe de policía, de gente de la línea política policial provincial y de toda la jefatura de </w:t>
      </w:r>
      <w:smartTag w:uri="urn:schemas-microsoft-com:office:smarttags" w:element="PersonName">
        <w:smartTagPr>
          <w:attr w:name="ProductID" w:val="la Polic￭a Bonaerense"/>
        </w:smartTagPr>
        <w:r>
          <w:rPr>
            <w:lang w:val="es-ES_tradnl"/>
          </w:rPr>
          <w:t>la Policía Bonaerense</w:t>
        </w:r>
      </w:smartTag>
      <w:r>
        <w:rPr>
          <w:lang w:val="es-ES_tradnl"/>
        </w:rPr>
        <w:t>, de no cumplir, sería perjudic</w:t>
      </w:r>
      <w:r>
        <w:rPr>
          <w:lang w:val="es-ES_tradnl"/>
        </w:rPr>
        <w:t>a</w:t>
      </w:r>
      <w:r>
        <w:rPr>
          <w:lang w:val="es-ES_tradnl"/>
        </w:rPr>
        <w:t>do.</w:t>
      </w:r>
    </w:p>
    <w:p w:rsidR="00224567" w:rsidRDefault="00224567">
      <w:pPr>
        <w:widowControl w:val="0"/>
        <w:ind w:firstLine="2835"/>
        <w:rPr>
          <w:lang w:val="es-ES_tradnl"/>
        </w:rPr>
      </w:pPr>
      <w:r>
        <w:rPr>
          <w:lang w:val="es-ES_tradnl"/>
        </w:rPr>
        <w:t>Dijo también que pensó que un eve</w:t>
      </w:r>
      <w:r>
        <w:rPr>
          <w:lang w:val="es-ES_tradnl"/>
        </w:rPr>
        <w:t>n</w:t>
      </w:r>
      <w:r>
        <w:rPr>
          <w:lang w:val="es-ES_tradnl"/>
        </w:rPr>
        <w:t>tual traslado lo perjudicaría en el ámbito familiar. A esa ép</w:t>
      </w:r>
      <w:r>
        <w:rPr>
          <w:lang w:val="es-ES_tradnl"/>
        </w:rPr>
        <w:t>o</w:t>
      </w:r>
      <w:r>
        <w:rPr>
          <w:lang w:val="es-ES_tradnl"/>
        </w:rPr>
        <w:t>ca, él tenía dos hijos menores y su esposa pad</w:t>
      </w:r>
      <w:r>
        <w:rPr>
          <w:lang w:val="es-ES_tradnl"/>
        </w:rPr>
        <w:t>e</w:t>
      </w:r>
      <w:r>
        <w:rPr>
          <w:lang w:val="es-ES_tradnl"/>
        </w:rPr>
        <w:t>cía serias secuelas de un derrame cerebral ocurrido el 27 de f</w:t>
      </w:r>
      <w:r>
        <w:rPr>
          <w:lang w:val="es-ES_tradnl"/>
        </w:rPr>
        <w:t>e</w:t>
      </w:r>
      <w:r>
        <w:rPr>
          <w:lang w:val="es-ES_tradnl"/>
        </w:rPr>
        <w:t>brero de 1988, por lo que su presencia en el hogar era impre</w:t>
      </w:r>
      <w:r>
        <w:rPr>
          <w:lang w:val="es-ES_tradnl"/>
        </w:rPr>
        <w:t>s</w:t>
      </w:r>
      <w:r>
        <w:rPr>
          <w:lang w:val="es-ES_tradnl"/>
        </w:rPr>
        <w:t>cind</w:t>
      </w:r>
      <w:r>
        <w:rPr>
          <w:lang w:val="es-ES_tradnl"/>
        </w:rPr>
        <w:t>i</w:t>
      </w:r>
      <w:r>
        <w:rPr>
          <w:lang w:val="es-ES_tradnl"/>
        </w:rPr>
        <w:t>ble.</w:t>
      </w:r>
    </w:p>
    <w:p w:rsidR="00224567" w:rsidRDefault="00224567">
      <w:pPr>
        <w:widowControl w:val="0"/>
        <w:ind w:firstLine="2835"/>
        <w:rPr>
          <w:lang w:val="es-ES_tradnl"/>
        </w:rPr>
      </w:pPr>
      <w:r>
        <w:rPr>
          <w:lang w:val="es-ES_tradnl"/>
        </w:rPr>
        <w:t>Indicó que su declaración la confe</w:t>
      </w:r>
      <w:r>
        <w:rPr>
          <w:lang w:val="es-ES_tradnl"/>
        </w:rPr>
        <w:t>c</w:t>
      </w:r>
      <w:r>
        <w:rPr>
          <w:lang w:val="es-ES_tradnl"/>
        </w:rPr>
        <w:t>cionó la oficina de judiciales, habida cuenta que los d</w:t>
      </w:r>
      <w:r>
        <w:rPr>
          <w:lang w:val="es-ES_tradnl"/>
        </w:rPr>
        <w:t>o</w:t>
      </w:r>
      <w:r>
        <w:rPr>
          <w:lang w:val="es-ES_tradnl"/>
        </w:rPr>
        <w:t>micilios habían sido pasados por el jefe de operaci</w:t>
      </w:r>
      <w:r>
        <w:rPr>
          <w:lang w:val="es-ES_tradnl"/>
        </w:rPr>
        <w:t>o</w:t>
      </w:r>
      <w:r>
        <w:rPr>
          <w:lang w:val="es-ES_tradnl"/>
        </w:rPr>
        <w:t>nes de la brigada a esa oficina, y él la firmó post</w:t>
      </w:r>
      <w:r>
        <w:rPr>
          <w:lang w:val="es-ES_tradnl"/>
        </w:rPr>
        <w:t>e</w:t>
      </w:r>
      <w:r>
        <w:rPr>
          <w:lang w:val="es-ES_tradnl"/>
        </w:rPr>
        <w:t>riormente.</w:t>
      </w:r>
    </w:p>
    <w:p w:rsidR="00224567" w:rsidRDefault="00224567">
      <w:pPr>
        <w:widowControl w:val="0"/>
        <w:ind w:firstLine="2835"/>
        <w:rPr>
          <w:lang w:val="es-ES_tradnl"/>
        </w:rPr>
      </w:pPr>
      <w:r>
        <w:rPr>
          <w:lang w:val="es-ES_tradnl"/>
        </w:rPr>
        <w:t>Sostuvo que en esa oficina trab</w:t>
      </w:r>
      <w:r>
        <w:rPr>
          <w:lang w:val="es-ES_tradnl"/>
        </w:rPr>
        <w:t>a</w:t>
      </w:r>
      <w:r>
        <w:rPr>
          <w:lang w:val="es-ES_tradnl"/>
        </w:rPr>
        <w:t>jaban Bacigalupo y Arancibia, mientras que el instructor era Burguete. Aclaró que este último estaba ajeno a todo lo que sucedía, ya que tan sólo firmaba lo que la oficina de judiciales le preparaba. Prec</w:t>
      </w:r>
      <w:r>
        <w:rPr>
          <w:lang w:val="es-ES_tradnl"/>
        </w:rPr>
        <w:t>i</w:t>
      </w:r>
      <w:r>
        <w:rPr>
          <w:lang w:val="es-ES_tradnl"/>
        </w:rPr>
        <w:t>só que fue alguno de los dos primeros mencionados quienes prepararon el testimonio. Aclaró que la preparación consistía en vinc</w:t>
      </w:r>
      <w:r>
        <w:rPr>
          <w:lang w:val="es-ES_tradnl"/>
        </w:rPr>
        <w:t>u</w:t>
      </w:r>
      <w:r>
        <w:rPr>
          <w:lang w:val="es-ES_tradnl"/>
        </w:rPr>
        <w:t>lar al “Enano” con la investigación del robo y homicidio en la sodería que llev</w:t>
      </w:r>
      <w:r>
        <w:rPr>
          <w:lang w:val="es-ES_tradnl"/>
        </w:rPr>
        <w:t>a</w:t>
      </w:r>
      <w:r>
        <w:rPr>
          <w:lang w:val="es-ES_tradnl"/>
        </w:rPr>
        <w:t>ba a cabo el declarante.</w:t>
      </w:r>
    </w:p>
    <w:p w:rsidR="00224567" w:rsidRDefault="00224567">
      <w:pPr>
        <w:widowControl w:val="0"/>
        <w:ind w:firstLine="2835"/>
        <w:rPr>
          <w:lang w:val="es-ES_tradnl"/>
        </w:rPr>
      </w:pPr>
      <w:r>
        <w:rPr>
          <w:lang w:val="es-ES_tradnl"/>
        </w:rPr>
        <w:t>Resaltó que el hermano de la concub</w:t>
      </w:r>
      <w:r>
        <w:rPr>
          <w:lang w:val="es-ES_tradnl"/>
        </w:rPr>
        <w:t>i</w:t>
      </w:r>
      <w:r>
        <w:rPr>
          <w:lang w:val="es-ES_tradnl"/>
        </w:rPr>
        <w:t>na de Ambrosi, fue quien le dio la información para vincular a éste con el homicidio investig</w:t>
      </w:r>
      <w:r>
        <w:rPr>
          <w:lang w:val="es-ES_tradnl"/>
        </w:rPr>
        <w:t>a</w:t>
      </w:r>
      <w:r>
        <w:rPr>
          <w:lang w:val="es-ES_tradnl"/>
        </w:rPr>
        <w:t>do. Dijo que ni el cuñado ni Ambrosi, en momento alguno, le dieron inform</w:t>
      </w:r>
      <w:r>
        <w:rPr>
          <w:lang w:val="es-ES_tradnl"/>
        </w:rPr>
        <w:t>a</w:t>
      </w:r>
      <w:r>
        <w:rPr>
          <w:lang w:val="es-ES_tradnl"/>
        </w:rPr>
        <w:t>ción sobre el “Enano” de Vicente López. Concretamente, nadie le i</w:t>
      </w:r>
      <w:r>
        <w:rPr>
          <w:lang w:val="es-ES_tradnl"/>
        </w:rPr>
        <w:t>n</w:t>
      </w:r>
      <w:r>
        <w:rPr>
          <w:lang w:val="es-ES_tradnl"/>
        </w:rPr>
        <w:t>formó al re</w:t>
      </w:r>
      <w:r>
        <w:rPr>
          <w:lang w:val="es-ES_tradnl"/>
        </w:rPr>
        <w:t>s</w:t>
      </w:r>
      <w:r>
        <w:rPr>
          <w:lang w:val="es-ES_tradnl"/>
        </w:rPr>
        <w:t>pecto, a excepción de Juan José Ribelli.</w:t>
      </w:r>
    </w:p>
    <w:p w:rsidR="00224567" w:rsidRDefault="00224567">
      <w:pPr>
        <w:widowControl w:val="0"/>
        <w:ind w:firstLine="2835"/>
        <w:rPr>
          <w:lang w:val="es-ES_tradnl"/>
        </w:rPr>
      </w:pPr>
      <w:r>
        <w:rPr>
          <w:lang w:val="es-ES_tradnl"/>
        </w:rPr>
        <w:t>Agregó que con la información que le brindó el cuñado de Ambrosi –de apellido Ferreyra- se pr</w:t>
      </w:r>
      <w:r>
        <w:rPr>
          <w:lang w:val="es-ES_tradnl"/>
        </w:rPr>
        <w:t>e</w:t>
      </w:r>
      <w:r>
        <w:rPr>
          <w:lang w:val="es-ES_tradnl"/>
        </w:rPr>
        <w:t>sentó en el juzgado de Quilmes para plantear el inconv</w:t>
      </w:r>
      <w:r>
        <w:rPr>
          <w:lang w:val="es-ES_tradnl"/>
        </w:rPr>
        <w:t>e</w:t>
      </w:r>
      <w:r>
        <w:rPr>
          <w:lang w:val="es-ES_tradnl"/>
        </w:rPr>
        <w:t>niente que tenía de resguardar al informante, siéndole o</w:t>
      </w:r>
      <w:r>
        <w:rPr>
          <w:lang w:val="es-ES_tradnl"/>
        </w:rPr>
        <w:t>r</w:t>
      </w:r>
      <w:r>
        <w:rPr>
          <w:lang w:val="es-ES_tradnl"/>
        </w:rPr>
        <w:t>denado por el tribunal que dicha información fuera asent</w:t>
      </w:r>
      <w:r>
        <w:rPr>
          <w:lang w:val="es-ES_tradnl"/>
        </w:rPr>
        <w:t>a</w:t>
      </w:r>
      <w:r>
        <w:rPr>
          <w:lang w:val="es-ES_tradnl"/>
        </w:rPr>
        <w:t>da como una tarea de i</w:t>
      </w:r>
      <w:r>
        <w:rPr>
          <w:lang w:val="es-ES_tradnl"/>
        </w:rPr>
        <w:t>n</w:t>
      </w:r>
      <w:r>
        <w:rPr>
          <w:lang w:val="es-ES_tradnl"/>
        </w:rPr>
        <w:t>teligencia.</w:t>
      </w:r>
    </w:p>
    <w:p w:rsidR="00224567" w:rsidRDefault="00224567">
      <w:pPr>
        <w:widowControl w:val="0"/>
        <w:ind w:firstLine="2835"/>
        <w:rPr>
          <w:lang w:val="es-ES_tradnl"/>
        </w:rPr>
      </w:pPr>
      <w:r>
        <w:rPr>
          <w:lang w:val="es-ES_tradnl"/>
        </w:rPr>
        <w:t>Con los datos aportados por F</w:t>
      </w:r>
      <w:r>
        <w:rPr>
          <w:lang w:val="es-ES_tradnl"/>
        </w:rPr>
        <w:t>e</w:t>
      </w:r>
      <w:r>
        <w:rPr>
          <w:lang w:val="es-ES_tradnl"/>
        </w:rPr>
        <w:t>rreyra, fue a Wilde a ver si vivía en la casa de la madre y vio la causa en el juzgado. No recordó qué otras tareas llevó a cabo.</w:t>
      </w:r>
    </w:p>
    <w:p w:rsidR="00224567" w:rsidRDefault="00224567">
      <w:pPr>
        <w:widowControl w:val="0"/>
        <w:ind w:firstLine="2835"/>
        <w:rPr>
          <w:lang w:val="es-ES_tradnl"/>
        </w:rPr>
      </w:pPr>
      <w:r>
        <w:rPr>
          <w:lang w:val="es-ES_tradnl"/>
        </w:rPr>
        <w:t>Dijo que finalmente detuvo a A</w:t>
      </w:r>
      <w:r>
        <w:rPr>
          <w:lang w:val="es-ES_tradnl"/>
        </w:rPr>
        <w:t>m</w:t>
      </w:r>
      <w:r>
        <w:rPr>
          <w:lang w:val="es-ES_tradnl"/>
        </w:rPr>
        <w:t>brosi, quien le confesó que en el hecho había estado acompañado por Buján y por ello efectuó la detención de éste en Fl</w:t>
      </w:r>
      <w:r>
        <w:rPr>
          <w:lang w:val="es-ES_tradnl"/>
        </w:rPr>
        <w:t>o</w:t>
      </w:r>
      <w:r>
        <w:rPr>
          <w:lang w:val="es-ES_tradnl"/>
        </w:rPr>
        <w:t>rencio Var</w:t>
      </w:r>
      <w:r>
        <w:rPr>
          <w:lang w:val="es-ES_tradnl"/>
        </w:rPr>
        <w:t>e</w:t>
      </w:r>
      <w:r>
        <w:rPr>
          <w:lang w:val="es-ES_tradnl"/>
        </w:rPr>
        <w:t>la.</w:t>
      </w:r>
    </w:p>
    <w:p w:rsidR="00224567" w:rsidRDefault="00224567">
      <w:pPr>
        <w:widowControl w:val="0"/>
        <w:ind w:firstLine="2835"/>
        <w:rPr>
          <w:lang w:val="es-ES_tradnl"/>
        </w:rPr>
      </w:pPr>
      <w:r>
        <w:rPr>
          <w:lang w:val="es-ES_tradnl"/>
        </w:rPr>
        <w:t>Afirmó que había estado con A</w:t>
      </w:r>
      <w:r>
        <w:rPr>
          <w:lang w:val="es-ES_tradnl"/>
        </w:rPr>
        <w:t>m</w:t>
      </w:r>
      <w:r>
        <w:rPr>
          <w:lang w:val="es-ES_tradnl"/>
        </w:rPr>
        <w:t>brosi en la misma dependencia, pero éste cumplía funciones en el servicio de calle. Como no dependía de él, prácticamente no habían tenido trato.</w:t>
      </w:r>
    </w:p>
    <w:p w:rsidR="00224567" w:rsidRDefault="00224567">
      <w:pPr>
        <w:widowControl w:val="0"/>
        <w:ind w:firstLine="2835"/>
        <w:rPr>
          <w:lang w:val="es-ES_tradnl"/>
        </w:rPr>
      </w:pPr>
      <w:r>
        <w:rPr>
          <w:lang w:val="es-ES_tradnl"/>
        </w:rPr>
        <w:t>Sostuvo que unos días antes había d</w:t>
      </w:r>
      <w:r>
        <w:rPr>
          <w:lang w:val="es-ES_tradnl"/>
        </w:rPr>
        <w:t>e</w:t>
      </w:r>
      <w:r>
        <w:rPr>
          <w:lang w:val="es-ES_tradnl"/>
        </w:rPr>
        <w:t>tenido a Ambrosi por averiguación de antecedentes. Ello ocurrió porque no tenía pruebas para d</w:t>
      </w:r>
      <w:r>
        <w:rPr>
          <w:lang w:val="es-ES_tradnl"/>
        </w:rPr>
        <w:t>e</w:t>
      </w:r>
      <w:r>
        <w:rPr>
          <w:lang w:val="es-ES_tradnl"/>
        </w:rPr>
        <w:t>jarlo detenido por el robo y homicidio. En esa oportunidad, únicamente le s</w:t>
      </w:r>
      <w:r>
        <w:rPr>
          <w:lang w:val="es-ES_tradnl"/>
        </w:rPr>
        <w:t>a</w:t>
      </w:r>
      <w:r>
        <w:rPr>
          <w:lang w:val="es-ES_tradnl"/>
        </w:rPr>
        <w:t>có fotos. Con éstas y otras extraídas del álbum de malv</w:t>
      </w:r>
      <w:r>
        <w:rPr>
          <w:lang w:val="es-ES_tradnl"/>
        </w:rPr>
        <w:t>i</w:t>
      </w:r>
      <w:r>
        <w:rPr>
          <w:lang w:val="es-ES_tradnl"/>
        </w:rPr>
        <w:t>vientes, se las exhibió a dos testigos. Así lo reconoci</w:t>
      </w:r>
      <w:r>
        <w:rPr>
          <w:lang w:val="es-ES_tradnl"/>
        </w:rPr>
        <w:t>e</w:t>
      </w:r>
      <w:r>
        <w:rPr>
          <w:lang w:val="es-ES_tradnl"/>
        </w:rPr>
        <w:t>ron como responsable del robo a la sodería y se lo d</w:t>
      </w:r>
      <w:r>
        <w:rPr>
          <w:lang w:val="es-ES_tradnl"/>
        </w:rPr>
        <w:t>e</w:t>
      </w:r>
      <w:r>
        <w:rPr>
          <w:lang w:val="es-ES_tradnl"/>
        </w:rPr>
        <w:t>tuvo.</w:t>
      </w:r>
    </w:p>
    <w:p w:rsidR="00224567" w:rsidRDefault="00224567">
      <w:pPr>
        <w:widowControl w:val="0"/>
        <w:ind w:firstLine="2835"/>
        <w:rPr>
          <w:lang w:val="es-ES_tradnl"/>
        </w:rPr>
      </w:pPr>
      <w:r>
        <w:rPr>
          <w:lang w:val="es-ES_tradnl"/>
        </w:rPr>
        <w:t>No recordó otros detalles de la ca</w:t>
      </w:r>
      <w:r>
        <w:rPr>
          <w:lang w:val="es-ES_tradnl"/>
        </w:rPr>
        <w:t>u</w:t>
      </w:r>
      <w:r>
        <w:rPr>
          <w:lang w:val="es-ES_tradnl"/>
        </w:rPr>
        <w:t>sa.</w:t>
      </w:r>
    </w:p>
    <w:p w:rsidR="00224567" w:rsidRDefault="00224567">
      <w:pPr>
        <w:widowControl w:val="0"/>
        <w:ind w:firstLine="2835"/>
        <w:rPr>
          <w:lang w:val="es-ES_tradnl"/>
        </w:rPr>
      </w:pPr>
      <w:r>
        <w:rPr>
          <w:lang w:val="es-ES_tradnl"/>
        </w:rPr>
        <w:t>Tiempo de</w:t>
      </w:r>
      <w:r>
        <w:rPr>
          <w:lang w:val="es-ES_tradnl"/>
        </w:rPr>
        <w:t>s</w:t>
      </w:r>
      <w:r>
        <w:rPr>
          <w:lang w:val="es-ES_tradnl"/>
        </w:rPr>
        <w:t>pués se enteró que los otros dos testigos –que tuvieron que hacer el reconocimiento personal-, no lo identificaron porque habían sido “apret</w:t>
      </w:r>
      <w:r>
        <w:rPr>
          <w:lang w:val="es-ES_tradnl"/>
        </w:rPr>
        <w:t>a</w:t>
      </w:r>
      <w:r>
        <w:rPr>
          <w:lang w:val="es-ES_tradnl"/>
        </w:rPr>
        <w:t>dos” por el abogado de Ambrosi y en definit</w:t>
      </w:r>
      <w:r>
        <w:rPr>
          <w:lang w:val="es-ES_tradnl"/>
        </w:rPr>
        <w:t>i</w:t>
      </w:r>
      <w:r>
        <w:rPr>
          <w:lang w:val="es-ES_tradnl"/>
        </w:rPr>
        <w:t>va el policía que repelió el asalto ya estaba muerto.</w:t>
      </w:r>
    </w:p>
    <w:p w:rsidR="00224567" w:rsidRDefault="00224567">
      <w:pPr>
        <w:widowControl w:val="0"/>
        <w:ind w:firstLine="2835"/>
        <w:rPr>
          <w:lang w:val="es-ES_tradnl"/>
        </w:rPr>
      </w:pPr>
      <w:r>
        <w:rPr>
          <w:lang w:val="es-ES_tradnl"/>
        </w:rPr>
        <w:t>Respecto al “Enano” vinculado con esa investigación, dijo desconocer cualquier circunstancia r</w:t>
      </w:r>
      <w:r>
        <w:rPr>
          <w:lang w:val="es-ES_tradnl"/>
        </w:rPr>
        <w:t>e</w:t>
      </w:r>
      <w:r>
        <w:rPr>
          <w:lang w:val="es-ES_tradnl"/>
        </w:rPr>
        <w:t>lativa al hecho que se investigaba ya que nunca se lo d</w:t>
      </w:r>
      <w:r>
        <w:rPr>
          <w:lang w:val="es-ES_tradnl"/>
        </w:rPr>
        <w:t>i</w:t>
      </w:r>
      <w:r>
        <w:rPr>
          <w:lang w:val="es-ES_tradnl"/>
        </w:rPr>
        <w:t>jeron.</w:t>
      </w:r>
    </w:p>
    <w:p w:rsidR="00224567" w:rsidRDefault="00224567">
      <w:pPr>
        <w:widowControl w:val="0"/>
        <w:ind w:firstLine="2835"/>
        <w:rPr>
          <w:lang w:val="es-ES_tradnl"/>
        </w:rPr>
      </w:pPr>
      <w:r>
        <w:rPr>
          <w:lang w:val="es-ES_tradnl"/>
        </w:rPr>
        <w:t>Aclaró que Arancibia y Bacigalupo eran personas que tenían una relación estrecha y de extrema confianza con Ribelli. Lo acompañaron en distintos dest</w:t>
      </w:r>
      <w:r>
        <w:rPr>
          <w:lang w:val="es-ES_tradnl"/>
        </w:rPr>
        <w:t>i</w:t>
      </w:r>
      <w:r>
        <w:rPr>
          <w:lang w:val="es-ES_tradnl"/>
        </w:rPr>
        <w:t>nos, tanto era así que al momento de la detención orden</w:t>
      </w:r>
      <w:r>
        <w:rPr>
          <w:lang w:val="es-ES_tradnl"/>
        </w:rPr>
        <w:t>a</w:t>
      </w:r>
      <w:r>
        <w:rPr>
          <w:lang w:val="es-ES_tradnl"/>
        </w:rPr>
        <w:t>da en esta causa, Bacigalupo, Ibarra, Ribelli, Nicolau y S</w:t>
      </w:r>
      <w:r>
        <w:rPr>
          <w:lang w:val="es-ES_tradnl"/>
        </w:rPr>
        <w:t>o</w:t>
      </w:r>
      <w:r>
        <w:rPr>
          <w:lang w:val="es-ES_tradnl"/>
        </w:rPr>
        <w:t xml:space="preserve">bico compartían destino en </w:t>
      </w:r>
      <w:smartTag w:uri="urn:schemas-microsoft-com:office:smarttags" w:element="PersonName">
        <w:smartTagPr>
          <w:attr w:name="ProductID" w:val="la Divisi￳n Sustracci￳n"/>
        </w:smartTagPr>
        <w:r>
          <w:rPr>
            <w:lang w:val="es-ES_tradnl"/>
          </w:rPr>
          <w:t>la División Sustracción</w:t>
        </w:r>
      </w:smartTag>
      <w:r>
        <w:rPr>
          <w:lang w:val="es-ES_tradnl"/>
        </w:rPr>
        <w:t xml:space="preserve"> de A</w:t>
      </w:r>
      <w:r>
        <w:rPr>
          <w:lang w:val="es-ES_tradnl"/>
        </w:rPr>
        <w:t>u</w:t>
      </w:r>
      <w:r>
        <w:rPr>
          <w:lang w:val="es-ES_tradnl"/>
        </w:rPr>
        <w:t>tomotores; no así Arancibia que en ese momento se enco</w:t>
      </w:r>
      <w:r>
        <w:rPr>
          <w:lang w:val="es-ES_tradnl"/>
        </w:rPr>
        <w:t>n</w:t>
      </w:r>
      <w:r>
        <w:rPr>
          <w:lang w:val="es-ES_tradnl"/>
        </w:rPr>
        <w:t>traba en disponibilidad preventiva, agregando que le h</w:t>
      </w:r>
      <w:r>
        <w:rPr>
          <w:lang w:val="es-ES_tradnl"/>
        </w:rPr>
        <w:t>a</w:t>
      </w:r>
      <w:r>
        <w:rPr>
          <w:lang w:val="es-ES_tradnl"/>
        </w:rPr>
        <w:t>bían llegado comentarios que éste se había robado pert</w:t>
      </w:r>
      <w:r>
        <w:rPr>
          <w:lang w:val="es-ES_tradnl"/>
        </w:rPr>
        <w:t>e</w:t>
      </w:r>
      <w:r>
        <w:rPr>
          <w:lang w:val="es-ES_tradnl"/>
        </w:rPr>
        <w:t>nencias de un deten</w:t>
      </w:r>
      <w:r>
        <w:rPr>
          <w:lang w:val="es-ES_tradnl"/>
        </w:rPr>
        <w:t>i</w:t>
      </w:r>
      <w:r>
        <w:rPr>
          <w:lang w:val="es-ES_tradnl"/>
        </w:rPr>
        <w:t>do.</w:t>
      </w:r>
    </w:p>
    <w:p w:rsidR="00224567" w:rsidRDefault="00224567">
      <w:pPr>
        <w:widowControl w:val="0"/>
        <w:ind w:firstLine="2835"/>
        <w:rPr>
          <w:lang w:val="es-ES_tradnl"/>
        </w:rPr>
      </w:pPr>
      <w:r>
        <w:rPr>
          <w:lang w:val="es-ES_tradnl"/>
        </w:rPr>
        <w:t>Agregó que Sustracción de Autom</w:t>
      </w:r>
      <w:r>
        <w:rPr>
          <w:lang w:val="es-ES_tradnl"/>
        </w:rPr>
        <w:t>o</w:t>
      </w:r>
      <w:r>
        <w:rPr>
          <w:lang w:val="es-ES_tradnl"/>
        </w:rPr>
        <w:t>tores era un destino importante, existiendo deleg</w:t>
      </w:r>
      <w:r>
        <w:rPr>
          <w:lang w:val="es-ES_tradnl"/>
        </w:rPr>
        <w:t>a</w:t>
      </w:r>
      <w:r>
        <w:rPr>
          <w:lang w:val="es-ES_tradnl"/>
        </w:rPr>
        <w:t>ciones en toda la provincia que dependían de la división con sede en V</w:t>
      </w:r>
      <w:r>
        <w:rPr>
          <w:lang w:val="es-ES_tradnl"/>
        </w:rPr>
        <w:t>i</w:t>
      </w:r>
      <w:r>
        <w:rPr>
          <w:lang w:val="es-ES_tradnl"/>
        </w:rPr>
        <w:t>cente López.</w:t>
      </w:r>
    </w:p>
    <w:p w:rsidR="00224567" w:rsidRDefault="00224567">
      <w:pPr>
        <w:widowControl w:val="0"/>
        <w:ind w:firstLine="2835"/>
        <w:rPr>
          <w:lang w:val="es-ES_tradnl"/>
        </w:rPr>
      </w:pPr>
      <w:r>
        <w:rPr>
          <w:lang w:val="es-ES_tradnl"/>
        </w:rPr>
        <w:t>Relató que luego de la declar</w:t>
      </w:r>
      <w:r>
        <w:rPr>
          <w:lang w:val="es-ES_tradnl"/>
        </w:rPr>
        <w:t>a</w:t>
      </w:r>
      <w:r>
        <w:rPr>
          <w:lang w:val="es-ES_tradnl"/>
        </w:rPr>
        <w:t>ción, se desligó por completo del asunto. Uno o dos días de</w:t>
      </w:r>
      <w:r>
        <w:rPr>
          <w:lang w:val="es-ES_tradnl"/>
        </w:rPr>
        <w:t>s</w:t>
      </w:r>
      <w:r>
        <w:rPr>
          <w:lang w:val="es-ES_tradnl"/>
        </w:rPr>
        <w:t>pués lo cruzó a Ribelli en el interior de la brigada, y lo inte-rrogó nuevamente acerca de si lo realizado le acarrearía consecuencias negativas, obteniendo la misma respuesta a</w:t>
      </w:r>
      <w:r>
        <w:rPr>
          <w:lang w:val="es-ES_tradnl"/>
        </w:rPr>
        <w:t>n</w:t>
      </w:r>
      <w:r>
        <w:rPr>
          <w:lang w:val="es-ES_tradnl"/>
        </w:rPr>
        <w:t>terior. Ante ello, resolvió no hablar más del t</w:t>
      </w:r>
      <w:r>
        <w:rPr>
          <w:lang w:val="es-ES_tradnl"/>
        </w:rPr>
        <w:t>e</w:t>
      </w:r>
      <w:r>
        <w:rPr>
          <w:lang w:val="es-ES_tradnl"/>
        </w:rPr>
        <w:t>ma.</w:t>
      </w:r>
    </w:p>
    <w:p w:rsidR="00224567" w:rsidRDefault="00224567">
      <w:pPr>
        <w:widowControl w:val="0"/>
        <w:ind w:firstLine="2835"/>
        <w:rPr>
          <w:lang w:val="es-ES_tradnl"/>
        </w:rPr>
      </w:pPr>
      <w:r>
        <w:rPr>
          <w:lang w:val="es-ES_tradnl"/>
        </w:rPr>
        <w:t>Pasado el tiempo, después del medi</w:t>
      </w:r>
      <w:r>
        <w:rPr>
          <w:lang w:val="es-ES_tradnl"/>
        </w:rPr>
        <w:t>o</w:t>
      </w:r>
      <w:r>
        <w:rPr>
          <w:lang w:val="es-ES_tradnl"/>
        </w:rPr>
        <w:t>día -dijo que recordaba el horario porque no había tr</w:t>
      </w:r>
      <w:r>
        <w:rPr>
          <w:lang w:val="es-ES_tradnl"/>
        </w:rPr>
        <w:t>a</w:t>
      </w:r>
      <w:r>
        <w:rPr>
          <w:lang w:val="es-ES_tradnl"/>
        </w:rPr>
        <w:t>bajo, la brigada estaba tranquila y casi vacía porque Ribelli y el resto de la brigada se habían ido a visitar a los deten</w:t>
      </w:r>
      <w:r>
        <w:rPr>
          <w:lang w:val="es-ES_tradnl"/>
        </w:rPr>
        <w:t>i</w:t>
      </w:r>
      <w:r>
        <w:rPr>
          <w:lang w:val="es-ES_tradnl"/>
        </w:rPr>
        <w:t>dos por la “masacre de Wilde”-, un hombre se presentó en la dependencia para entr</w:t>
      </w:r>
      <w:r>
        <w:rPr>
          <w:lang w:val="es-ES_tradnl"/>
        </w:rPr>
        <w:t>e</w:t>
      </w:r>
      <w:r>
        <w:rPr>
          <w:lang w:val="es-ES_tradnl"/>
        </w:rPr>
        <w:t>vistarse con él. A este individuo lo había detenido anteriormente, no obstante lo cual sie</w:t>
      </w:r>
      <w:r>
        <w:rPr>
          <w:lang w:val="es-ES_tradnl"/>
        </w:rPr>
        <w:t>m</w:t>
      </w:r>
      <w:r>
        <w:rPr>
          <w:lang w:val="es-ES_tradnl"/>
        </w:rPr>
        <w:t>pre mantuvo una muy buena relación.</w:t>
      </w:r>
    </w:p>
    <w:p w:rsidR="00224567" w:rsidRDefault="00224567">
      <w:pPr>
        <w:widowControl w:val="0"/>
        <w:ind w:firstLine="2835"/>
        <w:rPr>
          <w:lang w:val="es-ES_tradnl"/>
        </w:rPr>
      </w:pPr>
      <w:r>
        <w:rPr>
          <w:lang w:val="es-ES_tradnl"/>
        </w:rPr>
        <w:t>Recordó que esta persona le comentó que Arancibia le estaba pidiendo dinero, habiéndose pr</w:t>
      </w:r>
      <w:r>
        <w:rPr>
          <w:lang w:val="es-ES_tradnl"/>
        </w:rPr>
        <w:t>e</w:t>
      </w:r>
      <w:r>
        <w:rPr>
          <w:lang w:val="es-ES_tradnl"/>
        </w:rPr>
        <w:t>sentado en su trabajo y en su domicilio con tal fin. Acl</w:t>
      </w:r>
      <w:r>
        <w:rPr>
          <w:lang w:val="es-ES_tradnl"/>
        </w:rPr>
        <w:t>a</w:t>
      </w:r>
      <w:r>
        <w:rPr>
          <w:lang w:val="es-ES_tradnl"/>
        </w:rPr>
        <w:t>ró este sujeto que no quería hacer la denuncia sino sólo contárselo por el buen trato que en su momento le había dado.</w:t>
      </w:r>
    </w:p>
    <w:p w:rsidR="00224567" w:rsidRDefault="00224567">
      <w:pPr>
        <w:widowControl w:val="0"/>
        <w:ind w:firstLine="2835"/>
        <w:rPr>
          <w:lang w:val="es-ES_tradnl"/>
        </w:rPr>
      </w:pPr>
      <w:r>
        <w:rPr>
          <w:lang w:val="es-ES_tradnl"/>
        </w:rPr>
        <w:t>El dicente llamó entonces a Ara</w:t>
      </w:r>
      <w:r>
        <w:rPr>
          <w:lang w:val="es-ES_tradnl"/>
        </w:rPr>
        <w:t>n</w:t>
      </w:r>
      <w:r>
        <w:rPr>
          <w:lang w:val="es-ES_tradnl"/>
        </w:rPr>
        <w:t>cibia para que esta persona repitiera en su presencia la acus</w:t>
      </w:r>
      <w:r>
        <w:rPr>
          <w:lang w:val="es-ES_tradnl"/>
        </w:rPr>
        <w:t>a</w:t>
      </w:r>
      <w:r>
        <w:rPr>
          <w:lang w:val="es-ES_tradnl"/>
        </w:rPr>
        <w:t>ción. Arancibia no pronunció palabra, y el declarante le dijo “mandate a mudar antes de que te cague a tro</w:t>
      </w:r>
      <w:r>
        <w:rPr>
          <w:lang w:val="es-ES_tradnl"/>
        </w:rPr>
        <w:t>m</w:t>
      </w:r>
      <w:r>
        <w:rPr>
          <w:lang w:val="es-ES_tradnl"/>
        </w:rPr>
        <w:t>padas”.</w:t>
      </w:r>
    </w:p>
    <w:p w:rsidR="00224567" w:rsidRDefault="00224567">
      <w:pPr>
        <w:widowControl w:val="0"/>
        <w:ind w:firstLine="2835"/>
        <w:rPr>
          <w:lang w:val="es-ES_tradnl"/>
        </w:rPr>
      </w:pPr>
      <w:r>
        <w:rPr>
          <w:lang w:val="es-ES_tradnl"/>
        </w:rPr>
        <w:t>Por lo relatado, le indicó al visita</w:t>
      </w:r>
      <w:r>
        <w:rPr>
          <w:lang w:val="es-ES_tradnl"/>
        </w:rPr>
        <w:t>n</w:t>
      </w:r>
      <w:r>
        <w:rPr>
          <w:lang w:val="es-ES_tradnl"/>
        </w:rPr>
        <w:t>te que frente a cualquier problema de esta natural</w:t>
      </w:r>
      <w:r>
        <w:rPr>
          <w:lang w:val="es-ES_tradnl"/>
        </w:rPr>
        <w:t>e</w:t>
      </w:r>
      <w:r>
        <w:rPr>
          <w:lang w:val="es-ES_tradnl"/>
        </w:rPr>
        <w:t>za que en lo sucesivo tuviera con personal de la brigada se pr</w:t>
      </w:r>
      <w:r>
        <w:rPr>
          <w:lang w:val="es-ES_tradnl"/>
        </w:rPr>
        <w:t>e</w:t>
      </w:r>
      <w:r>
        <w:rPr>
          <w:lang w:val="es-ES_tradnl"/>
        </w:rPr>
        <w:t>sentara inmediatamente en la misma, que él lo solucion</w:t>
      </w:r>
      <w:r>
        <w:rPr>
          <w:lang w:val="es-ES_tradnl"/>
        </w:rPr>
        <w:t>a</w:t>
      </w:r>
      <w:r>
        <w:rPr>
          <w:lang w:val="es-ES_tradnl"/>
        </w:rPr>
        <w:t>ría.</w:t>
      </w:r>
    </w:p>
    <w:p w:rsidR="00224567" w:rsidRDefault="00224567">
      <w:pPr>
        <w:widowControl w:val="0"/>
        <w:ind w:firstLine="2835"/>
        <w:rPr>
          <w:lang w:val="es-ES_tradnl"/>
        </w:rPr>
      </w:pPr>
      <w:r>
        <w:rPr>
          <w:lang w:val="es-ES_tradnl"/>
        </w:rPr>
        <w:t>A la tarde de ese día, mientras Rib</w:t>
      </w:r>
      <w:r>
        <w:rPr>
          <w:lang w:val="es-ES_tradnl"/>
        </w:rPr>
        <w:t>e</w:t>
      </w:r>
      <w:r>
        <w:rPr>
          <w:lang w:val="es-ES_tradnl"/>
        </w:rPr>
        <w:t>lli se encontraba junto a Burguete, le comentó lo suc</w:t>
      </w:r>
      <w:r>
        <w:rPr>
          <w:lang w:val="es-ES_tradnl"/>
        </w:rPr>
        <w:t>e</w:t>
      </w:r>
      <w:r>
        <w:rPr>
          <w:lang w:val="es-ES_tradnl"/>
        </w:rPr>
        <w:t>dido con relación a Arancibia. Concretamente, le dijo a Ribelli “ahí tenés la gente tuya, el jefe de judici</w:t>
      </w:r>
      <w:r>
        <w:rPr>
          <w:lang w:val="es-ES_tradnl"/>
        </w:rPr>
        <w:t>a</w:t>
      </w:r>
      <w:r>
        <w:rPr>
          <w:lang w:val="es-ES_tradnl"/>
        </w:rPr>
        <w:t>les, que está apretando a la gente que se va en libertad de acá”, acl</w:t>
      </w:r>
      <w:r>
        <w:rPr>
          <w:lang w:val="es-ES_tradnl"/>
        </w:rPr>
        <w:t>a</w:t>
      </w:r>
      <w:r>
        <w:rPr>
          <w:lang w:val="es-ES_tradnl"/>
        </w:rPr>
        <w:t>rándole que el hombre no quería form</w:t>
      </w:r>
      <w:r>
        <w:rPr>
          <w:lang w:val="es-ES_tradnl"/>
        </w:rPr>
        <w:t>u</w:t>
      </w:r>
      <w:r>
        <w:rPr>
          <w:lang w:val="es-ES_tradnl"/>
        </w:rPr>
        <w:t xml:space="preserve">lar denuncia. </w:t>
      </w:r>
    </w:p>
    <w:p w:rsidR="00224567" w:rsidRDefault="00224567">
      <w:pPr>
        <w:widowControl w:val="0"/>
        <w:ind w:firstLine="2835"/>
        <w:rPr>
          <w:lang w:val="es-ES_tradnl"/>
        </w:rPr>
      </w:pPr>
      <w:r>
        <w:rPr>
          <w:lang w:val="es-ES_tradnl"/>
        </w:rPr>
        <w:t>También le solicitó a Ribelli que t</w:t>
      </w:r>
      <w:r>
        <w:rPr>
          <w:lang w:val="es-ES_tradnl"/>
        </w:rPr>
        <w:t>o</w:t>
      </w:r>
      <w:r>
        <w:rPr>
          <w:lang w:val="es-ES_tradnl"/>
        </w:rPr>
        <w:t>mara alguna m</w:t>
      </w:r>
      <w:r>
        <w:rPr>
          <w:lang w:val="es-ES_tradnl"/>
        </w:rPr>
        <w:t>e</w:t>
      </w:r>
      <w:r>
        <w:rPr>
          <w:lang w:val="es-ES_tradnl"/>
        </w:rPr>
        <w:t>dida respecto de Arancibia. A los pocos días le volvió a insistir a Ribelli preguntá</w:t>
      </w:r>
      <w:r>
        <w:rPr>
          <w:lang w:val="es-ES_tradnl"/>
        </w:rPr>
        <w:t>n</w:t>
      </w:r>
      <w:r>
        <w:rPr>
          <w:lang w:val="es-ES_tradnl"/>
        </w:rPr>
        <w:t>dole “qué pasa con tu jefe de judiciales”, respondiéndole “dejá de m</w:t>
      </w:r>
      <w:r>
        <w:rPr>
          <w:lang w:val="es-ES_tradnl"/>
        </w:rPr>
        <w:t>o</w:t>
      </w:r>
      <w:r>
        <w:rPr>
          <w:lang w:val="es-ES_tradnl"/>
        </w:rPr>
        <w:t>lestar”. El declarante, teniendo en cuenta el poder que tenía Rib</w:t>
      </w:r>
      <w:r>
        <w:rPr>
          <w:lang w:val="es-ES_tradnl"/>
        </w:rPr>
        <w:t>e</w:t>
      </w:r>
      <w:r>
        <w:rPr>
          <w:lang w:val="es-ES_tradnl"/>
        </w:rPr>
        <w:t>lli, cortó en ese momento la conve</w:t>
      </w:r>
      <w:r>
        <w:rPr>
          <w:lang w:val="es-ES_tradnl"/>
        </w:rPr>
        <w:t>r</w:t>
      </w:r>
      <w:r>
        <w:rPr>
          <w:lang w:val="es-ES_tradnl"/>
        </w:rPr>
        <w:t>sación.</w:t>
      </w:r>
    </w:p>
    <w:p w:rsidR="00224567" w:rsidRDefault="00224567">
      <w:pPr>
        <w:widowControl w:val="0"/>
        <w:ind w:firstLine="2835"/>
        <w:rPr>
          <w:lang w:val="es-ES_tradnl"/>
        </w:rPr>
      </w:pPr>
      <w:r>
        <w:rPr>
          <w:lang w:val="es-ES_tradnl"/>
        </w:rPr>
        <w:t>Le resultó llamativo que a fines de 1994 ascendió toda su promoción e inclusive int</w:t>
      </w:r>
      <w:r>
        <w:rPr>
          <w:lang w:val="es-ES_tradnl"/>
        </w:rPr>
        <w:t>e</w:t>
      </w:r>
      <w:r>
        <w:rPr>
          <w:lang w:val="es-ES_tradnl"/>
        </w:rPr>
        <w:t xml:space="preserve">grantes de promociones posteriores a la suya excepto él, que fue trasladado a </w:t>
      </w:r>
      <w:smartTag w:uri="urn:schemas-microsoft-com:office:smarttags" w:element="PersonName">
        <w:smartTagPr>
          <w:attr w:name="ProductID" w:val="la Unidad Regional"/>
        </w:smartTagPr>
        <w:r>
          <w:rPr>
            <w:lang w:val="es-ES_tradnl"/>
          </w:rPr>
          <w:t>la Unidad Regional</w:t>
        </w:r>
      </w:smartTag>
      <w:r>
        <w:rPr>
          <w:lang w:val="es-ES_tradnl"/>
        </w:rPr>
        <w:t xml:space="preserve"> de </w:t>
      </w:r>
      <w:smartTag w:uri="urn:schemas-microsoft-com:office:smarttags" w:element="PersonName">
        <w:smartTagPr>
          <w:attr w:name="ProductID" w:val="La Matanza. Tambi￩n"/>
        </w:smartTagPr>
        <w:r>
          <w:rPr>
            <w:lang w:val="es-ES_tradnl"/>
          </w:rPr>
          <w:t>La Matanza. Ta</w:t>
        </w:r>
        <w:r>
          <w:rPr>
            <w:lang w:val="es-ES_tradnl"/>
          </w:rPr>
          <w:t>m</w:t>
        </w:r>
        <w:r>
          <w:rPr>
            <w:lang w:val="es-ES_tradnl"/>
          </w:rPr>
          <w:t>bién</w:t>
        </w:r>
      </w:smartTag>
      <w:r>
        <w:rPr>
          <w:lang w:val="es-ES_tradnl"/>
        </w:rPr>
        <w:t xml:space="preserve"> le sorprendió cumplir sólo un servicio en ese destino para ser luego trasladado a la comisaría de Florencio Varela IV.</w:t>
      </w:r>
    </w:p>
    <w:p w:rsidR="00224567" w:rsidRDefault="00224567">
      <w:pPr>
        <w:widowControl w:val="0"/>
        <w:ind w:firstLine="2835"/>
        <w:rPr>
          <w:lang w:val="es-ES_tradnl"/>
        </w:rPr>
      </w:pPr>
      <w:r>
        <w:rPr>
          <w:lang w:val="es-ES_tradnl"/>
        </w:rPr>
        <w:t>Relacionó su inmediato cambio de de</w:t>
      </w:r>
      <w:r>
        <w:rPr>
          <w:lang w:val="es-ES_tradnl"/>
        </w:rPr>
        <w:t>s</w:t>
      </w:r>
      <w:r>
        <w:rPr>
          <w:lang w:val="es-ES_tradnl"/>
        </w:rPr>
        <w:t>tino a que el segundo jefe de la unidad regional era c</w:t>
      </w:r>
      <w:r>
        <w:rPr>
          <w:lang w:val="es-ES_tradnl"/>
        </w:rPr>
        <w:t>u</w:t>
      </w:r>
      <w:r>
        <w:rPr>
          <w:lang w:val="es-ES_tradnl"/>
        </w:rPr>
        <w:t>riosamente el comisario inspector Ojeda –cuñado de Rib</w:t>
      </w:r>
      <w:r>
        <w:rPr>
          <w:lang w:val="es-ES_tradnl"/>
        </w:rPr>
        <w:t>e</w:t>
      </w:r>
      <w:r>
        <w:rPr>
          <w:lang w:val="es-ES_tradnl"/>
        </w:rPr>
        <w:t xml:space="preserve">lli-. Luego de tres meses, fue trasladado a </w:t>
      </w:r>
      <w:smartTag w:uri="urn:schemas-microsoft-com:office:smarttags" w:element="PersonName">
        <w:smartTagPr>
          <w:attr w:name="ProductID" w:val="la Comisar￭a I"/>
        </w:smartTagPr>
        <w:r>
          <w:rPr>
            <w:lang w:val="es-ES_tradnl"/>
          </w:rPr>
          <w:t>la C</w:t>
        </w:r>
        <w:r>
          <w:rPr>
            <w:lang w:val="es-ES_tradnl"/>
          </w:rPr>
          <w:t>o</w:t>
        </w:r>
        <w:r>
          <w:rPr>
            <w:lang w:val="es-ES_tradnl"/>
          </w:rPr>
          <w:t>misaría I</w:t>
        </w:r>
      </w:smartTag>
      <w:r>
        <w:rPr>
          <w:lang w:val="es-ES_tradnl"/>
        </w:rPr>
        <w:t xml:space="preserve"> de Quilmes, donde permaneció hasta ser destinado en los últimos meses de </w:t>
      </w:r>
      <w:smartTag w:uri="urn:schemas-microsoft-com:office:smarttags" w:element="metricconverter">
        <w:smartTagPr>
          <w:attr w:name="ProductID" w:val="1995 a"/>
        </w:smartTagPr>
        <w:r>
          <w:rPr>
            <w:lang w:val="es-ES_tradnl"/>
          </w:rPr>
          <w:t>1995 a</w:t>
        </w:r>
      </w:smartTag>
      <w:r>
        <w:rPr>
          <w:lang w:val="es-ES_tradnl"/>
        </w:rPr>
        <w:t xml:space="preserve"> </w:t>
      </w:r>
      <w:smartTag w:uri="urn:schemas-microsoft-com:office:smarttags" w:element="PersonName">
        <w:smartTagPr>
          <w:attr w:name="ProductID" w:val="la Unidad Regional"/>
        </w:smartTagPr>
        <w:r>
          <w:rPr>
            <w:lang w:val="es-ES_tradnl"/>
          </w:rPr>
          <w:t>la Unidad Regional</w:t>
        </w:r>
      </w:smartTag>
      <w:r>
        <w:rPr>
          <w:lang w:val="es-ES_tradnl"/>
        </w:rPr>
        <w:t xml:space="preserve"> de San Martín, para –en el momento de su declaración- a</w:t>
      </w:r>
      <w:r>
        <w:rPr>
          <w:lang w:val="es-ES_tradnl"/>
        </w:rPr>
        <w:t>s</w:t>
      </w:r>
      <w:r>
        <w:rPr>
          <w:lang w:val="es-ES_tradnl"/>
        </w:rPr>
        <w:t xml:space="preserve">cender y estar al frente de </w:t>
      </w:r>
      <w:smartTag w:uri="urn:schemas-microsoft-com:office:smarttags" w:element="PersonName">
        <w:smartTagPr>
          <w:attr w:name="ProductID" w:val="la Comisar￭a"/>
        </w:smartTagPr>
        <w:r>
          <w:rPr>
            <w:lang w:val="es-ES_tradnl"/>
          </w:rPr>
          <w:t>la Comisaría</w:t>
        </w:r>
      </w:smartTag>
      <w:r>
        <w:rPr>
          <w:lang w:val="es-ES_tradnl"/>
        </w:rPr>
        <w:t xml:space="preserve"> de Villa Maipú. Aclaró que ésta t</w:t>
      </w:r>
      <w:r>
        <w:rPr>
          <w:lang w:val="es-ES_tradnl"/>
        </w:rPr>
        <w:t>e</w:t>
      </w:r>
      <w:r>
        <w:rPr>
          <w:lang w:val="es-ES_tradnl"/>
        </w:rPr>
        <w:t>nía jurisdicción en una zona plagada de v</w:t>
      </w:r>
      <w:r>
        <w:rPr>
          <w:lang w:val="es-ES_tradnl"/>
        </w:rPr>
        <w:t>i</w:t>
      </w:r>
      <w:r>
        <w:rPr>
          <w:lang w:val="es-ES_tradnl"/>
        </w:rPr>
        <w:t>llas miserias.</w:t>
      </w:r>
    </w:p>
    <w:p w:rsidR="00224567" w:rsidRDefault="00224567">
      <w:pPr>
        <w:widowControl w:val="0"/>
        <w:ind w:firstLine="2835"/>
        <w:rPr>
          <w:lang w:val="es-ES_tradnl"/>
        </w:rPr>
      </w:pPr>
      <w:r>
        <w:rPr>
          <w:lang w:val="es-ES_tradnl"/>
        </w:rPr>
        <w:t>Expresó que si bien los destinos me</w:t>
      </w:r>
      <w:r>
        <w:rPr>
          <w:lang w:val="es-ES_tradnl"/>
        </w:rPr>
        <w:t>n</w:t>
      </w:r>
      <w:r>
        <w:rPr>
          <w:lang w:val="es-ES_tradnl"/>
        </w:rPr>
        <w:t>cionados en último término no eran los más sol</w:t>
      </w:r>
      <w:r>
        <w:rPr>
          <w:lang w:val="es-ES_tradnl"/>
        </w:rPr>
        <w:t>i</w:t>
      </w:r>
      <w:r>
        <w:rPr>
          <w:lang w:val="es-ES_tradnl"/>
        </w:rPr>
        <w:t xml:space="preserve">citados, en </w:t>
      </w:r>
      <w:smartTag w:uri="urn:schemas-microsoft-com:office:smarttags" w:element="PersonName">
        <w:smartTagPr>
          <w:attr w:name="ProductID" w:val="la Comisar￭a"/>
        </w:smartTagPr>
        <w:r>
          <w:rPr>
            <w:lang w:val="es-ES_tradnl"/>
          </w:rPr>
          <w:t>la Comisaría</w:t>
        </w:r>
      </w:smartTag>
      <w:r>
        <w:rPr>
          <w:lang w:val="es-ES_tradnl"/>
        </w:rPr>
        <w:t xml:space="preserve"> de Villa Maipú estaba alejado de la influe</w:t>
      </w:r>
      <w:r>
        <w:rPr>
          <w:lang w:val="es-ES_tradnl"/>
        </w:rPr>
        <w:t>n</w:t>
      </w:r>
      <w:r>
        <w:rPr>
          <w:lang w:val="es-ES_tradnl"/>
        </w:rPr>
        <w:t>cia que tenía Ribelli.</w:t>
      </w:r>
    </w:p>
    <w:p w:rsidR="00224567" w:rsidRDefault="00224567">
      <w:pPr>
        <w:widowControl w:val="0"/>
        <w:ind w:firstLine="2835"/>
        <w:rPr>
          <w:lang w:val="es-ES_tradnl"/>
        </w:rPr>
      </w:pPr>
      <w:r>
        <w:rPr>
          <w:lang w:val="es-ES_tradnl"/>
        </w:rPr>
        <w:t xml:space="preserve">Asimismo, destacó que luego de los problemas que tuvo en </w:t>
      </w:r>
      <w:smartTag w:uri="urn:schemas-microsoft-com:office:smarttags" w:element="PersonName">
        <w:smartTagPr>
          <w:attr w:name="ProductID" w:val="la Brigada"/>
        </w:smartTagPr>
        <w:r>
          <w:rPr>
            <w:lang w:val="es-ES_tradnl"/>
          </w:rPr>
          <w:t>la Brigada</w:t>
        </w:r>
      </w:smartTag>
      <w:r>
        <w:rPr>
          <w:lang w:val="es-ES_tradnl"/>
        </w:rPr>
        <w:t xml:space="preserve"> de Lanús con Ribelli y Arancibia, al ser citado por un tribunal, tomó conocimie</w:t>
      </w:r>
      <w:r>
        <w:rPr>
          <w:lang w:val="es-ES_tradnl"/>
        </w:rPr>
        <w:t>n</w:t>
      </w:r>
      <w:r>
        <w:rPr>
          <w:lang w:val="es-ES_tradnl"/>
        </w:rPr>
        <w:t>to de la presentación de un anónimo en el que se hacía r</w:t>
      </w:r>
      <w:r>
        <w:rPr>
          <w:lang w:val="es-ES_tradnl"/>
        </w:rPr>
        <w:t>e</w:t>
      </w:r>
      <w:r>
        <w:rPr>
          <w:lang w:val="es-ES_tradnl"/>
        </w:rPr>
        <w:t>ferencia a que el dicente era el principal di</w:t>
      </w:r>
      <w:r>
        <w:rPr>
          <w:lang w:val="es-ES_tradnl"/>
        </w:rPr>
        <w:t>s</w:t>
      </w:r>
      <w:r>
        <w:rPr>
          <w:lang w:val="es-ES_tradnl"/>
        </w:rPr>
        <w:t>tribuidor de droga en la zona de Lanús y Lomas de Zam</w:t>
      </w:r>
      <w:r>
        <w:rPr>
          <w:lang w:val="es-ES_tradnl"/>
        </w:rPr>
        <w:t>o</w:t>
      </w:r>
      <w:r>
        <w:rPr>
          <w:lang w:val="es-ES_tradnl"/>
        </w:rPr>
        <w:t>ra.</w:t>
      </w:r>
    </w:p>
    <w:p w:rsidR="00224567" w:rsidRDefault="00224567">
      <w:pPr>
        <w:widowControl w:val="0"/>
        <w:ind w:firstLine="2835"/>
        <w:rPr>
          <w:lang w:val="es-ES_tradnl"/>
        </w:rPr>
      </w:pPr>
      <w:r>
        <w:rPr>
          <w:lang w:val="es-ES_tradnl"/>
        </w:rPr>
        <w:t>Agregó que, previo a ello, en una reunión en la que se encontraban presentes el comisario inspector Negrón, Ribelli y el subcomisario Paz –jefe o segundo jefe de Narcotráfico Sur-, se realizaron coment</w:t>
      </w:r>
      <w:r>
        <w:rPr>
          <w:lang w:val="es-ES_tradnl"/>
        </w:rPr>
        <w:t>a</w:t>
      </w:r>
      <w:r>
        <w:rPr>
          <w:lang w:val="es-ES_tradnl"/>
        </w:rPr>
        <w:t>rios acerca del tema de la droga, a lo que él refirió que había arrestado a policías “faloperos”, sin autoridad m</w:t>
      </w:r>
      <w:r>
        <w:rPr>
          <w:lang w:val="es-ES_tradnl"/>
        </w:rPr>
        <w:t>o</w:t>
      </w:r>
      <w:r>
        <w:rPr>
          <w:lang w:val="es-ES_tradnl"/>
        </w:rPr>
        <w:t>ral para detener luego a personas relacionadas con ese t</w:t>
      </w:r>
      <w:r>
        <w:rPr>
          <w:lang w:val="es-ES_tradnl"/>
        </w:rPr>
        <w:t>e</w:t>
      </w:r>
      <w:r>
        <w:rPr>
          <w:lang w:val="es-ES_tradnl"/>
        </w:rPr>
        <w:t>ma. Negrón le respondió que no era conveniente que real</w:t>
      </w:r>
      <w:r>
        <w:rPr>
          <w:lang w:val="es-ES_tradnl"/>
        </w:rPr>
        <w:t>i</w:t>
      </w:r>
      <w:r>
        <w:rPr>
          <w:lang w:val="es-ES_tradnl"/>
        </w:rPr>
        <w:t>zara comentarios de esa naturaleza frente a personas que no c</w:t>
      </w:r>
      <w:r>
        <w:rPr>
          <w:lang w:val="es-ES_tradnl"/>
        </w:rPr>
        <w:t>o</w:t>
      </w:r>
      <w:r>
        <w:rPr>
          <w:lang w:val="es-ES_tradnl"/>
        </w:rPr>
        <w:t>nocía.</w:t>
      </w:r>
    </w:p>
    <w:p w:rsidR="00224567" w:rsidRDefault="00224567">
      <w:pPr>
        <w:widowControl w:val="0"/>
        <w:ind w:firstLine="2835"/>
        <w:rPr>
          <w:lang w:val="es-ES_tradnl"/>
        </w:rPr>
      </w:pPr>
      <w:r>
        <w:rPr>
          <w:lang w:val="es-ES_tradnl"/>
        </w:rPr>
        <w:t>Aclaró que atando cabos estimaba que el anónimo se encontraba relacionado tanto con los probl</w:t>
      </w:r>
      <w:r>
        <w:rPr>
          <w:lang w:val="es-ES_tradnl"/>
        </w:rPr>
        <w:t>e</w:t>
      </w:r>
      <w:r>
        <w:rPr>
          <w:lang w:val="es-ES_tradnl"/>
        </w:rPr>
        <w:t>mas que tuvo con Ribelli y Arancibia como con el coment</w:t>
      </w:r>
      <w:r>
        <w:rPr>
          <w:lang w:val="es-ES_tradnl"/>
        </w:rPr>
        <w:t>a</w:t>
      </w:r>
      <w:r>
        <w:rPr>
          <w:lang w:val="es-ES_tradnl"/>
        </w:rPr>
        <w:t>rio r</w:t>
      </w:r>
      <w:r>
        <w:rPr>
          <w:lang w:val="es-ES_tradnl"/>
        </w:rPr>
        <w:t>e</w:t>
      </w:r>
      <w:r>
        <w:rPr>
          <w:lang w:val="es-ES_tradnl"/>
        </w:rPr>
        <w:t>ferido.</w:t>
      </w:r>
    </w:p>
    <w:p w:rsidR="00224567" w:rsidRDefault="00224567">
      <w:pPr>
        <w:widowControl w:val="0"/>
        <w:ind w:firstLine="2835"/>
        <w:rPr>
          <w:lang w:val="es-ES_tradnl"/>
        </w:rPr>
      </w:pPr>
      <w:r>
        <w:rPr>
          <w:lang w:val="es-ES_tradnl"/>
        </w:rPr>
        <w:t>Manifestó que Ribelli le proveía m</w:t>
      </w:r>
      <w:r>
        <w:rPr>
          <w:lang w:val="es-ES_tradnl"/>
        </w:rPr>
        <w:t>e</w:t>
      </w:r>
      <w:r>
        <w:rPr>
          <w:lang w:val="es-ES_tradnl"/>
        </w:rPr>
        <w:t>dios de comunicación –aparatos celulares y radiomens</w:t>
      </w:r>
      <w:r>
        <w:rPr>
          <w:lang w:val="es-ES_tradnl"/>
        </w:rPr>
        <w:t>a</w:t>
      </w:r>
      <w:r>
        <w:rPr>
          <w:lang w:val="es-ES_tradnl"/>
        </w:rPr>
        <w:t>jes- a la gente de su confianza, con pleno conocimiento que eran ellos quienes los utilizaban. Precisó que inclusive suboficiales de confianza recibían de Ribelli aparatos “Movicom”, que ellos no podían hacer frente al gasto que insumían dichos teléfonos, por lo que ente</w:t>
      </w:r>
      <w:r>
        <w:rPr>
          <w:lang w:val="es-ES_tradnl"/>
        </w:rPr>
        <w:t>n</w:t>
      </w:r>
      <w:r>
        <w:rPr>
          <w:lang w:val="es-ES_tradnl"/>
        </w:rPr>
        <w:t>dió que debían ser pagados por Ribelli como consecuencia del dinero obt</w:t>
      </w:r>
      <w:r>
        <w:rPr>
          <w:lang w:val="es-ES_tradnl"/>
        </w:rPr>
        <w:t>e</w:t>
      </w:r>
      <w:r>
        <w:rPr>
          <w:lang w:val="es-ES_tradnl"/>
        </w:rPr>
        <w:t>nido en forma ilegal.</w:t>
      </w:r>
    </w:p>
    <w:p w:rsidR="00224567" w:rsidRDefault="00224567">
      <w:pPr>
        <w:widowControl w:val="0"/>
        <w:ind w:firstLine="2835"/>
        <w:rPr>
          <w:lang w:val="es-ES_tradnl"/>
        </w:rPr>
      </w:pPr>
      <w:r>
        <w:rPr>
          <w:lang w:val="es-ES_tradnl"/>
        </w:rPr>
        <w:t>Específicamente, indicó que los ho</w:t>
      </w:r>
      <w:r>
        <w:rPr>
          <w:lang w:val="es-ES_tradnl"/>
        </w:rPr>
        <w:t>m</w:t>
      </w:r>
      <w:r>
        <w:rPr>
          <w:lang w:val="es-ES_tradnl"/>
        </w:rPr>
        <w:t>bres de confianza de Ribelli eran Ibarra, Albarracín, Ca</w:t>
      </w:r>
      <w:r>
        <w:rPr>
          <w:lang w:val="es-ES_tradnl"/>
        </w:rPr>
        <w:t>s</w:t>
      </w:r>
      <w:r>
        <w:rPr>
          <w:lang w:val="es-ES_tradnl"/>
        </w:rPr>
        <w:t>tro, los hermanos Ahumada, Nicolau, Sobico, Acosta, el hermano de Ribelli, Bacigalupo, Arancibia y Maisú; pudie</w:t>
      </w:r>
      <w:r>
        <w:rPr>
          <w:lang w:val="es-ES_tradnl"/>
        </w:rPr>
        <w:t>n</w:t>
      </w:r>
      <w:r>
        <w:rPr>
          <w:lang w:val="es-ES_tradnl"/>
        </w:rPr>
        <w:t>do haber otros que no record</w:t>
      </w:r>
      <w:r>
        <w:rPr>
          <w:lang w:val="es-ES_tradnl"/>
        </w:rPr>
        <w:t>a</w:t>
      </w:r>
      <w:r>
        <w:rPr>
          <w:lang w:val="es-ES_tradnl"/>
        </w:rPr>
        <w:t>ba, pero que podía deducirse en función de los de</w:t>
      </w:r>
      <w:r>
        <w:rPr>
          <w:lang w:val="es-ES_tradnl"/>
        </w:rPr>
        <w:t>s</w:t>
      </w:r>
      <w:r>
        <w:rPr>
          <w:lang w:val="es-ES_tradnl"/>
        </w:rPr>
        <w:t>tinos que tuvo Ribelli y las personas a las que llevó cons</w:t>
      </w:r>
      <w:r>
        <w:rPr>
          <w:lang w:val="es-ES_tradnl"/>
        </w:rPr>
        <w:t>i</w:t>
      </w:r>
      <w:r>
        <w:rPr>
          <w:lang w:val="es-ES_tradnl"/>
        </w:rPr>
        <w:t>go.</w:t>
      </w:r>
    </w:p>
    <w:p w:rsidR="00224567" w:rsidRDefault="00224567">
      <w:pPr>
        <w:widowControl w:val="0"/>
        <w:ind w:firstLine="2835"/>
        <w:rPr>
          <w:lang w:val="es-ES_tradnl"/>
        </w:rPr>
      </w:pPr>
      <w:r>
        <w:rPr>
          <w:lang w:val="es-ES_tradnl"/>
        </w:rPr>
        <w:t>Dijo que nunca le fue entregado ni</w:t>
      </w:r>
      <w:r>
        <w:rPr>
          <w:lang w:val="es-ES_tradnl"/>
        </w:rPr>
        <w:t>n</w:t>
      </w:r>
      <w:r>
        <w:rPr>
          <w:lang w:val="es-ES_tradnl"/>
        </w:rPr>
        <w:t>gún aparato de telefonía celular y únicamente utilizó un ap</w:t>
      </w:r>
      <w:r>
        <w:rPr>
          <w:lang w:val="es-ES_tradnl"/>
        </w:rPr>
        <w:t>a</w:t>
      </w:r>
      <w:r>
        <w:rPr>
          <w:lang w:val="es-ES_tradnl"/>
        </w:rPr>
        <w:t>rato de radio-mensajes que obtuvo particularmente en un local de Uruguay y Corrientes. Como no pudo afrontar el gasto dejó de usarlo y le fue cortado el servicio, aprox</w:t>
      </w:r>
      <w:r>
        <w:rPr>
          <w:lang w:val="es-ES_tradnl"/>
        </w:rPr>
        <w:t>i</w:t>
      </w:r>
      <w:r>
        <w:rPr>
          <w:lang w:val="es-ES_tradnl"/>
        </w:rPr>
        <w:t>madamente a m</w:t>
      </w:r>
      <w:r>
        <w:rPr>
          <w:lang w:val="es-ES_tradnl"/>
        </w:rPr>
        <w:t>e</w:t>
      </w:r>
      <w:r>
        <w:rPr>
          <w:lang w:val="es-ES_tradnl"/>
        </w:rPr>
        <w:t>diados de 1994, por falta de pago.</w:t>
      </w:r>
    </w:p>
    <w:p w:rsidR="00224567" w:rsidRDefault="00224567">
      <w:pPr>
        <w:widowControl w:val="0"/>
        <w:ind w:firstLine="2835"/>
        <w:rPr>
          <w:lang w:val="es-ES_tradnl"/>
        </w:rPr>
      </w:pPr>
      <w:r>
        <w:rPr>
          <w:lang w:val="es-ES_tradnl"/>
        </w:rPr>
        <w:t>Respecto al movimiento económico de Ribelli, refirió que a su entender éste era gra</w:t>
      </w:r>
      <w:r>
        <w:rPr>
          <w:lang w:val="es-ES_tradnl"/>
        </w:rPr>
        <w:t>n</w:t>
      </w:r>
      <w:r>
        <w:rPr>
          <w:lang w:val="es-ES_tradnl"/>
        </w:rPr>
        <w:t>de, aunque aclaró que no presenció su crecimiento, ya que desde que lo conoció siempre tuvo el mismo nivel de v</w:t>
      </w:r>
      <w:r>
        <w:rPr>
          <w:lang w:val="es-ES_tradnl"/>
        </w:rPr>
        <w:t>i</w:t>
      </w:r>
      <w:r>
        <w:rPr>
          <w:lang w:val="es-ES_tradnl"/>
        </w:rPr>
        <w:t>da.</w:t>
      </w:r>
    </w:p>
    <w:p w:rsidR="00224567" w:rsidRDefault="00224567">
      <w:pPr>
        <w:widowControl w:val="0"/>
        <w:ind w:firstLine="2835"/>
        <w:rPr>
          <w:lang w:val="es-ES_tradnl"/>
        </w:rPr>
      </w:pPr>
      <w:r>
        <w:rPr>
          <w:lang w:val="es-ES_tradnl"/>
        </w:rPr>
        <w:t>Indicó que lo veía a éste con un aut</w:t>
      </w:r>
      <w:r>
        <w:rPr>
          <w:lang w:val="es-ES_tradnl"/>
        </w:rPr>
        <w:t>o</w:t>
      </w:r>
      <w:r>
        <w:rPr>
          <w:lang w:val="es-ES_tradnl"/>
        </w:rPr>
        <w:t>motor cero kilómetro marca Peugeot 405 CMI importado, bu</w:t>
      </w:r>
      <w:r>
        <w:rPr>
          <w:lang w:val="es-ES_tradnl"/>
        </w:rPr>
        <w:t>e</w:t>
      </w:r>
      <w:r>
        <w:rPr>
          <w:lang w:val="es-ES_tradnl"/>
        </w:rPr>
        <w:t>nos trajes, y se sabía que tenía dos agencias de a</w:t>
      </w:r>
      <w:r>
        <w:rPr>
          <w:lang w:val="es-ES_tradnl"/>
        </w:rPr>
        <w:t>u</w:t>
      </w:r>
      <w:r>
        <w:rPr>
          <w:lang w:val="es-ES_tradnl"/>
        </w:rPr>
        <w:t xml:space="preserve">tos en </w:t>
      </w:r>
      <w:smartTag w:uri="urn:schemas-microsoft-com:office:smarttags" w:element="PersonName">
        <w:smartTagPr>
          <w:attr w:name="ProductID" w:val="la Av. Pav￳n"/>
        </w:smartTagPr>
        <w:r>
          <w:rPr>
            <w:lang w:val="es-ES_tradnl"/>
          </w:rPr>
          <w:t>la Av. Pavón</w:t>
        </w:r>
      </w:smartTag>
      <w:r>
        <w:rPr>
          <w:lang w:val="es-ES_tradnl"/>
        </w:rPr>
        <w:t xml:space="preserve"> y una casa en Ba</w:t>
      </w:r>
      <w:r>
        <w:rPr>
          <w:lang w:val="es-ES_tradnl"/>
        </w:rPr>
        <w:t>n</w:t>
      </w:r>
      <w:r>
        <w:rPr>
          <w:lang w:val="es-ES_tradnl"/>
        </w:rPr>
        <w:t>field.</w:t>
      </w:r>
    </w:p>
    <w:p w:rsidR="00224567" w:rsidRDefault="00224567">
      <w:pPr>
        <w:widowControl w:val="0"/>
        <w:ind w:firstLine="2835"/>
        <w:rPr>
          <w:lang w:val="es-ES_tradnl"/>
        </w:rPr>
      </w:pPr>
      <w:r>
        <w:rPr>
          <w:lang w:val="es-ES_tradnl"/>
        </w:rPr>
        <w:t>Según supo, Ribelli en las age</w:t>
      </w:r>
      <w:r>
        <w:rPr>
          <w:lang w:val="es-ES_tradnl"/>
        </w:rPr>
        <w:t>n</w:t>
      </w:r>
      <w:r>
        <w:rPr>
          <w:lang w:val="es-ES_tradnl"/>
        </w:rPr>
        <w:t>cias de autos tenía un socio llamado Federico Caneva o Canepa. Precisó que en distintas oportunidades en que el declara</w:t>
      </w:r>
      <w:r>
        <w:rPr>
          <w:lang w:val="es-ES_tradnl"/>
        </w:rPr>
        <w:t>n</w:t>
      </w:r>
      <w:r>
        <w:rPr>
          <w:lang w:val="es-ES_tradnl"/>
        </w:rPr>
        <w:t>te pasó frente a la agencia de autos de Ribelli pudo o</w:t>
      </w:r>
      <w:r>
        <w:rPr>
          <w:lang w:val="es-ES_tradnl"/>
        </w:rPr>
        <w:t>b</w:t>
      </w:r>
      <w:r>
        <w:rPr>
          <w:lang w:val="es-ES_tradnl"/>
        </w:rPr>
        <w:t>servar a gente de confianza de é</w:t>
      </w:r>
      <w:r>
        <w:rPr>
          <w:lang w:val="es-ES_tradnl"/>
        </w:rPr>
        <w:t>s</w:t>
      </w:r>
      <w:r>
        <w:rPr>
          <w:lang w:val="es-ES_tradnl"/>
        </w:rPr>
        <w:t>te en la misma, vestidos de traje y corbata, como a Albarracín, Gatto, Castro y V</w:t>
      </w:r>
      <w:r>
        <w:rPr>
          <w:lang w:val="es-ES_tradnl"/>
        </w:rPr>
        <w:t>a</w:t>
      </w:r>
      <w:r>
        <w:rPr>
          <w:lang w:val="es-ES_tradnl"/>
        </w:rPr>
        <w:t>lenga.</w:t>
      </w:r>
    </w:p>
    <w:p w:rsidR="00224567" w:rsidRDefault="00224567">
      <w:pPr>
        <w:widowControl w:val="0"/>
        <w:ind w:firstLine="2835"/>
        <w:rPr>
          <w:lang w:val="es-ES_tradnl"/>
        </w:rPr>
      </w:pPr>
      <w:r>
        <w:rPr>
          <w:lang w:val="es-ES_tradnl"/>
        </w:rPr>
        <w:t>Ribelli nunca le comentó que fuera propietario de las agencias ya que se trataba de una pe</w:t>
      </w:r>
      <w:r>
        <w:rPr>
          <w:lang w:val="es-ES_tradnl"/>
        </w:rPr>
        <w:t>r</w:t>
      </w:r>
      <w:r>
        <w:rPr>
          <w:lang w:val="es-ES_tradnl"/>
        </w:rPr>
        <w:t>sona sumamente reservada. Supuso que dichos come</w:t>
      </w:r>
      <w:r>
        <w:rPr>
          <w:lang w:val="es-ES_tradnl"/>
        </w:rPr>
        <w:t>r</w:t>
      </w:r>
      <w:r>
        <w:rPr>
          <w:lang w:val="es-ES_tradnl"/>
        </w:rPr>
        <w:t>cios eran resultado de negociaciones espurias que éste realiz</w:t>
      </w:r>
      <w:r>
        <w:rPr>
          <w:lang w:val="es-ES_tradnl"/>
        </w:rPr>
        <w:t>a</w:t>
      </w:r>
      <w:r>
        <w:rPr>
          <w:lang w:val="es-ES_tradnl"/>
        </w:rPr>
        <w:t>ba.</w:t>
      </w:r>
    </w:p>
    <w:p w:rsidR="00224567" w:rsidRDefault="00224567">
      <w:pPr>
        <w:widowControl w:val="0"/>
        <w:ind w:firstLine="2835"/>
        <w:rPr>
          <w:lang w:val="es-ES_tradnl"/>
        </w:rPr>
      </w:pPr>
      <w:r>
        <w:rPr>
          <w:lang w:val="es-ES_tradnl"/>
        </w:rPr>
        <w:t>Afirmó que Canepa o Caneva concurría diariamente a la brigada, luego de las 18.00, moviéndose con toda libertad, como si fuera un superior más, aun cuando éste era civil. Incluso lo observó salir junto a algún grupo operativo de confianza de Ribelli, descon</w:t>
      </w:r>
      <w:r>
        <w:rPr>
          <w:lang w:val="es-ES_tradnl"/>
        </w:rPr>
        <w:t>o</w:t>
      </w:r>
      <w:r>
        <w:rPr>
          <w:lang w:val="es-ES_tradnl"/>
        </w:rPr>
        <w:t>ciendo los motivos y menos aún el destino de é</w:t>
      </w:r>
      <w:r>
        <w:rPr>
          <w:lang w:val="es-ES_tradnl"/>
        </w:rPr>
        <w:t>s</w:t>
      </w:r>
      <w:r>
        <w:rPr>
          <w:lang w:val="es-ES_tradnl"/>
        </w:rPr>
        <w:t>tos.</w:t>
      </w:r>
    </w:p>
    <w:p w:rsidR="00224567" w:rsidRDefault="00224567">
      <w:pPr>
        <w:widowControl w:val="0"/>
        <w:ind w:firstLine="2835"/>
        <w:rPr>
          <w:lang w:val="es-ES_tradnl"/>
        </w:rPr>
      </w:pPr>
      <w:r>
        <w:rPr>
          <w:lang w:val="es-ES_tradnl"/>
        </w:rPr>
        <w:t>Le constaba por comentarios que la p</w:t>
      </w:r>
      <w:r>
        <w:rPr>
          <w:lang w:val="es-ES_tradnl"/>
        </w:rPr>
        <w:t>o</w:t>
      </w:r>
      <w:r>
        <w:rPr>
          <w:lang w:val="es-ES_tradnl"/>
        </w:rPr>
        <w:t>sición económica que ostentaba Ribelli no era el r</w:t>
      </w:r>
      <w:r>
        <w:rPr>
          <w:lang w:val="es-ES_tradnl"/>
        </w:rPr>
        <w:t>e</w:t>
      </w:r>
      <w:r>
        <w:rPr>
          <w:lang w:val="es-ES_tradnl"/>
        </w:rPr>
        <w:t>sultado de la explotación de las agencias de autos, sino que en realidad, Ribelli y su gente, estaban involucrados en n</w:t>
      </w:r>
      <w:r>
        <w:rPr>
          <w:lang w:val="es-ES_tradnl"/>
        </w:rPr>
        <w:t>e</w:t>
      </w:r>
      <w:r>
        <w:rPr>
          <w:lang w:val="es-ES_tradnl"/>
        </w:rPr>
        <w:t>gocios turbios.</w:t>
      </w:r>
    </w:p>
    <w:p w:rsidR="00224567" w:rsidRDefault="00224567">
      <w:pPr>
        <w:widowControl w:val="0"/>
        <w:ind w:firstLine="2835"/>
        <w:rPr>
          <w:lang w:val="es-ES_tradnl"/>
        </w:rPr>
      </w:pPr>
      <w:r>
        <w:rPr>
          <w:lang w:val="es-ES_tradnl"/>
        </w:rPr>
        <w:t>En definitiva, concluyó que la decl</w:t>
      </w:r>
      <w:r>
        <w:rPr>
          <w:lang w:val="es-ES_tradnl"/>
        </w:rPr>
        <w:t>a</w:t>
      </w:r>
      <w:r>
        <w:rPr>
          <w:lang w:val="es-ES_tradnl"/>
        </w:rPr>
        <w:t>ración que le fue solicitada por Ribelli y a</w:t>
      </w:r>
      <w:r>
        <w:rPr>
          <w:lang w:val="es-ES_tradnl"/>
        </w:rPr>
        <w:t>r</w:t>
      </w:r>
      <w:r>
        <w:rPr>
          <w:lang w:val="es-ES_tradnl"/>
        </w:rPr>
        <w:t>mada por las personas del grupo de éste, fue para “blanquear” el acc</w:t>
      </w:r>
      <w:r>
        <w:rPr>
          <w:lang w:val="es-ES_tradnl"/>
        </w:rPr>
        <w:t>i</w:t>
      </w:r>
      <w:r>
        <w:rPr>
          <w:lang w:val="es-ES_tradnl"/>
        </w:rPr>
        <w:t>dente que tuvo Casas y para poder seguir buscándolo a T</w:t>
      </w:r>
      <w:r>
        <w:rPr>
          <w:lang w:val="es-ES_tradnl"/>
        </w:rPr>
        <w:t>e</w:t>
      </w:r>
      <w:r>
        <w:rPr>
          <w:lang w:val="es-ES_tradnl"/>
        </w:rPr>
        <w:t>lleldín con el fin de apreta</w:t>
      </w:r>
      <w:r>
        <w:rPr>
          <w:lang w:val="es-ES_tradnl"/>
        </w:rPr>
        <w:t>r</w:t>
      </w:r>
      <w:r>
        <w:rPr>
          <w:lang w:val="es-ES_tradnl"/>
        </w:rPr>
        <w:t>lo.</w:t>
      </w:r>
    </w:p>
    <w:p w:rsidR="00224567" w:rsidRDefault="00224567">
      <w:pPr>
        <w:widowControl w:val="0"/>
        <w:ind w:firstLine="2835"/>
        <w:rPr>
          <w:lang w:val="es-ES_tradnl"/>
        </w:rPr>
      </w:pPr>
      <w:r>
        <w:rPr>
          <w:lang w:val="es-ES_tradnl"/>
        </w:rPr>
        <w:t xml:space="preserve">Huici recordó que una semana después de </w:t>
      </w:r>
      <w:smartTag w:uri="urn:schemas-microsoft-com:office:smarttags" w:element="PersonName">
        <w:smartTagPr>
          <w:attr w:name="ProductID" w:val="la Semana Santa"/>
        </w:smartTagPr>
        <w:r>
          <w:rPr>
            <w:lang w:val="es-ES_tradnl"/>
          </w:rPr>
          <w:t>la Semana Santa</w:t>
        </w:r>
      </w:smartTag>
      <w:r>
        <w:rPr>
          <w:lang w:val="es-ES_tradnl"/>
        </w:rPr>
        <w:t xml:space="preserve"> de 1994, el jefe de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nús, Negrón, hizo una reunión con algunos subcomis</w:t>
      </w:r>
      <w:r>
        <w:rPr>
          <w:lang w:val="es-ES_tradnl"/>
        </w:rPr>
        <w:t>a</w:t>
      </w:r>
      <w:r>
        <w:rPr>
          <w:lang w:val="es-ES_tradnl"/>
        </w:rPr>
        <w:t>rios y oficiales de los grupos operativos, encontrándose pr</w:t>
      </w:r>
      <w:r>
        <w:rPr>
          <w:lang w:val="es-ES_tradnl"/>
        </w:rPr>
        <w:t>e</w:t>
      </w:r>
      <w:r>
        <w:rPr>
          <w:lang w:val="es-ES_tradnl"/>
        </w:rPr>
        <w:t>sente Ribelli y él, oportunidad en la que se les hizo saber la situación de quienes resultaron detenidos por el hecho d</w:t>
      </w:r>
      <w:r>
        <w:rPr>
          <w:lang w:val="es-ES_tradnl"/>
        </w:rPr>
        <w:t>e</w:t>
      </w:r>
      <w:r>
        <w:rPr>
          <w:lang w:val="es-ES_tradnl"/>
        </w:rPr>
        <w:t>nominado “la mas</w:t>
      </w:r>
      <w:r>
        <w:rPr>
          <w:lang w:val="es-ES_tradnl"/>
        </w:rPr>
        <w:t>a</w:t>
      </w:r>
      <w:r>
        <w:rPr>
          <w:lang w:val="es-ES_tradnl"/>
        </w:rPr>
        <w:t>cre de Wilde”.</w:t>
      </w:r>
    </w:p>
    <w:p w:rsidR="00224567" w:rsidRDefault="00224567">
      <w:pPr>
        <w:widowControl w:val="0"/>
        <w:ind w:firstLine="2835"/>
        <w:rPr>
          <w:lang w:val="es-ES_tradnl"/>
        </w:rPr>
      </w:pPr>
      <w:r>
        <w:rPr>
          <w:lang w:val="es-ES_tradnl"/>
        </w:rPr>
        <w:t>En esa ocasión, tanto Negrón como R</w:t>
      </w:r>
      <w:r>
        <w:rPr>
          <w:lang w:val="es-ES_tradnl"/>
        </w:rPr>
        <w:t>i</w:t>
      </w:r>
      <w:r>
        <w:rPr>
          <w:lang w:val="es-ES_tradnl"/>
        </w:rPr>
        <w:t>belli, refirieron que había que juntar dinero para ay</w:t>
      </w:r>
      <w:r>
        <w:rPr>
          <w:lang w:val="es-ES_tradnl"/>
        </w:rPr>
        <w:t>u</w:t>
      </w:r>
      <w:r>
        <w:rPr>
          <w:lang w:val="es-ES_tradnl"/>
        </w:rPr>
        <w:t>dar a las familias de los detenidos, como así también para h</w:t>
      </w:r>
      <w:r>
        <w:rPr>
          <w:lang w:val="es-ES_tradnl"/>
        </w:rPr>
        <w:t>a</w:t>
      </w:r>
      <w:r>
        <w:rPr>
          <w:lang w:val="es-ES_tradnl"/>
        </w:rPr>
        <w:t>cer frente a los gastos de sus defe</w:t>
      </w:r>
      <w:r>
        <w:rPr>
          <w:lang w:val="es-ES_tradnl"/>
        </w:rPr>
        <w:t>n</w:t>
      </w:r>
      <w:r>
        <w:rPr>
          <w:lang w:val="es-ES_tradnl"/>
        </w:rPr>
        <w:t>sas.</w:t>
      </w:r>
    </w:p>
    <w:p w:rsidR="00224567" w:rsidRDefault="00224567">
      <w:pPr>
        <w:widowControl w:val="0"/>
        <w:ind w:firstLine="2835"/>
        <w:rPr>
          <w:lang w:val="es-ES_tradnl"/>
        </w:rPr>
      </w:pPr>
      <w:r>
        <w:rPr>
          <w:lang w:val="es-ES_tradnl"/>
        </w:rPr>
        <w:t>Ribelli dijo claramente que en lo s</w:t>
      </w:r>
      <w:r>
        <w:rPr>
          <w:lang w:val="es-ES_tradnl"/>
        </w:rPr>
        <w:t>u</w:t>
      </w:r>
      <w:r>
        <w:rPr>
          <w:lang w:val="es-ES_tradnl"/>
        </w:rPr>
        <w:t>cesivo, determinados porcentajes -que serían por él fij</w:t>
      </w:r>
      <w:r>
        <w:rPr>
          <w:lang w:val="es-ES_tradnl"/>
        </w:rPr>
        <w:t>a</w:t>
      </w:r>
      <w:r>
        <w:rPr>
          <w:lang w:val="es-ES_tradnl"/>
        </w:rPr>
        <w:t>dos- de lo que recaudaban los grupos operativos en arr</w:t>
      </w:r>
      <w:r>
        <w:rPr>
          <w:lang w:val="es-ES_tradnl"/>
        </w:rPr>
        <w:t>e</w:t>
      </w:r>
      <w:r>
        <w:rPr>
          <w:lang w:val="es-ES_tradnl"/>
        </w:rPr>
        <w:t>glos económicos, debían ser entregados para dest</w:t>
      </w:r>
      <w:r>
        <w:rPr>
          <w:lang w:val="es-ES_tradnl"/>
        </w:rPr>
        <w:t>i</w:t>
      </w:r>
      <w:r>
        <w:rPr>
          <w:lang w:val="es-ES_tradnl"/>
        </w:rPr>
        <w:t>narlos a la ayuda de los detenidos y sus f</w:t>
      </w:r>
      <w:r>
        <w:rPr>
          <w:lang w:val="es-ES_tradnl"/>
        </w:rPr>
        <w:t>a</w:t>
      </w:r>
      <w:r>
        <w:rPr>
          <w:lang w:val="es-ES_tradnl"/>
        </w:rPr>
        <w:t>milias.</w:t>
      </w:r>
    </w:p>
    <w:p w:rsidR="00224567" w:rsidRDefault="00224567">
      <w:pPr>
        <w:widowControl w:val="0"/>
        <w:ind w:firstLine="2835"/>
        <w:rPr>
          <w:lang w:val="es-ES_tradnl"/>
        </w:rPr>
      </w:pPr>
      <w:r>
        <w:rPr>
          <w:lang w:val="es-ES_tradnl"/>
        </w:rPr>
        <w:t>Finalizada la referida reunión, le h</w:t>
      </w:r>
      <w:r>
        <w:rPr>
          <w:lang w:val="es-ES_tradnl"/>
        </w:rPr>
        <w:t>i</w:t>
      </w:r>
      <w:r>
        <w:rPr>
          <w:lang w:val="es-ES_tradnl"/>
        </w:rPr>
        <w:t>zo saber a Ribelli que podía contactarlo con un ab</w:t>
      </w:r>
      <w:r>
        <w:rPr>
          <w:lang w:val="es-ES_tradnl"/>
        </w:rPr>
        <w:t>o</w:t>
      </w:r>
      <w:r>
        <w:rPr>
          <w:lang w:val="es-ES_tradnl"/>
        </w:rPr>
        <w:t>gado de su confianza a fin de que se interiorizara del caso y prestara su asistencia, pero su ofrecimiento fue rechaz</w:t>
      </w:r>
      <w:r>
        <w:rPr>
          <w:lang w:val="es-ES_tradnl"/>
        </w:rPr>
        <w:t>a</w:t>
      </w:r>
      <w:r>
        <w:rPr>
          <w:lang w:val="es-ES_tradnl"/>
        </w:rPr>
        <w:t>do.</w:t>
      </w:r>
    </w:p>
    <w:p w:rsidR="00224567" w:rsidRDefault="00224567">
      <w:pPr>
        <w:widowControl w:val="0"/>
        <w:ind w:firstLine="2835"/>
        <w:rPr>
          <w:lang w:val="es-ES_tradnl"/>
        </w:rPr>
      </w:pPr>
      <w:r>
        <w:rPr>
          <w:lang w:val="es-ES_tradnl"/>
        </w:rPr>
        <w:t>En síntesis, relató que la ayuda que efectivamente se brindó a los detenidos y a sus respect</w:t>
      </w:r>
      <w:r>
        <w:rPr>
          <w:lang w:val="es-ES_tradnl"/>
        </w:rPr>
        <w:t>i</w:t>
      </w:r>
      <w:r>
        <w:rPr>
          <w:lang w:val="es-ES_tradnl"/>
        </w:rPr>
        <w:t>vas familias se logró con lo recaudado en negocios marg</w:t>
      </w:r>
      <w:r>
        <w:rPr>
          <w:lang w:val="es-ES_tradnl"/>
        </w:rPr>
        <w:t>i</w:t>
      </w:r>
      <w:r>
        <w:rPr>
          <w:lang w:val="es-ES_tradnl"/>
        </w:rPr>
        <w:t xml:space="preserve">nales. </w:t>
      </w:r>
    </w:p>
    <w:p w:rsidR="00224567" w:rsidRDefault="00224567">
      <w:pPr>
        <w:widowControl w:val="0"/>
        <w:ind w:firstLine="2835"/>
        <w:rPr>
          <w:lang w:val="es-ES_tradnl"/>
        </w:rPr>
      </w:pPr>
      <w:r>
        <w:rPr>
          <w:lang w:val="es-ES_tradnl"/>
        </w:rPr>
        <w:t>Indicó que en los arreglos ref</w:t>
      </w:r>
      <w:r>
        <w:rPr>
          <w:lang w:val="es-ES_tradnl"/>
        </w:rPr>
        <w:t>e</w:t>
      </w:r>
      <w:r>
        <w:rPr>
          <w:lang w:val="es-ES_tradnl"/>
        </w:rPr>
        <w:t xml:space="preserve">ridos, realizados en </w:t>
      </w:r>
      <w:smartTag w:uri="urn:schemas-microsoft-com:office:smarttags" w:element="PersonName">
        <w:smartTagPr>
          <w:attr w:name="ProductID" w:val="la Brigada"/>
        </w:smartTagPr>
        <w:r>
          <w:rPr>
            <w:lang w:val="es-ES_tradnl"/>
          </w:rPr>
          <w:t>la Brigada</w:t>
        </w:r>
      </w:smartTag>
      <w:r>
        <w:rPr>
          <w:lang w:val="es-ES_tradnl"/>
        </w:rPr>
        <w:t xml:space="preserve"> de Lanús, tenía intervención d</w:t>
      </w:r>
      <w:r>
        <w:rPr>
          <w:lang w:val="es-ES_tradnl"/>
        </w:rPr>
        <w:t>i</w:t>
      </w:r>
      <w:r>
        <w:rPr>
          <w:lang w:val="es-ES_tradnl"/>
        </w:rPr>
        <w:t>recta Juan José Ribelli, quien en realidad manejaba la brig</w:t>
      </w:r>
      <w:r>
        <w:rPr>
          <w:lang w:val="es-ES_tradnl"/>
        </w:rPr>
        <w:t>a</w:t>
      </w:r>
      <w:r>
        <w:rPr>
          <w:lang w:val="es-ES_tradnl"/>
        </w:rPr>
        <w:t>da.</w:t>
      </w:r>
    </w:p>
    <w:p w:rsidR="00224567" w:rsidRDefault="00224567">
      <w:pPr>
        <w:widowControl w:val="0"/>
        <w:ind w:firstLine="2835"/>
        <w:rPr>
          <w:lang w:val="es-ES_tradnl"/>
        </w:rPr>
      </w:pPr>
      <w:r>
        <w:rPr>
          <w:lang w:val="es-ES_tradnl"/>
        </w:rPr>
        <w:t>También le constaba que no sólo Rib</w:t>
      </w:r>
      <w:r>
        <w:rPr>
          <w:lang w:val="es-ES_tradnl"/>
        </w:rPr>
        <w:t>e</w:t>
      </w:r>
      <w:r>
        <w:rPr>
          <w:lang w:val="es-ES_tradnl"/>
        </w:rPr>
        <w:t xml:space="preserve">lli tenía el manejo de los arreglos en </w:t>
      </w:r>
      <w:smartTag w:uri="urn:schemas-microsoft-com:office:smarttags" w:element="PersonName">
        <w:smartTagPr>
          <w:attr w:name="ProductID" w:val="la Brigada"/>
        </w:smartTagPr>
        <w:r>
          <w:rPr>
            <w:lang w:val="es-ES_tradnl"/>
          </w:rPr>
          <w:t>la Brig</w:t>
        </w:r>
        <w:r>
          <w:rPr>
            <w:lang w:val="es-ES_tradnl"/>
          </w:rPr>
          <w:t>a</w:t>
        </w:r>
        <w:r>
          <w:rPr>
            <w:lang w:val="es-ES_tradnl"/>
          </w:rPr>
          <w:t>da</w:t>
        </w:r>
      </w:smartTag>
      <w:r>
        <w:rPr>
          <w:lang w:val="es-ES_tradnl"/>
        </w:rPr>
        <w:t xml:space="preserve"> de Lanús sino que además lo hacía en su último destino. De esta forma hizo mención a hechos de los que tuvo conocimiento directo.</w:t>
      </w:r>
    </w:p>
    <w:p w:rsidR="00224567" w:rsidRDefault="00224567">
      <w:pPr>
        <w:widowControl w:val="0"/>
        <w:ind w:firstLine="2835"/>
        <w:rPr>
          <w:lang w:val="es-ES_tradnl"/>
        </w:rPr>
      </w:pPr>
      <w:r>
        <w:rPr>
          <w:lang w:val="es-ES_tradnl"/>
        </w:rPr>
        <w:t>Continuó en su relato y afirmó que en 1996 se encontró con una personada apodada “Dady” quien le manifestó que había sido “volteado” por Ribelli en una causa en la que intervenía el juez Llermanos. No recordó la fecha exacta de este encuentro, pero sí que se produjo antes de ser detenido el dicente y poco antes de esto se había detenido al nombrado “D</w:t>
      </w:r>
      <w:r>
        <w:rPr>
          <w:lang w:val="es-ES_tradnl"/>
        </w:rPr>
        <w:t>a</w:t>
      </w:r>
      <w:r>
        <w:rPr>
          <w:lang w:val="es-ES_tradnl"/>
        </w:rPr>
        <w:t>dy”.</w:t>
      </w:r>
    </w:p>
    <w:p w:rsidR="00224567" w:rsidRDefault="00224567">
      <w:pPr>
        <w:widowControl w:val="0"/>
        <w:ind w:firstLine="2835"/>
        <w:rPr>
          <w:lang w:val="es-ES_tradnl"/>
        </w:rPr>
      </w:pPr>
      <w:r>
        <w:rPr>
          <w:lang w:val="es-ES_tradnl"/>
        </w:rPr>
        <w:t>Aclaró que esta persona tenía un c</w:t>
      </w:r>
      <w:r>
        <w:rPr>
          <w:lang w:val="es-ES_tradnl"/>
        </w:rPr>
        <w:t>o</w:t>
      </w:r>
      <w:r>
        <w:rPr>
          <w:lang w:val="es-ES_tradnl"/>
        </w:rPr>
        <w:t>mercio de ramos generales y, por lo que le contó, cuando lo detuvieron se encontraba en un ga</w:t>
      </w:r>
      <w:r>
        <w:rPr>
          <w:lang w:val="es-ES_tradnl"/>
        </w:rPr>
        <w:t>l</w:t>
      </w:r>
      <w:r>
        <w:rPr>
          <w:lang w:val="es-ES_tradnl"/>
        </w:rPr>
        <w:t>pón en la zona norte donde había diferente mercadería como cigarrillos, vinos finos y bebidas en general. También le c</w:t>
      </w:r>
      <w:r>
        <w:rPr>
          <w:lang w:val="es-ES_tradnl"/>
        </w:rPr>
        <w:t>o</w:t>
      </w:r>
      <w:r>
        <w:rPr>
          <w:lang w:val="es-ES_tradnl"/>
        </w:rPr>
        <w:t>mentó que si bien era ajeno a la investigación, específicamente le refirió “vos sabés como es Ribelli, m</w:t>
      </w:r>
      <w:r>
        <w:rPr>
          <w:lang w:val="es-ES_tradnl"/>
        </w:rPr>
        <w:t>e</w:t>
      </w:r>
      <w:r>
        <w:rPr>
          <w:lang w:val="es-ES_tradnl"/>
        </w:rPr>
        <w:t>te a todos en la misma bolsa y después ve”.</w:t>
      </w:r>
    </w:p>
    <w:p w:rsidR="00224567" w:rsidRDefault="00224567">
      <w:pPr>
        <w:widowControl w:val="0"/>
        <w:ind w:firstLine="2835"/>
        <w:rPr>
          <w:lang w:val="es-ES_tradnl"/>
        </w:rPr>
      </w:pPr>
      <w:r>
        <w:rPr>
          <w:lang w:val="es-ES_tradnl"/>
        </w:rPr>
        <w:t>En esa causa fueron detenidas quince personas y si bien al tal “Dady” no le sacó suma alguna, éste le refirió que con el “apriete” realizado al resto de los detenidos se obtuvo una suma de casi USD 300.000, y que supo que en algunos arreglos, Ribelli aprobó que se aceptaran vehículos aut</w:t>
      </w:r>
      <w:r>
        <w:rPr>
          <w:lang w:val="es-ES_tradnl"/>
        </w:rPr>
        <w:t>o</w:t>
      </w:r>
      <w:r>
        <w:rPr>
          <w:lang w:val="es-ES_tradnl"/>
        </w:rPr>
        <w:t>motores.</w:t>
      </w:r>
    </w:p>
    <w:p w:rsidR="00224567" w:rsidRDefault="00224567">
      <w:pPr>
        <w:widowControl w:val="0"/>
        <w:ind w:firstLine="2835"/>
        <w:rPr>
          <w:lang w:val="es-ES_tradnl"/>
        </w:rPr>
      </w:pPr>
      <w:r>
        <w:rPr>
          <w:lang w:val="es-ES_tradnl"/>
        </w:rPr>
        <w:t>Es más, manifestó que “Dady” le dijo que quien lo estaba “apretando” era el socio de Ribelli, un tal Federico Caneva o Canepa. Si bien no recordó el apellido de “Dady” se comprometió a apo</w:t>
      </w:r>
      <w:r>
        <w:rPr>
          <w:lang w:val="es-ES_tradnl"/>
        </w:rPr>
        <w:t>r</w:t>
      </w:r>
      <w:r>
        <w:rPr>
          <w:lang w:val="es-ES_tradnl"/>
        </w:rPr>
        <w:t>tar los datos que perm</w:t>
      </w:r>
      <w:r>
        <w:rPr>
          <w:lang w:val="es-ES_tradnl"/>
        </w:rPr>
        <w:t>i</w:t>
      </w:r>
      <w:r>
        <w:rPr>
          <w:lang w:val="es-ES_tradnl"/>
        </w:rPr>
        <w:t>tieran su individualización.</w:t>
      </w:r>
    </w:p>
    <w:p w:rsidR="00224567" w:rsidRDefault="00224567">
      <w:pPr>
        <w:widowControl w:val="0"/>
        <w:ind w:firstLine="2835"/>
        <w:rPr>
          <w:lang w:val="es-ES_tradnl"/>
        </w:rPr>
      </w:pPr>
      <w:r>
        <w:rPr>
          <w:lang w:val="es-ES_tradnl"/>
        </w:rPr>
        <w:t>Por otro lado, afirmó que encontránd</w:t>
      </w:r>
      <w:r>
        <w:rPr>
          <w:lang w:val="es-ES_tradnl"/>
        </w:rPr>
        <w:t>o</w:t>
      </w:r>
      <w:r>
        <w:rPr>
          <w:lang w:val="es-ES_tradnl"/>
        </w:rPr>
        <w:t xml:space="preserve">se prestando servicios en </w:t>
      </w:r>
      <w:smartTag w:uri="urn:schemas-microsoft-com:office:smarttags" w:element="PersonName">
        <w:smartTagPr>
          <w:attr w:name="ProductID" w:val="la Brigada"/>
        </w:smartTagPr>
        <w:r>
          <w:rPr>
            <w:lang w:val="es-ES_tradnl"/>
          </w:rPr>
          <w:t>la Brigada</w:t>
        </w:r>
      </w:smartTag>
      <w:r>
        <w:rPr>
          <w:lang w:val="es-ES_tradnl"/>
        </w:rPr>
        <w:t xml:space="preserve"> de Lanús, a m</w:t>
      </w:r>
      <w:r>
        <w:rPr>
          <w:lang w:val="es-ES_tradnl"/>
        </w:rPr>
        <w:t>e</w:t>
      </w:r>
      <w:r>
        <w:rPr>
          <w:lang w:val="es-ES_tradnl"/>
        </w:rPr>
        <w:t>diados de 1994, ingresó detenido por averigu</w:t>
      </w:r>
      <w:r>
        <w:rPr>
          <w:lang w:val="es-ES_tradnl"/>
        </w:rPr>
        <w:t>a</w:t>
      </w:r>
      <w:r>
        <w:rPr>
          <w:lang w:val="es-ES_tradnl"/>
        </w:rPr>
        <w:t>ción de antecedentes una persona de apellido López, a quien le decían “el Mono”.</w:t>
      </w:r>
    </w:p>
    <w:p w:rsidR="00224567" w:rsidRDefault="00224567">
      <w:pPr>
        <w:widowControl w:val="0"/>
        <w:ind w:firstLine="2835"/>
        <w:rPr>
          <w:lang w:val="es-ES_tradnl"/>
        </w:rPr>
      </w:pPr>
      <w:r>
        <w:rPr>
          <w:lang w:val="es-ES_tradnl"/>
        </w:rPr>
        <w:t>Éste se dedicaba a salideras de banco y cuando lo trajo detenido Albarracín, espec</w:t>
      </w:r>
      <w:r>
        <w:rPr>
          <w:lang w:val="es-ES_tradnl"/>
        </w:rPr>
        <w:t>í</w:t>
      </w:r>
      <w:r>
        <w:rPr>
          <w:lang w:val="es-ES_tradnl"/>
        </w:rPr>
        <w:t>ficamente le refirió que el “doble A” lo manejaba “Juancito”, en clara alusión a Rib</w:t>
      </w:r>
      <w:r>
        <w:rPr>
          <w:lang w:val="es-ES_tradnl"/>
        </w:rPr>
        <w:t>e</w:t>
      </w:r>
      <w:r>
        <w:rPr>
          <w:lang w:val="es-ES_tradnl"/>
        </w:rPr>
        <w:t>lli.</w:t>
      </w:r>
    </w:p>
    <w:p w:rsidR="00224567" w:rsidRDefault="00224567">
      <w:pPr>
        <w:widowControl w:val="0"/>
        <w:ind w:firstLine="2835"/>
        <w:rPr>
          <w:lang w:val="es-ES_tradnl"/>
        </w:rPr>
      </w:pPr>
      <w:r>
        <w:rPr>
          <w:lang w:val="es-ES_tradnl"/>
        </w:rPr>
        <w:t>Este sujeto fue detenido mientras co</w:t>
      </w:r>
      <w:r>
        <w:rPr>
          <w:lang w:val="es-ES_tradnl"/>
        </w:rPr>
        <w:t>n</w:t>
      </w:r>
      <w:r>
        <w:rPr>
          <w:lang w:val="es-ES_tradnl"/>
        </w:rPr>
        <w:t>ducía un R</w:t>
      </w:r>
      <w:r>
        <w:rPr>
          <w:lang w:val="es-ES_tradnl"/>
        </w:rPr>
        <w:t>e</w:t>
      </w:r>
      <w:r>
        <w:rPr>
          <w:lang w:val="es-ES_tradnl"/>
        </w:rPr>
        <w:t>nault 18 que fue llevado a la brigada. Para no ser involucrado en algún hecho de su especialidad, debió entregar el vehículo y así obtuvo su libe</w:t>
      </w:r>
      <w:r>
        <w:rPr>
          <w:lang w:val="es-ES_tradnl"/>
        </w:rPr>
        <w:t>r</w:t>
      </w:r>
      <w:r>
        <w:rPr>
          <w:lang w:val="es-ES_tradnl"/>
        </w:rPr>
        <w:t>tad.</w:t>
      </w:r>
    </w:p>
    <w:p w:rsidR="00224567" w:rsidRDefault="00224567">
      <w:pPr>
        <w:widowControl w:val="0"/>
        <w:ind w:firstLine="2835"/>
        <w:rPr>
          <w:lang w:val="es-ES_tradnl"/>
        </w:rPr>
      </w:pPr>
      <w:r>
        <w:rPr>
          <w:lang w:val="es-ES_tradnl"/>
        </w:rPr>
        <w:t>Precisó que para estos casos se hacía firmar al detenido un boleto de compraventa en blanco, asegurándose así la comercialización posterior del vehíc</w:t>
      </w:r>
      <w:r>
        <w:rPr>
          <w:lang w:val="es-ES_tradnl"/>
        </w:rPr>
        <w:t>u</w:t>
      </w:r>
      <w:r>
        <w:rPr>
          <w:lang w:val="es-ES_tradnl"/>
        </w:rPr>
        <w:t>lo. Aclaró que en estos arreglos no se le daba activa pa</w:t>
      </w:r>
      <w:r>
        <w:rPr>
          <w:lang w:val="es-ES_tradnl"/>
        </w:rPr>
        <w:t>r</w:t>
      </w:r>
      <w:r>
        <w:rPr>
          <w:lang w:val="es-ES_tradnl"/>
        </w:rPr>
        <w:t>tic</w:t>
      </w:r>
      <w:r>
        <w:rPr>
          <w:lang w:val="es-ES_tradnl"/>
        </w:rPr>
        <w:t>i</w:t>
      </w:r>
      <w:r>
        <w:rPr>
          <w:lang w:val="es-ES_tradnl"/>
        </w:rPr>
        <w:t>pación, ya que Ribelli lo manejaba con la gente de su confianza pero era inevitable ent</w:t>
      </w:r>
      <w:r>
        <w:rPr>
          <w:lang w:val="es-ES_tradnl"/>
        </w:rPr>
        <w:t>e</w:t>
      </w:r>
      <w:r>
        <w:rPr>
          <w:lang w:val="es-ES_tradnl"/>
        </w:rPr>
        <w:t>rarse de los “aprietes” que se efectu</w:t>
      </w:r>
      <w:r>
        <w:rPr>
          <w:lang w:val="es-ES_tradnl"/>
        </w:rPr>
        <w:t>a</w:t>
      </w:r>
      <w:r>
        <w:rPr>
          <w:lang w:val="es-ES_tradnl"/>
        </w:rPr>
        <w:t>ban en el lugar.</w:t>
      </w:r>
    </w:p>
    <w:p w:rsidR="00224567" w:rsidRDefault="00224567">
      <w:pPr>
        <w:widowControl w:val="0"/>
        <w:ind w:firstLine="2835"/>
        <w:rPr>
          <w:lang w:val="es-ES_tradnl"/>
        </w:rPr>
      </w:pPr>
      <w:r>
        <w:rPr>
          <w:lang w:val="es-ES_tradnl"/>
        </w:rPr>
        <w:t>Dijo que no sabía si todos los rod</w:t>
      </w:r>
      <w:r>
        <w:rPr>
          <w:lang w:val="es-ES_tradnl"/>
        </w:rPr>
        <w:t>a</w:t>
      </w:r>
      <w:r>
        <w:rPr>
          <w:lang w:val="es-ES_tradnl"/>
        </w:rPr>
        <w:t>dos que se pudieron haber obtenido eran comercializados por alguna de las agencias que tenía Ribelli, pero entendía que en alguna oportunidad pudo haber sido así.</w:t>
      </w:r>
    </w:p>
    <w:p w:rsidR="00224567" w:rsidRDefault="00224567">
      <w:pPr>
        <w:widowControl w:val="0"/>
        <w:ind w:firstLine="2835"/>
        <w:rPr>
          <w:lang w:val="es-ES_tradnl"/>
        </w:rPr>
      </w:pPr>
      <w:r>
        <w:rPr>
          <w:lang w:val="es-ES_tradnl"/>
        </w:rPr>
        <w:t>También le constaba la relación que tenía Ribelli con el ambiente judicial, esp</w:t>
      </w:r>
      <w:r>
        <w:rPr>
          <w:lang w:val="es-ES_tradnl"/>
        </w:rPr>
        <w:t>e</w:t>
      </w:r>
      <w:r>
        <w:rPr>
          <w:lang w:val="es-ES_tradnl"/>
        </w:rPr>
        <w:t>cialmente con el Juzgado Criminal nº 10 de Lomas de Zamora, a cargo del Dr. Llermanos. Precisó que existió una gran cantidad de causas en las que éste delegaba su investigación a Rib</w:t>
      </w:r>
      <w:r>
        <w:rPr>
          <w:lang w:val="es-ES_tradnl"/>
        </w:rPr>
        <w:t>e</w:t>
      </w:r>
      <w:r>
        <w:rPr>
          <w:lang w:val="es-ES_tradnl"/>
        </w:rPr>
        <w:t>lli, lo que era de fácil comprobación con sólo pedir la estadística de causas de dicho trib</w:t>
      </w:r>
      <w:r>
        <w:rPr>
          <w:lang w:val="es-ES_tradnl"/>
        </w:rPr>
        <w:t>u</w:t>
      </w:r>
      <w:r>
        <w:rPr>
          <w:lang w:val="es-ES_tradnl"/>
        </w:rPr>
        <w:t>nal.</w:t>
      </w:r>
    </w:p>
    <w:p w:rsidR="00224567" w:rsidRDefault="00224567">
      <w:pPr>
        <w:widowControl w:val="0"/>
        <w:ind w:firstLine="2835"/>
        <w:rPr>
          <w:lang w:val="es-ES_tradnl"/>
        </w:rPr>
      </w:pPr>
      <w:r>
        <w:rPr>
          <w:lang w:val="es-ES_tradnl"/>
        </w:rPr>
        <w:t xml:space="preserve">Indicó que ante </w:t>
      </w:r>
      <w:smartTag w:uri="urn:schemas-microsoft-com:office:smarttags" w:element="PersonName">
        <w:smartTagPr>
          <w:attr w:name="ProductID" w:val="la Corte"/>
        </w:smartTagPr>
        <w:r>
          <w:rPr>
            <w:lang w:val="es-ES_tradnl"/>
          </w:rPr>
          <w:t>la Corte</w:t>
        </w:r>
      </w:smartTag>
      <w:r>
        <w:rPr>
          <w:lang w:val="es-ES_tradnl"/>
        </w:rPr>
        <w:t xml:space="preserve"> de Justicia provincial se hicieron una gran ca</w:t>
      </w:r>
      <w:r>
        <w:rPr>
          <w:lang w:val="es-ES_tradnl"/>
        </w:rPr>
        <w:t>n</w:t>
      </w:r>
      <w:r>
        <w:rPr>
          <w:lang w:val="es-ES_tradnl"/>
        </w:rPr>
        <w:t xml:space="preserve">tidad de denuncias por irregularidades en las que se veían comprometidos tanto el juzgado como </w:t>
      </w:r>
      <w:smartTag w:uri="urn:schemas-microsoft-com:office:smarttags" w:element="PersonName">
        <w:smartTagPr>
          <w:attr w:name="ProductID" w:val="la Brigada"/>
        </w:smartTagPr>
        <w:r>
          <w:rPr>
            <w:lang w:val="es-ES_tradnl"/>
          </w:rPr>
          <w:t>la Brigada</w:t>
        </w:r>
      </w:smartTag>
      <w:r>
        <w:rPr>
          <w:lang w:val="es-ES_tradnl"/>
        </w:rPr>
        <w:t xml:space="preserve"> de Lanús.</w:t>
      </w:r>
    </w:p>
    <w:p w:rsidR="00224567" w:rsidRDefault="00224567">
      <w:pPr>
        <w:widowControl w:val="0"/>
        <w:ind w:firstLine="2835"/>
        <w:rPr>
          <w:lang w:val="es-ES_tradnl"/>
        </w:rPr>
      </w:pPr>
      <w:r>
        <w:rPr>
          <w:lang w:val="es-ES_tradnl"/>
        </w:rPr>
        <w:t>Sostuvo que los procedimientos que se efectuaban utilizando como excusa las causas en las que intervenía el Dr. Llermanos, eran aprovechados para ex</w:t>
      </w:r>
      <w:r>
        <w:rPr>
          <w:lang w:val="es-ES_tradnl"/>
        </w:rPr>
        <w:t>i</w:t>
      </w:r>
      <w:r>
        <w:rPr>
          <w:lang w:val="es-ES_tradnl"/>
        </w:rPr>
        <w:t>girle a los imputados el pago de sumas de dinero, que o</w:t>
      </w:r>
      <w:r>
        <w:rPr>
          <w:lang w:val="es-ES_tradnl"/>
        </w:rPr>
        <w:t>s</w:t>
      </w:r>
      <w:r>
        <w:rPr>
          <w:lang w:val="es-ES_tradnl"/>
        </w:rPr>
        <w:t xml:space="preserve">cilaban entre los $ 10.000 y $ </w:t>
      </w:r>
      <w:smartTag w:uri="urn:schemas-microsoft-com:office:smarttags" w:element="metricconverter">
        <w:smartTagPr>
          <w:attr w:name="ProductID" w:val="100.000, a"/>
        </w:smartTagPr>
        <w:r>
          <w:rPr>
            <w:lang w:val="es-ES_tradnl"/>
          </w:rPr>
          <w:t>100.000, a</w:t>
        </w:r>
      </w:smartTag>
      <w:r>
        <w:rPr>
          <w:lang w:val="es-ES_tradnl"/>
        </w:rPr>
        <w:t xml:space="preserve"> cambio de frenar las investigaci</w:t>
      </w:r>
      <w:r>
        <w:rPr>
          <w:lang w:val="es-ES_tradnl"/>
        </w:rPr>
        <w:t>o</w:t>
      </w:r>
      <w:r>
        <w:rPr>
          <w:lang w:val="es-ES_tradnl"/>
        </w:rPr>
        <w:t>nes.</w:t>
      </w:r>
    </w:p>
    <w:p w:rsidR="00224567" w:rsidRDefault="00224567">
      <w:pPr>
        <w:widowControl w:val="0"/>
        <w:ind w:firstLine="2835"/>
        <w:rPr>
          <w:lang w:val="es-ES_tradnl"/>
        </w:rPr>
      </w:pPr>
      <w:r>
        <w:rPr>
          <w:lang w:val="es-ES_tradnl"/>
        </w:rPr>
        <w:t>No pudo precisar, en atención al tie</w:t>
      </w:r>
      <w:r>
        <w:rPr>
          <w:lang w:val="es-ES_tradnl"/>
        </w:rPr>
        <w:t>m</w:t>
      </w:r>
      <w:r>
        <w:rPr>
          <w:lang w:val="es-ES_tradnl"/>
        </w:rPr>
        <w:t>po transcurrido, todos los hechos en los que Rib</w:t>
      </w:r>
      <w:r>
        <w:rPr>
          <w:lang w:val="es-ES_tradnl"/>
        </w:rPr>
        <w:t>e</w:t>
      </w:r>
      <w:r>
        <w:rPr>
          <w:lang w:val="es-ES_tradnl"/>
        </w:rPr>
        <w:t>lli y su gente utilizaron estas causas del juzgado del Dr. Llerm</w:t>
      </w:r>
      <w:r>
        <w:rPr>
          <w:lang w:val="es-ES_tradnl"/>
        </w:rPr>
        <w:t>a</w:t>
      </w:r>
      <w:r>
        <w:rPr>
          <w:lang w:val="es-ES_tradnl"/>
        </w:rPr>
        <w:t>nos para obtener beneficios económicos, pero afirmó que sus dichos resultaban corroborados por la cantidad de ca</w:t>
      </w:r>
      <w:r>
        <w:rPr>
          <w:lang w:val="es-ES_tradnl"/>
        </w:rPr>
        <w:t>u</w:t>
      </w:r>
      <w:r>
        <w:rPr>
          <w:lang w:val="es-ES_tradnl"/>
        </w:rPr>
        <w:t>sas de dicho tribunal en que intervino la brigada y por las denuncias efe</w:t>
      </w:r>
      <w:r>
        <w:rPr>
          <w:lang w:val="es-ES_tradnl"/>
        </w:rPr>
        <w:t>c</w:t>
      </w:r>
      <w:r>
        <w:rPr>
          <w:lang w:val="es-ES_tradnl"/>
        </w:rPr>
        <w:t>tuadas ante la corte provincial.</w:t>
      </w:r>
    </w:p>
    <w:p w:rsidR="00224567" w:rsidRDefault="00224567">
      <w:pPr>
        <w:widowControl w:val="0"/>
        <w:ind w:firstLine="2835"/>
        <w:rPr>
          <w:lang w:val="es-ES_tradnl"/>
        </w:rPr>
      </w:pPr>
      <w:r>
        <w:rPr>
          <w:lang w:val="es-ES_tradnl"/>
        </w:rPr>
        <w:t>También recordó que Ribelli tenía bu</w:t>
      </w:r>
      <w:r>
        <w:rPr>
          <w:lang w:val="es-ES_tradnl"/>
        </w:rPr>
        <w:t>e</w:t>
      </w:r>
      <w:r>
        <w:rPr>
          <w:lang w:val="es-ES_tradnl"/>
        </w:rPr>
        <w:t>na relación con el Juzgado Criminal nº 4 de Quilmes, del cual el secretario era el Dr. Frasquet, vinculado a Rib</w:t>
      </w:r>
      <w:r>
        <w:rPr>
          <w:lang w:val="es-ES_tradnl"/>
        </w:rPr>
        <w:t>e</w:t>
      </w:r>
      <w:r>
        <w:rPr>
          <w:lang w:val="es-ES_tradnl"/>
        </w:rPr>
        <w:t xml:space="preserve">lli, y que le constaba que también eran derivadas para su investigación muchas causas de dicho tribunal a </w:t>
      </w:r>
      <w:smartTag w:uri="urn:schemas-microsoft-com:office:smarttags" w:element="PersonName">
        <w:smartTagPr>
          <w:attr w:name="ProductID" w:val="la Brigada"/>
        </w:smartTagPr>
        <w:r>
          <w:rPr>
            <w:lang w:val="es-ES_tradnl"/>
          </w:rPr>
          <w:t>la Brigada</w:t>
        </w:r>
      </w:smartTag>
      <w:r>
        <w:rPr>
          <w:lang w:val="es-ES_tradnl"/>
        </w:rPr>
        <w:t xml:space="preserve"> de Lanús y éste co</w:t>
      </w:r>
      <w:r>
        <w:rPr>
          <w:lang w:val="es-ES_tradnl"/>
        </w:rPr>
        <w:t>n</w:t>
      </w:r>
      <w:r>
        <w:rPr>
          <w:lang w:val="es-ES_tradnl"/>
        </w:rPr>
        <w:t>curría a dicho juzgado.</w:t>
      </w:r>
    </w:p>
    <w:p w:rsidR="00224567" w:rsidRDefault="00224567">
      <w:pPr>
        <w:widowControl w:val="0"/>
        <w:ind w:firstLine="2835"/>
        <w:rPr>
          <w:lang w:val="es-ES_tradnl"/>
        </w:rPr>
      </w:pPr>
      <w:r>
        <w:rPr>
          <w:lang w:val="es-ES_tradnl"/>
        </w:rPr>
        <w:t>En especial, rememoró una investig</w:t>
      </w:r>
      <w:r>
        <w:rPr>
          <w:lang w:val="es-ES_tradnl"/>
        </w:rPr>
        <w:t>a</w:t>
      </w:r>
      <w:r>
        <w:rPr>
          <w:lang w:val="es-ES_tradnl"/>
        </w:rPr>
        <w:t>ción relacionada al forzamiento de cajeros de un banco, que se conoció en 1994 como “la causa de los boquet</w:t>
      </w:r>
      <w:r>
        <w:rPr>
          <w:lang w:val="es-ES_tradnl"/>
        </w:rPr>
        <w:t>e</w:t>
      </w:r>
      <w:r>
        <w:rPr>
          <w:lang w:val="es-ES_tradnl"/>
        </w:rPr>
        <w:t>ros”  -cuyas fotocopias vio en la brigada-, en la que se dete</w:t>
      </w:r>
      <w:r>
        <w:rPr>
          <w:lang w:val="es-ES_tradnl"/>
        </w:rPr>
        <w:t>r</w:t>
      </w:r>
      <w:r>
        <w:rPr>
          <w:lang w:val="es-ES_tradnl"/>
        </w:rPr>
        <w:t>minó un faltante entre lo que se había sustra</w:t>
      </w:r>
      <w:r>
        <w:rPr>
          <w:lang w:val="es-ES_tradnl"/>
        </w:rPr>
        <w:t>í</w:t>
      </w:r>
      <w:r>
        <w:rPr>
          <w:lang w:val="es-ES_tradnl"/>
        </w:rPr>
        <w:t>do y lo que se dijo que se había secuestrado. Por comentarios, supo que los detenidos tenían al momento de la intervención p</w:t>
      </w:r>
      <w:r>
        <w:rPr>
          <w:lang w:val="es-ES_tradnl"/>
        </w:rPr>
        <w:t>o</w:t>
      </w:r>
      <w:r>
        <w:rPr>
          <w:lang w:val="es-ES_tradnl"/>
        </w:rPr>
        <w:t>licial $ 234.000 y se dejó constancia únicamente del s</w:t>
      </w:r>
      <w:r>
        <w:rPr>
          <w:lang w:val="es-ES_tradnl"/>
        </w:rPr>
        <w:t>e</w:t>
      </w:r>
      <w:r>
        <w:rPr>
          <w:lang w:val="es-ES_tradnl"/>
        </w:rPr>
        <w:t>cuestro de $ 44.000.</w:t>
      </w:r>
    </w:p>
    <w:p w:rsidR="00224567" w:rsidRDefault="00224567">
      <w:pPr>
        <w:widowControl w:val="0"/>
        <w:ind w:firstLine="2835"/>
        <w:rPr>
          <w:lang w:val="es-ES_tradnl"/>
        </w:rPr>
      </w:pPr>
      <w:r>
        <w:rPr>
          <w:lang w:val="es-ES_tradnl"/>
        </w:rPr>
        <w:t>Detalló que si bien al real</w:t>
      </w:r>
      <w:r>
        <w:rPr>
          <w:lang w:val="es-ES_tradnl"/>
        </w:rPr>
        <w:t>i</w:t>
      </w:r>
      <w:r>
        <w:rPr>
          <w:lang w:val="es-ES_tradnl"/>
        </w:rPr>
        <w:t xml:space="preserve">zarse los allanamientos, las detenciones las efectuaba </w:t>
      </w:r>
      <w:smartTag w:uri="urn:schemas-microsoft-com:office:smarttags" w:element="PersonName">
        <w:smartTagPr>
          <w:attr w:name="ProductID" w:val="la Comisar￭a"/>
        </w:smartTagPr>
        <w:r>
          <w:rPr>
            <w:lang w:val="es-ES_tradnl"/>
          </w:rPr>
          <w:t>la Comis</w:t>
        </w:r>
        <w:r>
          <w:rPr>
            <w:lang w:val="es-ES_tradnl"/>
          </w:rPr>
          <w:t>a</w:t>
        </w:r>
        <w:r>
          <w:rPr>
            <w:lang w:val="es-ES_tradnl"/>
          </w:rPr>
          <w:t>ría</w:t>
        </w:r>
      </w:smartTag>
      <w:r>
        <w:rPr>
          <w:lang w:val="es-ES_tradnl"/>
        </w:rPr>
        <w:t xml:space="preserve"> 3ª de Quilmes, la investigación se derivó a </w:t>
      </w:r>
      <w:smartTag w:uri="urn:schemas-microsoft-com:office:smarttags" w:element="PersonName">
        <w:smartTagPr>
          <w:attr w:name="ProductID" w:val="la Brigada"/>
        </w:smartTagPr>
        <w:r>
          <w:rPr>
            <w:lang w:val="es-ES_tradnl"/>
          </w:rPr>
          <w:t>la Br</w:t>
        </w:r>
        <w:r>
          <w:rPr>
            <w:lang w:val="es-ES_tradnl"/>
          </w:rPr>
          <w:t>i</w:t>
        </w:r>
        <w:r>
          <w:rPr>
            <w:lang w:val="es-ES_tradnl"/>
          </w:rPr>
          <w:t>gada</w:t>
        </w:r>
      </w:smartTag>
      <w:r>
        <w:rPr>
          <w:lang w:val="es-ES_tradnl"/>
        </w:rPr>
        <w:t xml:space="preserve"> de Lanús donde no se investigó el hecho a fondo y se d</w:t>
      </w:r>
      <w:r>
        <w:rPr>
          <w:lang w:val="es-ES_tradnl"/>
        </w:rPr>
        <w:t>e</w:t>
      </w:r>
      <w:r>
        <w:rPr>
          <w:lang w:val="es-ES_tradnl"/>
        </w:rPr>
        <w:t>volvió la causa al juzgado donde también quedó i</w:t>
      </w:r>
      <w:r>
        <w:rPr>
          <w:lang w:val="es-ES_tradnl"/>
        </w:rPr>
        <w:t>n</w:t>
      </w:r>
      <w:r>
        <w:rPr>
          <w:lang w:val="es-ES_tradnl"/>
        </w:rPr>
        <w:t>movilizada. A su entender, ello evidenciaba la conn</w:t>
      </w:r>
      <w:r>
        <w:rPr>
          <w:lang w:val="es-ES_tradnl"/>
        </w:rPr>
        <w:t>i</w:t>
      </w:r>
      <w:r>
        <w:rPr>
          <w:lang w:val="es-ES_tradnl"/>
        </w:rPr>
        <w:t>vencia entre Ribelli y el juzgado de Quilmes.</w:t>
      </w:r>
    </w:p>
    <w:p w:rsidR="00224567" w:rsidRDefault="00224567">
      <w:pPr>
        <w:widowControl w:val="0"/>
        <w:ind w:firstLine="2835"/>
        <w:rPr>
          <w:lang w:val="es-ES_tradnl"/>
        </w:rPr>
      </w:pPr>
      <w:r>
        <w:rPr>
          <w:lang w:val="es-ES_tradnl"/>
        </w:rPr>
        <w:t>Dijo que no conoció al nombrado T</w:t>
      </w:r>
      <w:r>
        <w:rPr>
          <w:lang w:val="es-ES_tradnl"/>
        </w:rPr>
        <w:t>e</w:t>
      </w:r>
      <w:r>
        <w:rPr>
          <w:lang w:val="es-ES_tradnl"/>
        </w:rPr>
        <w:t>lleldín, ni supo que haya entregado dos vehículos, una m</w:t>
      </w:r>
      <w:r>
        <w:rPr>
          <w:lang w:val="es-ES_tradnl"/>
        </w:rPr>
        <w:t>o</w:t>
      </w:r>
      <w:r>
        <w:rPr>
          <w:lang w:val="es-ES_tradnl"/>
        </w:rPr>
        <w:t>tocicleta y dinero en efectivo para recuperar su l</w:t>
      </w:r>
      <w:r>
        <w:rPr>
          <w:lang w:val="es-ES_tradnl"/>
        </w:rPr>
        <w:t>i</w:t>
      </w:r>
      <w:r>
        <w:rPr>
          <w:lang w:val="es-ES_tradnl"/>
        </w:rPr>
        <w:t>bertad, au</w:t>
      </w:r>
      <w:r>
        <w:rPr>
          <w:lang w:val="es-ES_tradnl"/>
        </w:rPr>
        <w:t>n</w:t>
      </w:r>
      <w:r>
        <w:rPr>
          <w:lang w:val="es-ES_tradnl"/>
        </w:rPr>
        <w:t>que tampoco le llamó la atención.</w:t>
      </w:r>
    </w:p>
    <w:p w:rsidR="00224567" w:rsidRDefault="00224567">
      <w:pPr>
        <w:widowControl w:val="0"/>
        <w:ind w:firstLine="2835"/>
        <w:rPr>
          <w:lang w:val="es-ES_tradnl"/>
        </w:rPr>
      </w:pPr>
      <w:r>
        <w:rPr>
          <w:lang w:val="es-ES_tradnl"/>
        </w:rPr>
        <w:t xml:space="preserve">No recordó haber estado en </w:t>
      </w:r>
      <w:smartTag w:uri="urn:schemas-microsoft-com:office:smarttags" w:element="PersonName">
        <w:smartTagPr>
          <w:attr w:name="ProductID" w:val="la Brigada"/>
        </w:smartTagPr>
        <w:r>
          <w:rPr>
            <w:lang w:val="es-ES_tradnl"/>
          </w:rPr>
          <w:t>la Brigada</w:t>
        </w:r>
      </w:smartTag>
      <w:r>
        <w:rPr>
          <w:lang w:val="es-ES_tradnl"/>
        </w:rPr>
        <w:t xml:space="preserve"> de Lanús el 4 de abril de 1994, pero tomó conocimiento, por allegados suyos, que Ribelli se encontraba sumamente preocupado por la situación y estaba interesado en obtener fotocopias de los l</w:t>
      </w:r>
      <w:r>
        <w:rPr>
          <w:lang w:val="es-ES_tradnl"/>
        </w:rPr>
        <w:t>i</w:t>
      </w:r>
      <w:r>
        <w:rPr>
          <w:lang w:val="es-ES_tradnl"/>
        </w:rPr>
        <w:t>bros de la brigada.</w:t>
      </w:r>
    </w:p>
    <w:p w:rsidR="00224567" w:rsidRDefault="00224567">
      <w:pPr>
        <w:widowControl w:val="0"/>
        <w:ind w:firstLine="2835"/>
        <w:rPr>
          <w:lang w:val="es-ES_tradnl"/>
        </w:rPr>
      </w:pPr>
      <w:r>
        <w:rPr>
          <w:lang w:val="es-ES_tradnl"/>
        </w:rPr>
        <w:t>Refirió ignorar todo pormenor respe</w:t>
      </w:r>
      <w:r>
        <w:rPr>
          <w:lang w:val="es-ES_tradnl"/>
        </w:rPr>
        <w:t>c</w:t>
      </w:r>
      <w:r>
        <w:rPr>
          <w:lang w:val="es-ES_tradnl"/>
        </w:rPr>
        <w:t>to de la camioneta Trafic utilizada para el atentado.</w:t>
      </w:r>
    </w:p>
    <w:p w:rsidR="00224567" w:rsidRDefault="00224567">
      <w:pPr>
        <w:widowControl w:val="0"/>
        <w:ind w:firstLine="2835"/>
        <w:rPr>
          <w:lang w:val="es-ES_tradnl"/>
        </w:rPr>
      </w:pPr>
      <w:r>
        <w:rPr>
          <w:lang w:val="es-ES_tradnl"/>
        </w:rPr>
        <w:t>Insistió en que no formó parte del grupo liderado por Ribelli y negó haber perten</w:t>
      </w:r>
      <w:r>
        <w:rPr>
          <w:lang w:val="es-ES_tradnl"/>
        </w:rPr>
        <w:t>e</w:t>
      </w:r>
      <w:r>
        <w:rPr>
          <w:lang w:val="es-ES_tradnl"/>
        </w:rPr>
        <w:t>cido a una as</w:t>
      </w:r>
      <w:r>
        <w:rPr>
          <w:lang w:val="es-ES_tradnl"/>
        </w:rPr>
        <w:t>o</w:t>
      </w:r>
      <w:r>
        <w:rPr>
          <w:lang w:val="es-ES_tradnl"/>
        </w:rPr>
        <w:t>ciación ilícita conformada por ellos.</w:t>
      </w:r>
    </w:p>
    <w:p w:rsidR="00224567" w:rsidRDefault="00224567">
      <w:pPr>
        <w:widowControl w:val="0"/>
        <w:ind w:firstLine="2835"/>
        <w:rPr>
          <w:lang w:val="es-ES_tradnl"/>
        </w:rPr>
      </w:pPr>
      <w:r>
        <w:rPr>
          <w:lang w:val="es-ES_tradnl"/>
        </w:rPr>
        <w:t xml:space="preserve">Expuso desconocer a los imputados que prestaron servicios en </w:t>
      </w:r>
      <w:smartTag w:uri="urn:schemas-microsoft-com:office:smarttags" w:element="PersonName">
        <w:smartTagPr>
          <w:attr w:name="ProductID" w:val="la Brigada"/>
        </w:smartTagPr>
        <w:r>
          <w:rPr>
            <w:lang w:val="es-ES_tradnl"/>
          </w:rPr>
          <w:t>la Brigada</w:t>
        </w:r>
      </w:smartTag>
      <w:r>
        <w:rPr>
          <w:lang w:val="es-ES_tradnl"/>
        </w:rPr>
        <w:t xml:space="preserve"> de Vicente López y man</w:t>
      </w:r>
      <w:r>
        <w:rPr>
          <w:lang w:val="es-ES_tradnl"/>
        </w:rPr>
        <w:t>i</w:t>
      </w:r>
      <w:r>
        <w:rPr>
          <w:lang w:val="es-ES_tradnl"/>
        </w:rPr>
        <w:t>fe</w:t>
      </w:r>
      <w:r>
        <w:rPr>
          <w:lang w:val="es-ES_tradnl"/>
        </w:rPr>
        <w:t>s</w:t>
      </w:r>
      <w:r>
        <w:rPr>
          <w:lang w:val="es-ES_tradnl"/>
        </w:rPr>
        <w:t>tó que nunca prestó servicios con ellos.</w:t>
      </w:r>
    </w:p>
    <w:p w:rsidR="00224567" w:rsidRDefault="00224567">
      <w:pPr>
        <w:widowControl w:val="0"/>
        <w:ind w:firstLine="2835"/>
        <w:rPr>
          <w:lang w:val="es-ES_tradnl"/>
        </w:rPr>
      </w:pPr>
      <w:r>
        <w:rPr>
          <w:lang w:val="es-ES_tradnl"/>
        </w:rPr>
        <w:t xml:space="preserve">Agregó que una vez aprehendido por la presente causa, alojado en </w:t>
      </w:r>
      <w:smartTag w:uri="urn:schemas-microsoft-com:office:smarttags" w:element="PersonName">
        <w:smartTagPr>
          <w:attr w:name="ProductID" w:val="la Unidad"/>
        </w:smartTagPr>
        <w:r>
          <w:rPr>
            <w:lang w:val="es-ES_tradnl"/>
          </w:rPr>
          <w:t>la Unidad</w:t>
        </w:r>
      </w:smartTag>
      <w:r>
        <w:rPr>
          <w:lang w:val="es-ES_tradnl"/>
        </w:rPr>
        <w:t xml:space="preserve"> 16 del Servicio Pen</w:t>
      </w:r>
      <w:r>
        <w:rPr>
          <w:lang w:val="es-ES_tradnl"/>
        </w:rPr>
        <w:t>i</w:t>
      </w:r>
      <w:r>
        <w:rPr>
          <w:lang w:val="es-ES_tradnl"/>
        </w:rPr>
        <w:t>tenciario Federal junto a los demás detenidos, R</w:t>
      </w:r>
      <w:r>
        <w:rPr>
          <w:lang w:val="es-ES_tradnl"/>
        </w:rPr>
        <w:t>i</w:t>
      </w:r>
      <w:r>
        <w:rPr>
          <w:lang w:val="es-ES_tradnl"/>
        </w:rPr>
        <w:t>belli se acercó y le ordenó que se mantuviera en los mismos térm</w:t>
      </w:r>
      <w:r>
        <w:rPr>
          <w:lang w:val="es-ES_tradnl"/>
        </w:rPr>
        <w:t>i</w:t>
      </w:r>
      <w:r>
        <w:rPr>
          <w:lang w:val="es-ES_tradnl"/>
        </w:rPr>
        <w:t>nos que dijera al prestar declaración testimonial en el sumario antes referido, precisamente en cuanto a la s</w:t>
      </w:r>
      <w:r>
        <w:rPr>
          <w:lang w:val="es-ES_tradnl"/>
        </w:rPr>
        <w:t>u</w:t>
      </w:r>
      <w:r>
        <w:rPr>
          <w:lang w:val="es-ES_tradnl"/>
        </w:rPr>
        <w:t>puesta manifestación e</w:t>
      </w:r>
      <w:r>
        <w:rPr>
          <w:lang w:val="es-ES_tradnl"/>
        </w:rPr>
        <w:t>s</w:t>
      </w:r>
      <w:r>
        <w:rPr>
          <w:lang w:val="es-ES_tradnl"/>
        </w:rPr>
        <w:t>pontánea de uno de los detenidos.</w:t>
      </w:r>
    </w:p>
    <w:p w:rsidR="00224567" w:rsidRDefault="00224567">
      <w:pPr>
        <w:widowControl w:val="0"/>
        <w:ind w:firstLine="2835"/>
        <w:rPr>
          <w:lang w:val="es-ES_tradnl"/>
        </w:rPr>
      </w:pPr>
      <w:r>
        <w:rPr>
          <w:lang w:val="es-ES_tradnl"/>
        </w:rPr>
        <w:t>Asimismo, Ribelli le indicó que de lo contrario se olvidara de todo, precisando Ibarra el alca</w:t>
      </w:r>
      <w:r>
        <w:rPr>
          <w:lang w:val="es-ES_tradnl"/>
        </w:rPr>
        <w:t>n</w:t>
      </w:r>
      <w:r>
        <w:rPr>
          <w:lang w:val="es-ES_tradnl"/>
        </w:rPr>
        <w:t>ce de dicha expresión como que debía olvidarse de su fam</w:t>
      </w:r>
      <w:r>
        <w:rPr>
          <w:lang w:val="es-ES_tradnl"/>
        </w:rPr>
        <w:t>i</w:t>
      </w:r>
      <w:r>
        <w:rPr>
          <w:lang w:val="es-ES_tradnl"/>
        </w:rPr>
        <w:t>lia, mujer e hijos. Fundó en tal circunstancia, el hecho de no haber contado la ve</w:t>
      </w:r>
      <w:r>
        <w:rPr>
          <w:lang w:val="es-ES_tradnl"/>
        </w:rPr>
        <w:t>r</w:t>
      </w:r>
      <w:r>
        <w:rPr>
          <w:lang w:val="es-ES_tradnl"/>
        </w:rPr>
        <w:t>dad de lo sucedido.</w:t>
      </w:r>
    </w:p>
    <w:p w:rsidR="00224567" w:rsidRDefault="00224567">
      <w:pPr>
        <w:widowControl w:val="0"/>
        <w:ind w:firstLine="2835"/>
        <w:rPr>
          <w:lang w:val="es-ES_tradnl"/>
        </w:rPr>
      </w:pPr>
      <w:r>
        <w:rPr>
          <w:lang w:val="es-ES_tradnl"/>
        </w:rPr>
        <w:t>Como conclusión final, el dicente</w:t>
      </w:r>
      <w:r>
        <w:rPr>
          <w:b/>
          <w:bCs/>
          <w:i/>
          <w:iCs/>
          <w:lang w:val="es-ES_tradnl"/>
        </w:rPr>
        <w:t xml:space="preserve"> </w:t>
      </w:r>
      <w:r>
        <w:rPr>
          <w:lang w:val="es-ES_tradnl"/>
        </w:rPr>
        <w:t>e</w:t>
      </w:r>
      <w:r>
        <w:rPr>
          <w:lang w:val="es-ES_tradnl"/>
        </w:rPr>
        <w:t>n</w:t>
      </w:r>
      <w:r>
        <w:rPr>
          <w:lang w:val="es-ES_tradnl"/>
        </w:rPr>
        <w:t>tendió que si Telleldín no se hubiera escapado cuando Ib</w:t>
      </w:r>
      <w:r>
        <w:rPr>
          <w:lang w:val="es-ES_tradnl"/>
        </w:rPr>
        <w:t>a</w:t>
      </w:r>
      <w:r>
        <w:rPr>
          <w:lang w:val="es-ES_tradnl"/>
        </w:rPr>
        <w:t>rra fue a detenerlo y no hubiese chocado al taxi y lesi</w:t>
      </w:r>
      <w:r>
        <w:rPr>
          <w:lang w:val="es-ES_tradnl"/>
        </w:rPr>
        <w:t>o</w:t>
      </w:r>
      <w:r>
        <w:rPr>
          <w:lang w:val="es-ES_tradnl"/>
        </w:rPr>
        <w:t>nado a Casas, él no se hubiera visto involucrado en ese hecho.</w:t>
      </w:r>
    </w:p>
    <w:p w:rsidR="00224567" w:rsidRDefault="00224567">
      <w:pPr>
        <w:widowControl w:val="0"/>
        <w:ind w:firstLine="2835"/>
        <w:rPr>
          <w:lang w:val="es-ES_tradnl"/>
        </w:rPr>
      </w:pPr>
      <w:r>
        <w:rPr>
          <w:lang w:val="es-ES_tradnl"/>
        </w:rPr>
        <w:t>Durante esta exposición ante el magi</w:t>
      </w:r>
      <w:r>
        <w:rPr>
          <w:lang w:val="es-ES_tradnl"/>
        </w:rPr>
        <w:t>s</w:t>
      </w:r>
      <w:r>
        <w:rPr>
          <w:lang w:val="es-ES_tradnl"/>
        </w:rPr>
        <w:t>trado instructor, Huici solicitó la aplicación de la fig</w:t>
      </w:r>
      <w:r>
        <w:rPr>
          <w:lang w:val="es-ES_tradnl"/>
        </w:rPr>
        <w:t>u</w:t>
      </w:r>
      <w:r>
        <w:rPr>
          <w:lang w:val="es-ES_tradnl"/>
        </w:rPr>
        <w:t>ra del arrepentido con el fin de no ser involucrado en otras causas. En esa oportunidad agregó que, de no ser así, se vería ante la situación de hacer uso del derecho de negarse a declarar, cuando en realidad su inte</w:t>
      </w:r>
      <w:r>
        <w:rPr>
          <w:lang w:val="es-ES_tradnl"/>
        </w:rPr>
        <w:t>n</w:t>
      </w:r>
      <w:r>
        <w:rPr>
          <w:lang w:val="es-ES_tradnl"/>
        </w:rPr>
        <w:t>ción era la de prestar colaboración en la causa, en la cual no pa</w:t>
      </w:r>
      <w:r>
        <w:rPr>
          <w:lang w:val="es-ES_tradnl"/>
        </w:rPr>
        <w:t>r</w:t>
      </w:r>
      <w:r>
        <w:rPr>
          <w:lang w:val="es-ES_tradnl"/>
        </w:rPr>
        <w:t>ticipó en los delitos endilgados.</w:t>
      </w:r>
    </w:p>
    <w:p w:rsidR="00224567" w:rsidRDefault="00224567">
      <w:pPr>
        <w:widowControl w:val="0"/>
        <w:ind w:firstLine="2835"/>
        <w:rPr>
          <w:lang w:val="es-ES_tradnl"/>
        </w:rPr>
      </w:pPr>
      <w:r>
        <w:t>En la siguiente declaración indagat</w:t>
      </w:r>
      <w:r>
        <w:t>o</w:t>
      </w:r>
      <w:r>
        <w:t>ria prestada el 21 de agosto de 1996 (fs. 40.627/40.630) Huici afirmó que con relación a los arr</w:t>
      </w:r>
      <w:r>
        <w:t>e</w:t>
      </w:r>
      <w:r>
        <w:t>glos referidos en su última declaración, de los que formaban parte el com</w:t>
      </w:r>
      <w:r>
        <w:t>i</w:t>
      </w:r>
      <w:r>
        <w:t>sario Juan José Ribelli y su ge</w:t>
      </w:r>
      <w:r>
        <w:t>n</w:t>
      </w:r>
      <w:r>
        <w:t>te, quería precisar que el nombre completo de la víctima apodada “Dady” era Eduardo Guesin o Gesin, domic</w:t>
      </w:r>
      <w:r>
        <w:t>i</w:t>
      </w:r>
      <w:r>
        <w:t>liado en el barrio de Floresta.</w:t>
      </w:r>
    </w:p>
    <w:p w:rsidR="00224567" w:rsidRDefault="00224567">
      <w:pPr>
        <w:widowControl w:val="0"/>
        <w:ind w:firstLine="2835"/>
        <w:rPr>
          <w:lang w:val="es-ES_tradnl"/>
        </w:rPr>
      </w:pPr>
      <w:r>
        <w:rPr>
          <w:lang w:val="es-ES_tradnl"/>
        </w:rPr>
        <w:t>Dijo que éste estuvo detenido los pr</w:t>
      </w:r>
      <w:r>
        <w:rPr>
          <w:lang w:val="es-ES_tradnl"/>
        </w:rPr>
        <w:t>i</w:t>
      </w:r>
      <w:r>
        <w:rPr>
          <w:lang w:val="es-ES_tradnl"/>
        </w:rPr>
        <w:t xml:space="preserve">meros días del mes de diciembre de 1995 en </w:t>
      </w:r>
      <w:smartTag w:uri="urn:schemas-microsoft-com:office:smarttags" w:element="PersonName">
        <w:smartTagPr>
          <w:attr w:name="ProductID" w:val="la Divisi￳n Sustracci￳n"/>
        </w:smartTagPr>
        <w:r>
          <w:rPr>
            <w:lang w:val="es-ES_tradnl"/>
          </w:rPr>
          <w:t>la División Sustracción</w:t>
        </w:r>
      </w:smartTag>
      <w:r>
        <w:rPr>
          <w:lang w:val="es-ES_tradnl"/>
        </w:rPr>
        <w:t xml:space="preserve"> de Automotores de Vicente López.</w:t>
      </w:r>
    </w:p>
    <w:p w:rsidR="00224567" w:rsidRDefault="00224567">
      <w:pPr>
        <w:widowControl w:val="0"/>
        <w:ind w:firstLine="2835"/>
        <w:rPr>
          <w:lang w:val="es-ES_tradnl"/>
        </w:rPr>
      </w:pPr>
      <w:r>
        <w:rPr>
          <w:lang w:val="es-ES_tradnl"/>
        </w:rPr>
        <w:t>Indicó que el galpón mencionado no quedaba en la zona norte sino en Villa Diamante, Pdo. de Lanús, Prov. de Buenos Aires, y pertenecía a una tercera persona dedicada a la venta mayorista de productos a la que el dicente no conocía. Sostuvo que de ser citado este individuo podría aclarar las circunstancias r</w:t>
      </w:r>
      <w:r>
        <w:rPr>
          <w:lang w:val="es-ES_tradnl"/>
        </w:rPr>
        <w:t>e</w:t>
      </w:r>
      <w:r>
        <w:rPr>
          <w:lang w:val="es-ES_tradnl"/>
        </w:rPr>
        <w:t>feridas.</w:t>
      </w:r>
    </w:p>
    <w:p w:rsidR="00224567" w:rsidRDefault="00224567">
      <w:pPr>
        <w:widowControl w:val="0"/>
        <w:ind w:firstLine="2835"/>
        <w:rPr>
          <w:lang w:val="es-ES_tradnl"/>
        </w:rPr>
      </w:pPr>
      <w:r>
        <w:rPr>
          <w:lang w:val="es-ES_tradnl"/>
        </w:rPr>
        <w:t>Reiteró la solicitud de aplicación a su respecto de la figura del arrepentido.</w:t>
      </w:r>
    </w:p>
    <w:p w:rsidR="00224567" w:rsidRDefault="00224567">
      <w:pPr>
        <w:widowControl w:val="0"/>
        <w:ind w:firstLine="2835"/>
        <w:rPr>
          <w:lang w:val="es-ES_tradnl"/>
        </w:rPr>
      </w:pPr>
      <w:r>
        <w:rPr>
          <w:lang w:val="es-ES_tradnl"/>
        </w:rPr>
        <w:t>Refirió que en el año 1994, sobre la base de lo revelado por un informante, investigó el robo de un camión que transportaba cubiertas por una banda de “piratas del asfalto”. En ese hecho intervino el juzgado de San Nicolás, a cargo del Dr. Alomar.</w:t>
      </w:r>
    </w:p>
    <w:p w:rsidR="00224567" w:rsidRDefault="00224567">
      <w:pPr>
        <w:widowControl w:val="0"/>
        <w:ind w:firstLine="2835"/>
        <w:rPr>
          <w:lang w:val="es-ES_tradnl"/>
        </w:rPr>
      </w:pPr>
      <w:r>
        <w:rPr>
          <w:lang w:val="es-ES_tradnl"/>
        </w:rPr>
        <w:t>A la postre, resultó que se había re</w:t>
      </w:r>
      <w:r>
        <w:rPr>
          <w:lang w:val="es-ES_tradnl"/>
        </w:rPr>
        <w:t>a</w:t>
      </w:r>
      <w:r>
        <w:rPr>
          <w:lang w:val="es-ES_tradnl"/>
        </w:rPr>
        <w:t>lizado una falsa denuncia y quedó al descubierto que se trataba de un robo cometido por el pr</w:t>
      </w:r>
      <w:r>
        <w:rPr>
          <w:lang w:val="es-ES_tradnl"/>
        </w:rPr>
        <w:t>o</w:t>
      </w:r>
      <w:r>
        <w:rPr>
          <w:lang w:val="es-ES_tradnl"/>
        </w:rPr>
        <w:t>pio dueño del camión que transportaba dichas cubiertas, quien las e</w:t>
      </w:r>
      <w:r>
        <w:rPr>
          <w:lang w:val="es-ES_tradnl"/>
        </w:rPr>
        <w:t>n</w:t>
      </w:r>
      <w:r>
        <w:rPr>
          <w:lang w:val="es-ES_tradnl"/>
        </w:rPr>
        <w:t xml:space="preserve">tregó a dos o tres comercios, uno de ellos llamado “Center Gom”, sito en </w:t>
      </w:r>
      <w:smartTag w:uri="urn:schemas-microsoft-com:office:smarttags" w:element="PersonName">
        <w:smartTagPr>
          <w:attr w:name="ProductID" w:val="la Av. San"/>
        </w:smartTagPr>
        <w:r>
          <w:rPr>
            <w:lang w:val="es-ES_tradnl"/>
          </w:rPr>
          <w:t>la Av. San</w:t>
        </w:r>
      </w:smartTag>
      <w:r>
        <w:rPr>
          <w:lang w:val="es-ES_tradnl"/>
        </w:rPr>
        <w:t xml:space="preserve"> Juan de Capital Fed</w:t>
      </w:r>
      <w:r>
        <w:rPr>
          <w:lang w:val="es-ES_tradnl"/>
        </w:rPr>
        <w:t>e</w:t>
      </w:r>
      <w:r>
        <w:rPr>
          <w:lang w:val="es-ES_tradnl"/>
        </w:rPr>
        <w:t>ral.</w:t>
      </w:r>
    </w:p>
    <w:p w:rsidR="00224567" w:rsidRDefault="00224567">
      <w:pPr>
        <w:widowControl w:val="0"/>
        <w:ind w:firstLine="2835"/>
        <w:rPr>
          <w:lang w:val="es-ES_tradnl"/>
        </w:rPr>
      </w:pPr>
      <w:r>
        <w:rPr>
          <w:lang w:val="es-ES_tradnl"/>
        </w:rPr>
        <w:t>Continuó con su relato y dijo que, e</w:t>
      </w:r>
      <w:r>
        <w:rPr>
          <w:lang w:val="es-ES_tradnl"/>
        </w:rPr>
        <w:t>n</w:t>
      </w:r>
      <w:r>
        <w:rPr>
          <w:lang w:val="es-ES_tradnl"/>
        </w:rPr>
        <w:t xml:space="preserve">tre otras personas, quedó detenido un señor llamado Santos Romero –autor del robo-, y que fue alojado en </w:t>
      </w:r>
      <w:smartTag w:uri="urn:schemas-microsoft-com:office:smarttags" w:element="PersonName">
        <w:smartTagPr>
          <w:attr w:name="ProductID" w:val="la Brigada"/>
        </w:smartTagPr>
        <w:r>
          <w:rPr>
            <w:lang w:val="es-ES_tradnl"/>
          </w:rPr>
          <w:t>la Brigada</w:t>
        </w:r>
      </w:smartTag>
      <w:r>
        <w:rPr>
          <w:lang w:val="es-ES_tradnl"/>
        </w:rPr>
        <w:t xml:space="preserve"> de Investigaciones de Lanús. Precisó que la i</w:t>
      </w:r>
      <w:r>
        <w:rPr>
          <w:lang w:val="es-ES_tradnl"/>
        </w:rPr>
        <w:t>n</w:t>
      </w:r>
      <w:r>
        <w:rPr>
          <w:lang w:val="es-ES_tradnl"/>
        </w:rPr>
        <w:t>vestigación se realizó con conoc</w:t>
      </w:r>
      <w:r>
        <w:rPr>
          <w:lang w:val="es-ES_tradnl"/>
        </w:rPr>
        <w:t>i</w:t>
      </w:r>
      <w:r>
        <w:rPr>
          <w:lang w:val="es-ES_tradnl"/>
        </w:rPr>
        <w:t>miento del jefe de operaciones de la brigada, el comisario Juan José Rib</w:t>
      </w:r>
      <w:r>
        <w:rPr>
          <w:lang w:val="es-ES_tradnl"/>
        </w:rPr>
        <w:t>e</w:t>
      </w:r>
      <w:r>
        <w:rPr>
          <w:lang w:val="es-ES_tradnl"/>
        </w:rPr>
        <w:t>lli.</w:t>
      </w:r>
    </w:p>
    <w:p w:rsidR="00224567" w:rsidRDefault="00224567">
      <w:pPr>
        <w:widowControl w:val="0"/>
        <w:ind w:firstLine="2835"/>
        <w:rPr>
          <w:lang w:val="es-ES_tradnl"/>
        </w:rPr>
      </w:pPr>
      <w:r>
        <w:rPr>
          <w:lang w:val="es-ES_tradnl"/>
        </w:rPr>
        <w:t>Ya detenido Santos Romero, se realiz</w:t>
      </w:r>
      <w:r>
        <w:rPr>
          <w:lang w:val="es-ES_tradnl"/>
        </w:rPr>
        <w:t>a</w:t>
      </w:r>
      <w:r>
        <w:rPr>
          <w:lang w:val="es-ES_tradnl"/>
        </w:rPr>
        <w:t>ron diversos allanamientos a fin de secuestrar las cubie</w:t>
      </w:r>
      <w:r>
        <w:rPr>
          <w:lang w:val="es-ES_tradnl"/>
        </w:rPr>
        <w:t>r</w:t>
      </w:r>
      <w:r>
        <w:rPr>
          <w:lang w:val="es-ES_tradnl"/>
        </w:rPr>
        <w:t xml:space="preserve">tas. Uno de ellos se realizó en el citado “Center Gom” de </w:t>
      </w:r>
      <w:smartTag w:uri="urn:schemas-microsoft-com:office:smarttags" w:element="PersonName">
        <w:smartTagPr>
          <w:attr w:name="ProductID" w:val="la Av. San"/>
        </w:smartTagPr>
        <w:r>
          <w:rPr>
            <w:lang w:val="es-ES_tradnl"/>
          </w:rPr>
          <w:t>la Av. San</w:t>
        </w:r>
      </w:smartTag>
      <w:r>
        <w:rPr>
          <w:lang w:val="es-ES_tradnl"/>
        </w:rPr>
        <w:t xml:space="preserve"> Juan y otro en un depósito de esa misma firma sito también en esta ciudad.</w:t>
      </w:r>
    </w:p>
    <w:p w:rsidR="00224567" w:rsidRDefault="00224567">
      <w:pPr>
        <w:widowControl w:val="0"/>
        <w:ind w:firstLine="2835"/>
        <w:rPr>
          <w:lang w:val="es-ES_tradnl"/>
        </w:rPr>
      </w:pPr>
      <w:r>
        <w:rPr>
          <w:lang w:val="es-ES_tradnl"/>
        </w:rPr>
        <w:t>Recordó que en una oportunidad, Rib</w:t>
      </w:r>
      <w:r>
        <w:rPr>
          <w:lang w:val="es-ES_tradnl"/>
        </w:rPr>
        <w:t>e</w:t>
      </w:r>
      <w:r>
        <w:rPr>
          <w:lang w:val="es-ES_tradnl"/>
        </w:rPr>
        <w:t>lli lo llamó para que concurriera a su oficina y le dijo que los de “Center Gom” le habían dado $ 10.000 y que le daba $ 2000 al declarante. Efectivamente, Ribelli en su oficina, le entregó esa suma -en efectivo y en pesos- la que utilizó para el pago de deudas.</w:t>
      </w:r>
    </w:p>
    <w:p w:rsidR="00224567" w:rsidRDefault="00224567">
      <w:pPr>
        <w:widowControl w:val="0"/>
        <w:ind w:firstLine="2835"/>
        <w:rPr>
          <w:lang w:val="es-ES_tradnl"/>
        </w:rPr>
      </w:pPr>
      <w:r>
        <w:rPr>
          <w:lang w:val="es-ES_tradnl"/>
        </w:rPr>
        <w:t>Negó tener conocimiento del modo en que Juan José Ribelli consiguió los $ 10.000 ya que nunca atendió o conoció a nadie responsable de la firma “Ce</w:t>
      </w:r>
      <w:r>
        <w:rPr>
          <w:lang w:val="es-ES_tradnl"/>
        </w:rPr>
        <w:t>n</w:t>
      </w:r>
      <w:r>
        <w:rPr>
          <w:lang w:val="es-ES_tradnl"/>
        </w:rPr>
        <w:t>ter Gom”.</w:t>
      </w:r>
    </w:p>
    <w:p w:rsidR="00224567" w:rsidRDefault="00224567">
      <w:pPr>
        <w:widowControl w:val="0"/>
        <w:ind w:firstLine="2835"/>
        <w:rPr>
          <w:lang w:val="es-ES_tradnl"/>
        </w:rPr>
      </w:pPr>
      <w:r>
        <w:rPr>
          <w:lang w:val="es-ES_tradnl"/>
        </w:rPr>
        <w:t xml:space="preserve">Tampoco supo el momento en que gente de ese comercio fue a </w:t>
      </w:r>
      <w:smartTag w:uri="urn:schemas-microsoft-com:office:smarttags" w:element="PersonName">
        <w:smartTagPr>
          <w:attr w:name="ProductID" w:val="la Brigada"/>
        </w:smartTagPr>
        <w:r>
          <w:rPr>
            <w:lang w:val="es-ES_tradnl"/>
          </w:rPr>
          <w:t>la Brigada</w:t>
        </w:r>
      </w:smartTag>
      <w:r>
        <w:rPr>
          <w:lang w:val="es-ES_tradnl"/>
        </w:rPr>
        <w:t xml:space="preserve"> de Lanús y qué fue lo que m</w:t>
      </w:r>
      <w:r>
        <w:rPr>
          <w:lang w:val="es-ES_tradnl"/>
        </w:rPr>
        <w:t>o</w:t>
      </w:r>
      <w:r>
        <w:rPr>
          <w:lang w:val="es-ES_tradnl"/>
        </w:rPr>
        <w:t>tivó la entrega de dinero.</w:t>
      </w:r>
    </w:p>
    <w:p w:rsidR="00224567" w:rsidRDefault="00224567">
      <w:pPr>
        <w:widowControl w:val="0"/>
        <w:ind w:firstLine="2835"/>
        <w:rPr>
          <w:lang w:val="es-ES_tradnl"/>
        </w:rPr>
      </w:pPr>
      <w:r>
        <w:rPr>
          <w:lang w:val="es-ES_tradnl"/>
        </w:rPr>
        <w:t>Estimó que Ribelli se quedó para sí con parte de los $ 10.000 y no supo si repartió dinero e</w:t>
      </w:r>
      <w:r>
        <w:rPr>
          <w:lang w:val="es-ES_tradnl"/>
        </w:rPr>
        <w:t>n</w:t>
      </w:r>
      <w:r>
        <w:rPr>
          <w:lang w:val="es-ES_tradnl"/>
        </w:rPr>
        <w:t>tre los int</w:t>
      </w:r>
      <w:r>
        <w:rPr>
          <w:lang w:val="es-ES_tradnl"/>
        </w:rPr>
        <w:t>e</w:t>
      </w:r>
      <w:r>
        <w:rPr>
          <w:lang w:val="es-ES_tradnl"/>
        </w:rPr>
        <w:t>grantes de su grupo.</w:t>
      </w:r>
    </w:p>
    <w:p w:rsidR="00224567" w:rsidRDefault="00224567">
      <w:pPr>
        <w:widowControl w:val="0"/>
        <w:ind w:firstLine="2835"/>
        <w:rPr>
          <w:lang w:val="es-ES_tradnl"/>
        </w:rPr>
      </w:pPr>
      <w:r>
        <w:rPr>
          <w:lang w:val="es-ES_tradnl"/>
        </w:rPr>
        <w:t>Exhibidas las copias de las pág</w:t>
      </w:r>
      <w:r>
        <w:rPr>
          <w:lang w:val="es-ES_tradnl"/>
        </w:rPr>
        <w:t>i</w:t>
      </w:r>
      <w:r>
        <w:rPr>
          <w:lang w:val="es-ES_tradnl"/>
        </w:rPr>
        <w:t xml:space="preserve">nas 83 y 91 del libro de guardia de </w:t>
      </w:r>
      <w:smartTag w:uri="urn:schemas-microsoft-com:office:smarttags" w:element="PersonName">
        <w:smartTagPr>
          <w:attr w:name="ProductID" w:val="la Brigada"/>
        </w:smartTagPr>
        <w:r>
          <w:rPr>
            <w:lang w:val="es-ES_tradnl"/>
          </w:rPr>
          <w:t>la Brigada</w:t>
        </w:r>
      </w:smartTag>
      <w:r>
        <w:rPr>
          <w:lang w:val="es-ES_tradnl"/>
        </w:rPr>
        <w:t xml:space="preserve"> de Lanús –obrantes a fs. 37.172 y 37.173- expresó que justamente de allí se desprendía que él a las 7.00 del 5 de abril de 1994 salió hacia el juzgado de San Nicolás junto con el suboficial mayor Juan Martínez, el suboficial pri</w:t>
      </w:r>
      <w:r>
        <w:rPr>
          <w:lang w:val="es-ES_tradnl"/>
        </w:rPr>
        <w:t>n</w:t>
      </w:r>
      <w:r>
        <w:rPr>
          <w:lang w:val="es-ES_tradnl"/>
        </w:rPr>
        <w:t>cipal Córdoba y el sargento primero Antonio Alfonso, trasladando a los det</w:t>
      </w:r>
      <w:r>
        <w:rPr>
          <w:lang w:val="es-ES_tradnl"/>
        </w:rPr>
        <w:t>e</w:t>
      </w:r>
      <w:r>
        <w:rPr>
          <w:lang w:val="es-ES_tradnl"/>
        </w:rPr>
        <w:t>nidos Santos Rom</w:t>
      </w:r>
      <w:r>
        <w:rPr>
          <w:lang w:val="es-ES_tradnl"/>
        </w:rPr>
        <w:t>e</w:t>
      </w:r>
      <w:r>
        <w:rPr>
          <w:lang w:val="es-ES_tradnl"/>
        </w:rPr>
        <w:t>ro y Guillermo Raúl Oller.</w:t>
      </w:r>
    </w:p>
    <w:p w:rsidR="00224567" w:rsidRDefault="00224567">
      <w:pPr>
        <w:widowControl w:val="0"/>
        <w:ind w:firstLine="2835"/>
        <w:rPr>
          <w:lang w:val="es-ES_tradnl"/>
        </w:rPr>
      </w:pPr>
      <w:r>
        <w:rPr>
          <w:lang w:val="es-ES_tradnl"/>
        </w:rPr>
        <w:t>Regresó de dicho juzgado junto con el personal y los detenidos a las 3.05 del 6 de abril de 1994, para que estos recuperaran la libertad desde el asiento de la brigada.</w:t>
      </w:r>
    </w:p>
    <w:p w:rsidR="00224567" w:rsidRDefault="00224567">
      <w:pPr>
        <w:widowControl w:val="0"/>
        <w:ind w:firstLine="2835"/>
        <w:rPr>
          <w:lang w:val="es-ES_tradnl"/>
        </w:rPr>
      </w:pPr>
      <w:r>
        <w:rPr>
          <w:lang w:val="es-ES_tradnl"/>
        </w:rPr>
        <w:t>Entregó a los detenidos en la oficina de guardia para que realizaran los trámites legales de r</w:t>
      </w:r>
      <w:r>
        <w:rPr>
          <w:lang w:val="es-ES_tradnl"/>
        </w:rPr>
        <w:t>i</w:t>
      </w:r>
      <w:r>
        <w:rPr>
          <w:lang w:val="es-ES_tradnl"/>
        </w:rPr>
        <w:t>gor y se retiró diez minutos más tarde a su domicilio, exactamente a las 3.15, según surgía de las copias exhib</w:t>
      </w:r>
      <w:r>
        <w:rPr>
          <w:lang w:val="es-ES_tradnl"/>
        </w:rPr>
        <w:t>i</w:t>
      </w:r>
      <w:r>
        <w:rPr>
          <w:lang w:val="es-ES_tradnl"/>
        </w:rPr>
        <w:t>das.</w:t>
      </w:r>
    </w:p>
    <w:p w:rsidR="00224567" w:rsidRDefault="00224567">
      <w:pPr>
        <w:widowControl w:val="0"/>
        <w:ind w:firstLine="2835"/>
        <w:rPr>
          <w:lang w:val="es-ES_tradnl"/>
        </w:rPr>
      </w:pPr>
      <w:r>
        <w:rPr>
          <w:lang w:val="es-ES_tradnl"/>
        </w:rPr>
        <w:t>Aclaró que la entrega de los $ 2000 por parte de Ribelli se realizó con posterioridad; no r</w:t>
      </w:r>
      <w:r>
        <w:rPr>
          <w:lang w:val="es-ES_tradnl"/>
        </w:rPr>
        <w:t>e</w:t>
      </w:r>
      <w:r>
        <w:rPr>
          <w:lang w:val="es-ES_tradnl"/>
        </w:rPr>
        <w:t>cordó si al día siguiente o transcurridos tres o cuatro días.</w:t>
      </w:r>
    </w:p>
    <w:p w:rsidR="00224567" w:rsidRDefault="00224567">
      <w:pPr>
        <w:widowControl w:val="0"/>
        <w:ind w:firstLine="2835"/>
        <w:rPr>
          <w:lang w:val="es-ES_tradnl"/>
        </w:rPr>
      </w:pPr>
      <w:r>
        <w:rPr>
          <w:lang w:val="es-ES_tradnl"/>
        </w:rPr>
        <w:t>Agregó que concurrió a visitar a los policías detenidos en la comisaría de Ramos M</w:t>
      </w:r>
      <w:r>
        <w:rPr>
          <w:lang w:val="es-ES_tradnl"/>
        </w:rPr>
        <w:t>e</w:t>
      </w:r>
      <w:r>
        <w:rPr>
          <w:lang w:val="es-ES_tradnl"/>
        </w:rPr>
        <w:t>jía por “la masacre de Wilde” en cinco o seis oportunidades. Los vis</w:t>
      </w:r>
      <w:r>
        <w:rPr>
          <w:lang w:val="es-ES_tradnl"/>
        </w:rPr>
        <w:t>i</w:t>
      </w:r>
      <w:r>
        <w:rPr>
          <w:lang w:val="es-ES_tradnl"/>
        </w:rPr>
        <w:t>tó para no quedar como mal compañero, no porque fueran amigos.</w:t>
      </w:r>
    </w:p>
    <w:p w:rsidR="00224567" w:rsidRDefault="00224567">
      <w:pPr>
        <w:widowControl w:val="0"/>
        <w:ind w:firstLine="2835"/>
        <w:rPr>
          <w:lang w:val="es-ES_tradnl"/>
        </w:rPr>
      </w:pPr>
      <w:r>
        <w:rPr>
          <w:lang w:val="es-ES_tradnl"/>
        </w:rPr>
        <w:t>No tuvo conocimiento que se les haya permitido a los detenidos salir de la depende</w:t>
      </w:r>
      <w:r>
        <w:rPr>
          <w:lang w:val="es-ES_tradnl"/>
        </w:rPr>
        <w:t>n</w:t>
      </w:r>
      <w:r>
        <w:rPr>
          <w:lang w:val="es-ES_tradnl"/>
        </w:rPr>
        <w:t>cia como así tampoco de que hayan existido denuncias al respecto por parte de los familiares de las ví</w:t>
      </w:r>
      <w:r>
        <w:rPr>
          <w:lang w:val="es-ES_tradnl"/>
        </w:rPr>
        <w:t>c</w:t>
      </w:r>
      <w:r>
        <w:rPr>
          <w:lang w:val="es-ES_tradnl"/>
        </w:rPr>
        <w:t>timas.</w:t>
      </w:r>
    </w:p>
    <w:p w:rsidR="00224567" w:rsidRDefault="00224567">
      <w:pPr>
        <w:widowControl w:val="0"/>
        <w:ind w:firstLine="2835"/>
        <w:rPr>
          <w:lang w:val="es-ES_tradnl"/>
        </w:rPr>
      </w:pPr>
      <w:r>
        <w:t>En su declaración indagatoria del 20 de mayo de 1997 (fs. 42.253/42.254), Huici refirió que realizó una lectura de diversas declaraciones y pudo a</w:t>
      </w:r>
      <w:r>
        <w:t>d</w:t>
      </w:r>
      <w:r>
        <w:t>vertir que en la ampliación prestada por Claudio Walter Araya a fs. 41.517 no era verdad, como allí se d</w:t>
      </w:r>
      <w:r>
        <w:t>e</w:t>
      </w:r>
      <w:r>
        <w:t>cía, que se hubiera negado a prestar su grupo operativo y su aut</w:t>
      </w:r>
      <w:r>
        <w:t>o</w:t>
      </w:r>
      <w:r>
        <w:t>móvil para concurrir a detener a Carlos Albe</w:t>
      </w:r>
      <w:r>
        <w:t>r</w:t>
      </w:r>
      <w:r>
        <w:t>to Telleldín, ya que en ningún momento le fue ordenado por nadie real</w:t>
      </w:r>
      <w:r>
        <w:t>i</w:t>
      </w:r>
      <w:r>
        <w:t>zar tal d</w:t>
      </w:r>
      <w:r>
        <w:t>e</w:t>
      </w:r>
      <w:r>
        <w:t>tención.</w:t>
      </w:r>
    </w:p>
    <w:p w:rsidR="00224567" w:rsidRDefault="00224567">
      <w:pPr>
        <w:widowControl w:val="0"/>
        <w:ind w:firstLine="2835"/>
        <w:rPr>
          <w:lang w:val="es-ES_tradnl"/>
        </w:rPr>
      </w:pPr>
      <w:r>
        <w:rPr>
          <w:lang w:val="es-ES_tradnl"/>
        </w:rPr>
        <w:t>Dijo que estaba claro que nunca le p</w:t>
      </w:r>
      <w:r>
        <w:rPr>
          <w:lang w:val="es-ES_tradnl"/>
        </w:rPr>
        <w:t>u</w:t>
      </w:r>
      <w:r>
        <w:rPr>
          <w:lang w:val="es-ES_tradnl"/>
        </w:rPr>
        <w:t>dieron ordenar acompañar a Ibarra a realizar el proced</w:t>
      </w:r>
      <w:r>
        <w:rPr>
          <w:lang w:val="es-ES_tradnl"/>
        </w:rPr>
        <w:t>i</w:t>
      </w:r>
      <w:r>
        <w:rPr>
          <w:lang w:val="es-ES_tradnl"/>
        </w:rPr>
        <w:t xml:space="preserve">miento, ya que cuando le ordenaron hacer la declaración espontánea que obraba en la causa n° 5681 </w:t>
      </w:r>
      <w:r>
        <w:t>del Juzgado en lo Criminal y Correccional nº 5 del Depart</w:t>
      </w:r>
      <w:r>
        <w:t>a</w:t>
      </w:r>
      <w:r>
        <w:t>mento Judicial de Quilmes</w:t>
      </w:r>
      <w:r>
        <w:rPr>
          <w:lang w:val="es-ES_tradnl"/>
        </w:rPr>
        <w:t>, mantuvo  un  altercado con Juan José Ribelli  –jefe de operaciones- porque se n</w:t>
      </w:r>
      <w:r>
        <w:rPr>
          <w:lang w:val="es-ES_tradnl"/>
        </w:rPr>
        <w:t>e</w:t>
      </w:r>
      <w:r>
        <w:rPr>
          <w:lang w:val="es-ES_tradnl"/>
        </w:rPr>
        <w:t>gaba a cumplir con ello.</w:t>
      </w:r>
    </w:p>
    <w:p w:rsidR="00224567" w:rsidRDefault="00224567">
      <w:pPr>
        <w:widowControl w:val="0"/>
        <w:ind w:firstLine="2835"/>
        <w:rPr>
          <w:lang w:val="es-ES_tradnl"/>
        </w:rPr>
      </w:pPr>
      <w:r>
        <w:rPr>
          <w:lang w:val="es-ES_tradnl"/>
        </w:rPr>
        <w:t>Sostuvo que no pertenecía a la gente de confianza de Ribelli y que, para esa época, no tenía trato con Araya.</w:t>
      </w:r>
    </w:p>
    <w:p w:rsidR="00224567" w:rsidRDefault="00224567">
      <w:pPr>
        <w:widowControl w:val="0"/>
        <w:ind w:firstLine="2835"/>
        <w:rPr>
          <w:lang w:val="es-ES_tradnl"/>
        </w:rPr>
      </w:pPr>
      <w:r>
        <w:rPr>
          <w:lang w:val="es-ES_tradnl"/>
        </w:rPr>
        <w:t>Aclaró que al momento de los hechos, a Telleldín lo conocía nada más que por el apodo de “el En</w:t>
      </w:r>
      <w:r>
        <w:rPr>
          <w:lang w:val="es-ES_tradnl"/>
        </w:rPr>
        <w:t>a</w:t>
      </w:r>
      <w:r>
        <w:rPr>
          <w:lang w:val="es-ES_tradnl"/>
        </w:rPr>
        <w:t>no”, según lo que Ribelli le ordenó volcar en dicha espo</w:t>
      </w:r>
      <w:r>
        <w:rPr>
          <w:lang w:val="es-ES_tradnl"/>
        </w:rPr>
        <w:t>n</w:t>
      </w:r>
      <w:r>
        <w:rPr>
          <w:lang w:val="es-ES_tradnl"/>
        </w:rPr>
        <w:t>tánea.</w:t>
      </w:r>
    </w:p>
    <w:p w:rsidR="00224567" w:rsidRDefault="00224567">
      <w:pPr>
        <w:widowControl w:val="0"/>
        <w:ind w:firstLine="2835"/>
        <w:rPr>
          <w:lang w:val="es-ES_tradnl"/>
        </w:rPr>
      </w:pPr>
      <w:r>
        <w:rPr>
          <w:lang w:val="es-ES_tradnl"/>
        </w:rPr>
        <w:t>Por otra parte, manifestó que no era verdad lo expresado por Burguete en su declaración indag</w:t>
      </w:r>
      <w:r>
        <w:rPr>
          <w:lang w:val="es-ES_tradnl"/>
        </w:rPr>
        <w:t>a</w:t>
      </w:r>
      <w:r>
        <w:rPr>
          <w:lang w:val="es-ES_tradnl"/>
        </w:rPr>
        <w:t>toria de fs. 39.426/39.436, particularmente a fs. 39.427vta., cuando dijo que la vincul</w:t>
      </w:r>
      <w:r>
        <w:rPr>
          <w:lang w:val="es-ES_tradnl"/>
        </w:rPr>
        <w:t>a</w:t>
      </w:r>
      <w:r>
        <w:rPr>
          <w:lang w:val="es-ES_tradnl"/>
        </w:rPr>
        <w:t>ción del “Enano” al sumario se debió a la información aportada por el subcom</w:t>
      </w:r>
      <w:r>
        <w:rPr>
          <w:lang w:val="es-ES_tradnl"/>
        </w:rPr>
        <w:t>i</w:t>
      </w:r>
      <w:r>
        <w:rPr>
          <w:lang w:val="es-ES_tradnl"/>
        </w:rPr>
        <w:t>sario Huici. Aclaró que no aportó ningún dato, sino que cumplió con la orden de Ribelli.</w:t>
      </w:r>
    </w:p>
    <w:p w:rsidR="00224567" w:rsidRDefault="00224567">
      <w:pPr>
        <w:widowControl w:val="0"/>
        <w:ind w:firstLine="2835"/>
        <w:rPr>
          <w:lang w:val="es-ES_tradnl"/>
        </w:rPr>
      </w:pPr>
      <w:r>
        <w:rPr>
          <w:lang w:val="es-ES_tradnl"/>
        </w:rPr>
        <w:t>Dijo que no mantuvo ninguna convers</w:t>
      </w:r>
      <w:r>
        <w:rPr>
          <w:lang w:val="es-ES_tradnl"/>
        </w:rPr>
        <w:t>a</w:t>
      </w:r>
      <w:r>
        <w:rPr>
          <w:lang w:val="es-ES_tradnl"/>
        </w:rPr>
        <w:t>ción con Burguete, el instructor de la causa y jefe de j</w:t>
      </w:r>
      <w:r>
        <w:rPr>
          <w:lang w:val="es-ES_tradnl"/>
        </w:rPr>
        <w:t>u</w:t>
      </w:r>
      <w:r>
        <w:rPr>
          <w:lang w:val="es-ES_tradnl"/>
        </w:rPr>
        <w:t>diciales. No supo por qué éste le atribuyó el haber apo</w:t>
      </w:r>
      <w:r>
        <w:rPr>
          <w:lang w:val="es-ES_tradnl"/>
        </w:rPr>
        <w:t>r</w:t>
      </w:r>
      <w:r>
        <w:rPr>
          <w:lang w:val="es-ES_tradnl"/>
        </w:rPr>
        <w:t>tado la información en cuestión.</w:t>
      </w:r>
    </w:p>
    <w:p w:rsidR="00224567" w:rsidRDefault="00224567">
      <w:pPr>
        <w:widowControl w:val="0"/>
        <w:ind w:firstLine="2835"/>
        <w:rPr>
          <w:lang w:val="es-ES_tradnl"/>
        </w:rPr>
      </w:pPr>
      <w:r>
        <w:t>En su declaración prestada el 9 de f</w:t>
      </w:r>
      <w:r>
        <w:t>e</w:t>
      </w:r>
      <w:r>
        <w:t>brero de 1998 (fs. 45.474/45.478), Huici sostuvo que en sus anteriores indagatorias se había sentido presionado por su abogado, el Dr. Guillermo Federico Domí</w:t>
      </w:r>
      <w:r>
        <w:t>n</w:t>
      </w:r>
      <w:r>
        <w:t xml:space="preserve">guez quien, en connivencia con </w:t>
      </w:r>
      <w:smartTag w:uri="urn:schemas-microsoft-com:office:smarttags" w:element="PersonName">
        <w:smartTagPr>
          <w:attr w:name="ProductID" w:val="la Dra. Marta"/>
        </w:smartTagPr>
        <w:r>
          <w:t>la Dra. Marta</w:t>
        </w:r>
      </w:smartTag>
      <w:r>
        <w:t xml:space="preserve"> Parascá</w:t>
      </w:r>
      <w:r>
        <w:t>n</w:t>
      </w:r>
      <w:r>
        <w:t>dolo, lo indujo a declarar diferentes mentiras e incorporar cuestiones que desconocía.</w:t>
      </w:r>
    </w:p>
    <w:p w:rsidR="00224567" w:rsidRDefault="00224567">
      <w:pPr>
        <w:widowControl w:val="0"/>
        <w:ind w:firstLine="2835"/>
        <w:rPr>
          <w:lang w:val="es-ES_tradnl"/>
        </w:rPr>
      </w:pPr>
      <w:r>
        <w:rPr>
          <w:lang w:val="es-ES_tradnl"/>
        </w:rPr>
        <w:t>Dijo que en aquellas exposiciones siempre manifestó que al “Enano” se le había entr</w:t>
      </w:r>
      <w:r>
        <w:rPr>
          <w:lang w:val="es-ES_tradnl"/>
        </w:rPr>
        <w:t>e</w:t>
      </w:r>
      <w:r>
        <w:rPr>
          <w:lang w:val="es-ES_tradnl"/>
        </w:rPr>
        <w:t>gado un automóvil marca Peugeot 505 color marrón. Aclaró en ese acto que cuando realizó tareas en el marco de la invest</w:t>
      </w:r>
      <w:r>
        <w:rPr>
          <w:lang w:val="es-ES_tradnl"/>
        </w:rPr>
        <w:t>i</w:t>
      </w:r>
      <w:r>
        <w:rPr>
          <w:lang w:val="es-ES_tradnl"/>
        </w:rPr>
        <w:t>gación de la mencionada causa n° 5681, siempre buscó un auto de esas características, por ente</w:t>
      </w:r>
      <w:r>
        <w:rPr>
          <w:lang w:val="es-ES_tradnl"/>
        </w:rPr>
        <w:t>n</w:t>
      </w:r>
      <w:r>
        <w:rPr>
          <w:lang w:val="es-ES_tradnl"/>
        </w:rPr>
        <w:t>der que con éste se había llevado a cabo el hecho de la sod</w:t>
      </w:r>
      <w:r>
        <w:rPr>
          <w:lang w:val="es-ES_tradnl"/>
        </w:rPr>
        <w:t>e</w:t>
      </w:r>
      <w:r>
        <w:rPr>
          <w:lang w:val="es-ES_tradnl"/>
        </w:rPr>
        <w:t>ría.</w:t>
      </w:r>
    </w:p>
    <w:p w:rsidR="00224567" w:rsidRDefault="00224567">
      <w:pPr>
        <w:widowControl w:val="0"/>
        <w:ind w:firstLine="2835"/>
        <w:rPr>
          <w:lang w:val="es-ES_tradnl"/>
        </w:rPr>
      </w:pPr>
      <w:r>
        <w:rPr>
          <w:lang w:val="es-ES_tradnl"/>
        </w:rPr>
        <w:t xml:space="preserve">Agregó que en la declaración obrante en las actuaciones que se labraron ante </w:t>
      </w:r>
      <w:smartTag w:uri="urn:schemas-microsoft-com:office:smarttags" w:element="PersonName">
        <w:smartTagPr>
          <w:attr w:name="ProductID" w:val="la Brigada"/>
        </w:smartTagPr>
        <w:r>
          <w:rPr>
            <w:lang w:val="es-ES_tradnl"/>
          </w:rPr>
          <w:t>la Brigada</w:t>
        </w:r>
      </w:smartTag>
      <w:r>
        <w:rPr>
          <w:lang w:val="es-ES_tradnl"/>
        </w:rPr>
        <w:t xml:space="preserve"> de I</w:t>
      </w:r>
      <w:r>
        <w:rPr>
          <w:lang w:val="es-ES_tradnl"/>
        </w:rPr>
        <w:t>n</w:t>
      </w:r>
      <w:r>
        <w:rPr>
          <w:lang w:val="es-ES_tradnl"/>
        </w:rPr>
        <w:t>vestigaciones II de Lanús, firmada por él, se mencionaba que al “Enano” se le entregó un Ford Falcon.</w:t>
      </w:r>
    </w:p>
    <w:p w:rsidR="00224567" w:rsidRDefault="00224567">
      <w:pPr>
        <w:widowControl w:val="0"/>
        <w:ind w:firstLine="2835"/>
        <w:rPr>
          <w:lang w:val="es-ES_tradnl"/>
        </w:rPr>
      </w:pPr>
      <w:r>
        <w:rPr>
          <w:lang w:val="es-ES_tradnl"/>
        </w:rPr>
        <w:t>En definitiva, dijo que nunca s</w:t>
      </w:r>
      <w:r>
        <w:rPr>
          <w:lang w:val="es-ES_tradnl"/>
        </w:rPr>
        <w:t>u</w:t>
      </w:r>
      <w:r>
        <w:rPr>
          <w:lang w:val="es-ES_tradnl"/>
        </w:rPr>
        <w:t>po que al “Enano” se le había entregado un Ford Fa</w:t>
      </w:r>
      <w:r>
        <w:rPr>
          <w:lang w:val="es-ES_tradnl"/>
        </w:rPr>
        <w:t>l</w:t>
      </w:r>
      <w:r>
        <w:rPr>
          <w:lang w:val="es-ES_tradnl"/>
        </w:rPr>
        <w:t xml:space="preserve">con y que ello significaba que en la oficina judicial de </w:t>
      </w:r>
      <w:smartTag w:uri="urn:schemas-microsoft-com:office:smarttags" w:element="PersonName">
        <w:smartTagPr>
          <w:attr w:name="ProductID" w:val="la Brigada"/>
        </w:smartTagPr>
        <w:r>
          <w:rPr>
            <w:lang w:val="es-ES_tradnl"/>
          </w:rPr>
          <w:t>la Brigada</w:t>
        </w:r>
      </w:smartTag>
      <w:r>
        <w:rPr>
          <w:lang w:val="es-ES_tradnl"/>
        </w:rPr>
        <w:t xml:space="preserve"> de Investigaciones II de Lanús se “armó” su declaración e</w:t>
      </w:r>
      <w:r>
        <w:rPr>
          <w:lang w:val="es-ES_tradnl"/>
        </w:rPr>
        <w:t>s</w:t>
      </w:r>
      <w:r>
        <w:rPr>
          <w:lang w:val="es-ES_tradnl"/>
        </w:rPr>
        <w:t>pontánea, es decir, ésta ya estaba escrita y él únicamente la firmó, desconociendo si lo asentado era verdad o no. Así, refirió que no sabía que se hablaba en ella de un Ford Falcon, y por eso en su declaración indagatoria se refirió a un Pe</w:t>
      </w:r>
      <w:r>
        <w:rPr>
          <w:lang w:val="es-ES_tradnl"/>
        </w:rPr>
        <w:t>u</w:t>
      </w:r>
      <w:r>
        <w:rPr>
          <w:lang w:val="es-ES_tradnl"/>
        </w:rPr>
        <w:t>geot.</w:t>
      </w:r>
    </w:p>
    <w:p w:rsidR="00224567" w:rsidRDefault="00224567">
      <w:pPr>
        <w:widowControl w:val="0"/>
        <w:ind w:firstLine="2835"/>
        <w:rPr>
          <w:lang w:val="es-ES_tradnl"/>
        </w:rPr>
      </w:pPr>
      <w:r>
        <w:rPr>
          <w:lang w:val="es-ES_tradnl"/>
        </w:rPr>
        <w:t>Señaló que esa declaración espo</w:t>
      </w:r>
      <w:r>
        <w:rPr>
          <w:lang w:val="es-ES_tradnl"/>
        </w:rPr>
        <w:t>n</w:t>
      </w:r>
      <w:r>
        <w:rPr>
          <w:lang w:val="es-ES_tradnl"/>
        </w:rPr>
        <w:t>tánea fue para justificar en el sumario administrativo las l</w:t>
      </w:r>
      <w:r>
        <w:rPr>
          <w:lang w:val="es-ES_tradnl"/>
        </w:rPr>
        <w:t>e</w:t>
      </w:r>
      <w:r>
        <w:rPr>
          <w:lang w:val="es-ES_tradnl"/>
        </w:rPr>
        <w:t>siones de Casas.</w:t>
      </w:r>
    </w:p>
    <w:p w:rsidR="00224567" w:rsidRDefault="00224567">
      <w:pPr>
        <w:widowControl w:val="0"/>
        <w:ind w:firstLine="2835"/>
        <w:rPr>
          <w:lang w:val="es-ES_tradnl"/>
        </w:rPr>
      </w:pPr>
      <w:r>
        <w:rPr>
          <w:lang w:val="es-ES_tradnl"/>
        </w:rPr>
        <w:t>Aclaró que el comisario Burguete est</w:t>
      </w:r>
      <w:r>
        <w:rPr>
          <w:lang w:val="es-ES_tradnl"/>
        </w:rPr>
        <w:t>u</w:t>
      </w:r>
      <w:r>
        <w:rPr>
          <w:lang w:val="es-ES_tradnl"/>
        </w:rPr>
        <w:t>vo al tanto de que el contenido de dicha declaración era falso; y que, en su carácter de segu</w:t>
      </w:r>
      <w:r>
        <w:rPr>
          <w:lang w:val="es-ES_tradnl"/>
        </w:rPr>
        <w:t>n</w:t>
      </w:r>
      <w:r>
        <w:rPr>
          <w:lang w:val="es-ES_tradnl"/>
        </w:rPr>
        <w:t>do jefe de la brigada y jefe de la oficina de judici</w:t>
      </w:r>
      <w:r>
        <w:rPr>
          <w:lang w:val="es-ES_tradnl"/>
        </w:rPr>
        <w:t>a</w:t>
      </w:r>
      <w:r>
        <w:rPr>
          <w:lang w:val="es-ES_tradnl"/>
        </w:rPr>
        <w:t>les, al estar a cargo de la instrucción de sumarios y causas y de todo trámite jud</w:t>
      </w:r>
      <w:r>
        <w:rPr>
          <w:lang w:val="es-ES_tradnl"/>
        </w:rPr>
        <w:t>i</w:t>
      </w:r>
      <w:r>
        <w:rPr>
          <w:lang w:val="es-ES_tradnl"/>
        </w:rPr>
        <w:t xml:space="preserve">cial que existió en </w:t>
      </w:r>
      <w:smartTag w:uri="urn:schemas-microsoft-com:office:smarttags" w:element="PersonName">
        <w:smartTagPr>
          <w:attr w:name="ProductID" w:val="la Brigada"/>
        </w:smartTagPr>
        <w:r>
          <w:rPr>
            <w:lang w:val="es-ES_tradnl"/>
          </w:rPr>
          <w:t>la Brigada</w:t>
        </w:r>
      </w:smartTag>
      <w:r>
        <w:rPr>
          <w:lang w:val="es-ES_tradnl"/>
        </w:rPr>
        <w:t xml:space="preserve"> de Lanús, tenía responsab</w:t>
      </w:r>
      <w:r>
        <w:rPr>
          <w:lang w:val="es-ES_tradnl"/>
        </w:rPr>
        <w:t>i</w:t>
      </w:r>
      <w:r>
        <w:rPr>
          <w:lang w:val="es-ES_tradnl"/>
        </w:rPr>
        <w:t>lidad en el hecho.</w:t>
      </w:r>
    </w:p>
    <w:p w:rsidR="00224567" w:rsidRDefault="00224567">
      <w:pPr>
        <w:widowControl w:val="0"/>
        <w:ind w:firstLine="2835"/>
        <w:rPr>
          <w:lang w:val="es-ES_tradnl"/>
        </w:rPr>
      </w:pPr>
      <w:r>
        <w:rPr>
          <w:lang w:val="es-ES_tradnl"/>
        </w:rPr>
        <w:t>Que en las anteriores declaraci</w:t>
      </w:r>
      <w:r>
        <w:rPr>
          <w:lang w:val="es-ES_tradnl"/>
        </w:rPr>
        <w:t>o</w:t>
      </w:r>
      <w:r>
        <w:rPr>
          <w:lang w:val="es-ES_tradnl"/>
        </w:rPr>
        <w:t xml:space="preserve">nes no manifestó esto por consejo del Dr. Domínguez. Indicó que a su vez </w:t>
      </w:r>
      <w:smartTag w:uri="urn:schemas-microsoft-com:office:smarttags" w:element="PersonName">
        <w:smartTagPr>
          <w:attr w:name="ProductID" w:val="la Dra. Parasc￡ndolo"/>
        </w:smartTagPr>
        <w:r>
          <w:rPr>
            <w:lang w:val="es-ES_tradnl"/>
          </w:rPr>
          <w:t>la Dra. Parascándolo</w:t>
        </w:r>
      </w:smartTag>
      <w:r>
        <w:rPr>
          <w:lang w:val="es-ES_tradnl"/>
        </w:rPr>
        <w:t xml:space="preserve"> le propuso eso a su abogado para no entorpecer lo declarado por Burguete ni la recup</w:t>
      </w:r>
      <w:r>
        <w:rPr>
          <w:lang w:val="es-ES_tradnl"/>
        </w:rPr>
        <w:t>e</w:t>
      </w:r>
      <w:r>
        <w:rPr>
          <w:lang w:val="es-ES_tradnl"/>
        </w:rPr>
        <w:t>ración de su libertad.</w:t>
      </w:r>
    </w:p>
    <w:p w:rsidR="00224567" w:rsidRDefault="00224567">
      <w:pPr>
        <w:widowControl w:val="0"/>
        <w:ind w:firstLine="2835"/>
        <w:rPr>
          <w:lang w:val="es-ES_tradnl"/>
        </w:rPr>
      </w:pPr>
      <w:r>
        <w:rPr>
          <w:lang w:val="es-ES_tradnl"/>
        </w:rPr>
        <w:t>Entendió que si hubiera declarado la verdad quedaba al descubierto la relación amistosa que existía entre Burguete y Juan José Ribelli y el grupo de confianza de éste.</w:t>
      </w:r>
    </w:p>
    <w:p w:rsidR="00224567" w:rsidRDefault="00224567">
      <w:pPr>
        <w:widowControl w:val="0"/>
        <w:ind w:firstLine="2835"/>
        <w:rPr>
          <w:lang w:val="es-ES_tradnl"/>
        </w:rPr>
      </w:pPr>
      <w:r>
        <w:rPr>
          <w:lang w:val="es-ES_tradnl"/>
        </w:rPr>
        <w:t xml:space="preserve">Destacó que ellos venían trabajando juntos en destinos anteriores y que por esta relación amistosa, Burguete quedó como segundo jefe de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nús.</w:t>
      </w:r>
    </w:p>
    <w:p w:rsidR="00224567" w:rsidRDefault="00224567">
      <w:pPr>
        <w:widowControl w:val="0"/>
        <w:ind w:firstLine="2835"/>
        <w:rPr>
          <w:lang w:val="es-ES_tradnl"/>
        </w:rPr>
      </w:pPr>
      <w:r>
        <w:rPr>
          <w:lang w:val="es-ES_tradnl"/>
        </w:rPr>
        <w:t xml:space="preserve">Dijo que el 17 de julio de </w:t>
      </w:r>
      <w:smartTag w:uri="urn:schemas-microsoft-com:office:smarttags" w:element="metricconverter">
        <w:smartTagPr>
          <w:attr w:name="ProductID" w:val="1996, a"/>
        </w:smartTagPr>
        <w:r>
          <w:rPr>
            <w:lang w:val="es-ES_tradnl"/>
          </w:rPr>
          <w:t>1996, a</w:t>
        </w:r>
      </w:smartTag>
      <w:r>
        <w:rPr>
          <w:lang w:val="es-ES_tradnl"/>
        </w:rPr>
        <w:t xml:space="preserve"> p</w:t>
      </w:r>
      <w:r>
        <w:rPr>
          <w:lang w:val="es-ES_tradnl"/>
        </w:rPr>
        <w:t>e</w:t>
      </w:r>
      <w:r>
        <w:rPr>
          <w:lang w:val="es-ES_tradnl"/>
        </w:rPr>
        <w:t xml:space="preserve">dido de </w:t>
      </w:r>
      <w:smartTag w:uri="urn:schemas-microsoft-com:office:smarttags" w:element="PersonName">
        <w:smartTagPr>
          <w:attr w:name="ProductID" w:val="la Dra. Parasc￡ndolo"/>
        </w:smartTagPr>
        <w:r>
          <w:rPr>
            <w:lang w:val="es-ES_tradnl"/>
          </w:rPr>
          <w:t>la Dra. Parascándolo</w:t>
        </w:r>
      </w:smartTag>
      <w:r>
        <w:rPr>
          <w:lang w:val="es-ES_tradnl"/>
        </w:rPr>
        <w:t>, lo trasladaron al juzgado para ampliarle su indagatoria. Precisó que cuando compar</w:t>
      </w:r>
      <w:r>
        <w:rPr>
          <w:lang w:val="es-ES_tradnl"/>
        </w:rPr>
        <w:t>e</w:t>
      </w:r>
      <w:r>
        <w:rPr>
          <w:lang w:val="es-ES_tradnl"/>
        </w:rPr>
        <w:t>ció al tribunal fue entrevistado por dicha letrada quien le manifestó que Burguete y su mujer se encontraban reun</w:t>
      </w:r>
      <w:r>
        <w:rPr>
          <w:lang w:val="es-ES_tradnl"/>
        </w:rPr>
        <w:t>i</w:t>
      </w:r>
      <w:r>
        <w:rPr>
          <w:lang w:val="es-ES_tradnl"/>
        </w:rPr>
        <w:t>dos con el juez. También le refirió que Burguete estaba prestando declaración en los términos que ella le había indicado.</w:t>
      </w:r>
    </w:p>
    <w:p w:rsidR="00224567" w:rsidRDefault="00224567">
      <w:pPr>
        <w:widowControl w:val="0"/>
        <w:ind w:firstLine="2835"/>
        <w:rPr>
          <w:lang w:val="es-ES_tradnl"/>
        </w:rPr>
      </w:pPr>
      <w:r>
        <w:rPr>
          <w:lang w:val="es-ES_tradnl"/>
        </w:rPr>
        <w:t>Él debía “tirarle mierda” a Rib</w:t>
      </w:r>
      <w:r>
        <w:rPr>
          <w:lang w:val="es-ES_tradnl"/>
        </w:rPr>
        <w:t>e</w:t>
      </w:r>
      <w:r>
        <w:rPr>
          <w:lang w:val="es-ES_tradnl"/>
        </w:rPr>
        <w:t xml:space="preserve">lli y manifestar que la camioneta Trafic se la había visto a Leal y a Ribelli en </w:t>
      </w:r>
      <w:smartTag w:uri="urn:schemas-microsoft-com:office:smarttags" w:element="PersonName">
        <w:smartTagPr>
          <w:attr w:name="ProductID" w:val="la Brigada"/>
        </w:smartTagPr>
        <w:r>
          <w:rPr>
            <w:lang w:val="es-ES_tradnl"/>
          </w:rPr>
          <w:t>la Brigada</w:t>
        </w:r>
      </w:smartTag>
      <w:r>
        <w:rPr>
          <w:lang w:val="es-ES_tradnl"/>
        </w:rPr>
        <w:t xml:space="preserve"> de Lanús. Le dijo también que lo pensara ya que de ello dependía su libe</w:t>
      </w:r>
      <w:r>
        <w:rPr>
          <w:lang w:val="es-ES_tradnl"/>
        </w:rPr>
        <w:t>r</w:t>
      </w:r>
      <w:r>
        <w:rPr>
          <w:lang w:val="es-ES_tradnl"/>
        </w:rPr>
        <w:t>tad.</w:t>
      </w:r>
    </w:p>
    <w:p w:rsidR="00224567" w:rsidRDefault="00224567">
      <w:pPr>
        <w:widowControl w:val="0"/>
        <w:ind w:firstLine="2835"/>
        <w:rPr>
          <w:lang w:val="es-ES_tradnl"/>
        </w:rPr>
      </w:pPr>
      <w:r>
        <w:rPr>
          <w:lang w:val="es-ES_tradnl"/>
        </w:rPr>
        <w:t>El dicente respondió que no declar</w:t>
      </w:r>
      <w:r>
        <w:rPr>
          <w:lang w:val="es-ES_tradnl"/>
        </w:rPr>
        <w:t>a</w:t>
      </w:r>
      <w:r>
        <w:rPr>
          <w:lang w:val="es-ES_tradnl"/>
        </w:rPr>
        <w:t>ría en ese sentido ya que no era verdad lo que le estaba sug</w:t>
      </w:r>
      <w:r>
        <w:rPr>
          <w:lang w:val="es-ES_tradnl"/>
        </w:rPr>
        <w:t>i</w:t>
      </w:r>
      <w:r>
        <w:rPr>
          <w:lang w:val="es-ES_tradnl"/>
        </w:rPr>
        <w:t>rie</w:t>
      </w:r>
      <w:r>
        <w:rPr>
          <w:lang w:val="es-ES_tradnl"/>
        </w:rPr>
        <w:t>n</w:t>
      </w:r>
      <w:r>
        <w:rPr>
          <w:lang w:val="es-ES_tradnl"/>
        </w:rPr>
        <w:t>do y que a Leal no lo conocía.</w:t>
      </w:r>
    </w:p>
    <w:p w:rsidR="00224567" w:rsidRDefault="00224567">
      <w:pPr>
        <w:widowControl w:val="0"/>
        <w:ind w:firstLine="2835"/>
        <w:rPr>
          <w:lang w:val="es-ES_tradnl"/>
        </w:rPr>
      </w:pPr>
      <w:r>
        <w:rPr>
          <w:lang w:val="es-ES_tradnl"/>
        </w:rPr>
        <w:t>También sostuvo que el Dr. Domínguez le proporcionó datos para que volcara en sus declaraci</w:t>
      </w:r>
      <w:r>
        <w:rPr>
          <w:lang w:val="es-ES_tradnl"/>
        </w:rPr>
        <w:t>o</w:t>
      </w:r>
      <w:r>
        <w:rPr>
          <w:lang w:val="es-ES_tradnl"/>
        </w:rPr>
        <w:t>nes. Estimó que a Domínguez se los acercó Burguete. Esto ocurrió después del dictado de la prisión preventiva, cuando asumieron Domínguez y Moran como sus d</w:t>
      </w:r>
      <w:r>
        <w:rPr>
          <w:lang w:val="es-ES_tradnl"/>
        </w:rPr>
        <w:t>e</w:t>
      </w:r>
      <w:r>
        <w:rPr>
          <w:lang w:val="es-ES_tradnl"/>
        </w:rPr>
        <w:t>fensores.</w:t>
      </w:r>
    </w:p>
    <w:p w:rsidR="00224567" w:rsidRDefault="00224567">
      <w:pPr>
        <w:widowControl w:val="0"/>
        <w:ind w:firstLine="2835"/>
        <w:rPr>
          <w:lang w:val="es-ES_tradnl"/>
        </w:rPr>
      </w:pPr>
      <w:r>
        <w:rPr>
          <w:lang w:val="es-ES_tradnl"/>
        </w:rPr>
        <w:t>Esos datos deberían comprometer a R</w:t>
      </w:r>
      <w:r>
        <w:rPr>
          <w:lang w:val="es-ES_tradnl"/>
        </w:rPr>
        <w:t>i</w:t>
      </w:r>
      <w:r>
        <w:rPr>
          <w:lang w:val="es-ES_tradnl"/>
        </w:rPr>
        <w:t>belli, al igual que las manifestaciones de Burgu</w:t>
      </w:r>
      <w:r>
        <w:rPr>
          <w:lang w:val="es-ES_tradnl"/>
        </w:rPr>
        <w:t>e</w:t>
      </w:r>
      <w:r>
        <w:rPr>
          <w:lang w:val="es-ES_tradnl"/>
        </w:rPr>
        <w:t>te.</w:t>
      </w:r>
    </w:p>
    <w:p w:rsidR="00224567" w:rsidRDefault="00224567">
      <w:pPr>
        <w:widowControl w:val="0"/>
        <w:ind w:firstLine="2835"/>
        <w:rPr>
          <w:lang w:val="es-ES_tradnl"/>
        </w:rPr>
      </w:pPr>
      <w:r>
        <w:rPr>
          <w:lang w:val="es-ES_tradnl"/>
        </w:rPr>
        <w:t>El Dr. Domínguez le dijo que se vería beneficiado con la libertad, como ya había ocurrido con Burguete, manifestando aquél que estas promesas prov</w:t>
      </w:r>
      <w:r>
        <w:rPr>
          <w:lang w:val="es-ES_tradnl"/>
        </w:rPr>
        <w:t>e</w:t>
      </w:r>
      <w:r>
        <w:rPr>
          <w:lang w:val="es-ES_tradnl"/>
        </w:rPr>
        <w:t>nían del Dr. Galeano. El dicente dijo que confiaba en el Dr. Domínguez por ser su defensor y porque lo conocía desde hacía tiempo.</w:t>
      </w:r>
    </w:p>
    <w:p w:rsidR="00224567" w:rsidRDefault="00224567">
      <w:pPr>
        <w:widowControl w:val="0"/>
        <w:ind w:firstLine="2835"/>
        <w:rPr>
          <w:lang w:val="es-ES_tradnl"/>
        </w:rPr>
      </w:pPr>
      <w:r>
        <w:rPr>
          <w:lang w:val="es-ES_tradnl"/>
        </w:rPr>
        <w:t>Con relación a la información propo</w:t>
      </w:r>
      <w:r>
        <w:rPr>
          <w:lang w:val="es-ES_tradnl"/>
        </w:rPr>
        <w:t>r</w:t>
      </w:r>
      <w:r>
        <w:rPr>
          <w:lang w:val="es-ES_tradnl"/>
        </w:rPr>
        <w:t>cionada por el Dr. Domínguez que volcó en sus declaraci</w:t>
      </w:r>
      <w:r>
        <w:rPr>
          <w:lang w:val="es-ES_tradnl"/>
        </w:rPr>
        <w:t>o</w:t>
      </w:r>
      <w:r>
        <w:rPr>
          <w:lang w:val="es-ES_tradnl"/>
        </w:rPr>
        <w:t>nes, figuraban la de los negocios espurios en los que e</w:t>
      </w:r>
      <w:r>
        <w:rPr>
          <w:lang w:val="es-ES_tradnl"/>
        </w:rPr>
        <w:t>s</w:t>
      </w:r>
      <w:r>
        <w:rPr>
          <w:lang w:val="es-ES_tradnl"/>
        </w:rPr>
        <w:t>taba involucrado Ribelli; la vinculada a la posición ec</w:t>
      </w:r>
      <w:r>
        <w:rPr>
          <w:lang w:val="es-ES_tradnl"/>
        </w:rPr>
        <w:t>o</w:t>
      </w:r>
      <w:r>
        <w:rPr>
          <w:lang w:val="es-ES_tradnl"/>
        </w:rPr>
        <w:t>nómica de éste; los porcentajes que se sacarían de los arreglos para la defensa de la “masacre de Wilde”; la d</w:t>
      </w:r>
      <w:r>
        <w:rPr>
          <w:lang w:val="es-ES_tradnl"/>
        </w:rPr>
        <w:t>e</w:t>
      </w:r>
      <w:r>
        <w:rPr>
          <w:lang w:val="es-ES_tradnl"/>
        </w:rPr>
        <w:t>tención del “Mono” López y la entrega de un Renault 18 por su libertad; y la relación entre Ribelli y los jueces Llermanos y Go</w:t>
      </w:r>
      <w:r>
        <w:rPr>
          <w:lang w:val="es-ES_tradnl"/>
        </w:rPr>
        <w:t>n</w:t>
      </w:r>
      <w:r>
        <w:rPr>
          <w:lang w:val="es-ES_tradnl"/>
        </w:rPr>
        <w:t>zález Eliçabe de Lomas de Zamora y Quilmes, respe</w:t>
      </w:r>
      <w:r>
        <w:rPr>
          <w:lang w:val="es-ES_tradnl"/>
        </w:rPr>
        <w:t>c</w:t>
      </w:r>
      <w:r>
        <w:rPr>
          <w:lang w:val="es-ES_tradnl"/>
        </w:rPr>
        <w:t>tivamente.</w:t>
      </w:r>
    </w:p>
    <w:p w:rsidR="00224567" w:rsidRDefault="00224567">
      <w:pPr>
        <w:widowControl w:val="0"/>
        <w:ind w:firstLine="2835"/>
        <w:rPr>
          <w:lang w:val="es-ES_tradnl"/>
        </w:rPr>
      </w:pPr>
      <w:r>
        <w:rPr>
          <w:lang w:val="es-ES_tradnl"/>
        </w:rPr>
        <w:t>Domínguez también le señaló que decl</w:t>
      </w:r>
      <w:r>
        <w:rPr>
          <w:lang w:val="es-ES_tradnl"/>
        </w:rPr>
        <w:t>a</w:t>
      </w:r>
      <w:r>
        <w:rPr>
          <w:lang w:val="es-ES_tradnl"/>
        </w:rPr>
        <w:t xml:space="preserve">rara acerca de las denuncias que existían en </w:t>
      </w:r>
      <w:smartTag w:uri="urn:schemas-microsoft-com:office:smarttags" w:element="PersonName">
        <w:smartTagPr>
          <w:attr w:name="ProductID" w:val="la Suprema Corte"/>
        </w:smartTagPr>
        <w:r>
          <w:rPr>
            <w:lang w:val="es-ES_tradnl"/>
          </w:rPr>
          <w:t>la Suprema Corte</w:t>
        </w:r>
      </w:smartTag>
      <w:r>
        <w:rPr>
          <w:lang w:val="es-ES_tradnl"/>
        </w:rPr>
        <w:t xml:space="preserve"> de </w:t>
      </w:r>
      <w:smartTag w:uri="urn:schemas-microsoft-com:office:smarttags" w:element="PersonName">
        <w:smartTagPr>
          <w:attr w:name="ProductID" w:val="la Prov."/>
        </w:smartTagPr>
        <w:r>
          <w:rPr>
            <w:lang w:val="es-ES_tradnl"/>
          </w:rPr>
          <w:t>la Prov.</w:t>
        </w:r>
      </w:smartTag>
      <w:r>
        <w:rPr>
          <w:lang w:val="es-ES_tradnl"/>
        </w:rPr>
        <w:t xml:space="preserve"> de Buenos Aires, en contra del juez Llermanos por estar comprometido con </w:t>
      </w:r>
      <w:smartTag w:uri="urn:schemas-microsoft-com:office:smarttags" w:element="PersonName">
        <w:smartTagPr>
          <w:attr w:name="ProductID" w:val="la Brigada"/>
        </w:smartTagPr>
        <w:r>
          <w:rPr>
            <w:lang w:val="es-ES_tradnl"/>
          </w:rPr>
          <w:t>la Brigada</w:t>
        </w:r>
      </w:smartTag>
      <w:r>
        <w:rPr>
          <w:lang w:val="es-ES_tradnl"/>
        </w:rPr>
        <w:t xml:space="preserve"> de Lanús.</w:t>
      </w:r>
    </w:p>
    <w:p w:rsidR="00224567" w:rsidRDefault="00224567">
      <w:pPr>
        <w:widowControl w:val="0"/>
        <w:ind w:firstLine="2835"/>
        <w:rPr>
          <w:lang w:val="es-ES_tradnl"/>
        </w:rPr>
      </w:pPr>
      <w:r>
        <w:rPr>
          <w:lang w:val="es-ES_tradnl"/>
        </w:rPr>
        <w:t>Otros hechos delictivos que mencionó fueron el robo de cajeros automáticos por parte de unos boqueteros y la desaparición de una suma de dinero del s</w:t>
      </w:r>
      <w:r>
        <w:rPr>
          <w:lang w:val="es-ES_tradnl"/>
        </w:rPr>
        <w:t>e</w:t>
      </w:r>
      <w:r>
        <w:rPr>
          <w:lang w:val="es-ES_tradnl"/>
        </w:rPr>
        <w:t>cuestro llevado a cabo en ese robo, causa ésta que se e</w:t>
      </w:r>
      <w:r>
        <w:rPr>
          <w:lang w:val="es-ES_tradnl"/>
        </w:rPr>
        <w:t>n</w:t>
      </w:r>
      <w:r>
        <w:rPr>
          <w:lang w:val="es-ES_tradnl"/>
        </w:rPr>
        <w:t>contraba a cargo del Dr. Gonz</w:t>
      </w:r>
      <w:r>
        <w:rPr>
          <w:lang w:val="es-ES_tradnl"/>
        </w:rPr>
        <w:t>á</w:t>
      </w:r>
      <w:r>
        <w:rPr>
          <w:lang w:val="es-ES_tradnl"/>
        </w:rPr>
        <w:t>lez Eliçabe.</w:t>
      </w:r>
    </w:p>
    <w:p w:rsidR="00224567" w:rsidRDefault="00224567">
      <w:pPr>
        <w:widowControl w:val="0"/>
        <w:ind w:firstLine="2835"/>
        <w:rPr>
          <w:lang w:val="es-ES_tradnl"/>
        </w:rPr>
      </w:pPr>
      <w:r>
        <w:rPr>
          <w:lang w:val="es-ES_tradnl"/>
        </w:rPr>
        <w:t>Además, Domínguez le sugirió que d</w:t>
      </w:r>
      <w:r>
        <w:rPr>
          <w:lang w:val="es-ES_tradnl"/>
        </w:rPr>
        <w:t>e</w:t>
      </w:r>
      <w:r>
        <w:rPr>
          <w:lang w:val="es-ES_tradnl"/>
        </w:rPr>
        <w:t>clarara sobre el tema de los “piratas del asfa</w:t>
      </w:r>
      <w:r>
        <w:rPr>
          <w:lang w:val="es-ES_tradnl"/>
        </w:rPr>
        <w:t>l</w:t>
      </w:r>
      <w:r>
        <w:rPr>
          <w:lang w:val="es-ES_tradnl"/>
        </w:rPr>
        <w:t>to”, y que mencionara que Ribelli le había dado $ 2000 de los $ 10.000, que supuestamente habían dejado los propietarios de “Center Gom”.</w:t>
      </w:r>
    </w:p>
    <w:p w:rsidR="00224567" w:rsidRDefault="00224567">
      <w:pPr>
        <w:widowControl w:val="0"/>
        <w:ind w:firstLine="2835"/>
        <w:rPr>
          <w:lang w:val="es-ES_tradnl"/>
        </w:rPr>
      </w:pPr>
      <w:r>
        <w:rPr>
          <w:lang w:val="es-ES_tradnl"/>
        </w:rPr>
        <w:t>Según dicho letrado todo esto fue s</w:t>
      </w:r>
      <w:r>
        <w:rPr>
          <w:lang w:val="es-ES_tradnl"/>
        </w:rPr>
        <w:t>u</w:t>
      </w:r>
      <w:r>
        <w:rPr>
          <w:lang w:val="es-ES_tradnl"/>
        </w:rPr>
        <w:t>gerido por el juzgado para que no quedara como que sabía mucho y no había participado en nada, y para poder aplicar la fig</w:t>
      </w:r>
      <w:r>
        <w:rPr>
          <w:lang w:val="es-ES_tradnl"/>
        </w:rPr>
        <w:t>u</w:t>
      </w:r>
      <w:r>
        <w:rPr>
          <w:lang w:val="es-ES_tradnl"/>
        </w:rPr>
        <w:t>ra del arrepentido.</w:t>
      </w:r>
    </w:p>
    <w:p w:rsidR="00224567" w:rsidRDefault="00224567">
      <w:pPr>
        <w:widowControl w:val="0"/>
        <w:ind w:firstLine="2835"/>
        <w:rPr>
          <w:lang w:val="es-ES_tradnl"/>
        </w:rPr>
      </w:pPr>
      <w:r>
        <w:rPr>
          <w:lang w:val="es-ES_tradnl"/>
        </w:rPr>
        <w:t>Hizo esto porque el Dr. Domínguez le prometió que recuperaría su libertad, conforme a un acue</w:t>
      </w:r>
      <w:r>
        <w:rPr>
          <w:lang w:val="es-ES_tradnl"/>
        </w:rPr>
        <w:t>r</w:t>
      </w:r>
      <w:r>
        <w:rPr>
          <w:lang w:val="es-ES_tradnl"/>
        </w:rPr>
        <w:t xml:space="preserve">do hecho con el Dr. Galeano y </w:t>
      </w:r>
      <w:smartTag w:uri="urn:schemas-microsoft-com:office:smarttags" w:element="PersonName">
        <w:smartTagPr>
          <w:attr w:name="ProductID" w:val="la Dra. Parasc￡ndolo."/>
        </w:smartTagPr>
        <w:r>
          <w:rPr>
            <w:lang w:val="es-ES_tradnl"/>
          </w:rPr>
          <w:t>la Dra. Parascándolo.</w:t>
        </w:r>
      </w:smartTag>
      <w:r>
        <w:rPr>
          <w:lang w:val="es-ES_tradnl"/>
        </w:rPr>
        <w:t xml:space="preserve"> Expr</w:t>
      </w:r>
      <w:r>
        <w:rPr>
          <w:lang w:val="es-ES_tradnl"/>
        </w:rPr>
        <w:t>e</w:t>
      </w:r>
      <w:r>
        <w:rPr>
          <w:lang w:val="es-ES_tradnl"/>
        </w:rPr>
        <w:t>só que luego se sumó el Dr. Luis Vicat quien le solicitó en reiteradas oportunidades que aceptara leer dos o tres declaraciones que le iba a traer en borrador, supe</w:t>
      </w:r>
      <w:r>
        <w:rPr>
          <w:lang w:val="es-ES_tradnl"/>
        </w:rPr>
        <w:t>r</w:t>
      </w:r>
      <w:r>
        <w:rPr>
          <w:lang w:val="es-ES_tradnl"/>
        </w:rPr>
        <w:t>visadas por el juzgado, con el fin de favorecer a su co</w:t>
      </w:r>
      <w:r>
        <w:rPr>
          <w:lang w:val="es-ES_tradnl"/>
        </w:rPr>
        <w:t>m</w:t>
      </w:r>
      <w:r>
        <w:rPr>
          <w:lang w:val="es-ES_tradnl"/>
        </w:rPr>
        <w:t>pañero de causa, Burguete. Aclaró que Vicat le decía que iba de pa</w:t>
      </w:r>
      <w:r>
        <w:rPr>
          <w:lang w:val="es-ES_tradnl"/>
        </w:rPr>
        <w:t>r</w:t>
      </w:r>
      <w:r>
        <w:rPr>
          <w:lang w:val="es-ES_tradnl"/>
        </w:rPr>
        <w:t>te del juzgado.</w:t>
      </w:r>
    </w:p>
    <w:p w:rsidR="00224567" w:rsidRDefault="00224567">
      <w:pPr>
        <w:widowControl w:val="0"/>
        <w:ind w:firstLine="2835"/>
        <w:rPr>
          <w:lang w:val="es-ES_tradnl"/>
        </w:rPr>
      </w:pPr>
      <w:r>
        <w:rPr>
          <w:lang w:val="es-ES_tradnl"/>
        </w:rPr>
        <w:t>Indicó que quiso aclarar esa situ</w:t>
      </w:r>
      <w:r>
        <w:rPr>
          <w:lang w:val="es-ES_tradnl"/>
        </w:rPr>
        <w:t>a</w:t>
      </w:r>
      <w:r>
        <w:rPr>
          <w:lang w:val="es-ES_tradnl"/>
        </w:rPr>
        <w:t>ción porque no aguantaba más las presiones psicológicas y las amenazas hacia sus hijos ya que, s</w:t>
      </w:r>
      <w:r>
        <w:rPr>
          <w:lang w:val="es-ES_tradnl"/>
        </w:rPr>
        <w:t>e</w:t>
      </w:r>
      <w:r>
        <w:rPr>
          <w:lang w:val="es-ES_tradnl"/>
        </w:rPr>
        <w:t>gún Vicat y Domínguez, de retractarse en la declaración y nombrarlos, lo trasl</w:t>
      </w:r>
      <w:r>
        <w:rPr>
          <w:lang w:val="es-ES_tradnl"/>
        </w:rPr>
        <w:t>a</w:t>
      </w:r>
      <w:r>
        <w:rPr>
          <w:lang w:val="es-ES_tradnl"/>
        </w:rPr>
        <w:t>darían a la cárcel, y en ese lugar correría peligro su v</w:t>
      </w:r>
      <w:r>
        <w:rPr>
          <w:lang w:val="es-ES_tradnl"/>
        </w:rPr>
        <w:t>i</w:t>
      </w:r>
      <w:r>
        <w:rPr>
          <w:lang w:val="es-ES_tradnl"/>
        </w:rPr>
        <w:t>da.</w:t>
      </w:r>
    </w:p>
    <w:p w:rsidR="00224567" w:rsidRDefault="00224567">
      <w:pPr>
        <w:widowControl w:val="0"/>
        <w:ind w:firstLine="2835"/>
        <w:rPr>
          <w:lang w:val="es-ES_tradnl"/>
        </w:rPr>
      </w:pPr>
      <w:r>
        <w:rPr>
          <w:lang w:val="es-ES_tradnl"/>
        </w:rPr>
        <w:t>Aclaró que, originariamente, había r</w:t>
      </w:r>
      <w:r>
        <w:rPr>
          <w:lang w:val="es-ES_tradnl"/>
        </w:rPr>
        <w:t>e</w:t>
      </w:r>
      <w:r>
        <w:rPr>
          <w:lang w:val="es-ES_tradnl"/>
        </w:rPr>
        <w:t>cibido amenazas de Ribelli y de Ibarra y fue por este m</w:t>
      </w:r>
      <w:r>
        <w:rPr>
          <w:lang w:val="es-ES_tradnl"/>
        </w:rPr>
        <w:t>o</w:t>
      </w:r>
      <w:r>
        <w:rPr>
          <w:lang w:val="es-ES_tradnl"/>
        </w:rPr>
        <w:t>tivo que requirió al tribunal no ser alojado con ellos. Éstos le decían que mantuviera los términos de la espont</w:t>
      </w:r>
      <w:r>
        <w:rPr>
          <w:lang w:val="es-ES_tradnl"/>
        </w:rPr>
        <w:t>á</w:t>
      </w:r>
      <w:r>
        <w:rPr>
          <w:lang w:val="es-ES_tradnl"/>
        </w:rPr>
        <w:t>nea.</w:t>
      </w:r>
    </w:p>
    <w:p w:rsidR="00224567" w:rsidRDefault="00224567">
      <w:pPr>
        <w:widowControl w:val="0"/>
        <w:ind w:firstLine="2835"/>
        <w:rPr>
          <w:lang w:val="es-ES_tradnl"/>
        </w:rPr>
      </w:pPr>
      <w:r>
        <w:rPr>
          <w:lang w:val="es-ES_tradnl"/>
        </w:rPr>
        <w:t>En otro orden de ideas, añadió que a Domínguez lo conocía desde el año 1982 y tenía con él una relación de amistad y de suma confia</w:t>
      </w:r>
      <w:r>
        <w:rPr>
          <w:lang w:val="es-ES_tradnl"/>
        </w:rPr>
        <w:t>n</w:t>
      </w:r>
      <w:r>
        <w:rPr>
          <w:lang w:val="es-ES_tradnl"/>
        </w:rPr>
        <w:t>za, hasta el momento que sucedió lo narrado. Lo conoció cuando asesoró a su hermana en una causa que tuvo ante un juzgado de Dolores con motivo de un accide</w:t>
      </w:r>
      <w:r>
        <w:rPr>
          <w:lang w:val="es-ES_tradnl"/>
        </w:rPr>
        <w:t>n</w:t>
      </w:r>
      <w:r>
        <w:rPr>
          <w:lang w:val="es-ES_tradnl"/>
        </w:rPr>
        <w:t>te.</w:t>
      </w:r>
    </w:p>
    <w:p w:rsidR="00224567" w:rsidRDefault="00224567">
      <w:pPr>
        <w:widowControl w:val="0"/>
        <w:ind w:firstLine="2835"/>
        <w:rPr>
          <w:lang w:val="es-ES_tradnl"/>
        </w:rPr>
      </w:pPr>
      <w:r>
        <w:rPr>
          <w:lang w:val="es-ES_tradnl"/>
        </w:rPr>
        <w:t xml:space="preserve">A </w:t>
      </w:r>
      <w:smartTag w:uri="urn:schemas-microsoft-com:office:smarttags" w:element="PersonName">
        <w:smartTagPr>
          <w:attr w:name="ProductID" w:val="la Dra. Parasc￡ndolo"/>
        </w:smartTagPr>
        <w:r>
          <w:rPr>
            <w:lang w:val="es-ES_tradnl"/>
          </w:rPr>
          <w:t>la Dra. Parascándolo</w:t>
        </w:r>
      </w:smartTag>
      <w:r>
        <w:rPr>
          <w:lang w:val="es-ES_tradnl"/>
        </w:rPr>
        <w:t xml:space="preserve"> la conoció por su profesión en 1988 y por eso le inspiraba co</w:t>
      </w:r>
      <w:r>
        <w:rPr>
          <w:lang w:val="es-ES_tradnl"/>
        </w:rPr>
        <w:t>n</w:t>
      </w:r>
      <w:r>
        <w:rPr>
          <w:lang w:val="es-ES_tradnl"/>
        </w:rPr>
        <w:t>fianza, al igual que Domí</w:t>
      </w:r>
      <w:r>
        <w:rPr>
          <w:lang w:val="es-ES_tradnl"/>
        </w:rPr>
        <w:t>n</w:t>
      </w:r>
      <w:r>
        <w:rPr>
          <w:lang w:val="es-ES_tradnl"/>
        </w:rPr>
        <w:t>guez.</w:t>
      </w:r>
    </w:p>
    <w:p w:rsidR="00224567" w:rsidRDefault="00224567">
      <w:pPr>
        <w:widowControl w:val="0"/>
        <w:ind w:firstLine="2835"/>
        <w:rPr>
          <w:lang w:val="es-ES_tradnl"/>
        </w:rPr>
      </w:pPr>
      <w:r>
        <w:rPr>
          <w:lang w:val="es-ES_tradnl"/>
        </w:rPr>
        <w:t>Señaló que a principios del año 1997, recibió en su lugar de detención la visita conjunta de D</w:t>
      </w:r>
      <w:r>
        <w:rPr>
          <w:lang w:val="es-ES_tradnl"/>
        </w:rPr>
        <w:t>o</w:t>
      </w:r>
      <w:r>
        <w:rPr>
          <w:lang w:val="es-ES_tradnl"/>
        </w:rPr>
        <w:t>mínguez, Vicat y Parascándolo. Durante ésta le pidieron que se decidiera si cambiaba o no su declaración, y le p</w:t>
      </w:r>
      <w:r>
        <w:rPr>
          <w:lang w:val="es-ES_tradnl"/>
        </w:rPr>
        <w:t>u</w:t>
      </w:r>
      <w:r>
        <w:rPr>
          <w:lang w:val="es-ES_tradnl"/>
        </w:rPr>
        <w:t>sieron como ejemplo que Burguete estaba en libertad y tr</w:t>
      </w:r>
      <w:r>
        <w:rPr>
          <w:lang w:val="es-ES_tradnl"/>
        </w:rPr>
        <w:t>a</w:t>
      </w:r>
      <w:r>
        <w:rPr>
          <w:lang w:val="es-ES_tradnl"/>
        </w:rPr>
        <w:t>bajando. Le dijeron “fijate que esto no es joda, que el juzgado cu</w:t>
      </w:r>
      <w:r>
        <w:rPr>
          <w:lang w:val="es-ES_tradnl"/>
        </w:rPr>
        <w:t>m</w:t>
      </w:r>
      <w:r>
        <w:rPr>
          <w:lang w:val="es-ES_tradnl"/>
        </w:rPr>
        <w:t>ple”.</w:t>
      </w:r>
    </w:p>
    <w:p w:rsidR="00224567" w:rsidRDefault="00224567">
      <w:pPr>
        <w:widowControl w:val="0"/>
        <w:ind w:firstLine="2835"/>
        <w:rPr>
          <w:lang w:val="es-ES_tradnl"/>
        </w:rPr>
      </w:pPr>
      <w:r>
        <w:rPr>
          <w:lang w:val="es-ES_tradnl"/>
        </w:rPr>
        <w:t>Refirió que accedió a declarar de la manera que le había sido solicitado en razón de la posib</w:t>
      </w:r>
      <w:r>
        <w:rPr>
          <w:lang w:val="es-ES_tradnl"/>
        </w:rPr>
        <w:t>i</w:t>
      </w:r>
      <w:r>
        <w:rPr>
          <w:lang w:val="es-ES_tradnl"/>
        </w:rPr>
        <w:t>lidad de obtener su libertad.</w:t>
      </w:r>
    </w:p>
    <w:p w:rsidR="00224567" w:rsidRDefault="00224567">
      <w:pPr>
        <w:widowControl w:val="0"/>
        <w:ind w:firstLine="2835"/>
        <w:rPr>
          <w:lang w:val="es-ES_tradnl"/>
        </w:rPr>
      </w:pPr>
      <w:r>
        <w:rPr>
          <w:lang w:val="es-ES_tradnl"/>
        </w:rPr>
        <w:t xml:space="preserve">Dijo que con excepción de su primera ampliación de indagatoria, en la que mantuvo una charla con </w:t>
      </w:r>
      <w:smartTag w:uri="urn:schemas-microsoft-com:office:smarttags" w:element="PersonName">
        <w:smartTagPr>
          <w:attr w:name="ProductID" w:val="la Dra. Parasc￡ndolo"/>
        </w:smartTagPr>
        <w:r>
          <w:rPr>
            <w:lang w:val="es-ES_tradnl"/>
          </w:rPr>
          <w:t>la Dra. Parascándolo</w:t>
        </w:r>
      </w:smartTag>
      <w:r>
        <w:rPr>
          <w:lang w:val="es-ES_tradnl"/>
        </w:rPr>
        <w:t xml:space="preserve"> en la sede del tribunal, todas las restantes reuniones referidas se produjeron en su l</w:t>
      </w:r>
      <w:r>
        <w:rPr>
          <w:lang w:val="es-ES_tradnl"/>
        </w:rPr>
        <w:t>u</w:t>
      </w:r>
      <w:r>
        <w:rPr>
          <w:lang w:val="es-ES_tradnl"/>
        </w:rPr>
        <w:t>gar de detención.</w:t>
      </w:r>
    </w:p>
    <w:p w:rsidR="00224567" w:rsidRDefault="00224567">
      <w:pPr>
        <w:widowControl w:val="0"/>
        <w:ind w:firstLine="2835"/>
        <w:rPr>
          <w:lang w:val="es-ES_tradnl"/>
        </w:rPr>
      </w:pPr>
      <w:r>
        <w:rPr>
          <w:lang w:val="es-ES_tradnl"/>
        </w:rPr>
        <w:t>Precisó que al principio era Domí</w:t>
      </w:r>
      <w:r>
        <w:rPr>
          <w:lang w:val="es-ES_tradnl"/>
        </w:rPr>
        <w:t>n</w:t>
      </w:r>
      <w:r>
        <w:rPr>
          <w:lang w:val="es-ES_tradnl"/>
        </w:rPr>
        <w:t>guez el que iba a su lugar de alojamiento, pero también lo v</w:t>
      </w:r>
      <w:r>
        <w:rPr>
          <w:lang w:val="es-ES_tradnl"/>
        </w:rPr>
        <w:t>i</w:t>
      </w:r>
      <w:r>
        <w:rPr>
          <w:lang w:val="es-ES_tradnl"/>
        </w:rPr>
        <w:t>sitó Vicat; a veces venían juntos y otras separ</w:t>
      </w:r>
      <w:r>
        <w:rPr>
          <w:lang w:val="es-ES_tradnl"/>
        </w:rPr>
        <w:t>a</w:t>
      </w:r>
      <w:r>
        <w:rPr>
          <w:lang w:val="es-ES_tradnl"/>
        </w:rPr>
        <w:t>dos.</w:t>
      </w:r>
    </w:p>
    <w:p w:rsidR="00224567" w:rsidRDefault="00224567">
      <w:pPr>
        <w:widowControl w:val="0"/>
        <w:ind w:firstLine="2835"/>
        <w:rPr>
          <w:lang w:val="es-ES_tradnl"/>
        </w:rPr>
      </w:pPr>
      <w:r>
        <w:rPr>
          <w:lang w:val="es-ES_tradnl"/>
        </w:rPr>
        <w:t>Aclaró que algunos dichos de sus ant</w:t>
      </w:r>
      <w:r>
        <w:rPr>
          <w:lang w:val="es-ES_tradnl"/>
        </w:rPr>
        <w:t>e</w:t>
      </w:r>
      <w:r>
        <w:rPr>
          <w:lang w:val="es-ES_tradnl"/>
        </w:rPr>
        <w:t>riores d</w:t>
      </w:r>
      <w:r>
        <w:rPr>
          <w:lang w:val="es-ES_tradnl"/>
        </w:rPr>
        <w:t>e</w:t>
      </w:r>
      <w:r>
        <w:rPr>
          <w:lang w:val="es-ES_tradnl"/>
        </w:rPr>
        <w:t>claraciones eran absolutamente ciertos, como por ejemplo, las órdenes que le dio Ribelli y los c</w:t>
      </w:r>
      <w:r>
        <w:rPr>
          <w:lang w:val="es-ES_tradnl"/>
        </w:rPr>
        <w:t>o</w:t>
      </w:r>
      <w:r>
        <w:rPr>
          <w:lang w:val="es-ES_tradnl"/>
        </w:rPr>
        <w:t>mentarios de un tal “Dady”.</w:t>
      </w:r>
    </w:p>
    <w:p w:rsidR="00224567" w:rsidRDefault="00224567">
      <w:pPr>
        <w:widowControl w:val="0"/>
        <w:ind w:firstLine="2835"/>
        <w:rPr>
          <w:lang w:val="es-ES_tradnl"/>
        </w:rPr>
      </w:pPr>
      <w:r>
        <w:rPr>
          <w:lang w:val="es-ES_tradnl"/>
        </w:rPr>
        <w:t>Agregó que Vicat le preguntó si tenía un celular para comunicarse con su familia, al conte</w:t>
      </w:r>
      <w:r>
        <w:rPr>
          <w:lang w:val="es-ES_tradnl"/>
        </w:rPr>
        <w:t>s</w:t>
      </w:r>
      <w:r>
        <w:rPr>
          <w:lang w:val="es-ES_tradnl"/>
        </w:rPr>
        <w:t>tarle que apenas tenían para comer, le hizo llegar uno. Efect</w:t>
      </w:r>
      <w:r>
        <w:rPr>
          <w:lang w:val="es-ES_tradnl"/>
        </w:rPr>
        <w:t>i</w:t>
      </w:r>
      <w:r>
        <w:rPr>
          <w:lang w:val="es-ES_tradnl"/>
        </w:rPr>
        <w:t xml:space="preserve">vamente, con este celular se comunicaba con sus hijos e inclusive recibió llamados de </w:t>
      </w:r>
      <w:smartTag w:uri="urn:schemas-microsoft-com:office:smarttags" w:element="PersonName">
        <w:smartTagPr>
          <w:attr w:name="ProductID" w:val="la Secretar￭a"/>
        </w:smartTagPr>
        <w:r>
          <w:rPr>
            <w:lang w:val="es-ES_tradnl"/>
          </w:rPr>
          <w:t>la Secretaría</w:t>
        </w:r>
      </w:smartTag>
      <w:r>
        <w:rPr>
          <w:lang w:val="es-ES_tradnl"/>
        </w:rPr>
        <w:t xml:space="preserve"> de Seg</w:t>
      </w:r>
      <w:r>
        <w:rPr>
          <w:lang w:val="es-ES_tradnl"/>
        </w:rPr>
        <w:t>u</w:t>
      </w:r>
      <w:r>
        <w:rPr>
          <w:lang w:val="es-ES_tradnl"/>
        </w:rPr>
        <w:t>ridad.</w:t>
      </w:r>
    </w:p>
    <w:p w:rsidR="00224567" w:rsidRDefault="00224567">
      <w:pPr>
        <w:widowControl w:val="0"/>
        <w:ind w:firstLine="2835"/>
        <w:rPr>
          <w:lang w:val="es-ES_tradnl"/>
        </w:rPr>
      </w:pPr>
      <w:r>
        <w:rPr>
          <w:lang w:val="es-ES_tradnl"/>
        </w:rPr>
        <w:t xml:space="preserve">Toda esta situación la explicó en la denuncia que por amenazas inició el Dr. García ante </w:t>
      </w:r>
      <w:smartTag w:uri="urn:schemas-microsoft-com:office:smarttags" w:element="PersonName">
        <w:smartTagPr>
          <w:attr w:name="ProductID" w:val="la Comisar￭a"/>
        </w:smartTagPr>
        <w:r>
          <w:rPr>
            <w:lang w:val="es-ES_tradnl"/>
          </w:rPr>
          <w:t>la C</w:t>
        </w:r>
        <w:r>
          <w:rPr>
            <w:lang w:val="es-ES_tradnl"/>
          </w:rPr>
          <w:t>o</w:t>
        </w:r>
        <w:r>
          <w:rPr>
            <w:lang w:val="es-ES_tradnl"/>
          </w:rPr>
          <w:t>misaría</w:t>
        </w:r>
      </w:smartTag>
      <w:r>
        <w:rPr>
          <w:lang w:val="es-ES_tradnl"/>
        </w:rPr>
        <w:t xml:space="preserve"> 6ª, en la que intervino, en un primer mome</w:t>
      </w:r>
      <w:r>
        <w:rPr>
          <w:lang w:val="es-ES_tradnl"/>
        </w:rPr>
        <w:t>n</w:t>
      </w:r>
      <w:r>
        <w:rPr>
          <w:lang w:val="es-ES_tradnl"/>
        </w:rPr>
        <w:t>to, el Juzgado Nacional en lo Correccional nº 5. Tras la declar</w:t>
      </w:r>
      <w:r>
        <w:rPr>
          <w:lang w:val="es-ES_tradnl"/>
        </w:rPr>
        <w:t>a</w:t>
      </w:r>
      <w:r>
        <w:rPr>
          <w:lang w:val="es-ES_tradnl"/>
        </w:rPr>
        <w:t>ción de incompetencia -por tratarse del delito de coa</w:t>
      </w:r>
      <w:r>
        <w:rPr>
          <w:lang w:val="es-ES_tradnl"/>
        </w:rPr>
        <w:t>c</w:t>
      </w:r>
      <w:r>
        <w:rPr>
          <w:lang w:val="es-ES_tradnl"/>
        </w:rPr>
        <w:t>ción- tramitó ante el Juzgado Nacional en lo Criminal de Instru</w:t>
      </w:r>
      <w:r>
        <w:rPr>
          <w:lang w:val="es-ES_tradnl"/>
        </w:rPr>
        <w:t>c</w:t>
      </w:r>
      <w:r>
        <w:rPr>
          <w:lang w:val="es-ES_tradnl"/>
        </w:rPr>
        <w:t xml:space="preserve">ción nº </w:t>
      </w:r>
      <w:smartTag w:uri="urn:schemas-microsoft-com:office:smarttags" w:element="metricconverter">
        <w:smartTagPr>
          <w:attr w:name="ProductID" w:val="19, a"/>
        </w:smartTagPr>
        <w:r>
          <w:rPr>
            <w:lang w:val="es-ES_tradnl"/>
          </w:rPr>
          <w:t>19, a</w:t>
        </w:r>
      </w:smartTag>
      <w:r>
        <w:rPr>
          <w:lang w:val="es-ES_tradnl"/>
        </w:rPr>
        <w:t xml:space="preserve"> cargo del Dr. Seijas.</w:t>
      </w:r>
    </w:p>
    <w:p w:rsidR="00224567" w:rsidRDefault="00224567">
      <w:pPr>
        <w:widowControl w:val="0"/>
        <w:ind w:firstLine="2835"/>
        <w:rPr>
          <w:lang w:val="es-ES_tradnl"/>
        </w:rPr>
      </w:pPr>
      <w:r>
        <w:rPr>
          <w:lang w:val="es-ES_tradnl"/>
        </w:rPr>
        <w:t xml:space="preserve">Exhibido el libro de guardia de </w:t>
      </w:r>
      <w:smartTag w:uri="urn:schemas-microsoft-com:office:smarttags" w:element="PersonName">
        <w:smartTagPr>
          <w:attr w:name="ProductID" w:val="la Brigada"/>
        </w:smartTagPr>
        <w:r>
          <w:rPr>
            <w:lang w:val="es-ES_tradnl"/>
          </w:rPr>
          <w:t>la Brigada</w:t>
        </w:r>
      </w:smartTag>
      <w:r>
        <w:rPr>
          <w:lang w:val="es-ES_tradnl"/>
        </w:rPr>
        <w:t xml:space="preserve"> de Lanús, refirió que el 15 de marzo de 1994 con</w:t>
      </w:r>
      <w:r>
        <w:rPr>
          <w:lang w:val="es-ES_tradnl"/>
        </w:rPr>
        <w:t>s</w:t>
      </w:r>
      <w:r>
        <w:rPr>
          <w:lang w:val="es-ES_tradnl"/>
        </w:rPr>
        <w:t>taba que tanto Ibarra como Casas ingresaron a las 10.30. No surgía que hubieran salido durante el día y ello prob</w:t>
      </w:r>
      <w:r>
        <w:rPr>
          <w:lang w:val="es-ES_tradnl"/>
        </w:rPr>
        <w:t>a</w:t>
      </w:r>
      <w:r>
        <w:rPr>
          <w:lang w:val="es-ES_tradnl"/>
        </w:rPr>
        <w:t>blemente ocurrió porque al ayudante que lo escribía le d</w:t>
      </w:r>
      <w:r>
        <w:rPr>
          <w:lang w:val="es-ES_tradnl"/>
        </w:rPr>
        <w:t>e</w:t>
      </w:r>
      <w:r>
        <w:rPr>
          <w:lang w:val="es-ES_tradnl"/>
        </w:rPr>
        <w:t>bieron haber d</w:t>
      </w:r>
      <w:r>
        <w:rPr>
          <w:lang w:val="es-ES_tradnl"/>
        </w:rPr>
        <w:t>i</w:t>
      </w:r>
      <w:r>
        <w:rPr>
          <w:lang w:val="es-ES_tradnl"/>
        </w:rPr>
        <w:t>cho que iban al bar o que estaban por ahí, ya que la idea sería no “blanquear” el procedimiento de Telleldín.</w:t>
      </w:r>
    </w:p>
    <w:p w:rsidR="00224567" w:rsidRDefault="00224567">
      <w:pPr>
        <w:widowControl w:val="0"/>
        <w:ind w:firstLine="2835"/>
        <w:rPr>
          <w:lang w:val="es-ES_tradnl"/>
        </w:rPr>
      </w:pPr>
      <w:r>
        <w:rPr>
          <w:lang w:val="es-ES_tradnl"/>
        </w:rPr>
        <w:t>En este sentido, dijo que se vieron obligados a hacerlo –como señaló anteriormente- por las lesiones de Casas.</w:t>
      </w:r>
    </w:p>
    <w:p w:rsidR="00224567" w:rsidRDefault="00224567">
      <w:pPr>
        <w:widowControl w:val="0"/>
        <w:ind w:firstLine="2835"/>
        <w:rPr>
          <w:lang w:val="es-ES_tradnl"/>
        </w:rPr>
      </w:pPr>
      <w:r>
        <w:rPr>
          <w:lang w:val="es-ES_tradnl"/>
        </w:rPr>
        <w:t>Indicó que también surgía del libro exhibido que el dicente se hizo cargo a las 20.05 y que Rib</w:t>
      </w:r>
      <w:r>
        <w:rPr>
          <w:lang w:val="es-ES_tradnl"/>
        </w:rPr>
        <w:t>e</w:t>
      </w:r>
      <w:r>
        <w:rPr>
          <w:lang w:val="es-ES_tradnl"/>
        </w:rPr>
        <w:t>lli con Burguete se retiraron a las 23.10, después de confeccionar la declaración espontánea. Destacó que ésta no pudo haber sido hecha el día anterior porque el decl</w:t>
      </w:r>
      <w:r>
        <w:rPr>
          <w:lang w:val="es-ES_tradnl"/>
        </w:rPr>
        <w:t>a</w:t>
      </w:r>
      <w:r>
        <w:rPr>
          <w:lang w:val="es-ES_tradnl"/>
        </w:rPr>
        <w:t>rante no est</w:t>
      </w:r>
      <w:r>
        <w:rPr>
          <w:lang w:val="es-ES_tradnl"/>
        </w:rPr>
        <w:t>a</w:t>
      </w:r>
      <w:r>
        <w:rPr>
          <w:lang w:val="es-ES_tradnl"/>
        </w:rPr>
        <w:t>ba.</w:t>
      </w:r>
    </w:p>
    <w:p w:rsidR="00224567" w:rsidRDefault="00224567">
      <w:pPr>
        <w:widowControl w:val="0"/>
        <w:ind w:firstLine="2835"/>
        <w:rPr>
          <w:lang w:val="es-ES_tradnl"/>
        </w:rPr>
      </w:pPr>
      <w:r>
        <w:rPr>
          <w:lang w:val="es-ES_tradnl"/>
        </w:rPr>
        <w:t>Al presentarse ese día a trabajar lo sorprendieron con esa declaración y por eso la firmó sin leer. Agregó que si se seguía examinando el libro surgía que se anotaba cuándo iban a hacer un procedimiento, no así si salían al bar o iban a un lugar ce</w:t>
      </w:r>
      <w:r>
        <w:rPr>
          <w:lang w:val="es-ES_tradnl"/>
        </w:rPr>
        <w:t>r</w:t>
      </w:r>
      <w:r>
        <w:rPr>
          <w:lang w:val="es-ES_tradnl"/>
        </w:rPr>
        <w:t>cano, porque en esos casos eran local</w:t>
      </w:r>
      <w:r>
        <w:rPr>
          <w:lang w:val="es-ES_tradnl"/>
        </w:rPr>
        <w:t>i</w:t>
      </w:r>
      <w:r>
        <w:rPr>
          <w:lang w:val="es-ES_tradnl"/>
        </w:rPr>
        <w:t>zables.</w:t>
      </w:r>
    </w:p>
    <w:p w:rsidR="00224567" w:rsidRDefault="00224567">
      <w:pPr>
        <w:widowControl w:val="0"/>
        <w:ind w:firstLine="2835"/>
        <w:rPr>
          <w:lang w:val="es-ES_tradnl"/>
        </w:rPr>
      </w:pPr>
      <w:r>
        <w:rPr>
          <w:lang w:val="es-ES_tradnl"/>
        </w:rPr>
        <w:t>Cada vez que él entró y salió de la brigada estaba anotado y también constaba el ingreso con los detenidos Buján y Ambrosi.</w:t>
      </w:r>
    </w:p>
    <w:p w:rsidR="00224567" w:rsidRDefault="00224567">
      <w:pPr>
        <w:widowControl w:val="0"/>
        <w:ind w:firstLine="2835"/>
        <w:rPr>
          <w:lang w:val="es-ES_tradnl"/>
        </w:rPr>
      </w:pPr>
      <w:r>
        <w:t>En su declaración prestada el 1º de julio de 1998 (fs. 47.149/47.150), al exhibírsele los e</w:t>
      </w:r>
      <w:r>
        <w:t>s</w:t>
      </w:r>
      <w:r>
        <w:t>critos presentados por el Dr. Marcelo García de f</w:t>
      </w:r>
      <w:r>
        <w:t>e</w:t>
      </w:r>
      <w:r>
        <w:t>chas 22 de septiembre de 1997 y 19 de mayo de 1998, Bautista A</w:t>
      </w:r>
      <w:r>
        <w:t>l</w:t>
      </w:r>
      <w:r>
        <w:t>berto Huici manifestó que hacía propios los dichos de su letrado en ambas present</w:t>
      </w:r>
      <w:r>
        <w:t>a</w:t>
      </w:r>
      <w:r>
        <w:t>ciones.</w:t>
      </w:r>
    </w:p>
    <w:p w:rsidR="00224567" w:rsidRDefault="00224567">
      <w:pPr>
        <w:widowControl w:val="0"/>
        <w:ind w:firstLine="2835"/>
        <w:rPr>
          <w:lang w:val="es-ES_tradnl"/>
        </w:rPr>
      </w:pPr>
      <w:r>
        <w:rPr>
          <w:lang w:val="es-ES_tradnl"/>
        </w:rPr>
        <w:t>Preguntado para que especificara re</w:t>
      </w:r>
      <w:r>
        <w:rPr>
          <w:lang w:val="es-ES_tradnl"/>
        </w:rPr>
        <w:t>s</w:t>
      </w:r>
      <w:r>
        <w:rPr>
          <w:lang w:val="es-ES_tradnl"/>
        </w:rPr>
        <w:t>pecto a si la declaración cuestionada fue hecha por p</w:t>
      </w:r>
      <w:r>
        <w:rPr>
          <w:lang w:val="es-ES_tradnl"/>
        </w:rPr>
        <w:t>e</w:t>
      </w:r>
      <w:r>
        <w:rPr>
          <w:lang w:val="es-ES_tradnl"/>
        </w:rPr>
        <w:t>dido de sus superiores Burguete y Ribelli, r</w:t>
      </w:r>
      <w:r>
        <w:rPr>
          <w:lang w:val="es-ES_tradnl"/>
        </w:rPr>
        <w:t>e</w:t>
      </w:r>
      <w:r>
        <w:rPr>
          <w:lang w:val="es-ES_tradnl"/>
        </w:rPr>
        <w:t xml:space="preserve">firió que después de tener una discusión con Ribelli para que la firmara, aquél le dijo que la gente de judiciales ya sabía acerca de eso. </w:t>
      </w:r>
    </w:p>
    <w:p w:rsidR="00224567" w:rsidRDefault="00224567">
      <w:pPr>
        <w:widowControl w:val="0"/>
        <w:ind w:firstLine="2835"/>
        <w:rPr>
          <w:lang w:val="es-ES_tradnl"/>
        </w:rPr>
      </w:pPr>
      <w:r>
        <w:rPr>
          <w:lang w:val="es-ES_tradnl"/>
        </w:rPr>
        <w:t>Bajó a judiciales y le fue entregada la declaración que firmó. No recordó exactame</w:t>
      </w:r>
      <w:r>
        <w:rPr>
          <w:lang w:val="es-ES_tradnl"/>
        </w:rPr>
        <w:t>n</w:t>
      </w:r>
      <w:r>
        <w:rPr>
          <w:lang w:val="es-ES_tradnl"/>
        </w:rPr>
        <w:t>te quién se la dio, pero sí recordó que Burguete e</w:t>
      </w:r>
      <w:r>
        <w:rPr>
          <w:lang w:val="es-ES_tradnl"/>
        </w:rPr>
        <w:t>s</w:t>
      </w:r>
      <w:r>
        <w:rPr>
          <w:lang w:val="es-ES_tradnl"/>
        </w:rPr>
        <w:t>taba presente en la oficina y que como jefe de judiciales, e</w:t>
      </w:r>
      <w:r>
        <w:rPr>
          <w:lang w:val="es-ES_tradnl"/>
        </w:rPr>
        <w:t>s</w:t>
      </w:r>
      <w:r>
        <w:rPr>
          <w:lang w:val="es-ES_tradnl"/>
        </w:rPr>
        <w:t>taba al tanto de la orden de Ribelli. Dijo que aquél era in</w:t>
      </w:r>
      <w:r>
        <w:rPr>
          <w:lang w:val="es-ES_tradnl"/>
        </w:rPr>
        <w:t>s</w:t>
      </w:r>
      <w:r>
        <w:rPr>
          <w:lang w:val="es-ES_tradnl"/>
        </w:rPr>
        <w:t>tructor de las causas por lo que no podía ignorar que se iba a agregar una declaración de ese tipo.</w:t>
      </w:r>
    </w:p>
    <w:p w:rsidR="00224567" w:rsidRDefault="00224567">
      <w:pPr>
        <w:widowControl w:val="0"/>
        <w:ind w:firstLine="2835"/>
        <w:rPr>
          <w:lang w:val="es-ES_tradnl"/>
        </w:rPr>
      </w:pPr>
      <w:r>
        <w:rPr>
          <w:lang w:val="es-ES_tradnl"/>
        </w:rPr>
        <w:t>Después de firmarla se fue ofu</w:t>
      </w:r>
      <w:r>
        <w:rPr>
          <w:lang w:val="es-ES_tradnl"/>
        </w:rPr>
        <w:t>s</w:t>
      </w:r>
      <w:r>
        <w:rPr>
          <w:lang w:val="es-ES_tradnl"/>
        </w:rPr>
        <w:t>cado y Burguete lo alcanzó y le dijo: “No te cale</w:t>
      </w:r>
      <w:r>
        <w:rPr>
          <w:lang w:val="es-ES_tradnl"/>
        </w:rPr>
        <w:t>n</w:t>
      </w:r>
      <w:r>
        <w:rPr>
          <w:lang w:val="es-ES_tradnl"/>
        </w:rPr>
        <w:t>tés paisano, si esto es para salvar a los muchachos”. Acl</w:t>
      </w:r>
      <w:r>
        <w:rPr>
          <w:lang w:val="es-ES_tradnl"/>
        </w:rPr>
        <w:t>a</w:t>
      </w:r>
      <w:r>
        <w:rPr>
          <w:lang w:val="es-ES_tradnl"/>
        </w:rPr>
        <w:t>ró que con esta frase hacía referencia al procedimiento de Olivos y a su justificación en la faz adm</w:t>
      </w:r>
      <w:r>
        <w:rPr>
          <w:lang w:val="es-ES_tradnl"/>
        </w:rPr>
        <w:t>i</w:t>
      </w:r>
      <w:r>
        <w:rPr>
          <w:lang w:val="es-ES_tradnl"/>
        </w:rPr>
        <w:t>nistrativa.</w:t>
      </w:r>
    </w:p>
    <w:p w:rsidR="00224567" w:rsidRDefault="00224567">
      <w:pPr>
        <w:widowControl w:val="0"/>
        <w:ind w:firstLine="2835"/>
        <w:rPr>
          <w:lang w:val="es-ES_tradnl"/>
        </w:rPr>
      </w:pPr>
      <w:r>
        <w:rPr>
          <w:lang w:val="es-ES_tradnl"/>
        </w:rPr>
        <w:t>Recalcó que las responsabilidades de Burguete como segu</w:t>
      </w:r>
      <w:r>
        <w:rPr>
          <w:lang w:val="es-ES_tradnl"/>
        </w:rPr>
        <w:t>n</w:t>
      </w:r>
      <w:r>
        <w:rPr>
          <w:lang w:val="es-ES_tradnl"/>
        </w:rPr>
        <w:t>do jefe de la brigada eran ocuparse de la entrada y salida de sumarios, ingreso y egreso de det</w:t>
      </w:r>
      <w:r>
        <w:rPr>
          <w:lang w:val="es-ES_tradnl"/>
        </w:rPr>
        <w:t>e</w:t>
      </w:r>
      <w:r>
        <w:rPr>
          <w:lang w:val="es-ES_tradnl"/>
        </w:rPr>
        <w:t>nidos y todos los demás trámites judiciales que se llev</w:t>
      </w:r>
      <w:r>
        <w:rPr>
          <w:lang w:val="es-ES_tradnl"/>
        </w:rPr>
        <w:t>a</w:t>
      </w:r>
      <w:r>
        <w:rPr>
          <w:lang w:val="es-ES_tradnl"/>
        </w:rPr>
        <w:t>ban en un sumario o detenidos.</w:t>
      </w:r>
    </w:p>
    <w:p w:rsidR="00224567" w:rsidRDefault="00224567">
      <w:pPr>
        <w:widowControl w:val="0"/>
        <w:ind w:firstLine="2835"/>
        <w:rPr>
          <w:lang w:val="es-ES_tradnl"/>
        </w:rPr>
      </w:pPr>
      <w:r>
        <w:rPr>
          <w:lang w:val="es-ES_tradnl"/>
        </w:rPr>
        <w:t>Agregó que cuando detuvieron a Telle</w:t>
      </w:r>
      <w:r>
        <w:rPr>
          <w:lang w:val="es-ES_tradnl"/>
        </w:rPr>
        <w:t>l</w:t>
      </w:r>
      <w:r>
        <w:rPr>
          <w:lang w:val="es-ES_tradnl"/>
        </w:rPr>
        <w:t>dín, surgía del libro de guardia que Burguete se r</w:t>
      </w:r>
      <w:r>
        <w:rPr>
          <w:lang w:val="es-ES_tradnl"/>
        </w:rPr>
        <w:t>e</w:t>
      </w:r>
      <w:r>
        <w:rPr>
          <w:lang w:val="es-ES_tradnl"/>
        </w:rPr>
        <w:t>tiró a la 1.50 junto con Ribelli cuando, por lo general, se iba a las 21.00 o 22.00. A su juicio ello evidenciaba que estaba al tanto de la dete</w:t>
      </w:r>
      <w:r>
        <w:rPr>
          <w:lang w:val="es-ES_tradnl"/>
        </w:rPr>
        <w:t>n</w:t>
      </w:r>
      <w:r>
        <w:rPr>
          <w:lang w:val="es-ES_tradnl"/>
        </w:rPr>
        <w:t>ción.</w:t>
      </w:r>
    </w:p>
    <w:p w:rsidR="00224567" w:rsidRDefault="00224567">
      <w:pPr>
        <w:widowControl w:val="0"/>
        <w:ind w:firstLine="2835"/>
        <w:rPr>
          <w:lang w:val="es-ES_tradnl"/>
        </w:rPr>
      </w:pPr>
      <w:r>
        <w:rPr>
          <w:lang w:val="es-ES_tradnl"/>
        </w:rPr>
        <w:t>Huici también señaló que en ese mome</w:t>
      </w:r>
      <w:r>
        <w:rPr>
          <w:lang w:val="es-ES_tradnl"/>
        </w:rPr>
        <w:t>n</w:t>
      </w:r>
      <w:r>
        <w:rPr>
          <w:lang w:val="es-ES_tradnl"/>
        </w:rPr>
        <w:t>to él se encontraba en San Nicolás por un traslado de d</w:t>
      </w:r>
      <w:r>
        <w:rPr>
          <w:lang w:val="es-ES_tradnl"/>
        </w:rPr>
        <w:t>e</w:t>
      </w:r>
      <w:r>
        <w:rPr>
          <w:lang w:val="es-ES_tradnl"/>
        </w:rPr>
        <w:t>tenidos. Afirmó que la d</w:t>
      </w:r>
      <w:r>
        <w:rPr>
          <w:lang w:val="es-ES_tradnl"/>
        </w:rPr>
        <w:t>e</w:t>
      </w:r>
      <w:r>
        <w:rPr>
          <w:lang w:val="es-ES_tradnl"/>
        </w:rPr>
        <w:t>claración fue efectuada el día 15 de marzo de 1994, después de los hechos de Olivos, pero llevaba como fecha la del día anterior para justificar a</w:t>
      </w:r>
      <w:r>
        <w:rPr>
          <w:lang w:val="es-ES_tradnl"/>
        </w:rPr>
        <w:t>d</w:t>
      </w:r>
      <w:r>
        <w:rPr>
          <w:lang w:val="es-ES_tradnl"/>
        </w:rPr>
        <w:t>ministrativamente este suceso.</w:t>
      </w:r>
    </w:p>
    <w:p w:rsidR="00224567" w:rsidRDefault="00224567">
      <w:pPr>
        <w:widowControl w:val="0"/>
        <w:ind w:firstLine="2835"/>
      </w:pPr>
      <w:r>
        <w:rPr>
          <w:lang w:val="es-ES_tradnl"/>
        </w:rPr>
        <w:t>Dijo que el día 14 efectuó el proced</w:t>
      </w:r>
      <w:r>
        <w:rPr>
          <w:lang w:val="es-ES_tradnl"/>
        </w:rPr>
        <w:t>i</w:t>
      </w:r>
      <w:r>
        <w:rPr>
          <w:lang w:val="es-ES_tradnl"/>
        </w:rPr>
        <w:t>miento en el que resultó detenido Buján, y que figuraba este ingreso a fs. 246 del libro de guardia.</w:t>
      </w:r>
    </w:p>
    <w:p w:rsidR="00224567" w:rsidRDefault="00224567">
      <w:pPr>
        <w:pStyle w:val="Ttulo3"/>
        <w:keepNext w:val="0"/>
        <w:widowControl w:val="0"/>
      </w:pPr>
      <w:r>
        <w:t xml:space="preserve">K) Declaraciones indagatorias de </w:t>
      </w:r>
      <w:r>
        <w:rPr>
          <w:lang w:val="es-ES_tradnl"/>
        </w:rPr>
        <w:t>Víctor Carlos Cruz</w:t>
      </w:r>
      <w:r>
        <w:t>.</w:t>
      </w:r>
    </w:p>
    <w:p w:rsidR="00224567" w:rsidRDefault="00224567">
      <w:pPr>
        <w:pStyle w:val="Textoindependiente"/>
        <w:spacing w:line="600" w:lineRule="auto"/>
        <w:ind w:firstLine="2835"/>
      </w:pPr>
      <w:r>
        <w:rPr>
          <w:lang w:val="es-ES"/>
        </w:rPr>
        <w:t>E</w:t>
      </w:r>
      <w:r>
        <w:t xml:space="preserve">n la oportunidad prevista en el art. 378 del Código Procesal Penal de </w:t>
      </w:r>
      <w:smartTag w:uri="urn:schemas-microsoft-com:office:smarttags" w:element="PersonName">
        <w:smartTagPr>
          <w:attr w:name="ProductID" w:val="la Naci￳n"/>
        </w:smartTagPr>
        <w:r>
          <w:t>la Nación</w:t>
        </w:r>
      </w:smartTag>
      <w:r>
        <w:t>, Víctor Carlos Cruz se negó a declarar, por lo que se dio lectura a las indagatorias prestadas por el nombrado en sede instruct</w:t>
      </w:r>
      <w:r>
        <w:t>o</w:t>
      </w:r>
      <w:r>
        <w:t>ria.</w:t>
      </w:r>
    </w:p>
    <w:p w:rsidR="00224567" w:rsidRDefault="00224567">
      <w:pPr>
        <w:pStyle w:val="Textoindependiente"/>
        <w:spacing w:line="600" w:lineRule="auto"/>
        <w:ind w:firstLine="2835"/>
      </w:pPr>
      <w:r>
        <w:t>El 24 de julio de 1996 (fs. 39.753/39.758), manifestó no recordar el día exacto en que se produjo el procedimiento en la localidad de Ol</w:t>
      </w:r>
      <w:r>
        <w:t>i</w:t>
      </w:r>
      <w:r>
        <w:t>vos, pero refirió que para esa fecha había ido a un t</w:t>
      </w:r>
      <w:r>
        <w:t>a</w:t>
      </w:r>
      <w:r>
        <w:t xml:space="preserve">ller de chapa y pintura cercano a </w:t>
      </w:r>
      <w:smartTag w:uri="urn:schemas-microsoft-com:office:smarttags" w:element="PersonName">
        <w:smartTagPr>
          <w:attr w:name="ProductID" w:val="la Brigada"/>
        </w:smartTagPr>
        <w:r>
          <w:t>la Brigada</w:t>
        </w:r>
      </w:smartTag>
      <w:r>
        <w:t xml:space="preserve"> de Lanús, ya que tenía probl</w:t>
      </w:r>
      <w:r>
        <w:t>e</w:t>
      </w:r>
      <w:r>
        <w:t>mas con su automotor marca Ford Falcon, color verde caña, modelo 75, del cual no recordó el número de dominio.</w:t>
      </w:r>
    </w:p>
    <w:p w:rsidR="00224567" w:rsidRDefault="00224567">
      <w:pPr>
        <w:pStyle w:val="Textoindependiente"/>
        <w:spacing w:line="600" w:lineRule="auto"/>
        <w:ind w:firstLine="2835"/>
      </w:pPr>
      <w:r>
        <w:t>Explicó que, en virtud de que el tall</w:t>
      </w:r>
      <w:r>
        <w:t>e</w:t>
      </w:r>
      <w:r>
        <w:t>rista estaba ocup</w:t>
      </w:r>
      <w:r>
        <w:t>a</w:t>
      </w:r>
      <w:r>
        <w:t>do, aprovechó para pasar por la brigada, con el fin de averiguar qué había ocurrido con su dispon</w:t>
      </w:r>
      <w:r>
        <w:t>i</w:t>
      </w:r>
      <w:r>
        <w:t>bilidad preventiva. Aclaró que ese tipo de sanciones se dictan por un plazo de treinta o sesenta días y que, gen</w:t>
      </w:r>
      <w:r>
        <w:t>e</w:t>
      </w:r>
      <w:r>
        <w:t>ralmente, pasado ese término se dejan sin efecto.</w:t>
      </w:r>
    </w:p>
    <w:p w:rsidR="00224567" w:rsidRDefault="00224567">
      <w:pPr>
        <w:pStyle w:val="Textoindependiente"/>
        <w:spacing w:line="600" w:lineRule="auto"/>
        <w:ind w:firstLine="2835"/>
      </w:pPr>
      <w:r>
        <w:t>En la brigada, el subcomisario Ib</w:t>
      </w:r>
      <w:r>
        <w:t>a</w:t>
      </w:r>
      <w:r>
        <w:t>rra, con el fin de identificar a una persona a la que apodaban “el Enano”, de contextura física robusta, petiso, de pelo enrulado, le pidió si lo podía llevar con su vehículo, dado que no tenía movilidad. En esa oportunidad, Ibarra fue acompañado por los suboficiales T</w:t>
      </w:r>
      <w:r>
        <w:t>o</w:t>
      </w:r>
      <w:r>
        <w:t>ledo y Casas. Aclaró que él no tenía armamento ni identificación, porque no podía participar en un procedimiento de esas caracterí</w:t>
      </w:r>
      <w:r>
        <w:t>s</w:t>
      </w:r>
      <w:r>
        <w:t>ticas.</w:t>
      </w:r>
    </w:p>
    <w:p w:rsidR="00224567" w:rsidRDefault="00224567">
      <w:pPr>
        <w:pStyle w:val="Textoindependiente"/>
        <w:spacing w:line="600" w:lineRule="auto"/>
        <w:ind w:firstLine="2835"/>
      </w:pPr>
      <w:r>
        <w:t>Señaló que se dirigieron en su autom</w:t>
      </w:r>
      <w:r>
        <w:t>o</w:t>
      </w:r>
      <w:r>
        <w:t>tor hacia la localidad de Olivos, indicando Ibarra el c</w:t>
      </w:r>
      <w:r>
        <w:t>a</w:t>
      </w:r>
      <w:r>
        <w:t>mino. En busca del vehículo Renault 18 de color oscuro del “Enano”, fueron a un lavadero de automóviles, que no reco</w:t>
      </w:r>
      <w:r>
        <w:t>r</w:t>
      </w:r>
      <w:r>
        <w:t>dó si estaba funcionando. Luego, Ibarra lo guió hacia otro lado, que supuso era Villa Ballester. Pararon en un lugar y esperaron hasta que se hizo casi de noche. Del automotor descendieron Ibarra, Casas y Toledo, mientras que él perm</w:t>
      </w:r>
      <w:r>
        <w:t>a</w:t>
      </w:r>
      <w:r>
        <w:t>neció en el rodado. Después, cuando ya estaba oscuro, Ib</w:t>
      </w:r>
      <w:r>
        <w:t>a</w:t>
      </w:r>
      <w:r>
        <w:t>rra le indicó que continuara hacia Ol</w:t>
      </w:r>
      <w:r>
        <w:t>i</w:t>
      </w:r>
      <w:r>
        <w:t>vos.</w:t>
      </w:r>
    </w:p>
    <w:p w:rsidR="00224567" w:rsidRDefault="00224567">
      <w:pPr>
        <w:pStyle w:val="Textoindependiente"/>
        <w:spacing w:line="600" w:lineRule="auto"/>
        <w:ind w:firstLine="2835"/>
      </w:pPr>
      <w:r>
        <w:t xml:space="preserve">Estacionó en una esquina de </w:t>
      </w:r>
      <w:smartTag w:uri="urn:schemas-microsoft-com:office:smarttags" w:element="PersonName">
        <w:smartTagPr>
          <w:attr w:name="ProductID" w:val="la Av. Maip￺"/>
        </w:smartTagPr>
        <w:r>
          <w:t>la Av. Ma</w:t>
        </w:r>
        <w:r>
          <w:t>i</w:t>
        </w:r>
        <w:r>
          <w:t>pú</w:t>
        </w:r>
      </w:smartTag>
      <w:r>
        <w:t xml:space="preserve"> o Santa Fe, no recordó de qué lado. Descendió del aut</w:t>
      </w:r>
      <w:r>
        <w:t>o</w:t>
      </w:r>
      <w:r>
        <w:t>motor y se quedó por ahí, mientras que Ibarra, Toledo y C</w:t>
      </w:r>
      <w:r>
        <w:t>a</w:t>
      </w:r>
      <w:r>
        <w:t xml:space="preserve">sas se fueron caminando en dirección a </w:t>
      </w:r>
      <w:smartTag w:uri="urn:schemas-microsoft-com:office:smarttags" w:element="PersonName">
        <w:smartTagPr>
          <w:attr w:name="ProductID" w:val="la Capital Federal"/>
        </w:smartTagPr>
        <w:r>
          <w:t>la Capital Fed</w:t>
        </w:r>
        <w:r>
          <w:t>e</w:t>
        </w:r>
        <w:r>
          <w:t>ral</w:t>
        </w:r>
      </w:smartTag>
      <w:r>
        <w:t>, desplazándose a unos cien metros de donde estaba estacion</w:t>
      </w:r>
      <w:r>
        <w:t>a</w:t>
      </w:r>
      <w:r>
        <w:t>do el automóvil; lugar en el que luego intentaron identif</w:t>
      </w:r>
      <w:r>
        <w:t>i</w:t>
      </w:r>
      <w:r>
        <w:t>car a la persona que habían ido a buscar.</w:t>
      </w:r>
    </w:p>
    <w:p w:rsidR="00224567" w:rsidRDefault="00224567">
      <w:pPr>
        <w:pStyle w:val="Textoindependiente"/>
        <w:spacing w:line="600" w:lineRule="auto"/>
        <w:ind w:firstLine="2835"/>
      </w:pPr>
      <w:r>
        <w:t>El automotor en el que se desplazaba “el Enano” se dio a la fuga. Posteriormente s</w:t>
      </w:r>
      <w:r>
        <w:t>u</w:t>
      </w:r>
      <w:r>
        <w:t>po que al dar marcha atrás este rodado, chocó a un taxímetro y Casas r</w:t>
      </w:r>
      <w:r>
        <w:t>e</w:t>
      </w:r>
      <w:r>
        <w:t>sultó herido al intentar ingresar al vehículo del fug</w:t>
      </w:r>
      <w:r>
        <w:t>i</w:t>
      </w:r>
      <w:r>
        <w:t>tivo.</w:t>
      </w:r>
    </w:p>
    <w:p w:rsidR="00224567" w:rsidRDefault="00224567">
      <w:pPr>
        <w:pStyle w:val="Textoindependiente"/>
        <w:spacing w:line="600" w:lineRule="auto"/>
        <w:ind w:firstLine="2835"/>
      </w:pPr>
      <w:r>
        <w:t>Después de ello, volvieron para el asiento de la dependencia y supuso que se labraron actu</w:t>
      </w:r>
      <w:r>
        <w:t>a</w:t>
      </w:r>
      <w:r>
        <w:t>ciones.</w:t>
      </w:r>
    </w:p>
    <w:p w:rsidR="00224567" w:rsidRDefault="00224567">
      <w:pPr>
        <w:pStyle w:val="Textoindependiente"/>
        <w:spacing w:line="600" w:lineRule="auto"/>
        <w:ind w:firstLine="2835"/>
      </w:pPr>
      <w:r>
        <w:t xml:space="preserve">Por otra parte, señaló que egresó de </w:t>
      </w:r>
      <w:smartTag w:uri="urn:schemas-microsoft-com:office:smarttags" w:element="PersonName">
        <w:smartTagPr>
          <w:attr w:name="ProductID" w:val="la Escuela"/>
        </w:smartTagPr>
        <w:r>
          <w:t>la Escuela</w:t>
        </w:r>
      </w:smartTag>
      <w:r>
        <w:t xml:space="preserve"> de Suboficiales en 1974 y fue trasladado a </w:t>
      </w:r>
      <w:smartTag w:uri="urn:schemas-microsoft-com:office:smarttags" w:element="PersonName">
        <w:smartTagPr>
          <w:attr w:name="ProductID" w:val="la Unidad Regional"/>
        </w:smartTagPr>
        <w:r>
          <w:t>la Un</w:t>
        </w:r>
        <w:r>
          <w:t>i</w:t>
        </w:r>
        <w:r>
          <w:t>dad Regional</w:t>
        </w:r>
      </w:smartTag>
      <w:r>
        <w:t xml:space="preserve"> de Chascomús, en donde permaneció hasta 1984. Enumeró los diferentes destinos que tuvo a lo largo de su carrera policial: </w:t>
      </w:r>
      <w:smartTag w:uri="urn:schemas-microsoft-com:office:smarttags" w:element="PersonName">
        <w:smartTagPr>
          <w:attr w:name="ProductID" w:val="la Brigada"/>
        </w:smartTagPr>
        <w:r>
          <w:t>la Brigada</w:t>
        </w:r>
      </w:smartTag>
      <w:r>
        <w:t xml:space="preserve"> de Invest</w:t>
      </w:r>
      <w:r>
        <w:t>i</w:t>
      </w:r>
      <w:r>
        <w:t xml:space="preserve">gaciones de Mar del Plata, hasta 1987; </w:t>
      </w:r>
      <w:smartTag w:uri="urn:schemas-microsoft-com:office:smarttags" w:element="PersonName">
        <w:smartTagPr>
          <w:attr w:name="ProductID" w:val="la Brigada"/>
        </w:smartTagPr>
        <w:r>
          <w:t>la Brigada</w:t>
        </w:r>
      </w:smartTag>
      <w:r>
        <w:t xml:space="preserve"> de Investigaciones de Chasc</w:t>
      </w:r>
      <w:r>
        <w:t>o</w:t>
      </w:r>
      <w:r>
        <w:t xml:space="preserve">mús, con asiento en la localidad de Dolores, hasta 1989 aproximadamente; posteriormente, un par de meses en </w:t>
      </w:r>
      <w:smartTag w:uri="urn:schemas-microsoft-com:office:smarttags" w:element="PersonName">
        <w:smartTagPr>
          <w:attr w:name="ProductID" w:val="la Direcci￳n General"/>
        </w:smartTagPr>
        <w:r>
          <w:t>la D</w:t>
        </w:r>
        <w:r>
          <w:t>i</w:t>
        </w:r>
        <w:r>
          <w:t>rección General</w:t>
        </w:r>
      </w:smartTag>
      <w:r>
        <w:t xml:space="preserve"> de I</w:t>
      </w:r>
      <w:r>
        <w:t>n</w:t>
      </w:r>
      <w:r>
        <w:t xml:space="preserve">vestigaciones de </w:t>
      </w:r>
      <w:smartTag w:uri="urn:schemas-microsoft-com:office:smarttags" w:element="PersonName">
        <w:smartTagPr>
          <w:attr w:name="ProductID" w:val="La Plata"/>
        </w:smartTagPr>
        <w:r>
          <w:t>la Plata</w:t>
        </w:r>
      </w:smartTag>
      <w:r>
        <w:t xml:space="preserve"> y de allí a </w:t>
      </w:r>
      <w:smartTag w:uri="urn:schemas-microsoft-com:office:smarttags" w:element="PersonName">
        <w:smartTagPr>
          <w:attr w:name="ProductID" w:val="la Brigada"/>
        </w:smartTagPr>
        <w:r>
          <w:t>la Brigada</w:t>
        </w:r>
      </w:smartTag>
      <w:r>
        <w:t xml:space="preserve"> de Investigaciones de Mercedes, con asiento en Luján, en donde permaneció por el lapso de un año; </w:t>
      </w:r>
      <w:smartTag w:uri="urn:schemas-microsoft-com:office:smarttags" w:element="PersonName">
        <w:smartTagPr>
          <w:attr w:name="ProductID" w:val="la Brigada"/>
        </w:smartTagPr>
        <w:r>
          <w:t>la Br</w:t>
        </w:r>
        <w:r>
          <w:t>i</w:t>
        </w:r>
        <w:r>
          <w:t>gada</w:t>
        </w:r>
      </w:smartTag>
      <w:r>
        <w:t xml:space="preserve"> de Investigaciones de General Sarmiento por más de un año; nuevamente trasladado a </w:t>
      </w:r>
      <w:smartTag w:uri="urn:schemas-microsoft-com:office:smarttags" w:element="PersonName">
        <w:smartTagPr>
          <w:attr w:name="ProductID" w:val="la Brigada"/>
        </w:smartTagPr>
        <w:r>
          <w:t>la Brigada</w:t>
        </w:r>
      </w:smartTag>
      <w:r>
        <w:t xml:space="preserve"> de Invest</w:t>
      </w:r>
      <w:r>
        <w:t>i</w:t>
      </w:r>
      <w:r>
        <w:t xml:space="preserve">gaciones de Lanús por casi un año; </w:t>
      </w:r>
      <w:smartTag w:uri="urn:schemas-microsoft-com:office:smarttags" w:element="PersonName">
        <w:smartTagPr>
          <w:attr w:name="ProductID" w:val="la Divisi￳n Narcotr￡fico"/>
        </w:smartTagPr>
        <w:r>
          <w:t>la División Narcotráfico</w:t>
        </w:r>
      </w:smartTag>
      <w:r>
        <w:t xml:space="preserve"> de M</w:t>
      </w:r>
      <w:r>
        <w:t>o</w:t>
      </w:r>
      <w:r>
        <w:t xml:space="preserve">rón-Matanza; y  de ahí a </w:t>
      </w:r>
      <w:smartTag w:uri="urn:schemas-microsoft-com:office:smarttags" w:element="PersonName">
        <w:smartTagPr>
          <w:attr w:name="ProductID" w:val="la Comisar￭a"/>
        </w:smartTagPr>
        <w:r>
          <w:t>la Comisaría</w:t>
        </w:r>
      </w:smartTag>
      <w:r>
        <w:t xml:space="preserve"> de  Virrey  del P</w:t>
      </w:r>
      <w:r>
        <w:t>i</w:t>
      </w:r>
      <w:r>
        <w:t>no -Matanza XVI-, donde permaneció hasta el mes de diciembre de 1995. Por último, indicó que desde diciembre hasta la fecha de su declaración –24 de julio de 1996-, cumplió fu</w:t>
      </w:r>
      <w:r>
        <w:t>n</w:t>
      </w:r>
      <w:r>
        <w:t xml:space="preserve">ciones en </w:t>
      </w:r>
      <w:smartTag w:uri="urn:schemas-microsoft-com:office:smarttags" w:element="PersonName">
        <w:smartTagPr>
          <w:attr w:name="ProductID" w:val="la Comisar￭a"/>
        </w:smartTagPr>
        <w:r>
          <w:t>la Com</w:t>
        </w:r>
        <w:r>
          <w:t>i</w:t>
        </w:r>
        <w:r>
          <w:t>saría</w:t>
        </w:r>
      </w:smartTag>
      <w:r>
        <w:t xml:space="preserve"> de Ciudadela Norte.</w:t>
      </w:r>
    </w:p>
    <w:p w:rsidR="00224567" w:rsidRDefault="00224567">
      <w:pPr>
        <w:pStyle w:val="Textoindependiente"/>
        <w:spacing w:line="600" w:lineRule="auto"/>
        <w:ind w:firstLine="2835"/>
      </w:pPr>
      <w:r>
        <w:t>Mencionó que su disponibilidad preve</w:t>
      </w:r>
      <w:r>
        <w:t>n</w:t>
      </w:r>
      <w:r>
        <w:t xml:space="preserve">tiva fue levantada en los primeros días de abril de 1994. Luego de ello fue trasladado a </w:t>
      </w:r>
      <w:smartTag w:uri="urn:schemas-microsoft-com:office:smarttags" w:element="PersonName">
        <w:smartTagPr>
          <w:attr w:name="ProductID" w:val="la Divisi￳n Narcotr￡fico"/>
        </w:smartTagPr>
        <w:r>
          <w:t>la División Narc</w:t>
        </w:r>
        <w:r>
          <w:t>o</w:t>
        </w:r>
        <w:r>
          <w:t>tráfico</w:t>
        </w:r>
      </w:smartTag>
      <w:r>
        <w:t xml:space="preserve"> de Morón-Matanza, con asiento en Ramos Mejía.</w:t>
      </w:r>
    </w:p>
    <w:p w:rsidR="00224567" w:rsidRDefault="00224567">
      <w:pPr>
        <w:pStyle w:val="Textoindependiente"/>
        <w:spacing w:line="600" w:lineRule="auto"/>
        <w:ind w:firstLine="2835"/>
      </w:pPr>
      <w:r>
        <w:t>Señaló que la disponibilidad preve</w:t>
      </w:r>
      <w:r>
        <w:t>n</w:t>
      </w:r>
      <w:r>
        <w:t>tiva se dictó por la fuga de un suboficial de nombre Rodríguez, que estaba detenido en la brigada por haber estado invol</w:t>
      </w:r>
      <w:r>
        <w:t>u</w:t>
      </w:r>
      <w:r>
        <w:t>crado en lo que se denominó “la masacre de Wilde”. Agregó que Rodríguez le pidió ir al baño; él lo condujo hasta allí y permaneció en la puerta. También otro suboficial deten</w:t>
      </w:r>
      <w:r>
        <w:t>i</w:t>
      </w:r>
      <w:r>
        <w:t>do, de nombre Marciano Gonz</w:t>
      </w:r>
      <w:r>
        <w:t>á</w:t>
      </w:r>
      <w:r>
        <w:t>lez, le solicitó lo mismo, pero él le manifestó que esperara dado que el lugar estaba oc</w:t>
      </w:r>
      <w:r>
        <w:t>u</w:t>
      </w:r>
      <w:r>
        <w:t>pado por Rodríguez. Luego regresó hasta la puerta del b</w:t>
      </w:r>
      <w:r>
        <w:t>a</w:t>
      </w:r>
      <w:r>
        <w:t>ño y estuvo esperando un largo rato hasta que saliera Rodr</w:t>
      </w:r>
      <w:r>
        <w:t>í</w:t>
      </w:r>
      <w:r>
        <w:t>guez, lo que nunca sucedió, ya que al abrir la puerta del baño inexplicablemente esa persona no estaba. Estimó el d</w:t>
      </w:r>
      <w:r>
        <w:t>i</w:t>
      </w:r>
      <w:r>
        <w:t>cente que Rodríguez debió haber salido por la guardia, ya que no existía otro lugar para que se escapara, tal como una clar</w:t>
      </w:r>
      <w:r>
        <w:t>a</w:t>
      </w:r>
      <w:r>
        <w:t>boya. Agregó que a Rodríguez lo conocía como a un compañero más de trabajo y que no mantenía con él rel</w:t>
      </w:r>
      <w:r>
        <w:t>a</w:t>
      </w:r>
      <w:r>
        <w:t>ción alguna.</w:t>
      </w:r>
    </w:p>
    <w:p w:rsidR="00224567" w:rsidRDefault="00224567">
      <w:pPr>
        <w:pStyle w:val="Textoindependiente"/>
        <w:spacing w:line="600" w:lineRule="auto"/>
        <w:ind w:firstLine="2835"/>
      </w:pPr>
      <w:r>
        <w:t>Explicó que no era el único imp</w:t>
      </w:r>
      <w:r>
        <w:t>u</w:t>
      </w:r>
      <w:r>
        <w:t>tado en esa causa por el tema de la fuga, que en igual situación estaban el entonces oficial inspector Lezcano, el subof</w:t>
      </w:r>
      <w:r>
        <w:t>i</w:t>
      </w:r>
      <w:r>
        <w:t>cial mayor Silva y no supo si también el jefe de turno, c</w:t>
      </w:r>
      <w:r>
        <w:t>o</w:t>
      </w:r>
      <w:r>
        <w:t>misario Burguete. No recordó si se había ordenado la disp</w:t>
      </w:r>
      <w:r>
        <w:t>o</w:t>
      </w:r>
      <w:r>
        <w:t>nibilidad preventiva de algún otro funcionario de la brig</w:t>
      </w:r>
      <w:r>
        <w:t>a</w:t>
      </w:r>
      <w:r>
        <w:t>da y si Rodríguez, a la fecha de la declaración, aún s</w:t>
      </w:r>
      <w:r>
        <w:t>e</w:t>
      </w:r>
      <w:r>
        <w:t>guía prófugo.</w:t>
      </w:r>
    </w:p>
    <w:p w:rsidR="00224567" w:rsidRDefault="00224567">
      <w:pPr>
        <w:pStyle w:val="Textoindependiente"/>
        <w:spacing w:line="600" w:lineRule="auto"/>
        <w:ind w:firstLine="2835"/>
      </w:pPr>
      <w:r>
        <w:t>Dijo que Ibarra no le mencionó los m</w:t>
      </w:r>
      <w:r>
        <w:t>o</w:t>
      </w:r>
      <w:r>
        <w:t>tivos por los cuales debían identificar a la persona apod</w:t>
      </w:r>
      <w:r>
        <w:t>a</w:t>
      </w:r>
      <w:r>
        <w:t>da “el Enano” y que sólo brindó, en forma general a los tres suboficiales que estaban en el automóvil, las caract</w:t>
      </w:r>
      <w:r>
        <w:t>e</w:t>
      </w:r>
      <w:r>
        <w:t>rísticas físicas de éste. Tampoco sabía si Ibarra obtuvo esa información por referencias o por un conocimiento pe</w:t>
      </w:r>
      <w:r>
        <w:t>r</w:t>
      </w:r>
      <w:r>
        <w:t>sonal con aquel.</w:t>
      </w:r>
    </w:p>
    <w:p w:rsidR="00224567" w:rsidRDefault="00224567">
      <w:pPr>
        <w:pStyle w:val="Textoindependiente"/>
        <w:spacing w:line="600" w:lineRule="auto"/>
        <w:ind w:firstLine="2835"/>
      </w:pPr>
      <w:r>
        <w:t xml:space="preserve">Señaló que a Ibarra lo conoció en </w:t>
      </w:r>
      <w:smartTag w:uri="urn:schemas-microsoft-com:office:smarttags" w:element="PersonName">
        <w:smartTagPr>
          <w:attr w:name="ProductID" w:val="la Brigada"/>
        </w:smartTagPr>
        <w:r>
          <w:t>la Brigada</w:t>
        </w:r>
      </w:smartTag>
      <w:r>
        <w:t xml:space="preserve"> de Lanús; nunca trabajó con él. La relación entre ambos era de superior a subalterno; lo llamaba jefe o su</w:t>
      </w:r>
      <w:r>
        <w:t>b</w:t>
      </w:r>
      <w:r>
        <w:t>comisario y no lo tuteaba.</w:t>
      </w:r>
    </w:p>
    <w:p w:rsidR="00224567" w:rsidRDefault="00224567">
      <w:pPr>
        <w:pStyle w:val="Textoindependiente"/>
        <w:spacing w:line="600" w:lineRule="auto"/>
        <w:ind w:firstLine="2835"/>
      </w:pPr>
      <w:r>
        <w:t>Puntualizó que el vehículo Ford Fa</w:t>
      </w:r>
      <w:r>
        <w:t>l</w:t>
      </w:r>
      <w:r>
        <w:t>con lo vendió a un señor de Chascomús, en el mes de mayo o j</w:t>
      </w:r>
      <w:r>
        <w:t>u</w:t>
      </w:r>
      <w:r>
        <w:t>nio de 1994, ya que tenía su casa hip</w:t>
      </w:r>
      <w:r>
        <w:t>o</w:t>
      </w:r>
      <w:r>
        <w:t>tecada y efectuó esa venta para poder levantarla. Luego debió hipotecarla nuev</w:t>
      </w:r>
      <w:r>
        <w:t>a</w:t>
      </w:r>
      <w:r>
        <w:t>mente.</w:t>
      </w:r>
    </w:p>
    <w:p w:rsidR="00224567" w:rsidRDefault="00224567">
      <w:pPr>
        <w:pStyle w:val="Textoindependiente"/>
        <w:spacing w:line="600" w:lineRule="auto"/>
        <w:ind w:firstLine="2835"/>
      </w:pPr>
      <w:r>
        <w:t>Precisó que no prestó su vehículo en ninguna otra oportunidad ni realizó otro procedimiento ni tareas de inteligencia con el subc</w:t>
      </w:r>
      <w:r>
        <w:t>o</w:t>
      </w:r>
      <w:r>
        <w:t>misario Ibarra.</w:t>
      </w:r>
    </w:p>
    <w:p w:rsidR="00224567" w:rsidRDefault="00224567">
      <w:pPr>
        <w:pStyle w:val="Textoindependiente"/>
        <w:spacing w:line="600" w:lineRule="auto"/>
        <w:ind w:firstLine="2835"/>
      </w:pPr>
      <w:r>
        <w:t>Agregó que a Casas lo vio el día del procedimiento de Olivos, ya que fueron juntos.</w:t>
      </w:r>
    </w:p>
    <w:p w:rsidR="00224567" w:rsidRDefault="00224567">
      <w:pPr>
        <w:pStyle w:val="Textoindependiente"/>
        <w:spacing w:line="600" w:lineRule="auto"/>
        <w:ind w:firstLine="2835"/>
      </w:pPr>
      <w:r>
        <w:t>Interrogado acerca de si no le resu</w:t>
      </w:r>
      <w:r>
        <w:t>l</w:t>
      </w:r>
      <w:r>
        <w:t>tó extraño haber efectuado un procedimiento en Villa Ballester y Olivos, tan lejos del asiento de la brigada, respondió que no sabía si ese procedimiento tenía origen en una orden de detención o en una causa. Incluso, en una oportunidad, fue a efectuar un procedimiento por homicidio a Ch</w:t>
      </w:r>
      <w:r>
        <w:t>i</w:t>
      </w:r>
      <w:r>
        <w:t>vilcoy; por ello, no le llamó la atención que se traslad</w:t>
      </w:r>
      <w:r>
        <w:t>a</w:t>
      </w:r>
      <w:r>
        <w:t>ran.</w:t>
      </w:r>
    </w:p>
    <w:p w:rsidR="00224567" w:rsidRDefault="00224567">
      <w:pPr>
        <w:pStyle w:val="Textoindependiente"/>
        <w:spacing w:line="600" w:lineRule="auto"/>
        <w:ind w:firstLine="2835"/>
      </w:pPr>
      <w:r>
        <w:t>Respecto a la duración del procedimie</w:t>
      </w:r>
      <w:r>
        <w:t>n</w:t>
      </w:r>
      <w:r>
        <w:t>to, señaló que salieron de tarde, no recorda</w:t>
      </w:r>
      <w:r>
        <w:t>n</w:t>
      </w:r>
      <w:r>
        <w:t>do la hora, y regresaron de noche.</w:t>
      </w:r>
    </w:p>
    <w:p w:rsidR="00224567" w:rsidRDefault="00224567">
      <w:pPr>
        <w:pStyle w:val="Textoindependiente"/>
        <w:spacing w:line="600" w:lineRule="auto"/>
        <w:ind w:firstLine="2835"/>
      </w:pPr>
      <w:r>
        <w:t xml:space="preserve">Dijo que a Bacigalupo lo conoció en </w:t>
      </w:r>
      <w:smartTag w:uri="urn:schemas-microsoft-com:office:smarttags" w:element="PersonName">
        <w:smartTagPr>
          <w:attr w:name="ProductID" w:val="la Brigada"/>
        </w:smartTagPr>
        <w:r>
          <w:t>la Brigada</w:t>
        </w:r>
      </w:smartTag>
      <w:r>
        <w:t xml:space="preserve"> de Lanús, era oficial principal, no lo tuteaba y sólo mantuvo con una relación estrictamente l</w:t>
      </w:r>
      <w:r>
        <w:t>a</w:t>
      </w:r>
      <w:r>
        <w:t>boral. Agregó que no tenía amigos en esa brigada. Con Casas mant</w:t>
      </w:r>
      <w:r>
        <w:t>e</w:t>
      </w:r>
      <w:r>
        <w:t>nía una relación normal, como con cualquier otro subof</w:t>
      </w:r>
      <w:r>
        <w:t>i</w:t>
      </w:r>
      <w:r>
        <w:t>cial.</w:t>
      </w:r>
    </w:p>
    <w:p w:rsidR="00224567" w:rsidRDefault="00224567">
      <w:pPr>
        <w:pStyle w:val="Textoindependiente"/>
        <w:spacing w:line="600" w:lineRule="auto"/>
        <w:ind w:firstLine="2835"/>
      </w:pPr>
      <w:r>
        <w:t>Refirió que luego del proced</w:t>
      </w:r>
      <w:r>
        <w:t>i</w:t>
      </w:r>
      <w:r>
        <w:t>miento de Olivos no se realizó ningún otro sobre la persona apodada “el Enano”, ni se practicaron tareas de inteligencia. R</w:t>
      </w:r>
      <w:r>
        <w:t>e</w:t>
      </w:r>
      <w:r>
        <w:t>marcó que estaba en disponibilidad y no iba a la brigada, desconociendo si cont</w:t>
      </w:r>
      <w:r>
        <w:t>i</w:t>
      </w:r>
      <w:r>
        <w:t>nuaron ese tipo de tareas.</w:t>
      </w:r>
    </w:p>
    <w:p w:rsidR="00224567" w:rsidRDefault="00224567">
      <w:pPr>
        <w:pStyle w:val="Textoindependiente"/>
        <w:spacing w:line="600" w:lineRule="auto"/>
        <w:ind w:firstLine="2835"/>
      </w:pPr>
      <w:r>
        <w:t xml:space="preserve">Expresó que no conocía la existencia del expediente labrado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Jefatura"/>
        </w:smartTagPr>
        <w:r>
          <w:t>la Jefat</w:t>
        </w:r>
        <w:r>
          <w:t>u</w:t>
        </w:r>
        <w:r>
          <w:t>ra</w:t>
        </w:r>
      </w:smartTag>
      <w:r>
        <w:t xml:space="preserve"> de </w:t>
      </w:r>
      <w:smartTag w:uri="urn:schemas-microsoft-com:office:smarttags" w:element="PersonName">
        <w:smartTagPr>
          <w:attr w:name="ProductID" w:val="La Plata."/>
        </w:smartTagPr>
        <w:r>
          <w:t>La Plata.</w:t>
        </w:r>
      </w:smartTag>
    </w:p>
    <w:p w:rsidR="00224567" w:rsidRDefault="00224567">
      <w:pPr>
        <w:pStyle w:val="Textoindependiente"/>
        <w:spacing w:line="600" w:lineRule="auto"/>
        <w:ind w:firstLine="2835"/>
      </w:pPr>
      <w:r>
        <w:t>Destacó que en el lavadero de autos permanecieron, como mucho, media hora. Luego, se dir</w:t>
      </w:r>
      <w:r>
        <w:t>i</w:t>
      </w:r>
      <w:r>
        <w:t>gieron a Villa Ballester, donde estuvieron aproximadamente dos h</w:t>
      </w:r>
      <w:r>
        <w:t>o</w:t>
      </w:r>
      <w:r>
        <w:t>ras. Ibarra, Casas y Toledo descendieron del automóvil, mientras él, por indic</w:t>
      </w:r>
      <w:r>
        <w:t>a</w:t>
      </w:r>
      <w:r>
        <w:t>ción del primero, levantó el capó y miró el m</w:t>
      </w:r>
      <w:r>
        <w:t>o</w:t>
      </w:r>
      <w:r>
        <w:t>tor. Recordó que los tres mencionados estuvieron en un estudio fotográfico y hablaron con el dueño del l</w:t>
      </w:r>
      <w:r>
        <w:t>u</w:t>
      </w:r>
      <w:r>
        <w:t>gar. Supuso que se ident</w:t>
      </w:r>
      <w:r>
        <w:t>i</w:t>
      </w:r>
      <w:r>
        <w:t>ficaron como policías para que esa persona no se asu</w:t>
      </w:r>
      <w:r>
        <w:t>s</w:t>
      </w:r>
      <w:r>
        <w:t>tara.</w:t>
      </w:r>
    </w:p>
    <w:p w:rsidR="00224567" w:rsidRDefault="00224567">
      <w:pPr>
        <w:pStyle w:val="Textoindependiente"/>
        <w:spacing w:line="600" w:lineRule="auto"/>
        <w:ind w:firstLine="2835"/>
      </w:pPr>
      <w:r>
        <w:t>No recordó la fecha exacta en que oc</w:t>
      </w:r>
      <w:r>
        <w:t>u</w:t>
      </w:r>
      <w:r>
        <w:t>rrió el hecho, pero aclaró que fue la única vez que salió con Ibarra a realizar este tipo de tareas y que sólo lo h</w:t>
      </w:r>
      <w:r>
        <w:t>i</w:t>
      </w:r>
      <w:r>
        <w:t>zo porque un superior se lo solicitó. Recalcó que en todo momento permaneció cerca de su vehículo y no ingresó al mencionado negocio, al que sí fueron Casas, Toledo e Ib</w:t>
      </w:r>
      <w:r>
        <w:t>a</w:t>
      </w:r>
      <w:r>
        <w:t>rra. No sabía si este último tenía automotor. Primero e</w:t>
      </w:r>
      <w:r>
        <w:t>x</w:t>
      </w:r>
      <w:r>
        <w:t>presó que al procedimiento no concurrió ningún otro vehíc</w:t>
      </w:r>
      <w:r>
        <w:t>u</w:t>
      </w:r>
      <w:r>
        <w:t>lo, luego aclaró que tenía dudas al respecto.</w:t>
      </w:r>
    </w:p>
    <w:p w:rsidR="00224567" w:rsidRDefault="00224567">
      <w:pPr>
        <w:pStyle w:val="Textoindependiente"/>
        <w:spacing w:line="600" w:lineRule="auto"/>
        <w:ind w:firstLine="2835"/>
      </w:pPr>
      <w:r>
        <w:t>Creía que Ibarra tenía un teléfono c</w:t>
      </w:r>
      <w:r>
        <w:t>e</w:t>
      </w:r>
      <w:r>
        <w:t>lular.</w:t>
      </w:r>
    </w:p>
    <w:p w:rsidR="00224567" w:rsidRDefault="00224567">
      <w:pPr>
        <w:pStyle w:val="Textoindependiente"/>
        <w:spacing w:line="600" w:lineRule="auto"/>
        <w:ind w:firstLine="2835"/>
      </w:pPr>
      <w:r>
        <w:t xml:space="preserve">Por otra parte, manifestó que con Juan José Ribelli compartió destino en </w:t>
      </w:r>
      <w:smartTag w:uri="urn:schemas-microsoft-com:office:smarttags" w:element="PersonName">
        <w:smartTagPr>
          <w:attr w:name="ProductID" w:val="la Brigada"/>
        </w:smartTagPr>
        <w:r>
          <w:t>la Brigada</w:t>
        </w:r>
      </w:smartTag>
      <w:r>
        <w:t xml:space="preserve"> de General Sarmiento, mientras que a Ibarra lo conoció en </w:t>
      </w:r>
      <w:smartTag w:uri="urn:schemas-microsoft-com:office:smarttags" w:element="PersonName">
        <w:smartTagPr>
          <w:attr w:name="ProductID" w:val="la Brigada"/>
        </w:smartTagPr>
        <w:r>
          <w:t>la Brigada</w:t>
        </w:r>
      </w:smartTag>
      <w:r>
        <w:t xml:space="preserve"> de Lanús.</w:t>
      </w:r>
    </w:p>
    <w:p w:rsidR="00224567" w:rsidRDefault="00224567">
      <w:pPr>
        <w:pStyle w:val="Textoindependiente"/>
        <w:spacing w:line="600" w:lineRule="auto"/>
        <w:ind w:firstLine="2835"/>
      </w:pPr>
      <w:r>
        <w:t>Estimó que el día que se fugó el det</w:t>
      </w:r>
      <w:r>
        <w:t>e</w:t>
      </w:r>
      <w:r>
        <w:t>nido Rodríguez, R</w:t>
      </w:r>
      <w:r>
        <w:t>i</w:t>
      </w:r>
      <w:r>
        <w:t>belli no estaba en la brigada, agregando que no lo recordaba. Creía que éste estaba de licencia en esa época. Indicó que nadie le ordenó que dejara esc</w:t>
      </w:r>
      <w:r>
        <w:t>a</w:t>
      </w:r>
      <w:r>
        <w:t>par a Rodríguez.</w:t>
      </w:r>
    </w:p>
    <w:p w:rsidR="00224567" w:rsidRDefault="00224567">
      <w:pPr>
        <w:pStyle w:val="Textoindependiente"/>
        <w:spacing w:line="600" w:lineRule="auto"/>
        <w:ind w:firstLine="2835"/>
      </w:pPr>
      <w:r>
        <w:t xml:space="preserve">Luego de leérsele la transcripción de la casete 65 del 12 de julio de 1996, correspondiente al abonado 440-6746, señaló que Huici conversó con Ribelli y luego le pasó el teléfono a él. En definitiva, reconoció haber mantenido esa charla mientras iba a </w:t>
      </w:r>
      <w:smartTag w:uri="urn:schemas-microsoft-com:office:smarttags" w:element="PersonName">
        <w:smartTagPr>
          <w:attr w:name="ProductID" w:val="La Plata."/>
        </w:smartTagPr>
        <w:r>
          <w:t>La Plata.</w:t>
        </w:r>
      </w:smartTag>
    </w:p>
    <w:p w:rsidR="00224567" w:rsidRDefault="00224567">
      <w:pPr>
        <w:pStyle w:val="Textoindependiente"/>
        <w:spacing w:line="600" w:lineRule="auto"/>
        <w:ind w:firstLine="2835"/>
      </w:pPr>
      <w:r>
        <w:t>Argumentó que no declaró en la prim</w:t>
      </w:r>
      <w:r>
        <w:t>e</w:t>
      </w:r>
      <w:r>
        <w:t>ra oportunidad porque se sentía mal y quería tener un abogado de su confianza, pero le interesaba aclarar su situación y declarar, aunque Ribelli le hubiera dicho que no lo hici</w:t>
      </w:r>
      <w:r>
        <w:t>e</w:t>
      </w:r>
      <w:r>
        <w:t>ra.</w:t>
      </w:r>
    </w:p>
    <w:p w:rsidR="00224567" w:rsidRDefault="00224567">
      <w:pPr>
        <w:pStyle w:val="Textoindependiente"/>
        <w:spacing w:line="600" w:lineRule="auto"/>
        <w:ind w:firstLine="2835"/>
      </w:pPr>
      <w:r>
        <w:t>Aclaró que Toledo trabajaba en Tra</w:t>
      </w:r>
      <w:r>
        <w:t>s</w:t>
      </w:r>
      <w:r>
        <w:t>lado de Detenidos  y Casas en una oficina donde estaba la parte de logística y pagaban los sue</w:t>
      </w:r>
      <w:r>
        <w:t>l</w:t>
      </w:r>
      <w:r>
        <w:t>dos.</w:t>
      </w:r>
    </w:p>
    <w:p w:rsidR="00224567" w:rsidRDefault="00224567">
      <w:pPr>
        <w:pStyle w:val="Textoindependiente"/>
        <w:spacing w:line="600" w:lineRule="auto"/>
        <w:ind w:firstLine="2835"/>
      </w:pPr>
      <w:r>
        <w:t>Reiteró que lo que realizó no fueron tareas de intelige</w:t>
      </w:r>
      <w:r>
        <w:t>n</w:t>
      </w:r>
      <w:r>
        <w:t>cia, sino que trasladó al personal hasta el lugar del procedimiento.</w:t>
      </w:r>
    </w:p>
    <w:p w:rsidR="00224567" w:rsidRDefault="00224567">
      <w:pPr>
        <w:pStyle w:val="Textoindependiente"/>
        <w:spacing w:line="600" w:lineRule="auto"/>
        <w:ind w:firstLine="2835"/>
      </w:pPr>
      <w:r>
        <w:t>En su indagatoria del 4 de julio de 1997 (fs. 42.700/42.704), Víctor Carlos Cruz ratificó la declaración detallada precedentemente, señalando que en d</w:t>
      </w:r>
      <w:r>
        <w:t>i</w:t>
      </w:r>
      <w:r>
        <w:t>cha ocasión se encontraba bastante alterado.</w:t>
      </w:r>
    </w:p>
    <w:p w:rsidR="00224567" w:rsidRDefault="00224567">
      <w:pPr>
        <w:pStyle w:val="Textoindependiente"/>
        <w:spacing w:line="600" w:lineRule="auto"/>
        <w:ind w:firstLine="2835"/>
      </w:pPr>
      <w:r>
        <w:t>En cuanto al momento en que Ibarra le solicitó si lo p</w:t>
      </w:r>
      <w:r>
        <w:t>o</w:t>
      </w:r>
      <w:r>
        <w:t>día trasladar en su vehículo con el fin de identificar a una persona apodada “el Enano”, aclaró que aquél le manifestó que era por orden de un juzgado de Qui</w:t>
      </w:r>
      <w:r>
        <w:t>l</w:t>
      </w:r>
      <w:r>
        <w:t>mes. Recordó que, en ese momento, tenía una carpeta o exp</w:t>
      </w:r>
      <w:r>
        <w:t>e</w:t>
      </w:r>
      <w:r>
        <w:t>diente en la mano, que era portada por Ibarra incluso d</w:t>
      </w:r>
      <w:r>
        <w:t>u</w:t>
      </w:r>
      <w:r>
        <w:t>rante el proc</w:t>
      </w:r>
      <w:r>
        <w:t>e</w:t>
      </w:r>
      <w:r>
        <w:t>dimiento en Olivos. Si bien no vio de qué se trataba, supuso que eran las actuaciones de aquel juzg</w:t>
      </w:r>
      <w:r>
        <w:t>a</w:t>
      </w:r>
      <w:r>
        <w:t>do.</w:t>
      </w:r>
    </w:p>
    <w:p w:rsidR="00224567" w:rsidRDefault="00224567">
      <w:pPr>
        <w:pStyle w:val="Textoindependiente"/>
        <w:spacing w:line="600" w:lineRule="auto"/>
        <w:ind w:firstLine="2835"/>
      </w:pPr>
      <w:r>
        <w:t>Puntualizó que le explicó o le reco</w:t>
      </w:r>
      <w:r>
        <w:t>r</w:t>
      </w:r>
      <w:r>
        <w:t>dó su situación de disponibilidad y le aclaró que no podía participar de un procedimiento, que no tenía ni credencial ni arma. Ibarra le respondió que lo único que necesitaba era el vehículo porque no tenía movil</w:t>
      </w:r>
      <w:r>
        <w:t>i</w:t>
      </w:r>
      <w:r>
        <w:t>dad y que sólo debía llevarlo hasta un lugar, sin pa</w:t>
      </w:r>
      <w:r>
        <w:t>r</w:t>
      </w:r>
      <w:r>
        <w:t>ticipar del procedimiento. En esas condiciones y tr</w:t>
      </w:r>
      <w:r>
        <w:t>a</w:t>
      </w:r>
      <w:r>
        <w:t>tándose de un oficial jefe, por el respeto que le merecía, no tuvo otra alternativa que ir. Explicó que, para un suboficial como él, no se cuestionaba la orden de un oficial jefe. Recordó que Ibarra cargó nafta con un vale, e</w:t>
      </w:r>
      <w:r>
        <w:t>s</w:t>
      </w:r>
      <w:r>
        <w:t>timando que era del Automóvil Club.</w:t>
      </w:r>
    </w:p>
    <w:p w:rsidR="00224567" w:rsidRDefault="00224567">
      <w:pPr>
        <w:pStyle w:val="Textoindependiente"/>
        <w:spacing w:line="600" w:lineRule="auto"/>
        <w:ind w:firstLine="2835"/>
      </w:pPr>
      <w:r>
        <w:t>Luego de que “el Enano” se escapó, se acercó a donde se encontraba Ibarra y los demás, y supuso que se había labrado un acta manuscrita en el l</w:t>
      </w:r>
      <w:r>
        <w:t>u</w:t>
      </w:r>
      <w:r>
        <w:t>gar por la colisión con el taxímetro. Aclaró que no estaba seguro si era un acta o si simplemente se le hab</w:t>
      </w:r>
      <w:r>
        <w:t>í</w:t>
      </w:r>
      <w:r>
        <w:t>an tomado los datos al chofer del taxi. Como él no pa</w:t>
      </w:r>
      <w:r>
        <w:t>r</w:t>
      </w:r>
      <w:r>
        <w:t>ticipó del procedimiento, no le interesó saber lo suc</w:t>
      </w:r>
      <w:r>
        <w:t>e</w:t>
      </w:r>
      <w:r>
        <w:t>dido.</w:t>
      </w:r>
    </w:p>
    <w:p w:rsidR="00224567" w:rsidRDefault="00224567">
      <w:pPr>
        <w:pStyle w:val="Textoindependiente"/>
        <w:spacing w:line="600" w:lineRule="auto"/>
        <w:ind w:firstLine="2835"/>
      </w:pPr>
      <w:r>
        <w:t>Destacó que si se labró un acta y no se lo incluyó, fue porque no participó en el hecho. Refirió que si él hubiese participado en el procedimiento, habría sido más difícil que se escapara “el Enano”, toda vez que al estar con el veh</w:t>
      </w:r>
      <w:r>
        <w:t>í</w:t>
      </w:r>
      <w:r>
        <w:t>culo podría haber puesto las balizas y cruzado el rodado de Telleldín.</w:t>
      </w:r>
    </w:p>
    <w:p w:rsidR="00224567" w:rsidRDefault="00224567">
      <w:pPr>
        <w:pStyle w:val="Textoindependiente"/>
        <w:spacing w:line="600" w:lineRule="auto"/>
        <w:ind w:firstLine="2835"/>
      </w:pPr>
      <w:r>
        <w:t>Explicó que el único vehículo que pa</w:t>
      </w:r>
      <w:r>
        <w:t>r</w:t>
      </w:r>
      <w:r>
        <w:t>ticipó en el proc</w:t>
      </w:r>
      <w:r>
        <w:t>e</w:t>
      </w:r>
      <w:r>
        <w:t>dimiento fue el suyo y que no era cierto que Casas y Toledo fueron en el a</w:t>
      </w:r>
      <w:r>
        <w:t>u</w:t>
      </w:r>
      <w:r>
        <w:t>tomóvil Gacel de Ibarra.</w:t>
      </w:r>
    </w:p>
    <w:p w:rsidR="00224567" w:rsidRDefault="00224567">
      <w:pPr>
        <w:pStyle w:val="Textoindependiente"/>
        <w:spacing w:line="600" w:lineRule="auto"/>
        <w:ind w:firstLine="2835"/>
      </w:pPr>
      <w:r>
        <w:t xml:space="preserve">Explicó que no sabía si al momento en que Ibarra le solicitó que lo trasladara en su automotor particular, existían móviles disponibles en </w:t>
      </w:r>
      <w:smartTag w:uri="urn:schemas-microsoft-com:office:smarttags" w:element="PersonName">
        <w:smartTagPr>
          <w:attr w:name="ProductID" w:val="la Brigada"/>
        </w:smartTagPr>
        <w:r>
          <w:t>la Brigada</w:t>
        </w:r>
      </w:smartTag>
      <w:r>
        <w:t xml:space="preserve"> de Lanús, imaginando que no. En la brigada exist</w:t>
      </w:r>
      <w:r>
        <w:t>í</w:t>
      </w:r>
      <w:r>
        <w:t>an dos o tres autos, marca Chevrolet Monza, pero era habitual que no se utilizaran para efectuar procedimientos, ya que eran ide</w:t>
      </w:r>
      <w:r>
        <w:t>n</w:t>
      </w:r>
      <w:r>
        <w:t>tificables como móviles pol</w:t>
      </w:r>
      <w:r>
        <w:t>i</w:t>
      </w:r>
      <w:r>
        <w:t>ciales. En muchas ocasiones, el personal de la brigada utilizaba sus rodados particulares para evitar que se descubriera que se trataba de personal policial en a</w:t>
      </w:r>
      <w:r>
        <w:t>c</w:t>
      </w:r>
      <w:r>
        <w:t>tividad.</w:t>
      </w:r>
    </w:p>
    <w:p w:rsidR="00224567" w:rsidRDefault="00224567">
      <w:pPr>
        <w:pStyle w:val="Textoindependiente"/>
        <w:spacing w:line="600" w:lineRule="auto"/>
        <w:ind w:firstLine="2835"/>
      </w:pPr>
      <w:r>
        <w:t>Remarcó que un suboficial no podía de</w:t>
      </w:r>
      <w:r>
        <w:t>s</w:t>
      </w:r>
      <w:r>
        <w:t>obedecer las órdenes de un subcomisario, aun cuando ese suboficial se encontrara en disponibilidad preve</w:t>
      </w:r>
      <w:r>
        <w:t>n</w:t>
      </w:r>
      <w:r>
        <w:t>tiva, pues aquél continuaba siendo su superior jerárquico. Tampoco p</w:t>
      </w:r>
      <w:r>
        <w:t>o</w:t>
      </w:r>
      <w:r>
        <w:t>dría haber cuestionado la orden eman</w:t>
      </w:r>
      <w:r>
        <w:t>a</w:t>
      </w:r>
      <w:r>
        <w:t>da de un juez.</w:t>
      </w:r>
    </w:p>
    <w:p w:rsidR="00224567" w:rsidRDefault="00224567">
      <w:pPr>
        <w:pStyle w:val="Textoindependiente"/>
        <w:spacing w:line="600" w:lineRule="auto"/>
        <w:ind w:firstLine="2835"/>
      </w:pPr>
      <w:r>
        <w:t>Explicó que estando en disponibilidad preventiva se mantiene el estado policial, incluso se co</w:t>
      </w:r>
      <w:r>
        <w:t>n</w:t>
      </w:r>
      <w:r>
        <w:t>tinúa cobrando medio sueldo y se goza, por ejemplo, de b</w:t>
      </w:r>
      <w:r>
        <w:t>e</w:t>
      </w:r>
      <w:r>
        <w:t>neficios como el de la obra s</w:t>
      </w:r>
      <w:r>
        <w:t>o</w:t>
      </w:r>
      <w:r>
        <w:t>cial.</w:t>
      </w:r>
    </w:p>
    <w:p w:rsidR="00224567" w:rsidRDefault="00224567">
      <w:pPr>
        <w:pStyle w:val="Textoindependiente"/>
        <w:spacing w:line="600" w:lineRule="auto"/>
        <w:ind w:firstLine="2835"/>
      </w:pPr>
      <w:r>
        <w:t>Afirmó que a Telleldín no lo conocía personalmente y sólo lo vio en fotos de diarios, revi</w:t>
      </w:r>
      <w:r>
        <w:t>s</w:t>
      </w:r>
      <w:r>
        <w:t>tas y en televisión, es decir en los medios periodíst</w:t>
      </w:r>
      <w:r>
        <w:t>i</w:t>
      </w:r>
      <w:r>
        <w:t>cos. Recién se enteró de su existencia cuando la causa A.M.I.A. adqu</w:t>
      </w:r>
      <w:r>
        <w:t>i</w:t>
      </w:r>
      <w:r>
        <w:t>rió conocimiento público. El día del pr</w:t>
      </w:r>
      <w:r>
        <w:t>o</w:t>
      </w:r>
      <w:r>
        <w:t>cedimiento no sabía cómo se llamaba, sólo que se trat</w:t>
      </w:r>
      <w:r>
        <w:t>a</w:t>
      </w:r>
      <w:r>
        <w:t>ba de una persona apodada “el Enano”.</w:t>
      </w:r>
    </w:p>
    <w:p w:rsidR="00224567" w:rsidRDefault="00224567">
      <w:pPr>
        <w:pStyle w:val="Textoindependiente"/>
        <w:spacing w:line="600" w:lineRule="auto"/>
        <w:ind w:firstLine="2835"/>
      </w:pPr>
      <w:r>
        <w:t>Interrogado acerca de si cuando se iba a realizar el procedimiento Ibarra le dijo que iban a e</w:t>
      </w:r>
      <w:r>
        <w:t>x</w:t>
      </w:r>
      <w:r>
        <w:t>torsionar o privar de la libertad a Telleldín, r</w:t>
      </w:r>
      <w:r>
        <w:t>e</w:t>
      </w:r>
      <w:r>
        <w:t>firió que no, que de haber sabido eso d</w:t>
      </w:r>
      <w:r>
        <w:t>i</w:t>
      </w:r>
      <w:r>
        <w:t>rectamente se hubiera negado a ir, es decir, hubiera desobedecido una orden de ese t</w:t>
      </w:r>
      <w:r>
        <w:t>i</w:t>
      </w:r>
      <w:r>
        <w:t>po.</w:t>
      </w:r>
    </w:p>
    <w:p w:rsidR="00224567" w:rsidRDefault="00224567">
      <w:pPr>
        <w:pStyle w:val="Textoindependiente"/>
        <w:spacing w:line="600" w:lineRule="auto"/>
        <w:ind w:firstLine="2835"/>
      </w:pPr>
      <w:r>
        <w:t>Subrayó que en veintidós años en la fuerza policial jamás había tenido un problema, con exce</w:t>
      </w:r>
      <w:r>
        <w:t>p</w:t>
      </w:r>
      <w:r>
        <w:t>ción de la fuga de Rodríguez, acaecida en el mes de enero de 1994.</w:t>
      </w:r>
    </w:p>
    <w:p w:rsidR="00224567" w:rsidRDefault="00224567">
      <w:pPr>
        <w:pStyle w:val="Sangradetextonormal"/>
        <w:widowControl w:val="0"/>
        <w:ind w:firstLine="2835"/>
      </w:pPr>
      <w:r>
        <w:t>Dijo que no tuvo la intención de pr</w:t>
      </w:r>
      <w:r>
        <w:t>i</w:t>
      </w:r>
      <w:r>
        <w:t>var ilegítimamente de la libertad a Telleldín o a cua</w:t>
      </w:r>
      <w:r>
        <w:t>l</w:t>
      </w:r>
      <w:r>
        <w:t>quier otra persona. Tampoco intervino en alguna exto</w:t>
      </w:r>
      <w:r>
        <w:t>r</w:t>
      </w:r>
      <w:r>
        <w:t>sión con pers</w:t>
      </w:r>
      <w:r>
        <w:t>o</w:t>
      </w:r>
      <w:r>
        <w:t>nal policial o sólo.</w:t>
      </w:r>
    </w:p>
    <w:p w:rsidR="00224567" w:rsidRDefault="00224567">
      <w:pPr>
        <w:widowControl w:val="0"/>
        <w:ind w:firstLine="2835"/>
        <w:rPr>
          <w:lang w:val="es-ES_tradnl"/>
        </w:rPr>
      </w:pPr>
      <w:r>
        <w:rPr>
          <w:lang w:val="es-ES_tradnl"/>
        </w:rPr>
        <w:t>Señaló que en el auto de procesamie</w:t>
      </w:r>
      <w:r>
        <w:rPr>
          <w:lang w:val="es-ES_tradnl"/>
        </w:rPr>
        <w:t>n</w:t>
      </w:r>
      <w:r>
        <w:rPr>
          <w:lang w:val="es-ES_tradnl"/>
        </w:rPr>
        <w:t>to se hizo mención a que el testigo de identidad rese</w:t>
      </w:r>
      <w:r>
        <w:rPr>
          <w:lang w:val="es-ES_tradnl"/>
        </w:rPr>
        <w:t>r</w:t>
      </w:r>
      <w:r>
        <w:rPr>
          <w:lang w:val="es-ES_tradnl"/>
        </w:rPr>
        <w:t>vada nº 1 refirió que habría visto un vehículo Ford Falcon de c</w:t>
      </w:r>
      <w:r>
        <w:rPr>
          <w:lang w:val="es-ES_tradnl"/>
        </w:rPr>
        <w:t>o</w:t>
      </w:r>
      <w:r>
        <w:rPr>
          <w:lang w:val="es-ES_tradnl"/>
        </w:rPr>
        <w:t>lor verde, similar al suyo, en el mes de julio de 1994, y aclaró que una vez que fue levantada su disponibilidad preventiva, en abril de 1994, en el mismo acto se le not</w:t>
      </w:r>
      <w:r>
        <w:rPr>
          <w:lang w:val="es-ES_tradnl"/>
        </w:rPr>
        <w:t>i</w:t>
      </w:r>
      <w:r>
        <w:rPr>
          <w:lang w:val="es-ES_tradnl"/>
        </w:rPr>
        <w:t xml:space="preserve">ficó acerca de su traslado a </w:t>
      </w:r>
      <w:smartTag w:uri="urn:schemas-microsoft-com:office:smarttags" w:element="PersonName">
        <w:smartTagPr>
          <w:attr w:name="ProductID" w:val="la Divisi￳n Narcotr￡fico"/>
        </w:smartTagPr>
        <w:r>
          <w:rPr>
            <w:lang w:val="es-ES_tradnl"/>
          </w:rPr>
          <w:t>la División Narcotráfico</w:t>
        </w:r>
      </w:smartTag>
      <w:r>
        <w:rPr>
          <w:lang w:val="es-ES_tradnl"/>
        </w:rPr>
        <w:t xml:space="preserve"> en Ramos Mejía. Como prueba de ello, aportó fotocopias pa</w:t>
      </w:r>
      <w:r>
        <w:rPr>
          <w:lang w:val="es-ES_tradnl"/>
        </w:rPr>
        <w:t>r</w:t>
      </w:r>
      <w:r>
        <w:rPr>
          <w:lang w:val="es-ES_tradnl"/>
        </w:rPr>
        <w:t>ciales del libro de guardias de dicha división, en las que se encuentran resaltadas sus entradas y salidas.</w:t>
      </w:r>
    </w:p>
    <w:p w:rsidR="00224567" w:rsidRDefault="00224567">
      <w:pPr>
        <w:widowControl w:val="0"/>
        <w:ind w:firstLine="2835"/>
        <w:rPr>
          <w:lang w:val="es-ES_tradnl"/>
        </w:rPr>
      </w:pPr>
      <w:r>
        <w:rPr>
          <w:lang w:val="es-ES_tradnl"/>
        </w:rPr>
        <w:t>Luego de su traslado, nunca más vo</w:t>
      </w:r>
      <w:r>
        <w:rPr>
          <w:lang w:val="es-ES_tradnl"/>
        </w:rPr>
        <w:t>l</w:t>
      </w:r>
      <w:r>
        <w:rPr>
          <w:lang w:val="es-ES_tradnl"/>
        </w:rPr>
        <w:t xml:space="preserve">vió a ver a ningún miembro de </w:t>
      </w:r>
      <w:smartTag w:uri="urn:schemas-microsoft-com:office:smarttags" w:element="PersonName">
        <w:smartTagPr>
          <w:attr w:name="ProductID" w:val="la Brigada"/>
        </w:smartTagPr>
        <w:r>
          <w:rPr>
            <w:lang w:val="es-ES_tradnl"/>
          </w:rPr>
          <w:t>la Brigada</w:t>
        </w:r>
      </w:smartTag>
      <w:r>
        <w:rPr>
          <w:lang w:val="es-ES_tradnl"/>
        </w:rPr>
        <w:t xml:space="preserve"> de Lanús; incluso tampoco conocía acerca de la existencia del sumario adm</w:t>
      </w:r>
      <w:r>
        <w:rPr>
          <w:lang w:val="es-ES_tradnl"/>
        </w:rPr>
        <w:t>i</w:t>
      </w:r>
      <w:r>
        <w:rPr>
          <w:lang w:val="es-ES_tradnl"/>
        </w:rPr>
        <w:t>nistrativo que se labró.</w:t>
      </w:r>
    </w:p>
    <w:p w:rsidR="00224567" w:rsidRDefault="00224567">
      <w:pPr>
        <w:widowControl w:val="0"/>
        <w:ind w:firstLine="2835"/>
        <w:rPr>
          <w:lang w:val="es-ES_tradnl"/>
        </w:rPr>
      </w:pPr>
      <w:r>
        <w:rPr>
          <w:lang w:val="es-ES_tradnl"/>
        </w:rPr>
        <w:t>Explicó que ingresó a la brigada en mayo de 1993 e Ibarra lo hizo con posterioridad, no reco</w:t>
      </w:r>
      <w:r>
        <w:rPr>
          <w:lang w:val="es-ES_tradnl"/>
        </w:rPr>
        <w:t>r</w:t>
      </w:r>
      <w:r>
        <w:rPr>
          <w:lang w:val="es-ES_tradnl"/>
        </w:rPr>
        <w:t>dando la fecha exacta.</w:t>
      </w:r>
    </w:p>
    <w:p w:rsidR="00224567" w:rsidRDefault="00224567">
      <w:pPr>
        <w:widowControl w:val="0"/>
        <w:ind w:firstLine="2835"/>
        <w:rPr>
          <w:lang w:val="es-ES_tradnl"/>
        </w:rPr>
      </w:pPr>
      <w:r>
        <w:rPr>
          <w:lang w:val="es-ES_tradnl"/>
        </w:rPr>
        <w:t>Mencionó que en enero de 1994 quedó en disponibilidad preventiva hasta abandonar ese dest</w:t>
      </w:r>
      <w:r>
        <w:rPr>
          <w:lang w:val="es-ES_tradnl"/>
        </w:rPr>
        <w:t>i</w:t>
      </w:r>
      <w:r>
        <w:rPr>
          <w:lang w:val="es-ES_tradnl"/>
        </w:rPr>
        <w:t>no, por lo que, en definitiva, estuvo en servicio activo durante siete meses.</w:t>
      </w:r>
    </w:p>
    <w:p w:rsidR="00224567" w:rsidRDefault="00224567">
      <w:pPr>
        <w:widowControl w:val="0"/>
        <w:ind w:firstLine="2835"/>
        <w:rPr>
          <w:lang w:val="es-ES_tradnl"/>
        </w:rPr>
      </w:pPr>
      <w:r>
        <w:rPr>
          <w:lang w:val="es-ES_tradnl"/>
        </w:rPr>
        <w:t>Interrogado acerca de cómo era la im</w:t>
      </w:r>
      <w:r>
        <w:rPr>
          <w:lang w:val="es-ES_tradnl"/>
        </w:rPr>
        <w:t>a</w:t>
      </w:r>
      <w:r>
        <w:rPr>
          <w:lang w:val="es-ES_tradnl"/>
        </w:rPr>
        <w:t>gen de Ibarra frente a los demás miembros de la brigada, refirió que era una persona normal, seria, que no hacía chistes, precisando que no tenía mucho trato con él.</w:t>
      </w:r>
    </w:p>
    <w:p w:rsidR="00224567" w:rsidRDefault="00224567">
      <w:pPr>
        <w:widowControl w:val="0"/>
        <w:ind w:firstLine="2835"/>
        <w:rPr>
          <w:lang w:val="es-ES_tradnl"/>
        </w:rPr>
      </w:pPr>
      <w:r>
        <w:rPr>
          <w:lang w:val="es-ES_tradnl"/>
        </w:rPr>
        <w:t xml:space="preserve">Afirmó no tener conocimiento que en </w:t>
      </w:r>
      <w:smartTag w:uri="urn:schemas-microsoft-com:office:smarttags" w:element="PersonName">
        <w:smartTagPr>
          <w:attr w:name="ProductID" w:val="la Brigada"/>
        </w:smartTagPr>
        <w:r>
          <w:rPr>
            <w:lang w:val="es-ES_tradnl"/>
          </w:rPr>
          <w:t>la Brigada</w:t>
        </w:r>
      </w:smartTag>
      <w:r>
        <w:rPr>
          <w:lang w:val="es-ES_tradnl"/>
        </w:rPr>
        <w:t xml:space="preserve"> de Lanús se efectuaran actividades ilícitas con respecto a personas que se encontraban detenidas para n</w:t>
      </w:r>
      <w:r>
        <w:rPr>
          <w:lang w:val="es-ES_tradnl"/>
        </w:rPr>
        <w:t>e</w:t>
      </w:r>
      <w:r>
        <w:rPr>
          <w:lang w:val="es-ES_tradnl"/>
        </w:rPr>
        <w:t>gociar su libertad. Tampoco tenía conocimiento que se r</w:t>
      </w:r>
      <w:r>
        <w:rPr>
          <w:lang w:val="es-ES_tradnl"/>
        </w:rPr>
        <w:t>e</w:t>
      </w:r>
      <w:r>
        <w:rPr>
          <w:lang w:val="es-ES_tradnl"/>
        </w:rPr>
        <w:t>caudara dinero para ayudar a los miembros de la brigada que se encontraban det</w:t>
      </w:r>
      <w:r>
        <w:rPr>
          <w:lang w:val="es-ES_tradnl"/>
        </w:rPr>
        <w:t>e</w:t>
      </w:r>
      <w:r>
        <w:rPr>
          <w:lang w:val="es-ES_tradnl"/>
        </w:rPr>
        <w:t xml:space="preserve">nidos imputados por la “masacre de Wilde”. Incluso él cobraba su medio sueldo en </w:t>
      </w:r>
      <w:smartTag w:uri="urn:schemas-microsoft-com:office:smarttags" w:element="PersonName">
        <w:smartTagPr>
          <w:attr w:name="ProductID" w:val="La Plata"/>
        </w:smartTagPr>
        <w:r>
          <w:rPr>
            <w:lang w:val="es-ES_tradnl"/>
          </w:rPr>
          <w:t>La Plata</w:t>
        </w:r>
      </w:smartTag>
      <w:r>
        <w:rPr>
          <w:lang w:val="es-ES_tradnl"/>
        </w:rPr>
        <w:t>, por lo que no iba a la brigada.</w:t>
      </w:r>
    </w:p>
    <w:p w:rsidR="00224567" w:rsidRDefault="00224567">
      <w:pPr>
        <w:widowControl w:val="0"/>
        <w:ind w:firstLine="2835"/>
        <w:rPr>
          <w:lang w:val="es-ES_tradnl"/>
        </w:rPr>
      </w:pPr>
      <w:r>
        <w:rPr>
          <w:lang w:val="es-ES_tradnl"/>
        </w:rPr>
        <w:t>No recordó el nombre del chapista que le reparó el aut</w:t>
      </w:r>
      <w:r>
        <w:rPr>
          <w:lang w:val="es-ES_tradnl"/>
        </w:rPr>
        <w:t>o</w:t>
      </w:r>
      <w:r>
        <w:rPr>
          <w:lang w:val="es-ES_tradnl"/>
        </w:rPr>
        <w:t xml:space="preserve">motor cerca de </w:t>
      </w:r>
      <w:smartTag w:uri="urn:schemas-microsoft-com:office:smarttags" w:element="PersonName">
        <w:smartTagPr>
          <w:attr w:name="ProductID" w:val="la Brigada"/>
        </w:smartTagPr>
        <w:r>
          <w:rPr>
            <w:lang w:val="es-ES_tradnl"/>
          </w:rPr>
          <w:t>la Brigada</w:t>
        </w:r>
      </w:smartTag>
      <w:r>
        <w:rPr>
          <w:lang w:val="es-ES_tradnl"/>
        </w:rPr>
        <w:t xml:space="preserve"> de Lanús.</w:t>
      </w:r>
    </w:p>
    <w:p w:rsidR="00224567" w:rsidRDefault="00224567">
      <w:pPr>
        <w:widowControl w:val="0"/>
        <w:ind w:firstLine="2835"/>
        <w:rPr>
          <w:lang w:val="es-ES_tradnl"/>
        </w:rPr>
      </w:pPr>
      <w:r>
        <w:rPr>
          <w:lang w:val="es-ES_tradnl"/>
        </w:rPr>
        <w:t>Con relación a sus actividades en la brigada, explicó que trabajaba en un grupo operativo a cargo de un principal de nombre Lohidoy, que se dedic</w:t>
      </w:r>
      <w:r>
        <w:rPr>
          <w:lang w:val="es-ES_tradnl"/>
        </w:rPr>
        <w:t>a</w:t>
      </w:r>
      <w:r>
        <w:rPr>
          <w:lang w:val="es-ES_tradnl"/>
        </w:rPr>
        <w:t>ban a trabajar en la calle en temas de r</w:t>
      </w:r>
      <w:r>
        <w:rPr>
          <w:lang w:val="es-ES_tradnl"/>
        </w:rPr>
        <w:t>o</w:t>
      </w:r>
      <w:r>
        <w:rPr>
          <w:lang w:val="es-ES_tradnl"/>
        </w:rPr>
        <w:t>bos y hurtos, como en operativos en conjunto con otros grupos.</w:t>
      </w:r>
    </w:p>
    <w:p w:rsidR="00224567" w:rsidRDefault="00224567">
      <w:pPr>
        <w:pStyle w:val="Sangra2detindependiente"/>
        <w:widowControl w:val="0"/>
        <w:spacing w:line="600" w:lineRule="auto"/>
        <w:ind w:firstLine="2835"/>
      </w:pPr>
      <w:r>
        <w:t>Aclaró que cuando refirió que no le importaba lo que estaba pasando en el procedimiento de Olivos, quiso decir que no prestaba atención porque no e</w:t>
      </w:r>
      <w:r>
        <w:t>s</w:t>
      </w:r>
      <w:r>
        <w:t>taba participando en él.</w:t>
      </w:r>
    </w:p>
    <w:p w:rsidR="00224567" w:rsidRDefault="00224567">
      <w:pPr>
        <w:pStyle w:val="Textoindependiente"/>
        <w:spacing w:line="600" w:lineRule="auto"/>
        <w:ind w:firstLine="2835"/>
      </w:pPr>
      <w:r>
        <w:t>Finalmente, durante el acto, confecci</w:t>
      </w:r>
      <w:r>
        <w:t>o</w:t>
      </w:r>
      <w:r>
        <w:t>nó un croquis, en el que señaló, entre otras circunsta</w:t>
      </w:r>
      <w:r>
        <w:t>n</w:t>
      </w:r>
      <w:r>
        <w:t>cias, el lugar donde se encontraba él con su a</w:t>
      </w:r>
      <w:r>
        <w:t>u</w:t>
      </w:r>
      <w:r>
        <w:t>tomotor, el vehículo Renault 18 del “Enano”, el taxímetro que resultó dañado y el sitio donde vio a la pers</w:t>
      </w:r>
      <w:r>
        <w:t>o</w:t>
      </w:r>
      <w:r>
        <w:t>na que cayó al piso.</w:t>
      </w:r>
    </w:p>
    <w:p w:rsidR="00224567" w:rsidRDefault="00224567">
      <w:pPr>
        <w:pStyle w:val="Piedepgina"/>
        <w:widowControl w:val="0"/>
        <w:tabs>
          <w:tab w:val="clear" w:pos="4419"/>
          <w:tab w:val="clear" w:pos="8838"/>
        </w:tabs>
        <w:spacing w:line="600" w:lineRule="auto"/>
      </w:pPr>
    </w:p>
    <w:p w:rsidR="00224567" w:rsidRDefault="00224567">
      <w:pPr>
        <w:pStyle w:val="Ttulo3"/>
        <w:keepNext w:val="0"/>
        <w:widowControl w:val="0"/>
      </w:pPr>
      <w:r>
        <w:t xml:space="preserve">L) Declaraciones indagatorias de </w:t>
      </w:r>
      <w:r>
        <w:rPr>
          <w:lang w:val="es-ES_tradnl"/>
        </w:rPr>
        <w:t>Claudio Walter Ar</w:t>
      </w:r>
      <w:r>
        <w:rPr>
          <w:lang w:val="es-ES_tradnl"/>
        </w:rPr>
        <w:t>a</w:t>
      </w:r>
      <w:r>
        <w:rPr>
          <w:lang w:val="es-ES_tradnl"/>
        </w:rPr>
        <w:t>ya</w:t>
      </w:r>
      <w:r>
        <w:t>.</w:t>
      </w:r>
    </w:p>
    <w:p w:rsidR="00224567" w:rsidRDefault="00224567">
      <w:pPr>
        <w:widowControl w:val="0"/>
        <w:ind w:firstLine="2835"/>
        <w:rPr>
          <w:lang w:val="es-ES_tradnl"/>
        </w:rPr>
      </w:pPr>
      <w:r>
        <w:rPr>
          <w:lang w:val="es-ES_tradnl"/>
        </w:rPr>
        <w:t>Al ser convocado a declarar en el d</w:t>
      </w:r>
      <w:r>
        <w:rPr>
          <w:lang w:val="es-ES_tradnl"/>
        </w:rPr>
        <w:t>e</w:t>
      </w:r>
      <w:r>
        <w:rPr>
          <w:lang w:val="es-ES_tradnl"/>
        </w:rPr>
        <w:t>bate, Claudio Walter Araya</w:t>
      </w:r>
      <w:r>
        <w:t xml:space="preserve"> dijo que se encontraba muy ne</w:t>
      </w:r>
      <w:r>
        <w:t>r</w:t>
      </w:r>
      <w:r>
        <w:t>vioso e hizo manifestaciones relativas a la situ</w:t>
      </w:r>
      <w:r>
        <w:t>a</w:t>
      </w:r>
      <w:r>
        <w:t>ción que tanto él como sus familiares se encontraban viviendo. Lu</w:t>
      </w:r>
      <w:r>
        <w:t>e</w:t>
      </w:r>
      <w:r>
        <w:t>go, señaló que no se hallaba en condiciones de prestar d</w:t>
      </w:r>
      <w:r>
        <w:t>e</w:t>
      </w:r>
      <w:r>
        <w:t xml:space="preserve">claración indagatoria, por lo se dio </w:t>
      </w:r>
      <w:r>
        <w:rPr>
          <w:lang w:val="es-ES_tradnl"/>
        </w:rPr>
        <w:t>lectura a las brind</w:t>
      </w:r>
      <w:r>
        <w:rPr>
          <w:lang w:val="es-ES_tradnl"/>
        </w:rPr>
        <w:t>a</w:t>
      </w:r>
      <w:r>
        <w:rPr>
          <w:lang w:val="es-ES_tradnl"/>
        </w:rPr>
        <w:t>das a fs. 39.709/39.714 y 41.517/41.521 ante el juez in</w:t>
      </w:r>
      <w:r>
        <w:rPr>
          <w:lang w:val="es-ES_tradnl"/>
        </w:rPr>
        <w:t>s</w:t>
      </w:r>
      <w:r>
        <w:rPr>
          <w:lang w:val="es-ES_tradnl"/>
        </w:rPr>
        <w:t>tru</w:t>
      </w:r>
      <w:r>
        <w:rPr>
          <w:lang w:val="es-ES_tradnl"/>
        </w:rPr>
        <w:t>c</w:t>
      </w:r>
      <w:r>
        <w:rPr>
          <w:lang w:val="es-ES_tradnl"/>
        </w:rPr>
        <w:t>tor.</w:t>
      </w:r>
    </w:p>
    <w:p w:rsidR="00224567" w:rsidRDefault="00224567">
      <w:pPr>
        <w:widowControl w:val="0"/>
        <w:ind w:firstLine="2835"/>
        <w:rPr>
          <w:lang w:val="es-ES_tradnl"/>
        </w:rPr>
      </w:pPr>
      <w:r>
        <w:rPr>
          <w:lang w:val="es-ES_tradnl"/>
        </w:rPr>
        <w:t>En esas ocasiones señaló que en 1983 ingresó a la escuela de cadetes “Juan Vucetich”, donde cursó estudios durante dos años y se recibió de oficial ayudante.</w:t>
      </w:r>
    </w:p>
    <w:p w:rsidR="00224567" w:rsidRDefault="00224567">
      <w:pPr>
        <w:widowControl w:val="0"/>
        <w:ind w:firstLine="2835"/>
        <w:rPr>
          <w:lang w:val="es-ES_tradnl"/>
        </w:rPr>
      </w:pPr>
      <w:r>
        <w:rPr>
          <w:lang w:val="es-ES_tradnl"/>
        </w:rPr>
        <w:t xml:space="preserve">De ahí fue destinado a </w:t>
      </w:r>
      <w:smartTag w:uri="urn:schemas-microsoft-com:office:smarttags" w:element="PersonName">
        <w:smartTagPr>
          <w:attr w:name="ProductID" w:val="la Comisar￭a"/>
        </w:smartTagPr>
        <w:r>
          <w:rPr>
            <w:lang w:val="es-ES_tradnl"/>
          </w:rPr>
          <w:t>la Comis</w:t>
        </w:r>
        <w:r>
          <w:rPr>
            <w:lang w:val="es-ES_tradnl"/>
          </w:rPr>
          <w:t>a</w:t>
        </w:r>
        <w:r>
          <w:rPr>
            <w:lang w:val="es-ES_tradnl"/>
          </w:rPr>
          <w:t>ría</w:t>
        </w:r>
      </w:smartTag>
      <w:r>
        <w:rPr>
          <w:lang w:val="es-ES_tradnl"/>
        </w:rPr>
        <w:t xml:space="preserve"> de Monte Grande, Seccional I de Esteban Echev</w:t>
      </w:r>
      <w:r>
        <w:rPr>
          <w:lang w:val="es-ES_tradnl"/>
        </w:rPr>
        <w:t>e</w:t>
      </w:r>
      <w:r>
        <w:rPr>
          <w:lang w:val="es-ES_tradnl"/>
        </w:rPr>
        <w:t>rría, en la que se desempeñaron como comisarios, en forma sucesiva, Giac</w:t>
      </w:r>
      <w:r>
        <w:rPr>
          <w:lang w:val="es-ES_tradnl"/>
        </w:rPr>
        <w:t>o</w:t>
      </w:r>
      <w:r>
        <w:rPr>
          <w:lang w:val="es-ES_tradnl"/>
        </w:rPr>
        <w:t>pelo, Sosa, González y Perino.</w:t>
      </w:r>
    </w:p>
    <w:p w:rsidR="00224567" w:rsidRDefault="00224567">
      <w:pPr>
        <w:widowControl w:val="0"/>
        <w:ind w:firstLine="2835"/>
        <w:rPr>
          <w:lang w:val="es-ES_tradnl"/>
        </w:rPr>
      </w:pPr>
      <w:r>
        <w:rPr>
          <w:lang w:val="es-ES_tradnl"/>
        </w:rPr>
        <w:t>En esa comisaría conoció al oficial subinspector Alfredo Andrada y mantuvo con él un vínculo funcional.</w:t>
      </w:r>
    </w:p>
    <w:p w:rsidR="00224567" w:rsidRDefault="00224567">
      <w:pPr>
        <w:widowControl w:val="0"/>
        <w:ind w:firstLine="2835"/>
        <w:rPr>
          <w:lang w:val="es-ES_tradnl"/>
        </w:rPr>
      </w:pPr>
      <w:r>
        <w:rPr>
          <w:lang w:val="es-ES_tradnl"/>
        </w:rPr>
        <w:t xml:space="preserve">A los tres años de permanecer en ese destino fue trasladado a </w:t>
      </w:r>
      <w:smartTag w:uri="urn:schemas-microsoft-com:office:smarttags" w:element="PersonName">
        <w:smartTagPr>
          <w:attr w:name="ProductID" w:val="la Comisar￭a"/>
        </w:smartTagPr>
        <w:r>
          <w:rPr>
            <w:lang w:val="es-ES_tradnl"/>
          </w:rPr>
          <w:t>la Comisaría</w:t>
        </w:r>
      </w:smartTag>
      <w:r>
        <w:rPr>
          <w:lang w:val="es-ES_tradnl"/>
        </w:rPr>
        <w:t xml:space="preserve"> de Canning, Secci</w:t>
      </w:r>
      <w:r>
        <w:rPr>
          <w:lang w:val="es-ES_tradnl"/>
        </w:rPr>
        <w:t>o</w:t>
      </w:r>
      <w:r>
        <w:rPr>
          <w:lang w:val="es-ES_tradnl"/>
        </w:rPr>
        <w:t>nal IV de Esteban Echeverría, donde cumplió funciones de oficial de servicio. Indicó que los subcomisarios Pino y Pérez Arroy fueron los titulares de esa dependencia en aquel tiempo.</w:t>
      </w:r>
    </w:p>
    <w:p w:rsidR="00224567" w:rsidRDefault="00224567">
      <w:pPr>
        <w:widowControl w:val="0"/>
        <w:ind w:firstLine="2835"/>
        <w:rPr>
          <w:lang w:val="es-ES_tradnl"/>
        </w:rPr>
      </w:pPr>
      <w:r>
        <w:rPr>
          <w:lang w:val="es-ES_tradnl"/>
        </w:rPr>
        <w:t xml:space="preserve">Al año, fue destinado a </w:t>
      </w:r>
      <w:smartTag w:uri="urn:schemas-microsoft-com:office:smarttags" w:element="PersonName">
        <w:smartTagPr>
          <w:attr w:name="ProductID" w:val="la Comisar￭a"/>
        </w:smartTagPr>
        <w:r>
          <w:rPr>
            <w:lang w:val="es-ES_tradnl"/>
          </w:rPr>
          <w:t>la Comisaría</w:t>
        </w:r>
      </w:smartTag>
      <w:r>
        <w:rPr>
          <w:lang w:val="es-ES_tradnl"/>
        </w:rPr>
        <w:t xml:space="preserve"> de Claypole, Seccional VI de Almirante Brown, siendo los responsables de la dependencia, sucesivamente, los comis</w:t>
      </w:r>
      <w:r>
        <w:rPr>
          <w:lang w:val="es-ES_tradnl"/>
        </w:rPr>
        <w:t>a</w:t>
      </w:r>
      <w:r>
        <w:rPr>
          <w:lang w:val="es-ES_tradnl"/>
        </w:rPr>
        <w:t>rios Rivera y Leone. Con el primero, en el año 1991, cu</w:t>
      </w:r>
      <w:r>
        <w:rPr>
          <w:lang w:val="es-ES_tradnl"/>
        </w:rPr>
        <w:t>m</w:t>
      </w:r>
      <w:r>
        <w:rPr>
          <w:lang w:val="es-ES_tradnl"/>
        </w:rPr>
        <w:t>plió funciones de oficial de servicio y tuvo un reconoc</w:t>
      </w:r>
      <w:r>
        <w:rPr>
          <w:lang w:val="es-ES_tradnl"/>
        </w:rPr>
        <w:t>i</w:t>
      </w:r>
      <w:r>
        <w:rPr>
          <w:lang w:val="es-ES_tradnl"/>
        </w:rPr>
        <w:t>miento de la superioridad y de la comunidad por haber b</w:t>
      </w:r>
      <w:r>
        <w:rPr>
          <w:lang w:val="es-ES_tradnl"/>
        </w:rPr>
        <w:t>a</w:t>
      </w:r>
      <w:r>
        <w:rPr>
          <w:lang w:val="es-ES_tradnl"/>
        </w:rPr>
        <w:t>jado el índice de delitos y por la gran cantidad de dete</w:t>
      </w:r>
      <w:r>
        <w:rPr>
          <w:lang w:val="es-ES_tradnl"/>
        </w:rPr>
        <w:t>n</w:t>
      </w:r>
      <w:r>
        <w:rPr>
          <w:lang w:val="es-ES_tradnl"/>
        </w:rPr>
        <w:t>ciones efectu</w:t>
      </w:r>
      <w:r>
        <w:rPr>
          <w:lang w:val="es-ES_tradnl"/>
        </w:rPr>
        <w:t>a</w:t>
      </w:r>
      <w:r>
        <w:rPr>
          <w:lang w:val="es-ES_tradnl"/>
        </w:rPr>
        <w:t>das.</w:t>
      </w:r>
    </w:p>
    <w:p w:rsidR="00224567" w:rsidRDefault="00224567">
      <w:pPr>
        <w:widowControl w:val="0"/>
        <w:ind w:firstLine="2835"/>
        <w:rPr>
          <w:lang w:val="es-ES_tradnl"/>
        </w:rPr>
      </w:pPr>
      <w:r>
        <w:rPr>
          <w:lang w:val="es-ES_tradnl"/>
        </w:rPr>
        <w:t xml:space="preserve">Durante 1992 y 1993 prestó servicios en </w:t>
      </w:r>
      <w:smartTag w:uri="urn:schemas-microsoft-com:office:smarttags" w:element="PersonName">
        <w:smartTagPr>
          <w:attr w:name="ProductID" w:val="la Comisar￭a"/>
        </w:smartTagPr>
        <w:r>
          <w:rPr>
            <w:lang w:val="es-ES_tradnl"/>
          </w:rPr>
          <w:t>la Comisaría</w:t>
        </w:r>
      </w:smartTag>
      <w:r>
        <w:rPr>
          <w:lang w:val="es-ES_tradnl"/>
        </w:rPr>
        <w:t xml:space="preserve"> de Adrogué, Seccional I de Almirante Brown, cuyo titular era el comisario Ángel Roberto Salgu</w:t>
      </w:r>
      <w:r>
        <w:rPr>
          <w:lang w:val="es-ES_tradnl"/>
        </w:rPr>
        <w:t>e</w:t>
      </w:r>
      <w:r>
        <w:rPr>
          <w:lang w:val="es-ES_tradnl"/>
        </w:rPr>
        <w:t>ro. Allí cumplió funciones como oficial de servicio y lu</w:t>
      </w:r>
      <w:r>
        <w:rPr>
          <w:lang w:val="es-ES_tradnl"/>
        </w:rPr>
        <w:t>e</w:t>
      </w:r>
      <w:r>
        <w:rPr>
          <w:lang w:val="es-ES_tradnl"/>
        </w:rPr>
        <w:t>go como integrante del servicio externo, recorda</w:t>
      </w:r>
      <w:r>
        <w:rPr>
          <w:lang w:val="es-ES_tradnl"/>
        </w:rPr>
        <w:t>n</w:t>
      </w:r>
      <w:r>
        <w:rPr>
          <w:lang w:val="es-ES_tradnl"/>
        </w:rPr>
        <w:t>do que en ese destino se encontraba el suboficial mayor Javier Sm</w:t>
      </w:r>
      <w:r>
        <w:rPr>
          <w:lang w:val="es-ES_tradnl"/>
        </w:rPr>
        <w:t>u</w:t>
      </w:r>
      <w:r>
        <w:rPr>
          <w:lang w:val="es-ES_tradnl"/>
        </w:rPr>
        <w:t>rro, quien también se desempeñó como integrante del serv</w:t>
      </w:r>
      <w:r>
        <w:rPr>
          <w:lang w:val="es-ES_tradnl"/>
        </w:rPr>
        <w:t>i</w:t>
      </w:r>
      <w:r>
        <w:rPr>
          <w:lang w:val="es-ES_tradnl"/>
        </w:rPr>
        <w:t>cio e</w:t>
      </w:r>
      <w:r>
        <w:rPr>
          <w:lang w:val="es-ES_tradnl"/>
        </w:rPr>
        <w:t>x</w:t>
      </w:r>
      <w:r>
        <w:rPr>
          <w:lang w:val="es-ES_tradnl"/>
        </w:rPr>
        <w:t>terno.</w:t>
      </w:r>
    </w:p>
    <w:p w:rsidR="00224567" w:rsidRDefault="00224567">
      <w:pPr>
        <w:widowControl w:val="0"/>
        <w:ind w:firstLine="2835"/>
        <w:rPr>
          <w:lang w:val="es-ES_tradnl"/>
        </w:rPr>
      </w:pPr>
      <w:r>
        <w:rPr>
          <w:lang w:val="es-ES_tradnl"/>
        </w:rPr>
        <w:t>A fines de 1993, como no se llevaba bien con el comisario Salguero, intentó conseguir el tra</w:t>
      </w:r>
      <w:r>
        <w:rPr>
          <w:lang w:val="es-ES_tradnl"/>
        </w:rPr>
        <w:t>s</w:t>
      </w:r>
      <w:r>
        <w:rPr>
          <w:lang w:val="es-ES_tradnl"/>
        </w:rPr>
        <w:t>lado a otra comisaría. Así, se encontró con Alfredo Andr</w:t>
      </w:r>
      <w:r>
        <w:rPr>
          <w:lang w:val="es-ES_tradnl"/>
        </w:rPr>
        <w:t>a</w:t>
      </w:r>
      <w:r>
        <w:rPr>
          <w:lang w:val="es-ES_tradnl"/>
        </w:rPr>
        <w:t xml:space="preserve">da, oficial principal de </w:t>
      </w:r>
      <w:smartTag w:uri="urn:schemas-microsoft-com:office:smarttags" w:element="PersonName">
        <w:smartTagPr>
          <w:attr w:name="ProductID" w:val="la Brigada"/>
        </w:smartTagPr>
        <w:r>
          <w:rPr>
            <w:lang w:val="es-ES_tradnl"/>
          </w:rPr>
          <w:t>la Brigada</w:t>
        </w:r>
      </w:smartTag>
      <w:r>
        <w:rPr>
          <w:lang w:val="es-ES_tradnl"/>
        </w:rPr>
        <w:t xml:space="preserve"> de Almirante Brown con asiento en la localidad de Monte Grande, a quien le come</w:t>
      </w:r>
      <w:r>
        <w:rPr>
          <w:lang w:val="es-ES_tradnl"/>
        </w:rPr>
        <w:t>n</w:t>
      </w:r>
      <w:r>
        <w:rPr>
          <w:lang w:val="es-ES_tradnl"/>
        </w:rPr>
        <w:t>tó que quería cambiar de destino. Andrada habló con su j</w:t>
      </w:r>
      <w:r>
        <w:rPr>
          <w:lang w:val="es-ES_tradnl"/>
        </w:rPr>
        <w:t>e</w:t>
      </w:r>
      <w:r>
        <w:rPr>
          <w:lang w:val="es-ES_tradnl"/>
        </w:rPr>
        <w:t xml:space="preserve">fe y logró trasladarlo a </w:t>
      </w:r>
      <w:smartTag w:uri="urn:schemas-microsoft-com:office:smarttags" w:element="PersonName">
        <w:smartTagPr>
          <w:attr w:name="ProductID" w:val="la Comisar￭a"/>
        </w:smartTagPr>
        <w:r>
          <w:rPr>
            <w:lang w:val="es-ES_tradnl"/>
          </w:rPr>
          <w:t>la Comisaría</w:t>
        </w:r>
      </w:smartTag>
      <w:r>
        <w:rPr>
          <w:lang w:val="es-ES_tradnl"/>
        </w:rPr>
        <w:t xml:space="preserve"> de Tristán Suárez, donde cumplió funciones como oficial de servicio con la jerarquía de oficial subinspector.</w:t>
      </w:r>
    </w:p>
    <w:p w:rsidR="00224567" w:rsidRDefault="00224567">
      <w:pPr>
        <w:widowControl w:val="0"/>
        <w:ind w:firstLine="2835"/>
        <w:rPr>
          <w:lang w:val="es-ES_tradnl"/>
        </w:rPr>
      </w:pPr>
      <w:r>
        <w:rPr>
          <w:lang w:val="es-ES_tradnl"/>
        </w:rPr>
        <w:t xml:space="preserve">Al mes de permanecer en ese asiento, llegó el traslado de Seguridad a Investigaciones, por lo que se fue a </w:t>
      </w:r>
      <w:smartTag w:uri="urn:schemas-microsoft-com:office:smarttags" w:element="PersonName">
        <w:smartTagPr>
          <w:attr w:name="ProductID" w:val="la Brigada"/>
        </w:smartTagPr>
        <w:r>
          <w:rPr>
            <w:lang w:val="es-ES_tradnl"/>
          </w:rPr>
          <w:t>la Brigada</w:t>
        </w:r>
      </w:smartTag>
      <w:r>
        <w:rPr>
          <w:lang w:val="es-ES_tradnl"/>
        </w:rPr>
        <w:t xml:space="preserve"> de Almirante Brown. En ésta el c</w:t>
      </w:r>
      <w:r>
        <w:rPr>
          <w:lang w:val="es-ES_tradnl"/>
        </w:rPr>
        <w:t>o</w:t>
      </w:r>
      <w:r>
        <w:rPr>
          <w:lang w:val="es-ES_tradnl"/>
        </w:rPr>
        <w:t>misario era Palleros, el segundo jefe el comisario Gonz</w:t>
      </w:r>
      <w:r>
        <w:rPr>
          <w:lang w:val="es-ES_tradnl"/>
        </w:rPr>
        <w:t>á</w:t>
      </w:r>
      <w:r>
        <w:rPr>
          <w:lang w:val="es-ES_tradnl"/>
        </w:rPr>
        <w:t>lez y el jefe de operaciones, el subcomisario Ibáñez. Aclaró que allí estuvo a cargo de un grupo oper</w:t>
      </w:r>
      <w:r>
        <w:rPr>
          <w:lang w:val="es-ES_tradnl"/>
        </w:rPr>
        <w:t>a</w:t>
      </w:r>
      <w:r>
        <w:rPr>
          <w:lang w:val="es-ES_tradnl"/>
        </w:rPr>
        <w:t>tivo en el que también trabajaba el sargento pr</w:t>
      </w:r>
      <w:r>
        <w:rPr>
          <w:lang w:val="es-ES_tradnl"/>
        </w:rPr>
        <w:t>i</w:t>
      </w:r>
      <w:r>
        <w:rPr>
          <w:lang w:val="es-ES_tradnl"/>
        </w:rPr>
        <w:t>mero Peralta.</w:t>
      </w:r>
    </w:p>
    <w:p w:rsidR="00224567" w:rsidRDefault="00224567">
      <w:pPr>
        <w:widowControl w:val="0"/>
        <w:ind w:firstLine="2835"/>
        <w:rPr>
          <w:lang w:val="es-ES_tradnl"/>
        </w:rPr>
      </w:pPr>
      <w:r>
        <w:rPr>
          <w:lang w:val="es-ES_tradnl"/>
        </w:rPr>
        <w:t>Precisó que fue en ese destino donde conoció al oficial principal Marcelo Albarr</w:t>
      </w:r>
      <w:r>
        <w:rPr>
          <w:lang w:val="es-ES_tradnl"/>
        </w:rPr>
        <w:t>a</w:t>
      </w:r>
      <w:r>
        <w:rPr>
          <w:lang w:val="es-ES_tradnl"/>
        </w:rPr>
        <w:t>cín, quien era familiar de Andrada. Aproximadamente a los 2 meses de pe</w:t>
      </w:r>
      <w:r>
        <w:rPr>
          <w:lang w:val="es-ES_tradnl"/>
        </w:rPr>
        <w:t>r</w:t>
      </w:r>
      <w:r>
        <w:rPr>
          <w:lang w:val="es-ES_tradnl"/>
        </w:rPr>
        <w:t>manecer allí se produjeron cambios en la seccional y s</w:t>
      </w:r>
      <w:r>
        <w:rPr>
          <w:lang w:val="es-ES_tradnl"/>
        </w:rPr>
        <w:t>u</w:t>
      </w:r>
      <w:r>
        <w:rPr>
          <w:lang w:val="es-ES_tradnl"/>
        </w:rPr>
        <w:t>po que iban a trasladar a un comisario de no</w:t>
      </w:r>
      <w:r>
        <w:rPr>
          <w:lang w:val="es-ES_tradnl"/>
        </w:rPr>
        <w:t>m</w:t>
      </w:r>
      <w:r>
        <w:rPr>
          <w:lang w:val="es-ES_tradnl"/>
        </w:rPr>
        <w:t>bre García para trabajar en narcotráfico. Como al dicente no le gustaban las tareas laborales que se debían cumplir en ese rubro, solicitó a Andrada que le consiguiera un pase. Éste le h</w:t>
      </w:r>
      <w:r>
        <w:rPr>
          <w:lang w:val="es-ES_tradnl"/>
        </w:rPr>
        <w:t>i</w:t>
      </w:r>
      <w:r>
        <w:rPr>
          <w:lang w:val="es-ES_tradnl"/>
        </w:rPr>
        <w:t>zo saber que su cuñado Marcelo Albarracín iba a traslada</w:t>
      </w:r>
      <w:r>
        <w:rPr>
          <w:lang w:val="es-ES_tradnl"/>
        </w:rPr>
        <w:t>r</w:t>
      </w:r>
      <w:r>
        <w:rPr>
          <w:lang w:val="es-ES_tradnl"/>
        </w:rPr>
        <w:t xml:space="preserve">se a </w:t>
      </w:r>
      <w:smartTag w:uri="urn:schemas-microsoft-com:office:smarttags" w:element="PersonName">
        <w:smartTagPr>
          <w:attr w:name="ProductID" w:val="la Brigada"/>
        </w:smartTagPr>
        <w:r>
          <w:rPr>
            <w:lang w:val="es-ES_tradnl"/>
          </w:rPr>
          <w:t>la Brigada</w:t>
        </w:r>
      </w:smartTag>
      <w:r>
        <w:rPr>
          <w:lang w:val="es-ES_tradnl"/>
        </w:rPr>
        <w:t xml:space="preserve"> de Investigaciones II de Lanús, por lo cual el dicente y quien lo secundaba consiguieron ir a esa depe</w:t>
      </w:r>
      <w:r>
        <w:rPr>
          <w:lang w:val="es-ES_tradnl"/>
        </w:rPr>
        <w:t>n</w:t>
      </w:r>
      <w:r>
        <w:rPr>
          <w:lang w:val="es-ES_tradnl"/>
        </w:rPr>
        <w:t>dencia.</w:t>
      </w:r>
    </w:p>
    <w:p w:rsidR="00224567" w:rsidRDefault="00224567">
      <w:pPr>
        <w:widowControl w:val="0"/>
        <w:ind w:firstLine="2835"/>
        <w:rPr>
          <w:lang w:val="es-ES_tradnl"/>
        </w:rPr>
      </w:pPr>
      <w:r>
        <w:rPr>
          <w:lang w:val="es-ES_tradnl"/>
        </w:rPr>
        <w:t>El 15 de marzo de 1994 llegó el desp</w:t>
      </w:r>
      <w:r>
        <w:rPr>
          <w:lang w:val="es-ES_tradnl"/>
        </w:rPr>
        <w:t>a</w:t>
      </w:r>
      <w:r>
        <w:rPr>
          <w:lang w:val="es-ES_tradnl"/>
        </w:rPr>
        <w:t xml:space="preserve">cho de traslado de Almirante Brown a </w:t>
      </w:r>
      <w:smartTag w:uri="urn:schemas-microsoft-com:office:smarttags" w:element="PersonName">
        <w:smartTagPr>
          <w:attr w:name="ProductID" w:val="la Brigada"/>
        </w:smartTagPr>
        <w:r>
          <w:rPr>
            <w:lang w:val="es-ES_tradnl"/>
          </w:rPr>
          <w:t>la Brigada</w:t>
        </w:r>
      </w:smartTag>
      <w:r>
        <w:rPr>
          <w:lang w:val="es-ES_tradnl"/>
        </w:rPr>
        <w:t xml:space="preserve"> de Lanús, siendo trasladado junto a Albarracín, Peralta y Castro, dándoles posesión de puesto el 17 de marzo de 1994, fo</w:t>
      </w:r>
      <w:r>
        <w:rPr>
          <w:lang w:val="es-ES_tradnl"/>
        </w:rPr>
        <w:t>r</w:t>
      </w:r>
      <w:r>
        <w:rPr>
          <w:lang w:val="es-ES_tradnl"/>
        </w:rPr>
        <w:t>mando con los nombrados un grupo operativo.</w:t>
      </w:r>
    </w:p>
    <w:p w:rsidR="00224567" w:rsidRDefault="00224567">
      <w:pPr>
        <w:widowControl w:val="0"/>
        <w:ind w:firstLine="2835"/>
        <w:rPr>
          <w:lang w:val="es-ES_tradnl"/>
        </w:rPr>
      </w:pPr>
      <w:r>
        <w:rPr>
          <w:lang w:val="es-ES_tradnl"/>
        </w:rPr>
        <w:t>De todo el personal que trabajaba en la brigada al único que conocía era al suboficial mayor Javier Smurro.</w:t>
      </w:r>
    </w:p>
    <w:p w:rsidR="00224567" w:rsidRDefault="00224567">
      <w:pPr>
        <w:widowControl w:val="0"/>
        <w:ind w:firstLine="2835"/>
        <w:rPr>
          <w:lang w:val="es-ES_tradnl"/>
        </w:rPr>
      </w:pPr>
      <w:r>
        <w:rPr>
          <w:lang w:val="es-ES_tradnl"/>
        </w:rPr>
        <w:t>Manifestó que los primeros días de e</w:t>
      </w:r>
      <w:r>
        <w:rPr>
          <w:lang w:val="es-ES_tradnl"/>
        </w:rPr>
        <w:t>s</w:t>
      </w:r>
      <w:r>
        <w:rPr>
          <w:lang w:val="es-ES_tradnl"/>
        </w:rPr>
        <w:t>tar allí, por ser nuevos en la zona, no tenían info</w:t>
      </w:r>
      <w:r>
        <w:rPr>
          <w:lang w:val="es-ES_tradnl"/>
        </w:rPr>
        <w:t>r</w:t>
      </w:r>
      <w:r>
        <w:rPr>
          <w:lang w:val="es-ES_tradnl"/>
        </w:rPr>
        <w:t>mación sobre delitos o posibles delincuentes, ni tareas asign</w:t>
      </w:r>
      <w:r>
        <w:rPr>
          <w:lang w:val="es-ES_tradnl"/>
        </w:rPr>
        <w:t>a</w:t>
      </w:r>
      <w:r>
        <w:rPr>
          <w:lang w:val="es-ES_tradnl"/>
        </w:rPr>
        <w:t>das, por lo que se dirigían a la brigada al sólo efecto de hacer acto de presencia.</w:t>
      </w:r>
    </w:p>
    <w:p w:rsidR="00224567" w:rsidRDefault="00224567">
      <w:pPr>
        <w:widowControl w:val="0"/>
        <w:ind w:firstLine="2835"/>
        <w:rPr>
          <w:lang w:val="es-ES_tradnl"/>
        </w:rPr>
      </w:pPr>
      <w:r>
        <w:rPr>
          <w:lang w:val="es-ES_tradnl"/>
        </w:rPr>
        <w:t>El 4 de abril de 1994, en horas de la mañana, se enco</w:t>
      </w:r>
      <w:r>
        <w:rPr>
          <w:lang w:val="es-ES_tradnl"/>
        </w:rPr>
        <w:t>n</w:t>
      </w:r>
      <w:r>
        <w:rPr>
          <w:lang w:val="es-ES_tradnl"/>
        </w:rPr>
        <w:t xml:space="preserve">traba en un bar distante a </w:t>
      </w:r>
      <w:smartTag w:uri="urn:schemas-microsoft-com:office:smarttags" w:element="metricconverter">
        <w:smartTagPr>
          <w:attr w:name="ProductID" w:val="20 metros"/>
        </w:smartTagPr>
        <w:r>
          <w:rPr>
            <w:lang w:val="es-ES_tradnl"/>
          </w:rPr>
          <w:t>20 metros</w:t>
        </w:r>
      </w:smartTag>
      <w:r>
        <w:rPr>
          <w:lang w:val="es-ES_tradnl"/>
        </w:rPr>
        <w:t xml:space="preserve"> de la brigada, junto con el principal Albarracín y se apersonó en ese lugar el subcomisario Ibarra –al cual sólo conocía de vista- y le manifestó al principal lo siguiente “dice Juan que tenés que acompañarme a real</w:t>
      </w:r>
      <w:r>
        <w:rPr>
          <w:lang w:val="es-ES_tradnl"/>
        </w:rPr>
        <w:t>i</w:t>
      </w:r>
      <w:r>
        <w:rPr>
          <w:lang w:val="es-ES_tradnl"/>
        </w:rPr>
        <w:t>zar una detención”. Aclaró que la orden fue para Albarracín pero se entendía que era para todo el grupo operativo. Sobre la int</w:t>
      </w:r>
      <w:r>
        <w:rPr>
          <w:lang w:val="es-ES_tradnl"/>
        </w:rPr>
        <w:t>e</w:t>
      </w:r>
      <w:r>
        <w:rPr>
          <w:lang w:val="es-ES_tradnl"/>
        </w:rPr>
        <w:t>gración del grupo, aclaró que Peralta ya no trabajaba más con ellos por haber tenido un entredicho con Albarr</w:t>
      </w:r>
      <w:r>
        <w:rPr>
          <w:lang w:val="es-ES_tradnl"/>
        </w:rPr>
        <w:t>a</w:t>
      </w:r>
      <w:r>
        <w:rPr>
          <w:lang w:val="es-ES_tradnl"/>
        </w:rPr>
        <w:t>cín.</w:t>
      </w:r>
    </w:p>
    <w:p w:rsidR="00224567" w:rsidRDefault="00224567">
      <w:pPr>
        <w:widowControl w:val="0"/>
        <w:ind w:firstLine="2835"/>
        <w:rPr>
          <w:lang w:val="es-ES_tradnl"/>
        </w:rPr>
      </w:pPr>
      <w:r>
        <w:rPr>
          <w:lang w:val="es-ES_tradnl"/>
        </w:rPr>
        <w:t>Afirmó que fue un caso atípico el h</w:t>
      </w:r>
      <w:r>
        <w:rPr>
          <w:lang w:val="es-ES_tradnl"/>
        </w:rPr>
        <w:t>e</w:t>
      </w:r>
      <w:r>
        <w:rPr>
          <w:lang w:val="es-ES_tradnl"/>
        </w:rPr>
        <w:t>cho de que Ibarra, invocando la orden del jefe de oper</w:t>
      </w:r>
      <w:r>
        <w:rPr>
          <w:lang w:val="es-ES_tradnl"/>
        </w:rPr>
        <w:t>a</w:t>
      </w:r>
      <w:r>
        <w:rPr>
          <w:lang w:val="es-ES_tradnl"/>
        </w:rPr>
        <w:t>ciones Juan José Ribelli, se haya puesto a ca</w:t>
      </w:r>
      <w:r>
        <w:rPr>
          <w:lang w:val="es-ES_tradnl"/>
        </w:rPr>
        <w:t>r</w:t>
      </w:r>
      <w:r>
        <w:rPr>
          <w:lang w:val="es-ES_tradnl"/>
        </w:rPr>
        <w:t>go del grupo operativo para realizar una detención.</w:t>
      </w:r>
    </w:p>
    <w:p w:rsidR="00224567" w:rsidRDefault="00224567">
      <w:pPr>
        <w:pStyle w:val="Sangradetextonormal"/>
        <w:widowControl w:val="0"/>
        <w:ind w:firstLine="2835"/>
      </w:pPr>
      <w:r>
        <w:t>Refirió que tomó conocimiento por i</w:t>
      </w:r>
      <w:r>
        <w:t>n</w:t>
      </w:r>
      <w:r>
        <w:t>termedio de Smurro que quienes iban a realizar la dete</w:t>
      </w:r>
      <w:r>
        <w:t>n</w:t>
      </w:r>
      <w:r>
        <w:t>ción en cuestión era el grupo conformado por el subcomis</w:t>
      </w:r>
      <w:r>
        <w:t>a</w:t>
      </w:r>
      <w:r>
        <w:t>rio Huici, Smurro y un suboficial de ap</w:t>
      </w:r>
      <w:r>
        <w:t>e</w:t>
      </w:r>
      <w:r>
        <w:t>llido Córdoba. Que ellos no lo hicieron porque se negaron a utilizar su c</w:t>
      </w:r>
      <w:r>
        <w:t>o</w:t>
      </w:r>
      <w:r>
        <w:t>che. Por esa razón, y al e</w:t>
      </w:r>
      <w:r>
        <w:t>s</w:t>
      </w:r>
      <w:r>
        <w:t>tar su grupo tomando algo en el bar, Ibarra les asignó la tarea.</w:t>
      </w:r>
    </w:p>
    <w:p w:rsidR="00224567" w:rsidRDefault="00224567">
      <w:pPr>
        <w:widowControl w:val="0"/>
        <w:ind w:firstLine="2835"/>
        <w:rPr>
          <w:lang w:val="es-ES_tradnl"/>
        </w:rPr>
      </w:pPr>
      <w:r>
        <w:rPr>
          <w:lang w:val="es-ES_tradnl"/>
        </w:rPr>
        <w:t>Se dirigieron al lugar donde se tenía que practicar la detención en el auto de Albarracín -un Volkswagen color oscuro-, éste manejó, Ibarra fue en el asiento del acompañante y el dicente se sentó atrás. Ca</w:t>
      </w:r>
      <w:r>
        <w:rPr>
          <w:lang w:val="es-ES_tradnl"/>
        </w:rPr>
        <w:t>s</w:t>
      </w:r>
      <w:r>
        <w:rPr>
          <w:lang w:val="es-ES_tradnl"/>
        </w:rPr>
        <w:t>tro fue con su vehículo R</w:t>
      </w:r>
      <w:r>
        <w:rPr>
          <w:lang w:val="es-ES_tradnl"/>
        </w:rPr>
        <w:t>e</w:t>
      </w:r>
      <w:r>
        <w:rPr>
          <w:lang w:val="es-ES_tradnl"/>
        </w:rPr>
        <w:t>nault 12 color blanco.</w:t>
      </w:r>
    </w:p>
    <w:p w:rsidR="00224567" w:rsidRDefault="00224567">
      <w:pPr>
        <w:widowControl w:val="0"/>
        <w:ind w:firstLine="2835"/>
        <w:rPr>
          <w:lang w:val="es-ES_tradnl"/>
        </w:rPr>
      </w:pPr>
      <w:r>
        <w:rPr>
          <w:lang w:val="es-ES_tradnl"/>
        </w:rPr>
        <w:t>Cuando salieron, no prestó mucha ate</w:t>
      </w:r>
      <w:r>
        <w:rPr>
          <w:lang w:val="es-ES_tradnl"/>
        </w:rPr>
        <w:t>n</w:t>
      </w:r>
      <w:r>
        <w:rPr>
          <w:lang w:val="es-ES_tradnl"/>
        </w:rPr>
        <w:t>ción a qué lugar estaban yendo ya que no miraba para ad</w:t>
      </w:r>
      <w:r>
        <w:rPr>
          <w:lang w:val="es-ES_tradnl"/>
        </w:rPr>
        <w:t>e</w:t>
      </w:r>
      <w:r>
        <w:rPr>
          <w:lang w:val="es-ES_tradnl"/>
        </w:rPr>
        <w:t>lante porque le tapaban los apoya cab</w:t>
      </w:r>
      <w:r>
        <w:rPr>
          <w:lang w:val="es-ES_tradnl"/>
        </w:rPr>
        <w:t>e</w:t>
      </w:r>
      <w:r>
        <w:rPr>
          <w:lang w:val="es-ES_tradnl"/>
        </w:rPr>
        <w:t>zas de los asientos d</w:t>
      </w:r>
      <w:r>
        <w:rPr>
          <w:lang w:val="es-ES_tradnl"/>
        </w:rPr>
        <w:t>e</w:t>
      </w:r>
      <w:r>
        <w:rPr>
          <w:lang w:val="es-ES_tradnl"/>
        </w:rPr>
        <w:t>lanteros.</w:t>
      </w:r>
    </w:p>
    <w:p w:rsidR="00224567" w:rsidRDefault="00224567">
      <w:pPr>
        <w:widowControl w:val="0"/>
        <w:ind w:firstLine="2835"/>
        <w:rPr>
          <w:lang w:val="es-ES_tradnl"/>
        </w:rPr>
      </w:pPr>
      <w:r>
        <w:rPr>
          <w:lang w:val="es-ES_tradnl"/>
        </w:rPr>
        <w:t>Durante el camino escuchó que Ibarra le dijo a Albarracín que debían dirigirse a la localidad de Tortuguitas y que la persona a detener en alguna opo</w:t>
      </w:r>
      <w:r>
        <w:rPr>
          <w:lang w:val="es-ES_tradnl"/>
        </w:rPr>
        <w:t>r</w:t>
      </w:r>
      <w:r>
        <w:rPr>
          <w:lang w:val="es-ES_tradnl"/>
        </w:rPr>
        <w:t>tunidad se le había escapado.</w:t>
      </w:r>
    </w:p>
    <w:p w:rsidR="00224567" w:rsidRDefault="00224567">
      <w:pPr>
        <w:widowControl w:val="0"/>
        <w:ind w:firstLine="2835"/>
        <w:rPr>
          <w:lang w:val="es-ES_tradnl"/>
        </w:rPr>
      </w:pPr>
      <w:r>
        <w:rPr>
          <w:lang w:val="es-ES_tradnl"/>
        </w:rPr>
        <w:t>Guiado exclusivamente por Ibarra ll</w:t>
      </w:r>
      <w:r>
        <w:rPr>
          <w:lang w:val="es-ES_tradnl"/>
        </w:rPr>
        <w:t>e</w:t>
      </w:r>
      <w:r>
        <w:rPr>
          <w:lang w:val="es-ES_tradnl"/>
        </w:rPr>
        <w:t>garon a la localidad de Tortuguitas. Allí dieron algunas vueltas por el centro y luego vigilaron los alred</w:t>
      </w:r>
      <w:r>
        <w:rPr>
          <w:lang w:val="es-ES_tradnl"/>
        </w:rPr>
        <w:t>e</w:t>
      </w:r>
      <w:r>
        <w:rPr>
          <w:lang w:val="es-ES_tradnl"/>
        </w:rPr>
        <w:t>dores de un videoclub. Ibarra les dijo que debían esperar a un a</w:t>
      </w:r>
      <w:r>
        <w:rPr>
          <w:lang w:val="es-ES_tradnl"/>
        </w:rPr>
        <w:t>u</w:t>
      </w:r>
      <w:r>
        <w:rPr>
          <w:lang w:val="es-ES_tradnl"/>
        </w:rPr>
        <w:t>to marca Renault 18 color oscuro que pasaría por ese local, y le ordenó a Castro que se quedara en la esquina para i</w:t>
      </w:r>
      <w:r>
        <w:rPr>
          <w:lang w:val="es-ES_tradnl"/>
        </w:rPr>
        <w:t>n</w:t>
      </w:r>
      <w:r>
        <w:rPr>
          <w:lang w:val="es-ES_tradnl"/>
        </w:rPr>
        <w:t>terceptar ese veh</w:t>
      </w:r>
      <w:r>
        <w:rPr>
          <w:lang w:val="es-ES_tradnl"/>
        </w:rPr>
        <w:t>í</w:t>
      </w:r>
      <w:r>
        <w:rPr>
          <w:lang w:val="es-ES_tradnl"/>
        </w:rPr>
        <w:t>culo.</w:t>
      </w:r>
    </w:p>
    <w:p w:rsidR="00224567" w:rsidRDefault="00224567">
      <w:pPr>
        <w:widowControl w:val="0"/>
        <w:ind w:firstLine="2835"/>
        <w:rPr>
          <w:lang w:val="es-ES_tradnl"/>
        </w:rPr>
      </w:pPr>
      <w:r>
        <w:rPr>
          <w:lang w:val="es-ES_tradnl"/>
        </w:rPr>
        <w:t>Luego de permanecer algunas horas en el lugar, Ibarra visualizó el rodado y Castro puso la b</w:t>
      </w:r>
      <w:r>
        <w:rPr>
          <w:lang w:val="es-ES_tradnl"/>
        </w:rPr>
        <w:t>a</w:t>
      </w:r>
      <w:r>
        <w:rPr>
          <w:lang w:val="es-ES_tradnl"/>
        </w:rPr>
        <w:t>liza arriba del techo de su auto y le impidió el paso, mientras que Albarracín colocó también la baliza identif</w:t>
      </w:r>
      <w:r>
        <w:rPr>
          <w:lang w:val="es-ES_tradnl"/>
        </w:rPr>
        <w:t>i</w:t>
      </w:r>
      <w:r>
        <w:rPr>
          <w:lang w:val="es-ES_tradnl"/>
        </w:rPr>
        <w:t>catoria y se puso detrás del auto impidiéndole el acceso.</w:t>
      </w:r>
    </w:p>
    <w:p w:rsidR="00224567" w:rsidRDefault="00224567">
      <w:pPr>
        <w:widowControl w:val="0"/>
        <w:ind w:firstLine="2835"/>
        <w:rPr>
          <w:lang w:val="es-ES_tradnl"/>
        </w:rPr>
      </w:pPr>
      <w:r>
        <w:rPr>
          <w:lang w:val="es-ES_tradnl"/>
        </w:rPr>
        <w:t>En ese momento, el dicente se b</w:t>
      </w:r>
      <w:r>
        <w:rPr>
          <w:lang w:val="es-ES_tradnl"/>
        </w:rPr>
        <w:t>a</w:t>
      </w:r>
      <w:r>
        <w:rPr>
          <w:lang w:val="es-ES_tradnl"/>
        </w:rPr>
        <w:t>jó del auto de Albarracín con el correspondiente chaleco ident</w:t>
      </w:r>
      <w:r>
        <w:rPr>
          <w:lang w:val="es-ES_tradnl"/>
        </w:rPr>
        <w:t>i</w:t>
      </w:r>
      <w:r>
        <w:rPr>
          <w:lang w:val="es-ES_tradnl"/>
        </w:rPr>
        <w:t>ficatorio, la gorra de la policía y la escopeta reglame</w:t>
      </w:r>
      <w:r>
        <w:rPr>
          <w:lang w:val="es-ES_tradnl"/>
        </w:rPr>
        <w:t>n</w:t>
      </w:r>
      <w:r>
        <w:rPr>
          <w:lang w:val="es-ES_tradnl"/>
        </w:rPr>
        <w:t>taria, se acercó al vehículo y se identificó como policía frente al conductor, ord</w:t>
      </w:r>
      <w:r>
        <w:rPr>
          <w:lang w:val="es-ES_tradnl"/>
        </w:rPr>
        <w:t>e</w:t>
      </w:r>
      <w:r>
        <w:rPr>
          <w:lang w:val="es-ES_tradnl"/>
        </w:rPr>
        <w:t>nándole mantener las manos en el volante. Se aproximó Albarracín e hizo descender a este individuo, obligándole a poner las manos arriba del vehículo.</w:t>
      </w:r>
    </w:p>
    <w:p w:rsidR="00224567" w:rsidRDefault="00224567">
      <w:pPr>
        <w:widowControl w:val="0"/>
        <w:ind w:firstLine="2835"/>
        <w:rPr>
          <w:lang w:val="es-ES_tradnl"/>
        </w:rPr>
      </w:pPr>
      <w:r>
        <w:rPr>
          <w:lang w:val="es-ES_tradnl"/>
        </w:rPr>
        <w:t>Luego, hicieron bajar a la mujer que lo acompañaba y la pusieron al lado del sujeto detenido. Palpó de armas al conductor y le solicitó su Documento N</w:t>
      </w:r>
      <w:r>
        <w:rPr>
          <w:lang w:val="es-ES_tradnl"/>
        </w:rPr>
        <w:t>a</w:t>
      </w:r>
      <w:r>
        <w:rPr>
          <w:lang w:val="es-ES_tradnl"/>
        </w:rPr>
        <w:t>cional de Identidad, entregándoselo sin inconvenientes. Recordó que el nombre que figuraba en el mismo era el de Carlos “Teccedin”. Tras identificarlo se lo dio a Ibarra quien manifestó que era la persona buscada.</w:t>
      </w:r>
    </w:p>
    <w:p w:rsidR="00224567" w:rsidRDefault="00224567">
      <w:pPr>
        <w:widowControl w:val="0"/>
        <w:ind w:firstLine="2835"/>
        <w:rPr>
          <w:lang w:val="es-ES_tradnl"/>
        </w:rPr>
      </w:pPr>
      <w:r>
        <w:rPr>
          <w:lang w:val="es-ES_tradnl"/>
        </w:rPr>
        <w:t xml:space="preserve">Después de producida la detención se dirigieron a </w:t>
      </w:r>
      <w:smartTag w:uri="urn:schemas-microsoft-com:office:smarttags" w:element="PersonName">
        <w:smartTagPr>
          <w:attr w:name="ProductID" w:val="la Brigada"/>
        </w:smartTagPr>
        <w:r>
          <w:rPr>
            <w:lang w:val="es-ES_tradnl"/>
          </w:rPr>
          <w:t>la Brigada</w:t>
        </w:r>
      </w:smartTag>
      <w:r>
        <w:rPr>
          <w:lang w:val="es-ES_tradnl"/>
        </w:rPr>
        <w:t xml:space="preserve"> de Investigaciones II de Lanús. Ibarra fue con la acompañante del detenido en el auto de éste. El dicente fue en el auto de Alb</w:t>
      </w:r>
      <w:r>
        <w:rPr>
          <w:lang w:val="es-ES_tradnl"/>
        </w:rPr>
        <w:t>a</w:t>
      </w:r>
      <w:r>
        <w:rPr>
          <w:lang w:val="es-ES_tradnl"/>
        </w:rPr>
        <w:t>rracín junto con el detenido, y Castro se dirigió en su auto. No r</w:t>
      </w:r>
      <w:r>
        <w:rPr>
          <w:lang w:val="es-ES_tradnl"/>
        </w:rPr>
        <w:t>e</w:t>
      </w:r>
      <w:r>
        <w:rPr>
          <w:lang w:val="es-ES_tradnl"/>
        </w:rPr>
        <w:t>cordó si al volver éste tuvo un problema mecánico o fue a cargar na</w:t>
      </w:r>
      <w:r>
        <w:rPr>
          <w:lang w:val="es-ES_tradnl"/>
        </w:rPr>
        <w:t>f</w:t>
      </w:r>
      <w:r>
        <w:rPr>
          <w:lang w:val="es-ES_tradnl"/>
        </w:rPr>
        <w:t>ta, pero lo cierto fue que lo perdieron de vista.</w:t>
      </w:r>
    </w:p>
    <w:p w:rsidR="00224567" w:rsidRDefault="00224567">
      <w:pPr>
        <w:widowControl w:val="0"/>
        <w:ind w:firstLine="2835"/>
        <w:rPr>
          <w:lang w:val="es-ES_tradnl"/>
        </w:rPr>
      </w:pPr>
      <w:r>
        <w:rPr>
          <w:lang w:val="es-ES_tradnl"/>
        </w:rPr>
        <w:t>Refirió que para regresar a la brig</w:t>
      </w:r>
      <w:r>
        <w:rPr>
          <w:lang w:val="es-ES_tradnl"/>
        </w:rPr>
        <w:t>a</w:t>
      </w:r>
      <w:r>
        <w:rPr>
          <w:lang w:val="es-ES_tradnl"/>
        </w:rPr>
        <w:t xml:space="preserve">da, fueron por </w:t>
      </w:r>
      <w:smartTag w:uri="urn:schemas-microsoft-com:office:smarttags" w:element="PersonName">
        <w:smartTagPr>
          <w:attr w:name="ProductID" w:val="la Panamericana"/>
        </w:smartTagPr>
        <w:r>
          <w:rPr>
            <w:lang w:val="es-ES_tradnl"/>
          </w:rPr>
          <w:t>la Panamericana</w:t>
        </w:r>
      </w:smartTag>
      <w:r>
        <w:rPr>
          <w:lang w:val="es-ES_tradnl"/>
        </w:rPr>
        <w:t>, puente de Má</w:t>
      </w:r>
      <w:r>
        <w:rPr>
          <w:lang w:val="es-ES_tradnl"/>
        </w:rPr>
        <w:t>r</w:t>
      </w:r>
      <w:r>
        <w:rPr>
          <w:lang w:val="es-ES_tradnl"/>
        </w:rPr>
        <w:t xml:space="preserve">quez, ruta 4 hasta el cruce de Lomas y Larroque hasta llegar a </w:t>
      </w:r>
      <w:smartTag w:uri="urn:schemas-microsoft-com:office:smarttags" w:element="PersonName">
        <w:smartTagPr>
          <w:attr w:name="ProductID" w:val="la Av. Pav￳n"/>
        </w:smartTagPr>
        <w:r>
          <w:rPr>
            <w:lang w:val="es-ES_tradnl"/>
          </w:rPr>
          <w:t>la Av. Pavón</w:t>
        </w:r>
      </w:smartTag>
      <w:r>
        <w:rPr>
          <w:lang w:val="es-ES_tradnl"/>
        </w:rPr>
        <w:t>, luego hasta los siete puentes y de ahí a la brig</w:t>
      </w:r>
      <w:r>
        <w:rPr>
          <w:lang w:val="es-ES_tradnl"/>
        </w:rPr>
        <w:t>a</w:t>
      </w:r>
      <w:r>
        <w:rPr>
          <w:lang w:val="es-ES_tradnl"/>
        </w:rPr>
        <w:t>da.</w:t>
      </w:r>
    </w:p>
    <w:p w:rsidR="00224567" w:rsidRDefault="00224567">
      <w:pPr>
        <w:widowControl w:val="0"/>
        <w:ind w:firstLine="2835"/>
        <w:rPr>
          <w:lang w:val="es-ES_tradnl"/>
        </w:rPr>
      </w:pPr>
      <w:r>
        <w:rPr>
          <w:lang w:val="es-ES_tradnl"/>
        </w:rPr>
        <w:t>No recordó qué hora era, indica</w:t>
      </w:r>
      <w:r>
        <w:rPr>
          <w:lang w:val="es-ES_tradnl"/>
        </w:rPr>
        <w:t>n</w:t>
      </w:r>
      <w:r>
        <w:rPr>
          <w:lang w:val="es-ES_tradnl"/>
        </w:rPr>
        <w:t>do que nunca había pre</w:t>
      </w:r>
      <w:r>
        <w:rPr>
          <w:lang w:val="es-ES_tradnl"/>
        </w:rPr>
        <w:t>s</w:t>
      </w:r>
      <w:r>
        <w:rPr>
          <w:lang w:val="es-ES_tradnl"/>
        </w:rPr>
        <w:t>tado atención.</w:t>
      </w:r>
    </w:p>
    <w:p w:rsidR="00224567" w:rsidRDefault="00224567">
      <w:pPr>
        <w:widowControl w:val="0"/>
        <w:ind w:firstLine="2835"/>
        <w:rPr>
          <w:lang w:val="es-ES_tradnl"/>
        </w:rPr>
      </w:pPr>
      <w:r>
        <w:rPr>
          <w:lang w:val="es-ES_tradnl"/>
        </w:rPr>
        <w:t>En el transcurso del viaje, el deten</w:t>
      </w:r>
      <w:r>
        <w:rPr>
          <w:lang w:val="es-ES_tradnl"/>
        </w:rPr>
        <w:t>i</w:t>
      </w:r>
      <w:r>
        <w:rPr>
          <w:lang w:val="es-ES_tradnl"/>
        </w:rPr>
        <w:t>do le preguntó de dónde eran y los motivos por los cuales lo privaron de su libertad, manifestánd</w:t>
      </w:r>
      <w:r>
        <w:rPr>
          <w:lang w:val="es-ES_tradnl"/>
        </w:rPr>
        <w:t>o</w:t>
      </w:r>
      <w:r>
        <w:rPr>
          <w:lang w:val="es-ES_tradnl"/>
        </w:rPr>
        <w:t xml:space="preserve">le que eran de </w:t>
      </w:r>
      <w:smartTag w:uri="urn:schemas-microsoft-com:office:smarttags" w:element="PersonName">
        <w:smartTagPr>
          <w:attr w:name="ProductID" w:val="la Brigada"/>
        </w:smartTagPr>
        <w:r>
          <w:rPr>
            <w:lang w:val="es-ES_tradnl"/>
          </w:rPr>
          <w:t>la Brigada</w:t>
        </w:r>
      </w:smartTag>
      <w:r>
        <w:rPr>
          <w:lang w:val="es-ES_tradnl"/>
        </w:rPr>
        <w:t xml:space="preserve"> de Investigaciones II de Lanús y que la razón de su dete</w:t>
      </w:r>
      <w:r>
        <w:rPr>
          <w:lang w:val="es-ES_tradnl"/>
        </w:rPr>
        <w:t>n</w:t>
      </w:r>
      <w:r>
        <w:rPr>
          <w:lang w:val="es-ES_tradnl"/>
        </w:rPr>
        <w:t>ción se la iban a explicar en la brigada.</w:t>
      </w:r>
    </w:p>
    <w:p w:rsidR="00224567" w:rsidRDefault="00224567">
      <w:pPr>
        <w:widowControl w:val="0"/>
        <w:ind w:firstLine="2835"/>
        <w:rPr>
          <w:lang w:val="es-ES_tradnl"/>
        </w:rPr>
      </w:pPr>
      <w:r>
        <w:rPr>
          <w:lang w:val="es-ES_tradnl"/>
        </w:rPr>
        <w:t>Aclaró que actuó de esa manera porque desconocía la causa de la detención, ya que no era su tr</w:t>
      </w:r>
      <w:r>
        <w:rPr>
          <w:lang w:val="es-ES_tradnl"/>
        </w:rPr>
        <w:t>a</w:t>
      </w:r>
      <w:r>
        <w:rPr>
          <w:lang w:val="es-ES_tradnl"/>
        </w:rPr>
        <w:t>bajo y porque al haber un subcomisario a cargo no estaba bien responder preguntas que no eran de su co</w:t>
      </w:r>
      <w:r>
        <w:rPr>
          <w:lang w:val="es-ES_tradnl"/>
        </w:rPr>
        <w:t>m</w:t>
      </w:r>
      <w:r>
        <w:rPr>
          <w:lang w:val="es-ES_tradnl"/>
        </w:rPr>
        <w:t>petencia.</w:t>
      </w:r>
    </w:p>
    <w:p w:rsidR="00224567" w:rsidRDefault="00224567">
      <w:pPr>
        <w:widowControl w:val="0"/>
        <w:ind w:firstLine="2835"/>
        <w:rPr>
          <w:lang w:val="es-ES_tradnl"/>
        </w:rPr>
      </w:pPr>
      <w:r>
        <w:rPr>
          <w:lang w:val="es-ES_tradnl"/>
        </w:rPr>
        <w:t>Al llegar a la brigada bajaron al d</w:t>
      </w:r>
      <w:r>
        <w:rPr>
          <w:lang w:val="es-ES_tradnl"/>
        </w:rPr>
        <w:t>e</w:t>
      </w:r>
      <w:r>
        <w:rPr>
          <w:lang w:val="es-ES_tradnl"/>
        </w:rPr>
        <w:t>tenido y lo dejaron en la oficina de guardia, donde el oficial de servicio se encargó de darle ingreso y obt</w:t>
      </w:r>
      <w:r>
        <w:rPr>
          <w:lang w:val="es-ES_tradnl"/>
        </w:rPr>
        <w:t>e</w:t>
      </w:r>
      <w:r>
        <w:rPr>
          <w:lang w:val="es-ES_tradnl"/>
        </w:rPr>
        <w:t>ner los datos personales.</w:t>
      </w:r>
    </w:p>
    <w:p w:rsidR="00224567" w:rsidRDefault="00224567">
      <w:pPr>
        <w:widowControl w:val="0"/>
        <w:ind w:firstLine="2835"/>
        <w:rPr>
          <w:lang w:val="es-ES_tradnl"/>
        </w:rPr>
      </w:pPr>
      <w:r>
        <w:rPr>
          <w:lang w:val="es-ES_tradnl"/>
        </w:rPr>
        <w:t>Sostuvo que el subcomisario Ibarra e</w:t>
      </w:r>
      <w:r>
        <w:rPr>
          <w:lang w:val="es-ES_tradnl"/>
        </w:rPr>
        <w:t>s</w:t>
      </w:r>
      <w:r>
        <w:rPr>
          <w:lang w:val="es-ES_tradnl"/>
        </w:rPr>
        <w:t>taba a cargo del grupo operativo en el momento del proc</w:t>
      </w:r>
      <w:r>
        <w:rPr>
          <w:lang w:val="es-ES_tradnl"/>
        </w:rPr>
        <w:t>e</w:t>
      </w:r>
      <w:r>
        <w:rPr>
          <w:lang w:val="es-ES_tradnl"/>
        </w:rPr>
        <w:t>dimiento.</w:t>
      </w:r>
    </w:p>
    <w:p w:rsidR="00224567" w:rsidRDefault="00224567">
      <w:pPr>
        <w:widowControl w:val="0"/>
        <w:ind w:firstLine="2835"/>
        <w:rPr>
          <w:lang w:val="es-ES_tradnl"/>
        </w:rPr>
      </w:pPr>
      <w:r>
        <w:rPr>
          <w:lang w:val="es-ES_tradnl"/>
        </w:rPr>
        <w:t>Luego se desentendió de la cue</w:t>
      </w:r>
      <w:r>
        <w:rPr>
          <w:lang w:val="es-ES_tradnl"/>
        </w:rPr>
        <w:t>s</w:t>
      </w:r>
      <w:r>
        <w:rPr>
          <w:lang w:val="es-ES_tradnl"/>
        </w:rPr>
        <w:t>tión y como recién había ingresado a la dependencia –por lo que no conocía a ninguna persona- se fue al bar que estaba a unos metros de la brigada junto con Albarracín. Ibarra se quedó en la oficina de judiciales confeccionando el acta de secuestro del veh</w:t>
      </w:r>
      <w:r>
        <w:rPr>
          <w:lang w:val="es-ES_tradnl"/>
        </w:rPr>
        <w:t>í</w:t>
      </w:r>
      <w:r>
        <w:rPr>
          <w:lang w:val="es-ES_tradnl"/>
        </w:rPr>
        <w:t>culo, la que firmó posteriormente el declarante.</w:t>
      </w:r>
    </w:p>
    <w:p w:rsidR="00224567" w:rsidRDefault="00224567">
      <w:pPr>
        <w:widowControl w:val="0"/>
        <w:ind w:firstLine="2835"/>
        <w:rPr>
          <w:lang w:val="es-ES_tradnl"/>
        </w:rPr>
      </w:pPr>
      <w:r>
        <w:rPr>
          <w:lang w:val="es-ES_tradnl"/>
        </w:rPr>
        <w:t>Supo que Ibarra, por ser el e</w:t>
      </w:r>
      <w:r>
        <w:rPr>
          <w:lang w:val="es-ES_tradnl"/>
        </w:rPr>
        <w:t>n</w:t>
      </w:r>
      <w:r>
        <w:rPr>
          <w:lang w:val="es-ES_tradnl"/>
        </w:rPr>
        <w:t>cargado del grupo en esa oportunidad, realizó una declaración de la que él desconocía el contenido.</w:t>
      </w:r>
    </w:p>
    <w:p w:rsidR="00224567" w:rsidRDefault="00224567">
      <w:pPr>
        <w:widowControl w:val="0"/>
        <w:ind w:firstLine="2835"/>
        <w:rPr>
          <w:lang w:val="es-ES_tradnl"/>
        </w:rPr>
      </w:pPr>
      <w:r>
        <w:rPr>
          <w:lang w:val="es-ES_tradnl"/>
        </w:rPr>
        <w:t>Después que firmó el acta se retiró junto con Albarracín porque no era su trabajo, sino de Ibarra.</w:t>
      </w:r>
    </w:p>
    <w:p w:rsidR="00224567" w:rsidRDefault="00224567">
      <w:pPr>
        <w:widowControl w:val="0"/>
        <w:ind w:firstLine="2835"/>
        <w:rPr>
          <w:lang w:val="es-ES_tradnl"/>
        </w:rPr>
      </w:pPr>
      <w:r>
        <w:rPr>
          <w:lang w:val="es-ES_tradnl"/>
        </w:rPr>
        <w:t>No recordó concretamente qué hizo de</w:t>
      </w:r>
      <w:r>
        <w:rPr>
          <w:lang w:val="es-ES_tradnl"/>
        </w:rPr>
        <w:t>s</w:t>
      </w:r>
      <w:r>
        <w:rPr>
          <w:lang w:val="es-ES_tradnl"/>
        </w:rPr>
        <w:t>pués, si se quedó esperando nuevas directivas o si se fue de franco, creyendo que esto último.</w:t>
      </w:r>
    </w:p>
    <w:p w:rsidR="00224567" w:rsidRDefault="00224567">
      <w:pPr>
        <w:widowControl w:val="0"/>
        <w:ind w:firstLine="2835"/>
        <w:rPr>
          <w:lang w:val="es-ES_tradnl"/>
        </w:rPr>
      </w:pPr>
      <w:r>
        <w:rPr>
          <w:lang w:val="es-ES_tradnl"/>
        </w:rPr>
        <w:t>Explicó que a partir de las v</w:t>
      </w:r>
      <w:r>
        <w:rPr>
          <w:lang w:val="es-ES_tradnl"/>
        </w:rPr>
        <w:t>i</w:t>
      </w:r>
      <w:r>
        <w:rPr>
          <w:lang w:val="es-ES_tradnl"/>
        </w:rPr>
        <w:t>vencias y luego de compulsar el expediente administrativo, tomó conocimiento de las falsedades existentes en la causa p</w:t>
      </w:r>
      <w:r>
        <w:rPr>
          <w:lang w:val="es-ES_tradnl"/>
        </w:rPr>
        <w:t>e</w:t>
      </w:r>
      <w:r>
        <w:rPr>
          <w:lang w:val="es-ES_tradnl"/>
        </w:rPr>
        <w:t>nal que tramitara ante el juzgado de Quilmes y de la exi</w:t>
      </w:r>
      <w:r>
        <w:rPr>
          <w:lang w:val="es-ES_tradnl"/>
        </w:rPr>
        <w:t>s</w:t>
      </w:r>
      <w:r>
        <w:rPr>
          <w:lang w:val="es-ES_tradnl"/>
        </w:rPr>
        <w:t xml:space="preserve">tencia de declaraciones realizadas con fecha 13 de marzo de 1994, cuando cumplía funciones en </w:t>
      </w:r>
      <w:smartTag w:uri="urn:schemas-microsoft-com:office:smarttags" w:element="PersonName">
        <w:smartTagPr>
          <w:attr w:name="ProductID" w:val="la Brigada"/>
        </w:smartTagPr>
        <w:r>
          <w:rPr>
            <w:lang w:val="es-ES_tradnl"/>
          </w:rPr>
          <w:t>la Brigada</w:t>
        </w:r>
      </w:smartTag>
      <w:r>
        <w:rPr>
          <w:lang w:val="es-ES_tradnl"/>
        </w:rPr>
        <w:t xml:space="preserve"> de Alm</w:t>
      </w:r>
      <w:r>
        <w:rPr>
          <w:lang w:val="es-ES_tradnl"/>
        </w:rPr>
        <w:t>i</w:t>
      </w:r>
      <w:r>
        <w:rPr>
          <w:lang w:val="es-ES_tradnl"/>
        </w:rPr>
        <w:t xml:space="preserve">rante Brown y todavía no estaba en </w:t>
      </w:r>
      <w:smartTag w:uri="urn:schemas-microsoft-com:office:smarttags" w:element="PersonName">
        <w:smartTagPr>
          <w:attr w:name="ProductID" w:val="la Brigada"/>
        </w:smartTagPr>
        <w:r>
          <w:rPr>
            <w:lang w:val="es-ES_tradnl"/>
          </w:rPr>
          <w:t>la Brigada</w:t>
        </w:r>
      </w:smartTag>
      <w:r>
        <w:rPr>
          <w:lang w:val="es-ES_tradnl"/>
        </w:rPr>
        <w:t xml:space="preserve"> de Lanús. Agregó que ni siquiera conocía al subcomisario Huici, ni la causa, ni las partes que la integraban.</w:t>
      </w:r>
    </w:p>
    <w:p w:rsidR="00224567" w:rsidRDefault="00224567">
      <w:pPr>
        <w:widowControl w:val="0"/>
        <w:ind w:firstLine="2835"/>
        <w:rPr>
          <w:lang w:val="es-ES_tradnl"/>
        </w:rPr>
      </w:pPr>
      <w:r>
        <w:rPr>
          <w:lang w:val="es-ES_tradnl"/>
        </w:rPr>
        <w:t>Le llamó la atención que Ibarra, cua</w:t>
      </w:r>
      <w:r>
        <w:rPr>
          <w:lang w:val="es-ES_tradnl"/>
        </w:rPr>
        <w:t>n</w:t>
      </w:r>
      <w:r>
        <w:rPr>
          <w:lang w:val="es-ES_tradnl"/>
        </w:rPr>
        <w:t>do prestó declaración en el expediente administr</w:t>
      </w:r>
      <w:r>
        <w:rPr>
          <w:lang w:val="es-ES_tradnl"/>
        </w:rPr>
        <w:t>a</w:t>
      </w:r>
      <w:r>
        <w:rPr>
          <w:lang w:val="es-ES_tradnl"/>
        </w:rPr>
        <w:t>tivo, no lo haya mencionado a él ni a Alb</w:t>
      </w:r>
      <w:r>
        <w:rPr>
          <w:lang w:val="es-ES_tradnl"/>
        </w:rPr>
        <w:t>a</w:t>
      </w:r>
      <w:r>
        <w:rPr>
          <w:lang w:val="es-ES_tradnl"/>
        </w:rPr>
        <w:t>rracín como las personas que intervinieron en el procedimiento de detención, desc</w:t>
      </w:r>
      <w:r>
        <w:rPr>
          <w:lang w:val="es-ES_tradnl"/>
        </w:rPr>
        <w:t>o</w:t>
      </w:r>
      <w:r>
        <w:rPr>
          <w:lang w:val="es-ES_tradnl"/>
        </w:rPr>
        <w:t>nociendo los motivos de ello.</w:t>
      </w:r>
    </w:p>
    <w:p w:rsidR="00224567" w:rsidRDefault="00224567">
      <w:pPr>
        <w:widowControl w:val="0"/>
        <w:ind w:firstLine="2835"/>
        <w:rPr>
          <w:lang w:val="es-ES_tradnl"/>
        </w:rPr>
      </w:pPr>
      <w:r>
        <w:rPr>
          <w:lang w:val="es-ES_tradnl"/>
        </w:rPr>
        <w:t>Agregó que con respecto a la dete</w:t>
      </w:r>
      <w:r>
        <w:rPr>
          <w:lang w:val="es-ES_tradnl"/>
        </w:rPr>
        <w:t>n</w:t>
      </w:r>
      <w:r>
        <w:rPr>
          <w:lang w:val="es-ES_tradnl"/>
        </w:rPr>
        <w:t>ción de Telleldín lo único que hizo fue cumplir la o</w:t>
      </w:r>
      <w:r>
        <w:rPr>
          <w:lang w:val="es-ES_tradnl"/>
        </w:rPr>
        <w:t>r</w:t>
      </w:r>
      <w:r>
        <w:rPr>
          <w:lang w:val="es-ES_tradnl"/>
        </w:rPr>
        <w:t>den que le dio Albarracín.</w:t>
      </w:r>
    </w:p>
    <w:p w:rsidR="00224567" w:rsidRDefault="00224567">
      <w:pPr>
        <w:widowControl w:val="0"/>
        <w:ind w:firstLine="2835"/>
        <w:rPr>
          <w:lang w:val="es-ES_tradnl"/>
        </w:rPr>
      </w:pPr>
      <w:r>
        <w:rPr>
          <w:lang w:val="es-ES_tradnl"/>
        </w:rPr>
        <w:t>Continuó con su relato y refirió que aproximadamente a los dos meses de producidas las dete</w:t>
      </w:r>
      <w:r>
        <w:rPr>
          <w:lang w:val="es-ES_tradnl"/>
        </w:rPr>
        <w:t>n</w:t>
      </w:r>
      <w:r>
        <w:rPr>
          <w:lang w:val="es-ES_tradnl"/>
        </w:rPr>
        <w:t xml:space="preserve">ciones, Albarracín y Castro fueron trasladados a </w:t>
      </w:r>
      <w:smartTag w:uri="urn:schemas-microsoft-com:office:smarttags" w:element="PersonName">
        <w:smartTagPr>
          <w:attr w:name="ProductID" w:val="la Comisar￭a"/>
        </w:smartTagPr>
        <w:r>
          <w:rPr>
            <w:lang w:val="es-ES_tradnl"/>
          </w:rPr>
          <w:t>la Com</w:t>
        </w:r>
        <w:r>
          <w:rPr>
            <w:lang w:val="es-ES_tradnl"/>
          </w:rPr>
          <w:t>i</w:t>
        </w:r>
        <w:r>
          <w:rPr>
            <w:lang w:val="es-ES_tradnl"/>
          </w:rPr>
          <w:t>saría</w:t>
        </w:r>
      </w:smartTag>
      <w:r>
        <w:rPr>
          <w:lang w:val="es-ES_tradnl"/>
        </w:rPr>
        <w:t xml:space="preserve"> de Monte Grande. Ribelli lo intimó a que bu</w:t>
      </w:r>
      <w:r>
        <w:rPr>
          <w:lang w:val="es-ES_tradnl"/>
        </w:rPr>
        <w:t>s</w:t>
      </w:r>
      <w:r>
        <w:rPr>
          <w:lang w:val="es-ES_tradnl"/>
        </w:rPr>
        <w:t>cara un traslado, porque venía un of</w:t>
      </w:r>
      <w:r>
        <w:rPr>
          <w:lang w:val="es-ES_tradnl"/>
        </w:rPr>
        <w:t>i</w:t>
      </w:r>
      <w:r>
        <w:rPr>
          <w:lang w:val="es-ES_tradnl"/>
        </w:rPr>
        <w:t>cial en su lugar. Agregó que esa fue la primera vez que habló con Rib</w:t>
      </w:r>
      <w:r>
        <w:rPr>
          <w:lang w:val="es-ES_tradnl"/>
        </w:rPr>
        <w:t>e</w:t>
      </w:r>
      <w:r>
        <w:rPr>
          <w:lang w:val="es-ES_tradnl"/>
        </w:rPr>
        <w:t>lli.</w:t>
      </w:r>
    </w:p>
    <w:p w:rsidR="00224567" w:rsidRDefault="00224567">
      <w:pPr>
        <w:widowControl w:val="0"/>
        <w:ind w:firstLine="2835"/>
        <w:rPr>
          <w:lang w:val="es-ES_tradnl"/>
        </w:rPr>
      </w:pPr>
      <w:r>
        <w:rPr>
          <w:lang w:val="es-ES_tradnl"/>
        </w:rPr>
        <w:t>Recurrió a Smurro –a quien le c</w:t>
      </w:r>
      <w:r>
        <w:rPr>
          <w:lang w:val="es-ES_tradnl"/>
        </w:rPr>
        <w:t>o</w:t>
      </w:r>
      <w:r>
        <w:rPr>
          <w:lang w:val="es-ES_tradnl"/>
        </w:rPr>
        <w:t>mentó lo sucedido- y éste le ofreció ir a trabajar a su grupo, cuyo jefe era Huici.</w:t>
      </w:r>
    </w:p>
    <w:p w:rsidR="00224567" w:rsidRDefault="00224567">
      <w:pPr>
        <w:widowControl w:val="0"/>
        <w:ind w:firstLine="2835"/>
        <w:rPr>
          <w:lang w:val="es-ES_tradnl"/>
        </w:rPr>
      </w:pPr>
      <w:r>
        <w:rPr>
          <w:lang w:val="es-ES_tradnl"/>
        </w:rPr>
        <w:t>Por eso mantuvo una entrevista con Huici y se puso a trabajar en su grupo, quedándose fina</w:t>
      </w:r>
      <w:r>
        <w:rPr>
          <w:lang w:val="es-ES_tradnl"/>
        </w:rPr>
        <w:t>l</w:t>
      </w:r>
      <w:r>
        <w:rPr>
          <w:lang w:val="es-ES_tradnl"/>
        </w:rPr>
        <w:t>mente en la brigada.</w:t>
      </w:r>
    </w:p>
    <w:p w:rsidR="00224567" w:rsidRDefault="00224567">
      <w:pPr>
        <w:widowControl w:val="0"/>
        <w:ind w:firstLine="2835"/>
        <w:rPr>
          <w:lang w:val="es-ES_tradnl"/>
        </w:rPr>
      </w:pPr>
      <w:r>
        <w:rPr>
          <w:lang w:val="es-ES_tradnl"/>
        </w:rPr>
        <w:t>En el mes de noviembre de 1994, Rib</w:t>
      </w:r>
      <w:r>
        <w:rPr>
          <w:lang w:val="es-ES_tradnl"/>
        </w:rPr>
        <w:t>e</w:t>
      </w:r>
      <w:r>
        <w:rPr>
          <w:lang w:val="es-ES_tradnl"/>
        </w:rPr>
        <w:t>lli se fue de la brigada con su gente, siendo ésta la s</w:t>
      </w:r>
      <w:r>
        <w:rPr>
          <w:lang w:val="es-ES_tradnl"/>
        </w:rPr>
        <w:t>e</w:t>
      </w:r>
      <w:r>
        <w:rPr>
          <w:lang w:val="es-ES_tradnl"/>
        </w:rPr>
        <w:t>gunda vez que habló con aquél al despedi</w:t>
      </w:r>
      <w:r>
        <w:rPr>
          <w:lang w:val="es-ES_tradnl"/>
        </w:rPr>
        <w:t>r</w:t>
      </w:r>
      <w:r>
        <w:rPr>
          <w:lang w:val="es-ES_tradnl"/>
        </w:rPr>
        <w:t>se.</w:t>
      </w:r>
    </w:p>
    <w:p w:rsidR="00224567" w:rsidRDefault="00224567">
      <w:pPr>
        <w:widowControl w:val="0"/>
        <w:ind w:firstLine="2835"/>
        <w:rPr>
          <w:lang w:val="es-ES_tradnl"/>
        </w:rPr>
      </w:pPr>
      <w:r>
        <w:rPr>
          <w:lang w:val="es-ES_tradnl"/>
        </w:rPr>
        <w:t>Aclaró que nunca había hablado con R</w:t>
      </w:r>
      <w:r>
        <w:rPr>
          <w:lang w:val="es-ES_tradnl"/>
        </w:rPr>
        <w:t>i</w:t>
      </w:r>
      <w:r>
        <w:rPr>
          <w:lang w:val="es-ES_tradnl"/>
        </w:rPr>
        <w:t>belli porque sólo era un integrante de un grupo op</w:t>
      </w:r>
      <w:r>
        <w:rPr>
          <w:lang w:val="es-ES_tradnl"/>
        </w:rPr>
        <w:t>e</w:t>
      </w:r>
      <w:r>
        <w:rPr>
          <w:lang w:val="es-ES_tradnl"/>
        </w:rPr>
        <w:t>rativo.</w:t>
      </w:r>
    </w:p>
    <w:p w:rsidR="00224567" w:rsidRDefault="00224567">
      <w:pPr>
        <w:widowControl w:val="0"/>
        <w:ind w:firstLine="2835"/>
        <w:rPr>
          <w:lang w:val="es-ES_tradnl"/>
        </w:rPr>
      </w:pPr>
      <w:r>
        <w:rPr>
          <w:lang w:val="es-ES_tradnl"/>
        </w:rPr>
        <w:t>Precisó que cuando mencionó a la ge</w:t>
      </w:r>
      <w:r>
        <w:rPr>
          <w:lang w:val="es-ES_tradnl"/>
        </w:rPr>
        <w:t>n</w:t>
      </w:r>
      <w:r>
        <w:rPr>
          <w:lang w:val="es-ES_tradnl"/>
        </w:rPr>
        <w:t>te de Ribelli hizo referencia a las personas que se fueron con aquél, entre los cuales se encontraban Ibarra, el su</w:t>
      </w:r>
      <w:r>
        <w:rPr>
          <w:lang w:val="es-ES_tradnl"/>
        </w:rPr>
        <w:t>b</w:t>
      </w:r>
      <w:r>
        <w:rPr>
          <w:lang w:val="es-ES_tradnl"/>
        </w:rPr>
        <w:t>comisario Maisú, el principal Lohidoy y otros suboficiales de los que no recordó sus no</w:t>
      </w:r>
      <w:r>
        <w:rPr>
          <w:lang w:val="es-ES_tradnl"/>
        </w:rPr>
        <w:t>m</w:t>
      </w:r>
      <w:r>
        <w:rPr>
          <w:lang w:val="es-ES_tradnl"/>
        </w:rPr>
        <w:t>bres.</w:t>
      </w:r>
    </w:p>
    <w:p w:rsidR="00224567" w:rsidRDefault="00224567">
      <w:pPr>
        <w:widowControl w:val="0"/>
        <w:ind w:firstLine="2835"/>
        <w:rPr>
          <w:lang w:val="es-ES_tradnl"/>
        </w:rPr>
      </w:pPr>
      <w:r>
        <w:rPr>
          <w:lang w:val="es-ES_tradnl"/>
        </w:rPr>
        <w:t>Una vez que se fueron los titul</w:t>
      </w:r>
      <w:r>
        <w:rPr>
          <w:lang w:val="es-ES_tradnl"/>
        </w:rPr>
        <w:t>a</w:t>
      </w:r>
      <w:r>
        <w:rPr>
          <w:lang w:val="es-ES_tradnl"/>
        </w:rPr>
        <w:t>res de la brigada, el dicente explicó que se hizo cargo de la misma el comisario inspector Mario R</w:t>
      </w:r>
      <w:r>
        <w:rPr>
          <w:lang w:val="es-ES_tradnl"/>
        </w:rPr>
        <w:t>o</w:t>
      </w:r>
      <w:r>
        <w:rPr>
          <w:lang w:val="es-ES_tradnl"/>
        </w:rPr>
        <w:t>dríguez, como segundo jefe fue el comisario Jofré y como jefe de op</w:t>
      </w:r>
      <w:r>
        <w:rPr>
          <w:lang w:val="es-ES_tradnl"/>
        </w:rPr>
        <w:t>e</w:t>
      </w:r>
      <w:r>
        <w:rPr>
          <w:lang w:val="es-ES_tradnl"/>
        </w:rPr>
        <w:t>raciones el subcomisario Said.</w:t>
      </w:r>
    </w:p>
    <w:p w:rsidR="00224567" w:rsidRDefault="00224567">
      <w:pPr>
        <w:widowControl w:val="0"/>
        <w:ind w:firstLine="2835"/>
        <w:rPr>
          <w:lang w:val="es-ES_tradnl"/>
        </w:rPr>
      </w:pPr>
      <w:r>
        <w:rPr>
          <w:lang w:val="es-ES_tradnl"/>
        </w:rPr>
        <w:t>Huici también fue trasladado y, a p</w:t>
      </w:r>
      <w:r>
        <w:rPr>
          <w:lang w:val="es-ES_tradnl"/>
        </w:rPr>
        <w:t>e</w:t>
      </w:r>
      <w:r>
        <w:rPr>
          <w:lang w:val="es-ES_tradnl"/>
        </w:rPr>
        <w:t>dido del jefe de operaciones, el declarante pasó a ser j</w:t>
      </w:r>
      <w:r>
        <w:rPr>
          <w:lang w:val="es-ES_tradnl"/>
        </w:rPr>
        <w:t>e</w:t>
      </w:r>
      <w:r>
        <w:rPr>
          <w:lang w:val="es-ES_tradnl"/>
        </w:rPr>
        <w:t>fe del grupo operativo conformado por Smurro y el agente Cap</w:t>
      </w:r>
      <w:r>
        <w:rPr>
          <w:lang w:val="es-ES_tradnl"/>
        </w:rPr>
        <w:t>u</w:t>
      </w:r>
      <w:r>
        <w:rPr>
          <w:lang w:val="es-ES_tradnl"/>
        </w:rPr>
        <w:t>cio.</w:t>
      </w:r>
    </w:p>
    <w:p w:rsidR="00224567" w:rsidRDefault="00224567">
      <w:pPr>
        <w:widowControl w:val="0"/>
        <w:ind w:firstLine="2835"/>
        <w:rPr>
          <w:lang w:val="es-ES_tradnl"/>
        </w:rPr>
      </w:pPr>
      <w:r>
        <w:rPr>
          <w:lang w:val="es-ES_tradnl"/>
        </w:rPr>
        <w:t>Indicó que durante el año 1995 se re</w:t>
      </w:r>
      <w:r>
        <w:rPr>
          <w:lang w:val="es-ES_tradnl"/>
        </w:rPr>
        <w:t>a</w:t>
      </w:r>
      <w:r>
        <w:rPr>
          <w:lang w:val="es-ES_tradnl"/>
        </w:rPr>
        <w:t>lizaron más de treinta detenciones de las cuales en la m</w:t>
      </w:r>
      <w:r>
        <w:rPr>
          <w:lang w:val="es-ES_tradnl"/>
        </w:rPr>
        <w:t>a</w:t>
      </w:r>
      <w:r>
        <w:rPr>
          <w:lang w:val="es-ES_tradnl"/>
        </w:rPr>
        <w:t>yoría de las veces los involucrados fueron proc</w:t>
      </w:r>
      <w:r>
        <w:rPr>
          <w:lang w:val="es-ES_tradnl"/>
        </w:rPr>
        <w:t>e</w:t>
      </w:r>
      <w:r>
        <w:rPr>
          <w:lang w:val="es-ES_tradnl"/>
        </w:rPr>
        <w:t>sados y en algunos casos condenados. Aclaró que nunca tuvo ningún i</w:t>
      </w:r>
      <w:r>
        <w:rPr>
          <w:lang w:val="es-ES_tradnl"/>
        </w:rPr>
        <w:t>n</w:t>
      </w:r>
      <w:r>
        <w:rPr>
          <w:lang w:val="es-ES_tradnl"/>
        </w:rPr>
        <w:t>conveniente laboral y que su actuación siempre fue muy buena.</w:t>
      </w:r>
    </w:p>
    <w:p w:rsidR="00224567" w:rsidRDefault="00224567">
      <w:pPr>
        <w:widowControl w:val="0"/>
        <w:ind w:firstLine="2835"/>
        <w:rPr>
          <w:lang w:val="es-ES_tradnl"/>
        </w:rPr>
      </w:pPr>
      <w:r>
        <w:rPr>
          <w:lang w:val="es-ES_tradnl"/>
        </w:rPr>
        <w:t>Afirmó que durante el tiempo que tr</w:t>
      </w:r>
      <w:r>
        <w:rPr>
          <w:lang w:val="es-ES_tradnl"/>
        </w:rPr>
        <w:t>a</w:t>
      </w:r>
      <w:r>
        <w:rPr>
          <w:lang w:val="es-ES_tradnl"/>
        </w:rPr>
        <w:t>bajó junto con Albarracín éste no tenía otro trabajo ad</w:t>
      </w:r>
      <w:r>
        <w:rPr>
          <w:lang w:val="es-ES_tradnl"/>
        </w:rPr>
        <w:t>i</w:t>
      </w:r>
      <w:r>
        <w:rPr>
          <w:lang w:val="es-ES_tradnl"/>
        </w:rPr>
        <w:t>cional.</w:t>
      </w:r>
    </w:p>
    <w:p w:rsidR="00224567" w:rsidRDefault="00224567">
      <w:pPr>
        <w:widowControl w:val="0"/>
        <w:ind w:firstLine="2835"/>
        <w:rPr>
          <w:lang w:val="es-ES_tradnl"/>
        </w:rPr>
      </w:pPr>
      <w:r>
        <w:rPr>
          <w:lang w:val="es-ES_tradnl"/>
        </w:rPr>
        <w:t>Sostuvo que el trato que mantuvo con Ribelli en 1994 era estrictamente laboral y no lo t</w:t>
      </w:r>
      <w:r>
        <w:rPr>
          <w:lang w:val="es-ES_tradnl"/>
        </w:rPr>
        <w:t>u</w:t>
      </w:r>
      <w:r>
        <w:rPr>
          <w:lang w:val="es-ES_tradnl"/>
        </w:rPr>
        <w:t>teaba.</w:t>
      </w:r>
    </w:p>
    <w:p w:rsidR="00224567" w:rsidRDefault="00224567">
      <w:pPr>
        <w:widowControl w:val="0"/>
        <w:ind w:firstLine="2835"/>
        <w:rPr>
          <w:lang w:val="es-ES_tradnl"/>
        </w:rPr>
      </w:pPr>
      <w:r>
        <w:rPr>
          <w:lang w:val="es-ES_tradnl"/>
        </w:rPr>
        <w:t>Preguntado para que explicara el mot</w:t>
      </w:r>
      <w:r>
        <w:rPr>
          <w:lang w:val="es-ES_tradnl"/>
        </w:rPr>
        <w:t>i</w:t>
      </w:r>
      <w:r>
        <w:rPr>
          <w:lang w:val="es-ES_tradnl"/>
        </w:rPr>
        <w:t>vo por el cual participó en el procedimiento del 4 de abril de 1994 en el que se detuvo a Telleldín y  a  Petr</w:t>
      </w:r>
      <w:r>
        <w:rPr>
          <w:lang w:val="es-ES_tradnl"/>
        </w:rPr>
        <w:t>u</w:t>
      </w:r>
      <w:r>
        <w:rPr>
          <w:lang w:val="es-ES_tradnl"/>
        </w:rPr>
        <w:t xml:space="preserve">cci, si a esa fecha no pertenecía a </w:t>
      </w:r>
      <w:smartTag w:uri="urn:schemas-microsoft-com:office:smarttags" w:element="PersonName">
        <w:smartTagPr>
          <w:attr w:name="ProductID" w:val="la Brigada"/>
        </w:smartTagPr>
        <w:r>
          <w:rPr>
            <w:lang w:val="es-ES_tradnl"/>
          </w:rPr>
          <w:t>la Brigada</w:t>
        </w:r>
      </w:smartTag>
      <w:r>
        <w:rPr>
          <w:lang w:val="es-ES_tradnl"/>
        </w:rPr>
        <w:t xml:space="preserve"> de Lanús, sino que estaba destinado a </w:t>
      </w:r>
      <w:smartTag w:uri="urn:schemas-microsoft-com:office:smarttags" w:element="PersonName">
        <w:smartTagPr>
          <w:attr w:name="ProductID" w:val="la Brigada"/>
        </w:smartTagPr>
        <w:r>
          <w:rPr>
            <w:lang w:val="es-ES_tradnl"/>
          </w:rPr>
          <w:t>la Brigada</w:t>
        </w:r>
      </w:smartTag>
      <w:r>
        <w:rPr>
          <w:lang w:val="es-ES_tradnl"/>
        </w:rPr>
        <w:t xml:space="preserve"> de Almirante Brown, según lo que surgía de su legajo personal, manifestó que estaba seguro que oficialmente se encontraba destinado a </w:t>
      </w:r>
      <w:smartTag w:uri="urn:schemas-microsoft-com:office:smarttags" w:element="PersonName">
        <w:smartTagPr>
          <w:attr w:name="ProductID" w:val="la Brigada"/>
        </w:smartTagPr>
        <w:r>
          <w:rPr>
            <w:lang w:val="es-ES_tradnl"/>
          </w:rPr>
          <w:t>la Brigada</w:t>
        </w:r>
      </w:smartTag>
      <w:r>
        <w:rPr>
          <w:lang w:val="es-ES_tradnl"/>
        </w:rPr>
        <w:t xml:space="preserve"> de Lanús ya que a esa fecha estaba notificado de dicho pase.</w:t>
      </w:r>
    </w:p>
    <w:p w:rsidR="00224567" w:rsidRDefault="00224567">
      <w:pPr>
        <w:widowControl w:val="0"/>
        <w:ind w:firstLine="2835"/>
        <w:rPr>
          <w:lang w:val="es-ES_tradnl"/>
        </w:rPr>
      </w:pPr>
      <w:r>
        <w:rPr>
          <w:lang w:val="es-ES_tradnl"/>
        </w:rPr>
        <w:t>Precisó que habría que fijarse bien en la oficina de personal y cotejar con los libros de gua</w:t>
      </w:r>
      <w:r>
        <w:rPr>
          <w:lang w:val="es-ES_tradnl"/>
        </w:rPr>
        <w:t>r</w:t>
      </w:r>
      <w:r>
        <w:rPr>
          <w:lang w:val="es-ES_tradnl"/>
        </w:rPr>
        <w:t>dia. Indicó que lo primero que llegaba en los casos de traslados era el despacho telegráf</w:t>
      </w:r>
      <w:r>
        <w:rPr>
          <w:lang w:val="es-ES_tradnl"/>
        </w:rPr>
        <w:t>i</w:t>
      </w:r>
      <w:r>
        <w:rPr>
          <w:lang w:val="es-ES_tradnl"/>
        </w:rPr>
        <w:t>co mediante el cual la superioridad los disponía.</w:t>
      </w:r>
    </w:p>
    <w:p w:rsidR="00224567" w:rsidRDefault="00224567">
      <w:pPr>
        <w:widowControl w:val="0"/>
        <w:ind w:firstLine="2835"/>
        <w:rPr>
          <w:lang w:val="es-ES_tradnl"/>
        </w:rPr>
      </w:pPr>
      <w:r>
        <w:rPr>
          <w:lang w:val="es-ES_tradnl"/>
        </w:rPr>
        <w:t>Dijo que fue trasladado junto con A</w:t>
      </w:r>
      <w:r>
        <w:rPr>
          <w:lang w:val="es-ES_tradnl"/>
        </w:rPr>
        <w:t>l</w:t>
      </w:r>
      <w:r>
        <w:rPr>
          <w:lang w:val="es-ES_tradnl"/>
        </w:rPr>
        <w:t xml:space="preserve">barracín y Castro desde </w:t>
      </w:r>
      <w:smartTag w:uri="urn:schemas-microsoft-com:office:smarttags" w:element="PersonName">
        <w:smartTagPr>
          <w:attr w:name="ProductID" w:val="la Brigada"/>
        </w:smartTagPr>
        <w:r>
          <w:rPr>
            <w:lang w:val="es-ES_tradnl"/>
          </w:rPr>
          <w:t>la Brigada</w:t>
        </w:r>
      </w:smartTag>
      <w:r>
        <w:rPr>
          <w:lang w:val="es-ES_tradnl"/>
        </w:rPr>
        <w:t xml:space="preserve"> de Almirante Brown a </w:t>
      </w:r>
      <w:smartTag w:uri="urn:schemas-microsoft-com:office:smarttags" w:element="PersonName">
        <w:smartTagPr>
          <w:attr w:name="ProductID" w:val="la Brigada"/>
        </w:smartTagPr>
        <w:r>
          <w:rPr>
            <w:lang w:val="es-ES_tradnl"/>
          </w:rPr>
          <w:t>la Brigada</w:t>
        </w:r>
      </w:smartTag>
      <w:r>
        <w:rPr>
          <w:lang w:val="es-ES_tradnl"/>
        </w:rPr>
        <w:t xml:space="preserve"> de Lanús, sin poder precisar si fueron todos tra</w:t>
      </w:r>
      <w:r>
        <w:rPr>
          <w:lang w:val="es-ES_tradnl"/>
        </w:rPr>
        <w:t>s</w:t>
      </w:r>
      <w:r>
        <w:rPr>
          <w:lang w:val="es-ES_tradnl"/>
        </w:rPr>
        <w:t>ladados en la misma fecha o con pocos días de dif</w:t>
      </w:r>
      <w:r>
        <w:rPr>
          <w:lang w:val="es-ES_tradnl"/>
        </w:rPr>
        <w:t>e</w:t>
      </w:r>
      <w:r>
        <w:rPr>
          <w:lang w:val="es-ES_tradnl"/>
        </w:rPr>
        <w:t>rencia.</w:t>
      </w:r>
    </w:p>
    <w:p w:rsidR="00224567" w:rsidRDefault="00224567">
      <w:pPr>
        <w:widowControl w:val="0"/>
        <w:ind w:firstLine="2835"/>
        <w:rPr>
          <w:lang w:val="es-ES_tradnl"/>
        </w:rPr>
      </w:pPr>
      <w:r>
        <w:rPr>
          <w:lang w:val="es-ES_tradnl"/>
        </w:rPr>
        <w:t>Preguntado acerca de la razón por la que se dispusiera el traslado conjunto con Castro y Alb</w:t>
      </w:r>
      <w:r>
        <w:rPr>
          <w:lang w:val="es-ES_tradnl"/>
        </w:rPr>
        <w:t>a</w:t>
      </w:r>
      <w:r>
        <w:rPr>
          <w:lang w:val="es-ES_tradnl"/>
        </w:rPr>
        <w:t>rracín, explicó que había cambiado la jefatura de Almira</w:t>
      </w:r>
      <w:r>
        <w:rPr>
          <w:lang w:val="es-ES_tradnl"/>
        </w:rPr>
        <w:t>n</w:t>
      </w:r>
      <w:r>
        <w:rPr>
          <w:lang w:val="es-ES_tradnl"/>
        </w:rPr>
        <w:t>te Brown y que cuando esto sucedía se solían efectuar traslados masivos de gente de confianza de quien iba a ocupar la jefatura de la brigada.</w:t>
      </w:r>
    </w:p>
    <w:p w:rsidR="00224567" w:rsidRDefault="00224567">
      <w:pPr>
        <w:widowControl w:val="0"/>
        <w:ind w:firstLine="2835"/>
        <w:rPr>
          <w:lang w:val="es-ES_tradnl"/>
        </w:rPr>
      </w:pPr>
      <w:r>
        <w:rPr>
          <w:lang w:val="es-ES_tradnl"/>
        </w:rPr>
        <w:t>Antes de que le pidieran el tra</w:t>
      </w:r>
      <w:r>
        <w:rPr>
          <w:lang w:val="es-ES_tradnl"/>
        </w:rPr>
        <w:t>s</w:t>
      </w:r>
      <w:r>
        <w:rPr>
          <w:lang w:val="es-ES_tradnl"/>
        </w:rPr>
        <w:t>lado, le solicitó a Alb</w:t>
      </w:r>
      <w:r>
        <w:rPr>
          <w:lang w:val="es-ES_tradnl"/>
        </w:rPr>
        <w:t>a</w:t>
      </w:r>
      <w:r>
        <w:rPr>
          <w:lang w:val="es-ES_tradnl"/>
        </w:rPr>
        <w:t>rracín que lo llevara con él.</w:t>
      </w:r>
    </w:p>
    <w:p w:rsidR="00224567" w:rsidRDefault="00224567">
      <w:pPr>
        <w:widowControl w:val="0"/>
        <w:ind w:firstLine="2835"/>
        <w:rPr>
          <w:lang w:val="es-ES_tradnl"/>
        </w:rPr>
      </w:pPr>
      <w:r>
        <w:rPr>
          <w:lang w:val="es-ES_tradnl"/>
        </w:rPr>
        <w:t>Mencionó que a Ibarra lo conoció r</w:t>
      </w:r>
      <w:r>
        <w:rPr>
          <w:lang w:val="es-ES_tradnl"/>
        </w:rPr>
        <w:t>e</w:t>
      </w:r>
      <w:r>
        <w:rPr>
          <w:lang w:val="es-ES_tradnl"/>
        </w:rPr>
        <w:t xml:space="preserve">cién en </w:t>
      </w:r>
      <w:smartTag w:uri="urn:schemas-microsoft-com:office:smarttags" w:element="PersonName">
        <w:smartTagPr>
          <w:attr w:name="ProductID" w:val="la Brigada"/>
        </w:smartTagPr>
        <w:r>
          <w:rPr>
            <w:lang w:val="es-ES_tradnl"/>
          </w:rPr>
          <w:t>la Brigada</w:t>
        </w:r>
      </w:smartTag>
      <w:r>
        <w:rPr>
          <w:lang w:val="es-ES_tradnl"/>
        </w:rPr>
        <w:t xml:space="preserve"> de Lanús y que en el único procedimie</w:t>
      </w:r>
      <w:r>
        <w:rPr>
          <w:lang w:val="es-ES_tradnl"/>
        </w:rPr>
        <w:t>n</w:t>
      </w:r>
      <w:r>
        <w:rPr>
          <w:lang w:val="es-ES_tradnl"/>
        </w:rPr>
        <w:t>to que estuvo a sus órdenes fue en el realizado el 4 de abril de 1994, en el que se detuvo a Telleldín y a  Petr</w:t>
      </w:r>
      <w:r>
        <w:rPr>
          <w:lang w:val="es-ES_tradnl"/>
        </w:rPr>
        <w:t>u</w:t>
      </w:r>
      <w:r>
        <w:rPr>
          <w:lang w:val="es-ES_tradnl"/>
        </w:rPr>
        <w:t>cci.</w:t>
      </w:r>
    </w:p>
    <w:p w:rsidR="00224567" w:rsidRDefault="00224567">
      <w:pPr>
        <w:widowControl w:val="0"/>
        <w:ind w:firstLine="2835"/>
        <w:rPr>
          <w:lang w:val="es-ES_tradnl"/>
        </w:rPr>
      </w:pPr>
      <w:r>
        <w:rPr>
          <w:lang w:val="es-ES_tradnl"/>
        </w:rPr>
        <w:t>Dijo que no cumplía un horario fijo, ya que estaba disp</w:t>
      </w:r>
      <w:r>
        <w:rPr>
          <w:lang w:val="es-ES_tradnl"/>
        </w:rPr>
        <w:t>o</w:t>
      </w:r>
      <w:r>
        <w:rPr>
          <w:lang w:val="es-ES_tradnl"/>
        </w:rPr>
        <w:t>nible de lunes a domingo, aclarando que si bien iba de lunes a sábado, podía ser convocado los días domingo.</w:t>
      </w:r>
    </w:p>
    <w:p w:rsidR="00224567" w:rsidRDefault="00224567">
      <w:pPr>
        <w:widowControl w:val="0"/>
        <w:ind w:firstLine="2835"/>
        <w:rPr>
          <w:lang w:val="es-ES_tradnl"/>
        </w:rPr>
      </w:pPr>
      <w:r>
        <w:rPr>
          <w:lang w:val="es-ES_tradnl"/>
        </w:rPr>
        <w:t>Negó haber tenido y usado alguna vez teléfono celular, como también haber prestado su nombre para que otra persona se lo gestion</w:t>
      </w:r>
      <w:r>
        <w:rPr>
          <w:lang w:val="es-ES_tradnl"/>
        </w:rPr>
        <w:t>a</w:t>
      </w:r>
      <w:r>
        <w:rPr>
          <w:lang w:val="es-ES_tradnl"/>
        </w:rPr>
        <w:t>ra.</w:t>
      </w:r>
    </w:p>
    <w:p w:rsidR="00224567" w:rsidRDefault="00224567">
      <w:pPr>
        <w:widowControl w:val="0"/>
        <w:ind w:firstLine="2835"/>
        <w:rPr>
          <w:lang w:val="es-ES_tradnl"/>
        </w:rPr>
      </w:pPr>
      <w:r>
        <w:rPr>
          <w:lang w:val="es-ES_tradnl"/>
        </w:rPr>
        <w:t>Sostuvo que su grupo operativo se d</w:t>
      </w:r>
      <w:r>
        <w:rPr>
          <w:lang w:val="es-ES_tradnl"/>
        </w:rPr>
        <w:t>e</w:t>
      </w:r>
      <w:r>
        <w:rPr>
          <w:lang w:val="es-ES_tradnl"/>
        </w:rPr>
        <w:t>dicaba a la preve</w:t>
      </w:r>
      <w:r>
        <w:rPr>
          <w:lang w:val="es-ES_tradnl"/>
        </w:rPr>
        <w:t>n</w:t>
      </w:r>
      <w:r>
        <w:rPr>
          <w:lang w:val="es-ES_tradnl"/>
        </w:rPr>
        <w:t>ción de delitos en general.</w:t>
      </w:r>
    </w:p>
    <w:p w:rsidR="00224567" w:rsidRDefault="00224567">
      <w:pPr>
        <w:widowControl w:val="0"/>
        <w:ind w:firstLine="2835"/>
        <w:rPr>
          <w:lang w:val="es-ES_tradnl"/>
        </w:rPr>
      </w:pPr>
      <w:r>
        <w:rPr>
          <w:lang w:val="es-ES_tradnl"/>
        </w:rPr>
        <w:t>Afirmó que Ibarra, durante el traye</w:t>
      </w:r>
      <w:r>
        <w:rPr>
          <w:lang w:val="es-ES_tradnl"/>
        </w:rPr>
        <w:t>c</w:t>
      </w:r>
      <w:r>
        <w:rPr>
          <w:lang w:val="es-ES_tradnl"/>
        </w:rPr>
        <w:t>to a Tortuguitas, comentó que la persona que iban a buscar tenía una causa.</w:t>
      </w:r>
    </w:p>
    <w:p w:rsidR="00224567" w:rsidRDefault="00224567">
      <w:pPr>
        <w:widowControl w:val="0"/>
        <w:ind w:firstLine="2835"/>
        <w:rPr>
          <w:lang w:val="es-ES_tradnl"/>
        </w:rPr>
      </w:pPr>
      <w:r>
        <w:rPr>
          <w:lang w:val="es-ES_tradnl"/>
        </w:rPr>
        <w:t>En la brigada, con posterioridad al procedimiento en cuestión, escuchó un rumor en tono de burla hacia Ibarra, porque la persona busc</w:t>
      </w:r>
      <w:r>
        <w:rPr>
          <w:lang w:val="es-ES_tradnl"/>
        </w:rPr>
        <w:t>a</w:t>
      </w:r>
      <w:r>
        <w:rPr>
          <w:lang w:val="es-ES_tradnl"/>
        </w:rPr>
        <w:t>da se le había escap</w:t>
      </w:r>
      <w:r>
        <w:rPr>
          <w:lang w:val="es-ES_tradnl"/>
        </w:rPr>
        <w:t>a</w:t>
      </w:r>
      <w:r>
        <w:rPr>
          <w:lang w:val="es-ES_tradnl"/>
        </w:rPr>
        <w:t>do anteriormente.</w:t>
      </w:r>
    </w:p>
    <w:p w:rsidR="00224567" w:rsidRDefault="00224567">
      <w:pPr>
        <w:widowControl w:val="0"/>
        <w:ind w:firstLine="2835"/>
        <w:rPr>
          <w:lang w:val="es-ES_tradnl"/>
        </w:rPr>
      </w:pPr>
      <w:r>
        <w:rPr>
          <w:lang w:val="es-ES_tradnl"/>
        </w:rPr>
        <w:t>Expresó que en el área de investig</w:t>
      </w:r>
      <w:r>
        <w:rPr>
          <w:lang w:val="es-ES_tradnl"/>
        </w:rPr>
        <w:t>a</w:t>
      </w:r>
      <w:r>
        <w:rPr>
          <w:lang w:val="es-ES_tradnl"/>
        </w:rPr>
        <w:t>ciones, cuando a un funcionario policial se le escapaba la persona que iba a detener lo consider</w:t>
      </w:r>
      <w:r>
        <w:rPr>
          <w:lang w:val="es-ES_tradnl"/>
        </w:rPr>
        <w:t>a</w:t>
      </w:r>
      <w:r>
        <w:rPr>
          <w:lang w:val="es-ES_tradnl"/>
        </w:rPr>
        <w:t>ban un “bobo”.</w:t>
      </w:r>
    </w:p>
    <w:p w:rsidR="00224567" w:rsidRDefault="00224567">
      <w:pPr>
        <w:widowControl w:val="0"/>
        <w:ind w:firstLine="2835"/>
        <w:rPr>
          <w:lang w:val="es-ES_tradnl"/>
        </w:rPr>
      </w:pPr>
      <w:r>
        <w:rPr>
          <w:lang w:val="es-ES_tradnl"/>
        </w:rPr>
        <w:t>En otro orden de ideas, aclaró que al momento de efectuarse el procedimiento en cuestión, sie</w:t>
      </w:r>
      <w:r>
        <w:rPr>
          <w:lang w:val="es-ES_tradnl"/>
        </w:rPr>
        <w:t>m</w:t>
      </w:r>
      <w:r>
        <w:rPr>
          <w:lang w:val="es-ES_tradnl"/>
        </w:rPr>
        <w:t>pre escuchó hablar de un tal “Teccedin”. Tanto fue así, que en el momento que se identificó a esta persona, exh</w:t>
      </w:r>
      <w:r>
        <w:rPr>
          <w:lang w:val="es-ES_tradnl"/>
        </w:rPr>
        <w:t>i</w:t>
      </w:r>
      <w:r>
        <w:rPr>
          <w:lang w:val="es-ES_tradnl"/>
        </w:rPr>
        <w:t>bió un documento en el que constaba ese apell</w:t>
      </w:r>
      <w:r>
        <w:rPr>
          <w:lang w:val="es-ES_tradnl"/>
        </w:rPr>
        <w:t>i</w:t>
      </w:r>
      <w:r>
        <w:rPr>
          <w:lang w:val="es-ES_tradnl"/>
        </w:rPr>
        <w:t>do.</w:t>
      </w:r>
    </w:p>
    <w:p w:rsidR="00224567" w:rsidRDefault="00224567">
      <w:pPr>
        <w:widowControl w:val="0"/>
        <w:ind w:firstLine="2835"/>
        <w:rPr>
          <w:lang w:val="es-ES_tradnl"/>
        </w:rPr>
      </w:pPr>
      <w:r>
        <w:rPr>
          <w:lang w:val="es-ES_tradnl"/>
        </w:rPr>
        <w:t>No recordó que se hubiera labrado un acta en el lugar que fueran detenidos Telleldín  y  Petr</w:t>
      </w:r>
      <w:r>
        <w:rPr>
          <w:lang w:val="es-ES_tradnl"/>
        </w:rPr>
        <w:t>u</w:t>
      </w:r>
      <w:r>
        <w:rPr>
          <w:lang w:val="es-ES_tradnl"/>
        </w:rPr>
        <w:t>cci.</w:t>
      </w:r>
    </w:p>
    <w:p w:rsidR="00224567" w:rsidRDefault="00224567">
      <w:pPr>
        <w:widowControl w:val="0"/>
        <w:ind w:firstLine="2835"/>
        <w:rPr>
          <w:lang w:val="es-ES_tradnl"/>
        </w:rPr>
      </w:pPr>
      <w:r>
        <w:rPr>
          <w:lang w:val="es-ES_tradnl"/>
        </w:rPr>
        <w:t>Negó haber participado de alguna man</w:t>
      </w:r>
      <w:r>
        <w:rPr>
          <w:lang w:val="es-ES_tradnl"/>
        </w:rPr>
        <w:t>e</w:t>
      </w:r>
      <w:r>
        <w:rPr>
          <w:lang w:val="es-ES_tradnl"/>
        </w:rPr>
        <w:t xml:space="preserve">ra en el atentado perpetrado contra la sede de </w:t>
      </w:r>
      <w:smartTag w:uri="urn:schemas-microsoft-com:office:smarttags" w:element="PersonName">
        <w:smartTagPr>
          <w:attr w:name="ProductID" w:val="la A.M"/>
        </w:smartTagPr>
        <w:r>
          <w:rPr>
            <w:lang w:val="es-ES_tradnl"/>
          </w:rPr>
          <w:t>la A.M</w:t>
        </w:r>
      </w:smartTag>
      <w:r>
        <w:rPr>
          <w:lang w:val="es-ES_tradnl"/>
        </w:rPr>
        <w:t xml:space="preserve">.I.A., manifestando que se enteró que existía </w:t>
      </w:r>
      <w:smartTag w:uri="urn:schemas-microsoft-com:office:smarttags" w:element="PersonName">
        <w:smartTagPr>
          <w:attr w:name="ProductID" w:val="la A.M"/>
        </w:smartTagPr>
        <w:r>
          <w:rPr>
            <w:lang w:val="es-ES_tradnl"/>
          </w:rPr>
          <w:t>la A.M</w:t>
        </w:r>
      </w:smartTag>
      <w:r>
        <w:rPr>
          <w:lang w:val="es-ES_tradnl"/>
        </w:rPr>
        <w:t>.I.A. el día que vio por televisión que se había prod</w:t>
      </w:r>
      <w:r>
        <w:rPr>
          <w:lang w:val="es-ES_tradnl"/>
        </w:rPr>
        <w:t>u</w:t>
      </w:r>
      <w:r>
        <w:rPr>
          <w:lang w:val="es-ES_tradnl"/>
        </w:rPr>
        <w:t>cido el atentado.</w:t>
      </w:r>
    </w:p>
    <w:p w:rsidR="00224567" w:rsidRDefault="00224567">
      <w:pPr>
        <w:widowControl w:val="0"/>
        <w:ind w:firstLine="2835"/>
        <w:rPr>
          <w:lang w:val="es-ES_tradnl"/>
        </w:rPr>
      </w:pPr>
      <w:r>
        <w:rPr>
          <w:lang w:val="es-ES_tradnl"/>
        </w:rPr>
        <w:t>Precisó que no se asoció con más pe</w:t>
      </w:r>
      <w:r>
        <w:rPr>
          <w:lang w:val="es-ES_tradnl"/>
        </w:rPr>
        <w:t>r</w:t>
      </w:r>
      <w:r>
        <w:rPr>
          <w:lang w:val="es-ES_tradnl"/>
        </w:rPr>
        <w:t>sonas para cometer delitos.</w:t>
      </w:r>
    </w:p>
    <w:p w:rsidR="00224567" w:rsidRDefault="00224567">
      <w:pPr>
        <w:widowControl w:val="0"/>
        <w:ind w:firstLine="2835"/>
        <w:rPr>
          <w:lang w:val="es-ES_tradnl"/>
        </w:rPr>
      </w:pPr>
      <w:r>
        <w:rPr>
          <w:lang w:val="es-ES_tradnl"/>
        </w:rPr>
        <w:t>Afirmó conocer a una persona de ap</w:t>
      </w:r>
      <w:r>
        <w:rPr>
          <w:lang w:val="es-ES_tradnl"/>
        </w:rPr>
        <w:t>e</w:t>
      </w:r>
      <w:r>
        <w:rPr>
          <w:lang w:val="es-ES_tradnl"/>
        </w:rPr>
        <w:t>llido Toledo que tr</w:t>
      </w:r>
      <w:r>
        <w:rPr>
          <w:lang w:val="es-ES_tradnl"/>
        </w:rPr>
        <w:t>a</w:t>
      </w:r>
      <w:r>
        <w:rPr>
          <w:lang w:val="es-ES_tradnl"/>
        </w:rPr>
        <w:t xml:space="preserve">baja en </w:t>
      </w:r>
      <w:smartTag w:uri="urn:schemas-microsoft-com:office:smarttags" w:element="PersonName">
        <w:smartTagPr>
          <w:attr w:name="ProductID" w:val="la Brigada"/>
        </w:smartTagPr>
        <w:r>
          <w:rPr>
            <w:lang w:val="es-ES_tradnl"/>
          </w:rPr>
          <w:t>la Brigada</w:t>
        </w:r>
      </w:smartTag>
      <w:r>
        <w:rPr>
          <w:lang w:val="es-ES_tradnl"/>
        </w:rPr>
        <w:t xml:space="preserve"> de Lanús.</w:t>
      </w:r>
    </w:p>
    <w:p w:rsidR="00224567" w:rsidRDefault="00224567">
      <w:pPr>
        <w:widowControl w:val="0"/>
        <w:ind w:firstLine="2835"/>
        <w:rPr>
          <w:lang w:val="es-ES_tradnl"/>
        </w:rPr>
      </w:pPr>
      <w:r>
        <w:rPr>
          <w:lang w:val="es-ES_tradnl"/>
        </w:rPr>
        <w:t>Dijo que a Huici, a José Miguel Ara</w:t>
      </w:r>
      <w:r>
        <w:rPr>
          <w:lang w:val="es-ES_tradnl"/>
        </w:rPr>
        <w:t>n</w:t>
      </w:r>
      <w:r>
        <w:rPr>
          <w:lang w:val="es-ES_tradnl"/>
        </w:rPr>
        <w:t xml:space="preserve">cibia y a Bacigalupo los conocía de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nús.</w:t>
      </w:r>
    </w:p>
    <w:p w:rsidR="00224567" w:rsidRDefault="00224567">
      <w:pPr>
        <w:widowControl w:val="0"/>
        <w:ind w:firstLine="2835"/>
        <w:rPr>
          <w:lang w:val="es-ES_tradnl"/>
        </w:rPr>
      </w:pPr>
      <w:r>
        <w:rPr>
          <w:lang w:val="es-ES_tradnl"/>
        </w:rPr>
        <w:t>Negó conocer y haber compartido de</w:t>
      </w:r>
      <w:r>
        <w:rPr>
          <w:lang w:val="es-ES_tradnl"/>
        </w:rPr>
        <w:t>s</w:t>
      </w:r>
      <w:r>
        <w:rPr>
          <w:lang w:val="es-ES_tradnl"/>
        </w:rPr>
        <w:t>tino con Jorge Horacio Rago, Argentino Gabriel Lasala, Anastasio Ireneo Leal, Manuel Enrique García, Daniel Em</w:t>
      </w:r>
      <w:r>
        <w:rPr>
          <w:lang w:val="es-ES_tradnl"/>
        </w:rPr>
        <w:t>i</w:t>
      </w:r>
      <w:r>
        <w:rPr>
          <w:lang w:val="es-ES_tradnl"/>
        </w:rPr>
        <w:t>lio Quinteros, Víctor Carlos Cruz, Diego Enrique Barreda y M</w:t>
      </w:r>
      <w:r>
        <w:rPr>
          <w:lang w:val="es-ES_tradnl"/>
        </w:rPr>
        <w:t>a</w:t>
      </w:r>
      <w:r>
        <w:rPr>
          <w:lang w:val="es-ES_tradnl"/>
        </w:rPr>
        <w:t>rio Norberto Bareiro.</w:t>
      </w:r>
    </w:p>
    <w:p w:rsidR="00224567" w:rsidRDefault="00224567">
      <w:pPr>
        <w:widowControl w:val="0"/>
        <w:ind w:firstLine="2835"/>
        <w:rPr>
          <w:lang w:val="es-ES_tradnl"/>
        </w:rPr>
      </w:pPr>
      <w:r>
        <w:rPr>
          <w:lang w:val="es-ES_tradnl"/>
        </w:rPr>
        <w:t>Refirió que a Ribelli recién lo con</w:t>
      </w:r>
      <w:r>
        <w:rPr>
          <w:lang w:val="es-ES_tradnl"/>
        </w:rPr>
        <w:t>o</w:t>
      </w:r>
      <w:r>
        <w:rPr>
          <w:lang w:val="es-ES_tradnl"/>
        </w:rPr>
        <w:t xml:space="preserve">ció en </w:t>
      </w:r>
      <w:smartTag w:uri="urn:schemas-microsoft-com:office:smarttags" w:element="PersonName">
        <w:smartTagPr>
          <w:attr w:name="ProductID" w:val="la Brigada"/>
        </w:smartTagPr>
        <w:r>
          <w:rPr>
            <w:lang w:val="es-ES_tradnl"/>
          </w:rPr>
          <w:t>la Brigada</w:t>
        </w:r>
      </w:smartTag>
      <w:r>
        <w:rPr>
          <w:lang w:val="es-ES_tradnl"/>
        </w:rPr>
        <w:t xml:space="preserve"> de Lanús.</w:t>
      </w:r>
    </w:p>
    <w:p w:rsidR="00224567" w:rsidRDefault="00224567">
      <w:pPr>
        <w:widowControl w:val="0"/>
        <w:ind w:firstLine="2835"/>
        <w:rPr>
          <w:lang w:val="es-ES_tradnl"/>
        </w:rPr>
      </w:pPr>
      <w:r>
        <w:rPr>
          <w:lang w:val="es-ES_tradnl"/>
        </w:rPr>
        <w:t>Remarcó que no tuvo conocimiento que los detenidos “Teccedin” y Petrucci hayan recuperado su libertad a cambio de la entrega de dos rodados y una mot</w:t>
      </w:r>
      <w:r>
        <w:rPr>
          <w:lang w:val="es-ES_tradnl"/>
        </w:rPr>
        <w:t>o</w:t>
      </w:r>
      <w:r>
        <w:rPr>
          <w:lang w:val="es-ES_tradnl"/>
        </w:rPr>
        <w:t>cicleta, negando haber participado de algún arr</w:t>
      </w:r>
      <w:r>
        <w:rPr>
          <w:lang w:val="es-ES_tradnl"/>
        </w:rPr>
        <w:t>e</w:t>
      </w:r>
      <w:r>
        <w:rPr>
          <w:lang w:val="es-ES_tradnl"/>
        </w:rPr>
        <w:t>glo.</w:t>
      </w:r>
    </w:p>
    <w:p w:rsidR="00224567" w:rsidRDefault="00224567">
      <w:pPr>
        <w:widowControl w:val="0"/>
        <w:ind w:firstLine="2835"/>
        <w:rPr>
          <w:lang w:val="es-ES_tradnl"/>
        </w:rPr>
      </w:pPr>
      <w:r>
        <w:rPr>
          <w:lang w:val="es-ES_tradnl"/>
        </w:rPr>
        <w:t>No supo cuándo recuperaron la libe</w:t>
      </w:r>
      <w:r>
        <w:rPr>
          <w:lang w:val="es-ES_tradnl"/>
        </w:rPr>
        <w:t>r</w:t>
      </w:r>
      <w:r>
        <w:rPr>
          <w:lang w:val="es-ES_tradnl"/>
        </w:rPr>
        <w:t>tad esas personas, explicando que cuando deja d</w:t>
      </w:r>
      <w:r>
        <w:rPr>
          <w:lang w:val="es-ES_tradnl"/>
        </w:rPr>
        <w:t>e</w:t>
      </w:r>
      <w:r>
        <w:rPr>
          <w:lang w:val="es-ES_tradnl"/>
        </w:rPr>
        <w:t>tenidos en la oficina de judiciales se desliga t</w:t>
      </w:r>
      <w:r>
        <w:rPr>
          <w:lang w:val="es-ES_tradnl"/>
        </w:rPr>
        <w:t>o</w:t>
      </w:r>
      <w:r>
        <w:rPr>
          <w:lang w:val="es-ES_tradnl"/>
        </w:rPr>
        <w:t>talmente de los mismos, siendo probable que ese día se haya ido de franco.</w:t>
      </w:r>
    </w:p>
    <w:p w:rsidR="00224567" w:rsidRDefault="00224567">
      <w:pPr>
        <w:widowControl w:val="0"/>
        <w:ind w:firstLine="2835"/>
        <w:rPr>
          <w:lang w:val="es-ES_tradnl"/>
        </w:rPr>
      </w:pPr>
      <w:r>
        <w:rPr>
          <w:lang w:val="es-ES_tradnl"/>
        </w:rPr>
        <w:t>Expresó que manejaba más información cuando el trabajo era del grupo operativo del cual fo</w:t>
      </w:r>
      <w:r>
        <w:rPr>
          <w:lang w:val="es-ES_tradnl"/>
        </w:rPr>
        <w:t>r</w:t>
      </w:r>
      <w:r>
        <w:rPr>
          <w:lang w:val="es-ES_tradnl"/>
        </w:rPr>
        <w:t>maba parte, pero en este caso no tuvo info</w:t>
      </w:r>
      <w:r>
        <w:rPr>
          <w:lang w:val="es-ES_tradnl"/>
        </w:rPr>
        <w:t>r</w:t>
      </w:r>
      <w:r>
        <w:rPr>
          <w:lang w:val="es-ES_tradnl"/>
        </w:rPr>
        <w:t>mación, toda vez que la misma fue traída al grupo por el subcomisario Ibarra que era una persona ajena a aquél.</w:t>
      </w:r>
    </w:p>
    <w:p w:rsidR="00224567" w:rsidRDefault="00224567">
      <w:pPr>
        <w:widowControl w:val="0"/>
        <w:ind w:firstLine="2835"/>
        <w:rPr>
          <w:lang w:val="es-ES_tradnl"/>
        </w:rPr>
      </w:pPr>
      <w:r>
        <w:rPr>
          <w:lang w:val="es-ES_tradnl"/>
        </w:rPr>
        <w:t>No tuvo conocimiento que con anteri</w:t>
      </w:r>
      <w:r>
        <w:rPr>
          <w:lang w:val="es-ES_tradnl"/>
        </w:rPr>
        <w:t>o</w:t>
      </w:r>
      <w:r>
        <w:rPr>
          <w:lang w:val="es-ES_tradnl"/>
        </w:rPr>
        <w:t>ridad al procedimiento del 4 de abril de 1994 se hubi</w:t>
      </w:r>
      <w:r>
        <w:rPr>
          <w:lang w:val="es-ES_tradnl"/>
        </w:rPr>
        <w:t>e</w:t>
      </w:r>
      <w:r>
        <w:rPr>
          <w:lang w:val="es-ES_tradnl"/>
        </w:rPr>
        <w:t>ran efectuado tareas de inteligencia sobre la persona de T</w:t>
      </w:r>
      <w:r>
        <w:rPr>
          <w:lang w:val="es-ES_tradnl"/>
        </w:rPr>
        <w:t>e</w:t>
      </w:r>
      <w:r>
        <w:rPr>
          <w:lang w:val="es-ES_tradnl"/>
        </w:rPr>
        <w:t>lleldín o “Teccedin”, ya que Ibarra era quien tenía esa inform</w:t>
      </w:r>
      <w:r>
        <w:rPr>
          <w:lang w:val="es-ES_tradnl"/>
        </w:rPr>
        <w:t>a</w:t>
      </w:r>
      <w:r>
        <w:rPr>
          <w:lang w:val="es-ES_tradnl"/>
        </w:rPr>
        <w:t>ción.</w:t>
      </w:r>
    </w:p>
    <w:p w:rsidR="00224567" w:rsidRDefault="00224567">
      <w:pPr>
        <w:pStyle w:val="Sangra2detindependiente"/>
        <w:widowControl w:val="0"/>
        <w:spacing w:line="600" w:lineRule="auto"/>
      </w:pPr>
      <w:r>
        <w:t>No recordó qué auto tenía Ibarra para esa ép</w:t>
      </w:r>
      <w:r>
        <w:t>o</w:t>
      </w:r>
      <w:r>
        <w:t>ca. Dijo que él tenía un Chevy cupé, modelo 1973, color azul oscuro metalizado, no recordando el núm</w:t>
      </w:r>
      <w:r>
        <w:t>e</w:t>
      </w:r>
      <w:r>
        <w:t>ro de dominio y aclarando que dicho automóvil no era utilizado para tr</w:t>
      </w:r>
      <w:r>
        <w:t>a</w:t>
      </w:r>
      <w:r>
        <w:t>bajar y que era de su propiedad al momento de la declar</w:t>
      </w:r>
      <w:r>
        <w:t>a</w:t>
      </w:r>
      <w:r>
        <w:t>ción.</w:t>
      </w:r>
    </w:p>
    <w:p w:rsidR="00224567" w:rsidRDefault="00224567">
      <w:pPr>
        <w:widowControl w:val="0"/>
        <w:ind w:firstLine="2835"/>
        <w:rPr>
          <w:lang w:val="es-ES_tradnl"/>
        </w:rPr>
      </w:pPr>
      <w:r>
        <w:rPr>
          <w:lang w:val="es-ES_tradnl"/>
        </w:rPr>
        <w:t>Por último, solicitó que se investig</w:t>
      </w:r>
      <w:r>
        <w:rPr>
          <w:lang w:val="es-ES_tradnl"/>
        </w:rPr>
        <w:t>a</w:t>
      </w:r>
      <w:r>
        <w:rPr>
          <w:lang w:val="es-ES_tradnl"/>
        </w:rPr>
        <w:t>ra su patrimonio para demostrar que no había aumentado desde 1985.</w:t>
      </w:r>
    </w:p>
    <w:p w:rsidR="00224567" w:rsidRDefault="00224567">
      <w:pPr>
        <w:widowControl w:val="0"/>
        <w:rPr>
          <w:lang w:val="es-ES_tradnl"/>
        </w:rPr>
      </w:pPr>
    </w:p>
    <w:p w:rsidR="00224567" w:rsidRDefault="00224567">
      <w:pPr>
        <w:pStyle w:val="Ttulo3"/>
        <w:keepNext w:val="0"/>
        <w:widowControl w:val="0"/>
      </w:pPr>
      <w:r>
        <w:t>M) Declaraciones indagatorias de Marcelo Gustavo Albarr</w:t>
      </w:r>
      <w:r>
        <w:t>a</w:t>
      </w:r>
      <w:r>
        <w:t>cín.</w:t>
      </w:r>
    </w:p>
    <w:p w:rsidR="00224567" w:rsidRDefault="00224567">
      <w:pPr>
        <w:widowControl w:val="0"/>
        <w:ind w:firstLine="2835"/>
        <w:rPr>
          <w:highlight w:val="yellow"/>
        </w:rPr>
      </w:pPr>
      <w:r>
        <w:rPr>
          <w:highlight w:val="white"/>
        </w:rPr>
        <w:t>Al recibírsele</w:t>
      </w:r>
      <w:r>
        <w:t xml:space="preserve"> declaración indagat</w:t>
      </w:r>
      <w:r>
        <w:t>o</w:t>
      </w:r>
      <w:r>
        <w:t>ria durante el debate, Marcelo Gustavo Albarr</w:t>
      </w:r>
      <w:r>
        <w:t>a</w:t>
      </w:r>
      <w:r>
        <w:t>cín hizo uso de su derecho de negarse a declarar. En consecuencia, se i</w:t>
      </w:r>
      <w:r>
        <w:t>n</w:t>
      </w:r>
      <w:r>
        <w:t>corporaron por lectura las decl</w:t>
      </w:r>
      <w:r>
        <w:t>a</w:t>
      </w:r>
      <w:r>
        <w:t>raciones brindadas por el imputado en la etapa in</w:t>
      </w:r>
      <w:r>
        <w:t>s</w:t>
      </w:r>
      <w:r>
        <w:t>tructoria.</w:t>
      </w:r>
    </w:p>
    <w:p w:rsidR="00224567" w:rsidRDefault="00224567">
      <w:pPr>
        <w:widowControl w:val="0"/>
        <w:ind w:firstLine="2835"/>
      </w:pPr>
      <w:r>
        <w:t>El 23 de julio de 1996 (fs. 39.702/39.707), sostuvo que en los años 1992 y 1993 cu</w:t>
      </w:r>
      <w:r>
        <w:t>m</w:t>
      </w:r>
      <w:r>
        <w:t xml:space="preserve">plió funciones en </w:t>
      </w:r>
      <w:smartTag w:uri="urn:schemas-microsoft-com:office:smarttags" w:element="PersonName">
        <w:smartTagPr>
          <w:attr w:name="ProductID" w:val="la Brigada"/>
        </w:smartTagPr>
        <w:r>
          <w:t>la Brigada</w:t>
        </w:r>
      </w:smartTag>
      <w:r>
        <w:t xml:space="preserve"> de Almirante Brown. A princ</w:t>
      </w:r>
      <w:r>
        <w:t>i</w:t>
      </w:r>
      <w:r>
        <w:t xml:space="preserve">pios de 1994 –sin recordar la fecha exacta- fue trasladado a </w:t>
      </w:r>
      <w:smartTag w:uri="urn:schemas-microsoft-com:office:smarttags" w:element="PersonName">
        <w:smartTagPr>
          <w:attr w:name="ProductID" w:val="la Brigada"/>
        </w:smartTagPr>
        <w:r>
          <w:t>la Br</w:t>
        </w:r>
        <w:r>
          <w:t>i</w:t>
        </w:r>
        <w:r>
          <w:t>gada</w:t>
        </w:r>
      </w:smartTag>
      <w:r>
        <w:t xml:space="preserve"> de Investigaciones II de Lanús, junto con el inspector Araya y el cabo Castro, donde permaneció por unos meses, aclarando que antes de fin de año se fue a </w:t>
      </w:r>
      <w:smartTag w:uri="urn:schemas-microsoft-com:office:smarttags" w:element="PersonName">
        <w:smartTagPr>
          <w:attr w:name="ProductID" w:val="la Comisar￭a"/>
        </w:smartTagPr>
        <w:r>
          <w:t>la Comisaría</w:t>
        </w:r>
      </w:smartTag>
      <w:r>
        <w:t xml:space="preserve"> de Monte Grande.</w:t>
      </w:r>
    </w:p>
    <w:p w:rsidR="00224567" w:rsidRDefault="00224567">
      <w:pPr>
        <w:widowControl w:val="0"/>
        <w:ind w:firstLine="2835"/>
      </w:pPr>
      <w:r>
        <w:t xml:space="preserve">En 1995 se desempeñó en </w:t>
      </w:r>
      <w:smartTag w:uri="urn:schemas-microsoft-com:office:smarttags" w:element="PersonName">
        <w:smartTagPr>
          <w:attr w:name="ProductID" w:val="la Brigada"/>
        </w:smartTagPr>
        <w:r>
          <w:t>la Brig</w:t>
        </w:r>
        <w:r>
          <w:t>a</w:t>
        </w:r>
        <w:r>
          <w:t>da</w:t>
        </w:r>
      </w:smartTag>
      <w:r>
        <w:t xml:space="preserve"> de Quilmes, y en 1996 en </w:t>
      </w:r>
      <w:smartTag w:uri="urn:schemas-microsoft-com:office:smarttags" w:element="PersonName">
        <w:smartTagPr>
          <w:attr w:name="ProductID" w:val="la Divisi￳n Sustracci￳n"/>
        </w:smartTagPr>
        <w:r>
          <w:t>la División Sustracción</w:t>
        </w:r>
      </w:smartTag>
      <w:r>
        <w:t xml:space="preserve"> de Automot</w:t>
      </w:r>
      <w:r>
        <w:t>o</w:t>
      </w:r>
      <w:r>
        <w:t>res de Vicente López.</w:t>
      </w:r>
    </w:p>
    <w:p w:rsidR="00224567" w:rsidRDefault="00224567">
      <w:pPr>
        <w:widowControl w:val="0"/>
        <w:ind w:firstLine="2835"/>
      </w:pPr>
      <w:r>
        <w:t xml:space="preserve">Llegado a </w:t>
      </w:r>
      <w:smartTag w:uri="urn:schemas-microsoft-com:office:smarttags" w:element="PersonName">
        <w:smartTagPr>
          <w:attr w:name="ProductID" w:val="la Brigada"/>
        </w:smartTagPr>
        <w:r>
          <w:t>la Brigada</w:t>
        </w:r>
      </w:smartTag>
      <w:r>
        <w:t xml:space="preserve"> de Lanús, el j</w:t>
      </w:r>
      <w:r>
        <w:t>e</w:t>
      </w:r>
      <w:r>
        <w:t>fe de operaciones –subcomisario Juan José Ribelli- le indicó que debía ponerse a las órdenes del subcomisario Ibarra, ya que éste estaba realizando una investigación s</w:t>
      </w:r>
      <w:r>
        <w:t>o</w:t>
      </w:r>
      <w:r>
        <w:t>bre una persona que había que individualizar y trasladar a la br</w:t>
      </w:r>
      <w:r>
        <w:t>i</w:t>
      </w:r>
      <w:r>
        <w:t>gada por un tema vinculado con automot</w:t>
      </w:r>
      <w:r>
        <w:t>o</w:t>
      </w:r>
      <w:r>
        <w:t>res.</w:t>
      </w:r>
    </w:p>
    <w:p w:rsidR="00224567" w:rsidRDefault="00224567">
      <w:pPr>
        <w:widowControl w:val="0"/>
        <w:ind w:firstLine="2835"/>
      </w:pPr>
      <w:r>
        <w:t>Dijo que junto con el inspector Araya y el Cabo Castro formaba parte del grupo operativo de r</w:t>
      </w:r>
      <w:r>
        <w:t>o</w:t>
      </w:r>
      <w:r>
        <w:t>bos y hurtos.</w:t>
      </w:r>
    </w:p>
    <w:p w:rsidR="00224567" w:rsidRDefault="00224567">
      <w:pPr>
        <w:widowControl w:val="0"/>
        <w:ind w:firstLine="2835"/>
      </w:pPr>
      <w:r>
        <w:t>Manifestó que tanto el subcomisario Ibarra como Araya y Castro se trasladaron con él a la l</w:t>
      </w:r>
      <w:r>
        <w:t>o</w:t>
      </w:r>
      <w:r>
        <w:t>calidad de Tortuguitas, provincia de Buenos Aires, a fin de individualizar a esta persona.</w:t>
      </w:r>
    </w:p>
    <w:p w:rsidR="00224567" w:rsidRDefault="00224567">
      <w:pPr>
        <w:widowControl w:val="0"/>
        <w:ind w:firstLine="2835"/>
      </w:pPr>
      <w:r>
        <w:t>Una vez que llegaron allí, el subcom</w:t>
      </w:r>
      <w:r>
        <w:t>i</w:t>
      </w:r>
      <w:r>
        <w:t>sario reconoció el vehículo –un Renault 18 de color osc</w:t>
      </w:r>
      <w:r>
        <w:t>u</w:t>
      </w:r>
      <w:r>
        <w:t>ro-, y el cabo Castro lo interceptó con un Renault 12 vi</w:t>
      </w:r>
      <w:r>
        <w:t>e</w:t>
      </w:r>
      <w:r>
        <w:t>jo con balizas identificatorias. En el rodado de atrás v</w:t>
      </w:r>
      <w:r>
        <w:t>e</w:t>
      </w:r>
      <w:r>
        <w:t>nía manejando el dicente, junto con el subcomisario Ib</w:t>
      </w:r>
      <w:r>
        <w:t>a</w:t>
      </w:r>
      <w:r>
        <w:t>rra y el inspector Araya.</w:t>
      </w:r>
    </w:p>
    <w:p w:rsidR="00224567" w:rsidRDefault="00224567">
      <w:pPr>
        <w:widowControl w:val="0"/>
        <w:ind w:firstLine="2835"/>
      </w:pPr>
      <w:r>
        <w:t>Ya detenido el Renault 18, se b</w:t>
      </w:r>
      <w:r>
        <w:t>a</w:t>
      </w:r>
      <w:r>
        <w:t>jaron del auto, identificaron al conductor –que iba acompañado de una mujer- y se efectivizó la dete</w:t>
      </w:r>
      <w:r>
        <w:t>n</w:t>
      </w:r>
      <w:r>
        <w:t>ción.</w:t>
      </w:r>
    </w:p>
    <w:p w:rsidR="00224567" w:rsidRDefault="00224567">
      <w:pPr>
        <w:widowControl w:val="0"/>
        <w:ind w:firstLine="2835"/>
      </w:pPr>
      <w:r>
        <w:t>Señaló que los aprehendidos no est</w:t>
      </w:r>
      <w:r>
        <w:t>a</w:t>
      </w:r>
      <w:r>
        <w:t>ban armados y que él, junto a sus compañeros, desce</w:t>
      </w:r>
      <w:r>
        <w:t>n</w:t>
      </w:r>
      <w:r>
        <w:t>dieron de los vehículos empuñando sus armas reglament</w:t>
      </w:r>
      <w:r>
        <w:t>a</w:t>
      </w:r>
      <w:r>
        <w:t>rias.</w:t>
      </w:r>
    </w:p>
    <w:p w:rsidR="00224567" w:rsidRDefault="00224567">
      <w:pPr>
        <w:widowControl w:val="0"/>
        <w:ind w:firstLine="2835"/>
      </w:pPr>
      <w:r>
        <w:t>Posteriormente, Ibarra se puso al v</w:t>
      </w:r>
      <w:r>
        <w:t>o</w:t>
      </w:r>
      <w:r>
        <w:t>lante del Renault 18 –junto con la mujer-, y el detenido fue ascendido al auto que se encontraba detrás -un Volk</w:t>
      </w:r>
      <w:r>
        <w:t>s</w:t>
      </w:r>
      <w:r>
        <w:t>wagen Gacel de su propiedad, cuya patente, según creyó terminaba en 844-. Agregó que ese rodado lo vendió, ofr</w:t>
      </w:r>
      <w:r>
        <w:t>e</w:t>
      </w:r>
      <w:r>
        <w:t>ciéndose a aportar los datos del comprador.</w:t>
      </w:r>
    </w:p>
    <w:p w:rsidR="00224567" w:rsidRDefault="00224567">
      <w:pPr>
        <w:widowControl w:val="0"/>
        <w:ind w:firstLine="2835"/>
      </w:pPr>
      <w:r>
        <w:t>Luego, el cabo Castro se retiró a bo</w:t>
      </w:r>
      <w:r>
        <w:t>r</w:t>
      </w:r>
      <w:r>
        <w:t>do de su vehículo, desconociendo la ruta que aquél tomó, pero afirmó que se encontraron después en la br</w:t>
      </w:r>
      <w:r>
        <w:t>i</w:t>
      </w:r>
      <w:r>
        <w:t>gada.</w:t>
      </w:r>
    </w:p>
    <w:p w:rsidR="00224567" w:rsidRDefault="00224567">
      <w:pPr>
        <w:widowControl w:val="0"/>
        <w:ind w:firstLine="2835"/>
      </w:pPr>
      <w:r>
        <w:t>El subcomisario Ibarra, junto con la mujer, partieron en el Renault 18, seguidos por el decl</w:t>
      </w:r>
      <w:r>
        <w:t>a</w:t>
      </w:r>
      <w:r>
        <w:t xml:space="preserve">rante junto con Araya y el detenido –quienes lo hicieron en el Volkswagen Gacel-, todos con rumbo a </w:t>
      </w:r>
      <w:smartTag w:uri="urn:schemas-microsoft-com:office:smarttags" w:element="PersonName">
        <w:smartTagPr>
          <w:attr w:name="ProductID" w:val="la Brigada"/>
        </w:smartTagPr>
        <w:r>
          <w:t>la Brigada</w:t>
        </w:r>
      </w:smartTag>
      <w:r>
        <w:t xml:space="preserve"> de Investigaciones II de Lanús.</w:t>
      </w:r>
    </w:p>
    <w:p w:rsidR="00224567" w:rsidRDefault="00224567">
      <w:pPr>
        <w:widowControl w:val="0"/>
        <w:ind w:firstLine="2835"/>
      </w:pPr>
      <w:r>
        <w:t xml:space="preserve">El regreso fue por </w:t>
      </w:r>
      <w:smartTag w:uri="urn:schemas-microsoft-com:office:smarttags" w:element="PersonName">
        <w:smartTagPr>
          <w:attr w:name="ProductID" w:val="la Panamericana"/>
        </w:smartTagPr>
        <w:r>
          <w:t>la Panamericana</w:t>
        </w:r>
      </w:smartTag>
      <w:r>
        <w:t>, Av. Márquez hasta la ruta 4, llegaron al puente de Lomas de Zamora, calle Larroque hasta Hipólito Yrigoyen y fina</w:t>
      </w:r>
      <w:r>
        <w:t>l</w:t>
      </w:r>
      <w:r>
        <w:t xml:space="preserve">mente a </w:t>
      </w:r>
      <w:smartTag w:uri="urn:schemas-microsoft-com:office:smarttags" w:element="PersonName">
        <w:smartTagPr>
          <w:attr w:name="ProductID" w:val="la Brigada"/>
        </w:smartTagPr>
        <w:r>
          <w:t>la Brigada</w:t>
        </w:r>
      </w:smartTag>
      <w:r>
        <w:t xml:space="preserve"> de Lanús.</w:t>
      </w:r>
    </w:p>
    <w:p w:rsidR="00224567" w:rsidRDefault="00224567">
      <w:pPr>
        <w:widowControl w:val="0"/>
        <w:ind w:firstLine="2835"/>
      </w:pPr>
      <w:r>
        <w:t>No recordó, en cambio, qué camino t</w:t>
      </w:r>
      <w:r>
        <w:t>o</w:t>
      </w:r>
      <w:r>
        <w:t>maron para llegar hasta la localidad de Tortugu</w:t>
      </w:r>
      <w:r>
        <w:t>i</w:t>
      </w:r>
      <w:r>
        <w:t>tas.</w:t>
      </w:r>
    </w:p>
    <w:p w:rsidR="00224567" w:rsidRDefault="00224567">
      <w:pPr>
        <w:widowControl w:val="0"/>
        <w:ind w:firstLine="2835"/>
      </w:pPr>
      <w:r>
        <w:t xml:space="preserve">Al arribar a </w:t>
      </w:r>
      <w:smartTag w:uri="urn:schemas-microsoft-com:office:smarttags" w:element="PersonName">
        <w:smartTagPr>
          <w:attr w:name="ProductID" w:val="la Brigada"/>
        </w:smartTagPr>
        <w:r>
          <w:t>la Brigada</w:t>
        </w:r>
      </w:smartTag>
      <w:r>
        <w:t xml:space="preserve"> de Lanús, el subcomisario Ibarra, a cargo del operativo, i</w:t>
      </w:r>
      <w:r>
        <w:t>n</w:t>
      </w:r>
      <w:r>
        <w:t>gresó a los detenidos. El auto quedó estacionado en la puerta de la brigada.</w:t>
      </w:r>
    </w:p>
    <w:p w:rsidR="00224567" w:rsidRDefault="00224567">
      <w:pPr>
        <w:widowControl w:val="0"/>
        <w:ind w:firstLine="2835"/>
      </w:pPr>
      <w:r>
        <w:t>Dijo desconocer lo sucedido posterio</w:t>
      </w:r>
      <w:r>
        <w:t>r</w:t>
      </w:r>
      <w:r>
        <w:t>mente. Agregó que se quedó afuera con el personal de la dependencia.</w:t>
      </w:r>
    </w:p>
    <w:p w:rsidR="00224567" w:rsidRDefault="00224567">
      <w:pPr>
        <w:widowControl w:val="0"/>
        <w:ind w:firstLine="2835"/>
      </w:pPr>
      <w:r>
        <w:t>Ibarra le comentó, ya en el vi</w:t>
      </w:r>
      <w:r>
        <w:t>a</w:t>
      </w:r>
      <w:r>
        <w:t>je, que la persona que se iba a detener se llamaba “Teccedin”, apellido que fue corroborado posterio</w:t>
      </w:r>
      <w:r>
        <w:t>r</w:t>
      </w:r>
      <w:r>
        <w:t>mente al exhibir su D</w:t>
      </w:r>
      <w:r>
        <w:t>o</w:t>
      </w:r>
      <w:r>
        <w:t>cumento Nacional de Identidad.</w:t>
      </w:r>
    </w:p>
    <w:p w:rsidR="00224567" w:rsidRDefault="00224567">
      <w:pPr>
        <w:widowControl w:val="0"/>
        <w:ind w:firstLine="2835"/>
      </w:pPr>
      <w:r>
        <w:t>Preguntado por el motivo de la dete</w:t>
      </w:r>
      <w:r>
        <w:t>n</w:t>
      </w:r>
      <w:r>
        <w:t>ción, refirió que lo único que sabía era que esta pe</w:t>
      </w:r>
      <w:r>
        <w:t>r</w:t>
      </w:r>
      <w:r>
        <w:t>sona estaba involucrada en un tema de automotores y que creía que había una orden de una ju</w:t>
      </w:r>
      <w:r>
        <w:t>e</w:t>
      </w:r>
      <w:r>
        <w:t>za.</w:t>
      </w:r>
    </w:p>
    <w:p w:rsidR="00224567" w:rsidRDefault="00224567">
      <w:pPr>
        <w:widowControl w:val="0"/>
        <w:ind w:firstLine="2835"/>
      </w:pPr>
      <w:r>
        <w:t>Afirmó que el subcomisario Ibarra s</w:t>
      </w:r>
      <w:r>
        <w:t>a</w:t>
      </w:r>
      <w:r>
        <w:t>bía que esta persona se encontraba en Tortuguitas.</w:t>
      </w:r>
    </w:p>
    <w:p w:rsidR="00224567" w:rsidRDefault="00224567">
      <w:pPr>
        <w:widowControl w:val="0"/>
        <w:ind w:firstLine="2835"/>
      </w:pPr>
      <w:r>
        <w:t>Manifestó que él no avisó la realiz</w:t>
      </w:r>
      <w:r>
        <w:t>a</w:t>
      </w:r>
      <w:r>
        <w:t>ción del procedimiento a la comisaría con juri</w:t>
      </w:r>
      <w:r>
        <w:t>s</w:t>
      </w:r>
      <w:r>
        <w:t>dicción en el lugar, y que no sabía si el subcomisario lo había h</w:t>
      </w:r>
      <w:r>
        <w:t>e</w:t>
      </w:r>
      <w:r>
        <w:t>cho.</w:t>
      </w:r>
    </w:p>
    <w:p w:rsidR="00224567" w:rsidRDefault="00224567">
      <w:pPr>
        <w:widowControl w:val="0"/>
        <w:ind w:firstLine="2835"/>
      </w:pPr>
      <w:r>
        <w:t>Expresó conocer acerca de un proced</w:t>
      </w:r>
      <w:r>
        <w:t>i</w:t>
      </w:r>
      <w:r>
        <w:t xml:space="preserve">miento realizado por </w:t>
      </w:r>
      <w:smartTag w:uri="urn:schemas-microsoft-com:office:smarttags" w:element="PersonName">
        <w:smartTagPr>
          <w:attr w:name="ProductID" w:val="la Brigada"/>
        </w:smartTagPr>
        <w:r>
          <w:t>la Brigada</w:t>
        </w:r>
      </w:smartTag>
      <w:r>
        <w:t xml:space="preserve"> de Lanús contra la misma persona, llevado a cabo el día 15 de marzo de 1994 en la localidad de Olivos.</w:t>
      </w:r>
    </w:p>
    <w:p w:rsidR="00224567" w:rsidRDefault="00224567">
      <w:pPr>
        <w:widowControl w:val="0"/>
        <w:ind w:firstLine="2835"/>
      </w:pPr>
      <w:r>
        <w:t>Agregó que cuando efectuaron el proc</w:t>
      </w:r>
      <w:r>
        <w:t>e</w:t>
      </w:r>
      <w:r>
        <w:t>dimiento de Tortuguitas, el subcomisario Ibarra comentó que la persona que iban a detener era pel</w:t>
      </w:r>
      <w:r>
        <w:t>i</w:t>
      </w:r>
      <w:r>
        <w:t>grosa, ya que se había fugado una vez en Olivos.</w:t>
      </w:r>
    </w:p>
    <w:p w:rsidR="00224567" w:rsidRDefault="00224567">
      <w:pPr>
        <w:widowControl w:val="0"/>
        <w:ind w:firstLine="2835"/>
      </w:pPr>
      <w:r>
        <w:t>Manifestó desconocer quiénes partic</w:t>
      </w:r>
      <w:r>
        <w:t>i</w:t>
      </w:r>
      <w:r>
        <w:t>paron en aquél proc</w:t>
      </w:r>
      <w:r>
        <w:t>e</w:t>
      </w:r>
      <w:r>
        <w:t>dimiento, además de Ibarra.</w:t>
      </w:r>
    </w:p>
    <w:p w:rsidR="00224567" w:rsidRDefault="00224567">
      <w:pPr>
        <w:widowControl w:val="0"/>
        <w:ind w:firstLine="2835"/>
      </w:pPr>
      <w:r>
        <w:t>Afirmó que en el procedimiento que realizó palparon de armas al detenido, revisaron el a</w:t>
      </w:r>
      <w:r>
        <w:t>u</w:t>
      </w:r>
      <w:r>
        <w:t>to, y no se secuestró ningún elemento il</w:t>
      </w:r>
      <w:r>
        <w:t>í</w:t>
      </w:r>
      <w:r>
        <w:t>cito.</w:t>
      </w:r>
    </w:p>
    <w:p w:rsidR="00224567" w:rsidRDefault="00224567">
      <w:pPr>
        <w:widowControl w:val="0"/>
        <w:ind w:firstLine="2835"/>
      </w:pPr>
      <w:r>
        <w:t>No recordó cuánto tiempo pasó en la brigada con posterioridad al traslado de los d</w:t>
      </w:r>
      <w:r>
        <w:t>e</w:t>
      </w:r>
      <w:r>
        <w:t>tenidos, ni si estaba presente Ribelli.</w:t>
      </w:r>
    </w:p>
    <w:p w:rsidR="00224567" w:rsidRDefault="00224567">
      <w:pPr>
        <w:widowControl w:val="0"/>
        <w:ind w:firstLine="2835"/>
      </w:pPr>
      <w:r>
        <w:t>Sostuvo que con Ibarra y Ribelli ma</w:t>
      </w:r>
      <w:r>
        <w:t>n</w:t>
      </w:r>
      <w:r>
        <w:t>tenía una relación estrictamente laboral.</w:t>
      </w:r>
    </w:p>
    <w:p w:rsidR="00224567" w:rsidRDefault="00224567">
      <w:pPr>
        <w:widowControl w:val="0"/>
        <w:ind w:firstLine="2835"/>
      </w:pPr>
      <w:r>
        <w:t>Negó haber estado en la brigada al m</w:t>
      </w:r>
      <w:r>
        <w:t>o</w:t>
      </w:r>
      <w:r>
        <w:t>mento en que “Teccedin” y la mujer quedaron en libertad, ya que sólo cumplió con la comisión que le fue encomend</w:t>
      </w:r>
      <w:r>
        <w:t>a</w:t>
      </w:r>
      <w:r>
        <w:t>da.</w:t>
      </w:r>
    </w:p>
    <w:p w:rsidR="00224567" w:rsidRDefault="00224567">
      <w:pPr>
        <w:widowControl w:val="0"/>
        <w:ind w:firstLine="2835"/>
      </w:pPr>
      <w:r>
        <w:t>No recordó el horario en que arrib</w:t>
      </w:r>
      <w:r>
        <w:t>a</w:t>
      </w:r>
      <w:r>
        <w:t xml:space="preserve">ron a </w:t>
      </w:r>
      <w:smartTag w:uri="urn:schemas-microsoft-com:office:smarttags" w:element="PersonName">
        <w:smartTagPr>
          <w:attr w:name="ProductID" w:val="la Brigada"/>
        </w:smartTagPr>
        <w:r>
          <w:t>la Brigada</w:t>
        </w:r>
      </w:smartTag>
      <w:r>
        <w:t xml:space="preserve"> de Lanús una vez llevado a cabo el proced</w:t>
      </w:r>
      <w:r>
        <w:t>i</w:t>
      </w:r>
      <w:r>
        <w:t>miento en Tortuguitas.</w:t>
      </w:r>
    </w:p>
    <w:p w:rsidR="00224567" w:rsidRDefault="00224567">
      <w:pPr>
        <w:widowControl w:val="0"/>
        <w:ind w:firstLine="2835"/>
      </w:pPr>
      <w:r>
        <w:t xml:space="preserve">No advirtió el 4 de abril de 1994, en </w:t>
      </w:r>
      <w:smartTag w:uri="urn:schemas-microsoft-com:office:smarttags" w:element="PersonName">
        <w:smartTagPr>
          <w:attr w:name="ProductID" w:val="la Brigada"/>
        </w:smartTagPr>
        <w:r>
          <w:t>la Brigada</w:t>
        </w:r>
      </w:smartTag>
      <w:r>
        <w:t xml:space="preserve"> de Lanús la presencia de familiares del deten</w:t>
      </w:r>
      <w:r>
        <w:t>i</w:t>
      </w:r>
      <w:r>
        <w:t>do “Teccedin”, ni de abogados, ni de un oficial jefe ret</w:t>
      </w:r>
      <w:r>
        <w:t>i</w:t>
      </w:r>
      <w:r>
        <w:t xml:space="preserve">rado de </w:t>
      </w:r>
      <w:smartTag w:uri="urn:schemas-microsoft-com:office:smarttags" w:element="PersonName">
        <w:smartTagPr>
          <w:attr w:name="ProductID" w:val="la Polic￭a Bonaerense."/>
        </w:smartTagPr>
        <w:r>
          <w:t>la Policía Bonaere</w:t>
        </w:r>
        <w:r>
          <w:t>n</w:t>
        </w:r>
        <w:r>
          <w:t>se.</w:t>
        </w:r>
      </w:smartTag>
    </w:p>
    <w:p w:rsidR="00224567" w:rsidRDefault="00224567">
      <w:pPr>
        <w:widowControl w:val="0"/>
        <w:ind w:firstLine="2835"/>
      </w:pPr>
      <w:r>
        <w:t>Manifestó desconocer si Telleldín, a cambio de su libertad, entregó el Renault 18 en el que circulaba, un Ford Falcon, una moto Kawasaki y dinero en efectivo.</w:t>
      </w:r>
    </w:p>
    <w:p w:rsidR="00224567" w:rsidRDefault="00224567">
      <w:pPr>
        <w:widowControl w:val="0"/>
        <w:ind w:firstLine="2835"/>
      </w:pPr>
      <w:r>
        <w:t>Dijo que Ribelli, como jefe de oper</w:t>
      </w:r>
      <w:r>
        <w:t>a</w:t>
      </w:r>
      <w:r>
        <w:t xml:space="preserve">ciones, era quien manejaba todos los grupos operativos existentes en </w:t>
      </w:r>
      <w:smartTag w:uri="urn:schemas-microsoft-com:office:smarttags" w:element="PersonName">
        <w:smartTagPr>
          <w:attr w:name="ProductID" w:val="la Brigada"/>
        </w:smartTagPr>
        <w:r>
          <w:t>la Brigada</w:t>
        </w:r>
      </w:smartTag>
      <w:r>
        <w:t xml:space="preserve"> de Investigaciones II de L</w:t>
      </w:r>
      <w:r>
        <w:t>a</w:t>
      </w:r>
      <w:r>
        <w:t>nús, y Burguete era el segundo jefe de la dependencia.</w:t>
      </w:r>
    </w:p>
    <w:p w:rsidR="00224567" w:rsidRDefault="00224567">
      <w:pPr>
        <w:widowControl w:val="0"/>
        <w:ind w:firstLine="2835"/>
      </w:pPr>
      <w:r>
        <w:t>Afirmó que en el procedimiento de To</w:t>
      </w:r>
      <w:r>
        <w:t>r</w:t>
      </w:r>
      <w:r>
        <w:t>tuguitas recibió ó</w:t>
      </w:r>
      <w:r>
        <w:t>r</w:t>
      </w:r>
      <w:r>
        <w:t>denes del subcomisario Ibarra y éste de Ribelli.</w:t>
      </w:r>
    </w:p>
    <w:p w:rsidR="00224567" w:rsidRDefault="00224567">
      <w:pPr>
        <w:widowControl w:val="0"/>
        <w:ind w:firstLine="2835"/>
      </w:pPr>
      <w:r>
        <w:t xml:space="preserve">Manifestó que a Leal lo conocía con anterioridad por haber trabajado en </w:t>
      </w:r>
      <w:smartTag w:uri="urn:schemas-microsoft-com:office:smarttags" w:element="PersonName">
        <w:smartTagPr>
          <w:attr w:name="ProductID" w:val="la Brigada"/>
        </w:smartTagPr>
        <w:r>
          <w:t>la Brigada</w:t>
        </w:r>
      </w:smartTag>
      <w:r>
        <w:t xml:space="preserve"> de Almira</w:t>
      </w:r>
      <w:r>
        <w:t>n</w:t>
      </w:r>
      <w:r>
        <w:t>te Brown, y aclaró que aunque no desempeñaron tareas ju</w:t>
      </w:r>
      <w:r>
        <w:t>n</w:t>
      </w:r>
      <w:r>
        <w:t>tos, laboraban en el mismo espacio físico. Agregó que esta persona tuvo un problema con un sumario y se tuvo que ir de la brigada.</w:t>
      </w:r>
    </w:p>
    <w:p w:rsidR="00224567" w:rsidRDefault="00224567">
      <w:pPr>
        <w:widowControl w:val="0"/>
        <w:ind w:firstLine="2835"/>
      </w:pPr>
      <w:r>
        <w:t xml:space="preserve">Expresó conocer a Araya, Arancibia, Huici, Bacigalupo y Cruz porque eran compañeros en </w:t>
      </w:r>
      <w:smartTag w:uri="urn:schemas-microsoft-com:office:smarttags" w:element="PersonName">
        <w:smartTagPr>
          <w:attr w:name="ProductID" w:val="la Brigada"/>
        </w:smartTagPr>
        <w:r>
          <w:t>la Br</w:t>
        </w:r>
        <w:r>
          <w:t>i</w:t>
        </w:r>
        <w:r>
          <w:t>gada</w:t>
        </w:r>
      </w:smartTag>
      <w:r>
        <w:t xml:space="preserve"> de Lanús, precisando que Araya pertenecía al grupo operativo a su cargo.</w:t>
      </w:r>
    </w:p>
    <w:p w:rsidR="00224567" w:rsidRDefault="00224567">
      <w:pPr>
        <w:widowControl w:val="0"/>
        <w:ind w:firstLine="2835"/>
      </w:pPr>
      <w:r>
        <w:t>Con respecto a Jorge Horacio Rago, A</w:t>
      </w:r>
      <w:r>
        <w:t>r</w:t>
      </w:r>
      <w:r>
        <w:t>gentino Gabriel Lasala, Manuel Enrique García, Eduardo T</w:t>
      </w:r>
      <w:r>
        <w:t>o</w:t>
      </w:r>
      <w:r>
        <w:t>ledo, Daniel Emilio Quinteros, Diego Enrique Barreda y M</w:t>
      </w:r>
      <w:r>
        <w:t>a</w:t>
      </w:r>
      <w:r>
        <w:t>rio Norberto Bareiro, dijo que no los conoció con anteri</w:t>
      </w:r>
      <w:r>
        <w:t>o</w:t>
      </w:r>
      <w:r>
        <w:t>ridad a la detención.</w:t>
      </w:r>
    </w:p>
    <w:p w:rsidR="00224567" w:rsidRDefault="00224567">
      <w:pPr>
        <w:widowControl w:val="0"/>
        <w:ind w:firstLine="2835"/>
      </w:pPr>
      <w:r>
        <w:t>Expuso que el grupo operativo cumplía funciones externas de prevención de delitos y que las i</w:t>
      </w:r>
      <w:r>
        <w:t>n</w:t>
      </w:r>
      <w:r>
        <w:t>formaciones eran canalizadas por el jefe de operaciones, quien daba cuenta a sus superiores inmediatos.</w:t>
      </w:r>
    </w:p>
    <w:p w:rsidR="00224567" w:rsidRDefault="00224567">
      <w:pPr>
        <w:widowControl w:val="0"/>
        <w:ind w:firstLine="2835"/>
      </w:pPr>
      <w:r>
        <w:t>Explicó que el jefe de brigada estaba al frente de la dependencia y el segundo jefe era el in</w:t>
      </w:r>
      <w:r>
        <w:t>s</w:t>
      </w:r>
      <w:r>
        <w:t>tructor de sumarios. Agregó que a éste último le llegaba la información por intermedio del jefe de operaciones y judiciales. Indicó que para la época del procedimiento de Tortuguitas ese jefe era el subcomisario Juan José Rib</w:t>
      </w:r>
      <w:r>
        <w:t>e</w:t>
      </w:r>
      <w:r>
        <w:t>lli.</w:t>
      </w:r>
    </w:p>
    <w:p w:rsidR="00224567" w:rsidRDefault="00224567">
      <w:pPr>
        <w:widowControl w:val="0"/>
        <w:ind w:firstLine="2835"/>
      </w:pPr>
      <w:r>
        <w:t>Afirmó que operacionalmente Ribelli manejaba la brigada.</w:t>
      </w:r>
    </w:p>
    <w:p w:rsidR="00224567" w:rsidRDefault="00224567">
      <w:pPr>
        <w:widowControl w:val="0"/>
        <w:ind w:firstLine="2835"/>
      </w:pPr>
      <w:r>
        <w:t>Relató que cuando se ingresaba algún detenido se comunicaba a la guardia y a la oficina de j</w:t>
      </w:r>
      <w:r>
        <w:t>u</w:t>
      </w:r>
      <w:r>
        <w:t>diciales, para luego determinar los m</w:t>
      </w:r>
      <w:r>
        <w:t>o</w:t>
      </w:r>
      <w:r>
        <w:t>tivos por los cuales se lo traía, esto es, si pesaba sobre ellos alguna orden de detención.</w:t>
      </w:r>
    </w:p>
    <w:p w:rsidR="00224567" w:rsidRDefault="00224567">
      <w:pPr>
        <w:widowControl w:val="0"/>
        <w:ind w:firstLine="2835"/>
      </w:pPr>
      <w:r>
        <w:t>Sostuvo que generalmente el e</w:t>
      </w:r>
      <w:r>
        <w:t>n</w:t>
      </w:r>
      <w:r>
        <w:t>cargado de ingresarlo era el jefe del grupo operat</w:t>
      </w:r>
      <w:r>
        <w:t>i</w:t>
      </w:r>
      <w:r>
        <w:t>vo, quien para la detención de Telleldín y Petrucci, era el su</w:t>
      </w:r>
      <w:r>
        <w:t>b</w:t>
      </w:r>
      <w:r>
        <w:t>comisario Ibarra.</w:t>
      </w:r>
    </w:p>
    <w:p w:rsidR="00224567" w:rsidRDefault="00224567">
      <w:pPr>
        <w:widowControl w:val="0"/>
        <w:ind w:firstLine="2835"/>
      </w:pPr>
      <w:r>
        <w:t>Señaló que poseía el teléfono c</w:t>
      </w:r>
      <w:r>
        <w:t>e</w:t>
      </w:r>
      <w:r>
        <w:t>lular nº 412-2589.</w:t>
      </w:r>
    </w:p>
    <w:p w:rsidR="00224567" w:rsidRDefault="00224567">
      <w:pPr>
        <w:widowControl w:val="0"/>
        <w:ind w:firstLine="2835"/>
      </w:pPr>
      <w:r>
        <w:t xml:space="preserve">Indicó que ganaba aproximadamente $ 850 trabajando para </w:t>
      </w:r>
      <w:smartTag w:uri="urn:schemas-microsoft-com:office:smarttags" w:element="PersonName">
        <w:smartTagPr>
          <w:attr w:name="ProductID" w:val="la Polic￭a Bonaerense."/>
        </w:smartTagPr>
        <w:r>
          <w:t>la Policía Bonaerense.</w:t>
        </w:r>
      </w:smartTag>
    </w:p>
    <w:p w:rsidR="00224567" w:rsidRDefault="00224567">
      <w:pPr>
        <w:widowControl w:val="0"/>
        <w:ind w:firstLine="2835"/>
      </w:pPr>
      <w:r>
        <w:t>Preguntado acerca de si tenía otras fuentes de ingreso, contestó que hacía tres meses trabaj</w:t>
      </w:r>
      <w:r>
        <w:t>a</w:t>
      </w:r>
      <w:r>
        <w:t xml:space="preserve">ba como supervisor de verificadores de automotores para el Registro de </w:t>
      </w:r>
      <w:smartTag w:uri="urn:schemas-microsoft-com:office:smarttags" w:element="PersonName">
        <w:smartTagPr>
          <w:attr w:name="ProductID" w:val="la Propiedad"/>
        </w:smartTagPr>
        <w:r>
          <w:t>la Propiedad</w:t>
        </w:r>
      </w:smartTag>
      <w:r>
        <w:t xml:space="preserve"> del A</w:t>
      </w:r>
      <w:r>
        <w:t>u</w:t>
      </w:r>
      <w:r>
        <w:t>tomotor, donde percibía un sueldo mensual de $ 920, aproximadamente.</w:t>
      </w:r>
    </w:p>
    <w:p w:rsidR="00224567" w:rsidRDefault="00224567">
      <w:pPr>
        <w:widowControl w:val="0"/>
        <w:ind w:firstLine="2835"/>
      </w:pPr>
      <w:r>
        <w:t>Agregó que su padre y su suegra lo ayudaban económicame</w:t>
      </w:r>
      <w:r>
        <w:t>n</w:t>
      </w:r>
      <w:r>
        <w:t>te.</w:t>
      </w:r>
    </w:p>
    <w:p w:rsidR="00224567" w:rsidRDefault="00224567">
      <w:pPr>
        <w:widowControl w:val="0"/>
        <w:ind w:firstLine="2835"/>
      </w:pPr>
      <w:r>
        <w:t xml:space="preserve">Refirió que con Juan José Ribelli y Raúl Edilio Ibarra compartió, además de </w:t>
      </w:r>
      <w:smartTag w:uri="urn:schemas-microsoft-com:office:smarttags" w:element="PersonName">
        <w:smartTagPr>
          <w:attr w:name="ProductID" w:val="la Brigada"/>
        </w:smartTagPr>
        <w:r>
          <w:t>la Brigada</w:t>
        </w:r>
      </w:smartTag>
      <w:r>
        <w:t xml:space="preserve"> de L</w:t>
      </w:r>
      <w:r>
        <w:t>a</w:t>
      </w:r>
      <w:r>
        <w:t xml:space="preserve">nús, destinos en </w:t>
      </w:r>
      <w:smartTag w:uri="urn:schemas-microsoft-com:office:smarttags" w:element="PersonName">
        <w:smartTagPr>
          <w:attr w:name="ProductID" w:val="la Brigada"/>
        </w:smartTagPr>
        <w:r>
          <w:t>la Brigada</w:t>
        </w:r>
      </w:smartTag>
      <w:r>
        <w:t xml:space="preserve"> de Quilmes y en </w:t>
      </w:r>
      <w:smartTag w:uri="urn:schemas-microsoft-com:office:smarttags" w:element="PersonName">
        <w:smartTagPr>
          <w:attr w:name="ProductID" w:val="la Divisi￳n Sustracci￳n"/>
        </w:smartTagPr>
        <w:r>
          <w:t>la División Sustracción</w:t>
        </w:r>
      </w:smartTag>
      <w:r>
        <w:t xml:space="preserve"> de Automotores de Vicente López, donde se  desempeñaba al momento de la declar</w:t>
      </w:r>
      <w:r>
        <w:t>a</w:t>
      </w:r>
      <w:r>
        <w:t>ción.</w:t>
      </w:r>
    </w:p>
    <w:p w:rsidR="00224567" w:rsidRDefault="00224567">
      <w:pPr>
        <w:widowControl w:val="0"/>
        <w:ind w:firstLine="2835"/>
      </w:pPr>
      <w:r>
        <w:t>Señaló que Ribelli lo pidió sol</w:t>
      </w:r>
      <w:r>
        <w:t>a</w:t>
      </w:r>
      <w:r>
        <w:t xml:space="preserve">mente para trabajar en </w:t>
      </w:r>
      <w:smartTag w:uri="urn:schemas-microsoft-com:office:smarttags" w:element="PersonName">
        <w:smartTagPr>
          <w:attr w:name="ProductID" w:val="la Divisi￳n Sustracci￳n"/>
        </w:smartTagPr>
        <w:r>
          <w:t>la División Sustracción</w:t>
        </w:r>
      </w:smartTag>
      <w:r>
        <w:t xml:space="preserve"> de Automotores de Vicente López, no así en </w:t>
      </w:r>
      <w:smartTag w:uri="urn:schemas-microsoft-com:office:smarttags" w:element="PersonName">
        <w:smartTagPr>
          <w:attr w:name="ProductID" w:val="la Brigada"/>
        </w:smartTagPr>
        <w:r>
          <w:t>la Brigada</w:t>
        </w:r>
      </w:smartTag>
      <w:r>
        <w:t xml:space="preserve"> de Quilmes. Añ</w:t>
      </w:r>
      <w:r>
        <w:t>a</w:t>
      </w:r>
      <w:r>
        <w:t xml:space="preserve">dió que tal proceder era común en </w:t>
      </w:r>
      <w:smartTag w:uri="urn:schemas-microsoft-com:office:smarttags" w:element="PersonName">
        <w:smartTagPr>
          <w:attr w:name="ProductID" w:val="la Polic￭a Bonaerense."/>
        </w:smartTagPr>
        <w:r>
          <w:t>la Policía Bonaere</w:t>
        </w:r>
        <w:r>
          <w:t>n</w:t>
        </w:r>
        <w:r>
          <w:t>se.</w:t>
        </w:r>
      </w:smartTag>
    </w:p>
    <w:p w:rsidR="00224567" w:rsidRDefault="00224567">
      <w:pPr>
        <w:widowControl w:val="0"/>
        <w:ind w:firstLine="2835"/>
      </w:pPr>
      <w:r>
        <w:t>Preguntado acerca de si participó de modo alguno para obtener en forma ilegal la camioneta Tr</w:t>
      </w:r>
      <w:r>
        <w:t>a</w:t>
      </w:r>
      <w:r>
        <w:t>fic, que fuera utilizada como cochebomba en el ate</w:t>
      </w:r>
      <w:r>
        <w:t>n</w:t>
      </w:r>
      <w:r>
        <w:t xml:space="preserve">tado a la sede de </w:t>
      </w:r>
      <w:smartTag w:uri="urn:schemas-microsoft-com:office:smarttags" w:element="PersonName">
        <w:smartTagPr>
          <w:attr w:name="ProductID" w:val="la A.M"/>
        </w:smartTagPr>
        <w:r>
          <w:t>la A.M</w:t>
        </w:r>
      </w:smartTag>
      <w:r>
        <w:t>.I.A., y específicamente si ejerció pr</w:t>
      </w:r>
      <w:r>
        <w:t>e</w:t>
      </w:r>
      <w:r>
        <w:t>siones sobre Carlos Alberto Telleldín, para que la entr</w:t>
      </w:r>
      <w:r>
        <w:t>e</w:t>
      </w:r>
      <w:r>
        <w:t>gara en el domicilio de la calle República 107 de Villa Ballester, el 10 de julio de 1994, respo</w:t>
      </w:r>
      <w:r>
        <w:t>n</w:t>
      </w:r>
      <w:r>
        <w:t>dió que no.</w:t>
      </w:r>
    </w:p>
    <w:p w:rsidR="00224567" w:rsidRDefault="00224567">
      <w:pPr>
        <w:widowControl w:val="0"/>
        <w:ind w:firstLine="2835"/>
      </w:pPr>
      <w:r>
        <w:t xml:space="preserve">También negó haber colaborado con </w:t>
      </w:r>
      <w:smartTag w:uri="urn:schemas-microsoft-com:office:smarttags" w:element="PersonName">
        <w:smartTagPr>
          <w:attr w:name="ProductID" w:val="la Brigada"/>
        </w:smartTagPr>
        <w:r>
          <w:t>la Brigada</w:t>
        </w:r>
      </w:smartTag>
      <w:r>
        <w:t xml:space="preserve"> de Investigaciones de Lanús con el fin de privar ilegítimamente de la libertad a personas, a efectos de o</w:t>
      </w:r>
      <w:r>
        <w:t>b</w:t>
      </w:r>
      <w:r>
        <w:t>tener una suma de dinero o bienes a cambio de sus libert</w:t>
      </w:r>
      <w:r>
        <w:t>a</w:t>
      </w:r>
      <w:r>
        <w:t>des, y específicamente con respecto a Carlos Alberto T</w:t>
      </w:r>
      <w:r>
        <w:t>e</w:t>
      </w:r>
      <w:r>
        <w:t>lleldín.</w:t>
      </w:r>
    </w:p>
    <w:p w:rsidR="00224567" w:rsidRDefault="00224567">
      <w:pPr>
        <w:widowControl w:val="0"/>
        <w:ind w:firstLine="2835"/>
      </w:pPr>
      <w:r>
        <w:t>Del mismo modo, negó haber particip</w:t>
      </w:r>
      <w:r>
        <w:t>a</w:t>
      </w:r>
      <w:r>
        <w:t xml:space="preserve">do con </w:t>
      </w:r>
      <w:smartTag w:uri="urn:schemas-microsoft-com:office:smarttags" w:element="PersonName">
        <w:smartTagPr>
          <w:attr w:name="ProductID" w:val="la Brigada"/>
        </w:smartTagPr>
        <w:r>
          <w:t>la Brigada</w:t>
        </w:r>
      </w:smartTag>
      <w:r>
        <w:t xml:space="preserve"> de Investigaciones de Vicente López, para detener ilegalmente a Carlos Alberto Telleldín, con el propósito de obtener una suma de d</w:t>
      </w:r>
      <w:r>
        <w:t>i</w:t>
      </w:r>
      <w:r>
        <w:t>nero o bienes a cambio de su libertad.</w:t>
      </w:r>
    </w:p>
    <w:p w:rsidR="00224567" w:rsidRDefault="00224567">
      <w:pPr>
        <w:widowControl w:val="0"/>
        <w:ind w:firstLine="2835"/>
      </w:pPr>
      <w:r>
        <w:t xml:space="preserve">Preguntado acerca de si participó de algún modo en el atentado a la sede de </w:t>
      </w:r>
      <w:smartTag w:uri="urn:schemas-microsoft-com:office:smarttags" w:element="PersonName">
        <w:smartTagPr>
          <w:attr w:name="ProductID" w:val="la A.M"/>
        </w:smartTagPr>
        <w:r>
          <w:t>la A.M</w:t>
        </w:r>
      </w:smartTag>
      <w:r>
        <w:t>.I.A., re</w:t>
      </w:r>
      <w:r>
        <w:t>s</w:t>
      </w:r>
      <w:r>
        <w:t>pondió que no.</w:t>
      </w:r>
    </w:p>
    <w:p w:rsidR="00224567" w:rsidRDefault="00224567">
      <w:pPr>
        <w:widowControl w:val="0"/>
        <w:ind w:firstLine="2835"/>
      </w:pPr>
      <w:r>
        <w:t>Señaló que la jurisdicción de una Br</w:t>
      </w:r>
      <w:r>
        <w:t>i</w:t>
      </w:r>
      <w:r>
        <w:t>gada de Investig</w:t>
      </w:r>
      <w:r>
        <w:t>a</w:t>
      </w:r>
      <w:r>
        <w:t xml:space="preserve">ciones en </w:t>
      </w:r>
      <w:smartTag w:uri="urn:schemas-microsoft-com:office:smarttags" w:element="PersonName">
        <w:smartTagPr>
          <w:attr w:name="ProductID" w:val="la Polic￭a Bonaerense"/>
        </w:smartTagPr>
        <w:r>
          <w:t>la Policía Bonaerense</w:t>
        </w:r>
      </w:smartTag>
      <w:r>
        <w:t xml:space="preserve"> abarcaba toda la provincia.</w:t>
      </w:r>
    </w:p>
    <w:p w:rsidR="00224567" w:rsidRDefault="00224567">
      <w:pPr>
        <w:widowControl w:val="0"/>
        <w:ind w:firstLine="2835"/>
      </w:pPr>
      <w:r>
        <w:t>Manifestó que no era habitual que una brigada comunique a la comisaría del lugar los proced</w:t>
      </w:r>
      <w:r>
        <w:t>i</w:t>
      </w:r>
      <w:r>
        <w:t>mientos a realizar.</w:t>
      </w:r>
    </w:p>
    <w:p w:rsidR="00224567" w:rsidRDefault="00224567">
      <w:pPr>
        <w:widowControl w:val="0"/>
        <w:ind w:firstLine="2835"/>
      </w:pPr>
      <w:r>
        <w:t>Afirmó que la función del jefe de op</w:t>
      </w:r>
      <w:r>
        <w:t>e</w:t>
      </w:r>
      <w:r>
        <w:t>raciones en cualquier brigada era manejar los grupos op</w:t>
      </w:r>
      <w:r>
        <w:t>e</w:t>
      </w:r>
      <w:r>
        <w:t>rativos, y que la oficina de judiciales no dependía de aquél.</w:t>
      </w:r>
    </w:p>
    <w:p w:rsidR="00224567" w:rsidRDefault="00224567">
      <w:pPr>
        <w:widowControl w:val="0"/>
        <w:ind w:firstLine="2835"/>
      </w:pPr>
      <w:r>
        <w:t>Sostuvo que en la brigada siempre se dirigía a su jefe inmediato, el subcomisario Ribelli, no pudiendo desconocer su autoridad.</w:t>
      </w:r>
    </w:p>
    <w:p w:rsidR="00224567" w:rsidRDefault="00224567">
      <w:pPr>
        <w:widowControl w:val="0"/>
        <w:ind w:firstLine="2835"/>
      </w:pPr>
      <w:r>
        <w:t>Negó haber participado de otras dil</w:t>
      </w:r>
      <w:r>
        <w:t>i</w:t>
      </w:r>
      <w:r>
        <w:t>gencias referidas a Carlos Alberto Telleldín además del procedimiento de Tortuguitas.</w:t>
      </w:r>
    </w:p>
    <w:p w:rsidR="00224567" w:rsidRDefault="00224567">
      <w:pPr>
        <w:widowControl w:val="0"/>
        <w:ind w:firstLine="2835"/>
      </w:pPr>
      <w:r>
        <w:t>No recordó cuál era el rodado que p</w:t>
      </w:r>
      <w:r>
        <w:t>a</w:t>
      </w:r>
      <w:r>
        <w:t>ra la primera mitad del año 1994 utilizaba el subcomisario Ibarra.</w:t>
      </w:r>
    </w:p>
    <w:p w:rsidR="00224567" w:rsidRDefault="00224567">
      <w:pPr>
        <w:widowControl w:val="0"/>
        <w:ind w:firstLine="2835"/>
      </w:pPr>
      <w:r>
        <w:t>Creyó no haber prestado su automóvil Volkswagen Gacel a otros integrantes de la brigada para realizar alguna investigación.</w:t>
      </w:r>
    </w:p>
    <w:p w:rsidR="00224567" w:rsidRDefault="00224567">
      <w:pPr>
        <w:widowControl w:val="0"/>
        <w:ind w:firstLine="2835"/>
      </w:pPr>
      <w:r>
        <w:t>Desconoció que el suboficial Cruz fu</w:t>
      </w:r>
      <w:r>
        <w:t>e</w:t>
      </w:r>
      <w:r>
        <w:t>ra propietario de algún automóvil.</w:t>
      </w:r>
    </w:p>
    <w:p w:rsidR="00224567" w:rsidRDefault="00224567">
      <w:pPr>
        <w:widowControl w:val="0"/>
        <w:ind w:firstLine="2835"/>
      </w:pPr>
      <w:r>
        <w:t xml:space="preserve">En su indagatoria del 2 de abril de 1997 (fs. 42.006/42.008), Albarracín sostuvo que en el año 1980 se recibió de oficial ayudante, cursó sus estudios por el término de dos años en </w:t>
      </w:r>
      <w:smartTag w:uri="urn:schemas-microsoft-com:office:smarttags" w:element="PersonName">
        <w:smartTagPr>
          <w:attr w:name="ProductID" w:val="la Escuela"/>
        </w:smartTagPr>
        <w:r>
          <w:t>la Escuela</w:t>
        </w:r>
      </w:smartTag>
      <w:r>
        <w:t xml:space="preserve"> de P</w:t>
      </w:r>
      <w:r>
        <w:t>o</w:t>
      </w:r>
      <w:r>
        <w:t xml:space="preserve">licía “Juan Vucetich”, y su primer destino fue </w:t>
      </w:r>
      <w:smartTag w:uri="urn:schemas-microsoft-com:office:smarttags" w:element="PersonName">
        <w:smartTagPr>
          <w:attr w:name="ProductID" w:val="la Comisar￭a"/>
        </w:smartTagPr>
        <w:r>
          <w:t>la Comisaría</w:t>
        </w:r>
      </w:smartTag>
      <w:r>
        <w:t xml:space="preserve"> de Cañu</w:t>
      </w:r>
      <w:r>
        <w:t>e</w:t>
      </w:r>
      <w:r>
        <w:t>las.</w:t>
      </w:r>
    </w:p>
    <w:p w:rsidR="00224567" w:rsidRDefault="00224567">
      <w:pPr>
        <w:widowControl w:val="0"/>
        <w:ind w:firstLine="2835"/>
      </w:pPr>
      <w:r>
        <w:t xml:space="preserve">Posteriormente, fue trasladado a </w:t>
      </w:r>
      <w:smartTag w:uri="urn:schemas-microsoft-com:office:smarttags" w:element="PersonName">
        <w:smartTagPr>
          <w:attr w:name="ProductID" w:val="la Comisar￭a"/>
        </w:smartTagPr>
        <w:r>
          <w:t>la Comisaría</w:t>
        </w:r>
      </w:smartTag>
      <w:r>
        <w:t xml:space="preserve"> de Adrogué, de allí a </w:t>
      </w:r>
      <w:smartTag w:uri="urn:schemas-microsoft-com:office:smarttags" w:element="PersonName">
        <w:smartTagPr>
          <w:attr w:name="ProductID" w:val="la Comisar￭a"/>
        </w:smartTagPr>
        <w:r>
          <w:t>la Comisaría</w:t>
        </w:r>
      </w:smartTag>
      <w:r>
        <w:t xml:space="preserve"> de Clayp</w:t>
      </w:r>
      <w:r>
        <w:t>o</w:t>
      </w:r>
      <w:r>
        <w:t>le, donde estuvo aproximadamente seis años. Luego fue destin</w:t>
      </w:r>
      <w:r>
        <w:t>a</w:t>
      </w:r>
      <w:r>
        <w:t xml:space="preserve">do a </w:t>
      </w:r>
      <w:smartTag w:uri="urn:schemas-microsoft-com:office:smarttags" w:element="PersonName">
        <w:smartTagPr>
          <w:attr w:name="ProductID" w:val="la Unidad Regional"/>
        </w:smartTagPr>
        <w:r>
          <w:t>la Unidad Regional</w:t>
        </w:r>
      </w:smartTag>
      <w:r>
        <w:t xml:space="preserve"> de Almira</w:t>
      </w:r>
      <w:r>
        <w:t>n</w:t>
      </w:r>
      <w:r>
        <w:t>te Brown.</w:t>
      </w:r>
    </w:p>
    <w:p w:rsidR="00224567" w:rsidRDefault="00224567">
      <w:pPr>
        <w:widowControl w:val="0"/>
        <w:ind w:firstLine="2835"/>
      </w:pPr>
      <w:r>
        <w:t xml:space="preserve">En el año 1990 fue trasladado a </w:t>
      </w:r>
      <w:smartTag w:uri="urn:schemas-microsoft-com:office:smarttags" w:element="PersonName">
        <w:smartTagPr>
          <w:attr w:name="ProductID" w:val="la Brigada"/>
        </w:smartTagPr>
        <w:r>
          <w:t>la Brigada</w:t>
        </w:r>
      </w:smartTag>
      <w:r>
        <w:t xml:space="preserve"> de Investigaciones de Quilmes y su jefe fue el c</w:t>
      </w:r>
      <w:r>
        <w:t>o</w:t>
      </w:r>
      <w:r>
        <w:t xml:space="preserve">misario Arias. En 1991, en </w:t>
      </w:r>
      <w:smartTag w:uri="urn:schemas-microsoft-com:office:smarttags" w:element="PersonName">
        <w:smartTagPr>
          <w:attr w:name="ProductID" w:val="la Brigada"/>
        </w:smartTagPr>
        <w:r>
          <w:t>la Brigada</w:t>
        </w:r>
      </w:smartTag>
      <w:r>
        <w:t xml:space="preserve"> de Lanús, su jefe era el comisario inspector Kusman. A fines de ese año fue derivado a </w:t>
      </w:r>
      <w:smartTag w:uri="urn:schemas-microsoft-com:office:smarttags" w:element="PersonName">
        <w:smartTagPr>
          <w:attr w:name="ProductID" w:val="la Brigada"/>
        </w:smartTagPr>
        <w:r>
          <w:t>la Brigada</w:t>
        </w:r>
      </w:smartTag>
      <w:r>
        <w:t xml:space="preserve"> de Investigaciones de Almirante Brown, a cargo del comisario inspector Pall</w:t>
      </w:r>
      <w:r>
        <w:t>e</w:t>
      </w:r>
      <w:r>
        <w:t>ros.</w:t>
      </w:r>
    </w:p>
    <w:p w:rsidR="00224567" w:rsidRDefault="00224567">
      <w:pPr>
        <w:widowControl w:val="0"/>
        <w:ind w:firstLine="2835"/>
      </w:pPr>
      <w:r>
        <w:t xml:space="preserve">Allí permaneció hasta marzo de 1994 y el 15 de ese mes fue trasladado a </w:t>
      </w:r>
      <w:smartTag w:uri="urn:schemas-microsoft-com:office:smarttags" w:element="PersonName">
        <w:smartTagPr>
          <w:attr w:name="ProductID" w:val="la Brigada"/>
        </w:smartTagPr>
        <w:r>
          <w:t>la Brigada</w:t>
        </w:r>
      </w:smartTag>
      <w:r>
        <w:t xml:space="preserve"> de Investig</w:t>
      </w:r>
      <w:r>
        <w:t>a</w:t>
      </w:r>
      <w:r>
        <w:t>ciones de Lanús, donde tomó posesión el 17 de ma</w:t>
      </w:r>
      <w:r>
        <w:t>r</w:t>
      </w:r>
      <w:r>
        <w:t>zo.</w:t>
      </w:r>
    </w:p>
    <w:p w:rsidR="00224567" w:rsidRDefault="00224567">
      <w:pPr>
        <w:widowControl w:val="0"/>
        <w:ind w:firstLine="2835"/>
      </w:pPr>
      <w:r>
        <w:t xml:space="preserve">De </w:t>
      </w:r>
      <w:smartTag w:uri="urn:schemas-microsoft-com:office:smarttags" w:element="PersonName">
        <w:smartTagPr>
          <w:attr w:name="ProductID" w:val="la Brigada"/>
        </w:smartTagPr>
        <w:r>
          <w:t>la Brigada</w:t>
        </w:r>
      </w:smartTag>
      <w:r>
        <w:t xml:space="preserve"> de Almirante Brown pasó junto con el oficial Araya y los suboficiales Castro y P</w:t>
      </w:r>
      <w:r>
        <w:t>e</w:t>
      </w:r>
      <w:r>
        <w:t xml:space="preserve">ralta a </w:t>
      </w:r>
      <w:smartTag w:uri="urn:schemas-microsoft-com:office:smarttags" w:element="PersonName">
        <w:smartTagPr>
          <w:attr w:name="ProductID" w:val="la Brigada"/>
        </w:smartTagPr>
        <w:r>
          <w:t>la Brigada</w:t>
        </w:r>
      </w:smartTag>
      <w:r>
        <w:t xml:space="preserve"> de Lanús. Los nombrados –a exce</w:t>
      </w:r>
      <w:r>
        <w:t>p</w:t>
      </w:r>
      <w:r>
        <w:t>ción de Peralta- formaron un grupo operativo del que el dicente era el jefe.</w:t>
      </w:r>
    </w:p>
    <w:p w:rsidR="00224567" w:rsidRDefault="00224567">
      <w:pPr>
        <w:widowControl w:val="0"/>
        <w:ind w:firstLine="2835"/>
      </w:pPr>
      <w:r>
        <w:t>Agregó que en un principio no tenía mucho trabajo y que se reunían en un bar lindero a la br</w:t>
      </w:r>
      <w:r>
        <w:t>i</w:t>
      </w:r>
      <w:r>
        <w:t>gada.</w:t>
      </w:r>
    </w:p>
    <w:p w:rsidR="00224567" w:rsidRDefault="00224567">
      <w:pPr>
        <w:widowControl w:val="0"/>
        <w:ind w:firstLine="2835"/>
      </w:pPr>
      <w:r>
        <w:t>Respecto al procedimiento efe</w:t>
      </w:r>
      <w:r>
        <w:t>c</w:t>
      </w:r>
      <w:r>
        <w:t>tuado el 4 de abril de 1994, recordó que se hizo presente el subc</w:t>
      </w:r>
      <w:r>
        <w:t>o</w:t>
      </w:r>
      <w:r>
        <w:t>misario Ibarra en el mencionado bar y le ordenó que lo acompañara a la localidad de Tortuguitas, para realizar una detención por una causa.</w:t>
      </w:r>
    </w:p>
    <w:p w:rsidR="00224567" w:rsidRDefault="00224567">
      <w:pPr>
        <w:widowControl w:val="0"/>
        <w:ind w:firstLine="2835"/>
      </w:pPr>
      <w:r>
        <w:t>Según los dichos de Ibarra, la orden en cuestión fue em</w:t>
      </w:r>
      <w:r>
        <w:t>a</w:t>
      </w:r>
      <w:r>
        <w:t>nada de la superioridad, por lo cual se limitó a cumplirla sin más. A su vez, le indicó a su grupo operativo que lo acompañara.</w:t>
      </w:r>
    </w:p>
    <w:p w:rsidR="00224567" w:rsidRDefault="00224567">
      <w:pPr>
        <w:widowControl w:val="0"/>
        <w:ind w:firstLine="2835"/>
      </w:pPr>
      <w:r>
        <w:t>Al llegar a la brigada, luego de ser detenidos “Teccedin” y Petrucci, descendieron al aprehe</w:t>
      </w:r>
      <w:r>
        <w:t>n</w:t>
      </w:r>
      <w:r>
        <w:t>dido, ingresaron a la guardia y fue entregado a Ibarra, quien estaba a cargo del grupo operativo.</w:t>
      </w:r>
    </w:p>
    <w:p w:rsidR="00224567" w:rsidRDefault="00224567">
      <w:pPr>
        <w:widowControl w:val="0"/>
        <w:ind w:firstLine="2835"/>
      </w:pPr>
      <w:r>
        <w:t>Dijo que permaneció afuera de la br</w:t>
      </w:r>
      <w:r>
        <w:t>i</w:t>
      </w:r>
      <w:r>
        <w:t>gada porque no era su trabajo, reiterando que no hizo t</w:t>
      </w:r>
      <w:r>
        <w:t>a</w:t>
      </w:r>
      <w:r>
        <w:t>reas de inteligencia. Señaló que su accionar se limitó a acompañar, individualizar –conforme las indicaciones del subcomisario Ibarra-, detener y trasladar al aprehendido a la dependencia.</w:t>
      </w:r>
    </w:p>
    <w:p w:rsidR="00224567" w:rsidRDefault="00224567">
      <w:pPr>
        <w:widowControl w:val="0"/>
        <w:ind w:firstLine="2835"/>
      </w:pPr>
      <w:r>
        <w:t>Relató que luego se confeccionó un a</w:t>
      </w:r>
      <w:r>
        <w:t>c</w:t>
      </w:r>
      <w:r>
        <w:t>ta y fue llamado junto con Araya a firmarla. No le llamó la atención el contenido de la misma ya que era complet</w:t>
      </w:r>
      <w:r>
        <w:t>a</w:t>
      </w:r>
      <w:r>
        <w:t>mente veraz. Después de estampar su r</w:t>
      </w:r>
      <w:r>
        <w:t>ú</w:t>
      </w:r>
      <w:r>
        <w:t>brica, se retiró con Araya en su auto.</w:t>
      </w:r>
    </w:p>
    <w:p w:rsidR="00224567" w:rsidRDefault="00224567">
      <w:pPr>
        <w:widowControl w:val="0"/>
        <w:ind w:firstLine="2835"/>
      </w:pPr>
      <w:r>
        <w:t>Señaló que no era ni fue hombre de confianza de Ribelli y tampoco de Ibarra, al que conoció en forma circunstancial en ese destino.</w:t>
      </w:r>
    </w:p>
    <w:p w:rsidR="00224567" w:rsidRDefault="00224567">
      <w:pPr>
        <w:widowControl w:val="0"/>
        <w:ind w:firstLine="2835"/>
      </w:pPr>
      <w:r>
        <w:t xml:space="preserve">Hizo saber que permaneció en </w:t>
      </w:r>
      <w:smartTag w:uri="urn:schemas-microsoft-com:office:smarttags" w:element="PersonName">
        <w:smartTagPr>
          <w:attr w:name="ProductID" w:val="la Brigada"/>
        </w:smartTagPr>
        <w:r>
          <w:t>la Brig</w:t>
        </w:r>
        <w:r>
          <w:t>a</w:t>
        </w:r>
        <w:r>
          <w:t>da</w:t>
        </w:r>
      </w:smartTag>
      <w:r>
        <w:t xml:space="preserve"> de Lanús por el término de cinco meses; posterio</w:t>
      </w:r>
      <w:r>
        <w:t>r</w:t>
      </w:r>
      <w:r>
        <w:t xml:space="preserve">mente fue trasladado a </w:t>
      </w:r>
      <w:smartTag w:uri="urn:schemas-microsoft-com:office:smarttags" w:element="PersonName">
        <w:smartTagPr>
          <w:attr w:name="ProductID" w:val="la Comisar￭a"/>
        </w:smartTagPr>
        <w:r>
          <w:t>la Comisaría</w:t>
        </w:r>
      </w:smartTag>
      <w:r>
        <w:t xml:space="preserve"> de Monte Grande,  donde  desempeñó tareas internas.</w:t>
      </w:r>
    </w:p>
    <w:p w:rsidR="00224567" w:rsidRDefault="00224567">
      <w:pPr>
        <w:widowControl w:val="0"/>
        <w:ind w:firstLine="2835"/>
      </w:pPr>
      <w:r>
        <w:t>Por otra parte, aclaró que tanto el “Movicom” como el radio-mensaje que tenía para esa ép</w:t>
      </w:r>
      <w:r>
        <w:t>o</w:t>
      </w:r>
      <w:r>
        <w:t>ca, eran de su exclusiva propiedad. Precisó que compró el c</w:t>
      </w:r>
      <w:r>
        <w:t>e</w:t>
      </w:r>
      <w:r>
        <w:t>lular en 1992 y luego el radiomensaje, del que no pudo precisar la fecha de adquis</w:t>
      </w:r>
      <w:r>
        <w:t>i</w:t>
      </w:r>
      <w:r>
        <w:t>ción.</w:t>
      </w:r>
    </w:p>
    <w:p w:rsidR="00224567" w:rsidRDefault="00224567">
      <w:pPr>
        <w:widowControl w:val="0"/>
        <w:ind w:firstLine="2835"/>
      </w:pPr>
      <w:r>
        <w:t>Agregó que nunca tuvo acceso a la ca</w:t>
      </w:r>
      <w:r>
        <w:t>u</w:t>
      </w:r>
      <w:r>
        <w:t>sa en la cual se ordenaba la detención de “Teccedin”, ya que tomó conocimiento de la misma una vez d</w:t>
      </w:r>
      <w:r>
        <w:t>e</w:t>
      </w:r>
      <w:r>
        <w:t>tenido.</w:t>
      </w:r>
    </w:p>
    <w:p w:rsidR="00224567" w:rsidRDefault="00224567">
      <w:pPr>
        <w:widowControl w:val="0"/>
        <w:ind w:firstLine="2835"/>
      </w:pPr>
      <w:r>
        <w:t>Por último, manifestó que tampoco fue citado por las personas que instruían el sumario admini</w:t>
      </w:r>
      <w:r>
        <w:t>s</w:t>
      </w:r>
      <w:r>
        <w:t>trativo, por lo que desconocía lo que se estaba instruye</w:t>
      </w:r>
      <w:r>
        <w:t>n</w:t>
      </w:r>
      <w:r>
        <w:t>do.</w:t>
      </w:r>
    </w:p>
    <w:p w:rsidR="00224567" w:rsidRDefault="00224567">
      <w:pPr>
        <w:widowControl w:val="0"/>
      </w:pPr>
    </w:p>
    <w:p w:rsidR="00224567" w:rsidRDefault="00224567">
      <w:pPr>
        <w:pStyle w:val="Ttulo3"/>
        <w:keepNext w:val="0"/>
        <w:widowControl w:val="0"/>
      </w:pPr>
      <w:r>
        <w:t>N) Declaración indagatoria de José Miguel Arancibia.</w:t>
      </w:r>
    </w:p>
    <w:p w:rsidR="00224567" w:rsidRDefault="00224567">
      <w:pPr>
        <w:ind w:firstLine="2835"/>
        <w:rPr>
          <w:lang w:val="es-ES_tradnl"/>
        </w:rPr>
      </w:pPr>
      <w:r>
        <w:t>Por su parte, José Miguel Arancibia hizo uso de su derecho de negarse a declarar durante el debate, por lo que se incorporó la exposición que brind</w:t>
      </w:r>
      <w:r>
        <w:t>a</w:t>
      </w:r>
      <w:r>
        <w:t>ra en sede instructoria a fs.</w:t>
      </w:r>
      <w:bookmarkStart w:id="1" w:name="_Toc24276076"/>
      <w:r>
        <w:t xml:space="preserve"> </w:t>
      </w:r>
      <w:bookmarkStart w:id="2" w:name="_Toc24276077"/>
      <w:bookmarkEnd w:id="1"/>
      <w:r>
        <w:rPr>
          <w:lang w:val="es-ES_tradnl"/>
        </w:rPr>
        <w:t>39.728/39.733</w:t>
      </w:r>
      <w:bookmarkEnd w:id="2"/>
      <w:r>
        <w:rPr>
          <w:lang w:val="es-ES_tradnl"/>
        </w:rPr>
        <w:t>.</w:t>
      </w:r>
    </w:p>
    <w:p w:rsidR="00224567" w:rsidRDefault="00224567">
      <w:pPr>
        <w:ind w:firstLine="2835"/>
        <w:rPr>
          <w:lang w:val="es-ES_tradnl"/>
        </w:rPr>
      </w:pPr>
      <w:r>
        <w:rPr>
          <w:lang w:val="es-ES_tradnl"/>
        </w:rPr>
        <w:t>Con fecha 23 de julio de 1996 d</w:t>
      </w:r>
      <w:r>
        <w:rPr>
          <w:lang w:val="es-ES_tradnl"/>
        </w:rPr>
        <w:t>i</w:t>
      </w:r>
      <w:r>
        <w:rPr>
          <w:lang w:val="es-ES_tradnl"/>
        </w:rPr>
        <w:t>jo que egresó en el año 1977 como oficial ayudante y al año s</w:t>
      </w:r>
      <w:r>
        <w:rPr>
          <w:lang w:val="es-ES_tradnl"/>
        </w:rPr>
        <w:t>i</w:t>
      </w:r>
      <w:r>
        <w:rPr>
          <w:lang w:val="es-ES_tradnl"/>
        </w:rPr>
        <w:t xml:space="preserve">guiente comenzó a trabajar en </w:t>
      </w:r>
      <w:smartTag w:uri="urn:schemas-microsoft-com:office:smarttags" w:element="PersonName">
        <w:smartTagPr>
          <w:attr w:name="ProductID" w:val="la Comisar￭a"/>
        </w:smartTagPr>
        <w:r>
          <w:rPr>
            <w:lang w:val="es-ES_tradnl"/>
          </w:rPr>
          <w:t>la Comisaría</w:t>
        </w:r>
      </w:smartTag>
      <w:r>
        <w:rPr>
          <w:lang w:val="es-ES_tradnl"/>
        </w:rPr>
        <w:t xml:space="preserve"> de Monte Gra</w:t>
      </w:r>
      <w:r>
        <w:rPr>
          <w:lang w:val="es-ES_tradnl"/>
        </w:rPr>
        <w:t>n</w:t>
      </w:r>
      <w:r>
        <w:rPr>
          <w:lang w:val="es-ES_tradnl"/>
        </w:rPr>
        <w:t>de, donde permaneció durante cuatro años aproximadamente.</w:t>
      </w:r>
    </w:p>
    <w:p w:rsidR="00224567" w:rsidRDefault="00224567">
      <w:pPr>
        <w:ind w:firstLine="2835"/>
        <w:rPr>
          <w:lang w:val="es-ES_tradnl"/>
        </w:rPr>
      </w:pPr>
      <w:r>
        <w:rPr>
          <w:lang w:val="es-ES_tradnl"/>
        </w:rPr>
        <w:t xml:space="preserve">Luego fue trasladado a </w:t>
      </w:r>
      <w:smartTag w:uri="urn:schemas-microsoft-com:office:smarttags" w:element="PersonName">
        <w:smartTagPr>
          <w:attr w:name="ProductID" w:val="la Comisar￭a"/>
        </w:smartTagPr>
        <w:r>
          <w:rPr>
            <w:lang w:val="es-ES_tradnl"/>
          </w:rPr>
          <w:t>la Comis</w:t>
        </w:r>
        <w:r>
          <w:rPr>
            <w:lang w:val="es-ES_tradnl"/>
          </w:rPr>
          <w:t>a</w:t>
        </w:r>
        <w:r>
          <w:rPr>
            <w:lang w:val="es-ES_tradnl"/>
          </w:rPr>
          <w:t>ría</w:t>
        </w:r>
      </w:smartTag>
      <w:r>
        <w:rPr>
          <w:lang w:val="es-ES_tradnl"/>
        </w:rPr>
        <w:t xml:space="preserve"> de Burzaco por el término de tres años, para pasar posterio</w:t>
      </w:r>
      <w:r>
        <w:rPr>
          <w:lang w:val="es-ES_tradnl"/>
        </w:rPr>
        <w:t>r</w:t>
      </w:r>
      <w:r>
        <w:rPr>
          <w:lang w:val="es-ES_tradnl"/>
        </w:rPr>
        <w:t xml:space="preserve">mente a </w:t>
      </w:r>
      <w:smartTag w:uri="urn:schemas-microsoft-com:office:smarttags" w:element="PersonName">
        <w:smartTagPr>
          <w:attr w:name="ProductID" w:val="la Comisar￭a"/>
        </w:smartTagPr>
        <w:r>
          <w:rPr>
            <w:lang w:val="es-ES_tradnl"/>
          </w:rPr>
          <w:t>la Comisaría</w:t>
        </w:r>
      </w:smartTag>
      <w:r>
        <w:rPr>
          <w:lang w:val="es-ES_tradnl"/>
        </w:rPr>
        <w:t xml:space="preserve"> 3ª de Avellaneda donde est</w:t>
      </w:r>
      <w:r>
        <w:rPr>
          <w:lang w:val="es-ES_tradnl"/>
        </w:rPr>
        <w:t>u</w:t>
      </w:r>
      <w:r>
        <w:rPr>
          <w:lang w:val="es-ES_tradnl"/>
        </w:rPr>
        <w:t xml:space="preserve">vo un año. En 1990 fue destinado a </w:t>
      </w:r>
      <w:smartTag w:uri="urn:schemas-microsoft-com:office:smarttags" w:element="PersonName">
        <w:smartTagPr>
          <w:attr w:name="ProductID" w:val="la Comisar￭a"/>
        </w:smartTagPr>
        <w:r>
          <w:rPr>
            <w:lang w:val="es-ES_tradnl"/>
          </w:rPr>
          <w:t>la Comisaría</w:t>
        </w:r>
      </w:smartTag>
      <w:r>
        <w:rPr>
          <w:lang w:val="es-ES_tradnl"/>
        </w:rPr>
        <w:t xml:space="preserve"> de Remedios de Esc</w:t>
      </w:r>
      <w:r>
        <w:rPr>
          <w:lang w:val="es-ES_tradnl"/>
        </w:rPr>
        <w:t>a</w:t>
      </w:r>
      <w:r>
        <w:rPr>
          <w:lang w:val="es-ES_tradnl"/>
        </w:rPr>
        <w:t>lada, y en 1991 pasó a Llavallol.</w:t>
      </w:r>
    </w:p>
    <w:p w:rsidR="00224567" w:rsidRDefault="00224567">
      <w:pPr>
        <w:ind w:firstLine="2835"/>
        <w:rPr>
          <w:lang w:val="es-ES_tradnl"/>
        </w:rPr>
      </w:pPr>
      <w:r>
        <w:rPr>
          <w:lang w:val="es-ES_tradnl"/>
        </w:rPr>
        <w:t xml:space="preserve">Después de permanecer un año en esa seccional, cumplió funciones en </w:t>
      </w:r>
      <w:smartTag w:uri="urn:schemas-microsoft-com:office:smarttags" w:element="PersonName">
        <w:smartTagPr>
          <w:attr w:name="ProductID" w:val="la Brigada"/>
        </w:smartTagPr>
        <w:r>
          <w:rPr>
            <w:lang w:val="es-ES_tradnl"/>
          </w:rPr>
          <w:t>la Brigada</w:t>
        </w:r>
      </w:smartTag>
      <w:r>
        <w:rPr>
          <w:lang w:val="es-ES_tradnl"/>
        </w:rPr>
        <w:t xml:space="preserve"> de General Sa</w:t>
      </w:r>
      <w:r>
        <w:rPr>
          <w:lang w:val="es-ES_tradnl"/>
        </w:rPr>
        <w:t>r</w:t>
      </w:r>
      <w:r>
        <w:rPr>
          <w:lang w:val="es-ES_tradnl"/>
        </w:rPr>
        <w:t xml:space="preserve">miento y a mediados de mayo de 1993 se fue a </w:t>
      </w:r>
      <w:smartTag w:uri="urn:schemas-microsoft-com:office:smarttags" w:element="PersonName">
        <w:smartTagPr>
          <w:attr w:name="ProductID" w:val="la Brigada"/>
        </w:smartTagPr>
        <w:r>
          <w:rPr>
            <w:lang w:val="es-ES_tradnl"/>
          </w:rPr>
          <w:t>la Br</w:t>
        </w:r>
        <w:r>
          <w:rPr>
            <w:lang w:val="es-ES_tradnl"/>
          </w:rPr>
          <w:t>i</w:t>
        </w:r>
        <w:r>
          <w:rPr>
            <w:lang w:val="es-ES_tradnl"/>
          </w:rPr>
          <w:t>gada</w:t>
        </w:r>
      </w:smartTag>
      <w:r>
        <w:rPr>
          <w:lang w:val="es-ES_tradnl"/>
        </w:rPr>
        <w:t xml:space="preserve"> de Investigaciones II de Lanús, donde estuvo hasta el m</w:t>
      </w:r>
      <w:r>
        <w:rPr>
          <w:lang w:val="es-ES_tradnl"/>
        </w:rPr>
        <w:t>o</w:t>
      </w:r>
      <w:r>
        <w:rPr>
          <w:lang w:val="es-ES_tradnl"/>
        </w:rPr>
        <w:t>mento de la declaración.</w:t>
      </w:r>
    </w:p>
    <w:p w:rsidR="00224567" w:rsidRDefault="00224567">
      <w:pPr>
        <w:ind w:firstLine="2835"/>
        <w:rPr>
          <w:lang w:val="es-ES_tradnl"/>
        </w:rPr>
      </w:pPr>
      <w:r>
        <w:rPr>
          <w:lang w:val="es-ES_tradnl"/>
        </w:rPr>
        <w:t>Refirió que todos los traslados fu</w:t>
      </w:r>
      <w:r>
        <w:rPr>
          <w:lang w:val="es-ES_tradnl"/>
        </w:rPr>
        <w:t>e</w:t>
      </w:r>
      <w:r>
        <w:rPr>
          <w:lang w:val="es-ES_tradnl"/>
        </w:rPr>
        <w:t>ron siempre ordenados por la jefatura y que, a partir del 20 de noviembre de 1995, fue puesto en disponibilidad preve</w:t>
      </w:r>
      <w:r>
        <w:rPr>
          <w:lang w:val="es-ES_tradnl"/>
        </w:rPr>
        <w:t>n</w:t>
      </w:r>
      <w:r>
        <w:rPr>
          <w:lang w:val="es-ES_tradnl"/>
        </w:rPr>
        <w:t>tiva por una presunta infracción al artículo 255 del Cód</w:t>
      </w:r>
      <w:r>
        <w:rPr>
          <w:lang w:val="es-ES_tradnl"/>
        </w:rPr>
        <w:t>i</w:t>
      </w:r>
      <w:r>
        <w:rPr>
          <w:lang w:val="es-ES_tradnl"/>
        </w:rPr>
        <w:t>go Penal, gozando del cincuenta por ciento del sueldo.</w:t>
      </w:r>
    </w:p>
    <w:p w:rsidR="00224567" w:rsidRDefault="00224567">
      <w:pPr>
        <w:ind w:firstLine="2835"/>
        <w:rPr>
          <w:lang w:val="es-ES_tradnl"/>
        </w:rPr>
      </w:pPr>
      <w:r>
        <w:rPr>
          <w:lang w:val="es-ES_tradnl"/>
        </w:rPr>
        <w:t>Expresó que siempre se desempeñó en la oficina de judiciales, actuando como secret</w:t>
      </w:r>
      <w:r>
        <w:rPr>
          <w:lang w:val="es-ES_tradnl"/>
        </w:rPr>
        <w:t>a</w:t>
      </w:r>
      <w:r>
        <w:rPr>
          <w:lang w:val="es-ES_tradnl"/>
        </w:rPr>
        <w:t>rio de causas y sumarios, y a veces también c</w:t>
      </w:r>
      <w:r>
        <w:rPr>
          <w:lang w:val="es-ES_tradnl"/>
        </w:rPr>
        <w:t>o</w:t>
      </w:r>
      <w:r>
        <w:rPr>
          <w:lang w:val="es-ES_tradnl"/>
        </w:rPr>
        <w:t>mo instructor.</w:t>
      </w:r>
    </w:p>
    <w:p w:rsidR="00224567" w:rsidRDefault="00224567">
      <w:pPr>
        <w:ind w:firstLine="2835"/>
        <w:rPr>
          <w:lang w:val="es-ES_tradnl"/>
        </w:rPr>
      </w:pPr>
      <w:r>
        <w:rPr>
          <w:lang w:val="es-ES_tradnl"/>
        </w:rPr>
        <w:t>Negó rotundamente toda participación en los hechos imp</w:t>
      </w:r>
      <w:r>
        <w:rPr>
          <w:lang w:val="es-ES_tradnl"/>
        </w:rPr>
        <w:t>u</w:t>
      </w:r>
      <w:r>
        <w:rPr>
          <w:lang w:val="es-ES_tradnl"/>
        </w:rPr>
        <w:t>tados.</w:t>
      </w:r>
    </w:p>
    <w:p w:rsidR="00224567" w:rsidRDefault="00224567">
      <w:pPr>
        <w:ind w:firstLine="2835"/>
        <w:rPr>
          <w:lang w:val="es-ES_tradnl"/>
        </w:rPr>
      </w:pPr>
      <w:r>
        <w:rPr>
          <w:lang w:val="es-ES_tradnl"/>
        </w:rPr>
        <w:t>Con referencia a la actuación que t</w:t>
      </w:r>
      <w:r>
        <w:rPr>
          <w:lang w:val="es-ES_tradnl"/>
        </w:rPr>
        <w:t>u</w:t>
      </w:r>
      <w:r>
        <w:rPr>
          <w:lang w:val="es-ES_tradnl"/>
        </w:rPr>
        <w:t>vo en el tema de “Teccedin” recordó que actuó bajo d</w:t>
      </w:r>
      <w:r>
        <w:rPr>
          <w:lang w:val="es-ES_tradnl"/>
        </w:rPr>
        <w:t>i</w:t>
      </w:r>
      <w:r>
        <w:rPr>
          <w:lang w:val="es-ES_tradnl"/>
        </w:rPr>
        <w:t>rectivas del jefe administrativo, Alejandro Bu</w:t>
      </w:r>
      <w:r>
        <w:rPr>
          <w:lang w:val="es-ES_tradnl"/>
        </w:rPr>
        <w:t>r</w:t>
      </w:r>
      <w:r>
        <w:rPr>
          <w:lang w:val="es-ES_tradnl"/>
        </w:rPr>
        <w:t>guete.</w:t>
      </w:r>
    </w:p>
    <w:p w:rsidR="00224567" w:rsidRDefault="00224567">
      <w:pPr>
        <w:ind w:firstLine="2835"/>
        <w:rPr>
          <w:lang w:val="es-ES_tradnl"/>
        </w:rPr>
      </w:pPr>
      <w:r>
        <w:rPr>
          <w:lang w:val="es-ES_tradnl"/>
        </w:rPr>
        <w:t>Aclaró que intervino como secretario en las a</w:t>
      </w:r>
      <w:r>
        <w:rPr>
          <w:lang w:val="es-ES_tradnl"/>
        </w:rPr>
        <w:t>c</w:t>
      </w:r>
      <w:r>
        <w:rPr>
          <w:lang w:val="es-ES_tradnl"/>
        </w:rPr>
        <w:t xml:space="preserve">tuaciones que se labraron en la causa n° 5681 </w:t>
      </w:r>
      <w:r>
        <w:t>del registro del Juzgado en lo Criminal y Correccional n° 5 del Departamento Judicial de Quilmes,</w:t>
      </w:r>
      <w:r>
        <w:rPr>
          <w:lang w:val="es-ES_tradnl"/>
        </w:rPr>
        <w:t xml:space="preserve"> a cargo de </w:t>
      </w:r>
      <w:smartTag w:uri="urn:schemas-microsoft-com:office:smarttags" w:element="PersonName">
        <w:smartTagPr>
          <w:attr w:name="ProductID" w:val="la Dra. Margarita"/>
        </w:smartTagPr>
        <w:r>
          <w:rPr>
            <w:lang w:val="es-ES_tradnl"/>
          </w:rPr>
          <w:t>la Dra. Margarita</w:t>
        </w:r>
      </w:smartTag>
      <w:r>
        <w:rPr>
          <w:lang w:val="es-ES_tradnl"/>
        </w:rPr>
        <w:t xml:space="preserve"> Allaza de Iturburu, en la que se imputaba a un tal Ambrosi, el homicidio de un p</w:t>
      </w:r>
      <w:r>
        <w:rPr>
          <w:lang w:val="es-ES_tradnl"/>
        </w:rPr>
        <w:t>o</w:t>
      </w:r>
      <w:r>
        <w:rPr>
          <w:lang w:val="es-ES_tradnl"/>
        </w:rPr>
        <w:t>licía.</w:t>
      </w:r>
    </w:p>
    <w:p w:rsidR="00224567" w:rsidRDefault="00224567">
      <w:pPr>
        <w:ind w:firstLine="2835"/>
        <w:rPr>
          <w:lang w:val="es-ES_tradnl"/>
        </w:rPr>
      </w:pPr>
      <w:r>
        <w:rPr>
          <w:lang w:val="es-ES_tradnl"/>
        </w:rPr>
        <w:t>Recordó que en la investigación llev</w:t>
      </w:r>
      <w:r>
        <w:rPr>
          <w:lang w:val="es-ES_tradnl"/>
        </w:rPr>
        <w:t>a</w:t>
      </w:r>
      <w:r>
        <w:rPr>
          <w:lang w:val="es-ES_tradnl"/>
        </w:rPr>
        <w:t>da a cabo por el subcomisario Huici se habría menci</w:t>
      </w:r>
      <w:r>
        <w:rPr>
          <w:lang w:val="es-ES_tradnl"/>
        </w:rPr>
        <w:t>o</w:t>
      </w:r>
      <w:r>
        <w:rPr>
          <w:lang w:val="es-ES_tradnl"/>
        </w:rPr>
        <w:t>nado a un tal “Enano” o “Teccedin” –no recordándolo con exact</w:t>
      </w:r>
      <w:r>
        <w:rPr>
          <w:lang w:val="es-ES_tradnl"/>
        </w:rPr>
        <w:t>i</w:t>
      </w:r>
      <w:r>
        <w:rPr>
          <w:lang w:val="es-ES_tradnl"/>
        </w:rPr>
        <w:t>tud-, como una persona que habría provisto o vendido un vehículo a los autores del hecho, razón por la cual Bu</w:t>
      </w:r>
      <w:r>
        <w:rPr>
          <w:lang w:val="es-ES_tradnl"/>
        </w:rPr>
        <w:t>r</w:t>
      </w:r>
      <w:r>
        <w:rPr>
          <w:lang w:val="es-ES_tradnl"/>
        </w:rPr>
        <w:t>guete comisionó a Ibarra para que investigara a ese ind</w:t>
      </w:r>
      <w:r>
        <w:rPr>
          <w:lang w:val="es-ES_tradnl"/>
        </w:rPr>
        <w:t>i</w:t>
      </w:r>
      <w:r>
        <w:rPr>
          <w:lang w:val="es-ES_tradnl"/>
        </w:rPr>
        <w:t>viduo.</w:t>
      </w:r>
    </w:p>
    <w:p w:rsidR="00224567" w:rsidRDefault="00224567">
      <w:pPr>
        <w:ind w:firstLine="2835"/>
        <w:rPr>
          <w:lang w:val="es-ES_tradnl"/>
        </w:rPr>
      </w:pPr>
      <w:r>
        <w:rPr>
          <w:lang w:val="es-ES_tradnl"/>
        </w:rPr>
        <w:t>Señaló que la persona mencionada por Huici se escapó en momentos en que Ibarra y otros tr</w:t>
      </w:r>
      <w:r>
        <w:rPr>
          <w:lang w:val="es-ES_tradnl"/>
        </w:rPr>
        <w:t>a</w:t>
      </w:r>
      <w:r>
        <w:rPr>
          <w:lang w:val="es-ES_tradnl"/>
        </w:rPr>
        <w:t>taron de detenerlo; y recordó que un agente policial resultó l</w:t>
      </w:r>
      <w:r>
        <w:rPr>
          <w:lang w:val="es-ES_tradnl"/>
        </w:rPr>
        <w:t>e</w:t>
      </w:r>
      <w:r>
        <w:rPr>
          <w:lang w:val="es-ES_tradnl"/>
        </w:rPr>
        <w:t>sionado, pero no recordó dónde fue ese proc</w:t>
      </w:r>
      <w:r>
        <w:rPr>
          <w:lang w:val="es-ES_tradnl"/>
        </w:rPr>
        <w:t>e</w:t>
      </w:r>
      <w:r>
        <w:rPr>
          <w:lang w:val="es-ES_tradnl"/>
        </w:rPr>
        <w:t>dimiento.</w:t>
      </w:r>
    </w:p>
    <w:p w:rsidR="00224567" w:rsidRDefault="00224567">
      <w:pPr>
        <w:ind w:firstLine="2835"/>
        <w:rPr>
          <w:lang w:val="es-ES_tradnl"/>
        </w:rPr>
      </w:pPr>
      <w:r>
        <w:rPr>
          <w:lang w:val="es-ES_tradnl"/>
        </w:rPr>
        <w:t xml:space="preserve">Posteriormente, esta persona fue  aprehendida, sin poder precisar dónde, y lo condujeron a </w:t>
      </w:r>
      <w:smartTag w:uri="urn:schemas-microsoft-com:office:smarttags" w:element="PersonName">
        <w:smartTagPr>
          <w:attr w:name="ProductID" w:val="la Brigada"/>
        </w:smartTagPr>
        <w:r>
          <w:rPr>
            <w:lang w:val="es-ES_tradnl"/>
          </w:rPr>
          <w:t>la Brigada</w:t>
        </w:r>
      </w:smartTag>
      <w:r>
        <w:rPr>
          <w:lang w:val="es-ES_tradnl"/>
        </w:rPr>
        <w:t xml:space="preserve"> de Lanús.</w:t>
      </w:r>
    </w:p>
    <w:p w:rsidR="00224567" w:rsidRDefault="00224567">
      <w:pPr>
        <w:ind w:firstLine="2835"/>
        <w:rPr>
          <w:lang w:val="es-ES_tradnl"/>
        </w:rPr>
      </w:pPr>
      <w:r>
        <w:rPr>
          <w:lang w:val="es-ES_tradnl"/>
        </w:rPr>
        <w:t>Dijo que Burguete al ingresar consu</w:t>
      </w:r>
      <w:r>
        <w:rPr>
          <w:lang w:val="es-ES_tradnl"/>
        </w:rPr>
        <w:t>l</w:t>
      </w:r>
      <w:r>
        <w:rPr>
          <w:lang w:val="es-ES_tradnl"/>
        </w:rPr>
        <w:t>tó a la juez el temperamento a adoptar respecto de “Tecc</w:t>
      </w:r>
      <w:r>
        <w:rPr>
          <w:lang w:val="es-ES_tradnl"/>
        </w:rPr>
        <w:t>e</w:t>
      </w:r>
      <w:r>
        <w:rPr>
          <w:lang w:val="es-ES_tradnl"/>
        </w:rPr>
        <w:t>din”, y ésta ordenó identificarlo correctamente y notif</w:t>
      </w:r>
      <w:r>
        <w:rPr>
          <w:lang w:val="es-ES_tradnl"/>
        </w:rPr>
        <w:t>i</w:t>
      </w:r>
      <w:r>
        <w:rPr>
          <w:lang w:val="es-ES_tradnl"/>
        </w:rPr>
        <w:t>carlo de la formación de la causa, sin cumplir otra m</w:t>
      </w:r>
      <w:r>
        <w:rPr>
          <w:lang w:val="es-ES_tradnl"/>
        </w:rPr>
        <w:t>e</w:t>
      </w:r>
      <w:r>
        <w:rPr>
          <w:lang w:val="es-ES_tradnl"/>
        </w:rPr>
        <w:t>dida legal al margen de las actuaciones por averiguación de a</w:t>
      </w:r>
      <w:r>
        <w:rPr>
          <w:lang w:val="es-ES_tradnl"/>
        </w:rPr>
        <w:t>n</w:t>
      </w:r>
      <w:r>
        <w:rPr>
          <w:lang w:val="es-ES_tradnl"/>
        </w:rPr>
        <w:t>tecede</w:t>
      </w:r>
      <w:r>
        <w:rPr>
          <w:lang w:val="es-ES_tradnl"/>
        </w:rPr>
        <w:t>n</w:t>
      </w:r>
      <w:r>
        <w:rPr>
          <w:lang w:val="es-ES_tradnl"/>
        </w:rPr>
        <w:t>tes.</w:t>
      </w:r>
    </w:p>
    <w:p w:rsidR="00224567" w:rsidRDefault="00224567">
      <w:pPr>
        <w:ind w:firstLine="2835"/>
        <w:rPr>
          <w:lang w:val="es-ES_tradnl"/>
        </w:rPr>
      </w:pPr>
      <w:r>
        <w:rPr>
          <w:lang w:val="es-ES_tradnl"/>
        </w:rPr>
        <w:t xml:space="preserve">Luego de realizados estos trámites, antes de vencido el término legal que acordaba el art. 13 de la ley 9550/80 de </w:t>
      </w:r>
      <w:smartTag w:uri="urn:schemas-microsoft-com:office:smarttags" w:element="PersonName">
        <w:smartTagPr>
          <w:attr w:name="ProductID" w:val="la Polic￭a Bonaerense"/>
        </w:smartTagPr>
        <w:r>
          <w:rPr>
            <w:lang w:val="es-ES_tradnl"/>
          </w:rPr>
          <w:t>la Policía Bonaerense</w:t>
        </w:r>
      </w:smartTag>
      <w:r>
        <w:rPr>
          <w:lang w:val="es-ES_tradnl"/>
        </w:rPr>
        <w:t>, el no</w:t>
      </w:r>
      <w:r>
        <w:rPr>
          <w:lang w:val="es-ES_tradnl"/>
        </w:rPr>
        <w:t>m</w:t>
      </w:r>
      <w:r>
        <w:rPr>
          <w:lang w:val="es-ES_tradnl"/>
        </w:rPr>
        <w:t>brado y la mujer que lo acompañaba recuperaron su l</w:t>
      </w:r>
      <w:r>
        <w:rPr>
          <w:lang w:val="es-ES_tradnl"/>
        </w:rPr>
        <w:t>i</w:t>
      </w:r>
      <w:r>
        <w:rPr>
          <w:lang w:val="es-ES_tradnl"/>
        </w:rPr>
        <w:t>bertad.</w:t>
      </w:r>
    </w:p>
    <w:p w:rsidR="00224567" w:rsidRDefault="00224567">
      <w:pPr>
        <w:ind w:firstLine="2835"/>
        <w:rPr>
          <w:lang w:val="es-ES_tradnl"/>
        </w:rPr>
      </w:pPr>
      <w:r>
        <w:rPr>
          <w:lang w:val="es-ES_tradnl"/>
        </w:rPr>
        <w:t>Agregó que después que se escapó “Te</w:t>
      </w:r>
      <w:r>
        <w:rPr>
          <w:lang w:val="es-ES_tradnl"/>
        </w:rPr>
        <w:t>c</w:t>
      </w:r>
      <w:r>
        <w:rPr>
          <w:lang w:val="es-ES_tradnl"/>
        </w:rPr>
        <w:t>cedin”, la jueza dictó medidas tendientes a su individu</w:t>
      </w:r>
      <w:r>
        <w:rPr>
          <w:lang w:val="es-ES_tradnl"/>
        </w:rPr>
        <w:t>a</w:t>
      </w:r>
      <w:r>
        <w:rPr>
          <w:lang w:val="es-ES_tradnl"/>
        </w:rPr>
        <w:t>lización.</w:t>
      </w:r>
    </w:p>
    <w:p w:rsidR="00224567" w:rsidRDefault="00224567">
      <w:pPr>
        <w:ind w:firstLine="2835"/>
        <w:rPr>
          <w:lang w:val="es-ES_tradnl"/>
        </w:rPr>
      </w:pPr>
      <w:r>
        <w:rPr>
          <w:lang w:val="es-ES_tradnl"/>
        </w:rPr>
        <w:t xml:space="preserve">No recordó quién condujo al detenido Telleldín y a Sandra Petrucci a </w:t>
      </w:r>
      <w:smartTag w:uri="urn:schemas-microsoft-com:office:smarttags" w:element="PersonName">
        <w:smartTagPr>
          <w:attr w:name="ProductID" w:val="la Brigada"/>
        </w:smartTagPr>
        <w:r>
          <w:rPr>
            <w:lang w:val="es-ES_tradnl"/>
          </w:rPr>
          <w:t>la Brigada</w:t>
        </w:r>
      </w:smartTag>
      <w:r>
        <w:rPr>
          <w:lang w:val="es-ES_tradnl"/>
        </w:rPr>
        <w:t xml:space="preserve"> de Investig</w:t>
      </w:r>
      <w:r>
        <w:rPr>
          <w:lang w:val="es-ES_tradnl"/>
        </w:rPr>
        <w:t>a</w:t>
      </w:r>
      <w:r>
        <w:rPr>
          <w:lang w:val="es-ES_tradnl"/>
        </w:rPr>
        <w:t>ciones II de Lanús; agregó que eso debía saberlo Ib</w:t>
      </w:r>
      <w:r>
        <w:rPr>
          <w:lang w:val="es-ES_tradnl"/>
        </w:rPr>
        <w:t>a</w:t>
      </w:r>
      <w:r>
        <w:rPr>
          <w:lang w:val="es-ES_tradnl"/>
        </w:rPr>
        <w:t>rra.</w:t>
      </w:r>
    </w:p>
    <w:p w:rsidR="00224567" w:rsidRDefault="00224567">
      <w:pPr>
        <w:ind w:firstLine="2835"/>
        <w:rPr>
          <w:lang w:val="es-ES_tradnl"/>
        </w:rPr>
      </w:pPr>
      <w:r>
        <w:rPr>
          <w:lang w:val="es-ES_tradnl"/>
        </w:rPr>
        <w:t>Creyó que arribaron a la dependencia por la tarde, pero no lo pudo recordar con exactitud.</w:t>
      </w:r>
    </w:p>
    <w:p w:rsidR="00224567" w:rsidRDefault="00224567">
      <w:pPr>
        <w:ind w:firstLine="2835"/>
        <w:rPr>
          <w:lang w:val="es-ES_tradnl"/>
        </w:rPr>
      </w:pPr>
      <w:r>
        <w:rPr>
          <w:lang w:val="es-ES_tradnl"/>
        </w:rPr>
        <w:t>Con anterioridad al procedimiento del 4 de abril de 1994, supo que un grupo operativo de la br</w:t>
      </w:r>
      <w:r>
        <w:rPr>
          <w:lang w:val="es-ES_tradnl"/>
        </w:rPr>
        <w:t>i</w:t>
      </w:r>
      <w:r>
        <w:rPr>
          <w:lang w:val="es-ES_tradnl"/>
        </w:rPr>
        <w:t>gada iba a detener al tal “Teccedin”. Esto se lo hizo s</w:t>
      </w:r>
      <w:r>
        <w:rPr>
          <w:lang w:val="es-ES_tradnl"/>
        </w:rPr>
        <w:t>a</w:t>
      </w:r>
      <w:r>
        <w:rPr>
          <w:lang w:val="es-ES_tradnl"/>
        </w:rPr>
        <w:t>ber el instructor.</w:t>
      </w:r>
    </w:p>
    <w:p w:rsidR="00224567" w:rsidRDefault="00224567">
      <w:pPr>
        <w:ind w:firstLine="2835"/>
        <w:rPr>
          <w:lang w:val="es-ES_tradnl"/>
        </w:rPr>
      </w:pPr>
      <w:r>
        <w:rPr>
          <w:lang w:val="es-ES_tradnl"/>
        </w:rPr>
        <w:t>No recordó cuánto tiempo perman</w:t>
      </w:r>
      <w:r>
        <w:rPr>
          <w:lang w:val="es-ES_tradnl"/>
        </w:rPr>
        <w:t>e</w:t>
      </w:r>
      <w:r>
        <w:rPr>
          <w:lang w:val="es-ES_tradnl"/>
        </w:rPr>
        <w:t>ció en la brigada una vez que ingresaron los deten</w:t>
      </w:r>
      <w:r>
        <w:rPr>
          <w:lang w:val="es-ES_tradnl"/>
        </w:rPr>
        <w:t>i</w:t>
      </w:r>
      <w:r>
        <w:rPr>
          <w:lang w:val="es-ES_tradnl"/>
        </w:rPr>
        <w:t>dos “Teccedin” y Petrucci a la dependencia y aclaró que habría que rem</w:t>
      </w:r>
      <w:r>
        <w:rPr>
          <w:lang w:val="es-ES_tradnl"/>
        </w:rPr>
        <w:t>i</w:t>
      </w:r>
      <w:r>
        <w:rPr>
          <w:lang w:val="es-ES_tradnl"/>
        </w:rPr>
        <w:t>tirse al libro de guardia para constatarlo. Dijo que ese día pudo haber estado el comisario Ribelli, pero no lo p</w:t>
      </w:r>
      <w:r>
        <w:rPr>
          <w:lang w:val="es-ES_tradnl"/>
        </w:rPr>
        <w:t>u</w:t>
      </w:r>
      <w:r>
        <w:rPr>
          <w:lang w:val="es-ES_tradnl"/>
        </w:rPr>
        <w:t>do asegurar.</w:t>
      </w:r>
    </w:p>
    <w:p w:rsidR="00224567" w:rsidRDefault="00224567">
      <w:pPr>
        <w:ind w:firstLine="2835"/>
        <w:rPr>
          <w:lang w:val="es-ES_tradnl"/>
        </w:rPr>
      </w:pPr>
      <w:r>
        <w:rPr>
          <w:lang w:val="es-ES_tradnl"/>
        </w:rPr>
        <w:t>La relación que mantenía con Ib</w:t>
      </w:r>
      <w:r>
        <w:rPr>
          <w:lang w:val="es-ES_tradnl"/>
        </w:rPr>
        <w:t>a</w:t>
      </w:r>
      <w:r>
        <w:rPr>
          <w:lang w:val="es-ES_tradnl"/>
        </w:rPr>
        <w:t>rra y Ribelli era puramente laboral. Agregó que pe</w:t>
      </w:r>
      <w:r>
        <w:rPr>
          <w:lang w:val="es-ES_tradnl"/>
        </w:rPr>
        <w:t>r</w:t>
      </w:r>
      <w:r>
        <w:rPr>
          <w:lang w:val="es-ES_tradnl"/>
        </w:rPr>
        <w:t xml:space="preserve">maneció en </w:t>
      </w:r>
      <w:smartTag w:uri="urn:schemas-microsoft-com:office:smarttags" w:element="PersonName">
        <w:smartTagPr>
          <w:attr w:name="ProductID" w:val="la Brigada"/>
        </w:smartTagPr>
        <w:r>
          <w:rPr>
            <w:lang w:val="es-ES_tradnl"/>
          </w:rPr>
          <w:t>la Brigada</w:t>
        </w:r>
      </w:smartTag>
      <w:r>
        <w:rPr>
          <w:lang w:val="es-ES_tradnl"/>
        </w:rPr>
        <w:t xml:space="preserve"> de Lanús, cuando éste último se fue de esta depe</w:t>
      </w:r>
      <w:r>
        <w:rPr>
          <w:lang w:val="es-ES_tradnl"/>
        </w:rPr>
        <w:t>n</w:t>
      </w:r>
      <w:r>
        <w:rPr>
          <w:lang w:val="es-ES_tradnl"/>
        </w:rPr>
        <w:t>de</w:t>
      </w:r>
      <w:r>
        <w:rPr>
          <w:lang w:val="es-ES_tradnl"/>
        </w:rPr>
        <w:t>n</w:t>
      </w:r>
      <w:r>
        <w:rPr>
          <w:lang w:val="es-ES_tradnl"/>
        </w:rPr>
        <w:t>cia a la de Quilmes.</w:t>
      </w:r>
    </w:p>
    <w:p w:rsidR="00224567" w:rsidRDefault="00224567">
      <w:pPr>
        <w:ind w:firstLine="2835"/>
        <w:rPr>
          <w:lang w:val="es-ES_tradnl"/>
        </w:rPr>
      </w:pPr>
      <w:r>
        <w:rPr>
          <w:lang w:val="es-ES_tradnl"/>
        </w:rPr>
        <w:t>Añadió que se encontraba en disponib</w:t>
      </w:r>
      <w:r>
        <w:rPr>
          <w:lang w:val="es-ES_tradnl"/>
        </w:rPr>
        <w:t>i</w:t>
      </w:r>
      <w:r>
        <w:rPr>
          <w:lang w:val="es-ES_tradnl"/>
        </w:rPr>
        <w:t>lidad preventiva cuando posteriormente Ribelli pasó a Su</w:t>
      </w:r>
      <w:r>
        <w:rPr>
          <w:lang w:val="es-ES_tradnl"/>
        </w:rPr>
        <w:t>s</w:t>
      </w:r>
      <w:r>
        <w:rPr>
          <w:lang w:val="es-ES_tradnl"/>
        </w:rPr>
        <w:t>tracción de Automotores.</w:t>
      </w:r>
    </w:p>
    <w:p w:rsidR="00224567" w:rsidRDefault="00224567">
      <w:pPr>
        <w:ind w:firstLine="2835"/>
        <w:rPr>
          <w:lang w:val="es-ES_tradnl"/>
        </w:rPr>
      </w:pPr>
      <w:r>
        <w:rPr>
          <w:lang w:val="es-ES_tradnl"/>
        </w:rPr>
        <w:t>No supo si estuvo en la brigada al m</w:t>
      </w:r>
      <w:r>
        <w:rPr>
          <w:lang w:val="es-ES_tradnl"/>
        </w:rPr>
        <w:t>o</w:t>
      </w:r>
      <w:r>
        <w:rPr>
          <w:lang w:val="es-ES_tradnl"/>
        </w:rPr>
        <w:t>mento en que el tal “Teccedin” y la mujer qu</w:t>
      </w:r>
      <w:r>
        <w:rPr>
          <w:lang w:val="es-ES_tradnl"/>
        </w:rPr>
        <w:t>e</w:t>
      </w:r>
      <w:r>
        <w:rPr>
          <w:lang w:val="es-ES_tradnl"/>
        </w:rPr>
        <w:t>daron libres, ya que no se ocupó del trámite de libertad. Creyó que quien realizó tal menester fue Bacigalupo, ya que firmó las actuaciones de antecede</w:t>
      </w:r>
      <w:r>
        <w:rPr>
          <w:lang w:val="es-ES_tradnl"/>
        </w:rPr>
        <w:t>n</w:t>
      </w:r>
      <w:r>
        <w:rPr>
          <w:lang w:val="es-ES_tradnl"/>
        </w:rPr>
        <w:t>tes.</w:t>
      </w:r>
    </w:p>
    <w:p w:rsidR="00224567" w:rsidRDefault="00224567">
      <w:pPr>
        <w:ind w:firstLine="2835"/>
        <w:rPr>
          <w:lang w:val="es-ES_tradnl"/>
        </w:rPr>
      </w:pPr>
      <w:r>
        <w:rPr>
          <w:lang w:val="es-ES_tradnl"/>
        </w:rPr>
        <w:t>Refirió que se determinó por vía tel</w:t>
      </w:r>
      <w:r>
        <w:rPr>
          <w:lang w:val="es-ES_tradnl"/>
        </w:rPr>
        <w:t>e</w:t>
      </w:r>
      <w:r>
        <w:rPr>
          <w:lang w:val="es-ES_tradnl"/>
        </w:rPr>
        <w:t>fónica que Carlos Alberto Telleldín no tenía capturas v</w:t>
      </w:r>
      <w:r>
        <w:rPr>
          <w:lang w:val="es-ES_tradnl"/>
        </w:rPr>
        <w:t>i</w:t>
      </w:r>
      <w:r>
        <w:rPr>
          <w:lang w:val="es-ES_tradnl"/>
        </w:rPr>
        <w:t>gentes. Agregó que posteriormente la jefatura remitió un télex en el cual hacía saber que no tenía capturas. Ref</w:t>
      </w:r>
      <w:r>
        <w:rPr>
          <w:lang w:val="es-ES_tradnl"/>
        </w:rPr>
        <w:t>i</w:t>
      </w:r>
      <w:r>
        <w:rPr>
          <w:lang w:val="es-ES_tradnl"/>
        </w:rPr>
        <w:t>rió no acordarse con quien mantuvo esa conversación tel</w:t>
      </w:r>
      <w:r>
        <w:rPr>
          <w:lang w:val="es-ES_tradnl"/>
        </w:rPr>
        <w:t>e</w:t>
      </w:r>
      <w:r>
        <w:rPr>
          <w:lang w:val="es-ES_tradnl"/>
        </w:rPr>
        <w:t>fónica.</w:t>
      </w:r>
    </w:p>
    <w:p w:rsidR="00224567" w:rsidRDefault="00224567">
      <w:pPr>
        <w:ind w:firstLine="2835"/>
        <w:rPr>
          <w:lang w:val="es-ES_tradnl"/>
        </w:rPr>
      </w:pPr>
      <w:r>
        <w:rPr>
          <w:lang w:val="es-ES_tradnl"/>
        </w:rPr>
        <w:t>Afirmó que era normal que en un sum</w:t>
      </w:r>
      <w:r>
        <w:rPr>
          <w:lang w:val="es-ES_tradnl"/>
        </w:rPr>
        <w:t>a</w:t>
      </w:r>
      <w:r>
        <w:rPr>
          <w:lang w:val="es-ES_tradnl"/>
        </w:rPr>
        <w:t>rio por averiguación de antecedentes se agregaran fotoc</w:t>
      </w:r>
      <w:r>
        <w:rPr>
          <w:lang w:val="es-ES_tradnl"/>
        </w:rPr>
        <w:t>o</w:t>
      </w:r>
      <w:r>
        <w:rPr>
          <w:lang w:val="es-ES_tradnl"/>
        </w:rPr>
        <w:t>pias de un Documento Nacional de Ident</w:t>
      </w:r>
      <w:r>
        <w:rPr>
          <w:lang w:val="es-ES_tradnl"/>
        </w:rPr>
        <w:t>i</w:t>
      </w:r>
      <w:r>
        <w:rPr>
          <w:lang w:val="es-ES_tradnl"/>
        </w:rPr>
        <w:t>dad, máxime cuando lo ordenaba un juez en una causa penal.</w:t>
      </w:r>
    </w:p>
    <w:p w:rsidR="00224567" w:rsidRDefault="00224567">
      <w:pPr>
        <w:ind w:firstLine="2835"/>
        <w:rPr>
          <w:lang w:val="es-ES_tradnl"/>
        </w:rPr>
      </w:pPr>
      <w:r>
        <w:rPr>
          <w:lang w:val="es-ES_tradnl"/>
        </w:rPr>
        <w:t>Precisó que la juez no ordenó agregar dicha fotocopia al sumario pero sí dispuso identificarlo correctamente, por lo que como medida para mejor proveer, se agregó dicha copia.</w:t>
      </w:r>
    </w:p>
    <w:p w:rsidR="00224567" w:rsidRDefault="00224567">
      <w:pPr>
        <w:ind w:firstLine="2835"/>
        <w:rPr>
          <w:lang w:val="es-ES_tradnl"/>
        </w:rPr>
      </w:pPr>
      <w:r>
        <w:rPr>
          <w:lang w:val="es-ES_tradnl"/>
        </w:rPr>
        <w:t xml:space="preserve">No advirtió en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nús la presencia de familiares del detenido “Teccedin”, abog</w:t>
      </w:r>
      <w:r>
        <w:rPr>
          <w:lang w:val="es-ES_tradnl"/>
        </w:rPr>
        <w:t>a</w:t>
      </w:r>
      <w:r>
        <w:rPr>
          <w:lang w:val="es-ES_tradnl"/>
        </w:rPr>
        <w:t xml:space="preserve">dos ni de un oficial jefe retirado de </w:t>
      </w:r>
      <w:smartTag w:uri="urn:schemas-microsoft-com:office:smarttags" w:element="PersonName">
        <w:smartTagPr>
          <w:attr w:name="ProductID" w:val="la Polic￭a Bonaerense."/>
        </w:smartTagPr>
        <w:r>
          <w:rPr>
            <w:lang w:val="es-ES_tradnl"/>
          </w:rPr>
          <w:t>la Policía Bona</w:t>
        </w:r>
        <w:r>
          <w:rPr>
            <w:lang w:val="es-ES_tradnl"/>
          </w:rPr>
          <w:t>e</w:t>
        </w:r>
        <w:r>
          <w:rPr>
            <w:lang w:val="es-ES_tradnl"/>
          </w:rPr>
          <w:t>rense.</w:t>
        </w:r>
      </w:smartTag>
    </w:p>
    <w:p w:rsidR="00224567" w:rsidRDefault="00224567">
      <w:pPr>
        <w:ind w:firstLine="2835"/>
        <w:rPr>
          <w:lang w:val="es-ES_tradnl"/>
        </w:rPr>
      </w:pPr>
      <w:r>
        <w:rPr>
          <w:lang w:val="es-ES_tradnl"/>
        </w:rPr>
        <w:t>No supo que Telleldín, a cambio de su libertad, haya entregado el Renault 18 en el que circul</w:t>
      </w:r>
      <w:r>
        <w:rPr>
          <w:lang w:val="es-ES_tradnl"/>
        </w:rPr>
        <w:t>a</w:t>
      </w:r>
      <w:r>
        <w:rPr>
          <w:lang w:val="es-ES_tradnl"/>
        </w:rPr>
        <w:t>ba, un Ford Falcon, una moto Kawasaki y dinero en efect</w:t>
      </w:r>
      <w:r>
        <w:rPr>
          <w:lang w:val="es-ES_tradnl"/>
        </w:rPr>
        <w:t>i</w:t>
      </w:r>
      <w:r>
        <w:rPr>
          <w:lang w:val="es-ES_tradnl"/>
        </w:rPr>
        <w:t>vo.</w:t>
      </w:r>
    </w:p>
    <w:p w:rsidR="00224567" w:rsidRDefault="00224567">
      <w:pPr>
        <w:ind w:firstLine="2835"/>
        <w:rPr>
          <w:lang w:val="es-ES_tradnl"/>
        </w:rPr>
      </w:pPr>
      <w:r>
        <w:rPr>
          <w:lang w:val="es-ES_tradnl"/>
        </w:rPr>
        <w:t>Manifestó desconocer cómo era el man</w:t>
      </w:r>
      <w:r>
        <w:rPr>
          <w:lang w:val="es-ES_tradnl"/>
        </w:rPr>
        <w:t>e</w:t>
      </w:r>
      <w:r>
        <w:rPr>
          <w:lang w:val="es-ES_tradnl"/>
        </w:rPr>
        <w:t xml:space="preserve">jo del grupo operativo de </w:t>
      </w:r>
      <w:smartTag w:uri="urn:schemas-microsoft-com:office:smarttags" w:element="PersonName">
        <w:smartTagPr>
          <w:attr w:name="ProductID" w:val="la Brigada"/>
        </w:smartTagPr>
        <w:r>
          <w:rPr>
            <w:lang w:val="es-ES_tradnl"/>
          </w:rPr>
          <w:t>la Brigada</w:t>
        </w:r>
      </w:smartTag>
      <w:r>
        <w:rPr>
          <w:lang w:val="es-ES_tradnl"/>
        </w:rPr>
        <w:t xml:space="preserve"> de Lanús, y agregó que eso lo podía contestar el jefe de operaci</w:t>
      </w:r>
      <w:r>
        <w:rPr>
          <w:lang w:val="es-ES_tradnl"/>
        </w:rPr>
        <w:t>o</w:t>
      </w:r>
      <w:r>
        <w:rPr>
          <w:lang w:val="es-ES_tradnl"/>
        </w:rPr>
        <w:t>nes de cada br</w:t>
      </w:r>
      <w:r>
        <w:rPr>
          <w:lang w:val="es-ES_tradnl"/>
        </w:rPr>
        <w:t>i</w:t>
      </w:r>
      <w:r>
        <w:rPr>
          <w:lang w:val="es-ES_tradnl"/>
        </w:rPr>
        <w:t>gada.</w:t>
      </w:r>
    </w:p>
    <w:p w:rsidR="00224567" w:rsidRDefault="00224567">
      <w:pPr>
        <w:ind w:firstLine="2835"/>
        <w:rPr>
          <w:lang w:val="es-ES_tradnl"/>
        </w:rPr>
      </w:pPr>
      <w:r>
        <w:rPr>
          <w:lang w:val="es-ES_tradnl"/>
        </w:rPr>
        <w:t>Afirmó que el subcomisario Juan José Ribelli era el jefe de operaciones en la época en que se detuvo a Telleldín y a Petrucci; Burguete era el s</w:t>
      </w:r>
      <w:r>
        <w:rPr>
          <w:lang w:val="es-ES_tradnl"/>
        </w:rPr>
        <w:t>e</w:t>
      </w:r>
      <w:r>
        <w:rPr>
          <w:lang w:val="es-ES_tradnl"/>
        </w:rPr>
        <w:t>gundo y cumplía funciones de jefe admini</w:t>
      </w:r>
      <w:r>
        <w:rPr>
          <w:lang w:val="es-ES_tradnl"/>
        </w:rPr>
        <w:t>s</w:t>
      </w:r>
      <w:r>
        <w:rPr>
          <w:lang w:val="es-ES_tradnl"/>
        </w:rPr>
        <w:t>trativo.</w:t>
      </w:r>
    </w:p>
    <w:p w:rsidR="00224567" w:rsidRDefault="00224567">
      <w:pPr>
        <w:ind w:firstLine="2835"/>
        <w:rPr>
          <w:lang w:val="es-ES_tradnl"/>
        </w:rPr>
      </w:pPr>
      <w:r>
        <w:rPr>
          <w:lang w:val="es-ES_tradnl"/>
        </w:rPr>
        <w:t>Exhibidas las fotocopias de las actu</w:t>
      </w:r>
      <w:r>
        <w:rPr>
          <w:lang w:val="es-ES_tradnl"/>
        </w:rPr>
        <w:t>a</w:t>
      </w:r>
      <w:r>
        <w:rPr>
          <w:lang w:val="es-ES_tradnl"/>
        </w:rPr>
        <w:t xml:space="preserve">ciones producidas en </w:t>
      </w:r>
      <w:smartTag w:uri="urn:schemas-microsoft-com:office:smarttags" w:element="PersonName">
        <w:smartTagPr>
          <w:attr w:name="ProductID" w:val="la Brigada"/>
        </w:smartTagPr>
        <w:r>
          <w:rPr>
            <w:lang w:val="es-ES_tradnl"/>
          </w:rPr>
          <w:t>la Brigada</w:t>
        </w:r>
      </w:smartTag>
      <w:r>
        <w:rPr>
          <w:lang w:val="es-ES_tradnl"/>
        </w:rPr>
        <w:t xml:space="preserve"> de Investigaciones II de Lanús de fs. 220/243 de la ex causa n° 1598, preguntado acerca de por qué la declaración de Raúl Edilio Ibarra d</w:t>
      </w:r>
      <w:r>
        <w:rPr>
          <w:lang w:val="es-ES_tradnl"/>
        </w:rPr>
        <w:t>i</w:t>
      </w:r>
      <w:r>
        <w:rPr>
          <w:lang w:val="es-ES_tradnl"/>
        </w:rPr>
        <w:t>fería de la que en fotocopia obraba a fs. 132/138 y 198/202, respondió que eso pudo haber sucedido debido al cúmulo de trabajo que había en la brigada y a que involu</w:t>
      </w:r>
      <w:r>
        <w:rPr>
          <w:lang w:val="es-ES_tradnl"/>
        </w:rPr>
        <w:t>n</w:t>
      </w:r>
      <w:r>
        <w:rPr>
          <w:lang w:val="es-ES_tradnl"/>
        </w:rPr>
        <w:t>tariamente lo haya firmado Bacig</w:t>
      </w:r>
      <w:r>
        <w:rPr>
          <w:lang w:val="es-ES_tradnl"/>
        </w:rPr>
        <w:t>a</w:t>
      </w:r>
      <w:r>
        <w:rPr>
          <w:lang w:val="es-ES_tradnl"/>
        </w:rPr>
        <w:t>lupo.</w:t>
      </w:r>
    </w:p>
    <w:p w:rsidR="00224567" w:rsidRDefault="00224567">
      <w:pPr>
        <w:ind w:firstLine="2835"/>
        <w:rPr>
          <w:lang w:val="es-ES_tradnl"/>
        </w:rPr>
      </w:pPr>
      <w:r>
        <w:rPr>
          <w:lang w:val="es-ES_tradnl"/>
        </w:rPr>
        <w:t>Aclaró que respecto a la aver</w:t>
      </w:r>
      <w:r>
        <w:rPr>
          <w:lang w:val="es-ES_tradnl"/>
        </w:rPr>
        <w:t>i</w:t>
      </w:r>
      <w:r>
        <w:rPr>
          <w:lang w:val="es-ES_tradnl"/>
        </w:rPr>
        <w:t>guación de antecedentes, esa declaración fue firmada por el pri</w:t>
      </w:r>
      <w:r>
        <w:rPr>
          <w:lang w:val="es-ES_tradnl"/>
        </w:rPr>
        <w:t>n</w:t>
      </w:r>
      <w:r>
        <w:rPr>
          <w:lang w:val="es-ES_tradnl"/>
        </w:rPr>
        <w:t>cipal Bacigalupo, y en la causa penal el declarante era el e</w:t>
      </w:r>
      <w:r>
        <w:rPr>
          <w:lang w:val="es-ES_tradnl"/>
        </w:rPr>
        <w:t>n</w:t>
      </w:r>
      <w:r>
        <w:rPr>
          <w:lang w:val="es-ES_tradnl"/>
        </w:rPr>
        <w:t>cargado de firmar.</w:t>
      </w:r>
    </w:p>
    <w:p w:rsidR="00224567" w:rsidRDefault="00224567">
      <w:pPr>
        <w:ind w:firstLine="2835"/>
        <w:rPr>
          <w:lang w:val="es-ES_tradnl"/>
        </w:rPr>
      </w:pPr>
      <w:r>
        <w:rPr>
          <w:lang w:val="es-ES_tradnl"/>
        </w:rPr>
        <w:t>Reconoció como suyas algunas de las firmas existentes en las actuaciones de fs. 123/143 y 198/202 de la ex causa n° 1598.</w:t>
      </w:r>
    </w:p>
    <w:p w:rsidR="00224567" w:rsidRDefault="00224567">
      <w:pPr>
        <w:ind w:firstLine="2835"/>
        <w:rPr>
          <w:lang w:val="es-ES_tradnl"/>
        </w:rPr>
      </w:pPr>
      <w:r>
        <w:rPr>
          <w:lang w:val="es-ES_tradnl"/>
        </w:rPr>
        <w:t>Exhibidas las actuaciones obrantes a fs. 173/180 de la causa nº 5681 antes referida, recon</w:t>
      </w:r>
      <w:r>
        <w:rPr>
          <w:lang w:val="es-ES_tradnl"/>
        </w:rPr>
        <w:t>o</w:t>
      </w:r>
      <w:r>
        <w:rPr>
          <w:lang w:val="es-ES_tradnl"/>
        </w:rPr>
        <w:t>ció como propias las firmas allí inse</w:t>
      </w:r>
      <w:r>
        <w:rPr>
          <w:lang w:val="es-ES_tradnl"/>
        </w:rPr>
        <w:t>r</w:t>
      </w:r>
      <w:r>
        <w:rPr>
          <w:lang w:val="es-ES_tradnl"/>
        </w:rPr>
        <w:t>tas.</w:t>
      </w:r>
    </w:p>
    <w:p w:rsidR="00224567" w:rsidRDefault="00224567">
      <w:pPr>
        <w:ind w:firstLine="2835"/>
        <w:rPr>
          <w:lang w:val="es-ES_tradnl"/>
        </w:rPr>
      </w:pPr>
      <w:r>
        <w:rPr>
          <w:lang w:val="es-ES_tradnl"/>
        </w:rPr>
        <w:t>Señaló que no sabía si tenía prontu</w:t>
      </w:r>
      <w:r>
        <w:rPr>
          <w:lang w:val="es-ES_tradnl"/>
        </w:rPr>
        <w:t>a</w:t>
      </w:r>
      <w:r>
        <w:rPr>
          <w:lang w:val="es-ES_tradnl"/>
        </w:rPr>
        <w:t>rio policial la persona retratada en la foto nº 4 de fs. 178. Desconoció los motivos por los que no se colocó el número de prontuario, y si lo tenía.</w:t>
      </w:r>
    </w:p>
    <w:p w:rsidR="00224567" w:rsidRDefault="00224567">
      <w:pPr>
        <w:ind w:firstLine="2835"/>
        <w:rPr>
          <w:lang w:val="es-ES_tradnl"/>
        </w:rPr>
      </w:pPr>
      <w:r>
        <w:rPr>
          <w:lang w:val="es-ES_tradnl"/>
        </w:rPr>
        <w:t>Afirmó que fue el encargado de agr</w:t>
      </w:r>
      <w:r>
        <w:rPr>
          <w:lang w:val="es-ES_tradnl"/>
        </w:rPr>
        <w:t>e</w:t>
      </w:r>
      <w:r>
        <w:rPr>
          <w:lang w:val="es-ES_tradnl"/>
        </w:rPr>
        <w:t>gar dichas fotos, las extrajo del registro del malv</w:t>
      </w:r>
      <w:r>
        <w:rPr>
          <w:lang w:val="es-ES_tradnl"/>
        </w:rPr>
        <w:t>i</w:t>
      </w:r>
      <w:r>
        <w:rPr>
          <w:lang w:val="es-ES_tradnl"/>
        </w:rPr>
        <w:t>vientes y fueron colocadas allí con el objeto de realizar un recon</w:t>
      </w:r>
      <w:r>
        <w:rPr>
          <w:lang w:val="es-ES_tradnl"/>
        </w:rPr>
        <w:t>o</w:t>
      </w:r>
      <w:r>
        <w:rPr>
          <w:lang w:val="es-ES_tradnl"/>
        </w:rPr>
        <w:t>cimiento fotográfico.</w:t>
      </w:r>
    </w:p>
    <w:p w:rsidR="00224567" w:rsidRDefault="00224567">
      <w:pPr>
        <w:ind w:firstLine="2835"/>
        <w:rPr>
          <w:lang w:val="es-ES_tradnl"/>
        </w:rPr>
      </w:pPr>
      <w:r>
        <w:rPr>
          <w:lang w:val="es-ES_tradnl"/>
        </w:rPr>
        <w:t>Leída que fuera la declaración de Hu</w:t>
      </w:r>
      <w:r>
        <w:rPr>
          <w:lang w:val="es-ES_tradnl"/>
        </w:rPr>
        <w:t>i</w:t>
      </w:r>
      <w:r>
        <w:rPr>
          <w:lang w:val="es-ES_tradnl"/>
        </w:rPr>
        <w:t>ci obrante a fs. 186/187 respondió que fueron cre</w:t>
      </w:r>
      <w:r>
        <w:rPr>
          <w:lang w:val="es-ES_tradnl"/>
        </w:rPr>
        <w:t>í</w:t>
      </w:r>
      <w:r>
        <w:rPr>
          <w:lang w:val="es-ES_tradnl"/>
        </w:rPr>
        <w:t>bles los dichos de Huici en cuanto que A</w:t>
      </w:r>
      <w:r>
        <w:rPr>
          <w:lang w:val="es-ES_tradnl"/>
        </w:rPr>
        <w:t>m</w:t>
      </w:r>
      <w:r>
        <w:rPr>
          <w:lang w:val="es-ES_tradnl"/>
        </w:rPr>
        <w:t>brosi había confesado los delitos cometidos.</w:t>
      </w:r>
    </w:p>
    <w:p w:rsidR="00224567" w:rsidRDefault="00224567">
      <w:pPr>
        <w:ind w:firstLine="2835"/>
        <w:rPr>
          <w:lang w:val="es-ES_tradnl"/>
        </w:rPr>
      </w:pPr>
      <w:r>
        <w:rPr>
          <w:lang w:val="es-ES_tradnl"/>
        </w:rPr>
        <w:t>Agregó que hubo un caso llamado “Tr</w:t>
      </w:r>
      <w:r>
        <w:rPr>
          <w:lang w:val="es-ES_tradnl"/>
        </w:rPr>
        <w:t>u</w:t>
      </w:r>
      <w:r>
        <w:rPr>
          <w:lang w:val="es-ES_tradnl"/>
        </w:rPr>
        <w:t>so” de Chivilcoy en el cual el imputado narró ante test</w:t>
      </w:r>
      <w:r>
        <w:rPr>
          <w:lang w:val="es-ES_tradnl"/>
        </w:rPr>
        <w:t>i</w:t>
      </w:r>
      <w:r>
        <w:rPr>
          <w:lang w:val="es-ES_tradnl"/>
        </w:rPr>
        <w:t>gos y una cámara de vídeo cómo cometió el hecho. Indicó que esa causa tramitaba ante el Juzgado Criminal y Corre</w:t>
      </w:r>
      <w:r>
        <w:rPr>
          <w:lang w:val="es-ES_tradnl"/>
        </w:rPr>
        <w:t>c</w:t>
      </w:r>
      <w:r>
        <w:rPr>
          <w:lang w:val="es-ES_tradnl"/>
        </w:rPr>
        <w:t>cional de Mercedes, no recordando cómo se reso</w:t>
      </w:r>
      <w:r>
        <w:rPr>
          <w:lang w:val="es-ES_tradnl"/>
        </w:rPr>
        <w:t>l</w:t>
      </w:r>
      <w:r>
        <w:rPr>
          <w:lang w:val="es-ES_tradnl"/>
        </w:rPr>
        <w:t>vió.</w:t>
      </w:r>
    </w:p>
    <w:p w:rsidR="00224567" w:rsidRDefault="00224567">
      <w:pPr>
        <w:ind w:firstLine="2835"/>
        <w:rPr>
          <w:lang w:val="es-ES_tradnl"/>
        </w:rPr>
      </w:pPr>
      <w:r>
        <w:rPr>
          <w:lang w:val="es-ES_tradnl"/>
        </w:rPr>
        <w:t xml:space="preserve">Dijo que a Lasala lo conoció en </w:t>
      </w:r>
      <w:smartTag w:uri="urn:schemas-microsoft-com:office:smarttags" w:element="PersonName">
        <w:smartTagPr>
          <w:attr w:name="ProductID" w:val="la Brigada"/>
        </w:smartTagPr>
        <w:r>
          <w:rPr>
            <w:lang w:val="es-ES_tradnl"/>
          </w:rPr>
          <w:t>la Brigada</w:t>
        </w:r>
      </w:smartTag>
      <w:r>
        <w:rPr>
          <w:lang w:val="es-ES_tradnl"/>
        </w:rPr>
        <w:t xml:space="preserve"> de General Sarmiento, donde tuvo una relación de jefe a subalterno. Precisó que luego de ser trasladado a </w:t>
      </w:r>
      <w:smartTag w:uri="urn:schemas-microsoft-com:office:smarttags" w:element="PersonName">
        <w:smartTagPr>
          <w:attr w:name="ProductID" w:val="la Brigada"/>
        </w:smartTagPr>
        <w:r>
          <w:rPr>
            <w:lang w:val="es-ES_tradnl"/>
          </w:rPr>
          <w:t>la Brigada</w:t>
        </w:r>
      </w:smartTag>
      <w:r>
        <w:rPr>
          <w:lang w:val="es-ES_tradnl"/>
        </w:rPr>
        <w:t xml:space="preserve"> de Lanús no lo volvió a ver hasta encontrá</w:t>
      </w:r>
      <w:r>
        <w:rPr>
          <w:lang w:val="es-ES_tradnl"/>
        </w:rPr>
        <w:t>r</w:t>
      </w:r>
      <w:r>
        <w:rPr>
          <w:lang w:val="es-ES_tradnl"/>
        </w:rPr>
        <w:t>selo en la unidad de detención.</w:t>
      </w:r>
    </w:p>
    <w:p w:rsidR="00224567" w:rsidRDefault="00224567">
      <w:pPr>
        <w:ind w:firstLine="2835"/>
        <w:rPr>
          <w:lang w:val="es-ES_tradnl"/>
        </w:rPr>
      </w:pPr>
      <w:r>
        <w:rPr>
          <w:lang w:val="es-ES_tradnl"/>
        </w:rPr>
        <w:t xml:space="preserve">Afirmó que Toledo era un subalterno suyo, y que a Albarracín y a Huici los conoció en </w:t>
      </w:r>
      <w:smartTag w:uri="urn:schemas-microsoft-com:office:smarttags" w:element="PersonName">
        <w:smartTagPr>
          <w:attr w:name="ProductID" w:val="la Brigada"/>
        </w:smartTagPr>
        <w:r>
          <w:rPr>
            <w:lang w:val="es-ES_tradnl"/>
          </w:rPr>
          <w:t>la Br</w:t>
        </w:r>
        <w:r>
          <w:rPr>
            <w:lang w:val="es-ES_tradnl"/>
          </w:rPr>
          <w:t>i</w:t>
        </w:r>
        <w:r>
          <w:rPr>
            <w:lang w:val="es-ES_tradnl"/>
          </w:rPr>
          <w:t>gada</w:t>
        </w:r>
      </w:smartTag>
      <w:r>
        <w:rPr>
          <w:lang w:val="es-ES_tradnl"/>
        </w:rPr>
        <w:t xml:space="preserve"> de Lanús. Aclaró que llegaron después que él.</w:t>
      </w:r>
    </w:p>
    <w:p w:rsidR="00224567" w:rsidRDefault="00224567">
      <w:pPr>
        <w:ind w:firstLine="2835"/>
        <w:rPr>
          <w:lang w:val="es-ES_tradnl"/>
        </w:rPr>
      </w:pPr>
      <w:r>
        <w:rPr>
          <w:lang w:val="es-ES_tradnl"/>
        </w:rPr>
        <w:t>Bacigalupo fue compañero suyo en la escuela de cadetes, y después de 15 años del egreso lo e</w:t>
      </w:r>
      <w:r>
        <w:rPr>
          <w:lang w:val="es-ES_tradnl"/>
        </w:rPr>
        <w:t>n</w:t>
      </w:r>
      <w:r>
        <w:rPr>
          <w:lang w:val="es-ES_tradnl"/>
        </w:rPr>
        <w:t xml:space="preserve">contró en </w:t>
      </w:r>
      <w:smartTag w:uri="urn:schemas-microsoft-com:office:smarttags" w:element="PersonName">
        <w:smartTagPr>
          <w:attr w:name="ProductID" w:val="la Brigada"/>
        </w:smartTagPr>
        <w:r>
          <w:rPr>
            <w:lang w:val="es-ES_tradnl"/>
          </w:rPr>
          <w:t>la Brigada</w:t>
        </w:r>
      </w:smartTag>
      <w:r>
        <w:rPr>
          <w:lang w:val="es-ES_tradnl"/>
        </w:rPr>
        <w:t xml:space="preserve"> de Lanús.</w:t>
      </w:r>
    </w:p>
    <w:p w:rsidR="00224567" w:rsidRDefault="00224567">
      <w:pPr>
        <w:ind w:firstLine="2835"/>
        <w:rPr>
          <w:lang w:val="es-ES_tradnl"/>
        </w:rPr>
      </w:pPr>
      <w:r>
        <w:rPr>
          <w:lang w:val="es-ES_tradnl"/>
        </w:rPr>
        <w:t xml:space="preserve">Señaló que Araya llegó a </w:t>
      </w:r>
      <w:smartTag w:uri="urn:schemas-microsoft-com:office:smarttags" w:element="PersonName">
        <w:smartTagPr>
          <w:attr w:name="ProductID" w:val="la Brigada"/>
        </w:smartTagPr>
        <w:r>
          <w:rPr>
            <w:lang w:val="es-ES_tradnl"/>
          </w:rPr>
          <w:t>la Br</w:t>
        </w:r>
        <w:r>
          <w:rPr>
            <w:lang w:val="es-ES_tradnl"/>
          </w:rPr>
          <w:t>i</w:t>
        </w:r>
        <w:r>
          <w:rPr>
            <w:lang w:val="es-ES_tradnl"/>
          </w:rPr>
          <w:t>gada</w:t>
        </w:r>
      </w:smartTag>
      <w:r>
        <w:rPr>
          <w:lang w:val="es-ES_tradnl"/>
        </w:rPr>
        <w:t xml:space="preserve"> de Lanús después que él, y que aquél estaba dentro de un gr</w:t>
      </w:r>
      <w:r>
        <w:rPr>
          <w:lang w:val="es-ES_tradnl"/>
        </w:rPr>
        <w:t>u</w:t>
      </w:r>
      <w:r>
        <w:rPr>
          <w:lang w:val="es-ES_tradnl"/>
        </w:rPr>
        <w:t>po operativo y el dicente cumplía funciones judici</w:t>
      </w:r>
      <w:r>
        <w:rPr>
          <w:lang w:val="es-ES_tradnl"/>
        </w:rPr>
        <w:t>a</w:t>
      </w:r>
      <w:r>
        <w:rPr>
          <w:lang w:val="es-ES_tradnl"/>
        </w:rPr>
        <w:t>les.</w:t>
      </w:r>
    </w:p>
    <w:p w:rsidR="00224567" w:rsidRDefault="00224567">
      <w:pPr>
        <w:ind w:firstLine="2835"/>
        <w:rPr>
          <w:lang w:val="es-ES_tradnl"/>
        </w:rPr>
      </w:pPr>
      <w:r>
        <w:rPr>
          <w:lang w:val="es-ES_tradnl"/>
        </w:rPr>
        <w:t>A Cruz lo conoció cuando se desempeñ</w:t>
      </w:r>
      <w:r>
        <w:rPr>
          <w:lang w:val="es-ES_tradnl"/>
        </w:rPr>
        <w:t>a</w:t>
      </w:r>
      <w:r>
        <w:rPr>
          <w:lang w:val="es-ES_tradnl"/>
        </w:rPr>
        <w:t xml:space="preserve">ba en </w:t>
      </w:r>
      <w:smartTag w:uri="urn:schemas-microsoft-com:office:smarttags" w:element="PersonName">
        <w:smartTagPr>
          <w:attr w:name="ProductID" w:val="la Brigada"/>
        </w:smartTagPr>
        <w:r>
          <w:rPr>
            <w:lang w:val="es-ES_tradnl"/>
          </w:rPr>
          <w:t>la Brigada</w:t>
        </w:r>
      </w:smartTag>
      <w:r>
        <w:rPr>
          <w:lang w:val="es-ES_tradnl"/>
        </w:rPr>
        <w:t xml:space="preserve"> de General Sarmiento, posteriormente se encontraron en Lanús y luego fue trasladado sin saber su destino.</w:t>
      </w:r>
    </w:p>
    <w:p w:rsidR="00224567" w:rsidRDefault="00224567">
      <w:pPr>
        <w:ind w:firstLine="2835"/>
        <w:rPr>
          <w:lang w:val="es-ES_tradnl"/>
        </w:rPr>
      </w:pPr>
      <w:r>
        <w:rPr>
          <w:lang w:val="es-ES_tradnl"/>
        </w:rPr>
        <w:t>Negó conocer u oír hablar de Jorge H</w:t>
      </w:r>
      <w:r>
        <w:rPr>
          <w:lang w:val="es-ES_tradnl"/>
        </w:rPr>
        <w:t>o</w:t>
      </w:r>
      <w:r>
        <w:rPr>
          <w:lang w:val="es-ES_tradnl"/>
        </w:rPr>
        <w:t>racio Rago, Anastasio Ireneo Leal, Manuel Enrique Gar</w:t>
      </w:r>
      <w:r>
        <w:rPr>
          <w:lang w:val="es-ES_tradnl"/>
        </w:rPr>
        <w:t>c</w:t>
      </w:r>
      <w:r>
        <w:rPr>
          <w:lang w:val="es-ES_tradnl"/>
        </w:rPr>
        <w:t>ía, Daniel Emilio Quinteros, Diego Enrique Barreda y Mario Norberto Bareiro.</w:t>
      </w:r>
    </w:p>
    <w:p w:rsidR="00224567" w:rsidRDefault="00224567">
      <w:pPr>
        <w:ind w:firstLine="2835"/>
        <w:rPr>
          <w:lang w:val="es-ES_tradnl"/>
        </w:rPr>
      </w:pPr>
      <w:r>
        <w:rPr>
          <w:lang w:val="es-ES_tradnl"/>
        </w:rPr>
        <w:t>Tampoco supo quién le dio ingreso a Telleldín y a Petrucci. Manifestó que se le daba entrada en el libro de novedades de la guardia y en el libro de regi</w:t>
      </w:r>
      <w:r>
        <w:rPr>
          <w:lang w:val="es-ES_tradnl"/>
        </w:rPr>
        <w:t>s</w:t>
      </w:r>
      <w:r>
        <w:rPr>
          <w:lang w:val="es-ES_tradnl"/>
        </w:rPr>
        <w:t>tro de detenidos.</w:t>
      </w:r>
    </w:p>
    <w:p w:rsidR="00224567" w:rsidRDefault="00224567">
      <w:pPr>
        <w:ind w:firstLine="2835"/>
        <w:rPr>
          <w:lang w:val="es-ES_tradnl"/>
        </w:rPr>
      </w:pPr>
      <w:r>
        <w:rPr>
          <w:lang w:val="es-ES_tradnl"/>
        </w:rPr>
        <w:t>Recordó que tuvo un aparato celular “Miniphone” hacía aproximadamente dos años y medio de la declaración, pero no recordó el núm</w:t>
      </w:r>
      <w:r>
        <w:rPr>
          <w:lang w:val="es-ES_tradnl"/>
        </w:rPr>
        <w:t>e</w:t>
      </w:r>
      <w:r>
        <w:rPr>
          <w:lang w:val="es-ES_tradnl"/>
        </w:rPr>
        <w:t>ro.</w:t>
      </w:r>
    </w:p>
    <w:p w:rsidR="00224567" w:rsidRDefault="00224567">
      <w:pPr>
        <w:ind w:firstLine="2835"/>
        <w:rPr>
          <w:lang w:val="es-ES_tradnl"/>
        </w:rPr>
      </w:pPr>
      <w:r>
        <w:rPr>
          <w:lang w:val="es-ES_tradnl"/>
        </w:rPr>
        <w:t>Afirmó que con Juan José Ribelli est</w:t>
      </w:r>
      <w:r>
        <w:rPr>
          <w:lang w:val="es-ES_tradnl"/>
        </w:rPr>
        <w:t>u</w:t>
      </w:r>
      <w:r>
        <w:rPr>
          <w:lang w:val="es-ES_tradnl"/>
        </w:rPr>
        <w:t>vo en General Sarmiento y posteriormente en Lanús. Respe</w:t>
      </w:r>
      <w:r>
        <w:rPr>
          <w:lang w:val="es-ES_tradnl"/>
        </w:rPr>
        <w:t>c</w:t>
      </w:r>
      <w:r>
        <w:rPr>
          <w:lang w:val="es-ES_tradnl"/>
        </w:rPr>
        <w:t>to a Ibarra manifestó que fue compañero de promoción y luego compartieron el mismo destino en Lanús.</w:t>
      </w:r>
    </w:p>
    <w:p w:rsidR="00224567" w:rsidRDefault="00224567">
      <w:pPr>
        <w:ind w:firstLine="2835"/>
        <w:rPr>
          <w:lang w:val="es-ES_tradnl"/>
        </w:rPr>
      </w:pPr>
      <w:r>
        <w:rPr>
          <w:lang w:val="es-ES_tradnl"/>
        </w:rPr>
        <w:t>Negó formar parte de una asociación destinada a cometer delitos.</w:t>
      </w:r>
    </w:p>
    <w:p w:rsidR="00224567" w:rsidRDefault="00224567">
      <w:pPr>
        <w:pStyle w:val="Sangradetextonormal"/>
        <w:ind w:firstLine="2835"/>
      </w:pPr>
      <w:r>
        <w:t>Preguntado acerca de si participó de modo alguno para obtener en forma ilegal la camioneta Tr</w:t>
      </w:r>
      <w:r>
        <w:t>a</w:t>
      </w:r>
      <w:r>
        <w:t xml:space="preserve">fic, que fuera utilizada como coche bomba en el atentado a la sede de </w:t>
      </w:r>
      <w:smartTag w:uri="urn:schemas-microsoft-com:office:smarttags" w:element="PersonName">
        <w:smartTagPr>
          <w:attr w:name="ProductID" w:val="la A.M"/>
        </w:smartTagPr>
        <w:r>
          <w:t>la A.M</w:t>
        </w:r>
      </w:smartTag>
      <w:r>
        <w:t>.I.A. y específicamente si ejerció pr</w:t>
      </w:r>
      <w:r>
        <w:t>e</w:t>
      </w:r>
      <w:r>
        <w:t>siones sobre Carlos Alberto Telleldín, para que la entr</w:t>
      </w:r>
      <w:r>
        <w:t>e</w:t>
      </w:r>
      <w:r>
        <w:t>gara en el domicilio de la calle República 107 de Villa Ballester el 10 de julio de 1994, contestó que no.</w:t>
      </w:r>
    </w:p>
    <w:p w:rsidR="00224567" w:rsidRDefault="00224567">
      <w:pPr>
        <w:ind w:firstLine="2835"/>
        <w:rPr>
          <w:lang w:val="es-ES_tradnl"/>
        </w:rPr>
      </w:pPr>
      <w:r>
        <w:rPr>
          <w:lang w:val="es-ES_tradnl"/>
        </w:rPr>
        <w:t>Negó haber participado brindando col</w:t>
      </w:r>
      <w:r>
        <w:rPr>
          <w:lang w:val="es-ES_tradnl"/>
        </w:rPr>
        <w:t>a</w:t>
      </w:r>
      <w:r>
        <w:rPr>
          <w:lang w:val="es-ES_tradnl"/>
        </w:rPr>
        <w:t xml:space="preserve">boración a </w:t>
      </w:r>
      <w:smartTag w:uri="urn:schemas-microsoft-com:office:smarttags" w:element="PersonName">
        <w:smartTagPr>
          <w:attr w:name="ProductID" w:val="la Brigada"/>
        </w:smartTagPr>
        <w:r>
          <w:rPr>
            <w:lang w:val="es-ES_tradnl"/>
          </w:rPr>
          <w:t>la Brigada</w:t>
        </w:r>
      </w:smartTag>
      <w:r>
        <w:rPr>
          <w:lang w:val="es-ES_tradnl"/>
        </w:rPr>
        <w:t xml:space="preserve"> de Investigaciones de Lanús con el fin de privar ilegítimamente de la libertad a pers</w:t>
      </w:r>
      <w:r>
        <w:rPr>
          <w:lang w:val="es-ES_tradnl"/>
        </w:rPr>
        <w:t>o</w:t>
      </w:r>
      <w:r>
        <w:rPr>
          <w:lang w:val="es-ES_tradnl"/>
        </w:rPr>
        <w:t>nas, a efectos de obtener una suma de dinero o bienes a ca</w:t>
      </w:r>
      <w:r>
        <w:rPr>
          <w:lang w:val="es-ES_tradnl"/>
        </w:rPr>
        <w:t>m</w:t>
      </w:r>
      <w:r>
        <w:rPr>
          <w:lang w:val="es-ES_tradnl"/>
        </w:rPr>
        <w:t>bio de la libertad de las mismas, del que debía re</w:t>
      </w:r>
      <w:r>
        <w:rPr>
          <w:lang w:val="es-ES_tradnl"/>
        </w:rPr>
        <w:t>s</w:t>
      </w:r>
      <w:r>
        <w:rPr>
          <w:lang w:val="es-ES_tradnl"/>
        </w:rPr>
        <w:t>ponder en ese sentido Carlos Albe</w:t>
      </w:r>
      <w:r>
        <w:rPr>
          <w:lang w:val="es-ES_tradnl"/>
        </w:rPr>
        <w:t>r</w:t>
      </w:r>
      <w:r>
        <w:rPr>
          <w:lang w:val="es-ES_tradnl"/>
        </w:rPr>
        <w:t>to Telleldín.</w:t>
      </w:r>
    </w:p>
    <w:p w:rsidR="00224567" w:rsidRDefault="00224567">
      <w:pPr>
        <w:ind w:firstLine="2835"/>
        <w:rPr>
          <w:lang w:val="es-ES_tradnl"/>
        </w:rPr>
      </w:pPr>
      <w:r>
        <w:rPr>
          <w:lang w:val="es-ES_tradnl"/>
        </w:rPr>
        <w:t>Interrogado respecto de si prestó c</w:t>
      </w:r>
      <w:r>
        <w:rPr>
          <w:lang w:val="es-ES_tradnl"/>
        </w:rPr>
        <w:t>o</w:t>
      </w:r>
      <w:r>
        <w:rPr>
          <w:lang w:val="es-ES_tradnl"/>
        </w:rPr>
        <w:t xml:space="preserve">laboración con </w:t>
      </w:r>
      <w:smartTag w:uri="urn:schemas-microsoft-com:office:smarttags" w:element="PersonName">
        <w:smartTagPr>
          <w:attr w:name="ProductID" w:val="la Brigada"/>
        </w:smartTagPr>
        <w:r>
          <w:rPr>
            <w:lang w:val="es-ES_tradnl"/>
          </w:rPr>
          <w:t>la Brigada</w:t>
        </w:r>
      </w:smartTag>
      <w:r>
        <w:rPr>
          <w:lang w:val="es-ES_tradnl"/>
        </w:rPr>
        <w:t xml:space="preserve"> de Investigaciones de Vicente López, a fin de lograr la detención ilegal de Carlos A</w:t>
      </w:r>
      <w:r>
        <w:rPr>
          <w:lang w:val="es-ES_tradnl"/>
        </w:rPr>
        <w:t>l</w:t>
      </w:r>
      <w:r>
        <w:rPr>
          <w:lang w:val="es-ES_tradnl"/>
        </w:rPr>
        <w:t>berto Telleldín, con el objeto de obtener una suma de d</w:t>
      </w:r>
      <w:r>
        <w:rPr>
          <w:lang w:val="es-ES_tradnl"/>
        </w:rPr>
        <w:t>i</w:t>
      </w:r>
      <w:r>
        <w:rPr>
          <w:lang w:val="es-ES_tradnl"/>
        </w:rPr>
        <w:t>nero o bienes a cambio de su l</w:t>
      </w:r>
      <w:r>
        <w:rPr>
          <w:lang w:val="es-ES_tradnl"/>
        </w:rPr>
        <w:t>i</w:t>
      </w:r>
      <w:r>
        <w:rPr>
          <w:lang w:val="es-ES_tradnl"/>
        </w:rPr>
        <w:t>bertad, respondió que no.</w:t>
      </w:r>
    </w:p>
    <w:p w:rsidR="00224567" w:rsidRDefault="00224567">
      <w:pPr>
        <w:ind w:firstLine="2835"/>
        <w:rPr>
          <w:lang w:val="es-ES_tradnl"/>
        </w:rPr>
      </w:pPr>
      <w:r>
        <w:rPr>
          <w:lang w:val="es-ES_tradnl"/>
        </w:rPr>
        <w:t>Afirmó que el 10 de julio de 1994 se encontraba en Catamarca, específicamente en un pueblo ll</w:t>
      </w:r>
      <w:r>
        <w:rPr>
          <w:lang w:val="es-ES_tradnl"/>
        </w:rPr>
        <w:t>a</w:t>
      </w:r>
      <w:r>
        <w:rPr>
          <w:lang w:val="es-ES_tradnl"/>
        </w:rPr>
        <w:t xml:space="preserve">mado Alijilan, situado a </w:t>
      </w:r>
      <w:smartTag w:uri="urn:schemas-microsoft-com:office:smarttags" w:element="metricconverter">
        <w:smartTagPr>
          <w:attr w:name="ProductID" w:val="100 kil￳metros"/>
        </w:smartTagPr>
        <w:r>
          <w:rPr>
            <w:lang w:val="es-ES_tradnl"/>
          </w:rPr>
          <w:t>100 kilómetros</w:t>
        </w:r>
      </w:smartTag>
      <w:r>
        <w:rPr>
          <w:lang w:val="es-ES_tradnl"/>
        </w:rPr>
        <w:t xml:space="preserve"> de la capital de esa provincia.</w:t>
      </w:r>
    </w:p>
    <w:p w:rsidR="00224567" w:rsidRDefault="00224567">
      <w:pPr>
        <w:ind w:firstLine="2835"/>
      </w:pPr>
      <w:r>
        <w:rPr>
          <w:lang w:val="es-ES_tradnl"/>
        </w:rPr>
        <w:t xml:space="preserve">Agregó que él y Ribelli eran los dos subcomisarios. Dijo que recibía las órdenes de cualquier superior inmediato, y que inclusive un superior de otra dependencia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o un magistrado le podían dar órdenes.</w:t>
      </w:r>
    </w:p>
    <w:p w:rsidR="00224567" w:rsidRDefault="00224567">
      <w:pPr>
        <w:widowControl w:val="0"/>
      </w:pPr>
    </w:p>
    <w:p w:rsidR="00224567" w:rsidRDefault="00224567">
      <w:pPr>
        <w:pStyle w:val="Ttulo3"/>
        <w:keepNext w:val="0"/>
        <w:widowControl w:val="0"/>
      </w:pPr>
      <w:r>
        <w:t>Ñ) Declaraciones indagatorias de Alejandro Burguete.</w:t>
      </w:r>
    </w:p>
    <w:p w:rsidR="00224567" w:rsidRDefault="00224567">
      <w:pPr>
        <w:widowControl w:val="0"/>
      </w:pPr>
      <w:r>
        <w:tab/>
        <w:t>En la oportunidad prevista en el art. 378 del código de rito, Alejandro Burguete se negó a d</w:t>
      </w:r>
      <w:r>
        <w:t>e</w:t>
      </w:r>
      <w:r>
        <w:t>clarar, dándose lectura a las indagatorias brindadas en sede instructoria.</w:t>
      </w:r>
    </w:p>
    <w:p w:rsidR="00224567" w:rsidRDefault="00224567">
      <w:pPr>
        <w:widowControl w:val="0"/>
        <w:ind w:firstLine="709"/>
        <w:rPr>
          <w:lang w:val="es-ES_tradnl"/>
        </w:rPr>
      </w:pPr>
      <w:r>
        <w:rPr>
          <w:lang w:val="es-ES_tradnl"/>
        </w:rPr>
        <w:tab/>
        <w:t xml:space="preserve">En su declaración del </w:t>
      </w:r>
      <w:r>
        <w:t xml:space="preserve">17 de julio de 1996 (fs. 39.427/39.436) manifestó </w:t>
      </w:r>
      <w:r>
        <w:rPr>
          <w:lang w:val="es-ES_tradnl"/>
        </w:rPr>
        <w:t>que ingresó como c</w:t>
      </w:r>
      <w:r>
        <w:rPr>
          <w:lang w:val="es-ES_tradnl"/>
        </w:rPr>
        <w:t>a</w:t>
      </w:r>
      <w:r>
        <w:rPr>
          <w:lang w:val="es-ES_tradnl"/>
        </w:rPr>
        <w:t xml:space="preserve">dete a </w:t>
      </w:r>
      <w:smartTag w:uri="urn:schemas-microsoft-com:office:smarttags" w:element="PersonName">
        <w:smartTagPr>
          <w:attr w:name="ProductID" w:val="la Escuela"/>
        </w:smartTagPr>
        <w:r>
          <w:rPr>
            <w:lang w:val="es-ES_tradnl"/>
          </w:rPr>
          <w:t>la Escuela</w:t>
        </w:r>
      </w:smartTag>
      <w:r>
        <w:rPr>
          <w:lang w:val="es-ES_tradnl"/>
        </w:rPr>
        <w:t xml:space="preserve">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en el mes de marzo de 1974 y que realizó la mayor parte de su carrera en s</w:t>
      </w:r>
      <w:r>
        <w:rPr>
          <w:lang w:val="es-ES_tradnl"/>
        </w:rPr>
        <w:t>e</w:t>
      </w:r>
      <w:r>
        <w:rPr>
          <w:lang w:val="es-ES_tradnl"/>
        </w:rPr>
        <w:t>guridad, es decir, en comisarías.</w:t>
      </w:r>
    </w:p>
    <w:p w:rsidR="00224567" w:rsidRDefault="00224567">
      <w:pPr>
        <w:widowControl w:val="0"/>
        <w:ind w:firstLine="709"/>
        <w:rPr>
          <w:lang w:val="es-ES_tradnl"/>
        </w:rPr>
      </w:pPr>
      <w:r>
        <w:rPr>
          <w:lang w:val="es-ES_tradnl"/>
        </w:rPr>
        <w:tab/>
        <w:t xml:space="preserve">Señaló que en el año 1990 estuvo como segundo jefe de </w:t>
      </w:r>
      <w:smartTag w:uri="urn:schemas-microsoft-com:office:smarttags" w:element="PersonName">
        <w:smartTagPr>
          <w:attr w:name="ProductID" w:val="la Comisar￭a"/>
        </w:smartTagPr>
        <w:r>
          <w:rPr>
            <w:lang w:val="es-ES_tradnl"/>
          </w:rPr>
          <w:t>la Comisaría</w:t>
        </w:r>
      </w:smartTag>
      <w:r>
        <w:rPr>
          <w:lang w:val="es-ES_tradnl"/>
        </w:rPr>
        <w:t xml:space="preserve"> 2ª de Lanús donde continuó durante 1991. Luego tuvo diferentes destinos, como </w:t>
      </w:r>
      <w:smartTag w:uri="urn:schemas-microsoft-com:office:smarttags" w:element="PersonName">
        <w:smartTagPr>
          <w:attr w:name="ProductID" w:val="la Comisar￭a Lan￺s"/>
        </w:smartTagPr>
        <w:r>
          <w:rPr>
            <w:lang w:val="es-ES_tradnl"/>
          </w:rPr>
          <w:t>la C</w:t>
        </w:r>
        <w:r>
          <w:rPr>
            <w:lang w:val="es-ES_tradnl"/>
          </w:rPr>
          <w:t>o</w:t>
        </w:r>
        <w:r>
          <w:rPr>
            <w:lang w:val="es-ES_tradnl"/>
          </w:rPr>
          <w:t>misaría Lanús</w:t>
        </w:r>
      </w:smartTag>
      <w:r>
        <w:rPr>
          <w:lang w:val="es-ES_tradnl"/>
        </w:rPr>
        <w:t xml:space="preserve"> III y VII.</w:t>
      </w:r>
    </w:p>
    <w:p w:rsidR="00224567" w:rsidRDefault="00224567">
      <w:pPr>
        <w:pStyle w:val="Sangradetextonormal"/>
        <w:widowControl w:val="0"/>
      </w:pPr>
      <w:r>
        <w:tab/>
        <w:t xml:space="preserve">Después, indicó, fue trasladado a </w:t>
      </w:r>
      <w:smartTag w:uri="urn:schemas-microsoft-com:office:smarttags" w:element="PersonName">
        <w:smartTagPr>
          <w:attr w:name="ProductID" w:val="la Brigada"/>
        </w:smartTagPr>
        <w:r>
          <w:t>la Brigada</w:t>
        </w:r>
      </w:smartTag>
      <w:r>
        <w:t xml:space="preserve"> de General Sarmiento, donde estuvo como jefe de turno con jerarquía de subcomisario, y en el mes de mayo de 1993 fue trasladado a </w:t>
      </w:r>
      <w:smartTag w:uri="urn:schemas-microsoft-com:office:smarttags" w:element="PersonName">
        <w:smartTagPr>
          <w:attr w:name="ProductID" w:val="la Brigada"/>
        </w:smartTagPr>
        <w:r>
          <w:t>la Brigada</w:t>
        </w:r>
      </w:smartTag>
      <w:r>
        <w:t xml:space="preserve"> de Lanús, donde perm</w:t>
      </w:r>
      <w:r>
        <w:t>a</w:t>
      </w:r>
      <w:r>
        <w:t>neció hasta septiembre de 1994.</w:t>
      </w:r>
    </w:p>
    <w:p w:rsidR="00224567" w:rsidRDefault="00224567">
      <w:pPr>
        <w:widowControl w:val="0"/>
        <w:ind w:firstLine="709"/>
        <w:rPr>
          <w:lang w:val="es-ES_tradnl"/>
        </w:rPr>
      </w:pPr>
      <w:r>
        <w:rPr>
          <w:lang w:val="es-ES_tradnl"/>
        </w:rPr>
        <w:tab/>
        <w:t xml:space="preserve">De allí, agregó, pasó a </w:t>
      </w:r>
      <w:smartTag w:uri="urn:schemas-microsoft-com:office:smarttags" w:element="PersonName">
        <w:smartTagPr>
          <w:attr w:name="ProductID" w:val="la Comisar￭a Mor￳n"/>
        </w:smartTagPr>
        <w:r>
          <w:rPr>
            <w:lang w:val="es-ES_tradnl"/>
          </w:rPr>
          <w:t>la Comisaría Morón</w:t>
        </w:r>
      </w:smartTag>
      <w:r>
        <w:rPr>
          <w:lang w:val="es-ES_tradnl"/>
        </w:rPr>
        <w:t xml:space="preserve"> VII hasta d</w:t>
      </w:r>
      <w:r>
        <w:rPr>
          <w:lang w:val="es-ES_tradnl"/>
        </w:rPr>
        <w:t>i</w:t>
      </w:r>
      <w:r>
        <w:rPr>
          <w:lang w:val="es-ES_tradnl"/>
        </w:rPr>
        <w:t>ciembre de 1995 y desde esa época hasta ser detenido, se desempeñó en Lanús 4ª como tit</w:t>
      </w:r>
      <w:r>
        <w:rPr>
          <w:lang w:val="es-ES_tradnl"/>
        </w:rPr>
        <w:t>u</w:t>
      </w:r>
      <w:r>
        <w:rPr>
          <w:lang w:val="es-ES_tradnl"/>
        </w:rPr>
        <w:t>lar de la seccional.</w:t>
      </w:r>
    </w:p>
    <w:p w:rsidR="00224567" w:rsidRDefault="00224567">
      <w:pPr>
        <w:widowControl w:val="0"/>
        <w:ind w:firstLine="709"/>
        <w:rPr>
          <w:lang w:val="es-ES_tradnl"/>
        </w:rPr>
      </w:pPr>
      <w:r>
        <w:rPr>
          <w:lang w:val="es-ES_tradnl"/>
        </w:rPr>
        <w:tab/>
        <w:t xml:space="preserve">Manifestó que en </w:t>
      </w:r>
      <w:smartTag w:uri="urn:schemas-microsoft-com:office:smarttags" w:element="PersonName">
        <w:smartTagPr>
          <w:attr w:name="ProductID" w:val="la Brigada"/>
        </w:smartTagPr>
        <w:r>
          <w:rPr>
            <w:lang w:val="es-ES_tradnl"/>
          </w:rPr>
          <w:t>la Brigada</w:t>
        </w:r>
      </w:smartTag>
      <w:r>
        <w:rPr>
          <w:lang w:val="es-ES_tradnl"/>
        </w:rPr>
        <w:t xml:space="preserve"> de Lanús estaba investigando una causa por robo y homicidio en la que intervenía </w:t>
      </w:r>
      <w:smartTag w:uri="urn:schemas-microsoft-com:office:smarttags" w:element="PersonName">
        <w:smartTagPr>
          <w:attr w:name="ProductID" w:val="la Dra. Iturburu"/>
        </w:smartTagPr>
        <w:r>
          <w:rPr>
            <w:lang w:val="es-ES_tradnl"/>
          </w:rPr>
          <w:t>la Dra. Iturburu</w:t>
        </w:r>
      </w:smartTag>
      <w:r>
        <w:rPr>
          <w:lang w:val="es-ES_tradnl"/>
        </w:rPr>
        <w:t xml:space="preserve"> del Departamento J</w:t>
      </w:r>
      <w:r>
        <w:rPr>
          <w:lang w:val="es-ES_tradnl"/>
        </w:rPr>
        <w:t>u</w:t>
      </w:r>
      <w:r>
        <w:rPr>
          <w:lang w:val="es-ES_tradnl"/>
        </w:rPr>
        <w:t>dicial de Quilmes.</w:t>
      </w:r>
    </w:p>
    <w:p w:rsidR="00224567" w:rsidRDefault="00224567">
      <w:pPr>
        <w:widowControl w:val="0"/>
        <w:ind w:firstLine="709"/>
        <w:rPr>
          <w:lang w:val="es-ES_tradnl"/>
        </w:rPr>
      </w:pPr>
      <w:r>
        <w:rPr>
          <w:lang w:val="es-ES_tradnl"/>
        </w:rPr>
        <w:tab/>
        <w:t>En esa causa, explicó, resultó víct</w:t>
      </w:r>
      <w:r>
        <w:rPr>
          <w:lang w:val="es-ES_tradnl"/>
        </w:rPr>
        <w:t>i</w:t>
      </w:r>
      <w:r>
        <w:rPr>
          <w:lang w:val="es-ES_tradnl"/>
        </w:rPr>
        <w:t xml:space="preserve">ma un suboficial de </w:t>
      </w:r>
      <w:smartTag w:uri="urn:schemas-microsoft-com:office:smarttags" w:element="PersonName">
        <w:smartTagPr>
          <w:attr w:name="ProductID" w:val="la Polic￭a Bonaerense"/>
        </w:smartTagPr>
        <w:r>
          <w:rPr>
            <w:lang w:val="es-ES_tradnl"/>
          </w:rPr>
          <w:t>la Policía Bonaerense</w:t>
        </w:r>
      </w:smartTag>
      <w:r>
        <w:rPr>
          <w:lang w:val="es-ES_tradnl"/>
        </w:rPr>
        <w:t>, siendo el presunto imputado un ex miembro de la fuerza. De esa investigación, refirió, surgía como partícipe un N.N. apodado “Enano” y también se investigaba a una persona que habría aportado el arma utilizada.</w:t>
      </w:r>
    </w:p>
    <w:p w:rsidR="00224567" w:rsidRDefault="00224567">
      <w:pPr>
        <w:widowControl w:val="0"/>
        <w:ind w:firstLine="709"/>
        <w:rPr>
          <w:lang w:val="es-ES_tradnl"/>
        </w:rPr>
      </w:pPr>
      <w:r>
        <w:rPr>
          <w:lang w:val="es-ES_tradnl"/>
        </w:rPr>
        <w:tab/>
        <w:t>Refirió que la vinculación del “En</w:t>
      </w:r>
      <w:r>
        <w:rPr>
          <w:lang w:val="es-ES_tradnl"/>
        </w:rPr>
        <w:t>a</w:t>
      </w:r>
      <w:r>
        <w:rPr>
          <w:lang w:val="es-ES_tradnl"/>
        </w:rPr>
        <w:t>no” al sumario se debió a información aportada por el subcom</w:t>
      </w:r>
      <w:r>
        <w:rPr>
          <w:lang w:val="es-ES_tradnl"/>
        </w:rPr>
        <w:t>i</w:t>
      </w:r>
      <w:r>
        <w:rPr>
          <w:lang w:val="es-ES_tradnl"/>
        </w:rPr>
        <w:t xml:space="preserve">sario Huici. En ese momento el declarante era el segundo jefe de </w:t>
      </w:r>
      <w:smartTag w:uri="urn:schemas-microsoft-com:office:smarttags" w:element="PersonName">
        <w:smartTagPr>
          <w:attr w:name="ProductID" w:val="la Brigada"/>
        </w:smartTagPr>
        <w:r>
          <w:rPr>
            <w:lang w:val="es-ES_tradnl"/>
          </w:rPr>
          <w:t>la Brigada</w:t>
        </w:r>
      </w:smartTag>
      <w:r>
        <w:rPr>
          <w:lang w:val="es-ES_tradnl"/>
        </w:rPr>
        <w:t xml:space="preserve"> de Lanús.</w:t>
      </w:r>
    </w:p>
    <w:p w:rsidR="00224567" w:rsidRDefault="00224567">
      <w:pPr>
        <w:widowControl w:val="0"/>
        <w:ind w:firstLine="709"/>
        <w:rPr>
          <w:lang w:val="es-ES_tradnl"/>
        </w:rPr>
      </w:pPr>
      <w:r>
        <w:rPr>
          <w:lang w:val="es-ES_tradnl"/>
        </w:rPr>
        <w:tab/>
        <w:t>Expresó que a raíz del suceso conoc</w:t>
      </w:r>
      <w:r>
        <w:rPr>
          <w:lang w:val="es-ES_tradnl"/>
        </w:rPr>
        <w:t>i</w:t>
      </w:r>
      <w:r>
        <w:rPr>
          <w:lang w:val="es-ES_tradnl"/>
        </w:rPr>
        <w:t>do como la “masacre de Wilde”, reemplazó a quien estaba como segundo jefe, ya que éste resultó det</w:t>
      </w:r>
      <w:r>
        <w:rPr>
          <w:lang w:val="es-ES_tradnl"/>
        </w:rPr>
        <w:t>e</w:t>
      </w:r>
      <w:r>
        <w:rPr>
          <w:lang w:val="es-ES_tradnl"/>
        </w:rPr>
        <w:t>nido por ese hecho.</w:t>
      </w:r>
    </w:p>
    <w:p w:rsidR="00224567" w:rsidRDefault="00224567">
      <w:pPr>
        <w:widowControl w:val="0"/>
        <w:ind w:firstLine="709"/>
        <w:rPr>
          <w:lang w:val="es-ES_tradnl"/>
        </w:rPr>
      </w:pPr>
      <w:r>
        <w:rPr>
          <w:lang w:val="es-ES_tradnl"/>
        </w:rPr>
        <w:tab/>
        <w:t>Sobre la base de la información apo</w:t>
      </w:r>
      <w:r>
        <w:rPr>
          <w:lang w:val="es-ES_tradnl"/>
        </w:rPr>
        <w:t>r</w:t>
      </w:r>
      <w:r>
        <w:rPr>
          <w:lang w:val="es-ES_tradnl"/>
        </w:rPr>
        <w:t>tada por Huici, indicó, se comisionó al subcomisario Ib</w:t>
      </w:r>
      <w:r>
        <w:rPr>
          <w:lang w:val="es-ES_tradnl"/>
        </w:rPr>
        <w:t>a</w:t>
      </w:r>
      <w:r>
        <w:rPr>
          <w:lang w:val="es-ES_tradnl"/>
        </w:rPr>
        <w:t>rra para que estableciera la verdadera identidad del “En</w:t>
      </w:r>
      <w:r>
        <w:rPr>
          <w:lang w:val="es-ES_tradnl"/>
        </w:rPr>
        <w:t>a</w:t>
      </w:r>
      <w:r>
        <w:rPr>
          <w:lang w:val="es-ES_tradnl"/>
        </w:rPr>
        <w:t>no”.</w:t>
      </w:r>
    </w:p>
    <w:p w:rsidR="00224567" w:rsidRDefault="00224567">
      <w:pPr>
        <w:widowControl w:val="0"/>
        <w:ind w:firstLine="709"/>
        <w:rPr>
          <w:lang w:val="es-ES_tradnl"/>
        </w:rPr>
      </w:pPr>
      <w:r>
        <w:rPr>
          <w:lang w:val="es-ES_tradnl"/>
        </w:rPr>
        <w:tab/>
        <w:t>Dijo no tener presente si  quien  c</w:t>
      </w:r>
      <w:r>
        <w:rPr>
          <w:lang w:val="es-ES_tradnl"/>
        </w:rPr>
        <w:t>o</w:t>
      </w:r>
      <w:r>
        <w:rPr>
          <w:lang w:val="es-ES_tradnl"/>
        </w:rPr>
        <w:t>misionó  a  Ibarra  fue  él  o  el  jefe  de  operaci</w:t>
      </w:r>
      <w:r>
        <w:rPr>
          <w:lang w:val="es-ES_tradnl"/>
        </w:rPr>
        <w:t>o</w:t>
      </w:r>
      <w:r>
        <w:rPr>
          <w:lang w:val="es-ES_tradnl"/>
        </w:rPr>
        <w:t>nes –subcomisario Juan José Ribelli-, quien comúnme</w:t>
      </w:r>
      <w:r>
        <w:rPr>
          <w:lang w:val="es-ES_tradnl"/>
        </w:rPr>
        <w:t>n</w:t>
      </w:r>
      <w:r>
        <w:rPr>
          <w:lang w:val="es-ES_tradnl"/>
        </w:rPr>
        <w:t>te era el encargado de este tipo de órdenes.</w:t>
      </w:r>
    </w:p>
    <w:p w:rsidR="00224567" w:rsidRDefault="00224567">
      <w:pPr>
        <w:widowControl w:val="0"/>
        <w:ind w:firstLine="709"/>
        <w:rPr>
          <w:lang w:val="es-ES_tradnl"/>
        </w:rPr>
      </w:pPr>
      <w:r>
        <w:rPr>
          <w:lang w:val="es-ES_tradnl"/>
        </w:rPr>
        <w:tab/>
        <w:t>Expresó que luego de la comisión de Ibarra para establecer la identidad del “Enano”, aquél llevó la novedad de que en la zona norte –no recordó exa</w:t>
      </w:r>
      <w:r>
        <w:rPr>
          <w:lang w:val="es-ES_tradnl"/>
        </w:rPr>
        <w:t>c</w:t>
      </w:r>
      <w:r>
        <w:rPr>
          <w:lang w:val="es-ES_tradnl"/>
        </w:rPr>
        <w:t>tamente que localidad- su comisión había intentado inte</w:t>
      </w:r>
      <w:r>
        <w:rPr>
          <w:lang w:val="es-ES_tradnl"/>
        </w:rPr>
        <w:t>r</w:t>
      </w:r>
      <w:r>
        <w:rPr>
          <w:lang w:val="es-ES_tradnl"/>
        </w:rPr>
        <w:t>ceptar a los ocupantes de un veh</w:t>
      </w:r>
      <w:r>
        <w:rPr>
          <w:lang w:val="es-ES_tradnl"/>
        </w:rPr>
        <w:t>í</w:t>
      </w:r>
      <w:r>
        <w:rPr>
          <w:lang w:val="es-ES_tradnl"/>
        </w:rPr>
        <w:t>culo Renault 18, quienes se dieron a la fuga.</w:t>
      </w:r>
    </w:p>
    <w:p w:rsidR="00224567" w:rsidRDefault="00224567">
      <w:pPr>
        <w:widowControl w:val="0"/>
        <w:ind w:firstLine="709"/>
        <w:rPr>
          <w:lang w:val="es-ES_tradnl"/>
        </w:rPr>
      </w:pPr>
      <w:r>
        <w:rPr>
          <w:lang w:val="es-ES_tradnl"/>
        </w:rPr>
        <w:tab/>
        <w:t>Manifestó que por ese hecho resultó lesionado un integrante de la comisión de Ib</w:t>
      </w:r>
      <w:r>
        <w:rPr>
          <w:lang w:val="es-ES_tradnl"/>
        </w:rPr>
        <w:t>a</w:t>
      </w:r>
      <w:r>
        <w:rPr>
          <w:lang w:val="es-ES_tradnl"/>
        </w:rPr>
        <w:t xml:space="preserve">rra, pero no recordó de quien se trataba. Supo que de lo sucedido se dejó constancia en el sumario judicial instruido en el juzgado de </w:t>
      </w:r>
      <w:smartTag w:uri="urn:schemas-microsoft-com:office:smarttags" w:element="PersonName">
        <w:smartTagPr>
          <w:attr w:name="ProductID" w:val="la Dra. Iturburu."/>
        </w:smartTagPr>
        <w:r>
          <w:rPr>
            <w:lang w:val="es-ES_tradnl"/>
          </w:rPr>
          <w:t>la Dra. Itu</w:t>
        </w:r>
        <w:r>
          <w:rPr>
            <w:lang w:val="es-ES_tradnl"/>
          </w:rPr>
          <w:t>r</w:t>
        </w:r>
        <w:r>
          <w:rPr>
            <w:lang w:val="es-ES_tradnl"/>
          </w:rPr>
          <w:t>buru.</w:t>
        </w:r>
      </w:smartTag>
    </w:p>
    <w:p w:rsidR="00224567" w:rsidRDefault="00224567">
      <w:pPr>
        <w:widowControl w:val="0"/>
        <w:ind w:firstLine="709"/>
        <w:rPr>
          <w:lang w:val="es-ES_tradnl"/>
        </w:rPr>
      </w:pPr>
      <w:r>
        <w:rPr>
          <w:lang w:val="es-ES_tradnl"/>
        </w:rPr>
        <w:tab/>
        <w:t>Expresó que a los pocos días de oc</w:t>
      </w:r>
      <w:r>
        <w:rPr>
          <w:lang w:val="es-ES_tradnl"/>
        </w:rPr>
        <w:t>u</w:t>
      </w:r>
      <w:r>
        <w:rPr>
          <w:lang w:val="es-ES_tradnl"/>
        </w:rPr>
        <w:t>rrido este episodio, nuevamente el subcomisario Ibarra le informó que había detenido al N.N. ap</w:t>
      </w:r>
      <w:r>
        <w:rPr>
          <w:lang w:val="es-ES_tradnl"/>
        </w:rPr>
        <w:t>o</w:t>
      </w:r>
      <w:r>
        <w:rPr>
          <w:lang w:val="es-ES_tradnl"/>
        </w:rPr>
        <w:t>dado “Enano” y a la mujer que lo acompañaba.</w:t>
      </w:r>
    </w:p>
    <w:p w:rsidR="00224567" w:rsidRDefault="00224567">
      <w:pPr>
        <w:widowControl w:val="0"/>
        <w:ind w:firstLine="709"/>
        <w:rPr>
          <w:lang w:val="es-ES_tradnl"/>
        </w:rPr>
      </w:pPr>
      <w:r>
        <w:rPr>
          <w:lang w:val="es-ES_tradnl"/>
        </w:rPr>
        <w:tab/>
        <w:t>Manifestó que Ibarra condujo al “En</w:t>
      </w:r>
      <w:r>
        <w:rPr>
          <w:lang w:val="es-ES_tradnl"/>
        </w:rPr>
        <w:t>a</w:t>
      </w:r>
      <w:r>
        <w:rPr>
          <w:lang w:val="es-ES_tradnl"/>
        </w:rPr>
        <w:t xml:space="preserve">no” y a la mujer a </w:t>
      </w:r>
      <w:smartTag w:uri="urn:schemas-microsoft-com:office:smarttags" w:element="PersonName">
        <w:smartTagPr>
          <w:attr w:name="ProductID" w:val="la Brigada"/>
        </w:smartTagPr>
        <w:r>
          <w:rPr>
            <w:lang w:val="es-ES_tradnl"/>
          </w:rPr>
          <w:t>la Brigada</w:t>
        </w:r>
      </w:smartTag>
      <w:r>
        <w:rPr>
          <w:lang w:val="es-ES_tradnl"/>
        </w:rPr>
        <w:t xml:space="preserve"> de Lanús, en el Renault 18 en el que esas pe</w:t>
      </w:r>
      <w:r>
        <w:rPr>
          <w:lang w:val="es-ES_tradnl"/>
        </w:rPr>
        <w:t>r</w:t>
      </w:r>
      <w:r>
        <w:rPr>
          <w:lang w:val="es-ES_tradnl"/>
        </w:rPr>
        <w:t>sonas circulaban.</w:t>
      </w:r>
    </w:p>
    <w:p w:rsidR="00224567" w:rsidRDefault="00224567">
      <w:pPr>
        <w:widowControl w:val="0"/>
        <w:ind w:firstLine="709"/>
        <w:rPr>
          <w:lang w:val="es-ES_tradnl"/>
        </w:rPr>
      </w:pPr>
      <w:r>
        <w:rPr>
          <w:lang w:val="es-ES_tradnl"/>
        </w:rPr>
        <w:tab/>
        <w:t>Dijo que por lo general, el personal actuante, en este caso quienes procedieron a la dete</w:t>
      </w:r>
      <w:r>
        <w:rPr>
          <w:lang w:val="es-ES_tradnl"/>
        </w:rPr>
        <w:t>n</w:t>
      </w:r>
      <w:r>
        <w:rPr>
          <w:lang w:val="es-ES_tradnl"/>
        </w:rPr>
        <w:t>ción del “Enano” y su acompañante, interrogaban a los sospech</w:t>
      </w:r>
      <w:r>
        <w:rPr>
          <w:lang w:val="es-ES_tradnl"/>
        </w:rPr>
        <w:t>o</w:t>
      </w:r>
      <w:r>
        <w:rPr>
          <w:lang w:val="es-ES_tradnl"/>
        </w:rPr>
        <w:t>sos para determinar su vinculación con la investigación que se estaba llevando a cabo.</w:t>
      </w:r>
    </w:p>
    <w:p w:rsidR="00224567" w:rsidRDefault="00224567">
      <w:pPr>
        <w:widowControl w:val="0"/>
        <w:ind w:firstLine="709"/>
        <w:rPr>
          <w:lang w:val="es-ES_tradnl"/>
        </w:rPr>
      </w:pPr>
      <w:r>
        <w:rPr>
          <w:lang w:val="es-ES_tradnl"/>
        </w:rPr>
        <w:tab/>
        <w:t>Explicó que una vez que “la patota” terminaba de interrogar, recién ahí entregaban a los det</w:t>
      </w:r>
      <w:r>
        <w:rPr>
          <w:lang w:val="es-ES_tradnl"/>
        </w:rPr>
        <w:t>e</w:t>
      </w:r>
      <w:r>
        <w:rPr>
          <w:lang w:val="es-ES_tradnl"/>
        </w:rPr>
        <w:t>nidos en la oficina de judiciales, y prestaba d</w:t>
      </w:r>
      <w:r>
        <w:rPr>
          <w:lang w:val="es-ES_tradnl"/>
        </w:rPr>
        <w:t>e</w:t>
      </w:r>
      <w:r>
        <w:rPr>
          <w:lang w:val="es-ES_tradnl"/>
        </w:rPr>
        <w:t>claración el of</w:t>
      </w:r>
      <w:r>
        <w:rPr>
          <w:lang w:val="es-ES_tradnl"/>
        </w:rPr>
        <w:t>i</w:t>
      </w:r>
      <w:r>
        <w:rPr>
          <w:lang w:val="es-ES_tradnl"/>
        </w:rPr>
        <w:t>cial a cargo de aquélla.</w:t>
      </w:r>
    </w:p>
    <w:p w:rsidR="00224567" w:rsidRDefault="00224567">
      <w:pPr>
        <w:widowControl w:val="0"/>
        <w:ind w:firstLine="709"/>
        <w:rPr>
          <w:lang w:val="es-ES_tradnl"/>
        </w:rPr>
      </w:pPr>
      <w:r>
        <w:rPr>
          <w:lang w:val="es-ES_tradnl"/>
        </w:rPr>
        <w:tab/>
        <w:t>Aclaró que, en la jerga policial, el término “patota” se utilizaba para denominar a las com</w:t>
      </w:r>
      <w:r>
        <w:rPr>
          <w:lang w:val="es-ES_tradnl"/>
        </w:rPr>
        <w:t>i</w:t>
      </w:r>
      <w:r>
        <w:rPr>
          <w:lang w:val="es-ES_tradnl"/>
        </w:rPr>
        <w:t>siones policiales que realizaban tareas de servicio e</w:t>
      </w:r>
      <w:r>
        <w:rPr>
          <w:lang w:val="es-ES_tradnl"/>
        </w:rPr>
        <w:t>x</w:t>
      </w:r>
      <w:r>
        <w:rPr>
          <w:lang w:val="es-ES_tradnl"/>
        </w:rPr>
        <w:t>terno. Ello, indicó, no significaba que dichos grupos se comportaran como etimológicamente describe el vocablo. Agregó que ello no quitaba que algunas veces, en los h</w:t>
      </w:r>
      <w:r>
        <w:rPr>
          <w:lang w:val="es-ES_tradnl"/>
        </w:rPr>
        <w:t>e</w:t>
      </w:r>
      <w:r>
        <w:rPr>
          <w:lang w:val="es-ES_tradnl"/>
        </w:rPr>
        <w:t>chos, los términos coinc</w:t>
      </w:r>
      <w:r>
        <w:rPr>
          <w:lang w:val="es-ES_tradnl"/>
        </w:rPr>
        <w:t>i</w:t>
      </w:r>
      <w:r>
        <w:rPr>
          <w:lang w:val="es-ES_tradnl"/>
        </w:rPr>
        <w:t>dieran.</w:t>
      </w:r>
    </w:p>
    <w:p w:rsidR="00224567" w:rsidRDefault="00224567">
      <w:pPr>
        <w:widowControl w:val="0"/>
        <w:ind w:firstLine="709"/>
        <w:rPr>
          <w:lang w:val="es-ES_tradnl"/>
        </w:rPr>
      </w:pPr>
      <w:r>
        <w:rPr>
          <w:lang w:val="es-ES_tradnl"/>
        </w:rPr>
        <w:tab/>
        <w:t>Señaló que el interrogatorio de det</w:t>
      </w:r>
      <w:r>
        <w:rPr>
          <w:lang w:val="es-ES_tradnl"/>
        </w:rPr>
        <w:t>e</w:t>
      </w:r>
      <w:r>
        <w:rPr>
          <w:lang w:val="es-ES_tradnl"/>
        </w:rPr>
        <w:t>nidos se llevaba a cabo generalmente en una oficina ubic</w:t>
      </w:r>
      <w:r>
        <w:rPr>
          <w:lang w:val="es-ES_tradnl"/>
        </w:rPr>
        <w:t>a</w:t>
      </w:r>
      <w:r>
        <w:rPr>
          <w:lang w:val="es-ES_tradnl"/>
        </w:rPr>
        <w:t xml:space="preserve">da en el primer piso de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 xml:space="preserve">nús. </w:t>
      </w:r>
    </w:p>
    <w:p w:rsidR="00224567" w:rsidRDefault="00224567">
      <w:pPr>
        <w:widowControl w:val="0"/>
        <w:ind w:firstLine="709"/>
        <w:rPr>
          <w:lang w:val="es-ES_tradnl"/>
        </w:rPr>
      </w:pPr>
      <w:r>
        <w:rPr>
          <w:lang w:val="es-ES_tradnl"/>
        </w:rPr>
        <w:tab/>
        <w:t>Mencionó que la oficina de jud</w:t>
      </w:r>
      <w:r>
        <w:rPr>
          <w:lang w:val="es-ES_tradnl"/>
        </w:rPr>
        <w:t>i</w:t>
      </w:r>
      <w:r>
        <w:rPr>
          <w:lang w:val="es-ES_tradnl"/>
        </w:rPr>
        <w:t>ciales estaba situada en la planta baja, por lo que era posible que no haya advertido el ingreso de los detenidos. Agregó que esta com</w:t>
      </w:r>
      <w:r>
        <w:rPr>
          <w:lang w:val="es-ES_tradnl"/>
        </w:rPr>
        <w:t>i</w:t>
      </w:r>
      <w:r>
        <w:rPr>
          <w:lang w:val="es-ES_tradnl"/>
        </w:rPr>
        <w:t>sión luego le daba la novedad.</w:t>
      </w:r>
    </w:p>
    <w:p w:rsidR="00224567" w:rsidRDefault="00224567">
      <w:pPr>
        <w:widowControl w:val="0"/>
        <w:ind w:firstLine="709"/>
        <w:rPr>
          <w:lang w:val="es-ES_tradnl"/>
        </w:rPr>
      </w:pPr>
      <w:r>
        <w:rPr>
          <w:lang w:val="es-ES_tradnl"/>
        </w:rPr>
        <w:tab/>
        <w:t>Expresó que en ese caso puntual, le recibió declaración testimonial a Ibarra junto con el s</w:t>
      </w:r>
      <w:r>
        <w:rPr>
          <w:lang w:val="es-ES_tradnl"/>
        </w:rPr>
        <w:t>e</w:t>
      </w:r>
      <w:r>
        <w:rPr>
          <w:lang w:val="es-ES_tradnl"/>
        </w:rPr>
        <w:t>cretario de actuación. No recordó si le recibió persona</w:t>
      </w:r>
      <w:r>
        <w:rPr>
          <w:lang w:val="es-ES_tradnl"/>
        </w:rPr>
        <w:t>l</w:t>
      </w:r>
      <w:r>
        <w:rPr>
          <w:lang w:val="es-ES_tradnl"/>
        </w:rPr>
        <w:t>mente la declaración o lo hizo sólo el secretario de a</w:t>
      </w:r>
      <w:r>
        <w:rPr>
          <w:lang w:val="es-ES_tradnl"/>
        </w:rPr>
        <w:t>c</w:t>
      </w:r>
      <w:r>
        <w:rPr>
          <w:lang w:val="es-ES_tradnl"/>
        </w:rPr>
        <w:t>tuación, ya que no le era posible al jefe de judiciales estar en todos lados al mismo tiempo, o cumplir persona</w:t>
      </w:r>
      <w:r>
        <w:rPr>
          <w:lang w:val="es-ES_tradnl"/>
        </w:rPr>
        <w:t>l</w:t>
      </w:r>
      <w:r>
        <w:rPr>
          <w:lang w:val="es-ES_tradnl"/>
        </w:rPr>
        <w:t>mente con todos los actos procesales.</w:t>
      </w:r>
    </w:p>
    <w:p w:rsidR="00224567" w:rsidRDefault="00224567">
      <w:pPr>
        <w:widowControl w:val="0"/>
        <w:ind w:firstLine="709"/>
        <w:rPr>
          <w:lang w:val="es-ES_tradnl"/>
        </w:rPr>
      </w:pPr>
      <w:r>
        <w:rPr>
          <w:lang w:val="es-ES_tradnl"/>
        </w:rPr>
        <w:tab/>
        <w:t>Aseguró que el secretario de actu</w:t>
      </w:r>
      <w:r>
        <w:rPr>
          <w:lang w:val="es-ES_tradnl"/>
        </w:rPr>
        <w:t>a</w:t>
      </w:r>
      <w:r>
        <w:rPr>
          <w:lang w:val="es-ES_tradnl"/>
        </w:rPr>
        <w:t>ción –quien creyó era el subcomisario José Miguel Ara</w:t>
      </w:r>
      <w:r>
        <w:rPr>
          <w:lang w:val="es-ES_tradnl"/>
        </w:rPr>
        <w:t>n</w:t>
      </w:r>
      <w:r>
        <w:rPr>
          <w:lang w:val="es-ES_tradnl"/>
        </w:rPr>
        <w:t>cibia- le recibió declaración testimonial a Ib</w:t>
      </w:r>
      <w:r>
        <w:rPr>
          <w:lang w:val="es-ES_tradnl"/>
        </w:rPr>
        <w:t>a</w:t>
      </w:r>
      <w:r>
        <w:rPr>
          <w:lang w:val="es-ES_tradnl"/>
        </w:rPr>
        <w:t>rra.</w:t>
      </w:r>
    </w:p>
    <w:p w:rsidR="00224567" w:rsidRDefault="00224567">
      <w:pPr>
        <w:widowControl w:val="0"/>
        <w:ind w:firstLine="709"/>
        <w:rPr>
          <w:lang w:val="es-ES_tradnl"/>
        </w:rPr>
      </w:pPr>
      <w:r>
        <w:rPr>
          <w:lang w:val="es-ES_tradnl"/>
        </w:rPr>
        <w:tab/>
        <w:t>Refirió que el juzgado interviniente dispuso que se ide</w:t>
      </w:r>
      <w:r>
        <w:rPr>
          <w:lang w:val="es-ES_tradnl"/>
        </w:rPr>
        <w:t>n</w:t>
      </w:r>
      <w:r>
        <w:rPr>
          <w:lang w:val="es-ES_tradnl"/>
        </w:rPr>
        <w:t>tificara correctamente al “Enano”.</w:t>
      </w:r>
    </w:p>
    <w:p w:rsidR="00224567" w:rsidRDefault="00224567">
      <w:pPr>
        <w:widowControl w:val="0"/>
        <w:ind w:firstLine="709"/>
        <w:rPr>
          <w:lang w:val="es-ES_tradnl"/>
        </w:rPr>
      </w:pPr>
      <w:r>
        <w:rPr>
          <w:lang w:val="es-ES_tradnl"/>
        </w:rPr>
        <w:tab/>
        <w:t>Señaló que tenía presente que el “En</w:t>
      </w:r>
      <w:r>
        <w:rPr>
          <w:lang w:val="es-ES_tradnl"/>
        </w:rPr>
        <w:t>a</w:t>
      </w:r>
      <w:r>
        <w:rPr>
          <w:lang w:val="es-ES_tradnl"/>
        </w:rPr>
        <w:t>no” se apellidaba “Teccedin” y que se lo había n</w:t>
      </w:r>
      <w:r>
        <w:rPr>
          <w:lang w:val="es-ES_tradnl"/>
        </w:rPr>
        <w:t>o</w:t>
      </w:r>
      <w:r>
        <w:rPr>
          <w:lang w:val="es-ES_tradnl"/>
        </w:rPr>
        <w:t>tificado para que concurriera al juzgado interviniente a prestar declaración.</w:t>
      </w:r>
    </w:p>
    <w:p w:rsidR="00224567" w:rsidRDefault="00224567">
      <w:pPr>
        <w:widowControl w:val="0"/>
        <w:ind w:firstLine="709"/>
        <w:rPr>
          <w:lang w:val="es-ES_tradnl"/>
        </w:rPr>
      </w:pPr>
      <w:r>
        <w:rPr>
          <w:lang w:val="es-ES_tradnl"/>
        </w:rPr>
        <w:tab/>
        <w:t>Mencionó que, independientemente de la identificación y notificación de “Teccedin”, se labraron actuaciones por averiguación de antecedentes respecto de ambos detenidos, obteniéndose un juego de fichas co</w:t>
      </w:r>
      <w:r>
        <w:rPr>
          <w:lang w:val="es-ES_tradnl"/>
        </w:rPr>
        <w:t>m</w:t>
      </w:r>
      <w:r>
        <w:rPr>
          <w:lang w:val="es-ES_tradnl"/>
        </w:rPr>
        <w:t>pleto para la remisión a la oficina de identificación de la j</w:t>
      </w:r>
      <w:r>
        <w:rPr>
          <w:lang w:val="es-ES_tradnl"/>
        </w:rPr>
        <w:t>e</w:t>
      </w:r>
      <w:r>
        <w:rPr>
          <w:lang w:val="es-ES_tradnl"/>
        </w:rPr>
        <w:t xml:space="preserve">fatura de </w:t>
      </w:r>
      <w:smartTag w:uri="urn:schemas-microsoft-com:office:smarttags" w:element="PersonName">
        <w:smartTagPr>
          <w:attr w:name="ProductID" w:val="la Polic￭a Bonaerense."/>
        </w:smartTagPr>
        <w:r>
          <w:rPr>
            <w:lang w:val="es-ES_tradnl"/>
          </w:rPr>
          <w:t>la Policía Bonaerense.</w:t>
        </w:r>
      </w:smartTag>
    </w:p>
    <w:p w:rsidR="00224567" w:rsidRDefault="00224567">
      <w:pPr>
        <w:widowControl w:val="0"/>
        <w:ind w:firstLine="709"/>
        <w:rPr>
          <w:lang w:val="es-ES_tradnl"/>
        </w:rPr>
      </w:pPr>
      <w:r>
        <w:rPr>
          <w:lang w:val="es-ES_tradnl"/>
        </w:rPr>
        <w:tab/>
        <w:t xml:space="preserve">Aparte de la remisión de fichas, se consultó a la “sección capturas” de </w:t>
      </w:r>
      <w:smartTag w:uri="urn:schemas-microsoft-com:office:smarttags" w:element="PersonName">
        <w:smartTagPr>
          <w:attr w:name="ProductID" w:val="la Divisi￳n Inform￡tica"/>
        </w:smartTagPr>
        <w:r>
          <w:rPr>
            <w:lang w:val="es-ES_tradnl"/>
          </w:rPr>
          <w:t>la División Informát</w:t>
        </w:r>
        <w:r>
          <w:rPr>
            <w:lang w:val="es-ES_tradnl"/>
          </w:rPr>
          <w:t>i</w:t>
        </w:r>
        <w:r>
          <w:rPr>
            <w:lang w:val="es-ES_tradnl"/>
          </w:rPr>
          <w:t>ca</w:t>
        </w:r>
      </w:smartTag>
      <w:r>
        <w:rPr>
          <w:lang w:val="es-ES_tradnl"/>
        </w:rPr>
        <w:t xml:space="preserve"> para que informara si alguno de los detenidos registr</w:t>
      </w:r>
      <w:r>
        <w:rPr>
          <w:lang w:val="es-ES_tradnl"/>
        </w:rPr>
        <w:t>a</w:t>
      </w:r>
      <w:r>
        <w:rPr>
          <w:lang w:val="es-ES_tradnl"/>
        </w:rPr>
        <w:t>ba alguna.</w:t>
      </w:r>
    </w:p>
    <w:p w:rsidR="00224567" w:rsidRDefault="00224567">
      <w:pPr>
        <w:widowControl w:val="0"/>
        <w:ind w:firstLine="709"/>
        <w:rPr>
          <w:lang w:val="es-ES_tradnl"/>
        </w:rPr>
      </w:pPr>
      <w:r>
        <w:rPr>
          <w:lang w:val="es-ES_tradnl"/>
        </w:rPr>
        <w:tab/>
        <w:t>Afirmó que la base de datos de esa d</w:t>
      </w:r>
      <w:r>
        <w:rPr>
          <w:lang w:val="es-ES_tradnl"/>
        </w:rPr>
        <w:t>i</w:t>
      </w:r>
      <w:r>
        <w:rPr>
          <w:lang w:val="es-ES_tradnl"/>
        </w:rPr>
        <w:t>visión estaba compuesta por todas aquellas capturas com</w:t>
      </w:r>
      <w:r>
        <w:rPr>
          <w:lang w:val="es-ES_tradnl"/>
        </w:rPr>
        <w:t>u</w:t>
      </w:r>
      <w:r>
        <w:rPr>
          <w:lang w:val="es-ES_tradnl"/>
        </w:rPr>
        <w:t>nicadas por las diferentes policías del país, a la jefat</w:t>
      </w:r>
      <w:r>
        <w:rPr>
          <w:lang w:val="es-ES_tradnl"/>
        </w:rPr>
        <w:t>u</w:t>
      </w:r>
      <w:r>
        <w:rPr>
          <w:lang w:val="es-ES_tradnl"/>
        </w:rPr>
        <w:t xml:space="preserve">ra de </w:t>
      </w:r>
      <w:smartTag w:uri="urn:schemas-microsoft-com:office:smarttags" w:element="PersonName">
        <w:smartTagPr>
          <w:attr w:name="ProductID" w:val="la Polic￭a Bonaerense."/>
        </w:smartTagPr>
        <w:r>
          <w:rPr>
            <w:lang w:val="es-ES_tradnl"/>
          </w:rPr>
          <w:t>la Policía Bonaerense.</w:t>
        </w:r>
      </w:smartTag>
    </w:p>
    <w:p w:rsidR="00224567" w:rsidRDefault="00224567">
      <w:pPr>
        <w:widowControl w:val="0"/>
        <w:ind w:firstLine="709"/>
        <w:rPr>
          <w:lang w:val="es-ES_tradnl"/>
        </w:rPr>
      </w:pPr>
      <w:r>
        <w:rPr>
          <w:lang w:val="es-ES_tradnl"/>
        </w:rPr>
        <w:tab/>
        <w:t xml:space="preserve">Dijo que en </w:t>
      </w:r>
      <w:smartTag w:uri="urn:schemas-microsoft-com:office:smarttags" w:element="PersonName">
        <w:smartTagPr>
          <w:attr w:name="ProductID" w:val="la Brigada"/>
        </w:smartTagPr>
        <w:r>
          <w:rPr>
            <w:lang w:val="es-ES_tradnl"/>
          </w:rPr>
          <w:t>la Brigada</w:t>
        </w:r>
      </w:smartTag>
      <w:r>
        <w:rPr>
          <w:lang w:val="es-ES_tradnl"/>
        </w:rPr>
        <w:t xml:space="preserve"> de Lanús exi</w:t>
      </w:r>
      <w:r>
        <w:rPr>
          <w:lang w:val="es-ES_tradnl"/>
        </w:rPr>
        <w:t>s</w:t>
      </w:r>
      <w:r>
        <w:rPr>
          <w:lang w:val="es-ES_tradnl"/>
        </w:rPr>
        <w:t>tía una terminal conectada a dicha división, que operaba dentro de un horario que no recordó, pero que sabía que no era fijo, razón por la cual en determinadas oportun</w:t>
      </w:r>
      <w:r>
        <w:rPr>
          <w:lang w:val="es-ES_tradnl"/>
        </w:rPr>
        <w:t>i</w:t>
      </w:r>
      <w:r>
        <w:rPr>
          <w:lang w:val="es-ES_tradnl"/>
        </w:rPr>
        <w:t>dades debía consultarse telefónicamente con informática para r</w:t>
      </w:r>
      <w:r>
        <w:rPr>
          <w:lang w:val="es-ES_tradnl"/>
        </w:rPr>
        <w:t>e</w:t>
      </w:r>
      <w:r>
        <w:rPr>
          <w:lang w:val="es-ES_tradnl"/>
        </w:rPr>
        <w:t>querir el informe de las capturas pendie</w:t>
      </w:r>
      <w:r>
        <w:rPr>
          <w:lang w:val="es-ES_tradnl"/>
        </w:rPr>
        <w:t>n</w:t>
      </w:r>
      <w:r>
        <w:rPr>
          <w:lang w:val="es-ES_tradnl"/>
        </w:rPr>
        <w:t>tes.</w:t>
      </w:r>
    </w:p>
    <w:p w:rsidR="00224567" w:rsidRDefault="00224567">
      <w:pPr>
        <w:widowControl w:val="0"/>
        <w:ind w:firstLine="709"/>
        <w:rPr>
          <w:lang w:val="es-ES_tradnl"/>
        </w:rPr>
      </w:pPr>
      <w:r>
        <w:rPr>
          <w:lang w:val="es-ES_tradnl"/>
        </w:rPr>
        <w:tab/>
        <w:t>Negó conocer como se requirieron esas capturas, y señaló que no fue él quien cumplimentó dicho pedido, sino quien impartió la orden de consulta a los a</w:t>
      </w:r>
      <w:r>
        <w:rPr>
          <w:lang w:val="es-ES_tradnl"/>
        </w:rPr>
        <w:t>c</w:t>
      </w:r>
      <w:r>
        <w:rPr>
          <w:lang w:val="es-ES_tradnl"/>
        </w:rPr>
        <w:t>tuarios Arancibia y Bacigalupo. Señaló que ese día ambos estaban trabajando en el mismo ámbito físico, que el pr</w:t>
      </w:r>
      <w:r>
        <w:rPr>
          <w:lang w:val="es-ES_tradnl"/>
        </w:rPr>
        <w:t>i</w:t>
      </w:r>
      <w:r>
        <w:rPr>
          <w:lang w:val="es-ES_tradnl"/>
        </w:rPr>
        <w:t>mero se dedicaba a la instrucción del sumario de Quilmes y el segundo a las actuaciones por averiguación de antec</w:t>
      </w:r>
      <w:r>
        <w:rPr>
          <w:lang w:val="es-ES_tradnl"/>
        </w:rPr>
        <w:t>e</w:t>
      </w:r>
      <w:r>
        <w:rPr>
          <w:lang w:val="es-ES_tradnl"/>
        </w:rPr>
        <w:t>dentes. Expresó desconocer cuál de los dos actuarios realizó los pedidos de capturas pendie</w:t>
      </w:r>
      <w:r>
        <w:rPr>
          <w:lang w:val="es-ES_tradnl"/>
        </w:rPr>
        <w:t>n</w:t>
      </w:r>
      <w:r>
        <w:rPr>
          <w:lang w:val="es-ES_tradnl"/>
        </w:rPr>
        <w:t>tes.</w:t>
      </w:r>
    </w:p>
    <w:p w:rsidR="00224567" w:rsidRDefault="00224567">
      <w:pPr>
        <w:widowControl w:val="0"/>
        <w:ind w:firstLine="709"/>
        <w:rPr>
          <w:lang w:val="es-ES_tradnl"/>
        </w:rPr>
      </w:pPr>
      <w:r>
        <w:rPr>
          <w:lang w:val="es-ES_tradnl"/>
        </w:rPr>
        <w:tab/>
        <w:t>Manifestó que según creía, se agreg</w:t>
      </w:r>
      <w:r>
        <w:rPr>
          <w:lang w:val="es-ES_tradnl"/>
        </w:rPr>
        <w:t>a</w:t>
      </w:r>
      <w:r>
        <w:rPr>
          <w:lang w:val="es-ES_tradnl"/>
        </w:rPr>
        <w:t>ron fotocopias del Documento Nacional de Identidad de “Teccedin” en las actuaciones por averiguación de antec</w:t>
      </w:r>
      <w:r>
        <w:rPr>
          <w:lang w:val="es-ES_tradnl"/>
        </w:rPr>
        <w:t>e</w:t>
      </w:r>
      <w:r>
        <w:rPr>
          <w:lang w:val="es-ES_tradnl"/>
        </w:rPr>
        <w:t>dentes y en lo actuado en el sum</w:t>
      </w:r>
      <w:r>
        <w:rPr>
          <w:lang w:val="es-ES_tradnl"/>
        </w:rPr>
        <w:t>a</w:t>
      </w:r>
      <w:r>
        <w:rPr>
          <w:lang w:val="es-ES_tradnl"/>
        </w:rPr>
        <w:t>rio.</w:t>
      </w:r>
    </w:p>
    <w:p w:rsidR="00224567" w:rsidRDefault="00224567">
      <w:pPr>
        <w:pStyle w:val="Sangradetextonormal"/>
        <w:widowControl w:val="0"/>
        <w:ind w:firstLine="0"/>
      </w:pPr>
      <w:r>
        <w:tab/>
        <w:t>Luego de cumplir con dicho trámite d</w:t>
      </w:r>
      <w:r>
        <w:t>i</w:t>
      </w:r>
      <w:r>
        <w:t>jo que los detenidos fueron puestos en libertad po</w:t>
      </w:r>
      <w:r>
        <w:t>r</w:t>
      </w:r>
      <w:r>
        <w:t>que no tenían orden de captura y se había cumplido lo dispuesto por la ju</w:t>
      </w:r>
      <w:r>
        <w:t>e</w:t>
      </w:r>
      <w:r>
        <w:t>za.</w:t>
      </w:r>
    </w:p>
    <w:p w:rsidR="00224567" w:rsidRDefault="00224567">
      <w:pPr>
        <w:widowControl w:val="0"/>
        <w:rPr>
          <w:lang w:val="es-ES_tradnl"/>
        </w:rPr>
      </w:pPr>
      <w:r>
        <w:rPr>
          <w:lang w:val="es-ES_tradnl"/>
        </w:rPr>
        <w:tab/>
        <w:t>Asimismo, agregó, se labró un a</w:t>
      </w:r>
      <w:r>
        <w:rPr>
          <w:lang w:val="es-ES_tradnl"/>
        </w:rPr>
        <w:t>c</w:t>
      </w:r>
      <w:r>
        <w:rPr>
          <w:lang w:val="es-ES_tradnl"/>
        </w:rPr>
        <w:t>ta de entrega a “Teccedin” del vehículo en el cual había sido detenido.</w:t>
      </w:r>
    </w:p>
    <w:p w:rsidR="00224567" w:rsidRDefault="00224567">
      <w:pPr>
        <w:widowControl w:val="0"/>
        <w:ind w:firstLine="709"/>
        <w:rPr>
          <w:lang w:val="es-ES_tradnl"/>
        </w:rPr>
      </w:pPr>
      <w:r>
        <w:rPr>
          <w:lang w:val="es-ES_tradnl"/>
        </w:rPr>
        <w:tab/>
        <w:t>Dijo que no le constaba si “Te</w:t>
      </w:r>
      <w:r>
        <w:rPr>
          <w:lang w:val="es-ES_tradnl"/>
        </w:rPr>
        <w:t>c</w:t>
      </w:r>
      <w:r>
        <w:rPr>
          <w:lang w:val="es-ES_tradnl"/>
        </w:rPr>
        <w:t>cedin” se había ido con el vehículo o no, ya que no se alejó de su oficina.</w:t>
      </w:r>
    </w:p>
    <w:p w:rsidR="00224567" w:rsidRDefault="00224567">
      <w:pPr>
        <w:widowControl w:val="0"/>
        <w:ind w:firstLine="709"/>
        <w:rPr>
          <w:lang w:val="es-ES_tradnl"/>
        </w:rPr>
      </w:pPr>
      <w:r>
        <w:rPr>
          <w:lang w:val="es-ES_tradnl"/>
        </w:rPr>
        <w:tab/>
        <w:t>Además, indicó, quien estuvo a cargo de hacerle firmar tal constancia a “Teccedin” no fue él, sino que firmó el acta cuando se la alcanzaron a su desp</w:t>
      </w:r>
      <w:r>
        <w:rPr>
          <w:lang w:val="es-ES_tradnl"/>
        </w:rPr>
        <w:t>a</w:t>
      </w:r>
      <w:r>
        <w:rPr>
          <w:lang w:val="es-ES_tradnl"/>
        </w:rPr>
        <w:t>cho y luego de que ésta hubiera sido rubricada por el d</w:t>
      </w:r>
      <w:r>
        <w:rPr>
          <w:lang w:val="es-ES_tradnl"/>
        </w:rPr>
        <w:t>e</w:t>
      </w:r>
      <w:r>
        <w:rPr>
          <w:lang w:val="es-ES_tradnl"/>
        </w:rPr>
        <w:t>ten</w:t>
      </w:r>
      <w:r>
        <w:rPr>
          <w:lang w:val="es-ES_tradnl"/>
        </w:rPr>
        <w:t>i</w:t>
      </w:r>
      <w:r>
        <w:rPr>
          <w:lang w:val="es-ES_tradnl"/>
        </w:rPr>
        <w:t>do.</w:t>
      </w:r>
    </w:p>
    <w:p w:rsidR="00224567" w:rsidRDefault="00224567">
      <w:pPr>
        <w:widowControl w:val="0"/>
        <w:rPr>
          <w:lang w:val="es-ES_tradnl"/>
        </w:rPr>
      </w:pPr>
      <w:r>
        <w:rPr>
          <w:lang w:val="es-ES_tradnl"/>
        </w:rPr>
        <w:tab/>
        <w:t>Aclaró que todo lo relativo a la a</w:t>
      </w:r>
      <w:r>
        <w:rPr>
          <w:lang w:val="es-ES_tradnl"/>
        </w:rPr>
        <w:t>c</w:t>
      </w:r>
      <w:r>
        <w:rPr>
          <w:lang w:val="es-ES_tradnl"/>
        </w:rPr>
        <w:t>tuación sumarial, -notificación de “Teccedin” de su dete</w:t>
      </w:r>
      <w:r>
        <w:rPr>
          <w:lang w:val="es-ES_tradnl"/>
        </w:rPr>
        <w:t>n</w:t>
      </w:r>
      <w:r>
        <w:rPr>
          <w:lang w:val="es-ES_tradnl"/>
        </w:rPr>
        <w:t>ción, entrega de vehículo y pedido de fichas-, las firmó en su despacho, sin tener contacto con el detenido, acl</w:t>
      </w:r>
      <w:r>
        <w:rPr>
          <w:lang w:val="es-ES_tradnl"/>
        </w:rPr>
        <w:t>a</w:t>
      </w:r>
      <w:r>
        <w:rPr>
          <w:lang w:val="es-ES_tradnl"/>
        </w:rPr>
        <w:t>rando que los actos en los que figura la firma de “Tecc</w:t>
      </w:r>
      <w:r>
        <w:rPr>
          <w:lang w:val="es-ES_tradnl"/>
        </w:rPr>
        <w:t>e</w:t>
      </w:r>
      <w:r>
        <w:rPr>
          <w:lang w:val="es-ES_tradnl"/>
        </w:rPr>
        <w:t>din” fueron rubricados con post</w:t>
      </w:r>
      <w:r>
        <w:rPr>
          <w:lang w:val="es-ES_tradnl"/>
        </w:rPr>
        <w:t>e</w:t>
      </w:r>
      <w:r>
        <w:rPr>
          <w:lang w:val="es-ES_tradnl"/>
        </w:rPr>
        <w:t>rioridad en su oficina.</w:t>
      </w:r>
    </w:p>
    <w:p w:rsidR="00224567" w:rsidRDefault="00224567">
      <w:pPr>
        <w:widowControl w:val="0"/>
        <w:rPr>
          <w:lang w:val="es-ES_tradnl"/>
        </w:rPr>
      </w:pPr>
      <w:r>
        <w:rPr>
          <w:lang w:val="es-ES_tradnl"/>
        </w:rPr>
        <w:tab/>
        <w:t xml:space="preserve">Detalló que </w:t>
      </w:r>
      <w:smartTag w:uri="urn:schemas-microsoft-com:office:smarttags" w:element="PersonName">
        <w:smartTagPr>
          <w:attr w:name="ProductID" w:val="la Brigada"/>
        </w:smartTagPr>
        <w:r>
          <w:rPr>
            <w:lang w:val="es-ES_tradnl"/>
          </w:rPr>
          <w:t>la Brigada</w:t>
        </w:r>
      </w:smartTag>
      <w:r>
        <w:rPr>
          <w:lang w:val="es-ES_tradnl"/>
        </w:rPr>
        <w:t xml:space="preserve"> de Lanús con</w:t>
      </w:r>
      <w:r>
        <w:rPr>
          <w:lang w:val="es-ES_tradnl"/>
        </w:rPr>
        <w:t>s</w:t>
      </w:r>
      <w:r>
        <w:rPr>
          <w:lang w:val="es-ES_tradnl"/>
        </w:rPr>
        <w:t>taba de una planta baja y un primer piso y que su de</w:t>
      </w:r>
      <w:r>
        <w:rPr>
          <w:lang w:val="es-ES_tradnl"/>
        </w:rPr>
        <w:t>s</w:t>
      </w:r>
      <w:r>
        <w:rPr>
          <w:lang w:val="es-ES_tradnl"/>
        </w:rPr>
        <w:t>pacho estaba situado en la primera, hacia la izquierda.</w:t>
      </w:r>
    </w:p>
    <w:p w:rsidR="00224567" w:rsidRDefault="00224567">
      <w:pPr>
        <w:widowControl w:val="0"/>
        <w:rPr>
          <w:lang w:val="es-ES_tradnl"/>
        </w:rPr>
      </w:pPr>
      <w:r>
        <w:rPr>
          <w:lang w:val="es-ES_tradnl"/>
        </w:rPr>
        <w:tab/>
        <w:t>Precisó que justo al ingresar a la d</w:t>
      </w:r>
      <w:r>
        <w:rPr>
          <w:lang w:val="es-ES_tradnl"/>
        </w:rPr>
        <w:t>e</w:t>
      </w:r>
      <w:r>
        <w:rPr>
          <w:lang w:val="es-ES_tradnl"/>
        </w:rPr>
        <w:t>pendencia se hallaba la guardia y una sala de estar, al fondo de la planta baja se e</w:t>
      </w:r>
      <w:r>
        <w:rPr>
          <w:lang w:val="es-ES_tradnl"/>
        </w:rPr>
        <w:t>n</w:t>
      </w:r>
      <w:r>
        <w:rPr>
          <w:lang w:val="es-ES_tradnl"/>
        </w:rPr>
        <w:t>contraban los calabozos y al subir la escalera que estaba detrás de la guardia, se ub</w:t>
      </w:r>
      <w:r>
        <w:rPr>
          <w:lang w:val="es-ES_tradnl"/>
        </w:rPr>
        <w:t>i</w:t>
      </w:r>
      <w:r>
        <w:rPr>
          <w:lang w:val="es-ES_tradnl"/>
        </w:rPr>
        <w:t>caban los despachos del jefe de la brigada, del jefe de operaciones, la oficina de informática y un c</w:t>
      </w:r>
      <w:r>
        <w:rPr>
          <w:lang w:val="es-ES_tradnl"/>
        </w:rPr>
        <w:t>o</w:t>
      </w:r>
      <w:r>
        <w:rPr>
          <w:lang w:val="es-ES_tradnl"/>
        </w:rPr>
        <w:t>medor.</w:t>
      </w:r>
    </w:p>
    <w:p w:rsidR="00224567" w:rsidRDefault="00224567">
      <w:pPr>
        <w:widowControl w:val="0"/>
        <w:ind w:firstLine="709"/>
        <w:rPr>
          <w:lang w:val="es-ES_tradnl"/>
        </w:rPr>
      </w:pPr>
      <w:r>
        <w:rPr>
          <w:lang w:val="es-ES_tradnl"/>
        </w:rPr>
        <w:tab/>
        <w:t>Burguete efectuó un croquis de la planta baja, en el que señaló su despacho con el nº 1, la oficina de judiciales con el nº 2, y situó la oficina de guardia, la de reconocimientos, la cocina y el lugar de</w:t>
      </w:r>
      <w:r>
        <w:rPr>
          <w:lang w:val="es-ES_tradnl"/>
        </w:rPr>
        <w:t>s</w:t>
      </w:r>
      <w:r>
        <w:rPr>
          <w:lang w:val="es-ES_tradnl"/>
        </w:rPr>
        <w:t>tinado a calabozos al fondo de la planta baja.</w:t>
      </w:r>
    </w:p>
    <w:p w:rsidR="00224567" w:rsidRDefault="00224567">
      <w:pPr>
        <w:widowControl w:val="0"/>
        <w:ind w:firstLine="709"/>
        <w:rPr>
          <w:lang w:val="es-ES_tradnl"/>
        </w:rPr>
      </w:pPr>
      <w:r>
        <w:rPr>
          <w:lang w:val="es-ES_tradnl"/>
        </w:rPr>
        <w:tab/>
        <w:t>Expresó que la confección del croquis la realizó según sus recuerdos, aclarando que si bien s</w:t>
      </w:r>
      <w:r>
        <w:rPr>
          <w:lang w:val="es-ES_tradnl"/>
        </w:rPr>
        <w:t>a</w:t>
      </w:r>
      <w:r>
        <w:rPr>
          <w:lang w:val="es-ES_tradnl"/>
        </w:rPr>
        <w:t>bía que en la planta baja había más despachos y baños no podía ubicarlos con precisión. Añadió que tampoco record</w:t>
      </w:r>
      <w:r>
        <w:rPr>
          <w:lang w:val="es-ES_tradnl"/>
        </w:rPr>
        <w:t>a</w:t>
      </w:r>
      <w:r>
        <w:rPr>
          <w:lang w:val="es-ES_tradnl"/>
        </w:rPr>
        <w:t>ba donde estaba ubicado el lugar para la obtención de f</w:t>
      </w:r>
      <w:r>
        <w:rPr>
          <w:lang w:val="es-ES_tradnl"/>
        </w:rPr>
        <w:t>i</w:t>
      </w:r>
      <w:r>
        <w:rPr>
          <w:lang w:val="es-ES_tradnl"/>
        </w:rPr>
        <w:t>chas dactilo</w:t>
      </w:r>
      <w:r>
        <w:rPr>
          <w:lang w:val="es-ES_tradnl"/>
        </w:rPr>
        <w:t>s</w:t>
      </w:r>
      <w:r>
        <w:rPr>
          <w:lang w:val="es-ES_tradnl"/>
        </w:rPr>
        <w:t>cópicas.</w:t>
      </w:r>
    </w:p>
    <w:p w:rsidR="00224567" w:rsidRDefault="00224567">
      <w:pPr>
        <w:widowControl w:val="0"/>
        <w:ind w:firstLine="709"/>
        <w:rPr>
          <w:lang w:val="es-ES_tradnl"/>
        </w:rPr>
      </w:pPr>
      <w:r>
        <w:rPr>
          <w:lang w:val="es-ES_tradnl"/>
        </w:rPr>
        <w:tab/>
        <w:t>Negó haber participado en los hechos que se le imputaran.</w:t>
      </w:r>
    </w:p>
    <w:p w:rsidR="00224567" w:rsidRDefault="00224567">
      <w:pPr>
        <w:widowControl w:val="0"/>
        <w:ind w:firstLine="709"/>
        <w:rPr>
          <w:lang w:val="es-ES_tradnl"/>
        </w:rPr>
      </w:pPr>
      <w:r>
        <w:rPr>
          <w:lang w:val="es-ES_tradnl"/>
        </w:rPr>
        <w:tab/>
        <w:t>Señaló que su función como segundo j</w:t>
      </w:r>
      <w:r>
        <w:rPr>
          <w:lang w:val="es-ES_tradnl"/>
        </w:rPr>
        <w:t>e</w:t>
      </w:r>
      <w:r>
        <w:rPr>
          <w:lang w:val="es-ES_tradnl"/>
        </w:rPr>
        <w:t xml:space="preserve">fe de </w:t>
      </w:r>
      <w:smartTag w:uri="urn:schemas-microsoft-com:office:smarttags" w:element="PersonName">
        <w:smartTagPr>
          <w:attr w:name="ProductID" w:val="la Brigada"/>
        </w:smartTagPr>
        <w:r>
          <w:rPr>
            <w:lang w:val="es-ES_tradnl"/>
          </w:rPr>
          <w:t>la Brigada</w:t>
        </w:r>
      </w:smartTag>
      <w:r>
        <w:rPr>
          <w:lang w:val="es-ES_tradnl"/>
        </w:rPr>
        <w:t xml:space="preserve"> de Lanús consistía en estar a cargo de la oficina de judiciales, y que de acuerdo a las normas de </w:t>
      </w:r>
      <w:smartTag w:uri="urn:schemas-microsoft-com:office:smarttags" w:element="PersonName">
        <w:smartTagPr>
          <w:attr w:name="ProductID" w:val="la Polic￭a Bonaerense"/>
        </w:smartTagPr>
        <w:r>
          <w:rPr>
            <w:lang w:val="es-ES_tradnl"/>
          </w:rPr>
          <w:t>la Policía Bonaerense</w:t>
        </w:r>
      </w:smartTag>
      <w:r>
        <w:rPr>
          <w:lang w:val="es-ES_tradnl"/>
        </w:rPr>
        <w:t>, a la función ya dicha se agregaba la parte de personal.</w:t>
      </w:r>
    </w:p>
    <w:p w:rsidR="00224567" w:rsidRDefault="00224567">
      <w:pPr>
        <w:widowControl w:val="0"/>
        <w:ind w:firstLine="709"/>
        <w:rPr>
          <w:lang w:val="es-ES_tradnl"/>
        </w:rPr>
      </w:pPr>
      <w:r>
        <w:rPr>
          <w:lang w:val="es-ES_tradnl"/>
        </w:rPr>
        <w:tab/>
        <w:t>Afirmó que en algunas oportunid</w:t>
      </w:r>
      <w:r>
        <w:rPr>
          <w:lang w:val="es-ES_tradnl"/>
        </w:rPr>
        <w:t>a</w:t>
      </w:r>
      <w:r>
        <w:rPr>
          <w:lang w:val="es-ES_tradnl"/>
        </w:rPr>
        <w:t>des él ordenaba y dirigía las tareas investigativas, y en otras se las encargaba al subcomisario Rib</w:t>
      </w:r>
      <w:r>
        <w:rPr>
          <w:lang w:val="es-ES_tradnl"/>
        </w:rPr>
        <w:t>e</w:t>
      </w:r>
      <w:r>
        <w:rPr>
          <w:lang w:val="es-ES_tradnl"/>
        </w:rPr>
        <w:t>lli, que era el jefe de operaciones.</w:t>
      </w:r>
    </w:p>
    <w:p w:rsidR="00224567" w:rsidRDefault="00224567">
      <w:pPr>
        <w:widowControl w:val="0"/>
        <w:ind w:firstLine="709"/>
        <w:rPr>
          <w:lang w:val="es-ES_tradnl"/>
        </w:rPr>
      </w:pPr>
      <w:r>
        <w:rPr>
          <w:lang w:val="es-ES_tradnl"/>
        </w:rPr>
        <w:tab/>
        <w:t>Con respecto al modo en que se real</w:t>
      </w:r>
      <w:r>
        <w:rPr>
          <w:lang w:val="es-ES_tradnl"/>
        </w:rPr>
        <w:t>i</w:t>
      </w:r>
      <w:r>
        <w:rPr>
          <w:lang w:val="es-ES_tradnl"/>
        </w:rPr>
        <w:t>zaban, refirió que él se encargaba si la inve</w:t>
      </w:r>
      <w:r>
        <w:rPr>
          <w:lang w:val="es-ES_tradnl"/>
        </w:rPr>
        <w:t>s</w:t>
      </w:r>
      <w:r>
        <w:rPr>
          <w:lang w:val="es-ES_tradnl"/>
        </w:rPr>
        <w:t>tigación era en virtud de una causa judicial. No obstante, dijo, este tipo de investigaciones podía delegarlas al subcomisario Ribelli para que dispusiera del personal a c</w:t>
      </w:r>
      <w:r>
        <w:rPr>
          <w:lang w:val="es-ES_tradnl"/>
        </w:rPr>
        <w:t>o</w:t>
      </w:r>
      <w:r>
        <w:rPr>
          <w:lang w:val="es-ES_tradnl"/>
        </w:rPr>
        <w:t>misionar. En cambio, agregó, si la información provenía de terceros o del propio personal, el encargado de t</w:t>
      </w:r>
      <w:r>
        <w:rPr>
          <w:lang w:val="es-ES_tradnl"/>
        </w:rPr>
        <w:t>a</w:t>
      </w:r>
      <w:r>
        <w:rPr>
          <w:lang w:val="es-ES_tradnl"/>
        </w:rPr>
        <w:t>les investigaciones era el subcomisario Ribelli.</w:t>
      </w:r>
    </w:p>
    <w:p w:rsidR="00224567" w:rsidRDefault="00224567">
      <w:pPr>
        <w:widowControl w:val="0"/>
        <w:ind w:firstLine="709"/>
        <w:rPr>
          <w:lang w:val="es-ES_tradnl"/>
        </w:rPr>
      </w:pPr>
      <w:r>
        <w:rPr>
          <w:lang w:val="es-ES_tradnl"/>
        </w:rPr>
        <w:tab/>
        <w:t>Expresó que las investigaciones que se iniciaban de esta última manera no eran supervis</w:t>
      </w:r>
      <w:r>
        <w:rPr>
          <w:lang w:val="es-ES_tradnl"/>
        </w:rPr>
        <w:t>a</w:t>
      </w:r>
      <w:r>
        <w:rPr>
          <w:lang w:val="es-ES_tradnl"/>
        </w:rPr>
        <w:t>das.</w:t>
      </w:r>
    </w:p>
    <w:p w:rsidR="00224567" w:rsidRDefault="00224567">
      <w:pPr>
        <w:widowControl w:val="0"/>
        <w:ind w:firstLine="709"/>
        <w:rPr>
          <w:lang w:val="es-ES_tradnl"/>
        </w:rPr>
      </w:pPr>
      <w:r>
        <w:rPr>
          <w:lang w:val="es-ES_tradnl"/>
        </w:rPr>
        <w:tab/>
        <w:t xml:space="preserve">Declaró que para la época en que se desempeñó en </w:t>
      </w:r>
      <w:smartTag w:uri="urn:schemas-microsoft-com:office:smarttags" w:element="PersonName">
        <w:smartTagPr>
          <w:attr w:name="ProductID" w:val="la Brigada"/>
        </w:smartTagPr>
        <w:r>
          <w:rPr>
            <w:lang w:val="es-ES_tradnl"/>
          </w:rPr>
          <w:t>la Brigada</w:t>
        </w:r>
      </w:smartTag>
      <w:r>
        <w:rPr>
          <w:lang w:val="es-ES_tradnl"/>
        </w:rPr>
        <w:t xml:space="preserve"> de Lanús, no quería tr</w:t>
      </w:r>
      <w:r>
        <w:rPr>
          <w:lang w:val="es-ES_tradnl"/>
        </w:rPr>
        <w:t>a</w:t>
      </w:r>
      <w:r>
        <w:rPr>
          <w:lang w:val="es-ES_tradnl"/>
        </w:rPr>
        <w:t>bajar ahí, sino ser jefe de una comisaría, porque siempre había est</w:t>
      </w:r>
      <w:r>
        <w:rPr>
          <w:lang w:val="es-ES_tradnl"/>
        </w:rPr>
        <w:t>a</w:t>
      </w:r>
      <w:r>
        <w:rPr>
          <w:lang w:val="es-ES_tradnl"/>
        </w:rPr>
        <w:t>do allí.</w:t>
      </w:r>
    </w:p>
    <w:p w:rsidR="00224567" w:rsidRDefault="00224567">
      <w:pPr>
        <w:widowControl w:val="0"/>
        <w:ind w:firstLine="709"/>
        <w:rPr>
          <w:lang w:val="es-ES_tradnl"/>
        </w:rPr>
      </w:pPr>
      <w:r>
        <w:rPr>
          <w:lang w:val="es-ES_tradnl"/>
        </w:rPr>
        <w:tab/>
        <w:t>También señaló, con relación al jefe de operaciones Rib</w:t>
      </w:r>
      <w:r>
        <w:rPr>
          <w:lang w:val="es-ES_tradnl"/>
        </w:rPr>
        <w:t>e</w:t>
      </w:r>
      <w:r>
        <w:rPr>
          <w:lang w:val="es-ES_tradnl"/>
        </w:rPr>
        <w:t>lli, que la gente que estaba a su cargo era personal de su confianza.</w:t>
      </w:r>
    </w:p>
    <w:p w:rsidR="00224567" w:rsidRDefault="00224567">
      <w:pPr>
        <w:widowControl w:val="0"/>
        <w:ind w:firstLine="709"/>
        <w:rPr>
          <w:lang w:val="es-ES_tradnl"/>
        </w:rPr>
      </w:pPr>
      <w:r>
        <w:rPr>
          <w:lang w:val="es-ES_tradnl"/>
        </w:rPr>
        <w:tab/>
        <w:t>Manifestó que al momento de efectua</w:t>
      </w:r>
      <w:r>
        <w:rPr>
          <w:lang w:val="es-ES_tradnl"/>
        </w:rPr>
        <w:t>r</w:t>
      </w:r>
      <w:r>
        <w:rPr>
          <w:lang w:val="es-ES_tradnl"/>
        </w:rPr>
        <w:t xml:space="preserve">se el pase del subcomisario Ibarra a </w:t>
      </w:r>
      <w:smartTag w:uri="urn:schemas-microsoft-com:office:smarttags" w:element="PersonName">
        <w:smartTagPr>
          <w:attr w:name="ProductID" w:val="la Divisi￳n Sustracci￳n"/>
        </w:smartTagPr>
        <w:r>
          <w:rPr>
            <w:lang w:val="es-ES_tradnl"/>
          </w:rPr>
          <w:t>la División Su</w:t>
        </w:r>
        <w:r>
          <w:rPr>
            <w:lang w:val="es-ES_tradnl"/>
          </w:rPr>
          <w:t>s</w:t>
        </w:r>
        <w:r>
          <w:rPr>
            <w:lang w:val="es-ES_tradnl"/>
          </w:rPr>
          <w:t>tracción</w:t>
        </w:r>
      </w:smartTag>
      <w:r>
        <w:rPr>
          <w:lang w:val="es-ES_tradnl"/>
        </w:rPr>
        <w:t xml:space="preserve"> de Automotores de Vicente López, él ya no se encontraba en </w:t>
      </w:r>
      <w:smartTag w:uri="urn:schemas-microsoft-com:office:smarttags" w:element="PersonName">
        <w:smartTagPr>
          <w:attr w:name="ProductID" w:val="la Brigada"/>
        </w:smartTagPr>
        <w:r>
          <w:rPr>
            <w:lang w:val="es-ES_tradnl"/>
          </w:rPr>
          <w:t>la Brigada</w:t>
        </w:r>
      </w:smartTag>
      <w:r>
        <w:rPr>
          <w:lang w:val="es-ES_tradnl"/>
        </w:rPr>
        <w:t xml:space="preserve"> de Lanús, por lo que ignoraba los motivos que lo originaron.</w:t>
      </w:r>
    </w:p>
    <w:p w:rsidR="00224567" w:rsidRDefault="00224567">
      <w:pPr>
        <w:widowControl w:val="0"/>
        <w:ind w:firstLine="709"/>
        <w:rPr>
          <w:lang w:val="es-ES_tradnl"/>
        </w:rPr>
      </w:pPr>
      <w:r>
        <w:rPr>
          <w:lang w:val="es-ES_tradnl"/>
        </w:rPr>
        <w:tab/>
        <w:t>Expresó que desconocía cuáles eran las personas de confianza de Ribelli e Ibarra porque el prim</w:t>
      </w:r>
      <w:r>
        <w:rPr>
          <w:lang w:val="es-ES_tradnl"/>
        </w:rPr>
        <w:t>e</w:t>
      </w:r>
      <w:r>
        <w:rPr>
          <w:lang w:val="es-ES_tradnl"/>
        </w:rPr>
        <w:t>ro era muy reservado.</w:t>
      </w:r>
    </w:p>
    <w:p w:rsidR="00224567" w:rsidRDefault="00224567">
      <w:pPr>
        <w:widowControl w:val="0"/>
        <w:ind w:firstLine="709"/>
        <w:rPr>
          <w:lang w:val="es-ES_tradnl"/>
        </w:rPr>
      </w:pPr>
      <w:r>
        <w:rPr>
          <w:lang w:val="es-ES_tradnl"/>
        </w:rPr>
        <w:tab/>
        <w:t>Señaló que luego de que “Teccedin” y su acompañante fu</w:t>
      </w:r>
      <w:r>
        <w:rPr>
          <w:lang w:val="es-ES_tradnl"/>
        </w:rPr>
        <w:t>e</w:t>
      </w:r>
      <w:r>
        <w:rPr>
          <w:lang w:val="es-ES_tradnl"/>
        </w:rPr>
        <w:t xml:space="preserve">ron traslados a </w:t>
      </w:r>
      <w:smartTag w:uri="urn:schemas-microsoft-com:office:smarttags" w:element="PersonName">
        <w:smartTagPr>
          <w:attr w:name="ProductID" w:val="la Brigada"/>
        </w:smartTagPr>
        <w:r>
          <w:rPr>
            <w:lang w:val="es-ES_tradnl"/>
          </w:rPr>
          <w:t>la Brigada</w:t>
        </w:r>
      </w:smartTag>
      <w:r>
        <w:rPr>
          <w:lang w:val="es-ES_tradnl"/>
        </w:rPr>
        <w:t xml:space="preserve"> de Lanús, el 4 de abril de 1994 en horas de la noche, no advirtió la presencia en esa dependencia de abogados, de un oficial jefe retirado de </w:t>
      </w:r>
      <w:smartTag w:uri="urn:schemas-microsoft-com:office:smarttags" w:element="PersonName">
        <w:smartTagPr>
          <w:attr w:name="ProductID" w:val="la Polic￭a Bonaerense"/>
        </w:smartTagPr>
        <w:r>
          <w:rPr>
            <w:lang w:val="es-ES_tradnl"/>
          </w:rPr>
          <w:t>la Policía Bonaerense</w:t>
        </w:r>
      </w:smartTag>
      <w:r>
        <w:rPr>
          <w:lang w:val="es-ES_tradnl"/>
        </w:rPr>
        <w:t>, ni parientes del detenido “Teccedin”, así como tampoco la entrega de un vehículo Ford Falcon, la descarga de un taxiflet, de una motocicleta marca Kawasaki y la entrega de dinero en efe</w:t>
      </w:r>
      <w:r>
        <w:rPr>
          <w:lang w:val="es-ES_tradnl"/>
        </w:rPr>
        <w:t>c</w:t>
      </w:r>
      <w:r>
        <w:rPr>
          <w:lang w:val="es-ES_tradnl"/>
        </w:rPr>
        <w:t>tivo.</w:t>
      </w:r>
    </w:p>
    <w:p w:rsidR="00224567" w:rsidRDefault="00224567">
      <w:pPr>
        <w:widowControl w:val="0"/>
        <w:ind w:firstLine="709"/>
        <w:rPr>
          <w:lang w:val="es-ES_tradnl"/>
        </w:rPr>
      </w:pPr>
      <w:r>
        <w:rPr>
          <w:lang w:val="es-ES_tradnl"/>
        </w:rPr>
        <w:tab/>
        <w:t>No pudo recordar con precisión, pero manifestó que era posible que se hubiera retirado entre las 21.00 y 22.00, tal como acostu</w:t>
      </w:r>
      <w:r>
        <w:rPr>
          <w:lang w:val="es-ES_tradnl"/>
        </w:rPr>
        <w:t>m</w:t>
      </w:r>
      <w:r>
        <w:rPr>
          <w:lang w:val="es-ES_tradnl"/>
        </w:rPr>
        <w:t>braba a hacerlo cuando no ocurría nada importante o tenía poca firma.</w:t>
      </w:r>
    </w:p>
    <w:p w:rsidR="00224567" w:rsidRDefault="00224567">
      <w:pPr>
        <w:widowControl w:val="0"/>
        <w:ind w:firstLine="709"/>
        <w:rPr>
          <w:lang w:val="es-ES_tradnl"/>
        </w:rPr>
      </w:pPr>
      <w:r>
        <w:rPr>
          <w:lang w:val="es-ES_tradnl"/>
        </w:rPr>
        <w:tab/>
        <w:t>Expresó que no conocía al subcomis</w:t>
      </w:r>
      <w:r>
        <w:rPr>
          <w:lang w:val="es-ES_tradnl"/>
        </w:rPr>
        <w:t>a</w:t>
      </w:r>
      <w:r>
        <w:rPr>
          <w:lang w:val="es-ES_tradnl"/>
        </w:rPr>
        <w:t>rio Jorge Horacio Rago, ni al subcomisario Anastasio Ireneo Leal, como tampoco sabía si tenían relación alguna con R</w:t>
      </w:r>
      <w:r>
        <w:rPr>
          <w:lang w:val="es-ES_tradnl"/>
        </w:rPr>
        <w:t>i</w:t>
      </w:r>
      <w:r>
        <w:rPr>
          <w:lang w:val="es-ES_tradnl"/>
        </w:rPr>
        <w:t>belli y/o Ibarra.</w:t>
      </w:r>
    </w:p>
    <w:p w:rsidR="00224567" w:rsidRDefault="00224567">
      <w:pPr>
        <w:widowControl w:val="0"/>
        <w:ind w:firstLine="709"/>
        <w:rPr>
          <w:lang w:val="es-ES_tradnl"/>
        </w:rPr>
      </w:pPr>
      <w:r>
        <w:rPr>
          <w:lang w:val="es-ES_tradnl"/>
        </w:rPr>
        <w:tab/>
        <w:t>Afirmó que trabajó con el subcomis</w:t>
      </w:r>
      <w:r>
        <w:rPr>
          <w:lang w:val="es-ES_tradnl"/>
        </w:rPr>
        <w:t>a</w:t>
      </w:r>
      <w:r>
        <w:rPr>
          <w:lang w:val="es-ES_tradnl"/>
        </w:rPr>
        <w:t>rio José Miguel Ara</w:t>
      </w:r>
      <w:r>
        <w:rPr>
          <w:lang w:val="es-ES_tradnl"/>
        </w:rPr>
        <w:t>n</w:t>
      </w:r>
      <w:r>
        <w:rPr>
          <w:lang w:val="es-ES_tradnl"/>
        </w:rPr>
        <w:t xml:space="preserve">cibia y el oficial principal Oscar Eusebio Bacigalupo en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nús, cumpliendo funciones en judiciales. Al primero, indicó, lo conoció además por h</w:t>
      </w:r>
      <w:r>
        <w:rPr>
          <w:lang w:val="es-ES_tradnl"/>
        </w:rPr>
        <w:t>a</w:t>
      </w:r>
      <w:r>
        <w:rPr>
          <w:lang w:val="es-ES_tradnl"/>
        </w:rPr>
        <w:t xml:space="preserve">ber trabajado juntos en </w:t>
      </w:r>
      <w:smartTag w:uri="urn:schemas-microsoft-com:office:smarttags" w:element="PersonName">
        <w:smartTagPr>
          <w:attr w:name="ProductID" w:val="la Brigada"/>
        </w:smartTagPr>
        <w:r>
          <w:rPr>
            <w:lang w:val="es-ES_tradnl"/>
          </w:rPr>
          <w:t>la Brigada</w:t>
        </w:r>
      </w:smartTag>
      <w:r>
        <w:rPr>
          <w:lang w:val="es-ES_tradnl"/>
        </w:rPr>
        <w:t xml:space="preserve"> de General Sarmiento, al igual que R</w:t>
      </w:r>
      <w:r>
        <w:rPr>
          <w:lang w:val="es-ES_tradnl"/>
        </w:rPr>
        <w:t>i</w:t>
      </w:r>
      <w:r>
        <w:rPr>
          <w:lang w:val="es-ES_tradnl"/>
        </w:rPr>
        <w:t>belli.</w:t>
      </w:r>
    </w:p>
    <w:p w:rsidR="00224567" w:rsidRDefault="00224567">
      <w:pPr>
        <w:widowControl w:val="0"/>
        <w:ind w:firstLine="709"/>
        <w:rPr>
          <w:lang w:val="es-ES_tradnl"/>
        </w:rPr>
      </w:pPr>
      <w:r>
        <w:rPr>
          <w:lang w:val="es-ES_tradnl"/>
        </w:rPr>
        <w:tab/>
        <w:t>Manifestó que trabajó con el subcom</w:t>
      </w:r>
      <w:r>
        <w:rPr>
          <w:lang w:val="es-ES_tradnl"/>
        </w:rPr>
        <w:t>i</w:t>
      </w:r>
      <w:r>
        <w:rPr>
          <w:lang w:val="es-ES_tradnl"/>
        </w:rPr>
        <w:t xml:space="preserve">sario Bautista Alberto Huici en </w:t>
      </w:r>
      <w:smartTag w:uri="urn:schemas-microsoft-com:office:smarttags" w:element="PersonName">
        <w:smartTagPr>
          <w:attr w:name="ProductID" w:val="la Brigada"/>
        </w:smartTagPr>
        <w:r>
          <w:rPr>
            <w:lang w:val="es-ES_tradnl"/>
          </w:rPr>
          <w:t>la Brigada</w:t>
        </w:r>
      </w:smartTag>
      <w:r>
        <w:rPr>
          <w:lang w:val="es-ES_tradnl"/>
        </w:rPr>
        <w:t xml:space="preserve"> de Lanús, pero se desempeñaba en la parte operativa bajo el mando de R</w:t>
      </w:r>
      <w:r>
        <w:rPr>
          <w:lang w:val="es-ES_tradnl"/>
        </w:rPr>
        <w:t>i</w:t>
      </w:r>
      <w:r>
        <w:rPr>
          <w:lang w:val="es-ES_tradnl"/>
        </w:rPr>
        <w:t>belli, estimando que v</w:t>
      </w:r>
      <w:r>
        <w:rPr>
          <w:lang w:val="es-ES_tradnl"/>
        </w:rPr>
        <w:t>e</w:t>
      </w:r>
      <w:r>
        <w:rPr>
          <w:lang w:val="es-ES_tradnl"/>
        </w:rPr>
        <w:t>nía de una comisaría.</w:t>
      </w:r>
    </w:p>
    <w:p w:rsidR="00224567" w:rsidRDefault="00224567">
      <w:pPr>
        <w:widowControl w:val="0"/>
        <w:ind w:firstLine="709"/>
        <w:rPr>
          <w:lang w:val="es-ES_tradnl"/>
        </w:rPr>
      </w:pPr>
      <w:r>
        <w:rPr>
          <w:lang w:val="es-ES_tradnl"/>
        </w:rPr>
        <w:tab/>
        <w:t xml:space="preserve">Dijo que al oficial principal Marcelo Gustavo Albarracín también lo conoció en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 xml:space="preserve">nús desempeñándose en un grupo operativo. No supo de donde provenía, pero no había estado en </w:t>
      </w:r>
      <w:smartTag w:uri="urn:schemas-microsoft-com:office:smarttags" w:element="PersonName">
        <w:smartTagPr>
          <w:attr w:name="ProductID" w:val="la Brigada"/>
        </w:smartTagPr>
        <w:r>
          <w:rPr>
            <w:lang w:val="es-ES_tradnl"/>
          </w:rPr>
          <w:t>la Brigada</w:t>
        </w:r>
      </w:smartTag>
      <w:r>
        <w:rPr>
          <w:lang w:val="es-ES_tradnl"/>
        </w:rPr>
        <w:t xml:space="preserve"> de General Sarmiento.</w:t>
      </w:r>
    </w:p>
    <w:p w:rsidR="00224567" w:rsidRDefault="00224567">
      <w:pPr>
        <w:widowControl w:val="0"/>
        <w:ind w:firstLine="709"/>
        <w:rPr>
          <w:lang w:val="es-ES_tradnl"/>
        </w:rPr>
      </w:pPr>
      <w:r>
        <w:rPr>
          <w:lang w:val="es-ES_tradnl"/>
        </w:rPr>
        <w:tab/>
        <w:t>En cuanto al oficial inspector Cla</w:t>
      </w:r>
      <w:r>
        <w:rPr>
          <w:lang w:val="es-ES_tradnl"/>
        </w:rPr>
        <w:t>u</w:t>
      </w:r>
      <w:r>
        <w:rPr>
          <w:lang w:val="es-ES_tradnl"/>
        </w:rPr>
        <w:t>dio Walter Araya, no pudo asegurar si al momento en que el d</w:t>
      </w:r>
      <w:r>
        <w:rPr>
          <w:lang w:val="es-ES_tradnl"/>
        </w:rPr>
        <w:t>e</w:t>
      </w:r>
      <w:r>
        <w:rPr>
          <w:lang w:val="es-ES_tradnl"/>
        </w:rPr>
        <w:t xml:space="preserve">clarante fue trasladado a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nús aquél ya se encontraba allí o provenía de otro destino. Agregó que también se desempeñaba en la parte operat</w:t>
      </w:r>
      <w:r>
        <w:rPr>
          <w:lang w:val="es-ES_tradnl"/>
        </w:rPr>
        <w:t>i</w:t>
      </w:r>
      <w:r>
        <w:rPr>
          <w:lang w:val="es-ES_tradnl"/>
        </w:rPr>
        <w:t>va.</w:t>
      </w:r>
    </w:p>
    <w:p w:rsidR="00224567" w:rsidRDefault="00224567">
      <w:pPr>
        <w:widowControl w:val="0"/>
        <w:ind w:firstLine="709"/>
        <w:rPr>
          <w:lang w:val="es-ES_tradnl"/>
        </w:rPr>
      </w:pPr>
      <w:r>
        <w:rPr>
          <w:lang w:val="es-ES_tradnl"/>
        </w:rPr>
        <w:tab/>
        <w:t>Negó conocer al subinspector Daniel Emilio Quinteros, a Diego Enrique Barreda, a Mario Norbe</w:t>
      </w:r>
      <w:r>
        <w:rPr>
          <w:lang w:val="es-ES_tradnl"/>
        </w:rPr>
        <w:t>r</w:t>
      </w:r>
      <w:r>
        <w:rPr>
          <w:lang w:val="es-ES_tradnl"/>
        </w:rPr>
        <w:t>to Bareiro, al sargento primero Argent</w:t>
      </w:r>
      <w:r>
        <w:rPr>
          <w:lang w:val="es-ES_tradnl"/>
        </w:rPr>
        <w:t>i</w:t>
      </w:r>
      <w:r>
        <w:rPr>
          <w:lang w:val="es-ES_tradnl"/>
        </w:rPr>
        <w:t>no Gabriel Lasala y al sargento ayudante Manuel E</w:t>
      </w:r>
      <w:r>
        <w:rPr>
          <w:lang w:val="es-ES_tradnl"/>
        </w:rPr>
        <w:t>n</w:t>
      </w:r>
      <w:r>
        <w:rPr>
          <w:lang w:val="es-ES_tradnl"/>
        </w:rPr>
        <w:t>rique García.</w:t>
      </w:r>
    </w:p>
    <w:p w:rsidR="00224567" w:rsidRDefault="00224567">
      <w:pPr>
        <w:widowControl w:val="0"/>
        <w:ind w:firstLine="709"/>
        <w:rPr>
          <w:lang w:val="es-ES_tradnl"/>
        </w:rPr>
      </w:pPr>
      <w:r>
        <w:rPr>
          <w:lang w:val="es-ES_tradnl"/>
        </w:rPr>
        <w:tab/>
        <w:t xml:space="preserve">Expresó que con el sargento ayudante Víctor Carlos Cruz pasaron juntos de </w:t>
      </w:r>
      <w:smartTag w:uri="urn:schemas-microsoft-com:office:smarttags" w:element="PersonName">
        <w:smartTagPr>
          <w:attr w:name="ProductID" w:val="la Brigada"/>
        </w:smartTagPr>
        <w:r>
          <w:rPr>
            <w:lang w:val="es-ES_tradnl"/>
          </w:rPr>
          <w:t>la Brigada</w:t>
        </w:r>
      </w:smartTag>
      <w:r>
        <w:rPr>
          <w:lang w:val="es-ES_tradnl"/>
        </w:rPr>
        <w:t xml:space="preserve"> de G</w:t>
      </w:r>
      <w:r>
        <w:rPr>
          <w:lang w:val="es-ES_tradnl"/>
        </w:rPr>
        <w:t>e</w:t>
      </w:r>
      <w:r>
        <w:rPr>
          <w:lang w:val="es-ES_tradnl"/>
        </w:rPr>
        <w:t>neral Sarmiento a la de Lanús. Añadió que era un disp</w:t>
      </w:r>
      <w:r>
        <w:rPr>
          <w:lang w:val="es-ES_tradnl"/>
        </w:rPr>
        <w:t>o</w:t>
      </w:r>
      <w:r>
        <w:rPr>
          <w:lang w:val="es-ES_tradnl"/>
        </w:rPr>
        <w:t>nible más, que estaba para hacer tareas internas y asistir al pers</w:t>
      </w:r>
      <w:r>
        <w:rPr>
          <w:lang w:val="es-ES_tradnl"/>
        </w:rPr>
        <w:t>o</w:t>
      </w:r>
      <w:r>
        <w:rPr>
          <w:lang w:val="es-ES_tradnl"/>
        </w:rPr>
        <w:t>nal superior.</w:t>
      </w:r>
    </w:p>
    <w:p w:rsidR="00224567" w:rsidRDefault="00224567">
      <w:pPr>
        <w:widowControl w:val="0"/>
        <w:ind w:firstLine="709"/>
        <w:rPr>
          <w:lang w:val="es-ES_tradnl"/>
        </w:rPr>
      </w:pPr>
      <w:r>
        <w:rPr>
          <w:lang w:val="es-ES_tradnl"/>
        </w:rPr>
        <w:tab/>
        <w:t xml:space="preserve">Al subcomisario José Aurelio Ferrari lo conoció en </w:t>
      </w:r>
      <w:smartTag w:uri="urn:schemas-microsoft-com:office:smarttags" w:element="PersonName">
        <w:smartTagPr>
          <w:attr w:name="ProductID" w:val="la Brigada"/>
        </w:smartTagPr>
        <w:r>
          <w:rPr>
            <w:lang w:val="es-ES_tradnl"/>
          </w:rPr>
          <w:t>la Brigada</w:t>
        </w:r>
      </w:smartTag>
      <w:r>
        <w:rPr>
          <w:lang w:val="es-ES_tradnl"/>
        </w:rPr>
        <w:t xml:space="preserve"> de General Sarmiento, dest</w:t>
      </w:r>
      <w:r>
        <w:rPr>
          <w:lang w:val="es-ES_tradnl"/>
        </w:rPr>
        <w:t>a</w:t>
      </w:r>
      <w:r>
        <w:rPr>
          <w:lang w:val="es-ES_tradnl"/>
        </w:rPr>
        <w:t>cando que compartieron uno o dos días de destino cuando fueron reemplazados los jefes de aquella dependencia.</w:t>
      </w:r>
    </w:p>
    <w:p w:rsidR="00224567" w:rsidRDefault="00224567">
      <w:pPr>
        <w:widowControl w:val="0"/>
        <w:ind w:firstLine="709"/>
        <w:rPr>
          <w:lang w:val="es-ES_tradnl"/>
        </w:rPr>
      </w:pPr>
      <w:r>
        <w:rPr>
          <w:lang w:val="es-ES_tradnl"/>
        </w:rPr>
        <w:tab/>
        <w:t xml:space="preserve">Señaló que el sargento Eduardo Diego Toledo y el cabo Marcelo Darío Casas prestaron servicios en </w:t>
      </w:r>
      <w:smartTag w:uri="urn:schemas-microsoft-com:office:smarttags" w:element="PersonName">
        <w:smartTagPr>
          <w:attr w:name="ProductID" w:val="la Brigada"/>
        </w:smartTagPr>
        <w:r>
          <w:rPr>
            <w:lang w:val="es-ES_tradnl"/>
          </w:rPr>
          <w:t>la Brigada</w:t>
        </w:r>
      </w:smartTag>
      <w:r>
        <w:rPr>
          <w:lang w:val="es-ES_tradnl"/>
        </w:rPr>
        <w:t xml:space="preserve"> de Lanús, y ya se encontr</w:t>
      </w:r>
      <w:r>
        <w:rPr>
          <w:lang w:val="es-ES_tradnl"/>
        </w:rPr>
        <w:t>a</w:t>
      </w:r>
      <w:r>
        <w:rPr>
          <w:lang w:val="es-ES_tradnl"/>
        </w:rPr>
        <w:t>ban allí cuando él llegó. Agregó que el primero prestaba servicios como op</w:t>
      </w:r>
      <w:r>
        <w:rPr>
          <w:lang w:val="es-ES_tradnl"/>
        </w:rPr>
        <w:t>e</w:t>
      </w:r>
      <w:r>
        <w:rPr>
          <w:lang w:val="es-ES_tradnl"/>
        </w:rPr>
        <w:t>rativo y el segundo, a veces, fichaba detenidos y, otras cumplía fu</w:t>
      </w:r>
      <w:r>
        <w:rPr>
          <w:lang w:val="es-ES_tradnl"/>
        </w:rPr>
        <w:t>n</w:t>
      </w:r>
      <w:r>
        <w:rPr>
          <w:lang w:val="es-ES_tradnl"/>
        </w:rPr>
        <w:t>ciones operativas.</w:t>
      </w:r>
    </w:p>
    <w:p w:rsidR="00224567" w:rsidRDefault="00224567">
      <w:pPr>
        <w:widowControl w:val="0"/>
        <w:ind w:firstLine="709"/>
        <w:rPr>
          <w:lang w:val="es-ES_tradnl"/>
        </w:rPr>
      </w:pPr>
      <w:r>
        <w:rPr>
          <w:lang w:val="es-ES_tradnl"/>
        </w:rPr>
        <w:tab/>
        <w:t xml:space="preserve">Señaló que no tuvo mucha relación con el cabo primero Walter Alejandro Castro, quien formaba parte de un grupo operativo, y no pudo precisar la fecha de su traslado a </w:t>
      </w:r>
      <w:smartTag w:uri="urn:schemas-microsoft-com:office:smarttags" w:element="PersonName">
        <w:smartTagPr>
          <w:attr w:name="ProductID" w:val="la Brigada"/>
        </w:smartTagPr>
        <w:r>
          <w:rPr>
            <w:lang w:val="es-ES_tradnl"/>
          </w:rPr>
          <w:t>la Brigada</w:t>
        </w:r>
      </w:smartTag>
      <w:r>
        <w:rPr>
          <w:lang w:val="es-ES_tradnl"/>
        </w:rPr>
        <w:t xml:space="preserve"> de Lanús, pero afirmó que ll</w:t>
      </w:r>
      <w:r>
        <w:rPr>
          <w:lang w:val="es-ES_tradnl"/>
        </w:rPr>
        <w:t>e</w:t>
      </w:r>
      <w:r>
        <w:rPr>
          <w:lang w:val="es-ES_tradnl"/>
        </w:rPr>
        <w:t>gó con posteri</w:t>
      </w:r>
      <w:r>
        <w:rPr>
          <w:lang w:val="es-ES_tradnl"/>
        </w:rPr>
        <w:t>o</w:t>
      </w:r>
      <w:r>
        <w:rPr>
          <w:lang w:val="es-ES_tradnl"/>
        </w:rPr>
        <w:t>ridad a él.</w:t>
      </w:r>
    </w:p>
    <w:p w:rsidR="00224567" w:rsidRDefault="00224567">
      <w:pPr>
        <w:widowControl w:val="0"/>
        <w:ind w:firstLine="709"/>
        <w:rPr>
          <w:lang w:val="es-ES_tradnl"/>
        </w:rPr>
      </w:pPr>
      <w:r>
        <w:rPr>
          <w:lang w:val="es-ES_tradnl"/>
        </w:rPr>
        <w:tab/>
        <w:t xml:space="preserve">Refirió que sabía que los nombrados habían prestado funciones en </w:t>
      </w:r>
      <w:smartTag w:uri="urn:schemas-microsoft-com:office:smarttags" w:element="PersonName">
        <w:smartTagPr>
          <w:attr w:name="ProductID" w:val="la Brigada"/>
        </w:smartTagPr>
        <w:r>
          <w:rPr>
            <w:lang w:val="es-ES_tradnl"/>
          </w:rPr>
          <w:t>la Brigada</w:t>
        </w:r>
      </w:smartTag>
      <w:r>
        <w:rPr>
          <w:lang w:val="es-ES_tradnl"/>
        </w:rPr>
        <w:t xml:space="preserve"> de L</w:t>
      </w:r>
      <w:r>
        <w:rPr>
          <w:lang w:val="es-ES_tradnl"/>
        </w:rPr>
        <w:t>a</w:t>
      </w:r>
      <w:r>
        <w:rPr>
          <w:lang w:val="es-ES_tradnl"/>
        </w:rPr>
        <w:t>nús, pero no conocía qué tipo de relación, más allá de la funcional, tenían con el subcomisario Ribelli y con Ibarra.</w:t>
      </w:r>
    </w:p>
    <w:p w:rsidR="00224567" w:rsidRDefault="00224567">
      <w:pPr>
        <w:widowControl w:val="0"/>
        <w:ind w:firstLine="709"/>
        <w:rPr>
          <w:lang w:val="es-ES_tradnl"/>
        </w:rPr>
      </w:pPr>
      <w:r>
        <w:rPr>
          <w:lang w:val="es-ES_tradnl"/>
        </w:rPr>
        <w:tab/>
        <w:t xml:space="preserve">No recordó si Cruz cumplió servicio activo en </w:t>
      </w:r>
      <w:smartTag w:uri="urn:schemas-microsoft-com:office:smarttags" w:element="PersonName">
        <w:smartTagPr>
          <w:attr w:name="ProductID" w:val="la Brigada"/>
        </w:smartTagPr>
        <w:r>
          <w:rPr>
            <w:lang w:val="es-ES_tradnl"/>
          </w:rPr>
          <w:t>la Brigada</w:t>
        </w:r>
      </w:smartTag>
      <w:r>
        <w:rPr>
          <w:lang w:val="es-ES_tradnl"/>
        </w:rPr>
        <w:t xml:space="preserve"> de Lanús.</w:t>
      </w:r>
    </w:p>
    <w:p w:rsidR="00224567" w:rsidRDefault="00224567">
      <w:pPr>
        <w:widowControl w:val="0"/>
        <w:ind w:firstLine="709"/>
        <w:rPr>
          <w:lang w:val="es-ES_tradnl"/>
        </w:rPr>
      </w:pPr>
      <w:r>
        <w:rPr>
          <w:lang w:val="es-ES_tradnl"/>
        </w:rPr>
        <w:tab/>
        <w:t>Preguntado si participó para obtener en forma ilegal la camioneta Trafic que fuera utilizada como cochebomba en el atentado a la s</w:t>
      </w:r>
      <w:r>
        <w:rPr>
          <w:lang w:val="es-ES_tradnl"/>
        </w:rPr>
        <w:t>e</w:t>
      </w:r>
      <w:r>
        <w:rPr>
          <w:lang w:val="es-ES_tradnl"/>
        </w:rPr>
        <w:t xml:space="preserve">de de </w:t>
      </w:r>
      <w:smartTag w:uri="urn:schemas-microsoft-com:office:smarttags" w:element="PersonName">
        <w:smartTagPr>
          <w:attr w:name="ProductID" w:val="la A.M"/>
        </w:smartTagPr>
        <w:r>
          <w:rPr>
            <w:lang w:val="es-ES_tradnl"/>
          </w:rPr>
          <w:t>la A.M</w:t>
        </w:r>
      </w:smartTag>
      <w:r>
        <w:rPr>
          <w:lang w:val="es-ES_tradnl"/>
        </w:rPr>
        <w:t>.I.A., y específicamente si ejerció presiones sobre Carlos A</w:t>
      </w:r>
      <w:r>
        <w:rPr>
          <w:lang w:val="es-ES_tradnl"/>
        </w:rPr>
        <w:t>l</w:t>
      </w:r>
      <w:r>
        <w:rPr>
          <w:lang w:val="es-ES_tradnl"/>
        </w:rPr>
        <w:t>berto Telleldín para que entregara dicha camioneta en el domic</w:t>
      </w:r>
      <w:r>
        <w:rPr>
          <w:lang w:val="es-ES_tradnl"/>
        </w:rPr>
        <w:t>i</w:t>
      </w:r>
      <w:r>
        <w:rPr>
          <w:lang w:val="es-ES_tradnl"/>
        </w:rPr>
        <w:t>lio de República 107 de Villa Ballester, el día 10 de j</w:t>
      </w:r>
      <w:r>
        <w:rPr>
          <w:lang w:val="es-ES_tradnl"/>
        </w:rPr>
        <w:t>u</w:t>
      </w:r>
      <w:r>
        <w:rPr>
          <w:lang w:val="es-ES_tradnl"/>
        </w:rPr>
        <w:t>lio de 1994, contestó que no y que de haber sido así, lo hubiera comunicado al juzg</w:t>
      </w:r>
      <w:r>
        <w:rPr>
          <w:lang w:val="es-ES_tradnl"/>
        </w:rPr>
        <w:t>a</w:t>
      </w:r>
      <w:r>
        <w:rPr>
          <w:lang w:val="es-ES_tradnl"/>
        </w:rPr>
        <w:t>do.</w:t>
      </w:r>
    </w:p>
    <w:p w:rsidR="00224567" w:rsidRDefault="00224567">
      <w:pPr>
        <w:widowControl w:val="0"/>
        <w:ind w:firstLine="709"/>
        <w:rPr>
          <w:lang w:val="es-ES_tradnl"/>
        </w:rPr>
      </w:pPr>
      <w:r>
        <w:rPr>
          <w:lang w:val="es-ES_tradnl"/>
        </w:rPr>
        <w:tab/>
        <w:t>Negó rotundamente haber colabor</w:t>
      </w:r>
      <w:r>
        <w:rPr>
          <w:lang w:val="es-ES_tradnl"/>
        </w:rPr>
        <w:t>a</w:t>
      </w:r>
      <w:r>
        <w:rPr>
          <w:lang w:val="es-ES_tradnl"/>
        </w:rPr>
        <w:t xml:space="preserve">do con </w:t>
      </w:r>
      <w:smartTag w:uri="urn:schemas-microsoft-com:office:smarttags" w:element="PersonName">
        <w:smartTagPr>
          <w:attr w:name="ProductID" w:val="la Brigada"/>
        </w:smartTagPr>
        <w:r>
          <w:rPr>
            <w:lang w:val="es-ES_tradnl"/>
          </w:rPr>
          <w:t>la Brigada</w:t>
        </w:r>
      </w:smartTag>
      <w:r>
        <w:rPr>
          <w:lang w:val="es-ES_tradnl"/>
        </w:rPr>
        <w:t xml:space="preserve"> de Investigaciones de Lanús para privar ileg</w:t>
      </w:r>
      <w:r>
        <w:rPr>
          <w:lang w:val="es-ES_tradnl"/>
        </w:rPr>
        <w:t>í</w:t>
      </w:r>
      <w:r>
        <w:rPr>
          <w:lang w:val="es-ES_tradnl"/>
        </w:rPr>
        <w:t>timamente de la libe</w:t>
      </w:r>
      <w:r>
        <w:rPr>
          <w:lang w:val="es-ES_tradnl"/>
        </w:rPr>
        <w:t>r</w:t>
      </w:r>
      <w:r>
        <w:rPr>
          <w:lang w:val="es-ES_tradnl"/>
        </w:rPr>
        <w:t>tad a personas y obtener una suma de dinero o bienes a cambio de sus libertades, específicame</w:t>
      </w:r>
      <w:r>
        <w:rPr>
          <w:lang w:val="es-ES_tradnl"/>
        </w:rPr>
        <w:t>n</w:t>
      </w:r>
      <w:r>
        <w:rPr>
          <w:lang w:val="es-ES_tradnl"/>
        </w:rPr>
        <w:t>te respecto de Carlos Alberto Telleldín, s</w:t>
      </w:r>
      <w:r>
        <w:rPr>
          <w:lang w:val="es-ES_tradnl"/>
        </w:rPr>
        <w:t>e</w:t>
      </w:r>
      <w:r>
        <w:rPr>
          <w:lang w:val="es-ES_tradnl"/>
        </w:rPr>
        <w:t>ñalando que no tuvo trato con el nombrado, ni con su acompaña</w:t>
      </w:r>
      <w:r>
        <w:rPr>
          <w:lang w:val="es-ES_tradnl"/>
        </w:rPr>
        <w:t>n</w:t>
      </w:r>
      <w:r>
        <w:rPr>
          <w:lang w:val="es-ES_tradnl"/>
        </w:rPr>
        <w:t>te.</w:t>
      </w:r>
    </w:p>
    <w:p w:rsidR="00224567" w:rsidRDefault="00224567">
      <w:pPr>
        <w:widowControl w:val="0"/>
        <w:ind w:firstLine="709"/>
        <w:rPr>
          <w:lang w:val="es-ES_tradnl"/>
        </w:rPr>
      </w:pPr>
      <w:r>
        <w:rPr>
          <w:lang w:val="es-ES_tradnl"/>
        </w:rPr>
        <w:tab/>
        <w:t>Preguntado acerca de si prestó colab</w:t>
      </w:r>
      <w:r>
        <w:rPr>
          <w:lang w:val="es-ES_tradnl"/>
        </w:rPr>
        <w:t>o</w:t>
      </w:r>
      <w:r>
        <w:rPr>
          <w:lang w:val="es-ES_tradnl"/>
        </w:rPr>
        <w:t xml:space="preserve">ración con </w:t>
      </w:r>
      <w:smartTag w:uri="urn:schemas-microsoft-com:office:smarttags" w:element="PersonName">
        <w:smartTagPr>
          <w:attr w:name="ProductID" w:val="la Brigada"/>
        </w:smartTagPr>
        <w:r>
          <w:rPr>
            <w:lang w:val="es-ES_tradnl"/>
          </w:rPr>
          <w:t>la Brigada</w:t>
        </w:r>
      </w:smartTag>
      <w:r>
        <w:rPr>
          <w:lang w:val="es-ES_tradnl"/>
        </w:rPr>
        <w:t xml:space="preserve"> de Investigaciones XVI de Vicente López a fin de lograr la detención ilegal de Carlos Albe</w:t>
      </w:r>
      <w:r>
        <w:rPr>
          <w:lang w:val="es-ES_tradnl"/>
        </w:rPr>
        <w:t>r</w:t>
      </w:r>
      <w:r>
        <w:rPr>
          <w:lang w:val="es-ES_tradnl"/>
        </w:rPr>
        <w:t>to Telleldín a efectos de obtener una suma de dinero o bienes a cambio de la libertad de éste, dijo que no. Ind</w:t>
      </w:r>
      <w:r>
        <w:rPr>
          <w:lang w:val="es-ES_tradnl"/>
        </w:rPr>
        <w:t>i</w:t>
      </w:r>
      <w:r>
        <w:rPr>
          <w:lang w:val="es-ES_tradnl"/>
        </w:rPr>
        <w:t xml:space="preserve">có que no sabía dónde estaba ubicada </w:t>
      </w:r>
      <w:smartTag w:uri="urn:schemas-microsoft-com:office:smarttags" w:element="PersonName">
        <w:smartTagPr>
          <w:attr w:name="ProductID" w:val="la Brigada"/>
        </w:smartTagPr>
        <w:r>
          <w:rPr>
            <w:lang w:val="es-ES_tradnl"/>
          </w:rPr>
          <w:t>la Brigada</w:t>
        </w:r>
      </w:smartTag>
      <w:r>
        <w:rPr>
          <w:lang w:val="es-ES_tradnl"/>
        </w:rPr>
        <w:t xml:space="preserve"> de V</w:t>
      </w:r>
      <w:r>
        <w:rPr>
          <w:lang w:val="es-ES_tradnl"/>
        </w:rPr>
        <w:t>i</w:t>
      </w:r>
      <w:r>
        <w:rPr>
          <w:lang w:val="es-ES_tradnl"/>
        </w:rPr>
        <w:t>cente López e ignoraba el hecho que se le hiciera saber al c</w:t>
      </w:r>
      <w:r>
        <w:rPr>
          <w:lang w:val="es-ES_tradnl"/>
        </w:rPr>
        <w:t>o</w:t>
      </w:r>
      <w:r>
        <w:rPr>
          <w:lang w:val="es-ES_tradnl"/>
        </w:rPr>
        <w:t>mienzo de su declaración, y que tuvo como consecuencia la detención de Hugo Antonio Pérez el 14 de julio de 1994.</w:t>
      </w:r>
    </w:p>
    <w:p w:rsidR="00224567" w:rsidRDefault="00224567">
      <w:pPr>
        <w:widowControl w:val="0"/>
        <w:ind w:firstLine="709"/>
        <w:rPr>
          <w:lang w:val="es-ES_tradnl"/>
        </w:rPr>
      </w:pPr>
      <w:r>
        <w:rPr>
          <w:lang w:val="es-ES_tradnl"/>
        </w:rPr>
        <w:tab/>
        <w:t>Negó formar parte de una asociación ilícita destinada a cometer delitos.</w:t>
      </w:r>
    </w:p>
    <w:p w:rsidR="00224567" w:rsidRDefault="00224567">
      <w:pPr>
        <w:widowControl w:val="0"/>
        <w:ind w:firstLine="709"/>
        <w:rPr>
          <w:lang w:val="es-ES_tradnl"/>
        </w:rPr>
      </w:pPr>
      <w:r>
        <w:rPr>
          <w:lang w:val="es-ES_tradnl"/>
        </w:rPr>
        <w:tab/>
        <w:t>Por último, señaló que durante el año 1994 su número de teléfono c</w:t>
      </w:r>
      <w:r>
        <w:rPr>
          <w:lang w:val="es-ES_tradnl"/>
        </w:rPr>
        <w:t>e</w:t>
      </w:r>
      <w:r>
        <w:rPr>
          <w:lang w:val="es-ES_tradnl"/>
        </w:rPr>
        <w:t>lular fue el 417-1471.</w:t>
      </w:r>
    </w:p>
    <w:p w:rsidR="00224567" w:rsidRDefault="00224567">
      <w:pPr>
        <w:widowControl w:val="0"/>
        <w:ind w:firstLine="709"/>
        <w:rPr>
          <w:lang w:val="es-ES_tradnl"/>
        </w:rPr>
      </w:pPr>
      <w:r>
        <w:rPr>
          <w:lang w:val="es-ES_tradnl"/>
        </w:rPr>
        <w:tab/>
        <w:t>Al ampliar su declaración indagat</w:t>
      </w:r>
      <w:r>
        <w:rPr>
          <w:lang w:val="es-ES_tradnl"/>
        </w:rPr>
        <w:t>o</w:t>
      </w:r>
      <w:r>
        <w:rPr>
          <w:lang w:val="es-ES_tradnl"/>
        </w:rPr>
        <w:t>ria, el 25 de julio de 1996 (fs. 39.819/39.826), el imputado ratificó su anterior exposición, aclarando que no record</w:t>
      </w:r>
      <w:r>
        <w:rPr>
          <w:lang w:val="es-ES_tradnl"/>
        </w:rPr>
        <w:t>a</w:t>
      </w:r>
      <w:r>
        <w:rPr>
          <w:lang w:val="es-ES_tradnl"/>
        </w:rPr>
        <w:t>ba detalles del hecho del 4 de abril de 1994, en virtud de que tenía problemas personales porque uno de sus hijos t</w:t>
      </w:r>
      <w:r>
        <w:rPr>
          <w:lang w:val="es-ES_tradnl"/>
        </w:rPr>
        <w:t>e</w:t>
      </w:r>
      <w:r>
        <w:rPr>
          <w:lang w:val="es-ES_tradnl"/>
        </w:rPr>
        <w:t>nía los dos tímpanos perforados, lo que finalmente d</w:t>
      </w:r>
      <w:r>
        <w:rPr>
          <w:lang w:val="es-ES_tradnl"/>
        </w:rPr>
        <w:t>e</w:t>
      </w:r>
      <w:r>
        <w:rPr>
          <w:lang w:val="es-ES_tradnl"/>
        </w:rPr>
        <w:t>rivó en una oper</w:t>
      </w:r>
      <w:r>
        <w:rPr>
          <w:lang w:val="es-ES_tradnl"/>
        </w:rPr>
        <w:t>a</w:t>
      </w:r>
      <w:r>
        <w:rPr>
          <w:lang w:val="es-ES_tradnl"/>
        </w:rPr>
        <w:t>ción quirúrgica.</w:t>
      </w:r>
    </w:p>
    <w:p w:rsidR="00224567" w:rsidRDefault="00224567">
      <w:pPr>
        <w:widowControl w:val="0"/>
        <w:ind w:firstLine="709"/>
        <w:rPr>
          <w:lang w:val="es-ES_tradnl"/>
        </w:rPr>
      </w:pPr>
      <w:r>
        <w:rPr>
          <w:lang w:val="es-ES_tradnl"/>
        </w:rPr>
        <w:tab/>
        <w:t>Además, recordó que para la misma ép</w:t>
      </w:r>
      <w:r>
        <w:rPr>
          <w:lang w:val="es-ES_tradnl"/>
        </w:rPr>
        <w:t>o</w:t>
      </w:r>
      <w:r>
        <w:rPr>
          <w:lang w:val="es-ES_tradnl"/>
        </w:rPr>
        <w:t xml:space="preserve">ca, personal de </w:t>
      </w:r>
      <w:smartTag w:uri="urn:schemas-microsoft-com:office:smarttags" w:element="PersonName">
        <w:smartTagPr>
          <w:attr w:name="ProductID" w:val="la Brigada"/>
        </w:smartTagPr>
        <w:r>
          <w:rPr>
            <w:lang w:val="es-ES_tradnl"/>
          </w:rPr>
          <w:t>la Brigada</w:t>
        </w:r>
      </w:smartTag>
      <w:r>
        <w:rPr>
          <w:lang w:val="es-ES_tradnl"/>
        </w:rPr>
        <w:t xml:space="preserve"> de Lanús permanecía det</w:t>
      </w:r>
      <w:r>
        <w:rPr>
          <w:lang w:val="es-ES_tradnl"/>
        </w:rPr>
        <w:t>e</w:t>
      </w:r>
      <w:r>
        <w:rPr>
          <w:lang w:val="es-ES_tradnl"/>
        </w:rPr>
        <w:t>nido en la comisaría de Ramos Mejía –Matanza II-, por el caso d</w:t>
      </w:r>
      <w:r>
        <w:rPr>
          <w:lang w:val="es-ES_tradnl"/>
        </w:rPr>
        <w:t>e</w:t>
      </w:r>
      <w:r>
        <w:rPr>
          <w:lang w:val="es-ES_tradnl"/>
        </w:rPr>
        <w:t>nominado la “masacre de Wilde”. Por ese acontecimiento, señaló, pudo haber ocurrido que no estuvi</w:t>
      </w:r>
      <w:r>
        <w:rPr>
          <w:lang w:val="es-ES_tradnl"/>
        </w:rPr>
        <w:t>e</w:t>
      </w:r>
      <w:r>
        <w:rPr>
          <w:lang w:val="es-ES_tradnl"/>
        </w:rPr>
        <w:t>ra en la brigada cuando Carlos Alberto “Teccedin” y la mujer fueron cond</w:t>
      </w:r>
      <w:r>
        <w:rPr>
          <w:lang w:val="es-ES_tradnl"/>
        </w:rPr>
        <w:t>u</w:t>
      </w:r>
      <w:r>
        <w:rPr>
          <w:lang w:val="es-ES_tradnl"/>
        </w:rPr>
        <w:t>cidos a esa depende</w:t>
      </w:r>
      <w:r>
        <w:rPr>
          <w:lang w:val="es-ES_tradnl"/>
        </w:rPr>
        <w:t>n</w:t>
      </w:r>
      <w:r>
        <w:rPr>
          <w:lang w:val="es-ES_tradnl"/>
        </w:rPr>
        <w:t>cia.</w:t>
      </w:r>
    </w:p>
    <w:p w:rsidR="00224567" w:rsidRDefault="00224567">
      <w:pPr>
        <w:widowControl w:val="0"/>
        <w:ind w:firstLine="709"/>
        <w:rPr>
          <w:lang w:val="es-ES_tradnl"/>
        </w:rPr>
      </w:pPr>
      <w:r>
        <w:rPr>
          <w:lang w:val="es-ES_tradnl"/>
        </w:rPr>
        <w:tab/>
        <w:t>Indicó que al enterarse de los mot</w:t>
      </w:r>
      <w:r>
        <w:rPr>
          <w:lang w:val="es-ES_tradnl"/>
        </w:rPr>
        <w:t>i</w:t>
      </w:r>
      <w:r>
        <w:rPr>
          <w:lang w:val="es-ES_tradnl"/>
        </w:rPr>
        <w:t>vos de la detención y advertir los elementos de prueba exi</w:t>
      </w:r>
      <w:r>
        <w:rPr>
          <w:lang w:val="es-ES_tradnl"/>
        </w:rPr>
        <w:t>s</w:t>
      </w:r>
      <w:r>
        <w:rPr>
          <w:lang w:val="es-ES_tradnl"/>
        </w:rPr>
        <w:t>tentes contra esas personas en la causa que se susta</w:t>
      </w:r>
      <w:r>
        <w:rPr>
          <w:lang w:val="es-ES_tradnl"/>
        </w:rPr>
        <w:t>n</w:t>
      </w:r>
      <w:r>
        <w:rPr>
          <w:lang w:val="es-ES_tradnl"/>
        </w:rPr>
        <w:t>ciaba por el homicidio de un policía, se dio cuenta que no había motivos para que se procediera a la detención de ellas, por lo cual se molestó con Ibarra. Expresó que lo único que había era una sospecha contra ese hombre por haber a</w:t>
      </w:r>
      <w:r>
        <w:rPr>
          <w:lang w:val="es-ES_tradnl"/>
        </w:rPr>
        <w:t>c</w:t>
      </w:r>
      <w:r>
        <w:rPr>
          <w:lang w:val="es-ES_tradnl"/>
        </w:rPr>
        <w:t>tuado con temor al escapar la vez anterior.</w:t>
      </w:r>
    </w:p>
    <w:p w:rsidR="00224567" w:rsidRDefault="00224567">
      <w:pPr>
        <w:widowControl w:val="0"/>
        <w:ind w:firstLine="709"/>
        <w:rPr>
          <w:lang w:val="es-ES_tradnl"/>
        </w:rPr>
      </w:pPr>
      <w:r>
        <w:rPr>
          <w:lang w:val="es-ES_tradnl"/>
        </w:rPr>
        <w:tab/>
        <w:t>Por ese motivo, refirió, le e</w:t>
      </w:r>
      <w:r>
        <w:rPr>
          <w:lang w:val="es-ES_tradnl"/>
        </w:rPr>
        <w:t>n</w:t>
      </w:r>
      <w:r>
        <w:rPr>
          <w:lang w:val="es-ES_tradnl"/>
        </w:rPr>
        <w:t>cargó al subcomisario Arancibia, secretario de la causa p</w:t>
      </w:r>
      <w:r>
        <w:rPr>
          <w:lang w:val="es-ES_tradnl"/>
        </w:rPr>
        <w:t>e</w:t>
      </w:r>
      <w:r>
        <w:rPr>
          <w:lang w:val="es-ES_tradnl"/>
        </w:rPr>
        <w:t>nal, que se comunicara con el juez interviniente a efectos de h</w:t>
      </w:r>
      <w:r>
        <w:rPr>
          <w:lang w:val="es-ES_tradnl"/>
        </w:rPr>
        <w:t>a</w:t>
      </w:r>
      <w:r>
        <w:rPr>
          <w:lang w:val="es-ES_tradnl"/>
        </w:rPr>
        <w:t>cerle saber lo que había sucedido y solicitar directivas al respecto.</w:t>
      </w:r>
    </w:p>
    <w:p w:rsidR="00224567" w:rsidRDefault="00224567">
      <w:pPr>
        <w:widowControl w:val="0"/>
        <w:ind w:firstLine="709"/>
        <w:rPr>
          <w:lang w:val="es-ES_tradnl"/>
        </w:rPr>
      </w:pPr>
      <w:r>
        <w:rPr>
          <w:lang w:val="es-ES_tradnl"/>
        </w:rPr>
        <w:tab/>
        <w:t>Indicó que Arancibia le comentó que la jueza había ordenado notificar a “Teccedin” para una fut</w:t>
      </w:r>
      <w:r>
        <w:rPr>
          <w:lang w:val="es-ES_tradnl"/>
        </w:rPr>
        <w:t>u</w:t>
      </w:r>
      <w:r>
        <w:rPr>
          <w:lang w:val="es-ES_tradnl"/>
        </w:rPr>
        <w:t>ra declaración en el juzgado interviniente y prestó su conformidad en averiguar los antecedentes de las dos pe</w:t>
      </w:r>
      <w:r>
        <w:rPr>
          <w:lang w:val="es-ES_tradnl"/>
        </w:rPr>
        <w:t>r</w:t>
      </w:r>
      <w:r>
        <w:rPr>
          <w:lang w:val="es-ES_tradnl"/>
        </w:rPr>
        <w:t>sonas.</w:t>
      </w:r>
    </w:p>
    <w:p w:rsidR="00224567" w:rsidRDefault="00224567">
      <w:pPr>
        <w:widowControl w:val="0"/>
        <w:ind w:firstLine="709"/>
        <w:rPr>
          <w:lang w:val="es-ES_tradnl"/>
        </w:rPr>
      </w:pPr>
      <w:r>
        <w:rPr>
          <w:lang w:val="es-ES_tradnl"/>
        </w:rPr>
        <w:tab/>
        <w:t>Manifestó que, con respecto a la m</w:t>
      </w:r>
      <w:r>
        <w:rPr>
          <w:lang w:val="es-ES_tradnl"/>
        </w:rPr>
        <w:t>u</w:t>
      </w:r>
      <w:r>
        <w:rPr>
          <w:lang w:val="es-ES_tradnl"/>
        </w:rPr>
        <w:t>jer, la jueza sólo ordenó averiguar sus antecede</w:t>
      </w:r>
      <w:r>
        <w:rPr>
          <w:lang w:val="es-ES_tradnl"/>
        </w:rPr>
        <w:t>n</w:t>
      </w:r>
      <w:r>
        <w:rPr>
          <w:lang w:val="es-ES_tradnl"/>
        </w:rPr>
        <w:t>tes.</w:t>
      </w:r>
    </w:p>
    <w:p w:rsidR="00224567" w:rsidRDefault="00224567">
      <w:pPr>
        <w:widowControl w:val="0"/>
        <w:ind w:firstLine="709"/>
        <w:rPr>
          <w:lang w:val="es-ES_tradnl"/>
        </w:rPr>
      </w:pPr>
      <w:r>
        <w:rPr>
          <w:lang w:val="es-ES_tradnl"/>
        </w:rPr>
        <w:tab/>
        <w:t>Afirmó que el jefe de operaciones, subcomisario Juan José Ribelli, le encargó a Ibarra las tareas de inteligencia con relación a esa causa.</w:t>
      </w:r>
    </w:p>
    <w:p w:rsidR="00224567" w:rsidRDefault="00224567">
      <w:pPr>
        <w:widowControl w:val="0"/>
        <w:ind w:firstLine="709"/>
        <w:rPr>
          <w:lang w:val="es-ES_tradnl"/>
        </w:rPr>
      </w:pPr>
      <w:r>
        <w:rPr>
          <w:lang w:val="es-ES_tradnl"/>
        </w:rPr>
        <w:tab/>
        <w:t>Dijo que le llamó la atención que no se hubieran agregado a la causa las actuaciones por aver</w:t>
      </w:r>
      <w:r>
        <w:rPr>
          <w:lang w:val="es-ES_tradnl"/>
        </w:rPr>
        <w:t>i</w:t>
      </w:r>
      <w:r>
        <w:rPr>
          <w:lang w:val="es-ES_tradnl"/>
        </w:rPr>
        <w:t>guación de antecedentes de “Teccedin”, llevándose a cabo informes separados. Señaló que cuando él las realizaba personalmente las agregaba, y que en el caso en cuestión llevaron a cabo dichas actuaciones el subcomisario Aranc</w:t>
      </w:r>
      <w:r>
        <w:rPr>
          <w:lang w:val="es-ES_tradnl"/>
        </w:rPr>
        <w:t>i</w:t>
      </w:r>
      <w:r>
        <w:rPr>
          <w:lang w:val="es-ES_tradnl"/>
        </w:rPr>
        <w:t>bia y el principal B</w:t>
      </w:r>
      <w:r>
        <w:rPr>
          <w:lang w:val="es-ES_tradnl"/>
        </w:rPr>
        <w:t>a</w:t>
      </w:r>
      <w:r>
        <w:rPr>
          <w:lang w:val="es-ES_tradnl"/>
        </w:rPr>
        <w:t>cigalupo.</w:t>
      </w:r>
    </w:p>
    <w:p w:rsidR="00224567" w:rsidRDefault="00224567">
      <w:pPr>
        <w:widowControl w:val="0"/>
        <w:ind w:firstLine="709"/>
        <w:rPr>
          <w:lang w:val="es-ES_tradnl"/>
        </w:rPr>
      </w:pPr>
      <w:r>
        <w:rPr>
          <w:lang w:val="es-ES_tradnl"/>
        </w:rPr>
        <w:tab/>
        <w:t>Señaló que en un principio no se había dado cuenta de lo sucedido, salvo lo ya mencionado, pero al momento de la declaración advirtió que no tenía conoc</w:t>
      </w:r>
      <w:r>
        <w:rPr>
          <w:lang w:val="es-ES_tradnl"/>
        </w:rPr>
        <w:t>i</w:t>
      </w:r>
      <w:r>
        <w:rPr>
          <w:lang w:val="es-ES_tradnl"/>
        </w:rPr>
        <w:t>miento de la maniobra que se estaba gestando y que ante esas dos irregularidades a las que se refiriera anterio</w:t>
      </w:r>
      <w:r>
        <w:rPr>
          <w:lang w:val="es-ES_tradnl"/>
        </w:rPr>
        <w:t>r</w:t>
      </w:r>
      <w:r>
        <w:rPr>
          <w:lang w:val="es-ES_tradnl"/>
        </w:rPr>
        <w:t>mente, se hizo el desentendido para luego retirarse a su despacho.</w:t>
      </w:r>
    </w:p>
    <w:p w:rsidR="00224567" w:rsidRDefault="00224567">
      <w:pPr>
        <w:widowControl w:val="0"/>
        <w:ind w:firstLine="709"/>
        <w:rPr>
          <w:lang w:val="es-ES_tradnl"/>
        </w:rPr>
      </w:pPr>
      <w:r>
        <w:rPr>
          <w:lang w:val="es-ES_tradnl"/>
        </w:rPr>
        <w:tab/>
        <w:t>Afirmó que en el caso de Wilde no pa</w:t>
      </w:r>
      <w:r>
        <w:rPr>
          <w:lang w:val="es-ES_tradnl"/>
        </w:rPr>
        <w:t>r</w:t>
      </w:r>
      <w:r>
        <w:rPr>
          <w:lang w:val="es-ES_tradnl"/>
        </w:rPr>
        <w:t>ticipó, y que mientras estaba el personal detenido en la brigada se escapó uno de los imputados, que era personal policial de esa dependencia.</w:t>
      </w:r>
    </w:p>
    <w:p w:rsidR="00224567" w:rsidRDefault="00224567">
      <w:pPr>
        <w:widowControl w:val="0"/>
        <w:ind w:firstLine="709"/>
        <w:rPr>
          <w:lang w:val="es-ES_tradnl"/>
        </w:rPr>
      </w:pPr>
      <w:r>
        <w:rPr>
          <w:lang w:val="es-ES_tradnl"/>
        </w:rPr>
        <w:tab/>
        <w:t>Refirió que cuando tomó conocimiento de ello, se lo com</w:t>
      </w:r>
      <w:r>
        <w:rPr>
          <w:lang w:val="es-ES_tradnl"/>
        </w:rPr>
        <w:t>u</w:t>
      </w:r>
      <w:r>
        <w:rPr>
          <w:lang w:val="es-ES_tradnl"/>
        </w:rPr>
        <w:t>nicó al jefe de la brigada Ojeda, quien le solicitó que se hiciera cargo del hecho y que dijera que le avisó dos horas después de ocurrido.</w:t>
      </w:r>
    </w:p>
    <w:p w:rsidR="00224567" w:rsidRDefault="00224567">
      <w:pPr>
        <w:widowControl w:val="0"/>
        <w:ind w:firstLine="709"/>
        <w:rPr>
          <w:lang w:val="es-ES_tradnl"/>
        </w:rPr>
      </w:pPr>
      <w:r>
        <w:rPr>
          <w:lang w:val="es-ES_tradnl"/>
        </w:rPr>
        <w:tab/>
        <w:t>Como consecuencia de ello, al m</w:t>
      </w:r>
      <w:r>
        <w:rPr>
          <w:lang w:val="es-ES_tradnl"/>
        </w:rPr>
        <w:t>o</w:t>
      </w:r>
      <w:r>
        <w:rPr>
          <w:lang w:val="es-ES_tradnl"/>
        </w:rPr>
        <w:t>mento de la declaración tenía la causa abierta y aquél estaba sobreseído.</w:t>
      </w:r>
    </w:p>
    <w:p w:rsidR="00224567" w:rsidRDefault="00224567">
      <w:pPr>
        <w:widowControl w:val="0"/>
        <w:ind w:firstLine="709"/>
        <w:rPr>
          <w:lang w:val="es-ES_tradnl"/>
        </w:rPr>
      </w:pPr>
      <w:r>
        <w:rPr>
          <w:lang w:val="es-ES_tradnl"/>
        </w:rPr>
        <w:tab/>
        <w:t>Manifestó que el subcomisario Juan J</w:t>
      </w:r>
      <w:r>
        <w:rPr>
          <w:lang w:val="es-ES_tradnl"/>
        </w:rPr>
        <w:t>o</w:t>
      </w:r>
      <w:r>
        <w:rPr>
          <w:lang w:val="es-ES_tradnl"/>
        </w:rPr>
        <w:t>sé Ribelli y el comisario Negrón le pidieron dinero a todo el personal de la brigada a efectos de pagar a los abog</w:t>
      </w:r>
      <w:r>
        <w:rPr>
          <w:lang w:val="es-ES_tradnl"/>
        </w:rPr>
        <w:t>a</w:t>
      </w:r>
      <w:r>
        <w:rPr>
          <w:lang w:val="es-ES_tradnl"/>
        </w:rPr>
        <w:t>dos y darle plata a la familia de los presos del caso d</w:t>
      </w:r>
      <w:r>
        <w:rPr>
          <w:lang w:val="es-ES_tradnl"/>
        </w:rPr>
        <w:t>e</w:t>
      </w:r>
      <w:r>
        <w:rPr>
          <w:lang w:val="es-ES_tradnl"/>
        </w:rPr>
        <w:t>nominado “la masacre de Wilde”, destacando que el prim</w:t>
      </w:r>
      <w:r>
        <w:rPr>
          <w:lang w:val="es-ES_tradnl"/>
        </w:rPr>
        <w:t>e</w:t>
      </w:r>
      <w:r>
        <w:rPr>
          <w:lang w:val="es-ES_tradnl"/>
        </w:rPr>
        <w:t>ro era el encargado de oc</w:t>
      </w:r>
      <w:r>
        <w:rPr>
          <w:lang w:val="es-ES_tradnl"/>
        </w:rPr>
        <w:t>u</w:t>
      </w:r>
      <w:r>
        <w:rPr>
          <w:lang w:val="es-ES_tradnl"/>
        </w:rPr>
        <w:t>parse del tema de Wilde.</w:t>
      </w:r>
    </w:p>
    <w:p w:rsidR="00224567" w:rsidRDefault="00224567">
      <w:pPr>
        <w:widowControl w:val="0"/>
        <w:ind w:firstLine="709"/>
        <w:rPr>
          <w:lang w:val="es-ES_tradnl"/>
        </w:rPr>
      </w:pPr>
      <w:r>
        <w:rPr>
          <w:lang w:val="es-ES_tradnl"/>
        </w:rPr>
        <w:tab/>
        <w:t>Por comentarios creíbles supo que se realizaron procedimientos para la obtención de dinero a efectos de ser adosados en la cuenta de la causa de Wilde. Explicó que no pudo manifestar esa circunstancia a ningún superior, toda vez que estaban también en el mismo line</w:t>
      </w:r>
      <w:r>
        <w:rPr>
          <w:lang w:val="es-ES_tradnl"/>
        </w:rPr>
        <w:t>a</w:t>
      </w:r>
      <w:r>
        <w:rPr>
          <w:lang w:val="es-ES_tradnl"/>
        </w:rPr>
        <w:t>miento inte</w:t>
      </w:r>
      <w:r>
        <w:rPr>
          <w:lang w:val="es-ES_tradnl"/>
        </w:rPr>
        <w:t>r</w:t>
      </w:r>
      <w:r>
        <w:rPr>
          <w:lang w:val="es-ES_tradnl"/>
        </w:rPr>
        <w:t>no policial que Ribelli.</w:t>
      </w:r>
    </w:p>
    <w:p w:rsidR="00224567" w:rsidRDefault="00224567">
      <w:pPr>
        <w:widowControl w:val="0"/>
        <w:ind w:firstLine="709"/>
        <w:rPr>
          <w:lang w:val="es-ES_tradnl"/>
        </w:rPr>
      </w:pPr>
      <w:r>
        <w:rPr>
          <w:lang w:val="es-ES_tradnl"/>
        </w:rPr>
        <w:tab/>
        <w:t>Para aquella época, señaló, no lo a</w:t>
      </w:r>
      <w:r>
        <w:rPr>
          <w:lang w:val="es-ES_tradnl"/>
        </w:rPr>
        <w:t>d</w:t>
      </w:r>
      <w:r>
        <w:rPr>
          <w:lang w:val="es-ES_tradnl"/>
        </w:rPr>
        <w:t>virtió, pero al m</w:t>
      </w:r>
      <w:r>
        <w:rPr>
          <w:lang w:val="es-ES_tradnl"/>
        </w:rPr>
        <w:t>o</w:t>
      </w:r>
      <w:r>
        <w:rPr>
          <w:lang w:val="es-ES_tradnl"/>
        </w:rPr>
        <w:t>mento de la declaración sostuvo que, en razón de la forma en que se llevó a cabo el proced</w:t>
      </w:r>
      <w:r>
        <w:rPr>
          <w:lang w:val="es-ES_tradnl"/>
        </w:rPr>
        <w:t>i</w:t>
      </w:r>
      <w:r>
        <w:rPr>
          <w:lang w:val="es-ES_tradnl"/>
        </w:rPr>
        <w:t>miento de “Teccedin”, éste respondió a la necesidad de recaudar fondos por los motivos antes mencionados.</w:t>
      </w:r>
    </w:p>
    <w:p w:rsidR="00224567" w:rsidRDefault="00224567">
      <w:pPr>
        <w:widowControl w:val="0"/>
        <w:ind w:firstLine="709"/>
        <w:rPr>
          <w:lang w:val="es-ES_tradnl"/>
        </w:rPr>
      </w:pPr>
      <w:r>
        <w:rPr>
          <w:lang w:val="es-ES_tradnl"/>
        </w:rPr>
        <w:tab/>
        <w:t>Aclaró que no tuvo ninguna interve</w:t>
      </w:r>
      <w:r>
        <w:rPr>
          <w:lang w:val="es-ES_tradnl"/>
        </w:rPr>
        <w:t>n</w:t>
      </w:r>
      <w:r>
        <w:rPr>
          <w:lang w:val="es-ES_tradnl"/>
        </w:rPr>
        <w:t>ción en los procedimientos que pudieron haberse real</w:t>
      </w:r>
      <w:r>
        <w:rPr>
          <w:lang w:val="es-ES_tradnl"/>
        </w:rPr>
        <w:t>i</w:t>
      </w:r>
      <w:r>
        <w:rPr>
          <w:lang w:val="es-ES_tradnl"/>
        </w:rPr>
        <w:t>zado, salvo la actuación judicial que le comp</w:t>
      </w:r>
      <w:r>
        <w:rPr>
          <w:lang w:val="es-ES_tradnl"/>
        </w:rPr>
        <w:t>e</w:t>
      </w:r>
      <w:r>
        <w:rPr>
          <w:lang w:val="es-ES_tradnl"/>
        </w:rPr>
        <w:t>tía.</w:t>
      </w:r>
    </w:p>
    <w:p w:rsidR="00224567" w:rsidRDefault="00224567">
      <w:pPr>
        <w:widowControl w:val="0"/>
        <w:ind w:firstLine="709"/>
        <w:rPr>
          <w:lang w:val="es-ES_tradnl"/>
        </w:rPr>
      </w:pPr>
      <w:r>
        <w:rPr>
          <w:lang w:val="es-ES_tradnl"/>
        </w:rPr>
        <w:tab/>
        <w:t>Expresó que se ocupaba de la parte j</w:t>
      </w:r>
      <w:r>
        <w:rPr>
          <w:lang w:val="es-ES_tradnl"/>
        </w:rPr>
        <w:t>u</w:t>
      </w:r>
      <w:r>
        <w:rPr>
          <w:lang w:val="es-ES_tradnl"/>
        </w:rPr>
        <w:t>dicial y de la parte interna del personal, mientras que los grupos operativos dependían del su</w:t>
      </w:r>
      <w:r>
        <w:rPr>
          <w:lang w:val="es-ES_tradnl"/>
        </w:rPr>
        <w:t>b</w:t>
      </w:r>
      <w:r>
        <w:rPr>
          <w:lang w:val="es-ES_tradnl"/>
        </w:rPr>
        <w:t>comisario Ribelli, que era supervisado por el jefe de la brigada –comisario Negrón-.</w:t>
      </w:r>
    </w:p>
    <w:p w:rsidR="00224567" w:rsidRDefault="00224567">
      <w:pPr>
        <w:widowControl w:val="0"/>
        <w:ind w:firstLine="709"/>
        <w:rPr>
          <w:lang w:val="es-ES_tradnl"/>
        </w:rPr>
      </w:pPr>
      <w:r>
        <w:rPr>
          <w:lang w:val="es-ES_tradnl"/>
        </w:rPr>
        <w:tab/>
        <w:t>Señaló que la función del jefe oper</w:t>
      </w:r>
      <w:r>
        <w:rPr>
          <w:lang w:val="es-ES_tradnl"/>
        </w:rPr>
        <w:t>a</w:t>
      </w:r>
      <w:r>
        <w:rPr>
          <w:lang w:val="es-ES_tradnl"/>
        </w:rPr>
        <w:t>tivo era más amplia que la suya, en virtud de que era el encargado de manejar todos los grupos operativos y de i</w:t>
      </w:r>
      <w:r>
        <w:rPr>
          <w:lang w:val="es-ES_tradnl"/>
        </w:rPr>
        <w:t>n</w:t>
      </w:r>
      <w:r>
        <w:rPr>
          <w:lang w:val="es-ES_tradnl"/>
        </w:rPr>
        <w:t>vestigaciones.</w:t>
      </w:r>
    </w:p>
    <w:p w:rsidR="00224567" w:rsidRDefault="00224567">
      <w:pPr>
        <w:widowControl w:val="0"/>
        <w:ind w:firstLine="709"/>
        <w:rPr>
          <w:lang w:val="es-ES_tradnl"/>
        </w:rPr>
      </w:pPr>
      <w:r>
        <w:rPr>
          <w:lang w:val="es-ES_tradnl"/>
        </w:rPr>
        <w:tab/>
        <w:t xml:space="preserve">Agregó que Ribelli era amigo de la plana mayor, es decir del jefe de </w:t>
      </w:r>
      <w:smartTag w:uri="urn:schemas-microsoft-com:office:smarttags" w:element="PersonName">
        <w:smartTagPr>
          <w:attr w:name="ProductID" w:val="la Polic￭a Bonaerense"/>
        </w:smartTagPr>
        <w:r>
          <w:rPr>
            <w:lang w:val="es-ES_tradnl"/>
          </w:rPr>
          <w:t>la Policía B</w:t>
        </w:r>
        <w:r>
          <w:rPr>
            <w:lang w:val="es-ES_tradnl"/>
          </w:rPr>
          <w:t>o</w:t>
        </w:r>
        <w:r>
          <w:rPr>
            <w:lang w:val="es-ES_tradnl"/>
          </w:rPr>
          <w:t>naerense</w:t>
        </w:r>
      </w:smartTag>
      <w:r>
        <w:rPr>
          <w:lang w:val="es-ES_tradnl"/>
        </w:rPr>
        <w:t xml:space="preserve"> y que podía acercarse con facilidad a éste, cosa que él no podía hacer.</w:t>
      </w:r>
    </w:p>
    <w:p w:rsidR="00224567" w:rsidRDefault="00224567">
      <w:pPr>
        <w:widowControl w:val="0"/>
        <w:ind w:firstLine="709"/>
        <w:rPr>
          <w:lang w:val="es-ES_tradnl"/>
        </w:rPr>
      </w:pPr>
      <w:r>
        <w:rPr>
          <w:lang w:val="es-ES_tradnl"/>
        </w:rPr>
        <w:tab/>
        <w:t>Refirió que en la práctica conc</w:t>
      </w:r>
      <w:r>
        <w:rPr>
          <w:lang w:val="es-ES_tradnl"/>
        </w:rPr>
        <w:t>u</w:t>
      </w:r>
      <w:r>
        <w:rPr>
          <w:lang w:val="es-ES_tradnl"/>
        </w:rPr>
        <w:t>rría a la jefatura de policía a entrevistarse con Klodczyk, sol</w:t>
      </w:r>
      <w:r>
        <w:rPr>
          <w:lang w:val="es-ES_tradnl"/>
        </w:rPr>
        <w:t>i</w:t>
      </w:r>
      <w:r>
        <w:rPr>
          <w:lang w:val="es-ES_tradnl"/>
        </w:rPr>
        <w:t>citando audiencias personales y que se le asignara pers</w:t>
      </w:r>
      <w:r>
        <w:rPr>
          <w:lang w:val="es-ES_tradnl"/>
        </w:rPr>
        <w:t>o</w:t>
      </w:r>
      <w:r>
        <w:rPr>
          <w:lang w:val="es-ES_tradnl"/>
        </w:rPr>
        <w:t>nal a su cargo.</w:t>
      </w:r>
    </w:p>
    <w:p w:rsidR="00224567" w:rsidRDefault="00224567">
      <w:pPr>
        <w:widowControl w:val="0"/>
        <w:ind w:firstLine="709"/>
        <w:rPr>
          <w:lang w:val="es-ES_tradnl"/>
        </w:rPr>
      </w:pPr>
      <w:r>
        <w:rPr>
          <w:lang w:val="es-ES_tradnl"/>
        </w:rPr>
        <w:tab/>
        <w:t>Manifestó que cuando el director o subdirector de investigaciones de la policía bonaerense llamaba a la depe</w:t>
      </w:r>
      <w:r>
        <w:rPr>
          <w:lang w:val="es-ES_tradnl"/>
        </w:rPr>
        <w:t>n</w:t>
      </w:r>
      <w:r>
        <w:rPr>
          <w:lang w:val="es-ES_tradnl"/>
        </w:rPr>
        <w:t>dencia, no pedía hablar con él, sino con el subcomisario Juan José Ribelli.</w:t>
      </w:r>
    </w:p>
    <w:p w:rsidR="00224567" w:rsidRDefault="00224567">
      <w:pPr>
        <w:widowControl w:val="0"/>
        <w:ind w:firstLine="709"/>
        <w:rPr>
          <w:lang w:val="es-ES_tradnl"/>
        </w:rPr>
      </w:pPr>
      <w:r>
        <w:rPr>
          <w:lang w:val="es-ES_tradnl"/>
        </w:rPr>
        <w:tab/>
        <w:t>Explicó que como segundo jefe, se e</w:t>
      </w:r>
      <w:r>
        <w:rPr>
          <w:lang w:val="es-ES_tradnl"/>
        </w:rPr>
        <w:t>n</w:t>
      </w:r>
      <w:r>
        <w:rPr>
          <w:lang w:val="es-ES_tradnl"/>
        </w:rPr>
        <w:t>contraba supeditado al subcomisario Ribelli, ya que éste era jefe de operaciones y tenía más llegada con los sup</w:t>
      </w:r>
      <w:r>
        <w:rPr>
          <w:lang w:val="es-ES_tradnl"/>
        </w:rPr>
        <w:t>e</w:t>
      </w:r>
      <w:r>
        <w:rPr>
          <w:lang w:val="es-ES_tradnl"/>
        </w:rPr>
        <w:t>riores.</w:t>
      </w:r>
    </w:p>
    <w:p w:rsidR="00224567" w:rsidRDefault="00224567">
      <w:pPr>
        <w:widowControl w:val="0"/>
        <w:ind w:firstLine="709"/>
        <w:rPr>
          <w:lang w:val="es-ES_tradnl"/>
        </w:rPr>
      </w:pPr>
      <w:r>
        <w:rPr>
          <w:lang w:val="es-ES_tradnl"/>
        </w:rPr>
        <w:tab/>
        <w:t>En la práctica, indicó, Ribelli s</w:t>
      </w:r>
      <w:r>
        <w:rPr>
          <w:lang w:val="es-ES_tradnl"/>
        </w:rPr>
        <w:t>e</w:t>
      </w:r>
      <w:r>
        <w:rPr>
          <w:lang w:val="es-ES_tradnl"/>
        </w:rPr>
        <w:t>guía ostentando el poder de la dependencia por más que su j</w:t>
      </w:r>
      <w:r>
        <w:rPr>
          <w:lang w:val="es-ES_tradnl"/>
        </w:rPr>
        <w:t>e</w:t>
      </w:r>
      <w:r>
        <w:rPr>
          <w:lang w:val="es-ES_tradnl"/>
        </w:rPr>
        <w:t>rarquía era superior a la de aquél. Por ese motivo el d</w:t>
      </w:r>
      <w:r>
        <w:rPr>
          <w:lang w:val="es-ES_tradnl"/>
        </w:rPr>
        <w:t>i</w:t>
      </w:r>
      <w:r>
        <w:rPr>
          <w:lang w:val="es-ES_tradnl"/>
        </w:rPr>
        <w:t>cente quería ir a una dependencia como comisario a ca</w:t>
      </w:r>
      <w:r>
        <w:rPr>
          <w:lang w:val="es-ES_tradnl"/>
        </w:rPr>
        <w:t>r</w:t>
      </w:r>
      <w:r>
        <w:rPr>
          <w:lang w:val="es-ES_tradnl"/>
        </w:rPr>
        <w:t>go.</w:t>
      </w:r>
    </w:p>
    <w:p w:rsidR="00224567" w:rsidRDefault="00224567">
      <w:pPr>
        <w:widowControl w:val="0"/>
        <w:ind w:firstLine="709"/>
        <w:rPr>
          <w:lang w:val="es-ES_tradnl"/>
        </w:rPr>
      </w:pPr>
      <w:r>
        <w:rPr>
          <w:lang w:val="es-ES_tradnl"/>
        </w:rPr>
        <w:tab/>
        <w:t>Afirmó que no se consideraba un ho</w:t>
      </w:r>
      <w:r>
        <w:rPr>
          <w:lang w:val="es-ES_tradnl"/>
        </w:rPr>
        <w:t>m</w:t>
      </w:r>
      <w:r>
        <w:rPr>
          <w:lang w:val="es-ES_tradnl"/>
        </w:rPr>
        <w:t>bre de Ribelli, acl</w:t>
      </w:r>
      <w:r>
        <w:rPr>
          <w:lang w:val="es-ES_tradnl"/>
        </w:rPr>
        <w:t>a</w:t>
      </w:r>
      <w:r>
        <w:rPr>
          <w:lang w:val="es-ES_tradnl"/>
        </w:rPr>
        <w:t>rando que el hecho de haber estado juntos en la misma brigada fue sólo por ca</w:t>
      </w:r>
      <w:r>
        <w:rPr>
          <w:lang w:val="es-ES_tradnl"/>
        </w:rPr>
        <w:t>u</w:t>
      </w:r>
      <w:r>
        <w:rPr>
          <w:lang w:val="es-ES_tradnl"/>
        </w:rPr>
        <w:t>salidad.</w:t>
      </w:r>
    </w:p>
    <w:p w:rsidR="00224567" w:rsidRDefault="00224567">
      <w:pPr>
        <w:widowControl w:val="0"/>
        <w:ind w:firstLine="709"/>
        <w:rPr>
          <w:lang w:val="es-ES_tradnl"/>
        </w:rPr>
      </w:pPr>
      <w:r>
        <w:rPr>
          <w:lang w:val="es-ES_tradnl"/>
        </w:rPr>
        <w:tab/>
        <w:t>Preguntado acerca de si cuando exi</w:t>
      </w:r>
      <w:r>
        <w:rPr>
          <w:lang w:val="es-ES_tradnl"/>
        </w:rPr>
        <w:t>s</w:t>
      </w:r>
      <w:r>
        <w:rPr>
          <w:lang w:val="es-ES_tradnl"/>
        </w:rPr>
        <w:t>tían procedimientos en la brigada, como el de la presente investigación, se veía en la obligación de cooperar por obediencia debida o porque podría estar en juego su f</w:t>
      </w:r>
      <w:r>
        <w:rPr>
          <w:lang w:val="es-ES_tradnl"/>
        </w:rPr>
        <w:t>u</w:t>
      </w:r>
      <w:r>
        <w:rPr>
          <w:lang w:val="es-ES_tradnl"/>
        </w:rPr>
        <w:t>turo en la fuerza, en razón de que Ribelli pertenecía a la i</w:t>
      </w:r>
      <w:r>
        <w:rPr>
          <w:lang w:val="es-ES_tradnl"/>
        </w:rPr>
        <w:t>n</w:t>
      </w:r>
      <w:r>
        <w:rPr>
          <w:lang w:val="es-ES_tradnl"/>
        </w:rPr>
        <w:t>terna directa de jefatura o alguna otra razón; respondió que tenía ese temor, ya que aquél podía cortarle su carr</w:t>
      </w:r>
      <w:r>
        <w:rPr>
          <w:lang w:val="es-ES_tradnl"/>
        </w:rPr>
        <w:t>e</w:t>
      </w:r>
      <w:r>
        <w:rPr>
          <w:lang w:val="es-ES_tradnl"/>
        </w:rPr>
        <w:t>ra policial a la cual se había d</w:t>
      </w:r>
      <w:r>
        <w:rPr>
          <w:lang w:val="es-ES_tradnl"/>
        </w:rPr>
        <w:t>e</w:t>
      </w:r>
      <w:r>
        <w:rPr>
          <w:lang w:val="es-ES_tradnl"/>
        </w:rPr>
        <w:t>dicado toda su vida.</w:t>
      </w:r>
    </w:p>
    <w:p w:rsidR="00224567" w:rsidRDefault="00224567">
      <w:pPr>
        <w:widowControl w:val="0"/>
        <w:ind w:firstLine="709"/>
        <w:rPr>
          <w:lang w:val="es-ES_tradnl"/>
        </w:rPr>
      </w:pPr>
      <w:r>
        <w:rPr>
          <w:lang w:val="es-ES_tradnl"/>
        </w:rPr>
        <w:tab/>
        <w:t>Expresó que a Ribelli lo venía a vis</w:t>
      </w:r>
      <w:r>
        <w:rPr>
          <w:lang w:val="es-ES_tradnl"/>
        </w:rPr>
        <w:t>i</w:t>
      </w:r>
      <w:r>
        <w:rPr>
          <w:lang w:val="es-ES_tradnl"/>
        </w:rPr>
        <w:t xml:space="preserve">tar una persona que tenía una joyería en </w:t>
      </w:r>
      <w:smartTag w:uri="urn:schemas-microsoft-com:office:smarttags" w:element="PersonName">
        <w:smartTagPr>
          <w:attr w:name="ProductID" w:val="la Av. Hip￳lito"/>
        </w:smartTagPr>
        <w:r>
          <w:rPr>
            <w:lang w:val="es-ES_tradnl"/>
          </w:rPr>
          <w:t>la Av. Hipólito</w:t>
        </w:r>
      </w:smartTag>
      <w:r>
        <w:rPr>
          <w:lang w:val="es-ES_tradnl"/>
        </w:rPr>
        <w:t xml:space="preserve"> Yrigoyen, casi esquina Sitio de Montevideo, próximo al Bingo de Lanús. Recordó que esta persona junto a Ribelli iban a visitar a los policías presos por lo que se denom</w:t>
      </w:r>
      <w:r>
        <w:rPr>
          <w:lang w:val="es-ES_tradnl"/>
        </w:rPr>
        <w:t>i</w:t>
      </w:r>
      <w:r>
        <w:rPr>
          <w:lang w:val="es-ES_tradnl"/>
        </w:rPr>
        <w:t>nó “</w:t>
      </w:r>
      <w:smartTag w:uri="urn:schemas-microsoft-com:office:smarttags" w:element="PersonName">
        <w:smartTagPr>
          <w:attr w:name="ProductID" w:val="la Masacre"/>
        </w:smartTagPr>
        <w:r>
          <w:rPr>
            <w:lang w:val="es-ES_tradnl"/>
          </w:rPr>
          <w:t>La Masacre</w:t>
        </w:r>
      </w:smartTag>
      <w:r>
        <w:rPr>
          <w:lang w:val="es-ES_tradnl"/>
        </w:rPr>
        <w:t xml:space="preserve"> de Wilde”. Inclusive, agregó, en una opo</w:t>
      </w:r>
      <w:r>
        <w:rPr>
          <w:lang w:val="es-ES_tradnl"/>
        </w:rPr>
        <w:t>r</w:t>
      </w:r>
      <w:r>
        <w:rPr>
          <w:lang w:val="es-ES_tradnl"/>
        </w:rPr>
        <w:t>tunidad “Juancito” y Rib</w:t>
      </w:r>
      <w:r>
        <w:rPr>
          <w:lang w:val="es-ES_tradnl"/>
        </w:rPr>
        <w:t>e</w:t>
      </w:r>
      <w:r>
        <w:rPr>
          <w:lang w:val="es-ES_tradnl"/>
        </w:rPr>
        <w:t>lli fueron con él a visitar a los policías deten</w:t>
      </w:r>
      <w:r>
        <w:rPr>
          <w:lang w:val="es-ES_tradnl"/>
        </w:rPr>
        <w:t>i</w:t>
      </w:r>
      <w:r>
        <w:rPr>
          <w:lang w:val="es-ES_tradnl"/>
        </w:rPr>
        <w:t>dos.</w:t>
      </w:r>
    </w:p>
    <w:p w:rsidR="00224567" w:rsidRDefault="00224567">
      <w:pPr>
        <w:widowControl w:val="0"/>
        <w:ind w:firstLine="709"/>
        <w:rPr>
          <w:lang w:val="es-ES_tradnl"/>
        </w:rPr>
      </w:pPr>
      <w:r>
        <w:rPr>
          <w:lang w:val="es-ES_tradnl"/>
        </w:rPr>
        <w:tab/>
        <w:t>Expresó que por rumores creíbles tomó conocimiento que Ribelli tenía una agencia de autos, pero aclaró que como no tenía rel</w:t>
      </w:r>
      <w:r>
        <w:rPr>
          <w:lang w:val="es-ES_tradnl"/>
        </w:rPr>
        <w:t>a</w:t>
      </w:r>
      <w:r>
        <w:rPr>
          <w:lang w:val="es-ES_tradnl"/>
        </w:rPr>
        <w:t>ción con el nombrado fuera de la dependencia, desconocía otras situaciones personales del nombrado.</w:t>
      </w:r>
    </w:p>
    <w:p w:rsidR="00224567" w:rsidRDefault="00224567">
      <w:pPr>
        <w:widowControl w:val="0"/>
        <w:ind w:firstLine="709"/>
        <w:rPr>
          <w:lang w:val="es-ES_tradnl"/>
        </w:rPr>
      </w:pPr>
      <w:r>
        <w:rPr>
          <w:lang w:val="es-ES_tradnl"/>
        </w:rPr>
        <w:tab/>
        <w:t>Dijo que los datos para encontrar a Telleldín en Tortuguitas fueron obtenidos por Ribelli e Ibarra, pero que no sabía como lleg</w:t>
      </w:r>
      <w:r>
        <w:rPr>
          <w:lang w:val="es-ES_tradnl"/>
        </w:rPr>
        <w:t>a</w:t>
      </w:r>
      <w:r>
        <w:rPr>
          <w:lang w:val="es-ES_tradnl"/>
        </w:rPr>
        <w:t>ron a ellos.</w:t>
      </w:r>
    </w:p>
    <w:p w:rsidR="00224567" w:rsidRDefault="00224567">
      <w:pPr>
        <w:widowControl w:val="0"/>
        <w:ind w:firstLine="709"/>
        <w:rPr>
          <w:lang w:val="es-ES_tradnl"/>
        </w:rPr>
      </w:pPr>
      <w:r>
        <w:rPr>
          <w:lang w:val="es-ES_tradnl"/>
        </w:rPr>
        <w:tab/>
        <w:t>Señaló que Cruz, estando en disponib</w:t>
      </w:r>
      <w:r>
        <w:rPr>
          <w:lang w:val="es-ES_tradnl"/>
        </w:rPr>
        <w:t>i</w:t>
      </w:r>
      <w:r>
        <w:rPr>
          <w:lang w:val="es-ES_tradnl"/>
        </w:rPr>
        <w:t>lidad, iba con frecuencia a la brigada y hacía mand</w:t>
      </w:r>
      <w:r>
        <w:rPr>
          <w:lang w:val="es-ES_tradnl"/>
        </w:rPr>
        <w:t>a</w:t>
      </w:r>
      <w:r>
        <w:rPr>
          <w:lang w:val="es-ES_tradnl"/>
        </w:rPr>
        <w:t>dos o lo que se le pidiera. No recordó si para la época en que se real</w:t>
      </w:r>
      <w:r>
        <w:rPr>
          <w:lang w:val="es-ES_tradnl"/>
        </w:rPr>
        <w:t>i</w:t>
      </w:r>
      <w:r>
        <w:rPr>
          <w:lang w:val="es-ES_tradnl"/>
        </w:rPr>
        <w:t>zaron los procedimientos de Telleldín estaba o no en disponibilidad, pero indicó que ello surgía del legajo. Desconoció si hizo otros procedimientos mie</w:t>
      </w:r>
      <w:r>
        <w:rPr>
          <w:lang w:val="es-ES_tradnl"/>
        </w:rPr>
        <w:t>n</w:t>
      </w:r>
      <w:r>
        <w:rPr>
          <w:lang w:val="es-ES_tradnl"/>
        </w:rPr>
        <w:t>tras estuvo en disponibilidad.</w:t>
      </w:r>
    </w:p>
    <w:p w:rsidR="00224567" w:rsidRDefault="00224567">
      <w:pPr>
        <w:widowControl w:val="0"/>
        <w:ind w:firstLine="709"/>
        <w:rPr>
          <w:lang w:val="es-ES_tradnl"/>
        </w:rPr>
      </w:pPr>
      <w:r>
        <w:rPr>
          <w:lang w:val="es-ES_tradnl"/>
        </w:rPr>
        <w:tab/>
        <w:t>Refirió que el suboficial mayor Nic</w:t>
      </w:r>
      <w:r>
        <w:rPr>
          <w:lang w:val="es-ES_tradnl"/>
        </w:rPr>
        <w:t>o</w:t>
      </w:r>
      <w:r>
        <w:rPr>
          <w:lang w:val="es-ES_tradnl"/>
        </w:rPr>
        <w:t>lau integraba un grupo operativo a las órdenes de Rib</w:t>
      </w:r>
      <w:r>
        <w:rPr>
          <w:lang w:val="es-ES_tradnl"/>
        </w:rPr>
        <w:t>e</w:t>
      </w:r>
      <w:r>
        <w:rPr>
          <w:lang w:val="es-ES_tradnl"/>
        </w:rPr>
        <w:t xml:space="preserve">lli en </w:t>
      </w:r>
      <w:smartTag w:uri="urn:schemas-microsoft-com:office:smarttags" w:element="PersonName">
        <w:smartTagPr>
          <w:attr w:name="ProductID" w:val="la Brigada"/>
        </w:smartTagPr>
        <w:r>
          <w:rPr>
            <w:lang w:val="es-ES_tradnl"/>
          </w:rPr>
          <w:t>la Brigada</w:t>
        </w:r>
      </w:smartTag>
      <w:r>
        <w:rPr>
          <w:lang w:val="es-ES_tradnl"/>
        </w:rPr>
        <w:t xml:space="preserve"> de Lanús durante el año 1994. Negó conocer cuál fue el destino posterior de aquél porque él se fue de la brigada en septiembre de 1994 y ellos quedaron ahí.</w:t>
      </w:r>
    </w:p>
    <w:p w:rsidR="00224567" w:rsidRDefault="00224567">
      <w:pPr>
        <w:widowControl w:val="0"/>
        <w:ind w:firstLine="709"/>
        <w:rPr>
          <w:lang w:val="es-ES_tradnl"/>
        </w:rPr>
      </w:pPr>
      <w:r>
        <w:rPr>
          <w:lang w:val="es-ES_tradnl"/>
        </w:rPr>
        <w:tab/>
        <w:t>No recordó si Nicolau usaba un tel</w:t>
      </w:r>
      <w:r>
        <w:rPr>
          <w:lang w:val="es-ES_tradnl"/>
        </w:rPr>
        <w:t>é</w:t>
      </w:r>
      <w:r>
        <w:rPr>
          <w:lang w:val="es-ES_tradnl"/>
        </w:rPr>
        <w:t>fono celular; pero aclaró que ese año fue para el decl</w:t>
      </w:r>
      <w:r>
        <w:rPr>
          <w:lang w:val="es-ES_tradnl"/>
        </w:rPr>
        <w:t>a</w:t>
      </w:r>
      <w:r>
        <w:rPr>
          <w:lang w:val="es-ES_tradnl"/>
        </w:rPr>
        <w:t>rante muy complicado por problemas person</w:t>
      </w:r>
      <w:r>
        <w:rPr>
          <w:lang w:val="es-ES_tradnl"/>
        </w:rPr>
        <w:t>a</w:t>
      </w:r>
      <w:r>
        <w:rPr>
          <w:lang w:val="es-ES_tradnl"/>
        </w:rPr>
        <w:t>les.</w:t>
      </w:r>
    </w:p>
    <w:p w:rsidR="00224567" w:rsidRDefault="00224567">
      <w:pPr>
        <w:widowControl w:val="0"/>
        <w:rPr>
          <w:lang w:val="es-ES_tradnl"/>
        </w:rPr>
      </w:pPr>
      <w:r>
        <w:rPr>
          <w:lang w:val="es-ES_tradnl"/>
        </w:rPr>
        <w:tab/>
        <w:t>Dijo que le parecía que Ibarra iba sin auto a la brigada y afirmó que a Bacigalupo lo llamaban “Baci”.</w:t>
      </w:r>
    </w:p>
    <w:p w:rsidR="00224567" w:rsidRDefault="00224567">
      <w:pPr>
        <w:widowControl w:val="0"/>
        <w:ind w:firstLine="709"/>
        <w:rPr>
          <w:lang w:val="es-ES_tradnl"/>
        </w:rPr>
      </w:pPr>
      <w:r>
        <w:rPr>
          <w:lang w:val="es-ES_tradnl"/>
        </w:rPr>
        <w:tab/>
        <w:t>Calculó que durante uno o dos meses colaboró por los presos de “</w:t>
      </w:r>
      <w:smartTag w:uri="urn:schemas-microsoft-com:office:smarttags" w:element="PersonName">
        <w:smartTagPr>
          <w:attr w:name="ProductID" w:val="la Masacre"/>
        </w:smartTagPr>
        <w:r>
          <w:rPr>
            <w:lang w:val="es-ES_tradnl"/>
          </w:rPr>
          <w:t>La Masacre</w:t>
        </w:r>
      </w:smartTag>
      <w:r>
        <w:rPr>
          <w:lang w:val="es-ES_tradnl"/>
        </w:rPr>
        <w:t xml:space="preserve"> de Wilde” y que i</w:t>
      </w:r>
      <w:r>
        <w:rPr>
          <w:lang w:val="es-ES_tradnl"/>
        </w:rPr>
        <w:t>g</w:t>
      </w:r>
      <w:r>
        <w:rPr>
          <w:lang w:val="es-ES_tradnl"/>
        </w:rPr>
        <w:t>noraba por cuanto tiempo lo hicieron los d</w:t>
      </w:r>
      <w:r>
        <w:rPr>
          <w:lang w:val="es-ES_tradnl"/>
        </w:rPr>
        <w:t>e</w:t>
      </w:r>
      <w:r>
        <w:rPr>
          <w:lang w:val="es-ES_tradnl"/>
        </w:rPr>
        <w:t>más.</w:t>
      </w:r>
    </w:p>
    <w:p w:rsidR="00224567" w:rsidRDefault="00224567">
      <w:pPr>
        <w:widowControl w:val="0"/>
        <w:ind w:firstLine="709"/>
        <w:rPr>
          <w:lang w:val="es-ES_tradnl"/>
        </w:rPr>
      </w:pPr>
      <w:r>
        <w:rPr>
          <w:lang w:val="es-ES_tradnl"/>
        </w:rPr>
        <w:tab/>
        <w:t>Manifestó que puso aproximadamente $ 200 o $ 300 y su sueldo ascendía en esa época a $ 1.200 o $ 1.300.</w:t>
      </w:r>
    </w:p>
    <w:p w:rsidR="00224567" w:rsidRDefault="00224567">
      <w:pPr>
        <w:widowControl w:val="0"/>
        <w:ind w:firstLine="709"/>
        <w:rPr>
          <w:lang w:val="es-ES_tradnl"/>
        </w:rPr>
      </w:pPr>
      <w:r>
        <w:rPr>
          <w:lang w:val="es-ES_tradnl"/>
        </w:rPr>
        <w:tab/>
        <w:t>Declaró que tomó conocimiento de todo lo referido a Telleldín cuando se hizo el sumario admini</w:t>
      </w:r>
      <w:r>
        <w:rPr>
          <w:lang w:val="es-ES_tradnl"/>
        </w:rPr>
        <w:t>s</w:t>
      </w:r>
      <w:r>
        <w:rPr>
          <w:lang w:val="es-ES_tradnl"/>
        </w:rPr>
        <w:t>trativo por el tema relacionado con la remisión de las f</w:t>
      </w:r>
      <w:r>
        <w:rPr>
          <w:lang w:val="es-ES_tradnl"/>
        </w:rPr>
        <w:t>i</w:t>
      </w:r>
      <w:r>
        <w:rPr>
          <w:lang w:val="es-ES_tradnl"/>
        </w:rPr>
        <w:t>chas, las que había ordenado e</w:t>
      </w:r>
      <w:r>
        <w:rPr>
          <w:lang w:val="es-ES_tradnl"/>
        </w:rPr>
        <w:t>n</w:t>
      </w:r>
      <w:r>
        <w:rPr>
          <w:lang w:val="es-ES_tradnl"/>
        </w:rPr>
        <w:t>viar en término, junto con las de P</w:t>
      </w:r>
      <w:r>
        <w:rPr>
          <w:lang w:val="es-ES_tradnl"/>
        </w:rPr>
        <w:t>e</w:t>
      </w:r>
      <w:r>
        <w:rPr>
          <w:lang w:val="es-ES_tradnl"/>
        </w:rPr>
        <w:t>trucci.</w:t>
      </w:r>
    </w:p>
    <w:p w:rsidR="00224567" w:rsidRDefault="00224567">
      <w:pPr>
        <w:widowControl w:val="0"/>
        <w:ind w:firstLine="2835"/>
        <w:rPr>
          <w:lang w:val="es-ES_tradnl"/>
        </w:rPr>
      </w:pPr>
      <w:r>
        <w:rPr>
          <w:lang w:val="es-ES_tradnl"/>
        </w:rPr>
        <w:t>Sostuvo que el secretario y el of</w:t>
      </w:r>
      <w:r>
        <w:rPr>
          <w:lang w:val="es-ES_tradnl"/>
        </w:rPr>
        <w:t>i</w:t>
      </w:r>
      <w:r>
        <w:rPr>
          <w:lang w:val="es-ES_tradnl"/>
        </w:rPr>
        <w:t xml:space="preserve">cial de servicio se encargaron de materializar el envío para que el correo las llevara a </w:t>
      </w:r>
      <w:smartTag w:uri="urn:schemas-microsoft-com:office:smarttags" w:element="PersonName">
        <w:smartTagPr>
          <w:attr w:name="ProductID" w:val="La Plata."/>
        </w:smartTagPr>
        <w:r>
          <w:rPr>
            <w:lang w:val="es-ES_tradnl"/>
          </w:rPr>
          <w:t>La Plata.</w:t>
        </w:r>
      </w:smartTag>
    </w:p>
    <w:p w:rsidR="00224567" w:rsidRDefault="00224567">
      <w:pPr>
        <w:widowControl w:val="0"/>
        <w:ind w:firstLine="709"/>
        <w:rPr>
          <w:lang w:val="es-ES_tradnl"/>
        </w:rPr>
      </w:pPr>
      <w:r>
        <w:rPr>
          <w:lang w:val="es-ES_tradnl"/>
        </w:rPr>
        <w:tab/>
        <w:t>Indicó que en la brigada había más de ciento cincuenta efectivos, por lo cual era difícil s</w:t>
      </w:r>
      <w:r>
        <w:rPr>
          <w:lang w:val="es-ES_tradnl"/>
        </w:rPr>
        <w:t>a</w:t>
      </w:r>
      <w:r>
        <w:rPr>
          <w:lang w:val="es-ES_tradnl"/>
        </w:rPr>
        <w:t>ber determinadas cosas de ellos, máxime en una época en que tuvo muchos problemas personales.</w:t>
      </w:r>
    </w:p>
    <w:p w:rsidR="00224567" w:rsidRDefault="00224567">
      <w:pPr>
        <w:widowControl w:val="0"/>
        <w:ind w:firstLine="709"/>
        <w:rPr>
          <w:lang w:val="es-ES_tradnl"/>
        </w:rPr>
      </w:pPr>
      <w:r>
        <w:rPr>
          <w:lang w:val="es-ES_tradnl"/>
        </w:rPr>
        <w:tab/>
        <w:t>Se enteró de los problemas surgidos con Telleldín, pero dijo desconocer cualquier circunsta</w:t>
      </w:r>
      <w:r>
        <w:rPr>
          <w:lang w:val="es-ES_tradnl"/>
        </w:rPr>
        <w:t>n</w:t>
      </w:r>
      <w:r>
        <w:rPr>
          <w:lang w:val="es-ES_tradnl"/>
        </w:rPr>
        <w:t>cia respecto a la camioneta Trafic usada en el ate</w:t>
      </w:r>
      <w:r>
        <w:rPr>
          <w:lang w:val="es-ES_tradnl"/>
        </w:rPr>
        <w:t>n</w:t>
      </w:r>
      <w:r>
        <w:rPr>
          <w:lang w:val="es-ES_tradnl"/>
        </w:rPr>
        <w:t xml:space="preserve">tado a la sede </w:t>
      </w:r>
      <w:smartTag w:uri="urn:schemas-microsoft-com:office:smarttags" w:element="PersonName">
        <w:smartTagPr>
          <w:attr w:name="ProductID" w:val="la A.M"/>
        </w:smartTagPr>
        <w:r>
          <w:rPr>
            <w:lang w:val="es-ES_tradnl"/>
          </w:rPr>
          <w:t>la A.M</w:t>
        </w:r>
      </w:smartTag>
      <w:r>
        <w:rPr>
          <w:lang w:val="es-ES_tradnl"/>
        </w:rPr>
        <w:t>.I.A.</w:t>
      </w:r>
    </w:p>
    <w:p w:rsidR="00224567" w:rsidRDefault="00224567">
      <w:pPr>
        <w:widowControl w:val="0"/>
        <w:ind w:firstLine="709"/>
        <w:rPr>
          <w:lang w:val="es-ES_tradnl"/>
        </w:rPr>
      </w:pPr>
      <w:r>
        <w:rPr>
          <w:lang w:val="es-ES_tradnl"/>
        </w:rPr>
        <w:tab/>
        <w:t>En cuanto a sus problemas particul</w:t>
      </w:r>
      <w:r>
        <w:rPr>
          <w:lang w:val="es-ES_tradnl"/>
        </w:rPr>
        <w:t>a</w:t>
      </w:r>
      <w:r>
        <w:rPr>
          <w:lang w:val="es-ES_tradnl"/>
        </w:rPr>
        <w:t>res, dijo que durante todo el mes de julio de 1994 su m</w:t>
      </w:r>
      <w:r>
        <w:rPr>
          <w:lang w:val="es-ES_tradnl"/>
        </w:rPr>
        <w:t>a</w:t>
      </w:r>
      <w:r>
        <w:rPr>
          <w:lang w:val="es-ES_tradnl"/>
        </w:rPr>
        <w:t>dre estuvo internada en el Sanatorio Bernal a punto de m</w:t>
      </w:r>
      <w:r>
        <w:rPr>
          <w:lang w:val="es-ES_tradnl"/>
        </w:rPr>
        <w:t>o</w:t>
      </w:r>
      <w:r>
        <w:rPr>
          <w:lang w:val="es-ES_tradnl"/>
        </w:rPr>
        <w:t>rir, por lo que a la brigada iba únicamente de mañana, a la noche pasaba un rato por si había quedado algo para firmar y por la tarde estaba en el sanatorio. Después s</w:t>
      </w:r>
      <w:r>
        <w:rPr>
          <w:lang w:val="es-ES_tradnl"/>
        </w:rPr>
        <w:t>u</w:t>
      </w:r>
      <w:r>
        <w:rPr>
          <w:lang w:val="es-ES_tradnl"/>
        </w:rPr>
        <w:t>cedió la operación de su hijo.</w:t>
      </w:r>
    </w:p>
    <w:p w:rsidR="00224567" w:rsidRDefault="00224567">
      <w:pPr>
        <w:widowControl w:val="0"/>
        <w:ind w:firstLine="709"/>
        <w:rPr>
          <w:lang w:val="es-ES_tradnl"/>
        </w:rPr>
      </w:pPr>
      <w:r>
        <w:rPr>
          <w:lang w:val="es-ES_tradnl"/>
        </w:rPr>
        <w:tab/>
        <w:t>Le fue exhibido a Burguete el exp</w:t>
      </w:r>
      <w:r>
        <w:rPr>
          <w:lang w:val="es-ES_tradnl"/>
        </w:rPr>
        <w:t>e</w:t>
      </w:r>
      <w:r>
        <w:rPr>
          <w:lang w:val="es-ES_tradnl"/>
        </w:rPr>
        <w:t>diente administrativo instruido por la policía bona</w:t>
      </w:r>
      <w:r>
        <w:rPr>
          <w:lang w:val="es-ES_tradnl"/>
        </w:rPr>
        <w:t>e</w:t>
      </w:r>
      <w:r>
        <w:rPr>
          <w:lang w:val="es-ES_tradnl"/>
        </w:rPr>
        <w:t xml:space="preserve">rense, en virtud de los actos llevados a cabo por </w:t>
      </w:r>
      <w:smartTag w:uri="urn:schemas-microsoft-com:office:smarttags" w:element="PersonName">
        <w:smartTagPr>
          <w:attr w:name="ProductID" w:val="la Brigada"/>
        </w:smartTagPr>
        <w:r>
          <w:rPr>
            <w:lang w:val="es-ES_tradnl"/>
          </w:rPr>
          <w:t>la Brigada</w:t>
        </w:r>
      </w:smartTag>
      <w:r>
        <w:rPr>
          <w:lang w:val="es-ES_tradnl"/>
        </w:rPr>
        <w:t xml:space="preserve"> de Lanús en el trámite de averiguación de antecedentes de Teccedin, y dijo que era la primera vez que lo veía, ya que cuando lo citaron para recibirle declaración indagat</w:t>
      </w:r>
      <w:r>
        <w:rPr>
          <w:lang w:val="es-ES_tradnl"/>
        </w:rPr>
        <w:t>o</w:t>
      </w:r>
      <w:r>
        <w:rPr>
          <w:lang w:val="es-ES_tradnl"/>
        </w:rPr>
        <w:t>ria administrativa le d</w:t>
      </w:r>
      <w:r>
        <w:rPr>
          <w:lang w:val="es-ES_tradnl"/>
        </w:rPr>
        <w:t>i</w:t>
      </w:r>
      <w:r>
        <w:rPr>
          <w:lang w:val="es-ES_tradnl"/>
        </w:rPr>
        <w:t>jeron en que consistía la falta, y él explicó que las fichas de Teccedin habían sido e</w:t>
      </w:r>
      <w:r>
        <w:rPr>
          <w:lang w:val="es-ES_tradnl"/>
        </w:rPr>
        <w:t>n</w:t>
      </w:r>
      <w:r>
        <w:rPr>
          <w:lang w:val="es-ES_tradnl"/>
        </w:rPr>
        <w:t xml:space="preserve">viadas a </w:t>
      </w:r>
      <w:smartTag w:uri="urn:schemas-microsoft-com:office:smarttags" w:element="PersonName">
        <w:smartTagPr>
          <w:attr w:name="ProductID" w:val="La Plata"/>
        </w:smartTagPr>
        <w:r>
          <w:rPr>
            <w:lang w:val="es-ES_tradnl"/>
          </w:rPr>
          <w:t>La Plata</w:t>
        </w:r>
      </w:smartTag>
      <w:r>
        <w:rPr>
          <w:lang w:val="es-ES_tradnl"/>
        </w:rPr>
        <w:t xml:space="preserve"> y contestado el pedido de antecede</w:t>
      </w:r>
      <w:r>
        <w:rPr>
          <w:lang w:val="es-ES_tradnl"/>
        </w:rPr>
        <w:t>n</w:t>
      </w:r>
      <w:r>
        <w:rPr>
          <w:lang w:val="es-ES_tradnl"/>
        </w:rPr>
        <w:t>tes.</w:t>
      </w:r>
    </w:p>
    <w:p w:rsidR="00224567" w:rsidRDefault="00224567">
      <w:pPr>
        <w:widowControl w:val="0"/>
        <w:ind w:firstLine="709"/>
        <w:rPr>
          <w:lang w:val="es-ES_tradnl"/>
        </w:rPr>
      </w:pPr>
      <w:r>
        <w:rPr>
          <w:lang w:val="es-ES_tradnl"/>
        </w:rPr>
        <w:tab/>
        <w:t>Reconoció la declaración obrante a fs. 98/99 como así también la prestada en aquella opo</w:t>
      </w:r>
      <w:r>
        <w:rPr>
          <w:lang w:val="es-ES_tradnl"/>
        </w:rPr>
        <w:t>r</w:t>
      </w:r>
      <w:r>
        <w:rPr>
          <w:lang w:val="es-ES_tradnl"/>
        </w:rPr>
        <w:t>tunidad. La ratificó en la medida en que no se opusiera a lo dicho en este a</w:t>
      </w:r>
      <w:r>
        <w:rPr>
          <w:lang w:val="es-ES_tradnl"/>
        </w:rPr>
        <w:t>c</w:t>
      </w:r>
      <w:r>
        <w:rPr>
          <w:lang w:val="es-ES_tradnl"/>
        </w:rPr>
        <w:t>to.</w:t>
      </w:r>
    </w:p>
    <w:p w:rsidR="00224567" w:rsidRDefault="00224567">
      <w:pPr>
        <w:widowControl w:val="0"/>
        <w:ind w:firstLine="709"/>
        <w:rPr>
          <w:lang w:val="es-ES_tradnl"/>
        </w:rPr>
      </w:pPr>
      <w:r>
        <w:rPr>
          <w:lang w:val="es-ES_tradnl"/>
        </w:rPr>
        <w:tab/>
        <w:t>Al exhibírsele la causa nº 5681 que tramita por ante el Juzgado en lo Criminal y Correcci</w:t>
      </w:r>
      <w:r>
        <w:rPr>
          <w:lang w:val="es-ES_tradnl"/>
        </w:rPr>
        <w:t>o</w:t>
      </w:r>
      <w:r>
        <w:rPr>
          <w:lang w:val="es-ES_tradnl"/>
        </w:rPr>
        <w:t>nal nº 5 de Quilmes, manifestó que en momentos en que estaba de servicio y tomó conocimiento de la causa no tenía ta</w:t>
      </w:r>
      <w:r>
        <w:rPr>
          <w:lang w:val="es-ES_tradnl"/>
        </w:rPr>
        <w:t>n</w:t>
      </w:r>
      <w:r>
        <w:rPr>
          <w:lang w:val="es-ES_tradnl"/>
        </w:rPr>
        <w:t>tos cuerpos como en la actual</w:t>
      </w:r>
      <w:r>
        <w:rPr>
          <w:lang w:val="es-ES_tradnl"/>
        </w:rPr>
        <w:t>i</w:t>
      </w:r>
      <w:r>
        <w:rPr>
          <w:lang w:val="es-ES_tradnl"/>
        </w:rPr>
        <w:t>dad.</w:t>
      </w:r>
    </w:p>
    <w:p w:rsidR="00224567" w:rsidRDefault="00224567">
      <w:pPr>
        <w:widowControl w:val="0"/>
        <w:ind w:firstLine="709"/>
        <w:rPr>
          <w:lang w:val="es-ES_tradnl"/>
        </w:rPr>
      </w:pPr>
      <w:r>
        <w:rPr>
          <w:lang w:val="es-ES_tradnl"/>
        </w:rPr>
        <w:tab/>
        <w:t>Al mostrársele la fs 203 de aquélla, en la cual surgía que comisionaba al subcomisario Ibarra para individualizar a la persona que hiciera referencia Huici en su declaración, expresó que en realidad Ibarra no fue comisionado por él, sino por el jefe de operaciones, el subcomisario Juan José Ribelli.</w:t>
      </w:r>
    </w:p>
    <w:p w:rsidR="00224567" w:rsidRDefault="00224567">
      <w:pPr>
        <w:widowControl w:val="0"/>
        <w:ind w:firstLine="709"/>
        <w:rPr>
          <w:lang w:val="es-ES_tradnl"/>
        </w:rPr>
      </w:pPr>
      <w:r>
        <w:rPr>
          <w:lang w:val="es-ES_tradnl"/>
        </w:rPr>
        <w:tab/>
        <w:t>Agregó que lo que surgía de dicha f</w:t>
      </w:r>
      <w:r>
        <w:rPr>
          <w:lang w:val="es-ES_tradnl"/>
        </w:rPr>
        <w:t>o</w:t>
      </w:r>
      <w:r>
        <w:rPr>
          <w:lang w:val="es-ES_tradnl"/>
        </w:rPr>
        <w:t>ja era simplemente a efectos de darle formalidad al a</w:t>
      </w:r>
      <w:r>
        <w:rPr>
          <w:lang w:val="es-ES_tradnl"/>
        </w:rPr>
        <w:t>c</w:t>
      </w:r>
      <w:r>
        <w:rPr>
          <w:lang w:val="es-ES_tradnl"/>
        </w:rPr>
        <w:t>to, ya que posteriormente debía declarar Ibarra, quien individu</w:t>
      </w:r>
      <w:r>
        <w:rPr>
          <w:lang w:val="es-ES_tradnl"/>
        </w:rPr>
        <w:t>a</w:t>
      </w:r>
      <w:r>
        <w:rPr>
          <w:lang w:val="es-ES_tradnl"/>
        </w:rPr>
        <w:t>lizó al “Enano”.</w:t>
      </w:r>
    </w:p>
    <w:p w:rsidR="00224567" w:rsidRDefault="00224567">
      <w:pPr>
        <w:widowControl w:val="0"/>
        <w:ind w:firstLine="709"/>
        <w:rPr>
          <w:lang w:val="es-ES_tradnl"/>
        </w:rPr>
      </w:pPr>
      <w:r>
        <w:rPr>
          <w:lang w:val="es-ES_tradnl"/>
        </w:rPr>
        <w:tab/>
        <w:t xml:space="preserve">Señaló que en las fs. 72/74 de esa causa constaba la detención de “Teccedin” y Petrucci el día 4 de abril de </w:t>
      </w:r>
      <w:smartTag w:uri="urn:schemas-microsoft-com:office:smarttags" w:element="metricconverter">
        <w:smartTagPr>
          <w:attr w:name="ProductID" w:val="1994 a"/>
        </w:smartTagPr>
        <w:r>
          <w:rPr>
            <w:lang w:val="es-ES_tradnl"/>
          </w:rPr>
          <w:t>1994 a</w:t>
        </w:r>
      </w:smartTag>
      <w:r>
        <w:rPr>
          <w:lang w:val="es-ES_tradnl"/>
        </w:rPr>
        <w:t xml:space="preserve"> las 21.05 y la salida de ellos a las 20.40 del 5 del abril del mi</w:t>
      </w:r>
      <w:r>
        <w:rPr>
          <w:lang w:val="es-ES_tradnl"/>
        </w:rPr>
        <w:t>s</w:t>
      </w:r>
      <w:r>
        <w:rPr>
          <w:lang w:val="es-ES_tradnl"/>
        </w:rPr>
        <w:t>mo año.</w:t>
      </w:r>
    </w:p>
    <w:p w:rsidR="00224567" w:rsidRDefault="00224567">
      <w:pPr>
        <w:widowControl w:val="0"/>
        <w:ind w:firstLine="709"/>
        <w:rPr>
          <w:lang w:val="es-ES_tradnl"/>
        </w:rPr>
      </w:pPr>
      <w:r>
        <w:rPr>
          <w:lang w:val="es-ES_tradnl"/>
        </w:rPr>
        <w:tab/>
        <w:t>Manifestó que no creía que ello hubi</w:t>
      </w:r>
      <w:r>
        <w:rPr>
          <w:lang w:val="es-ES_tradnl"/>
        </w:rPr>
        <w:t>e</w:t>
      </w:r>
      <w:r>
        <w:rPr>
          <w:lang w:val="es-ES_tradnl"/>
        </w:rPr>
        <w:t>ra sido así, toda vez que él se retiraba todos los días entre las 21.30 y las 22.00 y no r</w:t>
      </w:r>
      <w:r>
        <w:rPr>
          <w:lang w:val="es-ES_tradnl"/>
        </w:rPr>
        <w:t>e</w:t>
      </w:r>
      <w:r>
        <w:rPr>
          <w:lang w:val="es-ES_tradnl"/>
        </w:rPr>
        <w:t xml:space="preserve">cordó que se haya dado la libertad a esas personas con esas fechas. </w:t>
      </w:r>
    </w:p>
    <w:p w:rsidR="00224567" w:rsidRDefault="00224567">
      <w:pPr>
        <w:widowControl w:val="0"/>
        <w:ind w:firstLine="709"/>
        <w:rPr>
          <w:lang w:val="es-ES_tradnl"/>
        </w:rPr>
      </w:pPr>
      <w:r>
        <w:rPr>
          <w:lang w:val="es-ES_tradnl"/>
        </w:rPr>
        <w:tab/>
        <w:t>Precisó que le daba la impresión que no est</w:t>
      </w:r>
      <w:r>
        <w:rPr>
          <w:lang w:val="es-ES_tradnl"/>
        </w:rPr>
        <w:t>u</w:t>
      </w:r>
      <w:r>
        <w:rPr>
          <w:lang w:val="es-ES_tradnl"/>
        </w:rPr>
        <w:t>vieron tantas horas detenidos.</w:t>
      </w:r>
    </w:p>
    <w:p w:rsidR="00224567" w:rsidRDefault="00224567">
      <w:pPr>
        <w:widowControl w:val="0"/>
        <w:ind w:firstLine="709"/>
        <w:rPr>
          <w:lang w:val="es-ES_tradnl"/>
        </w:rPr>
      </w:pPr>
      <w:r>
        <w:rPr>
          <w:lang w:val="es-ES_tradnl"/>
        </w:rPr>
        <w:tab/>
        <w:t>Dijo que no era normal que se agreg</w:t>
      </w:r>
      <w:r>
        <w:rPr>
          <w:lang w:val="es-ES_tradnl"/>
        </w:rPr>
        <w:t>a</w:t>
      </w:r>
      <w:r>
        <w:rPr>
          <w:lang w:val="es-ES_tradnl"/>
        </w:rPr>
        <w:t>ran fotocopias de un documento de identidad dentro de un trámite de averiguación de antecedentes y que las actu</w:t>
      </w:r>
      <w:r>
        <w:rPr>
          <w:lang w:val="es-ES_tradnl"/>
        </w:rPr>
        <w:t>a</w:t>
      </w:r>
      <w:r>
        <w:rPr>
          <w:lang w:val="es-ES_tradnl"/>
        </w:rPr>
        <w:t>ciones le fueron entregadas de esa manera, y él der</w:t>
      </w:r>
      <w:r>
        <w:rPr>
          <w:lang w:val="es-ES_tradnl"/>
        </w:rPr>
        <w:t>i</w:t>
      </w:r>
      <w:r>
        <w:rPr>
          <w:lang w:val="es-ES_tradnl"/>
        </w:rPr>
        <w:t>vó el trámite en su secretario.</w:t>
      </w:r>
    </w:p>
    <w:p w:rsidR="00224567" w:rsidRDefault="00224567">
      <w:pPr>
        <w:widowControl w:val="0"/>
        <w:ind w:firstLine="709"/>
        <w:rPr>
          <w:lang w:val="es-ES_tradnl"/>
        </w:rPr>
      </w:pPr>
      <w:r>
        <w:rPr>
          <w:lang w:val="es-ES_tradnl"/>
        </w:rPr>
        <w:tab/>
        <w:t>Al exhibírsele las fs. 123/143, 198/202 y 228/241 de la ex causa 1598, dijo que respe</w:t>
      </w:r>
      <w:r>
        <w:rPr>
          <w:lang w:val="es-ES_tradnl"/>
        </w:rPr>
        <w:t>c</w:t>
      </w:r>
      <w:r>
        <w:rPr>
          <w:lang w:val="es-ES_tradnl"/>
        </w:rPr>
        <w:t>to a las declaraciones de Ibarra firmadas, una por B</w:t>
      </w:r>
      <w:r>
        <w:rPr>
          <w:lang w:val="es-ES_tradnl"/>
        </w:rPr>
        <w:t>a</w:t>
      </w:r>
      <w:r>
        <w:rPr>
          <w:lang w:val="es-ES_tradnl"/>
        </w:rPr>
        <w:t>cigalupo y la otra por Arancibia, que ello era así po</w:t>
      </w:r>
      <w:r>
        <w:rPr>
          <w:lang w:val="es-ES_tradnl"/>
        </w:rPr>
        <w:t>r</w:t>
      </w:r>
      <w:r>
        <w:rPr>
          <w:lang w:val="es-ES_tradnl"/>
        </w:rPr>
        <w:t>que el primero se encargaba de instruir el sumario p</w:t>
      </w:r>
      <w:r>
        <w:rPr>
          <w:lang w:val="es-ES_tradnl"/>
        </w:rPr>
        <w:t>e</w:t>
      </w:r>
      <w:r>
        <w:rPr>
          <w:lang w:val="es-ES_tradnl"/>
        </w:rPr>
        <w:t>nal, mientras que el segundo la averiguación de antec</w:t>
      </w:r>
      <w:r>
        <w:rPr>
          <w:lang w:val="es-ES_tradnl"/>
        </w:rPr>
        <w:t>e</w:t>
      </w:r>
      <w:r>
        <w:rPr>
          <w:lang w:val="es-ES_tradnl"/>
        </w:rPr>
        <w:t>dentes.</w:t>
      </w:r>
    </w:p>
    <w:p w:rsidR="00224567" w:rsidRDefault="00224567">
      <w:pPr>
        <w:widowControl w:val="0"/>
        <w:ind w:firstLine="709"/>
        <w:rPr>
          <w:lang w:val="es-ES_tradnl"/>
        </w:rPr>
      </w:pPr>
      <w:r>
        <w:rPr>
          <w:lang w:val="es-ES_tradnl"/>
        </w:rPr>
        <w:tab/>
        <w:t>Agregó que se repartieron el trabajo entre los nombrados y él se limitó a firmar lo actuado una vez que fue llevado a su despacho.</w:t>
      </w:r>
    </w:p>
    <w:p w:rsidR="00224567" w:rsidRDefault="00224567">
      <w:pPr>
        <w:widowControl w:val="0"/>
        <w:ind w:firstLine="709"/>
        <w:rPr>
          <w:lang w:val="es-ES_tradnl"/>
        </w:rPr>
      </w:pPr>
      <w:r>
        <w:rPr>
          <w:lang w:val="es-ES_tradnl"/>
        </w:rPr>
        <w:tab/>
        <w:t>El 21 de agosto de 1996 Burguete a</w:t>
      </w:r>
      <w:r>
        <w:rPr>
          <w:lang w:val="es-ES_tradnl"/>
        </w:rPr>
        <w:t>m</w:t>
      </w:r>
      <w:r>
        <w:rPr>
          <w:lang w:val="es-ES_tradnl"/>
        </w:rPr>
        <w:t>plió su declaración indagatoria (fs. 40.633/40.636), opo</w:t>
      </w:r>
      <w:r>
        <w:rPr>
          <w:lang w:val="es-ES_tradnl"/>
        </w:rPr>
        <w:t>r</w:t>
      </w:r>
      <w:r>
        <w:rPr>
          <w:lang w:val="es-ES_tradnl"/>
        </w:rPr>
        <w:t>tunidad en la que ratificó sus dichos anteriores.</w:t>
      </w:r>
    </w:p>
    <w:p w:rsidR="00224567" w:rsidRDefault="00224567">
      <w:pPr>
        <w:widowControl w:val="0"/>
        <w:ind w:firstLine="709"/>
        <w:rPr>
          <w:lang w:val="es-ES_tradnl"/>
        </w:rPr>
      </w:pPr>
      <w:r>
        <w:rPr>
          <w:lang w:val="es-ES_tradnl"/>
        </w:rPr>
        <w:tab/>
        <w:t>Expresó que a raíz de haber tomado c</w:t>
      </w:r>
      <w:r>
        <w:rPr>
          <w:lang w:val="es-ES_tradnl"/>
        </w:rPr>
        <w:t>o</w:t>
      </w:r>
      <w:r>
        <w:rPr>
          <w:lang w:val="es-ES_tradnl"/>
        </w:rPr>
        <w:t>nocimiento de la causa por haberse levantado el secreto sumarial, y al realizar un análisis de la última declar</w:t>
      </w:r>
      <w:r>
        <w:rPr>
          <w:lang w:val="es-ES_tradnl"/>
        </w:rPr>
        <w:t>a</w:t>
      </w:r>
      <w:r>
        <w:rPr>
          <w:lang w:val="es-ES_tradnl"/>
        </w:rPr>
        <w:t>ción prestada por Carlos Alberto Telleldín en el juzg</w:t>
      </w:r>
      <w:r>
        <w:rPr>
          <w:lang w:val="es-ES_tradnl"/>
        </w:rPr>
        <w:t>a</w:t>
      </w:r>
      <w:r>
        <w:rPr>
          <w:lang w:val="es-ES_tradnl"/>
        </w:rPr>
        <w:t>do, donde entre otras cosas, mencionó que la persona que rec</w:t>
      </w:r>
      <w:r>
        <w:rPr>
          <w:lang w:val="es-ES_tradnl"/>
        </w:rPr>
        <w:t>i</w:t>
      </w:r>
      <w:r>
        <w:rPr>
          <w:lang w:val="es-ES_tradnl"/>
        </w:rPr>
        <w:t xml:space="preserve">bió </w:t>
      </w:r>
      <w:smartTag w:uri="urn:schemas-microsoft-com:office:smarttags" w:element="PersonName">
        <w:smartTagPr>
          <w:attr w:name="ProductID" w:val="la Trafic"/>
        </w:smartTagPr>
        <w:r>
          <w:rPr>
            <w:lang w:val="es-ES_tradnl"/>
          </w:rPr>
          <w:t>la Trafic</w:t>
        </w:r>
      </w:smartTag>
      <w:r>
        <w:rPr>
          <w:lang w:val="es-ES_tradnl"/>
        </w:rPr>
        <w:t xml:space="preserve"> el 10 de julio de 1994 se presentó como R</w:t>
      </w:r>
      <w:r>
        <w:rPr>
          <w:lang w:val="es-ES_tradnl"/>
        </w:rPr>
        <w:t>a</w:t>
      </w:r>
      <w:r>
        <w:rPr>
          <w:lang w:val="es-ES_tradnl"/>
        </w:rPr>
        <w:t>món Martínez, y que también realizaba otras transacci</w:t>
      </w:r>
      <w:r>
        <w:rPr>
          <w:lang w:val="es-ES_tradnl"/>
        </w:rPr>
        <w:t>o</w:t>
      </w:r>
      <w:r>
        <w:rPr>
          <w:lang w:val="es-ES_tradnl"/>
        </w:rPr>
        <w:t>nes con otras pe</w:t>
      </w:r>
      <w:r>
        <w:rPr>
          <w:lang w:val="es-ES_tradnl"/>
        </w:rPr>
        <w:t>r</w:t>
      </w:r>
      <w:r>
        <w:rPr>
          <w:lang w:val="es-ES_tradnl"/>
        </w:rPr>
        <w:t>sonas, como Bart –similar al personaje de los Sim</w:t>
      </w:r>
      <w:r>
        <w:rPr>
          <w:lang w:val="es-ES_tradnl"/>
        </w:rPr>
        <w:t>p</w:t>
      </w:r>
      <w:r>
        <w:rPr>
          <w:lang w:val="es-ES_tradnl"/>
        </w:rPr>
        <w:t xml:space="preserve">son-; expresó que en </w:t>
      </w:r>
      <w:smartTag w:uri="urn:schemas-microsoft-com:office:smarttags" w:element="PersonName">
        <w:smartTagPr>
          <w:attr w:name="ProductID" w:val="la Brigada"/>
        </w:smartTagPr>
        <w:r>
          <w:rPr>
            <w:lang w:val="es-ES_tradnl"/>
          </w:rPr>
          <w:t>la Brigada</w:t>
        </w:r>
      </w:smartTag>
      <w:r>
        <w:rPr>
          <w:lang w:val="es-ES_tradnl"/>
        </w:rPr>
        <w:t xml:space="preserve"> de Lanús trabajaba un oficial cuyas características físicas eran sim</w:t>
      </w:r>
      <w:r>
        <w:rPr>
          <w:lang w:val="es-ES_tradnl"/>
        </w:rPr>
        <w:t>i</w:t>
      </w:r>
      <w:r>
        <w:rPr>
          <w:lang w:val="es-ES_tradnl"/>
        </w:rPr>
        <w:t>lares a las de Homero Simpson, a quien apodaban “el Tartamudo” o “el Gordo” y que sería el oficial inspector Marcelo Vale</w:t>
      </w:r>
      <w:r>
        <w:rPr>
          <w:lang w:val="es-ES_tradnl"/>
        </w:rPr>
        <w:t>n</w:t>
      </w:r>
      <w:r>
        <w:rPr>
          <w:lang w:val="es-ES_tradnl"/>
        </w:rPr>
        <w:t>ga.</w:t>
      </w:r>
    </w:p>
    <w:p w:rsidR="00224567" w:rsidRDefault="00224567">
      <w:pPr>
        <w:widowControl w:val="0"/>
        <w:ind w:firstLine="709"/>
        <w:rPr>
          <w:lang w:val="es-ES_tradnl"/>
        </w:rPr>
      </w:pPr>
      <w:r>
        <w:rPr>
          <w:lang w:val="es-ES_tradnl"/>
        </w:rPr>
        <w:tab/>
        <w:t xml:space="preserve">Esa persona, señaló, arribó a </w:t>
      </w:r>
      <w:smartTag w:uri="urn:schemas-microsoft-com:office:smarttags" w:element="PersonName">
        <w:smartTagPr>
          <w:attr w:name="ProductID" w:val="la Brigada"/>
        </w:smartTagPr>
        <w:r>
          <w:rPr>
            <w:lang w:val="es-ES_tradnl"/>
          </w:rPr>
          <w:t>la Br</w:t>
        </w:r>
        <w:r>
          <w:rPr>
            <w:lang w:val="es-ES_tradnl"/>
          </w:rPr>
          <w:t>i</w:t>
        </w:r>
        <w:r>
          <w:rPr>
            <w:lang w:val="es-ES_tradnl"/>
          </w:rPr>
          <w:t>gada</w:t>
        </w:r>
      </w:smartTag>
      <w:r>
        <w:rPr>
          <w:lang w:val="es-ES_tradnl"/>
        </w:rPr>
        <w:t xml:space="preserve"> de Lanús en el mes de diciembre de 1993 y habría t</w:t>
      </w:r>
      <w:r>
        <w:rPr>
          <w:lang w:val="es-ES_tradnl"/>
        </w:rPr>
        <w:t>e</w:t>
      </w:r>
      <w:r>
        <w:rPr>
          <w:lang w:val="es-ES_tradnl"/>
        </w:rPr>
        <w:t>nido como dest</w:t>
      </w:r>
      <w:r>
        <w:rPr>
          <w:lang w:val="es-ES_tradnl"/>
        </w:rPr>
        <w:t>i</w:t>
      </w:r>
      <w:r>
        <w:rPr>
          <w:lang w:val="es-ES_tradnl"/>
        </w:rPr>
        <w:t>no anterior una comisaría de Bahía Blanca, a la cual fue trasladado por tener problemas con el jefe de la dependencia de su ant</w:t>
      </w:r>
      <w:r>
        <w:rPr>
          <w:lang w:val="es-ES_tradnl"/>
        </w:rPr>
        <w:t>e</w:t>
      </w:r>
      <w:r>
        <w:rPr>
          <w:lang w:val="es-ES_tradnl"/>
        </w:rPr>
        <w:t xml:space="preserve">rior destino que era </w:t>
      </w:r>
      <w:smartTag w:uri="urn:schemas-microsoft-com:office:smarttags" w:element="PersonName">
        <w:smartTagPr>
          <w:attr w:name="ProductID" w:val="la Unidad Regional"/>
        </w:smartTagPr>
        <w:r>
          <w:rPr>
            <w:lang w:val="es-ES_tradnl"/>
          </w:rPr>
          <w:t>la Unidad Regional</w:t>
        </w:r>
      </w:smartTag>
      <w:r>
        <w:rPr>
          <w:lang w:val="es-ES_tradnl"/>
        </w:rPr>
        <w:t xml:space="preserve"> de Quilmes.</w:t>
      </w:r>
    </w:p>
    <w:p w:rsidR="00224567" w:rsidRDefault="00224567">
      <w:pPr>
        <w:widowControl w:val="0"/>
        <w:ind w:firstLine="709"/>
        <w:rPr>
          <w:lang w:val="es-ES_tradnl"/>
        </w:rPr>
      </w:pPr>
      <w:r>
        <w:rPr>
          <w:lang w:val="es-ES_tradnl"/>
        </w:rPr>
        <w:tab/>
        <w:t>A raíz de la lejanía del destino do</w:t>
      </w:r>
      <w:r>
        <w:rPr>
          <w:lang w:val="es-ES_tradnl"/>
        </w:rPr>
        <w:t>n</w:t>
      </w:r>
      <w:r>
        <w:rPr>
          <w:lang w:val="es-ES_tradnl"/>
        </w:rPr>
        <w:t xml:space="preserve">de se hallaba, expresó, solía concurrir con frecuencia a </w:t>
      </w:r>
      <w:smartTag w:uri="urn:schemas-microsoft-com:office:smarttags" w:element="PersonName">
        <w:smartTagPr>
          <w:attr w:name="ProductID" w:val="la Brigada"/>
        </w:smartTagPr>
        <w:r>
          <w:rPr>
            <w:lang w:val="es-ES_tradnl"/>
          </w:rPr>
          <w:t>la Brigada</w:t>
        </w:r>
      </w:smartTag>
      <w:r>
        <w:rPr>
          <w:lang w:val="es-ES_tradnl"/>
        </w:rPr>
        <w:t xml:space="preserve"> de Lanús a efectos de entrevistarse con el jefe, comisario inspector Ojeda y con el subcomisario Ribelli, a fin de conseguir su traslado a dicha depe</w:t>
      </w:r>
      <w:r>
        <w:rPr>
          <w:lang w:val="es-ES_tradnl"/>
        </w:rPr>
        <w:t>n</w:t>
      </w:r>
      <w:r>
        <w:rPr>
          <w:lang w:val="es-ES_tradnl"/>
        </w:rPr>
        <w:t>dencia, lo cual se efectivizó en la fecha mencion</w:t>
      </w:r>
      <w:r>
        <w:rPr>
          <w:lang w:val="es-ES_tradnl"/>
        </w:rPr>
        <w:t>a</w:t>
      </w:r>
      <w:r>
        <w:rPr>
          <w:lang w:val="es-ES_tradnl"/>
        </w:rPr>
        <w:t>da.</w:t>
      </w:r>
    </w:p>
    <w:p w:rsidR="00224567" w:rsidRDefault="00224567">
      <w:pPr>
        <w:widowControl w:val="0"/>
        <w:ind w:firstLine="709"/>
        <w:rPr>
          <w:lang w:val="es-ES_tradnl"/>
        </w:rPr>
      </w:pPr>
      <w:r>
        <w:rPr>
          <w:lang w:val="es-ES_tradnl"/>
        </w:rPr>
        <w:tab/>
        <w:t>Hizo saber que Valenga en el mes de enero de 1994 fue detenido a raíz de que tuvo particip</w:t>
      </w:r>
      <w:r>
        <w:rPr>
          <w:lang w:val="es-ES_tradnl"/>
        </w:rPr>
        <w:t>a</w:t>
      </w:r>
      <w:r>
        <w:rPr>
          <w:lang w:val="es-ES_tradnl"/>
        </w:rPr>
        <w:t>ción en el hecho que se denominó “la masacre de Wi</w:t>
      </w:r>
      <w:r>
        <w:rPr>
          <w:lang w:val="es-ES_tradnl"/>
        </w:rPr>
        <w:t>l</w:t>
      </w:r>
      <w:r>
        <w:rPr>
          <w:lang w:val="es-ES_tradnl"/>
        </w:rPr>
        <w:t>de”.</w:t>
      </w:r>
    </w:p>
    <w:p w:rsidR="00224567" w:rsidRDefault="00224567">
      <w:pPr>
        <w:widowControl w:val="0"/>
        <w:ind w:firstLine="709"/>
        <w:rPr>
          <w:lang w:val="es-ES_tradnl"/>
        </w:rPr>
      </w:pPr>
      <w:r>
        <w:rPr>
          <w:lang w:val="es-ES_tradnl"/>
        </w:rPr>
        <w:tab/>
        <w:t xml:space="preserve">En principio, indicó, los detenidos por ese hecho fueron alojados en </w:t>
      </w:r>
      <w:smartTag w:uri="urn:schemas-microsoft-com:office:smarttags" w:element="PersonName">
        <w:smartTagPr>
          <w:attr w:name="ProductID" w:val="la Brigada"/>
        </w:smartTagPr>
        <w:r>
          <w:rPr>
            <w:lang w:val="es-ES_tradnl"/>
          </w:rPr>
          <w:t>la Brigada</w:t>
        </w:r>
      </w:smartTag>
      <w:r>
        <w:rPr>
          <w:lang w:val="es-ES_tradnl"/>
        </w:rPr>
        <w:t xml:space="preserve"> de Investig</w:t>
      </w:r>
      <w:r>
        <w:rPr>
          <w:lang w:val="es-ES_tradnl"/>
        </w:rPr>
        <w:t>a</w:t>
      </w:r>
      <w:r>
        <w:rPr>
          <w:lang w:val="es-ES_tradnl"/>
        </w:rPr>
        <w:t xml:space="preserve">ciones de Quilmes y luego trasladados a </w:t>
      </w:r>
      <w:smartTag w:uri="urn:schemas-microsoft-com:office:smarttags" w:element="PersonName">
        <w:smartTagPr>
          <w:attr w:name="ProductID" w:val="la Comisar￭a"/>
        </w:smartTagPr>
        <w:r>
          <w:rPr>
            <w:lang w:val="es-ES_tradnl"/>
          </w:rPr>
          <w:t>la Comisaría</w:t>
        </w:r>
      </w:smartTag>
      <w:r>
        <w:rPr>
          <w:lang w:val="es-ES_tradnl"/>
        </w:rPr>
        <w:t xml:space="preserve"> de Ramos Mejía. Ello, en virtud de una presentación que h</w:t>
      </w:r>
      <w:r>
        <w:rPr>
          <w:lang w:val="es-ES_tradnl"/>
        </w:rPr>
        <w:t>i</w:t>
      </w:r>
      <w:r>
        <w:rPr>
          <w:lang w:val="es-ES_tradnl"/>
        </w:rPr>
        <w:t>cieron los familiares de las víctimas en el juzgado inte</w:t>
      </w:r>
      <w:r>
        <w:rPr>
          <w:lang w:val="es-ES_tradnl"/>
        </w:rPr>
        <w:t>r</w:t>
      </w:r>
      <w:r>
        <w:rPr>
          <w:lang w:val="es-ES_tradnl"/>
        </w:rPr>
        <w:t>viniente, ya que éstos observaron desde la calle el  inusual movimiento y jolgorio que mantenían los d</w:t>
      </w:r>
      <w:r>
        <w:rPr>
          <w:lang w:val="es-ES_tradnl"/>
        </w:rPr>
        <w:t>e</w:t>
      </w:r>
      <w:r>
        <w:rPr>
          <w:lang w:val="es-ES_tradnl"/>
        </w:rPr>
        <w:t xml:space="preserve">tenidos dentro de </w:t>
      </w:r>
      <w:smartTag w:uri="urn:schemas-microsoft-com:office:smarttags" w:element="PersonName">
        <w:smartTagPr>
          <w:attr w:name="ProductID" w:val="la Brigada"/>
        </w:smartTagPr>
        <w:r>
          <w:rPr>
            <w:lang w:val="es-ES_tradnl"/>
          </w:rPr>
          <w:t>la Brigada</w:t>
        </w:r>
      </w:smartTag>
      <w:r>
        <w:rPr>
          <w:lang w:val="es-ES_tradnl"/>
        </w:rPr>
        <w:t xml:space="preserve"> de Quilmes. Aclaró que los lugares donde estaban alojados daban a la calle y podían ser o</w:t>
      </w:r>
      <w:r>
        <w:rPr>
          <w:lang w:val="es-ES_tradnl"/>
        </w:rPr>
        <w:t>b</w:t>
      </w:r>
      <w:r>
        <w:rPr>
          <w:lang w:val="es-ES_tradnl"/>
        </w:rPr>
        <w:t>servados desde afuera.</w:t>
      </w:r>
    </w:p>
    <w:p w:rsidR="00224567" w:rsidRDefault="00224567">
      <w:pPr>
        <w:widowControl w:val="0"/>
        <w:ind w:firstLine="709"/>
        <w:rPr>
          <w:lang w:val="es-ES_tradnl"/>
        </w:rPr>
      </w:pPr>
      <w:r>
        <w:rPr>
          <w:lang w:val="es-ES_tradnl"/>
        </w:rPr>
        <w:tab/>
        <w:t xml:space="preserve">Supo que dentro de </w:t>
      </w:r>
      <w:smartTag w:uri="urn:schemas-microsoft-com:office:smarttags" w:element="PersonName">
        <w:smartTagPr>
          <w:attr w:name="ProductID" w:val="la Brigada"/>
        </w:smartTagPr>
        <w:r>
          <w:rPr>
            <w:lang w:val="es-ES_tradnl"/>
          </w:rPr>
          <w:t>la Brigada</w:t>
        </w:r>
      </w:smartTag>
      <w:r>
        <w:rPr>
          <w:lang w:val="es-ES_tradnl"/>
        </w:rPr>
        <w:t xml:space="preserve"> de Qui</w:t>
      </w:r>
      <w:r>
        <w:rPr>
          <w:lang w:val="es-ES_tradnl"/>
        </w:rPr>
        <w:t>l</w:t>
      </w:r>
      <w:r>
        <w:rPr>
          <w:lang w:val="es-ES_tradnl"/>
        </w:rPr>
        <w:t>mes se vivía un cl</w:t>
      </w:r>
      <w:r>
        <w:rPr>
          <w:lang w:val="es-ES_tradnl"/>
        </w:rPr>
        <w:t>i</w:t>
      </w:r>
      <w:r>
        <w:rPr>
          <w:lang w:val="es-ES_tradnl"/>
        </w:rPr>
        <w:t>ma de fiesta.</w:t>
      </w:r>
    </w:p>
    <w:p w:rsidR="00224567" w:rsidRDefault="00224567">
      <w:pPr>
        <w:widowControl w:val="0"/>
        <w:ind w:firstLine="709"/>
        <w:rPr>
          <w:lang w:val="es-ES_tradnl"/>
        </w:rPr>
      </w:pPr>
      <w:r>
        <w:rPr>
          <w:lang w:val="es-ES_tradnl"/>
        </w:rPr>
        <w:tab/>
        <w:t>Agregó que el lugar al que fueron trasladados –Comisaría de Ramos Mejía- se acondicionó a nuevo, es decir, se empapeló, pintó, alfombró y agreg</w:t>
      </w:r>
      <w:r>
        <w:rPr>
          <w:lang w:val="es-ES_tradnl"/>
        </w:rPr>
        <w:t>a</w:t>
      </w:r>
      <w:r>
        <w:rPr>
          <w:lang w:val="es-ES_tradnl"/>
        </w:rPr>
        <w:t>ron co</w:t>
      </w:r>
      <w:r>
        <w:rPr>
          <w:lang w:val="es-ES_tradnl"/>
        </w:rPr>
        <w:t>l</w:t>
      </w:r>
      <w:r>
        <w:rPr>
          <w:lang w:val="es-ES_tradnl"/>
        </w:rPr>
        <w:t>chones.</w:t>
      </w:r>
    </w:p>
    <w:p w:rsidR="00224567" w:rsidRDefault="00224567">
      <w:pPr>
        <w:widowControl w:val="0"/>
        <w:ind w:firstLine="709"/>
        <w:rPr>
          <w:lang w:val="es-ES_tradnl"/>
        </w:rPr>
      </w:pPr>
      <w:r>
        <w:rPr>
          <w:lang w:val="es-ES_tradnl"/>
        </w:rPr>
        <w:tab/>
        <w:t>Ese lugar se encontraba en la parte posterior del lote, en un primer piso, y tenía mucha más privac</w:t>
      </w:r>
      <w:r>
        <w:rPr>
          <w:lang w:val="es-ES_tradnl"/>
        </w:rPr>
        <w:t>i</w:t>
      </w:r>
      <w:r>
        <w:rPr>
          <w:lang w:val="es-ES_tradnl"/>
        </w:rPr>
        <w:t xml:space="preserve">dad que </w:t>
      </w:r>
      <w:smartTag w:uri="urn:schemas-microsoft-com:office:smarttags" w:element="PersonName">
        <w:smartTagPr>
          <w:attr w:name="ProductID" w:val="la Brigada"/>
        </w:smartTagPr>
        <w:r>
          <w:rPr>
            <w:lang w:val="es-ES_tradnl"/>
          </w:rPr>
          <w:t>la Brigada</w:t>
        </w:r>
      </w:smartTag>
      <w:r>
        <w:rPr>
          <w:lang w:val="es-ES_tradnl"/>
        </w:rPr>
        <w:t xml:space="preserve"> de Quilmes.</w:t>
      </w:r>
    </w:p>
    <w:p w:rsidR="00224567" w:rsidRDefault="00224567">
      <w:pPr>
        <w:widowControl w:val="0"/>
        <w:ind w:firstLine="709"/>
        <w:rPr>
          <w:lang w:val="es-ES_tradnl"/>
        </w:rPr>
      </w:pPr>
      <w:r>
        <w:rPr>
          <w:lang w:val="es-ES_tradnl"/>
        </w:rPr>
        <w:tab/>
        <w:t>Aseguró que en reiteradas ocasi</w:t>
      </w:r>
      <w:r>
        <w:rPr>
          <w:lang w:val="es-ES_tradnl"/>
        </w:rPr>
        <w:t>o</w:t>
      </w:r>
      <w:r>
        <w:rPr>
          <w:lang w:val="es-ES_tradnl"/>
        </w:rPr>
        <w:t>nes la jueza de la causa mencionada concurrió a dicha comisaría para constatar que nadie saliera de la dependencia, ci</w:t>
      </w:r>
      <w:r>
        <w:rPr>
          <w:lang w:val="es-ES_tradnl"/>
        </w:rPr>
        <w:t>r</w:t>
      </w:r>
      <w:r>
        <w:rPr>
          <w:lang w:val="es-ES_tradnl"/>
        </w:rPr>
        <w:t>cunstancia que los familiares de las víctimas así denu</w:t>
      </w:r>
      <w:r>
        <w:rPr>
          <w:lang w:val="es-ES_tradnl"/>
        </w:rPr>
        <w:t>n</w:t>
      </w:r>
      <w:r>
        <w:rPr>
          <w:lang w:val="es-ES_tradnl"/>
        </w:rPr>
        <w:t>ciaban.</w:t>
      </w:r>
    </w:p>
    <w:p w:rsidR="00224567" w:rsidRDefault="00224567">
      <w:pPr>
        <w:pStyle w:val="Sangradetextonormal"/>
        <w:widowControl w:val="0"/>
      </w:pPr>
      <w:r>
        <w:tab/>
        <w:t>Expresó que a él no le constaba ese hecho, que la información era muy hermética, y que las v</w:t>
      </w:r>
      <w:r>
        <w:t>e</w:t>
      </w:r>
      <w:r>
        <w:t>ces que concurrió a la dependencia de visita se encontr</w:t>
      </w:r>
      <w:r>
        <w:t>a</w:t>
      </w:r>
      <w:r>
        <w:t>ban todos en el l</w:t>
      </w:r>
      <w:r>
        <w:t>u</w:t>
      </w:r>
      <w:r>
        <w:t>gar.</w:t>
      </w:r>
    </w:p>
    <w:p w:rsidR="00224567" w:rsidRDefault="00224567">
      <w:pPr>
        <w:widowControl w:val="0"/>
        <w:ind w:firstLine="709"/>
        <w:rPr>
          <w:lang w:val="es-ES_tradnl"/>
        </w:rPr>
      </w:pPr>
      <w:r>
        <w:rPr>
          <w:lang w:val="es-ES_tradnl"/>
        </w:rPr>
        <w:tab/>
        <w:t>Con referencia al oficial Valenga s</w:t>
      </w:r>
      <w:r>
        <w:rPr>
          <w:lang w:val="es-ES_tradnl"/>
        </w:rPr>
        <w:t>u</w:t>
      </w:r>
      <w:r>
        <w:rPr>
          <w:lang w:val="es-ES_tradnl"/>
        </w:rPr>
        <w:t>po, por comentarios creíbles, que era un jugador empede</w:t>
      </w:r>
      <w:r>
        <w:rPr>
          <w:lang w:val="es-ES_tradnl"/>
        </w:rPr>
        <w:t>r</w:t>
      </w:r>
      <w:r>
        <w:rPr>
          <w:lang w:val="es-ES_tradnl"/>
        </w:rPr>
        <w:t>nido y que había contraído deudas en un casino de Entre Ríos, al que concurría asiduamente.</w:t>
      </w:r>
    </w:p>
    <w:p w:rsidR="00224567" w:rsidRDefault="00224567">
      <w:pPr>
        <w:widowControl w:val="0"/>
        <w:ind w:firstLine="709"/>
        <w:rPr>
          <w:lang w:val="es-ES_tradnl"/>
        </w:rPr>
      </w:pPr>
      <w:r>
        <w:rPr>
          <w:lang w:val="es-ES_tradnl"/>
        </w:rPr>
        <w:tab/>
        <w:t xml:space="preserve">También tuvo conocimiento que una vez que llegó a </w:t>
      </w:r>
      <w:smartTag w:uri="urn:schemas-microsoft-com:office:smarttags" w:element="PersonName">
        <w:smartTagPr>
          <w:attr w:name="ProductID" w:val="la Brigada"/>
        </w:smartTagPr>
        <w:r>
          <w:rPr>
            <w:lang w:val="es-ES_tradnl"/>
          </w:rPr>
          <w:t>la Brigada</w:t>
        </w:r>
      </w:smartTag>
      <w:r>
        <w:rPr>
          <w:lang w:val="es-ES_tradnl"/>
        </w:rPr>
        <w:t xml:space="preserve"> de Lanús, trabajó en la parte op</w:t>
      </w:r>
      <w:r>
        <w:rPr>
          <w:lang w:val="es-ES_tradnl"/>
        </w:rPr>
        <w:t>e</w:t>
      </w:r>
      <w:r>
        <w:rPr>
          <w:lang w:val="es-ES_tradnl"/>
        </w:rPr>
        <w:t>rativa bajo las órdenes de Ribelli, y en una de las age</w:t>
      </w:r>
      <w:r>
        <w:rPr>
          <w:lang w:val="es-ES_tradnl"/>
        </w:rPr>
        <w:t>n</w:t>
      </w:r>
      <w:r>
        <w:rPr>
          <w:lang w:val="es-ES_tradnl"/>
        </w:rPr>
        <w:t>cias de autos del nombrado.</w:t>
      </w:r>
    </w:p>
    <w:p w:rsidR="00224567" w:rsidRDefault="00224567">
      <w:pPr>
        <w:widowControl w:val="0"/>
        <w:ind w:firstLine="709"/>
        <w:rPr>
          <w:lang w:val="es-ES_tradnl"/>
        </w:rPr>
      </w:pPr>
      <w:r>
        <w:rPr>
          <w:lang w:val="es-ES_tradnl"/>
        </w:rPr>
        <w:tab/>
        <w:t>Agregó que de la declaración de T</w:t>
      </w:r>
      <w:r>
        <w:rPr>
          <w:lang w:val="es-ES_tradnl"/>
        </w:rPr>
        <w:t>e</w:t>
      </w:r>
      <w:r>
        <w:rPr>
          <w:lang w:val="es-ES_tradnl"/>
        </w:rPr>
        <w:t xml:space="preserve">lleldín surgía que en </w:t>
      </w:r>
      <w:smartTag w:uri="urn:schemas-microsoft-com:office:smarttags" w:element="PersonName">
        <w:smartTagPr>
          <w:attr w:name="ProductID" w:val="la Brigada"/>
        </w:smartTagPr>
        <w:r>
          <w:rPr>
            <w:lang w:val="es-ES_tradnl"/>
          </w:rPr>
          <w:t>la Brigada</w:t>
        </w:r>
      </w:smartTag>
      <w:r>
        <w:rPr>
          <w:lang w:val="es-ES_tradnl"/>
        </w:rPr>
        <w:t xml:space="preserve"> de Lanús trabajaba un subcomisario canoso de ojos claros que había participado en los procedimientos de detención, y que esa circunsta</w:t>
      </w:r>
      <w:r>
        <w:rPr>
          <w:lang w:val="es-ES_tradnl"/>
        </w:rPr>
        <w:t>n</w:t>
      </w:r>
      <w:r>
        <w:rPr>
          <w:lang w:val="es-ES_tradnl"/>
        </w:rPr>
        <w:t>cia le llamó la atención porque en la brigada no existía una persona con esas caract</w:t>
      </w:r>
      <w:r>
        <w:rPr>
          <w:lang w:val="es-ES_tradnl"/>
        </w:rPr>
        <w:t>e</w:t>
      </w:r>
      <w:r>
        <w:rPr>
          <w:lang w:val="es-ES_tradnl"/>
        </w:rPr>
        <w:t>rísticas físicas.</w:t>
      </w:r>
    </w:p>
    <w:p w:rsidR="00224567" w:rsidRDefault="00224567">
      <w:pPr>
        <w:widowControl w:val="0"/>
        <w:ind w:firstLine="709"/>
        <w:rPr>
          <w:lang w:val="es-ES_tradnl"/>
        </w:rPr>
      </w:pPr>
      <w:r>
        <w:rPr>
          <w:lang w:val="es-ES_tradnl"/>
        </w:rPr>
        <w:tab/>
        <w:t>Por último señaló que tuvo conocimie</w:t>
      </w:r>
      <w:r>
        <w:rPr>
          <w:lang w:val="es-ES_tradnl"/>
        </w:rPr>
        <w:t>n</w:t>
      </w:r>
      <w:r>
        <w:rPr>
          <w:lang w:val="es-ES_tradnl"/>
        </w:rPr>
        <w:t>to que en reiteradas ocasiones Valenga concurrió a la pr</w:t>
      </w:r>
      <w:r>
        <w:rPr>
          <w:lang w:val="es-ES_tradnl"/>
        </w:rPr>
        <w:t>o</w:t>
      </w:r>
      <w:r>
        <w:rPr>
          <w:lang w:val="es-ES_tradnl"/>
        </w:rPr>
        <w:t>vincia de Entre Ríos, ignorando los m</w:t>
      </w:r>
      <w:r>
        <w:rPr>
          <w:lang w:val="es-ES_tradnl"/>
        </w:rPr>
        <w:t>o</w:t>
      </w:r>
      <w:r>
        <w:rPr>
          <w:lang w:val="es-ES_tradnl"/>
        </w:rPr>
        <w:t>tivos de sus viajes.</w:t>
      </w:r>
    </w:p>
    <w:p w:rsidR="00224567" w:rsidRDefault="00224567">
      <w:pPr>
        <w:widowControl w:val="0"/>
      </w:pPr>
    </w:p>
    <w:p w:rsidR="00224567" w:rsidRDefault="00224567">
      <w:pPr>
        <w:pStyle w:val="Ttulo3"/>
        <w:keepNext w:val="0"/>
        <w:widowControl w:val="0"/>
      </w:pPr>
      <w:r>
        <w:t>O) Declaraciones indagatorias de Oscar Eusebio Bacig</w:t>
      </w:r>
      <w:r>
        <w:t>a</w:t>
      </w:r>
      <w:r>
        <w:t>lupo.</w:t>
      </w:r>
    </w:p>
    <w:p w:rsidR="00224567" w:rsidRDefault="00224567">
      <w:pPr>
        <w:widowControl w:val="0"/>
        <w:ind w:firstLine="2835"/>
      </w:pPr>
      <w:r>
        <w:t>Oscar Eusebio Bacigalupo se negó a prestar declaración indagatoria en la oportunidad pr</w:t>
      </w:r>
      <w:r>
        <w:t>e</w:t>
      </w:r>
      <w:r>
        <w:t xml:space="preserve">vista en el art. 378 del código Procesal Penal de </w:t>
      </w:r>
      <w:smartTag w:uri="urn:schemas-microsoft-com:office:smarttags" w:element="PersonName">
        <w:smartTagPr>
          <w:attr w:name="ProductID" w:val="la Naci￳n"/>
        </w:smartTagPr>
        <w:r>
          <w:t>la Nación</w:t>
        </w:r>
      </w:smartTag>
      <w:r>
        <w:t>, dándose lectura a la volcada a fs. 39.761/39.772.</w:t>
      </w:r>
    </w:p>
    <w:p w:rsidR="00224567" w:rsidRDefault="00224567">
      <w:pPr>
        <w:widowControl w:val="0"/>
        <w:rPr>
          <w:lang w:val="es-ES_tradnl"/>
        </w:rPr>
      </w:pPr>
      <w:r>
        <w:tab/>
        <w:t>En la declaración brindada el 24 de julio de 1996 (conf. fs. 39.761/39.772), Bacigalupo expr</w:t>
      </w:r>
      <w:r>
        <w:t>e</w:t>
      </w:r>
      <w:r>
        <w:t xml:space="preserve">só que entre </w:t>
      </w:r>
      <w:r>
        <w:rPr>
          <w:lang w:val="es-ES_tradnl"/>
        </w:rPr>
        <w:t xml:space="preserve">1987 y 1992 cumplió funciones en </w:t>
      </w:r>
      <w:smartTag w:uri="urn:schemas-microsoft-com:office:smarttags" w:element="PersonName">
        <w:smartTagPr>
          <w:attr w:name="ProductID" w:val="la Brigada"/>
        </w:smartTagPr>
        <w:r>
          <w:rPr>
            <w:lang w:val="es-ES_tradnl"/>
          </w:rPr>
          <w:t>la Brigada</w:t>
        </w:r>
      </w:smartTag>
      <w:r>
        <w:rPr>
          <w:lang w:val="es-ES_tradnl"/>
        </w:rPr>
        <w:t xml:space="preserve"> de Investigaciones de Quilmes y luego fue tra</w:t>
      </w:r>
      <w:r>
        <w:rPr>
          <w:lang w:val="es-ES_tradnl"/>
        </w:rPr>
        <w:t>s</w:t>
      </w:r>
      <w:r>
        <w:rPr>
          <w:lang w:val="es-ES_tradnl"/>
        </w:rPr>
        <w:t xml:space="preserve">ladado a </w:t>
      </w:r>
      <w:smartTag w:uri="urn:schemas-microsoft-com:office:smarttags" w:element="PersonName">
        <w:smartTagPr>
          <w:attr w:name="ProductID" w:val="la Brigada"/>
        </w:smartTagPr>
        <w:r>
          <w:rPr>
            <w:lang w:val="es-ES_tradnl"/>
          </w:rPr>
          <w:t>la Brigada</w:t>
        </w:r>
      </w:smartTag>
      <w:r>
        <w:rPr>
          <w:lang w:val="es-ES_tradnl"/>
        </w:rPr>
        <w:t xml:space="preserve"> </w:t>
      </w:r>
      <w:r>
        <w:t xml:space="preserve">de Investigaciones II </w:t>
      </w:r>
      <w:r>
        <w:rPr>
          <w:lang w:val="es-ES_tradnl"/>
        </w:rPr>
        <w:t xml:space="preserve">de Lanús, </w:t>
      </w:r>
      <w:r>
        <w:t>con asiento en la localidad de Avellaneda, donde hasta fines de 1994 se  desempeñó como oficial principal. Aclaró</w:t>
      </w:r>
      <w:r>
        <w:rPr>
          <w:lang w:val="es-ES_tradnl"/>
        </w:rPr>
        <w:t xml:space="preserve"> que a ambas d</w:t>
      </w:r>
      <w:r>
        <w:rPr>
          <w:lang w:val="es-ES_tradnl"/>
        </w:rPr>
        <w:t>e</w:t>
      </w:r>
      <w:r>
        <w:rPr>
          <w:lang w:val="es-ES_tradnl"/>
        </w:rPr>
        <w:t>pendencias, con posterioridad a su designación, también fue destinado Juan José Ribelli, con quien sólo mantuvo una relación funci</w:t>
      </w:r>
      <w:r>
        <w:rPr>
          <w:lang w:val="es-ES_tradnl"/>
        </w:rPr>
        <w:t>o</w:t>
      </w:r>
      <w:r>
        <w:rPr>
          <w:lang w:val="es-ES_tradnl"/>
        </w:rPr>
        <w:t>nal.</w:t>
      </w:r>
    </w:p>
    <w:p w:rsidR="00224567" w:rsidRDefault="00224567">
      <w:pPr>
        <w:widowControl w:val="0"/>
        <w:ind w:firstLine="2835"/>
        <w:rPr>
          <w:lang w:val="es-ES_tradnl"/>
        </w:rPr>
      </w:pPr>
      <w:r>
        <w:rPr>
          <w:lang w:val="es-ES_tradnl"/>
        </w:rPr>
        <w:t xml:space="preserve">Agregó que con posterioridad trabajó en </w:t>
      </w:r>
      <w:smartTag w:uri="urn:schemas-microsoft-com:office:smarttags" w:element="PersonName">
        <w:smartTagPr>
          <w:attr w:name="ProductID" w:val="la Brigada"/>
        </w:smartTagPr>
        <w:r>
          <w:rPr>
            <w:lang w:val="es-ES_tradnl"/>
          </w:rPr>
          <w:t>la Brigada</w:t>
        </w:r>
      </w:smartTag>
      <w:r>
        <w:rPr>
          <w:lang w:val="es-ES_tradnl"/>
        </w:rPr>
        <w:t xml:space="preserve"> de Investigaciones de Quilmes y en </w:t>
      </w:r>
      <w:smartTag w:uri="urn:schemas-microsoft-com:office:smarttags" w:element="PersonName">
        <w:smartTagPr>
          <w:attr w:name="ProductID" w:val="la Divisi￳n Sustracci￳n"/>
        </w:smartTagPr>
        <w:r>
          <w:rPr>
            <w:lang w:val="es-ES_tradnl"/>
          </w:rPr>
          <w:t>la Div</w:t>
        </w:r>
        <w:r>
          <w:rPr>
            <w:lang w:val="es-ES_tradnl"/>
          </w:rPr>
          <w:t>i</w:t>
        </w:r>
        <w:r>
          <w:rPr>
            <w:lang w:val="es-ES_tradnl"/>
          </w:rPr>
          <w:t>sión Sustracción</w:t>
        </w:r>
      </w:smartTag>
      <w:r>
        <w:rPr>
          <w:lang w:val="es-ES_tradnl"/>
        </w:rPr>
        <w:t xml:space="preserve"> de Automotores de V</w:t>
      </w:r>
      <w:r>
        <w:rPr>
          <w:lang w:val="es-ES_tradnl"/>
        </w:rPr>
        <w:t>i</w:t>
      </w:r>
      <w:r>
        <w:rPr>
          <w:lang w:val="es-ES_tradnl"/>
        </w:rPr>
        <w:t>cente López.</w:t>
      </w:r>
    </w:p>
    <w:p w:rsidR="00224567" w:rsidRDefault="00224567">
      <w:pPr>
        <w:widowControl w:val="0"/>
        <w:ind w:firstLine="2835"/>
        <w:rPr>
          <w:lang w:val="es-ES_tradnl"/>
        </w:rPr>
      </w:pPr>
      <w:r>
        <w:rPr>
          <w:lang w:val="es-ES_tradnl"/>
        </w:rPr>
        <w:t>Bacigalupo indicó que cuando ingr</w:t>
      </w:r>
      <w:r>
        <w:rPr>
          <w:lang w:val="es-ES_tradnl"/>
        </w:rPr>
        <w:t>e</w:t>
      </w:r>
      <w:r>
        <w:rPr>
          <w:lang w:val="es-ES_tradnl"/>
        </w:rPr>
        <w:t xml:space="preserve">só a </w:t>
      </w:r>
      <w:smartTag w:uri="urn:schemas-microsoft-com:office:smarttags" w:element="PersonName">
        <w:smartTagPr>
          <w:attr w:name="ProductID" w:val="la Brigada"/>
        </w:smartTagPr>
        <w:r>
          <w:rPr>
            <w:lang w:val="es-ES_tradnl"/>
          </w:rPr>
          <w:t>la Brigada</w:t>
        </w:r>
      </w:smartTag>
      <w:r>
        <w:rPr>
          <w:lang w:val="es-ES_tradnl"/>
        </w:rPr>
        <w:t xml:space="preserve"> de Lanús el subcomisario Leal fue trasl</w:t>
      </w:r>
      <w:r>
        <w:rPr>
          <w:lang w:val="es-ES_tradnl"/>
        </w:rPr>
        <w:t>a</w:t>
      </w:r>
      <w:r>
        <w:rPr>
          <w:lang w:val="es-ES_tradnl"/>
        </w:rPr>
        <w:t>dado a otra dependencia, por lo que no tuvieron ningún tipo de relación. A su vez, aclaró que en aquélla trabajó con Bu</w:t>
      </w:r>
      <w:r>
        <w:rPr>
          <w:lang w:val="es-ES_tradnl"/>
        </w:rPr>
        <w:t>r</w:t>
      </w:r>
      <w:r>
        <w:rPr>
          <w:lang w:val="es-ES_tradnl"/>
        </w:rPr>
        <w:t>guete, Arancibia, Huici, Cruz, Araya, Ib</w:t>
      </w:r>
      <w:r>
        <w:rPr>
          <w:lang w:val="es-ES_tradnl"/>
        </w:rPr>
        <w:t>a</w:t>
      </w:r>
      <w:r>
        <w:rPr>
          <w:lang w:val="es-ES_tradnl"/>
        </w:rPr>
        <w:t>rra y Albarracín, con qui</w:t>
      </w:r>
      <w:r>
        <w:rPr>
          <w:lang w:val="es-ES_tradnl"/>
        </w:rPr>
        <w:t>e</w:t>
      </w:r>
      <w:r>
        <w:rPr>
          <w:lang w:val="es-ES_tradnl"/>
        </w:rPr>
        <w:t xml:space="preserve">nes sólo mantuvo un vínculo funcional, aunque con los dos últimos también compartió destino en </w:t>
      </w:r>
      <w:smartTag w:uri="urn:schemas-microsoft-com:office:smarttags" w:element="PersonName">
        <w:smartTagPr>
          <w:attr w:name="ProductID" w:val="la Divisi￳n Sustracci￳n"/>
        </w:smartTagPr>
        <w:r>
          <w:rPr>
            <w:lang w:val="es-ES_tradnl"/>
          </w:rPr>
          <w:t>la División Sustracción</w:t>
        </w:r>
      </w:smartTag>
      <w:r>
        <w:rPr>
          <w:lang w:val="es-ES_tradnl"/>
        </w:rPr>
        <w:t xml:space="preserve"> de Automotores de Vicente L</w:t>
      </w:r>
      <w:r>
        <w:rPr>
          <w:lang w:val="es-ES_tradnl"/>
        </w:rPr>
        <w:t>ó</w:t>
      </w:r>
      <w:r>
        <w:rPr>
          <w:lang w:val="es-ES_tradnl"/>
        </w:rPr>
        <w:t>pez.</w:t>
      </w:r>
    </w:p>
    <w:p w:rsidR="00224567" w:rsidRDefault="00224567">
      <w:pPr>
        <w:widowControl w:val="0"/>
        <w:ind w:firstLine="2835"/>
        <w:rPr>
          <w:lang w:val="es-ES_tradnl"/>
        </w:rPr>
      </w:pPr>
      <w:r>
        <w:rPr>
          <w:lang w:val="es-ES_tradnl"/>
        </w:rPr>
        <w:t>Dijo desconocer al subc</w:t>
      </w:r>
      <w:r>
        <w:rPr>
          <w:lang w:val="es-ES_tradnl"/>
        </w:rPr>
        <w:t>o</w:t>
      </w:r>
      <w:r>
        <w:rPr>
          <w:lang w:val="es-ES_tradnl"/>
        </w:rPr>
        <w:t>misario Jorge Horacio Rago, al subinspector Daniel Emilio Quinteros, a Diego Barreda, a Mario Bareiro, al sargento primero Arge</w:t>
      </w:r>
      <w:r>
        <w:rPr>
          <w:lang w:val="es-ES_tradnl"/>
        </w:rPr>
        <w:t>n</w:t>
      </w:r>
      <w:r>
        <w:rPr>
          <w:lang w:val="es-ES_tradnl"/>
        </w:rPr>
        <w:t>tino Gabriel Lasala y al principal Víctor José Chabán. A lo expuesto agregó que tampoco conocía a una persona ll</w:t>
      </w:r>
      <w:r>
        <w:rPr>
          <w:lang w:val="es-ES_tradnl"/>
        </w:rPr>
        <w:t>a</w:t>
      </w:r>
      <w:r>
        <w:rPr>
          <w:lang w:val="es-ES_tradnl"/>
        </w:rPr>
        <w:t>mada Jorge Alberti y negó haber recibido un llamado de é</w:t>
      </w:r>
      <w:r>
        <w:rPr>
          <w:lang w:val="es-ES_tradnl"/>
        </w:rPr>
        <w:t>s</w:t>
      </w:r>
      <w:r>
        <w:rPr>
          <w:lang w:val="es-ES_tradnl"/>
        </w:rPr>
        <w:t xml:space="preserve">te cuando trabajaba en </w:t>
      </w:r>
      <w:smartTag w:uri="urn:schemas-microsoft-com:office:smarttags" w:element="PersonName">
        <w:smartTagPr>
          <w:attr w:name="ProductID" w:val="la Divisi￳n Sustracci￳n"/>
        </w:smartTagPr>
        <w:r>
          <w:rPr>
            <w:lang w:val="es-ES_tradnl"/>
          </w:rPr>
          <w:t>la División Sustracción</w:t>
        </w:r>
      </w:smartTag>
      <w:r>
        <w:rPr>
          <w:lang w:val="es-ES_tradnl"/>
        </w:rPr>
        <w:t xml:space="preserve"> de Autom</w:t>
      </w:r>
      <w:r>
        <w:rPr>
          <w:lang w:val="es-ES_tradnl"/>
        </w:rPr>
        <w:t>o</w:t>
      </w:r>
      <w:r>
        <w:rPr>
          <w:lang w:val="es-ES_tradnl"/>
        </w:rPr>
        <w:t>tores.</w:t>
      </w:r>
    </w:p>
    <w:p w:rsidR="00224567" w:rsidRDefault="00224567">
      <w:pPr>
        <w:widowControl w:val="0"/>
        <w:ind w:firstLine="2835"/>
        <w:rPr>
          <w:lang w:val="es-ES_tradnl"/>
        </w:rPr>
      </w:pPr>
      <w:r>
        <w:rPr>
          <w:lang w:val="es-ES_tradnl"/>
        </w:rPr>
        <w:t>El imputado negó tener algún tipo de sobrenombre o apodo, aclarando que sus conocidos lo llam</w:t>
      </w:r>
      <w:r>
        <w:rPr>
          <w:lang w:val="es-ES_tradnl"/>
        </w:rPr>
        <w:t>a</w:t>
      </w:r>
      <w:r>
        <w:rPr>
          <w:lang w:val="es-ES_tradnl"/>
        </w:rPr>
        <w:t>ban por su nombre o apellido, no respondiendo al apodo “Baci”. Además, negó conocer a algún otro principal ap</w:t>
      </w:r>
      <w:r>
        <w:rPr>
          <w:lang w:val="es-ES_tradnl"/>
        </w:rPr>
        <w:t>e</w:t>
      </w:r>
      <w:r>
        <w:rPr>
          <w:lang w:val="es-ES_tradnl"/>
        </w:rPr>
        <w:t xml:space="preserve">llidado Bacigalupo que se hubiera desempeñado en </w:t>
      </w:r>
      <w:smartTag w:uri="urn:schemas-microsoft-com:office:smarttags" w:element="PersonName">
        <w:smartTagPr>
          <w:attr w:name="ProductID" w:val="la Divisi￳n Sustracci￳n"/>
        </w:smartTagPr>
        <w:r>
          <w:rPr>
            <w:lang w:val="es-ES_tradnl"/>
          </w:rPr>
          <w:t>la Div</w:t>
        </w:r>
        <w:r>
          <w:rPr>
            <w:lang w:val="es-ES_tradnl"/>
          </w:rPr>
          <w:t>i</w:t>
        </w:r>
        <w:r>
          <w:rPr>
            <w:lang w:val="es-ES_tradnl"/>
          </w:rPr>
          <w:t>sión Sustracción</w:t>
        </w:r>
      </w:smartTag>
      <w:r>
        <w:rPr>
          <w:lang w:val="es-ES_tradnl"/>
        </w:rPr>
        <w:t xml:space="preserve"> de Automot</w:t>
      </w:r>
      <w:r>
        <w:rPr>
          <w:lang w:val="es-ES_tradnl"/>
        </w:rPr>
        <w:t>o</w:t>
      </w:r>
      <w:r>
        <w:rPr>
          <w:lang w:val="es-ES_tradnl"/>
        </w:rPr>
        <w:t>res durante 1996.</w:t>
      </w:r>
    </w:p>
    <w:p w:rsidR="00224567" w:rsidRDefault="00224567">
      <w:pPr>
        <w:widowControl w:val="0"/>
      </w:pPr>
      <w:r>
        <w:rPr>
          <w:lang w:val="es-ES_tradnl"/>
        </w:rPr>
        <w:tab/>
        <w:t xml:space="preserve">Explicó que en </w:t>
      </w:r>
      <w:smartTag w:uri="urn:schemas-microsoft-com:office:smarttags" w:element="PersonName">
        <w:smartTagPr>
          <w:attr w:name="ProductID" w:val="la Brigada"/>
        </w:smartTagPr>
        <w:r>
          <w:rPr>
            <w:lang w:val="es-ES_tradnl"/>
          </w:rPr>
          <w:t>la Brigada</w:t>
        </w:r>
      </w:smartTag>
      <w:r>
        <w:rPr>
          <w:lang w:val="es-ES_tradnl"/>
        </w:rPr>
        <w:t xml:space="preserve"> de Lanús cumplió la función de </w:t>
      </w:r>
      <w:r>
        <w:t>secretario en distintas causas, s</w:t>
      </w:r>
      <w:r>
        <w:t>u</w:t>
      </w:r>
      <w:r>
        <w:t>marios y expedientes que allí tramitaban, como así también realizó tareas internas de la dependencia. As</w:t>
      </w:r>
      <w:r>
        <w:t>i</w:t>
      </w:r>
      <w:r>
        <w:t>mismo, hizo saber que trabajaba todos los días en forma diurna; en cuanto a los f</w:t>
      </w:r>
      <w:r>
        <w:t>i</w:t>
      </w:r>
      <w:r>
        <w:t>nes de semana, sólo lo hacía si había mucho trabajo en la dependencia.</w:t>
      </w:r>
    </w:p>
    <w:p w:rsidR="00224567" w:rsidRDefault="00224567">
      <w:pPr>
        <w:widowControl w:val="0"/>
        <w:ind w:firstLine="2835"/>
        <w:rPr>
          <w:lang w:val="es-ES_tradnl"/>
        </w:rPr>
      </w:pPr>
      <w:r>
        <w:t>También mencionó que</w:t>
      </w:r>
      <w:r>
        <w:rPr>
          <w:lang w:val="es-ES_tradnl"/>
        </w:rPr>
        <w:t xml:space="preserve"> </w:t>
      </w:r>
      <w:smartTag w:uri="urn:schemas-microsoft-com:office:smarttags" w:element="PersonName">
        <w:smartTagPr>
          <w:attr w:name="ProductID" w:val="la Oficina"/>
        </w:smartTagPr>
        <w:r>
          <w:rPr>
            <w:lang w:val="es-ES_tradnl"/>
          </w:rPr>
          <w:t>la Oficina</w:t>
        </w:r>
      </w:smartTag>
      <w:r>
        <w:rPr>
          <w:lang w:val="es-ES_tradnl"/>
        </w:rPr>
        <w:t xml:space="preserve"> de J</w:t>
      </w:r>
      <w:r>
        <w:rPr>
          <w:lang w:val="es-ES_tradnl"/>
        </w:rPr>
        <w:t>u</w:t>
      </w:r>
      <w:r>
        <w:rPr>
          <w:lang w:val="es-ES_tradnl"/>
        </w:rPr>
        <w:t>diciales cualquier dependencia policial estaba a ca</w:t>
      </w:r>
      <w:r>
        <w:rPr>
          <w:lang w:val="es-ES_tradnl"/>
        </w:rPr>
        <w:t>r</w:t>
      </w:r>
      <w:r>
        <w:rPr>
          <w:lang w:val="es-ES_tradnl"/>
        </w:rPr>
        <w:t>go de un instructor con jerarquía de com</w:t>
      </w:r>
      <w:r>
        <w:rPr>
          <w:lang w:val="es-ES_tradnl"/>
        </w:rPr>
        <w:t>i</w:t>
      </w:r>
      <w:r>
        <w:rPr>
          <w:lang w:val="es-ES_tradnl"/>
        </w:rPr>
        <w:t xml:space="preserve">sario, siendo Burguete el comisario en </w:t>
      </w:r>
      <w:smartTag w:uri="urn:schemas-microsoft-com:office:smarttags" w:element="PersonName">
        <w:smartTagPr>
          <w:attr w:name="ProductID" w:val="la Brigada"/>
        </w:smartTagPr>
        <w:r>
          <w:rPr>
            <w:lang w:val="es-ES_tradnl"/>
          </w:rPr>
          <w:t>la Brigada</w:t>
        </w:r>
      </w:smartTag>
      <w:r>
        <w:rPr>
          <w:lang w:val="es-ES_tradnl"/>
        </w:rPr>
        <w:t xml:space="preserve"> de Lanús. Negó haber recibido órdenes del jefe de operaciones, que hacia el 4 de abril de 1994 era Ribelli. A ello adunó que la oficina de oper</w:t>
      </w:r>
      <w:r>
        <w:rPr>
          <w:lang w:val="es-ES_tradnl"/>
        </w:rPr>
        <w:t>a</w:t>
      </w:r>
      <w:r>
        <w:rPr>
          <w:lang w:val="es-ES_tradnl"/>
        </w:rPr>
        <w:t>ciones se encontraba en la planta alta del inmueble, mie</w:t>
      </w:r>
      <w:r>
        <w:rPr>
          <w:lang w:val="es-ES_tradnl"/>
        </w:rPr>
        <w:t>n</w:t>
      </w:r>
      <w:r>
        <w:rPr>
          <w:lang w:val="es-ES_tradnl"/>
        </w:rPr>
        <w:t>tras que la de judiciales estaba ubicada en la planta b</w:t>
      </w:r>
      <w:r>
        <w:rPr>
          <w:lang w:val="es-ES_tradnl"/>
        </w:rPr>
        <w:t>a</w:t>
      </w:r>
      <w:r>
        <w:rPr>
          <w:lang w:val="es-ES_tradnl"/>
        </w:rPr>
        <w:t>ja.</w:t>
      </w:r>
    </w:p>
    <w:p w:rsidR="00224567" w:rsidRDefault="00224567">
      <w:pPr>
        <w:widowControl w:val="0"/>
        <w:ind w:firstLine="2835"/>
        <w:rPr>
          <w:lang w:val="es-ES_tradnl"/>
        </w:rPr>
      </w:pPr>
      <w:r>
        <w:rPr>
          <w:lang w:val="es-ES_tradnl"/>
        </w:rPr>
        <w:t>Expuso que con motivo de la investig</w:t>
      </w:r>
      <w:r>
        <w:rPr>
          <w:lang w:val="es-ES_tradnl"/>
        </w:rPr>
        <w:t>a</w:t>
      </w:r>
      <w:r>
        <w:rPr>
          <w:lang w:val="es-ES_tradnl"/>
        </w:rPr>
        <w:t>ción de una causa judicial en la que interv</w:t>
      </w:r>
      <w:r>
        <w:rPr>
          <w:lang w:val="es-ES_tradnl"/>
        </w:rPr>
        <w:t>i</w:t>
      </w:r>
      <w:r>
        <w:rPr>
          <w:lang w:val="es-ES_tradnl"/>
        </w:rPr>
        <w:t xml:space="preserve">no el Juzgado Criminal y Correccional de Quilmes nº </w:t>
      </w:r>
      <w:smartTag w:uri="urn:schemas-microsoft-com:office:smarttags" w:element="metricconverter">
        <w:smartTagPr>
          <w:attr w:name="ProductID" w:val="5, a"/>
        </w:smartTagPr>
        <w:r>
          <w:rPr>
            <w:lang w:val="es-ES_tradnl"/>
          </w:rPr>
          <w:t>5, a</w:t>
        </w:r>
      </w:smartTag>
      <w:r>
        <w:rPr>
          <w:lang w:val="es-ES_tradnl"/>
        </w:rPr>
        <w:t xml:space="preserve"> cargo de </w:t>
      </w:r>
      <w:smartTag w:uri="urn:schemas-microsoft-com:office:smarttags" w:element="PersonName">
        <w:smartTagPr>
          <w:attr w:name="ProductID" w:val="la Dra. Margarita"/>
        </w:smartTagPr>
        <w:r>
          <w:rPr>
            <w:lang w:val="es-ES_tradnl"/>
          </w:rPr>
          <w:t>la Dra. Margarita</w:t>
        </w:r>
      </w:smartTag>
      <w:r>
        <w:rPr>
          <w:lang w:val="es-ES_tradnl"/>
        </w:rPr>
        <w:t xml:space="preserve"> Allaza de Iturburu, fueron co</w:t>
      </w:r>
      <w:r>
        <w:rPr>
          <w:lang w:val="es-ES_tradnl"/>
        </w:rPr>
        <w:t>n</w:t>
      </w:r>
      <w:r>
        <w:rPr>
          <w:lang w:val="es-ES_tradnl"/>
        </w:rPr>
        <w:t>ducidos a la dependencia un hombre y una mujer, apell</w:t>
      </w:r>
      <w:r>
        <w:rPr>
          <w:lang w:val="es-ES_tradnl"/>
        </w:rPr>
        <w:t>i</w:t>
      </w:r>
      <w:r>
        <w:rPr>
          <w:lang w:val="es-ES_tradnl"/>
        </w:rPr>
        <w:t>dados “Teccedin” y Petrucci, respect</w:t>
      </w:r>
      <w:r>
        <w:rPr>
          <w:lang w:val="es-ES_tradnl"/>
        </w:rPr>
        <w:t>i</w:t>
      </w:r>
      <w:r>
        <w:rPr>
          <w:lang w:val="es-ES_tradnl"/>
        </w:rPr>
        <w:t>vamente.</w:t>
      </w:r>
    </w:p>
    <w:p w:rsidR="00224567" w:rsidRDefault="00224567">
      <w:pPr>
        <w:widowControl w:val="0"/>
        <w:ind w:firstLine="2835"/>
        <w:rPr>
          <w:lang w:val="es-ES_tradnl"/>
        </w:rPr>
      </w:pPr>
      <w:r>
        <w:rPr>
          <w:lang w:val="es-ES_tradnl"/>
        </w:rPr>
        <w:t>Señaló que, amén de cumplimenta</w:t>
      </w:r>
      <w:r>
        <w:rPr>
          <w:lang w:val="es-ES_tradnl"/>
        </w:rPr>
        <w:t>r</w:t>
      </w:r>
      <w:r>
        <w:rPr>
          <w:lang w:val="es-ES_tradnl"/>
        </w:rPr>
        <w:t>se los recaudos legales en la causa, se instruyeron actuaciones por averiguación de antecedentes, de las cuales fue secr</w:t>
      </w:r>
      <w:r>
        <w:rPr>
          <w:lang w:val="es-ES_tradnl"/>
        </w:rPr>
        <w:t>e</w:t>
      </w:r>
      <w:r>
        <w:rPr>
          <w:lang w:val="es-ES_tradnl"/>
        </w:rPr>
        <w:t>tario.</w:t>
      </w:r>
    </w:p>
    <w:p w:rsidR="00224567" w:rsidRDefault="00224567">
      <w:pPr>
        <w:widowControl w:val="0"/>
        <w:ind w:firstLine="2835"/>
        <w:rPr>
          <w:lang w:val="es-ES_tradnl"/>
        </w:rPr>
      </w:pPr>
      <w:r>
        <w:rPr>
          <w:lang w:val="es-ES_tradnl"/>
        </w:rPr>
        <w:t>Ambas personas, indicó, fueron notif</w:t>
      </w:r>
      <w:r>
        <w:rPr>
          <w:lang w:val="es-ES_tradnl"/>
        </w:rPr>
        <w:t>i</w:t>
      </w:r>
      <w:r>
        <w:rPr>
          <w:lang w:val="es-ES_tradnl"/>
        </w:rPr>
        <w:t>cadas del motivo de su detención y para una correcta ide</w:t>
      </w:r>
      <w:r>
        <w:rPr>
          <w:lang w:val="es-ES_tradnl"/>
        </w:rPr>
        <w:t>n</w:t>
      </w:r>
      <w:r>
        <w:rPr>
          <w:lang w:val="es-ES_tradnl"/>
        </w:rPr>
        <w:t>tificación se obtuvieron fichas dactiloscópicas, que fu</w:t>
      </w:r>
      <w:r>
        <w:rPr>
          <w:lang w:val="es-ES_tradnl"/>
        </w:rPr>
        <w:t>e</w:t>
      </w:r>
      <w:r>
        <w:rPr>
          <w:lang w:val="es-ES_tradnl"/>
        </w:rPr>
        <w:t xml:space="preserve">ron remitidas con posterioridad a </w:t>
      </w:r>
      <w:smartTag w:uri="urn:schemas-microsoft-com:office:smarttags" w:element="PersonName">
        <w:smartTagPr>
          <w:attr w:name="ProductID" w:val="la Divisi￳n Antecedentes"/>
        </w:smartTagPr>
        <w:r>
          <w:rPr>
            <w:lang w:val="es-ES_tradnl"/>
          </w:rPr>
          <w:t>la D</w:t>
        </w:r>
        <w:r>
          <w:rPr>
            <w:lang w:val="es-ES_tradnl"/>
          </w:rPr>
          <w:t>i</w:t>
        </w:r>
        <w:r>
          <w:rPr>
            <w:lang w:val="es-ES_tradnl"/>
          </w:rPr>
          <w:t>visión Antecedentes</w:t>
        </w:r>
      </w:smartTag>
      <w:r>
        <w:rPr>
          <w:lang w:val="es-ES_tradnl"/>
        </w:rPr>
        <w:t xml:space="preserve"> Personales de </w:t>
      </w:r>
      <w:smartTag w:uri="urn:schemas-microsoft-com:office:smarttags" w:element="PersonName">
        <w:smartTagPr>
          <w:attr w:name="ProductID" w:val="la Polic￭a Bonaerense."/>
        </w:smartTagPr>
        <w:r>
          <w:rPr>
            <w:lang w:val="es-ES_tradnl"/>
          </w:rPr>
          <w:t>la Policía Bonaere</w:t>
        </w:r>
        <w:r>
          <w:rPr>
            <w:lang w:val="es-ES_tradnl"/>
          </w:rPr>
          <w:t>n</w:t>
        </w:r>
        <w:r>
          <w:rPr>
            <w:lang w:val="es-ES_tradnl"/>
          </w:rPr>
          <w:t>se.</w:t>
        </w:r>
      </w:smartTag>
    </w:p>
    <w:p w:rsidR="00224567" w:rsidRDefault="00224567">
      <w:pPr>
        <w:widowControl w:val="0"/>
        <w:ind w:firstLine="2835"/>
        <w:rPr>
          <w:lang w:val="es-ES_tradnl"/>
        </w:rPr>
      </w:pPr>
      <w:r>
        <w:rPr>
          <w:lang w:val="es-ES_tradnl"/>
        </w:rPr>
        <w:t>No obstante ello, explicó, a través del sistema de informática con que contaba la repart</w:t>
      </w:r>
      <w:r>
        <w:rPr>
          <w:lang w:val="es-ES_tradnl"/>
        </w:rPr>
        <w:t>i</w:t>
      </w:r>
      <w:r>
        <w:rPr>
          <w:lang w:val="es-ES_tradnl"/>
        </w:rPr>
        <w:t>ción, se consultó si “Teccedin” y Petrucci tenían alguna solic</w:t>
      </w:r>
      <w:r>
        <w:rPr>
          <w:lang w:val="es-ES_tradnl"/>
        </w:rPr>
        <w:t>i</w:t>
      </w:r>
      <w:r>
        <w:rPr>
          <w:lang w:val="es-ES_tradnl"/>
        </w:rPr>
        <w:t>tud de captura o medida privativa de la libertad, obt</w:t>
      </w:r>
      <w:r>
        <w:rPr>
          <w:lang w:val="es-ES_tradnl"/>
        </w:rPr>
        <w:t>e</w:t>
      </w:r>
      <w:r>
        <w:rPr>
          <w:lang w:val="es-ES_tradnl"/>
        </w:rPr>
        <w:t>niéndose resultado negativo. Agregó que en dichas actu</w:t>
      </w:r>
      <w:r>
        <w:rPr>
          <w:lang w:val="es-ES_tradnl"/>
        </w:rPr>
        <w:t>a</w:t>
      </w:r>
      <w:r>
        <w:rPr>
          <w:lang w:val="es-ES_tradnl"/>
        </w:rPr>
        <w:t>ciones se informó que el rodado en el cual fueron sorpre</w:t>
      </w:r>
      <w:r>
        <w:rPr>
          <w:lang w:val="es-ES_tradnl"/>
        </w:rPr>
        <w:t>n</w:t>
      </w:r>
      <w:r>
        <w:rPr>
          <w:lang w:val="es-ES_tradnl"/>
        </w:rPr>
        <w:t>didos los nombrados no tenía impedimento legal.</w:t>
      </w:r>
    </w:p>
    <w:p w:rsidR="00224567" w:rsidRDefault="00224567">
      <w:pPr>
        <w:widowControl w:val="0"/>
        <w:ind w:firstLine="2835"/>
        <w:rPr>
          <w:lang w:val="es-ES_tradnl"/>
        </w:rPr>
      </w:pPr>
      <w:r>
        <w:rPr>
          <w:lang w:val="es-ES_tradnl"/>
        </w:rPr>
        <w:t>A su vez, indicó que sobre la b</w:t>
      </w:r>
      <w:r>
        <w:rPr>
          <w:lang w:val="es-ES_tradnl"/>
        </w:rPr>
        <w:t>a</w:t>
      </w:r>
      <w:r>
        <w:rPr>
          <w:lang w:val="es-ES_tradnl"/>
        </w:rPr>
        <w:t>se de las directivas impartidas por el magistrado interv</w:t>
      </w:r>
      <w:r>
        <w:rPr>
          <w:lang w:val="es-ES_tradnl"/>
        </w:rPr>
        <w:t>i</w:t>
      </w:r>
      <w:r>
        <w:rPr>
          <w:lang w:val="es-ES_tradnl"/>
        </w:rPr>
        <w:t>niente y por no registrar otro impedimento legal, se dispuso la libertad de “Teccedin” y Petrucci, como así también la e</w:t>
      </w:r>
      <w:r>
        <w:rPr>
          <w:lang w:val="es-ES_tradnl"/>
        </w:rPr>
        <w:t>n</w:t>
      </w:r>
      <w:r>
        <w:rPr>
          <w:lang w:val="es-ES_tradnl"/>
        </w:rPr>
        <w:t>trega del automotor, con su documentación y llaves, al primero.</w:t>
      </w:r>
    </w:p>
    <w:p w:rsidR="00224567" w:rsidRDefault="00224567">
      <w:pPr>
        <w:widowControl w:val="0"/>
        <w:ind w:firstLine="2835"/>
        <w:rPr>
          <w:lang w:val="es-ES_tradnl"/>
        </w:rPr>
      </w:pPr>
      <w:r>
        <w:rPr>
          <w:lang w:val="es-ES_tradnl"/>
        </w:rPr>
        <w:t>Respecto a las fichas dactiloscóp</w:t>
      </w:r>
      <w:r>
        <w:rPr>
          <w:lang w:val="es-ES_tradnl"/>
        </w:rPr>
        <w:t>i</w:t>
      </w:r>
      <w:r>
        <w:rPr>
          <w:lang w:val="es-ES_tradnl"/>
        </w:rPr>
        <w:t>cas, expuso que el “hombre correo” de la dependencia las entr</w:t>
      </w:r>
      <w:r>
        <w:rPr>
          <w:lang w:val="es-ES_tradnl"/>
        </w:rPr>
        <w:t>e</w:t>
      </w:r>
      <w:r>
        <w:rPr>
          <w:lang w:val="es-ES_tradnl"/>
        </w:rPr>
        <w:t xml:space="preserve">gó en </w:t>
      </w:r>
      <w:smartTag w:uri="urn:schemas-microsoft-com:office:smarttags" w:element="PersonName">
        <w:smartTagPr>
          <w:attr w:name="ProductID" w:val="la Divisi￳n Antecedentes"/>
        </w:smartTagPr>
        <w:r>
          <w:rPr>
            <w:lang w:val="es-ES_tradnl"/>
          </w:rPr>
          <w:t>la División Antecedentes</w:t>
        </w:r>
      </w:smartTag>
      <w:r>
        <w:rPr>
          <w:lang w:val="es-ES_tradnl"/>
        </w:rPr>
        <w:t xml:space="preserve"> Personales de la policía para su cotejo e identificación. Refirió que días después se recibió de </w:t>
      </w:r>
      <w:smartTag w:uri="urn:schemas-microsoft-com:office:smarttags" w:element="PersonName">
        <w:smartTagPr>
          <w:attr w:name="ProductID" w:val="la Secci￳n Procesados"/>
        </w:smartTagPr>
        <w:r>
          <w:rPr>
            <w:lang w:val="es-ES_tradnl"/>
          </w:rPr>
          <w:t>la Sección Procesados</w:t>
        </w:r>
      </w:smartTag>
      <w:r>
        <w:rPr>
          <w:lang w:val="es-ES_tradnl"/>
        </w:rPr>
        <w:t xml:space="preserve"> de </w:t>
      </w:r>
      <w:smartTag w:uri="urn:schemas-microsoft-com:office:smarttags" w:element="PersonName">
        <w:smartTagPr>
          <w:attr w:name="ProductID" w:val="la Polic￭a Bonaerense"/>
        </w:smartTagPr>
        <w:r>
          <w:rPr>
            <w:lang w:val="es-ES_tradnl"/>
          </w:rPr>
          <w:t>la Policía Bona</w:t>
        </w:r>
        <w:r>
          <w:rPr>
            <w:lang w:val="es-ES_tradnl"/>
          </w:rPr>
          <w:t>e</w:t>
        </w:r>
        <w:r>
          <w:rPr>
            <w:lang w:val="es-ES_tradnl"/>
          </w:rPr>
          <w:t>rense</w:t>
        </w:r>
      </w:smartTag>
      <w:r>
        <w:rPr>
          <w:lang w:val="es-ES_tradnl"/>
        </w:rPr>
        <w:t xml:space="preserve"> un despacho que informaba que ta</w:t>
      </w:r>
      <w:r>
        <w:rPr>
          <w:lang w:val="es-ES_tradnl"/>
        </w:rPr>
        <w:t>n</w:t>
      </w:r>
      <w:r>
        <w:rPr>
          <w:lang w:val="es-ES_tradnl"/>
        </w:rPr>
        <w:t>to “Teccedin” como Petrucci no registraban antecedentes penales, quedando identificados en el índice gen</w:t>
      </w:r>
      <w:r>
        <w:rPr>
          <w:lang w:val="es-ES_tradnl"/>
        </w:rPr>
        <w:t>e</w:t>
      </w:r>
      <w:r>
        <w:rPr>
          <w:lang w:val="es-ES_tradnl"/>
        </w:rPr>
        <w:t>ral.</w:t>
      </w:r>
    </w:p>
    <w:p w:rsidR="00224567" w:rsidRDefault="00224567">
      <w:pPr>
        <w:widowControl w:val="0"/>
        <w:ind w:firstLine="2835"/>
        <w:rPr>
          <w:lang w:val="es-ES_tradnl"/>
        </w:rPr>
      </w:pPr>
      <w:r>
        <w:rPr>
          <w:lang w:val="es-ES_tradnl"/>
        </w:rPr>
        <w:t>Mencionó que las actuaciones de aver</w:t>
      </w:r>
      <w:r>
        <w:rPr>
          <w:lang w:val="es-ES_tradnl"/>
        </w:rPr>
        <w:t>i</w:t>
      </w:r>
      <w:r>
        <w:rPr>
          <w:lang w:val="es-ES_tradnl"/>
        </w:rPr>
        <w:t>guación de antecedentes quedaron archivadas en la depe</w:t>
      </w:r>
      <w:r>
        <w:rPr>
          <w:lang w:val="es-ES_tradnl"/>
        </w:rPr>
        <w:t>n</w:t>
      </w:r>
      <w:r>
        <w:rPr>
          <w:lang w:val="es-ES_tradnl"/>
        </w:rPr>
        <w:t>dencia, como así también un legajo prontu</w:t>
      </w:r>
      <w:r>
        <w:rPr>
          <w:lang w:val="es-ES_tradnl"/>
        </w:rPr>
        <w:t>a</w:t>
      </w:r>
      <w:r>
        <w:rPr>
          <w:lang w:val="es-ES_tradnl"/>
        </w:rPr>
        <w:t>rial de Petrucci y “Teccedin”.</w:t>
      </w:r>
    </w:p>
    <w:p w:rsidR="00224567" w:rsidRDefault="00224567">
      <w:pPr>
        <w:widowControl w:val="0"/>
        <w:ind w:firstLine="2835"/>
        <w:rPr>
          <w:lang w:val="es-ES_tradnl"/>
        </w:rPr>
      </w:pPr>
      <w:r>
        <w:rPr>
          <w:lang w:val="es-ES_tradnl"/>
        </w:rPr>
        <w:t>El imputado manifestó que en septie</w:t>
      </w:r>
      <w:r>
        <w:rPr>
          <w:lang w:val="es-ES_tradnl"/>
        </w:rPr>
        <w:t>m</w:t>
      </w:r>
      <w:r>
        <w:rPr>
          <w:lang w:val="es-ES_tradnl"/>
        </w:rPr>
        <w:t>bre de 1995 fue llamado por la superioridad p</w:t>
      </w:r>
      <w:r>
        <w:rPr>
          <w:lang w:val="es-ES_tradnl"/>
        </w:rPr>
        <w:t>o</w:t>
      </w:r>
      <w:r>
        <w:rPr>
          <w:lang w:val="es-ES_tradnl"/>
        </w:rPr>
        <w:t>licial para deponer en un sumario administrativo originado por no h</w:t>
      </w:r>
      <w:r>
        <w:rPr>
          <w:lang w:val="es-ES_tradnl"/>
        </w:rPr>
        <w:t>a</w:t>
      </w:r>
      <w:r>
        <w:rPr>
          <w:lang w:val="es-ES_tradnl"/>
        </w:rPr>
        <w:t>berse remitido las fichas dactiloscópicas de “Teccedin”, en el que se probó que las fichas fueron rec</w:t>
      </w:r>
      <w:r>
        <w:rPr>
          <w:lang w:val="es-ES_tradnl"/>
        </w:rPr>
        <w:t>i</w:t>
      </w:r>
      <w:r>
        <w:rPr>
          <w:lang w:val="es-ES_tradnl"/>
        </w:rPr>
        <w:t>bidas.</w:t>
      </w:r>
    </w:p>
    <w:p w:rsidR="00224567" w:rsidRDefault="00224567">
      <w:pPr>
        <w:widowControl w:val="0"/>
        <w:ind w:firstLine="2835"/>
        <w:rPr>
          <w:lang w:val="es-ES_tradnl"/>
        </w:rPr>
      </w:pPr>
      <w:r>
        <w:rPr>
          <w:lang w:val="es-ES_tradnl"/>
        </w:rPr>
        <w:t>Explicó que “Teccedin” y Petrucci i</w:t>
      </w:r>
      <w:r>
        <w:rPr>
          <w:lang w:val="es-ES_tradnl"/>
        </w:rPr>
        <w:t>n</w:t>
      </w:r>
      <w:r>
        <w:rPr>
          <w:lang w:val="es-ES_tradnl"/>
        </w:rPr>
        <w:t>gresaron a la dependencia una tarde, oport</w:t>
      </w:r>
      <w:r>
        <w:rPr>
          <w:lang w:val="es-ES_tradnl"/>
        </w:rPr>
        <w:t>u</w:t>
      </w:r>
      <w:r>
        <w:rPr>
          <w:lang w:val="es-ES_tradnl"/>
        </w:rPr>
        <w:t>nidad en que se les extrajeron fichas dactilares, que al día s</w:t>
      </w:r>
      <w:r>
        <w:rPr>
          <w:lang w:val="es-ES_tradnl"/>
        </w:rPr>
        <w:t>i</w:t>
      </w:r>
      <w:r>
        <w:rPr>
          <w:lang w:val="es-ES_tradnl"/>
        </w:rPr>
        <w:t xml:space="preserve">guiente por la mañana fueron remitidas a </w:t>
      </w:r>
      <w:smartTag w:uri="urn:schemas-microsoft-com:office:smarttags" w:element="PersonName">
        <w:smartTagPr>
          <w:attr w:name="ProductID" w:val="la Divisi￳n Antecedentes"/>
        </w:smartTagPr>
        <w:r>
          <w:rPr>
            <w:lang w:val="es-ES_tradnl"/>
          </w:rPr>
          <w:t>la División Antecedentes</w:t>
        </w:r>
      </w:smartTag>
      <w:r>
        <w:rPr>
          <w:lang w:val="es-ES_tradnl"/>
        </w:rPr>
        <w:t xml:space="preserve"> Pe</w:t>
      </w:r>
      <w:r>
        <w:rPr>
          <w:lang w:val="es-ES_tradnl"/>
        </w:rPr>
        <w:t>r</w:t>
      </w:r>
      <w:r>
        <w:rPr>
          <w:lang w:val="es-ES_tradnl"/>
        </w:rPr>
        <w:t>sonales. Agregó que para ese entonces los nombrados ya h</w:t>
      </w:r>
      <w:r>
        <w:rPr>
          <w:lang w:val="es-ES_tradnl"/>
        </w:rPr>
        <w:t>a</w:t>
      </w:r>
      <w:r>
        <w:rPr>
          <w:lang w:val="es-ES_tradnl"/>
        </w:rPr>
        <w:t>bían recuperado su libe</w:t>
      </w:r>
      <w:r>
        <w:rPr>
          <w:lang w:val="es-ES_tradnl"/>
        </w:rPr>
        <w:t>r</w:t>
      </w:r>
      <w:r>
        <w:rPr>
          <w:lang w:val="es-ES_tradnl"/>
        </w:rPr>
        <w:t>tad.</w:t>
      </w:r>
    </w:p>
    <w:p w:rsidR="00224567" w:rsidRDefault="00224567">
      <w:pPr>
        <w:widowControl w:val="0"/>
        <w:ind w:firstLine="2835"/>
        <w:rPr>
          <w:lang w:val="es-ES_tradnl"/>
        </w:rPr>
      </w:pPr>
      <w:r>
        <w:rPr>
          <w:lang w:val="es-ES_tradnl"/>
        </w:rPr>
        <w:t xml:space="preserve">Resaltó que a fs. 112 del expediente administrativo había una constancia de la que surgía que el correo de la dependencia había salido hacia </w:t>
      </w:r>
      <w:smartTag w:uri="urn:schemas-microsoft-com:office:smarttags" w:element="PersonName">
        <w:smartTagPr>
          <w:attr w:name="ProductID" w:val="la Divisi￳n Antecedentes"/>
        </w:smartTagPr>
        <w:r>
          <w:rPr>
            <w:lang w:val="es-ES_tradnl"/>
          </w:rPr>
          <w:t>la División Antecedentes</w:t>
        </w:r>
      </w:smartTag>
      <w:r>
        <w:rPr>
          <w:lang w:val="es-ES_tradnl"/>
        </w:rPr>
        <w:t xml:space="preserve"> Personales, con asiento en la ciudad de </w:t>
      </w:r>
      <w:smartTag w:uri="urn:schemas-microsoft-com:office:smarttags" w:element="PersonName">
        <w:smartTagPr>
          <w:attr w:name="ProductID" w:val="La Plata"/>
        </w:smartTagPr>
        <w:r>
          <w:rPr>
            <w:lang w:val="es-ES_tradnl"/>
          </w:rPr>
          <w:t>La Plata</w:t>
        </w:r>
      </w:smartTag>
      <w:r>
        <w:rPr>
          <w:lang w:val="es-ES_tradnl"/>
        </w:rPr>
        <w:t>, con las fichas de Petrucci y “Te</w:t>
      </w:r>
      <w:r>
        <w:rPr>
          <w:lang w:val="es-ES_tradnl"/>
        </w:rPr>
        <w:t>c</w:t>
      </w:r>
      <w:r>
        <w:rPr>
          <w:lang w:val="es-ES_tradnl"/>
        </w:rPr>
        <w:t>cedin”; tarea que se realizó confo</w:t>
      </w:r>
      <w:r>
        <w:rPr>
          <w:lang w:val="es-ES_tradnl"/>
        </w:rPr>
        <w:t>r</w:t>
      </w:r>
      <w:r>
        <w:rPr>
          <w:lang w:val="es-ES_tradnl"/>
        </w:rPr>
        <w:t>me al organigrama de trabajo.</w:t>
      </w:r>
    </w:p>
    <w:p w:rsidR="00224567" w:rsidRDefault="00224567">
      <w:pPr>
        <w:widowControl w:val="0"/>
        <w:ind w:firstLine="2835"/>
        <w:rPr>
          <w:lang w:val="es-ES_tradnl"/>
        </w:rPr>
      </w:pPr>
      <w:r>
        <w:rPr>
          <w:lang w:val="es-ES_tradnl"/>
        </w:rPr>
        <w:t>Explicó que era posible, si su</w:t>
      </w:r>
      <w:r>
        <w:rPr>
          <w:lang w:val="es-ES_tradnl"/>
        </w:rPr>
        <w:t>r</w:t>
      </w:r>
      <w:r>
        <w:rPr>
          <w:lang w:val="es-ES_tradnl"/>
        </w:rPr>
        <w:t>gía del sistema informático que las personas detenidas no tenían pedidos de captura vigentes, que la remisión de sus fichas se hubiera hecho con posterioridad a que recuperaran su libertad.</w:t>
      </w:r>
    </w:p>
    <w:p w:rsidR="00224567" w:rsidRDefault="00224567">
      <w:pPr>
        <w:widowControl w:val="0"/>
        <w:ind w:firstLine="2835"/>
        <w:rPr>
          <w:lang w:val="es-ES_tradnl"/>
        </w:rPr>
      </w:pPr>
      <w:r>
        <w:rPr>
          <w:lang w:val="es-ES_tradnl"/>
        </w:rPr>
        <w:t>Además, explicó que era usual comun</w:t>
      </w:r>
      <w:r>
        <w:rPr>
          <w:lang w:val="es-ES_tradnl"/>
        </w:rPr>
        <w:t>i</w:t>
      </w:r>
      <w:r>
        <w:rPr>
          <w:lang w:val="es-ES_tradnl"/>
        </w:rPr>
        <w:t>car telefónicamente a los familiares la detención de las personas, aunque en los casos en que no tenían t</w:t>
      </w:r>
      <w:r>
        <w:rPr>
          <w:lang w:val="es-ES_tradnl"/>
        </w:rPr>
        <w:t>e</w:t>
      </w:r>
      <w:r>
        <w:rPr>
          <w:lang w:val="es-ES_tradnl"/>
        </w:rPr>
        <w:t>léfono se podían enviar radios a otras dependencias jurisdiccion</w:t>
      </w:r>
      <w:r>
        <w:rPr>
          <w:lang w:val="es-ES_tradnl"/>
        </w:rPr>
        <w:t>a</w:t>
      </w:r>
      <w:r>
        <w:rPr>
          <w:lang w:val="es-ES_tradnl"/>
        </w:rPr>
        <w:t>les. En este sentido, puntualizó que se avisaba a los f</w:t>
      </w:r>
      <w:r>
        <w:rPr>
          <w:lang w:val="es-ES_tradnl"/>
        </w:rPr>
        <w:t>a</w:t>
      </w:r>
      <w:r>
        <w:rPr>
          <w:lang w:val="es-ES_tradnl"/>
        </w:rPr>
        <w:t>miliares acerca de la detención, el lugar de alojamiento, el juzgado interviniente, el delito i</w:t>
      </w:r>
      <w:r>
        <w:rPr>
          <w:lang w:val="es-ES_tradnl"/>
        </w:rPr>
        <w:t>m</w:t>
      </w:r>
      <w:r>
        <w:rPr>
          <w:lang w:val="es-ES_tradnl"/>
        </w:rPr>
        <w:t>putado y que podían llevarle comida y ropa. Añadió que el detenido podía av</w:t>
      </w:r>
      <w:r>
        <w:rPr>
          <w:lang w:val="es-ES_tradnl"/>
        </w:rPr>
        <w:t>i</w:t>
      </w:r>
      <w:r>
        <w:rPr>
          <w:lang w:val="es-ES_tradnl"/>
        </w:rPr>
        <w:t>sar a un familiar de su dete</w:t>
      </w:r>
      <w:r>
        <w:rPr>
          <w:lang w:val="es-ES_tradnl"/>
        </w:rPr>
        <w:t>n</w:t>
      </w:r>
      <w:r>
        <w:rPr>
          <w:lang w:val="es-ES_tradnl"/>
        </w:rPr>
        <w:t>ción desde cualquier teléfono de la dependencia e inclusive desde algún teléfono cel</w:t>
      </w:r>
      <w:r>
        <w:rPr>
          <w:lang w:val="es-ES_tradnl"/>
        </w:rPr>
        <w:t>u</w:t>
      </w:r>
      <w:r>
        <w:rPr>
          <w:lang w:val="es-ES_tradnl"/>
        </w:rPr>
        <w:t>lar.</w:t>
      </w:r>
    </w:p>
    <w:p w:rsidR="00224567" w:rsidRDefault="00224567">
      <w:pPr>
        <w:widowControl w:val="0"/>
        <w:ind w:firstLine="2835"/>
        <w:rPr>
          <w:lang w:val="es-ES_tradnl"/>
        </w:rPr>
      </w:pPr>
      <w:r>
        <w:rPr>
          <w:lang w:val="es-ES_tradnl"/>
        </w:rPr>
        <w:t>Expuso que, a efectos de averiguar dónde se encontraba una persona, su familia podía conc</w:t>
      </w:r>
      <w:r>
        <w:rPr>
          <w:lang w:val="es-ES_tradnl"/>
        </w:rPr>
        <w:t>u</w:t>
      </w:r>
      <w:r>
        <w:rPr>
          <w:lang w:val="es-ES_tradnl"/>
        </w:rPr>
        <w:t>rrir a la comisaría que por jurisdicción le corre</w:t>
      </w:r>
      <w:r>
        <w:rPr>
          <w:lang w:val="es-ES_tradnl"/>
        </w:rPr>
        <w:t>s</w:t>
      </w:r>
      <w:r>
        <w:rPr>
          <w:lang w:val="es-ES_tradnl"/>
        </w:rPr>
        <w:t>pondiera para solicitar una averiguación de paradero, la que post</w:t>
      </w:r>
      <w:r>
        <w:rPr>
          <w:lang w:val="es-ES_tradnl"/>
        </w:rPr>
        <w:t>e</w:t>
      </w:r>
      <w:r>
        <w:rPr>
          <w:lang w:val="es-ES_tradnl"/>
        </w:rPr>
        <w:t>riormente era transmitida a todas las comisarías depe</w:t>
      </w:r>
      <w:r>
        <w:rPr>
          <w:lang w:val="es-ES_tradnl"/>
        </w:rPr>
        <w:t>n</w:t>
      </w:r>
      <w:r>
        <w:rPr>
          <w:lang w:val="es-ES_tradnl"/>
        </w:rPr>
        <w:t>dientes de la unidad r</w:t>
      </w:r>
      <w:r>
        <w:rPr>
          <w:lang w:val="es-ES_tradnl"/>
        </w:rPr>
        <w:t>e</w:t>
      </w:r>
      <w:r>
        <w:rPr>
          <w:lang w:val="es-ES_tradnl"/>
        </w:rPr>
        <w:t>gional del lugar, o bien presentar en el juzgado de turno un hábeas co</w:t>
      </w:r>
      <w:r>
        <w:rPr>
          <w:lang w:val="es-ES_tradnl"/>
        </w:rPr>
        <w:t>r</w:t>
      </w:r>
      <w:r>
        <w:rPr>
          <w:lang w:val="es-ES_tradnl"/>
        </w:rPr>
        <w:t>pus.</w:t>
      </w:r>
    </w:p>
    <w:p w:rsidR="00224567" w:rsidRDefault="00224567">
      <w:pPr>
        <w:widowControl w:val="0"/>
        <w:ind w:firstLine="2835"/>
        <w:rPr>
          <w:lang w:val="es-ES_tradnl"/>
        </w:rPr>
      </w:pPr>
      <w:r>
        <w:rPr>
          <w:lang w:val="es-ES_tradnl"/>
        </w:rPr>
        <w:t>Con relación al caso de “Teccedin”, quien estaba detenido por averiguación de antecedentes, pero no incomunicado, señaló que no efectuó ninguna llam</w:t>
      </w:r>
      <w:r>
        <w:rPr>
          <w:lang w:val="es-ES_tradnl"/>
        </w:rPr>
        <w:t>a</w:t>
      </w:r>
      <w:r>
        <w:rPr>
          <w:lang w:val="es-ES_tradnl"/>
        </w:rPr>
        <w:t>da a los familiares, no descartando que otro funcion</w:t>
      </w:r>
      <w:r>
        <w:rPr>
          <w:lang w:val="es-ES_tradnl"/>
        </w:rPr>
        <w:t>a</w:t>
      </w:r>
      <w:r>
        <w:rPr>
          <w:lang w:val="es-ES_tradnl"/>
        </w:rPr>
        <w:t>rio o el nombrado lo hubiesen hecho. Acotó que no lo autorizó a efectuar comunicación alguna, porque no se lo s</w:t>
      </w:r>
      <w:r>
        <w:rPr>
          <w:lang w:val="es-ES_tradnl"/>
        </w:rPr>
        <w:t>o</w:t>
      </w:r>
      <w:r>
        <w:rPr>
          <w:lang w:val="es-ES_tradnl"/>
        </w:rPr>
        <w:t>licitó.</w:t>
      </w:r>
    </w:p>
    <w:p w:rsidR="00224567" w:rsidRDefault="00224567">
      <w:pPr>
        <w:widowControl w:val="0"/>
        <w:ind w:firstLine="2835"/>
        <w:rPr>
          <w:lang w:val="es-ES_tradnl"/>
        </w:rPr>
      </w:pPr>
      <w:r>
        <w:rPr>
          <w:lang w:val="es-ES_tradnl"/>
        </w:rPr>
        <w:t>Manifestó que “Teccedin” y Petrucci recuperaron su libertad el 5 de abril de 1994, pero negó tener conocimiento de que hubieran entregado a ca</w:t>
      </w:r>
      <w:r>
        <w:rPr>
          <w:lang w:val="es-ES_tradnl"/>
        </w:rPr>
        <w:t>m</w:t>
      </w:r>
      <w:r>
        <w:rPr>
          <w:lang w:val="es-ES_tradnl"/>
        </w:rPr>
        <w:t>bio una suma de dinero, dos rodados y una motocicleta, como así también haber participado en los hechos que se le imp</w:t>
      </w:r>
      <w:r>
        <w:rPr>
          <w:lang w:val="es-ES_tradnl"/>
        </w:rPr>
        <w:t>u</w:t>
      </w:r>
      <w:r>
        <w:rPr>
          <w:lang w:val="es-ES_tradnl"/>
        </w:rPr>
        <w:t>taban.</w:t>
      </w:r>
    </w:p>
    <w:p w:rsidR="00224567" w:rsidRDefault="00224567">
      <w:pPr>
        <w:widowControl w:val="0"/>
        <w:rPr>
          <w:lang w:val="es-ES_tradnl"/>
        </w:rPr>
      </w:pPr>
      <w:r>
        <w:rPr>
          <w:lang w:val="es-ES_tradnl"/>
        </w:rPr>
        <w:tab/>
        <w:t xml:space="preserve">Con relación a las fotocopias de las actuaciones de </w:t>
      </w:r>
      <w:smartTag w:uri="urn:schemas-microsoft-com:office:smarttags" w:element="PersonName">
        <w:smartTagPr>
          <w:attr w:name="ProductID" w:val="la Brigada"/>
        </w:smartTagPr>
        <w:r>
          <w:rPr>
            <w:lang w:val="es-ES_tradnl"/>
          </w:rPr>
          <w:t>la Brigada</w:t>
        </w:r>
      </w:smartTag>
      <w:r>
        <w:rPr>
          <w:lang w:val="es-ES_tradnl"/>
        </w:rPr>
        <w:t xml:space="preserve"> de Investigaciones II de Lanús glosadas a fs. 220/243 de la ex causa 1598, al hacérsele notar que la declaración de Raúl Edilio Ibarra era disti</w:t>
      </w:r>
      <w:r>
        <w:rPr>
          <w:lang w:val="es-ES_tradnl"/>
        </w:rPr>
        <w:t>n</w:t>
      </w:r>
      <w:r>
        <w:rPr>
          <w:lang w:val="es-ES_tradnl"/>
        </w:rPr>
        <w:t>ta de la que en fotocopia obraba a fs. 132/138 y 198/202  -éstas firmadas por Arancibia y aquélla suscripta por él- y que diferían los s</w:t>
      </w:r>
      <w:r>
        <w:rPr>
          <w:lang w:val="es-ES_tradnl"/>
        </w:rPr>
        <w:t>e</w:t>
      </w:r>
      <w:r>
        <w:rPr>
          <w:lang w:val="es-ES_tradnl"/>
        </w:rPr>
        <w:t>llos, pero el contenido era el mismo, Bacigalupo reconoció como propias las firmas insertas en las a</w:t>
      </w:r>
      <w:r>
        <w:rPr>
          <w:lang w:val="es-ES_tradnl"/>
        </w:rPr>
        <w:t>c</w:t>
      </w:r>
      <w:r>
        <w:rPr>
          <w:lang w:val="es-ES_tradnl"/>
        </w:rPr>
        <w:t>tuaciones mencionadas en primer término, observando que el cont</w:t>
      </w:r>
      <w:r>
        <w:rPr>
          <w:lang w:val="es-ES_tradnl"/>
        </w:rPr>
        <w:t>e</w:t>
      </w:r>
      <w:r>
        <w:rPr>
          <w:lang w:val="es-ES_tradnl"/>
        </w:rPr>
        <w:t>nido de las declaraciones que lucían a fs. 229 y 133/134 era el mi</w:t>
      </w:r>
      <w:r>
        <w:rPr>
          <w:lang w:val="es-ES_tradnl"/>
        </w:rPr>
        <w:t>s</w:t>
      </w:r>
      <w:r>
        <w:rPr>
          <w:lang w:val="es-ES_tradnl"/>
        </w:rPr>
        <w:t>mo.</w:t>
      </w:r>
    </w:p>
    <w:p w:rsidR="00224567" w:rsidRDefault="00224567">
      <w:pPr>
        <w:widowControl w:val="0"/>
        <w:ind w:firstLine="2835"/>
        <w:rPr>
          <w:lang w:val="es-ES_tradnl"/>
        </w:rPr>
      </w:pPr>
      <w:r>
        <w:rPr>
          <w:lang w:val="es-ES_tradnl"/>
        </w:rPr>
        <w:t>Al respecto, indicó que la declar</w:t>
      </w:r>
      <w:r>
        <w:rPr>
          <w:lang w:val="es-ES_tradnl"/>
        </w:rPr>
        <w:t>a</w:t>
      </w:r>
      <w:r>
        <w:rPr>
          <w:lang w:val="es-ES_tradnl"/>
        </w:rPr>
        <w:t>ción de fs. 133 se encontraba acumulada a la causa que tramit</w:t>
      </w:r>
      <w:r>
        <w:rPr>
          <w:lang w:val="es-ES_tradnl"/>
        </w:rPr>
        <w:t>a</w:t>
      </w:r>
      <w:r>
        <w:rPr>
          <w:lang w:val="es-ES_tradnl"/>
        </w:rPr>
        <w:t>ba ante el Juzgado Criminal nº 5 de Qui</w:t>
      </w:r>
      <w:r>
        <w:rPr>
          <w:lang w:val="es-ES_tradnl"/>
        </w:rPr>
        <w:t>l</w:t>
      </w:r>
      <w:r>
        <w:rPr>
          <w:lang w:val="es-ES_tradnl"/>
        </w:rPr>
        <w:t>mes, en la cual el subcomisario Arancibia actuó como secretario de las actu</w:t>
      </w:r>
      <w:r>
        <w:rPr>
          <w:lang w:val="es-ES_tradnl"/>
        </w:rPr>
        <w:t>a</w:t>
      </w:r>
      <w:r>
        <w:rPr>
          <w:lang w:val="es-ES_tradnl"/>
        </w:rPr>
        <w:t>ciones policiales, en tanto la de fs. 229 formaba parte de las actuaciones de averiguación de antecedentes en las cuales él intervino como secretario. Explicó que por un error involuntario, sin perjuicio de haber pr</w:t>
      </w:r>
      <w:r>
        <w:rPr>
          <w:lang w:val="es-ES_tradnl"/>
        </w:rPr>
        <w:t>e</w:t>
      </w:r>
      <w:r>
        <w:rPr>
          <w:lang w:val="es-ES_tradnl"/>
        </w:rPr>
        <w:t>senciado el acto aludido y teniendo en cuenta que ambas declaraciones formaban parte de un mismo acto, rubricó la declaración obrante a fs. 229.</w:t>
      </w:r>
    </w:p>
    <w:p w:rsidR="00224567" w:rsidRDefault="00224567">
      <w:pPr>
        <w:pStyle w:val="Sangradetextonormal"/>
        <w:widowControl w:val="0"/>
        <w:ind w:firstLine="2835"/>
      </w:pPr>
      <w:r>
        <w:t>Agregó que la declaración que Aranc</w:t>
      </w:r>
      <w:r>
        <w:t>i</w:t>
      </w:r>
      <w:r>
        <w:t>bia le tomó a Ibarra se efectuó con copia carbónica, agr</w:t>
      </w:r>
      <w:r>
        <w:t>e</w:t>
      </w:r>
      <w:r>
        <w:t>gándose el original a la causa de Quilmes y esa en las a</w:t>
      </w:r>
      <w:r>
        <w:t>c</w:t>
      </w:r>
      <w:r>
        <w:t>tuaciones de averiguación de antecedentes. Resaltó que el secretario en la causa penal era el subcomisario Aranc</w:t>
      </w:r>
      <w:r>
        <w:t>i</w:t>
      </w:r>
      <w:r>
        <w:t>bia.</w:t>
      </w:r>
    </w:p>
    <w:p w:rsidR="00224567" w:rsidRDefault="00224567">
      <w:pPr>
        <w:pStyle w:val="Sangradetextonormal"/>
        <w:widowControl w:val="0"/>
        <w:ind w:firstLine="0"/>
      </w:pPr>
      <w:r>
        <w:tab/>
        <w:t>Además, señaló que en la causa de Quilmes había consta</w:t>
      </w:r>
      <w:r>
        <w:t>n</w:t>
      </w:r>
      <w:r>
        <w:t>cias de que “Teccedin” se había dado a la fuga y agregó que no le constaba que se hubieran ll</w:t>
      </w:r>
      <w:r>
        <w:t>e</w:t>
      </w:r>
      <w:r>
        <w:t>vado a cabo tareas de inteligencia re</w:t>
      </w:r>
      <w:r>
        <w:t>s</w:t>
      </w:r>
      <w:r>
        <w:t>pecto del nombrado.</w:t>
      </w:r>
    </w:p>
    <w:p w:rsidR="00224567" w:rsidRDefault="00224567">
      <w:pPr>
        <w:widowControl w:val="0"/>
        <w:ind w:firstLine="2835"/>
        <w:rPr>
          <w:lang w:val="es-ES_tradnl"/>
        </w:rPr>
      </w:pPr>
      <w:r>
        <w:rPr>
          <w:lang w:val="es-ES_tradnl"/>
        </w:rPr>
        <w:t>En otro orden, expresó que para la c</w:t>
      </w:r>
      <w:r>
        <w:rPr>
          <w:lang w:val="es-ES_tradnl"/>
        </w:rPr>
        <w:t>i</w:t>
      </w:r>
      <w:r>
        <w:rPr>
          <w:lang w:val="es-ES_tradnl"/>
        </w:rPr>
        <w:t>tación de personas por trámites de sumarios o causas jud</w:t>
      </w:r>
      <w:r>
        <w:rPr>
          <w:lang w:val="es-ES_tradnl"/>
        </w:rPr>
        <w:t>i</w:t>
      </w:r>
      <w:r>
        <w:rPr>
          <w:lang w:val="es-ES_tradnl"/>
        </w:rPr>
        <w:t>ciales se trataba de usar el método más rápido, sea tel</w:t>
      </w:r>
      <w:r>
        <w:rPr>
          <w:lang w:val="es-ES_tradnl"/>
        </w:rPr>
        <w:t>e</w:t>
      </w:r>
      <w:r>
        <w:rPr>
          <w:lang w:val="es-ES_tradnl"/>
        </w:rPr>
        <w:t>fónicamente, enviando personal hasta el domicilio del r</w:t>
      </w:r>
      <w:r>
        <w:rPr>
          <w:lang w:val="es-ES_tradnl"/>
        </w:rPr>
        <w:t>e</w:t>
      </w:r>
      <w:r>
        <w:rPr>
          <w:lang w:val="es-ES_tradnl"/>
        </w:rPr>
        <w:t>querido o a través de la seccional que correspo</w:t>
      </w:r>
      <w:r>
        <w:rPr>
          <w:lang w:val="es-ES_tradnl"/>
        </w:rPr>
        <w:t>n</w:t>
      </w:r>
      <w:r>
        <w:rPr>
          <w:lang w:val="es-ES_tradnl"/>
        </w:rPr>
        <w:t>diera.</w:t>
      </w:r>
    </w:p>
    <w:p w:rsidR="00224567" w:rsidRDefault="00224567">
      <w:pPr>
        <w:widowControl w:val="0"/>
        <w:ind w:firstLine="2835"/>
        <w:rPr>
          <w:lang w:val="es-ES_tradnl"/>
        </w:rPr>
      </w:pPr>
      <w:r>
        <w:rPr>
          <w:lang w:val="es-ES_tradnl"/>
        </w:rPr>
        <w:t xml:space="preserve">Apuntó que el personal de </w:t>
      </w:r>
      <w:smartTag w:uri="urn:schemas-microsoft-com:office:smarttags" w:element="PersonName">
        <w:smartTagPr>
          <w:attr w:name="ProductID" w:val="la Oficina"/>
        </w:smartTagPr>
        <w:r>
          <w:rPr>
            <w:lang w:val="es-ES_tradnl"/>
          </w:rPr>
          <w:t>la Oficina</w:t>
        </w:r>
      </w:smartTag>
      <w:r>
        <w:rPr>
          <w:lang w:val="es-ES_tradnl"/>
        </w:rPr>
        <w:t xml:space="preserve"> de Judiciales no contaba con teléfonos celul</w:t>
      </w:r>
      <w:r>
        <w:rPr>
          <w:lang w:val="es-ES_tradnl"/>
        </w:rPr>
        <w:t>a</w:t>
      </w:r>
      <w:r>
        <w:rPr>
          <w:lang w:val="es-ES_tradnl"/>
        </w:rPr>
        <w:t>res, pero en caso de suma necesidad se los pedían prestados a algún funcionario que tuviera. En este sentido, indicó que era usual que los jefes de grupos operativos poseyeran teléf</w:t>
      </w:r>
      <w:r>
        <w:rPr>
          <w:lang w:val="es-ES_tradnl"/>
        </w:rPr>
        <w:t>o</w:t>
      </w:r>
      <w:r>
        <w:rPr>
          <w:lang w:val="es-ES_tradnl"/>
        </w:rPr>
        <w:t>nos celulares, dado que muchas veces también los utiliz</w:t>
      </w:r>
      <w:r>
        <w:rPr>
          <w:lang w:val="es-ES_tradnl"/>
        </w:rPr>
        <w:t>a</w:t>
      </w:r>
      <w:r>
        <w:rPr>
          <w:lang w:val="es-ES_tradnl"/>
        </w:rPr>
        <w:t>ban para trab</w:t>
      </w:r>
      <w:r>
        <w:rPr>
          <w:lang w:val="es-ES_tradnl"/>
        </w:rPr>
        <w:t>a</w:t>
      </w:r>
      <w:r>
        <w:rPr>
          <w:lang w:val="es-ES_tradnl"/>
        </w:rPr>
        <w:t>jar.</w:t>
      </w:r>
    </w:p>
    <w:p w:rsidR="00224567" w:rsidRDefault="00224567">
      <w:pPr>
        <w:widowControl w:val="0"/>
        <w:rPr>
          <w:lang w:val="es-ES_tradnl"/>
        </w:rPr>
      </w:pPr>
      <w:r>
        <w:rPr>
          <w:lang w:val="es-ES_tradnl"/>
        </w:rPr>
        <w:tab/>
        <w:t>Asimismo, manifestó que el abonado 412-6165 correspondía a su teléfono celular, pero aclaró que en 1994 no lo tenía, negando que se le hubiera facil</w:t>
      </w:r>
      <w:r>
        <w:rPr>
          <w:lang w:val="es-ES_tradnl"/>
        </w:rPr>
        <w:t>i</w:t>
      </w:r>
      <w:r>
        <w:rPr>
          <w:lang w:val="es-ES_tradnl"/>
        </w:rPr>
        <w:t>tado algún otro celular.</w:t>
      </w:r>
    </w:p>
    <w:p w:rsidR="00224567" w:rsidRDefault="00224567">
      <w:pPr>
        <w:widowControl w:val="0"/>
        <w:ind w:firstLine="2835"/>
        <w:rPr>
          <w:lang w:val="es-ES_tradnl"/>
        </w:rPr>
      </w:pPr>
      <w:r>
        <w:rPr>
          <w:lang w:val="es-ES_tradnl"/>
        </w:rPr>
        <w:t>Si bien en un primer momento no reco</w:t>
      </w:r>
      <w:r>
        <w:rPr>
          <w:lang w:val="es-ES_tradnl"/>
        </w:rPr>
        <w:t>r</w:t>
      </w:r>
      <w:r>
        <w:rPr>
          <w:lang w:val="es-ES_tradnl"/>
        </w:rPr>
        <w:t xml:space="preserve">dó si sus compañeros de </w:t>
      </w:r>
      <w:smartTag w:uri="urn:schemas-microsoft-com:office:smarttags" w:element="PersonName">
        <w:smartTagPr>
          <w:attr w:name="ProductID" w:val="la Brigada"/>
        </w:smartTagPr>
        <w:r>
          <w:rPr>
            <w:lang w:val="es-ES_tradnl"/>
          </w:rPr>
          <w:t>la Brigada</w:t>
        </w:r>
      </w:smartTag>
      <w:r>
        <w:rPr>
          <w:lang w:val="es-ES_tradnl"/>
        </w:rPr>
        <w:t xml:space="preserve"> de Lanús poseían tel</w:t>
      </w:r>
      <w:r>
        <w:rPr>
          <w:lang w:val="es-ES_tradnl"/>
        </w:rPr>
        <w:t>é</w:t>
      </w:r>
      <w:r>
        <w:rPr>
          <w:lang w:val="es-ES_tradnl"/>
        </w:rPr>
        <w:t>fono celular a la época de la detención de “Teccedin” y Petrucci, desconociendo puntualmente si Ribelli en esa oportunidad tenía algunos, luego memoró que había teléf</w:t>
      </w:r>
      <w:r>
        <w:rPr>
          <w:lang w:val="es-ES_tradnl"/>
        </w:rPr>
        <w:t>o</w:t>
      </w:r>
      <w:r>
        <w:rPr>
          <w:lang w:val="es-ES_tradnl"/>
        </w:rPr>
        <w:t>nos celulares, ignorando quiénes eran sus tened</w:t>
      </w:r>
      <w:r>
        <w:rPr>
          <w:lang w:val="es-ES_tradnl"/>
        </w:rPr>
        <w:t>o</w:t>
      </w:r>
      <w:r>
        <w:rPr>
          <w:lang w:val="es-ES_tradnl"/>
        </w:rPr>
        <w:t>res.</w:t>
      </w:r>
    </w:p>
    <w:p w:rsidR="00224567" w:rsidRDefault="00224567">
      <w:pPr>
        <w:widowControl w:val="0"/>
        <w:rPr>
          <w:lang w:val="es-ES_tradnl"/>
        </w:rPr>
      </w:pPr>
      <w:r>
        <w:rPr>
          <w:lang w:val="es-ES_tradnl"/>
        </w:rPr>
        <w:tab/>
        <w:t>No reconoció haber mantenido una co</w:t>
      </w:r>
      <w:r>
        <w:rPr>
          <w:lang w:val="es-ES_tradnl"/>
        </w:rPr>
        <w:t>n</w:t>
      </w:r>
      <w:r>
        <w:rPr>
          <w:lang w:val="es-ES_tradnl"/>
        </w:rPr>
        <w:t>versación con una mujer, plasmada en las transcripciones de las escuchas de la línea 425-8982 del 12 de julio de 1996, según las cuales habría llamado al ab</w:t>
      </w:r>
      <w:r>
        <w:rPr>
          <w:lang w:val="es-ES_tradnl"/>
        </w:rPr>
        <w:t>o</w:t>
      </w:r>
      <w:r>
        <w:rPr>
          <w:lang w:val="es-ES_tradnl"/>
        </w:rPr>
        <w:t>nado 251-0469.</w:t>
      </w:r>
    </w:p>
    <w:p w:rsidR="00224567" w:rsidRDefault="00224567">
      <w:pPr>
        <w:widowControl w:val="0"/>
        <w:ind w:firstLine="2835"/>
        <w:rPr>
          <w:lang w:val="es-ES_tradnl"/>
        </w:rPr>
      </w:pPr>
      <w:r>
        <w:rPr>
          <w:lang w:val="es-ES_tradnl"/>
        </w:rPr>
        <w:t>Por otra parte, manifestó que los n</w:t>
      </w:r>
      <w:r>
        <w:rPr>
          <w:lang w:val="es-ES_tradnl"/>
        </w:rPr>
        <w:t>ú</w:t>
      </w:r>
      <w:r>
        <w:rPr>
          <w:lang w:val="es-ES_tradnl"/>
        </w:rPr>
        <w:t>meros telefónicos 252-4799 y 251-0469 eran de sus p</w:t>
      </w:r>
      <w:r>
        <w:rPr>
          <w:lang w:val="es-ES_tradnl"/>
        </w:rPr>
        <w:t>a</w:t>
      </w:r>
      <w:r>
        <w:rPr>
          <w:lang w:val="es-ES_tradnl"/>
        </w:rPr>
        <w:t>dres, hallándose instalados en dos domicilios que se e</w:t>
      </w:r>
      <w:r>
        <w:rPr>
          <w:lang w:val="es-ES_tradnl"/>
        </w:rPr>
        <w:t>n</w:t>
      </w:r>
      <w:r>
        <w:rPr>
          <w:lang w:val="es-ES_tradnl"/>
        </w:rPr>
        <w:t>contraban uno frente al otro. Aclaró que el primero era de la casa de sus progenitores, en tanto el segundo era ut</w:t>
      </w:r>
      <w:r>
        <w:rPr>
          <w:lang w:val="es-ES_tradnl"/>
        </w:rPr>
        <w:t>i</w:t>
      </w:r>
      <w:r>
        <w:rPr>
          <w:lang w:val="es-ES_tradnl"/>
        </w:rPr>
        <w:t>lizado por su esposa, de quien estaba s</w:t>
      </w:r>
      <w:r>
        <w:rPr>
          <w:lang w:val="es-ES_tradnl"/>
        </w:rPr>
        <w:t>e</w:t>
      </w:r>
      <w:r>
        <w:rPr>
          <w:lang w:val="es-ES_tradnl"/>
        </w:rPr>
        <w:t>parado de hecho.</w:t>
      </w:r>
    </w:p>
    <w:p w:rsidR="00224567" w:rsidRDefault="00224567">
      <w:pPr>
        <w:widowControl w:val="0"/>
        <w:ind w:firstLine="2835"/>
        <w:rPr>
          <w:lang w:val="es-ES_tradnl"/>
        </w:rPr>
      </w:pPr>
      <w:r>
        <w:rPr>
          <w:lang w:val="es-ES_tradnl"/>
        </w:rPr>
        <w:t>Además, el imputado dijo ser hijo ún</w:t>
      </w:r>
      <w:r>
        <w:rPr>
          <w:lang w:val="es-ES_tradnl"/>
        </w:rPr>
        <w:t>i</w:t>
      </w:r>
      <w:r>
        <w:rPr>
          <w:lang w:val="es-ES_tradnl"/>
        </w:rPr>
        <w:t>co, a la vez que comentó que su hijo menor se llamaba Fe</w:t>
      </w:r>
      <w:r>
        <w:rPr>
          <w:lang w:val="es-ES_tradnl"/>
        </w:rPr>
        <w:t>r</w:t>
      </w:r>
      <w:r>
        <w:rPr>
          <w:lang w:val="es-ES_tradnl"/>
        </w:rPr>
        <w:t>nando y el mayor Guillermo Oscar, a quien sus compañeros le decían “Goyo”.</w:t>
      </w:r>
    </w:p>
    <w:p w:rsidR="00224567" w:rsidRDefault="00224567">
      <w:pPr>
        <w:widowControl w:val="0"/>
        <w:ind w:firstLine="2835"/>
        <w:rPr>
          <w:lang w:val="es-ES_tradnl"/>
        </w:rPr>
      </w:pPr>
      <w:r>
        <w:rPr>
          <w:lang w:val="es-ES_tradnl"/>
        </w:rPr>
        <w:t>Por último, negó saber a quién pert</w:t>
      </w:r>
      <w:r>
        <w:rPr>
          <w:lang w:val="es-ES_tradnl"/>
        </w:rPr>
        <w:t>e</w:t>
      </w:r>
      <w:r>
        <w:rPr>
          <w:lang w:val="es-ES_tradnl"/>
        </w:rPr>
        <w:t>necía el teléfono 425-8982. Al reproducirse una esc</w:t>
      </w:r>
      <w:r>
        <w:rPr>
          <w:lang w:val="es-ES_tradnl"/>
        </w:rPr>
        <w:t>u</w:t>
      </w:r>
      <w:r>
        <w:rPr>
          <w:lang w:val="es-ES_tradnl"/>
        </w:rPr>
        <w:t>cha de ese abonado, registrada en la casete nº 25, el encartado no reconoció la comun</w:t>
      </w:r>
      <w:r>
        <w:rPr>
          <w:lang w:val="es-ES_tradnl"/>
        </w:rPr>
        <w:t>i</w:t>
      </w:r>
      <w:r>
        <w:rPr>
          <w:lang w:val="es-ES_tradnl"/>
        </w:rPr>
        <w:t>cación, ni su voz.</w:t>
      </w:r>
    </w:p>
    <w:p w:rsidR="00224567" w:rsidRDefault="00224567">
      <w:pPr>
        <w:pStyle w:val="Sangra3detindependiente"/>
        <w:widowControl w:val="0"/>
        <w:spacing w:line="600" w:lineRule="auto"/>
        <w:ind w:firstLine="2835"/>
      </w:pPr>
      <w:r>
        <w:t>Al prestar declaración indagat</w:t>
      </w:r>
      <w:r>
        <w:t>o</w:t>
      </w:r>
      <w:r>
        <w:t>ria en la audiencia de debate el 29 de noviembre de 2002, Oscar Eusebio Bacigalupo hizo una reseña de su pasado l</w:t>
      </w:r>
      <w:r>
        <w:t>a</w:t>
      </w:r>
      <w:r>
        <w:t>boral.</w:t>
      </w:r>
    </w:p>
    <w:p w:rsidR="00224567" w:rsidRDefault="00224567">
      <w:pPr>
        <w:widowControl w:val="0"/>
        <w:ind w:firstLine="2835"/>
      </w:pPr>
      <w:r>
        <w:t xml:space="preserve">Así, precisó que entre los años 1977 y 1982 trabajó en </w:t>
      </w:r>
      <w:smartTag w:uri="urn:schemas-microsoft-com:office:smarttags" w:element="PersonName">
        <w:smartTagPr>
          <w:attr w:name="ProductID" w:val="la Comisar￭a Quilmes"/>
        </w:smartTagPr>
        <w:r>
          <w:t>la Comisaría Quilmes</w:t>
        </w:r>
      </w:smartTag>
      <w:r>
        <w:t xml:space="preserve"> III, en forma paral</w:t>
      </w:r>
      <w:r>
        <w:t>e</w:t>
      </w:r>
      <w:r>
        <w:t xml:space="preserve">la a su desempeño como policía adicional en la sucursal Quilmes Oeste del “Banco de </w:t>
      </w:r>
      <w:smartTag w:uri="urn:schemas-microsoft-com:office:smarttags" w:element="PersonName">
        <w:smartTagPr>
          <w:attr w:name="ProductID" w:val="la Provincia"/>
        </w:smartTagPr>
        <w:r>
          <w:t>la Provincia</w:t>
        </w:r>
      </w:smartTag>
      <w:r>
        <w:t xml:space="preserve"> de Buenos A</w:t>
      </w:r>
      <w:r>
        <w:t>i</w:t>
      </w:r>
      <w:r>
        <w:t>res”, como así también en tareas de vigilancia en el “Frigoríf</w:t>
      </w:r>
      <w:r>
        <w:t>i</w:t>
      </w:r>
      <w:r>
        <w:t>co Calchaquí” de Florencio Varela y en la “Sociedad de F</w:t>
      </w:r>
      <w:r>
        <w:t>o</w:t>
      </w:r>
      <w:r>
        <w:t>mento Lourdes” de Quilmes.</w:t>
      </w:r>
    </w:p>
    <w:p w:rsidR="00224567" w:rsidRDefault="00224567">
      <w:pPr>
        <w:widowControl w:val="0"/>
        <w:ind w:firstLine="2835"/>
      </w:pPr>
      <w:r>
        <w:t xml:space="preserve">Refirió que entre 1982 y 1987 estuvo en </w:t>
      </w:r>
      <w:smartTag w:uri="urn:schemas-microsoft-com:office:smarttags" w:element="PersonName">
        <w:smartTagPr>
          <w:attr w:name="ProductID" w:val="la Comisar￭a Avellaneda"/>
        </w:smartTagPr>
        <w:r>
          <w:t>la Comisaría Avellaneda</w:t>
        </w:r>
      </w:smartTag>
      <w:r>
        <w:t xml:space="preserve"> V, al mismo tiempo que tr</w:t>
      </w:r>
      <w:r>
        <w:t>a</w:t>
      </w:r>
      <w:r>
        <w:t>bajó como policía adicional en la sucursal Wilde del “Banco Avellaneda”, realizó tareas de vigilancia en el frigoríf</w:t>
      </w:r>
      <w:r>
        <w:t>i</w:t>
      </w:r>
      <w:r>
        <w:t>co mencionado y en el “Hotel Tabú” de Wilde y se encargó de hacer los pagos quincenales en distintas cu</w:t>
      </w:r>
      <w:r>
        <w:t>r</w:t>
      </w:r>
      <w:r>
        <w:t>tiembres de la zona.</w:t>
      </w:r>
    </w:p>
    <w:p w:rsidR="00224567" w:rsidRDefault="00224567">
      <w:pPr>
        <w:widowControl w:val="0"/>
        <w:ind w:firstLine="2835"/>
      </w:pPr>
      <w:r>
        <w:t xml:space="preserve">Entre los años 1987 y 1992, señaló, prestó servicios en </w:t>
      </w:r>
      <w:smartTag w:uri="urn:schemas-microsoft-com:office:smarttags" w:element="PersonName">
        <w:smartTagPr>
          <w:attr w:name="ProductID" w:val="la Brigada"/>
        </w:smartTagPr>
        <w:r>
          <w:t>la Brigada</w:t>
        </w:r>
      </w:smartTag>
      <w:r>
        <w:t xml:space="preserve"> de Investigaciones de Qui</w:t>
      </w:r>
      <w:r>
        <w:t>l</w:t>
      </w:r>
      <w:r>
        <w:t>mes, a la vez que continuó con sus tareas en el frigoríf</w:t>
      </w:r>
      <w:r>
        <w:t>i</w:t>
      </w:r>
      <w:r>
        <w:t>co, en el hotel e instaló un almacén con su ex esposa. F</w:t>
      </w:r>
      <w:r>
        <w:t>i</w:t>
      </w:r>
      <w:r>
        <w:t xml:space="preserve">nalmente, en 1992 fue trasladado a </w:t>
      </w:r>
      <w:smartTag w:uri="urn:schemas-microsoft-com:office:smarttags" w:element="PersonName">
        <w:smartTagPr>
          <w:attr w:name="ProductID" w:val="la Brigada"/>
        </w:smartTagPr>
        <w:r>
          <w:t>la Brigada</w:t>
        </w:r>
      </w:smartTag>
      <w:r>
        <w:t xml:space="preserve"> de Invest</w:t>
      </w:r>
      <w:r>
        <w:t>i</w:t>
      </w:r>
      <w:r>
        <w:t>gaciones de L</w:t>
      </w:r>
      <w:r>
        <w:t>a</w:t>
      </w:r>
      <w:r>
        <w:t>nús.</w:t>
      </w:r>
    </w:p>
    <w:p w:rsidR="00224567" w:rsidRDefault="00224567">
      <w:pPr>
        <w:pStyle w:val="Sangradetextonormal"/>
        <w:widowControl w:val="0"/>
        <w:ind w:firstLine="2835"/>
      </w:pPr>
      <w:r>
        <w:t>El imputado manifestó para el año 1994 no conocía ni había compartido destino con Rago, Quint</w:t>
      </w:r>
      <w:r>
        <w:t>e</w:t>
      </w:r>
      <w:r>
        <w:t>ros, Lasala, Barreda o Bareiro, habiéndolo hecho con Leal, Ojeda, Burguete, Cruz, Ara</w:t>
      </w:r>
      <w:r>
        <w:t>n</w:t>
      </w:r>
      <w:r>
        <w:t xml:space="preserve">cibia e Ibarra en </w:t>
      </w:r>
      <w:smartTag w:uri="urn:schemas-microsoft-com:office:smarttags" w:element="PersonName">
        <w:smartTagPr>
          <w:attr w:name="ProductID" w:val="la Brigada"/>
        </w:smartTagPr>
        <w:r>
          <w:t>la Brigada</w:t>
        </w:r>
      </w:smartTag>
      <w:r>
        <w:t xml:space="preserve"> de Investigaciones de Lanús. Agregó que los dos últimos fu</w:t>
      </w:r>
      <w:r>
        <w:t>e</w:t>
      </w:r>
      <w:r>
        <w:t>ron compañeros suyos de promoción de la escuela “Juan V</w:t>
      </w:r>
      <w:r>
        <w:t>u</w:t>
      </w:r>
      <w:r>
        <w:t>cetich” y que con Ribelli coincidió en las Brigadas de I</w:t>
      </w:r>
      <w:r>
        <w:t>n</w:t>
      </w:r>
      <w:r>
        <w:t>vestigaciones de L</w:t>
      </w:r>
      <w:r>
        <w:t>a</w:t>
      </w:r>
      <w:r>
        <w:t>nús y de Quilmes.</w:t>
      </w:r>
    </w:p>
    <w:p w:rsidR="00224567" w:rsidRDefault="00224567">
      <w:pPr>
        <w:pStyle w:val="Sangradetextonormal"/>
        <w:widowControl w:val="0"/>
        <w:ind w:firstLine="2835"/>
      </w:pPr>
      <w:r>
        <w:t>En cuanto a Araya y Albarracín, ref</w:t>
      </w:r>
      <w:r>
        <w:t>i</w:t>
      </w:r>
      <w:r>
        <w:t>rió que se e</w:t>
      </w:r>
      <w:r>
        <w:t>n</w:t>
      </w:r>
      <w:r>
        <w:t>contró con ellos poco después del 29 de marzo de 1994; al primero no lo conocía, no recordando si con el segundo había compartido dest</w:t>
      </w:r>
      <w:r>
        <w:t>i</w:t>
      </w:r>
      <w:r>
        <w:t>no en Quilmes.</w:t>
      </w:r>
    </w:p>
    <w:p w:rsidR="00224567" w:rsidRDefault="00224567">
      <w:pPr>
        <w:widowControl w:val="0"/>
        <w:ind w:firstLine="2835"/>
      </w:pPr>
      <w:r>
        <w:t>Negó haber integrado una asociación ilícita con los policías mencionados, resaltando que con algunos sólo trabajó en el mismo lugar y no participó en reuniones de ninguna naturaleza con los integra</w:t>
      </w:r>
      <w:r>
        <w:t>n</w:t>
      </w:r>
      <w:r>
        <w:t xml:space="preserve">tes de </w:t>
      </w:r>
      <w:smartTag w:uri="urn:schemas-microsoft-com:office:smarttags" w:element="PersonName">
        <w:smartTagPr>
          <w:attr w:name="ProductID" w:val="la Brigada"/>
        </w:smartTagPr>
        <w:r>
          <w:t>la Brigada</w:t>
        </w:r>
      </w:smartTag>
      <w:r>
        <w:t xml:space="preserve"> de Lanús, más allá de los mome</w:t>
      </w:r>
      <w:r>
        <w:t>n</w:t>
      </w:r>
      <w:r>
        <w:t>tos que pasaron en la dependencia pol</w:t>
      </w:r>
      <w:r>
        <w:t>i</w:t>
      </w:r>
      <w:r>
        <w:t>cial.</w:t>
      </w:r>
    </w:p>
    <w:p w:rsidR="00224567" w:rsidRDefault="00224567">
      <w:pPr>
        <w:widowControl w:val="0"/>
        <w:ind w:firstLine="2835"/>
      </w:pPr>
      <w:r>
        <w:t>Refirió que en su legajo personal f</w:t>
      </w:r>
      <w:r>
        <w:t>i</w:t>
      </w:r>
      <w:r>
        <w:t>guraban arrestos y una suspensión por la instrucción de una causa penal en la cual fue absuelto, agregando que realizó los cursos dispuestos por la superioridad y rec</w:t>
      </w:r>
      <w:r>
        <w:t>i</w:t>
      </w:r>
      <w:r>
        <w:t>bió felicitaciones por actos destacados de serv</w:t>
      </w:r>
      <w:r>
        <w:t>i</w:t>
      </w:r>
      <w:r>
        <w:t>cio.</w:t>
      </w:r>
    </w:p>
    <w:p w:rsidR="00224567" w:rsidRDefault="00224567">
      <w:pPr>
        <w:widowControl w:val="0"/>
        <w:ind w:firstLine="2835"/>
      </w:pPr>
      <w:r>
        <w:t>Indicó que, en las distintas depende</w:t>
      </w:r>
      <w:r>
        <w:t>n</w:t>
      </w:r>
      <w:r>
        <w:t>cias policiales donde trabajó, siempre se de</w:t>
      </w:r>
      <w:r>
        <w:t>s</w:t>
      </w:r>
      <w:r>
        <w:t>empeñó en el área de sumarios y judiciales, aprendiendo a co</w:t>
      </w:r>
      <w:r>
        <w:t>n</w:t>
      </w:r>
      <w:r>
        <w:t>feccionar “una averiguación de antecedentes” de conformidad con lo di</w:t>
      </w:r>
      <w:r>
        <w:t>s</w:t>
      </w:r>
      <w:r>
        <w:t>puesto en el art. 13 de la ley 9551.</w:t>
      </w:r>
    </w:p>
    <w:p w:rsidR="00224567" w:rsidRDefault="00224567">
      <w:pPr>
        <w:widowControl w:val="0"/>
        <w:ind w:firstLine="2835"/>
      </w:pPr>
      <w:r>
        <w:t>Al respecto, explicó que dicha norma no preveía la forma de establecer la ident</w:t>
      </w:r>
      <w:r>
        <w:t>i</w:t>
      </w:r>
      <w:r>
        <w:t>dad, por lo que habitualmente lo que se hacía era obtener un juego de f</w:t>
      </w:r>
      <w:r>
        <w:t>i</w:t>
      </w:r>
      <w:r>
        <w:t>chas dactiloscópicas y remitirlas con el anexo prontu</w:t>
      </w:r>
      <w:r>
        <w:t>a</w:t>
      </w:r>
      <w:r>
        <w:t xml:space="preserve">rial y la ficha patronímica a </w:t>
      </w:r>
      <w:smartTag w:uri="urn:schemas-microsoft-com:office:smarttags" w:element="PersonName">
        <w:smartTagPr>
          <w:attr w:name="ProductID" w:val="la Divisi￳n Antecedentes"/>
        </w:smartTagPr>
        <w:r>
          <w:t>la División Antecedentes</w:t>
        </w:r>
      </w:smartTag>
      <w:r>
        <w:t xml:space="preserve"> Person</w:t>
      </w:r>
      <w:r>
        <w:t>a</w:t>
      </w:r>
      <w:r>
        <w:t xml:space="preserve">les de </w:t>
      </w:r>
      <w:smartTag w:uri="urn:schemas-microsoft-com:office:smarttags" w:element="PersonName">
        <w:smartTagPr>
          <w:attr w:name="ProductID" w:val="la Jefatura"/>
        </w:smartTagPr>
        <w:r>
          <w:t>la Jefatura</w:t>
        </w:r>
      </w:smartTag>
      <w:r>
        <w:t xml:space="preserve">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lata. Indic￳"/>
        </w:smartTagPr>
        <w:r>
          <w:t>La Plata. Indicó</w:t>
        </w:r>
      </w:smartTag>
      <w:r>
        <w:t xml:space="preserve"> que esa dependencia nunca aportaba el  respectivo  informe  dentro del término de veinticuatro horas que hacia 1994 era el impuesto para la demora por averiguación de antec</w:t>
      </w:r>
      <w:r>
        <w:t>e</w:t>
      </w:r>
      <w:r>
        <w:t>de</w:t>
      </w:r>
      <w:r>
        <w:t>n</w:t>
      </w:r>
      <w:r>
        <w:t>tes, motivo por el cual en la práctica se certificaban telefónicamente los antecedentes que surgían del sistema inform</w:t>
      </w:r>
      <w:r>
        <w:t>á</w:t>
      </w:r>
      <w:r>
        <w:t>tico.</w:t>
      </w:r>
    </w:p>
    <w:p w:rsidR="00224567" w:rsidRDefault="00224567">
      <w:pPr>
        <w:widowControl w:val="0"/>
        <w:ind w:firstLine="2835"/>
      </w:pPr>
      <w:r>
        <w:t>Señaló que la normativa apuntada ta</w:t>
      </w:r>
      <w:r>
        <w:t>m</w:t>
      </w:r>
      <w:r>
        <w:t>poco establecía la manera en que debían instruirse las a</w:t>
      </w:r>
      <w:r>
        <w:t>c</w:t>
      </w:r>
      <w:r>
        <w:t>tuaciones, por lo que eran encabezadas por la decl</w:t>
      </w:r>
      <w:r>
        <w:t>a</w:t>
      </w:r>
      <w:r>
        <w:t>ración del fu</w:t>
      </w:r>
      <w:r>
        <w:t>n</w:t>
      </w:r>
      <w:r>
        <w:t>cionario policial que había conducido al demorado o por un parte simple comunicando la priv</w:t>
      </w:r>
      <w:r>
        <w:t>a</w:t>
      </w:r>
      <w:r>
        <w:t>ción de libertad.</w:t>
      </w:r>
    </w:p>
    <w:p w:rsidR="00224567" w:rsidRDefault="00224567">
      <w:pPr>
        <w:widowControl w:val="0"/>
        <w:ind w:firstLine="2835"/>
      </w:pPr>
      <w:r>
        <w:t xml:space="preserve">Luego, señaló, en </w:t>
      </w:r>
      <w:smartTag w:uri="urn:schemas-microsoft-com:office:smarttags" w:element="PersonName">
        <w:smartTagPr>
          <w:attr w:name="ProductID" w:val="la Brigada"/>
        </w:smartTagPr>
        <w:r>
          <w:t>la Brigada</w:t>
        </w:r>
      </w:smartTag>
      <w:r>
        <w:t xml:space="preserve"> de Inve</w:t>
      </w:r>
      <w:r>
        <w:t>s</w:t>
      </w:r>
      <w:r>
        <w:t>tigaciones de Lanús, el instructor –que era el segundo j</w:t>
      </w:r>
      <w:r>
        <w:t>e</w:t>
      </w:r>
      <w:r>
        <w:t>fe de la dependencia, responsable del área a</w:t>
      </w:r>
      <w:r>
        <w:t>d</w:t>
      </w:r>
      <w:r>
        <w:t>ministrativa- disponía la confección de las actuaciones por averiguación de antecedentes con conoc</w:t>
      </w:r>
      <w:r>
        <w:t>i</w:t>
      </w:r>
      <w:r>
        <w:t>miento del jefe de policía y del juez de turno, ordenaba el registro del detenido, la not</w:t>
      </w:r>
      <w:r>
        <w:t>i</w:t>
      </w:r>
      <w:r>
        <w:t>ficación del motivo de su detención, la extracción de f</w:t>
      </w:r>
      <w:r>
        <w:t>i</w:t>
      </w:r>
      <w:r>
        <w:t>chas dactiloscópicas, la realización del examen médico y la certificación de capturas, que se hacía en forma tel</w:t>
      </w:r>
      <w:r>
        <w:t>e</w:t>
      </w:r>
      <w:r>
        <w:t>fónica, sin perju</w:t>
      </w:r>
      <w:r>
        <w:t>i</w:t>
      </w:r>
      <w:r>
        <w:t>cio del envío de las fichas. Aclaró que una vez obtenido el informe telefónico en el que se est</w:t>
      </w:r>
      <w:r>
        <w:t>a</w:t>
      </w:r>
      <w:r>
        <w:t>blecía que el demorado no registraba impedimentos, el in</w:t>
      </w:r>
      <w:r>
        <w:t>s</w:t>
      </w:r>
      <w:r>
        <w:t>tructor di</w:t>
      </w:r>
      <w:r>
        <w:t>s</w:t>
      </w:r>
      <w:r>
        <w:t>ponía su libertad, lo notificaba y ordenaba el cierre y archivo de las a</w:t>
      </w:r>
      <w:r>
        <w:t>c</w:t>
      </w:r>
      <w:r>
        <w:t>tuaciones.</w:t>
      </w:r>
    </w:p>
    <w:p w:rsidR="00224567" w:rsidRDefault="00224567">
      <w:pPr>
        <w:widowControl w:val="0"/>
        <w:ind w:firstLine="2835"/>
      </w:pPr>
      <w:r>
        <w:t>Las fichas, continuó, no eran remit</w:t>
      </w:r>
      <w:r>
        <w:t>i</w:t>
      </w:r>
      <w:r>
        <w:t>das con un correo e</w:t>
      </w:r>
      <w:r>
        <w:t>s</w:t>
      </w:r>
      <w:r>
        <w:t xml:space="preserve">pecial sino que salían en forma diaria a través del correo de la brigada que iba a la ciudad de </w:t>
      </w:r>
      <w:smartTag w:uri="urn:schemas-microsoft-com:office:smarttags" w:element="PersonName">
        <w:smartTagPr>
          <w:attr w:name="ProductID" w:val="La Plata"/>
        </w:smartTagPr>
        <w:r>
          <w:t>La Plata</w:t>
        </w:r>
      </w:smartTag>
      <w:r>
        <w:t>, por lo que el informe de antecede</w:t>
      </w:r>
      <w:r>
        <w:t>n</w:t>
      </w:r>
      <w:r>
        <w:t>tes llegaba a la d</w:t>
      </w:r>
      <w:r>
        <w:t>e</w:t>
      </w:r>
      <w:r>
        <w:t>pendencia policial días después.</w:t>
      </w:r>
    </w:p>
    <w:p w:rsidR="00224567" w:rsidRDefault="00224567">
      <w:pPr>
        <w:widowControl w:val="0"/>
        <w:ind w:firstLine="2835"/>
      </w:pPr>
      <w:r>
        <w:t>Refirió también que hubo casos en los que arribaron a la brigada comunicaciones de capturas de personas que, demoradas previamente por averiguación de antecedentes, habían sido puestas en libertad en virtud del respectivo adelanto telefónico. En esos casos, s</w:t>
      </w:r>
      <w:r>
        <w:t>e</w:t>
      </w:r>
      <w:r>
        <w:t>ñaló, se las detenía nuevamente y se las ponía a disposición del juzgado correspondiente. Ref</w:t>
      </w:r>
      <w:r>
        <w:t>i</w:t>
      </w:r>
      <w:r>
        <w:t>rió que situaciones similares también habían ocurrido con algunos pedidos de antecede</w:t>
      </w:r>
      <w:r>
        <w:t>n</w:t>
      </w:r>
      <w:r>
        <w:t>tes de personas imput</w:t>
      </w:r>
      <w:r>
        <w:t>a</w:t>
      </w:r>
      <w:r>
        <w:t>das por la comisión de delitos.</w:t>
      </w:r>
    </w:p>
    <w:p w:rsidR="00224567" w:rsidRDefault="00224567">
      <w:pPr>
        <w:widowControl w:val="0"/>
        <w:ind w:firstLine="2835"/>
      </w:pPr>
      <w:r>
        <w:t>Además, manifestó que en el caso de un demorado por averiguación de antecedentes que arr</w:t>
      </w:r>
      <w:r>
        <w:t>i</w:t>
      </w:r>
      <w:r>
        <w:t>bara en un horario en que estaban ausentes tanto el t</w:t>
      </w:r>
      <w:r>
        <w:t>i</w:t>
      </w:r>
      <w:r>
        <w:t>tular de la brigada como el segundo, el que se encargaba de disponer las medidas necesarias al respecto era el jefe de turno; agregó que el segundo jefe cumplía lo que le ordenaba la jerarquía máxima de la br</w:t>
      </w:r>
      <w:r>
        <w:t>i</w:t>
      </w:r>
      <w:r>
        <w:t>gada.</w:t>
      </w:r>
    </w:p>
    <w:p w:rsidR="00224567" w:rsidRDefault="00224567">
      <w:pPr>
        <w:widowControl w:val="0"/>
        <w:ind w:firstLine="2835"/>
      </w:pPr>
      <w:r>
        <w:t>En otro orden, el acusado manifestó que entre el 7 y el 25 de marzo de 1994 estuvo de lice</w:t>
      </w:r>
      <w:r>
        <w:t>n</w:t>
      </w:r>
      <w:r>
        <w:t xml:space="preserve">cia; en esa ocasión, se hospedó en el “Hotel Molino de Oro” de la ciudad de </w:t>
      </w:r>
      <w:smartTag w:uri="urn:schemas-microsoft-com:office:smarttags" w:element="PersonName">
        <w:smartTagPr>
          <w:attr w:name="ProductID" w:val="La Falda"/>
        </w:smartTagPr>
        <w:r>
          <w:t>La Falda</w:t>
        </w:r>
      </w:smartTag>
      <w:r>
        <w:t>, provincia de Córd</w:t>
      </w:r>
      <w:r>
        <w:t>o</w:t>
      </w:r>
      <w:r>
        <w:t>ba, y el día 17 fue víctima de un robo en el Dique San R</w:t>
      </w:r>
      <w:r>
        <w:t>o</w:t>
      </w:r>
      <w:r>
        <w:t xml:space="preserve">que, hecho que denunció en sede policial. Por lo tanto, afirmó, en dicho período no tuvo ningún contacto con </w:t>
      </w:r>
      <w:smartTag w:uri="urn:schemas-microsoft-com:office:smarttags" w:element="PersonName">
        <w:smartTagPr>
          <w:attr w:name="ProductID" w:val="la Brigada"/>
        </w:smartTagPr>
        <w:r>
          <w:t>la Brigada</w:t>
        </w:r>
      </w:smartTag>
      <w:r>
        <w:t xml:space="preserve"> de Investigaciones de Lanús, siendo ajeno a los hechos que, en ese ínterin, involucraban a la depende</w:t>
      </w:r>
      <w:r>
        <w:t>n</w:t>
      </w:r>
      <w:r>
        <w:t>cia.</w:t>
      </w:r>
    </w:p>
    <w:p w:rsidR="00224567" w:rsidRDefault="00224567">
      <w:pPr>
        <w:widowControl w:val="0"/>
        <w:ind w:firstLine="2835"/>
      </w:pPr>
      <w:r>
        <w:t>En cuanto al hecho del 4 de abril de 1994, el imputado refirió que, en horas de la noche y mientras se encontraba trabajando en compañía de Aranc</w:t>
      </w:r>
      <w:r>
        <w:t>i</w:t>
      </w:r>
      <w:r>
        <w:t xml:space="preserve">bia, se presentó Ibarra en </w:t>
      </w:r>
      <w:smartTag w:uri="urn:schemas-microsoft-com:office:smarttags" w:element="PersonName">
        <w:smartTagPr>
          <w:attr w:name="ProductID" w:val="la Oficina"/>
        </w:smartTagPr>
        <w:r>
          <w:t>la Oficina</w:t>
        </w:r>
      </w:smartTag>
      <w:r>
        <w:t xml:space="preserve"> de Judiciales y le comunicó a Arancibia que había identificado en la local</w:t>
      </w:r>
      <w:r>
        <w:t>i</w:t>
      </w:r>
      <w:r>
        <w:t>dad de Tortuguitas a un hombre que era buscado en el marco de una investigación en la que este último era secretario. Indicó que el sujeto fue trasladado a la brigada ju</w:t>
      </w:r>
      <w:r>
        <w:t>n</w:t>
      </w:r>
      <w:r>
        <w:t>to con la mujer que lo acompañaba.</w:t>
      </w:r>
    </w:p>
    <w:p w:rsidR="00224567" w:rsidRDefault="00224567">
      <w:pPr>
        <w:widowControl w:val="0"/>
        <w:ind w:firstLine="2835"/>
      </w:pPr>
      <w:r>
        <w:t>Refirió que estos hechos quedaron plasmados en una declaración testimonial que le tomó Ara</w:t>
      </w:r>
      <w:r>
        <w:t>n</w:t>
      </w:r>
      <w:r>
        <w:t>cibia a Ibarra, en presencia de Bacigal</w:t>
      </w:r>
      <w:r>
        <w:t>u</w:t>
      </w:r>
      <w:r>
        <w:t>po y del comisario Burguete, instructor del expediente. Manife</w:t>
      </w:r>
      <w:r>
        <w:t>s</w:t>
      </w:r>
      <w:r>
        <w:t>tó que si bien luego tomó conocimiento de que la dete</w:t>
      </w:r>
      <w:r>
        <w:t>n</w:t>
      </w:r>
      <w:r>
        <w:t>ción de “Teccedin” era el resultado de la bú</w:t>
      </w:r>
      <w:r>
        <w:t>s</w:t>
      </w:r>
      <w:r>
        <w:t>queda de Telleldín, en el marco de la causa nº 5681 del Juzgado Crim</w:t>
      </w:r>
      <w:r>
        <w:t>i</w:t>
      </w:r>
      <w:r>
        <w:t>nal y Correccional nº 5 del Departamento Judicial de Quilmes, la aparente sim</w:t>
      </w:r>
      <w:r>
        <w:t>i</w:t>
      </w:r>
      <w:r>
        <w:t>litud fonética del apellido no le llamó la atención.</w:t>
      </w:r>
    </w:p>
    <w:p w:rsidR="00224567" w:rsidRDefault="00224567">
      <w:pPr>
        <w:widowControl w:val="0"/>
        <w:ind w:firstLine="2835"/>
      </w:pPr>
      <w:r>
        <w:t>Expuso que Burguete le ordenó in</w:t>
      </w:r>
      <w:r>
        <w:t>i</w:t>
      </w:r>
      <w:r>
        <w:t>ciar las actuaciones sumariales por averiguación de antecede</w:t>
      </w:r>
      <w:r>
        <w:t>n</w:t>
      </w:r>
      <w:r>
        <w:t>tes de “Teccedin” y Petrucci, informándole que ya había dado la novedad al juzgado de Quilmes. Aclaró que la d</w:t>
      </w:r>
      <w:r>
        <w:t>e</w:t>
      </w:r>
      <w:r>
        <w:t>tención de Telleldín fue comunic</w:t>
      </w:r>
      <w:r>
        <w:t>a</w:t>
      </w:r>
      <w:r>
        <w:t>da también al juez de San Isidro, toda vez que la localidad de Tortuguitas corre</w:t>
      </w:r>
      <w:r>
        <w:t>s</w:t>
      </w:r>
      <w:r>
        <w:t>pondía a dicho Departamento Jud</w:t>
      </w:r>
      <w:r>
        <w:t>i</w:t>
      </w:r>
      <w:r>
        <w:t>cial.</w:t>
      </w:r>
    </w:p>
    <w:p w:rsidR="00224567" w:rsidRDefault="00224567">
      <w:pPr>
        <w:widowControl w:val="0"/>
        <w:ind w:firstLine="2835"/>
      </w:pPr>
      <w:r>
        <w:t>En cuanto a las firmas estampadas en la declaración de Ibarra, expresó que mientras Arancibia era secretario de la causa penal, él actuaba como secret</w:t>
      </w:r>
      <w:r>
        <w:t>a</w:t>
      </w:r>
      <w:r>
        <w:t>rio de las actuaciones por averiguación de antecedentes, por lo que creyó recordar que las encabezó con aquella testimonial, figurando las rúbricas originales del in</w:t>
      </w:r>
      <w:r>
        <w:t>s</w:t>
      </w:r>
      <w:r>
        <w:t>tructor y de Bacig</w:t>
      </w:r>
      <w:r>
        <w:t>a</w:t>
      </w:r>
      <w:r>
        <w:t>lupo.</w:t>
      </w:r>
    </w:p>
    <w:p w:rsidR="00224567" w:rsidRDefault="00224567">
      <w:pPr>
        <w:widowControl w:val="0"/>
        <w:ind w:firstLine="2835"/>
      </w:pPr>
      <w:r>
        <w:t>Recordó que fue secretario de actu</w:t>
      </w:r>
      <w:r>
        <w:t>a</w:t>
      </w:r>
      <w:r>
        <w:t xml:space="preserve">ción de la causa nº </w:t>
      </w:r>
      <w:smartTag w:uri="urn:schemas-microsoft-com:office:smarttags" w:element="metricconverter">
        <w:smartTagPr>
          <w:attr w:name="ProductID" w:val="5681 a"/>
        </w:smartTagPr>
        <w:r>
          <w:t>5681 a</w:t>
        </w:r>
      </w:smartTag>
      <w:r>
        <w:t xml:space="preserve"> partir de que Aranc</w:t>
      </w:r>
      <w:r>
        <w:t>i</w:t>
      </w:r>
      <w:r>
        <w:t xml:space="preserve">bia dejó de desempeñarse en </w:t>
      </w:r>
      <w:smartTag w:uri="urn:schemas-microsoft-com:office:smarttags" w:element="PersonName">
        <w:smartTagPr>
          <w:attr w:name="ProductID" w:val="la Oficina"/>
        </w:smartTagPr>
        <w:r>
          <w:t>la Oficina</w:t>
        </w:r>
      </w:smartTag>
      <w:r>
        <w:t xml:space="preserve"> de Judiciales. Reconoció sus firmas a fs. 653, 668 y 685 del referido expedie</w:t>
      </w:r>
      <w:r>
        <w:t>n</w:t>
      </w:r>
      <w:r>
        <w:t>te.</w:t>
      </w:r>
    </w:p>
    <w:p w:rsidR="00224567" w:rsidRDefault="00224567">
      <w:pPr>
        <w:widowControl w:val="0"/>
        <w:ind w:firstLine="2835"/>
      </w:pPr>
      <w:r>
        <w:t>Dijo que, en cumplimiento de las d</w:t>
      </w:r>
      <w:r>
        <w:t>i</w:t>
      </w:r>
      <w:r>
        <w:t>rectivas recibidas, inició las actuaciones por averigu</w:t>
      </w:r>
      <w:r>
        <w:t>a</w:t>
      </w:r>
      <w:r>
        <w:t>ción de antecedentes, se registró el i</w:t>
      </w:r>
      <w:r>
        <w:t>n</w:t>
      </w:r>
      <w:r>
        <w:t>greso de “Teccedin” y Petrucci en los libros de guardia y de det</w:t>
      </w:r>
      <w:r>
        <w:t>e</w:t>
      </w:r>
      <w:r>
        <w:t>nidos, se los notificó del motivo de su detención y el cabo Marcelo C</w:t>
      </w:r>
      <w:r>
        <w:t>a</w:t>
      </w:r>
      <w:r>
        <w:t>sas les extrajo fichas dactiloscópicas. Así, relató, se confeccionó el anexo prontuarial con las circunstancias personales aportadas por los d</w:t>
      </w:r>
      <w:r>
        <w:t>e</w:t>
      </w:r>
      <w:r>
        <w:t>morados, quienes quedaron a disposición del oficial de servicio, que ordenó su aloj</w:t>
      </w:r>
      <w:r>
        <w:t>a</w:t>
      </w:r>
      <w:r>
        <w:t>miento. Agregó que no se solía certificar el dom</w:t>
      </w:r>
      <w:r>
        <w:t>i</w:t>
      </w:r>
      <w:r>
        <w:t>cilio de los detenidos por averiguación de antec</w:t>
      </w:r>
      <w:r>
        <w:t>e</w:t>
      </w:r>
      <w:r>
        <w:t>dentes.</w:t>
      </w:r>
    </w:p>
    <w:p w:rsidR="00224567" w:rsidRDefault="00224567">
      <w:pPr>
        <w:widowControl w:val="0"/>
        <w:ind w:firstLine="2835"/>
      </w:pPr>
      <w:r>
        <w:t xml:space="preserve">En un plano de </w:t>
      </w:r>
      <w:smartTag w:uri="urn:schemas-microsoft-com:office:smarttags" w:element="PersonName">
        <w:smartTagPr>
          <w:attr w:name="ProductID" w:val="la Brigada"/>
        </w:smartTagPr>
        <w:r>
          <w:t>la Brigada</w:t>
        </w:r>
      </w:smartTag>
      <w:r>
        <w:t xml:space="preserve"> de Invest</w:t>
      </w:r>
      <w:r>
        <w:t>i</w:t>
      </w:r>
      <w:r>
        <w:t>gaciones de Lanús, el imputado señaló la ubicación que p</w:t>
      </w:r>
      <w:r>
        <w:t>a</w:t>
      </w:r>
      <w:r>
        <w:t>ra 1994 tenían las diversas dependencias, aclarando que los hombres demorados por averiguación de antecedentes eran alojados en el calabozo de contravent</w:t>
      </w:r>
      <w:r>
        <w:t>o</w:t>
      </w:r>
      <w:r>
        <w:t>res, separados de los delincuentes comunes, mientras que las mujeres d</w:t>
      </w:r>
      <w:r>
        <w:t>e</w:t>
      </w:r>
      <w:r>
        <w:t>tenidas por el mismo trámite permanecían en una oficina vigiladas por un agente femenino. Añadió que no se los i</w:t>
      </w:r>
      <w:r>
        <w:t>n</w:t>
      </w:r>
      <w:r>
        <w:t>comunicaba y se informaba de la dete</w:t>
      </w:r>
      <w:r>
        <w:t>n</w:t>
      </w:r>
      <w:r>
        <w:t>ción a sus allegados.</w:t>
      </w:r>
    </w:p>
    <w:p w:rsidR="00224567" w:rsidRDefault="00224567">
      <w:pPr>
        <w:widowControl w:val="0"/>
        <w:ind w:firstLine="2835"/>
      </w:pPr>
      <w:r>
        <w:t>Explicó que al finalizar sus tareas diarias, antes de r</w:t>
      </w:r>
      <w:r>
        <w:t>e</w:t>
      </w:r>
      <w:r>
        <w:t>tirarse a su domicilio, llevó toda la firma –con las fichas de Petrucci y Telleldín- a Burguete, quien suscribía al final de la jornada, siendo esto nec</w:t>
      </w:r>
      <w:r>
        <w:t>e</w:t>
      </w:r>
      <w:r>
        <w:t xml:space="preserve">sario para enviarlas a </w:t>
      </w:r>
      <w:smartTag w:uri="urn:schemas-microsoft-com:office:smarttags" w:element="PersonName">
        <w:smartTagPr>
          <w:attr w:name="ProductID" w:val="la Divisi￳n Antecedentes"/>
        </w:smartTagPr>
        <w:r>
          <w:t>la División Antecedentes</w:t>
        </w:r>
      </w:smartTag>
      <w:r>
        <w:t xml:space="preserve"> Person</w:t>
      </w:r>
      <w:r>
        <w:t>a</w:t>
      </w:r>
      <w:r>
        <w:t>les. Aclaró que no advirtió nada extraño en la e</w:t>
      </w:r>
      <w:r>
        <w:t>x</w:t>
      </w:r>
      <w:r>
        <w:t>tracción de las huellas. Señaló que regresó a la brigada al día s</w:t>
      </w:r>
      <w:r>
        <w:t>i</w:t>
      </w:r>
      <w:r>
        <w:t>guiente y agregó el informe médico a las actuaci</w:t>
      </w:r>
      <w:r>
        <w:t>o</w:t>
      </w:r>
      <w:r>
        <w:t>nes.</w:t>
      </w:r>
    </w:p>
    <w:p w:rsidR="00224567" w:rsidRDefault="00224567">
      <w:pPr>
        <w:widowControl w:val="0"/>
        <w:ind w:firstLine="2835"/>
      </w:pPr>
      <w:r>
        <w:t>Admitió que no certificó la e</w:t>
      </w:r>
      <w:r>
        <w:t>n</w:t>
      </w:r>
      <w:r>
        <w:t xml:space="preserve">trega de las fichas en </w:t>
      </w:r>
      <w:smartTag w:uri="urn:schemas-microsoft-com:office:smarttags" w:element="PersonName">
        <w:smartTagPr>
          <w:attr w:name="ProductID" w:val="la Divisi￳n Antecedentes"/>
        </w:smartTagPr>
        <w:r>
          <w:t>la División Antecedentes</w:t>
        </w:r>
      </w:smartTag>
      <w:r>
        <w:t xml:space="preserve"> Personales porque nunca lo había hecho, dando por descontado que al haber quedado a la firma, habían sido rubricadas, colocadas en el cajón del correo a </w:t>
      </w:r>
      <w:smartTag w:uri="urn:schemas-microsoft-com:office:smarttags" w:element="PersonName">
        <w:smartTagPr>
          <w:attr w:name="ProductID" w:val="La Plata"/>
        </w:smartTagPr>
        <w:r>
          <w:t>La Plata</w:t>
        </w:r>
      </w:smartTag>
      <w:r>
        <w:t xml:space="preserve"> y llevadas a su destino, como era la práctica habitual; explicó que no le corre</w:t>
      </w:r>
      <w:r>
        <w:t>s</w:t>
      </w:r>
      <w:r>
        <w:t>pondía controlar al comisario.</w:t>
      </w:r>
    </w:p>
    <w:p w:rsidR="00224567" w:rsidRDefault="00224567">
      <w:pPr>
        <w:widowControl w:val="0"/>
        <w:ind w:firstLine="2835"/>
      </w:pPr>
      <w:r>
        <w:t>Remarcó que su actuación se limitó a obedecer la orden del instructor de extraer fichas dact</w:t>
      </w:r>
      <w:r>
        <w:t>i</w:t>
      </w:r>
      <w:r>
        <w:t xml:space="preserve">loscópicas para remitirlas a </w:t>
      </w:r>
      <w:smartTag w:uri="urn:schemas-microsoft-com:office:smarttags" w:element="PersonName">
        <w:smartTagPr>
          <w:attr w:name="ProductID" w:val="La Plata."/>
        </w:smartTagPr>
        <w:r>
          <w:t>La Pl</w:t>
        </w:r>
        <w:r>
          <w:t>a</w:t>
        </w:r>
        <w:r>
          <w:t>ta.</w:t>
        </w:r>
      </w:smartTag>
    </w:p>
    <w:p w:rsidR="00224567" w:rsidRDefault="00224567">
      <w:pPr>
        <w:widowControl w:val="0"/>
        <w:ind w:firstLine="2835"/>
      </w:pPr>
      <w:r>
        <w:t>Asimismo, refirió que Ibarra, quien quedó a cargo de la averiguación de antecedentes de “Te</w:t>
      </w:r>
      <w:r>
        <w:t>c</w:t>
      </w:r>
      <w:r>
        <w:t>cedin” y Petrucci, le comentó que, conforme lo informado por Vertúa, no tenían capturas, haciéndole saber también que el vehículo en el cual se desplazaban no tenía imped</w:t>
      </w:r>
      <w:r>
        <w:t>i</w:t>
      </w:r>
      <w:r>
        <w:t>mento legal y que había certificado en el registro que la cédula se correspondía con el leg</w:t>
      </w:r>
      <w:r>
        <w:t>a</w:t>
      </w:r>
      <w:r>
        <w:t>jo.</w:t>
      </w:r>
    </w:p>
    <w:p w:rsidR="00224567" w:rsidRDefault="00224567">
      <w:pPr>
        <w:widowControl w:val="0"/>
        <w:ind w:firstLine="2835"/>
      </w:pPr>
      <w:r>
        <w:t>El imputado aseguró que no se le oc</w:t>
      </w:r>
      <w:r>
        <w:t>u</w:t>
      </w:r>
      <w:r>
        <w:t>rrió verificar los antecedentes de Telleldín, quien era buscado en el expediente de Quilmes.</w:t>
      </w:r>
    </w:p>
    <w:p w:rsidR="00224567" w:rsidRDefault="00224567">
      <w:pPr>
        <w:widowControl w:val="0"/>
        <w:ind w:firstLine="2835"/>
      </w:pPr>
      <w:r>
        <w:t>El encartado consideró que, si bien era el secretario de actuación, no resultaba anormal que Ibarra -oficial jefe- se hubiera encargado de certificar los antecedentes, toda vez que éste era quien había det</w:t>
      </w:r>
      <w:r>
        <w:t>e</w:t>
      </w:r>
      <w:r>
        <w:t>nido a “Teccedin” y Petrucci en el marco de la causa nº 5681, circunstancia que había comunicado al juzgado; en consecuencia, era lógico que Ibarra continuara la invest</w:t>
      </w:r>
      <w:r>
        <w:t>i</w:t>
      </w:r>
      <w:r>
        <w:t>gación iniciada e informara las noved</w:t>
      </w:r>
      <w:r>
        <w:t>a</w:t>
      </w:r>
      <w:r>
        <w:t>des de interés a la autoridad judicial interv</w:t>
      </w:r>
      <w:r>
        <w:t>i</w:t>
      </w:r>
      <w:r>
        <w:t>niente.</w:t>
      </w:r>
    </w:p>
    <w:p w:rsidR="00224567" w:rsidRDefault="00224567">
      <w:pPr>
        <w:widowControl w:val="0"/>
        <w:ind w:firstLine="2835"/>
      </w:pPr>
      <w:r>
        <w:t>Precisó que antes de las 21.00 notif</w:t>
      </w:r>
      <w:r>
        <w:t>i</w:t>
      </w:r>
      <w:r>
        <w:t xml:space="preserve">có en </w:t>
      </w:r>
      <w:smartTag w:uri="urn:schemas-microsoft-com:office:smarttags" w:element="PersonName">
        <w:smartTagPr>
          <w:attr w:name="ProductID" w:val="la Oficina"/>
        </w:smartTagPr>
        <w:r>
          <w:t>la Oficina</w:t>
        </w:r>
      </w:smartTag>
      <w:r>
        <w:t xml:space="preserve"> de Judiciales a “Teccedin” y Petrucci de la libertad dispuesta. En este sentido, puntual</w:t>
      </w:r>
      <w:r>
        <w:t>i</w:t>
      </w:r>
      <w:r>
        <w:t>zó que le informó al primero sobre la entrega del automotor, dándole la llave y la cédula verde. Que, además, le avisó al of</w:t>
      </w:r>
      <w:r>
        <w:t>i</w:t>
      </w:r>
      <w:r>
        <w:t>cial de servicio, responsable de los d</w:t>
      </w:r>
      <w:r>
        <w:t>e</w:t>
      </w:r>
      <w:r>
        <w:t>tenidos, que ambos se retiraban, pero no vio, por la disposición que tenía su oficina, el momento en el que egresaron de la brig</w:t>
      </w:r>
      <w:r>
        <w:t>a</w:t>
      </w:r>
      <w:r>
        <w:t>da.</w:t>
      </w:r>
    </w:p>
    <w:p w:rsidR="00224567" w:rsidRDefault="00224567">
      <w:pPr>
        <w:widowControl w:val="0"/>
        <w:ind w:firstLine="2835"/>
      </w:pPr>
      <w:r>
        <w:t>Bacigalupo sostuvo que en la c</w:t>
      </w:r>
      <w:r>
        <w:t>a</w:t>
      </w:r>
      <w:r>
        <w:t>rátula de las actuaciones por averiguación de antecedentes de “Teccedin” y Petrucci, glosada a fs. 37.329, no figuraba su nombre debido a un olvido, a la vez que observó que t</w:t>
      </w:r>
      <w:r>
        <w:t>o</w:t>
      </w:r>
      <w:r>
        <w:t>das las demás constancias tenían su firma y sello aclar</w:t>
      </w:r>
      <w:r>
        <w:t>a</w:t>
      </w:r>
      <w:r>
        <w:t>torio.</w:t>
      </w:r>
    </w:p>
    <w:p w:rsidR="00224567" w:rsidRDefault="00224567">
      <w:pPr>
        <w:widowControl w:val="0"/>
        <w:ind w:firstLine="2835"/>
      </w:pPr>
      <w:r>
        <w:t>El 12 de abril de 1994, señaló, el c</w:t>
      </w:r>
      <w:r>
        <w:t>o</w:t>
      </w:r>
      <w:r>
        <w:t xml:space="preserve">rreo local remitió a la brigada, por vía electrónica, el informe de </w:t>
      </w:r>
      <w:smartTag w:uri="urn:schemas-microsoft-com:office:smarttags" w:element="PersonName">
        <w:smartTagPr>
          <w:attr w:name="ProductID" w:val="la Divisi￳n Antecedentes"/>
        </w:smartTagPr>
        <w:r>
          <w:t>la División Antecedentes</w:t>
        </w:r>
      </w:smartTag>
      <w:r>
        <w:t xml:space="preserve"> Pe</w:t>
      </w:r>
      <w:r>
        <w:t>r</w:t>
      </w:r>
      <w:r>
        <w:t>sonales, en el que se comunicaba que “Teccedin” y Petrucci no ten</w:t>
      </w:r>
      <w:r>
        <w:t>í</w:t>
      </w:r>
      <w:r>
        <w:t>an capturas y e</w:t>
      </w:r>
      <w:r>
        <w:t>s</w:t>
      </w:r>
      <w:r>
        <w:t>taban identificados con I.G. 55.963 y 55.960. De ello dedujo que las huellas estaban bien t</w:t>
      </w:r>
      <w:r>
        <w:t>o</w:t>
      </w:r>
      <w:r>
        <w:t>madas, pues, en caso contrario, hubieran pedido un nuevo juego de fichas dec</w:t>
      </w:r>
      <w:r>
        <w:t>a</w:t>
      </w:r>
      <w:r>
        <w:t>dactilares.</w:t>
      </w:r>
    </w:p>
    <w:p w:rsidR="00224567" w:rsidRDefault="00224567">
      <w:pPr>
        <w:widowControl w:val="0"/>
        <w:ind w:firstLine="2835"/>
      </w:pPr>
      <w:r>
        <w:t>Destacó que nunca dudó de la verac</w:t>
      </w:r>
      <w:r>
        <w:t>i</w:t>
      </w:r>
      <w:r>
        <w:t>dad del informe, el que coincidía, además, con lo declarado oportunamente por Ibarra, enterándose, con motivo del s</w:t>
      </w:r>
      <w:r>
        <w:t>u</w:t>
      </w:r>
      <w:r>
        <w:t>mario adm</w:t>
      </w:r>
      <w:r>
        <w:t>i</w:t>
      </w:r>
      <w:r>
        <w:t>nistrativo, que quien lo realizó era una persona sin los conocimientos mínimos de dact</w:t>
      </w:r>
      <w:r>
        <w:t>i</w:t>
      </w:r>
      <w:r>
        <w:t>loscopia.</w:t>
      </w:r>
    </w:p>
    <w:p w:rsidR="00224567" w:rsidRDefault="00224567">
      <w:pPr>
        <w:widowControl w:val="0"/>
        <w:ind w:firstLine="2835"/>
      </w:pPr>
      <w:r>
        <w:t>Manifestó que no se ocultó la real identidad de “Teccedin” y que se mandaron las fichas, n</w:t>
      </w:r>
      <w:r>
        <w:t>e</w:t>
      </w:r>
      <w:r>
        <w:t>gando que las mismas hubieran salido tarde o estuvieran mal sacadas y que se falsearan las con</w:t>
      </w:r>
      <w:r>
        <w:t>s</w:t>
      </w:r>
      <w:r>
        <w:t>tancias.</w:t>
      </w:r>
    </w:p>
    <w:p w:rsidR="00224567" w:rsidRDefault="00224567">
      <w:pPr>
        <w:widowControl w:val="0"/>
        <w:ind w:firstLine="2835"/>
      </w:pPr>
      <w:r>
        <w:t>En tal sentido, explicó que el deten</w:t>
      </w:r>
      <w:r>
        <w:t>i</w:t>
      </w:r>
      <w:r>
        <w:t>do se identificó ante él como Carlos Alberto “Tecc</w:t>
      </w:r>
      <w:r>
        <w:t>e</w:t>
      </w:r>
      <w:r>
        <w:t>din” en forma clara y espontánea, como así también ante el pers</w:t>
      </w:r>
      <w:r>
        <w:t>o</w:t>
      </w:r>
      <w:r>
        <w:t>nal que lo detuvo, ante Casas que lo identificó y ante el médico l</w:t>
      </w:r>
      <w:r>
        <w:t>e</w:t>
      </w:r>
      <w:r>
        <w:t>gista, por lo que consideró que no había motivos para dudar.</w:t>
      </w:r>
    </w:p>
    <w:p w:rsidR="00224567" w:rsidRDefault="00224567">
      <w:pPr>
        <w:widowControl w:val="0"/>
        <w:ind w:firstLine="2835"/>
      </w:pPr>
      <w:r>
        <w:t>Señaló que tuvo a “Teccedin” ante su vista sólo en dos oportunidades: cuando lo notificó s</w:t>
      </w:r>
      <w:r>
        <w:t>o</w:t>
      </w:r>
      <w:r>
        <w:t>bre el motivo de su detención y luego de su libertad, agrega</w:t>
      </w:r>
      <w:r>
        <w:t>n</w:t>
      </w:r>
      <w:r>
        <w:t>do que durante el trámite no vio nada llamativo en la br</w:t>
      </w:r>
      <w:r>
        <w:t>i</w:t>
      </w:r>
      <w:r>
        <w:t>gada.</w:t>
      </w:r>
    </w:p>
    <w:p w:rsidR="00224567" w:rsidRDefault="00224567">
      <w:pPr>
        <w:pStyle w:val="Sangradetextonormal"/>
        <w:widowControl w:val="0"/>
        <w:ind w:firstLine="2835"/>
      </w:pPr>
      <w:r>
        <w:t>Precisó que el 22 de septiembre de 1995 fue citado por el comisario mayor Bretschneider, D</w:t>
      </w:r>
      <w:r>
        <w:t>i</w:t>
      </w:r>
      <w:r>
        <w:t xml:space="preserve">rector de Sumarios de </w:t>
      </w:r>
      <w:smartTag w:uri="urn:schemas-microsoft-com:office:smarttags" w:element="PersonName">
        <w:smartTagPr>
          <w:attr w:name="ProductID" w:val="la Jefatura"/>
        </w:smartTagPr>
        <w:r>
          <w:t>la Jefatura</w:t>
        </w:r>
      </w:smartTag>
      <w:r>
        <w:t xml:space="preserve">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w:t>
        </w:r>
        <w:r>
          <w:t>o</w:t>
        </w:r>
        <w:r>
          <w:t>vincia</w:t>
        </w:r>
      </w:smartTag>
      <w:r>
        <w:t xml:space="preserve"> de Buenos Aires, quien le informó que en un de</w:t>
      </w:r>
      <w:r>
        <w:t>s</w:t>
      </w:r>
      <w:r>
        <w:t>prendimiento de la causa A.M.I.A. se le imputaba una i</w:t>
      </w:r>
      <w:r>
        <w:t>n</w:t>
      </w:r>
      <w:r>
        <w:t>fracción al art. 58, inc. 15, de la ley 9550, por no haber remitido oportunamente las fichas de “Teccedin”. Aclaró que fue en ese momento cuando se enteró de la falsa ide</w:t>
      </w:r>
      <w:r>
        <w:t>n</w:t>
      </w:r>
      <w:r>
        <w:t>tidad d</w:t>
      </w:r>
      <w:r>
        <w:t>e</w:t>
      </w:r>
      <w:r>
        <w:t>clarada por el nombrado.</w:t>
      </w:r>
    </w:p>
    <w:p w:rsidR="00224567" w:rsidRDefault="00224567">
      <w:pPr>
        <w:widowControl w:val="0"/>
        <w:ind w:firstLine="2835"/>
      </w:pPr>
      <w:r>
        <w:t>Agregó al respecto que, hasta dicha fecha, el juzgado de Quilmes tampoco había tomado conoc</w:t>
      </w:r>
      <w:r>
        <w:t>i</w:t>
      </w:r>
      <w:r>
        <w:t>miento de que “Teccedin” en realidad era Telleldín, a tal punto que ordenaron una averigu</w:t>
      </w:r>
      <w:r>
        <w:t>a</w:t>
      </w:r>
      <w:r>
        <w:t>ción de paradero a nombre del pr</w:t>
      </w:r>
      <w:r>
        <w:t>i</w:t>
      </w:r>
      <w:r>
        <w:t>mero.</w:t>
      </w:r>
    </w:p>
    <w:p w:rsidR="00224567" w:rsidRDefault="00224567">
      <w:pPr>
        <w:widowControl w:val="0"/>
        <w:ind w:firstLine="2835"/>
      </w:pPr>
      <w:r>
        <w:t>Expresó que al prestar declar</w:t>
      </w:r>
      <w:r>
        <w:t>a</w:t>
      </w:r>
      <w:r>
        <w:t>ción en sede administrativa se explayó sobre la regularidad del trámite de averiguación de antecedentes y aclaró que al momento de notificar a “Teccedin” y Petrucci, ninguno le exhibió su Documento N</w:t>
      </w:r>
      <w:r>
        <w:t>a</w:t>
      </w:r>
      <w:r>
        <w:t>cional de Identidad, por cuanto, en su caso, habría dejado consta</w:t>
      </w:r>
      <w:r>
        <w:t>n</w:t>
      </w:r>
      <w:r>
        <w:t>cia.</w:t>
      </w:r>
    </w:p>
    <w:p w:rsidR="00224567" w:rsidRDefault="00224567">
      <w:pPr>
        <w:widowControl w:val="0"/>
        <w:ind w:firstLine="2835"/>
      </w:pPr>
      <w:r>
        <w:t>Dijo que no era necesario solicita</w:t>
      </w:r>
      <w:r>
        <w:t>r</w:t>
      </w:r>
      <w:r>
        <w:t>les los documentos, toda vez que la detención tenía como obj</w:t>
      </w:r>
      <w:r>
        <w:t>e</w:t>
      </w:r>
      <w:r>
        <w:t>tivo certificar las capturas.</w:t>
      </w:r>
    </w:p>
    <w:p w:rsidR="00224567" w:rsidRDefault="00224567">
      <w:pPr>
        <w:widowControl w:val="0"/>
        <w:ind w:firstLine="2835"/>
      </w:pPr>
      <w:r>
        <w:t>Consideró probado que el 27 de se</w:t>
      </w:r>
      <w:r>
        <w:t>p</w:t>
      </w:r>
      <w:r>
        <w:t>tiembre de 1995 las fichas de los dos demorados habían s</w:t>
      </w:r>
      <w:r>
        <w:t>i</w:t>
      </w:r>
      <w:r>
        <w:t xml:space="preserve">do recibidas en </w:t>
      </w:r>
      <w:smartTag w:uri="urn:schemas-microsoft-com:office:smarttags" w:element="PersonName">
        <w:smartTagPr>
          <w:attr w:name="ProductID" w:val="la Direcci￳n"/>
        </w:smartTagPr>
        <w:r>
          <w:t>la Dirección</w:t>
        </w:r>
      </w:smartTag>
      <w:r>
        <w:t xml:space="preserve"> de Antecedentes Personales. Señaló que, a tales efectos, aportó al sumario administr</w:t>
      </w:r>
      <w:r>
        <w:t>a</w:t>
      </w:r>
      <w:r>
        <w:t>tivo fotocopia del libro de guardia de la brigada donde consta la salida de las fichas y la rece</w:t>
      </w:r>
      <w:r>
        <w:t>p</w:t>
      </w:r>
      <w:r>
        <w:t>ción del correo, copias del pro</w:t>
      </w:r>
      <w:r>
        <w:t>n</w:t>
      </w:r>
      <w:r>
        <w:t>tuario de “Teccedin” obrante en la brigada, fotocopia del correo electrónico en el cual se comunicó que “Teccedin” y Petrucci no tenían capturas y una con</w:t>
      </w:r>
      <w:r>
        <w:t>s</w:t>
      </w:r>
      <w:r>
        <w:t xml:space="preserve">tancia del segundo jefe de </w:t>
      </w:r>
      <w:smartTag w:uri="urn:schemas-microsoft-com:office:smarttags" w:element="PersonName">
        <w:smartTagPr>
          <w:attr w:name="ProductID" w:val="la Direcci￳n Antecedentes"/>
        </w:smartTagPr>
        <w:r>
          <w:t>la Dirección Antecedentes</w:t>
        </w:r>
      </w:smartTag>
      <w:r>
        <w:t xml:space="preserve"> Pe</w:t>
      </w:r>
      <w:r>
        <w:t>r</w:t>
      </w:r>
      <w:r>
        <w:t>sonales, de apellido Gómez, de la que surge, en discorda</w:t>
      </w:r>
      <w:r>
        <w:t>n</w:t>
      </w:r>
      <w:r>
        <w:t>cia con lo sostenido por Graciela Gómez, que el 6 de abril de 1994 ingresaron las f</w:t>
      </w:r>
      <w:r>
        <w:t>i</w:t>
      </w:r>
      <w:r>
        <w:t>chas de “Teccedin” y Petrucci en la división y que el primero no tenía antecedentes pers</w:t>
      </w:r>
      <w:r>
        <w:t>o</w:t>
      </w:r>
      <w:r>
        <w:t>nales.</w:t>
      </w:r>
    </w:p>
    <w:p w:rsidR="00224567" w:rsidRDefault="00224567">
      <w:pPr>
        <w:widowControl w:val="0"/>
        <w:ind w:firstLine="2835"/>
      </w:pPr>
      <w:r>
        <w:t>El imputado cuestionó el proceder de Graciela Gómez, quien, conforme declaró en el debate, fi</w:t>
      </w:r>
      <w:r>
        <w:t>r</w:t>
      </w:r>
      <w:r>
        <w:t>mó el informe sin saber quién lo había realizado. Que lo correcto hubiera sido que certificara lo volcado en el l</w:t>
      </w:r>
      <w:r>
        <w:t>i</w:t>
      </w:r>
      <w:r>
        <w:t>bro de I.G. y en el libro de recibo de fichas dactilosc</w:t>
      </w:r>
      <w:r>
        <w:t>ó</w:t>
      </w:r>
      <w:r>
        <w:t>picas.</w:t>
      </w:r>
    </w:p>
    <w:p w:rsidR="00224567" w:rsidRDefault="00224567">
      <w:pPr>
        <w:widowControl w:val="0"/>
        <w:ind w:firstLine="2835"/>
      </w:pPr>
      <w:r>
        <w:t>Desconoció el motivo por el cual fu</w:t>
      </w:r>
      <w:r>
        <w:t>e</w:t>
      </w:r>
      <w:r>
        <w:t xml:space="preserve">ron llevadas por el suboficial Filipponi con el correo a </w:t>
      </w:r>
      <w:smartTag w:uri="urn:schemas-microsoft-com:office:smarttags" w:element="PersonName">
        <w:smartTagPr>
          <w:attr w:name="ProductID" w:val="La Plata"/>
        </w:smartTagPr>
        <w:r>
          <w:t>La Plata</w:t>
        </w:r>
      </w:smartTag>
      <w:r>
        <w:t xml:space="preserve"> recién el 6 de abril –según la consta</w:t>
      </w:r>
      <w:r>
        <w:t>n</w:t>
      </w:r>
      <w:r>
        <w:t>cia de fs. 95 del libro de guardia- y recib</w:t>
      </w:r>
      <w:r>
        <w:t>i</w:t>
      </w:r>
      <w:r>
        <w:t xml:space="preserve">das en idéntica fecha en </w:t>
      </w:r>
      <w:smartTag w:uri="urn:schemas-microsoft-com:office:smarttags" w:element="PersonName">
        <w:smartTagPr>
          <w:attr w:name="ProductID" w:val="la Divisi￳n Antecedentes"/>
        </w:smartTagPr>
        <w:r>
          <w:t>la División Antecedentes</w:t>
        </w:r>
      </w:smartTag>
      <w:r>
        <w:t xml:space="preserve"> Personales de </w:t>
      </w:r>
      <w:smartTag w:uri="urn:schemas-microsoft-com:office:smarttags" w:element="PersonName">
        <w:smartTagPr>
          <w:attr w:name="ProductID" w:val="la Jefatura"/>
        </w:smartTagPr>
        <w:r>
          <w:t>la Jefatura</w:t>
        </w:r>
      </w:smartTag>
      <w:r>
        <w:t xml:space="preserve"> de P</w:t>
      </w:r>
      <w:r>
        <w:t>o</w:t>
      </w:r>
      <w:r>
        <w:t>licía -fs. 31 del libro de c</w:t>
      </w:r>
      <w:r>
        <w:t>o</w:t>
      </w:r>
      <w:r>
        <w:t>rreo-.</w:t>
      </w:r>
    </w:p>
    <w:p w:rsidR="00224567" w:rsidRDefault="00224567">
      <w:pPr>
        <w:widowControl w:val="0"/>
        <w:ind w:firstLine="2835"/>
      </w:pPr>
      <w:r>
        <w:t xml:space="preserve">Afirmó que el 11 de abril </w:t>
      </w:r>
      <w:smartTag w:uri="urn:schemas-microsoft-com:office:smarttags" w:element="PersonName">
        <w:smartTagPr>
          <w:attr w:name="ProductID" w:val="la Divisi￳n Antecedentes"/>
        </w:smartTagPr>
        <w:r>
          <w:t>la D</w:t>
        </w:r>
        <w:r>
          <w:t>i</w:t>
        </w:r>
        <w:r>
          <w:t>visión Antecedentes</w:t>
        </w:r>
      </w:smartTag>
      <w:r>
        <w:t xml:space="preserve"> Personales libró un correo electrónico dir</w:t>
      </w:r>
      <w:r>
        <w:t>i</w:t>
      </w:r>
      <w:r>
        <w:t xml:space="preserve">gido a </w:t>
      </w:r>
      <w:smartTag w:uri="urn:schemas-microsoft-com:office:smarttags" w:element="PersonName">
        <w:smartTagPr>
          <w:attr w:name="ProductID" w:val="la Brigada"/>
        </w:smartTagPr>
        <w:r>
          <w:t>la Brigada</w:t>
        </w:r>
      </w:smartTag>
      <w:r>
        <w:t xml:space="preserve"> de Lanús, pero como para esa época la depende</w:t>
      </w:r>
      <w:r>
        <w:t>n</w:t>
      </w:r>
      <w:r>
        <w:t xml:space="preserve">cia no tenía terminales para recibir esa clase de informes, la comunicación fue remitida a </w:t>
      </w:r>
      <w:smartTag w:uri="urn:schemas-microsoft-com:office:smarttags" w:element="PersonName">
        <w:smartTagPr>
          <w:attr w:name="ProductID" w:val="la Unidad Regional"/>
        </w:smartTagPr>
        <w:r>
          <w:t>la Unidad Regi</w:t>
        </w:r>
        <w:r>
          <w:t>o</w:t>
        </w:r>
        <w:r>
          <w:t>nal</w:t>
        </w:r>
      </w:smartTag>
      <w:r>
        <w:t xml:space="preserve"> II-Lanús. Finalmente, dijo, la información fue recib</w:t>
      </w:r>
      <w:r>
        <w:t>i</w:t>
      </w:r>
      <w:r>
        <w:t>da en la brigada el 12 de ese mes a través del correo l</w:t>
      </w:r>
      <w:r>
        <w:t>o</w:t>
      </w:r>
      <w:r>
        <w:t>cal.</w:t>
      </w:r>
    </w:p>
    <w:p w:rsidR="00224567" w:rsidRDefault="00224567">
      <w:pPr>
        <w:widowControl w:val="0"/>
        <w:ind w:firstLine="2835"/>
      </w:pPr>
      <w:r>
        <w:t>Refirió que verificó las anotaciones asentadas en el l</w:t>
      </w:r>
      <w:r>
        <w:t>i</w:t>
      </w:r>
      <w:r>
        <w:t>bro de guardia del 13 al 18 de marzo de 1994 y advirtió que del 13 al 25 figuraba su apell</w:t>
      </w:r>
      <w:r>
        <w:t>i</w:t>
      </w:r>
      <w:r>
        <w:t>do con las siglas J.P.K., término utilizado para significar l</w:t>
      </w:r>
      <w:r>
        <w:t>i</w:t>
      </w:r>
      <w:r>
        <w:t>cencia anual. Además, observó que el 13 estaba registrado el ingreso de Alejandro Ambrosi por el exp</w:t>
      </w:r>
      <w:r>
        <w:t>e</w:t>
      </w:r>
      <w:r>
        <w:t>diente nº 5681 y el de Analía Ferreira por averiguación de ant</w:t>
      </w:r>
      <w:r>
        <w:t>e</w:t>
      </w:r>
      <w:r>
        <w:t xml:space="preserve">cedentes, que el </w:t>
      </w:r>
      <w:smartTag w:uri="urn:schemas-microsoft-com:office:smarttags" w:element="metricconverter">
        <w:smartTagPr>
          <w:attr w:name="ProductID" w:val="14 a"/>
        </w:smartTagPr>
        <w:r>
          <w:t>14 a</w:t>
        </w:r>
      </w:smartTag>
      <w:r>
        <w:t xml:space="preserve"> las 11.30 y 15.00 estaban consignados los i</w:t>
      </w:r>
      <w:r>
        <w:t>n</w:t>
      </w:r>
      <w:r>
        <w:t>gresos de Buján y An</w:t>
      </w:r>
      <w:r>
        <w:t>a</w:t>
      </w:r>
      <w:r>
        <w:t xml:space="preserve">lía Ferreira, respectivamente, ambos con motivo de los autos de mención, y que el </w:t>
      </w:r>
      <w:smartTag w:uri="urn:schemas-microsoft-com:office:smarttags" w:element="metricconverter">
        <w:smartTagPr>
          <w:attr w:name="ProductID" w:val="15, a"/>
        </w:smartTagPr>
        <w:r>
          <w:t>15, a</w:t>
        </w:r>
      </w:smartTag>
      <w:r>
        <w:t xml:space="preserve"> las 8.20, se encontraba anotado el egreso de las fichas de A</w:t>
      </w:r>
      <w:r>
        <w:t>m</w:t>
      </w:r>
      <w:r>
        <w:t xml:space="preserve">brosi, Buján y Ferreira con el correo a </w:t>
      </w:r>
      <w:smartTag w:uri="urn:schemas-microsoft-com:office:smarttags" w:element="PersonName">
        <w:smartTagPr>
          <w:attr w:name="ProductID" w:val="La Plata."/>
        </w:smartTagPr>
        <w:r>
          <w:t>La Plata.</w:t>
        </w:r>
      </w:smartTag>
    </w:p>
    <w:p w:rsidR="00224567" w:rsidRDefault="00224567">
      <w:pPr>
        <w:widowControl w:val="0"/>
        <w:ind w:firstLine="2835"/>
      </w:pPr>
      <w:r>
        <w:t>A lo expuesto añadió que las 13.00 se registró el correo local, incluido un correo electrón</w:t>
      </w:r>
      <w:r>
        <w:t>i</w:t>
      </w:r>
      <w:r>
        <w:t xml:space="preserve">co, y a las 14.00 la llegada del correo de </w:t>
      </w:r>
      <w:smartTag w:uri="urn:schemas-microsoft-com:office:smarttags" w:element="PersonName">
        <w:smartTagPr>
          <w:attr w:name="ProductID" w:val="La Plata"/>
        </w:smartTagPr>
        <w:r>
          <w:t>la Plata</w:t>
        </w:r>
      </w:smartTag>
      <w:r>
        <w:t>, en el cual se encontraba una planilla de antecede</w:t>
      </w:r>
      <w:r>
        <w:t>n</w:t>
      </w:r>
      <w:r>
        <w:t>tes de Horacio Montivero, quien, conforme el libro de deten</w:t>
      </w:r>
      <w:r>
        <w:t>i</w:t>
      </w:r>
      <w:r>
        <w:t xml:space="preserve">dos, figuraba privado de su libertad el 24 de febrero. Que el 16 se asentó la salida del correo a </w:t>
      </w:r>
      <w:smartTag w:uri="urn:schemas-microsoft-com:office:smarttags" w:element="PersonName">
        <w:smartTagPr>
          <w:attr w:name="ProductID" w:val="La Plata"/>
        </w:smartTagPr>
        <w:r>
          <w:t>La Plata</w:t>
        </w:r>
      </w:smartTag>
      <w:r>
        <w:t>, cuya llegada fue a las 14.00, al mediodía figuraba el regreso del correo l</w:t>
      </w:r>
      <w:r>
        <w:t>o</w:t>
      </w:r>
      <w:r>
        <w:t xml:space="preserve">cal y a las 17.30, el ingreso de Montes por averiguación de antecedentes. Por último, mencionó que el </w:t>
      </w:r>
      <w:smartTag w:uri="urn:schemas-microsoft-com:office:smarttags" w:element="metricconverter">
        <w:smartTagPr>
          <w:attr w:name="ProductID" w:val="17, a"/>
        </w:smartTagPr>
        <w:r>
          <w:t>17, a</w:t>
        </w:r>
      </w:smartTag>
      <w:r>
        <w:t xml:space="preserve"> las 16.00, había una constancia de libertad de Montes y su i</w:t>
      </w:r>
      <w:r>
        <w:t>n</w:t>
      </w:r>
      <w:r>
        <w:t>greso por una ca</w:t>
      </w:r>
      <w:r>
        <w:t>p</w:t>
      </w:r>
      <w:r>
        <w:t>tura.</w:t>
      </w:r>
    </w:p>
    <w:p w:rsidR="00224567" w:rsidRDefault="00224567">
      <w:pPr>
        <w:widowControl w:val="0"/>
        <w:ind w:firstLine="2835"/>
      </w:pPr>
      <w:r>
        <w:t>Refirió que tanto en el libro de gua</w:t>
      </w:r>
      <w:r>
        <w:t>r</w:t>
      </w:r>
      <w:r>
        <w:t>dia como en el de detenidos figuraban el ingreso y post</w:t>
      </w:r>
      <w:r>
        <w:t>e</w:t>
      </w:r>
      <w:r>
        <w:t>rior libertad de “Teccedin” y Petrucci los días 4 y 5 de abril. Agregó que en el libro mencionado en pr</w:t>
      </w:r>
      <w:r>
        <w:t>i</w:t>
      </w:r>
      <w:r>
        <w:t>mer término estaba registrado, el 4 de abril, el ingr</w:t>
      </w:r>
      <w:r>
        <w:t>e</w:t>
      </w:r>
      <w:r>
        <w:t xml:space="preserve">so con el correo de </w:t>
      </w:r>
      <w:smartTag w:uri="urn:schemas-microsoft-com:office:smarttags" w:element="PersonName">
        <w:smartTagPr>
          <w:attr w:name="ProductID" w:val="La Plata"/>
        </w:smartTagPr>
        <w:r>
          <w:t>La Plata</w:t>
        </w:r>
      </w:smartTag>
      <w:r>
        <w:t xml:space="preserve"> de la planilla de antec</w:t>
      </w:r>
      <w:r>
        <w:t>e</w:t>
      </w:r>
      <w:r>
        <w:t>dentes de Buján, quien había ingresado el 14 de ma</w:t>
      </w:r>
      <w:r>
        <w:t>r</w:t>
      </w:r>
      <w:r>
        <w:t>zo.</w:t>
      </w:r>
    </w:p>
    <w:p w:rsidR="00224567" w:rsidRDefault="00224567">
      <w:pPr>
        <w:pStyle w:val="Textoindependiente"/>
        <w:spacing w:line="600" w:lineRule="auto"/>
        <w:rPr>
          <w:lang w:val="es-ES"/>
        </w:rPr>
      </w:pPr>
      <w:r>
        <w:rPr>
          <w:lang w:val="es-ES"/>
        </w:rPr>
        <w:tab/>
        <w:t>En otro orden, declaró que la imputación p</w:t>
      </w:r>
      <w:r>
        <w:rPr>
          <w:lang w:val="es-ES"/>
        </w:rPr>
        <w:t>e</w:t>
      </w:r>
      <w:r>
        <w:rPr>
          <w:lang w:val="es-ES"/>
        </w:rPr>
        <w:t>nal fue idéntica a la administrativa, atrib</w:t>
      </w:r>
      <w:r>
        <w:rPr>
          <w:lang w:val="es-ES"/>
        </w:rPr>
        <w:t>u</w:t>
      </w:r>
      <w:r>
        <w:rPr>
          <w:lang w:val="es-ES"/>
        </w:rPr>
        <w:t>yéndole al juez Galeano la omisión de envío de las fichas da</w:t>
      </w:r>
      <w:r>
        <w:rPr>
          <w:lang w:val="es-ES"/>
        </w:rPr>
        <w:t>c</w:t>
      </w:r>
      <w:r>
        <w:rPr>
          <w:lang w:val="es-ES"/>
        </w:rPr>
        <w:t>tiloscópicas. Sin embargo, agregó, en el mismo sumario administrativo utilizado como elemento de cargo en su indagatoria, estaban las constancias desincriminatorias que había pr</w:t>
      </w:r>
      <w:r>
        <w:rPr>
          <w:lang w:val="es-ES"/>
        </w:rPr>
        <w:t>e</w:t>
      </w:r>
      <w:r>
        <w:rPr>
          <w:lang w:val="es-ES"/>
        </w:rPr>
        <w:t>sentado.</w:t>
      </w:r>
    </w:p>
    <w:p w:rsidR="00224567" w:rsidRDefault="00224567">
      <w:pPr>
        <w:pStyle w:val="Textoindependiente"/>
        <w:spacing w:line="600" w:lineRule="auto"/>
        <w:rPr>
          <w:lang w:val="es-ES"/>
        </w:rPr>
      </w:pPr>
      <w:r>
        <w:rPr>
          <w:lang w:val="es-ES"/>
        </w:rPr>
        <w:tab/>
        <w:t>Asimismo, indicó, el magistrado instructor sostuvo que su situación administrativa no había sido r</w:t>
      </w:r>
      <w:r>
        <w:rPr>
          <w:lang w:val="es-ES"/>
        </w:rPr>
        <w:t>e</w:t>
      </w:r>
      <w:r>
        <w:rPr>
          <w:lang w:val="es-ES"/>
        </w:rPr>
        <w:t>suelta, conforme el informe de Bretschneider del 18 de se</w:t>
      </w:r>
      <w:r>
        <w:rPr>
          <w:lang w:val="es-ES"/>
        </w:rPr>
        <w:t>p</w:t>
      </w:r>
      <w:r>
        <w:rPr>
          <w:lang w:val="es-ES"/>
        </w:rPr>
        <w:t xml:space="preserve">tiembre de </w:t>
      </w:r>
      <w:smartTag w:uri="urn:schemas-microsoft-com:office:smarttags" w:element="metricconverter">
        <w:smartTagPr>
          <w:attr w:name="ProductID" w:val="1995, a"/>
        </w:smartTagPr>
        <w:r>
          <w:rPr>
            <w:lang w:val="es-ES"/>
          </w:rPr>
          <w:t>1995, a</w:t>
        </w:r>
      </w:smartTag>
      <w:r>
        <w:rPr>
          <w:lang w:val="es-ES"/>
        </w:rPr>
        <w:t xml:space="preserve"> pesar de que para ese entonces el juez contaba con la nota del director de sumarios del 10 de n</w:t>
      </w:r>
      <w:r>
        <w:rPr>
          <w:lang w:val="es-ES"/>
        </w:rPr>
        <w:t>o</w:t>
      </w:r>
      <w:r>
        <w:rPr>
          <w:lang w:val="es-ES"/>
        </w:rPr>
        <w:t>viembre de 1995, glosada a fs. 37.747; de ella surgía que, no obstante en un primer m</w:t>
      </w:r>
      <w:r>
        <w:rPr>
          <w:lang w:val="es-ES"/>
        </w:rPr>
        <w:t>o</w:t>
      </w:r>
      <w:r>
        <w:rPr>
          <w:lang w:val="es-ES"/>
        </w:rPr>
        <w:t xml:space="preserve">mento se sospechó que las fichas no habían sido remitidas, su recepción fue confirmada por </w:t>
      </w:r>
      <w:smartTag w:uri="urn:schemas-microsoft-com:office:smarttags" w:element="PersonName">
        <w:smartTagPr>
          <w:attr w:name="ProductID" w:val="la Direcci￳n Antecedentes"/>
        </w:smartTagPr>
        <w:r>
          <w:rPr>
            <w:lang w:val="es-ES"/>
          </w:rPr>
          <w:t>la Dirección Antecedentes</w:t>
        </w:r>
      </w:smartTag>
      <w:r>
        <w:rPr>
          <w:lang w:val="es-ES"/>
        </w:rPr>
        <w:t xml:space="preserve"> Pe</w:t>
      </w:r>
      <w:r>
        <w:rPr>
          <w:lang w:val="es-ES"/>
        </w:rPr>
        <w:t>r</w:t>
      </w:r>
      <w:r>
        <w:rPr>
          <w:lang w:val="es-ES"/>
        </w:rPr>
        <w:t>sonales.</w:t>
      </w:r>
    </w:p>
    <w:p w:rsidR="00224567" w:rsidRDefault="00224567">
      <w:pPr>
        <w:widowControl w:val="0"/>
        <w:ind w:firstLine="2835"/>
      </w:pPr>
      <w:r>
        <w:t>Bacigalupo también se refirió a Ga</w:t>
      </w:r>
      <w:r>
        <w:t>r</w:t>
      </w:r>
      <w:r>
        <w:t>cía, quien efectuó el informe de las fichas de “Tecc</w:t>
      </w:r>
      <w:r>
        <w:t>e</w:t>
      </w:r>
      <w:r>
        <w:t>din” y declaró que no les dio importancia, motivo por el cual comunicó la falta de antecedentes. Aclaró que aquél ide</w:t>
      </w:r>
      <w:r>
        <w:t>n</w:t>
      </w:r>
      <w:r>
        <w:t>tificó las fichas y que las huellas figuraban en Jefatura desde 1987, por lo que si hubiera revisado los prontuarios en abril de 1994, habría advertido que “Teccedin” era en realidad Telle</w:t>
      </w:r>
      <w:r>
        <w:t>l</w:t>
      </w:r>
      <w:r>
        <w:t>dín.</w:t>
      </w:r>
    </w:p>
    <w:p w:rsidR="00224567" w:rsidRDefault="00224567">
      <w:pPr>
        <w:pStyle w:val="Textoindependiente"/>
        <w:spacing w:line="600" w:lineRule="auto"/>
        <w:rPr>
          <w:lang w:val="es-ES"/>
        </w:rPr>
      </w:pPr>
      <w:r>
        <w:rPr>
          <w:lang w:val="es-ES"/>
        </w:rPr>
        <w:tab/>
        <w:t>Por otra parte, apuntó que lo exoneraron de la policía, a la vez que resaltó la diferencia de trato procesal que recibió con relación a Burguete, sobre quien pesaba la misma imputación administrativa y penal, siendo éste sobreseído y reincorporado al serv</w:t>
      </w:r>
      <w:r>
        <w:rPr>
          <w:lang w:val="es-ES"/>
        </w:rPr>
        <w:t>i</w:t>
      </w:r>
      <w:r>
        <w:rPr>
          <w:lang w:val="es-ES"/>
        </w:rPr>
        <w:t>cio activo.</w:t>
      </w:r>
    </w:p>
    <w:p w:rsidR="00224567" w:rsidRDefault="00224567">
      <w:pPr>
        <w:pStyle w:val="Textoindependiente"/>
        <w:spacing w:line="600" w:lineRule="auto"/>
        <w:rPr>
          <w:lang w:val="es-ES"/>
        </w:rPr>
      </w:pPr>
      <w:r>
        <w:rPr>
          <w:lang w:val="es-ES"/>
        </w:rPr>
        <w:tab/>
        <w:t>Señaló que, según el Dr. Galeano, del s</w:t>
      </w:r>
      <w:r>
        <w:rPr>
          <w:lang w:val="es-ES"/>
        </w:rPr>
        <w:t>u</w:t>
      </w:r>
      <w:r>
        <w:rPr>
          <w:lang w:val="es-ES"/>
        </w:rPr>
        <w:t>mario iniciado por las fichas se obtuvo una copia, que luego constituyó el sumario nº 318.725/96 y obvió “un paso ant</w:t>
      </w:r>
      <w:r>
        <w:rPr>
          <w:lang w:val="es-ES"/>
        </w:rPr>
        <w:t>e</w:t>
      </w:r>
      <w:r>
        <w:rPr>
          <w:lang w:val="es-ES"/>
        </w:rPr>
        <w:t xml:space="preserve">rior, que fue el sumario </w:t>
      </w:r>
      <w:smartTag w:uri="urn:schemas-microsoft-com:office:smarttags" w:element="metricconverter">
        <w:smartTagPr>
          <w:attr w:name="ProductID" w:val="281.945”"/>
        </w:smartTagPr>
        <w:r>
          <w:rPr>
            <w:lang w:val="es-ES"/>
          </w:rPr>
          <w:t>281.945”</w:t>
        </w:r>
      </w:smartTag>
      <w:r>
        <w:rPr>
          <w:lang w:val="es-ES"/>
        </w:rPr>
        <w:t>; ello, toda vez que las actuaciones omitidas se caratulaban “Burguete, Arancibia, Bacigal</w:t>
      </w:r>
      <w:r>
        <w:rPr>
          <w:lang w:val="es-ES"/>
        </w:rPr>
        <w:t>u</w:t>
      </w:r>
      <w:r>
        <w:rPr>
          <w:lang w:val="es-ES"/>
        </w:rPr>
        <w:t xml:space="preserve">po y otros s/inf. art. 59 inc. 7º de la ley </w:t>
      </w:r>
      <w:smartTag w:uri="urn:schemas-microsoft-com:office:smarttags" w:element="metricconverter">
        <w:smartTagPr>
          <w:attr w:name="ProductID" w:val="9550”"/>
        </w:smartTagPr>
        <w:r>
          <w:rPr>
            <w:lang w:val="es-ES"/>
          </w:rPr>
          <w:t>9550”</w:t>
        </w:r>
      </w:smartTag>
      <w:r>
        <w:rPr>
          <w:lang w:val="es-ES"/>
        </w:rPr>
        <w:t>, por lo que el juez no podía llegar a aquella instancia a</w:t>
      </w:r>
      <w:r>
        <w:rPr>
          <w:lang w:val="es-ES"/>
        </w:rPr>
        <w:t>d</w:t>
      </w:r>
      <w:r>
        <w:rPr>
          <w:lang w:val="es-ES"/>
        </w:rPr>
        <w:t>mitiendo que la situación de Burguete había sido resue</w:t>
      </w:r>
      <w:r>
        <w:rPr>
          <w:lang w:val="es-ES"/>
        </w:rPr>
        <w:t>l</w:t>
      </w:r>
      <w:r>
        <w:rPr>
          <w:lang w:val="es-ES"/>
        </w:rPr>
        <w:t>ta y la suya no.</w:t>
      </w:r>
    </w:p>
    <w:p w:rsidR="00224567" w:rsidRDefault="00224567">
      <w:pPr>
        <w:pStyle w:val="Sangradetextonormal"/>
        <w:widowControl w:val="0"/>
        <w:tabs>
          <w:tab w:val="left" w:pos="0"/>
        </w:tabs>
        <w:ind w:firstLine="0"/>
      </w:pPr>
      <w:r>
        <w:tab/>
        <w:t>En cuanto a Burguete, el imputado lo calificó de mentiroso, por acusarlo tanto a él como a Arancibia de ocultar la verdadera identidad de “Tecc</w:t>
      </w:r>
      <w:r>
        <w:t>e</w:t>
      </w:r>
      <w:r>
        <w:t>din”.</w:t>
      </w:r>
    </w:p>
    <w:p w:rsidR="00224567" w:rsidRDefault="00224567">
      <w:pPr>
        <w:pStyle w:val="Sangradetextonormal"/>
        <w:widowControl w:val="0"/>
        <w:tabs>
          <w:tab w:val="left" w:pos="0"/>
        </w:tabs>
        <w:ind w:firstLine="0"/>
      </w:pPr>
      <w:r>
        <w:tab/>
        <w:t>Además, explicó que las consta</w:t>
      </w:r>
      <w:r>
        <w:t>n</w:t>
      </w:r>
      <w:r>
        <w:t>cias de averiguación de antecedentes de Analía Ferreira tampoco fueron agregadas en el expediente penal, siendo en ambos casos Burguete quien debería haber procedido de la misma manera con Ferreira que con “Teccedin”, por cuanto era función del comisario instructor disponer y resolver las medidas dentro del s</w:t>
      </w:r>
      <w:r>
        <w:t>u</w:t>
      </w:r>
      <w:r>
        <w:t>mario.</w:t>
      </w:r>
    </w:p>
    <w:p w:rsidR="00224567" w:rsidRDefault="00224567">
      <w:pPr>
        <w:widowControl w:val="0"/>
        <w:ind w:firstLine="2835"/>
      </w:pPr>
      <w:r>
        <w:t>Mencionó que no obstante la existe</w:t>
      </w:r>
      <w:r>
        <w:t>n</w:t>
      </w:r>
      <w:r>
        <w:t>cia de la causa penal nº 5681, se labraron en forma paralela las actuaciones por averiguación de antecedentes de “Te</w:t>
      </w:r>
      <w:r>
        <w:t>c</w:t>
      </w:r>
      <w:r>
        <w:t>cedin” y Petrucci. Así, señaló, el juez interviniente no podía actuar en éstas, po</w:t>
      </w:r>
      <w:r>
        <w:t>r</w:t>
      </w:r>
      <w:r>
        <w:t>que se trataba de una actividad facultativa del jefe de policía, pues no podía ponerse a un demorado por averiguación de antec</w:t>
      </w:r>
      <w:r>
        <w:t>e</w:t>
      </w:r>
      <w:r>
        <w:t>dentes a disposición de un magistrado. Ejemplificó que en el caso de Analía F</w:t>
      </w:r>
      <w:r>
        <w:t>e</w:t>
      </w:r>
      <w:r>
        <w:t>rreira, en su primer ingreso por averiguación de antec</w:t>
      </w:r>
      <w:r>
        <w:t>e</w:t>
      </w:r>
      <w:r>
        <w:t>dentes no fue puesta a disposición de ninguna autoridad judicial.</w:t>
      </w:r>
    </w:p>
    <w:p w:rsidR="00224567" w:rsidRDefault="00224567">
      <w:pPr>
        <w:pStyle w:val="Sangradetextonormal"/>
        <w:widowControl w:val="0"/>
        <w:tabs>
          <w:tab w:val="left" w:pos="0"/>
        </w:tabs>
        <w:ind w:firstLine="0"/>
      </w:pPr>
      <w:r>
        <w:tab/>
        <w:t>Reveló que Burguete también faltó a la verdad al afirmar que era inusual que se agregaran fotoc</w:t>
      </w:r>
      <w:r>
        <w:t>o</w:t>
      </w:r>
      <w:r>
        <w:t>pias del documento de “Teccedin” a la averiguación de a</w:t>
      </w:r>
      <w:r>
        <w:t>n</w:t>
      </w:r>
      <w:r>
        <w:t>tecedentes; a la vez, aseguró que no agregó copias en las actuaciones que efe</w:t>
      </w:r>
      <w:r>
        <w:t>c</w:t>
      </w:r>
      <w:r>
        <w:t>tuó.</w:t>
      </w:r>
    </w:p>
    <w:p w:rsidR="00224567" w:rsidRDefault="00224567">
      <w:pPr>
        <w:pStyle w:val="Sangradetextonormal"/>
        <w:widowControl w:val="0"/>
        <w:tabs>
          <w:tab w:val="left" w:pos="0"/>
        </w:tabs>
        <w:ind w:firstLine="0"/>
      </w:pPr>
      <w:r>
        <w:tab/>
        <w:t>En otro orden, indicó que el t</w:t>
      </w:r>
      <w:r>
        <w:t>e</w:t>
      </w:r>
      <w:r>
        <w:t>léfono 866-0479 estaba a nombre de su pareja, Marta Eva Suárez, con quien tenía una relación desde 1994; el 864-8160 c</w:t>
      </w:r>
      <w:r>
        <w:t>o</w:t>
      </w:r>
      <w:r>
        <w:t>rrespondía al domicilio de la madre de la nombrada; el 251-0469 y el 252-4799 estaban a nombre de sus padres E</w:t>
      </w:r>
      <w:r>
        <w:t>u</w:t>
      </w:r>
      <w:r>
        <w:t>sebio y Emilia Bacigalupo respectivamente, aclarando el primero correspondía a la finca donde v</w:t>
      </w:r>
      <w:r>
        <w:t>i</w:t>
      </w:r>
      <w:r>
        <w:t>vían sus hijos y, el segundo, a la de sus progenitores. Por último negó que le perten</w:t>
      </w:r>
      <w:r>
        <w:t>e</w:t>
      </w:r>
      <w:r>
        <w:t>cieran los abonados 251-0459 y 463-9290.</w:t>
      </w:r>
    </w:p>
    <w:p w:rsidR="00224567" w:rsidRDefault="00224567">
      <w:pPr>
        <w:pStyle w:val="Sangradetextonormal"/>
        <w:widowControl w:val="0"/>
        <w:tabs>
          <w:tab w:val="left" w:pos="0"/>
        </w:tabs>
        <w:ind w:firstLine="0"/>
      </w:pPr>
      <w:r>
        <w:tab/>
      </w:r>
      <w:r>
        <w:tab/>
        <w:t>Bacigalupo admitió que desde el 28 de agosto de 1994 usaba el celular 412-</w:t>
      </w:r>
      <w:smartTag w:uri="urn:schemas-microsoft-com:office:smarttags" w:element="metricconverter">
        <w:smartTagPr>
          <w:attr w:name="ProductID" w:val="6165, a"/>
        </w:smartTagPr>
        <w:r>
          <w:t>6165, a</w:t>
        </w:r>
      </w:smartTag>
      <w:r>
        <w:t xml:space="preserve"> nombre de R</w:t>
      </w:r>
      <w:r>
        <w:t>i</w:t>
      </w:r>
      <w:r>
        <w:t>belli, explicando que anteriormente había sido utilizado por Burgu</w:t>
      </w:r>
      <w:r>
        <w:t>e</w:t>
      </w:r>
      <w:r>
        <w:t>te.</w:t>
      </w:r>
    </w:p>
    <w:p w:rsidR="00224567" w:rsidRDefault="00224567">
      <w:pPr>
        <w:pStyle w:val="Sangradetextonormal"/>
        <w:widowControl w:val="0"/>
        <w:tabs>
          <w:tab w:val="left" w:pos="0"/>
        </w:tabs>
        <w:ind w:firstLine="0"/>
      </w:pPr>
      <w:r>
        <w:tab/>
      </w:r>
      <w:r>
        <w:tab/>
        <w:t>Precisó que entre los meses de marzo y agosto de 1994 no tuvo celular, resaltando que entre las comunicaciones efectuadas por el abonado 412-6165 e</w:t>
      </w:r>
      <w:r>
        <w:t>n</w:t>
      </w:r>
      <w:r>
        <w:t>tre el 1º de marzo y el 26 de abril de 1994 no había ninguna a las líneas 864-8160, 862-4681, 251-0469 y 252-4799, es d</w:t>
      </w:r>
      <w:r>
        <w:t>e</w:t>
      </w:r>
      <w:r>
        <w:t>cir, a los abonados correspondientes a sus allegados. En cambio, indicó, en ese período surgían numerosas llam</w:t>
      </w:r>
      <w:r>
        <w:t>a</w:t>
      </w:r>
      <w:r>
        <w:t xml:space="preserve">das a los abonados 247-6754, 297-0982, 256-7758, 205-1808 y 205-0053, correspondientes los tres primeros al domicilio particular, al del suegro y al de la madre de Burguete y el último a </w:t>
      </w:r>
      <w:smartTag w:uri="urn:schemas-microsoft-com:office:smarttags" w:element="PersonName">
        <w:smartTagPr>
          <w:attr w:name="ProductID" w:val="la Brigada"/>
        </w:smartTagPr>
        <w:r>
          <w:t>la Brigada</w:t>
        </w:r>
      </w:smartTag>
      <w:r>
        <w:t xml:space="preserve"> de Inve</w:t>
      </w:r>
      <w:r>
        <w:t>s</w:t>
      </w:r>
      <w:r>
        <w:t>tigaciones de Lanús.</w:t>
      </w:r>
    </w:p>
    <w:p w:rsidR="00224567" w:rsidRDefault="00224567">
      <w:pPr>
        <w:pStyle w:val="Sangradetextonormal"/>
        <w:widowControl w:val="0"/>
        <w:tabs>
          <w:tab w:val="left" w:pos="0"/>
        </w:tabs>
        <w:ind w:firstLine="0"/>
      </w:pPr>
      <w:r>
        <w:tab/>
      </w:r>
      <w:r>
        <w:tab/>
        <w:t>Agregó que Burguete adquirió el cel</w:t>
      </w:r>
      <w:r>
        <w:t>u</w:t>
      </w:r>
      <w:r>
        <w:t>lar 417-1471 el 20 de agosto de 1994, aproximadamente, conservando ambos teléfonos hasta el 28 de ese mes y año, fecha en que le entregó la línea 412-6165. En ese conce</w:t>
      </w:r>
      <w:r>
        <w:t>p</w:t>
      </w:r>
      <w:r>
        <w:t>to, dijo Bacigalupo, le pagó $ 150, haciendo la transf</w:t>
      </w:r>
      <w:r>
        <w:t>e</w:t>
      </w:r>
      <w:r>
        <w:t>rencia el 17 de noviembre de 1994 por otros $ 150.</w:t>
      </w:r>
    </w:p>
    <w:p w:rsidR="00224567" w:rsidRDefault="00224567">
      <w:pPr>
        <w:pStyle w:val="Sangradetextonormal"/>
        <w:widowControl w:val="0"/>
        <w:tabs>
          <w:tab w:val="left" w:pos="0"/>
        </w:tabs>
        <w:ind w:firstLine="0"/>
      </w:pPr>
      <w:r>
        <w:tab/>
      </w:r>
      <w:r>
        <w:tab/>
        <w:t>Señaló que, a partir de que c</w:t>
      </w:r>
      <w:r>
        <w:t>o</w:t>
      </w:r>
      <w:r>
        <w:t>menzó a usar dicho celular, se registraron comunicaciones a los abonados 862-4681, 251-0469 y 864-8160, asignados a su d</w:t>
      </w:r>
      <w:r>
        <w:t>o</w:t>
      </w:r>
      <w:r>
        <w:t>micilio de Presidente P</w:t>
      </w:r>
      <w:r>
        <w:t>e</w:t>
      </w:r>
      <w:r>
        <w:t>rón 3366, al de sus hijos y al del padre de su pareja, respectiv</w:t>
      </w:r>
      <w:r>
        <w:t>a</w:t>
      </w:r>
      <w:r>
        <w:t>mente, a la vez que no hubo más llamados a los teléfonos vi</w:t>
      </w:r>
      <w:r>
        <w:t>n</w:t>
      </w:r>
      <w:r>
        <w:t>culados a Burguete.</w:t>
      </w:r>
    </w:p>
    <w:p w:rsidR="00224567" w:rsidRDefault="00224567">
      <w:pPr>
        <w:pStyle w:val="Sangradetextonormal"/>
        <w:widowControl w:val="0"/>
        <w:tabs>
          <w:tab w:val="left" w:pos="0"/>
        </w:tabs>
        <w:ind w:firstLine="0"/>
      </w:pPr>
      <w:r>
        <w:tab/>
      </w:r>
      <w:r>
        <w:tab/>
        <w:t>Asimismo, indicó que a partir del 19 de agosto, de</w:t>
      </w:r>
      <w:r>
        <w:t>s</w:t>
      </w:r>
      <w:r>
        <w:t>de el 417-1471, la nueva línea de telefonía celular de Burguete, se registraron llamadas a los abon</w:t>
      </w:r>
      <w:r>
        <w:t>a</w:t>
      </w:r>
      <w:r>
        <w:t xml:space="preserve">dos que antes enumeró como relacionados a éste, así como también a los teléfonos 623-0584 y 623-1043, de </w:t>
      </w:r>
      <w:smartTag w:uri="urn:schemas-microsoft-com:office:smarttags" w:element="PersonName">
        <w:smartTagPr>
          <w:attr w:name="ProductID" w:val="la Comisar￭a"/>
        </w:smartTagPr>
        <w:r>
          <w:t>la Comis</w:t>
        </w:r>
        <w:r>
          <w:t>a</w:t>
        </w:r>
        <w:r>
          <w:t>ría</w:t>
        </w:r>
      </w:smartTag>
      <w:r>
        <w:t xml:space="preserve"> “Castelar VII”, destino al que fue trasladado Bu</w:t>
      </w:r>
      <w:r>
        <w:t>r</w:t>
      </w:r>
      <w:r>
        <w:t>guete a mediados de septiembre. Bacigalupo remarcó que no se d</w:t>
      </w:r>
      <w:r>
        <w:t>e</w:t>
      </w:r>
      <w:r>
        <w:t>tectaron contactos a líneas que lo vincul</w:t>
      </w:r>
      <w:r>
        <w:t>a</w:t>
      </w:r>
      <w:r>
        <w:t>ran.</w:t>
      </w:r>
    </w:p>
    <w:p w:rsidR="00224567" w:rsidRDefault="00224567">
      <w:pPr>
        <w:pStyle w:val="Sangradetextonormal"/>
        <w:widowControl w:val="0"/>
        <w:tabs>
          <w:tab w:val="left" w:pos="0"/>
        </w:tabs>
        <w:ind w:firstLine="0"/>
      </w:pPr>
      <w:r>
        <w:tab/>
      </w:r>
      <w:r>
        <w:tab/>
        <w:t>Además, resaltó que de las facturas del 412-6165 surgía una diferencia en la cantidad de com</w:t>
      </w:r>
      <w:r>
        <w:t>u</w:t>
      </w:r>
      <w:r>
        <w:t>nicaciones efectuadas en los períodos en que Bu</w:t>
      </w:r>
      <w:r>
        <w:t>r</w:t>
      </w:r>
      <w:r>
        <w:t>guete y él fueron usuarios de dicho celular.</w:t>
      </w:r>
    </w:p>
    <w:p w:rsidR="00224567" w:rsidRDefault="00224567">
      <w:pPr>
        <w:pStyle w:val="Sangradetextonormal"/>
        <w:widowControl w:val="0"/>
        <w:tabs>
          <w:tab w:val="left" w:pos="0"/>
        </w:tabs>
        <w:ind w:firstLine="0"/>
      </w:pPr>
      <w:r>
        <w:tab/>
      </w:r>
      <w:r>
        <w:tab/>
        <w:t>En cuanto al abonado telef</w:t>
      </w:r>
      <w:r>
        <w:t>ó</w:t>
      </w:r>
      <w:r>
        <w:t>nico 425-8982, señaló que, si bien en un primer momento dijo no r</w:t>
      </w:r>
      <w:r>
        <w:t>e</w:t>
      </w:r>
      <w:r>
        <w:t>cordarlo o que no le resultaba fam</w:t>
      </w:r>
      <w:r>
        <w:t>i</w:t>
      </w:r>
      <w:r>
        <w:t>liar, al leer la causa notó que, para la fecha de su detención, pertenecía a Ib</w:t>
      </w:r>
      <w:r>
        <w:t>a</w:t>
      </w:r>
      <w:r>
        <w:t>rra.</w:t>
      </w:r>
    </w:p>
    <w:p w:rsidR="00224567" w:rsidRDefault="00224567">
      <w:pPr>
        <w:pStyle w:val="Sangradetextonormal"/>
        <w:widowControl w:val="0"/>
        <w:tabs>
          <w:tab w:val="left" w:pos="0"/>
        </w:tabs>
        <w:ind w:firstLine="0"/>
      </w:pPr>
      <w:r>
        <w:tab/>
      </w:r>
      <w:r>
        <w:tab/>
        <w:t>Con relación a la privación de su l</w:t>
      </w:r>
      <w:r>
        <w:t>i</w:t>
      </w:r>
      <w:r>
        <w:t xml:space="preserve">bertad la noche del 12 de julio de 1996 en </w:t>
      </w:r>
      <w:smartTag w:uri="urn:schemas-microsoft-com:office:smarttags" w:element="PersonName">
        <w:smartTagPr>
          <w:attr w:name="ProductID" w:val="la Divisi￳n Sustracci￳n"/>
        </w:smartTagPr>
        <w:r>
          <w:t>la División Sustracción</w:t>
        </w:r>
      </w:smartTag>
      <w:r>
        <w:t xml:space="preserve"> de Automotores de Vicente López, i</w:t>
      </w:r>
      <w:r>
        <w:t>n</w:t>
      </w:r>
      <w:r>
        <w:t>dicó que la relacionó con el hecho de las fichas, por el que estaba siendo investigado adm</w:t>
      </w:r>
      <w:r>
        <w:t>i</w:t>
      </w:r>
      <w:r>
        <w:t xml:space="preserve">nistrativamente, motivo por el cual cuando Ibarra le comunicó que </w:t>
      </w:r>
      <w:smartTag w:uri="urn:schemas-microsoft-com:office:smarttags" w:element="PersonName">
        <w:smartTagPr>
          <w:attr w:name="ProductID" w:val="la Polic￭a Federal"/>
        </w:smartTagPr>
        <w:r>
          <w:t>la Policía Federal</w:t>
        </w:r>
      </w:smartTag>
      <w:r>
        <w:t xml:space="preserve"> estaba allanando su casa por orden del juez Galeano, el declara</w:t>
      </w:r>
      <w:r>
        <w:t>n</w:t>
      </w:r>
      <w:r>
        <w:t>te supuso que lo iban a detener por violación a los deb</w:t>
      </w:r>
      <w:r>
        <w:t>e</w:t>
      </w:r>
      <w:r>
        <w:t>res de funcionario público. Narró que llamó a su esposa y a su madre para anticiparles que no las vería el fin de semana, indicándoles que, en caso de prese</w:t>
      </w:r>
      <w:r>
        <w:t>n</w:t>
      </w:r>
      <w:r>
        <w:t>tarse personal policial, debían mostra</w:t>
      </w:r>
      <w:r>
        <w:t>r</w:t>
      </w:r>
      <w:r>
        <w:t>les todo.</w:t>
      </w:r>
    </w:p>
    <w:p w:rsidR="00224567" w:rsidRDefault="00224567">
      <w:pPr>
        <w:pStyle w:val="Sangradetextonormal"/>
        <w:widowControl w:val="0"/>
        <w:tabs>
          <w:tab w:val="left" w:pos="0"/>
        </w:tabs>
        <w:ind w:firstLine="0"/>
      </w:pPr>
      <w:r>
        <w:tab/>
      </w:r>
      <w:r>
        <w:tab/>
        <w:t>Agregó que en oportunidad de ser tra</w:t>
      </w:r>
      <w:r>
        <w:t>s</w:t>
      </w:r>
      <w:r>
        <w:t>ladado al juzgado instructor, donde le com</w:t>
      </w:r>
      <w:r>
        <w:t>u</w:t>
      </w:r>
      <w:r>
        <w:t xml:space="preserve">nicaron que se le imputaba ser partícipe del atentado a la sede de </w:t>
      </w:r>
      <w:smartTag w:uri="urn:schemas-microsoft-com:office:smarttags" w:element="PersonName">
        <w:smartTagPr>
          <w:attr w:name="ProductID" w:val="la A.M"/>
        </w:smartTagPr>
        <w:r>
          <w:t>la A.M</w:t>
        </w:r>
      </w:smartTag>
      <w:r>
        <w:t>.I.A. y haber prestado colaboración para detener a T</w:t>
      </w:r>
      <w:r>
        <w:t>e</w:t>
      </w:r>
      <w:r>
        <w:t>lleldín y a Pérez, se quedó tan so</w:t>
      </w:r>
      <w:r>
        <w:t>r</w:t>
      </w:r>
      <w:r>
        <w:t>prendido que se negó a declarar, haciéndolo días más tarde, tras lo cual fue l</w:t>
      </w:r>
      <w:r>
        <w:t>i</w:t>
      </w:r>
      <w:r>
        <w:t>berado.</w:t>
      </w:r>
    </w:p>
    <w:p w:rsidR="00224567" w:rsidRDefault="00224567">
      <w:pPr>
        <w:widowControl w:val="0"/>
        <w:ind w:firstLine="2835"/>
      </w:pPr>
      <w:r>
        <w:t>Aclaró que previo a su detención, s</w:t>
      </w:r>
      <w:r>
        <w:t>ó</w:t>
      </w:r>
      <w:r>
        <w:t>lo se interesó por el estado del sumario administrativo en marzo de 1996, cuando el Director General de Asuntos Jud</w:t>
      </w:r>
      <w:r>
        <w:t>i</w:t>
      </w:r>
      <w:r>
        <w:t>ciales le comunicó que se quedara tranquilo, porque aver</w:t>
      </w:r>
      <w:r>
        <w:t>i</w:t>
      </w:r>
      <w:r>
        <w:t>guaría sobre la causa penal y, de ser posible, su situ</w:t>
      </w:r>
      <w:r>
        <w:t>a</w:t>
      </w:r>
      <w:r>
        <w:t>ción administrativa sería resuelta y se le asce</w:t>
      </w:r>
      <w:r>
        <w:t>n</w:t>
      </w:r>
      <w:r>
        <w:t>dería.</w:t>
      </w:r>
    </w:p>
    <w:p w:rsidR="00224567" w:rsidRDefault="00224567">
      <w:pPr>
        <w:widowControl w:val="0"/>
        <w:ind w:firstLine="2835"/>
      </w:pPr>
      <w:r>
        <w:t>Con relación a las dos conversaci</w:t>
      </w:r>
      <w:r>
        <w:t>o</w:t>
      </w:r>
      <w:r>
        <w:t>nes telefónicas sobre las que fue interrogado en la etapa a</w:t>
      </w:r>
      <w:r>
        <w:t>n</w:t>
      </w:r>
      <w:r>
        <w:t>terior, el imputado creyó recordar que De Gamas le rec</w:t>
      </w:r>
      <w:r>
        <w:t>o</w:t>
      </w:r>
      <w:r>
        <w:t>mendó reconocer su voz y la de su madre, a la vez que le preguntó acerca de los negocios entre Piotti, Klodczyk, Pérez Cárrega y R</w:t>
      </w:r>
      <w:r>
        <w:t>i</w:t>
      </w:r>
      <w:r>
        <w:t>belli; circunstancia que no fue plasmada en su declaración.</w:t>
      </w:r>
    </w:p>
    <w:p w:rsidR="00224567" w:rsidRDefault="00224567">
      <w:pPr>
        <w:widowControl w:val="0"/>
        <w:ind w:firstLine="2835"/>
      </w:pPr>
      <w:r>
        <w:t xml:space="preserve">Consideró que en la causa nº 1598, el sumario administrativo y el expediente nº </w:t>
      </w:r>
      <w:r>
        <w:rPr>
          <w:lang w:val="es-AR"/>
        </w:rPr>
        <w:t>64.580 del</w:t>
      </w:r>
      <w:r>
        <w:t xml:space="preserve"> Ju</w:t>
      </w:r>
      <w:r>
        <w:t>z</w:t>
      </w:r>
      <w:r>
        <w:t>gado Criminal y Correccional nº 11 de  Lomas  de  Zamora  –derivado de la primera- se fa</w:t>
      </w:r>
      <w:r>
        <w:t>l</w:t>
      </w:r>
      <w:r>
        <w:t>seó la verdad.</w:t>
      </w:r>
    </w:p>
    <w:p w:rsidR="00224567" w:rsidRDefault="00224567">
      <w:pPr>
        <w:widowControl w:val="0"/>
        <w:ind w:firstLine="2835"/>
      </w:pPr>
      <w:r>
        <w:tab/>
        <w:t xml:space="preserve">Resaltó también el perjuicio que le ocasionaron los reconocimientos fotográficos efectuados por Telleldín, que después fueron anulados por </w:t>
      </w:r>
      <w:smartTag w:uri="urn:schemas-microsoft-com:office:smarttags" w:element="PersonName">
        <w:smartTagPr>
          <w:attr w:name="ProductID" w:val="la C￡mara Nacional"/>
        </w:smartTagPr>
        <w:r>
          <w:t>la Cámara Nacional</w:t>
        </w:r>
      </w:smartTag>
      <w:r>
        <w:t xml:space="preserve"> de Apelaciones en lo Criminal y Correccional F</w:t>
      </w:r>
      <w:r>
        <w:t>e</w:t>
      </w:r>
      <w:r>
        <w:t>deral. Señaló, además, las diversas irregularidades que presentaba la causa de Lomas de Zamora referida, a cuyo fin exhibió fotoc</w:t>
      </w:r>
      <w:r>
        <w:t>o</w:t>
      </w:r>
      <w:r>
        <w:t xml:space="preserve">pias de las fs. </w:t>
      </w:r>
      <w:r>
        <w:rPr>
          <w:lang w:val="es-AR"/>
        </w:rPr>
        <w:t>3866 y 3864, que, según dijo, correspondían a ese expedie</w:t>
      </w:r>
      <w:r>
        <w:rPr>
          <w:lang w:val="es-AR"/>
        </w:rPr>
        <w:t>n</w:t>
      </w:r>
      <w:r>
        <w:rPr>
          <w:lang w:val="es-AR"/>
        </w:rPr>
        <w:t>te</w:t>
      </w:r>
      <w:r>
        <w:t>.</w:t>
      </w:r>
    </w:p>
    <w:p w:rsidR="00224567" w:rsidRDefault="00224567">
      <w:pPr>
        <w:widowControl w:val="0"/>
      </w:pPr>
      <w:r>
        <w:tab/>
      </w:r>
      <w:r>
        <w:tab/>
        <w:t>Sostuvo que, sin bien después de su primer detención recuperó su libertad, querían “dejarlo tras las rejas”, a lo que atribuyó la aparición de una d</w:t>
      </w:r>
      <w:r>
        <w:t>e</w:t>
      </w:r>
      <w:r>
        <w:t>nuncia anónima en que lo sindicaban, junto con Ibarra y Llermanos, como corrupto; hecho que el Dr. G</w:t>
      </w:r>
      <w:r>
        <w:t>a</w:t>
      </w:r>
      <w:r>
        <w:t>leano ordenó investigar en Lomas de Zamora. Posterio</w:t>
      </w:r>
      <w:r>
        <w:t>r</w:t>
      </w:r>
      <w:r>
        <w:t xml:space="preserve">mente, indicó, se inició la causa </w:t>
      </w:r>
      <w:r>
        <w:rPr>
          <w:lang w:val="es-AR"/>
        </w:rPr>
        <w:t xml:space="preserve">n° 64.580 </w:t>
      </w:r>
      <w:r>
        <w:t>de dicho Departamento Judicial.</w:t>
      </w:r>
    </w:p>
    <w:p w:rsidR="00224567" w:rsidRDefault="00224567">
      <w:pPr>
        <w:widowControl w:val="0"/>
      </w:pPr>
      <w:r>
        <w:tab/>
      </w:r>
      <w:r>
        <w:tab/>
        <w:t>Refirió que fue privado de su libertad en abril de 2001, acusado de haber cometido los delitos de extorsión, extorsión en grado de tentativa, violación de los deberes de funcionario público, fals</w:t>
      </w:r>
      <w:r>
        <w:t>e</w:t>
      </w:r>
      <w:r>
        <w:t xml:space="preserve">dad ideológica y asociación ilícita; delitos que </w:t>
      </w:r>
      <w:smartTag w:uri="urn:schemas-microsoft-com:office:smarttags" w:element="PersonName">
        <w:smartTagPr>
          <w:attr w:name="ProductID" w:val="la C￡mara"/>
        </w:smartTagPr>
        <w:r>
          <w:t>la Cámara</w:t>
        </w:r>
      </w:smartTag>
      <w:r>
        <w:t xml:space="preserve"> de Apelaciones redujo a uno solo, extorsión, sobreseyéndolo en los re</w:t>
      </w:r>
      <w:r>
        <w:t>s</w:t>
      </w:r>
      <w:r>
        <w:t>tantes.</w:t>
      </w:r>
    </w:p>
    <w:p w:rsidR="00224567" w:rsidRDefault="00224567">
      <w:pPr>
        <w:widowControl w:val="0"/>
      </w:pPr>
      <w:r>
        <w:tab/>
      </w:r>
      <w:r>
        <w:tab/>
        <w:t>Bacigalupo señaló que Cirocco lo d</w:t>
      </w:r>
      <w:r>
        <w:t>e</w:t>
      </w:r>
      <w:r>
        <w:t>nunció ante el Juzgado de Transición nº 3 del Depa</w:t>
      </w:r>
      <w:r>
        <w:t>r</w:t>
      </w:r>
      <w:r>
        <w:t xml:space="preserve">tamento Judicial de </w:t>
      </w:r>
      <w:smartTag w:uri="urn:schemas-microsoft-com:office:smarttags" w:element="PersonName">
        <w:smartTagPr>
          <w:attr w:name="ProductID" w:val="La Plata"/>
        </w:smartTagPr>
        <w:r>
          <w:t>La Plata</w:t>
        </w:r>
      </w:smartTag>
      <w:r>
        <w:t xml:space="preserve"> por amen</w:t>
      </w:r>
      <w:r>
        <w:t>a</w:t>
      </w:r>
      <w:r>
        <w:t>zas. Sin embargo, éste, ante los Dres. Mullen y Barbaccia, sólo dijo estar s</w:t>
      </w:r>
      <w:r>
        <w:t>e</w:t>
      </w:r>
      <w:r>
        <w:t>guro en un noventa y cinco por ciento de que se trataba de él, para evitar incurrir en falso testim</w:t>
      </w:r>
      <w:r>
        <w:t>o</w:t>
      </w:r>
      <w:r>
        <w:t>nio.</w:t>
      </w:r>
    </w:p>
    <w:p w:rsidR="00224567" w:rsidRDefault="00224567">
      <w:pPr>
        <w:widowControl w:val="0"/>
      </w:pPr>
      <w:r>
        <w:tab/>
      </w:r>
      <w:r>
        <w:tab/>
        <w:t>En otro orden, el imputado adm</w:t>
      </w:r>
      <w:r>
        <w:t>i</w:t>
      </w:r>
      <w:r>
        <w:t>tió su colaboración en la colecta vinculada con el “t</w:t>
      </w:r>
      <w:r>
        <w:t>e</w:t>
      </w:r>
      <w:r>
        <w:t>ma Wilde”, al igual que lo hacían Arancibia y Cardozo, entre otros. Reconoció también que su apodo era “Baci”, pero negó con</w:t>
      </w:r>
      <w:r>
        <w:t>o</w:t>
      </w:r>
      <w:r>
        <w:t xml:space="preserve">cer a los abogados Semorile, Bottegal y Spagnuolo, haber escuchado el apodo “Pino” en </w:t>
      </w:r>
      <w:smartTag w:uri="urn:schemas-microsoft-com:office:smarttags" w:element="PersonName">
        <w:smartTagPr>
          <w:attr w:name="ProductID" w:val="la Brigada"/>
        </w:smartTagPr>
        <w:r>
          <w:t>la Brigada</w:t>
        </w:r>
      </w:smartTag>
      <w:r>
        <w:t xml:space="preserve"> de Lanús o la me</w:t>
      </w:r>
      <w:r>
        <w:t>n</w:t>
      </w:r>
      <w:r>
        <w:t>ción de un comercio denominado “A</w:t>
      </w:r>
      <w:r>
        <w:t>u</w:t>
      </w:r>
      <w:r>
        <w:t>toprix”.</w:t>
      </w:r>
    </w:p>
    <w:p w:rsidR="00224567" w:rsidRDefault="00224567">
      <w:pPr>
        <w:widowControl w:val="0"/>
      </w:pPr>
      <w:r>
        <w:tab/>
      </w:r>
      <w:r>
        <w:tab/>
        <w:t>Afirmó que entre septiembre y octubre de 1993, en una fiesta organizada por Ojeda, conoció a Ionno y a Caneva, sabiendo que ambos eran amigos de Rib</w:t>
      </w:r>
      <w:r>
        <w:t>e</w:t>
      </w:r>
      <w:r>
        <w:t>lli. En cuanto a Nicolau, dijo que lo con</w:t>
      </w:r>
      <w:r>
        <w:t>o</w:t>
      </w:r>
      <w:r>
        <w:t xml:space="preserve">ció entre 1989 y 1990, cuando prestaba servicios en </w:t>
      </w:r>
      <w:smartTag w:uri="urn:schemas-microsoft-com:office:smarttags" w:element="PersonName">
        <w:smartTagPr>
          <w:attr w:name="ProductID" w:val="la Brigada"/>
        </w:smartTagPr>
        <w:r>
          <w:t>la Brigada</w:t>
        </w:r>
      </w:smartTag>
      <w:r>
        <w:t xml:space="preserve"> de Invest</w:t>
      </w:r>
      <w:r>
        <w:t>i</w:t>
      </w:r>
      <w:r>
        <w:t>gaciones de Quilmes.</w:t>
      </w:r>
    </w:p>
    <w:p w:rsidR="00224567" w:rsidRDefault="00224567">
      <w:pPr>
        <w:widowControl w:val="0"/>
      </w:pPr>
      <w:r>
        <w:tab/>
      </w:r>
      <w:r>
        <w:tab/>
        <w:t>Declaró que un hijo de Ojeda era pol</w:t>
      </w:r>
      <w:r>
        <w:t>i</w:t>
      </w:r>
      <w:r>
        <w:t>cía, pero no sabía si para el año 1995 éste había ingres</w:t>
      </w:r>
      <w:r>
        <w:t>a</w:t>
      </w:r>
      <w:r>
        <w:t xml:space="preserve">do a </w:t>
      </w:r>
      <w:smartTag w:uri="urn:schemas-microsoft-com:office:smarttags" w:element="PersonName">
        <w:smartTagPr>
          <w:attr w:name="ProductID" w:val="la Escuela"/>
        </w:smartTagPr>
        <w:r>
          <w:t>la Escuela</w:t>
        </w:r>
      </w:smartTag>
      <w:r>
        <w:t xml:space="preserve"> de Policía “Juan Vuc</w:t>
      </w:r>
      <w:r>
        <w:t>e</w:t>
      </w:r>
      <w:r>
        <w:t>tich”.</w:t>
      </w:r>
    </w:p>
    <w:p w:rsidR="00224567" w:rsidRDefault="00224567">
      <w:pPr>
        <w:widowControl w:val="0"/>
      </w:pPr>
      <w:r>
        <w:tab/>
      </w:r>
      <w:r>
        <w:tab/>
        <w:t xml:space="preserve">Señaló que estuvo en </w:t>
      </w:r>
      <w:smartTag w:uri="urn:schemas-microsoft-com:office:smarttags" w:element="PersonName">
        <w:smartTagPr>
          <w:attr w:name="ProductID" w:val="la Comisar￭a"/>
        </w:smartTagPr>
        <w:r>
          <w:t>la Comisaría</w:t>
        </w:r>
      </w:smartTag>
      <w:r>
        <w:t xml:space="preserve"> de Wilde hasta abril de 1987 y aclaró que ésta no tenía rel</w:t>
      </w:r>
      <w:r>
        <w:t>a</w:t>
      </w:r>
      <w:r>
        <w:t xml:space="preserve">ción con </w:t>
      </w:r>
      <w:smartTag w:uri="urn:schemas-microsoft-com:office:smarttags" w:element="PersonName">
        <w:smartTagPr>
          <w:attr w:name="ProductID" w:val="la Divisi￳n Homicidios"/>
        </w:smartTagPr>
        <w:r>
          <w:t>la División Homicidios</w:t>
        </w:r>
      </w:smartTag>
      <w:r>
        <w:t xml:space="preserve"> de Banfield. Indicó ad</w:t>
      </w:r>
      <w:r>
        <w:t>e</w:t>
      </w:r>
      <w:r>
        <w:t>más, que en aquélla, si bien labraban infracciones por ejercicio de la prostitución, nunca tuvi</w:t>
      </w:r>
      <w:r>
        <w:t>e</w:t>
      </w:r>
      <w:r>
        <w:t>ron conocimiento de la existencia de algún sauna en la z</w:t>
      </w:r>
      <w:r>
        <w:t>o</w:t>
      </w:r>
      <w:r>
        <w:t>na de Telleldín.</w:t>
      </w:r>
    </w:p>
    <w:p w:rsidR="00224567" w:rsidRDefault="00224567">
      <w:pPr>
        <w:widowControl w:val="0"/>
      </w:pPr>
      <w:r>
        <w:tab/>
      </w:r>
      <w:r>
        <w:tab/>
        <w:t>Afirmó que entre fines de n</w:t>
      </w:r>
      <w:r>
        <w:t>o</w:t>
      </w:r>
      <w:r>
        <w:t xml:space="preserve">viembre y principios de diciembre de 1995, la superioridad dispuso su traslado, como así también el de Ibarra, Albarracín y otros, a </w:t>
      </w:r>
      <w:smartTag w:uri="urn:schemas-microsoft-com:office:smarttags" w:element="PersonName">
        <w:smartTagPr>
          <w:attr w:name="ProductID" w:val="la Brigada"/>
        </w:smartTagPr>
        <w:r>
          <w:t>la Brigada</w:t>
        </w:r>
      </w:smartTag>
      <w:r>
        <w:t xml:space="preserve"> de Sustracción de Automotores de V</w:t>
      </w:r>
      <w:r>
        <w:t>i</w:t>
      </w:r>
      <w:r>
        <w:t>cente López.</w:t>
      </w:r>
    </w:p>
    <w:p w:rsidR="00224567" w:rsidRDefault="00224567">
      <w:pPr>
        <w:widowControl w:val="0"/>
      </w:pPr>
      <w:r>
        <w:tab/>
      </w:r>
      <w:r>
        <w:tab/>
        <w:t>En cuanto a Gatto y Valenga, afirmó que fueron su</w:t>
      </w:r>
      <w:r>
        <w:t>b</w:t>
      </w:r>
      <w:r>
        <w:t xml:space="preserve">alternos de Ribelli, que tenían con éste una relación acorde, y que creía que si bien dependían de </w:t>
      </w:r>
      <w:smartTag w:uri="urn:schemas-microsoft-com:office:smarttags" w:element="PersonName">
        <w:smartTagPr>
          <w:attr w:name="ProductID" w:val="la Divisi￳n Sustracci￳n"/>
        </w:smartTagPr>
        <w:r>
          <w:t>la División Sustracción</w:t>
        </w:r>
      </w:smartTag>
      <w:r>
        <w:t xml:space="preserve"> de Automotores, cumplían tareas en otro lugar.</w:t>
      </w:r>
    </w:p>
    <w:p w:rsidR="00224567" w:rsidRDefault="00224567">
      <w:pPr>
        <w:widowControl w:val="0"/>
      </w:pPr>
      <w:r>
        <w:tab/>
      </w:r>
      <w:r>
        <w:tab/>
        <w:t xml:space="preserve">Con relación a Vassena, recordó que compartieron un curso acelerado en </w:t>
      </w:r>
      <w:smartTag w:uri="urn:schemas-microsoft-com:office:smarttags" w:element="PersonName">
        <w:smartTagPr>
          <w:attr w:name="ProductID" w:val="la Escuela"/>
        </w:smartTagPr>
        <w:r>
          <w:t>la Escuela</w:t>
        </w:r>
      </w:smartTag>
      <w:r>
        <w:t xml:space="preserve"> “Juan Vuc</w:t>
      </w:r>
      <w:r>
        <w:t>e</w:t>
      </w:r>
      <w:r>
        <w:t xml:space="preserve">tich”, y que éste comenzó a desempeñarse en </w:t>
      </w:r>
      <w:smartTag w:uri="urn:schemas-microsoft-com:office:smarttags" w:element="PersonName">
        <w:smartTagPr>
          <w:attr w:name="ProductID" w:val="la Comisar￭a"/>
        </w:smartTagPr>
        <w:r>
          <w:t>la Comisaría</w:t>
        </w:r>
      </w:smartTag>
      <w:r>
        <w:t xml:space="preserve"> de Quilmes junto con Salguero para la época en que R</w:t>
      </w:r>
      <w:r>
        <w:t>i</w:t>
      </w:r>
      <w:r>
        <w:t>belli se fue de dicho destino. Luego el declarante fue traslad</w:t>
      </w:r>
      <w:r>
        <w:t>a</w:t>
      </w:r>
      <w:r>
        <w:t>do a Vicente L</w:t>
      </w:r>
      <w:r>
        <w:t>ó</w:t>
      </w:r>
      <w:r>
        <w:t>pez.</w:t>
      </w:r>
    </w:p>
    <w:p w:rsidR="00224567" w:rsidRDefault="00224567">
      <w:pPr>
        <w:widowControl w:val="0"/>
      </w:pPr>
      <w:r>
        <w:tab/>
      </w:r>
      <w:r>
        <w:tab/>
        <w:t>Dijo que en abril de 1994 Casas se desempeñaba en la oficina de logística de la depe</w:t>
      </w:r>
      <w:r>
        <w:t>n</w:t>
      </w:r>
      <w:r>
        <w:t>dencia, abonaba los sueldos y fichaba, mientras que Toledo era chofer del camión y trasladaba detenidos. Agregó que a</w:t>
      </w:r>
      <w:r>
        <w:t>m</w:t>
      </w:r>
      <w:r>
        <w:t>bos, por pertenecer al Agrupamiento Coma</w:t>
      </w:r>
      <w:r>
        <w:t>n</w:t>
      </w:r>
      <w:r>
        <w:t>do, debían portar armas y realizar operativos en caso de ser requeridos. S</w:t>
      </w:r>
      <w:r>
        <w:t>e</w:t>
      </w:r>
      <w:r>
        <w:t>ñaló asimismo que todos los integrantes de la brigada ve</w:t>
      </w:r>
      <w:r>
        <w:t>s</w:t>
      </w:r>
      <w:r>
        <w:t>tían de civil y negó haber visto a Casas e</w:t>
      </w:r>
      <w:r>
        <w:t>n</w:t>
      </w:r>
      <w:r>
        <w:t>yesado para esa época.</w:t>
      </w:r>
    </w:p>
    <w:p w:rsidR="00224567" w:rsidRDefault="00224567">
      <w:pPr>
        <w:widowControl w:val="0"/>
      </w:pPr>
    </w:p>
    <w:p w:rsidR="00224567" w:rsidRDefault="00224567">
      <w:pPr>
        <w:pStyle w:val="Ttulo3"/>
        <w:keepNext w:val="0"/>
        <w:widowControl w:val="0"/>
      </w:pPr>
      <w:r>
        <w:t>P) Declaraciones indagatorias de Argentino Gabriel L</w:t>
      </w:r>
      <w:r>
        <w:t>a</w:t>
      </w:r>
      <w:r>
        <w:t>sala.</w:t>
      </w:r>
    </w:p>
    <w:p w:rsidR="00224567" w:rsidRDefault="00224567">
      <w:pPr>
        <w:widowControl w:val="0"/>
        <w:tabs>
          <w:tab w:val="left" w:pos="2835"/>
        </w:tabs>
      </w:pPr>
      <w:r>
        <w:tab/>
        <w:t xml:space="preserve">En la oportunidad prevista en el art. 378 del Código Procesal Penal de </w:t>
      </w:r>
      <w:smartTag w:uri="urn:schemas-microsoft-com:office:smarttags" w:element="PersonName">
        <w:smartTagPr>
          <w:attr w:name="ProductID" w:val="la Naci￳n"/>
        </w:smartTagPr>
        <w:r>
          <w:t>la Nación</w:t>
        </w:r>
      </w:smartTag>
      <w:r>
        <w:t>, Argentino G</w:t>
      </w:r>
      <w:r>
        <w:t>a</w:t>
      </w:r>
      <w:r>
        <w:t>briel Lasala se negó a declarar. No obstante, aclaró que el automotor ilustrado en las fotografías obrantes a fs. 41.500 no se encontraba en ese estado al momento del pr</w:t>
      </w:r>
      <w:r>
        <w:t>o</w:t>
      </w:r>
      <w:r>
        <w:t>cedimiento, explicando que el guardabarros no se cayó, sino que se rayó.</w:t>
      </w:r>
    </w:p>
    <w:p w:rsidR="00224567" w:rsidRDefault="00224567">
      <w:pPr>
        <w:widowControl w:val="0"/>
        <w:tabs>
          <w:tab w:val="left" w:pos="2835"/>
        </w:tabs>
      </w:pPr>
      <w:r>
        <w:tab/>
        <w:t>Señaló que dicho vehículo tuvo un r</w:t>
      </w:r>
      <w:r>
        <w:t>o</w:t>
      </w:r>
      <w:r>
        <w:t>ce, pero no los daños que surgían de esas vistas fotogr</w:t>
      </w:r>
      <w:r>
        <w:t>á</w:t>
      </w:r>
      <w:r>
        <w:t>ficas, tomadas en 1992, fecha para la cual no poseía dicho rodado, mientras que el procedimiento fue realizado en 1994.</w:t>
      </w:r>
    </w:p>
    <w:p w:rsidR="00224567" w:rsidRDefault="00224567">
      <w:pPr>
        <w:widowControl w:val="0"/>
        <w:tabs>
          <w:tab w:val="left" w:pos="2835"/>
        </w:tabs>
      </w:pPr>
      <w:r>
        <w:tab/>
        <w:t>Posteriormente, se procedió a dar le</w:t>
      </w:r>
      <w:r>
        <w:t>c</w:t>
      </w:r>
      <w:r>
        <w:t>tura de la declaración indagatoria prestada por el nombr</w:t>
      </w:r>
      <w:r>
        <w:t>a</w:t>
      </w:r>
      <w:r>
        <w:t>do en sede instructoria.</w:t>
      </w:r>
    </w:p>
    <w:p w:rsidR="00224567" w:rsidRDefault="00224567">
      <w:pPr>
        <w:widowControl w:val="0"/>
        <w:tabs>
          <w:tab w:val="left" w:pos="2835"/>
        </w:tabs>
      </w:pPr>
      <w:r>
        <w:tab/>
      </w:r>
      <w:r>
        <w:tab/>
        <w:t>El 22 de julio de 1996 (fs. 39.654/39.658) el imputado manifestó que la detención de Hugo Antonio Pérez se produjo en la vía pública, b</w:t>
      </w:r>
      <w:r>
        <w:t>a</w:t>
      </w:r>
      <w:r>
        <w:t>jo las directivas del oficial principal Leal, a cargo del proc</w:t>
      </w:r>
      <w:r>
        <w:t>e</w:t>
      </w:r>
      <w:r>
        <w:t>dimiento.</w:t>
      </w:r>
    </w:p>
    <w:p w:rsidR="00224567" w:rsidRDefault="00224567">
      <w:pPr>
        <w:widowControl w:val="0"/>
        <w:tabs>
          <w:tab w:val="left" w:pos="2835"/>
        </w:tabs>
      </w:pPr>
      <w:r>
        <w:tab/>
      </w:r>
      <w:r>
        <w:tab/>
        <w:t>Explicó que Pérez fue trasl</w:t>
      </w:r>
      <w:r>
        <w:t>a</w:t>
      </w:r>
      <w:r>
        <w:t xml:space="preserve">dado a </w:t>
      </w:r>
      <w:smartTag w:uri="urn:schemas-microsoft-com:office:smarttags" w:element="PersonName">
        <w:smartTagPr>
          <w:attr w:name="ProductID" w:val="la Brigada"/>
        </w:smartTagPr>
        <w:r>
          <w:t>la Brigada</w:t>
        </w:r>
      </w:smartTag>
      <w:r>
        <w:t xml:space="preserve"> de Vicente López, arribando alr</w:t>
      </w:r>
      <w:r>
        <w:t>e</w:t>
      </w:r>
      <w:r>
        <w:t>dedor de la 1.30, momento en el cual el detenido fue entregado en la oficina de guardia, quedando a disposición del oficial de serv</w:t>
      </w:r>
      <w:r>
        <w:t>i</w:t>
      </w:r>
      <w:r>
        <w:t>cio.</w:t>
      </w:r>
    </w:p>
    <w:p w:rsidR="00224567" w:rsidRDefault="00224567">
      <w:pPr>
        <w:widowControl w:val="0"/>
        <w:tabs>
          <w:tab w:val="left" w:pos="2835"/>
        </w:tabs>
      </w:pPr>
      <w:r>
        <w:tab/>
      </w:r>
      <w:r>
        <w:tab/>
        <w:t>Posteriormente, se enteró que debía ir a un Juzgado Federal de San Isidro con el objeto de tra</w:t>
      </w:r>
      <w:r>
        <w:t>s</w:t>
      </w:r>
      <w:r>
        <w:t>ladar detenidos junto a Leal.</w:t>
      </w:r>
    </w:p>
    <w:p w:rsidR="00224567" w:rsidRDefault="00224567">
      <w:pPr>
        <w:widowControl w:val="0"/>
        <w:tabs>
          <w:tab w:val="left" w:pos="2835"/>
        </w:tabs>
      </w:pPr>
      <w:r>
        <w:tab/>
      </w:r>
      <w:r>
        <w:tab/>
        <w:t>Por otra parte, Lasala negó haber pa</w:t>
      </w:r>
      <w:r>
        <w:t>r</w:t>
      </w:r>
      <w:r>
        <w:t>ticipado en los restantes hechos imputados.</w:t>
      </w:r>
    </w:p>
    <w:p w:rsidR="00224567" w:rsidRDefault="00224567">
      <w:pPr>
        <w:widowControl w:val="0"/>
        <w:tabs>
          <w:tab w:val="left" w:pos="2835"/>
        </w:tabs>
      </w:pPr>
      <w:r>
        <w:tab/>
      </w:r>
      <w:r>
        <w:tab/>
        <w:t>Invitado a brindar más det</w:t>
      </w:r>
      <w:r>
        <w:t>a</w:t>
      </w:r>
      <w:r>
        <w:t>lles acerca del procedimiento que culminó con la detención de Hugo A</w:t>
      </w:r>
      <w:r>
        <w:t>n</w:t>
      </w:r>
      <w:r>
        <w:t>tonio Pérez, Lasala relató que en dicha ocasión, junto a García y Leal se apostaron a sesenta metros aproximadame</w:t>
      </w:r>
      <w:r>
        <w:t>n</w:t>
      </w:r>
      <w:r>
        <w:t>te de la casa de Telleldín, en la calle República, en el interior del vehículo marca Ford Galaxy, de Leal, desde donde aguardaron para ver si el automotor Renault 19, p</w:t>
      </w:r>
      <w:r>
        <w:t>a</w:t>
      </w:r>
      <w:r>
        <w:t>tente “S”, en el que el nombr</w:t>
      </w:r>
      <w:r>
        <w:t>a</w:t>
      </w:r>
      <w:r>
        <w:t>do se había dado a la fuga, regresaba al lugar.</w:t>
      </w:r>
    </w:p>
    <w:p w:rsidR="00224567" w:rsidRDefault="00224567">
      <w:pPr>
        <w:widowControl w:val="0"/>
        <w:tabs>
          <w:tab w:val="left" w:pos="2835"/>
        </w:tabs>
      </w:pPr>
      <w:r>
        <w:tab/>
      </w:r>
      <w:r>
        <w:tab/>
        <w:t>Alrededor de la 1.00 egresó del dom</w:t>
      </w:r>
      <w:r>
        <w:t>i</w:t>
      </w:r>
      <w:r>
        <w:t>cilio de Telleldín una persona del sexo masculino y, por orden de Leal, se dispuso su identificación. Fue así que junto a García, interceptaron a Pérez, mientras que Leal realizó el interrogatorio de identificación.</w:t>
      </w:r>
    </w:p>
    <w:p w:rsidR="00224567" w:rsidRDefault="00224567">
      <w:pPr>
        <w:widowControl w:val="0"/>
        <w:tabs>
          <w:tab w:val="left" w:pos="2835"/>
        </w:tabs>
      </w:pPr>
      <w:r>
        <w:tab/>
      </w:r>
      <w:r>
        <w:tab/>
        <w:t>Comentó que Pérez estaba indoc</w:t>
      </w:r>
      <w:r>
        <w:t>u</w:t>
      </w:r>
      <w:r>
        <w:t>mentado y manifestó trabajar de albañil o ca</w:t>
      </w:r>
      <w:r>
        <w:t>r</w:t>
      </w:r>
      <w:r>
        <w:t>pintero. Sin embargo, al observar Leal que Pérez tenía las manos manchadas con grasa, decidió trasl</w:t>
      </w:r>
      <w:r>
        <w:t>a</w:t>
      </w:r>
      <w:r>
        <w:t>darlo a la brigada para proceder a su identific</w:t>
      </w:r>
      <w:r>
        <w:t>a</w:t>
      </w:r>
      <w:r>
        <w:t>ción.</w:t>
      </w:r>
    </w:p>
    <w:p w:rsidR="00224567" w:rsidRDefault="00224567">
      <w:pPr>
        <w:widowControl w:val="0"/>
        <w:tabs>
          <w:tab w:val="left" w:pos="2835"/>
        </w:tabs>
      </w:pPr>
      <w:r>
        <w:tab/>
      </w:r>
      <w:r>
        <w:tab/>
        <w:t>Precisó que la detención de Pérez se produjo frente a una remisería.</w:t>
      </w:r>
    </w:p>
    <w:p w:rsidR="00224567" w:rsidRDefault="00224567">
      <w:pPr>
        <w:widowControl w:val="0"/>
        <w:tabs>
          <w:tab w:val="left" w:pos="2835"/>
        </w:tabs>
      </w:pPr>
      <w:r>
        <w:tab/>
      </w:r>
      <w:r>
        <w:tab/>
        <w:t>Asimismo, remarcó que a la madrugada le comunicaron que debía trasladar detenidos al Juzgado Federal de San Isidro, que habían sido solicitados para primera hora. Por ello, a las 6.45 ó 7.00 salió junto a Leal y otra persona que podía ser Valenzuela, a bordo de un móvil policial para el juzgado.</w:t>
      </w:r>
    </w:p>
    <w:p w:rsidR="00224567" w:rsidRDefault="00224567">
      <w:pPr>
        <w:widowControl w:val="0"/>
        <w:tabs>
          <w:tab w:val="left" w:pos="2835"/>
        </w:tabs>
      </w:pPr>
      <w:r>
        <w:tab/>
      </w:r>
      <w:r>
        <w:tab/>
        <w:t>Aclaró que con Leal tenía una relación estrictamente laboral, explicando que el of</w:t>
      </w:r>
      <w:r>
        <w:t>i</w:t>
      </w:r>
      <w:r>
        <w:t>cial inspector Eduardo López Cardama, a cuyo cargo se encontraba, había sido trasladado hacía diez o quince días, por lo que por orden de sus superiores, Leal había sido asignado  para  reemplaza</w:t>
      </w:r>
      <w:r>
        <w:t>r</w:t>
      </w:r>
      <w:r>
        <w:t>lo en el cargo.</w:t>
      </w:r>
    </w:p>
    <w:p w:rsidR="00224567" w:rsidRDefault="00224567">
      <w:pPr>
        <w:widowControl w:val="0"/>
        <w:tabs>
          <w:tab w:val="left" w:pos="2835"/>
        </w:tabs>
      </w:pPr>
      <w:r>
        <w:tab/>
      </w:r>
      <w:r>
        <w:tab/>
        <w:t>Interrogado acerca de cómo se sucedi</w:t>
      </w:r>
      <w:r>
        <w:t>e</w:t>
      </w:r>
      <w:r>
        <w:t>ron los hechos del 14 de julio de 1994, el encausado re</w:t>
      </w:r>
      <w:r>
        <w:t>s</w:t>
      </w:r>
      <w:r>
        <w:t>pondió que ese día, el jefe de grupo Leal, tenía un dato que le había suministrado el oficial B</w:t>
      </w:r>
      <w:r>
        <w:t>a</w:t>
      </w:r>
      <w:r>
        <w:t>reiro acerca de una persona dedicada al tema de autom</w:t>
      </w:r>
      <w:r>
        <w:t>o</w:t>
      </w:r>
      <w:r>
        <w:t>tores ilegales.</w:t>
      </w:r>
    </w:p>
    <w:p w:rsidR="00224567" w:rsidRDefault="00224567">
      <w:pPr>
        <w:widowControl w:val="0"/>
        <w:tabs>
          <w:tab w:val="left" w:pos="2835"/>
        </w:tabs>
      </w:pPr>
      <w:r>
        <w:tab/>
      </w:r>
      <w:r>
        <w:tab/>
        <w:t>Manifestó que Leal dispuso que una c</w:t>
      </w:r>
      <w:r>
        <w:t>o</w:t>
      </w:r>
      <w:r>
        <w:t>misión se trasladara hasta el domicilio de aquella pers</w:t>
      </w:r>
      <w:r>
        <w:t>o</w:t>
      </w:r>
      <w:r>
        <w:t>na, ubic</w:t>
      </w:r>
      <w:r>
        <w:t>a</w:t>
      </w:r>
      <w:r>
        <w:t>do en República nº 107.</w:t>
      </w:r>
    </w:p>
    <w:p w:rsidR="00224567" w:rsidRDefault="00224567">
      <w:pPr>
        <w:widowControl w:val="0"/>
        <w:tabs>
          <w:tab w:val="left" w:pos="2835"/>
        </w:tabs>
      </w:pPr>
      <w:r>
        <w:tab/>
      </w:r>
      <w:r>
        <w:tab/>
        <w:t>Precisó que fue al lugar junto con García, Leal y Barreiro; Leal fue en su rodado ma</w:t>
      </w:r>
      <w:r>
        <w:t>r</w:t>
      </w:r>
      <w:r>
        <w:t>ca Ford Galaxy color azul, García a bordo de su camioneta marca Ford, modelo viejo, mientras que él lo hizo en su v</w:t>
      </w:r>
      <w:r>
        <w:t>e</w:t>
      </w:r>
      <w:r>
        <w:t>hículo marca Peugeot 505 de color gris oscuro. En cuanto a Bare</w:t>
      </w:r>
      <w:r>
        <w:t>i</w:t>
      </w:r>
      <w:r>
        <w:t>ro no supo si se tra</w:t>
      </w:r>
      <w:r>
        <w:t>s</w:t>
      </w:r>
      <w:r>
        <w:t>ladó junto con Leal o con García.</w:t>
      </w:r>
    </w:p>
    <w:p w:rsidR="00224567" w:rsidRDefault="00224567">
      <w:pPr>
        <w:widowControl w:val="0"/>
        <w:tabs>
          <w:tab w:val="left" w:pos="2835"/>
        </w:tabs>
      </w:pPr>
      <w:r>
        <w:tab/>
      </w:r>
      <w:r>
        <w:tab/>
        <w:t>Al arribar al lugar, mantuvieron una discreta vigilancia. El oficial Bareiro permaneció en la camioneta de García, a sesenta metros de la casa ubicada en República nº 107, en ta</w:t>
      </w:r>
      <w:r>
        <w:t>n</w:t>
      </w:r>
      <w:r>
        <w:t>to que él y Leal se hallaban a cien metros aproximadamente, aunque este último en dire</w:t>
      </w:r>
      <w:r>
        <w:t>c</w:t>
      </w:r>
      <w:r>
        <w:t>ción contraria. Refirió que se comunicaban por handy y quien anunció los movimientos que había en el lugar fue Bareiro, que estaba más cerca de la casa.</w:t>
      </w:r>
    </w:p>
    <w:p w:rsidR="00224567" w:rsidRDefault="00224567">
      <w:pPr>
        <w:widowControl w:val="0"/>
        <w:tabs>
          <w:tab w:val="left" w:pos="2835"/>
        </w:tabs>
      </w:pPr>
      <w:r>
        <w:tab/>
      </w:r>
      <w:r>
        <w:tab/>
        <w:t>Señaló que en determinado mome</w:t>
      </w:r>
      <w:r>
        <w:t>n</w:t>
      </w:r>
      <w:r>
        <w:t>to, le avisaron por handy que estaba saliendo un auto de aquel domicilio y él, que estaba apostado en la calle Lavalle, perpendicular a República, salió a inte</w:t>
      </w:r>
      <w:r>
        <w:t>r</w:t>
      </w:r>
      <w:r>
        <w:t>ceptar el vehículo en cuestión. Se trató de un Renault 19, color gris que, cuando él lo trató de encerrar, el conductor aceleró, ch</w:t>
      </w:r>
      <w:r>
        <w:t>o</w:t>
      </w:r>
      <w:r>
        <w:t>cándolo en la parte trasera del vehículo, para dar co</w:t>
      </w:r>
      <w:r>
        <w:t>n</w:t>
      </w:r>
      <w:r>
        <w:t>tra una c</w:t>
      </w:r>
      <w:r>
        <w:t>a</w:t>
      </w:r>
      <w:r>
        <w:t>mioneta y salir a gran velocidad por la calle.</w:t>
      </w:r>
    </w:p>
    <w:p w:rsidR="00224567" w:rsidRDefault="00224567">
      <w:pPr>
        <w:widowControl w:val="0"/>
        <w:tabs>
          <w:tab w:val="left" w:pos="2835"/>
        </w:tabs>
      </w:pPr>
      <w:r>
        <w:tab/>
      </w:r>
      <w:r>
        <w:tab/>
        <w:t>Leal y García lo persiguieron, mie</w:t>
      </w:r>
      <w:r>
        <w:t>n</w:t>
      </w:r>
      <w:r>
        <w:t>tras él permaneció en el lugar, ya que su vehículo no arrancó, al igual que Bareiro.</w:t>
      </w:r>
    </w:p>
    <w:p w:rsidR="00224567" w:rsidRDefault="00224567">
      <w:pPr>
        <w:widowControl w:val="0"/>
        <w:tabs>
          <w:tab w:val="left" w:pos="2835"/>
        </w:tabs>
      </w:pPr>
      <w:r>
        <w:tab/>
      </w:r>
      <w:r>
        <w:tab/>
        <w:t>Preguntado acerca de qué hizo cuando Leal y García salieron a perseguir al vehículo, Lasala puntualizó que dejó su automotor estacionado y se retiró del lugar, no recordando bien si en definitiva se alejó con su auto o no.</w:t>
      </w:r>
    </w:p>
    <w:p w:rsidR="00224567" w:rsidRDefault="00224567">
      <w:pPr>
        <w:widowControl w:val="0"/>
        <w:tabs>
          <w:tab w:val="left" w:pos="2835"/>
        </w:tabs>
      </w:pPr>
      <w:r>
        <w:tab/>
      </w:r>
      <w:r>
        <w:tab/>
        <w:t>Si bien manifestó que no observó si Bareiro se fue del lugar, supuso que así lo hizo, toda vez que éste “no podía dar la cara” ya que era quien conocía a Telle</w:t>
      </w:r>
      <w:r>
        <w:t>l</w:t>
      </w:r>
      <w:r>
        <w:t>dín.</w:t>
      </w:r>
    </w:p>
    <w:p w:rsidR="00224567" w:rsidRDefault="00224567">
      <w:pPr>
        <w:widowControl w:val="0"/>
        <w:tabs>
          <w:tab w:val="left" w:pos="2835"/>
        </w:tabs>
      </w:pPr>
      <w:r>
        <w:tab/>
      </w:r>
      <w:r>
        <w:tab/>
        <w:t>Manifestó que diez o quince minutos más tarde apar</w:t>
      </w:r>
      <w:r>
        <w:t>e</w:t>
      </w:r>
      <w:r>
        <w:t>cieron García y Leal; éste último comunicó la novedad al jefe de operaciones, el comis</w:t>
      </w:r>
      <w:r>
        <w:t>a</w:t>
      </w:r>
      <w:r>
        <w:t>rio Rago, para luego realizar una vigilancia discreta, en caso de que apareciera el autom</w:t>
      </w:r>
      <w:r>
        <w:t>o</w:t>
      </w:r>
      <w:r>
        <w:t>tor, explicando que fue en el ínterin cuando detuvieron a Pérez, según lo relatado precedent</w:t>
      </w:r>
      <w:r>
        <w:t>e</w:t>
      </w:r>
      <w:r>
        <w:t>mente.</w:t>
      </w:r>
    </w:p>
    <w:p w:rsidR="00224567" w:rsidRDefault="00224567">
      <w:pPr>
        <w:widowControl w:val="0"/>
        <w:tabs>
          <w:tab w:val="left" w:pos="2835"/>
        </w:tabs>
      </w:pPr>
      <w:r>
        <w:tab/>
      </w:r>
      <w:r>
        <w:tab/>
        <w:t>Mencionó que era frecuente que util</w:t>
      </w:r>
      <w:r>
        <w:t>i</w:t>
      </w:r>
      <w:r>
        <w:t>zaran sus pr</w:t>
      </w:r>
      <w:r>
        <w:t>o</w:t>
      </w:r>
      <w:r>
        <w:t xml:space="preserve">pios autos, porque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generalmente utilizaba rodados marca Mo</w:t>
      </w:r>
      <w:r>
        <w:t>n</w:t>
      </w:r>
      <w:r>
        <w:t>za, que eran fácilmente reconocibles por los d</w:t>
      </w:r>
      <w:r>
        <w:t>e</w:t>
      </w:r>
      <w:r>
        <w:t>lincuentes, como ocurría con los patrulleros.</w:t>
      </w:r>
    </w:p>
    <w:p w:rsidR="00224567" w:rsidRDefault="00224567">
      <w:pPr>
        <w:widowControl w:val="0"/>
        <w:tabs>
          <w:tab w:val="left" w:pos="2835"/>
        </w:tabs>
      </w:pPr>
      <w:r>
        <w:tab/>
      </w:r>
      <w:r>
        <w:tab/>
        <w:t>Con respecto a las funciones de Bare</w:t>
      </w:r>
      <w:r>
        <w:t>i</w:t>
      </w:r>
      <w:r>
        <w:t xml:space="preserve">ro en </w:t>
      </w:r>
      <w:smartTag w:uri="urn:schemas-microsoft-com:office:smarttags" w:element="PersonName">
        <w:smartTagPr>
          <w:attr w:name="ProductID" w:val="la Brigada"/>
        </w:smartTagPr>
        <w:r>
          <w:t>la Brig</w:t>
        </w:r>
        <w:r>
          <w:t>a</w:t>
        </w:r>
        <w:r>
          <w:t>da</w:t>
        </w:r>
      </w:smartTag>
      <w:r>
        <w:t xml:space="preserve"> de Vicente López, dijo que era oficial de servicio, pero no participaba del grupo op</w:t>
      </w:r>
      <w:r>
        <w:t>e</w:t>
      </w:r>
      <w:r>
        <w:t>rativo.</w:t>
      </w:r>
    </w:p>
    <w:p w:rsidR="00224567" w:rsidRDefault="00224567">
      <w:pPr>
        <w:widowControl w:val="0"/>
        <w:tabs>
          <w:tab w:val="left" w:pos="2835"/>
        </w:tabs>
      </w:pPr>
      <w:r>
        <w:tab/>
      </w:r>
      <w:r>
        <w:tab/>
        <w:t>Remarcó que luego de la detención de Pérez, regresó con Leal a la brigada, mientras que García permaneció de consigna; después, lo comisionaron para el traslado de detenidos.</w:t>
      </w:r>
    </w:p>
    <w:p w:rsidR="00224567" w:rsidRDefault="00224567">
      <w:pPr>
        <w:widowControl w:val="0"/>
        <w:tabs>
          <w:tab w:val="left" w:pos="2835"/>
        </w:tabs>
      </w:pPr>
      <w:r>
        <w:tab/>
      </w:r>
      <w:r>
        <w:tab/>
        <w:t>Consultado con relación a si García se quedó acompañado por Bareiro, indicó que, por lo que e</w:t>
      </w:r>
      <w:r>
        <w:t>n</w:t>
      </w:r>
      <w:r>
        <w:t>tendía, García estaba sólo.</w:t>
      </w:r>
    </w:p>
    <w:p w:rsidR="00224567" w:rsidRDefault="00224567">
      <w:pPr>
        <w:widowControl w:val="0"/>
        <w:tabs>
          <w:tab w:val="left" w:pos="2835"/>
        </w:tabs>
      </w:pPr>
      <w:r>
        <w:tab/>
      </w:r>
      <w:r>
        <w:tab/>
        <w:t>Refirió que durante el tr</w:t>
      </w:r>
      <w:r>
        <w:t>a</w:t>
      </w:r>
      <w:r>
        <w:t>yecto hacia la brigada el detenido no fue interrogado ni realizó man</w:t>
      </w:r>
      <w:r>
        <w:t>i</w:t>
      </w:r>
      <w:r>
        <w:t>fest</w:t>
      </w:r>
      <w:r>
        <w:t>a</w:t>
      </w:r>
      <w:r>
        <w:t>ciones espontáneas.</w:t>
      </w:r>
    </w:p>
    <w:p w:rsidR="00224567" w:rsidRDefault="00224567">
      <w:pPr>
        <w:widowControl w:val="0"/>
        <w:tabs>
          <w:tab w:val="left" w:pos="2835"/>
        </w:tabs>
      </w:pPr>
      <w:r>
        <w:tab/>
      </w:r>
      <w:r>
        <w:tab/>
        <w:t>Preguntado puntualmente por qué Bare</w:t>
      </w:r>
      <w:r>
        <w:t>i</w:t>
      </w:r>
      <w:r>
        <w:t>ro fue convocado para acompañar a la comisión que se tra</w:t>
      </w:r>
      <w:r>
        <w:t>s</w:t>
      </w:r>
      <w:r>
        <w:t>ladó a Villa Ballester, reiteró que Bareiro era quien h</w:t>
      </w:r>
      <w:r>
        <w:t>a</w:t>
      </w:r>
      <w:r>
        <w:t>bía aportado el dato sobre Telleldín, razón por la cual estuvo en el lugar, aclarando que al nombrado lo vio luego del procedimie</w:t>
      </w:r>
      <w:r>
        <w:t>n</w:t>
      </w:r>
      <w:r>
        <w:t>to, pero no recordó si hablaron del tema.</w:t>
      </w:r>
    </w:p>
    <w:p w:rsidR="00224567" w:rsidRDefault="00224567">
      <w:pPr>
        <w:widowControl w:val="0"/>
        <w:tabs>
          <w:tab w:val="left" w:pos="2835"/>
        </w:tabs>
      </w:pPr>
      <w:r>
        <w:tab/>
      </w:r>
      <w:r>
        <w:tab/>
        <w:t>Acto seguido, se le exhibió la decl</w:t>
      </w:r>
      <w:r>
        <w:t>a</w:t>
      </w:r>
      <w:r>
        <w:t>ración testimonial que prestó en sede policial el 26 de julio de 1995, con relación al sumario administrativo, r</w:t>
      </w:r>
      <w:r>
        <w:t>e</w:t>
      </w:r>
      <w:r>
        <w:t>conociendo como suya una de las firmas obrantes al pie y ratificando en un todo las manifest</w:t>
      </w:r>
      <w:r>
        <w:t>a</w:t>
      </w:r>
      <w:r>
        <w:t>ciones allí vertidas.</w:t>
      </w:r>
    </w:p>
    <w:p w:rsidR="00224567" w:rsidRDefault="00224567">
      <w:pPr>
        <w:widowControl w:val="0"/>
        <w:tabs>
          <w:tab w:val="left" w:pos="2835"/>
        </w:tabs>
      </w:pPr>
      <w:r>
        <w:tab/>
      </w:r>
      <w:r>
        <w:tab/>
        <w:t>Interrogado para que aclarara por qué en esa declaración mencionó que el detenido hizo coment</w:t>
      </w:r>
      <w:r>
        <w:t>a</w:t>
      </w:r>
      <w:r>
        <w:t>rios en el trayecto hacia la brigada y en la que se viene detallando lo negó, explicó que no lo record</w:t>
      </w:r>
      <w:r>
        <w:t>a</w:t>
      </w:r>
      <w:r>
        <w:t>ba.</w:t>
      </w:r>
    </w:p>
    <w:p w:rsidR="00224567" w:rsidRDefault="00224567">
      <w:pPr>
        <w:widowControl w:val="0"/>
        <w:tabs>
          <w:tab w:val="left" w:pos="2835"/>
        </w:tabs>
      </w:pPr>
      <w:r>
        <w:tab/>
      </w:r>
      <w:r>
        <w:tab/>
        <w:t>Expresó que con motivo del proced</w:t>
      </w:r>
      <w:r>
        <w:t>i</w:t>
      </w:r>
      <w:r>
        <w:t>miento realizado en la calle República y en virtud de la detención de Pérez, debían haberse labrado actas, aunque no recordó haber firmado alguna. En cuanto a la persec</w:t>
      </w:r>
      <w:r>
        <w:t>u</w:t>
      </w:r>
      <w:r>
        <w:t>ción del vehículo marca Renault 19, manifestó desconocer si se labró algún a</w:t>
      </w:r>
      <w:r>
        <w:t>c</w:t>
      </w:r>
      <w:r>
        <w:t>ta, señalando que ello estaba a cargo de Leal.</w:t>
      </w:r>
    </w:p>
    <w:p w:rsidR="00224567" w:rsidRDefault="00224567">
      <w:pPr>
        <w:widowControl w:val="0"/>
        <w:tabs>
          <w:tab w:val="left" w:pos="2835"/>
        </w:tabs>
      </w:pPr>
      <w:r>
        <w:tab/>
      </w:r>
      <w:r>
        <w:tab/>
        <w:t xml:space="preserve">Indicó que concurrió a la ciudad de </w:t>
      </w:r>
      <w:smartTag w:uri="urn:schemas-microsoft-com:office:smarttags" w:element="PersonName">
        <w:smartTagPr>
          <w:attr w:name="ProductID" w:val="La Plata"/>
        </w:smartTagPr>
        <w:r>
          <w:t>La Plata</w:t>
        </w:r>
      </w:smartTag>
      <w:r>
        <w:t xml:space="preserve"> a declarar en </w:t>
      </w:r>
      <w:smartTag w:uri="urn:schemas-microsoft-com:office:smarttags" w:element="PersonName">
        <w:smartTagPr>
          <w:attr w:name="ProductID" w:val="la Direcci￳n"/>
        </w:smartTagPr>
        <w:r>
          <w:t>la Dirección</w:t>
        </w:r>
      </w:smartTag>
      <w:r>
        <w:t xml:space="preserve"> de Sumarios, con Leal, quien lo único que le dijo fue que declarara lo que había pasado. Agregó que el comisario Rago le hizo algunas pr</w:t>
      </w:r>
      <w:r>
        <w:t>e</w:t>
      </w:r>
      <w:r>
        <w:t>guntas con respecto al procedimiento, por si había pasado algo i</w:t>
      </w:r>
      <w:r>
        <w:t>n</w:t>
      </w:r>
      <w:r>
        <w:t>usual.</w:t>
      </w:r>
    </w:p>
    <w:p w:rsidR="00224567" w:rsidRDefault="00224567">
      <w:pPr>
        <w:widowControl w:val="0"/>
        <w:tabs>
          <w:tab w:val="left" w:pos="2835"/>
        </w:tabs>
      </w:pPr>
      <w:r>
        <w:tab/>
      </w:r>
      <w:r>
        <w:tab/>
        <w:t>Sostuvo que con el dato que B</w:t>
      </w:r>
      <w:r>
        <w:t>a</w:t>
      </w:r>
      <w:r>
        <w:t>reiro le aportó a Leal se decidió la detención de Telleldín, y me</w:t>
      </w:r>
      <w:r>
        <w:t>n</w:t>
      </w:r>
      <w:r>
        <w:t>cionó que al arribar a la mañana se enteró que iban a d</w:t>
      </w:r>
      <w:r>
        <w:t>e</w:t>
      </w:r>
      <w:r>
        <w:t>tener a una persona, aclarando que no constató que esa persona se dedicara, efect</w:t>
      </w:r>
      <w:r>
        <w:t>i</w:t>
      </w:r>
      <w:r>
        <w:t>vamente, a tareas ilícitas con automóviles.</w:t>
      </w:r>
    </w:p>
    <w:p w:rsidR="00224567" w:rsidRDefault="00224567">
      <w:pPr>
        <w:widowControl w:val="0"/>
        <w:tabs>
          <w:tab w:val="left" w:pos="2835"/>
        </w:tabs>
      </w:pPr>
      <w:r>
        <w:tab/>
      </w:r>
      <w:r>
        <w:tab/>
        <w:t>Subrayó que tardaron aproximadamente unos veinticinco minutos en trasladar a Pérez hasta la brigada, que condujo Leal y no se detuvieron en ningún l</w:t>
      </w:r>
      <w:r>
        <w:t>u</w:t>
      </w:r>
      <w:r>
        <w:t>gar, destacando que él ocupó el asiento de acompañante y Pérez el trasero.</w:t>
      </w:r>
    </w:p>
    <w:p w:rsidR="00224567" w:rsidRDefault="00224567">
      <w:pPr>
        <w:widowControl w:val="0"/>
        <w:tabs>
          <w:tab w:val="left" w:pos="2835"/>
        </w:tabs>
      </w:pPr>
      <w:r>
        <w:tab/>
      </w:r>
      <w:r>
        <w:tab/>
        <w:t>Si bien dijo desconocer si Leal cont</w:t>
      </w:r>
      <w:r>
        <w:t>a</w:t>
      </w:r>
      <w:r>
        <w:t>ba con mayor información, estimó que seg</w:t>
      </w:r>
      <w:r>
        <w:t>u</w:t>
      </w:r>
      <w:r>
        <w:t>ramente tenía más datos que él.</w:t>
      </w:r>
    </w:p>
    <w:p w:rsidR="00224567" w:rsidRDefault="00224567">
      <w:pPr>
        <w:widowControl w:val="0"/>
        <w:tabs>
          <w:tab w:val="left" w:pos="2835"/>
        </w:tabs>
      </w:pPr>
      <w:r>
        <w:tab/>
      </w:r>
      <w:r>
        <w:tab/>
        <w:t>Reiteró que luego del traslado de P</w:t>
      </w:r>
      <w:r>
        <w:t>é</w:t>
      </w:r>
      <w:r>
        <w:t>rez a la brigada, le comunicaron que debía trasladar a los detenidos, no recordando si se fue a su casa o se acostó a dormir un poco en la brigada.</w:t>
      </w:r>
    </w:p>
    <w:p w:rsidR="00224567" w:rsidRDefault="00224567">
      <w:pPr>
        <w:widowControl w:val="0"/>
        <w:tabs>
          <w:tab w:val="left" w:pos="2835"/>
        </w:tabs>
      </w:pPr>
      <w:r>
        <w:tab/>
      </w:r>
      <w:r>
        <w:tab/>
        <w:t>Por otra parte, Lasala expresó que c</w:t>
      </w:r>
      <w:r>
        <w:t>o</w:t>
      </w:r>
      <w:r>
        <w:t>noció a Ibarra en la unidad de detención, mientras que a Ribelli en la brigada de General Sarmiento, donde coinc</w:t>
      </w:r>
      <w:r>
        <w:t>i</w:t>
      </w:r>
      <w:r>
        <w:t>dieron por un corto lapso, época en la cual Ribelli era subcomisario.</w:t>
      </w:r>
    </w:p>
    <w:p w:rsidR="00224567" w:rsidRDefault="00224567">
      <w:pPr>
        <w:widowControl w:val="0"/>
        <w:tabs>
          <w:tab w:val="left" w:pos="2835"/>
        </w:tabs>
      </w:pPr>
      <w:r>
        <w:tab/>
      </w:r>
      <w:r>
        <w:tab/>
        <w:t>También señaló que tuvo un teléfono celular correspondiente a la empresa “Mov</w:t>
      </w:r>
      <w:r>
        <w:t>i</w:t>
      </w:r>
      <w:r>
        <w:t>com”, con el nº 448-6356, no recordando desde cua</w:t>
      </w:r>
      <w:r>
        <w:t>n</w:t>
      </w:r>
      <w:r>
        <w:t>do.</w:t>
      </w:r>
    </w:p>
    <w:p w:rsidR="00224567" w:rsidRDefault="00224567">
      <w:pPr>
        <w:widowControl w:val="0"/>
        <w:tabs>
          <w:tab w:val="left" w:pos="2835"/>
        </w:tabs>
      </w:pPr>
      <w:r>
        <w:tab/>
      </w:r>
      <w:r>
        <w:tab/>
        <w:t>Precisó que luego un promotor de la empresa “Miniphone” le ofreció cambiarse a esa compañía, razón por la cual le entregó el aparato a una persona de nombre Rafael. Éste, a su vez, le d</w:t>
      </w:r>
      <w:r>
        <w:t>i</w:t>
      </w:r>
      <w:r>
        <w:t>jo que lo iba a llamar y le iba a avisar cuando estuviera listo el teléfono con la nueva línea para devolvérselo, pero él nunca lo fue a buscar. Agregó que no le devolvieron el aparato y el núm</w:t>
      </w:r>
      <w:r>
        <w:t>e</w:t>
      </w:r>
      <w:r>
        <w:t>ro era el 417-1084.</w:t>
      </w:r>
    </w:p>
    <w:p w:rsidR="00224567" w:rsidRDefault="00224567">
      <w:pPr>
        <w:widowControl w:val="0"/>
        <w:tabs>
          <w:tab w:val="left" w:pos="2835"/>
        </w:tabs>
      </w:pPr>
      <w:r>
        <w:tab/>
      </w:r>
      <w:r>
        <w:tab/>
        <w:t>Sostuvo que se ocupaba de pagar la cuenta del teléfono celular, aparato que tenía para uso personal.</w:t>
      </w:r>
    </w:p>
    <w:p w:rsidR="00224567" w:rsidRDefault="00224567">
      <w:pPr>
        <w:widowControl w:val="0"/>
        <w:tabs>
          <w:tab w:val="left" w:pos="2835"/>
        </w:tabs>
      </w:pPr>
      <w:r>
        <w:tab/>
      </w:r>
      <w:r>
        <w:tab/>
        <w:t>Manifestó no saber si Leal, por su propia cuenta, realizó tareas de inteligencia pr</w:t>
      </w:r>
      <w:r>
        <w:t>e</w:t>
      </w:r>
      <w:r>
        <w:t>vias con relación al dato que le fuera suministrado por Barreiro, agregando que desconocía cuándo este último le dio el dato a Leal.</w:t>
      </w:r>
    </w:p>
    <w:p w:rsidR="00224567" w:rsidRDefault="00224567">
      <w:pPr>
        <w:widowControl w:val="0"/>
        <w:tabs>
          <w:tab w:val="left" w:pos="2835"/>
        </w:tabs>
      </w:pPr>
      <w:r>
        <w:tab/>
      </w:r>
      <w:r>
        <w:tab/>
        <w:t>Remarcó que la primera vez que estuvo cerca de la casa de Telleldín fue el día del procedimiento antes reseñado.</w:t>
      </w:r>
    </w:p>
    <w:p w:rsidR="00224567" w:rsidRDefault="00224567">
      <w:pPr>
        <w:widowControl w:val="0"/>
        <w:tabs>
          <w:tab w:val="left" w:pos="2835"/>
        </w:tabs>
      </w:pPr>
      <w:r>
        <w:tab/>
      </w:r>
      <w:r>
        <w:tab/>
        <w:t>Apuntó que, como consecuencia del ch</w:t>
      </w:r>
      <w:r>
        <w:t>o</w:t>
      </w:r>
      <w:r>
        <w:t>que que sufrió su vehículo con el Renault 19, se cayó el guardabarros trasero, que fue r</w:t>
      </w:r>
      <w:r>
        <w:t>e</w:t>
      </w:r>
      <w:r>
        <w:t>parando de a poco.</w:t>
      </w:r>
    </w:p>
    <w:p w:rsidR="00224567" w:rsidRDefault="00224567">
      <w:pPr>
        <w:widowControl w:val="0"/>
        <w:tabs>
          <w:tab w:val="left" w:pos="2835"/>
        </w:tabs>
      </w:pPr>
      <w:r>
        <w:tab/>
      </w:r>
      <w:r>
        <w:tab/>
        <w:t>Con relación a sus bienes, Lasala aclaró que sólo contaba con su casa, que había sido con</w:t>
      </w:r>
      <w:r>
        <w:t>s</w:t>
      </w:r>
      <w:r>
        <w:t>truida sobre el terreno de su cuñ</w:t>
      </w:r>
      <w:r>
        <w:t>a</w:t>
      </w:r>
      <w:r>
        <w:t>do.</w:t>
      </w:r>
    </w:p>
    <w:p w:rsidR="00224567" w:rsidRDefault="00224567">
      <w:pPr>
        <w:widowControl w:val="0"/>
        <w:tabs>
          <w:tab w:val="left" w:pos="2835"/>
        </w:tabs>
        <w:rPr>
          <w:lang w:val="es-AR"/>
        </w:rPr>
      </w:pPr>
      <w:r>
        <w:tab/>
      </w:r>
      <w:r>
        <w:tab/>
      </w:r>
      <w:r>
        <w:rPr>
          <w:lang w:val="es-AR"/>
        </w:rPr>
        <w:t>Al ampliar su declaración ind</w:t>
      </w:r>
      <w:r>
        <w:rPr>
          <w:lang w:val="es-AR"/>
        </w:rPr>
        <w:t>a</w:t>
      </w:r>
      <w:r>
        <w:rPr>
          <w:lang w:val="es-AR"/>
        </w:rPr>
        <w:t xml:space="preserve">gatoria en la audiencia de debate del 18 de noviembre de 2003, </w:t>
      </w:r>
      <w:r>
        <w:t>A</w:t>
      </w:r>
      <w:r>
        <w:t>r</w:t>
      </w:r>
      <w:r>
        <w:t>gentino Gabriel Lasala</w:t>
      </w:r>
      <w:r>
        <w:rPr>
          <w:lang w:val="es-AR"/>
        </w:rPr>
        <w:t xml:space="preserve"> manifestó que, estando en dispon</w:t>
      </w:r>
      <w:r>
        <w:rPr>
          <w:lang w:val="es-AR"/>
        </w:rPr>
        <w:t>i</w:t>
      </w:r>
      <w:r>
        <w:rPr>
          <w:lang w:val="es-AR"/>
        </w:rPr>
        <w:t>bilidad, el suboficial Nelson Gómez, con quien había co</w:t>
      </w:r>
      <w:r>
        <w:rPr>
          <w:lang w:val="es-AR"/>
        </w:rPr>
        <w:t>m</w:t>
      </w:r>
      <w:r>
        <w:rPr>
          <w:lang w:val="es-AR"/>
        </w:rPr>
        <w:t xml:space="preserve">partido destino en </w:t>
      </w:r>
      <w:smartTag w:uri="urn:schemas-microsoft-com:office:smarttags" w:element="PersonName">
        <w:smartTagPr>
          <w:attr w:name="ProductID" w:val="la Brigada"/>
        </w:smartTagPr>
        <w:r>
          <w:rPr>
            <w:lang w:val="es-AR"/>
          </w:rPr>
          <w:t>la Brigada</w:t>
        </w:r>
      </w:smartTag>
      <w:r>
        <w:rPr>
          <w:lang w:val="es-AR"/>
        </w:rPr>
        <w:t xml:space="preserve"> de </w:t>
      </w:r>
      <w:smartTag w:uri="urn:schemas-microsoft-com:office:smarttags" w:element="PersonName">
        <w:smartTagPr>
          <w:attr w:name="ProductID" w:val="La Matanza"/>
        </w:smartTagPr>
        <w:r>
          <w:rPr>
            <w:lang w:val="es-AR"/>
          </w:rPr>
          <w:t>La M</w:t>
        </w:r>
        <w:r>
          <w:rPr>
            <w:lang w:val="es-AR"/>
          </w:rPr>
          <w:t>a</w:t>
        </w:r>
        <w:r>
          <w:rPr>
            <w:lang w:val="es-AR"/>
          </w:rPr>
          <w:t>tanza</w:t>
        </w:r>
      </w:smartTag>
      <w:r>
        <w:rPr>
          <w:lang w:val="es-AR"/>
        </w:rPr>
        <w:t>, lo llamó por teléfono y le c</w:t>
      </w:r>
      <w:r>
        <w:rPr>
          <w:lang w:val="es-AR"/>
        </w:rPr>
        <w:t>o</w:t>
      </w:r>
      <w:r>
        <w:rPr>
          <w:lang w:val="es-AR"/>
        </w:rPr>
        <w:t>mentó que había gente que quería conversar con él para s</w:t>
      </w:r>
      <w:r>
        <w:rPr>
          <w:lang w:val="es-AR"/>
        </w:rPr>
        <w:t>o</w:t>
      </w:r>
      <w:r>
        <w:rPr>
          <w:lang w:val="es-AR"/>
        </w:rPr>
        <w:t>lucionar su problema administrativo.</w:t>
      </w:r>
    </w:p>
    <w:p w:rsidR="00224567" w:rsidRDefault="00224567">
      <w:pPr>
        <w:widowControl w:val="0"/>
        <w:tabs>
          <w:tab w:val="left" w:pos="2835"/>
        </w:tabs>
        <w:rPr>
          <w:lang w:val="es-AR"/>
        </w:rPr>
      </w:pPr>
      <w:r>
        <w:rPr>
          <w:lang w:val="es-AR"/>
        </w:rPr>
        <w:tab/>
      </w:r>
      <w:r>
        <w:rPr>
          <w:lang w:val="es-AR"/>
        </w:rPr>
        <w:tab/>
        <w:t>Así, fue contactado con el su</w:t>
      </w:r>
      <w:r>
        <w:rPr>
          <w:lang w:val="es-AR"/>
        </w:rPr>
        <w:t>b</w:t>
      </w:r>
      <w:r>
        <w:rPr>
          <w:lang w:val="es-AR"/>
        </w:rPr>
        <w:t>oficial Maure, precisando que era compañero del menci</w:t>
      </w:r>
      <w:r>
        <w:rPr>
          <w:lang w:val="es-AR"/>
        </w:rPr>
        <w:t>o</w:t>
      </w:r>
      <w:r>
        <w:rPr>
          <w:lang w:val="es-AR"/>
        </w:rPr>
        <w:t xml:space="preserve">nado Gómez y que había sido trasladado de </w:t>
      </w:r>
      <w:smartTag w:uri="urn:schemas-microsoft-com:office:smarttags" w:element="PersonName">
        <w:smartTagPr>
          <w:attr w:name="ProductID" w:val="la Comisar￭a"/>
        </w:smartTagPr>
        <w:r>
          <w:rPr>
            <w:lang w:val="es-AR"/>
          </w:rPr>
          <w:t>la Comisaría</w:t>
        </w:r>
      </w:smartTag>
      <w:r>
        <w:rPr>
          <w:lang w:val="es-AR"/>
        </w:rPr>
        <w:t xml:space="preserve"> de Boulogne a </w:t>
      </w:r>
      <w:smartTag w:uri="urn:schemas-microsoft-com:office:smarttags" w:element="PersonName">
        <w:smartTagPr>
          <w:attr w:name="ProductID" w:val="la Brigada"/>
        </w:smartTagPr>
        <w:r>
          <w:rPr>
            <w:lang w:val="es-AR"/>
          </w:rPr>
          <w:t>la Br</w:t>
        </w:r>
        <w:r>
          <w:rPr>
            <w:lang w:val="es-AR"/>
          </w:rPr>
          <w:t>i</w:t>
        </w:r>
        <w:r>
          <w:rPr>
            <w:lang w:val="es-AR"/>
          </w:rPr>
          <w:t>gada</w:t>
        </w:r>
      </w:smartTag>
      <w:r>
        <w:rPr>
          <w:lang w:val="es-AR"/>
        </w:rPr>
        <w:t xml:space="preserve"> de Vicente López.</w:t>
      </w:r>
    </w:p>
    <w:p w:rsidR="00224567" w:rsidRDefault="00224567">
      <w:pPr>
        <w:widowControl w:val="0"/>
        <w:tabs>
          <w:tab w:val="left" w:pos="2835"/>
        </w:tabs>
      </w:pPr>
      <w:r>
        <w:rPr>
          <w:lang w:val="es-AR"/>
        </w:rPr>
        <w:tab/>
      </w:r>
      <w:r>
        <w:rPr>
          <w:lang w:val="es-AR"/>
        </w:rPr>
        <w:tab/>
      </w:r>
      <w:r>
        <w:t>Prosiguiendo con su relato, Lasala e</w:t>
      </w:r>
      <w:r>
        <w:t>x</w:t>
      </w:r>
      <w:r>
        <w:t xml:space="preserve">presó que luego de dos o tres llamadas de Maure, accedió a mantener una entrevista en </w:t>
      </w:r>
      <w:smartTag w:uri="urn:schemas-microsoft-com:office:smarttags" w:element="PersonName">
        <w:smartTagPr>
          <w:attr w:name="ProductID" w:val="la Comisar￭a"/>
        </w:smartTagPr>
        <w:r>
          <w:t>la Comisaría</w:t>
        </w:r>
      </w:smartTag>
      <w:r>
        <w:t xml:space="preserve"> de Boulogne, oc</w:t>
      </w:r>
      <w:r>
        <w:t>a</w:t>
      </w:r>
      <w:r>
        <w:t>sión en la cual aquél le refirió que había personas i</w:t>
      </w:r>
      <w:r>
        <w:t>n</w:t>
      </w:r>
      <w:r>
        <w:t>teresadas en hablar con él, en caso de tener información acerca de la causa A.M.I.A., estando dispuestas a colab</w:t>
      </w:r>
      <w:r>
        <w:t>o</w:t>
      </w:r>
      <w:r>
        <w:t>rar.</w:t>
      </w:r>
    </w:p>
    <w:p w:rsidR="00224567" w:rsidRDefault="00224567">
      <w:pPr>
        <w:widowControl w:val="0"/>
        <w:tabs>
          <w:tab w:val="left" w:pos="2835"/>
        </w:tabs>
      </w:pPr>
      <w:r>
        <w:tab/>
      </w:r>
      <w:r>
        <w:tab/>
        <w:t>El encartado aclaró que le había c</w:t>
      </w:r>
      <w:r>
        <w:t>o</w:t>
      </w:r>
      <w:r>
        <w:t>mentado a su interlocutor sobre su detención. Al re</w:t>
      </w:r>
      <w:r>
        <w:t>s</w:t>
      </w:r>
      <w:r>
        <w:t>pecto precisó que, oportunamente, el magistrado lo llevó a su despacho y le pidió que firmara una hoja para rec</w:t>
      </w:r>
      <w:r>
        <w:t>u</w:t>
      </w:r>
      <w:r>
        <w:t>perar su libertad. Sin embargo, al negarse a participar de una j</w:t>
      </w:r>
      <w:r>
        <w:t>u</w:t>
      </w:r>
      <w:r>
        <w:t>gada o ment</w:t>
      </w:r>
      <w:r>
        <w:t>i</w:t>
      </w:r>
      <w:r>
        <w:t>ra, quedó detenido.</w:t>
      </w:r>
    </w:p>
    <w:p w:rsidR="00224567" w:rsidRDefault="00224567">
      <w:pPr>
        <w:widowControl w:val="0"/>
        <w:tabs>
          <w:tab w:val="left" w:pos="2835"/>
        </w:tabs>
      </w:pPr>
      <w:r>
        <w:tab/>
      </w:r>
      <w:r>
        <w:tab/>
        <w:t>Agregó que aún hoy seguía sufriendo las consecuencias, comentando que su hija no pudo recibi</w:t>
      </w:r>
      <w:r>
        <w:t>r</w:t>
      </w:r>
      <w:r>
        <w:t>se de oficial de policía porque su padre estaba involucr</w:t>
      </w:r>
      <w:r>
        <w:t>a</w:t>
      </w:r>
      <w:r>
        <w:t>do en la presente causa.</w:t>
      </w:r>
    </w:p>
    <w:p w:rsidR="00224567" w:rsidRDefault="00224567">
      <w:pPr>
        <w:widowControl w:val="0"/>
        <w:tabs>
          <w:tab w:val="left" w:pos="2835"/>
        </w:tabs>
      </w:pPr>
      <w:r>
        <w:tab/>
      </w:r>
      <w:r>
        <w:tab/>
        <w:t xml:space="preserve">Cuando le refirió a Maure que sólo iba a declarar si era citado por el Juzgado o </w:t>
      </w:r>
      <w:smartTag w:uri="urn:schemas-microsoft-com:office:smarttags" w:element="PersonName">
        <w:smartTagPr>
          <w:attr w:name="ProductID" w:val="la Jefatura"/>
        </w:smartTagPr>
        <w:r>
          <w:t>la Jefatura</w:t>
        </w:r>
      </w:smartTag>
      <w:r>
        <w:t>, é</w:t>
      </w:r>
      <w:r>
        <w:t>s</w:t>
      </w:r>
      <w:r>
        <w:t>te le contestó que entonces tanto él como su familia p</w:t>
      </w:r>
      <w:r>
        <w:t>o</w:t>
      </w:r>
      <w:r>
        <w:t>drían tener problemas. Ante ello, lo increpó que lo e</w:t>
      </w:r>
      <w:r>
        <w:t>s</w:t>
      </w:r>
      <w:r>
        <w:t>taba amenazando, tras lo cual su interlocutor le pidió enfát</w:t>
      </w:r>
      <w:r>
        <w:t>i</w:t>
      </w:r>
      <w:r>
        <w:t>camente que mantuviera una re</w:t>
      </w:r>
      <w:r>
        <w:t>u</w:t>
      </w:r>
      <w:r>
        <w:t>nión con las personas que lo querían ver.</w:t>
      </w:r>
    </w:p>
    <w:p w:rsidR="00224567" w:rsidRDefault="00224567">
      <w:pPr>
        <w:widowControl w:val="0"/>
        <w:tabs>
          <w:tab w:val="left" w:pos="2835"/>
        </w:tabs>
      </w:pPr>
      <w:r>
        <w:tab/>
      </w:r>
      <w:r>
        <w:tab/>
        <w:t>Transcurrido un tiempo, Maure volvió a llamarlo, haciéndolo día por medio, destacando que ello ocurrió en verano, a fines de 1996 y princ</w:t>
      </w:r>
      <w:r>
        <w:t>i</w:t>
      </w:r>
      <w:r>
        <w:t>pios de 1997.</w:t>
      </w:r>
    </w:p>
    <w:p w:rsidR="00224567" w:rsidRDefault="00224567">
      <w:pPr>
        <w:widowControl w:val="0"/>
        <w:tabs>
          <w:tab w:val="left" w:pos="2835"/>
        </w:tabs>
      </w:pPr>
      <w:r>
        <w:tab/>
      </w:r>
      <w:r>
        <w:tab/>
        <w:t>Refirió que finalmente, estando sin trabajo y depresivo, accedió a la entr</w:t>
      </w:r>
      <w:r>
        <w:t>e</w:t>
      </w:r>
      <w:r>
        <w:t>vista para conocer a los individuos que lo amenaz</w:t>
      </w:r>
      <w:r>
        <w:t>a</w:t>
      </w:r>
      <w:r>
        <w:t>ban.</w:t>
      </w:r>
    </w:p>
    <w:p w:rsidR="00224567" w:rsidRDefault="00224567">
      <w:pPr>
        <w:widowControl w:val="0"/>
        <w:tabs>
          <w:tab w:val="left" w:pos="2835"/>
        </w:tabs>
      </w:pPr>
      <w:r>
        <w:tab/>
      </w:r>
      <w:r>
        <w:tab/>
        <w:t>De este modo, a las 13.00 de un día Maure lo pasó a buscar en su auto por la e</w:t>
      </w:r>
      <w:r>
        <w:t>s</w:t>
      </w:r>
      <w:r>
        <w:t>tación de José C. Paz, y concurrieron a una p</w:t>
      </w:r>
      <w:r>
        <w:t>a</w:t>
      </w:r>
      <w:r>
        <w:t>rrilla de San Miguel que el encartado eligió, creyendo que se denom</w:t>
      </w:r>
      <w:r>
        <w:t>i</w:t>
      </w:r>
      <w:r>
        <w:t>naba “El Triunfo”, sita, aproximadamente, a cuatrocientos metros -en dire</w:t>
      </w:r>
      <w:r>
        <w:t>c</w:t>
      </w:r>
      <w:r>
        <w:t>ción a José C. Paz- del cruce de las rutas 8 y 202; come</w:t>
      </w:r>
      <w:r>
        <w:t>r</w:t>
      </w:r>
      <w:r>
        <w:t>cio que actualmente está cerr</w:t>
      </w:r>
      <w:r>
        <w:t>a</w:t>
      </w:r>
      <w:r>
        <w:t>do.</w:t>
      </w:r>
    </w:p>
    <w:p w:rsidR="00224567" w:rsidRDefault="00224567">
      <w:pPr>
        <w:widowControl w:val="0"/>
        <w:tabs>
          <w:tab w:val="left" w:pos="2835"/>
        </w:tabs>
      </w:pPr>
      <w:r>
        <w:tab/>
      </w:r>
      <w:r>
        <w:tab/>
        <w:t>Posteriormente, Basani, quien post</w:t>
      </w:r>
      <w:r>
        <w:t>e</w:t>
      </w:r>
      <w:r>
        <w:t>riormente arribó al local junto a otro sujeto que no se identificó, le dijo que le solucionaría el pr</w:t>
      </w:r>
      <w:r>
        <w:t>o</w:t>
      </w:r>
      <w:r>
        <w:t>blema de la disponibil</w:t>
      </w:r>
      <w:r>
        <w:t>i</w:t>
      </w:r>
      <w:r>
        <w:t>dad.</w:t>
      </w:r>
    </w:p>
    <w:p w:rsidR="00224567" w:rsidRDefault="00224567">
      <w:pPr>
        <w:widowControl w:val="0"/>
        <w:tabs>
          <w:tab w:val="left" w:pos="2835"/>
        </w:tabs>
      </w:pPr>
      <w:r>
        <w:tab/>
      </w:r>
      <w:r>
        <w:tab/>
        <w:t>Los allí reunidos le solicitaron que hablara acerca de los explosivos, la camioneta y los m</w:t>
      </w:r>
      <w:r>
        <w:t>u</w:t>
      </w:r>
      <w:r>
        <w:t>chachos que estaban con él, ofr</w:t>
      </w:r>
      <w:r>
        <w:t>e</w:t>
      </w:r>
      <w:r>
        <w:t>ciéndole ayuda, seguridad, cambio de identidad, plata y salida al exterior, oferta que rechazó respondiéndoles que no tenía motivos para ocultarse, ya que podía repetir su declaración en sede j</w:t>
      </w:r>
      <w:r>
        <w:t>u</w:t>
      </w:r>
      <w:r>
        <w:t>dicial, y que creía que sus compañeros presos eran inoce</w:t>
      </w:r>
      <w:r>
        <w:t>n</w:t>
      </w:r>
      <w:r>
        <w:t>tes, indicando por último a los presentes en la mesa que no se metieran con su familia.</w:t>
      </w:r>
    </w:p>
    <w:p w:rsidR="00224567" w:rsidRDefault="00224567">
      <w:pPr>
        <w:widowControl w:val="0"/>
        <w:tabs>
          <w:tab w:val="left" w:pos="2835"/>
        </w:tabs>
      </w:pPr>
      <w:r>
        <w:tab/>
      </w:r>
      <w:r>
        <w:tab/>
        <w:t>Luego, Bassani anotó sus datos en la agenda y le entregó una tarjeta por si cambiaba de op</w:t>
      </w:r>
      <w:r>
        <w:t>i</w:t>
      </w:r>
      <w:r>
        <w:t>nión, jactándose que le había explotado una gr</w:t>
      </w:r>
      <w:r>
        <w:t>a</w:t>
      </w:r>
      <w:r>
        <w:t>nada en la mano y dándole a entender que ellos manej</w:t>
      </w:r>
      <w:r>
        <w:t>a</w:t>
      </w:r>
      <w:r>
        <w:t>ban la situación y tenían poder para ello, siendo tan así, a criterio de Lasala, que él seguía en disponibilidad para la fecha de la presente d</w:t>
      </w:r>
      <w:r>
        <w:t>e</w:t>
      </w:r>
      <w:r>
        <w:t>claración.</w:t>
      </w:r>
    </w:p>
    <w:p w:rsidR="00224567" w:rsidRDefault="00224567">
      <w:pPr>
        <w:widowControl w:val="0"/>
        <w:tabs>
          <w:tab w:val="left" w:pos="2835"/>
        </w:tabs>
      </w:pPr>
      <w:r>
        <w:tab/>
      </w:r>
      <w:r>
        <w:tab/>
        <w:t>Durante el acto el imput</w:t>
      </w:r>
      <w:r>
        <w:t>a</w:t>
      </w:r>
      <w:r>
        <w:t>do aportó la tarjeta recibida en esa ocasión que reza “Raúl Pablo Ba</w:t>
      </w:r>
      <w:r>
        <w:t>s</w:t>
      </w:r>
      <w:r>
        <w:t xml:space="preserve">sani Asesor de presidencia Honorable Cámara de Diputados de </w:t>
      </w:r>
      <w:smartTag w:uri="urn:schemas-microsoft-com:office:smarttags" w:element="PersonName">
        <w:smartTagPr>
          <w:attr w:name="ProductID" w:val="la Provincia"/>
        </w:smartTagPr>
        <w:r>
          <w:t>la Provincia</w:t>
        </w:r>
      </w:smartTag>
      <w:r>
        <w:t xml:space="preserve"> de Buenos Aires”, la que en su anverso p</w:t>
      </w:r>
      <w:r>
        <w:t>o</w:t>
      </w:r>
      <w:r>
        <w:t>see en forma manuscrita las siguientes inscripciones “M</w:t>
      </w:r>
      <w:r>
        <w:t>I</w:t>
      </w:r>
      <w:r>
        <w:t>NI-557-</w:t>
      </w:r>
      <w:smartTag w:uri="urn:schemas-microsoft-com:office:smarttags" w:element="metricconverter">
        <w:smartTagPr>
          <w:attr w:name="ProductID" w:val="7244”"/>
        </w:smartTagPr>
        <w:r>
          <w:t>7244”</w:t>
        </w:r>
      </w:smartTag>
      <w:r>
        <w:t xml:space="preserve"> y “Part-234-</w:t>
      </w:r>
      <w:smartTag w:uri="urn:schemas-microsoft-com:office:smarttags" w:element="metricconverter">
        <w:smartTagPr>
          <w:attr w:name="ProductID" w:val="9968”"/>
        </w:smartTagPr>
        <w:r>
          <w:t>9968”</w:t>
        </w:r>
      </w:smartTag>
      <w:r>
        <w:t>; al respecto, Lasala dijo que los mencionados teléfonos eran de Bassani y habían s</w:t>
      </w:r>
      <w:r>
        <w:t>i</w:t>
      </w:r>
      <w:r>
        <w:t>do escritos por éste.</w:t>
      </w:r>
    </w:p>
    <w:p w:rsidR="00224567" w:rsidRDefault="00224567">
      <w:pPr>
        <w:widowControl w:val="0"/>
        <w:tabs>
          <w:tab w:val="left" w:pos="2835"/>
        </w:tabs>
      </w:pPr>
      <w:r>
        <w:tab/>
      </w:r>
      <w:r>
        <w:tab/>
        <w:t>Los dichos vertidos oportuname</w:t>
      </w:r>
      <w:r>
        <w:t>n</w:t>
      </w:r>
      <w:r>
        <w:t>te por Bassani hacia el declarante, continuó, fueron reiterados por aquél en la audiencia de debate, en la cual refirió que tenía una cobertura para ofrecer plata y cambio de identidad.</w:t>
      </w:r>
    </w:p>
    <w:p w:rsidR="00224567" w:rsidRDefault="00224567">
      <w:pPr>
        <w:widowControl w:val="0"/>
        <w:tabs>
          <w:tab w:val="left" w:pos="2835"/>
        </w:tabs>
      </w:pPr>
      <w:r>
        <w:tab/>
      </w:r>
      <w:r>
        <w:tab/>
        <w:t>Con relación al sujeto que arr</w:t>
      </w:r>
      <w:r>
        <w:t>i</w:t>
      </w:r>
      <w:r>
        <w:t>bó con Bassani, el acusado precisó que intervino en la convers</w:t>
      </w:r>
      <w:r>
        <w:t>a</w:t>
      </w:r>
      <w:r>
        <w:t>ción y no lo vio nunca más, recordando que Maure le come</w:t>
      </w:r>
      <w:r>
        <w:t>n</w:t>
      </w:r>
      <w:r>
        <w:t>tó que trabajaban para Vicat, enterándose luego que se trataba de un oficial de policía. Lo describió como un hombre de aproximadamente treinta y tres años, robusto, creía que más alto que él y morocho.</w:t>
      </w:r>
    </w:p>
    <w:p w:rsidR="00224567" w:rsidRDefault="00224567">
      <w:pPr>
        <w:widowControl w:val="0"/>
        <w:tabs>
          <w:tab w:val="left" w:pos="2835"/>
        </w:tabs>
      </w:pPr>
      <w:r>
        <w:tab/>
      </w:r>
      <w:r>
        <w:tab/>
        <w:t>Continuó su relato manifestando que Nelson Gómez, quien inicialmente lo co</w:t>
      </w:r>
      <w:r>
        <w:t>n</w:t>
      </w:r>
      <w:r>
        <w:t>tactara con Maure, había sido apretado oportuname</w:t>
      </w:r>
      <w:r>
        <w:t>n</w:t>
      </w:r>
      <w:r>
        <w:t>te por esta misma gente en Lanús para que les aportara información sobre el encart</w:t>
      </w:r>
      <w:r>
        <w:t>a</w:t>
      </w:r>
      <w:r>
        <w:t>do.</w:t>
      </w:r>
    </w:p>
    <w:p w:rsidR="00224567" w:rsidRDefault="00224567">
      <w:pPr>
        <w:widowControl w:val="0"/>
        <w:tabs>
          <w:tab w:val="left" w:pos="2835"/>
        </w:tabs>
      </w:pPr>
      <w:r>
        <w:tab/>
      </w:r>
      <w:r>
        <w:tab/>
        <w:t>Por último, refirió que no iba a co</w:t>
      </w:r>
      <w:r>
        <w:t>n</w:t>
      </w:r>
      <w:r>
        <w:t>testar preguntas por consejo de su abogado defensor.</w:t>
      </w:r>
    </w:p>
    <w:p w:rsidR="00224567" w:rsidRDefault="00224567">
      <w:pPr>
        <w:widowControl w:val="0"/>
        <w:tabs>
          <w:tab w:val="left" w:pos="2835"/>
        </w:tabs>
      </w:pPr>
    </w:p>
    <w:p w:rsidR="00224567" w:rsidRDefault="00224567">
      <w:pPr>
        <w:pStyle w:val="Ttulo3"/>
        <w:keepNext w:val="0"/>
        <w:widowControl w:val="0"/>
      </w:pPr>
      <w:r>
        <w:t xml:space="preserve">Q) Declaraciones indagatorias de </w:t>
      </w:r>
      <w:r>
        <w:rPr>
          <w:lang w:val="es-ES_tradnl"/>
        </w:rPr>
        <w:t>Jorge Horacio Rago</w:t>
      </w:r>
      <w:r>
        <w:t>.</w:t>
      </w:r>
    </w:p>
    <w:p w:rsidR="00224567" w:rsidRDefault="00224567">
      <w:pPr>
        <w:widowControl w:val="0"/>
      </w:pPr>
      <w:r>
        <w:rPr>
          <w:lang w:val="es-ES_tradnl"/>
        </w:rPr>
        <w:tab/>
        <w:t xml:space="preserve">Tras reseñar sus comienzos en </w:t>
      </w:r>
      <w:smartTag w:uri="urn:schemas-microsoft-com:office:smarttags" w:element="PersonName">
        <w:smartTagPr>
          <w:attr w:name="ProductID" w:val="la Polic￭a"/>
        </w:smartTagPr>
        <w:r>
          <w:rPr>
            <w:lang w:val="es-ES_tradnl"/>
          </w:rPr>
          <w:t>la Pol</w:t>
        </w:r>
        <w:r>
          <w:rPr>
            <w:lang w:val="es-ES_tradnl"/>
          </w:rPr>
          <w:t>i</w:t>
        </w:r>
        <w:r>
          <w:rPr>
            <w:lang w:val="es-ES_tradnl"/>
          </w:rPr>
          <w:t>cía</w:t>
        </w:r>
      </w:smartTag>
      <w:r>
        <w:rPr>
          <w:lang w:val="es-ES_tradnl"/>
        </w:rPr>
        <w:t xml:space="preserve"> de </w:t>
      </w:r>
      <w:smartTag w:uri="urn:schemas-microsoft-com:office:smarttags" w:element="PersonName">
        <w:smartTagPr>
          <w:attr w:name="ProductID" w:val="la Provincia"/>
        </w:smartTagPr>
        <w:r>
          <w:rPr>
            <w:lang w:val="es-ES_tradnl"/>
          </w:rPr>
          <w:t>la Provincia</w:t>
        </w:r>
      </w:smartTag>
      <w:r>
        <w:rPr>
          <w:lang w:val="es-ES_tradnl"/>
        </w:rPr>
        <w:t xml:space="preserve"> de Buenos Aires, Jorge Horacio Rago</w:t>
      </w:r>
      <w:r>
        <w:t xml:space="preserve"> explicó en el debate que a mediados del año 1993 fue tra</w:t>
      </w:r>
      <w:r>
        <w:t>s</w:t>
      </w:r>
      <w:r>
        <w:t xml:space="preserve">ladado a </w:t>
      </w:r>
      <w:smartTag w:uri="urn:schemas-microsoft-com:office:smarttags" w:element="PersonName">
        <w:smartTagPr>
          <w:attr w:name="ProductID" w:val="la Brigada"/>
        </w:smartTagPr>
        <w:r>
          <w:t>la Brigada</w:t>
        </w:r>
      </w:smartTag>
      <w:r>
        <w:t xml:space="preserve"> de Investigaciones de Vicente López, donde permaneció casi un año y medio, para luego pasar a </w:t>
      </w:r>
      <w:smartTag w:uri="urn:schemas-microsoft-com:office:smarttags" w:element="PersonName">
        <w:smartTagPr>
          <w:attr w:name="ProductID" w:val="la Brigada"/>
        </w:smartTagPr>
        <w:r>
          <w:t>la Brigada</w:t>
        </w:r>
      </w:smartTag>
      <w:r>
        <w:t xml:space="preserve"> de Investigaciones de </w:t>
      </w:r>
      <w:smartTag w:uri="urn:schemas-microsoft-com:office:smarttags" w:element="PersonName">
        <w:smartTagPr>
          <w:attr w:name="ProductID" w:val="La Matanza"/>
        </w:smartTagPr>
        <w:r>
          <w:t>La M</w:t>
        </w:r>
        <w:r>
          <w:t>a</w:t>
        </w:r>
        <w:r>
          <w:t>tanza</w:t>
        </w:r>
      </w:smartTag>
      <w:r>
        <w:t xml:space="preserve"> y de allí a la de San Miguel.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Indicó que para el mes de julio de 1994 ostentaba la jerarquía de subcomisario y que, a m</w:t>
      </w:r>
      <w:r>
        <w:rPr>
          <w:rFonts w:ascii="Courier New" w:hAnsi="Courier New" w:cs="Courier New"/>
          <w:b w:val="0"/>
          <w:sz w:val="24"/>
        </w:rPr>
        <w:t>e</w:t>
      </w:r>
      <w:r>
        <w:rPr>
          <w:rFonts w:ascii="Courier New" w:hAnsi="Courier New" w:cs="Courier New"/>
          <w:b w:val="0"/>
          <w:sz w:val="24"/>
        </w:rPr>
        <w:t>diados de ese mes, comenzó a desempeñarse como segundo j</w:t>
      </w:r>
      <w:r>
        <w:rPr>
          <w:rFonts w:ascii="Courier New" w:hAnsi="Courier New" w:cs="Courier New"/>
          <w:b w:val="0"/>
          <w:sz w:val="24"/>
        </w:rPr>
        <w:t>e</w:t>
      </w:r>
      <w:r>
        <w:rPr>
          <w:rFonts w:ascii="Courier New" w:hAnsi="Courier New" w:cs="Courier New"/>
          <w:b w:val="0"/>
          <w:sz w:val="24"/>
        </w:rPr>
        <w:t>fe de la dependencia, en reemplazo del subcomisario Gi</w:t>
      </w:r>
      <w:r>
        <w:rPr>
          <w:rFonts w:ascii="Courier New" w:hAnsi="Courier New" w:cs="Courier New"/>
          <w:b w:val="0"/>
          <w:sz w:val="24"/>
        </w:rPr>
        <w:t>u</w:t>
      </w:r>
      <w:r>
        <w:rPr>
          <w:rFonts w:ascii="Courier New" w:hAnsi="Courier New" w:cs="Courier New"/>
          <w:b w:val="0"/>
          <w:sz w:val="24"/>
        </w:rPr>
        <w:t>liani.</w:t>
      </w:r>
    </w:p>
    <w:p w:rsidR="00224567" w:rsidRDefault="00224567">
      <w:pPr>
        <w:widowControl w:val="0"/>
      </w:pPr>
      <w:r>
        <w:tab/>
        <w:t>Refirió que las brigadas eran depe</w:t>
      </w:r>
      <w:r>
        <w:t>n</w:t>
      </w:r>
      <w:r>
        <w:t>dencias totalmente independientes con posibilidad de a</w:t>
      </w:r>
      <w:r>
        <w:t>c</w:t>
      </w:r>
      <w:r>
        <w:t>tuar en cualquier j</w:t>
      </w:r>
      <w:r>
        <w:t>u</w:t>
      </w:r>
      <w:r>
        <w:t xml:space="preserve">risdicción de </w:t>
      </w:r>
      <w:smartTag w:uri="urn:schemas-microsoft-com:office:smarttags" w:element="PersonName">
        <w:smartTagPr>
          <w:attr w:name="ProductID" w:val="la Prov."/>
        </w:smartTagPr>
        <w:r>
          <w:t>la Prov.</w:t>
        </w:r>
      </w:smartTag>
      <w:r>
        <w:t xml:space="preserve"> de Buenos Aires sin necesidad de autorización, aunque reglament</w:t>
      </w:r>
      <w:r>
        <w:t>a</w:t>
      </w:r>
      <w:r>
        <w:t>riamente  -si bien en la práctica no se cu</w:t>
      </w:r>
      <w:r>
        <w:t>m</w:t>
      </w:r>
      <w:r>
        <w:t>plía- debía informarse a la autoridad del lugar. Tenían mínimas funciones admini</w:t>
      </w:r>
      <w:r>
        <w:t>s</w:t>
      </w:r>
      <w:r>
        <w:t>trativas y su titular era el encargado de asignar las t</w:t>
      </w:r>
      <w:r>
        <w:t>a</w:t>
      </w:r>
      <w:r>
        <w:t>reas que debían emprender los distintos grupos operat</w:t>
      </w:r>
      <w:r>
        <w:t>i</w:t>
      </w:r>
      <w:r>
        <w:t xml:space="preserve">vos que la conformaban, recordando que durante su permanencia en </w:t>
      </w:r>
      <w:smartTag w:uri="urn:schemas-microsoft-com:office:smarttags" w:element="PersonName">
        <w:smartTagPr>
          <w:attr w:name="ProductID" w:val="la Brigada"/>
        </w:smartTagPr>
        <w:r>
          <w:t>la Brigada</w:t>
        </w:r>
      </w:smartTag>
      <w:r>
        <w:t xml:space="preserve"> de Vicente López su jefe fue el comisario inspector Forgione, mientras que el oficial Leal se enco</w:t>
      </w:r>
      <w:r>
        <w:t>n</w:t>
      </w:r>
      <w:r>
        <w:t>traba al frente de uno de aquellos grupos, secundado por los sargentos García y Lasala.</w:t>
      </w:r>
    </w:p>
    <w:p w:rsidR="00224567" w:rsidRDefault="00224567">
      <w:pPr>
        <w:widowControl w:val="0"/>
      </w:pPr>
      <w:r>
        <w:tab/>
        <w:t>Indicó que trabajaba de lunes a vie</w:t>
      </w:r>
      <w:r>
        <w:t>r</w:t>
      </w:r>
      <w:r>
        <w:t>nes, lapso durante el cual pernoctaba en la brigada por cuanto su familia res</w:t>
      </w:r>
      <w:r>
        <w:t>i</w:t>
      </w:r>
      <w:r>
        <w:t>día en la ciudad de Mar del Plata y, esporádicamente, solía hacerlo los fines de semana.</w:t>
      </w:r>
    </w:p>
    <w:p w:rsidR="00224567" w:rsidRDefault="00224567">
      <w:pPr>
        <w:widowControl w:val="0"/>
      </w:pPr>
      <w:r>
        <w:tab/>
        <w:t>Explicó, también, que quienes confo</w:t>
      </w:r>
      <w:r>
        <w:t>r</w:t>
      </w:r>
      <w:r>
        <w:t>maban los grupos operativos estaban afectados a disti</w:t>
      </w:r>
      <w:r>
        <w:t>n</w:t>
      </w:r>
      <w:r>
        <w:t>tas tareas y que los fines de semana, de e</w:t>
      </w:r>
      <w:r>
        <w:t>n</w:t>
      </w:r>
      <w:r>
        <w:t>contrarse de retén, debían cumplir funciones propias del servicio, tales como vigilancias, recorridas, traslados de detenidos o conc</w:t>
      </w:r>
      <w:r>
        <w:t>u</w:t>
      </w:r>
      <w:r>
        <w:t>rrir a los lugares donde se cometieron hechos delictivos para interrogar testigos y secue</w:t>
      </w:r>
      <w:r>
        <w:t>s</w:t>
      </w:r>
      <w:r>
        <w:t>trar evidencias.</w:t>
      </w:r>
    </w:p>
    <w:p w:rsidR="00224567" w:rsidRDefault="00224567">
      <w:pPr>
        <w:widowControl w:val="0"/>
      </w:pPr>
      <w:r>
        <w:tab/>
        <w:t>Agregó que el video que da cuenta de la entrevista entre Telleldín y Galeano acredita, a su juicio, que el primero cobró la suma de 400.000 pesos o dólares, en dos pagos de doscientos, a cambio de mod</w:t>
      </w:r>
      <w:r>
        <w:t>i</w:t>
      </w:r>
      <w:r>
        <w:t>ficar sus primeros dichos. Que en dicha cinta puede verse al juez dialogando con el detenido, mientras intercambian p</w:t>
      </w:r>
      <w:r>
        <w:t>a</w:t>
      </w:r>
      <w:r>
        <w:t>receres acerca de la causa, estableciéndose una metodol</w:t>
      </w:r>
      <w:r>
        <w:t>o</w:t>
      </w:r>
      <w:r>
        <w:t>gía de trabajo en relación a los testigos, en razón que, para que d</w:t>
      </w:r>
      <w:r>
        <w:t>e</w:t>
      </w:r>
      <w:r>
        <w:t>claren, debía favorecerse la situación de éstos por cuanto le tenían temor. Indicó, además, que en dicho video puede observarse cuando el juez le muestra un papel con una serie de preguntas y Telleldín le dice que no pu</w:t>
      </w:r>
      <w:r>
        <w:t>e</w:t>
      </w:r>
      <w:r>
        <w:t>de contestar con veracidad varias de ellas, como así ta</w:t>
      </w:r>
      <w:r>
        <w:t>m</w:t>
      </w:r>
      <w:r>
        <w:t>bién que Pérez va a hacer lo que él le ordene. Circunsta</w:t>
      </w:r>
      <w:r>
        <w:t>n</w:t>
      </w:r>
      <w:r>
        <w:t>cia, esta última, que le atañe directamente porque Pérez es una de las supuestas víctimas de los hechos que se le imputan.</w:t>
      </w:r>
    </w:p>
    <w:p w:rsidR="00224567" w:rsidRDefault="00224567">
      <w:pPr>
        <w:widowControl w:val="0"/>
      </w:pPr>
      <w:r>
        <w:tab/>
        <w:t>Además, Rago desechó las manifestaci</w:t>
      </w:r>
      <w:r>
        <w:t>o</w:t>
      </w:r>
      <w:r>
        <w:t>nes de Telleldín en cuanto a que el tema de L</w:t>
      </w:r>
      <w:r>
        <w:t>a</w:t>
      </w:r>
      <w:r>
        <w:t>nús sólo era conocido por Hugo Pérez y Pérez Mejía, personas éstas de su absoluta confianza, toda vez que este último refirió que en noviembre de 1993 se había ido al Perú volviendo en julio del año s</w:t>
      </w:r>
      <w:r>
        <w:t>i</w:t>
      </w:r>
      <w:r>
        <w:t>guiente, en que buscó a Telleldín, a quien no encontró por cuanto ni s</w:t>
      </w:r>
      <w:r>
        <w:t>i</w:t>
      </w:r>
      <w:r>
        <w:t>quiera conocía el domicilio de Republica 107.</w:t>
      </w:r>
    </w:p>
    <w:p w:rsidR="00224567" w:rsidRDefault="00224567">
      <w:pPr>
        <w:widowControl w:val="0"/>
      </w:pPr>
      <w:r>
        <w:tab/>
        <w:t>En igual sentido se expidió respecto de Cotoras, quien, para avalar los dichos de Telleldín, sostuvo que el 10 de j</w:t>
      </w:r>
      <w:r>
        <w:t>u</w:t>
      </w:r>
      <w:r>
        <w:t>lio, en horas de la tarde, llegó a República 107, oportunidad en que aquél salió y le dijo que lo estaba apretando la policía, mencionando a un tal “Pino”, pidiéndole que fuera ver a Eduardo o Diego y que al alejarse con destino a lo de Eduardo pudo ver por el espejo retrovisor de su vehículo que ll</w:t>
      </w:r>
      <w:r>
        <w:t>e</w:t>
      </w:r>
      <w:r>
        <w:t>gaba la camioneta. Entonces, se preguntó Rago, ¿en qué momento Telle</w:t>
      </w:r>
      <w:r>
        <w:t>l</w:t>
      </w:r>
      <w:r>
        <w:t>dín pudo haber conocido el apodo de “Pino”, para d</w:t>
      </w:r>
      <w:r>
        <w:t>e</w:t>
      </w:r>
      <w:r>
        <w:t>cirle a Cotoras que ése era el que lo había apretado, si todavía no lo h</w:t>
      </w:r>
      <w:r>
        <w:t>a</w:t>
      </w:r>
      <w:r>
        <w:t>bía visto? O ¿cómo se explica que el hermano de T</w:t>
      </w:r>
      <w:r>
        <w:t>e</w:t>
      </w:r>
      <w:r>
        <w:t>lleldín haya afirmado que a las 14.00 vino Cotoras y le manifestó, de parte del hermano, que lo estaba apretando “P</w:t>
      </w:r>
      <w:r>
        <w:t>i</w:t>
      </w:r>
      <w:r>
        <w:t>no”?.</w:t>
      </w:r>
    </w:p>
    <w:p w:rsidR="00224567" w:rsidRDefault="00224567">
      <w:pPr>
        <w:widowControl w:val="0"/>
      </w:pPr>
      <w:r>
        <w:tab/>
        <w:t>Rago admitió haberse entrevistado con el juez Galeano, el 18 o el 25 de julio de 1996, en virtud de un ofrecimiento que le formuló el Dr. Semorile en opo</w:t>
      </w:r>
      <w:r>
        <w:t>r</w:t>
      </w:r>
      <w:r>
        <w:t>tunidad de concurrir, a m</w:t>
      </w:r>
      <w:r>
        <w:t>e</w:t>
      </w:r>
      <w:r>
        <w:t xml:space="preserve">diados de junio, a </w:t>
      </w:r>
      <w:smartTag w:uri="urn:schemas-microsoft-com:office:smarttags" w:element="PersonName">
        <w:smartTagPr>
          <w:attr w:name="ProductID" w:val="la Brigada"/>
        </w:smartTagPr>
        <w:r>
          <w:t>la Brigada</w:t>
        </w:r>
      </w:smartTag>
      <w:r>
        <w:t xml:space="preserve"> de San Miguel; ocasión en la que le expresó que el juez se encontraba investigando a las brigadas y, concretamente, que vislumbraba como próximas las detenciones de los “r</w:t>
      </w:r>
      <w:r>
        <w:t>o</w:t>
      </w:r>
      <w:r>
        <w:t>rro”, en alusión a Ribelli y a su apellido. También indicó que para ese entonces descon</w:t>
      </w:r>
      <w:r>
        <w:t>o</w:t>
      </w:r>
      <w:r>
        <w:t>cía que el juez lo requería, sabiendo tan sólo que la investigación se había in</w:t>
      </w:r>
      <w:r>
        <w:t>i</w:t>
      </w:r>
      <w:r>
        <w:t xml:space="preserve">ciado, a mediados de 1995, en </w:t>
      </w:r>
      <w:smartTag w:uri="urn:schemas-microsoft-com:office:smarttags" w:element="PersonName">
        <w:smartTagPr>
          <w:attr w:name="ProductID" w:val="la Jefatura"/>
        </w:smartTagPr>
        <w:r>
          <w:t>la Jefatura</w:t>
        </w:r>
      </w:smartTag>
      <w:r>
        <w:t xml:space="preserve"> de Pol</w:t>
      </w:r>
      <w:r>
        <w:t>i</w:t>
      </w:r>
      <w:r>
        <w:t xml:space="preserve">cía, relacionado con el atentado a </w:t>
      </w:r>
      <w:smartTag w:uri="urn:schemas-microsoft-com:office:smarttags" w:element="PersonName">
        <w:smartTagPr>
          <w:attr w:name="ProductID" w:val="la A.M"/>
        </w:smartTagPr>
        <w:r>
          <w:t>la A.M</w:t>
        </w:r>
      </w:smartTag>
      <w:r>
        <w:t>.I.A.</w:t>
      </w:r>
    </w:p>
    <w:p w:rsidR="00224567" w:rsidRDefault="00224567">
      <w:pPr>
        <w:widowControl w:val="0"/>
      </w:pPr>
      <w:r>
        <w:tab/>
        <w:t>Explicó que aceptó el ofrecimie</w:t>
      </w:r>
      <w:r>
        <w:t>n</w:t>
      </w:r>
      <w:r>
        <w:t>to de Semorile por cuanto pretendía decirle al magistrado todo lo que conocía acerca del tema que investigaba; circun</w:t>
      </w:r>
      <w:r>
        <w:t>s</w:t>
      </w:r>
      <w:r>
        <w:t>tancia que comunicó a sus superiores, el comisario inspe</w:t>
      </w:r>
      <w:r>
        <w:t>c</w:t>
      </w:r>
      <w:r>
        <w:t>tor Miniscarco y el comisario Pérez. Que concurrió al ju</w:t>
      </w:r>
      <w:r>
        <w:t>z</w:t>
      </w:r>
      <w:r>
        <w:t>gado acompañado por Semorile, con quien se había encontr</w:t>
      </w:r>
      <w:r>
        <w:t>a</w:t>
      </w:r>
      <w:r>
        <w:t>do previamente en la localidad de San Isidro, recordando haber conversado con el secretario De Gamas y con el ex prosecretario Lifschitz mientras aguardaba ser atendido por el juez.</w:t>
      </w:r>
    </w:p>
    <w:p w:rsidR="00224567" w:rsidRDefault="00224567">
      <w:pPr>
        <w:widowControl w:val="0"/>
      </w:pPr>
      <w:r>
        <w:tab/>
        <w:t>Refirió que la entrevista con el juez fue a solas o, quizás, también en presencia del secr</w:t>
      </w:r>
      <w:r>
        <w:t>e</w:t>
      </w:r>
      <w:r>
        <w:t>tario De Gamas, ind</w:t>
      </w:r>
      <w:r>
        <w:t>i</w:t>
      </w:r>
      <w:r>
        <w:t>cándole el magistrado que era su oportunidad para declarar todo lo que sabía al respecto, en pa</w:t>
      </w:r>
      <w:r>
        <w:t>r</w:t>
      </w:r>
      <w:r>
        <w:t>ticular acerca de Ribelli, y que, de no hacerlo, todas las actu</w:t>
      </w:r>
      <w:r>
        <w:t>a</w:t>
      </w:r>
      <w:r>
        <w:t xml:space="preserve">ciones de </w:t>
      </w:r>
      <w:smartTag w:uri="urn:schemas-microsoft-com:office:smarttags" w:element="PersonName">
        <w:smartTagPr>
          <w:attr w:name="ProductID" w:val="la Brigada"/>
        </w:smartTagPr>
        <w:r>
          <w:t>la Brigada</w:t>
        </w:r>
      </w:smartTag>
      <w:r>
        <w:t xml:space="preserve"> de Vicente López le iban a caer en su contra, a la vez que sería expulsado de la pol</w:t>
      </w:r>
      <w:r>
        <w:t>i</w:t>
      </w:r>
      <w:r>
        <w:t>cía.</w:t>
      </w:r>
    </w:p>
    <w:p w:rsidR="00224567" w:rsidRDefault="00224567">
      <w:pPr>
        <w:widowControl w:val="0"/>
      </w:pPr>
      <w:r>
        <w:tab/>
        <w:t>Rago manifestó que tales indic</w:t>
      </w:r>
      <w:r>
        <w:t>a</w:t>
      </w:r>
      <w:r>
        <w:t>ciones las interpretó en el sentido de que debía declarar  en  contra de Ribelli, motivo por el cual le indicó al juez que no habría de mentir y que nada podría decirle re</w:t>
      </w:r>
      <w:r>
        <w:t>s</w:t>
      </w:r>
      <w:r>
        <w:t>pecto de aquél por cuanto hacía poco que estaba en Bu</w:t>
      </w:r>
      <w:r>
        <w:t>e</w:t>
      </w:r>
      <w:r>
        <w:t xml:space="preserve">nos Aires. Entendió que dicho comportamiento le valió ser el único funcionario, no imputado por el atentado a la sede de </w:t>
      </w:r>
      <w:smartTag w:uri="urn:schemas-microsoft-com:office:smarttags" w:element="PersonName">
        <w:smartTagPr>
          <w:attr w:name="ProductID" w:val="la A.M"/>
        </w:smartTagPr>
        <w:r>
          <w:t>la A.M</w:t>
        </w:r>
      </w:smartTag>
      <w:r>
        <w:t>.I.A., exonerado de las filas polici</w:t>
      </w:r>
      <w:r>
        <w:t>a</w:t>
      </w:r>
      <w:r>
        <w:t>les.</w:t>
      </w:r>
    </w:p>
    <w:p w:rsidR="00224567" w:rsidRDefault="00224567">
      <w:pPr>
        <w:widowControl w:val="0"/>
      </w:pPr>
      <w:r>
        <w:tab/>
        <w:t>Refirió, además, que en ese e</w:t>
      </w:r>
      <w:r>
        <w:t>n</w:t>
      </w:r>
      <w:r>
        <w:t>cuentro el magistrado le solicitó que efectúe aver</w:t>
      </w:r>
      <w:r>
        <w:t>i</w:t>
      </w:r>
      <w:r>
        <w:t>guaciones a fin de establecer si Barreda y Bareiro habían incurrido en a</w:t>
      </w:r>
      <w:r>
        <w:t>l</w:t>
      </w:r>
      <w:r>
        <w:t>gún hecho ilícito; extremo que, tras una serie de consu</w:t>
      </w:r>
      <w:r>
        <w:t>l</w:t>
      </w:r>
      <w:r>
        <w:t>tas, no pudo acreditar.</w:t>
      </w:r>
    </w:p>
    <w:p w:rsidR="00224567" w:rsidRDefault="00224567">
      <w:pPr>
        <w:widowControl w:val="0"/>
      </w:pPr>
      <w:r>
        <w:tab/>
        <w:t>Acerca de su relación con Semorile, refirió que éste lo invitó a tomar un café fuera de la d</w:t>
      </w:r>
      <w:r>
        <w:t>e</w:t>
      </w:r>
      <w:r>
        <w:t>pendencia –por cuanto no quería que el encuentro se con</w:t>
      </w:r>
      <w:r>
        <w:t>o</w:t>
      </w:r>
      <w:r>
        <w:t xml:space="preserve">ciera- a fin de conversar acerca del atentado a </w:t>
      </w:r>
      <w:smartTag w:uri="urn:schemas-microsoft-com:office:smarttags" w:element="PersonName">
        <w:smartTagPr>
          <w:attr w:name="ProductID" w:val="la A.M"/>
        </w:smartTagPr>
        <w:r>
          <w:t>la A.M</w:t>
        </w:r>
      </w:smartTag>
      <w:r>
        <w:t>.I.A.; en la oportunidad dicho profesional le explicó la probable detención de él y Ribelli, como así también cuál era el problema que había tenido en Lanús, aunque sin precisar detalles al respecto. Además, le refirió la i</w:t>
      </w:r>
      <w:r>
        <w:t>m</w:t>
      </w:r>
      <w:r>
        <w:t>portancia de que concurriera a la entrevista en razón de que consideraba que podría resultar beneficiado, no h</w:t>
      </w:r>
      <w:r>
        <w:t>a</w:t>
      </w:r>
      <w:r>
        <w:t>biéndole mencionado nunca que era lo que el juez esper</w:t>
      </w:r>
      <w:r>
        <w:t>a</w:t>
      </w:r>
      <w:r>
        <w:t>ba de su declaración.</w:t>
      </w:r>
    </w:p>
    <w:p w:rsidR="00224567" w:rsidRDefault="00224567">
      <w:pPr>
        <w:widowControl w:val="0"/>
      </w:pPr>
      <w:r>
        <w:tab/>
        <w:t>Respecto a los hechos acaecidos el 14 y 15 de julio de 1994, Rago manifestó que en los prim</w:t>
      </w:r>
      <w:r>
        <w:t>e</w:t>
      </w:r>
      <w:r>
        <w:t>ros días de ese mes, en virtud de una información que aportó el oficial Bareiro, Leal lo anotició acerca de un indiv</w:t>
      </w:r>
      <w:r>
        <w:t>i</w:t>
      </w:r>
      <w:r>
        <w:t>duo que se dedicaba a cometer hechos ilícitos vinculados con automotores y que, en razón de ello, le ordenó la re</w:t>
      </w:r>
      <w:r>
        <w:t>a</w:t>
      </w:r>
      <w:r>
        <w:t>lización de diligencias tendientes a acreditar tal info</w:t>
      </w:r>
      <w:r>
        <w:t>r</w:t>
      </w:r>
      <w:r>
        <w:t>mación, instándolo a que se fijaran bien por cuanto d</w:t>
      </w:r>
      <w:r>
        <w:t>i</w:t>
      </w:r>
      <w:r>
        <w:t>cho oficial hacía poco tiempo que cumplía funciones en la br</w:t>
      </w:r>
      <w:r>
        <w:t>i</w:t>
      </w:r>
      <w:r>
        <w:t>gada. Indicó que Leal llevó a cabo la tarea encomendada y que unos días antes al 14 de julio le informó que había constatado los domicilios, a la vez que hizo r</w:t>
      </w:r>
      <w:r>
        <w:t>e</w:t>
      </w:r>
      <w:r>
        <w:t xml:space="preserve">ferencia a una agencia en </w:t>
      </w:r>
      <w:smartTag w:uri="urn:schemas-microsoft-com:office:smarttags" w:element="PersonName">
        <w:smartTagPr>
          <w:attr w:name="ProductID" w:val="la Capital Federal"/>
        </w:smartTagPr>
        <w:r>
          <w:t>la Capital Federal</w:t>
        </w:r>
      </w:smartTag>
      <w:r>
        <w:t xml:space="preserve"> donde aquel individuo adquiría vehículos siniestrados, para utilizar su docume</w:t>
      </w:r>
      <w:r>
        <w:t>n</w:t>
      </w:r>
      <w:r>
        <w:t>tación en la venta de aqu</w:t>
      </w:r>
      <w:r>
        <w:t>e</w:t>
      </w:r>
      <w:r>
        <w:t>llos que sustraía.</w:t>
      </w:r>
    </w:p>
    <w:p w:rsidR="00224567" w:rsidRDefault="00224567">
      <w:pPr>
        <w:widowControl w:val="0"/>
      </w:pPr>
      <w:r>
        <w:tab/>
        <w:t>También le indicó a Leal que ni bien advirtiera la presencia de algún vehículo de procedencia ilícita en el domicilio del sospechado se lo info</w:t>
      </w:r>
      <w:r>
        <w:t>r</w:t>
      </w:r>
      <w:r>
        <w:t xml:space="preserve">mara. Y así fue que el </w:t>
      </w:r>
      <w:smartTag w:uri="urn:schemas-microsoft-com:office:smarttags" w:element="metricconverter">
        <w:smartTagPr>
          <w:attr w:name="ProductID" w:val="13 a"/>
        </w:smartTagPr>
        <w:r>
          <w:t>13 a</w:t>
        </w:r>
      </w:smartTag>
      <w:r>
        <w:t xml:space="preserve"> la noche tomó conocimiento -de boca de Bareiro o de Leal- que al día siguiente dicha persona p</w:t>
      </w:r>
      <w:r>
        <w:t>o</w:t>
      </w:r>
      <w:r>
        <w:t>día ser hallada en su domicilio; razón por la cual le i</w:t>
      </w:r>
      <w:r>
        <w:t>n</w:t>
      </w:r>
      <w:r>
        <w:t>dicó que se constituya en el lugar con el fin de indiv</w:t>
      </w:r>
      <w:r>
        <w:t>i</w:t>
      </w:r>
      <w:r>
        <w:t>dualizarlo y establecer si el automóvil era de procedencia ilícita. Desconocía por completo que algún otro rodado p</w:t>
      </w:r>
      <w:r>
        <w:t>u</w:t>
      </w:r>
      <w:r>
        <w:t>diera encontrarse en el interior de la casa.</w:t>
      </w:r>
    </w:p>
    <w:p w:rsidR="00224567" w:rsidRDefault="00224567">
      <w:pPr>
        <w:widowControl w:val="0"/>
      </w:pPr>
      <w:r>
        <w:tab/>
        <w:t>Continuó su relato indicando que B</w:t>
      </w:r>
      <w:r>
        <w:t>a</w:t>
      </w:r>
      <w:r>
        <w:t>reiro, único en condiciones de identificar a Telleldín, fue hasta el domicilio del nombrado acompañado por los suboficiales Lasala y García y por el subcomisario Leal quien, cerca de las 18.00, le i</w:t>
      </w:r>
      <w:r>
        <w:t>n</w:t>
      </w:r>
      <w:r>
        <w:t>formó telefónicamente que intentaron obst</w:t>
      </w:r>
      <w:r>
        <w:t>a</w:t>
      </w:r>
      <w:r>
        <w:t>culizar el paso del rodado que  conducía  -Renault 19- pero había logrado darse a la fuga, pese a perseguirlo; incluso, se había subido a la vereda a fin de eludir al personal p</w:t>
      </w:r>
      <w:r>
        <w:t>o</w:t>
      </w:r>
      <w:r>
        <w:t>licial.</w:t>
      </w:r>
    </w:p>
    <w:p w:rsidR="00224567" w:rsidRDefault="00224567">
      <w:pPr>
        <w:widowControl w:val="0"/>
      </w:pPr>
      <w:r>
        <w:tab/>
        <w:t>En razón que Leal le mencionó que existían posibilidades ciertas de que Telleldín volvi</w:t>
      </w:r>
      <w:r>
        <w:t>e</w:t>
      </w:r>
      <w:r>
        <w:t>ra a su casa, Rago recordó haberlo autorizado a que permanezca en los alrededores del domic</w:t>
      </w:r>
      <w:r>
        <w:t>i</w:t>
      </w:r>
      <w:r>
        <w:t>lio, de manera encubierta, a fin de interceptarlo en cuanto arribe al lugar.</w:t>
      </w:r>
    </w:p>
    <w:p w:rsidR="00224567" w:rsidRDefault="00224567">
      <w:pPr>
        <w:widowControl w:val="0"/>
      </w:pPr>
      <w:r>
        <w:tab/>
        <w:t>Que a la medianoche, aproximad</w:t>
      </w:r>
      <w:r>
        <w:t>a</w:t>
      </w:r>
      <w:r>
        <w:t>mente, Leal le informó por radio que del domicilio de Telleldín había salido un sujeto que al requerírsele su identific</w:t>
      </w:r>
      <w:r>
        <w:t>a</w:t>
      </w:r>
      <w:r>
        <w:t>ción carecía de documentos, presentando manchas de grasa en sus manos, en contrap</w:t>
      </w:r>
      <w:r>
        <w:t>o</w:t>
      </w:r>
      <w:r>
        <w:t>sición a la actividad de albañil que dijo tener, motivando que, al amparo del articulo 13 de la ley 9551, se procediera a su detención en averigu</w:t>
      </w:r>
      <w:r>
        <w:t>a</w:t>
      </w:r>
      <w:r>
        <w:t>ción de antecedentes. Tras ello lo condujeron a la depe</w:t>
      </w:r>
      <w:r>
        <w:t>n</w:t>
      </w:r>
      <w:r>
        <w:t>dencia y al llegar le ordenó a Leal que confeccione una declaración especificando todas las circunstancias que a</w:t>
      </w:r>
      <w:r>
        <w:t>n</w:t>
      </w:r>
      <w:r>
        <w:t>tes le había referido.</w:t>
      </w:r>
    </w:p>
    <w:p w:rsidR="00224567" w:rsidRDefault="00224567">
      <w:pPr>
        <w:widowControl w:val="0"/>
      </w:pPr>
      <w:r>
        <w:tab/>
        <w:t>Indicó que con la declaración de Leal fue a ver al com</w:t>
      </w:r>
      <w:r>
        <w:t>i</w:t>
      </w:r>
      <w:r>
        <w:t>sario inspector Forgione, quien avaló la detención y ordenó labrar las actuaciones por aver</w:t>
      </w:r>
      <w:r>
        <w:t>i</w:t>
      </w:r>
      <w:r>
        <w:t>guación de antecedentes, las que tomó a su cargo Quinteros, a la sazón oficial de servicio, a quien le indicó que cumpla con las diligencias del caso, entre ellas, las comunic</w:t>
      </w:r>
      <w:r>
        <w:t>a</w:t>
      </w:r>
      <w:r>
        <w:t>ciones al jefe de policía y al juez en lo criminal en turno.</w:t>
      </w:r>
    </w:p>
    <w:p w:rsidR="00224567" w:rsidRDefault="00224567">
      <w:pPr>
        <w:widowControl w:val="0"/>
      </w:pPr>
      <w:r>
        <w:tab/>
        <w:t>Señaló, además, que en el lugar perm</w:t>
      </w:r>
      <w:r>
        <w:t>a</w:t>
      </w:r>
      <w:r>
        <w:t>neció realizando tareas de observación el suboficial Ga</w:t>
      </w:r>
      <w:r>
        <w:t>r</w:t>
      </w:r>
      <w:r>
        <w:t>cía, con la orden expresa de que debía informar si se pr</w:t>
      </w:r>
      <w:r>
        <w:t>o</w:t>
      </w:r>
      <w:r>
        <w:t>ducía el regreso de Telleldín con algún vehículo, lo que en definitiva no aconteció. Posteriormente, avanzado el día 15 , consultó a Forgione acerca de la permanencia de Pérez en la depe</w:t>
      </w:r>
      <w:r>
        <w:t>n</w:t>
      </w:r>
      <w:r>
        <w:t>dencia, disponiendo su libertad y el cese de la me</w:t>
      </w:r>
      <w:r>
        <w:t>n</w:t>
      </w:r>
      <w:r>
        <w:t>tada vigilancia.</w:t>
      </w:r>
    </w:p>
    <w:p w:rsidR="00224567" w:rsidRDefault="00224567">
      <w:pPr>
        <w:widowControl w:val="0"/>
      </w:pPr>
      <w:r>
        <w:tab/>
        <w:t>Rago enfatizó que el comisario inspe</w:t>
      </w:r>
      <w:r>
        <w:t>c</w:t>
      </w:r>
      <w:r>
        <w:t>tor Forgione estuvo en conocimiento de todos los p</w:t>
      </w:r>
      <w:r>
        <w:t>a</w:t>
      </w:r>
      <w:r>
        <w:t>sos que se dieron vinculados con dicho procedimiento, a quien ma</w:t>
      </w:r>
      <w:r>
        <w:t>n</w:t>
      </w:r>
      <w:r>
        <w:t>tuvo informado permanent</w:t>
      </w:r>
      <w:r>
        <w:t>e</w:t>
      </w:r>
      <w:r>
        <w:t>mente, tal como lo ratificó aquél en su declaración del 10 de noviembre de 1997, en la que reconoció que fue él quien guió, controló y ordenó todas las diligencias.</w:t>
      </w:r>
    </w:p>
    <w:p w:rsidR="00224567" w:rsidRDefault="00224567">
      <w:pPr>
        <w:widowControl w:val="0"/>
      </w:pPr>
      <w:r>
        <w:tab/>
        <w:t>En ese sentido, recordó que para Fo</w:t>
      </w:r>
      <w:r>
        <w:t>r</w:t>
      </w:r>
      <w:r>
        <w:t>gione la investigación era de “entre casa”, que no hacía al caudal estadístico y que se estaba a la espera de que el sospechado regrese al lugar para poder realizar la pe</w:t>
      </w:r>
      <w:r>
        <w:t>s</w:t>
      </w:r>
      <w:r>
        <w:t>quisa, por cuanto entendía que “había entrado en emerge</w:t>
      </w:r>
      <w:r>
        <w:t>n</w:t>
      </w:r>
      <w:r>
        <w:t>cia” y que, por ende, no regresaría por un tiempo a su d</w:t>
      </w:r>
      <w:r>
        <w:t>o</w:t>
      </w:r>
      <w:r>
        <w:t>micilio.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Asimismo, Rago manifestó haber ignor</w:t>
      </w:r>
      <w:r>
        <w:rPr>
          <w:rFonts w:ascii="Courier New" w:hAnsi="Courier New" w:cs="Courier New"/>
          <w:b w:val="0"/>
          <w:sz w:val="24"/>
        </w:rPr>
        <w:t>a</w:t>
      </w:r>
      <w:r>
        <w:rPr>
          <w:rFonts w:ascii="Courier New" w:hAnsi="Courier New" w:cs="Courier New"/>
          <w:b w:val="0"/>
          <w:sz w:val="24"/>
        </w:rPr>
        <w:t>do en todo momento el supuesto encuentro, la tarde del día 15, entre el abogado Bottegal -a quien dijo haberlo con</w:t>
      </w:r>
      <w:r>
        <w:rPr>
          <w:rFonts w:ascii="Courier New" w:hAnsi="Courier New" w:cs="Courier New"/>
          <w:b w:val="0"/>
          <w:sz w:val="24"/>
        </w:rPr>
        <w:t>o</w:t>
      </w:r>
      <w:r>
        <w:rPr>
          <w:rFonts w:ascii="Courier New" w:hAnsi="Courier New" w:cs="Courier New"/>
          <w:b w:val="0"/>
          <w:sz w:val="24"/>
        </w:rPr>
        <w:t>cido en el debate- y Telleldín; letrado al que tampoco c</w:t>
      </w:r>
      <w:r>
        <w:rPr>
          <w:rFonts w:ascii="Courier New" w:hAnsi="Courier New" w:cs="Courier New"/>
          <w:b w:val="0"/>
          <w:sz w:val="24"/>
        </w:rPr>
        <w:t>o</w:t>
      </w:r>
      <w:r>
        <w:rPr>
          <w:rFonts w:ascii="Courier New" w:hAnsi="Courier New" w:cs="Courier New"/>
          <w:b w:val="0"/>
          <w:sz w:val="24"/>
        </w:rPr>
        <w:t>nocía Leal, según éste le r</w:t>
      </w:r>
      <w:r>
        <w:rPr>
          <w:rFonts w:ascii="Courier New" w:hAnsi="Courier New" w:cs="Courier New"/>
          <w:b w:val="0"/>
          <w:sz w:val="24"/>
        </w:rPr>
        <w:t>e</w:t>
      </w:r>
      <w:r>
        <w:rPr>
          <w:rFonts w:ascii="Courier New" w:hAnsi="Courier New" w:cs="Courier New"/>
          <w:b w:val="0"/>
          <w:sz w:val="24"/>
        </w:rPr>
        <w:t>firió y que nunca concurrió a la brigada ni se comunicó con ella telefónicame</w:t>
      </w:r>
      <w:r>
        <w:rPr>
          <w:rFonts w:ascii="Courier New" w:hAnsi="Courier New" w:cs="Courier New"/>
          <w:b w:val="0"/>
          <w:sz w:val="24"/>
        </w:rPr>
        <w:t>n</w:t>
      </w:r>
      <w:r>
        <w:rPr>
          <w:rFonts w:ascii="Courier New" w:hAnsi="Courier New" w:cs="Courier New"/>
          <w:b w:val="0"/>
          <w:sz w:val="24"/>
        </w:rPr>
        <w:t>te.</w:t>
      </w:r>
    </w:p>
    <w:p w:rsidR="00224567" w:rsidRDefault="00224567">
      <w:pPr>
        <w:widowControl w:val="0"/>
      </w:pPr>
      <w:r>
        <w:tab/>
        <w:t>Toda vez que no acostumbraba recibir información que no viniera canalizada por el jefe del gr</w:t>
      </w:r>
      <w:r>
        <w:t>u</w:t>
      </w:r>
      <w:r>
        <w:t>po operativo, ni bien Bareiro le mencionó que tenía una serie de datos vinculados con el tema de automotores, le indicó que se los hiciera conocer a Leal, quien luego se los comentaría.</w:t>
      </w:r>
    </w:p>
    <w:p w:rsidR="00224567" w:rsidRDefault="00224567">
      <w:pPr>
        <w:widowControl w:val="0"/>
      </w:pPr>
      <w:r>
        <w:tab/>
        <w:t>Con relación a las tareas de observ</w:t>
      </w:r>
      <w:r>
        <w:t>a</w:t>
      </w:r>
      <w:r>
        <w:t>ción que se llevaron a cabo en la agencia de automotores de Monjo y al ser confrontado con sus dichos ante la in</w:t>
      </w:r>
      <w:r>
        <w:t>s</w:t>
      </w:r>
      <w:r>
        <w:t>trucción, Rago explicó que para realizar operaciones, v</w:t>
      </w:r>
      <w:r>
        <w:t>i</w:t>
      </w:r>
      <w:r>
        <w:t xml:space="preserve">gilancias o cualquier otro tipo de labor en </w:t>
      </w:r>
      <w:smartTag w:uri="urn:schemas-microsoft-com:office:smarttags" w:element="PersonName">
        <w:smartTagPr>
          <w:attr w:name="ProductID" w:val="la Capital Federal"/>
        </w:smartTagPr>
        <w:r>
          <w:t>la Capital F</w:t>
        </w:r>
        <w:r>
          <w:t>e</w:t>
        </w:r>
        <w:r>
          <w:t>deral</w:t>
        </w:r>
      </w:smartTag>
      <w:r>
        <w:t xml:space="preserve"> había que co</w:t>
      </w:r>
      <w:r>
        <w:t>n</w:t>
      </w:r>
      <w:r>
        <w:t>feccionar un expediente e informar a la dirección para que, a su vez, ella c</w:t>
      </w:r>
      <w:r>
        <w:t>o</w:t>
      </w:r>
      <w:r>
        <w:t xml:space="preserve">munique a </w:t>
      </w:r>
      <w:smartTag w:uri="urn:schemas-microsoft-com:office:smarttags" w:element="PersonName">
        <w:smartTagPr>
          <w:attr w:name="ProductID" w:val="la Polic￭a Federal"/>
        </w:smartTagPr>
        <w:r>
          <w:t>la Policía Federal</w:t>
        </w:r>
      </w:smartTag>
      <w:r>
        <w:t xml:space="preserve"> la realización de tareas en determinado lugar; c</w:t>
      </w:r>
      <w:r>
        <w:t>o</w:t>
      </w:r>
      <w:r>
        <w:t>municación que en la práctica, en los casos en que sólo se necesitaba verificar un d</w:t>
      </w:r>
      <w:r>
        <w:t>o</w:t>
      </w:r>
      <w:r>
        <w:t>micilio, no se cumplía.</w:t>
      </w:r>
    </w:p>
    <w:p w:rsidR="00224567" w:rsidRDefault="00224567">
      <w:pPr>
        <w:widowControl w:val="0"/>
      </w:pPr>
      <w:r>
        <w:tab/>
        <w:t>Recordó que Leal, en ocasión de conc</w:t>
      </w:r>
      <w:r>
        <w:t>u</w:t>
      </w:r>
      <w:r>
        <w:t>rrir a declarar a la jefatura de policía, nada le dijo acerca de un disparo que se habría efectuado al intentar detener a Telleldín, aunque le reconoció que había esc</w:t>
      </w:r>
      <w:r>
        <w:t>u</w:t>
      </w:r>
      <w:r>
        <w:t>chado un ruido al que vinculó a pr</w:t>
      </w:r>
      <w:r>
        <w:t>o</w:t>
      </w:r>
      <w:r>
        <w:t>blemas que tenía Lasala con su vehículo. Sin emba</w:t>
      </w:r>
      <w:r>
        <w:t>r</w:t>
      </w:r>
      <w:r>
        <w:t>go, indicó que en la oportunidad escucho comentarios referidos a que el disparo habría sido efectuado por García desconociendo, en ese caso, si se realizó a</w:t>
      </w:r>
      <w:r>
        <w:t>l</w:t>
      </w:r>
      <w:r>
        <w:t>guna gestión para reponer la munición consumida. También en la jefatura se anotició que entre la n</w:t>
      </w:r>
      <w:r>
        <w:t>o</w:t>
      </w:r>
      <w:r>
        <w:t>che del 15 y la mañana del 16, Bare</w:t>
      </w:r>
      <w:r>
        <w:t>i</w:t>
      </w:r>
      <w:r>
        <w:t>ro y Barreda habían concurrido a la casa de Telleldín.</w:t>
      </w:r>
    </w:p>
    <w:p w:rsidR="00224567" w:rsidRDefault="00224567">
      <w:pPr>
        <w:widowControl w:val="0"/>
      </w:pPr>
      <w:r>
        <w:tab/>
        <w:t>En cuanto a la detención de Pérez, r</w:t>
      </w:r>
      <w:r>
        <w:t>e</w:t>
      </w:r>
      <w:r>
        <w:t>firió que éste llegó a la brigada en una hora muy avanz</w:t>
      </w:r>
      <w:r>
        <w:t>a</w:t>
      </w:r>
      <w:r>
        <w:t>da, razón por la cual se encontraba durmiendo. No obsta</w:t>
      </w:r>
      <w:r>
        <w:t>n</w:t>
      </w:r>
      <w:r>
        <w:t>te, ni bien arribó se le comunicó la detención, de la que se tomó nota en los libros de guardia y de ingreso y egr</w:t>
      </w:r>
      <w:r>
        <w:t>e</w:t>
      </w:r>
      <w:r>
        <w:t>so de detenidos, indicándole a Quinteros que labre las a</w:t>
      </w:r>
      <w:r>
        <w:t>c</w:t>
      </w:r>
      <w:r>
        <w:t>tuaciones de práctica; de todo lo cual se anotició a Fo</w:t>
      </w:r>
      <w:r>
        <w:t>r</w:t>
      </w:r>
      <w:r>
        <w:t>gione, quien también se encontraba en la dependencia.</w:t>
      </w:r>
    </w:p>
    <w:p w:rsidR="00224567" w:rsidRDefault="00224567">
      <w:pPr>
        <w:widowControl w:val="0"/>
      </w:pPr>
      <w:r>
        <w:tab/>
        <w:t>Respecto al reconocimiento médico de Pérez dijo no haber estado presente cuando éste se ll</w:t>
      </w:r>
      <w:r>
        <w:t>e</w:t>
      </w:r>
      <w:r>
        <w:t>vó a cabo, no recordando la hora ni la presencia del facultat</w:t>
      </w:r>
      <w:r>
        <w:t>i</w:t>
      </w:r>
      <w:r>
        <w:t>vo en el lugar.</w:t>
      </w:r>
    </w:p>
    <w:p w:rsidR="00224567" w:rsidRDefault="00224567">
      <w:pPr>
        <w:widowControl w:val="0"/>
      </w:pPr>
      <w:r>
        <w:tab/>
        <w:t>Rago reconoció como propia la firma estampada en la constancia que da cuenta del traslado de Hugo Antonio Pérez a los fines de su identificación, de las actuaciones labradas por averiguación de los antec</w:t>
      </w:r>
      <w:r>
        <w:t>e</w:t>
      </w:r>
      <w:r>
        <w:t>dentes del nombrado. También reconoció como de su puño y letra las firmas que rubrican la declaración de Leal; el decreto que dispone la realización de las diligencias de práctica; el acta que da cuenta de la n</w:t>
      </w:r>
      <w:r>
        <w:t>o</w:t>
      </w:r>
      <w:r>
        <w:t>tificación a Pérez de los motivos de su detención; el oficio solicitando su reconocimiento médico; la comunicación de dicha d</w:t>
      </w:r>
      <w:r>
        <w:t>e</w:t>
      </w:r>
      <w:r>
        <w:t>tención al juez en lo Criminal y Correccional, Dr. Fernández G</w:t>
      </w:r>
      <w:r>
        <w:t>a</w:t>
      </w:r>
      <w:r>
        <w:t xml:space="preserve">non; el radiograma enviado a </w:t>
      </w:r>
      <w:smartTag w:uri="urn:schemas-microsoft-com:office:smarttags" w:element="PersonName">
        <w:smartTagPr>
          <w:attr w:name="ProductID" w:val="la Direcci￳n General"/>
        </w:smartTagPr>
        <w:r>
          <w:t>la Dirección General</w:t>
        </w:r>
      </w:smartTag>
      <w:r>
        <w:t xml:space="preserve"> de I</w:t>
      </w:r>
      <w:r>
        <w:t>n</w:t>
      </w:r>
      <w:r>
        <w:t xml:space="preserve">vestigaciones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w:t>
      </w:r>
      <w:r>
        <w:t>i</w:t>
      </w:r>
      <w:r>
        <w:t>res dando cuenta de la detención; la notificación de su libertad; el archivo de las actuaciones y el pedido de un informe médico legal a practicarse tanto al ingreso como al egreso de Pérez.</w:t>
      </w:r>
    </w:p>
    <w:p w:rsidR="00224567" w:rsidRDefault="00224567">
      <w:pPr>
        <w:widowControl w:val="0"/>
      </w:pPr>
      <w:r>
        <w:tab/>
        <w:t>Manifestó Rago desconocer que las fi</w:t>
      </w:r>
      <w:r>
        <w:t>r</w:t>
      </w:r>
      <w:r>
        <w:t>mas de Gómez que rubrican los informes médico legales s</w:t>
      </w:r>
      <w:r>
        <w:t>e</w:t>
      </w:r>
      <w:r>
        <w:t>ñalados en último término fueran apócrifas, pr</w:t>
      </w:r>
      <w:r>
        <w:t>e</w:t>
      </w:r>
      <w:r>
        <w:t>cisando al respecto que era muy difícil que los méd</w:t>
      </w:r>
      <w:r>
        <w:t>i</w:t>
      </w:r>
      <w:r>
        <w:t>cos, salvo alguna urgencia, concurran en horas de la madrugada, a la vez que habitual que dejen sus sellos en las depende</w:t>
      </w:r>
      <w:r>
        <w:t>n</w:t>
      </w:r>
      <w:r>
        <w:t>cias.</w:t>
      </w:r>
    </w:p>
    <w:p w:rsidR="00224567" w:rsidRDefault="00224567">
      <w:pPr>
        <w:widowControl w:val="0"/>
      </w:pPr>
      <w:r>
        <w:tab/>
        <w:t>En cuanto a la enmienda que presenta la fecha de la declaración de Leal en dicho legajo so</w:t>
      </w:r>
      <w:r>
        <w:t>s</w:t>
      </w:r>
      <w:r>
        <w:t>tuvo que respondían, al igual que los blancos que se advierten en algunas de las constancias, a errores del secretario interviniente. Respecto de aquélla en la que se dice que Pérez acreditó su identidad mediante su documento, Rago aclaró que dicha referencia no significa que el nombrado lo haya exhibido por cuanto ese texto responde a un m</w:t>
      </w:r>
      <w:r>
        <w:t>o</w:t>
      </w:r>
      <w:r>
        <w:t>delo de acta; circunstancia en la que no reparó, aunque sabía, por d</w:t>
      </w:r>
      <w:r>
        <w:t>i</w:t>
      </w:r>
      <w:r>
        <w:t>chos de Leal, que aquél estaba indocumentado.</w:t>
      </w:r>
    </w:p>
    <w:p w:rsidR="00224567" w:rsidRDefault="00224567">
      <w:pPr>
        <w:widowControl w:val="0"/>
      </w:pPr>
      <w:r>
        <w:tab/>
        <w:t>En punto a las referencias que efe</w:t>
      </w:r>
      <w:r>
        <w:t>c</w:t>
      </w:r>
      <w:r>
        <w:t>tuó Leal en su declaración vertida en las actuaciones por av</w:t>
      </w:r>
      <w:r>
        <w:t>e</w:t>
      </w:r>
      <w:r>
        <w:t>riguación de antecedentes, relacionadas con la supuesta actividad ilegal de Carlos Telleldín, Rago e</w:t>
      </w:r>
      <w:r>
        <w:t>x</w:t>
      </w:r>
      <w:r>
        <w:t>plicó que la mención que allí se hace acerca de la i</w:t>
      </w:r>
      <w:r>
        <w:t>n</w:t>
      </w:r>
      <w:r>
        <w:t>formación obtenida sólo se refería al hecho de que aquél se domiciliaba en Repúbl</w:t>
      </w:r>
      <w:r>
        <w:t>i</w:t>
      </w:r>
      <w:r>
        <w:t>ca 107, donde podía ser ubicado. También aclaró que al enterarse por teléfono de que Telleldín había eludido la interceptación policial, no dio orden alguna para que se lo persiga, pues la fuga no es delito y además porque podía correr peligro la vida o seguridad de terceros; ev</w:t>
      </w:r>
      <w:r>
        <w:t>a</w:t>
      </w:r>
      <w:r>
        <w:t>luación que c</w:t>
      </w:r>
      <w:r>
        <w:t>o</w:t>
      </w:r>
      <w:r>
        <w:t>incidió con la que también realizó Forgione.</w:t>
      </w:r>
    </w:p>
    <w:p w:rsidR="00224567" w:rsidRDefault="00224567">
      <w:pPr>
        <w:widowControl w:val="0"/>
      </w:pPr>
      <w:r>
        <w:tab/>
        <w:t>Con relación a la resistencia que T</w:t>
      </w:r>
      <w:r>
        <w:t>e</w:t>
      </w:r>
      <w:r>
        <w:t>lleldín opuso al a</w:t>
      </w:r>
      <w:r>
        <w:t>c</w:t>
      </w:r>
      <w:r>
        <w:t>cionar policial, Rago indicó que no se iniciaron actuaciones penales en razón que el comisario inspector consideró que no se había configurado de m</w:t>
      </w:r>
      <w:r>
        <w:t>a</w:t>
      </w:r>
      <w:r>
        <w:t>nera fehaciente y que tampoco había mérito para instruir actu</w:t>
      </w:r>
      <w:r>
        <w:t>a</w:t>
      </w:r>
      <w:r>
        <w:t>ción administrativa alg</w:t>
      </w:r>
      <w:r>
        <w:t>u</w:t>
      </w:r>
      <w:r>
        <w:t>na.</w:t>
      </w:r>
    </w:p>
    <w:p w:rsidR="00224567" w:rsidRDefault="00224567">
      <w:pPr>
        <w:widowControl w:val="0"/>
      </w:pPr>
      <w:r>
        <w:tab/>
        <w:t>Reiteró que la continuación de la v</w:t>
      </w:r>
      <w:r>
        <w:t>i</w:t>
      </w:r>
      <w:r>
        <w:t>gilancia en el lugar, tras la fuga, fue ordenada por Fo</w:t>
      </w:r>
      <w:r>
        <w:t>r</w:t>
      </w:r>
      <w:r>
        <w:t>gione a la espera de que Telleldín retorne a su d</w:t>
      </w:r>
      <w:r>
        <w:t>o</w:t>
      </w:r>
      <w:r>
        <w:t>micilio y que, en virtud de ello, Leal dispuso utilizar la cami</w:t>
      </w:r>
      <w:r>
        <w:t>o</w:t>
      </w:r>
      <w:r>
        <w:t>neta de García para llevar a cabo la observación, la que al no mostrar avances fue retirada del l</w:t>
      </w:r>
      <w:r>
        <w:t>u</w:t>
      </w:r>
      <w:r>
        <w:t>gar por orden del comisario inspector.</w:t>
      </w:r>
    </w:p>
    <w:p w:rsidR="00224567" w:rsidRDefault="00224567">
      <w:pPr>
        <w:widowControl w:val="0"/>
      </w:pPr>
      <w:r>
        <w:tab/>
        <w:t>Rago estimó, además, que las tareas destinadas a acreditar la existencia de algún delito no eran anoticiadas al juez en turno, a quien se recurría en caso de pretender el allanamiento de una finca o la inte</w:t>
      </w:r>
      <w:r>
        <w:t>r</w:t>
      </w:r>
      <w:r>
        <w:t>vención de un teléfono; razón por la cual, al co</w:t>
      </w:r>
      <w:r>
        <w:t>n</w:t>
      </w:r>
      <w:r>
        <w:t>tar nada más que con dichos policiales, no efectúo dicha comunic</w:t>
      </w:r>
      <w:r>
        <w:t>a</w:t>
      </w:r>
      <w:r>
        <w:t>ción en tanto sólo se pretendía interceptar el vehículo a fin de verificar su documentación y pr</w:t>
      </w:r>
      <w:r>
        <w:t>o</w:t>
      </w:r>
      <w:r>
        <w:t>cedencia.</w:t>
      </w:r>
    </w:p>
    <w:p w:rsidR="00224567" w:rsidRDefault="00224567">
      <w:pPr>
        <w:widowControl w:val="0"/>
      </w:pPr>
      <w:r>
        <w:tab/>
        <w:t>Con relación a las actividades llev</w:t>
      </w:r>
      <w:r>
        <w:t>a</w:t>
      </w:r>
      <w:r>
        <w:t>das a cabo el 15 de julio de 1994, Rago refirió que ese día Leal trasladó un detenido a un juzgado de San Is</w:t>
      </w:r>
      <w:r>
        <w:t>i</w:t>
      </w:r>
      <w:r>
        <w:t>dro, no pudiendo precisar si se c</w:t>
      </w:r>
      <w:r>
        <w:t>o</w:t>
      </w:r>
      <w:r>
        <w:t>municó con él.</w:t>
      </w:r>
    </w:p>
    <w:p w:rsidR="00224567" w:rsidRDefault="00224567">
      <w:pPr>
        <w:widowControl w:val="0"/>
      </w:pPr>
      <w:r>
        <w:tab/>
        <w:t>Asimismo, explicó que el sábado no t</w:t>
      </w:r>
      <w:r>
        <w:t>u</w:t>
      </w:r>
      <w:r>
        <w:t>vo noticias acerca de que Telleldín se hubiera hecho pr</w:t>
      </w:r>
      <w:r>
        <w:t>e</w:t>
      </w:r>
      <w:r>
        <w:t>sente en su domicilio y que, al día siguiente, tras su franco, viajó de vacaciones con su familia a la pr</w:t>
      </w:r>
      <w:r>
        <w:t>o</w:t>
      </w:r>
      <w:r>
        <w:t>vincia de Córdoba, arribando el lunes 18, alrededor de las 9.00 de la mañana, a la ciudad de Villa Carlos Paz, perman</w:t>
      </w:r>
      <w:r>
        <w:t>e</w:t>
      </w:r>
      <w:r>
        <w:t>ciendo allí hasta el 25 de julio en que retornó con su f</w:t>
      </w:r>
      <w:r>
        <w:t>a</w:t>
      </w:r>
      <w:r>
        <w:t>milia a Mar del Plata, quedándose hasta fin de mes.</w:t>
      </w:r>
    </w:p>
    <w:p w:rsidR="00224567" w:rsidRDefault="00224567">
      <w:pPr>
        <w:widowControl w:val="0"/>
      </w:pPr>
      <w:r>
        <w:tab/>
        <w:t>Refirió que se alojaron en el “Hotel Colonial”, junto con la familia de un amigo suyo, el ab</w:t>
      </w:r>
      <w:r>
        <w:t>o</w:t>
      </w:r>
      <w:r>
        <w:t>gado Macaluce, quien los invitó por estar vinculado prof</w:t>
      </w:r>
      <w:r>
        <w:t>e</w:t>
      </w:r>
      <w:r>
        <w:t>sionalmente con sus dueños. Que ese fue el motivo por el cual sólo la familia del nombrado aparece regi</w:t>
      </w:r>
      <w:r>
        <w:t>s</w:t>
      </w:r>
      <w:r>
        <w:t>trada en el libro de pasaj</w:t>
      </w:r>
      <w:r>
        <w:t>e</w:t>
      </w:r>
      <w:r>
        <w:t>ros.</w:t>
      </w:r>
    </w:p>
    <w:p w:rsidR="00224567" w:rsidRDefault="00224567">
      <w:pPr>
        <w:widowControl w:val="0"/>
      </w:pPr>
      <w:r>
        <w:tab/>
        <w:t>A fin de acreditar su estadía en la localidad serrana aportó una serie de fotografías y un v</w:t>
      </w:r>
      <w:r>
        <w:t>i</w:t>
      </w:r>
      <w:r>
        <w:t>deo, donde se observan imágenes obtenidas en ocasión de dicho viaje.</w:t>
      </w:r>
    </w:p>
    <w:p w:rsidR="00224567" w:rsidRDefault="00224567">
      <w:pPr>
        <w:widowControl w:val="0"/>
      </w:pPr>
      <w:r>
        <w:tab/>
        <w:t>En cuanto a su relación con el comis</w:t>
      </w:r>
      <w:r>
        <w:t>a</w:t>
      </w:r>
      <w:r>
        <w:t>rio Ribelli, Rago indicó que no lo unía a él ningún vínc</w:t>
      </w:r>
      <w:r>
        <w:t>u</w:t>
      </w:r>
      <w:r>
        <w:t>lo personal ni laboral, en razón que nunca coinc</w:t>
      </w:r>
      <w:r>
        <w:t>i</w:t>
      </w:r>
      <w:r>
        <w:t>dieron en un mismo destino; no ob</w:t>
      </w:r>
      <w:r>
        <w:t>s</w:t>
      </w:r>
      <w:r>
        <w:t xml:space="preserve">tante, recordó que en el año 1996, ambos fueron convocados -Ribelli como jefe de </w:t>
      </w:r>
      <w:smartTag w:uri="urn:schemas-microsoft-com:office:smarttags" w:element="PersonName">
        <w:smartTagPr>
          <w:attr w:name="ProductID" w:val="la Divisi￳n Sustracci￳n"/>
        </w:smartTagPr>
        <w:r>
          <w:t>la División Sustracción</w:t>
        </w:r>
      </w:smartTag>
      <w:r>
        <w:t xml:space="preserve"> de Automotores y él como integrante de </w:t>
      </w:r>
      <w:smartTag w:uri="urn:schemas-microsoft-com:office:smarttags" w:element="PersonName">
        <w:smartTagPr>
          <w:attr w:name="ProductID" w:val="la Brigada"/>
        </w:smartTagPr>
        <w:r>
          <w:t>la Br</w:t>
        </w:r>
        <w:r>
          <w:t>i</w:t>
        </w:r>
        <w:r>
          <w:t>gada</w:t>
        </w:r>
      </w:smartTag>
      <w:r>
        <w:t xml:space="preserve"> de San Miguel- a fin de esclarecer un secuestro e</w:t>
      </w:r>
      <w:r>
        <w:t>x</w:t>
      </w:r>
      <w:r>
        <w:t>torsivo en el que también intervinieron otras depende</w:t>
      </w:r>
      <w:r>
        <w:t>n</w:t>
      </w:r>
      <w:r>
        <w:t>cias.</w:t>
      </w:r>
    </w:p>
    <w:p w:rsidR="00224567" w:rsidRDefault="00224567">
      <w:pPr>
        <w:widowControl w:val="0"/>
      </w:pPr>
      <w:r>
        <w:tab/>
        <w:t xml:space="preserve">Indicó que </w:t>
      </w:r>
      <w:smartTag w:uri="urn:schemas-microsoft-com:office:smarttags" w:element="PersonName">
        <w:smartTagPr>
          <w:attr w:name="ProductID" w:val="la Brigada"/>
        </w:smartTagPr>
        <w:r>
          <w:t>la Brigada</w:t>
        </w:r>
      </w:smartTag>
      <w:r>
        <w:t xml:space="preserve"> de Vicente L</w:t>
      </w:r>
      <w:r>
        <w:t>ó</w:t>
      </w:r>
      <w:r>
        <w:t>pez contaba con un equipo de radio que permitía comunicarse punto a punto, aunque con un alcance relativame</w:t>
      </w:r>
      <w:r>
        <w:t>n</w:t>
      </w:r>
      <w:r>
        <w:t>te corto y que él utilizaba un teléfono celular –el 444-7741- a no</w:t>
      </w:r>
      <w:r>
        <w:t>m</w:t>
      </w:r>
      <w:r>
        <w:t>bre de Forgione, el que, cuando viajaba los fines de sem</w:t>
      </w:r>
      <w:r>
        <w:t>a</w:t>
      </w:r>
      <w:r>
        <w:t>na a Mar del Plata, acostumbraba a dejar en la depende</w:t>
      </w:r>
      <w:r>
        <w:t>n</w:t>
      </w:r>
      <w:r>
        <w:t>cia.</w:t>
      </w:r>
    </w:p>
    <w:p w:rsidR="00224567" w:rsidRDefault="00224567">
      <w:pPr>
        <w:widowControl w:val="0"/>
      </w:pPr>
      <w:r>
        <w:tab/>
        <w:t>También manifestó no haber tenido tr</w:t>
      </w:r>
      <w:r>
        <w:t>a</w:t>
      </w:r>
      <w:r>
        <w:t xml:space="preserve">to alguno con personal de </w:t>
      </w:r>
      <w:smartTag w:uri="urn:schemas-microsoft-com:office:smarttags" w:element="PersonName">
        <w:smartTagPr>
          <w:attr w:name="ProductID" w:val="la S.I"/>
        </w:smartTagPr>
        <w:r>
          <w:t>la S.I</w:t>
        </w:r>
      </w:smartTag>
      <w:r>
        <w:t>.D.E. y que al r</w:t>
      </w:r>
      <w:r>
        <w:t>e</w:t>
      </w:r>
      <w:r>
        <w:t>gresar de sus vacaciones tomó conocimiento que Bareiro, por orden del comisario mayor Verón y en virtud del trato directo que tenía con Telleldín y sus familiares, había pasado a cumplir funciones junto a integrantes de dicha secr</w:t>
      </w:r>
      <w:r>
        <w:t>e</w:t>
      </w:r>
      <w:r>
        <w:t>taría de Estado, a fin de colaborar con la investigación; act</w:t>
      </w:r>
      <w:r>
        <w:t>i</w:t>
      </w:r>
      <w:r>
        <w:t>vidad que realizaba fuera del ámbito de la brigada. Que, inicialmente, dicha labor la realizó en forma simultánea con sus tareas p</w:t>
      </w:r>
      <w:r>
        <w:t>o</w:t>
      </w:r>
      <w:r>
        <w:t>liciales, para luego cumplirla de manera exclusiva entre el 12 de septiembre y el 24 de octubre, según los libros de la d</w:t>
      </w:r>
      <w:r>
        <w:t>e</w:t>
      </w:r>
      <w:r>
        <w:t>pendencia.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asimismo, que Bareiro debía informarle a Verón todas sus actividades, pues de él d</w:t>
      </w:r>
      <w:r>
        <w:rPr>
          <w:rFonts w:ascii="Courier New" w:hAnsi="Courier New" w:cs="Courier New"/>
          <w:b w:val="0"/>
          <w:sz w:val="24"/>
        </w:rPr>
        <w:t>e</w:t>
      </w:r>
      <w:r>
        <w:rPr>
          <w:rFonts w:ascii="Courier New" w:hAnsi="Courier New" w:cs="Courier New"/>
          <w:b w:val="0"/>
          <w:sz w:val="24"/>
        </w:rPr>
        <w:t>pendía.</w:t>
      </w:r>
    </w:p>
    <w:p w:rsidR="00224567" w:rsidRDefault="00224567">
      <w:pPr>
        <w:widowControl w:val="0"/>
      </w:pPr>
      <w:r>
        <w:tab/>
        <w:t>En cuanto a Barreda, refirió que r</w:t>
      </w:r>
      <w:r>
        <w:t>e</w:t>
      </w:r>
      <w:r>
        <w:t>cién lo conoció al r</w:t>
      </w:r>
      <w:r>
        <w:t>e</w:t>
      </w:r>
      <w:r>
        <w:t>integrarse a la brigada luego de sus vacaciones en la provincia de Córdoba y, al igual que B</w:t>
      </w:r>
      <w:r>
        <w:t>a</w:t>
      </w:r>
      <w:r>
        <w:t xml:space="preserve">reiro, trabajó para </w:t>
      </w:r>
      <w:smartTag w:uri="urn:schemas-microsoft-com:office:smarttags" w:element="PersonName">
        <w:smartTagPr>
          <w:attr w:name="ProductID" w:val="la S.I"/>
        </w:smartTagPr>
        <w:r>
          <w:t>la S.I</w:t>
        </w:r>
      </w:smartTag>
      <w:r>
        <w:t>.D.E. hasta mucho más allá de la fecha que oportunamente informó dicho organi</w:t>
      </w:r>
      <w:r>
        <w:t>s</w:t>
      </w:r>
      <w:r>
        <w:t>mo.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Por otra parte, Rago reiteró sus pr</w:t>
      </w:r>
      <w:r>
        <w:rPr>
          <w:rFonts w:ascii="Courier New" w:hAnsi="Courier New" w:cs="Courier New"/>
          <w:b w:val="0"/>
          <w:sz w:val="24"/>
        </w:rPr>
        <w:t>o</w:t>
      </w:r>
      <w:r>
        <w:rPr>
          <w:rFonts w:ascii="Courier New" w:hAnsi="Courier New" w:cs="Courier New"/>
          <w:b w:val="0"/>
          <w:sz w:val="24"/>
        </w:rPr>
        <w:t>testas de inocencia indicando que Telleldín mintió en d</w:t>
      </w:r>
      <w:r>
        <w:rPr>
          <w:rFonts w:ascii="Courier New" w:hAnsi="Courier New" w:cs="Courier New"/>
          <w:b w:val="0"/>
          <w:sz w:val="24"/>
        </w:rPr>
        <w:t>i</w:t>
      </w:r>
      <w:r>
        <w:rPr>
          <w:rFonts w:ascii="Courier New" w:hAnsi="Courier New" w:cs="Courier New"/>
          <w:b w:val="0"/>
          <w:sz w:val="24"/>
        </w:rPr>
        <w:t>versas oportunidades, entre ellas: al decir que tuvo miedo por cuanto sabía que el motor del barco estaba averiado; al señalar la hora en que se habría encontrado con Bott</w:t>
      </w:r>
      <w:r>
        <w:rPr>
          <w:rFonts w:ascii="Courier New" w:hAnsi="Courier New" w:cs="Courier New"/>
          <w:b w:val="0"/>
          <w:sz w:val="24"/>
        </w:rPr>
        <w:t>e</w:t>
      </w:r>
      <w:r>
        <w:rPr>
          <w:rFonts w:ascii="Courier New" w:hAnsi="Courier New" w:cs="Courier New"/>
          <w:b w:val="0"/>
          <w:sz w:val="24"/>
        </w:rPr>
        <w:t>gal; al indicar que al encuentro asistió otra pe</w:t>
      </w:r>
      <w:r>
        <w:rPr>
          <w:rFonts w:ascii="Courier New" w:hAnsi="Courier New" w:cs="Courier New"/>
          <w:b w:val="0"/>
          <w:sz w:val="24"/>
        </w:rPr>
        <w:t>r</w:t>
      </w:r>
      <w:r>
        <w:rPr>
          <w:rFonts w:ascii="Courier New" w:hAnsi="Courier New" w:cs="Courier New"/>
          <w:b w:val="0"/>
          <w:sz w:val="24"/>
        </w:rPr>
        <w:t>sona, de barba, “con aspecto de brigada”, acompañando a dicho pr</w:t>
      </w:r>
      <w:r>
        <w:rPr>
          <w:rFonts w:ascii="Courier New" w:hAnsi="Courier New" w:cs="Courier New"/>
          <w:b w:val="0"/>
          <w:sz w:val="24"/>
        </w:rPr>
        <w:t>o</w:t>
      </w:r>
      <w:r>
        <w:rPr>
          <w:rFonts w:ascii="Courier New" w:hAnsi="Courier New" w:cs="Courier New"/>
          <w:b w:val="0"/>
          <w:sz w:val="24"/>
        </w:rPr>
        <w:t>fesional y al mencionar que el 10 de julio observó la pr</w:t>
      </w:r>
      <w:r>
        <w:rPr>
          <w:rFonts w:ascii="Courier New" w:hAnsi="Courier New" w:cs="Courier New"/>
          <w:b w:val="0"/>
          <w:sz w:val="24"/>
        </w:rPr>
        <w:t>e</w:t>
      </w:r>
      <w:r>
        <w:rPr>
          <w:rFonts w:ascii="Courier New" w:hAnsi="Courier New" w:cs="Courier New"/>
          <w:b w:val="0"/>
          <w:sz w:val="24"/>
        </w:rPr>
        <w:t>sencia de un automóvil Duna blanco; circunstancias, éstas últimas, que ni él ni Ana Boragni habían mencionado en sus primeras declaraciones.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En orden a la imputación que efectuó Bareiro, relativa a que existió un acuerdo delictual para llevar a cabo el procedimiento, Rago señaló que tales e</w:t>
      </w:r>
      <w:r>
        <w:rPr>
          <w:rFonts w:ascii="Courier New" w:hAnsi="Courier New" w:cs="Courier New"/>
          <w:b w:val="0"/>
          <w:sz w:val="24"/>
        </w:rPr>
        <w:t>x</w:t>
      </w:r>
      <w:r>
        <w:rPr>
          <w:rFonts w:ascii="Courier New" w:hAnsi="Courier New" w:cs="Courier New"/>
          <w:b w:val="0"/>
          <w:sz w:val="24"/>
        </w:rPr>
        <w:t>presiones, formuladas mientras aquél se encontraba en l</w:t>
      </w:r>
      <w:r>
        <w:rPr>
          <w:rFonts w:ascii="Courier New" w:hAnsi="Courier New" w:cs="Courier New"/>
          <w:b w:val="0"/>
          <w:sz w:val="24"/>
        </w:rPr>
        <w:t>i</w:t>
      </w:r>
      <w:r>
        <w:rPr>
          <w:rFonts w:ascii="Courier New" w:hAnsi="Courier New" w:cs="Courier New"/>
          <w:b w:val="0"/>
          <w:sz w:val="24"/>
        </w:rPr>
        <w:t>bertad, respondieron a indicaciones que a</w:t>
      </w:r>
      <w:r>
        <w:rPr>
          <w:rFonts w:ascii="Courier New" w:hAnsi="Courier New" w:cs="Courier New"/>
          <w:b w:val="0"/>
          <w:sz w:val="24"/>
        </w:rPr>
        <w:t>l</w:t>
      </w:r>
      <w:r>
        <w:rPr>
          <w:rFonts w:ascii="Courier New" w:hAnsi="Courier New" w:cs="Courier New"/>
          <w:b w:val="0"/>
          <w:sz w:val="24"/>
        </w:rPr>
        <w:t>guien le efectuó para que declare en determinado sent</w:t>
      </w:r>
      <w:r>
        <w:rPr>
          <w:rFonts w:ascii="Courier New" w:hAnsi="Courier New" w:cs="Courier New"/>
          <w:b w:val="0"/>
          <w:sz w:val="24"/>
        </w:rPr>
        <w:t>i</w:t>
      </w:r>
      <w:r>
        <w:rPr>
          <w:rFonts w:ascii="Courier New" w:hAnsi="Courier New" w:cs="Courier New"/>
          <w:b w:val="0"/>
          <w:sz w:val="24"/>
        </w:rPr>
        <w:t>do, por cuanto de lo contrario se lo imputaría como pa</w:t>
      </w:r>
      <w:r>
        <w:rPr>
          <w:rFonts w:ascii="Courier New" w:hAnsi="Courier New" w:cs="Courier New"/>
          <w:b w:val="0"/>
          <w:sz w:val="24"/>
        </w:rPr>
        <w:t>r</w:t>
      </w:r>
      <w:r>
        <w:rPr>
          <w:rFonts w:ascii="Courier New" w:hAnsi="Courier New" w:cs="Courier New"/>
          <w:b w:val="0"/>
          <w:sz w:val="24"/>
        </w:rPr>
        <w:t>tícipe.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En cuanto a los dichos de Ramón Em</w:t>
      </w:r>
      <w:r>
        <w:rPr>
          <w:rFonts w:ascii="Courier New" w:hAnsi="Courier New" w:cs="Courier New"/>
          <w:b w:val="0"/>
          <w:sz w:val="24"/>
        </w:rPr>
        <w:t>i</w:t>
      </w:r>
      <w:r>
        <w:rPr>
          <w:rFonts w:ascii="Courier New" w:hAnsi="Courier New" w:cs="Courier New"/>
          <w:b w:val="0"/>
          <w:sz w:val="24"/>
        </w:rPr>
        <w:t>lio Solari, Rago los calificó de mendaces, considerándolo un demente de actitudes agresivas. Negó que durante su est</w:t>
      </w:r>
      <w:r>
        <w:rPr>
          <w:rFonts w:ascii="Courier New" w:hAnsi="Courier New" w:cs="Courier New"/>
          <w:b w:val="0"/>
          <w:sz w:val="24"/>
        </w:rPr>
        <w:t>a</w:t>
      </w:r>
      <w:r>
        <w:rPr>
          <w:rFonts w:ascii="Courier New" w:hAnsi="Courier New" w:cs="Courier New"/>
          <w:b w:val="0"/>
          <w:sz w:val="24"/>
        </w:rPr>
        <w:t xml:space="preserve">día en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Vicente López el nombr</w:t>
      </w:r>
      <w:r>
        <w:rPr>
          <w:rFonts w:ascii="Courier New" w:hAnsi="Courier New" w:cs="Courier New"/>
          <w:b w:val="0"/>
          <w:sz w:val="24"/>
        </w:rPr>
        <w:t>a</w:t>
      </w:r>
      <w:r>
        <w:rPr>
          <w:rFonts w:ascii="Courier New" w:hAnsi="Courier New" w:cs="Courier New"/>
          <w:b w:val="0"/>
          <w:sz w:val="24"/>
        </w:rPr>
        <w:t>do haya tenido algún tipo de privilegios o que se le haya dispensado un trato preferencial y estimó que todos sus reclamos y d</w:t>
      </w:r>
      <w:r>
        <w:rPr>
          <w:rFonts w:ascii="Courier New" w:hAnsi="Courier New" w:cs="Courier New"/>
          <w:b w:val="0"/>
          <w:sz w:val="24"/>
        </w:rPr>
        <w:t>e</w:t>
      </w:r>
      <w:r>
        <w:rPr>
          <w:rFonts w:ascii="Courier New" w:hAnsi="Courier New" w:cs="Courier New"/>
          <w:b w:val="0"/>
          <w:sz w:val="24"/>
        </w:rPr>
        <w:t>nuncias estuvieron enderezadas a obtener, por cualquier medio, su alojamiento en un establecimiento carcelario d</w:t>
      </w:r>
      <w:r>
        <w:rPr>
          <w:rFonts w:ascii="Courier New" w:hAnsi="Courier New" w:cs="Courier New"/>
          <w:b w:val="0"/>
          <w:sz w:val="24"/>
        </w:rPr>
        <w:t>e</w:t>
      </w:r>
      <w:r>
        <w:rPr>
          <w:rFonts w:ascii="Courier New" w:hAnsi="Courier New" w:cs="Courier New"/>
          <w:b w:val="0"/>
          <w:sz w:val="24"/>
        </w:rPr>
        <w:t>pendiente del Servicio Pen</w:t>
      </w:r>
      <w:r>
        <w:rPr>
          <w:rFonts w:ascii="Courier New" w:hAnsi="Courier New" w:cs="Courier New"/>
          <w:b w:val="0"/>
          <w:sz w:val="24"/>
        </w:rPr>
        <w:t>i</w:t>
      </w:r>
      <w:r>
        <w:rPr>
          <w:rFonts w:ascii="Courier New" w:hAnsi="Courier New" w:cs="Courier New"/>
          <w:b w:val="0"/>
          <w:sz w:val="24"/>
        </w:rPr>
        <w:t>tenciario Federal.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Sostuvo que la historia vertida por Solari en la causa fue armada por éste a partir de info</w:t>
      </w:r>
      <w:r>
        <w:rPr>
          <w:rFonts w:ascii="Courier New" w:hAnsi="Courier New" w:cs="Courier New"/>
          <w:b w:val="0"/>
          <w:sz w:val="24"/>
        </w:rPr>
        <w:t>r</w:t>
      </w:r>
      <w:r>
        <w:rPr>
          <w:rFonts w:ascii="Courier New" w:hAnsi="Courier New" w:cs="Courier New"/>
          <w:b w:val="0"/>
          <w:sz w:val="24"/>
        </w:rPr>
        <w:t>mación obtenida de distintas publicaciones periodí</w:t>
      </w:r>
      <w:r>
        <w:rPr>
          <w:rFonts w:ascii="Courier New" w:hAnsi="Courier New" w:cs="Courier New"/>
          <w:b w:val="0"/>
          <w:sz w:val="24"/>
        </w:rPr>
        <w:t>s</w:t>
      </w:r>
      <w:r>
        <w:rPr>
          <w:rFonts w:ascii="Courier New" w:hAnsi="Courier New" w:cs="Courier New"/>
          <w:b w:val="0"/>
          <w:sz w:val="24"/>
        </w:rPr>
        <w:t>ticas, como así también de medios radiales y televisivos, a la cual aditó vivencias propias.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Indicó que Solari primero sostuvo h</w:t>
      </w:r>
      <w:r>
        <w:rPr>
          <w:rFonts w:ascii="Courier New" w:hAnsi="Courier New" w:cs="Courier New"/>
          <w:b w:val="0"/>
          <w:sz w:val="24"/>
        </w:rPr>
        <w:t>a</w:t>
      </w:r>
      <w:r>
        <w:rPr>
          <w:rFonts w:ascii="Courier New" w:hAnsi="Courier New" w:cs="Courier New"/>
          <w:b w:val="0"/>
          <w:sz w:val="24"/>
        </w:rPr>
        <w:t xml:space="preserve">berse autolesionado, para luego denunciar, ante el juez Igarzábal, que lo habían torturado; en cualquiera de los dos casos resultaba claro que aquél no deseaba permanecer en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Vicente López.</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 xml:space="preserve">Recordó que Solari ingresó a </w:t>
      </w:r>
      <w:smartTag w:uri="urn:schemas-microsoft-com:office:smarttags" w:element="PersonName">
        <w:smartTagPr>
          <w:attr w:name="ProductID" w:val="la Brigada"/>
        </w:smartTagPr>
        <w:r>
          <w:rPr>
            <w:rFonts w:ascii="Courier New" w:hAnsi="Courier New" w:cs="Courier New"/>
            <w:b w:val="0"/>
            <w:sz w:val="24"/>
          </w:rPr>
          <w:t>la Brig</w:t>
        </w:r>
        <w:r>
          <w:rPr>
            <w:rFonts w:ascii="Courier New" w:hAnsi="Courier New" w:cs="Courier New"/>
            <w:b w:val="0"/>
            <w:sz w:val="24"/>
          </w:rPr>
          <w:t>a</w:t>
        </w:r>
        <w:r>
          <w:rPr>
            <w:rFonts w:ascii="Courier New" w:hAnsi="Courier New" w:cs="Courier New"/>
            <w:b w:val="0"/>
            <w:sz w:val="24"/>
          </w:rPr>
          <w:t>da</w:t>
        </w:r>
      </w:smartTag>
      <w:r>
        <w:rPr>
          <w:rFonts w:ascii="Courier New" w:hAnsi="Courier New" w:cs="Courier New"/>
          <w:b w:val="0"/>
          <w:sz w:val="24"/>
        </w:rPr>
        <w:t xml:space="preserve"> de Investigaciones de Vicente López el 10 de se</w:t>
      </w:r>
      <w:r>
        <w:rPr>
          <w:rFonts w:ascii="Courier New" w:hAnsi="Courier New" w:cs="Courier New"/>
          <w:b w:val="0"/>
          <w:sz w:val="24"/>
        </w:rPr>
        <w:t>p</w:t>
      </w:r>
      <w:r>
        <w:rPr>
          <w:rFonts w:ascii="Courier New" w:hAnsi="Courier New" w:cs="Courier New"/>
          <w:b w:val="0"/>
          <w:sz w:val="24"/>
        </w:rPr>
        <w:t>tiembre de 1994, permaneciendo en ella hasta enero de 1995, no h</w:t>
      </w:r>
      <w:r>
        <w:rPr>
          <w:rFonts w:ascii="Courier New" w:hAnsi="Courier New" w:cs="Courier New"/>
          <w:b w:val="0"/>
          <w:sz w:val="24"/>
        </w:rPr>
        <w:t>a</w:t>
      </w:r>
      <w:r>
        <w:rPr>
          <w:rFonts w:ascii="Courier New" w:hAnsi="Courier New" w:cs="Courier New"/>
          <w:b w:val="0"/>
          <w:sz w:val="24"/>
        </w:rPr>
        <w:t>biendo impartido durante su gestión ninguna instrucción respecto de la forma en que debía llevarse a cabo su cu</w:t>
      </w:r>
      <w:r>
        <w:rPr>
          <w:rFonts w:ascii="Courier New" w:hAnsi="Courier New" w:cs="Courier New"/>
          <w:b w:val="0"/>
          <w:sz w:val="24"/>
        </w:rPr>
        <w:t>s</w:t>
      </w:r>
      <w:r>
        <w:rPr>
          <w:rFonts w:ascii="Courier New" w:hAnsi="Courier New" w:cs="Courier New"/>
          <w:b w:val="0"/>
          <w:sz w:val="24"/>
        </w:rPr>
        <w:t>todia, desconociendo el trato que recibió a pa</w:t>
      </w:r>
      <w:r>
        <w:rPr>
          <w:rFonts w:ascii="Courier New" w:hAnsi="Courier New" w:cs="Courier New"/>
          <w:b w:val="0"/>
          <w:sz w:val="24"/>
        </w:rPr>
        <w:t>r</w:t>
      </w:r>
      <w:r>
        <w:rPr>
          <w:rFonts w:ascii="Courier New" w:hAnsi="Courier New" w:cs="Courier New"/>
          <w:b w:val="0"/>
          <w:sz w:val="24"/>
        </w:rPr>
        <w:t>tir del mes de noviembre en razón de que se alejó de la dependencia.</w:t>
      </w:r>
    </w:p>
    <w:p w:rsidR="00224567" w:rsidRDefault="00224567">
      <w:pPr>
        <w:pStyle w:val="Textoindependiente3"/>
        <w:widowControl w:val="0"/>
        <w:rPr>
          <w:rFonts w:ascii="Courier New" w:hAnsi="Courier New" w:cs="Courier New"/>
          <w:b w:val="0"/>
          <w:sz w:val="24"/>
          <w:lang w:val="es-ES_tradnl"/>
        </w:rPr>
      </w:pPr>
      <w:r>
        <w:rPr>
          <w:rFonts w:ascii="Courier New" w:hAnsi="Courier New" w:cs="Courier New"/>
          <w:b w:val="0"/>
          <w:sz w:val="24"/>
        </w:rPr>
        <w:tab/>
      </w:r>
      <w:r>
        <w:rPr>
          <w:rFonts w:ascii="Courier New" w:hAnsi="Courier New" w:cs="Courier New"/>
          <w:b w:val="0"/>
          <w:sz w:val="24"/>
          <w:lang w:val="es-ES_tradnl"/>
        </w:rPr>
        <w:t>Por último, manifestó que no le con</w:t>
      </w:r>
      <w:r>
        <w:rPr>
          <w:rFonts w:ascii="Courier New" w:hAnsi="Courier New" w:cs="Courier New"/>
          <w:b w:val="0"/>
          <w:sz w:val="24"/>
          <w:lang w:val="es-ES_tradnl"/>
        </w:rPr>
        <w:t>s</w:t>
      </w:r>
      <w:r>
        <w:rPr>
          <w:rFonts w:ascii="Courier New" w:hAnsi="Courier New" w:cs="Courier New"/>
          <w:b w:val="0"/>
          <w:sz w:val="24"/>
          <w:lang w:val="es-ES_tradnl"/>
        </w:rPr>
        <w:t>taba que Solari se hubiese entrevistado con R</w:t>
      </w:r>
      <w:r>
        <w:rPr>
          <w:rFonts w:ascii="Courier New" w:hAnsi="Courier New" w:cs="Courier New"/>
          <w:b w:val="0"/>
          <w:sz w:val="24"/>
          <w:lang w:val="es-ES_tradnl"/>
        </w:rPr>
        <w:t>i</w:t>
      </w:r>
      <w:r>
        <w:rPr>
          <w:rFonts w:ascii="Courier New" w:hAnsi="Courier New" w:cs="Courier New"/>
          <w:b w:val="0"/>
          <w:sz w:val="24"/>
          <w:lang w:val="es-ES_tradnl"/>
        </w:rPr>
        <w:t>belli en la brigada, ni que Bareiro le hubiese hecho un comentario r</w:t>
      </w:r>
      <w:r>
        <w:rPr>
          <w:rFonts w:ascii="Courier New" w:hAnsi="Courier New" w:cs="Courier New"/>
          <w:b w:val="0"/>
          <w:sz w:val="24"/>
          <w:lang w:val="es-ES_tradnl"/>
        </w:rPr>
        <w:t>e</w:t>
      </w:r>
      <w:r>
        <w:rPr>
          <w:rFonts w:ascii="Courier New" w:hAnsi="Courier New" w:cs="Courier New"/>
          <w:b w:val="0"/>
          <w:sz w:val="24"/>
          <w:lang w:val="es-ES_tradnl"/>
        </w:rPr>
        <w:t>lativo al conocimiento que tenía el primero acerca de la causa A.M.I.A.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lang w:val="es-ES_tradnl"/>
        </w:rPr>
        <w:tab/>
      </w:r>
      <w:r>
        <w:rPr>
          <w:rFonts w:ascii="Courier New" w:hAnsi="Courier New" w:cs="Courier New"/>
          <w:b w:val="0"/>
          <w:sz w:val="24"/>
        </w:rPr>
        <w:t>Al ampliar su indagatoria en la a</w:t>
      </w:r>
      <w:r>
        <w:rPr>
          <w:rFonts w:ascii="Courier New" w:hAnsi="Courier New" w:cs="Courier New"/>
          <w:b w:val="0"/>
          <w:sz w:val="24"/>
        </w:rPr>
        <w:t>u</w:t>
      </w:r>
      <w:r>
        <w:rPr>
          <w:rFonts w:ascii="Courier New" w:hAnsi="Courier New" w:cs="Courier New"/>
          <w:b w:val="0"/>
          <w:sz w:val="24"/>
        </w:rPr>
        <w:t>diencia de debate del 6 de mayo de 2002, Rago r</w:t>
      </w:r>
      <w:r>
        <w:rPr>
          <w:rFonts w:ascii="Courier New" w:hAnsi="Courier New" w:cs="Courier New"/>
          <w:b w:val="0"/>
          <w:sz w:val="24"/>
        </w:rPr>
        <w:t>e</w:t>
      </w:r>
      <w:r>
        <w:rPr>
          <w:rFonts w:ascii="Courier New" w:hAnsi="Courier New" w:cs="Courier New"/>
          <w:b w:val="0"/>
          <w:sz w:val="24"/>
        </w:rPr>
        <w:t>firió que se sintió agraviado por las declaraciones de T</w:t>
      </w:r>
      <w:r>
        <w:rPr>
          <w:rFonts w:ascii="Courier New" w:hAnsi="Courier New" w:cs="Courier New"/>
          <w:b w:val="0"/>
          <w:sz w:val="24"/>
        </w:rPr>
        <w:t>e</w:t>
      </w:r>
      <w:r>
        <w:rPr>
          <w:rFonts w:ascii="Courier New" w:hAnsi="Courier New" w:cs="Courier New"/>
          <w:b w:val="0"/>
          <w:sz w:val="24"/>
        </w:rPr>
        <w:t>lleldín, ya que éste mintió en cuanto a la hora de detención y post</w:t>
      </w:r>
      <w:r>
        <w:rPr>
          <w:rFonts w:ascii="Courier New" w:hAnsi="Courier New" w:cs="Courier New"/>
          <w:b w:val="0"/>
          <w:sz w:val="24"/>
        </w:rPr>
        <w:t>e</w:t>
      </w:r>
      <w:r>
        <w:rPr>
          <w:rFonts w:ascii="Courier New" w:hAnsi="Courier New" w:cs="Courier New"/>
          <w:b w:val="0"/>
          <w:sz w:val="24"/>
        </w:rPr>
        <w:t>rior libertad de Pérez, señalando al respecto que ratif</w:t>
      </w:r>
      <w:r>
        <w:rPr>
          <w:rFonts w:ascii="Courier New" w:hAnsi="Courier New" w:cs="Courier New"/>
          <w:b w:val="0"/>
          <w:sz w:val="24"/>
        </w:rPr>
        <w:t>i</w:t>
      </w:r>
      <w:r>
        <w:rPr>
          <w:rFonts w:ascii="Courier New" w:hAnsi="Courier New" w:cs="Courier New"/>
          <w:b w:val="0"/>
          <w:sz w:val="24"/>
        </w:rPr>
        <w:t>caba sus anteriores dichos relacionadas con ambas circun</w:t>
      </w:r>
      <w:r>
        <w:rPr>
          <w:rFonts w:ascii="Courier New" w:hAnsi="Courier New" w:cs="Courier New"/>
          <w:b w:val="0"/>
          <w:sz w:val="24"/>
        </w:rPr>
        <w:t>s</w:t>
      </w:r>
      <w:r>
        <w:rPr>
          <w:rFonts w:ascii="Courier New" w:hAnsi="Courier New" w:cs="Courier New"/>
          <w:b w:val="0"/>
          <w:sz w:val="24"/>
        </w:rPr>
        <w:t>tancias.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que no existía en el exp</w:t>
      </w:r>
      <w:r>
        <w:rPr>
          <w:rFonts w:ascii="Courier New" w:hAnsi="Courier New" w:cs="Courier New"/>
          <w:b w:val="0"/>
          <w:sz w:val="24"/>
        </w:rPr>
        <w:t>e</w:t>
      </w:r>
      <w:r>
        <w:rPr>
          <w:rFonts w:ascii="Courier New" w:hAnsi="Courier New" w:cs="Courier New"/>
          <w:b w:val="0"/>
          <w:sz w:val="24"/>
        </w:rPr>
        <w:t>diente prueba alguna que indicara que él tenía conocimie</w:t>
      </w:r>
      <w:r>
        <w:rPr>
          <w:rFonts w:ascii="Courier New" w:hAnsi="Courier New" w:cs="Courier New"/>
          <w:b w:val="0"/>
          <w:sz w:val="24"/>
        </w:rPr>
        <w:t>n</w:t>
      </w:r>
      <w:r>
        <w:rPr>
          <w:rFonts w:ascii="Courier New" w:hAnsi="Courier New" w:cs="Courier New"/>
          <w:b w:val="0"/>
          <w:sz w:val="24"/>
        </w:rPr>
        <w:t>to de las reuniones entre Bottegal y T</w:t>
      </w:r>
      <w:r>
        <w:rPr>
          <w:rFonts w:ascii="Courier New" w:hAnsi="Courier New" w:cs="Courier New"/>
          <w:b w:val="0"/>
          <w:sz w:val="24"/>
        </w:rPr>
        <w:t>e</w:t>
      </w:r>
      <w:r>
        <w:rPr>
          <w:rFonts w:ascii="Courier New" w:hAnsi="Courier New" w:cs="Courier New"/>
          <w:b w:val="0"/>
          <w:sz w:val="24"/>
        </w:rPr>
        <w:t>lleldín, agregando que del entrecruzamiento de los teléfonos de ambos no su</w:t>
      </w:r>
      <w:r>
        <w:rPr>
          <w:rFonts w:ascii="Courier New" w:hAnsi="Courier New" w:cs="Courier New"/>
          <w:b w:val="0"/>
          <w:sz w:val="24"/>
        </w:rPr>
        <w:t>r</w:t>
      </w:r>
      <w:r>
        <w:rPr>
          <w:rFonts w:ascii="Courier New" w:hAnsi="Courier New" w:cs="Courier New"/>
          <w:b w:val="0"/>
          <w:sz w:val="24"/>
        </w:rPr>
        <w:t>gía contacto alguno, a p</w:t>
      </w:r>
      <w:r>
        <w:rPr>
          <w:rFonts w:ascii="Courier New" w:hAnsi="Courier New" w:cs="Courier New"/>
          <w:b w:val="0"/>
          <w:sz w:val="24"/>
        </w:rPr>
        <w:t>e</w:t>
      </w:r>
      <w:r>
        <w:rPr>
          <w:rFonts w:ascii="Courier New" w:hAnsi="Courier New" w:cs="Courier New"/>
          <w:b w:val="0"/>
          <w:sz w:val="24"/>
        </w:rPr>
        <w:t>sar que su celular era público y utilizado para el servicio operativo.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que Forgione era el jefe de la brigada y conforme éste declaró, asumió la respons</w:t>
      </w:r>
      <w:r>
        <w:rPr>
          <w:rFonts w:ascii="Courier New" w:hAnsi="Courier New" w:cs="Courier New"/>
          <w:b w:val="0"/>
          <w:sz w:val="24"/>
        </w:rPr>
        <w:t>a</w:t>
      </w:r>
      <w:r>
        <w:rPr>
          <w:rFonts w:ascii="Courier New" w:hAnsi="Courier New" w:cs="Courier New"/>
          <w:b w:val="0"/>
          <w:sz w:val="24"/>
        </w:rPr>
        <w:t>bilidad de ordenar las di</w:t>
      </w:r>
      <w:r>
        <w:rPr>
          <w:rFonts w:ascii="Courier New" w:hAnsi="Courier New" w:cs="Courier New"/>
          <w:b w:val="0"/>
          <w:sz w:val="24"/>
        </w:rPr>
        <w:t>s</w:t>
      </w:r>
      <w:r>
        <w:rPr>
          <w:rFonts w:ascii="Courier New" w:hAnsi="Courier New" w:cs="Courier New"/>
          <w:b w:val="0"/>
          <w:sz w:val="24"/>
        </w:rPr>
        <w:t>tintas tareas, concluyendo el encartado que lo involucraron sin t</w:t>
      </w:r>
      <w:r>
        <w:rPr>
          <w:rFonts w:ascii="Courier New" w:hAnsi="Courier New" w:cs="Courier New"/>
          <w:b w:val="0"/>
          <w:sz w:val="24"/>
        </w:rPr>
        <w:t>e</w:t>
      </w:r>
      <w:r>
        <w:rPr>
          <w:rFonts w:ascii="Courier New" w:hAnsi="Courier New" w:cs="Courier New"/>
          <w:b w:val="0"/>
          <w:sz w:val="24"/>
        </w:rPr>
        <w:t>ner en cuenta que había cumplido una orden.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Basándose en lo declarado por Forgi</w:t>
      </w:r>
      <w:r>
        <w:rPr>
          <w:rFonts w:ascii="Courier New" w:hAnsi="Courier New" w:cs="Courier New"/>
          <w:b w:val="0"/>
          <w:sz w:val="24"/>
        </w:rPr>
        <w:t>o</w:t>
      </w:r>
      <w:r>
        <w:rPr>
          <w:rFonts w:ascii="Courier New" w:hAnsi="Courier New" w:cs="Courier New"/>
          <w:b w:val="0"/>
          <w:sz w:val="24"/>
        </w:rPr>
        <w:t>ne el 27 de enero de 1997, Rago señaló no e</w:t>
      </w:r>
      <w:r>
        <w:rPr>
          <w:rFonts w:ascii="Courier New" w:hAnsi="Courier New" w:cs="Courier New"/>
          <w:b w:val="0"/>
          <w:sz w:val="24"/>
        </w:rPr>
        <w:t>n</w:t>
      </w:r>
      <w:r>
        <w:rPr>
          <w:rFonts w:ascii="Courier New" w:hAnsi="Courier New" w:cs="Courier New"/>
          <w:b w:val="0"/>
          <w:sz w:val="24"/>
        </w:rPr>
        <w:t>tender por qué si el jefe avaló y autorizó la detención y la pe</w:t>
      </w:r>
      <w:r>
        <w:rPr>
          <w:rFonts w:ascii="Courier New" w:hAnsi="Courier New" w:cs="Courier New"/>
          <w:b w:val="0"/>
          <w:sz w:val="24"/>
        </w:rPr>
        <w:t>r</w:t>
      </w:r>
      <w:r>
        <w:rPr>
          <w:rFonts w:ascii="Courier New" w:hAnsi="Courier New" w:cs="Courier New"/>
          <w:b w:val="0"/>
          <w:sz w:val="24"/>
        </w:rPr>
        <w:t>manencia de Pérez y luego ordenó su libertad se le imputaron a él t</w:t>
      </w:r>
      <w:r>
        <w:rPr>
          <w:rFonts w:ascii="Courier New" w:hAnsi="Courier New" w:cs="Courier New"/>
          <w:b w:val="0"/>
          <w:sz w:val="24"/>
        </w:rPr>
        <w:t>a</w:t>
      </w:r>
      <w:r>
        <w:rPr>
          <w:rFonts w:ascii="Courier New" w:hAnsi="Courier New" w:cs="Courier New"/>
          <w:b w:val="0"/>
          <w:sz w:val="24"/>
        </w:rPr>
        <w:t>les circunstancias, manifestando en ese sentido que todo el tiempo que Pérez permaneció detenido fue responsabil</w:t>
      </w:r>
      <w:r>
        <w:rPr>
          <w:rFonts w:ascii="Courier New" w:hAnsi="Courier New" w:cs="Courier New"/>
          <w:b w:val="0"/>
          <w:sz w:val="24"/>
        </w:rPr>
        <w:t>i</w:t>
      </w:r>
      <w:r>
        <w:rPr>
          <w:rFonts w:ascii="Courier New" w:hAnsi="Courier New" w:cs="Courier New"/>
          <w:b w:val="0"/>
          <w:sz w:val="24"/>
        </w:rPr>
        <w:t>dad del jefe de la brigada.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acusado señaló que a su entender, Telleldín mintió en cuanto a la hora del encuentro con Bottegal.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recordó que el abogado refirió haberse citado con Telleldín, para la segunda reunión do</w:t>
      </w:r>
      <w:r>
        <w:rPr>
          <w:rFonts w:ascii="Courier New" w:hAnsi="Courier New" w:cs="Courier New"/>
          <w:b w:val="0"/>
          <w:sz w:val="24"/>
        </w:rPr>
        <w:t>n</w:t>
      </w:r>
      <w:r>
        <w:rPr>
          <w:rFonts w:ascii="Courier New" w:hAnsi="Courier New" w:cs="Courier New"/>
          <w:b w:val="0"/>
          <w:sz w:val="24"/>
        </w:rPr>
        <w:t xml:space="preserve">de firmaron el boleto, a las 24.00 en General Paz y San Martín, del lado de </w:t>
      </w:r>
      <w:smartTag w:uri="urn:schemas-microsoft-com:office:smarttags" w:element="PersonName">
        <w:smartTagPr>
          <w:attr w:name="ProductID" w:val="la Capital Federal."/>
        </w:smartTagPr>
        <w:r>
          <w:rPr>
            <w:rFonts w:ascii="Courier New" w:hAnsi="Courier New" w:cs="Courier New"/>
            <w:b w:val="0"/>
            <w:sz w:val="24"/>
          </w:rPr>
          <w:t>la Capital Fed</w:t>
        </w:r>
        <w:r>
          <w:rPr>
            <w:rFonts w:ascii="Courier New" w:hAnsi="Courier New" w:cs="Courier New"/>
            <w:b w:val="0"/>
            <w:sz w:val="24"/>
          </w:rPr>
          <w:t>e</w:t>
        </w:r>
        <w:r>
          <w:rPr>
            <w:rFonts w:ascii="Courier New" w:hAnsi="Courier New" w:cs="Courier New"/>
            <w:b w:val="0"/>
            <w:sz w:val="24"/>
          </w:rPr>
          <w:t>ral.</w:t>
        </w:r>
      </w:smartTag>
      <w:r>
        <w:rPr>
          <w:rFonts w:ascii="Courier New" w:hAnsi="Courier New" w:cs="Courier New"/>
          <w:b w:val="0"/>
          <w:sz w:val="24"/>
        </w:rPr>
        <w:t xml:space="preserve"> A su vez, continuó Rago, del listado de radio mensajes agregado a fs. 3041, en el orden 77, surge que a las 23.00 Pérez informó que estaba solucionado su problema, circunsta</w:t>
      </w:r>
      <w:r>
        <w:rPr>
          <w:rFonts w:ascii="Courier New" w:hAnsi="Courier New" w:cs="Courier New"/>
          <w:b w:val="0"/>
          <w:sz w:val="24"/>
        </w:rPr>
        <w:t>n</w:t>
      </w:r>
      <w:r>
        <w:rPr>
          <w:rFonts w:ascii="Courier New" w:hAnsi="Courier New" w:cs="Courier New"/>
          <w:b w:val="0"/>
          <w:sz w:val="24"/>
        </w:rPr>
        <w:t>cia posterior a la libertad de éste que se produjo a las 21.20 ó 21.25.</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Además, continuó argumentando R</w:t>
      </w:r>
      <w:r>
        <w:rPr>
          <w:rFonts w:ascii="Courier New" w:hAnsi="Courier New" w:cs="Courier New"/>
          <w:b w:val="0"/>
          <w:sz w:val="24"/>
        </w:rPr>
        <w:t>a</w:t>
      </w:r>
      <w:r>
        <w:rPr>
          <w:rFonts w:ascii="Courier New" w:hAnsi="Courier New" w:cs="Courier New"/>
          <w:b w:val="0"/>
          <w:sz w:val="24"/>
        </w:rPr>
        <w:t>go, el boleto de compr</w:t>
      </w:r>
      <w:r>
        <w:rPr>
          <w:rFonts w:ascii="Courier New" w:hAnsi="Courier New" w:cs="Courier New"/>
          <w:b w:val="0"/>
          <w:sz w:val="24"/>
        </w:rPr>
        <w:t>a</w:t>
      </w:r>
      <w:r>
        <w:rPr>
          <w:rFonts w:ascii="Courier New" w:hAnsi="Courier New" w:cs="Courier New"/>
          <w:b w:val="0"/>
          <w:sz w:val="24"/>
        </w:rPr>
        <w:t>venta tiene fecha 16, siendo otro elemento adicional para demostrar que T</w:t>
      </w:r>
      <w:r>
        <w:rPr>
          <w:rFonts w:ascii="Courier New" w:hAnsi="Courier New" w:cs="Courier New"/>
          <w:b w:val="0"/>
          <w:sz w:val="24"/>
        </w:rPr>
        <w:t>e</w:t>
      </w:r>
      <w:r>
        <w:rPr>
          <w:rFonts w:ascii="Courier New" w:hAnsi="Courier New" w:cs="Courier New"/>
          <w:b w:val="0"/>
          <w:sz w:val="24"/>
        </w:rPr>
        <w:t>lleldín no era veraz.</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Ana Boragni, por su parte, dijo que se reunieron con Bottegal a la tarde en una co</w:t>
      </w:r>
      <w:r>
        <w:rPr>
          <w:rFonts w:ascii="Courier New" w:hAnsi="Courier New" w:cs="Courier New"/>
          <w:b w:val="0"/>
          <w:sz w:val="24"/>
        </w:rPr>
        <w:t>n</w:t>
      </w:r>
      <w:r>
        <w:rPr>
          <w:rFonts w:ascii="Courier New" w:hAnsi="Courier New" w:cs="Courier New"/>
          <w:b w:val="0"/>
          <w:sz w:val="24"/>
        </w:rPr>
        <w:t>fitería, y que cuando regresaron, Pérez ya se encontraba en la casa, manifestando que había estado deten</w:t>
      </w:r>
      <w:r>
        <w:rPr>
          <w:rFonts w:ascii="Courier New" w:hAnsi="Courier New" w:cs="Courier New"/>
          <w:b w:val="0"/>
          <w:sz w:val="24"/>
        </w:rPr>
        <w:t>i</w:t>
      </w:r>
      <w:r>
        <w:rPr>
          <w:rFonts w:ascii="Courier New" w:hAnsi="Courier New" w:cs="Courier New"/>
          <w:b w:val="0"/>
          <w:sz w:val="24"/>
        </w:rPr>
        <w:t xml:space="preserve">do en una brigada de </w:t>
      </w:r>
      <w:smartTag w:uri="urn:schemas-microsoft-com:office:smarttags" w:element="PersonName">
        <w:smartTagPr>
          <w:attr w:name="ProductID" w:val="La Horqueta."/>
        </w:smartTagPr>
        <w:r>
          <w:rPr>
            <w:rFonts w:ascii="Courier New" w:hAnsi="Courier New" w:cs="Courier New"/>
            <w:b w:val="0"/>
            <w:sz w:val="24"/>
          </w:rPr>
          <w:t>La Horqueta.</w:t>
        </w:r>
      </w:smartTag>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Recordó que Schiavone, por otro lado, manifestó que a las 22.00 se presentó “el Cordobés”, quien, según el acusado, sería Pérez, y que escuchó cuando Pérez le dijo a Cruz que había sido detenido por la pol</w:t>
      </w:r>
      <w:r>
        <w:rPr>
          <w:rFonts w:ascii="Courier New" w:hAnsi="Courier New" w:cs="Courier New"/>
          <w:b w:val="0"/>
          <w:sz w:val="24"/>
        </w:rPr>
        <w:t>i</w:t>
      </w:r>
      <w:r>
        <w:rPr>
          <w:rFonts w:ascii="Courier New" w:hAnsi="Courier New" w:cs="Courier New"/>
          <w:b w:val="0"/>
          <w:sz w:val="24"/>
        </w:rPr>
        <w:t>cía y que Carlos y Ana regres</w:t>
      </w:r>
      <w:r>
        <w:rPr>
          <w:rFonts w:ascii="Courier New" w:hAnsi="Courier New" w:cs="Courier New"/>
          <w:b w:val="0"/>
          <w:sz w:val="24"/>
        </w:rPr>
        <w:t>a</w:t>
      </w:r>
      <w:r>
        <w:rPr>
          <w:rFonts w:ascii="Courier New" w:hAnsi="Courier New" w:cs="Courier New"/>
          <w:b w:val="0"/>
          <w:sz w:val="24"/>
        </w:rPr>
        <w:t>ron a la casa a las 23.50.</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acusado concluyó que los d</w:t>
      </w:r>
      <w:r>
        <w:rPr>
          <w:rFonts w:ascii="Courier New" w:hAnsi="Courier New" w:cs="Courier New"/>
          <w:b w:val="0"/>
          <w:sz w:val="24"/>
        </w:rPr>
        <w:t>i</w:t>
      </w:r>
      <w:r>
        <w:rPr>
          <w:rFonts w:ascii="Courier New" w:hAnsi="Courier New" w:cs="Courier New"/>
          <w:b w:val="0"/>
          <w:sz w:val="24"/>
        </w:rPr>
        <w:t>chos de Bottegal relativos a la reunión de las 24.00 coincidían con la firma del boleto y los dichos de Pérez sobre la h</w:t>
      </w:r>
      <w:r>
        <w:rPr>
          <w:rFonts w:ascii="Courier New" w:hAnsi="Courier New" w:cs="Courier New"/>
          <w:b w:val="0"/>
          <w:sz w:val="24"/>
        </w:rPr>
        <w:t>o</w:t>
      </w:r>
      <w:r>
        <w:rPr>
          <w:rFonts w:ascii="Courier New" w:hAnsi="Courier New" w:cs="Courier New"/>
          <w:b w:val="0"/>
          <w:sz w:val="24"/>
        </w:rPr>
        <w:t>ra en que regresó a la casa.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En ese sentido, agregó que Telleldín en su primera decl</w:t>
      </w:r>
      <w:r>
        <w:rPr>
          <w:rFonts w:ascii="Courier New" w:hAnsi="Courier New" w:cs="Courier New"/>
          <w:b w:val="0"/>
          <w:sz w:val="24"/>
        </w:rPr>
        <w:t>a</w:t>
      </w:r>
      <w:r>
        <w:rPr>
          <w:rFonts w:ascii="Courier New" w:hAnsi="Courier New" w:cs="Courier New"/>
          <w:b w:val="0"/>
          <w:sz w:val="24"/>
        </w:rPr>
        <w:t>ración dijo que llamó por teléfono a su casa aproximadamente a las 23.00 y que habló con Pérez, indicándole que saliera que estaba la policía, por lo que Pérez obedeció y fue deten</w:t>
      </w:r>
      <w:r>
        <w:rPr>
          <w:rFonts w:ascii="Courier New" w:hAnsi="Courier New" w:cs="Courier New"/>
          <w:b w:val="0"/>
          <w:sz w:val="24"/>
        </w:rPr>
        <w:t>i</w:t>
      </w:r>
      <w:r>
        <w:rPr>
          <w:rFonts w:ascii="Courier New" w:hAnsi="Courier New" w:cs="Courier New"/>
          <w:b w:val="0"/>
          <w:sz w:val="24"/>
        </w:rPr>
        <w:t>do.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Con el transcurso del tiempo, cont</w:t>
      </w:r>
      <w:r>
        <w:rPr>
          <w:rFonts w:ascii="Courier New" w:hAnsi="Courier New" w:cs="Courier New"/>
          <w:b w:val="0"/>
          <w:sz w:val="24"/>
        </w:rPr>
        <w:t>i</w:t>
      </w:r>
      <w:r>
        <w:rPr>
          <w:rFonts w:ascii="Courier New" w:hAnsi="Courier New" w:cs="Courier New"/>
          <w:b w:val="0"/>
          <w:sz w:val="24"/>
        </w:rPr>
        <w:t>nuó Rago, el horario de la detención fue reduciéndose, afi</w:t>
      </w:r>
      <w:r>
        <w:rPr>
          <w:rFonts w:ascii="Courier New" w:hAnsi="Courier New" w:cs="Courier New"/>
          <w:b w:val="0"/>
          <w:sz w:val="24"/>
        </w:rPr>
        <w:t>r</w:t>
      </w:r>
      <w:r>
        <w:rPr>
          <w:rFonts w:ascii="Courier New" w:hAnsi="Courier New" w:cs="Courier New"/>
          <w:b w:val="0"/>
          <w:sz w:val="24"/>
        </w:rPr>
        <w:t>mando Telleldín ante el tribunal que se materializó a las 21.00.</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En cuanto a los dichos de Dubs, el e</w:t>
      </w:r>
      <w:r>
        <w:rPr>
          <w:rFonts w:ascii="Courier New" w:hAnsi="Courier New" w:cs="Courier New"/>
          <w:b w:val="0"/>
          <w:sz w:val="24"/>
        </w:rPr>
        <w:t>n</w:t>
      </w:r>
      <w:r>
        <w:rPr>
          <w:rFonts w:ascii="Courier New" w:hAnsi="Courier New" w:cs="Courier New"/>
          <w:b w:val="0"/>
          <w:sz w:val="24"/>
        </w:rPr>
        <w:t>cartado precisó que el testigo señaló que la priv</w:t>
      </w:r>
      <w:r>
        <w:rPr>
          <w:rFonts w:ascii="Courier New" w:hAnsi="Courier New" w:cs="Courier New"/>
          <w:b w:val="0"/>
          <w:sz w:val="24"/>
        </w:rPr>
        <w:t>a</w:t>
      </w:r>
      <w:r>
        <w:rPr>
          <w:rFonts w:ascii="Courier New" w:hAnsi="Courier New" w:cs="Courier New"/>
          <w:b w:val="0"/>
          <w:sz w:val="24"/>
        </w:rPr>
        <w:t>ción de libertad se materializó después de las 22.00 y no alred</w:t>
      </w:r>
      <w:r>
        <w:rPr>
          <w:rFonts w:ascii="Courier New" w:hAnsi="Courier New" w:cs="Courier New"/>
          <w:b w:val="0"/>
          <w:sz w:val="24"/>
        </w:rPr>
        <w:t>e</w:t>
      </w:r>
      <w:r>
        <w:rPr>
          <w:rFonts w:ascii="Courier New" w:hAnsi="Courier New" w:cs="Courier New"/>
          <w:b w:val="0"/>
          <w:sz w:val="24"/>
        </w:rPr>
        <w:t>dor de ese horario como afirmaron los fisc</w:t>
      </w:r>
      <w:r>
        <w:rPr>
          <w:rFonts w:ascii="Courier New" w:hAnsi="Courier New" w:cs="Courier New"/>
          <w:b w:val="0"/>
          <w:sz w:val="24"/>
        </w:rPr>
        <w:t>a</w:t>
      </w:r>
      <w:r>
        <w:rPr>
          <w:rFonts w:ascii="Courier New" w:hAnsi="Courier New" w:cs="Courier New"/>
          <w:b w:val="0"/>
          <w:sz w:val="24"/>
        </w:rPr>
        <w:t>les.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expresó que Telleldín, en uno de los videos donde éste aparecía dialogando con el juez G</w:t>
      </w:r>
      <w:r>
        <w:rPr>
          <w:rFonts w:ascii="Courier New" w:hAnsi="Courier New" w:cs="Courier New"/>
          <w:b w:val="0"/>
          <w:sz w:val="24"/>
        </w:rPr>
        <w:t>a</w:t>
      </w:r>
      <w:r>
        <w:rPr>
          <w:rFonts w:ascii="Courier New" w:hAnsi="Courier New" w:cs="Courier New"/>
          <w:b w:val="0"/>
          <w:sz w:val="24"/>
        </w:rPr>
        <w:t>leano, refirió que Pérez fue detenido a las 24.00, tran</w:t>
      </w:r>
      <w:r>
        <w:rPr>
          <w:rFonts w:ascii="Courier New" w:hAnsi="Courier New" w:cs="Courier New"/>
          <w:b w:val="0"/>
          <w:sz w:val="24"/>
        </w:rPr>
        <w:t>s</w:t>
      </w:r>
      <w:r>
        <w:rPr>
          <w:rFonts w:ascii="Courier New" w:hAnsi="Courier New" w:cs="Courier New"/>
          <w:b w:val="0"/>
          <w:sz w:val="24"/>
        </w:rPr>
        <w:t>mitiéndose la parte pertinente en la audiencia.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acusado indicó que no obstante lo expuesto, el Dr. Galeano no le preguntó a Telle</w:t>
      </w:r>
      <w:r>
        <w:rPr>
          <w:rFonts w:ascii="Courier New" w:hAnsi="Courier New" w:cs="Courier New"/>
          <w:b w:val="0"/>
          <w:sz w:val="24"/>
        </w:rPr>
        <w:t>l</w:t>
      </w:r>
      <w:r>
        <w:rPr>
          <w:rFonts w:ascii="Courier New" w:hAnsi="Courier New" w:cs="Courier New"/>
          <w:b w:val="0"/>
          <w:sz w:val="24"/>
        </w:rPr>
        <w:t>dín, en la indagatoria brindada a los pocos días, el horario de la detención de Pérez.</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Declaró Rago que en otro pasaje del video, que también se transmitió, surgía claramente que Telleldín refirió que en el interior de la casa estaban trabajando de mecánicos Hugo Pérez, Pérez Mejía y Cay</w:t>
      </w:r>
      <w:r>
        <w:rPr>
          <w:rFonts w:ascii="Courier New" w:hAnsi="Courier New" w:cs="Courier New"/>
          <w:b w:val="0"/>
          <w:sz w:val="24"/>
        </w:rPr>
        <w:t>e</w:t>
      </w:r>
      <w:r>
        <w:rPr>
          <w:rFonts w:ascii="Courier New" w:hAnsi="Courier New" w:cs="Courier New"/>
          <w:b w:val="0"/>
          <w:sz w:val="24"/>
        </w:rPr>
        <w:t>tano Cruz.</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señaló que tanto Leal c</w:t>
      </w:r>
      <w:r>
        <w:rPr>
          <w:rFonts w:ascii="Courier New" w:hAnsi="Courier New" w:cs="Courier New"/>
          <w:b w:val="0"/>
          <w:sz w:val="24"/>
        </w:rPr>
        <w:t>o</w:t>
      </w:r>
      <w:r>
        <w:rPr>
          <w:rFonts w:ascii="Courier New" w:hAnsi="Courier New" w:cs="Courier New"/>
          <w:b w:val="0"/>
          <w:sz w:val="24"/>
        </w:rPr>
        <w:t>mo Barreda refirieron en sus declaraciones que dial</w:t>
      </w:r>
      <w:r>
        <w:rPr>
          <w:rFonts w:ascii="Courier New" w:hAnsi="Courier New" w:cs="Courier New"/>
          <w:b w:val="0"/>
          <w:sz w:val="24"/>
        </w:rPr>
        <w:t>o</w:t>
      </w:r>
      <w:r>
        <w:rPr>
          <w:rFonts w:ascii="Courier New" w:hAnsi="Courier New" w:cs="Courier New"/>
          <w:b w:val="0"/>
          <w:sz w:val="24"/>
        </w:rPr>
        <w:t>garon sobre Pérez aproxim</w:t>
      </w:r>
      <w:r>
        <w:rPr>
          <w:rFonts w:ascii="Courier New" w:hAnsi="Courier New" w:cs="Courier New"/>
          <w:b w:val="0"/>
          <w:sz w:val="24"/>
        </w:rPr>
        <w:t>a</w:t>
      </w:r>
      <w:r>
        <w:rPr>
          <w:rFonts w:ascii="Courier New" w:hAnsi="Courier New" w:cs="Courier New"/>
          <w:b w:val="0"/>
          <w:sz w:val="24"/>
        </w:rPr>
        <w:t>damente a las 24.00.</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también se refirió a la causa instruida con motivo de la denuncia de apremios ileg</w:t>
      </w:r>
      <w:r>
        <w:rPr>
          <w:rFonts w:ascii="Courier New" w:hAnsi="Courier New" w:cs="Courier New"/>
          <w:b w:val="0"/>
          <w:sz w:val="24"/>
        </w:rPr>
        <w:t>a</w:t>
      </w:r>
      <w:r>
        <w:rPr>
          <w:rFonts w:ascii="Courier New" w:hAnsi="Courier New" w:cs="Courier New"/>
          <w:b w:val="0"/>
          <w:sz w:val="24"/>
        </w:rPr>
        <w:t xml:space="preserve">les a Pérez al momento de estar detenido en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Vice</w:t>
      </w:r>
      <w:r>
        <w:rPr>
          <w:rFonts w:ascii="Courier New" w:hAnsi="Courier New" w:cs="Courier New"/>
          <w:b w:val="0"/>
          <w:sz w:val="24"/>
        </w:rPr>
        <w:t>n</w:t>
      </w:r>
      <w:r>
        <w:rPr>
          <w:rFonts w:ascii="Courier New" w:hAnsi="Courier New" w:cs="Courier New"/>
          <w:b w:val="0"/>
          <w:sz w:val="24"/>
        </w:rPr>
        <w:t>te López y a la posible falsificación de documentos, pu</w:t>
      </w:r>
      <w:r>
        <w:rPr>
          <w:rFonts w:ascii="Courier New" w:hAnsi="Courier New" w:cs="Courier New"/>
          <w:b w:val="0"/>
          <w:sz w:val="24"/>
        </w:rPr>
        <w:t>n</w:t>
      </w:r>
      <w:r>
        <w:rPr>
          <w:rFonts w:ascii="Courier New" w:hAnsi="Courier New" w:cs="Courier New"/>
          <w:b w:val="0"/>
          <w:sz w:val="24"/>
        </w:rPr>
        <w:t>tualizando que allí se resolvió que no se pudo constatar la existencia de del</w:t>
      </w:r>
      <w:r>
        <w:rPr>
          <w:rFonts w:ascii="Courier New" w:hAnsi="Courier New" w:cs="Courier New"/>
          <w:b w:val="0"/>
          <w:sz w:val="24"/>
        </w:rPr>
        <w:t>i</w:t>
      </w:r>
      <w:r>
        <w:rPr>
          <w:rFonts w:ascii="Courier New" w:hAnsi="Courier New" w:cs="Courier New"/>
          <w:b w:val="0"/>
          <w:sz w:val="24"/>
        </w:rPr>
        <w:t>to.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Reiteró que no se conocía con Bott</w:t>
      </w:r>
      <w:r>
        <w:rPr>
          <w:rFonts w:ascii="Courier New" w:hAnsi="Courier New" w:cs="Courier New"/>
          <w:b w:val="0"/>
          <w:sz w:val="24"/>
        </w:rPr>
        <w:t>e</w:t>
      </w:r>
      <w:r>
        <w:rPr>
          <w:rFonts w:ascii="Courier New" w:hAnsi="Courier New" w:cs="Courier New"/>
          <w:b w:val="0"/>
          <w:sz w:val="24"/>
        </w:rPr>
        <w:t xml:space="preserve">gal y como indicio de que él no estaba al tanto de lo que aconteció, Rago mencionó el Reglamento de Brigadas de </w:t>
      </w:r>
      <w:smartTag w:uri="urn:schemas-microsoft-com:office:smarttags" w:element="PersonName">
        <w:smartTagPr>
          <w:attr w:name="ProductID" w:val="la Polic￭a"/>
        </w:smartTagPr>
        <w:r>
          <w:rPr>
            <w:rFonts w:ascii="Courier New" w:hAnsi="Courier New" w:cs="Courier New"/>
            <w:b w:val="0"/>
            <w:sz w:val="24"/>
          </w:rPr>
          <w:t>la Policía</w:t>
        </w:r>
      </w:smartTag>
      <w:r>
        <w:rPr>
          <w:rFonts w:ascii="Courier New" w:hAnsi="Courier New" w:cs="Courier New"/>
          <w:b w:val="0"/>
          <w:sz w:val="24"/>
        </w:rPr>
        <w:t xml:space="preserve"> de </w:t>
      </w:r>
      <w:smartTag w:uri="urn:schemas-microsoft-com:office:smarttags" w:element="PersonName">
        <w:smartTagPr>
          <w:attr w:name="ProductID" w:val="la Provincia"/>
        </w:smartTagPr>
        <w:r>
          <w:rPr>
            <w:rFonts w:ascii="Courier New" w:hAnsi="Courier New" w:cs="Courier New"/>
            <w:b w:val="0"/>
            <w:sz w:val="24"/>
          </w:rPr>
          <w:t>la Provincia</w:t>
        </w:r>
      </w:smartTag>
      <w:r>
        <w:rPr>
          <w:rFonts w:ascii="Courier New" w:hAnsi="Courier New" w:cs="Courier New"/>
          <w:b w:val="0"/>
          <w:sz w:val="24"/>
        </w:rPr>
        <w:t xml:space="preserve"> de Buenos A</w:t>
      </w:r>
      <w:r>
        <w:rPr>
          <w:rFonts w:ascii="Courier New" w:hAnsi="Courier New" w:cs="Courier New"/>
          <w:b w:val="0"/>
          <w:sz w:val="24"/>
        </w:rPr>
        <w:t>i</w:t>
      </w:r>
      <w:r>
        <w:rPr>
          <w:rFonts w:ascii="Courier New" w:hAnsi="Courier New" w:cs="Courier New"/>
          <w:b w:val="0"/>
          <w:sz w:val="24"/>
        </w:rPr>
        <w:t>res del 30 de julio de 1993 de donde surge que son deberes y atribuciones del j</w:t>
      </w:r>
      <w:r>
        <w:rPr>
          <w:rFonts w:ascii="Courier New" w:hAnsi="Courier New" w:cs="Courier New"/>
          <w:b w:val="0"/>
          <w:sz w:val="24"/>
        </w:rPr>
        <w:t>e</w:t>
      </w:r>
      <w:r>
        <w:rPr>
          <w:rFonts w:ascii="Courier New" w:hAnsi="Courier New" w:cs="Courier New"/>
          <w:b w:val="0"/>
          <w:sz w:val="24"/>
        </w:rPr>
        <w:t>fe de la brigada la conducción de la op</w:t>
      </w:r>
      <w:r>
        <w:rPr>
          <w:rFonts w:ascii="Courier New" w:hAnsi="Courier New" w:cs="Courier New"/>
          <w:b w:val="0"/>
          <w:sz w:val="24"/>
        </w:rPr>
        <w:t>e</w:t>
      </w:r>
      <w:r>
        <w:rPr>
          <w:rFonts w:ascii="Courier New" w:hAnsi="Courier New" w:cs="Courier New"/>
          <w:b w:val="0"/>
          <w:sz w:val="24"/>
        </w:rPr>
        <w:t>ratividad y de la administración, agregando en idéntico sentido que no se valoraron las afirmaciones de Bott</w:t>
      </w:r>
      <w:r>
        <w:rPr>
          <w:rFonts w:ascii="Courier New" w:hAnsi="Courier New" w:cs="Courier New"/>
          <w:b w:val="0"/>
          <w:sz w:val="24"/>
        </w:rPr>
        <w:t>e</w:t>
      </w:r>
      <w:r>
        <w:rPr>
          <w:rFonts w:ascii="Courier New" w:hAnsi="Courier New" w:cs="Courier New"/>
          <w:b w:val="0"/>
          <w:sz w:val="24"/>
        </w:rPr>
        <w:t>gal en cuanto a que no concurrió ni llamó a la brigada.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Afirmó que tampoco se consideró que no poseía antecedentes, que fue felicitado por jueces feder</w:t>
      </w:r>
      <w:r>
        <w:rPr>
          <w:rFonts w:ascii="Courier New" w:hAnsi="Courier New" w:cs="Courier New"/>
          <w:b w:val="0"/>
          <w:sz w:val="24"/>
        </w:rPr>
        <w:t>a</w:t>
      </w:r>
      <w:r>
        <w:rPr>
          <w:rFonts w:ascii="Courier New" w:hAnsi="Courier New" w:cs="Courier New"/>
          <w:b w:val="0"/>
          <w:sz w:val="24"/>
        </w:rPr>
        <w:t>les y que fue l</w:t>
      </w:r>
      <w:r>
        <w:rPr>
          <w:rFonts w:ascii="Courier New" w:hAnsi="Courier New" w:cs="Courier New"/>
          <w:b w:val="0"/>
          <w:sz w:val="24"/>
        </w:rPr>
        <w:t>e</w:t>
      </w:r>
      <w:r>
        <w:rPr>
          <w:rFonts w:ascii="Courier New" w:hAnsi="Courier New" w:cs="Courier New"/>
          <w:b w:val="0"/>
          <w:sz w:val="24"/>
        </w:rPr>
        <w:t>sionado en actos de servicios.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Dijo que el entorno de Telleldín me</w:t>
      </w:r>
      <w:r>
        <w:rPr>
          <w:rFonts w:ascii="Courier New" w:hAnsi="Courier New" w:cs="Courier New"/>
          <w:b w:val="0"/>
          <w:sz w:val="24"/>
        </w:rPr>
        <w:t>n</w:t>
      </w:r>
      <w:r>
        <w:rPr>
          <w:rFonts w:ascii="Courier New" w:hAnsi="Courier New" w:cs="Courier New"/>
          <w:b w:val="0"/>
          <w:sz w:val="24"/>
        </w:rPr>
        <w:t>tía. Así, sostuvo que Pérez Mejía señaló que no conocía la casa de Telleldín, ni se contactó con éste luego de regr</w:t>
      </w:r>
      <w:r>
        <w:rPr>
          <w:rFonts w:ascii="Courier New" w:hAnsi="Courier New" w:cs="Courier New"/>
          <w:b w:val="0"/>
          <w:sz w:val="24"/>
        </w:rPr>
        <w:t>e</w:t>
      </w:r>
      <w:r>
        <w:rPr>
          <w:rFonts w:ascii="Courier New" w:hAnsi="Courier New" w:cs="Courier New"/>
          <w:b w:val="0"/>
          <w:sz w:val="24"/>
        </w:rPr>
        <w:t>sar de Perú, concluyendo el acusado que alguno de los dos faltaba a la verdad. También, recordó que Cayetano Cruz confesó que en una causa en San Isidro mintió por consejos de Semorile, que era quien asistía a T</w:t>
      </w:r>
      <w:r>
        <w:rPr>
          <w:rFonts w:ascii="Courier New" w:hAnsi="Courier New" w:cs="Courier New"/>
          <w:b w:val="0"/>
          <w:sz w:val="24"/>
        </w:rPr>
        <w:t>e</w:t>
      </w:r>
      <w:r>
        <w:rPr>
          <w:rFonts w:ascii="Courier New" w:hAnsi="Courier New" w:cs="Courier New"/>
          <w:b w:val="0"/>
          <w:sz w:val="24"/>
        </w:rPr>
        <w:t>lleldín.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 xml:space="preserve">A criterio del encartado, Telleldín tampoco decía la verdad cuando refirió su miedo a </w:t>
      </w:r>
      <w:smartTag w:uri="urn:schemas-microsoft-com:office:smarttags" w:element="PersonName">
        <w:smartTagPr>
          <w:attr w:name="ProductID" w:val="la Brigada"/>
        </w:smartTagPr>
        <w:r>
          <w:rPr>
            <w:rFonts w:ascii="Courier New" w:hAnsi="Courier New" w:cs="Courier New"/>
            <w:b w:val="0"/>
            <w:sz w:val="24"/>
          </w:rPr>
          <w:t>la Br</w:t>
        </w:r>
        <w:r>
          <w:rPr>
            <w:rFonts w:ascii="Courier New" w:hAnsi="Courier New" w:cs="Courier New"/>
            <w:b w:val="0"/>
            <w:sz w:val="24"/>
          </w:rPr>
          <w:t>i</w:t>
        </w:r>
        <w:r>
          <w:rPr>
            <w:rFonts w:ascii="Courier New" w:hAnsi="Courier New" w:cs="Courier New"/>
            <w:b w:val="0"/>
            <w:sz w:val="24"/>
          </w:rPr>
          <w:t>gada</w:t>
        </w:r>
      </w:smartTag>
      <w:r>
        <w:rPr>
          <w:rFonts w:ascii="Courier New" w:hAnsi="Courier New" w:cs="Courier New"/>
          <w:b w:val="0"/>
          <w:sz w:val="24"/>
        </w:rPr>
        <w:t xml:space="preserve"> de Vicente López porque el barco estaba averiado, destacando que su coprocesado nu</w:t>
      </w:r>
      <w:r>
        <w:rPr>
          <w:rFonts w:ascii="Courier New" w:hAnsi="Courier New" w:cs="Courier New"/>
          <w:b w:val="0"/>
          <w:sz w:val="24"/>
        </w:rPr>
        <w:t>n</w:t>
      </w:r>
      <w:r>
        <w:rPr>
          <w:rFonts w:ascii="Courier New" w:hAnsi="Courier New" w:cs="Courier New"/>
          <w:b w:val="0"/>
          <w:sz w:val="24"/>
        </w:rPr>
        <w:t>ca llamó a la guardería a preguntar si alguien había ido a ver la e</w:t>
      </w:r>
      <w:r>
        <w:rPr>
          <w:rFonts w:ascii="Courier New" w:hAnsi="Courier New" w:cs="Courier New"/>
          <w:b w:val="0"/>
          <w:sz w:val="24"/>
        </w:rPr>
        <w:t>m</w:t>
      </w:r>
      <w:r>
        <w:rPr>
          <w:rFonts w:ascii="Courier New" w:hAnsi="Courier New" w:cs="Courier New"/>
          <w:b w:val="0"/>
          <w:sz w:val="24"/>
        </w:rPr>
        <w:t>barcación.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señaló que Telleldín tampoco fue veraz cuando mencionó la presencia de un Duna blanco, vehículo que no fue mencionado ni por el referido coproc</w:t>
      </w:r>
      <w:r>
        <w:rPr>
          <w:rFonts w:ascii="Courier New" w:hAnsi="Courier New" w:cs="Courier New"/>
          <w:b w:val="0"/>
          <w:sz w:val="24"/>
        </w:rPr>
        <w:t>e</w:t>
      </w:r>
      <w:r>
        <w:rPr>
          <w:rFonts w:ascii="Courier New" w:hAnsi="Courier New" w:cs="Courier New"/>
          <w:b w:val="0"/>
          <w:sz w:val="24"/>
        </w:rPr>
        <w:t>sado ni por su mujer en sus primeras declaraciones, apar</w:t>
      </w:r>
      <w:r>
        <w:rPr>
          <w:rFonts w:ascii="Courier New" w:hAnsi="Courier New" w:cs="Courier New"/>
          <w:b w:val="0"/>
          <w:sz w:val="24"/>
        </w:rPr>
        <w:t>e</w:t>
      </w:r>
      <w:r>
        <w:rPr>
          <w:rFonts w:ascii="Courier New" w:hAnsi="Courier New" w:cs="Courier New"/>
          <w:b w:val="0"/>
          <w:sz w:val="24"/>
        </w:rPr>
        <w:t>ciendo luego de la declaración del 5 de julio, para fig</w:t>
      </w:r>
      <w:r>
        <w:rPr>
          <w:rFonts w:ascii="Courier New" w:hAnsi="Courier New" w:cs="Courier New"/>
          <w:b w:val="0"/>
          <w:sz w:val="24"/>
        </w:rPr>
        <w:t>u</w:t>
      </w:r>
      <w:r>
        <w:rPr>
          <w:rFonts w:ascii="Courier New" w:hAnsi="Courier New" w:cs="Courier New"/>
          <w:b w:val="0"/>
          <w:sz w:val="24"/>
        </w:rPr>
        <w:t>rar el día 10.</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manifestó que la misma situación se repitió con la supuesta persona que habría acompañado a Bottegal a la reunión, circunstancia que n</w:t>
      </w:r>
      <w:r>
        <w:rPr>
          <w:rFonts w:ascii="Courier New" w:hAnsi="Courier New" w:cs="Courier New"/>
          <w:b w:val="0"/>
          <w:sz w:val="24"/>
        </w:rPr>
        <w:t>a</w:t>
      </w:r>
      <w:r>
        <w:rPr>
          <w:rFonts w:ascii="Courier New" w:hAnsi="Courier New" w:cs="Courier New"/>
          <w:b w:val="0"/>
          <w:sz w:val="24"/>
        </w:rPr>
        <w:t>die mencionó en las primeras declaraciones, hasta que T</w:t>
      </w:r>
      <w:r>
        <w:rPr>
          <w:rFonts w:ascii="Courier New" w:hAnsi="Courier New" w:cs="Courier New"/>
          <w:b w:val="0"/>
          <w:sz w:val="24"/>
        </w:rPr>
        <w:t>e</w:t>
      </w:r>
      <w:r>
        <w:rPr>
          <w:rFonts w:ascii="Courier New" w:hAnsi="Courier New" w:cs="Courier New"/>
          <w:b w:val="0"/>
          <w:sz w:val="24"/>
        </w:rPr>
        <w:t>lleldín habló de un hombre de barba, con aspecto s</w:t>
      </w:r>
      <w:r>
        <w:rPr>
          <w:rFonts w:ascii="Courier New" w:hAnsi="Courier New" w:cs="Courier New"/>
          <w:b w:val="0"/>
          <w:sz w:val="24"/>
        </w:rPr>
        <w:t>i</w:t>
      </w:r>
      <w:r>
        <w:rPr>
          <w:rFonts w:ascii="Courier New" w:hAnsi="Courier New" w:cs="Courier New"/>
          <w:b w:val="0"/>
          <w:sz w:val="24"/>
        </w:rPr>
        <w:t>milar a los que perten</w:t>
      </w:r>
      <w:r>
        <w:rPr>
          <w:rFonts w:ascii="Courier New" w:hAnsi="Courier New" w:cs="Courier New"/>
          <w:b w:val="0"/>
          <w:sz w:val="24"/>
        </w:rPr>
        <w:t>e</w:t>
      </w:r>
      <w:r>
        <w:rPr>
          <w:rFonts w:ascii="Courier New" w:hAnsi="Courier New" w:cs="Courier New"/>
          <w:b w:val="0"/>
          <w:sz w:val="24"/>
        </w:rPr>
        <w:t>cían a una brigada.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agregó que no se confirmó la ve</w:t>
      </w:r>
      <w:r>
        <w:rPr>
          <w:rFonts w:ascii="Courier New" w:hAnsi="Courier New" w:cs="Courier New"/>
          <w:b w:val="0"/>
          <w:sz w:val="24"/>
        </w:rPr>
        <w:t>r</w:t>
      </w:r>
      <w:r>
        <w:rPr>
          <w:rFonts w:ascii="Courier New" w:hAnsi="Courier New" w:cs="Courier New"/>
          <w:b w:val="0"/>
          <w:sz w:val="24"/>
        </w:rPr>
        <w:t>sión de Telleldín de que el 14 de julio de 1994 su vehíc</w:t>
      </w:r>
      <w:r>
        <w:rPr>
          <w:rFonts w:ascii="Courier New" w:hAnsi="Courier New" w:cs="Courier New"/>
          <w:b w:val="0"/>
          <w:sz w:val="24"/>
        </w:rPr>
        <w:t>u</w:t>
      </w:r>
      <w:r>
        <w:rPr>
          <w:rFonts w:ascii="Courier New" w:hAnsi="Courier New" w:cs="Courier New"/>
          <w:b w:val="0"/>
          <w:sz w:val="24"/>
        </w:rPr>
        <w:t>lo embistió al Duna blanco, señalando que el peritaje i</w:t>
      </w:r>
      <w:r>
        <w:rPr>
          <w:rFonts w:ascii="Courier New" w:hAnsi="Courier New" w:cs="Courier New"/>
          <w:b w:val="0"/>
          <w:sz w:val="24"/>
        </w:rPr>
        <w:t>n</w:t>
      </w:r>
      <w:r>
        <w:rPr>
          <w:rFonts w:ascii="Courier New" w:hAnsi="Courier New" w:cs="Courier New"/>
          <w:b w:val="0"/>
          <w:sz w:val="24"/>
        </w:rPr>
        <w:t>dicó lo contrario.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Aclaró que, si bien anteriormente s</w:t>
      </w:r>
      <w:r>
        <w:rPr>
          <w:rFonts w:ascii="Courier New" w:hAnsi="Courier New" w:cs="Courier New"/>
          <w:b w:val="0"/>
          <w:sz w:val="24"/>
        </w:rPr>
        <w:t>e</w:t>
      </w:r>
      <w:r>
        <w:rPr>
          <w:rFonts w:ascii="Courier New" w:hAnsi="Courier New" w:cs="Courier New"/>
          <w:b w:val="0"/>
          <w:sz w:val="24"/>
        </w:rPr>
        <w:t>ñaló que no trabajaba los fines de semana, se co</w:t>
      </w:r>
      <w:r>
        <w:rPr>
          <w:rFonts w:ascii="Courier New" w:hAnsi="Courier New" w:cs="Courier New"/>
          <w:b w:val="0"/>
          <w:sz w:val="24"/>
        </w:rPr>
        <w:t>n</w:t>
      </w:r>
      <w:r>
        <w:rPr>
          <w:rFonts w:ascii="Courier New" w:hAnsi="Courier New" w:cs="Courier New"/>
          <w:b w:val="0"/>
          <w:sz w:val="24"/>
        </w:rPr>
        <w:t xml:space="preserve">fundió y se refirió a </w:t>
      </w:r>
      <w:smartTag w:uri="urn:schemas-microsoft-com:office:smarttags" w:element="PersonName">
        <w:smartTagPr>
          <w:attr w:name="ProductID" w:val="la Brigada"/>
        </w:smartTagPr>
        <w:r>
          <w:rPr>
            <w:rFonts w:ascii="Courier New" w:hAnsi="Courier New" w:cs="Courier New"/>
            <w:b w:val="0"/>
            <w:sz w:val="24"/>
          </w:rPr>
          <w:t>la Brig</w:t>
        </w:r>
        <w:r>
          <w:rPr>
            <w:rFonts w:ascii="Courier New" w:hAnsi="Courier New" w:cs="Courier New"/>
            <w:b w:val="0"/>
            <w:sz w:val="24"/>
          </w:rPr>
          <w:t>a</w:t>
        </w:r>
        <w:r>
          <w:rPr>
            <w:rFonts w:ascii="Courier New" w:hAnsi="Courier New" w:cs="Courier New"/>
            <w:b w:val="0"/>
            <w:sz w:val="24"/>
          </w:rPr>
          <w:t>da</w:t>
        </w:r>
      </w:smartTag>
      <w:r>
        <w:rPr>
          <w:rFonts w:ascii="Courier New" w:hAnsi="Courier New" w:cs="Courier New"/>
          <w:b w:val="0"/>
          <w:sz w:val="24"/>
        </w:rPr>
        <w:t xml:space="preserve"> de San Miguel, mientras que en la de Vicente López sí lo hizo.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Refirió que era el número tres de la brigada, desempeñándose como jefe operativo con jera</w:t>
      </w:r>
      <w:r>
        <w:rPr>
          <w:rFonts w:ascii="Courier New" w:hAnsi="Courier New" w:cs="Courier New"/>
          <w:b w:val="0"/>
          <w:sz w:val="24"/>
        </w:rPr>
        <w:t>r</w:t>
      </w:r>
      <w:r>
        <w:rPr>
          <w:rFonts w:ascii="Courier New" w:hAnsi="Courier New" w:cs="Courier New"/>
          <w:b w:val="0"/>
          <w:sz w:val="24"/>
        </w:rPr>
        <w:t>quía de subcomisario, especificando que, entre otras tareas, tenía el control de los grupos oper</w:t>
      </w:r>
      <w:r>
        <w:rPr>
          <w:rFonts w:ascii="Courier New" w:hAnsi="Courier New" w:cs="Courier New"/>
          <w:b w:val="0"/>
          <w:sz w:val="24"/>
        </w:rPr>
        <w:t>a</w:t>
      </w:r>
      <w:r>
        <w:rPr>
          <w:rFonts w:ascii="Courier New" w:hAnsi="Courier New" w:cs="Courier New"/>
          <w:b w:val="0"/>
          <w:sz w:val="24"/>
        </w:rPr>
        <w:t>tivos que trabajan en la calle y llevaba la estadística de los distintos del</w:t>
      </w:r>
      <w:r>
        <w:rPr>
          <w:rFonts w:ascii="Courier New" w:hAnsi="Courier New" w:cs="Courier New"/>
          <w:b w:val="0"/>
          <w:sz w:val="24"/>
        </w:rPr>
        <w:t>i</w:t>
      </w:r>
      <w:r>
        <w:rPr>
          <w:rFonts w:ascii="Courier New" w:hAnsi="Courier New" w:cs="Courier New"/>
          <w:b w:val="0"/>
          <w:sz w:val="24"/>
        </w:rPr>
        <w:t>tos.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que el segundo era el jefe a</w:t>
      </w:r>
      <w:r>
        <w:rPr>
          <w:rFonts w:ascii="Courier New" w:hAnsi="Courier New" w:cs="Courier New"/>
          <w:b w:val="0"/>
          <w:sz w:val="24"/>
        </w:rPr>
        <w:t>d</w:t>
      </w:r>
      <w:r>
        <w:rPr>
          <w:rFonts w:ascii="Courier New" w:hAnsi="Courier New" w:cs="Courier New"/>
          <w:b w:val="0"/>
          <w:sz w:val="24"/>
        </w:rPr>
        <w:t>ministrativo y su superior era el jefe de la brigada. S</w:t>
      </w:r>
      <w:r>
        <w:rPr>
          <w:rFonts w:ascii="Courier New" w:hAnsi="Courier New" w:cs="Courier New"/>
          <w:b w:val="0"/>
          <w:sz w:val="24"/>
        </w:rPr>
        <w:t>e</w:t>
      </w:r>
      <w:r>
        <w:rPr>
          <w:rFonts w:ascii="Courier New" w:hAnsi="Courier New" w:cs="Courier New"/>
          <w:b w:val="0"/>
          <w:sz w:val="24"/>
        </w:rPr>
        <w:t>ñaló en dicho sentido que el personal de la brigada estaba al mando del segundo jefe, encargado de la oficina de pe</w:t>
      </w:r>
      <w:r>
        <w:rPr>
          <w:rFonts w:ascii="Courier New" w:hAnsi="Courier New" w:cs="Courier New"/>
          <w:b w:val="0"/>
          <w:sz w:val="24"/>
        </w:rPr>
        <w:t>r</w:t>
      </w:r>
      <w:r>
        <w:rPr>
          <w:rFonts w:ascii="Courier New" w:hAnsi="Courier New" w:cs="Courier New"/>
          <w:b w:val="0"/>
          <w:sz w:val="24"/>
        </w:rPr>
        <w:t>sonal indirectamente.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Aclaró que los jefes de turno que pe</w:t>
      </w:r>
      <w:r>
        <w:rPr>
          <w:rFonts w:ascii="Courier New" w:hAnsi="Courier New" w:cs="Courier New"/>
          <w:b w:val="0"/>
          <w:sz w:val="24"/>
        </w:rPr>
        <w:t>r</w:t>
      </w:r>
      <w:r>
        <w:rPr>
          <w:rFonts w:ascii="Courier New" w:hAnsi="Courier New" w:cs="Courier New"/>
          <w:b w:val="0"/>
          <w:sz w:val="24"/>
        </w:rPr>
        <w:t>manecían cuando los jefes propiamente dichos no se enco</w:t>
      </w:r>
      <w:r>
        <w:rPr>
          <w:rFonts w:ascii="Courier New" w:hAnsi="Courier New" w:cs="Courier New"/>
          <w:b w:val="0"/>
          <w:sz w:val="24"/>
        </w:rPr>
        <w:t>n</w:t>
      </w:r>
      <w:r>
        <w:rPr>
          <w:rFonts w:ascii="Courier New" w:hAnsi="Courier New" w:cs="Courier New"/>
          <w:b w:val="0"/>
          <w:sz w:val="24"/>
        </w:rPr>
        <w:t>traban o descansaban, eran responsables de lo que ocurría dentro de la brigada.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Aclaró que a Pérez lo vio cuando lo trajo el grupo operativo de Leal a la brigada de invest</w:t>
      </w:r>
      <w:r>
        <w:rPr>
          <w:rFonts w:ascii="Courier New" w:hAnsi="Courier New" w:cs="Courier New"/>
          <w:b w:val="0"/>
          <w:sz w:val="24"/>
        </w:rPr>
        <w:t>i</w:t>
      </w:r>
      <w:r>
        <w:rPr>
          <w:rFonts w:ascii="Courier New" w:hAnsi="Courier New" w:cs="Courier New"/>
          <w:b w:val="0"/>
          <w:sz w:val="24"/>
        </w:rPr>
        <w:t>gaciones.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en ese sentido que rec</w:t>
      </w:r>
      <w:r>
        <w:rPr>
          <w:rFonts w:ascii="Courier New" w:hAnsi="Courier New" w:cs="Courier New"/>
          <w:b w:val="0"/>
          <w:sz w:val="24"/>
        </w:rPr>
        <w:t>i</w:t>
      </w:r>
      <w:r>
        <w:rPr>
          <w:rFonts w:ascii="Courier New" w:hAnsi="Courier New" w:cs="Courier New"/>
          <w:b w:val="0"/>
          <w:sz w:val="24"/>
        </w:rPr>
        <w:t>bió el llamado y ordenó que concurrieran a la depe</w:t>
      </w:r>
      <w:r>
        <w:rPr>
          <w:rFonts w:ascii="Courier New" w:hAnsi="Courier New" w:cs="Courier New"/>
          <w:b w:val="0"/>
          <w:sz w:val="24"/>
        </w:rPr>
        <w:t>n</w:t>
      </w:r>
      <w:r>
        <w:rPr>
          <w:rFonts w:ascii="Courier New" w:hAnsi="Courier New" w:cs="Courier New"/>
          <w:b w:val="0"/>
          <w:sz w:val="24"/>
        </w:rPr>
        <w:t>dencia con el detenido, indicando que por la hora estaba descansando, por lo que se levantó cuando llegó el detenido. Apuntó que transcurrido tanto tiempo, nadie puede acordarse la hora exacta.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que el horario de la dete</w:t>
      </w:r>
      <w:r>
        <w:rPr>
          <w:rFonts w:ascii="Courier New" w:hAnsi="Courier New" w:cs="Courier New"/>
          <w:b w:val="0"/>
          <w:sz w:val="24"/>
        </w:rPr>
        <w:t>n</w:t>
      </w:r>
      <w:r>
        <w:rPr>
          <w:rFonts w:ascii="Courier New" w:hAnsi="Courier New" w:cs="Courier New"/>
          <w:b w:val="0"/>
          <w:sz w:val="24"/>
        </w:rPr>
        <w:t>ción de Pérez no se tuvo muy en cuenta porque era un pr</w:t>
      </w:r>
      <w:r>
        <w:rPr>
          <w:rFonts w:ascii="Courier New" w:hAnsi="Courier New" w:cs="Courier New"/>
          <w:b w:val="0"/>
          <w:sz w:val="24"/>
        </w:rPr>
        <w:t>o</w:t>
      </w:r>
      <w:r>
        <w:rPr>
          <w:rFonts w:ascii="Courier New" w:hAnsi="Courier New" w:cs="Courier New"/>
          <w:b w:val="0"/>
          <w:sz w:val="24"/>
        </w:rPr>
        <w:t>cedimiento de poca importancia, agregando que creía en Leal.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Sostuvo que para la fecha del hecho había poco personal en la brigada, debido a que había agentes de licencia.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acusado manifestó que oficia</w:t>
      </w:r>
      <w:r>
        <w:rPr>
          <w:rFonts w:ascii="Courier New" w:hAnsi="Courier New" w:cs="Courier New"/>
          <w:b w:val="0"/>
          <w:sz w:val="24"/>
        </w:rPr>
        <w:t>l</w:t>
      </w:r>
      <w:r>
        <w:rPr>
          <w:rFonts w:ascii="Courier New" w:hAnsi="Courier New" w:cs="Courier New"/>
          <w:b w:val="0"/>
          <w:sz w:val="24"/>
        </w:rPr>
        <w:t>mente salió de licencia el día 18, pero en realidad se tomó franco el día 17.</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cómo estaba integrado un gr</w:t>
      </w:r>
      <w:r>
        <w:rPr>
          <w:rFonts w:ascii="Courier New" w:hAnsi="Courier New" w:cs="Courier New"/>
          <w:b w:val="0"/>
          <w:sz w:val="24"/>
        </w:rPr>
        <w:t>u</w:t>
      </w:r>
      <w:r>
        <w:rPr>
          <w:rFonts w:ascii="Courier New" w:hAnsi="Courier New" w:cs="Courier New"/>
          <w:b w:val="0"/>
          <w:sz w:val="24"/>
        </w:rPr>
        <w:t>po operativo y que a veces una persona que cumplía fu</w:t>
      </w:r>
      <w:r>
        <w:rPr>
          <w:rFonts w:ascii="Courier New" w:hAnsi="Courier New" w:cs="Courier New"/>
          <w:b w:val="0"/>
          <w:sz w:val="24"/>
        </w:rPr>
        <w:t>n</w:t>
      </w:r>
      <w:r>
        <w:rPr>
          <w:rFonts w:ascii="Courier New" w:hAnsi="Courier New" w:cs="Courier New"/>
          <w:b w:val="0"/>
          <w:sz w:val="24"/>
        </w:rPr>
        <w:t>ciones administrativas tenía que cumplir otras no vi</w:t>
      </w:r>
      <w:r>
        <w:rPr>
          <w:rFonts w:ascii="Courier New" w:hAnsi="Courier New" w:cs="Courier New"/>
          <w:b w:val="0"/>
          <w:sz w:val="24"/>
        </w:rPr>
        <w:t>n</w:t>
      </w:r>
      <w:r>
        <w:rPr>
          <w:rFonts w:ascii="Courier New" w:hAnsi="Courier New" w:cs="Courier New"/>
          <w:b w:val="0"/>
          <w:sz w:val="24"/>
        </w:rPr>
        <w:t>culadas con tal actividad, aclarando que si surgía un operativo y éste lo demandaba, se co</w:t>
      </w:r>
      <w:r>
        <w:rPr>
          <w:rFonts w:ascii="Courier New" w:hAnsi="Courier New" w:cs="Courier New"/>
          <w:b w:val="0"/>
          <w:sz w:val="24"/>
        </w:rPr>
        <w:t>n</w:t>
      </w:r>
      <w:r>
        <w:rPr>
          <w:rFonts w:ascii="Courier New" w:hAnsi="Courier New" w:cs="Courier New"/>
          <w:b w:val="0"/>
          <w:sz w:val="24"/>
        </w:rPr>
        <w:t>vocaba al personal necesario.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Sostuvo que para la época de los h</w:t>
      </w:r>
      <w:r>
        <w:rPr>
          <w:rFonts w:ascii="Courier New" w:hAnsi="Courier New" w:cs="Courier New"/>
          <w:b w:val="0"/>
          <w:sz w:val="24"/>
        </w:rPr>
        <w:t>e</w:t>
      </w:r>
      <w:r>
        <w:rPr>
          <w:rFonts w:ascii="Courier New" w:hAnsi="Courier New" w:cs="Courier New"/>
          <w:b w:val="0"/>
          <w:sz w:val="24"/>
        </w:rPr>
        <w:t>chos estaban ocupados con los piratas del asfalto y los robos en casas, explicando las actividades que re</w:t>
      </w:r>
      <w:r>
        <w:rPr>
          <w:rFonts w:ascii="Courier New" w:hAnsi="Courier New" w:cs="Courier New"/>
          <w:b w:val="0"/>
          <w:sz w:val="24"/>
        </w:rPr>
        <w:t>a</w:t>
      </w:r>
      <w:r>
        <w:rPr>
          <w:rFonts w:ascii="Courier New" w:hAnsi="Courier New" w:cs="Courier New"/>
          <w:b w:val="0"/>
          <w:sz w:val="24"/>
        </w:rPr>
        <w:t>lizaban en torno a las investigaciones de esos hechos.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Continuó su relato indicando que cua</w:t>
      </w:r>
      <w:r>
        <w:rPr>
          <w:rFonts w:ascii="Courier New" w:hAnsi="Courier New" w:cs="Courier New"/>
          <w:b w:val="0"/>
          <w:sz w:val="24"/>
        </w:rPr>
        <w:t>n</w:t>
      </w:r>
      <w:r>
        <w:rPr>
          <w:rFonts w:ascii="Courier New" w:hAnsi="Courier New" w:cs="Courier New"/>
          <w:b w:val="0"/>
          <w:sz w:val="24"/>
        </w:rPr>
        <w:t>do Leal llegó con el detenido le manifestó lo que éste d</w:t>
      </w:r>
      <w:r>
        <w:rPr>
          <w:rFonts w:ascii="Courier New" w:hAnsi="Courier New" w:cs="Courier New"/>
          <w:b w:val="0"/>
          <w:sz w:val="24"/>
        </w:rPr>
        <w:t>e</w:t>
      </w:r>
      <w:r>
        <w:rPr>
          <w:rFonts w:ascii="Courier New" w:hAnsi="Courier New" w:cs="Courier New"/>
          <w:b w:val="0"/>
          <w:sz w:val="24"/>
        </w:rPr>
        <w:t>claró, siendo ello lo que en ese momento se le informó al jefe, quien resolvió lo que había que hacer. Reiteró que no fue un procedimiento importante y que se trataba de constatar si era cierto lo que se decía.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Precisó que Leal no llevó el proced</w:t>
      </w:r>
      <w:r>
        <w:rPr>
          <w:rFonts w:ascii="Courier New" w:hAnsi="Courier New" w:cs="Courier New"/>
          <w:b w:val="0"/>
          <w:sz w:val="24"/>
        </w:rPr>
        <w:t>i</w:t>
      </w:r>
      <w:r>
        <w:rPr>
          <w:rFonts w:ascii="Courier New" w:hAnsi="Courier New" w:cs="Courier New"/>
          <w:b w:val="0"/>
          <w:sz w:val="24"/>
        </w:rPr>
        <w:t>miento a la brigada, sino que él se lo ordenó luego que Bareiro aportara el dato, procediéndose recién cuando Fo</w:t>
      </w:r>
      <w:r>
        <w:rPr>
          <w:rFonts w:ascii="Courier New" w:hAnsi="Courier New" w:cs="Courier New"/>
          <w:b w:val="0"/>
          <w:sz w:val="24"/>
        </w:rPr>
        <w:t>r</w:t>
      </w:r>
      <w:r>
        <w:rPr>
          <w:rFonts w:ascii="Courier New" w:hAnsi="Courier New" w:cs="Courier New"/>
          <w:b w:val="0"/>
          <w:sz w:val="24"/>
        </w:rPr>
        <w:t>gione lo autorizó.</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Las tareas previas al procedimiento, explicó Rago, est</w:t>
      </w:r>
      <w:r>
        <w:rPr>
          <w:rFonts w:ascii="Courier New" w:hAnsi="Courier New" w:cs="Courier New"/>
          <w:b w:val="0"/>
          <w:sz w:val="24"/>
        </w:rPr>
        <w:t>a</w:t>
      </w:r>
      <w:r>
        <w:rPr>
          <w:rFonts w:ascii="Courier New" w:hAnsi="Courier New" w:cs="Courier New"/>
          <w:b w:val="0"/>
          <w:sz w:val="24"/>
        </w:rPr>
        <w:t>ban a cargo de Leal.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acusado sostuvo que para esa época usaba el celular 444-</w:t>
      </w:r>
      <w:smartTag w:uri="urn:schemas-microsoft-com:office:smarttags" w:element="metricconverter">
        <w:smartTagPr>
          <w:attr w:name="ProductID" w:val="7741 a"/>
        </w:smartTagPr>
        <w:r>
          <w:rPr>
            <w:rFonts w:ascii="Courier New" w:hAnsi="Courier New" w:cs="Courier New"/>
            <w:b w:val="0"/>
            <w:sz w:val="24"/>
          </w:rPr>
          <w:t>7741 a</w:t>
        </w:r>
      </w:smartTag>
      <w:r>
        <w:rPr>
          <w:rFonts w:ascii="Courier New" w:hAnsi="Courier New" w:cs="Courier New"/>
          <w:b w:val="0"/>
          <w:sz w:val="24"/>
        </w:rPr>
        <w:t xml:space="preserve"> nombre de Forgi</w:t>
      </w:r>
      <w:r>
        <w:rPr>
          <w:rFonts w:ascii="Courier New" w:hAnsi="Courier New" w:cs="Courier New"/>
          <w:b w:val="0"/>
          <w:sz w:val="24"/>
        </w:rPr>
        <w:t>o</w:t>
      </w:r>
      <w:r>
        <w:rPr>
          <w:rFonts w:ascii="Courier New" w:hAnsi="Courier New" w:cs="Courier New"/>
          <w:b w:val="0"/>
          <w:sz w:val="24"/>
        </w:rPr>
        <w:t>ne, ya que él había llegado a la brigada a mediados de 1993 y no tenía ese tipo de teléfonos, agregando que tampoco poseía tarj</w:t>
      </w:r>
      <w:r>
        <w:rPr>
          <w:rFonts w:ascii="Courier New" w:hAnsi="Courier New" w:cs="Courier New"/>
          <w:b w:val="0"/>
          <w:sz w:val="24"/>
        </w:rPr>
        <w:t>e</w:t>
      </w:r>
      <w:r>
        <w:rPr>
          <w:rFonts w:ascii="Courier New" w:hAnsi="Courier New" w:cs="Courier New"/>
          <w:b w:val="0"/>
          <w:sz w:val="24"/>
        </w:rPr>
        <w:t>tas de crédito.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Indicó que Leal se comunicó direct</w:t>
      </w:r>
      <w:r>
        <w:rPr>
          <w:rFonts w:ascii="Courier New" w:hAnsi="Courier New" w:cs="Courier New"/>
          <w:b w:val="0"/>
          <w:sz w:val="24"/>
        </w:rPr>
        <w:t>a</w:t>
      </w:r>
      <w:r>
        <w:rPr>
          <w:rFonts w:ascii="Courier New" w:hAnsi="Courier New" w:cs="Courier New"/>
          <w:b w:val="0"/>
          <w:sz w:val="24"/>
        </w:rPr>
        <w:t>mente con él el día del hecho; que se trató de una comun</w:t>
      </w:r>
      <w:r>
        <w:rPr>
          <w:rFonts w:ascii="Courier New" w:hAnsi="Courier New" w:cs="Courier New"/>
          <w:b w:val="0"/>
          <w:sz w:val="24"/>
        </w:rPr>
        <w:t>i</w:t>
      </w:r>
      <w:r>
        <w:rPr>
          <w:rFonts w:ascii="Courier New" w:hAnsi="Courier New" w:cs="Courier New"/>
          <w:b w:val="0"/>
          <w:sz w:val="24"/>
        </w:rPr>
        <w:t>cación corta, aclarando que no estaba seguro si fue por “Movicom”, no obstante en un primer momento creyó y decl</w:t>
      </w:r>
      <w:r>
        <w:rPr>
          <w:rFonts w:ascii="Courier New" w:hAnsi="Courier New" w:cs="Courier New"/>
          <w:b w:val="0"/>
          <w:sz w:val="24"/>
        </w:rPr>
        <w:t>a</w:t>
      </w:r>
      <w:r>
        <w:rPr>
          <w:rFonts w:ascii="Courier New" w:hAnsi="Courier New" w:cs="Courier New"/>
          <w:b w:val="0"/>
          <w:sz w:val="24"/>
        </w:rPr>
        <w:t>ró que sí utilizó dicho apar</w:t>
      </w:r>
      <w:r>
        <w:rPr>
          <w:rFonts w:ascii="Courier New" w:hAnsi="Courier New" w:cs="Courier New"/>
          <w:b w:val="0"/>
          <w:sz w:val="24"/>
        </w:rPr>
        <w:t>a</w:t>
      </w:r>
      <w:r>
        <w:rPr>
          <w:rFonts w:ascii="Courier New" w:hAnsi="Courier New" w:cs="Courier New"/>
          <w:b w:val="0"/>
          <w:sz w:val="24"/>
        </w:rPr>
        <w:t>to.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que la detención de Pérez fue alrededor de la medianoche entre las 23.30 y las 24.00, figurando en el acta el horario en que se llegó a la brigada, teniendo así explicación que allí rece 1.30 horas; señaló que no fue muy rígido ni exigió explicaci</w:t>
      </w:r>
      <w:r>
        <w:rPr>
          <w:rFonts w:ascii="Courier New" w:hAnsi="Courier New" w:cs="Courier New"/>
          <w:b w:val="0"/>
          <w:sz w:val="24"/>
        </w:rPr>
        <w:t>o</w:t>
      </w:r>
      <w:r>
        <w:rPr>
          <w:rFonts w:ascii="Courier New" w:hAnsi="Courier New" w:cs="Courier New"/>
          <w:b w:val="0"/>
          <w:sz w:val="24"/>
        </w:rPr>
        <w:t>nes al respecto.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Precisó que entre la 21.55 y las 22.00 no rec</w:t>
      </w:r>
      <w:r>
        <w:rPr>
          <w:rFonts w:ascii="Courier New" w:hAnsi="Courier New" w:cs="Courier New"/>
          <w:b w:val="0"/>
          <w:sz w:val="24"/>
        </w:rPr>
        <w:t>i</w:t>
      </w:r>
      <w:r>
        <w:rPr>
          <w:rFonts w:ascii="Courier New" w:hAnsi="Courier New" w:cs="Courier New"/>
          <w:b w:val="0"/>
          <w:sz w:val="24"/>
        </w:rPr>
        <w:t>bió ningún llamado de Leal.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Al serle mencionados los dichos de B</w:t>
      </w:r>
      <w:r>
        <w:rPr>
          <w:rFonts w:ascii="Courier New" w:hAnsi="Courier New" w:cs="Courier New"/>
          <w:b w:val="0"/>
          <w:sz w:val="24"/>
        </w:rPr>
        <w:t>a</w:t>
      </w:r>
      <w:r>
        <w:rPr>
          <w:rFonts w:ascii="Courier New" w:hAnsi="Courier New" w:cs="Courier New"/>
          <w:b w:val="0"/>
          <w:sz w:val="24"/>
        </w:rPr>
        <w:t>reiro respecto al acuerdo para llevar a cabo el proced</w:t>
      </w:r>
      <w:r>
        <w:rPr>
          <w:rFonts w:ascii="Courier New" w:hAnsi="Courier New" w:cs="Courier New"/>
          <w:b w:val="0"/>
          <w:sz w:val="24"/>
        </w:rPr>
        <w:t>i</w:t>
      </w:r>
      <w:r>
        <w:rPr>
          <w:rFonts w:ascii="Courier New" w:hAnsi="Courier New" w:cs="Courier New"/>
          <w:b w:val="0"/>
          <w:sz w:val="24"/>
        </w:rPr>
        <w:t>miento, Rago señaló que si bien Bareiro sostuvo que fue mal interpretado, existe otro motivo de lo que afirmó, que es que Bareiro no estaba en la cárcel para ese entonces y ha estado en una situ</w:t>
      </w:r>
      <w:r>
        <w:rPr>
          <w:rFonts w:ascii="Courier New" w:hAnsi="Courier New" w:cs="Courier New"/>
          <w:b w:val="0"/>
          <w:sz w:val="24"/>
        </w:rPr>
        <w:t>a</w:t>
      </w:r>
      <w:r>
        <w:rPr>
          <w:rFonts w:ascii="Courier New" w:hAnsi="Courier New" w:cs="Courier New"/>
          <w:b w:val="0"/>
          <w:sz w:val="24"/>
        </w:rPr>
        <w:t>ción más ventajosa que él.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Rago que al leerse la declar</w:t>
      </w:r>
      <w:r>
        <w:rPr>
          <w:rFonts w:ascii="Courier New" w:hAnsi="Courier New" w:cs="Courier New"/>
          <w:b w:val="0"/>
          <w:sz w:val="24"/>
        </w:rPr>
        <w:t>a</w:t>
      </w:r>
      <w:r>
        <w:rPr>
          <w:rFonts w:ascii="Courier New" w:hAnsi="Courier New" w:cs="Courier New"/>
          <w:b w:val="0"/>
          <w:sz w:val="24"/>
        </w:rPr>
        <w:t>ción de Bareiro, pareciera que fue copiada del código cuando se refiere a la entrega de bienes o dinero. I</w:t>
      </w:r>
      <w:r>
        <w:rPr>
          <w:rFonts w:ascii="Courier New" w:hAnsi="Courier New" w:cs="Courier New"/>
          <w:b w:val="0"/>
          <w:sz w:val="24"/>
        </w:rPr>
        <w:t>n</w:t>
      </w:r>
      <w:r>
        <w:rPr>
          <w:rFonts w:ascii="Courier New" w:hAnsi="Courier New" w:cs="Courier New"/>
          <w:b w:val="0"/>
          <w:sz w:val="24"/>
        </w:rPr>
        <w:t>dicó que a su entender, a Bareiro le dijeron que declarara en un sentido determinado o de lo contrario lo imputarían c</w:t>
      </w:r>
      <w:r>
        <w:rPr>
          <w:rFonts w:ascii="Courier New" w:hAnsi="Courier New" w:cs="Courier New"/>
          <w:b w:val="0"/>
          <w:sz w:val="24"/>
        </w:rPr>
        <w:t>o</w:t>
      </w:r>
      <w:r>
        <w:rPr>
          <w:rFonts w:ascii="Courier New" w:hAnsi="Courier New" w:cs="Courier New"/>
          <w:b w:val="0"/>
          <w:sz w:val="24"/>
        </w:rPr>
        <w:t>mo partícipe.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De esta manera, continuó Rago, a B</w:t>
      </w:r>
      <w:r>
        <w:rPr>
          <w:rFonts w:ascii="Courier New" w:hAnsi="Courier New" w:cs="Courier New"/>
          <w:b w:val="0"/>
          <w:sz w:val="24"/>
        </w:rPr>
        <w:t>a</w:t>
      </w:r>
      <w:r>
        <w:rPr>
          <w:rFonts w:ascii="Courier New" w:hAnsi="Courier New" w:cs="Courier New"/>
          <w:b w:val="0"/>
          <w:sz w:val="24"/>
        </w:rPr>
        <w:t>reiro no le realizaron preguntas necesarias para acr</w:t>
      </w:r>
      <w:r>
        <w:rPr>
          <w:rFonts w:ascii="Courier New" w:hAnsi="Courier New" w:cs="Courier New"/>
          <w:b w:val="0"/>
          <w:sz w:val="24"/>
        </w:rPr>
        <w:t>e</w:t>
      </w:r>
      <w:r>
        <w:rPr>
          <w:rFonts w:ascii="Courier New" w:hAnsi="Courier New" w:cs="Courier New"/>
          <w:b w:val="0"/>
          <w:sz w:val="24"/>
        </w:rPr>
        <w:t>ditar el hecho, explicando dicha omisión en que éste había me</w:t>
      </w:r>
      <w:r>
        <w:rPr>
          <w:rFonts w:ascii="Courier New" w:hAnsi="Courier New" w:cs="Courier New"/>
          <w:b w:val="0"/>
          <w:sz w:val="24"/>
        </w:rPr>
        <w:t>n</w:t>
      </w:r>
      <w:r>
        <w:rPr>
          <w:rFonts w:ascii="Courier New" w:hAnsi="Courier New" w:cs="Courier New"/>
          <w:b w:val="0"/>
          <w:sz w:val="24"/>
        </w:rPr>
        <w:t>tido.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acusado señaló que Leal tenía la orden de realizar las tareas de inteligencia y para el día 13 Leal o Bareiro le informaron que Telleldín había regr</w:t>
      </w:r>
      <w:r>
        <w:rPr>
          <w:rFonts w:ascii="Courier New" w:hAnsi="Courier New" w:cs="Courier New"/>
          <w:b w:val="0"/>
          <w:sz w:val="24"/>
        </w:rPr>
        <w:t>e</w:t>
      </w:r>
      <w:r>
        <w:rPr>
          <w:rFonts w:ascii="Courier New" w:hAnsi="Courier New" w:cs="Courier New"/>
          <w:b w:val="0"/>
          <w:sz w:val="24"/>
        </w:rPr>
        <w:t>sado de Córdoba y que manejaba el Renault 19 supuestame</w:t>
      </w:r>
      <w:r>
        <w:rPr>
          <w:rFonts w:ascii="Courier New" w:hAnsi="Courier New" w:cs="Courier New"/>
          <w:b w:val="0"/>
          <w:sz w:val="24"/>
        </w:rPr>
        <w:t>n</w:t>
      </w:r>
      <w:r>
        <w:rPr>
          <w:rFonts w:ascii="Courier New" w:hAnsi="Courier New" w:cs="Courier New"/>
          <w:b w:val="0"/>
          <w:sz w:val="24"/>
        </w:rPr>
        <w:t>te de procedencia ilícita, por lo que habló con el jefe y é</w:t>
      </w:r>
      <w:r>
        <w:rPr>
          <w:rFonts w:ascii="Courier New" w:hAnsi="Courier New" w:cs="Courier New"/>
          <w:b w:val="0"/>
          <w:sz w:val="24"/>
        </w:rPr>
        <w:t>s</w:t>
      </w:r>
      <w:r>
        <w:rPr>
          <w:rFonts w:ascii="Courier New" w:hAnsi="Courier New" w:cs="Courier New"/>
          <w:b w:val="0"/>
          <w:sz w:val="24"/>
        </w:rPr>
        <w:t>te autorizó el proced</w:t>
      </w:r>
      <w:r>
        <w:rPr>
          <w:rFonts w:ascii="Courier New" w:hAnsi="Courier New" w:cs="Courier New"/>
          <w:b w:val="0"/>
          <w:sz w:val="24"/>
        </w:rPr>
        <w:t>i</w:t>
      </w:r>
      <w:r>
        <w:rPr>
          <w:rFonts w:ascii="Courier New" w:hAnsi="Courier New" w:cs="Courier New"/>
          <w:b w:val="0"/>
          <w:sz w:val="24"/>
        </w:rPr>
        <w:t>miento.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Aclaró que no respondía a las ó</w:t>
      </w:r>
      <w:r>
        <w:rPr>
          <w:rFonts w:ascii="Courier New" w:hAnsi="Courier New" w:cs="Courier New"/>
          <w:b w:val="0"/>
          <w:sz w:val="24"/>
        </w:rPr>
        <w:t>r</w:t>
      </w:r>
      <w:r>
        <w:rPr>
          <w:rFonts w:ascii="Courier New" w:hAnsi="Courier New" w:cs="Courier New"/>
          <w:b w:val="0"/>
          <w:sz w:val="24"/>
        </w:rPr>
        <w:t>denes de Ribelli ni tenía trato de ninguna especie con él, sie</w:t>
      </w:r>
      <w:r>
        <w:rPr>
          <w:rFonts w:ascii="Courier New" w:hAnsi="Courier New" w:cs="Courier New"/>
          <w:b w:val="0"/>
          <w:sz w:val="24"/>
        </w:rPr>
        <w:t>n</w:t>
      </w:r>
      <w:r>
        <w:rPr>
          <w:rFonts w:ascii="Courier New" w:hAnsi="Courier New" w:cs="Courier New"/>
          <w:b w:val="0"/>
          <w:sz w:val="24"/>
        </w:rPr>
        <w:t>do el juzgado el que armó la mentira de la unión de las dos brigadas, lo cual está confirm</w:t>
      </w:r>
      <w:r>
        <w:rPr>
          <w:rFonts w:ascii="Courier New" w:hAnsi="Courier New" w:cs="Courier New"/>
          <w:b w:val="0"/>
          <w:sz w:val="24"/>
        </w:rPr>
        <w:t>a</w:t>
      </w:r>
      <w:r>
        <w:rPr>
          <w:rFonts w:ascii="Courier New" w:hAnsi="Courier New" w:cs="Courier New"/>
          <w:b w:val="0"/>
          <w:sz w:val="24"/>
        </w:rPr>
        <w:t>do, a criterio de Rago, con los entrecruzamientos telefónicos.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que no sabía nada del vínculo entre Telleldín y Pérez, comentándose dicha circunsta</w:t>
      </w:r>
      <w:r>
        <w:rPr>
          <w:rFonts w:ascii="Courier New" w:hAnsi="Courier New" w:cs="Courier New"/>
          <w:b w:val="0"/>
          <w:sz w:val="24"/>
        </w:rPr>
        <w:t>n</w:t>
      </w:r>
      <w:r>
        <w:rPr>
          <w:rFonts w:ascii="Courier New" w:hAnsi="Courier New" w:cs="Courier New"/>
          <w:b w:val="0"/>
          <w:sz w:val="24"/>
        </w:rPr>
        <w:t>cia en el momento de la detención; indicó, asimismo, que cua</w:t>
      </w:r>
      <w:r>
        <w:rPr>
          <w:rFonts w:ascii="Courier New" w:hAnsi="Courier New" w:cs="Courier New"/>
          <w:b w:val="0"/>
          <w:sz w:val="24"/>
        </w:rPr>
        <w:t>n</w:t>
      </w:r>
      <w:r>
        <w:rPr>
          <w:rFonts w:ascii="Courier New" w:hAnsi="Courier New" w:cs="Courier New"/>
          <w:b w:val="0"/>
          <w:sz w:val="24"/>
        </w:rPr>
        <w:t>do Pérez llegó no le dijeron cómo se había escapado T</w:t>
      </w:r>
      <w:r>
        <w:rPr>
          <w:rFonts w:ascii="Courier New" w:hAnsi="Courier New" w:cs="Courier New"/>
          <w:b w:val="0"/>
          <w:sz w:val="24"/>
        </w:rPr>
        <w:t>e</w:t>
      </w:r>
      <w:r>
        <w:rPr>
          <w:rFonts w:ascii="Courier New" w:hAnsi="Courier New" w:cs="Courier New"/>
          <w:b w:val="0"/>
          <w:sz w:val="24"/>
        </w:rPr>
        <w:t>lleldín.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En cuanto al certificado médico rel</w:t>
      </w:r>
      <w:r>
        <w:rPr>
          <w:rFonts w:ascii="Courier New" w:hAnsi="Courier New" w:cs="Courier New"/>
          <w:b w:val="0"/>
          <w:sz w:val="24"/>
        </w:rPr>
        <w:t>a</w:t>
      </w:r>
      <w:r>
        <w:rPr>
          <w:rFonts w:ascii="Courier New" w:hAnsi="Courier New" w:cs="Courier New"/>
          <w:b w:val="0"/>
          <w:sz w:val="24"/>
        </w:rPr>
        <w:t>tivo a Pérez, Rago sostuvo que no le constaba cómo fue falsificado, indicando al respecto que en la práctica al médico lo llamaba el ayudante de guardia, siendo después el oficial de servicio el encargado de esa situación. Agregó que si el comisario o el subcomisario salían y ll</w:t>
      </w:r>
      <w:r>
        <w:rPr>
          <w:rFonts w:ascii="Courier New" w:hAnsi="Courier New" w:cs="Courier New"/>
          <w:b w:val="0"/>
          <w:sz w:val="24"/>
        </w:rPr>
        <w:t>e</w:t>
      </w:r>
      <w:r>
        <w:rPr>
          <w:rFonts w:ascii="Courier New" w:hAnsi="Courier New" w:cs="Courier New"/>
          <w:b w:val="0"/>
          <w:sz w:val="24"/>
        </w:rPr>
        <w:t>gaba el médico, el oficial de servicio era quien se ocup</w:t>
      </w:r>
      <w:r>
        <w:rPr>
          <w:rFonts w:ascii="Courier New" w:hAnsi="Courier New" w:cs="Courier New"/>
          <w:b w:val="0"/>
          <w:sz w:val="24"/>
        </w:rPr>
        <w:t>a</w:t>
      </w:r>
      <w:r>
        <w:rPr>
          <w:rFonts w:ascii="Courier New" w:hAnsi="Courier New" w:cs="Courier New"/>
          <w:b w:val="0"/>
          <w:sz w:val="24"/>
        </w:rPr>
        <w:t>ba y que en el caso concreto Quinteros fue el encargado. Negó tener vínculos con el doctor G</w:t>
      </w:r>
      <w:r>
        <w:rPr>
          <w:rFonts w:ascii="Courier New" w:hAnsi="Courier New" w:cs="Courier New"/>
          <w:b w:val="0"/>
          <w:sz w:val="24"/>
        </w:rPr>
        <w:t>ó</w:t>
      </w:r>
      <w:r>
        <w:rPr>
          <w:rFonts w:ascii="Courier New" w:hAnsi="Courier New" w:cs="Courier New"/>
          <w:b w:val="0"/>
          <w:sz w:val="24"/>
        </w:rPr>
        <w:t>mez, pareciéndole éste una excelente persona, estimando que después de la libe</w:t>
      </w:r>
      <w:r>
        <w:rPr>
          <w:rFonts w:ascii="Courier New" w:hAnsi="Courier New" w:cs="Courier New"/>
          <w:b w:val="0"/>
          <w:sz w:val="24"/>
        </w:rPr>
        <w:t>r</w:t>
      </w:r>
      <w:r>
        <w:rPr>
          <w:rFonts w:ascii="Courier New" w:hAnsi="Courier New" w:cs="Courier New"/>
          <w:b w:val="0"/>
          <w:sz w:val="24"/>
        </w:rPr>
        <w:t>tad de Pérez debió haber visto al mencionado profesional pues él permaneció en la brigada hasta novie</w:t>
      </w:r>
      <w:r>
        <w:rPr>
          <w:rFonts w:ascii="Courier New" w:hAnsi="Courier New" w:cs="Courier New"/>
          <w:b w:val="0"/>
          <w:sz w:val="24"/>
        </w:rPr>
        <w:t>m</w:t>
      </w:r>
      <w:r>
        <w:rPr>
          <w:rFonts w:ascii="Courier New" w:hAnsi="Courier New" w:cs="Courier New"/>
          <w:b w:val="0"/>
          <w:sz w:val="24"/>
        </w:rPr>
        <w:t>bre.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Villa Ballester correspo</w:t>
      </w:r>
      <w:r>
        <w:rPr>
          <w:rFonts w:ascii="Courier New" w:hAnsi="Courier New" w:cs="Courier New"/>
          <w:b w:val="0"/>
          <w:sz w:val="24"/>
        </w:rPr>
        <w:t>n</w:t>
      </w:r>
      <w:r>
        <w:rPr>
          <w:rFonts w:ascii="Courier New" w:hAnsi="Courier New" w:cs="Courier New"/>
          <w:b w:val="0"/>
          <w:sz w:val="24"/>
        </w:rPr>
        <w:t>día al ámb</w:t>
      </w:r>
      <w:r>
        <w:rPr>
          <w:rFonts w:ascii="Courier New" w:hAnsi="Courier New" w:cs="Courier New"/>
          <w:b w:val="0"/>
          <w:sz w:val="24"/>
        </w:rPr>
        <w:t>i</w:t>
      </w:r>
      <w:r>
        <w:rPr>
          <w:rFonts w:ascii="Courier New" w:hAnsi="Courier New" w:cs="Courier New"/>
          <w:b w:val="0"/>
          <w:sz w:val="24"/>
        </w:rPr>
        <w:t>to de San Martín y no de Vicente López.</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que Leal le informó que P</w:t>
      </w:r>
      <w:r>
        <w:rPr>
          <w:rFonts w:ascii="Courier New" w:hAnsi="Courier New" w:cs="Courier New"/>
          <w:b w:val="0"/>
          <w:sz w:val="24"/>
        </w:rPr>
        <w:t>é</w:t>
      </w:r>
      <w:r>
        <w:rPr>
          <w:rFonts w:ascii="Courier New" w:hAnsi="Courier New" w:cs="Courier New"/>
          <w:b w:val="0"/>
          <w:sz w:val="24"/>
        </w:rPr>
        <w:t>rez salió de la casa de Telleldín.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Dijo conocer al oficial Miguel Pacíf</w:t>
      </w:r>
      <w:r>
        <w:rPr>
          <w:rFonts w:ascii="Courier New" w:hAnsi="Courier New" w:cs="Courier New"/>
          <w:b w:val="0"/>
          <w:sz w:val="24"/>
        </w:rPr>
        <w:t>i</w:t>
      </w:r>
      <w:r>
        <w:rPr>
          <w:rFonts w:ascii="Courier New" w:hAnsi="Courier New" w:cs="Courier New"/>
          <w:b w:val="0"/>
          <w:sz w:val="24"/>
        </w:rPr>
        <w:t xml:space="preserve">co García de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San Miguel, sup</w:t>
      </w:r>
      <w:r>
        <w:rPr>
          <w:rFonts w:ascii="Courier New" w:hAnsi="Courier New" w:cs="Courier New"/>
          <w:b w:val="0"/>
          <w:sz w:val="24"/>
        </w:rPr>
        <w:t>o</w:t>
      </w:r>
      <w:r>
        <w:rPr>
          <w:rFonts w:ascii="Courier New" w:hAnsi="Courier New" w:cs="Courier New"/>
          <w:b w:val="0"/>
          <w:sz w:val="24"/>
        </w:rPr>
        <w:t>niendo que éste tenía relación con el comisario Salguero porque ambos e</w:t>
      </w:r>
      <w:r>
        <w:rPr>
          <w:rFonts w:ascii="Courier New" w:hAnsi="Courier New" w:cs="Courier New"/>
          <w:b w:val="0"/>
          <w:sz w:val="24"/>
        </w:rPr>
        <w:t>s</w:t>
      </w:r>
      <w:r>
        <w:rPr>
          <w:rFonts w:ascii="Courier New" w:hAnsi="Courier New" w:cs="Courier New"/>
          <w:b w:val="0"/>
          <w:sz w:val="24"/>
        </w:rPr>
        <w:t>taban en la misma brigada.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que el 14 de julio de 1994 Leal estaba de retén y debía comunicarse permanentemente con la brigada, precisando que el llamado del mencionado coprocesado a la brigada a las 21.55 que surgía de los e</w:t>
      </w:r>
      <w:r>
        <w:rPr>
          <w:rFonts w:ascii="Courier New" w:hAnsi="Courier New" w:cs="Courier New"/>
          <w:b w:val="0"/>
          <w:sz w:val="24"/>
        </w:rPr>
        <w:t>n</w:t>
      </w:r>
      <w:r>
        <w:rPr>
          <w:rFonts w:ascii="Courier New" w:hAnsi="Courier New" w:cs="Courier New"/>
          <w:b w:val="0"/>
          <w:sz w:val="24"/>
        </w:rPr>
        <w:t>trecruzamientos telefónicos debía ser explic</w:t>
      </w:r>
      <w:r>
        <w:rPr>
          <w:rFonts w:ascii="Courier New" w:hAnsi="Courier New" w:cs="Courier New"/>
          <w:b w:val="0"/>
          <w:sz w:val="24"/>
        </w:rPr>
        <w:t>a</w:t>
      </w:r>
      <w:r>
        <w:rPr>
          <w:rFonts w:ascii="Courier New" w:hAnsi="Courier New" w:cs="Courier New"/>
          <w:b w:val="0"/>
          <w:sz w:val="24"/>
        </w:rPr>
        <w:t>do por éste, no habiendo Rago tomado conocimiento de dicha comunic</w:t>
      </w:r>
      <w:r>
        <w:rPr>
          <w:rFonts w:ascii="Courier New" w:hAnsi="Courier New" w:cs="Courier New"/>
          <w:b w:val="0"/>
          <w:sz w:val="24"/>
        </w:rPr>
        <w:t>a</w:t>
      </w:r>
      <w:r>
        <w:rPr>
          <w:rFonts w:ascii="Courier New" w:hAnsi="Courier New" w:cs="Courier New"/>
          <w:b w:val="0"/>
          <w:sz w:val="24"/>
        </w:rPr>
        <w:t>ción.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el domicilio de Telleldín no fue allanado el día 15 porque sólo se contaba con d</w:t>
      </w:r>
      <w:r>
        <w:rPr>
          <w:rFonts w:ascii="Courier New" w:hAnsi="Courier New" w:cs="Courier New"/>
          <w:b w:val="0"/>
          <w:sz w:val="24"/>
        </w:rPr>
        <w:t>i</w:t>
      </w:r>
      <w:r>
        <w:rPr>
          <w:rFonts w:ascii="Courier New" w:hAnsi="Courier New" w:cs="Courier New"/>
          <w:b w:val="0"/>
          <w:sz w:val="24"/>
        </w:rPr>
        <w:t>chos policiales, no habiéndose acreditado la existencia del delito en sí, aclarando el acusado que para la época de los hechos no se realizaban este tipo de pr</w:t>
      </w:r>
      <w:r>
        <w:rPr>
          <w:rFonts w:ascii="Courier New" w:hAnsi="Courier New" w:cs="Courier New"/>
          <w:b w:val="0"/>
          <w:sz w:val="24"/>
        </w:rPr>
        <w:t>o</w:t>
      </w:r>
      <w:r>
        <w:rPr>
          <w:rFonts w:ascii="Courier New" w:hAnsi="Courier New" w:cs="Courier New"/>
          <w:b w:val="0"/>
          <w:sz w:val="24"/>
        </w:rPr>
        <w:t>cedimientos en esas condici</w:t>
      </w:r>
      <w:r>
        <w:rPr>
          <w:rFonts w:ascii="Courier New" w:hAnsi="Courier New" w:cs="Courier New"/>
          <w:b w:val="0"/>
          <w:sz w:val="24"/>
        </w:rPr>
        <w:t>o</w:t>
      </w:r>
      <w:r>
        <w:rPr>
          <w:rFonts w:ascii="Courier New" w:hAnsi="Courier New" w:cs="Courier New"/>
          <w:b w:val="0"/>
          <w:sz w:val="24"/>
        </w:rPr>
        <w:t>nes.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Continuó su relato diciendo que Fo</w:t>
      </w:r>
      <w:r>
        <w:rPr>
          <w:rFonts w:ascii="Courier New" w:hAnsi="Courier New" w:cs="Courier New"/>
          <w:b w:val="0"/>
          <w:sz w:val="24"/>
        </w:rPr>
        <w:t>r</w:t>
      </w:r>
      <w:r>
        <w:rPr>
          <w:rFonts w:ascii="Courier New" w:hAnsi="Courier New" w:cs="Courier New"/>
          <w:b w:val="0"/>
          <w:sz w:val="24"/>
        </w:rPr>
        <w:t>gione ordenó el cese de la vigilancia del domicilio de T</w:t>
      </w:r>
      <w:r>
        <w:rPr>
          <w:rFonts w:ascii="Courier New" w:hAnsi="Courier New" w:cs="Courier New"/>
          <w:b w:val="0"/>
          <w:sz w:val="24"/>
        </w:rPr>
        <w:t>e</w:t>
      </w:r>
      <w:r>
        <w:rPr>
          <w:rFonts w:ascii="Courier New" w:hAnsi="Courier New" w:cs="Courier New"/>
          <w:b w:val="0"/>
          <w:sz w:val="24"/>
        </w:rPr>
        <w:t>lleldín porque no se avanzaba en la investigación, disp</w:t>
      </w:r>
      <w:r>
        <w:rPr>
          <w:rFonts w:ascii="Courier New" w:hAnsi="Courier New" w:cs="Courier New"/>
          <w:b w:val="0"/>
          <w:sz w:val="24"/>
        </w:rPr>
        <w:t>o</w:t>
      </w:r>
      <w:r>
        <w:rPr>
          <w:rFonts w:ascii="Courier New" w:hAnsi="Courier New" w:cs="Courier New"/>
          <w:b w:val="0"/>
          <w:sz w:val="24"/>
        </w:rPr>
        <w:t>niendo también que le dijera a Leal que le ordenara a B</w:t>
      </w:r>
      <w:r>
        <w:rPr>
          <w:rFonts w:ascii="Courier New" w:hAnsi="Courier New" w:cs="Courier New"/>
          <w:b w:val="0"/>
          <w:sz w:val="24"/>
        </w:rPr>
        <w:t>a</w:t>
      </w:r>
      <w:r>
        <w:rPr>
          <w:rFonts w:ascii="Courier New" w:hAnsi="Courier New" w:cs="Courier New"/>
          <w:b w:val="0"/>
          <w:sz w:val="24"/>
        </w:rPr>
        <w:t>reiro continuar informando.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precisó que no había ni</w:t>
      </w:r>
      <w:r>
        <w:rPr>
          <w:rFonts w:ascii="Courier New" w:hAnsi="Courier New" w:cs="Courier New"/>
          <w:b w:val="0"/>
          <w:sz w:val="24"/>
        </w:rPr>
        <w:t>n</w:t>
      </w:r>
      <w:r>
        <w:rPr>
          <w:rFonts w:ascii="Courier New" w:hAnsi="Courier New" w:cs="Courier New"/>
          <w:b w:val="0"/>
          <w:sz w:val="24"/>
        </w:rPr>
        <w:t>gún otro grupo operativo de la brigada trabajando en lo relacionado con T</w:t>
      </w:r>
      <w:r>
        <w:rPr>
          <w:rFonts w:ascii="Courier New" w:hAnsi="Courier New" w:cs="Courier New"/>
          <w:b w:val="0"/>
          <w:sz w:val="24"/>
        </w:rPr>
        <w:t>e</w:t>
      </w:r>
      <w:r>
        <w:rPr>
          <w:rFonts w:ascii="Courier New" w:hAnsi="Courier New" w:cs="Courier New"/>
          <w:b w:val="0"/>
          <w:sz w:val="24"/>
        </w:rPr>
        <w:t>lleldín.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Aclaró que una brigada podía a</w:t>
      </w:r>
      <w:r>
        <w:rPr>
          <w:rFonts w:ascii="Courier New" w:hAnsi="Courier New" w:cs="Courier New"/>
          <w:b w:val="0"/>
          <w:sz w:val="24"/>
        </w:rPr>
        <w:t>c</w:t>
      </w:r>
      <w:r>
        <w:rPr>
          <w:rFonts w:ascii="Courier New" w:hAnsi="Courier New" w:cs="Courier New"/>
          <w:b w:val="0"/>
          <w:sz w:val="24"/>
        </w:rPr>
        <w:t>tuar en otra j</w:t>
      </w:r>
      <w:r>
        <w:rPr>
          <w:rFonts w:ascii="Courier New" w:hAnsi="Courier New" w:cs="Courier New"/>
          <w:b w:val="0"/>
          <w:sz w:val="24"/>
        </w:rPr>
        <w:t>u</w:t>
      </w:r>
      <w:r>
        <w:rPr>
          <w:rFonts w:ascii="Courier New" w:hAnsi="Courier New" w:cs="Courier New"/>
          <w:b w:val="0"/>
          <w:sz w:val="24"/>
        </w:rPr>
        <w:t>risdicción sin pedir autorización.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Dijo que lo que estaba volcado en la declaración de Leal era lo que le refirió en ese mome</w:t>
      </w:r>
      <w:r>
        <w:rPr>
          <w:rFonts w:ascii="Courier New" w:hAnsi="Courier New" w:cs="Courier New"/>
          <w:b w:val="0"/>
          <w:sz w:val="24"/>
        </w:rPr>
        <w:t>n</w:t>
      </w:r>
      <w:r>
        <w:rPr>
          <w:rFonts w:ascii="Courier New" w:hAnsi="Courier New" w:cs="Courier New"/>
          <w:b w:val="0"/>
          <w:sz w:val="24"/>
        </w:rPr>
        <w:t>to.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acusado señaló que no partic</w:t>
      </w:r>
      <w:r>
        <w:rPr>
          <w:rFonts w:ascii="Courier New" w:hAnsi="Courier New" w:cs="Courier New"/>
          <w:b w:val="0"/>
          <w:sz w:val="24"/>
        </w:rPr>
        <w:t>i</w:t>
      </w:r>
      <w:r>
        <w:rPr>
          <w:rFonts w:ascii="Courier New" w:hAnsi="Courier New" w:cs="Courier New"/>
          <w:b w:val="0"/>
          <w:sz w:val="24"/>
        </w:rPr>
        <w:t>pó en actuaciones donde Bottegal o Semorile tuvieran alguna i</w:t>
      </w:r>
      <w:r>
        <w:rPr>
          <w:rFonts w:ascii="Courier New" w:hAnsi="Courier New" w:cs="Courier New"/>
          <w:b w:val="0"/>
          <w:sz w:val="24"/>
        </w:rPr>
        <w:t>n</w:t>
      </w:r>
      <w:r>
        <w:rPr>
          <w:rFonts w:ascii="Courier New" w:hAnsi="Courier New" w:cs="Courier New"/>
          <w:b w:val="0"/>
          <w:sz w:val="24"/>
        </w:rPr>
        <w:t>tervención.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Dijo que en el libro de guardia debía asentarse la hora de ingreso a la dependencia.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que la jurisdicción estaba delimitada para proceder rápidamente, pero no para otro tipo de información.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En un plano que aportó, Rago señaló que cada detenido estaba en su celda y salían para el r</w:t>
      </w:r>
      <w:r>
        <w:rPr>
          <w:rFonts w:ascii="Courier New" w:hAnsi="Courier New" w:cs="Courier New"/>
          <w:b w:val="0"/>
          <w:sz w:val="24"/>
        </w:rPr>
        <w:t>e</w:t>
      </w:r>
      <w:r>
        <w:rPr>
          <w:rFonts w:ascii="Courier New" w:hAnsi="Courier New" w:cs="Courier New"/>
          <w:b w:val="0"/>
          <w:sz w:val="24"/>
        </w:rPr>
        <w:t>creo; agregó que Solari se ofrecía a limpiar, aclarando que como las celdas tenían baño, no era necesario sacar a los detenidos, como se afirmó.</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que los egresos registrados fueron a los juzgados, indicando que Solari continuó sol</w:t>
      </w:r>
      <w:r>
        <w:rPr>
          <w:rFonts w:ascii="Courier New" w:hAnsi="Courier New" w:cs="Courier New"/>
          <w:b w:val="0"/>
          <w:sz w:val="24"/>
        </w:rPr>
        <w:t>i</w:t>
      </w:r>
      <w:r>
        <w:rPr>
          <w:rFonts w:ascii="Courier New" w:hAnsi="Courier New" w:cs="Courier New"/>
          <w:b w:val="0"/>
          <w:sz w:val="24"/>
        </w:rPr>
        <w:t>citando traslados aún después que él se fue de la brigada.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Indicó que Solari inventó la hi</w:t>
      </w:r>
      <w:r>
        <w:rPr>
          <w:rFonts w:ascii="Courier New" w:hAnsi="Courier New" w:cs="Courier New"/>
          <w:b w:val="0"/>
          <w:sz w:val="24"/>
        </w:rPr>
        <w:t>s</w:t>
      </w:r>
      <w:r>
        <w:rPr>
          <w:rFonts w:ascii="Courier New" w:hAnsi="Courier New" w:cs="Courier New"/>
          <w:b w:val="0"/>
          <w:sz w:val="24"/>
        </w:rPr>
        <w:t>toria porque no quería ir a las cárceles de provi</w:t>
      </w:r>
      <w:r>
        <w:rPr>
          <w:rFonts w:ascii="Courier New" w:hAnsi="Courier New" w:cs="Courier New"/>
          <w:b w:val="0"/>
          <w:sz w:val="24"/>
        </w:rPr>
        <w:t>n</w:t>
      </w:r>
      <w:r>
        <w:rPr>
          <w:rFonts w:ascii="Courier New" w:hAnsi="Courier New" w:cs="Courier New"/>
          <w:b w:val="0"/>
          <w:sz w:val="24"/>
        </w:rPr>
        <w:t>cia.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Mencionó la causa nº 28.855 seguida contra Solari y las actuaciones donde constaban las dil</w:t>
      </w:r>
      <w:r>
        <w:rPr>
          <w:rFonts w:ascii="Courier New" w:hAnsi="Courier New" w:cs="Courier New"/>
          <w:b w:val="0"/>
          <w:sz w:val="24"/>
        </w:rPr>
        <w:t>i</w:t>
      </w:r>
      <w:r>
        <w:rPr>
          <w:rFonts w:ascii="Courier New" w:hAnsi="Courier New" w:cs="Courier New"/>
          <w:b w:val="0"/>
          <w:sz w:val="24"/>
        </w:rPr>
        <w:t xml:space="preserve">gencias para que fuera trasladado de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Vicente López evidenciando que no tenía privilegios.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su deseo de que los cuadros que util</w:t>
      </w:r>
      <w:r>
        <w:rPr>
          <w:rFonts w:ascii="Courier New" w:hAnsi="Courier New" w:cs="Courier New"/>
          <w:b w:val="0"/>
          <w:sz w:val="24"/>
        </w:rPr>
        <w:t>i</w:t>
      </w:r>
      <w:r>
        <w:rPr>
          <w:rFonts w:ascii="Courier New" w:hAnsi="Courier New" w:cs="Courier New"/>
          <w:b w:val="0"/>
          <w:sz w:val="24"/>
        </w:rPr>
        <w:t>zó para explicar el tema Solari formaran parte de su declaración i</w:t>
      </w:r>
      <w:r>
        <w:rPr>
          <w:rFonts w:ascii="Courier New" w:hAnsi="Courier New" w:cs="Courier New"/>
          <w:b w:val="0"/>
          <w:sz w:val="24"/>
        </w:rPr>
        <w:t>n</w:t>
      </w:r>
      <w:r>
        <w:rPr>
          <w:rFonts w:ascii="Courier New" w:hAnsi="Courier New" w:cs="Courier New"/>
          <w:b w:val="0"/>
          <w:sz w:val="24"/>
        </w:rPr>
        <w:t>dagatoria.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que no se hizo inspección oc</w:t>
      </w:r>
      <w:r>
        <w:rPr>
          <w:rFonts w:ascii="Courier New" w:hAnsi="Courier New" w:cs="Courier New"/>
          <w:b w:val="0"/>
          <w:sz w:val="24"/>
        </w:rPr>
        <w:t>u</w:t>
      </w:r>
      <w:r>
        <w:rPr>
          <w:rFonts w:ascii="Courier New" w:hAnsi="Courier New" w:cs="Courier New"/>
          <w:b w:val="0"/>
          <w:sz w:val="24"/>
        </w:rPr>
        <w:t>lar, ni croquis, ni se secuestraron los libros que corre</w:t>
      </w:r>
      <w:r>
        <w:rPr>
          <w:rFonts w:ascii="Courier New" w:hAnsi="Courier New" w:cs="Courier New"/>
          <w:b w:val="0"/>
          <w:sz w:val="24"/>
        </w:rPr>
        <w:t>s</w:t>
      </w:r>
      <w:r>
        <w:rPr>
          <w:rFonts w:ascii="Courier New" w:hAnsi="Courier New" w:cs="Courier New"/>
          <w:b w:val="0"/>
          <w:sz w:val="24"/>
        </w:rPr>
        <w:t>pondían en la br</w:t>
      </w:r>
      <w:r>
        <w:rPr>
          <w:rFonts w:ascii="Courier New" w:hAnsi="Courier New" w:cs="Courier New"/>
          <w:b w:val="0"/>
          <w:sz w:val="24"/>
        </w:rPr>
        <w:t>i</w:t>
      </w:r>
      <w:r>
        <w:rPr>
          <w:rFonts w:ascii="Courier New" w:hAnsi="Courier New" w:cs="Courier New"/>
          <w:b w:val="0"/>
          <w:sz w:val="24"/>
        </w:rPr>
        <w:t>gada.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Indicó las distintas dependencias, s</w:t>
      </w:r>
      <w:r>
        <w:rPr>
          <w:rFonts w:ascii="Courier New" w:hAnsi="Courier New" w:cs="Courier New"/>
          <w:b w:val="0"/>
          <w:sz w:val="24"/>
        </w:rPr>
        <w:t>e</w:t>
      </w:r>
      <w:r>
        <w:rPr>
          <w:rFonts w:ascii="Courier New" w:hAnsi="Courier New" w:cs="Courier New"/>
          <w:b w:val="0"/>
          <w:sz w:val="24"/>
        </w:rPr>
        <w:t>ñaló el lugar donde estaban ubicadas las c</w:t>
      </w:r>
      <w:r>
        <w:rPr>
          <w:rFonts w:ascii="Courier New" w:hAnsi="Courier New" w:cs="Courier New"/>
          <w:b w:val="0"/>
          <w:sz w:val="24"/>
        </w:rPr>
        <w:t>á</w:t>
      </w:r>
      <w:r>
        <w:rPr>
          <w:rFonts w:ascii="Courier New" w:hAnsi="Courier New" w:cs="Courier New"/>
          <w:b w:val="0"/>
          <w:sz w:val="24"/>
        </w:rPr>
        <w:t>maras, de modo que se veía perm</w:t>
      </w:r>
      <w:r>
        <w:rPr>
          <w:rFonts w:ascii="Courier New" w:hAnsi="Courier New" w:cs="Courier New"/>
          <w:b w:val="0"/>
          <w:sz w:val="24"/>
        </w:rPr>
        <w:t>a</w:t>
      </w:r>
      <w:r>
        <w:rPr>
          <w:rFonts w:ascii="Courier New" w:hAnsi="Courier New" w:cs="Courier New"/>
          <w:b w:val="0"/>
          <w:sz w:val="24"/>
        </w:rPr>
        <w:t>nentemente lo que ocurría en la brigada; señaló que el sector de los calabozos era todo cerrado, exhibiendo posteriormente fotografías de diversas depe</w:t>
      </w:r>
      <w:r>
        <w:rPr>
          <w:rFonts w:ascii="Courier New" w:hAnsi="Courier New" w:cs="Courier New"/>
          <w:b w:val="0"/>
          <w:sz w:val="24"/>
        </w:rPr>
        <w:t>n</w:t>
      </w:r>
      <w:r>
        <w:rPr>
          <w:rFonts w:ascii="Courier New" w:hAnsi="Courier New" w:cs="Courier New"/>
          <w:b w:val="0"/>
          <w:sz w:val="24"/>
        </w:rPr>
        <w:t>dencias de la brigada. Relató que los oficiales Marcel y Ramón estaban con los detenidos permanentemente, enco</w:t>
      </w:r>
      <w:r>
        <w:rPr>
          <w:rFonts w:ascii="Courier New" w:hAnsi="Courier New" w:cs="Courier New"/>
          <w:b w:val="0"/>
          <w:sz w:val="24"/>
        </w:rPr>
        <w:t>n</w:t>
      </w:r>
      <w:r>
        <w:rPr>
          <w:rFonts w:ascii="Courier New" w:hAnsi="Courier New" w:cs="Courier New"/>
          <w:b w:val="0"/>
          <w:sz w:val="24"/>
        </w:rPr>
        <w:t>trándose en una oficina para su co</w:t>
      </w:r>
      <w:r>
        <w:rPr>
          <w:rFonts w:ascii="Courier New" w:hAnsi="Courier New" w:cs="Courier New"/>
          <w:b w:val="0"/>
          <w:sz w:val="24"/>
        </w:rPr>
        <w:t>n</w:t>
      </w:r>
      <w:r>
        <w:rPr>
          <w:rFonts w:ascii="Courier New" w:hAnsi="Courier New" w:cs="Courier New"/>
          <w:b w:val="0"/>
          <w:sz w:val="24"/>
        </w:rPr>
        <w:t>trol.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Mencionó la existencia de un legajo con todos los antecedentes de los detenidos, el cual no fue secuestrado. Mencionó la existencia de un reglamento normal para éstos y uno especial confeccionado por Forgi</w:t>
      </w:r>
      <w:r>
        <w:rPr>
          <w:rFonts w:ascii="Courier New" w:hAnsi="Courier New" w:cs="Courier New"/>
          <w:b w:val="0"/>
          <w:sz w:val="24"/>
        </w:rPr>
        <w:t>o</w:t>
      </w:r>
      <w:r>
        <w:rPr>
          <w:rFonts w:ascii="Courier New" w:hAnsi="Courier New" w:cs="Courier New"/>
          <w:b w:val="0"/>
          <w:sz w:val="24"/>
        </w:rPr>
        <w:t>ne.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precisó que no le constaba que Ribelli se hubiese entrevistado con Solari, no teniendo conocimiento de entrevistas de deten</w:t>
      </w:r>
      <w:r>
        <w:rPr>
          <w:rFonts w:ascii="Courier New" w:hAnsi="Courier New" w:cs="Courier New"/>
          <w:b w:val="0"/>
          <w:sz w:val="24"/>
        </w:rPr>
        <w:t>i</w:t>
      </w:r>
      <w:r>
        <w:rPr>
          <w:rFonts w:ascii="Courier New" w:hAnsi="Courier New" w:cs="Courier New"/>
          <w:b w:val="0"/>
          <w:sz w:val="24"/>
        </w:rPr>
        <w:t>dos con policías.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no conocer a Virginia M</w:t>
      </w:r>
      <w:r>
        <w:rPr>
          <w:rFonts w:ascii="Courier New" w:hAnsi="Courier New" w:cs="Courier New"/>
          <w:b w:val="0"/>
          <w:sz w:val="24"/>
        </w:rPr>
        <w:t>o</w:t>
      </w:r>
      <w:r>
        <w:rPr>
          <w:rFonts w:ascii="Courier New" w:hAnsi="Courier New" w:cs="Courier New"/>
          <w:b w:val="0"/>
          <w:sz w:val="24"/>
        </w:rPr>
        <w:t>rri, sabiendo sólo por la causa que es familiar de B</w:t>
      </w:r>
      <w:r>
        <w:rPr>
          <w:rFonts w:ascii="Courier New" w:hAnsi="Courier New" w:cs="Courier New"/>
          <w:b w:val="0"/>
          <w:sz w:val="24"/>
        </w:rPr>
        <w:t>a</w:t>
      </w:r>
      <w:r>
        <w:rPr>
          <w:rFonts w:ascii="Courier New" w:hAnsi="Courier New" w:cs="Courier New"/>
          <w:b w:val="0"/>
          <w:sz w:val="24"/>
        </w:rPr>
        <w:t>reiro.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 xml:space="preserve">Indicó que los presos de </w:t>
      </w:r>
      <w:smartTag w:uri="urn:schemas-microsoft-com:office:smarttags" w:element="PersonName">
        <w:smartTagPr>
          <w:attr w:name="ProductID" w:val="la Brigada"/>
        </w:smartTagPr>
        <w:r>
          <w:rPr>
            <w:rFonts w:ascii="Courier New" w:hAnsi="Courier New" w:cs="Courier New"/>
            <w:b w:val="0"/>
            <w:sz w:val="24"/>
          </w:rPr>
          <w:t>la Br</w:t>
        </w:r>
        <w:r>
          <w:rPr>
            <w:rFonts w:ascii="Courier New" w:hAnsi="Courier New" w:cs="Courier New"/>
            <w:b w:val="0"/>
            <w:sz w:val="24"/>
          </w:rPr>
          <w:t>i</w:t>
        </w:r>
        <w:r>
          <w:rPr>
            <w:rFonts w:ascii="Courier New" w:hAnsi="Courier New" w:cs="Courier New"/>
            <w:b w:val="0"/>
            <w:sz w:val="24"/>
          </w:rPr>
          <w:t>gada</w:t>
        </w:r>
      </w:smartTag>
      <w:r>
        <w:rPr>
          <w:rFonts w:ascii="Courier New" w:hAnsi="Courier New" w:cs="Courier New"/>
          <w:b w:val="0"/>
          <w:sz w:val="24"/>
        </w:rPr>
        <w:t xml:space="preserve"> de Tigre se recibían automáticamente en la de Vicente López porque en aquélla no había calabozos habilitados.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que en la práctica no se com</w:t>
      </w:r>
      <w:r>
        <w:rPr>
          <w:rFonts w:ascii="Courier New" w:hAnsi="Courier New" w:cs="Courier New"/>
          <w:b w:val="0"/>
          <w:sz w:val="24"/>
        </w:rPr>
        <w:t>u</w:t>
      </w:r>
      <w:r>
        <w:rPr>
          <w:rFonts w:ascii="Courier New" w:hAnsi="Courier New" w:cs="Courier New"/>
          <w:b w:val="0"/>
          <w:sz w:val="24"/>
        </w:rPr>
        <w:t>nicaba cuando una brigada realizaba un procedimiento en otra jurisdicción, no obstante el reglamento disp</w:t>
      </w:r>
      <w:r>
        <w:rPr>
          <w:rFonts w:ascii="Courier New" w:hAnsi="Courier New" w:cs="Courier New"/>
          <w:b w:val="0"/>
          <w:sz w:val="24"/>
        </w:rPr>
        <w:t>o</w:t>
      </w:r>
      <w:r>
        <w:rPr>
          <w:rFonts w:ascii="Courier New" w:hAnsi="Courier New" w:cs="Courier New"/>
          <w:b w:val="0"/>
          <w:sz w:val="24"/>
        </w:rPr>
        <w:t>nía que había que anoticiar, siendo el jefe quien debía hace</w:t>
      </w:r>
      <w:r>
        <w:rPr>
          <w:rFonts w:ascii="Courier New" w:hAnsi="Courier New" w:cs="Courier New"/>
          <w:b w:val="0"/>
          <w:sz w:val="24"/>
        </w:rPr>
        <w:t>r</w:t>
      </w:r>
      <w:r>
        <w:rPr>
          <w:rFonts w:ascii="Courier New" w:hAnsi="Courier New" w:cs="Courier New"/>
          <w:b w:val="0"/>
          <w:sz w:val="24"/>
        </w:rPr>
        <w:t>lo.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Continuó su relato manifestando que luego de la fuga de Telleldín el día 14, García perm</w:t>
      </w:r>
      <w:r>
        <w:rPr>
          <w:rFonts w:ascii="Courier New" w:hAnsi="Courier New" w:cs="Courier New"/>
          <w:b w:val="0"/>
          <w:sz w:val="24"/>
        </w:rPr>
        <w:t>a</w:t>
      </w:r>
      <w:r>
        <w:rPr>
          <w:rFonts w:ascii="Courier New" w:hAnsi="Courier New" w:cs="Courier New"/>
          <w:b w:val="0"/>
          <w:sz w:val="24"/>
        </w:rPr>
        <w:t>neció en el lugar, quien, a su entender, se comunicaba con el jefe operativo.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era lógico que Leal se c</w:t>
      </w:r>
      <w:r>
        <w:rPr>
          <w:rFonts w:ascii="Courier New" w:hAnsi="Courier New" w:cs="Courier New"/>
          <w:b w:val="0"/>
          <w:sz w:val="24"/>
        </w:rPr>
        <w:t>o</w:t>
      </w:r>
      <w:r>
        <w:rPr>
          <w:rFonts w:ascii="Courier New" w:hAnsi="Courier New" w:cs="Courier New"/>
          <w:b w:val="0"/>
          <w:sz w:val="24"/>
        </w:rPr>
        <w:t>municara con Bareiro, debido a las tareas que realiz</w:t>
      </w:r>
      <w:r>
        <w:rPr>
          <w:rFonts w:ascii="Courier New" w:hAnsi="Courier New" w:cs="Courier New"/>
          <w:b w:val="0"/>
          <w:sz w:val="24"/>
        </w:rPr>
        <w:t>a</w:t>
      </w:r>
      <w:r>
        <w:rPr>
          <w:rFonts w:ascii="Courier New" w:hAnsi="Courier New" w:cs="Courier New"/>
          <w:b w:val="0"/>
          <w:sz w:val="24"/>
        </w:rPr>
        <w:t>ba.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Precisó que las tareas de intelige</w:t>
      </w:r>
      <w:r>
        <w:rPr>
          <w:rFonts w:ascii="Courier New" w:hAnsi="Courier New" w:cs="Courier New"/>
          <w:b w:val="0"/>
          <w:sz w:val="24"/>
        </w:rPr>
        <w:t>n</w:t>
      </w:r>
      <w:r>
        <w:rPr>
          <w:rFonts w:ascii="Courier New" w:hAnsi="Courier New" w:cs="Courier New"/>
          <w:b w:val="0"/>
          <w:sz w:val="24"/>
        </w:rPr>
        <w:t>cia luego de la huida fueron encomendadas a Bareiro, quien d</w:t>
      </w:r>
      <w:r>
        <w:rPr>
          <w:rFonts w:ascii="Courier New" w:hAnsi="Courier New" w:cs="Courier New"/>
          <w:b w:val="0"/>
          <w:sz w:val="24"/>
        </w:rPr>
        <w:t>e</w:t>
      </w:r>
      <w:r>
        <w:rPr>
          <w:rFonts w:ascii="Courier New" w:hAnsi="Courier New" w:cs="Courier New"/>
          <w:b w:val="0"/>
          <w:sz w:val="24"/>
        </w:rPr>
        <w:t>bería haber informado del regreso de Telleldín a su dom</w:t>
      </w:r>
      <w:r>
        <w:rPr>
          <w:rFonts w:ascii="Courier New" w:hAnsi="Courier New" w:cs="Courier New"/>
          <w:b w:val="0"/>
          <w:sz w:val="24"/>
        </w:rPr>
        <w:t>i</w:t>
      </w:r>
      <w:r>
        <w:rPr>
          <w:rFonts w:ascii="Courier New" w:hAnsi="Courier New" w:cs="Courier New"/>
          <w:b w:val="0"/>
          <w:sz w:val="24"/>
        </w:rPr>
        <w:t>cilio, aclarando que en ese momento no le llamó la ate</w:t>
      </w:r>
      <w:r>
        <w:rPr>
          <w:rFonts w:ascii="Courier New" w:hAnsi="Courier New" w:cs="Courier New"/>
          <w:b w:val="0"/>
          <w:sz w:val="24"/>
        </w:rPr>
        <w:t>n</w:t>
      </w:r>
      <w:r>
        <w:rPr>
          <w:rFonts w:ascii="Courier New" w:hAnsi="Courier New" w:cs="Courier New"/>
          <w:b w:val="0"/>
          <w:sz w:val="24"/>
        </w:rPr>
        <w:t>ción que no se comunicara.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Indicó que luego del 14 no reco</w:t>
      </w:r>
      <w:r>
        <w:rPr>
          <w:rFonts w:ascii="Courier New" w:hAnsi="Courier New" w:cs="Courier New"/>
          <w:b w:val="0"/>
          <w:sz w:val="24"/>
        </w:rPr>
        <w:t>r</w:t>
      </w:r>
      <w:r>
        <w:rPr>
          <w:rFonts w:ascii="Courier New" w:hAnsi="Courier New" w:cs="Courier New"/>
          <w:b w:val="0"/>
          <w:sz w:val="24"/>
        </w:rPr>
        <w:t>dó ver a Bareiro en la dependencia.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En otro orden de cosas, manifestó que no se le informó sobre la presencia de un automóvil Fiat 128.</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cuando regresó de su lice</w:t>
      </w:r>
      <w:r>
        <w:rPr>
          <w:rFonts w:ascii="Courier New" w:hAnsi="Courier New" w:cs="Courier New"/>
          <w:b w:val="0"/>
          <w:sz w:val="24"/>
        </w:rPr>
        <w:t>n</w:t>
      </w:r>
      <w:r>
        <w:rPr>
          <w:rFonts w:ascii="Courier New" w:hAnsi="Courier New" w:cs="Courier New"/>
          <w:b w:val="0"/>
          <w:sz w:val="24"/>
        </w:rPr>
        <w:t>cia estaban reunidos el jefe de la brigada y el segundo jefe Bareiro y Barreda, haciendo un informe para la jef</w:t>
      </w:r>
      <w:r>
        <w:rPr>
          <w:rFonts w:ascii="Courier New" w:hAnsi="Courier New" w:cs="Courier New"/>
          <w:b w:val="0"/>
          <w:sz w:val="24"/>
        </w:rPr>
        <w:t>a</w:t>
      </w:r>
      <w:r>
        <w:rPr>
          <w:rFonts w:ascii="Courier New" w:hAnsi="Courier New" w:cs="Courier New"/>
          <w:b w:val="0"/>
          <w:sz w:val="24"/>
        </w:rPr>
        <w:t>tura acerca de la presencia de ellos en el domicilio de Telleldín, indicando que esto también lo declararon los oficiales Sánchez y Balbi.</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 xml:space="preserve">Refirió que Bareiro iba a cobrar a la brigada y se sabía que trabajaba para </w:t>
      </w:r>
      <w:smartTag w:uri="urn:schemas-microsoft-com:office:smarttags" w:element="PersonName">
        <w:smartTagPr>
          <w:attr w:name="ProductID" w:val="la S.I"/>
        </w:smartTagPr>
        <w:r>
          <w:rPr>
            <w:rFonts w:ascii="Courier New" w:hAnsi="Courier New" w:cs="Courier New"/>
            <w:b w:val="0"/>
            <w:sz w:val="24"/>
          </w:rPr>
          <w:t>la S.I</w:t>
        </w:r>
      </w:smartTag>
      <w:r>
        <w:rPr>
          <w:rFonts w:ascii="Courier New" w:hAnsi="Courier New" w:cs="Courier New"/>
          <w:b w:val="0"/>
          <w:sz w:val="24"/>
        </w:rPr>
        <w:t>.D.E., reco</w:t>
      </w:r>
      <w:r>
        <w:rPr>
          <w:rFonts w:ascii="Courier New" w:hAnsi="Courier New" w:cs="Courier New"/>
          <w:b w:val="0"/>
          <w:sz w:val="24"/>
        </w:rPr>
        <w:t>r</w:t>
      </w:r>
      <w:r>
        <w:rPr>
          <w:rFonts w:ascii="Courier New" w:hAnsi="Courier New" w:cs="Courier New"/>
          <w:b w:val="0"/>
          <w:sz w:val="24"/>
        </w:rPr>
        <w:t>dando que habló con él y le dijo que estaba trab</w:t>
      </w:r>
      <w:r>
        <w:rPr>
          <w:rFonts w:ascii="Courier New" w:hAnsi="Courier New" w:cs="Courier New"/>
          <w:b w:val="0"/>
          <w:sz w:val="24"/>
        </w:rPr>
        <w:t>a</w:t>
      </w:r>
      <w:r>
        <w:rPr>
          <w:rFonts w:ascii="Courier New" w:hAnsi="Courier New" w:cs="Courier New"/>
          <w:b w:val="0"/>
          <w:sz w:val="24"/>
        </w:rPr>
        <w:t>jando en un asunto importante, que no le podía dar más datos.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Por último, indicó que la brigada co</w:t>
      </w:r>
      <w:r>
        <w:rPr>
          <w:rFonts w:ascii="Courier New" w:hAnsi="Courier New" w:cs="Courier New"/>
          <w:b w:val="0"/>
          <w:sz w:val="24"/>
        </w:rPr>
        <w:t>n</w:t>
      </w:r>
      <w:r>
        <w:rPr>
          <w:rFonts w:ascii="Courier New" w:hAnsi="Courier New" w:cs="Courier New"/>
          <w:b w:val="0"/>
          <w:sz w:val="24"/>
        </w:rPr>
        <w:t>taba con dos móviles no identificables marca Monza y que Leal utilizaba un automotor Galaxy color azul.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17 de septiembre de 2002, Rago a</w:t>
      </w:r>
      <w:r>
        <w:rPr>
          <w:rFonts w:ascii="Courier New" w:hAnsi="Courier New" w:cs="Courier New"/>
          <w:b w:val="0"/>
          <w:sz w:val="24"/>
        </w:rPr>
        <w:t>m</w:t>
      </w:r>
      <w:r>
        <w:rPr>
          <w:rFonts w:ascii="Courier New" w:hAnsi="Courier New" w:cs="Courier New"/>
          <w:b w:val="0"/>
          <w:sz w:val="24"/>
        </w:rPr>
        <w:t>plió nuevamente su declaración indagatoria en o</w:t>
      </w:r>
      <w:r>
        <w:rPr>
          <w:rFonts w:ascii="Courier New" w:hAnsi="Courier New" w:cs="Courier New"/>
          <w:b w:val="0"/>
          <w:sz w:val="24"/>
        </w:rPr>
        <w:t>r</w:t>
      </w:r>
      <w:r>
        <w:rPr>
          <w:rFonts w:ascii="Courier New" w:hAnsi="Courier New" w:cs="Courier New"/>
          <w:b w:val="0"/>
          <w:sz w:val="24"/>
        </w:rPr>
        <w:t>den a los hechos contemplados en los autos nº 501/01.</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que pretendía demostrar ta</w:t>
      </w:r>
      <w:r>
        <w:rPr>
          <w:rFonts w:ascii="Courier New" w:hAnsi="Courier New" w:cs="Courier New"/>
          <w:b w:val="0"/>
          <w:sz w:val="24"/>
        </w:rPr>
        <w:t>n</w:t>
      </w:r>
      <w:r>
        <w:rPr>
          <w:rFonts w:ascii="Courier New" w:hAnsi="Courier New" w:cs="Courier New"/>
          <w:b w:val="0"/>
          <w:sz w:val="24"/>
        </w:rPr>
        <w:t>to su inocencia respecto de todos los delitos que le fu</w:t>
      </w:r>
      <w:r>
        <w:rPr>
          <w:rFonts w:ascii="Courier New" w:hAnsi="Courier New" w:cs="Courier New"/>
          <w:b w:val="0"/>
          <w:sz w:val="24"/>
        </w:rPr>
        <w:t>e</w:t>
      </w:r>
      <w:r>
        <w:rPr>
          <w:rFonts w:ascii="Courier New" w:hAnsi="Courier New" w:cs="Courier New"/>
          <w:b w:val="0"/>
          <w:sz w:val="24"/>
        </w:rPr>
        <w:t>ran imputados, como la parcialidad de los fiscales al ev</w:t>
      </w:r>
      <w:r>
        <w:rPr>
          <w:rFonts w:ascii="Courier New" w:hAnsi="Courier New" w:cs="Courier New"/>
          <w:b w:val="0"/>
          <w:sz w:val="24"/>
        </w:rPr>
        <w:t>a</w:t>
      </w:r>
      <w:r>
        <w:rPr>
          <w:rFonts w:ascii="Courier New" w:hAnsi="Courier New" w:cs="Courier New"/>
          <w:b w:val="0"/>
          <w:sz w:val="24"/>
        </w:rPr>
        <w:t>luar las distintas pruebas en el requerimiento de elev</w:t>
      </w:r>
      <w:r>
        <w:rPr>
          <w:rFonts w:ascii="Courier New" w:hAnsi="Courier New" w:cs="Courier New"/>
          <w:b w:val="0"/>
          <w:sz w:val="24"/>
        </w:rPr>
        <w:t>a</w:t>
      </w:r>
      <w:r>
        <w:rPr>
          <w:rFonts w:ascii="Courier New" w:hAnsi="Courier New" w:cs="Courier New"/>
          <w:b w:val="0"/>
          <w:sz w:val="24"/>
        </w:rPr>
        <w:t>ción a juicio de dicha causa.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como se trataba de una sí</w:t>
      </w:r>
      <w:r>
        <w:rPr>
          <w:rFonts w:ascii="Courier New" w:hAnsi="Courier New" w:cs="Courier New"/>
          <w:b w:val="0"/>
          <w:sz w:val="24"/>
        </w:rPr>
        <w:t>n</w:t>
      </w:r>
      <w:r>
        <w:rPr>
          <w:rFonts w:ascii="Courier New" w:hAnsi="Courier New" w:cs="Courier New"/>
          <w:b w:val="0"/>
          <w:sz w:val="24"/>
        </w:rPr>
        <w:t>tesis del requerimiento fiscal del expediente nº 487/00, ratificaba sus anteriores declar</w:t>
      </w:r>
      <w:r>
        <w:rPr>
          <w:rFonts w:ascii="Courier New" w:hAnsi="Courier New" w:cs="Courier New"/>
          <w:b w:val="0"/>
          <w:sz w:val="24"/>
        </w:rPr>
        <w:t>a</w:t>
      </w:r>
      <w:r>
        <w:rPr>
          <w:rFonts w:ascii="Courier New" w:hAnsi="Courier New" w:cs="Courier New"/>
          <w:b w:val="0"/>
          <w:sz w:val="24"/>
        </w:rPr>
        <w:t>ciones.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Negó que una comisión integrada por Leal, Lasala y García se hubiera constituido en el domic</w:t>
      </w:r>
      <w:r>
        <w:rPr>
          <w:rFonts w:ascii="Courier New" w:hAnsi="Courier New" w:cs="Courier New"/>
          <w:b w:val="0"/>
          <w:sz w:val="24"/>
        </w:rPr>
        <w:t>i</w:t>
      </w:r>
      <w:r>
        <w:rPr>
          <w:rFonts w:ascii="Courier New" w:hAnsi="Courier New" w:cs="Courier New"/>
          <w:b w:val="0"/>
          <w:sz w:val="24"/>
        </w:rPr>
        <w:t>lio de Telleldín con el objeto de retenerlo y obl</w:t>
      </w:r>
      <w:r>
        <w:rPr>
          <w:rFonts w:ascii="Courier New" w:hAnsi="Courier New" w:cs="Courier New"/>
          <w:b w:val="0"/>
          <w:sz w:val="24"/>
        </w:rPr>
        <w:t>i</w:t>
      </w:r>
      <w:r>
        <w:rPr>
          <w:rFonts w:ascii="Courier New" w:hAnsi="Courier New" w:cs="Courier New"/>
          <w:b w:val="0"/>
          <w:sz w:val="24"/>
        </w:rPr>
        <w:t>garlo a saldar una deuda pendiente conforme sostuviera la acus</w:t>
      </w:r>
      <w:r>
        <w:rPr>
          <w:rFonts w:ascii="Courier New" w:hAnsi="Courier New" w:cs="Courier New"/>
          <w:b w:val="0"/>
          <w:sz w:val="24"/>
        </w:rPr>
        <w:t>a</w:t>
      </w:r>
      <w:r>
        <w:rPr>
          <w:rFonts w:ascii="Courier New" w:hAnsi="Courier New" w:cs="Courier New"/>
          <w:b w:val="0"/>
          <w:sz w:val="24"/>
        </w:rPr>
        <w:t>ción fiscal.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Apuntó al respecto que los represe</w:t>
      </w:r>
      <w:r>
        <w:rPr>
          <w:rFonts w:ascii="Courier New" w:hAnsi="Courier New" w:cs="Courier New"/>
          <w:b w:val="0"/>
          <w:sz w:val="24"/>
        </w:rPr>
        <w:t>n</w:t>
      </w:r>
      <w:r>
        <w:rPr>
          <w:rFonts w:ascii="Courier New" w:hAnsi="Courier New" w:cs="Courier New"/>
          <w:b w:val="0"/>
          <w:sz w:val="24"/>
        </w:rPr>
        <w:t>tantes del Ministerio Público Fiscal solamente se bas</w:t>
      </w:r>
      <w:r>
        <w:rPr>
          <w:rFonts w:ascii="Courier New" w:hAnsi="Courier New" w:cs="Courier New"/>
          <w:b w:val="0"/>
          <w:sz w:val="24"/>
        </w:rPr>
        <w:t>a</w:t>
      </w:r>
      <w:r>
        <w:rPr>
          <w:rFonts w:ascii="Courier New" w:hAnsi="Courier New" w:cs="Courier New"/>
          <w:b w:val="0"/>
          <w:sz w:val="24"/>
        </w:rPr>
        <w:t>ban en los dichos de Telleldín, pero que no existía en la ca</w:t>
      </w:r>
      <w:r>
        <w:rPr>
          <w:rFonts w:ascii="Courier New" w:hAnsi="Courier New" w:cs="Courier New"/>
          <w:b w:val="0"/>
          <w:sz w:val="24"/>
        </w:rPr>
        <w:t>u</w:t>
      </w:r>
      <w:r>
        <w:rPr>
          <w:rFonts w:ascii="Courier New" w:hAnsi="Courier New" w:cs="Courier New"/>
          <w:b w:val="0"/>
          <w:sz w:val="24"/>
        </w:rPr>
        <w:t>sa ningún elemento adicional que avalara dicha afirmación sino, por el contrario, en el legajo de instrucción supl</w:t>
      </w:r>
      <w:r>
        <w:rPr>
          <w:rFonts w:ascii="Courier New" w:hAnsi="Courier New" w:cs="Courier New"/>
          <w:b w:val="0"/>
          <w:sz w:val="24"/>
        </w:rPr>
        <w:t>e</w:t>
      </w:r>
      <w:r>
        <w:rPr>
          <w:rFonts w:ascii="Courier New" w:hAnsi="Courier New" w:cs="Courier New"/>
          <w:b w:val="0"/>
          <w:sz w:val="24"/>
        </w:rPr>
        <w:t>mentaria se acred</w:t>
      </w:r>
      <w:r>
        <w:rPr>
          <w:rFonts w:ascii="Courier New" w:hAnsi="Courier New" w:cs="Courier New"/>
          <w:b w:val="0"/>
          <w:sz w:val="24"/>
        </w:rPr>
        <w:t>i</w:t>
      </w:r>
      <w:r>
        <w:rPr>
          <w:rFonts w:ascii="Courier New" w:hAnsi="Courier New" w:cs="Courier New"/>
          <w:b w:val="0"/>
          <w:sz w:val="24"/>
        </w:rPr>
        <w:t xml:space="preserve">tó que no había ninguna relación con el personal de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Lanús y que Leal no tenía ningún motivo previo para concurrir a la finca en cuestión con el fin de saldar una deuda.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Enfatizó que Leal cumplimentó sus ó</w:t>
      </w:r>
      <w:r>
        <w:rPr>
          <w:rFonts w:ascii="Courier New" w:hAnsi="Courier New" w:cs="Courier New"/>
          <w:b w:val="0"/>
          <w:sz w:val="24"/>
        </w:rPr>
        <w:t>r</w:t>
      </w:r>
      <w:r>
        <w:rPr>
          <w:rFonts w:ascii="Courier New" w:hAnsi="Courier New" w:cs="Courier New"/>
          <w:b w:val="0"/>
          <w:sz w:val="24"/>
        </w:rPr>
        <w:t>denes en virtud de lo dispuesto por el jefe de la brig</w:t>
      </w:r>
      <w:r>
        <w:rPr>
          <w:rFonts w:ascii="Courier New" w:hAnsi="Courier New" w:cs="Courier New"/>
          <w:b w:val="0"/>
          <w:sz w:val="24"/>
        </w:rPr>
        <w:t>a</w:t>
      </w:r>
      <w:r>
        <w:rPr>
          <w:rFonts w:ascii="Courier New" w:hAnsi="Courier New" w:cs="Courier New"/>
          <w:b w:val="0"/>
          <w:sz w:val="24"/>
        </w:rPr>
        <w:t>da comisario inspector Forgione, agregando Rago que doc</w:t>
      </w:r>
      <w:r>
        <w:rPr>
          <w:rFonts w:ascii="Courier New" w:hAnsi="Courier New" w:cs="Courier New"/>
          <w:b w:val="0"/>
          <w:sz w:val="24"/>
        </w:rPr>
        <w:t>u</w:t>
      </w:r>
      <w:r>
        <w:rPr>
          <w:rFonts w:ascii="Courier New" w:hAnsi="Courier New" w:cs="Courier New"/>
          <w:b w:val="0"/>
          <w:sz w:val="24"/>
        </w:rPr>
        <w:t>mentó en una declaración todo lo actuado en ese sentido.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Negó que el objeto de la persecución haya sido lograr la detención de Telleldín conforme sost</w:t>
      </w:r>
      <w:r>
        <w:rPr>
          <w:rFonts w:ascii="Courier New" w:hAnsi="Courier New" w:cs="Courier New"/>
          <w:b w:val="0"/>
          <w:sz w:val="24"/>
        </w:rPr>
        <w:t>u</w:t>
      </w:r>
      <w:r>
        <w:rPr>
          <w:rFonts w:ascii="Courier New" w:hAnsi="Courier New" w:cs="Courier New"/>
          <w:b w:val="0"/>
          <w:sz w:val="24"/>
        </w:rPr>
        <w:t>viera la fiscalía toda vez que de antem</w:t>
      </w:r>
      <w:r>
        <w:rPr>
          <w:rFonts w:ascii="Courier New" w:hAnsi="Courier New" w:cs="Courier New"/>
          <w:b w:val="0"/>
          <w:sz w:val="24"/>
        </w:rPr>
        <w:t>a</w:t>
      </w:r>
      <w:r>
        <w:rPr>
          <w:rFonts w:ascii="Courier New" w:hAnsi="Courier New" w:cs="Courier New"/>
          <w:b w:val="0"/>
          <w:sz w:val="24"/>
        </w:rPr>
        <w:t>no no se sabía ni que éste se fugaría, ni que lo haría con su señora.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Con relación a lo sostenido por la acusación en el sentido que Pérez fue secuestrado extors</w:t>
      </w:r>
      <w:r>
        <w:rPr>
          <w:rFonts w:ascii="Courier New" w:hAnsi="Courier New" w:cs="Courier New"/>
          <w:b w:val="0"/>
          <w:sz w:val="24"/>
        </w:rPr>
        <w:t>i</w:t>
      </w:r>
      <w:r>
        <w:rPr>
          <w:rFonts w:ascii="Courier New" w:hAnsi="Courier New" w:cs="Courier New"/>
          <w:b w:val="0"/>
          <w:sz w:val="24"/>
        </w:rPr>
        <w:t>vamente para lograr la entrega del crucero de Telleldín, explicó que dicha privación de libertad se m</w:t>
      </w:r>
      <w:r>
        <w:rPr>
          <w:rFonts w:ascii="Courier New" w:hAnsi="Courier New" w:cs="Courier New"/>
          <w:b w:val="0"/>
          <w:sz w:val="24"/>
        </w:rPr>
        <w:t>a</w:t>
      </w:r>
      <w:r>
        <w:rPr>
          <w:rFonts w:ascii="Courier New" w:hAnsi="Courier New" w:cs="Courier New"/>
          <w:b w:val="0"/>
          <w:sz w:val="24"/>
        </w:rPr>
        <w:t>terializó por averiguación de antecedentes de acuerdo al art. 13 de la ley 9550, siendo comunicada como era de práctica al juez en lo criminal de turno del Departamento Judicial de San Martín y registrada en los l</w:t>
      </w:r>
      <w:r>
        <w:rPr>
          <w:rFonts w:ascii="Courier New" w:hAnsi="Courier New" w:cs="Courier New"/>
          <w:b w:val="0"/>
          <w:sz w:val="24"/>
        </w:rPr>
        <w:t>i</w:t>
      </w:r>
      <w:r>
        <w:rPr>
          <w:rFonts w:ascii="Courier New" w:hAnsi="Courier New" w:cs="Courier New"/>
          <w:b w:val="0"/>
          <w:sz w:val="24"/>
        </w:rPr>
        <w:t xml:space="preserve">bros habilitados al respecto en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Investigaciones, es decir, el libro de sumarios y el libro de regi</w:t>
      </w:r>
      <w:r>
        <w:rPr>
          <w:rFonts w:ascii="Courier New" w:hAnsi="Courier New" w:cs="Courier New"/>
          <w:b w:val="0"/>
          <w:sz w:val="24"/>
        </w:rPr>
        <w:t>s</w:t>
      </w:r>
      <w:r>
        <w:rPr>
          <w:rFonts w:ascii="Courier New" w:hAnsi="Courier New" w:cs="Courier New"/>
          <w:b w:val="0"/>
          <w:sz w:val="24"/>
        </w:rPr>
        <w:t>tro de detenidos.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Indicó, además, que era ambigua la imputación de la fiscalía que relacionara dicha detención con la entrega del crucero, toda vez que no se individu</w:t>
      </w:r>
      <w:r>
        <w:rPr>
          <w:rFonts w:ascii="Courier New" w:hAnsi="Courier New" w:cs="Courier New"/>
          <w:b w:val="0"/>
          <w:sz w:val="24"/>
        </w:rPr>
        <w:t>a</w:t>
      </w:r>
      <w:r>
        <w:rPr>
          <w:rFonts w:ascii="Courier New" w:hAnsi="Courier New" w:cs="Courier New"/>
          <w:b w:val="0"/>
          <w:sz w:val="24"/>
        </w:rPr>
        <w:t>lizaba a persona alguna, señalando el declarante al re</w:t>
      </w:r>
      <w:r>
        <w:rPr>
          <w:rFonts w:ascii="Courier New" w:hAnsi="Courier New" w:cs="Courier New"/>
          <w:b w:val="0"/>
          <w:sz w:val="24"/>
        </w:rPr>
        <w:t>s</w:t>
      </w:r>
      <w:r>
        <w:rPr>
          <w:rFonts w:ascii="Courier New" w:hAnsi="Courier New" w:cs="Courier New"/>
          <w:b w:val="0"/>
          <w:sz w:val="24"/>
        </w:rPr>
        <w:t>pecto que la embarcación siempre estuvo en poder del Dr. Bottegal, que no existía ninguna prueba que pudiera vinc</w:t>
      </w:r>
      <w:r>
        <w:rPr>
          <w:rFonts w:ascii="Courier New" w:hAnsi="Courier New" w:cs="Courier New"/>
          <w:b w:val="0"/>
          <w:sz w:val="24"/>
        </w:rPr>
        <w:t>u</w:t>
      </w:r>
      <w:r>
        <w:rPr>
          <w:rFonts w:ascii="Courier New" w:hAnsi="Courier New" w:cs="Courier New"/>
          <w:b w:val="0"/>
          <w:sz w:val="24"/>
        </w:rPr>
        <w:t>lar al encartado con el letrado de mención, que habiéndose ordenado un amplio entrecruzamiento telefónico en el leg</w:t>
      </w:r>
      <w:r>
        <w:rPr>
          <w:rFonts w:ascii="Courier New" w:hAnsi="Courier New" w:cs="Courier New"/>
          <w:b w:val="0"/>
          <w:sz w:val="24"/>
        </w:rPr>
        <w:t>a</w:t>
      </w:r>
      <w:r>
        <w:rPr>
          <w:rFonts w:ascii="Courier New" w:hAnsi="Courier New" w:cs="Courier New"/>
          <w:b w:val="0"/>
          <w:sz w:val="24"/>
        </w:rPr>
        <w:t>jo de instrucción suplementaria no se localizó ninguna conversación que vinculara al declarante con el l</w:t>
      </w:r>
      <w:r>
        <w:rPr>
          <w:rFonts w:ascii="Courier New" w:hAnsi="Courier New" w:cs="Courier New"/>
          <w:b w:val="0"/>
          <w:sz w:val="24"/>
        </w:rPr>
        <w:t>e</w:t>
      </w:r>
      <w:r>
        <w:rPr>
          <w:rFonts w:ascii="Courier New" w:hAnsi="Courier New" w:cs="Courier New"/>
          <w:b w:val="0"/>
          <w:sz w:val="24"/>
        </w:rPr>
        <w:t>trado y que dicho abogado sostuvo que jamás concurrió a la brigada y que no lo conocía a R</w:t>
      </w:r>
      <w:r>
        <w:rPr>
          <w:rFonts w:ascii="Courier New" w:hAnsi="Courier New" w:cs="Courier New"/>
          <w:b w:val="0"/>
          <w:sz w:val="24"/>
        </w:rPr>
        <w:t>a</w:t>
      </w:r>
      <w:r>
        <w:rPr>
          <w:rFonts w:ascii="Courier New" w:hAnsi="Courier New" w:cs="Courier New"/>
          <w:b w:val="0"/>
          <w:sz w:val="24"/>
        </w:rPr>
        <w:t>go.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la parcialidad de los fi</w:t>
      </w:r>
      <w:r>
        <w:rPr>
          <w:rFonts w:ascii="Courier New" w:hAnsi="Courier New" w:cs="Courier New"/>
          <w:b w:val="0"/>
          <w:sz w:val="24"/>
        </w:rPr>
        <w:t>s</w:t>
      </w:r>
      <w:r>
        <w:rPr>
          <w:rFonts w:ascii="Courier New" w:hAnsi="Courier New" w:cs="Courier New"/>
          <w:b w:val="0"/>
          <w:sz w:val="24"/>
        </w:rPr>
        <w:t>cales al momento de evaluar los dichos de Pérez al no advertir que éste reconocía que mentía, recorda</w:t>
      </w:r>
      <w:r>
        <w:rPr>
          <w:rFonts w:ascii="Courier New" w:hAnsi="Courier New" w:cs="Courier New"/>
          <w:b w:val="0"/>
          <w:sz w:val="24"/>
        </w:rPr>
        <w:t>n</w:t>
      </w:r>
      <w:r>
        <w:rPr>
          <w:rFonts w:ascii="Courier New" w:hAnsi="Courier New" w:cs="Courier New"/>
          <w:b w:val="0"/>
          <w:sz w:val="24"/>
        </w:rPr>
        <w:t>do que el nombrado señaló que una vez que supo que la camioneta utilizada en el atentado había sido vendida por Telle</w:t>
      </w:r>
      <w:r>
        <w:rPr>
          <w:rFonts w:ascii="Courier New" w:hAnsi="Courier New" w:cs="Courier New"/>
          <w:b w:val="0"/>
          <w:sz w:val="24"/>
        </w:rPr>
        <w:t>l</w:t>
      </w:r>
      <w:r>
        <w:rPr>
          <w:rFonts w:ascii="Courier New" w:hAnsi="Courier New" w:cs="Courier New"/>
          <w:b w:val="0"/>
          <w:sz w:val="24"/>
        </w:rPr>
        <w:t>dín, Ana le pidió que dijera que él había estado pr</w:t>
      </w:r>
      <w:r>
        <w:rPr>
          <w:rFonts w:ascii="Courier New" w:hAnsi="Courier New" w:cs="Courier New"/>
          <w:b w:val="0"/>
          <w:sz w:val="24"/>
        </w:rPr>
        <w:t>e</w:t>
      </w:r>
      <w:r>
        <w:rPr>
          <w:rFonts w:ascii="Courier New" w:hAnsi="Courier New" w:cs="Courier New"/>
          <w:b w:val="0"/>
          <w:sz w:val="24"/>
        </w:rPr>
        <w:t>sente.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De esta manera, continuó Rago, Pérez mintió cuando al negar haber recibido algún llamado de “Pino”, sostuvo que Pérez Mejía podía saber algo porque estaba en la casa.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También Pérez faltó a la verdad cua</w:t>
      </w:r>
      <w:r>
        <w:rPr>
          <w:rFonts w:ascii="Courier New" w:hAnsi="Courier New" w:cs="Courier New"/>
          <w:b w:val="0"/>
          <w:sz w:val="24"/>
        </w:rPr>
        <w:t>n</w:t>
      </w:r>
      <w:r>
        <w:rPr>
          <w:rFonts w:ascii="Courier New" w:hAnsi="Courier New" w:cs="Courier New"/>
          <w:b w:val="0"/>
          <w:sz w:val="24"/>
        </w:rPr>
        <w:t>do el 9 de agosto de 1994 negó haber visto al comprador ac</w:t>
      </w:r>
      <w:r>
        <w:rPr>
          <w:rFonts w:ascii="Courier New" w:hAnsi="Courier New" w:cs="Courier New"/>
          <w:b w:val="0"/>
          <w:sz w:val="24"/>
        </w:rPr>
        <w:t>o</w:t>
      </w:r>
      <w:r>
        <w:rPr>
          <w:rFonts w:ascii="Courier New" w:hAnsi="Courier New" w:cs="Courier New"/>
          <w:b w:val="0"/>
          <w:sz w:val="24"/>
        </w:rPr>
        <w:t>tando que si bien en ese momento estaba en la casa, se e</w:t>
      </w:r>
      <w:r>
        <w:rPr>
          <w:rFonts w:ascii="Courier New" w:hAnsi="Courier New" w:cs="Courier New"/>
          <w:b w:val="0"/>
          <w:sz w:val="24"/>
        </w:rPr>
        <w:t>n</w:t>
      </w:r>
      <w:r>
        <w:rPr>
          <w:rFonts w:ascii="Courier New" w:hAnsi="Courier New" w:cs="Courier New"/>
          <w:b w:val="0"/>
          <w:sz w:val="24"/>
        </w:rPr>
        <w:t>contraba en la cocina viendo tel</w:t>
      </w:r>
      <w:r>
        <w:rPr>
          <w:rFonts w:ascii="Courier New" w:hAnsi="Courier New" w:cs="Courier New"/>
          <w:b w:val="0"/>
          <w:sz w:val="24"/>
        </w:rPr>
        <w:t>e</w:t>
      </w:r>
      <w:r>
        <w:rPr>
          <w:rFonts w:ascii="Courier New" w:hAnsi="Courier New" w:cs="Courier New"/>
          <w:b w:val="0"/>
          <w:sz w:val="24"/>
        </w:rPr>
        <w:t>visión con Pérez Mejía.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Agregó que Pérez mintió el 21 de oct</w:t>
      </w:r>
      <w:r>
        <w:rPr>
          <w:rFonts w:ascii="Courier New" w:hAnsi="Courier New" w:cs="Courier New"/>
          <w:b w:val="0"/>
          <w:sz w:val="24"/>
        </w:rPr>
        <w:t>u</w:t>
      </w:r>
      <w:r>
        <w:rPr>
          <w:rFonts w:ascii="Courier New" w:hAnsi="Courier New" w:cs="Courier New"/>
          <w:b w:val="0"/>
          <w:sz w:val="24"/>
        </w:rPr>
        <w:t>bre de 1994 cuando manifestó desconocer si Pérez Mejía v</w:t>
      </w:r>
      <w:r>
        <w:rPr>
          <w:rFonts w:ascii="Courier New" w:hAnsi="Courier New" w:cs="Courier New"/>
          <w:b w:val="0"/>
          <w:sz w:val="24"/>
        </w:rPr>
        <w:t>i</w:t>
      </w:r>
      <w:r>
        <w:rPr>
          <w:rFonts w:ascii="Courier New" w:hAnsi="Courier New" w:cs="Courier New"/>
          <w:b w:val="0"/>
          <w:sz w:val="24"/>
        </w:rPr>
        <w:t xml:space="preserve">vía o había vivido en Capital Federal, creyendo que era peruano, no sabiendo si estaba en Argentina ya que no lo volvió a ver después del domingo en que Telleldín vendió </w:t>
      </w:r>
      <w:smartTag w:uri="urn:schemas-microsoft-com:office:smarttags" w:element="PersonName">
        <w:smartTagPr>
          <w:attr w:name="ProductID" w:val="la Trafic."/>
        </w:smartTagPr>
        <w:r>
          <w:rPr>
            <w:rFonts w:ascii="Courier New" w:hAnsi="Courier New" w:cs="Courier New"/>
            <w:b w:val="0"/>
            <w:sz w:val="24"/>
          </w:rPr>
          <w:t>la Trafic.</w:t>
        </w:r>
      </w:smartTag>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Indicó que Pérez faltó a la ve</w:t>
      </w:r>
      <w:r>
        <w:rPr>
          <w:rFonts w:ascii="Courier New" w:hAnsi="Courier New" w:cs="Courier New"/>
          <w:b w:val="0"/>
          <w:sz w:val="24"/>
        </w:rPr>
        <w:t>r</w:t>
      </w:r>
      <w:r>
        <w:rPr>
          <w:rFonts w:ascii="Courier New" w:hAnsi="Courier New" w:cs="Courier New"/>
          <w:b w:val="0"/>
          <w:sz w:val="24"/>
        </w:rPr>
        <w:t>dad en las decl</w:t>
      </w:r>
      <w:r>
        <w:rPr>
          <w:rFonts w:ascii="Courier New" w:hAnsi="Courier New" w:cs="Courier New"/>
          <w:b w:val="0"/>
          <w:sz w:val="24"/>
        </w:rPr>
        <w:t>a</w:t>
      </w:r>
      <w:r>
        <w:rPr>
          <w:rFonts w:ascii="Courier New" w:hAnsi="Courier New" w:cs="Courier New"/>
          <w:b w:val="0"/>
          <w:sz w:val="24"/>
        </w:rPr>
        <w:t>raciones indagatorias prestadas los días 11 y 12 de enero y 24 de julio de 1995, en las que señaló que e</w:t>
      </w:r>
      <w:r>
        <w:rPr>
          <w:rFonts w:ascii="Courier New" w:hAnsi="Courier New" w:cs="Courier New"/>
          <w:b w:val="0"/>
          <w:sz w:val="24"/>
        </w:rPr>
        <w:t>s</w:t>
      </w:r>
      <w:r>
        <w:rPr>
          <w:rFonts w:ascii="Courier New" w:hAnsi="Courier New" w:cs="Courier New"/>
          <w:b w:val="0"/>
          <w:sz w:val="24"/>
        </w:rPr>
        <w:t>taba con Pérez Mejía el 10 de j</w:t>
      </w:r>
      <w:r>
        <w:rPr>
          <w:rFonts w:ascii="Courier New" w:hAnsi="Courier New" w:cs="Courier New"/>
          <w:b w:val="0"/>
          <w:sz w:val="24"/>
        </w:rPr>
        <w:t>u</w:t>
      </w:r>
      <w:r>
        <w:rPr>
          <w:rFonts w:ascii="Courier New" w:hAnsi="Courier New" w:cs="Courier New"/>
          <w:b w:val="0"/>
          <w:sz w:val="24"/>
        </w:rPr>
        <w:t>lio.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sintetizó que Pérez y Boragni mintieron durante dos años sobre la presencia del pr</w:t>
      </w:r>
      <w:r>
        <w:rPr>
          <w:rFonts w:ascii="Courier New" w:hAnsi="Courier New" w:cs="Courier New"/>
          <w:b w:val="0"/>
          <w:sz w:val="24"/>
        </w:rPr>
        <w:t>i</w:t>
      </w:r>
      <w:r>
        <w:rPr>
          <w:rFonts w:ascii="Courier New" w:hAnsi="Courier New" w:cs="Courier New"/>
          <w:b w:val="0"/>
          <w:sz w:val="24"/>
        </w:rPr>
        <w:t>mero y de Pérez Mejía en la casa de República 107 el día 10, siendo veraces las manifestaciones de este último, quien afirmó no sólo que no estaba en el domicilio sino que ta</w:t>
      </w:r>
      <w:r>
        <w:rPr>
          <w:rFonts w:ascii="Courier New" w:hAnsi="Courier New" w:cs="Courier New"/>
          <w:b w:val="0"/>
          <w:sz w:val="24"/>
        </w:rPr>
        <w:t>m</w:t>
      </w:r>
      <w:r>
        <w:rPr>
          <w:rFonts w:ascii="Courier New" w:hAnsi="Courier New" w:cs="Courier New"/>
          <w:b w:val="0"/>
          <w:sz w:val="24"/>
        </w:rPr>
        <w:t>poco lo conocía.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destacó que posteriormente y co</w:t>
      </w:r>
      <w:r>
        <w:rPr>
          <w:rFonts w:ascii="Courier New" w:hAnsi="Courier New" w:cs="Courier New"/>
          <w:b w:val="0"/>
          <w:sz w:val="24"/>
        </w:rPr>
        <w:t>n</w:t>
      </w:r>
      <w:r>
        <w:rPr>
          <w:rFonts w:ascii="Courier New" w:hAnsi="Courier New" w:cs="Courier New"/>
          <w:b w:val="0"/>
          <w:sz w:val="24"/>
        </w:rPr>
        <w:t>tradiciendo sus dichos, el mismo Pérez declaró que ni él ni Pérez Mejía se encontraban en d</w:t>
      </w:r>
      <w:r>
        <w:rPr>
          <w:rFonts w:ascii="Courier New" w:hAnsi="Courier New" w:cs="Courier New"/>
          <w:b w:val="0"/>
          <w:sz w:val="24"/>
        </w:rPr>
        <w:t>i</w:t>
      </w:r>
      <w:r>
        <w:rPr>
          <w:rFonts w:ascii="Courier New" w:hAnsi="Courier New" w:cs="Courier New"/>
          <w:b w:val="0"/>
          <w:sz w:val="24"/>
        </w:rPr>
        <w:t>cha finca.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Destacó que eran falsos los d</w:t>
      </w:r>
      <w:r>
        <w:rPr>
          <w:rFonts w:ascii="Courier New" w:hAnsi="Courier New" w:cs="Courier New"/>
          <w:b w:val="0"/>
          <w:sz w:val="24"/>
        </w:rPr>
        <w:t>i</w:t>
      </w:r>
      <w:r>
        <w:rPr>
          <w:rFonts w:ascii="Courier New" w:hAnsi="Courier New" w:cs="Courier New"/>
          <w:b w:val="0"/>
          <w:sz w:val="24"/>
        </w:rPr>
        <w:t>chos de Pérez cuando dijo que estuvo hasta las 3.00 ó 4.00 en el interior de un auto privado de su libertad por personal policial, extrayendo dicha conclusión del análisis de la causa, toda vez que el ingreso estaba registrado a la 1.00.</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Remarcó que los acusadores dieron cr</w:t>
      </w:r>
      <w:r>
        <w:rPr>
          <w:rFonts w:ascii="Courier New" w:hAnsi="Courier New" w:cs="Courier New"/>
          <w:b w:val="0"/>
          <w:sz w:val="24"/>
        </w:rPr>
        <w:t>e</w:t>
      </w:r>
      <w:r>
        <w:rPr>
          <w:rFonts w:ascii="Courier New" w:hAnsi="Courier New" w:cs="Courier New"/>
          <w:b w:val="0"/>
          <w:sz w:val="24"/>
        </w:rPr>
        <w:t>dibilidad a los dichos de Pérez, no habiendo producido ninguna prueba adicional que los reforzara a fin de co</w:t>
      </w:r>
      <w:r>
        <w:rPr>
          <w:rFonts w:ascii="Courier New" w:hAnsi="Courier New" w:cs="Courier New"/>
          <w:b w:val="0"/>
          <w:sz w:val="24"/>
        </w:rPr>
        <w:t>n</w:t>
      </w:r>
      <w:r>
        <w:rPr>
          <w:rFonts w:ascii="Courier New" w:hAnsi="Courier New" w:cs="Courier New"/>
          <w:b w:val="0"/>
          <w:sz w:val="24"/>
        </w:rPr>
        <w:t>tradecir el registro efectuado en los libros de la respe</w:t>
      </w:r>
      <w:r>
        <w:rPr>
          <w:rFonts w:ascii="Courier New" w:hAnsi="Courier New" w:cs="Courier New"/>
          <w:b w:val="0"/>
          <w:sz w:val="24"/>
        </w:rPr>
        <w:t>c</w:t>
      </w:r>
      <w:r>
        <w:rPr>
          <w:rFonts w:ascii="Courier New" w:hAnsi="Courier New" w:cs="Courier New"/>
          <w:b w:val="0"/>
          <w:sz w:val="24"/>
        </w:rPr>
        <w:t>tiva dependencia policial, explicando dicha pasividad de los fiscales en el hecho que sabían que Pérez faltó a la verdad.</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destacó que Pérez mintió cuando dijo que fue golpeado en el interior del vehíc</w:t>
      </w:r>
      <w:r>
        <w:rPr>
          <w:rFonts w:ascii="Courier New" w:hAnsi="Courier New" w:cs="Courier New"/>
          <w:b w:val="0"/>
          <w:sz w:val="24"/>
        </w:rPr>
        <w:t>u</w:t>
      </w:r>
      <w:r>
        <w:rPr>
          <w:rFonts w:ascii="Courier New" w:hAnsi="Courier New" w:cs="Courier New"/>
          <w:b w:val="0"/>
          <w:sz w:val="24"/>
        </w:rPr>
        <w:t>lo, señalando al respecto el archivo sobre el delito de amen</w:t>
      </w:r>
      <w:r>
        <w:rPr>
          <w:rFonts w:ascii="Courier New" w:hAnsi="Courier New" w:cs="Courier New"/>
          <w:b w:val="0"/>
          <w:sz w:val="24"/>
        </w:rPr>
        <w:t>a</w:t>
      </w:r>
      <w:r>
        <w:rPr>
          <w:rFonts w:ascii="Courier New" w:hAnsi="Courier New" w:cs="Courier New"/>
          <w:b w:val="0"/>
          <w:sz w:val="24"/>
        </w:rPr>
        <w:t>zas, a fs. 231 del expediente nº 30.477, el cual fuera iniciado en virtud de los testimonios extraídos por el m</w:t>
      </w:r>
      <w:r>
        <w:rPr>
          <w:rFonts w:ascii="Courier New" w:hAnsi="Courier New" w:cs="Courier New"/>
          <w:b w:val="0"/>
          <w:sz w:val="24"/>
        </w:rPr>
        <w:t>a</w:t>
      </w:r>
      <w:r>
        <w:rPr>
          <w:rFonts w:ascii="Courier New" w:hAnsi="Courier New" w:cs="Courier New"/>
          <w:b w:val="0"/>
          <w:sz w:val="24"/>
        </w:rPr>
        <w:t>gistrado instru</w:t>
      </w:r>
      <w:r>
        <w:rPr>
          <w:rFonts w:ascii="Courier New" w:hAnsi="Courier New" w:cs="Courier New"/>
          <w:b w:val="0"/>
          <w:sz w:val="24"/>
        </w:rPr>
        <w:t>c</w:t>
      </w:r>
      <w:r>
        <w:rPr>
          <w:rFonts w:ascii="Courier New" w:hAnsi="Courier New" w:cs="Courier New"/>
          <w:b w:val="0"/>
          <w:sz w:val="24"/>
        </w:rPr>
        <w:t>tor.</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r>
      <w:r>
        <w:rPr>
          <w:rFonts w:ascii="Courier New" w:hAnsi="Courier New" w:cs="Courier New"/>
          <w:b w:val="0"/>
          <w:sz w:val="24"/>
        </w:rPr>
        <w:tab/>
        <w:t>El encartado señaló que también eran falsos los dichos de Pérez cuando afirmó que al llegar a la casa de República 107 después de recuperar su libertad, ya estaban allí Telleldín y Ana B</w:t>
      </w:r>
      <w:r>
        <w:rPr>
          <w:rFonts w:ascii="Courier New" w:hAnsi="Courier New" w:cs="Courier New"/>
          <w:b w:val="0"/>
          <w:sz w:val="24"/>
        </w:rPr>
        <w:t>o</w:t>
      </w:r>
      <w:r>
        <w:rPr>
          <w:rFonts w:ascii="Courier New" w:hAnsi="Courier New" w:cs="Courier New"/>
          <w:b w:val="0"/>
          <w:sz w:val="24"/>
        </w:rPr>
        <w:t>ragni.</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Recordó los dichos de Schiavone quien sostuvo, contradiciendo a Pérez, que el matr</w:t>
      </w:r>
      <w:r>
        <w:rPr>
          <w:rFonts w:ascii="Courier New" w:hAnsi="Courier New" w:cs="Courier New"/>
          <w:b w:val="0"/>
          <w:sz w:val="24"/>
        </w:rPr>
        <w:t>i</w:t>
      </w:r>
      <w:r>
        <w:rPr>
          <w:rFonts w:ascii="Courier New" w:hAnsi="Courier New" w:cs="Courier New"/>
          <w:b w:val="0"/>
          <w:sz w:val="24"/>
        </w:rPr>
        <w:t>monio arribó al mencionado domicilio después de é</w:t>
      </w:r>
      <w:r>
        <w:rPr>
          <w:rFonts w:ascii="Courier New" w:hAnsi="Courier New" w:cs="Courier New"/>
          <w:b w:val="0"/>
          <w:sz w:val="24"/>
        </w:rPr>
        <w:t>s</w:t>
      </w:r>
      <w:r>
        <w:rPr>
          <w:rFonts w:ascii="Courier New" w:hAnsi="Courier New" w:cs="Courier New"/>
          <w:b w:val="0"/>
          <w:sz w:val="24"/>
        </w:rPr>
        <w:t>te.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también hizo referencia al punto II) del informe policial glosado a fs. 3034, donde se co</w:t>
      </w:r>
      <w:r>
        <w:rPr>
          <w:rFonts w:ascii="Courier New" w:hAnsi="Courier New" w:cs="Courier New"/>
          <w:b w:val="0"/>
          <w:sz w:val="24"/>
        </w:rPr>
        <w:t>n</w:t>
      </w:r>
      <w:r>
        <w:rPr>
          <w:rFonts w:ascii="Courier New" w:hAnsi="Courier New" w:cs="Courier New"/>
          <w:b w:val="0"/>
          <w:sz w:val="24"/>
        </w:rPr>
        <w:t>signó con fecha 8 de agosto de 1994, que Pérez era desc</w:t>
      </w:r>
      <w:r>
        <w:rPr>
          <w:rFonts w:ascii="Courier New" w:hAnsi="Courier New" w:cs="Courier New"/>
          <w:b w:val="0"/>
          <w:sz w:val="24"/>
        </w:rPr>
        <w:t>o</w:t>
      </w:r>
      <w:r>
        <w:rPr>
          <w:rFonts w:ascii="Courier New" w:hAnsi="Courier New" w:cs="Courier New"/>
          <w:b w:val="0"/>
          <w:sz w:val="24"/>
        </w:rPr>
        <w:t>nocido en el Country Mapuche.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Resaltó que los acusadores util</w:t>
      </w:r>
      <w:r>
        <w:rPr>
          <w:rFonts w:ascii="Courier New" w:hAnsi="Courier New" w:cs="Courier New"/>
          <w:b w:val="0"/>
          <w:sz w:val="24"/>
        </w:rPr>
        <w:t>i</w:t>
      </w:r>
      <w:r>
        <w:rPr>
          <w:rFonts w:ascii="Courier New" w:hAnsi="Courier New" w:cs="Courier New"/>
          <w:b w:val="0"/>
          <w:sz w:val="24"/>
        </w:rPr>
        <w:t>zaron como testigo de cargo a Pérez, cuando previamente lo h</w:t>
      </w:r>
      <w:r>
        <w:rPr>
          <w:rFonts w:ascii="Courier New" w:hAnsi="Courier New" w:cs="Courier New"/>
          <w:b w:val="0"/>
          <w:sz w:val="24"/>
        </w:rPr>
        <w:t>a</w:t>
      </w:r>
      <w:r>
        <w:rPr>
          <w:rFonts w:ascii="Courier New" w:hAnsi="Courier New" w:cs="Courier New"/>
          <w:b w:val="0"/>
          <w:sz w:val="24"/>
        </w:rPr>
        <w:t>bían calificado como contradictorio y mentiroso en el re</w:t>
      </w:r>
      <w:r>
        <w:rPr>
          <w:rFonts w:ascii="Courier New" w:hAnsi="Courier New" w:cs="Courier New"/>
          <w:b w:val="0"/>
          <w:sz w:val="24"/>
        </w:rPr>
        <w:t>s</w:t>
      </w:r>
      <w:r>
        <w:rPr>
          <w:rFonts w:ascii="Courier New" w:hAnsi="Courier New" w:cs="Courier New"/>
          <w:b w:val="0"/>
          <w:sz w:val="24"/>
        </w:rPr>
        <w:t>pectivo pedido de procesamiento, de fecha 2 de junio de 1995, por la participación necesaria en el atentado.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Previa exhibición de un fragmento de la videocinta con la entrevista entre Telleldín y el Dr. Galeano del 1º de julio de 1996, Rago remarcó que su c</w:t>
      </w:r>
      <w:r>
        <w:rPr>
          <w:rFonts w:ascii="Courier New" w:hAnsi="Courier New" w:cs="Courier New"/>
          <w:b w:val="0"/>
          <w:sz w:val="24"/>
        </w:rPr>
        <w:t>o</w:t>
      </w:r>
      <w:r>
        <w:rPr>
          <w:rFonts w:ascii="Courier New" w:hAnsi="Courier New" w:cs="Courier New"/>
          <w:b w:val="0"/>
          <w:sz w:val="24"/>
        </w:rPr>
        <w:t>procesado le dijo al juez que iba a hacer que Pérez habl</w:t>
      </w:r>
      <w:r>
        <w:rPr>
          <w:rFonts w:ascii="Courier New" w:hAnsi="Courier New" w:cs="Courier New"/>
          <w:b w:val="0"/>
          <w:sz w:val="24"/>
        </w:rPr>
        <w:t>a</w:t>
      </w:r>
      <w:r>
        <w:rPr>
          <w:rFonts w:ascii="Courier New" w:hAnsi="Courier New" w:cs="Courier New"/>
          <w:b w:val="0"/>
          <w:sz w:val="24"/>
        </w:rPr>
        <w:t>ra a cambio de una mejora en la situación pr</w:t>
      </w:r>
      <w:r>
        <w:rPr>
          <w:rFonts w:ascii="Courier New" w:hAnsi="Courier New" w:cs="Courier New"/>
          <w:b w:val="0"/>
          <w:sz w:val="24"/>
        </w:rPr>
        <w:t>o</w:t>
      </w:r>
      <w:r>
        <w:rPr>
          <w:rFonts w:ascii="Courier New" w:hAnsi="Courier New" w:cs="Courier New"/>
          <w:b w:val="0"/>
          <w:sz w:val="24"/>
        </w:rPr>
        <w:t>cesal de éste último, acotando que eso fue lo que en definitiva sucedió.</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los acusadores utilizaron como elemento de prueba la declaración de T</w:t>
      </w:r>
      <w:r>
        <w:rPr>
          <w:rFonts w:ascii="Courier New" w:hAnsi="Courier New" w:cs="Courier New"/>
          <w:b w:val="0"/>
          <w:sz w:val="24"/>
        </w:rPr>
        <w:t>e</w:t>
      </w:r>
      <w:r>
        <w:rPr>
          <w:rFonts w:ascii="Courier New" w:hAnsi="Courier New" w:cs="Courier New"/>
          <w:b w:val="0"/>
          <w:sz w:val="24"/>
        </w:rPr>
        <w:t>lleldín del 5 de julio de 1996, no obstante las diversas circun</w:t>
      </w:r>
      <w:r>
        <w:rPr>
          <w:rFonts w:ascii="Courier New" w:hAnsi="Courier New" w:cs="Courier New"/>
          <w:b w:val="0"/>
          <w:sz w:val="24"/>
        </w:rPr>
        <w:t>s</w:t>
      </w:r>
      <w:r>
        <w:rPr>
          <w:rFonts w:ascii="Courier New" w:hAnsi="Courier New" w:cs="Courier New"/>
          <w:b w:val="0"/>
          <w:sz w:val="24"/>
        </w:rPr>
        <w:t>tancias ventiladas al respecto en la audiencia de debate, descon</w:t>
      </w:r>
      <w:r>
        <w:rPr>
          <w:rFonts w:ascii="Courier New" w:hAnsi="Courier New" w:cs="Courier New"/>
          <w:b w:val="0"/>
          <w:sz w:val="24"/>
        </w:rPr>
        <w:t>o</w:t>
      </w:r>
      <w:r>
        <w:rPr>
          <w:rFonts w:ascii="Courier New" w:hAnsi="Courier New" w:cs="Courier New"/>
          <w:b w:val="0"/>
          <w:sz w:val="24"/>
        </w:rPr>
        <w:t>ciéndose en definitiva qué dichos correspondían efectiv</w:t>
      </w:r>
      <w:r>
        <w:rPr>
          <w:rFonts w:ascii="Courier New" w:hAnsi="Courier New" w:cs="Courier New"/>
          <w:b w:val="0"/>
          <w:sz w:val="24"/>
        </w:rPr>
        <w:t>a</w:t>
      </w:r>
      <w:r>
        <w:rPr>
          <w:rFonts w:ascii="Courier New" w:hAnsi="Courier New" w:cs="Courier New"/>
          <w:b w:val="0"/>
          <w:sz w:val="24"/>
        </w:rPr>
        <w:t>mente a aquél y cuáles fueron insertos por el juzgado in</w:t>
      </w:r>
      <w:r>
        <w:rPr>
          <w:rFonts w:ascii="Courier New" w:hAnsi="Courier New" w:cs="Courier New"/>
          <w:b w:val="0"/>
          <w:sz w:val="24"/>
        </w:rPr>
        <w:t>s</w:t>
      </w:r>
      <w:r>
        <w:rPr>
          <w:rFonts w:ascii="Courier New" w:hAnsi="Courier New" w:cs="Courier New"/>
          <w:b w:val="0"/>
          <w:sz w:val="24"/>
        </w:rPr>
        <w:t>tructor.</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Remarcó que a su entender Telle</w:t>
      </w:r>
      <w:r>
        <w:rPr>
          <w:rFonts w:ascii="Courier New" w:hAnsi="Courier New" w:cs="Courier New"/>
          <w:b w:val="0"/>
          <w:sz w:val="24"/>
        </w:rPr>
        <w:t>l</w:t>
      </w:r>
      <w:r>
        <w:rPr>
          <w:rFonts w:ascii="Courier New" w:hAnsi="Courier New" w:cs="Courier New"/>
          <w:b w:val="0"/>
          <w:sz w:val="24"/>
        </w:rPr>
        <w:t>dín no era veraz en su versión de los hechos y lo involucraba c</w:t>
      </w:r>
      <w:r>
        <w:rPr>
          <w:rFonts w:ascii="Courier New" w:hAnsi="Courier New" w:cs="Courier New"/>
          <w:b w:val="0"/>
          <w:sz w:val="24"/>
        </w:rPr>
        <w:t>o</w:t>
      </w:r>
      <w:r>
        <w:rPr>
          <w:rFonts w:ascii="Courier New" w:hAnsi="Courier New" w:cs="Courier New"/>
          <w:b w:val="0"/>
          <w:sz w:val="24"/>
        </w:rPr>
        <w:t>mo parte de la ment</w:t>
      </w:r>
      <w:r>
        <w:rPr>
          <w:rFonts w:ascii="Courier New" w:hAnsi="Courier New" w:cs="Courier New"/>
          <w:b w:val="0"/>
          <w:sz w:val="24"/>
        </w:rPr>
        <w:t>i</w:t>
      </w:r>
      <w:r>
        <w:rPr>
          <w:rFonts w:ascii="Courier New" w:hAnsi="Courier New" w:cs="Courier New"/>
          <w:b w:val="0"/>
          <w:sz w:val="24"/>
        </w:rPr>
        <w:t>ra.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Especificó que Telleldín faltó a la verdad cuando mencionaba el Duna blanco, explicando que dicho vehículo no había sido referido anteriormente por aquél ni por Boragni, siendo luego incorporado en el r</w:t>
      </w:r>
      <w:r>
        <w:rPr>
          <w:rFonts w:ascii="Courier New" w:hAnsi="Courier New" w:cs="Courier New"/>
          <w:b w:val="0"/>
          <w:sz w:val="24"/>
        </w:rPr>
        <w:t>e</w:t>
      </w:r>
      <w:r>
        <w:rPr>
          <w:rFonts w:ascii="Courier New" w:hAnsi="Courier New" w:cs="Courier New"/>
          <w:b w:val="0"/>
          <w:sz w:val="24"/>
        </w:rPr>
        <w:t>querimiento fiscal, omitiendo los acusadores brindar alg</w:t>
      </w:r>
      <w:r>
        <w:rPr>
          <w:rFonts w:ascii="Courier New" w:hAnsi="Courier New" w:cs="Courier New"/>
          <w:b w:val="0"/>
          <w:sz w:val="24"/>
        </w:rPr>
        <w:t>u</w:t>
      </w:r>
      <w:r>
        <w:rPr>
          <w:rFonts w:ascii="Courier New" w:hAnsi="Courier New" w:cs="Courier New"/>
          <w:b w:val="0"/>
          <w:sz w:val="24"/>
        </w:rPr>
        <w:t>na prueba adicional que avalara dicha inclusión.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sostuvo que en el armado de la historia se incluyó el Duna blanco el día 10 y como r</w:t>
      </w:r>
      <w:r>
        <w:rPr>
          <w:rFonts w:ascii="Courier New" w:hAnsi="Courier New" w:cs="Courier New"/>
          <w:b w:val="0"/>
          <w:sz w:val="24"/>
        </w:rPr>
        <w:t>e</w:t>
      </w:r>
      <w:r>
        <w:rPr>
          <w:rFonts w:ascii="Courier New" w:hAnsi="Courier New" w:cs="Courier New"/>
          <w:b w:val="0"/>
          <w:sz w:val="24"/>
        </w:rPr>
        <w:t>fuerzo se incorporó también en la persec</w:t>
      </w:r>
      <w:r>
        <w:rPr>
          <w:rFonts w:ascii="Courier New" w:hAnsi="Courier New" w:cs="Courier New"/>
          <w:b w:val="0"/>
          <w:sz w:val="24"/>
        </w:rPr>
        <w:t>u</w:t>
      </w:r>
      <w:r>
        <w:rPr>
          <w:rFonts w:ascii="Courier New" w:hAnsi="Courier New" w:cs="Courier New"/>
          <w:b w:val="0"/>
          <w:sz w:val="24"/>
        </w:rPr>
        <w:t>ción del 14 y 15 de julio, reiterando que no existía ninguna consta</w:t>
      </w:r>
      <w:r>
        <w:rPr>
          <w:rFonts w:ascii="Courier New" w:hAnsi="Courier New" w:cs="Courier New"/>
          <w:b w:val="0"/>
          <w:sz w:val="24"/>
        </w:rPr>
        <w:t>n</w:t>
      </w:r>
      <w:r>
        <w:rPr>
          <w:rFonts w:ascii="Courier New" w:hAnsi="Courier New" w:cs="Courier New"/>
          <w:b w:val="0"/>
          <w:sz w:val="24"/>
        </w:rPr>
        <w:t>cia en la causa que probara que el Duna blanco estuvo en el lugar los mencionados días 14 y 15.</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Destacó que, por el contrario, Telle</w:t>
      </w:r>
      <w:r>
        <w:rPr>
          <w:rFonts w:ascii="Courier New" w:hAnsi="Courier New" w:cs="Courier New"/>
          <w:b w:val="0"/>
          <w:sz w:val="24"/>
        </w:rPr>
        <w:t>l</w:t>
      </w:r>
      <w:r>
        <w:rPr>
          <w:rFonts w:ascii="Courier New" w:hAnsi="Courier New" w:cs="Courier New"/>
          <w:b w:val="0"/>
          <w:sz w:val="24"/>
        </w:rPr>
        <w:t>dín no mencionó la presencia de ese vehículo en su decl</w:t>
      </w:r>
      <w:r>
        <w:rPr>
          <w:rFonts w:ascii="Courier New" w:hAnsi="Courier New" w:cs="Courier New"/>
          <w:b w:val="0"/>
          <w:sz w:val="24"/>
        </w:rPr>
        <w:t>a</w:t>
      </w:r>
      <w:r>
        <w:rPr>
          <w:rFonts w:ascii="Courier New" w:hAnsi="Courier New" w:cs="Courier New"/>
          <w:b w:val="0"/>
          <w:sz w:val="24"/>
        </w:rPr>
        <w:t>ración del 6 de agosto de 1994 en la que describió perfe</w:t>
      </w:r>
      <w:r>
        <w:rPr>
          <w:rFonts w:ascii="Courier New" w:hAnsi="Courier New" w:cs="Courier New"/>
          <w:b w:val="0"/>
          <w:sz w:val="24"/>
        </w:rPr>
        <w:t>c</w:t>
      </w:r>
      <w:r>
        <w:rPr>
          <w:rFonts w:ascii="Courier New" w:hAnsi="Courier New" w:cs="Courier New"/>
          <w:b w:val="0"/>
          <w:sz w:val="24"/>
        </w:rPr>
        <w:t>tamente tanto el automotor 505 como el auto de Lasala, r</w:t>
      </w:r>
      <w:r>
        <w:rPr>
          <w:rFonts w:ascii="Courier New" w:hAnsi="Courier New" w:cs="Courier New"/>
          <w:b w:val="0"/>
          <w:sz w:val="24"/>
        </w:rPr>
        <w:t>e</w:t>
      </w:r>
      <w:r>
        <w:rPr>
          <w:rFonts w:ascii="Courier New" w:hAnsi="Courier New" w:cs="Courier New"/>
          <w:b w:val="0"/>
          <w:sz w:val="24"/>
        </w:rPr>
        <w:t>cordando la existencia del Duna blanco recién dos años después.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Previa exhibición de los croquis re</w:t>
      </w:r>
      <w:r>
        <w:rPr>
          <w:rFonts w:ascii="Courier New" w:hAnsi="Courier New" w:cs="Courier New"/>
          <w:b w:val="0"/>
          <w:sz w:val="24"/>
        </w:rPr>
        <w:t>a</w:t>
      </w:r>
      <w:r>
        <w:rPr>
          <w:rFonts w:ascii="Courier New" w:hAnsi="Courier New" w:cs="Courier New"/>
          <w:b w:val="0"/>
          <w:sz w:val="24"/>
        </w:rPr>
        <w:t>lizados por Telleldín tanto en la oportunidad de prese</w:t>
      </w:r>
      <w:r>
        <w:rPr>
          <w:rFonts w:ascii="Courier New" w:hAnsi="Courier New" w:cs="Courier New"/>
          <w:b w:val="0"/>
          <w:sz w:val="24"/>
        </w:rPr>
        <w:t>n</w:t>
      </w:r>
      <w:r>
        <w:rPr>
          <w:rFonts w:ascii="Courier New" w:hAnsi="Courier New" w:cs="Courier New"/>
          <w:b w:val="0"/>
          <w:sz w:val="24"/>
        </w:rPr>
        <w:t xml:space="preserve">tarse ante </w:t>
      </w:r>
      <w:smartTag w:uri="urn:schemas-microsoft-com:office:smarttags" w:element="PersonName">
        <w:smartTagPr>
          <w:attr w:name="ProductID" w:val="la Dra. Riva"/>
        </w:smartTagPr>
        <w:r>
          <w:rPr>
            <w:rFonts w:ascii="Courier New" w:hAnsi="Courier New" w:cs="Courier New"/>
            <w:b w:val="0"/>
            <w:sz w:val="24"/>
          </w:rPr>
          <w:t>la Dra. Riva</w:t>
        </w:r>
      </w:smartTag>
      <w:r>
        <w:rPr>
          <w:rFonts w:ascii="Courier New" w:hAnsi="Courier New" w:cs="Courier New"/>
          <w:b w:val="0"/>
          <w:sz w:val="24"/>
        </w:rPr>
        <w:t xml:space="preserve"> Aramayo, como en la declaración del 5 de julio de 1996, Rago resaltó que mientras en el primero no figuraba el Duna blanco, en el segundo sí, r</w:t>
      </w:r>
      <w:r>
        <w:rPr>
          <w:rFonts w:ascii="Courier New" w:hAnsi="Courier New" w:cs="Courier New"/>
          <w:b w:val="0"/>
          <w:sz w:val="24"/>
        </w:rPr>
        <w:t>e</w:t>
      </w:r>
      <w:r>
        <w:rPr>
          <w:rFonts w:ascii="Courier New" w:hAnsi="Courier New" w:cs="Courier New"/>
          <w:b w:val="0"/>
          <w:sz w:val="24"/>
        </w:rPr>
        <w:t>cordando que en la audiencia de debate Telleldín afirmó que en el croquis efectuado en primer término no había s</w:t>
      </w:r>
      <w:r>
        <w:rPr>
          <w:rFonts w:ascii="Courier New" w:hAnsi="Courier New" w:cs="Courier New"/>
          <w:b w:val="0"/>
          <w:sz w:val="24"/>
        </w:rPr>
        <w:t>e</w:t>
      </w:r>
      <w:r>
        <w:rPr>
          <w:rFonts w:ascii="Courier New" w:hAnsi="Courier New" w:cs="Courier New"/>
          <w:b w:val="0"/>
          <w:sz w:val="24"/>
        </w:rPr>
        <w:t>ñalado al menci</w:t>
      </w:r>
      <w:r>
        <w:rPr>
          <w:rFonts w:ascii="Courier New" w:hAnsi="Courier New" w:cs="Courier New"/>
          <w:b w:val="0"/>
          <w:sz w:val="24"/>
        </w:rPr>
        <w:t>o</w:t>
      </w:r>
      <w:r>
        <w:rPr>
          <w:rFonts w:ascii="Courier New" w:hAnsi="Courier New" w:cs="Courier New"/>
          <w:b w:val="0"/>
          <w:sz w:val="24"/>
        </w:rPr>
        <w:t>nado vehículo.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Telleldín mentía cuando afirmó que recibió una llamada en su casa a las 23.00 en la cual personal de la brigada le pedía dinero; al respe</w:t>
      </w:r>
      <w:r>
        <w:rPr>
          <w:rFonts w:ascii="Courier New" w:hAnsi="Courier New" w:cs="Courier New"/>
          <w:b w:val="0"/>
          <w:sz w:val="24"/>
        </w:rPr>
        <w:t>c</w:t>
      </w:r>
      <w:r>
        <w:rPr>
          <w:rFonts w:ascii="Courier New" w:hAnsi="Courier New" w:cs="Courier New"/>
          <w:b w:val="0"/>
          <w:sz w:val="24"/>
        </w:rPr>
        <w:t>to, dijo que esa noche no hubo ninguna convers</w:t>
      </w:r>
      <w:r>
        <w:rPr>
          <w:rFonts w:ascii="Courier New" w:hAnsi="Courier New" w:cs="Courier New"/>
          <w:b w:val="0"/>
          <w:sz w:val="24"/>
        </w:rPr>
        <w:t>a</w:t>
      </w:r>
      <w:r>
        <w:rPr>
          <w:rFonts w:ascii="Courier New" w:hAnsi="Courier New" w:cs="Courier New"/>
          <w:b w:val="0"/>
          <w:sz w:val="24"/>
        </w:rPr>
        <w:t>ción, toda vez que recién al día siguiente se enco</w:t>
      </w:r>
      <w:r>
        <w:rPr>
          <w:rFonts w:ascii="Courier New" w:hAnsi="Courier New" w:cs="Courier New"/>
          <w:b w:val="0"/>
          <w:sz w:val="24"/>
        </w:rPr>
        <w:t>n</w:t>
      </w:r>
      <w:r>
        <w:rPr>
          <w:rFonts w:ascii="Courier New" w:hAnsi="Courier New" w:cs="Courier New"/>
          <w:b w:val="0"/>
          <w:sz w:val="24"/>
        </w:rPr>
        <w:t>tró con Barreda y Bottegal y los presentaron, iniciándose ahí el diálogo, conforme señalara la fiscalía en el respectivo requer</w:t>
      </w:r>
      <w:r>
        <w:rPr>
          <w:rFonts w:ascii="Courier New" w:hAnsi="Courier New" w:cs="Courier New"/>
          <w:b w:val="0"/>
          <w:sz w:val="24"/>
        </w:rPr>
        <w:t>i</w:t>
      </w:r>
      <w:r>
        <w:rPr>
          <w:rFonts w:ascii="Courier New" w:hAnsi="Courier New" w:cs="Courier New"/>
          <w:b w:val="0"/>
          <w:sz w:val="24"/>
        </w:rPr>
        <w:t>miento.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Agregó que Telleldín en un primer m</w:t>
      </w:r>
      <w:r>
        <w:rPr>
          <w:rFonts w:ascii="Courier New" w:hAnsi="Courier New" w:cs="Courier New"/>
          <w:b w:val="0"/>
          <w:sz w:val="24"/>
        </w:rPr>
        <w:t>o</w:t>
      </w:r>
      <w:r>
        <w:rPr>
          <w:rFonts w:ascii="Courier New" w:hAnsi="Courier New" w:cs="Courier New"/>
          <w:b w:val="0"/>
          <w:sz w:val="24"/>
        </w:rPr>
        <w:t>mento declaró que Bottegal fue a verlo acompañado de una persona con barba que parecía pertenecer a la fuerza pol</w:t>
      </w:r>
      <w:r>
        <w:rPr>
          <w:rFonts w:ascii="Courier New" w:hAnsi="Courier New" w:cs="Courier New"/>
          <w:b w:val="0"/>
          <w:sz w:val="24"/>
        </w:rPr>
        <w:t>i</w:t>
      </w:r>
      <w:r>
        <w:rPr>
          <w:rFonts w:ascii="Courier New" w:hAnsi="Courier New" w:cs="Courier New"/>
          <w:b w:val="0"/>
          <w:sz w:val="24"/>
        </w:rPr>
        <w:t>cial, mientras que tanto Boragni -que también fue al l</w:t>
      </w:r>
      <w:r>
        <w:rPr>
          <w:rFonts w:ascii="Courier New" w:hAnsi="Courier New" w:cs="Courier New"/>
          <w:b w:val="0"/>
          <w:sz w:val="24"/>
        </w:rPr>
        <w:t>u</w:t>
      </w:r>
      <w:r>
        <w:rPr>
          <w:rFonts w:ascii="Courier New" w:hAnsi="Courier New" w:cs="Courier New"/>
          <w:b w:val="0"/>
          <w:sz w:val="24"/>
        </w:rPr>
        <w:t>gar- como el letrado sostuvieron que concurrió solo, de</w:t>
      </w:r>
      <w:r>
        <w:rPr>
          <w:rFonts w:ascii="Courier New" w:hAnsi="Courier New" w:cs="Courier New"/>
          <w:b w:val="0"/>
          <w:sz w:val="24"/>
        </w:rPr>
        <w:t>s</w:t>
      </w:r>
      <w:r>
        <w:rPr>
          <w:rFonts w:ascii="Courier New" w:hAnsi="Courier New" w:cs="Courier New"/>
          <w:b w:val="0"/>
          <w:sz w:val="24"/>
        </w:rPr>
        <w:t>tacando Rago que dichas manifestaciones se contradicen porque correspondían al inicio, explicando que dos años después ya hubo un acuerdo general y por lo tanto coinc</w:t>
      </w:r>
      <w:r>
        <w:rPr>
          <w:rFonts w:ascii="Courier New" w:hAnsi="Courier New" w:cs="Courier New"/>
          <w:b w:val="0"/>
          <w:sz w:val="24"/>
        </w:rPr>
        <w:t>i</w:t>
      </w:r>
      <w:r>
        <w:rPr>
          <w:rFonts w:ascii="Courier New" w:hAnsi="Courier New" w:cs="Courier New"/>
          <w:b w:val="0"/>
          <w:sz w:val="24"/>
        </w:rPr>
        <w:t>dieron en esos detalles.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que Telleldín faltó a la verdad, precisando que todos mentían al afirmar que P</w:t>
      </w:r>
      <w:r>
        <w:rPr>
          <w:rFonts w:ascii="Courier New" w:hAnsi="Courier New" w:cs="Courier New"/>
          <w:b w:val="0"/>
          <w:sz w:val="24"/>
        </w:rPr>
        <w:t>é</w:t>
      </w:r>
      <w:r>
        <w:rPr>
          <w:rFonts w:ascii="Courier New" w:hAnsi="Courier New" w:cs="Courier New"/>
          <w:b w:val="0"/>
          <w:sz w:val="24"/>
        </w:rPr>
        <w:t xml:space="preserve">rez Mejía fue golpeado por </w:t>
      </w:r>
      <w:smartTag w:uri="urn:schemas-microsoft-com:office:smarttags" w:element="PersonName">
        <w:smartTagPr>
          <w:attr w:name="ProductID" w:val="la Polic￭a Federal"/>
        </w:smartTagPr>
        <w:r>
          <w:rPr>
            <w:rFonts w:ascii="Courier New" w:hAnsi="Courier New" w:cs="Courier New"/>
            <w:b w:val="0"/>
            <w:sz w:val="24"/>
          </w:rPr>
          <w:t>la Policía Federal</w:t>
        </w:r>
      </w:smartTag>
      <w:r>
        <w:rPr>
          <w:rFonts w:ascii="Courier New" w:hAnsi="Courier New" w:cs="Courier New"/>
          <w:b w:val="0"/>
          <w:sz w:val="24"/>
        </w:rPr>
        <w:t xml:space="preserve"> también para mentir.</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 xml:space="preserve">Indicó que Telleldín no era veraz cuando le informó a </w:t>
      </w:r>
      <w:smartTag w:uri="urn:schemas-microsoft-com:office:smarttags" w:element="PersonName">
        <w:smartTagPr>
          <w:attr w:name="ProductID" w:val="la Dra. Riva"/>
        </w:smartTagPr>
        <w:r>
          <w:rPr>
            <w:rFonts w:ascii="Courier New" w:hAnsi="Courier New" w:cs="Courier New"/>
            <w:b w:val="0"/>
            <w:sz w:val="24"/>
          </w:rPr>
          <w:t>la Dra. Riva</w:t>
        </w:r>
      </w:smartTag>
      <w:r>
        <w:rPr>
          <w:rFonts w:ascii="Courier New" w:hAnsi="Courier New" w:cs="Courier New"/>
          <w:b w:val="0"/>
          <w:sz w:val="24"/>
        </w:rPr>
        <w:t xml:space="preserve"> Aramayo que la fi</w:t>
      </w:r>
      <w:r>
        <w:rPr>
          <w:rFonts w:ascii="Courier New" w:hAnsi="Courier New" w:cs="Courier New"/>
          <w:b w:val="0"/>
          <w:sz w:val="24"/>
        </w:rPr>
        <w:t>r</w:t>
      </w:r>
      <w:r>
        <w:rPr>
          <w:rFonts w:ascii="Courier New" w:hAnsi="Courier New" w:cs="Courier New"/>
          <w:b w:val="0"/>
          <w:sz w:val="24"/>
        </w:rPr>
        <w:t xml:space="preserve">ma del boleto de compraventa de </w:t>
      </w:r>
      <w:smartTag w:uri="urn:schemas-microsoft-com:office:smarttags" w:element="PersonName">
        <w:smartTagPr>
          <w:attr w:name="ProductID" w:val="la Trafic"/>
        </w:smartTagPr>
        <w:r>
          <w:rPr>
            <w:rFonts w:ascii="Courier New" w:hAnsi="Courier New" w:cs="Courier New"/>
            <w:b w:val="0"/>
            <w:sz w:val="24"/>
          </w:rPr>
          <w:t>la Trafic</w:t>
        </w:r>
      </w:smartTag>
      <w:r>
        <w:rPr>
          <w:rFonts w:ascii="Courier New" w:hAnsi="Courier New" w:cs="Courier New"/>
          <w:b w:val="0"/>
          <w:sz w:val="24"/>
        </w:rPr>
        <w:t xml:space="preserve"> a nombre de Ramón Ma</w:t>
      </w:r>
      <w:r>
        <w:rPr>
          <w:rFonts w:ascii="Courier New" w:hAnsi="Courier New" w:cs="Courier New"/>
          <w:b w:val="0"/>
          <w:sz w:val="24"/>
        </w:rPr>
        <w:t>r</w:t>
      </w:r>
      <w:r>
        <w:rPr>
          <w:rFonts w:ascii="Courier New" w:hAnsi="Courier New" w:cs="Courier New"/>
          <w:b w:val="0"/>
          <w:sz w:val="24"/>
        </w:rPr>
        <w:t xml:space="preserve">tínez la había realizado un suboficial de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Vicente López; en ese sentido, invocó los peritajes cal</w:t>
      </w:r>
      <w:r>
        <w:rPr>
          <w:rFonts w:ascii="Courier New" w:hAnsi="Courier New" w:cs="Courier New"/>
          <w:b w:val="0"/>
          <w:sz w:val="24"/>
        </w:rPr>
        <w:t>i</w:t>
      </w:r>
      <w:r>
        <w:rPr>
          <w:rFonts w:ascii="Courier New" w:hAnsi="Courier New" w:cs="Courier New"/>
          <w:b w:val="0"/>
          <w:sz w:val="24"/>
        </w:rPr>
        <w:t>gráficos realizados al respecto, tanto sobre Oscar Aríst</w:t>
      </w:r>
      <w:r>
        <w:rPr>
          <w:rFonts w:ascii="Courier New" w:hAnsi="Courier New" w:cs="Courier New"/>
          <w:b w:val="0"/>
          <w:sz w:val="24"/>
        </w:rPr>
        <w:t>i</w:t>
      </w:r>
      <w:r>
        <w:rPr>
          <w:rFonts w:ascii="Courier New" w:hAnsi="Courier New" w:cs="Courier New"/>
          <w:b w:val="0"/>
          <w:sz w:val="24"/>
        </w:rPr>
        <w:t xml:space="preserve">des Santos, como sobre el personal suboficial de </w:t>
      </w:r>
      <w:smartTag w:uri="urn:schemas-microsoft-com:office:smarttags" w:element="PersonName">
        <w:smartTagPr>
          <w:attr w:name="ProductID" w:val="la Polic￭a Bonaerense"/>
        </w:smartTagPr>
        <w:r>
          <w:rPr>
            <w:rFonts w:ascii="Courier New" w:hAnsi="Courier New" w:cs="Courier New"/>
            <w:b w:val="0"/>
            <w:sz w:val="24"/>
          </w:rPr>
          <w:t>la Pol</w:t>
        </w:r>
        <w:r>
          <w:rPr>
            <w:rFonts w:ascii="Courier New" w:hAnsi="Courier New" w:cs="Courier New"/>
            <w:b w:val="0"/>
            <w:sz w:val="24"/>
          </w:rPr>
          <w:t>i</w:t>
        </w:r>
        <w:r>
          <w:rPr>
            <w:rFonts w:ascii="Courier New" w:hAnsi="Courier New" w:cs="Courier New"/>
            <w:b w:val="0"/>
            <w:sz w:val="24"/>
          </w:rPr>
          <w:t>cía Bonaerense</w:t>
        </w:r>
      </w:smartTag>
      <w:r>
        <w:rPr>
          <w:rFonts w:ascii="Courier New" w:hAnsi="Courier New" w:cs="Courier New"/>
          <w:b w:val="0"/>
          <w:sz w:val="24"/>
        </w:rPr>
        <w:t xml:space="preserve"> que hubiera prestado funciones en </w:t>
      </w:r>
      <w:smartTag w:uri="urn:schemas-microsoft-com:office:smarttags" w:element="PersonName">
        <w:smartTagPr>
          <w:attr w:name="ProductID" w:val="la Brigada"/>
        </w:smartTagPr>
        <w:r>
          <w:rPr>
            <w:rFonts w:ascii="Courier New" w:hAnsi="Courier New" w:cs="Courier New"/>
            <w:b w:val="0"/>
            <w:sz w:val="24"/>
          </w:rPr>
          <w:t>la Brig</w:t>
        </w:r>
        <w:r>
          <w:rPr>
            <w:rFonts w:ascii="Courier New" w:hAnsi="Courier New" w:cs="Courier New"/>
            <w:b w:val="0"/>
            <w:sz w:val="24"/>
          </w:rPr>
          <w:t>a</w:t>
        </w:r>
        <w:r>
          <w:rPr>
            <w:rFonts w:ascii="Courier New" w:hAnsi="Courier New" w:cs="Courier New"/>
            <w:b w:val="0"/>
            <w:sz w:val="24"/>
          </w:rPr>
          <w:t>da</w:t>
        </w:r>
      </w:smartTag>
      <w:r>
        <w:rPr>
          <w:rFonts w:ascii="Courier New" w:hAnsi="Courier New" w:cs="Courier New"/>
          <w:b w:val="0"/>
          <w:sz w:val="24"/>
        </w:rPr>
        <w:t xml:space="preserve"> de V</w:t>
      </w:r>
      <w:r>
        <w:rPr>
          <w:rFonts w:ascii="Courier New" w:hAnsi="Courier New" w:cs="Courier New"/>
          <w:b w:val="0"/>
          <w:sz w:val="24"/>
        </w:rPr>
        <w:t>i</w:t>
      </w:r>
      <w:r>
        <w:rPr>
          <w:rFonts w:ascii="Courier New" w:hAnsi="Courier New" w:cs="Courier New"/>
          <w:b w:val="0"/>
          <w:sz w:val="24"/>
        </w:rPr>
        <w:t>cente López en el mes de julio de 1994, medidas de prueba que desacreditaron los dichos del mencionado copr</w:t>
      </w:r>
      <w:r>
        <w:rPr>
          <w:rFonts w:ascii="Courier New" w:hAnsi="Courier New" w:cs="Courier New"/>
          <w:b w:val="0"/>
          <w:sz w:val="24"/>
        </w:rPr>
        <w:t>o</w:t>
      </w:r>
      <w:r>
        <w:rPr>
          <w:rFonts w:ascii="Courier New" w:hAnsi="Courier New" w:cs="Courier New"/>
          <w:b w:val="0"/>
          <w:sz w:val="24"/>
        </w:rPr>
        <w:t>cesado. Apuntó que la circunstancia expuesta no fue ev</w:t>
      </w:r>
      <w:r>
        <w:rPr>
          <w:rFonts w:ascii="Courier New" w:hAnsi="Courier New" w:cs="Courier New"/>
          <w:b w:val="0"/>
          <w:sz w:val="24"/>
        </w:rPr>
        <w:t>a</w:t>
      </w:r>
      <w:r>
        <w:rPr>
          <w:rFonts w:ascii="Courier New" w:hAnsi="Courier New" w:cs="Courier New"/>
          <w:b w:val="0"/>
          <w:sz w:val="24"/>
        </w:rPr>
        <w:t>luada en la requisit</w:t>
      </w:r>
      <w:r>
        <w:rPr>
          <w:rFonts w:ascii="Courier New" w:hAnsi="Courier New" w:cs="Courier New"/>
          <w:b w:val="0"/>
          <w:sz w:val="24"/>
        </w:rPr>
        <w:t>o</w:t>
      </w:r>
      <w:r>
        <w:rPr>
          <w:rFonts w:ascii="Courier New" w:hAnsi="Courier New" w:cs="Courier New"/>
          <w:b w:val="0"/>
          <w:sz w:val="24"/>
        </w:rPr>
        <w:t>ria.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refirió que Telle</w:t>
      </w:r>
      <w:r>
        <w:rPr>
          <w:rFonts w:ascii="Courier New" w:hAnsi="Courier New" w:cs="Courier New"/>
          <w:b w:val="0"/>
          <w:sz w:val="24"/>
        </w:rPr>
        <w:t>l</w:t>
      </w:r>
      <w:r>
        <w:rPr>
          <w:rFonts w:ascii="Courier New" w:hAnsi="Courier New" w:cs="Courier New"/>
          <w:b w:val="0"/>
          <w:sz w:val="24"/>
        </w:rPr>
        <w:t>dín se dirigió a su domicilio, invocando luego como justific</w:t>
      </w:r>
      <w:r>
        <w:rPr>
          <w:rFonts w:ascii="Courier New" w:hAnsi="Courier New" w:cs="Courier New"/>
          <w:b w:val="0"/>
          <w:sz w:val="24"/>
        </w:rPr>
        <w:t>a</w:t>
      </w:r>
      <w:r>
        <w:rPr>
          <w:rFonts w:ascii="Courier New" w:hAnsi="Courier New" w:cs="Courier New"/>
          <w:b w:val="0"/>
          <w:sz w:val="24"/>
        </w:rPr>
        <w:t xml:space="preserve">ción el supuesto temor hacia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Vicente L</w:t>
      </w:r>
      <w:r>
        <w:rPr>
          <w:rFonts w:ascii="Courier New" w:hAnsi="Courier New" w:cs="Courier New"/>
          <w:b w:val="0"/>
          <w:sz w:val="24"/>
        </w:rPr>
        <w:t>ó</w:t>
      </w:r>
      <w:r>
        <w:rPr>
          <w:rFonts w:ascii="Courier New" w:hAnsi="Courier New" w:cs="Courier New"/>
          <w:b w:val="0"/>
          <w:sz w:val="24"/>
        </w:rPr>
        <w:t>pez cuando ésta tomó conocimiento que el motor del crucero e</w:t>
      </w:r>
      <w:r>
        <w:rPr>
          <w:rFonts w:ascii="Courier New" w:hAnsi="Courier New" w:cs="Courier New"/>
          <w:b w:val="0"/>
          <w:sz w:val="24"/>
        </w:rPr>
        <w:t>n</w:t>
      </w:r>
      <w:r>
        <w:rPr>
          <w:rFonts w:ascii="Courier New" w:hAnsi="Courier New" w:cs="Courier New"/>
          <w:b w:val="0"/>
          <w:sz w:val="24"/>
        </w:rPr>
        <w:t>tregado estaba fundido, señalando Rago que todas las pruebas exi</w:t>
      </w:r>
      <w:r>
        <w:rPr>
          <w:rFonts w:ascii="Courier New" w:hAnsi="Courier New" w:cs="Courier New"/>
          <w:b w:val="0"/>
          <w:sz w:val="24"/>
        </w:rPr>
        <w:t>s</w:t>
      </w:r>
      <w:r>
        <w:rPr>
          <w:rFonts w:ascii="Courier New" w:hAnsi="Courier New" w:cs="Courier New"/>
          <w:b w:val="0"/>
          <w:sz w:val="24"/>
        </w:rPr>
        <w:t>tentes desacreditaron las afirmaciones de T</w:t>
      </w:r>
      <w:r>
        <w:rPr>
          <w:rFonts w:ascii="Courier New" w:hAnsi="Courier New" w:cs="Courier New"/>
          <w:b w:val="0"/>
          <w:sz w:val="24"/>
        </w:rPr>
        <w:t>e</w:t>
      </w:r>
      <w:r>
        <w:rPr>
          <w:rFonts w:ascii="Courier New" w:hAnsi="Courier New" w:cs="Courier New"/>
          <w:b w:val="0"/>
          <w:sz w:val="24"/>
        </w:rPr>
        <w:t>lleldín en el sentido expuesto, agregando que éste no efectuó ninguna averiguación para despejar su temor, conforme se despre</w:t>
      </w:r>
      <w:r>
        <w:rPr>
          <w:rFonts w:ascii="Courier New" w:hAnsi="Courier New" w:cs="Courier New"/>
          <w:b w:val="0"/>
          <w:sz w:val="24"/>
        </w:rPr>
        <w:t>n</w:t>
      </w:r>
      <w:r>
        <w:rPr>
          <w:rFonts w:ascii="Courier New" w:hAnsi="Courier New" w:cs="Courier New"/>
          <w:b w:val="0"/>
          <w:sz w:val="24"/>
        </w:rPr>
        <w:t>diera de los dichos de los testigos de la guardería, tr</w:t>
      </w:r>
      <w:r>
        <w:rPr>
          <w:rFonts w:ascii="Courier New" w:hAnsi="Courier New" w:cs="Courier New"/>
          <w:b w:val="0"/>
          <w:sz w:val="24"/>
        </w:rPr>
        <w:t>a</w:t>
      </w:r>
      <w:r>
        <w:rPr>
          <w:rFonts w:ascii="Courier New" w:hAnsi="Courier New" w:cs="Courier New"/>
          <w:b w:val="0"/>
          <w:sz w:val="24"/>
        </w:rPr>
        <w:t>tándose de una actitud extraña teniendo en cuenta la di</w:t>
      </w:r>
      <w:r>
        <w:rPr>
          <w:rFonts w:ascii="Courier New" w:hAnsi="Courier New" w:cs="Courier New"/>
          <w:b w:val="0"/>
          <w:sz w:val="24"/>
        </w:rPr>
        <w:t>s</w:t>
      </w:r>
      <w:r>
        <w:rPr>
          <w:rFonts w:ascii="Courier New" w:hAnsi="Courier New" w:cs="Courier New"/>
          <w:b w:val="0"/>
          <w:sz w:val="24"/>
        </w:rPr>
        <w:t>ponibilidad de gente con la que contaba, todo lo cual ll</w:t>
      </w:r>
      <w:r>
        <w:rPr>
          <w:rFonts w:ascii="Courier New" w:hAnsi="Courier New" w:cs="Courier New"/>
          <w:b w:val="0"/>
          <w:sz w:val="24"/>
        </w:rPr>
        <w:t>e</w:t>
      </w:r>
      <w:r>
        <w:rPr>
          <w:rFonts w:ascii="Courier New" w:hAnsi="Courier New" w:cs="Courier New"/>
          <w:b w:val="0"/>
          <w:sz w:val="24"/>
        </w:rPr>
        <w:t>vaba a confirmar que su partida no se debía a los mot</w:t>
      </w:r>
      <w:r>
        <w:rPr>
          <w:rFonts w:ascii="Courier New" w:hAnsi="Courier New" w:cs="Courier New"/>
          <w:b w:val="0"/>
          <w:sz w:val="24"/>
        </w:rPr>
        <w:t>i</w:t>
      </w:r>
      <w:r>
        <w:rPr>
          <w:rFonts w:ascii="Courier New" w:hAnsi="Courier New" w:cs="Courier New"/>
          <w:b w:val="0"/>
          <w:sz w:val="24"/>
        </w:rPr>
        <w:t>vos declarados.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invocó una declaración de Telle</w:t>
      </w:r>
      <w:r>
        <w:rPr>
          <w:rFonts w:ascii="Courier New" w:hAnsi="Courier New" w:cs="Courier New"/>
          <w:b w:val="0"/>
          <w:sz w:val="24"/>
        </w:rPr>
        <w:t>l</w:t>
      </w:r>
      <w:r>
        <w:rPr>
          <w:rFonts w:ascii="Courier New" w:hAnsi="Courier New" w:cs="Courier New"/>
          <w:b w:val="0"/>
          <w:sz w:val="24"/>
        </w:rPr>
        <w:t>dín de fs. 31.467 y se procedió a la exhibición de un fragmento de la videocinta que contenía la entrevista efectuada por el programa “Punto Doc” cuya transcripción se encuentra glosada a fs. 107.375, constancias ambas en las cuales Telleldín r</w:t>
      </w:r>
      <w:r>
        <w:rPr>
          <w:rFonts w:ascii="Courier New" w:hAnsi="Courier New" w:cs="Courier New"/>
          <w:b w:val="0"/>
          <w:sz w:val="24"/>
        </w:rPr>
        <w:t>e</w:t>
      </w:r>
      <w:r>
        <w:rPr>
          <w:rFonts w:ascii="Courier New" w:hAnsi="Courier New" w:cs="Courier New"/>
          <w:b w:val="0"/>
          <w:sz w:val="24"/>
        </w:rPr>
        <w:t>firió el mentado temor.</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Resaltó que Telleldín fue utilizado como testigo de cargo, cuando previamente había sido cal</w:t>
      </w:r>
      <w:r>
        <w:rPr>
          <w:rFonts w:ascii="Courier New" w:hAnsi="Courier New" w:cs="Courier New"/>
          <w:b w:val="0"/>
          <w:sz w:val="24"/>
        </w:rPr>
        <w:t>i</w:t>
      </w:r>
      <w:r>
        <w:rPr>
          <w:rFonts w:ascii="Courier New" w:hAnsi="Courier New" w:cs="Courier New"/>
          <w:b w:val="0"/>
          <w:sz w:val="24"/>
        </w:rPr>
        <w:t>ficado como mentiroso por los mismos acusadores en el p</w:t>
      </w:r>
      <w:r>
        <w:rPr>
          <w:rFonts w:ascii="Courier New" w:hAnsi="Courier New" w:cs="Courier New"/>
          <w:b w:val="0"/>
          <w:sz w:val="24"/>
        </w:rPr>
        <w:t>e</w:t>
      </w:r>
      <w:r>
        <w:rPr>
          <w:rFonts w:ascii="Courier New" w:hAnsi="Courier New" w:cs="Courier New"/>
          <w:b w:val="0"/>
          <w:sz w:val="24"/>
        </w:rPr>
        <w:t>dido de procesamiento de fecha 2 de junio de 1995 por la participación necesaria en el atentado.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Sostuvo que como él mantuvo entrevi</w:t>
      </w:r>
      <w:r>
        <w:rPr>
          <w:rFonts w:ascii="Courier New" w:hAnsi="Courier New" w:cs="Courier New"/>
          <w:b w:val="0"/>
          <w:sz w:val="24"/>
        </w:rPr>
        <w:t>s</w:t>
      </w:r>
      <w:r>
        <w:rPr>
          <w:rFonts w:ascii="Courier New" w:hAnsi="Courier New" w:cs="Courier New"/>
          <w:b w:val="0"/>
          <w:sz w:val="24"/>
        </w:rPr>
        <w:t>tas con el Dr. Galeano, hubiera sido importante a los f</w:t>
      </w:r>
      <w:r>
        <w:rPr>
          <w:rFonts w:ascii="Courier New" w:hAnsi="Courier New" w:cs="Courier New"/>
          <w:b w:val="0"/>
          <w:sz w:val="24"/>
        </w:rPr>
        <w:t>i</w:t>
      </w:r>
      <w:r>
        <w:rPr>
          <w:rFonts w:ascii="Courier New" w:hAnsi="Courier New" w:cs="Courier New"/>
          <w:b w:val="0"/>
          <w:sz w:val="24"/>
        </w:rPr>
        <w:t>nes de su defensa que el magistrado hubiera conserv</w:t>
      </w:r>
      <w:r>
        <w:rPr>
          <w:rFonts w:ascii="Courier New" w:hAnsi="Courier New" w:cs="Courier New"/>
          <w:b w:val="0"/>
          <w:sz w:val="24"/>
        </w:rPr>
        <w:t>a</w:t>
      </w:r>
      <w:r>
        <w:rPr>
          <w:rFonts w:ascii="Courier New" w:hAnsi="Courier New" w:cs="Courier New"/>
          <w:b w:val="0"/>
          <w:sz w:val="24"/>
        </w:rPr>
        <w:t>do las videocintas en lugar de quema</w:t>
      </w:r>
      <w:r>
        <w:rPr>
          <w:rFonts w:ascii="Courier New" w:hAnsi="Courier New" w:cs="Courier New"/>
          <w:b w:val="0"/>
          <w:sz w:val="24"/>
        </w:rPr>
        <w:t>r</w:t>
      </w:r>
      <w:r>
        <w:rPr>
          <w:rFonts w:ascii="Courier New" w:hAnsi="Courier New" w:cs="Courier New"/>
          <w:b w:val="0"/>
          <w:sz w:val="24"/>
        </w:rPr>
        <w:t>las.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 procedió a la escucha telefónica del abonado nº 780-0520, registrada en la cas</w:t>
      </w:r>
      <w:r>
        <w:rPr>
          <w:rFonts w:ascii="Courier New" w:hAnsi="Courier New" w:cs="Courier New"/>
          <w:b w:val="0"/>
          <w:sz w:val="24"/>
        </w:rPr>
        <w:t>e</w:t>
      </w:r>
      <w:r>
        <w:rPr>
          <w:rFonts w:ascii="Courier New" w:hAnsi="Courier New" w:cs="Courier New"/>
          <w:b w:val="0"/>
          <w:sz w:val="24"/>
        </w:rPr>
        <w:t>te nº 12, e individualizada en la vuelta nº 512, del 4 de julio de 1996, explicando Rago que se trataba de un diálogo mant</w:t>
      </w:r>
      <w:r>
        <w:rPr>
          <w:rFonts w:ascii="Courier New" w:hAnsi="Courier New" w:cs="Courier New"/>
          <w:b w:val="0"/>
          <w:sz w:val="24"/>
        </w:rPr>
        <w:t>e</w:t>
      </w:r>
      <w:r>
        <w:rPr>
          <w:rFonts w:ascii="Courier New" w:hAnsi="Courier New" w:cs="Courier New"/>
          <w:b w:val="0"/>
          <w:sz w:val="24"/>
        </w:rPr>
        <w:t>nido entre Boragni y Stinfale en el cual éstos c</w:t>
      </w:r>
      <w:r>
        <w:rPr>
          <w:rFonts w:ascii="Courier New" w:hAnsi="Courier New" w:cs="Courier New"/>
          <w:b w:val="0"/>
          <w:sz w:val="24"/>
        </w:rPr>
        <w:t>o</w:t>
      </w:r>
      <w:r>
        <w:rPr>
          <w:rFonts w:ascii="Courier New" w:hAnsi="Courier New" w:cs="Courier New"/>
          <w:b w:val="0"/>
          <w:sz w:val="24"/>
        </w:rPr>
        <w:t>mentaron varias veces que a Guillermo le ofrecieron $ 100.000, e</w:t>
      </w:r>
      <w:r>
        <w:rPr>
          <w:rFonts w:ascii="Courier New" w:hAnsi="Courier New" w:cs="Courier New"/>
          <w:b w:val="0"/>
          <w:sz w:val="24"/>
        </w:rPr>
        <w:t>n</w:t>
      </w:r>
      <w:r>
        <w:rPr>
          <w:rFonts w:ascii="Courier New" w:hAnsi="Courier New" w:cs="Courier New"/>
          <w:b w:val="0"/>
          <w:sz w:val="24"/>
        </w:rPr>
        <w:t>tendiendo Rago que podría tratarse de Guillermo Cotoras, surgiendo ta</w:t>
      </w:r>
      <w:r>
        <w:rPr>
          <w:rFonts w:ascii="Courier New" w:hAnsi="Courier New" w:cs="Courier New"/>
          <w:b w:val="0"/>
          <w:sz w:val="24"/>
        </w:rPr>
        <w:t>m</w:t>
      </w:r>
      <w:r>
        <w:rPr>
          <w:rFonts w:ascii="Courier New" w:hAnsi="Courier New" w:cs="Courier New"/>
          <w:b w:val="0"/>
          <w:sz w:val="24"/>
        </w:rPr>
        <w:t>bién de la charla que apretaban testigos.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declarante sostuvo que en su mome</w:t>
      </w:r>
      <w:r>
        <w:rPr>
          <w:rFonts w:ascii="Courier New" w:hAnsi="Courier New" w:cs="Courier New"/>
          <w:b w:val="0"/>
          <w:sz w:val="24"/>
        </w:rPr>
        <w:t>n</w:t>
      </w:r>
      <w:r>
        <w:rPr>
          <w:rFonts w:ascii="Courier New" w:hAnsi="Courier New" w:cs="Courier New"/>
          <w:b w:val="0"/>
          <w:sz w:val="24"/>
        </w:rPr>
        <w:t>to se deberían haber investigado los delitos de acción p</w:t>
      </w:r>
      <w:r>
        <w:rPr>
          <w:rFonts w:ascii="Courier New" w:hAnsi="Courier New" w:cs="Courier New"/>
          <w:b w:val="0"/>
          <w:sz w:val="24"/>
        </w:rPr>
        <w:t>ú</w:t>
      </w:r>
      <w:r>
        <w:rPr>
          <w:rFonts w:ascii="Courier New" w:hAnsi="Courier New" w:cs="Courier New"/>
          <w:b w:val="0"/>
          <w:sz w:val="24"/>
        </w:rPr>
        <w:t>blica que se desprendían de dichas escuchas, viéndose pe</w:t>
      </w:r>
      <w:r>
        <w:rPr>
          <w:rFonts w:ascii="Courier New" w:hAnsi="Courier New" w:cs="Courier New"/>
          <w:b w:val="0"/>
          <w:sz w:val="24"/>
        </w:rPr>
        <w:t>r</w:t>
      </w:r>
      <w:r>
        <w:rPr>
          <w:rFonts w:ascii="Courier New" w:hAnsi="Courier New" w:cs="Courier New"/>
          <w:b w:val="0"/>
          <w:sz w:val="24"/>
        </w:rPr>
        <w:t>judicado por dicha omisión, toda vez que de haber prosp</w:t>
      </w:r>
      <w:r>
        <w:rPr>
          <w:rFonts w:ascii="Courier New" w:hAnsi="Courier New" w:cs="Courier New"/>
          <w:b w:val="0"/>
          <w:sz w:val="24"/>
        </w:rPr>
        <w:t>e</w:t>
      </w:r>
      <w:r>
        <w:rPr>
          <w:rFonts w:ascii="Courier New" w:hAnsi="Courier New" w:cs="Courier New"/>
          <w:b w:val="0"/>
          <w:sz w:val="24"/>
        </w:rPr>
        <w:t>rado la respectiva denuncia, hubiera contado con acusad</w:t>
      </w:r>
      <w:r>
        <w:rPr>
          <w:rFonts w:ascii="Courier New" w:hAnsi="Courier New" w:cs="Courier New"/>
          <w:b w:val="0"/>
          <w:sz w:val="24"/>
        </w:rPr>
        <w:t>o</w:t>
      </w:r>
      <w:r>
        <w:rPr>
          <w:rFonts w:ascii="Courier New" w:hAnsi="Courier New" w:cs="Courier New"/>
          <w:b w:val="0"/>
          <w:sz w:val="24"/>
        </w:rPr>
        <w:t>res imparciales y no con los Dres. Mullen y Barba</w:t>
      </w:r>
      <w:r>
        <w:rPr>
          <w:rFonts w:ascii="Courier New" w:hAnsi="Courier New" w:cs="Courier New"/>
          <w:b w:val="0"/>
          <w:sz w:val="24"/>
        </w:rPr>
        <w:t>c</w:t>
      </w:r>
      <w:r>
        <w:rPr>
          <w:rFonts w:ascii="Courier New" w:hAnsi="Courier New" w:cs="Courier New"/>
          <w:b w:val="0"/>
          <w:sz w:val="24"/>
        </w:rPr>
        <w:t>cia.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Dijo que Ana Boragni fue utilizada c</w:t>
      </w:r>
      <w:r>
        <w:rPr>
          <w:rFonts w:ascii="Courier New" w:hAnsi="Courier New" w:cs="Courier New"/>
          <w:b w:val="0"/>
          <w:sz w:val="24"/>
        </w:rPr>
        <w:t>o</w:t>
      </w:r>
      <w:r>
        <w:rPr>
          <w:rFonts w:ascii="Courier New" w:hAnsi="Courier New" w:cs="Courier New"/>
          <w:b w:val="0"/>
          <w:sz w:val="24"/>
        </w:rPr>
        <w:t>mo testigo de cargo por los fiscales, pero que no valor</w:t>
      </w:r>
      <w:r>
        <w:rPr>
          <w:rFonts w:ascii="Courier New" w:hAnsi="Courier New" w:cs="Courier New"/>
          <w:b w:val="0"/>
          <w:sz w:val="24"/>
        </w:rPr>
        <w:t>a</w:t>
      </w:r>
      <w:r>
        <w:rPr>
          <w:rFonts w:ascii="Courier New" w:hAnsi="Courier New" w:cs="Courier New"/>
          <w:b w:val="0"/>
          <w:sz w:val="24"/>
        </w:rPr>
        <w:t>ron que instigó al falso testimonio a Pérez, resultando acreditado el delito por los dichos de éste, quien a su vez mintió diciendo que había estado el día 10 con Pérez Mejía en República 107.</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Destacó que Ana Boragni mentía con r</w:t>
      </w:r>
      <w:r>
        <w:rPr>
          <w:rFonts w:ascii="Courier New" w:hAnsi="Courier New" w:cs="Courier New"/>
          <w:b w:val="0"/>
          <w:sz w:val="24"/>
        </w:rPr>
        <w:t>e</w:t>
      </w:r>
      <w:r>
        <w:rPr>
          <w:rFonts w:ascii="Courier New" w:hAnsi="Courier New" w:cs="Courier New"/>
          <w:b w:val="0"/>
          <w:sz w:val="24"/>
        </w:rPr>
        <w:t>lación a la presencia del Duna blanco; al respecto, le p</w:t>
      </w:r>
      <w:r>
        <w:rPr>
          <w:rFonts w:ascii="Courier New" w:hAnsi="Courier New" w:cs="Courier New"/>
          <w:b w:val="0"/>
          <w:sz w:val="24"/>
        </w:rPr>
        <w:t>a</w:t>
      </w:r>
      <w:r>
        <w:rPr>
          <w:rFonts w:ascii="Courier New" w:hAnsi="Courier New" w:cs="Courier New"/>
          <w:b w:val="0"/>
          <w:sz w:val="24"/>
        </w:rPr>
        <w:t>reció que en la declaración prestada por la no</w:t>
      </w:r>
      <w:r>
        <w:rPr>
          <w:rFonts w:ascii="Courier New" w:hAnsi="Courier New" w:cs="Courier New"/>
          <w:b w:val="0"/>
          <w:sz w:val="24"/>
        </w:rPr>
        <w:t>m</w:t>
      </w:r>
      <w:r>
        <w:rPr>
          <w:rFonts w:ascii="Courier New" w:hAnsi="Courier New" w:cs="Courier New"/>
          <w:b w:val="0"/>
          <w:sz w:val="24"/>
        </w:rPr>
        <w:t>brada a los pocos días de producidos los hechos no mencionó a dicho vehículo, así como el choque y la post</w:t>
      </w:r>
      <w:r>
        <w:rPr>
          <w:rFonts w:ascii="Courier New" w:hAnsi="Courier New" w:cs="Courier New"/>
          <w:b w:val="0"/>
          <w:sz w:val="24"/>
        </w:rPr>
        <w:t>e</w:t>
      </w:r>
      <w:r>
        <w:rPr>
          <w:rFonts w:ascii="Courier New" w:hAnsi="Courier New" w:cs="Courier New"/>
          <w:b w:val="0"/>
          <w:sz w:val="24"/>
        </w:rPr>
        <w:t>rior huida.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que la falsedad mencionada en el párrafo que antecede fue unida a la me</w:t>
      </w:r>
      <w:r>
        <w:rPr>
          <w:rFonts w:ascii="Courier New" w:hAnsi="Courier New" w:cs="Courier New"/>
          <w:b w:val="0"/>
          <w:sz w:val="24"/>
        </w:rPr>
        <w:t>n</w:t>
      </w:r>
      <w:r>
        <w:rPr>
          <w:rFonts w:ascii="Courier New" w:hAnsi="Courier New" w:cs="Courier New"/>
          <w:b w:val="0"/>
          <w:sz w:val="24"/>
        </w:rPr>
        <w:t>tira con los temas de Pérez M</w:t>
      </w:r>
      <w:r>
        <w:rPr>
          <w:rFonts w:ascii="Courier New" w:hAnsi="Courier New" w:cs="Courier New"/>
          <w:b w:val="0"/>
          <w:sz w:val="24"/>
        </w:rPr>
        <w:t>e</w:t>
      </w:r>
      <w:r>
        <w:rPr>
          <w:rFonts w:ascii="Courier New" w:hAnsi="Courier New" w:cs="Courier New"/>
          <w:b w:val="0"/>
          <w:sz w:val="24"/>
        </w:rPr>
        <w:t>jía, de la quinta de Tortuguitas, del día 10 y de los días 14 y 15.</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Rago señaló que Cayetano Cruz mintió a pedido del Dr. Stinfale, al declarar en el Juzgado de San Isidro a favor de Carlos Alberto T</w:t>
      </w:r>
      <w:r>
        <w:rPr>
          <w:rFonts w:ascii="Courier New" w:hAnsi="Courier New" w:cs="Courier New"/>
          <w:b w:val="0"/>
          <w:sz w:val="24"/>
        </w:rPr>
        <w:t>e</w:t>
      </w:r>
      <w:r>
        <w:rPr>
          <w:rFonts w:ascii="Courier New" w:hAnsi="Courier New" w:cs="Courier New"/>
          <w:b w:val="0"/>
          <w:sz w:val="24"/>
        </w:rPr>
        <w:t>lleldín.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narró que los fiscales tampoco t</w:t>
      </w:r>
      <w:r>
        <w:rPr>
          <w:rFonts w:ascii="Courier New" w:hAnsi="Courier New" w:cs="Courier New"/>
          <w:b w:val="0"/>
          <w:sz w:val="24"/>
        </w:rPr>
        <w:t>u</w:t>
      </w:r>
      <w:r>
        <w:rPr>
          <w:rFonts w:ascii="Courier New" w:hAnsi="Courier New" w:cs="Courier New"/>
          <w:b w:val="0"/>
          <w:sz w:val="24"/>
        </w:rPr>
        <w:t>vieron en cuenta que cuando Boragni señaló en su declaración del 4 de abril de 1995 que el comprador sacó el dinero de un “attaché” negro, se lo dio a Ca</w:t>
      </w:r>
      <w:r>
        <w:rPr>
          <w:rFonts w:ascii="Courier New" w:hAnsi="Courier New" w:cs="Courier New"/>
          <w:b w:val="0"/>
          <w:sz w:val="24"/>
        </w:rPr>
        <w:t>r</w:t>
      </w:r>
      <w:r>
        <w:rPr>
          <w:rFonts w:ascii="Courier New" w:hAnsi="Courier New" w:cs="Courier New"/>
          <w:b w:val="0"/>
          <w:sz w:val="24"/>
        </w:rPr>
        <w:t>los, quien a su vez se lo entregó a ella para que lo controlara co</w:t>
      </w:r>
      <w:r>
        <w:rPr>
          <w:rFonts w:ascii="Courier New" w:hAnsi="Courier New" w:cs="Courier New"/>
          <w:b w:val="0"/>
          <w:sz w:val="24"/>
        </w:rPr>
        <w:t>n</w:t>
      </w:r>
      <w:r>
        <w:rPr>
          <w:rFonts w:ascii="Courier New" w:hAnsi="Courier New" w:cs="Courier New"/>
          <w:b w:val="0"/>
          <w:sz w:val="24"/>
        </w:rPr>
        <w:t>tando y ver</w:t>
      </w:r>
      <w:r>
        <w:rPr>
          <w:rFonts w:ascii="Courier New" w:hAnsi="Courier New" w:cs="Courier New"/>
          <w:b w:val="0"/>
          <w:sz w:val="24"/>
        </w:rPr>
        <w:t>i</w:t>
      </w:r>
      <w:r>
        <w:rPr>
          <w:rFonts w:ascii="Courier New" w:hAnsi="Courier New" w:cs="Courier New"/>
          <w:b w:val="0"/>
          <w:sz w:val="24"/>
        </w:rPr>
        <w:t>ficando la legitimidad de los billetes, mintió en el destino otorgado al d</w:t>
      </w:r>
      <w:r>
        <w:rPr>
          <w:rFonts w:ascii="Courier New" w:hAnsi="Courier New" w:cs="Courier New"/>
          <w:b w:val="0"/>
          <w:sz w:val="24"/>
        </w:rPr>
        <w:t>i</w:t>
      </w:r>
      <w:r>
        <w:rPr>
          <w:rFonts w:ascii="Courier New" w:hAnsi="Courier New" w:cs="Courier New"/>
          <w:b w:val="0"/>
          <w:sz w:val="24"/>
        </w:rPr>
        <w:t>nero.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acusado se refirió a la entr</w:t>
      </w:r>
      <w:r>
        <w:rPr>
          <w:rFonts w:ascii="Courier New" w:hAnsi="Courier New" w:cs="Courier New"/>
          <w:b w:val="0"/>
          <w:sz w:val="24"/>
        </w:rPr>
        <w:t>e</w:t>
      </w:r>
      <w:r>
        <w:rPr>
          <w:rFonts w:ascii="Courier New" w:hAnsi="Courier New" w:cs="Courier New"/>
          <w:b w:val="0"/>
          <w:sz w:val="24"/>
        </w:rPr>
        <w:t>vista entre Telleldín y el juez Galeano, en la cual el Dr. De Gamas le manifestó al primero que su mujer no sería imp</w:t>
      </w:r>
      <w:r>
        <w:rPr>
          <w:rFonts w:ascii="Courier New" w:hAnsi="Courier New" w:cs="Courier New"/>
          <w:b w:val="0"/>
          <w:sz w:val="24"/>
        </w:rPr>
        <w:t>u</w:t>
      </w:r>
      <w:r>
        <w:rPr>
          <w:rFonts w:ascii="Courier New" w:hAnsi="Courier New" w:cs="Courier New"/>
          <w:b w:val="0"/>
          <w:sz w:val="24"/>
        </w:rPr>
        <w:t>tada en la causa, habiéndose cumplido en definitiva el trato, al igual que el pacto re</w:t>
      </w:r>
      <w:r>
        <w:rPr>
          <w:rFonts w:ascii="Courier New" w:hAnsi="Courier New" w:cs="Courier New"/>
          <w:b w:val="0"/>
          <w:sz w:val="24"/>
        </w:rPr>
        <w:t>s</w:t>
      </w:r>
      <w:r>
        <w:rPr>
          <w:rFonts w:ascii="Courier New" w:hAnsi="Courier New" w:cs="Courier New"/>
          <w:b w:val="0"/>
          <w:sz w:val="24"/>
        </w:rPr>
        <w:t>pecto de Pérez.</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Sintetizó que los fiscales no tuvi</w:t>
      </w:r>
      <w:r>
        <w:rPr>
          <w:rFonts w:ascii="Courier New" w:hAnsi="Courier New" w:cs="Courier New"/>
          <w:b w:val="0"/>
          <w:sz w:val="24"/>
        </w:rPr>
        <w:t>e</w:t>
      </w:r>
      <w:r>
        <w:rPr>
          <w:rFonts w:ascii="Courier New" w:hAnsi="Courier New" w:cs="Courier New"/>
          <w:b w:val="0"/>
          <w:sz w:val="24"/>
        </w:rPr>
        <w:t>ron en cuenta que Boragni mintió en el cobro y el de</w:t>
      </w:r>
      <w:r>
        <w:rPr>
          <w:rFonts w:ascii="Courier New" w:hAnsi="Courier New" w:cs="Courier New"/>
          <w:b w:val="0"/>
          <w:sz w:val="24"/>
        </w:rPr>
        <w:t>s</w:t>
      </w:r>
      <w:r>
        <w:rPr>
          <w:rFonts w:ascii="Courier New" w:hAnsi="Courier New" w:cs="Courier New"/>
          <w:b w:val="0"/>
          <w:sz w:val="24"/>
        </w:rPr>
        <w:t>tino del dinero; lo instigó a mentir a Pérez con rel</w:t>
      </w:r>
      <w:r>
        <w:rPr>
          <w:rFonts w:ascii="Courier New" w:hAnsi="Courier New" w:cs="Courier New"/>
          <w:b w:val="0"/>
          <w:sz w:val="24"/>
        </w:rPr>
        <w:t>a</w:t>
      </w:r>
      <w:r>
        <w:rPr>
          <w:rFonts w:ascii="Courier New" w:hAnsi="Courier New" w:cs="Courier New"/>
          <w:b w:val="0"/>
          <w:sz w:val="24"/>
        </w:rPr>
        <w:t>ción al día 10 y mintió sobre la presencia de Pérez M</w:t>
      </w:r>
      <w:r>
        <w:rPr>
          <w:rFonts w:ascii="Courier New" w:hAnsi="Courier New" w:cs="Courier New"/>
          <w:b w:val="0"/>
          <w:sz w:val="24"/>
        </w:rPr>
        <w:t>e</w:t>
      </w:r>
      <w:r>
        <w:rPr>
          <w:rFonts w:ascii="Courier New" w:hAnsi="Courier New" w:cs="Courier New"/>
          <w:b w:val="0"/>
          <w:sz w:val="24"/>
        </w:rPr>
        <w:t>jía.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Indicó que en la requisitoria de el</w:t>
      </w:r>
      <w:r>
        <w:rPr>
          <w:rFonts w:ascii="Courier New" w:hAnsi="Courier New" w:cs="Courier New"/>
          <w:b w:val="0"/>
          <w:sz w:val="24"/>
        </w:rPr>
        <w:t>e</w:t>
      </w:r>
      <w:r>
        <w:rPr>
          <w:rFonts w:ascii="Courier New" w:hAnsi="Courier New" w:cs="Courier New"/>
          <w:b w:val="0"/>
          <w:sz w:val="24"/>
        </w:rPr>
        <w:t>vación a juicio se mencionó al suboficial García, omitie</w:t>
      </w:r>
      <w:r>
        <w:rPr>
          <w:rFonts w:ascii="Courier New" w:hAnsi="Courier New" w:cs="Courier New"/>
          <w:b w:val="0"/>
          <w:sz w:val="24"/>
        </w:rPr>
        <w:t>n</w:t>
      </w:r>
      <w:r>
        <w:rPr>
          <w:rFonts w:ascii="Courier New" w:hAnsi="Courier New" w:cs="Courier New"/>
          <w:b w:val="0"/>
          <w:sz w:val="24"/>
        </w:rPr>
        <w:t>do los fiscales señalar que ese agente no d</w:t>
      </w:r>
      <w:r>
        <w:rPr>
          <w:rFonts w:ascii="Courier New" w:hAnsi="Courier New" w:cs="Courier New"/>
          <w:b w:val="0"/>
          <w:sz w:val="24"/>
        </w:rPr>
        <w:t>e</w:t>
      </w:r>
      <w:r>
        <w:rPr>
          <w:rFonts w:ascii="Courier New" w:hAnsi="Courier New" w:cs="Courier New"/>
          <w:b w:val="0"/>
          <w:sz w:val="24"/>
        </w:rPr>
        <w:t>claró sobre el Duna blanco, no obstante haber participado del proced</w:t>
      </w:r>
      <w:r>
        <w:rPr>
          <w:rFonts w:ascii="Courier New" w:hAnsi="Courier New" w:cs="Courier New"/>
          <w:b w:val="0"/>
          <w:sz w:val="24"/>
        </w:rPr>
        <w:t>i</w:t>
      </w:r>
      <w:r>
        <w:rPr>
          <w:rFonts w:ascii="Courier New" w:hAnsi="Courier New" w:cs="Courier New"/>
          <w:b w:val="0"/>
          <w:sz w:val="24"/>
        </w:rPr>
        <w:t>miento, apartándose así el testigo del relato acusatorio.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Agregó que ni los fiscales ni el ju</w:t>
      </w:r>
      <w:r>
        <w:rPr>
          <w:rFonts w:ascii="Courier New" w:hAnsi="Courier New" w:cs="Courier New"/>
          <w:b w:val="0"/>
          <w:sz w:val="24"/>
        </w:rPr>
        <w:t>z</w:t>
      </w:r>
      <w:r>
        <w:rPr>
          <w:rFonts w:ascii="Courier New" w:hAnsi="Courier New" w:cs="Courier New"/>
          <w:b w:val="0"/>
          <w:sz w:val="24"/>
        </w:rPr>
        <w:t>gado promovieron ninguna prueba para establecer la veros</w:t>
      </w:r>
      <w:r>
        <w:rPr>
          <w:rFonts w:ascii="Courier New" w:hAnsi="Courier New" w:cs="Courier New"/>
          <w:b w:val="0"/>
          <w:sz w:val="24"/>
        </w:rPr>
        <w:t>i</w:t>
      </w:r>
      <w:r>
        <w:rPr>
          <w:rFonts w:ascii="Courier New" w:hAnsi="Courier New" w:cs="Courier New"/>
          <w:b w:val="0"/>
          <w:sz w:val="24"/>
        </w:rPr>
        <w:t>militud de los dichos de ese suboficial con relación al mencionado vehículo, explicando dicha pasividad en el h</w:t>
      </w:r>
      <w:r>
        <w:rPr>
          <w:rFonts w:ascii="Courier New" w:hAnsi="Courier New" w:cs="Courier New"/>
          <w:b w:val="0"/>
          <w:sz w:val="24"/>
        </w:rPr>
        <w:t>e</w:t>
      </w:r>
      <w:r>
        <w:rPr>
          <w:rFonts w:ascii="Courier New" w:hAnsi="Courier New" w:cs="Courier New"/>
          <w:b w:val="0"/>
          <w:sz w:val="24"/>
        </w:rPr>
        <w:t>cho de que la presencia del Duna era parte de la ment</w:t>
      </w:r>
      <w:r>
        <w:rPr>
          <w:rFonts w:ascii="Courier New" w:hAnsi="Courier New" w:cs="Courier New"/>
          <w:b w:val="0"/>
          <w:sz w:val="24"/>
        </w:rPr>
        <w:t>i</w:t>
      </w:r>
      <w:r>
        <w:rPr>
          <w:rFonts w:ascii="Courier New" w:hAnsi="Courier New" w:cs="Courier New"/>
          <w:b w:val="0"/>
          <w:sz w:val="24"/>
        </w:rPr>
        <w:t>ra, por lo que la búsqueda de probanzas destinadas a confi</w:t>
      </w:r>
      <w:r>
        <w:rPr>
          <w:rFonts w:ascii="Courier New" w:hAnsi="Courier New" w:cs="Courier New"/>
          <w:b w:val="0"/>
          <w:sz w:val="24"/>
        </w:rPr>
        <w:t>r</w:t>
      </w:r>
      <w:r>
        <w:rPr>
          <w:rFonts w:ascii="Courier New" w:hAnsi="Courier New" w:cs="Courier New"/>
          <w:b w:val="0"/>
          <w:sz w:val="24"/>
        </w:rPr>
        <w:t>marla harían caer la historia.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sostuvo que los d</w:t>
      </w:r>
      <w:r>
        <w:rPr>
          <w:rFonts w:ascii="Courier New" w:hAnsi="Courier New" w:cs="Courier New"/>
          <w:b w:val="0"/>
          <w:sz w:val="24"/>
        </w:rPr>
        <w:t>i</w:t>
      </w:r>
      <w:r>
        <w:rPr>
          <w:rFonts w:ascii="Courier New" w:hAnsi="Courier New" w:cs="Courier New"/>
          <w:b w:val="0"/>
          <w:sz w:val="24"/>
        </w:rPr>
        <w:t>chos de García acreditaban las manifestaciones de Forgione, reco</w:t>
      </w:r>
      <w:r>
        <w:rPr>
          <w:rFonts w:ascii="Courier New" w:hAnsi="Courier New" w:cs="Courier New"/>
          <w:b w:val="0"/>
          <w:sz w:val="24"/>
        </w:rPr>
        <w:t>r</w:t>
      </w:r>
      <w:r>
        <w:rPr>
          <w:rFonts w:ascii="Courier New" w:hAnsi="Courier New" w:cs="Courier New"/>
          <w:b w:val="0"/>
          <w:sz w:val="24"/>
        </w:rPr>
        <w:t>dando que cuando el suboficial declaró que en la brigada le preguntó al principal Leal qué ocurría, éste le respo</w:t>
      </w:r>
      <w:r>
        <w:rPr>
          <w:rFonts w:ascii="Courier New" w:hAnsi="Courier New" w:cs="Courier New"/>
          <w:b w:val="0"/>
          <w:sz w:val="24"/>
        </w:rPr>
        <w:t>n</w:t>
      </w:r>
      <w:r>
        <w:rPr>
          <w:rFonts w:ascii="Courier New" w:hAnsi="Courier New" w:cs="Courier New"/>
          <w:b w:val="0"/>
          <w:sz w:val="24"/>
        </w:rPr>
        <w:t>dió que se quedara tranquilo, ya que iban a dejar que el sujeto se confiara y luego lo detendrían, circunstancia también declarada por el jefe de la me</w:t>
      </w:r>
      <w:r>
        <w:rPr>
          <w:rFonts w:ascii="Courier New" w:hAnsi="Courier New" w:cs="Courier New"/>
          <w:b w:val="0"/>
          <w:sz w:val="24"/>
        </w:rPr>
        <w:t>n</w:t>
      </w:r>
      <w:r>
        <w:rPr>
          <w:rFonts w:ascii="Courier New" w:hAnsi="Courier New" w:cs="Courier New"/>
          <w:b w:val="0"/>
          <w:sz w:val="24"/>
        </w:rPr>
        <w:t>cionada dependencia pol</w:t>
      </w:r>
      <w:r>
        <w:rPr>
          <w:rFonts w:ascii="Courier New" w:hAnsi="Courier New" w:cs="Courier New"/>
          <w:b w:val="0"/>
          <w:sz w:val="24"/>
        </w:rPr>
        <w:t>i</w:t>
      </w:r>
      <w:r>
        <w:rPr>
          <w:rFonts w:ascii="Courier New" w:hAnsi="Courier New" w:cs="Courier New"/>
          <w:b w:val="0"/>
          <w:sz w:val="24"/>
        </w:rPr>
        <w:t>cial.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Recordó que Forgione sostuvo que ante la frustración del procedimiento, resolvió suspender las tareas de inteligencia hasta tanto se obtuviera nueva i</w:t>
      </w:r>
      <w:r>
        <w:rPr>
          <w:rFonts w:ascii="Courier New" w:hAnsi="Courier New" w:cs="Courier New"/>
          <w:b w:val="0"/>
          <w:sz w:val="24"/>
        </w:rPr>
        <w:t>n</w:t>
      </w:r>
      <w:r>
        <w:rPr>
          <w:rFonts w:ascii="Courier New" w:hAnsi="Courier New" w:cs="Courier New"/>
          <w:b w:val="0"/>
          <w:sz w:val="24"/>
        </w:rPr>
        <w:t>formación relacionada al caso, concluyendo Rago que la o</w:t>
      </w:r>
      <w:r>
        <w:rPr>
          <w:rFonts w:ascii="Courier New" w:hAnsi="Courier New" w:cs="Courier New"/>
          <w:b w:val="0"/>
          <w:sz w:val="24"/>
        </w:rPr>
        <w:t>r</w:t>
      </w:r>
      <w:r>
        <w:rPr>
          <w:rFonts w:ascii="Courier New" w:hAnsi="Courier New" w:cs="Courier New"/>
          <w:b w:val="0"/>
          <w:sz w:val="24"/>
        </w:rPr>
        <w:t>den se transmitió y llegó a su destino final.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Agregó que los dichos de Lasala fu</w:t>
      </w:r>
      <w:r>
        <w:rPr>
          <w:rFonts w:ascii="Courier New" w:hAnsi="Courier New" w:cs="Courier New"/>
          <w:b w:val="0"/>
          <w:sz w:val="24"/>
        </w:rPr>
        <w:t>e</w:t>
      </w:r>
      <w:r>
        <w:rPr>
          <w:rFonts w:ascii="Courier New" w:hAnsi="Courier New" w:cs="Courier New"/>
          <w:b w:val="0"/>
          <w:sz w:val="24"/>
        </w:rPr>
        <w:t>ron utilizados como prueba de cargo, omitiendo señalar los acusadores tanto que éste no mencionó el Duna bla</w:t>
      </w:r>
      <w:r>
        <w:rPr>
          <w:rFonts w:ascii="Courier New" w:hAnsi="Courier New" w:cs="Courier New"/>
          <w:b w:val="0"/>
          <w:sz w:val="24"/>
        </w:rPr>
        <w:t>n</w:t>
      </w:r>
      <w:r>
        <w:rPr>
          <w:rFonts w:ascii="Courier New" w:hAnsi="Courier New" w:cs="Courier New"/>
          <w:b w:val="0"/>
          <w:sz w:val="24"/>
        </w:rPr>
        <w:t>co como que declaró que a él le pareció un procedimie</w:t>
      </w:r>
      <w:r>
        <w:rPr>
          <w:rFonts w:ascii="Courier New" w:hAnsi="Courier New" w:cs="Courier New"/>
          <w:b w:val="0"/>
          <w:sz w:val="24"/>
        </w:rPr>
        <w:t>n</w:t>
      </w:r>
      <w:r>
        <w:rPr>
          <w:rFonts w:ascii="Courier New" w:hAnsi="Courier New" w:cs="Courier New"/>
          <w:b w:val="0"/>
          <w:sz w:val="24"/>
        </w:rPr>
        <w:t>to normal.</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Destacó, con relación a los contradi</w:t>
      </w:r>
      <w:r>
        <w:rPr>
          <w:rFonts w:ascii="Courier New" w:hAnsi="Courier New" w:cs="Courier New"/>
          <w:b w:val="0"/>
          <w:sz w:val="24"/>
        </w:rPr>
        <w:t>c</w:t>
      </w:r>
      <w:r>
        <w:rPr>
          <w:rFonts w:ascii="Courier New" w:hAnsi="Courier New" w:cs="Courier New"/>
          <w:b w:val="0"/>
          <w:sz w:val="24"/>
        </w:rPr>
        <w:t>torios dichos de Bareiro, que en su primera versión sost</w:t>
      </w:r>
      <w:r>
        <w:rPr>
          <w:rFonts w:ascii="Courier New" w:hAnsi="Courier New" w:cs="Courier New"/>
          <w:b w:val="0"/>
          <w:sz w:val="24"/>
        </w:rPr>
        <w:t>u</w:t>
      </w:r>
      <w:r>
        <w:rPr>
          <w:rFonts w:ascii="Courier New" w:hAnsi="Courier New" w:cs="Courier New"/>
          <w:b w:val="0"/>
          <w:sz w:val="24"/>
        </w:rPr>
        <w:t>vo que el procedimiento respecto de Telleldín t</w:t>
      </w:r>
      <w:r>
        <w:rPr>
          <w:rFonts w:ascii="Courier New" w:hAnsi="Courier New" w:cs="Courier New"/>
          <w:b w:val="0"/>
          <w:sz w:val="24"/>
        </w:rPr>
        <w:t>e</w:t>
      </w:r>
      <w:r>
        <w:rPr>
          <w:rFonts w:ascii="Courier New" w:hAnsi="Courier New" w:cs="Courier New"/>
          <w:b w:val="0"/>
          <w:sz w:val="24"/>
        </w:rPr>
        <w:t>nía fines de lucro, mientras que en la segunda negó dicha circun</w:t>
      </w:r>
      <w:r>
        <w:rPr>
          <w:rFonts w:ascii="Courier New" w:hAnsi="Courier New" w:cs="Courier New"/>
          <w:b w:val="0"/>
          <w:sz w:val="24"/>
        </w:rPr>
        <w:t>s</w:t>
      </w:r>
      <w:r>
        <w:rPr>
          <w:rFonts w:ascii="Courier New" w:hAnsi="Courier New" w:cs="Courier New"/>
          <w:b w:val="0"/>
          <w:sz w:val="24"/>
        </w:rPr>
        <w:t>tancia, especificando que ni siquiera se habló del tema; al respecto, Rago señaló que la segunda historia tenía respaldo probatorio porque era la verd</w:t>
      </w:r>
      <w:r>
        <w:rPr>
          <w:rFonts w:ascii="Courier New" w:hAnsi="Courier New" w:cs="Courier New"/>
          <w:b w:val="0"/>
          <w:sz w:val="24"/>
        </w:rPr>
        <w:t>a</w:t>
      </w:r>
      <w:r>
        <w:rPr>
          <w:rFonts w:ascii="Courier New" w:hAnsi="Courier New" w:cs="Courier New"/>
          <w:b w:val="0"/>
          <w:sz w:val="24"/>
        </w:rPr>
        <w:t>dera, circunstancia que debería haber sido tenida en cuenta por la fi</w:t>
      </w:r>
      <w:r>
        <w:rPr>
          <w:rFonts w:ascii="Courier New" w:hAnsi="Courier New" w:cs="Courier New"/>
          <w:b w:val="0"/>
          <w:sz w:val="24"/>
        </w:rPr>
        <w:t>s</w:t>
      </w:r>
      <w:r>
        <w:rPr>
          <w:rFonts w:ascii="Courier New" w:hAnsi="Courier New" w:cs="Courier New"/>
          <w:b w:val="0"/>
          <w:sz w:val="24"/>
        </w:rPr>
        <w:t>calía.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reiteró que ratificaba sus anteriores declaraciones, en el sentido de que él no cometió delito alguno, sino que cumplió las órdenes impa</w:t>
      </w:r>
      <w:r>
        <w:rPr>
          <w:rFonts w:ascii="Courier New" w:hAnsi="Courier New" w:cs="Courier New"/>
          <w:b w:val="0"/>
          <w:sz w:val="24"/>
        </w:rPr>
        <w:t>r</w:t>
      </w:r>
      <w:r>
        <w:rPr>
          <w:rFonts w:ascii="Courier New" w:hAnsi="Courier New" w:cs="Courier New"/>
          <w:b w:val="0"/>
          <w:sz w:val="24"/>
        </w:rPr>
        <w:t>tidas por su superior de acuerdo a la reglamentación pol</w:t>
      </w:r>
      <w:r>
        <w:rPr>
          <w:rFonts w:ascii="Courier New" w:hAnsi="Courier New" w:cs="Courier New"/>
          <w:b w:val="0"/>
          <w:sz w:val="24"/>
        </w:rPr>
        <w:t>i</w:t>
      </w:r>
      <w:r>
        <w:rPr>
          <w:rFonts w:ascii="Courier New" w:hAnsi="Courier New" w:cs="Courier New"/>
          <w:b w:val="0"/>
          <w:sz w:val="24"/>
        </w:rPr>
        <w:t>cial vigente; agregó que las retransmitió, resultándole llamativo que los fiscales no incluyeron en su relato ac</w:t>
      </w:r>
      <w:r>
        <w:rPr>
          <w:rFonts w:ascii="Courier New" w:hAnsi="Courier New" w:cs="Courier New"/>
          <w:b w:val="0"/>
          <w:sz w:val="24"/>
        </w:rPr>
        <w:t>u</w:t>
      </w:r>
      <w:r>
        <w:rPr>
          <w:rFonts w:ascii="Courier New" w:hAnsi="Courier New" w:cs="Courier New"/>
          <w:b w:val="0"/>
          <w:sz w:val="24"/>
        </w:rPr>
        <w:t>satorio a Forgione, quien era el jefe y se hizo respons</w:t>
      </w:r>
      <w:r>
        <w:rPr>
          <w:rFonts w:ascii="Courier New" w:hAnsi="Courier New" w:cs="Courier New"/>
          <w:b w:val="0"/>
          <w:sz w:val="24"/>
        </w:rPr>
        <w:t>a</w:t>
      </w:r>
      <w:r>
        <w:rPr>
          <w:rFonts w:ascii="Courier New" w:hAnsi="Courier New" w:cs="Courier New"/>
          <w:b w:val="0"/>
          <w:sz w:val="24"/>
        </w:rPr>
        <w:t>ble del pr</w:t>
      </w:r>
      <w:r>
        <w:rPr>
          <w:rFonts w:ascii="Courier New" w:hAnsi="Courier New" w:cs="Courier New"/>
          <w:b w:val="0"/>
          <w:sz w:val="24"/>
        </w:rPr>
        <w:t>o</w:t>
      </w:r>
      <w:r>
        <w:rPr>
          <w:rFonts w:ascii="Courier New" w:hAnsi="Courier New" w:cs="Courier New"/>
          <w:b w:val="0"/>
          <w:sz w:val="24"/>
        </w:rPr>
        <w:t>cedimiento.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Sostuvo que la detención de Hugo P</w:t>
      </w:r>
      <w:r>
        <w:rPr>
          <w:rFonts w:ascii="Courier New" w:hAnsi="Courier New" w:cs="Courier New"/>
          <w:b w:val="0"/>
          <w:sz w:val="24"/>
        </w:rPr>
        <w:t>é</w:t>
      </w:r>
      <w:r>
        <w:rPr>
          <w:rFonts w:ascii="Courier New" w:hAnsi="Courier New" w:cs="Courier New"/>
          <w:b w:val="0"/>
          <w:sz w:val="24"/>
        </w:rPr>
        <w:t>rez se materializó cumplimentando todos los requisitos leg</w:t>
      </w:r>
      <w:r>
        <w:rPr>
          <w:rFonts w:ascii="Courier New" w:hAnsi="Courier New" w:cs="Courier New"/>
          <w:b w:val="0"/>
          <w:sz w:val="24"/>
        </w:rPr>
        <w:t>a</w:t>
      </w:r>
      <w:r>
        <w:rPr>
          <w:rFonts w:ascii="Courier New" w:hAnsi="Courier New" w:cs="Courier New"/>
          <w:b w:val="0"/>
          <w:sz w:val="24"/>
        </w:rPr>
        <w:t>les, destacándose entre ellos la comunicación de la dete</w:t>
      </w:r>
      <w:r>
        <w:rPr>
          <w:rFonts w:ascii="Courier New" w:hAnsi="Courier New" w:cs="Courier New"/>
          <w:b w:val="0"/>
          <w:sz w:val="24"/>
        </w:rPr>
        <w:t>n</w:t>
      </w:r>
      <w:r>
        <w:rPr>
          <w:rFonts w:ascii="Courier New" w:hAnsi="Courier New" w:cs="Courier New"/>
          <w:b w:val="0"/>
          <w:sz w:val="24"/>
        </w:rPr>
        <w:t>ción y el registro en los libros correspondientes, respe</w:t>
      </w:r>
      <w:r>
        <w:rPr>
          <w:rFonts w:ascii="Courier New" w:hAnsi="Courier New" w:cs="Courier New"/>
          <w:b w:val="0"/>
          <w:sz w:val="24"/>
        </w:rPr>
        <w:t>c</w:t>
      </w:r>
      <w:r>
        <w:rPr>
          <w:rFonts w:ascii="Courier New" w:hAnsi="Courier New" w:cs="Courier New"/>
          <w:b w:val="0"/>
          <w:sz w:val="24"/>
        </w:rPr>
        <w:t>to de la ausencia de actuaciones sumariales previas al procedimiento, dijo que estaba probado que para esa fecha y hasta tanto no se acreditara el delito, se efectuaban tareas de inteligencia sin comunicación j</w:t>
      </w:r>
      <w:r>
        <w:rPr>
          <w:rFonts w:ascii="Courier New" w:hAnsi="Courier New" w:cs="Courier New"/>
          <w:b w:val="0"/>
          <w:sz w:val="24"/>
        </w:rPr>
        <w:t>u</w:t>
      </w:r>
      <w:r>
        <w:rPr>
          <w:rFonts w:ascii="Courier New" w:hAnsi="Courier New" w:cs="Courier New"/>
          <w:b w:val="0"/>
          <w:sz w:val="24"/>
        </w:rPr>
        <w:t>dicial, tal como con</w:t>
      </w:r>
      <w:r>
        <w:rPr>
          <w:rFonts w:ascii="Courier New" w:hAnsi="Courier New" w:cs="Courier New"/>
          <w:b w:val="0"/>
          <w:sz w:val="24"/>
        </w:rPr>
        <w:t>s</w:t>
      </w:r>
      <w:r>
        <w:rPr>
          <w:rFonts w:ascii="Courier New" w:hAnsi="Courier New" w:cs="Courier New"/>
          <w:b w:val="0"/>
          <w:sz w:val="24"/>
        </w:rPr>
        <w:t>ta en las actuaciones instruidas en el legajo nº 90.</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Reiteró que el procedimiento no tuvo una finalidad ilícita y no intentó privar de la libertad ilegítimamente ni a Telleldín ni a B</w:t>
      </w:r>
      <w:r>
        <w:rPr>
          <w:rFonts w:ascii="Courier New" w:hAnsi="Courier New" w:cs="Courier New"/>
          <w:b w:val="0"/>
          <w:sz w:val="24"/>
        </w:rPr>
        <w:t>o</w:t>
      </w:r>
      <w:r>
        <w:rPr>
          <w:rFonts w:ascii="Courier New" w:hAnsi="Courier New" w:cs="Courier New"/>
          <w:b w:val="0"/>
          <w:sz w:val="24"/>
        </w:rPr>
        <w:t>ragni.</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eran incorrectas las afi</w:t>
      </w:r>
      <w:r>
        <w:rPr>
          <w:rFonts w:ascii="Courier New" w:hAnsi="Courier New" w:cs="Courier New"/>
          <w:b w:val="0"/>
          <w:sz w:val="24"/>
        </w:rPr>
        <w:t>r</w:t>
      </w:r>
      <w:r>
        <w:rPr>
          <w:rFonts w:ascii="Courier New" w:hAnsi="Courier New" w:cs="Courier New"/>
          <w:b w:val="0"/>
          <w:sz w:val="24"/>
        </w:rPr>
        <w:t>maciones de la fiscalía en el sentido que se carecía de constancias relativas al mencionado procedimiento, dest</w:t>
      </w:r>
      <w:r>
        <w:rPr>
          <w:rFonts w:ascii="Courier New" w:hAnsi="Courier New" w:cs="Courier New"/>
          <w:b w:val="0"/>
          <w:sz w:val="24"/>
        </w:rPr>
        <w:t>a</w:t>
      </w:r>
      <w:r>
        <w:rPr>
          <w:rFonts w:ascii="Courier New" w:hAnsi="Courier New" w:cs="Courier New"/>
          <w:b w:val="0"/>
          <w:sz w:val="24"/>
        </w:rPr>
        <w:t>cando al respecto que se instruyeron las actuaciones exh</w:t>
      </w:r>
      <w:r>
        <w:rPr>
          <w:rFonts w:ascii="Courier New" w:hAnsi="Courier New" w:cs="Courier New"/>
          <w:b w:val="0"/>
          <w:sz w:val="24"/>
        </w:rPr>
        <w:t>i</w:t>
      </w:r>
      <w:r>
        <w:rPr>
          <w:rFonts w:ascii="Courier New" w:hAnsi="Courier New" w:cs="Courier New"/>
          <w:b w:val="0"/>
          <w:sz w:val="24"/>
        </w:rPr>
        <w:t>bidas en el debate y se efectuaron registros en los l</w:t>
      </w:r>
      <w:r>
        <w:rPr>
          <w:rFonts w:ascii="Courier New" w:hAnsi="Courier New" w:cs="Courier New"/>
          <w:b w:val="0"/>
          <w:sz w:val="24"/>
        </w:rPr>
        <w:t>i</w:t>
      </w:r>
      <w:r>
        <w:rPr>
          <w:rFonts w:ascii="Courier New" w:hAnsi="Courier New" w:cs="Courier New"/>
          <w:b w:val="0"/>
          <w:sz w:val="24"/>
        </w:rPr>
        <w:t>bros habilitados al respecto, siendo también erróneas las ac</w:t>
      </w:r>
      <w:r>
        <w:rPr>
          <w:rFonts w:ascii="Courier New" w:hAnsi="Courier New" w:cs="Courier New"/>
          <w:b w:val="0"/>
          <w:sz w:val="24"/>
        </w:rPr>
        <w:t>u</w:t>
      </w:r>
      <w:r>
        <w:rPr>
          <w:rFonts w:ascii="Courier New" w:hAnsi="Courier New" w:cs="Courier New"/>
          <w:b w:val="0"/>
          <w:sz w:val="24"/>
        </w:rPr>
        <w:t>saciones en cuanto a que el declarante y Leal dispusi</w:t>
      </w:r>
      <w:r>
        <w:rPr>
          <w:rFonts w:ascii="Courier New" w:hAnsi="Courier New" w:cs="Courier New"/>
          <w:b w:val="0"/>
          <w:sz w:val="24"/>
        </w:rPr>
        <w:t>e</w:t>
      </w:r>
      <w:r>
        <w:rPr>
          <w:rFonts w:ascii="Courier New" w:hAnsi="Courier New" w:cs="Courier New"/>
          <w:b w:val="0"/>
          <w:sz w:val="24"/>
        </w:rPr>
        <w:t>ron realizar el operativo, cuando éstos refirieron en numer</w:t>
      </w:r>
      <w:r>
        <w:rPr>
          <w:rFonts w:ascii="Courier New" w:hAnsi="Courier New" w:cs="Courier New"/>
          <w:b w:val="0"/>
          <w:sz w:val="24"/>
        </w:rPr>
        <w:t>o</w:t>
      </w:r>
      <w:r>
        <w:rPr>
          <w:rFonts w:ascii="Courier New" w:hAnsi="Courier New" w:cs="Courier New"/>
          <w:b w:val="0"/>
          <w:sz w:val="24"/>
        </w:rPr>
        <w:t>sas oportunidades que fue el comisario inspector Fo</w:t>
      </w:r>
      <w:r>
        <w:rPr>
          <w:rFonts w:ascii="Courier New" w:hAnsi="Courier New" w:cs="Courier New"/>
          <w:b w:val="0"/>
          <w:sz w:val="24"/>
        </w:rPr>
        <w:t>r</w:t>
      </w:r>
      <w:r>
        <w:rPr>
          <w:rFonts w:ascii="Courier New" w:hAnsi="Courier New" w:cs="Courier New"/>
          <w:b w:val="0"/>
          <w:sz w:val="24"/>
        </w:rPr>
        <w:t>gione, quien ordenó el operativo y avaló la detención de Pérez.</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Destacó que eran erróneas las afirm</w:t>
      </w:r>
      <w:r>
        <w:rPr>
          <w:rFonts w:ascii="Courier New" w:hAnsi="Courier New" w:cs="Courier New"/>
          <w:b w:val="0"/>
          <w:sz w:val="24"/>
        </w:rPr>
        <w:t>a</w:t>
      </w:r>
      <w:r>
        <w:rPr>
          <w:rFonts w:ascii="Courier New" w:hAnsi="Courier New" w:cs="Courier New"/>
          <w:b w:val="0"/>
          <w:sz w:val="24"/>
        </w:rPr>
        <w:t>ciones de los representantes del Ministerio Público Fi</w:t>
      </w:r>
      <w:r>
        <w:rPr>
          <w:rFonts w:ascii="Courier New" w:hAnsi="Courier New" w:cs="Courier New"/>
          <w:b w:val="0"/>
          <w:sz w:val="24"/>
        </w:rPr>
        <w:t>s</w:t>
      </w:r>
      <w:r>
        <w:rPr>
          <w:rFonts w:ascii="Courier New" w:hAnsi="Courier New" w:cs="Courier New"/>
          <w:b w:val="0"/>
          <w:sz w:val="24"/>
        </w:rPr>
        <w:t>cal, en el sentido que Barreda presentó el abogado a T</w:t>
      </w:r>
      <w:r>
        <w:rPr>
          <w:rFonts w:ascii="Courier New" w:hAnsi="Courier New" w:cs="Courier New"/>
          <w:b w:val="0"/>
          <w:sz w:val="24"/>
        </w:rPr>
        <w:t>e</w:t>
      </w:r>
      <w:r>
        <w:rPr>
          <w:rFonts w:ascii="Courier New" w:hAnsi="Courier New" w:cs="Courier New"/>
          <w:b w:val="0"/>
          <w:sz w:val="24"/>
        </w:rPr>
        <w:t>lleldín junto con Leal y Bareiro.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Afirmó que, muy por el contrario, fu</w:t>
      </w:r>
      <w:r>
        <w:rPr>
          <w:rFonts w:ascii="Courier New" w:hAnsi="Courier New" w:cs="Courier New"/>
          <w:b w:val="0"/>
          <w:sz w:val="24"/>
        </w:rPr>
        <w:t>e</w:t>
      </w:r>
      <w:r>
        <w:rPr>
          <w:rFonts w:ascii="Courier New" w:hAnsi="Courier New" w:cs="Courier New"/>
          <w:b w:val="0"/>
          <w:sz w:val="24"/>
        </w:rPr>
        <w:t>ron solamente Barreda y Bareiro los que hicieron la pr</w:t>
      </w:r>
      <w:r>
        <w:rPr>
          <w:rFonts w:ascii="Courier New" w:hAnsi="Courier New" w:cs="Courier New"/>
          <w:b w:val="0"/>
          <w:sz w:val="24"/>
        </w:rPr>
        <w:t>e</w:t>
      </w:r>
      <w:r>
        <w:rPr>
          <w:rFonts w:ascii="Courier New" w:hAnsi="Courier New" w:cs="Courier New"/>
          <w:b w:val="0"/>
          <w:sz w:val="24"/>
        </w:rPr>
        <w:t>sentación, mas no así Leal, no surgiendo del expediente constancias que avalen los dichos de los acus</w:t>
      </w:r>
      <w:r>
        <w:rPr>
          <w:rFonts w:ascii="Courier New" w:hAnsi="Courier New" w:cs="Courier New"/>
          <w:b w:val="0"/>
          <w:sz w:val="24"/>
        </w:rPr>
        <w:t>a</w:t>
      </w:r>
      <w:r>
        <w:rPr>
          <w:rFonts w:ascii="Courier New" w:hAnsi="Courier New" w:cs="Courier New"/>
          <w:b w:val="0"/>
          <w:sz w:val="24"/>
        </w:rPr>
        <w:t>dores en el sentido expuesto en el párrafo a</w:t>
      </w:r>
      <w:r>
        <w:rPr>
          <w:rFonts w:ascii="Courier New" w:hAnsi="Courier New" w:cs="Courier New"/>
          <w:b w:val="0"/>
          <w:sz w:val="24"/>
        </w:rPr>
        <w:t>n</w:t>
      </w:r>
      <w:r>
        <w:rPr>
          <w:rFonts w:ascii="Courier New" w:hAnsi="Courier New" w:cs="Courier New"/>
          <w:b w:val="0"/>
          <w:sz w:val="24"/>
        </w:rPr>
        <w:t>terior.</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Resaltó que los fiscales no tuvieron en cuenta que, conforme se acreditó en la instrucción s</w:t>
      </w:r>
      <w:r>
        <w:rPr>
          <w:rFonts w:ascii="Courier New" w:hAnsi="Courier New" w:cs="Courier New"/>
          <w:b w:val="0"/>
          <w:sz w:val="24"/>
        </w:rPr>
        <w:t>u</w:t>
      </w:r>
      <w:r>
        <w:rPr>
          <w:rFonts w:ascii="Courier New" w:hAnsi="Courier New" w:cs="Courier New"/>
          <w:b w:val="0"/>
          <w:sz w:val="24"/>
        </w:rPr>
        <w:t>plementaria, en el año 1990 resultó herido cuando rescat</w:t>
      </w:r>
      <w:r>
        <w:rPr>
          <w:rFonts w:ascii="Courier New" w:hAnsi="Courier New" w:cs="Courier New"/>
          <w:b w:val="0"/>
          <w:sz w:val="24"/>
        </w:rPr>
        <w:t>a</w:t>
      </w:r>
      <w:r>
        <w:rPr>
          <w:rFonts w:ascii="Courier New" w:hAnsi="Courier New" w:cs="Courier New"/>
          <w:b w:val="0"/>
          <w:sz w:val="24"/>
        </w:rPr>
        <w:t>ba rehenes; en el año 1995 sa</w:t>
      </w:r>
      <w:r>
        <w:rPr>
          <w:rFonts w:ascii="Courier New" w:hAnsi="Courier New" w:cs="Courier New"/>
          <w:b w:val="0"/>
          <w:sz w:val="24"/>
        </w:rPr>
        <w:t>l</w:t>
      </w:r>
      <w:r>
        <w:rPr>
          <w:rFonts w:ascii="Courier New" w:hAnsi="Courier New" w:cs="Courier New"/>
          <w:b w:val="0"/>
          <w:sz w:val="24"/>
        </w:rPr>
        <w:t>vó varias vidas en un asalto a un aserradero y que tanto la familia del empresario P</w:t>
      </w:r>
      <w:r>
        <w:rPr>
          <w:rFonts w:ascii="Courier New" w:hAnsi="Courier New" w:cs="Courier New"/>
          <w:b w:val="0"/>
          <w:sz w:val="24"/>
        </w:rPr>
        <w:t>e</w:t>
      </w:r>
      <w:r>
        <w:rPr>
          <w:rFonts w:ascii="Courier New" w:hAnsi="Courier New" w:cs="Courier New"/>
          <w:b w:val="0"/>
          <w:sz w:val="24"/>
        </w:rPr>
        <w:t>ralta como el juez actuante lo felicitaron por su partic</w:t>
      </w:r>
      <w:r>
        <w:rPr>
          <w:rFonts w:ascii="Courier New" w:hAnsi="Courier New" w:cs="Courier New"/>
          <w:b w:val="0"/>
          <w:sz w:val="24"/>
        </w:rPr>
        <w:t>i</w:t>
      </w:r>
      <w:r>
        <w:rPr>
          <w:rFonts w:ascii="Courier New" w:hAnsi="Courier New" w:cs="Courier New"/>
          <w:b w:val="0"/>
          <w:sz w:val="24"/>
        </w:rPr>
        <w:t>pación en la detención y esclarecimiento del secuestro y muerte del mencionado comerciante.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manifestó que la misión de Leal el día 14 de julio fue concurrir a registrar el vehículo, establecer que fuera apócrifo o mal habido y en caso afirmativo iniciar el proced</w:t>
      </w:r>
      <w:r>
        <w:rPr>
          <w:rFonts w:ascii="Courier New" w:hAnsi="Courier New" w:cs="Courier New"/>
          <w:b w:val="0"/>
          <w:sz w:val="24"/>
        </w:rPr>
        <w:t>i</w:t>
      </w:r>
      <w:r>
        <w:rPr>
          <w:rFonts w:ascii="Courier New" w:hAnsi="Courier New" w:cs="Courier New"/>
          <w:b w:val="0"/>
          <w:sz w:val="24"/>
        </w:rPr>
        <w:t>miento, es decir, labrar el acta de secuestro y demás, conforme se hizo en la prá</w:t>
      </w:r>
      <w:r>
        <w:rPr>
          <w:rFonts w:ascii="Courier New" w:hAnsi="Courier New" w:cs="Courier New"/>
          <w:b w:val="0"/>
          <w:sz w:val="24"/>
        </w:rPr>
        <w:t>c</w:t>
      </w:r>
      <w:r>
        <w:rPr>
          <w:rFonts w:ascii="Courier New" w:hAnsi="Courier New" w:cs="Courier New"/>
          <w:b w:val="0"/>
          <w:sz w:val="24"/>
        </w:rPr>
        <w:t>tica.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acusado explicó que Leal rec</w:t>
      </w:r>
      <w:r>
        <w:rPr>
          <w:rFonts w:ascii="Courier New" w:hAnsi="Courier New" w:cs="Courier New"/>
          <w:b w:val="0"/>
          <w:sz w:val="24"/>
        </w:rPr>
        <w:t>i</w:t>
      </w:r>
      <w:r>
        <w:rPr>
          <w:rFonts w:ascii="Courier New" w:hAnsi="Courier New" w:cs="Courier New"/>
          <w:b w:val="0"/>
          <w:sz w:val="24"/>
        </w:rPr>
        <w:t>bió la orden tanto del comisario inspector Forgione en forma d</w:t>
      </w:r>
      <w:r>
        <w:rPr>
          <w:rFonts w:ascii="Courier New" w:hAnsi="Courier New" w:cs="Courier New"/>
          <w:b w:val="0"/>
          <w:sz w:val="24"/>
        </w:rPr>
        <w:t>i</w:t>
      </w:r>
      <w:r>
        <w:rPr>
          <w:rFonts w:ascii="Courier New" w:hAnsi="Courier New" w:cs="Courier New"/>
          <w:b w:val="0"/>
          <w:sz w:val="24"/>
        </w:rPr>
        <w:t>recta, conforme declarara este último, como también a tr</w:t>
      </w:r>
      <w:r>
        <w:rPr>
          <w:rFonts w:ascii="Courier New" w:hAnsi="Courier New" w:cs="Courier New"/>
          <w:b w:val="0"/>
          <w:sz w:val="24"/>
        </w:rPr>
        <w:t>a</w:t>
      </w:r>
      <w:r>
        <w:rPr>
          <w:rFonts w:ascii="Courier New" w:hAnsi="Courier New" w:cs="Courier New"/>
          <w:b w:val="0"/>
          <w:sz w:val="24"/>
        </w:rPr>
        <w:t>vés suyo que se la retran</w:t>
      </w:r>
      <w:r>
        <w:rPr>
          <w:rFonts w:ascii="Courier New" w:hAnsi="Courier New" w:cs="Courier New"/>
          <w:b w:val="0"/>
          <w:sz w:val="24"/>
        </w:rPr>
        <w:t>s</w:t>
      </w:r>
      <w:r>
        <w:rPr>
          <w:rFonts w:ascii="Courier New" w:hAnsi="Courier New" w:cs="Courier New"/>
          <w:b w:val="0"/>
          <w:sz w:val="24"/>
        </w:rPr>
        <w:t>mitió.</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Manifestó que Leal estableció comun</w:t>
      </w:r>
      <w:r>
        <w:rPr>
          <w:rFonts w:ascii="Courier New" w:hAnsi="Courier New" w:cs="Courier New"/>
          <w:b w:val="0"/>
          <w:sz w:val="24"/>
        </w:rPr>
        <w:t>i</w:t>
      </w:r>
      <w:r>
        <w:rPr>
          <w:rFonts w:ascii="Courier New" w:hAnsi="Courier New" w:cs="Courier New"/>
          <w:b w:val="0"/>
          <w:sz w:val="24"/>
        </w:rPr>
        <w:t>cación con el declarante desde el lugar de los hechos, i</w:t>
      </w:r>
      <w:r>
        <w:rPr>
          <w:rFonts w:ascii="Courier New" w:hAnsi="Courier New" w:cs="Courier New"/>
          <w:b w:val="0"/>
          <w:sz w:val="24"/>
        </w:rPr>
        <w:t>n</w:t>
      </w:r>
      <w:r>
        <w:rPr>
          <w:rFonts w:ascii="Courier New" w:hAnsi="Courier New" w:cs="Courier New"/>
          <w:b w:val="0"/>
          <w:sz w:val="24"/>
        </w:rPr>
        <w:t>teriorizándolo sobre las diversas circunstancias, según declarara dicho coprocesado.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Precisó que Leal le comentó que a su parecer existía la posibilidad de quedarse esp</w:t>
      </w:r>
      <w:r>
        <w:rPr>
          <w:rFonts w:ascii="Courier New" w:hAnsi="Courier New" w:cs="Courier New"/>
          <w:b w:val="0"/>
          <w:sz w:val="24"/>
        </w:rPr>
        <w:t>e</w:t>
      </w:r>
      <w:r>
        <w:rPr>
          <w:rFonts w:ascii="Courier New" w:hAnsi="Courier New" w:cs="Courier New"/>
          <w:b w:val="0"/>
          <w:sz w:val="24"/>
        </w:rPr>
        <w:t>rando en el lugar para ver de qué se trataba la c</w:t>
      </w:r>
      <w:r>
        <w:rPr>
          <w:rFonts w:ascii="Courier New" w:hAnsi="Courier New" w:cs="Courier New"/>
          <w:b w:val="0"/>
          <w:sz w:val="24"/>
        </w:rPr>
        <w:t>o</w:t>
      </w:r>
      <w:r>
        <w:rPr>
          <w:rFonts w:ascii="Courier New" w:hAnsi="Courier New" w:cs="Courier New"/>
          <w:b w:val="0"/>
          <w:sz w:val="24"/>
        </w:rPr>
        <w:t>sa.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 xml:space="preserve">Continuó su relato manifestando que después de consultar con el jefe de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no le dio a Leal una orden concreta con relación a Telleldín, sino que simplemente le dijo que perman</w:t>
      </w:r>
      <w:r>
        <w:rPr>
          <w:rFonts w:ascii="Courier New" w:hAnsi="Courier New" w:cs="Courier New"/>
          <w:b w:val="0"/>
          <w:sz w:val="24"/>
        </w:rPr>
        <w:t>e</w:t>
      </w:r>
      <w:r>
        <w:rPr>
          <w:rFonts w:ascii="Courier New" w:hAnsi="Courier New" w:cs="Courier New"/>
          <w:b w:val="0"/>
          <w:sz w:val="24"/>
        </w:rPr>
        <w:t>ciera allí a la espera de algún desenlace como el posible arribo de Telleldín y que investigue en el lugar, habiendo cumpl</w:t>
      </w:r>
      <w:r>
        <w:rPr>
          <w:rFonts w:ascii="Courier New" w:hAnsi="Courier New" w:cs="Courier New"/>
          <w:b w:val="0"/>
          <w:sz w:val="24"/>
        </w:rPr>
        <w:t>i</w:t>
      </w:r>
      <w:r>
        <w:rPr>
          <w:rFonts w:ascii="Courier New" w:hAnsi="Courier New" w:cs="Courier New"/>
          <w:b w:val="0"/>
          <w:sz w:val="24"/>
        </w:rPr>
        <w:t>mentado éste la orden.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Al ser preguntado si se dispuso fo</w:t>
      </w:r>
      <w:r>
        <w:rPr>
          <w:rFonts w:ascii="Courier New" w:hAnsi="Courier New" w:cs="Courier New"/>
          <w:b w:val="0"/>
          <w:sz w:val="24"/>
        </w:rPr>
        <w:t>r</w:t>
      </w:r>
      <w:r>
        <w:rPr>
          <w:rFonts w:ascii="Courier New" w:hAnsi="Courier New" w:cs="Courier New"/>
          <w:b w:val="0"/>
          <w:sz w:val="24"/>
        </w:rPr>
        <w:t>malmente la detención de Telleldín ante la fuga, Rago m</w:t>
      </w:r>
      <w:r>
        <w:rPr>
          <w:rFonts w:ascii="Courier New" w:hAnsi="Courier New" w:cs="Courier New"/>
          <w:b w:val="0"/>
          <w:sz w:val="24"/>
        </w:rPr>
        <w:t>a</w:t>
      </w:r>
      <w:r>
        <w:rPr>
          <w:rFonts w:ascii="Courier New" w:hAnsi="Courier New" w:cs="Courier New"/>
          <w:b w:val="0"/>
          <w:sz w:val="24"/>
        </w:rPr>
        <w:t>nifestó creer que Fo</w:t>
      </w:r>
      <w:r>
        <w:rPr>
          <w:rFonts w:ascii="Courier New" w:hAnsi="Courier New" w:cs="Courier New"/>
          <w:b w:val="0"/>
          <w:sz w:val="24"/>
        </w:rPr>
        <w:t>r</w:t>
      </w:r>
      <w:r>
        <w:rPr>
          <w:rFonts w:ascii="Courier New" w:hAnsi="Courier New" w:cs="Courier New"/>
          <w:b w:val="0"/>
          <w:sz w:val="24"/>
        </w:rPr>
        <w:t>gione había dicho que la sola fuga no era delito.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Por último, el encartado dijo no r</w:t>
      </w:r>
      <w:r>
        <w:rPr>
          <w:rFonts w:ascii="Courier New" w:hAnsi="Courier New" w:cs="Courier New"/>
          <w:b w:val="0"/>
          <w:sz w:val="24"/>
        </w:rPr>
        <w:t>e</w:t>
      </w:r>
      <w:r>
        <w:rPr>
          <w:rFonts w:ascii="Courier New" w:hAnsi="Courier New" w:cs="Courier New"/>
          <w:b w:val="0"/>
          <w:sz w:val="24"/>
        </w:rPr>
        <w:t>cordar si se secuestró algún efecto de manos de Pérez, precisando que en el caso de una incautación vinculada a la investigación se tenía que dejar constancia en las a</w:t>
      </w:r>
      <w:r>
        <w:rPr>
          <w:rFonts w:ascii="Courier New" w:hAnsi="Courier New" w:cs="Courier New"/>
          <w:b w:val="0"/>
          <w:sz w:val="24"/>
        </w:rPr>
        <w:t>c</w:t>
      </w:r>
      <w:r>
        <w:rPr>
          <w:rFonts w:ascii="Courier New" w:hAnsi="Courier New" w:cs="Courier New"/>
          <w:b w:val="0"/>
          <w:sz w:val="24"/>
        </w:rPr>
        <w:t>tuaciones, mientras que en el supuesto del secuestro de simples efectos personales de detenidos, se hacían recibos totalmente indepe</w:t>
      </w:r>
      <w:r>
        <w:rPr>
          <w:rFonts w:ascii="Courier New" w:hAnsi="Courier New" w:cs="Courier New"/>
          <w:b w:val="0"/>
          <w:sz w:val="24"/>
        </w:rPr>
        <w:t>n</w:t>
      </w:r>
      <w:r>
        <w:rPr>
          <w:rFonts w:ascii="Courier New" w:hAnsi="Courier New" w:cs="Courier New"/>
          <w:b w:val="0"/>
          <w:sz w:val="24"/>
        </w:rPr>
        <w:t>dientes de las actuaciones policiales.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3 de octubre de 2002 se pra</w:t>
      </w:r>
      <w:r>
        <w:rPr>
          <w:rFonts w:ascii="Courier New" w:hAnsi="Courier New" w:cs="Courier New"/>
          <w:b w:val="0"/>
          <w:sz w:val="24"/>
        </w:rPr>
        <w:t>c</w:t>
      </w:r>
      <w:r>
        <w:rPr>
          <w:rFonts w:ascii="Courier New" w:hAnsi="Courier New" w:cs="Courier New"/>
          <w:b w:val="0"/>
          <w:sz w:val="24"/>
        </w:rPr>
        <w:t>ticó un careo entre el imputado Rago y el testigo Gustavo Semor</w:t>
      </w:r>
      <w:r>
        <w:rPr>
          <w:rFonts w:ascii="Courier New" w:hAnsi="Courier New" w:cs="Courier New"/>
          <w:b w:val="0"/>
          <w:sz w:val="24"/>
        </w:rPr>
        <w:t>i</w:t>
      </w:r>
      <w:r>
        <w:rPr>
          <w:rFonts w:ascii="Courier New" w:hAnsi="Courier New" w:cs="Courier New"/>
          <w:b w:val="0"/>
          <w:sz w:val="24"/>
        </w:rPr>
        <w:t>le.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 xml:space="preserve">En la ocasión, Rago manifestó que en el año 1996 Semorile lo fue a ver a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San M</w:t>
      </w:r>
      <w:r>
        <w:rPr>
          <w:rFonts w:ascii="Courier New" w:hAnsi="Courier New" w:cs="Courier New"/>
          <w:b w:val="0"/>
          <w:sz w:val="24"/>
        </w:rPr>
        <w:t>i</w:t>
      </w:r>
      <w:r>
        <w:rPr>
          <w:rFonts w:ascii="Courier New" w:hAnsi="Courier New" w:cs="Courier New"/>
          <w:b w:val="0"/>
          <w:sz w:val="24"/>
        </w:rPr>
        <w:t>guel y tuvieron dos encuentros breves en un café a la vuelta de esa dependencia policial, opo</w:t>
      </w:r>
      <w:r>
        <w:rPr>
          <w:rFonts w:ascii="Courier New" w:hAnsi="Courier New" w:cs="Courier New"/>
          <w:b w:val="0"/>
          <w:sz w:val="24"/>
        </w:rPr>
        <w:t>r</w:t>
      </w:r>
      <w:r>
        <w:rPr>
          <w:rFonts w:ascii="Courier New" w:hAnsi="Courier New" w:cs="Courier New"/>
          <w:b w:val="0"/>
          <w:sz w:val="24"/>
        </w:rPr>
        <w:t>tunidad en las que el letrado le propuso, sabiendo que era inocente, que fu</w:t>
      </w:r>
      <w:r>
        <w:rPr>
          <w:rFonts w:ascii="Courier New" w:hAnsi="Courier New" w:cs="Courier New"/>
          <w:b w:val="0"/>
          <w:sz w:val="24"/>
        </w:rPr>
        <w:t>e</w:t>
      </w:r>
      <w:r>
        <w:rPr>
          <w:rFonts w:ascii="Courier New" w:hAnsi="Courier New" w:cs="Courier New"/>
          <w:b w:val="0"/>
          <w:sz w:val="24"/>
        </w:rPr>
        <w:t>ra a hablar con el Dr. G</w:t>
      </w:r>
      <w:r>
        <w:rPr>
          <w:rFonts w:ascii="Courier New" w:hAnsi="Courier New" w:cs="Courier New"/>
          <w:b w:val="0"/>
          <w:sz w:val="24"/>
        </w:rPr>
        <w:t>a</w:t>
      </w:r>
      <w:r>
        <w:rPr>
          <w:rFonts w:ascii="Courier New" w:hAnsi="Courier New" w:cs="Courier New"/>
          <w:b w:val="0"/>
          <w:sz w:val="24"/>
        </w:rPr>
        <w:t>leano.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Al respecto, recordó que aproximad</w:t>
      </w:r>
      <w:r>
        <w:rPr>
          <w:rFonts w:ascii="Courier New" w:hAnsi="Courier New" w:cs="Courier New"/>
          <w:b w:val="0"/>
          <w:sz w:val="24"/>
        </w:rPr>
        <w:t>a</w:t>
      </w:r>
      <w:r>
        <w:rPr>
          <w:rFonts w:ascii="Courier New" w:hAnsi="Courier New" w:cs="Courier New"/>
          <w:b w:val="0"/>
          <w:sz w:val="24"/>
        </w:rPr>
        <w:t>mente en el mes de julio de 1995, cuando se de</w:t>
      </w:r>
      <w:r>
        <w:rPr>
          <w:rFonts w:ascii="Courier New" w:hAnsi="Courier New" w:cs="Courier New"/>
          <w:b w:val="0"/>
          <w:sz w:val="24"/>
        </w:rPr>
        <w:t>s</w:t>
      </w:r>
      <w:r>
        <w:rPr>
          <w:rFonts w:ascii="Courier New" w:hAnsi="Courier New" w:cs="Courier New"/>
          <w:b w:val="0"/>
          <w:sz w:val="24"/>
        </w:rPr>
        <w:t xml:space="preserve">empeñaba en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w:t>
      </w:r>
      <w:smartTag w:uri="urn:schemas-microsoft-com:office:smarttags" w:element="PersonName">
        <w:smartTagPr>
          <w:attr w:name="ProductID" w:val="La Matanza"/>
        </w:smartTagPr>
        <w:r>
          <w:rPr>
            <w:rFonts w:ascii="Courier New" w:hAnsi="Courier New" w:cs="Courier New"/>
            <w:b w:val="0"/>
            <w:sz w:val="24"/>
          </w:rPr>
          <w:t>La Matanza</w:t>
        </w:r>
      </w:smartTag>
      <w:r>
        <w:rPr>
          <w:rFonts w:ascii="Courier New" w:hAnsi="Courier New" w:cs="Courier New"/>
          <w:b w:val="0"/>
          <w:sz w:val="24"/>
        </w:rPr>
        <w:t>, conversó con el letrado refer</w:t>
      </w:r>
      <w:r>
        <w:rPr>
          <w:rFonts w:ascii="Courier New" w:hAnsi="Courier New" w:cs="Courier New"/>
          <w:b w:val="0"/>
          <w:sz w:val="24"/>
        </w:rPr>
        <w:t>i</w:t>
      </w:r>
      <w:r>
        <w:rPr>
          <w:rFonts w:ascii="Courier New" w:hAnsi="Courier New" w:cs="Courier New"/>
          <w:b w:val="0"/>
          <w:sz w:val="24"/>
        </w:rPr>
        <w:t>do, siendo el subcomisario de ese entonces quien le info</w:t>
      </w:r>
      <w:r>
        <w:rPr>
          <w:rFonts w:ascii="Courier New" w:hAnsi="Courier New" w:cs="Courier New"/>
          <w:b w:val="0"/>
          <w:sz w:val="24"/>
        </w:rPr>
        <w:t>r</w:t>
      </w:r>
      <w:r>
        <w:rPr>
          <w:rFonts w:ascii="Courier New" w:hAnsi="Courier New" w:cs="Courier New"/>
          <w:b w:val="0"/>
          <w:sz w:val="24"/>
        </w:rPr>
        <w:t>mó que era el abogado de T</w:t>
      </w:r>
      <w:r>
        <w:rPr>
          <w:rFonts w:ascii="Courier New" w:hAnsi="Courier New" w:cs="Courier New"/>
          <w:b w:val="0"/>
          <w:sz w:val="24"/>
        </w:rPr>
        <w:t>e</w:t>
      </w:r>
      <w:r>
        <w:rPr>
          <w:rFonts w:ascii="Courier New" w:hAnsi="Courier New" w:cs="Courier New"/>
          <w:b w:val="0"/>
          <w:sz w:val="24"/>
        </w:rPr>
        <w:t>lleldín.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Rago que en un primer momento contestó que iba a pensar la propuesta y luego la ace</w:t>
      </w:r>
      <w:r>
        <w:rPr>
          <w:rFonts w:ascii="Courier New" w:hAnsi="Courier New" w:cs="Courier New"/>
          <w:b w:val="0"/>
          <w:sz w:val="24"/>
        </w:rPr>
        <w:t>p</w:t>
      </w:r>
      <w:r>
        <w:rPr>
          <w:rFonts w:ascii="Courier New" w:hAnsi="Courier New" w:cs="Courier New"/>
          <w:b w:val="0"/>
          <w:sz w:val="24"/>
        </w:rPr>
        <w:t>tó, materializándose la entrevista veinte días antes de su d</w:t>
      </w:r>
      <w:r>
        <w:rPr>
          <w:rFonts w:ascii="Courier New" w:hAnsi="Courier New" w:cs="Courier New"/>
          <w:b w:val="0"/>
          <w:sz w:val="24"/>
        </w:rPr>
        <w:t>e</w:t>
      </w:r>
      <w:r>
        <w:rPr>
          <w:rFonts w:ascii="Courier New" w:hAnsi="Courier New" w:cs="Courier New"/>
          <w:b w:val="0"/>
          <w:sz w:val="24"/>
        </w:rPr>
        <w:t>tención.</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Precisó que el abogado lo llevó al juzgado, siendo San Isidro el punto de encuentro, agrega</w:t>
      </w:r>
      <w:r>
        <w:rPr>
          <w:rFonts w:ascii="Courier New" w:hAnsi="Courier New" w:cs="Courier New"/>
          <w:b w:val="0"/>
          <w:sz w:val="24"/>
        </w:rPr>
        <w:t>n</w:t>
      </w:r>
      <w:r>
        <w:rPr>
          <w:rFonts w:ascii="Courier New" w:hAnsi="Courier New" w:cs="Courier New"/>
          <w:b w:val="0"/>
          <w:sz w:val="24"/>
        </w:rPr>
        <w:t>do que mientras esperaban en la sede judicial estuvieron con el Dr. De Gamas y con Lifschitz.</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Señaló que previo a la reunión con el juez, S</w:t>
      </w:r>
      <w:r>
        <w:rPr>
          <w:rFonts w:ascii="Courier New" w:hAnsi="Courier New" w:cs="Courier New"/>
          <w:b w:val="0"/>
          <w:sz w:val="24"/>
        </w:rPr>
        <w:t>e</w:t>
      </w:r>
      <w:r>
        <w:rPr>
          <w:rFonts w:ascii="Courier New" w:hAnsi="Courier New" w:cs="Courier New"/>
          <w:b w:val="0"/>
          <w:sz w:val="24"/>
        </w:rPr>
        <w:t>morile se retiró porque tenía que buscar a su hijo en la escuela, conviniendo en esperar al encartado para llevarlo de vuelta porque era viernes y éste perdía el c</w:t>
      </w:r>
      <w:r>
        <w:rPr>
          <w:rFonts w:ascii="Courier New" w:hAnsi="Courier New" w:cs="Courier New"/>
          <w:b w:val="0"/>
          <w:sz w:val="24"/>
        </w:rPr>
        <w:t>o</w:t>
      </w:r>
      <w:r>
        <w:rPr>
          <w:rFonts w:ascii="Courier New" w:hAnsi="Courier New" w:cs="Courier New"/>
          <w:b w:val="0"/>
          <w:sz w:val="24"/>
        </w:rPr>
        <w:t>lectivo que tenía que t</w:t>
      </w:r>
      <w:r>
        <w:rPr>
          <w:rFonts w:ascii="Courier New" w:hAnsi="Courier New" w:cs="Courier New"/>
          <w:b w:val="0"/>
          <w:sz w:val="24"/>
        </w:rPr>
        <w:t>o</w:t>
      </w:r>
      <w:r>
        <w:rPr>
          <w:rFonts w:ascii="Courier New" w:hAnsi="Courier New" w:cs="Courier New"/>
          <w:b w:val="0"/>
          <w:sz w:val="24"/>
        </w:rPr>
        <w:t>mar a las 23.00.</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A su turno, Gustavo Semorile afirmó que en una oportun</w:t>
      </w:r>
      <w:r>
        <w:rPr>
          <w:rFonts w:ascii="Courier New" w:hAnsi="Courier New" w:cs="Courier New"/>
          <w:b w:val="0"/>
          <w:sz w:val="24"/>
        </w:rPr>
        <w:t>i</w:t>
      </w:r>
      <w:r>
        <w:rPr>
          <w:rFonts w:ascii="Courier New" w:hAnsi="Courier New" w:cs="Courier New"/>
          <w:b w:val="0"/>
          <w:sz w:val="24"/>
        </w:rPr>
        <w:t xml:space="preserve">dad en que concurrió a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w:t>
      </w:r>
      <w:smartTag w:uri="urn:schemas-microsoft-com:office:smarttags" w:element="PersonName">
        <w:smartTagPr>
          <w:attr w:name="ProductID" w:val="La Matanza"/>
        </w:smartTagPr>
        <w:r>
          <w:rPr>
            <w:rFonts w:ascii="Courier New" w:hAnsi="Courier New" w:cs="Courier New"/>
            <w:b w:val="0"/>
            <w:sz w:val="24"/>
          </w:rPr>
          <w:t>La Matanza</w:t>
        </w:r>
      </w:smartTag>
      <w:r>
        <w:rPr>
          <w:rFonts w:ascii="Courier New" w:hAnsi="Courier New" w:cs="Courier New"/>
          <w:b w:val="0"/>
          <w:sz w:val="24"/>
        </w:rPr>
        <w:t xml:space="preserve"> por razones profesionales, entabló conversación con Rago sobre el expediente.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Recordó el letrado que posterio</w:t>
      </w:r>
      <w:r>
        <w:rPr>
          <w:rFonts w:ascii="Courier New" w:hAnsi="Courier New" w:cs="Courier New"/>
          <w:b w:val="0"/>
          <w:sz w:val="24"/>
        </w:rPr>
        <w:t>r</w:t>
      </w:r>
      <w:r>
        <w:rPr>
          <w:rFonts w:ascii="Courier New" w:hAnsi="Courier New" w:cs="Courier New"/>
          <w:b w:val="0"/>
          <w:sz w:val="24"/>
        </w:rPr>
        <w:t xml:space="preserve">mente concurrió a </w:t>
      </w:r>
      <w:smartTag w:uri="urn:schemas-microsoft-com:office:smarttags" w:element="PersonName">
        <w:smartTagPr>
          <w:attr w:name="ProductID" w:val="la Brigada"/>
        </w:smartTagPr>
        <w:r>
          <w:rPr>
            <w:rFonts w:ascii="Courier New" w:hAnsi="Courier New" w:cs="Courier New"/>
            <w:b w:val="0"/>
            <w:sz w:val="24"/>
          </w:rPr>
          <w:t>la Brigada</w:t>
        </w:r>
      </w:smartTag>
      <w:r>
        <w:rPr>
          <w:rFonts w:ascii="Courier New" w:hAnsi="Courier New" w:cs="Courier New"/>
          <w:b w:val="0"/>
          <w:sz w:val="24"/>
        </w:rPr>
        <w:t xml:space="preserve"> de General Sarmiento también por motivos laborales y no para ver al encartado, siendo una zona en la cual trabaja mucho; agregó que en dicha oport</w:t>
      </w:r>
      <w:r>
        <w:rPr>
          <w:rFonts w:ascii="Courier New" w:hAnsi="Courier New" w:cs="Courier New"/>
          <w:b w:val="0"/>
          <w:sz w:val="24"/>
        </w:rPr>
        <w:t>u</w:t>
      </w:r>
      <w:r>
        <w:rPr>
          <w:rFonts w:ascii="Courier New" w:hAnsi="Courier New" w:cs="Courier New"/>
          <w:b w:val="0"/>
          <w:sz w:val="24"/>
        </w:rPr>
        <w:t>nidad dialogaron y surgió la posibilidad de concurrir al juzgado.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testigo precisó que no efectuó s</w:t>
      </w:r>
      <w:r>
        <w:rPr>
          <w:rFonts w:ascii="Courier New" w:hAnsi="Courier New" w:cs="Courier New"/>
          <w:b w:val="0"/>
          <w:sz w:val="24"/>
        </w:rPr>
        <w:t>u</w:t>
      </w:r>
      <w:r>
        <w:rPr>
          <w:rFonts w:ascii="Courier New" w:hAnsi="Courier New" w:cs="Courier New"/>
          <w:b w:val="0"/>
          <w:sz w:val="24"/>
        </w:rPr>
        <w:t>gerencia alguna en dicho sentido, sino que como su c</w:t>
      </w:r>
      <w:r>
        <w:rPr>
          <w:rFonts w:ascii="Courier New" w:hAnsi="Courier New" w:cs="Courier New"/>
          <w:b w:val="0"/>
          <w:sz w:val="24"/>
        </w:rPr>
        <w:t>o</w:t>
      </w:r>
      <w:r>
        <w:rPr>
          <w:rFonts w:ascii="Courier New" w:hAnsi="Courier New" w:cs="Courier New"/>
          <w:b w:val="0"/>
          <w:sz w:val="24"/>
        </w:rPr>
        <w:t>careado sabía de su vinculación con la causa, de la misma charla con el policía bonaerense surgió la pos</w:t>
      </w:r>
      <w:r>
        <w:rPr>
          <w:rFonts w:ascii="Courier New" w:hAnsi="Courier New" w:cs="Courier New"/>
          <w:b w:val="0"/>
          <w:sz w:val="24"/>
        </w:rPr>
        <w:t>i</w:t>
      </w:r>
      <w:r>
        <w:rPr>
          <w:rFonts w:ascii="Courier New" w:hAnsi="Courier New" w:cs="Courier New"/>
          <w:b w:val="0"/>
          <w:sz w:val="24"/>
        </w:rPr>
        <w:t>bilidad de hablar con el juez, pareciéndole ad</w:t>
      </w:r>
      <w:r>
        <w:rPr>
          <w:rFonts w:ascii="Courier New" w:hAnsi="Courier New" w:cs="Courier New"/>
          <w:b w:val="0"/>
          <w:sz w:val="24"/>
        </w:rPr>
        <w:t>e</w:t>
      </w:r>
      <w:r>
        <w:rPr>
          <w:rFonts w:ascii="Courier New" w:hAnsi="Courier New" w:cs="Courier New"/>
          <w:b w:val="0"/>
          <w:sz w:val="24"/>
        </w:rPr>
        <w:t>cuado oficiar de nexo.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Por último, Semorile manifestó que llevó al ac</w:t>
      </w:r>
      <w:r>
        <w:rPr>
          <w:rFonts w:ascii="Courier New" w:hAnsi="Courier New" w:cs="Courier New"/>
          <w:b w:val="0"/>
          <w:sz w:val="24"/>
        </w:rPr>
        <w:t>u</w:t>
      </w:r>
      <w:r>
        <w:rPr>
          <w:rFonts w:ascii="Courier New" w:hAnsi="Courier New" w:cs="Courier New"/>
          <w:b w:val="0"/>
          <w:sz w:val="24"/>
        </w:rPr>
        <w:t>sado al juzgado, que estuvieron un rato en la antesala; indicó que luego partió para retirar a su hijo del colegio y que posteriormente volvió para buscar a R</w:t>
      </w:r>
      <w:r>
        <w:rPr>
          <w:rFonts w:ascii="Courier New" w:hAnsi="Courier New" w:cs="Courier New"/>
          <w:b w:val="0"/>
          <w:sz w:val="24"/>
        </w:rPr>
        <w:t>a</w:t>
      </w:r>
      <w:r>
        <w:rPr>
          <w:rFonts w:ascii="Courier New" w:hAnsi="Courier New" w:cs="Courier New"/>
          <w:b w:val="0"/>
          <w:sz w:val="24"/>
        </w:rPr>
        <w:t>go.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Finalmente, Rago volvió a ampliar su indagatoria en la audiencia de debate del 31 de octubre de 2002, refiriendo que eran erróneos los dichos del comis</w:t>
      </w:r>
      <w:r>
        <w:rPr>
          <w:rFonts w:ascii="Courier New" w:hAnsi="Courier New" w:cs="Courier New"/>
          <w:b w:val="0"/>
          <w:sz w:val="24"/>
        </w:rPr>
        <w:t>a</w:t>
      </w:r>
      <w:r>
        <w:rPr>
          <w:rFonts w:ascii="Courier New" w:hAnsi="Courier New" w:cs="Courier New"/>
          <w:b w:val="0"/>
          <w:sz w:val="24"/>
        </w:rPr>
        <w:t>rio inspector Forgione en el sentido que ambos habían d</w:t>
      </w:r>
      <w:r>
        <w:rPr>
          <w:rFonts w:ascii="Courier New" w:hAnsi="Courier New" w:cs="Courier New"/>
          <w:b w:val="0"/>
          <w:sz w:val="24"/>
        </w:rPr>
        <w:t>i</w:t>
      </w:r>
      <w:r>
        <w:rPr>
          <w:rFonts w:ascii="Courier New" w:hAnsi="Courier New" w:cs="Courier New"/>
          <w:b w:val="0"/>
          <w:sz w:val="24"/>
        </w:rPr>
        <w:t>señado la construcción de los calabozos, explicando que ambos eran los autores del planeamiento del respectivo sistema de seguridad, mientras que el diseño de la con</w:t>
      </w:r>
      <w:r>
        <w:rPr>
          <w:rFonts w:ascii="Courier New" w:hAnsi="Courier New" w:cs="Courier New"/>
          <w:b w:val="0"/>
          <w:sz w:val="24"/>
        </w:rPr>
        <w:t>s</w:t>
      </w:r>
      <w:r>
        <w:rPr>
          <w:rFonts w:ascii="Courier New" w:hAnsi="Courier New" w:cs="Courier New"/>
          <w:b w:val="0"/>
          <w:sz w:val="24"/>
        </w:rPr>
        <w:t>trucción pe</w:t>
      </w:r>
      <w:r>
        <w:rPr>
          <w:rFonts w:ascii="Courier New" w:hAnsi="Courier New" w:cs="Courier New"/>
          <w:b w:val="0"/>
          <w:sz w:val="24"/>
        </w:rPr>
        <w:t>r</w:t>
      </w:r>
      <w:r>
        <w:rPr>
          <w:rFonts w:ascii="Courier New" w:hAnsi="Courier New" w:cs="Courier New"/>
          <w:b w:val="0"/>
          <w:sz w:val="24"/>
        </w:rPr>
        <w:t xml:space="preserve">tenecía a Infraestructura de </w:t>
      </w:r>
      <w:smartTag w:uri="urn:schemas-microsoft-com:office:smarttags" w:element="PersonName">
        <w:smartTagPr>
          <w:attr w:name="ProductID" w:val="la Polic￭a"/>
        </w:smartTagPr>
        <w:r>
          <w:rPr>
            <w:rFonts w:ascii="Courier New" w:hAnsi="Courier New" w:cs="Courier New"/>
            <w:b w:val="0"/>
            <w:sz w:val="24"/>
          </w:rPr>
          <w:t>la Policía</w:t>
        </w:r>
      </w:smartTag>
      <w:r>
        <w:rPr>
          <w:rFonts w:ascii="Courier New" w:hAnsi="Courier New" w:cs="Courier New"/>
          <w:b w:val="0"/>
          <w:sz w:val="24"/>
        </w:rPr>
        <w:t xml:space="preserve"> de </w:t>
      </w:r>
      <w:smartTag w:uri="urn:schemas-microsoft-com:office:smarttags" w:element="PersonName">
        <w:smartTagPr>
          <w:attr w:name="ProductID" w:val="la Provincia"/>
        </w:smartTagPr>
        <w:r>
          <w:rPr>
            <w:rFonts w:ascii="Courier New" w:hAnsi="Courier New" w:cs="Courier New"/>
            <w:b w:val="0"/>
            <w:sz w:val="24"/>
          </w:rPr>
          <w:t>la Provincia</w:t>
        </w:r>
      </w:smartTag>
      <w:r>
        <w:rPr>
          <w:rFonts w:ascii="Courier New" w:hAnsi="Courier New" w:cs="Courier New"/>
          <w:b w:val="0"/>
          <w:sz w:val="24"/>
        </w:rPr>
        <w:t xml:space="preserve"> de Buenos Aires.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En ese sentido aclaró que cuando fue trasladado a la brigada, se estaban edificando los calab</w:t>
      </w:r>
      <w:r>
        <w:rPr>
          <w:rFonts w:ascii="Courier New" w:hAnsi="Courier New" w:cs="Courier New"/>
          <w:b w:val="0"/>
          <w:sz w:val="24"/>
        </w:rPr>
        <w:t>o</w:t>
      </w:r>
      <w:r>
        <w:rPr>
          <w:rFonts w:ascii="Courier New" w:hAnsi="Courier New" w:cs="Courier New"/>
          <w:b w:val="0"/>
          <w:sz w:val="24"/>
        </w:rPr>
        <w:t>zos, habiéndose interiorizado en ese entonces sobre la e</w:t>
      </w:r>
      <w:r>
        <w:rPr>
          <w:rFonts w:ascii="Courier New" w:hAnsi="Courier New" w:cs="Courier New"/>
          <w:b w:val="0"/>
          <w:sz w:val="24"/>
        </w:rPr>
        <w:t>s</w:t>
      </w:r>
      <w:r>
        <w:rPr>
          <w:rFonts w:ascii="Courier New" w:hAnsi="Courier New" w:cs="Courier New"/>
          <w:b w:val="0"/>
          <w:sz w:val="24"/>
        </w:rPr>
        <w:t>tructura de éstos. Señaló que el hacinamiento se debía a que la dependencia se trataba de una “copia” de una est</w:t>
      </w:r>
      <w:r>
        <w:rPr>
          <w:rFonts w:ascii="Courier New" w:hAnsi="Courier New" w:cs="Courier New"/>
          <w:b w:val="0"/>
          <w:sz w:val="24"/>
        </w:rPr>
        <w:t>a</w:t>
      </w:r>
      <w:r>
        <w:rPr>
          <w:rFonts w:ascii="Courier New" w:hAnsi="Courier New" w:cs="Courier New"/>
          <w:b w:val="0"/>
          <w:sz w:val="24"/>
        </w:rPr>
        <w:t>ción de policía diseñada para el alojamiento de detenidos durante unas p</w:t>
      </w:r>
      <w:r>
        <w:rPr>
          <w:rFonts w:ascii="Courier New" w:hAnsi="Courier New" w:cs="Courier New"/>
          <w:b w:val="0"/>
          <w:sz w:val="24"/>
        </w:rPr>
        <w:t>o</w:t>
      </w:r>
      <w:r>
        <w:rPr>
          <w:rFonts w:ascii="Courier New" w:hAnsi="Courier New" w:cs="Courier New"/>
          <w:b w:val="0"/>
          <w:sz w:val="24"/>
        </w:rPr>
        <w:t>cas horas.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El encartado indicó que la “le</w:t>
      </w:r>
      <w:r>
        <w:rPr>
          <w:rFonts w:ascii="Courier New" w:hAnsi="Courier New" w:cs="Courier New"/>
          <w:b w:val="0"/>
          <w:sz w:val="24"/>
        </w:rPr>
        <w:t>o</w:t>
      </w:r>
      <w:r>
        <w:rPr>
          <w:rFonts w:ascii="Courier New" w:hAnsi="Courier New" w:cs="Courier New"/>
          <w:b w:val="0"/>
          <w:sz w:val="24"/>
        </w:rPr>
        <w:t>nera”, la cual ubicó en el respectivo plano, era de un recinto con rejas situado en el patio de los calabozos, util</w:t>
      </w:r>
      <w:r>
        <w:rPr>
          <w:rFonts w:ascii="Courier New" w:hAnsi="Courier New" w:cs="Courier New"/>
          <w:b w:val="0"/>
          <w:sz w:val="24"/>
        </w:rPr>
        <w:t>i</w:t>
      </w:r>
      <w:r>
        <w:rPr>
          <w:rFonts w:ascii="Courier New" w:hAnsi="Courier New" w:cs="Courier New"/>
          <w:b w:val="0"/>
          <w:sz w:val="24"/>
        </w:rPr>
        <w:t>zado para evitar que sujetos peligrosos ya alojados en las ce</w:t>
      </w:r>
      <w:r>
        <w:rPr>
          <w:rFonts w:ascii="Courier New" w:hAnsi="Courier New" w:cs="Courier New"/>
          <w:b w:val="0"/>
          <w:sz w:val="24"/>
        </w:rPr>
        <w:t>l</w:t>
      </w:r>
      <w:r>
        <w:rPr>
          <w:rFonts w:ascii="Courier New" w:hAnsi="Courier New" w:cs="Courier New"/>
          <w:b w:val="0"/>
          <w:sz w:val="24"/>
        </w:rPr>
        <w:t>das tuvieran contacto con detenidos por delitos menores o contravenciones; agregó que normalmente los demorados por averiguación de antecedentes eran coloc</w:t>
      </w:r>
      <w:r>
        <w:rPr>
          <w:rFonts w:ascii="Courier New" w:hAnsi="Courier New" w:cs="Courier New"/>
          <w:b w:val="0"/>
          <w:sz w:val="24"/>
        </w:rPr>
        <w:t>a</w:t>
      </w:r>
      <w:r>
        <w:rPr>
          <w:rFonts w:ascii="Courier New" w:hAnsi="Courier New" w:cs="Courier New"/>
          <w:b w:val="0"/>
          <w:sz w:val="24"/>
        </w:rPr>
        <w:t>dos en ese lugar.</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Ratificó que en la brigada escuchó i</w:t>
      </w:r>
      <w:r>
        <w:rPr>
          <w:rFonts w:ascii="Courier New" w:hAnsi="Courier New" w:cs="Courier New"/>
          <w:b w:val="0"/>
          <w:sz w:val="24"/>
        </w:rPr>
        <w:t>n</w:t>
      </w:r>
      <w:r>
        <w:rPr>
          <w:rFonts w:ascii="Courier New" w:hAnsi="Courier New" w:cs="Courier New"/>
          <w:b w:val="0"/>
          <w:sz w:val="24"/>
        </w:rPr>
        <w:t>finidad de ruidos, provocados tanto por Solari como por otros detenidos, explicando dicha circunstancia en el h</w:t>
      </w:r>
      <w:r>
        <w:rPr>
          <w:rFonts w:ascii="Courier New" w:hAnsi="Courier New" w:cs="Courier New"/>
          <w:b w:val="0"/>
          <w:sz w:val="24"/>
        </w:rPr>
        <w:t>e</w:t>
      </w:r>
      <w:r>
        <w:rPr>
          <w:rFonts w:ascii="Courier New" w:hAnsi="Courier New" w:cs="Courier New"/>
          <w:b w:val="0"/>
          <w:sz w:val="24"/>
        </w:rPr>
        <w:t>cho que la puerta de los calabozos retumbaban contra el pasillo que daba a los dormitorios. Asimismo señaló que los calabozos fu</w:t>
      </w:r>
      <w:r>
        <w:rPr>
          <w:rFonts w:ascii="Courier New" w:hAnsi="Courier New" w:cs="Courier New"/>
          <w:b w:val="0"/>
          <w:sz w:val="24"/>
        </w:rPr>
        <w:t>n</w:t>
      </w:r>
      <w:r>
        <w:rPr>
          <w:rFonts w:ascii="Courier New" w:hAnsi="Courier New" w:cs="Courier New"/>
          <w:b w:val="0"/>
          <w:sz w:val="24"/>
        </w:rPr>
        <w:t>cionaban como una caja de resonancia.</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Se refirió al testimonio de Derruvo, quien estuvo detenido con Solari y señaló que éste gr</w:t>
      </w:r>
      <w:r>
        <w:rPr>
          <w:rFonts w:ascii="Courier New" w:hAnsi="Courier New" w:cs="Courier New"/>
          <w:b w:val="0"/>
          <w:sz w:val="24"/>
        </w:rPr>
        <w:t>i</w:t>
      </w:r>
      <w:r>
        <w:rPr>
          <w:rFonts w:ascii="Courier New" w:hAnsi="Courier New" w:cs="Courier New"/>
          <w:b w:val="0"/>
          <w:sz w:val="24"/>
        </w:rPr>
        <w:t>taba y pateaba puertas constantemente.</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Explicó que era factible que exista personal p</w:t>
      </w:r>
      <w:r>
        <w:rPr>
          <w:rFonts w:ascii="Courier New" w:hAnsi="Courier New" w:cs="Courier New"/>
          <w:b w:val="0"/>
          <w:sz w:val="24"/>
        </w:rPr>
        <w:t>o</w:t>
      </w:r>
      <w:r>
        <w:rPr>
          <w:rFonts w:ascii="Courier New" w:hAnsi="Courier New" w:cs="Courier New"/>
          <w:b w:val="0"/>
          <w:sz w:val="24"/>
        </w:rPr>
        <w:t>licial que no haya escuchado nada porque quizás durante su guardia los detenidos se mantuvieron silenci</w:t>
      </w:r>
      <w:r>
        <w:rPr>
          <w:rFonts w:ascii="Courier New" w:hAnsi="Courier New" w:cs="Courier New"/>
          <w:b w:val="0"/>
          <w:sz w:val="24"/>
        </w:rPr>
        <w:t>o</w:t>
      </w:r>
      <w:r>
        <w:rPr>
          <w:rFonts w:ascii="Courier New" w:hAnsi="Courier New" w:cs="Courier New"/>
          <w:b w:val="0"/>
          <w:sz w:val="24"/>
        </w:rPr>
        <w:t>sos.</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E otro orden e cosas, el acusado so</w:t>
      </w:r>
      <w:r>
        <w:rPr>
          <w:rFonts w:ascii="Courier New" w:hAnsi="Courier New" w:cs="Courier New"/>
          <w:b w:val="0"/>
          <w:sz w:val="24"/>
        </w:rPr>
        <w:t>s</w:t>
      </w:r>
      <w:r>
        <w:rPr>
          <w:rFonts w:ascii="Courier New" w:hAnsi="Courier New" w:cs="Courier New"/>
          <w:b w:val="0"/>
          <w:sz w:val="24"/>
        </w:rPr>
        <w:t>tuvo que Solari tenía fotocopias de la causa porque seg</w:t>
      </w:r>
      <w:r>
        <w:rPr>
          <w:rFonts w:ascii="Courier New" w:hAnsi="Courier New" w:cs="Courier New"/>
          <w:b w:val="0"/>
          <w:sz w:val="24"/>
        </w:rPr>
        <w:t>u</w:t>
      </w:r>
      <w:r>
        <w:rPr>
          <w:rFonts w:ascii="Courier New" w:hAnsi="Courier New" w:cs="Courier New"/>
          <w:b w:val="0"/>
          <w:sz w:val="24"/>
        </w:rPr>
        <w:t xml:space="preserve">ramente su defensora, </w:t>
      </w:r>
      <w:smartTag w:uri="urn:schemas-microsoft-com:office:smarttags" w:element="PersonName">
        <w:smartTagPr>
          <w:attr w:name="ProductID" w:val="la Dra. Bernal"/>
        </w:smartTagPr>
        <w:r>
          <w:rPr>
            <w:rFonts w:ascii="Courier New" w:hAnsi="Courier New" w:cs="Courier New"/>
            <w:b w:val="0"/>
            <w:sz w:val="24"/>
          </w:rPr>
          <w:t>la Dra. Bernal</w:t>
        </w:r>
      </w:smartTag>
      <w:r>
        <w:rPr>
          <w:rFonts w:ascii="Courier New" w:hAnsi="Courier New" w:cs="Courier New"/>
          <w:b w:val="0"/>
          <w:sz w:val="24"/>
        </w:rPr>
        <w:t>, se las había acerc</w:t>
      </w:r>
      <w:r>
        <w:rPr>
          <w:rFonts w:ascii="Courier New" w:hAnsi="Courier New" w:cs="Courier New"/>
          <w:b w:val="0"/>
          <w:sz w:val="24"/>
        </w:rPr>
        <w:t>a</w:t>
      </w:r>
      <w:r>
        <w:rPr>
          <w:rFonts w:ascii="Courier New" w:hAnsi="Courier New" w:cs="Courier New"/>
          <w:b w:val="0"/>
          <w:sz w:val="24"/>
        </w:rPr>
        <w:t>do para poder ejercer su derecho de defensa, r</w:t>
      </w:r>
      <w:r>
        <w:rPr>
          <w:rFonts w:ascii="Courier New" w:hAnsi="Courier New" w:cs="Courier New"/>
          <w:b w:val="0"/>
          <w:sz w:val="24"/>
        </w:rPr>
        <w:t>e</w:t>
      </w:r>
      <w:r>
        <w:rPr>
          <w:rFonts w:ascii="Courier New" w:hAnsi="Courier New" w:cs="Courier New"/>
          <w:b w:val="0"/>
          <w:sz w:val="24"/>
        </w:rPr>
        <w:t>firiéndose a un pedido de ésta en dicho sentido obra</w:t>
      </w:r>
      <w:r>
        <w:rPr>
          <w:rFonts w:ascii="Courier New" w:hAnsi="Courier New" w:cs="Courier New"/>
          <w:b w:val="0"/>
          <w:sz w:val="24"/>
        </w:rPr>
        <w:t>n</w:t>
      </w:r>
      <w:r>
        <w:rPr>
          <w:rFonts w:ascii="Courier New" w:hAnsi="Courier New" w:cs="Courier New"/>
          <w:b w:val="0"/>
          <w:sz w:val="24"/>
        </w:rPr>
        <w:t>te a fs. 347 de la causa nº 28.855; agregó Rago que él mismo tuvo en su poder copias de sus expedientes en los lugares donde est</w:t>
      </w:r>
      <w:r>
        <w:rPr>
          <w:rFonts w:ascii="Courier New" w:hAnsi="Courier New" w:cs="Courier New"/>
          <w:b w:val="0"/>
          <w:sz w:val="24"/>
        </w:rPr>
        <w:t>u</w:t>
      </w:r>
      <w:r>
        <w:rPr>
          <w:rFonts w:ascii="Courier New" w:hAnsi="Courier New" w:cs="Courier New"/>
          <w:b w:val="0"/>
          <w:sz w:val="24"/>
        </w:rPr>
        <w:t>vo deten</w:t>
      </w:r>
      <w:r>
        <w:rPr>
          <w:rFonts w:ascii="Courier New" w:hAnsi="Courier New" w:cs="Courier New"/>
          <w:b w:val="0"/>
          <w:sz w:val="24"/>
        </w:rPr>
        <w:t>i</w:t>
      </w:r>
      <w:r>
        <w:rPr>
          <w:rFonts w:ascii="Courier New" w:hAnsi="Courier New" w:cs="Courier New"/>
          <w:b w:val="0"/>
          <w:sz w:val="24"/>
        </w:rPr>
        <w:t>do.</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Continuó su declaración manifestando que su costumbre siempre fue efectivizar con un oficial los traslados de detenidos hacia juzgados por razones de seguridad.</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Dijo no recordar si había orden</w:t>
      </w:r>
      <w:r>
        <w:rPr>
          <w:rFonts w:ascii="Courier New" w:hAnsi="Courier New" w:cs="Courier New"/>
          <w:b w:val="0"/>
          <w:sz w:val="24"/>
        </w:rPr>
        <w:t>a</w:t>
      </w:r>
      <w:r>
        <w:rPr>
          <w:rFonts w:ascii="Courier New" w:hAnsi="Courier New" w:cs="Courier New"/>
          <w:b w:val="0"/>
          <w:sz w:val="24"/>
        </w:rPr>
        <w:t>do al oficial de guardia la confección de fichas dactilosc</w:t>
      </w:r>
      <w:r>
        <w:rPr>
          <w:rFonts w:ascii="Courier New" w:hAnsi="Courier New" w:cs="Courier New"/>
          <w:b w:val="0"/>
          <w:sz w:val="24"/>
        </w:rPr>
        <w:t>ó</w:t>
      </w:r>
      <w:r>
        <w:rPr>
          <w:rFonts w:ascii="Courier New" w:hAnsi="Courier New" w:cs="Courier New"/>
          <w:b w:val="0"/>
          <w:sz w:val="24"/>
        </w:rPr>
        <w:t>picas de Hugo Pérez con motivo de la averiguación de sus antec</w:t>
      </w:r>
      <w:r>
        <w:rPr>
          <w:rFonts w:ascii="Courier New" w:hAnsi="Courier New" w:cs="Courier New"/>
          <w:b w:val="0"/>
          <w:sz w:val="24"/>
        </w:rPr>
        <w:t>e</w:t>
      </w:r>
      <w:r>
        <w:rPr>
          <w:rFonts w:ascii="Courier New" w:hAnsi="Courier New" w:cs="Courier New"/>
          <w:b w:val="0"/>
          <w:sz w:val="24"/>
        </w:rPr>
        <w:t>dentes, no obstante lo cual aclaró que, después de haber escuchado en el debate al testigo Balbi que en ese momento se encontraba en la dependencia p</w:t>
      </w:r>
      <w:r>
        <w:rPr>
          <w:rFonts w:ascii="Courier New" w:hAnsi="Courier New" w:cs="Courier New"/>
          <w:b w:val="0"/>
          <w:sz w:val="24"/>
        </w:rPr>
        <w:t>o</w:t>
      </w:r>
      <w:r>
        <w:rPr>
          <w:rFonts w:ascii="Courier New" w:hAnsi="Courier New" w:cs="Courier New"/>
          <w:b w:val="0"/>
          <w:sz w:val="24"/>
        </w:rPr>
        <w:t>licial, era probable que no hubiera ordenado la recepción de esas fichas de haber estado convencido acerca de la identidad de la persona. Precisó que en el caso puntual de Pérez, no obstante no tener presente si tenía documento de identidad, estaba prácticamente seguro que era él, en virtud de los dichos vertidos por éste con motivo de su interrogatorio, ente</w:t>
      </w:r>
      <w:r>
        <w:rPr>
          <w:rFonts w:ascii="Courier New" w:hAnsi="Courier New" w:cs="Courier New"/>
          <w:b w:val="0"/>
          <w:sz w:val="24"/>
        </w:rPr>
        <w:t>n</w:t>
      </w:r>
      <w:r>
        <w:rPr>
          <w:rFonts w:ascii="Courier New" w:hAnsi="Courier New" w:cs="Courier New"/>
          <w:b w:val="0"/>
          <w:sz w:val="24"/>
        </w:rPr>
        <w:t>diendo que ta</w:t>
      </w:r>
      <w:r>
        <w:rPr>
          <w:rFonts w:ascii="Courier New" w:hAnsi="Courier New" w:cs="Courier New"/>
          <w:b w:val="0"/>
          <w:sz w:val="24"/>
        </w:rPr>
        <w:t>m</w:t>
      </w:r>
      <w:r>
        <w:rPr>
          <w:rFonts w:ascii="Courier New" w:hAnsi="Courier New" w:cs="Courier New"/>
          <w:b w:val="0"/>
          <w:sz w:val="24"/>
        </w:rPr>
        <w:t>bién Leal le manifestó que era Pérez, alias “el Cordobés”, suponiendo que dicha información la había obtenido a su vez de B</w:t>
      </w:r>
      <w:r>
        <w:rPr>
          <w:rFonts w:ascii="Courier New" w:hAnsi="Courier New" w:cs="Courier New"/>
          <w:b w:val="0"/>
          <w:sz w:val="24"/>
        </w:rPr>
        <w:t>a</w:t>
      </w:r>
      <w:r>
        <w:rPr>
          <w:rFonts w:ascii="Courier New" w:hAnsi="Courier New" w:cs="Courier New"/>
          <w:b w:val="0"/>
          <w:sz w:val="24"/>
        </w:rPr>
        <w:t>reiro o de otra persona relacionada con el lugar.</w:t>
      </w:r>
    </w:p>
    <w:p w:rsidR="00224567" w:rsidRDefault="00224567">
      <w:pPr>
        <w:pStyle w:val="Textoindependiente3"/>
        <w:widowControl w:val="0"/>
        <w:rPr>
          <w:rFonts w:ascii="Courier New" w:hAnsi="Courier New" w:cs="Courier New"/>
          <w:b w:val="0"/>
          <w:sz w:val="24"/>
        </w:rPr>
      </w:pPr>
      <w:r>
        <w:rPr>
          <w:rFonts w:ascii="Courier New" w:hAnsi="Courier New" w:cs="Courier New"/>
          <w:b w:val="0"/>
          <w:sz w:val="24"/>
        </w:rPr>
        <w:tab/>
        <w:t>Por último, indicó que normalmente firmaba los trámites de averiguación de antecedentes cua</w:t>
      </w:r>
      <w:r>
        <w:rPr>
          <w:rFonts w:ascii="Courier New" w:hAnsi="Courier New" w:cs="Courier New"/>
          <w:b w:val="0"/>
          <w:sz w:val="24"/>
        </w:rPr>
        <w:t>n</w:t>
      </w:r>
      <w:r>
        <w:rPr>
          <w:rFonts w:ascii="Courier New" w:hAnsi="Courier New" w:cs="Courier New"/>
          <w:b w:val="0"/>
          <w:sz w:val="24"/>
        </w:rPr>
        <w:t>do éstos finalizaban.</w:t>
      </w:r>
    </w:p>
    <w:p w:rsidR="00224567" w:rsidRDefault="00224567">
      <w:pPr>
        <w:widowControl w:val="0"/>
      </w:pPr>
    </w:p>
    <w:p w:rsidR="00224567" w:rsidRDefault="00224567">
      <w:pPr>
        <w:pStyle w:val="Ttulo3"/>
        <w:keepNext w:val="0"/>
        <w:widowControl w:val="0"/>
      </w:pPr>
      <w:r>
        <w:t>R) Declaración indagatoria de Juan Alberto Bottegal.</w:t>
      </w:r>
    </w:p>
    <w:p w:rsidR="00224567" w:rsidRDefault="00224567">
      <w:pPr>
        <w:pStyle w:val="Textoindependiente"/>
        <w:tabs>
          <w:tab w:val="left" w:pos="2835"/>
        </w:tabs>
        <w:spacing w:line="600" w:lineRule="auto"/>
        <w:ind w:firstLine="2835"/>
      </w:pPr>
      <w:r>
        <w:t>Durante la audiencia de debate, Juan Alberto Bottegal se negó a prestar declaración. Sin perju</w:t>
      </w:r>
      <w:r>
        <w:t>i</w:t>
      </w:r>
      <w:r>
        <w:t>cio de ello, señaló que al momento de ser indag</w:t>
      </w:r>
      <w:r>
        <w:t>a</w:t>
      </w:r>
      <w:r>
        <w:t>do ante el juzgado instructor fue coaccionado; en consecuencia, se i</w:t>
      </w:r>
      <w:r>
        <w:t>n</w:t>
      </w:r>
      <w:r>
        <w:t>corporó por lectura la brindada por el encausado en la et</w:t>
      </w:r>
      <w:r>
        <w:t>a</w:t>
      </w:r>
      <w:r>
        <w:t>pa instructoria, obra</w:t>
      </w:r>
      <w:r>
        <w:t>n</w:t>
      </w:r>
      <w:r>
        <w:t>te a fs. 45.155/45.165.</w:t>
      </w:r>
    </w:p>
    <w:p w:rsidR="00224567" w:rsidRDefault="00224567">
      <w:pPr>
        <w:pStyle w:val="Textoindependiente"/>
        <w:tabs>
          <w:tab w:val="left" w:pos="2835"/>
        </w:tabs>
        <w:spacing w:line="600" w:lineRule="auto"/>
        <w:ind w:firstLine="2835"/>
      </w:pPr>
      <w:r>
        <w:t>En dicha oportunidad, el nombrado sol</w:t>
      </w:r>
      <w:r>
        <w:t>i</w:t>
      </w:r>
      <w:r>
        <w:t>citó que su decl</w:t>
      </w:r>
      <w:r>
        <w:t>a</w:t>
      </w:r>
      <w:r>
        <w:t>ración testimonial prestada el 24 de junio de 1996, glosada a fs. 38.551/38.557 integrara su indagat</w:t>
      </w:r>
      <w:r>
        <w:t>o</w:t>
      </w:r>
      <w:r>
        <w:t>ria, lo que el juez instructor así disp</w:t>
      </w:r>
      <w:r>
        <w:t>u</w:t>
      </w:r>
      <w:r>
        <w:t>so.</w:t>
      </w:r>
    </w:p>
    <w:p w:rsidR="00224567" w:rsidRDefault="00224567">
      <w:pPr>
        <w:pStyle w:val="Textoindependiente"/>
        <w:tabs>
          <w:tab w:val="left" w:pos="2835"/>
        </w:tabs>
        <w:spacing w:line="600" w:lineRule="auto"/>
        <w:ind w:firstLine="2835"/>
      </w:pPr>
      <w:r>
        <w:t>El abogado Bottegal manifestó que con</w:t>
      </w:r>
      <w:r>
        <w:t>o</w:t>
      </w:r>
      <w:r>
        <w:t xml:space="preserve">ció a Diego Enrique Barreda aproximadamente en el año 1993 en </w:t>
      </w:r>
      <w:smartTag w:uri="urn:schemas-microsoft-com:office:smarttags" w:element="PersonName">
        <w:smartTagPr>
          <w:attr w:name="ProductID" w:val="la Comisar￭a"/>
        </w:smartTagPr>
        <w:r>
          <w:t>la Comisaría</w:t>
        </w:r>
      </w:smartTag>
      <w:r>
        <w:t xml:space="preserve"> de Sáenz Peña, donde tenía un cliente imp</w:t>
      </w:r>
      <w:r>
        <w:t>u</w:t>
      </w:r>
      <w:r>
        <w:t>tado por el delito de homicidio. Relató que Barreda era oficial de dicha dependencia, pero no se encargaba de su caso, ya que siempre prestó servicio en la calle, y cont</w:t>
      </w:r>
      <w:r>
        <w:t>i</w:t>
      </w:r>
      <w:r>
        <w:t>nuó viéndolo en tribunales, aclarando que comenzó a trata</w:t>
      </w:r>
      <w:r>
        <w:t>r</w:t>
      </w:r>
      <w:r>
        <w:t>lo cuando se ocupó del tema de Ca</w:t>
      </w:r>
      <w:r>
        <w:t>r</w:t>
      </w:r>
      <w:r>
        <w:t>los Telleldín.</w:t>
      </w:r>
    </w:p>
    <w:p w:rsidR="00224567" w:rsidRDefault="00224567">
      <w:pPr>
        <w:pStyle w:val="Textoindependiente"/>
        <w:tabs>
          <w:tab w:val="left" w:pos="2835"/>
        </w:tabs>
        <w:spacing w:line="600" w:lineRule="auto"/>
        <w:ind w:firstLine="2835"/>
      </w:pPr>
      <w:r>
        <w:t>Luego del hecho relacionado con Telle</w:t>
      </w:r>
      <w:r>
        <w:t>l</w:t>
      </w:r>
      <w:r>
        <w:t>dín, por el cual quedó detenido Hugo Antonio Pérez, s</w:t>
      </w:r>
      <w:r>
        <w:t>i</w:t>
      </w:r>
      <w:r>
        <w:t>guió manteniendo relación con Barreda por un proceso de d</w:t>
      </w:r>
      <w:r>
        <w:t>a</w:t>
      </w:r>
      <w:r>
        <w:t>ños y perjuicios, y en virtud de la relación que éste ma</w:t>
      </w:r>
      <w:r>
        <w:t>n</w:t>
      </w:r>
      <w:r>
        <w:t>tuvo con una amiga suya.</w:t>
      </w:r>
    </w:p>
    <w:p w:rsidR="00224567" w:rsidRDefault="00224567">
      <w:pPr>
        <w:pStyle w:val="Textoindependiente"/>
        <w:tabs>
          <w:tab w:val="left" w:pos="2835"/>
        </w:tabs>
        <w:spacing w:line="600" w:lineRule="auto"/>
        <w:ind w:firstLine="2835"/>
      </w:pPr>
      <w:r>
        <w:t>Destacó que la última vez que vio a B</w:t>
      </w:r>
      <w:r>
        <w:t>a</w:t>
      </w:r>
      <w:r>
        <w:t>rreda fue un día antes de su detención, en el año 1996, cuando se encontraron en una confitería denominada “Moust</w:t>
      </w:r>
      <w:r>
        <w:t>a</w:t>
      </w:r>
      <w:r>
        <w:t>che”, a la que aquél concurrió con su amiga, de nombre K</w:t>
      </w:r>
      <w:r>
        <w:t>a</w:t>
      </w:r>
      <w:r>
        <w:t>rina.</w:t>
      </w:r>
    </w:p>
    <w:p w:rsidR="00224567" w:rsidRDefault="00224567">
      <w:pPr>
        <w:pStyle w:val="Textoindependiente"/>
        <w:tabs>
          <w:tab w:val="left" w:pos="2835"/>
        </w:tabs>
        <w:spacing w:line="600" w:lineRule="auto"/>
        <w:ind w:firstLine="2835"/>
      </w:pPr>
      <w:r>
        <w:t>En cuanto a Bareiro, explicó que lo c</w:t>
      </w:r>
      <w:r>
        <w:t>o</w:t>
      </w:r>
      <w:r>
        <w:t xml:space="preserve">noció en el año 1989 ó 1990, y estaba destinado en </w:t>
      </w:r>
      <w:smartTag w:uri="urn:schemas-microsoft-com:office:smarttags" w:element="PersonName">
        <w:smartTagPr>
          <w:attr w:name="ProductID" w:val="la Divisi￳n Sustracci￳n"/>
        </w:smartTagPr>
        <w:r>
          <w:t>la Div</w:t>
        </w:r>
        <w:r>
          <w:t>i</w:t>
        </w:r>
        <w:r>
          <w:t>sión Sustracción</w:t>
        </w:r>
      </w:smartTag>
      <w:r>
        <w:t xml:space="preserve"> de Automotores de Vicente López. En esa época no tuvo mayor trato, ni personal ni profesional. La relación comenzó en el año 1992 ó 1993 cuando Bareiro fue trasladado a </w:t>
      </w:r>
      <w:smartTag w:uri="urn:schemas-microsoft-com:office:smarttags" w:element="PersonName">
        <w:smartTagPr>
          <w:attr w:name="ProductID" w:val="la Comisar￭a"/>
        </w:smartTagPr>
        <w:r>
          <w:t>la Comisaría</w:t>
        </w:r>
      </w:smartTag>
      <w:r>
        <w:t xml:space="preserve"> de Villa Concepción. Luego, lo vio en otra ocasión, ya que defendió a una persona que i</w:t>
      </w:r>
      <w:r>
        <w:t>n</w:t>
      </w:r>
      <w:r>
        <w:t>tentó asaltar al propio Bareiro, participando éste en una rueda de reconocimiento, donde concurrió con una señorita llamada “Vicky”, con quien mantenía una relación sentime</w:t>
      </w:r>
      <w:r>
        <w:t>n</w:t>
      </w:r>
      <w:r>
        <w:t>tal.</w:t>
      </w:r>
    </w:p>
    <w:p w:rsidR="00224567" w:rsidRDefault="00224567">
      <w:pPr>
        <w:pStyle w:val="Textoindependiente"/>
        <w:tabs>
          <w:tab w:val="left" w:pos="2835"/>
        </w:tabs>
        <w:spacing w:line="600" w:lineRule="auto"/>
        <w:ind w:firstLine="2835"/>
      </w:pPr>
      <w:r>
        <w:t>Interrogado acerca de cómo tomó conta</w:t>
      </w:r>
      <w:r>
        <w:t>c</w:t>
      </w:r>
      <w:r>
        <w:t>to con Telleldín en el mes de julio de 1994, dijo que B</w:t>
      </w:r>
      <w:r>
        <w:t>a</w:t>
      </w:r>
      <w:r>
        <w:t>reiro lo llamó a su teléfono celular o al de su domicilio, y le preguntó si se encontraba trabajando, ya que transc</w:t>
      </w:r>
      <w:r>
        <w:t>u</w:t>
      </w:r>
      <w:r>
        <w:t>rría la feria judicial. Ante ello, le respondió afirmativ</w:t>
      </w:r>
      <w:r>
        <w:t>a</w:t>
      </w:r>
      <w:r>
        <w:t>mente, y concertaron un encuentro en la puerta de los tr</w:t>
      </w:r>
      <w:r>
        <w:t>i</w:t>
      </w:r>
      <w:r>
        <w:t>bunales de San Martín. Bareiro arribó con Barreda en un a</w:t>
      </w:r>
      <w:r>
        <w:t>u</w:t>
      </w:r>
      <w:r>
        <w:t xml:space="preserve">tomóvil Ford Falcon, color gris, que éste manifestó que le pertenecía. Allí, le explicó que a </w:t>
      </w:r>
      <w:smartTag w:uri="urn:schemas-microsoft-com:office:smarttags" w:element="PersonName">
        <w:smartTagPr>
          <w:attr w:name="ProductID" w:val="la Brigada"/>
        </w:smartTagPr>
        <w:r>
          <w:t>la Brigada</w:t>
        </w:r>
      </w:smartTag>
      <w:r>
        <w:t xml:space="preserve"> de Vicente López se le había escapado una persona llamada Telleldín y que el nombrado o Ana Boragni se habían comunicado con él para solucionar el hecho relacionado con la persecución p</w:t>
      </w:r>
      <w:r>
        <w:t>o</w:t>
      </w:r>
      <w:r>
        <w:t>licial.</w:t>
      </w:r>
    </w:p>
    <w:p w:rsidR="00224567" w:rsidRDefault="00224567">
      <w:pPr>
        <w:pStyle w:val="Textoindependiente"/>
        <w:tabs>
          <w:tab w:val="left" w:pos="2835"/>
        </w:tabs>
        <w:spacing w:line="600" w:lineRule="auto"/>
        <w:ind w:firstLine="2835"/>
      </w:pPr>
      <w:r>
        <w:t>El imputado manifestó que Bareiro le explicó la situación y le comentó que anteriormente había intentado contactarse con otros abogados, llam</w:t>
      </w:r>
      <w:r>
        <w:t>a</w:t>
      </w:r>
      <w:r>
        <w:t>dos Lufrano y Medina, a qui</w:t>
      </w:r>
      <w:r>
        <w:t>e</w:t>
      </w:r>
      <w:r>
        <w:t>nes no pudo ubicar.</w:t>
      </w:r>
    </w:p>
    <w:p w:rsidR="00224567" w:rsidRDefault="00224567">
      <w:pPr>
        <w:pStyle w:val="Textoindependiente"/>
        <w:tabs>
          <w:tab w:val="left" w:pos="2835"/>
        </w:tabs>
        <w:spacing w:line="600" w:lineRule="auto"/>
        <w:ind w:firstLine="2835"/>
      </w:pPr>
      <w:r>
        <w:t>Refirió que en aquella ocasión Bare</w:t>
      </w:r>
      <w:r>
        <w:t>i</w:t>
      </w:r>
      <w:r>
        <w:t xml:space="preserve">ro le solicitó que tratara de comunicarse con Telleldín a fin de obtener una suma de dinero para repartir entre él –por los servicios prestados- y </w:t>
      </w:r>
      <w:smartTag w:uri="urn:schemas-microsoft-com:office:smarttags" w:element="PersonName">
        <w:smartTagPr>
          <w:attr w:name="ProductID" w:val="la Brigada"/>
        </w:smartTagPr>
        <w:r>
          <w:t>la Brigada</w:t>
        </w:r>
      </w:smartTag>
      <w:r>
        <w:t xml:space="preserve"> de Vicente López. T</w:t>
      </w:r>
      <w:r>
        <w:t>e</w:t>
      </w:r>
      <w:r>
        <w:t>lleldín debía apo</w:t>
      </w:r>
      <w:r>
        <w:t>r</w:t>
      </w:r>
      <w:r>
        <w:t>tar dinero para que la brigada lo dejara tranquilo y no lo det</w:t>
      </w:r>
      <w:r>
        <w:t>u</w:t>
      </w:r>
      <w:r>
        <w:t>viera. Aclaró que Bareiro también le dijo que el procedimie</w:t>
      </w:r>
      <w:r>
        <w:t>n</w:t>
      </w:r>
      <w:r>
        <w:t>to había arrancado con la intención de detener a Telleldín por un tema relacionado con autos, ignorando si después continuaría con algún allanamiento.</w:t>
      </w:r>
    </w:p>
    <w:p w:rsidR="00224567" w:rsidRDefault="00224567">
      <w:pPr>
        <w:pStyle w:val="Textoindependiente"/>
        <w:tabs>
          <w:tab w:val="left" w:pos="2835"/>
        </w:tabs>
        <w:spacing w:line="600" w:lineRule="auto"/>
        <w:ind w:firstLine="2835"/>
      </w:pPr>
      <w:r>
        <w:t>Ante ello, Bottegal aceptó la pr</w:t>
      </w:r>
      <w:r>
        <w:t>o</w:t>
      </w:r>
      <w:r>
        <w:t>puesta y se contactó con Telleldín a través de un radio mensaje, en el que le dejó dicho que lo llamara al c</w:t>
      </w:r>
      <w:r>
        <w:t>e</w:t>
      </w:r>
      <w:r>
        <w:t>lular nº 444-3947. Telleldín lo llamó y le hizo saber que Bareiro le h</w:t>
      </w:r>
      <w:r>
        <w:t>a</w:t>
      </w:r>
      <w:r>
        <w:t>bía encargado contacta</w:t>
      </w:r>
      <w:r>
        <w:t>r</w:t>
      </w:r>
      <w:r>
        <w:t xml:space="preserve">se con él, acordando un encuentro en una confitería sita a una cuadra de las calles Monroe y Vidal, en </w:t>
      </w:r>
      <w:smartTag w:uri="urn:schemas-microsoft-com:office:smarttags" w:element="PersonName">
        <w:smartTagPr>
          <w:attr w:name="ProductID" w:val="la Capital Federal"/>
        </w:smartTagPr>
        <w:r>
          <w:t>la Capital F</w:t>
        </w:r>
        <w:r>
          <w:t>e</w:t>
        </w:r>
        <w:r>
          <w:t>deral</w:t>
        </w:r>
      </w:smartTag>
      <w:r>
        <w:t>, a la que Telleldín concurrió junto a su concub</w:t>
      </w:r>
      <w:r>
        <w:t>i</w:t>
      </w:r>
      <w:r>
        <w:t>na, llamada Ana Boragni.</w:t>
      </w:r>
    </w:p>
    <w:p w:rsidR="00224567" w:rsidRDefault="00224567">
      <w:pPr>
        <w:pStyle w:val="Textoindependiente"/>
        <w:tabs>
          <w:tab w:val="left" w:pos="2835"/>
        </w:tabs>
        <w:spacing w:line="600" w:lineRule="auto"/>
        <w:ind w:firstLine="2835"/>
      </w:pPr>
      <w:r>
        <w:t>En el bar, Telleldín le preguntó cuál era la situación y cómo se podía resolver, a lo que respo</w:t>
      </w:r>
      <w:r>
        <w:t>n</w:t>
      </w:r>
      <w:r>
        <w:t>dió que con dinero se podía solucionar el problema, acl</w:t>
      </w:r>
      <w:r>
        <w:t>a</w:t>
      </w:r>
      <w:r>
        <w:t>rando que no le hizo saber para qué era el dinero, pero s</w:t>
      </w:r>
      <w:r>
        <w:t>a</w:t>
      </w:r>
      <w:r>
        <w:t>bía que con cierta suma se s</w:t>
      </w:r>
      <w:r>
        <w:t>o</w:t>
      </w:r>
      <w:r>
        <w:t>lucionaba el asunto, atento lo expresado por Bare</w:t>
      </w:r>
      <w:r>
        <w:t>i</w:t>
      </w:r>
      <w:r>
        <w:t>ro.</w:t>
      </w:r>
    </w:p>
    <w:p w:rsidR="00224567" w:rsidRDefault="00224567">
      <w:pPr>
        <w:pStyle w:val="Textoindependiente"/>
        <w:tabs>
          <w:tab w:val="left" w:pos="2835"/>
        </w:tabs>
        <w:spacing w:line="600" w:lineRule="auto"/>
        <w:ind w:firstLine="2835"/>
      </w:pPr>
      <w:r>
        <w:t>En definitiva, sostuvo Bottegal, si T</w:t>
      </w:r>
      <w:r>
        <w:t>e</w:t>
      </w:r>
      <w:r>
        <w:t>lleldín entregaba dinero, él podía compartirlo o no con B</w:t>
      </w:r>
      <w:r>
        <w:t>a</w:t>
      </w:r>
      <w:r>
        <w:t>rreda y Bareiro y, a su vez, prese</w:t>
      </w:r>
      <w:r>
        <w:t>n</w:t>
      </w:r>
      <w:r>
        <w:t>taría un hábeas corpus a favor de Telleldín para aclarar la situación legal, abo</w:t>
      </w:r>
      <w:r>
        <w:t>r</w:t>
      </w:r>
      <w:r>
        <w:t>tando la supuesta investigación. Con esa presentación se abría de los policías, pero esto no se lo diría a ellos, ni a T</w:t>
      </w:r>
      <w:r>
        <w:t>e</w:t>
      </w:r>
      <w:r>
        <w:t>lleldín.</w:t>
      </w:r>
    </w:p>
    <w:p w:rsidR="00224567" w:rsidRDefault="00224567">
      <w:pPr>
        <w:pStyle w:val="Textoindependiente"/>
        <w:tabs>
          <w:tab w:val="left" w:pos="2835"/>
        </w:tabs>
        <w:spacing w:line="600" w:lineRule="auto"/>
        <w:ind w:firstLine="2835"/>
      </w:pPr>
      <w:r>
        <w:t xml:space="preserve">Expresó que no conocía a nadie de </w:t>
      </w:r>
      <w:smartTag w:uri="urn:schemas-microsoft-com:office:smarttags" w:element="PersonName">
        <w:smartTagPr>
          <w:attr w:name="ProductID" w:val="la Brigada"/>
        </w:smartTagPr>
        <w:r>
          <w:t>la Brigada</w:t>
        </w:r>
      </w:smartTag>
      <w:r>
        <w:t xml:space="preserve"> de Vicente López que prestara funciones en la época de los hechos, a excepción de B</w:t>
      </w:r>
      <w:r>
        <w:t>a</w:t>
      </w:r>
      <w:r>
        <w:t>reiro, por lo que no tenía ningún tipo de compromiso con los integrantes de aquella dependencia.</w:t>
      </w:r>
    </w:p>
    <w:p w:rsidR="00224567" w:rsidRDefault="00224567">
      <w:pPr>
        <w:pStyle w:val="Textoindependiente"/>
        <w:tabs>
          <w:tab w:val="left" w:pos="2835"/>
        </w:tabs>
        <w:spacing w:line="600" w:lineRule="auto"/>
        <w:ind w:firstLine="2835"/>
      </w:pPr>
      <w:r>
        <w:t>Interrogado acerca de qué haría con el dinero en caso de obtenerlo, dijo que no t</w:t>
      </w:r>
      <w:r>
        <w:t>e</w:t>
      </w:r>
      <w:r>
        <w:t>nía claro si lo iba a repartir con Barreda y Bareiro, o no. Éstos dijeron que tenían que llevar dinero a la brigada, concret</w:t>
      </w:r>
      <w:r>
        <w:t>a</w:t>
      </w:r>
      <w:r>
        <w:t>mente al jefe operativo, pero a él no le quedó claro. Agregó que a</w:t>
      </w:r>
      <w:r>
        <w:t>l</w:t>
      </w:r>
      <w:r>
        <w:t>go de cierto había en eso, ya que a Telleldín le habían cruzado un auto y éste era informante de la policía, o al menos de Bareiro. Aclaró que a T</w:t>
      </w:r>
      <w:r>
        <w:t>e</w:t>
      </w:r>
      <w:r>
        <w:t>lleldín lo conoció a raíz del planteo mencionado, que ocurrió un jueves o viernes de las vacaciones de invierno de 1994.</w:t>
      </w:r>
    </w:p>
    <w:p w:rsidR="00224567" w:rsidRDefault="00224567">
      <w:pPr>
        <w:pStyle w:val="Textoindependiente"/>
        <w:tabs>
          <w:tab w:val="left" w:pos="2835"/>
        </w:tabs>
        <w:spacing w:line="600" w:lineRule="auto"/>
        <w:ind w:firstLine="2835"/>
      </w:pPr>
      <w:r>
        <w:t>En la reunión, Telleldín le comunicó que no tenía dinero, pero sí dos o tres automotores marca Renault y dos embarcaciones, una de las cuales estaba e</w:t>
      </w:r>
      <w:r>
        <w:t>m</w:t>
      </w:r>
      <w:r>
        <w:t>bargada en Uruguay. Telleldín le ofreció la embarcación “Gonzalo”, en garantía del dinero, ya que no aceptó la e</w:t>
      </w:r>
      <w:r>
        <w:t>n</w:t>
      </w:r>
      <w:r>
        <w:t>trega de los vehículos, presumiendo el origen ilícito de estos teniendo en cuenta la activ</w:t>
      </w:r>
      <w:r>
        <w:t>i</w:t>
      </w:r>
      <w:r>
        <w:t>dad del nombrado.</w:t>
      </w:r>
    </w:p>
    <w:p w:rsidR="00224567" w:rsidRDefault="00224567">
      <w:pPr>
        <w:pStyle w:val="Textoindependiente"/>
        <w:tabs>
          <w:tab w:val="left" w:pos="2835"/>
        </w:tabs>
        <w:spacing w:line="600" w:lineRule="auto"/>
        <w:ind w:firstLine="2835"/>
      </w:pPr>
      <w:r>
        <w:t>Además, Bottegal refirió que Telle</w:t>
      </w:r>
      <w:r>
        <w:t>l</w:t>
      </w:r>
      <w:r>
        <w:t>dín le dijo que no contaba con dinero y que haría lo posible para juntar lo que pudiera en la semana, expr</w:t>
      </w:r>
      <w:r>
        <w:t>e</w:t>
      </w:r>
      <w:r>
        <w:t>sando que le pidió $ 30.000 o 40.000.</w:t>
      </w:r>
    </w:p>
    <w:p w:rsidR="00224567" w:rsidRDefault="00224567">
      <w:pPr>
        <w:pStyle w:val="Textoindependiente"/>
        <w:tabs>
          <w:tab w:val="left" w:pos="2835"/>
        </w:tabs>
        <w:spacing w:line="600" w:lineRule="auto"/>
        <w:ind w:firstLine="2835"/>
      </w:pPr>
      <w:r>
        <w:t>Asimismo, indicó que Telleldín le acl</w:t>
      </w:r>
      <w:r>
        <w:t>a</w:t>
      </w:r>
      <w:r>
        <w:t>ró que la documentación de la embarcación se enco</w:t>
      </w:r>
      <w:r>
        <w:t>n</w:t>
      </w:r>
      <w:r>
        <w:t>traba en su domicilio de Villa Ballester, en la calle República, s</w:t>
      </w:r>
      <w:r>
        <w:t>o</w:t>
      </w:r>
      <w:r>
        <w:t>licitándole que concurriera para retirarla. Así f</w:t>
      </w:r>
      <w:r>
        <w:t>i</w:t>
      </w:r>
      <w:r>
        <w:t>nalizó la conversación que mantuvieron en el bar y pactaron enco</w:t>
      </w:r>
      <w:r>
        <w:t>n</w:t>
      </w:r>
      <w:r>
        <w:t>trarse esa noche en un l</w:t>
      </w:r>
      <w:r>
        <w:t>u</w:t>
      </w:r>
      <w:r>
        <w:t>gar más cercano a la provincia de Buenos Aires, en General Paz y Avenida San Martín.</w:t>
      </w:r>
    </w:p>
    <w:p w:rsidR="00224567" w:rsidRDefault="00224567">
      <w:pPr>
        <w:pStyle w:val="Textoindependiente"/>
        <w:tabs>
          <w:tab w:val="left" w:pos="2835"/>
        </w:tabs>
        <w:spacing w:line="600" w:lineRule="auto"/>
        <w:ind w:firstLine="2835"/>
      </w:pPr>
      <w:r>
        <w:t>Manifestó que concurrió al dom</w:t>
      </w:r>
      <w:r>
        <w:t>i</w:t>
      </w:r>
      <w:r>
        <w:t>cilio de Villa Ballester en un Renault Fuego, color negro, cuya p</w:t>
      </w:r>
      <w:r>
        <w:t>a</w:t>
      </w:r>
      <w:r>
        <w:t>tente terminaba con el nº 514, y se comunicó con Barreda o Bareiro, pero no recordó con cuál de los dos lo hizo, ni si fue antes o después de arribar al lugar. Allí se hallaban varios chicos y un hombre, le entr</w:t>
      </w:r>
      <w:r>
        <w:t>e</w:t>
      </w:r>
      <w:r>
        <w:t>abrieron la puerta y una niña de aproximadamente doce años le dio un maletín. Reco</w:t>
      </w:r>
      <w:r>
        <w:t>r</w:t>
      </w:r>
      <w:r>
        <w:t>dó que ésta no dispuso sobre la entrega del maletín, sino que hubo un comentario entre el hombre aludido y ella, lu</w:t>
      </w:r>
      <w:r>
        <w:t>e</w:t>
      </w:r>
      <w:r>
        <w:t>go de lo cual ésta se lo alcanzó.</w:t>
      </w:r>
    </w:p>
    <w:p w:rsidR="00224567" w:rsidRDefault="00224567">
      <w:pPr>
        <w:pStyle w:val="Textoindependiente"/>
        <w:tabs>
          <w:tab w:val="left" w:pos="2835"/>
        </w:tabs>
        <w:spacing w:line="600" w:lineRule="auto"/>
        <w:ind w:firstLine="2835"/>
      </w:pPr>
      <w:r>
        <w:t>Dijo que intentó abrir el mal</w:t>
      </w:r>
      <w:r>
        <w:t>e</w:t>
      </w:r>
      <w:r>
        <w:t>tín, pero como estaba cerrado se dirigió al encuentro de T</w:t>
      </w:r>
      <w:r>
        <w:t>e</w:t>
      </w:r>
      <w:r>
        <w:t>lleldín, a quien se lo entregó y lo abrió. Relató que Telleldín conc</w:t>
      </w:r>
      <w:r>
        <w:t>u</w:t>
      </w:r>
      <w:r>
        <w:t>rrió al lugar munido de un boleto de compraventa en blanco, conforme lo acordado previamente, respecto de la gara</w:t>
      </w:r>
      <w:r>
        <w:t>n</w:t>
      </w:r>
      <w:r>
        <w:t>tía. Además, le describió el barco, manifestándole que tenía una deuda en una guardería, que “golpeaba” el motor y que su valor era de aproximadamente $ 15.000.</w:t>
      </w:r>
    </w:p>
    <w:p w:rsidR="00224567" w:rsidRDefault="00224567">
      <w:pPr>
        <w:pStyle w:val="Textoindependiente"/>
        <w:tabs>
          <w:tab w:val="left" w:pos="2835"/>
        </w:tabs>
        <w:spacing w:line="600" w:lineRule="auto"/>
        <w:ind w:firstLine="2835"/>
      </w:pPr>
      <w:r>
        <w:t>En virtud de ello, entendió que la e</w:t>
      </w:r>
      <w:r>
        <w:t>m</w:t>
      </w:r>
      <w:r>
        <w:t>barcación no valdría más de $ 5.000, pero toda vez que el nombrado insistía, el boleto se confe</w:t>
      </w:r>
      <w:r>
        <w:t>c</w:t>
      </w:r>
      <w:r>
        <w:t>cionó por ese monto.</w:t>
      </w:r>
    </w:p>
    <w:p w:rsidR="00224567" w:rsidRDefault="00224567">
      <w:pPr>
        <w:pStyle w:val="Textoindependiente"/>
        <w:tabs>
          <w:tab w:val="left" w:pos="2835"/>
        </w:tabs>
        <w:spacing w:line="600" w:lineRule="auto"/>
        <w:ind w:firstLine="2835"/>
      </w:pPr>
      <w:r>
        <w:t>Al respecto, Bottegal explicó que d</w:t>
      </w:r>
      <w:r>
        <w:t>i</w:t>
      </w:r>
      <w:r>
        <w:t>cha suma impresionaría mejor a Bareiro y Barreda, al mismo tiempo que le permitía mantener el “status quo” de Telle</w:t>
      </w:r>
      <w:r>
        <w:t>l</w:t>
      </w:r>
      <w:r>
        <w:t>dín, en el caso de presentar un hábeas corpus. Recordó que Telleldín le solicitó que no vendiera la embarcación, ya que era importante para su hija, asegurándole que paga</w:t>
      </w:r>
      <w:r>
        <w:t>r</w:t>
      </w:r>
      <w:r>
        <w:t>ía.</w:t>
      </w:r>
    </w:p>
    <w:p w:rsidR="00224567" w:rsidRDefault="00224567">
      <w:pPr>
        <w:pStyle w:val="Textoindependiente"/>
        <w:tabs>
          <w:tab w:val="left" w:pos="2835"/>
        </w:tabs>
        <w:spacing w:line="600" w:lineRule="auto"/>
        <w:ind w:firstLine="2835"/>
      </w:pPr>
      <w:r>
        <w:t>Aclaró que el boleto no se confecci</w:t>
      </w:r>
      <w:r>
        <w:t>o</w:t>
      </w:r>
      <w:r>
        <w:t>nó en su totalidad, sino que se asentaron a</w:t>
      </w:r>
      <w:r>
        <w:t>l</w:t>
      </w:r>
      <w:r>
        <w:t>gunos datos de la embarcación y los nombres de ambos, creyendo haberlos co</w:t>
      </w:r>
      <w:r>
        <w:t>m</w:t>
      </w:r>
      <w:r>
        <w:t>pletado él, siendo luego firmado por los dos.</w:t>
      </w:r>
    </w:p>
    <w:p w:rsidR="00224567" w:rsidRDefault="00224567">
      <w:pPr>
        <w:pStyle w:val="Textoindependiente"/>
        <w:tabs>
          <w:tab w:val="left" w:pos="2835"/>
        </w:tabs>
        <w:spacing w:line="600" w:lineRule="auto"/>
        <w:ind w:firstLine="2835"/>
      </w:pPr>
      <w:r>
        <w:t>Manifestó que quedaron en hablar nuev</w:t>
      </w:r>
      <w:r>
        <w:t>a</w:t>
      </w:r>
      <w:r>
        <w:t>mente cuando Telleldín consiguiera algo de dinero, lo que sucedió el lunes o martes siguiente. En el transcurso de esa conversación, le preguntó al nombrado cuá</w:t>
      </w:r>
      <w:r>
        <w:t>n</w:t>
      </w:r>
      <w:r>
        <w:t>to demoraría en conseguir el dinero, ante lo cual le contestó que vend</w:t>
      </w:r>
      <w:r>
        <w:t>e</w:t>
      </w:r>
      <w:r>
        <w:t>ría los autos en el mismo tiempo en que había vendido una camioneta Trafic el domingo anterior, lo que sucedería e</w:t>
      </w:r>
      <w:r>
        <w:t>n</w:t>
      </w:r>
      <w:r>
        <w:t xml:space="preserve">seguida. Además le contó que </w:t>
      </w:r>
      <w:smartTag w:uri="urn:schemas-microsoft-com:office:smarttags" w:element="PersonName">
        <w:smartTagPr>
          <w:attr w:name="ProductID" w:val="la Trafic"/>
        </w:smartTagPr>
        <w:r>
          <w:t>la Tr</w:t>
        </w:r>
        <w:r>
          <w:t>a</w:t>
        </w:r>
        <w:r>
          <w:t>fic</w:t>
        </w:r>
      </w:smartTag>
      <w:r>
        <w:t xml:space="preserve"> se la había vendido a un señor que había concurrido a su domicilio, quien la había adquirido c</w:t>
      </w:r>
      <w:r>
        <w:t>a</w:t>
      </w:r>
      <w:r>
        <w:t>si sin constatar su estado. Asimismo, le comentó que por el número de documento el comprador era e</w:t>
      </w:r>
      <w:r>
        <w:t>x</w:t>
      </w:r>
      <w:r>
        <w:t>tranjero, y que había advertido algo irregular en aquel instrumento, pero no le importó, ya que quería co</w:t>
      </w:r>
      <w:r>
        <w:t>n</w:t>
      </w:r>
      <w:r>
        <w:t>cretar la venta. La conversación finalizó allí, tras lo cual se com</w:t>
      </w:r>
      <w:r>
        <w:t>u</w:t>
      </w:r>
      <w:r>
        <w:t>nicó con Bareiro o Barreda al celular aportado por ellos en su momento. No recordó su número ni a quién pertenecía. Al comunicarse con alguno de ellos, le co</w:t>
      </w:r>
      <w:r>
        <w:t>n</w:t>
      </w:r>
      <w:r>
        <w:t>tó sobre la reunión y quedaron en esperar, consid</w:t>
      </w:r>
      <w:r>
        <w:t>e</w:t>
      </w:r>
      <w:r>
        <w:t>rando que aquellos no tenían urgencia en detener a Telleldín, pues de lo contrario lo hubieran seguido.</w:t>
      </w:r>
    </w:p>
    <w:p w:rsidR="00224567" w:rsidRDefault="00224567">
      <w:pPr>
        <w:pStyle w:val="Textoindependiente"/>
        <w:tabs>
          <w:tab w:val="left" w:pos="2835"/>
        </w:tabs>
        <w:spacing w:line="600" w:lineRule="auto"/>
        <w:ind w:firstLine="2835"/>
      </w:pPr>
      <w:r>
        <w:t>Durante el fin de semana siguiente no recordó haber tenido contacto con ninguno de los mencion</w:t>
      </w:r>
      <w:r>
        <w:t>a</w:t>
      </w:r>
      <w:r>
        <w:t>dos, y llegado el lunes o martes se comunicó con el domic</w:t>
      </w:r>
      <w:r>
        <w:t>i</w:t>
      </w:r>
      <w:r>
        <w:t>lio de Telleldín en Villa B</w:t>
      </w:r>
      <w:r>
        <w:t>a</w:t>
      </w:r>
      <w:r>
        <w:t>llester, siendo atendido, según creyó, por Ana, quien le expresó que aún no habían vendido nada y que Telleldín estaba tratando de conseguir el din</w:t>
      </w:r>
      <w:r>
        <w:t>e</w:t>
      </w:r>
      <w:r>
        <w:t>ro.</w:t>
      </w:r>
    </w:p>
    <w:p w:rsidR="00224567" w:rsidRDefault="00224567">
      <w:pPr>
        <w:pStyle w:val="Textoindependiente"/>
        <w:tabs>
          <w:tab w:val="left" w:pos="2835"/>
        </w:tabs>
        <w:spacing w:line="600" w:lineRule="auto"/>
        <w:ind w:firstLine="2835"/>
      </w:pPr>
      <w:r>
        <w:t>Precisó que, como máximo, llamó dos v</w:t>
      </w:r>
      <w:r>
        <w:t>e</w:t>
      </w:r>
      <w:r>
        <w:t>ces al domicilio de Telleldín, “recibiendo la misma cant</w:t>
      </w:r>
      <w:r>
        <w:t>i</w:t>
      </w:r>
      <w:r>
        <w:t>dad de llamados”, luego de los cuales se comunicaba con B</w:t>
      </w:r>
      <w:r>
        <w:t>a</w:t>
      </w:r>
      <w:r>
        <w:t>rreda y/o Bareiro para informar las novedades.</w:t>
      </w:r>
    </w:p>
    <w:p w:rsidR="00224567" w:rsidRDefault="00224567">
      <w:pPr>
        <w:pStyle w:val="Textoindependiente"/>
        <w:tabs>
          <w:tab w:val="left" w:pos="2835"/>
        </w:tabs>
        <w:spacing w:line="600" w:lineRule="auto"/>
        <w:ind w:firstLine="2835"/>
      </w:pPr>
      <w:r>
        <w:t>Mencionó que unos días posteriores al atentado se llevó a cabo un allanamiento en la casa de T</w:t>
      </w:r>
      <w:r>
        <w:t>e</w:t>
      </w:r>
      <w:r>
        <w:t>lleldín, ocasión en la que Ana lo llamó a la oficina y le dijo que había una “patota” en la puerta de su casa, p</w:t>
      </w:r>
      <w:r>
        <w:t>i</w:t>
      </w:r>
      <w:r>
        <w:t>diéndole que averiguara el m</w:t>
      </w:r>
      <w:r>
        <w:t>o</w:t>
      </w:r>
      <w:r>
        <w:t>tivo.</w:t>
      </w:r>
    </w:p>
    <w:p w:rsidR="00224567" w:rsidRDefault="00224567">
      <w:pPr>
        <w:pStyle w:val="Textoindependiente"/>
        <w:tabs>
          <w:tab w:val="left" w:pos="2835"/>
        </w:tabs>
        <w:spacing w:line="600" w:lineRule="auto"/>
        <w:ind w:firstLine="2835"/>
      </w:pPr>
      <w:r>
        <w:t xml:space="preserve">De este modo, llamó a </w:t>
      </w:r>
      <w:smartTag w:uri="urn:schemas-microsoft-com:office:smarttags" w:element="PersonName">
        <w:smartTagPr>
          <w:attr w:name="ProductID" w:val="la Brigada"/>
        </w:smartTagPr>
        <w:r>
          <w:t>la Brigada</w:t>
        </w:r>
      </w:smartTag>
      <w:r>
        <w:t xml:space="preserve"> de San Martín, pero no pudo comunicarse. Luego recibió un nuevo llamado que fue atendido por su secretaria, a través del cual le dijeron que concurriera a </w:t>
      </w:r>
      <w:smartTag w:uri="urn:schemas-microsoft-com:office:smarttags" w:element="PersonName">
        <w:smartTagPr>
          <w:attr w:name="ProductID" w:val="la Delegaci￳n San"/>
        </w:smartTagPr>
        <w:r>
          <w:t>la Deleg</w:t>
        </w:r>
        <w:r>
          <w:t>a</w:t>
        </w:r>
        <w:r>
          <w:t>ción San</w:t>
        </w:r>
      </w:smartTag>
      <w:r>
        <w:t xml:space="preserve"> Martín de </w:t>
      </w:r>
      <w:smartTag w:uri="urn:schemas-microsoft-com:office:smarttags" w:element="PersonName">
        <w:smartTagPr>
          <w:attr w:name="ProductID" w:val="la Polic￭a Federal"/>
        </w:smartTagPr>
        <w:r>
          <w:t>la Policía Fed</w:t>
        </w:r>
        <w:r>
          <w:t>e</w:t>
        </w:r>
        <w:r>
          <w:t>ral</w:t>
        </w:r>
      </w:smartTag>
      <w:r>
        <w:t>, ya que habían detenido a Ana.</w:t>
      </w:r>
    </w:p>
    <w:p w:rsidR="00224567" w:rsidRDefault="00224567">
      <w:pPr>
        <w:pStyle w:val="Textoindependiente"/>
        <w:tabs>
          <w:tab w:val="left" w:pos="2835"/>
        </w:tabs>
        <w:spacing w:line="600" w:lineRule="auto"/>
        <w:ind w:firstLine="2835"/>
      </w:pPr>
      <w:r>
        <w:t>Fue a esa dependencia y le informaron que no tenían conocimiento de ningún proced</w:t>
      </w:r>
      <w:r>
        <w:t>i</w:t>
      </w:r>
      <w:r>
        <w:t>miento, por lo que se trasladó al domicilio de Telleldín en Villa Balle</w:t>
      </w:r>
      <w:r>
        <w:t>s</w:t>
      </w:r>
      <w:r>
        <w:t>ter. Allí encontró a gente del D.P.O.C., al comisario L</w:t>
      </w:r>
      <w:r>
        <w:t>ó</w:t>
      </w:r>
      <w:r>
        <w:t xml:space="preserve">pez, que era el segundo jefe de </w:t>
      </w:r>
      <w:smartTag w:uri="urn:schemas-microsoft-com:office:smarttags" w:element="PersonName">
        <w:smartTagPr>
          <w:attr w:name="ProductID" w:val="la Brigada"/>
        </w:smartTagPr>
        <w:r>
          <w:t>la Brigada</w:t>
        </w:r>
      </w:smartTag>
      <w:r>
        <w:t xml:space="preserve"> de Investigaci</w:t>
      </w:r>
      <w:r>
        <w:t>o</w:t>
      </w:r>
      <w:r>
        <w:t>nes de San Ma</w:t>
      </w:r>
      <w:r>
        <w:t>r</w:t>
      </w:r>
      <w:r>
        <w:t>tín, a Barreda y a Bareiro.</w:t>
      </w:r>
    </w:p>
    <w:p w:rsidR="00224567" w:rsidRDefault="00224567">
      <w:pPr>
        <w:pStyle w:val="Textoindependiente"/>
        <w:tabs>
          <w:tab w:val="left" w:pos="2835"/>
        </w:tabs>
        <w:spacing w:line="600" w:lineRule="auto"/>
        <w:ind w:firstLine="2835"/>
      </w:pPr>
      <w:r>
        <w:t>Entendió que la presencia de López se debió a que debía justificar que Barreda e</w:t>
      </w:r>
      <w:r>
        <w:t>s</w:t>
      </w:r>
      <w:r>
        <w:t>tuviera bajo sus órdenes. Creyó que la persona que dirigió el proc</w:t>
      </w:r>
      <w:r>
        <w:t>e</w:t>
      </w:r>
      <w:r>
        <w:t>dimiento era un subcomisario del D.P.O.C., quien le dijo que se qu</w:t>
      </w:r>
      <w:r>
        <w:t>e</w:t>
      </w:r>
      <w:r>
        <w:t>dara porque seguramente Telleldín lo llamaría al celular. Posteriormente comi</w:t>
      </w:r>
      <w:r>
        <w:t>e</w:t>
      </w:r>
      <w:r>
        <w:t>ron y su celular se quedó sin batería, por lo que se retiró, ya que no era necesaria su presencia. Después, tomó conocimiento a través de Barreda o Bareiro que Telleldín había llamado a la madrugada y que se había entregado en el A</w:t>
      </w:r>
      <w:r>
        <w:t>e</w:t>
      </w:r>
      <w:r>
        <w:t>roparque.</w:t>
      </w:r>
    </w:p>
    <w:p w:rsidR="00224567" w:rsidRDefault="00224567">
      <w:pPr>
        <w:pStyle w:val="Textoindependiente"/>
        <w:tabs>
          <w:tab w:val="left" w:pos="2835"/>
        </w:tabs>
        <w:spacing w:line="600" w:lineRule="auto"/>
        <w:ind w:firstLine="2835"/>
      </w:pPr>
      <w:r>
        <w:t>El imputado señaló que continuó vie</w:t>
      </w:r>
      <w:r>
        <w:t>n</w:t>
      </w:r>
      <w:r>
        <w:t xml:space="preserve">do a Barreda y a Bareiro ya que, según éstos le informaron, colaboraban en la investigación del atentado junto con </w:t>
      </w:r>
      <w:smartTag w:uri="urn:schemas-microsoft-com:office:smarttags" w:element="PersonName">
        <w:smartTagPr>
          <w:attr w:name="ProductID" w:val="la Polic￭a Federal"/>
        </w:smartTagPr>
        <w:r>
          <w:t>la Policía Federal</w:t>
        </w:r>
      </w:smartTag>
      <w:r>
        <w:t xml:space="preserve"> y </w:t>
      </w:r>
      <w:smartTag w:uri="urn:schemas-microsoft-com:office:smarttags" w:element="PersonName">
        <w:smartTagPr>
          <w:attr w:name="ProductID" w:val="la S.I"/>
        </w:smartTagPr>
        <w:r>
          <w:t>la S.I</w:t>
        </w:r>
      </w:smartTag>
      <w:r>
        <w:t>.D.E. Incluso, c</w:t>
      </w:r>
      <w:r>
        <w:t>o</w:t>
      </w:r>
      <w:r>
        <w:t xml:space="preserve">mentó que asistió a una reunión con un señor llamado Jaime, jefe de </w:t>
      </w:r>
      <w:smartTag w:uri="urn:schemas-microsoft-com:office:smarttags" w:element="PersonName">
        <w:smartTagPr>
          <w:attr w:name="ProductID" w:val="la S.I"/>
        </w:smartTagPr>
        <w:r>
          <w:t>la S.I</w:t>
        </w:r>
      </w:smartTag>
      <w:r>
        <w:t>.D.E.; reunión en la que aportó todos los datos a los que hizo referencia con anteri</w:t>
      </w:r>
      <w:r>
        <w:t>o</w:t>
      </w:r>
      <w:r>
        <w:t>ridad.</w:t>
      </w:r>
    </w:p>
    <w:p w:rsidR="00224567" w:rsidRDefault="00224567">
      <w:pPr>
        <w:pStyle w:val="Textoindependiente"/>
        <w:tabs>
          <w:tab w:val="left" w:pos="2835"/>
        </w:tabs>
        <w:spacing w:line="600" w:lineRule="auto"/>
        <w:ind w:firstLine="2835"/>
      </w:pPr>
      <w:r>
        <w:t>Mencionó que dicha reunión se realizó en un bar céntrico de esta Ciudad, no recordando su ubic</w:t>
      </w:r>
      <w:r>
        <w:t>a</w:t>
      </w:r>
      <w:r>
        <w:t>ción, al cual fue conducido a bordo del Ford Falcon color gris de Barreda.</w:t>
      </w:r>
    </w:p>
    <w:p w:rsidR="00224567" w:rsidRDefault="00224567">
      <w:pPr>
        <w:pStyle w:val="Textoindependiente"/>
        <w:tabs>
          <w:tab w:val="left" w:pos="2835"/>
        </w:tabs>
        <w:spacing w:line="600" w:lineRule="auto"/>
        <w:ind w:firstLine="2835"/>
      </w:pPr>
      <w:r>
        <w:t>Expresó que, una vez detenido Telle</w:t>
      </w:r>
      <w:r>
        <w:t>l</w:t>
      </w:r>
      <w:r>
        <w:t>dín, Barreda y Bareiro le insistieron en que vendiera el barco para obtener dinero, ya que pensaban que les corre</w:t>
      </w:r>
      <w:r>
        <w:t>s</w:t>
      </w:r>
      <w:r>
        <w:t>pondía una parte, aclarando que si bien no quería di</w:t>
      </w:r>
      <w:r>
        <w:t>s</w:t>
      </w:r>
      <w:r>
        <w:t>poner del barco, Barreda y Bareiro lo presionaban consta</w:t>
      </w:r>
      <w:r>
        <w:t>n</w:t>
      </w:r>
      <w:r>
        <w:t>temente en ese sentido. Le expl</w:t>
      </w:r>
      <w:r>
        <w:t>i</w:t>
      </w:r>
      <w:r>
        <w:t>caron que podía justificar la venta diciendo que lo había recibido en concepto de pago de hon</w:t>
      </w:r>
      <w:r>
        <w:t>o</w:t>
      </w:r>
      <w:r>
        <w:t>rarios. Ante ello, les explicó que no podía hacerlo, pues lo había recibido en concepto de garantía. Agregó que ta</w:t>
      </w:r>
      <w:r>
        <w:t>m</w:t>
      </w:r>
      <w:r>
        <w:t>bién “Vicky” lo llamaba por ese motivo, invocando necesid</w:t>
      </w:r>
      <w:r>
        <w:t>a</w:t>
      </w:r>
      <w:r>
        <w:t>des económicas y una cuestión de desalojo. Recordó que co</w:t>
      </w:r>
      <w:r>
        <w:t>n</w:t>
      </w:r>
      <w:r>
        <w:t>currió a la guardería una vez junto a su padre y en otra, cuando estaba cerrada, junto a Barreda y Bareiro.</w:t>
      </w:r>
    </w:p>
    <w:p w:rsidR="00224567" w:rsidRDefault="00224567">
      <w:pPr>
        <w:pStyle w:val="Textoindependiente"/>
        <w:tabs>
          <w:tab w:val="left" w:pos="2835"/>
        </w:tabs>
        <w:spacing w:line="600" w:lineRule="auto"/>
        <w:ind w:firstLine="2835"/>
      </w:pPr>
      <w:r>
        <w:t>Explicó que en virtud de la pr</w:t>
      </w:r>
      <w:r>
        <w:t>e</w:t>
      </w:r>
      <w:r>
        <w:t>sión de los policías le entregó a Bareiro la documentación de la embarc</w:t>
      </w:r>
      <w:r>
        <w:t>a</w:t>
      </w:r>
      <w:r>
        <w:t>ción.</w:t>
      </w:r>
    </w:p>
    <w:p w:rsidR="00224567" w:rsidRDefault="00224567">
      <w:pPr>
        <w:pStyle w:val="Textoindependiente"/>
        <w:tabs>
          <w:tab w:val="left" w:pos="2835"/>
        </w:tabs>
        <w:spacing w:line="600" w:lineRule="auto"/>
        <w:ind w:firstLine="2835"/>
      </w:pPr>
      <w:r>
        <w:t>Destacó que en la ocasión en que conc</w:t>
      </w:r>
      <w:r>
        <w:t>u</w:t>
      </w:r>
      <w:r>
        <w:t>rrió a la guardería junto a su padre, exhibió para ingresar el original del boleto de comprave</w:t>
      </w:r>
      <w:r>
        <w:t>n</w:t>
      </w:r>
      <w:r>
        <w:t>ta, del cual el personal extrajo fotocopia, y observó la emba</w:t>
      </w:r>
      <w:r>
        <w:t>r</w:t>
      </w:r>
      <w:r>
        <w:t>cación.</w:t>
      </w:r>
    </w:p>
    <w:p w:rsidR="00224567" w:rsidRDefault="00224567">
      <w:pPr>
        <w:pStyle w:val="Textoindependiente"/>
        <w:tabs>
          <w:tab w:val="left" w:pos="2835"/>
        </w:tabs>
        <w:spacing w:line="600" w:lineRule="auto"/>
        <w:ind w:firstLine="2835"/>
      </w:pPr>
      <w:r>
        <w:t>Dijo que no podía aportar mayores d</w:t>
      </w:r>
      <w:r>
        <w:t>a</w:t>
      </w:r>
      <w:r>
        <w:t>tos acerca del “arreglo” al que arribó Telleldín en Lanús, ya que se trató de referencias hechas por Barreda, Bareiro y Telleldín.</w:t>
      </w:r>
    </w:p>
    <w:p w:rsidR="00224567" w:rsidRDefault="00224567">
      <w:pPr>
        <w:pStyle w:val="Textoindependiente"/>
        <w:tabs>
          <w:tab w:val="left" w:pos="2835"/>
        </w:tabs>
        <w:spacing w:line="600" w:lineRule="auto"/>
      </w:pPr>
      <w:r>
        <w:tab/>
      </w:r>
      <w:r>
        <w:tab/>
        <w:t xml:space="preserve">Consideró que en </w:t>
      </w:r>
      <w:smartTag w:uri="urn:schemas-microsoft-com:office:smarttags" w:element="PersonName">
        <w:smartTagPr>
          <w:attr w:name="ProductID" w:val="la Brigada"/>
        </w:smartTagPr>
        <w:r>
          <w:t>la Brigada</w:t>
        </w:r>
      </w:smartTag>
      <w:r>
        <w:t xml:space="preserve"> de Lanús tendrían alguna referencia acerca de las actividades ilíc</w:t>
      </w:r>
      <w:r>
        <w:t>i</w:t>
      </w:r>
      <w:r>
        <w:t>tas de Telleldín, que éste había “arr</w:t>
      </w:r>
      <w:r>
        <w:t>e</w:t>
      </w:r>
      <w:r>
        <w:t>glado” con la entrega de algo –dinero o bienes- y esa brigada lo había dejado en libertad pasando el dato a la de Vicente López. Por ello, estimó que no habría muchas pruebas en contra del nombrado y con un hábeas corpus abortaría cualquier investigación.</w:t>
      </w:r>
    </w:p>
    <w:p w:rsidR="00224567" w:rsidRDefault="00224567">
      <w:pPr>
        <w:pStyle w:val="Textoindependiente"/>
        <w:tabs>
          <w:tab w:val="left" w:pos="2835"/>
        </w:tabs>
        <w:spacing w:line="600" w:lineRule="auto"/>
      </w:pPr>
      <w:r>
        <w:tab/>
      </w:r>
      <w:r>
        <w:tab/>
        <w:t>Manifestó que, de acuerdo a su exp</w:t>
      </w:r>
      <w:r>
        <w:t>e</w:t>
      </w:r>
      <w:r>
        <w:t>riencia profesional una brigada podría transmitir datos a otra.</w:t>
      </w:r>
    </w:p>
    <w:p w:rsidR="00224567" w:rsidRDefault="00224567">
      <w:pPr>
        <w:pStyle w:val="Textoindependiente"/>
        <w:tabs>
          <w:tab w:val="left" w:pos="2835"/>
        </w:tabs>
        <w:spacing w:line="600" w:lineRule="auto"/>
        <w:ind w:firstLine="2835"/>
      </w:pPr>
      <w:r>
        <w:t xml:space="preserve">Señaló que no concurrió a </w:t>
      </w:r>
      <w:smartTag w:uri="urn:schemas-microsoft-com:office:smarttags" w:element="PersonName">
        <w:smartTagPr>
          <w:attr w:name="ProductID" w:val="la Brigada"/>
        </w:smartTagPr>
        <w:r>
          <w:t>la Br</w:t>
        </w:r>
        <w:r>
          <w:t>i</w:t>
        </w:r>
        <w:r>
          <w:t>gada</w:t>
        </w:r>
      </w:smartTag>
      <w:r>
        <w:t xml:space="preserve"> de Vicente López para interiorizarse por la s</w:t>
      </w:r>
      <w:r>
        <w:t>i</w:t>
      </w:r>
      <w:r>
        <w:t>tuación de Pérez o Telleldín ni llamó por teléfono, ya que se enteraba a través de Bareiro.</w:t>
      </w:r>
    </w:p>
    <w:p w:rsidR="00224567" w:rsidRDefault="00224567">
      <w:pPr>
        <w:pStyle w:val="Textoindependiente"/>
        <w:tabs>
          <w:tab w:val="left" w:pos="2835"/>
        </w:tabs>
        <w:spacing w:line="600" w:lineRule="auto"/>
      </w:pPr>
      <w:r>
        <w:tab/>
      </w:r>
      <w:r>
        <w:tab/>
        <w:t>Respecto al eventual conocimiento de Forgione, Leal, Rago, Lasala y Quinteros, se remitió a su declaración testimonial de fs. 38.551/38.557, en la que sostuvo que al primero lo conocía de San Martín, que tenía un cliente apell</w:t>
      </w:r>
      <w:r>
        <w:t>i</w:t>
      </w:r>
      <w:r>
        <w:t>dado Rago, que Leal tenía que ser el jefe del operativo al que antes hizo ref</w:t>
      </w:r>
      <w:r>
        <w:t>e</w:t>
      </w:r>
      <w:r>
        <w:t>rencia y que no conocía a Lasala, agregando que tampoco conocía a Quinteros.</w:t>
      </w:r>
    </w:p>
    <w:p w:rsidR="00224567" w:rsidRDefault="00224567">
      <w:pPr>
        <w:pStyle w:val="Textoindependiente"/>
        <w:tabs>
          <w:tab w:val="left" w:pos="2835"/>
        </w:tabs>
        <w:spacing w:line="600" w:lineRule="auto"/>
      </w:pPr>
      <w:r>
        <w:tab/>
      </w:r>
      <w:r>
        <w:tab/>
        <w:t>Del mismo modo, expresó no tener con</w:t>
      </w:r>
      <w:r>
        <w:t>o</w:t>
      </w:r>
      <w:r>
        <w:t>cimiento acerca de si alguno de ellos había qu</w:t>
      </w:r>
      <w:r>
        <w:t>e</w:t>
      </w:r>
      <w:r>
        <w:t>rido detener a Telleldín y cuál fue el motivo de su intervención. Re</w:t>
      </w:r>
      <w:r>
        <w:t>s</w:t>
      </w:r>
      <w:r>
        <w:t>pecto de Ribelli, Ibarra, Cruz, Albarracin, Araya, Huici, Burguete, Arancibia y Bac</w:t>
      </w:r>
      <w:r>
        <w:t>i</w:t>
      </w:r>
      <w:r>
        <w:t>galupo, dijo que no los conocía, acl</w:t>
      </w:r>
      <w:r>
        <w:t>a</w:t>
      </w:r>
      <w:r>
        <w:t>rando que le sonaba un apellido similar a Huici, de la zona de San Martín. También agregó que su hermana tuvo un compañero de apellido Ribelli en la escuela, ignorando si se trataba de la mi</w:t>
      </w:r>
      <w:r>
        <w:t>s</w:t>
      </w:r>
      <w:r>
        <w:t>ma persona.</w:t>
      </w:r>
    </w:p>
    <w:p w:rsidR="00224567" w:rsidRDefault="00224567">
      <w:pPr>
        <w:pStyle w:val="Textoindependiente"/>
        <w:tabs>
          <w:tab w:val="left" w:pos="2835"/>
        </w:tabs>
        <w:spacing w:line="600" w:lineRule="auto"/>
        <w:ind w:firstLine="2835"/>
      </w:pPr>
      <w:r>
        <w:t>Al exhibírsele tanto el original como la fotocopia del boleto de compraventa de la embarcación, reconoció ambos elementos, como así también su firma, señ</w:t>
      </w:r>
      <w:r>
        <w:t>a</w:t>
      </w:r>
      <w:r>
        <w:t>lando que el primero de ellos fue secuestrado en su domic</w:t>
      </w:r>
      <w:r>
        <w:t>i</w:t>
      </w:r>
      <w:r>
        <w:t>lio. Agregó que no certificó si Telleldín era el titular del bien y que a Bareiro le entregó documentación del ba</w:t>
      </w:r>
      <w:r>
        <w:t>r</w:t>
      </w:r>
      <w:r>
        <w:t>co, pero no el boleto, ya que el exhibido fue secuestrado en su domicilio.</w:t>
      </w:r>
    </w:p>
    <w:p w:rsidR="00224567" w:rsidRDefault="00224567">
      <w:pPr>
        <w:pStyle w:val="Textoindependiente"/>
        <w:tabs>
          <w:tab w:val="left" w:pos="2835"/>
        </w:tabs>
        <w:spacing w:line="600" w:lineRule="auto"/>
        <w:ind w:firstLine="2835"/>
      </w:pPr>
      <w:r>
        <w:t>Refirió que era posible que se haya  reunido con Barreda y Bareiro en el bar “Point”, ubic</w:t>
      </w:r>
      <w:r>
        <w:t>a</w:t>
      </w:r>
      <w:r>
        <w:t>do en Moreno, entre San Martín y Campos, del Partido de San Ma</w:t>
      </w:r>
      <w:r>
        <w:t>r</w:t>
      </w:r>
      <w:r>
        <w:t>tín. Agregó que no discutió con aquellos y sólo exi</w:t>
      </w:r>
      <w:r>
        <w:t>s</w:t>
      </w:r>
      <w:r>
        <w:t>tió la presión a la que hizo referencia anteriormente. Al señalá</w:t>
      </w:r>
      <w:r>
        <w:t>r</w:t>
      </w:r>
      <w:r>
        <w:t>sele las fechas en que podrían haberse realizado las reuniones –con posterioridad al atentado- indicó que no era posible, ya que el bar estaba cerrado. Comentó  que  se  reunían en otro bar ubicado a la vuelta de su estudio, s</w:t>
      </w:r>
      <w:r>
        <w:t>o</w:t>
      </w:r>
      <w:r>
        <w:t>bre la misma cuadra de la r</w:t>
      </w:r>
      <w:r>
        <w:t>e</w:t>
      </w:r>
      <w:r>
        <w:t>gional, en la calle San Martín.</w:t>
      </w:r>
    </w:p>
    <w:p w:rsidR="00224567" w:rsidRDefault="00224567">
      <w:pPr>
        <w:pStyle w:val="Textoindependiente"/>
        <w:tabs>
          <w:tab w:val="left" w:pos="2835"/>
        </w:tabs>
        <w:spacing w:line="600" w:lineRule="auto"/>
        <w:ind w:firstLine="2835"/>
      </w:pPr>
      <w:r>
        <w:t>Interrogado sobre si conocía a Oscar Franco, dijo que no, al menos por ese nombre.</w:t>
      </w:r>
    </w:p>
    <w:p w:rsidR="00224567" w:rsidRDefault="00224567">
      <w:pPr>
        <w:pStyle w:val="Textoindependiente"/>
        <w:tabs>
          <w:tab w:val="left" w:pos="2835"/>
        </w:tabs>
        <w:spacing w:line="600" w:lineRule="auto"/>
        <w:ind w:firstLine="2835"/>
      </w:pPr>
      <w:r>
        <w:t>Luego, aclaró que no tenía cuenta c</w:t>
      </w:r>
      <w:r>
        <w:t>o</w:t>
      </w:r>
      <w:r>
        <w:t>rriente ni tarjeta de crédito.</w:t>
      </w:r>
    </w:p>
    <w:p w:rsidR="00224567" w:rsidRDefault="00224567">
      <w:pPr>
        <w:pStyle w:val="Textoindependiente"/>
        <w:tabs>
          <w:tab w:val="left" w:pos="2835"/>
        </w:tabs>
        <w:spacing w:line="600" w:lineRule="auto"/>
        <w:ind w:firstLine="2835"/>
      </w:pPr>
      <w:r>
        <w:t>Manifestó conocer a Crispín Sanabria, quien fue su cliente, como a su esposa Silvia Noemí N</w:t>
      </w:r>
      <w:r>
        <w:t>ú</w:t>
      </w:r>
      <w:r>
        <w:t>ñez.</w:t>
      </w:r>
    </w:p>
    <w:p w:rsidR="00224567" w:rsidRDefault="00224567">
      <w:pPr>
        <w:pStyle w:val="Textoindependiente"/>
        <w:tabs>
          <w:tab w:val="left" w:pos="2835"/>
        </w:tabs>
        <w:spacing w:line="600" w:lineRule="auto"/>
        <w:ind w:firstLine="2835"/>
      </w:pPr>
      <w:r>
        <w:t>Interrogado sobre los motivos que p</w:t>
      </w:r>
      <w:r>
        <w:t>u</w:t>
      </w:r>
      <w:r>
        <w:t xml:space="preserve">do haber tenido Sanabria para decir que él (Bottegal) estaba vinculado al atentado a </w:t>
      </w:r>
      <w:smartTag w:uri="urn:schemas-microsoft-com:office:smarttags" w:element="PersonName">
        <w:smartTagPr>
          <w:attr w:name="ProductID" w:val="la A.M"/>
        </w:smartTagPr>
        <w:r>
          <w:t>la A.M</w:t>
        </w:r>
      </w:smartTag>
      <w:r>
        <w:t>.I.A. y sugerir que se lo e</w:t>
      </w:r>
      <w:r>
        <w:t>x</w:t>
      </w:r>
      <w:r>
        <w:t>torsionara, contestó que existieron asperezas en la rel</w:t>
      </w:r>
      <w:r>
        <w:t>a</w:t>
      </w:r>
      <w:r>
        <w:t>ción entre ambos, ya que se quejaba po</w:t>
      </w:r>
      <w:r>
        <w:t>r</w:t>
      </w:r>
      <w:r>
        <w:t>que lo visitaba poco en el penal de Olmos, cuando su función era la de hacer el trabajo de defensa.</w:t>
      </w:r>
    </w:p>
    <w:p w:rsidR="00224567" w:rsidRDefault="00224567">
      <w:pPr>
        <w:pStyle w:val="Textoindependiente"/>
        <w:tabs>
          <w:tab w:val="left" w:pos="2835"/>
        </w:tabs>
        <w:spacing w:line="600" w:lineRule="auto"/>
        <w:ind w:firstLine="2835"/>
      </w:pPr>
      <w:r>
        <w:t>Por otra parte, dijo que el nombrado fue condenado a dieciséis años y luego, con otro defe</w:t>
      </w:r>
      <w:r>
        <w:t>n</w:t>
      </w:r>
      <w:r>
        <w:t>sor, la cámara le redujo la pena.</w:t>
      </w:r>
    </w:p>
    <w:p w:rsidR="00224567" w:rsidRDefault="00224567">
      <w:pPr>
        <w:pStyle w:val="Textoindependiente"/>
        <w:tabs>
          <w:tab w:val="left" w:pos="2835"/>
        </w:tabs>
        <w:spacing w:line="600" w:lineRule="auto"/>
        <w:ind w:firstLine="2835"/>
      </w:pPr>
      <w:r>
        <w:t>Además, relató que con anterioridad a esa intervención, Crispín Sanabria le ofreció la defe</w:t>
      </w:r>
      <w:r>
        <w:t>n</w:t>
      </w:r>
      <w:r>
        <w:t>sa de su hermano Aristóbulo, quien estaba detenido en Santa Fe, de quien no se pudo hacer cargo por no estar matriculado allí, aunque colaboró con una abogada local y lo visitó v</w:t>
      </w:r>
      <w:r>
        <w:t>a</w:t>
      </w:r>
      <w:r>
        <w:t>rias veces. Si bien la condena que rec</w:t>
      </w:r>
      <w:r>
        <w:t>i</w:t>
      </w:r>
      <w:r>
        <w:t>bió fue inferior al pedido del fiscal, tampoco quedó conforme, y así se lo dijo en la puerta de su oficina, cuando recuperó la l</w:t>
      </w:r>
      <w:r>
        <w:t>i</w:t>
      </w:r>
      <w:r>
        <w:t>bertad.</w:t>
      </w:r>
    </w:p>
    <w:p w:rsidR="00224567" w:rsidRDefault="00224567">
      <w:pPr>
        <w:pStyle w:val="Textoindependiente"/>
        <w:tabs>
          <w:tab w:val="left" w:pos="2835"/>
        </w:tabs>
        <w:spacing w:line="600" w:lineRule="auto"/>
        <w:ind w:firstLine="2835"/>
      </w:pPr>
      <w:r>
        <w:t>Expresó que viajó a Italia entre d</w:t>
      </w:r>
      <w:r>
        <w:t>i</w:t>
      </w:r>
      <w:r>
        <w:t xml:space="preserve">ciembre de 1994 y febrero de </w:t>
      </w:r>
      <w:smartTag w:uri="urn:schemas-microsoft-com:office:smarttags" w:element="metricconverter">
        <w:smartTagPr>
          <w:attr w:name="ProductID" w:val="1995 a"/>
        </w:smartTagPr>
        <w:r>
          <w:t>1995 a</w:t>
        </w:r>
      </w:smartTag>
      <w:r>
        <w:t xml:space="preserve"> visitar fam</w:t>
      </w:r>
      <w:r>
        <w:t>i</w:t>
      </w:r>
      <w:r>
        <w:t>liares. No hizo ninguna inversión durante ese viaje, ni recibió alguna suma importante de dinero.</w:t>
      </w:r>
    </w:p>
    <w:p w:rsidR="00224567" w:rsidRDefault="00224567">
      <w:pPr>
        <w:pStyle w:val="Textoindependiente"/>
        <w:tabs>
          <w:tab w:val="left" w:pos="2835"/>
        </w:tabs>
        <w:spacing w:line="600" w:lineRule="auto"/>
        <w:ind w:firstLine="2835"/>
      </w:pPr>
      <w:r>
        <w:t>Afirmó que su suegro hizo trám</w:t>
      </w:r>
      <w:r>
        <w:t>i</w:t>
      </w:r>
      <w:r>
        <w:t>tes para percibir en el país una suma entre USD 50.000 y 70.000, m</w:t>
      </w:r>
      <w:r>
        <w:t>e</w:t>
      </w:r>
      <w:r>
        <w:t>diante una transferencia efectu</w:t>
      </w:r>
      <w:r>
        <w:t>a</w:t>
      </w:r>
      <w:r>
        <w:t>da por su hermana.</w:t>
      </w:r>
    </w:p>
    <w:p w:rsidR="00224567" w:rsidRDefault="00224567">
      <w:pPr>
        <w:pStyle w:val="Textoindependiente"/>
        <w:tabs>
          <w:tab w:val="left" w:pos="2835"/>
        </w:tabs>
        <w:spacing w:line="600" w:lineRule="auto"/>
        <w:ind w:firstLine="2835"/>
      </w:pPr>
      <w:r>
        <w:t>Interrogado acerca de si Sanabria t</w:t>
      </w:r>
      <w:r>
        <w:t>e</w:t>
      </w:r>
      <w:r>
        <w:t>nía conocimiento de ese viaje y de la recepción de ese dinero, dijo que para esa época estaba detenido y no creía que h</w:t>
      </w:r>
      <w:r>
        <w:t>a</w:t>
      </w:r>
      <w:r>
        <w:t>bérselo comentado. De todos modos, refirió que San Martín era un “pueblo chico”, donde todos se conocían y podría h</w:t>
      </w:r>
      <w:r>
        <w:t>a</w:t>
      </w:r>
      <w:r>
        <w:t>berse enterado por alguna otra pe</w:t>
      </w:r>
      <w:r>
        <w:t>r</w:t>
      </w:r>
      <w:r>
        <w:t>sona.</w:t>
      </w:r>
    </w:p>
    <w:p w:rsidR="00224567" w:rsidRDefault="00224567">
      <w:pPr>
        <w:pStyle w:val="Textoindependiente"/>
        <w:tabs>
          <w:tab w:val="left" w:pos="2835"/>
        </w:tabs>
        <w:spacing w:line="600" w:lineRule="auto"/>
        <w:ind w:firstLine="2835"/>
      </w:pPr>
      <w:r>
        <w:t>Señaló que no tuvo ningún cliente ll</w:t>
      </w:r>
      <w:r>
        <w:t>a</w:t>
      </w:r>
      <w:r>
        <w:t>mado Abel Jakim y sólo conocía a una inmobiliaria con ese apellido, de la localidad de San Martín.</w:t>
      </w:r>
    </w:p>
    <w:p w:rsidR="00224567" w:rsidRDefault="00224567">
      <w:pPr>
        <w:pStyle w:val="Textoindependiente"/>
        <w:tabs>
          <w:tab w:val="left" w:pos="2835"/>
        </w:tabs>
        <w:spacing w:line="600" w:lineRule="auto"/>
        <w:ind w:firstLine="2835"/>
      </w:pPr>
      <w:r>
        <w:t>Refirió que conoció al comisario Na</w:t>
      </w:r>
      <w:r>
        <w:t>l</w:t>
      </w:r>
      <w:r>
        <w:t xml:space="preserve">di en </w:t>
      </w:r>
      <w:smartTag w:uri="urn:schemas-microsoft-com:office:smarttags" w:element="PersonName">
        <w:smartTagPr>
          <w:attr w:name="ProductID" w:val="la Brigada"/>
        </w:smartTagPr>
        <w:r>
          <w:t>la Brigada</w:t>
        </w:r>
      </w:smartTag>
      <w:r>
        <w:t xml:space="preserve"> de San Martín por cuestiones laborales y lo vio algunas veces en los Tribunales de San Martín.</w:t>
      </w:r>
    </w:p>
    <w:p w:rsidR="00224567" w:rsidRDefault="00224567">
      <w:pPr>
        <w:pStyle w:val="Textoindependiente"/>
        <w:tabs>
          <w:tab w:val="left" w:pos="2835"/>
        </w:tabs>
        <w:spacing w:line="600" w:lineRule="auto"/>
        <w:ind w:firstLine="2835"/>
      </w:pPr>
      <w:r>
        <w:t>Apuntó que una vez fue contactado por un señor llamado Cicero para que se presentara en esa br</w:t>
      </w:r>
      <w:r>
        <w:t>i</w:t>
      </w:r>
      <w:r>
        <w:t>gada, porque querían saber si podía brindar inform</w:t>
      </w:r>
      <w:r>
        <w:t>a</w:t>
      </w:r>
      <w:r>
        <w:t>ción con relación a una persona que se había fugado y que estaba d</w:t>
      </w:r>
      <w:r>
        <w:t>e</w:t>
      </w:r>
      <w:r>
        <w:t>tenida por una causa contravencional. Si bien creyó que en dicha ocasión fue llamado por Naldi, no recordó si habló con él.</w:t>
      </w:r>
    </w:p>
    <w:p w:rsidR="00224567" w:rsidRDefault="00224567">
      <w:pPr>
        <w:pStyle w:val="Textoindependiente"/>
        <w:tabs>
          <w:tab w:val="left" w:pos="2835"/>
        </w:tabs>
        <w:spacing w:line="600" w:lineRule="auto"/>
        <w:ind w:firstLine="2835"/>
      </w:pPr>
      <w:r>
        <w:t>También creyó ver a Naldi en una oc</w:t>
      </w:r>
      <w:r>
        <w:t>a</w:t>
      </w:r>
      <w:r>
        <w:t xml:space="preserve">sión, en </w:t>
      </w:r>
      <w:smartTag w:uri="urn:schemas-microsoft-com:office:smarttags" w:element="PersonName">
        <w:smartTagPr>
          <w:attr w:name="ProductID" w:val="la Divisi￳n Sustracci￳n"/>
        </w:smartTagPr>
        <w:r>
          <w:t>la División Sustracción</w:t>
        </w:r>
      </w:smartTag>
      <w:r>
        <w:t xml:space="preserve"> de Automotores de V</w:t>
      </w:r>
      <w:r>
        <w:t>i</w:t>
      </w:r>
      <w:r>
        <w:t>cente López, cuando era jefe de esa depende</w:t>
      </w:r>
      <w:r>
        <w:t>n</w:t>
      </w:r>
      <w:r>
        <w:t>cia.</w:t>
      </w:r>
    </w:p>
    <w:p w:rsidR="00224567" w:rsidRDefault="00224567">
      <w:pPr>
        <w:pStyle w:val="Textoindependiente"/>
        <w:tabs>
          <w:tab w:val="left" w:pos="2835"/>
        </w:tabs>
        <w:spacing w:line="600" w:lineRule="auto"/>
        <w:ind w:firstLine="2835"/>
      </w:pPr>
      <w:r>
        <w:t>Agregó que conversó con Naldi acerca de causas judiciales o policiales, e incluso lo felicitó por un procedimiento.</w:t>
      </w:r>
    </w:p>
    <w:p w:rsidR="00224567" w:rsidRDefault="00224567">
      <w:pPr>
        <w:pStyle w:val="Textoindependiente"/>
        <w:tabs>
          <w:tab w:val="left" w:pos="2835"/>
        </w:tabs>
        <w:spacing w:line="600" w:lineRule="auto"/>
        <w:ind w:firstLine="2835"/>
      </w:pPr>
      <w:r>
        <w:t>Negó haber mantenido alguna reunión d</w:t>
      </w:r>
      <w:r>
        <w:t>u</w:t>
      </w:r>
      <w:r>
        <w:t>rante el mes de o</w:t>
      </w:r>
      <w:r>
        <w:t>c</w:t>
      </w:r>
      <w:r>
        <w:t>tubre de 1996 con Naldi y algún abogado, relacionada con hechos investigados en esta causa.</w:t>
      </w:r>
    </w:p>
    <w:p w:rsidR="00224567" w:rsidRDefault="00224567">
      <w:pPr>
        <w:pStyle w:val="Textoindependiente"/>
        <w:tabs>
          <w:tab w:val="left" w:pos="2835"/>
        </w:tabs>
        <w:spacing w:line="600" w:lineRule="auto"/>
        <w:ind w:firstLine="2835"/>
      </w:pPr>
      <w:r>
        <w:t>Manifestó desconocer al Dr. Fra</w:t>
      </w:r>
      <w:r>
        <w:t>s</w:t>
      </w:r>
      <w:r>
        <w:t>quet y a Ricardo Gallero.</w:t>
      </w:r>
    </w:p>
    <w:p w:rsidR="00224567" w:rsidRDefault="00224567">
      <w:pPr>
        <w:pStyle w:val="Textoindependiente"/>
        <w:tabs>
          <w:tab w:val="left" w:pos="2835"/>
        </w:tabs>
        <w:spacing w:line="600" w:lineRule="auto"/>
        <w:ind w:firstLine="2835"/>
      </w:pPr>
      <w:r>
        <w:t>Dijo conocer a Orfeo Maggio, que era de Villa Ballester, con quien se encontraba cuando iba a la facultad y que posteriormente se vieron por cuestiones pr</w:t>
      </w:r>
      <w:r>
        <w:t>o</w:t>
      </w:r>
      <w:r>
        <w:t>fesionales, aclarando que mientras el nombr</w:t>
      </w:r>
      <w:r>
        <w:t>a</w:t>
      </w:r>
      <w:r>
        <w:t>do fue juez en Quilmes, no lo vio. Luego del “jury” por el que se lo de</w:t>
      </w:r>
      <w:r>
        <w:t>s</w:t>
      </w:r>
      <w:r>
        <w:t>tituyó, c</w:t>
      </w:r>
      <w:r>
        <w:t>o</w:t>
      </w:r>
      <w:r>
        <w:t xml:space="preserve">menzó a prestar funciones en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Se￱al￳"/>
        </w:smartTagPr>
        <w:r>
          <w:t>la Nación. Señaló</w:t>
        </w:r>
      </w:smartTag>
      <w:r>
        <w:t xml:space="preserve"> que para esa época, su nombre había aparec</w:t>
      </w:r>
      <w:r>
        <w:t>i</w:t>
      </w:r>
      <w:r>
        <w:t>do en diarios y libros, y ambos comentaron esa circunsta</w:t>
      </w:r>
      <w:r>
        <w:t>n</w:t>
      </w:r>
      <w:r>
        <w:t>cia, como también la interve</w:t>
      </w:r>
      <w:r>
        <w:t>n</w:t>
      </w:r>
      <w:r>
        <w:t>ción que él tuvo en los hechos y el conocimiento de T</w:t>
      </w:r>
      <w:r>
        <w:t>e</w:t>
      </w:r>
      <w:r>
        <w:t>lleldín.</w:t>
      </w:r>
    </w:p>
    <w:p w:rsidR="00224567" w:rsidRDefault="00224567">
      <w:pPr>
        <w:pStyle w:val="Textoindependiente"/>
        <w:tabs>
          <w:tab w:val="left" w:pos="2835"/>
        </w:tabs>
        <w:spacing w:line="600" w:lineRule="auto"/>
        <w:ind w:firstLine="2835"/>
      </w:pPr>
      <w:r>
        <w:t>Interrogado acerca de los motivos por los cuales el 26 de julio de 1994 se comunicó telefónic</w:t>
      </w:r>
      <w:r>
        <w:t>a</w:t>
      </w:r>
      <w:r>
        <w:t>mente al número instalado en el domicilio de Eduardo T</w:t>
      </w:r>
      <w:r>
        <w:t>e</w:t>
      </w:r>
      <w:r>
        <w:t>lleldín, respondió que le dieron el teléfono del he</w:t>
      </w:r>
      <w:r>
        <w:t>r</w:t>
      </w:r>
      <w:r>
        <w:t>mano de Carlos Telleldín y que llamó, pero no pudo precisar los m</w:t>
      </w:r>
      <w:r>
        <w:t>o</w:t>
      </w:r>
      <w:r>
        <w:t>tivos. Explicó que al detenerse a Telleldín hubo uno o dos días de ince</w:t>
      </w:r>
      <w:r>
        <w:t>r</w:t>
      </w:r>
      <w:r>
        <w:t>tidumbre con respecto a la situación de Ana, y si se iba a hacer cargo de alguna de las defensas, expl</w:t>
      </w:r>
      <w:r>
        <w:t>i</w:t>
      </w:r>
      <w:r>
        <w:t>cando que en ese contexto existieron llamados telefónicos que no recordó con prec</w:t>
      </w:r>
      <w:r>
        <w:t>i</w:t>
      </w:r>
      <w:r>
        <w:t>sión.</w:t>
      </w:r>
    </w:p>
    <w:p w:rsidR="00224567" w:rsidRDefault="00224567">
      <w:pPr>
        <w:pStyle w:val="Textoindependiente"/>
        <w:tabs>
          <w:tab w:val="left" w:pos="2835"/>
        </w:tabs>
        <w:spacing w:line="600" w:lineRule="auto"/>
        <w:ind w:firstLine="2835"/>
      </w:pPr>
      <w:r>
        <w:t>En cuanto a las comunicaciones al dom</w:t>
      </w:r>
      <w:r>
        <w:t>i</w:t>
      </w:r>
      <w:r>
        <w:t>cilio de Carlos Telleldín los días 22 y 28 de julio de 1994, al celular de Barreda el 2 de julio de 1994 y al d</w:t>
      </w:r>
      <w:r>
        <w:t>o</w:t>
      </w:r>
      <w:r>
        <w:t>micilio de Bareiro el 23 de julio de 1994, manifestó sin poder aportar mayores precisi</w:t>
      </w:r>
      <w:r>
        <w:t>o</w:t>
      </w:r>
      <w:r>
        <w:t>nes que, dentro del contexto mencionado, existieron llamados telefón</w:t>
      </w:r>
      <w:r>
        <w:t>i</w:t>
      </w:r>
      <w:r>
        <w:t>cos.</w:t>
      </w:r>
    </w:p>
    <w:p w:rsidR="00224567" w:rsidRDefault="00224567">
      <w:pPr>
        <w:pStyle w:val="Textoindependiente"/>
        <w:tabs>
          <w:tab w:val="left" w:pos="2835"/>
        </w:tabs>
        <w:spacing w:line="600" w:lineRule="auto"/>
        <w:ind w:firstLine="2835"/>
      </w:pPr>
      <w:r>
        <w:t>No pudo indicar cuál fue el motivo de la comunicación del 2 de julio. Al respecto, destacó que Barreda y Bareiro estaban mucho tiempo juntos, que para esa época no tenía trato con Barreda, pero que hablaba s</w:t>
      </w:r>
      <w:r>
        <w:t>e</w:t>
      </w:r>
      <w:r>
        <w:t>guido con Bareiro.</w:t>
      </w:r>
    </w:p>
    <w:p w:rsidR="00224567" w:rsidRDefault="00224567">
      <w:pPr>
        <w:pStyle w:val="Textoindependiente"/>
        <w:tabs>
          <w:tab w:val="left" w:pos="2835"/>
        </w:tabs>
        <w:spacing w:line="600" w:lineRule="auto"/>
        <w:ind w:firstLine="2835"/>
      </w:pPr>
      <w:r>
        <w:t>También destacó que era normal que lo llamara alguien que trabajaba en una brigada, mientras que otras llamaba él para preguntar por a</w:t>
      </w:r>
      <w:r>
        <w:t>l</w:t>
      </w:r>
      <w:r>
        <w:t>gún detenido.</w:t>
      </w:r>
    </w:p>
    <w:p w:rsidR="00224567" w:rsidRDefault="00224567">
      <w:pPr>
        <w:pStyle w:val="Textoindependiente"/>
        <w:tabs>
          <w:tab w:val="left" w:pos="2835"/>
        </w:tabs>
        <w:spacing w:line="600" w:lineRule="auto"/>
        <w:ind w:firstLine="2835"/>
      </w:pPr>
      <w:r>
        <w:t xml:space="preserve">Refirió no tener conocimiento acerca de qué otras reparticiones de </w:t>
      </w:r>
      <w:smartTag w:uri="urn:schemas-microsoft-com:office:smarttags" w:element="PersonName">
        <w:smartTagPr>
          <w:attr w:name="ProductID" w:val="la Polic￭a Bonaerense"/>
        </w:smartTagPr>
        <w:r>
          <w:t>la Policía Bonaerense</w:t>
        </w:r>
      </w:smartTag>
      <w:r>
        <w:t xml:space="preserve"> extorsi</w:t>
      </w:r>
      <w:r>
        <w:t>o</w:t>
      </w:r>
      <w:r>
        <w:t>naron a Telleldín.</w:t>
      </w:r>
    </w:p>
    <w:p w:rsidR="00224567" w:rsidRDefault="00224567">
      <w:pPr>
        <w:pStyle w:val="Textoindependiente"/>
        <w:tabs>
          <w:tab w:val="left" w:pos="2835"/>
        </w:tabs>
        <w:spacing w:line="600" w:lineRule="auto"/>
        <w:ind w:firstLine="2835"/>
      </w:pPr>
      <w:r>
        <w:t>Finalmente, aclaró que la situación r</w:t>
      </w:r>
      <w:r>
        <w:t>e</w:t>
      </w:r>
      <w:r>
        <w:t>latada al comienzo de su declaración se trató de la única vez en que Barreda y Bareiro le propusieron una interve</w:t>
      </w:r>
      <w:r>
        <w:t>n</w:t>
      </w:r>
      <w:r>
        <w:t>ción de esa naturaleza.</w:t>
      </w:r>
    </w:p>
    <w:p w:rsidR="00224567" w:rsidRDefault="00224567">
      <w:pPr>
        <w:pStyle w:val="Textoindependiente"/>
        <w:tabs>
          <w:tab w:val="left" w:pos="2835"/>
        </w:tabs>
        <w:spacing w:line="600" w:lineRule="auto"/>
        <w:ind w:firstLine="2835"/>
      </w:pPr>
      <w:r>
        <w:t>Al prestar declaración testimonial a fs. 38.551/38.557, Bottegal ofreció una versión de los h</w:t>
      </w:r>
      <w:r>
        <w:t>e</w:t>
      </w:r>
      <w:r>
        <w:t>chos similar, en términos generales, a la vertida en su i</w:t>
      </w:r>
      <w:r>
        <w:t>n</w:t>
      </w:r>
      <w:r>
        <w:t>dagatoria, aunque nada dijo con relación a su intención de “abrirse” de Barreda y Bareiro mediante la presentación de un hábeas co</w:t>
      </w:r>
      <w:r>
        <w:t>r</w:t>
      </w:r>
      <w:r>
        <w:t>pus a favor de Telleldín.</w:t>
      </w:r>
    </w:p>
    <w:p w:rsidR="00224567" w:rsidRDefault="00224567">
      <w:pPr>
        <w:pStyle w:val="Textoindependiente"/>
        <w:tabs>
          <w:tab w:val="left" w:pos="2835"/>
        </w:tabs>
        <w:spacing w:line="600" w:lineRule="auto"/>
        <w:ind w:firstLine="2835"/>
      </w:pPr>
      <w:r>
        <w:t>Además, indicó que de la conversación que mantuvo con Barreda y Bareiro se formó la idea de que Telleldín era un delincuente, y que actuaría como informa</w:t>
      </w:r>
      <w:r>
        <w:t>n</w:t>
      </w:r>
      <w:r>
        <w:t>te de alguno de los nombrados, pues éstos dijeron que lo habían “vendido”.</w:t>
      </w:r>
    </w:p>
    <w:p w:rsidR="00224567" w:rsidRDefault="00224567">
      <w:pPr>
        <w:pStyle w:val="Textoindependiente"/>
        <w:tabs>
          <w:tab w:val="left" w:pos="2835"/>
        </w:tabs>
        <w:spacing w:line="600" w:lineRule="auto"/>
        <w:ind w:firstLine="2835"/>
      </w:pPr>
      <w:r>
        <w:t>Sostuvo que, luego de firmar el bol</w:t>
      </w:r>
      <w:r>
        <w:t>e</w:t>
      </w:r>
      <w:r>
        <w:t>to de compraventa con Telleldín, al conversar con Barreda y Bareiro, éstos le dijeron que como no lo habían encontrado que lo dejara, que lo “seguirían caminando porque les i</w:t>
      </w:r>
      <w:r>
        <w:t>n</w:t>
      </w:r>
      <w:r>
        <w:t>teresaba tenerlo asust</w:t>
      </w:r>
      <w:r>
        <w:t>a</w:t>
      </w:r>
      <w:r>
        <w:t>do”.</w:t>
      </w:r>
    </w:p>
    <w:p w:rsidR="00224567" w:rsidRDefault="00224567">
      <w:pPr>
        <w:pStyle w:val="Textoindependiente"/>
        <w:tabs>
          <w:tab w:val="left" w:pos="2835"/>
        </w:tabs>
        <w:spacing w:line="600" w:lineRule="auto"/>
        <w:ind w:firstLine="2835"/>
      </w:pPr>
      <w:r>
        <w:t>Por otra parte, manifestó que les com</w:t>
      </w:r>
      <w:r>
        <w:t>u</w:t>
      </w:r>
      <w:r>
        <w:t>nicó a Barreda y Bareiro que Telleldín había propuesto e</w:t>
      </w:r>
      <w:r>
        <w:t>n</w:t>
      </w:r>
      <w:r>
        <w:t>tregar dos rodados, pero que él había considerado que no era conveniente por el origen de los mismos, manifestando aquellos que no les importaba porque pasaban la verific</w:t>
      </w:r>
      <w:r>
        <w:t>a</w:t>
      </w:r>
      <w:r>
        <w:t>ción. En definitiva, Bottegal dijo que no sabía si acept</w:t>
      </w:r>
      <w:r>
        <w:t>a</w:t>
      </w:r>
      <w:r>
        <w:t>ron esos automotores o no, ya que su sugerencia fue que T</w:t>
      </w:r>
      <w:r>
        <w:t>e</w:t>
      </w:r>
      <w:r>
        <w:t>lleldín los vendiera y arreglara con el din</w:t>
      </w:r>
      <w:r>
        <w:t>e</w:t>
      </w:r>
      <w:r>
        <w:t>ro.</w:t>
      </w:r>
    </w:p>
    <w:p w:rsidR="00224567" w:rsidRDefault="00224567">
      <w:pPr>
        <w:pStyle w:val="Textoindependiente"/>
        <w:tabs>
          <w:tab w:val="left" w:pos="2835"/>
        </w:tabs>
        <w:spacing w:line="600" w:lineRule="auto"/>
        <w:ind w:firstLine="2835"/>
      </w:pPr>
      <w:r>
        <w:t>Según Bottegal, Bareiro y Barreda qu</w:t>
      </w:r>
      <w:r>
        <w:t>e</w:t>
      </w:r>
      <w:r>
        <w:t>rían “acostar” a la brigada y obtener una diferencia de d</w:t>
      </w:r>
      <w:r>
        <w:t>i</w:t>
      </w:r>
      <w:r>
        <w:t>nero, manifestando que los nombrados se lamentaban por no haber estado en el “apriete” de Lanús.</w:t>
      </w:r>
    </w:p>
    <w:p w:rsidR="00224567" w:rsidRDefault="00224567">
      <w:pPr>
        <w:pStyle w:val="Textoindependiente"/>
        <w:tabs>
          <w:tab w:val="left" w:pos="2835"/>
        </w:tabs>
        <w:spacing w:line="600" w:lineRule="auto"/>
        <w:ind w:firstLine="2835"/>
      </w:pPr>
      <w:r>
        <w:t>Recordó que los nombrados le mencion</w:t>
      </w:r>
      <w:r>
        <w:t>a</w:t>
      </w:r>
      <w:r>
        <w:t>ron a un jefe del grupo operativo de la brigada, que ap</w:t>
      </w:r>
      <w:r>
        <w:t>a</w:t>
      </w:r>
      <w:r>
        <w:t>rentemente había detenido a Pérez, que los presion</w:t>
      </w:r>
      <w:r>
        <w:t>a</w:t>
      </w:r>
      <w:r>
        <w:t>ba para ver que sucedía y que se trat</w:t>
      </w:r>
      <w:r>
        <w:t>a</w:t>
      </w:r>
      <w:r>
        <w:t>ría de Leal.</w:t>
      </w:r>
    </w:p>
    <w:p w:rsidR="00224567" w:rsidRDefault="00224567">
      <w:pPr>
        <w:pStyle w:val="Textoindependiente"/>
        <w:tabs>
          <w:tab w:val="left" w:pos="2835"/>
        </w:tabs>
        <w:spacing w:line="600" w:lineRule="auto"/>
        <w:ind w:firstLine="2835"/>
      </w:pPr>
      <w:r>
        <w:t>Respecto a la embarcación, dijo que no se trataba de un barco como lo decía Telle</w:t>
      </w:r>
      <w:r>
        <w:t>l</w:t>
      </w:r>
      <w:r>
        <w:t>dín, sino de una lancha cuyo valor no superaba la suma de $ 4000, y que en la guardería le informaron que tenía una de</w:t>
      </w:r>
      <w:r>
        <w:t>u</w:t>
      </w:r>
      <w:r>
        <w:t>da.</w:t>
      </w:r>
    </w:p>
    <w:p w:rsidR="00224567" w:rsidRDefault="00224567">
      <w:pPr>
        <w:pStyle w:val="Textoindependiente"/>
        <w:tabs>
          <w:tab w:val="left" w:pos="2835"/>
        </w:tabs>
        <w:spacing w:line="600" w:lineRule="auto"/>
        <w:ind w:firstLine="2835"/>
      </w:pPr>
      <w:r>
        <w:t>Comentó que la documentación del ba</w:t>
      </w:r>
      <w:r>
        <w:t>r</w:t>
      </w:r>
      <w:r>
        <w:t>co se la entregó a Bareiro para desentenderse del pr</w:t>
      </w:r>
      <w:r>
        <w:t>o</w:t>
      </w:r>
      <w:r>
        <w:t>blema.</w:t>
      </w:r>
    </w:p>
    <w:p w:rsidR="00224567" w:rsidRDefault="00224567">
      <w:pPr>
        <w:pStyle w:val="Textoindependiente"/>
        <w:tabs>
          <w:tab w:val="left" w:pos="2835"/>
        </w:tabs>
        <w:spacing w:line="600" w:lineRule="auto"/>
        <w:ind w:firstLine="2835"/>
        <w:rPr>
          <w:lang w:val="es-ES"/>
        </w:rPr>
      </w:pPr>
      <w:r>
        <w:rPr>
          <w:lang w:val="es-ES"/>
        </w:rPr>
        <w:t xml:space="preserve">Expresó que vio a Bareiro y a Barreda en la época en que el diario “Página </w:t>
      </w:r>
      <w:smartTag w:uri="urn:schemas-microsoft-com:office:smarttags" w:element="metricconverter">
        <w:smartTagPr>
          <w:attr w:name="ProductID" w:val="12”"/>
        </w:smartTagPr>
        <w:r>
          <w:rPr>
            <w:lang w:val="es-ES"/>
          </w:rPr>
          <w:t>12”</w:t>
        </w:r>
      </w:smartTag>
      <w:r>
        <w:rPr>
          <w:lang w:val="es-ES"/>
        </w:rPr>
        <w:t xml:space="preserve"> p</w:t>
      </w:r>
      <w:r>
        <w:rPr>
          <w:lang w:val="es-ES"/>
        </w:rPr>
        <w:t>u</w:t>
      </w:r>
      <w:r>
        <w:rPr>
          <w:lang w:val="es-ES"/>
        </w:rPr>
        <w:t>blicó el nombre de ellos y su vinculación con Telleldín, reco</w:t>
      </w:r>
      <w:r>
        <w:rPr>
          <w:lang w:val="es-ES"/>
        </w:rPr>
        <w:t>r</w:t>
      </w:r>
      <w:r>
        <w:rPr>
          <w:lang w:val="es-ES"/>
        </w:rPr>
        <w:t>dando que le comentaron en el lío que se habían metido con motivo del “arreglo”.</w:t>
      </w:r>
    </w:p>
    <w:p w:rsidR="00224567" w:rsidRDefault="00224567">
      <w:pPr>
        <w:pStyle w:val="Textoindependiente"/>
        <w:tabs>
          <w:tab w:val="left" w:pos="2835"/>
        </w:tabs>
        <w:spacing w:line="600" w:lineRule="auto"/>
        <w:ind w:firstLine="2835"/>
        <w:rPr>
          <w:lang w:val="es-ES"/>
        </w:rPr>
      </w:pPr>
      <w:r>
        <w:rPr>
          <w:lang w:val="es-ES"/>
        </w:rPr>
        <w:t>Sostuvo que en la primer conversación que mantuvo con Barreda y Bareiro ellos le comentaron que Telleldín tenía una Trafic blanca en la casa.</w:t>
      </w:r>
    </w:p>
    <w:p w:rsidR="00224567" w:rsidRDefault="00224567">
      <w:pPr>
        <w:pStyle w:val="Textoindependiente"/>
        <w:tabs>
          <w:tab w:val="left" w:pos="2835"/>
        </w:tabs>
        <w:spacing w:line="600" w:lineRule="auto"/>
        <w:ind w:firstLine="2835"/>
        <w:rPr>
          <w:lang w:val="es-ES"/>
        </w:rPr>
      </w:pPr>
      <w:r>
        <w:rPr>
          <w:lang w:val="es-ES"/>
        </w:rPr>
        <w:t>También precisó que una vez que se co</w:t>
      </w:r>
      <w:r>
        <w:rPr>
          <w:lang w:val="es-ES"/>
        </w:rPr>
        <w:t>n</w:t>
      </w:r>
      <w:r>
        <w:rPr>
          <w:lang w:val="es-ES"/>
        </w:rPr>
        <w:t>tactó con Telleldín se enteró que el nombrado había vendido esa camioneta y que se había gastado el dinero; circunsta</w:t>
      </w:r>
      <w:r>
        <w:rPr>
          <w:lang w:val="es-ES"/>
        </w:rPr>
        <w:t>n</w:t>
      </w:r>
      <w:r>
        <w:rPr>
          <w:lang w:val="es-ES"/>
        </w:rPr>
        <w:t>cia que puso en conocimiento de Bareiro y B</w:t>
      </w:r>
      <w:r>
        <w:rPr>
          <w:lang w:val="es-ES"/>
        </w:rPr>
        <w:t>a</w:t>
      </w:r>
      <w:r>
        <w:rPr>
          <w:lang w:val="es-ES"/>
        </w:rPr>
        <w:t>rreda, quienes le hicieron referencia acerca del conocimiento que tenían de ese r</w:t>
      </w:r>
      <w:r>
        <w:rPr>
          <w:lang w:val="es-ES"/>
        </w:rPr>
        <w:t>o</w:t>
      </w:r>
      <w:r>
        <w:rPr>
          <w:lang w:val="es-ES"/>
        </w:rPr>
        <w:t>dado.</w:t>
      </w:r>
    </w:p>
    <w:p w:rsidR="00224567" w:rsidRDefault="00224567">
      <w:pPr>
        <w:pStyle w:val="Textoindependiente"/>
        <w:tabs>
          <w:tab w:val="left" w:pos="2835"/>
        </w:tabs>
        <w:spacing w:line="600" w:lineRule="auto"/>
        <w:ind w:firstLine="2835"/>
        <w:rPr>
          <w:lang w:val="es-ES"/>
        </w:rPr>
      </w:pPr>
      <w:r>
        <w:rPr>
          <w:lang w:val="es-ES"/>
        </w:rPr>
        <w:t>Por último, señaló que “Diego” le rep</w:t>
      </w:r>
      <w:r>
        <w:rPr>
          <w:lang w:val="es-ES"/>
        </w:rPr>
        <w:t>i</w:t>
      </w:r>
      <w:r>
        <w:rPr>
          <w:lang w:val="es-ES"/>
        </w:rPr>
        <w:t>tió lo relacionado con la venta de la camioneta luego de saberse que había sido utilizada en el atentado, no pudie</w:t>
      </w:r>
      <w:r>
        <w:rPr>
          <w:lang w:val="es-ES"/>
        </w:rPr>
        <w:t>n</w:t>
      </w:r>
      <w:r>
        <w:rPr>
          <w:lang w:val="es-ES"/>
        </w:rPr>
        <w:t>do precisar si lo dijo la noche que estaba el D.P.O.C. en la casa de Telleldín o después de que éste fue detenido.</w:t>
      </w:r>
    </w:p>
    <w:p w:rsidR="00224567" w:rsidRDefault="00224567">
      <w:pPr>
        <w:widowControl w:val="0"/>
      </w:pPr>
    </w:p>
    <w:p w:rsidR="00224567" w:rsidRDefault="00224567">
      <w:pPr>
        <w:pStyle w:val="Ttulo3"/>
        <w:keepNext w:val="0"/>
        <w:widowControl w:val="0"/>
      </w:pPr>
      <w:r>
        <w:t>S) Declaraciones indagatorias de Daniel Emilio Quint</w:t>
      </w:r>
      <w:r>
        <w:t>e</w:t>
      </w:r>
      <w:r>
        <w:t>ros.</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 xml:space="preserve">En la oportunidad prevista en el art. 378 del Código Procesal Penal de </w:t>
      </w:r>
      <w:smartTag w:uri="urn:schemas-microsoft-com:office:smarttags" w:element="PersonName">
        <w:smartTagPr>
          <w:attr w:name="ProductID" w:val="la Naci￳n"/>
        </w:smartTagPr>
        <w:r>
          <w:t>la Nación</w:t>
        </w:r>
      </w:smartTag>
      <w:r>
        <w:t>, Daniel Emilio Quinteros se negó a declarar. En cons</w:t>
      </w:r>
      <w:r>
        <w:t>e</w:t>
      </w:r>
      <w:r>
        <w:t>cuencia, se procedió a dar le</w:t>
      </w:r>
      <w:r>
        <w:t>c</w:t>
      </w:r>
      <w:r>
        <w:t>tura de la indagatoria prestada por el nombrado en sede instructoria, obrante a fs. 39.639/39.642.</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En dicha ocasión, negó categóricame</w:t>
      </w:r>
      <w:r>
        <w:t>n</w:t>
      </w:r>
      <w:r>
        <w:t>te su participación en los hechos endilgados.</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 xml:space="preserve">Manifestó que fue trasladado a </w:t>
      </w:r>
      <w:smartTag w:uri="urn:schemas-microsoft-com:office:smarttags" w:element="PersonName">
        <w:smartTagPr>
          <w:attr w:name="ProductID" w:val="la Brigada"/>
        </w:smartTagPr>
        <w:r>
          <w:t>la Br</w:t>
        </w:r>
        <w:r>
          <w:t>i</w:t>
        </w:r>
        <w:r>
          <w:t>gada</w:t>
        </w:r>
      </w:smartTag>
      <w:r>
        <w:t xml:space="preserve"> de Vicente L</w:t>
      </w:r>
      <w:r>
        <w:t>ó</w:t>
      </w:r>
      <w:r>
        <w:t xml:space="preserve">pez en el mes de diciembre de 1993 con el cargo de subinspector oficial, contando, en ese momento, con cinco años de antigüedad como oficial en </w:t>
      </w:r>
      <w:smartTag w:uri="urn:schemas-microsoft-com:office:smarttags" w:element="PersonName">
        <w:smartTagPr>
          <w:attr w:name="ProductID" w:val="la Polic￭a Bonaerense."/>
        </w:smartTagPr>
        <w:r>
          <w:t>la Policía B</w:t>
        </w:r>
        <w:r>
          <w:t>o</w:t>
        </w:r>
        <w:r>
          <w:t>naerense.</w:t>
        </w:r>
      </w:smartTag>
      <w:r>
        <w:t xml:space="preserve"> Cuando arribó a esa dependencia le ordenaron que ocupara el cargo de oficial de serv</w:t>
      </w:r>
      <w:r>
        <w:t>i</w:t>
      </w:r>
      <w:r>
        <w:t>cio durante todo el año 1994, cu</w:t>
      </w:r>
      <w:r>
        <w:t>m</w:t>
      </w:r>
      <w:r>
        <w:t>pliendo 24 horas de servicio cada 48 de franco.</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Con relación al sumario labrado por averiguación de antecedentes de Hugo Antonio Pérez, recon</w:t>
      </w:r>
      <w:r>
        <w:t>o</w:t>
      </w:r>
      <w:r>
        <w:t>ció como suyas las firmas allí insertas, como ta</w:t>
      </w:r>
      <w:r>
        <w:t>m</w:t>
      </w:r>
      <w:r>
        <w:t>bién haber labrado esas actuaciones. Agregó que esta tarea es propia del of</w:t>
      </w:r>
      <w:r>
        <w:t>i</w:t>
      </w:r>
      <w:r>
        <w:t>cial del servicio.</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Precisó que el subcomisario Rago era el jefe de turno del día 15 de julio de 1994.</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Con relación a los apremios ileg</w:t>
      </w:r>
      <w:r>
        <w:t>a</w:t>
      </w:r>
      <w:r>
        <w:t>les en perjuicio de Pérez, expresó que de haber existido, el méd</w:t>
      </w:r>
      <w:r>
        <w:t>i</w:t>
      </w:r>
      <w:r>
        <w:t>co de policía los hubiera hecho constar en el respectivo informe médico. Añadió que Pérez, durante su est</w:t>
      </w:r>
      <w:r>
        <w:t>a</w:t>
      </w:r>
      <w:r>
        <w:t>día en la brigada, no fue sometido a malos tratos, cumpliéndose si</w:t>
      </w:r>
      <w:r>
        <w:t>m</w:t>
      </w:r>
      <w:r>
        <w:t>plemente las actuaciones de estilo.</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En cuanto a sus destinos, refirió que todos los traslados que tuvo siempre fueron ordenados por la superioridad, no habiendo solicit</w:t>
      </w:r>
      <w:r>
        <w:t>a</w:t>
      </w:r>
      <w:r>
        <w:t>do ninguno de ellos.</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Mencionó que en el verano de 1988/1989, estuvo afectado al “Operativo Sol”, cu</w:t>
      </w:r>
      <w:r>
        <w:t>m</w:t>
      </w:r>
      <w:r>
        <w:t xml:space="preserve">pliendo funciones en </w:t>
      </w:r>
      <w:smartTag w:uri="urn:schemas-microsoft-com:office:smarttags" w:element="PersonName">
        <w:smartTagPr>
          <w:attr w:name="ProductID" w:val="la Comisar￭a"/>
        </w:smartTagPr>
        <w:r>
          <w:t>la Comisaría</w:t>
        </w:r>
      </w:smartTag>
      <w:r>
        <w:t xml:space="preserve"> de San Clemente del Tuyú. Luego, fue traslad</w:t>
      </w:r>
      <w:r>
        <w:t>a</w:t>
      </w:r>
      <w:r>
        <w:t xml:space="preserve">do a </w:t>
      </w:r>
      <w:smartTag w:uri="urn:schemas-microsoft-com:office:smarttags" w:element="PersonName">
        <w:smartTagPr>
          <w:attr w:name="ProductID" w:val="la Comisar￭a"/>
        </w:smartTagPr>
        <w:r>
          <w:t>la Comisaría</w:t>
        </w:r>
      </w:smartTag>
      <w:r>
        <w:t xml:space="preserve"> de Villa Martelli. Posteriormente, a m</w:t>
      </w:r>
      <w:r>
        <w:t>e</w:t>
      </w:r>
      <w:r>
        <w:t xml:space="preserve">diados de 1993 fue a </w:t>
      </w:r>
      <w:smartTag w:uri="urn:schemas-microsoft-com:office:smarttags" w:element="PersonName">
        <w:smartTagPr>
          <w:attr w:name="ProductID" w:val="la Brigada"/>
        </w:smartTagPr>
        <w:r>
          <w:t>la Brigada</w:t>
        </w:r>
      </w:smartTag>
      <w:r>
        <w:t xml:space="preserve"> de Investigaciones de T</w:t>
      </w:r>
      <w:r>
        <w:t>i</w:t>
      </w:r>
      <w:r>
        <w:t xml:space="preserve">gre, que estaba a cargo del comisario Juan Carlos Grys. En diciembre de 1993 fue trasladado a </w:t>
      </w:r>
      <w:smartTag w:uri="urn:schemas-microsoft-com:office:smarttags" w:element="PersonName">
        <w:smartTagPr>
          <w:attr w:name="ProductID" w:val="la Brigada"/>
        </w:smartTagPr>
        <w:r>
          <w:t>la Brigada</w:t>
        </w:r>
      </w:smartTag>
      <w:r>
        <w:t xml:space="preserve"> de Vicente López, donde cumplió funciones hasta marzo de 1996, habie</w:t>
      </w:r>
      <w:r>
        <w:t>n</w:t>
      </w:r>
      <w:r>
        <w:t>do sido afectado a un curso de perfe</w:t>
      </w:r>
      <w:r>
        <w:t>c</w:t>
      </w:r>
      <w:r>
        <w:t>cionamiento.</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Puntualizó que nunca estuvo afe</w:t>
      </w:r>
      <w:r>
        <w:t>c</w:t>
      </w:r>
      <w:r>
        <w:t xml:space="preserve">tado a </w:t>
      </w:r>
      <w:smartTag w:uri="urn:schemas-microsoft-com:office:smarttags" w:element="PersonName">
        <w:smartTagPr>
          <w:attr w:name="ProductID" w:val="la Brigada"/>
        </w:smartTagPr>
        <w:r>
          <w:t>la Brigada</w:t>
        </w:r>
      </w:smartTag>
      <w:r>
        <w:t xml:space="preserve"> de Investigaciones II de Lanús y que recién en 1996 conoció el frente de esa br</w:t>
      </w:r>
      <w:r>
        <w:t>i</w:t>
      </w:r>
      <w:r>
        <w:t>gada.</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Expresó que a Juan José Ribelli y a  Raúl Edilio Ibarra los conoció al momento de su dete</w:t>
      </w:r>
      <w:r>
        <w:t>n</w:t>
      </w:r>
      <w:r>
        <w:t>ción.</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Dijo que con Anastasio Ireneo Leal ma</w:t>
      </w:r>
      <w:r>
        <w:t>n</w:t>
      </w:r>
      <w:r>
        <w:t>tuvo una relación estrictamente laboral.</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 xml:space="preserve">En cuanto a Mario Norberto Barreiro, Quinteros sostuvo que era oficial de servicio en el año 1994 en </w:t>
      </w:r>
      <w:smartTag w:uri="urn:schemas-microsoft-com:office:smarttags" w:element="PersonName">
        <w:smartTagPr>
          <w:attr w:name="ProductID" w:val="la Brigada"/>
        </w:smartTagPr>
        <w:r>
          <w:t>la Brigada</w:t>
        </w:r>
      </w:smartTag>
      <w:r>
        <w:t xml:space="preserve"> de Vicente López y se relevaban mutu</w:t>
      </w:r>
      <w:r>
        <w:t>a</w:t>
      </w:r>
      <w:r>
        <w:t>mente en las funciones, aclarando que sólo eran co</w:t>
      </w:r>
      <w:r>
        <w:t>m</w:t>
      </w:r>
      <w:r>
        <w:t>pañeros de trab</w:t>
      </w:r>
      <w:r>
        <w:t>a</w:t>
      </w:r>
      <w:r>
        <w:t>jo.</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 xml:space="preserve">Agregó que conoció a Bareiro cuando trabajaba en </w:t>
      </w:r>
      <w:smartTag w:uri="urn:schemas-microsoft-com:office:smarttags" w:element="PersonName">
        <w:smartTagPr>
          <w:attr w:name="ProductID" w:val="la Comisar￭a"/>
        </w:smartTagPr>
        <w:r>
          <w:t>la Comisaría</w:t>
        </w:r>
      </w:smartTag>
      <w:r>
        <w:t xml:space="preserve"> de Villa Martelli, mientras B</w:t>
      </w:r>
      <w:r>
        <w:t>a</w:t>
      </w:r>
      <w:r>
        <w:t>reiro lo hacía en la de Villa Concepción o Villa Maipú, c</w:t>
      </w:r>
      <w:r>
        <w:t>o</w:t>
      </w:r>
      <w:r>
        <w:t>mentando que en una ocasión Bareiro realizó un operativo y concurrió a la dependencia de Villa Martelli a fin de l</w:t>
      </w:r>
      <w:r>
        <w:t>a</w:t>
      </w:r>
      <w:r>
        <w:t>brar las actuaciones c</w:t>
      </w:r>
      <w:r>
        <w:t>o</w:t>
      </w:r>
      <w:r>
        <w:t>rrespondientes.</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Señaló que a Barreda lo conoció en la unidad de dete</w:t>
      </w:r>
      <w:r>
        <w:t>n</w:t>
      </w:r>
      <w:r>
        <w:t>ción.</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Por otra parte, refirió que, habitua</w:t>
      </w:r>
      <w:r>
        <w:t>l</w:t>
      </w:r>
      <w:r>
        <w:t>mente, en la brigada los horarios eran del mediodía al m</w:t>
      </w:r>
      <w:r>
        <w:t>e</w:t>
      </w:r>
      <w:r>
        <w:t>diodía del día siguiente, trabajando veinticuatro horas de servicio. No recordó qué horario cumplió el día que fue d</w:t>
      </w:r>
      <w:r>
        <w:t>e</w:t>
      </w:r>
      <w:r>
        <w:t>tenido Hugo Pérez, como tampoco cuándo éste arribó a la d</w:t>
      </w:r>
      <w:r>
        <w:t>e</w:t>
      </w:r>
      <w:r>
        <w:t>pendencia, aclarando que tomó co</w:t>
      </w:r>
      <w:r>
        <w:t>n</w:t>
      </w:r>
      <w:r>
        <w:t>tacto con el detenido una vez que ingresó allí.</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Interrogado para que explicara c</w:t>
      </w:r>
      <w:r>
        <w:t>ó</w:t>
      </w:r>
      <w:r>
        <w:t>mo fue posible que haya labrado las actuaciones de Hugo Antonio Pérez en forma completa, desde su i</w:t>
      </w:r>
      <w:r>
        <w:t>n</w:t>
      </w:r>
      <w:r>
        <w:t>greso hasta su egreso, cuando el horario de dete</w:t>
      </w:r>
      <w:r>
        <w:t>n</w:t>
      </w:r>
      <w:r>
        <w:t>ción era el de la 1.30 del 15 de julio de 1994 y el de libertad el de las 21.15 del mismo día, el imputado explicó que tal vez ese día no cumplió funci</w:t>
      </w:r>
      <w:r>
        <w:t>o</w:t>
      </w:r>
      <w:r>
        <w:t>nes en el horario habitual, es decir del mediodía de un día hasta el mediodía del siguiente, o bien pudo haber estado recargado el servicio y tuvo que quedarse, lo que era normal. También man</w:t>
      </w:r>
      <w:r>
        <w:t>i</w:t>
      </w:r>
      <w:r>
        <w:t>festó que era normal que comenzara unas actuaciones por averiguación antecedentes, quedaran firmas pendientes por haber finalizado el servicio y al día siguiente pr</w:t>
      </w:r>
      <w:r>
        <w:t>o</w:t>
      </w:r>
      <w:r>
        <w:t>cediera a firmar el resto del expediente.</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No recordó quién trasladó a Hugo Ant</w:t>
      </w:r>
      <w:r>
        <w:t>o</w:t>
      </w:r>
      <w:r>
        <w:t>nio Pérez hasta la brigada, pero sí que el grupo op</w:t>
      </w:r>
      <w:r>
        <w:t>e</w:t>
      </w:r>
      <w:r>
        <w:t>rativo estaba conformado por el oficial principal Leal, el sarge</w:t>
      </w:r>
      <w:r>
        <w:t>n</w:t>
      </w:r>
      <w:r>
        <w:t>to ayudante García y el sargento primero Las</w:t>
      </w:r>
      <w:r>
        <w:t>a</w:t>
      </w:r>
      <w:r>
        <w:t>la.</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Puntualizó que no conocía a Telle</w:t>
      </w:r>
      <w:r>
        <w:t>l</w:t>
      </w:r>
      <w:r>
        <w:t>dín, ni realizó tareas de inteligencia con rel</w:t>
      </w:r>
      <w:r>
        <w:t>a</w:t>
      </w:r>
      <w:r>
        <w:t>ción al nombrado, señalando que tampoco tenía conocimiento si personal pol</w:t>
      </w:r>
      <w:r>
        <w:t>i</w:t>
      </w:r>
      <w:r>
        <w:t>cial las efectuó.</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p>
    <w:p w:rsidR="00224567" w:rsidRDefault="00224567">
      <w:pPr>
        <w:pStyle w:val="Ttulo3"/>
        <w:widowControl w:val="0"/>
      </w:pPr>
      <w:r>
        <w:t>T) Declaración indagatoria de Eduardo Diego Toledo.</w:t>
      </w:r>
    </w:p>
    <w:p w:rsidR="00224567" w:rsidRDefault="00224567">
      <w:pPr>
        <w:pStyle w:val="Sangradetextonormal"/>
        <w:widowControl w:val="0"/>
        <w:ind w:firstLine="0"/>
      </w:pPr>
      <w:r>
        <w:tab/>
        <w:t>Que en ocasión del debate, Eduardo Diego Toledo se negó a prestar declaración indagatoria, dándose lectura a la brindada ante la in</w:t>
      </w:r>
      <w:r>
        <w:t>s</w:t>
      </w:r>
      <w:r>
        <w:t>trucción.</w:t>
      </w:r>
    </w:p>
    <w:p w:rsidR="00224567" w:rsidRDefault="00224567">
      <w:pPr>
        <w:pStyle w:val="Sangradetextonormal"/>
        <w:widowControl w:val="0"/>
        <w:ind w:firstLine="0"/>
      </w:pPr>
      <w:r>
        <w:tab/>
        <w:t>A fs. 1133/1135 de la causa nº 502/03, relató que desde fines de 1992 hasta finales de 1994 pre</w:t>
      </w:r>
      <w:r>
        <w:t>s</w:t>
      </w:r>
      <w:r>
        <w:t xml:space="preserve">tó funciones en </w:t>
      </w:r>
      <w:smartTag w:uri="urn:schemas-microsoft-com:office:smarttags" w:element="PersonName">
        <w:smartTagPr>
          <w:attr w:name="ProductID" w:val="la Brigada"/>
        </w:smartTagPr>
        <w:r>
          <w:t>la Brigada</w:t>
        </w:r>
      </w:smartTag>
      <w:r>
        <w:t xml:space="preserve"> de Investigaciones de Lanús c</w:t>
      </w:r>
      <w:r>
        <w:t>o</w:t>
      </w:r>
      <w:r>
        <w:t>mo conductor del camión de traslado de det</w:t>
      </w:r>
      <w:r>
        <w:t>e</w:t>
      </w:r>
      <w:r>
        <w:t>nidos.</w:t>
      </w:r>
    </w:p>
    <w:p w:rsidR="00224567" w:rsidRDefault="00224567">
      <w:pPr>
        <w:pStyle w:val="Sangradetextonormal"/>
        <w:widowControl w:val="0"/>
        <w:ind w:firstLine="0"/>
      </w:pPr>
      <w:r>
        <w:tab/>
        <w:t>Que el 15 de marzo de 1994 el subcom</w:t>
      </w:r>
      <w:r>
        <w:t>i</w:t>
      </w:r>
      <w:r>
        <w:t>sario Ibarra le indicó que condujera el automóvil en el que ya se encontraban Marcelo Darío C</w:t>
      </w:r>
      <w:r>
        <w:t>a</w:t>
      </w:r>
      <w:r>
        <w:t>sas y Víctor Carlos Cruz, y que se sorprendió de la presencia de éste último porque estaba en disponibilidad. Que durante el trayecto Ibarra le fue ind</w:t>
      </w:r>
      <w:r>
        <w:t>i</w:t>
      </w:r>
      <w:r>
        <w:t xml:space="preserve">cando el recorrido. Así, al llegar a </w:t>
      </w:r>
      <w:smartTag w:uri="urn:schemas-microsoft-com:office:smarttags" w:element="PersonName">
        <w:smartTagPr>
          <w:attr w:name="ProductID" w:val="la Av. Maip￺"/>
        </w:smartTagPr>
        <w:r>
          <w:t>la Av. Maipú</w:t>
        </w:r>
      </w:smartTag>
      <w:r>
        <w:t xml:space="preserve"> en la zona norte, el subcomisario lo hizo det</w:t>
      </w:r>
      <w:r>
        <w:t>e</w:t>
      </w:r>
      <w:r>
        <w:t>ner y les explicó a él y a Casas que debían apresar a un sujeto que llegaría en un rodado Renault 18, color oscuro. Tras una hora de espera, Ib</w:t>
      </w:r>
      <w:r>
        <w:t>a</w:t>
      </w:r>
      <w:r>
        <w:t>rra les señaló el auto y junto con su compañero Casas se acercaron. Que en el ínterin el conductor escapó y chocó un auto en su huida. Que Casas alcanzó a colgarse de la ventanilla delantera pero fue arrastrado varios metros y finalmente resultó golpeado. Que con motivo de lo ocurrido Ibarra labró un acta, la que el dep</w:t>
      </w:r>
      <w:r>
        <w:t>o</w:t>
      </w:r>
      <w:r>
        <w:t>nente firmó.</w:t>
      </w:r>
    </w:p>
    <w:p w:rsidR="00224567" w:rsidRDefault="00224567">
      <w:pPr>
        <w:pStyle w:val="Sangradetextonormal"/>
        <w:widowControl w:val="0"/>
        <w:ind w:firstLine="0"/>
      </w:pPr>
      <w:r>
        <w:tab/>
        <w:t>Agregó que le llamó la atención que tanto él como Casas, sin experiencia en procedimientos, fueran convocados por Ibarra con quien nunca había mant</w:t>
      </w:r>
      <w:r>
        <w:t>e</w:t>
      </w:r>
      <w:r>
        <w:t>nido diálogo alguno.</w:t>
      </w:r>
    </w:p>
    <w:p w:rsidR="00224567" w:rsidRDefault="00224567">
      <w:pPr>
        <w:pStyle w:val="Sangradetextonormal"/>
        <w:widowControl w:val="0"/>
        <w:ind w:firstLine="0"/>
      </w:pPr>
      <w:r>
        <w:tab/>
        <w:t xml:space="preserve">Asimismo, manifestó que al año de ese procedimiento fue llamado a prestar declaración en </w:t>
      </w:r>
      <w:smartTag w:uri="urn:schemas-microsoft-com:office:smarttags" w:element="PersonName">
        <w:smartTagPr>
          <w:attr w:name="ProductID" w:val="la Direcci￳n"/>
        </w:smartTagPr>
        <w:r>
          <w:t>la D</w:t>
        </w:r>
        <w:r>
          <w:t>i</w:t>
        </w:r>
        <w:r>
          <w:t>rección</w:t>
        </w:r>
      </w:smartTag>
      <w:r>
        <w:t xml:space="preserve"> de Sumarios en la ciudad de </w:t>
      </w:r>
      <w:smartTag w:uri="urn:schemas-microsoft-com:office:smarttags" w:element="PersonName">
        <w:smartTagPr>
          <w:attr w:name="ProductID" w:val="La Plata. Que"/>
        </w:smartTagPr>
        <w:r>
          <w:t>La Plata. Que</w:t>
        </w:r>
      </w:smartTag>
      <w:r>
        <w:t xml:space="preserve"> en esa oportunidad fue trasladado junto con Casas en un Renault Fuego en el que también estaba Ibarra. Durante el recorr</w:t>
      </w:r>
      <w:r>
        <w:t>i</w:t>
      </w:r>
      <w:r>
        <w:t>do, el subcomisario los instruyó acerca de lo que debían declarar y les dijo que recordaran que hab</w:t>
      </w:r>
      <w:r>
        <w:t>í</w:t>
      </w:r>
      <w:r>
        <w:t xml:space="preserve">an ido a Villa Ballester y posteriormente a </w:t>
      </w:r>
      <w:smartTag w:uri="urn:schemas-microsoft-com:office:smarttags" w:element="PersonName">
        <w:smartTagPr>
          <w:attr w:name="ProductID" w:val="la Av. Maip￺."/>
        </w:smartTagPr>
        <w:r>
          <w:t>la Av. Ma</w:t>
        </w:r>
        <w:r>
          <w:t>i</w:t>
        </w:r>
        <w:r>
          <w:t>pú.</w:t>
        </w:r>
      </w:smartTag>
    </w:p>
    <w:p w:rsidR="00224567" w:rsidRDefault="00224567">
      <w:pPr>
        <w:pStyle w:val="Sangradetextonormal"/>
        <w:widowControl w:val="0"/>
        <w:ind w:firstLine="0"/>
      </w:pPr>
      <w:r>
        <w:tab/>
        <w:t>Por último, refirió que nunca vio la cara del conductor que se dio a la fuga pero que post</w:t>
      </w:r>
      <w:r>
        <w:t>e</w:t>
      </w:r>
      <w:r>
        <w:t>riormente, por los medios, supo que era Carlos Alberto T</w:t>
      </w:r>
      <w:r>
        <w:t>e</w:t>
      </w:r>
      <w:r>
        <w:t>lleldín; que no tuvo conocimiento de los fines busc</w:t>
      </w:r>
      <w:r>
        <w:t>a</w:t>
      </w:r>
      <w:r>
        <w:t>dos al intentar esa detención y que sólo concurrió a ese proced</w:t>
      </w:r>
      <w:r>
        <w:t>i</w:t>
      </w:r>
      <w:r>
        <w:t>miento para no de</w:t>
      </w:r>
      <w:r>
        <w:t>s</w:t>
      </w:r>
      <w:r>
        <w:t>obedecer la orden de un superior.</w:t>
      </w:r>
    </w:p>
    <w:p w:rsidR="00224567" w:rsidRDefault="00224567">
      <w:pPr>
        <w:pStyle w:val="Textoindependiente"/>
        <w:spacing w:line="600" w:lineRule="auto"/>
      </w:pPr>
    </w:p>
    <w:p w:rsidR="00224567" w:rsidRDefault="00224567">
      <w:pPr>
        <w:pStyle w:val="Ttulo3"/>
        <w:widowControl w:val="0"/>
      </w:pPr>
      <w:r>
        <w:t>U) Declaración indagatoria de Marcelo Darío Casas.</w:t>
      </w:r>
    </w:p>
    <w:p w:rsidR="00224567" w:rsidRDefault="00224567">
      <w:pPr>
        <w:pStyle w:val="Sangradetextonormal"/>
        <w:widowControl w:val="0"/>
        <w:ind w:firstLine="0"/>
      </w:pPr>
      <w:r>
        <w:tab/>
      </w:r>
      <w:r>
        <w:tab/>
        <w:t>Que al ser convocado a prestar indag</w:t>
      </w:r>
      <w:r>
        <w:t>a</w:t>
      </w:r>
      <w:r>
        <w:t>toria durante la audiencia de debate, Marcelo D</w:t>
      </w:r>
      <w:r>
        <w:t>a</w:t>
      </w:r>
      <w:r>
        <w:t>río Casas se negó a declarar, por lo que se dio lectura a la brind</w:t>
      </w:r>
      <w:r>
        <w:t>a</w:t>
      </w:r>
      <w:r>
        <w:t>da ante el juez instructor.</w:t>
      </w:r>
    </w:p>
    <w:p w:rsidR="00224567" w:rsidRDefault="00224567">
      <w:pPr>
        <w:pStyle w:val="Sangradetextonormal"/>
        <w:widowControl w:val="0"/>
        <w:ind w:firstLine="0"/>
      </w:pPr>
      <w:r>
        <w:tab/>
        <w:t>A fs. 1129/1131 de la causa nº 502/03 el nombrado Darío Casas manifestó que en el año 1994 re</w:t>
      </w:r>
      <w:r>
        <w:t>a</w:t>
      </w:r>
      <w:r>
        <w:t>lizaba tareas administrativas en la oficina de l</w:t>
      </w:r>
      <w:r>
        <w:t>o</w:t>
      </w:r>
      <w:r>
        <w:t xml:space="preserve">gística e identificación de </w:t>
      </w:r>
      <w:smartTag w:uri="urn:schemas-microsoft-com:office:smarttags" w:element="PersonName">
        <w:smartTagPr>
          <w:attr w:name="ProductID" w:val="la Brigada"/>
        </w:smartTagPr>
        <w:r>
          <w:t>la Brigada</w:t>
        </w:r>
      </w:smartTag>
      <w:r>
        <w:t xml:space="preserve"> de Investigaci</w:t>
      </w:r>
      <w:r>
        <w:t>o</w:t>
      </w:r>
      <w:r>
        <w:t>nes de Lanús.</w:t>
      </w:r>
    </w:p>
    <w:p w:rsidR="00224567" w:rsidRDefault="00224567">
      <w:pPr>
        <w:pStyle w:val="Sangradetextonormal"/>
        <w:widowControl w:val="0"/>
        <w:ind w:firstLine="0"/>
      </w:pPr>
      <w:r>
        <w:tab/>
        <w:t>Que el 15 de marzo de 1994, por expr</w:t>
      </w:r>
      <w:r>
        <w:t>e</w:t>
      </w:r>
      <w:r>
        <w:t>sa directiva del subcomisario Ibarra, se dir</w:t>
      </w:r>
      <w:r>
        <w:t>i</w:t>
      </w:r>
      <w:r>
        <w:t xml:space="preserve">gió junto con éste, Toledo y Cruz a </w:t>
      </w:r>
      <w:smartTag w:uri="urn:schemas-microsoft-com:office:smarttags" w:element="PersonName">
        <w:smartTagPr>
          <w:attr w:name="ProductID" w:val="la Av. Maip￺"/>
        </w:smartTagPr>
        <w:r>
          <w:t>la Av. Maipú</w:t>
        </w:r>
      </w:smartTag>
      <w:r>
        <w:t>, en la z</w:t>
      </w:r>
      <w:r>
        <w:t>o</w:t>
      </w:r>
      <w:r>
        <w:t>na norte, con la finalidad de detener a un individuo que se desplazaba en un automóvil Renault 18 de color oscuro. Por orden de Ibarra, se acercó a ese automóvil junto a su compañero T</w:t>
      </w:r>
      <w:r>
        <w:t>o</w:t>
      </w:r>
      <w:r>
        <w:t>ledo y se identificaron con la credencial policial en la mano, ya que ambos vestían de civil. Que el conductor tr</w:t>
      </w:r>
      <w:r>
        <w:t>a</w:t>
      </w:r>
      <w:r>
        <w:t>bó las puertas, por lo que infructuosamente su compañero intentó ingresar al auto por el lado del acomp</w:t>
      </w:r>
      <w:r>
        <w:t>a</w:t>
      </w:r>
      <w:r>
        <w:t>ñante y que él mismo introdujo su cuerpo por la ventanilla para qu</w:t>
      </w:r>
      <w:r>
        <w:t>i</w:t>
      </w:r>
      <w:r>
        <w:t>tarle las llaves y evitar la fuga. Que esta persona en su huida, lo arrastró unos m</w:t>
      </w:r>
      <w:r>
        <w:t>e</w:t>
      </w:r>
      <w:r>
        <w:t>tros, lo hirió en su brazo y en la pierna izquierda y chocó a otro rodado; labrándose, c</w:t>
      </w:r>
      <w:r>
        <w:t>o</w:t>
      </w:r>
      <w:r>
        <w:t>mo consecuencia de lo ocurrido, un acta que fue suscri</w:t>
      </w:r>
      <w:r>
        <w:t>p</w:t>
      </w:r>
      <w:r>
        <w:t>ta por Ibarra, Toledo, el damnificado por el choque y el d</w:t>
      </w:r>
      <w:r>
        <w:t>e</w:t>
      </w:r>
      <w:r>
        <w:t>ponente.</w:t>
      </w:r>
    </w:p>
    <w:p w:rsidR="00224567" w:rsidRDefault="00224567">
      <w:pPr>
        <w:pStyle w:val="Sangradetextonormal"/>
        <w:widowControl w:val="0"/>
        <w:ind w:firstLine="0"/>
      </w:pPr>
      <w:r>
        <w:tab/>
        <w:t>En cuanto a la presencia de Víctor Carlos Cruz, negada en su testimonial de fs. 98/101, acl</w:t>
      </w:r>
      <w:r>
        <w:t>a</w:t>
      </w:r>
      <w:r>
        <w:t>ró que éste concurrió al lugar del procedimiento pero no participó activamente, ya que permaneció en un vehículo a unos ciento cincuenta metros del lugar.</w:t>
      </w:r>
    </w:p>
    <w:p w:rsidR="00224567" w:rsidRDefault="00224567">
      <w:pPr>
        <w:widowControl w:val="0"/>
      </w:pPr>
      <w:r>
        <w:tab/>
        <w:t>Por otra parte, desconoció su declar</w:t>
      </w:r>
      <w:r>
        <w:t>a</w:t>
      </w:r>
      <w:r>
        <w:t xml:space="preserve">ción prestada el 15 de marzo de 1994 en </w:t>
      </w:r>
      <w:smartTag w:uri="urn:schemas-microsoft-com:office:smarttags" w:element="PersonName">
        <w:smartTagPr>
          <w:attr w:name="ProductID" w:val="la Brigada"/>
        </w:smartTagPr>
        <w:r>
          <w:t>la Brigada</w:t>
        </w:r>
      </w:smartTag>
      <w:r>
        <w:t xml:space="preserve"> de I</w:t>
      </w:r>
      <w:r>
        <w:t>n</w:t>
      </w:r>
      <w:r>
        <w:t xml:space="preserve">vestigaciones de Lanús y la brindada el 15 de agosto de 1995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lata. Respecto"/>
        </w:smartTagPr>
        <w:r>
          <w:t>La Plata. Re</w:t>
        </w:r>
        <w:r>
          <w:t>s</w:t>
        </w:r>
        <w:r>
          <w:t>pecto</w:t>
        </w:r>
      </w:smartTag>
      <w:r>
        <w:t xml:space="preserve"> de la primera indicó que, por co</w:t>
      </w:r>
      <w:r>
        <w:t>n</w:t>
      </w:r>
      <w:r>
        <w:t xml:space="preserve">fiado, la firmó sin leer, y que en la segunda había entendido que debía declarar lo que Ibarra les dijo durante el viaje a </w:t>
      </w:r>
      <w:smartTag w:uri="urn:schemas-microsoft-com:office:smarttags" w:element="PersonName">
        <w:smartTagPr>
          <w:attr w:name="ProductID" w:val="La Plata"/>
        </w:smartTagPr>
        <w:r>
          <w:t>La Plata</w:t>
        </w:r>
      </w:smartTag>
      <w:r>
        <w:t xml:space="preserve">, esto es que primero fueron a Villa Ballester y luego a </w:t>
      </w:r>
      <w:smartTag w:uri="urn:schemas-microsoft-com:office:smarttags" w:element="PersonName">
        <w:smartTagPr>
          <w:attr w:name="ProductID" w:val="la Av. Maip￺."/>
        </w:smartTagPr>
        <w:r>
          <w:t>la Av. Ma</w:t>
        </w:r>
        <w:r>
          <w:t>i</w:t>
        </w:r>
        <w:r>
          <w:t>pú.</w:t>
        </w:r>
      </w:smartTag>
      <w:r>
        <w:t xml:space="preserve"> Que, como no conocía la zona norte, declaró en ese sentido sin imaginar las consecuencias de esos d</w:t>
      </w:r>
      <w:r>
        <w:t>i</w:t>
      </w:r>
      <w:r>
        <w:t>chos.</w:t>
      </w:r>
    </w:p>
    <w:p w:rsidR="00224567" w:rsidRDefault="00224567">
      <w:pPr>
        <w:widowControl w:val="0"/>
      </w:pPr>
    </w:p>
    <w:p w:rsidR="00224567" w:rsidRDefault="00224567">
      <w:pPr>
        <w:pStyle w:val="Ttulo2"/>
        <w:keepNext w:val="0"/>
        <w:widowControl w:val="0"/>
      </w:pPr>
      <w:r>
        <w:t>CAPÍTULO V</w:t>
      </w:r>
    </w:p>
    <w:p w:rsidR="00224567" w:rsidRDefault="00224567">
      <w:pPr>
        <w:widowControl w:val="0"/>
      </w:pPr>
    </w:p>
    <w:p w:rsidR="00224567" w:rsidRDefault="00224567">
      <w:pPr>
        <w:pStyle w:val="Ttulo3"/>
        <w:keepNext w:val="0"/>
        <w:widowControl w:val="0"/>
      </w:pPr>
      <w:r>
        <w:t>A) Hecho del 18 de julio de 1994.</w:t>
      </w:r>
    </w:p>
    <w:p w:rsidR="00224567" w:rsidRDefault="00224567">
      <w:pPr>
        <w:pStyle w:val="Subttulo"/>
        <w:widowControl w:val="0"/>
        <w:tabs>
          <w:tab w:val="left" w:pos="2835"/>
        </w:tabs>
        <w:spacing w:line="600" w:lineRule="auto"/>
        <w:jc w:val="both"/>
        <w:rPr>
          <w:b w:val="0"/>
          <w:bCs w:val="0"/>
        </w:rPr>
      </w:pPr>
      <w:r>
        <w:rPr>
          <w:b w:val="0"/>
          <w:bCs w:val="0"/>
        </w:rPr>
        <w:tab/>
      </w:r>
      <w:r>
        <w:t>A.1)</w:t>
      </w:r>
      <w:r>
        <w:rPr>
          <w:b w:val="0"/>
          <w:bCs w:val="0"/>
        </w:rPr>
        <w:t xml:space="preserve"> La prueba producida en el deb</w:t>
      </w:r>
      <w:r>
        <w:rPr>
          <w:b w:val="0"/>
          <w:bCs w:val="0"/>
        </w:rPr>
        <w:t>a</w:t>
      </w:r>
      <w:r>
        <w:rPr>
          <w:b w:val="0"/>
          <w:bCs w:val="0"/>
        </w:rPr>
        <w:t xml:space="preserve">te, con más la incorporada de conformidad con los artículos 391 y 392 del Código Procesal Penal de </w:t>
      </w:r>
      <w:smartTag w:uri="urn:schemas-microsoft-com:office:smarttags" w:element="PersonName">
        <w:smartTagPr>
          <w:attr w:name="ProductID" w:val="la Naci￳n"/>
        </w:smartTagPr>
        <w:r>
          <w:rPr>
            <w:b w:val="0"/>
            <w:bCs w:val="0"/>
          </w:rPr>
          <w:t>la N</w:t>
        </w:r>
        <w:r>
          <w:rPr>
            <w:b w:val="0"/>
            <w:bCs w:val="0"/>
          </w:rPr>
          <w:t>a</w:t>
        </w:r>
        <w:r>
          <w:rPr>
            <w:b w:val="0"/>
            <w:bCs w:val="0"/>
          </w:rPr>
          <w:t>ción</w:t>
        </w:r>
      </w:smartTag>
      <w:r>
        <w:rPr>
          <w:b w:val="0"/>
          <w:bCs w:val="0"/>
        </w:rPr>
        <w:t xml:space="preserve">, acreditó fehacientemente que el 18 de julio de </w:t>
      </w:r>
      <w:smartTag w:uri="urn:schemas-microsoft-com:office:smarttags" w:element="metricconverter">
        <w:smartTagPr>
          <w:attr w:name="ProductID" w:val="1994, a"/>
        </w:smartTagPr>
        <w:r>
          <w:rPr>
            <w:b w:val="0"/>
            <w:bCs w:val="0"/>
          </w:rPr>
          <w:t>1994, a</w:t>
        </w:r>
      </w:smartTag>
      <w:r>
        <w:rPr>
          <w:b w:val="0"/>
          <w:bCs w:val="0"/>
        </w:rPr>
        <w:t xml:space="preserve"> las 9.53 aproximadamente, un vehículo Renault Trafic, conducido por una o más personas cuyas identidades se desconocen hasta el momento, se aproximó hasta la pue</w:t>
      </w:r>
      <w:r>
        <w:rPr>
          <w:b w:val="0"/>
          <w:bCs w:val="0"/>
        </w:rPr>
        <w:t>r</w:t>
      </w:r>
      <w:r>
        <w:rPr>
          <w:b w:val="0"/>
          <w:bCs w:val="0"/>
        </w:rPr>
        <w:t xml:space="preserve">ta del edificio de la calle Pasteur 633 de esta ciudad, donde tenían sus sedes, además de otras instituciones, </w:t>
      </w:r>
      <w:smartTag w:uri="urn:schemas-microsoft-com:office:smarttags" w:element="PersonName">
        <w:smartTagPr>
          <w:attr w:name="ProductID" w:val="la Asociaci￳n Mutual"/>
        </w:smartTagPr>
        <w:r>
          <w:rPr>
            <w:b w:val="0"/>
            <w:bCs w:val="0"/>
          </w:rPr>
          <w:t>la Asociación Mutual</w:t>
        </w:r>
      </w:smartTag>
      <w:r>
        <w:rPr>
          <w:b w:val="0"/>
          <w:bCs w:val="0"/>
        </w:rPr>
        <w:t xml:space="preserve"> Isra</w:t>
      </w:r>
      <w:r>
        <w:rPr>
          <w:b w:val="0"/>
          <w:bCs w:val="0"/>
        </w:rPr>
        <w:t>e</w:t>
      </w:r>
      <w:r>
        <w:rPr>
          <w:b w:val="0"/>
          <w:bCs w:val="0"/>
        </w:rPr>
        <w:t>lita A</w:t>
      </w:r>
      <w:r>
        <w:rPr>
          <w:b w:val="0"/>
          <w:bCs w:val="0"/>
        </w:rPr>
        <w:t>r</w:t>
      </w:r>
      <w:r>
        <w:rPr>
          <w:b w:val="0"/>
          <w:bCs w:val="0"/>
        </w:rPr>
        <w:t xml:space="preserve">gentina (A.M.I.A.) y </w:t>
      </w:r>
      <w:smartTag w:uri="urn:schemas-microsoft-com:office:smarttags" w:element="PersonName">
        <w:smartTagPr>
          <w:attr w:name="ProductID" w:val="la Delegaci￳n"/>
        </w:smartTagPr>
        <w:r>
          <w:rPr>
            <w:b w:val="0"/>
            <w:bCs w:val="0"/>
          </w:rPr>
          <w:t>la Delegación</w:t>
        </w:r>
      </w:smartTag>
      <w:r>
        <w:rPr>
          <w:b w:val="0"/>
          <w:bCs w:val="0"/>
        </w:rPr>
        <w:t xml:space="preserve"> de Asociaciones Israelitas Argentinas (D.A.I.A.) y, tras subir a la acera, detonó la carga explosiva que llevaba en su interior, e</w:t>
      </w:r>
      <w:r>
        <w:rPr>
          <w:b w:val="0"/>
          <w:bCs w:val="0"/>
        </w:rPr>
        <w:t>s</w:t>
      </w:r>
      <w:r>
        <w:rPr>
          <w:b w:val="0"/>
          <w:bCs w:val="0"/>
        </w:rPr>
        <w:t>tim</w:t>
      </w:r>
      <w:r>
        <w:rPr>
          <w:b w:val="0"/>
          <w:bCs w:val="0"/>
        </w:rPr>
        <w:t>a</w:t>
      </w:r>
      <w:r>
        <w:rPr>
          <w:b w:val="0"/>
          <w:bCs w:val="0"/>
        </w:rPr>
        <w:t>da, en su equivalente en T.N.T., entre 300 y 400 kgs, provocando un est</w:t>
      </w:r>
      <w:r>
        <w:rPr>
          <w:b w:val="0"/>
          <w:bCs w:val="0"/>
        </w:rPr>
        <w:t>a</w:t>
      </w:r>
      <w:r>
        <w:rPr>
          <w:b w:val="0"/>
          <w:bCs w:val="0"/>
        </w:rPr>
        <w:t>llido que produjo el colapso de la parte delantera del edificio y daños de diversa índole en los inmuebles aledaños, en un radio aproximado de doscientos metros, y como consecuencia de ello, el fallecimiento de ochenta y cinco personas y lesiones de distinta magnitud en, al menos, ciento cincuenta y ún individuos. También resultaron dañados los vehículos estacionados en esa cu</w:t>
      </w:r>
      <w:r>
        <w:rPr>
          <w:b w:val="0"/>
          <w:bCs w:val="0"/>
        </w:rPr>
        <w:t>a</w:t>
      </w:r>
      <w:r>
        <w:rPr>
          <w:b w:val="0"/>
          <w:bCs w:val="0"/>
        </w:rPr>
        <w:t>dra.</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r>
      <w:r>
        <w:rPr>
          <w:rFonts w:ascii="Courier New" w:hAnsi="Courier New" w:cs="Courier New"/>
          <w:b/>
          <w:bCs/>
          <w:lang w:val="es-ES_tradnl"/>
        </w:rPr>
        <w:t>A.2)</w:t>
      </w:r>
      <w:r>
        <w:rPr>
          <w:rFonts w:ascii="Courier New" w:hAnsi="Courier New" w:cs="Courier New"/>
          <w:lang w:val="es-ES_tradnl"/>
        </w:rPr>
        <w:t xml:space="preserve"> </w:t>
      </w:r>
      <w:smartTag w:uri="urn:schemas-microsoft-com:office:smarttags" w:element="PersonName">
        <w:smartTagPr>
          <w:attr w:name="ProductID" w:val="la Asociaci￳n Mutual"/>
        </w:smartTagPr>
        <w:r>
          <w:rPr>
            <w:rFonts w:ascii="Courier New" w:hAnsi="Courier New" w:cs="Courier New"/>
            <w:lang w:val="es-ES_tradnl"/>
          </w:rPr>
          <w:t>La Asociación Mutual</w:t>
        </w:r>
      </w:smartTag>
      <w:r>
        <w:rPr>
          <w:rFonts w:ascii="Courier New" w:hAnsi="Courier New" w:cs="Courier New"/>
          <w:lang w:val="es-ES_tradnl"/>
        </w:rPr>
        <w:t xml:space="preserve"> Israelita Argentina, constituida el 26 de abril de 1900 bajo la d</w:t>
      </w:r>
      <w:r>
        <w:rPr>
          <w:rFonts w:ascii="Courier New" w:hAnsi="Courier New" w:cs="Courier New"/>
          <w:lang w:val="es-ES_tradnl"/>
        </w:rPr>
        <w:t>e</w:t>
      </w:r>
      <w:r>
        <w:rPr>
          <w:rFonts w:ascii="Courier New" w:hAnsi="Courier New" w:cs="Courier New"/>
          <w:lang w:val="es-ES_tradnl"/>
        </w:rPr>
        <w:t>nominación Chevrah Keduscha Aschkenazi, tiene por o</w:t>
      </w:r>
      <w:r>
        <w:rPr>
          <w:rFonts w:ascii="Courier New" w:hAnsi="Courier New" w:cs="Courier New"/>
          <w:lang w:val="es-ES_tradnl"/>
        </w:rPr>
        <w:t>b</w:t>
      </w:r>
      <w:r>
        <w:rPr>
          <w:rFonts w:ascii="Courier New" w:hAnsi="Courier New" w:cs="Courier New"/>
          <w:lang w:val="es-ES_tradnl"/>
        </w:rPr>
        <w:t xml:space="preserve">jeto, según se desprende de sus estatutos agregados a fs. 1255/1270, servir de vínculo entre los judíos de </w:t>
      </w:r>
      <w:smartTag w:uri="urn:schemas-microsoft-com:office:smarttags" w:element="PersonName">
        <w:smartTagPr>
          <w:attr w:name="ProductID" w:val="la Capital Federal"/>
        </w:smartTagPr>
        <w:r>
          <w:rPr>
            <w:rFonts w:ascii="Courier New" w:hAnsi="Courier New" w:cs="Courier New"/>
            <w:lang w:val="es-ES_tradnl"/>
          </w:rPr>
          <w:t>la Cap</w:t>
        </w:r>
        <w:r>
          <w:rPr>
            <w:rFonts w:ascii="Courier New" w:hAnsi="Courier New" w:cs="Courier New"/>
            <w:lang w:val="es-ES_tradnl"/>
          </w:rPr>
          <w:t>i</w:t>
        </w:r>
        <w:r>
          <w:rPr>
            <w:rFonts w:ascii="Courier New" w:hAnsi="Courier New" w:cs="Courier New"/>
            <w:lang w:val="es-ES_tradnl"/>
          </w:rPr>
          <w:t>tal Federal</w:t>
        </w:r>
      </w:smartTag>
      <w:r>
        <w:rPr>
          <w:rFonts w:ascii="Courier New" w:hAnsi="Courier New" w:cs="Courier New"/>
          <w:lang w:val="es-ES_tradnl"/>
        </w:rPr>
        <w:t xml:space="preserve"> y el Gran Buenos Aires, desarrollando las s</w:t>
      </w:r>
      <w:r>
        <w:rPr>
          <w:rFonts w:ascii="Courier New" w:hAnsi="Courier New" w:cs="Courier New"/>
          <w:lang w:val="es-ES_tradnl"/>
        </w:rPr>
        <w:t>i</w:t>
      </w:r>
      <w:r>
        <w:rPr>
          <w:rFonts w:ascii="Courier New" w:hAnsi="Courier New" w:cs="Courier New"/>
          <w:lang w:val="es-ES_tradnl"/>
        </w:rPr>
        <w:t>guientes actividades: prestar ayuda constructiva y subs</w:t>
      </w:r>
      <w:r>
        <w:rPr>
          <w:rFonts w:ascii="Courier New" w:hAnsi="Courier New" w:cs="Courier New"/>
          <w:lang w:val="es-ES_tradnl"/>
        </w:rPr>
        <w:t>i</w:t>
      </w:r>
      <w:r>
        <w:rPr>
          <w:rFonts w:ascii="Courier New" w:hAnsi="Courier New" w:cs="Courier New"/>
          <w:lang w:val="es-ES_tradnl"/>
        </w:rPr>
        <w:t>dios en caso de fallecimiento; subvencionar a entidades de beneficencia, culturales, educacionales y religiosas y obras que persigan altos fines; apoyar toda acción con</w:t>
      </w:r>
      <w:r>
        <w:rPr>
          <w:rFonts w:ascii="Courier New" w:hAnsi="Courier New" w:cs="Courier New"/>
          <w:lang w:val="es-ES_tradnl"/>
        </w:rPr>
        <w:t>s</w:t>
      </w:r>
      <w:r>
        <w:rPr>
          <w:rFonts w:ascii="Courier New" w:hAnsi="Courier New" w:cs="Courier New"/>
          <w:lang w:val="es-ES_tradnl"/>
        </w:rPr>
        <w:t>tructiva en bien de Israel y toda otra obra de bien común; promover la difusión de la cultura judía y general, org</w:t>
      </w:r>
      <w:r>
        <w:rPr>
          <w:rFonts w:ascii="Courier New" w:hAnsi="Courier New" w:cs="Courier New"/>
          <w:lang w:val="es-ES_tradnl"/>
        </w:rPr>
        <w:t>a</w:t>
      </w:r>
      <w:r>
        <w:rPr>
          <w:rFonts w:ascii="Courier New" w:hAnsi="Courier New" w:cs="Courier New"/>
          <w:lang w:val="es-ES_tradnl"/>
        </w:rPr>
        <w:t>nizando conferencias, cursos, a</w:t>
      </w:r>
      <w:r>
        <w:rPr>
          <w:rFonts w:ascii="Courier New" w:hAnsi="Courier New" w:cs="Courier New"/>
          <w:lang w:val="es-ES_tradnl"/>
        </w:rPr>
        <w:t>u</w:t>
      </w:r>
      <w:r>
        <w:rPr>
          <w:rFonts w:ascii="Courier New" w:hAnsi="Courier New" w:cs="Courier New"/>
          <w:lang w:val="es-ES_tradnl"/>
        </w:rPr>
        <w:t>diciones, etc.; editar y/o auspiciar publicaciones de toda índole; abogar por un cr</w:t>
      </w:r>
      <w:r>
        <w:rPr>
          <w:rFonts w:ascii="Courier New" w:hAnsi="Courier New" w:cs="Courier New"/>
          <w:lang w:val="es-ES_tradnl"/>
        </w:rPr>
        <w:t>e</w:t>
      </w:r>
      <w:r>
        <w:rPr>
          <w:rFonts w:ascii="Courier New" w:hAnsi="Courier New" w:cs="Courier New"/>
          <w:lang w:val="es-ES_tradnl"/>
        </w:rPr>
        <w:t xml:space="preserve">ciente intercambio espiritual y cultural entre </w:t>
      </w:r>
      <w:smartTag w:uri="urn:schemas-microsoft-com:office:smarttags" w:element="PersonName">
        <w:smartTagPr>
          <w:attr w:name="ProductID" w:val="la Rep￺blica Argentina"/>
        </w:smartTagPr>
        <w:r>
          <w:rPr>
            <w:rFonts w:ascii="Courier New" w:hAnsi="Courier New" w:cs="Courier New"/>
            <w:lang w:val="es-ES_tradnl"/>
          </w:rPr>
          <w:t>la Repúbl</w:t>
        </w:r>
        <w:r>
          <w:rPr>
            <w:rFonts w:ascii="Courier New" w:hAnsi="Courier New" w:cs="Courier New"/>
            <w:lang w:val="es-ES_tradnl"/>
          </w:rPr>
          <w:t>i</w:t>
        </w:r>
        <w:r>
          <w:rPr>
            <w:rFonts w:ascii="Courier New" w:hAnsi="Courier New" w:cs="Courier New"/>
            <w:lang w:val="es-ES_tradnl"/>
          </w:rPr>
          <w:t>ca Argentina</w:t>
        </w:r>
      </w:smartTag>
      <w:r>
        <w:rPr>
          <w:rFonts w:ascii="Courier New" w:hAnsi="Courier New" w:cs="Courier New"/>
          <w:lang w:val="es-ES_tradnl"/>
        </w:rPr>
        <w:t xml:space="preserve"> e Israel; propender a la educación judaica entre los asociados y la colectividad judía en general m</w:t>
      </w:r>
      <w:r>
        <w:rPr>
          <w:rFonts w:ascii="Courier New" w:hAnsi="Courier New" w:cs="Courier New"/>
          <w:lang w:val="es-ES_tradnl"/>
        </w:rPr>
        <w:t>e</w:t>
      </w:r>
      <w:r>
        <w:rPr>
          <w:rFonts w:ascii="Courier New" w:hAnsi="Courier New" w:cs="Courier New"/>
          <w:lang w:val="es-ES_tradnl"/>
        </w:rPr>
        <w:t>diante la subvención de escuelas israelitas y el manten</w:t>
      </w:r>
      <w:r>
        <w:rPr>
          <w:rFonts w:ascii="Courier New" w:hAnsi="Courier New" w:cs="Courier New"/>
          <w:lang w:val="es-ES_tradnl"/>
        </w:rPr>
        <w:t>i</w:t>
      </w:r>
      <w:r>
        <w:rPr>
          <w:rFonts w:ascii="Courier New" w:hAnsi="Courier New" w:cs="Courier New"/>
          <w:lang w:val="es-ES_tradnl"/>
        </w:rPr>
        <w:t>miento y apoyo de institutos y seminarios; fundar organi</w:t>
      </w:r>
      <w:r>
        <w:rPr>
          <w:rFonts w:ascii="Courier New" w:hAnsi="Courier New" w:cs="Courier New"/>
          <w:lang w:val="es-ES_tradnl"/>
        </w:rPr>
        <w:t>s</w:t>
      </w:r>
      <w:r>
        <w:rPr>
          <w:rFonts w:ascii="Courier New" w:hAnsi="Courier New" w:cs="Courier New"/>
          <w:lang w:val="es-ES_tradnl"/>
        </w:rPr>
        <w:t>mos educacionales con la colaboración de las escuelas su</w:t>
      </w:r>
      <w:r>
        <w:rPr>
          <w:rFonts w:ascii="Courier New" w:hAnsi="Courier New" w:cs="Courier New"/>
          <w:lang w:val="es-ES_tradnl"/>
        </w:rPr>
        <w:t>b</w:t>
      </w:r>
      <w:r>
        <w:rPr>
          <w:rFonts w:ascii="Courier New" w:hAnsi="Courier New" w:cs="Courier New"/>
          <w:lang w:val="es-ES_tradnl"/>
        </w:rPr>
        <w:t>vencionadas; prestar a los asociados asistencia arbitral para solucionar conflictos entre ellos y proporcionar a sus integrantes y a los miembros de sus familias la asi</w:t>
      </w:r>
      <w:r>
        <w:rPr>
          <w:rFonts w:ascii="Courier New" w:hAnsi="Courier New" w:cs="Courier New"/>
          <w:lang w:val="es-ES_tradnl"/>
        </w:rPr>
        <w:t>s</w:t>
      </w:r>
      <w:r>
        <w:rPr>
          <w:rFonts w:ascii="Courier New" w:hAnsi="Courier New" w:cs="Courier New"/>
          <w:lang w:val="es-ES_tradnl"/>
        </w:rPr>
        <w:t>tencia ritual que se establezca y, en caso de fallecimie</w:t>
      </w:r>
      <w:r>
        <w:rPr>
          <w:rFonts w:ascii="Courier New" w:hAnsi="Courier New" w:cs="Courier New"/>
          <w:lang w:val="es-ES_tradnl"/>
        </w:rPr>
        <w:t>n</w:t>
      </w:r>
      <w:r>
        <w:rPr>
          <w:rFonts w:ascii="Courier New" w:hAnsi="Courier New" w:cs="Courier New"/>
          <w:lang w:val="es-ES_tradnl"/>
        </w:rPr>
        <w:t>tos, el lugar para su sepultura en los cementerios de la asociación, de acuerdo con las prescripciones tradicion</w:t>
      </w:r>
      <w:r>
        <w:rPr>
          <w:rFonts w:ascii="Courier New" w:hAnsi="Courier New" w:cs="Courier New"/>
          <w:lang w:val="es-ES_tradnl"/>
        </w:rPr>
        <w:t>a</w:t>
      </w:r>
      <w:r>
        <w:rPr>
          <w:rFonts w:ascii="Courier New" w:hAnsi="Courier New" w:cs="Courier New"/>
          <w:lang w:val="es-ES_tradnl"/>
        </w:rPr>
        <w:t>les del r</w:t>
      </w:r>
      <w:r>
        <w:rPr>
          <w:rFonts w:ascii="Courier New" w:hAnsi="Courier New" w:cs="Courier New"/>
          <w:lang w:val="es-ES_tradnl"/>
        </w:rPr>
        <w:t>i</w:t>
      </w:r>
      <w:r>
        <w:rPr>
          <w:rFonts w:ascii="Courier New" w:hAnsi="Courier New" w:cs="Courier New"/>
          <w:lang w:val="es-ES_tradnl"/>
        </w:rPr>
        <w:t>to israelita.</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Dicha asociación se constituyó como una institución absolutamente apolítica pero, a la vez, tiene facultades para participar, por medio de las acci</w:t>
      </w:r>
      <w:r>
        <w:rPr>
          <w:rFonts w:ascii="Courier New" w:hAnsi="Courier New" w:cs="Courier New"/>
          <w:lang w:val="es-ES_tradnl"/>
        </w:rPr>
        <w:t>o</w:t>
      </w:r>
      <w:r>
        <w:rPr>
          <w:rFonts w:ascii="Courier New" w:hAnsi="Courier New" w:cs="Courier New"/>
          <w:lang w:val="es-ES_tradnl"/>
        </w:rPr>
        <w:t>nes pertinentes, en todos aquellos casos en que se trate de la defensa de sus asociados y del buen nombre de la c</w:t>
      </w:r>
      <w:r>
        <w:rPr>
          <w:rFonts w:ascii="Courier New" w:hAnsi="Courier New" w:cs="Courier New"/>
          <w:lang w:val="es-ES_tradnl"/>
        </w:rPr>
        <w:t>o</w:t>
      </w:r>
      <w:r>
        <w:rPr>
          <w:rFonts w:ascii="Courier New" w:hAnsi="Courier New" w:cs="Courier New"/>
          <w:lang w:val="es-ES_tradnl"/>
        </w:rPr>
        <w:t>lectividad judía.</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Para el cumplimiento de los fines e</w:t>
      </w:r>
      <w:r>
        <w:rPr>
          <w:rFonts w:ascii="Courier New" w:hAnsi="Courier New" w:cs="Courier New"/>
          <w:lang w:val="es-ES_tradnl"/>
        </w:rPr>
        <w:t>s</w:t>
      </w:r>
      <w:r>
        <w:rPr>
          <w:rFonts w:ascii="Courier New" w:hAnsi="Courier New" w:cs="Courier New"/>
          <w:lang w:val="es-ES_tradnl"/>
        </w:rPr>
        <w:t xml:space="preserve">tablecidos en el estatuto social, funcionaban en </w:t>
      </w:r>
      <w:smartTag w:uri="urn:schemas-microsoft-com:office:smarttags" w:element="PersonName">
        <w:smartTagPr>
          <w:attr w:name="ProductID" w:val="la A.M"/>
        </w:smartTagPr>
        <w:r>
          <w:rPr>
            <w:rFonts w:ascii="Courier New" w:hAnsi="Courier New" w:cs="Courier New"/>
            <w:lang w:val="es-ES_tradnl"/>
          </w:rPr>
          <w:t>la A.M</w:t>
        </w:r>
      </w:smartTag>
      <w:r>
        <w:rPr>
          <w:rFonts w:ascii="Courier New" w:hAnsi="Courier New" w:cs="Courier New"/>
          <w:lang w:val="es-ES_tradnl"/>
        </w:rPr>
        <w:t>.I.A. una bolsa de trabajo, una oficina de asistencia social, un departamento de cultura y una oficina de sep</w:t>
      </w:r>
      <w:r>
        <w:rPr>
          <w:rFonts w:ascii="Courier New" w:hAnsi="Courier New" w:cs="Courier New"/>
          <w:lang w:val="es-ES_tradnl"/>
        </w:rPr>
        <w:t>e</w:t>
      </w:r>
      <w:r>
        <w:rPr>
          <w:rFonts w:ascii="Courier New" w:hAnsi="Courier New" w:cs="Courier New"/>
          <w:lang w:val="es-ES_tradnl"/>
        </w:rPr>
        <w:t>lios (cónfr. los dichos de los directivos y empleados R</w:t>
      </w:r>
      <w:r>
        <w:rPr>
          <w:rFonts w:ascii="Courier New" w:hAnsi="Courier New" w:cs="Courier New"/>
          <w:lang w:val="es-ES_tradnl"/>
        </w:rPr>
        <w:t>a</w:t>
      </w:r>
      <w:r>
        <w:rPr>
          <w:rFonts w:ascii="Courier New" w:hAnsi="Courier New" w:cs="Courier New"/>
          <w:lang w:val="es-ES_tradnl"/>
        </w:rPr>
        <w:t xml:space="preserve">món Máximo Gutmann, </w:t>
      </w:r>
      <w:r>
        <w:rPr>
          <w:rFonts w:ascii="Courier New" w:hAnsi="Courier New" w:cs="Courier New"/>
        </w:rPr>
        <w:t>Ana Maria Blugerman de Czyzewski</w:t>
      </w:r>
      <w:r>
        <w:rPr>
          <w:rFonts w:ascii="Courier New" w:hAnsi="Courier New" w:cs="Courier New"/>
          <w:lang w:val="es-ES_tradnl"/>
        </w:rPr>
        <w:t xml:space="preserve">, </w:t>
      </w:r>
      <w:r>
        <w:rPr>
          <w:rFonts w:ascii="Courier New" w:hAnsi="Courier New" w:cs="Courier New"/>
        </w:rPr>
        <w:t>Abel Darío Drelevich, Marta Ruth Erczmann</w:t>
      </w:r>
      <w:r>
        <w:rPr>
          <w:rFonts w:ascii="Courier New" w:hAnsi="Courier New" w:cs="Courier New"/>
          <w:lang w:val="es-ES_tradnl"/>
        </w:rPr>
        <w:t xml:space="preserve">, </w:t>
      </w:r>
      <w:r>
        <w:rPr>
          <w:rFonts w:ascii="Courier New" w:hAnsi="Courier New" w:cs="Courier New"/>
        </w:rPr>
        <w:t>Raquel Fainstein</w:t>
      </w:r>
      <w:r>
        <w:rPr>
          <w:rFonts w:ascii="Courier New" w:hAnsi="Courier New" w:cs="Courier New"/>
          <w:lang w:val="es-ES_tradnl"/>
        </w:rPr>
        <w:t xml:space="preserve">, </w:t>
      </w:r>
      <w:r>
        <w:rPr>
          <w:rFonts w:ascii="Courier New" w:hAnsi="Courier New" w:cs="Courier New"/>
        </w:rPr>
        <w:t>Hugo Leandro Fryszberg, Adrián Pablo Furman, Luis Sergio Grynwald</w:t>
      </w:r>
      <w:r>
        <w:rPr>
          <w:rFonts w:ascii="Courier New" w:hAnsi="Courier New" w:cs="Courier New"/>
          <w:lang w:val="es-ES_tradnl"/>
        </w:rPr>
        <w:t xml:space="preserve">, </w:t>
      </w:r>
      <w:r>
        <w:rPr>
          <w:rFonts w:ascii="Courier New" w:hAnsi="Courier New" w:cs="Courier New"/>
        </w:rPr>
        <w:t>Mónica Gurevicz</w:t>
      </w:r>
      <w:r>
        <w:rPr>
          <w:rFonts w:ascii="Courier New" w:hAnsi="Courier New" w:cs="Courier New"/>
          <w:lang w:val="es-ES_tradnl"/>
        </w:rPr>
        <w:t xml:space="preserve">, </w:t>
      </w:r>
      <w:r>
        <w:rPr>
          <w:rFonts w:ascii="Courier New" w:hAnsi="Courier New" w:cs="Courier New"/>
        </w:rPr>
        <w:t>Mario Néstor Liberman</w:t>
      </w:r>
      <w:r>
        <w:rPr>
          <w:rFonts w:ascii="Courier New" w:hAnsi="Courier New" w:cs="Courier New"/>
          <w:lang w:val="es-ES_tradnl"/>
        </w:rPr>
        <w:t xml:space="preserve">, </w:t>
      </w:r>
      <w:r>
        <w:rPr>
          <w:rFonts w:ascii="Courier New" w:hAnsi="Courier New" w:cs="Courier New"/>
        </w:rPr>
        <w:t>Luisa Miednik</w:t>
      </w:r>
      <w:r>
        <w:rPr>
          <w:rFonts w:ascii="Courier New" w:hAnsi="Courier New" w:cs="Courier New"/>
          <w:lang w:val="es-ES_tradnl"/>
        </w:rPr>
        <w:t xml:space="preserve">, </w:t>
      </w:r>
      <w:r>
        <w:rPr>
          <w:rFonts w:ascii="Courier New" w:hAnsi="Courier New" w:cs="Courier New"/>
        </w:rPr>
        <w:t>Irene Rosa Perelman</w:t>
      </w:r>
      <w:r>
        <w:rPr>
          <w:rFonts w:ascii="Courier New" w:hAnsi="Courier New" w:cs="Courier New"/>
          <w:lang w:val="es-ES_tradnl"/>
        </w:rPr>
        <w:t xml:space="preserve">, Jorge Beremblum, </w:t>
      </w:r>
      <w:r>
        <w:rPr>
          <w:rFonts w:ascii="Courier New" w:hAnsi="Courier New" w:cs="Courier New"/>
        </w:rPr>
        <w:t>Daniel Al</w:t>
      </w:r>
      <w:r>
        <w:rPr>
          <w:rFonts w:ascii="Courier New" w:hAnsi="Courier New" w:cs="Courier New"/>
        </w:rPr>
        <w:t>e</w:t>
      </w:r>
      <w:r>
        <w:rPr>
          <w:rFonts w:ascii="Courier New" w:hAnsi="Courier New" w:cs="Courier New"/>
        </w:rPr>
        <w:t>jandro Pomerantz</w:t>
      </w:r>
      <w:r>
        <w:rPr>
          <w:rFonts w:ascii="Courier New" w:hAnsi="Courier New" w:cs="Courier New"/>
          <w:lang w:val="es-ES_tradnl"/>
        </w:rPr>
        <w:t xml:space="preserve">, </w:t>
      </w:r>
      <w:r>
        <w:rPr>
          <w:rFonts w:ascii="Courier New" w:hAnsi="Courier New" w:cs="Courier New"/>
        </w:rPr>
        <w:t>Miguel Leonardo Rausch, Eduardo Marcelo Redensky, Daniel Reiseman, Héctor Rosenblat</w:t>
      </w:r>
      <w:r>
        <w:rPr>
          <w:rFonts w:ascii="Courier New" w:hAnsi="Courier New" w:cs="Courier New"/>
          <w:lang w:val="es-ES_tradnl"/>
        </w:rPr>
        <w:t xml:space="preserve">, </w:t>
      </w:r>
      <w:r>
        <w:rPr>
          <w:rFonts w:ascii="Courier New" w:hAnsi="Courier New" w:cs="Courier New"/>
          <w:lang w:val="es-AR"/>
        </w:rPr>
        <w:t>M</w:t>
      </w:r>
      <w:r>
        <w:rPr>
          <w:rFonts w:ascii="Courier New" w:hAnsi="Courier New" w:cs="Courier New"/>
          <w:lang w:val="es-AR"/>
        </w:rPr>
        <w:t>i</w:t>
      </w:r>
      <w:r>
        <w:rPr>
          <w:rFonts w:ascii="Courier New" w:hAnsi="Courier New" w:cs="Courier New"/>
          <w:lang w:val="es-AR"/>
        </w:rPr>
        <w:t>guel Rafael Salem</w:t>
      </w:r>
      <w:r>
        <w:rPr>
          <w:rFonts w:ascii="Courier New" w:hAnsi="Courier New" w:cs="Courier New"/>
          <w:lang w:val="es-ES_tradnl"/>
        </w:rPr>
        <w:t xml:space="preserve">, </w:t>
      </w:r>
      <w:r>
        <w:rPr>
          <w:rFonts w:ascii="Courier New" w:hAnsi="Courier New" w:cs="Courier New"/>
        </w:rPr>
        <w:t>Mirta Regina Satz, Tamara Scher, Natalio David Sluzky y</w:t>
      </w:r>
      <w:r>
        <w:rPr>
          <w:rFonts w:ascii="Courier New" w:hAnsi="Courier New" w:cs="Courier New"/>
          <w:lang w:val="es-ES_tradnl"/>
        </w:rPr>
        <w:t xml:space="preserve"> </w:t>
      </w:r>
      <w:r>
        <w:rPr>
          <w:rFonts w:ascii="Courier New" w:hAnsi="Courier New" w:cs="Courier New"/>
        </w:rPr>
        <w:t>Dora Wajs)</w:t>
      </w:r>
      <w:r>
        <w:rPr>
          <w:rFonts w:ascii="Courier New" w:hAnsi="Courier New" w:cs="Courier New"/>
          <w:lang w:val="es-ES_tradnl"/>
        </w:rPr>
        <w:t>.</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En esa línea, Adolfo Crupnicoff, pr</w:t>
      </w:r>
      <w:r>
        <w:rPr>
          <w:rFonts w:ascii="Courier New" w:hAnsi="Courier New" w:cs="Courier New"/>
          <w:lang w:val="es-ES_tradnl"/>
        </w:rPr>
        <w:t>e</w:t>
      </w:r>
      <w:r>
        <w:rPr>
          <w:rFonts w:ascii="Courier New" w:hAnsi="Courier New" w:cs="Courier New"/>
          <w:lang w:val="es-ES_tradnl"/>
        </w:rPr>
        <w:t>sidente de la entidad a la época del atentado, explicó en el debate que entre las numerosas labores comunit</w:t>
      </w:r>
      <w:r>
        <w:rPr>
          <w:rFonts w:ascii="Courier New" w:hAnsi="Courier New" w:cs="Courier New"/>
          <w:lang w:val="es-ES_tradnl"/>
        </w:rPr>
        <w:t>a</w:t>
      </w:r>
      <w:r>
        <w:rPr>
          <w:rFonts w:ascii="Courier New" w:hAnsi="Courier New" w:cs="Courier New"/>
          <w:lang w:val="es-ES_tradnl"/>
        </w:rPr>
        <w:t xml:space="preserve">rias que realiza </w:t>
      </w:r>
      <w:smartTag w:uri="urn:schemas-microsoft-com:office:smarttags" w:element="PersonName">
        <w:smartTagPr>
          <w:attr w:name="ProductID" w:val="la A.M"/>
        </w:smartTagPr>
        <w:r>
          <w:rPr>
            <w:rFonts w:ascii="Courier New" w:hAnsi="Courier New" w:cs="Courier New"/>
            <w:lang w:val="es-ES_tradnl"/>
          </w:rPr>
          <w:t>la A.M</w:t>
        </w:r>
      </w:smartTag>
      <w:r>
        <w:rPr>
          <w:rFonts w:ascii="Courier New" w:hAnsi="Courier New" w:cs="Courier New"/>
          <w:lang w:val="es-ES_tradnl"/>
        </w:rPr>
        <w:t>.I.A se encuentra la de brindar ayuda s</w:t>
      </w:r>
      <w:r>
        <w:rPr>
          <w:rFonts w:ascii="Courier New" w:hAnsi="Courier New" w:cs="Courier New"/>
          <w:lang w:val="es-ES_tradnl"/>
        </w:rPr>
        <w:t>o</w:t>
      </w:r>
      <w:r>
        <w:rPr>
          <w:rFonts w:ascii="Courier New" w:hAnsi="Courier New" w:cs="Courier New"/>
          <w:lang w:val="es-ES_tradnl"/>
        </w:rPr>
        <w:t>cial y asistencia a los desamparados, conducir la educación j</w:t>
      </w:r>
      <w:r>
        <w:rPr>
          <w:rFonts w:ascii="Courier New" w:hAnsi="Courier New" w:cs="Courier New"/>
          <w:lang w:val="es-ES_tradnl"/>
        </w:rPr>
        <w:t>u</w:t>
      </w:r>
      <w:r>
        <w:rPr>
          <w:rFonts w:ascii="Courier New" w:hAnsi="Courier New" w:cs="Courier New"/>
          <w:lang w:val="es-ES_tradnl"/>
        </w:rPr>
        <w:t>día en el país y administrar los cementerios. Recordó, además, que el edificio de Pasteur 633 también albergaba la biblioteca judía más importante de Latinoamérica y un teatro en el que se desarrollaba una variada actividad cultural.</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 xml:space="preserve">Por su parte, </w:t>
      </w:r>
      <w:smartTag w:uri="urn:schemas-microsoft-com:office:smarttags" w:element="PersonName">
        <w:smartTagPr>
          <w:attr w:name="ProductID" w:val="la Delegaci￳n"/>
        </w:smartTagPr>
        <w:r>
          <w:rPr>
            <w:rFonts w:ascii="Courier New" w:hAnsi="Courier New" w:cs="Courier New"/>
            <w:lang w:val="es-ES_tradnl"/>
          </w:rPr>
          <w:t>la Delegación</w:t>
        </w:r>
      </w:smartTag>
      <w:r>
        <w:rPr>
          <w:rFonts w:ascii="Courier New" w:hAnsi="Courier New" w:cs="Courier New"/>
          <w:lang w:val="es-ES_tradnl"/>
        </w:rPr>
        <w:t xml:space="preserve"> de Asoci</w:t>
      </w:r>
      <w:r>
        <w:rPr>
          <w:rFonts w:ascii="Courier New" w:hAnsi="Courier New" w:cs="Courier New"/>
          <w:lang w:val="es-ES_tradnl"/>
        </w:rPr>
        <w:t>a</w:t>
      </w:r>
      <w:r>
        <w:rPr>
          <w:rFonts w:ascii="Courier New" w:hAnsi="Courier New" w:cs="Courier New"/>
          <w:lang w:val="es-ES_tradnl"/>
        </w:rPr>
        <w:t xml:space="preserve">ciones Israelitas Argentinas se creó en el año </w:t>
      </w:r>
      <w:smartTag w:uri="urn:schemas-microsoft-com:office:smarttags" w:element="metricconverter">
        <w:smartTagPr>
          <w:attr w:name="ProductID" w:val="1935 a"/>
        </w:smartTagPr>
        <w:r>
          <w:rPr>
            <w:rFonts w:ascii="Courier New" w:hAnsi="Courier New" w:cs="Courier New"/>
            <w:lang w:val="es-ES_tradnl"/>
          </w:rPr>
          <w:t>1935 a</w:t>
        </w:r>
      </w:smartTag>
      <w:r>
        <w:rPr>
          <w:rFonts w:ascii="Courier New" w:hAnsi="Courier New" w:cs="Courier New"/>
          <w:lang w:val="es-ES_tradnl"/>
        </w:rPr>
        <w:t xml:space="preserve"> efectos de que represente a las instituciones judías del país ante los poderes públicos, instituciones p</w:t>
      </w:r>
      <w:r>
        <w:rPr>
          <w:rFonts w:ascii="Courier New" w:hAnsi="Courier New" w:cs="Courier New"/>
          <w:lang w:val="es-ES_tradnl"/>
        </w:rPr>
        <w:t>ú</w:t>
      </w:r>
      <w:r>
        <w:rPr>
          <w:rFonts w:ascii="Courier New" w:hAnsi="Courier New" w:cs="Courier New"/>
          <w:lang w:val="es-ES_tradnl"/>
        </w:rPr>
        <w:t>blicas y/o privadas, nacionales, extranjeras e internacionales; fu</w:t>
      </w:r>
      <w:r>
        <w:rPr>
          <w:rFonts w:ascii="Courier New" w:hAnsi="Courier New" w:cs="Courier New"/>
          <w:lang w:val="es-ES_tradnl"/>
        </w:rPr>
        <w:t>n</w:t>
      </w:r>
      <w:r>
        <w:rPr>
          <w:rFonts w:ascii="Courier New" w:hAnsi="Courier New" w:cs="Courier New"/>
          <w:lang w:val="es-ES_tradnl"/>
        </w:rPr>
        <w:t>cionaba en el piso 5º de Pasteur 633 y en el 7º del edif</w:t>
      </w:r>
      <w:r>
        <w:rPr>
          <w:rFonts w:ascii="Courier New" w:hAnsi="Courier New" w:cs="Courier New"/>
          <w:lang w:val="es-ES_tradnl"/>
        </w:rPr>
        <w:t>i</w:t>
      </w:r>
      <w:r>
        <w:rPr>
          <w:rFonts w:ascii="Courier New" w:hAnsi="Courier New" w:cs="Courier New"/>
          <w:lang w:val="es-ES_tradnl"/>
        </w:rPr>
        <w:t>cio de Pasteur 611, contiguo al primero, cuyas oficinas estaban unidas por una puerta que las comunicaba (cónfr. testimonios de los empleados de prensa Alejandro Saúl M</w:t>
      </w:r>
      <w:r>
        <w:rPr>
          <w:rFonts w:ascii="Courier New" w:hAnsi="Courier New" w:cs="Courier New"/>
          <w:lang w:val="es-ES_tradnl"/>
        </w:rPr>
        <w:t>i</w:t>
      </w:r>
      <w:r>
        <w:rPr>
          <w:rFonts w:ascii="Courier New" w:hAnsi="Courier New" w:cs="Courier New"/>
          <w:lang w:val="es-ES_tradnl"/>
        </w:rPr>
        <w:t>rochnik y Abraham Sokolowicz y del mozo Bernardo Rojman, entre otros).</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r>
      <w:r>
        <w:rPr>
          <w:rFonts w:ascii="Courier New" w:hAnsi="Courier New" w:cs="Courier New"/>
          <w:b/>
          <w:bCs/>
          <w:lang w:val="es-ES_tradnl"/>
        </w:rPr>
        <w:t>A.3)</w:t>
      </w:r>
      <w:r>
        <w:rPr>
          <w:rFonts w:ascii="Courier New" w:hAnsi="Courier New" w:cs="Courier New"/>
          <w:lang w:val="es-ES_tradnl"/>
        </w:rPr>
        <w:t xml:space="preserve"> De las declaraciones recib</w:t>
      </w:r>
      <w:r>
        <w:rPr>
          <w:rFonts w:ascii="Courier New" w:hAnsi="Courier New" w:cs="Courier New"/>
          <w:lang w:val="es-ES_tradnl"/>
        </w:rPr>
        <w:t>i</w:t>
      </w:r>
      <w:r>
        <w:rPr>
          <w:rFonts w:ascii="Courier New" w:hAnsi="Courier New" w:cs="Courier New"/>
          <w:lang w:val="es-ES_tradnl"/>
        </w:rPr>
        <w:t>das en el juicio oral a los directivos y empleados antes citados, se desprende que el personal de seguridad de la instit</w:t>
      </w:r>
      <w:r>
        <w:rPr>
          <w:rFonts w:ascii="Courier New" w:hAnsi="Courier New" w:cs="Courier New"/>
          <w:lang w:val="es-ES_tradnl"/>
        </w:rPr>
        <w:t>u</w:t>
      </w:r>
      <w:r>
        <w:rPr>
          <w:rFonts w:ascii="Courier New" w:hAnsi="Courier New" w:cs="Courier New"/>
          <w:lang w:val="es-ES_tradnl"/>
        </w:rPr>
        <w:t>ción estaba compuesto por una d</w:t>
      </w:r>
      <w:r>
        <w:rPr>
          <w:rFonts w:ascii="Courier New" w:hAnsi="Courier New" w:cs="Courier New"/>
          <w:lang w:val="es-ES_tradnl"/>
        </w:rPr>
        <w:t>o</w:t>
      </w:r>
      <w:r>
        <w:rPr>
          <w:rFonts w:ascii="Courier New" w:hAnsi="Courier New" w:cs="Courier New"/>
          <w:lang w:val="es-ES_tradnl"/>
        </w:rPr>
        <w:t>tación de seis efectivos, quienes permanecían en el hall de entrada del edificio, próximos a la recepcionista Marisa Raquel Said, con el c</w:t>
      </w:r>
      <w:r>
        <w:rPr>
          <w:rFonts w:ascii="Courier New" w:hAnsi="Courier New" w:cs="Courier New"/>
          <w:lang w:val="es-ES_tradnl"/>
        </w:rPr>
        <w:t>o</w:t>
      </w:r>
      <w:r>
        <w:rPr>
          <w:rFonts w:ascii="Courier New" w:hAnsi="Courier New" w:cs="Courier New"/>
          <w:lang w:val="es-ES_tradnl"/>
        </w:rPr>
        <w:t>metido de identificar a todos los concurrentes y revisar sus pertenencias -carteras, bolsos y demás efectos que llevaran consigo-, como así también inspeccionar los mat</w:t>
      </w:r>
      <w:r>
        <w:rPr>
          <w:rFonts w:ascii="Courier New" w:hAnsi="Courier New" w:cs="Courier New"/>
          <w:lang w:val="es-ES_tradnl"/>
        </w:rPr>
        <w:t>e</w:t>
      </w:r>
      <w:r>
        <w:rPr>
          <w:rFonts w:ascii="Courier New" w:hAnsi="Courier New" w:cs="Courier New"/>
          <w:lang w:val="es-ES_tradnl"/>
        </w:rPr>
        <w:t>riales destinados a las obras de refacción que, para esa época, se estaban llevando a c</w:t>
      </w:r>
      <w:r>
        <w:rPr>
          <w:rFonts w:ascii="Courier New" w:hAnsi="Courier New" w:cs="Courier New"/>
          <w:lang w:val="es-ES_tradnl"/>
        </w:rPr>
        <w:t>a</w:t>
      </w:r>
      <w:r>
        <w:rPr>
          <w:rFonts w:ascii="Courier New" w:hAnsi="Courier New" w:cs="Courier New"/>
          <w:lang w:val="es-ES_tradnl"/>
        </w:rPr>
        <w:t>bo.</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Dicha labor de control consistía, b</w:t>
      </w:r>
      <w:r>
        <w:rPr>
          <w:rFonts w:ascii="Courier New" w:hAnsi="Courier New" w:cs="Courier New"/>
          <w:lang w:val="es-ES_tradnl"/>
        </w:rPr>
        <w:t>á</w:t>
      </w:r>
      <w:r>
        <w:rPr>
          <w:rFonts w:ascii="Courier New" w:hAnsi="Courier New" w:cs="Courier New"/>
          <w:lang w:val="es-ES_tradnl"/>
        </w:rPr>
        <w:t>sicamente, en requerir el documento de identidad a qui</w:t>
      </w:r>
      <w:r>
        <w:rPr>
          <w:rFonts w:ascii="Courier New" w:hAnsi="Courier New" w:cs="Courier New"/>
          <w:lang w:val="es-ES_tradnl"/>
        </w:rPr>
        <w:t>e</w:t>
      </w:r>
      <w:r>
        <w:rPr>
          <w:rFonts w:ascii="Courier New" w:hAnsi="Courier New" w:cs="Courier New"/>
          <w:lang w:val="es-ES_tradnl"/>
        </w:rPr>
        <w:t>nes ingresaban, entregando a cambio una tarjeta de acceso que los habilitaba para circular por el edificio, previo int</w:t>
      </w:r>
      <w:r>
        <w:rPr>
          <w:rFonts w:ascii="Courier New" w:hAnsi="Courier New" w:cs="Courier New"/>
          <w:lang w:val="es-ES_tradnl"/>
        </w:rPr>
        <w:t>e</w:t>
      </w:r>
      <w:r>
        <w:rPr>
          <w:rFonts w:ascii="Courier New" w:hAnsi="Courier New" w:cs="Courier New"/>
          <w:lang w:val="es-ES_tradnl"/>
        </w:rPr>
        <w:t>rrogarlos acerca de los motivos de la visita; inform</w:t>
      </w:r>
      <w:r>
        <w:rPr>
          <w:rFonts w:ascii="Courier New" w:hAnsi="Courier New" w:cs="Courier New"/>
          <w:lang w:val="es-ES_tradnl"/>
        </w:rPr>
        <w:t>a</w:t>
      </w:r>
      <w:r>
        <w:rPr>
          <w:rFonts w:ascii="Courier New" w:hAnsi="Courier New" w:cs="Courier New"/>
          <w:lang w:val="es-ES_tradnl"/>
        </w:rPr>
        <w:t>ción que, en algunos casos, se corrob</w:t>
      </w:r>
      <w:r>
        <w:rPr>
          <w:rFonts w:ascii="Courier New" w:hAnsi="Courier New" w:cs="Courier New"/>
          <w:lang w:val="es-ES_tradnl"/>
        </w:rPr>
        <w:t>o</w:t>
      </w:r>
      <w:r>
        <w:rPr>
          <w:rFonts w:ascii="Courier New" w:hAnsi="Courier New" w:cs="Courier New"/>
          <w:lang w:val="es-ES_tradnl"/>
        </w:rPr>
        <w:t>raba con el empleado que habría de atenderlo. Una vez concluido el trámite, se fi</w:t>
      </w:r>
      <w:r>
        <w:rPr>
          <w:rFonts w:ascii="Courier New" w:hAnsi="Courier New" w:cs="Courier New"/>
          <w:lang w:val="es-ES_tradnl"/>
        </w:rPr>
        <w:t>r</w:t>
      </w:r>
      <w:r>
        <w:rPr>
          <w:rFonts w:ascii="Courier New" w:hAnsi="Courier New" w:cs="Courier New"/>
          <w:lang w:val="es-ES_tradnl"/>
        </w:rPr>
        <w:t>maba una constancia al visitante para que éste retire su documento a cambio de la mentada tarjeta de acceso; extr</w:t>
      </w:r>
      <w:r>
        <w:rPr>
          <w:rFonts w:ascii="Courier New" w:hAnsi="Courier New" w:cs="Courier New"/>
          <w:lang w:val="es-ES_tradnl"/>
        </w:rPr>
        <w:t>e</w:t>
      </w:r>
      <w:r>
        <w:rPr>
          <w:rFonts w:ascii="Courier New" w:hAnsi="Courier New" w:cs="Courier New"/>
          <w:lang w:val="es-ES_tradnl"/>
        </w:rPr>
        <w:t>mos que corroboró Ramón Pared, único empleado de seg</w:t>
      </w:r>
      <w:r>
        <w:rPr>
          <w:rFonts w:ascii="Courier New" w:hAnsi="Courier New" w:cs="Courier New"/>
          <w:lang w:val="es-ES_tradnl"/>
        </w:rPr>
        <w:t>u</w:t>
      </w:r>
      <w:r>
        <w:rPr>
          <w:rFonts w:ascii="Courier New" w:hAnsi="Courier New" w:cs="Courier New"/>
          <w:lang w:val="es-ES_tradnl"/>
        </w:rPr>
        <w:t>ridad que sobrevivió a la c</w:t>
      </w:r>
      <w:r>
        <w:rPr>
          <w:rFonts w:ascii="Courier New" w:hAnsi="Courier New" w:cs="Courier New"/>
          <w:lang w:val="es-ES_tradnl"/>
        </w:rPr>
        <w:t>a</w:t>
      </w:r>
      <w:r>
        <w:rPr>
          <w:rFonts w:ascii="Courier New" w:hAnsi="Courier New" w:cs="Courier New"/>
          <w:lang w:val="es-ES_tradnl"/>
        </w:rPr>
        <w:t>tástrofe.</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Con relación a las tareas de refa</w:t>
      </w:r>
      <w:r>
        <w:rPr>
          <w:rFonts w:ascii="Courier New" w:hAnsi="Courier New" w:cs="Courier New"/>
          <w:lang w:val="es-ES_tradnl"/>
        </w:rPr>
        <w:t>c</w:t>
      </w:r>
      <w:r>
        <w:rPr>
          <w:rFonts w:ascii="Courier New" w:hAnsi="Courier New" w:cs="Courier New"/>
          <w:lang w:val="es-ES_tradnl"/>
        </w:rPr>
        <w:t>ción, Pared señaló que la inspección de los mat</w:t>
      </w:r>
      <w:r>
        <w:rPr>
          <w:rFonts w:ascii="Courier New" w:hAnsi="Courier New" w:cs="Courier New"/>
          <w:lang w:val="es-ES_tradnl"/>
        </w:rPr>
        <w:t>e</w:t>
      </w:r>
      <w:r>
        <w:rPr>
          <w:rFonts w:ascii="Courier New" w:hAnsi="Courier New" w:cs="Courier New"/>
          <w:lang w:val="es-ES_tradnl"/>
        </w:rPr>
        <w:t>riales que ingresaban al edificio estaba a cargo de Ricardo Said quien, a fin de verificar su contenido, perforaba cada una de las bolsas, utilizando para ello un dete</w:t>
      </w:r>
      <w:r>
        <w:rPr>
          <w:rFonts w:ascii="Courier New" w:hAnsi="Courier New" w:cs="Courier New"/>
          <w:lang w:val="es-ES_tradnl"/>
        </w:rPr>
        <w:t>c</w:t>
      </w:r>
      <w:r>
        <w:rPr>
          <w:rFonts w:ascii="Courier New" w:hAnsi="Courier New" w:cs="Courier New"/>
          <w:lang w:val="es-ES_tradnl"/>
        </w:rPr>
        <w:t>tor manual de metales. Indicó, asimismo, que el pers</w:t>
      </w:r>
      <w:r>
        <w:rPr>
          <w:rFonts w:ascii="Courier New" w:hAnsi="Courier New" w:cs="Courier New"/>
          <w:lang w:val="es-ES_tradnl"/>
        </w:rPr>
        <w:t>o</w:t>
      </w:r>
      <w:r>
        <w:rPr>
          <w:rFonts w:ascii="Courier New" w:hAnsi="Courier New" w:cs="Courier New"/>
          <w:lang w:val="es-ES_tradnl"/>
        </w:rPr>
        <w:t>nal afectado a las obras era revisado en forma minuciosa, registrándose su ingreso en una planilla de co</w:t>
      </w:r>
      <w:r>
        <w:rPr>
          <w:rFonts w:ascii="Courier New" w:hAnsi="Courier New" w:cs="Courier New"/>
          <w:lang w:val="es-ES_tradnl"/>
        </w:rPr>
        <w:t>n</w:t>
      </w:r>
      <w:r>
        <w:rPr>
          <w:rFonts w:ascii="Courier New" w:hAnsi="Courier New" w:cs="Courier New"/>
          <w:lang w:val="es-ES_tradnl"/>
        </w:rPr>
        <w:t>trol.</w:t>
      </w:r>
    </w:p>
    <w:p w:rsidR="00224567" w:rsidRDefault="00224567">
      <w:pPr>
        <w:pStyle w:val="Textoindependiente2"/>
        <w:widowControl w:val="0"/>
        <w:rPr>
          <w:rFonts w:ascii="Courier New" w:hAnsi="Courier New" w:cs="Courier New"/>
        </w:rPr>
      </w:pPr>
      <w:r>
        <w:rPr>
          <w:rFonts w:ascii="Courier New" w:hAnsi="Courier New" w:cs="Courier New"/>
          <w:lang w:val="es-ES_tradnl"/>
        </w:rPr>
        <w:tab/>
        <w:t>En sentido coincidente se pronunci</w:t>
      </w:r>
      <w:r>
        <w:rPr>
          <w:rFonts w:ascii="Courier New" w:hAnsi="Courier New" w:cs="Courier New"/>
          <w:lang w:val="es-ES_tradnl"/>
        </w:rPr>
        <w:t>a</w:t>
      </w:r>
      <w:r>
        <w:rPr>
          <w:rFonts w:ascii="Courier New" w:hAnsi="Courier New" w:cs="Courier New"/>
          <w:lang w:val="es-ES_tradnl"/>
        </w:rPr>
        <w:t xml:space="preserve">ron los nombrados </w:t>
      </w:r>
      <w:r>
        <w:rPr>
          <w:rFonts w:ascii="Courier New" w:hAnsi="Courier New" w:cs="Courier New"/>
        </w:rPr>
        <w:t>Sluzky</w:t>
      </w:r>
      <w:r>
        <w:rPr>
          <w:rFonts w:ascii="Courier New" w:hAnsi="Courier New" w:cs="Courier New"/>
          <w:lang w:val="es-ES_tradnl"/>
        </w:rPr>
        <w:t xml:space="preserve">, Beremblum, </w:t>
      </w:r>
      <w:r>
        <w:rPr>
          <w:rFonts w:ascii="Courier New" w:hAnsi="Courier New" w:cs="Courier New"/>
        </w:rPr>
        <w:t>Blugerman de Czyzewski</w:t>
      </w:r>
      <w:r>
        <w:rPr>
          <w:rFonts w:ascii="Courier New" w:hAnsi="Courier New" w:cs="Courier New"/>
          <w:lang w:val="es-ES_tradnl"/>
        </w:rPr>
        <w:t xml:space="preserve">, </w:t>
      </w:r>
      <w:r>
        <w:rPr>
          <w:rFonts w:ascii="Courier New" w:hAnsi="Courier New" w:cs="Courier New"/>
          <w:lang w:val="es-AR"/>
        </w:rPr>
        <w:t>Salem</w:t>
      </w:r>
      <w:r>
        <w:rPr>
          <w:rFonts w:ascii="Courier New" w:hAnsi="Courier New" w:cs="Courier New"/>
        </w:rPr>
        <w:t>, Fainstein</w:t>
      </w:r>
      <w:r>
        <w:rPr>
          <w:rFonts w:ascii="Courier New" w:hAnsi="Courier New" w:cs="Courier New"/>
          <w:lang w:val="es-ES_tradnl"/>
        </w:rPr>
        <w:t xml:space="preserve">, </w:t>
      </w:r>
      <w:r>
        <w:rPr>
          <w:rFonts w:ascii="Courier New" w:hAnsi="Courier New" w:cs="Courier New"/>
        </w:rPr>
        <w:t>Fryszberg</w:t>
      </w:r>
      <w:r>
        <w:rPr>
          <w:rFonts w:ascii="Courier New" w:hAnsi="Courier New" w:cs="Courier New"/>
          <w:lang w:val="es-ES_tradnl"/>
        </w:rPr>
        <w:t>,</w:t>
      </w:r>
      <w:r>
        <w:rPr>
          <w:rFonts w:ascii="Courier New" w:hAnsi="Courier New" w:cs="Courier New"/>
        </w:rPr>
        <w:t xml:space="preserve"> Furman, Gurevicz, Liberman, Perelman y Rausch, como así también</w:t>
      </w:r>
      <w:r>
        <w:rPr>
          <w:rFonts w:ascii="Courier New" w:hAnsi="Courier New" w:cs="Courier New"/>
          <w:lang w:val="es-ES_tradnl"/>
        </w:rPr>
        <w:t xml:space="preserve"> los albañiles Julio Barriga Loaiza y </w:t>
      </w:r>
      <w:r>
        <w:rPr>
          <w:rFonts w:ascii="Courier New" w:hAnsi="Courier New" w:cs="Courier New"/>
        </w:rPr>
        <w:t>Policarpio Cruz Loayza;</w:t>
      </w:r>
      <w:r>
        <w:rPr>
          <w:rFonts w:ascii="Courier New" w:hAnsi="Courier New" w:cs="Courier New"/>
          <w:lang w:val="es-ES_tradnl"/>
        </w:rPr>
        <w:t xml:space="preserve"> el plomero </w:t>
      </w:r>
      <w:r>
        <w:rPr>
          <w:rFonts w:ascii="Courier New" w:hAnsi="Courier New" w:cs="Courier New"/>
        </w:rPr>
        <w:t>José Ernesto Millán;</w:t>
      </w:r>
      <w:r>
        <w:rPr>
          <w:rFonts w:ascii="Courier New" w:hAnsi="Courier New" w:cs="Courier New"/>
          <w:lang w:val="es-ES_tradnl"/>
        </w:rPr>
        <w:t xml:space="preserve"> los e</w:t>
      </w:r>
      <w:r>
        <w:rPr>
          <w:rFonts w:ascii="Courier New" w:hAnsi="Courier New" w:cs="Courier New"/>
          <w:lang w:val="es-ES_tradnl"/>
        </w:rPr>
        <w:t>n</w:t>
      </w:r>
      <w:r>
        <w:rPr>
          <w:rFonts w:ascii="Courier New" w:hAnsi="Courier New" w:cs="Courier New"/>
          <w:lang w:val="es-ES_tradnl"/>
        </w:rPr>
        <w:t xml:space="preserve">cargados de limpieza de </w:t>
      </w:r>
      <w:smartTag w:uri="urn:schemas-microsoft-com:office:smarttags" w:element="PersonName">
        <w:smartTagPr>
          <w:attr w:name="ProductID" w:val="la D.A"/>
        </w:smartTagPr>
        <w:r>
          <w:rPr>
            <w:rFonts w:ascii="Courier New" w:hAnsi="Courier New" w:cs="Courier New"/>
            <w:lang w:val="es-ES_tradnl"/>
          </w:rPr>
          <w:t>la D.A</w:t>
        </w:r>
      </w:smartTag>
      <w:r>
        <w:rPr>
          <w:rFonts w:ascii="Courier New" w:hAnsi="Courier New" w:cs="Courier New"/>
          <w:lang w:val="es-ES_tradnl"/>
        </w:rPr>
        <w:t xml:space="preserve">.I.A., </w:t>
      </w:r>
      <w:r>
        <w:rPr>
          <w:rFonts w:ascii="Courier New" w:hAnsi="Courier New" w:cs="Courier New"/>
        </w:rPr>
        <w:t>Eduardo Enrique Zabala, Cristian Enrique Alberto Broin y Norma Gladis Mansilla; María Beatriz Rivera Méndez, moza de un bar cercano; el carpi</w:t>
      </w:r>
      <w:r>
        <w:rPr>
          <w:rFonts w:ascii="Courier New" w:hAnsi="Courier New" w:cs="Courier New"/>
        </w:rPr>
        <w:t>n</w:t>
      </w:r>
      <w:r>
        <w:rPr>
          <w:rFonts w:ascii="Courier New" w:hAnsi="Courier New" w:cs="Courier New"/>
        </w:rPr>
        <w:t>tero de la firma “Ofice S.A.”, Martín José Vi</w:t>
      </w:r>
      <w:r>
        <w:rPr>
          <w:rFonts w:ascii="Courier New" w:hAnsi="Courier New" w:cs="Courier New"/>
        </w:rPr>
        <w:t>u</w:t>
      </w:r>
      <w:r>
        <w:rPr>
          <w:rFonts w:ascii="Courier New" w:hAnsi="Courier New" w:cs="Courier New"/>
        </w:rPr>
        <w:t>dez; el electricista Daniel Eduardo Joffe; los empleados de la firma “Mazzota”, proveedora de mat</w:t>
      </w:r>
      <w:r>
        <w:rPr>
          <w:rFonts w:ascii="Courier New" w:hAnsi="Courier New" w:cs="Courier New"/>
        </w:rPr>
        <w:t>e</w:t>
      </w:r>
      <w:r>
        <w:rPr>
          <w:rFonts w:ascii="Courier New" w:hAnsi="Courier New" w:cs="Courier New"/>
        </w:rPr>
        <w:t>riales de obra, Horacio Ismael Irigoitía y Jorge Osvaldo Mascarucci; los vecinos Jorge Mario Savransky, Luisa Azs</w:t>
      </w:r>
      <w:r>
        <w:rPr>
          <w:rFonts w:ascii="Courier New" w:hAnsi="Courier New" w:cs="Courier New"/>
        </w:rPr>
        <w:t>e</w:t>
      </w:r>
      <w:r>
        <w:rPr>
          <w:rFonts w:ascii="Courier New" w:hAnsi="Courier New" w:cs="Courier New"/>
        </w:rPr>
        <w:t xml:space="preserve">rzon de Jurberg, Esther Jurberg, Amelia Emilia Rivera, el arquitecto de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.I.A. Claudio Alejandro Weicman y el mozo Gustavo Martín Cano.</w:t>
      </w:r>
    </w:p>
    <w:p w:rsidR="00224567" w:rsidRDefault="00224567">
      <w:pPr>
        <w:pStyle w:val="Sangradetextonormal"/>
        <w:widowControl w:val="0"/>
        <w:ind w:firstLine="0"/>
      </w:pPr>
      <w:r>
        <w:rPr>
          <w:b/>
          <w:bCs/>
        </w:rPr>
        <w:tab/>
        <w:t xml:space="preserve">A.4) </w:t>
      </w:r>
      <w:r>
        <w:t>De acuerdo a los testimonios del personal policial encargado de la custodia del ed</w:t>
      </w:r>
      <w:r>
        <w:t>i</w:t>
      </w:r>
      <w:r>
        <w:t xml:space="preserve">ficio de Pasteur 633, se concluye que tras el atentado terrorista llevado a cabo el 17 de marzo de 1992 contra </w:t>
      </w:r>
      <w:smartTag w:uri="urn:schemas-microsoft-com:office:smarttags" w:element="PersonName">
        <w:smartTagPr>
          <w:attr w:name="ProductID" w:val="la Embajada"/>
        </w:smartTagPr>
        <w:r>
          <w:t>la Embajada</w:t>
        </w:r>
      </w:smartTag>
      <w:r>
        <w:t xml:space="preserve"> de Israel en nuestro país, se implantó un servicio de v</w:t>
      </w:r>
      <w:r>
        <w:t>i</w:t>
      </w:r>
      <w:r>
        <w:t xml:space="preserve">gilancia, durante las 24 horas, a cargo de efectivos de las comisarías 5ª y 7ª de </w:t>
      </w:r>
      <w:smartTag w:uri="urn:schemas-microsoft-com:office:smarttags" w:element="PersonName">
        <w:smartTagPr>
          <w:attr w:name="ProductID" w:val="la Polic￭a Federal"/>
        </w:smartTagPr>
        <w:r>
          <w:t>la Policía Federal</w:t>
        </w:r>
      </w:smartTag>
      <w:r>
        <w:t xml:space="preserve"> Argentina, destinado a custodiar la cuadra donde funcionaba </w:t>
      </w:r>
      <w:smartTag w:uri="urn:schemas-microsoft-com:office:smarttags" w:element="PersonName">
        <w:smartTagPr>
          <w:attr w:name="ProductID" w:val="la A.M"/>
        </w:smartTagPr>
        <w:r>
          <w:t>la A.M</w:t>
        </w:r>
      </w:smartTag>
      <w:r>
        <w:t>.I.A. (ver, además, constancias obrantes a fs. 36.822/36.826).</w:t>
      </w:r>
    </w:p>
    <w:p w:rsidR="00224567" w:rsidRDefault="00224567">
      <w:pPr>
        <w:pStyle w:val="Sangradetextonormal"/>
        <w:widowControl w:val="0"/>
        <w:ind w:firstLine="0"/>
      </w:pPr>
      <w:r>
        <w:tab/>
        <w:t>Para cumplir dicho cometido, los age</w:t>
      </w:r>
      <w:r>
        <w:t>n</w:t>
      </w:r>
      <w:r>
        <w:t>tes policiales contaban con un móvil fijo de la c</w:t>
      </w:r>
      <w:r>
        <w:t>o</w:t>
      </w:r>
      <w:r>
        <w:t>misaría 7ª y la custodia consistía, a grandes rasgos, en la vig</w:t>
      </w:r>
      <w:r>
        <w:t>i</w:t>
      </w:r>
      <w:r>
        <w:t>lancia y prevención ante conductas sospechosas en proxim</w:t>
      </w:r>
      <w:r>
        <w:t>i</w:t>
      </w:r>
      <w:r>
        <w:t>dades del edificio, tales como extracción de fotografías, observaciones o filmaci</w:t>
      </w:r>
      <w:r>
        <w:t>o</w:t>
      </w:r>
      <w:r>
        <w:t>nes. Asimismo, se dispuso prohibir el estacionamiento en toda la cuadra de la calle Pasteur al 600, debiéndose evitar, en medida de lo posible, que los autos de particulares y de los proveedores de los c</w:t>
      </w:r>
      <w:r>
        <w:t>o</w:t>
      </w:r>
      <w:r>
        <w:t>mercios de la zona se detuvieran en proximidades de la m</w:t>
      </w:r>
      <w:r>
        <w:t>u</w:t>
      </w:r>
      <w:r>
        <w:t>tual.</w:t>
      </w:r>
    </w:p>
    <w:p w:rsidR="00224567" w:rsidRDefault="00224567">
      <w:pPr>
        <w:pStyle w:val="Sangradetextonormal"/>
        <w:widowControl w:val="0"/>
        <w:ind w:firstLine="0"/>
      </w:pPr>
      <w:r>
        <w:tab/>
        <w:t>Así también, la inspección de los m</w:t>
      </w:r>
      <w:r>
        <w:t>a</w:t>
      </w:r>
      <w:r>
        <w:t>teriales destinados a las tareas de refacción y la de los volquetes que se ubicaban frente a la puerta de la mutual estaba a cargo de su personal de vigilancia y, según las distintas declaraciones del personal pol</w:t>
      </w:r>
      <w:r>
        <w:t>i</w:t>
      </w:r>
      <w:r>
        <w:t xml:space="preserve">cial, no existía una coordinación entre la seguridad externa, a cargo de </w:t>
      </w:r>
      <w:smartTag w:uri="urn:schemas-microsoft-com:office:smarttags" w:element="PersonName">
        <w:smartTagPr>
          <w:attr w:name="ProductID" w:val="la Polic￭a Federal"/>
        </w:smartTagPr>
        <w:r>
          <w:t>la Policía Federal</w:t>
        </w:r>
      </w:smartTag>
      <w:r>
        <w:t xml:space="preserve"> y la interna del edificio.</w:t>
      </w:r>
    </w:p>
    <w:p w:rsidR="00224567" w:rsidRDefault="00224567">
      <w:pPr>
        <w:pStyle w:val="Sangradetextonormal"/>
        <w:widowControl w:val="0"/>
        <w:ind w:firstLine="0"/>
      </w:pPr>
      <w:r>
        <w:tab/>
        <w:t>El deslinde entre las jurisdicciones de las comisarías 5ª y 7ª era, precisamente, la calle Pa</w:t>
      </w:r>
      <w:r>
        <w:t>s</w:t>
      </w:r>
      <w:r>
        <w:t>teur, abarcando desde la línea de edificación hacia los fondos a la primera, mientras que la calle y la v</w:t>
      </w:r>
      <w:r>
        <w:t>e</w:t>
      </w:r>
      <w:r>
        <w:t>reda se hallaban en la órbita de la segunda. Por tal motivo, la dotación del móvil estaba compuesta por p</w:t>
      </w:r>
      <w:r>
        <w:t>o</w:t>
      </w:r>
      <w:r>
        <w:t>licías de ambas dependencias; el chofer del móvil pertenecía a la comis</w:t>
      </w:r>
      <w:r>
        <w:t>a</w:t>
      </w:r>
      <w:r>
        <w:t>ría 7ª mientras que el suboficial a cargo de la unidad r</w:t>
      </w:r>
      <w:r>
        <w:t>e</w:t>
      </w:r>
      <w:r>
        <w:t>vist</w:t>
      </w:r>
      <w:r>
        <w:t>a</w:t>
      </w:r>
      <w:r>
        <w:t>ba en la otra dependencia.</w:t>
      </w:r>
    </w:p>
    <w:p w:rsidR="00224567" w:rsidRDefault="00224567">
      <w:pPr>
        <w:pStyle w:val="Sangradetextonormal"/>
        <w:widowControl w:val="0"/>
        <w:ind w:firstLine="0"/>
      </w:pPr>
      <w:r>
        <w:rPr>
          <w:b/>
        </w:rPr>
        <w:tab/>
      </w:r>
      <w:r>
        <w:t>Debido a que la custodia se ll</w:t>
      </w:r>
      <w:r>
        <w:t>e</w:t>
      </w:r>
      <w:r>
        <w:t>vaba a cabo todos los días del año, durante las 24 horas, los p</w:t>
      </w:r>
      <w:r>
        <w:t>o</w:t>
      </w:r>
      <w:r>
        <w:t>licías se rotaban por cuartos, asegurando de esa m</w:t>
      </w:r>
      <w:r>
        <w:t>a</w:t>
      </w:r>
      <w:r>
        <w:t>nera la presencia de dos uniformados por cada turno.</w:t>
      </w:r>
    </w:p>
    <w:p w:rsidR="00224567" w:rsidRDefault="00224567">
      <w:pPr>
        <w:pStyle w:val="Sangradetextonormal"/>
        <w:widowControl w:val="0"/>
        <w:ind w:firstLine="0"/>
      </w:pPr>
      <w:r>
        <w:tab/>
        <w:t>Se había establecido, además, un se</w:t>
      </w:r>
      <w:r>
        <w:t>r</w:t>
      </w:r>
      <w:r>
        <w:t>vicio de control y supervisión a cargo del oficial del servicio externo de ambas comisarías, de modo que uno de ellos debía concurrir al lugar para controlar la “parada”, llenar las planillas corre</w:t>
      </w:r>
      <w:r>
        <w:t>s</w:t>
      </w:r>
      <w:r>
        <w:t>pondientes y, en su caso, hacer constar cualquier irregularidad que se pudiera observar.</w:t>
      </w:r>
    </w:p>
    <w:p w:rsidR="00224567" w:rsidRDefault="00224567">
      <w:pPr>
        <w:pStyle w:val="Sangradetextonormal"/>
        <w:widowControl w:val="0"/>
        <w:ind w:firstLine="0"/>
      </w:pPr>
      <w:r>
        <w:tab/>
        <w:t xml:space="preserve">Tales eran, en líneas generales, las tareas que cumplía </w:t>
      </w:r>
      <w:smartTag w:uri="urn:schemas-microsoft-com:office:smarttags" w:element="PersonName">
        <w:smartTagPr>
          <w:attr w:name="ProductID" w:val="la Polic￭a Federal"/>
        </w:smartTagPr>
        <w:r>
          <w:t>la Policía Federal</w:t>
        </w:r>
      </w:smartTag>
      <w:r>
        <w:t xml:space="preserve"> Argentina a efe</w:t>
      </w:r>
      <w:r>
        <w:t>c</w:t>
      </w:r>
      <w:r>
        <w:t>tos de custodiar el edificio de Pasteur 633, de acuerdo a lo informado en el debate por los policías Jorge Eduardo Bo</w:t>
      </w:r>
      <w:r>
        <w:t>r</w:t>
      </w:r>
      <w:r>
        <w:t>dón y Adolfo Guido Guzmán, a cargo de la custodia el día del atentado y por Alejandro Enrique Barnes, Leonardo Bruno, Mario Cayetano Redondo, Mariano Javier Pabón,</w:t>
      </w:r>
      <w:r>
        <w:rPr>
          <w:b/>
        </w:rPr>
        <w:t xml:space="preserve"> </w:t>
      </w:r>
      <w:r>
        <w:t>Pedro César Cajal, Miguel Ángel Jorge Díaz, Gustavo Eduardo G</w:t>
      </w:r>
      <w:r>
        <w:t>ó</w:t>
      </w:r>
      <w:r>
        <w:t>mez, Héctor Omar Bargas, Enrique Alejandro Grassi, Pedro Hernando Pereyra, Miguel Ángel Campenni, Luis Alberto C</w:t>
      </w:r>
      <w:r>
        <w:t>á</w:t>
      </w:r>
      <w:r>
        <w:t>ceres, Enrique José Strizzolo, Ricardo Ortiz, José Luis Imbrogno, Horacio Eduardo S</w:t>
      </w:r>
      <w:r>
        <w:t>a</w:t>
      </w:r>
      <w:r>
        <w:t>lomone, Mario Alberto Sarogni, Enrique Antonio Cárdenas, Juan Jesús Reinoso, Gustavo Ga</w:t>
      </w:r>
      <w:r>
        <w:t>s</w:t>
      </w:r>
      <w:r>
        <w:t>tón Fernández, Alfonso Lami, Luis Alejandro Tasat</w:t>
      </w:r>
      <w:r>
        <w:rPr>
          <w:b/>
        </w:rPr>
        <w:t xml:space="preserve">, </w:t>
      </w:r>
      <w:r>
        <w:t>Néstor Fabián Melquis, Alberto Omar Teves,</w:t>
      </w:r>
      <w:r>
        <w:rPr>
          <w:b/>
        </w:rPr>
        <w:t xml:space="preserve"> </w:t>
      </w:r>
      <w:r>
        <w:t>Luis Alberto Alfani, Luis Ángel Romero,</w:t>
      </w:r>
      <w:r>
        <w:rPr>
          <w:b/>
        </w:rPr>
        <w:t xml:space="preserve"> </w:t>
      </w:r>
      <w:r>
        <w:t>Víctor Gustavo Arce,</w:t>
      </w:r>
      <w:r>
        <w:rPr>
          <w:b/>
        </w:rPr>
        <w:t xml:space="preserve"> </w:t>
      </w:r>
      <w:r>
        <w:t>Javier Jesús Ara</w:t>
      </w:r>
      <w:r>
        <w:t>u</w:t>
      </w:r>
      <w:r>
        <w:t>jo, Raúl Adolfo Olivera,</w:t>
      </w:r>
      <w:r>
        <w:rPr>
          <w:b/>
        </w:rPr>
        <w:t xml:space="preserve"> </w:t>
      </w:r>
      <w:r>
        <w:t>José Luis Lete, Daniel Lento, Héctor López, Héctor Vicente Crupi, José Ernesto Ortiz, Alejandro Javier Luna, Marcelo Gustavo Salvia, Jorge D</w:t>
      </w:r>
      <w:r>
        <w:t>a</w:t>
      </w:r>
      <w:r>
        <w:t>niel Chamorro y Javier Gustavo Salazar, quienes cumpli</w:t>
      </w:r>
      <w:r>
        <w:t>e</w:t>
      </w:r>
      <w:r>
        <w:t>ron, en días anteriores, igual cometido.</w:t>
      </w:r>
    </w:p>
    <w:p w:rsidR="00224567" w:rsidRDefault="00224567">
      <w:pPr>
        <w:pStyle w:val="Sangradetextonormal"/>
        <w:widowControl w:val="0"/>
        <w:ind w:firstLine="0"/>
      </w:pPr>
      <w:r>
        <w:tab/>
        <w:t>De los testimonios brindados por qui</w:t>
      </w:r>
      <w:r>
        <w:t>e</w:t>
      </w:r>
      <w:r>
        <w:t>nes fueron afectados a dicho servicio, se de</w:t>
      </w:r>
      <w:r>
        <w:t>s</w:t>
      </w:r>
      <w:r>
        <w:t>prende que al menos desde el viernes 15 hasta la mañana del lunes s</w:t>
      </w:r>
      <w:r>
        <w:t>i</w:t>
      </w:r>
      <w:r>
        <w:t>guiente, el patrullero apostado s</w:t>
      </w:r>
      <w:r>
        <w:t>o</w:t>
      </w:r>
      <w:r>
        <w:t>bre la calle Pasteur no funcionaba debido a que su batería no tenía carga. Por esa razón, la cust</w:t>
      </w:r>
      <w:r>
        <w:t>o</w:t>
      </w:r>
      <w:r>
        <w:t>dia no contaba, en esos días, con el equipo de comunic</w:t>
      </w:r>
      <w:r>
        <w:t>a</w:t>
      </w:r>
      <w:r>
        <w:t>ciones instalado en el móvil policial; carencia que se suplía, según dichos de varios de los efectivos p</w:t>
      </w:r>
      <w:r>
        <w:t>o</w:t>
      </w:r>
      <w:r>
        <w:t>liciales arriba mencionados, mediante la utilización de un ap</w:t>
      </w:r>
      <w:r>
        <w:t>a</w:t>
      </w:r>
      <w:r>
        <w:t>rato de comunicaciones manual -“H.T.”- provisto por los encargados de la cu</w:t>
      </w:r>
      <w:r>
        <w:t>s</w:t>
      </w:r>
      <w:r>
        <w:t>todia interna de la mutual.</w:t>
      </w:r>
    </w:p>
    <w:p w:rsidR="00224567" w:rsidRDefault="00224567">
      <w:pPr>
        <w:pStyle w:val="Sangradetextonormal"/>
        <w:widowControl w:val="0"/>
        <w:ind w:firstLine="0"/>
      </w:pPr>
      <w:r>
        <w:tab/>
        <w:t>De los extremos indicados en el párr</w:t>
      </w:r>
      <w:r>
        <w:t>a</w:t>
      </w:r>
      <w:r>
        <w:t>fo precedente dieron cuenta los citados Bordón, Guzmán, Salvia, Bargas, Lete, Pereyra, Lento, Olivera, Crupi, O</w:t>
      </w:r>
      <w:r>
        <w:t>r</w:t>
      </w:r>
      <w:r>
        <w:t>tiz, Araujo, Luna, Chamorro y Zalazar, como también alg</w:t>
      </w:r>
      <w:r>
        <w:t>u</w:t>
      </w:r>
      <w:r>
        <w:t>nos vecinos del lugar -Rubén Samuel Chejfec, Gabriel A</w:t>
      </w:r>
      <w:r>
        <w:t>l</w:t>
      </w:r>
      <w:r>
        <w:t>berto Villalba, Mirta Regina Satz y Efraim Alejandro Levy- que recordaron que el patrullero sie</w:t>
      </w:r>
      <w:r>
        <w:t>m</w:t>
      </w:r>
      <w:r>
        <w:t>pre se encontraba en el mismo lugar, indicando Villalba y Chejfec que, a su e</w:t>
      </w:r>
      <w:r>
        <w:t>n</w:t>
      </w:r>
      <w:r>
        <w:t>tender, el vehículo hacía las veces de una garita que se</w:t>
      </w:r>
      <w:r>
        <w:t>r</w:t>
      </w:r>
      <w:r>
        <w:t>vía de refugio a los p</w:t>
      </w:r>
      <w:r>
        <w:t>o</w:t>
      </w:r>
      <w:r>
        <w:t>licías.</w:t>
      </w:r>
    </w:p>
    <w:p w:rsidR="00224567" w:rsidRDefault="00224567">
      <w:pPr>
        <w:pStyle w:val="Sangradetextonormal"/>
        <w:widowControl w:val="0"/>
        <w:ind w:firstLine="0"/>
      </w:pPr>
      <w:r>
        <w:rPr>
          <w:b/>
          <w:bCs/>
        </w:rPr>
        <w:tab/>
        <w:t xml:space="preserve">A.5) </w:t>
      </w:r>
      <w:r>
        <w:t>Que, como consecuencia de la e</w:t>
      </w:r>
      <w:r>
        <w:t>x</w:t>
      </w:r>
      <w:r>
        <w:t>plosión, en el lugar del hecho fueron halladas sin vida las siguientes personas: Silvana Sandra</w:t>
      </w:r>
      <w:r>
        <w:rPr>
          <w:b/>
        </w:rPr>
        <w:t xml:space="preserve"> </w:t>
      </w:r>
      <w:r>
        <w:t>Alguea de Rodr</w:t>
      </w:r>
      <w:r>
        <w:t>í</w:t>
      </w:r>
      <w:r>
        <w:t>guez (autopsia nº 1722, obrante a fs. 36/39 del anexo II y acta de defunción de fs. 762 del anexo V); Jorge Lucio A</w:t>
      </w:r>
      <w:r>
        <w:t>n</w:t>
      </w:r>
      <w:r>
        <w:t>túnez (autopsia nº 1728, obrante a fs. 57/60 del anexo II y acta de defunción de fs. 766 del anexo V); Moisés G</w:t>
      </w:r>
      <w:r>
        <w:t>a</w:t>
      </w:r>
      <w:r>
        <w:t>briel Arazi (autopsia nº 1751, obrante a fs. 135/138 del anexo II y acta de defunción de fs. 784 del anexo V); Ca</w:t>
      </w:r>
      <w:r>
        <w:t>r</w:t>
      </w:r>
      <w:r>
        <w:t>los Avendaño Bobadilla (autopsia nº 1764, obrante a fs. 197/200 del anexo II y acta de defunción de fs. 793 del anexo V); Yanina Muriel Averbuch (autopsia nº 1718, obra</w:t>
      </w:r>
      <w:r>
        <w:t>n</w:t>
      </w:r>
      <w:r>
        <w:t>te a fs. 26/29 del anexo II y acta de d</w:t>
      </w:r>
      <w:r>
        <w:t>e</w:t>
      </w:r>
      <w:r>
        <w:t>función de fs. 760 del anexo V); Naum Band (autopsia nº 1684, obrante a fs. 213/216 del anexo I y acta de defunción de fs. 750 del anexo V); David Barriga Loaiza (autopsia nº 1622, obrante a fs. 35/38 del anexo I y acta de defunción de fs. 730 del anexo V); Hugo Norberto Basiglio (autopsia nº 1771, obra</w:t>
      </w:r>
      <w:r>
        <w:t>n</w:t>
      </w:r>
      <w:r>
        <w:t>te a fs. 217/220 del anexo II y acta de defunción de fs. 796 del anexo V); Rebeca Violeta Behar de Jurín (a</w:t>
      </w:r>
      <w:r>
        <w:t>u</w:t>
      </w:r>
      <w:r>
        <w:t>topsias nº 1624 (A y B), 1635 (B), 1656 (A) y 1668, e informe del Cuerpo Médico Forense, obrantes a fs. 4880/4883 y 4896/4903 del legajo de instrucción suplementaria y acta de defunción de fs. 767 del anexo V); Emilia Gr</w:t>
      </w:r>
      <w:r>
        <w:t>a</w:t>
      </w:r>
      <w:r>
        <w:t>ciela</w:t>
      </w:r>
      <w:r>
        <w:rPr>
          <w:b/>
        </w:rPr>
        <w:t xml:space="preserve"> </w:t>
      </w:r>
      <w:r>
        <w:t>Toer (autopsia nº 1743 e informe del Cuerpo Médico Forense, obrantes a fs. 4885/4888 y 4896/4903 del legajo de in</w:t>
      </w:r>
      <w:r>
        <w:t>s</w:t>
      </w:r>
      <w:r>
        <w:t>trucción suplementaria y a</w:t>
      </w:r>
      <w:r>
        <w:t>c</w:t>
      </w:r>
      <w:r>
        <w:t>ta de defunción de fs. 777 del anexo V); Fabio Enrique</w:t>
      </w:r>
      <w:r>
        <w:rPr>
          <w:b/>
        </w:rPr>
        <w:t xml:space="preserve"> </w:t>
      </w:r>
      <w:r>
        <w:t>Bermúdez (autopsia nº 1626, obra</w:t>
      </w:r>
      <w:r>
        <w:t>n</w:t>
      </w:r>
      <w:r>
        <w:t>te a fs. 28/31 del anexo I y acta de defunción de fs. 731 del anexo V); Emiliano Gastón Brikman (autopsia nº 1765, obrante a fs. 203/206 del anexo II y acta de defu</w:t>
      </w:r>
      <w:r>
        <w:t>n</w:t>
      </w:r>
      <w:r>
        <w:t>ción de fs. 794 del anexo V); Víctor Gabriel Buttini (autopsia nº 1726, obra</w:t>
      </w:r>
      <w:r>
        <w:t>n</w:t>
      </w:r>
      <w:r>
        <w:t>te a fs. 46/49 del anexo II y acta de defunción de fs. 764 del anexo V); Viviana Adela Casabe (autopsia nº 1673, obrante a fs. 155/158 del anexo I y acta de defu</w:t>
      </w:r>
      <w:r>
        <w:t>n</w:t>
      </w:r>
      <w:r>
        <w:t>ción de fs. 745 del anexo V); Paola Sara Czyzewski (auto</w:t>
      </w:r>
      <w:r>
        <w:t>p</w:t>
      </w:r>
      <w:r>
        <w:t>sia nº 1616, obrante a fs. 8/11 del anexo I y acta de d</w:t>
      </w:r>
      <w:r>
        <w:t>e</w:t>
      </w:r>
      <w:r>
        <w:t>función de fs. 726 del anexo V); Diego Ricardo De Pirro (autopsia nº 1637, obrante a fs. 89/92 del anexo I y acta de defunción de fs. 84 del anexo XIV); Cristian Adrián</w:t>
      </w:r>
      <w:r>
        <w:rPr>
          <w:b/>
        </w:rPr>
        <w:t xml:space="preserve"> </w:t>
      </w:r>
      <w:r>
        <w:t>D</w:t>
      </w:r>
      <w:r>
        <w:t>e</w:t>
      </w:r>
      <w:r>
        <w:t>gtiar (auto</w:t>
      </w:r>
      <w:r>
        <w:t>p</w:t>
      </w:r>
      <w:r>
        <w:t>sia nº 1661, obrante a fs. 143/146 del anexo I y acta de defunción de fs. 743 del anexo V);</w:t>
      </w:r>
      <w:r>
        <w:rPr>
          <w:b/>
        </w:rPr>
        <w:t xml:space="preserve"> </w:t>
      </w:r>
      <w:r>
        <w:t>Ramón Nolbe</w:t>
      </w:r>
      <w:r>
        <w:t>r</w:t>
      </w:r>
      <w:r>
        <w:t>to Díaz (autopsia nº 1629, obrante a fs. 61/65 del anexo I y acta de defunción de fs. 733 del anexo V); Norberto Ariel Dubín (autopsia nº 1732, obrante a fs. 62/65 del anexo II y acta de defunción de fs. 769 del anexo V); Fa</w:t>
      </w:r>
      <w:r>
        <w:t>i</w:t>
      </w:r>
      <w:r>
        <w:t>wel Dyjament (autopsia nº 1748, obrante a fs. 118/121 del anexo II y acta de defu</w:t>
      </w:r>
      <w:r>
        <w:t>n</w:t>
      </w:r>
      <w:r>
        <w:t>ción de fs. 780 del anexo V); Aída Mónica Feldman de Goldfeler (autopsia nº 1738, obrante a fs. 83/87 del anexo II y acta de defunción de fs. 773 del anexo V); Martín Antonio Figueroa (autopsia nº 1770, obrante a fs. 212/215 del anexo II y acta de defunción de fs. 795 del anexo V); Ingrid Elizabeth Finkelchtein (a</w:t>
      </w:r>
      <w:r>
        <w:t>u</w:t>
      </w:r>
      <w:r>
        <w:t>topsia nº 1761, obrante a fs. 184/186 del anexo II y acta de defunción de fs. 791 del anexo V);</w:t>
      </w:r>
      <w:r>
        <w:rPr>
          <w:b/>
        </w:rPr>
        <w:t xml:space="preserve"> </w:t>
      </w:r>
      <w:r>
        <w:t>Fabián Marcelo Fu</w:t>
      </w:r>
      <w:r>
        <w:t>r</w:t>
      </w:r>
      <w:r>
        <w:t>man (autopsia nº 1741, obrante a fs. 94/97 del anexo II y acta de defunción de fs. 774 del anexo V); Guillermo B</w:t>
      </w:r>
      <w:r>
        <w:t>e</w:t>
      </w:r>
      <w:r>
        <w:t>nigno Galarraga (a</w:t>
      </w:r>
      <w:r>
        <w:t>u</w:t>
      </w:r>
      <w:r>
        <w:t>topsia nº 1628, obrante a fs. 48/52 del anexo I y acta de defunción de fs. 732 del anexo V); Edwin Yonny García Tenorio (autopsia nº 1657, obrante a fs. 131/134 del anexo I y acta de defunción de fs. 741 del anexo V); José Enrique Ginsberg (auto</w:t>
      </w:r>
      <w:r>
        <w:t>p</w:t>
      </w:r>
      <w:r>
        <w:t>sia nº 1680, obrante a fs. 180/184 del anexo I y acta de defunción de fs. 749 del anexo V); Cynthia Verónica Goldenberg (autopsia nº 1720, obrante a fs. 31/34 del anexo II y acta de defunción de fs. 761 del anexo V); Andrea Judith Guterman (autopsia nº 1762, obrante a fs. 188/191 del anexo II y acta de d</w:t>
      </w:r>
      <w:r>
        <w:t>e</w:t>
      </w:r>
      <w:r>
        <w:t>función de fs. 792 del anexo V); Leonor Amalia Gutman de Finkelchtein (auto</w:t>
      </w:r>
      <w:r>
        <w:t>p</w:t>
      </w:r>
      <w:r>
        <w:t>sia nº 1759, obrante a fs. 174/177 del anexo II y acta de defunción de fs. 790 del anexo V); Si</w:t>
      </w:r>
      <w:r>
        <w:t>l</w:t>
      </w:r>
      <w:r>
        <w:t>via Leonor Hersalis (autopsia nº 1756, obrante a fs. 156/159 del anexo II y acta de defunción de fs. 787 del anexo V); Carlos Isaac Hilu (autopsia nº 1620 e informe del Cuerpo Médico Forense, obra</w:t>
      </w:r>
      <w:r>
        <w:t>n</w:t>
      </w:r>
      <w:r>
        <w:t>tes a fs. 4878 y 4896/4903 del legajo de instrucción suplementaria y acta de defu</w:t>
      </w:r>
      <w:r>
        <w:t>n</w:t>
      </w:r>
      <w:r>
        <w:t>ción de fs. 728 del anexo V); Emilia Jakubiec de Lewczuk (autopsia nº 1642, obra</w:t>
      </w:r>
      <w:r>
        <w:t>n</w:t>
      </w:r>
      <w:r>
        <w:t>te a fs. 95/98 del anexo I y acta de d</w:t>
      </w:r>
      <w:r>
        <w:t>e</w:t>
      </w:r>
      <w:r>
        <w:t>función de fs. 737 del anexo V); María Luisa Jaworski (autopsia nº 1760, obrante a fs. 179/182 del anexo II y acta de defunción de fs. 97 del anexo XIV); María Lou</w:t>
      </w:r>
      <w:r>
        <w:t>r</w:t>
      </w:r>
      <w:r>
        <w:t>des Jesús (autopsia nº 1763, obrante a fs. 193/196 del anexo II y acta de defunción de fs. 768 del anexo V); Analía V</w:t>
      </w:r>
      <w:r>
        <w:t>e</w:t>
      </w:r>
      <w:r>
        <w:t>rónica Josch (autopsia nº 1753, obrante a fs. 140/143 del anexo II y acta de defunción de fs. 783 del anexo V); Ca</w:t>
      </w:r>
      <w:r>
        <w:t>r</w:t>
      </w:r>
      <w:r>
        <w:t>la Andrea Josch (autopsia nº 1750, obrante a fs. 129/132 del anexo II y acta de defunción de fs. 782 del anexo V); Elena Sofía Kastika (autopsia nº 1645, obrante a fs. 108/112 del anexo I y acta de defunción de fs. 739 del anexo V); Esther Raquel Klin de Fail (autopsia nº 1735, obrante a fs. 72/75 del anexo II y acta de defunción de fs. 771 del anexo V); Berta Kozuk de Losz (autopsia nº 1694 e informe del Cuerpo Médico Forense, obrantes a fs. 4893 y 4896/4903 del legajo de instrucción suplementaria y acta de defunción de fs. 753 del anexo V); Luis Fernando Kupchik (autopsia nº 1740, obrante a fs. 88/91 del anexo II y acta de defunción de fs. 706 del anexo V); Agustín Diego Lew (autopsia nº 1679, obrante a fs. 175/178 del anexo I y acta de defunción de fs. 748 del anexo V); A</w:t>
      </w:r>
      <w:r>
        <w:t>n</w:t>
      </w:r>
      <w:r>
        <w:t>drés Gustavo Malamud (autopsia nº 1700, obrante a fs. 1/4 del anexo II y acta de defunción de fs. 755 del anexo V); Gregorio Melman (autopsias nº 1617, 1631 (A), 1669, 1780, 1782, 1786 y 1791, e informe del Cuerpo Médico Forense, obrantes a fs. 4867/4876 y 4896/4903 del legajo de in</w:t>
      </w:r>
      <w:r>
        <w:t>s</w:t>
      </w:r>
      <w:r>
        <w:t>trucción suplementaria y acta de defunción copiada a fs. 142 de anexo VI); Ileana Sara Mercovich (autopsia nº 1754, obrante a fs. 145/147 del anexo II y acta de defu</w:t>
      </w:r>
      <w:r>
        <w:t>n</w:t>
      </w:r>
      <w:r>
        <w:t>ción de fs. 785 del anexo V); Naón Bernardo Mirochnik (a</w:t>
      </w:r>
      <w:r>
        <w:t>u</w:t>
      </w:r>
      <w:r>
        <w:t>topsia nº 1678, obrante a fs. 167/170 del anexo I y acta de defu</w:t>
      </w:r>
      <w:r>
        <w:t>n</w:t>
      </w:r>
      <w:r>
        <w:t>ción de fs. 747 del anexo V); Mónica Graciela Nudel (a</w:t>
      </w:r>
      <w:r>
        <w:t>u</w:t>
      </w:r>
      <w:r>
        <w:t>topsia nº 1621, obrante a fs. 22/24 del anexo I y acta de defunción de fs. 729 del anexo V); Elías Alberto Palti (autopsia nº 1746, obrante a fs. 108/111 del anexo II y acta de defunción de fs. 779 del anexo V); Germán Parsons (autopsia nº 1627, obrante a fs. 41/44 del anexo I y acta de defunción de fs. 3 del expediente nº 367.910 del Mini</w:t>
      </w:r>
      <w:r>
        <w:t>s</w:t>
      </w:r>
      <w:r>
        <w:t xml:space="preserve">terio del Interior de </w:t>
      </w:r>
      <w:smartTag w:uri="urn:schemas-microsoft-com:office:smarttags" w:element="PersonName">
        <w:smartTagPr>
          <w:attr w:name="ProductID" w:val="la Naci￳n"/>
        </w:smartTagPr>
        <w:r>
          <w:t>la Nación</w:t>
        </w:r>
      </w:smartTag>
      <w:r>
        <w:t>, caratulado: “Parson, Ge</w:t>
      </w:r>
      <w:r>
        <w:t>r</w:t>
      </w:r>
      <w:r>
        <w:t xml:space="preserve">mán s/subsidio atentado A.M.I.A.-D.A.I.A”); </w:t>
      </w:r>
      <w:r>
        <w:rPr>
          <w:bCs/>
        </w:rPr>
        <w:t>Rosa Perelmu</w:t>
      </w:r>
      <w:r>
        <w:rPr>
          <w:bCs/>
        </w:rPr>
        <w:t>t</w:t>
      </w:r>
      <w:r>
        <w:rPr>
          <w:bCs/>
        </w:rPr>
        <w:t>ter (autopsia nº 1794,</w:t>
      </w:r>
      <w:r>
        <w:t xml:space="preserve"> obrante a fs. 238/241 del anexo II y acta de defunción de fs. 798 del anexo V); Roberto Fe</w:t>
      </w:r>
      <w:r>
        <w:t>r</w:t>
      </w:r>
      <w:r>
        <w:t>nando Pérez (autopsia nº 1723, obrante a fs. 41/44 del anexo II y acta de defunción de fs. 763 del anexo V);</w:t>
      </w:r>
      <w:r>
        <w:rPr>
          <w:b/>
        </w:rPr>
        <w:t xml:space="preserve"> </w:t>
      </w:r>
      <w:r>
        <w:t>Abraham Jaime Plaksin (autopsia nº 1636, obrante a fs. 83/86 del anexo I y acta de d</w:t>
      </w:r>
      <w:r>
        <w:t>e</w:t>
      </w:r>
      <w:r>
        <w:t xml:space="preserve">función de fs. 736 del anexo V); Silvia Inés Portnoy (autopsia nº 1757, obrante a fs. 162/165 del anexo II y acta de defunción de fs. 788 del anexo V); Noemí Graciela Reisfeld (autopsia nº 1712, obrante a fs. 13/17 del anexo II y acta de defunción de fs. 757 del anexo V); Félix Roberto Roisman (autopsia nº 1615, obrante a fs. 1/4 del anexo I y acta de defunción de fs. 3 del expediente nº 367.918 del Ministerio del Inte-rior de </w:t>
      </w:r>
      <w:smartTag w:uri="urn:schemas-microsoft-com:office:smarttags" w:element="PersonName">
        <w:smartTagPr>
          <w:attr w:name="ProductID" w:val="la Naci￳n"/>
        </w:smartTagPr>
        <w:r>
          <w:t>la Nación</w:t>
        </w:r>
      </w:smartTag>
      <w:r>
        <w:t>, caratulado: “Roisman, Félix s/subsidio atentado A.M.I.A.-D.A.I.A”); M</w:t>
      </w:r>
      <w:r>
        <w:t>a</w:t>
      </w:r>
      <w:r>
        <w:t>risa Raquel Said (autopsia nº 1670 (B) e informe del Cuerpo Médico Forense, obra</w:t>
      </w:r>
      <w:r>
        <w:t>n</w:t>
      </w:r>
      <w:r>
        <w:t>tes a fs. 4889/4891 y 4896/4903 del legajo de instrucción s</w:t>
      </w:r>
      <w:r>
        <w:t>u</w:t>
      </w:r>
      <w:r>
        <w:t>pleme</w:t>
      </w:r>
      <w:r>
        <w:t>n</w:t>
      </w:r>
      <w:r>
        <w:t>taria y acta de defunción de fs. 113 del anexo VI); Rica</w:t>
      </w:r>
      <w:r>
        <w:t>r</w:t>
      </w:r>
      <w:r>
        <w:t>do Hugo Said (autopsia nº 1660, obrante a fs. 137/140 del anexo I y acta de defunción de fs. 742 del anexo V); Rimar Sal</w:t>
      </w:r>
      <w:r>
        <w:t>a</w:t>
      </w:r>
      <w:r>
        <w:t>zar Mendoza (autopsia nº 1711, obrante a fs. 6/9 del anexo II y acta de defu</w:t>
      </w:r>
      <w:r>
        <w:t>n</w:t>
      </w:r>
      <w:r>
        <w:t>ción de fs. 756 del anexo V); Fabián Gustavo Schalit (autopsia nº 1747, obrante a fs. 113/116 del anexo II y acta de defunción de fs. 776 del anexo V); Pablo Néstor Schalit (autopsia nº 1742, obrante a fs. 99/102 del anexo II y acta de defunción de fs. 775 del anexo V); Mauricio Schiber (autopsia nº 1618, obrante a fs. 15/18 del anexo I y acta de defu</w:t>
      </w:r>
      <w:r>
        <w:t>n</w:t>
      </w:r>
      <w:r>
        <w:t>ción de fs. 727 del anexo V); Néstor Américo Serena (autopsia nº 1758, obrante a fs. 168/171 del anexo II y acta de defunción de fs. 789 del anexo V); Dora Shuldman de Belgorosky (autopsia nº 1693, obrante a fs. 193/196 del anexo I y acta de defu</w:t>
      </w:r>
      <w:r>
        <w:t>n</w:t>
      </w:r>
      <w:r>
        <w:t>ción de fs. 752 del anexo V); Mirtha Alicia Strier (auto</w:t>
      </w:r>
      <w:r>
        <w:t>p</w:t>
      </w:r>
      <w:r>
        <w:t>sia nº 1755, obrante a fs. 150/153 del anexo II y acta de defunción de fs. 786 del anexo V); Liliana Edith Szwimer (autopsia nº 1647, obrante a fs. 123/126 del anexo I y a</w:t>
      </w:r>
      <w:r>
        <w:t>c</w:t>
      </w:r>
      <w:r>
        <w:t>ta de defunción de fs. 740 del anexo V); Naum Javier T</w:t>
      </w:r>
      <w:r>
        <w:t>e</w:t>
      </w:r>
      <w:r>
        <w:t>nenbaum (auto</w:t>
      </w:r>
      <w:r>
        <w:t>p</w:t>
      </w:r>
      <w:r>
        <w:t>sia nº 1685, obrante a fs. 187/190 del anexo I y acta de defunción de fs. 751 del anexo V); Juan Carlos T</w:t>
      </w:r>
      <w:r>
        <w:t>e</w:t>
      </w:r>
      <w:r>
        <w:t>rranova (autopsia nº 1634, obrante a fs. 77/81 del anexo I y acta de defunción de fs. 735 del anexo V); Mariela Toer (auto</w:t>
      </w:r>
      <w:r>
        <w:t>p</w:t>
      </w:r>
      <w:r>
        <w:t>sia nº 1745, obrante a fs. 103/106 del anexo II y acta de defunción de fs. 778 del anexo V); Marta Andrea Treibman de Duek (autopsia nº 1717, obrante a fs. 20/23 del anexo II y acta de defunción de fs. 759 del anexo V); Ángel Claudio Ubfal (autopsia nº 1749, obrante a fs. 123/126 del anexo II y acta de defunción de fs. 781 del anexo V); Eugenio Vela Ramos (a</w:t>
      </w:r>
      <w:r>
        <w:t>u</w:t>
      </w:r>
      <w:r>
        <w:t>topsia nº 1776, obrante a fs. 223/226 del anexo II y acta de defunción de fs. 797 del anexo V); Juan Vela R</w:t>
      </w:r>
      <w:r>
        <w:t>a</w:t>
      </w:r>
      <w:r>
        <w:t>mos (autopsia nº 1727, obrante a fs. 52/55 del anexo II y acta de defunción de fs. 765 del anexo V); Danilo Norberto Villaverde (autopsia nº 1733, obrante a fs. 66/70 del anexo II y acta de defunción de fs. 770 del anexo V); Julia Susana Wolynski de Kreiman (autopsia nº 1737, obra</w:t>
      </w:r>
      <w:r>
        <w:t>n</w:t>
      </w:r>
      <w:r>
        <w:t>te a fs. 77/81 del anexo II y acta de defunción de fs. 772 del anexo V); Rita Noemí Worona (autopsia nº 1665, obrante a fs. 149/152 del anexo I y a</w:t>
      </w:r>
      <w:r>
        <w:t>c</w:t>
      </w:r>
      <w:r>
        <w:t>ta de defunción de fs. 744 del anexo V) y Ademar Zárate Loayza (autopsia nº 1713 e informe del Cuerpo Médico F</w:t>
      </w:r>
      <w:r>
        <w:t>o</w:t>
      </w:r>
      <w:r>
        <w:t>rense, obrantes a fs. 4895 y 4896/4903 del legajo de in</w:t>
      </w:r>
      <w:r>
        <w:t>s</w:t>
      </w:r>
      <w:r>
        <w:t>trucción suplementaria y a</w:t>
      </w:r>
      <w:r>
        <w:t>c</w:t>
      </w:r>
      <w:r>
        <w:t>ta de defunción de fs. 758 del anexo V).</w:t>
      </w:r>
    </w:p>
    <w:p w:rsidR="00224567" w:rsidRDefault="00224567">
      <w:pPr>
        <w:widowControl w:val="0"/>
      </w:pPr>
      <w:r>
        <w:tab/>
        <w:t>Que también fallecieron, en disti</w:t>
      </w:r>
      <w:r>
        <w:t>n</w:t>
      </w:r>
      <w:r>
        <w:t>tos nosocomios, las siguientes personas: Gustavo Daniel Velá</w:t>
      </w:r>
      <w:r>
        <w:t>z</w:t>
      </w:r>
      <w:r>
        <w:t>quez (autopsia nº 1666, obrante a fs. 55/58 del anexo I, informe médico de fs. 156 del anexo XVIII y acta de defu</w:t>
      </w:r>
      <w:r>
        <w:t>n</w:t>
      </w:r>
      <w:r>
        <w:t>ción de fs. 738 del anexo V); Isabel Núñez de Velázquez (autopsia nº 1639, obrante a fs. 101/104 del anexo I, i</w:t>
      </w:r>
      <w:r>
        <w:t>n</w:t>
      </w:r>
      <w:r>
        <w:t>forme de fs. 397 del anexo XVIII y acta de defunción de fs. 5 anexo XIV); Romina Ambar Luján Bolan (autopsia nº 1632, obrante a fs. 69/73 del anexo I y acta de d</w:t>
      </w:r>
      <w:r>
        <w:t>e</w:t>
      </w:r>
      <w:r>
        <w:t xml:space="preserve">función de fs. 734 del anexo V); Alberto Fernández (autopsia nº 1633, obrante a fs. 205/208 del anexo I, informe médico de fs. 139 del anexo XVIII y acta de defunción de fs. 5 del expediente 368.292 del Ministerio del Interior de </w:t>
      </w:r>
      <w:smartTag w:uri="urn:schemas-microsoft-com:office:smarttags" w:element="PersonName">
        <w:smartTagPr>
          <w:attr w:name="ProductID" w:val="la Naci￳n"/>
        </w:smartTagPr>
        <w:r>
          <w:t>la N</w:t>
        </w:r>
        <w:r>
          <w:t>a</w:t>
        </w:r>
        <w:r>
          <w:t>ción</w:t>
        </w:r>
      </w:smartTag>
      <w:r>
        <w:t>, caratulado: “Barbosa, Hilaria Esther” s/subsidio atentado A.M.I.A.-D.A.I.A”; Sebastián Julio Barreiros (a</w:t>
      </w:r>
      <w:r>
        <w:t>u</w:t>
      </w:r>
      <w:r>
        <w:t>topsia nº 1646, obrante a fs. 116/119 del anexo I y acta de defunción de fs. 99 del anexo XIV); Jacobo Chemauel (autopsia nº 1699, obrante a fs. 199/203 del anexo I, i</w:t>
      </w:r>
      <w:r>
        <w:t>n</w:t>
      </w:r>
      <w:r>
        <w:t>forme médico de fs. 154 del anexo XVIII y acta de defu</w:t>
      </w:r>
      <w:r>
        <w:t>n</w:t>
      </w:r>
      <w:r>
        <w:t>ción de fs. 754 del anexo V) y Olegario Ramírez (auto</w:t>
      </w:r>
      <w:r>
        <w:t>p</w:t>
      </w:r>
      <w:r>
        <w:t>sia nº 1675, obrante a fs. 162/165 del anexo I, informe médico de fs. 174 del anexo XVIII y acta de defunción de fs. 746 del anexo V).</w:t>
      </w:r>
    </w:p>
    <w:p w:rsidR="00224567" w:rsidRDefault="00224567">
      <w:pPr>
        <w:pStyle w:val="Textoindependiente2"/>
        <w:widowControl w:val="0"/>
        <w:rPr>
          <w:rFonts w:ascii="Courier New" w:hAnsi="Courier New" w:cs="Courier New"/>
          <w:lang w:val="es-ES_tradnl"/>
        </w:rPr>
      </w:pPr>
      <w:r>
        <w:rPr>
          <w:rFonts w:ascii="Courier New" w:hAnsi="Courier New" w:cs="Courier New"/>
        </w:rPr>
        <w:tab/>
        <w:t>Que también se tiene por acred</w:t>
      </w:r>
      <w:r>
        <w:rPr>
          <w:rFonts w:ascii="Courier New" w:hAnsi="Courier New" w:cs="Courier New"/>
        </w:rPr>
        <w:t>i</w:t>
      </w:r>
      <w:r>
        <w:rPr>
          <w:rFonts w:ascii="Courier New" w:hAnsi="Courier New" w:cs="Courier New"/>
        </w:rPr>
        <w:t>tado el fallecimiento de León Gregorio Knorpel, re</w:t>
      </w:r>
      <w:r>
        <w:rPr>
          <w:rFonts w:ascii="Courier New" w:hAnsi="Courier New" w:cs="Courier New"/>
        </w:rPr>
        <w:t>s</w:t>
      </w:r>
      <w:r>
        <w:rPr>
          <w:rFonts w:ascii="Courier New" w:hAnsi="Courier New" w:cs="Courier New"/>
        </w:rPr>
        <w:t>pecto de quien se dictó sentencia declaratoria de ausencia con presunción de fallecimiento, por imperio del art. 108 del Código C</w:t>
      </w:r>
      <w:r>
        <w:rPr>
          <w:rFonts w:ascii="Courier New" w:hAnsi="Courier New" w:cs="Courier New"/>
        </w:rPr>
        <w:t>i</w:t>
      </w:r>
      <w:r>
        <w:rPr>
          <w:rFonts w:ascii="Courier New" w:hAnsi="Courier New" w:cs="Courier New"/>
        </w:rPr>
        <w:t>vil, en las actuaciones que tramitaron ante el Juzgado C</w:t>
      </w:r>
      <w:r>
        <w:rPr>
          <w:rFonts w:ascii="Courier New" w:hAnsi="Courier New" w:cs="Courier New"/>
        </w:rPr>
        <w:t>i</w:t>
      </w:r>
      <w:r>
        <w:rPr>
          <w:rFonts w:ascii="Courier New" w:hAnsi="Courier New" w:cs="Courier New"/>
        </w:rPr>
        <w:t>vil nº 51 de esta ciudad (cónfr. fs. 8 y 30/33 del anexo “Personas Desaparecidas”). En dicho fallo se tuvo por co</w:t>
      </w:r>
      <w:r>
        <w:rPr>
          <w:rFonts w:ascii="Courier New" w:hAnsi="Courier New" w:cs="Courier New"/>
        </w:rPr>
        <w:t>m</w:t>
      </w:r>
      <w:r>
        <w:rPr>
          <w:rFonts w:ascii="Courier New" w:hAnsi="Courier New" w:cs="Courier New"/>
        </w:rPr>
        <w:t xml:space="preserve">probada la muerte del nombrado en la sede de </w:t>
      </w:r>
      <w:smartTag w:uri="urn:schemas-microsoft-com:office:smarttags" w:element="PersonName">
        <w:smartTagPr>
          <w:attr w:name="ProductID" w:val="la Asociaci￳n Mutual"/>
        </w:smartTagPr>
        <w:r>
          <w:rPr>
            <w:rFonts w:ascii="Courier New" w:hAnsi="Courier New" w:cs="Courier New"/>
          </w:rPr>
          <w:t>la As</w:t>
        </w:r>
        <w:r>
          <w:rPr>
            <w:rFonts w:ascii="Courier New" w:hAnsi="Courier New" w:cs="Courier New"/>
          </w:rPr>
          <w:t>o</w:t>
        </w:r>
        <w:r>
          <w:rPr>
            <w:rFonts w:ascii="Courier New" w:hAnsi="Courier New" w:cs="Courier New"/>
          </w:rPr>
          <w:t>ciación Mutual</w:t>
        </w:r>
      </w:smartTag>
      <w:r>
        <w:rPr>
          <w:rFonts w:ascii="Courier New" w:hAnsi="Courier New" w:cs="Courier New"/>
        </w:rPr>
        <w:t xml:space="preserve"> Israelita Argentina el día 18 de julio de </w:t>
      </w:r>
      <w:smartTag w:uri="urn:schemas-microsoft-com:office:smarttags" w:element="metricconverter">
        <w:smartTagPr>
          <w:attr w:name="ProductID" w:val="1994, a"/>
        </w:smartTagPr>
        <w:r>
          <w:rPr>
            <w:rFonts w:ascii="Courier New" w:hAnsi="Courier New" w:cs="Courier New"/>
          </w:rPr>
          <w:t>1994, a</w:t>
        </w:r>
      </w:smartTag>
      <w:r>
        <w:rPr>
          <w:rFonts w:ascii="Courier New" w:hAnsi="Courier New" w:cs="Courier New"/>
        </w:rPr>
        <w:t xml:space="preserve"> causa de la explosión.</w:t>
      </w:r>
    </w:p>
    <w:p w:rsidR="00224567" w:rsidRDefault="00224567">
      <w:pPr>
        <w:pStyle w:val="Sangra2detindependiente"/>
        <w:widowControl w:val="0"/>
        <w:spacing w:line="600" w:lineRule="auto"/>
        <w:ind w:firstLine="0"/>
      </w:pPr>
      <w:r>
        <w:tab/>
        <w:t>Que, finalmente, se comprobó el d</w:t>
      </w:r>
      <w:r>
        <w:t>e</w:t>
      </w:r>
      <w:r>
        <w:t>ceso de una persona, la cual no pudo ser identificada (ver, al respe</w:t>
      </w:r>
      <w:r>
        <w:t>c</w:t>
      </w:r>
      <w:r>
        <w:t>to, la autopsia nº 1766 agregada a fs. 208/211 del anexo de autopsias II).</w:t>
      </w:r>
    </w:p>
    <w:p w:rsidR="00224567" w:rsidRDefault="00224567">
      <w:pPr>
        <w:widowControl w:val="0"/>
        <w:rPr>
          <w:b/>
        </w:rPr>
      </w:pPr>
      <w:r>
        <w:rPr>
          <w:b/>
          <w:bCs/>
        </w:rPr>
        <w:tab/>
        <w:t>A.6)</w:t>
      </w:r>
      <w:r>
        <w:t xml:space="preserve"> Que a consecuencia de la expl</w:t>
      </w:r>
      <w:r>
        <w:t>o</w:t>
      </w:r>
      <w:r>
        <w:t>sión resultaron gravemente lesionados las siguientes pe</w:t>
      </w:r>
      <w:r>
        <w:t>r</w:t>
      </w:r>
      <w:r>
        <w:t>sonas: Daniel Joffe (ver informes médicos a fs. 1/5 del anexo XVII y a fs. 133 del anexo XVIII); Juan Carlos Álv</w:t>
      </w:r>
      <w:r>
        <w:t>a</w:t>
      </w:r>
      <w:r>
        <w:t>rez (ver informes médicos a fs. 1/5 del anexo XVII y a fs. 132 y fs. 136 del anexo XVIII); Humberto Chiesa (ver i</w:t>
      </w:r>
      <w:r>
        <w:t>n</w:t>
      </w:r>
      <w:r>
        <w:t xml:space="preserve">formes médicos a fs. 1/5 del anexo XVII y a fs. 129 del anexo XVIII); Gustavo Martín Cano (ver informe médico a fs. 1/5 del anexo XVII); Rosa Montano de Barreiros (ver informes médicos a fs. 22/24 del anexo XVII, a fs. </w:t>
      </w:r>
      <w:smartTag w:uri="urn:schemas-microsoft-com:office:smarttags" w:element="metricconverter">
        <w:smartTagPr>
          <w:attr w:name="ProductID" w:val="137, a"/>
        </w:smartTagPr>
        <w:r>
          <w:t>137, a</w:t>
        </w:r>
      </w:smartTag>
      <w:r>
        <w:t xml:space="preserve"> fs. 552/553, a fs. 628 e historia clínica a fs. 558/587 del anexo XVIII); Daniel Osvaldo Saravia (ver informes m</w:t>
      </w:r>
      <w:r>
        <w:t>é</w:t>
      </w:r>
      <w:r>
        <w:t>dicos a fs. 25/27 del anexo XVII y a fs. 130 del anexo XVIII); Raúl Alberto Sánchez (ver informes médicos a fs. 28/30 del anexo XVII y a fs. 131 del anexo XVIII); Aleja</w:t>
      </w:r>
      <w:r>
        <w:t>n</w:t>
      </w:r>
      <w:r>
        <w:t>dro Mirochnik (ver informes méd</w:t>
      </w:r>
      <w:r>
        <w:t>i</w:t>
      </w:r>
      <w:r>
        <w:t>cos a fs. 31/33 del anexo XVII y a fs. 135 del anexo XVIII), Pablo Ayala Rodríguez (ver informes médicos a fs. 35/36 del anexo XVII y a fs. 135 del anexo XVIII); Leonor Marina Fuster (ver informes médicos a fs 37/38 del anexo XVII y a fs. 135 del anexo XVIII); Angélica Ester Leiva (ver informes médicos a fs. 39/40 del anexo XVII y a fs. 137 del anexo XVIII); Ferna</w:t>
      </w:r>
      <w:r>
        <w:t>n</w:t>
      </w:r>
      <w:r>
        <w:t>do José Andrada</w:t>
      </w:r>
      <w:r>
        <w:rPr>
          <w:b/>
        </w:rPr>
        <w:t xml:space="preserve"> </w:t>
      </w:r>
      <w:r>
        <w:t>(ver informe m</w:t>
      </w:r>
      <w:r>
        <w:t>é</w:t>
      </w:r>
      <w:r>
        <w:t>dico a fs. 41/42 del anexo XVII y a fs. 136 del anexo XVIII); Moisés Chaufan (ver i</w:t>
      </w:r>
      <w:r>
        <w:t>n</w:t>
      </w:r>
      <w:r>
        <w:t>formes médicos a fs. 45/46 del anexo XVII e historias cl</w:t>
      </w:r>
      <w:r>
        <w:t>í</w:t>
      </w:r>
      <w:r>
        <w:t>nicas a fs. 369/378 del anexo XVIII, a fs. 75 del anexo XI y a fs. 25.320/25.329); Javier Horacio Miropolsky (ver i</w:t>
      </w:r>
      <w:r>
        <w:t>n</w:t>
      </w:r>
      <w:r>
        <w:t>formes médicos a fs. 48/49 del anexo XVII y hoja de gua</w:t>
      </w:r>
      <w:r>
        <w:t>r</w:t>
      </w:r>
      <w:r>
        <w:t>dia a fs. 25.623); Norma Heler de Lew (ver informes méd</w:t>
      </w:r>
      <w:r>
        <w:t>i</w:t>
      </w:r>
      <w:r>
        <w:t>cos a fs. 50/52 del anexo XVII y a fs. 178 del anexo XVIII, hist</w:t>
      </w:r>
      <w:r>
        <w:t>o</w:t>
      </w:r>
      <w:r>
        <w:t xml:space="preserve">rias clínicas a fs. 177/236 del último anexo y testimonios a fs. </w:t>
      </w:r>
      <w:r>
        <w:rPr>
          <w:rFonts w:eastAsia="Arial Unicode MS"/>
        </w:rPr>
        <w:t xml:space="preserve">118 del anexo XI y a </w:t>
      </w:r>
      <w:r>
        <w:rPr>
          <w:lang w:val="es-AR"/>
        </w:rPr>
        <w:t>fs. 9067/9068 del principal</w:t>
      </w:r>
      <w:r>
        <w:t>); Elena Schreiber de Falk (ver informes méd</w:t>
      </w:r>
      <w:r>
        <w:t>i</w:t>
      </w:r>
      <w:r>
        <w:t>cos a fs. 53/54 del anexo XVII y, en el anexo XVIII, informe a fs. 511/512 e historias clínicas a fs. 1/60 y a fs. 453/510); Raquel Angélica Álvarez (ver informes m</w:t>
      </w:r>
      <w:r>
        <w:t>é</w:t>
      </w:r>
      <w:r>
        <w:t xml:space="preserve">dicos a fs. 138/144 del anexo XVII, historia clínica a fs. 60/73 del anexo XVIII y sus testimonios de fs. 5755/5757 y de fs. 26.456); Martín José Viudez (ver informes médicos a fs. 57/59 del anexo XVII y hoja de guardia a fs. 25.627); </w:t>
      </w:r>
      <w:r>
        <w:rPr>
          <w:bCs/>
        </w:rPr>
        <w:t>Gregorio Marchak</w:t>
      </w:r>
      <w:r>
        <w:t xml:space="preserve"> (ver i</w:t>
      </w:r>
      <w:r>
        <w:t>n</w:t>
      </w:r>
      <w:r>
        <w:t>forme médico a fs. 72/75 del anexo XVII y a fs. 110 del anexo XI, como así también sus test</w:t>
      </w:r>
      <w:r>
        <w:t>i</w:t>
      </w:r>
      <w:r>
        <w:t xml:space="preserve">monios a </w:t>
      </w:r>
      <w:r>
        <w:rPr>
          <w:rFonts w:eastAsia="Arial Unicode MS"/>
        </w:rPr>
        <w:t xml:space="preserve">107 del anexo XI, a </w:t>
      </w:r>
      <w:r>
        <w:t xml:space="preserve">fs. </w:t>
      </w:r>
      <w:r>
        <w:rPr>
          <w:rFonts w:eastAsia="Arial Unicode MS"/>
        </w:rPr>
        <w:t>2518/2519 y a fs. 4689/4692</w:t>
      </w:r>
      <w:r>
        <w:t>); Luciano Javier Luppi</w:t>
      </w:r>
      <w:r>
        <w:rPr>
          <w:b/>
        </w:rPr>
        <w:t xml:space="preserve"> </w:t>
      </w:r>
      <w:r>
        <w:t>(ver info</w:t>
      </w:r>
      <w:r>
        <w:t>r</w:t>
      </w:r>
      <w:r>
        <w:t>me médico a fs. 80/81 del anexo XVII; informe de alta a fs. 146 del anexo XVIII y a fs. 76 del anexo XI); Rubén Samuel Chejfec (ver informe médico a fs. 82/88 del anexo XVII); Hermelinda Bermín Bello (ver informes m</w:t>
      </w:r>
      <w:r>
        <w:t>é</w:t>
      </w:r>
      <w:r>
        <w:t>dicos a fs. 98/101 del anexo XVII); Sergio Luis Bondar (ver informes médicos a fs. 110/114 del anexo XVII y a fs. 44 del anexo XI); Marta Beatriz Massoli de Luppi (ver informe médico a fs. 76/79 del anexo XVII; a fs. 170 del anexo XVIII y a fs. 76 del anexo XI); Jorge Osvaldo Ferretti</w:t>
      </w:r>
      <w:r>
        <w:rPr>
          <w:b/>
        </w:rPr>
        <w:t xml:space="preserve"> </w:t>
      </w:r>
      <w:r>
        <w:t>(ver i</w:t>
      </w:r>
      <w:r>
        <w:t>n</w:t>
      </w:r>
      <w:r>
        <w:t>formes médicos a fs. 409/413 y a fs. 428/429 del anexo XVIII); Claudio Al</w:t>
      </w:r>
      <w:r>
        <w:t>e</w:t>
      </w:r>
      <w:r>
        <w:t>jandro Weicman (ver informes médicos a fs. 162 y a fs. 589/591 del anexo XVIII); Jorge Eduardo Bordón (ver info</w:t>
      </w:r>
      <w:r>
        <w:t>r</w:t>
      </w:r>
      <w:r>
        <w:t>mes médicos a fs. 431/438 y a fs 518/519 del anexo XVIII); Ana María Balaszczuk de Cernadas (ver informe médico a fs. 77.120 e historias clínicas a fs. 77.100/77.109 y a fs. 361/368 del anexo XVIII); Horacio Diego Velázquez (ver constancias del Hospital de Clínicas a fs. 2401/2407; i</w:t>
      </w:r>
      <w:r>
        <w:t>n</w:t>
      </w:r>
      <w:r>
        <w:t>forme médico a fs. 2 y dictamen médico a fs. 4 del exp</w:t>
      </w:r>
      <w:r>
        <w:t>e</w:t>
      </w:r>
      <w:r>
        <w:t xml:space="preserve">diente nº 369.417 del Ministerio del Interior de </w:t>
      </w:r>
      <w:smartTag w:uri="urn:schemas-microsoft-com:office:smarttags" w:element="PersonName">
        <w:smartTagPr>
          <w:attr w:name="ProductID" w:val="la Naci￳n"/>
        </w:smartTagPr>
        <w:r>
          <w:t>la N</w:t>
        </w:r>
        <w:r>
          <w:t>a</w:t>
        </w:r>
        <w:r>
          <w:t>ción</w:t>
        </w:r>
      </w:smartTag>
      <w:r>
        <w:t>, carat</w:t>
      </w:r>
      <w:r>
        <w:t>u</w:t>
      </w:r>
      <w:r>
        <w:t>lado: “Velázquez, Horacio Diego s/subsidio”); Mónica Beatriz Barraganes (ver constancias del Ho</w:t>
      </w:r>
      <w:r>
        <w:t>s</w:t>
      </w:r>
      <w:r>
        <w:t>pital de Clínicas a fs. 2401/2407; informes médicos a fs. 142/144 y a fs. 350 del anexo XVIII, e informe y dictamen médico a fs. 2/4 y a fs. 7 del e</w:t>
      </w:r>
      <w:r>
        <w:t>x</w:t>
      </w:r>
      <w:r>
        <w:t xml:space="preserve">pediente del Ministerio del Inte-rior de </w:t>
      </w:r>
      <w:smartTag w:uri="urn:schemas-microsoft-com:office:smarttags" w:element="PersonName">
        <w:smartTagPr>
          <w:attr w:name="ProductID" w:val="la Naci￳n"/>
        </w:smartTagPr>
        <w:r>
          <w:t>la Nación</w:t>
        </w:r>
      </w:smartTag>
      <w:r>
        <w:t xml:space="preserve"> nº 368.530, caratulado: “Barraganes, M</w:t>
      </w:r>
      <w:r>
        <w:t>ó</w:t>
      </w:r>
      <w:r>
        <w:t>nica Beatriz s/subsidio”); Aldo Ernesto Macagno (ver con</w:t>
      </w:r>
      <w:r>
        <w:t>s</w:t>
      </w:r>
      <w:r>
        <w:t>tancias del Hospital de Clínicas a fs. 2401/2407, i</w:t>
      </w:r>
      <w:r>
        <w:t>n</w:t>
      </w:r>
      <w:r>
        <w:t>forme médico a fs. 1 y dictamen médico a fs. 4 del exp</w:t>
      </w:r>
      <w:r>
        <w:t>e</w:t>
      </w:r>
      <w:r>
        <w:t xml:space="preserve">diente nº 368.664 del Ministerio del Interior de </w:t>
      </w:r>
      <w:smartTag w:uri="urn:schemas-microsoft-com:office:smarttags" w:element="PersonName">
        <w:smartTagPr>
          <w:attr w:name="ProductID" w:val="la Naci￳n"/>
        </w:smartTagPr>
        <w:r>
          <w:t>la Nación</w:t>
        </w:r>
      </w:smartTag>
      <w:r>
        <w:t>, carat</w:t>
      </w:r>
      <w:r>
        <w:t>u</w:t>
      </w:r>
      <w:r>
        <w:t>lado: “Macagno, Aldo Ernesto s/subsidio”); Adolfo Guido Guzmán (ver constancia del Ho</w:t>
      </w:r>
      <w:r>
        <w:t>s</w:t>
      </w:r>
      <w:r>
        <w:t>pital Churruca a fs. 28.753; informe médico a fs. 5 y dictamen médico a fs. 6 del exp</w:t>
      </w:r>
      <w:r>
        <w:t>e</w:t>
      </w:r>
      <w:r>
        <w:t xml:space="preserve">diente nº 368.520 del Ministerio del Interior de </w:t>
      </w:r>
      <w:smartTag w:uri="urn:schemas-microsoft-com:office:smarttags" w:element="PersonName">
        <w:smartTagPr>
          <w:attr w:name="ProductID" w:val="la Naci￳n"/>
        </w:smartTagPr>
        <w:r>
          <w:t>la N</w:t>
        </w:r>
        <w:r>
          <w:t>a</w:t>
        </w:r>
        <w:r>
          <w:t>ción</w:t>
        </w:r>
      </w:smartTag>
      <w:r>
        <w:t>, caratulado: “Guzmán, Adolfo Guido s/subsidio”); M</w:t>
      </w:r>
      <w:r>
        <w:t>a</w:t>
      </w:r>
      <w:r>
        <w:t>rio Ernesto Damp (ver informes médicos de fs. 64/66 y 119/120 del anexo XVII; historia cl</w:t>
      </w:r>
      <w:r>
        <w:t>í</w:t>
      </w:r>
      <w:r>
        <w:t xml:space="preserve">nica a fs. 237/255 del anexo XVIII y sus propios dichos en el debate en cuanto afirmó que en la actualidad tiene la vista nublada y el cuerpo lleno de vidrios) y Horacio  Dragubitzky  (ver  diagnóstico a fs. 312, historia clínica a fs. </w:t>
      </w:r>
      <w:r>
        <w:rPr>
          <w:lang w:val="es-ES_tradnl"/>
        </w:rPr>
        <w:t xml:space="preserve">318/325, </w:t>
      </w:r>
      <w:r>
        <w:t>i</w:t>
      </w:r>
      <w:r>
        <w:t>n</w:t>
      </w:r>
      <w:r>
        <w:t>forme médico a fs. 353 del anexo XVIII y sus dichos en punto a que se le incrustaron en su rostro varias esqui</w:t>
      </w:r>
      <w:r>
        <w:t>r</w:t>
      </w:r>
      <w:r>
        <w:t>las, una de las cuales i</w:t>
      </w:r>
      <w:r>
        <w:t>n</w:t>
      </w:r>
      <w:r>
        <w:t>gresó en su boca.</w:t>
      </w:r>
    </w:p>
    <w:p w:rsidR="00224567" w:rsidRDefault="00224567">
      <w:pPr>
        <w:pStyle w:val="Sangra3detindependiente"/>
        <w:widowControl w:val="0"/>
        <w:spacing w:line="600" w:lineRule="auto"/>
        <w:ind w:firstLine="0"/>
      </w:pPr>
      <w:r>
        <w:tab/>
        <w:t>A los informes médicos enunciados se agregan los testimonios que brindaron en las sucesivas a</w:t>
      </w:r>
      <w:r>
        <w:t>u</w:t>
      </w:r>
      <w:r>
        <w:t>diencias de debate las víctimas del hecho, dando cuenta de su presencia en los alrededores del edificio o en su int</w:t>
      </w:r>
      <w:r>
        <w:t>e</w:t>
      </w:r>
      <w:r>
        <w:t>rior, al momento de ocurrir la explosión.</w:t>
      </w:r>
    </w:p>
    <w:p w:rsidR="00224567" w:rsidRDefault="00224567">
      <w:pPr>
        <w:widowControl w:val="0"/>
      </w:pPr>
      <w:r>
        <w:tab/>
        <w:t>Así, Daniel Joffe se encontraba arr</w:t>
      </w:r>
      <w:r>
        <w:t>e</w:t>
      </w:r>
      <w:r>
        <w:t>glando su vehículo a unos pocos metros de la puerta de la mutual; el barrendero Juan Carlos Álvarez desarr</w:t>
      </w:r>
      <w:r>
        <w:t>o</w:t>
      </w:r>
      <w:r>
        <w:t>llaba su tarea en el frente del edificio y Humberto Chiesa y Raúl Alberto Sánchez fueron a</w:t>
      </w:r>
      <w:r>
        <w:t>l</w:t>
      </w:r>
      <w:r>
        <w:t>canzados por la onda expansiva en oportunidad de encontrarse en la i</w:t>
      </w:r>
      <w:r>
        <w:t>m</w:t>
      </w:r>
      <w:r>
        <w:t>prenta de Pasteur 630, ubicada frente a la mutual.</w:t>
      </w:r>
    </w:p>
    <w:p w:rsidR="00224567" w:rsidRDefault="00224567">
      <w:pPr>
        <w:widowControl w:val="0"/>
        <w:rPr>
          <w:b/>
        </w:rPr>
      </w:pPr>
      <w:r>
        <w:tab/>
        <w:t>Dentro de la entidad judía, el mozo Gustavo Martín Cano se había dirigido al subsuelo y fue sorprendido por la explosión cuando estaba lavando la v</w:t>
      </w:r>
      <w:r>
        <w:t>a</w:t>
      </w:r>
      <w:r>
        <w:t>jilla; en ese lugar permaneció oprimido por trozos de ma</w:t>
      </w:r>
      <w:r>
        <w:t>m</w:t>
      </w:r>
      <w:r>
        <w:t>postería hasta que, tras doce horas, fue rescatado. Al</w:t>
      </w:r>
      <w:r>
        <w:t>e</w:t>
      </w:r>
      <w:r>
        <w:t>jandro Saúl Miroc</w:t>
      </w:r>
      <w:r>
        <w:t>h</w:t>
      </w:r>
      <w:r>
        <w:t xml:space="preserve">nik, encargado de prensa de </w:t>
      </w:r>
      <w:smartTag w:uri="urn:schemas-microsoft-com:office:smarttags" w:element="PersonName">
        <w:smartTagPr>
          <w:attr w:name="ProductID" w:val="la D.A"/>
        </w:smartTagPr>
        <w:r>
          <w:t>la D.A</w:t>
        </w:r>
      </w:smartTag>
      <w:r>
        <w:t>.I.A., recordó haber permanecido aprisionado unas nueve horas  dentro de un ascensor, fracturándose la tibia y el peroné; Martín José Viudez estaba en el piso segundo armando unos muebles junto a su compañero Danilo Norberto Villaverde, fallecido con motivo del siniestro y el encargado del D</w:t>
      </w:r>
      <w:r>
        <w:t>e</w:t>
      </w:r>
      <w:r>
        <w:t>partamento de Socios, Rubén Samuel Chejfec</w:t>
      </w:r>
      <w:r>
        <w:rPr>
          <w:b/>
        </w:rPr>
        <w:t xml:space="preserve">, </w:t>
      </w:r>
      <w:r>
        <w:t>quien logró escapar de entre las ruinas a través de un puente ubicado en los fondos de la mutual. El arquitecto de la mutual Claudio Weicman recorría el sótano al momento del estall</w:t>
      </w:r>
      <w:r>
        <w:t>i</w:t>
      </w:r>
      <w:r>
        <w:t>do, logrando salir por el frente del edificio.</w:t>
      </w:r>
    </w:p>
    <w:p w:rsidR="00224567" w:rsidRDefault="00224567">
      <w:pPr>
        <w:widowControl w:val="0"/>
      </w:pPr>
      <w:r>
        <w:tab/>
        <w:t>Rosa Montano de Barreiros, madre de una de las víctimas fatales, fue sorprendida por la expl</w:t>
      </w:r>
      <w:r>
        <w:t>o</w:t>
      </w:r>
      <w:r>
        <w:t xml:space="preserve">sión mientras caminaba por Pasteur, a pocos metros de la puerta del edificio de </w:t>
      </w:r>
      <w:smartTag w:uri="urn:schemas-microsoft-com:office:smarttags" w:element="PersonName">
        <w:smartTagPr>
          <w:attr w:name="ProductID" w:val="la A.M"/>
        </w:smartTagPr>
        <w:r>
          <w:t>la A.M</w:t>
        </w:r>
      </w:smartTag>
      <w:r>
        <w:t>.I.A., en tanto Daniel Osva</w:t>
      </w:r>
      <w:r>
        <w:t>l</w:t>
      </w:r>
      <w:r>
        <w:t>do Saravia, Fernando José Andrada, Angélica Ester Leiva y Leonor Marina Fuster también transitaban por dicha arteria al momento del estallido, ref</w:t>
      </w:r>
      <w:r>
        <w:t>i</w:t>
      </w:r>
      <w:r>
        <w:t>riendo esta última que de su cuerpo le extrajeron entre trei</w:t>
      </w:r>
      <w:r>
        <w:t>n</w:t>
      </w:r>
      <w:r>
        <w:t>ta y cuarenta esquirlas.</w:t>
      </w:r>
    </w:p>
    <w:p w:rsidR="00224567" w:rsidRDefault="00224567">
      <w:pPr>
        <w:widowControl w:val="0"/>
      </w:pPr>
      <w:r>
        <w:tab/>
        <w:t>El comerciante Moisés Chaufan, según afirmó su hijo Alberto Marcelo, debió permanecer en su l</w:t>
      </w:r>
      <w:r>
        <w:t>o</w:t>
      </w:r>
      <w:r>
        <w:t>cal de Pasteur 626 desde instantes después de la catástr</w:t>
      </w:r>
      <w:r>
        <w:t>o</w:t>
      </w:r>
      <w:r>
        <w:t>fe, debajo de una montaña de escombros, en tanto Elena Schreiber de Falk fue sorprendida en el kiosco que ate</w:t>
      </w:r>
      <w:r>
        <w:t>n</w:t>
      </w:r>
      <w:r>
        <w:t>día, ubicado enfrente de la mutual. Por su parte, Luciano Javier Luppi, que en ese entonces contaba con siete años de edad, fue herido en el negocio de juguetería que fu</w:t>
      </w:r>
      <w:r>
        <w:t>n</w:t>
      </w:r>
      <w:r>
        <w:t>cionaba en Pasteur 636, según declararon sus padres Hé</w:t>
      </w:r>
      <w:r>
        <w:t>c</w:t>
      </w:r>
      <w:r>
        <w:t>tor Eduardo y Marta Beatriz Massoli, quien también sufrió l</w:t>
      </w:r>
      <w:r>
        <w:t>e</w:t>
      </w:r>
      <w:r>
        <w:t>siones de magnitud en esas mismas circunstancias. Herm</w:t>
      </w:r>
      <w:r>
        <w:t>e</w:t>
      </w:r>
      <w:r>
        <w:t>linda Bermín Bello trabajaba en el piso 8º del edificio contiguo a la mutual y debió ser intervenida quirúrgic</w:t>
      </w:r>
      <w:r>
        <w:t>a</w:t>
      </w:r>
      <w:r>
        <w:t>mente por una lesión en su cabeza. Sergio Luis Bondar</w:t>
      </w:r>
      <w:r>
        <w:rPr>
          <w:b/>
        </w:rPr>
        <w:t xml:space="preserve"> </w:t>
      </w:r>
      <w:r>
        <w:t>atendía la agencia de quiniela s</w:t>
      </w:r>
      <w:r>
        <w:t>i</w:t>
      </w:r>
      <w:r>
        <w:t>tuada casi en la esquina de la calle Tucumán y se lesionó a causa del estallido de los vidrios.</w:t>
      </w:r>
    </w:p>
    <w:p w:rsidR="00224567" w:rsidRDefault="00224567">
      <w:pPr>
        <w:widowControl w:val="0"/>
      </w:pPr>
      <w:r>
        <w:tab/>
        <w:t>Jorge Osvaldo Ferretti, en un neg</w:t>
      </w:r>
      <w:r>
        <w:t>o</w:t>
      </w:r>
      <w:r>
        <w:t>cio próximo al anterior, sintió un fuego, siendo despedido unos siete metros hacia atrás a causa de un golpe en su frente. En Pasteur 622 Mario Ernesto Damp atendía su local de fotografías y, de acuerdo a su testimonio, una fuerza lo impulsó hacia arriba y contra una de las paredes, qu</w:t>
      </w:r>
      <w:r>
        <w:t>e</w:t>
      </w:r>
      <w:r>
        <w:t>dando ciego por unos instantes. Horacio Dragubitzky se e</w:t>
      </w:r>
      <w:r>
        <w:t>n</w:t>
      </w:r>
      <w:r>
        <w:t>contraba en su local de Pasteur 614 y una esquirla le pr</w:t>
      </w:r>
      <w:r>
        <w:t>o</w:t>
      </w:r>
      <w:r>
        <w:t>vocó una lesión en la boca, debido a ello permaneció i</w:t>
      </w:r>
      <w:r>
        <w:t>n</w:t>
      </w:r>
      <w:r>
        <w:t>tern</w:t>
      </w:r>
      <w:r>
        <w:t>a</w:t>
      </w:r>
      <w:r>
        <w:t>do en el Hospital Alemán durante 10 días.</w:t>
      </w:r>
    </w:p>
    <w:p w:rsidR="00224567" w:rsidRDefault="00224567">
      <w:pPr>
        <w:widowControl w:val="0"/>
      </w:pPr>
      <w:r>
        <w:tab/>
        <w:t>La onda expansiva también alcanzó al policía Bordón, que estaba en el interior del patrull</w:t>
      </w:r>
      <w:r>
        <w:t>e</w:t>
      </w:r>
      <w:r>
        <w:t>ro, quien recordó que al momento de la explosión “si</w:t>
      </w:r>
      <w:r>
        <w:t>n</w:t>
      </w:r>
      <w:r>
        <w:t>tió como que se inflaba”, en tanto su co</w:t>
      </w:r>
      <w:r>
        <w:t>m</w:t>
      </w:r>
      <w:r>
        <w:t>pañero Adolfo Guido Guzmán se encontraba en el interior del bar “Kaoba”, situado frente a la m</w:t>
      </w:r>
      <w:r>
        <w:t>u</w:t>
      </w:r>
      <w:r>
        <w:t>tual.</w:t>
      </w:r>
    </w:p>
    <w:p w:rsidR="00224567" w:rsidRDefault="00224567">
      <w:pPr>
        <w:widowControl w:val="0"/>
      </w:pPr>
      <w:r>
        <w:tab/>
        <w:t>En su departamento del piso 7º de Pa</w:t>
      </w:r>
      <w:r>
        <w:t>s</w:t>
      </w:r>
      <w:r>
        <w:t>teur 632, Ana María Balaszczuk de Cernadas sufrió diversas lesiones al igual que sus dos hijos. En ese mismo edif</w:t>
      </w:r>
      <w:r>
        <w:t>i</w:t>
      </w:r>
      <w:r>
        <w:t>cio, en el piso 3º, Horacio Diego Velázquez, familiar de dos personas fallecidas en el l</w:t>
      </w:r>
      <w:r>
        <w:t>u</w:t>
      </w:r>
      <w:r>
        <w:t>gar, sufrió lesiones en su pierna a causa de la i</w:t>
      </w:r>
      <w:r>
        <w:t>n</w:t>
      </w:r>
      <w:r>
        <w:t>crustación de un cilindro metálico. Mónica Beatriz Barraganes cayó contra el mostrador de la mercería “Macagno”, ubicado en Pasteur 619 y, a raíz del estallido de vidrios, sufrió la rotura de la córnea y co</w:t>
      </w:r>
      <w:r>
        <w:t>r</w:t>
      </w:r>
      <w:r>
        <w:t>tes en la cara y en unas de sus piernas. En el mismo l</w:t>
      </w:r>
      <w:r>
        <w:t>o</w:t>
      </w:r>
      <w:r>
        <w:t>cal, la onda expansiva arrojó al suelo a su titular Aldo Ernesto Macagno quien, a causa de las heridas que recibió en distintas partes del cuerpo, permaneció internado en el Hospital de Cl</w:t>
      </w:r>
      <w:r>
        <w:t>í</w:t>
      </w:r>
      <w:r>
        <w:t>nicas por dos semanas.</w:t>
      </w:r>
    </w:p>
    <w:p w:rsidR="00224567" w:rsidRDefault="00224567">
      <w:pPr>
        <w:pStyle w:val="Sangra3detindependiente"/>
        <w:widowControl w:val="0"/>
        <w:spacing w:line="600" w:lineRule="auto"/>
        <w:ind w:firstLine="0"/>
      </w:pPr>
      <w:r>
        <w:tab/>
        <w:t>Si bien Pablo Ayala Rodríguez y J</w:t>
      </w:r>
      <w:r>
        <w:t>a</w:t>
      </w:r>
      <w:r>
        <w:t>vier Horacio Miropolsky no prestaron declaración test</w:t>
      </w:r>
      <w:r>
        <w:t>i</w:t>
      </w:r>
      <w:r>
        <w:t xml:space="preserve">monial en el debate, las </w:t>
      </w:r>
      <w:r>
        <w:rPr>
          <w:bCs/>
        </w:rPr>
        <w:t>constancias arriba s</w:t>
      </w:r>
      <w:r>
        <w:rPr>
          <w:bCs/>
        </w:rPr>
        <w:t>e</w:t>
      </w:r>
      <w:r>
        <w:rPr>
          <w:bCs/>
        </w:rPr>
        <w:t>ñaladas</w:t>
      </w:r>
      <w:r>
        <w:t xml:space="preserve"> y la índole de las dolencias que sufrieron llevan al convencimiento ace</w:t>
      </w:r>
      <w:r>
        <w:t>r</w:t>
      </w:r>
      <w:r>
        <w:t>ca de sus presencias en el lugar al momento de la expl</w:t>
      </w:r>
      <w:r>
        <w:t>o</w:t>
      </w:r>
      <w:r>
        <w:t>sión y, por ende, que las lesiones informadas fueron co</w:t>
      </w:r>
      <w:r>
        <w:t>n</w:t>
      </w:r>
      <w:r>
        <w:t>secuencia del atentado.</w:t>
      </w:r>
    </w:p>
    <w:p w:rsidR="00224567" w:rsidRDefault="00224567">
      <w:pPr>
        <w:widowControl w:val="0"/>
        <w:rPr>
          <w:bCs/>
        </w:rPr>
      </w:pPr>
      <w:r>
        <w:rPr>
          <w:b/>
          <w:bCs/>
        </w:rPr>
        <w:tab/>
        <w:t>A.7)</w:t>
      </w:r>
      <w:r>
        <w:t xml:space="preserve"> Que también como consecue</w:t>
      </w:r>
      <w:r>
        <w:t>n</w:t>
      </w:r>
      <w:r>
        <w:t>cia de la explosión presentaron lesiones leves las siguientes personas: Berta Abousky de Palais (ver informe médico a fs. 76 del anexo XVIII); Silvio Duniec (ver diagnóstico, historia clínica e informe médico a fs. 312, 313/317 y 332, respectivamente, del anexo XVIII; informe médico a fs. 105/109 del anexo XVII y fot</w:t>
      </w:r>
      <w:r>
        <w:t>o</w:t>
      </w:r>
      <w:r>
        <w:t>grafías a fs. 140/141 del anexo XI); Inés Vicenta López de Duniec (ver di</w:t>
      </w:r>
      <w:r>
        <w:t>a</w:t>
      </w:r>
      <w:r>
        <w:t>gnóstico e informe médico a fs. 312 y 329, re</w:t>
      </w:r>
      <w:r>
        <w:t>s</w:t>
      </w:r>
      <w:r>
        <w:t>pectivamente, del anexo XVIII); Arturo Gritti (ver i</w:t>
      </w:r>
      <w:r>
        <w:t>n</w:t>
      </w:r>
      <w:r>
        <w:t>forme médico a fs. 67/70 del anexo XVII y diagnóstico e informe a fs. 312 y 331, re</w:t>
      </w:r>
      <w:r>
        <w:t>s</w:t>
      </w:r>
      <w:r>
        <w:t>pectivamente, del anexo XVIII); Alejandro Daniel Verri (ver informe médico a fs. 335 del anexo XVIII); Laura A</w:t>
      </w:r>
      <w:r>
        <w:t>n</w:t>
      </w:r>
      <w:r>
        <w:t>drea Moragues (ver informe médico a fs. 336 del anexo XVIII); Lidia Bernard</w:t>
      </w:r>
      <w:r>
        <w:t>i</w:t>
      </w:r>
      <w:r>
        <w:t>ta Cazal Martí (ver informe médico a fs. 337 del anexo XVIII); Juan Aldo Lujan (ver informe m</w:t>
      </w:r>
      <w:r>
        <w:t>é</w:t>
      </w:r>
      <w:r>
        <w:t>dico a fs. 342 del anexo XVIII); Gustavo Spinelli (ver h</w:t>
      </w:r>
      <w:r>
        <w:t>o</w:t>
      </w:r>
      <w:r>
        <w:t>ja de guardia a fs. 388 del anexo XVIII); Norma Gladys Mansilla (ver hoja de guardia a fs. 25.626); Gladys Erne</w:t>
      </w:r>
      <w:r>
        <w:t>s</w:t>
      </w:r>
      <w:r>
        <w:t>tina Perona de Lis</w:t>
      </w:r>
      <w:r>
        <w:t>a</w:t>
      </w:r>
      <w:r>
        <w:t>zo (ver hoja de guardia a fs. 25.639); Ramón Máximo Gutmann (ver hoja de guardia a fs. 25.632 e historia clínica a fs. 6/21 del anexo XVII); Verónica L</w:t>
      </w:r>
      <w:r>
        <w:t>o</w:t>
      </w:r>
      <w:r>
        <w:t>rena Pate (ver informe médico a fs. 31 del anexo XI); Adriana Verónica Rosa S</w:t>
      </w:r>
      <w:r>
        <w:t>i</w:t>
      </w:r>
      <w:r>
        <w:t>billa (ver informe médico a fs. 32 del anexo XI); Gabriel León Roffe (ver informe médico a fs. 78 del anexo XI); Claudia Cristina Vicente de Liano (ver informe médico a fs. 79 del anexo XI); Adolfo Yabo (ver informe médico a fs. 80 del anexo XI); María Elsa C</w:t>
      </w:r>
      <w:r>
        <w:t>e</w:t>
      </w:r>
      <w:r>
        <w:t>na (ver informe médico a fs. 81 del anexo XI); Héctor A</w:t>
      </w:r>
      <w:r>
        <w:t>l</w:t>
      </w:r>
      <w:r>
        <w:t>berto A</w:t>
      </w:r>
      <w:r>
        <w:t>r</w:t>
      </w:r>
      <w:r>
        <w:t>ce (ver informe médico fs. 211 del anexo XI); Rita Raquel Ramírez (ver informe m</w:t>
      </w:r>
      <w:r>
        <w:t>é</w:t>
      </w:r>
      <w:r>
        <w:t>dico a fs. 535/536 del anexo XVIII); Jorge Alberto Machaca (ver constancias del Hosp</w:t>
      </w:r>
      <w:r>
        <w:t>i</w:t>
      </w:r>
      <w:r>
        <w:t xml:space="preserve">tal de Clínicas a fs. 2401/2407; informe de alta a fs. 168 del anexo XVIII y fs. 7/8 del expediente de subsidio nº 369.020 del Ministerio del Interior de </w:t>
      </w:r>
      <w:smartTag w:uri="urn:schemas-microsoft-com:office:smarttags" w:element="PersonName">
        <w:smartTagPr>
          <w:attr w:name="ProductID" w:val="la Naci￳n"/>
        </w:smartTagPr>
        <w:r>
          <w:t>la Nación</w:t>
        </w:r>
      </w:smartTag>
      <w:r>
        <w:t xml:space="preserve"> caratul</w:t>
      </w:r>
      <w:r>
        <w:t>a</w:t>
      </w:r>
      <w:r>
        <w:t>do: “Machaca, Alberto s/subsidio”); Osvaldo Héctor Pérez (ver certificado de alta a fs. 5 y di</w:t>
      </w:r>
      <w:r>
        <w:t>c</w:t>
      </w:r>
      <w:r>
        <w:t xml:space="preserve">tamen médico a fs. 7 del expediente nº 370.248 del Ministerio del Interior de </w:t>
      </w:r>
      <w:smartTag w:uri="urn:schemas-microsoft-com:office:smarttags" w:element="PersonName">
        <w:smartTagPr>
          <w:attr w:name="ProductID" w:val="la Naci￳n"/>
        </w:smartTagPr>
        <w:r>
          <w:t>la Nación</w:t>
        </w:r>
      </w:smartTag>
      <w:r>
        <w:t>, carat</w:t>
      </w:r>
      <w:r>
        <w:t>u</w:t>
      </w:r>
      <w:r>
        <w:t>lado: Pérez, Osvaldo Héctor s/subsidio); Ramona Miño (ver constancias del Hospital de Clínicas a fs. 2401/2407 y certificado, i</w:t>
      </w:r>
      <w:r>
        <w:t>n</w:t>
      </w:r>
      <w:r>
        <w:t xml:space="preserve">formes y dictamen médicos a fs. 1/2, 5, 7 y 10 del expediente 368.672 del Ministerio del Interior de </w:t>
      </w:r>
      <w:smartTag w:uri="urn:schemas-microsoft-com:office:smarttags" w:element="PersonName">
        <w:smartTagPr>
          <w:attr w:name="ProductID" w:val="la Naci￳n"/>
        </w:smartTagPr>
        <w:r>
          <w:t>la Nación</w:t>
        </w:r>
      </w:smartTag>
      <w:r>
        <w:t>, caratulado: “Miño, Ramona s/subsidio”); Ana María Rivas de Rikap (ver constancias del Hospital de Cl</w:t>
      </w:r>
      <w:r>
        <w:t>í</w:t>
      </w:r>
      <w:r>
        <w:t xml:space="preserve">nicas a fs. 2401/2407 y a fs. 1, 4, 5 y 7 del expediente nº 368.578 del Ministerio del Interior de </w:t>
      </w:r>
      <w:smartTag w:uri="urn:schemas-microsoft-com:office:smarttags" w:element="PersonName">
        <w:smartTagPr>
          <w:attr w:name="ProductID" w:val="la Naci￳n"/>
        </w:smartTagPr>
        <w:r>
          <w:t>la Nación</w:t>
        </w:r>
      </w:smartTag>
      <w:r>
        <w:t>, caratulado: “Rivas, Ana María s/subsidio); Adriana Beatriz Schett</w:t>
      </w:r>
      <w:r>
        <w:t>i</w:t>
      </w:r>
      <w:r>
        <w:t>no (ver constancias del Hospital de Cl</w:t>
      </w:r>
      <w:r>
        <w:t>í</w:t>
      </w:r>
      <w:r>
        <w:t xml:space="preserve">nicas a fs. 2401/2407 y certificado y dictamen médicos a fs. 1/2 y 6 del expediente nº 369.027 del Ministerio del Interior de </w:t>
      </w:r>
      <w:smartTag w:uri="urn:schemas-microsoft-com:office:smarttags" w:element="PersonName">
        <w:smartTagPr>
          <w:attr w:name="ProductID" w:val="la Naci￳n"/>
        </w:smartTagPr>
        <w:r>
          <w:t>la Nación</w:t>
        </w:r>
      </w:smartTag>
      <w:r>
        <w:t>, caratulado: “Schettino, Adriana Beatriz s/subsidio”); Susana Cecilia Lacour (ver diagnó</w:t>
      </w:r>
      <w:r>
        <w:t>s</w:t>
      </w:r>
      <w:r>
        <w:t>ticos a fs. 312 del anexo XVIII y a fs. 25.715/25.716; constancias a fs. 4/5 y dictamen medico a fs. 6 del exp</w:t>
      </w:r>
      <w:r>
        <w:t>e</w:t>
      </w:r>
      <w:r>
        <w:t xml:space="preserve">diente nº 368.523 del Ministerio del Interior de </w:t>
      </w:r>
      <w:smartTag w:uri="urn:schemas-microsoft-com:office:smarttags" w:element="PersonName">
        <w:smartTagPr>
          <w:attr w:name="ProductID" w:val="la Naci￳n"/>
        </w:smartTagPr>
        <w:r>
          <w:t>la N</w:t>
        </w:r>
        <w:r>
          <w:t>a</w:t>
        </w:r>
        <w:r>
          <w:t>ción</w:t>
        </w:r>
      </w:smartTag>
      <w:r>
        <w:t>, caratulado: “Lacour, Susana Cecilia s/subsidio”); Alberto Brescia (ver diagnóstico a fs. 25.015/25.018; i</w:t>
      </w:r>
      <w:r>
        <w:t>n</w:t>
      </w:r>
      <w:r>
        <w:t xml:space="preserve">forme y dictamen médicos a fs. 6 y 8 del expediente nº 368.456 del Ministerio del Interior de </w:t>
      </w:r>
      <w:smartTag w:uri="urn:schemas-microsoft-com:office:smarttags" w:element="PersonName">
        <w:smartTagPr>
          <w:attr w:name="ProductID" w:val="la Naci￳n"/>
        </w:smartTagPr>
        <w:r>
          <w:t>la Nación</w:t>
        </w:r>
      </w:smartTag>
      <w:r>
        <w:t>, carat</w:t>
      </w:r>
      <w:r>
        <w:t>u</w:t>
      </w:r>
      <w:r>
        <w:t>lado: “Bre</w:t>
      </w:r>
      <w:r>
        <w:t>s</w:t>
      </w:r>
      <w:r>
        <w:t xml:space="preserve">cia, Alberto s/subsidio”); Jorge Miguel Andrada (ver constancia a fs. 25.726/25.730 y a fs. 2, 5 y 8 del expediente nº 368.647 del Ministerio del Interior de </w:t>
      </w:r>
      <w:smartTag w:uri="urn:schemas-microsoft-com:office:smarttags" w:element="PersonName">
        <w:smartTagPr>
          <w:attr w:name="ProductID" w:val="la Naci￳n"/>
        </w:smartTagPr>
        <w:r>
          <w:t>la Nación</w:t>
        </w:r>
      </w:smartTag>
      <w:r>
        <w:t>, caratulado: “Andrada, Jo</w:t>
      </w:r>
      <w:r>
        <w:t>r</w:t>
      </w:r>
      <w:r>
        <w:t xml:space="preserve">ge Miguel s/subsidios”); Silvia Castillo Benítez (ver informe de alta a fs. 172 del anexo XVIII y certificado y dictamen médico a fs. 4 y 6 del expediente nº 368.772 del Ministerio del Interior de </w:t>
      </w:r>
      <w:smartTag w:uri="urn:schemas-microsoft-com:office:smarttags" w:element="PersonName">
        <w:smartTagPr>
          <w:attr w:name="ProductID" w:val="la Naci￳n"/>
        </w:smartTagPr>
        <w:r>
          <w:t>la Nación</w:t>
        </w:r>
      </w:smartTag>
      <w:r>
        <w:t>, caratulado: “Castillo Benítez, Silvio s/subsidio”); Mariana Andrea Sandkovsky (ver di</w:t>
      </w:r>
      <w:r>
        <w:t>a</w:t>
      </w:r>
      <w:r>
        <w:t>gnóstico a fs. 25.015/25.018 y constancias fs. 2/3, 7 y dictamen m</w:t>
      </w:r>
      <w:r>
        <w:t>é</w:t>
      </w:r>
      <w:r>
        <w:t xml:space="preserve">dico de fs. 8 del expediente nº 369.239 del Ministerio del Interior de </w:t>
      </w:r>
      <w:smartTag w:uri="urn:schemas-microsoft-com:office:smarttags" w:element="PersonName">
        <w:smartTagPr>
          <w:attr w:name="ProductID" w:val="la Naci￳n"/>
        </w:smartTagPr>
        <w:r>
          <w:t>la Nación</w:t>
        </w:r>
      </w:smartTag>
      <w:r>
        <w:t>, caratulado: “Sandkovsky, Mariana s/subsidio”); Dolores I</w:t>
      </w:r>
      <w:r>
        <w:t>n</w:t>
      </w:r>
      <w:r>
        <w:t>súa Calo (ver informe médico a fs. 328 del anexo XVIII y certificado y dictamen médico a fs. 2 y 5 del expediente nº 368.756 del Ministerio del I</w:t>
      </w:r>
      <w:r>
        <w:t>n</w:t>
      </w:r>
      <w:r>
        <w:t xml:space="preserve">te-rior de </w:t>
      </w:r>
      <w:smartTag w:uri="urn:schemas-microsoft-com:office:smarttags" w:element="PersonName">
        <w:smartTagPr>
          <w:attr w:name="ProductID" w:val="la Naci￳n"/>
        </w:smartTagPr>
        <w:r>
          <w:t>la Nación</w:t>
        </w:r>
      </w:smartTag>
      <w:r>
        <w:t>, caratulado: “Calo, Dolores s/subsidio”); Edmundo Horacio Baron (ver constancias del Hospital Ramos Mejía a fs. 25.155/25.157 e informes y di</w:t>
      </w:r>
      <w:r>
        <w:t>c</w:t>
      </w:r>
      <w:r>
        <w:t>tamen médicos obrantes en el expediente nº 369.971 del M</w:t>
      </w:r>
      <w:r>
        <w:t>i</w:t>
      </w:r>
      <w:r>
        <w:t xml:space="preserve">nisterio del Interior de </w:t>
      </w:r>
      <w:smartTag w:uri="urn:schemas-microsoft-com:office:smarttags" w:element="PersonName">
        <w:smartTagPr>
          <w:attr w:name="ProductID" w:val="la Naci￳n"/>
        </w:smartTagPr>
        <w:r>
          <w:t>la Nación</w:t>
        </w:r>
      </w:smartTag>
      <w:r>
        <w:t>, caratulado “Baron, E</w:t>
      </w:r>
      <w:r>
        <w:t>d</w:t>
      </w:r>
      <w:r>
        <w:t>mundo Hor</w:t>
      </w:r>
      <w:r>
        <w:t>a</w:t>
      </w:r>
      <w:r>
        <w:t>cio s/subsidio”); Luisa Miednik (ver constancias del Hospital de Clínicas a fs. 2401/2407 y sus dichos en la audiencia en relación a que sufrió un golpe en la ci</w:t>
      </w:r>
      <w:r>
        <w:t>n</w:t>
      </w:r>
      <w:r>
        <w:t>tura cerca del hígado y cortes en las piernas); José Longo (ver informe m</w:t>
      </w:r>
      <w:r>
        <w:t>é</w:t>
      </w:r>
      <w:r>
        <w:t>dico a fs. 353 del anexo XVIII y sus dichos en punto a que a causa del siniestro sufrió fracturas de dos o tres costillas); María Beatriz Rivera Méndez (ver constancias del Hospital de Clínicas a fs. 2401/2407 y listado, informe y dictamen méd</w:t>
      </w:r>
      <w:r>
        <w:t>i</w:t>
      </w:r>
      <w:r>
        <w:t xml:space="preserve">cos a fs. 2, 4, 5 y 6 del expediente nº 368.762 del Ministerio del Interior de </w:t>
      </w:r>
      <w:smartTag w:uri="urn:schemas-microsoft-com:office:smarttags" w:element="PersonName">
        <w:smartTagPr>
          <w:attr w:name="ProductID" w:val="la Naci￳n"/>
        </w:smartTagPr>
        <w:r>
          <w:t>la Nación</w:t>
        </w:r>
      </w:smartTag>
      <w:r>
        <w:t>, caratulado: “Rivera Méndez, María Beatriz s/subsidio”); Raquel Ester Goberman (ver constancias del Sanatorio “Mitre” a fs. 25.015/25.018); Claudio Alejandro Castro (ver consta</w:t>
      </w:r>
      <w:r>
        <w:t>n</w:t>
      </w:r>
      <w:r>
        <w:t>cia a fs. 96/97 del anexo XI); Aída Eva Stolarsky de Bedne (ver historia Clínica a fs. 264/311 del anexo XVIII), Ca</w:t>
      </w:r>
      <w:r>
        <w:t>r</w:t>
      </w:r>
      <w:r>
        <w:t>los Romagnani (ver informes médicos a fs. 347 del anexo XVIII y a fs. 220 del anexo XI); Carlos A</w:t>
      </w:r>
      <w:r>
        <w:t>l</w:t>
      </w:r>
      <w:r>
        <w:t>berto Flores (ver constancias del Hospital de Clínicas a fs. 2401/2407 y hoja de alta a fs. 166 del anexo XVIII); Esther Beatriz Segelis de Dobniewski (ver con</w:t>
      </w:r>
      <w:r>
        <w:t>s</w:t>
      </w:r>
      <w:r>
        <w:t>tancias del Hospital Ramos Mejía a fs. 25.155/25.157); Gustavo Cern</w:t>
      </w:r>
      <w:r>
        <w:t>a</w:t>
      </w:r>
      <w:r>
        <w:t>das (ver hoja de alta a fs. 150 del anexo XVIII); Alberto Roffe (ver informe médico a fs. 77 del anexo XI y testim</w:t>
      </w:r>
      <w:r>
        <w:t>o</w:t>
      </w:r>
      <w:r>
        <w:t>nio a fs. 46 del anexo VIII, 231 del anexo IX, 510/519 del anexo XIII y 26.295); Marcela P</w:t>
      </w:r>
      <w:r>
        <w:t>a</w:t>
      </w:r>
      <w:r>
        <w:t>tricia Laborie San Miguel (ver constancias del Hospital Ramos Mejía a fs. 25.155/25.157 e info</w:t>
      </w:r>
      <w:r>
        <w:t>r</w:t>
      </w:r>
      <w:r>
        <w:t>me médico a fs. 514 del anexo XVIII); Elena Atallah de Palechiz (ver informes de alta a fs. 78 y a fs. 176, hist</w:t>
      </w:r>
      <w:r>
        <w:t>o</w:t>
      </w:r>
      <w:r>
        <w:t>ria clínica a fs. 79/104 del anexo XVIII y testimonio a fs. 101 del anexo XI); Nicolás Wojda (ver i</w:t>
      </w:r>
      <w:r>
        <w:t>n</w:t>
      </w:r>
      <w:r>
        <w:t>forme médico a fs. 542/543 del anexo XVIII y testim</w:t>
      </w:r>
      <w:r>
        <w:t>o</w:t>
      </w:r>
      <w:r>
        <w:t xml:space="preserve">nial a fs. 2550/2551 y fs. 26.476/26.477 del principal); </w:t>
      </w:r>
      <w:r>
        <w:rPr>
          <w:lang w:val="es-ES_tradnl"/>
        </w:rPr>
        <w:t>Julio Carlos Sosa (ver declaración a fs. 4581/4583, informe y dictamen médicos de fs. 2, 4/6 y 9, listado de heridos de fs. 10 y relato de las circunstancias en que se produjo su lesión de fs. 3 del expediente del Ministerio del Inte</w:t>
      </w:r>
      <w:r>
        <w:rPr>
          <w:lang w:val="es-ES_tradnl"/>
        </w:rPr>
        <w:t>r</w:t>
      </w:r>
      <w:r>
        <w:rPr>
          <w:lang w:val="es-ES_tradnl"/>
        </w:rPr>
        <w:t xml:space="preserve">ior de </w:t>
      </w:r>
      <w:smartTag w:uri="urn:schemas-microsoft-com:office:smarttags" w:element="PersonName">
        <w:smartTagPr>
          <w:attr w:name="ProductID" w:val="la Naci￳n"/>
        </w:smartTagPr>
        <w:r>
          <w:rPr>
            <w:lang w:val="es-ES_tradnl"/>
          </w:rPr>
          <w:t>la Nación</w:t>
        </w:r>
      </w:smartTag>
      <w:r>
        <w:rPr>
          <w:lang w:val="es-ES_tradnl"/>
        </w:rPr>
        <w:t xml:space="preserve"> nº 369.535, caratulado: “Sosa, Julio Carlos s/subsidio”)</w:t>
      </w:r>
      <w:r>
        <w:t>; Víctor Hugo Siman (ver listado de personas atendidas los días 18 y 19 de julio de 1994 en el Hospital de Clínicas “José de San Martín” y su diagnóstico, a fs. 2400bis/7); Liliana Cristina Olivo (ver listado de pers</w:t>
      </w:r>
      <w:r>
        <w:t>o</w:t>
      </w:r>
      <w:r>
        <w:t>nas atendidas los días 18 y 19 de julio de 1994 en el Ho</w:t>
      </w:r>
      <w:r>
        <w:t>s</w:t>
      </w:r>
      <w:r>
        <w:t>pital de Clínicas “José de San Ma</w:t>
      </w:r>
      <w:r>
        <w:t>r</w:t>
      </w:r>
      <w:r>
        <w:t xml:space="preserve">tín” y su diagnóstico, a fs. 2400bis/7); </w:t>
      </w:r>
      <w:r>
        <w:rPr>
          <w:bCs/>
        </w:rPr>
        <w:t>Daniel Alejandro Pomerantz (ver i</w:t>
      </w:r>
      <w:r>
        <w:rPr>
          <w:bCs/>
        </w:rPr>
        <w:t>n</w:t>
      </w:r>
      <w:r>
        <w:rPr>
          <w:bCs/>
        </w:rPr>
        <w:t>forme y dictamen médicos a fs. 2 y 4, y constancias a fs. 5 y 6 del expediente del Mini</w:t>
      </w:r>
      <w:r>
        <w:rPr>
          <w:bCs/>
        </w:rPr>
        <w:t>s</w:t>
      </w:r>
      <w:r>
        <w:rPr>
          <w:bCs/>
        </w:rPr>
        <w:t xml:space="preserve">terio del Interior de </w:t>
      </w:r>
      <w:smartTag w:uri="urn:schemas-microsoft-com:office:smarttags" w:element="PersonName">
        <w:smartTagPr>
          <w:attr w:name="ProductID" w:val="la Naci￳n"/>
        </w:smartTagPr>
        <w:r>
          <w:rPr>
            <w:bCs/>
          </w:rPr>
          <w:t>la Nación</w:t>
        </w:r>
      </w:smartTag>
      <w:r>
        <w:rPr>
          <w:bCs/>
        </w:rPr>
        <w:t xml:space="preserve"> nº 371.866, caratulado: “Pomerantz, Daniel Alejandro s/subsidio”); Oscar Orlando Moya (ver constancias y dict</w:t>
      </w:r>
      <w:r>
        <w:rPr>
          <w:bCs/>
        </w:rPr>
        <w:t>a</w:t>
      </w:r>
      <w:r>
        <w:rPr>
          <w:bCs/>
        </w:rPr>
        <w:t>men médicos a fs. 2, 4, 5 y 6 del expediente del Minist</w:t>
      </w:r>
      <w:r>
        <w:rPr>
          <w:bCs/>
        </w:rPr>
        <w:t>e</w:t>
      </w:r>
      <w:r>
        <w:rPr>
          <w:bCs/>
        </w:rPr>
        <w:t xml:space="preserve">rio del Interior de </w:t>
      </w:r>
      <w:smartTag w:uri="urn:schemas-microsoft-com:office:smarttags" w:element="PersonName">
        <w:smartTagPr>
          <w:attr w:name="ProductID" w:val="la Naci￳n"/>
        </w:smartTagPr>
        <w:r>
          <w:rPr>
            <w:bCs/>
          </w:rPr>
          <w:t>la Nación</w:t>
        </w:r>
      </w:smartTag>
      <w:r>
        <w:rPr>
          <w:bCs/>
        </w:rPr>
        <w:t xml:space="preserve"> nº 368.817, caratulado: “O</w:t>
      </w:r>
      <w:r>
        <w:rPr>
          <w:bCs/>
        </w:rPr>
        <w:t>s</w:t>
      </w:r>
      <w:r>
        <w:rPr>
          <w:bCs/>
        </w:rPr>
        <w:t>car Orlando Moya s/subsidio”); Samuel Szurman (ver i</w:t>
      </w:r>
      <w:r>
        <w:rPr>
          <w:bCs/>
        </w:rPr>
        <w:t>n</w:t>
      </w:r>
      <w:r>
        <w:rPr>
          <w:bCs/>
        </w:rPr>
        <w:t xml:space="preserve">forme y dictamen médicos a fs. 1 y 7, y constancia a fs. 8 del expediente del Ministerio del Interior de </w:t>
      </w:r>
      <w:smartTag w:uri="urn:schemas-microsoft-com:office:smarttags" w:element="PersonName">
        <w:smartTagPr>
          <w:attr w:name="ProductID" w:val="la Naci￳n"/>
        </w:smartTagPr>
        <w:r>
          <w:rPr>
            <w:bCs/>
          </w:rPr>
          <w:t>la Nación</w:t>
        </w:r>
      </w:smartTag>
      <w:r>
        <w:rPr>
          <w:bCs/>
        </w:rPr>
        <w:t xml:space="preserve"> nº 369.217, caratulado: “Azurman, Samuel s/subsidio”); Erne</w:t>
      </w:r>
      <w:r>
        <w:rPr>
          <w:bCs/>
        </w:rPr>
        <w:t>s</w:t>
      </w:r>
      <w:r>
        <w:rPr>
          <w:bCs/>
        </w:rPr>
        <w:t>to Víctor Ini (ver informe y di</w:t>
      </w:r>
      <w:r>
        <w:rPr>
          <w:bCs/>
        </w:rPr>
        <w:t>c</w:t>
      </w:r>
      <w:r>
        <w:rPr>
          <w:bCs/>
        </w:rPr>
        <w:t xml:space="preserve">tamen médicos a fs. 1 y 5, y constancias a fs. 3/4 del expediente del Ministerio del Interior de </w:t>
      </w:r>
      <w:smartTag w:uri="urn:schemas-microsoft-com:office:smarttags" w:element="PersonName">
        <w:smartTagPr>
          <w:attr w:name="ProductID" w:val="la Naci￳n"/>
        </w:smartTagPr>
        <w:r>
          <w:rPr>
            <w:bCs/>
          </w:rPr>
          <w:t>la Nación</w:t>
        </w:r>
      </w:smartTag>
      <w:r>
        <w:rPr>
          <w:bCs/>
        </w:rPr>
        <w:t xml:space="preserve"> nº 370.219, caratulado: “Ini, Erne</w:t>
      </w:r>
      <w:r>
        <w:rPr>
          <w:bCs/>
        </w:rPr>
        <w:t>s</w:t>
      </w:r>
      <w:r>
        <w:rPr>
          <w:bCs/>
        </w:rPr>
        <w:t>to Víctor”); Mónica Lucia Arnaudo de Yabiansky (ver info</w:t>
      </w:r>
      <w:r>
        <w:rPr>
          <w:bCs/>
        </w:rPr>
        <w:t>r</w:t>
      </w:r>
      <w:r>
        <w:rPr>
          <w:bCs/>
        </w:rPr>
        <w:t>me y dictamen médicos a fs. 2 y 4 del expediente del M</w:t>
      </w:r>
      <w:r>
        <w:rPr>
          <w:bCs/>
        </w:rPr>
        <w:t>i</w:t>
      </w:r>
      <w:r>
        <w:rPr>
          <w:bCs/>
        </w:rPr>
        <w:t xml:space="preserve">nisterio del Interior de </w:t>
      </w:r>
      <w:smartTag w:uri="urn:schemas-microsoft-com:office:smarttags" w:element="PersonName">
        <w:smartTagPr>
          <w:attr w:name="ProductID" w:val="la Naci￳n"/>
        </w:smartTagPr>
        <w:r>
          <w:rPr>
            <w:bCs/>
          </w:rPr>
          <w:t>la Nación</w:t>
        </w:r>
      </w:smartTag>
      <w:r>
        <w:rPr>
          <w:bCs/>
        </w:rPr>
        <w:t xml:space="preserve"> nº 369.319, car</w:t>
      </w:r>
      <w:r>
        <w:rPr>
          <w:bCs/>
        </w:rPr>
        <w:t>a</w:t>
      </w:r>
      <w:r>
        <w:rPr>
          <w:bCs/>
        </w:rPr>
        <w:t>tulado: “Mónica Lucía Armando”); Raquel Czertok de Chen (ver i</w:t>
      </w:r>
      <w:r>
        <w:rPr>
          <w:bCs/>
        </w:rPr>
        <w:t>n</w:t>
      </w:r>
      <w:r>
        <w:rPr>
          <w:bCs/>
        </w:rPr>
        <w:t>formes y dictamen médicos a fs. 2/3, 5/7 y 8 del expedie</w:t>
      </w:r>
      <w:r>
        <w:rPr>
          <w:bCs/>
        </w:rPr>
        <w:t>n</w:t>
      </w:r>
      <w:r>
        <w:rPr>
          <w:bCs/>
        </w:rPr>
        <w:t xml:space="preserve">te del Ministerio del Interior de </w:t>
      </w:r>
      <w:smartTag w:uri="urn:schemas-microsoft-com:office:smarttags" w:element="PersonName">
        <w:smartTagPr>
          <w:attr w:name="ProductID" w:val="la Naci￳n"/>
        </w:smartTagPr>
        <w:r>
          <w:rPr>
            <w:bCs/>
          </w:rPr>
          <w:t>la Nación</w:t>
        </w:r>
      </w:smartTag>
      <w:r>
        <w:rPr>
          <w:bCs/>
        </w:rPr>
        <w:t xml:space="preserve"> nº 369.095, caratulado: “Czertok, Raquel s/subsidio”); Silvia Aleja</w:t>
      </w:r>
      <w:r>
        <w:rPr>
          <w:bCs/>
        </w:rPr>
        <w:t>n</w:t>
      </w:r>
      <w:r>
        <w:rPr>
          <w:bCs/>
        </w:rPr>
        <w:t xml:space="preserve">dra Murcia (ver informe y dictamen médicos a fs. 3 y 5 del expediente del Ministerio del Interior de </w:t>
      </w:r>
      <w:smartTag w:uri="urn:schemas-microsoft-com:office:smarttags" w:element="PersonName">
        <w:smartTagPr>
          <w:attr w:name="ProductID" w:val="la Naci￳n"/>
        </w:smartTagPr>
        <w:r>
          <w:rPr>
            <w:bCs/>
          </w:rPr>
          <w:t>la Nación</w:t>
        </w:r>
      </w:smartTag>
      <w:r>
        <w:rPr>
          <w:bCs/>
        </w:rPr>
        <w:t xml:space="preserve"> nº 369.108, caratulado “Murcia, Silvia Alejandra s/subsidio”); Silvia Verónica Carrizo (ver informe m</w:t>
      </w:r>
      <w:r>
        <w:rPr>
          <w:bCs/>
        </w:rPr>
        <w:t>é</w:t>
      </w:r>
      <w:r>
        <w:rPr>
          <w:bCs/>
        </w:rPr>
        <w:t>dico a fs. 4, dictamen a fs. 6 y constancia a fs. 7 del exp</w:t>
      </w:r>
      <w:r>
        <w:rPr>
          <w:bCs/>
        </w:rPr>
        <w:t>e</w:t>
      </w:r>
      <w:r>
        <w:rPr>
          <w:bCs/>
        </w:rPr>
        <w:t xml:space="preserve">diente del Ministerio del Interior de </w:t>
      </w:r>
      <w:smartTag w:uri="urn:schemas-microsoft-com:office:smarttags" w:element="PersonName">
        <w:smartTagPr>
          <w:attr w:name="ProductID" w:val="la Naci￳n"/>
        </w:smartTagPr>
        <w:r>
          <w:rPr>
            <w:bCs/>
          </w:rPr>
          <w:t>la Nación</w:t>
        </w:r>
      </w:smartTag>
      <w:r>
        <w:rPr>
          <w:bCs/>
        </w:rPr>
        <w:t xml:space="preserve"> nº 369.220, caratulado: “Carrizo, Silvia Verónica s/subsidio”); Gregorio Oscar Militello (ver informe y di</w:t>
      </w:r>
      <w:r>
        <w:rPr>
          <w:bCs/>
        </w:rPr>
        <w:t>c</w:t>
      </w:r>
      <w:r>
        <w:rPr>
          <w:bCs/>
        </w:rPr>
        <w:t>tamen médicos a fs. 3 y 5 y constancia a fs. 4 del exp</w:t>
      </w:r>
      <w:r>
        <w:rPr>
          <w:bCs/>
        </w:rPr>
        <w:t>e</w:t>
      </w:r>
      <w:r>
        <w:rPr>
          <w:bCs/>
        </w:rPr>
        <w:t xml:space="preserve">diente del Ministerio del Interior de </w:t>
      </w:r>
      <w:smartTag w:uri="urn:schemas-microsoft-com:office:smarttags" w:element="PersonName">
        <w:smartTagPr>
          <w:attr w:name="ProductID" w:val="la Naci￳n"/>
        </w:smartTagPr>
        <w:r>
          <w:rPr>
            <w:bCs/>
          </w:rPr>
          <w:t>la Nación</w:t>
        </w:r>
      </w:smartTag>
      <w:r>
        <w:rPr>
          <w:bCs/>
        </w:rPr>
        <w:t xml:space="preserve"> nº 369782, caratulado: “Militello, Gregorio Oscar s/subsidio”); Bla</w:t>
      </w:r>
      <w:r>
        <w:rPr>
          <w:bCs/>
        </w:rPr>
        <w:t>n</w:t>
      </w:r>
      <w:r>
        <w:rPr>
          <w:bCs/>
        </w:rPr>
        <w:t>ca Ofelia Castillo Villanueva (ver informes y dictamen m</w:t>
      </w:r>
      <w:r>
        <w:rPr>
          <w:bCs/>
        </w:rPr>
        <w:t>é</w:t>
      </w:r>
      <w:r>
        <w:rPr>
          <w:bCs/>
        </w:rPr>
        <w:t>dicos a fs. 3/6 y 8 del expediente del Ministerio del I</w:t>
      </w:r>
      <w:r>
        <w:rPr>
          <w:bCs/>
        </w:rPr>
        <w:t>n</w:t>
      </w:r>
      <w:r>
        <w:rPr>
          <w:bCs/>
        </w:rPr>
        <w:t xml:space="preserve">terior de </w:t>
      </w:r>
      <w:smartTag w:uri="urn:schemas-microsoft-com:office:smarttags" w:element="PersonName">
        <w:smartTagPr>
          <w:attr w:name="ProductID" w:val="la Naci￳n"/>
        </w:smartTagPr>
        <w:r>
          <w:rPr>
            <w:bCs/>
          </w:rPr>
          <w:t>la Nación</w:t>
        </w:r>
      </w:smartTag>
      <w:r>
        <w:rPr>
          <w:bCs/>
        </w:rPr>
        <w:t xml:space="preserve"> nº 368.380, caratulado: “Castillo V</w:t>
      </w:r>
      <w:r>
        <w:rPr>
          <w:bCs/>
        </w:rPr>
        <w:t>i</w:t>
      </w:r>
      <w:r>
        <w:rPr>
          <w:bCs/>
        </w:rPr>
        <w:t>llanueva de Bassani, Blanca Ofelia s/subsidio”); Olga Ma</w:t>
      </w:r>
      <w:r>
        <w:rPr>
          <w:bCs/>
        </w:rPr>
        <w:t>g</w:t>
      </w:r>
      <w:r>
        <w:rPr>
          <w:bCs/>
        </w:rPr>
        <w:t>dalena Santillán (ver informes médicos a fs. 4, consta</w:t>
      </w:r>
      <w:r>
        <w:rPr>
          <w:bCs/>
        </w:rPr>
        <w:t>n</w:t>
      </w:r>
      <w:r>
        <w:rPr>
          <w:bCs/>
        </w:rPr>
        <w:t xml:space="preserve">cias a fs. 5, 6 y 11 y dictamen a fs. 13 del expediente del Ministerio del Interior de </w:t>
      </w:r>
      <w:smartTag w:uri="urn:schemas-microsoft-com:office:smarttags" w:element="PersonName">
        <w:smartTagPr>
          <w:attr w:name="ProductID" w:val="la Naci￳n"/>
        </w:smartTagPr>
        <w:r>
          <w:rPr>
            <w:bCs/>
          </w:rPr>
          <w:t>la Nación</w:t>
        </w:r>
      </w:smartTag>
      <w:r>
        <w:rPr>
          <w:bCs/>
        </w:rPr>
        <w:t xml:space="preserve"> nº 369.546, car</w:t>
      </w:r>
      <w:r>
        <w:rPr>
          <w:bCs/>
        </w:rPr>
        <w:t>a</w:t>
      </w:r>
      <w:r>
        <w:rPr>
          <w:bCs/>
        </w:rPr>
        <w:t>tulado: “Santillán, Olga Magdalena s/subsidio”); Miriam Magdalena Hoyos (ver informes y dictamen m</w:t>
      </w:r>
      <w:r>
        <w:rPr>
          <w:bCs/>
        </w:rPr>
        <w:t>é</w:t>
      </w:r>
      <w:r>
        <w:rPr>
          <w:bCs/>
        </w:rPr>
        <w:t xml:space="preserve">dicos a fs. 1, 4 y 6 del expediente del Ministerio del Interior de </w:t>
      </w:r>
      <w:smartTag w:uri="urn:schemas-microsoft-com:office:smarttags" w:element="PersonName">
        <w:smartTagPr>
          <w:attr w:name="ProductID" w:val="la Naci￳n"/>
        </w:smartTagPr>
        <w:r>
          <w:rPr>
            <w:bCs/>
          </w:rPr>
          <w:t>la N</w:t>
        </w:r>
        <w:r>
          <w:rPr>
            <w:bCs/>
          </w:rPr>
          <w:t>a</w:t>
        </w:r>
        <w:r>
          <w:rPr>
            <w:bCs/>
          </w:rPr>
          <w:t>ción</w:t>
        </w:r>
      </w:smartTag>
      <w:r>
        <w:rPr>
          <w:bCs/>
        </w:rPr>
        <w:t xml:space="preserve"> nº 369218, caratulado: “Hoyos, Miriam Magdalena”); Isabel Ainwoiner de Peker (ver informes y dict</w:t>
      </w:r>
      <w:r>
        <w:rPr>
          <w:bCs/>
        </w:rPr>
        <w:t>a</w:t>
      </w:r>
      <w:r>
        <w:rPr>
          <w:bCs/>
        </w:rPr>
        <w:t xml:space="preserve">men médicos a fs. 2/4, 7, 9, 23/24 y constancias a fs. 5 y 11/22 del expediente del Ministerio del Interior de </w:t>
      </w:r>
      <w:smartTag w:uri="urn:schemas-microsoft-com:office:smarttags" w:element="PersonName">
        <w:smartTagPr>
          <w:attr w:name="ProductID" w:val="la Naci￳n"/>
        </w:smartTagPr>
        <w:r>
          <w:rPr>
            <w:bCs/>
          </w:rPr>
          <w:t>la Nación</w:t>
        </w:r>
      </w:smartTag>
      <w:r>
        <w:rPr>
          <w:bCs/>
        </w:rPr>
        <w:t xml:space="preserve"> nº 368.771, caratulado: “Ainwoiner de Peker, Isabel s/subsidio”); Elvira Rosa Acosta (ver informes y dict</w:t>
      </w:r>
      <w:r>
        <w:rPr>
          <w:bCs/>
        </w:rPr>
        <w:t>a</w:t>
      </w:r>
      <w:r>
        <w:rPr>
          <w:bCs/>
        </w:rPr>
        <w:t>men médicos a fs. 2, 3, 5, 7, 9 y constancia a fs. 6 del exp</w:t>
      </w:r>
      <w:r>
        <w:rPr>
          <w:bCs/>
        </w:rPr>
        <w:t>e</w:t>
      </w:r>
      <w:r>
        <w:rPr>
          <w:bCs/>
        </w:rPr>
        <w:t xml:space="preserve">diente del Ministerio del Interior de </w:t>
      </w:r>
      <w:smartTag w:uri="urn:schemas-microsoft-com:office:smarttags" w:element="PersonName">
        <w:smartTagPr>
          <w:attr w:name="ProductID" w:val="la Naci￳n"/>
        </w:smartTagPr>
        <w:r>
          <w:rPr>
            <w:bCs/>
          </w:rPr>
          <w:t>la Nación</w:t>
        </w:r>
      </w:smartTag>
      <w:r>
        <w:rPr>
          <w:bCs/>
        </w:rPr>
        <w:t xml:space="preserve"> nº 369.777, caratulado “Acosta, Elvira Rosa s/subsidio”); Marcial César Peleteyro (ver info</w:t>
      </w:r>
      <w:r>
        <w:rPr>
          <w:bCs/>
        </w:rPr>
        <w:t>r</w:t>
      </w:r>
      <w:r>
        <w:rPr>
          <w:bCs/>
        </w:rPr>
        <w:t>me y dictamen médicos a fs. 2 y 5, y constancia a fs. 3 del expediente del Mini</w:t>
      </w:r>
      <w:r>
        <w:rPr>
          <w:bCs/>
        </w:rPr>
        <w:t>s</w:t>
      </w:r>
      <w:r>
        <w:rPr>
          <w:bCs/>
        </w:rPr>
        <w:t xml:space="preserve">terio del Interior de </w:t>
      </w:r>
      <w:smartTag w:uri="urn:schemas-microsoft-com:office:smarttags" w:element="PersonName">
        <w:smartTagPr>
          <w:attr w:name="ProductID" w:val="la Naci￳n"/>
        </w:smartTagPr>
        <w:r>
          <w:rPr>
            <w:bCs/>
          </w:rPr>
          <w:t>la Nación</w:t>
        </w:r>
      </w:smartTag>
      <w:r>
        <w:rPr>
          <w:bCs/>
        </w:rPr>
        <w:t xml:space="preserve"> nº 369102, caratulado: “Peleteyro, Marcial César s/subsidio”); Mario Kahan (ver informe médico a fs. 2/5 y 7/8 y dictamen médico a fs. 9 del expediente del M</w:t>
      </w:r>
      <w:r>
        <w:rPr>
          <w:bCs/>
        </w:rPr>
        <w:t>i</w:t>
      </w:r>
      <w:r>
        <w:rPr>
          <w:bCs/>
        </w:rPr>
        <w:t xml:space="preserve">nisterio del Interior de </w:t>
      </w:r>
      <w:smartTag w:uri="urn:schemas-microsoft-com:office:smarttags" w:element="PersonName">
        <w:smartTagPr>
          <w:attr w:name="ProductID" w:val="la Naci￳n"/>
        </w:smartTagPr>
        <w:r>
          <w:rPr>
            <w:bCs/>
          </w:rPr>
          <w:t>la Nación</w:t>
        </w:r>
      </w:smartTag>
      <w:r>
        <w:rPr>
          <w:bCs/>
        </w:rPr>
        <w:t xml:space="preserve"> nº 369.529, caratulado: “Kahan, Mario s/subsidio”); Zunilda Petrona Martínez (ver informes y dictamen médicos a fs. 1/2 y 7, estudio a fs. 6 y constancias a fs. 8/9 del exp</w:t>
      </w:r>
      <w:r>
        <w:rPr>
          <w:bCs/>
        </w:rPr>
        <w:t>e</w:t>
      </w:r>
      <w:r>
        <w:rPr>
          <w:bCs/>
        </w:rPr>
        <w:t xml:space="preserve">diente del Ministerio del Interior de </w:t>
      </w:r>
      <w:smartTag w:uri="urn:schemas-microsoft-com:office:smarttags" w:element="PersonName">
        <w:smartTagPr>
          <w:attr w:name="ProductID" w:val="la Naci￳n"/>
        </w:smartTagPr>
        <w:r>
          <w:rPr>
            <w:bCs/>
          </w:rPr>
          <w:t>la Nación</w:t>
        </w:r>
      </w:smartTag>
      <w:r>
        <w:rPr>
          <w:bCs/>
        </w:rPr>
        <w:t xml:space="preserve"> nº 368.763, caratulado: “Martínez, Zunilda Petrona s/subsidio”); Olga Josefina Martínez (ver informes y di</w:t>
      </w:r>
      <w:r>
        <w:rPr>
          <w:bCs/>
        </w:rPr>
        <w:t>c</w:t>
      </w:r>
      <w:r>
        <w:rPr>
          <w:bCs/>
        </w:rPr>
        <w:t>tamen médicos a fs. 2, 5, 6 y 7 del expediente del Mini</w:t>
      </w:r>
      <w:r>
        <w:rPr>
          <w:bCs/>
        </w:rPr>
        <w:t>s</w:t>
      </w:r>
      <w:r>
        <w:rPr>
          <w:bCs/>
        </w:rPr>
        <w:t xml:space="preserve">terio del Interior de </w:t>
      </w:r>
      <w:smartTag w:uri="urn:schemas-microsoft-com:office:smarttags" w:element="PersonName">
        <w:smartTagPr>
          <w:attr w:name="ProductID" w:val="la Naci￳n"/>
        </w:smartTagPr>
        <w:r>
          <w:rPr>
            <w:bCs/>
          </w:rPr>
          <w:t>la Nación</w:t>
        </w:r>
      </w:smartTag>
      <w:r>
        <w:rPr>
          <w:bCs/>
        </w:rPr>
        <w:t xml:space="preserve"> nº 369.776, caratulado: “Martínez, Olga Josefina s/subsidio”); José Eduardo Marzilli (ver informes y dictamen médicos a fs. 1, 6 y 12 y estudios médicos de a 4 y 9/10 del expediente del Mini</w:t>
      </w:r>
      <w:r>
        <w:rPr>
          <w:bCs/>
        </w:rPr>
        <w:t>s</w:t>
      </w:r>
      <w:r>
        <w:rPr>
          <w:bCs/>
        </w:rPr>
        <w:t xml:space="preserve">terio del Interior de </w:t>
      </w:r>
      <w:smartTag w:uri="urn:schemas-microsoft-com:office:smarttags" w:element="PersonName">
        <w:smartTagPr>
          <w:attr w:name="ProductID" w:val="la Naci￳n"/>
        </w:smartTagPr>
        <w:r>
          <w:rPr>
            <w:bCs/>
          </w:rPr>
          <w:t>la Nación</w:t>
        </w:r>
      </w:smartTag>
      <w:r>
        <w:rPr>
          <w:bCs/>
        </w:rPr>
        <w:t xml:space="preserve"> nº 374.980, caratulado: “Marz</w:t>
      </w:r>
      <w:r>
        <w:rPr>
          <w:bCs/>
        </w:rPr>
        <w:t>i</w:t>
      </w:r>
      <w:r>
        <w:rPr>
          <w:bCs/>
        </w:rPr>
        <w:t xml:space="preserve">lli, José Eduardo s/subsidio”); Julio Barriga Loayza (ver informe médico a fs. 2vta. y dictamen médico a fs. 3 del expediente del Ministerio del Interior de </w:t>
      </w:r>
      <w:smartTag w:uri="urn:schemas-microsoft-com:office:smarttags" w:element="PersonName">
        <w:smartTagPr>
          <w:attr w:name="ProductID" w:val="la Naci￳n"/>
        </w:smartTagPr>
        <w:r>
          <w:rPr>
            <w:bCs/>
          </w:rPr>
          <w:t>la Nación</w:t>
        </w:r>
      </w:smartTag>
      <w:r>
        <w:rPr>
          <w:bCs/>
        </w:rPr>
        <w:t xml:space="preserve"> nº 369.605, caratulado: “Barriga, Julio s/subsidio”); León Veliz Palmacio (ver informe y dict</w:t>
      </w:r>
      <w:r>
        <w:rPr>
          <w:bCs/>
        </w:rPr>
        <w:t>a</w:t>
      </w:r>
      <w:r>
        <w:rPr>
          <w:bCs/>
        </w:rPr>
        <w:t xml:space="preserve">men médicos a fs. 2 y 4 y constancia a fs. 6 y 7 del expediente del Ministerio del Interior de </w:t>
      </w:r>
      <w:smartTag w:uri="urn:schemas-microsoft-com:office:smarttags" w:element="PersonName">
        <w:smartTagPr>
          <w:attr w:name="ProductID" w:val="la Naci￳n"/>
        </w:smartTagPr>
        <w:r>
          <w:rPr>
            <w:bCs/>
          </w:rPr>
          <w:t>la Nación</w:t>
        </w:r>
      </w:smartTag>
      <w:r>
        <w:rPr>
          <w:bCs/>
        </w:rPr>
        <w:t xml:space="preserve"> nº 369.219, caratulado: “Palmacio, León Veliz s/subsidio”) y Adrián Pablo Furman (ver info</w:t>
      </w:r>
      <w:r>
        <w:rPr>
          <w:bCs/>
        </w:rPr>
        <w:t>r</w:t>
      </w:r>
      <w:r>
        <w:rPr>
          <w:bCs/>
        </w:rPr>
        <w:t>me y dictamen médicos a fs. 1 y 4 y listado de personas her</w:t>
      </w:r>
      <w:r>
        <w:rPr>
          <w:bCs/>
        </w:rPr>
        <w:t>i</w:t>
      </w:r>
      <w:r>
        <w:rPr>
          <w:bCs/>
        </w:rPr>
        <w:t xml:space="preserve">das dadas de alta de fecha 3 de agosto de </w:t>
      </w:r>
      <w:smartTag w:uri="urn:schemas-microsoft-com:office:smarttags" w:element="metricconverter">
        <w:smartTagPr>
          <w:attr w:name="ProductID" w:val="1994 a"/>
        </w:smartTagPr>
        <w:r>
          <w:rPr>
            <w:bCs/>
          </w:rPr>
          <w:t>1994 a</w:t>
        </w:r>
      </w:smartTag>
      <w:r>
        <w:rPr>
          <w:bCs/>
        </w:rPr>
        <w:t xml:space="preserve"> fs. 6 del expediente del Ministerio del Interior de </w:t>
      </w:r>
      <w:smartTag w:uri="urn:schemas-microsoft-com:office:smarttags" w:element="PersonName">
        <w:smartTagPr>
          <w:attr w:name="ProductID" w:val="la Naci￳n"/>
        </w:smartTagPr>
        <w:r>
          <w:rPr>
            <w:bCs/>
          </w:rPr>
          <w:t>la Nación</w:t>
        </w:r>
      </w:smartTag>
      <w:r>
        <w:rPr>
          <w:bCs/>
        </w:rPr>
        <w:t xml:space="preserve"> nº 369.540, car</w:t>
      </w:r>
      <w:r>
        <w:rPr>
          <w:bCs/>
        </w:rPr>
        <w:t>a</w:t>
      </w:r>
      <w:r>
        <w:rPr>
          <w:bCs/>
        </w:rPr>
        <w:t>tulado: “Adrián Pablo Furman s/subsidio”).</w:t>
      </w:r>
    </w:p>
    <w:p w:rsidR="00224567" w:rsidRDefault="00224567">
      <w:pPr>
        <w:widowControl w:val="0"/>
      </w:pPr>
      <w:r>
        <w:tab/>
      </w:r>
      <w:r>
        <w:tab/>
        <w:t>Es menester señalar que en oport</w:t>
      </w:r>
      <w:r>
        <w:t>u</w:t>
      </w:r>
      <w:r>
        <w:t>nidad de prestar declaración testimonial en el debate todos los nombrados –a excepción de Alberto Roffe, Nicolás Wojda, Julio Carlos Sosa y de Elena Atallah de Palechiz, cuyos testimonios ante la instrucción se incorporaron por lect</w:t>
      </w:r>
      <w:r>
        <w:t>u</w:t>
      </w:r>
      <w:r>
        <w:t>ra- destacaron que fueron alcanz</w:t>
      </w:r>
      <w:r>
        <w:t>a</w:t>
      </w:r>
      <w:r>
        <w:t>dos por la onda expansiva o por los objetos desplazados por ésta o, en definitiva, por la posterior caída de objetos y vidrios a causa de los daños ocasionados por la explosión. Describi</w:t>
      </w:r>
      <w:r>
        <w:t>e</w:t>
      </w:r>
      <w:r>
        <w:t>ron, además, las características de las diferentes dolencias que pad</w:t>
      </w:r>
      <w:r>
        <w:t>e</w:t>
      </w:r>
      <w:r>
        <w:t>cieron; todo ello en forma conco</w:t>
      </w:r>
      <w:r>
        <w:t>r</w:t>
      </w:r>
      <w:r>
        <w:t>dante con lo informado en las constancias médicas cit</w:t>
      </w:r>
      <w:r>
        <w:t>a</w:t>
      </w:r>
      <w:r>
        <w:t>das.</w:t>
      </w:r>
    </w:p>
    <w:p w:rsidR="00224567" w:rsidRDefault="00224567">
      <w:pPr>
        <w:widowControl w:val="0"/>
      </w:pPr>
      <w:r>
        <w:tab/>
      </w:r>
      <w:r>
        <w:tab/>
        <w:t>También presentaron lesiones leves a causa del atentado las siguientes personas: Siphor Chal</w:t>
      </w:r>
      <w:r>
        <w:t>e</w:t>
      </w:r>
      <w:r>
        <w:t>lachuili de Lapidus (ver informes médicos e historia cl</w:t>
      </w:r>
      <w:r>
        <w:t>í</w:t>
      </w:r>
      <w:r>
        <w:t>nica a fs. 105/125 del anexo XVIII); Simón Sneh (ver i</w:t>
      </w:r>
      <w:r>
        <w:t>n</w:t>
      </w:r>
      <w:r>
        <w:t>forme de alta a fs. 141 del anexo XVIII e informes méd</w:t>
      </w:r>
      <w:r>
        <w:t>i</w:t>
      </w:r>
      <w:r>
        <w:t xml:space="preserve">cos a fs. 5/6 y 18 del expediente nº 369.406 del Ministerio del Interior de </w:t>
      </w:r>
      <w:smartTag w:uri="urn:schemas-microsoft-com:office:smarttags" w:element="PersonName">
        <w:smartTagPr>
          <w:attr w:name="ProductID" w:val="la Naci￳n"/>
        </w:smartTagPr>
        <w:r>
          <w:t>la Nación</w:t>
        </w:r>
      </w:smartTag>
      <w:r>
        <w:t>, caratulado: “Sneh Simón s/subsidio”); Paula Cernadas (ver informe de alta a fs. 148 del anexo XVIII); Romina Yabiansky (ver informe de a</w:t>
      </w:r>
      <w:r>
        <w:t>l</w:t>
      </w:r>
      <w:r>
        <w:t>ta a fs. 158 del anexo XVIII); Eduardo Waizer (ver hist</w:t>
      </w:r>
      <w:r>
        <w:t>o</w:t>
      </w:r>
      <w:r>
        <w:t>ria clínica a fs. 258/263 e informe médico a fs. 352 del anexo XVIII); Diego Nolberto Díaz (ver informe médico a fs. 334 del anexo XVIII); Edmundo Ruiz (ver informes méd</w:t>
      </w:r>
      <w:r>
        <w:t>i</w:t>
      </w:r>
      <w:r>
        <w:t>cos a fs. 25.185; a fs. 345 del anexo XVIII y constancias a fs. 3 y 5 del expediente nº 368.714, caratulado: “Ruiz, Edmundo s/subsidio”); Natasha Yabiansky (ver constancias del Hospital de Clínicas a fs. 2401/2407; informe de alta a fs. 160 del anexo XVIII y fotografías a fs. 7/8 del e</w:t>
      </w:r>
      <w:r>
        <w:t>x</w:t>
      </w:r>
      <w:r>
        <w:t xml:space="preserve">pediente nº 368.160 del Ministerio del Interior de </w:t>
      </w:r>
      <w:smartTag w:uri="urn:schemas-microsoft-com:office:smarttags" w:element="PersonName">
        <w:smartTagPr>
          <w:attr w:name="ProductID" w:val="la Naci￳n"/>
        </w:smartTagPr>
        <w:r>
          <w:t>la N</w:t>
        </w:r>
        <w:r>
          <w:t>a</w:t>
        </w:r>
        <w:r>
          <w:t>ción</w:t>
        </w:r>
      </w:smartTag>
      <w:r>
        <w:t>, caratulado: “Yabiansky, N</w:t>
      </w:r>
      <w:r>
        <w:t>a</w:t>
      </w:r>
      <w:r>
        <w:t>tasha s/subsidio”); Celia Nora Dubini de Quiroga (ver constancias del Hospital de Clínicas a fs. 2401/2407 y certificado y dictamen méd</w:t>
      </w:r>
      <w:r>
        <w:t>i</w:t>
      </w:r>
      <w:r>
        <w:t>cos a fs. 5/7 del expediente nº 369.105 del Ministerio del I</w:t>
      </w:r>
      <w:r>
        <w:t>n</w:t>
      </w:r>
      <w:r>
        <w:t xml:space="preserve">terior de </w:t>
      </w:r>
      <w:smartTag w:uri="urn:schemas-microsoft-com:office:smarttags" w:element="PersonName">
        <w:smartTagPr>
          <w:attr w:name="ProductID" w:val="la Naci￳n"/>
        </w:smartTagPr>
        <w:r>
          <w:t>la Nación</w:t>
        </w:r>
      </w:smartTag>
      <w:r>
        <w:t>, caratulado: “Dubini, Celia Nora s/subsidio”); Sara Shimanski de Schapira (ver informe m</w:t>
      </w:r>
      <w:r>
        <w:t>é</w:t>
      </w:r>
      <w:r>
        <w:t xml:space="preserve">dico a fs. 348 del anexo XVIII y constancias a fs. 2 y 4 del expediente nº 369.970 del Ministerio del Interior de </w:t>
      </w:r>
      <w:smartTag w:uri="urn:schemas-microsoft-com:office:smarttags" w:element="PersonName">
        <w:smartTagPr>
          <w:attr w:name="ProductID" w:val="la Naci￳n"/>
        </w:smartTagPr>
        <w:r>
          <w:t>la Nación</w:t>
        </w:r>
      </w:smartTag>
      <w:r>
        <w:t>, caratulado: “Shimanski, Sara s/subsidio”); M</w:t>
      </w:r>
      <w:r>
        <w:t>i</w:t>
      </w:r>
      <w:r>
        <w:t>guel Ángel Wehbi (ver constancias del Ho</w:t>
      </w:r>
      <w:r>
        <w:t>s</w:t>
      </w:r>
      <w:r>
        <w:t>pital Ramos Mejía a fs. 25.155/25.157 e informe y dictamen médicos a fs. 2 y 5 del expedie</w:t>
      </w:r>
      <w:r>
        <w:t>n</w:t>
      </w:r>
      <w:r>
        <w:t xml:space="preserve">te nº 368.673 del Ministerio del Interior de </w:t>
      </w:r>
      <w:smartTag w:uri="urn:schemas-microsoft-com:office:smarttags" w:element="PersonName">
        <w:smartTagPr>
          <w:attr w:name="ProductID" w:val="la Naci￳n"/>
        </w:smartTagPr>
        <w:r>
          <w:t>la Nación</w:t>
        </w:r>
      </w:smartTag>
      <w:r>
        <w:t>, carat</w:t>
      </w:r>
      <w:r>
        <w:t>u</w:t>
      </w:r>
      <w:r>
        <w:t>lado: “Wehbi, Miguel Ángel s/subsidio”); Eleuterio Galán (ver constancias del Ho</w:t>
      </w:r>
      <w:r>
        <w:t>s</w:t>
      </w:r>
      <w:r>
        <w:t xml:space="preserve">pital Ramos Mejía a fs. 25.155/25.157 y las agregadas en el expediente nº 368.524 del Ministerio del Interior de </w:t>
      </w:r>
      <w:smartTag w:uri="urn:schemas-microsoft-com:office:smarttags" w:element="PersonName">
        <w:smartTagPr>
          <w:attr w:name="ProductID" w:val="la Naci￳n"/>
        </w:smartTagPr>
        <w:r>
          <w:t>la Nación</w:t>
        </w:r>
      </w:smartTag>
      <w:r>
        <w:t>, carat</w:t>
      </w:r>
      <w:r>
        <w:t>u</w:t>
      </w:r>
      <w:r>
        <w:t xml:space="preserve">lado: “Galán, Eleuterio s/subsidio”); Francisco Gustavo Galán (ver constancias del Hospital Ramos Mejía a fs. 25.155/25.157 y las agregadas en el expediente nº 368.465 del Ministerio del Interior de </w:t>
      </w:r>
      <w:smartTag w:uri="urn:schemas-microsoft-com:office:smarttags" w:element="PersonName">
        <w:smartTagPr>
          <w:attr w:name="ProductID" w:val="la Naci￳n"/>
        </w:smartTagPr>
        <w:r>
          <w:t>la Nación</w:t>
        </w:r>
      </w:smartTag>
      <w:r>
        <w:t>, caratulado: “G</w:t>
      </w:r>
      <w:r>
        <w:t>a</w:t>
      </w:r>
      <w:r>
        <w:t xml:space="preserve">lán, Francisco Gustavo s/subsidio”); Hugo Enrique Ávila (ver informe médico a fs. 1027/1028 y dictamen médico a fs. 5 del expediente nº 368.344 del Ministerio del Inte-rior de </w:t>
      </w:r>
      <w:smartTag w:uri="urn:schemas-microsoft-com:office:smarttags" w:element="PersonName">
        <w:smartTagPr>
          <w:attr w:name="ProductID" w:val="la Naci￳n"/>
        </w:smartTagPr>
        <w:r>
          <w:t>la Nación</w:t>
        </w:r>
      </w:smartTag>
      <w:r>
        <w:t xml:space="preserve">, caratulado “Ávila, Hugo Enrique s/subsidio”); Arturo Daniel Gritti (ver informe médico a fs. 341 del anexo XVIII y fs. 69/70 del anexo XVII); Jaime Zaidman (ver informe médico a fs. 333 del anexo XVIII y constancia médica a fs. 3 del expediente nº 368.749 del Ministerio del Interior de </w:t>
      </w:r>
      <w:smartTag w:uri="urn:schemas-microsoft-com:office:smarttags" w:element="PersonName">
        <w:smartTagPr>
          <w:attr w:name="ProductID" w:val="la Naci￳n"/>
        </w:smartTagPr>
        <w:r>
          <w:t>la Nación</w:t>
        </w:r>
      </w:smartTag>
      <w:r>
        <w:t>, caratulado: “Zai</w:t>
      </w:r>
      <w:r>
        <w:t>d</w:t>
      </w:r>
      <w:r>
        <w:t>man, Jaime s/subsidio”); Mario Obregón (ver hoja de gua</w:t>
      </w:r>
      <w:r>
        <w:t>r</w:t>
      </w:r>
      <w:r>
        <w:t>dia a fs. 25.625); Claudia Patricia Valdez (ver hoja de guardia a fs. 25.631); Leonardo León Zechin (ver informe médico a fs. 538 del anexo XVIII); Salustiano Galeano (ver informes m</w:t>
      </w:r>
      <w:r>
        <w:t>é</w:t>
      </w:r>
      <w:r>
        <w:t>dicos a fs. 338 de anexo XVIII y constancias a fs. 3/4 y a fs. 7 del exp</w:t>
      </w:r>
      <w:r>
        <w:t>e</w:t>
      </w:r>
      <w:r>
        <w:t xml:space="preserve">diente nº 368.309 del Ministerio del Interior de </w:t>
      </w:r>
      <w:smartTag w:uri="urn:schemas-microsoft-com:office:smarttags" w:element="PersonName">
        <w:smartTagPr>
          <w:attr w:name="ProductID" w:val="la Naci￳n"/>
        </w:smartTagPr>
        <w:r>
          <w:t>la N</w:t>
        </w:r>
        <w:r>
          <w:t>a</w:t>
        </w:r>
        <w:r>
          <w:t>ción</w:t>
        </w:r>
      </w:smartTag>
      <w:r>
        <w:t>, caratulado “Galeano, Salustiano s/subsidio”); Israel Moisés Lapidus (ver diagnóstico e i</w:t>
      </w:r>
      <w:r>
        <w:t>n</w:t>
      </w:r>
      <w:r>
        <w:t>forme médico a fs. 312 y 340, respectivamente, del anexo XVIII); Elías Néstor Tobal (ver informes médicos a fs. 75 y 343 del anexo XVIII); Oscar Alfredo Gómez (ver informe médico a fs. 349 del anexo XVIII); Martha Hilda Brodsky de Roffe (ver info</w:t>
      </w:r>
      <w:r>
        <w:t>r</w:t>
      </w:r>
      <w:r>
        <w:t>mes médicos a fs. 25.027 y a fs. 26.294); José Adalberto Gallardo Nuesch (ver informes méd</w:t>
      </w:r>
      <w:r>
        <w:t>i</w:t>
      </w:r>
      <w:r>
        <w:t xml:space="preserve">cos a fs. 355 del anexo XVIII; a fs. 25.317/25.318 y constancias a fs. 2 y 4/6 del expediente nº 369.176 del Ministerio del Interior de </w:t>
      </w:r>
      <w:smartTag w:uri="urn:schemas-microsoft-com:office:smarttags" w:element="PersonName">
        <w:smartTagPr>
          <w:attr w:name="ProductID" w:val="la Naci￳n"/>
        </w:smartTagPr>
        <w:r>
          <w:t>la Nación</w:t>
        </w:r>
      </w:smartTag>
      <w:r>
        <w:t>, caratulado: “Gallardo, José Ada</w:t>
      </w:r>
      <w:r>
        <w:t>l</w:t>
      </w:r>
      <w:r>
        <w:t>berto s/subsidio”); Antonia Nélida Mastromauro (ver doc</w:t>
      </w:r>
      <w:r>
        <w:t>u</w:t>
      </w:r>
      <w:r>
        <w:t xml:space="preserve">mentación remitida por </w:t>
      </w:r>
      <w:smartTag w:uri="urn:schemas-microsoft-com:office:smarttags" w:element="PersonName">
        <w:smartTagPr>
          <w:attr w:name="ProductID" w:val="la Direcci￳n General"/>
        </w:smartTagPr>
        <w:r>
          <w:t>la Dirección General</w:t>
        </w:r>
      </w:smartTag>
      <w:r>
        <w:t xml:space="preserve"> Sistema Ate</w:t>
      </w:r>
      <w:r>
        <w:t>n</w:t>
      </w:r>
      <w:r>
        <w:t>ción Médica de Emergencia (S.A.M.E.) a fs. 1281/1323 del legajo de instrucción suplementaria, en particular, el listado de pacientes asistidos de fs. 1299 y con</w:t>
      </w:r>
      <w:r>
        <w:t>s</w:t>
      </w:r>
      <w:r>
        <w:t>tancia de fs. 4 del anexo XI); Adriana Marisa Tello (ver informe y dictamen médicos a fs. 5 y 6, y el relato de las circun</w:t>
      </w:r>
      <w:r>
        <w:t>s</w:t>
      </w:r>
      <w:r>
        <w:t>tancias en que se produjo la lesión de fs. 4 del expedie</w:t>
      </w:r>
      <w:r>
        <w:t>n</w:t>
      </w:r>
      <w:r>
        <w:t xml:space="preserve">te del Ministerio del Interior de </w:t>
      </w:r>
      <w:smartTag w:uri="urn:schemas-microsoft-com:office:smarttags" w:element="PersonName">
        <w:smartTagPr>
          <w:attr w:name="ProductID" w:val="la Naci￳n"/>
        </w:smartTagPr>
        <w:r>
          <w:t>la Nación</w:t>
        </w:r>
      </w:smartTag>
      <w:r>
        <w:t xml:space="preserve"> nº 369.221, caratulado: “Tello, Adriana Marisa s/subsidio”); Salomón Lotersztein (ver informes médicos de fs. 2/3 y 5/7, con</w:t>
      </w:r>
      <w:r>
        <w:t>s</w:t>
      </w:r>
      <w:r>
        <w:t>tancia de fs. 4, que acredita la presencia del nombrado dentro del edificio siniestrado, relato de las circunsta</w:t>
      </w:r>
      <w:r>
        <w:t>n</w:t>
      </w:r>
      <w:r>
        <w:t>cias en que se produjo su lesión de fs. 9, listado de h</w:t>
      </w:r>
      <w:r>
        <w:t>e</w:t>
      </w:r>
      <w:r>
        <w:t>ridos de fs. 11 y dictamen médico de fs. 10 del exp</w:t>
      </w:r>
      <w:r>
        <w:t>e</w:t>
      </w:r>
      <w:r>
        <w:t xml:space="preserve">diente del Ministerio del Interior de </w:t>
      </w:r>
      <w:smartTag w:uri="urn:schemas-microsoft-com:office:smarttags" w:element="PersonName">
        <w:smartTagPr>
          <w:attr w:name="ProductID" w:val="la Naci￳n"/>
        </w:smartTagPr>
        <w:r>
          <w:t>la Nación</w:t>
        </w:r>
      </w:smartTag>
      <w:r>
        <w:t xml:space="preserve"> nº 373.221, car</w:t>
      </w:r>
      <w:r>
        <w:t>a</w:t>
      </w:r>
      <w:r>
        <w:t>tulado: “Lotersztein, Salomón s/subsidio”); Inés Zulema López (ver informes y dictamen médicos de 4, 6 y 10, rel</w:t>
      </w:r>
      <w:r>
        <w:t>a</w:t>
      </w:r>
      <w:r>
        <w:t>to de las circunstancias en que se produjo la lesión a fs. 9 y constancias de su empleo en la calle Tucumán 2222, próximo al lugar del siniestro, de fs. 3 y 7/8 del exp</w:t>
      </w:r>
      <w:r>
        <w:t>e</w:t>
      </w:r>
      <w:r>
        <w:t xml:space="preserve">diente del Ministerio del Interior de </w:t>
      </w:r>
      <w:smartTag w:uri="urn:schemas-microsoft-com:office:smarttags" w:element="PersonName">
        <w:smartTagPr>
          <w:attr w:name="ProductID" w:val="la Naci￳n"/>
        </w:smartTagPr>
        <w:r>
          <w:t>la Nación</w:t>
        </w:r>
      </w:smartTag>
      <w:r>
        <w:t xml:space="preserve"> nº 373.534, caratulado: “López, Inés Zulema s/subsidio”); J</w:t>
      </w:r>
      <w:r>
        <w:t>u</w:t>
      </w:r>
      <w:r>
        <w:t>lio César Rodr</w:t>
      </w:r>
      <w:r>
        <w:t>í</w:t>
      </w:r>
      <w:r>
        <w:t>guez (ver constancias médicas a fs. 1 y 2, reseña de las ci</w:t>
      </w:r>
      <w:r>
        <w:t>r</w:t>
      </w:r>
      <w:r>
        <w:t>cunstancias en que se produjo la lesión a fs. 4, dictamen médico a fs. 5 y listado de personas her</w:t>
      </w:r>
      <w:r>
        <w:t>i</w:t>
      </w:r>
      <w:r>
        <w:t xml:space="preserve">das dadas de alta, elaborado conjuntamente entre </w:t>
      </w:r>
      <w:smartTag w:uri="urn:schemas-microsoft-com:office:smarttags" w:element="PersonName">
        <w:smartTagPr>
          <w:attr w:name="ProductID" w:val="la Secretar￭a"/>
        </w:smartTagPr>
        <w:r>
          <w:t>la Secr</w:t>
        </w:r>
        <w:r>
          <w:t>e</w:t>
        </w:r>
        <w:r>
          <w:t>taría</w:t>
        </w:r>
      </w:smartTag>
      <w:r>
        <w:t xml:space="preserve"> de Coordinación del Ministerio del Interior y el Centro de Información de </w:t>
      </w:r>
      <w:smartTag w:uri="urn:schemas-microsoft-com:office:smarttags" w:element="PersonName">
        <w:smartTagPr>
          <w:attr w:name="ProductID" w:val="la AMIA"/>
        </w:smartTagPr>
        <w:r>
          <w:t>la AMIA</w:t>
        </w:r>
      </w:smartTag>
      <w:r>
        <w:t xml:space="preserve">/DAIA el 30 de julio de </w:t>
      </w:r>
      <w:smartTag w:uri="urn:schemas-microsoft-com:office:smarttags" w:element="metricconverter">
        <w:smartTagPr>
          <w:attr w:name="ProductID" w:val="1994 a"/>
        </w:smartTagPr>
        <w:r>
          <w:t>1994 a</w:t>
        </w:r>
      </w:smartTag>
      <w:r>
        <w:t xml:space="preserve"> fs. 6 del expediente del Minist</w:t>
      </w:r>
      <w:r>
        <w:t>e</w:t>
      </w:r>
      <w:r>
        <w:t xml:space="preserve">rio del Interior de </w:t>
      </w:r>
      <w:smartTag w:uri="urn:schemas-microsoft-com:office:smarttags" w:element="PersonName">
        <w:smartTagPr>
          <w:attr w:name="ProductID" w:val="la Naci￳n"/>
        </w:smartTagPr>
        <w:r>
          <w:t>la Nación</w:t>
        </w:r>
      </w:smartTag>
      <w:r>
        <w:t xml:space="preserve"> nº 369.502, caratulado: “Rodr</w:t>
      </w:r>
      <w:r>
        <w:t>í</w:t>
      </w:r>
      <w:r>
        <w:t>guez, Julio César s/subsidio”); Ángela Romano de Delgado (ver informe médico a fs. 2, relato de las ci</w:t>
      </w:r>
      <w:r>
        <w:t>r</w:t>
      </w:r>
      <w:r>
        <w:t>cunstancias en que se produjo la lesión a fs. 4 y dictamen a fs. 5 del expediente del M</w:t>
      </w:r>
      <w:r>
        <w:t>i</w:t>
      </w:r>
      <w:r>
        <w:t xml:space="preserve">nisterio del Interior de </w:t>
      </w:r>
      <w:smartTag w:uri="urn:schemas-microsoft-com:office:smarttags" w:element="PersonName">
        <w:smartTagPr>
          <w:attr w:name="ProductID" w:val="la Naci￳n"/>
        </w:smartTagPr>
        <w:r>
          <w:t>la Nación</w:t>
        </w:r>
      </w:smartTag>
      <w:r>
        <w:t xml:space="preserve"> nº 368.562, carat</w:t>
      </w:r>
      <w:r>
        <w:t>u</w:t>
      </w:r>
      <w:r>
        <w:t>lado “Romano, Ángela s/subsidio” y documentación que acredita la propiedad del inmueble de la calle Uriburu 664, piso 1º, “B”, de esta ciudad, agregada al expediente nº 371.118, del citado organismo); Martha Raduel Finkelberg de Pierro (ver libro de clínica médica del Hospital Gen</w:t>
      </w:r>
      <w:r>
        <w:t>e</w:t>
      </w:r>
      <w:r>
        <w:t>ral de Agudos J.M. R</w:t>
      </w:r>
      <w:r>
        <w:t>a</w:t>
      </w:r>
      <w:r>
        <w:t>mos Mejía de los pacientes atendidos el 18 de julio de 1994, copiado a fs. 25.725/25.730 y e</w:t>
      </w:r>
      <w:r>
        <w:t>x</w:t>
      </w:r>
      <w:r>
        <w:t xml:space="preserve">pediente del Ministerio del Interior de </w:t>
      </w:r>
      <w:smartTag w:uri="urn:schemas-microsoft-com:office:smarttags" w:element="PersonName">
        <w:smartTagPr>
          <w:attr w:name="ProductID" w:val="la Naci￳n"/>
        </w:smartTagPr>
        <w:r>
          <w:t>la Nación</w:t>
        </w:r>
      </w:smartTag>
      <w:r>
        <w:t xml:space="preserve"> nº 368.506, por daños en su inmueble de la calle Pasteur); Cecilia Alejandra R</w:t>
      </w:r>
      <w:r>
        <w:t>i</w:t>
      </w:r>
      <w:r>
        <w:t xml:space="preserve">kap (ver informe y dictamen médicos a fs. 3/4 y 5, y listado de heridos a fs. 6 del expediente del Ministerio del Interior de </w:t>
      </w:r>
      <w:smartTag w:uri="urn:schemas-microsoft-com:office:smarttags" w:element="PersonName">
        <w:smartTagPr>
          <w:attr w:name="ProductID" w:val="la Naci￳n"/>
        </w:smartTagPr>
        <w:r>
          <w:t>la Nación</w:t>
        </w:r>
      </w:smartTag>
      <w:r>
        <w:t xml:space="preserve"> nº 368.927, car</w:t>
      </w:r>
      <w:r>
        <w:t>a</w:t>
      </w:r>
      <w:r>
        <w:t>tulado: “Cecilia Alejandra Rikap s/subsidio”); Ramón López (ver est</w:t>
      </w:r>
      <w:r>
        <w:t>u</w:t>
      </w:r>
      <w:r>
        <w:t xml:space="preserve">dios, informes y dictamen médicos a fs. 2/4, 8/12 y 15 del expediente del Ministerio del Interior de </w:t>
      </w:r>
      <w:smartTag w:uri="urn:schemas-microsoft-com:office:smarttags" w:element="PersonName">
        <w:smartTagPr>
          <w:attr w:name="ProductID" w:val="la Naci￳n"/>
        </w:smartTagPr>
        <w:r>
          <w:t>la N</w:t>
        </w:r>
        <w:r>
          <w:t>a</w:t>
        </w:r>
        <w:r>
          <w:t>ción</w:t>
        </w:r>
      </w:smartTag>
      <w:r>
        <w:t xml:space="preserve"> nº 369.010, caratulado: “López, Ramón s/subsidio”) y Salomón Chencinski (ver informe y dictamen médicos a fs. 1, 10 y 12 del expediente del Ministerio del Interior de </w:t>
      </w:r>
      <w:smartTag w:uri="urn:schemas-microsoft-com:office:smarttags" w:element="PersonName">
        <w:smartTagPr>
          <w:attr w:name="ProductID" w:val="la Naci￳n"/>
        </w:smartTagPr>
        <w:r>
          <w:t>la Nación</w:t>
        </w:r>
      </w:smartTag>
      <w:r>
        <w:t xml:space="preserve"> nº 373.655, caratulado: “Chencinski, Salomón s/subsidio”).</w:t>
      </w:r>
    </w:p>
    <w:p w:rsidR="00224567" w:rsidRDefault="00224567">
      <w:pPr>
        <w:widowControl w:val="0"/>
      </w:pPr>
      <w:r>
        <w:tab/>
      </w:r>
      <w:r>
        <w:tab/>
        <w:t>No obstante que las víctimas mencion</w:t>
      </w:r>
      <w:r>
        <w:t>a</w:t>
      </w:r>
      <w:r>
        <w:t>das en el acápite precedente no prestaron declaración te</w:t>
      </w:r>
      <w:r>
        <w:t>s</w:t>
      </w:r>
      <w:r>
        <w:t>timonial en el debate por dive</w:t>
      </w:r>
      <w:r>
        <w:t>r</w:t>
      </w:r>
      <w:r>
        <w:t>sos motivos –fallecimiento, dificultades para concurrir al tribunal, su co</w:t>
      </w:r>
      <w:r>
        <w:t>r</w:t>
      </w:r>
      <w:r>
        <w:t>ta edad al momento del hecho o por ignorarse su actual residencia- numerosas circunstancias convencen acerca de que las l</w:t>
      </w:r>
      <w:r>
        <w:t>e</w:t>
      </w:r>
      <w:r>
        <w:t>siones de que dan cuenta los informes médicos citados fu</w:t>
      </w:r>
      <w:r>
        <w:t>e</w:t>
      </w:r>
      <w:r>
        <w:t>ron causadas por el hecho motivo de juicio.</w:t>
      </w:r>
    </w:p>
    <w:p w:rsidR="00224567" w:rsidRDefault="00224567">
      <w:pPr>
        <w:widowControl w:val="0"/>
      </w:pPr>
      <w:r>
        <w:tab/>
      </w:r>
      <w:r>
        <w:tab/>
        <w:t>En efecto; según se desprende de d</w:t>
      </w:r>
      <w:r>
        <w:t>i</w:t>
      </w:r>
      <w:r>
        <w:t>chos informes, los nombrados fueron atendidos en di</w:t>
      </w:r>
      <w:r>
        <w:t>s</w:t>
      </w:r>
      <w:r>
        <w:t>tintos hospitales, poco tiempo después de la catástrofe, deriv</w:t>
      </w:r>
      <w:r>
        <w:t>a</w:t>
      </w:r>
      <w:r>
        <w:t>dos desde el lugar de los acontecimientos. A su vez, la índole de las dolencias informadas, tales como politraum</w:t>
      </w:r>
      <w:r>
        <w:t>a</w:t>
      </w:r>
      <w:r>
        <w:t>tismos, incrustación de elementos met</w:t>
      </w:r>
      <w:r>
        <w:t>á</w:t>
      </w:r>
      <w:r>
        <w:t>licos, intoxicación por inhalación de polvo, trauma psicológico o desmayos producidos por shock traumático, resultan manifiestamente co</w:t>
      </w:r>
      <w:r>
        <w:t>m</w:t>
      </w:r>
      <w:r>
        <w:t>patibles con los sucesos de autos.</w:t>
      </w:r>
    </w:p>
    <w:p w:rsidR="00224567" w:rsidRDefault="00224567">
      <w:pPr>
        <w:widowControl w:val="0"/>
      </w:pPr>
      <w:r>
        <w:tab/>
      </w:r>
      <w:r>
        <w:tab/>
        <w:t>Finalmente, debe destacarse que la m</w:t>
      </w:r>
      <w:r>
        <w:t>a</w:t>
      </w:r>
      <w:r>
        <w:t>yoría de ellos vivían o trabajaban en s</w:t>
      </w:r>
      <w:r>
        <w:t>i</w:t>
      </w:r>
      <w:r>
        <w:t>tios próximos a la zona afectada por el atentado, conforme se desprende de las constancias obrantes en los expedientes labrados con motivo de los subsidios otorgados a las víctimas por el Estado N</w:t>
      </w:r>
      <w:r>
        <w:t>a</w:t>
      </w:r>
      <w:r>
        <w:t>cional.</w:t>
      </w:r>
    </w:p>
    <w:p w:rsidR="00224567" w:rsidRDefault="00224567">
      <w:pPr>
        <w:widowControl w:val="0"/>
      </w:pPr>
      <w:r>
        <w:tab/>
      </w:r>
      <w:r>
        <w:tab/>
        <w:t>Por lo demás, en los casos de Sneh, Cernadas, Waizer, Díaz, Gómez, Brodsky de Ro</w:t>
      </w:r>
      <w:r>
        <w:t>f</w:t>
      </w:r>
      <w:r>
        <w:t>fe, Zaidman, Gritti, las hermanas Yabiansky, el matrimonio Lapidus, Finkelberg, Rikap, López y Chencinski, otros testimonios dieron cuenta de la presencia de los nombrados en el l</w:t>
      </w:r>
      <w:r>
        <w:t>u</w:t>
      </w:r>
      <w:r>
        <w:t>gar, al tiempo de la explosión, como así también de las lesiones que presentaron (así, los d</w:t>
      </w:r>
      <w:r>
        <w:t>i</w:t>
      </w:r>
      <w:r>
        <w:t>chos de Rubén Samuel Lapidus, Héctor Rosenblat, Mónica Lucía Arnaudo de Y</w:t>
      </w:r>
      <w:r>
        <w:t>a</w:t>
      </w:r>
      <w:r>
        <w:t>biansky, Ana María B</w:t>
      </w:r>
      <w:r>
        <w:t>a</w:t>
      </w:r>
      <w:r>
        <w:t>laszczuk de Cernadas, Jaime Alejandro Waizer, Hilda Ester Delescabe de Díaz, Jorge Osvaldo F</w:t>
      </w:r>
      <w:r>
        <w:t>e</w:t>
      </w:r>
      <w:r>
        <w:t>rretti, Gabriel León Roffe, Arturo Gritti, Susana Lía Su</w:t>
      </w:r>
      <w:r>
        <w:t>s</w:t>
      </w:r>
      <w:r>
        <w:t>manscky, Ana María Rivas de Rikap, Silvia Castillo Ben</w:t>
      </w:r>
      <w:r>
        <w:t>í</w:t>
      </w:r>
      <w:r>
        <w:t>tez, María Beatriz Rivera Méndez y Mario Alberto Chencin</w:t>
      </w:r>
      <w:r>
        <w:t>s</w:t>
      </w:r>
      <w:r>
        <w:t>ki).</w:t>
      </w:r>
    </w:p>
    <w:p w:rsidR="00224567" w:rsidRDefault="00224567">
      <w:pPr>
        <w:widowControl w:val="0"/>
      </w:pPr>
      <w:r>
        <w:tab/>
      </w:r>
      <w:r>
        <w:tab/>
        <w:t>Por otra parte, el 18 de julio, en h</w:t>
      </w:r>
      <w:r>
        <w:t>o</w:t>
      </w:r>
      <w:r>
        <w:t>ras de la noche, se produjo un nuevo derrumbe en el edif</w:t>
      </w:r>
      <w:r>
        <w:t>i</w:t>
      </w:r>
      <w:r>
        <w:t>cio de Pasteur 633 que afectó la integridad física del personal policial que se enuncia a continuación: Luis Ca</w:t>
      </w:r>
      <w:r>
        <w:t>n</w:t>
      </w:r>
      <w:r>
        <w:t>zobre (ver libro de cl</w:t>
      </w:r>
      <w:r>
        <w:t>í</w:t>
      </w:r>
      <w:r>
        <w:t>nica médica del Hospital General de Agudos J.M. Ramos Mejía, copiado a fs. 25.725/25.730, constancia de los pacientes curados el día 18 y 19 de j</w:t>
      </w:r>
      <w:r>
        <w:t>u</w:t>
      </w:r>
      <w:r>
        <w:t>lio de 1994 en la guardia médica del Hospital Churruca a fs. 297 e informe médico legista a fs. 301, ambos del anexo X); Mario Antonio Ottolino (ver informe médico l</w:t>
      </w:r>
      <w:r>
        <w:t>e</w:t>
      </w:r>
      <w:r>
        <w:t>gista a fs. 351 del anexo XVIII y constancia de los p</w:t>
      </w:r>
      <w:r>
        <w:t>a</w:t>
      </w:r>
      <w:r>
        <w:t>cientes curados el día 18 y 19 de julio de 1994 en la guardia médica del Hospital Churruca a fs. 297 del anexo X); Omar Alfredo Pérez (ver informe médico legista a fs. 316 del anexo X y constancia de los pacientes curados el día 18 y 19 de julio de 1994 en la guardia médica del Ho</w:t>
      </w:r>
      <w:r>
        <w:t>s</w:t>
      </w:r>
      <w:r>
        <w:t>pital Churr</w:t>
      </w:r>
      <w:r>
        <w:t>u</w:t>
      </w:r>
      <w:r>
        <w:t>ca a fs. 297 del anexo X); Pedro Martínez (ver constancia de los pacientes curados el día 18 y 19 de j</w:t>
      </w:r>
      <w:r>
        <w:t>u</w:t>
      </w:r>
      <w:r>
        <w:t>lio de 1994 en la guardia médica del Hospital Churruca a fs. 297 del anexo X e informe a fs. 195 del anexo XI); E</w:t>
      </w:r>
      <w:r>
        <w:t>d</w:t>
      </w:r>
      <w:r>
        <w:t>gardo Roberto Ribrochi (ver libro de clínica médica del Hospital General de Agudos J.M. Ramos M</w:t>
      </w:r>
      <w:r>
        <w:t>e</w:t>
      </w:r>
      <w:r>
        <w:t>jía, copiado a fs. 25.725/25.730, constancias de pacientes curados en el Ho</w:t>
      </w:r>
      <w:r>
        <w:t>s</w:t>
      </w:r>
      <w:r>
        <w:t xml:space="preserve">pital Churruca el 18 y 19 de julio de </w:t>
      </w:r>
      <w:smartTag w:uri="urn:schemas-microsoft-com:office:smarttags" w:element="metricconverter">
        <w:smartTagPr>
          <w:attr w:name="ProductID" w:val="1994 a"/>
        </w:smartTagPr>
        <w:r>
          <w:t>1994 a</w:t>
        </w:r>
      </w:smartTag>
      <w:r>
        <w:t xml:space="preserve"> fs. 297 del anexo X e informe a fs. 195 del anexo XI); Oscar Alberto Banega (ver listado del Hospital de Clínicas a fs. 2400bis/7 –identificado como Oscar Vanega- y constancia de pacientes curados en la guardia médica del Hospital Ch</w:t>
      </w:r>
      <w:r>
        <w:t>u</w:t>
      </w:r>
      <w:r>
        <w:t xml:space="preserve">rruca los día 18 y 19 de julio de </w:t>
      </w:r>
      <w:smartTag w:uri="urn:schemas-microsoft-com:office:smarttags" w:element="metricconverter">
        <w:smartTagPr>
          <w:attr w:name="ProductID" w:val="1994 a"/>
        </w:smartTagPr>
        <w:r>
          <w:t>1994 a</w:t>
        </w:r>
      </w:smartTag>
      <w:r>
        <w:t xml:space="preserve"> fs. 297 del anexo X); Gabriel Germán Peralta Ruíz (ver informe médico legi</w:t>
      </w:r>
      <w:r>
        <w:t>s</w:t>
      </w:r>
      <w:r>
        <w:t>ta a fs. 194 del anexo XI; con</w:t>
      </w:r>
      <w:r>
        <w:t>s</w:t>
      </w:r>
      <w:r>
        <w:t xml:space="preserve">tancia de pacientes curados en la guardia médica del Hospital Churruca los días 18 y 19 de julio de </w:t>
      </w:r>
      <w:smartTag w:uri="urn:schemas-microsoft-com:office:smarttags" w:element="metricconverter">
        <w:smartTagPr>
          <w:attr w:name="ProductID" w:val="1994 a"/>
        </w:smartTagPr>
        <w:r>
          <w:t>1994 a</w:t>
        </w:r>
      </w:smartTag>
      <w:r>
        <w:t xml:space="preserve"> fs. 297 del anexo X y listado de l</w:t>
      </w:r>
      <w:r>
        <w:t>e</w:t>
      </w:r>
      <w:r>
        <w:t>sionados a fs. 338 del citado anexo); Miguel Ángel Vinc</w:t>
      </w:r>
      <w:r>
        <w:t>i</w:t>
      </w:r>
      <w:r>
        <w:t>guerra (ver con</w:t>
      </w:r>
      <w:r>
        <w:t>s</w:t>
      </w:r>
      <w:r>
        <w:t>tancia de pacientes curados en la guardia médica del Hospital Ch</w:t>
      </w:r>
      <w:r>
        <w:t>u</w:t>
      </w:r>
      <w:r>
        <w:t xml:space="preserve">rruca los días 18 y 19 de julio de </w:t>
      </w:r>
      <w:smartTag w:uri="urn:schemas-microsoft-com:office:smarttags" w:element="metricconverter">
        <w:smartTagPr>
          <w:attr w:name="ProductID" w:val="1994 a"/>
        </w:smartTagPr>
        <w:r>
          <w:t>1994 a</w:t>
        </w:r>
      </w:smartTag>
      <w:r>
        <w:t xml:space="preserve"> fs. 297 del anexo X –identificado como Miguel Vi</w:t>
      </w:r>
      <w:r>
        <w:t>n</w:t>
      </w:r>
      <w:r>
        <w:t xml:space="preserve">cierra- y listado de lesionados de </w:t>
      </w:r>
      <w:smartTag w:uri="urn:schemas-microsoft-com:office:smarttags" w:element="PersonName">
        <w:smartTagPr>
          <w:attr w:name="ProductID" w:val="la Superintendencia"/>
        </w:smartTagPr>
        <w:r>
          <w:t>la Superinte</w:t>
        </w:r>
        <w:r>
          <w:t>n</w:t>
        </w:r>
        <w:r>
          <w:t>dencia</w:t>
        </w:r>
      </w:smartTag>
      <w:r>
        <w:t xml:space="preserve"> de Bomberos de </w:t>
      </w:r>
      <w:smartTag w:uri="urn:schemas-microsoft-com:office:smarttags" w:element="PersonName">
        <w:smartTagPr>
          <w:attr w:name="ProductID" w:val="la P.F"/>
        </w:smartTagPr>
        <w:r>
          <w:t>la P.F</w:t>
        </w:r>
      </w:smartTag>
      <w:r>
        <w:t xml:space="preserve">.A. a fs. 338 del citado anexo); Juan Antonio Brizuela (ver constancia de pacientes curados en la guardia médica del Hospital Churruca los días 18 y 19 de julio de </w:t>
      </w:r>
      <w:smartTag w:uri="urn:schemas-microsoft-com:office:smarttags" w:element="metricconverter">
        <w:smartTagPr>
          <w:attr w:name="ProductID" w:val="1994, a"/>
        </w:smartTagPr>
        <w:r>
          <w:t>1994, a</w:t>
        </w:r>
      </w:smartTag>
      <w:r>
        <w:t xml:space="preserve"> fs. 297 e informe médico legista de fs. 334, ambos, del citado anexo X); Daniel Tobal (ver listado de pacientes curados en la guardia del Hospital Churruca los días 18 y 19 de julio de </w:t>
      </w:r>
      <w:smartTag w:uri="urn:schemas-microsoft-com:office:smarttags" w:element="metricconverter">
        <w:smartTagPr>
          <w:attr w:name="ProductID" w:val="1994 a"/>
        </w:smartTagPr>
        <w:r>
          <w:t>1994 a</w:t>
        </w:r>
      </w:smartTag>
      <w:r>
        <w:t xml:space="preserve"> fs. 297 del anexo X) y Claudio Baamonde (ver constancia de pacientes cur</w:t>
      </w:r>
      <w:r>
        <w:t>a</w:t>
      </w:r>
      <w:r>
        <w:t>dos en el Hospital Churruca de fs. 297; informe acerca de las circunstancias en que se produjo la lesión de fs. 298 e informe médico legista de fs. 318, todos agregados en el anexo X).</w:t>
      </w:r>
    </w:p>
    <w:p w:rsidR="00224567" w:rsidRDefault="00224567">
      <w:pPr>
        <w:widowControl w:val="0"/>
      </w:pPr>
      <w:r>
        <w:tab/>
      </w:r>
      <w:r>
        <w:tab/>
        <w:t>Con la sola excepción de Baamonde, t</w:t>
      </w:r>
      <w:r>
        <w:t>o</w:t>
      </w:r>
      <w:r>
        <w:t>dos los antes nombrados manifestaron en el debate que en circunstancias en que realizaban diversas tareas en el l</w:t>
      </w:r>
      <w:r>
        <w:t>u</w:t>
      </w:r>
      <w:r>
        <w:t>gar de la explosión -tales como rescate de víctimas, rem</w:t>
      </w:r>
      <w:r>
        <w:t>o</w:t>
      </w:r>
      <w:r>
        <w:t>ción de escombros, auxilio a las víctimas o control de personas- fueron alcanzados por un nuevo derrumbe de las losas que pendían del edificio en ruinas, producido en h</w:t>
      </w:r>
      <w:r>
        <w:t>o</w:t>
      </w:r>
      <w:r>
        <w:t>ras de la noche del 18 de julio de 1994 y que, a cons</w:t>
      </w:r>
      <w:r>
        <w:t>e</w:t>
      </w:r>
      <w:r>
        <w:t>cuencia de ello, r</w:t>
      </w:r>
      <w:r>
        <w:t>e</w:t>
      </w:r>
      <w:r>
        <w:t>cibieron las lesiones informadas en los distintas constancias citadas en cada uno de los casos analizados. En igual sentido, ver las videofilmaciones t</w:t>
      </w:r>
      <w:r>
        <w:t>i</w:t>
      </w:r>
      <w:r>
        <w:t>tuladas “18/7 Atentado AMIA de 17:30 a 20:20 hs., copia.”, en particular, la hora 2 y minuto 12 de transmisión, y “América 2 VI”, minuto 58.</w:t>
      </w:r>
    </w:p>
    <w:p w:rsidR="00224567" w:rsidRDefault="00224567">
      <w:pPr>
        <w:widowControl w:val="0"/>
      </w:pPr>
      <w:r>
        <w:rPr>
          <w:b/>
          <w:bCs/>
        </w:rPr>
        <w:tab/>
        <w:t>A.8)</w:t>
      </w:r>
      <w:r>
        <w:t xml:space="preserve"> De la nómina de personas cuyas lesiones se tuvo por acreditada, que totalizan entre gr</w:t>
      </w:r>
      <w:r>
        <w:t>a</w:t>
      </w:r>
      <w:r>
        <w:t>ves y leves ciento cincuenta y ún casos de damnificados, la fiscalía sólo formuló reproche penal por s</w:t>
      </w:r>
      <w:r>
        <w:t>e</w:t>
      </w:r>
      <w:r>
        <w:t>tenta y uno; a saber, las que sufrieron Daniel Joffe, Juan Carlos Álv</w:t>
      </w:r>
      <w:r>
        <w:t>a</w:t>
      </w:r>
      <w:r>
        <w:t>rez, Humberto Chiesa, Gustavo Mario C</w:t>
      </w:r>
      <w:r>
        <w:t>a</w:t>
      </w:r>
      <w:r>
        <w:t>no, Rosa Montano de Barreiros, Daniel Osvaldo Saravia, Raúl Alberto Sánchez, Alejandro Mirochnik, Pablo Ayala Rodríguez, Leonor Maria Fuster, Angélica Ester Leiva, Fernando José Andrada, Mo</w:t>
      </w:r>
      <w:r>
        <w:t>i</w:t>
      </w:r>
      <w:r>
        <w:t>sés Chaufan, Javier Horacio Miropolsky, Norma Heler de Lew, Elena Schreiber de Falk, Raquel Álv</w:t>
      </w:r>
      <w:r>
        <w:t>a</w:t>
      </w:r>
      <w:r>
        <w:t>rez, Martín José Viudez, Gregorio Marchak, Luciano Javier Luppi, Rubén S</w:t>
      </w:r>
      <w:r>
        <w:t>a</w:t>
      </w:r>
      <w:r>
        <w:t>muel Chejfec, Hermelinda Be</w:t>
      </w:r>
      <w:r>
        <w:t>r</w:t>
      </w:r>
      <w:r>
        <w:t>mín Bello, Sergio Luis Bondar, Carolina Becerra, Gustavo Spinelli, Gladys Perona de Lis</w:t>
      </w:r>
      <w:r>
        <w:t>a</w:t>
      </w:r>
      <w:r>
        <w:t>zo,  Marta Beatriz Massoli de Luppi,  Jorge Osvaldo Ferr</w:t>
      </w:r>
      <w:r>
        <w:t>e</w:t>
      </w:r>
      <w:r>
        <w:t>tti, Claudio Alejandro Weicman, Jorge Eduardo Bordón Ma</w:t>
      </w:r>
      <w:r>
        <w:t>r</w:t>
      </w:r>
      <w:r>
        <w:t>cela Patricia Laborie San Miguel, Berta Palais, Siphor L</w:t>
      </w:r>
      <w:r>
        <w:t>a</w:t>
      </w:r>
      <w:r>
        <w:t>pidus, Elena Atallah de Palechiz, Mario Ernesto Damp, Si</w:t>
      </w:r>
      <w:r>
        <w:t>l</w:t>
      </w:r>
      <w:r>
        <w:t>vio Duniec, Simón Sneh, Paola Cernadas, Romina Yabian</w:t>
      </w:r>
      <w:r>
        <w:t>s</w:t>
      </w:r>
      <w:r>
        <w:t>ky, Eduardo Waizer, Inés Vicenta López de Duniec, Arturo Gri</w:t>
      </w:r>
      <w:r>
        <w:t>t</w:t>
      </w:r>
      <w:r>
        <w:t>ti, Jaime Zaidman, Alejandro Daniel Verri, Laura Andrea Moragues, Lidia Bernardita Cazal Martí, Salustiano G</w:t>
      </w:r>
      <w:r>
        <w:t>a</w:t>
      </w:r>
      <w:r>
        <w:t>leano, Juan Carlos Mazzón, Israel Moisés Lapidus, Juan A</w:t>
      </w:r>
      <w:r>
        <w:t>l</w:t>
      </w:r>
      <w:r>
        <w:t>do Luján, Elías Néstor Tobal, Carlos Romagnani, Oscar G</w:t>
      </w:r>
      <w:r>
        <w:t>ó</w:t>
      </w:r>
      <w:r>
        <w:t>mez, Horacio Dragubitzky, José Gallardo, Gladys Mans</w:t>
      </w:r>
      <w:r>
        <w:t>i</w:t>
      </w:r>
      <w:r>
        <w:t>lla, Mario Obregón, Claudia Patricia Valdez, Ramón Gutmann, V</w:t>
      </w:r>
      <w:r>
        <w:t>e</w:t>
      </w:r>
      <w:r>
        <w:t>rónica Pate, Adriana Verónica Rosa Sibilla, Albe</w:t>
      </w:r>
      <w:r>
        <w:t>r</w:t>
      </w:r>
      <w:r>
        <w:t>to Roffe, Gabriel León Roffe, Claudia Cristina Vicente de Liano, Adolfo Yabo, María Elsa Cena, Héctor Arce, Nicolás Wojda, Leonardo León Zechin, Rita Raquel Ramírez y Claudio Ant</w:t>
      </w:r>
      <w:r>
        <w:t>o</w:t>
      </w:r>
      <w:r>
        <w:t>nio Silva.</w:t>
      </w:r>
    </w:p>
    <w:p w:rsidR="00224567" w:rsidRDefault="00224567">
      <w:pPr>
        <w:widowControl w:val="0"/>
      </w:pPr>
      <w:r>
        <w:tab/>
        <w:t>El resto de las agresiones verific</w:t>
      </w:r>
      <w:r>
        <w:t>a</w:t>
      </w:r>
      <w:r>
        <w:t>das no fueron objeto de imputación formal en oportunidad de formular acusación la fiscalía y las querellas, motivo que llevaría a descartar de plano su inclusión en la sentencia como materia de reproche penal, so riesgo de violar el principio de congruencia y, por ende, las garantías con</w:t>
      </w:r>
      <w:r>
        <w:t>s</w:t>
      </w:r>
      <w:r>
        <w:t>titucionales de la defensa en juicio y del debido proceso.</w:t>
      </w:r>
    </w:p>
    <w:p w:rsidR="00224567" w:rsidRDefault="00224567">
      <w:pPr>
        <w:widowControl w:val="0"/>
      </w:pPr>
      <w:r>
        <w:tab/>
        <w:t>Empero, distintas razones llevan a describirlas en el presente decisorio con el a</w:t>
      </w:r>
      <w:r>
        <w:t>l</w:t>
      </w:r>
      <w:r>
        <w:t>cance antes fijado.</w:t>
      </w:r>
    </w:p>
    <w:p w:rsidR="00224567" w:rsidRDefault="00224567">
      <w:pPr>
        <w:widowControl w:val="0"/>
      </w:pPr>
      <w:r>
        <w:tab/>
        <w:t>En efecto, la tragedia que prov</w:t>
      </w:r>
      <w:r>
        <w:t>o</w:t>
      </w:r>
      <w:r>
        <w:t>có el hecho motivo de juicio y sus consecuencias directas s</w:t>
      </w:r>
      <w:r>
        <w:t>o</w:t>
      </w:r>
      <w:r>
        <w:t>bre la vida, la integridad física y la propiedad de aquellas personas que fueron damnificadas, como así también el d</w:t>
      </w:r>
      <w:r>
        <w:t>e</w:t>
      </w:r>
      <w:r>
        <w:t>recho a conocer la verdad de lo ocurrido, autorizan a no omitir su mención en el presente fallo.</w:t>
      </w:r>
    </w:p>
    <w:p w:rsidR="00224567" w:rsidRDefault="00224567">
      <w:pPr>
        <w:widowControl w:val="0"/>
      </w:pPr>
      <w:r>
        <w:tab/>
        <w:t>A ello habrá de agregarse las cons</w:t>
      </w:r>
      <w:r>
        <w:t>e</w:t>
      </w:r>
      <w:r>
        <w:t>cuencias jurídicas que, en el ámbito extrap</w:t>
      </w:r>
      <w:r>
        <w:t>e</w:t>
      </w:r>
      <w:r>
        <w:t>nal, su falta de mención podría acarrear en los derechos de las víct</w:t>
      </w:r>
      <w:r>
        <w:t>i</w:t>
      </w:r>
      <w:r>
        <w:t>mas.</w:t>
      </w:r>
    </w:p>
    <w:p w:rsidR="00224567" w:rsidRDefault="00224567">
      <w:pPr>
        <w:widowControl w:val="0"/>
      </w:pPr>
      <w:r>
        <w:tab/>
      </w:r>
      <w:r>
        <w:tab/>
        <w:t>Ello, sin dejar de señalar la liger</w:t>
      </w:r>
      <w:r>
        <w:t>e</w:t>
      </w:r>
      <w:r>
        <w:t>za, vaguedad, imprecisión e inexactitud que se advirtió en el análisis de la prueba rendida en el debate y de la i</w:t>
      </w:r>
      <w:r>
        <w:t>n</w:t>
      </w:r>
      <w:r>
        <w:t>corporada por lectura que, al respecto, realizaron el M</w:t>
      </w:r>
      <w:r>
        <w:t>i</w:t>
      </w:r>
      <w:r>
        <w:t>nisterio Público Fiscal y las querellas en sus respectivas acusaciones; neglige</w:t>
      </w:r>
      <w:r>
        <w:t>n</w:t>
      </w:r>
      <w:r>
        <w:t>cias de las que tampoco están exentos sus respect</w:t>
      </w:r>
      <w:r>
        <w:t>i</w:t>
      </w:r>
      <w:r>
        <w:t>vos requerimientos de elevación a juicio.</w:t>
      </w:r>
    </w:p>
    <w:p w:rsidR="00224567" w:rsidRDefault="00224567">
      <w:pPr>
        <w:widowControl w:val="0"/>
      </w:pPr>
      <w:r>
        <w:tab/>
      </w:r>
      <w:r>
        <w:tab/>
        <w:t>A más de que en dichas piezas se om</w:t>
      </w:r>
      <w:r>
        <w:t>i</w:t>
      </w:r>
      <w:r>
        <w:t>tió mencionar, aunque más no sea mínimamente, las proba</w:t>
      </w:r>
      <w:r>
        <w:t>n</w:t>
      </w:r>
      <w:r>
        <w:t>zas sobre las cuales se apoyan cada uno de los casos de lesiones verificados, otras imprecisi</w:t>
      </w:r>
      <w:r>
        <w:t>o</w:t>
      </w:r>
      <w:r>
        <w:t>nes, aún más graves, se han o</w:t>
      </w:r>
      <w:r>
        <w:t>b</w:t>
      </w:r>
      <w:r>
        <w:t>servado.</w:t>
      </w:r>
    </w:p>
    <w:p w:rsidR="00224567" w:rsidRDefault="00224567">
      <w:pPr>
        <w:widowControl w:val="0"/>
      </w:pPr>
      <w:r>
        <w:tab/>
      </w:r>
      <w:r>
        <w:tab/>
        <w:t>En ese orden, cabe señalar que en la requis</w:t>
      </w:r>
      <w:r>
        <w:t>i</w:t>
      </w:r>
      <w:r>
        <w:t>toria formulada por la fiscalía, suscripta por los Dres.  Alberto Nisman,  Eamon Mullen y  José Carlos Barb</w:t>
      </w:r>
      <w:r>
        <w:t>a</w:t>
      </w:r>
      <w:r>
        <w:t>ccia, que obra a fs. 64.550/64.683, en particular, fs. 64.580vta./64.584, se observa la indicación de una misma persona bajo diversas maneras; tales, los casos de “Juan Carlos Marzón” y “Sgto. Juan Carlos Mazzón” o “Mario Ant</w:t>
      </w:r>
      <w:r>
        <w:t>o</w:t>
      </w:r>
      <w:r>
        <w:t>nio Ottolino” y “Scrio. Mario Ottolino” o “Agte. Miguel Vincierra” y “Agte. Miguel Vinciguerra” o “Rubén Samuel Chejfec” y “Rubén Cheitek” o “Edgardo Ribroche” y “cabo Edgardo Ribrochi” o “José Luis López” y “Agte. José López” o “Gabriel Germán Peralta Ruiz” y “Agte. Gabriel Peralta Ruiz”.</w:t>
      </w:r>
    </w:p>
    <w:p w:rsidR="00224567" w:rsidRDefault="00224567">
      <w:pPr>
        <w:widowControl w:val="0"/>
      </w:pPr>
      <w:r>
        <w:tab/>
      </w:r>
      <w:r>
        <w:tab/>
        <w:t>Además de advertirse errores en la i</w:t>
      </w:r>
      <w:r>
        <w:t>n</w:t>
      </w:r>
      <w:r>
        <w:t>dividualización de las personas lesionadas (v. g. se al</w:t>
      </w:r>
      <w:r>
        <w:t>u</w:t>
      </w:r>
      <w:r>
        <w:t>dió a “Moises Ivan”, en realidad, Mo</w:t>
      </w:r>
      <w:r>
        <w:t>i</w:t>
      </w:r>
      <w:r>
        <w:t>sés Chaufan, según se deduce del lugar de internación consignado en las consta</w:t>
      </w:r>
      <w:r>
        <w:t>n</w:t>
      </w:r>
      <w:r>
        <w:t>cias de fs. 519 y 25.315/25.338), se constató que otras fueron identificadas de manera imprecisa, tales como “G. Chirratea”, “Sra. de Roffe”, “NN. Finkelberg” o “Sergio Luis Bondar o Bordar”; falencias que, en algunos casos, también hicieron propias en sus presentaciones las quer</w:t>
      </w:r>
      <w:r>
        <w:t>e</w:t>
      </w:r>
      <w:r>
        <w:t>llas D.A.I.A., A.M.I.A. y “Grupo de Fam</w:t>
      </w:r>
      <w:r>
        <w:t>i</w:t>
      </w:r>
      <w:r>
        <w:t>liares”.</w:t>
      </w:r>
    </w:p>
    <w:p w:rsidR="00224567" w:rsidRDefault="00224567">
      <w:pPr>
        <w:widowControl w:val="0"/>
      </w:pPr>
      <w:r>
        <w:tab/>
      </w:r>
      <w:r>
        <w:tab/>
        <w:t>Es del caso señalar que, para ento</w:t>
      </w:r>
      <w:r>
        <w:t>n</w:t>
      </w:r>
      <w:r>
        <w:t>ces, varios de dichos sujetos habían prestado decl</w:t>
      </w:r>
      <w:r>
        <w:t>a</w:t>
      </w:r>
      <w:r>
        <w:t>ración testimonial en la causa (v. g. Sergio Luis Bondar, Martha Hilda Brodsky de Roffe, Martha Raduel Finkelberg, entre otros).</w:t>
      </w:r>
    </w:p>
    <w:p w:rsidR="00224567" w:rsidRDefault="00224567">
      <w:pPr>
        <w:widowControl w:val="0"/>
      </w:pPr>
      <w:r>
        <w:tab/>
      </w:r>
      <w:r>
        <w:tab/>
        <w:t>Otro tanto sucedió en la present</w:t>
      </w:r>
      <w:r>
        <w:t>a</w:t>
      </w:r>
      <w:r>
        <w:t>ción de la querella “Memoria Activa” de fs. 64.291/64.309, que desconociendo el requisito de autosuficiencia de la requ</w:t>
      </w:r>
      <w:r>
        <w:t>i</w:t>
      </w:r>
      <w:r>
        <w:t xml:space="preserve">sitoria, realizó </w:t>
      </w:r>
      <w:r>
        <w:rPr>
          <w:u w:val="single"/>
        </w:rPr>
        <w:t>brevitatis causae</w:t>
      </w:r>
      <w:r>
        <w:t xml:space="preserve"> una remisión al li</w:t>
      </w:r>
      <w:r>
        <w:t>s</w:t>
      </w:r>
      <w:r>
        <w:t>tado de personas efectuado por el juez instructor en el auto de fs. 2306/2372 y a la nómina del Ministerio del I</w:t>
      </w:r>
      <w:r>
        <w:t>n</w:t>
      </w:r>
      <w:r>
        <w:t xml:space="preserve">terior de </w:t>
      </w:r>
      <w:smartTag w:uri="urn:schemas-microsoft-com:office:smarttags" w:element="PersonName">
        <w:smartTagPr>
          <w:attr w:name="ProductID" w:val="la Naci￳n"/>
        </w:smartTagPr>
        <w:r>
          <w:t>la Nación</w:t>
        </w:r>
      </w:smartTag>
      <w:r>
        <w:t xml:space="preserve"> de fs. 4650 y sgtes.</w:t>
      </w:r>
    </w:p>
    <w:p w:rsidR="00224567" w:rsidRDefault="00224567">
      <w:pPr>
        <w:widowControl w:val="0"/>
      </w:pPr>
      <w:r>
        <w:tab/>
      </w:r>
      <w:r>
        <w:tab/>
        <w:t>Vale recordar que el requer</w:t>
      </w:r>
      <w:r>
        <w:t>i</w:t>
      </w:r>
      <w:r>
        <w:t>miento de elevación a juicio constituye la fijación concreta y d</w:t>
      </w:r>
      <w:r>
        <w:t>e</w:t>
      </w:r>
      <w:r>
        <w:t>terminada de la imputación penal que pesa sobre el sujeto activo; fijación esta sobre la que se cimenta el juicio propiamente dicho.</w:t>
      </w:r>
    </w:p>
    <w:p w:rsidR="00224567" w:rsidRDefault="00224567">
      <w:pPr>
        <w:widowControl w:val="0"/>
      </w:pPr>
      <w:r>
        <w:tab/>
      </w:r>
      <w:r>
        <w:tab/>
        <w:t>Ello adquiere singular relevancia en el caso particular de autos, en tanto que en d</w:t>
      </w:r>
      <w:r>
        <w:t>i</w:t>
      </w:r>
      <w:r>
        <w:t>chas piezas procesales se dejó de lado, sin expresar motivos, la v</w:t>
      </w:r>
      <w:r>
        <w:t>a</w:t>
      </w:r>
      <w:r>
        <w:t>liosa información que, acerca de las agresiones a la int</w:t>
      </w:r>
      <w:r>
        <w:t>e</w:t>
      </w:r>
      <w:r>
        <w:t>gridad física que padecieron num</w:t>
      </w:r>
      <w:r>
        <w:t>e</w:t>
      </w:r>
      <w:r>
        <w:t>rosas víctimas a raíz del atentado, surgía de los expedientes tramitados ante el M</w:t>
      </w:r>
      <w:r>
        <w:t>i</w:t>
      </w:r>
      <w:r>
        <w:t xml:space="preserve">nisterio del Interior de </w:t>
      </w:r>
      <w:smartTag w:uri="urn:schemas-microsoft-com:office:smarttags" w:element="PersonName">
        <w:smartTagPr>
          <w:attr w:name="ProductID" w:val="la Naci￳n"/>
        </w:smartTagPr>
        <w:r>
          <w:t>la Nación</w:t>
        </w:r>
      </w:smartTag>
      <w:r>
        <w:t xml:space="preserve"> con el objeto de obt</w:t>
      </w:r>
      <w:r>
        <w:t>e</w:t>
      </w:r>
      <w:r>
        <w:t>ner subsidios por lesiones, como así también en la causa principal. De tal modo se sustrajo del debate el juzg</w:t>
      </w:r>
      <w:r>
        <w:t>a</w:t>
      </w:r>
      <w:r>
        <w:t>miento de cuantiosos casos de personas lesionadas a raíz del hecho invest</w:t>
      </w:r>
      <w:r>
        <w:t>i</w:t>
      </w:r>
      <w:r>
        <w:t>gado.</w:t>
      </w:r>
    </w:p>
    <w:p w:rsidR="00224567" w:rsidRDefault="00224567">
      <w:pPr>
        <w:widowControl w:val="0"/>
      </w:pPr>
      <w:r>
        <w:tab/>
      </w:r>
      <w:r>
        <w:tab/>
        <w:t>Las deficiencias señaladas ta</w:t>
      </w:r>
      <w:r>
        <w:t>m</w:t>
      </w:r>
      <w:r>
        <w:t>bién se advirtieron al momento de la acusación final del Minist</w:t>
      </w:r>
      <w:r>
        <w:t>e</w:t>
      </w:r>
      <w:r>
        <w:t>rio P</w:t>
      </w:r>
      <w:r>
        <w:t>ú</w:t>
      </w:r>
      <w:r>
        <w:t>blico Fiscal y las querellas.</w:t>
      </w:r>
    </w:p>
    <w:p w:rsidR="00224567" w:rsidRDefault="00224567">
      <w:pPr>
        <w:widowControl w:val="0"/>
      </w:pPr>
      <w:r>
        <w:tab/>
      </w:r>
      <w:r>
        <w:tab/>
        <w:t>En esa oportunidad, ni los fi</w:t>
      </w:r>
      <w:r>
        <w:t>s</w:t>
      </w:r>
      <w:r>
        <w:t>cales ni el acusador privado por “Memoria Activa” detallaron las pruebas que acreditaban cada una de las l</w:t>
      </w:r>
      <w:r>
        <w:t>e</w:t>
      </w:r>
      <w:r>
        <w:t>siones, sino que realizaron una genérica rem</w:t>
      </w:r>
      <w:r>
        <w:t>i</w:t>
      </w:r>
      <w:r>
        <w:t>sión a constancias agregadas a l</w:t>
      </w:r>
      <w:r>
        <w:t>e</w:t>
      </w:r>
      <w:r>
        <w:t>gajos anexos a la causa.</w:t>
      </w:r>
    </w:p>
    <w:p w:rsidR="00224567" w:rsidRDefault="00224567">
      <w:pPr>
        <w:widowControl w:val="0"/>
      </w:pPr>
      <w:r>
        <w:tab/>
      </w:r>
      <w:r>
        <w:tab/>
        <w:t>El titular de la acción pública tamp</w:t>
      </w:r>
      <w:r>
        <w:t>o</w:t>
      </w:r>
      <w:r>
        <w:t>co explicó el motivo por el cual dejó de lado los menosc</w:t>
      </w:r>
      <w:r>
        <w:t>a</w:t>
      </w:r>
      <w:r>
        <w:t>bos a la salud que se verificaron en una gran cantidad de víctimas cuyas lesiones habían sido objeto de imputación en el requerimiento de elevación de la causa a juicio, cuando la prueba producida en el contradictorio agregó nuevos elementos convictivos que las corroboraban. Así, por citar sólo algunos ejemplos, las declaraciones test</w:t>
      </w:r>
      <w:r>
        <w:t>i</w:t>
      </w:r>
      <w:r>
        <w:t>moniales de los policías que fueron alcanzados por el s</w:t>
      </w:r>
      <w:r>
        <w:t>e</w:t>
      </w:r>
      <w:r>
        <w:t>gundo derrumbe o los casos de Edmundo Horacio Baron, Adriana Beatriz Schettino, Silvia Castillo Benítez, Aldo Ernesto Macagno, Horacio Diego Velázquez, Dolores Insúa Calo, Mónica Beatriz Barraganes, Ana María Balaszczuk de Cernadas, Liliana Cristina Olivo, Jorge Alberto Machaca, Aída Eva Stolarsky de Bedne, Osvaldo Héctor Pérez, entre otros más que también co</w:t>
      </w:r>
      <w:r>
        <w:t>n</w:t>
      </w:r>
      <w:r>
        <w:t>currieron al debate y detallaron, al igual que en las constancias médicas antes expuestas, las afectaciones que sufrieron a causa del ate</w:t>
      </w:r>
      <w:r>
        <w:t>n</w:t>
      </w:r>
      <w:r>
        <w:t>tado.</w:t>
      </w:r>
    </w:p>
    <w:p w:rsidR="00224567" w:rsidRDefault="00224567">
      <w:pPr>
        <w:widowControl w:val="0"/>
      </w:pPr>
      <w:r>
        <w:tab/>
      </w:r>
      <w:r>
        <w:tab/>
        <w:t>En cambio el Ministerio P</w:t>
      </w:r>
      <w:r>
        <w:t>ú</w:t>
      </w:r>
      <w:r>
        <w:t>blico Fiscal sí formuló reproche penal en orden a las lesiones que h</w:t>
      </w:r>
      <w:r>
        <w:t>a</w:t>
      </w:r>
      <w:r>
        <w:t>bría recibido Carolina Becerra y Claudio Antonio Silva c</w:t>
      </w:r>
      <w:r>
        <w:t>o</w:t>
      </w:r>
      <w:r>
        <w:t>mo consecuencia de la explosión ocurrida en calle Pa</w:t>
      </w:r>
      <w:r>
        <w:t>s</w:t>
      </w:r>
      <w:r>
        <w:t>teur 633.</w:t>
      </w:r>
    </w:p>
    <w:p w:rsidR="00224567" w:rsidRDefault="00224567">
      <w:pPr>
        <w:widowControl w:val="0"/>
      </w:pPr>
      <w:r>
        <w:tab/>
      </w:r>
      <w:r>
        <w:tab/>
        <w:t>Corresponde hacer notar que la prim</w:t>
      </w:r>
      <w:r>
        <w:t>e</w:t>
      </w:r>
      <w:r>
        <w:t>ra, conforme se desprende de la “hoja de guardia” del Ho</w:t>
      </w:r>
      <w:r>
        <w:t>s</w:t>
      </w:r>
      <w:r>
        <w:t>pital G</w:t>
      </w:r>
      <w:r>
        <w:t>e</w:t>
      </w:r>
      <w:r>
        <w:t>neral de Agudos “Juan A. Fernández”, obrante a fs. 381 del anexo XVIII, fue hospitalizada por causa de un a</w:t>
      </w:r>
      <w:r>
        <w:t>c</w:t>
      </w:r>
      <w:r>
        <w:t>cidente de tránsito ocurrido en Avda. del Libertador y Salguero de esta ciudad, no advirtiéndose ninguna vincul</w:t>
      </w:r>
      <w:r>
        <w:t>a</w:t>
      </w:r>
      <w:r>
        <w:t>ción con el hecho objeto de debate; ci</w:t>
      </w:r>
      <w:r>
        <w:t>r</w:t>
      </w:r>
      <w:r>
        <w:t>cunstancia que, por lo demás, motivó el rechazo de su convocatoria como test</w:t>
      </w:r>
      <w:r>
        <w:t>i</w:t>
      </w:r>
      <w:r>
        <w:t>go al juicio (fs. 95.193/95.208, punto 16).</w:t>
      </w:r>
    </w:p>
    <w:p w:rsidR="00224567" w:rsidRDefault="00224567">
      <w:pPr>
        <w:widowControl w:val="0"/>
      </w:pPr>
      <w:r>
        <w:tab/>
      </w:r>
      <w:r>
        <w:tab/>
        <w:t>En cuanto a Silva, de la lectura del informe médico de fs. 41 del anexo XI, fluye que fue ex</w:t>
      </w:r>
      <w:r>
        <w:t>a</w:t>
      </w:r>
      <w:r>
        <w:t>minado por orden del magistrado a cargo del Ju</w:t>
      </w:r>
      <w:r>
        <w:t>z</w:t>
      </w:r>
      <w:r>
        <w:t>gado en lo Criminal nº 13, con motivo de la causa caratulada: “Damn</w:t>
      </w:r>
      <w:r>
        <w:t>i</w:t>
      </w:r>
      <w:r>
        <w:t xml:space="preserve">ficado Claudio Antonio Silva, lesiones art. </w:t>
      </w:r>
      <w:smartTag w:uri="urn:schemas-microsoft-com:office:smarttags" w:element="metricconverter">
        <w:smartTagPr>
          <w:attr w:name="ProductID" w:val="89 C"/>
        </w:smartTagPr>
        <w:r>
          <w:t>89 C</w:t>
        </w:r>
      </w:smartTag>
      <w:r>
        <w:t>.P.”, no advirtiéndose ta</w:t>
      </w:r>
      <w:r>
        <w:t>m</w:t>
      </w:r>
      <w:r>
        <w:t>poco vinculación con el hecho objeto del proceso.</w:t>
      </w:r>
    </w:p>
    <w:p w:rsidR="00224567" w:rsidRDefault="00224567">
      <w:pPr>
        <w:widowControl w:val="0"/>
      </w:pPr>
      <w:r>
        <w:tab/>
      </w:r>
      <w:r>
        <w:tab/>
        <w:t>También corresponde descartar la afe</w:t>
      </w:r>
      <w:r>
        <w:t>c</w:t>
      </w:r>
      <w:r>
        <w:t>tación en su integridad física que padeció el sargento Juan Carlos Mazzón, por la cual también formuló acusación la fiscalía, puesto que, según sus dichos, ella se produjo mientras recogía escombros del edificio derrumbado, tran</w:t>
      </w:r>
      <w:r>
        <w:t>s</w:t>
      </w:r>
      <w:r>
        <w:t>curridos si</w:t>
      </w:r>
      <w:r>
        <w:t>e</w:t>
      </w:r>
      <w:r>
        <w:t>te días del atentado, a causa de una maniobra realizada por el personal de re</w:t>
      </w:r>
      <w:r>
        <w:t>s</w:t>
      </w:r>
      <w:r>
        <w:t>cate israelí, que provocó la caída de una caja pesada en su pierna.</w:t>
      </w:r>
    </w:p>
    <w:p w:rsidR="00224567" w:rsidRDefault="00224567">
      <w:pPr>
        <w:widowControl w:val="0"/>
      </w:pPr>
      <w:r>
        <w:tab/>
      </w:r>
      <w:r>
        <w:tab/>
        <w:t>Finalmente, la querella unificada de D.A.I.A., A.M.I.A. y “Grupo de Familiares” ac</w:t>
      </w:r>
      <w:r>
        <w:t>u</w:t>
      </w:r>
      <w:r>
        <w:t>só, sin más, a los imputados por lesiones gravísimas, graves y leves sin mencionar ni un solo caso. Se limitó a decir que no se pudo establecer con exactitud el n</w:t>
      </w:r>
      <w:r>
        <w:t>ú</w:t>
      </w:r>
      <w:r>
        <w:t>mero de ellos.</w:t>
      </w:r>
    </w:p>
    <w:p w:rsidR="00224567" w:rsidRDefault="00224567">
      <w:pPr>
        <w:widowControl w:val="0"/>
        <w:rPr>
          <w:bCs/>
        </w:rPr>
      </w:pPr>
      <w:r>
        <w:tab/>
      </w:r>
      <w:r>
        <w:tab/>
        <w:t>Las consideraciones expuestas en este apartado, si bien ninguna consecuencia jur</w:t>
      </w:r>
      <w:r>
        <w:t>í</w:t>
      </w:r>
      <w:r>
        <w:t>dica habrán de merecer atento la solución final que se adopta en la pr</w:t>
      </w:r>
      <w:r>
        <w:t>e</w:t>
      </w:r>
      <w:r>
        <w:t>sente, el tribunal entendió menester realizarlas, con el objeto de dejar asentado la negligencia en que, al respe</w:t>
      </w:r>
      <w:r>
        <w:t>c</w:t>
      </w:r>
      <w:r>
        <w:t>to, inc</w:t>
      </w:r>
      <w:r>
        <w:t>u</w:t>
      </w:r>
      <w:r>
        <w:t>rrieron los representantes del Ministerio Público Fiscal, a consecuencia de la cual se sustrajo del debate las lesiones que sufrieron ochenta y tres víctimas dire</w:t>
      </w:r>
      <w:r>
        <w:t>c</w:t>
      </w:r>
      <w:r>
        <w:t>tas del trágico suceso.</w:t>
      </w:r>
    </w:p>
    <w:p w:rsidR="00224567" w:rsidRDefault="00224567">
      <w:pPr>
        <w:widowControl w:val="0"/>
      </w:pPr>
      <w:r>
        <w:rPr>
          <w:b/>
          <w:bCs/>
        </w:rPr>
        <w:tab/>
        <w:t>A.9)</w:t>
      </w:r>
      <w:r>
        <w:t xml:space="preserve"> Que la explosión ocurrida en Pa</w:t>
      </w:r>
      <w:r>
        <w:t>s</w:t>
      </w:r>
      <w:r>
        <w:t>teur 633, conforme las pruebas producidas en el debate, ocasionó daños en los inmuebles aledaños, en un radio aproximado de doscientos metros. En virtud del lugar donde se estableció el epicentro de la detonación, el edificio de la mutual judía fue el más afectado en razón que cola</w:t>
      </w:r>
      <w:r>
        <w:t>p</w:t>
      </w:r>
      <w:r>
        <w:t>só la estructura del sector delantero y si bien su parte trasera se mantuvo en pie a partir de la antesala del s</w:t>
      </w:r>
      <w:r>
        <w:t>a</w:t>
      </w:r>
      <w:r>
        <w:t xml:space="preserve">lón de actos de la planta baja, a unos </w:t>
      </w:r>
      <w:smartTag w:uri="urn:schemas-microsoft-com:office:smarttags" w:element="metricconverter">
        <w:smartTagPr>
          <w:attr w:name="ProductID" w:val="14 metros"/>
        </w:smartTagPr>
        <w:r>
          <w:t>14 metros</w:t>
        </w:r>
      </w:smartTag>
      <w:r>
        <w:t xml:space="preserve"> desde la línea de edificación, su consistencia devino inepta para resistir esfuerzos.</w:t>
      </w:r>
    </w:p>
    <w:p w:rsidR="00224567" w:rsidRDefault="00224567">
      <w:pPr>
        <w:widowControl w:val="0"/>
      </w:pPr>
      <w:r>
        <w:tab/>
        <w:t xml:space="preserve">La superficie total demolida por la explosión fue estimada en el orden de los </w:t>
      </w:r>
      <w:smartTag w:uri="urn:schemas-microsoft-com:office:smarttags" w:element="metricconverter">
        <w:smartTagPr>
          <w:attr w:name="ProductID" w:val="2000 mﾲ"/>
        </w:smartTagPr>
        <w:r>
          <w:t>2000 m²</w:t>
        </w:r>
      </w:smartTag>
      <w:r>
        <w:t>, de un total construido de unos 4600. También se constató que t</w:t>
      </w:r>
      <w:r>
        <w:t>o</w:t>
      </w:r>
      <w:r>
        <w:t>das las instalaciones de alimentación de los servicios p</w:t>
      </w:r>
      <w:r>
        <w:t>ú</w:t>
      </w:r>
      <w:r>
        <w:t>blicos del edificio resultaron completamente afectadas, razón por la cual se debió interrumpir el suministro de agua corriente, gas natural y energía eléctrica, destr</w:t>
      </w:r>
      <w:r>
        <w:t>u</w:t>
      </w:r>
      <w:r>
        <w:t>yéndose en igual medida el sistema cloacal, pluvial y de telefonía. Entre los edificios que también resultaron afectados se destacan, como los más gravemente dañados, los linderos ubicados en el 611 y en el 654 de la calle Pasteur y los opuestos s</w:t>
      </w:r>
      <w:r>
        <w:t>i</w:t>
      </w:r>
      <w:r>
        <w:t>tuados en los nros. 632 y 644 de dicha arteria.</w:t>
      </w:r>
    </w:p>
    <w:p w:rsidR="00224567" w:rsidRDefault="00224567">
      <w:pPr>
        <w:widowControl w:val="0"/>
      </w:pPr>
      <w:r>
        <w:tab/>
        <w:t>La valuación total de los costos de reparación de los daños en los inmuebles fue estimada en una suma total de catorce millones nov</w:t>
      </w:r>
      <w:r>
        <w:t>e</w:t>
      </w:r>
      <w:r>
        <w:t xml:space="preserve">cientos treinta mil setecientos veinticinco pesos ($ 14.930.725), según surge a fs. 25 del informe elaborado por </w:t>
      </w:r>
      <w:smartTag w:uri="urn:schemas-microsoft-com:office:smarttags" w:element="PersonName">
        <w:smartTagPr>
          <w:attr w:name="ProductID" w:val="la Divisi￳n Inmuebles"/>
        </w:smartTagPr>
        <w:r>
          <w:t>la División Inmuebles</w:t>
        </w:r>
      </w:smartTag>
      <w:r>
        <w:t xml:space="preserve"> de </w:t>
      </w:r>
      <w:smartTag w:uri="urn:schemas-microsoft-com:office:smarttags" w:element="PersonName">
        <w:smartTagPr>
          <w:attr w:name="ProductID" w:val="la Polic￭a Federal"/>
        </w:smartTagPr>
        <w:r>
          <w:t>la Policía Federal</w:t>
        </w:r>
      </w:smartTag>
      <w:r>
        <w:t>; suma de la cual, cuatro millones (4.000.000), aproximadamente, corresponden a los daños ocasion</w:t>
      </w:r>
      <w:r>
        <w:t>a</w:t>
      </w:r>
      <w:r>
        <w:t>dos en el edificio de la mutual judía.</w:t>
      </w:r>
    </w:p>
    <w:p w:rsidR="00224567" w:rsidRDefault="00224567">
      <w:pPr>
        <w:widowControl w:val="0"/>
      </w:pPr>
      <w:r>
        <w:tab/>
        <w:t>Tales extremos encuentran apoyo en las numerosísimas fotografías y testimonios videográficos, r</w:t>
      </w:r>
      <w:r>
        <w:t>e</w:t>
      </w:r>
      <w:r>
        <w:t>servados en secretaría, que retratan la destru</w:t>
      </w:r>
      <w:r>
        <w:t>c</w:t>
      </w:r>
      <w:r>
        <w:t xml:space="preserve">ción en la zona y en el informe de </w:t>
      </w:r>
      <w:smartTag w:uri="urn:schemas-microsoft-com:office:smarttags" w:element="PersonName">
        <w:smartTagPr>
          <w:attr w:name="ProductID" w:val="la Divisi￳n Inmuebles"/>
        </w:smartTagPr>
        <w:r>
          <w:t>la División Inmuebles</w:t>
        </w:r>
      </w:smartTag>
      <w:r>
        <w:t xml:space="preserve"> de </w:t>
      </w:r>
      <w:smartTag w:uri="urn:schemas-microsoft-com:office:smarttags" w:element="PersonName">
        <w:smartTagPr>
          <w:attr w:name="ProductID" w:val="la Polic￭a Federal"/>
        </w:smartTagPr>
        <w:r>
          <w:t>la Pol</w:t>
        </w:r>
        <w:r>
          <w:t>i</w:t>
        </w:r>
        <w:r>
          <w:t>cía Federal</w:t>
        </w:r>
      </w:smartTag>
      <w:r>
        <w:t>, en el que se efectuó una exhaustiva revisión de cada uno de los edificios y, en su caso, de sus disti</w:t>
      </w:r>
      <w:r>
        <w:t>n</w:t>
      </w:r>
      <w:r>
        <w:t>tas unidades funcionales, a efe</w:t>
      </w:r>
      <w:r>
        <w:t>c</w:t>
      </w:r>
      <w:r>
        <w:t>tos de evaluar los daños.</w:t>
      </w:r>
    </w:p>
    <w:p w:rsidR="00224567" w:rsidRDefault="00224567">
      <w:pPr>
        <w:widowControl w:val="0"/>
      </w:pPr>
      <w:r>
        <w:tab/>
        <w:t>A ello se suman los estudios elabor</w:t>
      </w:r>
      <w:r>
        <w:t>a</w:t>
      </w:r>
      <w:r>
        <w:t>dos a fs. 62/69, 70/75 y 191/269, el informe de las empr</w:t>
      </w:r>
      <w:r>
        <w:t>e</w:t>
      </w:r>
      <w:r>
        <w:t>sas prestatarias de servicios públ</w:t>
      </w:r>
      <w:r>
        <w:t>i</w:t>
      </w:r>
      <w:r>
        <w:t>cos de fs. 76/190 y los planos de fs. 53/61, glosados todos ellos al citado info</w:t>
      </w:r>
      <w:r>
        <w:t>r</w:t>
      </w:r>
      <w:r>
        <w:t>me policial y los testimonios del com</w:t>
      </w:r>
      <w:r>
        <w:t>i</w:t>
      </w:r>
      <w:r>
        <w:t>sario Jorge Alberto Chiossone y de los arquitectos, R</w:t>
      </w:r>
      <w:r>
        <w:t>i</w:t>
      </w:r>
      <w:r>
        <w:t>cardo Horacio Fassano y Juan Carlos Rosas, integrantes de la mencionada División Inmu</w:t>
      </w:r>
      <w:r>
        <w:t>e</w:t>
      </w:r>
      <w:r>
        <w:t xml:space="preserve">bles; del arquitecto Eduardo Raúl Saralegui, jefe del Departamento Técnico de </w:t>
      </w:r>
      <w:smartTag w:uri="urn:schemas-microsoft-com:office:smarttags" w:element="PersonName">
        <w:smartTagPr>
          <w:attr w:name="ProductID" w:val="la Guardia"/>
        </w:smartTagPr>
        <w:r>
          <w:t>la Guardia</w:t>
        </w:r>
      </w:smartTag>
      <w:r>
        <w:t xml:space="preserve"> de Auxilio de </w:t>
      </w:r>
      <w:smartTag w:uri="urn:schemas-microsoft-com:office:smarttags" w:element="PersonName">
        <w:smartTagPr>
          <w:attr w:name="ProductID" w:val="la Municipalidad"/>
        </w:smartTagPr>
        <w:r>
          <w:t>la Mun</w:t>
        </w:r>
        <w:r>
          <w:t>i</w:t>
        </w:r>
        <w:r>
          <w:t>cipalidad</w:t>
        </w:r>
      </w:smartTag>
      <w:r>
        <w:t xml:space="preserve"> de Buenos Aires; de Juan Antonio Van Der Horden, jefe de zona de la empresa “Aguas Argentinas” y de los i</w:t>
      </w:r>
      <w:r>
        <w:t>n</w:t>
      </w:r>
      <w:r>
        <w:t>genieros Jorge Fontán Balestra y Aníbal Manzelli, pres</w:t>
      </w:r>
      <w:r>
        <w:t>i</w:t>
      </w:r>
      <w:r>
        <w:t xml:space="preserve">dente y secretario, respectivamente, de </w:t>
      </w:r>
      <w:smartTag w:uri="urn:schemas-microsoft-com:office:smarttags" w:element="PersonName">
        <w:smartTagPr>
          <w:attr w:name="ProductID" w:val="la Asociaci￳n"/>
        </w:smartTagPr>
        <w:r>
          <w:t>la Asociación</w:t>
        </w:r>
      </w:smartTag>
      <w:r>
        <w:t xml:space="preserve"> de Ingenieros Estru</w:t>
      </w:r>
      <w:r>
        <w:t>c</w:t>
      </w:r>
      <w:r>
        <w:t>turales.</w:t>
      </w:r>
    </w:p>
    <w:p w:rsidR="00224567" w:rsidRDefault="00224567">
      <w:pPr>
        <w:widowControl w:val="0"/>
      </w:pPr>
      <w:r>
        <w:tab/>
      </w:r>
      <w:r>
        <w:tab/>
        <w:t>Tal cúmulo de probanzas, más las num</w:t>
      </w:r>
      <w:r>
        <w:t>e</w:t>
      </w:r>
      <w:r>
        <w:t>rosas carpetas de evaluación de los daños; las constancias incorporadas a los expedientes por subs</w:t>
      </w:r>
      <w:r>
        <w:t>i</w:t>
      </w:r>
      <w:r>
        <w:t xml:space="preserve">dios otorgados por el Ministerio del Interior de </w:t>
      </w:r>
      <w:smartTag w:uri="urn:schemas-microsoft-com:office:smarttags" w:element="PersonName">
        <w:smartTagPr>
          <w:attr w:name="ProductID" w:val="la Naci￳n"/>
        </w:smartTagPr>
        <w:r>
          <w:t>la N</w:t>
        </w:r>
        <w:r>
          <w:t>a</w:t>
        </w:r>
        <w:r>
          <w:t>ción</w:t>
        </w:r>
      </w:smartTag>
      <w:r>
        <w:t xml:space="preserve"> y la “Síntesis de Destrucción de los Inmuebles”, obrante a fs. 10/42 del mentado informe policial, determinaron que la explosión ocasionó los siguientes d</w:t>
      </w:r>
      <w:r>
        <w:t>a</w:t>
      </w:r>
      <w:r>
        <w:t>ños, estimados en porcentajes de su v</w:t>
      </w:r>
      <w:r>
        <w:t>a</w:t>
      </w:r>
      <w:r>
        <w:t>lor total:</w:t>
      </w:r>
    </w:p>
    <w:p w:rsidR="00224567" w:rsidRDefault="00224567">
      <w:pPr>
        <w:widowControl w:val="0"/>
      </w:pPr>
      <w:r>
        <w:tab/>
      </w:r>
      <w:r>
        <w:tab/>
        <w:t>a) Pasteur al 600, las fincas ubicadas en las siguientes nomenclaturas catastrales: nº 601, s</w:t>
      </w:r>
      <w:r>
        <w:t>ó</w:t>
      </w:r>
      <w:r>
        <w:t>tano, P.B. y piso 1º, de Carlos Sergio Dolmatzian, 70%; nº 605, de Saúl Yunik, 80%; nº 609, de Sergio Luis Bondar, 90%; nº 611, piso 2º, dpto. “</w:t>
      </w:r>
      <w:smartTag w:uri="urn:schemas-microsoft-com:office:smarttags" w:element="metricconverter">
        <w:smartTagPr>
          <w:attr w:name="ProductID" w:val="21”"/>
        </w:smartTagPr>
        <w:r>
          <w:t>21”</w:t>
        </w:r>
      </w:smartTag>
      <w:r>
        <w:t>, de Clorinda Ernestina Saporiti, 25%; p</w:t>
      </w:r>
      <w:r>
        <w:t>i</w:t>
      </w:r>
      <w:r>
        <w:t>so 2º, dpto. “</w:t>
      </w:r>
      <w:smartTag w:uri="urn:schemas-microsoft-com:office:smarttags" w:element="metricconverter">
        <w:smartTagPr>
          <w:attr w:name="ProductID" w:val="22”"/>
        </w:smartTagPr>
        <w:r>
          <w:t>22”</w:t>
        </w:r>
      </w:smartTag>
      <w:r>
        <w:t>, de “Personal S.R.L.”, 50%; piso 2º, dptos. “</w:t>
      </w:r>
      <w:smartTag w:uri="urn:schemas-microsoft-com:office:smarttags" w:element="metricconverter">
        <w:smartTagPr>
          <w:attr w:name="ProductID" w:val="23”"/>
        </w:smartTagPr>
        <w:r>
          <w:t>23”</w:t>
        </w:r>
      </w:smartTag>
      <w:r>
        <w:t xml:space="preserve"> y “</w:t>
      </w:r>
      <w:smartTag w:uri="urn:schemas-microsoft-com:office:smarttags" w:element="metricconverter">
        <w:smartTagPr>
          <w:attr w:name="ProductID" w:val="24”"/>
        </w:smartTagPr>
        <w:r>
          <w:t>24”</w:t>
        </w:r>
      </w:smartTag>
      <w:r>
        <w:t>, de Ernestina Clorinda Saporiti, 50%; piso 2º, dpto. “</w:t>
      </w:r>
      <w:smartTag w:uri="urn:schemas-microsoft-com:office:smarttags" w:element="metricconverter">
        <w:smartTagPr>
          <w:attr w:name="ProductID" w:val="28”"/>
        </w:smartTagPr>
        <w:r>
          <w:t>28”</w:t>
        </w:r>
      </w:smartTag>
      <w:r>
        <w:t>, de Arturo Daniel  Gritti, 100%; piso 3º, dpto. “</w:t>
      </w:r>
      <w:smartTag w:uri="urn:schemas-microsoft-com:office:smarttags" w:element="metricconverter">
        <w:smartTagPr>
          <w:attr w:name="ProductID" w:val="31”"/>
        </w:smartTagPr>
        <w:r>
          <w:t>31”</w:t>
        </w:r>
      </w:smartTag>
      <w:r>
        <w:t>, de Alicia Laura Be</w:t>
      </w:r>
      <w:r>
        <w:t>n</w:t>
      </w:r>
      <w:r>
        <w:t>dersky de Braunstein, 15%; p</w:t>
      </w:r>
      <w:r>
        <w:t>i</w:t>
      </w:r>
      <w:r>
        <w:t>so 3º, dpto. “</w:t>
      </w:r>
      <w:smartTag w:uri="urn:schemas-microsoft-com:office:smarttags" w:element="metricconverter">
        <w:smartTagPr>
          <w:attr w:name="ProductID" w:val="32”"/>
        </w:smartTagPr>
        <w:r>
          <w:t>32”</w:t>
        </w:r>
      </w:smartTag>
      <w:r>
        <w:t>, 60%; piso 3º, dpto. “</w:t>
      </w:r>
      <w:smartTag w:uri="urn:schemas-microsoft-com:office:smarttags" w:element="metricconverter">
        <w:smartTagPr>
          <w:attr w:name="ProductID" w:val="33”"/>
        </w:smartTagPr>
        <w:r>
          <w:t>33”</w:t>
        </w:r>
      </w:smartTag>
      <w:r>
        <w:t>, 70%; piso 3º, dpto. “</w:t>
      </w:r>
      <w:smartTag w:uri="urn:schemas-microsoft-com:office:smarttags" w:element="metricconverter">
        <w:smartTagPr>
          <w:attr w:name="ProductID" w:val="34”"/>
        </w:smartTagPr>
        <w:r>
          <w:t>34”</w:t>
        </w:r>
      </w:smartTag>
      <w:r>
        <w:t>, 30%; piso 3º, dpto. “</w:t>
      </w:r>
      <w:smartTag w:uri="urn:schemas-microsoft-com:office:smarttags" w:element="metricconverter">
        <w:smartTagPr>
          <w:attr w:name="ProductID" w:val="35”"/>
        </w:smartTagPr>
        <w:r>
          <w:t>35”</w:t>
        </w:r>
      </w:smartTag>
      <w:r>
        <w:t>, 40%; piso 3º, dpto. “</w:t>
      </w:r>
      <w:smartTag w:uri="urn:schemas-microsoft-com:office:smarttags" w:element="metricconverter">
        <w:smartTagPr>
          <w:attr w:name="ProductID" w:val="36”"/>
        </w:smartTagPr>
        <w:r>
          <w:t>36”</w:t>
        </w:r>
      </w:smartTag>
      <w:r>
        <w:t>, 40%, siendo las ú</w:t>
      </w:r>
      <w:r>
        <w:t>l</w:t>
      </w:r>
      <w:r>
        <w:t>timas cinco unidades pr</w:t>
      </w:r>
      <w:r>
        <w:t>o</w:t>
      </w:r>
      <w:r>
        <w:t>piedad de Efraín Alejandro Levy y Fabio Luis Asís; piso 3º, dpto. “</w:t>
      </w:r>
      <w:smartTag w:uri="urn:schemas-microsoft-com:office:smarttags" w:element="metricconverter">
        <w:smartTagPr>
          <w:attr w:name="ProductID" w:val="37”"/>
        </w:smartTagPr>
        <w:r>
          <w:t>37”</w:t>
        </w:r>
      </w:smartTag>
      <w:r>
        <w:t>, de Alicia Laura Be</w:t>
      </w:r>
      <w:r>
        <w:t>n</w:t>
      </w:r>
      <w:r>
        <w:t>dersky de Braunstein, 70%; piso 3º, dpto. “</w:t>
      </w:r>
      <w:smartTag w:uri="urn:schemas-microsoft-com:office:smarttags" w:element="metricconverter">
        <w:smartTagPr>
          <w:attr w:name="ProductID" w:val="38”"/>
        </w:smartTagPr>
        <w:r>
          <w:t>38”</w:t>
        </w:r>
      </w:smartTag>
      <w:r>
        <w:t>, de E</w:t>
      </w:r>
      <w:r>
        <w:t>s</w:t>
      </w:r>
      <w:r>
        <w:t>tela Ángela Mazza de Roffe, 40%; piso 4º, dpto. “</w:t>
      </w:r>
      <w:smartTag w:uri="urn:schemas-microsoft-com:office:smarttags" w:element="metricconverter">
        <w:smartTagPr>
          <w:attr w:name="ProductID" w:val="41”"/>
        </w:smartTagPr>
        <w:r>
          <w:t>41”</w:t>
        </w:r>
      </w:smartTag>
      <w:r>
        <w:t>, de Ángela Beatriz Orlando de Waizer, 30%; piso 4º, dpto. “</w:t>
      </w:r>
      <w:smartTag w:uri="urn:schemas-microsoft-com:office:smarttags" w:element="metricconverter">
        <w:smartTagPr>
          <w:attr w:name="ProductID" w:val="42”"/>
        </w:smartTagPr>
        <w:r>
          <w:t>42”</w:t>
        </w:r>
      </w:smartTag>
      <w:r>
        <w:t>, de la misma propietaria, 75%; piso 4º, dpto. “</w:t>
      </w:r>
      <w:smartTag w:uri="urn:schemas-microsoft-com:office:smarttags" w:element="metricconverter">
        <w:smartTagPr>
          <w:attr w:name="ProductID" w:val="43”"/>
        </w:smartTagPr>
        <w:r>
          <w:t>43”</w:t>
        </w:r>
      </w:smartTag>
      <w:r>
        <w:t>, de José Isaac Sasson, 30%; piso 4º, dpto. “</w:t>
      </w:r>
      <w:smartTag w:uri="urn:schemas-microsoft-com:office:smarttags" w:element="metricconverter">
        <w:smartTagPr>
          <w:attr w:name="ProductID" w:val="44”"/>
        </w:smartTagPr>
        <w:r>
          <w:t>44”</w:t>
        </w:r>
      </w:smartTag>
      <w:r>
        <w:t>, 50%; piso 4º, dpto. “</w:t>
      </w:r>
      <w:smartTag w:uri="urn:schemas-microsoft-com:office:smarttags" w:element="metricconverter">
        <w:smartTagPr>
          <w:attr w:name="ProductID" w:val="45”"/>
        </w:smartTagPr>
        <w:r>
          <w:t>45”</w:t>
        </w:r>
      </w:smartTag>
      <w:r>
        <w:t>, 40%; piso 4º, dpto. “</w:t>
      </w:r>
      <w:smartTag w:uri="urn:schemas-microsoft-com:office:smarttags" w:element="metricconverter">
        <w:smartTagPr>
          <w:attr w:name="ProductID" w:val="46”"/>
        </w:smartTagPr>
        <w:r>
          <w:t>46”</w:t>
        </w:r>
      </w:smartTag>
      <w:r>
        <w:t>, 60%, las últimas tres un</w:t>
      </w:r>
      <w:r>
        <w:t>i</w:t>
      </w:r>
      <w:r>
        <w:t>dades pertenecientes a María Dolores Ares y a Graciela Juana Carreras; piso 4º, dpto. “</w:t>
      </w:r>
      <w:smartTag w:uri="urn:schemas-microsoft-com:office:smarttags" w:element="metricconverter">
        <w:smartTagPr>
          <w:attr w:name="ProductID" w:val="47”"/>
        </w:smartTagPr>
        <w:r>
          <w:t>47”</w:t>
        </w:r>
      </w:smartTag>
      <w:r>
        <w:t>, de Julio Oscar Kat</w:t>
      </w:r>
      <w:r>
        <w:t>z</w:t>
      </w:r>
      <w:r>
        <w:t>man, 80%; piso 4º, dpto. “</w:t>
      </w:r>
      <w:smartTag w:uri="urn:schemas-microsoft-com:office:smarttags" w:element="metricconverter">
        <w:smartTagPr>
          <w:attr w:name="ProductID" w:val="48”"/>
        </w:smartTagPr>
        <w:r>
          <w:t>48”</w:t>
        </w:r>
      </w:smartTag>
      <w:r>
        <w:t>, de José Isaac Sasson, 70%; piso 5º, dpto. “</w:t>
      </w:r>
      <w:smartTag w:uri="urn:schemas-microsoft-com:office:smarttags" w:element="metricconverter">
        <w:smartTagPr>
          <w:attr w:name="ProductID" w:val="51”"/>
        </w:smartTagPr>
        <w:r>
          <w:t>51”</w:t>
        </w:r>
      </w:smartTag>
      <w:r>
        <w:t>, de Eduardo Waizer, 30%; piso 5º, dpto. “</w:t>
      </w:r>
      <w:smartTag w:uri="urn:schemas-microsoft-com:office:smarttags" w:element="metricconverter">
        <w:smartTagPr>
          <w:attr w:name="ProductID" w:val="58”"/>
        </w:smartTagPr>
        <w:r>
          <w:t>58”</w:t>
        </w:r>
      </w:smartTag>
      <w:r>
        <w:t>, de “B y M Representaci</w:t>
      </w:r>
      <w:r>
        <w:t>o</w:t>
      </w:r>
      <w:r>
        <w:t>nes S.R.L.”, 40%; piso 5º, dpto. “</w:t>
      </w:r>
      <w:smartTag w:uri="urn:schemas-microsoft-com:office:smarttags" w:element="metricconverter">
        <w:smartTagPr>
          <w:attr w:name="ProductID" w:val="53”"/>
        </w:smartTagPr>
        <w:r>
          <w:t>53”</w:t>
        </w:r>
      </w:smartTag>
      <w:r>
        <w:t>, de Clara Grosz de Fogel, 70%; piso 5º, dpto. “</w:t>
      </w:r>
      <w:smartTag w:uri="urn:schemas-microsoft-com:office:smarttags" w:element="metricconverter">
        <w:smartTagPr>
          <w:attr w:name="ProductID" w:val="54”"/>
        </w:smartTagPr>
        <w:r>
          <w:t>54”</w:t>
        </w:r>
      </w:smartTag>
      <w:r>
        <w:t>, “</w:t>
      </w:r>
      <w:smartTag w:uri="urn:schemas-microsoft-com:office:smarttags" w:element="metricconverter">
        <w:smartTagPr>
          <w:attr w:name="ProductID" w:val="55”"/>
        </w:smartTagPr>
        <w:r>
          <w:t>55”</w:t>
        </w:r>
      </w:smartTag>
      <w:r>
        <w:t xml:space="preserve"> y “</w:t>
      </w:r>
      <w:smartTag w:uri="urn:schemas-microsoft-com:office:smarttags" w:element="metricconverter">
        <w:smartTagPr>
          <w:attr w:name="ProductID" w:val="56”"/>
        </w:smartTagPr>
        <w:r>
          <w:t>56”</w:t>
        </w:r>
      </w:smartTag>
      <w:r>
        <w:t>, de Gabriel Omar Gutesman, 30%; piso 5º, dpto. “</w:t>
      </w:r>
      <w:smartTag w:uri="urn:schemas-microsoft-com:office:smarttags" w:element="metricconverter">
        <w:smartTagPr>
          <w:attr w:name="ProductID" w:val="57”"/>
        </w:smartTagPr>
        <w:r>
          <w:t>57”</w:t>
        </w:r>
      </w:smartTag>
      <w:r>
        <w:t>, de Ricardo Claudio W</w:t>
      </w:r>
      <w:r>
        <w:t>a</w:t>
      </w:r>
      <w:r>
        <w:t>llach, 35%; piso 5º U.F. “</w:t>
      </w:r>
      <w:smartTag w:uri="urn:schemas-microsoft-com:office:smarttags" w:element="metricconverter">
        <w:smartTagPr>
          <w:attr w:name="ProductID" w:val="38”"/>
        </w:smartTagPr>
        <w:r>
          <w:t>38”</w:t>
        </w:r>
      </w:smartTag>
      <w:r>
        <w:t xml:space="preserve"> de Gabriel Omar Gutesman, 50%; piso 6º, dptos. “</w:t>
      </w:r>
      <w:smartTag w:uri="urn:schemas-microsoft-com:office:smarttags" w:element="metricconverter">
        <w:smartTagPr>
          <w:attr w:name="ProductID" w:val="61”"/>
        </w:smartTagPr>
        <w:r>
          <w:t>61”</w:t>
        </w:r>
      </w:smartTag>
      <w:r>
        <w:t>, “</w:t>
      </w:r>
      <w:smartTag w:uri="urn:schemas-microsoft-com:office:smarttags" w:element="metricconverter">
        <w:smartTagPr>
          <w:attr w:name="ProductID" w:val="62”"/>
        </w:smartTagPr>
        <w:r>
          <w:t>62”</w:t>
        </w:r>
      </w:smartTag>
      <w:r>
        <w:t>, “</w:t>
      </w:r>
      <w:smartTag w:uri="urn:schemas-microsoft-com:office:smarttags" w:element="metricconverter">
        <w:smartTagPr>
          <w:attr w:name="ProductID" w:val="63”"/>
        </w:smartTagPr>
        <w:r>
          <w:t>63”</w:t>
        </w:r>
      </w:smartTag>
      <w:r>
        <w:t>, “</w:t>
      </w:r>
      <w:smartTag w:uri="urn:schemas-microsoft-com:office:smarttags" w:element="metricconverter">
        <w:smartTagPr>
          <w:attr w:name="ProductID" w:val="64”"/>
        </w:smartTagPr>
        <w:r>
          <w:t>64”</w:t>
        </w:r>
      </w:smartTag>
      <w:r>
        <w:t>, “</w:t>
      </w:r>
      <w:smartTag w:uri="urn:schemas-microsoft-com:office:smarttags" w:element="metricconverter">
        <w:smartTagPr>
          <w:attr w:name="ProductID" w:val="66”"/>
        </w:smartTagPr>
        <w:r>
          <w:t>66”</w:t>
        </w:r>
      </w:smartTag>
      <w:r>
        <w:t>, 30%; piso 6º, dpto. “</w:t>
      </w:r>
      <w:smartTag w:uri="urn:schemas-microsoft-com:office:smarttags" w:element="metricconverter">
        <w:smartTagPr>
          <w:attr w:name="ProductID" w:val="65”"/>
        </w:smartTagPr>
        <w:r>
          <w:t>65”</w:t>
        </w:r>
      </w:smartTag>
      <w:r>
        <w:t>, 50%; piso 6º, dpto. “</w:t>
      </w:r>
      <w:smartTag w:uri="urn:schemas-microsoft-com:office:smarttags" w:element="metricconverter">
        <w:smartTagPr>
          <w:attr w:name="ProductID" w:val="67”"/>
        </w:smartTagPr>
        <w:r>
          <w:t>67”</w:t>
        </w:r>
      </w:smartTag>
      <w:r>
        <w:t xml:space="preserve"> y “</w:t>
      </w:r>
      <w:smartTag w:uri="urn:schemas-microsoft-com:office:smarttags" w:element="metricconverter">
        <w:smartTagPr>
          <w:attr w:name="ProductID" w:val="68”"/>
        </w:smartTagPr>
        <w:r>
          <w:t>68”</w:t>
        </w:r>
      </w:smartTag>
      <w:r>
        <w:t>, 40%, propiedad de Eduardo Waizer; piso 8º, dptos. “</w:t>
      </w:r>
      <w:smartTag w:uri="urn:schemas-microsoft-com:office:smarttags" w:element="metricconverter">
        <w:smartTagPr>
          <w:attr w:name="ProductID" w:val="81”"/>
        </w:smartTagPr>
        <w:r>
          <w:t>81”</w:t>
        </w:r>
      </w:smartTag>
      <w:r>
        <w:t>, “</w:t>
      </w:r>
      <w:smartTag w:uri="urn:schemas-microsoft-com:office:smarttags" w:element="metricconverter">
        <w:smartTagPr>
          <w:attr w:name="ProductID" w:val="82”"/>
        </w:smartTagPr>
        <w:r>
          <w:t>82”</w:t>
        </w:r>
      </w:smartTag>
      <w:r>
        <w:t xml:space="preserve"> y “</w:t>
      </w:r>
      <w:smartTag w:uri="urn:schemas-microsoft-com:office:smarttags" w:element="metricconverter">
        <w:smartTagPr>
          <w:attr w:name="ProductID" w:val="83”"/>
        </w:smartTagPr>
        <w:r>
          <w:t>83”</w:t>
        </w:r>
      </w:smartTag>
      <w:r>
        <w:t>, de V</w:t>
      </w:r>
      <w:r>
        <w:t>e</w:t>
      </w:r>
      <w:r>
        <w:t>rónica de los Ángeles Arceo de Roffe, 50%; piso 8º, dpto. “</w:t>
      </w:r>
      <w:smartTag w:uri="urn:schemas-microsoft-com:office:smarttags" w:element="metricconverter">
        <w:smartTagPr>
          <w:attr w:name="ProductID" w:val="86”"/>
        </w:smartTagPr>
        <w:r>
          <w:t>86”</w:t>
        </w:r>
      </w:smartTag>
      <w:r>
        <w:t>, de Elsa Dalmar Olivera, 20%; piso 8º, dpto. “</w:t>
      </w:r>
      <w:smartTag w:uri="urn:schemas-microsoft-com:office:smarttags" w:element="metricconverter">
        <w:smartTagPr>
          <w:attr w:name="ProductID" w:val="87”"/>
        </w:smartTagPr>
        <w:r>
          <w:t>87”</w:t>
        </w:r>
      </w:smartTag>
      <w:r>
        <w:t>, de Antonio Elías Jalil, 30%; piso 9º, dpto. “</w:t>
      </w:r>
      <w:smartTag w:uri="urn:schemas-microsoft-com:office:smarttags" w:element="metricconverter">
        <w:smartTagPr>
          <w:attr w:name="ProductID" w:val="91”"/>
        </w:smartTagPr>
        <w:r>
          <w:t>91”</w:t>
        </w:r>
      </w:smartTag>
      <w:r>
        <w:t xml:space="preserve"> y “</w:t>
      </w:r>
      <w:smartTag w:uri="urn:schemas-microsoft-com:office:smarttags" w:element="metricconverter">
        <w:smartTagPr>
          <w:attr w:name="ProductID" w:val="96”"/>
        </w:smartTagPr>
        <w:r>
          <w:t>96”</w:t>
        </w:r>
      </w:smartTag>
      <w:r>
        <w:t>, 30%; dpto. “</w:t>
      </w:r>
      <w:smartTag w:uri="urn:schemas-microsoft-com:office:smarttags" w:element="metricconverter">
        <w:smartTagPr>
          <w:attr w:name="ProductID" w:val="92”"/>
        </w:smartTagPr>
        <w:r>
          <w:t>92”</w:t>
        </w:r>
      </w:smartTag>
      <w:r>
        <w:t>, 40%; dpto. “</w:t>
      </w:r>
      <w:smartTag w:uri="urn:schemas-microsoft-com:office:smarttags" w:element="metricconverter">
        <w:smartTagPr>
          <w:attr w:name="ProductID" w:val="93”"/>
        </w:smartTagPr>
        <w:r>
          <w:t>93”</w:t>
        </w:r>
      </w:smartTag>
      <w:r>
        <w:t>, 20%; dpto. “</w:t>
      </w:r>
      <w:smartTag w:uri="urn:schemas-microsoft-com:office:smarttags" w:element="metricconverter">
        <w:smartTagPr>
          <w:attr w:name="ProductID" w:val="94”"/>
        </w:smartTagPr>
        <w:r>
          <w:t>94”</w:t>
        </w:r>
      </w:smartTag>
      <w:r>
        <w:t>, 25%; dpto. “</w:t>
      </w:r>
      <w:smartTag w:uri="urn:schemas-microsoft-com:office:smarttags" w:element="metricconverter">
        <w:smartTagPr>
          <w:attr w:name="ProductID" w:val="95”"/>
        </w:smartTagPr>
        <w:r>
          <w:t>95”</w:t>
        </w:r>
      </w:smartTag>
      <w:r>
        <w:t>, 10%; dpto. “</w:t>
      </w:r>
      <w:smartTag w:uri="urn:schemas-microsoft-com:office:smarttags" w:element="metricconverter">
        <w:smartTagPr>
          <w:attr w:name="ProductID" w:val="97”"/>
        </w:smartTagPr>
        <w:r>
          <w:t>97”</w:t>
        </w:r>
      </w:smartTag>
      <w:r>
        <w:t>, 50%, haciendo constar que las un</w:t>
      </w:r>
      <w:r>
        <w:t>i</w:t>
      </w:r>
      <w:r>
        <w:t>dades del 9º piso antes señaladas eran propi</w:t>
      </w:r>
      <w:r>
        <w:t>e</w:t>
      </w:r>
      <w:r>
        <w:t>dad de Andrea Catalina Eva Ban; piso 10º, dpto. “</w:t>
      </w:r>
      <w:smartTag w:uri="urn:schemas-microsoft-com:office:smarttags" w:element="metricconverter">
        <w:smartTagPr>
          <w:attr w:name="ProductID" w:val="67”"/>
        </w:smartTagPr>
        <w:r>
          <w:t>67”</w:t>
        </w:r>
      </w:smartTag>
      <w:r>
        <w:t>, de “B y M Repr</w:t>
      </w:r>
      <w:r>
        <w:t>e</w:t>
      </w:r>
      <w:r>
        <w:t>sentaciones S.R.L.”, 15%; piso 10º, dpto. “E”, del conso</w:t>
      </w:r>
      <w:r>
        <w:t>r</w:t>
      </w:r>
      <w:r>
        <w:t>cio de propietarios, 30%; Pasteur nº 612, de Mohamed y Hussein Massed, 100%; nº 614, de Estela Ángela Mazza, 100%; nº 615, de Antonio Elías Jalil, 100%; nº 618, de Ruth Denesenschi de Ochman, 100%; nº 619, de Aldo E</w:t>
      </w:r>
      <w:r>
        <w:t>r</w:t>
      </w:r>
      <w:r>
        <w:t>nesto Macagno, 100%; nº 621, de José Mario Vinokur, 100%; nº 622, P.B. y E.P., de Mario Ernesto Damp, 100%; nº 625, de Moisés Lapidus, 100%; nº 626, de Ros</w:t>
      </w:r>
      <w:r>
        <w:t>a</w:t>
      </w:r>
      <w:r>
        <w:t>na Pesaresi, 100%; nº 630, P.B. y E.P., de Fajga Ansztajn de Perel, 100%; nº 632, piso 1º, dpto. “A”, de R</w:t>
      </w:r>
      <w:r>
        <w:t>e</w:t>
      </w:r>
      <w:r>
        <w:t>beca Cecilia Lindzen, 100%; piso 1º, dpto. “B”, de Isaac José Kraitman, 30%; piso 2º, dpto. “A”, de Siphor Chalelachuili de Lapidus, 100%; piso 2º, dpto. “B”, de Edda Luisa Kozlowski Rezzonico, 30%; p</w:t>
      </w:r>
      <w:r>
        <w:t>i</w:t>
      </w:r>
      <w:r>
        <w:t>so 3º, dpto. “A”, de Horacio Saúl Velásquez, 100%; piso 3º, dpto. “B”, de María Esther Giaquinto, 30%; piso 4º, dpto. “A”, de Eduardo Terd</w:t>
      </w:r>
      <w:r>
        <w:t>j</w:t>
      </w:r>
      <w:r>
        <w:t>man, 100%; piso 4º, dpto. “B”, de Sandra Mónica Abramson, 20%; piso 5º, dpto. “A”, de S</w:t>
      </w:r>
      <w:r>
        <w:t>a</w:t>
      </w:r>
      <w:r>
        <w:t>lomón Mario Seltzer, 100%; piso 5º, dpto. “B”, de Shih Seung Chun, 30%; piso 6º, dpto. “A”, de Mardoqueo Pinto Futter, 100%; piso 6º, dpto. “B”, de León Enrique Benezra, 30%; piso 7º, dpto. “A”, de Eduardo Abraham Ye</w:t>
      </w:r>
      <w:r>
        <w:t>d</w:t>
      </w:r>
      <w:r>
        <w:t>lin, 100%; piso 7º, dpto. “B”, de Silvia Noemí Escobar, 30%; piso 8º, dpto. “A”, de Martha Raquel Finkelberg de Pirro, 100%; p</w:t>
      </w:r>
      <w:r>
        <w:t>i</w:t>
      </w:r>
      <w:r>
        <w:t>so 8º, dpto. “B”, de Carlos Alberto Ca</w:t>
      </w:r>
      <w:r>
        <w:t>s</w:t>
      </w:r>
      <w:r>
        <w:t>tro, 30%; piso 9º, dpto. “A”, de Ana María Rivas Rikap, 100%; piso 9º, dpto. “B”, de Isaac Zeilik Szterenbaum, 30%; piso 10º, dpto. “A”, de Carlos Alberto Pernogotti, 100%; piso 10º, dpto. “B”, de Adriana Victoria Rosa Sibilla, 40%; piso 11º, po</w:t>
      </w:r>
      <w:r>
        <w:t>r</w:t>
      </w:r>
      <w:r>
        <w:t>tería, 50%; nº 634, de Moisés Hara, 100%; nº 636, de María Angélica Allord, 100%; nº 644, P.B., dpto. “A”, de Juan Bautista Capristo Vitolo, 80%; piso 1º, dpto. “B”, de  Esther Urman, 100%; piso 1º, dpto. “C”, de L</w:t>
      </w:r>
      <w:r>
        <w:t>u</w:t>
      </w:r>
      <w:r>
        <w:t>cinda Leonor Pereyra de Méndez, 80%; piso 2º, dpto. “D”, de Dora Arc</w:t>
      </w:r>
      <w:r>
        <w:t>u</w:t>
      </w:r>
      <w:r>
        <w:t>sín de Ghelman, 100%; piso 2º, dpto. “E”, Emma Bengia</w:t>
      </w:r>
      <w:r>
        <w:t>r</w:t>
      </w:r>
      <w:r>
        <w:t>dino, 80%; piso 3º, dpto. “F”, de Alberto Daniel Y</w:t>
      </w:r>
      <w:r>
        <w:t>a</w:t>
      </w:r>
      <w:r>
        <w:t>biansky, 100%; piso 3º, dpto. “G”, de Clara Shimanski, 60%; piso 4º, dpto. “H” e “I”, de Elena Atallah, 100%; p</w:t>
      </w:r>
      <w:r>
        <w:t>i</w:t>
      </w:r>
      <w:r>
        <w:t>so 5º, dpto. “K”, de Anita Sonia Aksel de Grinberg, 50%; nº 645, piso 1º, dptos. “C”, “G” y “H”, de “ALSA S.C.A.”, 50% el primero y 20% los últimos dos; nº 646, de Edita Lady Aquere, 100%; nº 650, de Andrés José Buccafusca, 100%; nº 651, piso 1º, dpto. “D”, de María Isabel Lima Ponce, 80%; P.B., dpto. “I”, de Elida Norma Sota, 20%; nº 654, de Patricia Adriana de Martínez y de Miguel Ángel Martínez, 100%; nº 655/657, P.B. y P.A. del “Centro de Día”, de Roberto Barca, 80%; nº 656/658, P.B. y piso 1º, de León Mondrus, 100%; P.B., dpto. “</w:t>
      </w:r>
      <w:smartTag w:uri="urn:schemas-microsoft-com:office:smarttags" w:element="metricconverter">
        <w:smartTagPr>
          <w:attr w:name="ProductID" w:val="4”"/>
        </w:smartTagPr>
        <w:r>
          <w:t>4”</w:t>
        </w:r>
      </w:smartTag>
      <w:r>
        <w:t>, de Otilia García Cienfuegos de Rodríguez, 20%; nº 658, P.B. y piso 1º, de León Mondrus, 100%; P.B., dpto. “</w:t>
      </w:r>
      <w:smartTag w:uri="urn:schemas-microsoft-com:office:smarttags" w:element="metricconverter">
        <w:smartTagPr>
          <w:attr w:name="ProductID" w:val="5”"/>
        </w:smartTagPr>
        <w:r>
          <w:t>5”</w:t>
        </w:r>
      </w:smartTag>
      <w:r>
        <w:t>, de Cecilia Rubín, 40%; P.B., dpto. “</w:t>
      </w:r>
      <w:smartTag w:uri="urn:schemas-microsoft-com:office:smarttags" w:element="metricconverter">
        <w:smartTagPr>
          <w:attr w:name="ProductID" w:val="6”"/>
        </w:smartTagPr>
        <w:r>
          <w:t>6”</w:t>
        </w:r>
      </w:smartTag>
      <w:r>
        <w:t>, de Valentín Klich, 35%; P.B., dpto. “</w:t>
      </w:r>
      <w:smartTag w:uri="urn:schemas-microsoft-com:office:smarttags" w:element="metricconverter">
        <w:smartTagPr>
          <w:attr w:name="ProductID" w:val="7”"/>
        </w:smartTagPr>
        <w:r>
          <w:t>7”</w:t>
        </w:r>
      </w:smartTag>
      <w:r>
        <w:t>, de Teodoro Elstein Livoff y Silvia Fedora Krischc</w:t>
      </w:r>
      <w:r>
        <w:t>a</w:t>
      </w:r>
      <w:r>
        <w:t>vtzky, 30%; P.B., dpto. “</w:t>
      </w:r>
      <w:smartTag w:uri="urn:schemas-microsoft-com:office:smarttags" w:element="metricconverter">
        <w:smartTagPr>
          <w:attr w:name="ProductID" w:val="8”"/>
        </w:smartTagPr>
        <w:r>
          <w:t>8”</w:t>
        </w:r>
      </w:smartTag>
      <w:r>
        <w:t>, de Hamer Blima, 30%; P.B., dpto. “</w:t>
      </w:r>
      <w:smartTag w:uri="urn:schemas-microsoft-com:office:smarttags" w:element="metricconverter">
        <w:smartTagPr>
          <w:attr w:name="ProductID" w:val="9”"/>
        </w:smartTagPr>
        <w:r>
          <w:t>9”</w:t>
        </w:r>
      </w:smartTag>
      <w:r>
        <w:t>, de Merc</w:t>
      </w:r>
      <w:r>
        <w:t>e</w:t>
      </w:r>
      <w:r>
        <w:t>des Saavedra, 10%; P.B., dpto. “</w:t>
      </w:r>
      <w:smartTag w:uri="urn:schemas-microsoft-com:office:smarttags" w:element="metricconverter">
        <w:smartTagPr>
          <w:attr w:name="ProductID" w:val="10”"/>
        </w:smartTagPr>
        <w:r>
          <w:t>10”</w:t>
        </w:r>
      </w:smartTag>
      <w:r>
        <w:t>, de Teresa del Valle Chaile, 10%; piso 1º, dpto. “</w:t>
      </w:r>
      <w:smartTag w:uri="urn:schemas-microsoft-com:office:smarttags" w:element="metricconverter">
        <w:smartTagPr>
          <w:attr w:name="ProductID" w:val="2”"/>
        </w:smartTagPr>
        <w:r>
          <w:t>2”</w:t>
        </w:r>
      </w:smartTag>
      <w:r>
        <w:t>, de Oscar Ángel Seguel, 40%; nº 660/666, P.B. y piso 1º, de Mauricio Laoui, 70%; nº 663/665, de Alberto Rubén Benchaya y de R</w:t>
      </w:r>
      <w:r>
        <w:t>a</w:t>
      </w:r>
      <w:r>
        <w:t>quel Judith Be</w:t>
      </w:r>
      <w:r>
        <w:t>n</w:t>
      </w:r>
      <w:r>
        <w:t>chaya de Bregante, 40%; nº 669/673, P.B. y piso 1º, de Jorge Ernesto Bernardo Pinto, 40%; nº 670, p</w:t>
      </w:r>
      <w:r>
        <w:t>i</w:t>
      </w:r>
      <w:r>
        <w:t>so 1º, de Ana Zulema Boh</w:t>
      </w:r>
      <w:r>
        <w:t>d</w:t>
      </w:r>
      <w:r>
        <w:t>ziewicz, 40%; piso 1º, dpto. “E”, de Ana María Arditi Rocha de Llanos, 15%; nº 672, P.B., de Abraham G</w:t>
      </w:r>
      <w:r>
        <w:t>o</w:t>
      </w:r>
      <w:r>
        <w:t>del Rubín, 40%; nº 674, P.B., de Silvio Duniec, 60%; nº 676, P.B., dpto. “B”, Rafael Levy Yohay, 25%; P.B., dpto. “C”, de Salomón Jenchinsky o Chencinski, 20%; piso 1º, dpto. “D”, de Daniel Ernesto Rasetti, 15%; piso 2º, dpto. “F”, de A. Lagomarsino, 10%; nº 677/681, P.B. y piso 1º, de Enrique Fernando Pinto y de Haydee Esther Co</w:t>
      </w:r>
      <w:r>
        <w:t>r</w:t>
      </w:r>
      <w:r>
        <w:t>tese, 70%; nº 679/681, P.B., de estos últimos, 20%; nº 680/686, P.B. y piso 1º, de Enriqueta María Amalia Moscón de Mezzadra, 40%; nº 683/699, P.B., de la familia Mor</w:t>
      </w:r>
      <w:r>
        <w:t>a</w:t>
      </w:r>
      <w:r>
        <w:t>gues, 40%; nº 690/698, de Lydia Camila Brughi, P.B., 60%; piso 1º, 80% una unidad y otra 40%;</w:t>
      </w:r>
    </w:p>
    <w:p w:rsidR="00224567" w:rsidRDefault="00224567">
      <w:pPr>
        <w:widowControl w:val="0"/>
      </w:pPr>
      <w:r>
        <w:tab/>
      </w:r>
      <w:r>
        <w:tab/>
        <w:t>b) Pasteur al 500, las fincas ubicadas en las siguientes nomenclaturas catastrales: nº 529/535, departamentos 1º y 2º, propiedad de Félix Nic</w:t>
      </w:r>
      <w:r>
        <w:t>o</w:t>
      </w:r>
      <w:r>
        <w:t>lás Capurro, 40%; nº 536, piso 7º, dpto. “A”, de Cecilia Edith Guin</w:t>
      </w:r>
      <w:r>
        <w:t>s</w:t>
      </w:r>
      <w:r>
        <w:t>burg, 3%; nº 542, de I</w:t>
      </w:r>
      <w:r>
        <w:t>s</w:t>
      </w:r>
      <w:r>
        <w:t>rael Flur, 8%; nº 546, 5%; nº 550, piso 2º, dpto. “A”, de Haydee Templa, 5%; piso 4º, dpto. “A”, de Sara Aboud, 3%; nº 553, piso 1º, dptos. “</w:t>
      </w:r>
      <w:smartTag w:uri="urn:schemas-microsoft-com:office:smarttags" w:element="metricconverter">
        <w:smartTagPr>
          <w:attr w:name="ProductID" w:val="3”"/>
        </w:smartTagPr>
        <w:r>
          <w:t>3”</w:t>
        </w:r>
      </w:smartTag>
      <w:r>
        <w:t xml:space="preserve"> y “</w:t>
      </w:r>
      <w:smartTag w:uri="urn:schemas-microsoft-com:office:smarttags" w:element="metricconverter">
        <w:smartTagPr>
          <w:attr w:name="ProductID" w:val="4”"/>
        </w:smartTagPr>
        <w:r>
          <w:t>4”</w:t>
        </w:r>
      </w:smartTag>
      <w:r>
        <w:t xml:space="preserve"> y piso 2º, dpto. “</w:t>
      </w:r>
      <w:smartTag w:uri="urn:schemas-microsoft-com:office:smarttags" w:element="metricconverter">
        <w:smartTagPr>
          <w:attr w:name="ProductID" w:val="5”"/>
        </w:smartTagPr>
        <w:r>
          <w:t>5”</w:t>
        </w:r>
      </w:smartTag>
      <w:r>
        <w:t>, de Antonio Manuel Alvilares L</w:t>
      </w:r>
      <w:r>
        <w:t>o</w:t>
      </w:r>
      <w:r>
        <w:t>velle, 2%; nº 555, P.B. del “Bar A</w:t>
      </w:r>
      <w:r>
        <w:t>s</w:t>
      </w:r>
      <w:r>
        <w:t>turias”, de Galo Coto, 15%; nº 556/558, edificio propiedad de Smiles Smayer Waldhorn, las unidades fu</w:t>
      </w:r>
      <w:r>
        <w:t>n</w:t>
      </w:r>
      <w:r>
        <w:t>cionales P.B., 20%; piso 1º, 4%; piso 2º, 4%; piso 3º, 4%; piso 4º, 5%; piso 5º, 7%; piso 6º, 5% y piso 7º, 5%; nº 559, piso 3º, dpto. “B”, de Natalio Krawczyz, 1%; piso 4º, dpto. “A”, de Eva Graciela Mansilla, 3%; piso 7º, dpto. “A”, de Alejo Orquín, 2%; piso 7º, dpto. “B”, de Manuel Alberto González, 2%; nº 562, P.B. y piso 1º, de Mauricio Laoui, apoderado de Centcar S.A., 10%; nº 569, piso 2º, dpto. “A”, de Blanca Lía Volont</w:t>
      </w:r>
      <w:r>
        <w:t>i</w:t>
      </w:r>
      <w:r>
        <w:t>no, 6%; piso 6º, dpto. “A”, de Luisa Behar, 4%; nº 570/572, de Mauricio Laoui, en representación de “Inmobiliaria S.A.”, P.B., 20%; piso 2º, dpto. “</w:t>
      </w:r>
      <w:smartTag w:uri="urn:schemas-microsoft-com:office:smarttags" w:element="metricconverter">
        <w:smartTagPr>
          <w:attr w:name="ProductID" w:val="2”"/>
        </w:smartTagPr>
        <w:r>
          <w:t>2”</w:t>
        </w:r>
      </w:smartTag>
      <w:r>
        <w:t>, 8%; piso 2º, dpto. “</w:t>
      </w:r>
      <w:smartTag w:uri="urn:schemas-microsoft-com:office:smarttags" w:element="metricconverter">
        <w:smartTagPr>
          <w:attr w:name="ProductID" w:val="3”"/>
        </w:smartTagPr>
        <w:r>
          <w:t>3”</w:t>
        </w:r>
      </w:smartTag>
      <w:r>
        <w:t>, 5%; piso 2º, dpto. “</w:t>
      </w:r>
      <w:smartTag w:uri="urn:schemas-microsoft-com:office:smarttags" w:element="metricconverter">
        <w:smartTagPr>
          <w:attr w:name="ProductID" w:val="4”"/>
        </w:smartTagPr>
        <w:r>
          <w:t>4”</w:t>
        </w:r>
      </w:smartTag>
      <w:r>
        <w:t>, 2%; piso 3º, dpto. “</w:t>
      </w:r>
      <w:smartTag w:uri="urn:schemas-microsoft-com:office:smarttags" w:element="metricconverter">
        <w:smartTagPr>
          <w:attr w:name="ProductID" w:val="6”"/>
        </w:smartTagPr>
        <w:r>
          <w:t>6”</w:t>
        </w:r>
      </w:smartTag>
      <w:r>
        <w:t>, 2%; piso 3º, dpto. “</w:t>
      </w:r>
      <w:smartTag w:uri="urn:schemas-microsoft-com:office:smarttags" w:element="metricconverter">
        <w:smartTagPr>
          <w:attr w:name="ProductID" w:val="7”"/>
        </w:smartTagPr>
        <w:r>
          <w:t>7”</w:t>
        </w:r>
      </w:smartTag>
      <w:r>
        <w:t>, 2%; piso 4º, dpto. “B”, 3%; piso 5º, dpto. “A”, de Miguel Ángel Morales, 3%; piso 5º, dpto. “B”, de “Inmob</w:t>
      </w:r>
      <w:r>
        <w:t>i</w:t>
      </w:r>
      <w:r>
        <w:t>liaria S.A.”, 2%; piso 6º, dpto. “A”, de Ricardo Raúl Ra</w:t>
      </w:r>
      <w:r>
        <w:t>i</w:t>
      </w:r>
      <w:r>
        <w:t>neri, 5%; piso 8º, dpto. “A”, de Horacio Fabián Mura, 2%; piso 8º, dpto. “B”, de Nilda Esther Pérez Olaciregui de Tabe</w:t>
      </w:r>
      <w:r>
        <w:t>r</w:t>
      </w:r>
      <w:r>
        <w:t>nero, 3%; nº 571, P.B., dpto. “</w:t>
      </w:r>
      <w:smartTag w:uri="urn:schemas-microsoft-com:office:smarttags" w:element="metricconverter">
        <w:smartTagPr>
          <w:attr w:name="ProductID" w:val="2”"/>
        </w:smartTagPr>
        <w:r>
          <w:t>2”</w:t>
        </w:r>
      </w:smartTag>
      <w:r>
        <w:t>, de Leonardo Oscar Saad, 15%; nº 576, P.B. y piso 1º, de Carlos Guillermo Winkel, apoderado de “Da</w:t>
      </w:r>
      <w:r>
        <w:t>n</w:t>
      </w:r>
      <w:r>
        <w:t>clar S.A.I.C.”, 40%; nº 578, P.B. y piso 1º, de este último, 40%; nº 582, de Jaime Selem, 10%; nº 583, P.B., de Isaac Moisés Wolpowicz, 20%; nº 589, P.B., de Edita Lady Aquere, 2%; nº 594, piso 1º, dpto. “A”, de Berta Amuchástegui, 30%; piso 1º, dpto. “B”, de Jaime Selem, 15%; piso 2º, dpto. “C”, de José Mario Gesualdi, 70%; piso 2º, dpto. “D”, de Amelia Emilia Riv</w:t>
      </w:r>
      <w:r>
        <w:t>e</w:t>
      </w:r>
      <w:r>
        <w:t>ra, 20%; piso 3º, dpto. “E”, de Mario Alfredo Bruzzon, 40% y piso 3º, dpto. “F”, de María Josefa V</w:t>
      </w:r>
      <w:r>
        <w:t>i</w:t>
      </w:r>
      <w:r>
        <w:t>cente, 20%;</w:t>
      </w:r>
    </w:p>
    <w:p w:rsidR="00224567" w:rsidRDefault="00224567">
      <w:pPr>
        <w:widowControl w:val="0"/>
      </w:pPr>
      <w:r>
        <w:tab/>
      </w:r>
      <w:r>
        <w:tab/>
        <w:t>c) Pasteur al 700, las fincas ubicadas en las siguientes nomenclaturas catastr</w:t>
      </w:r>
      <w:r>
        <w:t>a</w:t>
      </w:r>
      <w:r>
        <w:t>les: nº 705, P.B., dpto. “</w:t>
      </w:r>
      <w:smartTag w:uri="urn:schemas-microsoft-com:office:smarttags" w:element="metricconverter">
        <w:smartTagPr>
          <w:attr w:name="ProductID" w:val="2”"/>
        </w:smartTagPr>
        <w:r>
          <w:t>2”</w:t>
        </w:r>
      </w:smartTag>
      <w:r>
        <w:t>, de Ángel Gal</w:t>
      </w:r>
      <w:r>
        <w:t>y</w:t>
      </w:r>
      <w:r>
        <w:t>many, 15%; nº 706, piso 3º, dpto. “F”, de Jaime Abraham Levi, 4%; piso 4º, dpto. “G”, de K</w:t>
      </w:r>
      <w:r>
        <w:t>a</w:t>
      </w:r>
      <w:r>
        <w:t>rim Eliz</w:t>
      </w:r>
      <w:r>
        <w:t>a</w:t>
      </w:r>
      <w:r>
        <w:t>beth Halal Manzano de Atallah, 4%; piso 5º, dpto. “J”, de Mónica Mabel García, 15%; piso 6º, dpto. “L”, de Alberto Peker, 6%; nº 715, P.B., de David Abraham Ayala, 15%; nº 717, P.B., de Federico Carlos Small Rottgardt, 7%; nº 720, piso 1º, de Fra</w:t>
      </w:r>
      <w:r>
        <w:t>n</w:t>
      </w:r>
      <w:r>
        <w:t>cisco Alberto Rossi, 40%; piso 2º, dpto. “</w:t>
      </w:r>
      <w:smartTag w:uri="urn:schemas-microsoft-com:office:smarttags" w:element="metricconverter">
        <w:smartTagPr>
          <w:attr w:name="ProductID" w:val="3”"/>
        </w:smartTagPr>
        <w:r>
          <w:t>3”</w:t>
        </w:r>
      </w:smartTag>
      <w:r>
        <w:t>, de Ángel Salimany, 10%; nº 723, P.B., de Gera</w:t>
      </w:r>
      <w:r>
        <w:t>r</w:t>
      </w:r>
      <w:r>
        <w:t>do Alberto Papazian, 5%; nº 724, piso 1º, dpto. “C”, de Julia Ermelinda Castellano, 1%; piso 2º, dpto. “A”, L</w:t>
      </w:r>
      <w:r>
        <w:t>i</w:t>
      </w:r>
      <w:r>
        <w:t>dia Itala Victoria Leitenberger de Trinidade, 1%; piso 5º, dpto. “A”, de Jorge Hernán Gill, 4%; piso 9º, dpto. “C”, de Adolfo Omar Hemadi, 4%; nº 727, piso 2º, dpto. “A”, de María Marta López Gil, 0.5%; nº 730, P.B., de Héctor A</w:t>
      </w:r>
      <w:r>
        <w:t>l</w:t>
      </w:r>
      <w:r>
        <w:t>berto Rodríguez, 7%; nº 741, piso 1º, de Ernesto F</w:t>
      </w:r>
      <w:r>
        <w:t>i</w:t>
      </w:r>
      <w:r>
        <w:t>gueira, 1%; nº 746, piso 2º, de Sandra Graciela Milani, 0.5% y nº 761, P.B., de B</w:t>
      </w:r>
      <w:r>
        <w:t>e</w:t>
      </w:r>
      <w:r>
        <w:t>nedicto Marchito, 2%;</w:t>
      </w:r>
    </w:p>
    <w:p w:rsidR="00224567" w:rsidRDefault="00224567">
      <w:pPr>
        <w:widowControl w:val="0"/>
      </w:pPr>
      <w:r>
        <w:tab/>
      </w:r>
      <w:r>
        <w:tab/>
        <w:t>d) Azcuénaga al 500, 600 y 700, las fincas ubicadas en las siguientes nomenclaturas catastr</w:t>
      </w:r>
      <w:r>
        <w:t>a</w:t>
      </w:r>
      <w:r>
        <w:t>les: nº 555, piso 10º, dpto. “</w:t>
      </w:r>
      <w:smartTag w:uri="urn:schemas-microsoft-com:office:smarttags" w:element="metricconverter">
        <w:smartTagPr>
          <w:attr w:name="ProductID" w:val="41”"/>
        </w:smartTagPr>
        <w:r>
          <w:t>41”</w:t>
        </w:r>
      </w:smartTag>
      <w:r>
        <w:t>, de Luis Sergio Alberto Lagier Texier, 5%; nº 621, P.B., dpto. “J”, de Margarita Josefina Migliavaca y Juan Alberto Das Dores, 2%; piso 1º, dpto. “A”, de Ariel Moisés Michanie, 5%; piso 1º, dpto. “F”, de María Teresa Serantes, 6%; piso 1º, dpto. “K”, de Héctor Oscar Daney, 1%; piso 2º, dpto. “B”, de Elena Ga</w:t>
      </w:r>
      <w:r>
        <w:t>s</w:t>
      </w:r>
      <w:r>
        <w:t>par, 5%; piso 2º, dpto. “L”, de Salvador Siringo, 3%; piso 3º, dpto. “C”, de Raquel L</w:t>
      </w:r>
      <w:r>
        <w:t>e</w:t>
      </w:r>
      <w:r>
        <w:t>vy y Elías Behar, 5%; piso 3º, dpto. “M”, de Raúl Ernesto Fusco, 3%; nº 643, piso 2º, dpto. “</w:t>
      </w:r>
      <w:smartTag w:uri="urn:schemas-microsoft-com:office:smarttags" w:element="metricconverter">
        <w:smartTagPr>
          <w:attr w:name="ProductID" w:val="2”"/>
        </w:smartTagPr>
        <w:r>
          <w:t>2”</w:t>
        </w:r>
      </w:smartTag>
      <w:r>
        <w:t>, de Mincia Orensztein, 2%; piso 5º, dpto. “</w:t>
      </w:r>
      <w:smartTag w:uri="urn:schemas-microsoft-com:office:smarttags" w:element="metricconverter">
        <w:smartTagPr>
          <w:attr w:name="ProductID" w:val="8”"/>
        </w:smartTagPr>
        <w:r>
          <w:t>8”</w:t>
        </w:r>
      </w:smartTag>
      <w:r>
        <w:t>, de Marta Delia Scarp</w:t>
      </w:r>
      <w:r>
        <w:t>a</w:t>
      </w:r>
      <w:r>
        <w:t>ti, 1.5%; nº 663, piso 3º, dpto. “A”, de Raquel Edith Zeitune de Epelbaum, 3%; nº 677, de Miguel Á</w:t>
      </w:r>
      <w:r>
        <w:t>n</w:t>
      </w:r>
      <w:r>
        <w:t>gel Garrido, 2%; nº 683, piso 1º, de Antonio Otero, 4%; nº 691, P.B., de Sofía Graciela Ivanier de Sai</w:t>
      </w:r>
      <w:r>
        <w:t>o</w:t>
      </w:r>
      <w:r>
        <w:t>ne, 12%; nº 720, de Luis Mariano Fernández, 1% y nº 774, piso 1º, dpto. “</w:t>
      </w:r>
      <w:smartTag w:uri="urn:schemas-microsoft-com:office:smarttags" w:element="metricconverter">
        <w:smartTagPr>
          <w:attr w:name="ProductID" w:val="17”"/>
        </w:smartTagPr>
        <w:r>
          <w:t>17”</w:t>
        </w:r>
      </w:smartTag>
      <w:r>
        <w:t>, de Nidia Graciela Ibáñez, 0.5%;</w:t>
      </w:r>
    </w:p>
    <w:p w:rsidR="00224567" w:rsidRDefault="00224567">
      <w:pPr>
        <w:widowControl w:val="0"/>
      </w:pPr>
      <w:r>
        <w:tab/>
      </w:r>
      <w:r>
        <w:tab/>
        <w:t>e) Tucumán al 2100 y 2200, las fincas ubicadas en las siguientes nomenclaturas catastrales: nº 2189, P.B., de Roberto Firpo, 0.5%; nº 2227, piso 6º, dpto. “D”, de Antonia Nélida Mastromauro, 1%; nº 2231, p</w:t>
      </w:r>
      <w:r>
        <w:t>i</w:t>
      </w:r>
      <w:r>
        <w:t>so 2º, dpto. “</w:t>
      </w:r>
      <w:smartTag w:uri="urn:schemas-microsoft-com:office:smarttags" w:element="metricconverter">
        <w:smartTagPr>
          <w:attr w:name="ProductID" w:val="2”"/>
        </w:smartTagPr>
        <w:r>
          <w:t>2”</w:t>
        </w:r>
      </w:smartTag>
      <w:r>
        <w:t>, de Julia Susana Bendjouya y Alberto H</w:t>
      </w:r>
      <w:r>
        <w:t>o</w:t>
      </w:r>
      <w:r>
        <w:t>racio Krigun, 5%; nº 2236, P.B., dpto. “C”, de Simón Atl</w:t>
      </w:r>
      <w:r>
        <w:t>a</w:t>
      </w:r>
      <w:r>
        <w:t>sovich, 3%; piso 7º,  dpto. “A”,  de Rosa Mónica  Biaggio, 2%; nº 2237, piso 2º, dpto. “</w:t>
      </w:r>
      <w:smartTag w:uri="urn:schemas-microsoft-com:office:smarttags" w:element="metricconverter">
        <w:smartTagPr>
          <w:attr w:name="ProductID" w:val="3”"/>
        </w:smartTagPr>
        <w:r>
          <w:t>3”</w:t>
        </w:r>
      </w:smartTag>
      <w:r>
        <w:t>, de Luis Alberto Cerva</w:t>
      </w:r>
      <w:r>
        <w:t>n</w:t>
      </w:r>
      <w:r>
        <w:t>tes, 4%; nº 2240, P.B., de “Andrea Bebes S.A.”, 14%; nº 2247, piso 2º, dpto. “A”, de Dora Libia Merino, 4%; dpto. “B”, de Rosa Sarguckis, 4%; dpto. “C”, de Viviana Graciela Longhi, 10%; dpto. “D”, de Velia Concepción Pacilli, 5%; piso 3º, dpto. “B”, de Juan Carlos Fontenla, 5%; dpto. “D”, de Bernardo Go</w:t>
      </w:r>
      <w:r>
        <w:t>r</w:t>
      </w:r>
      <w:r>
        <w:t>dín, 5%; piso 4º, dpto. “B”, de Mirta Susana Schuarzman, 2%; piso 4º, dpto. “C”, de Horacio S</w:t>
      </w:r>
      <w:r>
        <w:t>i</w:t>
      </w:r>
      <w:r>
        <w:t>rota, 5%; piso 5º, dpto. “F”, de Agustín Ternite, 4%; dpto. “I”, de Alfredo Russo, 1.5%; piso 6º, dpto. “A”, de Delia Benito, 1.5%; dpto. “B”, de Juan Javier Sanabria, 1.5%; dpto. “F”, de Santiago Pérez Fernández, 1.5%; piso 7º, dpto. “A”, de Sergio Daniel Viesel, 1.5%; dpto. “B”, de Rosa Julia Victoria Baquedano Fuenzalida de Kadi, 1%; dpto. “I”, de Inés Dina Bernabela Ripani, 3%; piso 9º, dpto. “A”, de Juan Antonio Gleria, 4%; dpto. “B”, de Jac</w:t>
      </w:r>
      <w:r>
        <w:t>o</w:t>
      </w:r>
      <w:r>
        <w:t>bo Eduardo Attar, 3%; dpto. “D”, de Ant</w:t>
      </w:r>
      <w:r>
        <w:t>o</w:t>
      </w:r>
      <w:r>
        <w:t>nio Hamui, 4%; nº 2248, P.B., de Reneé Biondo, 1%; piso 1º, dpto. “F”, de María Benilde Gómez de Luján, 1%; piso 2º, dpto. “K”, de María Lelia Echegoyen, 2%; nº 2250, piso 2º, dpto. “B”, de Manuel Vigitez, 3%; nº 2260, P.B., de Be</w:t>
      </w:r>
      <w:r>
        <w:t>r</w:t>
      </w:r>
      <w:r>
        <w:t>nardo Gel, 6%; nº 2262, P.B., piso 1º y terraza, de Szewach Wainstein, 15%; nº 2271, P.B. y P.A., de Liliana Cameriere Filippo, 45%; nº 2282, P.B. y piso 1º, de R. Mordcovich, 30%; nº 2283, P.B., de Berna</w:t>
      </w:r>
      <w:r>
        <w:t>r</w:t>
      </w:r>
      <w:r>
        <w:t>do Gel, 4%; nº 2285, piso 1º, dpto. “</w:t>
      </w:r>
      <w:smartTag w:uri="urn:schemas-microsoft-com:office:smarttags" w:element="metricconverter">
        <w:smartTagPr>
          <w:attr w:name="ProductID" w:val="3”"/>
        </w:smartTagPr>
        <w:r>
          <w:t>3”</w:t>
        </w:r>
      </w:smartTag>
      <w:r>
        <w:t>, de Berel Kerp y Berta Perelman, 15%; piso 1º, dpto. “</w:t>
      </w:r>
      <w:smartTag w:uri="urn:schemas-microsoft-com:office:smarttags" w:element="metricconverter">
        <w:smartTagPr>
          <w:attr w:name="ProductID" w:val="4”"/>
        </w:smartTagPr>
        <w:r>
          <w:t>4”</w:t>
        </w:r>
      </w:smartTag>
      <w:r>
        <w:t>, de estos últimos, 10%; piso 3º, dpto. “</w:t>
      </w:r>
      <w:smartTag w:uri="urn:schemas-microsoft-com:office:smarttags" w:element="metricconverter">
        <w:smartTagPr>
          <w:attr w:name="ProductID" w:val="8”"/>
        </w:smartTagPr>
        <w:r>
          <w:t>8”</w:t>
        </w:r>
      </w:smartTag>
      <w:r>
        <w:t>, de María Luisa E</w:t>
      </w:r>
      <w:r>
        <w:t>s</w:t>
      </w:r>
      <w:r>
        <w:t>trada, 10%; dpto. “</w:t>
      </w:r>
      <w:smartTag w:uri="urn:schemas-microsoft-com:office:smarttags" w:element="metricconverter">
        <w:smartTagPr>
          <w:attr w:name="ProductID" w:val="9”"/>
        </w:smartTagPr>
        <w:r>
          <w:t>9”</w:t>
        </w:r>
      </w:smartTag>
      <w:r>
        <w:t>, de Fabián Adrián Musco y Silvana Noemí Stella, 2%; dpto. “</w:t>
      </w:r>
      <w:smartTag w:uri="urn:schemas-microsoft-com:office:smarttags" w:element="metricconverter">
        <w:smartTagPr>
          <w:attr w:name="ProductID" w:val="10”"/>
        </w:smartTagPr>
        <w:r>
          <w:t>10”</w:t>
        </w:r>
      </w:smartTag>
      <w:r>
        <w:t>, de Sofía Beatriz Giordano, 18%; piso 5º, dpto. “</w:t>
      </w:r>
      <w:smartTag w:uri="urn:schemas-microsoft-com:office:smarttags" w:element="metricconverter">
        <w:smartTagPr>
          <w:attr w:name="ProductID" w:val="14”"/>
        </w:smartTagPr>
        <w:r>
          <w:t>14”</w:t>
        </w:r>
      </w:smartTag>
      <w:r>
        <w:t>, de Marcela María López y Seba</w:t>
      </w:r>
      <w:r>
        <w:t>s</w:t>
      </w:r>
      <w:r>
        <w:t>tián Piñero, 22%; dpto. “</w:t>
      </w:r>
      <w:smartTag w:uri="urn:schemas-microsoft-com:office:smarttags" w:element="metricconverter">
        <w:smartTagPr>
          <w:attr w:name="ProductID" w:val="15”"/>
        </w:smartTagPr>
        <w:r>
          <w:t>15”</w:t>
        </w:r>
      </w:smartTag>
      <w:r>
        <w:t>, de Isaac Hambra, 15%; nº 2286, P.B., de Elías Achcar, 10%; nº 2288, P.B., de Si</w:t>
      </w:r>
      <w:r>
        <w:t>l</w:t>
      </w:r>
      <w:r>
        <w:t>vio José Karp, 10%; nº 2292/2294, piso 1º, dpto. “A”, de Dora Argentina Picotti de Magnano, 25%; piso 2º, dpto. “</w:t>
      </w:r>
      <w:smartTag w:uri="urn:schemas-microsoft-com:office:smarttags" w:element="metricconverter">
        <w:smartTagPr>
          <w:attr w:name="ProductID" w:val="4”"/>
        </w:smartTagPr>
        <w:r>
          <w:t>4”</w:t>
        </w:r>
      </w:smartTag>
      <w:r>
        <w:t>, de Raquel Czertok de Chen, 5%; dpto. “B”, de Elena Susana Rotbart, 7%; dpto. “C”, de Juana Perseveranza Rojas D</w:t>
      </w:r>
      <w:r>
        <w:t>u</w:t>
      </w:r>
      <w:r>
        <w:t>rán, 7%; piso 3º, dpto. “A”, de Manuel Ángel To</w:t>
      </w:r>
      <w:r>
        <w:t>r</w:t>
      </w:r>
      <w:r>
        <w:t>cuato González, 5%; dpto. “F”, de Eugenia L</w:t>
      </w:r>
      <w:r>
        <w:t>ó</w:t>
      </w:r>
      <w:r>
        <w:t>pez Aquino, 5%; dpto. “</w:t>
      </w:r>
      <w:smartTag w:uri="urn:schemas-microsoft-com:office:smarttags" w:element="metricconverter">
        <w:smartTagPr>
          <w:attr w:name="ProductID" w:val="3”"/>
        </w:smartTagPr>
        <w:r>
          <w:t>3”</w:t>
        </w:r>
      </w:smartTag>
      <w:r>
        <w:t>, de Enrique Rafael Federico, 7%; dpto. “E”, de Mirta Graciela Mayolatesi, 5%; dpto. “D”, de Delia Lorenzo, 5%;</w:t>
      </w:r>
    </w:p>
    <w:p w:rsidR="00224567" w:rsidRDefault="00224567">
      <w:pPr>
        <w:widowControl w:val="0"/>
      </w:pPr>
      <w:r>
        <w:tab/>
        <w:t>f) Tucumán al 2300 y 2400, las fi</w:t>
      </w:r>
      <w:r>
        <w:t>n</w:t>
      </w:r>
      <w:r>
        <w:t>cas ubicadas en las siguientes nomenclaturas catastrales: nº 2300, P.B., de Pedro Hernán Dubcov</w:t>
      </w:r>
      <w:r>
        <w:t>s</w:t>
      </w:r>
      <w:r>
        <w:t>ky, 35%; nº 2301, P.B. y E.P., de Julio Munir Menehem, 100%; nº 2307, P.B., un</w:t>
      </w:r>
      <w:r>
        <w:t>i</w:t>
      </w:r>
      <w:r>
        <w:t>dad funcional “</w:t>
      </w:r>
      <w:smartTag w:uri="urn:schemas-microsoft-com:office:smarttags" w:element="metricconverter">
        <w:smartTagPr>
          <w:attr w:name="ProductID" w:val="2”"/>
        </w:smartTagPr>
        <w:r>
          <w:t>2”</w:t>
        </w:r>
      </w:smartTag>
      <w:r>
        <w:t>, de Salomón Edmundo Saccal, 57%; nº 2309, P.B., de Jaime Víctor Buchuf, 40%; nº 2311, P.B., dpto. “B”, del consorcio de propiet</w:t>
      </w:r>
      <w:r>
        <w:t>a</w:t>
      </w:r>
      <w:r>
        <w:t>rios, 50%; dpto. “</w:t>
      </w:r>
      <w:smartTag w:uri="urn:schemas-microsoft-com:office:smarttags" w:element="metricconverter">
        <w:smartTagPr>
          <w:attr w:name="ProductID" w:val="3”"/>
        </w:smartTagPr>
        <w:r>
          <w:t>3”</w:t>
        </w:r>
      </w:smartTag>
      <w:r>
        <w:t>, de Sal</w:t>
      </w:r>
      <w:r>
        <w:t>o</w:t>
      </w:r>
      <w:r>
        <w:t>món Edmundo Saccal, 50%; piso 1º, dpto. “A”, de Ana Inés Baque,  50%;  dpto. “F”, de Marta y Beatriz Ester  Anhiesiger Ginsburg, 70%; dpto. “G”, de Zulema Martina L</w:t>
      </w:r>
      <w:r>
        <w:t>u</w:t>
      </w:r>
      <w:r>
        <w:t>na, 70%; piso 2º, dpto. “A”, de Adela Gibkin, 60%; dpto. “B”, de Jung Ja Moon, 60%; dpto. “H”, de Teresita Olga Dussol, 70%; dpto. “I”, de Nieves del Carmen Del Río, 70%; piso 3º, dpto. “C”, de Nidia Ester Agosti, 65%; dpto. “D”, de Isaac Purinsons, 65%; dpto. “J”, de María Haydee Marzialetti, 70%; dpto. “K”, de Blanca Ofelia Castillo V</w:t>
      </w:r>
      <w:r>
        <w:t>i</w:t>
      </w:r>
      <w:r>
        <w:t>llanueva de Basan, 70%; piso 4º, dpto. “E”, de Susana C</w:t>
      </w:r>
      <w:r>
        <w:t>e</w:t>
      </w:r>
      <w:r>
        <w:t>cilia Lacour, 80%; dpto. “L”, de Viviana Graciela Fruchtuich, 80%; dpto. “M”, de Vadez Sosa, 80%; nº 2315, P.B., de Cl</w:t>
      </w:r>
      <w:r>
        <w:t>a</w:t>
      </w:r>
      <w:r>
        <w:t xml:space="preserve">ra Isabel Aisensrein, 12%; piso 3º, dpto. “A”, de Marta Alicia Gómez, 6%; </w:t>
      </w:r>
      <w:r>
        <w:rPr>
          <w:bCs/>
        </w:rPr>
        <w:t>nº 2318</w:t>
      </w:r>
      <w:r>
        <w:t>, pisos 1º y 2º, de He</w:t>
      </w:r>
      <w:r>
        <w:t>n</w:t>
      </w:r>
      <w:r>
        <w:t>ri R</w:t>
      </w:r>
      <w:r>
        <w:t>o</w:t>
      </w:r>
      <w:r>
        <w:t xml:space="preserve">berto Adjiman, 40%; nº 2818/2828, </w:t>
      </w:r>
      <w:r>
        <w:rPr>
          <w:bCs/>
        </w:rPr>
        <w:t>P.B., dpto. “</w:t>
      </w:r>
      <w:smartTag w:uri="urn:schemas-microsoft-com:office:smarttags" w:element="metricconverter">
        <w:smartTagPr>
          <w:attr w:name="ProductID" w:val="3”"/>
        </w:smartTagPr>
        <w:r>
          <w:rPr>
            <w:bCs/>
          </w:rPr>
          <w:t>3”</w:t>
        </w:r>
      </w:smartTag>
      <w:r>
        <w:rPr>
          <w:bCs/>
        </w:rPr>
        <w:t>, de Luna Vi</w:t>
      </w:r>
      <w:r>
        <w:rPr>
          <w:bCs/>
        </w:rPr>
        <w:t>c</w:t>
      </w:r>
      <w:r>
        <w:rPr>
          <w:bCs/>
        </w:rPr>
        <w:t>toria Barnatan de Hodari, 2%</w:t>
      </w:r>
      <w:r>
        <w:t>; piso 1º, dptos. “</w:t>
      </w:r>
      <w:smartTag w:uri="urn:schemas-microsoft-com:office:smarttags" w:element="metricconverter">
        <w:smartTagPr>
          <w:attr w:name="ProductID" w:val="5”"/>
        </w:smartTagPr>
        <w:r>
          <w:t>5”</w:t>
        </w:r>
      </w:smartTag>
      <w:r>
        <w:t xml:space="preserve"> y “</w:t>
      </w:r>
      <w:smartTag w:uri="urn:schemas-microsoft-com:office:smarttags" w:element="metricconverter">
        <w:smartTagPr>
          <w:attr w:name="ProductID" w:val="7”"/>
        </w:smartTagPr>
        <w:r>
          <w:t>7”</w:t>
        </w:r>
      </w:smartTag>
      <w:r>
        <w:t>, de Luna Victoria Barnatan de Hod</w:t>
      </w:r>
      <w:r>
        <w:t>a</w:t>
      </w:r>
      <w:r>
        <w:t>ri, 1.5%; piso 1º, dpto. “A”, de Graciela Alicia Hodari, 1%; piso 2º, dpto. “</w:t>
      </w:r>
      <w:smartTag w:uri="urn:schemas-microsoft-com:office:smarttags" w:element="metricconverter">
        <w:smartTagPr>
          <w:attr w:name="ProductID" w:val="8”"/>
        </w:smartTagPr>
        <w:r>
          <w:t>8”</w:t>
        </w:r>
      </w:smartTag>
      <w:r>
        <w:t>, 1.5% y dpto. “</w:t>
      </w:r>
      <w:smartTag w:uri="urn:schemas-microsoft-com:office:smarttags" w:element="metricconverter">
        <w:smartTagPr>
          <w:attr w:name="ProductID" w:val="9”"/>
        </w:smartTagPr>
        <w:r>
          <w:t>9”</w:t>
        </w:r>
      </w:smartTag>
      <w:r>
        <w:t xml:space="preserve">, 1%, </w:t>
      </w:r>
      <w:r>
        <w:rPr>
          <w:bCs/>
        </w:rPr>
        <w:t>unidades pertenecientes a la última nombrada; dpto. “</w:t>
      </w:r>
      <w:smartTag w:uri="urn:schemas-microsoft-com:office:smarttags" w:element="metricconverter">
        <w:smartTagPr>
          <w:attr w:name="ProductID" w:val="10”"/>
        </w:smartTagPr>
        <w:r>
          <w:rPr>
            <w:bCs/>
          </w:rPr>
          <w:t>10”</w:t>
        </w:r>
      </w:smartTag>
      <w:r>
        <w:rPr>
          <w:bCs/>
        </w:rPr>
        <w:t>, de L</w:t>
      </w:r>
      <w:r>
        <w:rPr>
          <w:bCs/>
        </w:rPr>
        <w:t>u</w:t>
      </w:r>
      <w:r>
        <w:rPr>
          <w:bCs/>
        </w:rPr>
        <w:t>na Victoria Barnatan de Hodari, 2.5%;</w:t>
      </w:r>
      <w:r>
        <w:t xml:space="preserve"> nº 2324, P.B., de esta última, 25%; nº 2326, P.B., dpto. “</w:t>
      </w:r>
      <w:smartTag w:uri="urn:schemas-microsoft-com:office:smarttags" w:element="metricconverter">
        <w:smartTagPr>
          <w:attr w:name="ProductID" w:val="2”"/>
        </w:smartTagPr>
        <w:r>
          <w:t>2”</w:t>
        </w:r>
      </w:smartTag>
      <w:r>
        <w:t>, de Luis Derran, 3%; P.B., dpto. “</w:t>
      </w:r>
      <w:smartTag w:uri="urn:schemas-microsoft-com:office:smarttags" w:element="metricconverter">
        <w:smartTagPr>
          <w:attr w:name="ProductID" w:val="3”"/>
        </w:smartTagPr>
        <w:r>
          <w:t>3”</w:t>
        </w:r>
      </w:smartTag>
      <w:r>
        <w:t>, de este último, 25%; nº 2328, P.B., dptos. 1º y 2º, de Sara Heffesse de Hodari, 1,5%; nº 2330, P.B., 3%; piso 1º, dpto. “</w:t>
      </w:r>
      <w:smartTag w:uri="urn:schemas-microsoft-com:office:smarttags" w:element="metricconverter">
        <w:smartTagPr>
          <w:attr w:name="ProductID" w:val="5”"/>
        </w:smartTagPr>
        <w:r>
          <w:t>5”</w:t>
        </w:r>
      </w:smartTag>
      <w:r>
        <w:t>, 4%; p</w:t>
      </w:r>
      <w:r>
        <w:t>i</w:t>
      </w:r>
      <w:r>
        <w:t>so 1º, dpto. “</w:t>
      </w:r>
      <w:smartTag w:uri="urn:schemas-microsoft-com:office:smarttags" w:element="metricconverter">
        <w:smartTagPr>
          <w:attr w:name="ProductID" w:val="9”"/>
        </w:smartTagPr>
        <w:r>
          <w:t>9”</w:t>
        </w:r>
      </w:smartTag>
      <w:r>
        <w:t>, 4%; pisos 1º y 2º, 30%, todas pertenecientes a D</w:t>
      </w:r>
      <w:r>
        <w:t>o</w:t>
      </w:r>
      <w:r>
        <w:t>lores Ferreiro de Tubio; nº 2336, P.B., dpto. “B”, de Cristina Guadalupe Lucero, 4%; piso 1º, dpto. “D”, de Huea Wang Shian, 3%; piso 2º, dpto. “E”, de Juana Isabel Marino, 3%; nros. 2348/2350/2352/2354, P.B., pisos 1º y 2º, de Adolfo Levy, 10%; nº 2361, P.B. y piso 1º, Jorge Benjamín Budnik, 15%; nº 2362, piso 5º, dpto. “G”, de José Antonio Smitarello, 2%; piso 7º, dpto. “B”, de Marta Polonsky, 1.5%; nº 2396, piso 1º, dpto. “C”, de Olga Grossman, 1%; nº 2402, P.B., de Teresa Esther Levy, 10% y nº 2419, piso 2º, dpto. “B”, de Pascual Domi</w:t>
      </w:r>
      <w:r>
        <w:t>n</w:t>
      </w:r>
      <w:r>
        <w:t>go C</w:t>
      </w:r>
      <w:r>
        <w:t>o</w:t>
      </w:r>
      <w:r>
        <w:t>sme Faiella, 2% o 1.5%;</w:t>
      </w:r>
    </w:p>
    <w:p w:rsidR="00224567" w:rsidRDefault="00224567">
      <w:pPr>
        <w:widowControl w:val="0"/>
      </w:pPr>
      <w:r>
        <w:tab/>
      </w:r>
      <w:r>
        <w:tab/>
        <w:t>g) José Evaristo Uriburu al 400, 500 y 600, las fincas ubicadas en las siguientes nomenclaturas catastrales: nº 484, piso 2º, dpto. “C”, de Marta Fisc</w:t>
      </w:r>
      <w:r>
        <w:t>h</w:t>
      </w:r>
      <w:r>
        <w:t>man, 2%; nº 524, piso 2º, dpto. “D”, de Juana Roxana T</w:t>
      </w:r>
      <w:r>
        <w:t>e</w:t>
      </w:r>
      <w:r>
        <w:t>lloría Salazar, 0.5%; nº 542, piso 1º, dpto. “</w:t>
      </w:r>
      <w:smartTag w:uri="urn:schemas-microsoft-com:office:smarttags" w:element="metricconverter">
        <w:smartTagPr>
          <w:attr w:name="ProductID" w:val="5”"/>
        </w:smartTagPr>
        <w:r>
          <w:t>5”</w:t>
        </w:r>
      </w:smartTag>
      <w:r>
        <w:t>, de Sal</w:t>
      </w:r>
      <w:r>
        <w:t>o</w:t>
      </w:r>
      <w:r>
        <w:t>món Wainberg, 1%; P.B. y pisos 1º, 2º, 3º, 4º, 5º y 6º, unidades pertenecientes a la empresa “Textil Tucumán S.A.”, 3%; nº 578, p</w:t>
      </w:r>
      <w:r>
        <w:t>i</w:t>
      </w:r>
      <w:r>
        <w:t>so 1º, dpto. “</w:t>
      </w:r>
      <w:smartTag w:uri="urn:schemas-microsoft-com:office:smarttags" w:element="metricconverter">
        <w:smartTagPr>
          <w:attr w:name="ProductID" w:val="5”"/>
        </w:smartTagPr>
        <w:r>
          <w:t>5”</w:t>
        </w:r>
      </w:smartTag>
      <w:r>
        <w:t>, 1%; piso 3º, dpto. “</w:t>
      </w:r>
      <w:smartTag w:uri="urn:schemas-microsoft-com:office:smarttags" w:element="metricconverter">
        <w:smartTagPr>
          <w:attr w:name="ProductID" w:val="13”"/>
        </w:smartTagPr>
        <w:r>
          <w:t>13”</w:t>
        </w:r>
      </w:smartTag>
      <w:r>
        <w:t>, 1.5%; dpto. “</w:t>
      </w:r>
      <w:smartTag w:uri="urn:schemas-microsoft-com:office:smarttags" w:element="metricconverter">
        <w:smartTagPr>
          <w:attr w:name="ProductID" w:val="16”"/>
        </w:smartTagPr>
        <w:r>
          <w:t>16”</w:t>
        </w:r>
      </w:smartTag>
      <w:r>
        <w:t>, 0.5%, estas últimas tres unidades pertenecían a Salomón Wainberg; nº 581, piso 2º, dpto. “A”, de Marta Ofelia Lie</w:t>
      </w:r>
      <w:r>
        <w:t>n</w:t>
      </w:r>
      <w:r>
        <w:t>dro, 0.5%; piso 6º, dpto. “B”, de Pablo León Levin, 1%; nº 609, piso 1º, dpto. “C”, de Fra</w:t>
      </w:r>
      <w:r>
        <w:t>n</w:t>
      </w:r>
      <w:r>
        <w:t>cisca Galarza, 5%; nº 624, P.B., dpto. “B”, de Pablina Gilda Maidana Vanni, 2%; piso 2º, dpto. “I”, de Juan Ca</w:t>
      </w:r>
      <w:r>
        <w:t>r</w:t>
      </w:r>
      <w:r>
        <w:t>los Griffin, 2%; dpto. “J”, de Ernesto Szwimer, 2%; nº 634, P.B., dpto. “C”, de Elena Kumok, 3%; dpto. “F”, de Graciela Nidia Araoz, 6%; piso 3º, dpto. “D”, de Mónica Teresa Cafici, 8%; piso 5º, dpto. “B”, María Yolanda Rodil Fernández, 3%; nº 650, P.B., de la “Asociación Hebrea de Benef</w:t>
      </w:r>
      <w:r>
        <w:t>i</w:t>
      </w:r>
      <w:r>
        <w:t>cencia y Culto Rabino Yehuda Levy Zirelson”, 4%; nº 660, piso 7º, dpto. “</w:t>
      </w:r>
      <w:smartTag w:uri="urn:schemas-microsoft-com:office:smarttags" w:element="metricconverter">
        <w:smartTagPr>
          <w:attr w:name="ProductID" w:val="16”"/>
        </w:smartTagPr>
        <w:r>
          <w:t>16”</w:t>
        </w:r>
      </w:smartTag>
      <w:r>
        <w:t>, de Mo</w:t>
      </w:r>
      <w:r>
        <w:t>i</w:t>
      </w:r>
      <w:r>
        <w:t>sés Aleksander, 2%; dpto. “</w:t>
      </w:r>
      <w:smartTag w:uri="urn:schemas-microsoft-com:office:smarttags" w:element="metricconverter">
        <w:smartTagPr>
          <w:attr w:name="ProductID" w:val="17”"/>
        </w:smartTagPr>
        <w:r>
          <w:t>17”</w:t>
        </w:r>
      </w:smartTag>
      <w:r>
        <w:t>, de Isolina Painetru, 2%; piso 8º, dpto. “</w:t>
      </w:r>
      <w:smartTag w:uri="urn:schemas-microsoft-com:office:smarttags" w:element="metricconverter">
        <w:smartTagPr>
          <w:attr w:name="ProductID" w:val="19”"/>
        </w:smartTagPr>
        <w:r>
          <w:t>19”</w:t>
        </w:r>
      </w:smartTag>
      <w:r>
        <w:t>, de M</w:t>
      </w:r>
      <w:r>
        <w:t>a</w:t>
      </w:r>
      <w:r>
        <w:t>tilde Ester Daniti, 2%; nº 664, P.B., dpto. “A”, de Sara Berman de Liposzyc, 4%; piso 1º, dpto. “</w:t>
      </w:r>
      <w:smartTag w:uri="urn:schemas-microsoft-com:office:smarttags" w:element="metricconverter">
        <w:smartTagPr>
          <w:attr w:name="ProductID" w:val="3”"/>
        </w:smartTagPr>
        <w:r>
          <w:t>3”</w:t>
        </w:r>
      </w:smartTag>
      <w:r>
        <w:t>, de Ángela R</w:t>
      </w:r>
      <w:r>
        <w:t>o</w:t>
      </w:r>
      <w:r>
        <w:t>mano, 4%; dpto. “</w:t>
      </w:r>
      <w:smartTag w:uri="urn:schemas-microsoft-com:office:smarttags" w:element="metricconverter">
        <w:smartTagPr>
          <w:attr w:name="ProductID" w:val="4”"/>
        </w:smartTagPr>
        <w:r>
          <w:t>4”</w:t>
        </w:r>
      </w:smartTag>
      <w:r>
        <w:t>, de María del Pilar González de Troiano, 12%; nº 679, piso 5º, dpto. “</w:t>
      </w:r>
      <w:smartTag w:uri="urn:schemas-microsoft-com:office:smarttags" w:element="metricconverter">
        <w:smartTagPr>
          <w:attr w:name="ProductID" w:val="21”"/>
        </w:smartTagPr>
        <w:r>
          <w:t>21”</w:t>
        </w:r>
      </w:smartTag>
      <w:r>
        <w:t>, de Josefa Ru</w:t>
      </w:r>
      <w:r>
        <w:t>s</w:t>
      </w:r>
      <w:r>
        <w:t>so, 1%; nº 678, piso 1º, dpto. “</w:t>
      </w:r>
      <w:smartTag w:uri="urn:schemas-microsoft-com:office:smarttags" w:element="metricconverter">
        <w:smartTagPr>
          <w:attr w:name="ProductID" w:val="4”"/>
        </w:smartTagPr>
        <w:r>
          <w:t>4”</w:t>
        </w:r>
      </w:smartTag>
      <w:r>
        <w:t>, de Salomón Wainberg, 1%; nº 690, P.B., de Alicia Mabel Jait, 2%; nº 674, P.B., dpto. “</w:t>
      </w:r>
      <w:smartTag w:uri="urn:schemas-microsoft-com:office:smarttags" w:element="metricconverter">
        <w:smartTagPr>
          <w:attr w:name="ProductID" w:val="3”"/>
        </w:smartTagPr>
        <w:r>
          <w:t>3”</w:t>
        </w:r>
      </w:smartTag>
      <w:r>
        <w:t>, de Sergio Hubert Loaiza Cha</w:t>
      </w:r>
      <w:r>
        <w:t>u</w:t>
      </w:r>
      <w:r>
        <w:t>veau, 2%; piso 1º, dpto. “</w:t>
      </w:r>
      <w:smartTag w:uri="urn:schemas-microsoft-com:office:smarttags" w:element="metricconverter">
        <w:smartTagPr>
          <w:attr w:name="ProductID" w:val="6”"/>
        </w:smartTagPr>
        <w:r>
          <w:t>6”</w:t>
        </w:r>
      </w:smartTag>
      <w:r>
        <w:t>, de María Ester Amado, 2%; dpto. “</w:t>
      </w:r>
      <w:smartTag w:uri="urn:schemas-microsoft-com:office:smarttags" w:element="metricconverter">
        <w:smartTagPr>
          <w:attr w:name="ProductID" w:val="7”"/>
        </w:smartTagPr>
        <w:r>
          <w:t>7”</w:t>
        </w:r>
      </w:smartTag>
      <w:r>
        <w:t>, de “Fe</w:t>
      </w:r>
      <w:r>
        <w:t>r</w:t>
      </w:r>
      <w:r>
        <w:t>nández Alonso S.C.A”, 2%; dpto. “</w:t>
      </w:r>
      <w:smartTag w:uri="urn:schemas-microsoft-com:office:smarttags" w:element="metricconverter">
        <w:smartTagPr>
          <w:attr w:name="ProductID" w:val="8”"/>
        </w:smartTagPr>
        <w:r>
          <w:t>8”</w:t>
        </w:r>
      </w:smartTag>
      <w:r>
        <w:t>, 2%; piso 2º, dpto. “</w:t>
      </w:r>
      <w:smartTag w:uri="urn:schemas-microsoft-com:office:smarttags" w:element="metricconverter">
        <w:smartTagPr>
          <w:attr w:name="ProductID" w:val="12”"/>
        </w:smartTagPr>
        <w:r>
          <w:t>12”</w:t>
        </w:r>
      </w:smartTag>
      <w:r>
        <w:t>, 2%; dpto. “</w:t>
      </w:r>
      <w:smartTag w:uri="urn:schemas-microsoft-com:office:smarttags" w:element="metricconverter">
        <w:smartTagPr>
          <w:attr w:name="ProductID" w:val="13”"/>
        </w:smartTagPr>
        <w:r>
          <w:t>13”</w:t>
        </w:r>
      </w:smartTag>
      <w:r>
        <w:t>, 2%; piso 5º, dpto. “</w:t>
      </w:r>
      <w:smartTag w:uri="urn:schemas-microsoft-com:office:smarttags" w:element="metricconverter">
        <w:smartTagPr>
          <w:attr w:name="ProductID" w:val="25”"/>
        </w:smartTagPr>
        <w:r>
          <w:t>25”</w:t>
        </w:r>
      </w:smartTag>
      <w:r>
        <w:t>, 2%; piso 6º, dpto. “</w:t>
      </w:r>
      <w:smartTag w:uri="urn:schemas-microsoft-com:office:smarttags" w:element="metricconverter">
        <w:smartTagPr>
          <w:attr w:name="ProductID" w:val="29”"/>
        </w:smartTagPr>
        <w:r>
          <w:t>29”</w:t>
        </w:r>
      </w:smartTag>
      <w:r>
        <w:t>, 2%, estas últimas cinco unidades eran pr</w:t>
      </w:r>
      <w:r>
        <w:t>o</w:t>
      </w:r>
      <w:r>
        <w:t>piedad de Alicia Esther Fernández; piso 4º, dpto. “</w:t>
      </w:r>
      <w:smartTag w:uri="urn:schemas-microsoft-com:office:smarttags" w:element="metricconverter">
        <w:smartTagPr>
          <w:attr w:name="ProductID" w:val="21”"/>
        </w:smartTagPr>
        <w:r>
          <w:t>21”</w:t>
        </w:r>
      </w:smartTag>
      <w:r>
        <w:t>, de Florencia Selva Guadalupe Salesi, 2%; piso 7º, dpto. “</w:t>
      </w:r>
      <w:smartTag w:uri="urn:schemas-microsoft-com:office:smarttags" w:element="metricconverter">
        <w:smartTagPr>
          <w:attr w:name="ProductID" w:val="33”"/>
        </w:smartTagPr>
        <w:r>
          <w:t>33”</w:t>
        </w:r>
      </w:smartTag>
      <w:r>
        <w:t>, de Myriam Flora Riva, 2%; piso 8º, dpto. “</w:t>
      </w:r>
      <w:smartTag w:uri="urn:schemas-microsoft-com:office:smarttags" w:element="metricconverter">
        <w:smartTagPr>
          <w:attr w:name="ProductID" w:val="37”"/>
        </w:smartTagPr>
        <w:r>
          <w:t>37”</w:t>
        </w:r>
      </w:smartTag>
      <w:r>
        <w:t>, de Juan P</w:t>
      </w:r>
      <w:r>
        <w:t>e</w:t>
      </w:r>
      <w:r>
        <w:t>dro Nav</w:t>
      </w:r>
      <w:r>
        <w:t>a</w:t>
      </w:r>
      <w:r>
        <w:t>rrine, 2%; piso 9º, dpto. “</w:t>
      </w:r>
      <w:smartTag w:uri="urn:schemas-microsoft-com:office:smarttags" w:element="metricconverter">
        <w:smartTagPr>
          <w:attr w:name="ProductID" w:val="38”"/>
        </w:smartTagPr>
        <w:r>
          <w:t>38”</w:t>
        </w:r>
      </w:smartTag>
      <w:r>
        <w:t>, de Dolores Ofelia Montouto, 3%; dpto. “</w:t>
      </w:r>
      <w:smartTag w:uri="urn:schemas-microsoft-com:office:smarttags" w:element="metricconverter">
        <w:smartTagPr>
          <w:attr w:name="ProductID" w:val="40”"/>
        </w:smartTagPr>
        <w:r>
          <w:t>40”</w:t>
        </w:r>
      </w:smartTag>
      <w:r>
        <w:t>, de Diana María García Calvo de Jonquieres, 2% y nº 742, piso 2º, dpto. “D”, de Daniel Francisco Pfluger, 1%;</w:t>
      </w:r>
    </w:p>
    <w:p w:rsidR="00224567" w:rsidRDefault="00224567">
      <w:pPr>
        <w:widowControl w:val="0"/>
      </w:pPr>
      <w:r>
        <w:tab/>
      </w:r>
      <w:r>
        <w:tab/>
        <w:t>h) Viamonte al 2200, 2300 y 2400, las fincas ubicadas en las siguientes nomenclaturas catastr</w:t>
      </w:r>
      <w:r>
        <w:t>a</w:t>
      </w:r>
      <w:r>
        <w:t>les: nº 2188, P.B., de Jorge Víctor Saino Michan, 10%; nº 2226, piso 5º, dpto. “A”, de Alicia Olga Co</w:t>
      </w:r>
      <w:r>
        <w:t>s</w:t>
      </w:r>
      <w:r>
        <w:t>tas, 0.5%; nº 2230, P.B. y E.P., 40%; nº 2235, P.B., pisos 1º y 2º, 20%, a</w:t>
      </w:r>
      <w:r>
        <w:t>m</w:t>
      </w:r>
      <w:r>
        <w:t>bas propiedades de Dora Walfish; nº 2243/2247, edificio de Alejandro Mario Lipara, resultaron afectados en un 2% de sus valores las unidades del piso 1º, dptos. “</w:t>
      </w:r>
      <w:smartTag w:uri="urn:schemas-microsoft-com:office:smarttags" w:element="metricconverter">
        <w:smartTagPr>
          <w:attr w:name="ProductID" w:val="7”"/>
        </w:smartTagPr>
        <w:r>
          <w:t>7”</w:t>
        </w:r>
      </w:smartTag>
      <w:r>
        <w:t xml:space="preserve"> y “</w:t>
      </w:r>
      <w:smartTag w:uri="urn:schemas-microsoft-com:office:smarttags" w:element="metricconverter">
        <w:smartTagPr>
          <w:attr w:name="ProductID" w:val="8”"/>
        </w:smartTagPr>
        <w:r>
          <w:t>8”</w:t>
        </w:r>
      </w:smartTag>
      <w:r>
        <w:t>; piso 2º, dpto. “</w:t>
      </w:r>
      <w:smartTag w:uri="urn:schemas-microsoft-com:office:smarttags" w:element="metricconverter">
        <w:smartTagPr>
          <w:attr w:name="ProductID" w:val="14”"/>
        </w:smartTagPr>
        <w:r>
          <w:t>14”</w:t>
        </w:r>
      </w:smartTag>
      <w:r>
        <w:t xml:space="preserve"> y “</w:t>
      </w:r>
      <w:smartTag w:uri="urn:schemas-microsoft-com:office:smarttags" w:element="metricconverter">
        <w:smartTagPr>
          <w:attr w:name="ProductID" w:val="15”"/>
        </w:smartTagPr>
        <w:r>
          <w:t>15”</w:t>
        </w:r>
      </w:smartTag>
      <w:r>
        <w:t>; piso 3º, dptos. “</w:t>
      </w:r>
      <w:smartTag w:uri="urn:schemas-microsoft-com:office:smarttags" w:element="metricconverter">
        <w:smartTagPr>
          <w:attr w:name="ProductID" w:val="21”"/>
        </w:smartTagPr>
        <w:r>
          <w:t>21”</w:t>
        </w:r>
      </w:smartTag>
      <w:r>
        <w:t xml:space="preserve"> y “</w:t>
      </w:r>
      <w:smartTag w:uri="urn:schemas-microsoft-com:office:smarttags" w:element="metricconverter">
        <w:smartTagPr>
          <w:attr w:name="ProductID" w:val="22”"/>
        </w:smartTagPr>
        <w:r>
          <w:t>22”</w:t>
        </w:r>
      </w:smartTag>
      <w:r>
        <w:t>; piso 4º, dptos. “</w:t>
      </w:r>
      <w:smartTag w:uri="urn:schemas-microsoft-com:office:smarttags" w:element="metricconverter">
        <w:smartTagPr>
          <w:attr w:name="ProductID" w:val="27”"/>
        </w:smartTagPr>
        <w:r>
          <w:t>27”</w:t>
        </w:r>
      </w:smartTag>
      <w:r>
        <w:t xml:space="preserve"> y “</w:t>
      </w:r>
      <w:smartTag w:uri="urn:schemas-microsoft-com:office:smarttags" w:element="metricconverter">
        <w:smartTagPr>
          <w:attr w:name="ProductID" w:val="28”"/>
        </w:smartTagPr>
        <w:r>
          <w:t>28”</w:t>
        </w:r>
      </w:smartTag>
      <w:r>
        <w:t>; piso 5º, dptos. “</w:t>
      </w:r>
      <w:smartTag w:uri="urn:schemas-microsoft-com:office:smarttags" w:element="metricconverter">
        <w:smartTagPr>
          <w:attr w:name="ProductID" w:val="33”"/>
        </w:smartTagPr>
        <w:r>
          <w:t>33”</w:t>
        </w:r>
      </w:smartTag>
      <w:r>
        <w:t xml:space="preserve"> y “</w:t>
      </w:r>
      <w:smartTag w:uri="urn:schemas-microsoft-com:office:smarttags" w:element="metricconverter">
        <w:smartTagPr>
          <w:attr w:name="ProductID" w:val="34”"/>
        </w:smartTagPr>
        <w:r>
          <w:t>34”</w:t>
        </w:r>
      </w:smartTag>
      <w:r>
        <w:t>; piso 6º, dptos. “</w:t>
      </w:r>
      <w:smartTag w:uri="urn:schemas-microsoft-com:office:smarttags" w:element="metricconverter">
        <w:smartTagPr>
          <w:attr w:name="ProductID" w:val="39”"/>
        </w:smartTagPr>
        <w:r>
          <w:t>39”</w:t>
        </w:r>
      </w:smartTag>
      <w:r>
        <w:t xml:space="preserve"> y “</w:t>
      </w:r>
      <w:smartTag w:uri="urn:schemas-microsoft-com:office:smarttags" w:element="metricconverter">
        <w:smartTagPr>
          <w:attr w:name="ProductID" w:val="40”"/>
        </w:smartTagPr>
        <w:r>
          <w:t>40”</w:t>
        </w:r>
      </w:smartTag>
      <w:r>
        <w:t>; piso 7º, dptos. “</w:t>
      </w:r>
      <w:smartTag w:uri="urn:schemas-microsoft-com:office:smarttags" w:element="metricconverter">
        <w:smartTagPr>
          <w:attr w:name="ProductID" w:val="45”"/>
        </w:smartTagPr>
        <w:r>
          <w:t>45”</w:t>
        </w:r>
      </w:smartTag>
      <w:r>
        <w:t xml:space="preserve"> y “</w:t>
      </w:r>
      <w:smartTag w:uri="urn:schemas-microsoft-com:office:smarttags" w:element="metricconverter">
        <w:smartTagPr>
          <w:attr w:name="ProductID" w:val="46”"/>
        </w:smartTagPr>
        <w:r>
          <w:t>46”</w:t>
        </w:r>
      </w:smartTag>
      <w:r>
        <w:t>; piso 8º, dpto. “</w:t>
      </w:r>
      <w:smartTag w:uri="urn:schemas-microsoft-com:office:smarttags" w:element="metricconverter">
        <w:smartTagPr>
          <w:attr w:name="ProductID" w:val="51”"/>
        </w:smartTagPr>
        <w:r>
          <w:t>51”</w:t>
        </w:r>
      </w:smartTag>
      <w:r>
        <w:t xml:space="preserve"> y en un 2% de sus valores las un</w:t>
      </w:r>
      <w:r>
        <w:t>i</w:t>
      </w:r>
      <w:r>
        <w:t xml:space="preserve">dades de </w:t>
      </w:r>
      <w:smartTag w:uri="urn:schemas-microsoft-com:office:smarttags" w:element="PersonName">
        <w:smartTagPr>
          <w:attr w:name="ProductID" w:val="la P.B"/>
        </w:smartTagPr>
        <w:r>
          <w:t>la P.B</w:t>
        </w:r>
      </w:smartTag>
      <w:r>
        <w:t>., dptos. “</w:t>
      </w:r>
      <w:smartTag w:uri="urn:schemas-microsoft-com:office:smarttags" w:element="metricconverter">
        <w:smartTagPr>
          <w:attr w:name="ProductID" w:val="1”"/>
        </w:smartTagPr>
        <w:r>
          <w:t>1”</w:t>
        </w:r>
      </w:smartTag>
      <w:r>
        <w:t xml:space="preserve"> y “</w:t>
      </w:r>
      <w:smartTag w:uri="urn:schemas-microsoft-com:office:smarttags" w:element="metricconverter">
        <w:smartTagPr>
          <w:attr w:name="ProductID" w:val="2”"/>
        </w:smartTagPr>
        <w:r>
          <w:t>2”</w:t>
        </w:r>
      </w:smartTag>
      <w:r>
        <w:t xml:space="preserve"> y del piso 9º, dpto. “</w:t>
      </w:r>
      <w:smartTag w:uri="urn:schemas-microsoft-com:office:smarttags" w:element="metricconverter">
        <w:smartTagPr>
          <w:attr w:name="ProductID" w:val="57”"/>
        </w:smartTagPr>
        <w:r>
          <w:t>57”</w:t>
        </w:r>
      </w:smartTag>
      <w:r>
        <w:t>; nº 2258, piso 2º, dpto. “</w:t>
      </w:r>
      <w:smartTag w:uri="urn:schemas-microsoft-com:office:smarttags" w:element="metricconverter">
        <w:smartTagPr>
          <w:attr w:name="ProductID" w:val="2”"/>
        </w:smartTagPr>
        <w:r>
          <w:t>2”</w:t>
        </w:r>
      </w:smartTag>
      <w:r>
        <w:t>, de Margarita Isabel Aída Bini, 6%; dpto. “</w:t>
      </w:r>
      <w:smartTag w:uri="urn:schemas-microsoft-com:office:smarttags" w:element="metricconverter">
        <w:smartTagPr>
          <w:attr w:name="ProductID" w:val="3”"/>
        </w:smartTagPr>
        <w:r>
          <w:t>3”</w:t>
        </w:r>
      </w:smartTag>
      <w:r>
        <w:t>, de Leonor Hercilia Calero, 6%; nº 2270, p</w:t>
      </w:r>
      <w:r>
        <w:t>i</w:t>
      </w:r>
      <w:r>
        <w:t>sos 1º, 2º, 3º y azotea, de María del Rosario Melendi de Vázquez, 60%; nº 2275, piso 1º, dpto. “A”, y piso 2º, dpto. “C”, ambos de Rubén Horacio Crescio, 10%; piso 1º, dpto. “B”, de Isidro Alberto C</w:t>
      </w:r>
      <w:r>
        <w:t>a</w:t>
      </w:r>
      <w:r>
        <w:t>zón, 10%; nº 2277, de Rubén Hor</w:t>
      </w:r>
      <w:r>
        <w:t>a</w:t>
      </w:r>
      <w:r>
        <w:t>cio Crescio, 6%; nros. 2278/2280/2282, de Israel César Bo</w:t>
      </w:r>
      <w:r>
        <w:t>m</w:t>
      </w:r>
      <w:r>
        <w:t xml:space="preserve">bart, resultaron afectados en un 35% las unidades de </w:t>
      </w:r>
      <w:smartTag w:uri="urn:schemas-microsoft-com:office:smarttags" w:element="PersonName">
        <w:smartTagPr>
          <w:attr w:name="ProductID" w:val="la P.B"/>
        </w:smartTagPr>
        <w:r>
          <w:t>la P.B</w:t>
        </w:r>
      </w:smartTag>
      <w:r>
        <w:t>., dptos. “</w:t>
      </w:r>
      <w:smartTag w:uri="urn:schemas-microsoft-com:office:smarttags" w:element="metricconverter">
        <w:smartTagPr>
          <w:attr w:name="ProductID" w:val="1”"/>
        </w:smartTagPr>
        <w:r>
          <w:t>1”</w:t>
        </w:r>
      </w:smartTag>
      <w:r>
        <w:t>, “</w:t>
      </w:r>
      <w:smartTag w:uri="urn:schemas-microsoft-com:office:smarttags" w:element="metricconverter">
        <w:smartTagPr>
          <w:attr w:name="ProductID" w:val="2”"/>
        </w:smartTagPr>
        <w:r>
          <w:t>2”</w:t>
        </w:r>
      </w:smartTag>
      <w:r>
        <w:t>, “</w:t>
      </w:r>
      <w:smartTag w:uri="urn:schemas-microsoft-com:office:smarttags" w:element="metricconverter">
        <w:smartTagPr>
          <w:attr w:name="ProductID" w:val="3”"/>
        </w:smartTagPr>
        <w:r>
          <w:t>3”</w:t>
        </w:r>
      </w:smartTag>
      <w:r>
        <w:t>, “</w:t>
      </w:r>
      <w:smartTag w:uri="urn:schemas-microsoft-com:office:smarttags" w:element="metricconverter">
        <w:smartTagPr>
          <w:attr w:name="ProductID" w:val="4”"/>
        </w:smartTagPr>
        <w:r>
          <w:t>4”</w:t>
        </w:r>
      </w:smartTag>
      <w:r>
        <w:t>, “</w:t>
      </w:r>
      <w:smartTag w:uri="urn:schemas-microsoft-com:office:smarttags" w:element="metricconverter">
        <w:smartTagPr>
          <w:attr w:name="ProductID" w:val="5”"/>
        </w:smartTagPr>
        <w:r>
          <w:t>5”</w:t>
        </w:r>
      </w:smartTag>
      <w:r>
        <w:t xml:space="preserve"> y “</w:t>
      </w:r>
      <w:smartTag w:uri="urn:schemas-microsoft-com:office:smarttags" w:element="metricconverter">
        <w:smartTagPr>
          <w:attr w:name="ProductID" w:val="6”"/>
        </w:smartTagPr>
        <w:r>
          <w:t>6”</w:t>
        </w:r>
      </w:smartTag>
      <w:r>
        <w:t>; nº 2279, P.B., de Rubén Horacio Crescio, 10%; nº 2281, P.B., del mismo propietario, 10%; nº 2295, piso 1º, de Eduardo Sergio Gi</w:t>
      </w:r>
      <w:r>
        <w:t>e</w:t>
      </w:r>
      <w:r>
        <w:t>lis, 10%; piso 3º, de Elías Schmahl, 12%; piso 5º, dpto. “</w:t>
      </w:r>
      <w:smartTag w:uri="urn:schemas-microsoft-com:office:smarttags" w:element="metricconverter">
        <w:smartTagPr>
          <w:attr w:name="ProductID" w:val="15”"/>
        </w:smartTagPr>
        <w:r>
          <w:t>15”</w:t>
        </w:r>
      </w:smartTag>
      <w:r>
        <w:t>, de Andrés Oscar Manuel Stoppani y de Antonia Emmy Delius, 1%; nros. 2309/2311, P.B. y pisos 1º y 2º, de I</w:t>
      </w:r>
      <w:r>
        <w:t>s</w:t>
      </w:r>
      <w:r>
        <w:t>rael César Bombart, 50%; nº 2312, piso 1º, del mismo pr</w:t>
      </w:r>
      <w:r>
        <w:t>o</w:t>
      </w:r>
      <w:r>
        <w:t>pietario, 40%; nros. 2315/2319, piso 1º, dpto. “B”, de B</w:t>
      </w:r>
      <w:r>
        <w:t>o</w:t>
      </w:r>
      <w:r>
        <w:t>nifacia Josefa Day de Sopena, 5%; piso 2º, dpto. “A”, de Haydee Fariña y Ramón Osuna, 5%; nros. 2314/2316/2320, P.B., de Israel Enrique Dymant y de Jaime Bernardo Silbe</w:t>
      </w:r>
      <w:r>
        <w:t>r</w:t>
      </w:r>
      <w:r>
        <w:t>berg, 60%; nº 2319, P.B., dpto. “B”, de María Elena Parma y de Leonardo Alberto Ca</w:t>
      </w:r>
      <w:r>
        <w:t>s</w:t>
      </w:r>
      <w:r>
        <w:t>tells, 5%; piso 1º, dpto. “A”, de Argentina Fl</w:t>
      </w:r>
      <w:r>
        <w:t>o</w:t>
      </w:r>
      <w:r>
        <w:t>ra Mori de Saraceni y de Julio Saraceni, 8%; piso 2º, dpto. “B”, de Herminio Julio y de Victoria Isabel Buceta, 5%; p</w:t>
      </w:r>
      <w:r>
        <w:t>i</w:t>
      </w:r>
      <w:r>
        <w:t>so 3º, dpto. “A”, de Zunilda Meza, 8%; piso 4º, dpto. “B”, de Agustín Román Naso, 5%; piso 5º, dpto. “B”, de Susana Beatriz Páez de Vázquez, 5%; nros. 2322/2324, P.B., de “A.B. Anchorena Biaus Hnos.”, 20%; P.B. y piso 1º, de María Clara del Corazón de Jesús de A</w:t>
      </w:r>
      <w:r>
        <w:t>n</w:t>
      </w:r>
      <w:r>
        <w:t>chorena de Biaus, 5%; nº 2323, P.B., de Roxana Hilda Wolf y de María Herbstein, 12%; nº 2334, P.B., de la citada A</w:t>
      </w:r>
      <w:r>
        <w:t>n</w:t>
      </w:r>
      <w:r>
        <w:t>chorena de Biaus, 15%; piso 1º, dpto. “D”, de Daniel Ma</w:t>
      </w:r>
      <w:r>
        <w:t>r</w:t>
      </w:r>
      <w:r>
        <w:t>celo Laifer, 12%; dpto. “</w:t>
      </w:r>
      <w:smartTag w:uri="urn:schemas-microsoft-com:office:smarttags" w:element="metricconverter">
        <w:smartTagPr>
          <w:attr w:name="ProductID" w:val="3”"/>
        </w:smartTagPr>
        <w:r>
          <w:t>3”</w:t>
        </w:r>
      </w:smartTag>
      <w:r>
        <w:t>, de Alicia Hebe Basos, 3%; dpto. “</w:t>
      </w:r>
      <w:smartTag w:uri="urn:schemas-microsoft-com:office:smarttags" w:element="metricconverter">
        <w:smartTagPr>
          <w:attr w:name="ProductID" w:val="4”"/>
        </w:smartTagPr>
        <w:r>
          <w:t>4”</w:t>
        </w:r>
      </w:smartTag>
      <w:r>
        <w:t>, de Graciela Leticia F</w:t>
      </w:r>
      <w:r>
        <w:t>i</w:t>
      </w:r>
      <w:r>
        <w:t>lippi, 3%; dpto. “</w:t>
      </w:r>
      <w:smartTag w:uri="urn:schemas-microsoft-com:office:smarttags" w:element="metricconverter">
        <w:smartTagPr>
          <w:attr w:name="ProductID" w:val="5”"/>
        </w:smartTagPr>
        <w:r>
          <w:t>5”</w:t>
        </w:r>
      </w:smartTag>
      <w:r>
        <w:t>, de la citada Basos, 3%; nº 2336, P.B., de la nombrada Anch</w:t>
      </w:r>
      <w:r>
        <w:t>o</w:t>
      </w:r>
      <w:r>
        <w:t>rena de Biaus, 15%; nº 2354, P.B., dpto. “</w:t>
      </w:r>
      <w:smartTag w:uri="urn:schemas-microsoft-com:office:smarttags" w:element="metricconverter">
        <w:smartTagPr>
          <w:attr w:name="ProductID" w:val="3”"/>
        </w:smartTagPr>
        <w:r>
          <w:t>3”</w:t>
        </w:r>
      </w:smartTag>
      <w:r>
        <w:t>, de Nelda Graciela Villarroel Po</w:t>
      </w:r>
      <w:r>
        <w:t>r</w:t>
      </w:r>
      <w:r>
        <w:t>ciel, 1.5%; piso 1º, dpto. “</w:t>
      </w:r>
      <w:smartTag w:uri="urn:schemas-microsoft-com:office:smarttags" w:element="metricconverter">
        <w:smartTagPr>
          <w:attr w:name="ProductID" w:val="3”"/>
        </w:smartTagPr>
        <w:r>
          <w:t>3”</w:t>
        </w:r>
      </w:smartTag>
      <w:r>
        <w:t>, de María del Carmen Fernández, 3%; dpto. “</w:t>
      </w:r>
      <w:smartTag w:uri="urn:schemas-microsoft-com:office:smarttags" w:element="metricconverter">
        <w:smartTagPr>
          <w:attr w:name="ProductID" w:val="4”"/>
        </w:smartTagPr>
        <w:r>
          <w:t>4”</w:t>
        </w:r>
      </w:smartTag>
      <w:r>
        <w:t>, de Eloy Qui</w:t>
      </w:r>
      <w:r>
        <w:t>s</w:t>
      </w:r>
      <w:r>
        <w:t>ber, 3%; piso 2º, dpto. “</w:t>
      </w:r>
      <w:smartTag w:uri="urn:schemas-microsoft-com:office:smarttags" w:element="metricconverter">
        <w:smartTagPr>
          <w:attr w:name="ProductID" w:val="5”"/>
        </w:smartTagPr>
        <w:r>
          <w:t>5”</w:t>
        </w:r>
      </w:smartTag>
      <w:r>
        <w:t>, de Francisco José Palma, 6%; dpto. “</w:t>
      </w:r>
      <w:smartTag w:uri="urn:schemas-microsoft-com:office:smarttags" w:element="metricconverter">
        <w:smartTagPr>
          <w:attr w:name="ProductID" w:val="6”"/>
        </w:smartTagPr>
        <w:r>
          <w:t>6”</w:t>
        </w:r>
      </w:smartTag>
      <w:r>
        <w:t>, de Jorge O</w:t>
      </w:r>
      <w:r>
        <w:t>s</w:t>
      </w:r>
      <w:r>
        <w:t>car Romero, 4%; nº 2360, P.B., pisos 1º y 2º, de Dora Walfisch, 20%; nº 2362, piso 1º, dpto. “C”, de Luis Levy, 3%; nº 2365, P.B., de “Frimer SAC”, 7%; nº 2366, piso 2º, dpto. “B”, de Berta Kleiman de Susel, 10%; dpto. “C”, de Graciela Zulema Califa, 3%; piso 3º, dpto. “B”, de Luisa Azserzon, 6%; dpto. “C”, de Roberto Liber, 8%; piso 4º, dpto. “B”, de Adrián Ricardo César Brykman, 8%; piso 5º, dpto. “B”, de Teresa Koltun, 6%; p</w:t>
      </w:r>
      <w:r>
        <w:t>i</w:t>
      </w:r>
      <w:r>
        <w:t>so 6º, dpto. “A”, Leonardo León Zechin, 8%; dpto. “B”, de Eva Popovski de Sztycberg, 4%; piso 7º, dpto. “B”, de Gu</w:t>
      </w:r>
      <w:r>
        <w:t>s</w:t>
      </w:r>
      <w:r>
        <w:t>tavo Jorge Vilches, 6%; piso 8º, dptos. “A” y “B”, de Si</w:t>
      </w:r>
      <w:r>
        <w:t>l</w:t>
      </w:r>
      <w:r>
        <w:t>via Laura M</w:t>
      </w:r>
      <w:r>
        <w:t>a</w:t>
      </w:r>
      <w:r>
        <w:t>riana Rubio de Bruno, 5%; piso 9º, dpto. “A”, de Abraham Wiskitski, 8%; dpto. “B”, de Marcelo Antonio Plana, 6%; nº 2374, piso 9º, dpto. “A”, de Catalina L. Fradkin, 2%; nº 2383, de Diana Papatheodorou, 3%; nº 2386, P.B., de “Logical S.A.”, 20%; nº 2402, P.B., de Federico Julio Repetto, 2,5%; nº 2408, pisos 1º y 2º, de Federico Julio Repetto, 0.5%; nº 2429, piso 8º, dpto. “</w:t>
      </w:r>
      <w:smartTag w:uri="urn:schemas-microsoft-com:office:smarttags" w:element="metricconverter">
        <w:smartTagPr>
          <w:attr w:name="ProductID" w:val="9”"/>
        </w:smartTagPr>
        <w:r>
          <w:t>9”</w:t>
        </w:r>
      </w:smartTag>
      <w:r>
        <w:t>, de Rubén Edmundo Gómez, 2%; nº 2431, P.B., de Juan Apkarian, 12% y nros. 2465/2469, P.B., de Angél</w:t>
      </w:r>
      <w:r>
        <w:t>i</w:t>
      </w:r>
      <w:r>
        <w:t>ca Juana Riccardi, 12%;</w:t>
      </w:r>
    </w:p>
    <w:p w:rsidR="00224567" w:rsidRDefault="00224567">
      <w:pPr>
        <w:widowControl w:val="0"/>
      </w:pPr>
      <w:r>
        <w:tab/>
      </w:r>
      <w:r>
        <w:tab/>
        <w:t>i) Finalmente, sobre las fincas ubic</w:t>
      </w:r>
      <w:r>
        <w:t>a</w:t>
      </w:r>
      <w:r>
        <w:t>das en las siguientes nomenclaturas catastrales: Larrea 689, P.B., de Rubén Tahmazian, 1,5%; Lavalle 2262, piso 2º, dpto. “A”, de Paulina Wolczanski de Hakin, 1% y Córd</w:t>
      </w:r>
      <w:r>
        <w:t>o</w:t>
      </w:r>
      <w:r>
        <w:t>ba 2234, pisos 2º y 3º (hotel), de Francisco Emilio Cas</w:t>
      </w:r>
      <w:r>
        <w:t>a</w:t>
      </w:r>
      <w:r>
        <w:t>dey, 2%.</w:t>
      </w:r>
    </w:p>
    <w:p w:rsidR="00224567" w:rsidRDefault="00224567">
      <w:pPr>
        <w:widowControl w:val="0"/>
      </w:pPr>
      <w:r>
        <w:tab/>
      </w:r>
      <w:r>
        <w:tab/>
        <w:t>Que también se constataron daños en los automotores que, al momento de la explosión, circul</w:t>
      </w:r>
      <w:r>
        <w:t>a</w:t>
      </w:r>
      <w:r>
        <w:t>ban o estaban estacionados en las inmediaciones de la m</w:t>
      </w:r>
      <w:r>
        <w:t>u</w:t>
      </w:r>
      <w:r>
        <w:t>tual judía, según el siguiente detalle: Renault 20, dom</w:t>
      </w:r>
      <w:r>
        <w:t>i</w:t>
      </w:r>
      <w:r>
        <w:t>nio B-1.849.153, propiedad de Daniel Joffe, que se hallaba cruzado sobre la calzada, en un ángulo aproximado de 40 grados,</w:t>
      </w:r>
      <w:r>
        <w:rPr>
          <w:b/>
        </w:rPr>
        <w:t xml:space="preserve"> </w:t>
      </w:r>
      <w:r>
        <w:t>a la altura del 645 de la calle Pasteur; Peugeot 405, dominio C-1.637.008, propiedad de Isidro Horacio Ne</w:t>
      </w:r>
      <w:r>
        <w:t>u</w:t>
      </w:r>
      <w:r>
        <w:t>ah, que transitaba por la calle Pasteur; Dodge 1500, dom</w:t>
      </w:r>
      <w:r>
        <w:t>i</w:t>
      </w:r>
      <w:r>
        <w:t>nio B-1431.446, propiedad de Miguel Ángel Rodríguez, que estaba estacionado frente al edif</w:t>
      </w:r>
      <w:r>
        <w:t>i</w:t>
      </w:r>
      <w:r>
        <w:t>cio de Pasteur 611; Ford F-100, dominio B-1.515.312, propiedad de Juan Carlos T</w:t>
      </w:r>
      <w:r>
        <w:t>e</w:t>
      </w:r>
      <w:r>
        <w:t>rranova, estacionado a la altura del nº 657 de la calle Pasteur; R</w:t>
      </w:r>
      <w:r>
        <w:t>e</w:t>
      </w:r>
      <w:r>
        <w:t>nault 18, dominio C-1.575.694, patrullero de la comis</w:t>
      </w:r>
      <w:r>
        <w:t>a</w:t>
      </w:r>
      <w:r>
        <w:t>ría 7ª, interno nº 6127, parado frente al nº 621 de la calle Pasteur y el interno 114 de la línea 75, conduc</w:t>
      </w:r>
      <w:r>
        <w:t>i</w:t>
      </w:r>
      <w:r>
        <w:t>do por Juan Segundo Canale, que quedó detenido en la i</w:t>
      </w:r>
      <w:r>
        <w:t>n</w:t>
      </w:r>
      <w:r>
        <w:t>tersección de Tucumán y Pasteur.</w:t>
      </w:r>
    </w:p>
    <w:p w:rsidR="00224567" w:rsidRDefault="00224567">
      <w:pPr>
        <w:widowControl w:val="0"/>
      </w:pPr>
      <w:r>
        <w:tab/>
      </w:r>
      <w:r>
        <w:tab/>
        <w:t>Estos extremos encuentran su</w:t>
      </w:r>
      <w:r>
        <w:t>s</w:t>
      </w:r>
      <w:r>
        <w:t>tento en el informe confeccionado por el entonces principal Helgu</w:t>
      </w:r>
      <w:r>
        <w:t>e</w:t>
      </w:r>
      <w:r>
        <w:t>ro, agregado a fs. 343/384 y sus fotografías del anexo “X”; en el informe de la empresa de tran</w:t>
      </w:r>
      <w:r>
        <w:t>s</w:t>
      </w:r>
      <w:r>
        <w:t>portes “El Puente S.A.”, obrante a fs. 615/616 del legajo de instrucción s</w:t>
      </w:r>
      <w:r>
        <w:t>u</w:t>
      </w:r>
      <w:r>
        <w:t>pleme</w:t>
      </w:r>
      <w:r>
        <w:t>n</w:t>
      </w:r>
      <w:r>
        <w:t>taria; en las fotografías recibidas a fs. 95.862 del principal y en los testimonios de Daniel Joffe, Horacio Neuah, Miguel Ángel Rodríguez, Ana Dora Eiriz de Rodr</w:t>
      </w:r>
      <w:r>
        <w:t>í</w:t>
      </w:r>
      <w:r>
        <w:t>guez, Juan Sergio Terranova, Adolfo Guido Guzmán, Jorge Eduardo Bordón y Juan Segundo Can</w:t>
      </w:r>
      <w:r>
        <w:t>a</w:t>
      </w:r>
      <w:r>
        <w:t>le.</w:t>
      </w:r>
    </w:p>
    <w:p w:rsidR="00224567" w:rsidRDefault="00224567">
      <w:pPr>
        <w:widowControl w:val="0"/>
        <w:rPr>
          <w:lang w:val="es-ES_tradnl"/>
        </w:rPr>
      </w:pPr>
      <w:r>
        <w:rPr>
          <w:lang w:val="es-ES_tradnl"/>
        </w:rPr>
        <w:tab/>
      </w:r>
      <w:r>
        <w:rPr>
          <w:b/>
          <w:bCs/>
          <w:lang w:val="es-ES_tradnl"/>
        </w:rPr>
        <w:t>A.10)</w:t>
      </w:r>
      <w:r>
        <w:rPr>
          <w:lang w:val="es-ES_tradnl"/>
        </w:rPr>
        <w:t xml:space="preserve"> Que, de acuerdo a lo expresado al inicio del pr</w:t>
      </w:r>
      <w:r>
        <w:rPr>
          <w:lang w:val="es-ES_tradnl"/>
        </w:rPr>
        <w:t>e</w:t>
      </w:r>
      <w:r>
        <w:rPr>
          <w:lang w:val="es-ES_tradnl"/>
        </w:rPr>
        <w:t>sente capítulo, también se acreditó en el debate, de manera fehaciente, que la carga explosiva det</w:t>
      </w:r>
      <w:r>
        <w:rPr>
          <w:lang w:val="es-ES_tradnl"/>
        </w:rPr>
        <w:t>o</w:t>
      </w:r>
      <w:r>
        <w:rPr>
          <w:lang w:val="es-ES_tradnl"/>
        </w:rPr>
        <w:t>nó en el interior de un vehículo utilitario Renault Tr</w:t>
      </w:r>
      <w:r>
        <w:rPr>
          <w:lang w:val="es-ES_tradnl"/>
        </w:rPr>
        <w:t>a</w:t>
      </w:r>
      <w:r>
        <w:rPr>
          <w:lang w:val="es-ES_tradnl"/>
        </w:rPr>
        <w:t>fic, en circunstancias en que éste se aproximó por la c</w:t>
      </w:r>
      <w:r>
        <w:rPr>
          <w:lang w:val="es-ES_tradnl"/>
        </w:rPr>
        <w:t>a</w:t>
      </w:r>
      <w:r>
        <w:rPr>
          <w:lang w:val="es-ES_tradnl"/>
        </w:rPr>
        <w:t>lle Pasteur hasta el portón de ingreso al edificio, situ</w:t>
      </w:r>
      <w:r>
        <w:rPr>
          <w:lang w:val="es-ES_tradnl"/>
        </w:rPr>
        <w:t>a</w:t>
      </w:r>
      <w:r>
        <w:rPr>
          <w:lang w:val="es-ES_tradnl"/>
        </w:rPr>
        <w:t>do en el 633 de la mencionada art</w:t>
      </w:r>
      <w:r>
        <w:rPr>
          <w:lang w:val="es-ES_tradnl"/>
        </w:rPr>
        <w:t>e</w:t>
      </w:r>
      <w:r>
        <w:rPr>
          <w:lang w:val="es-ES_tradnl"/>
        </w:rPr>
        <w:t>ria.</w:t>
      </w:r>
    </w:p>
    <w:p w:rsidR="00224567" w:rsidRDefault="00224567">
      <w:pPr>
        <w:widowControl w:val="0"/>
      </w:pPr>
      <w:r>
        <w:rPr>
          <w:lang w:val="es-ES_tradnl"/>
        </w:rPr>
        <w:tab/>
      </w:r>
      <w:r>
        <w:tab/>
        <w:t>Tal aserto encuentra sustento, fund</w:t>
      </w:r>
      <w:r>
        <w:t>a</w:t>
      </w:r>
      <w:r>
        <w:t>mentalme</w:t>
      </w:r>
      <w:r>
        <w:t>n</w:t>
      </w:r>
      <w:r>
        <w:t>te, en el hallazgo en el lugar del hecho y en sus proximidades, de piezas mecánicas que se c</w:t>
      </w:r>
      <w:r>
        <w:t>o</w:t>
      </w:r>
      <w:r>
        <w:t>rrespondían con una camioneta de la marca y modelo de mención; hallazgos que también se verificaron al efectuarse una revisión de los escombros y demás objetos recogidos en la calle Pa</w:t>
      </w:r>
      <w:r>
        <w:t>s</w:t>
      </w:r>
      <w:r>
        <w:t>teur al 600 y zonas aled</w:t>
      </w:r>
      <w:r>
        <w:t>a</w:t>
      </w:r>
      <w:r>
        <w:t>ñas, trasladados, desde un primer momento, a terrenos ubicados detrás de la llamada Ciudad Un</w:t>
      </w:r>
      <w:r>
        <w:t>i</w:t>
      </w:r>
      <w:r>
        <w:t xml:space="preserve">versitaria, en </w:t>
      </w:r>
      <w:smartTag w:uri="urn:schemas-microsoft-com:office:smarttags" w:element="PersonName">
        <w:smartTagPr>
          <w:attr w:name="ProductID" w:val="la Costanera Norte"/>
        </w:smartTagPr>
        <w:r>
          <w:t>la Costanera Norte</w:t>
        </w:r>
      </w:smartTag>
      <w:r>
        <w:t xml:space="preserve"> de esta ciudad.</w:t>
      </w:r>
    </w:p>
    <w:p w:rsidR="00224567" w:rsidRDefault="00224567">
      <w:pPr>
        <w:widowControl w:val="0"/>
      </w:pPr>
      <w:r>
        <w:tab/>
      </w:r>
      <w:r>
        <w:tab/>
        <w:t>A ello deben sumarse los eleme</w:t>
      </w:r>
      <w:r>
        <w:t>n</w:t>
      </w:r>
      <w:r>
        <w:t xml:space="preserve">tos que se encuentran depositados en </w:t>
      </w:r>
      <w:smartTag w:uri="urn:schemas-microsoft-com:office:smarttags" w:element="PersonName">
        <w:smartTagPr>
          <w:attr w:name="ProductID" w:val="la Superintendencia Federal"/>
        </w:smartTagPr>
        <w:r>
          <w:t>la Superintendencia Federal</w:t>
        </w:r>
      </w:smartTag>
      <w:r>
        <w:t xml:space="preserve"> de Bomberos de </w:t>
      </w:r>
      <w:smartTag w:uri="urn:schemas-microsoft-com:office:smarttags" w:element="PersonName">
        <w:smartTagPr>
          <w:attr w:name="ProductID" w:val="la Polic￭a Federal"/>
        </w:smartTagPr>
        <w:r>
          <w:t>la Policía Federal</w:t>
        </w:r>
      </w:smartTag>
      <w:r>
        <w:t xml:space="preserve"> Argent</w:t>
      </w:r>
      <w:r>
        <w:t>i</w:t>
      </w:r>
      <w:r>
        <w:t>na, fotografiados a fs. 67/115 del Informe Preliminar y a fs. 78/86 del I</w:t>
      </w:r>
      <w:r>
        <w:t>n</w:t>
      </w:r>
      <w:r>
        <w:t>forme Final, ambos elaborados por el Departamento Explos</w:t>
      </w:r>
      <w:r>
        <w:t>i</w:t>
      </w:r>
      <w:r>
        <w:t>vos y Riesgos Especiales de la me</w:t>
      </w:r>
      <w:r>
        <w:t>n</w:t>
      </w:r>
      <w:r>
        <w:t>cionada institución y a fs. 14.305/14.313 del principal; las actas de secuestro obrantes a fs. 166/223 y 225/232 del Informe Prel</w:t>
      </w:r>
      <w:r>
        <w:t>i</w:t>
      </w:r>
      <w:r>
        <w:t>minar y a fs. 5 y 7/8 del Informe Final; las diligencias de rec</w:t>
      </w:r>
      <w:r>
        <w:t>o</w:t>
      </w:r>
      <w:r>
        <w:t>nocimiento de piezas por parte de los técnicos de la “Co</w:t>
      </w:r>
      <w:r>
        <w:t>m</w:t>
      </w:r>
      <w:r>
        <w:t>pañía Interamericana de Automóviles S.A.” (CIADEA S.A.), únicos fabricantes en el país de vehículos Renault, efe</w:t>
      </w:r>
      <w:r>
        <w:t>c</w:t>
      </w:r>
      <w:r>
        <w:t>tuadas a fs. 24, 30, 32, 36, 38 y 42 del Informe Prelim</w:t>
      </w:r>
      <w:r>
        <w:t>i</w:t>
      </w:r>
      <w:r>
        <w:t>nar, fs. 9 del Informe Final y fs. 14.320/14.321 del pri</w:t>
      </w:r>
      <w:r>
        <w:t>n</w:t>
      </w:r>
      <w:r>
        <w:t>cipal; el análisis de las piezas secuestradas, realizado por la me</w:t>
      </w:r>
      <w:r>
        <w:t>n</w:t>
      </w:r>
      <w:r>
        <w:t>cionada empresa a fs. 33/37 del Informe Final y su identificación, según los catálogos de fábrica del vehículo Renault Trafic, obrantes a fs. 119/165 del Info</w:t>
      </w:r>
      <w:r>
        <w:t>r</w:t>
      </w:r>
      <w:r>
        <w:t>me Preliminar, fs. 88/105 del Informe Final y fs. 14.314/14.319 del principal.</w:t>
      </w:r>
    </w:p>
    <w:p w:rsidR="00224567" w:rsidRDefault="00224567">
      <w:pPr>
        <w:widowControl w:val="0"/>
      </w:pPr>
      <w:r>
        <w:tab/>
      </w:r>
      <w:r>
        <w:tab/>
        <w:t>Asimismo, las declaraciones testim</w:t>
      </w:r>
      <w:r>
        <w:t>o</w:t>
      </w:r>
      <w:r>
        <w:t>niales de Mauricio Adrián Barrera, Juan Dante Falzarano, Luis Alberto Álvarez, Gustavo Alejandro Varela Gómez, Jo</w:t>
      </w:r>
      <w:r>
        <w:t>r</w:t>
      </w:r>
      <w:r>
        <w:t>ge Enrique Solano, Claudio Luis K</w:t>
      </w:r>
      <w:r>
        <w:t>i</w:t>
      </w:r>
      <w:r>
        <w:t>rianovicz, Horacio Ángel Lopardo, Carlos Enrique Quinteros, Carlos Ruiz Huidobro, Raúl Arbor, Marcelo Debiassi, Guillermo Daniel Ceballos, Raúl Aníbal Varela, Omar Edgardo Castro, Alberto Tomás Scalise, Rubén Alberto Nieto, César Ramón Gómez, Aroldo Salatino, Juan Carlos Zottarelli y Félix Alberto Estévez, todos int</w:t>
      </w:r>
      <w:r>
        <w:t>e</w:t>
      </w:r>
      <w:r>
        <w:t>grantes del mentado Departamento de Explosivos y Riesgos Especiales, así como los de Eduardo Alberto Fe</w:t>
      </w:r>
      <w:r>
        <w:t>r</w:t>
      </w:r>
      <w:r>
        <w:t>nández, Daniel Villagra, Juan Sabino López, Luis Benito Arias, José Mendoza, David Tomás González Espinoza, Robe</w:t>
      </w:r>
      <w:r>
        <w:t>r</w:t>
      </w:r>
      <w:r>
        <w:t>to O</w:t>
      </w:r>
      <w:r>
        <w:t>r</w:t>
      </w:r>
      <w:r>
        <w:t xml:space="preserve">tiz, José Jorge Santillán y Marcelo Daniel Soria y de los preventores Miguel Ángel Castro, Walter Ostapowicz y </w:t>
      </w:r>
      <w:r>
        <w:rPr>
          <w:bCs/>
        </w:rPr>
        <w:t>Claudio Alberto Camarero,</w:t>
      </w:r>
      <w:r>
        <w:rPr>
          <w:b/>
        </w:rPr>
        <w:t xml:space="preserve"> </w:t>
      </w:r>
      <w:r>
        <w:t>dieron cuenta del hallazgo de autopartes o fragmentos de ellas, correspondientes a un automóvil Renault Trafic, en las circunstancias de tiempo, modo y lugar indicados a continuación (a fin de evitar  reiteraciones innecesarias, las fojas citadas en los ac</w:t>
      </w:r>
      <w:r>
        <w:t>á</w:t>
      </w:r>
      <w:r>
        <w:t>pites 2 al 65 corresponden al Informe Preliminar del me</w:t>
      </w:r>
      <w:r>
        <w:t>n</w:t>
      </w:r>
      <w:r>
        <w:t>cionado Departamento Explosivos y Riesgos Especi</w:t>
      </w:r>
      <w:r>
        <w:t>a</w:t>
      </w:r>
      <w:r>
        <w:t>les):</w:t>
      </w:r>
    </w:p>
    <w:p w:rsidR="00224567" w:rsidRDefault="00224567">
      <w:pPr>
        <w:widowControl w:val="0"/>
      </w:pPr>
      <w:r>
        <w:tab/>
        <w:t>1.- Acta de fs. 166, suscripta por el subinspector Mauricio Adrián Barrera, dando cuenta del h</w:t>
      </w:r>
      <w:r>
        <w:t>a</w:t>
      </w:r>
      <w:r>
        <w:t xml:space="preserve">llazgo, el 18 de julio de </w:t>
      </w:r>
      <w:smartTag w:uri="urn:schemas-microsoft-com:office:smarttags" w:element="metricconverter">
        <w:smartTagPr>
          <w:attr w:name="ProductID" w:val="1994, a"/>
        </w:smartTagPr>
        <w:r>
          <w:t>1994, a</w:t>
        </w:r>
      </w:smartTag>
      <w:r>
        <w:t xml:space="preserve"> las 11.45, entre los e</w:t>
      </w:r>
      <w:r>
        <w:t>s</w:t>
      </w:r>
      <w:r>
        <w:t xml:space="preserve">combros que se encontraban en la vereda opuesta a </w:t>
      </w:r>
      <w:smartTag w:uri="urn:schemas-microsoft-com:office:smarttags" w:element="PersonName">
        <w:smartTagPr>
          <w:attr w:name="ProductID" w:val="la A.M"/>
        </w:smartTagPr>
        <w:r>
          <w:t>la A.M</w:t>
        </w:r>
      </w:smartTag>
      <w:r>
        <w:t>.I.A., de una pieza metálica deformada que par</w:t>
      </w:r>
      <w:r>
        <w:t>e</w:t>
      </w:r>
      <w:r>
        <w:t>cía ser un elástico con soporte y restos de chapa de un autom</w:t>
      </w:r>
      <w:r>
        <w:t>o</w:t>
      </w:r>
      <w:r>
        <w:t>tor.</w:t>
      </w:r>
    </w:p>
    <w:p w:rsidR="00224567" w:rsidRDefault="00224567">
      <w:pPr>
        <w:widowControl w:val="0"/>
      </w:pPr>
      <w:r>
        <w:tab/>
        <w:t>2.- Acta de fs. 167, suscripta por el mismo funcionario, dando cuenta del secue</w:t>
      </w:r>
      <w:r>
        <w:t>s</w:t>
      </w:r>
      <w:r>
        <w:t>tro, en el mismo día y lugar, a las 12.00, de una pieza metálica con rul</w:t>
      </w:r>
      <w:r>
        <w:t>e</w:t>
      </w:r>
      <w:r>
        <w:t>mán, posiblemente perten</w:t>
      </w:r>
      <w:r>
        <w:t>e</w:t>
      </w:r>
      <w:r>
        <w:t>ciente al soporte de una punta de eje.</w:t>
      </w:r>
    </w:p>
    <w:p w:rsidR="00224567" w:rsidRDefault="00224567">
      <w:pPr>
        <w:widowControl w:val="0"/>
      </w:pPr>
      <w:r>
        <w:tab/>
        <w:t>3.- Acta de fs. 168, suscripta por el inspector Juan Dante Falzarano, en la que refiere el h</w:t>
      </w:r>
      <w:r>
        <w:t>a</w:t>
      </w:r>
      <w:r>
        <w:t xml:space="preserve">llazgo, el 18 de julio de </w:t>
      </w:r>
      <w:smartTag w:uri="urn:schemas-microsoft-com:office:smarttags" w:element="metricconverter">
        <w:smartTagPr>
          <w:attr w:name="ProductID" w:val="1994, a"/>
        </w:smartTagPr>
        <w:r>
          <w:t>1994, a</w:t>
        </w:r>
      </w:smartTag>
      <w:r>
        <w:t xml:space="preserve"> las 13.00, en proximid</w:t>
      </w:r>
      <w:r>
        <w:t>a</w:t>
      </w:r>
      <w:r>
        <w:t>des de la intersección de las c</w:t>
      </w:r>
      <w:r>
        <w:t>a</w:t>
      </w:r>
      <w:r>
        <w:t>lles Pasteur y Tucumán, de dos piezas metálicas que, a primera vista, aparentaban i</w:t>
      </w:r>
      <w:r>
        <w:t>n</w:t>
      </w:r>
      <w:r>
        <w:t>tegrar un paquete de elásticos de un r</w:t>
      </w:r>
      <w:r>
        <w:t>o</w:t>
      </w:r>
      <w:r>
        <w:t>dado.</w:t>
      </w:r>
    </w:p>
    <w:p w:rsidR="00224567" w:rsidRDefault="00224567">
      <w:pPr>
        <w:widowControl w:val="0"/>
      </w:pPr>
      <w:r>
        <w:tab/>
        <w:t>4.- Acta de fs. 169, suscripta por el subinspector Mauricio Barrera, dando cuenta del halla</w:t>
      </w:r>
      <w:r>
        <w:t>z</w:t>
      </w:r>
      <w:r>
        <w:t xml:space="preserve">go, el 18 de julio de </w:t>
      </w:r>
      <w:smartTag w:uri="urn:schemas-microsoft-com:office:smarttags" w:element="metricconverter">
        <w:smartTagPr>
          <w:attr w:name="ProductID" w:val="1994, a"/>
        </w:smartTagPr>
        <w:r>
          <w:t>1994, a</w:t>
        </w:r>
      </w:smartTag>
      <w:r>
        <w:t xml:space="preserve"> las 13.30, en el interior del edificio de la mutual, de una pieza metálica, sim</w:t>
      </w:r>
      <w:r>
        <w:t>i</w:t>
      </w:r>
      <w:r>
        <w:t>lar a un trozo de masa, que ll</w:t>
      </w:r>
      <w:r>
        <w:t>e</w:t>
      </w:r>
      <w:r>
        <w:t>vaba estampado el nº 914.</w:t>
      </w:r>
    </w:p>
    <w:p w:rsidR="00224567" w:rsidRDefault="00224567">
      <w:pPr>
        <w:widowControl w:val="0"/>
      </w:pPr>
      <w:r>
        <w:tab/>
        <w:t xml:space="preserve">5.- Acta de fs. 170, suscripta por el cabo 1º Luis Alberto Álvarez, reflejando el hallazgo, el 18 de julio de </w:t>
      </w:r>
      <w:smartTag w:uri="urn:schemas-microsoft-com:office:smarttags" w:element="metricconverter">
        <w:smartTagPr>
          <w:attr w:name="ProductID" w:val="1994, a"/>
        </w:smartTagPr>
        <w:r>
          <w:t>1994, a</w:t>
        </w:r>
      </w:smartTag>
      <w:r>
        <w:t xml:space="preserve"> las 17.00, en el interior del ed</w:t>
      </w:r>
      <w:r>
        <w:t>i</w:t>
      </w:r>
      <w:r>
        <w:t>ficio de la mutual, de un trozo de hierro perteneciente, en apariencia, a partes de la tracción de un vehículo.</w:t>
      </w:r>
    </w:p>
    <w:p w:rsidR="00224567" w:rsidRDefault="00224567">
      <w:pPr>
        <w:widowControl w:val="0"/>
      </w:pPr>
      <w:r>
        <w:tab/>
        <w:t>6.- Acta de fs. 171, suscripta por el subinspector Gust</w:t>
      </w:r>
      <w:r>
        <w:t>a</w:t>
      </w:r>
      <w:r>
        <w:t xml:space="preserve">vo Alejandro Varela Gómez, dando cuenta del secuestro, el 18 de julio de </w:t>
      </w:r>
      <w:smartTag w:uri="urn:schemas-microsoft-com:office:smarttags" w:element="metricconverter">
        <w:smartTagPr>
          <w:attr w:name="ProductID" w:val="1994, a"/>
        </w:smartTagPr>
        <w:r>
          <w:t>1994, a</w:t>
        </w:r>
      </w:smartTag>
      <w:r>
        <w:t xml:space="preserve"> las 17.15, en las escaleras de un local ubicado frente al edificio sinie</w:t>
      </w:r>
      <w:r>
        <w:t>s</w:t>
      </w:r>
      <w:r>
        <w:t>trado, de un cilindro de metal, similar a un tren rodante de autom</w:t>
      </w:r>
      <w:r>
        <w:t>ó</w:t>
      </w:r>
      <w:r>
        <w:t>vil.</w:t>
      </w:r>
    </w:p>
    <w:p w:rsidR="00224567" w:rsidRDefault="00224567">
      <w:pPr>
        <w:widowControl w:val="0"/>
      </w:pPr>
      <w:r>
        <w:tab/>
        <w:t>7.- Acta de fs. 172, suscripta por el principal Jorge Enrique Solano, dando cuenta del secue</w:t>
      </w:r>
      <w:r>
        <w:t>s</w:t>
      </w:r>
      <w:r>
        <w:t xml:space="preserve">tro, el 18 de julio de </w:t>
      </w:r>
      <w:smartTag w:uri="urn:schemas-microsoft-com:office:smarttags" w:element="metricconverter">
        <w:smartTagPr>
          <w:attr w:name="ProductID" w:val="1994, a"/>
        </w:smartTagPr>
        <w:r>
          <w:t>1994, a</w:t>
        </w:r>
      </w:smartTag>
      <w:r>
        <w:t xml:space="preserve"> las 19.30, entre los esco</w:t>
      </w:r>
      <w:r>
        <w:t>m</w:t>
      </w:r>
      <w:r>
        <w:t xml:space="preserve">bros existentes en interior de </w:t>
      </w:r>
      <w:smartTag w:uri="urn:schemas-microsoft-com:office:smarttags" w:element="PersonName">
        <w:smartTagPr>
          <w:attr w:name="ProductID" w:val="la A.M"/>
        </w:smartTagPr>
        <w:r>
          <w:t>la A.M</w:t>
        </w:r>
      </w:smartTag>
      <w:r>
        <w:t>.I.A., parte ce</w:t>
      </w:r>
      <w:r>
        <w:t>n</w:t>
      </w:r>
      <w:r>
        <w:t>tral, de un trozo de metal que podría pertenecer a un v</w:t>
      </w:r>
      <w:r>
        <w:t>e</w:t>
      </w:r>
      <w:r>
        <w:t>hículo.</w:t>
      </w:r>
    </w:p>
    <w:p w:rsidR="00224567" w:rsidRDefault="00224567">
      <w:pPr>
        <w:widowControl w:val="0"/>
      </w:pPr>
      <w:r>
        <w:tab/>
        <w:t>8.- Acta de fs. 173, suscripta por el subinspector Claudio Luis Kirianovicz, referida al halla</w:t>
      </w:r>
      <w:r>
        <w:t>z</w:t>
      </w:r>
      <w:r>
        <w:t xml:space="preserve">go, el 18 de julio de </w:t>
      </w:r>
      <w:smartTag w:uri="urn:schemas-microsoft-com:office:smarttags" w:element="metricconverter">
        <w:smartTagPr>
          <w:attr w:name="ProductID" w:val="1994, a"/>
        </w:smartTagPr>
        <w:r>
          <w:t>1994, a</w:t>
        </w:r>
      </w:smartTag>
      <w:r>
        <w:t xml:space="preserve"> las 13.00, frente al nº 2395 de la calle Tucumán, de un trozo de llanta totalmente d</w:t>
      </w:r>
      <w:r>
        <w:t>e</w:t>
      </w:r>
      <w:r>
        <w:t>formado.</w:t>
      </w:r>
    </w:p>
    <w:p w:rsidR="00224567" w:rsidRDefault="00224567">
      <w:pPr>
        <w:widowControl w:val="0"/>
      </w:pPr>
      <w:r>
        <w:tab/>
        <w:t>9.- Acta de fs. 174, suscripta por el mencionado subin</w:t>
      </w:r>
      <w:r>
        <w:t>s</w:t>
      </w:r>
      <w:r>
        <w:t xml:space="preserve">pector, dando cuenta del hallazgo, el 18 de julio de </w:t>
      </w:r>
      <w:smartTag w:uri="urn:schemas-microsoft-com:office:smarttags" w:element="metricconverter">
        <w:smartTagPr>
          <w:attr w:name="ProductID" w:val="1994, a"/>
        </w:smartTagPr>
        <w:r>
          <w:t>1994, a</w:t>
        </w:r>
      </w:smartTag>
      <w:r>
        <w:t xml:space="preserve"> las 13.30, s</w:t>
      </w:r>
      <w:r>
        <w:t>o</w:t>
      </w:r>
      <w:r>
        <w:t>bre la acera de la calle Pasteur a la altura del nº 630, de un trozo de metal c</w:t>
      </w:r>
      <w:r>
        <w:t>i</w:t>
      </w:r>
      <w:r>
        <w:t>líndrico, compacto, con filetes de rosca en un extremo, similar a la punta de eje de un vehículo.</w:t>
      </w:r>
    </w:p>
    <w:p w:rsidR="00224567" w:rsidRDefault="00224567">
      <w:pPr>
        <w:widowControl w:val="0"/>
      </w:pPr>
      <w:r>
        <w:tab/>
        <w:t>10.- Acta de fs. 175, suscripta ta</w:t>
      </w:r>
      <w:r>
        <w:t>m</w:t>
      </w:r>
      <w:r>
        <w:t xml:space="preserve">bién por el subinspector arriba mencionado, referida al hallazgo, el 18 de julio de </w:t>
      </w:r>
      <w:smartTag w:uri="urn:schemas-microsoft-com:office:smarttags" w:element="metricconverter">
        <w:smartTagPr>
          <w:attr w:name="ProductID" w:val="1994, a"/>
        </w:smartTagPr>
        <w:r>
          <w:t>1994, a</w:t>
        </w:r>
      </w:smartTag>
      <w:r>
        <w:t xml:space="preserve"> las 14.00, sobre la acera de la calle Viamonte a la a</w:t>
      </w:r>
      <w:r>
        <w:t>l</w:t>
      </w:r>
      <w:r>
        <w:t>tura del nº 2350, de un trozo de metal deformado con tres orificios y un tornillo adosado que ap</w:t>
      </w:r>
      <w:r>
        <w:t>a</w:t>
      </w:r>
      <w:r>
        <w:t>rentaba ser la bisagra de un vehículo.</w:t>
      </w:r>
    </w:p>
    <w:p w:rsidR="00224567" w:rsidRDefault="00224567">
      <w:pPr>
        <w:widowControl w:val="0"/>
      </w:pPr>
      <w:r>
        <w:tab/>
      </w:r>
      <w:r>
        <w:tab/>
        <w:t>11.- Acta de fs. 176, su</w:t>
      </w:r>
      <w:r>
        <w:t>s</w:t>
      </w:r>
      <w:r>
        <w:t>cripta por el subin</w:t>
      </w:r>
      <w:r>
        <w:t>s</w:t>
      </w:r>
      <w:r>
        <w:t xml:space="preserve">pector Gustavo Alejandro Varela Gómez, dando cuenta del hallazgo, el 18 de julio de </w:t>
      </w:r>
      <w:smartTag w:uri="urn:schemas-microsoft-com:office:smarttags" w:element="metricconverter">
        <w:smartTagPr>
          <w:attr w:name="ProductID" w:val="1994, a"/>
        </w:smartTagPr>
        <w:r>
          <w:t>1994, a</w:t>
        </w:r>
      </w:smartTag>
      <w:r>
        <w:t xml:space="preserve"> las 14.20, en el interior del edificio opuesto a </w:t>
      </w:r>
      <w:smartTag w:uri="urn:schemas-microsoft-com:office:smarttags" w:element="PersonName">
        <w:smartTagPr>
          <w:attr w:name="ProductID" w:val="la A.M"/>
        </w:smartTagPr>
        <w:r>
          <w:t>la A.M</w:t>
        </w:r>
      </w:smartTag>
      <w:r>
        <w:t>.I.A., de un trozo de metal que p</w:t>
      </w:r>
      <w:r>
        <w:t>o</w:t>
      </w:r>
      <w:r>
        <w:t>dría pertenecer a un vehículo.</w:t>
      </w:r>
    </w:p>
    <w:p w:rsidR="00224567" w:rsidRDefault="00224567">
      <w:pPr>
        <w:widowControl w:val="0"/>
      </w:pPr>
      <w:r>
        <w:tab/>
        <w:t xml:space="preserve">12.- Acta de fs. 177, suscripta por el subinspector Claudio Luis Kirianovicz, dando cuenta del hallazgo, el 18 de julio de </w:t>
      </w:r>
      <w:smartTag w:uri="urn:schemas-microsoft-com:office:smarttags" w:element="metricconverter">
        <w:smartTagPr>
          <w:attr w:name="ProductID" w:val="1994, a"/>
        </w:smartTagPr>
        <w:r>
          <w:t>1994, a</w:t>
        </w:r>
      </w:smartTag>
      <w:r>
        <w:t xml:space="preserve"> las 14.30, sobre la acera de la calle Pasteur a la altura del 630, de dos tr</w:t>
      </w:r>
      <w:r>
        <w:t>o</w:t>
      </w:r>
      <w:r>
        <w:t>zos de metal, uno de forma circular totalme</w:t>
      </w:r>
      <w:r>
        <w:t>n</w:t>
      </w:r>
      <w:r>
        <w:t>te deformado, similar a un resto de plato de frenos y otro de forma c</w:t>
      </w:r>
      <w:r>
        <w:t>i</w:t>
      </w:r>
      <w:r>
        <w:t>líndrica; parte, al parecer, de un c</w:t>
      </w:r>
      <w:r>
        <w:t>i</w:t>
      </w:r>
      <w:r>
        <w:t>lindro para frenos de un autom</w:t>
      </w:r>
      <w:r>
        <w:t>o</w:t>
      </w:r>
      <w:r>
        <w:t>tor.</w:t>
      </w:r>
    </w:p>
    <w:p w:rsidR="00224567" w:rsidRDefault="00224567">
      <w:pPr>
        <w:widowControl w:val="0"/>
      </w:pPr>
      <w:r>
        <w:tab/>
        <w:t xml:space="preserve">13.- Acta de fs. 178, suscripta por el principal Jorge Enrique Solano, dando cuenta del hallazgo, el 18 de julio de </w:t>
      </w:r>
      <w:smartTag w:uri="urn:schemas-microsoft-com:office:smarttags" w:element="metricconverter">
        <w:smartTagPr>
          <w:attr w:name="ProductID" w:val="1994, a"/>
        </w:smartTagPr>
        <w:r>
          <w:t>1994, a</w:t>
        </w:r>
      </w:smartTag>
      <w:r>
        <w:t xml:space="preserve"> las 15.20, en un local ubicado en la intersección de las calles Pasteur y Tucumán, de un trozo de metal correspondiente, al p</w:t>
      </w:r>
      <w:r>
        <w:t>a</w:t>
      </w:r>
      <w:r>
        <w:t>recer, a un vehículo.</w:t>
      </w:r>
    </w:p>
    <w:p w:rsidR="00224567" w:rsidRDefault="00224567">
      <w:pPr>
        <w:widowControl w:val="0"/>
      </w:pPr>
      <w:r>
        <w:tab/>
        <w:t>14.- Acta de fs. 179, suscripta por el subinspector Mauricio Adrián Barrera, dando cuenta del h</w:t>
      </w:r>
      <w:r>
        <w:t>a</w:t>
      </w:r>
      <w:r>
        <w:t xml:space="preserve">llazgo, el 18 de julio de </w:t>
      </w:r>
      <w:smartTag w:uri="urn:schemas-microsoft-com:office:smarttags" w:element="metricconverter">
        <w:smartTagPr>
          <w:attr w:name="ProductID" w:val="1994, a"/>
        </w:smartTagPr>
        <w:r>
          <w:t>1994, a</w:t>
        </w:r>
      </w:smartTag>
      <w:r>
        <w:t xml:space="preserve"> las 15.30, frente al l</w:t>
      </w:r>
      <w:r>
        <w:t>o</w:t>
      </w:r>
      <w:r>
        <w:t>cal ubicado en la calle Pasteur 685, de una pieza met</w:t>
      </w:r>
      <w:r>
        <w:t>á</w:t>
      </w:r>
      <w:r>
        <w:t>lica deformada similar a un patín de freno de un rodado.</w:t>
      </w:r>
    </w:p>
    <w:p w:rsidR="00224567" w:rsidRDefault="00224567">
      <w:pPr>
        <w:widowControl w:val="0"/>
        <w:rPr>
          <w:b/>
        </w:rPr>
      </w:pPr>
      <w:r>
        <w:tab/>
        <w:t>15.- Acta de fs. 180, suscripta por el mencionado subin</w:t>
      </w:r>
      <w:r>
        <w:t>s</w:t>
      </w:r>
      <w:r>
        <w:t xml:space="preserve">pector, dando cuenta del hallazgo, el 18 de julio de </w:t>
      </w:r>
      <w:smartTag w:uri="urn:schemas-microsoft-com:office:smarttags" w:element="metricconverter">
        <w:smartTagPr>
          <w:attr w:name="ProductID" w:val="1994, a"/>
        </w:smartTagPr>
        <w:r>
          <w:t>1994, a</w:t>
        </w:r>
      </w:smartTag>
      <w:r>
        <w:t xml:space="preserve"> las 15.45, frente al nº 694 de la c</w:t>
      </w:r>
      <w:r>
        <w:t>a</w:t>
      </w:r>
      <w:r>
        <w:t>lle Pasteur, “de una pieza metálica tipo chapa deformada con un orificio posiblemente para acarreo, la cual pert</w:t>
      </w:r>
      <w:r>
        <w:t>e</w:t>
      </w:r>
      <w:r>
        <w:t>necería a un veh</w:t>
      </w:r>
      <w:r>
        <w:t>í</w:t>
      </w:r>
      <w:r>
        <w:t>culo”.</w:t>
      </w:r>
    </w:p>
    <w:p w:rsidR="00224567" w:rsidRDefault="00224567">
      <w:pPr>
        <w:widowControl w:val="0"/>
      </w:pPr>
      <w:r>
        <w:tab/>
        <w:t xml:space="preserve">16.- Acta de fs. 181, suscripta por el principal Jorge Enrique Solano, dando cuenta del hallazgo, el 18 de julio de </w:t>
      </w:r>
      <w:smartTag w:uri="urn:schemas-microsoft-com:office:smarttags" w:element="metricconverter">
        <w:smartTagPr>
          <w:attr w:name="ProductID" w:val="1994, a"/>
        </w:smartTagPr>
        <w:r>
          <w:t>1994, a</w:t>
        </w:r>
      </w:smartTag>
      <w:r>
        <w:t xml:space="preserve"> las 16.45, en un local ubicado frente a </w:t>
      </w:r>
      <w:smartTag w:uri="urn:schemas-microsoft-com:office:smarttags" w:element="PersonName">
        <w:smartTagPr>
          <w:attr w:name="ProductID" w:val="la A.M"/>
        </w:smartTagPr>
        <w:r>
          <w:t>la A.M</w:t>
        </w:r>
      </w:smartTag>
      <w:r>
        <w:t>.I.A., de una pieza metálica que correspo</w:t>
      </w:r>
      <w:r>
        <w:t>n</w:t>
      </w:r>
      <w:r>
        <w:t>dería al tren trasero de un vehículo.</w:t>
      </w:r>
    </w:p>
    <w:p w:rsidR="00224567" w:rsidRDefault="00224567">
      <w:pPr>
        <w:widowControl w:val="0"/>
      </w:pPr>
      <w:r>
        <w:tab/>
        <w:t xml:space="preserve">17.- Acta de fs. 182, suscripta por el inspector Juan Dante Falzarano, dando cuenta del hallazgo, el 18 de julio de </w:t>
      </w:r>
      <w:smartTag w:uri="urn:schemas-microsoft-com:office:smarttags" w:element="metricconverter">
        <w:smartTagPr>
          <w:attr w:name="ProductID" w:val="1994, a"/>
        </w:smartTagPr>
        <w:r>
          <w:t>1994, a</w:t>
        </w:r>
      </w:smartTag>
      <w:r>
        <w:t xml:space="preserve"> las 19.00, entre los escombros ubicados en la acera opuesta a </w:t>
      </w:r>
      <w:smartTag w:uri="urn:schemas-microsoft-com:office:smarttags" w:element="PersonName">
        <w:smartTagPr>
          <w:attr w:name="ProductID" w:val="la A.M"/>
        </w:smartTagPr>
        <w:r>
          <w:t>la A.M</w:t>
        </w:r>
      </w:smartTag>
      <w:r>
        <w:t>.I.A., de dos trozos metálicos que podrían corre</w:t>
      </w:r>
      <w:r>
        <w:t>s</w:t>
      </w:r>
      <w:r>
        <w:t>ponder al elástico trasero de un r</w:t>
      </w:r>
      <w:r>
        <w:t>o</w:t>
      </w:r>
      <w:r>
        <w:t>dado.</w:t>
      </w:r>
    </w:p>
    <w:p w:rsidR="00224567" w:rsidRDefault="00224567">
      <w:pPr>
        <w:widowControl w:val="0"/>
      </w:pPr>
      <w:r>
        <w:tab/>
        <w:t xml:space="preserve">18.- Acta de fs. 183, labrada en </w:t>
      </w:r>
      <w:smartTag w:uri="urn:schemas-microsoft-com:office:smarttags" w:element="PersonName">
        <w:smartTagPr>
          <w:attr w:name="ProductID" w:val="la Morgue Judicial"/>
        </w:smartTagPr>
        <w:r>
          <w:t>la Morgue Judicial</w:t>
        </w:r>
      </w:smartTag>
      <w:r>
        <w:t xml:space="preserve"> por el oficial arriba mencionado, en pr</w:t>
      </w:r>
      <w:r>
        <w:t>e</w:t>
      </w:r>
      <w:r>
        <w:t>sencia del principal Miguel Ángel Castro y de los testigos Eduardo Fernández y Daniel Villagra, dando cuenta del s</w:t>
      </w:r>
      <w:r>
        <w:t>e</w:t>
      </w:r>
      <w:r>
        <w:t xml:space="preserve">cuestro, el 19 de julio de </w:t>
      </w:r>
      <w:smartTag w:uri="urn:schemas-microsoft-com:office:smarttags" w:element="metricconverter">
        <w:smartTagPr>
          <w:attr w:name="ProductID" w:val="1994, a"/>
        </w:smartTagPr>
        <w:r>
          <w:t>1994, a</w:t>
        </w:r>
      </w:smartTag>
      <w:r>
        <w:t xml:space="preserve"> las 00.28, de restos metálicos extraídos de cuerpos de víctimas fatales, como así también de hisopados cutáneos, fragmentos de piel y pelos correspondientes a las autopsias nros. 1621, 1622, 1616, 1629 y 1617.</w:t>
      </w:r>
    </w:p>
    <w:p w:rsidR="00224567" w:rsidRDefault="00224567">
      <w:pPr>
        <w:widowControl w:val="0"/>
      </w:pPr>
      <w:r>
        <w:tab/>
      </w:r>
      <w:r>
        <w:tab/>
        <w:t>19.- Acta de fs. 184, su</w:t>
      </w:r>
      <w:r>
        <w:t>s</w:t>
      </w:r>
      <w:r>
        <w:t xml:space="preserve">cripta por el subinspector Horacio Lopardo, dando cuenta del hallazgo, el 19 de julio de </w:t>
      </w:r>
      <w:smartTag w:uri="urn:schemas-microsoft-com:office:smarttags" w:element="metricconverter">
        <w:smartTagPr>
          <w:attr w:name="ProductID" w:val="1994, a"/>
        </w:smartTagPr>
        <w:r>
          <w:t>1994, a</w:t>
        </w:r>
      </w:smartTag>
      <w:r>
        <w:t xml:space="preserve"> las 10.05, en un dormitorio ub</w:t>
      </w:r>
      <w:r>
        <w:t>i</w:t>
      </w:r>
      <w:r>
        <w:t>cado sobre el lateral izquierdo del primer piso del edif</w:t>
      </w:r>
      <w:r>
        <w:t>i</w:t>
      </w:r>
      <w:r>
        <w:t xml:space="preserve">cio opuesto al de </w:t>
      </w:r>
      <w:smartTag w:uri="urn:schemas-microsoft-com:office:smarttags" w:element="PersonName">
        <w:smartTagPr>
          <w:attr w:name="ProductID" w:val="la A.M"/>
        </w:smartTagPr>
        <w:r>
          <w:t>la A.M</w:t>
        </w:r>
      </w:smartTag>
      <w:r>
        <w:t>.I.A., de un trozo de chapa, al parecer  de  una llanta de autom</w:t>
      </w:r>
      <w:r>
        <w:t>ó</w:t>
      </w:r>
      <w:r>
        <w:t>vil;  de  otro  similar  -abulonado a otro fragmento de chapa- y de dos partes m</w:t>
      </w:r>
      <w:r>
        <w:t>e</w:t>
      </w:r>
      <w:r>
        <w:t>tálicas que serían restos de una camp</w:t>
      </w:r>
      <w:r>
        <w:t>a</w:t>
      </w:r>
      <w:r>
        <w:t>na de freno.</w:t>
      </w:r>
    </w:p>
    <w:p w:rsidR="00224567" w:rsidRDefault="00224567">
      <w:pPr>
        <w:widowControl w:val="0"/>
      </w:pPr>
      <w:r>
        <w:tab/>
      </w:r>
      <w:r>
        <w:tab/>
        <w:t>20.- Acta de fs. 185, su</w:t>
      </w:r>
      <w:r>
        <w:t>s</w:t>
      </w:r>
      <w:r>
        <w:t xml:space="preserve">cripta por el subinspector Carlos Enrique Quinteros, dando cuenta del hallazgo, el 19 de julio de </w:t>
      </w:r>
      <w:smartTag w:uri="urn:schemas-microsoft-com:office:smarttags" w:element="metricconverter">
        <w:smartTagPr>
          <w:attr w:name="ProductID" w:val="1994, a"/>
        </w:smartTagPr>
        <w:r>
          <w:t>1994, a</w:t>
        </w:r>
      </w:smartTag>
      <w:r>
        <w:t xml:space="preserve"> las 10.30, en un do</w:t>
      </w:r>
      <w:r>
        <w:t>r</w:t>
      </w:r>
      <w:r>
        <w:t>mitorio ubicado en el primer piso del inmueble sito en Pasteur 632, de dos trozos de neumát</w:t>
      </w:r>
      <w:r>
        <w:t>i</w:t>
      </w:r>
      <w:r>
        <w:t>cos.</w:t>
      </w:r>
    </w:p>
    <w:p w:rsidR="00224567" w:rsidRDefault="00224567">
      <w:pPr>
        <w:widowControl w:val="0"/>
      </w:pPr>
      <w:r>
        <w:tab/>
        <w:t xml:space="preserve">21.- Acta de fs. 186, suscripta por el subinspector Horacio Lopardo, dando cuenta del hallazgo, el 19 de julio de </w:t>
      </w:r>
      <w:smartTag w:uri="urn:schemas-microsoft-com:office:smarttags" w:element="metricconverter">
        <w:smartTagPr>
          <w:attr w:name="ProductID" w:val="1994, a"/>
        </w:smartTagPr>
        <w:r>
          <w:t>1994, a</w:t>
        </w:r>
      </w:smartTag>
      <w:r>
        <w:t xml:space="preserve"> las 13.17, sobre la acera par de la calle Pasteur, frente a un local de imprenta, de un trozo de metal retorcido sujeto a dos planchuelas de hi</w:t>
      </w:r>
      <w:r>
        <w:t>e</w:t>
      </w:r>
      <w:r>
        <w:t>rro con dos pasad</w:t>
      </w:r>
      <w:r>
        <w:t>o</w:t>
      </w:r>
      <w:r>
        <w:t>res.</w:t>
      </w:r>
    </w:p>
    <w:p w:rsidR="00224567" w:rsidRDefault="00224567">
      <w:pPr>
        <w:widowControl w:val="0"/>
      </w:pPr>
      <w:r>
        <w:tab/>
      </w:r>
      <w:r>
        <w:tab/>
        <w:t>22.- Acta de fs. 187, su</w:t>
      </w:r>
      <w:r>
        <w:t>s</w:t>
      </w:r>
      <w:r>
        <w:t>cripta por el cabo primero Carlos Ruiz Huidobro, dando cuenta del h</w:t>
      </w:r>
      <w:r>
        <w:t>a</w:t>
      </w:r>
      <w:r>
        <w:t xml:space="preserve">llazgo, el 19 de julio de </w:t>
      </w:r>
      <w:smartTag w:uri="urn:schemas-microsoft-com:office:smarttags" w:element="metricconverter">
        <w:smartTagPr>
          <w:attr w:name="ProductID" w:val="1994, a"/>
        </w:smartTagPr>
        <w:r>
          <w:t>1994, a</w:t>
        </w:r>
      </w:smartTag>
      <w:r>
        <w:t xml:space="preserve"> las 16.45, sobre la v</w:t>
      </w:r>
      <w:r>
        <w:t>e</w:t>
      </w:r>
      <w:r>
        <w:t xml:space="preserve">reda frente a </w:t>
      </w:r>
      <w:smartTag w:uri="urn:schemas-microsoft-com:office:smarttags" w:element="PersonName">
        <w:smartTagPr>
          <w:attr w:name="ProductID" w:val="la A.M"/>
        </w:smartTagPr>
        <w:r>
          <w:t>la A.M</w:t>
        </w:r>
      </w:smartTag>
      <w:r>
        <w:t>.I.A., de un trozo de llanta de vehículo.</w:t>
      </w:r>
    </w:p>
    <w:p w:rsidR="00224567" w:rsidRDefault="00224567">
      <w:pPr>
        <w:widowControl w:val="0"/>
      </w:pPr>
      <w:r>
        <w:tab/>
      </w:r>
      <w:r>
        <w:tab/>
        <w:t>23.- Acta de fs. 188, su</w:t>
      </w:r>
      <w:r>
        <w:t>s</w:t>
      </w:r>
      <w:r>
        <w:t>cripta por el principal R</w:t>
      </w:r>
      <w:r>
        <w:t>a</w:t>
      </w:r>
      <w:r>
        <w:t xml:space="preserve">úl Arbor, dando cuenta del hallazgo, el 19 de julio de </w:t>
      </w:r>
      <w:smartTag w:uri="urn:schemas-microsoft-com:office:smarttags" w:element="metricconverter">
        <w:smartTagPr>
          <w:attr w:name="ProductID" w:val="1994, a"/>
        </w:smartTagPr>
        <w:r>
          <w:t>1994, a</w:t>
        </w:r>
      </w:smartTag>
      <w:r>
        <w:t xml:space="preserve"> las 17.00, entre los escombros localiz</w:t>
      </w:r>
      <w:r>
        <w:t>a</w:t>
      </w:r>
      <w:r>
        <w:t xml:space="preserve">dos a la altura de la parte media del subsuelo de </w:t>
      </w:r>
      <w:smartTag w:uri="urn:schemas-microsoft-com:office:smarttags" w:element="PersonName">
        <w:smartTagPr>
          <w:attr w:name="ProductID" w:val="la A.M"/>
        </w:smartTagPr>
        <w:r>
          <w:t>la A.M</w:t>
        </w:r>
      </w:smartTag>
      <w:r>
        <w:t xml:space="preserve">.I.A., a unos </w:t>
      </w:r>
      <w:smartTag w:uri="urn:schemas-microsoft-com:office:smarttags" w:element="metricconverter">
        <w:smartTagPr>
          <w:attr w:name="ProductID" w:val="10 metros"/>
        </w:smartTagPr>
        <w:r>
          <w:t>10 metros</w:t>
        </w:r>
      </w:smartTag>
      <w:r>
        <w:t xml:space="preserve"> de la línea municipal, de un múltiple de escape de automotor.</w:t>
      </w:r>
    </w:p>
    <w:p w:rsidR="00224567" w:rsidRDefault="00224567">
      <w:pPr>
        <w:widowControl w:val="0"/>
      </w:pPr>
      <w:r>
        <w:tab/>
        <w:t>24.- Acta de fs. 189, suscripta por el subinspector Gu</w:t>
      </w:r>
      <w:r>
        <w:t>s</w:t>
      </w:r>
      <w:r>
        <w:t xml:space="preserve">tavo Alejandro Varela Gómez, dando cuenta del hallazgo, el 19 de julio de </w:t>
      </w:r>
      <w:smartTag w:uri="urn:schemas-microsoft-com:office:smarttags" w:element="metricconverter">
        <w:smartTagPr>
          <w:attr w:name="ProductID" w:val="1994, a"/>
        </w:smartTagPr>
        <w:r>
          <w:t>1994, a</w:t>
        </w:r>
      </w:smartTag>
      <w:r>
        <w:t xml:space="preserve"> las 18.00, en el descanso de la escalera de un local ubicado frente a </w:t>
      </w:r>
      <w:smartTag w:uri="urn:schemas-microsoft-com:office:smarttags" w:element="PersonName">
        <w:smartTagPr>
          <w:attr w:name="ProductID" w:val="la A.M"/>
        </w:smartTagPr>
        <w:r>
          <w:t>la A.M</w:t>
        </w:r>
      </w:smartTag>
      <w:r>
        <w:t>.I.A., de un trozo de hierro correspondiente, al par</w:t>
      </w:r>
      <w:r>
        <w:t>e</w:t>
      </w:r>
      <w:r>
        <w:t>cer, a un veh</w:t>
      </w:r>
      <w:r>
        <w:t>í</w:t>
      </w:r>
      <w:r>
        <w:t>culo.</w:t>
      </w:r>
    </w:p>
    <w:p w:rsidR="00224567" w:rsidRDefault="00224567">
      <w:pPr>
        <w:widowControl w:val="0"/>
      </w:pPr>
      <w:r>
        <w:tab/>
        <w:t>25.- Acta de fs. 190, suscripta por el subinspector Marcelo Debiassi, dando cuenta del s</w:t>
      </w:r>
      <w:r>
        <w:t>e</w:t>
      </w:r>
      <w:r>
        <w:t>cuestro, el 19 de julio de 1994, de tres trozos de metal perten</w:t>
      </w:r>
      <w:r>
        <w:t>e</w:t>
      </w:r>
      <w:r>
        <w:t>cientes a un vehículo, uno de los cuales fue hallado, a las 18.00, entre los e</w:t>
      </w:r>
      <w:r>
        <w:t>s</w:t>
      </w:r>
      <w:r>
        <w:t xml:space="preserve">combros de </w:t>
      </w:r>
      <w:smartTag w:uri="urn:schemas-microsoft-com:office:smarttags" w:element="PersonName">
        <w:smartTagPr>
          <w:attr w:name="ProductID" w:val="la A.M"/>
        </w:smartTagPr>
        <w:r>
          <w:t>la A.M</w:t>
        </w:r>
      </w:smartTag>
      <w:r>
        <w:t>.I.A. y los otros, inmediatamente después, en la vereda opuesta a dicha m</w:t>
      </w:r>
      <w:r>
        <w:t>u</w:t>
      </w:r>
      <w:r>
        <w:t>tual.</w:t>
      </w:r>
    </w:p>
    <w:p w:rsidR="00224567" w:rsidRDefault="00224567">
      <w:pPr>
        <w:widowControl w:val="0"/>
      </w:pPr>
      <w:r>
        <w:tab/>
        <w:t xml:space="preserve">26.- Acta de fs. 191, suscripta por el subinspector Guillermo Daniel Ceballos, dando cuenta del hallazgo, el 19 de julio de </w:t>
      </w:r>
      <w:smartTag w:uri="urn:schemas-microsoft-com:office:smarttags" w:element="metricconverter">
        <w:smartTagPr>
          <w:attr w:name="ProductID" w:val="1994, a"/>
        </w:smartTagPr>
        <w:r>
          <w:t>1994, a</w:t>
        </w:r>
      </w:smartTag>
      <w:r>
        <w:t xml:space="preserve"> las 22.37, debajo de unos escombros esparcidos en la vereda opuesta a </w:t>
      </w:r>
      <w:smartTag w:uri="urn:schemas-microsoft-com:office:smarttags" w:element="PersonName">
        <w:smartTagPr>
          <w:attr w:name="ProductID" w:val="la A.M"/>
        </w:smartTagPr>
        <w:r>
          <w:t>la A.M</w:t>
        </w:r>
      </w:smartTag>
      <w:r>
        <w:t>.I.A., “de un elemento metál</w:t>
      </w:r>
      <w:r>
        <w:t>i</w:t>
      </w:r>
      <w:r>
        <w:t>co, similar a la traba de portón, con un trozo de piso”.</w:t>
      </w:r>
    </w:p>
    <w:p w:rsidR="00224567" w:rsidRDefault="00224567">
      <w:pPr>
        <w:widowControl w:val="0"/>
      </w:pPr>
      <w:r>
        <w:tab/>
        <w:t>27.- Acta de fs. 192, suscripta por el sargento Raúl An</w:t>
      </w:r>
      <w:r>
        <w:t>í</w:t>
      </w:r>
      <w:r>
        <w:t xml:space="preserve">bal Varela, dando cuenta del hallazgo, el 19 de julio de </w:t>
      </w:r>
      <w:smartTag w:uri="urn:schemas-microsoft-com:office:smarttags" w:element="metricconverter">
        <w:smartTagPr>
          <w:attr w:name="ProductID" w:val="1994, a"/>
        </w:smartTagPr>
        <w:r>
          <w:t>1994, a</w:t>
        </w:r>
      </w:smartTag>
      <w:r>
        <w:t xml:space="preserve"> las 23.00, sobre la vereda opuesta a </w:t>
      </w:r>
      <w:smartTag w:uri="urn:schemas-microsoft-com:office:smarttags" w:element="PersonName">
        <w:smartTagPr>
          <w:attr w:name="ProductID" w:val="la A.M"/>
        </w:smartTagPr>
        <w:r>
          <w:t>la A.M</w:t>
        </w:r>
      </w:smartTag>
      <w:r>
        <w:t>.I.A., “de una pista de rulemán, aparent</w:t>
      </w:r>
      <w:r>
        <w:t>e</w:t>
      </w:r>
      <w:r>
        <w:t>mente de un vehículo”.</w:t>
      </w:r>
    </w:p>
    <w:p w:rsidR="00224567" w:rsidRDefault="00224567">
      <w:pPr>
        <w:widowControl w:val="0"/>
      </w:pPr>
      <w:r>
        <w:tab/>
        <w:t xml:space="preserve">28.- Acta de fs. 193, suscripta por el subinspector Guillermo Daniel Ceballos, dando cuenta del hallazgo, el 19 de julio de </w:t>
      </w:r>
      <w:smartTag w:uri="urn:schemas-microsoft-com:office:smarttags" w:element="metricconverter">
        <w:smartTagPr>
          <w:attr w:name="ProductID" w:val="1994, a"/>
        </w:smartTagPr>
        <w:r>
          <w:t>1994, a</w:t>
        </w:r>
      </w:smartTag>
      <w:r>
        <w:t xml:space="preserve"> las 23.15, debajo de unos escombros ubicados en el interior del predio perten</w:t>
      </w:r>
      <w:r>
        <w:t>e</w:t>
      </w:r>
      <w:r>
        <w:t xml:space="preserve">ciente a </w:t>
      </w:r>
      <w:smartTag w:uri="urn:schemas-microsoft-com:office:smarttags" w:element="PersonName">
        <w:smartTagPr>
          <w:attr w:name="ProductID" w:val="la A.M"/>
        </w:smartTagPr>
        <w:r>
          <w:t>la A.M</w:t>
        </w:r>
      </w:smartTag>
      <w:r>
        <w:t>.I.A., “de una pieza metálica que podría ser parte de una c</w:t>
      </w:r>
      <w:r>
        <w:t>a</w:t>
      </w:r>
      <w:r>
        <w:t>mioneta”.</w:t>
      </w:r>
    </w:p>
    <w:p w:rsidR="00224567" w:rsidRDefault="00224567">
      <w:pPr>
        <w:widowControl w:val="0"/>
      </w:pPr>
      <w:r>
        <w:tab/>
        <w:t>29.- Acta de fs. 194, suscripta por el sargento Raúl An</w:t>
      </w:r>
      <w:r>
        <w:t>í</w:t>
      </w:r>
      <w:r>
        <w:t xml:space="preserve">bal Varela, dando cuenta del hallazgo, el 19 de julio de </w:t>
      </w:r>
      <w:smartTag w:uri="urn:schemas-microsoft-com:office:smarttags" w:element="metricconverter">
        <w:smartTagPr>
          <w:attr w:name="ProductID" w:val="1994, a"/>
        </w:smartTagPr>
        <w:r>
          <w:t>1994, a</w:t>
        </w:r>
      </w:smartTag>
      <w:r>
        <w:t xml:space="preserve"> las 23.45, sobre la vereda opuesta a </w:t>
      </w:r>
      <w:smartTag w:uri="urn:schemas-microsoft-com:office:smarttags" w:element="PersonName">
        <w:smartTagPr>
          <w:attr w:name="ProductID" w:val="la A.M"/>
        </w:smartTagPr>
        <w:r>
          <w:t>la A.M</w:t>
        </w:r>
      </w:smartTag>
      <w:r>
        <w:t>.I.A., “de un trozo metálico alargado, aparent</w:t>
      </w:r>
      <w:r>
        <w:t>e</w:t>
      </w:r>
      <w:r>
        <w:t>mente, parte del eje de un amortigu</w:t>
      </w:r>
      <w:r>
        <w:t>a</w:t>
      </w:r>
      <w:r>
        <w:t>dor de un vehículo”.</w:t>
      </w:r>
    </w:p>
    <w:p w:rsidR="00224567" w:rsidRDefault="00224567">
      <w:pPr>
        <w:widowControl w:val="0"/>
      </w:pPr>
      <w:r>
        <w:tab/>
        <w:t xml:space="preserve">30.- Acta de fs. 195, suscripta por el subinspector Guillermo Daniel Ceballos, dando cuenta del hallazgo, el 19 de julio de </w:t>
      </w:r>
      <w:smartTag w:uri="urn:schemas-microsoft-com:office:smarttags" w:element="metricconverter">
        <w:smartTagPr>
          <w:attr w:name="ProductID" w:val="1994, a"/>
        </w:smartTagPr>
        <w:r>
          <w:t>1994, a</w:t>
        </w:r>
      </w:smartTag>
      <w:r>
        <w:t xml:space="preserve"> las 23.45, en el int</w:t>
      </w:r>
      <w:r>
        <w:t>e</w:t>
      </w:r>
      <w:r>
        <w:t xml:space="preserve">rior de </w:t>
      </w:r>
      <w:smartTag w:uri="urn:schemas-microsoft-com:office:smarttags" w:element="PersonName">
        <w:smartTagPr>
          <w:attr w:name="ProductID" w:val="la A.M"/>
        </w:smartTagPr>
        <w:r>
          <w:t>la A.M</w:t>
        </w:r>
      </w:smartTag>
      <w:r>
        <w:t>.I.A., de una pieza metálica correspondie</w:t>
      </w:r>
      <w:r>
        <w:t>n</w:t>
      </w:r>
      <w:r>
        <w:t>te, al parecer, a un vehículo.</w:t>
      </w:r>
    </w:p>
    <w:p w:rsidR="00224567" w:rsidRDefault="00224567">
      <w:pPr>
        <w:widowControl w:val="0"/>
      </w:pPr>
      <w:r>
        <w:tab/>
      </w:r>
      <w:r>
        <w:tab/>
        <w:t>31.- Acta de fs. 196, su</w:t>
      </w:r>
      <w:r>
        <w:t>s</w:t>
      </w:r>
      <w:r>
        <w:t xml:space="preserve">cripta por el sargento Omar Edgardo Castro, dando cuenta del hallazgo, el 20 de julio de </w:t>
      </w:r>
      <w:smartTag w:uri="urn:schemas-microsoft-com:office:smarttags" w:element="metricconverter">
        <w:smartTagPr>
          <w:attr w:name="ProductID" w:val="1994, a"/>
        </w:smartTagPr>
        <w:r>
          <w:t>1994, a</w:t>
        </w:r>
      </w:smartTag>
      <w:r>
        <w:t xml:space="preserve"> las 22.40, sobre los escombros situados en la vereda opuesta a </w:t>
      </w:r>
      <w:smartTag w:uri="urn:schemas-microsoft-com:office:smarttags" w:element="PersonName">
        <w:smartTagPr>
          <w:attr w:name="ProductID" w:val="la A.M"/>
        </w:smartTagPr>
        <w:r>
          <w:t>la A.M</w:t>
        </w:r>
      </w:smartTag>
      <w:r>
        <w:t>.I.A., “de al par</w:t>
      </w:r>
      <w:r>
        <w:t>e</w:t>
      </w:r>
      <w:r>
        <w:t>cer (1) un trozo de bisagra de portón de camioneta”.</w:t>
      </w:r>
    </w:p>
    <w:p w:rsidR="00224567" w:rsidRDefault="00224567">
      <w:pPr>
        <w:widowControl w:val="0"/>
      </w:pPr>
      <w:r>
        <w:tab/>
        <w:t>32.- Acta de fs. 197, suscripta por el subinspector Mauricio Adrián Barrera, dando cuenta del h</w:t>
      </w:r>
      <w:r>
        <w:t>a</w:t>
      </w:r>
      <w:r>
        <w:t xml:space="preserve">llazgo, el 20 de julio de </w:t>
      </w:r>
      <w:smartTag w:uri="urn:schemas-microsoft-com:office:smarttags" w:element="metricconverter">
        <w:smartTagPr>
          <w:attr w:name="ProductID" w:val="1994, a"/>
        </w:smartTagPr>
        <w:r>
          <w:t>1994, a</w:t>
        </w:r>
      </w:smartTag>
      <w:r>
        <w:t xml:space="preserve"> las 23.00, entre los e</w:t>
      </w:r>
      <w:r>
        <w:t>s</w:t>
      </w:r>
      <w:r>
        <w:t>combros situados en el predio de Pasteur 633, de una lla</w:t>
      </w:r>
      <w:r>
        <w:t>n</w:t>
      </w:r>
      <w:r>
        <w:t>ta de rodado con masa que posee numeración 77-00724717.</w:t>
      </w:r>
    </w:p>
    <w:p w:rsidR="00224567" w:rsidRDefault="00224567">
      <w:pPr>
        <w:widowControl w:val="0"/>
      </w:pPr>
      <w:r>
        <w:tab/>
        <w:t>33.- Acta de fs. 198, suscripta por el subinspector Alberto Tomás Scalise, dando cuenta del h</w:t>
      </w:r>
      <w:r>
        <w:t>a</w:t>
      </w:r>
      <w:r>
        <w:t xml:space="preserve">llazgo, el 20 de julio de </w:t>
      </w:r>
      <w:smartTag w:uri="urn:schemas-microsoft-com:office:smarttags" w:element="metricconverter">
        <w:smartTagPr>
          <w:attr w:name="ProductID" w:val="1994, a"/>
        </w:smartTagPr>
        <w:r>
          <w:t>1994, a</w:t>
        </w:r>
      </w:smartTag>
      <w:r>
        <w:t xml:space="preserve"> las 23.05, entre los e</w:t>
      </w:r>
      <w:r>
        <w:t>s</w:t>
      </w:r>
      <w:r>
        <w:t xml:space="preserve">combros situados en la vereda de enfrente a </w:t>
      </w:r>
      <w:smartTag w:uri="urn:schemas-microsoft-com:office:smarttags" w:element="PersonName">
        <w:smartTagPr>
          <w:attr w:name="ProductID" w:val="la A.M"/>
        </w:smartTagPr>
        <w:r>
          <w:t>la A.M</w:t>
        </w:r>
      </w:smartTag>
      <w:r>
        <w:t>.I.A., de restos de goma pertenecientes, al parecer, a una c</w:t>
      </w:r>
      <w:r>
        <w:t>u</w:t>
      </w:r>
      <w:r>
        <w:t>bierta de automotor.</w:t>
      </w:r>
    </w:p>
    <w:p w:rsidR="00224567" w:rsidRDefault="00224567">
      <w:pPr>
        <w:widowControl w:val="0"/>
      </w:pPr>
      <w:r>
        <w:tab/>
        <w:t xml:space="preserve">34.- Acta de fs. 199, suscripta por el sargento Rubén Alberto Nieto, dando cuenta del hallazgo, el 20 de julio de </w:t>
      </w:r>
      <w:smartTag w:uri="urn:schemas-microsoft-com:office:smarttags" w:element="metricconverter">
        <w:smartTagPr>
          <w:attr w:name="ProductID" w:val="1994, a"/>
        </w:smartTagPr>
        <w:r>
          <w:t>1994, a</w:t>
        </w:r>
      </w:smartTag>
      <w:r>
        <w:t xml:space="preserve"> las 23.15, entre los escombros de </w:t>
      </w:r>
      <w:smartTag w:uri="urn:schemas-microsoft-com:office:smarttags" w:element="PersonName">
        <w:smartTagPr>
          <w:attr w:name="ProductID" w:val="la A.M"/>
        </w:smartTagPr>
        <w:r>
          <w:t>la A.M</w:t>
        </w:r>
      </w:smartTag>
      <w:r>
        <w:t>.I.A., de un trozo de hierro con numeración i</w:t>
      </w:r>
      <w:r>
        <w:t>m</w:t>
      </w:r>
      <w:r>
        <w:t>presa 330448, perteneciente, al parecer, a un vehículo.</w:t>
      </w:r>
    </w:p>
    <w:p w:rsidR="00224567" w:rsidRDefault="00224567">
      <w:pPr>
        <w:widowControl w:val="0"/>
      </w:pPr>
      <w:r>
        <w:tab/>
        <w:t xml:space="preserve">35.- Acta de fs. 200, suscripta por el subinspector Guillermo Daniel Ceballos, dando cuenta del hallazgo, el 20 de julio de </w:t>
      </w:r>
      <w:smartTag w:uri="urn:schemas-microsoft-com:office:smarttags" w:element="metricconverter">
        <w:smartTagPr>
          <w:attr w:name="ProductID" w:val="1994, a"/>
        </w:smartTagPr>
        <w:r>
          <w:t>1994, a</w:t>
        </w:r>
      </w:smartTag>
      <w:r>
        <w:t xml:space="preserve"> las 23.40, en la acera de enfrente a </w:t>
      </w:r>
      <w:smartTag w:uri="urn:schemas-microsoft-com:office:smarttags" w:element="PersonName">
        <w:smartTagPr>
          <w:attr w:name="ProductID" w:val="la A.M"/>
        </w:smartTagPr>
        <w:r>
          <w:t>la A.M</w:t>
        </w:r>
      </w:smartTag>
      <w:r>
        <w:t>.I.A., de un trozo de c</w:t>
      </w:r>
      <w:r>
        <w:t>u</w:t>
      </w:r>
      <w:r>
        <w:t>bierta con la inscripción “FATE AR-</w:t>
      </w:r>
      <w:smartTag w:uri="urn:schemas-microsoft-com:office:smarttags" w:element="metricconverter">
        <w:smartTagPr>
          <w:attr w:name="ProductID" w:val="30”"/>
        </w:smartTagPr>
        <w:r>
          <w:t>30”</w:t>
        </w:r>
      </w:smartTag>
      <w:r>
        <w:t>.</w:t>
      </w:r>
    </w:p>
    <w:p w:rsidR="00224567" w:rsidRDefault="00224567">
      <w:pPr>
        <w:widowControl w:val="0"/>
      </w:pPr>
      <w:r>
        <w:tab/>
      </w:r>
      <w:r>
        <w:tab/>
        <w:t>36.- Acta de fs. 201, su</w:t>
      </w:r>
      <w:r>
        <w:t>s</w:t>
      </w:r>
      <w:r>
        <w:t>cripta por el menci</w:t>
      </w:r>
      <w:r>
        <w:t>o</w:t>
      </w:r>
      <w:r>
        <w:t>nado subinspector, dando cuenta del hallazgo, el 21 de j</w:t>
      </w:r>
      <w:r>
        <w:t>u</w:t>
      </w:r>
      <w:r>
        <w:t xml:space="preserve">lio de </w:t>
      </w:r>
      <w:smartTag w:uri="urn:schemas-microsoft-com:office:smarttags" w:element="metricconverter">
        <w:smartTagPr>
          <w:attr w:name="ProductID" w:val="1994, a"/>
        </w:smartTagPr>
        <w:r>
          <w:t>1994, a</w:t>
        </w:r>
      </w:smartTag>
      <w:r>
        <w:t xml:space="preserve"> las 03.20, entre los restos de lo que fuera la acera de </w:t>
      </w:r>
      <w:smartTag w:uri="urn:schemas-microsoft-com:office:smarttags" w:element="PersonName">
        <w:smartTagPr>
          <w:attr w:name="ProductID" w:val="la A.M"/>
        </w:smartTagPr>
        <w:r>
          <w:t>la A.M</w:t>
        </w:r>
      </w:smartTag>
      <w:r>
        <w:t>.I.A., de dos trozos de goma de alfombra de piso de un vehículo.</w:t>
      </w:r>
    </w:p>
    <w:p w:rsidR="00224567" w:rsidRDefault="00224567">
      <w:pPr>
        <w:widowControl w:val="0"/>
      </w:pPr>
      <w:r>
        <w:tab/>
        <w:t xml:space="preserve">37.- Acta de fs. 202, suscripta por el subinspector Carlos Enrique Quinteros, dando cuenta del hallazgo, el 21 de julio de </w:t>
      </w:r>
      <w:smartTag w:uri="urn:schemas-microsoft-com:office:smarttags" w:element="metricconverter">
        <w:smartTagPr>
          <w:attr w:name="ProductID" w:val="1994, a"/>
        </w:smartTagPr>
        <w:r>
          <w:t>1994, a</w:t>
        </w:r>
      </w:smartTag>
      <w:r>
        <w:t xml:space="preserve"> las 11.30, en la pla</w:t>
      </w:r>
      <w:r>
        <w:t>n</w:t>
      </w:r>
      <w:r>
        <w:t>ta baja del inmueble ubicado en Pasteur 626, de “dos (2) restos de cubierta neumát</w:t>
      </w:r>
      <w:r>
        <w:t>i</w:t>
      </w:r>
      <w:r>
        <w:t>ca”.</w:t>
      </w:r>
    </w:p>
    <w:p w:rsidR="00224567" w:rsidRDefault="00224567">
      <w:pPr>
        <w:widowControl w:val="0"/>
      </w:pPr>
      <w:r>
        <w:tab/>
        <w:t>38.- Acta de fs. 203, suscripta por el mencionado subin</w:t>
      </w:r>
      <w:r>
        <w:t>s</w:t>
      </w:r>
      <w:r>
        <w:t xml:space="preserve">pector, dando cuenta del hallazgo, el 21 de julio de </w:t>
      </w:r>
      <w:smartTag w:uri="urn:schemas-microsoft-com:office:smarttags" w:element="metricconverter">
        <w:smartTagPr>
          <w:attr w:name="ProductID" w:val="1994, a"/>
        </w:smartTagPr>
        <w:r>
          <w:t>1994, a</w:t>
        </w:r>
      </w:smartTag>
      <w:r>
        <w:t xml:space="preserve"> las 13.20, en el interior del hall de acceso al edificio de Pasteur 632, de un resto metálico con grandes deformaciones, perteneciente, al parecer, a la estructura de un a</w:t>
      </w:r>
      <w:r>
        <w:t>u</w:t>
      </w:r>
      <w:r>
        <w:t>tomotor.</w:t>
      </w:r>
    </w:p>
    <w:p w:rsidR="00224567" w:rsidRDefault="00224567">
      <w:pPr>
        <w:widowControl w:val="0"/>
      </w:pPr>
      <w:r>
        <w:tab/>
      </w:r>
      <w:r>
        <w:tab/>
        <w:t>39.- Acta de fs. 205, su</w:t>
      </w:r>
      <w:r>
        <w:t>s</w:t>
      </w:r>
      <w:r>
        <w:t>cripta por el menci</w:t>
      </w:r>
      <w:r>
        <w:t>o</w:t>
      </w:r>
      <w:r>
        <w:t xml:space="preserve">nado subinspector, dando cuenta del hallazgo, el 21 de julio de </w:t>
      </w:r>
      <w:smartTag w:uri="urn:schemas-microsoft-com:office:smarttags" w:element="metricconverter">
        <w:smartTagPr>
          <w:attr w:name="ProductID" w:val="1994, a"/>
        </w:smartTagPr>
        <w:r>
          <w:t>1994, a</w:t>
        </w:r>
      </w:smartTag>
      <w:r>
        <w:t xml:space="preserve"> las 16.00, entre los escombros ubic</w:t>
      </w:r>
      <w:r>
        <w:t>a</w:t>
      </w:r>
      <w:r>
        <w:t>dos en el lateral izquierdo del pr</w:t>
      </w:r>
      <w:r>
        <w:t>e</w:t>
      </w:r>
      <w:r>
        <w:t xml:space="preserve">dio de </w:t>
      </w:r>
      <w:smartTag w:uri="urn:schemas-microsoft-com:office:smarttags" w:element="PersonName">
        <w:smartTagPr>
          <w:attr w:name="ProductID" w:val="la A.M"/>
        </w:smartTagPr>
        <w:r>
          <w:t>la A.M</w:t>
        </w:r>
      </w:smartTag>
      <w:r>
        <w:t>.I.A., de un tr</w:t>
      </w:r>
      <w:r>
        <w:t>o</w:t>
      </w:r>
      <w:r>
        <w:t>zo de neumático.</w:t>
      </w:r>
    </w:p>
    <w:p w:rsidR="00224567" w:rsidRDefault="00224567">
      <w:pPr>
        <w:widowControl w:val="0"/>
      </w:pPr>
      <w:r>
        <w:tab/>
      </w:r>
      <w:r>
        <w:tab/>
        <w:t>40.- Acta de fs. 206, su</w:t>
      </w:r>
      <w:r>
        <w:t>s</w:t>
      </w:r>
      <w:r>
        <w:t>cripta por el subinspector Alberto Tomás Scalise, dando cuenta del h</w:t>
      </w:r>
      <w:r>
        <w:t>a</w:t>
      </w:r>
      <w:r>
        <w:t xml:space="preserve">llazgo, el 22 de julio de </w:t>
      </w:r>
      <w:smartTag w:uri="urn:schemas-microsoft-com:office:smarttags" w:element="metricconverter">
        <w:smartTagPr>
          <w:attr w:name="ProductID" w:val="1994, a"/>
        </w:smartTagPr>
        <w:r>
          <w:t>1994, a</w:t>
        </w:r>
      </w:smartTag>
      <w:r>
        <w:t xml:space="preserve"> las 11.30, en la acera de Pasteur frente al número 684, de tres trozos de goma, constitutivas, al par</w:t>
      </w:r>
      <w:r>
        <w:t>e</w:t>
      </w:r>
      <w:r>
        <w:t>cer, de la cubierta de un automóvil, una de las cu</w:t>
      </w:r>
      <w:r>
        <w:t>a</w:t>
      </w:r>
      <w:r>
        <w:t xml:space="preserve">les posee la inscripción “FATE </w:t>
      </w:r>
      <w:smartTag w:uri="urn:schemas-microsoft-com:office:smarttags" w:element="metricconverter">
        <w:smartTagPr>
          <w:attr w:name="ProductID" w:val="0”"/>
        </w:smartTagPr>
        <w:r>
          <w:t>0”</w:t>
        </w:r>
      </w:smartTag>
      <w:r>
        <w:t xml:space="preserve"> en una de sus c</w:t>
      </w:r>
      <w:r>
        <w:t>a</w:t>
      </w:r>
      <w:r>
        <w:t>ras.</w:t>
      </w:r>
    </w:p>
    <w:p w:rsidR="00224567" w:rsidRDefault="00224567">
      <w:pPr>
        <w:widowControl w:val="0"/>
      </w:pPr>
      <w:r>
        <w:tab/>
      </w:r>
      <w:r>
        <w:tab/>
        <w:t>41.- Acta de fs. 207, su</w:t>
      </w:r>
      <w:r>
        <w:t>s</w:t>
      </w:r>
      <w:r>
        <w:t xml:space="preserve">cripta por el cabo César Ramón Gómez, dando cuenta del hallazgo, el 22 de julio de </w:t>
      </w:r>
      <w:smartTag w:uri="urn:schemas-microsoft-com:office:smarttags" w:element="metricconverter">
        <w:smartTagPr>
          <w:attr w:name="ProductID" w:val="1994, a"/>
        </w:smartTagPr>
        <w:r>
          <w:t>1994, a</w:t>
        </w:r>
      </w:smartTag>
      <w:r>
        <w:t xml:space="preserve"> las 11.35, “en la parte media del s</w:t>
      </w:r>
      <w:r>
        <w:t>e</w:t>
      </w:r>
      <w:r>
        <w:t xml:space="preserve">gundo subsuelo del </w:t>
      </w:r>
      <w:r>
        <w:rPr>
          <w:bCs/>
        </w:rPr>
        <w:t>edificio siniestrado”</w:t>
      </w:r>
      <w:r>
        <w:t>, de un trozo m</w:t>
      </w:r>
      <w:r>
        <w:t>e</w:t>
      </w:r>
      <w:r>
        <w:t>tálico, aparentemente, de la parte delantera de un vehíc</w:t>
      </w:r>
      <w:r>
        <w:t>u</w:t>
      </w:r>
      <w:r>
        <w:t>lo.</w:t>
      </w:r>
    </w:p>
    <w:p w:rsidR="00224567" w:rsidRDefault="00224567">
      <w:pPr>
        <w:widowControl w:val="0"/>
      </w:pPr>
      <w:r>
        <w:tab/>
      </w:r>
      <w:r>
        <w:tab/>
        <w:t>42.- Acta de fs. 208, su</w:t>
      </w:r>
      <w:r>
        <w:t>s</w:t>
      </w:r>
      <w:r>
        <w:t xml:space="preserve">cripta por el subinspector Claudio Luis Kirianovicz, dando cuenta del hallazgo, el 22 de julio de </w:t>
      </w:r>
      <w:smartTag w:uri="urn:schemas-microsoft-com:office:smarttags" w:element="metricconverter">
        <w:smartTagPr>
          <w:attr w:name="ProductID" w:val="1994, a"/>
        </w:smartTagPr>
        <w:r>
          <w:t>1994, a</w:t>
        </w:r>
      </w:smartTag>
      <w:r>
        <w:t xml:space="preserve"> las 19.00, entre los escombros de la parte central de </w:t>
      </w:r>
      <w:smartTag w:uri="urn:schemas-microsoft-com:office:smarttags" w:element="PersonName">
        <w:smartTagPr>
          <w:attr w:name="ProductID" w:val="la A.M"/>
        </w:smartTagPr>
        <w:r>
          <w:t>la A.M</w:t>
        </w:r>
      </w:smartTag>
      <w:r>
        <w:t>.I.A., de “un ap</w:t>
      </w:r>
      <w:r>
        <w:t>a</w:t>
      </w:r>
      <w:r>
        <w:t>rente espiral de suspensión de v</w:t>
      </w:r>
      <w:r>
        <w:t>e</w:t>
      </w:r>
      <w:r>
        <w:t>hículo”.</w:t>
      </w:r>
    </w:p>
    <w:p w:rsidR="00224567" w:rsidRDefault="00224567">
      <w:pPr>
        <w:widowControl w:val="0"/>
      </w:pPr>
      <w:r>
        <w:tab/>
      </w:r>
      <w:r>
        <w:tab/>
        <w:t>43.- Acta de fs. 209, su</w:t>
      </w:r>
      <w:r>
        <w:t>s</w:t>
      </w:r>
      <w:r>
        <w:t>cripta por el inspector Juan Falzarano, en presencia de los testigos P</w:t>
      </w:r>
      <w:r>
        <w:t>a</w:t>
      </w:r>
      <w:r>
        <w:t xml:space="preserve">blo Marcelo Garris y Gustavo Moragues, dando cuenta del hallazgo, el 22 de julio de </w:t>
      </w:r>
      <w:smartTag w:uri="urn:schemas-microsoft-com:office:smarttags" w:element="metricconverter">
        <w:smartTagPr>
          <w:attr w:name="ProductID" w:val="1994, a"/>
        </w:smartTagPr>
        <w:r>
          <w:t>1994, a</w:t>
        </w:r>
      </w:smartTag>
      <w:r>
        <w:t xml:space="preserve"> las 19.50, frente al lugar siniestrado, “en el interior de la impronta generada por la reacción del complejo explosivo”, de una hoja de elástico y partes de chapas metálicas.</w:t>
      </w:r>
    </w:p>
    <w:p w:rsidR="00224567" w:rsidRDefault="00224567">
      <w:pPr>
        <w:widowControl w:val="0"/>
      </w:pPr>
      <w:r>
        <w:tab/>
      </w:r>
      <w:r>
        <w:tab/>
        <w:t>44.- Acta de fs. 210, su</w:t>
      </w:r>
      <w:r>
        <w:t>s</w:t>
      </w:r>
      <w:r>
        <w:t xml:space="preserve">cripta por el subinspector Claudio Luis Kirianovicz, dando cuenta del hallazgo, el 22 de julio de </w:t>
      </w:r>
      <w:smartTag w:uri="urn:schemas-microsoft-com:office:smarttags" w:element="metricconverter">
        <w:smartTagPr>
          <w:attr w:name="ProductID" w:val="1994, a"/>
        </w:smartTagPr>
        <w:r>
          <w:t>1994, a</w:t>
        </w:r>
      </w:smartTag>
      <w:r>
        <w:t xml:space="preserve"> las 20.20, entre los esco</w:t>
      </w:r>
      <w:r>
        <w:t>m</w:t>
      </w:r>
      <w:r>
        <w:t xml:space="preserve">bros de la parte central de </w:t>
      </w:r>
      <w:smartTag w:uri="urn:schemas-microsoft-com:office:smarttags" w:element="PersonName">
        <w:smartTagPr>
          <w:attr w:name="ProductID" w:val="la A.M"/>
        </w:smartTagPr>
        <w:r>
          <w:t>la A.M</w:t>
        </w:r>
      </w:smartTag>
      <w:r>
        <w:t>.I.A., de un trozo de chapa retorcida con tres tornillos con arandelas y tuercas, perteneciente, al par</w:t>
      </w:r>
      <w:r>
        <w:t>e</w:t>
      </w:r>
      <w:r>
        <w:t>cer, a un vehículo.</w:t>
      </w:r>
    </w:p>
    <w:p w:rsidR="00224567" w:rsidRDefault="00224567">
      <w:pPr>
        <w:widowControl w:val="0"/>
      </w:pPr>
      <w:r>
        <w:tab/>
      </w:r>
      <w:r>
        <w:tab/>
        <w:t>45.- Acta de fs. 211, también suscri</w:t>
      </w:r>
      <w:r>
        <w:t>p</w:t>
      </w:r>
      <w:r>
        <w:t xml:space="preserve">ta por Kirianovicz, dando cuenta del hallazgo, el 22 de julio de </w:t>
      </w:r>
      <w:smartTag w:uri="urn:schemas-microsoft-com:office:smarttags" w:element="metricconverter">
        <w:smartTagPr>
          <w:attr w:name="ProductID" w:val="1994, a"/>
        </w:smartTagPr>
        <w:r>
          <w:t>1994, a</w:t>
        </w:r>
      </w:smartTag>
      <w:r>
        <w:t xml:space="preserve"> las 22.00, entre los esco</w:t>
      </w:r>
      <w:r>
        <w:t>m</w:t>
      </w:r>
      <w:r>
        <w:t>bros ubicados a la altura del anfiteatro, en la parte ce</w:t>
      </w:r>
      <w:r>
        <w:t>n</w:t>
      </w:r>
      <w:r>
        <w:t>tral de la planta baja de la mutual, de “un trozo de chapa completamente d</w:t>
      </w:r>
      <w:r>
        <w:t>e</w:t>
      </w:r>
      <w:r>
        <w:t>formada, la cual presentaba adherida una aparente fibra (fie</w:t>
      </w:r>
      <w:r>
        <w:t>l</w:t>
      </w:r>
      <w:r>
        <w:t>tro), que podría ser de un vehículo”.</w:t>
      </w:r>
    </w:p>
    <w:p w:rsidR="00224567" w:rsidRDefault="00224567">
      <w:pPr>
        <w:widowControl w:val="0"/>
      </w:pPr>
      <w:r>
        <w:tab/>
      </w:r>
      <w:r>
        <w:tab/>
        <w:t>46.- Acta de fs. 212, su</w:t>
      </w:r>
      <w:r>
        <w:t>s</w:t>
      </w:r>
      <w:r>
        <w:t xml:space="preserve">cripta por el mencionado Kirianovicz, dando cuenta del hallazgo, el 22 de julio de </w:t>
      </w:r>
      <w:smartTag w:uri="urn:schemas-microsoft-com:office:smarttags" w:element="metricconverter">
        <w:smartTagPr>
          <w:attr w:name="ProductID" w:val="1994, a"/>
        </w:smartTagPr>
        <w:r>
          <w:t>1994, a</w:t>
        </w:r>
      </w:smartTag>
      <w:r>
        <w:t xml:space="preserve"> las 23.00, entre los escombros del i</w:t>
      </w:r>
      <w:r>
        <w:t>n</w:t>
      </w:r>
      <w:r>
        <w:t xml:space="preserve">terior de </w:t>
      </w:r>
      <w:smartTag w:uri="urn:schemas-microsoft-com:office:smarttags" w:element="PersonName">
        <w:smartTagPr>
          <w:attr w:name="ProductID" w:val="la A.M"/>
        </w:smartTagPr>
        <w:r>
          <w:t>la A.M</w:t>
        </w:r>
      </w:smartTag>
      <w:r>
        <w:t>.I.A., de un aparente espiral de suspe</w:t>
      </w:r>
      <w:r>
        <w:t>n</w:t>
      </w:r>
      <w:r>
        <w:t>sión de vehículo.</w:t>
      </w:r>
    </w:p>
    <w:p w:rsidR="00224567" w:rsidRDefault="00224567">
      <w:pPr>
        <w:widowControl w:val="0"/>
      </w:pPr>
      <w:r>
        <w:tab/>
      </w:r>
      <w:r>
        <w:tab/>
        <w:t>47.- Acta de fs. 213, su</w:t>
      </w:r>
      <w:r>
        <w:t>s</w:t>
      </w:r>
      <w:r>
        <w:t xml:space="preserve">cripta por el cabo Aroldo Salatino, dando cuenta del hallazgo, el 23 de julio de </w:t>
      </w:r>
      <w:smartTag w:uri="urn:schemas-microsoft-com:office:smarttags" w:element="metricconverter">
        <w:smartTagPr>
          <w:attr w:name="ProductID" w:val="1994, a"/>
        </w:smartTagPr>
        <w:r>
          <w:t>1994, a</w:t>
        </w:r>
      </w:smartTag>
      <w:r>
        <w:t xml:space="preserve"> las 17.00, en el interior de </w:t>
      </w:r>
      <w:smartTag w:uri="urn:schemas-microsoft-com:office:smarttags" w:element="PersonName">
        <w:smartTagPr>
          <w:attr w:name="ProductID" w:val="la A.M"/>
        </w:smartTagPr>
        <w:r>
          <w:t>la A.M</w:t>
        </w:r>
      </w:smartTag>
      <w:r>
        <w:t>.I.A., de dos trozos de llanta, un trozo metálico y una pastilla de freno, pertenecie</w:t>
      </w:r>
      <w:r>
        <w:t>n</w:t>
      </w:r>
      <w:r>
        <w:t>tes a un vehículo.</w:t>
      </w:r>
    </w:p>
    <w:p w:rsidR="00224567" w:rsidRDefault="00224567">
      <w:pPr>
        <w:widowControl w:val="0"/>
      </w:pPr>
      <w:r>
        <w:tab/>
      </w:r>
      <w:r>
        <w:tab/>
        <w:t>48.- Acta de fs. 214, su</w:t>
      </w:r>
      <w:r>
        <w:t>s</w:t>
      </w:r>
      <w:r>
        <w:t xml:space="preserve">cripta por el subinspector Carlos Enrique Quinteros, dando cuenta del hallazgo, el 24 de julio de </w:t>
      </w:r>
      <w:smartTag w:uri="urn:schemas-microsoft-com:office:smarttags" w:element="metricconverter">
        <w:smartTagPr>
          <w:attr w:name="ProductID" w:val="1994, a"/>
        </w:smartTagPr>
        <w:r>
          <w:t>1994, a</w:t>
        </w:r>
      </w:smartTag>
      <w:r>
        <w:t xml:space="preserve"> las 14.30, en el int</w:t>
      </w:r>
      <w:r>
        <w:t>e</w:t>
      </w:r>
      <w:r>
        <w:t xml:space="preserve">rior de </w:t>
      </w:r>
      <w:smartTag w:uri="urn:schemas-microsoft-com:office:smarttags" w:element="PersonName">
        <w:smartTagPr>
          <w:attr w:name="ProductID" w:val="la A.M"/>
        </w:smartTagPr>
        <w:r>
          <w:t>la A.M</w:t>
        </w:r>
      </w:smartTag>
      <w:r>
        <w:t>.I.A., de un eje con engranajes que corre</w:t>
      </w:r>
      <w:r>
        <w:t>s</w:t>
      </w:r>
      <w:r>
        <w:t>pondería a la caja de velocidades de un aut</w:t>
      </w:r>
      <w:r>
        <w:t>o</w:t>
      </w:r>
      <w:r>
        <w:t>motor.</w:t>
      </w:r>
    </w:p>
    <w:p w:rsidR="00224567" w:rsidRDefault="00224567">
      <w:pPr>
        <w:widowControl w:val="0"/>
      </w:pPr>
      <w:r>
        <w:tab/>
      </w:r>
      <w:r>
        <w:tab/>
        <w:t>49.- Acta de fs. 215, su</w:t>
      </w:r>
      <w:r>
        <w:t>s</w:t>
      </w:r>
      <w:r>
        <w:t>cripta por el subinspector Marcelo Alejandro Debiassi, dando cue</w:t>
      </w:r>
      <w:r>
        <w:t>n</w:t>
      </w:r>
      <w:r>
        <w:t xml:space="preserve">ta del hallazgo, el 23 de julio de </w:t>
      </w:r>
      <w:smartTag w:uri="urn:schemas-microsoft-com:office:smarttags" w:element="metricconverter">
        <w:smartTagPr>
          <w:attr w:name="ProductID" w:val="1994, a"/>
        </w:smartTagPr>
        <w:r>
          <w:t>1994, a</w:t>
        </w:r>
      </w:smartTag>
      <w:r>
        <w:t xml:space="preserve"> las 17.35, entre los escombros de </w:t>
      </w:r>
      <w:smartTag w:uri="urn:schemas-microsoft-com:office:smarttags" w:element="PersonName">
        <w:smartTagPr>
          <w:attr w:name="ProductID" w:val="la A.M"/>
        </w:smartTagPr>
        <w:r>
          <w:t>la A.M</w:t>
        </w:r>
      </w:smartTag>
      <w:r>
        <w:t>.I.A., de dos pi</w:t>
      </w:r>
      <w:r>
        <w:t>e</w:t>
      </w:r>
      <w:r>
        <w:t>zas metálicas, una en forma cilíndrica y otra circular y de una pieza de goma, pertenecientes, al parecer, a un vehíc</w:t>
      </w:r>
      <w:r>
        <w:t>u</w:t>
      </w:r>
      <w:r>
        <w:t>lo.</w:t>
      </w:r>
    </w:p>
    <w:p w:rsidR="00224567" w:rsidRDefault="00224567">
      <w:pPr>
        <w:widowControl w:val="0"/>
      </w:pPr>
      <w:r>
        <w:tab/>
      </w:r>
      <w:r>
        <w:tab/>
        <w:t>50.- Acta de fs. 216, su</w:t>
      </w:r>
      <w:r>
        <w:t>s</w:t>
      </w:r>
      <w:r>
        <w:t xml:space="preserve">cripta por el subinspector Carlos Enrique Quinteros, dando cuenta del hallazgo, el 24 de julio de </w:t>
      </w:r>
      <w:smartTag w:uri="urn:schemas-microsoft-com:office:smarttags" w:element="metricconverter">
        <w:smartTagPr>
          <w:attr w:name="ProductID" w:val="1994, a"/>
        </w:smartTagPr>
        <w:r>
          <w:t>1994, a</w:t>
        </w:r>
      </w:smartTag>
      <w:r>
        <w:t xml:space="preserve"> las 17.40, entre los escombros del predio que ocupaba </w:t>
      </w:r>
      <w:smartTag w:uri="urn:schemas-microsoft-com:office:smarttags" w:element="PersonName">
        <w:smartTagPr>
          <w:attr w:name="ProductID" w:val="la A.M"/>
        </w:smartTagPr>
        <w:r>
          <w:t>la A.M</w:t>
        </w:r>
      </w:smartTag>
      <w:r>
        <w:t>.I.A., de un co</w:t>
      </w:r>
      <w:r>
        <w:t>n</w:t>
      </w:r>
      <w:r>
        <w:t>ducto de material flexible de aproximadamente diez cent</w:t>
      </w:r>
      <w:r>
        <w:t>í</w:t>
      </w:r>
      <w:r>
        <w:t>metros de longitud, con una conexión metálica en uno de sus extremos, correspo</w:t>
      </w:r>
      <w:r>
        <w:t>n</w:t>
      </w:r>
      <w:r>
        <w:t>diente, al parecer, a un automotor.</w:t>
      </w:r>
    </w:p>
    <w:p w:rsidR="00224567" w:rsidRDefault="00224567">
      <w:pPr>
        <w:widowControl w:val="0"/>
      </w:pPr>
      <w:r>
        <w:tab/>
      </w:r>
      <w:r>
        <w:tab/>
        <w:t>51.- Acta de fs. 217, su</w:t>
      </w:r>
      <w:r>
        <w:t>s</w:t>
      </w:r>
      <w:r>
        <w:t>cripta por el subinspector Alberto Tomás Scalise, dando cuenta del h</w:t>
      </w:r>
      <w:r>
        <w:t>a</w:t>
      </w:r>
      <w:r>
        <w:t xml:space="preserve">llazgo, el 24 de julio de </w:t>
      </w:r>
      <w:smartTag w:uri="urn:schemas-microsoft-com:office:smarttags" w:element="metricconverter">
        <w:smartTagPr>
          <w:attr w:name="ProductID" w:val="1994, a"/>
        </w:smartTagPr>
        <w:r>
          <w:t>1994, a</w:t>
        </w:r>
      </w:smartTag>
      <w:r>
        <w:t xml:space="preserve"> las 18.00, en la calle Pasteur frente a la altura aproximada del 680, de una se</w:t>
      </w:r>
      <w:r>
        <w:t>c</w:t>
      </w:r>
      <w:r>
        <w:t>ción alargada metálica, con perforaciones y una tuerca v</w:t>
      </w:r>
      <w:r>
        <w:t>i</w:t>
      </w:r>
      <w:r>
        <w:t>sible, perteneciente, al parecer, a un autom</w:t>
      </w:r>
      <w:r>
        <w:t>o</w:t>
      </w:r>
      <w:r>
        <w:t>tor.</w:t>
      </w:r>
    </w:p>
    <w:p w:rsidR="00224567" w:rsidRDefault="00224567">
      <w:pPr>
        <w:widowControl w:val="0"/>
      </w:pPr>
      <w:r>
        <w:tab/>
      </w:r>
      <w:r>
        <w:tab/>
        <w:t>52.- Acta de fs. 218, su</w:t>
      </w:r>
      <w:r>
        <w:t>s</w:t>
      </w:r>
      <w:r>
        <w:t xml:space="preserve">cripta por el subinspector Guillermo Daniel Ceballos, dando cuenta del hallazgo, el 24 de julio de </w:t>
      </w:r>
      <w:smartTag w:uri="urn:schemas-microsoft-com:office:smarttags" w:element="metricconverter">
        <w:smartTagPr>
          <w:attr w:name="ProductID" w:val="1994, a"/>
        </w:smartTagPr>
        <w:r>
          <w:t>1994, a</w:t>
        </w:r>
      </w:smartTag>
      <w:r>
        <w:t xml:space="preserve"> las 19.45, en el int</w:t>
      </w:r>
      <w:r>
        <w:t>e</w:t>
      </w:r>
      <w:r>
        <w:t xml:space="preserve">rior de </w:t>
      </w:r>
      <w:smartTag w:uri="urn:schemas-microsoft-com:office:smarttags" w:element="PersonName">
        <w:smartTagPr>
          <w:attr w:name="ProductID" w:val="la A.M"/>
        </w:smartTagPr>
        <w:r>
          <w:t>la A.M</w:t>
        </w:r>
      </w:smartTag>
      <w:r>
        <w:t>.I.A., de una pieza metálica con forma sim</w:t>
      </w:r>
      <w:r>
        <w:t>i</w:t>
      </w:r>
      <w:r>
        <w:t>lar a una pastilla de freno de a</w:t>
      </w:r>
      <w:r>
        <w:t>u</w:t>
      </w:r>
      <w:r>
        <w:t>tomóvil.</w:t>
      </w:r>
    </w:p>
    <w:p w:rsidR="00224567" w:rsidRDefault="00224567">
      <w:pPr>
        <w:widowControl w:val="0"/>
      </w:pPr>
      <w:r>
        <w:tab/>
      </w:r>
      <w:r>
        <w:tab/>
        <w:t>53.- Acta de fs. 219, su</w:t>
      </w:r>
      <w:r>
        <w:t>s</w:t>
      </w:r>
      <w:r>
        <w:t>cripta por el cabo primero Carlos Ruiz Huidobro, dando cuenta del h</w:t>
      </w:r>
      <w:r>
        <w:t>a</w:t>
      </w:r>
      <w:r>
        <w:t xml:space="preserve">llazgo, el 23 de julio de </w:t>
      </w:r>
      <w:smartTag w:uri="urn:schemas-microsoft-com:office:smarttags" w:element="metricconverter">
        <w:smartTagPr>
          <w:attr w:name="ProductID" w:val="1994, a"/>
        </w:smartTagPr>
        <w:r>
          <w:t>1994, a</w:t>
        </w:r>
      </w:smartTag>
      <w:r>
        <w:t xml:space="preserve"> las 22.30, dentro de la sede de </w:t>
      </w:r>
      <w:smartTag w:uri="urn:schemas-microsoft-com:office:smarttags" w:element="PersonName">
        <w:smartTagPr>
          <w:attr w:name="ProductID" w:val="la A.M"/>
        </w:smartTagPr>
        <w:r>
          <w:t>la A.M</w:t>
        </w:r>
      </w:smartTag>
      <w:r>
        <w:t>.I.A., de un trozo de manguera de radi</w:t>
      </w:r>
      <w:r>
        <w:t>a</w:t>
      </w:r>
      <w:r>
        <w:t>dor, un trozo metálico y una abrazadera de elást</w:t>
      </w:r>
      <w:r>
        <w:t>i</w:t>
      </w:r>
      <w:r>
        <w:t>cos.</w:t>
      </w:r>
    </w:p>
    <w:p w:rsidR="00224567" w:rsidRDefault="00224567">
      <w:pPr>
        <w:widowControl w:val="0"/>
      </w:pPr>
      <w:r>
        <w:tab/>
      </w:r>
      <w:r>
        <w:tab/>
        <w:t>54.- Acta de fs. 220, su</w:t>
      </w:r>
      <w:r>
        <w:t>s</w:t>
      </w:r>
      <w:r>
        <w:t>cripta por el sargento Juan Carlos Zottarelli, dando cuenta del halla</w:t>
      </w:r>
      <w:r>
        <w:t>z</w:t>
      </w:r>
      <w:r>
        <w:t xml:space="preserve">go, el 25 de julio de </w:t>
      </w:r>
      <w:smartTag w:uri="urn:schemas-microsoft-com:office:smarttags" w:element="metricconverter">
        <w:smartTagPr>
          <w:attr w:name="ProductID" w:val="1994, a"/>
        </w:smartTagPr>
        <w:r>
          <w:t>1994, a</w:t>
        </w:r>
      </w:smartTag>
      <w:r>
        <w:t xml:space="preserve"> las 02.05, entre los esco</w:t>
      </w:r>
      <w:r>
        <w:t>m</w:t>
      </w:r>
      <w:r>
        <w:t xml:space="preserve">bros del interior de </w:t>
      </w:r>
      <w:smartTag w:uri="urn:schemas-microsoft-com:office:smarttags" w:element="PersonName">
        <w:smartTagPr>
          <w:attr w:name="ProductID" w:val="la A.M"/>
        </w:smartTagPr>
        <w:r>
          <w:t>la A.M</w:t>
        </w:r>
      </w:smartTag>
      <w:r>
        <w:t>.I.A., “de un trozo metálico con forma de cilindro que tiene el a</w:t>
      </w:r>
      <w:r>
        <w:t>s</w:t>
      </w:r>
      <w:r>
        <w:t>pecto de un semieje”.</w:t>
      </w:r>
    </w:p>
    <w:p w:rsidR="00224567" w:rsidRDefault="00224567">
      <w:pPr>
        <w:widowControl w:val="0"/>
      </w:pPr>
      <w:r>
        <w:tab/>
      </w:r>
      <w:r>
        <w:tab/>
        <w:t>55.- Acta de fs. 221, su</w:t>
      </w:r>
      <w:r>
        <w:t>s</w:t>
      </w:r>
      <w:r>
        <w:t xml:space="preserve">cripta por el mencionado sargento, dando cuenta del hallazgo, el 25 de julio de </w:t>
      </w:r>
      <w:smartTag w:uri="urn:schemas-microsoft-com:office:smarttags" w:element="metricconverter">
        <w:smartTagPr>
          <w:attr w:name="ProductID" w:val="1994, a"/>
        </w:smartTagPr>
        <w:r>
          <w:t>1994, a</w:t>
        </w:r>
      </w:smartTag>
      <w:r>
        <w:t xml:space="preserve"> las 03.57, entre los escombros ubicados en la vereda perteneciente a </w:t>
      </w:r>
      <w:smartTag w:uri="urn:schemas-microsoft-com:office:smarttags" w:element="PersonName">
        <w:smartTagPr>
          <w:attr w:name="ProductID" w:val="la A.M"/>
        </w:smartTagPr>
        <w:r>
          <w:t>la A.M</w:t>
        </w:r>
      </w:smartTag>
      <w:r>
        <w:t>.I.A., de un trozo de goma con forma de fuelle y trozos de var</w:t>
      </w:r>
      <w:r>
        <w:t>i</w:t>
      </w:r>
      <w:r>
        <w:t>llas metálicas.</w:t>
      </w:r>
    </w:p>
    <w:p w:rsidR="00224567" w:rsidRDefault="00224567">
      <w:pPr>
        <w:widowControl w:val="0"/>
      </w:pPr>
      <w:r>
        <w:tab/>
      </w:r>
      <w:r>
        <w:tab/>
        <w:t>56.- Acta de fs. 222, su</w:t>
      </w:r>
      <w:r>
        <w:t>s</w:t>
      </w:r>
      <w:r>
        <w:t>cripta por el subinspector Horacio Ángel Lopardo, dando cuenta del h</w:t>
      </w:r>
      <w:r>
        <w:t>a</w:t>
      </w:r>
      <w:r>
        <w:t xml:space="preserve">llazgo, el 25 de julio de </w:t>
      </w:r>
      <w:smartTag w:uri="urn:schemas-microsoft-com:office:smarttags" w:element="metricconverter">
        <w:smartTagPr>
          <w:attr w:name="ProductID" w:val="1994, a"/>
        </w:smartTagPr>
        <w:r>
          <w:t>1994, a</w:t>
        </w:r>
      </w:smartTag>
      <w:r>
        <w:t xml:space="preserve"> las 11.00, en el int</w:t>
      </w:r>
      <w:r>
        <w:t>e</w:t>
      </w:r>
      <w:r>
        <w:t xml:space="preserve">rior de </w:t>
      </w:r>
      <w:smartTag w:uri="urn:schemas-microsoft-com:office:smarttags" w:element="PersonName">
        <w:smartTagPr>
          <w:attr w:name="ProductID" w:val="la A.M"/>
        </w:smartTagPr>
        <w:r>
          <w:t>la A.M</w:t>
        </w:r>
      </w:smartTag>
      <w:r>
        <w:t>.I.A., dos metros a la izquierda del i</w:t>
      </w:r>
      <w:r>
        <w:t>n</w:t>
      </w:r>
      <w:r>
        <w:t>greso al hall central, “de un trozo de cubierta de aut</w:t>
      </w:r>
      <w:r>
        <w:t>o</w:t>
      </w:r>
      <w:r>
        <w:t>móvil, un engranaje metálico, tres trozos de hierro que conforman parte de un freno, un pedazo de hierro semicurvado con restos de chapa soldado en un extremo y dos orejas de hi</w:t>
      </w:r>
      <w:r>
        <w:t>e</w:t>
      </w:r>
      <w:r>
        <w:t xml:space="preserve">rro a modo de amarre, un trozo de chapa de aproximadamente </w:t>
      </w:r>
      <w:smartTag w:uri="urn:schemas-microsoft-com:office:smarttags" w:element="metricconverter">
        <w:smartTagPr>
          <w:attr w:name="ProductID" w:val="80 cm"/>
        </w:smartTagPr>
        <w:r>
          <w:t>80 cm</w:t>
        </w:r>
      </w:smartTag>
      <w:r>
        <w:t xml:space="preserve"> por </w:t>
      </w:r>
      <w:smartTag w:uri="urn:schemas-microsoft-com:office:smarttags" w:element="metricconverter">
        <w:smartTagPr>
          <w:attr w:name="ProductID" w:val="10 cm"/>
        </w:smartTagPr>
        <w:r>
          <w:t>10 cm</w:t>
        </w:r>
      </w:smartTag>
      <w:r>
        <w:t xml:space="preserve"> y un trozo de chapa rectangular conforma</w:t>
      </w:r>
      <w:r>
        <w:t>n</w:t>
      </w:r>
      <w:r>
        <w:t xml:space="preserve">do un cajón retorcido y deformado de </w:t>
      </w:r>
      <w:smartTag w:uri="urn:schemas-microsoft-com:office:smarttags" w:element="metricconverter">
        <w:smartTagPr>
          <w:attr w:name="ProductID" w:val="90 cm"/>
        </w:smartTagPr>
        <w:r>
          <w:t>90 cm</w:t>
        </w:r>
      </w:smartTag>
      <w:r>
        <w:t xml:space="preserve"> por </w:t>
      </w:r>
      <w:smartTag w:uri="urn:schemas-microsoft-com:office:smarttags" w:element="metricconverter">
        <w:smartTagPr>
          <w:attr w:name="ProductID" w:val="25 cm"/>
        </w:smartTagPr>
        <w:r>
          <w:t>25 cm</w:t>
        </w:r>
      </w:smartTag>
      <w:r>
        <w:t xml:space="preserve"> apr</w:t>
      </w:r>
      <w:r>
        <w:t>o</w:t>
      </w:r>
      <w:r>
        <w:t>ximadamente, sujetando en uno de sus e</w:t>
      </w:r>
      <w:r>
        <w:t>x</w:t>
      </w:r>
      <w:r>
        <w:t xml:space="preserve">tremos una barra de acero curvada de aproximadamente </w:t>
      </w:r>
      <w:smartTag w:uri="urn:schemas-microsoft-com:office:smarttags" w:element="metricconverter">
        <w:smartTagPr>
          <w:attr w:name="ProductID" w:val="90 cm"/>
        </w:smartTagPr>
        <w:r>
          <w:t>90 cm</w:t>
        </w:r>
      </w:smartTag>
      <w:r>
        <w:t>”.</w:t>
      </w:r>
    </w:p>
    <w:p w:rsidR="00224567" w:rsidRDefault="00224567">
      <w:pPr>
        <w:widowControl w:val="0"/>
      </w:pPr>
      <w:r>
        <w:tab/>
      </w:r>
      <w:r>
        <w:tab/>
        <w:t>57.- Acta de fs. 223, su</w:t>
      </w:r>
      <w:r>
        <w:t>s</w:t>
      </w:r>
      <w:r>
        <w:t>cripta por el subinspector Alberto Tomás Scalise, dando cuenta del h</w:t>
      </w:r>
      <w:r>
        <w:t>a</w:t>
      </w:r>
      <w:r>
        <w:t xml:space="preserve">llazgo, el 25 de julio de </w:t>
      </w:r>
      <w:smartTag w:uri="urn:schemas-microsoft-com:office:smarttags" w:element="metricconverter">
        <w:smartTagPr>
          <w:attr w:name="ProductID" w:val="1994, a"/>
        </w:smartTagPr>
        <w:r>
          <w:t>1994, a</w:t>
        </w:r>
      </w:smartTag>
      <w:r>
        <w:t xml:space="preserve"> las 15.10, sobre la ca</w:t>
      </w:r>
      <w:r>
        <w:t>l</w:t>
      </w:r>
      <w:r>
        <w:t>zada frente al nº 633 de la calle Pasteur, “de un trozo de goma, posiblemente, perteneciente a un rodado autom</w:t>
      </w:r>
      <w:r>
        <w:t>o</w:t>
      </w:r>
      <w:r>
        <w:t>tor”.</w:t>
      </w:r>
    </w:p>
    <w:p w:rsidR="00224567" w:rsidRDefault="00224567">
      <w:pPr>
        <w:widowControl w:val="0"/>
      </w:pPr>
      <w:r>
        <w:tab/>
      </w:r>
      <w:r>
        <w:tab/>
        <w:t>58.- Acta de fs. 225, su</w:t>
      </w:r>
      <w:r>
        <w:t>s</w:t>
      </w:r>
      <w:r>
        <w:t>cripta por el subinspector Mauricio Adrián Barrera, dando cuenta del h</w:t>
      </w:r>
      <w:r>
        <w:t>a</w:t>
      </w:r>
      <w:r>
        <w:t xml:space="preserve">llazgo, el 25 de julio de </w:t>
      </w:r>
      <w:smartTag w:uri="urn:schemas-microsoft-com:office:smarttags" w:element="metricconverter">
        <w:smartTagPr>
          <w:attr w:name="ProductID" w:val="1994, a"/>
        </w:smartTagPr>
        <w:r>
          <w:t>1994, a</w:t>
        </w:r>
      </w:smartTag>
      <w:r>
        <w:t xml:space="preserve"> las 21.00, en el int</w:t>
      </w:r>
      <w:r>
        <w:t>e</w:t>
      </w:r>
      <w:r>
        <w:t xml:space="preserve">rior de los escombros de </w:t>
      </w:r>
      <w:smartTag w:uri="urn:schemas-microsoft-com:office:smarttags" w:element="PersonName">
        <w:smartTagPr>
          <w:attr w:name="ProductID" w:val="la A.M"/>
        </w:smartTagPr>
        <w:r>
          <w:t>la A.M</w:t>
        </w:r>
      </w:smartTag>
      <w:r>
        <w:t>.I.A., “de una pieza met</w:t>
      </w:r>
      <w:r>
        <w:t>á</w:t>
      </w:r>
      <w:r>
        <w:t xml:space="preserve">lica de aproximadamente </w:t>
      </w:r>
      <w:smartTag w:uri="urn:schemas-microsoft-com:office:smarttags" w:element="metricconverter">
        <w:smartTagPr>
          <w:attr w:name="ProductID" w:val="10 cm"/>
        </w:smartTagPr>
        <w:r>
          <w:t>10 cm</w:t>
        </w:r>
      </w:smartTag>
      <w:r>
        <w:t xml:space="preserve"> de longitud por </w:t>
      </w:r>
      <w:smartTag w:uri="urn:schemas-microsoft-com:office:smarttags" w:element="metricconverter">
        <w:smartTagPr>
          <w:attr w:name="ProductID" w:val="5 cm"/>
        </w:smartTagPr>
        <w:r>
          <w:t>5 cm</w:t>
        </w:r>
      </w:smartTag>
      <w:r>
        <w:t xml:space="preserve"> de a</w:t>
      </w:r>
      <w:r>
        <w:t>n</w:t>
      </w:r>
      <w:r>
        <w:t>cho, con cinco (5) orificios en su cue</w:t>
      </w:r>
      <w:r>
        <w:t>r</w:t>
      </w:r>
      <w:r>
        <w:t>po”.</w:t>
      </w:r>
    </w:p>
    <w:p w:rsidR="00224567" w:rsidRDefault="00224567">
      <w:pPr>
        <w:widowControl w:val="0"/>
      </w:pPr>
      <w:r>
        <w:tab/>
      </w:r>
      <w:r>
        <w:tab/>
        <w:t>59.- Acta de fs. 226, su</w:t>
      </w:r>
      <w:r>
        <w:t>s</w:t>
      </w:r>
      <w:r>
        <w:t>cripta por el sargento F</w:t>
      </w:r>
      <w:r>
        <w:t>é</w:t>
      </w:r>
      <w:r>
        <w:t xml:space="preserve">lix Alberto Estévez, dando cuenta del hallazgo, el 25 de julio de </w:t>
      </w:r>
      <w:smartTag w:uri="urn:schemas-microsoft-com:office:smarttags" w:element="metricconverter">
        <w:smartTagPr>
          <w:attr w:name="ProductID" w:val="1994, a"/>
        </w:smartTagPr>
        <w:r>
          <w:t>1994, a</w:t>
        </w:r>
      </w:smartTag>
      <w:r>
        <w:t xml:space="preserve"> las 23.00, en el interior de </w:t>
      </w:r>
      <w:smartTag w:uri="urn:schemas-microsoft-com:office:smarttags" w:element="PersonName">
        <w:smartTagPr>
          <w:attr w:name="ProductID" w:val="la A.M"/>
        </w:smartTagPr>
        <w:r>
          <w:t>la A.M</w:t>
        </w:r>
      </w:smartTag>
      <w:r>
        <w:t>.I.A., de una tapa de cilindro, un engranaje y una pi</w:t>
      </w:r>
      <w:r>
        <w:t>e</w:t>
      </w:r>
      <w:r>
        <w:t>za metálica, todos al parecer de un rodado.</w:t>
      </w:r>
    </w:p>
    <w:p w:rsidR="00224567" w:rsidRDefault="00224567">
      <w:pPr>
        <w:widowControl w:val="0"/>
      </w:pPr>
      <w:r>
        <w:tab/>
      </w:r>
      <w:r>
        <w:tab/>
        <w:t>60.- Acta de fs. 227, su</w:t>
      </w:r>
      <w:r>
        <w:t>s</w:t>
      </w:r>
      <w:r>
        <w:t xml:space="preserve">cripta por el subinspector Claudio Luis Kirianovicz, dando cuenta del hallazgo, el 26 de julio de </w:t>
      </w:r>
      <w:smartTag w:uri="urn:schemas-microsoft-com:office:smarttags" w:element="metricconverter">
        <w:smartTagPr>
          <w:attr w:name="ProductID" w:val="1994, a"/>
        </w:smartTagPr>
        <w:r>
          <w:t>1994, a</w:t>
        </w:r>
      </w:smartTag>
      <w:r>
        <w:t xml:space="preserve"> las 22.00, entre los esco</w:t>
      </w:r>
      <w:r>
        <w:t>m</w:t>
      </w:r>
      <w:r>
        <w:t xml:space="preserve">bros ubicados en la parte central de </w:t>
      </w:r>
      <w:smartTag w:uri="urn:schemas-microsoft-com:office:smarttags" w:element="PersonName">
        <w:smartTagPr>
          <w:attr w:name="ProductID" w:val="la A.M"/>
        </w:smartTagPr>
        <w:r>
          <w:t>la A.M</w:t>
        </w:r>
      </w:smartTag>
      <w:r>
        <w:t>.I.A., de “una (1) aparente carcaza metálica de un posible motor de arranque de vehíc</w:t>
      </w:r>
      <w:r>
        <w:t>u</w:t>
      </w:r>
      <w:r>
        <w:t>lo”.</w:t>
      </w:r>
    </w:p>
    <w:p w:rsidR="00224567" w:rsidRDefault="00224567">
      <w:pPr>
        <w:widowControl w:val="0"/>
      </w:pPr>
      <w:r>
        <w:tab/>
      </w:r>
      <w:r>
        <w:tab/>
        <w:t>61.- Acta de fs. 228, su</w:t>
      </w:r>
      <w:r>
        <w:t>s</w:t>
      </w:r>
      <w:r>
        <w:t>cripta por el subinspector Alberto Tomás Scalise, dando cuenta del h</w:t>
      </w:r>
      <w:r>
        <w:t>a</w:t>
      </w:r>
      <w:r>
        <w:t xml:space="preserve">llazgo, el 27 de julio de </w:t>
      </w:r>
      <w:smartTag w:uri="urn:schemas-microsoft-com:office:smarttags" w:element="metricconverter">
        <w:smartTagPr>
          <w:attr w:name="ProductID" w:val="1994, a"/>
        </w:smartTagPr>
        <w:r>
          <w:t>1994, a</w:t>
        </w:r>
      </w:smartTag>
      <w:r>
        <w:t xml:space="preserve"> las 11.30, en la parte media de </w:t>
      </w:r>
      <w:smartTag w:uri="urn:schemas-microsoft-com:office:smarttags" w:element="PersonName">
        <w:smartTagPr>
          <w:attr w:name="ProductID" w:val="la A.M"/>
        </w:smartTagPr>
        <w:r>
          <w:t>la A.M</w:t>
        </w:r>
      </w:smartTag>
      <w:r>
        <w:t>.I.A., “de una pieza metálica conformada en dos partes unidas por una especie de fierro, que podría ser parte constitutivo de pedalero de un vehículo autom</w:t>
      </w:r>
      <w:r>
        <w:t>o</w:t>
      </w:r>
      <w:r>
        <w:t>tor”.</w:t>
      </w:r>
    </w:p>
    <w:p w:rsidR="00224567" w:rsidRDefault="00224567">
      <w:pPr>
        <w:widowControl w:val="0"/>
      </w:pPr>
      <w:r>
        <w:tab/>
      </w:r>
      <w:r>
        <w:tab/>
        <w:t>62.- Acta de fs. 229, su</w:t>
      </w:r>
      <w:r>
        <w:t>s</w:t>
      </w:r>
      <w:r>
        <w:t>cripta por el menci</w:t>
      </w:r>
      <w:r>
        <w:t>o</w:t>
      </w:r>
      <w:r>
        <w:t xml:space="preserve">nado subinspector, dando cuenta del hallazgo, el 27 de julio de </w:t>
      </w:r>
      <w:smartTag w:uri="urn:schemas-microsoft-com:office:smarttags" w:element="metricconverter">
        <w:smartTagPr>
          <w:attr w:name="ProductID" w:val="1994, a"/>
        </w:smartTagPr>
        <w:r>
          <w:t>1994, a</w:t>
        </w:r>
      </w:smartTag>
      <w:r>
        <w:t xml:space="preserve"> las 12.00, en el interior del local ubicado a la altura aproximada de Pasteur 620, de una pi</w:t>
      </w:r>
      <w:r>
        <w:t>e</w:t>
      </w:r>
      <w:r>
        <w:t>za metálica con c</w:t>
      </w:r>
      <w:r>
        <w:t>a</w:t>
      </w:r>
      <w:r>
        <w:t>racterísticas similares a la mordaza de un fr</w:t>
      </w:r>
      <w:r>
        <w:t>e</w:t>
      </w:r>
      <w:r>
        <w:t>no de vehículo.</w:t>
      </w:r>
    </w:p>
    <w:p w:rsidR="00224567" w:rsidRDefault="00224567">
      <w:pPr>
        <w:widowControl w:val="0"/>
      </w:pPr>
      <w:r>
        <w:tab/>
      </w:r>
      <w:r>
        <w:tab/>
        <w:t>63.- Acta de fs. 230, su</w:t>
      </w:r>
      <w:r>
        <w:t>s</w:t>
      </w:r>
      <w:r>
        <w:t>cripta por el menci</w:t>
      </w:r>
      <w:r>
        <w:t>o</w:t>
      </w:r>
      <w:r>
        <w:t xml:space="preserve">nado subinspector, dando cuenta del hallazgo, el 27 de julio de </w:t>
      </w:r>
      <w:smartTag w:uri="urn:schemas-microsoft-com:office:smarttags" w:element="metricconverter">
        <w:smartTagPr>
          <w:attr w:name="ProductID" w:val="1994, a"/>
        </w:smartTagPr>
        <w:r>
          <w:t>1994, a</w:t>
        </w:r>
      </w:smartTag>
      <w:r>
        <w:t xml:space="preserve"> las 12.10, en la calle Pasteur a la altura aproximada del nº 620, de una pieza metálica co</w:t>
      </w:r>
      <w:r>
        <w:t>n</w:t>
      </w:r>
      <w:r>
        <w:t>formada por dos partes abulonadas, constitutiva, aparent</w:t>
      </w:r>
      <w:r>
        <w:t>e</w:t>
      </w:r>
      <w:r>
        <w:t>mente, de una junta de eje de un veh</w:t>
      </w:r>
      <w:r>
        <w:t>í</w:t>
      </w:r>
      <w:r>
        <w:t>culo.</w:t>
      </w:r>
    </w:p>
    <w:p w:rsidR="00224567" w:rsidRDefault="00224567">
      <w:pPr>
        <w:widowControl w:val="0"/>
      </w:pPr>
      <w:r>
        <w:tab/>
      </w:r>
      <w:r>
        <w:tab/>
        <w:t>64.- Acta de fs. 231, su</w:t>
      </w:r>
      <w:r>
        <w:t>s</w:t>
      </w:r>
      <w:r>
        <w:t>cripta por el subinspector Alberto Tomás Scalise, dando cuenta del h</w:t>
      </w:r>
      <w:r>
        <w:t>a</w:t>
      </w:r>
      <w:r>
        <w:t xml:space="preserve">llazgo, el 27 de julio de </w:t>
      </w:r>
      <w:smartTag w:uri="urn:schemas-microsoft-com:office:smarttags" w:element="metricconverter">
        <w:smartTagPr>
          <w:attr w:name="ProductID" w:val="1994, a"/>
        </w:smartTagPr>
        <w:r>
          <w:t>1994, a</w:t>
        </w:r>
      </w:smartTag>
      <w:r>
        <w:t xml:space="preserve"> las 13.00, en el se</w:t>
      </w:r>
      <w:r>
        <w:t>c</w:t>
      </w:r>
      <w:r>
        <w:t xml:space="preserve">tor del escenario del anfiteatro de </w:t>
      </w:r>
      <w:smartTag w:uri="urn:schemas-microsoft-com:office:smarttags" w:element="PersonName">
        <w:smartTagPr>
          <w:attr w:name="ProductID" w:val="la A.M"/>
        </w:smartTagPr>
        <w:r>
          <w:t>la A.M</w:t>
        </w:r>
      </w:smartTag>
      <w:r>
        <w:t>.I.A., “de una se</w:t>
      </w:r>
      <w:r>
        <w:t>c</w:t>
      </w:r>
      <w:r>
        <w:t>ción metálica alargada, posiblemente una llave de rueda de un rodado autom</w:t>
      </w:r>
      <w:r>
        <w:t>o</w:t>
      </w:r>
      <w:r>
        <w:t>tor”.</w:t>
      </w:r>
    </w:p>
    <w:p w:rsidR="00224567" w:rsidRDefault="00224567">
      <w:pPr>
        <w:widowControl w:val="0"/>
      </w:pPr>
      <w:r>
        <w:tab/>
      </w:r>
      <w:r>
        <w:tab/>
        <w:t>65.- Acta de fs. 232, labrada por el subinspector Marcelo Debiassi, en presencia del ayudante Walter Ostapowicz y de Miguel Simón Paco, da</w:t>
      </w:r>
      <w:r>
        <w:t>n</w:t>
      </w:r>
      <w:r>
        <w:t xml:space="preserve">do cuenta del hallazgo, en un predio de </w:t>
      </w:r>
      <w:smartTag w:uri="urn:schemas-microsoft-com:office:smarttags" w:element="PersonName">
        <w:smartTagPr>
          <w:attr w:name="ProductID" w:val="la Costanera Norte"/>
        </w:smartTagPr>
        <w:r>
          <w:t>la Costanera Norte</w:t>
        </w:r>
      </w:smartTag>
      <w:r>
        <w:t xml:space="preserve"> de esta ci</w:t>
      </w:r>
      <w:r>
        <w:t>u</w:t>
      </w:r>
      <w:r>
        <w:t>dad, el 27 de julio de 1994, de piezas metálicas y de re</w:t>
      </w:r>
      <w:r>
        <w:t>s</w:t>
      </w:r>
      <w:r>
        <w:t>tos de mampost</w:t>
      </w:r>
      <w:r>
        <w:t>e</w:t>
      </w:r>
      <w:r>
        <w:t>ría.</w:t>
      </w:r>
    </w:p>
    <w:p w:rsidR="00224567" w:rsidRDefault="00224567">
      <w:pPr>
        <w:widowControl w:val="0"/>
      </w:pPr>
      <w:r>
        <w:tab/>
      </w:r>
      <w:r>
        <w:tab/>
        <w:t>66.- Acta de fs. 5 del Informe Final del Departamento Explosivos y Riesgos Esp</w:t>
      </w:r>
      <w:r>
        <w:t>e</w:t>
      </w:r>
      <w:r>
        <w:t>ciales, labrada por el subinspector Claudio Kirianovicz, en presencia de los testigos Luis Benito Arias y José Mendoza, dando cue</w:t>
      </w:r>
      <w:r>
        <w:t>n</w:t>
      </w:r>
      <w:r>
        <w:t xml:space="preserve">ta del hallazgo, detrás de </w:t>
      </w:r>
      <w:smartTag w:uri="urn:schemas-microsoft-com:office:smarttags" w:element="PersonName">
        <w:smartTagPr>
          <w:attr w:name="ProductID" w:val="la Ciudad Universitaria"/>
        </w:smartTagPr>
        <w:r>
          <w:t>la Ciudad Universitaria</w:t>
        </w:r>
      </w:smartTag>
      <w:r>
        <w:t>, el 25 de ago</w:t>
      </w:r>
      <w:r>
        <w:t>s</w:t>
      </w:r>
      <w:r>
        <w:t xml:space="preserve">to de </w:t>
      </w:r>
      <w:smartTag w:uri="urn:schemas-microsoft-com:office:smarttags" w:element="metricconverter">
        <w:smartTagPr>
          <w:attr w:name="ProductID" w:val="1994, a"/>
        </w:smartTagPr>
        <w:r>
          <w:t>1994, a</w:t>
        </w:r>
      </w:smartTag>
      <w:r>
        <w:t xml:space="preserve"> las 12.00, de “(2) dos trozos de una batería, un (1) trozo de mat</w:t>
      </w:r>
      <w:r>
        <w:t>e</w:t>
      </w:r>
      <w:r>
        <w:t>rial plástico con (4) cuatro cables adosados, un (1) trozo de metal con tornillos y r</w:t>
      </w:r>
      <w:r>
        <w:t>u</w:t>
      </w:r>
      <w:r>
        <w:t>lemán deformado, (1) un trozo de metal (aluminio), un (1) trozo de metal cilíndrico, un (1) aparente disco de embr</w:t>
      </w:r>
      <w:r>
        <w:t>a</w:t>
      </w:r>
      <w:r>
        <w:t>gue, dos (2) trozos de metal cilíndrico, un (1) trozo de metal y adosado un taco de goma, un (1) taco de goma con una rosca, una (1) planchu</w:t>
      </w:r>
      <w:r>
        <w:t>e</w:t>
      </w:r>
      <w:r>
        <w:t>la metálica con dos orificios, cinco (5) trozos de chapa deformadas, un (1) trozo de m</w:t>
      </w:r>
      <w:r>
        <w:t>e</w:t>
      </w:r>
      <w:r>
        <w:t>tal con rem</w:t>
      </w:r>
      <w:r>
        <w:t>a</w:t>
      </w:r>
      <w:r>
        <w:t>ches”.</w:t>
      </w:r>
    </w:p>
    <w:p w:rsidR="00224567" w:rsidRDefault="00224567">
      <w:pPr>
        <w:widowControl w:val="0"/>
      </w:pPr>
      <w:r>
        <w:tab/>
      </w:r>
      <w:r>
        <w:tab/>
        <w:t>67.- Acta de fs. 7 del Informe F</w:t>
      </w:r>
      <w:r>
        <w:t>i</w:t>
      </w:r>
      <w:r>
        <w:t>nal, labrada por el subinspector Alberto Tomás Scalise, en pr</w:t>
      </w:r>
      <w:r>
        <w:t>e</w:t>
      </w:r>
      <w:r>
        <w:t xml:space="preserve">sencia del testigo David Tomás González Espinoza, dando cuenta del hallazgo, detrás de </w:t>
      </w:r>
      <w:smartTag w:uri="urn:schemas-microsoft-com:office:smarttags" w:element="PersonName">
        <w:smartTagPr>
          <w:attr w:name="ProductID" w:val="la Ciudad Universitaria"/>
        </w:smartTagPr>
        <w:r>
          <w:t>la Ciudad Univers</w:t>
        </w:r>
        <w:r>
          <w:t>i</w:t>
        </w:r>
        <w:r>
          <w:t>taria</w:t>
        </w:r>
      </w:smartTag>
      <w:r>
        <w:t xml:space="preserve">, el 12 de agosto de </w:t>
      </w:r>
      <w:smartTag w:uri="urn:schemas-microsoft-com:office:smarttags" w:element="metricconverter">
        <w:smartTagPr>
          <w:attr w:name="ProductID" w:val="1994, a"/>
        </w:smartTagPr>
        <w:r>
          <w:t>1994, a</w:t>
        </w:r>
      </w:smartTag>
      <w:r>
        <w:t xml:space="preserve"> las 11.00, de “una (1) tapa carb</w:t>
      </w:r>
      <w:r>
        <w:t>u</w:t>
      </w:r>
      <w:r>
        <w:t xml:space="preserve">rador con inscripción “Renault </w:t>
      </w:r>
      <w:smartTag w:uri="urn:schemas-microsoft-com:office:smarttags" w:element="metricconverter">
        <w:smartTagPr>
          <w:attr w:name="ProductID" w:val="1600”"/>
        </w:smartTagPr>
        <w:r>
          <w:t>1600”</w:t>
        </w:r>
      </w:smartTag>
      <w:r>
        <w:t>, una (1) sección de hierro grueso con perforaciones, de formato cilíndrico, una (1) sección de hierro de formato plano con perforaci</w:t>
      </w:r>
      <w:r>
        <w:t>o</w:t>
      </w:r>
      <w:r>
        <w:t>nes en ambos extremos, una (1) pieza plástica con conta</w:t>
      </w:r>
      <w:r>
        <w:t>c</w:t>
      </w:r>
      <w:r>
        <w:t>tos y cables y un (1) trozo de metal semicircular”; acta en la que se dejó constancia de la presencia de un solo testigo en razón de ser una zona de difícil acceso.</w:t>
      </w:r>
    </w:p>
    <w:p w:rsidR="00224567" w:rsidRDefault="00224567">
      <w:pPr>
        <w:widowControl w:val="0"/>
      </w:pPr>
      <w:r>
        <w:tab/>
      </w:r>
      <w:r>
        <w:tab/>
        <w:t>68.- Acta de fs. 8 del Informe F</w:t>
      </w:r>
      <w:r>
        <w:t>i</w:t>
      </w:r>
      <w:r>
        <w:t>nal, labrada por el subinspector Claudio Kirianovicz, en pr</w:t>
      </w:r>
      <w:r>
        <w:t>e</w:t>
      </w:r>
      <w:r>
        <w:t>sencia de los testigos Eulogio Gómez y Roberto Ortiz, da</w:t>
      </w:r>
      <w:r>
        <w:t>n</w:t>
      </w:r>
      <w:r>
        <w:t xml:space="preserve">do cuenta del hallazgo, detrás de </w:t>
      </w:r>
      <w:smartTag w:uri="urn:schemas-microsoft-com:office:smarttags" w:element="PersonName">
        <w:smartTagPr>
          <w:attr w:name="ProductID" w:val="la Ciudad Universitaria"/>
        </w:smartTagPr>
        <w:r>
          <w:t>la Ciudad Universit</w:t>
        </w:r>
        <w:r>
          <w:t>a</w:t>
        </w:r>
        <w:r>
          <w:t>ria</w:t>
        </w:r>
      </w:smartTag>
      <w:r>
        <w:t xml:space="preserve">, el 7 de agosto de </w:t>
      </w:r>
      <w:smartTag w:uri="urn:schemas-microsoft-com:office:smarttags" w:element="metricconverter">
        <w:smartTagPr>
          <w:attr w:name="ProductID" w:val="1994, a"/>
        </w:smartTagPr>
        <w:r>
          <w:t>1994, a</w:t>
        </w:r>
      </w:smartTag>
      <w:r>
        <w:t xml:space="preserve"> las 11.45, de “(1) trozo de m</w:t>
      </w:r>
      <w:r>
        <w:t>a</w:t>
      </w:r>
      <w:r>
        <w:t>terial plástico color blanco, (2) dos trozos de material plástico color negro, (1) un trozo de metal de un aparente elástico de vehículo, (1) un trozo de metal (chapa) con (6) seis orificios de un aparente vehículo”.</w:t>
      </w:r>
    </w:p>
    <w:p w:rsidR="00224567" w:rsidRDefault="00224567">
      <w:pPr>
        <w:pStyle w:val="Textoindependiente2"/>
        <w:widowControl w:val="0"/>
        <w:rPr>
          <w:rFonts w:ascii="Courier New" w:hAnsi="Courier New" w:cs="Courier New"/>
        </w:rPr>
      </w:pPr>
      <w:r>
        <w:rPr>
          <w:rFonts w:ascii="Courier New" w:hAnsi="Courier New" w:cs="Courier New"/>
        </w:rPr>
        <w:tab/>
        <w:t>69.- Actas de fs. 8777 y fs. 8778 del principal, suscriptas por el subinspector Claudio A</w:t>
      </w:r>
      <w:r>
        <w:rPr>
          <w:rFonts w:ascii="Courier New" w:hAnsi="Courier New" w:cs="Courier New"/>
        </w:rPr>
        <w:t>l</w:t>
      </w:r>
      <w:r>
        <w:rPr>
          <w:rFonts w:ascii="Courier New" w:hAnsi="Courier New" w:cs="Courier New"/>
        </w:rPr>
        <w:t>berto Camarero y por el inspector Claudio Kirianovicz, en pr</w:t>
      </w:r>
      <w:r>
        <w:rPr>
          <w:rFonts w:ascii="Courier New" w:hAnsi="Courier New" w:cs="Courier New"/>
        </w:rPr>
        <w:t>e</w:t>
      </w:r>
      <w:r>
        <w:rPr>
          <w:rFonts w:ascii="Courier New" w:hAnsi="Courier New" w:cs="Courier New"/>
        </w:rPr>
        <w:t>sencia de los testigos Marcelo Daniel Soria y José Jorge Santillán, dando cuenta del hallazgo, en la terraza del inmueble de la calle Pasteur 576, el 3 de febrero de 1995, de cuarenta y nueve pedazos de m</w:t>
      </w:r>
      <w:r>
        <w:rPr>
          <w:rFonts w:ascii="Courier New" w:hAnsi="Courier New" w:cs="Courier New"/>
        </w:rPr>
        <w:t>e</w:t>
      </w:r>
      <w:r>
        <w:rPr>
          <w:rFonts w:ascii="Courier New" w:hAnsi="Courier New" w:cs="Courier New"/>
        </w:rPr>
        <w:t>tal de reducido tamaño y forma irregular y de un pedazo de goma color negro, de s</w:t>
      </w:r>
      <w:r>
        <w:rPr>
          <w:rFonts w:ascii="Courier New" w:hAnsi="Courier New" w:cs="Courier New"/>
        </w:rPr>
        <w:t>i</w:t>
      </w:r>
      <w:r>
        <w:rPr>
          <w:rFonts w:ascii="Courier New" w:hAnsi="Courier New" w:cs="Courier New"/>
        </w:rPr>
        <w:t>milares características, como así también, en el descanso del techo del 1° piso de la mentada edificación, de un trozo de chapa pequeña y d</w:t>
      </w:r>
      <w:r>
        <w:rPr>
          <w:rFonts w:ascii="Courier New" w:hAnsi="Courier New" w:cs="Courier New"/>
        </w:rPr>
        <w:t>e</w:t>
      </w:r>
      <w:r>
        <w:rPr>
          <w:rFonts w:ascii="Courier New" w:hAnsi="Courier New" w:cs="Courier New"/>
        </w:rPr>
        <w:t>formada.</w:t>
      </w:r>
    </w:p>
    <w:p w:rsidR="00224567" w:rsidRDefault="00224567">
      <w:pPr>
        <w:widowControl w:val="0"/>
      </w:pPr>
      <w:r>
        <w:rPr>
          <w:b/>
          <w:bCs/>
        </w:rPr>
        <w:tab/>
        <w:t>A.11)</w:t>
      </w:r>
      <w:r>
        <w:t xml:space="preserve"> El personal del Departamento E</w:t>
      </w:r>
      <w:r>
        <w:t>x</w:t>
      </w:r>
      <w:r>
        <w:t xml:space="preserve">plosivos y Riesgos Especiales de </w:t>
      </w:r>
      <w:smartTag w:uri="urn:schemas-microsoft-com:office:smarttags" w:element="PersonName">
        <w:smartTagPr>
          <w:attr w:name="ProductID" w:val="la Superintendencia Federal"/>
        </w:smartTagPr>
        <w:r>
          <w:t>la Superintendencia Fed</w:t>
        </w:r>
        <w:r>
          <w:t>e</w:t>
        </w:r>
        <w:r>
          <w:t>ral</w:t>
        </w:r>
      </w:smartTag>
      <w:r>
        <w:t xml:space="preserve"> de Bomberos de </w:t>
      </w:r>
      <w:smartTag w:uri="urn:schemas-microsoft-com:office:smarttags" w:element="PersonName">
        <w:smartTagPr>
          <w:attr w:name="ProductID" w:val="la Polic￭a Federal"/>
        </w:smartTagPr>
        <w:r>
          <w:t>la Policía Federal</w:t>
        </w:r>
      </w:smartTag>
      <w:r>
        <w:t xml:space="preserve"> Argentina r</w:t>
      </w:r>
      <w:r>
        <w:t>a</w:t>
      </w:r>
      <w:r>
        <w:t>tificó, en líneas generales, cada uno de los hallazgos arriba al</w:t>
      </w:r>
      <w:r>
        <w:t>u</w:t>
      </w:r>
      <w:r>
        <w:t>didos, habiendo sido conte</w:t>
      </w:r>
      <w:r>
        <w:t>s</w:t>
      </w:r>
      <w:r>
        <w:t>tes en afirmar que concurrieron al lugar del siniestro con el fin primo</w:t>
      </w:r>
      <w:r>
        <w:t>r</w:t>
      </w:r>
      <w:r>
        <w:t>dial de recolectar evidencias que pudieran explicar la génesis de la expl</w:t>
      </w:r>
      <w:r>
        <w:t>o</w:t>
      </w:r>
      <w:r>
        <w:t>sión; colecta que, tras el hallazgo de piezas de un aut</w:t>
      </w:r>
      <w:r>
        <w:t>o</w:t>
      </w:r>
      <w:r>
        <w:t>motor, se direccionó en ese sent</w:t>
      </w:r>
      <w:r>
        <w:t>i</w:t>
      </w:r>
      <w:r>
        <w:t>do.</w:t>
      </w:r>
    </w:p>
    <w:p w:rsidR="00224567" w:rsidRDefault="00224567">
      <w:pPr>
        <w:pStyle w:val="Textoindependiente2"/>
        <w:widowControl w:val="0"/>
        <w:rPr>
          <w:rFonts w:ascii="Courier New" w:hAnsi="Courier New" w:cs="Courier New"/>
        </w:rPr>
      </w:pPr>
      <w:r>
        <w:rPr>
          <w:rFonts w:ascii="Courier New" w:hAnsi="Courier New" w:cs="Courier New"/>
        </w:rPr>
        <w:tab/>
        <w:t>Así, los testimonios que luego habrán de reseñarse señalaron que a poco de ocurrido el ate</w:t>
      </w:r>
      <w:r>
        <w:rPr>
          <w:rFonts w:ascii="Courier New" w:hAnsi="Courier New" w:cs="Courier New"/>
        </w:rPr>
        <w:t>n</w:t>
      </w:r>
      <w:r>
        <w:rPr>
          <w:rFonts w:ascii="Courier New" w:hAnsi="Courier New" w:cs="Courier New"/>
        </w:rPr>
        <w:t>tado se halló en el lugar un trozo de una  parrilla  de  su</w:t>
      </w:r>
      <w:r>
        <w:rPr>
          <w:rFonts w:ascii="Courier New" w:hAnsi="Courier New" w:cs="Courier New"/>
        </w:rPr>
        <w:t>s</w:t>
      </w:r>
      <w:r>
        <w:rPr>
          <w:rFonts w:ascii="Courier New" w:hAnsi="Courier New" w:cs="Courier New"/>
        </w:rPr>
        <w:t>pensión de un automotor que prese</w:t>
      </w:r>
      <w:r>
        <w:rPr>
          <w:rFonts w:ascii="Courier New" w:hAnsi="Courier New" w:cs="Courier New"/>
        </w:rPr>
        <w:t>n</w:t>
      </w:r>
      <w:r>
        <w:rPr>
          <w:rFonts w:ascii="Courier New" w:hAnsi="Courier New" w:cs="Courier New"/>
        </w:rPr>
        <w:t>taba un rombo           -característico de la marca Renault- estampado en r</w:t>
      </w:r>
      <w:r>
        <w:rPr>
          <w:rFonts w:ascii="Courier New" w:hAnsi="Courier New" w:cs="Courier New"/>
        </w:rPr>
        <w:t>e</w:t>
      </w:r>
      <w:r>
        <w:rPr>
          <w:rFonts w:ascii="Courier New" w:hAnsi="Courier New" w:cs="Courier New"/>
        </w:rPr>
        <w:t>lieve y que, en virtud de ello, la autoridad policial co</w:t>
      </w:r>
      <w:r>
        <w:rPr>
          <w:rFonts w:ascii="Courier New" w:hAnsi="Courier New" w:cs="Courier New"/>
        </w:rPr>
        <w:t>n</w:t>
      </w:r>
      <w:r>
        <w:rPr>
          <w:rFonts w:ascii="Courier New" w:hAnsi="Courier New" w:cs="Courier New"/>
        </w:rPr>
        <w:t>currió a la empresa “CIADEA S.A.”, donde sus técnicos reconoci</w:t>
      </w:r>
      <w:r>
        <w:rPr>
          <w:rFonts w:ascii="Courier New" w:hAnsi="Courier New" w:cs="Courier New"/>
        </w:rPr>
        <w:t>e</w:t>
      </w:r>
      <w:r>
        <w:rPr>
          <w:rFonts w:ascii="Courier New" w:hAnsi="Courier New" w:cs="Courier New"/>
        </w:rPr>
        <w:t>ron la pieza en cuestión como perteneciente a un veh</w:t>
      </w:r>
      <w:r>
        <w:rPr>
          <w:rFonts w:ascii="Courier New" w:hAnsi="Courier New" w:cs="Courier New"/>
        </w:rPr>
        <w:t>í</w:t>
      </w:r>
      <w:r>
        <w:rPr>
          <w:rFonts w:ascii="Courier New" w:hAnsi="Courier New" w:cs="Courier New"/>
        </w:rPr>
        <w:t>culo de esa marca, modelo Trafic.</w:t>
      </w:r>
    </w:p>
    <w:p w:rsidR="00224567" w:rsidRDefault="00224567">
      <w:pPr>
        <w:widowControl w:val="0"/>
      </w:pPr>
      <w:r>
        <w:tab/>
        <w:t>En ese sentido, el entonces subcomis</w:t>
      </w:r>
      <w:r>
        <w:t>a</w:t>
      </w:r>
      <w:r>
        <w:t>rio Carlos Néstor López, a cargo de la labor pericial, i</w:t>
      </w:r>
      <w:r>
        <w:t>n</w:t>
      </w:r>
      <w:r>
        <w:t>dicó que desde el inicio y luego de evaluar los daños o</w:t>
      </w:r>
      <w:r>
        <w:t>b</w:t>
      </w:r>
      <w:r>
        <w:t>servados a lo largo de la calle Pasteur al 600, orientó la pesquisa según la hipótesis de que el explosivo habría d</w:t>
      </w:r>
      <w:r>
        <w:t>e</w:t>
      </w:r>
      <w:r>
        <w:t>tonado en el interior de un vehículo –“cochebomba”-; s</w:t>
      </w:r>
      <w:r>
        <w:t>u</w:t>
      </w:r>
      <w:r>
        <w:t>puesto que se vio ratificado, al p</w:t>
      </w:r>
      <w:r>
        <w:t>o</w:t>
      </w:r>
      <w:r>
        <w:t>co tiempo, en virtud de haber hallado, diseminadas en el lugar, distintas autopa</w:t>
      </w:r>
      <w:r>
        <w:t>r</w:t>
      </w:r>
      <w:r>
        <w:t>tes.</w:t>
      </w:r>
    </w:p>
    <w:p w:rsidR="00224567" w:rsidRDefault="00224567">
      <w:pPr>
        <w:widowControl w:val="0"/>
      </w:pPr>
      <w:r>
        <w:tab/>
        <w:t>López explicó, además, que tales h</w:t>
      </w:r>
      <w:r>
        <w:t>a</w:t>
      </w:r>
      <w:r>
        <w:t>llazgos permitieron desechar la hipótesis de que el art</w:t>
      </w:r>
      <w:r>
        <w:t>e</w:t>
      </w:r>
      <w:r>
        <w:t>facto explosivo hubiese estado ubicado en el interior del volquete que momentos antes se había depositado en la c</w:t>
      </w:r>
      <w:r>
        <w:t>a</w:t>
      </w:r>
      <w:r>
        <w:t>lle, frente a la sede de la mutual, el que presentaba r</w:t>
      </w:r>
      <w:r>
        <w:t>o</w:t>
      </w:r>
      <w:r>
        <w:t>turas y deformaciones compatibles con la recepción de un impacto expansivo y de desplazamie</w:t>
      </w:r>
      <w:r>
        <w:t>n</w:t>
      </w:r>
      <w:r>
        <w:t>to.</w:t>
      </w:r>
    </w:p>
    <w:p w:rsidR="00224567" w:rsidRDefault="00224567">
      <w:pPr>
        <w:widowControl w:val="0"/>
      </w:pPr>
      <w:r>
        <w:tab/>
        <w:t>En otro orden de cosas, los testim</w:t>
      </w:r>
      <w:r>
        <w:t>o</w:t>
      </w:r>
      <w:r>
        <w:t>nios recibidos en el debate acreditaron que, a poco del estallido, el Departamento Explosivos y Riesgos Esp</w:t>
      </w:r>
      <w:r>
        <w:t>e</w:t>
      </w:r>
      <w:r>
        <w:t xml:space="preserve">ciales de </w:t>
      </w:r>
      <w:smartTag w:uri="urn:schemas-microsoft-com:office:smarttags" w:element="PersonName">
        <w:smartTagPr>
          <w:attr w:name="ProductID" w:val="la Polic￭a Federal"/>
        </w:smartTagPr>
        <w:r>
          <w:t>la Policía Federal</w:t>
        </w:r>
      </w:smartTag>
      <w:r>
        <w:t xml:space="preserve"> estableció un centro de operaciones en el comercio de “Moragues Instalaciones S.R.L.”, sito en Pasteur 669, con la finalidad de centralizar allí todas las tareas emprendidas por el personal de dicha depende</w:t>
      </w:r>
      <w:r>
        <w:t>n</w:t>
      </w:r>
      <w:r>
        <w:t>cia, estableciéndose, además, una sala de situación y un lugar de acopio de las ev</w:t>
      </w:r>
      <w:r>
        <w:t>i</w:t>
      </w:r>
      <w:r>
        <w:t>dencias que se recogerían en el lugar. En el mismo sentido, resultan ilustrativas las f</w:t>
      </w:r>
      <w:r>
        <w:t>o</w:t>
      </w:r>
      <w:r>
        <w:t xml:space="preserve">tografías nros. 27, 28 y 30 de </w:t>
      </w:r>
      <w:smartTag w:uri="urn:schemas-microsoft-com:office:smarttags" w:element="PersonName">
        <w:smartTagPr>
          <w:attr w:name="ProductID" w:val="la Editorial Atl￡ntida"/>
        </w:smartTagPr>
        <w:r>
          <w:t>la Editorial Atlántida</w:t>
        </w:r>
      </w:smartTag>
      <w:r>
        <w:t>, e</w:t>
      </w:r>
      <w:r>
        <w:t>n</w:t>
      </w:r>
      <w:r>
        <w:t>viadas a fs. 1531 y 1975 del legajo de instrucción supl</w:t>
      </w:r>
      <w:r>
        <w:t>e</w:t>
      </w:r>
      <w:r>
        <w:t>mentaria.</w:t>
      </w:r>
    </w:p>
    <w:p w:rsidR="00224567" w:rsidRDefault="00224567">
      <w:pPr>
        <w:widowControl w:val="0"/>
      </w:pPr>
      <w:r>
        <w:tab/>
        <w:t>Así, el por entonces subinspector Ma</w:t>
      </w:r>
      <w:r>
        <w:t>u</w:t>
      </w:r>
      <w:r>
        <w:t>ricio Adrián Barrera refirió que el día del atentado, a eso de las 11.00, se hizo presente en el lugar de los h</w:t>
      </w:r>
      <w:r>
        <w:t>e</w:t>
      </w:r>
      <w:r>
        <w:t>chos, regresando los días 20 y 25 de julio por la noche, a más de otras oportunidades. Explicó que su tarea consi</w:t>
      </w:r>
      <w:r>
        <w:t>s</w:t>
      </w:r>
      <w:r>
        <w:t>tió, básicamente, en recorrer la zona de a pie, recole</w:t>
      </w:r>
      <w:r>
        <w:t>c</w:t>
      </w:r>
      <w:r>
        <w:t>tando evidencias que luego eran llevadas a un centro de operaciones instalado en un negocio próximo al edificio afectado, donde se las clasificaba, señalizándose en un plano el lugar aproximado donde fueron encontradas, de</w:t>
      </w:r>
      <w:r>
        <w:t>s</w:t>
      </w:r>
      <w:r>
        <w:t>cartándose las que, claramente, no resultaban de i</w:t>
      </w:r>
      <w:r>
        <w:t>n</w:t>
      </w:r>
      <w:r>
        <w:t>terés.</w:t>
      </w:r>
    </w:p>
    <w:p w:rsidR="00224567" w:rsidRDefault="00224567">
      <w:pPr>
        <w:widowControl w:val="0"/>
      </w:pPr>
      <w:r>
        <w:tab/>
        <w:t>En punto al hallazgo de evidencias, Barrera recordó haber encontrado varios trozos deform</w:t>
      </w:r>
      <w:r>
        <w:t>a</w:t>
      </w:r>
      <w:r>
        <w:t>dos que, por sus características, indicaban haber sido partes de un vehículo automotor; en particular, precisó los s</w:t>
      </w:r>
      <w:r>
        <w:t>i</w:t>
      </w:r>
      <w:r>
        <w:t>guientes hallazgos: en la v</w:t>
      </w:r>
      <w:r>
        <w:t>e</w:t>
      </w:r>
      <w:r>
        <w:t>reda de un edificio de varios pisos ubicado enfrente y en diagonal a la mutual, una pi</w:t>
      </w:r>
      <w:r>
        <w:t>e</w:t>
      </w:r>
      <w:r>
        <w:t>za metálica alargada, con forma curva o semicurva y apl</w:t>
      </w:r>
      <w:r>
        <w:t>a</w:t>
      </w:r>
      <w:r>
        <w:t>nada, similar a un elástico de autom</w:t>
      </w:r>
      <w:r>
        <w:t>ó</w:t>
      </w:r>
      <w:r>
        <w:t>vil; sobre la vereda de la mutual, a unos veinte metros hacia la calle Viamo</w:t>
      </w:r>
      <w:r>
        <w:t>n</w:t>
      </w:r>
      <w:r>
        <w:t>te, una pieza semicurva semejante a un patín de frenos; una chapa constitutiva de una llanta con un número; una chapa deformada que present</w:t>
      </w:r>
      <w:r>
        <w:t>a</w:t>
      </w:r>
      <w:r>
        <w:t>ba una inscripción y una parte de una masa de un vehículo con un orificio. En cuanto a los lugares en que se recogieron estas últimas, sólo r</w:t>
      </w:r>
      <w:r>
        <w:t>e</w:t>
      </w:r>
      <w:r>
        <w:t>cordó que una estaba en el interior de Pasteur 633 y otra en la vereda opuesta, hacia el lado de Tuc</w:t>
      </w:r>
      <w:r>
        <w:t>u</w:t>
      </w:r>
      <w:r>
        <w:t>mán.</w:t>
      </w:r>
    </w:p>
    <w:p w:rsidR="00224567" w:rsidRDefault="00224567">
      <w:pPr>
        <w:widowControl w:val="0"/>
      </w:pPr>
      <w:r>
        <w:tab/>
        <w:t>Al serles exhibidas las fotogr</w:t>
      </w:r>
      <w:r>
        <w:t>a</w:t>
      </w:r>
      <w:r>
        <w:t>fías de las piezas secuestradas, Barrera reconoció la nº 2 que, aparentemente, sería la llanta en cuestión; la nº 33, la maza con un orificio y la nº 34 como el elástico antes mencionado (cónfr. fs. 67vta.; 83 y 83vta. del Informe Preliminar). Asimismo, también reconoció su escritura y firma en las actas de fs. 166, 167, 169, 179, 180, 197 y 225 del mentado informe. Aclaró que para la realización de dichas diligencias no se convocaron testigos en razón de que la zona era muy insegura y existían riesgos de derru</w:t>
      </w:r>
      <w:r>
        <w:t>m</w:t>
      </w:r>
      <w:r>
        <w:t>bes y de otros peligros, tales como las emanaciones de gas, amén de la urgencia con que se debía proceder.</w:t>
      </w:r>
    </w:p>
    <w:p w:rsidR="00224567" w:rsidRDefault="00224567">
      <w:pPr>
        <w:pStyle w:val="Textoindependiente2"/>
        <w:widowControl w:val="0"/>
        <w:rPr>
          <w:rFonts w:ascii="Courier New" w:hAnsi="Courier New" w:cs="Courier New"/>
        </w:rPr>
      </w:pPr>
      <w:r>
        <w:rPr>
          <w:rFonts w:ascii="Courier New" w:hAnsi="Courier New" w:cs="Courier New"/>
        </w:rPr>
        <w:tab/>
        <w:t>Explicó, finalmente, que las evide</w:t>
      </w:r>
      <w:r>
        <w:rPr>
          <w:rFonts w:ascii="Courier New" w:hAnsi="Courier New" w:cs="Courier New"/>
        </w:rPr>
        <w:t>n</w:t>
      </w:r>
      <w:r>
        <w:rPr>
          <w:rFonts w:ascii="Courier New" w:hAnsi="Courier New" w:cs="Courier New"/>
        </w:rPr>
        <w:t>cias se preservaron en bolsas con la finalidad de evitar contaminaciones, las que se numeraban una vez clasific</w:t>
      </w:r>
      <w:r>
        <w:rPr>
          <w:rFonts w:ascii="Courier New" w:hAnsi="Courier New" w:cs="Courier New"/>
        </w:rPr>
        <w:t>a</w:t>
      </w:r>
      <w:r>
        <w:rPr>
          <w:rFonts w:ascii="Courier New" w:hAnsi="Courier New" w:cs="Courier New"/>
        </w:rPr>
        <w:t>das.</w:t>
      </w:r>
    </w:p>
    <w:p w:rsidR="00224567" w:rsidRDefault="00224567">
      <w:pPr>
        <w:widowControl w:val="0"/>
      </w:pPr>
      <w:r>
        <w:tab/>
        <w:t>Por su parte, el oficial Juan Dante Falzarano refirió que una hora después de la explosión se presentó en el lugar, avocándose de inmediato a la búsqu</w:t>
      </w:r>
      <w:r>
        <w:t>e</w:t>
      </w:r>
      <w:r>
        <w:t>da de elementos y a la instalación de una base de oper</w:t>
      </w:r>
      <w:r>
        <w:t>a</w:t>
      </w:r>
      <w:r>
        <w:t>ciones en un local cercano a la mutual que, casualmente, pertenecía a una persona de su conocimiento de apellido Moragues.</w:t>
      </w:r>
    </w:p>
    <w:p w:rsidR="00224567" w:rsidRDefault="00224567">
      <w:pPr>
        <w:widowControl w:val="0"/>
      </w:pPr>
      <w:r>
        <w:tab/>
        <w:t>Recordó, en particular, haber recog</w:t>
      </w:r>
      <w:r>
        <w:t>i</w:t>
      </w:r>
      <w:r>
        <w:t>do, el mismo 18 de julio, en proximidades de la e</w:t>
      </w:r>
      <w:r>
        <w:t>s</w:t>
      </w:r>
      <w:r>
        <w:t>quina de Viamonte y Pasteur, un trozo de elástico de un veh</w:t>
      </w:r>
      <w:r>
        <w:t>í</w:t>
      </w:r>
      <w:r>
        <w:t>culo y otro similar del interior de una de las vivie</w:t>
      </w:r>
      <w:r>
        <w:t>n</w:t>
      </w:r>
      <w:r>
        <w:t>das ubicadas frente a la mutual judía, aunque sin precisar si este ú</w:t>
      </w:r>
      <w:r>
        <w:t>l</w:t>
      </w:r>
      <w:r>
        <w:t>timo hallazgo fue en la noche de ese día o al día siguie</w:t>
      </w:r>
      <w:r>
        <w:t>n</w:t>
      </w:r>
      <w:r>
        <w:t>te; refirió, además, el hallazgo de otra pieza de la mi</w:t>
      </w:r>
      <w:r>
        <w:t>s</w:t>
      </w:r>
      <w:r>
        <w:t>mas características unos días después. Explicó que los elementos en cuestión se introd</w:t>
      </w:r>
      <w:r>
        <w:t>u</w:t>
      </w:r>
      <w:r>
        <w:t>jeron en bolsas que, luego de sellarlas, se remitían al centro de operaciones para una primera selección, aclarando que la clasificación f</w:t>
      </w:r>
      <w:r>
        <w:t>i</w:t>
      </w:r>
      <w:r>
        <w:t>nal se efectuaba en el D</w:t>
      </w:r>
      <w:r>
        <w:t>e</w:t>
      </w:r>
      <w:r>
        <w:t>partamento Central de Policía.</w:t>
      </w:r>
    </w:p>
    <w:p w:rsidR="00224567" w:rsidRDefault="00224567">
      <w:pPr>
        <w:widowControl w:val="0"/>
      </w:pPr>
      <w:r>
        <w:tab/>
        <w:t xml:space="preserve">Asimismo, Falzarano afirmó que las piezas que secuestró eran similares a las que pueden verse a fs. 72, 72vta. y 90vta. del Informe Preliminar; según creía, la primer foto se corresponde con las piezas que halló en la vereda impar frente a </w:t>
      </w:r>
      <w:smartTag w:uri="urn:schemas-microsoft-com:office:smarttags" w:element="PersonName">
        <w:smartTagPr>
          <w:attr w:name="ProductID" w:val="la A.M"/>
        </w:smartTagPr>
        <w:r>
          <w:t>la A.M</w:t>
        </w:r>
      </w:smartTag>
      <w:r>
        <w:t>.I.A., la segunda con las que rec</w:t>
      </w:r>
      <w:r>
        <w:t>o</w:t>
      </w:r>
      <w:r>
        <w:t>gió en la esquina, mientras que la última, con la que encontró frente a la mutual.</w:t>
      </w:r>
    </w:p>
    <w:p w:rsidR="00224567" w:rsidRDefault="00224567">
      <w:pPr>
        <w:widowControl w:val="0"/>
      </w:pPr>
      <w:r>
        <w:tab/>
        <w:t>En punto a este último hallazgo, del cual no recordó el día, señaló que debió remover unos e</w:t>
      </w:r>
      <w:r>
        <w:t>s</w:t>
      </w:r>
      <w:r>
        <w:t>combros en lo que, según entendía, era el cráter pr</w:t>
      </w:r>
      <w:r>
        <w:t>o</w:t>
      </w:r>
      <w:r>
        <w:t>vocado por la explosión. Agregó, además, que a excepción de e</w:t>
      </w:r>
      <w:r>
        <w:t>s</w:t>
      </w:r>
      <w:r>
        <w:t>te caso, no convocó testigos para asistir a las diligencias que llevó a cabo en razón del particular peligro que i</w:t>
      </w:r>
      <w:r>
        <w:t>m</w:t>
      </w:r>
      <w:r>
        <w:t>plicaba transitar por el área.</w:t>
      </w:r>
    </w:p>
    <w:p w:rsidR="00224567" w:rsidRDefault="00224567">
      <w:pPr>
        <w:widowControl w:val="0"/>
      </w:pPr>
      <w:r>
        <w:tab/>
        <w:t>También Falzarano recordó haber ret</w:t>
      </w:r>
      <w:r>
        <w:t>i</w:t>
      </w:r>
      <w:r>
        <w:t xml:space="preserve">rado de </w:t>
      </w:r>
      <w:smartTag w:uri="urn:schemas-microsoft-com:office:smarttags" w:element="PersonName">
        <w:smartTagPr>
          <w:attr w:name="ProductID" w:val="la Morgue Judicial"/>
        </w:smartTagPr>
        <w:r>
          <w:t>la Morgue Judicial</w:t>
        </w:r>
      </w:smartTag>
      <w:r>
        <w:t xml:space="preserve"> distintos elementos que fu</w:t>
      </w:r>
      <w:r>
        <w:t>e</w:t>
      </w:r>
      <w:r>
        <w:t>ron extraídos de los cuerpos de las víctimas, de lo cual se dará cuenta más adelante. Finalmente, el funcionario rec</w:t>
      </w:r>
      <w:r>
        <w:t>o</w:t>
      </w:r>
      <w:r>
        <w:t>noció su escritura y su firma en las actas de fs. 168, 182 y 209 del Informe Prelim</w:t>
      </w:r>
      <w:r>
        <w:t>i</w:t>
      </w:r>
      <w:r>
        <w:t>nar.</w:t>
      </w:r>
    </w:p>
    <w:p w:rsidR="00224567" w:rsidRDefault="00224567">
      <w:pPr>
        <w:pStyle w:val="Textoindependiente2"/>
        <w:widowControl w:val="0"/>
        <w:rPr>
          <w:rFonts w:ascii="Courier New" w:hAnsi="Courier New" w:cs="Courier New"/>
        </w:rPr>
      </w:pPr>
      <w:r>
        <w:rPr>
          <w:rFonts w:ascii="Courier New" w:hAnsi="Courier New" w:cs="Courier New"/>
        </w:rPr>
        <w:tab/>
        <w:t>Por su parte, el suboficial Luis A</w:t>
      </w:r>
      <w:r>
        <w:rPr>
          <w:rFonts w:ascii="Courier New" w:hAnsi="Courier New" w:cs="Courier New"/>
        </w:rPr>
        <w:t>l</w:t>
      </w:r>
      <w:r>
        <w:rPr>
          <w:rFonts w:ascii="Courier New" w:hAnsi="Courier New" w:cs="Courier New"/>
        </w:rPr>
        <w:t>berto Álvarez señaló haber estado presente en el l</w:t>
      </w:r>
      <w:r>
        <w:rPr>
          <w:rFonts w:ascii="Courier New" w:hAnsi="Courier New" w:cs="Courier New"/>
        </w:rPr>
        <w:t>u</w:t>
      </w:r>
      <w:r>
        <w:rPr>
          <w:rFonts w:ascii="Courier New" w:hAnsi="Courier New" w:cs="Courier New"/>
        </w:rPr>
        <w:t>gar del atentado desde el día del siniestro (ver en igual sentido los listados de fs. 122,10vta. del Informe Final y el de fs. 2444/2492 del legajo de instrucción s</w:t>
      </w:r>
      <w:r>
        <w:rPr>
          <w:rFonts w:ascii="Courier New" w:hAnsi="Courier New" w:cs="Courier New"/>
        </w:rPr>
        <w:t>u</w:t>
      </w:r>
      <w:r>
        <w:rPr>
          <w:rFonts w:ascii="Courier New" w:hAnsi="Courier New" w:cs="Courier New"/>
        </w:rPr>
        <w:t>plementaria, en particular la fs. 2462), recon</w:t>
      </w:r>
      <w:r>
        <w:rPr>
          <w:rFonts w:ascii="Courier New" w:hAnsi="Courier New" w:cs="Courier New"/>
        </w:rPr>
        <w:t>o</w:t>
      </w:r>
      <w:r>
        <w:rPr>
          <w:rFonts w:ascii="Courier New" w:hAnsi="Courier New" w:cs="Courier New"/>
        </w:rPr>
        <w:t>ciendo como propia la firma y letra obrante en el acta de fs. 170 del Informe Prelim</w:t>
      </w:r>
      <w:r>
        <w:rPr>
          <w:rFonts w:ascii="Courier New" w:hAnsi="Courier New" w:cs="Courier New"/>
        </w:rPr>
        <w:t>i</w:t>
      </w:r>
      <w:r>
        <w:rPr>
          <w:rFonts w:ascii="Courier New" w:hAnsi="Courier New" w:cs="Courier New"/>
        </w:rPr>
        <w:t>nar e indicando que esa fue la única diligencia que su</w:t>
      </w:r>
      <w:r>
        <w:rPr>
          <w:rFonts w:ascii="Courier New" w:hAnsi="Courier New" w:cs="Courier New"/>
        </w:rPr>
        <w:t>s</w:t>
      </w:r>
      <w:r>
        <w:rPr>
          <w:rFonts w:ascii="Courier New" w:hAnsi="Courier New" w:cs="Courier New"/>
        </w:rPr>
        <w:t>cribió con motivo del hallazgo de elementos de interés p</w:t>
      </w:r>
      <w:r>
        <w:rPr>
          <w:rFonts w:ascii="Courier New" w:hAnsi="Courier New" w:cs="Courier New"/>
        </w:rPr>
        <w:t>a</w:t>
      </w:r>
      <w:r>
        <w:rPr>
          <w:rFonts w:ascii="Courier New" w:hAnsi="Courier New" w:cs="Courier New"/>
        </w:rPr>
        <w:t>ra la inve</w:t>
      </w:r>
      <w:r>
        <w:rPr>
          <w:rFonts w:ascii="Courier New" w:hAnsi="Courier New" w:cs="Courier New"/>
        </w:rPr>
        <w:t>s</w:t>
      </w:r>
      <w:r>
        <w:rPr>
          <w:rFonts w:ascii="Courier New" w:hAnsi="Courier New" w:cs="Courier New"/>
        </w:rPr>
        <w:t>tigación.</w:t>
      </w:r>
    </w:p>
    <w:p w:rsidR="00224567" w:rsidRDefault="00224567">
      <w:pPr>
        <w:pStyle w:val="Textoindependiente2"/>
        <w:widowControl w:val="0"/>
        <w:rPr>
          <w:rFonts w:ascii="Courier New" w:hAnsi="Courier New" w:cs="Courier New"/>
        </w:rPr>
      </w:pPr>
      <w:r>
        <w:rPr>
          <w:rFonts w:ascii="Courier New" w:hAnsi="Courier New" w:cs="Courier New"/>
        </w:rPr>
        <w:tab/>
        <w:t>Sin embargo, por carecer de suste</w:t>
      </w:r>
      <w:r>
        <w:rPr>
          <w:rFonts w:ascii="Courier New" w:hAnsi="Courier New" w:cs="Courier New"/>
        </w:rPr>
        <w:t>n</w:t>
      </w:r>
      <w:r>
        <w:rPr>
          <w:rFonts w:ascii="Courier New" w:hAnsi="Courier New" w:cs="Courier New"/>
        </w:rPr>
        <w:t>to y contradecirse con el resto de la prueba colectada en el debate no habrán de considerarse sus afirmaciones relat</w:t>
      </w:r>
      <w:r>
        <w:rPr>
          <w:rFonts w:ascii="Courier New" w:hAnsi="Courier New" w:cs="Courier New"/>
        </w:rPr>
        <w:t>i</w:t>
      </w:r>
      <w:r>
        <w:rPr>
          <w:rFonts w:ascii="Courier New" w:hAnsi="Courier New" w:cs="Courier New"/>
        </w:rPr>
        <w:t>vas al hallazgo, el día del atentado, de más de veinte piezas de automóvil, muchas de ellas dentro del cráter que produjo la explosión, entre las que se e</w:t>
      </w:r>
      <w:r>
        <w:rPr>
          <w:rFonts w:ascii="Courier New" w:hAnsi="Courier New" w:cs="Courier New"/>
        </w:rPr>
        <w:t>n</w:t>
      </w:r>
      <w:r>
        <w:rPr>
          <w:rFonts w:ascii="Courier New" w:hAnsi="Courier New" w:cs="Courier New"/>
        </w:rPr>
        <w:t>contraba el motor fotografiado a fs. 105vta. del Info</w:t>
      </w:r>
      <w:r>
        <w:rPr>
          <w:rFonts w:ascii="Courier New" w:hAnsi="Courier New" w:cs="Courier New"/>
        </w:rPr>
        <w:t>r</w:t>
      </w:r>
      <w:r>
        <w:rPr>
          <w:rFonts w:ascii="Courier New" w:hAnsi="Courier New" w:cs="Courier New"/>
        </w:rPr>
        <w:t>me Preliminar, aunque señaló que éste lo encontró cu</w:t>
      </w:r>
      <w:r>
        <w:rPr>
          <w:rFonts w:ascii="Courier New" w:hAnsi="Courier New" w:cs="Courier New"/>
        </w:rPr>
        <w:t>a</w:t>
      </w:r>
      <w:r>
        <w:rPr>
          <w:rFonts w:ascii="Courier New" w:hAnsi="Courier New" w:cs="Courier New"/>
        </w:rPr>
        <w:t>tro días después.</w:t>
      </w:r>
    </w:p>
    <w:p w:rsidR="00224567" w:rsidRDefault="00224567">
      <w:pPr>
        <w:pStyle w:val="Textoindependiente2"/>
        <w:widowControl w:val="0"/>
        <w:rPr>
          <w:rFonts w:ascii="Courier New" w:hAnsi="Courier New" w:cs="Courier New"/>
        </w:rPr>
      </w:pPr>
      <w:r>
        <w:rPr>
          <w:rFonts w:ascii="Courier New" w:hAnsi="Courier New" w:cs="Courier New"/>
        </w:rPr>
        <w:tab/>
        <w:t>El subinspector Gustavo Alejandro V</w:t>
      </w:r>
      <w:r>
        <w:rPr>
          <w:rFonts w:ascii="Courier New" w:hAnsi="Courier New" w:cs="Courier New"/>
        </w:rPr>
        <w:t>a</w:t>
      </w:r>
      <w:r>
        <w:rPr>
          <w:rFonts w:ascii="Courier New" w:hAnsi="Courier New" w:cs="Courier New"/>
        </w:rPr>
        <w:t>rela Gómez manifestó que trabajó en la recolección de ev</w:t>
      </w:r>
      <w:r>
        <w:rPr>
          <w:rFonts w:ascii="Courier New" w:hAnsi="Courier New" w:cs="Courier New"/>
        </w:rPr>
        <w:t>i</w:t>
      </w:r>
      <w:r>
        <w:rPr>
          <w:rFonts w:ascii="Courier New" w:hAnsi="Courier New" w:cs="Courier New"/>
        </w:rPr>
        <w:t>dencias durante dos días seguidos, desde el mediodía del 18 de julio. Señaló que encontró un par de elementos de chapa que por sus características no le pareci</w:t>
      </w:r>
      <w:r>
        <w:rPr>
          <w:rFonts w:ascii="Courier New" w:hAnsi="Courier New" w:cs="Courier New"/>
        </w:rPr>
        <w:t>e</w:t>
      </w:r>
      <w:r>
        <w:rPr>
          <w:rFonts w:ascii="Courier New" w:hAnsi="Courier New" w:cs="Courier New"/>
        </w:rPr>
        <w:t>ron acordes al lugar y que, de puño y l</w:t>
      </w:r>
      <w:r>
        <w:rPr>
          <w:rFonts w:ascii="Courier New" w:hAnsi="Courier New" w:cs="Courier New"/>
        </w:rPr>
        <w:t>e</w:t>
      </w:r>
      <w:r>
        <w:rPr>
          <w:rFonts w:ascii="Courier New" w:hAnsi="Courier New" w:cs="Courier New"/>
        </w:rPr>
        <w:t>tra, labró las actas de rigor sin la presencia de testigos en razón que “la situación no daba para testigos, estábamos –dijo- en una situación cr</w:t>
      </w:r>
      <w:r>
        <w:rPr>
          <w:rFonts w:ascii="Courier New" w:hAnsi="Courier New" w:cs="Courier New"/>
        </w:rPr>
        <w:t>í</w:t>
      </w:r>
      <w:r>
        <w:rPr>
          <w:rFonts w:ascii="Courier New" w:hAnsi="Courier New" w:cs="Courier New"/>
        </w:rPr>
        <w:t>tica, con mucho material con riesgo de desprendimie</w:t>
      </w:r>
      <w:r>
        <w:rPr>
          <w:rFonts w:ascii="Courier New" w:hAnsi="Courier New" w:cs="Courier New"/>
        </w:rPr>
        <w:t>n</w:t>
      </w:r>
      <w:r>
        <w:rPr>
          <w:rFonts w:ascii="Courier New" w:hAnsi="Courier New" w:cs="Courier New"/>
        </w:rPr>
        <w:t>to..., no era cuestión de traer gente de afuera para ponerla en riesgo en ese momento”. Reconoció su escritura y rúbrica en las actas de fs. 171, 176 y 189 del Informe Preliminar y si bien no pudo precisar qué piezas encontró en esas ocasiones, reconoció -bajo tales reservas- las que ilu</w:t>
      </w:r>
      <w:r>
        <w:rPr>
          <w:rFonts w:ascii="Courier New" w:hAnsi="Courier New" w:cs="Courier New"/>
        </w:rPr>
        <w:t>s</w:t>
      </w:r>
      <w:r>
        <w:rPr>
          <w:rFonts w:ascii="Courier New" w:hAnsi="Courier New" w:cs="Courier New"/>
        </w:rPr>
        <w:t>tran las fotografías nros. 6 y 10 (ver fs. 69vta. y 71vta. del Informe Preliminar). Asimismo, manifestó que el el</w:t>
      </w:r>
      <w:r>
        <w:rPr>
          <w:rFonts w:ascii="Courier New" w:hAnsi="Courier New" w:cs="Courier New"/>
        </w:rPr>
        <w:t>e</w:t>
      </w:r>
      <w:r>
        <w:rPr>
          <w:rFonts w:ascii="Courier New" w:hAnsi="Courier New" w:cs="Courier New"/>
        </w:rPr>
        <w:t>mento que describió como un trozo  cilíndrico  deform</w:t>
      </w:r>
      <w:r>
        <w:rPr>
          <w:rFonts w:ascii="Courier New" w:hAnsi="Courier New" w:cs="Courier New"/>
        </w:rPr>
        <w:t>a</w:t>
      </w:r>
      <w:r>
        <w:rPr>
          <w:rFonts w:ascii="Courier New" w:hAnsi="Courier New" w:cs="Courier New"/>
        </w:rPr>
        <w:t>do  -foto nº 10- también podría ser el que se observa en la fotografía de fs. 75 del citado informe; pieza que r</w:t>
      </w:r>
      <w:r>
        <w:rPr>
          <w:rFonts w:ascii="Courier New" w:hAnsi="Courier New" w:cs="Courier New"/>
        </w:rPr>
        <w:t>e</w:t>
      </w:r>
      <w:r>
        <w:rPr>
          <w:rFonts w:ascii="Courier New" w:hAnsi="Courier New" w:cs="Courier New"/>
        </w:rPr>
        <w:t>cordó haber hallado en las escaleras de un comercio ubicado en la vereda opuesta al edificio de Pa</w:t>
      </w:r>
      <w:r>
        <w:rPr>
          <w:rFonts w:ascii="Courier New" w:hAnsi="Courier New" w:cs="Courier New"/>
        </w:rPr>
        <w:t>s</w:t>
      </w:r>
      <w:r>
        <w:rPr>
          <w:rFonts w:ascii="Courier New" w:hAnsi="Courier New" w:cs="Courier New"/>
        </w:rPr>
        <w:t>teur 633.</w:t>
      </w:r>
    </w:p>
    <w:p w:rsidR="00224567" w:rsidRDefault="00224567">
      <w:pPr>
        <w:pStyle w:val="Sangra3detindependiente"/>
        <w:widowControl w:val="0"/>
        <w:spacing w:line="600" w:lineRule="auto"/>
        <w:ind w:firstLine="0"/>
      </w:pPr>
      <w:r>
        <w:tab/>
        <w:t>Por su parte, Guillermo Daniel Ceb</w:t>
      </w:r>
      <w:r>
        <w:t>a</w:t>
      </w:r>
      <w:r>
        <w:t>llos manifestó que la primera vez que concurrió a la calle Pasteur fue al día siguiente del atent</w:t>
      </w:r>
      <w:r>
        <w:t>a</w:t>
      </w:r>
      <w:r>
        <w:t>do, en horas de la noche, con el objeto de buscar cualquier elemento que fu</w:t>
      </w:r>
      <w:r>
        <w:t>e</w:t>
      </w:r>
      <w:r>
        <w:t>ra de utilidad para la investigación, prestando especial atención a toda pieza metálica que no guardara relación con el entorno donde se encontr</w:t>
      </w:r>
      <w:r>
        <w:t>a</w:t>
      </w:r>
      <w:r>
        <w:t>ba. Refirió que centró su búsqueda en el frente derrumbado del edificio, en la mo</w:t>
      </w:r>
      <w:r>
        <w:t>n</w:t>
      </w:r>
      <w:r>
        <w:t>taña de escombros y también en la vereda opuesta, reco</w:t>
      </w:r>
      <w:r>
        <w:t>r</w:t>
      </w:r>
      <w:r>
        <w:t>dando el hallazgo, en dicha acera, de un pedazo de neum</w:t>
      </w:r>
      <w:r>
        <w:t>á</w:t>
      </w:r>
      <w:r>
        <w:t>tico y una pastilla de fr</w:t>
      </w:r>
      <w:r>
        <w:t>e</w:t>
      </w:r>
      <w:r>
        <w:t>nos.</w:t>
      </w:r>
    </w:p>
    <w:p w:rsidR="00224567" w:rsidRDefault="00224567">
      <w:pPr>
        <w:widowControl w:val="0"/>
      </w:pPr>
      <w:r>
        <w:tab/>
        <w:t>Al serle exhibidas las fotograf</w:t>
      </w:r>
      <w:r>
        <w:t>í</w:t>
      </w:r>
      <w:r>
        <w:t>as de las piezas secuestradas, dijo que el trozo de neumático podría ser las nros. 41 ó 52 y que la pastilla de frenos la nros. 51 ó 64. También reconoció el objeto fot</w:t>
      </w:r>
      <w:r>
        <w:t>o</w:t>
      </w:r>
      <w:r>
        <w:t>grafiado a fs. 98vta. del Informe Preliminar, como uno de los que secuestrara en el lugar de los hechos.</w:t>
      </w:r>
    </w:p>
    <w:p w:rsidR="00224567" w:rsidRDefault="00224567">
      <w:pPr>
        <w:widowControl w:val="0"/>
      </w:pPr>
      <w:r>
        <w:tab/>
        <w:t>Señaló que por cada evidencia secue</w:t>
      </w:r>
      <w:r>
        <w:t>s</w:t>
      </w:r>
      <w:r>
        <w:t>trada se confeccionaba un acta, para luego rem</w:t>
      </w:r>
      <w:r>
        <w:t>i</w:t>
      </w:r>
      <w:r>
        <w:t xml:space="preserve">tir todo a un local donde personal de </w:t>
      </w:r>
      <w:smartTag w:uri="urn:schemas-microsoft-com:office:smarttags" w:element="PersonName">
        <w:smartTagPr>
          <w:attr w:name="ProductID" w:val="la Divisi￳n Investigaciones"/>
        </w:smartTagPr>
        <w:r>
          <w:t>la División Investigaciones</w:t>
        </w:r>
      </w:smartTag>
      <w:r>
        <w:t xml:space="preserve"> procedía a su clasificación e identificación con un núm</w:t>
      </w:r>
      <w:r>
        <w:t>e</w:t>
      </w:r>
      <w:r>
        <w:t>ro; admitió haber participado en la confección de las a</w:t>
      </w:r>
      <w:r>
        <w:t>c</w:t>
      </w:r>
      <w:r>
        <w:t>tas obrantes a fs. 191, 193 195, 200/201, 208 y 218 del mentado Informe Pr</w:t>
      </w:r>
      <w:r>
        <w:t>e</w:t>
      </w:r>
      <w:r>
        <w:t>liminar.</w:t>
      </w:r>
    </w:p>
    <w:p w:rsidR="00224567" w:rsidRDefault="00224567">
      <w:pPr>
        <w:widowControl w:val="0"/>
      </w:pPr>
      <w:r>
        <w:tab/>
        <w:t>Ceballos explicó que era peligroso transitar por la zona en razón que los frentes de muchos edificios presentaban riesgos de desmoronamiento, por lo que se procuró que sólo los bomberos trabajen en el área, evitando exponer a otras pers</w:t>
      </w:r>
      <w:r>
        <w:t>o</w:t>
      </w:r>
      <w:r>
        <w:t>nas; previsión que determinó que no se convocaran testigos para presenciar las dilige</w:t>
      </w:r>
      <w:r>
        <w:t>n</w:t>
      </w:r>
      <w:r>
        <w:t>cias que allí se practicaron. Dicho reparo también dete</w:t>
      </w:r>
      <w:r>
        <w:t>r</w:t>
      </w:r>
      <w:r>
        <w:t>minó que no se llamara a ninguno de los socorristas que colaboraron en las tareas de rescate, en tanto, al ser v</w:t>
      </w:r>
      <w:r>
        <w:t>o</w:t>
      </w:r>
      <w:r>
        <w:t>luntario el servicio que prestaban -contrariamente a la carga pública de atestiguar- ellos asumían en forma pers</w:t>
      </w:r>
      <w:r>
        <w:t>o</w:t>
      </w:r>
      <w:r>
        <w:t>nal el riesgo de lastima</w:t>
      </w:r>
      <w:r>
        <w:t>r</w:t>
      </w:r>
      <w:r>
        <w:t>se.</w:t>
      </w:r>
    </w:p>
    <w:p w:rsidR="00224567" w:rsidRDefault="00224567">
      <w:pPr>
        <w:widowControl w:val="0"/>
        <w:rPr>
          <w:color w:val="000000"/>
        </w:rPr>
      </w:pPr>
      <w:r>
        <w:tab/>
        <w:t>El sargento Juan Carlos Zottarelli r</w:t>
      </w:r>
      <w:r>
        <w:t>e</w:t>
      </w:r>
      <w:r>
        <w:t>lató que el 20 de julio, en horas de la noche, recorrió junto con el oficial Ceballos los edificios ubic</w:t>
      </w:r>
      <w:r>
        <w:t>a</w:t>
      </w:r>
      <w:r>
        <w:t>dos sobre la vereda par de la calle Pasteur, recogiendo varios tr</w:t>
      </w:r>
      <w:r>
        <w:t>o</w:t>
      </w:r>
      <w:r>
        <w:t>zos de piezas de un automotor, en su mayoría neumáticos, y que las actas que documentaron tales hallazgos fueron l</w:t>
      </w:r>
      <w:r>
        <w:t>a</w:t>
      </w:r>
      <w:r>
        <w:t>bradas, posiblemente, por Cev</w:t>
      </w:r>
      <w:r>
        <w:t>a</w:t>
      </w:r>
      <w:r>
        <w:t>llos. Agregó que el día 24, también en horas de la noche, al levantarse unas columnas o vigas de la entrada a la m</w:t>
      </w:r>
      <w:r>
        <w:t>u</w:t>
      </w:r>
      <w:r>
        <w:t>tual, halló otro elemento de un automotor, confecci</w:t>
      </w:r>
      <w:r>
        <w:t>o</w:t>
      </w:r>
      <w:r>
        <w:t xml:space="preserve">nando de su puño y letra el acta de fs. 220/221 del Informe Preliminar, apuntando que debió salir </w:t>
      </w:r>
      <w:r>
        <w:rPr>
          <w:color w:val="000000"/>
        </w:rPr>
        <w:t>rápidamente del lugar porque “existía el peligro de que se vengan todas esas c</w:t>
      </w:r>
      <w:r>
        <w:rPr>
          <w:color w:val="000000"/>
        </w:rPr>
        <w:t>o</w:t>
      </w:r>
      <w:r>
        <w:rPr>
          <w:color w:val="000000"/>
        </w:rPr>
        <w:t>sas encima”.</w:t>
      </w:r>
    </w:p>
    <w:p w:rsidR="00224567" w:rsidRDefault="00224567">
      <w:pPr>
        <w:widowControl w:val="0"/>
        <w:rPr>
          <w:color w:val="000000"/>
        </w:rPr>
      </w:pPr>
      <w:r>
        <w:rPr>
          <w:color w:val="000000"/>
        </w:rPr>
        <w:tab/>
        <w:t>Por su parte, el sargento 1º Omar E</w:t>
      </w:r>
      <w:r>
        <w:rPr>
          <w:color w:val="000000"/>
        </w:rPr>
        <w:t>d</w:t>
      </w:r>
      <w:r>
        <w:rPr>
          <w:color w:val="000000"/>
        </w:rPr>
        <w:t xml:space="preserve">gardo Castro, de </w:t>
      </w:r>
      <w:smartTag w:uri="urn:schemas-microsoft-com:office:smarttags" w:element="PersonName">
        <w:smartTagPr>
          <w:attr w:name="ProductID" w:val="la Divisi￳n Explosivos"/>
        </w:smartTagPr>
        <w:r>
          <w:rPr>
            <w:color w:val="000000"/>
          </w:rPr>
          <w:t>la División Explosivos</w:t>
        </w:r>
      </w:smartTag>
      <w:r>
        <w:rPr>
          <w:color w:val="000000"/>
        </w:rPr>
        <w:t xml:space="preserve"> de </w:t>
      </w:r>
      <w:smartTag w:uri="urn:schemas-microsoft-com:office:smarttags" w:element="PersonName">
        <w:smartTagPr>
          <w:attr w:name="ProductID" w:val="la Polic￭a Federal"/>
        </w:smartTagPr>
        <w:r>
          <w:rPr>
            <w:color w:val="000000"/>
          </w:rPr>
          <w:t>la Policía F</w:t>
        </w:r>
        <w:r>
          <w:rPr>
            <w:color w:val="000000"/>
          </w:rPr>
          <w:t>e</w:t>
        </w:r>
        <w:r>
          <w:rPr>
            <w:color w:val="000000"/>
          </w:rPr>
          <w:t>deral</w:t>
        </w:r>
      </w:smartTag>
      <w:r>
        <w:rPr>
          <w:color w:val="000000"/>
        </w:rPr>
        <w:t xml:space="preserve"> Argentina, concurrió al lugar en dos ocasiones -la primera unas 24 ó 48 horas después del siniestro- con la finalidad de inspeccionar y proc</w:t>
      </w:r>
      <w:r>
        <w:rPr>
          <w:color w:val="000000"/>
        </w:rPr>
        <w:t>u</w:t>
      </w:r>
      <w:r>
        <w:rPr>
          <w:color w:val="000000"/>
        </w:rPr>
        <w:t>rar pruebas que expliquen el modo de comisión del hecho. Si bien en el debate no r</w:t>
      </w:r>
      <w:r>
        <w:rPr>
          <w:color w:val="000000"/>
        </w:rPr>
        <w:t>e</w:t>
      </w:r>
      <w:r>
        <w:rPr>
          <w:color w:val="000000"/>
        </w:rPr>
        <w:t>cordó haber participado en el secuestro de prueba alg</w:t>
      </w:r>
      <w:r>
        <w:rPr>
          <w:color w:val="000000"/>
        </w:rPr>
        <w:t>u</w:t>
      </w:r>
      <w:r>
        <w:rPr>
          <w:color w:val="000000"/>
        </w:rPr>
        <w:t>na, al tomar vista del acta de fs. 196 del Informe Preliminar, reconoció como propias la firma y las letras, aunque sup</w:t>
      </w:r>
      <w:r>
        <w:rPr>
          <w:color w:val="000000"/>
        </w:rPr>
        <w:t>u</w:t>
      </w:r>
      <w:r>
        <w:rPr>
          <w:color w:val="000000"/>
        </w:rPr>
        <w:t>so se lo habían hecho escribir, porque “... no es un acta común (de las) que uno hace”, queriendo significar con ello que el acta en cuestión no era, como es habitual, un formulario preimpreso.</w:t>
      </w:r>
    </w:p>
    <w:p w:rsidR="00224567" w:rsidRDefault="00224567">
      <w:pPr>
        <w:widowControl w:val="0"/>
        <w:rPr>
          <w:color w:val="000000"/>
        </w:rPr>
      </w:pPr>
      <w:r>
        <w:rPr>
          <w:color w:val="000000"/>
        </w:rPr>
        <w:tab/>
        <w:t>A pesar que Castro no recordó haber hallado una pieza similar a la bisagra de un vehículo a</w:t>
      </w:r>
      <w:r>
        <w:rPr>
          <w:color w:val="000000"/>
        </w:rPr>
        <w:t>u</w:t>
      </w:r>
      <w:r>
        <w:rPr>
          <w:color w:val="000000"/>
        </w:rPr>
        <w:t>tomotor, el 20 de julio de 1994, en la vereda de e</w:t>
      </w:r>
      <w:r>
        <w:rPr>
          <w:color w:val="000000"/>
        </w:rPr>
        <w:t>n</w:t>
      </w:r>
      <w:r>
        <w:rPr>
          <w:color w:val="000000"/>
        </w:rPr>
        <w:t>frente a la mutual, tal como surge del acta de fs. 196, cierto es que el nombrado estuvo en el lugar, para ese tiempo, con el fin de recoger evidencias. Ello</w:t>
      </w:r>
      <w:r>
        <w:rPr>
          <w:b/>
          <w:color w:val="000000"/>
        </w:rPr>
        <w:t xml:space="preserve">, </w:t>
      </w:r>
      <w:r>
        <w:rPr>
          <w:color w:val="000000"/>
        </w:rPr>
        <w:t>sumado a su reconoc</w:t>
      </w:r>
      <w:r>
        <w:rPr>
          <w:color w:val="000000"/>
        </w:rPr>
        <w:t>i</w:t>
      </w:r>
      <w:r>
        <w:rPr>
          <w:color w:val="000000"/>
        </w:rPr>
        <w:t>miento de haber confeccionado el acta en cuestión, al tiempo transcurrido y a la premura y el desorden propios de situaciones de catástrofes, convencen acerca del efe</w:t>
      </w:r>
      <w:r>
        <w:rPr>
          <w:color w:val="000000"/>
        </w:rPr>
        <w:t>c</w:t>
      </w:r>
      <w:r>
        <w:rPr>
          <w:color w:val="000000"/>
        </w:rPr>
        <w:t>tivo hallazgo de la pieza.</w:t>
      </w:r>
    </w:p>
    <w:p w:rsidR="00224567" w:rsidRDefault="00224567">
      <w:pPr>
        <w:widowControl w:val="0"/>
      </w:pPr>
      <w:r>
        <w:tab/>
        <w:t>El suboficial Rubén Alberto Nieto m</w:t>
      </w:r>
      <w:r>
        <w:t>a</w:t>
      </w:r>
      <w:r>
        <w:t>nifestó que se presentó en el lugar al día siguiente del atentado, recordando haber hallado entre los esco</w:t>
      </w:r>
      <w:r>
        <w:t>m</w:t>
      </w:r>
      <w:r>
        <w:t xml:space="preserve">bros del edificio de </w:t>
      </w:r>
      <w:smartTag w:uri="urn:schemas-microsoft-com:office:smarttags" w:element="PersonName">
        <w:smartTagPr>
          <w:attr w:name="ProductID" w:val="la A.M"/>
        </w:smartTagPr>
        <w:r>
          <w:t>la A.M</w:t>
        </w:r>
      </w:smartTag>
      <w:r>
        <w:t>.I.A. un trozo de metal grueso, recta</w:t>
      </w:r>
      <w:r>
        <w:t>n</w:t>
      </w:r>
      <w:r>
        <w:t xml:space="preserve">gular, de unos 7 u </w:t>
      </w:r>
      <w:smartTag w:uri="urn:schemas-microsoft-com:office:smarttags" w:element="metricconverter">
        <w:smartTagPr>
          <w:attr w:name="ProductID" w:val="8 cm"/>
        </w:smartTagPr>
        <w:r>
          <w:t>8 cm</w:t>
        </w:r>
      </w:smartTag>
      <w:r>
        <w:t xml:space="preserve"> de largo por 2 ó 3 de ancho, que presentaba una serie de números estampados; pieza que lu</w:t>
      </w:r>
      <w:r>
        <w:t>e</w:t>
      </w:r>
      <w:r>
        <w:t>go se determinó que pertenecía a la mordaza de freno de un vehículo. Asimismo, reconoció haber confeccion</w:t>
      </w:r>
      <w:r>
        <w:t>a</w:t>
      </w:r>
      <w:r>
        <w:t>do en forma personal el acta de fs. 199 del Informe Preliminar.</w:t>
      </w:r>
    </w:p>
    <w:p w:rsidR="00224567" w:rsidRDefault="00224567">
      <w:pPr>
        <w:widowControl w:val="0"/>
      </w:pPr>
      <w:r>
        <w:tab/>
        <w:t>Explicó Nieto que los elementos que se encontraban eran embolsados y entregados en un local pr</w:t>
      </w:r>
      <w:r>
        <w:t>ó</w:t>
      </w:r>
      <w:r>
        <w:t>ximo a la mutual y que no contó con testigos durante dicha diligencia por cuanto carecía de civiles para convocar, con la aclaración de que no llamó a los voluntarios pr</w:t>
      </w:r>
      <w:r>
        <w:t>e</w:t>
      </w:r>
      <w:r>
        <w:t>sentes en el lugar a fin de no interrumpir su labor co</w:t>
      </w:r>
      <w:r>
        <w:t>n</w:t>
      </w:r>
      <w:r>
        <w:t>centrada en el rescate de personas con v</w:t>
      </w:r>
      <w:r>
        <w:t>i</w:t>
      </w:r>
      <w:r>
        <w:t>da.</w:t>
      </w:r>
    </w:p>
    <w:p w:rsidR="00224567" w:rsidRDefault="00224567">
      <w:pPr>
        <w:widowControl w:val="0"/>
      </w:pPr>
      <w:r>
        <w:tab/>
      </w:r>
      <w:r>
        <w:tab/>
        <w:t>Marcelo Alejandro Debiassi, operador principal del Departamento de Explosivos, manifestó que concurrió a la calle Pasteur a poco de ocurrido el atent</w:t>
      </w:r>
      <w:r>
        <w:t>a</w:t>
      </w:r>
      <w:r>
        <w:t>do, habiendo encontrado un par de elementos metálicos y otros de goma que por sus deformaciones evide</w:t>
      </w:r>
      <w:r>
        <w:t>n</w:t>
      </w:r>
      <w:r>
        <w:t>ciaban haber estado en contacto directo o muy próximo al explosivo; restos que entregó al personal de investigaciones, quien se encargaba de evaluar su importa</w:t>
      </w:r>
      <w:r>
        <w:t>n</w:t>
      </w:r>
      <w:r>
        <w:t>cia en un local de las cercanías.</w:t>
      </w:r>
    </w:p>
    <w:p w:rsidR="00224567" w:rsidRDefault="00224567">
      <w:pPr>
        <w:widowControl w:val="0"/>
      </w:pPr>
      <w:r>
        <w:tab/>
        <w:t xml:space="preserve">También recordó Debiassi que, en dos oportunidades, concurrió al predio ubicado detrás de </w:t>
      </w:r>
      <w:smartTag w:uri="urn:schemas-microsoft-com:office:smarttags" w:element="PersonName">
        <w:smartTagPr>
          <w:attr w:name="ProductID" w:val="la Ciudad Universitaria"/>
        </w:smartTagPr>
        <w:r>
          <w:t>la Ciudad Universitaria</w:t>
        </w:r>
      </w:smartTag>
      <w:r>
        <w:t>, donde encontró algunas piezas que incautó en presencia de la única persona que había en ese momento en el lugar.</w:t>
      </w:r>
    </w:p>
    <w:p w:rsidR="00224567" w:rsidRDefault="00224567">
      <w:pPr>
        <w:widowControl w:val="0"/>
      </w:pPr>
      <w:r>
        <w:tab/>
      </w:r>
      <w:r>
        <w:tab/>
        <w:t>Asimismo, Debiassi reconoció de su p</w:t>
      </w:r>
      <w:r>
        <w:t>u</w:t>
      </w:r>
      <w:r>
        <w:t>ño y letra las firmas obrantes en las actas glos</w:t>
      </w:r>
      <w:r>
        <w:t>a</w:t>
      </w:r>
      <w:r>
        <w:t>das a fs. 190 y 215 del Informe Preliminar y una de las i</w:t>
      </w:r>
      <w:r>
        <w:t>n</w:t>
      </w:r>
      <w:r>
        <w:t>sertas en el acta de fs. 232 de dicho informe, reconociendo que, p</w:t>
      </w:r>
      <w:r>
        <w:t>o</w:t>
      </w:r>
      <w:r>
        <w:t>siblemente, una de las piezas que secuestró sea la ident</w:t>
      </w:r>
      <w:r>
        <w:t>i</w:t>
      </w:r>
      <w:r>
        <w:t>ficada con el nro. 8. En cuanto a la falta de testigos en las dilige</w:t>
      </w:r>
      <w:r>
        <w:t>n</w:t>
      </w:r>
      <w:r>
        <w:t>cias de secuestro, explicó que ello obedeció al peligro que existía en ese momento y que no convocó a la gente de Defensa Civil puesto que no quería int</w:t>
      </w:r>
      <w:r>
        <w:t>e</w:t>
      </w:r>
      <w:r>
        <w:t>rrumpir su labor.</w:t>
      </w:r>
    </w:p>
    <w:p w:rsidR="00224567" w:rsidRDefault="00224567">
      <w:pPr>
        <w:widowControl w:val="0"/>
      </w:pPr>
      <w:r>
        <w:tab/>
        <w:t>Dicho funcionario recordó, ad</w:t>
      </w:r>
      <w:r>
        <w:t>e</w:t>
      </w:r>
      <w:r>
        <w:t>más, que ni bien arr</w:t>
      </w:r>
      <w:r>
        <w:t>i</w:t>
      </w:r>
      <w:r>
        <w:t>bó al lugar debió llevar a un centro de post-venta de la firma “Renault”, por i</w:t>
      </w:r>
      <w:r>
        <w:t>n</w:t>
      </w:r>
      <w:r>
        <w:t>dicación del comisario López, una pieza metálica -la que reconoció como la ide</w:t>
      </w:r>
      <w:r>
        <w:t>n</w:t>
      </w:r>
      <w:r>
        <w:t>tificada con el nº 30- que presentaba, estampada en reli</w:t>
      </w:r>
      <w:r>
        <w:t>e</w:t>
      </w:r>
      <w:r>
        <w:t>ve, el rombo caract</w:t>
      </w:r>
      <w:r>
        <w:t>e</w:t>
      </w:r>
      <w:r>
        <w:t>rístico de dicha empresa automotriz y una letra “T”; pieza que los té</w:t>
      </w:r>
      <w:r>
        <w:t>c</w:t>
      </w:r>
      <w:r>
        <w:t>nicos de la compañía, tras cotejar los libros de aut</w:t>
      </w:r>
      <w:r>
        <w:t>o</w:t>
      </w:r>
      <w:r>
        <w:t>partes de distintos automóviles, determinaron que correspondía a una camioneta, modelo Tr</w:t>
      </w:r>
      <w:r>
        <w:t>a</w:t>
      </w:r>
      <w:r>
        <w:t>fic.</w:t>
      </w:r>
    </w:p>
    <w:p w:rsidR="00224567" w:rsidRDefault="00224567">
      <w:pPr>
        <w:widowControl w:val="0"/>
      </w:pPr>
      <w:r>
        <w:tab/>
        <w:t>El suceso referenciado por Debiassi fue corroborado por sus colegas Solano, K</w:t>
      </w:r>
      <w:r>
        <w:t>i</w:t>
      </w:r>
      <w:r>
        <w:t>rianovicz, López y Arbor, como así también por el técnico de “CI</w:t>
      </w:r>
      <w:r>
        <w:t>A</w:t>
      </w:r>
      <w:r>
        <w:t>DEA S.A.”, Luis Omar Gariboldi, quien recordó haber examinado, el 18 de julio, una pieza que mediante la utilización de los c</w:t>
      </w:r>
      <w:r>
        <w:t>a</w:t>
      </w:r>
      <w:r>
        <w:t>tálogos de autopartes de la empresa identificó como “...una punta de eje de un eje trasero y un brazo de su</w:t>
      </w:r>
      <w:r>
        <w:t>s</w:t>
      </w:r>
      <w:r>
        <w:t>pensión de parte delantera...”; pieza que reconoció al serle exhibida la nº 30.</w:t>
      </w:r>
    </w:p>
    <w:p w:rsidR="00224567" w:rsidRDefault="00224567">
      <w:pPr>
        <w:widowControl w:val="0"/>
      </w:pPr>
      <w:r>
        <w:tab/>
        <w:t>El suboficial Walter Fabián Ostap</w:t>
      </w:r>
      <w:r>
        <w:t>o</w:t>
      </w:r>
      <w:r>
        <w:t xml:space="preserve">witz, por entonces efectivo de la comisaría 51ª de </w:t>
      </w:r>
      <w:smartTag w:uri="urn:schemas-microsoft-com:office:smarttags" w:element="PersonName">
        <w:smartTagPr>
          <w:attr w:name="ProductID" w:val="la Polic￭a Federal"/>
        </w:smartTagPr>
        <w:r>
          <w:t>la P</w:t>
        </w:r>
        <w:r>
          <w:t>o</w:t>
        </w:r>
        <w:r>
          <w:t>licía Federal</w:t>
        </w:r>
      </w:smartTag>
      <w:r>
        <w:t xml:space="preserve"> Argentina, manifestó que en ocasión de cu</w:t>
      </w:r>
      <w:r>
        <w:t>s</w:t>
      </w:r>
      <w:r>
        <w:t xml:space="preserve">todiar los escombros depositados en un predio de </w:t>
      </w:r>
      <w:smartTag w:uri="urn:schemas-microsoft-com:office:smarttags" w:element="PersonName">
        <w:smartTagPr>
          <w:attr w:name="ProductID" w:val="la Costanera Norte"/>
        </w:smartTagPr>
        <w:r>
          <w:t>la Cost</w:t>
        </w:r>
        <w:r>
          <w:t>a</w:t>
        </w:r>
        <w:r>
          <w:t>nera Norte</w:t>
        </w:r>
      </w:smartTag>
      <w:r>
        <w:t xml:space="preserve"> de esta ciudad, fue convocado para presenciar el secuestro de algunos elementos, de los que no recordó mayores detalles, por parte de funcionarios de </w:t>
      </w:r>
      <w:smartTag w:uri="urn:schemas-microsoft-com:office:smarttags" w:element="PersonName">
        <w:smartTagPr>
          <w:attr w:name="ProductID" w:val="la Superintendencia"/>
        </w:smartTagPr>
        <w:r>
          <w:t>la Superi</w:t>
        </w:r>
        <w:r>
          <w:t>n</w:t>
        </w:r>
        <w:r>
          <w:t>tendencia</w:t>
        </w:r>
      </w:smartTag>
      <w:r>
        <w:t xml:space="preserve"> de Bomberos, reconociendo como de su puño y l</w:t>
      </w:r>
      <w:r>
        <w:t>e</w:t>
      </w:r>
      <w:r>
        <w:t>tra una de las firmas estampadas en el acta de fs. 232 del Informe Preliminar.</w:t>
      </w:r>
    </w:p>
    <w:p w:rsidR="00224567" w:rsidRDefault="00224567">
      <w:pPr>
        <w:widowControl w:val="0"/>
      </w:pPr>
      <w:r>
        <w:tab/>
        <w:t>Asimismo, manifestó que en las ocasi</w:t>
      </w:r>
      <w:r>
        <w:t>o</w:t>
      </w:r>
      <w:r>
        <w:t>nes en que concurrió a dicho predio, observó que el pers</w:t>
      </w:r>
      <w:r>
        <w:t>o</w:t>
      </w:r>
      <w:r>
        <w:t>nal de bomberos se encontraba avocado a la búsqueda de evidencias, pudiendo presenciar, en alguna opo</w:t>
      </w:r>
      <w:r>
        <w:t>r</w:t>
      </w:r>
      <w:r>
        <w:t>tunidad, el arribo de camiones cargados con escombros, los que, según creía, llegaban esco</w:t>
      </w:r>
      <w:r>
        <w:t>l</w:t>
      </w:r>
      <w:r>
        <w:t>tados por personal policial.</w:t>
      </w:r>
    </w:p>
    <w:p w:rsidR="00224567" w:rsidRDefault="00224567">
      <w:pPr>
        <w:widowControl w:val="0"/>
      </w:pPr>
      <w:r>
        <w:tab/>
      </w:r>
      <w:r>
        <w:tab/>
        <w:t>Por su parte, el principal Jorge Enr</w:t>
      </w:r>
      <w:r>
        <w:t>i</w:t>
      </w:r>
      <w:r>
        <w:t>que Sol</w:t>
      </w:r>
      <w:r>
        <w:t>a</w:t>
      </w:r>
      <w:r>
        <w:t>no señaló que concurrió a la calle Pasteur el día del atentado, en horas del mediodía, retornando en días posteriores, con la indicación de recoger elementos que presenten evidencias de haber estado en co</w:t>
      </w:r>
      <w:r>
        <w:t>n</w:t>
      </w:r>
      <w:r>
        <w:t>tacto con algún explosivo, para luego transportarlos al centro de oper</w:t>
      </w:r>
      <w:r>
        <w:t>a</w:t>
      </w:r>
      <w:r>
        <w:t>ciones que se est</w:t>
      </w:r>
      <w:r>
        <w:t>a</w:t>
      </w:r>
      <w:r>
        <w:t>bleció en un local cercano a la mutual. En ese sentido, indicó haber hallado varias piezas con t</w:t>
      </w:r>
      <w:r>
        <w:t>a</w:t>
      </w:r>
      <w:r>
        <w:t>les características -cuyos formatos no pudo recordar- pe</w:t>
      </w:r>
      <w:r>
        <w:t>r</w:t>
      </w:r>
      <w:r>
        <w:t>tenecientes, presumibl</w:t>
      </w:r>
      <w:r>
        <w:t>e</w:t>
      </w:r>
      <w:r>
        <w:t xml:space="preserve">mente, a una camioneta; en cambio, precisó que uno de los elementos lo halló en el interior del predio de </w:t>
      </w:r>
      <w:smartTag w:uri="urn:schemas-microsoft-com:office:smarttags" w:element="PersonName">
        <w:smartTagPr>
          <w:attr w:name="ProductID" w:val="la A.M"/>
        </w:smartTagPr>
        <w:r>
          <w:t>la A.M</w:t>
        </w:r>
      </w:smartTag>
      <w:r>
        <w:t>.I.A. y otro en la intersección de las calles Pasteur y Tucumán. Indicó que las piezas que ilu</w:t>
      </w:r>
      <w:r>
        <w:t>s</w:t>
      </w:r>
      <w:r>
        <w:t>tran las fotografías nros. 18, 23 y 74 del Informe Prel</w:t>
      </w:r>
      <w:r>
        <w:t>i</w:t>
      </w:r>
      <w:r>
        <w:t>minar, por sus características -pequeñas y deformadas- r</w:t>
      </w:r>
      <w:r>
        <w:t>e</w:t>
      </w:r>
      <w:r>
        <w:t>sultan similares a las que incautó en ocasión de las dil</w:t>
      </w:r>
      <w:r>
        <w:t>i</w:t>
      </w:r>
      <w:r>
        <w:t>gencias protocolizadas a fs. 172, 178 y 181 del señalado info</w:t>
      </w:r>
      <w:r>
        <w:t>r</w:t>
      </w:r>
      <w:r>
        <w:t>me, en cada una de las cuales reconoció como propias una de las firmas estampadas.</w:t>
      </w:r>
    </w:p>
    <w:p w:rsidR="00224567" w:rsidRDefault="00224567">
      <w:pPr>
        <w:widowControl w:val="0"/>
      </w:pPr>
      <w:r>
        <w:tab/>
      </w:r>
      <w:r>
        <w:tab/>
        <w:t>Explicó, además, que tales dil</w:t>
      </w:r>
      <w:r>
        <w:t>i</w:t>
      </w:r>
      <w:r>
        <w:t xml:space="preserve">gencias las efectuó sin testigos, atendiendo a una directiva que le fue impartida a poco de arribar al lugar, en razón de resultar peligrosa la permanencia de personas en la zona del desastre, aclarando que se desistió de convocar para tal menester a los voluntarios de </w:t>
      </w:r>
      <w:smartTag w:uri="urn:schemas-microsoft-com:office:smarttags" w:element="PersonName">
        <w:smartTagPr>
          <w:attr w:name="ProductID" w:val="la Cruz Roja"/>
        </w:smartTagPr>
        <w:r>
          <w:t>la Cruz Roja</w:t>
        </w:r>
      </w:smartTag>
      <w:r>
        <w:t xml:space="preserve"> y de Defe</w:t>
      </w:r>
      <w:r>
        <w:t>n</w:t>
      </w:r>
      <w:r>
        <w:t>sa Civil, como también a los jóv</w:t>
      </w:r>
      <w:r>
        <w:t>e</w:t>
      </w:r>
      <w:r>
        <w:t>nes de la comunidad judía que colaboraron en las tareas de rescate, para evitar di</w:t>
      </w:r>
      <w:r>
        <w:t>s</w:t>
      </w:r>
      <w:r>
        <w:t>traerlos de sus lab</w:t>
      </w:r>
      <w:r>
        <w:t>o</w:t>
      </w:r>
      <w:r>
        <w:t>res.</w:t>
      </w:r>
    </w:p>
    <w:p w:rsidR="00224567" w:rsidRDefault="00224567">
      <w:pPr>
        <w:widowControl w:val="0"/>
      </w:pPr>
      <w:r>
        <w:tab/>
        <w:t>No obstante ello, Solano admitió haber convocado testigos en ocasión de la diligencia efectuada el 22 de julio de 1994, protocolizada a fs. 65 del Informe Preliminar, cuya firma reconoció, en razón -creía reco</w:t>
      </w:r>
      <w:r>
        <w:t>r</w:t>
      </w:r>
      <w:r>
        <w:t>dar- de que para entonces existía un mayor control de la situación y una dismin</w:t>
      </w:r>
      <w:r>
        <w:t>u</w:t>
      </w:r>
      <w:r>
        <w:t>ción del riesgo en el lugar.</w:t>
      </w:r>
    </w:p>
    <w:p w:rsidR="00224567" w:rsidRDefault="00224567">
      <w:pPr>
        <w:widowControl w:val="0"/>
      </w:pPr>
      <w:r>
        <w:tab/>
        <w:t>Por otro lado, afirmó Solano que al mediodía del 18 de julio se barajaba la hipótesis de que la carga explosiva había sido transportada y  activada  dentro de una camioneta Renault Trafic, en virtud del h</w:t>
      </w:r>
      <w:r>
        <w:t>a</w:t>
      </w:r>
      <w:r>
        <w:t>llazgo de una pieza muy similar a la que compone el tren delantero de dicho vehículo, la que se cotejó con la que tenía colocada una ambula</w:t>
      </w:r>
      <w:r>
        <w:t>n</w:t>
      </w:r>
      <w:r>
        <w:t>cia de igual marca y modelo que se encontraba en el lugar.</w:t>
      </w:r>
    </w:p>
    <w:p w:rsidR="00224567" w:rsidRDefault="00224567">
      <w:pPr>
        <w:widowControl w:val="0"/>
      </w:pPr>
      <w:r>
        <w:tab/>
        <w:t>A su turno, el subinspector Claudio Luis Kirianovicz manifestó que arribó al lugar el día del hecho, aproximadamente a las 11.00, en búsqueda de evide</w:t>
      </w:r>
      <w:r>
        <w:t>n</w:t>
      </w:r>
      <w:r>
        <w:t>cias, secuestrando, en el hall de entrada del edificio e</w:t>
      </w:r>
      <w:r>
        <w:t>n</w:t>
      </w:r>
      <w:r>
        <w:t xml:space="preserve">frentado a </w:t>
      </w:r>
      <w:smartTag w:uri="urn:schemas-microsoft-com:office:smarttags" w:element="PersonName">
        <w:smartTagPr>
          <w:attr w:name="ProductID" w:val="la A.M"/>
        </w:smartTagPr>
        <w:r>
          <w:t>la A.M</w:t>
        </w:r>
      </w:smartTag>
      <w:r>
        <w:t>.I.A., un hierro que con posterioridad se determinó que era la punta de eje de un vehículo; sobre los balcones y el techo de un edificio de oficinas y t</w:t>
      </w:r>
      <w:r>
        <w:t>a</w:t>
      </w:r>
      <w:r>
        <w:t>lleres y de otro ubicado sobre T</w:t>
      </w:r>
      <w:r>
        <w:t>u</w:t>
      </w:r>
      <w:r>
        <w:t>cumán, varios pedazos de chapa deformados que present</w:t>
      </w:r>
      <w:r>
        <w:t>a</w:t>
      </w:r>
      <w:r>
        <w:t>ban indicios de haber estado muy cerca de la explosión; en esa misma calle, una llanta y sobre Viamonte, a mitad de cuadra, una bisagra. Agregó que regresó el 20 y el 22 de julio, incautando en dichas ocasiones, dentro del edificio de Pasteur 633, dos espir</w:t>
      </w:r>
      <w:r>
        <w:t>a</w:t>
      </w:r>
      <w:r>
        <w:t>les de automotor y, en el anfiteatro de la mutual, un tr</w:t>
      </w:r>
      <w:r>
        <w:t>o</w:t>
      </w:r>
      <w:r>
        <w:t>zo de lo que resultó ser el torpedo de la camioneta.</w:t>
      </w:r>
    </w:p>
    <w:p w:rsidR="00224567" w:rsidRDefault="00224567">
      <w:pPr>
        <w:widowControl w:val="0"/>
      </w:pPr>
      <w:r>
        <w:tab/>
        <w:t>Todas esas evidencias, señaló Kirian</w:t>
      </w:r>
      <w:r>
        <w:t>o</w:t>
      </w:r>
      <w:r>
        <w:t>vicz, las remitió al centro de operaciones que se había instalado en el lugar, reconociendo su fi</w:t>
      </w:r>
      <w:r>
        <w:t>r</w:t>
      </w:r>
      <w:r>
        <w:t>ma en las actas de secuestro obrantes a fs. 173, 174, 175, 177, 208, 210, 211, 212, 227 del Informe Preliminar y a fs. 5, 6 y 8 del Informe Final. Explicó, además, que en general las actas que documentaban secuestros eran labradas en la misma of</w:t>
      </w:r>
      <w:r>
        <w:t>i</w:t>
      </w:r>
      <w:r>
        <w:t>cina de operaciones, sin convocar testigos, para evitar poner en riesgo sus vidas y que no protocolizó, en los primeros momentos, el hallazgo de las chapas, en razón de no creer que fueran a tener mayor relevancia para la i</w:t>
      </w:r>
      <w:r>
        <w:t>n</w:t>
      </w:r>
      <w:r>
        <w:t>vestigación.</w:t>
      </w:r>
    </w:p>
    <w:p w:rsidR="00224567" w:rsidRDefault="00224567">
      <w:pPr>
        <w:widowControl w:val="0"/>
      </w:pPr>
      <w:r>
        <w:tab/>
        <w:t>Destacó Kirianovicz que en los fo</w:t>
      </w:r>
      <w:r>
        <w:t>n</w:t>
      </w:r>
      <w:r>
        <w:t xml:space="preserve">dos de </w:t>
      </w:r>
      <w:smartTag w:uri="urn:schemas-microsoft-com:office:smarttags" w:element="PersonName">
        <w:smartTagPr>
          <w:attr w:name="ProductID" w:val="la Ciudad Universitaria"/>
        </w:smartTagPr>
        <w:r>
          <w:t>la Ciudad Universitaria</w:t>
        </w:r>
      </w:smartTag>
      <w:r>
        <w:t>, donde se depositaron los e</w:t>
      </w:r>
      <w:r>
        <w:t>s</w:t>
      </w:r>
      <w:r>
        <w:t xml:space="preserve">combros del edificio de </w:t>
      </w:r>
      <w:smartTag w:uri="urn:schemas-microsoft-com:office:smarttags" w:element="PersonName">
        <w:smartTagPr>
          <w:attr w:name="ProductID" w:val="la A.M"/>
        </w:smartTagPr>
        <w:r>
          <w:t>la A.M</w:t>
        </w:r>
      </w:smartTag>
      <w:r>
        <w:t>.I.A., también incautó, e</w:t>
      </w:r>
      <w:r>
        <w:t>n</w:t>
      </w:r>
      <w:r>
        <w:t>tre agosto de 1994 y febrero del año siguiente, restos h</w:t>
      </w:r>
      <w:r>
        <w:t>u</w:t>
      </w:r>
      <w:r>
        <w:t>manos y varios trozos de chapa que parecían c</w:t>
      </w:r>
      <w:r>
        <w:t>o</w:t>
      </w:r>
      <w:r>
        <w:t>rresponder a una camioneta.</w:t>
      </w:r>
    </w:p>
    <w:p w:rsidR="00224567" w:rsidRDefault="00224567">
      <w:pPr>
        <w:widowControl w:val="0"/>
      </w:pPr>
      <w:r>
        <w:tab/>
        <w:t>Además, precisó que los elementos r</w:t>
      </w:r>
      <w:r>
        <w:t>e</w:t>
      </w:r>
      <w:r>
        <w:t xml:space="preserve">cogidos eran trasladados al Departamento Central de </w:t>
      </w:r>
      <w:smartTag w:uri="urn:schemas-microsoft-com:office:smarttags" w:element="PersonName">
        <w:smartTagPr>
          <w:attr w:name="ProductID" w:val="la Polic￭a Federal"/>
        </w:smartTagPr>
        <w:r>
          <w:t>la P</w:t>
        </w:r>
        <w:r>
          <w:t>o</w:t>
        </w:r>
        <w:r>
          <w:t>licía Federal</w:t>
        </w:r>
      </w:smartTag>
      <w:r>
        <w:t xml:space="preserve"> Argentina, donde técnicos de la firma “R</w:t>
      </w:r>
      <w:r>
        <w:t>e</w:t>
      </w:r>
      <w:r>
        <w:t>nault”, en conjunto con personal de bomberos, identific</w:t>
      </w:r>
      <w:r>
        <w:t>a</w:t>
      </w:r>
      <w:r>
        <w:t>ron muchas de la piezas como pertenecientes a una camion</w:t>
      </w:r>
      <w:r>
        <w:t>e</w:t>
      </w:r>
      <w:r>
        <w:t>ta de esa marca, modelo Trafic; señalando que las chapas fueron enviadas a la planta que dicha empresa posee en Córdoba, desde donde se informó que ese tipo de material era util</w:t>
      </w:r>
      <w:r>
        <w:t>i</w:t>
      </w:r>
      <w:r>
        <w:t>zado para la fabricación de sus vehículos.</w:t>
      </w:r>
    </w:p>
    <w:p w:rsidR="00224567" w:rsidRDefault="00224567">
      <w:pPr>
        <w:widowControl w:val="0"/>
      </w:pPr>
      <w:r>
        <w:tab/>
        <w:t>Por otra parte, recordó que el 18 de julio, en horas del mediodía</w:t>
      </w:r>
      <w:r>
        <w:rPr>
          <w:b/>
        </w:rPr>
        <w:t>,</w:t>
      </w:r>
      <w:r>
        <w:t xml:space="preserve"> se halló un elemento pert</w:t>
      </w:r>
      <w:r>
        <w:t>e</w:t>
      </w:r>
      <w:r>
        <w:t>neciente a una parrilla de suspensión de un vehículo que tenía estampado el rombo característico de la marca “R</w:t>
      </w:r>
      <w:r>
        <w:t>e</w:t>
      </w:r>
      <w:r>
        <w:t>nault”, el cual se envió a la firma “CIADEA S.A.” para d</w:t>
      </w:r>
      <w:r>
        <w:t>e</w:t>
      </w:r>
      <w:r>
        <w:t>terminar si se correspondía con alguna pieza</w:t>
      </w:r>
      <w:r>
        <w:rPr>
          <w:b/>
        </w:rPr>
        <w:t xml:space="preserve"> </w:t>
      </w:r>
      <w:r>
        <w:t>de un autom</w:t>
      </w:r>
      <w:r>
        <w:t>ó</w:t>
      </w:r>
      <w:r>
        <w:t>vil de esa marca.</w:t>
      </w:r>
    </w:p>
    <w:p w:rsidR="00224567" w:rsidRDefault="00224567">
      <w:pPr>
        <w:widowControl w:val="0"/>
      </w:pPr>
      <w:r>
        <w:tab/>
      </w:r>
      <w:r>
        <w:tab/>
        <w:t>Kirianovicz reconoció las piezas ide</w:t>
      </w:r>
      <w:r>
        <w:t>n</w:t>
      </w:r>
      <w:r>
        <w:t>tificadas con los nros. 1, 14, 24, 49, 68 y 70, cuyas f</w:t>
      </w:r>
      <w:r>
        <w:t>o</w:t>
      </w:r>
      <w:r>
        <w:t>tografías obran en los informes preliminar y final, como algunas de las que secuestró en las oportunidades arriba señaladas.</w:t>
      </w:r>
    </w:p>
    <w:p w:rsidR="00224567" w:rsidRDefault="00224567">
      <w:pPr>
        <w:widowControl w:val="0"/>
      </w:pPr>
      <w:r>
        <w:tab/>
      </w:r>
      <w:r>
        <w:tab/>
        <w:t>En cuanto al secuestro de el</w:t>
      </w:r>
      <w:r>
        <w:t>e</w:t>
      </w:r>
      <w:r>
        <w:t xml:space="preserve">mentos en </w:t>
      </w:r>
      <w:smartTag w:uri="urn:schemas-microsoft-com:office:smarttags" w:element="PersonName">
        <w:smartTagPr>
          <w:attr w:name="ProductID" w:val="la Costanera Norte"/>
        </w:smartTagPr>
        <w:r>
          <w:t>la Costanera Norte</w:t>
        </w:r>
      </w:smartTag>
      <w:r>
        <w:t xml:space="preserve"> de esta ciudad, cabe señalar que los dichos de Kirianovicz se encuentran avalados por los de Roberto Ortiz, quien manifestó que en circunstancias en que se encontraba pescando en la costa del Río de </w:t>
      </w:r>
      <w:smartTag w:uri="urn:schemas-microsoft-com:office:smarttags" w:element="PersonName">
        <w:smartTagPr>
          <w:attr w:name="ProductID" w:val="La Plata"/>
        </w:smartTagPr>
        <w:r>
          <w:t>la Pl</w:t>
        </w:r>
        <w:r>
          <w:t>a</w:t>
        </w:r>
        <w:r>
          <w:t>ta</w:t>
        </w:r>
      </w:smartTag>
      <w:r>
        <w:t xml:space="preserve">, a la altura de </w:t>
      </w:r>
      <w:smartTag w:uri="urn:schemas-microsoft-com:office:smarttags" w:element="PersonName">
        <w:smartTagPr>
          <w:attr w:name="ProductID" w:val="la Ciudad Universitaria"/>
        </w:smartTagPr>
        <w:r>
          <w:t>la Ciudad Universitaria</w:t>
        </w:r>
      </w:smartTag>
      <w:r>
        <w:t>, fue llamado por personal policial para pr</w:t>
      </w:r>
      <w:r>
        <w:t>e</w:t>
      </w:r>
      <w:r>
        <w:t>senciar el secuestro de unos “restos que habían tra</w:t>
      </w:r>
      <w:r>
        <w:t>í</w:t>
      </w:r>
      <w:r>
        <w:t>do”, que se encontraban en el piso, muy cerca de unos montículos de tierra, reconociendo como propia una de las firmas insertas en el acta glosada a fs. 8 del I</w:t>
      </w:r>
      <w:r>
        <w:t>n</w:t>
      </w:r>
      <w:r>
        <w:t>forme Final, si bien no pudo individualizar en las vistas fotográficas los el</w:t>
      </w:r>
      <w:r>
        <w:t>e</w:t>
      </w:r>
      <w:r>
        <w:t>mentos allí mencionados.</w:t>
      </w:r>
    </w:p>
    <w:p w:rsidR="00224567" w:rsidRDefault="00224567">
      <w:pPr>
        <w:widowControl w:val="0"/>
      </w:pPr>
      <w:r>
        <w:tab/>
      </w:r>
      <w:r>
        <w:tab/>
        <w:t>En igual sentido, los testigos Luis Benito Arias y José Abdón Mendoza, empleados de segur</w:t>
      </w:r>
      <w:r>
        <w:t>i</w:t>
      </w:r>
      <w:r>
        <w:t xml:space="preserve">dad de </w:t>
      </w:r>
      <w:smartTag w:uri="urn:schemas-microsoft-com:office:smarttags" w:element="PersonName">
        <w:smartTagPr>
          <w:attr w:name="ProductID" w:val="la Universidad Nacional"/>
        </w:smartTagPr>
        <w:r>
          <w:t>la Universidad Nacional</w:t>
        </w:r>
      </w:smartTag>
      <w:r>
        <w:t xml:space="preserve"> de Buenos Aires, relat</w:t>
      </w:r>
      <w:r>
        <w:t>a</w:t>
      </w:r>
      <w:r>
        <w:t>ron que en circunstancias en que se encontraban en una de las pl</w:t>
      </w:r>
      <w:r>
        <w:t>a</w:t>
      </w:r>
      <w:r>
        <w:t xml:space="preserve">yas de estacionamiento de </w:t>
      </w:r>
      <w:smartTag w:uri="urn:schemas-microsoft-com:office:smarttags" w:element="PersonName">
        <w:smartTagPr>
          <w:attr w:name="ProductID" w:val="la Ciudad Universitaria"/>
        </w:smartTagPr>
        <w:r>
          <w:t>la Ciudad Universitaria</w:t>
        </w:r>
      </w:smartTag>
      <w:r>
        <w:t>, se acercó personal policial a fin de e</w:t>
      </w:r>
      <w:r>
        <w:t>x</w:t>
      </w:r>
      <w:r>
        <w:t>hibirles el contenido de una caja, del que sólo recordaron restos humanos, c</w:t>
      </w:r>
      <w:r>
        <w:t>o</w:t>
      </w:r>
      <w:r>
        <w:t xml:space="preserve">mentándoles que tales efectos habían sido recogidos de unos montículos de escombros situados a unos 200 ó </w:t>
      </w:r>
      <w:smartTag w:uri="urn:schemas-microsoft-com:office:smarttags" w:element="metricconverter">
        <w:smartTagPr>
          <w:attr w:name="ProductID" w:val="300 metros"/>
        </w:smartTagPr>
        <w:r>
          <w:t>300 m</w:t>
        </w:r>
        <w:r>
          <w:t>e</w:t>
        </w:r>
        <w:r>
          <w:t>tros</w:t>
        </w:r>
      </w:smartTag>
      <w:r>
        <w:t xml:space="preserve"> hacia el río. Precisó Arias que dichos escombros, r</w:t>
      </w:r>
      <w:r>
        <w:t>e</w:t>
      </w:r>
      <w:r>
        <w:t>visados a diario por personal policial, fu</w:t>
      </w:r>
      <w:r>
        <w:t>e</w:t>
      </w:r>
      <w:r>
        <w:t>ron trasladados hasta ese sitio en camiones custodiados por policías en motocicletas, reconociendo como de su puño y letra las firmas estampadas en las actas de fs. 5 y 6 del Informe Preliminar. Mendoza hizo lo propio con la firma estampada en la prim</w:t>
      </w:r>
      <w:r>
        <w:t>e</w:t>
      </w:r>
      <w:r>
        <w:t>ra de ellas.</w:t>
      </w:r>
    </w:p>
    <w:p w:rsidR="00224567" w:rsidRDefault="00224567">
      <w:pPr>
        <w:widowControl w:val="0"/>
      </w:pPr>
      <w:r>
        <w:tab/>
      </w:r>
      <w:r>
        <w:tab/>
        <w:t>El sargento Raúl Aníbal Var</w:t>
      </w:r>
      <w:r>
        <w:t>e</w:t>
      </w:r>
      <w:r>
        <w:t>la relató que concurrió al lugar los días 19 y 20 de j</w:t>
      </w:r>
      <w:r>
        <w:t>u</w:t>
      </w:r>
      <w:r>
        <w:t>lio, en horas de la noche, ocasiones en las que secue</w:t>
      </w:r>
      <w:r>
        <w:t>s</w:t>
      </w:r>
      <w:r>
        <w:t>tró, en la vereda opuesta a la mutual, una pista de rulemán y un trozo met</w:t>
      </w:r>
      <w:r>
        <w:t>á</w:t>
      </w:r>
      <w:r>
        <w:t>lico, alargado y brilloso, labrando las actas –cuyas fi</w:t>
      </w:r>
      <w:r>
        <w:t>r</w:t>
      </w:r>
      <w:r>
        <w:t>mas reconoció- glosadas a fs. 192 y 194 del Informe Prel</w:t>
      </w:r>
      <w:r>
        <w:t>i</w:t>
      </w:r>
      <w:r>
        <w:t>minar, las que confeccionó sin testigos por temor a que pudieran lesionarse. Asimismo, reconoció dichas piezas, identific</w:t>
      </w:r>
      <w:r>
        <w:t>a</w:t>
      </w:r>
      <w:r>
        <w:t>das con los nros. 16 y 32, como las que ilustran las fotografías incorporadas a fs. 74vta. y 82vta. del I</w:t>
      </w:r>
      <w:r>
        <w:t>n</w:t>
      </w:r>
      <w:r>
        <w:t>forme Prelim</w:t>
      </w:r>
      <w:r>
        <w:t>i</w:t>
      </w:r>
      <w:r>
        <w:t>nar.</w:t>
      </w:r>
    </w:p>
    <w:p w:rsidR="00224567" w:rsidRDefault="00224567">
      <w:pPr>
        <w:widowControl w:val="0"/>
      </w:pPr>
      <w:r>
        <w:tab/>
        <w:t>Por su parte, el sargento Carlos A</w:t>
      </w:r>
      <w:r>
        <w:t>l</w:t>
      </w:r>
      <w:r>
        <w:t>berto Ruiz Huidobro recordó en el debate que los días 19 y 23 de julio, en horas de la tarde, halló en el i</w:t>
      </w:r>
      <w:r>
        <w:t>n</w:t>
      </w:r>
      <w:r>
        <w:t>terior de la mutual una “manguerita” de r</w:t>
      </w:r>
      <w:r>
        <w:t>a</w:t>
      </w:r>
      <w:r>
        <w:t>diador y, en el subsuelo, otro elemento que era s</w:t>
      </w:r>
      <w:r>
        <w:t>i</w:t>
      </w:r>
      <w:r>
        <w:t>milar a un pedazo de elástico, una abrazadera, una llanta “o una cosa así”, para luego rem</w:t>
      </w:r>
      <w:r>
        <w:t>i</w:t>
      </w:r>
      <w:r>
        <w:t xml:space="preserve">tirlos al centro de operaciones instalado </w:t>
      </w:r>
      <w:r>
        <w:rPr>
          <w:bCs/>
        </w:rPr>
        <w:t>en un local pr</w:t>
      </w:r>
      <w:r>
        <w:rPr>
          <w:bCs/>
        </w:rPr>
        <w:t>ó</w:t>
      </w:r>
      <w:r>
        <w:rPr>
          <w:bCs/>
        </w:rPr>
        <w:t>ximo.</w:t>
      </w:r>
      <w:r>
        <w:t xml:space="preserve"> Reconoció como propias las firmas y grafías obrantes en las actas glosadas a fs. 187 y 219 del Informe Prelim</w:t>
      </w:r>
      <w:r>
        <w:t>i</w:t>
      </w:r>
      <w:r>
        <w:t>nar, explicando que en la confección de é</w:t>
      </w:r>
      <w:r>
        <w:t>s</w:t>
      </w:r>
      <w:r>
        <w:t>tas, por ordenes impartidas por sus superiores, debía omitir, si mediaba peligro de derrumbe, la convocatoria de terceras personas, no pudiendo pronunciarse con certeza, debido al tiempo transcurrido, respecto de las piezas que ilustran las f</w:t>
      </w:r>
      <w:r>
        <w:t>o</w:t>
      </w:r>
      <w:r>
        <w:t>tografías de fs. 69 y 104 de dicho informe.</w:t>
      </w:r>
    </w:p>
    <w:p w:rsidR="00224567" w:rsidRDefault="00224567">
      <w:pPr>
        <w:widowControl w:val="0"/>
      </w:pPr>
      <w:r>
        <w:tab/>
        <w:t>El cabo César Ramón Gómez señaló que concurrió al lugar del hecho, en la madrugada del 19 de julio de 1994, en búsqueda de restos de un automóvil, e</w:t>
      </w:r>
      <w:r>
        <w:t>x</w:t>
      </w:r>
      <w:r>
        <w:t>plicando que en la guardia siguiente secuestró en el s</w:t>
      </w:r>
      <w:r>
        <w:t>ó</w:t>
      </w:r>
      <w:r>
        <w:t>tano del edificio derrumbado, según creía recordar, restos metálicos, labrando el acta glosada a fs. 207 del Informe Preliminar –cuya firma reconoció- sin convocar testigos, en razón del estado del lugar.</w:t>
      </w:r>
    </w:p>
    <w:p w:rsidR="00224567" w:rsidRDefault="00224567">
      <w:pPr>
        <w:pStyle w:val="Textoindependiente2"/>
        <w:widowControl w:val="0"/>
        <w:ind w:firstLine="708"/>
        <w:rPr>
          <w:rFonts w:ascii="Courier New" w:hAnsi="Courier New" w:cs="Courier New"/>
          <w:b/>
        </w:rPr>
      </w:pPr>
      <w:r>
        <w:rPr>
          <w:rFonts w:ascii="Courier New" w:hAnsi="Courier New" w:cs="Courier New"/>
        </w:rPr>
        <w:tab/>
        <w:t>El subinspector Alberto Tomás Sc</w:t>
      </w:r>
      <w:r>
        <w:rPr>
          <w:rFonts w:ascii="Courier New" w:hAnsi="Courier New" w:cs="Courier New"/>
        </w:rPr>
        <w:t>a</w:t>
      </w:r>
      <w:r>
        <w:rPr>
          <w:rFonts w:ascii="Courier New" w:hAnsi="Courier New" w:cs="Courier New"/>
        </w:rPr>
        <w:t>lise señaló que concurrió a la calle Pasteur el 18 de julio, en horas de la tarde, permaneciendo hasta las 02.00 del día siguiente, indicando que regresó en varias oport</w:t>
      </w:r>
      <w:r>
        <w:rPr>
          <w:rFonts w:ascii="Courier New" w:hAnsi="Courier New" w:cs="Courier New"/>
        </w:rPr>
        <w:t>u</w:t>
      </w:r>
      <w:r>
        <w:rPr>
          <w:rFonts w:ascii="Courier New" w:hAnsi="Courier New" w:cs="Courier New"/>
        </w:rPr>
        <w:t>nidades, no recordando las fechas exactas. Agregó que, según una directiva, la búsqueda y preservación de ev</w:t>
      </w:r>
      <w:r>
        <w:rPr>
          <w:rFonts w:ascii="Courier New" w:hAnsi="Courier New" w:cs="Courier New"/>
        </w:rPr>
        <w:t>i</w:t>
      </w:r>
      <w:r>
        <w:rPr>
          <w:rFonts w:ascii="Courier New" w:hAnsi="Courier New" w:cs="Courier New"/>
        </w:rPr>
        <w:t>dencias debía ser realizada sin exponer a terceras pe</w:t>
      </w:r>
      <w:r>
        <w:rPr>
          <w:rFonts w:ascii="Courier New" w:hAnsi="Courier New" w:cs="Courier New"/>
        </w:rPr>
        <w:t>r</w:t>
      </w:r>
      <w:r>
        <w:rPr>
          <w:rFonts w:ascii="Courier New" w:hAnsi="Courier New" w:cs="Courier New"/>
        </w:rPr>
        <w:t>sonas en razón del peligro de derrumbes que existía en el lugar</w:t>
      </w:r>
      <w:r>
        <w:rPr>
          <w:rFonts w:ascii="Courier New" w:hAnsi="Courier New" w:cs="Courier New"/>
          <w:b/>
        </w:rPr>
        <w:t xml:space="preserve">, </w:t>
      </w:r>
      <w:r>
        <w:rPr>
          <w:rFonts w:ascii="Courier New" w:hAnsi="Courier New" w:cs="Courier New"/>
        </w:rPr>
        <w:t>explicando que, básicamente, recogía aquellos elementos que present</w:t>
      </w:r>
      <w:r>
        <w:rPr>
          <w:rFonts w:ascii="Courier New" w:hAnsi="Courier New" w:cs="Courier New"/>
        </w:rPr>
        <w:t>a</w:t>
      </w:r>
      <w:r>
        <w:rPr>
          <w:rFonts w:ascii="Courier New" w:hAnsi="Courier New" w:cs="Courier New"/>
        </w:rPr>
        <w:t>ban indicios -roturas o deform</w:t>
      </w:r>
      <w:r>
        <w:rPr>
          <w:rFonts w:ascii="Courier New" w:hAnsi="Courier New" w:cs="Courier New"/>
        </w:rPr>
        <w:t>a</w:t>
      </w:r>
      <w:r>
        <w:rPr>
          <w:rFonts w:ascii="Courier New" w:hAnsi="Courier New" w:cs="Courier New"/>
        </w:rPr>
        <w:t xml:space="preserve">ciones- de haber estado muy cerca </w:t>
      </w:r>
      <w:r>
        <w:rPr>
          <w:rFonts w:ascii="Courier New" w:hAnsi="Courier New" w:cs="Courier New"/>
          <w:bCs/>
        </w:rPr>
        <w:t>del foco</w:t>
      </w:r>
      <w:r>
        <w:rPr>
          <w:rFonts w:ascii="Courier New" w:hAnsi="Courier New" w:cs="Courier New"/>
        </w:rPr>
        <w:t xml:space="preserve"> de la explosión. Asimismo, indicó que s</w:t>
      </w:r>
      <w:r>
        <w:rPr>
          <w:rFonts w:ascii="Courier New" w:hAnsi="Courier New" w:cs="Courier New"/>
        </w:rPr>
        <w:t>e</w:t>
      </w:r>
      <w:r>
        <w:rPr>
          <w:rFonts w:ascii="Courier New" w:hAnsi="Courier New" w:cs="Courier New"/>
        </w:rPr>
        <w:t xml:space="preserve">cuestró, en el anfiteatro de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.I.A., una llave de rueda para una sola tuerca; en las proximidades de la m</w:t>
      </w:r>
      <w:r>
        <w:rPr>
          <w:rFonts w:ascii="Courier New" w:hAnsi="Courier New" w:cs="Courier New"/>
        </w:rPr>
        <w:t>u</w:t>
      </w:r>
      <w:r>
        <w:rPr>
          <w:rFonts w:ascii="Courier New" w:hAnsi="Courier New" w:cs="Courier New"/>
        </w:rPr>
        <w:t>tual, una mordaza de freno y una pieza -“algo como un eje o algo por el estilo, unos bulones” (sic)- que, al par</w:t>
      </w:r>
      <w:r>
        <w:rPr>
          <w:rFonts w:ascii="Courier New" w:hAnsi="Courier New" w:cs="Courier New"/>
        </w:rPr>
        <w:t>e</w:t>
      </w:r>
      <w:r>
        <w:rPr>
          <w:rFonts w:ascii="Courier New" w:hAnsi="Courier New" w:cs="Courier New"/>
        </w:rPr>
        <w:t>cer, formaba parte del sistema de rueda</w:t>
      </w:r>
      <w:r>
        <w:rPr>
          <w:rFonts w:ascii="Courier New" w:hAnsi="Courier New" w:cs="Courier New"/>
          <w:b/>
        </w:rPr>
        <w:t xml:space="preserve">; </w:t>
      </w:r>
      <w:r>
        <w:rPr>
          <w:rFonts w:ascii="Courier New" w:hAnsi="Courier New" w:cs="Courier New"/>
        </w:rPr>
        <w:t>y, en una playa</w:t>
      </w:r>
      <w:r>
        <w:rPr>
          <w:rFonts w:ascii="Courier New" w:hAnsi="Courier New" w:cs="Courier New"/>
          <w:b/>
        </w:rPr>
        <w:t xml:space="preserve"> </w:t>
      </w:r>
      <w:r>
        <w:rPr>
          <w:rFonts w:ascii="Courier New" w:hAnsi="Courier New" w:cs="Courier New"/>
        </w:rPr>
        <w:t>de estacionamiento de la calle Larrea al 500 de esta ci</w:t>
      </w:r>
      <w:r>
        <w:rPr>
          <w:rFonts w:ascii="Courier New" w:hAnsi="Courier New" w:cs="Courier New"/>
        </w:rPr>
        <w:t>u</w:t>
      </w:r>
      <w:r>
        <w:rPr>
          <w:rFonts w:ascii="Courier New" w:hAnsi="Courier New" w:cs="Courier New"/>
        </w:rPr>
        <w:t>dad, dos trozos de hierro, uno de color blancuzco y otro más brillante, los que pertenecían, supo después, al r</w:t>
      </w:r>
      <w:r>
        <w:rPr>
          <w:rFonts w:ascii="Courier New" w:hAnsi="Courier New" w:cs="Courier New"/>
        </w:rPr>
        <w:t>e</w:t>
      </w:r>
      <w:r>
        <w:rPr>
          <w:rFonts w:ascii="Courier New" w:hAnsi="Courier New" w:cs="Courier New"/>
        </w:rPr>
        <w:t>fuerzo del techo de un vehículo. Respecto de este último hallazgo, indicó que se dirigió al lugar en razón de h</w:t>
      </w:r>
      <w:r>
        <w:rPr>
          <w:rFonts w:ascii="Courier New" w:hAnsi="Courier New" w:cs="Courier New"/>
        </w:rPr>
        <w:t>a</w:t>
      </w:r>
      <w:r>
        <w:rPr>
          <w:rFonts w:ascii="Courier New" w:hAnsi="Courier New" w:cs="Courier New"/>
        </w:rPr>
        <w:t>berse anoticiado</w:t>
      </w:r>
      <w:r>
        <w:rPr>
          <w:rFonts w:ascii="Courier New" w:hAnsi="Courier New" w:cs="Courier New"/>
          <w:b/>
        </w:rPr>
        <w:t xml:space="preserve"> </w:t>
      </w:r>
      <w:r>
        <w:rPr>
          <w:rFonts w:ascii="Courier New" w:hAnsi="Courier New" w:cs="Courier New"/>
        </w:rPr>
        <w:t>a través de la televisión de la apar</w:t>
      </w:r>
      <w:r>
        <w:rPr>
          <w:rFonts w:ascii="Courier New" w:hAnsi="Courier New" w:cs="Courier New"/>
        </w:rPr>
        <w:t>i</w:t>
      </w:r>
      <w:r>
        <w:rPr>
          <w:rFonts w:ascii="Courier New" w:hAnsi="Courier New" w:cs="Courier New"/>
        </w:rPr>
        <w:t>ción de tales evidencias.</w:t>
      </w:r>
      <w:r>
        <w:rPr>
          <w:rFonts w:ascii="Courier New" w:hAnsi="Courier New" w:cs="Courier New"/>
          <w:b/>
        </w:rPr>
        <w:t xml:space="preserve"> </w:t>
      </w:r>
      <w:r>
        <w:rPr>
          <w:rFonts w:ascii="Courier New" w:hAnsi="Courier New" w:cs="Courier New"/>
        </w:rPr>
        <w:t xml:space="preserve">Señaló, además, que en el predio de </w:t>
      </w:r>
      <w:smartTag w:uri="urn:schemas-microsoft-com:office:smarttags" w:element="PersonName">
        <w:smartTagPr>
          <w:attr w:name="ProductID" w:val="la Ciudad Universitaria"/>
        </w:smartTagPr>
        <w:r>
          <w:rPr>
            <w:rFonts w:ascii="Courier New" w:hAnsi="Courier New" w:cs="Courier New"/>
          </w:rPr>
          <w:t>la Ciudad Universitaria</w:t>
        </w:r>
      </w:smartTag>
      <w:r>
        <w:rPr>
          <w:rFonts w:ascii="Courier New" w:hAnsi="Courier New" w:cs="Courier New"/>
        </w:rPr>
        <w:t>, donde inicialmente se depos</w:t>
      </w:r>
      <w:r>
        <w:rPr>
          <w:rFonts w:ascii="Courier New" w:hAnsi="Courier New" w:cs="Courier New"/>
        </w:rPr>
        <w:t>i</w:t>
      </w:r>
      <w:r>
        <w:rPr>
          <w:rFonts w:ascii="Courier New" w:hAnsi="Courier New" w:cs="Courier New"/>
        </w:rPr>
        <w:t>taron los escombros y demás elementos extraídos del lugar del siniestro, halló algunos objetos, entre los que i</w:t>
      </w:r>
      <w:r>
        <w:rPr>
          <w:rFonts w:ascii="Courier New" w:hAnsi="Courier New" w:cs="Courier New"/>
        </w:rPr>
        <w:t>n</w:t>
      </w:r>
      <w:r>
        <w:rPr>
          <w:rFonts w:ascii="Courier New" w:hAnsi="Courier New" w:cs="Courier New"/>
        </w:rPr>
        <w:t>dicó un circuito de cables.</w:t>
      </w:r>
    </w:p>
    <w:p w:rsidR="00224567" w:rsidRDefault="00224567">
      <w:pPr>
        <w:pStyle w:val="Textoindependiente2"/>
        <w:widowControl w:val="0"/>
        <w:rPr>
          <w:rFonts w:ascii="Courier New" w:hAnsi="Courier New" w:cs="Courier New"/>
          <w:lang w:val="es-ES_tradnl"/>
        </w:rPr>
      </w:pPr>
      <w:r>
        <w:tab/>
      </w:r>
      <w:r>
        <w:rPr>
          <w:rFonts w:ascii="Courier New" w:hAnsi="Courier New" w:cs="Courier New"/>
        </w:rPr>
        <w:t>Relató Scalise que confeccionó las a</w:t>
      </w:r>
      <w:r>
        <w:rPr>
          <w:rFonts w:ascii="Courier New" w:hAnsi="Courier New" w:cs="Courier New"/>
        </w:rPr>
        <w:t>c</w:t>
      </w:r>
      <w:r>
        <w:rPr>
          <w:rFonts w:ascii="Courier New" w:hAnsi="Courier New" w:cs="Courier New"/>
        </w:rPr>
        <w:t>tas en el lugar de los hallazgos, remitiéndolas de inm</w:t>
      </w:r>
      <w:r>
        <w:rPr>
          <w:rFonts w:ascii="Courier New" w:hAnsi="Courier New" w:cs="Courier New"/>
        </w:rPr>
        <w:t>e</w:t>
      </w:r>
      <w:r>
        <w:rPr>
          <w:rFonts w:ascii="Courier New" w:hAnsi="Courier New" w:cs="Courier New"/>
        </w:rPr>
        <w:t>diato, junto con las evidencias, al centro de op</w:t>
      </w:r>
      <w:r>
        <w:rPr>
          <w:rFonts w:ascii="Courier New" w:hAnsi="Courier New" w:cs="Courier New"/>
        </w:rPr>
        <w:t>e</w:t>
      </w:r>
      <w:r>
        <w:rPr>
          <w:rFonts w:ascii="Courier New" w:hAnsi="Courier New" w:cs="Courier New"/>
        </w:rPr>
        <w:t xml:space="preserve">raciones que se montó en las cercanías de la mutual, las que luego se enviaban al Departamento Central de Policía para su identificación por los técnicos de la firma “CIADEA S.A.”. </w:t>
      </w:r>
    </w:p>
    <w:p w:rsidR="00224567" w:rsidRDefault="00224567">
      <w:pPr>
        <w:pStyle w:val="Textoindependiente2"/>
        <w:widowControl w:val="0"/>
        <w:rPr>
          <w:rFonts w:ascii="Courier New" w:hAnsi="Courier New" w:cs="Courier New"/>
        </w:rPr>
      </w:pPr>
      <w:r>
        <w:rPr>
          <w:rFonts w:ascii="Courier New" w:hAnsi="Courier New" w:cs="Courier New"/>
        </w:rPr>
        <w:t xml:space="preserve">Explicó, además, que </w:t>
      </w:r>
      <w:r>
        <w:rPr>
          <w:rFonts w:ascii="Courier New" w:hAnsi="Courier New" w:cs="Courier New"/>
          <w:bCs/>
        </w:rPr>
        <w:t>no convocó testigos en razón del p</w:t>
      </w:r>
      <w:r>
        <w:rPr>
          <w:rFonts w:ascii="Courier New" w:hAnsi="Courier New" w:cs="Courier New"/>
          <w:bCs/>
        </w:rPr>
        <w:t>e</w:t>
      </w:r>
      <w:r>
        <w:rPr>
          <w:rFonts w:ascii="Courier New" w:hAnsi="Courier New" w:cs="Courier New"/>
          <w:bCs/>
        </w:rPr>
        <w:t>ligro que significaba permanecer en el área afectada por la explosión, r</w:t>
      </w:r>
      <w:r>
        <w:rPr>
          <w:rFonts w:ascii="Courier New" w:hAnsi="Courier New" w:cs="Courier New"/>
        </w:rPr>
        <w:t>econociendo los instrumentos glos</w:t>
      </w:r>
      <w:r>
        <w:rPr>
          <w:rFonts w:ascii="Courier New" w:hAnsi="Courier New" w:cs="Courier New"/>
        </w:rPr>
        <w:t>a</w:t>
      </w:r>
      <w:r>
        <w:rPr>
          <w:rFonts w:ascii="Courier New" w:hAnsi="Courier New" w:cs="Courier New"/>
        </w:rPr>
        <w:t>dos a fs. 34, 198, 204, 206, 217, 223, 228, 229, 230 y 231 del I</w:t>
      </w:r>
      <w:r>
        <w:rPr>
          <w:rFonts w:ascii="Courier New" w:hAnsi="Courier New" w:cs="Courier New"/>
        </w:rPr>
        <w:t>n</w:t>
      </w:r>
      <w:r>
        <w:rPr>
          <w:rFonts w:ascii="Courier New" w:hAnsi="Courier New" w:cs="Courier New"/>
        </w:rPr>
        <w:t>forme Preliminar y a fs. 7, 12, 13, 14 y 24 del Informe Final.</w:t>
      </w:r>
    </w:p>
    <w:p w:rsidR="00224567" w:rsidRDefault="00224567">
      <w:pPr>
        <w:pStyle w:val="Textoindependiente2"/>
        <w:widowControl w:val="0"/>
        <w:rPr>
          <w:rFonts w:ascii="Courier New" w:hAnsi="Courier New" w:cs="Courier New"/>
        </w:rPr>
      </w:pPr>
      <w:r>
        <w:rPr>
          <w:rFonts w:ascii="Courier New" w:hAnsi="Courier New" w:cs="Courier New"/>
        </w:rPr>
        <w:tab/>
        <w:t>No obstante, Scalise tan solo r</w:t>
      </w:r>
      <w:r>
        <w:rPr>
          <w:rFonts w:ascii="Courier New" w:hAnsi="Courier New" w:cs="Courier New"/>
        </w:rPr>
        <w:t>e</w:t>
      </w:r>
      <w:r>
        <w:rPr>
          <w:rFonts w:ascii="Courier New" w:hAnsi="Courier New" w:cs="Courier New"/>
        </w:rPr>
        <w:t>cordó</w:t>
      </w:r>
      <w:r>
        <w:rPr>
          <w:rFonts w:ascii="Courier New" w:hAnsi="Courier New" w:cs="Courier New"/>
          <w:b/>
        </w:rPr>
        <w:t xml:space="preserve"> </w:t>
      </w:r>
      <w:r>
        <w:rPr>
          <w:rFonts w:ascii="Courier New" w:hAnsi="Courier New" w:cs="Courier New"/>
        </w:rPr>
        <w:t>las vistas fotográficas obrantes a fs. 88 y 115vta. del primero de los informes, señalando que la de fs. 88 se c</w:t>
      </w:r>
      <w:r>
        <w:rPr>
          <w:rFonts w:ascii="Courier New" w:hAnsi="Courier New" w:cs="Courier New"/>
        </w:rPr>
        <w:t>o</w:t>
      </w:r>
      <w:r>
        <w:rPr>
          <w:rFonts w:ascii="Courier New" w:hAnsi="Courier New" w:cs="Courier New"/>
        </w:rPr>
        <w:t>rrespondía con los elementos me</w:t>
      </w:r>
      <w:r>
        <w:rPr>
          <w:rFonts w:ascii="Courier New" w:hAnsi="Courier New" w:cs="Courier New"/>
        </w:rPr>
        <w:t>n</w:t>
      </w:r>
      <w:r>
        <w:rPr>
          <w:rFonts w:ascii="Courier New" w:hAnsi="Courier New" w:cs="Courier New"/>
        </w:rPr>
        <w:t>cionados en el acta de fs. 204, antes citada.</w:t>
      </w:r>
    </w:p>
    <w:p w:rsidR="00224567" w:rsidRDefault="00224567">
      <w:pPr>
        <w:widowControl w:val="0"/>
      </w:pPr>
      <w:r>
        <w:tab/>
        <w:t>Juan Sabino López, en concorda</w:t>
      </w:r>
      <w:r>
        <w:t>n</w:t>
      </w:r>
      <w:r>
        <w:t>cia con lo señalado por Scalise, declaró que el día del atentado encontró un fierro tirado en el estacionamiento donde tr</w:t>
      </w:r>
      <w:r>
        <w:t>a</w:t>
      </w:r>
      <w:r>
        <w:t>bajaba, ubicado en la calle L</w:t>
      </w:r>
      <w:r>
        <w:t>a</w:t>
      </w:r>
      <w:r>
        <w:t>rrea 553 de esta ciudad, el que tiempo después entregó a la policía, suscribiendo el acta obrante a fs. 204 del Informe Preliminar.</w:t>
      </w:r>
    </w:p>
    <w:p w:rsidR="00224567" w:rsidRDefault="00224567">
      <w:pPr>
        <w:widowControl w:val="0"/>
        <w:rPr>
          <w:b/>
          <w:color w:val="000000"/>
        </w:rPr>
      </w:pPr>
      <w:r>
        <w:rPr>
          <w:color w:val="000000"/>
        </w:rPr>
        <w:tab/>
        <w:t>Por su parte, el cabo primero Aroldo Carlos</w:t>
      </w:r>
      <w:r>
        <w:rPr>
          <w:rStyle w:val="Textoennegrita"/>
          <w:b w:val="0"/>
          <w:color w:val="000000"/>
        </w:rPr>
        <w:t xml:space="preserve"> </w:t>
      </w:r>
      <w:r>
        <w:rPr>
          <w:rStyle w:val="Textoennegrita"/>
          <w:b w:val="0"/>
        </w:rPr>
        <w:t>Salatino señaló que entre los escombros ub</w:t>
      </w:r>
      <w:r>
        <w:rPr>
          <w:rStyle w:val="Textoennegrita"/>
          <w:b w:val="0"/>
        </w:rPr>
        <w:t>i</w:t>
      </w:r>
      <w:r>
        <w:rPr>
          <w:rStyle w:val="Textoennegrita"/>
          <w:b w:val="0"/>
        </w:rPr>
        <w:t>cados en el lateral izquierdo del predio donde se emplazaba la m</w:t>
      </w:r>
      <w:r>
        <w:rPr>
          <w:rStyle w:val="Textoennegrita"/>
          <w:b w:val="0"/>
        </w:rPr>
        <w:t>u</w:t>
      </w:r>
      <w:r>
        <w:rPr>
          <w:rStyle w:val="Textoennegrita"/>
          <w:b w:val="0"/>
        </w:rPr>
        <w:t xml:space="preserve">tual, “mientras sacaban pedazos de piedras”, secuestró </w:t>
      </w:r>
      <w:r>
        <w:rPr>
          <w:color w:val="000000"/>
        </w:rPr>
        <w:t>a</w:t>
      </w:r>
      <w:r>
        <w:rPr>
          <w:color w:val="000000"/>
        </w:rPr>
        <w:t>l</w:t>
      </w:r>
      <w:r>
        <w:rPr>
          <w:color w:val="000000"/>
        </w:rPr>
        <w:t>gunos trozos de llantas y un pedazo de una pastilla de freno, confecci</w:t>
      </w:r>
      <w:r>
        <w:rPr>
          <w:color w:val="000000"/>
        </w:rPr>
        <w:t>o</w:t>
      </w:r>
      <w:r>
        <w:rPr>
          <w:color w:val="000000"/>
        </w:rPr>
        <w:t>nando de su puño y letra, en el centro de operaciones, el acta glosada a fs. 231 del Informe Prel</w:t>
      </w:r>
      <w:r>
        <w:rPr>
          <w:color w:val="000000"/>
        </w:rPr>
        <w:t>i</w:t>
      </w:r>
      <w:r>
        <w:rPr>
          <w:color w:val="000000"/>
        </w:rPr>
        <w:t>minar. Agregó que para tal diligencia no convocó te</w:t>
      </w:r>
      <w:r>
        <w:rPr>
          <w:color w:val="000000"/>
        </w:rPr>
        <w:t>s</w:t>
      </w:r>
      <w:r>
        <w:rPr>
          <w:color w:val="000000"/>
        </w:rPr>
        <w:t>tigos en razón de tratarse de una zona de alto rie</w:t>
      </w:r>
      <w:r>
        <w:rPr>
          <w:color w:val="000000"/>
        </w:rPr>
        <w:t>s</w:t>
      </w:r>
      <w:r>
        <w:rPr>
          <w:color w:val="000000"/>
        </w:rPr>
        <w:t>go.</w:t>
      </w:r>
    </w:p>
    <w:p w:rsidR="00224567" w:rsidRDefault="00224567">
      <w:pPr>
        <w:widowControl w:val="0"/>
        <w:rPr>
          <w:bCs/>
          <w:color w:val="000000"/>
        </w:rPr>
      </w:pPr>
      <w:r>
        <w:rPr>
          <w:bCs/>
          <w:color w:val="000000"/>
        </w:rPr>
        <w:tab/>
        <w:t>Asimismo, reconoció en las vistas f</w:t>
      </w:r>
      <w:r>
        <w:rPr>
          <w:bCs/>
          <w:color w:val="000000"/>
        </w:rPr>
        <w:t>o</w:t>
      </w:r>
      <w:r>
        <w:rPr>
          <w:bCs/>
          <w:color w:val="000000"/>
        </w:rPr>
        <w:t>tográficas obrantes en el Informe Preliminar, el objeto identificado con el nº 6 como uno de los que secuestró, indicando que la pastilla de frenos podría ser la que ilustra la nº 51 ó 64.</w:t>
      </w:r>
    </w:p>
    <w:p w:rsidR="00224567" w:rsidRDefault="00224567">
      <w:pPr>
        <w:widowControl w:val="0"/>
      </w:pPr>
      <w:r>
        <w:rPr>
          <w:bCs/>
          <w:color w:val="000000"/>
        </w:rPr>
        <w:tab/>
      </w:r>
      <w:r>
        <w:t>Carlos Enrique Quinteros, subinspe</w:t>
      </w:r>
      <w:r>
        <w:t>c</w:t>
      </w:r>
      <w:r>
        <w:t xml:space="preserve">tor del </w:t>
      </w:r>
      <w:r>
        <w:rPr>
          <w:bCs/>
        </w:rPr>
        <w:t>Departamento de Explosivos y Riesgos E</w:t>
      </w:r>
      <w:r>
        <w:rPr>
          <w:bCs/>
        </w:rPr>
        <w:t>s</w:t>
      </w:r>
      <w:r>
        <w:rPr>
          <w:bCs/>
        </w:rPr>
        <w:t xml:space="preserve">peciales de </w:t>
      </w:r>
      <w:smartTag w:uri="urn:schemas-microsoft-com:office:smarttags" w:element="PersonName">
        <w:smartTagPr>
          <w:attr w:name="ProductID" w:val="la Polic￭a Federal"/>
        </w:smartTagPr>
        <w:r>
          <w:rPr>
            <w:bCs/>
          </w:rPr>
          <w:t>la Policía Federal</w:t>
        </w:r>
      </w:smartTag>
      <w:r>
        <w:rPr>
          <w:bCs/>
        </w:rPr>
        <w:t xml:space="preserve"> Argentina</w:t>
      </w:r>
      <w:r>
        <w:t>, manifestó que concurrió al l</w:t>
      </w:r>
      <w:r>
        <w:t>u</w:t>
      </w:r>
      <w:r>
        <w:t>gar del hecho el 18 de julio, en horas de la tarde y que la labor del personal de explosivos consistía, fundame</w:t>
      </w:r>
      <w:r>
        <w:t>n</w:t>
      </w:r>
      <w:r>
        <w:t>talmente, en la recolección de ev</w:t>
      </w:r>
      <w:r>
        <w:t>i</w:t>
      </w:r>
      <w:r>
        <w:t>dencias que permitieran alcanzar certeza acerca de la forma en que ocurrió la e</w:t>
      </w:r>
      <w:r>
        <w:t>x</w:t>
      </w:r>
      <w:r>
        <w:t>plosión. R</w:t>
      </w:r>
      <w:r>
        <w:t>e</w:t>
      </w:r>
      <w:r>
        <w:t>cordó que en el interior de la mutual secuestró un árbol de engranajes de una caja de cambios, cuyos di</w:t>
      </w:r>
      <w:r>
        <w:t>á</w:t>
      </w:r>
      <w:r>
        <w:t>metros decrecían en formal gradual; en un lugar que no precisó, un conducto de mat</w:t>
      </w:r>
      <w:r>
        <w:t>e</w:t>
      </w:r>
      <w:r>
        <w:t>rial flexible y, dentro de los edificios enfrentados a aquélla, varios trozos de neumát</w:t>
      </w:r>
      <w:r>
        <w:t>i</w:t>
      </w:r>
      <w:r>
        <w:t>cos y de partes metálicas con huellas de haber estado ce</w:t>
      </w:r>
      <w:r>
        <w:t>r</w:t>
      </w:r>
      <w:r>
        <w:t>ca del centro de la e</w:t>
      </w:r>
      <w:r>
        <w:t>x</w:t>
      </w:r>
      <w:r>
        <w:t>plosión.</w:t>
      </w:r>
    </w:p>
    <w:p w:rsidR="00224567" w:rsidRDefault="00224567">
      <w:pPr>
        <w:widowControl w:val="0"/>
      </w:pPr>
      <w:r>
        <w:tab/>
        <w:t>Asimismo, Quinteros precisó que a fin de preservar las evidencias éstas eran embolsadas, rotul</w:t>
      </w:r>
      <w:r>
        <w:t>a</w:t>
      </w:r>
      <w:r>
        <w:t>das y remitidas al centro de operaciones instalado en el lugar, donde personal de investigaciones las reclasific</w:t>
      </w:r>
      <w:r>
        <w:t>a</w:t>
      </w:r>
      <w:r>
        <w:t>ba, individualizándolas con otro número, de</w:t>
      </w:r>
      <w:r>
        <w:t>s</w:t>
      </w:r>
      <w:r>
        <w:t>cartando todas aquellas que, en fo</w:t>
      </w:r>
      <w:r>
        <w:t>r</w:t>
      </w:r>
      <w:r>
        <w:t>ma ostensible, no tenían interés para la investig</w:t>
      </w:r>
      <w:r>
        <w:t>a</w:t>
      </w:r>
      <w:r>
        <w:t xml:space="preserve">ción. Agregó que, por cada pieza secuestrada, confeccionaba un acta </w:t>
      </w:r>
      <w:r>
        <w:rPr>
          <w:bCs/>
        </w:rPr>
        <w:t>de su p</w:t>
      </w:r>
      <w:r>
        <w:rPr>
          <w:bCs/>
        </w:rPr>
        <w:t>u</w:t>
      </w:r>
      <w:r>
        <w:rPr>
          <w:bCs/>
        </w:rPr>
        <w:t>ño y letra,</w:t>
      </w:r>
      <w:r>
        <w:t xml:space="preserve"> reconociendo las glosadas a fs. 65, 66, 185, 202, 203, 205, 214 y 216 del Informe Preliminar y señalando las piezas nros. 39, 42, 44, 53 y 57 (ver fotografías en el informe mencionado) c</w:t>
      </w:r>
      <w:r>
        <w:t>o</w:t>
      </w:r>
      <w:r>
        <w:t>mo aquellas que probablemente recogió en el lugar del h</w:t>
      </w:r>
      <w:r>
        <w:t>e</w:t>
      </w:r>
      <w:r>
        <w:t>cho.</w:t>
      </w:r>
    </w:p>
    <w:p w:rsidR="00224567" w:rsidRDefault="00224567">
      <w:pPr>
        <w:widowControl w:val="0"/>
      </w:pPr>
      <w:r>
        <w:tab/>
      </w:r>
      <w:r>
        <w:tab/>
        <w:t>Por otro lado, manifestó que los h</w:t>
      </w:r>
      <w:r>
        <w:t>a</w:t>
      </w:r>
      <w:r>
        <w:t>llazgos de evidencias se realizaron sin la presencia de testigos para evitar poner sus vidas en riesgo, en razón del peligro de desmoronamientos, caída de balcones o ma</w:t>
      </w:r>
      <w:r>
        <w:t>m</w:t>
      </w:r>
      <w:r>
        <w:t>postería; sin embargo, justificó la presencia de partic</w:t>
      </w:r>
      <w:r>
        <w:t>u</w:t>
      </w:r>
      <w:r>
        <w:t>lares en las tomas de muestras mediante hisopados, prot</w:t>
      </w:r>
      <w:r>
        <w:t>o</w:t>
      </w:r>
      <w:r>
        <w:t>colizadas en las a</w:t>
      </w:r>
      <w:r>
        <w:t>c</w:t>
      </w:r>
      <w:r>
        <w:t>tas obrantes a fs. 65 y 66 del Informe Preliminar, indicando que, probablemente, dichos indiv</w:t>
      </w:r>
      <w:r>
        <w:t>i</w:t>
      </w:r>
      <w:r>
        <w:t>duos se encontraban en el lugar, en zonas donde no exi</w:t>
      </w:r>
      <w:r>
        <w:t>s</w:t>
      </w:r>
      <w:r>
        <w:t>tían aquellos peligros, habiéndose impartido, posterio</w:t>
      </w:r>
      <w:r>
        <w:t>r</w:t>
      </w:r>
      <w:r>
        <w:t>mente, la orden general de no convocar testigos por las razones antes expuestas; ello, sin perjuicio de señalar que los testigos que asistieron a tales diligencias -Enrique Alliot y Esteban Adrián Kajt- manifestaron que al ser co</w:t>
      </w:r>
      <w:r>
        <w:t>n</w:t>
      </w:r>
      <w:r>
        <w:t>vocados por el personal policial se encontraban en la oficina de administración de consorcios de la calle Viamonte 2295, p</w:t>
      </w:r>
      <w:r>
        <w:t>i</w:t>
      </w:r>
      <w:r>
        <w:t>so 1º, de esta ciudad.</w:t>
      </w:r>
    </w:p>
    <w:p w:rsidR="00224567" w:rsidRDefault="00224567">
      <w:pPr>
        <w:widowControl w:val="0"/>
      </w:pPr>
      <w:r>
        <w:tab/>
        <w:t xml:space="preserve">Sin embargo, y </w:t>
      </w:r>
      <w:r>
        <w:rPr>
          <w:bCs/>
        </w:rPr>
        <w:t>aún a riesgo de exc</w:t>
      </w:r>
      <w:r>
        <w:rPr>
          <w:bCs/>
        </w:rPr>
        <w:t>e</w:t>
      </w:r>
      <w:r>
        <w:rPr>
          <w:bCs/>
        </w:rPr>
        <w:t xml:space="preserve">der </w:t>
      </w:r>
      <w:r>
        <w:t>las cuestiones abordadas en el presente capítulo, corre</w:t>
      </w:r>
      <w:r>
        <w:t>s</w:t>
      </w:r>
      <w:r>
        <w:t>ponde señalar que tanto Kajt como Alliot ratificaron las circunstancias detalladas en las mentadas a</w:t>
      </w:r>
      <w:r>
        <w:t>c</w:t>
      </w:r>
      <w:r>
        <w:t>tas, en punto a que presenciaron la obtención de una muestra de tejido humano y de otras evidencias sobre el frente de mármol del edificio contiguo a la mutual, r</w:t>
      </w:r>
      <w:r>
        <w:t>e</w:t>
      </w:r>
      <w:r>
        <w:t>cordando Alliot que dicha edificación “estaba muy mal, justo en el límite de la p</w:t>
      </w:r>
      <w:r>
        <w:t>a</w:t>
      </w:r>
      <w:r>
        <w:t xml:space="preserve">red de la vereda con lo que había quedado de </w:t>
      </w:r>
      <w:smartTag w:uri="urn:schemas-microsoft-com:office:smarttags" w:element="PersonName">
        <w:smartTagPr>
          <w:attr w:name="ProductID" w:val="la A.M"/>
        </w:smartTagPr>
        <w:r>
          <w:t>la A.M</w:t>
        </w:r>
      </w:smartTag>
      <w:r>
        <w:t>.I.A.”, por lo que debieron ut</w:t>
      </w:r>
      <w:r>
        <w:t>i</w:t>
      </w:r>
      <w:r>
        <w:t>lizar cascos.</w:t>
      </w:r>
    </w:p>
    <w:p w:rsidR="00224567" w:rsidRDefault="00224567">
      <w:pPr>
        <w:widowControl w:val="0"/>
      </w:pPr>
      <w:r>
        <w:tab/>
      </w:r>
      <w:r>
        <w:tab/>
        <w:t>En punto al secuestro de piezas, ta</w:t>
      </w:r>
      <w:r>
        <w:t>m</w:t>
      </w:r>
      <w:r>
        <w:t>bién se tienen en cuenta los testimonios de Francisco M</w:t>
      </w:r>
      <w:r>
        <w:t>a</w:t>
      </w:r>
      <w:r>
        <w:t>nuel Victoriano Ribeiro Mendonca y su esposa Sus</w:t>
      </w:r>
      <w:r>
        <w:t>a</w:t>
      </w:r>
      <w:r>
        <w:t xml:space="preserve">na Celia Lacour, quienes indicaron que tiempo después del atentado encontraron en la azotea de su vivienda, sita en Tucumán 2311, lo que al parecer era una bisagra quemada, de unos </w:t>
      </w:r>
      <w:smartTag w:uri="urn:schemas-microsoft-com:office:smarttags" w:element="metricconverter">
        <w:smartTagPr>
          <w:attr w:name="ProductID" w:val="20 cm"/>
        </w:smartTagPr>
        <w:r>
          <w:t>20 cm</w:t>
        </w:r>
      </w:smartTag>
      <w:r>
        <w:t>, perteneciente a una camioneta y un trozo metálico de igual medida, señalando que dichos elementos los entr</w:t>
      </w:r>
      <w:r>
        <w:t>e</w:t>
      </w:r>
      <w:r>
        <w:t>garon en el Departamento de Policía. Asimismo, Ribeiro Mendonca recordó que al enterarse a través de los medios de comunicación de la presunta util</w:t>
      </w:r>
      <w:r>
        <w:t>i</w:t>
      </w:r>
      <w:r>
        <w:t>zación en el atentado de una camioneta Renault Trafic, comprobó –cotejo media</w:t>
      </w:r>
      <w:r>
        <w:t>n</w:t>
      </w:r>
      <w:r>
        <w:t>te- que la primera de las piezas se correspondía con las de las puertas traseras de dicho vehículo (cónfr., asimi</w:t>
      </w:r>
      <w:r>
        <w:t>s</w:t>
      </w:r>
      <w:r>
        <w:t xml:space="preserve">mo, lo informado por el jefe de </w:t>
      </w:r>
      <w:smartTag w:uri="urn:schemas-microsoft-com:office:smarttags" w:element="PersonName">
        <w:smartTagPr>
          <w:attr w:name="ProductID" w:val="la Divisi￳n Inmuebles"/>
        </w:smartTagPr>
        <w:r>
          <w:t>la División Inmuebles</w:t>
        </w:r>
      </w:smartTag>
      <w:r>
        <w:t xml:space="preserve"> de </w:t>
      </w:r>
      <w:smartTag w:uri="urn:schemas-microsoft-com:office:smarttags" w:element="PersonName">
        <w:smartTagPr>
          <w:attr w:name="ProductID" w:val="la Polic￭a Federal"/>
        </w:smartTagPr>
        <w:r>
          <w:t>la Policía Federal</w:t>
        </w:r>
      </w:smartTag>
      <w:r>
        <w:t xml:space="preserve"> Argentina a fs. 4469 y las consta</w:t>
      </w:r>
      <w:r>
        <w:t>n</w:t>
      </w:r>
      <w:r>
        <w:t>cias de entrega y recepción de los elementos agregadas a fs. 6643 y fs. 6644).</w:t>
      </w:r>
    </w:p>
    <w:p w:rsidR="00224567" w:rsidRDefault="00224567">
      <w:pPr>
        <w:widowControl w:val="0"/>
      </w:pPr>
      <w:r>
        <w:tab/>
      </w:r>
      <w:r>
        <w:rPr>
          <w:b/>
          <w:bCs/>
        </w:rPr>
        <w:tab/>
        <w:t>A.12)</w:t>
      </w:r>
      <w:r>
        <w:t xml:space="preserve"> Las piezas citadas en los apa</w:t>
      </w:r>
      <w:r>
        <w:t>r</w:t>
      </w:r>
      <w:r>
        <w:t>tados que anteceden fueron reconocidas por Justino Augusto Acosta, Fernando Carlos Cingolani y Luis Omar Gariboldi, técnicos de la firma “CIADEA S.A.”, como pertenecientes a un util</w:t>
      </w:r>
      <w:r>
        <w:t>i</w:t>
      </w:r>
      <w:r>
        <w:t>tario Renault Trafic.</w:t>
      </w:r>
    </w:p>
    <w:p w:rsidR="00224567" w:rsidRDefault="00224567">
      <w:pPr>
        <w:widowControl w:val="0"/>
      </w:pPr>
      <w:r>
        <w:tab/>
      </w:r>
      <w:r>
        <w:tab/>
        <w:t>En efecto; conforme el acta obrante a fs. 24 del Informe Preliminar, realizada por los mencion</w:t>
      </w:r>
      <w:r>
        <w:t>a</w:t>
      </w:r>
      <w:r>
        <w:t xml:space="preserve">dos técnicos el 20 de julio de </w:t>
      </w:r>
      <w:smartTag w:uri="urn:schemas-microsoft-com:office:smarttags" w:element="metricconverter">
        <w:smartTagPr>
          <w:attr w:name="ProductID" w:val="1994, a"/>
        </w:smartTagPr>
        <w:r>
          <w:t>1994, a</w:t>
        </w:r>
      </w:smartTag>
      <w:r>
        <w:t xml:space="preserve"> las 13.00, se d</w:t>
      </w:r>
      <w:r>
        <w:t>e</w:t>
      </w:r>
      <w:r>
        <w:t>terminó que algunos de los elementos hallados hasta ese momento, trasladados desde la calle Pasteur al 600 y sus adyacencias, constituían piezas de Renault Trafic, según el siguiente det</w:t>
      </w:r>
      <w:r>
        <w:t>a</w:t>
      </w:r>
      <w:r>
        <w:t>lle: un trozo de llanta deformada nº 77-00724717, fabricada por la firma “Pro</w:t>
      </w:r>
      <w:r>
        <w:t>t</w:t>
      </w:r>
      <w:r>
        <w:t>to Hnos.” (pieza n° 1); un trozo de llanta (aro) deformado, con el nº 77-00724717, fabricado por la misma firma (pieza n° 2); un disco central de llanta con pa</w:t>
      </w:r>
      <w:r>
        <w:t>r</w:t>
      </w:r>
      <w:r>
        <w:t>te atornillada del soporte de rueda de auxilio, sin n</w:t>
      </w:r>
      <w:r>
        <w:t>u</w:t>
      </w:r>
      <w:r>
        <w:t>meración (pieza n° 3); un disco central de llanta sin numeración (pieza n° 4); un trozo de llanta deformada nº 77-00724717 fabricada por “Protto Hnos.”, con fecha de producción noviembre de 1990 (pieza n° 5); un trozo de metal perteneciente a una llanta (pieza n° 6); un múltiple de admisión y escape correspondiente a un “Renault” de 1400 cc. de cilindrada, con el cual son equipados uno de los modelos de Trafic (pieza n° 7); un trozo de metal perteneciente al aro de una llanta (pieza n° 8); dos trozos de parte de la campana de freno trasero (pieza n° 9); parte central del eje trasero cortado en a</w:t>
      </w:r>
      <w:r>
        <w:t>m</w:t>
      </w:r>
      <w:r>
        <w:t>bos extremos a la altura de los soportes de los elásticos de suspensión (pieza n° 10); dos hojas completas perten</w:t>
      </w:r>
      <w:r>
        <w:t>e</w:t>
      </w:r>
      <w:r>
        <w:t>cientes a un paquete de elástico trasero (pieza n° 11); dos hojas completas pertenecientes a un paquete de elást</w:t>
      </w:r>
      <w:r>
        <w:t>i</w:t>
      </w:r>
      <w:r>
        <w:t>co trasero (pieza n° 12); un soporte de fijación trasera de paquete de elásticos con pa</w:t>
      </w:r>
      <w:r>
        <w:t>r</w:t>
      </w:r>
      <w:r>
        <w:t>te de carrocería (pieza n° 13); una bisagra inferior de puerta delantera (pieza n° 14); dos trozos de un neumático “FATE”, coincidente con los que, por entonces, eran equipados en fábrica los mod</w:t>
      </w:r>
      <w:r>
        <w:t>e</w:t>
      </w:r>
      <w:r>
        <w:t>los Trafic (pieza n° 15); una pista interior de un rulemán exterior de masa trasera de rueda con numeración impresa SNR-30.205 (pieza n° 16); un trozo de hierro constitutivo de la parte central del paragolpe trasero (pieza n° 17); un trozo de campana de freno trasero (pieza n° 18); un s</w:t>
      </w:r>
      <w:r>
        <w:t>o</w:t>
      </w:r>
      <w:r>
        <w:t>porte delantero con un trozo de hoja de elástico de paqu</w:t>
      </w:r>
      <w:r>
        <w:t>e</w:t>
      </w:r>
      <w:r>
        <w:t>te trasero (pieza n° 19); un trozo de plato, soporte de freno y parte del cilindro trasero (pieza n° 20); una pu</w:t>
      </w:r>
      <w:r>
        <w:t>n</w:t>
      </w:r>
      <w:r>
        <w:t>tera de falso chasis delantera derecha con soporte de r</w:t>
      </w:r>
      <w:r>
        <w:t>e</w:t>
      </w:r>
      <w:r>
        <w:t>molque (pieza n° 21); un patín secundario de freno trasero (pieza n° 22); un trozo de campana de freno delantero (pieza n° 23); una punta de eje trasero (pieza n° 24); una traba de portón con un trozo de piso (pieza n° 25); un trozo inferior de amortiguador tra</w:t>
      </w:r>
      <w:r>
        <w:t>s</w:t>
      </w:r>
      <w:r>
        <w:t>ero con el nº 770209384 (pieza n° 26); un acople de la parte inferior de la colu</w:t>
      </w:r>
      <w:r>
        <w:t>m</w:t>
      </w:r>
      <w:r>
        <w:t>na de dirección con la caja de dirección (pieza n° 27); un extremo izquierdo de eje trasero sin punta de eje, secci</w:t>
      </w:r>
      <w:r>
        <w:t>o</w:t>
      </w:r>
      <w:r>
        <w:t>nado a la altura del soporte del elástico (pieza n° 28); un soporte de punta de eje delantero derecho con rulemán de masa, extremo de dirección cortado y carcasa de rótula (pieza n° 29); parte de la parrilla de suspensión inferior lado derecho con perno de rótula acoplado (pieza n° 30); un tr</w:t>
      </w:r>
      <w:r>
        <w:t>o</w:t>
      </w:r>
      <w:r>
        <w:t>zo de semieje delantero del lado de la rueda (pieza n° 31); un trozo de eje-vástago de amortiguador trasero (pieza n° 32);  un  trozo central de masa de campana  tr</w:t>
      </w:r>
      <w:r>
        <w:t>a</w:t>
      </w:r>
      <w:r>
        <w:t>sera, numerada 914 (pieza n° 33); una hoja de paquete de elástico trasero con soporte trasero y parte de la carr</w:t>
      </w:r>
      <w:r>
        <w:t>o</w:t>
      </w:r>
      <w:r>
        <w:t>cería (pieza n° 34); la unión central entre las dos partes de la columna de dirección (pieza n° 35) y un soporte de la puntera del paragolpes trasero (pieza n° 36).</w:t>
      </w:r>
    </w:p>
    <w:p w:rsidR="00224567" w:rsidRDefault="00224567">
      <w:pPr>
        <w:widowControl w:val="0"/>
      </w:pPr>
      <w:r>
        <w:tab/>
        <w:t>Con relación al cúmulo de chapas d</w:t>
      </w:r>
      <w:r>
        <w:t>e</w:t>
      </w:r>
      <w:r>
        <w:t>formadas con restos de pintura, también mencionadas en aquella acta, Jorge O. Mamone, gerente del Departamento Informaciones Técnicas y Garantía de “CIADEA S.A.”, tras analizar “tres trozos de piezas de chapa pintada” y “tr</w:t>
      </w:r>
      <w:r>
        <w:t>o</w:t>
      </w:r>
      <w:r>
        <w:t>zos de diversas piezas de chapa pintadas en una amplia v</w:t>
      </w:r>
      <w:r>
        <w:t>a</w:t>
      </w:r>
      <w:r>
        <w:t>riedad de tamaños” (fs. 16/20 y 38/39 del Informe Final) concluyó que ellas se correspondían con una carrocería procesada en la línea de producción de dicha empresa, en el lapso comprendido entre los meses de marzo de 1987 y octubre de 1989.</w:t>
      </w:r>
    </w:p>
    <w:p w:rsidR="00224567" w:rsidRDefault="00224567">
      <w:pPr>
        <w:widowControl w:val="0"/>
      </w:pPr>
      <w:r>
        <w:tab/>
      </w:r>
      <w:r>
        <w:tab/>
        <w:t>Asimismo, la diligencia protoc</w:t>
      </w:r>
      <w:r>
        <w:t>o</w:t>
      </w:r>
      <w:r>
        <w:t>lizada a fs. 30 del Informe Preliminar, suscri</w:t>
      </w:r>
      <w:r>
        <w:t>p</w:t>
      </w:r>
      <w:r>
        <w:t xml:space="preserve">ta el 22 de julio de </w:t>
      </w:r>
      <w:smartTag w:uri="urn:schemas-microsoft-com:office:smarttags" w:element="metricconverter">
        <w:smartTagPr>
          <w:attr w:name="ProductID" w:val="1994, a"/>
        </w:smartTagPr>
        <w:r>
          <w:t>1994, a</w:t>
        </w:r>
      </w:smartTag>
      <w:r>
        <w:t xml:space="preserve"> las 10.43, por el principal Daniel Alberto He</w:t>
      </w:r>
      <w:r>
        <w:t>l</w:t>
      </w:r>
      <w:r>
        <w:t>guero y los técnicos Cing</w:t>
      </w:r>
      <w:r>
        <w:t>o</w:t>
      </w:r>
      <w:r>
        <w:t>lani y Gariboldi, da cuenta que algunos de los objetos hallados hasta ese momento corre</w:t>
      </w:r>
      <w:r>
        <w:t>s</w:t>
      </w:r>
      <w:r>
        <w:t>pondían a un vehículo Renault Trafic, conforme el siguie</w:t>
      </w:r>
      <w:r>
        <w:t>n</w:t>
      </w:r>
      <w:r>
        <w:t>te detalle: una llanta de rueda delantera con la masa de rueda dela</w:t>
      </w:r>
      <w:r>
        <w:t>n</w:t>
      </w:r>
      <w:r>
        <w:t>tera, numerada como 77-00724717 (pieza n° 37); un trozo de bisagra de portón trasero superior izquierdo con el nº 7700661292 (pieza n° 38); seis trozos de neum</w:t>
      </w:r>
      <w:r>
        <w:t>á</w:t>
      </w:r>
      <w:r>
        <w:t>ticos “FATE” AR30, cuyo rodado coincide con el utilizado por los modelos Trafic (piezas nros. 39, 41 y 45); un tr</w:t>
      </w:r>
      <w:r>
        <w:t>a</w:t>
      </w:r>
      <w:r>
        <w:t>vesaño del soporte sup</w:t>
      </w:r>
      <w:r>
        <w:t>e</w:t>
      </w:r>
      <w:r>
        <w:t>rior de las trabas de cerraduras de los portones traseros (pieza n° 40); dos trozos de neum</w:t>
      </w:r>
      <w:r>
        <w:t>á</w:t>
      </w:r>
      <w:r>
        <w:t>tico AR27 cuyo rodado, si bien no coincide con la medida or</w:t>
      </w:r>
      <w:r>
        <w:t>i</w:t>
      </w:r>
      <w:r>
        <w:t>ginal, puede montarse en un modelo Trafic (piezas nros. 42 y 44); dos trozos centrales del refuerzo interior del techo de la parte trasera (pieza n° 43) y un plato de freno trasero fabricado por “TENSA” (pieza n° 46).</w:t>
      </w:r>
    </w:p>
    <w:p w:rsidR="00224567" w:rsidRDefault="00224567">
      <w:pPr>
        <w:widowControl w:val="0"/>
      </w:pPr>
      <w:r>
        <w:tab/>
      </w:r>
      <w:r>
        <w:tab/>
        <w:t xml:space="preserve">De idéntico modo, el acta glosada a fs. 32 del Informe Preliminar da cuenta que al 26 de julio de </w:t>
      </w:r>
      <w:smartTag w:uri="urn:schemas-microsoft-com:office:smarttags" w:element="metricconverter">
        <w:smartTagPr>
          <w:attr w:name="ProductID" w:val="1994, a"/>
        </w:smartTagPr>
        <w:r>
          <w:t>1994, a</w:t>
        </w:r>
      </w:smartTag>
      <w:r>
        <w:t xml:space="preserve"> las 9.30, los técnicos mencionados identific</w:t>
      </w:r>
      <w:r>
        <w:t>a</w:t>
      </w:r>
      <w:r>
        <w:t>ron como pertenecientes a un rodado Renault Trafic las s</w:t>
      </w:r>
      <w:r>
        <w:t>i</w:t>
      </w:r>
      <w:r>
        <w:t>guientes piezas: un trozo de goma del fuelle del semieje del lado de la rueda (pieza n° 47); una hoja de paquete de elástico trasero (pieza n° 48); un espiral de suspensión delantera (pieza n° 49); una barra central de semieje d</w:t>
      </w:r>
      <w:r>
        <w:t>e</w:t>
      </w:r>
      <w:r>
        <w:t>lantero (pieza n° 50); una pastilla de freno delantera (pieza n° 51); dos trozos de goma de alfombra de piso (pieza n° 52); un trozo flexible de fr</w:t>
      </w:r>
      <w:r>
        <w:t>e</w:t>
      </w:r>
      <w:r>
        <w:t>no delantero (pieza n° 53); un trozo de pinza de freno delantero marca “BE</w:t>
      </w:r>
      <w:r>
        <w:t>N</w:t>
      </w:r>
      <w:r>
        <w:t>DIX” nº 330448 (pi</w:t>
      </w:r>
      <w:r>
        <w:t>e</w:t>
      </w:r>
      <w:r>
        <w:t>za n° 54); un retén de traba de puerta delantera derecha (pieza n° 55); una tapa de cilindros completa de motor de 1400 cc. (pieza n° 56); un engranaje quínt</w:t>
      </w:r>
      <w:r>
        <w:t>u</w:t>
      </w:r>
      <w:r>
        <w:t>plo de caja de velocidades (pieza n° 57); un soporte superior de suspensión delantero derecho (pieza n° 58); parte inferior de la barra de dirección (pieza n° 59); c</w:t>
      </w:r>
      <w:r>
        <w:t>u</w:t>
      </w:r>
      <w:r>
        <w:t>na soporte de suspensión delantera con eje de parrilla i</w:t>
      </w:r>
      <w:r>
        <w:t>n</w:t>
      </w:r>
      <w:r>
        <w:t>ferior, barra estabilizadora delantera y trozo de carroc</w:t>
      </w:r>
      <w:r>
        <w:t>e</w:t>
      </w:r>
      <w:r>
        <w:t>ría (pieza n° 60); un soporte del travesaño superior del radiador con traba de cerradura de capot (pieza n° 61); dos trozos de llanta (pieza n° 62); un trozo de tapa de válvulas de m</w:t>
      </w:r>
      <w:r>
        <w:t>o</w:t>
      </w:r>
      <w:r>
        <w:t>tor de 1400 cc. (pieza n° 63); una pastilla de freno delantera (pieza n° 64); un trozo de cubierta (pieza n° 65); una puntera delantera derecha de chasis (pieza n° 66); un amortiguador delantero sin vástago (pi</w:t>
      </w:r>
      <w:r>
        <w:t>e</w:t>
      </w:r>
      <w:r>
        <w:t>za n° 67); un trozo de torp</w:t>
      </w:r>
      <w:r>
        <w:t>e</w:t>
      </w:r>
      <w:r>
        <w:t>do (pieza n° 68); tres trozos de cubierta (pieza n° 69); un espiral de suspensión dela</w:t>
      </w:r>
      <w:r>
        <w:t>n</w:t>
      </w:r>
      <w:r>
        <w:t>tero (pieza n° 70); travesaño inferior de radiador con s</w:t>
      </w:r>
      <w:r>
        <w:t>o</w:t>
      </w:r>
      <w:r>
        <w:t>porte de paragolpes delantero izquierdo (pieza n° 71); tres trozos de un mismo disco de freno delantero (pieza n° 72); un e</w:t>
      </w:r>
      <w:r>
        <w:t>n</w:t>
      </w:r>
      <w:r>
        <w:t>granaje de caja de velocidades (pieza n° 73); un trozo de goma de guardapolvo del semieje del lado de la caja de velocidades (pieza n° 74); un trozo de manguera de radiador marca “ERTEC” (pieza n° 75); un trozo de tubo d</w:t>
      </w:r>
      <w:r>
        <w:t>e</w:t>
      </w:r>
      <w:r>
        <w:t>recho de caja de dirección (pieza n° 76); una abrazadera de paquete de elásticos (pieza n° 77); un trozo izquierdo del block de motor de 1400 cc. se</w:t>
      </w:r>
      <w:r>
        <w:t>c</w:t>
      </w:r>
      <w:r>
        <w:t>cionado a la altura del primer cilindro con nº 2831467 (pieza n° 78); un trozo d</w:t>
      </w:r>
      <w:r>
        <w:t>e</w:t>
      </w:r>
      <w:r>
        <w:t>recho del block de motor de 1400 cc. (pieza n° 79); carter de aceite de motor de 1400 cc. con bomba de aceite y parte central inferior izquierda del block (pieza n° 80); una camisa de cilindro de m</w:t>
      </w:r>
      <w:r>
        <w:t>o</w:t>
      </w:r>
      <w:r>
        <w:t>tor de 1400 cc. (pieza n° 81); un plato de apoyo superior de la espiral de suspensión dela</w:t>
      </w:r>
      <w:r>
        <w:t>n</w:t>
      </w:r>
      <w:r>
        <w:t>tera (pieza n° 82); un eje con tren de engranajes inco</w:t>
      </w:r>
      <w:r>
        <w:t>m</w:t>
      </w:r>
      <w:r>
        <w:t>pleto de la c</w:t>
      </w:r>
      <w:r>
        <w:t>a</w:t>
      </w:r>
      <w:r>
        <w:t>ja de velocidades (pieza n° 83); un buje de goma de la barra estabilizadora delantera (pieza n° 84) y un extremo de sem</w:t>
      </w:r>
      <w:r>
        <w:t>i</w:t>
      </w:r>
      <w:r>
        <w:t>eje del lado de la rueda (pieza n° 85).</w:t>
      </w:r>
    </w:p>
    <w:p w:rsidR="00224567" w:rsidRDefault="00224567">
      <w:pPr>
        <w:widowControl w:val="0"/>
      </w:pPr>
      <w:r>
        <w:tab/>
      </w:r>
      <w:r>
        <w:tab/>
        <w:t>Asimismo, los reconocimientos efectu</w:t>
      </w:r>
      <w:r>
        <w:t>a</w:t>
      </w:r>
      <w:r>
        <w:t>dos por los técnicos Gariboldi y Cingolani, de los que dan cuenta las actas glosadas a fs. 36 y 38 del Informe Prel</w:t>
      </w:r>
      <w:r>
        <w:t>i</w:t>
      </w:r>
      <w:r>
        <w:t xml:space="preserve">minar, labradas el 27 de julio de </w:t>
      </w:r>
      <w:smartTag w:uri="urn:schemas-microsoft-com:office:smarttags" w:element="metricconverter">
        <w:smartTagPr>
          <w:attr w:name="ProductID" w:val="1994, a"/>
        </w:smartTagPr>
        <w:r>
          <w:t>1994, a</w:t>
        </w:r>
      </w:smartTag>
      <w:r>
        <w:t xml:space="preserve"> las 9.00 y el 29 del mismo mes y año, a las 15.10, respectivamente, acred</w:t>
      </w:r>
      <w:r>
        <w:t>i</w:t>
      </w:r>
      <w:r>
        <w:t>tan, de igual manera, que las piezas exhibidas en tales dil</w:t>
      </w:r>
      <w:r>
        <w:t>i</w:t>
      </w:r>
      <w:r>
        <w:t>gencias correspondían a los siguientes componentes de un rodado marca Renault Trafic: una carcasa de motor de arranque (pieza n° 86); una llanta delantera fabr</w:t>
      </w:r>
      <w:r>
        <w:t>i</w:t>
      </w:r>
      <w:r>
        <w:t>cada por la firma “Protto Hnos.” con masa de rueda con fecha de elaboración de agosto de 1991 (pieza n° 87); parte de c</w:t>
      </w:r>
      <w:r>
        <w:t>i</w:t>
      </w:r>
      <w:r>
        <w:t>güeñal, biela y volante de motor, con un trozo de block denominado “bancada” (pieza n° 88); triceta de semieje del lado de caja (pieza n° 89); un trozo de carcasa porta d</w:t>
      </w:r>
      <w:r>
        <w:t>i</w:t>
      </w:r>
      <w:r>
        <w:t>fere</w:t>
      </w:r>
      <w:r>
        <w:t>n</w:t>
      </w:r>
      <w:r>
        <w:t>cial y porta retén (pieza n° 90); un buje central de barra est</w:t>
      </w:r>
      <w:r>
        <w:t>a</w:t>
      </w:r>
      <w:r>
        <w:t>bilizadora delantera (pieza n° 91); un trozo de pi</w:t>
      </w:r>
      <w:r>
        <w:t>n</w:t>
      </w:r>
      <w:r>
        <w:t>za de freno delantera marca “BENDIX” (pieza n° 92); un extremo de dirección (pieza n° 93); piñón de diferencial con engranaje de descenso y rulemán doble (pieza n° 94) y un pedal de freno (pieza n° 95).</w:t>
      </w:r>
    </w:p>
    <w:p w:rsidR="00224567" w:rsidRDefault="00224567">
      <w:pPr>
        <w:widowControl w:val="0"/>
      </w:pPr>
      <w:r>
        <w:tab/>
      </w:r>
      <w:r>
        <w:tab/>
        <w:t>Corresponde agregar que el acta de fs. 36 da cuenta, además, de una reconstrucción a esc</w:t>
      </w:r>
      <w:r>
        <w:t>a</w:t>
      </w:r>
      <w:r>
        <w:t>la real de la ubicación de las piezas hasta ese momento identif</w:t>
      </w:r>
      <w:r>
        <w:t>i</w:t>
      </w:r>
      <w:r>
        <w:t>cadas, realizada por los técnicos de “CIADEA S.A.” (ver, en tal sentido, las fotografías de fs. 35 y 35vta. del I</w:t>
      </w:r>
      <w:r>
        <w:t>n</w:t>
      </w:r>
      <w:r>
        <w:t>forme Prelim</w:t>
      </w:r>
      <w:r>
        <w:t>i</w:t>
      </w:r>
      <w:r>
        <w:t>nar).</w:t>
      </w:r>
    </w:p>
    <w:p w:rsidR="00224567" w:rsidRDefault="00224567">
      <w:pPr>
        <w:widowControl w:val="0"/>
      </w:pPr>
      <w:r>
        <w:tab/>
      </w:r>
      <w:r>
        <w:tab/>
        <w:t>Las actas glosadas a fs. 42 del Info</w:t>
      </w:r>
      <w:r>
        <w:t>r</w:t>
      </w:r>
      <w:r>
        <w:t>me Preliminar y a fs. 9 del Informe Final, confe</w:t>
      </w:r>
      <w:r>
        <w:t>c</w:t>
      </w:r>
      <w:r>
        <w:t>cionadas el 1º de agosto y el 19 de diciembre de 1994, respectiv</w:t>
      </w:r>
      <w:r>
        <w:t>a</w:t>
      </w:r>
      <w:r>
        <w:t>mente, dan cuenta del reconocimiento, efectuado por los técnicos mencionados, de algunos de los elementos secue</w:t>
      </w:r>
      <w:r>
        <w:t>s</w:t>
      </w:r>
      <w:r>
        <w:t xml:space="preserve">trados en el lugar del hecho y en el predio ubicado en </w:t>
      </w:r>
      <w:smartTag w:uri="urn:schemas-microsoft-com:office:smarttags" w:element="PersonName">
        <w:smartTagPr>
          <w:attr w:name="ProductID" w:val="la Costanera Norte"/>
        </w:smartTagPr>
        <w:r>
          <w:t>la Costanera Norte</w:t>
        </w:r>
      </w:smartTag>
      <w:r>
        <w:t xml:space="preserve">, detrás de </w:t>
      </w:r>
      <w:smartTag w:uri="urn:schemas-microsoft-com:office:smarttags" w:element="PersonName">
        <w:smartTagPr>
          <w:attr w:name="ProductID" w:val="la Ciudad Universitaria"/>
        </w:smartTagPr>
        <w:r>
          <w:t>la Ciudad Universitaria</w:t>
        </w:r>
      </w:smartTag>
      <w:r>
        <w:t>, como pertenecientes a un vehículo Renault Trafic, a saber: e</w:t>
      </w:r>
      <w:r>
        <w:t>x</w:t>
      </w:r>
      <w:r>
        <w:t>tremo d</w:t>
      </w:r>
      <w:r>
        <w:t>e</w:t>
      </w:r>
      <w:r>
        <w:t>recho de eje trasero con punta de eje, seccionado a la a</w:t>
      </w:r>
      <w:r>
        <w:t>l</w:t>
      </w:r>
      <w:r>
        <w:t>tura del apoyo del elástico (pieza n° 96); un trozo de pinza de freno d</w:t>
      </w:r>
      <w:r>
        <w:t>e</w:t>
      </w:r>
      <w:r>
        <w:t>lantero marca “BENDIX” (pieza n° 97); una llave de rueda (pieza n° 98); dos pistones del cili</w:t>
      </w:r>
      <w:r>
        <w:t>n</w:t>
      </w:r>
      <w:r>
        <w:t>dro principal de freno (pieza n° 99); un trozo de árbol de l</w:t>
      </w:r>
      <w:r>
        <w:t>e</w:t>
      </w:r>
      <w:r>
        <w:t>vas (pieza n° 100); un trozo de disco de embrague (pieza n° 101); un motor de electroventilador de refrigeración con soporte (pieza n° 102); una pata delantera derecha de motor (pieza n° 103); un portamasa de rueda delantera i</w:t>
      </w:r>
      <w:r>
        <w:t>z</w:t>
      </w:r>
      <w:r>
        <w:t>quierda con rulemán (pieza n° 104); una hoja de elástico (pieza n° 105); un trozo de carcaza de caja de dirección (pieza n° 106); un trozo de b</w:t>
      </w:r>
      <w:r>
        <w:t>i</w:t>
      </w:r>
      <w:r>
        <w:t>sagra de portón trasero con parte de carrocería (pieza n° 107) y un trozo de brazo de limpiaparabr</w:t>
      </w:r>
      <w:r>
        <w:t>i</w:t>
      </w:r>
      <w:r>
        <w:t>sas (pieza n° 108).</w:t>
      </w:r>
    </w:p>
    <w:p w:rsidR="00224567" w:rsidRDefault="00224567">
      <w:pPr>
        <w:widowControl w:val="0"/>
      </w:pPr>
      <w:r>
        <w:tab/>
      </w:r>
      <w:r>
        <w:tab/>
        <w:t>En la misma inteligencia, el informe enviado por “CIADEA S.A.”, obrante a fs. 33/37 del Informe Final, suscripto por Jorge Mamone y Edgardo Voynes, gere</w:t>
      </w:r>
      <w:r>
        <w:t>n</w:t>
      </w:r>
      <w:r>
        <w:t>te de Legales, da cuenta de la identificación, como pert</w:t>
      </w:r>
      <w:r>
        <w:t>e</w:t>
      </w:r>
      <w:r>
        <w:t>neciente a un vehículo Renault Trafic, de las siguientes piezas: un amortiguador delantero izquierdo (pieza n° 109); un servo freno (pieza n° 110); chapas correspondie</w:t>
      </w:r>
      <w:r>
        <w:t>n</w:t>
      </w:r>
      <w:r>
        <w:t>tes a una carrocería de la marca Renault (pieza n° 111); tres piezas correspondientes a los soportes de motor de 1400 cc. (pieza n° 112); restos de un recipiente para l</w:t>
      </w:r>
      <w:r>
        <w:t>í</w:t>
      </w:r>
      <w:r>
        <w:t>quido refrigerante (pieza n° 113); una cerrad</w:t>
      </w:r>
      <w:r>
        <w:t>u</w:t>
      </w:r>
      <w:r>
        <w:t>ra (pieza n° 114) y una junta del múltiple de escape (pieza n° 115).</w:t>
      </w:r>
    </w:p>
    <w:p w:rsidR="00224567" w:rsidRDefault="00224567">
      <w:pPr>
        <w:widowControl w:val="0"/>
      </w:pPr>
      <w:r>
        <w:tab/>
      </w:r>
      <w:r>
        <w:tab/>
        <w:t>Asimismo, Diego Eduardo Ricagno, an</w:t>
      </w:r>
      <w:r>
        <w:t>a</w:t>
      </w:r>
      <w:r>
        <w:t>lista de informaciones técnicas de la citada firma, ide</w:t>
      </w:r>
      <w:r>
        <w:t>n</w:t>
      </w:r>
      <w:r>
        <w:t>tificó los días 4 y 8 de mayo de 1995, como pert</w:t>
      </w:r>
      <w:r>
        <w:t>e</w:t>
      </w:r>
      <w:r>
        <w:t>necientes a un vehículo Renault Trafic, las piezas que a continu</w:t>
      </w:r>
      <w:r>
        <w:t>a</w:t>
      </w:r>
      <w:r>
        <w:t>ción se detallan: un trozo de la cajonera “U” del portón del lateral derecho (pieza n° 1A); un trozo de soporte y larguero de puente principal de apoyo del motor (pieza n° 2A); un trozo del falso chasis, parte trasera (pieza n° 3A); un trozo de la puntera del chasis (pieza n° 4A); un trozo de chapa del parante, parte media interior del lat</w:t>
      </w:r>
      <w:r>
        <w:t>e</w:t>
      </w:r>
      <w:r>
        <w:t>ral derecho a</w:t>
      </w:r>
      <w:r>
        <w:t>n</w:t>
      </w:r>
      <w:r>
        <w:t>terior del furgón de carga (pieza n° 5A); un trozo de chapa correspondiente al lateral del furgón (pi</w:t>
      </w:r>
      <w:r>
        <w:t>e</w:t>
      </w:r>
      <w:r>
        <w:t>za n° 6A); un trozo de chapa de puerta delantera, parte interior con sujeción de tuerca “canasta” del comando de apertura de puerta (pieza n° 7A) y doscientos sesenta fragmentos de chapa de distinto tamaño y formato (pieza n° 8A); elementos estos últimos que fueron previamente rem</w:t>
      </w:r>
      <w:r>
        <w:t>i</w:t>
      </w:r>
      <w:r>
        <w:t>tidos al lab</w:t>
      </w:r>
      <w:r>
        <w:t>o</w:t>
      </w:r>
      <w:r>
        <w:t xml:space="preserve">ratorio de “CIADEA S.A.” sito en </w:t>
      </w:r>
      <w:smartTag w:uri="urn:schemas-microsoft-com:office:smarttags" w:element="PersonName">
        <w:smartTagPr>
          <w:attr w:name="ProductID" w:val="la Provincia"/>
        </w:smartTagPr>
        <w:r>
          <w:t>la Provincia</w:t>
        </w:r>
      </w:smartTag>
      <w:r>
        <w:t xml:space="preserve"> de Córdoba (cónfr. actas de fs. 14.320/14.321 y fotogr</w:t>
      </w:r>
      <w:r>
        <w:t>a</w:t>
      </w:r>
      <w:r>
        <w:t>fías de fs. 14.305/14.313 del principal).</w:t>
      </w:r>
    </w:p>
    <w:p w:rsidR="00224567" w:rsidRDefault="00224567">
      <w:pPr>
        <w:widowControl w:val="0"/>
      </w:pPr>
      <w:r>
        <w:tab/>
      </w:r>
      <w:r>
        <w:tab/>
        <w:t xml:space="preserve">Por lo demás, el informe de </w:t>
      </w:r>
      <w:smartTag w:uri="urn:schemas-microsoft-com:office:smarttags" w:element="PersonName">
        <w:smartTagPr>
          <w:attr w:name="ProductID" w:val="la Direcci￳n"/>
        </w:smartTagPr>
        <w:r>
          <w:t>la Dire</w:t>
        </w:r>
        <w:r>
          <w:t>c</w:t>
        </w:r>
        <w:r>
          <w:t>ción</w:t>
        </w:r>
      </w:smartTag>
      <w:r>
        <w:t xml:space="preserve"> de Compras de “CIADEA S.A.”, obrante a fs. 14.263/14.265 del principal, elaborado por los empleados José Luis Martilotta y Jorge Florencio Valdez, r</w:t>
      </w:r>
      <w:r>
        <w:t>a</w:t>
      </w:r>
      <w:r>
        <w:t>tificó lo expuesto por Gariboldi, Cingolani y Acosta en relación a que el motor de arranque nº 7702089727 (pieza nº 86), la corredera de pinza de freno (pieza nº 92), la pinza de freno (pieza nº 54), el amortiguador delantero izquierdo (pieza nº 109), el amortiguador del lado derecho (pieza nº 67), los resortes amortiguadores dela</w:t>
      </w:r>
      <w:r>
        <w:t>n</w:t>
      </w:r>
      <w:r>
        <w:t>teros (piezas nros. 49 y 70), la rueda de chapa (piezas nros. 87 y 37), el brazo de suspensión delantero (pieza nº 30) y el soporte de punta de eje delantero izquierdo (pieza nº 104) pert</w:t>
      </w:r>
      <w:r>
        <w:t>e</w:t>
      </w:r>
      <w:r>
        <w:t>necen a los modelos Trafic de la marca Renault y forman parte del conjunto formado por el motor, la caja de vel</w:t>
      </w:r>
      <w:r>
        <w:t>o</w:t>
      </w:r>
      <w:r>
        <w:t>cidades y el tren delantero completo, montado sobre un travesaño al cual se fijan; conjunto que luego se ensambla a la carrocería, en la zona delantera, por tornillos y a la trasera por los soportes de caja. Agrega dicho i</w:t>
      </w:r>
      <w:r>
        <w:t>n</w:t>
      </w:r>
      <w:r>
        <w:t>forme que si bien tales piezas difieren individualmente en cua</w:t>
      </w:r>
      <w:r>
        <w:t>n</w:t>
      </w:r>
      <w:r>
        <w:t>to a su fecha de fabricación, ellas forman parte de un vehículo armado a principios del año 1991, en razón que para entonces se manejaban importantes “stocks” de piezas de largo proceso y no se realizaban, en algunos casos, r</w:t>
      </w:r>
      <w:r>
        <w:t>o</w:t>
      </w:r>
      <w:r>
        <w:t>tación en los dep</w:t>
      </w:r>
      <w:r>
        <w:t>ó</w:t>
      </w:r>
      <w:r>
        <w:t>sitos.</w:t>
      </w:r>
    </w:p>
    <w:p w:rsidR="00224567" w:rsidRDefault="00224567">
      <w:pPr>
        <w:widowControl w:val="0"/>
      </w:pPr>
      <w:r>
        <w:tab/>
      </w:r>
      <w:r>
        <w:tab/>
        <w:t>También se concluyó en dicho estudio que los caballetes traseros –soportes punta eje trasero- (piezas nros. 96 y 28), el amortiguador trasero izquie</w:t>
      </w:r>
      <w:r>
        <w:t>r</w:t>
      </w:r>
      <w:r>
        <w:t>do/delantero (pieza nº 26) y el elástico o resorte de su</w:t>
      </w:r>
      <w:r>
        <w:t>s</w:t>
      </w:r>
      <w:r>
        <w:t>pensión trasero nº 7702093544 (pieza nº 34) también pert</w:t>
      </w:r>
      <w:r>
        <w:t>e</w:t>
      </w:r>
      <w:r>
        <w:t>necen al mismo modelo que las anteri</w:t>
      </w:r>
      <w:r>
        <w:t>o</w:t>
      </w:r>
      <w:r>
        <w:t>res, aunque la última no coincide con el resto por su fecha de fabricación y porque su uso original lo es en vehículos de caja larga equipados con motor de 2000 cc. o diesel. No obstante ello, se indica que dicha pieza puede adaptarse perfect</w:t>
      </w:r>
      <w:r>
        <w:t>a</w:t>
      </w:r>
      <w:r>
        <w:t>mente al modelo de caja corta, reemplazando el paquete de elásticos original, para soportar mayor peso, aunque tal modificación no resulta lógica en una unidad con un motor de 1400 cc. dado que trabajaría forzada, acortando su vida útil.</w:t>
      </w:r>
    </w:p>
    <w:p w:rsidR="00224567" w:rsidRDefault="00224567">
      <w:pPr>
        <w:widowControl w:val="0"/>
      </w:pPr>
      <w:r>
        <w:tab/>
      </w:r>
      <w:r>
        <w:tab/>
        <w:t>Al respecto cabe traer a colación, además, las constancias de fs. 119/165 del Informe Prel</w:t>
      </w:r>
      <w:r>
        <w:t>i</w:t>
      </w:r>
      <w:r>
        <w:t>minar y de fs. 88/105 del Informe F</w:t>
      </w:r>
      <w:r>
        <w:t>i</w:t>
      </w:r>
      <w:r>
        <w:t>nal, como así también las agregadas a fs. 14.314/14.319 del pri</w:t>
      </w:r>
      <w:r>
        <w:t>n</w:t>
      </w:r>
      <w:r>
        <w:t>cipal, donde se indican en los catálogos de fábrica de los m</w:t>
      </w:r>
      <w:r>
        <w:t>o</w:t>
      </w:r>
      <w:r>
        <w:t>delos Renault Trafic la exacta ubicación de cada una de las piezas h</w:t>
      </w:r>
      <w:r>
        <w:t>a</w:t>
      </w:r>
      <w:r>
        <w:t>lladas con motivo de las tareas de recolección de evide</w:t>
      </w:r>
      <w:r>
        <w:t>n</w:t>
      </w:r>
      <w:r>
        <w:t>cias. Por lo demás, a simple vista es posible a</w:t>
      </w:r>
      <w:r>
        <w:t>d</w:t>
      </w:r>
      <w:r>
        <w:t>vertir la similitud que presentan algunas de las piezas que ilu</w:t>
      </w:r>
      <w:r>
        <w:t>s</w:t>
      </w:r>
      <w:r>
        <w:t>tran las fotografías con las que se observan en dichos catál</w:t>
      </w:r>
      <w:r>
        <w:t>o</w:t>
      </w:r>
      <w:r>
        <w:t>gos.</w:t>
      </w:r>
    </w:p>
    <w:p w:rsidR="00224567" w:rsidRDefault="00224567">
      <w:pPr>
        <w:widowControl w:val="0"/>
      </w:pPr>
      <w:r>
        <w:tab/>
      </w:r>
      <w:r>
        <w:tab/>
        <w:t>También el informe de la fi</w:t>
      </w:r>
      <w:r>
        <w:t>r</w:t>
      </w:r>
      <w:r>
        <w:t>ma “Protto Hnos.”, copiado a fs. 34.079, determina que las tres lla</w:t>
      </w:r>
      <w:r>
        <w:t>n</w:t>
      </w:r>
      <w:r>
        <w:t>tas exhibidas al gerente coordinador de la empresa, Sr. Carlos Miguel Zapata (ver acta de fs. 34.080), fueron f</w:t>
      </w:r>
      <w:r>
        <w:t>a</w:t>
      </w:r>
      <w:r>
        <w:t>bricadas por dicha co</w:t>
      </w:r>
      <w:r>
        <w:t>m</w:t>
      </w:r>
      <w:r>
        <w:t>pañía y que el producto en cuestión no es requerido en gran cantidad por el mercado de repue</w:t>
      </w:r>
      <w:r>
        <w:t>s</w:t>
      </w:r>
      <w:r>
        <w:t>tos, dado que casi la totalidad de la producción se dest</w:t>
      </w:r>
      <w:r>
        <w:t>i</w:t>
      </w:r>
      <w:r>
        <w:t>na a la i</w:t>
      </w:r>
      <w:r>
        <w:t>n</w:t>
      </w:r>
      <w:r>
        <w:t>dustria terminal. Tal es así, explicó, que en el año 1990, en que fueron fabricadas dos de las llantas que reconoció, se fabricaron 9936 unidades, destinándose el 98,3 % a la firma “CIADEA S.A.” mientras que el resto se vendió al mercado de r</w:t>
      </w:r>
      <w:r>
        <w:t>e</w:t>
      </w:r>
      <w:r>
        <w:t>puestos.</w:t>
      </w:r>
    </w:p>
    <w:p w:rsidR="00224567" w:rsidRDefault="00224567">
      <w:pPr>
        <w:widowControl w:val="0"/>
      </w:pPr>
      <w:r>
        <w:tab/>
      </w:r>
      <w:r>
        <w:tab/>
        <w:t>Finalmente, el peritaje de los re</w:t>
      </w:r>
      <w:r>
        <w:t>s</w:t>
      </w:r>
      <w:r>
        <w:t>tos de chapas, obrante a fs. 5637/5910 del legajo de instru</w:t>
      </w:r>
      <w:r>
        <w:t>c</w:t>
      </w:r>
      <w:r>
        <w:t>ción suplementaria, concluyó que las muestras tomadas al azar “presentaron la misma composición en cuanto a la ch</w:t>
      </w:r>
      <w:r>
        <w:t>a</w:t>
      </w:r>
      <w:r>
        <w:t>pa y a las cuatro capas protectoras: recubrimiento prim</w:t>
      </w:r>
      <w:r>
        <w:t>a</w:t>
      </w:r>
      <w:r>
        <w:t>rio (fosfatizado manganeso-zinc), capa interna (resina epoxi), capa intermedia (resina epoxi) y capa externa (r</w:t>
      </w:r>
      <w:r>
        <w:t>e</w:t>
      </w:r>
      <w:r>
        <w:t>sina acrílica con pigmento a base de titanio), encontrá</w:t>
      </w:r>
      <w:r>
        <w:t>n</w:t>
      </w:r>
      <w:r>
        <w:t xml:space="preserve">dose correspondencia con el tratamiento efectuado por la firma ‘Renault S.A.’... entre marzo de 1987 y octubre de </w:t>
      </w:r>
      <w:smartTag w:uri="urn:schemas-microsoft-com:office:smarttags" w:element="metricconverter">
        <w:smartTagPr>
          <w:attr w:name="ProductID" w:val="1989”"/>
        </w:smartTagPr>
        <w:r>
          <w:t>1989”</w:t>
        </w:r>
      </w:smartTag>
      <w:r>
        <w:t>.</w:t>
      </w:r>
    </w:p>
    <w:p w:rsidR="00224567" w:rsidRDefault="00224567">
      <w:pPr>
        <w:widowControl w:val="0"/>
      </w:pPr>
      <w:r>
        <w:tab/>
      </w:r>
      <w:r>
        <w:rPr>
          <w:b/>
          <w:bCs/>
        </w:rPr>
        <w:tab/>
        <w:t>A.13)</w:t>
      </w:r>
      <w:r>
        <w:t xml:space="preserve"> Si bien los funcionarios pol</w:t>
      </w:r>
      <w:r>
        <w:t>i</w:t>
      </w:r>
      <w:r>
        <w:t>ciales que llevaron a cabo cada uno de los halla</w:t>
      </w:r>
      <w:r>
        <w:t>z</w:t>
      </w:r>
      <w:r>
        <w:t>gos antes detallados, omitieron identificar de manera precisa las piezas secuestradas, a fin de poder vincularlas con aqu</w:t>
      </w:r>
      <w:r>
        <w:t>e</w:t>
      </w:r>
      <w:r>
        <w:t>llas que luego fueron reconocidas por los técnicos de la empresa automotriz, tal omisión en modo alguno invalida las diligencias efectuadas en t</w:t>
      </w:r>
      <w:r>
        <w:t>a</w:t>
      </w:r>
      <w:r>
        <w:t>les condiciones.</w:t>
      </w:r>
    </w:p>
    <w:p w:rsidR="00224567" w:rsidRDefault="00224567">
      <w:pPr>
        <w:widowControl w:val="0"/>
      </w:pPr>
      <w:r>
        <w:tab/>
      </w:r>
      <w:r>
        <w:tab/>
        <w:t>Ello es así, en primer lugar, en vi</w:t>
      </w:r>
      <w:r>
        <w:t>r</w:t>
      </w:r>
      <w:r>
        <w:t>tud que la totalidad de los funcionarios policiales que intervinieron en los secuestros sostuvieron en el debate que las evidencias recogidas, previo clasificarlas en el centro de operaciones, se enviaban al Departamento de E</w:t>
      </w:r>
      <w:r>
        <w:t>x</w:t>
      </w:r>
      <w:r>
        <w:t>plosivos donde los técnicos de “CIADEA S.A.” determinaban si se correspondían con un vehículo fabricado en dicha e</w:t>
      </w:r>
      <w:r>
        <w:t>m</w:t>
      </w:r>
      <w:r>
        <w:t>presa.</w:t>
      </w:r>
    </w:p>
    <w:p w:rsidR="00224567" w:rsidRDefault="00224567">
      <w:pPr>
        <w:widowControl w:val="0"/>
      </w:pPr>
      <w:r>
        <w:tab/>
      </w:r>
      <w:r>
        <w:tab/>
        <w:t>En segundo lugar, debido a que muchos de esos funcionarios reconocieron en las numerosas fotos de autopartes algunas de las que se hallaron en las ci</w:t>
      </w:r>
      <w:r>
        <w:t>r</w:t>
      </w:r>
      <w:r>
        <w:t>cunstancias referidas en las actas de secuestro (ver, al respecto, los testimonios reseñados en el apartado A.11 del presente), sin que la circunstancia de no haber sido reconocidas en su totalidad o de manifestar dudas al re</w:t>
      </w:r>
      <w:r>
        <w:t>s</w:t>
      </w:r>
      <w:r>
        <w:t>pecto autorice a soslayar, sin más, sus testimonios; máx</w:t>
      </w:r>
      <w:r>
        <w:t>i</w:t>
      </w:r>
      <w:r>
        <w:t>me, cuando dicho proceder encue</w:t>
      </w:r>
      <w:r>
        <w:t>n</w:t>
      </w:r>
      <w:r>
        <w:t>tra explicación en la gran</w:t>
      </w:r>
      <w:r>
        <w:rPr>
          <w:b/>
          <w:bCs/>
        </w:rPr>
        <w:t xml:space="preserve"> </w:t>
      </w:r>
      <w:r>
        <w:t>cantidad de piezas de veh</w:t>
      </w:r>
      <w:r>
        <w:t>í</w:t>
      </w:r>
      <w:r>
        <w:t>culos secuestradas en el lugar, las similitudes que algunas de ellas presentan, sus h</w:t>
      </w:r>
      <w:r>
        <w:t>a</w:t>
      </w:r>
      <w:r>
        <w:t>llazgos –casi íntegramente- por un número reducido de p</w:t>
      </w:r>
      <w:r>
        <w:t>o</w:t>
      </w:r>
      <w:r>
        <w:t>licías y, por último, en el extenso lapso transcurrido e</w:t>
      </w:r>
      <w:r>
        <w:t>n</w:t>
      </w:r>
      <w:r>
        <w:t>tre los hallazgos y los reconocimientos realizados en el juicio.</w:t>
      </w:r>
    </w:p>
    <w:p w:rsidR="00224567" w:rsidRDefault="00224567">
      <w:pPr>
        <w:widowControl w:val="0"/>
      </w:pPr>
      <w:r>
        <w:tab/>
      </w:r>
      <w:r>
        <w:tab/>
        <w:t>Y, en tercer lugar, en razón de que en algunos casos los funcionarios policiales det</w:t>
      </w:r>
      <w:r>
        <w:t>a</w:t>
      </w:r>
      <w:r>
        <w:t>llaron en el acta respectiva los estampados identific</w:t>
      </w:r>
      <w:r>
        <w:t>a</w:t>
      </w:r>
      <w:r>
        <w:t>torios -números e inscripciones- que pr</w:t>
      </w:r>
      <w:r>
        <w:t>e</w:t>
      </w:r>
      <w:r>
        <w:t>sentaban las piezas, las que, por lo demás, fueron recogidas, en su totalidad, en la zona de Pasteur al 600. Así, en las actas glosadas a fs. 169, in</w:t>
      </w:r>
      <w:r>
        <w:t>s</w:t>
      </w:r>
      <w:r>
        <w:t>cripción “</w:t>
      </w:r>
      <w:smartTag w:uri="urn:schemas-microsoft-com:office:smarttags" w:element="metricconverter">
        <w:smartTagPr>
          <w:attr w:name="ProductID" w:val="914”"/>
        </w:smartTagPr>
        <w:r>
          <w:t>914”</w:t>
        </w:r>
      </w:smartTag>
      <w:r>
        <w:t>; a fs. 199, inscripción “</w:t>
      </w:r>
      <w:smartTag w:uri="urn:schemas-microsoft-com:office:smarttags" w:element="metricconverter">
        <w:smartTagPr>
          <w:attr w:name="ProductID" w:val="330448”"/>
        </w:smartTagPr>
        <w:r>
          <w:t>330448”</w:t>
        </w:r>
      </w:smartTag>
      <w:r>
        <w:t xml:space="preserve"> y a fs. 206, inscripción “FATE </w:t>
      </w:r>
      <w:smartTag w:uri="urn:schemas-microsoft-com:office:smarttags" w:element="metricconverter">
        <w:smartTagPr>
          <w:attr w:name="ProductID" w:val="0”"/>
        </w:smartTagPr>
        <w:r>
          <w:t>0”</w:t>
        </w:r>
      </w:smartTag>
      <w:r>
        <w:t>; todas coincidentes con las pi</w:t>
      </w:r>
      <w:r>
        <w:t>e</w:t>
      </w:r>
      <w:r>
        <w:t>zas identificadas por el personal de “CIADEA S.A.” con los nros. 33, 54 y 69, respectivamente (ver actas de fs. 24, 30 y 32 del Informe Prelim</w:t>
      </w:r>
      <w:r>
        <w:t>i</w:t>
      </w:r>
      <w:r>
        <w:t>nar), más allá de coincidir con la descripción que de ellas se efectuó en las actas pert</w:t>
      </w:r>
      <w:r>
        <w:t>i</w:t>
      </w:r>
      <w:r>
        <w:t>nentes. Respecto de la anteúltima pieza, es necesario aclarar que si bien no se consignó la referencia “FATE O” al momento de su identificación por el personal té</w:t>
      </w:r>
      <w:r>
        <w:t>c</w:t>
      </w:r>
      <w:r>
        <w:t>nico de “CIADEA S.A.”, tal inscripción se advierte en la fotogr</w:t>
      </w:r>
      <w:r>
        <w:t>a</w:t>
      </w:r>
      <w:r>
        <w:t>fía obrante a fs. 101 del Informe Preliminar, concordando, también, con la cantidad de trozos de c</w:t>
      </w:r>
      <w:r>
        <w:t>u</w:t>
      </w:r>
      <w:r>
        <w:t>biertas detalladas en el acta en cuestión.</w:t>
      </w:r>
    </w:p>
    <w:p w:rsidR="00224567" w:rsidRDefault="00224567">
      <w:pPr>
        <w:widowControl w:val="0"/>
      </w:pPr>
      <w:r>
        <w:tab/>
      </w:r>
      <w:r>
        <w:tab/>
        <w:t>Además, en otros casos, la descri</w:t>
      </w:r>
      <w:r>
        <w:t>p</w:t>
      </w:r>
      <w:r>
        <w:t>ción de las piezas al momento de labrar las actas coi</w:t>
      </w:r>
      <w:r>
        <w:t>n</w:t>
      </w:r>
      <w:r>
        <w:t>cidieron con el nombre técnico que a ellas asignaron los especi</w:t>
      </w:r>
      <w:r>
        <w:t>a</w:t>
      </w:r>
      <w:r>
        <w:t>listas de “Renault”; basta cotejar, en tal sentido, el a</w:t>
      </w:r>
      <w:r>
        <w:t>c</w:t>
      </w:r>
      <w:r>
        <w:t>ta de fs. 188 con la pieza nº 7; la de fs. 184 con la pi</w:t>
      </w:r>
      <w:r>
        <w:t>e</w:t>
      </w:r>
      <w:r>
        <w:t>za nº 9; las de fs. 168 y 182 con las piezas nros. 11 y 12; la de fs. 166 con la pieza nº 13; la de fs. 175 con la pieza nº 14; la de fs. 192 con la pieza nº 16; la de fs. 179 con la pieza nº 22; la de fs. 174 con la pieza nº 24; la de fs. 191 con la pieza nº 25; la de fs. 167 con la pieza nº 29; la de fs. 194 con la pieza nº 32; la de fs. 196 con la pieza nº 38; la de fs. 209 con la pieza nº 48; las de fs. 208 y 212 con las piezas nros. 49 y 70; las de fs. 213 y 218 con las piezas nros. 51 y 64; la de fs. 226 con la pieza nº 56; la de fs. 222 con la pieza nº 72; la de fs. 219 con la pieza nº 75; la de fs. 219 con la pieza nº 77; la de fs. 220 con la pieza nº 85; la de fs. 227 con la pieza nº 86; la de fs. 229 con las piezas nº 92 ó 97; la de fs. 228 con la pieza nº 95 y la de fs. 231 con la pieza nº 98, como así también las f</w:t>
      </w:r>
      <w:r>
        <w:t>o</w:t>
      </w:r>
      <w:r>
        <w:t>tografías que ilustran dichas piezas, obrantes en el Informe Preliminar (todas las actas enunciadas en el presente párrafo se refieren a las agregadas en el Informe Preliminar).</w:t>
      </w:r>
    </w:p>
    <w:p w:rsidR="00224567" w:rsidRDefault="00224567">
      <w:pPr>
        <w:widowControl w:val="0"/>
      </w:pPr>
      <w:r>
        <w:tab/>
      </w:r>
      <w:r>
        <w:tab/>
        <w:t>De igual modo, cabe incluir la pieza entregada por Francisco Manuel Victorino Ribeiro Mendonca al Departamento Protección del Orden Constitucional, que concuerda con la descripción efectuada en relación a la identificada con el nº 107.</w:t>
      </w:r>
    </w:p>
    <w:p w:rsidR="00224567" w:rsidRDefault="00224567">
      <w:pPr>
        <w:widowControl w:val="0"/>
      </w:pPr>
      <w:r>
        <w:tab/>
      </w:r>
      <w:r>
        <w:tab/>
        <w:t>También, mediante cotejo, es posible establecer que las descripciones de los restos del vehíc</w:t>
      </w:r>
      <w:r>
        <w:t>u</w:t>
      </w:r>
      <w:r>
        <w:t>lo volcadas en las actas obrantes a fs. 180, 215, 216, 225, 222 y 230 del Informe Prel</w:t>
      </w:r>
      <w:r>
        <w:t>i</w:t>
      </w:r>
      <w:r>
        <w:t>minar y fs. 8 del Informe Final, se corresponden con las características que prese</w:t>
      </w:r>
      <w:r>
        <w:t>n</w:t>
      </w:r>
      <w:r>
        <w:t>tan aquellas que ilustran las fotografías nros. 21, 82, 53, 55, 60, 96 y 113, respectivame</w:t>
      </w:r>
      <w:r>
        <w:t>n</w:t>
      </w:r>
      <w:r>
        <w:t>te (ver fs. 77, 93, 94, 96vta. y 114vta. del Informe Preliminar y fs. 85 del I</w:t>
      </w:r>
      <w:r>
        <w:t>n</w:t>
      </w:r>
      <w:r>
        <w:t>forme Final), debiéndose aclarar que las mencionadas son las únicas piezas que responden a tales características. La numeración indicada en las fotografías citadas se c</w:t>
      </w:r>
      <w:r>
        <w:t>o</w:t>
      </w:r>
      <w:r>
        <w:t>rresponden, a su vez, con la otorgada en su identific</w:t>
      </w:r>
      <w:r>
        <w:t>a</w:t>
      </w:r>
      <w:r>
        <w:t>ción.</w:t>
      </w:r>
    </w:p>
    <w:p w:rsidR="00224567" w:rsidRDefault="00224567">
      <w:pPr>
        <w:widowControl w:val="0"/>
      </w:pPr>
      <w:r>
        <w:tab/>
      </w:r>
      <w:r>
        <w:tab/>
        <w:t>Por otro lado, en las actas se det</w:t>
      </w:r>
      <w:r>
        <w:t>a</w:t>
      </w:r>
      <w:r>
        <w:t>llaron diversos restos de neumáticos, llantas, engr</w:t>
      </w:r>
      <w:r>
        <w:t>a</w:t>
      </w:r>
      <w:r>
        <w:t>najes y trozos de goma correspondientes a vehículos (ver fs. 173, 184, 185, 187, 197, 198, 200, 202, 213, 214, 215, 221, 222, 223 y 226 del Informe Preliminar) que también aparecen menci</w:t>
      </w:r>
      <w:r>
        <w:t>o</w:t>
      </w:r>
      <w:r>
        <w:t>nados en las diligencias de reconocimiento de piezas (ver actas de fs. 24, 30, 32 del mencionado i</w:t>
      </w:r>
      <w:r>
        <w:t>n</w:t>
      </w:r>
      <w:r>
        <w:t>forme, en particular, las piezas identificadas con los nros. 1, 3, 4, 5, 15, 37, 39, 41, 42, 44, 45, 47, 57, 62, 65, 73, 74, 83 y 84, como así también sus respectivas f</w:t>
      </w:r>
      <w:r>
        <w:t>o</w:t>
      </w:r>
      <w:r>
        <w:t>tografías).</w:t>
      </w:r>
    </w:p>
    <w:p w:rsidR="00224567" w:rsidRDefault="00224567">
      <w:pPr>
        <w:widowControl w:val="0"/>
      </w:pPr>
      <w:r>
        <w:tab/>
        <w:t>Con relación a los restos metálicos extraídos del cuerpo de las víctimas fatales, según da cuenta el acta de fs. 183 del Informe Preliminar, cabe r</w:t>
      </w:r>
      <w:r>
        <w:t>e</w:t>
      </w:r>
      <w:r>
        <w:t xml:space="preserve">mitirse a lo señalado </w:t>
      </w:r>
      <w:r>
        <w:rPr>
          <w:u w:val="single"/>
        </w:rPr>
        <w:t>ut supra</w:t>
      </w:r>
      <w:r>
        <w:t>.</w:t>
      </w:r>
    </w:p>
    <w:p w:rsidR="00224567" w:rsidRDefault="00224567">
      <w:pPr>
        <w:widowControl w:val="0"/>
      </w:pPr>
      <w:r>
        <w:tab/>
      </w:r>
      <w:r>
        <w:tab/>
        <w:t>Si bien es cierto que el vago det</w:t>
      </w:r>
      <w:r>
        <w:t>a</w:t>
      </w:r>
      <w:r>
        <w:t>lle que de otras piezas secuestradas se efectuó en las actas respectivas, impide determinar, sin lugar a dudas, a cu</w:t>
      </w:r>
      <w:r>
        <w:t>á</w:t>
      </w:r>
      <w:r>
        <w:t>les de las identificadas como de Renault Trafic correspo</w:t>
      </w:r>
      <w:r>
        <w:t>n</w:t>
      </w:r>
      <w:r>
        <w:t>den, no lo es menos que en las actas de secuestro se co</w:t>
      </w:r>
      <w:r>
        <w:t>n</w:t>
      </w:r>
      <w:r>
        <w:t>signó que aquéllas, en su gran mayoría, aparentaban pert</w:t>
      </w:r>
      <w:r>
        <w:t>e</w:t>
      </w:r>
      <w:r>
        <w:t>necer a un vehíc</w:t>
      </w:r>
      <w:r>
        <w:t>u</w:t>
      </w:r>
      <w:r>
        <w:t>lo.</w:t>
      </w:r>
    </w:p>
    <w:p w:rsidR="00224567" w:rsidRDefault="00224567">
      <w:pPr>
        <w:widowControl w:val="0"/>
      </w:pPr>
      <w:r>
        <w:tab/>
      </w:r>
      <w:r>
        <w:tab/>
        <w:t>En ese orden, tampoco puede i</w:t>
      </w:r>
      <w:r>
        <w:t>g</w:t>
      </w:r>
      <w:r>
        <w:t>norarse que, a grandes rasgos, también coinciden en su cantidad, aunque dicho extremo pueda considerarse i</w:t>
      </w:r>
      <w:r>
        <w:t>n</w:t>
      </w:r>
      <w:r>
        <w:t>cierto toda vez que en algunos casos -concretamente las actas de fs. 221 y 232- se refirieron al hallazgo de elementos en forma pl</w:t>
      </w:r>
      <w:r>
        <w:t>u</w:t>
      </w:r>
      <w:r>
        <w:t>ral.</w:t>
      </w:r>
    </w:p>
    <w:p w:rsidR="00224567" w:rsidRDefault="00224567">
      <w:pPr>
        <w:widowControl w:val="0"/>
      </w:pPr>
      <w:r>
        <w:tab/>
      </w:r>
      <w:r>
        <w:tab/>
        <w:t>Pero lo que</w:t>
      </w:r>
      <w:r>
        <w:rPr>
          <w:b/>
          <w:bCs/>
        </w:rPr>
        <w:t xml:space="preserve"> </w:t>
      </w:r>
      <w:r>
        <w:t>resulta definitorio para afirmar que las piezas identificadas por los técnicos de “CIADEA S.A.” conformaban el vehículo que llevó en su i</w:t>
      </w:r>
      <w:r>
        <w:t>n</w:t>
      </w:r>
      <w:r>
        <w:t>terior la carga explosiva que detonó en el frente del ed</w:t>
      </w:r>
      <w:r>
        <w:t>i</w:t>
      </w:r>
      <w:r>
        <w:t>ficio de Pasteur 633, es que todas ellas presentaron rot</w:t>
      </w:r>
      <w:r>
        <w:t>u</w:t>
      </w:r>
      <w:r>
        <w:t>ras y deformaciones compatibles con la onda de choque g</w:t>
      </w:r>
      <w:r>
        <w:t>e</w:t>
      </w:r>
      <w:r>
        <w:t>nerada por dicha carga.</w:t>
      </w:r>
    </w:p>
    <w:p w:rsidR="00224567" w:rsidRDefault="00224567">
      <w:pPr>
        <w:widowControl w:val="0"/>
      </w:pPr>
      <w:r>
        <w:tab/>
      </w:r>
      <w:r>
        <w:tab/>
        <w:t>Dicha conclusión se encuentra av</w:t>
      </w:r>
      <w:r>
        <w:t>a</w:t>
      </w:r>
      <w:r>
        <w:t>lada por el peritaje glosado a fs. 30.761/30.764, realizado por el c</w:t>
      </w:r>
      <w:r>
        <w:t>o</w:t>
      </w:r>
      <w:r>
        <w:t>misario Carlos Néstor López, el principal Juan Dante Falzarano, Fernando Carlos Cingolani, analista de repue</w:t>
      </w:r>
      <w:r>
        <w:t>s</w:t>
      </w:r>
      <w:r>
        <w:t>tos de “CIADEA S.A.” y O</w:t>
      </w:r>
      <w:r>
        <w:t>s</w:t>
      </w:r>
      <w:r>
        <w:t>valdo Laborda, asesor técnico de una de las quer</w:t>
      </w:r>
      <w:r>
        <w:t>e</w:t>
      </w:r>
      <w:r>
        <w:t>llas.</w:t>
      </w:r>
    </w:p>
    <w:p w:rsidR="00224567" w:rsidRDefault="00224567">
      <w:pPr>
        <w:widowControl w:val="0"/>
      </w:pPr>
      <w:r>
        <w:tab/>
      </w:r>
      <w:r>
        <w:tab/>
        <w:t>Así, de la revisión física de los el</w:t>
      </w:r>
      <w:r>
        <w:t>e</w:t>
      </w:r>
      <w:r>
        <w:t xml:space="preserve">mentos detallados </w:t>
      </w:r>
      <w:r>
        <w:rPr>
          <w:u w:val="single"/>
        </w:rPr>
        <w:t>ut supra</w:t>
      </w:r>
      <w:r>
        <w:t>, se arribó a las siguientes conclusi</w:t>
      </w:r>
      <w:r>
        <w:t>o</w:t>
      </w:r>
      <w:r>
        <w:t>nes:</w:t>
      </w:r>
    </w:p>
    <w:p w:rsidR="00224567" w:rsidRDefault="00224567">
      <w:pPr>
        <w:widowControl w:val="0"/>
      </w:pPr>
      <w:r>
        <w:tab/>
      </w:r>
      <w:r>
        <w:tab/>
        <w:t>a) que el motor presenta roturas y d</w:t>
      </w:r>
      <w:r>
        <w:t>e</w:t>
      </w:r>
      <w:r>
        <w:t>formaciones que se hallan en relación d</w:t>
      </w:r>
      <w:r>
        <w:t>i</w:t>
      </w:r>
      <w:r>
        <w:t>recta con una onda de choque generada en sentido coincidente con su parte d</w:t>
      </w:r>
      <w:r>
        <w:t>e</w:t>
      </w:r>
      <w:r>
        <w:t>lantera; es decir, a la parte correspondiente al primer cili</w:t>
      </w:r>
      <w:r>
        <w:t>n</w:t>
      </w:r>
      <w:r>
        <w:t>dro que es el más próximo a la caja de velocidades;</w:t>
      </w:r>
    </w:p>
    <w:p w:rsidR="00224567" w:rsidRDefault="00224567">
      <w:pPr>
        <w:widowControl w:val="0"/>
      </w:pPr>
      <w:r>
        <w:tab/>
      </w:r>
      <w:r>
        <w:tab/>
        <w:t>b) que la totalidad de los co</w:t>
      </w:r>
      <w:r>
        <w:t>m</w:t>
      </w:r>
      <w:r>
        <w:t xml:space="preserve">ponentes de </w:t>
      </w:r>
      <w:smartTag w:uri="urn:schemas-microsoft-com:office:smarttags" w:element="PersonName">
        <w:smartTagPr>
          <w:attr w:name="ProductID" w:val="la Renault Trafic"/>
        </w:smartTagPr>
        <w:r>
          <w:t>la Renault Trafic</w:t>
        </w:r>
      </w:smartTag>
      <w:r>
        <w:t xml:space="preserve"> mantienen roturas y d</w:t>
      </w:r>
      <w:r>
        <w:t>e</w:t>
      </w:r>
      <w:r>
        <w:t>formaciones que se hallan en relación directa con la rea</w:t>
      </w:r>
      <w:r>
        <w:t>c</w:t>
      </w:r>
      <w:r>
        <w:t>ción de una carga explosiva ubicada en el interior de la camioneta; más pr</w:t>
      </w:r>
      <w:r>
        <w:t>e</w:t>
      </w:r>
      <w:r>
        <w:t>cisamente, en la cabina de ca</w:t>
      </w:r>
      <w:r>
        <w:t>r</w:t>
      </w:r>
      <w:r>
        <w:t>ga;</w:t>
      </w:r>
    </w:p>
    <w:p w:rsidR="00224567" w:rsidRDefault="00224567">
      <w:pPr>
        <w:widowControl w:val="0"/>
      </w:pPr>
      <w:r>
        <w:tab/>
      </w:r>
      <w:r>
        <w:tab/>
        <w:t>c)  que  sus elementos constit</w:t>
      </w:r>
      <w:r>
        <w:t>u</w:t>
      </w:r>
      <w:r>
        <w:t>tivos  -motor, eje, llantas, rótulas, elásticos, amo</w:t>
      </w:r>
      <w:r>
        <w:t>r</w:t>
      </w:r>
      <w:r>
        <w:t>tiguadores, engranajes, chapas de carrocería- se hall</w:t>
      </w:r>
      <w:r>
        <w:t>a</w:t>
      </w:r>
      <w:r>
        <w:t>ban instalados y funcionando en la camioneta que portaba la carga explos</w:t>
      </w:r>
      <w:r>
        <w:t>i</w:t>
      </w:r>
      <w:r>
        <w:t>va, coincidiendo los desgarramientos, fracturas y deform</w:t>
      </w:r>
      <w:r>
        <w:t>a</w:t>
      </w:r>
      <w:r>
        <w:t>ciones de las piezas con el a</w:t>
      </w:r>
      <w:r>
        <w:t>n</w:t>
      </w:r>
      <w:r>
        <w:t>claje original para lo cual fueron diseñadas, encontrándose los efectos de la onda e</w:t>
      </w:r>
      <w:r>
        <w:t>x</w:t>
      </w:r>
      <w:r>
        <w:t>pansiva en relación directa con lo expuesto y,</w:t>
      </w:r>
    </w:p>
    <w:p w:rsidR="00224567" w:rsidRDefault="00224567">
      <w:pPr>
        <w:widowControl w:val="0"/>
      </w:pPr>
      <w:r>
        <w:tab/>
      </w:r>
      <w:r>
        <w:tab/>
        <w:t>d) que los objetos revisados fueron sometidos a una única explosión, tratándose del mismo f</w:t>
      </w:r>
      <w:r>
        <w:t>e</w:t>
      </w:r>
      <w:r>
        <w:t>nómeno que afectó a la totalidad de los elementos const</w:t>
      </w:r>
      <w:r>
        <w:t>i</w:t>
      </w:r>
      <w:r>
        <w:t>tutivos de la camioneta Trafic utilizada para cometer el atentado.</w:t>
      </w:r>
    </w:p>
    <w:p w:rsidR="00224567" w:rsidRDefault="00224567">
      <w:pPr>
        <w:widowControl w:val="0"/>
      </w:pPr>
      <w:r>
        <w:tab/>
      </w:r>
      <w:r>
        <w:tab/>
        <w:t>En igual sentido, cabe mencionar los dichos en el debate del ing. Juan María Cardoni, coinc</w:t>
      </w:r>
      <w:r>
        <w:t>i</w:t>
      </w:r>
      <w:r>
        <w:t>dentes con su estudio de fecha 1° de diciembre de 1994, en cuanto a las roturas y deformaciones que presentaba, en particular, el eje tra</w:t>
      </w:r>
      <w:r>
        <w:t>s</w:t>
      </w:r>
      <w:r>
        <w:t>ero de la camioneta (pieza nº 10). Al respecto, en base a los cálculos que realizó, teniendo en cuenta la información técnica de dicha pieza remitida por “CIADEA S.A.” (fs. 43/44 del Informe Final), concl</w:t>
      </w:r>
      <w:r>
        <w:t>u</w:t>
      </w:r>
      <w:r>
        <w:t>yó que dichas roturas y deformaciones por flexión fueron pr</w:t>
      </w:r>
      <w:r>
        <w:t>o</w:t>
      </w:r>
      <w:r>
        <w:t xml:space="preserve">ducto de una acción expansiva de una velocidad entre los 4568 y </w:t>
      </w:r>
      <w:smartTag w:uri="urn:schemas-microsoft-com:office:smarttags" w:element="metricconverter">
        <w:smartTagPr>
          <w:attr w:name="ProductID" w:val="4136 metros"/>
        </w:smartTagPr>
        <w:r>
          <w:t>4136 metros</w:t>
        </w:r>
      </w:smartTag>
      <w:r>
        <w:t xml:space="preserve"> por segundo, aclarando que ese efecto sólo pudo ser producido por la acción expansiva de un e</w:t>
      </w:r>
      <w:r>
        <w:t>x</w:t>
      </w:r>
      <w:r>
        <w:t>plosivo.</w:t>
      </w:r>
    </w:p>
    <w:p w:rsidR="00224567" w:rsidRDefault="00224567">
      <w:pPr>
        <w:widowControl w:val="0"/>
      </w:pPr>
      <w:r>
        <w:tab/>
      </w:r>
      <w:r>
        <w:tab/>
      </w:r>
      <w:r>
        <w:rPr>
          <w:b/>
          <w:bCs/>
        </w:rPr>
        <w:t>A.14)</w:t>
      </w:r>
      <w:r>
        <w:t xml:space="preserve"> Las defensas de Carlos Alberto Telleldín y de Raúl Edilio Ibarra cuestion</w:t>
      </w:r>
      <w:r>
        <w:t>a</w:t>
      </w:r>
      <w:r>
        <w:t>ron el proceder de quienes realizaron las tareas de búsqueda de evidencias en el lugar de los hechos y, consecuent</w:t>
      </w:r>
      <w:r>
        <w:t>e</w:t>
      </w:r>
      <w:r>
        <w:t>mente, rechazaron la prueba obtenida en esas condiciones. Al respecto, re</w:t>
      </w:r>
      <w:r>
        <w:t>a</w:t>
      </w:r>
      <w:r>
        <w:t>lizaron las siguientes consider</w:t>
      </w:r>
      <w:r>
        <w:t>a</w:t>
      </w:r>
      <w:r>
        <w:t>ciones:</w:t>
      </w:r>
    </w:p>
    <w:p w:rsidR="00224567" w:rsidRDefault="00224567">
      <w:pPr>
        <w:widowControl w:val="0"/>
      </w:pPr>
      <w:r>
        <w:tab/>
      </w:r>
      <w:r>
        <w:tab/>
        <w:t>Que, todos los hallazgos de piezas r</w:t>
      </w:r>
      <w:r>
        <w:t>e</w:t>
      </w:r>
      <w:r>
        <w:t>levantes para la acreditación de la existencia de una c</w:t>
      </w:r>
      <w:r>
        <w:t>a</w:t>
      </w:r>
      <w:r>
        <w:t xml:space="preserve">mioneta Renault Trafic fueron efectuados por los mismos “cinco policías” de </w:t>
      </w:r>
      <w:smartTag w:uri="urn:schemas-microsoft-com:office:smarttags" w:element="PersonName">
        <w:smartTagPr>
          <w:attr w:name="ProductID" w:val="la Brigada"/>
        </w:smartTagPr>
        <w:r>
          <w:t>la Brigada</w:t>
        </w:r>
      </w:smartTag>
      <w:r>
        <w:t xml:space="preserve"> de Investigaciones de </w:t>
      </w:r>
      <w:smartTag w:uri="urn:schemas-microsoft-com:office:smarttags" w:element="PersonName">
        <w:smartTagPr>
          <w:attr w:name="ProductID" w:val="la Superintendecia"/>
        </w:smartTagPr>
        <w:r>
          <w:t>la Superintendecia</w:t>
        </w:r>
      </w:smartTag>
      <w:r>
        <w:t xml:space="preserve"> de Bomberos de </w:t>
      </w:r>
      <w:smartTag w:uri="urn:schemas-microsoft-com:office:smarttags" w:element="PersonName">
        <w:smartTagPr>
          <w:attr w:name="ProductID" w:val="la P.F"/>
        </w:smartTagPr>
        <w:r>
          <w:t>la P.F</w:t>
        </w:r>
      </w:smartTag>
      <w:r>
        <w:t>.A., circunstancia que calificaron como “milagrosa”, ate</w:t>
      </w:r>
      <w:r>
        <w:t>n</w:t>
      </w:r>
      <w:r>
        <w:t>diendo que al lugar concurrieron numerosas brigadas de bomberos para el resc</w:t>
      </w:r>
      <w:r>
        <w:t>a</w:t>
      </w:r>
      <w:r>
        <w:t>te de las víctimas. Estos, además, t</w:t>
      </w:r>
      <w:r>
        <w:t>e</w:t>
      </w:r>
      <w:r>
        <w:t>nían la directiva de entregar todas las evide</w:t>
      </w:r>
      <w:r>
        <w:t>n</w:t>
      </w:r>
      <w:r>
        <w:t>cias que hubieran de encontrar y, según la encuesta del debate, no se verificó ningún caso en ese sent</w:t>
      </w:r>
      <w:r>
        <w:t>i</w:t>
      </w:r>
      <w:r>
        <w:t>do.</w:t>
      </w:r>
    </w:p>
    <w:p w:rsidR="00224567" w:rsidRDefault="00224567">
      <w:pPr>
        <w:widowControl w:val="0"/>
        <w:rPr>
          <w:bCs/>
          <w:lang w:val="es-ES_tradnl"/>
        </w:rPr>
      </w:pPr>
      <w:r>
        <w:rPr>
          <w:bCs/>
          <w:lang w:val="es-ES_tradnl"/>
        </w:rPr>
        <w:tab/>
        <w:t xml:space="preserve">Que, más allá de las actas que </w:t>
      </w:r>
      <w:r>
        <w:rPr>
          <w:bCs/>
          <w:u w:val="single"/>
          <w:lang w:val="es-ES_tradnl"/>
        </w:rPr>
        <w:t>ut s</w:t>
      </w:r>
      <w:r>
        <w:rPr>
          <w:bCs/>
          <w:u w:val="single"/>
          <w:lang w:val="es-ES_tradnl"/>
        </w:rPr>
        <w:t>u</w:t>
      </w:r>
      <w:r>
        <w:rPr>
          <w:bCs/>
          <w:u w:val="single"/>
          <w:lang w:val="es-ES_tradnl"/>
        </w:rPr>
        <w:t>pra</w:t>
      </w:r>
      <w:r>
        <w:rPr>
          <w:bCs/>
          <w:lang w:val="es-ES_tradnl"/>
        </w:rPr>
        <w:t xml:space="preserve"> fueran cuestionadas, se omitió adoptar medidas para documentar fehacientemente los supuestos s</w:t>
      </w:r>
      <w:r>
        <w:rPr>
          <w:bCs/>
          <w:lang w:val="es-ES_tradnl"/>
        </w:rPr>
        <w:t>e</w:t>
      </w:r>
      <w:r>
        <w:rPr>
          <w:bCs/>
          <w:lang w:val="es-ES_tradnl"/>
        </w:rPr>
        <w:t>cuestros, como filmaciones o fotografías de cada una de esas d</w:t>
      </w:r>
      <w:r>
        <w:rPr>
          <w:bCs/>
          <w:lang w:val="es-ES_tradnl"/>
        </w:rPr>
        <w:t>i</w:t>
      </w:r>
      <w:r>
        <w:rPr>
          <w:bCs/>
          <w:lang w:val="es-ES_tradnl"/>
        </w:rPr>
        <w:t>ligencias. Máxime cuando su efectiva localización era un dato fund</w:t>
      </w:r>
      <w:r>
        <w:rPr>
          <w:bCs/>
          <w:lang w:val="es-ES_tradnl"/>
        </w:rPr>
        <w:t>a</w:t>
      </w:r>
      <w:r>
        <w:rPr>
          <w:bCs/>
          <w:lang w:val="es-ES_tradnl"/>
        </w:rPr>
        <w:t>mental para determinar el foco de la explosión, conforme lo sostuvieron los peritos que confeccionaron el Informe Preliminar de bomberos.</w:t>
      </w:r>
    </w:p>
    <w:p w:rsidR="00224567" w:rsidRDefault="00224567">
      <w:pPr>
        <w:widowControl w:val="0"/>
        <w:rPr>
          <w:bCs/>
          <w:lang w:val="es-ES_tradnl"/>
        </w:rPr>
      </w:pPr>
      <w:r>
        <w:rPr>
          <w:bCs/>
          <w:lang w:val="es-ES_tradnl"/>
        </w:rPr>
        <w:tab/>
        <w:t>Que, la primera clasificación de ev</w:t>
      </w:r>
      <w:r>
        <w:rPr>
          <w:bCs/>
          <w:lang w:val="es-ES_tradnl"/>
        </w:rPr>
        <w:t>i</w:t>
      </w:r>
      <w:r>
        <w:rPr>
          <w:bCs/>
          <w:lang w:val="es-ES_tradnl"/>
        </w:rPr>
        <w:t>dencias realizada por el personal de bomberos en el centro de operaciones de Pasteur 669, se practicó sin ningún cr</w:t>
      </w:r>
      <w:r>
        <w:rPr>
          <w:bCs/>
          <w:lang w:val="es-ES_tradnl"/>
        </w:rPr>
        <w:t>i</w:t>
      </w:r>
      <w:r>
        <w:rPr>
          <w:bCs/>
          <w:lang w:val="es-ES_tradnl"/>
        </w:rPr>
        <w:t>terio técnico que permitiera difere</w:t>
      </w:r>
      <w:r>
        <w:rPr>
          <w:bCs/>
          <w:lang w:val="es-ES_tradnl"/>
        </w:rPr>
        <w:t>n</w:t>
      </w:r>
      <w:r>
        <w:rPr>
          <w:bCs/>
          <w:lang w:val="es-ES_tradnl"/>
        </w:rPr>
        <w:t>ciar, con certeza, los elementos que pertenecían a la supuesta camioneta Trafic de los que carecían de interés. Además, expresaron, no quedó claro el proceder que se adoptó en relación a las pruebas de</w:t>
      </w:r>
      <w:r>
        <w:rPr>
          <w:bCs/>
          <w:lang w:val="es-ES_tradnl"/>
        </w:rPr>
        <w:t>s</w:t>
      </w:r>
      <w:r>
        <w:rPr>
          <w:bCs/>
          <w:lang w:val="es-ES_tradnl"/>
        </w:rPr>
        <w:t>cartadas.</w:t>
      </w:r>
    </w:p>
    <w:p w:rsidR="00224567" w:rsidRDefault="00224567">
      <w:pPr>
        <w:widowControl w:val="0"/>
        <w:rPr>
          <w:bCs/>
        </w:rPr>
      </w:pPr>
      <w:r>
        <w:rPr>
          <w:bCs/>
          <w:lang w:val="es-ES_tradnl"/>
        </w:rPr>
        <w:tab/>
        <w:t>Que la identificación del material h</w:t>
      </w:r>
      <w:r>
        <w:rPr>
          <w:bCs/>
          <w:lang w:val="es-ES_tradnl"/>
        </w:rPr>
        <w:t>a</w:t>
      </w:r>
      <w:r>
        <w:rPr>
          <w:bCs/>
          <w:lang w:val="es-ES_tradnl"/>
        </w:rPr>
        <w:t>llado descripta en las actas obrantes en el Informe Prel</w:t>
      </w:r>
      <w:r>
        <w:rPr>
          <w:bCs/>
          <w:lang w:val="es-ES_tradnl"/>
        </w:rPr>
        <w:t>i</w:t>
      </w:r>
      <w:r>
        <w:rPr>
          <w:bCs/>
          <w:lang w:val="es-ES_tradnl"/>
        </w:rPr>
        <w:t>minar de Bomberos, resulta insuficiente para est</w:t>
      </w:r>
      <w:r>
        <w:rPr>
          <w:bCs/>
          <w:lang w:val="es-ES_tradnl"/>
        </w:rPr>
        <w:t>a</w:t>
      </w:r>
      <w:r>
        <w:rPr>
          <w:bCs/>
          <w:lang w:val="es-ES_tradnl"/>
        </w:rPr>
        <w:t xml:space="preserve">blecer su correspondencia con las numeraciones que se asignó </w:t>
      </w:r>
      <w:r>
        <w:rPr>
          <w:bCs/>
        </w:rPr>
        <w:t>a los elementos reconocidos como pertenecientes a una cami</w:t>
      </w:r>
      <w:r>
        <w:rPr>
          <w:bCs/>
        </w:rPr>
        <w:t>o</w:t>
      </w:r>
      <w:r>
        <w:rPr>
          <w:bCs/>
        </w:rPr>
        <w:t>neta Renault Trafic. En consecuencia, adujeron las defe</w:t>
      </w:r>
      <w:r>
        <w:rPr>
          <w:bCs/>
        </w:rPr>
        <w:t>n</w:t>
      </w:r>
      <w:r>
        <w:rPr>
          <w:bCs/>
        </w:rPr>
        <w:t>sas, no es posible saber a ciencia cierta a qué objetos se refi</w:t>
      </w:r>
      <w:r>
        <w:rPr>
          <w:bCs/>
        </w:rPr>
        <w:t>e</w:t>
      </w:r>
      <w:r>
        <w:rPr>
          <w:bCs/>
        </w:rPr>
        <w:t>ren las actas de secuestro ni tampoco las circunstancias de modo, tiempo y lugar en que las evidencias allí det</w:t>
      </w:r>
      <w:r>
        <w:rPr>
          <w:bCs/>
        </w:rPr>
        <w:t>a</w:t>
      </w:r>
      <w:r>
        <w:rPr>
          <w:bCs/>
        </w:rPr>
        <w:t>lladas fueron ingresadas a la investigación.</w:t>
      </w:r>
    </w:p>
    <w:p w:rsidR="00224567" w:rsidRDefault="00224567">
      <w:pPr>
        <w:pStyle w:val="Textoindependiente3"/>
        <w:widowControl w:val="0"/>
        <w:rPr>
          <w:rFonts w:ascii="Courier New" w:hAnsi="Courier New" w:cs="Courier New"/>
          <w:b w:val="0"/>
          <w:bCs/>
          <w:sz w:val="24"/>
        </w:rPr>
      </w:pPr>
      <w:r>
        <w:rPr>
          <w:rFonts w:ascii="Courier New" w:hAnsi="Courier New" w:cs="Courier New"/>
          <w:b w:val="0"/>
          <w:bCs/>
          <w:sz w:val="24"/>
        </w:rPr>
        <w:tab/>
        <w:t>Que, en ese sentido, los dichos en el debate de quienes practicaron los distintos secue</w:t>
      </w:r>
      <w:r>
        <w:rPr>
          <w:rFonts w:ascii="Courier New" w:hAnsi="Courier New" w:cs="Courier New"/>
          <w:b w:val="0"/>
          <w:bCs/>
          <w:sz w:val="24"/>
        </w:rPr>
        <w:t>s</w:t>
      </w:r>
      <w:r>
        <w:rPr>
          <w:rFonts w:ascii="Courier New" w:hAnsi="Courier New" w:cs="Courier New"/>
          <w:b w:val="0"/>
          <w:bCs/>
          <w:sz w:val="24"/>
        </w:rPr>
        <w:t>tros de evidencias no aportaron mayor claridad sobre el punto, puesto que, señaló la defensa de Ibarra, algunas piezas fueron reconocidas mediante fotografías por más de un fu</w:t>
      </w:r>
      <w:r>
        <w:rPr>
          <w:rFonts w:ascii="Courier New" w:hAnsi="Courier New" w:cs="Courier New"/>
          <w:b w:val="0"/>
          <w:bCs/>
          <w:sz w:val="24"/>
        </w:rPr>
        <w:t>n</w:t>
      </w:r>
      <w:r>
        <w:rPr>
          <w:rFonts w:ascii="Courier New" w:hAnsi="Courier New" w:cs="Courier New"/>
          <w:b w:val="0"/>
          <w:bCs/>
          <w:sz w:val="24"/>
        </w:rPr>
        <w:t>cionario, en tanto que de otras se omitió dar respuesta alguna.</w:t>
      </w:r>
    </w:p>
    <w:p w:rsidR="00224567" w:rsidRDefault="00224567">
      <w:pPr>
        <w:widowControl w:val="0"/>
        <w:rPr>
          <w:bCs/>
        </w:rPr>
      </w:pPr>
      <w:r>
        <w:rPr>
          <w:bCs/>
        </w:rPr>
        <w:tab/>
        <w:t>Finalmente, invocaron que en el ju</w:t>
      </w:r>
      <w:r>
        <w:rPr>
          <w:bCs/>
        </w:rPr>
        <w:t>i</w:t>
      </w:r>
      <w:r>
        <w:rPr>
          <w:bCs/>
        </w:rPr>
        <w:t>cio algunos testigos reconocieron haber recogido piezas de i</w:t>
      </w:r>
      <w:r>
        <w:rPr>
          <w:bCs/>
        </w:rPr>
        <w:t>n</w:t>
      </w:r>
      <w:r>
        <w:rPr>
          <w:bCs/>
        </w:rPr>
        <w:t xml:space="preserve">terés –Vgr. los agentes de contrainteligencia de </w:t>
      </w:r>
      <w:smartTag w:uri="urn:schemas-microsoft-com:office:smarttags" w:element="PersonName">
        <w:smartTagPr>
          <w:attr w:name="ProductID" w:val="la Secretar￭a"/>
        </w:smartTagPr>
        <w:r>
          <w:rPr>
            <w:bCs/>
          </w:rPr>
          <w:t>la Secr</w:t>
        </w:r>
        <w:r>
          <w:rPr>
            <w:bCs/>
          </w:rPr>
          <w:t>e</w:t>
        </w:r>
        <w:r>
          <w:rPr>
            <w:bCs/>
          </w:rPr>
          <w:t>taría</w:t>
        </w:r>
      </w:smartTag>
      <w:r>
        <w:rPr>
          <w:bCs/>
        </w:rPr>
        <w:t xml:space="preserve"> de Inteligencia de Estado- y que de ellas, más allá de no haberse instrumentado diligencia alguna para su acreditación, se ignora su destino def</w:t>
      </w:r>
      <w:r>
        <w:rPr>
          <w:bCs/>
        </w:rPr>
        <w:t>i</w:t>
      </w:r>
      <w:r>
        <w:rPr>
          <w:bCs/>
        </w:rPr>
        <w:t>nitivo.</w:t>
      </w:r>
    </w:p>
    <w:p w:rsidR="00224567" w:rsidRDefault="00224567">
      <w:pPr>
        <w:widowControl w:val="0"/>
        <w:rPr>
          <w:bCs/>
        </w:rPr>
      </w:pPr>
      <w:r>
        <w:rPr>
          <w:bCs/>
        </w:rPr>
        <w:tab/>
        <w:t>Es preciso señalar que los cuestion</w:t>
      </w:r>
      <w:r>
        <w:rPr>
          <w:bCs/>
        </w:rPr>
        <w:t>a</w:t>
      </w:r>
      <w:r>
        <w:rPr>
          <w:bCs/>
        </w:rPr>
        <w:t>mientos alegados con relación al secuestro de las piezas en el lugar del hecho que, posteriormente, fueron recon</w:t>
      </w:r>
      <w:r>
        <w:rPr>
          <w:bCs/>
        </w:rPr>
        <w:t>o</w:t>
      </w:r>
      <w:r>
        <w:rPr>
          <w:bCs/>
        </w:rPr>
        <w:t>cidas como pertenecientes a una camioneta Renault Trafic por parte de los técnicos de la empresa CIADEA S.A., no tienen entidad suficiente para echar por ti</w:t>
      </w:r>
      <w:r>
        <w:rPr>
          <w:bCs/>
        </w:rPr>
        <w:t>e</w:t>
      </w:r>
      <w:r>
        <w:rPr>
          <w:bCs/>
        </w:rPr>
        <w:t>rra, sin más, los elementos probatorios detall</w:t>
      </w:r>
      <w:r>
        <w:rPr>
          <w:bCs/>
        </w:rPr>
        <w:t>a</w:t>
      </w:r>
      <w:r>
        <w:rPr>
          <w:bCs/>
        </w:rPr>
        <w:t>dos en los apartados que anteceden.</w:t>
      </w:r>
    </w:p>
    <w:p w:rsidR="00224567" w:rsidRDefault="00224567">
      <w:pPr>
        <w:pStyle w:val="Ttulo"/>
        <w:widowControl w:val="0"/>
        <w:tabs>
          <w:tab w:val="left" w:pos="2835"/>
        </w:tabs>
        <w:spacing w:line="600" w:lineRule="auto"/>
        <w:jc w:val="both"/>
        <w:rPr>
          <w:b w:val="0"/>
        </w:rPr>
      </w:pPr>
      <w:r>
        <w:rPr>
          <w:b w:val="0"/>
        </w:rPr>
        <w:tab/>
        <w:t>Más allá de ello, coincide el trib</w:t>
      </w:r>
      <w:r>
        <w:rPr>
          <w:b w:val="0"/>
        </w:rPr>
        <w:t>u</w:t>
      </w:r>
      <w:r>
        <w:rPr>
          <w:b w:val="0"/>
        </w:rPr>
        <w:t>nal con los letrados defensores en punto a que se omitió i</w:t>
      </w:r>
      <w:r>
        <w:rPr>
          <w:b w:val="0"/>
        </w:rPr>
        <w:t>n</w:t>
      </w:r>
      <w:r>
        <w:rPr>
          <w:b w:val="0"/>
        </w:rPr>
        <w:t>ventariar e identificar fehacientemente las evidencias r</w:t>
      </w:r>
      <w:r>
        <w:rPr>
          <w:b w:val="0"/>
        </w:rPr>
        <w:t>e</w:t>
      </w:r>
      <w:r>
        <w:rPr>
          <w:b w:val="0"/>
        </w:rPr>
        <w:t>cogidas, tanto en el lugar de la explosión como en el pr</w:t>
      </w:r>
      <w:r>
        <w:rPr>
          <w:b w:val="0"/>
        </w:rPr>
        <w:t>e</w:t>
      </w:r>
      <w:r>
        <w:rPr>
          <w:b w:val="0"/>
        </w:rPr>
        <w:t>dio donde posteriormente fueron traslad</w:t>
      </w:r>
      <w:r>
        <w:rPr>
          <w:b w:val="0"/>
        </w:rPr>
        <w:t>a</w:t>
      </w:r>
      <w:r>
        <w:rPr>
          <w:b w:val="0"/>
        </w:rPr>
        <w:t>dos los escombros y demás elementos.</w:t>
      </w:r>
    </w:p>
    <w:p w:rsidR="00224567" w:rsidRDefault="00224567">
      <w:pPr>
        <w:pStyle w:val="Ttulo"/>
        <w:widowControl w:val="0"/>
        <w:tabs>
          <w:tab w:val="left" w:pos="2835"/>
        </w:tabs>
        <w:spacing w:line="600" w:lineRule="auto"/>
        <w:jc w:val="both"/>
        <w:rPr>
          <w:b w:val="0"/>
          <w:bCs w:val="0"/>
        </w:rPr>
      </w:pPr>
      <w:r>
        <w:rPr>
          <w:b w:val="0"/>
          <w:bCs w:val="0"/>
        </w:rPr>
        <w:tab/>
      </w:r>
      <w:r>
        <w:rPr>
          <w:b w:val="0"/>
          <w:bCs w:val="0"/>
        </w:rPr>
        <w:tab/>
        <w:t>Pero la desaprensión evidenciada por el personal policial en modo alguno invalida las dilige</w:t>
      </w:r>
      <w:r>
        <w:rPr>
          <w:b w:val="0"/>
          <w:bCs w:val="0"/>
        </w:rPr>
        <w:t>n</w:t>
      </w:r>
      <w:r>
        <w:rPr>
          <w:b w:val="0"/>
          <w:bCs w:val="0"/>
        </w:rPr>
        <w:t>cias señaladas, dado que si bien d</w:t>
      </w:r>
      <w:r>
        <w:rPr>
          <w:b w:val="0"/>
          <w:bCs w:val="0"/>
        </w:rPr>
        <w:t>i</w:t>
      </w:r>
      <w:r>
        <w:rPr>
          <w:b w:val="0"/>
          <w:bCs w:val="0"/>
        </w:rPr>
        <w:t>ficulta el seguimiento de la recolección de los restos del autom</w:t>
      </w:r>
      <w:r>
        <w:rPr>
          <w:b w:val="0"/>
          <w:bCs w:val="0"/>
        </w:rPr>
        <w:t>o</w:t>
      </w:r>
      <w:r>
        <w:rPr>
          <w:b w:val="0"/>
          <w:bCs w:val="0"/>
        </w:rPr>
        <w:t>tor, no pone en duda el hallazgo de las piezas en el lugar del hecho. Ta</w:t>
      </w:r>
      <w:r>
        <w:rPr>
          <w:b w:val="0"/>
          <w:bCs w:val="0"/>
        </w:rPr>
        <w:t>m</w:t>
      </w:r>
      <w:r>
        <w:rPr>
          <w:b w:val="0"/>
          <w:bCs w:val="0"/>
        </w:rPr>
        <w:t>poco media en la causa razón alguna que lleve a pensar que las piezas fueran “plantadas”.</w:t>
      </w:r>
    </w:p>
    <w:p w:rsidR="00224567" w:rsidRDefault="00224567">
      <w:pPr>
        <w:pStyle w:val="Ttulo"/>
        <w:widowControl w:val="0"/>
        <w:tabs>
          <w:tab w:val="left" w:pos="2835"/>
        </w:tabs>
        <w:spacing w:line="600" w:lineRule="auto"/>
        <w:jc w:val="both"/>
        <w:rPr>
          <w:b w:val="0"/>
          <w:bCs w:val="0"/>
        </w:rPr>
      </w:pPr>
      <w:r>
        <w:rPr>
          <w:b w:val="0"/>
          <w:bCs w:val="0"/>
        </w:rPr>
        <w:tab/>
      </w:r>
      <w:r>
        <w:rPr>
          <w:b w:val="0"/>
          <w:bCs w:val="0"/>
        </w:rPr>
        <w:tab/>
        <w:t>No obstante ello, las razones enunci</w:t>
      </w:r>
      <w:r>
        <w:rPr>
          <w:b w:val="0"/>
          <w:bCs w:val="0"/>
        </w:rPr>
        <w:t>a</w:t>
      </w:r>
      <w:r>
        <w:rPr>
          <w:b w:val="0"/>
          <w:bCs w:val="0"/>
        </w:rPr>
        <w:t>das en el apartado que antecede, permiten sostener, en forma definitiva, que los fragmentos detallados en los r</w:t>
      </w:r>
      <w:r>
        <w:rPr>
          <w:b w:val="0"/>
          <w:bCs w:val="0"/>
        </w:rPr>
        <w:t>e</w:t>
      </w:r>
      <w:r>
        <w:rPr>
          <w:b w:val="0"/>
          <w:bCs w:val="0"/>
        </w:rPr>
        <w:t xml:space="preserve">conocimientos no son otros que los secuestrados por el personal policial que intervino en el levantamiento de evidencias en la zona del desastre y en el citado predio de </w:t>
      </w:r>
      <w:smartTag w:uri="urn:schemas-microsoft-com:office:smarttags" w:element="PersonName">
        <w:smartTagPr>
          <w:attr w:name="ProductID" w:val="la Costanera Norte."/>
        </w:smartTagPr>
        <w:r>
          <w:rPr>
            <w:b w:val="0"/>
            <w:bCs w:val="0"/>
          </w:rPr>
          <w:t>la Costanera Norte.</w:t>
        </w:r>
      </w:smartTag>
    </w:p>
    <w:p w:rsidR="00224567" w:rsidRDefault="00224567">
      <w:pPr>
        <w:widowControl w:val="0"/>
      </w:pPr>
      <w:r>
        <w:tab/>
        <w:t>Por otra parte, las propuestas ofrec</w:t>
      </w:r>
      <w:r>
        <w:t>i</w:t>
      </w:r>
      <w:r>
        <w:t>das en aras de otorgar mayor verosimilitud a los secue</w:t>
      </w:r>
      <w:r>
        <w:t>s</w:t>
      </w:r>
      <w:r>
        <w:t>tros de rastros (tales como registros video y fotográf</w:t>
      </w:r>
      <w:r>
        <w:t>i</w:t>
      </w:r>
      <w:r>
        <w:t>cos), en las circunstancias descriptas en el apa</w:t>
      </w:r>
      <w:r>
        <w:t>r</w:t>
      </w:r>
      <w:r>
        <w:t>tado B.3 del presente capítulo, se presentaban como, al menos, de difícil practica. Ello, sin perjuicio de señalar que no corresponde al tribunal dar acabada respuesta en torno a los medios más idóneos para probar un extremo sino que, por el contrario, realizar un ju</w:t>
      </w:r>
      <w:r>
        <w:t>i</w:t>
      </w:r>
      <w:r>
        <w:t>cio sobre la base de los elementos de convicción all</w:t>
      </w:r>
      <w:r>
        <w:t>e</w:t>
      </w:r>
      <w:r>
        <w:t>gados al debate.</w:t>
      </w:r>
    </w:p>
    <w:p w:rsidR="00224567" w:rsidRDefault="00224567">
      <w:pPr>
        <w:widowControl w:val="0"/>
      </w:pPr>
      <w:r>
        <w:tab/>
        <w:t>Tampoco habrán de atenderse los cue</w:t>
      </w:r>
      <w:r>
        <w:t>s</w:t>
      </w:r>
      <w:r>
        <w:t>tionamientos con base en que las piezas del automóvil fu</w:t>
      </w:r>
      <w:r>
        <w:t>e</w:t>
      </w:r>
      <w:r>
        <w:t>ron recogidas por un pequeño grupo de policías y las co</w:t>
      </w:r>
      <w:r>
        <w:t>n</w:t>
      </w:r>
      <w:r>
        <w:t>secuentes deducciones que de esa circunstancia e</w:t>
      </w:r>
      <w:r>
        <w:t>x</w:t>
      </w:r>
      <w:r>
        <w:t>trajeron las defensas.</w:t>
      </w:r>
    </w:p>
    <w:p w:rsidR="00224567" w:rsidRDefault="00224567">
      <w:pPr>
        <w:widowControl w:val="0"/>
      </w:pPr>
      <w:r>
        <w:tab/>
        <w:t>Ello por cuanto la prueba rendida en el contradictorio permitió esclarecer la forma en que se organizó tanto la remoción de escombros, el rescate de s</w:t>
      </w:r>
      <w:r>
        <w:t>o</w:t>
      </w:r>
      <w:r>
        <w:t>brevivientes, como la recolección de las evide</w:t>
      </w:r>
      <w:r>
        <w:t>n</w:t>
      </w:r>
      <w:r>
        <w:t>cias. Así, fueron muchísimos los funcionarios que so</w:t>
      </w:r>
      <w:r>
        <w:t>s</w:t>
      </w:r>
      <w:r>
        <w:t>tuvieron que se designó a un grupo, con especiales instrucciones, a cuyo cargo estuvo la búsqueda entre los escombros de elementos que pudieran pertenecer a un automóvil (ver, en ese sent</w:t>
      </w:r>
      <w:r>
        <w:t>i</w:t>
      </w:r>
      <w:r>
        <w:t>do, los dichos reseñados en el apartado A.11 del prese</w:t>
      </w:r>
      <w:r>
        <w:t>n</w:t>
      </w:r>
      <w:r>
        <w:t>te capítulo de los policías Barrera, Falzarano, V</w:t>
      </w:r>
      <w:r>
        <w:t>a</w:t>
      </w:r>
      <w:r>
        <w:t xml:space="preserve">rela Gómez, Ceballos, Zottarelli, </w:t>
      </w:r>
      <w:r>
        <w:rPr>
          <w:color w:val="000000"/>
        </w:rPr>
        <w:t xml:space="preserve">Castro, </w:t>
      </w:r>
      <w:r>
        <w:t>Nieto, Debiassi, Solano, K</w:t>
      </w:r>
      <w:r>
        <w:t>i</w:t>
      </w:r>
      <w:r>
        <w:t>rianovicz, Carlos Néstor López, Arbor, Varela, Ruiz Huid</w:t>
      </w:r>
      <w:r>
        <w:t>o</w:t>
      </w:r>
      <w:r>
        <w:t xml:space="preserve">bro, Gómez, Scalise, Juan Sabino López, </w:t>
      </w:r>
      <w:r>
        <w:rPr>
          <w:rStyle w:val="Textoennegrita"/>
          <w:b w:val="0"/>
          <w:bCs w:val="0"/>
        </w:rPr>
        <w:t xml:space="preserve">Salatino y </w:t>
      </w:r>
      <w:r>
        <w:t>Quint</w:t>
      </w:r>
      <w:r>
        <w:t>e</w:t>
      </w:r>
      <w:r>
        <w:t>ros, entre otros, como así también los de los ciudadanos Ribeiro Mendo</w:t>
      </w:r>
      <w:r>
        <w:t>n</w:t>
      </w:r>
      <w:r>
        <w:t>ca y Lacour).</w:t>
      </w:r>
    </w:p>
    <w:p w:rsidR="00224567" w:rsidRDefault="00224567">
      <w:pPr>
        <w:widowControl w:val="0"/>
        <w:rPr>
          <w:rFonts w:hint="eastAsia"/>
        </w:rPr>
      </w:pPr>
      <w:r>
        <w:tab/>
      </w:r>
      <w:r>
        <w:tab/>
        <w:t>Con relación a la cuestión debatida, fueron por demás ilustrativos los dichos del principal Á</w:t>
      </w:r>
      <w:r>
        <w:t>n</w:t>
      </w:r>
      <w:r>
        <w:t>gel Fabián Poidomani, al decir que mientras estaba en el subsuelo del edificio intentando socorrer a una persona menor de edad que corría peligro de vida “le llamó la atención que había restos de la parte de un tren delantero de un vehículo, [pero] como no es t</w:t>
      </w:r>
      <w:r>
        <w:t>a</w:t>
      </w:r>
      <w:r>
        <w:t>rea mía el tema de la parte de pericia, se procedió a remover los escombros, d</w:t>
      </w:r>
      <w:r>
        <w:t>e</w:t>
      </w:r>
      <w:r>
        <w:t>jarlos de costado y avocarnos nada mas que a la tarea de salvamento” (sic).</w:t>
      </w:r>
    </w:p>
    <w:p w:rsidR="00224567" w:rsidRDefault="00224567">
      <w:pPr>
        <w:widowControl w:val="0"/>
      </w:pPr>
      <w:r>
        <w:tab/>
        <w:t>Por lo demás, el criterio adoptado, consistente en uniformar, en una sola brigada y con claras directivas, las tareas de recolección de evidencias, deb</w:t>
      </w:r>
      <w:r>
        <w:t>i</w:t>
      </w:r>
      <w:r>
        <w:t>do a la especialización y conocimientos que la tarea r</w:t>
      </w:r>
      <w:r>
        <w:t>e</w:t>
      </w:r>
      <w:r>
        <w:t>quiere, no parece irrazon</w:t>
      </w:r>
      <w:r>
        <w:t>a</w:t>
      </w:r>
      <w:r>
        <w:t>ble.</w:t>
      </w:r>
    </w:p>
    <w:p w:rsidR="00224567" w:rsidRDefault="00224567">
      <w:pPr>
        <w:pStyle w:val="Sangradetextonormal"/>
        <w:widowControl w:val="0"/>
        <w:ind w:firstLine="0"/>
      </w:pPr>
      <w:r>
        <w:tab/>
        <w:t>Por último, no se escapa que numer</w:t>
      </w:r>
      <w:r>
        <w:t>o</w:t>
      </w:r>
      <w:r>
        <w:t>sos vecinos o transeúntes de la zona, afirmaron que vieron en el lugar piezas que podrían pertenecer a un rodado, como ser Isidro Horacio Neuah, Manuel José Olascoaga, Alejandro Gabriel Szlufman, Gabriel Alberto Villalba, Ernesto Szw</w:t>
      </w:r>
      <w:r>
        <w:t>i</w:t>
      </w:r>
      <w:r>
        <w:t>mer, Eduardo David Medina, Alberto Marcelo Chaufan, José Mario Gesualdi, María Josefa Vicente y Eduardo Eugenio Zilli. Si bien no es posible relacionar tales hallazgos con los elementos incorporados a la causa, las manifest</w:t>
      </w:r>
      <w:r>
        <w:t>a</w:t>
      </w:r>
      <w:r>
        <w:t>ciones de los nombrados son demostrativas de la inconsi</w:t>
      </w:r>
      <w:r>
        <w:t>s</w:t>
      </w:r>
      <w:r>
        <w:t>tencia del extremo señalado por las defensas, en el sent</w:t>
      </w:r>
      <w:r>
        <w:t>i</w:t>
      </w:r>
      <w:r>
        <w:t>do que las autopartes sólo “se aparecieron” frente a qui</w:t>
      </w:r>
      <w:r>
        <w:t>e</w:t>
      </w:r>
      <w:r>
        <w:t>nes las busc</w:t>
      </w:r>
      <w:r>
        <w:t>a</w:t>
      </w:r>
      <w:r>
        <w:t>ban.</w:t>
      </w:r>
    </w:p>
    <w:p w:rsidR="00224567" w:rsidRDefault="00224567">
      <w:pPr>
        <w:pStyle w:val="Sangradetextonormal"/>
        <w:widowControl w:val="0"/>
        <w:ind w:firstLine="0"/>
      </w:pPr>
      <w:r>
        <w:tab/>
        <w:t>Con igual alcance cabe merituar las referencias a objetos de interés hallados por los age</w:t>
      </w:r>
      <w:r>
        <w:t>n</w:t>
      </w:r>
      <w:r>
        <w:t xml:space="preserve">tes de </w:t>
      </w:r>
      <w:smartTag w:uri="urn:schemas-microsoft-com:office:smarttags" w:element="PersonName">
        <w:smartTagPr>
          <w:attr w:name="ProductID" w:val="la S.I"/>
        </w:smartTagPr>
        <w:r>
          <w:t>la S.I</w:t>
        </w:r>
      </w:smartTag>
      <w:r>
        <w:t>.D.E., señaladas por la defensa de Ibarra.</w:t>
      </w:r>
    </w:p>
    <w:p w:rsidR="00224567" w:rsidRDefault="00224567">
      <w:pPr>
        <w:widowControl w:val="0"/>
      </w:pPr>
      <w:r>
        <w:tab/>
        <w:t>En cuanto al cuestionamiento con base en que se omitió dar cuenta acerca de los elementos que fueron desechados, cabe mencionar que el personal pol</w:t>
      </w:r>
      <w:r>
        <w:t>i</w:t>
      </w:r>
      <w:r>
        <w:t>cial, en la tarea de búsqueda de pruebas asignada por el instructor, conforme lo autor</w:t>
      </w:r>
      <w:r>
        <w:t>i</w:t>
      </w:r>
      <w:r>
        <w:t>zan los arts. 184, inc. 5º, y 231 del C.P.P.N., conserva facultades para discernir s</w:t>
      </w:r>
      <w:r>
        <w:t>o</w:t>
      </w:r>
      <w:r>
        <w:t>bre los elementos que serán de interés para su incautación y, consecuentemente, descartar todos aquellos que apare</w:t>
      </w:r>
      <w:r>
        <w:t>z</w:t>
      </w:r>
      <w:r>
        <w:t>can como improcedentes.</w:t>
      </w:r>
    </w:p>
    <w:p w:rsidR="00224567" w:rsidRDefault="00224567">
      <w:pPr>
        <w:widowControl w:val="0"/>
      </w:pPr>
      <w:r>
        <w:tab/>
        <w:t>En ese orden de ideas, este tribunal ha sostenido que “</w:t>
      </w:r>
      <w:r>
        <w:rPr>
          <w:lang w:val="es-ES_tradnl"/>
        </w:rPr>
        <w:t>la actuación de funcionarios polici</w:t>
      </w:r>
      <w:r>
        <w:rPr>
          <w:lang w:val="es-ES_tradnl"/>
        </w:rPr>
        <w:t>a</w:t>
      </w:r>
      <w:r>
        <w:rPr>
          <w:lang w:val="es-ES_tradnl"/>
        </w:rPr>
        <w:t>les en calidad de auxiliares del magistrado, sujetos a los criterios directrices de éste último, en modo alguno i</w:t>
      </w:r>
      <w:r>
        <w:rPr>
          <w:lang w:val="es-ES_tradnl"/>
        </w:rPr>
        <w:t>m</w:t>
      </w:r>
      <w:r>
        <w:rPr>
          <w:lang w:val="es-ES_tradnl"/>
        </w:rPr>
        <w:t>porta una delegación de los crite</w:t>
      </w:r>
      <w:r>
        <w:rPr>
          <w:lang w:val="es-ES_tradnl"/>
        </w:rPr>
        <w:softHyphen/>
        <w:t>rios valorativos, como así tampoco lo es la autorización brindada a fu</w:t>
      </w:r>
      <w:r>
        <w:rPr>
          <w:lang w:val="es-ES_tradnl"/>
        </w:rPr>
        <w:t>n</w:t>
      </w:r>
      <w:r>
        <w:rPr>
          <w:lang w:val="es-ES_tradnl"/>
        </w:rPr>
        <w:t xml:space="preserve">cionarios policiales con motivo de la medida que establece el art. 224 y </w:t>
      </w:r>
      <w:smartTag w:uri="urn:schemas-microsoft-com:office:smarttags" w:element="metricconverter">
        <w:smartTagPr>
          <w:attr w:name="ProductID" w:val="225 a"/>
        </w:smartTagPr>
        <w:r>
          <w:rPr>
            <w:lang w:val="es-ES_tradnl"/>
          </w:rPr>
          <w:t>225 a</w:t>
        </w:r>
      </w:smartTag>
      <w:r>
        <w:rPr>
          <w:lang w:val="es-ES_tradnl"/>
        </w:rPr>
        <w:t xml:space="preserve"> fin de incautar documentación o elementos r</w:t>
      </w:r>
      <w:r>
        <w:rPr>
          <w:lang w:val="es-ES_tradnl"/>
        </w:rPr>
        <w:t>e</w:t>
      </w:r>
      <w:r>
        <w:rPr>
          <w:lang w:val="es-ES_tradnl"/>
        </w:rPr>
        <w:t>lacionados con un determinado ilícito” (</w:t>
      </w:r>
      <w:r>
        <w:rPr>
          <w:u w:val="single"/>
          <w:lang w:val="es-ES_tradnl"/>
        </w:rPr>
        <w:t>in re</w:t>
      </w:r>
      <w:r>
        <w:t xml:space="preserve"> “Orellana Cantillana y otros”, rta. el 9 de se</w:t>
      </w:r>
      <w:r>
        <w:t>p</w:t>
      </w:r>
      <w:r>
        <w:t>tiembre de 1997).</w:t>
      </w:r>
    </w:p>
    <w:p w:rsidR="00224567" w:rsidRDefault="00224567">
      <w:pPr>
        <w:widowControl w:val="0"/>
      </w:pPr>
      <w:r>
        <w:tab/>
      </w:r>
      <w:r>
        <w:tab/>
        <w:t>Por todo ello, corresponde desechar los cuestionamiento que, al respecto, formularon las d</w:t>
      </w:r>
      <w:r>
        <w:t>e</w:t>
      </w:r>
      <w:r>
        <w:t>fensas.</w:t>
      </w:r>
    </w:p>
    <w:p w:rsidR="00224567" w:rsidRDefault="00224567">
      <w:pPr>
        <w:widowControl w:val="0"/>
      </w:pPr>
      <w:r>
        <w:tab/>
      </w:r>
      <w:r>
        <w:rPr>
          <w:b/>
          <w:bCs/>
        </w:rPr>
        <w:tab/>
        <w:t>A.15)</w:t>
      </w:r>
      <w:r>
        <w:t xml:space="preserve"> En el cuerpo de dos de las ví</w:t>
      </w:r>
      <w:r>
        <w:t>c</w:t>
      </w:r>
      <w:r>
        <w:t>timas fatales se encontraron incrustadas piezas de un a</w:t>
      </w:r>
      <w:r>
        <w:t>u</w:t>
      </w:r>
      <w:r>
        <w:t>tomotor.</w:t>
      </w:r>
    </w:p>
    <w:p w:rsidR="00224567" w:rsidRDefault="00224567">
      <w:pPr>
        <w:widowControl w:val="0"/>
      </w:pPr>
      <w:r>
        <w:tab/>
      </w:r>
      <w:r>
        <w:tab/>
        <w:t>Así, en el de Ramón Nolberto Díaz se halló, a la altura de su cuello, un amortiguador trasero que presentaba el nº 770209384, ide</w:t>
      </w:r>
      <w:r>
        <w:t>n</w:t>
      </w:r>
      <w:r>
        <w:t>tificado con el nº 26, en tanto que en el de Gregorio Melman se secuestró un ac</w:t>
      </w:r>
      <w:r>
        <w:t>o</w:t>
      </w:r>
      <w:r>
        <w:t>ple de la parte inf</w:t>
      </w:r>
      <w:r>
        <w:t>e</w:t>
      </w:r>
      <w:r>
        <w:t>rior de la columna de dirección con su caja, regi</w:t>
      </w:r>
      <w:r>
        <w:t>s</w:t>
      </w:r>
      <w:r>
        <w:t>trada con el nº 27.</w:t>
      </w:r>
    </w:p>
    <w:p w:rsidR="00224567" w:rsidRDefault="00224567">
      <w:pPr>
        <w:widowControl w:val="0"/>
      </w:pPr>
      <w:r>
        <w:tab/>
      </w:r>
      <w:r>
        <w:tab/>
        <w:t>Prueba de ello resultan el acta de fs. 183 del Informe Preliminar; las fotogr</w:t>
      </w:r>
      <w:r>
        <w:t>a</w:t>
      </w:r>
      <w:r>
        <w:t>fías de fs. 79vta. y 80 del mismo informe; las autopsias de fs. 61/68 del anexo Autopsias I y fs. 4868/4869 del legajo de instru</w:t>
      </w:r>
      <w:r>
        <w:t>c</w:t>
      </w:r>
      <w:r>
        <w:t>ción suplementaria; las radiografías identificadas como “autopsia 1629, nº 1134, 18-07-94, N.N. masculino” y “a</w:t>
      </w:r>
      <w:r>
        <w:t>u</w:t>
      </w:r>
      <w:r>
        <w:t>topsia 1629, nº 1131, 18-07-94, N.N. masculino”, ambas r</w:t>
      </w:r>
      <w:r>
        <w:t>e</w:t>
      </w:r>
      <w:r>
        <w:t>servadas en secretaría; el informe del Servicio de Radi</w:t>
      </w:r>
      <w:r>
        <w:t>o</w:t>
      </w:r>
      <w:r>
        <w:t>logía del Cuerpo Médico Forense de fs. 403 del anexo de Autopsias I; el informe médico legista de fs. 1085/1086; las fotografías de fs. 1167/1168 y las declaraciones te</w:t>
      </w:r>
      <w:r>
        <w:t>s</w:t>
      </w:r>
      <w:r>
        <w:t>timoniales de Carlos Alberto Navari, Eduardo Rubén Migli</w:t>
      </w:r>
      <w:r>
        <w:t>ó</w:t>
      </w:r>
      <w:r>
        <w:t>nico, Alfredo Horacio Sapag, Julián Gabriel Veiga, Juan Falzarano, Eduardo Fernández, Daniel Villagra y Miguel Á</w:t>
      </w:r>
      <w:r>
        <w:t>n</w:t>
      </w:r>
      <w:r>
        <w:t>gel Castro.</w:t>
      </w:r>
    </w:p>
    <w:p w:rsidR="00224567" w:rsidRDefault="00224567">
      <w:pPr>
        <w:widowControl w:val="0"/>
      </w:pPr>
      <w:r>
        <w:tab/>
      </w:r>
      <w:r>
        <w:tab/>
        <w:t>Los médicos legistas Migliónico y S</w:t>
      </w:r>
      <w:r>
        <w:t>a</w:t>
      </w:r>
      <w:r>
        <w:t>pag, que suscribieron el informe de fs. 1085/1086,</w:t>
      </w:r>
      <w:r>
        <w:rPr>
          <w:b/>
          <w:bCs/>
        </w:rPr>
        <w:t xml:space="preserve"> </w:t>
      </w:r>
      <w:r>
        <w:t xml:space="preserve">en el que dieron cuenta que el día del atentado, a las 22.00, reconocieron en </w:t>
      </w:r>
      <w:smartTag w:uri="urn:schemas-microsoft-com:office:smarttags" w:element="PersonName">
        <w:smartTagPr>
          <w:attr w:name="ProductID" w:val="la Morgue Judicial"/>
        </w:smartTagPr>
        <w:r>
          <w:t>la Morgue Judicial</w:t>
        </w:r>
      </w:smartTag>
      <w:r>
        <w:t xml:space="preserve"> el cadáver de una pe</w:t>
      </w:r>
      <w:r>
        <w:t>r</w:t>
      </w:r>
      <w:r>
        <w:t xml:space="preserve">sona de sexo masculino, de unos </w:t>
      </w:r>
      <w:smartTag w:uri="urn:schemas-microsoft-com:office:smarttags" w:element="metricconverter">
        <w:smartTagPr>
          <w:attr w:name="ProductID" w:val="60 a"/>
        </w:smartTagPr>
        <w:r>
          <w:t>60 a</w:t>
        </w:r>
      </w:smartTag>
      <w:r>
        <w:t xml:space="preserve"> 65 años, ide</w:t>
      </w:r>
      <w:r>
        <w:t>n</w:t>
      </w:r>
      <w:r>
        <w:t>tificado con el nº 1629, que presentaba múltiples her</w:t>
      </w:r>
      <w:r>
        <w:t>i</w:t>
      </w:r>
      <w:r>
        <w:t>das contusas en todas las regiones topográficas y traumatismo abierto de cuello, producido por la penetración de un elemento m</w:t>
      </w:r>
      <w:r>
        <w:t>e</w:t>
      </w:r>
      <w:r>
        <w:t>tálico similar a un amortiguador de automóvil, que i</w:t>
      </w:r>
      <w:r>
        <w:t>n</w:t>
      </w:r>
      <w:r>
        <w:t>gresó por la región lateral izquierda del tórax. En esa oport</w:t>
      </w:r>
      <w:r>
        <w:t>u</w:t>
      </w:r>
      <w:r>
        <w:t>nidad, también reconocieron restos humanos, ident</w:t>
      </w:r>
      <w:r>
        <w:t>i</w:t>
      </w:r>
      <w:r>
        <w:t>ficados con el nº 1617, que luego se estableció que pert</w:t>
      </w:r>
      <w:r>
        <w:t>e</w:t>
      </w:r>
      <w:r>
        <w:t>necían al nombrado Melman.</w:t>
      </w:r>
    </w:p>
    <w:p w:rsidR="00224567" w:rsidRDefault="00224567">
      <w:pPr>
        <w:widowControl w:val="0"/>
      </w:pPr>
      <w:r>
        <w:tab/>
      </w:r>
      <w:r>
        <w:tab/>
        <w:t>Por su parte, el Dr. Carlos Alberto Navari, profesional del Cuerpo Médico Forense que confe</w:t>
      </w:r>
      <w:r>
        <w:t>c</w:t>
      </w:r>
      <w:r>
        <w:t>cionó el examen necroscópico nº 1629, señaló que de los reconocimientos médicos que realizó el 18 de j</w:t>
      </w:r>
      <w:r>
        <w:t>u</w:t>
      </w:r>
      <w:r>
        <w:t>lio de</w:t>
      </w:r>
      <w:r>
        <w:rPr>
          <w:b/>
          <w:bCs/>
        </w:rPr>
        <w:t xml:space="preserve"> </w:t>
      </w:r>
      <w:r>
        <w:t>1994</w:t>
      </w:r>
      <w:r>
        <w:rPr>
          <w:b/>
          <w:bCs/>
        </w:rPr>
        <w:t xml:space="preserve"> </w:t>
      </w:r>
      <w:r>
        <w:t>le llamó la atención el cadáver correspondiente al nombr</w:t>
      </w:r>
      <w:r>
        <w:t>a</w:t>
      </w:r>
      <w:r>
        <w:t>do Díaz, puesto que tenía incrustado en dirección de i</w:t>
      </w:r>
      <w:r>
        <w:t>z</w:t>
      </w:r>
      <w:r>
        <w:t>quierda a derecha y de abajo hacia arriba un elemento m</w:t>
      </w:r>
      <w:r>
        <w:t>e</w:t>
      </w:r>
      <w:r>
        <w:t>tálico de singular tamaño que, por sus características, parecía ser un amortiguador de un vehículo (en igual se</w:t>
      </w:r>
      <w:r>
        <w:t>n</w:t>
      </w:r>
      <w:r>
        <w:t>tido, ver la correspondiente autopsia). Agregó que el pr</w:t>
      </w:r>
      <w:r>
        <w:t>o</w:t>
      </w:r>
      <w:r>
        <w:t>yectil ingresó en el cuerpo de la víctima por la cara l</w:t>
      </w:r>
      <w:r>
        <w:t>a</w:t>
      </w:r>
      <w:r>
        <w:t>teral izquierda del tórax, en forma ascendente y hacia atrás, sobresaliendo uno de sus extremos por la parte l</w:t>
      </w:r>
      <w:r>
        <w:t>a</w:t>
      </w:r>
      <w:r>
        <w:t>teral derecha del cuello.</w:t>
      </w:r>
    </w:p>
    <w:p w:rsidR="00224567" w:rsidRDefault="00224567">
      <w:pPr>
        <w:widowControl w:val="0"/>
      </w:pPr>
      <w:r>
        <w:tab/>
      </w:r>
      <w:r>
        <w:tab/>
        <w:t>De esta manera, logró inferir que Díaz ofrecía su lateral izquierdo a la expl</w:t>
      </w:r>
      <w:r>
        <w:t>o</w:t>
      </w:r>
      <w:r>
        <w:t>sión, al momento de recibir el impacto del amort</w:t>
      </w:r>
      <w:r>
        <w:t>i</w:t>
      </w:r>
      <w:r>
        <w:t>guador y que éste provenía de un plano ubicado por debajo de la ví</w:t>
      </w:r>
      <w:r>
        <w:t>c</w:t>
      </w:r>
      <w:r>
        <w:t>tima.</w:t>
      </w:r>
    </w:p>
    <w:p w:rsidR="00224567" w:rsidRDefault="00224567">
      <w:pPr>
        <w:widowControl w:val="0"/>
      </w:pPr>
      <w:r>
        <w:tab/>
      </w:r>
      <w:r>
        <w:tab/>
        <w:t>Asimismo, Navari descartó la posibil</w:t>
      </w:r>
      <w:r>
        <w:t>i</w:t>
      </w:r>
      <w:r>
        <w:t>dad de que el amortiguador hubiese sido incrustado en el cuerpo en forma manual o mediante otro mec</w:t>
      </w:r>
      <w:r>
        <w:t>a</w:t>
      </w:r>
      <w:r>
        <w:t>nismo, toda vez que para ello se requiere una fuerza similar a la que pr</w:t>
      </w:r>
      <w:r>
        <w:t>o</w:t>
      </w:r>
      <w:r>
        <w:t>duce una explosión de esa magnitud.</w:t>
      </w:r>
    </w:p>
    <w:p w:rsidR="00224567" w:rsidRDefault="00224567">
      <w:pPr>
        <w:widowControl w:val="0"/>
      </w:pPr>
      <w:r>
        <w:tab/>
      </w:r>
      <w:r>
        <w:tab/>
        <w:t>Al serle exhibido el amortiguador en cuestión, lo reconoció como aquel que extrajo del cuerpo de Díaz, idéntico al que ilustran las placas r</w:t>
      </w:r>
      <w:r>
        <w:t>a</w:t>
      </w:r>
      <w:r>
        <w:t>diográficas que oportunamente se obtuvieron del cadáver; de igual m</w:t>
      </w:r>
      <w:r>
        <w:t>o</w:t>
      </w:r>
      <w:r>
        <w:t>do, el informe del Servicio de Radiología señaló la pr</w:t>
      </w:r>
      <w:r>
        <w:t>e</w:t>
      </w:r>
      <w:r>
        <w:t>sencia de un cuerpo extraño de densidad metálica, con r</w:t>
      </w:r>
      <w:r>
        <w:t>e</w:t>
      </w:r>
      <w:r>
        <w:t>sorte en su interior, que se proyecta en la región cerv</w:t>
      </w:r>
      <w:r>
        <w:t>i</w:t>
      </w:r>
      <w:r>
        <w:t>cal.</w:t>
      </w:r>
    </w:p>
    <w:p w:rsidR="00224567" w:rsidRDefault="00224567">
      <w:pPr>
        <w:widowControl w:val="0"/>
      </w:pPr>
      <w:r>
        <w:tab/>
      </w:r>
      <w:r>
        <w:tab/>
        <w:t>Asimismo, los Dres. Osvaldo Héctor Curci y Fernando Claudio Trezza, también integrantes del Cuerpo Médico Forense, recordaron haber visto el amort</w:t>
      </w:r>
      <w:r>
        <w:t>i</w:t>
      </w:r>
      <w:r>
        <w:t>guador incrustado en el cuerpo de una de las víctimas cuando uno de sus colegas lo estaba revisando.</w:t>
      </w:r>
    </w:p>
    <w:p w:rsidR="00224567" w:rsidRDefault="00224567">
      <w:pPr>
        <w:widowControl w:val="0"/>
      </w:pPr>
      <w:r>
        <w:tab/>
      </w:r>
      <w:r>
        <w:tab/>
        <w:t>En consonancia con lo expue</w:t>
      </w:r>
      <w:r>
        <w:t>s</w:t>
      </w:r>
      <w:r>
        <w:t>to, deben ponderarse los dichos de Hilda Ester Delescabe de Díaz, esposa de Ramón Nolberto Díaz, quien indicó que su marido se desempeñaba como e</w:t>
      </w:r>
      <w:r>
        <w:t>n</w:t>
      </w:r>
      <w:r>
        <w:t>cargado del edificio sito en Pasteur 632 y que al regresar a su domicilio, instantes después de la explosión, su hijo le indicó que aquél había bajado h</w:t>
      </w:r>
      <w:r>
        <w:t>a</w:t>
      </w:r>
      <w:r>
        <w:t>cía poco tiempo. Agregó que después de una intensa búsqu</w:t>
      </w:r>
      <w:r>
        <w:t>e</w:t>
      </w:r>
      <w:r>
        <w:t xml:space="preserve">da, que duró todo el 18 de julio, reconoció en </w:t>
      </w:r>
      <w:smartTag w:uri="urn:schemas-microsoft-com:office:smarttags" w:element="PersonName">
        <w:smartTagPr>
          <w:attr w:name="ProductID" w:val="la Morgue Judicial"/>
        </w:smartTagPr>
        <w:r>
          <w:t>la Morgue Judicial</w:t>
        </w:r>
      </w:smartTag>
      <w:r>
        <w:t>, en la madrugada del día siguiente, el cuerpo de su marido, identificado con el nº 1629, el que fue inhum</w:t>
      </w:r>
      <w:r>
        <w:t>a</w:t>
      </w:r>
      <w:r>
        <w:t xml:space="preserve">do el 22 de julio (ver certificado expedido por </w:t>
      </w:r>
      <w:smartTag w:uri="urn:schemas-microsoft-com:office:smarttags" w:element="PersonName">
        <w:smartTagPr>
          <w:attr w:name="ProductID" w:val="la Municipalidad"/>
        </w:smartTagPr>
        <w:r>
          <w:t>la Munic</w:t>
        </w:r>
        <w:r>
          <w:t>i</w:t>
        </w:r>
        <w:r>
          <w:t>palidad</w:t>
        </w:r>
      </w:smartTag>
      <w:r>
        <w:t xml:space="preserve"> de Guatimozin, Provincia de Córdoba, agregado a fs. 707 del anexo V y constancia de fs. 98 del anexo I, ambos relacionados con el reconocimiento de víctimas fat</w:t>
      </w:r>
      <w:r>
        <w:t>a</w:t>
      </w:r>
      <w:r>
        <w:t>les).</w:t>
      </w:r>
    </w:p>
    <w:p w:rsidR="00224567" w:rsidRDefault="00224567">
      <w:pPr>
        <w:widowControl w:val="0"/>
        <w:rPr>
          <w:bCs/>
        </w:rPr>
      </w:pPr>
      <w:r>
        <w:tab/>
      </w:r>
      <w:r>
        <w:tab/>
        <w:t>A ello se agrega el testim</w:t>
      </w:r>
      <w:r>
        <w:t>o</w:t>
      </w:r>
      <w:r>
        <w:t>nio de Juan Carlos Álvarez, barrendero de la calle Pasteur desde hacía más de ocho años, quien señaló que antes de cruzar dicha arteria para dirigirse al volquete que se encontraba dep</w:t>
      </w:r>
      <w:r>
        <w:t>o</w:t>
      </w:r>
      <w:r>
        <w:t>sitado frente a la mutual, conversó durante algunos min</w:t>
      </w:r>
      <w:r>
        <w:t>u</w:t>
      </w:r>
      <w:r>
        <w:t>tos, en la vereda de Pasteur 632, con el encargado del edificio, el que entre otras cosas le comentó que eran las 9.55.</w:t>
      </w:r>
    </w:p>
    <w:p w:rsidR="00224567" w:rsidRDefault="00224567">
      <w:pPr>
        <w:pStyle w:val="Sangra3detindependiente"/>
        <w:widowControl w:val="0"/>
        <w:spacing w:line="600" w:lineRule="auto"/>
        <w:ind w:firstLine="0"/>
      </w:pPr>
      <w:r>
        <w:tab/>
        <w:t>En tales condiciones surge, sin re</w:t>
      </w:r>
      <w:r>
        <w:t>s</w:t>
      </w:r>
      <w:r>
        <w:t>quicio de duda, que al momento de la explosión el no</w:t>
      </w:r>
      <w:r>
        <w:t>m</w:t>
      </w:r>
      <w:r>
        <w:t>brado Díaz se encontraba en la vereda opuesta a la m</w:t>
      </w:r>
      <w:r>
        <w:t>u</w:t>
      </w:r>
      <w:r>
        <w:t>tual, a la misma altura de ella.</w:t>
      </w:r>
    </w:p>
    <w:p w:rsidR="00224567" w:rsidRDefault="00224567">
      <w:pPr>
        <w:pStyle w:val="Sangra3detindependiente"/>
        <w:widowControl w:val="0"/>
        <w:spacing w:line="600" w:lineRule="auto"/>
        <w:ind w:firstLine="0"/>
      </w:pPr>
      <w:r>
        <w:tab/>
      </w:r>
      <w:r>
        <w:tab/>
        <w:t>Finalmente, caben añadirse los dichos del suboficial Julián Gabriel Veiga y del pri</w:t>
      </w:r>
      <w:r>
        <w:t>n</w:t>
      </w:r>
      <w:r>
        <w:t>cipal Miguel Ángel Castro; el primero indicó haber estado afectado, d</w:t>
      </w:r>
      <w:r>
        <w:t>u</w:t>
      </w:r>
      <w:r>
        <w:t>rante ocho días consecut</w:t>
      </w:r>
      <w:r>
        <w:t>i</w:t>
      </w:r>
      <w:r>
        <w:t xml:space="preserve">vos, a la custodia de los cuerpos que ingresaban a </w:t>
      </w:r>
      <w:smartTag w:uri="urn:schemas-microsoft-com:office:smarttags" w:element="PersonName">
        <w:smartTagPr>
          <w:attr w:name="ProductID" w:val="la Morgue Judicial"/>
        </w:smartTagPr>
        <w:r>
          <w:t>la Morgue J</w:t>
        </w:r>
        <w:r>
          <w:t>u</w:t>
        </w:r>
        <w:r>
          <w:t>dicial</w:t>
        </w:r>
      </w:smartTag>
      <w:r>
        <w:t>, señalando que el día del atentado, alrededor de las 18.00, observó el ingreso de un cadáver que horas antes -al igual que otros tres- había e</w:t>
      </w:r>
      <w:r>
        <w:t>s</w:t>
      </w:r>
      <w:r>
        <w:t xml:space="preserve">tado depositado en el patio de la comisaría 5ª de </w:t>
      </w:r>
      <w:smartTag w:uri="urn:schemas-microsoft-com:office:smarttags" w:element="PersonName">
        <w:smartTagPr>
          <w:attr w:name="ProductID" w:val="la Polic￭a Federal"/>
        </w:smartTagPr>
        <w:r>
          <w:t>la Policía Federal</w:t>
        </w:r>
      </w:smartTag>
      <w:r>
        <w:t xml:space="preserve"> Argentina, del que se extrajo el amo</w:t>
      </w:r>
      <w:r>
        <w:t>r</w:t>
      </w:r>
      <w:r>
        <w:t>tiguador de un automóvil (ver, en igual sentido, consta</w:t>
      </w:r>
      <w:r>
        <w:t>n</w:t>
      </w:r>
      <w:r>
        <w:t>cia de fs. 98 del citado anexo I, que da cuenta de su i</w:t>
      </w:r>
      <w:r>
        <w:t>n</w:t>
      </w:r>
      <w:r>
        <w:t>greso a la morgue, a las 17).</w:t>
      </w:r>
    </w:p>
    <w:p w:rsidR="00224567" w:rsidRDefault="00224567">
      <w:pPr>
        <w:pStyle w:val="Sangra3detindependiente"/>
        <w:widowControl w:val="0"/>
        <w:spacing w:line="600" w:lineRule="auto"/>
        <w:ind w:firstLine="0"/>
        <w:rPr>
          <w:bCs/>
        </w:rPr>
      </w:pPr>
      <w:r>
        <w:tab/>
      </w:r>
      <w:r>
        <w:tab/>
        <w:t>Castro, por su parte, señaló que los cuerpos que en un primer momento se llevaron a la comis</w:t>
      </w:r>
      <w:r>
        <w:t>a</w:t>
      </w:r>
      <w:r>
        <w:t xml:space="preserve">ría 5ª fueron posteriormente remitidos a </w:t>
      </w:r>
      <w:smartTag w:uri="urn:schemas-microsoft-com:office:smarttags" w:element="PersonName">
        <w:smartTagPr>
          <w:attr w:name="ProductID" w:val="la Morgue Judicial"/>
        </w:smartTagPr>
        <w:r>
          <w:t>la Morgue Jud</w:t>
        </w:r>
        <w:r>
          <w:t>i</w:t>
        </w:r>
        <w:r>
          <w:t>cial</w:t>
        </w:r>
      </w:smartTag>
      <w:r>
        <w:t>, por falta de espacio y por así haberlo ordenado ve</w:t>
      </w:r>
      <w:r>
        <w:t>r</w:t>
      </w:r>
      <w:r>
        <w:t>balmente el juez instructor</w:t>
      </w:r>
      <w:r>
        <w:rPr>
          <w:bCs/>
        </w:rPr>
        <w:t>.</w:t>
      </w:r>
    </w:p>
    <w:p w:rsidR="00224567" w:rsidRDefault="00224567">
      <w:pPr>
        <w:pStyle w:val="Sangra3detindependiente"/>
        <w:widowControl w:val="0"/>
        <w:spacing w:line="600" w:lineRule="auto"/>
        <w:ind w:firstLine="0"/>
      </w:pPr>
      <w:r>
        <w:rPr>
          <w:bCs/>
        </w:rPr>
        <w:tab/>
      </w:r>
      <w:r>
        <w:tab/>
        <w:t>Con relación a la pieza extraída del cuerpo de Gregorio Melman, identificada con el nº 27, nu</w:t>
      </w:r>
      <w:r>
        <w:t>e</w:t>
      </w:r>
      <w:r>
        <w:t>vamente habrá de citarse el test</w:t>
      </w:r>
      <w:r>
        <w:t>i</w:t>
      </w:r>
      <w:r>
        <w:t>monio del Dr. Navari, en cuanto ratificó su informe obrante a fs. 4868/4869 del l</w:t>
      </w:r>
      <w:r>
        <w:t>e</w:t>
      </w:r>
      <w:r>
        <w:t>gajo de instrucción suplementaria (autopsia nº 1617), en el que dio cuenta que luego de examinar restos humanos  correspondie</w:t>
      </w:r>
      <w:r>
        <w:t>n</w:t>
      </w:r>
      <w:r>
        <w:t>tes a un cadáver de sexo masculino, reservó  -entre otras cosas- distintos fragmentos metálicos para realizar los correspondientes estudios. A la postre se d</w:t>
      </w:r>
      <w:r>
        <w:t>e</w:t>
      </w:r>
      <w:r>
        <w:t>terminó que aquellos restos humanos pe</w:t>
      </w:r>
      <w:r>
        <w:t>r</w:t>
      </w:r>
      <w:r>
        <w:t>tenecían a Gregorio Melman, según informes de fs. 418/420 del anexo I, como también que en ellos encontró incrustado el acople en cuestión (ver rótulo identificatorio de la pieza nº 27).</w:t>
      </w:r>
    </w:p>
    <w:p w:rsidR="00224567" w:rsidRDefault="00224567">
      <w:pPr>
        <w:pStyle w:val="Sangra3detindependiente"/>
        <w:widowControl w:val="0"/>
        <w:spacing w:line="600" w:lineRule="auto"/>
        <w:ind w:firstLine="0"/>
      </w:pPr>
      <w:r>
        <w:tab/>
      </w:r>
      <w:r>
        <w:tab/>
        <w:t>El nombrado Melman integraba el pla</w:t>
      </w:r>
      <w:r>
        <w:t>n</w:t>
      </w:r>
      <w:r>
        <w:t>tel de seguridad de la mutual y, al momento de la expl</w:t>
      </w:r>
      <w:r>
        <w:t>o</w:t>
      </w:r>
      <w:r>
        <w:t>sión, se encontraba próximo a la entrada del edificio, conforme relataron en el debate Raquel Fain</w:t>
      </w:r>
      <w:r>
        <w:t>s</w:t>
      </w:r>
      <w:r>
        <w:t>tein, Natalio David Sluzky, Ana María Blugerman de Cz</w:t>
      </w:r>
      <w:r>
        <w:t>y</w:t>
      </w:r>
      <w:r>
        <w:t xml:space="preserve">zewski, Irene Rosa Perelman y Luisa Miednik </w:t>
      </w:r>
      <w:r>
        <w:rPr>
          <w:bCs/>
        </w:rPr>
        <w:t>(ver, en igual sentido, informe de fs. 21.363/21.365)</w:t>
      </w:r>
      <w:r>
        <w:t>.</w:t>
      </w:r>
    </w:p>
    <w:p w:rsidR="00224567" w:rsidRDefault="00224567">
      <w:pPr>
        <w:pStyle w:val="Sangra3detindependiente"/>
        <w:widowControl w:val="0"/>
        <w:spacing w:line="600" w:lineRule="auto"/>
        <w:ind w:firstLine="0"/>
      </w:pPr>
      <w:r>
        <w:tab/>
      </w:r>
      <w:r>
        <w:tab/>
        <w:t>A ello se agrega la mentada acta de fs. 183 del Informe Preliminar, la que documenta que “re</w:t>
      </w:r>
      <w:r>
        <w:t>s</w:t>
      </w:r>
      <w:r>
        <w:t>tos met</w:t>
      </w:r>
      <w:r>
        <w:t>á</w:t>
      </w:r>
      <w:r>
        <w:t>licos extraídos del interior de víctimas fatales e isopados cutáneos, fragmentos de piel y pelos correspo</w:t>
      </w:r>
      <w:r>
        <w:t>n</w:t>
      </w:r>
      <w:r>
        <w:t xml:space="preserve">dientes a las autopsias Nº 1621, 1622, 1616, 1629 y </w:t>
      </w:r>
      <w:smartTag w:uri="urn:schemas-microsoft-com:office:smarttags" w:element="metricconverter">
        <w:smartTagPr>
          <w:attr w:name="ProductID" w:val="1617”"/>
        </w:smartTagPr>
        <w:r>
          <w:t>1617”</w:t>
        </w:r>
      </w:smartTag>
      <w:r>
        <w:t>(éstas dos últimas corresponden a los cue</w:t>
      </w:r>
      <w:r>
        <w:t>r</w:t>
      </w:r>
      <w:r>
        <w:t xml:space="preserve">pos de Díaz y Melman), fueron retirados de </w:t>
      </w:r>
      <w:smartTag w:uri="urn:schemas-microsoft-com:office:smarttags" w:element="PersonName">
        <w:smartTagPr>
          <w:attr w:name="ProductID" w:val="la Morgue Judicial"/>
        </w:smartTagPr>
        <w:r>
          <w:t>la Morgue Judicial</w:t>
        </w:r>
      </w:smartTag>
      <w:r>
        <w:t>, a pr</w:t>
      </w:r>
      <w:r>
        <w:t>i</w:t>
      </w:r>
      <w:r>
        <w:t>mera hora del 19 de julio, por el of</w:t>
      </w:r>
      <w:r>
        <w:t>i</w:t>
      </w:r>
      <w:r>
        <w:t>cial de bomberos Juan Dante Falzarano, en presencia de los empleado de la morgue Villagra y Fernández y del oficial Castro.</w:t>
      </w:r>
    </w:p>
    <w:p w:rsidR="00224567" w:rsidRDefault="00224567">
      <w:pPr>
        <w:pStyle w:val="Sangra3detindependiente"/>
        <w:widowControl w:val="0"/>
        <w:spacing w:line="600" w:lineRule="auto"/>
        <w:ind w:firstLine="0"/>
      </w:pPr>
      <w:r>
        <w:tab/>
      </w:r>
      <w:r>
        <w:tab/>
        <w:t>Si bien al prestar declaración test</w:t>
      </w:r>
      <w:r>
        <w:t>i</w:t>
      </w:r>
      <w:r>
        <w:t>monial ni Villagra ni Castro recordaron dicha d</w:t>
      </w:r>
      <w:r>
        <w:t>i</w:t>
      </w:r>
      <w:r>
        <w:t xml:space="preserve">ligencia, memoraron, en cambio, haberse desempeñado en </w:t>
      </w:r>
      <w:smartTag w:uri="urn:schemas-microsoft-com:office:smarttags" w:element="PersonName">
        <w:smartTagPr>
          <w:attr w:name="ProductID" w:val="la Morgue Judicial"/>
        </w:smartTagPr>
        <w:r>
          <w:t>la Morgue J</w:t>
        </w:r>
        <w:r>
          <w:t>u</w:t>
        </w:r>
        <w:r>
          <w:t>dicial</w:t>
        </w:r>
      </w:smartTag>
      <w:r>
        <w:t xml:space="preserve"> en la madrugada del 19 de julio, reconociendo sus firmas en el instrumento que la documentó. Además, el pr</w:t>
      </w:r>
      <w:r>
        <w:t>i</w:t>
      </w:r>
      <w:r>
        <w:t>mero adujo que ese día la tarea administrativa fue supe</w:t>
      </w:r>
      <w:r>
        <w:t>r</w:t>
      </w:r>
      <w:r>
        <w:t>lativa; motivo que explica, de alguna manera, su imposib</w:t>
      </w:r>
      <w:r>
        <w:t>i</w:t>
      </w:r>
      <w:r>
        <w:t>lidad de precisar tal acto.</w:t>
      </w:r>
    </w:p>
    <w:p w:rsidR="00224567" w:rsidRDefault="00224567">
      <w:pPr>
        <w:pStyle w:val="Sangra3detindependiente"/>
        <w:widowControl w:val="0"/>
        <w:spacing w:line="600" w:lineRule="auto"/>
        <w:ind w:firstLine="0"/>
      </w:pPr>
      <w:r>
        <w:tab/>
      </w:r>
      <w:r>
        <w:tab/>
        <w:t>Fernández, en cambio, si bien no pudo precisar qué elementos fueron retirados de la morgue, afirmó haber participado en dicho secue</w:t>
      </w:r>
      <w:r>
        <w:t>s</w:t>
      </w:r>
      <w:r>
        <w:t>tro.</w:t>
      </w:r>
    </w:p>
    <w:p w:rsidR="00224567" w:rsidRDefault="00224567">
      <w:pPr>
        <w:pStyle w:val="Sangra3detindependiente"/>
        <w:widowControl w:val="0"/>
        <w:spacing w:line="600" w:lineRule="auto"/>
        <w:ind w:firstLine="0"/>
      </w:pPr>
      <w:r>
        <w:tab/>
      </w:r>
      <w:r>
        <w:tab/>
        <w:t>El oficial Falzarano, por su parte, señaló que en las primeras horas del 19 de julio conc</w:t>
      </w:r>
      <w:r>
        <w:t>u</w:t>
      </w:r>
      <w:r>
        <w:t xml:space="preserve">rrió a </w:t>
      </w:r>
      <w:smartTag w:uri="urn:schemas-microsoft-com:office:smarttags" w:element="PersonName">
        <w:smartTagPr>
          <w:attr w:name="ProductID" w:val="la Morgue Judicial"/>
        </w:smartTagPr>
        <w:r>
          <w:t>la Morgue Judicial</w:t>
        </w:r>
      </w:smartTag>
      <w:r>
        <w:t xml:space="preserve"> para retirar un trozo metálico cilí</w:t>
      </w:r>
      <w:r>
        <w:t>n</w:t>
      </w:r>
      <w:r>
        <w:t xml:space="preserve">drico, de unos 30 ó </w:t>
      </w:r>
      <w:smartTag w:uri="urn:schemas-microsoft-com:office:smarttags" w:element="metricconverter">
        <w:smartTagPr>
          <w:attr w:name="ProductID" w:val="40 cm"/>
        </w:smartTagPr>
        <w:r>
          <w:t>40 cm</w:t>
        </w:r>
      </w:smartTag>
      <w:r>
        <w:t xml:space="preserve"> de largo y otro circular, e</w:t>
      </w:r>
      <w:r>
        <w:t>x</w:t>
      </w:r>
      <w:r>
        <w:t>traídos de los cuerpos de algunas de las víctimas fatales, confeccionando el acta de rigor, cuya firma y letra rec</w:t>
      </w:r>
      <w:r>
        <w:t>o</w:t>
      </w:r>
      <w:r>
        <w:t>noció. Al r</w:t>
      </w:r>
      <w:r>
        <w:t>e</w:t>
      </w:r>
      <w:r>
        <w:t>pasar las fotografías obrantes en los informes preliminar y final, en un primer momento reconoció aqu</w:t>
      </w:r>
      <w:r>
        <w:t>e</w:t>
      </w:r>
      <w:r>
        <w:t>llas piezas como las ident</w:t>
      </w:r>
      <w:r>
        <w:t>i</w:t>
      </w:r>
      <w:r>
        <w:t>ficadas con los nros. 26 y 27, para indicar luego que, por su similar formato, también podrían tratarse de las numeradas como 67 ó 109.</w:t>
      </w:r>
    </w:p>
    <w:p w:rsidR="00224567" w:rsidRDefault="00224567">
      <w:pPr>
        <w:pStyle w:val="Sangra3detindependiente"/>
        <w:widowControl w:val="0"/>
        <w:spacing w:line="600" w:lineRule="auto"/>
        <w:ind w:firstLine="0"/>
      </w:pPr>
      <w:r>
        <w:tab/>
      </w:r>
      <w:r>
        <w:tab/>
      </w:r>
      <w:r>
        <w:rPr>
          <w:b/>
          <w:bCs/>
        </w:rPr>
        <w:t>A.16)</w:t>
      </w:r>
      <w:r>
        <w:t xml:space="preserve"> Las defensas de Juan José Rib</w:t>
      </w:r>
      <w:r>
        <w:t>e</w:t>
      </w:r>
      <w:r>
        <w:t>lli, Raúl Edilio Ibarra y Ariel Rodolfo Nitzcaner pusieron en tela de juicio el valor probatorio que cabe asignarle al hallazgo, en el cuerpo de Ramón Nolberto Díaz, de un amortiguador que llevaba estampado el logo de la firma “Renault”.</w:t>
      </w:r>
    </w:p>
    <w:p w:rsidR="00224567" w:rsidRDefault="00224567">
      <w:pPr>
        <w:pStyle w:val="Sangra3detindependiente"/>
        <w:widowControl w:val="0"/>
        <w:spacing w:line="600" w:lineRule="auto"/>
        <w:ind w:firstLine="0"/>
      </w:pPr>
      <w:r>
        <w:tab/>
        <w:t>Fundaron su cuestionamiento en las s</w:t>
      </w:r>
      <w:r>
        <w:t>i</w:t>
      </w:r>
      <w:r>
        <w:t>guientes ci</w:t>
      </w:r>
      <w:r>
        <w:t>r</w:t>
      </w:r>
      <w:r>
        <w:t>cunstancias:</w:t>
      </w:r>
    </w:p>
    <w:p w:rsidR="00224567" w:rsidRDefault="00224567">
      <w:pPr>
        <w:widowControl w:val="0"/>
        <w:rPr>
          <w:lang w:val="es-ES_tradnl"/>
        </w:rPr>
      </w:pPr>
      <w:r>
        <w:rPr>
          <w:lang w:val="es-ES_tradnl"/>
        </w:rPr>
        <w:tab/>
        <w:t>a) Ningún testigo dio cuenta de la presencia del cadáver del nombrado en la vereda del edif</w:t>
      </w:r>
      <w:r>
        <w:rPr>
          <w:lang w:val="es-ES_tradnl"/>
        </w:rPr>
        <w:t>i</w:t>
      </w:r>
      <w:r>
        <w:rPr>
          <w:lang w:val="es-ES_tradnl"/>
        </w:rPr>
        <w:t>cio de Pasteur 632, lugar en que Díaz se encontraba al m</w:t>
      </w:r>
      <w:r>
        <w:rPr>
          <w:lang w:val="es-ES_tradnl"/>
        </w:rPr>
        <w:t>o</w:t>
      </w:r>
      <w:r>
        <w:rPr>
          <w:lang w:val="es-ES_tradnl"/>
        </w:rPr>
        <w:t>mento de la detonación, como así tampoco en las depende</w:t>
      </w:r>
      <w:r>
        <w:rPr>
          <w:lang w:val="es-ES_tradnl"/>
        </w:rPr>
        <w:t>n</w:t>
      </w:r>
      <w:r>
        <w:rPr>
          <w:lang w:val="es-ES_tradnl"/>
        </w:rPr>
        <w:t xml:space="preserve">cias de </w:t>
      </w:r>
      <w:smartTag w:uri="urn:schemas-microsoft-com:office:smarttags" w:element="PersonName">
        <w:smartTagPr>
          <w:attr w:name="ProductID" w:val="la Comisar￭a"/>
        </w:smartTagPr>
        <w:r>
          <w:rPr>
            <w:lang w:val="es-ES_tradnl"/>
          </w:rPr>
          <w:t>la Comisaría</w:t>
        </w:r>
      </w:smartTag>
      <w:r>
        <w:rPr>
          <w:lang w:val="es-ES_tradnl"/>
        </w:rPr>
        <w:t xml:space="preserve"> 5ta., a donde se remitieron, en un primer momento, los cuerpos sin vida; máxime cuando conc</w:t>
      </w:r>
      <w:r>
        <w:rPr>
          <w:lang w:val="es-ES_tradnl"/>
        </w:rPr>
        <w:t>u</w:t>
      </w:r>
      <w:r>
        <w:rPr>
          <w:lang w:val="es-ES_tradnl"/>
        </w:rPr>
        <w:t>rrieron al debate varias personas que dijeron haber egr</w:t>
      </w:r>
      <w:r>
        <w:rPr>
          <w:lang w:val="es-ES_tradnl"/>
        </w:rPr>
        <w:t>e</w:t>
      </w:r>
      <w:r>
        <w:rPr>
          <w:lang w:val="es-ES_tradnl"/>
        </w:rPr>
        <w:t>sado de aquél edificio poco tiempo de</w:t>
      </w:r>
      <w:r>
        <w:rPr>
          <w:lang w:val="es-ES_tradnl"/>
        </w:rPr>
        <w:t>s</w:t>
      </w:r>
      <w:r>
        <w:rPr>
          <w:lang w:val="es-ES_tradnl"/>
        </w:rPr>
        <w:t>pués de ocurrido el atent</w:t>
      </w:r>
      <w:r>
        <w:rPr>
          <w:lang w:val="es-ES_tradnl"/>
        </w:rPr>
        <w:t>a</w:t>
      </w:r>
      <w:r>
        <w:rPr>
          <w:lang w:val="es-ES_tradnl"/>
        </w:rPr>
        <w:t>do;</w:t>
      </w:r>
    </w:p>
    <w:p w:rsidR="00224567" w:rsidRDefault="00224567">
      <w:pPr>
        <w:widowControl w:val="0"/>
        <w:rPr>
          <w:lang w:val="es-ES_tradnl"/>
        </w:rPr>
      </w:pPr>
      <w:r>
        <w:rPr>
          <w:lang w:val="es-ES_tradnl"/>
        </w:rPr>
        <w:tab/>
        <w:t>b) La posición en que se halló el amortiguador en el cuerpo de Díaz no se correspondía con la trayectoria que debió seguir al momento de ingresar, teniendo en cuenta la ubicación del vehículo que supuest</w:t>
      </w:r>
      <w:r>
        <w:rPr>
          <w:lang w:val="es-ES_tradnl"/>
        </w:rPr>
        <w:t>a</w:t>
      </w:r>
      <w:r>
        <w:rPr>
          <w:lang w:val="es-ES_tradnl"/>
        </w:rPr>
        <w:t>mente cargaba el material explos</w:t>
      </w:r>
      <w:r>
        <w:rPr>
          <w:lang w:val="es-ES_tradnl"/>
        </w:rPr>
        <w:t>i</w:t>
      </w:r>
      <w:r>
        <w:rPr>
          <w:lang w:val="es-ES_tradnl"/>
        </w:rPr>
        <w:t>vo;</w:t>
      </w:r>
    </w:p>
    <w:p w:rsidR="00224567" w:rsidRDefault="00224567">
      <w:pPr>
        <w:widowControl w:val="0"/>
        <w:rPr>
          <w:lang w:val="es-ES_tradnl"/>
        </w:rPr>
      </w:pPr>
      <w:r>
        <w:rPr>
          <w:lang w:val="es-ES_tradnl"/>
        </w:rPr>
        <w:tab/>
        <w:t>c) El amortiguador no presentó vest</w:t>
      </w:r>
      <w:r>
        <w:rPr>
          <w:lang w:val="es-ES_tradnl"/>
        </w:rPr>
        <w:t>i</w:t>
      </w:r>
      <w:r>
        <w:rPr>
          <w:lang w:val="es-ES_tradnl"/>
        </w:rPr>
        <w:t>gios de material explosivo, siendo la única pieza de las que componían el presunto utilitario que carecía de ese tipo de impregnación;</w:t>
      </w:r>
    </w:p>
    <w:p w:rsidR="00224567" w:rsidRDefault="00224567">
      <w:pPr>
        <w:widowControl w:val="0"/>
        <w:rPr>
          <w:lang w:val="es-ES_tradnl"/>
        </w:rPr>
      </w:pPr>
      <w:r>
        <w:rPr>
          <w:lang w:val="es-ES_tradnl"/>
        </w:rPr>
        <w:tab/>
        <w:t>d) El debate no pudo acreditar el it</w:t>
      </w:r>
      <w:r>
        <w:rPr>
          <w:lang w:val="es-ES_tradnl"/>
        </w:rPr>
        <w:t>i</w:t>
      </w:r>
      <w:r>
        <w:rPr>
          <w:lang w:val="es-ES_tradnl"/>
        </w:rPr>
        <w:t>nerario del cadáver de Díaz desde que se produjo la expl</w:t>
      </w:r>
      <w:r>
        <w:rPr>
          <w:lang w:val="es-ES_tradnl"/>
        </w:rPr>
        <w:t>o</w:t>
      </w:r>
      <w:r>
        <w:rPr>
          <w:lang w:val="es-ES_tradnl"/>
        </w:rPr>
        <w:t xml:space="preserve">sión hasta que ingresó a </w:t>
      </w:r>
      <w:smartTag w:uri="urn:schemas-microsoft-com:office:smarttags" w:element="PersonName">
        <w:smartTagPr>
          <w:attr w:name="ProductID" w:val="la Morgue Judicial"/>
        </w:smartTagPr>
        <w:r>
          <w:rPr>
            <w:lang w:val="es-ES_tradnl"/>
          </w:rPr>
          <w:t>la Morgue Judicial</w:t>
        </w:r>
      </w:smartTag>
      <w:r>
        <w:rPr>
          <w:lang w:val="es-ES_tradnl"/>
        </w:rPr>
        <w:t>, horas de</w:t>
      </w:r>
      <w:r>
        <w:rPr>
          <w:lang w:val="es-ES_tradnl"/>
        </w:rPr>
        <w:t>s</w:t>
      </w:r>
      <w:r>
        <w:rPr>
          <w:lang w:val="es-ES_tradnl"/>
        </w:rPr>
        <w:t>pués, y</w:t>
      </w:r>
    </w:p>
    <w:p w:rsidR="00224567" w:rsidRDefault="00224567">
      <w:pPr>
        <w:widowControl w:val="0"/>
        <w:rPr>
          <w:lang w:val="es-ES_tradnl"/>
        </w:rPr>
      </w:pPr>
      <w:r>
        <w:rPr>
          <w:lang w:val="es-ES_tradnl"/>
        </w:rPr>
        <w:tab/>
        <w:t>e) El amortiguador pudo corresponder al vehículo Renault 20 que también fue alcanzado por la explosión.</w:t>
      </w:r>
    </w:p>
    <w:p w:rsidR="00224567" w:rsidRDefault="00224567">
      <w:pPr>
        <w:widowControl w:val="0"/>
        <w:rPr>
          <w:lang w:val="es-ES_tradnl"/>
        </w:rPr>
      </w:pPr>
      <w:r>
        <w:rPr>
          <w:lang w:val="es-ES_tradnl"/>
        </w:rPr>
        <w:tab/>
        <w:t>Cabe señalar que ninguno de los arg</w:t>
      </w:r>
      <w:r>
        <w:rPr>
          <w:lang w:val="es-ES_tradnl"/>
        </w:rPr>
        <w:t>u</w:t>
      </w:r>
      <w:r>
        <w:rPr>
          <w:lang w:val="es-ES_tradnl"/>
        </w:rPr>
        <w:t>mentos reseñados diluye el sólido cuadro probatorio anal</w:t>
      </w:r>
      <w:r>
        <w:rPr>
          <w:lang w:val="es-ES_tradnl"/>
        </w:rPr>
        <w:t>i</w:t>
      </w:r>
      <w:r>
        <w:rPr>
          <w:lang w:val="es-ES_tradnl"/>
        </w:rPr>
        <w:t>zado en el presente capítulo, en virtud del cual se tuvo por acreditada la utilización de una camioneta Renault Trafic como coche bomba, en tanto se apoyan en consider</w:t>
      </w:r>
      <w:r>
        <w:rPr>
          <w:lang w:val="es-ES_tradnl"/>
        </w:rPr>
        <w:t>a</w:t>
      </w:r>
      <w:r>
        <w:rPr>
          <w:lang w:val="es-ES_tradnl"/>
        </w:rPr>
        <w:t>ciones que sólo encuentran sustento en la e</w:t>
      </w:r>
      <w:r>
        <w:rPr>
          <w:lang w:val="es-ES_tradnl"/>
        </w:rPr>
        <w:t>s</w:t>
      </w:r>
      <w:r>
        <w:rPr>
          <w:lang w:val="es-ES_tradnl"/>
        </w:rPr>
        <w:t>peculación de quienes las e</w:t>
      </w:r>
      <w:r>
        <w:rPr>
          <w:lang w:val="es-ES_tradnl"/>
        </w:rPr>
        <w:t>s</w:t>
      </w:r>
      <w:r>
        <w:rPr>
          <w:lang w:val="es-ES_tradnl"/>
        </w:rPr>
        <w:t>grimen.</w:t>
      </w:r>
    </w:p>
    <w:p w:rsidR="00224567" w:rsidRDefault="00224567">
      <w:pPr>
        <w:widowControl w:val="0"/>
        <w:rPr>
          <w:lang w:val="es-ES_tradnl"/>
        </w:rPr>
      </w:pPr>
      <w:r>
        <w:rPr>
          <w:lang w:val="es-ES_tradnl"/>
        </w:rPr>
        <w:tab/>
        <w:t>En efecto, la prueba producida en el debate impide sostener, con algún viso de seri</w:t>
      </w:r>
      <w:r>
        <w:rPr>
          <w:lang w:val="es-ES_tradnl"/>
        </w:rPr>
        <w:t>e</w:t>
      </w:r>
      <w:r>
        <w:rPr>
          <w:lang w:val="es-ES_tradnl"/>
        </w:rPr>
        <w:t>dad, que el cuerpo de Ramón Nolberto Díaz, quien en vida se e</w:t>
      </w:r>
      <w:r>
        <w:rPr>
          <w:lang w:val="es-ES_tradnl"/>
        </w:rPr>
        <w:t>n</w:t>
      </w:r>
      <w:r>
        <w:rPr>
          <w:lang w:val="es-ES_tradnl"/>
        </w:rPr>
        <w:t>contraba en la vereda opuesta a la mutual judía,  casi en línea  recta con el epicentro de la explosión, debió hallarse allí tras la detonación.</w:t>
      </w:r>
    </w:p>
    <w:p w:rsidR="00224567" w:rsidRDefault="00224567">
      <w:pPr>
        <w:widowControl w:val="0"/>
        <w:rPr>
          <w:lang w:val="es-ES_tradnl"/>
        </w:rPr>
      </w:pPr>
      <w:r>
        <w:rPr>
          <w:lang w:val="es-ES_tradnl"/>
        </w:rPr>
        <w:tab/>
        <w:t xml:space="preserve">Basta recordar, al respecto, que la fuerza provocada por el estallido, a más de derribar el edificio de </w:t>
      </w:r>
      <w:smartTag w:uri="urn:schemas-microsoft-com:office:smarttags" w:element="PersonName">
        <w:smartTagPr>
          <w:attr w:name="ProductID" w:val="la A.M"/>
        </w:smartTagPr>
        <w:r>
          <w:rPr>
            <w:lang w:val="es-ES_tradnl"/>
          </w:rPr>
          <w:t>la A.M</w:t>
        </w:r>
      </w:smartTag>
      <w:r>
        <w:rPr>
          <w:lang w:val="es-ES_tradnl"/>
        </w:rPr>
        <w:t>.I.A., fue suficiente para girar, casi 90º, el automóvil Renault 20 de Daniel Joffe (ver fotogr</w:t>
      </w:r>
      <w:r>
        <w:rPr>
          <w:lang w:val="es-ES_tradnl"/>
        </w:rPr>
        <w:t>a</w:t>
      </w:r>
      <w:r>
        <w:rPr>
          <w:lang w:val="es-ES_tradnl"/>
        </w:rPr>
        <w:t>fía nº 4, recibida a fs. 1975 del legajo de instrucción suplementaria, la de fs. 9 del anexo planimétrico fotogr</w:t>
      </w:r>
      <w:r>
        <w:rPr>
          <w:lang w:val="es-ES_tradnl"/>
        </w:rPr>
        <w:t>á</w:t>
      </w:r>
      <w:r>
        <w:rPr>
          <w:lang w:val="es-ES_tradnl"/>
        </w:rPr>
        <w:t>fico, parte I y las video filmaciones, donde se lo observa en posición perpendicular a la calle), arrancar de cuajo una c</w:t>
      </w:r>
      <w:r>
        <w:rPr>
          <w:lang w:val="es-ES_tradnl"/>
        </w:rPr>
        <w:t>o</w:t>
      </w:r>
      <w:r>
        <w:rPr>
          <w:lang w:val="es-ES_tradnl"/>
        </w:rPr>
        <w:t>lumna de iluminación (ver acta de fs. 44 del informe preliminar del Departamento Explosivos y fotografía nº 10, recibida a fs. 1975 del legajo de instrucción suplement</w:t>
      </w:r>
      <w:r>
        <w:rPr>
          <w:lang w:val="es-ES_tradnl"/>
        </w:rPr>
        <w:t>a</w:t>
      </w:r>
      <w:r>
        <w:rPr>
          <w:lang w:val="es-ES_tradnl"/>
        </w:rPr>
        <w:t>ria) y provocar que el vehículo de Isidro Neuah saltara, sin rodar, unos cua</w:t>
      </w:r>
      <w:r>
        <w:rPr>
          <w:lang w:val="es-ES_tradnl"/>
        </w:rPr>
        <w:t>n</w:t>
      </w:r>
      <w:r>
        <w:rPr>
          <w:lang w:val="es-ES_tradnl"/>
        </w:rPr>
        <w:t>tos metros.</w:t>
      </w:r>
    </w:p>
    <w:p w:rsidR="00224567" w:rsidRDefault="00224567">
      <w:pPr>
        <w:widowControl w:val="0"/>
        <w:rPr>
          <w:lang w:val="es-ES_tradnl"/>
        </w:rPr>
      </w:pPr>
      <w:r>
        <w:rPr>
          <w:lang w:val="es-ES_tradnl"/>
        </w:rPr>
        <w:tab/>
        <w:t>Forzoso es concluir, entonces, que el cuerpo de Díaz fue desplazado del lugar en el que se e</w:t>
      </w:r>
      <w:r>
        <w:rPr>
          <w:lang w:val="es-ES_tradnl"/>
        </w:rPr>
        <w:t>n</w:t>
      </w:r>
      <w:r>
        <w:rPr>
          <w:lang w:val="es-ES_tradnl"/>
        </w:rPr>
        <w:t>contraba al ocurrir la tragedia, resultando carentes de toda relevancia las observaciones de quienes, momentos después, descendieron del edificio en el que aquél se  desempeñaba como encargado.</w:t>
      </w:r>
    </w:p>
    <w:p w:rsidR="00224567" w:rsidRDefault="00224567">
      <w:pPr>
        <w:pStyle w:val="Sangradetextonormal"/>
        <w:widowControl w:val="0"/>
        <w:ind w:firstLine="0"/>
      </w:pPr>
      <w:r>
        <w:tab/>
        <w:t>Por otra parte, la circunstancia de que el amortiguador no presentara vestigios del expl</w:t>
      </w:r>
      <w:r>
        <w:t>o</w:t>
      </w:r>
      <w:r>
        <w:t>sivo no lleva a deducir, necesariamente, que éste no integró el vehículo utilizado como coche bomba.</w:t>
      </w:r>
    </w:p>
    <w:p w:rsidR="00224567" w:rsidRDefault="00224567">
      <w:pPr>
        <w:pStyle w:val="Sangradetextonormal"/>
        <w:widowControl w:val="0"/>
        <w:ind w:firstLine="0"/>
      </w:pPr>
      <w:r>
        <w:tab/>
        <w:t>En efecto, el perito que realizó el estudio químico sobre el amortiguador, Marcelo Leguiz</w:t>
      </w:r>
      <w:r>
        <w:t>a</w:t>
      </w:r>
      <w:r>
        <w:t>món, explicó en el debate que el sistema utilizado en el lab</w:t>
      </w:r>
      <w:r>
        <w:t>o</w:t>
      </w:r>
      <w:r>
        <w:t>ratorio químico tenía un límite de detección de acuerdo a la cantidad de material explosivo que presentaban las muestras y, al contestar preguntas formuladas por la d</w:t>
      </w:r>
      <w:r>
        <w:t>e</w:t>
      </w:r>
      <w:r>
        <w:t>fensa de Juan José R</w:t>
      </w:r>
      <w:r>
        <w:t>i</w:t>
      </w:r>
      <w:r>
        <w:t>belli, puntualizó que ellas se pueden deteriorar o degradar en caso de que no se preserven ad</w:t>
      </w:r>
      <w:r>
        <w:t>e</w:t>
      </w:r>
      <w:r>
        <w:t>cuadame</w:t>
      </w:r>
      <w:r>
        <w:t>n</w:t>
      </w:r>
      <w:r>
        <w:t>te.</w:t>
      </w:r>
    </w:p>
    <w:p w:rsidR="00224567" w:rsidRDefault="00224567">
      <w:pPr>
        <w:pStyle w:val="Sangradetextonormal"/>
        <w:widowControl w:val="0"/>
        <w:ind w:firstLine="0"/>
      </w:pPr>
      <w:r>
        <w:tab/>
        <w:t>En igual sentido, el perito Gustavo Merlo, que también suscribió el estudio en cuestión, afi</w:t>
      </w:r>
      <w:r>
        <w:t>r</w:t>
      </w:r>
      <w:r>
        <w:t>mó que la naturaleza química de los vestigios queda degr</w:t>
      </w:r>
      <w:r>
        <w:t>a</w:t>
      </w:r>
      <w:r>
        <w:t>dada y afectada por diversos factores, mencionando, entre ellos, la oxidación permanente, el oxígeno del aire y la humedad.</w:t>
      </w:r>
    </w:p>
    <w:p w:rsidR="00224567" w:rsidRDefault="00224567">
      <w:pPr>
        <w:widowControl w:val="0"/>
        <w:rPr>
          <w:lang w:val="es-ES_tradnl"/>
        </w:rPr>
      </w:pPr>
      <w:r>
        <w:rPr>
          <w:lang w:val="es-ES_tradnl"/>
        </w:rPr>
        <w:tab/>
        <w:t>Tales consideraciones cobran mayor e</w:t>
      </w:r>
      <w:r>
        <w:rPr>
          <w:lang w:val="es-ES_tradnl"/>
        </w:rPr>
        <w:t>n</w:t>
      </w:r>
      <w:r>
        <w:rPr>
          <w:lang w:val="es-ES_tradnl"/>
        </w:rPr>
        <w:t>tidad a poco que se repare en las condiciones en que arr</w:t>
      </w:r>
      <w:r>
        <w:rPr>
          <w:lang w:val="es-ES_tradnl"/>
        </w:rPr>
        <w:t>i</w:t>
      </w:r>
      <w:r>
        <w:rPr>
          <w:lang w:val="es-ES_tradnl"/>
        </w:rPr>
        <w:t>bó el material al laboratorio químico; esto es, un amort</w:t>
      </w:r>
      <w:r>
        <w:rPr>
          <w:lang w:val="es-ES_tradnl"/>
        </w:rPr>
        <w:t>i</w:t>
      </w:r>
      <w:r>
        <w:rPr>
          <w:lang w:val="es-ES_tradnl"/>
        </w:rPr>
        <w:t>guador que se había introducido en forma total en el cue</w:t>
      </w:r>
      <w:r>
        <w:rPr>
          <w:lang w:val="es-ES_tradnl"/>
        </w:rPr>
        <w:t>r</w:t>
      </w:r>
      <w:r>
        <w:rPr>
          <w:lang w:val="es-ES_tradnl"/>
        </w:rPr>
        <w:t>po de una víctima (ver fot</w:t>
      </w:r>
      <w:r>
        <w:rPr>
          <w:lang w:val="es-ES_tradnl"/>
        </w:rPr>
        <w:t>o</w:t>
      </w:r>
      <w:r>
        <w:rPr>
          <w:lang w:val="es-ES_tradnl"/>
        </w:rPr>
        <w:t xml:space="preserve">grafías de fs. 1167/1168) y que permaneció en esas condiciones, al menos, durante siete horas (cónfr. constancia del ingreso del cuerpo a </w:t>
      </w:r>
      <w:smartTag w:uri="urn:schemas-microsoft-com:office:smarttags" w:element="PersonName">
        <w:smartTagPr>
          <w:attr w:name="ProductID" w:val="la Morgue Judicial"/>
        </w:smartTagPr>
        <w:r>
          <w:rPr>
            <w:lang w:val="es-ES_tradnl"/>
          </w:rPr>
          <w:t>la Mo</w:t>
        </w:r>
        <w:r>
          <w:rPr>
            <w:lang w:val="es-ES_tradnl"/>
          </w:rPr>
          <w:t>r</w:t>
        </w:r>
        <w:r>
          <w:rPr>
            <w:lang w:val="es-ES_tradnl"/>
          </w:rPr>
          <w:t>gue Judicial</w:t>
        </w:r>
      </w:smartTag>
      <w:r>
        <w:rPr>
          <w:lang w:val="es-ES_tradnl"/>
        </w:rPr>
        <w:t xml:space="preserve"> a fs. 98 del anexo I y estudio de fs. 58 del informe preliminar).</w:t>
      </w:r>
    </w:p>
    <w:p w:rsidR="00224567" w:rsidRDefault="00224567">
      <w:pPr>
        <w:widowControl w:val="0"/>
        <w:rPr>
          <w:lang w:val="es-ES_tradnl"/>
        </w:rPr>
      </w:pPr>
      <w:r>
        <w:rPr>
          <w:lang w:val="es-ES_tradnl"/>
        </w:rPr>
        <w:tab/>
        <w:t>Por otra parte, la circunstancia de que en el debate no hubiese podido explicarse dónde perm</w:t>
      </w:r>
      <w:r>
        <w:rPr>
          <w:lang w:val="es-ES_tradnl"/>
        </w:rPr>
        <w:t>a</w:t>
      </w:r>
      <w:r>
        <w:rPr>
          <w:lang w:val="es-ES_tradnl"/>
        </w:rPr>
        <w:t xml:space="preserve">neció el cadáver de Díaz en el lapso transcurrido entre la explosión y su ingreso a </w:t>
      </w:r>
      <w:smartTag w:uri="urn:schemas-microsoft-com:office:smarttags" w:element="PersonName">
        <w:smartTagPr>
          <w:attr w:name="ProductID" w:val="la Morgue Judicial"/>
        </w:smartTagPr>
        <w:r>
          <w:rPr>
            <w:lang w:val="es-ES_tradnl"/>
          </w:rPr>
          <w:t>la Morgue Judicial</w:t>
        </w:r>
      </w:smartTag>
      <w:r>
        <w:rPr>
          <w:lang w:val="es-ES_tradnl"/>
        </w:rPr>
        <w:t>, a eso de las 17, no autoriza, en modo alguno, las suspicacias que la defensa de Ibarra dejó entrever y que la de Ribelli sost</w:t>
      </w:r>
      <w:r>
        <w:rPr>
          <w:lang w:val="es-ES_tradnl"/>
        </w:rPr>
        <w:t>u</w:t>
      </w:r>
      <w:r>
        <w:rPr>
          <w:lang w:val="es-ES_tradnl"/>
        </w:rPr>
        <w:t>vo, rel</w:t>
      </w:r>
      <w:r>
        <w:rPr>
          <w:lang w:val="es-ES_tradnl"/>
        </w:rPr>
        <w:t>a</w:t>
      </w:r>
      <w:r>
        <w:rPr>
          <w:lang w:val="es-ES_tradnl"/>
        </w:rPr>
        <w:t>cionadas con la forma en que el amortiguador pudo haber ingresado al cuerpo de aquél; máxime si, como se vio, el médico forense Carlos Alberto Navari descartó la posibilidad de que haya podido incrustarse en el cuerpo en forma manual, puesto que para ello se hubiera requerido una fuerza similar a la que produjo la explosión.</w:t>
      </w:r>
    </w:p>
    <w:p w:rsidR="00224567" w:rsidRDefault="00224567">
      <w:pPr>
        <w:widowControl w:val="0"/>
        <w:rPr>
          <w:lang w:val="es-ES_tradnl"/>
        </w:rPr>
      </w:pPr>
      <w:r>
        <w:rPr>
          <w:lang w:val="es-ES_tradnl"/>
        </w:rPr>
        <w:tab/>
        <w:t xml:space="preserve">No es atendible el argumento de que dicho cadáver no pudo ser reconocido como uno de los que, inicialmente, se depositaron en la comisaría 5ª de </w:t>
      </w:r>
      <w:smartTag w:uri="urn:schemas-microsoft-com:office:smarttags" w:element="PersonName">
        <w:smartTagPr>
          <w:attr w:name="ProductID" w:val="la Polic￭a Federal"/>
        </w:smartTagPr>
        <w:r>
          <w:rPr>
            <w:lang w:val="es-ES_tradnl"/>
          </w:rPr>
          <w:t>la P</w:t>
        </w:r>
        <w:r>
          <w:rPr>
            <w:lang w:val="es-ES_tradnl"/>
          </w:rPr>
          <w:t>o</w:t>
        </w:r>
        <w:r>
          <w:rPr>
            <w:lang w:val="es-ES_tradnl"/>
          </w:rPr>
          <w:t>licía Federal</w:t>
        </w:r>
      </w:smartTag>
      <w:r>
        <w:rPr>
          <w:lang w:val="es-ES_tradnl"/>
        </w:rPr>
        <w:t>, como tampoco deducir, a partir de tal ci</w:t>
      </w:r>
      <w:r>
        <w:rPr>
          <w:lang w:val="es-ES_tradnl"/>
        </w:rPr>
        <w:t>r</w:t>
      </w:r>
      <w:r>
        <w:rPr>
          <w:lang w:val="es-ES_tradnl"/>
        </w:rPr>
        <w:t>cunstancia, que debió ser llevado a otro sitio distinto, puesto que no existe en la causa ni surgió del debate ni</w:t>
      </w:r>
      <w:r>
        <w:rPr>
          <w:lang w:val="es-ES_tradnl"/>
        </w:rPr>
        <w:t>n</w:t>
      </w:r>
      <w:r>
        <w:rPr>
          <w:lang w:val="es-ES_tradnl"/>
        </w:rPr>
        <w:t>guna prueba que acredite que en esa dependencia policial se hubieran efectuado reconocimientos de las víctimas f</w:t>
      </w:r>
      <w:r>
        <w:rPr>
          <w:lang w:val="es-ES_tradnl"/>
        </w:rPr>
        <w:t>a</w:t>
      </w:r>
      <w:r>
        <w:rPr>
          <w:lang w:val="es-ES_tradnl"/>
        </w:rPr>
        <w:t xml:space="preserve">tales; diligencias que recién se llevaron a cabo una vez arribados los cuerpos a </w:t>
      </w:r>
      <w:smartTag w:uri="urn:schemas-microsoft-com:office:smarttags" w:element="PersonName">
        <w:smartTagPr>
          <w:attr w:name="ProductID" w:val="la Morgue Judicial."/>
        </w:smartTagPr>
        <w:r>
          <w:rPr>
            <w:lang w:val="es-ES_tradnl"/>
          </w:rPr>
          <w:t>la Mo</w:t>
        </w:r>
        <w:r>
          <w:rPr>
            <w:lang w:val="es-ES_tradnl"/>
          </w:rPr>
          <w:t>r</w:t>
        </w:r>
        <w:r>
          <w:rPr>
            <w:lang w:val="es-ES_tradnl"/>
          </w:rPr>
          <w:t>gue Judicial.</w:t>
        </w:r>
      </w:smartTag>
    </w:p>
    <w:p w:rsidR="00224567" w:rsidRDefault="00224567">
      <w:pPr>
        <w:widowControl w:val="0"/>
        <w:rPr>
          <w:lang w:val="es-ES_tradnl"/>
        </w:rPr>
      </w:pPr>
      <w:r>
        <w:rPr>
          <w:lang w:val="es-ES_tradnl"/>
        </w:rPr>
        <w:tab/>
        <w:t>En ese sentido, mal puede suste</w:t>
      </w:r>
      <w:r>
        <w:rPr>
          <w:lang w:val="es-ES_tradnl"/>
        </w:rPr>
        <w:t>n</w:t>
      </w:r>
      <w:r>
        <w:rPr>
          <w:lang w:val="es-ES_tradnl"/>
        </w:rPr>
        <w:t xml:space="preserve">tar el extremo invocado por la defensa el nudo testimonio del oficial Miguel Ángel Castro, quien se encargó de recibir en </w:t>
      </w:r>
      <w:smartTag w:uri="urn:schemas-microsoft-com:office:smarttags" w:element="PersonName">
        <w:smartTagPr>
          <w:attr w:name="ProductID" w:val="la Comisar￭a"/>
        </w:smartTagPr>
        <w:r>
          <w:rPr>
            <w:lang w:val="es-ES_tradnl"/>
          </w:rPr>
          <w:t>la Comisaría</w:t>
        </w:r>
      </w:smartTag>
      <w:r>
        <w:rPr>
          <w:lang w:val="es-ES_tradnl"/>
        </w:rPr>
        <w:t xml:space="preserve"> 5ta., a poco de acaecido el atentado, los cuerpos sin vida de las víctimas, por cuanto si bien es cierto que no recordó el ingreso del de Díaz en esa depe</w:t>
      </w:r>
      <w:r>
        <w:rPr>
          <w:lang w:val="es-ES_tradnl"/>
        </w:rPr>
        <w:t>n</w:t>
      </w:r>
      <w:r>
        <w:rPr>
          <w:lang w:val="es-ES_tradnl"/>
        </w:rPr>
        <w:t>dencia, no lo es menos que tampoco pudo dar cuenta de las partic</w:t>
      </w:r>
      <w:r>
        <w:rPr>
          <w:lang w:val="es-ES_tradnl"/>
        </w:rPr>
        <w:t>u</w:t>
      </w:r>
      <w:r>
        <w:rPr>
          <w:lang w:val="es-ES_tradnl"/>
        </w:rPr>
        <w:t xml:space="preserve">laridades que presentaban cada uno de los cuerpos, el número exacto que recibió, ni qué día arribó a </w:t>
      </w:r>
      <w:smartTag w:uri="urn:schemas-microsoft-com:office:smarttags" w:element="PersonName">
        <w:smartTagPr>
          <w:attr w:name="ProductID" w:val="la Morgue Judicial"/>
        </w:smartTagPr>
        <w:r>
          <w:rPr>
            <w:lang w:val="es-ES_tradnl"/>
          </w:rPr>
          <w:t>la Mo</w:t>
        </w:r>
        <w:r>
          <w:rPr>
            <w:lang w:val="es-ES_tradnl"/>
          </w:rPr>
          <w:t>r</w:t>
        </w:r>
        <w:r>
          <w:rPr>
            <w:lang w:val="es-ES_tradnl"/>
          </w:rPr>
          <w:t>gue Judicial</w:t>
        </w:r>
      </w:smartTag>
      <w:r>
        <w:rPr>
          <w:lang w:val="es-ES_tradnl"/>
        </w:rPr>
        <w:t xml:space="preserve"> el cadáver de aquél; imprecisiones todas ellas que autorizan a restar valor a sus d</w:t>
      </w:r>
      <w:r>
        <w:rPr>
          <w:lang w:val="es-ES_tradnl"/>
        </w:rPr>
        <w:t>i</w:t>
      </w:r>
      <w:r>
        <w:rPr>
          <w:lang w:val="es-ES_tradnl"/>
        </w:rPr>
        <w:t>chos.</w:t>
      </w:r>
    </w:p>
    <w:p w:rsidR="00224567" w:rsidRDefault="00224567">
      <w:pPr>
        <w:widowControl w:val="0"/>
        <w:rPr>
          <w:lang w:val="es-ES_tradnl"/>
        </w:rPr>
      </w:pPr>
      <w:r>
        <w:rPr>
          <w:lang w:val="es-ES_tradnl"/>
        </w:rPr>
        <w:tab/>
        <w:t>Asimismo, la especulación que efe</w:t>
      </w:r>
      <w:r>
        <w:rPr>
          <w:lang w:val="es-ES_tradnl"/>
        </w:rPr>
        <w:t>c</w:t>
      </w:r>
      <w:r>
        <w:rPr>
          <w:lang w:val="es-ES_tradnl"/>
        </w:rPr>
        <w:t>tuó la defensa de Ibarra en derredor a la trayectoria que d</w:t>
      </w:r>
      <w:r>
        <w:rPr>
          <w:lang w:val="es-ES_tradnl"/>
        </w:rPr>
        <w:t>e</w:t>
      </w:r>
      <w:r>
        <w:rPr>
          <w:lang w:val="es-ES_tradnl"/>
        </w:rPr>
        <w:t>bió realizar el amortiguador para i</w:t>
      </w:r>
      <w:r>
        <w:rPr>
          <w:lang w:val="es-ES_tradnl"/>
        </w:rPr>
        <w:t>n</w:t>
      </w:r>
      <w:r>
        <w:rPr>
          <w:lang w:val="es-ES_tradnl"/>
        </w:rPr>
        <w:t>gresar en el cuerpo de Díaz del modo en que lo hizo, aparece antoj</w:t>
      </w:r>
      <w:r>
        <w:rPr>
          <w:lang w:val="es-ES_tradnl"/>
        </w:rPr>
        <w:t>a</w:t>
      </w:r>
      <w:r>
        <w:rPr>
          <w:lang w:val="es-ES_tradnl"/>
        </w:rPr>
        <w:t>diza en tanto se ignora, más allá de la referencia que dio Juan Carlos Álvarez, el lugar y la posición exacta de la víctima al momento del estallido.</w:t>
      </w:r>
    </w:p>
    <w:p w:rsidR="00224567" w:rsidRDefault="00224567">
      <w:pPr>
        <w:widowControl w:val="0"/>
        <w:rPr>
          <w:lang w:val="es-ES_tradnl"/>
        </w:rPr>
      </w:pPr>
      <w:r>
        <w:rPr>
          <w:lang w:val="es-ES_tradnl"/>
        </w:rPr>
        <w:tab/>
        <w:t>Por lo demás, la defensa refiere una hipótesis acerca de la cual no ha propiciado prueba alg</w:t>
      </w:r>
      <w:r>
        <w:rPr>
          <w:lang w:val="es-ES_tradnl"/>
        </w:rPr>
        <w:t>u</w:t>
      </w:r>
      <w:r>
        <w:rPr>
          <w:lang w:val="es-ES_tradnl"/>
        </w:rPr>
        <w:t>na, sin que hubiese interrogado a los peritos acerca de los aspectos que ahora sustentan su inquietud.</w:t>
      </w:r>
    </w:p>
    <w:p w:rsidR="00224567" w:rsidRDefault="00224567">
      <w:pPr>
        <w:widowControl w:val="0"/>
        <w:rPr>
          <w:lang w:val="es-ES_tradnl"/>
        </w:rPr>
      </w:pPr>
      <w:r>
        <w:rPr>
          <w:lang w:val="es-ES_tradnl"/>
        </w:rPr>
        <w:tab/>
        <w:t>Por último, también cabe desechar el planteo efectuado por la defensa de Ariel Rodolfo Nit</w:t>
      </w:r>
      <w:r>
        <w:rPr>
          <w:lang w:val="es-ES_tradnl"/>
        </w:rPr>
        <w:t>z</w:t>
      </w:r>
      <w:r>
        <w:rPr>
          <w:lang w:val="es-ES_tradnl"/>
        </w:rPr>
        <w:t>caner, con base en que no es posible afirmar que el amo</w:t>
      </w:r>
      <w:r>
        <w:rPr>
          <w:lang w:val="es-ES_tradnl"/>
        </w:rPr>
        <w:t>r</w:t>
      </w:r>
      <w:r>
        <w:rPr>
          <w:lang w:val="es-ES_tradnl"/>
        </w:rPr>
        <w:t>tiguador incrustado en el cuerpo de Díaz hubiera perten</w:t>
      </w:r>
      <w:r>
        <w:rPr>
          <w:lang w:val="es-ES_tradnl"/>
        </w:rPr>
        <w:t>e</w:t>
      </w:r>
      <w:r>
        <w:rPr>
          <w:lang w:val="es-ES_tradnl"/>
        </w:rPr>
        <w:t>cido a la supuesta camioneta que habría cargado el expl</w:t>
      </w:r>
      <w:r>
        <w:rPr>
          <w:lang w:val="es-ES_tradnl"/>
        </w:rPr>
        <w:t>o</w:t>
      </w:r>
      <w:r>
        <w:rPr>
          <w:lang w:val="es-ES_tradnl"/>
        </w:rPr>
        <w:t>sivo, en razón que podría corresponder al Renault 20 ta</w:t>
      </w:r>
      <w:r>
        <w:rPr>
          <w:lang w:val="es-ES_tradnl"/>
        </w:rPr>
        <w:t>m</w:t>
      </w:r>
      <w:r>
        <w:rPr>
          <w:lang w:val="es-ES_tradnl"/>
        </w:rPr>
        <w:t>bién a</w:t>
      </w:r>
      <w:r>
        <w:rPr>
          <w:lang w:val="es-ES_tradnl"/>
        </w:rPr>
        <w:t>l</w:t>
      </w:r>
      <w:r>
        <w:rPr>
          <w:lang w:val="es-ES_tradnl"/>
        </w:rPr>
        <w:t>canzado por la detonación.</w:t>
      </w:r>
    </w:p>
    <w:p w:rsidR="00224567" w:rsidRDefault="00224567">
      <w:pPr>
        <w:widowControl w:val="0"/>
        <w:rPr>
          <w:lang w:val="es-ES_tradnl"/>
        </w:rPr>
      </w:pPr>
      <w:r>
        <w:rPr>
          <w:lang w:val="es-ES_tradnl"/>
        </w:rPr>
        <w:tab/>
        <w:t>En ese sentido, como sostuvo la quer</w:t>
      </w:r>
      <w:r>
        <w:rPr>
          <w:lang w:val="es-ES_tradnl"/>
        </w:rPr>
        <w:t>e</w:t>
      </w:r>
      <w:r>
        <w:rPr>
          <w:lang w:val="es-ES_tradnl"/>
        </w:rPr>
        <w:t xml:space="preserve">lla de D.A.I.A., el informe de “CIADEA S.A.” de fs. 14.263/14.265, precisó que dicha autoparte, aludida como “referencia fotográfica </w:t>
      </w:r>
      <w:smartTag w:uri="urn:schemas-microsoft-com:office:smarttags" w:element="metricconverter">
        <w:smartTagPr>
          <w:attr w:name="ProductID" w:val="26”"/>
        </w:smartTagPr>
        <w:r>
          <w:rPr>
            <w:lang w:val="es-ES_tradnl"/>
          </w:rPr>
          <w:t>26”</w:t>
        </w:r>
      </w:smartTag>
      <w:r>
        <w:rPr>
          <w:lang w:val="es-ES_tradnl"/>
        </w:rPr>
        <w:t>, era de uso común en t</w:t>
      </w:r>
      <w:r>
        <w:rPr>
          <w:lang w:val="es-ES_tradnl"/>
        </w:rPr>
        <w:t>o</w:t>
      </w:r>
      <w:r>
        <w:rPr>
          <w:lang w:val="es-ES_tradnl"/>
        </w:rPr>
        <w:t>dos los modelos Trafic de la firma R</w:t>
      </w:r>
      <w:r>
        <w:rPr>
          <w:lang w:val="es-ES_tradnl"/>
        </w:rPr>
        <w:t>e</w:t>
      </w:r>
      <w:r>
        <w:rPr>
          <w:lang w:val="es-ES_tradnl"/>
        </w:rPr>
        <w:t>nault; conclusión a la que se arribó, según los técnicos José Luis Martilotta y Jorge Florencia Valdéz, a partir del código numérico que prese</w:t>
      </w:r>
      <w:r>
        <w:rPr>
          <w:lang w:val="es-ES_tradnl"/>
        </w:rPr>
        <w:t>n</w:t>
      </w:r>
      <w:r>
        <w:rPr>
          <w:lang w:val="es-ES_tradnl"/>
        </w:rPr>
        <w:t>taba el elemento (en igual sentido, ver acta de fs. 24 y cat</w:t>
      </w:r>
      <w:r>
        <w:rPr>
          <w:lang w:val="es-ES_tradnl"/>
        </w:rPr>
        <w:t>á</w:t>
      </w:r>
      <w:r>
        <w:rPr>
          <w:lang w:val="es-ES_tradnl"/>
        </w:rPr>
        <w:t>logo de fábrica de fs. 164 del Informe Preliminar).</w:t>
      </w:r>
    </w:p>
    <w:p w:rsidR="00224567" w:rsidRDefault="00224567">
      <w:pPr>
        <w:widowControl w:val="0"/>
        <w:rPr>
          <w:lang w:val="es-ES_tradnl"/>
        </w:rPr>
      </w:pPr>
      <w:r>
        <w:rPr>
          <w:lang w:val="es-ES_tradnl"/>
        </w:rPr>
        <w:tab/>
        <w:t>Por otra parte, las fotografías de fs. 7557/7558 y el inventario de fs. 7555 confutan la argume</w:t>
      </w:r>
      <w:r>
        <w:rPr>
          <w:lang w:val="es-ES_tradnl"/>
        </w:rPr>
        <w:t>n</w:t>
      </w:r>
      <w:r>
        <w:rPr>
          <w:lang w:val="es-ES_tradnl"/>
        </w:rPr>
        <w:t>tación del abogado defensor, a poco que se advie</w:t>
      </w:r>
      <w:r>
        <w:rPr>
          <w:lang w:val="es-ES_tradnl"/>
        </w:rPr>
        <w:t>r</w:t>
      </w:r>
      <w:r>
        <w:rPr>
          <w:lang w:val="es-ES_tradnl"/>
        </w:rPr>
        <w:t>ta que el Renault 20 aludido, si bien presentó graves daños, no s</w:t>
      </w:r>
      <w:r>
        <w:rPr>
          <w:lang w:val="es-ES_tradnl"/>
        </w:rPr>
        <w:t>u</w:t>
      </w:r>
      <w:r>
        <w:rPr>
          <w:lang w:val="es-ES_tradnl"/>
        </w:rPr>
        <w:t>frió desprendimientos de sus partes estructurales, como necesariamente debiera haber acontecido en el supuesto i</w:t>
      </w:r>
      <w:r>
        <w:rPr>
          <w:lang w:val="es-ES_tradnl"/>
        </w:rPr>
        <w:t>n</w:t>
      </w:r>
      <w:r>
        <w:rPr>
          <w:lang w:val="es-ES_tradnl"/>
        </w:rPr>
        <w:t>vocado.</w:t>
      </w:r>
    </w:p>
    <w:p w:rsidR="00224567" w:rsidRDefault="00224567">
      <w:pPr>
        <w:widowControl w:val="0"/>
        <w:rPr>
          <w:lang w:val="es-ES_tradnl"/>
        </w:rPr>
      </w:pPr>
      <w:r>
        <w:rPr>
          <w:lang w:val="es-ES_tradnl"/>
        </w:rPr>
        <w:tab/>
        <w:t>A mayor abundamiento, el mentado I</w:t>
      </w:r>
      <w:r>
        <w:rPr>
          <w:lang w:val="es-ES_tradnl"/>
        </w:rPr>
        <w:t>n</w:t>
      </w:r>
      <w:r>
        <w:rPr>
          <w:lang w:val="es-ES_tradnl"/>
        </w:rPr>
        <w:t>forme Preliminar indicó a fs. 3vta. que el vehículo en cuestión no sufrió desvinculaciones evidentes de partes constitutivas de carrocería y motor, como tampoco de sus respectivos trenes rodantes.</w:t>
      </w:r>
    </w:p>
    <w:p w:rsidR="00224567" w:rsidRDefault="00224567">
      <w:pPr>
        <w:widowControl w:val="0"/>
      </w:pPr>
      <w:r>
        <w:rPr>
          <w:lang w:val="es-ES_tradnl"/>
        </w:rPr>
        <w:tab/>
      </w:r>
      <w:r>
        <w:rPr>
          <w:b/>
          <w:bCs/>
        </w:rPr>
        <w:tab/>
        <w:t>A.17)</w:t>
      </w:r>
      <w:r>
        <w:t xml:space="preserve"> Como se afirmó, la carga expl</w:t>
      </w:r>
      <w:r>
        <w:t>o</w:t>
      </w:r>
      <w:r>
        <w:t>siva, estimada –en su equivalente en T.N.T.- entre 300 y 400 kgs. y compuesta de nitrato de am</w:t>
      </w:r>
      <w:r>
        <w:t>o</w:t>
      </w:r>
      <w:r>
        <w:t>nio, con el agregado de aluminio, un hidrocarburo pesado, T.N.T. y nitroglic</w:t>
      </w:r>
      <w:r>
        <w:t>e</w:t>
      </w:r>
      <w:r>
        <w:t>rina, detonó en el perímetro delimitado por la línea de edific</w:t>
      </w:r>
      <w:r>
        <w:t>a</w:t>
      </w:r>
      <w:r>
        <w:t>ción, una línea paralela desplazada un metro hacia adentro del hall de entrada del edificio de Pasteur 633, el eje de simetría de la puerta de entrada y una línea p</w:t>
      </w:r>
      <w:r>
        <w:t>a</w:t>
      </w:r>
      <w:r>
        <w:t>ralela desplazada un metro y vei</w:t>
      </w:r>
      <w:r>
        <w:t>n</w:t>
      </w:r>
      <w:r>
        <w:t>ticinco centímetros hacia la calle Tucumán.</w:t>
      </w:r>
    </w:p>
    <w:p w:rsidR="00224567" w:rsidRDefault="00224567">
      <w:pPr>
        <w:widowControl w:val="0"/>
        <w:rPr>
          <w:lang w:val="es-ES_tradnl"/>
        </w:rPr>
      </w:pPr>
      <w:r>
        <w:tab/>
        <w:t xml:space="preserve">Tal extremo surge de los </w:t>
      </w:r>
      <w:r>
        <w:rPr>
          <w:lang w:val="es-ES_tradnl"/>
        </w:rPr>
        <w:t>peritajes químicos confeccionados por Gustavo Adolfo Merlo y Ma</w:t>
      </w:r>
      <w:r>
        <w:rPr>
          <w:lang w:val="es-ES_tradnl"/>
        </w:rPr>
        <w:t>r</w:t>
      </w:r>
      <w:r>
        <w:rPr>
          <w:lang w:val="es-ES_tradnl"/>
        </w:rPr>
        <w:t xml:space="preserve">celo Leguizamón, integrantes de </w:t>
      </w:r>
      <w:smartTag w:uri="urn:schemas-microsoft-com:office:smarttags" w:element="PersonName">
        <w:smartTagPr>
          <w:attr w:name="ProductID" w:val="la Divisi￳n Experimentaci￳n"/>
        </w:smartTagPr>
        <w:r>
          <w:rPr>
            <w:lang w:val="es-ES_tradnl"/>
          </w:rPr>
          <w:t>la División Experimentación</w:t>
        </w:r>
      </w:smartTag>
      <w:r>
        <w:rPr>
          <w:lang w:val="es-ES_tradnl"/>
        </w:rPr>
        <w:t xml:space="preserve"> y Adiestramiento de </w:t>
      </w:r>
      <w:smartTag w:uri="urn:schemas-microsoft-com:office:smarttags" w:element="PersonName">
        <w:smartTagPr>
          <w:attr w:name="ProductID" w:val="la Superintendencia"/>
        </w:smartTagPr>
        <w:r>
          <w:rPr>
            <w:lang w:val="es-ES_tradnl"/>
          </w:rPr>
          <w:t>la Superintendencia</w:t>
        </w:r>
      </w:smartTag>
      <w:r>
        <w:rPr>
          <w:lang w:val="es-ES_tradnl"/>
        </w:rPr>
        <w:t xml:space="preserve"> de Bomberos, obra</w:t>
      </w:r>
      <w:r>
        <w:rPr>
          <w:lang w:val="es-ES_tradnl"/>
        </w:rPr>
        <w:t>n</w:t>
      </w:r>
      <w:r>
        <w:rPr>
          <w:lang w:val="es-ES_tradnl"/>
        </w:rPr>
        <w:t>tes a fs. 50, 51, 53, 55, 56, 57, 59, 60 y 61 del Informe Preliminar, de los que se desprende que en las muestras analizadas se detectó la presencia de iones de nitrato, nitrito y amonio, además de aluminio elemental, conformá</w:t>
      </w:r>
      <w:r>
        <w:rPr>
          <w:lang w:val="es-ES_tradnl"/>
        </w:rPr>
        <w:t>n</w:t>
      </w:r>
      <w:r>
        <w:rPr>
          <w:lang w:val="es-ES_tradnl"/>
        </w:rPr>
        <w:t>dose dichas muestras con restos irregulares de metal, a</w:t>
      </w:r>
      <w:r>
        <w:rPr>
          <w:lang w:val="es-ES_tradnl"/>
        </w:rPr>
        <w:t>l</w:t>
      </w:r>
      <w:r>
        <w:rPr>
          <w:lang w:val="es-ES_tradnl"/>
        </w:rPr>
        <w:t>gunos de ellos con pintura color blanca, un trozo de c</w:t>
      </w:r>
      <w:r>
        <w:rPr>
          <w:lang w:val="es-ES_tradnl"/>
        </w:rPr>
        <w:t>u</w:t>
      </w:r>
      <w:r>
        <w:rPr>
          <w:lang w:val="es-ES_tradnl"/>
        </w:rPr>
        <w:t>bierta de automóvil, una pieza similar a un elá</w:t>
      </w:r>
      <w:r>
        <w:rPr>
          <w:lang w:val="es-ES_tradnl"/>
        </w:rPr>
        <w:t>s</w:t>
      </w:r>
      <w:r>
        <w:rPr>
          <w:lang w:val="es-ES_tradnl"/>
        </w:rPr>
        <w:t>tico, dos restos metálicos -identificados como “oquedad”- de formato irregular y bordes desgarrados y varios algodones  con  adherencias provenientes de la limpieza de distintos el</w:t>
      </w:r>
      <w:r>
        <w:rPr>
          <w:lang w:val="es-ES_tradnl"/>
        </w:rPr>
        <w:t>e</w:t>
      </w:r>
      <w:r>
        <w:rPr>
          <w:lang w:val="es-ES_tradnl"/>
        </w:rPr>
        <w:t>mentos, t</w:t>
      </w:r>
      <w:r>
        <w:rPr>
          <w:lang w:val="es-ES_tradnl"/>
        </w:rPr>
        <w:t>a</w:t>
      </w:r>
      <w:r>
        <w:rPr>
          <w:lang w:val="es-ES_tradnl"/>
        </w:rPr>
        <w:t>les como el volquete que se hallaba en el lugar del hecho, una llanta identificada como muestra n° 32, otra identificada como rueda de auxilio y una columna m</w:t>
      </w:r>
      <w:r>
        <w:rPr>
          <w:lang w:val="es-ES_tradnl"/>
        </w:rPr>
        <w:t>e</w:t>
      </w:r>
      <w:r>
        <w:rPr>
          <w:lang w:val="es-ES_tradnl"/>
        </w:rPr>
        <w:t>tálica.</w:t>
      </w:r>
    </w:p>
    <w:p w:rsidR="00224567" w:rsidRDefault="00224567">
      <w:pPr>
        <w:widowControl w:val="0"/>
        <w:rPr>
          <w:lang w:val="es-ES_tradnl"/>
        </w:rPr>
      </w:pPr>
      <w:r>
        <w:rPr>
          <w:lang w:val="es-ES_tradnl"/>
        </w:rPr>
        <w:tab/>
        <w:t>En otra muestra, además de las menci</w:t>
      </w:r>
      <w:r>
        <w:rPr>
          <w:lang w:val="es-ES_tradnl"/>
        </w:rPr>
        <w:t>o</w:t>
      </w:r>
      <w:r>
        <w:rPr>
          <w:lang w:val="es-ES_tradnl"/>
        </w:rPr>
        <w:t>nadas sustancias, se detectó la presencia de vest</w:t>
      </w:r>
      <w:r>
        <w:rPr>
          <w:lang w:val="es-ES_tradnl"/>
        </w:rPr>
        <w:t>i</w:t>
      </w:r>
      <w:r>
        <w:rPr>
          <w:lang w:val="es-ES_tradnl"/>
        </w:rPr>
        <w:t>gios de nitroglicerina; tal, el caso del informe glos</w:t>
      </w:r>
      <w:r>
        <w:rPr>
          <w:lang w:val="es-ES_tradnl"/>
        </w:rPr>
        <w:t>a</w:t>
      </w:r>
      <w:r>
        <w:rPr>
          <w:lang w:val="es-ES_tradnl"/>
        </w:rPr>
        <w:t>do a fs. 52 en relación a una pieza metálica con desgarramientos en uno de sus extremos.</w:t>
      </w:r>
    </w:p>
    <w:p w:rsidR="00224567" w:rsidRDefault="00224567">
      <w:pPr>
        <w:widowControl w:val="0"/>
      </w:pPr>
      <w:r>
        <w:rPr>
          <w:lang w:val="es-ES_tradnl"/>
        </w:rPr>
        <w:tab/>
      </w:r>
      <w:r>
        <w:tab/>
        <w:t xml:space="preserve">En igual sentido, los peritos Alberto Raúl Candia y Ricardo Agustín Padula de </w:t>
      </w:r>
      <w:smartTag w:uri="urn:schemas-microsoft-com:office:smarttags" w:element="PersonName">
        <w:smartTagPr>
          <w:attr w:name="ProductID" w:val="la Divisi￳n Laboratorio"/>
        </w:smartTagPr>
        <w:r>
          <w:t>la División Lab</w:t>
        </w:r>
        <w:r>
          <w:t>o</w:t>
        </w:r>
        <w:r>
          <w:t>ratorio</w:t>
        </w:r>
      </w:smartTag>
      <w:r>
        <w:t xml:space="preserve"> Químico de </w:t>
      </w:r>
      <w:smartTag w:uri="urn:schemas-microsoft-com:office:smarttags" w:element="PersonName">
        <w:smartTagPr>
          <w:attr w:name="ProductID" w:val="la Polic￭a Federal"/>
        </w:smartTagPr>
        <w:r>
          <w:t>la Policía Federal</w:t>
        </w:r>
      </w:smartTag>
      <w:r>
        <w:t xml:space="preserve"> Argentina, inform</w:t>
      </w:r>
      <w:r>
        <w:t>a</w:t>
      </w:r>
      <w:r>
        <w:t>ron a fs. 62/62-1 del Informe Pr</w:t>
      </w:r>
      <w:r>
        <w:t>e</w:t>
      </w:r>
      <w:r>
        <w:t>liminar que concurrieron al área del siniestro y recogieron un trozo de tela de c</w:t>
      </w:r>
      <w:r>
        <w:t>o</w:t>
      </w:r>
      <w:r>
        <w:t xml:space="preserve">lor azul que se hallaba en la columna de un comercio de sombreros, lindero a </w:t>
      </w:r>
      <w:smartTag w:uri="urn:schemas-microsoft-com:office:smarttags" w:element="PersonName">
        <w:smartTagPr>
          <w:attr w:name="ProductID" w:val="la A.M"/>
        </w:smartTagPr>
        <w:r>
          <w:t>la A.M</w:t>
        </w:r>
      </w:smartTag>
      <w:r>
        <w:t>.I.A. y un material de color verde gris</w:t>
      </w:r>
      <w:r>
        <w:t>á</w:t>
      </w:r>
      <w:r>
        <w:t>ceo, adherido al frente de mármol del edificio ubicado frente a la mutual (ver, además, el acta de fs. 62-2 del informe mencionado).</w:t>
      </w:r>
    </w:p>
    <w:p w:rsidR="00224567" w:rsidRDefault="00224567">
      <w:pPr>
        <w:widowControl w:val="0"/>
      </w:pPr>
      <w:r>
        <w:tab/>
      </w:r>
      <w:r>
        <w:tab/>
        <w:t>Luego de someter a dichas muestras a los reactivos químicos idóneos para detectar sustancias explosivas, se comprobó, en el caso del tr</w:t>
      </w:r>
      <w:r>
        <w:t>o</w:t>
      </w:r>
      <w:r>
        <w:t>zo de tela, la presencia de gran cantidad de aluminio, amonio y compue</w:t>
      </w:r>
      <w:r>
        <w:t>s</w:t>
      </w:r>
      <w:r>
        <w:t>tos que contienen en su estructura grupos nitro y, en el material verde grisáceo, identific</w:t>
      </w:r>
      <w:r>
        <w:t>a</w:t>
      </w:r>
      <w:r>
        <w:t>do como nº 3, además de aluminio y amonio, hidrocarburos, aniones oxidantes, óx</w:t>
      </w:r>
      <w:r>
        <w:t>i</w:t>
      </w:r>
      <w:r>
        <w:t>dos de n</w:t>
      </w:r>
      <w:r>
        <w:t>i</w:t>
      </w:r>
      <w:r>
        <w:t>trógeno y amoníaco.</w:t>
      </w:r>
    </w:p>
    <w:p w:rsidR="00224567" w:rsidRDefault="00224567">
      <w:pPr>
        <w:widowControl w:val="0"/>
        <w:rPr>
          <w:lang w:val="es-ES_tradnl"/>
        </w:rPr>
      </w:pPr>
      <w:r>
        <w:rPr>
          <w:lang w:val="es-ES_tradnl"/>
        </w:rPr>
        <w:tab/>
        <w:t>Por lo demás</w:t>
      </w:r>
      <w:r>
        <w:rPr>
          <w:b/>
          <w:bCs/>
          <w:lang w:val="es-ES_tradnl"/>
        </w:rPr>
        <w:t>,</w:t>
      </w:r>
      <w:r>
        <w:rPr>
          <w:lang w:val="es-ES_tradnl"/>
        </w:rPr>
        <w:t xml:space="preserve"> el estudio químico de fs. 40/41 del Informe Final aclaró que en la última mue</w:t>
      </w:r>
      <w:r>
        <w:rPr>
          <w:lang w:val="es-ES_tradnl"/>
        </w:rPr>
        <w:t>s</w:t>
      </w:r>
      <w:r>
        <w:rPr>
          <w:lang w:val="es-ES_tradnl"/>
        </w:rPr>
        <w:t>tra se comprobó “la presencia apenas perceptible de hidr</w:t>
      </w:r>
      <w:r>
        <w:rPr>
          <w:lang w:val="es-ES_tradnl"/>
        </w:rPr>
        <w:t>o</w:t>
      </w:r>
      <w:r>
        <w:rPr>
          <w:lang w:val="es-ES_tradnl"/>
        </w:rPr>
        <w:t>carburos superiores a 14 átomos de carbono (pes</w:t>
      </w:r>
      <w:r>
        <w:rPr>
          <w:lang w:val="es-ES_tradnl"/>
        </w:rPr>
        <w:t>a</w:t>
      </w:r>
      <w:r>
        <w:rPr>
          <w:lang w:val="es-ES_tradnl"/>
        </w:rPr>
        <w:t>dos), que no pudieron ser identific</w:t>
      </w:r>
      <w:r>
        <w:rPr>
          <w:lang w:val="es-ES_tradnl"/>
        </w:rPr>
        <w:t>a</w:t>
      </w:r>
      <w:r>
        <w:rPr>
          <w:lang w:val="es-ES_tradnl"/>
        </w:rPr>
        <w:t>dos”.</w:t>
      </w:r>
    </w:p>
    <w:p w:rsidR="00224567" w:rsidRDefault="00224567">
      <w:pPr>
        <w:widowControl w:val="0"/>
      </w:pPr>
      <w:r>
        <w:rPr>
          <w:lang w:val="es-ES_tradnl"/>
        </w:rPr>
        <w:tab/>
      </w:r>
      <w:r>
        <w:tab/>
        <w:t>En el estudio glosado a fs. 62/62-1 también se analizó un trozo de metal plano, rectangular, deformado y con bordes irregulares (mue</w:t>
      </w:r>
      <w:r>
        <w:t>s</w:t>
      </w:r>
      <w:r>
        <w:t>tra n° 1), que se corresponde con la pieza nº 2, identificada por “CIADEA S.A.” como un trozo de llanta (aro) deformada nº 77-00724717, en la que también se comprobó la presencia de amonio, aniones ox</w:t>
      </w:r>
      <w:r>
        <w:t>i</w:t>
      </w:r>
      <w:r>
        <w:t>dantes y compuestos que contienen en su estruct</w:t>
      </w:r>
      <w:r>
        <w:t>u</w:t>
      </w:r>
      <w:r>
        <w:t>ra grupos nitro.</w:t>
      </w:r>
    </w:p>
    <w:p w:rsidR="00224567" w:rsidRDefault="00224567">
      <w:pPr>
        <w:widowControl w:val="0"/>
      </w:pPr>
      <w:r>
        <w:tab/>
      </w:r>
      <w:r>
        <w:tab/>
        <w:t>En relación a las sustancias detect</w:t>
      </w:r>
      <w:r>
        <w:t>a</w:t>
      </w:r>
      <w:r>
        <w:t>das en las últimas tres muestras mencionadas, en partic</w:t>
      </w:r>
      <w:r>
        <w:t>u</w:t>
      </w:r>
      <w:r>
        <w:t>lar, las entidades amonio, aluminio, hidrocarburos y gr</w:t>
      </w:r>
      <w:r>
        <w:t>u</w:t>
      </w:r>
      <w:r>
        <w:t>pos oxigenados del nitrógeno, los especiali</w:t>
      </w:r>
      <w:r>
        <w:t>s</w:t>
      </w:r>
      <w:r>
        <w:t>tas destacaron que se correlacionan con los componentes de un explosivo del tipo de los am</w:t>
      </w:r>
      <w:r>
        <w:t>o</w:t>
      </w:r>
      <w:r>
        <w:t>nales.</w:t>
      </w:r>
    </w:p>
    <w:p w:rsidR="00224567" w:rsidRDefault="00224567">
      <w:pPr>
        <w:widowControl w:val="0"/>
        <w:rPr>
          <w:lang w:val="es-ES_tradnl"/>
        </w:rPr>
      </w:pPr>
      <w:r>
        <w:rPr>
          <w:lang w:val="es-ES_tradnl"/>
        </w:rPr>
        <w:tab/>
        <w:t>Finalmente, los peritajes químicos obrantes a fs. 29 y 30 del Informe Final, suscriptos por el citado Merlo, acreditaron que en las piezas identific</w:t>
      </w:r>
      <w:r>
        <w:rPr>
          <w:lang w:val="es-ES_tradnl"/>
        </w:rPr>
        <w:t>a</w:t>
      </w:r>
      <w:r>
        <w:rPr>
          <w:lang w:val="es-ES_tradnl"/>
        </w:rPr>
        <w:t>das por los técnicos de “CIADEA S.A.” con los números 1, 2, 60, 82 y 90 se detectó la presencia de trazas de iones de nitrato, nitrito, amonio, aluminio, sulfato, carbonato, calcio y carbón, como así también nitroglicerina y trin</w:t>
      </w:r>
      <w:r>
        <w:rPr>
          <w:lang w:val="es-ES_tradnl"/>
        </w:rPr>
        <w:t>i</w:t>
      </w:r>
      <w:r>
        <w:rPr>
          <w:lang w:val="es-ES_tradnl"/>
        </w:rPr>
        <w:t>trotolueno (T.N.T. y trotil), siendo los dos últimos a</w:t>
      </w:r>
      <w:r>
        <w:rPr>
          <w:lang w:val="es-ES_tradnl"/>
        </w:rPr>
        <w:t>l</w:t>
      </w:r>
      <w:r>
        <w:rPr>
          <w:lang w:val="es-ES_tradnl"/>
        </w:rPr>
        <w:t>tos explosivos.</w:t>
      </w:r>
    </w:p>
    <w:p w:rsidR="00224567" w:rsidRDefault="00224567">
      <w:pPr>
        <w:widowControl w:val="0"/>
        <w:rPr>
          <w:lang w:val="es-ES_tradnl"/>
        </w:rPr>
      </w:pPr>
      <w:r>
        <w:rPr>
          <w:lang w:val="es-ES_tradnl"/>
        </w:rPr>
        <w:tab/>
        <w:t>Las sustancias antes mencionadas, s</w:t>
      </w:r>
      <w:r>
        <w:rPr>
          <w:lang w:val="es-ES_tradnl"/>
        </w:rPr>
        <w:t>e</w:t>
      </w:r>
      <w:r>
        <w:rPr>
          <w:lang w:val="es-ES_tradnl"/>
        </w:rPr>
        <w:t>gún señalaron en el debate los químicos Gustavo Merlo y Marcelo Leguizamón, constituyen los componentes de un e</w:t>
      </w:r>
      <w:r>
        <w:rPr>
          <w:lang w:val="es-ES_tradnl"/>
        </w:rPr>
        <w:t>x</w:t>
      </w:r>
      <w:r>
        <w:rPr>
          <w:lang w:val="es-ES_tradnl"/>
        </w:rPr>
        <w:t>plosivo denominado nitrato de amonio, con grandes cantid</w:t>
      </w:r>
      <w:r>
        <w:rPr>
          <w:lang w:val="es-ES_tradnl"/>
        </w:rPr>
        <w:t>a</w:t>
      </w:r>
      <w:r>
        <w:rPr>
          <w:lang w:val="es-ES_tradnl"/>
        </w:rPr>
        <w:t>des de aluminio en polvo, como así también ve</w:t>
      </w:r>
      <w:r>
        <w:rPr>
          <w:lang w:val="es-ES_tradnl"/>
        </w:rPr>
        <w:t>s</w:t>
      </w:r>
      <w:r>
        <w:rPr>
          <w:lang w:val="es-ES_tradnl"/>
        </w:rPr>
        <w:t>tigios de un compuesto muy similar a la nitroglicerina; deduciendo el primero de los nombrados que la concentración de nitrogl</w:t>
      </w:r>
      <w:r>
        <w:rPr>
          <w:lang w:val="es-ES_tradnl"/>
        </w:rPr>
        <w:t>i</w:t>
      </w:r>
      <w:r>
        <w:rPr>
          <w:lang w:val="es-ES_tradnl"/>
        </w:rPr>
        <w:t>cerina en el total de la masa explosiva era mínima, en r</w:t>
      </w:r>
      <w:r>
        <w:rPr>
          <w:lang w:val="es-ES_tradnl"/>
        </w:rPr>
        <w:t>a</w:t>
      </w:r>
      <w:r>
        <w:rPr>
          <w:lang w:val="es-ES_tradnl"/>
        </w:rPr>
        <w:t>zón de la forma muy tenue en que aparecía en las mue</w:t>
      </w:r>
      <w:r>
        <w:rPr>
          <w:lang w:val="es-ES_tradnl"/>
        </w:rPr>
        <w:t>s</w:t>
      </w:r>
      <w:r>
        <w:rPr>
          <w:lang w:val="es-ES_tradnl"/>
        </w:rPr>
        <w:t>tras.</w:t>
      </w:r>
    </w:p>
    <w:p w:rsidR="00224567" w:rsidRDefault="00224567">
      <w:pPr>
        <w:widowControl w:val="0"/>
        <w:rPr>
          <w:lang w:val="es-ES_tradnl"/>
        </w:rPr>
      </w:pPr>
      <w:r>
        <w:rPr>
          <w:lang w:val="es-ES_tradnl"/>
        </w:rPr>
        <w:tab/>
        <w:t>Por su parte, los químicos Alberto Raúl Candia y Ricardo Agustín Padula reconocieron su firma en los exámenes señalados, agregando éste último que alg</w:t>
      </w:r>
      <w:r>
        <w:rPr>
          <w:lang w:val="es-ES_tradnl"/>
        </w:rPr>
        <w:t>u</w:t>
      </w:r>
      <w:r>
        <w:rPr>
          <w:lang w:val="es-ES_tradnl"/>
        </w:rPr>
        <w:t>nas de las muestras las tomaron en el lugar del hecho, a los pocos días de sucedido. Finalmente, el suboficial R</w:t>
      </w:r>
      <w:r>
        <w:rPr>
          <w:lang w:val="es-ES_tradnl"/>
        </w:rPr>
        <w:t>a</w:t>
      </w:r>
      <w:r>
        <w:rPr>
          <w:lang w:val="es-ES_tradnl"/>
        </w:rPr>
        <w:t>fael Ángel Carelo ratificó esta última circunstancia.</w:t>
      </w:r>
    </w:p>
    <w:p w:rsidR="00224567" w:rsidRDefault="00224567">
      <w:pPr>
        <w:widowControl w:val="0"/>
        <w:rPr>
          <w:lang w:val="es-ES_tradnl"/>
        </w:rPr>
      </w:pPr>
      <w:r>
        <w:rPr>
          <w:lang w:val="es-ES_tradnl"/>
        </w:rPr>
        <w:tab/>
        <w:t>Sobre la base de los citados perit</w:t>
      </w:r>
      <w:r>
        <w:rPr>
          <w:lang w:val="es-ES_tradnl"/>
        </w:rPr>
        <w:t>a</w:t>
      </w:r>
      <w:r>
        <w:rPr>
          <w:lang w:val="es-ES_tradnl"/>
        </w:rPr>
        <w:t xml:space="preserve">jes químicos y del estudio realizado por el ing. </w:t>
      </w:r>
      <w:r>
        <w:t>Juan María</w:t>
      </w:r>
      <w:r>
        <w:rPr>
          <w:lang w:val="es-ES_tradnl"/>
        </w:rPr>
        <w:t xml:space="preserve"> Cardoni sobre el eje trasero y las deformaciones que pr</w:t>
      </w:r>
      <w:r>
        <w:rPr>
          <w:lang w:val="es-ES_tradnl"/>
        </w:rPr>
        <w:t>e</w:t>
      </w:r>
      <w:r>
        <w:rPr>
          <w:lang w:val="es-ES_tradnl"/>
        </w:rPr>
        <w:t xml:space="preserve">sentaron las piezas que conformaron el tren trasero, los peritos Carlos Néstor López, Daniel Alberto Helguero y Raúl Arbor determinaron que se utilizó una carga explosiva calculada en un mínimo de 300 kgs. de nitrato de amonio, </w:t>
      </w:r>
      <w:r>
        <w:t>con el agregado de aluminio, un hidrocarburo pesado y pr</w:t>
      </w:r>
      <w:r>
        <w:t>o</w:t>
      </w:r>
      <w:r>
        <w:t>bablemente sensibilizado con T.N.T. y nitroglicer</w:t>
      </w:r>
      <w:r>
        <w:t>i</w:t>
      </w:r>
      <w:r>
        <w:t>na.</w:t>
      </w:r>
    </w:p>
    <w:p w:rsidR="00224567" w:rsidRDefault="00224567">
      <w:pPr>
        <w:widowControl w:val="0"/>
        <w:rPr>
          <w:lang w:val="es-ES_tradnl"/>
        </w:rPr>
      </w:pPr>
      <w:r>
        <w:rPr>
          <w:lang w:val="es-ES_tradnl"/>
        </w:rPr>
        <w:tab/>
        <w:t>En idéntico sentido, el estudio quím</w:t>
      </w:r>
      <w:r>
        <w:rPr>
          <w:lang w:val="es-ES_tradnl"/>
        </w:rPr>
        <w:t>i</w:t>
      </w:r>
      <w:r>
        <w:rPr>
          <w:lang w:val="es-ES_tradnl"/>
        </w:rPr>
        <w:t>co obrante a fs. 5638/5909 del legajo de instrucción s</w:t>
      </w:r>
      <w:r>
        <w:rPr>
          <w:lang w:val="es-ES_tradnl"/>
        </w:rPr>
        <w:t>u</w:t>
      </w:r>
      <w:r>
        <w:rPr>
          <w:lang w:val="es-ES_tradnl"/>
        </w:rPr>
        <w:t>plementaria, elaborado por Daniel Aleja</w:t>
      </w:r>
      <w:r>
        <w:rPr>
          <w:lang w:val="es-ES_tradnl"/>
        </w:rPr>
        <w:t>n</w:t>
      </w:r>
      <w:r>
        <w:rPr>
          <w:lang w:val="es-ES_tradnl"/>
        </w:rPr>
        <w:t>dro Converso, Hugo Ariel Iseas, Graciela Alicia González y Hugo Ricardo P</w:t>
      </w:r>
      <w:r>
        <w:rPr>
          <w:lang w:val="es-ES_tradnl"/>
        </w:rPr>
        <w:t>é</w:t>
      </w:r>
      <w:r>
        <w:rPr>
          <w:lang w:val="es-ES_tradnl"/>
        </w:rPr>
        <w:t xml:space="preserve">rez, integrantes de </w:t>
      </w:r>
      <w:smartTag w:uri="urn:schemas-microsoft-com:office:smarttags" w:element="PersonName">
        <w:smartTagPr>
          <w:attr w:name="ProductID" w:val="la Direcci￳n"/>
        </w:smartTagPr>
        <w:r>
          <w:rPr>
            <w:lang w:val="es-ES_tradnl"/>
          </w:rPr>
          <w:t>la Dirección</w:t>
        </w:r>
      </w:smartTag>
      <w:r>
        <w:rPr>
          <w:lang w:val="es-ES_tradnl"/>
        </w:rPr>
        <w:t xml:space="preserve"> de Policía Científica de Gendarmería Nacional, en conjunto con los peritos propue</w:t>
      </w:r>
      <w:r>
        <w:rPr>
          <w:lang w:val="es-ES_tradnl"/>
        </w:rPr>
        <w:t>s</w:t>
      </w:r>
      <w:r>
        <w:rPr>
          <w:lang w:val="es-ES_tradnl"/>
        </w:rPr>
        <w:t>tos por la querella DAIA, AMIA y “Grupo de Familiares”, Alfredo Ignacio Saravi y Ricardo Torello, demostró que treinta y un de las treinta y cuatro muestras de chapas tomadas al azar presentaron restos de nitratos, nitr</w:t>
      </w:r>
      <w:r>
        <w:rPr>
          <w:lang w:val="es-ES_tradnl"/>
        </w:rPr>
        <w:t>i</w:t>
      </w:r>
      <w:r>
        <w:rPr>
          <w:lang w:val="es-ES_tradnl"/>
        </w:rPr>
        <w:t>tos y amonio y que siete de ellas presentaban, además, vestigios de hidrocarburos de más de 14 átomos de carbono, al igual que el block del motor que, además de dichas sustancias, presentó restos de trotil (T.N.T.); característ</w:t>
      </w:r>
      <w:r>
        <w:rPr>
          <w:lang w:val="es-ES_tradnl"/>
        </w:rPr>
        <w:t>i</w:t>
      </w:r>
      <w:r>
        <w:rPr>
          <w:lang w:val="es-ES_tradnl"/>
        </w:rPr>
        <w:t>cos, todos ellos, de un explosivo con base de nitrato de amonio.</w:t>
      </w:r>
    </w:p>
    <w:p w:rsidR="00224567" w:rsidRDefault="00224567">
      <w:pPr>
        <w:widowControl w:val="0"/>
        <w:rPr>
          <w:lang w:val="es-ES_tradnl"/>
        </w:rPr>
      </w:pPr>
      <w:r>
        <w:rPr>
          <w:b/>
          <w:bCs/>
          <w:lang w:val="es-ES_tradnl"/>
        </w:rPr>
        <w:tab/>
        <w:t>A.18)</w:t>
      </w:r>
      <w:r>
        <w:rPr>
          <w:lang w:val="es-ES_tradnl"/>
        </w:rPr>
        <w:t xml:space="preserve"> Que en punto a la cantidad de material explosivo utilizado y al lugar en que éste det</w:t>
      </w:r>
      <w:r>
        <w:rPr>
          <w:lang w:val="es-ES_tradnl"/>
        </w:rPr>
        <w:t>o</w:t>
      </w:r>
      <w:r>
        <w:rPr>
          <w:lang w:val="es-ES_tradnl"/>
        </w:rPr>
        <w:t>nó, se tiene en cuenta el estudio de simulación comp</w:t>
      </w:r>
      <w:r>
        <w:rPr>
          <w:lang w:val="es-ES_tradnl"/>
        </w:rPr>
        <w:t>u</w:t>
      </w:r>
      <w:r>
        <w:rPr>
          <w:lang w:val="es-ES_tradnl"/>
        </w:rPr>
        <w:t>tacional tridimensional que reprodujo virtualmente, en forma completa, la mecánica del suceso; estudio que se e</w:t>
      </w:r>
      <w:r>
        <w:rPr>
          <w:lang w:val="es-ES_tradnl"/>
        </w:rPr>
        <w:t>n</w:t>
      </w:r>
      <w:r>
        <w:rPr>
          <w:lang w:val="es-ES_tradnl"/>
        </w:rPr>
        <w:t xml:space="preserve">comendó a los Dres. ingenieros Bibiana Luccioni, Daniel Ambrosini y Rodolfo Danesi, pertenecientes al Instituto de Estructuras “Ing. Arturo M. Guzmán” de </w:t>
      </w:r>
      <w:smartTag w:uri="urn:schemas-microsoft-com:office:smarttags" w:element="PersonName">
        <w:smartTagPr>
          <w:attr w:name="ProductID" w:val="la Universidad Nacional"/>
        </w:smartTagPr>
        <w:r>
          <w:rPr>
            <w:lang w:val="es-ES_tradnl"/>
          </w:rPr>
          <w:t>la Universidad N</w:t>
        </w:r>
        <w:r>
          <w:rPr>
            <w:lang w:val="es-ES_tradnl"/>
          </w:rPr>
          <w:t>a</w:t>
        </w:r>
        <w:r>
          <w:rPr>
            <w:lang w:val="es-ES_tradnl"/>
          </w:rPr>
          <w:t>cional</w:t>
        </w:r>
      </w:smartTag>
      <w:r>
        <w:rPr>
          <w:lang w:val="es-ES_tradnl"/>
        </w:rPr>
        <w:t xml:space="preserve"> de Tucumán (cónfr. fs. 6112/6210</w:t>
      </w:r>
      <w:r>
        <w:t xml:space="preserve"> </w:t>
      </w:r>
      <w:r>
        <w:rPr>
          <w:lang w:val="es-ES_tradnl"/>
        </w:rPr>
        <w:t>del legajo de in</w:t>
      </w:r>
      <w:r>
        <w:rPr>
          <w:lang w:val="es-ES_tradnl"/>
        </w:rPr>
        <w:t>s</w:t>
      </w:r>
      <w:r>
        <w:rPr>
          <w:lang w:val="es-ES_tradnl"/>
        </w:rPr>
        <w:t>trucción suplementaria).</w:t>
      </w:r>
    </w:p>
    <w:p w:rsidR="00224567" w:rsidRDefault="00224567">
      <w:pPr>
        <w:widowControl w:val="0"/>
        <w:rPr>
          <w:lang w:val="es-ES_tradnl"/>
        </w:rPr>
      </w:pPr>
      <w:r>
        <w:rPr>
          <w:lang w:val="es-ES_tradnl"/>
        </w:rPr>
        <w:tab/>
        <w:t>Con sustento en los planos del edif</w:t>
      </w:r>
      <w:r>
        <w:rPr>
          <w:lang w:val="es-ES_tradnl"/>
        </w:rPr>
        <w:t>i</w:t>
      </w:r>
      <w:r>
        <w:rPr>
          <w:lang w:val="es-ES_tradnl"/>
        </w:rPr>
        <w:t>cio, la información catastral, el informe de daños elab</w:t>
      </w:r>
      <w:r>
        <w:rPr>
          <w:lang w:val="es-ES_tradnl"/>
        </w:rPr>
        <w:t>o</w:t>
      </w:r>
      <w:r>
        <w:rPr>
          <w:lang w:val="es-ES_tradnl"/>
        </w:rPr>
        <w:t xml:space="preserve">rado por </w:t>
      </w:r>
      <w:smartTag w:uri="urn:schemas-microsoft-com:office:smarttags" w:element="PersonName">
        <w:smartTagPr>
          <w:attr w:name="ProductID" w:val="la Asociaci￳n"/>
        </w:smartTagPr>
        <w:r>
          <w:rPr>
            <w:lang w:val="es-ES_tradnl"/>
          </w:rPr>
          <w:t>la Asociación</w:t>
        </w:r>
      </w:smartTag>
      <w:r>
        <w:rPr>
          <w:lang w:val="es-ES_tradnl"/>
        </w:rPr>
        <w:t xml:space="preserve"> de Ingenieros Estructurales, los peritajes acerca de la mecánica de la explosión, las fot</w:t>
      </w:r>
      <w:r>
        <w:rPr>
          <w:lang w:val="es-ES_tradnl"/>
        </w:rPr>
        <w:t>o</w:t>
      </w:r>
      <w:r>
        <w:rPr>
          <w:lang w:val="es-ES_tradnl"/>
        </w:rPr>
        <w:t>grafías, los videos y demás información incorporada a la causa, se realizó una modelación de toda la cuadra de Pa</w:t>
      </w:r>
      <w:r>
        <w:rPr>
          <w:lang w:val="es-ES_tradnl"/>
        </w:rPr>
        <w:t>s</w:t>
      </w:r>
      <w:r>
        <w:rPr>
          <w:lang w:val="es-ES_tradnl"/>
        </w:rPr>
        <w:t>teur al 600, con el objetivo de obtener la distribución de presiones ante distintas a</w:t>
      </w:r>
      <w:r>
        <w:rPr>
          <w:lang w:val="es-ES_tradnl"/>
        </w:rPr>
        <w:t>l</w:t>
      </w:r>
      <w:r>
        <w:rPr>
          <w:lang w:val="es-ES_tradnl"/>
        </w:rPr>
        <w:t>ternativas de ubicación y masa del explosivo, valorada bajo el denominador T.N.T., l</w:t>
      </w:r>
      <w:r>
        <w:rPr>
          <w:lang w:val="es-ES_tradnl"/>
        </w:rPr>
        <w:t>o</w:t>
      </w:r>
      <w:r>
        <w:rPr>
          <w:lang w:val="es-ES_tradnl"/>
        </w:rPr>
        <w:t>grándose una primera aproximación acerca de la ubicación más probable del foco de la e</w:t>
      </w:r>
      <w:r>
        <w:rPr>
          <w:lang w:val="es-ES_tradnl"/>
        </w:rPr>
        <w:t>x</w:t>
      </w:r>
      <w:r>
        <w:rPr>
          <w:lang w:val="es-ES_tradnl"/>
        </w:rPr>
        <w:t>plosión y de la cantidad de explosivo ut</w:t>
      </w:r>
      <w:r>
        <w:rPr>
          <w:lang w:val="es-ES_tradnl"/>
        </w:rPr>
        <w:t>i</w:t>
      </w:r>
      <w:r>
        <w:rPr>
          <w:lang w:val="es-ES_tradnl"/>
        </w:rPr>
        <w:t>lizado.</w:t>
      </w:r>
    </w:p>
    <w:p w:rsidR="00224567" w:rsidRDefault="00224567">
      <w:pPr>
        <w:widowControl w:val="0"/>
      </w:pPr>
      <w:r>
        <w:rPr>
          <w:lang w:val="es-ES_tradnl"/>
        </w:rPr>
        <w:tab/>
      </w:r>
      <w:r>
        <w:tab/>
        <w:t>Para ello, los profesionales antes s</w:t>
      </w:r>
      <w:r>
        <w:t>e</w:t>
      </w:r>
      <w:r>
        <w:t>ñalados consideraron que el programa computacional “AUT</w:t>
      </w:r>
      <w:r>
        <w:t>O</w:t>
      </w:r>
      <w:r>
        <w:t>DYN-3D”, junto a los procesadores “Lagrange”, “Euler”, “Lagrange-Euler Arbitrario” y “Shell”, acoplados al sist</w:t>
      </w:r>
      <w:r>
        <w:t>e</w:t>
      </w:r>
      <w:r>
        <w:t>ma informático, era el más adecuado para desarrollar la solución al probl</w:t>
      </w:r>
      <w:r>
        <w:t>e</w:t>
      </w:r>
      <w:r>
        <w:t>ma planteado, en razón de su particular diseño para el análisis de los problemas de impacto y e</w:t>
      </w:r>
      <w:r>
        <w:t>x</w:t>
      </w:r>
      <w:r>
        <w:t>plosi</w:t>
      </w:r>
      <w:r>
        <w:t>o</w:t>
      </w:r>
      <w:r>
        <w:t>nes.</w:t>
      </w:r>
    </w:p>
    <w:p w:rsidR="00224567" w:rsidRDefault="00224567">
      <w:pPr>
        <w:widowControl w:val="0"/>
        <w:rPr>
          <w:lang w:val="es-ES_tradnl"/>
        </w:rPr>
      </w:pPr>
      <w:r>
        <w:rPr>
          <w:lang w:val="es-ES_tradnl"/>
        </w:rPr>
        <w:tab/>
        <w:t>Debe destacarse que las mallas que r</w:t>
      </w:r>
      <w:r>
        <w:rPr>
          <w:lang w:val="es-ES_tradnl"/>
        </w:rPr>
        <w:t>e</w:t>
      </w:r>
      <w:r>
        <w:rPr>
          <w:lang w:val="es-ES_tradnl"/>
        </w:rPr>
        <w:t xml:space="preserve">produjeron los edificios ubicados en ambas veredas de la calle Pasteur se formaron con elementos tridimensionales de forma cúbica, de 8 nodos y de </w:t>
      </w:r>
      <w:smartTag w:uri="urn:schemas-microsoft-com:office:smarttags" w:element="metricconverter">
        <w:smartTagPr>
          <w:attr w:name="ProductID" w:val="50 cm"/>
        </w:smartTagPr>
        <w:r>
          <w:rPr>
            <w:lang w:val="es-ES_tradnl"/>
          </w:rPr>
          <w:t>50 cm</w:t>
        </w:r>
      </w:smartTag>
      <w:r>
        <w:rPr>
          <w:lang w:val="es-ES_tradnl"/>
        </w:rPr>
        <w:t xml:space="preserve"> de lado, lo cual conduce a modelos de 380.000 y 615.000 elementos, respe</w:t>
      </w:r>
      <w:r>
        <w:rPr>
          <w:lang w:val="es-ES_tradnl"/>
        </w:rPr>
        <w:t>c</w:t>
      </w:r>
      <w:r>
        <w:rPr>
          <w:lang w:val="es-ES_tradnl"/>
        </w:rPr>
        <w:t xml:space="preserve">tivamente, para las veredas de </w:t>
      </w:r>
      <w:smartTag w:uri="urn:schemas-microsoft-com:office:smarttags" w:element="PersonName">
        <w:smartTagPr>
          <w:attr w:name="ProductID" w:val="la A.M"/>
        </w:smartTagPr>
        <w:r>
          <w:rPr>
            <w:lang w:val="es-ES_tradnl"/>
          </w:rPr>
          <w:t>la A.M</w:t>
        </w:r>
      </w:smartTag>
      <w:r>
        <w:rPr>
          <w:lang w:val="es-ES_tradnl"/>
        </w:rPr>
        <w:t>.I.A. y su opuesta; dicho programa también reprodujo los distintos comport</w:t>
      </w:r>
      <w:r>
        <w:rPr>
          <w:lang w:val="es-ES_tradnl"/>
        </w:rPr>
        <w:t>a</w:t>
      </w:r>
      <w:r>
        <w:rPr>
          <w:lang w:val="es-ES_tradnl"/>
        </w:rPr>
        <w:t>mientos de los fluidos y gases comprom</w:t>
      </w:r>
      <w:r>
        <w:rPr>
          <w:lang w:val="es-ES_tradnl"/>
        </w:rPr>
        <w:t>e</w:t>
      </w:r>
      <w:r>
        <w:rPr>
          <w:lang w:val="es-ES_tradnl"/>
        </w:rPr>
        <w:t>tidos en la prueba.</w:t>
      </w:r>
    </w:p>
    <w:p w:rsidR="00224567" w:rsidRDefault="00224567">
      <w:pPr>
        <w:widowControl w:val="0"/>
        <w:rPr>
          <w:lang w:val="es-ES_tradnl"/>
        </w:rPr>
      </w:pPr>
      <w:r>
        <w:rPr>
          <w:lang w:val="es-ES_tradnl"/>
        </w:rPr>
        <w:tab/>
        <w:t>Con el objeto de evaluar la cantidad de explosivo utilizado se consideraron cargas de 300 y 400 Kgs. de T.N.T. y se analizaron, además, otras a</w:t>
      </w:r>
      <w:r>
        <w:rPr>
          <w:lang w:val="es-ES_tradnl"/>
        </w:rPr>
        <w:t>l</w:t>
      </w:r>
      <w:r>
        <w:rPr>
          <w:lang w:val="es-ES_tradnl"/>
        </w:rPr>
        <w:t>ternativas que permitieron descartar masas de explosivos fuera de esos rangos.</w:t>
      </w:r>
    </w:p>
    <w:p w:rsidR="00224567" w:rsidRDefault="00224567">
      <w:pPr>
        <w:widowControl w:val="0"/>
      </w:pPr>
      <w:r>
        <w:rPr>
          <w:lang w:val="es-ES_tradnl"/>
        </w:rPr>
        <w:tab/>
      </w:r>
      <w:r>
        <w:tab/>
        <w:t>También en dicho estudio se an</w:t>
      </w:r>
      <w:r>
        <w:t>a</w:t>
      </w:r>
      <w:r>
        <w:t>lizaron distintas alternativas de ubicación del foco: sobre la v</w:t>
      </w:r>
      <w:r>
        <w:t>e</w:t>
      </w:r>
      <w:r>
        <w:t xml:space="preserve">reda, a </w:t>
      </w:r>
      <w:smartTag w:uri="urn:schemas-microsoft-com:office:smarttags" w:element="metricconverter">
        <w:smartTagPr>
          <w:attr w:name="ProductID" w:val="2 m"/>
        </w:smartTagPr>
        <w:r>
          <w:t>2 m</w:t>
        </w:r>
      </w:smartTag>
      <w:r>
        <w:t xml:space="preserve"> de la línea de edificación; s</w:t>
      </w:r>
      <w:r>
        <w:t>o</w:t>
      </w:r>
      <w:r>
        <w:t>bre la línea de edificación; en el hall de entrada del edificio de Pa</w:t>
      </w:r>
      <w:r>
        <w:t>s</w:t>
      </w:r>
      <w:r>
        <w:t xml:space="preserve">teur </w:t>
      </w:r>
      <w:smartTag w:uri="urn:schemas-microsoft-com:office:smarttags" w:element="metricconverter">
        <w:smartTagPr>
          <w:attr w:name="ProductID" w:val="633, a"/>
        </w:smartTagPr>
        <w:r>
          <w:t>633, a</w:t>
        </w:r>
      </w:smartTag>
      <w:r>
        <w:t xml:space="preserve"> </w:t>
      </w:r>
      <w:smartTag w:uri="urn:schemas-microsoft-com:office:smarttags" w:element="metricconverter">
        <w:smartTagPr>
          <w:attr w:name="ProductID" w:val="1 m"/>
        </w:smartTagPr>
        <w:r>
          <w:t>1 m</w:t>
        </w:r>
      </w:smartTag>
      <w:r>
        <w:t xml:space="preserve"> de la línea de edificación; en el sótano de d</w:t>
      </w:r>
      <w:r>
        <w:t>i</w:t>
      </w:r>
      <w:r>
        <w:t xml:space="preserve">cho edificio; en el interior de la mutual, a </w:t>
      </w:r>
      <w:smartTag w:uri="urn:schemas-microsoft-com:office:smarttags" w:element="metricconverter">
        <w:smartTagPr>
          <w:attr w:name="ProductID" w:val="5 m"/>
        </w:smartTagPr>
        <w:r>
          <w:t>5 m</w:t>
        </w:r>
      </w:smartTag>
      <w:r>
        <w:t xml:space="preserve"> de la l</w:t>
      </w:r>
      <w:r>
        <w:t>í</w:t>
      </w:r>
      <w:r>
        <w:t xml:space="preserve">nea de edificación; en el mencionado hall, a </w:t>
      </w:r>
      <w:smartTag w:uri="urn:schemas-microsoft-com:office:smarttags" w:element="metricconverter">
        <w:smartTagPr>
          <w:attr w:name="ProductID" w:val="1 m"/>
        </w:smartTagPr>
        <w:r>
          <w:t>1 m</w:t>
        </w:r>
      </w:smartTag>
      <w:r>
        <w:t xml:space="preserve"> de la l</w:t>
      </w:r>
      <w:r>
        <w:t>í</w:t>
      </w:r>
      <w:r>
        <w:t xml:space="preserve">nea de edificación y a </w:t>
      </w:r>
      <w:smartTag w:uri="urn:schemas-microsoft-com:office:smarttags" w:element="metricconverter">
        <w:smartTagPr>
          <w:attr w:name="ProductID" w:val="1,25 m"/>
        </w:smartTagPr>
        <w:r>
          <w:t>1,25 m</w:t>
        </w:r>
      </w:smartTag>
      <w:r>
        <w:t xml:space="preserve"> hacia la calle Tucumán y en dicho hall, a </w:t>
      </w:r>
      <w:smartTag w:uri="urn:schemas-microsoft-com:office:smarttags" w:element="metricconverter">
        <w:smartTagPr>
          <w:attr w:name="ProductID" w:val="1 m"/>
        </w:smartTagPr>
        <w:r>
          <w:t>1 m</w:t>
        </w:r>
      </w:smartTag>
      <w:r>
        <w:t xml:space="preserve"> de la línea de edificación y a </w:t>
      </w:r>
      <w:smartTag w:uri="urn:schemas-microsoft-com:office:smarttags" w:element="metricconverter">
        <w:smartTagPr>
          <w:attr w:name="ProductID" w:val="1,25 m"/>
        </w:smartTagPr>
        <w:r>
          <w:t>1,25 m</w:t>
        </w:r>
      </w:smartTag>
      <w:r>
        <w:t xml:space="preserve"> hacia la calle Viamo</w:t>
      </w:r>
      <w:r>
        <w:t>n</w:t>
      </w:r>
      <w:r>
        <w:t>te.</w:t>
      </w:r>
    </w:p>
    <w:p w:rsidR="00224567" w:rsidRDefault="00224567">
      <w:pPr>
        <w:widowControl w:val="0"/>
      </w:pPr>
      <w:r>
        <w:tab/>
      </w:r>
      <w:r>
        <w:tab/>
        <w:t>Como alternativas adicionales se an</w:t>
      </w:r>
      <w:r>
        <w:t>a</w:t>
      </w:r>
      <w:r>
        <w:t>lizó la influencia que pudieron tener en el desarr</w:t>
      </w:r>
      <w:r>
        <w:t>o</w:t>
      </w:r>
      <w:r>
        <w:t xml:space="preserve">llo del suceso el volquete colocado frente a la sede de </w:t>
      </w:r>
      <w:smartTag w:uri="urn:schemas-microsoft-com:office:smarttags" w:element="PersonName">
        <w:smartTagPr>
          <w:attr w:name="ProductID" w:val="la A.M"/>
        </w:smartTagPr>
        <w:r>
          <w:t>la A.M</w:t>
        </w:r>
      </w:smartTag>
      <w:r>
        <w:t>.I.A., para lo cual se modeló uno que se ubicó en el lugar que indican las constancias del expediente y un eventual direccionamiento de la carga explosiva, a cuyo efecto se modeló un direccionamiento, mediante celdas r</w:t>
      </w:r>
      <w:r>
        <w:t>í</w:t>
      </w:r>
      <w:r>
        <w:t>gidas, alrededor del foco de la explosión.</w:t>
      </w:r>
    </w:p>
    <w:p w:rsidR="00224567" w:rsidRDefault="00224567">
      <w:pPr>
        <w:widowControl w:val="0"/>
      </w:pPr>
      <w:r>
        <w:tab/>
      </w:r>
      <w:r>
        <w:tab/>
        <w:t>En todos los casos, se ubic</w:t>
      </w:r>
      <w:r>
        <w:t>a</w:t>
      </w:r>
      <w:r>
        <w:t>ron en los modelos computacionales puntos de control en los que se grabaron todas las variables del problema; d</w:t>
      </w:r>
      <w:r>
        <w:t>i</w:t>
      </w:r>
      <w:r>
        <w:t>chos puntos  -139 en los edificios ubicados en la ver</w:t>
      </w:r>
      <w:r>
        <w:t>e</w:t>
      </w:r>
      <w:r>
        <w:t>da de numeración impar y 143 en la de enfrente- se l</w:t>
      </w:r>
      <w:r>
        <w:t>o</w:t>
      </w:r>
      <w:r>
        <w:t>calizaron, a lo largo de Pasteur al 600, en los frentes de los edificios más r</w:t>
      </w:r>
      <w:r>
        <w:t>e</w:t>
      </w:r>
      <w:r>
        <w:t>levantes, determinándose como las variables de mayor i</w:t>
      </w:r>
      <w:r>
        <w:t>m</w:t>
      </w:r>
      <w:r>
        <w:t>portancia la presión registr</w:t>
      </w:r>
      <w:r>
        <w:t>a</w:t>
      </w:r>
      <w:r>
        <w:t>da en cada punto y el impulso generado por dicha pr</w:t>
      </w:r>
      <w:r>
        <w:t>e</w:t>
      </w:r>
      <w:r>
        <w:t>sión, lo cual constituye una medida de la energía inc</w:t>
      </w:r>
      <w:r>
        <w:t>i</w:t>
      </w:r>
      <w:r>
        <w:t>dente.</w:t>
      </w:r>
    </w:p>
    <w:p w:rsidR="00224567" w:rsidRDefault="00224567">
      <w:pPr>
        <w:widowControl w:val="0"/>
        <w:rPr>
          <w:lang w:val="es-ES_tradnl"/>
        </w:rPr>
      </w:pPr>
      <w:r>
        <w:rPr>
          <w:lang w:val="es-ES_tradnl"/>
        </w:rPr>
        <w:tab/>
        <w:t>En base a distintas pruebas</w:t>
      </w:r>
      <w:r>
        <w:rPr>
          <w:b/>
          <w:bCs/>
          <w:lang w:val="es-ES_tradnl"/>
        </w:rPr>
        <w:t xml:space="preserve"> </w:t>
      </w:r>
      <w:r>
        <w:rPr>
          <w:lang w:val="es-ES_tradnl"/>
        </w:rPr>
        <w:t>empír</w:t>
      </w:r>
      <w:r>
        <w:rPr>
          <w:lang w:val="es-ES_tradnl"/>
        </w:rPr>
        <w:t>i</w:t>
      </w:r>
      <w:r>
        <w:rPr>
          <w:lang w:val="es-ES_tradnl"/>
        </w:rPr>
        <w:t>cas desarrolladas por los investigadores estructurali</w:t>
      </w:r>
      <w:r>
        <w:rPr>
          <w:lang w:val="es-ES_tradnl"/>
        </w:rPr>
        <w:t>s</w:t>
      </w:r>
      <w:r>
        <w:rPr>
          <w:lang w:val="es-ES_tradnl"/>
        </w:rPr>
        <w:t>tas, se determinaron los diferentes niveles de daños que producen en las estructuras las diversas presiones reflejadas, d</w:t>
      </w:r>
      <w:r>
        <w:rPr>
          <w:lang w:val="es-ES_tradnl"/>
        </w:rPr>
        <w:t>e</w:t>
      </w:r>
      <w:r>
        <w:rPr>
          <w:lang w:val="es-ES_tradnl"/>
        </w:rPr>
        <w:t>pendiendo ello de la intensidad de la o</w:t>
      </w:r>
      <w:r>
        <w:rPr>
          <w:lang w:val="es-ES_tradnl"/>
        </w:rPr>
        <w:t>n</w:t>
      </w:r>
      <w:r>
        <w:rPr>
          <w:lang w:val="es-ES_tradnl"/>
        </w:rPr>
        <w:t>da incidente, del ángulo con el cual se intercepta la superficie y de la n</w:t>
      </w:r>
      <w:r>
        <w:rPr>
          <w:lang w:val="es-ES_tradnl"/>
        </w:rPr>
        <w:t>a</w:t>
      </w:r>
      <w:r>
        <w:rPr>
          <w:lang w:val="es-ES_tradnl"/>
        </w:rPr>
        <w:t>turaleza de la superficie.</w:t>
      </w:r>
    </w:p>
    <w:p w:rsidR="00224567" w:rsidRDefault="00224567">
      <w:pPr>
        <w:widowControl w:val="0"/>
        <w:rPr>
          <w:lang w:val="es-ES_tradnl"/>
        </w:rPr>
      </w:pPr>
      <w:r>
        <w:rPr>
          <w:lang w:val="es-ES_tradnl"/>
        </w:rPr>
        <w:tab/>
        <w:t>En cada una de las alternativas sim</w:t>
      </w:r>
      <w:r>
        <w:rPr>
          <w:lang w:val="es-ES_tradnl"/>
        </w:rPr>
        <w:t>u</w:t>
      </w:r>
      <w:r>
        <w:rPr>
          <w:lang w:val="es-ES_tradnl"/>
        </w:rPr>
        <w:t>ladas se registró la sobrepresión máxima y el impulso m</w:t>
      </w:r>
      <w:r>
        <w:rPr>
          <w:lang w:val="es-ES_tradnl"/>
        </w:rPr>
        <w:t>á</w:t>
      </w:r>
      <w:r>
        <w:rPr>
          <w:lang w:val="es-ES_tradnl"/>
        </w:rPr>
        <w:t>ximo reflejados en cada uno de</w:t>
      </w:r>
      <w:r>
        <w:rPr>
          <w:b/>
          <w:bCs/>
          <w:lang w:val="es-ES_tradnl"/>
        </w:rPr>
        <w:t xml:space="preserve"> </w:t>
      </w:r>
      <w:r>
        <w:rPr>
          <w:lang w:val="es-ES_tradnl"/>
        </w:rPr>
        <w:t>los puntos de control y el consecuente daño producido en las estructuras.</w:t>
      </w:r>
    </w:p>
    <w:p w:rsidR="00224567" w:rsidRDefault="00224567">
      <w:pPr>
        <w:widowControl w:val="0"/>
      </w:pPr>
      <w:r>
        <w:rPr>
          <w:lang w:val="es-ES_tradnl"/>
        </w:rPr>
        <w:tab/>
      </w:r>
      <w:r>
        <w:tab/>
        <w:t>Posteriormente se confeccionó un mapa de los daños resultantes en las distintas alternativas s</w:t>
      </w:r>
      <w:r>
        <w:t>i</w:t>
      </w:r>
      <w:r>
        <w:t>muladas, para lo cual se tuvo en cuenta, además, el tipo de configuración estructural sobre la que incidió el i</w:t>
      </w:r>
      <w:r>
        <w:t>m</w:t>
      </w:r>
      <w:r>
        <w:t>pulso máximo, en el sentido de que si el impulso máximo reflejado fue suficiente para demoler la estructura po</w:t>
      </w:r>
      <w:r>
        <w:t>r</w:t>
      </w:r>
      <w:r>
        <w:t>tante del edificio en ciertos pisos, éste resultará dem</w:t>
      </w:r>
      <w:r>
        <w:t>o</w:t>
      </w:r>
      <w:r>
        <w:t>lido por arriba de ese nivel. Teniendo en cuenta ello, más los niveles de impulso máximo reflejados, se definieron los distintos niveles de daño; a s</w:t>
      </w:r>
      <w:r>
        <w:t>a</w:t>
      </w:r>
      <w:r>
        <w:t>ber: demolición total; demolición de paredes de mampo</w:t>
      </w:r>
      <w:r>
        <w:t>s</w:t>
      </w:r>
      <w:r>
        <w:t>tería y daño en estructuras de hormigón; fisura de p</w:t>
      </w:r>
      <w:r>
        <w:t>a</w:t>
      </w:r>
      <w:r>
        <w:t>redes de mampostería; mayor parte de vidrios rotos, daño en elementos de cerramiento, ciel</w:t>
      </w:r>
      <w:r>
        <w:t>o</w:t>
      </w:r>
      <w:r>
        <w:t>rrasos, marquesinas, etc. y, finalmente, algunos vidrios sanos.</w:t>
      </w:r>
    </w:p>
    <w:p w:rsidR="00224567" w:rsidRDefault="00224567">
      <w:pPr>
        <w:widowControl w:val="0"/>
      </w:pPr>
      <w:r>
        <w:tab/>
      </w:r>
      <w:r>
        <w:tab/>
        <w:t>A partir del cotejo entre los niv</w:t>
      </w:r>
      <w:r>
        <w:t>e</w:t>
      </w:r>
      <w:r>
        <w:t>les de daño surgidos de las distintas alternativas s</w:t>
      </w:r>
      <w:r>
        <w:t>i</w:t>
      </w:r>
      <w:r>
        <w:t>muladas y los daños reales verificados en base a la información o</w:t>
      </w:r>
      <w:r>
        <w:t>b</w:t>
      </w:r>
      <w:r>
        <w:t>tenida en la causa, los peritos arribaron a las siguientes co</w:t>
      </w:r>
      <w:r>
        <w:t>n</w:t>
      </w:r>
      <w:r>
        <w:t>clusiones:</w:t>
      </w:r>
    </w:p>
    <w:p w:rsidR="00224567" w:rsidRDefault="00224567">
      <w:pPr>
        <w:widowControl w:val="0"/>
      </w:pPr>
      <w:r>
        <w:tab/>
      </w:r>
      <w:r>
        <w:tab/>
        <w:t>1) Que la ubicación más probable del foco de la explosión se estableció en la zona delimitada por la línea de edificación, una línea paralela a ella, desplaz</w:t>
      </w:r>
      <w:r>
        <w:t>a</w:t>
      </w:r>
      <w:r>
        <w:t>da un metro hacia el interior del hall de entrada al edificio de Pasteur 633, el eje de simetría de la pue</w:t>
      </w:r>
      <w:r>
        <w:t>r</w:t>
      </w:r>
      <w:r>
        <w:t>ta de entrada y una línea paralela a d</w:t>
      </w:r>
      <w:r>
        <w:t>i</w:t>
      </w:r>
      <w:r>
        <w:t>cho eje, desplazada un metro con veinticinco centímetros hacia la calle Tuc</w:t>
      </w:r>
      <w:r>
        <w:t>u</w:t>
      </w:r>
      <w:r>
        <w:t>mán;</w:t>
      </w:r>
    </w:p>
    <w:p w:rsidR="00224567" w:rsidRDefault="00224567">
      <w:pPr>
        <w:widowControl w:val="0"/>
      </w:pPr>
      <w:r>
        <w:tab/>
      </w:r>
      <w:r>
        <w:tab/>
        <w:t>2) Que, independientemente del tipo de explosivo utilizado, la cantidad equivalente de T.N.T. e</w:t>
      </w:r>
      <w:r>
        <w:t>s</w:t>
      </w:r>
      <w:r>
        <w:t xml:space="preserve">tá comprendida en el rango de </w:t>
      </w:r>
      <w:smartTag w:uri="urn:schemas-microsoft-com:office:smarttags" w:element="metricconverter">
        <w:smartTagPr>
          <w:attr w:name="ProductID" w:val="300 a"/>
        </w:smartTagPr>
        <w:r>
          <w:t>300 a</w:t>
        </w:r>
      </w:smartTag>
      <w:r>
        <w:t xml:space="preserve"> 400 kgs.;</w:t>
      </w:r>
    </w:p>
    <w:p w:rsidR="00224567" w:rsidRDefault="00224567">
      <w:pPr>
        <w:keepLines/>
        <w:widowControl w:val="0"/>
      </w:pPr>
      <w:r>
        <w:tab/>
      </w:r>
      <w:r>
        <w:tab/>
        <w:t>3) Que, si la cantidad de explosivo utilizado fue equivalente a 400 kgs de T.N.T., su ubic</w:t>
      </w:r>
      <w:r>
        <w:t>a</w:t>
      </w:r>
      <w:r>
        <w:t>ción más probable puede fijarse dentro del hall del edif</w:t>
      </w:r>
      <w:r>
        <w:t>i</w:t>
      </w:r>
      <w:r>
        <w:t xml:space="preserve">cio de Pasteur </w:t>
      </w:r>
      <w:smartTag w:uri="urn:schemas-microsoft-com:office:smarttags" w:element="metricconverter">
        <w:smartTagPr>
          <w:attr w:name="ProductID" w:val="633, a"/>
        </w:smartTagPr>
        <w:r>
          <w:t>633, a</w:t>
        </w:r>
      </w:smartTag>
      <w:r>
        <w:t xml:space="preserve"> un metro de la línea de ed</w:t>
      </w:r>
      <w:r>
        <w:t>i</w:t>
      </w:r>
      <w:r>
        <w:t>ficación;</w:t>
      </w:r>
      <w:r>
        <w:rPr>
          <w:b/>
          <w:bCs/>
        </w:rPr>
        <w:t xml:space="preserve"> </w:t>
      </w:r>
      <w:r>
        <w:t>en cambio, si la cantidad de explosivo utilizado fue equ</w:t>
      </w:r>
      <w:r>
        <w:t>i</w:t>
      </w:r>
      <w:r>
        <w:t>valente a 300 kgs de T.N.T., su ub</w:t>
      </w:r>
      <w:r>
        <w:t>i</w:t>
      </w:r>
      <w:r>
        <w:t>cación más probable se establece sobre la línea de edificación. En caso de cant</w:t>
      </w:r>
      <w:r>
        <w:t>i</w:t>
      </w:r>
      <w:r>
        <w:t>dades intermedias corresponderían ubicaciones interm</w:t>
      </w:r>
      <w:r>
        <w:t>e</w:t>
      </w:r>
      <w:r>
        <w:t>dias;</w:t>
      </w:r>
    </w:p>
    <w:p w:rsidR="00224567" w:rsidRDefault="00224567">
      <w:pPr>
        <w:widowControl w:val="0"/>
      </w:pPr>
      <w:r>
        <w:tab/>
        <w:t>4) Que deben descartarse todas las otras alternativas s</w:t>
      </w:r>
      <w:r>
        <w:t>i</w:t>
      </w:r>
      <w:r>
        <w:t>muladas;</w:t>
      </w:r>
    </w:p>
    <w:p w:rsidR="00224567" w:rsidRDefault="00224567">
      <w:pPr>
        <w:widowControl w:val="0"/>
      </w:pPr>
      <w:r>
        <w:tab/>
      </w:r>
      <w:r>
        <w:tab/>
        <w:t>5) Que la presencia del volquete no tuvo ni</w:t>
      </w:r>
      <w:r>
        <w:t>n</w:t>
      </w:r>
      <w:r>
        <w:t>gún efecto sobre los daños causados en el edificio de Pa</w:t>
      </w:r>
      <w:r>
        <w:t>s</w:t>
      </w:r>
      <w:r>
        <w:t>teur 633 y,</w:t>
      </w:r>
    </w:p>
    <w:p w:rsidR="00224567" w:rsidRDefault="00224567">
      <w:pPr>
        <w:widowControl w:val="0"/>
      </w:pPr>
      <w:r>
        <w:tab/>
      </w:r>
      <w:r>
        <w:tab/>
        <w:t>6) Que en caso de haberse dire</w:t>
      </w:r>
      <w:r>
        <w:t>c</w:t>
      </w:r>
      <w:r>
        <w:t>cionado la ca</w:t>
      </w:r>
      <w:r>
        <w:t>r</w:t>
      </w:r>
      <w:r>
        <w:t>ga explosiva hacia el edificio de Pasteur 633, dicho direccionamiento no tuvo una eficiencia completa; concl</w:t>
      </w:r>
      <w:r>
        <w:t>u</w:t>
      </w:r>
      <w:r>
        <w:t>sión supeditada al análisis computacional completo de la destrucción del edif</w:t>
      </w:r>
      <w:r>
        <w:t>i</w:t>
      </w:r>
      <w:r>
        <w:t xml:space="preserve">cio de </w:t>
      </w:r>
      <w:smartTag w:uri="urn:schemas-microsoft-com:office:smarttags" w:element="PersonName">
        <w:smartTagPr>
          <w:attr w:name="ProductID" w:val="la A.M"/>
        </w:smartTagPr>
        <w:r>
          <w:t>la A.M</w:t>
        </w:r>
      </w:smartTag>
      <w:r>
        <w:t>.I.A.</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También utilizando la misma herramie</w:t>
      </w:r>
      <w:r>
        <w:rPr>
          <w:rFonts w:ascii="Courier New" w:hAnsi="Courier New" w:cs="Courier New"/>
          <w:lang w:val="es-ES_tradnl"/>
        </w:rPr>
        <w:t>n</w:t>
      </w:r>
      <w:r>
        <w:rPr>
          <w:rFonts w:ascii="Courier New" w:hAnsi="Courier New" w:cs="Courier New"/>
          <w:lang w:val="es-ES_tradnl"/>
        </w:rPr>
        <w:t>ta computacional, los nombrados presentaron el estudio obrante a fs. 7296/7348 del legajo de instrucción supl</w:t>
      </w:r>
      <w:r>
        <w:rPr>
          <w:rFonts w:ascii="Courier New" w:hAnsi="Courier New" w:cs="Courier New"/>
          <w:lang w:val="es-ES_tradnl"/>
        </w:rPr>
        <w:t>e</w:t>
      </w:r>
      <w:r>
        <w:rPr>
          <w:rFonts w:ascii="Courier New" w:hAnsi="Courier New" w:cs="Courier New"/>
          <w:lang w:val="es-ES_tradnl"/>
        </w:rPr>
        <w:t>mentaria, referido a la simulación del colapso e</w:t>
      </w:r>
      <w:r>
        <w:rPr>
          <w:rFonts w:ascii="Courier New" w:hAnsi="Courier New" w:cs="Courier New"/>
          <w:lang w:val="es-ES_tradnl"/>
        </w:rPr>
        <w:t>s</w:t>
      </w:r>
      <w:r>
        <w:rPr>
          <w:rFonts w:ascii="Courier New" w:hAnsi="Courier New" w:cs="Courier New"/>
          <w:lang w:val="es-ES_tradnl"/>
        </w:rPr>
        <w:t>tructural del edificio de Pasteur 633, bajo cargas explosivas de magnitud y ubicación acordes a los límites más probables obtenidos en el e</w:t>
      </w:r>
      <w:r>
        <w:rPr>
          <w:rFonts w:ascii="Courier New" w:hAnsi="Courier New" w:cs="Courier New"/>
          <w:lang w:val="es-ES_tradnl"/>
        </w:rPr>
        <w:t>s</w:t>
      </w:r>
      <w:r>
        <w:rPr>
          <w:rFonts w:ascii="Courier New" w:hAnsi="Courier New" w:cs="Courier New"/>
          <w:lang w:val="es-ES_tradnl"/>
        </w:rPr>
        <w:t>tudio anterior.</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La simulación del colapso abarcó el proceso que va desde la detonación de la carga explos</w:t>
      </w:r>
      <w:r>
        <w:rPr>
          <w:rFonts w:ascii="Courier New" w:hAnsi="Courier New" w:cs="Courier New"/>
          <w:lang w:val="es-ES_tradnl"/>
        </w:rPr>
        <w:t>i</w:t>
      </w:r>
      <w:r>
        <w:rPr>
          <w:rFonts w:ascii="Courier New" w:hAnsi="Courier New" w:cs="Courier New"/>
          <w:lang w:val="es-ES_tradnl"/>
        </w:rPr>
        <w:t>va, incluyendo la propagación de la onda de presión g</w:t>
      </w:r>
      <w:r>
        <w:rPr>
          <w:rFonts w:ascii="Courier New" w:hAnsi="Courier New" w:cs="Courier New"/>
          <w:lang w:val="es-ES_tradnl"/>
        </w:rPr>
        <w:t>e</w:t>
      </w:r>
      <w:r>
        <w:rPr>
          <w:rFonts w:ascii="Courier New" w:hAnsi="Courier New" w:cs="Courier New"/>
          <w:lang w:val="es-ES_tradnl"/>
        </w:rPr>
        <w:t>nerada y su acción sobre la estructura, hasta su destrucción y d</w:t>
      </w:r>
      <w:r>
        <w:rPr>
          <w:rFonts w:ascii="Courier New" w:hAnsi="Courier New" w:cs="Courier New"/>
          <w:lang w:val="es-ES_tradnl"/>
        </w:rPr>
        <w:t>e</w:t>
      </w:r>
      <w:r>
        <w:rPr>
          <w:rFonts w:ascii="Courier New" w:hAnsi="Courier New" w:cs="Courier New"/>
          <w:lang w:val="es-ES_tradnl"/>
        </w:rPr>
        <w:t>rrumbe.</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Para dicha simulación los expertos utilizaron un modelo computacional del edificio de Pa</w:t>
      </w:r>
      <w:r>
        <w:rPr>
          <w:rFonts w:ascii="Courier New" w:hAnsi="Courier New" w:cs="Courier New"/>
          <w:lang w:val="es-ES_tradnl"/>
        </w:rPr>
        <w:t>s</w:t>
      </w:r>
      <w:r>
        <w:rPr>
          <w:rFonts w:ascii="Courier New" w:hAnsi="Courier New" w:cs="Courier New"/>
          <w:lang w:val="es-ES_tradnl"/>
        </w:rPr>
        <w:t>teur 633 completo, constituido por elementos de volumen que r</w:t>
      </w:r>
      <w:r>
        <w:rPr>
          <w:rFonts w:ascii="Courier New" w:hAnsi="Courier New" w:cs="Courier New"/>
          <w:lang w:val="es-ES_tradnl"/>
        </w:rPr>
        <w:t>e</w:t>
      </w:r>
      <w:r>
        <w:rPr>
          <w:rFonts w:ascii="Courier New" w:hAnsi="Courier New" w:cs="Courier New"/>
          <w:lang w:val="es-ES_tradnl"/>
        </w:rPr>
        <w:t>presentaban la estructura de horm</w:t>
      </w:r>
      <w:r>
        <w:rPr>
          <w:rFonts w:ascii="Courier New" w:hAnsi="Courier New" w:cs="Courier New"/>
          <w:lang w:val="es-ES_tradnl"/>
        </w:rPr>
        <w:t>i</w:t>
      </w:r>
      <w:r>
        <w:rPr>
          <w:rFonts w:ascii="Courier New" w:hAnsi="Courier New" w:cs="Courier New"/>
          <w:lang w:val="es-ES_tradnl"/>
        </w:rPr>
        <w:t>gón armado y las paredes de mampostería. La con</w:t>
      </w:r>
      <w:r>
        <w:rPr>
          <w:rFonts w:ascii="Courier New" w:hAnsi="Courier New" w:cs="Courier New"/>
          <w:lang w:val="es-ES_tradnl"/>
        </w:rPr>
        <w:t>s</w:t>
      </w:r>
      <w:r>
        <w:rPr>
          <w:rFonts w:ascii="Courier New" w:hAnsi="Courier New" w:cs="Courier New"/>
          <w:lang w:val="es-ES_tradnl"/>
        </w:rPr>
        <w:t>trucción de dicho modelo se realizó sobre la base de la reconstrucción de planos de arquite</w:t>
      </w:r>
      <w:r>
        <w:rPr>
          <w:rFonts w:ascii="Courier New" w:hAnsi="Courier New" w:cs="Courier New"/>
          <w:lang w:val="es-ES_tradnl"/>
        </w:rPr>
        <w:t>c</w:t>
      </w:r>
      <w:r>
        <w:rPr>
          <w:rFonts w:ascii="Courier New" w:hAnsi="Courier New" w:cs="Courier New"/>
          <w:lang w:val="es-ES_tradnl"/>
        </w:rPr>
        <w:t>tura y e</w:t>
      </w:r>
      <w:r>
        <w:rPr>
          <w:rFonts w:ascii="Courier New" w:hAnsi="Courier New" w:cs="Courier New"/>
          <w:lang w:val="es-ES_tradnl"/>
        </w:rPr>
        <w:t>s</w:t>
      </w:r>
      <w:r>
        <w:rPr>
          <w:rFonts w:ascii="Courier New" w:hAnsi="Courier New" w:cs="Courier New"/>
          <w:lang w:val="es-ES_tradnl"/>
        </w:rPr>
        <w:t>tructura presentados en el primer informe.</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Con el objeto de simular los materi</w:t>
      </w:r>
      <w:r>
        <w:rPr>
          <w:rFonts w:ascii="Courier New" w:hAnsi="Courier New" w:cs="Courier New"/>
          <w:lang w:val="es-ES_tradnl"/>
        </w:rPr>
        <w:t>a</w:t>
      </w:r>
      <w:r>
        <w:rPr>
          <w:rFonts w:ascii="Courier New" w:hAnsi="Courier New" w:cs="Courier New"/>
          <w:lang w:val="es-ES_tradnl"/>
        </w:rPr>
        <w:t>les que formaban las distintas partes del edificio se ut</w:t>
      </w:r>
      <w:r>
        <w:rPr>
          <w:rFonts w:ascii="Courier New" w:hAnsi="Courier New" w:cs="Courier New"/>
          <w:lang w:val="es-ES_tradnl"/>
        </w:rPr>
        <w:t>i</w:t>
      </w:r>
      <w:r>
        <w:rPr>
          <w:rFonts w:ascii="Courier New" w:hAnsi="Courier New" w:cs="Courier New"/>
          <w:lang w:val="es-ES_tradnl"/>
        </w:rPr>
        <w:t>lizaron modelos numéricos apropiados a cada material en particular, cuyas propiedades se obtuvieron de los info</w:t>
      </w:r>
      <w:r>
        <w:rPr>
          <w:rFonts w:ascii="Courier New" w:hAnsi="Courier New" w:cs="Courier New"/>
          <w:lang w:val="es-ES_tradnl"/>
        </w:rPr>
        <w:t>r</w:t>
      </w:r>
      <w:r>
        <w:rPr>
          <w:rFonts w:ascii="Courier New" w:hAnsi="Courier New" w:cs="Courier New"/>
          <w:lang w:val="es-ES_tradnl"/>
        </w:rPr>
        <w:t>mes del “Instituto de Cemento Portland” sobre ensayos re</w:t>
      </w:r>
      <w:r>
        <w:rPr>
          <w:rFonts w:ascii="Courier New" w:hAnsi="Courier New" w:cs="Courier New"/>
          <w:lang w:val="es-ES_tradnl"/>
        </w:rPr>
        <w:t>a</w:t>
      </w:r>
      <w:r>
        <w:rPr>
          <w:rFonts w:ascii="Courier New" w:hAnsi="Courier New" w:cs="Courier New"/>
          <w:lang w:val="es-ES_tradnl"/>
        </w:rPr>
        <w:t>lizados en probetas extraídas en el lugar luego del suc</w:t>
      </w:r>
      <w:r>
        <w:rPr>
          <w:rFonts w:ascii="Courier New" w:hAnsi="Courier New" w:cs="Courier New"/>
          <w:lang w:val="es-ES_tradnl"/>
        </w:rPr>
        <w:t>e</w:t>
      </w:r>
      <w:r>
        <w:rPr>
          <w:rFonts w:ascii="Courier New" w:hAnsi="Courier New" w:cs="Courier New"/>
          <w:lang w:val="es-ES_tradnl"/>
        </w:rPr>
        <w:t>so. Se incluyó en los modelos, además, la capacidad de s</w:t>
      </w:r>
      <w:r>
        <w:rPr>
          <w:rFonts w:ascii="Courier New" w:hAnsi="Courier New" w:cs="Courier New"/>
          <w:lang w:val="es-ES_tradnl"/>
        </w:rPr>
        <w:t>i</w:t>
      </w:r>
      <w:r>
        <w:rPr>
          <w:rFonts w:ascii="Courier New" w:hAnsi="Courier New" w:cs="Courier New"/>
          <w:lang w:val="es-ES_tradnl"/>
        </w:rPr>
        <w:t>mular fenómenos típicos de la respuesta a la acción expl</w:t>
      </w:r>
      <w:r>
        <w:rPr>
          <w:rFonts w:ascii="Courier New" w:hAnsi="Courier New" w:cs="Courier New"/>
          <w:lang w:val="es-ES_tradnl"/>
        </w:rPr>
        <w:t>o</w:t>
      </w:r>
      <w:r>
        <w:rPr>
          <w:rFonts w:ascii="Courier New" w:hAnsi="Courier New" w:cs="Courier New"/>
          <w:lang w:val="es-ES_tradnl"/>
        </w:rPr>
        <w:t>siva, como la pulverización o fractura de partes de la e</w:t>
      </w:r>
      <w:r>
        <w:rPr>
          <w:rFonts w:ascii="Courier New" w:hAnsi="Courier New" w:cs="Courier New"/>
          <w:lang w:val="es-ES_tradnl"/>
        </w:rPr>
        <w:t>s</w:t>
      </w:r>
      <w:r>
        <w:rPr>
          <w:rFonts w:ascii="Courier New" w:hAnsi="Courier New" w:cs="Courier New"/>
          <w:lang w:val="es-ES_tradnl"/>
        </w:rPr>
        <w:t>tructura indispensables para producir el colapso estruct</w:t>
      </w:r>
      <w:r>
        <w:rPr>
          <w:rFonts w:ascii="Courier New" w:hAnsi="Courier New" w:cs="Courier New"/>
          <w:lang w:val="es-ES_tradnl"/>
        </w:rPr>
        <w:t>u</w:t>
      </w:r>
      <w:r>
        <w:rPr>
          <w:rFonts w:ascii="Courier New" w:hAnsi="Courier New" w:cs="Courier New"/>
          <w:lang w:val="es-ES_tradnl"/>
        </w:rPr>
        <w:t>ral. Los modelos utilizados fueron probados y calibrados con resultados experimentales obtenidos dentro de los pr</w:t>
      </w:r>
      <w:r>
        <w:rPr>
          <w:rFonts w:ascii="Courier New" w:hAnsi="Courier New" w:cs="Courier New"/>
          <w:lang w:val="es-ES_tradnl"/>
        </w:rPr>
        <w:t>o</w:t>
      </w:r>
      <w:r>
        <w:rPr>
          <w:rFonts w:ascii="Courier New" w:hAnsi="Courier New" w:cs="Courier New"/>
          <w:lang w:val="es-ES_tradnl"/>
        </w:rPr>
        <w:t>yectos de investigación del Inst</w:t>
      </w:r>
      <w:r>
        <w:rPr>
          <w:rFonts w:ascii="Courier New" w:hAnsi="Courier New" w:cs="Courier New"/>
          <w:lang w:val="es-ES_tradnl"/>
        </w:rPr>
        <w:t>i</w:t>
      </w:r>
      <w:r>
        <w:rPr>
          <w:rFonts w:ascii="Courier New" w:hAnsi="Courier New" w:cs="Courier New"/>
          <w:lang w:val="es-ES_tradnl"/>
        </w:rPr>
        <w:t>tuto de Estructuras y por otros autores</w:t>
      </w:r>
      <w:r>
        <w:rPr>
          <w:rFonts w:ascii="Courier New" w:hAnsi="Courier New" w:cs="Courier New"/>
          <w:b/>
          <w:bCs/>
          <w:lang w:val="es-ES_tradnl"/>
        </w:rPr>
        <w:t>.</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Asimismo, para poder simular la prop</w:t>
      </w:r>
      <w:r>
        <w:rPr>
          <w:rFonts w:ascii="Courier New" w:hAnsi="Courier New" w:cs="Courier New"/>
          <w:lang w:val="es-ES_tradnl"/>
        </w:rPr>
        <w:t>a</w:t>
      </w:r>
      <w:r>
        <w:rPr>
          <w:rFonts w:ascii="Courier New" w:hAnsi="Courier New" w:cs="Courier New"/>
          <w:lang w:val="es-ES_tradnl"/>
        </w:rPr>
        <w:t>gación de la onda de presión, se incluyó en el modelo el aire en el que estaba inmerso el edificio en cue</w:t>
      </w:r>
      <w:r>
        <w:rPr>
          <w:rFonts w:ascii="Courier New" w:hAnsi="Courier New" w:cs="Courier New"/>
          <w:lang w:val="es-ES_tradnl"/>
        </w:rPr>
        <w:t>s</w:t>
      </w:r>
      <w:r>
        <w:rPr>
          <w:rFonts w:ascii="Courier New" w:hAnsi="Courier New" w:cs="Courier New"/>
          <w:lang w:val="es-ES_tradnl"/>
        </w:rPr>
        <w:t>tión, que se dividió también en elementos de vol</w:t>
      </w:r>
      <w:r>
        <w:rPr>
          <w:rFonts w:ascii="Courier New" w:hAnsi="Courier New" w:cs="Courier New"/>
          <w:lang w:val="es-ES_tradnl"/>
        </w:rPr>
        <w:t>u</w:t>
      </w:r>
      <w:r>
        <w:rPr>
          <w:rFonts w:ascii="Courier New" w:hAnsi="Courier New" w:cs="Courier New"/>
          <w:lang w:val="es-ES_tradnl"/>
        </w:rPr>
        <w:t>men prismáticos.</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El análisis comenzó con una model</w:t>
      </w:r>
      <w:r>
        <w:rPr>
          <w:rFonts w:ascii="Courier New" w:hAnsi="Courier New" w:cs="Courier New"/>
          <w:lang w:val="es-ES_tradnl"/>
        </w:rPr>
        <w:t>a</w:t>
      </w:r>
      <w:r>
        <w:rPr>
          <w:rFonts w:ascii="Courier New" w:hAnsi="Courier New" w:cs="Courier New"/>
          <w:lang w:val="es-ES_tradnl"/>
        </w:rPr>
        <w:t>ción de la detonación y la propagación de la onda de presión dentro del explosivo y en las capas de aire circundante. Dicho análisis, explicaron los técnicos, debió hacerse con mucho detalle, por lo que se realizó en una etapa previa, simulando un explosivo esférico y luego sus resultados fueron ll</w:t>
      </w:r>
      <w:r>
        <w:rPr>
          <w:rFonts w:ascii="Courier New" w:hAnsi="Courier New" w:cs="Courier New"/>
          <w:lang w:val="es-ES_tradnl"/>
        </w:rPr>
        <w:t>e</w:t>
      </w:r>
      <w:r>
        <w:rPr>
          <w:rFonts w:ascii="Courier New" w:hAnsi="Courier New" w:cs="Courier New"/>
          <w:lang w:val="es-ES_tradnl"/>
        </w:rPr>
        <w:t>vados a la malla de aire en donde estaba inmerso el edificio, en coincidencia con la ubicación del explos</w:t>
      </w:r>
      <w:r>
        <w:rPr>
          <w:rFonts w:ascii="Courier New" w:hAnsi="Courier New" w:cs="Courier New"/>
          <w:lang w:val="es-ES_tradnl"/>
        </w:rPr>
        <w:t>i</w:t>
      </w:r>
      <w:r>
        <w:rPr>
          <w:rFonts w:ascii="Courier New" w:hAnsi="Courier New" w:cs="Courier New"/>
          <w:lang w:val="es-ES_tradnl"/>
        </w:rPr>
        <w:t>vo. A partir de allí, se simuló la propagación de la onda de presión en el aire y su interacción con la estructura. Los peritos explicaron que esa interacción se produce cuando la onda de presión e</w:t>
      </w:r>
      <w:r>
        <w:rPr>
          <w:rFonts w:ascii="Courier New" w:hAnsi="Courier New" w:cs="Courier New"/>
          <w:lang w:val="es-ES_tradnl"/>
        </w:rPr>
        <w:t>n</w:t>
      </w:r>
      <w:r>
        <w:rPr>
          <w:rFonts w:ascii="Courier New" w:hAnsi="Courier New" w:cs="Courier New"/>
          <w:lang w:val="es-ES_tradnl"/>
        </w:rPr>
        <w:t>cuentra una superficie sólida que le impide el paso y se refleja en ella, viéndose mod</w:t>
      </w:r>
      <w:r>
        <w:rPr>
          <w:rFonts w:ascii="Courier New" w:hAnsi="Courier New" w:cs="Courier New"/>
          <w:lang w:val="es-ES_tradnl"/>
        </w:rPr>
        <w:t>i</w:t>
      </w:r>
      <w:r>
        <w:rPr>
          <w:rFonts w:ascii="Courier New" w:hAnsi="Courier New" w:cs="Courier New"/>
          <w:lang w:val="es-ES_tradnl"/>
        </w:rPr>
        <w:t>ficada su propagación. A la vez, cuando esas ondas de pr</w:t>
      </w:r>
      <w:r>
        <w:rPr>
          <w:rFonts w:ascii="Courier New" w:hAnsi="Courier New" w:cs="Courier New"/>
          <w:lang w:val="es-ES_tradnl"/>
        </w:rPr>
        <w:t>e</w:t>
      </w:r>
      <w:r>
        <w:rPr>
          <w:rFonts w:ascii="Courier New" w:hAnsi="Courier New" w:cs="Courier New"/>
          <w:lang w:val="es-ES_tradnl"/>
        </w:rPr>
        <w:t>sión inc</w:t>
      </w:r>
      <w:r>
        <w:rPr>
          <w:rFonts w:ascii="Courier New" w:hAnsi="Courier New" w:cs="Courier New"/>
          <w:lang w:val="es-ES_tradnl"/>
        </w:rPr>
        <w:t>i</w:t>
      </w:r>
      <w:r>
        <w:rPr>
          <w:rFonts w:ascii="Courier New" w:hAnsi="Courier New" w:cs="Courier New"/>
          <w:lang w:val="es-ES_tradnl"/>
        </w:rPr>
        <w:t>den sobre partes de la estructura, la deforman o destruyen, según su intensidad y, en este último c</w:t>
      </w:r>
      <w:r>
        <w:rPr>
          <w:rFonts w:ascii="Courier New" w:hAnsi="Courier New" w:cs="Courier New"/>
          <w:lang w:val="es-ES_tradnl"/>
        </w:rPr>
        <w:t>a</w:t>
      </w:r>
      <w:r>
        <w:rPr>
          <w:rFonts w:ascii="Courier New" w:hAnsi="Courier New" w:cs="Courier New"/>
          <w:lang w:val="es-ES_tradnl"/>
        </w:rPr>
        <w:t>so, se abren paso hacia otros ambientes; la estructura de</w:t>
      </w:r>
      <w:r>
        <w:rPr>
          <w:rFonts w:ascii="Courier New" w:hAnsi="Courier New" w:cs="Courier New"/>
          <w:lang w:val="es-ES_tradnl"/>
        </w:rPr>
        <w:t>s</w:t>
      </w:r>
      <w:r>
        <w:rPr>
          <w:rFonts w:ascii="Courier New" w:hAnsi="Courier New" w:cs="Courier New"/>
          <w:lang w:val="es-ES_tradnl"/>
        </w:rPr>
        <w:t>truida comienza a derrumbarse y las partes comienzan a caer i</w:t>
      </w:r>
      <w:r>
        <w:rPr>
          <w:rFonts w:ascii="Courier New" w:hAnsi="Courier New" w:cs="Courier New"/>
          <w:lang w:val="es-ES_tradnl"/>
        </w:rPr>
        <w:t>m</w:t>
      </w:r>
      <w:r>
        <w:rPr>
          <w:rFonts w:ascii="Courier New" w:hAnsi="Courier New" w:cs="Courier New"/>
          <w:lang w:val="es-ES_tradnl"/>
        </w:rPr>
        <w:t>pactando unas con otras.</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Para calibrar el procedimiento de an</w:t>
      </w:r>
      <w:r>
        <w:rPr>
          <w:rFonts w:ascii="Courier New" w:hAnsi="Courier New" w:cs="Courier New"/>
          <w:lang w:val="es-ES_tradnl"/>
        </w:rPr>
        <w:t>á</w:t>
      </w:r>
      <w:r>
        <w:rPr>
          <w:rFonts w:ascii="Courier New" w:hAnsi="Courier New" w:cs="Courier New"/>
          <w:lang w:val="es-ES_tradnl"/>
        </w:rPr>
        <w:t>lisis y los distintos modelos que intervinieron, así como la discretización empleada en las distintas partes comp</w:t>
      </w:r>
      <w:r>
        <w:rPr>
          <w:rFonts w:ascii="Courier New" w:hAnsi="Courier New" w:cs="Courier New"/>
          <w:lang w:val="es-ES_tradnl"/>
        </w:rPr>
        <w:t>o</w:t>
      </w:r>
      <w:r>
        <w:rPr>
          <w:rFonts w:ascii="Courier New" w:hAnsi="Courier New" w:cs="Courier New"/>
          <w:lang w:val="es-ES_tradnl"/>
        </w:rPr>
        <w:t>nentes de la estructura, se realizaron previamente suces</w:t>
      </w:r>
      <w:r>
        <w:rPr>
          <w:rFonts w:ascii="Courier New" w:hAnsi="Courier New" w:cs="Courier New"/>
          <w:lang w:val="es-ES_tradnl"/>
        </w:rPr>
        <w:t>i</w:t>
      </w:r>
      <w:r>
        <w:rPr>
          <w:rFonts w:ascii="Courier New" w:hAnsi="Courier New" w:cs="Courier New"/>
          <w:lang w:val="es-ES_tradnl"/>
        </w:rPr>
        <w:t>vas pruebas sobre estructuras más sencillas, de complej</w:t>
      </w:r>
      <w:r>
        <w:rPr>
          <w:rFonts w:ascii="Courier New" w:hAnsi="Courier New" w:cs="Courier New"/>
          <w:lang w:val="es-ES_tradnl"/>
        </w:rPr>
        <w:t>i</w:t>
      </w:r>
      <w:r>
        <w:rPr>
          <w:rFonts w:ascii="Courier New" w:hAnsi="Courier New" w:cs="Courier New"/>
          <w:lang w:val="es-ES_tradnl"/>
        </w:rPr>
        <w:t>dad creciente, correspondie</w:t>
      </w:r>
      <w:r>
        <w:rPr>
          <w:rFonts w:ascii="Courier New" w:hAnsi="Courier New" w:cs="Courier New"/>
          <w:lang w:val="es-ES_tradnl"/>
        </w:rPr>
        <w:t>n</w:t>
      </w:r>
      <w:r>
        <w:rPr>
          <w:rFonts w:ascii="Courier New" w:hAnsi="Courier New" w:cs="Courier New"/>
          <w:lang w:val="es-ES_tradnl"/>
        </w:rPr>
        <w:t>tes a partes del modelo final, ajustando con ello la herramienta a ut</w:t>
      </w:r>
      <w:r>
        <w:rPr>
          <w:rFonts w:ascii="Courier New" w:hAnsi="Courier New" w:cs="Courier New"/>
          <w:lang w:val="es-ES_tradnl"/>
        </w:rPr>
        <w:t>i</w:t>
      </w:r>
      <w:r>
        <w:rPr>
          <w:rFonts w:ascii="Courier New" w:hAnsi="Courier New" w:cs="Courier New"/>
          <w:lang w:val="es-ES_tradnl"/>
        </w:rPr>
        <w:t>lizar.</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Finalmente, se analizó el edificio completo según distintas ubicaciones y magnitudes de la carga explosiva, dentro de los límites más probables d</w:t>
      </w:r>
      <w:r>
        <w:rPr>
          <w:rFonts w:ascii="Courier New" w:hAnsi="Courier New" w:cs="Courier New"/>
          <w:lang w:val="es-ES_tradnl"/>
        </w:rPr>
        <w:t>e</w:t>
      </w:r>
      <w:r>
        <w:rPr>
          <w:rFonts w:ascii="Courier New" w:hAnsi="Courier New" w:cs="Courier New"/>
          <w:lang w:val="es-ES_tradnl"/>
        </w:rPr>
        <w:t>terminados en el primer estudio, obteniéndose gráf</w:t>
      </w:r>
      <w:r>
        <w:rPr>
          <w:rFonts w:ascii="Courier New" w:hAnsi="Courier New" w:cs="Courier New"/>
          <w:lang w:val="es-ES_tradnl"/>
        </w:rPr>
        <w:t>i</w:t>
      </w:r>
      <w:r>
        <w:rPr>
          <w:rFonts w:ascii="Courier New" w:hAnsi="Courier New" w:cs="Courier New"/>
          <w:lang w:val="es-ES_tradnl"/>
        </w:rPr>
        <w:t>cos que permitieron ver en forma s</w:t>
      </w:r>
      <w:r>
        <w:rPr>
          <w:rFonts w:ascii="Courier New" w:hAnsi="Courier New" w:cs="Courier New"/>
          <w:lang w:val="es-ES_tradnl"/>
        </w:rPr>
        <w:t>e</w:t>
      </w:r>
      <w:r>
        <w:rPr>
          <w:rFonts w:ascii="Courier New" w:hAnsi="Courier New" w:cs="Courier New"/>
          <w:lang w:val="es-ES_tradnl"/>
        </w:rPr>
        <w:t>cuencial el proceso de colapso de la estructura en los distintos casos.</w:t>
      </w:r>
    </w:p>
    <w:p w:rsidR="00224567" w:rsidRDefault="00224567">
      <w:pPr>
        <w:pStyle w:val="Textoindependiente2"/>
        <w:widowControl w:val="0"/>
        <w:rPr>
          <w:rFonts w:ascii="Courier New" w:hAnsi="Courier New" w:cs="Courier New"/>
          <w:lang w:val="es-ES_tradnl"/>
        </w:rPr>
      </w:pPr>
      <w:r>
        <w:rPr>
          <w:rFonts w:ascii="Courier New" w:hAnsi="Courier New" w:cs="Courier New"/>
          <w:lang w:val="es-ES_tradnl"/>
        </w:rPr>
        <w:tab/>
        <w:t>Dicho estudio demostró que el c</w:t>
      </w:r>
      <w:r>
        <w:rPr>
          <w:rFonts w:ascii="Courier New" w:hAnsi="Courier New" w:cs="Courier New"/>
          <w:lang w:val="es-ES_tradnl"/>
        </w:rPr>
        <w:t>o</w:t>
      </w:r>
      <w:r>
        <w:rPr>
          <w:rFonts w:ascii="Courier New" w:hAnsi="Courier New" w:cs="Courier New"/>
          <w:lang w:val="es-ES_tradnl"/>
        </w:rPr>
        <w:t>lapso del edificio se produjo por un mecanismo de tipo gravit</w:t>
      </w:r>
      <w:r>
        <w:rPr>
          <w:rFonts w:ascii="Courier New" w:hAnsi="Courier New" w:cs="Courier New"/>
          <w:lang w:val="es-ES_tradnl"/>
        </w:rPr>
        <w:t>a</w:t>
      </w:r>
      <w:r>
        <w:rPr>
          <w:rFonts w:ascii="Courier New" w:hAnsi="Courier New" w:cs="Courier New"/>
          <w:lang w:val="es-ES_tradnl"/>
        </w:rPr>
        <w:t>torio originado por la destrucción de la mayor parte de las columnas de la planta baja y de la losa que se ubicaba sobre el sótano del bloque delantero, las que, debido a su cercanía con el foco de la explosión,</w:t>
      </w:r>
      <w:r>
        <w:rPr>
          <w:rFonts w:ascii="Courier New" w:hAnsi="Courier New" w:cs="Courier New"/>
        </w:rPr>
        <w:t xml:space="preserve"> se destruyeron por el solo efecto de la presión; las más alejadas, en cambio, lo hicieron por el efecto de tracción que ejerció dicha losa al ser empujada hacia arriba. </w:t>
      </w:r>
      <w:r>
        <w:rPr>
          <w:rFonts w:ascii="Courier New" w:hAnsi="Courier New" w:cs="Courier New"/>
          <w:lang w:val="es-ES_tradnl"/>
        </w:rPr>
        <w:t>Así, al quedar sin su</w:t>
      </w:r>
      <w:r>
        <w:rPr>
          <w:rFonts w:ascii="Courier New" w:hAnsi="Courier New" w:cs="Courier New"/>
          <w:lang w:val="es-ES_tradnl"/>
        </w:rPr>
        <w:t>s</w:t>
      </w:r>
      <w:r>
        <w:rPr>
          <w:rFonts w:ascii="Courier New" w:hAnsi="Courier New" w:cs="Courier New"/>
          <w:lang w:val="es-ES_tradnl"/>
        </w:rPr>
        <w:t>tento, los pisos superiores comenzaron a caer, tracciona</w:t>
      </w:r>
      <w:r>
        <w:rPr>
          <w:rFonts w:ascii="Courier New" w:hAnsi="Courier New" w:cs="Courier New"/>
          <w:lang w:val="es-ES_tradnl"/>
        </w:rPr>
        <w:t>n</w:t>
      </w:r>
      <w:r>
        <w:rPr>
          <w:rFonts w:ascii="Courier New" w:hAnsi="Courier New" w:cs="Courier New"/>
          <w:lang w:val="es-ES_tradnl"/>
        </w:rPr>
        <w:t>do la parte trasera hasta desvinc</w:t>
      </w:r>
      <w:r>
        <w:rPr>
          <w:rFonts w:ascii="Courier New" w:hAnsi="Courier New" w:cs="Courier New"/>
          <w:lang w:val="es-ES_tradnl"/>
        </w:rPr>
        <w:t>u</w:t>
      </w:r>
      <w:r>
        <w:rPr>
          <w:rFonts w:ascii="Courier New" w:hAnsi="Courier New" w:cs="Courier New"/>
          <w:lang w:val="es-ES_tradnl"/>
        </w:rPr>
        <w:t>larse de ella a lo largo de una línea inclinada hacia atrás en altura.</w:t>
      </w:r>
    </w:p>
    <w:p w:rsidR="00224567" w:rsidRDefault="00224567">
      <w:pPr>
        <w:widowControl w:val="0"/>
      </w:pPr>
      <w:r>
        <w:tab/>
        <w:t>De igual modo, las paredes de la pla</w:t>
      </w:r>
      <w:r>
        <w:t>n</w:t>
      </w:r>
      <w:r>
        <w:t>ta baja direccionaron el daño hacia arriba, prov</w:t>
      </w:r>
      <w:r>
        <w:t>o</w:t>
      </w:r>
      <w:r>
        <w:t>cando un aumento sensible de los valores de presión en los pisos superiores que, junto a la acción de los patios de luz ubicados en la parte media del edificio, impidieron una mayor afectación de la e</w:t>
      </w:r>
      <w:r>
        <w:t>s</w:t>
      </w:r>
      <w:r>
        <w:t>tructura en el bloque posterior, que se mantuvo en pie.</w:t>
      </w:r>
    </w:p>
    <w:p w:rsidR="00224567" w:rsidRDefault="00224567">
      <w:pPr>
        <w:pStyle w:val="Textoindependiente2"/>
        <w:widowControl w:val="0"/>
        <w:rPr>
          <w:rFonts w:ascii="Courier New" w:hAnsi="Courier New" w:cs="Courier New"/>
        </w:rPr>
      </w:pPr>
      <w:r>
        <w:rPr>
          <w:rFonts w:ascii="Courier New" w:hAnsi="Courier New" w:cs="Courier New"/>
          <w:lang w:val="es-ES_tradnl"/>
        </w:rPr>
        <w:tab/>
        <w:t>A juicio de los expertos estructur</w:t>
      </w:r>
      <w:r>
        <w:rPr>
          <w:rFonts w:ascii="Courier New" w:hAnsi="Courier New" w:cs="Courier New"/>
          <w:lang w:val="es-ES_tradnl"/>
        </w:rPr>
        <w:t>a</w:t>
      </w:r>
      <w:r>
        <w:rPr>
          <w:rFonts w:ascii="Courier New" w:hAnsi="Courier New" w:cs="Courier New"/>
          <w:lang w:val="es-ES_tradnl"/>
        </w:rPr>
        <w:t>listas, una comparación del estado final del edificio, s</w:t>
      </w:r>
      <w:r>
        <w:rPr>
          <w:rFonts w:ascii="Courier New" w:hAnsi="Courier New" w:cs="Courier New"/>
          <w:lang w:val="es-ES_tradnl"/>
        </w:rPr>
        <w:t>e</w:t>
      </w:r>
      <w:r>
        <w:rPr>
          <w:rFonts w:ascii="Courier New" w:hAnsi="Courier New" w:cs="Courier New"/>
          <w:lang w:val="es-ES_tradnl"/>
        </w:rPr>
        <w:t>gún los distintos casos analizados, con las fotografías obtenidas luego de la explosión, permite concluir que la simulación llevada a cabo reprodujo el mecanismo de cola</w:t>
      </w:r>
      <w:r>
        <w:rPr>
          <w:rFonts w:ascii="Courier New" w:hAnsi="Courier New" w:cs="Courier New"/>
          <w:lang w:val="es-ES_tradnl"/>
        </w:rPr>
        <w:t>p</w:t>
      </w:r>
      <w:r>
        <w:rPr>
          <w:rFonts w:ascii="Courier New" w:hAnsi="Courier New" w:cs="Courier New"/>
          <w:lang w:val="es-ES_tradnl"/>
        </w:rPr>
        <w:t>so del edificio, confirmando que éste se originó por un explosivo de la magnitud y en las ubicaciones que se d</w:t>
      </w:r>
      <w:r>
        <w:rPr>
          <w:rFonts w:ascii="Courier New" w:hAnsi="Courier New" w:cs="Courier New"/>
          <w:lang w:val="es-ES_tradnl"/>
        </w:rPr>
        <w:t>e</w:t>
      </w:r>
      <w:r>
        <w:rPr>
          <w:rFonts w:ascii="Courier New" w:hAnsi="Courier New" w:cs="Courier New"/>
          <w:lang w:val="es-ES_tradnl"/>
        </w:rPr>
        <w:t>terminaron como más probables en el primer estudio. De d</w:t>
      </w:r>
      <w:r>
        <w:rPr>
          <w:rFonts w:ascii="Courier New" w:hAnsi="Courier New" w:cs="Courier New"/>
          <w:lang w:val="es-ES_tradnl"/>
        </w:rPr>
        <w:t>i</w:t>
      </w:r>
      <w:r>
        <w:rPr>
          <w:rFonts w:ascii="Courier New" w:hAnsi="Courier New" w:cs="Courier New"/>
          <w:lang w:val="es-ES_tradnl"/>
        </w:rPr>
        <w:t xml:space="preserve">cho cotejo </w:t>
      </w:r>
      <w:r>
        <w:rPr>
          <w:rFonts w:ascii="Courier New" w:hAnsi="Courier New" w:cs="Courier New"/>
        </w:rPr>
        <w:t>destacaron, en particular, la idéntica ubic</w:t>
      </w:r>
      <w:r>
        <w:rPr>
          <w:rFonts w:ascii="Courier New" w:hAnsi="Courier New" w:cs="Courier New"/>
        </w:rPr>
        <w:t>a</w:t>
      </w:r>
      <w:r>
        <w:rPr>
          <w:rFonts w:ascii="Courier New" w:hAnsi="Courier New" w:cs="Courier New"/>
        </w:rPr>
        <w:t>ción de los escombros, los que avanzaron en una línea i</w:t>
      </w:r>
      <w:r>
        <w:rPr>
          <w:rFonts w:ascii="Courier New" w:hAnsi="Courier New" w:cs="Courier New"/>
        </w:rPr>
        <w:t>n</w:t>
      </w:r>
      <w:r>
        <w:rPr>
          <w:rFonts w:ascii="Courier New" w:hAnsi="Courier New" w:cs="Courier New"/>
        </w:rPr>
        <w:t>clinada hacia la calle Pasteur; el hecho de que en ambos casos hubiera losas de los pisos delanteros que quedaron colgando de la parte de la estructura que permaneció en pie; la existencia de losas apil</w:t>
      </w:r>
      <w:r>
        <w:rPr>
          <w:rFonts w:ascii="Courier New" w:hAnsi="Courier New" w:cs="Courier New"/>
        </w:rPr>
        <w:t>a</w:t>
      </w:r>
      <w:r>
        <w:rPr>
          <w:rFonts w:ascii="Courier New" w:hAnsi="Courier New" w:cs="Courier New"/>
        </w:rPr>
        <w:t>das, una encima de otra, luego del derrumbe y la gran similitud de los pórticos de la parte po</w:t>
      </w:r>
      <w:r>
        <w:rPr>
          <w:rFonts w:ascii="Courier New" w:hAnsi="Courier New" w:cs="Courier New"/>
        </w:rPr>
        <w:t>s</w:t>
      </w:r>
      <w:r>
        <w:rPr>
          <w:rFonts w:ascii="Courier New" w:hAnsi="Courier New" w:cs="Courier New"/>
        </w:rPr>
        <w:t>terior que quedaron en pie.</w:t>
      </w:r>
    </w:p>
    <w:p w:rsidR="00224567" w:rsidRDefault="00224567">
      <w:pPr>
        <w:pStyle w:val="Textoindependiente2"/>
        <w:widowControl w:val="0"/>
        <w:rPr>
          <w:rFonts w:ascii="Courier New" w:hAnsi="Courier New" w:cs="Courier New"/>
        </w:rPr>
      </w:pPr>
      <w:r>
        <w:rPr>
          <w:rFonts w:ascii="Courier New" w:hAnsi="Courier New" w:cs="Courier New"/>
        </w:rPr>
        <w:tab/>
      </w:r>
      <w:r>
        <w:rPr>
          <w:rFonts w:ascii="Courier New" w:hAnsi="Courier New" w:cs="Courier New"/>
        </w:rPr>
        <w:tab/>
        <w:t>En virtud de las conclusiones a las que arribaron, los peritos consideraron que los modelos que desarrollaron del proceso de propagación de la onda expansiva y del colapso de la estructura, completan sati</w:t>
      </w:r>
      <w:r>
        <w:rPr>
          <w:rFonts w:ascii="Courier New" w:hAnsi="Courier New" w:cs="Courier New"/>
        </w:rPr>
        <w:t>s</w:t>
      </w:r>
      <w:r>
        <w:rPr>
          <w:rFonts w:ascii="Courier New" w:hAnsi="Courier New" w:cs="Courier New"/>
        </w:rPr>
        <w:t>factoriamente la simulación computacional tridimensional de la mecánica del s</w:t>
      </w:r>
      <w:r>
        <w:rPr>
          <w:rFonts w:ascii="Courier New" w:hAnsi="Courier New" w:cs="Courier New"/>
        </w:rPr>
        <w:t>u</w:t>
      </w:r>
      <w:r>
        <w:rPr>
          <w:rFonts w:ascii="Courier New" w:hAnsi="Courier New" w:cs="Courier New"/>
        </w:rPr>
        <w:t>ceso.</w:t>
      </w:r>
    </w:p>
    <w:p w:rsidR="00224567" w:rsidRDefault="00224567">
      <w:pPr>
        <w:widowControl w:val="0"/>
      </w:pPr>
      <w:r>
        <w:rPr>
          <w:lang w:val="es-ES_tradnl"/>
        </w:rPr>
        <w:tab/>
        <w:t>En el debate los Dres. Luccioni, A</w:t>
      </w:r>
      <w:r>
        <w:rPr>
          <w:lang w:val="es-ES_tradnl"/>
        </w:rPr>
        <w:t>m</w:t>
      </w:r>
      <w:r>
        <w:rPr>
          <w:lang w:val="es-ES_tradnl"/>
        </w:rPr>
        <w:t>brosini y Danesi, ratificaron los extremos reseñados pr</w:t>
      </w:r>
      <w:r>
        <w:rPr>
          <w:lang w:val="es-ES_tradnl"/>
        </w:rPr>
        <w:t>e</w:t>
      </w:r>
      <w:r>
        <w:rPr>
          <w:lang w:val="es-ES_tradnl"/>
        </w:rPr>
        <w:t>cedentemente e ilustraron mediante imágenes tridimension</w:t>
      </w:r>
      <w:r>
        <w:rPr>
          <w:lang w:val="es-ES_tradnl"/>
        </w:rPr>
        <w:t>a</w:t>
      </w:r>
      <w:r>
        <w:rPr>
          <w:lang w:val="es-ES_tradnl"/>
        </w:rPr>
        <w:t>- les las distintas etapas del proceso de simulación, graf</w:t>
      </w:r>
      <w:r>
        <w:rPr>
          <w:lang w:val="es-ES_tradnl"/>
        </w:rPr>
        <w:t>i</w:t>
      </w:r>
      <w:r>
        <w:rPr>
          <w:lang w:val="es-ES_tradnl"/>
        </w:rPr>
        <w:t xml:space="preserve">cando sus conclusiones; explicaron que si bien </w:t>
      </w:r>
      <w:r>
        <w:t>todos los cálculos poseen un cierto margen de error, en este caso era difícil admitirlo, tanto en los datos recabados o en el resultado de la simulación co</w:t>
      </w:r>
      <w:r>
        <w:t>m</w:t>
      </w:r>
      <w:r>
        <w:t>putacional, puesto que el análisis comparativo demostró una amplia concordancia e</w:t>
      </w:r>
      <w:r>
        <w:t>n</w:t>
      </w:r>
      <w:r>
        <w:t>tre los resultados simulados y la realidad documentada. Sin perjuicio de ello, admitió limitaciones en este tipo de estudio en el sentido de que es virtualmente imposible, con los recursos computacionales existentes, reproducir todos y cada uno de los detalles de los daños y del cola</w:t>
      </w:r>
      <w:r>
        <w:t>p</w:t>
      </w:r>
      <w:r>
        <w:t>so.</w:t>
      </w:r>
    </w:p>
    <w:p w:rsidR="00224567" w:rsidRDefault="00224567">
      <w:pPr>
        <w:widowControl w:val="0"/>
        <w:rPr>
          <w:lang w:val="es-ES_tradnl"/>
        </w:rPr>
      </w:pPr>
      <w:r>
        <w:rPr>
          <w:b/>
          <w:bCs/>
          <w:lang w:val="es-ES_tradnl"/>
        </w:rPr>
        <w:tab/>
        <w:t>A.19)</w:t>
      </w:r>
      <w:r>
        <w:rPr>
          <w:lang w:val="es-ES_tradnl"/>
        </w:rPr>
        <w:t xml:space="preserve"> En el debate prestaron declar</w:t>
      </w:r>
      <w:r>
        <w:rPr>
          <w:lang w:val="es-ES_tradnl"/>
        </w:rPr>
        <w:t>a</w:t>
      </w:r>
      <w:r>
        <w:rPr>
          <w:lang w:val="es-ES_tradnl"/>
        </w:rPr>
        <w:t>ción numerosos testigos que sostuvieron haber estado en la calle Pasteur, entre Tucumán y Viamonte, en la mañ</w:t>
      </w:r>
      <w:r>
        <w:rPr>
          <w:lang w:val="es-ES_tradnl"/>
        </w:rPr>
        <w:t>a</w:t>
      </w:r>
      <w:r>
        <w:rPr>
          <w:lang w:val="es-ES_tradnl"/>
        </w:rPr>
        <w:t>na del 18 de julio de 1994; en particular, momentos a</w:t>
      </w:r>
      <w:r>
        <w:rPr>
          <w:lang w:val="es-ES_tradnl"/>
        </w:rPr>
        <w:t>n</w:t>
      </w:r>
      <w:r>
        <w:rPr>
          <w:lang w:val="es-ES_tradnl"/>
        </w:rPr>
        <w:t>tes de las 9.53.</w:t>
      </w:r>
    </w:p>
    <w:p w:rsidR="00224567" w:rsidRDefault="00224567">
      <w:pPr>
        <w:widowControl w:val="0"/>
      </w:pPr>
      <w:r>
        <w:rPr>
          <w:lang w:val="es-ES_tradnl"/>
        </w:rPr>
        <w:tab/>
      </w:r>
      <w:r>
        <w:tab/>
        <w:t>María Nicolasa Romero y Carlos Rig</w:t>
      </w:r>
      <w:r>
        <w:t>o</w:t>
      </w:r>
      <w:r>
        <w:t>berto Heidenreich afirmaron que observaron una camioneta circulando por la calle Pasteur instantes antes de la d</w:t>
      </w:r>
      <w:r>
        <w:t>e</w:t>
      </w:r>
      <w:r>
        <w:t>tonación.</w:t>
      </w:r>
    </w:p>
    <w:p w:rsidR="00224567" w:rsidRDefault="00224567">
      <w:pPr>
        <w:widowControl w:val="0"/>
      </w:pPr>
      <w:r>
        <w:tab/>
      </w:r>
      <w:r>
        <w:tab/>
        <w:t>Romero explicó que desde el año 1983, aproximadamente, se domiciliaba en la calle Vi</w:t>
      </w:r>
      <w:r>
        <w:t>a</w:t>
      </w:r>
      <w:r>
        <w:t>monte 2247 de e</w:t>
      </w:r>
      <w:r>
        <w:t>s</w:t>
      </w:r>
      <w:r>
        <w:t xml:space="preserve">ta ciudad, a la vuelta de </w:t>
      </w:r>
      <w:smartTag w:uri="urn:schemas-microsoft-com:office:smarttags" w:element="PersonName">
        <w:smartTagPr>
          <w:attr w:name="ProductID" w:val="la A.M"/>
        </w:smartTagPr>
        <w:r>
          <w:t>la A.M</w:t>
        </w:r>
      </w:smartTag>
      <w:r>
        <w:t>.I.A. y que el 18 de julio de 1994, poco antes de las 10.00, en circunstancias en que, a pie, llevaba a su hijo de cuatro años a un ja</w:t>
      </w:r>
      <w:r>
        <w:t>r</w:t>
      </w:r>
      <w:r>
        <w:t>dín de infantes sito en las calles Rincón y Venezuela de esta ciudad, acompañada por una hermana suya, fueron so</w:t>
      </w:r>
      <w:r>
        <w:t>r</w:t>
      </w:r>
      <w:r>
        <w:t xml:space="preserve">prendidos por la explosión en la cuadra de Pasteur al </w:t>
      </w:r>
      <w:smartTag w:uri="urn:schemas-microsoft-com:office:smarttags" w:element="metricconverter">
        <w:smartTagPr>
          <w:attr w:name="ProductID" w:val="500, a"/>
        </w:smartTagPr>
        <w:r>
          <w:t>500, a</w:t>
        </w:r>
      </w:smartTag>
      <w:r>
        <w:t xml:space="preserve"> p</w:t>
      </w:r>
      <w:r>
        <w:t>a</w:t>
      </w:r>
      <w:r>
        <w:t>sos de Tucumán.</w:t>
      </w:r>
    </w:p>
    <w:p w:rsidR="00224567" w:rsidRDefault="00224567">
      <w:pPr>
        <w:widowControl w:val="0"/>
      </w:pPr>
      <w:r>
        <w:tab/>
      </w:r>
      <w:r>
        <w:tab/>
        <w:t>Recordó que en esa oportunidad, mie</w:t>
      </w:r>
      <w:r>
        <w:t>n</w:t>
      </w:r>
      <w:r>
        <w:t>tras caminaban por la vereda impar de Pasteur al 600, el pequeño se soltó de su mano y come</w:t>
      </w:r>
      <w:r>
        <w:t>n</w:t>
      </w:r>
      <w:r>
        <w:t>zó a correr, por lo que ella y su hermana debieron apurar el paso hasta darle a</w:t>
      </w:r>
      <w:r>
        <w:t>l</w:t>
      </w:r>
      <w:r>
        <w:t>cance en la esquina de Pasteur y Tucumán; que al descender a la calzada, para iniciar el cruce de esta última art</w:t>
      </w:r>
      <w:r>
        <w:t>e</w:t>
      </w:r>
      <w:r>
        <w:t>ria, los tres se vieron obligados a retornar a la vereda</w:t>
      </w:r>
      <w:r>
        <w:rPr>
          <w:b/>
          <w:bCs/>
        </w:rPr>
        <w:t xml:space="preserve"> </w:t>
      </w:r>
      <w:r>
        <w:t>para evitar ser atropellados por una camioneta de color beige, “tirando a café con leche”, que lentamente circul</w:t>
      </w:r>
      <w:r>
        <w:t>a</w:t>
      </w:r>
      <w:r>
        <w:t>ba por Tucumán y que, para tomar Pasteur, giró hacia su derecha en forma cerrada. Expl</w:t>
      </w:r>
      <w:r>
        <w:t>i</w:t>
      </w:r>
      <w:r>
        <w:t>có que dicha maniobra hizo que se fijara en su conductor, a quien sintió deseos de insultar, cruzándose por un instante sus miradas; se tr</w:t>
      </w:r>
      <w:r>
        <w:t>a</w:t>
      </w:r>
      <w:r>
        <w:t>taba –memoró Romero- de un sujeto de entre 30 y 35 años de edad, tez morena, ojos grandes, cabellos oscuros cortados al estilo militar y vestido con una camisa beige. Luego que la camioneta d</w:t>
      </w:r>
      <w:r>
        <w:t>o</w:t>
      </w:r>
      <w:r>
        <w:t>bló y al advertir que no se aproximaba otro vehículo, al menos cerca, reiniciaron el cruce de T</w:t>
      </w:r>
      <w:r>
        <w:t>u</w:t>
      </w:r>
      <w:r>
        <w:t>cumán a paso rápido y cuando habían recorrido unos pocos metros por Pasteur y se encontraban, aproximadamente, a la altura de “donde termina la ventana de un bar” que había en la esquina, se pr</w:t>
      </w:r>
      <w:r>
        <w:t>o</w:t>
      </w:r>
      <w:r>
        <w:t>dujo la explosión.</w:t>
      </w:r>
    </w:p>
    <w:p w:rsidR="00224567" w:rsidRDefault="00224567">
      <w:pPr>
        <w:widowControl w:val="0"/>
        <w:rPr>
          <w:lang w:val="es-ES_tradnl"/>
        </w:rPr>
      </w:pPr>
      <w:r>
        <w:rPr>
          <w:lang w:val="es-ES_tradnl"/>
        </w:rPr>
        <w:tab/>
        <w:t>Continuó refiriendo que en ese mome</w:t>
      </w:r>
      <w:r>
        <w:rPr>
          <w:lang w:val="es-ES_tradnl"/>
        </w:rPr>
        <w:t>n</w:t>
      </w:r>
      <w:r>
        <w:rPr>
          <w:lang w:val="es-ES_tradnl"/>
        </w:rPr>
        <w:t>to un joven que caminaba en dirección contraria y que supuso trabajaba de mozo, por cuanto llevaba una bandeja metál</w:t>
      </w:r>
      <w:r>
        <w:rPr>
          <w:lang w:val="es-ES_tradnl"/>
        </w:rPr>
        <w:t>i</w:t>
      </w:r>
      <w:r>
        <w:rPr>
          <w:lang w:val="es-ES_tradnl"/>
        </w:rPr>
        <w:t>ca, se arrojó sobre ellas para protegerlas de la onda e</w:t>
      </w:r>
      <w:r>
        <w:rPr>
          <w:lang w:val="es-ES_tradnl"/>
        </w:rPr>
        <w:t>x</w:t>
      </w:r>
      <w:r>
        <w:rPr>
          <w:lang w:val="es-ES_tradnl"/>
        </w:rPr>
        <w:t>pansiva, al tiempo que gritaba “una bomba, una bomba”; precisó que nunca antes había visto a ese joven y que la afirmación que consta en su declaración ante la preve</w:t>
      </w:r>
      <w:r>
        <w:rPr>
          <w:lang w:val="es-ES_tradnl"/>
        </w:rPr>
        <w:t>n</w:t>
      </w:r>
      <w:r>
        <w:rPr>
          <w:lang w:val="es-ES_tradnl"/>
        </w:rPr>
        <w:t>ción, en el sentido de que “sabía que se desempeñaba como mozo en el bar de la esquina de Pasteur y Tucumán”, la atribuyó a una mala expresión de su parte o a una errónea interpretación del funcionario que le recibió la declar</w:t>
      </w:r>
      <w:r>
        <w:rPr>
          <w:lang w:val="es-ES_tradnl"/>
        </w:rPr>
        <w:t>a</w:t>
      </w:r>
      <w:r>
        <w:rPr>
          <w:lang w:val="es-ES_tradnl"/>
        </w:rPr>
        <w:t>ción.</w:t>
      </w:r>
    </w:p>
    <w:p w:rsidR="00224567" w:rsidRDefault="00224567">
      <w:pPr>
        <w:widowControl w:val="0"/>
        <w:rPr>
          <w:lang w:val="es-ES_tradnl"/>
        </w:rPr>
      </w:pPr>
      <w:r>
        <w:rPr>
          <w:lang w:val="es-ES_tradnl"/>
        </w:rPr>
        <w:tab/>
        <w:t>Indicó, además, que mientras perman</w:t>
      </w:r>
      <w:r>
        <w:rPr>
          <w:lang w:val="es-ES_tradnl"/>
        </w:rPr>
        <w:t>e</w:t>
      </w:r>
      <w:r>
        <w:rPr>
          <w:lang w:val="es-ES_tradnl"/>
        </w:rPr>
        <w:t>cían en el suelo se produjo una lluvia de pi</w:t>
      </w:r>
      <w:r>
        <w:rPr>
          <w:lang w:val="es-ES_tradnl"/>
        </w:rPr>
        <w:t>e</w:t>
      </w:r>
      <w:r>
        <w:rPr>
          <w:lang w:val="es-ES_tradnl"/>
        </w:rPr>
        <w:t>dras y trozos de mampostería, por lo que atinó a arrimar a su hijo junto a ella, protegiéndolo con su cuerpo; una vez que cesó, se incorporaron y reiniciaron la marcha hacia el jardín de infantes.</w:t>
      </w:r>
    </w:p>
    <w:p w:rsidR="00224567" w:rsidRDefault="00224567">
      <w:pPr>
        <w:widowControl w:val="0"/>
        <w:rPr>
          <w:lang w:val="es-ES_tradnl"/>
        </w:rPr>
      </w:pPr>
      <w:r>
        <w:rPr>
          <w:lang w:val="es-ES_tradnl"/>
        </w:rPr>
        <w:tab/>
        <w:t>Romero precisó que en esos momentos pudo ver a sus espaldas un espectáculo desolador y que, sin comprender cabalmente lo que había pasado, aturd</w:t>
      </w:r>
      <w:r>
        <w:rPr>
          <w:lang w:val="es-ES_tradnl"/>
        </w:rPr>
        <w:t>i</w:t>
      </w:r>
      <w:r>
        <w:rPr>
          <w:lang w:val="es-ES_tradnl"/>
        </w:rPr>
        <w:t>das, sólo atinaron a alejarse del lugar. Tras dejar al niño en el jardín regresaron a su d</w:t>
      </w:r>
      <w:r>
        <w:rPr>
          <w:lang w:val="es-ES_tradnl"/>
        </w:rPr>
        <w:t>o</w:t>
      </w:r>
      <w:r>
        <w:rPr>
          <w:lang w:val="es-ES_tradnl"/>
        </w:rPr>
        <w:t>micilio asustadas y cubiertas de polvo, previo haber intentado retornar al sitio donde las sorprendió la explosión para recuperar una bufanda y un par de anteojos que se le habían caído, de lo cual desistió al advertir que la zona estaba llena de gente; recién, trece o catorce horas más tarde conocieron lo realmente acontecido.</w:t>
      </w:r>
    </w:p>
    <w:p w:rsidR="00224567" w:rsidRDefault="00224567">
      <w:pPr>
        <w:pStyle w:val="Sangradetextonormal"/>
        <w:widowControl w:val="0"/>
        <w:ind w:firstLine="0"/>
      </w:pPr>
      <w:r>
        <w:tab/>
        <w:t>Agregó que en horas de la tarde, tras retirar a su hijo del jardín de infantes, le señaló a su hermana que también la acompañaba, una camioneta s</w:t>
      </w:r>
      <w:r>
        <w:t>i</w:t>
      </w:r>
      <w:r>
        <w:t>milar a la que había visto antes de la explosión, indicándole el niño -quien sabía de marcas de rodados lo que sabe cua</w:t>
      </w:r>
      <w:r>
        <w:t>l</w:t>
      </w:r>
      <w:r>
        <w:t>quiera de su edad- que se trataba de una camioneta Trafic; extremo que desconocían, hasta entonces, tanto ella como su hermana por cuanto ni idea t</w:t>
      </w:r>
      <w:r>
        <w:t>e</w:t>
      </w:r>
      <w:r>
        <w:t>nían de tales cuestiones. En ese sentido, aclaró que la mención a una Trafic volcada en su declaración ante el juzgado instructor la efectuó como cuando alguien utiliza una marca reconocida para i</w:t>
      </w:r>
      <w:r>
        <w:t>n</w:t>
      </w:r>
      <w:r>
        <w:t>dividualizar un determinado produ</w:t>
      </w:r>
      <w:r>
        <w:t>c</w:t>
      </w:r>
      <w:r>
        <w:t>to.</w:t>
      </w:r>
    </w:p>
    <w:p w:rsidR="00224567" w:rsidRDefault="00224567">
      <w:pPr>
        <w:widowControl w:val="0"/>
        <w:rPr>
          <w:lang w:val="es-ES_tradnl"/>
        </w:rPr>
      </w:pPr>
      <w:r>
        <w:rPr>
          <w:lang w:val="es-ES_tradnl"/>
        </w:rPr>
        <w:tab/>
        <w:t>En cuanto a las características de la camioneta, María Nicolasa Romero indicó que no hubo en ella nada que le hubiera llamado la atención, pudiendo r</w:t>
      </w:r>
      <w:r>
        <w:rPr>
          <w:lang w:val="es-ES_tradnl"/>
        </w:rPr>
        <w:t>e</w:t>
      </w:r>
      <w:r>
        <w:rPr>
          <w:lang w:val="es-ES_tradnl"/>
        </w:rPr>
        <w:t>cordar que no tenía, al menos del lado que pudo ver, pue</w:t>
      </w:r>
      <w:r>
        <w:rPr>
          <w:lang w:val="es-ES_tradnl"/>
        </w:rPr>
        <w:t>r</w:t>
      </w:r>
      <w:r>
        <w:rPr>
          <w:lang w:val="es-ES_tradnl"/>
        </w:rPr>
        <w:t>tas laterales, carteles, inscripciones o calcomanías, r</w:t>
      </w:r>
      <w:r>
        <w:rPr>
          <w:lang w:val="es-ES_tradnl"/>
        </w:rPr>
        <w:t>e</w:t>
      </w:r>
      <w:r>
        <w:rPr>
          <w:lang w:val="es-ES_tradnl"/>
        </w:rPr>
        <w:t>conociendo los modelos “T-</w:t>
      </w:r>
      <w:smartTag w:uri="urn:schemas-microsoft-com:office:smarttags" w:element="metricconverter">
        <w:smartTagPr>
          <w:attr w:name="ProductID" w:val="312”"/>
        </w:smartTagPr>
        <w:r>
          <w:rPr>
            <w:lang w:val="es-ES_tradnl"/>
          </w:rPr>
          <w:t>312”</w:t>
        </w:r>
      </w:smartTag>
      <w:r>
        <w:rPr>
          <w:lang w:val="es-ES_tradnl"/>
        </w:rPr>
        <w:t xml:space="preserve"> y “T-</w:t>
      </w:r>
      <w:smartTag w:uri="urn:schemas-microsoft-com:office:smarttags" w:element="metricconverter">
        <w:smartTagPr>
          <w:attr w:name="ProductID" w:val="310”"/>
        </w:smartTagPr>
        <w:r>
          <w:rPr>
            <w:lang w:val="es-ES_tradnl"/>
          </w:rPr>
          <w:t>310”</w:t>
        </w:r>
      </w:smartTag>
      <w:r>
        <w:rPr>
          <w:lang w:val="es-ES_tradnl"/>
        </w:rPr>
        <w:t xml:space="preserve"> de Renault Tr</w:t>
      </w:r>
      <w:r>
        <w:rPr>
          <w:lang w:val="es-ES_tradnl"/>
        </w:rPr>
        <w:t>a</w:t>
      </w:r>
      <w:r>
        <w:rPr>
          <w:lang w:val="es-ES_tradnl"/>
        </w:rPr>
        <w:t>fic, que en fotogr</w:t>
      </w:r>
      <w:r>
        <w:rPr>
          <w:lang w:val="es-ES_tradnl"/>
        </w:rPr>
        <w:t>a</w:t>
      </w:r>
      <w:r>
        <w:rPr>
          <w:lang w:val="es-ES_tradnl"/>
        </w:rPr>
        <w:t>fía se le exhibieron en el debate, como similares al automóvil al que hizo ref</w:t>
      </w:r>
      <w:r>
        <w:rPr>
          <w:lang w:val="es-ES_tradnl"/>
        </w:rPr>
        <w:t>e</w:t>
      </w:r>
      <w:r>
        <w:rPr>
          <w:lang w:val="es-ES_tradnl"/>
        </w:rPr>
        <w:t>rencia.</w:t>
      </w:r>
    </w:p>
    <w:p w:rsidR="00224567" w:rsidRDefault="00224567">
      <w:pPr>
        <w:widowControl w:val="0"/>
        <w:rPr>
          <w:lang w:val="es-ES_tradnl"/>
        </w:rPr>
      </w:pPr>
      <w:r>
        <w:rPr>
          <w:lang w:val="es-ES_tradnl"/>
        </w:rPr>
        <w:tab/>
        <w:t>Adelina Filomena Romero ratificó, en términos generales, la versión ofrecida por su hermana M</w:t>
      </w:r>
      <w:r>
        <w:rPr>
          <w:lang w:val="es-ES_tradnl"/>
        </w:rPr>
        <w:t>a</w:t>
      </w:r>
      <w:r>
        <w:rPr>
          <w:lang w:val="es-ES_tradnl"/>
        </w:rPr>
        <w:t>ría Nicolasa, no recordando el incidente referido por ésta relativo al paso de un automotor en momentos que se disp</w:t>
      </w:r>
      <w:r>
        <w:rPr>
          <w:lang w:val="es-ES_tradnl"/>
        </w:rPr>
        <w:t>o</w:t>
      </w:r>
      <w:r>
        <w:rPr>
          <w:lang w:val="es-ES_tradnl"/>
        </w:rPr>
        <w:t>nían a cruzar Tucumán en su intersección con la calle Pa</w:t>
      </w:r>
      <w:r>
        <w:rPr>
          <w:lang w:val="es-ES_tradnl"/>
        </w:rPr>
        <w:t>s</w:t>
      </w:r>
      <w:r>
        <w:rPr>
          <w:lang w:val="es-ES_tradnl"/>
        </w:rPr>
        <w:t>teur.</w:t>
      </w:r>
    </w:p>
    <w:p w:rsidR="00224567" w:rsidRDefault="00224567">
      <w:pPr>
        <w:widowControl w:val="0"/>
      </w:pPr>
      <w:r>
        <w:rPr>
          <w:lang w:val="es-ES_tradnl"/>
        </w:rPr>
        <w:tab/>
      </w:r>
      <w:r>
        <w:tab/>
        <w:t>Tampoco pudo recordar que ese día su hermana le haya comentado algo respecto de algún r</w:t>
      </w:r>
      <w:r>
        <w:t>o</w:t>
      </w:r>
      <w:r>
        <w:t>dado o de la explosión, ni que ella ni su sobrino hicieran algún comentario vinculado a una marca o mod</w:t>
      </w:r>
      <w:r>
        <w:t>e</w:t>
      </w:r>
      <w:r>
        <w:t>lo de vehículo.</w:t>
      </w:r>
    </w:p>
    <w:p w:rsidR="00224567" w:rsidRDefault="00224567">
      <w:pPr>
        <w:widowControl w:val="0"/>
      </w:pPr>
      <w:r>
        <w:tab/>
      </w:r>
      <w:r>
        <w:tab/>
        <w:t>Por su parte, Rodolfo Ariel C</w:t>
      </w:r>
      <w:r>
        <w:t>a</w:t>
      </w:r>
      <w:r>
        <w:t>ballero manifestó que se desempeñaba como empleado de una verdul</w:t>
      </w:r>
      <w:r>
        <w:t>e</w:t>
      </w:r>
      <w:r>
        <w:t>ría ubicada sobre la calle Viamonte, casi esquina Urib</w:t>
      </w:r>
      <w:r>
        <w:t>u</w:t>
      </w:r>
      <w:r>
        <w:t>ru y que en la mañana del 18 de julio, tras dejar un pedido en Pasteur 558, cruzó la calle para dirigirse al bar ub</w:t>
      </w:r>
      <w:r>
        <w:t>i</w:t>
      </w:r>
      <w:r>
        <w:t>cado enfrente con el fin de averiguar si necesitaban algo; al retirarse del comercio observó, en sentido contrario, dos mujeres y un niño que venían caminando e instantes después ocurrió la e</w:t>
      </w:r>
      <w:r>
        <w:t>x</w:t>
      </w:r>
      <w:r>
        <w:t>plosión.</w:t>
      </w:r>
    </w:p>
    <w:p w:rsidR="00224567" w:rsidRDefault="00224567">
      <w:pPr>
        <w:widowControl w:val="0"/>
        <w:rPr>
          <w:lang w:val="es-ES_tradnl"/>
        </w:rPr>
      </w:pPr>
      <w:r>
        <w:rPr>
          <w:lang w:val="es-ES_tradnl"/>
        </w:rPr>
        <w:tab/>
        <w:t>Explicó que tras el estallido sintió que “el piso se levantó”, a la vez que vio “una n</w:t>
      </w:r>
      <w:r>
        <w:rPr>
          <w:lang w:val="es-ES_tradnl"/>
        </w:rPr>
        <w:t>u</w:t>
      </w:r>
      <w:r>
        <w:rPr>
          <w:lang w:val="es-ES_tradnl"/>
        </w:rPr>
        <w:t>be negra que parecía que se venía todo encima”, advirtie</w:t>
      </w:r>
      <w:r>
        <w:rPr>
          <w:lang w:val="es-ES_tradnl"/>
        </w:rPr>
        <w:t>n</w:t>
      </w:r>
      <w:r>
        <w:rPr>
          <w:lang w:val="es-ES_tradnl"/>
        </w:rPr>
        <w:t>do que un niño se encontraba de pie junto al cordón de la vereda, por lo que se arrastró hacia él para lleva</w:t>
      </w:r>
      <w:r>
        <w:rPr>
          <w:lang w:val="es-ES_tradnl"/>
        </w:rPr>
        <w:t>r</w:t>
      </w:r>
      <w:r>
        <w:rPr>
          <w:lang w:val="es-ES_tradnl"/>
        </w:rPr>
        <w:t>lo a un costado donde se hallaba su madre; luego, con el fin de proteger a ambos de los objetos que ca</w:t>
      </w:r>
      <w:r>
        <w:rPr>
          <w:lang w:val="es-ES_tradnl"/>
        </w:rPr>
        <w:t>í</w:t>
      </w:r>
      <w:r>
        <w:rPr>
          <w:lang w:val="es-ES_tradnl"/>
        </w:rPr>
        <w:t>an, los cubrió con su cuerpo. Señaló, además, que junto a ellos también se encontraba otra mujer, la que primero estuvo parada y luego se ag</w:t>
      </w:r>
      <w:r>
        <w:rPr>
          <w:lang w:val="es-ES_tradnl"/>
        </w:rPr>
        <w:t>a</w:t>
      </w:r>
      <w:r>
        <w:rPr>
          <w:lang w:val="es-ES_tradnl"/>
        </w:rPr>
        <w:t>chó, separándose de ellas una vez que cesó la lluvia de objetos, para dirigirse al lugar donde se produjo el est</w:t>
      </w:r>
      <w:r>
        <w:rPr>
          <w:lang w:val="es-ES_tradnl"/>
        </w:rPr>
        <w:t>a</w:t>
      </w:r>
      <w:r>
        <w:rPr>
          <w:lang w:val="es-ES_tradnl"/>
        </w:rPr>
        <w:t>llido.</w:t>
      </w:r>
    </w:p>
    <w:p w:rsidR="00224567" w:rsidRDefault="00224567">
      <w:pPr>
        <w:widowControl w:val="0"/>
        <w:rPr>
          <w:lang w:val="es-ES_tradnl"/>
        </w:rPr>
      </w:pPr>
      <w:r>
        <w:rPr>
          <w:lang w:val="es-ES_tradnl"/>
        </w:rPr>
        <w:tab/>
        <w:t>En otro orden de cosas, Caballero afirmó que esa mañana lucía una casaca de color bo</w:t>
      </w:r>
      <w:r>
        <w:rPr>
          <w:lang w:val="es-ES_tradnl"/>
        </w:rPr>
        <w:t>r</w:t>
      </w:r>
      <w:r>
        <w:rPr>
          <w:lang w:val="es-ES_tradnl"/>
        </w:rPr>
        <w:t>dó; que el tránsito, tanto vehicular como peatonal, era el hab</w:t>
      </w:r>
      <w:r>
        <w:rPr>
          <w:lang w:val="es-ES_tradnl"/>
        </w:rPr>
        <w:t>i</w:t>
      </w:r>
      <w:r>
        <w:rPr>
          <w:lang w:val="es-ES_tradnl"/>
        </w:rPr>
        <w:t xml:space="preserve">tual del lugar y que, como siempre, había un patrullero estacionado frente a </w:t>
      </w:r>
      <w:smartTag w:uri="urn:schemas-microsoft-com:office:smarttags" w:element="PersonName">
        <w:smartTagPr>
          <w:attr w:name="ProductID" w:val="la A.M"/>
        </w:smartTagPr>
        <w:r>
          <w:rPr>
            <w:lang w:val="es-ES_tradnl"/>
          </w:rPr>
          <w:t>la A.M</w:t>
        </w:r>
      </w:smartTag>
      <w:r>
        <w:rPr>
          <w:lang w:val="es-ES_tradnl"/>
        </w:rPr>
        <w:t>.I.A., con dos policías a bo</w:t>
      </w:r>
      <w:r>
        <w:rPr>
          <w:lang w:val="es-ES_tradnl"/>
        </w:rPr>
        <w:t>r</w:t>
      </w:r>
      <w:r>
        <w:rPr>
          <w:lang w:val="es-ES_tradnl"/>
        </w:rPr>
        <w:t>do, a los que luego de la explosión observó cubiertos de polvo y con sus ropas ra</w:t>
      </w:r>
      <w:r>
        <w:rPr>
          <w:lang w:val="es-ES_tradnl"/>
        </w:rPr>
        <w:t>í</w:t>
      </w:r>
      <w:r>
        <w:rPr>
          <w:lang w:val="es-ES_tradnl"/>
        </w:rPr>
        <w:t>das. No recordó, en cambio, haber visto un volquete, ni camiones, ni camionetas, ni a un b</w:t>
      </w:r>
      <w:r>
        <w:rPr>
          <w:lang w:val="es-ES_tradnl"/>
        </w:rPr>
        <w:t>a</w:t>
      </w:r>
      <w:r>
        <w:rPr>
          <w:lang w:val="es-ES_tradnl"/>
        </w:rPr>
        <w:t>rrendero, ni vehículos estacionados en doble fila, como tampoco algún automotor, tipo utilitario, circulando por Pasteur.</w:t>
      </w:r>
    </w:p>
    <w:p w:rsidR="00224567" w:rsidRDefault="00224567">
      <w:pPr>
        <w:widowControl w:val="0"/>
        <w:rPr>
          <w:lang w:val="es-ES_tradnl"/>
        </w:rPr>
      </w:pPr>
      <w:r>
        <w:rPr>
          <w:lang w:val="es-ES_tradnl"/>
        </w:rPr>
        <w:tab/>
        <w:t>Asimismo, señaló que escuchó la expl</w:t>
      </w:r>
      <w:r>
        <w:rPr>
          <w:lang w:val="es-ES_tradnl"/>
        </w:rPr>
        <w:t>o</w:t>
      </w:r>
      <w:r>
        <w:rPr>
          <w:lang w:val="es-ES_tradnl"/>
        </w:rPr>
        <w:t>sión, sin tener oportunidad de verla, no percibiendo, pr</w:t>
      </w:r>
      <w:r>
        <w:rPr>
          <w:lang w:val="es-ES_tradnl"/>
        </w:rPr>
        <w:t>e</w:t>
      </w:r>
      <w:r>
        <w:rPr>
          <w:lang w:val="es-ES_tradnl"/>
        </w:rPr>
        <w:t>vio a ella, ningún ruido en particular que le llamara la atención.</w:t>
      </w:r>
    </w:p>
    <w:p w:rsidR="00224567" w:rsidRDefault="00224567">
      <w:pPr>
        <w:widowControl w:val="0"/>
        <w:rPr>
          <w:lang w:val="es-ES_tradnl"/>
        </w:rPr>
      </w:pPr>
      <w:r>
        <w:rPr>
          <w:lang w:val="es-ES_tradnl"/>
        </w:rPr>
        <w:tab/>
        <w:t>Por último, relató que a la sem</w:t>
      </w:r>
      <w:r>
        <w:rPr>
          <w:lang w:val="es-ES_tradnl"/>
        </w:rPr>
        <w:t>a</w:t>
      </w:r>
      <w:r>
        <w:rPr>
          <w:lang w:val="es-ES_tradnl"/>
        </w:rPr>
        <w:t>na de ocurrido el atentado, aproximadamente, fue a buscarlo la policía a su lugar de trabajo a fin de que preste declar</w:t>
      </w:r>
      <w:r>
        <w:rPr>
          <w:lang w:val="es-ES_tradnl"/>
        </w:rPr>
        <w:t>a</w:t>
      </w:r>
      <w:r>
        <w:rPr>
          <w:lang w:val="es-ES_tradnl"/>
        </w:rPr>
        <w:t>ción, comentándole uno de los efectivos que una señora lo había sindicado como testigo presencial del hecho.</w:t>
      </w:r>
    </w:p>
    <w:p w:rsidR="00224567" w:rsidRDefault="00224567">
      <w:pPr>
        <w:widowControl w:val="0"/>
      </w:pPr>
      <w:r>
        <w:rPr>
          <w:lang w:val="es-ES_tradnl"/>
        </w:rPr>
        <w:tab/>
      </w:r>
      <w:r>
        <w:tab/>
        <w:t>Graciela Brey, compañera de María N</w:t>
      </w:r>
      <w:r>
        <w:t>i</w:t>
      </w:r>
      <w:r>
        <w:t>colasa Romero en la “Maternidad Sardá” de esta ciudad, m</w:t>
      </w:r>
      <w:r>
        <w:t>a</w:t>
      </w:r>
      <w:r>
        <w:t>nifestó que al día siguiente de ocurrido el atentado, en horas de la mañana, aquélla comentó a un grupo de emple</w:t>
      </w:r>
      <w:r>
        <w:t>a</w:t>
      </w:r>
      <w:r>
        <w:t>das que había estado el día anterior en el lugar de la e</w:t>
      </w:r>
      <w:r>
        <w:t>x</w:t>
      </w:r>
      <w:r>
        <w:t>plosión, al momento de producirse, explicándoles que est</w:t>
      </w:r>
      <w:r>
        <w:t>a</w:t>
      </w:r>
      <w:r>
        <w:t>ba llevando a su hijo al jardín de infantes junto a su hermana cuando, instantes antes, vio pasar una camioneta “toda cerradita, que últimame</w:t>
      </w:r>
      <w:r>
        <w:t>n</w:t>
      </w:r>
      <w:r>
        <w:t>te se utiliza mucho para el turismo” con una persona en su interior que la miró.</w:t>
      </w:r>
    </w:p>
    <w:p w:rsidR="00224567" w:rsidRDefault="00224567">
      <w:pPr>
        <w:widowControl w:val="0"/>
        <w:rPr>
          <w:lang w:val="es-ES_tradnl"/>
        </w:rPr>
      </w:pPr>
      <w:r>
        <w:rPr>
          <w:lang w:val="es-ES_tradnl"/>
        </w:rPr>
        <w:tab/>
        <w:t>Continuó relatando que tal not</w:t>
      </w:r>
      <w:r>
        <w:rPr>
          <w:lang w:val="es-ES_tradnl"/>
        </w:rPr>
        <w:t>i</w:t>
      </w:r>
      <w:r>
        <w:rPr>
          <w:lang w:val="es-ES_tradnl"/>
        </w:rPr>
        <w:t>cia la afectó considerablemente, razón por la cual esa misma ta</w:t>
      </w:r>
      <w:r>
        <w:rPr>
          <w:lang w:val="es-ES_tradnl"/>
        </w:rPr>
        <w:t>r</w:t>
      </w:r>
      <w:r>
        <w:rPr>
          <w:lang w:val="es-ES_tradnl"/>
        </w:rPr>
        <w:t>de, al visitar a su esposo Rafael Ma</w:t>
      </w:r>
      <w:r>
        <w:rPr>
          <w:lang w:val="es-ES_tradnl"/>
        </w:rPr>
        <w:t>g</w:t>
      </w:r>
      <w:r>
        <w:rPr>
          <w:lang w:val="es-ES_tradnl"/>
        </w:rPr>
        <w:t>nato en el cuartel de bomberos donde trabajaba, le comentó a éste lo narrado por su compañera Romero, escuchándola también su jefe, el c</w:t>
      </w:r>
      <w:r>
        <w:rPr>
          <w:lang w:val="es-ES_tradnl"/>
        </w:rPr>
        <w:t>o</w:t>
      </w:r>
      <w:r>
        <w:rPr>
          <w:lang w:val="es-ES_tradnl"/>
        </w:rPr>
        <w:t>misario Borrone.</w:t>
      </w:r>
    </w:p>
    <w:p w:rsidR="00224567" w:rsidRDefault="00224567">
      <w:pPr>
        <w:widowControl w:val="0"/>
      </w:pPr>
      <w:r>
        <w:rPr>
          <w:lang w:val="es-ES_tradnl"/>
        </w:rPr>
        <w:tab/>
      </w:r>
      <w:r>
        <w:tab/>
        <w:t xml:space="preserve">Por su parte, Héctor Osvaldo Borrone ratificó que al tiempo del atentado se desempeñaba como comisario inspector de </w:t>
      </w:r>
      <w:smartTag w:uri="urn:schemas-microsoft-com:office:smarttags" w:element="PersonName">
        <w:smartTagPr>
          <w:attr w:name="ProductID" w:val="la Superintendencia"/>
        </w:smartTagPr>
        <w:r>
          <w:t>la Superintendencia</w:t>
        </w:r>
      </w:smartTag>
      <w:r>
        <w:t xml:space="preserve"> de Bomberos de </w:t>
      </w:r>
      <w:smartTag w:uri="urn:schemas-microsoft-com:office:smarttags" w:element="PersonName">
        <w:smartTagPr>
          <w:attr w:name="ProductID" w:val="la Polic￭a Federal"/>
        </w:smartTagPr>
        <w:r>
          <w:t>la Policía Federal</w:t>
        </w:r>
      </w:smartTag>
      <w:r>
        <w:t xml:space="preserve"> Argentina y que el suboficial Rafael Magnato, por entonces su chofer, cuya esposa trabajaba c</w:t>
      </w:r>
      <w:r>
        <w:t>o</w:t>
      </w:r>
      <w:r>
        <w:t>mo enfermera en una clínica o maternidad, le comentó de “una Trafic o una cosa así...”.</w:t>
      </w:r>
    </w:p>
    <w:p w:rsidR="00224567" w:rsidRDefault="00224567">
      <w:pPr>
        <w:widowControl w:val="0"/>
      </w:pPr>
      <w:r>
        <w:tab/>
      </w:r>
      <w:r>
        <w:tab/>
        <w:t>Acerca de tal extremo también prestó declaración el bombero Alcides Patricio Pizzorno quien m</w:t>
      </w:r>
      <w:r>
        <w:t>a</w:t>
      </w:r>
      <w:r>
        <w:t>nifestó que una noche lluviosa conc</w:t>
      </w:r>
      <w:r>
        <w:t>u</w:t>
      </w:r>
      <w:r>
        <w:t>rrió a la “Maternidad Sardá” en razón que una enfermera, compañ</w:t>
      </w:r>
      <w:r>
        <w:t>e</w:t>
      </w:r>
      <w:r>
        <w:t>ra de la esposa de un suboficial, había estado en el lugar de los hechos al momento de producirse la explosión. Una vez individu</w:t>
      </w:r>
      <w:r>
        <w:t>a</w:t>
      </w:r>
      <w:r>
        <w:t>lizada, ésta le comentó que in</w:t>
      </w:r>
      <w:r>
        <w:t>s</w:t>
      </w:r>
      <w:r>
        <w:t>tantes antes del estallido, mientras se dirigía junto con su hermana a llevar a su h</w:t>
      </w:r>
      <w:r>
        <w:t>i</w:t>
      </w:r>
      <w:r>
        <w:t>jo al jardín de infantes, había visto una camioneta en la esquina de Pasteur y Tucumán, produciéndose la explosión ni bien llegaron a la vereda opuesta; oportunidad en que fueron auxili</w:t>
      </w:r>
      <w:r>
        <w:t>a</w:t>
      </w:r>
      <w:r>
        <w:t>das por el mozo de un bar.</w:t>
      </w:r>
    </w:p>
    <w:p w:rsidR="00224567" w:rsidRDefault="00224567">
      <w:pPr>
        <w:widowControl w:val="0"/>
      </w:pPr>
      <w:r>
        <w:tab/>
      </w:r>
      <w:r>
        <w:tab/>
        <w:t>Por último, el subcomisario Carlos Néstor López refirió que en una oportunidad tuvo not</w:t>
      </w:r>
      <w:r>
        <w:t>i</w:t>
      </w:r>
      <w:r>
        <w:t xml:space="preserve">cias acerca de que la esposa de un suboficial de </w:t>
      </w:r>
      <w:smartTag w:uri="urn:schemas-microsoft-com:office:smarttags" w:element="PersonName">
        <w:smartTagPr>
          <w:attr w:name="ProductID" w:val="la Superintendencia"/>
        </w:smartTagPr>
        <w:r>
          <w:t>la Superinte</w:t>
        </w:r>
        <w:r>
          <w:t>n</w:t>
        </w:r>
        <w:r>
          <w:t>dencia</w:t>
        </w:r>
      </w:smartTag>
      <w:r>
        <w:t xml:space="preserve"> de Bomberos afirmaba que una conocida suya había visto pasar la camioneta que a la postre resultó ser el coche bomba, por lo que se avisó al comisario Borrone y, según tenía entendido, al Departamento Protección del O</w:t>
      </w:r>
      <w:r>
        <w:t>r</w:t>
      </w:r>
      <w:r>
        <w:t>den Constit</w:t>
      </w:r>
      <w:r>
        <w:t>u</w:t>
      </w:r>
      <w:r>
        <w:t>cional.</w:t>
      </w:r>
    </w:p>
    <w:p w:rsidR="00224567" w:rsidRDefault="00224567">
      <w:pPr>
        <w:widowControl w:val="0"/>
      </w:pPr>
      <w:r>
        <w:tab/>
      </w:r>
      <w:r>
        <w:tab/>
        <w:t>Carlos Rigoberto Heidenreich también dio cuenta de la presencia de una camioneta Trafic en la calle Pasteur, instantes antes de la e</w:t>
      </w:r>
      <w:r>
        <w:t>x</w:t>
      </w:r>
      <w:r>
        <w:t>plosión.</w:t>
      </w:r>
    </w:p>
    <w:p w:rsidR="00224567" w:rsidRDefault="00224567">
      <w:pPr>
        <w:widowControl w:val="0"/>
      </w:pPr>
      <w:r>
        <w:tab/>
      </w:r>
      <w:r>
        <w:tab/>
        <w:t>El nombrado declaró que para esa época se desempeñaba como encargado del edificio ubicado en Pa</w:t>
      </w:r>
      <w:r>
        <w:t>s</w:t>
      </w:r>
      <w:r>
        <w:t xml:space="preserve">teur </w:t>
      </w:r>
      <w:smartTag w:uri="urn:schemas-microsoft-com:office:smarttags" w:element="metricconverter">
        <w:smartTagPr>
          <w:attr w:name="ProductID" w:val="724 a"/>
        </w:smartTagPr>
        <w:r>
          <w:t>724 a</w:t>
        </w:r>
      </w:smartTag>
      <w:r>
        <w:t xml:space="preserve"> la vez que cubría suplencias en los inmuebles de Pasteur 727 y 732 y que el 18 de julio de 1994, siendo aproximadamente las 9.30, se encontró en la vereda de su edificio con Ljudmila Birukov, miembro del consejo de a</w:t>
      </w:r>
      <w:r>
        <w:t>d</w:t>
      </w:r>
      <w:r>
        <w:t>ministración del inmueble de Pasteur 732, con quien se p</w:t>
      </w:r>
      <w:r>
        <w:t>u</w:t>
      </w:r>
      <w:r>
        <w:t>so a conversar. Recordó que mientras platicaban vieron p</w:t>
      </w:r>
      <w:r>
        <w:t>a</w:t>
      </w:r>
      <w:r>
        <w:t>sar por enfrente, en dirección a la mutual judía, a su v</w:t>
      </w:r>
      <w:r>
        <w:t>e</w:t>
      </w:r>
      <w:r>
        <w:t>cina Rebecca Jurín, luego f</w:t>
      </w:r>
      <w:r>
        <w:t>a</w:t>
      </w:r>
      <w:r>
        <w:t>llecida como consecuencia del atentado y que al co</w:t>
      </w:r>
      <w:r>
        <w:t>n</w:t>
      </w:r>
      <w:r>
        <w:t>cluir la charla Birukov cruzó Pasteur en diagonal, en dirección a la avenida Córdoba, al tiempo que él hacía lo mismo, pero en dirección a su ochava con Viamonte, por cuanto debía dirigirse a una administración de edificios ubicada sobre esta última, a metros de Pa</w:t>
      </w:r>
      <w:r>
        <w:t>s</w:t>
      </w:r>
      <w:r>
        <w:t>teur.</w:t>
      </w:r>
    </w:p>
    <w:p w:rsidR="00224567" w:rsidRDefault="00224567">
      <w:pPr>
        <w:widowControl w:val="0"/>
      </w:pPr>
      <w:r>
        <w:tab/>
      </w:r>
      <w:r>
        <w:tab/>
        <w:t>Precisó Heidenreich que antes de a</w:t>
      </w:r>
      <w:r>
        <w:t>l</w:t>
      </w:r>
      <w:r>
        <w:t>canzar la vereda, a la altura de la intersección de Pa</w:t>
      </w:r>
      <w:r>
        <w:t>s</w:t>
      </w:r>
      <w:r>
        <w:t>teur con Viamonte, le llamó la atención que ningún vehíc</w:t>
      </w:r>
      <w:r>
        <w:t>u</w:t>
      </w:r>
      <w:r>
        <w:t>lo circulara por la primera, a la vez que “de reojo” a</w:t>
      </w:r>
      <w:r>
        <w:t>l</w:t>
      </w:r>
      <w:r>
        <w:t>canzó a ver “una camioneta que venía”, no reco</w:t>
      </w:r>
      <w:r>
        <w:t>r</w:t>
      </w:r>
      <w:r>
        <w:t>dando si lo hacía desde “antes o después” de la calle Tucumán; luego recorrió unos pocos metros sobre Viamonte y cuando se di</w:t>
      </w:r>
      <w:r>
        <w:t>s</w:t>
      </w:r>
      <w:r>
        <w:t>ponía a tocar el timbre del edificio de la administración ocurrió la explosión, siendo cat</w:t>
      </w:r>
      <w:r>
        <w:t>a</w:t>
      </w:r>
      <w:r>
        <w:t>pultado hacia el interior del inmueble. Asimismo, recordó que en un primer momento pensó que se trataba de un terremoto, pero luego, al salir y ver desde la esquina de Vi</w:t>
      </w:r>
      <w:r>
        <w:t>a</w:t>
      </w:r>
      <w:r>
        <w:t>monte y Pasteur “el hongo que se iba para arriba, la polvareda, la tierra, todo...” y los esco</w:t>
      </w:r>
      <w:r>
        <w:t>m</w:t>
      </w:r>
      <w:r>
        <w:t>bros esparcidos “a la altura de la vereda”, tomó co</w:t>
      </w:r>
      <w:r>
        <w:t>n</w:t>
      </w:r>
      <w:r>
        <w:t xml:space="preserve">ciencia de que había explotado </w:t>
      </w:r>
      <w:smartTag w:uri="urn:schemas-microsoft-com:office:smarttags" w:element="PersonName">
        <w:smartTagPr>
          <w:attr w:name="ProductID" w:val="la A.M"/>
        </w:smartTagPr>
        <w:r>
          <w:t>la A.M</w:t>
        </w:r>
      </w:smartTag>
      <w:r>
        <w:t>.I.A.</w:t>
      </w:r>
    </w:p>
    <w:p w:rsidR="00224567" w:rsidRDefault="00224567">
      <w:pPr>
        <w:widowControl w:val="0"/>
      </w:pPr>
      <w:r>
        <w:tab/>
      </w:r>
      <w:r>
        <w:tab/>
        <w:t>Con respecto a la camioneta que dijo haber o</w:t>
      </w:r>
      <w:r>
        <w:t>b</w:t>
      </w:r>
      <w:r>
        <w:t>servado, Heidenreich afirmó que se trataba de una Renault Trafic de un color “tirando a blanco”, señalando que cua</w:t>
      </w:r>
      <w:r>
        <w:t>n</w:t>
      </w:r>
      <w:r>
        <w:t>do en la etapa anterior hizo alusión a un “furgón corto” quiso referirse al modelo “común”, “al de las pr</w:t>
      </w:r>
      <w:r>
        <w:t>i</w:t>
      </w:r>
      <w:r>
        <w:t>meras que salieron”, no pudiendo precisar si poseía puerta lateral en r</w:t>
      </w:r>
      <w:r>
        <w:t>a</w:t>
      </w:r>
      <w:r>
        <w:t>zón que lo vio de frente. Con relación a este último punto, aclaró que quizás por una mala explicación de su parte, en la etapa anterior señaló que había obse</w:t>
      </w:r>
      <w:r>
        <w:t>r</w:t>
      </w:r>
      <w:r>
        <w:t>vado el lateral izquierdo del r</w:t>
      </w:r>
      <w:r>
        <w:t>o</w:t>
      </w:r>
      <w:r>
        <w:t>dado.</w:t>
      </w:r>
    </w:p>
    <w:p w:rsidR="00224567" w:rsidRDefault="00224567">
      <w:pPr>
        <w:widowControl w:val="0"/>
        <w:rPr>
          <w:lang w:val="es-ES_tradnl"/>
        </w:rPr>
      </w:pPr>
      <w:r>
        <w:rPr>
          <w:lang w:val="es-ES_tradnl"/>
        </w:rPr>
        <w:tab/>
        <w:t>Si bien no pudo precisar la veloc</w:t>
      </w:r>
      <w:r>
        <w:rPr>
          <w:lang w:val="es-ES_tradnl"/>
        </w:rPr>
        <w:t>i</w:t>
      </w:r>
      <w:r>
        <w:rPr>
          <w:lang w:val="es-ES_tradnl"/>
        </w:rPr>
        <w:t xml:space="preserve">dad a que circulaba el vehículo, estimó que era la necesaria para llegar a </w:t>
      </w:r>
      <w:smartTag w:uri="urn:schemas-microsoft-com:office:smarttags" w:element="PersonName">
        <w:smartTagPr>
          <w:attr w:name="ProductID" w:val="la A.M"/>
        </w:smartTagPr>
        <w:r>
          <w:rPr>
            <w:lang w:val="es-ES_tradnl"/>
          </w:rPr>
          <w:t>la A.M</w:t>
        </w:r>
      </w:smartTag>
      <w:r>
        <w:rPr>
          <w:lang w:val="es-ES_tradnl"/>
        </w:rPr>
        <w:t>.I.A., desde el lugar en que la divisó por primera vez, en “mucho menos de un minuto”; nada apo</w:t>
      </w:r>
      <w:r>
        <w:rPr>
          <w:lang w:val="es-ES_tradnl"/>
        </w:rPr>
        <w:t>r</w:t>
      </w:r>
      <w:r>
        <w:rPr>
          <w:lang w:val="es-ES_tradnl"/>
        </w:rPr>
        <w:t>tó, en cambio, acerca de su conductor u otros ocupa</w:t>
      </w:r>
      <w:r>
        <w:rPr>
          <w:lang w:val="es-ES_tradnl"/>
        </w:rPr>
        <w:t>n</w:t>
      </w:r>
      <w:r>
        <w:rPr>
          <w:lang w:val="es-ES_tradnl"/>
        </w:rPr>
        <w:t>tes.</w:t>
      </w:r>
    </w:p>
    <w:p w:rsidR="00224567" w:rsidRDefault="00224567">
      <w:pPr>
        <w:widowControl w:val="0"/>
      </w:pPr>
      <w:r>
        <w:rPr>
          <w:lang w:val="es-ES_tradnl"/>
        </w:rPr>
        <w:tab/>
      </w:r>
      <w:r>
        <w:tab/>
        <w:t>Recordó, asimismo, haber vi</w:t>
      </w:r>
      <w:r>
        <w:t>s</w:t>
      </w:r>
      <w:r>
        <w:t>to aquella mañana al barrendero que habitualmente recorría la cuadra, aunque no pudo indicar el lugar exacto.</w:t>
      </w:r>
    </w:p>
    <w:p w:rsidR="00224567" w:rsidRDefault="00224567">
      <w:pPr>
        <w:widowControl w:val="0"/>
      </w:pPr>
      <w:r>
        <w:tab/>
      </w:r>
      <w:r>
        <w:tab/>
        <w:t>Reconoció que hasta su primer declar</w:t>
      </w:r>
      <w:r>
        <w:t>a</w:t>
      </w:r>
      <w:r>
        <w:t>ción en el juzgado instructor no efectuó ni</w:t>
      </w:r>
      <w:r>
        <w:t>n</w:t>
      </w:r>
      <w:r>
        <w:t>gún comentario acerca de la camioneta Trafic que vio el día del hecho y que a los pocos días, cuando trascendió que se habían h</w:t>
      </w:r>
      <w:r>
        <w:t>a</w:t>
      </w:r>
      <w:r>
        <w:t>llado el motor y otras piezas de una camioneta Trafic, r</w:t>
      </w:r>
      <w:r>
        <w:t>e</w:t>
      </w:r>
      <w:r>
        <w:t>lacionó aquél vehículo con el coche bomba que se habría utilizado para perpetrar el atentado.</w:t>
      </w:r>
    </w:p>
    <w:p w:rsidR="00224567" w:rsidRDefault="00224567">
      <w:pPr>
        <w:widowControl w:val="0"/>
      </w:pPr>
      <w:r>
        <w:tab/>
      </w:r>
      <w:r>
        <w:tab/>
        <w:t>Por su parte, Ljudmila Birukov r</w:t>
      </w:r>
      <w:r>
        <w:t>e</w:t>
      </w:r>
      <w:r>
        <w:t>cordó que ese día, alrededor de las 9.40, se encontró en la v</w:t>
      </w:r>
      <w:r>
        <w:t>e</w:t>
      </w:r>
      <w:r>
        <w:t>reda con Carlos Heidenreich a quien le encome</w:t>
      </w:r>
      <w:r>
        <w:t>n</w:t>
      </w:r>
      <w:r>
        <w:t>dó concurrir a la administración del edificio, ubicada sobre la calle Viamonte, en razón de una pérdida de gas que advirtió en el primer piso; tras conversar por espacio de unos diez minutos, cruzó Pasteur en diagonal hacia la avda. Córdoba, al tiempo que el encargado, en igual dirección, se d</w:t>
      </w:r>
      <w:r>
        <w:t>i</w:t>
      </w:r>
      <w:r>
        <w:t>rigió hacia Viamonte. La testigo precisó que antes de cruzar m</w:t>
      </w:r>
      <w:r>
        <w:t>i</w:t>
      </w:r>
      <w:r>
        <w:t>ró hacia su derecha, asegurándose que no viniera ningún veh</w:t>
      </w:r>
      <w:r>
        <w:t>í</w:t>
      </w:r>
      <w:r>
        <w:t>culo y, luego de recorrer unos metros, a la altura de un comercio de librería ubicado sobre la vereda impar de Pasteur al 700, escuchó primero un golpe seco y fuerte, que comparó al sonido que produce la colisión de un rodado contra una superficie dura, e instantes después una expl</w:t>
      </w:r>
      <w:r>
        <w:t>o</w:t>
      </w:r>
      <w:r>
        <w:t>sión que no le causó lesiones.</w:t>
      </w:r>
    </w:p>
    <w:p w:rsidR="00224567" w:rsidRDefault="00224567">
      <w:pPr>
        <w:widowControl w:val="0"/>
        <w:rPr>
          <w:lang w:val="es-ES_tradnl"/>
        </w:rPr>
      </w:pPr>
      <w:r>
        <w:rPr>
          <w:lang w:val="es-ES_tradnl"/>
        </w:rPr>
        <w:tab/>
        <w:t>Finalmente, manifestó que con post</w:t>
      </w:r>
      <w:r>
        <w:rPr>
          <w:lang w:val="es-ES_tradnl"/>
        </w:rPr>
        <w:t>e</w:t>
      </w:r>
      <w:r>
        <w:rPr>
          <w:lang w:val="es-ES_tradnl"/>
        </w:rPr>
        <w:t>rioridad al atentado Heidenreich no le realizó ningún c</w:t>
      </w:r>
      <w:r>
        <w:rPr>
          <w:lang w:val="es-ES_tradnl"/>
        </w:rPr>
        <w:t>o</w:t>
      </w:r>
      <w:r>
        <w:rPr>
          <w:lang w:val="es-ES_tradnl"/>
        </w:rPr>
        <w:t>mentario respecto de una camioneta circ</w:t>
      </w:r>
      <w:r>
        <w:rPr>
          <w:lang w:val="es-ES_tradnl"/>
        </w:rPr>
        <w:t>u</w:t>
      </w:r>
      <w:r>
        <w:rPr>
          <w:lang w:val="es-ES_tradnl"/>
        </w:rPr>
        <w:t>lando ese día por Pasteur.</w:t>
      </w:r>
    </w:p>
    <w:p w:rsidR="00224567" w:rsidRDefault="00224567">
      <w:pPr>
        <w:widowControl w:val="0"/>
      </w:pPr>
      <w:r>
        <w:rPr>
          <w:lang w:val="es-ES_tradnl"/>
        </w:rPr>
        <w:tab/>
      </w:r>
      <w:r>
        <w:tab/>
        <w:t>En orden a la versión de Heide</w:t>
      </w:r>
      <w:r>
        <w:t>n</w:t>
      </w:r>
      <w:r>
        <w:t>reich, acerca del lugar en que lo sorprendió la explosión, se cuenta con los dichos de Nélida Felisa Rosales de Testa, encargada del edificio de Viamonte 2295, do</w:t>
      </w:r>
      <w:r>
        <w:t>n</w:t>
      </w:r>
      <w:r>
        <w:t>de funcionaban las oficinas de la administración de consorcios “Planet</w:t>
      </w:r>
      <w:r>
        <w:t>a</w:t>
      </w:r>
      <w:r>
        <w:t>rium” y “Schmahl y Cia.”. Al respecto, recordó que, como todos los días, el 18 de julio arribó al inmueble a las 5.30 de la mañana y limpió la vereda hasta aproximadamente las 6.30; agregó que faltando un minuto para las diez de la mañana, mientras se encontraba en el hall del edificio, sintió una explosión que la despidió contra una de las p</w:t>
      </w:r>
      <w:r>
        <w:t>a</w:t>
      </w:r>
      <w:r>
        <w:t>redes y que al salir a la vereda pudo observar una “nube de humo con una llama roja que subía hasta el cielo”. Afirmó que durante el lapso que permaneció en la entrada del i</w:t>
      </w:r>
      <w:r>
        <w:t>n</w:t>
      </w:r>
      <w:r>
        <w:t>mueble, no vio ninguna persona que hubiera tocado el timbre o ingresado al edificio, a excepción del enca</w:t>
      </w:r>
      <w:r>
        <w:t>r</w:t>
      </w:r>
      <w:r>
        <w:t>gado de vigila</w:t>
      </w:r>
      <w:r>
        <w:t>n</w:t>
      </w:r>
      <w:r>
        <w:t>cia Armando Tacatagliti.</w:t>
      </w:r>
    </w:p>
    <w:p w:rsidR="00224567" w:rsidRDefault="00224567">
      <w:pPr>
        <w:widowControl w:val="0"/>
        <w:rPr>
          <w:lang w:val="es-ES_tradnl"/>
        </w:rPr>
      </w:pPr>
      <w:r>
        <w:rPr>
          <w:lang w:val="es-ES_tradnl"/>
        </w:rPr>
        <w:tab/>
        <w:t>Agregó que si bien era usual que los encargados de otros inmuebles concurrieran al ed</w:t>
      </w:r>
      <w:r>
        <w:rPr>
          <w:lang w:val="es-ES_tradnl"/>
        </w:rPr>
        <w:t>i</w:t>
      </w:r>
      <w:r>
        <w:rPr>
          <w:lang w:val="es-ES_tradnl"/>
        </w:rPr>
        <w:t>ficio, en esa mañana ninguno se había hecho presente dado que las oficinas iniciaban la atención al público a partir de las 10.00; pese a conocer a varios de los encargados que s</w:t>
      </w:r>
      <w:r>
        <w:rPr>
          <w:lang w:val="es-ES_tradnl"/>
        </w:rPr>
        <w:t>o</w:t>
      </w:r>
      <w:r>
        <w:rPr>
          <w:lang w:val="es-ES_tradnl"/>
        </w:rPr>
        <w:t>lían concurrir a las administraciones manifestó desconocer a Carlos Heidenreich, a un tal “Don Carlos” como así ta</w:t>
      </w:r>
      <w:r>
        <w:rPr>
          <w:lang w:val="es-ES_tradnl"/>
        </w:rPr>
        <w:t>m</w:t>
      </w:r>
      <w:r>
        <w:rPr>
          <w:lang w:val="es-ES_tradnl"/>
        </w:rPr>
        <w:t>bién al encargado del edificio de Pasteur 724.</w:t>
      </w:r>
    </w:p>
    <w:p w:rsidR="00224567" w:rsidRDefault="00224567">
      <w:pPr>
        <w:widowControl w:val="0"/>
      </w:pPr>
      <w:r>
        <w:rPr>
          <w:lang w:val="es-ES_tradnl"/>
        </w:rPr>
        <w:tab/>
      </w:r>
      <w:r>
        <w:tab/>
        <w:t>En igual sentido, Esteban Adrián Kajt y Gladys Noemí Sigal, empleados ambos de la adm</w:t>
      </w:r>
      <w:r>
        <w:t>i</w:t>
      </w:r>
      <w:r>
        <w:t>nistración “Planetarium”, coincidieron en señalar que en la mañana del 18 de julio, previo a la explosión, no había concurr</w:t>
      </w:r>
      <w:r>
        <w:t>i</w:t>
      </w:r>
      <w:r>
        <w:t>do ningún encargado puesto que la atención al público c</w:t>
      </w:r>
      <w:r>
        <w:t>o</w:t>
      </w:r>
      <w:r>
        <w:t>menzaba a partir de las 10.00 de la mañana, indicando que entre sus clientes no se enco</w:t>
      </w:r>
      <w:r>
        <w:t>n</w:t>
      </w:r>
      <w:r>
        <w:t>traba el edificio de Pasteur 724</w:t>
      </w:r>
      <w:r>
        <w:rPr>
          <w:b/>
          <w:bCs/>
        </w:rPr>
        <w:t xml:space="preserve"> </w:t>
      </w:r>
      <w:r>
        <w:t>y que si bien varios de los encargados se llamaban Carlos, no conocían a ninguno que llevara el apellido He</w:t>
      </w:r>
      <w:r>
        <w:t>i</w:t>
      </w:r>
      <w:r>
        <w:t>denreich.</w:t>
      </w:r>
    </w:p>
    <w:p w:rsidR="00224567" w:rsidRDefault="00224567">
      <w:pPr>
        <w:widowControl w:val="0"/>
      </w:pPr>
      <w:r>
        <w:tab/>
      </w:r>
      <w:r>
        <w:rPr>
          <w:b/>
          <w:bCs/>
        </w:rPr>
        <w:tab/>
        <w:t>A.20)</w:t>
      </w:r>
      <w:r>
        <w:t xml:space="preserve"> De la reseña de los test</w:t>
      </w:r>
      <w:r>
        <w:t>i</w:t>
      </w:r>
      <w:r>
        <w:t>monios que anteceden se desprende, en un todo de acuerdo con el resto del material probatorio hasta aquí analizado, la presencia en la cuadra de la calle Pasteur al 600, insta</w:t>
      </w:r>
      <w:r>
        <w:t>n</w:t>
      </w:r>
      <w:r>
        <w:t>tes antes del estallido, de una camioneta de similares c</w:t>
      </w:r>
      <w:r>
        <w:t>a</w:t>
      </w:r>
      <w:r>
        <w:t xml:space="preserve">racterísticas a la que detonó frente a la sede de </w:t>
      </w:r>
      <w:smartTag w:uri="urn:schemas-microsoft-com:office:smarttags" w:element="PersonName">
        <w:smartTagPr>
          <w:attr w:name="ProductID" w:val="la A.M"/>
        </w:smartTagPr>
        <w:r>
          <w:t>la A.M</w:t>
        </w:r>
      </w:smartTag>
      <w:r>
        <w:t>.I.A.</w:t>
      </w:r>
    </w:p>
    <w:p w:rsidR="00224567" w:rsidRDefault="00224567">
      <w:pPr>
        <w:widowControl w:val="0"/>
      </w:pPr>
      <w:r>
        <w:tab/>
      </w:r>
      <w:r>
        <w:tab/>
        <w:t>Ninguna de las circunstancias al</w:t>
      </w:r>
      <w:r>
        <w:t>e</w:t>
      </w:r>
      <w:r>
        <w:t>gadas por las defensas ponen en crisis la veracidad de los d</w:t>
      </w:r>
      <w:r>
        <w:t>i</w:t>
      </w:r>
      <w:r>
        <w:t>chos de M</w:t>
      </w:r>
      <w:r>
        <w:t>a</w:t>
      </w:r>
      <w:r>
        <w:t>ría Nicolasa Romero, quien dio razón suficiente de su presencia en el lugar, poco tiempo antes de la e</w:t>
      </w:r>
      <w:r>
        <w:t>x</w:t>
      </w:r>
      <w:r>
        <w:t>plosión, toda vez que para llevar a su pequeño hijo al jardín de infantes tra</w:t>
      </w:r>
      <w:r>
        <w:t>n</w:t>
      </w:r>
      <w:r>
        <w:t>sitaba a diario el sitio donde dijo que vio el paso de la camioneta.</w:t>
      </w:r>
    </w:p>
    <w:p w:rsidR="00224567" w:rsidRDefault="00224567">
      <w:pPr>
        <w:widowControl w:val="0"/>
      </w:pPr>
      <w:r>
        <w:tab/>
      </w:r>
      <w:r>
        <w:tab/>
        <w:t>A ello se suma el auxilio que rec</w:t>
      </w:r>
      <w:r>
        <w:t>i</w:t>
      </w:r>
      <w:r>
        <w:t>bió una vez ocurrida la explosión y el modo en que fue conta</w:t>
      </w:r>
      <w:r>
        <w:t>c</w:t>
      </w:r>
      <w:r>
        <w:t>tada por la autoridad policial, todo lo cual fue corrob</w:t>
      </w:r>
      <w:r>
        <w:t>o</w:t>
      </w:r>
      <w:r>
        <w:t>rado por los testimonios de Brey, Borrone, Pizzorno y L</w:t>
      </w:r>
      <w:r>
        <w:t>ó</w:t>
      </w:r>
      <w:r>
        <w:t>pez, antes reseñados.</w:t>
      </w:r>
    </w:p>
    <w:p w:rsidR="00224567" w:rsidRDefault="00224567">
      <w:pPr>
        <w:widowControl w:val="0"/>
      </w:pPr>
      <w:r>
        <w:tab/>
      </w:r>
      <w:r>
        <w:tab/>
        <w:t>Asimismo, su hermana Adelina y Rodolfo Caballero confirmaron plenamente las circunstancias que vivieron en la ocasión junto a María Nic</w:t>
      </w:r>
      <w:r>
        <w:t>o</w:t>
      </w:r>
      <w:r>
        <w:t>lasa, a excepción –como se vio- del acontecimiento relacionado con el paso de la camioneta; paso que, por lo fugaz e irrelevante, al menos en aquel momento, fue a</w:t>
      </w:r>
      <w:r>
        <w:t>d</w:t>
      </w:r>
      <w:r>
        <w:t>vertido únicamente por María Romero por el solo motivo de que la maniobra efectuada por su conductor, según explicó, le había provocado d</w:t>
      </w:r>
      <w:r>
        <w:t>e</w:t>
      </w:r>
      <w:r>
        <w:t>seos de insultarlo.</w:t>
      </w:r>
    </w:p>
    <w:p w:rsidR="00224567" w:rsidRDefault="00224567">
      <w:pPr>
        <w:widowControl w:val="0"/>
      </w:pPr>
      <w:r>
        <w:tab/>
      </w:r>
      <w:r>
        <w:tab/>
        <w:t>Por otra parte, cabe señalar que las contradicciones en que incurrió María Nicolasa Romero ta</w:t>
      </w:r>
      <w:r>
        <w:t>m</w:t>
      </w:r>
      <w:r>
        <w:t>poco desvanecen la verosimilitud de su relato, pudiéndose explicar aquellas en las divergencias propias de quien prestó testimonio en numerosas oportunidades y en todas ellas en forma exhaustiva, como así también en el tiempo tran</w:t>
      </w:r>
      <w:r>
        <w:t>s</w:t>
      </w:r>
      <w:r>
        <w:t>currido entre cada una de las declaraciones; extremos éstos que conspiran, indudablemente, contra la retención de los hechos en la memoria (en igual sentido, cónfr. V</w:t>
      </w:r>
      <w:r>
        <w:t>i</w:t>
      </w:r>
      <w:r>
        <w:t xml:space="preserve">centa Orriach Navarro en su trabajo “Evaluación de </w:t>
      </w:r>
      <w:smartTag w:uri="urn:schemas-microsoft-com:office:smarttags" w:element="PersonName">
        <w:smartTagPr>
          <w:attr w:name="ProductID" w:val="la Credibilidad"/>
        </w:smartTagPr>
        <w:r>
          <w:t>la Cr</w:t>
        </w:r>
        <w:r>
          <w:t>e</w:t>
        </w:r>
        <w:r>
          <w:t>dibilidad</w:t>
        </w:r>
      </w:smartTag>
      <w:r>
        <w:t xml:space="preserve"> y Análisis del Testimonio de los sujetos impl</w:t>
      </w:r>
      <w:r>
        <w:t>i</w:t>
      </w:r>
      <w:r>
        <w:t>cados en el proceso judicial. Una Revisión General”, p</w:t>
      </w:r>
      <w:r>
        <w:t>u</w:t>
      </w:r>
      <w:r>
        <w:t xml:space="preserve">blicado en el Suplemento Actualidad Penal nº VII, año 1999, ed, </w:t>
      </w:r>
      <w:smartTag w:uri="urn:schemas-microsoft-com:office:smarttags" w:element="PersonName">
        <w:smartTagPr>
          <w:attr w:name="ProductID" w:val="La Ley"/>
        </w:smartTagPr>
        <w:r>
          <w:t>La Ley</w:t>
        </w:r>
      </w:smartTag>
      <w:r>
        <w:t>, Esp</w:t>
      </w:r>
      <w:r>
        <w:t>a</w:t>
      </w:r>
      <w:r>
        <w:t>ña).</w:t>
      </w:r>
    </w:p>
    <w:p w:rsidR="00224567" w:rsidRDefault="00224567">
      <w:pPr>
        <w:widowControl w:val="0"/>
      </w:pPr>
      <w:r>
        <w:tab/>
      </w:r>
      <w:r>
        <w:tab/>
        <w:t>En ese sentido, el tribunal no puede dejar de advertir que la circunstancia de que en la etapa de investigación preparatoria se convoque en reiteradas oportun</w:t>
      </w:r>
      <w:r>
        <w:t>i</w:t>
      </w:r>
      <w:r>
        <w:t>dades a un testigo para declarar, a más de mostrar una deficiente instrucción judicial, atenta de manera ev</w:t>
      </w:r>
      <w:r>
        <w:t>i</w:t>
      </w:r>
      <w:r>
        <w:t>dente contra la incolumidad del relato, condicionando al declarante, quien a la larga es obligado, casi bajo sosp</w:t>
      </w:r>
      <w:r>
        <w:t>e</w:t>
      </w:r>
      <w:r>
        <w:t>cha, a dar cuenta de pequeños y naturales desajustes que todo r</w:t>
      </w:r>
      <w:r>
        <w:t>e</w:t>
      </w:r>
      <w:r>
        <w:t>lato contiene.</w:t>
      </w:r>
    </w:p>
    <w:p w:rsidR="00224567" w:rsidRDefault="00224567">
      <w:pPr>
        <w:widowControl w:val="0"/>
      </w:pPr>
      <w:r>
        <w:tab/>
      </w:r>
      <w:r>
        <w:tab/>
        <w:t>No obstante, es preciso resaltar que María Nicolasa Romero mantuvo inalterable, en todas las oportunidades en que fue convocada, la versión que desde un primer momento ofreció respecto de la aparición, in</w:t>
      </w:r>
      <w:r>
        <w:t>s</w:t>
      </w:r>
      <w:r>
        <w:t>tantes antes de la explosión, de una camioneta que, circ</w:t>
      </w:r>
      <w:r>
        <w:t>u</w:t>
      </w:r>
      <w:r>
        <w:t>lando por Tucumán, dobló a su derecha al ll</w:t>
      </w:r>
      <w:r>
        <w:t>e</w:t>
      </w:r>
      <w:r>
        <w:t>gar a la calle Pa</w:t>
      </w:r>
      <w:r>
        <w:t>s</w:t>
      </w:r>
      <w:r>
        <w:t>teur.</w:t>
      </w:r>
    </w:p>
    <w:p w:rsidR="00224567" w:rsidRDefault="00224567">
      <w:pPr>
        <w:widowControl w:val="0"/>
      </w:pPr>
      <w:r>
        <w:tab/>
      </w:r>
      <w:r>
        <w:tab/>
        <w:t>Si bien es cierto que la actitud ado</w:t>
      </w:r>
      <w:r>
        <w:t>p</w:t>
      </w:r>
      <w:r>
        <w:t>tada por la testigo tras el atentado podría calif</w:t>
      </w:r>
      <w:r>
        <w:t>i</w:t>
      </w:r>
      <w:r>
        <w:t>carse, a primera vista, como llamativa, no lo es menos que al h</w:t>
      </w:r>
      <w:r>
        <w:t>a</w:t>
      </w:r>
      <w:r>
        <w:t>berse transformado el lugar en que Romero se encontraba en el epicentro de una catástrofe, con su secuela inevit</w:t>
      </w:r>
      <w:r>
        <w:t>a</w:t>
      </w:r>
      <w:r>
        <w:t>ble de desorden, desconcierto y desesperación, resulta impos</w:t>
      </w:r>
      <w:r>
        <w:t>i</w:t>
      </w:r>
      <w:r>
        <w:t>ble emitir un juicio en abstracto acerca de qué comport</w:t>
      </w:r>
      <w:r>
        <w:t>a</w:t>
      </w:r>
      <w:r>
        <w:t>miento era el más ajustado frente a semejante cu</w:t>
      </w:r>
      <w:r>
        <w:t>a</w:t>
      </w:r>
      <w:r>
        <w:t>dro.</w:t>
      </w:r>
    </w:p>
    <w:p w:rsidR="00224567" w:rsidRDefault="00224567">
      <w:pPr>
        <w:widowControl w:val="0"/>
      </w:pPr>
      <w:r>
        <w:tab/>
      </w:r>
      <w:r>
        <w:tab/>
        <w:t>En ese orden, cabe traer a colación los dichos del conductor del transporte público de pasaj</w:t>
      </w:r>
      <w:r>
        <w:t>e</w:t>
      </w:r>
      <w:r>
        <w:t>ros Juan S</w:t>
      </w:r>
      <w:r>
        <w:t>e</w:t>
      </w:r>
      <w:r>
        <w:t>gundo Canale, quien tras cartón de la explosión comenzó a dar vueltas alrededor de su unidad; los de Adriana Mena, que en vez de huir de un lugar con serios riesgos de desmoronamiento y pese a conocer de la muerte de su novio y de un empleado del negocio, se avocó a la búsqueda de sus pertenencias y los de Luis Eduardo Benlliure, quien advirtió que ni bien ocurrido el sinie</w:t>
      </w:r>
      <w:r>
        <w:t>s</w:t>
      </w:r>
      <w:r>
        <w:t>tro diversas personas caminaban sin rumbo, en estado de shock.</w:t>
      </w:r>
    </w:p>
    <w:p w:rsidR="00224567" w:rsidRDefault="00224567">
      <w:pPr>
        <w:widowControl w:val="0"/>
      </w:pPr>
      <w:r>
        <w:tab/>
      </w:r>
      <w:r>
        <w:tab/>
        <w:t>Por otra parte, también cabe de</w:t>
      </w:r>
      <w:r>
        <w:t>s</w:t>
      </w:r>
      <w:r>
        <w:t>echar los cuestionamientos formulados por las defensas -en pa</w:t>
      </w:r>
      <w:r>
        <w:t>r</w:t>
      </w:r>
      <w:r>
        <w:t>ticular la de Raúl Edilio Ibarra- en procura de descalif</w:t>
      </w:r>
      <w:r>
        <w:t>i</w:t>
      </w:r>
      <w:r>
        <w:t>car, por inverosímiles, los dichos de Carlos Rigoberto Heide</w:t>
      </w:r>
      <w:r>
        <w:t>n</w:t>
      </w:r>
      <w:r>
        <w:t>reich.</w:t>
      </w:r>
    </w:p>
    <w:p w:rsidR="00224567" w:rsidRDefault="00224567">
      <w:pPr>
        <w:widowControl w:val="0"/>
      </w:pPr>
      <w:r>
        <w:tab/>
      </w:r>
      <w:r>
        <w:tab/>
        <w:t>En ese sentido, la testigo Birukov confirmó la presencia del encargado Heidenreich en la puerta del edificio de Pasteur 724, momentos antes de la explosión, admitiendo que conversó con él por espacio de diez minutos, aproximad</w:t>
      </w:r>
      <w:r>
        <w:t>a</w:t>
      </w:r>
      <w:r>
        <w:t>mente, tras lo cual el nombrado se dirigió hacia las oficinas de una administración de edif</w:t>
      </w:r>
      <w:r>
        <w:t>i</w:t>
      </w:r>
      <w:r>
        <w:t>cios ubicada en la esquina de Viamonte y Pasteur. Más aún, Birukov recordó que mientras se desarrolló la convers</w:t>
      </w:r>
      <w:r>
        <w:t>a</w:t>
      </w:r>
      <w:r>
        <w:t>ción, advirtió el paso de su vecina Rebeca Jurín, luego alcanzada por la explosión, a la vez que aclaró que He</w:t>
      </w:r>
      <w:r>
        <w:t>i</w:t>
      </w:r>
      <w:r>
        <w:t>denreich debía concurrir a aquellas oficinas para atender un problema en el co</w:t>
      </w:r>
      <w:r>
        <w:t>n</w:t>
      </w:r>
      <w:r>
        <w:t>sorcio del cual ella era presidente.</w:t>
      </w:r>
    </w:p>
    <w:p w:rsidR="00224567" w:rsidRDefault="00224567">
      <w:pPr>
        <w:widowControl w:val="0"/>
      </w:pPr>
      <w:r>
        <w:tab/>
      </w:r>
      <w:r>
        <w:tab/>
        <w:t>Además, el tiempo que demandó a Bir</w:t>
      </w:r>
      <w:r>
        <w:t>u</w:t>
      </w:r>
      <w:r>
        <w:t>kov transitar media cuadra por la calle Pa</w:t>
      </w:r>
      <w:r>
        <w:t>s</w:t>
      </w:r>
      <w:r>
        <w:t>teur -distancia que alcanzó a recorrer hasta que detonó el  explosivo- coincide con el insumido por Heidenreich para alcanzar la puerta del edificio donde se encontraba la administración de co</w:t>
      </w:r>
      <w:r>
        <w:t>n</w:t>
      </w:r>
      <w:r>
        <w:t>sorcios.</w:t>
      </w:r>
    </w:p>
    <w:p w:rsidR="00224567" w:rsidRDefault="00224567">
      <w:pPr>
        <w:widowControl w:val="0"/>
      </w:pPr>
      <w:r>
        <w:tab/>
      </w:r>
      <w:r>
        <w:tab/>
        <w:t>También el debate permitió const</w:t>
      </w:r>
      <w:r>
        <w:t>a</w:t>
      </w:r>
      <w:r>
        <w:t>tar, conforme los dichos de Nélida Rosales De Testa, Esteban Adrián Kajt y Gladys Noemí Sigal, que en el edificio de Viamonte 2295, ubicado a metros de la intersección con Pasteur, funcionaban dos oficinas de administración de consorcios denominadas “Schmahl y Cía” y “Planetarium” (cónfr., además, apartado A.9 del presente, punto h), c</w:t>
      </w:r>
      <w:r>
        <w:t>u</w:t>
      </w:r>
      <w:r>
        <w:t>yos horarios de inicio de la ate</w:t>
      </w:r>
      <w:r>
        <w:t>n</w:t>
      </w:r>
      <w:r>
        <w:t>ción al público -a partir de las 10.00- coincidían con la hora en que Heidenreich arribó al lugar.</w:t>
      </w:r>
    </w:p>
    <w:p w:rsidR="00224567" w:rsidRDefault="00224567">
      <w:pPr>
        <w:widowControl w:val="0"/>
      </w:pPr>
      <w:r>
        <w:tab/>
      </w:r>
      <w:r>
        <w:tab/>
        <w:t>El hecho de que De Testa no hubiese podido corroborar la presencia de Heide</w:t>
      </w:r>
      <w:r>
        <w:t>n</w:t>
      </w:r>
      <w:r>
        <w:t>reich en la puerta del edificio, conforme lo señaló la defe</w:t>
      </w:r>
      <w:r>
        <w:t>n</w:t>
      </w:r>
      <w:r>
        <w:t>sa de Ibarra, no restan convicción a los d</w:t>
      </w:r>
      <w:r>
        <w:t>i</w:t>
      </w:r>
      <w:r>
        <w:t>chos de éste en razón que por la magnitud de la tragedia bien pudo no advertir su prese</w:t>
      </w:r>
      <w:r>
        <w:t>n</w:t>
      </w:r>
      <w:r>
        <w:t>cia; máxime cuando De Testa afirmó que en ese instante p</w:t>
      </w:r>
      <w:r>
        <w:t>u</w:t>
      </w:r>
      <w:r>
        <w:t>do observar “una nube de humo con una llama roja que subía ha</w:t>
      </w:r>
      <w:r>
        <w:t>s</w:t>
      </w:r>
      <w:r>
        <w:t>ta el cielo”.</w:t>
      </w:r>
    </w:p>
    <w:p w:rsidR="00224567" w:rsidRDefault="00224567">
      <w:pPr>
        <w:widowControl w:val="0"/>
      </w:pPr>
      <w:r>
        <w:tab/>
      </w:r>
      <w:r>
        <w:tab/>
        <w:t>Por lo demás, Heidenreich precisó en su relato una serie de circunstancias, corroboradas por otros medios, que demuestran de manera palmaria que se e</w:t>
      </w:r>
      <w:r>
        <w:t>n</w:t>
      </w:r>
      <w:r>
        <w:t>contraba en la calle Pasteur al momento del suceso. Así, la mención de la prese</w:t>
      </w:r>
      <w:r>
        <w:t>n</w:t>
      </w:r>
      <w:r>
        <w:t>cia en el lugar de una camioneta de reparto de pan de la firma “Sacaan”, la de un vehículo con el capó levantado, detenido en doble fila que, según se determinó, pertenecía al electrici</w:t>
      </w:r>
      <w:r>
        <w:t>s</w:t>
      </w:r>
      <w:r>
        <w:t>ta Daniel Joffe, la de un volquete y, por último, la del barrendero Juan Carlos Álvarez, quien cumplía su labor en dicha cuadra de la c</w:t>
      </w:r>
      <w:r>
        <w:t>a</w:t>
      </w:r>
      <w:r>
        <w:t>lle Pasteur, demuestra lo endeble de los embates intent</w:t>
      </w:r>
      <w:r>
        <w:t>a</w:t>
      </w:r>
      <w:r>
        <w:t>dos.</w:t>
      </w:r>
    </w:p>
    <w:p w:rsidR="00224567" w:rsidRDefault="00224567">
      <w:pPr>
        <w:widowControl w:val="0"/>
      </w:pPr>
      <w:r>
        <w:tab/>
      </w:r>
      <w:r>
        <w:tab/>
        <w:t>Por otra parte, la aparente contradi</w:t>
      </w:r>
      <w:r>
        <w:t>c</w:t>
      </w:r>
      <w:r>
        <w:t>ción entre sus dichos ante la instrucción y los vertidos en el debate, en torno a la posición exacta del vehículo, no es tal, si se advierte que en la etapa anterior utilizó expresiones dubitativas como ser que “supone que [la c</w:t>
      </w:r>
      <w:r>
        <w:t>a</w:t>
      </w:r>
      <w:r>
        <w:t>mioneta] venía de L</w:t>
      </w:r>
      <w:r>
        <w:t>a</w:t>
      </w:r>
      <w:r>
        <w:t>valle” y que “no le parece posible que viniera circulando por Tucumán para luego girar en Pa</w:t>
      </w:r>
      <w:r>
        <w:t>s</w:t>
      </w:r>
      <w:r>
        <w:t>teur” (ver fs. 31.809vta.), mientras que en el debate no pudo recordar si el veh</w:t>
      </w:r>
      <w:r>
        <w:t>í</w:t>
      </w:r>
      <w:r>
        <w:t>culo estaba antes o después de la calle Tucumán.</w:t>
      </w:r>
    </w:p>
    <w:p w:rsidR="00224567" w:rsidRDefault="00224567">
      <w:pPr>
        <w:widowControl w:val="0"/>
      </w:pPr>
      <w:r>
        <w:tab/>
      </w:r>
      <w:r>
        <w:tab/>
        <w:t>De igual modo, sus imprecisiones en orden a las características del rodado -si contaba o no con puertas laterales o detalles de su chapa- resultan consecuencia de la mayúscula improbabilidad de que el te</w:t>
      </w:r>
      <w:r>
        <w:t>s</w:t>
      </w:r>
      <w:r>
        <w:t>tigo, quien admitió haber visto el vehículo en forma fugaz y “de reojo”, hubiera podido retener en su memoria tales detalles; más aún si se tiene en cuenta que declaró por prim</w:t>
      </w:r>
      <w:r>
        <w:t>e</w:t>
      </w:r>
      <w:r>
        <w:t>ra vez transcurridos cuatro años del atentado.</w:t>
      </w:r>
    </w:p>
    <w:p w:rsidR="00224567" w:rsidRDefault="00224567">
      <w:pPr>
        <w:widowControl w:val="0"/>
      </w:pPr>
      <w:r>
        <w:tab/>
      </w:r>
      <w:r>
        <w:tab/>
        <w:t>Por todo ello, los dichos de Carlos Rigoberto Heidenreich y de María Nicolasa R</w:t>
      </w:r>
      <w:r>
        <w:t>o</w:t>
      </w:r>
      <w:r>
        <w:t>mero se suman a las probanzas hasta aquí enunciadas y coadyuvan en la misma dirección; esto es, la d</w:t>
      </w:r>
      <w:r>
        <w:t>e</w:t>
      </w:r>
      <w:r>
        <w:t>mostración de la presencia, en la calle Pasteur, de la camioneta que portaba en su i</w:t>
      </w:r>
      <w:r>
        <w:t>n</w:t>
      </w:r>
      <w:r>
        <w:t>terior la carga e</w:t>
      </w:r>
      <w:r>
        <w:t>x</w:t>
      </w:r>
      <w:r>
        <w:t>plosiva.</w:t>
      </w:r>
    </w:p>
    <w:p w:rsidR="00224567" w:rsidRDefault="00224567">
      <w:pPr>
        <w:widowControl w:val="0"/>
        <w:rPr>
          <w:lang w:val="es-ES_tradnl"/>
        </w:rPr>
      </w:pPr>
      <w:r>
        <w:rPr>
          <w:b/>
          <w:bCs/>
          <w:lang w:val="es-ES_tradnl"/>
        </w:rPr>
        <w:tab/>
        <w:t>A.21)</w:t>
      </w:r>
      <w:r>
        <w:rPr>
          <w:lang w:val="es-ES_tradnl"/>
        </w:rPr>
        <w:t xml:space="preserve"> Por otro lado, diversas han s</w:t>
      </w:r>
      <w:r>
        <w:rPr>
          <w:lang w:val="es-ES_tradnl"/>
        </w:rPr>
        <w:t>i</w:t>
      </w:r>
      <w:r>
        <w:rPr>
          <w:lang w:val="es-ES_tradnl"/>
        </w:rPr>
        <w:t>do las personas que al momento de la explosión se e</w:t>
      </w:r>
      <w:r>
        <w:rPr>
          <w:lang w:val="es-ES_tradnl"/>
        </w:rPr>
        <w:t>n</w:t>
      </w:r>
      <w:r>
        <w:rPr>
          <w:lang w:val="es-ES_tradnl"/>
        </w:rPr>
        <w:t xml:space="preserve">contraban en las adyacencias de </w:t>
      </w:r>
      <w:smartTag w:uri="urn:schemas-microsoft-com:office:smarttags" w:element="PersonName">
        <w:smartTagPr>
          <w:attr w:name="ProductID" w:val="la A.M"/>
        </w:smartTagPr>
        <w:r>
          <w:rPr>
            <w:lang w:val="es-ES_tradnl"/>
          </w:rPr>
          <w:t>la A.M</w:t>
        </w:r>
      </w:smartTag>
      <w:r>
        <w:rPr>
          <w:lang w:val="es-ES_tradnl"/>
        </w:rPr>
        <w:t>.I.A. y que, pese a ello, no advirtieron la presencia de la c</w:t>
      </w:r>
      <w:r>
        <w:rPr>
          <w:lang w:val="es-ES_tradnl"/>
        </w:rPr>
        <w:t>a</w:t>
      </w:r>
      <w:r>
        <w:rPr>
          <w:lang w:val="es-ES_tradnl"/>
        </w:rPr>
        <w:t>mioneta.</w:t>
      </w:r>
    </w:p>
    <w:p w:rsidR="00224567" w:rsidRDefault="00224567">
      <w:pPr>
        <w:widowControl w:val="0"/>
      </w:pPr>
      <w:r>
        <w:rPr>
          <w:lang w:val="es-ES_tradnl"/>
        </w:rPr>
        <w:tab/>
      </w:r>
      <w:r>
        <w:tab/>
        <w:t xml:space="preserve">En ese sentido, Juan Carlos Álvarez manifestó que se desempeñaba como barrendero en el horario de </w:t>
      </w:r>
      <w:smartTag w:uri="urn:schemas-microsoft-com:office:smarttags" w:element="metricconverter">
        <w:smartTagPr>
          <w:attr w:name="ProductID" w:val="6.00 a"/>
        </w:smartTagPr>
        <w:r>
          <w:t>6.00 a</w:t>
        </w:r>
      </w:smartTag>
      <w:r>
        <w:t xml:space="preserve"> 14.00 y que la mañana del 18 de julio se dirigió por Pasteur a una agencia de quiniela de donde retiró un cesto con papeles, tras lo cual cr</w:t>
      </w:r>
      <w:r>
        <w:t>u</w:t>
      </w:r>
      <w:r>
        <w:t>zó la calle para hablar con el encargado del edificio ub</w:t>
      </w:r>
      <w:r>
        <w:t>i</w:t>
      </w:r>
      <w:r>
        <w:t>cado frente a la mutual, quien entre otras cosas le d</w:t>
      </w:r>
      <w:r>
        <w:t>i</w:t>
      </w:r>
      <w:r>
        <w:t>jo que eran las 9.55.</w:t>
      </w:r>
    </w:p>
    <w:p w:rsidR="00224567" w:rsidRDefault="00224567">
      <w:pPr>
        <w:widowControl w:val="0"/>
      </w:pPr>
      <w:r>
        <w:tab/>
      </w:r>
      <w:r>
        <w:tab/>
        <w:t>Indicó que, posteriormente, tomó la pala y el escobillón y cruzó nuevamente la calzada, obse</w:t>
      </w:r>
      <w:r>
        <w:t>r</w:t>
      </w:r>
      <w:r>
        <w:t>vando que no venía ningún vehículo desde Corrie</w:t>
      </w:r>
      <w:r>
        <w:t>n</w:t>
      </w:r>
      <w:r>
        <w:t>tes y que “en la calle no había un alma”, recordando tan solo al mencionado portero, al dueño de la agencia de lotería y a dos policías, uno dentro del móvil estaci</w:t>
      </w:r>
      <w:r>
        <w:t>o</w:t>
      </w:r>
      <w:r>
        <w:t>nado frente a la mutual y otro -según creía- en la esquina de la calle T</w:t>
      </w:r>
      <w:r>
        <w:t>u</w:t>
      </w:r>
      <w:r>
        <w:t>cumán; afirmó que “bajo ningún aspecto” vio el paso de una camioneta Renault Trafic ni observó estacionado un autom</w:t>
      </w:r>
      <w:r>
        <w:t>ó</w:t>
      </w:r>
      <w:r>
        <w:t>vil con una caja blanca.</w:t>
      </w:r>
    </w:p>
    <w:p w:rsidR="00224567" w:rsidRDefault="00224567">
      <w:pPr>
        <w:widowControl w:val="0"/>
        <w:rPr>
          <w:lang w:val="es-ES_tradnl"/>
        </w:rPr>
      </w:pPr>
      <w:r>
        <w:rPr>
          <w:lang w:val="es-ES_tradnl"/>
        </w:rPr>
        <w:tab/>
        <w:t>A continuación, relató Álvarez, se arrimó a un volquete, ubicado casi frente a la entrada de la mutual, para arrojar unos cartones de cigarrillos, o</w:t>
      </w:r>
      <w:r>
        <w:rPr>
          <w:lang w:val="es-ES_tradnl"/>
        </w:rPr>
        <w:t>b</w:t>
      </w:r>
      <w:r>
        <w:rPr>
          <w:lang w:val="es-ES_tradnl"/>
        </w:rPr>
        <w:t>servando que “estaba vacío, vacío” y que en el lugar ta</w:t>
      </w:r>
      <w:r>
        <w:rPr>
          <w:lang w:val="es-ES_tradnl"/>
        </w:rPr>
        <w:t>m</w:t>
      </w:r>
      <w:r>
        <w:rPr>
          <w:lang w:val="es-ES_tradnl"/>
        </w:rPr>
        <w:t>bién había un coche pequeño -un Fiat 600- del cual desce</w:t>
      </w:r>
      <w:r>
        <w:rPr>
          <w:lang w:val="es-ES_tradnl"/>
        </w:rPr>
        <w:t>n</w:t>
      </w:r>
      <w:r>
        <w:rPr>
          <w:lang w:val="es-ES_tradnl"/>
        </w:rPr>
        <w:t xml:space="preserve">dió rápidamente un hombre delgado, de </w:t>
      </w:r>
      <w:smartTag w:uri="urn:schemas-microsoft-com:office:smarttags" w:element="metricconverter">
        <w:smartTagPr>
          <w:attr w:name="ProductID" w:val="1,70 m"/>
        </w:smartTagPr>
        <w:r>
          <w:rPr>
            <w:lang w:val="es-ES_tradnl"/>
          </w:rPr>
          <w:t>1,70 m</w:t>
        </w:r>
      </w:smartTag>
      <w:r>
        <w:rPr>
          <w:lang w:val="es-ES_tradnl"/>
        </w:rPr>
        <w:t xml:space="preserve"> de estat</w:t>
      </w:r>
      <w:r>
        <w:rPr>
          <w:lang w:val="es-ES_tradnl"/>
        </w:rPr>
        <w:t>u</w:t>
      </w:r>
      <w:r>
        <w:rPr>
          <w:lang w:val="es-ES_tradnl"/>
        </w:rPr>
        <w:t>ra, quien tras indicar que detendría el automóvil unos insta</w:t>
      </w:r>
      <w:r>
        <w:rPr>
          <w:lang w:val="es-ES_tradnl"/>
        </w:rPr>
        <w:t>n</w:t>
      </w:r>
      <w:r>
        <w:rPr>
          <w:lang w:val="es-ES_tradnl"/>
        </w:rPr>
        <w:t>tes, ingresó en la sede de la instit</w:t>
      </w:r>
      <w:r>
        <w:rPr>
          <w:lang w:val="es-ES_tradnl"/>
        </w:rPr>
        <w:t>u</w:t>
      </w:r>
      <w:r>
        <w:rPr>
          <w:lang w:val="es-ES_tradnl"/>
        </w:rPr>
        <w:t>ción.</w:t>
      </w:r>
    </w:p>
    <w:p w:rsidR="00224567" w:rsidRDefault="00224567">
      <w:pPr>
        <w:widowControl w:val="0"/>
      </w:pPr>
      <w:r>
        <w:rPr>
          <w:lang w:val="es-ES_tradnl"/>
        </w:rPr>
        <w:tab/>
      </w:r>
      <w:r>
        <w:t>Asimismo, indicó que al intentar arr</w:t>
      </w:r>
      <w:r>
        <w:t>o</w:t>
      </w:r>
      <w:r>
        <w:t>jar los residuos dentro del volquete, encontrándose ubic</w:t>
      </w:r>
      <w:r>
        <w:t>a</w:t>
      </w:r>
      <w:r>
        <w:t>do entre éste y el automóvil antes menci</w:t>
      </w:r>
      <w:r>
        <w:t>o</w:t>
      </w:r>
      <w:r>
        <w:t xml:space="preserve">nado, de espaldas a </w:t>
      </w:r>
      <w:smartTag w:uri="urn:schemas-microsoft-com:office:smarttags" w:element="PersonName">
        <w:smartTagPr>
          <w:attr w:name="ProductID" w:val="la A.M"/>
        </w:smartTagPr>
        <w:r>
          <w:t>la A.M</w:t>
        </w:r>
      </w:smartTag>
      <w:r>
        <w:t>.I.A., sintió que se descomponía y se elevaba, c</w:t>
      </w:r>
      <w:r>
        <w:t>o</w:t>
      </w:r>
      <w:r>
        <w:t>menzando a percibir todo en cámara lenta, sin escuchar n</w:t>
      </w:r>
      <w:r>
        <w:t>a</w:t>
      </w:r>
      <w:r>
        <w:t>da y sin poder ver el cielo porque est</w:t>
      </w:r>
      <w:r>
        <w:t>a</w:t>
      </w:r>
      <w:r>
        <w:t>ba lleno de tierra y polvo. Agregó que en ese instante pudo apreciar un olor a amoníaco que le arrancaba los ojos y la nariz, a la vez que sentía su cuerpo estallar y unos “dolores inmensos en la espalda” y las piernas; finalmente, cayó sobre el capó del Fiat 600, perdiendo el conocimiento.</w:t>
      </w:r>
    </w:p>
    <w:p w:rsidR="00224567" w:rsidRDefault="00224567">
      <w:pPr>
        <w:widowControl w:val="0"/>
      </w:pPr>
      <w:r>
        <w:tab/>
        <w:t>El testigo aseguró que en los insta</w:t>
      </w:r>
      <w:r>
        <w:t>n</w:t>
      </w:r>
      <w:r>
        <w:t>tes previos a la explosión no escuchó ningún ruido en pa</w:t>
      </w:r>
      <w:r>
        <w:t>r</w:t>
      </w:r>
      <w:r>
        <w:t>ticular ni tampoco la frenada de algún vehículo; recordó que mientras conversaba con el encargado obse</w:t>
      </w:r>
      <w:r>
        <w:t>r</w:t>
      </w:r>
      <w:r>
        <w:t>vó un camión de la firma “</w:t>
      </w:r>
      <w:smartTag w:uri="urn:schemas-microsoft-com:office:smarttags" w:element="PersonName">
        <w:smartTagPr>
          <w:attr w:name="ProductID" w:val="La Seren￭sima"/>
        </w:smartTagPr>
        <w:r>
          <w:t>La Serenísima</w:t>
        </w:r>
      </w:smartTag>
      <w:r>
        <w:t>” a la vez que cr</w:t>
      </w:r>
      <w:r>
        <w:t>e</w:t>
      </w:r>
      <w:r>
        <w:t>yó haber visto un distribuidor de pan.</w:t>
      </w:r>
    </w:p>
    <w:p w:rsidR="00224567" w:rsidRDefault="00224567">
      <w:pPr>
        <w:widowControl w:val="0"/>
        <w:rPr>
          <w:lang w:val="es-ES_tradnl"/>
        </w:rPr>
      </w:pPr>
      <w:r>
        <w:tab/>
      </w:r>
      <w:r>
        <w:rPr>
          <w:lang w:val="es-ES_tradnl"/>
        </w:rPr>
        <w:t xml:space="preserve">Por su parte, Jorge Eduardo Bordón, cabo primero de </w:t>
      </w:r>
      <w:smartTag w:uri="urn:schemas-microsoft-com:office:smarttags" w:element="PersonName">
        <w:smartTagPr>
          <w:attr w:name="ProductID" w:val="la Comisar￭a"/>
        </w:smartTagPr>
        <w:r>
          <w:rPr>
            <w:lang w:val="es-ES_tradnl"/>
          </w:rPr>
          <w:t>la Comisaría</w:t>
        </w:r>
      </w:smartTag>
      <w:r>
        <w:rPr>
          <w:lang w:val="es-ES_tradnl"/>
        </w:rPr>
        <w:t xml:space="preserve"> 7ª de </w:t>
      </w:r>
      <w:smartTag w:uri="urn:schemas-microsoft-com:office:smarttags" w:element="PersonName">
        <w:smartTagPr>
          <w:attr w:name="ProductID" w:val="la Polic￭a Federal"/>
        </w:smartTagPr>
        <w:r>
          <w:rPr>
            <w:lang w:val="es-ES_tradnl"/>
          </w:rPr>
          <w:t>la Policía Federal</w:t>
        </w:r>
      </w:smartTag>
      <w:r>
        <w:rPr>
          <w:lang w:val="es-ES_tradnl"/>
        </w:rPr>
        <w:t xml:space="preserve"> A</w:t>
      </w:r>
      <w:r>
        <w:rPr>
          <w:lang w:val="es-ES_tradnl"/>
        </w:rPr>
        <w:t>r</w:t>
      </w:r>
      <w:r>
        <w:rPr>
          <w:lang w:val="es-ES_tradnl"/>
        </w:rPr>
        <w:t xml:space="preserve">gentina, manifestó que esa mañana, en el horario de </w:t>
      </w:r>
      <w:smartTag w:uri="urn:schemas-microsoft-com:office:smarttags" w:element="metricconverter">
        <w:smartTagPr>
          <w:attr w:name="ProductID" w:val="6.00 a"/>
        </w:smartTagPr>
        <w:r>
          <w:rPr>
            <w:lang w:val="es-ES_tradnl"/>
          </w:rPr>
          <w:t>6.00 a</w:t>
        </w:r>
      </w:smartTag>
      <w:r>
        <w:rPr>
          <w:lang w:val="es-ES_tradnl"/>
        </w:rPr>
        <w:t xml:space="preserve"> 12.00, fue destinado por el jefe de servicio Thompson como chofer de un patrullero fijo que cubría la custodia de la mutual, secundando al sargento Guzmán, quien prestaba se</w:t>
      </w:r>
      <w:r>
        <w:rPr>
          <w:lang w:val="es-ES_tradnl"/>
        </w:rPr>
        <w:t>r</w:t>
      </w:r>
      <w:r>
        <w:rPr>
          <w:lang w:val="es-ES_tradnl"/>
        </w:rPr>
        <w:t xml:space="preserve">vicios en </w:t>
      </w:r>
      <w:smartTag w:uri="urn:schemas-microsoft-com:office:smarttags" w:element="PersonName">
        <w:smartTagPr>
          <w:attr w:name="ProductID" w:val="la Comisar￭a"/>
        </w:smartTagPr>
        <w:r>
          <w:rPr>
            <w:lang w:val="es-ES_tradnl"/>
          </w:rPr>
          <w:t>la Comisaría</w:t>
        </w:r>
      </w:smartTag>
      <w:r>
        <w:rPr>
          <w:lang w:val="es-ES_tradnl"/>
        </w:rPr>
        <w:t xml:space="preserve"> 5ª.</w:t>
      </w:r>
    </w:p>
    <w:p w:rsidR="00224567" w:rsidRDefault="00224567">
      <w:pPr>
        <w:widowControl w:val="0"/>
        <w:rPr>
          <w:lang w:val="es-ES_tradnl"/>
        </w:rPr>
      </w:pPr>
      <w:r>
        <w:rPr>
          <w:lang w:val="es-ES_tradnl"/>
        </w:rPr>
        <w:tab/>
        <w:t>Explicó que tal asignación, en su c</w:t>
      </w:r>
      <w:r>
        <w:rPr>
          <w:lang w:val="es-ES_tradnl"/>
        </w:rPr>
        <w:t>a</w:t>
      </w:r>
      <w:r>
        <w:rPr>
          <w:lang w:val="es-ES_tradnl"/>
        </w:rPr>
        <w:t>so la única, se debió a la ausencia del sargento Sarogni, quien se encontraba en uso de licencia y que el servicio consistía en mantener la seguridad general externa del edificio, impidiendo el estaci</w:t>
      </w:r>
      <w:r>
        <w:rPr>
          <w:lang w:val="es-ES_tradnl"/>
        </w:rPr>
        <w:t>o</w:t>
      </w:r>
      <w:r>
        <w:rPr>
          <w:lang w:val="es-ES_tradnl"/>
        </w:rPr>
        <w:t>namiento en la cuadra de la mutual.</w:t>
      </w:r>
    </w:p>
    <w:p w:rsidR="00224567" w:rsidRDefault="00224567">
      <w:pPr>
        <w:widowControl w:val="0"/>
        <w:rPr>
          <w:lang w:val="es-ES_tradnl"/>
        </w:rPr>
      </w:pPr>
      <w:r>
        <w:rPr>
          <w:lang w:val="es-ES_tradnl"/>
        </w:rPr>
        <w:tab/>
        <w:t>Agregó que luego de relevar a su co</w:t>
      </w:r>
      <w:r>
        <w:rPr>
          <w:lang w:val="es-ES_tradnl"/>
        </w:rPr>
        <w:t>m</w:t>
      </w:r>
      <w:r>
        <w:rPr>
          <w:lang w:val="es-ES_tradnl"/>
        </w:rPr>
        <w:t>pañero del turno anterior, aproximadamente a las 6.05 ó 6.10, comenzó a observar el paulatino ingreso del pe</w:t>
      </w:r>
      <w:r>
        <w:rPr>
          <w:lang w:val="es-ES_tradnl"/>
        </w:rPr>
        <w:t>r</w:t>
      </w:r>
      <w:r>
        <w:rPr>
          <w:lang w:val="es-ES_tradnl"/>
        </w:rPr>
        <w:t>sonal de la entidad y la concurrencia de distintos pr</w:t>
      </w:r>
      <w:r>
        <w:rPr>
          <w:lang w:val="es-ES_tradnl"/>
        </w:rPr>
        <w:t>o</w:t>
      </w:r>
      <w:r>
        <w:rPr>
          <w:lang w:val="es-ES_tradnl"/>
        </w:rPr>
        <w:t>veedores, a algunos de los cuales se los autorizaba p</w:t>
      </w:r>
      <w:r>
        <w:rPr>
          <w:lang w:val="es-ES_tradnl"/>
        </w:rPr>
        <w:t>a</w:t>
      </w:r>
      <w:r>
        <w:rPr>
          <w:lang w:val="es-ES_tradnl"/>
        </w:rPr>
        <w:t>ra estacionar lo más lejos posible de la puerta de la mutual; recordó que a la hora de estar allí co</w:t>
      </w:r>
      <w:r>
        <w:rPr>
          <w:lang w:val="es-ES_tradnl"/>
        </w:rPr>
        <w:t>n</w:t>
      </w:r>
      <w:r>
        <w:rPr>
          <w:lang w:val="es-ES_tradnl"/>
        </w:rPr>
        <w:t>currió el móvil de control de su Seccional, oportunidad que aprovechó para solicita</w:t>
      </w:r>
      <w:r>
        <w:rPr>
          <w:lang w:val="es-ES_tradnl"/>
        </w:rPr>
        <w:t>r</w:t>
      </w:r>
      <w:r>
        <w:rPr>
          <w:lang w:val="es-ES_tradnl"/>
        </w:rPr>
        <w:t xml:space="preserve">le el cambio de la batería en razón que la que tenía el patrullero estacionado frente a </w:t>
      </w:r>
      <w:smartTag w:uri="urn:schemas-microsoft-com:office:smarttags" w:element="PersonName">
        <w:smartTagPr>
          <w:attr w:name="ProductID" w:val="la A.M"/>
        </w:smartTagPr>
        <w:r>
          <w:rPr>
            <w:lang w:val="es-ES_tradnl"/>
          </w:rPr>
          <w:t>la A.M</w:t>
        </w:r>
      </w:smartTag>
      <w:r>
        <w:rPr>
          <w:lang w:val="es-ES_tradnl"/>
        </w:rPr>
        <w:t>.I.A. se e</w:t>
      </w:r>
      <w:r>
        <w:rPr>
          <w:lang w:val="es-ES_tradnl"/>
        </w:rPr>
        <w:t>n</w:t>
      </w:r>
      <w:r>
        <w:rPr>
          <w:lang w:val="es-ES_tradnl"/>
        </w:rPr>
        <w:t>contraba agotada, impidiendo el arranque y una buena frecuencia en el equipo de comunicación</w:t>
      </w:r>
      <w:r>
        <w:rPr>
          <w:b/>
          <w:bCs/>
          <w:lang w:val="es-ES_tradnl"/>
        </w:rPr>
        <w:t xml:space="preserve">. </w:t>
      </w:r>
      <w:r>
        <w:rPr>
          <w:lang w:val="es-ES_tradnl"/>
        </w:rPr>
        <w:t>Que a las 9.30, aproximadame</w:t>
      </w:r>
      <w:r>
        <w:rPr>
          <w:lang w:val="es-ES_tradnl"/>
        </w:rPr>
        <w:t>n</w:t>
      </w:r>
      <w:r>
        <w:rPr>
          <w:lang w:val="es-ES_tradnl"/>
        </w:rPr>
        <w:t>te, arribó un móvil de mantenimiento, cuyo personal leva</w:t>
      </w:r>
      <w:r>
        <w:rPr>
          <w:lang w:val="es-ES_tradnl"/>
        </w:rPr>
        <w:t>n</w:t>
      </w:r>
      <w:r>
        <w:rPr>
          <w:lang w:val="es-ES_tradnl"/>
        </w:rPr>
        <w:t>tó el capó, verificó el estado de la batería y se retiró en procura de una nueva. No obstante ello, manifestó que contaban con un equipo de comunicación auxiliar tipo “H.T.”, pr</w:t>
      </w:r>
      <w:r>
        <w:rPr>
          <w:lang w:val="es-ES_tradnl"/>
        </w:rPr>
        <w:t>o</w:t>
      </w:r>
      <w:r>
        <w:rPr>
          <w:lang w:val="es-ES_tradnl"/>
        </w:rPr>
        <w:t>visto por la custodia interna de la mutual.</w:t>
      </w:r>
    </w:p>
    <w:p w:rsidR="00224567" w:rsidRDefault="00224567">
      <w:pPr>
        <w:widowControl w:val="0"/>
        <w:rPr>
          <w:lang w:val="es-ES_tradnl"/>
        </w:rPr>
      </w:pPr>
      <w:r>
        <w:rPr>
          <w:lang w:val="es-ES_tradnl"/>
        </w:rPr>
        <w:tab/>
        <w:t>Agregó Bordón que en el curso de esa mañana un compañero de su comisaría, con la autorización de Guzmán, estacionó su automóvil Dodge 1500 sobre la c</w:t>
      </w:r>
      <w:r>
        <w:rPr>
          <w:lang w:val="es-ES_tradnl"/>
        </w:rPr>
        <w:t>a</w:t>
      </w:r>
      <w:r>
        <w:rPr>
          <w:lang w:val="es-ES_tradnl"/>
        </w:rPr>
        <w:t>lle Pasteur, próximo a su cruce con Tucumán, inv</w:t>
      </w:r>
      <w:r>
        <w:rPr>
          <w:lang w:val="es-ES_tradnl"/>
        </w:rPr>
        <w:t>o</w:t>
      </w:r>
      <w:r>
        <w:rPr>
          <w:lang w:val="es-ES_tradnl"/>
        </w:rPr>
        <w:t>cando que debía llevar a su hijo al Hospital de Clínicas y que pas</w:t>
      </w:r>
      <w:r>
        <w:rPr>
          <w:lang w:val="es-ES_tradnl"/>
        </w:rPr>
        <w:t>a</w:t>
      </w:r>
      <w:r>
        <w:rPr>
          <w:lang w:val="es-ES_tradnl"/>
        </w:rPr>
        <w:t>das las 9.00, previa indicación del pe</w:t>
      </w:r>
      <w:r>
        <w:rPr>
          <w:lang w:val="es-ES_tradnl"/>
        </w:rPr>
        <w:t>r</w:t>
      </w:r>
      <w:r>
        <w:rPr>
          <w:lang w:val="es-ES_tradnl"/>
        </w:rPr>
        <w:t xml:space="preserve">sonal de seguridad de </w:t>
      </w:r>
      <w:smartTag w:uri="urn:schemas-microsoft-com:office:smarttags" w:element="PersonName">
        <w:smartTagPr>
          <w:attr w:name="ProductID" w:val="la A.M"/>
        </w:smartTagPr>
        <w:r>
          <w:rPr>
            <w:lang w:val="es-ES_tradnl"/>
          </w:rPr>
          <w:t>la A.M</w:t>
        </w:r>
      </w:smartTag>
      <w:r>
        <w:rPr>
          <w:lang w:val="es-ES_tradnl"/>
        </w:rPr>
        <w:t>.I.A., un camión depos</w:t>
      </w:r>
      <w:r>
        <w:rPr>
          <w:lang w:val="es-ES_tradnl"/>
        </w:rPr>
        <w:t>i</w:t>
      </w:r>
      <w:r>
        <w:rPr>
          <w:lang w:val="es-ES_tradnl"/>
        </w:rPr>
        <w:t xml:space="preserve">tó un volquete delante del patrullero, a unos 3 ó </w:t>
      </w:r>
      <w:smartTag w:uri="urn:schemas-microsoft-com:office:smarttags" w:element="metricconverter">
        <w:smartTagPr>
          <w:attr w:name="ProductID" w:val="4 m"/>
        </w:smartTagPr>
        <w:r>
          <w:rPr>
            <w:lang w:val="es-ES_tradnl"/>
          </w:rPr>
          <w:t>4 m</w:t>
        </w:r>
      </w:smartTag>
      <w:r>
        <w:rPr>
          <w:lang w:val="es-ES_tradnl"/>
        </w:rPr>
        <w:t>; momento a partir del cual a</w:t>
      </w:r>
      <w:r>
        <w:rPr>
          <w:lang w:val="es-ES_tradnl"/>
        </w:rPr>
        <w:t>l</w:t>
      </w:r>
      <w:r>
        <w:rPr>
          <w:lang w:val="es-ES_tradnl"/>
        </w:rPr>
        <w:t>gunos operarios comenzaron a volcar escombros que retir</w:t>
      </w:r>
      <w:r>
        <w:rPr>
          <w:lang w:val="es-ES_tradnl"/>
        </w:rPr>
        <w:t>a</w:t>
      </w:r>
      <w:r>
        <w:rPr>
          <w:lang w:val="es-ES_tradnl"/>
        </w:rPr>
        <w:t>ban del edificio, utilizando para ello una rampa y carr</w:t>
      </w:r>
      <w:r>
        <w:rPr>
          <w:lang w:val="es-ES_tradnl"/>
        </w:rPr>
        <w:t>e</w:t>
      </w:r>
      <w:r>
        <w:rPr>
          <w:lang w:val="es-ES_tradnl"/>
        </w:rPr>
        <w:t>tillas.</w:t>
      </w:r>
    </w:p>
    <w:p w:rsidR="00224567" w:rsidRDefault="00224567">
      <w:pPr>
        <w:widowControl w:val="0"/>
      </w:pPr>
      <w:r>
        <w:tab/>
        <w:t>Asimismo, manifestó que no recordaba haber visto, en esa ocasión, una camioneta Fiorino, ni a</w:t>
      </w:r>
      <w:r>
        <w:t>u</w:t>
      </w:r>
      <w:r>
        <w:t>tomotores de la marcas Peugeot 405, Renault 20 o G</w:t>
      </w:r>
      <w:r>
        <w:t>a</w:t>
      </w:r>
      <w:r>
        <w:t>cel, ni un vehículo estacionado en d</w:t>
      </w:r>
      <w:r>
        <w:t>o</w:t>
      </w:r>
      <w:r>
        <w:t>ble fila, como tampoco a una mujer con un menor de edad.</w:t>
      </w:r>
    </w:p>
    <w:p w:rsidR="00224567" w:rsidRDefault="00224567">
      <w:pPr>
        <w:widowControl w:val="0"/>
      </w:pPr>
      <w:r>
        <w:tab/>
        <w:t>Indicó que, poco tiempo antes de la explosión, el sargento Guzmán se había dirigido al baño del bar “Kaoba”, en razón de que los de la mutual est</w:t>
      </w:r>
      <w:r>
        <w:t>a</w:t>
      </w:r>
      <w:r>
        <w:t>ban en refacción, quedándose él a bordo del móvil policial, sentado en el lugar del condu</w:t>
      </w:r>
      <w:r>
        <w:t>c</w:t>
      </w:r>
      <w:r>
        <w:t>tor, desde donde observó el paso de un barrendero, con el que intercambió saludos; tras ello, e</w:t>
      </w:r>
      <w:r>
        <w:t>s</w:t>
      </w:r>
      <w:r>
        <w:t>cuchó modular su “handy” y, luego de tomarlo y reincorp</w:t>
      </w:r>
      <w:r>
        <w:t>o</w:t>
      </w:r>
      <w:r>
        <w:t>rarse en el asiento, se produjo la explosión.</w:t>
      </w:r>
    </w:p>
    <w:p w:rsidR="00224567" w:rsidRDefault="00224567">
      <w:pPr>
        <w:widowControl w:val="0"/>
      </w:pPr>
      <w:r>
        <w:tab/>
        <w:t>Bordón dijo haber escuchado dos est</w:t>
      </w:r>
      <w:r>
        <w:t>a</w:t>
      </w:r>
      <w:r>
        <w:t>llidos, uno detrás de otro, como un “tic-tac”, señalando que el segundo fue de mayor intensidad, percibiendo un viento huracanado que provenía de su costado derecho y un calor que lo ahogaba. Agregó que voló por el aire</w:t>
      </w:r>
      <w:r>
        <w:rPr>
          <w:b/>
          <w:bCs/>
        </w:rPr>
        <w:t xml:space="preserve"> </w:t>
      </w:r>
      <w:r>
        <w:t>sintie</w:t>
      </w:r>
      <w:r>
        <w:t>n</w:t>
      </w:r>
      <w:r>
        <w:t>do que su cuerpo se despedazaba, sin p</w:t>
      </w:r>
      <w:r>
        <w:t>o</w:t>
      </w:r>
      <w:r>
        <w:t>der abrir la boca y con los oídos bloqueados; sensación que duró unos segundos hasta que empezó a sentir olor a quemado y a amoníaco.</w:t>
      </w:r>
    </w:p>
    <w:p w:rsidR="00224567" w:rsidRDefault="00224567">
      <w:pPr>
        <w:widowControl w:val="0"/>
      </w:pPr>
      <w:r>
        <w:tab/>
        <w:t>Explicó que cuando logró salir del vehículo se encontraba atontado, con profundos zumbidos, siendo trasladado hasta una esquina, desde donde observó muchos heridos y mutilados, no entendiendo absolutamente nada hasta que advirtió que el edificio de la mutual se había convertido en una montaña de esco</w:t>
      </w:r>
      <w:r>
        <w:t>m</w:t>
      </w:r>
      <w:r>
        <w:t>bros.</w:t>
      </w:r>
    </w:p>
    <w:p w:rsidR="00224567" w:rsidRDefault="00224567">
      <w:pPr>
        <w:widowControl w:val="0"/>
      </w:pPr>
      <w:r>
        <w:tab/>
        <w:t>Bordón fue terminante en señalar que desde su ubicación podía ver la puerta de la m</w:t>
      </w:r>
      <w:r>
        <w:t>u</w:t>
      </w:r>
      <w:r>
        <w:t>tual y que instantes antes de la explosión no obse</w:t>
      </w:r>
      <w:r>
        <w:t>r</w:t>
      </w:r>
      <w:r>
        <w:t xml:space="preserve">vó ningún vehículo que hubiese “encarado la puerta de </w:t>
      </w:r>
      <w:smartTag w:uri="urn:schemas-microsoft-com:office:smarttags" w:element="PersonName">
        <w:smartTagPr>
          <w:attr w:name="ProductID" w:val="la A.M"/>
        </w:smartTagPr>
        <w:r>
          <w:t>la A.M</w:t>
        </w:r>
      </w:smartTag>
      <w:r>
        <w:t>.I.A.” como ta</w:t>
      </w:r>
      <w:r>
        <w:t>m</w:t>
      </w:r>
      <w:r>
        <w:t>poco que hubiera ocurrido algo en forma abrupta que llam</w:t>
      </w:r>
      <w:r>
        <w:t>a</w:t>
      </w:r>
      <w:r>
        <w:t>ra su atención.</w:t>
      </w:r>
    </w:p>
    <w:p w:rsidR="00224567" w:rsidRDefault="00224567">
      <w:pPr>
        <w:widowControl w:val="0"/>
        <w:rPr>
          <w:lang w:val="es-ES_tradnl"/>
        </w:rPr>
      </w:pPr>
      <w:r>
        <w:rPr>
          <w:lang w:val="es-ES_tradnl"/>
        </w:rPr>
        <w:tab/>
        <w:t>Por su parte, Gustavo Alberto Acuña relató que trabajaba en el comercio “Papelería Franc</w:t>
      </w:r>
      <w:r>
        <w:rPr>
          <w:lang w:val="es-ES_tradnl"/>
        </w:rPr>
        <w:t>e</w:t>
      </w:r>
      <w:r>
        <w:rPr>
          <w:lang w:val="es-ES_tradnl"/>
        </w:rPr>
        <w:t xml:space="preserve">sa”, sito en la calle Uriburu, entre Lavalle y Tucumán, a un par de cuadras de </w:t>
      </w:r>
      <w:smartTag w:uri="urn:schemas-microsoft-com:office:smarttags" w:element="PersonName">
        <w:smartTagPr>
          <w:attr w:name="ProductID" w:val="la A.M"/>
        </w:smartTagPr>
        <w:r>
          <w:rPr>
            <w:lang w:val="es-ES_tradnl"/>
          </w:rPr>
          <w:t>la A.M</w:t>
        </w:r>
      </w:smartTag>
      <w:r>
        <w:rPr>
          <w:lang w:val="es-ES_tradnl"/>
        </w:rPr>
        <w:t>.I.A; recordó que aquél 18 de j</w:t>
      </w:r>
      <w:r>
        <w:rPr>
          <w:lang w:val="es-ES_tradnl"/>
        </w:rPr>
        <w:t>u</w:t>
      </w:r>
      <w:r>
        <w:rPr>
          <w:lang w:val="es-ES_tradnl"/>
        </w:rPr>
        <w:t>lio fue a buscar un presupuesto a un comercio de muebles para oficinas ubicado en la misma cuadra de la mutual, donde trabajaba un muchacho de apellido Moragues. Señaló que se dirigió a dicho negocio por Tuc</w:t>
      </w:r>
      <w:r>
        <w:rPr>
          <w:lang w:val="es-ES_tradnl"/>
        </w:rPr>
        <w:t>u</w:t>
      </w:r>
      <w:r>
        <w:rPr>
          <w:lang w:val="es-ES_tradnl"/>
        </w:rPr>
        <w:t xml:space="preserve">mán, pasando frente a </w:t>
      </w:r>
      <w:smartTag w:uri="urn:schemas-microsoft-com:office:smarttags" w:element="PersonName">
        <w:smartTagPr>
          <w:attr w:name="ProductID" w:val="la A.M"/>
        </w:smartTagPr>
        <w:r>
          <w:rPr>
            <w:lang w:val="es-ES_tradnl"/>
          </w:rPr>
          <w:t>la A.M</w:t>
        </w:r>
      </w:smartTag>
      <w:r>
        <w:rPr>
          <w:lang w:val="es-ES_tradnl"/>
        </w:rPr>
        <w:t>.I.A. y como no tenían el presupuesto cruzó e</w:t>
      </w:r>
      <w:r>
        <w:rPr>
          <w:lang w:val="es-ES_tradnl"/>
        </w:rPr>
        <w:t>n</w:t>
      </w:r>
      <w:r>
        <w:rPr>
          <w:lang w:val="es-ES_tradnl"/>
        </w:rPr>
        <w:t>frente, en diagonal, previo mirar a su izquierda que no viniese ningún vehículo, a fin de visitar el kiosco de su amigo Marcelo Fernández; apenas terminó de subir a la v</w:t>
      </w:r>
      <w:r>
        <w:rPr>
          <w:lang w:val="es-ES_tradnl"/>
        </w:rPr>
        <w:t>e</w:t>
      </w:r>
      <w:r>
        <w:rPr>
          <w:lang w:val="es-ES_tradnl"/>
        </w:rPr>
        <w:t xml:space="preserve">reda, a unos </w:t>
      </w:r>
      <w:smartTag w:uri="urn:schemas-microsoft-com:office:smarttags" w:element="metricconverter">
        <w:smartTagPr>
          <w:attr w:name="ProductID" w:val="20 metros"/>
        </w:smartTagPr>
        <w:r>
          <w:rPr>
            <w:lang w:val="es-ES_tradnl"/>
          </w:rPr>
          <w:t>20 metros</w:t>
        </w:r>
      </w:smartTag>
      <w:r>
        <w:rPr>
          <w:lang w:val="es-ES_tradnl"/>
        </w:rPr>
        <w:t xml:space="preserve"> de la esquina de Viamonte y Pa</w:t>
      </w:r>
      <w:r>
        <w:rPr>
          <w:lang w:val="es-ES_tradnl"/>
        </w:rPr>
        <w:t>s</w:t>
      </w:r>
      <w:r>
        <w:rPr>
          <w:lang w:val="es-ES_tradnl"/>
        </w:rPr>
        <w:t>teur, sintió a sus espaldas un estruendo que “duró unos segundos”.</w:t>
      </w:r>
    </w:p>
    <w:p w:rsidR="00224567" w:rsidRDefault="00224567">
      <w:pPr>
        <w:widowControl w:val="0"/>
        <w:rPr>
          <w:lang w:val="es-ES_tradnl"/>
        </w:rPr>
      </w:pPr>
      <w:r>
        <w:rPr>
          <w:lang w:val="es-ES_tradnl"/>
        </w:rPr>
        <w:tab/>
        <w:t>Indicó que en un primer momento pensó que se había caído un balcón, pero al incorpora</w:t>
      </w:r>
      <w:r>
        <w:rPr>
          <w:lang w:val="es-ES_tradnl"/>
        </w:rPr>
        <w:t>r</w:t>
      </w:r>
      <w:r>
        <w:rPr>
          <w:lang w:val="es-ES_tradnl"/>
        </w:rPr>
        <w:t>se y mirar hacia atrás observó escombros a la a</w:t>
      </w:r>
      <w:r>
        <w:rPr>
          <w:lang w:val="es-ES_tradnl"/>
        </w:rPr>
        <w:t>l</w:t>
      </w:r>
      <w:r>
        <w:rPr>
          <w:lang w:val="es-ES_tradnl"/>
        </w:rPr>
        <w:t xml:space="preserve">tura del edificio de </w:t>
      </w:r>
      <w:smartTag w:uri="urn:schemas-microsoft-com:office:smarttags" w:element="PersonName">
        <w:smartTagPr>
          <w:attr w:name="ProductID" w:val="la A.M"/>
        </w:smartTagPr>
        <w:r>
          <w:rPr>
            <w:lang w:val="es-ES_tradnl"/>
          </w:rPr>
          <w:t>la A.M</w:t>
        </w:r>
      </w:smartTag>
      <w:r>
        <w:rPr>
          <w:lang w:val="es-ES_tradnl"/>
        </w:rPr>
        <w:t>.I.A., gente gritando y al padre de Fernández tirado en la calle, advirtie</w:t>
      </w:r>
      <w:r>
        <w:rPr>
          <w:lang w:val="es-ES_tradnl"/>
        </w:rPr>
        <w:t>n</w:t>
      </w:r>
      <w:r>
        <w:rPr>
          <w:lang w:val="es-ES_tradnl"/>
        </w:rPr>
        <w:t>do, además, que un vehículo Peugeot 505 o similar, había quedado parado sobre Pasteur a la a</w:t>
      </w:r>
      <w:r>
        <w:rPr>
          <w:lang w:val="es-ES_tradnl"/>
        </w:rPr>
        <w:t>l</w:t>
      </w:r>
      <w:r>
        <w:rPr>
          <w:lang w:val="es-ES_tradnl"/>
        </w:rPr>
        <w:t>tura de su intersección con Vi</w:t>
      </w:r>
      <w:r>
        <w:rPr>
          <w:lang w:val="es-ES_tradnl"/>
        </w:rPr>
        <w:t>a</w:t>
      </w:r>
      <w:r>
        <w:rPr>
          <w:lang w:val="es-ES_tradnl"/>
        </w:rPr>
        <w:t>monte.</w:t>
      </w:r>
    </w:p>
    <w:p w:rsidR="00224567" w:rsidRDefault="00224567">
      <w:pPr>
        <w:widowControl w:val="0"/>
        <w:rPr>
          <w:lang w:val="es-ES_tradnl"/>
        </w:rPr>
      </w:pPr>
      <w:r>
        <w:rPr>
          <w:lang w:val="es-ES_tradnl"/>
        </w:rPr>
        <w:tab/>
        <w:t>Acuña explicó que como le acab</w:t>
      </w:r>
      <w:r>
        <w:rPr>
          <w:lang w:val="es-ES_tradnl"/>
        </w:rPr>
        <w:t>a</w:t>
      </w:r>
      <w:r>
        <w:rPr>
          <w:lang w:val="es-ES_tradnl"/>
        </w:rPr>
        <w:t>ban de quitar un yeso de una de sus piernas, cruzó Pasteur más bien despacio, “tranquilo”, porque no venía ningún vehíc</w:t>
      </w:r>
      <w:r>
        <w:rPr>
          <w:lang w:val="es-ES_tradnl"/>
        </w:rPr>
        <w:t>u</w:t>
      </w:r>
      <w:r>
        <w:rPr>
          <w:lang w:val="es-ES_tradnl"/>
        </w:rPr>
        <w:t>lo, no habiendo escuchado u observado nada antes de la e</w:t>
      </w:r>
      <w:r>
        <w:rPr>
          <w:lang w:val="es-ES_tradnl"/>
        </w:rPr>
        <w:t>x</w:t>
      </w:r>
      <w:r>
        <w:rPr>
          <w:lang w:val="es-ES_tradnl"/>
        </w:rPr>
        <w:t>plosión que le llamara la atención; sí recordó haber vi</w:t>
      </w:r>
      <w:r>
        <w:rPr>
          <w:lang w:val="es-ES_tradnl"/>
        </w:rPr>
        <w:t>s</w:t>
      </w:r>
      <w:r>
        <w:rPr>
          <w:lang w:val="es-ES_tradnl"/>
        </w:rPr>
        <w:t xml:space="preserve">to, al pasar frente a </w:t>
      </w:r>
      <w:smartTag w:uri="urn:schemas-microsoft-com:office:smarttags" w:element="PersonName">
        <w:smartTagPr>
          <w:attr w:name="ProductID" w:val="la A.M"/>
        </w:smartTagPr>
        <w:r>
          <w:rPr>
            <w:lang w:val="es-ES_tradnl"/>
          </w:rPr>
          <w:t>la A.M</w:t>
        </w:r>
      </w:smartTag>
      <w:r>
        <w:rPr>
          <w:lang w:val="es-ES_tradnl"/>
        </w:rPr>
        <w:t>.I.A., el patrullero “que siempre estaba ahí”, con un policía del lado del acomp</w:t>
      </w:r>
      <w:r>
        <w:rPr>
          <w:lang w:val="es-ES_tradnl"/>
        </w:rPr>
        <w:t>a</w:t>
      </w:r>
      <w:r>
        <w:rPr>
          <w:lang w:val="es-ES_tradnl"/>
        </w:rPr>
        <w:t>ñante, un volquete próximo a la entrada de la mutual y, más adelante, una camioneta de la panificad</w:t>
      </w:r>
      <w:r>
        <w:rPr>
          <w:lang w:val="es-ES_tradnl"/>
        </w:rPr>
        <w:t>o</w:t>
      </w:r>
      <w:r>
        <w:rPr>
          <w:lang w:val="es-ES_tradnl"/>
        </w:rPr>
        <w:t>ra “Sacaan”.</w:t>
      </w:r>
    </w:p>
    <w:p w:rsidR="00224567" w:rsidRDefault="00224567">
      <w:pPr>
        <w:widowControl w:val="0"/>
        <w:rPr>
          <w:lang w:val="es-ES_tradnl"/>
        </w:rPr>
      </w:pPr>
      <w:r>
        <w:rPr>
          <w:lang w:val="es-ES_tradnl"/>
        </w:rPr>
        <w:tab/>
        <w:t>Marcelo Alejandro Fernández, propiet</w:t>
      </w:r>
      <w:r>
        <w:rPr>
          <w:lang w:val="es-ES_tradnl"/>
        </w:rPr>
        <w:t>a</w:t>
      </w:r>
      <w:r>
        <w:rPr>
          <w:lang w:val="es-ES_tradnl"/>
        </w:rPr>
        <w:t>rio del kiosco ubicado en Pasteur 698, corroboró los d</w:t>
      </w:r>
      <w:r>
        <w:rPr>
          <w:lang w:val="es-ES_tradnl"/>
        </w:rPr>
        <w:t>i</w:t>
      </w:r>
      <w:r>
        <w:rPr>
          <w:lang w:val="es-ES_tradnl"/>
        </w:rPr>
        <w:t>chos de Acuña en cuanto a que éste, instantes después de la explosión, entró corriendo a su comercio para avisarle que su padre se encontraba herido en la calle.</w:t>
      </w:r>
    </w:p>
    <w:p w:rsidR="00224567" w:rsidRDefault="00224567">
      <w:pPr>
        <w:widowControl w:val="0"/>
        <w:rPr>
          <w:lang w:val="es-ES_tradnl"/>
        </w:rPr>
      </w:pPr>
      <w:r>
        <w:rPr>
          <w:lang w:val="es-ES_tradnl"/>
        </w:rPr>
        <w:tab/>
        <w:t>Por su parte, Gabriel Alberto Villa</w:t>
      </w:r>
      <w:r>
        <w:rPr>
          <w:lang w:val="es-ES_tradnl"/>
        </w:rPr>
        <w:t>l</w:t>
      </w:r>
      <w:r>
        <w:rPr>
          <w:lang w:val="es-ES_tradnl"/>
        </w:rPr>
        <w:t>ba, que para esa época trabajaba como técnico de la firma de equipamiento odontológico “Nardi y Herrero”</w:t>
      </w:r>
      <w:r>
        <w:rPr>
          <w:b/>
          <w:bCs/>
          <w:lang w:val="es-ES_tradnl"/>
        </w:rPr>
        <w:t>,</w:t>
      </w:r>
      <w:r>
        <w:rPr>
          <w:lang w:val="es-ES_tradnl"/>
        </w:rPr>
        <w:t xml:space="preserve"> ubicada sobre la vereda impar de Pasteur, a la altura del 700, s</w:t>
      </w:r>
      <w:r>
        <w:rPr>
          <w:lang w:val="es-ES_tradnl"/>
        </w:rPr>
        <w:t>e</w:t>
      </w:r>
      <w:r>
        <w:rPr>
          <w:lang w:val="es-ES_tradnl"/>
        </w:rPr>
        <w:t>ñaló que el día del atentado llegó a su tr</w:t>
      </w:r>
      <w:r>
        <w:rPr>
          <w:lang w:val="es-ES_tradnl"/>
        </w:rPr>
        <w:t>a</w:t>
      </w:r>
      <w:r>
        <w:rPr>
          <w:lang w:val="es-ES_tradnl"/>
        </w:rPr>
        <w:t>bajo alrededor de las 8.00, pudiendo advertir en el trayecto a dicho l</w:t>
      </w:r>
      <w:r>
        <w:rPr>
          <w:lang w:val="es-ES_tradnl"/>
        </w:rPr>
        <w:t>u</w:t>
      </w:r>
      <w:r>
        <w:rPr>
          <w:lang w:val="es-ES_tradnl"/>
        </w:rPr>
        <w:t xml:space="preserve">gar, la presencia de un patrullero y de un volquete a uno y otro lado del edificio de </w:t>
      </w:r>
      <w:smartTag w:uri="urn:schemas-microsoft-com:office:smarttags" w:element="PersonName">
        <w:smartTagPr>
          <w:attr w:name="ProductID" w:val="la A.M"/>
        </w:smartTagPr>
        <w:r>
          <w:rPr>
            <w:lang w:val="es-ES_tradnl"/>
          </w:rPr>
          <w:t>la A.M</w:t>
        </w:r>
      </w:smartTag>
      <w:r>
        <w:rPr>
          <w:lang w:val="es-ES_tradnl"/>
        </w:rPr>
        <w:t>.I.A.. Aclaró que solía fijarse en el móvil policial con especial atención en r</w:t>
      </w:r>
      <w:r>
        <w:rPr>
          <w:lang w:val="es-ES_tradnl"/>
        </w:rPr>
        <w:t>a</w:t>
      </w:r>
      <w:r>
        <w:rPr>
          <w:lang w:val="es-ES_tradnl"/>
        </w:rPr>
        <w:t>zón que, al estar siempre estacionado en el mismo lugar, le daba la impresión de que estaba descompuesto, funci</w:t>
      </w:r>
      <w:r>
        <w:rPr>
          <w:lang w:val="es-ES_tradnl"/>
        </w:rPr>
        <w:t>o</w:t>
      </w:r>
      <w:r>
        <w:rPr>
          <w:lang w:val="es-ES_tradnl"/>
        </w:rPr>
        <w:t>nando únicamente como refugio de los policías destinados a la custodia de la mutual y que también reparaba en el vo</w:t>
      </w:r>
      <w:r>
        <w:rPr>
          <w:lang w:val="es-ES_tradnl"/>
        </w:rPr>
        <w:t>l</w:t>
      </w:r>
      <w:r>
        <w:rPr>
          <w:lang w:val="es-ES_tradnl"/>
        </w:rPr>
        <w:t>quete porque le llamaba la atención que siempre estuviese lleno o casi lleno.</w:t>
      </w:r>
    </w:p>
    <w:p w:rsidR="00224567" w:rsidRDefault="00224567">
      <w:pPr>
        <w:widowControl w:val="0"/>
        <w:rPr>
          <w:lang w:val="es-ES_tradnl"/>
        </w:rPr>
      </w:pPr>
      <w:r>
        <w:rPr>
          <w:lang w:val="es-ES_tradnl"/>
        </w:rPr>
        <w:tab/>
        <w:t>Villalba precisó que ese día debía llevar unos equipos odontológicos a un consultorio en la localidad de San Miguel, a cuyo efecto contrató un flete que debió estacionar en doble f</w:t>
      </w:r>
      <w:r>
        <w:rPr>
          <w:lang w:val="es-ES_tradnl"/>
        </w:rPr>
        <w:t>i</w:t>
      </w:r>
      <w:r>
        <w:rPr>
          <w:lang w:val="es-ES_tradnl"/>
        </w:rPr>
        <w:t xml:space="preserve">la. Agregó que esa mañana había poco movimiento vehicular en la zona, circunstancia que en aquel momento relacionó con la veda para circular dispuesta </w:t>
      </w:r>
      <w:r>
        <w:t>para los autos cuyas pate</w:t>
      </w:r>
      <w:r>
        <w:t>n</w:t>
      </w:r>
      <w:r>
        <w:t>tes terminaran en 0 y en 1.</w:t>
      </w:r>
    </w:p>
    <w:p w:rsidR="00224567" w:rsidRDefault="00224567">
      <w:pPr>
        <w:widowControl w:val="0"/>
        <w:rPr>
          <w:lang w:val="es-ES_tradnl"/>
        </w:rPr>
      </w:pPr>
      <w:r>
        <w:rPr>
          <w:lang w:val="es-ES_tradnl"/>
        </w:rPr>
        <w:tab/>
        <w:t>Prosiguió señalando que a eso de las 9.30 comenzaron a cargar los equipos y que, mientras lo hacían, se dedicó a observar que no se hicieran prese</w:t>
      </w:r>
      <w:r>
        <w:rPr>
          <w:lang w:val="es-ES_tradnl"/>
        </w:rPr>
        <w:t>n</w:t>
      </w:r>
      <w:r>
        <w:rPr>
          <w:lang w:val="es-ES_tradnl"/>
        </w:rPr>
        <w:t>tes un policía o alguna de las camionetas Trafic bla</w:t>
      </w:r>
      <w:r>
        <w:rPr>
          <w:lang w:val="es-ES_tradnl"/>
        </w:rPr>
        <w:t>n</w:t>
      </w:r>
      <w:r>
        <w:rPr>
          <w:lang w:val="es-ES_tradnl"/>
        </w:rPr>
        <w:t>cas de la empresa encargada de remover los vehíc</w:t>
      </w:r>
      <w:r>
        <w:rPr>
          <w:lang w:val="es-ES_tradnl"/>
        </w:rPr>
        <w:t>u</w:t>
      </w:r>
      <w:r>
        <w:rPr>
          <w:lang w:val="es-ES_tradnl"/>
        </w:rPr>
        <w:t>los en infracción, en virtud de haber estacionado mal el rod</w:t>
      </w:r>
      <w:r>
        <w:rPr>
          <w:lang w:val="es-ES_tradnl"/>
        </w:rPr>
        <w:t>a</w:t>
      </w:r>
      <w:r>
        <w:rPr>
          <w:lang w:val="es-ES_tradnl"/>
        </w:rPr>
        <w:t>do; agregó que, en ese caso, tenía pensado indicarle al flete que diera una vuelta, para continuar cargando una vez que se march</w:t>
      </w:r>
      <w:r>
        <w:rPr>
          <w:lang w:val="es-ES_tradnl"/>
        </w:rPr>
        <w:t>a</w:t>
      </w:r>
      <w:r>
        <w:rPr>
          <w:lang w:val="es-ES_tradnl"/>
        </w:rPr>
        <w:t>sen.</w:t>
      </w:r>
    </w:p>
    <w:p w:rsidR="00224567" w:rsidRDefault="00224567">
      <w:pPr>
        <w:widowControl w:val="0"/>
      </w:pPr>
      <w:r>
        <w:rPr>
          <w:lang w:val="es-ES_tradnl"/>
        </w:rPr>
        <w:tab/>
        <w:t>Relató</w:t>
      </w:r>
      <w:r>
        <w:t xml:space="preserve"> que ni bien concluyó la ca</w:t>
      </w:r>
      <w:r>
        <w:t>r</w:t>
      </w:r>
      <w:r>
        <w:t>ga, teniendo su mirada en dirección al patrullero apostado frente a la mutual, observó de repente una explosión que salía de la puerta de A.M.I.A., de adentro hacia fuera, que cubría todo, “y una bola de fuego que empi</w:t>
      </w:r>
      <w:r>
        <w:t>e</w:t>
      </w:r>
      <w:r>
        <w:t>za desde el centro hacia la calle...”, pudiendo ver también a una m</w:t>
      </w:r>
      <w:r>
        <w:t>u</w:t>
      </w:r>
      <w:r>
        <w:t>jer que pasaba frente a la mutual en dirección a Viamonte, la que fue alcanzada por la onda expansiva y a un vehículo Volkswagen Passat, al que le explotó el tanque de nafta y que, por la misma onda, fue empujado hacia la esquina de Pasteur y Vi</w:t>
      </w:r>
      <w:r>
        <w:t>a</w:t>
      </w:r>
      <w:r>
        <w:t>monte, cuyo conductor al descender atinaba a moverse “como una marioneta”.</w:t>
      </w:r>
    </w:p>
    <w:p w:rsidR="00224567" w:rsidRDefault="00224567">
      <w:pPr>
        <w:widowControl w:val="0"/>
        <w:rPr>
          <w:lang w:val="es-ES_tradnl"/>
        </w:rPr>
      </w:pPr>
      <w:r>
        <w:tab/>
        <w:t>Indicó que en esos instantes tenía plena conciencia de lo que estaba ocurriendo y que como comenzaron a llover todo tipo de cosas bu</w:t>
      </w:r>
      <w:r>
        <w:t>s</w:t>
      </w:r>
      <w:r>
        <w:t>có</w:t>
      </w:r>
      <w:r>
        <w:rPr>
          <w:lang w:val="es-ES_tradnl"/>
        </w:rPr>
        <w:t xml:space="preserve"> refugio en la cabina de la camioneta, desde donde pudo ver como cayeron, rozándolo, pedazos de lata que más tarde entregó a la ju</w:t>
      </w:r>
      <w:r>
        <w:rPr>
          <w:lang w:val="es-ES_tradnl"/>
        </w:rPr>
        <w:t>s</w:t>
      </w:r>
      <w:r>
        <w:rPr>
          <w:lang w:val="es-ES_tradnl"/>
        </w:rPr>
        <w:t>ticia; tras ello y previendo el caos que se avecinaba, se alejó del lugar. Explicó que al arribar a su domicilio e</w:t>
      </w:r>
      <w:r>
        <w:rPr>
          <w:lang w:val="es-ES_tradnl"/>
        </w:rPr>
        <w:t>s</w:t>
      </w:r>
      <w:r>
        <w:rPr>
          <w:lang w:val="es-ES_tradnl"/>
        </w:rPr>
        <w:t>cuchó en los noticieros numerosos testimonios que, en d</w:t>
      </w:r>
      <w:r>
        <w:rPr>
          <w:lang w:val="es-ES_tradnl"/>
        </w:rPr>
        <w:t>e</w:t>
      </w:r>
      <w:r>
        <w:rPr>
          <w:lang w:val="es-ES_tradnl"/>
        </w:rPr>
        <w:t>finitiva, demostraban que nadie parecía haber visto nada; circunstancia que lo llevó a presentarse en la comisaría cercana a fin de contar lo que había visto, siendo deriv</w:t>
      </w:r>
      <w:r>
        <w:rPr>
          <w:lang w:val="es-ES_tradnl"/>
        </w:rPr>
        <w:t>a</w:t>
      </w:r>
      <w:r>
        <w:rPr>
          <w:lang w:val="es-ES_tradnl"/>
        </w:rPr>
        <w:t>do a una Seccional ubicada por L</w:t>
      </w:r>
      <w:r>
        <w:rPr>
          <w:lang w:val="es-ES_tradnl"/>
        </w:rPr>
        <w:t>a</w:t>
      </w:r>
      <w:r>
        <w:rPr>
          <w:lang w:val="es-ES_tradnl"/>
        </w:rPr>
        <w:t>valle y Callao.</w:t>
      </w:r>
    </w:p>
    <w:p w:rsidR="00224567" w:rsidRDefault="00224567">
      <w:pPr>
        <w:widowControl w:val="0"/>
      </w:pPr>
      <w:r>
        <w:tab/>
        <w:t xml:space="preserve">Respecto a la presencia de vehículos en la cuadra de </w:t>
      </w:r>
      <w:smartTag w:uri="urn:schemas-microsoft-com:office:smarttags" w:element="PersonName">
        <w:smartTagPr>
          <w:attr w:name="ProductID" w:val="la A.M"/>
        </w:smartTagPr>
        <w:r>
          <w:t>la A.M</w:t>
        </w:r>
      </w:smartTag>
      <w:r>
        <w:t>.I.A., Villalba recordó haber visto, además de los ya consignados, una c</w:t>
      </w:r>
      <w:r>
        <w:t>a</w:t>
      </w:r>
      <w:r>
        <w:t>mioneta de reparto de pan “Sacaan” y un auto que e</w:t>
      </w:r>
      <w:r>
        <w:t>s</w:t>
      </w:r>
      <w:r>
        <w:t>taba “adelante del volquete”, cuya marca no recordó, al que estaban “como arreglándolo” y que luego se enteró pertenecía a los electricistas que trabajaban en la mutual.</w:t>
      </w:r>
    </w:p>
    <w:p w:rsidR="00224567" w:rsidRDefault="00224567">
      <w:pPr>
        <w:widowControl w:val="0"/>
      </w:pPr>
      <w:r>
        <w:tab/>
        <w:t>Finalmente, Villalba fue term</w:t>
      </w:r>
      <w:r>
        <w:t>i</w:t>
      </w:r>
      <w:r>
        <w:t>nante al señalar que esa mañana, antes de la explosión, no divisó ningún vehículo subir a la vereda y que luego se estrell</w:t>
      </w:r>
      <w:r>
        <w:t>a</w:t>
      </w:r>
      <w:r>
        <w:t>ra contra el frente del edificio de la mutual, aclarando que, pese a que usaba anteojos por padecer de cansancio visual, gozaba de perfecta visión.</w:t>
      </w:r>
    </w:p>
    <w:p w:rsidR="00224567" w:rsidRDefault="00224567">
      <w:pPr>
        <w:widowControl w:val="0"/>
        <w:rPr>
          <w:lang w:val="es-ES_tradnl"/>
        </w:rPr>
      </w:pPr>
      <w:r>
        <w:rPr>
          <w:lang w:val="es-ES_tradnl"/>
        </w:rPr>
        <w:tab/>
        <w:t>Seguidamente, Daniel Eduardo Joffe d</w:t>
      </w:r>
      <w:r>
        <w:rPr>
          <w:lang w:val="es-ES_tradnl"/>
        </w:rPr>
        <w:t>e</w:t>
      </w:r>
      <w:r>
        <w:rPr>
          <w:lang w:val="es-ES_tradnl"/>
        </w:rPr>
        <w:t xml:space="preserve">claró que en junio de 1994 fue contratado por </w:t>
      </w:r>
      <w:smartTag w:uri="urn:schemas-microsoft-com:office:smarttags" w:element="PersonName">
        <w:smartTagPr>
          <w:attr w:name="ProductID" w:val="la A.M"/>
        </w:smartTagPr>
        <w:r>
          <w:rPr>
            <w:lang w:val="es-ES_tradnl"/>
          </w:rPr>
          <w:t>la A.M</w:t>
        </w:r>
      </w:smartTag>
      <w:r>
        <w:rPr>
          <w:lang w:val="es-ES_tradnl"/>
        </w:rPr>
        <w:t>.I.A. para realizar trabajos de electromecán</w:t>
      </w:r>
      <w:r>
        <w:rPr>
          <w:lang w:val="es-ES_tradnl"/>
        </w:rPr>
        <w:t>i</w:t>
      </w:r>
      <w:r>
        <w:rPr>
          <w:lang w:val="es-ES_tradnl"/>
        </w:rPr>
        <w:t>ca en general, las que realizaba juntamente con Víctor Gabriel Buttini y Fe</w:t>
      </w:r>
      <w:r>
        <w:rPr>
          <w:lang w:val="es-ES_tradnl"/>
        </w:rPr>
        <w:t>r</w:t>
      </w:r>
      <w:r>
        <w:rPr>
          <w:lang w:val="es-ES_tradnl"/>
        </w:rPr>
        <w:t>nando Roberto Pérez, fallecidos a raíz del atentado; co</w:t>
      </w:r>
      <w:r>
        <w:rPr>
          <w:lang w:val="es-ES_tradnl"/>
        </w:rPr>
        <w:t>n</w:t>
      </w:r>
      <w:r>
        <w:rPr>
          <w:lang w:val="es-ES_tradnl"/>
        </w:rPr>
        <w:t>trato que, a más de reparaciones en el sistema eléctrico incluía algunas tareas de plomería y mantenimiento del edificio. Aclaró que no concurrían todos los días sino cuando eran requeridos por la entidad, que lo hacía por intermedio del arquitecto Alejandro Weicman, que era su contacto con la mutual.</w:t>
      </w:r>
    </w:p>
    <w:p w:rsidR="00224567" w:rsidRDefault="00224567">
      <w:pPr>
        <w:widowControl w:val="0"/>
        <w:rPr>
          <w:lang w:val="es-ES_tradnl"/>
        </w:rPr>
      </w:pPr>
      <w:r>
        <w:rPr>
          <w:lang w:val="es-ES_tradnl"/>
        </w:rPr>
        <w:tab/>
        <w:t xml:space="preserve">Recordó que el 18 de julio, en horas tempranas de la mañana, se dirigió a </w:t>
      </w:r>
      <w:smartTag w:uri="urn:schemas-microsoft-com:office:smarttags" w:element="PersonName">
        <w:smartTagPr>
          <w:attr w:name="ProductID" w:val="la A.M"/>
        </w:smartTagPr>
        <w:r>
          <w:rPr>
            <w:lang w:val="es-ES_tradnl"/>
          </w:rPr>
          <w:t>la A.M</w:t>
        </w:r>
      </w:smartTag>
      <w:r>
        <w:rPr>
          <w:lang w:val="es-ES_tradnl"/>
        </w:rPr>
        <w:t>.I.A. junto con sus compañeros, por cuanto le habían encome</w:t>
      </w:r>
      <w:r>
        <w:rPr>
          <w:lang w:val="es-ES_tradnl"/>
        </w:rPr>
        <w:t>n</w:t>
      </w:r>
      <w:r>
        <w:rPr>
          <w:lang w:val="es-ES_tradnl"/>
        </w:rPr>
        <w:t>dado una serie de trabajos en los sectores de presidencia y tesorería y que al llegar al lugar observó que un c</w:t>
      </w:r>
      <w:r>
        <w:rPr>
          <w:lang w:val="es-ES_tradnl"/>
        </w:rPr>
        <w:t>a</w:t>
      </w:r>
      <w:r>
        <w:rPr>
          <w:lang w:val="es-ES_tradnl"/>
        </w:rPr>
        <w:t>mión, a la altura de la puerta de ingreso, se encontr</w:t>
      </w:r>
      <w:r>
        <w:rPr>
          <w:lang w:val="es-ES_tradnl"/>
        </w:rPr>
        <w:t>a</w:t>
      </w:r>
      <w:r>
        <w:rPr>
          <w:lang w:val="es-ES_tradnl"/>
        </w:rPr>
        <w:t xml:space="preserve">ba bajando volquetes, por lo que avanzó lentamente hasta unos 10 ó </w:t>
      </w:r>
      <w:smartTag w:uri="urn:schemas-microsoft-com:office:smarttags" w:element="metricconverter">
        <w:smartTagPr>
          <w:attr w:name="ProductID" w:val="15 m"/>
        </w:smartTagPr>
        <w:r>
          <w:rPr>
            <w:lang w:val="es-ES_tradnl"/>
          </w:rPr>
          <w:t>15 m</w:t>
        </w:r>
      </w:smartTag>
      <w:r>
        <w:rPr>
          <w:lang w:val="es-ES_tradnl"/>
        </w:rPr>
        <w:t xml:space="preserve"> de la entrada, donde se detuvo para descargar sus herr</w:t>
      </w:r>
      <w:r>
        <w:rPr>
          <w:lang w:val="es-ES_tradnl"/>
        </w:rPr>
        <w:t>a</w:t>
      </w:r>
      <w:r>
        <w:rPr>
          <w:lang w:val="es-ES_tradnl"/>
        </w:rPr>
        <w:t>mientas, “casi delante” del patrullero, uno de cuyo ocupantes lo autorizó previamente con un gesto. Joffe precisó que en ese mome</w:t>
      </w:r>
      <w:r>
        <w:rPr>
          <w:lang w:val="es-ES_tradnl"/>
        </w:rPr>
        <w:t>n</w:t>
      </w:r>
      <w:r>
        <w:rPr>
          <w:lang w:val="es-ES_tradnl"/>
        </w:rPr>
        <w:t>to, miró su reloj; eran las 9.45.</w:t>
      </w:r>
    </w:p>
    <w:p w:rsidR="00224567" w:rsidRDefault="00224567">
      <w:pPr>
        <w:widowControl w:val="0"/>
      </w:pPr>
      <w:r>
        <w:tab/>
        <w:t>Relató que descendieron los tres del auto y tras descargar los materiales y las herr</w:t>
      </w:r>
      <w:r>
        <w:t>a</w:t>
      </w:r>
      <w:r>
        <w:t>mientas le indicó a Gabriel Buttini que iría a estacionar sobre la calle Tucumán, calculando que pese a ello los reencontr</w:t>
      </w:r>
      <w:r>
        <w:t>a</w:t>
      </w:r>
      <w:r>
        <w:t>ría en el hall del edif</w:t>
      </w:r>
      <w:r>
        <w:t>i</w:t>
      </w:r>
      <w:r>
        <w:t>cio, en razón que iban a demorarse en el sector de vigilancia, donde les revis</w:t>
      </w:r>
      <w:r>
        <w:t>a</w:t>
      </w:r>
      <w:r>
        <w:t>ban los bultos y las c</w:t>
      </w:r>
      <w:r>
        <w:t>a</w:t>
      </w:r>
      <w:r>
        <w:t>jas.</w:t>
      </w:r>
    </w:p>
    <w:p w:rsidR="00224567" w:rsidRDefault="00224567">
      <w:pPr>
        <w:widowControl w:val="0"/>
      </w:pPr>
      <w:r>
        <w:tab/>
        <w:t>Indicó que al reiniciar su marcha el camión de los volquetes no se encontraba más y que, a los pocos metros, el motor de su rodado se detuvo por probl</w:t>
      </w:r>
      <w:r>
        <w:t>e</w:t>
      </w:r>
      <w:r>
        <w:t>mas de combustible, por lo que intentó acercarlo lo más posible a la acera, deteniéndose finalmente adelante de una camioneta “Fiorino” o similar, blanca, con un logot</w:t>
      </w:r>
      <w:r>
        <w:t>i</w:t>
      </w:r>
      <w:r>
        <w:t>po celeste semejante al de las empresas “Aguas Argentinas” o “Telefónica de Argentina”, que estaba d</w:t>
      </w:r>
      <w:r>
        <w:t>e</w:t>
      </w:r>
      <w:r>
        <w:t xml:space="preserve">tenida pasando la entrada de </w:t>
      </w:r>
      <w:smartTag w:uri="urn:schemas-microsoft-com:office:smarttags" w:element="PersonName">
        <w:smartTagPr>
          <w:attr w:name="ProductID" w:val="la A.M"/>
        </w:smartTagPr>
        <w:r>
          <w:t>la A.M</w:t>
        </w:r>
      </w:smartTag>
      <w:r>
        <w:t>.I.A.. Precisó que su vehículo quedó e</w:t>
      </w:r>
      <w:r>
        <w:t>s</w:t>
      </w:r>
      <w:r>
        <w:t>tacionado formando un ángulo de aproximadamente 10 ó 15 grados con respecto a la acera.</w:t>
      </w:r>
    </w:p>
    <w:p w:rsidR="00224567" w:rsidRDefault="00224567">
      <w:pPr>
        <w:widowControl w:val="0"/>
        <w:rPr>
          <w:lang w:val="es-ES_tradnl"/>
        </w:rPr>
      </w:pPr>
      <w:r>
        <w:rPr>
          <w:lang w:val="es-ES_tradnl"/>
        </w:rPr>
        <w:tab/>
        <w:t>Explicó que al descender del rodado volvió a solicitarle al personal del patrullero, también mediante señas, permanecer en el lugar, advirtie</w:t>
      </w:r>
      <w:r>
        <w:rPr>
          <w:lang w:val="es-ES_tradnl"/>
        </w:rPr>
        <w:t>n</w:t>
      </w:r>
      <w:r>
        <w:rPr>
          <w:lang w:val="es-ES_tradnl"/>
        </w:rPr>
        <w:t>do en esa oportunidad que se encontraba uno solo de los efectivos, ubicado en el asiento del conductor; luego levantó el c</w:t>
      </w:r>
      <w:r>
        <w:rPr>
          <w:lang w:val="es-ES_tradnl"/>
        </w:rPr>
        <w:t>a</w:t>
      </w:r>
      <w:r>
        <w:rPr>
          <w:lang w:val="es-ES_tradnl"/>
        </w:rPr>
        <w:t>pó, cuya apertura se producía hacia delante e incliná</w:t>
      </w:r>
      <w:r>
        <w:rPr>
          <w:lang w:val="es-ES_tradnl"/>
        </w:rPr>
        <w:t>n</w:t>
      </w:r>
      <w:r>
        <w:rPr>
          <w:lang w:val="es-ES_tradnl"/>
        </w:rPr>
        <w:t>dose sobre el motor intentó cruzar los cables de las bujías p</w:t>
      </w:r>
      <w:r>
        <w:rPr>
          <w:lang w:val="es-ES_tradnl"/>
        </w:rPr>
        <w:t>a</w:t>
      </w:r>
      <w:r>
        <w:rPr>
          <w:lang w:val="es-ES_tradnl"/>
        </w:rPr>
        <w:t>ra provocar una pequeña explosión en el carburador; reco</w:t>
      </w:r>
      <w:r>
        <w:rPr>
          <w:lang w:val="es-ES_tradnl"/>
        </w:rPr>
        <w:t>r</w:t>
      </w:r>
      <w:r>
        <w:rPr>
          <w:lang w:val="es-ES_tradnl"/>
        </w:rPr>
        <w:t xml:space="preserve">dó que cada tanto, a través del parabrisas, miraba hacia su derecha en dirección a </w:t>
      </w:r>
      <w:smartTag w:uri="urn:schemas-microsoft-com:office:smarttags" w:element="PersonName">
        <w:smartTagPr>
          <w:attr w:name="ProductID" w:val="la A.M"/>
        </w:smartTagPr>
        <w:r>
          <w:rPr>
            <w:lang w:val="es-ES_tradnl"/>
          </w:rPr>
          <w:t>la A.M</w:t>
        </w:r>
      </w:smartTag>
      <w:r>
        <w:rPr>
          <w:lang w:val="es-ES_tradnl"/>
        </w:rPr>
        <w:t>.I.A. a fin de ver si ap</w:t>
      </w:r>
      <w:r>
        <w:rPr>
          <w:lang w:val="es-ES_tradnl"/>
        </w:rPr>
        <w:t>a</w:t>
      </w:r>
      <w:r>
        <w:rPr>
          <w:lang w:val="es-ES_tradnl"/>
        </w:rPr>
        <w:t>recía Buttini, quien poseía conocimientos de mecán</w:t>
      </w:r>
      <w:r>
        <w:rPr>
          <w:lang w:val="es-ES_tradnl"/>
        </w:rPr>
        <w:t>i</w:t>
      </w:r>
      <w:r>
        <w:rPr>
          <w:lang w:val="es-ES_tradnl"/>
        </w:rPr>
        <w:t>ca. Fue precisamente al bajar la vista hacia el motor, después de una de estas miradas, que se produjo la expl</w:t>
      </w:r>
      <w:r>
        <w:rPr>
          <w:lang w:val="es-ES_tradnl"/>
        </w:rPr>
        <w:t>o</w:t>
      </w:r>
      <w:r>
        <w:rPr>
          <w:lang w:val="es-ES_tradnl"/>
        </w:rPr>
        <w:t>sión. Luego, una llamarada se le vino encima, quedando su vehículo cr</w:t>
      </w:r>
      <w:r>
        <w:rPr>
          <w:lang w:val="es-ES_tradnl"/>
        </w:rPr>
        <w:t>u</w:t>
      </w:r>
      <w:r>
        <w:rPr>
          <w:lang w:val="es-ES_tradnl"/>
        </w:rPr>
        <w:t>zado en la calle al tiempo que él quedó tendido, a unos metros, cerca del cordón de la vereda; al intentar inco</w:t>
      </w:r>
      <w:r>
        <w:rPr>
          <w:lang w:val="es-ES_tradnl"/>
        </w:rPr>
        <w:t>r</w:t>
      </w:r>
      <w:r>
        <w:rPr>
          <w:lang w:val="es-ES_tradnl"/>
        </w:rPr>
        <w:t>porarse sintió que sus pies no lo sostenían, cayendo de rodillas, siendo luego trasladado al Hospital de Clínicas.</w:t>
      </w:r>
    </w:p>
    <w:p w:rsidR="00224567" w:rsidRDefault="00224567">
      <w:pPr>
        <w:widowControl w:val="0"/>
      </w:pPr>
      <w:r>
        <w:tab/>
        <w:t>Joffe también dio cuenta de la prese</w:t>
      </w:r>
      <w:r>
        <w:t>n</w:t>
      </w:r>
      <w:r>
        <w:t xml:space="preserve">cia en el lugar de un camión de reparto de pan “Sacaan”, estacionado sobre la cuadra de </w:t>
      </w:r>
      <w:smartTag w:uri="urn:schemas-microsoft-com:office:smarttags" w:element="PersonName">
        <w:smartTagPr>
          <w:attr w:name="ProductID" w:val="la A.M"/>
        </w:smartTagPr>
        <w:r>
          <w:t>la A.M</w:t>
        </w:r>
      </w:smartTag>
      <w:r>
        <w:t>.I.A., a la vez que aclaró que la camioneta tipo “Fiorino” se había alejado breve tiempo antes. Asimismo, refirió que en esas circun</w:t>
      </w:r>
      <w:r>
        <w:t>s</w:t>
      </w:r>
      <w:r>
        <w:t>tancias podía escuchar el paso de los automotores. “Esc</w:t>
      </w:r>
      <w:r>
        <w:t>u</w:t>
      </w:r>
      <w:r>
        <w:t>ché colect</w:t>
      </w:r>
      <w:r>
        <w:t>i</w:t>
      </w:r>
      <w:r>
        <w:t>vos..., momentos antes algún taxi o algo por el estilo...”, expresó Joffe, no recordando haber visto ci</w:t>
      </w:r>
      <w:r>
        <w:t>r</w:t>
      </w:r>
      <w:r>
        <w:t>culando por Pasteur, antes de la explosión, un rodado Tr</w:t>
      </w:r>
      <w:r>
        <w:t>a</w:t>
      </w:r>
      <w:r>
        <w:t xml:space="preserve">fic o similar ni a vehículo alguno que, desplazándose por esa arteria, arremetiera contra la entrada de </w:t>
      </w:r>
      <w:smartTag w:uri="urn:schemas-microsoft-com:office:smarttags" w:element="PersonName">
        <w:smartTagPr>
          <w:attr w:name="ProductID" w:val="la A.M"/>
        </w:smartTagPr>
        <w:r>
          <w:t>la A.M</w:t>
        </w:r>
      </w:smartTag>
      <w:r>
        <w:t xml:space="preserve">.I.A.. Agregó: “Las dos cosas últimas que yo tengo memoria son auditivas y una es un vehículo pesado, como un colectivo, que pasa detrás mío, y una persona que camina (...) por la vereda de </w:t>
      </w:r>
      <w:smartTag w:uri="urn:schemas-microsoft-com:office:smarttags" w:element="PersonName">
        <w:smartTagPr>
          <w:attr w:name="ProductID" w:val="la A.M"/>
        </w:smartTagPr>
        <w:r>
          <w:t>la A.M</w:t>
        </w:r>
      </w:smartTag>
      <w:r>
        <w:t xml:space="preserve">.I.A. (...) hacia </w:t>
      </w:r>
      <w:smartTag w:uri="urn:schemas-microsoft-com:office:smarttags" w:element="PersonName">
        <w:smartTagPr>
          <w:attr w:name="ProductID" w:val="la A.M"/>
        </w:smartTagPr>
        <w:r>
          <w:t>la A.M</w:t>
        </w:r>
      </w:smartTag>
      <w:r>
        <w:t>.I.A. (...). Esc</w:t>
      </w:r>
      <w:r>
        <w:t>u</w:t>
      </w:r>
      <w:r>
        <w:t>chaba muy bien los pasos...” (sic).</w:t>
      </w:r>
    </w:p>
    <w:p w:rsidR="00224567" w:rsidRDefault="00224567">
      <w:pPr>
        <w:widowControl w:val="0"/>
      </w:pPr>
      <w:r>
        <w:tab/>
        <w:t>Joffe también memoró que mientras se hallaba reparando su vehículo observó a unos obreros de</w:t>
      </w:r>
      <w:r>
        <w:t>s</w:t>
      </w:r>
      <w:r>
        <w:t>cargando en el volquete, pudiendo escuchar el ruido que producía dicha labor, como también a un barrendero que, parado en forma paralela a la línea de su auto, arrojaba dentro del volquete “algo pequeño..., algunas cosas pequ</w:t>
      </w:r>
      <w:r>
        <w:t>e</w:t>
      </w:r>
      <w:r>
        <w:t>ñas”.</w:t>
      </w:r>
    </w:p>
    <w:p w:rsidR="00224567" w:rsidRDefault="00224567">
      <w:pPr>
        <w:widowControl w:val="0"/>
      </w:pPr>
      <w:r>
        <w:tab/>
        <w:t xml:space="preserve">En otro orden de cosas, refirió que en razón de sus tareas tuvo ocasión de entrar alrededor de cinco veces al edificio de </w:t>
      </w:r>
      <w:smartTag w:uri="urn:schemas-microsoft-com:office:smarttags" w:element="PersonName">
        <w:smartTagPr>
          <w:attr w:name="ProductID" w:val="la A.M"/>
        </w:smartTagPr>
        <w:r>
          <w:t>la A.M</w:t>
        </w:r>
      </w:smartTag>
      <w:r>
        <w:t>.I.A., describiendo como “correcto, conciso, muy respetuoso pero meticuloso” el control que se efectuaba a su ingreso, para lo cual era obligación exhibir el documento de identidad, a las vez que se revisaba el interior de las carteras o bultos que se po</w:t>
      </w:r>
      <w:r>
        <w:t>r</w:t>
      </w:r>
      <w:r>
        <w:t>taban.</w:t>
      </w:r>
    </w:p>
    <w:p w:rsidR="00224567" w:rsidRDefault="00224567">
      <w:pPr>
        <w:widowControl w:val="0"/>
        <w:rPr>
          <w:lang w:val="es-ES_tradnl"/>
        </w:rPr>
      </w:pPr>
      <w:r>
        <w:rPr>
          <w:lang w:val="es-ES_tradnl"/>
        </w:rPr>
        <w:tab/>
        <w:t>Por su parte, Rosa Montano de Barre</w:t>
      </w:r>
      <w:r>
        <w:rPr>
          <w:lang w:val="es-ES_tradnl"/>
        </w:rPr>
        <w:t>i</w:t>
      </w:r>
      <w:r>
        <w:rPr>
          <w:lang w:val="es-ES_tradnl"/>
        </w:rPr>
        <w:t>ros señaló que en la mañana del atentado se dirigía al Hospital de Clínicas junto con su hijo S</w:t>
      </w:r>
      <w:r>
        <w:rPr>
          <w:lang w:val="es-ES_tradnl"/>
        </w:rPr>
        <w:t>e</w:t>
      </w:r>
      <w:r>
        <w:rPr>
          <w:lang w:val="es-ES_tradnl"/>
        </w:rPr>
        <w:t>bastián, de cinco años de edad, para lo cual se trasladó con el subterráneo de la línea “B” hasta Corrientes y Pasteur, para luego proseguir a pie por la vereda impar de esta última art</w:t>
      </w:r>
      <w:r>
        <w:rPr>
          <w:lang w:val="es-ES_tradnl"/>
        </w:rPr>
        <w:t>e</w:t>
      </w:r>
      <w:r>
        <w:rPr>
          <w:lang w:val="es-ES_tradnl"/>
        </w:rPr>
        <w:t>ria; tras cruzar Tucumán se detuvieron fre</w:t>
      </w:r>
      <w:r>
        <w:rPr>
          <w:lang w:val="es-ES_tradnl"/>
        </w:rPr>
        <w:t>n</w:t>
      </w:r>
      <w:r>
        <w:rPr>
          <w:lang w:val="es-ES_tradnl"/>
        </w:rPr>
        <w:t>te a un negocio de indumentaria, oportunidad en la que observó la prese</w:t>
      </w:r>
      <w:r>
        <w:rPr>
          <w:lang w:val="es-ES_tradnl"/>
        </w:rPr>
        <w:t>n</w:t>
      </w:r>
      <w:r>
        <w:rPr>
          <w:lang w:val="es-ES_tradnl"/>
        </w:rPr>
        <w:t>cia de un patrullero que se encontraba sin ocupantes y luego continuaron su camino, haciéndolo el pequeño del l</w:t>
      </w:r>
      <w:r>
        <w:rPr>
          <w:lang w:val="es-ES_tradnl"/>
        </w:rPr>
        <w:t>a</w:t>
      </w:r>
      <w:r>
        <w:rPr>
          <w:lang w:val="es-ES_tradnl"/>
        </w:rPr>
        <w:t>do de la línea de edificación. Luego de pasar junto al vehículo policial, la testigo recordó haberse sobresaltado por el ruido muy fuerte que provocaron unos escombros al ser arrojados en el i</w:t>
      </w:r>
      <w:r>
        <w:rPr>
          <w:lang w:val="es-ES_tradnl"/>
        </w:rPr>
        <w:t>n</w:t>
      </w:r>
      <w:r>
        <w:rPr>
          <w:lang w:val="es-ES_tradnl"/>
        </w:rPr>
        <w:t>terior de un volquete que, a juzgar por el fuerte “ruido a lata”, debía de estar vacío. Relató que en ese momento a su hijo le llamó la atención la pr</w:t>
      </w:r>
      <w:r>
        <w:rPr>
          <w:lang w:val="es-ES_tradnl"/>
        </w:rPr>
        <w:t>e</w:t>
      </w:r>
      <w:r>
        <w:rPr>
          <w:lang w:val="es-ES_tradnl"/>
        </w:rPr>
        <w:t>sencia de un auto est</w:t>
      </w:r>
      <w:r>
        <w:rPr>
          <w:lang w:val="es-ES_tradnl"/>
        </w:rPr>
        <w:t>a</w:t>
      </w:r>
      <w:r>
        <w:rPr>
          <w:lang w:val="es-ES_tradnl"/>
        </w:rPr>
        <w:t>cionado en doble fila, con sus luces encendidas y el capó levantado, cuyo conductor iba y v</w:t>
      </w:r>
      <w:r>
        <w:rPr>
          <w:lang w:val="es-ES_tradnl"/>
        </w:rPr>
        <w:t>e</w:t>
      </w:r>
      <w:r>
        <w:rPr>
          <w:lang w:val="es-ES_tradnl"/>
        </w:rPr>
        <w:t>nía del motor al interior del auto, por lo que le explicó que debía tener algún desperfecto; ni bien dijo esto, se pr</w:t>
      </w:r>
      <w:r>
        <w:rPr>
          <w:lang w:val="es-ES_tradnl"/>
        </w:rPr>
        <w:t>o</w:t>
      </w:r>
      <w:r>
        <w:rPr>
          <w:lang w:val="es-ES_tradnl"/>
        </w:rPr>
        <w:t>dujo la explosión.</w:t>
      </w:r>
    </w:p>
    <w:p w:rsidR="00224567" w:rsidRDefault="00224567">
      <w:pPr>
        <w:widowControl w:val="0"/>
        <w:rPr>
          <w:lang w:val="es-ES_tradnl"/>
        </w:rPr>
      </w:pPr>
      <w:r>
        <w:rPr>
          <w:lang w:val="es-ES_tradnl"/>
        </w:rPr>
        <w:tab/>
        <w:t>Tras ello sintió que un viento muy fuerte “le arrancaba al niño de las manos, la levantaba, empujándola, impidiéndole mirar hacia atrás...”, sin poder mover ni girar la cabeza, a la vez que sentía que no podía respirar ni escuchar a</w:t>
      </w:r>
      <w:r>
        <w:rPr>
          <w:lang w:val="es-ES_tradnl"/>
        </w:rPr>
        <w:t>b</w:t>
      </w:r>
      <w:r>
        <w:rPr>
          <w:lang w:val="es-ES_tradnl"/>
        </w:rPr>
        <w:t>solutamente nada; “cuando me suelta este viento, r</w:t>
      </w:r>
      <w:r>
        <w:rPr>
          <w:lang w:val="es-ES_tradnl"/>
        </w:rPr>
        <w:t>e</w:t>
      </w:r>
      <w:r>
        <w:rPr>
          <w:lang w:val="es-ES_tradnl"/>
        </w:rPr>
        <w:t>lató, recuerdo que sentí que tenía algo en la espa</w:t>
      </w:r>
      <w:r>
        <w:rPr>
          <w:lang w:val="es-ES_tradnl"/>
        </w:rPr>
        <w:t>l</w:t>
      </w:r>
      <w:r>
        <w:rPr>
          <w:lang w:val="es-ES_tradnl"/>
        </w:rPr>
        <w:t>da, que me lo quería sacar y no podía, entonces me arrodillé y se cae una chapa azul. Me levanto para ver dónde estaba mi hijo y mi hijo estaba sólo a un metro, un metro y medio detrás mío. Había otras dos personas ahí, recuerdo un señor que estaba tirado a medio metro de donde estaba mi hijo, más o menos. Y bueno, me agarró la dese</w:t>
      </w:r>
      <w:r>
        <w:rPr>
          <w:lang w:val="es-ES_tradnl"/>
        </w:rPr>
        <w:t>s</w:t>
      </w:r>
      <w:r>
        <w:rPr>
          <w:lang w:val="es-ES_tradnl"/>
        </w:rPr>
        <w:t>peración de querer levantar a mi hijo, querer hacerlo reaccionar y no poder hacerlo; quería levantarlo y no s</w:t>
      </w:r>
      <w:r>
        <w:rPr>
          <w:lang w:val="es-ES_tradnl"/>
        </w:rPr>
        <w:t>a</w:t>
      </w:r>
      <w:r>
        <w:rPr>
          <w:lang w:val="es-ES_tradnl"/>
        </w:rPr>
        <w:t>bía por qué no p</w:t>
      </w:r>
      <w:r>
        <w:rPr>
          <w:lang w:val="es-ES_tradnl"/>
        </w:rPr>
        <w:t>o</w:t>
      </w:r>
      <w:r>
        <w:rPr>
          <w:lang w:val="es-ES_tradnl"/>
        </w:rPr>
        <w:t>día. Me arrodillé y empecé a gritar para que me ayudaran, a pedir auxilio..., sigo arrodillada tr</w:t>
      </w:r>
      <w:r>
        <w:rPr>
          <w:lang w:val="es-ES_tradnl"/>
        </w:rPr>
        <w:t>a</w:t>
      </w:r>
      <w:r>
        <w:rPr>
          <w:lang w:val="es-ES_tradnl"/>
        </w:rPr>
        <w:t>tando de levantarlo y un brazo no me respondía y yo no s</w:t>
      </w:r>
      <w:r>
        <w:rPr>
          <w:lang w:val="es-ES_tradnl"/>
        </w:rPr>
        <w:t>a</w:t>
      </w:r>
      <w:r>
        <w:rPr>
          <w:lang w:val="es-ES_tradnl"/>
        </w:rPr>
        <w:t>bía por qué, pero bueno, lo seguía intentando...” (sic).</w:t>
      </w:r>
    </w:p>
    <w:p w:rsidR="00224567" w:rsidRDefault="00224567">
      <w:pPr>
        <w:widowControl w:val="0"/>
        <w:rPr>
          <w:lang w:val="es-ES_tradnl"/>
        </w:rPr>
      </w:pPr>
      <w:r>
        <w:rPr>
          <w:lang w:val="es-ES_tradnl"/>
        </w:rPr>
        <w:tab/>
        <w:t>Agregó que miró hacia la esquina y vio a una chica de guardapolvo celeste a quien le pidió a gr</w:t>
      </w:r>
      <w:r>
        <w:rPr>
          <w:lang w:val="es-ES_tradnl"/>
        </w:rPr>
        <w:t>i</w:t>
      </w:r>
      <w:r>
        <w:rPr>
          <w:lang w:val="es-ES_tradnl"/>
        </w:rPr>
        <w:t>tos que la auxiliara, manifestándole que iría por ayuda; luego un muchacho levantó a su hijo en brazos y se dirigió rápidamente hacia el Hospital de Clínicas, intentando ir tras él, logrando llegar hasta la esquina donde un policía y otro señor la subieron a una cami</w:t>
      </w:r>
      <w:r>
        <w:rPr>
          <w:lang w:val="es-ES_tradnl"/>
        </w:rPr>
        <w:t>o</w:t>
      </w:r>
      <w:r>
        <w:rPr>
          <w:lang w:val="es-ES_tradnl"/>
        </w:rPr>
        <w:t>neta en cuyo interior estaban los cuerpos de las dos personas –una mujer y un hombre- que instantes antes había visto tiradas en la c</w:t>
      </w:r>
      <w:r>
        <w:rPr>
          <w:lang w:val="es-ES_tradnl"/>
        </w:rPr>
        <w:t>a</w:t>
      </w:r>
      <w:r>
        <w:rPr>
          <w:lang w:val="es-ES_tradnl"/>
        </w:rPr>
        <w:t>lle, próximas a su hijo.</w:t>
      </w:r>
    </w:p>
    <w:p w:rsidR="00224567" w:rsidRDefault="00224567">
      <w:pPr>
        <w:widowControl w:val="0"/>
        <w:rPr>
          <w:lang w:val="es-ES_tradnl"/>
        </w:rPr>
      </w:pPr>
      <w:r>
        <w:rPr>
          <w:lang w:val="es-ES_tradnl"/>
        </w:rPr>
        <w:tab/>
        <w:t>Agregó que una vez en el Hospital de Clínicas reparó que su brazo derecho estaba muy ma</w:t>
      </w:r>
      <w:r>
        <w:rPr>
          <w:lang w:val="es-ES_tradnl"/>
        </w:rPr>
        <w:t>l</w:t>
      </w:r>
      <w:r>
        <w:rPr>
          <w:lang w:val="es-ES_tradnl"/>
        </w:rPr>
        <w:t>herido, con una fractura expuesta, comprendiendo, entonces, por qué no había podido levantar a su hijo; a la noche, luego de una intervención quirúrgica de varias horas, le comun</w:t>
      </w:r>
      <w:r>
        <w:rPr>
          <w:lang w:val="es-ES_tradnl"/>
        </w:rPr>
        <w:t>i</w:t>
      </w:r>
      <w:r>
        <w:rPr>
          <w:lang w:val="es-ES_tradnl"/>
        </w:rPr>
        <w:t>caron que su pequeño hijo había fall</w:t>
      </w:r>
      <w:r>
        <w:rPr>
          <w:lang w:val="es-ES_tradnl"/>
        </w:rPr>
        <w:t>e</w:t>
      </w:r>
      <w:r>
        <w:rPr>
          <w:lang w:val="es-ES_tradnl"/>
        </w:rPr>
        <w:t>cido.</w:t>
      </w:r>
    </w:p>
    <w:p w:rsidR="00224567" w:rsidRDefault="00224567">
      <w:pPr>
        <w:widowControl w:val="0"/>
        <w:rPr>
          <w:lang w:val="es-ES_tradnl"/>
        </w:rPr>
      </w:pPr>
      <w:r>
        <w:rPr>
          <w:lang w:val="es-ES_tradnl"/>
        </w:rPr>
        <w:tab/>
        <w:t>Refirió, además, que previo a la e</w:t>
      </w:r>
      <w:r>
        <w:rPr>
          <w:lang w:val="es-ES_tradnl"/>
        </w:rPr>
        <w:t>x</w:t>
      </w:r>
      <w:r>
        <w:rPr>
          <w:lang w:val="es-ES_tradnl"/>
        </w:rPr>
        <w:t>plosión no escuchó que un vehículo haya ingresado velo</w:t>
      </w:r>
      <w:r>
        <w:rPr>
          <w:lang w:val="es-ES_tradnl"/>
        </w:rPr>
        <w:t>z</w:t>
      </w:r>
      <w:r>
        <w:rPr>
          <w:lang w:val="es-ES_tradnl"/>
        </w:rPr>
        <w:t xml:space="preserve">mente por la calle Pasteur ni un chirrido de neumáticos, como tampoco que dos automotores colisionaran o rozaran contra algo; de haberlo oído, aclaró la testigo, habría atinado a proteger a su hijo, afirmando que durante su trayecto por la vereda de la cuadra de </w:t>
      </w:r>
      <w:smartTag w:uri="urn:schemas-microsoft-com:office:smarttags" w:element="PersonName">
        <w:smartTagPr>
          <w:attr w:name="ProductID" w:val="la A.M"/>
        </w:smartTagPr>
        <w:r>
          <w:rPr>
            <w:lang w:val="es-ES_tradnl"/>
          </w:rPr>
          <w:t>la A.M</w:t>
        </w:r>
      </w:smartTag>
      <w:r>
        <w:rPr>
          <w:lang w:val="es-ES_tradnl"/>
        </w:rPr>
        <w:t>.I.A. hasta que se produjo la explosión, ningún ruido fuera de lo no</w:t>
      </w:r>
      <w:r>
        <w:rPr>
          <w:lang w:val="es-ES_tradnl"/>
        </w:rPr>
        <w:t>r</w:t>
      </w:r>
      <w:r>
        <w:rPr>
          <w:lang w:val="es-ES_tradnl"/>
        </w:rPr>
        <w:t>mal le llamó la atención.</w:t>
      </w:r>
    </w:p>
    <w:p w:rsidR="00224567" w:rsidRDefault="00224567">
      <w:pPr>
        <w:widowControl w:val="0"/>
      </w:pPr>
      <w:r>
        <w:tab/>
        <w:t>Indicó que luego, por efecto de la o</w:t>
      </w:r>
      <w:r>
        <w:t>n</w:t>
      </w:r>
      <w:r>
        <w:t>da expansiva -“un viento que hacía ruido”- quedó ensord</w:t>
      </w:r>
      <w:r>
        <w:t>e</w:t>
      </w:r>
      <w:r>
        <w:t>cida, percibiendo un olor muy fuerte, similar al que pr</w:t>
      </w:r>
      <w:r>
        <w:t>o</w:t>
      </w:r>
      <w:r>
        <w:t>duce un motor gasolero cuando real</w:t>
      </w:r>
      <w:r>
        <w:t>i</w:t>
      </w:r>
      <w:r>
        <w:t>za mal la combustión.</w:t>
      </w:r>
    </w:p>
    <w:p w:rsidR="00224567" w:rsidRDefault="00224567">
      <w:pPr>
        <w:widowControl w:val="0"/>
      </w:pPr>
      <w:r>
        <w:tab/>
        <w:t>Por último, afirmó que en dos ocasi</w:t>
      </w:r>
      <w:r>
        <w:t>o</w:t>
      </w:r>
      <w:r>
        <w:t>nes fue interrogada en el hospital por personal del Depa</w:t>
      </w:r>
      <w:r>
        <w:t>r</w:t>
      </w:r>
      <w:r>
        <w:t xml:space="preserve">tamento de Protección del Orden Constitucional de </w:t>
      </w:r>
      <w:smartTag w:uri="urn:schemas-microsoft-com:office:smarttags" w:element="PersonName">
        <w:smartTagPr>
          <w:attr w:name="ProductID" w:val="la Polic￭a Federal"/>
        </w:smartTagPr>
        <w:r>
          <w:t>la Pol</w:t>
        </w:r>
        <w:r>
          <w:t>i</w:t>
        </w:r>
        <w:r>
          <w:t>cía Federal</w:t>
        </w:r>
      </w:smartTag>
      <w:r>
        <w:t xml:space="preserve"> Argentina y de </w:t>
      </w:r>
      <w:smartTag w:uri="urn:schemas-microsoft-com:office:smarttags" w:element="PersonName">
        <w:smartTagPr>
          <w:attr w:name="ProductID" w:val="la Mossad"/>
        </w:smartTagPr>
        <w:r>
          <w:t>la MOSSAD</w:t>
        </w:r>
      </w:smartTag>
      <w:r>
        <w:t>; la primera a los dos o tres días del atentado y la segunda uno o dos días de</w:t>
      </w:r>
      <w:r>
        <w:t>s</w:t>
      </w:r>
      <w:r>
        <w:t>pués de la prim</w:t>
      </w:r>
      <w:r>
        <w:t>e</w:t>
      </w:r>
      <w:r>
        <w:t>ra.</w:t>
      </w:r>
    </w:p>
    <w:p w:rsidR="00224567" w:rsidRDefault="00224567">
      <w:pPr>
        <w:widowControl w:val="0"/>
      </w:pPr>
      <w:r>
        <w:tab/>
        <w:t>A pocos metros de Montano de Barre</w:t>
      </w:r>
      <w:r>
        <w:t>i</w:t>
      </w:r>
      <w:r>
        <w:t xml:space="preserve">ros se encontraba Daniel Osvaldo Saravia, quien evocó que la mañana del 18 de julio caminaba por la vereda de </w:t>
      </w:r>
      <w:smartTag w:uri="urn:schemas-microsoft-com:office:smarttags" w:element="PersonName">
        <w:smartTagPr>
          <w:attr w:name="ProductID" w:val="la A.M"/>
        </w:smartTagPr>
        <w:r>
          <w:t>la A.M</w:t>
        </w:r>
      </w:smartTag>
      <w:r>
        <w:t>.I.A., en dirección a la calle Viamonte, cuando luego de dejar atrás la puerta de la entidad, sintió una gran explosión que lo impulsó hacia delante y a su izquierda, quedando finalmente tendido sobre el asfa</w:t>
      </w:r>
      <w:r>
        <w:t>l</w:t>
      </w:r>
      <w:r>
        <w:t>to, envuelto en una nube de humo gris, al tiempo que percibía un fuerte olor a goma o caucho quemado.</w:t>
      </w:r>
    </w:p>
    <w:p w:rsidR="00224567" w:rsidRDefault="00224567">
      <w:pPr>
        <w:widowControl w:val="0"/>
      </w:pPr>
      <w:r>
        <w:tab/>
        <w:t>Agregó que antes de la explosión no escuchó a sus espaldas ninguna frenada, aceleración o m</w:t>
      </w:r>
      <w:r>
        <w:t>o</w:t>
      </w:r>
      <w:r>
        <w:t>vimiento brusco de un vehículo, como tampoco el ruido de chapas o vidrios que se quebraran, no advirtiendo tampoco la presencia en el lugar de una camioneta Tr</w:t>
      </w:r>
      <w:r>
        <w:t>a</w:t>
      </w:r>
      <w:r>
        <w:t>fic blanca.</w:t>
      </w:r>
    </w:p>
    <w:p w:rsidR="00224567" w:rsidRDefault="00224567">
      <w:pPr>
        <w:pStyle w:val="Sangradetextonormal"/>
        <w:widowControl w:val="0"/>
        <w:ind w:firstLine="0"/>
      </w:pPr>
      <w:r>
        <w:tab/>
        <w:t>Saravia señaló que si bien caminaba mirando hacia abajo, pudo advertir que sobre la calle Pa</w:t>
      </w:r>
      <w:r>
        <w:t>s</w:t>
      </w:r>
      <w:r>
        <w:t>teur, unos metros antes de la entrada a la mutual, había un patrullero estacionado, más allá un volquete, cuyo i</w:t>
      </w:r>
      <w:r>
        <w:t>n</w:t>
      </w:r>
      <w:r>
        <w:t>terior no avistó y alrededor del cual no vio a nadie tr</w:t>
      </w:r>
      <w:r>
        <w:t>a</w:t>
      </w:r>
      <w:r>
        <w:t>bajando y, por último, un camión blanco que tenía la in</w:t>
      </w:r>
      <w:r>
        <w:t>s</w:t>
      </w:r>
      <w:r>
        <w:t>cripción “Fargo”.</w:t>
      </w:r>
    </w:p>
    <w:p w:rsidR="00224567" w:rsidRDefault="00224567">
      <w:pPr>
        <w:widowControl w:val="0"/>
      </w:pPr>
      <w:r>
        <w:tab/>
        <w:t>Por su parte, Osvaldo Héctor Pérez e</w:t>
      </w:r>
      <w:r>
        <w:t>x</w:t>
      </w:r>
      <w:r>
        <w:t>presó que fue sorprendido por la explosión cuando se e</w:t>
      </w:r>
      <w:r>
        <w:t>n</w:t>
      </w:r>
      <w:r>
        <w:t>contraba trabajando en una caja afectada al servicio tel</w:t>
      </w:r>
      <w:r>
        <w:t>e</w:t>
      </w:r>
      <w:r>
        <w:t>fónico, ubicada sobre la vereda de la calle Pa</w:t>
      </w:r>
      <w:r>
        <w:t>s</w:t>
      </w:r>
      <w:r>
        <w:t xml:space="preserve">teur, a la altura del </w:t>
      </w:r>
      <w:smartTag w:uri="urn:schemas-microsoft-com:office:smarttags" w:element="metricconverter">
        <w:smartTagPr>
          <w:attr w:name="ProductID" w:val="669, a"/>
        </w:smartTagPr>
        <w:r>
          <w:t>669, a</w:t>
        </w:r>
      </w:smartTag>
      <w:r>
        <w:t xml:space="preserve"> unos </w:t>
      </w:r>
      <w:smartTag w:uri="urn:schemas-microsoft-com:office:smarttags" w:element="metricconverter">
        <w:smartTagPr>
          <w:attr w:name="ProductID" w:val="40 m"/>
        </w:smartTagPr>
        <w:r>
          <w:t>40 m</w:t>
        </w:r>
      </w:smartTag>
      <w:r>
        <w:t xml:space="preserve"> de </w:t>
      </w:r>
      <w:smartTag w:uri="urn:schemas-microsoft-com:office:smarttags" w:element="PersonName">
        <w:smartTagPr>
          <w:attr w:name="ProductID" w:val="la A.M"/>
        </w:smartTagPr>
        <w:r>
          <w:t>la A.M</w:t>
        </w:r>
      </w:smartTag>
      <w:r>
        <w:t>.I.A. y que previo a la detonación no escuchó ningún ruido de frenada o ch</w:t>
      </w:r>
      <w:r>
        <w:t>o</w:t>
      </w:r>
      <w:r>
        <w:t>que de vehículos.</w:t>
      </w:r>
    </w:p>
    <w:p w:rsidR="00224567" w:rsidRDefault="00224567">
      <w:pPr>
        <w:widowControl w:val="0"/>
      </w:pPr>
      <w:r>
        <w:tab/>
        <w:t>Recordó que sobre dicha arteria había un patrullero estacionado próximo a la puerta de la m</w:t>
      </w:r>
      <w:r>
        <w:t>u</w:t>
      </w:r>
      <w:r>
        <w:t>tual y que, usualmente, se encontraba un volquete dep</w:t>
      </w:r>
      <w:r>
        <w:t>o</w:t>
      </w:r>
      <w:r>
        <w:t xml:space="preserve">sitado a unos 5 u </w:t>
      </w:r>
      <w:smartTag w:uri="urn:schemas-microsoft-com:office:smarttags" w:element="metricconverter">
        <w:smartTagPr>
          <w:attr w:name="ProductID" w:val="8 m"/>
        </w:smartTagPr>
        <w:r>
          <w:t>8 m</w:t>
        </w:r>
      </w:smartTag>
      <w:r>
        <w:t xml:space="preserve"> de su entrada, hacia Vi</w:t>
      </w:r>
      <w:r>
        <w:t>a</w:t>
      </w:r>
      <w:r>
        <w:t>monte, aunque ese día no lo divisó porque estaba muy concentrado en sus l</w:t>
      </w:r>
      <w:r>
        <w:t>a</w:t>
      </w:r>
      <w:r>
        <w:t>bores. Precisó que la onda expansiva lo cubrió de humo y lo arr</w:t>
      </w:r>
      <w:r>
        <w:t>o</w:t>
      </w:r>
      <w:r>
        <w:t>jó al interior de un local c</w:t>
      </w:r>
      <w:r>
        <w:t>o</w:t>
      </w:r>
      <w:r>
        <w:t>mercial.</w:t>
      </w:r>
    </w:p>
    <w:p w:rsidR="00224567" w:rsidRDefault="00224567">
      <w:pPr>
        <w:widowControl w:val="0"/>
        <w:rPr>
          <w:lang w:val="es-ES_tradnl"/>
        </w:rPr>
      </w:pPr>
      <w:r>
        <w:rPr>
          <w:lang w:val="es-ES_tradnl"/>
        </w:rPr>
        <w:tab/>
        <w:t>Asimismo, Isidro Horacio Neuah señaló que aquella mañana, previo solicitar permiso al personal policial, estacionó su vehículo Peugeot sobre la mano d</w:t>
      </w:r>
      <w:r>
        <w:rPr>
          <w:lang w:val="es-ES_tradnl"/>
        </w:rPr>
        <w:t>e</w:t>
      </w:r>
      <w:r>
        <w:rPr>
          <w:lang w:val="es-ES_tradnl"/>
        </w:rPr>
        <w:t xml:space="preserve">recha de la calle Pasteur, frente al comercio mayorista “Casa Susy”, situado a la altura del </w:t>
      </w:r>
      <w:smartTag w:uri="urn:schemas-microsoft-com:office:smarttags" w:element="metricconverter">
        <w:smartTagPr>
          <w:attr w:name="ProductID" w:val="666, a"/>
        </w:smartTagPr>
        <w:r>
          <w:rPr>
            <w:lang w:val="es-ES_tradnl"/>
          </w:rPr>
          <w:t>666, a</w:t>
        </w:r>
      </w:smartTag>
      <w:r>
        <w:rPr>
          <w:lang w:val="es-ES_tradnl"/>
        </w:rPr>
        <w:t xml:space="preserve"> fin de cargar mercadería; concluida dicha tarea arrancó su automóvil y a los pocos metros sintió “como que e</w:t>
      </w:r>
      <w:r>
        <w:rPr>
          <w:lang w:val="es-ES_tradnl"/>
        </w:rPr>
        <w:t>x</w:t>
      </w:r>
      <w:r>
        <w:rPr>
          <w:lang w:val="es-ES_tradnl"/>
        </w:rPr>
        <w:t>plotaba un neumático o una garrafa” a la vez que perdía el control del vehículo, el que “pegó un salto” y se detuvo en la bocacalle donde un poste de luz cayó sobre su techo. Recordó que no p</w:t>
      </w:r>
      <w:r>
        <w:rPr>
          <w:lang w:val="es-ES_tradnl"/>
        </w:rPr>
        <w:t>o</w:t>
      </w:r>
      <w:r>
        <w:rPr>
          <w:lang w:val="es-ES_tradnl"/>
        </w:rPr>
        <w:t>día respirar, percibiendo un olor químico muy fuerte y que, temeroso, huyó del lugar en su automóvil.</w:t>
      </w:r>
    </w:p>
    <w:p w:rsidR="00224567" w:rsidRDefault="00224567">
      <w:pPr>
        <w:widowControl w:val="0"/>
        <w:rPr>
          <w:lang w:val="es-ES_tradnl"/>
        </w:rPr>
      </w:pPr>
      <w:r>
        <w:rPr>
          <w:lang w:val="es-ES_tradnl"/>
        </w:rPr>
        <w:tab/>
        <w:t>Neuah expresó que en los instantes previos a la detonación no escuchó ninguna aceleración o frenada de un vehículo ni tampoco observó, cuando miró h</w:t>
      </w:r>
      <w:r>
        <w:rPr>
          <w:lang w:val="es-ES_tradnl"/>
        </w:rPr>
        <w:t>a</w:t>
      </w:r>
      <w:r>
        <w:rPr>
          <w:lang w:val="es-ES_tradnl"/>
        </w:rPr>
        <w:t>cia atrás al poner el auto en marcha, una camioneta “R</w:t>
      </w:r>
      <w:r>
        <w:rPr>
          <w:lang w:val="es-ES_tradnl"/>
        </w:rPr>
        <w:t>e</w:t>
      </w:r>
      <w:r>
        <w:rPr>
          <w:lang w:val="es-ES_tradnl"/>
        </w:rPr>
        <w:t>nault Trafic” circulando por la calle Pasteur. Recordó, en cambio, una camioneta de una firma panif</w:t>
      </w:r>
      <w:r>
        <w:rPr>
          <w:lang w:val="es-ES_tradnl"/>
        </w:rPr>
        <w:t>i</w:t>
      </w:r>
      <w:r>
        <w:rPr>
          <w:lang w:val="es-ES_tradnl"/>
        </w:rPr>
        <w:t xml:space="preserve">cadora delante de su rodado, un volquete más próximo al edificio de </w:t>
      </w:r>
      <w:smartTag w:uri="urn:schemas-microsoft-com:office:smarttags" w:element="PersonName">
        <w:smartTagPr>
          <w:attr w:name="ProductID" w:val="la A.M"/>
        </w:smartTagPr>
        <w:r>
          <w:rPr>
            <w:lang w:val="es-ES_tradnl"/>
          </w:rPr>
          <w:t>la A.M</w:t>
        </w:r>
      </w:smartTag>
      <w:r>
        <w:rPr>
          <w:lang w:val="es-ES_tradnl"/>
        </w:rPr>
        <w:t>.I.A. y, cerca de la intersección con Tucumán, un par de camionetas pertenecientes, al par</w:t>
      </w:r>
      <w:r>
        <w:rPr>
          <w:lang w:val="es-ES_tradnl"/>
        </w:rPr>
        <w:t>e</w:t>
      </w:r>
      <w:r>
        <w:rPr>
          <w:lang w:val="es-ES_tradnl"/>
        </w:rPr>
        <w:t>cer, a una empresa de electricidad o telefonía.</w:t>
      </w:r>
    </w:p>
    <w:p w:rsidR="00224567" w:rsidRDefault="00224567">
      <w:pPr>
        <w:widowControl w:val="0"/>
        <w:rPr>
          <w:lang w:val="es-ES_tradnl"/>
        </w:rPr>
      </w:pPr>
      <w:r>
        <w:rPr>
          <w:lang w:val="es-ES_tradnl"/>
        </w:rPr>
        <w:tab/>
        <w:t>Refirió que conocía a los polic</w:t>
      </w:r>
      <w:r>
        <w:rPr>
          <w:lang w:val="es-ES_tradnl"/>
        </w:rPr>
        <w:t>í</w:t>
      </w:r>
      <w:r>
        <w:rPr>
          <w:lang w:val="es-ES_tradnl"/>
        </w:rPr>
        <w:t>as que habitualmente vigilaban la zona y que si bien estaba prohibido estacionar en la cuadra, ese día lo aut</w:t>
      </w:r>
      <w:r>
        <w:rPr>
          <w:lang w:val="es-ES_tradnl"/>
        </w:rPr>
        <w:t>o</w:t>
      </w:r>
      <w:r>
        <w:rPr>
          <w:lang w:val="es-ES_tradnl"/>
        </w:rPr>
        <w:t>rizaron al sólo efecto de cargar la mercadería, precisando que eran dos los efectivos que estaban en el interior del p</w:t>
      </w:r>
      <w:r>
        <w:rPr>
          <w:lang w:val="es-ES_tradnl"/>
        </w:rPr>
        <w:t>a</w:t>
      </w:r>
      <w:r>
        <w:rPr>
          <w:lang w:val="es-ES_tradnl"/>
        </w:rPr>
        <w:t>trullero, uno de los cuales se e</w:t>
      </w:r>
      <w:r>
        <w:rPr>
          <w:lang w:val="es-ES_tradnl"/>
        </w:rPr>
        <w:t>n</w:t>
      </w:r>
      <w:r>
        <w:rPr>
          <w:lang w:val="es-ES_tradnl"/>
        </w:rPr>
        <w:t>contraba recostado en el asiento del acompañante, “como durmie</w:t>
      </w:r>
      <w:r>
        <w:rPr>
          <w:lang w:val="es-ES_tradnl"/>
        </w:rPr>
        <w:t>n</w:t>
      </w:r>
      <w:r>
        <w:rPr>
          <w:lang w:val="es-ES_tradnl"/>
        </w:rPr>
        <w:t>do”. Ello aconteció pasadas las 9.30 de la mañana.</w:t>
      </w:r>
    </w:p>
    <w:p w:rsidR="00224567" w:rsidRDefault="00224567">
      <w:pPr>
        <w:widowControl w:val="0"/>
      </w:pPr>
      <w:r>
        <w:tab/>
        <w:t xml:space="preserve">En cuanto a su vehículo, el testigo destacó que realizó la denuncia de daños ante </w:t>
      </w:r>
      <w:smartTag w:uri="urn:schemas-microsoft-com:office:smarttags" w:element="PersonName">
        <w:smartTagPr>
          <w:attr w:name="ProductID" w:val="la Comisar￭a"/>
        </w:smartTagPr>
        <w:r>
          <w:t>la Com</w:t>
        </w:r>
        <w:r>
          <w:t>i</w:t>
        </w:r>
        <w:r>
          <w:t>saría</w:t>
        </w:r>
      </w:smartTag>
      <w:r>
        <w:t xml:space="preserve"> 5ª de </w:t>
      </w:r>
      <w:smartTag w:uri="urn:schemas-microsoft-com:office:smarttags" w:element="PersonName">
        <w:smartTagPr>
          <w:attr w:name="ProductID" w:val="la Polic￭a Federal"/>
        </w:smartTagPr>
        <w:r>
          <w:t>la Policía Federal</w:t>
        </w:r>
      </w:smartTag>
      <w:r>
        <w:t xml:space="preserve"> Argentina dado que se rompieron los vidrios y se abolló la chapa debido al impacto de las esquirlas, advirtiendo, además, que en el interior había bisagras de puertas antiguas y otros elementos que luego entregó, en el mes de diciembre de aquel año, en </w:t>
      </w:r>
      <w:smartTag w:uri="urn:schemas-microsoft-com:office:smarttags" w:element="PersonName">
        <w:smartTagPr>
          <w:attr w:name="ProductID" w:val="la Brigada"/>
        </w:smartTagPr>
        <w:r>
          <w:t>la Brig</w:t>
        </w:r>
        <w:r>
          <w:t>a</w:t>
        </w:r>
        <w:r>
          <w:t>da</w:t>
        </w:r>
      </w:smartTag>
      <w:r>
        <w:t xml:space="preserve"> de E</w:t>
      </w:r>
      <w:r>
        <w:t>x</w:t>
      </w:r>
      <w:r>
        <w:t>plosivos.</w:t>
      </w:r>
    </w:p>
    <w:p w:rsidR="00224567" w:rsidRDefault="00224567">
      <w:pPr>
        <w:widowControl w:val="0"/>
      </w:pPr>
      <w:r>
        <w:tab/>
        <w:t>Por su parte, José Eduardo Marzilli relató que iba caminando por la mano izquierda de Pa</w:t>
      </w:r>
      <w:r>
        <w:t>s</w:t>
      </w:r>
      <w:r>
        <w:t xml:space="preserve">teur, desde Lavalle, cuando la explosión lo sorprendió a unos 10 ó </w:t>
      </w:r>
      <w:smartTag w:uri="urn:schemas-microsoft-com:office:smarttags" w:element="metricconverter">
        <w:smartTagPr>
          <w:attr w:name="ProductID" w:val="15 m"/>
        </w:smartTagPr>
        <w:r>
          <w:t>15 m</w:t>
        </w:r>
      </w:smartTag>
      <w:r>
        <w:t xml:space="preserve"> de la entrada a la mutual judía; con el primer e</w:t>
      </w:r>
      <w:r>
        <w:t>s</w:t>
      </w:r>
      <w:r>
        <w:t>tallido –cree haber escuchado dos, siendo el segundo de menor intensidad- sintió que su cabeza explotaba a la vez que tenía dificultades para resp</w:t>
      </w:r>
      <w:r>
        <w:t>i</w:t>
      </w:r>
      <w:r>
        <w:t>rar, perdiendo la visión. Indicó que el ambiente estaba viciado de polvo, percibié</w:t>
      </w:r>
      <w:r>
        <w:t>n</w:t>
      </w:r>
      <w:r>
        <w:t>dose un olor “tóxico, como a químico”.</w:t>
      </w:r>
    </w:p>
    <w:p w:rsidR="00224567" w:rsidRDefault="00224567">
      <w:pPr>
        <w:pStyle w:val="Sangradetextonormal"/>
        <w:widowControl w:val="0"/>
        <w:ind w:firstLine="0"/>
      </w:pPr>
      <w:r>
        <w:tab/>
        <w:t>Señaló que previo al primer est</w:t>
      </w:r>
      <w:r>
        <w:t>a</w:t>
      </w:r>
      <w:r>
        <w:t>llido no escuchó ruido alguno que le llamara la ate</w:t>
      </w:r>
      <w:r>
        <w:t>n</w:t>
      </w:r>
      <w:r>
        <w:t>ción, ni vio ninguna anormalidad en la circulación de vehículos y pe</w:t>
      </w:r>
      <w:r>
        <w:t>a</w:t>
      </w:r>
      <w:r>
        <w:t>tones, no observando ningún rodado “Renault Trafic” como tampoco un automóvil estacionado en doble f</w:t>
      </w:r>
      <w:r>
        <w:t>i</w:t>
      </w:r>
      <w:r>
        <w:t>la.</w:t>
      </w:r>
    </w:p>
    <w:p w:rsidR="00224567" w:rsidRDefault="00224567">
      <w:pPr>
        <w:pStyle w:val="Sangradetextonormal"/>
        <w:widowControl w:val="0"/>
        <w:ind w:firstLine="0"/>
      </w:pPr>
      <w:r>
        <w:tab/>
        <w:t xml:space="preserve">Irene Rosa Perelman, encargada de la librería de </w:t>
      </w:r>
      <w:smartTag w:uri="urn:schemas-microsoft-com:office:smarttags" w:element="PersonName">
        <w:smartTagPr>
          <w:attr w:name="ProductID" w:val="la A.M"/>
        </w:smartTagPr>
        <w:r>
          <w:t>la A.M</w:t>
        </w:r>
      </w:smartTag>
      <w:r>
        <w:t>.I.A., relató que estaba mirando la v</w:t>
      </w:r>
      <w:r>
        <w:t>i</w:t>
      </w:r>
      <w:r>
        <w:t>driera de un local situado en la calle Pasteur, casi ll</w:t>
      </w:r>
      <w:r>
        <w:t>e</w:t>
      </w:r>
      <w:r>
        <w:t>gando a su intersección con Tucumán, cuando escuchó la e</w:t>
      </w:r>
      <w:r>
        <w:t>x</w:t>
      </w:r>
      <w:r>
        <w:t>plosión, describiendo el ruido como un impacto seco; en dicha oportunidad, afirmó, no vio circular ninguna cami</w:t>
      </w:r>
      <w:r>
        <w:t>o</w:t>
      </w:r>
      <w:r>
        <w:t>neta “Renault Trafic”.</w:t>
      </w:r>
    </w:p>
    <w:p w:rsidR="00224567" w:rsidRDefault="00224567">
      <w:pPr>
        <w:pStyle w:val="Sangradetextonormal"/>
        <w:widowControl w:val="0"/>
        <w:ind w:firstLine="0"/>
      </w:pPr>
      <w:r>
        <w:tab/>
        <w:t>Por su parte, María Josefa Vicente r</w:t>
      </w:r>
      <w:r>
        <w:t>e</w:t>
      </w:r>
      <w:r>
        <w:t>cordó que se encontraba en el balcón de su departamento, sito en el piso 3º de Pasteur 594, aguardando el arribo de su empleada doméstica, cuando observó el paso de un cole</w:t>
      </w:r>
      <w:r>
        <w:t>c</w:t>
      </w:r>
      <w:r>
        <w:t xml:space="preserve">tivo de la línea 95 circulando por la calle Pasteur, desde </w:t>
      </w:r>
      <w:smartTag w:uri="urn:schemas-microsoft-com:office:smarttags" w:element="PersonName">
        <w:smartTagPr>
          <w:attr w:name="ProductID" w:val="la Av. Corrientes"/>
        </w:smartTagPr>
        <w:r>
          <w:t>la Av. Corrientes</w:t>
        </w:r>
      </w:smartTag>
      <w:r>
        <w:t>; en ese momento escuchó un ruido sem</w:t>
      </w:r>
      <w:r>
        <w:t>e</w:t>
      </w:r>
      <w:r>
        <w:t xml:space="preserve">jante al reventón de un neumático y, pese a advertir que del fondo del edificio de </w:t>
      </w:r>
      <w:smartTag w:uri="urn:schemas-microsoft-com:office:smarttags" w:element="PersonName">
        <w:smartTagPr>
          <w:attr w:name="ProductID" w:val="la A.M"/>
        </w:smartTagPr>
        <w:r>
          <w:t>la A.M</w:t>
        </w:r>
      </w:smartTag>
      <w:r>
        <w:t>.I.A. salía un humo bla</w:t>
      </w:r>
      <w:r>
        <w:t>n</w:t>
      </w:r>
      <w:r>
        <w:t>co, giró la vista hacia el colectivo en el convencimiento de que el sonido provenía de una de sus ruedas. En ese instante escuchó otro fuerte estallido que despidió di</w:t>
      </w:r>
      <w:r>
        <w:t>s</w:t>
      </w:r>
      <w:r>
        <w:t>tintos colores y, tras ello. una tercera explosión que produjo una humareda negra.</w:t>
      </w:r>
    </w:p>
    <w:p w:rsidR="00224567" w:rsidRDefault="00224567">
      <w:pPr>
        <w:pStyle w:val="Sangradetextonormal"/>
        <w:widowControl w:val="0"/>
        <w:ind w:firstLine="0"/>
      </w:pPr>
      <w:r>
        <w:tab/>
        <w:t>Agregó que la explosión la impulsó h</w:t>
      </w:r>
      <w:r>
        <w:t>a</w:t>
      </w:r>
      <w:r>
        <w:t>cia afuera, debiendo aferrarse a las barandas del balcón para evitar caer a la calle. Pese a que desde su balcón divisaba la entrada de la mutual, negó categóricamente h</w:t>
      </w:r>
      <w:r>
        <w:t>a</w:t>
      </w:r>
      <w:r>
        <w:t>ber visto una camioneta “Renault Trafic” o un vehículo de esas características ascender a la vereda de la menci</w:t>
      </w:r>
      <w:r>
        <w:t>o</w:t>
      </w:r>
      <w:r>
        <w:t>nada sede.</w:t>
      </w:r>
    </w:p>
    <w:p w:rsidR="00224567" w:rsidRDefault="00224567">
      <w:pPr>
        <w:pStyle w:val="Sangradetextonormal"/>
        <w:widowControl w:val="0"/>
        <w:ind w:firstLine="0"/>
      </w:pPr>
      <w:r>
        <w:tab/>
        <w:t>Adriana Inés Mena, quien para la ép</w:t>
      </w:r>
      <w:r>
        <w:t>o</w:t>
      </w:r>
      <w:r>
        <w:t xml:space="preserve">ca del atentado trabajaba en una imprenta ubicada en Pasteur 630, enfrente del edificio de </w:t>
      </w:r>
      <w:smartTag w:uri="urn:schemas-microsoft-com:office:smarttags" w:element="PersonName">
        <w:smartTagPr>
          <w:attr w:name="ProductID" w:val="la A.M"/>
        </w:smartTagPr>
        <w:r>
          <w:t>la A.M</w:t>
        </w:r>
      </w:smartTag>
      <w:r>
        <w:t>.I.A., r</w:t>
      </w:r>
      <w:r>
        <w:t>e</w:t>
      </w:r>
      <w:r>
        <w:t>cordó que el 18 de julio concurrió al local alrededor de las 8.30 u 8.45 de la mañana, como lo hacía habitualmente y que la explosión la sorprendió en su escr</w:t>
      </w:r>
      <w:r>
        <w:t>i</w:t>
      </w:r>
      <w:r>
        <w:t>torio junto a Humberto Chiesa y Guillermo Galárraga, dueños del negocio. Precisó que tras el estallido quedó sentada en el piso, viendo t</w:t>
      </w:r>
      <w:r>
        <w:t>o</w:t>
      </w:r>
      <w:r>
        <w:t>do negro, por lo que supuso que se había quedado ciega p</w:t>
      </w:r>
      <w:r>
        <w:t>e</w:t>
      </w:r>
      <w:r>
        <w:t xml:space="preserve">ro luego vio una luz roja, al edificio de </w:t>
      </w:r>
      <w:smartTag w:uri="urn:schemas-microsoft-com:office:smarttags" w:element="PersonName">
        <w:smartTagPr>
          <w:attr w:name="ProductID" w:val="la A.M"/>
        </w:smartTagPr>
        <w:r>
          <w:t>la A.M</w:t>
        </w:r>
      </w:smartTag>
      <w:r>
        <w:t>.I.A. r</w:t>
      </w:r>
      <w:r>
        <w:t>e</w:t>
      </w:r>
      <w:r>
        <w:t>ducido a escombros y gente herida que gritaba y corría.</w:t>
      </w:r>
    </w:p>
    <w:p w:rsidR="00224567" w:rsidRDefault="00224567">
      <w:pPr>
        <w:pStyle w:val="Sangradetextonormal"/>
        <w:widowControl w:val="0"/>
        <w:ind w:firstLine="0"/>
      </w:pPr>
      <w:r>
        <w:tab/>
        <w:t>Mena refirió que al mirar a su alred</w:t>
      </w:r>
      <w:r>
        <w:t>e</w:t>
      </w:r>
      <w:r>
        <w:t>dor advirtió que quienes la acompañaban instantes a</w:t>
      </w:r>
      <w:r>
        <w:t>n</w:t>
      </w:r>
      <w:r>
        <w:t>tes no se encontraban en el lugar, por lo que salió del local en procura de dar con ellos, encontrando a Humberto Chiesa con su cabeza ensangrentada. A Guillermo Galárraga, a la sazón su novio, lo encontró muerto en el interior de la imprenta, donde también perdió la vida uno de los oper</w:t>
      </w:r>
      <w:r>
        <w:t>a</w:t>
      </w:r>
      <w:r>
        <w:t>rios que estaba trabajando en el ler. piso, mientras que otro resultó herido.</w:t>
      </w:r>
    </w:p>
    <w:p w:rsidR="00224567" w:rsidRDefault="00224567">
      <w:pPr>
        <w:pStyle w:val="Sangradetextonormal"/>
        <w:widowControl w:val="0"/>
        <w:ind w:firstLine="0"/>
      </w:pPr>
      <w:r>
        <w:tab/>
        <w:t>Asimismo, la testigo explicó que de</w:t>
      </w:r>
      <w:r>
        <w:t>s</w:t>
      </w:r>
      <w:r>
        <w:t>de su escritorio podía ver, a través de la vidriera del l</w:t>
      </w:r>
      <w:r>
        <w:t>o</w:t>
      </w:r>
      <w:r>
        <w:t xml:space="preserve">cal, la fachada de </w:t>
      </w:r>
      <w:smartTag w:uri="urn:schemas-microsoft-com:office:smarttags" w:element="PersonName">
        <w:smartTagPr>
          <w:attr w:name="ProductID" w:val="la A.M"/>
        </w:smartTagPr>
        <w:r>
          <w:t>la A.M</w:t>
        </w:r>
      </w:smartTag>
      <w:r>
        <w:t>.I.A. y que si bien no tenía su mirada fija en la mutual por encontrarse Chiesa y Gall</w:t>
      </w:r>
      <w:r>
        <w:t>a</w:t>
      </w:r>
      <w:r>
        <w:t>rraga sentados frente a ella, no observó en los instantes previos al atentado ningún vehículo que ascendiera a la vereda ni ninguna otra circunstancia que le llamara la atención; tampoco escuchó el ruido de una aceleración brusca o el de un auto subiéndose a la ac</w:t>
      </w:r>
      <w:r>
        <w:t>e</w:t>
      </w:r>
      <w:r>
        <w:t>ra</w:t>
      </w:r>
      <w:r>
        <w:rPr>
          <w:b/>
          <w:bCs/>
        </w:rPr>
        <w:t xml:space="preserve">, </w:t>
      </w:r>
      <w:r>
        <w:t>descontando que de haberse producido lo hubiera podido escuchar pese al ruido del local.</w:t>
      </w:r>
    </w:p>
    <w:p w:rsidR="00224567" w:rsidRDefault="00224567">
      <w:pPr>
        <w:pStyle w:val="Sangradetextonormal"/>
        <w:widowControl w:val="0"/>
        <w:ind w:firstLine="0"/>
      </w:pPr>
      <w:r>
        <w:tab/>
        <w:t>Juan Segundo Canale refirió que para la época del atentado se desempeñaba como chofer del i</w:t>
      </w:r>
      <w:r>
        <w:t>n</w:t>
      </w:r>
      <w:r>
        <w:t>terno 114 de la línea 75 de transporte público de pasaj</w:t>
      </w:r>
      <w:r>
        <w:t>e</w:t>
      </w:r>
      <w:r>
        <w:t>ros. Destacó que la mañana del 18 de julio circulaba por la calle Tucumán, habiéndose detenido en su intersección con José E. Uriburu para que ascendieran pasajeros; rean</w:t>
      </w:r>
      <w:r>
        <w:t>u</w:t>
      </w:r>
      <w:r>
        <w:t>dó su marcha, llegó al cruce con Pasteur y a partir de allí no recuerda más nada, como si se le hubiera “borrado la mem</w:t>
      </w:r>
      <w:r>
        <w:t>o</w:t>
      </w:r>
      <w:r>
        <w:t>ria”. Precisó que el colectivo quedó detenido en la intersección de ambas arterias, rodeado de esco</w:t>
      </w:r>
      <w:r>
        <w:t>m</w:t>
      </w:r>
      <w:r>
        <w:t>bros, con todos sus vidrios rotos y tres neumáticos del lateral d</w:t>
      </w:r>
      <w:r>
        <w:t>e</w:t>
      </w:r>
      <w:r>
        <w:t>recho reventados.</w:t>
      </w:r>
    </w:p>
    <w:p w:rsidR="00224567" w:rsidRDefault="00224567">
      <w:pPr>
        <w:widowControl w:val="0"/>
      </w:pPr>
      <w:r>
        <w:rPr>
          <w:lang w:val="es-ES_tradnl"/>
        </w:rPr>
        <w:tab/>
        <w:t xml:space="preserve">Canale </w:t>
      </w:r>
      <w:r>
        <w:t>manifestó que no recordaba que delante suyo circulara otro rodado, ni el cruce de dos m</w:t>
      </w:r>
      <w:r>
        <w:t>u</w:t>
      </w:r>
      <w:r>
        <w:t>jeres y un niño en la esquina de Pasteur y Tuc</w:t>
      </w:r>
      <w:r>
        <w:t>u</w:t>
      </w:r>
      <w:r>
        <w:t>mán.</w:t>
      </w:r>
    </w:p>
    <w:p w:rsidR="00224567" w:rsidRDefault="00224567">
      <w:pPr>
        <w:widowControl w:val="0"/>
      </w:pPr>
      <w:r>
        <w:tab/>
        <w:t>Por su parte, Néstor Omar Corsetti, quien también se desempeñaba como chofer de colectivos, señaló que esa mañana, en circunstancias en que circ</w:t>
      </w:r>
      <w:r>
        <w:t>u</w:t>
      </w:r>
      <w:r>
        <w:t>laba por Tucumán, unos metros después de cruzar Urib</w:t>
      </w:r>
      <w:r>
        <w:t>u</w:t>
      </w:r>
      <w:r>
        <w:t>ru, sintió una explosión muy fuerte que inicialmente atribuyó a un escape de gas; de inm</w:t>
      </w:r>
      <w:r>
        <w:t>e</w:t>
      </w:r>
      <w:r>
        <w:t>diato observó una nube de humo negro y marrón y un colectivo de la línea 75 -detrás del cual avanzaba a una distancia aproximada de media cuadra- det</w:t>
      </w:r>
      <w:r>
        <w:t>e</w:t>
      </w:r>
      <w:r>
        <w:t>nido en la intersección de Tucumán y Pasteur, con todos los vidrios rotos.</w:t>
      </w:r>
    </w:p>
    <w:p w:rsidR="00224567" w:rsidRDefault="00224567">
      <w:pPr>
        <w:widowControl w:val="0"/>
      </w:pPr>
      <w:r>
        <w:tab/>
        <w:t>Continuó relatando que si bien quedó aturdido por el estallido, guió su vehículo hasta dicha esquina, observando gran cantidad de escombros y pers</w:t>
      </w:r>
      <w:r>
        <w:t>o</w:t>
      </w:r>
      <w:r>
        <w:t>nas muy malheridas, a varias de las cuales trasladó hasta el Hospital de Clínicas por así habérselo solic</w:t>
      </w:r>
      <w:r>
        <w:t>i</w:t>
      </w:r>
      <w:r>
        <w:t>tado personal policial.</w:t>
      </w:r>
    </w:p>
    <w:p w:rsidR="00224567" w:rsidRDefault="00224567">
      <w:pPr>
        <w:widowControl w:val="0"/>
      </w:pPr>
      <w:r>
        <w:tab/>
        <w:t xml:space="preserve">Corsetti no recordó la presencia de un vehículo entre su colectivo y el de la línea 75, afirmando que, pese a que venía circulando despacio, desde </w:t>
      </w:r>
      <w:smartTag w:uri="urn:schemas-microsoft-com:office:smarttags" w:element="PersonName">
        <w:smartTagPr>
          <w:attr w:name="ProductID" w:val="la Av. Callao"/>
        </w:smartTagPr>
        <w:r>
          <w:t>la Av. Callao</w:t>
        </w:r>
      </w:smartTag>
      <w:r>
        <w:t xml:space="preserve"> no los sobrepasó ningún rodado.</w:t>
      </w:r>
    </w:p>
    <w:p w:rsidR="00224567" w:rsidRDefault="00224567">
      <w:pPr>
        <w:pStyle w:val="Sangradetextonormal"/>
        <w:widowControl w:val="0"/>
        <w:ind w:firstLine="0"/>
      </w:pPr>
      <w:r>
        <w:tab/>
        <w:t>Rafael Jesús Lezcano, capataz de una cuadrilla que integraban Domingo Castillo, Ángel Cast</w:t>
      </w:r>
      <w:r>
        <w:t>i</w:t>
      </w:r>
      <w:r>
        <w:t>llo y Francisco Alcaraz, manifestó que la mañana del 18 de j</w:t>
      </w:r>
      <w:r>
        <w:t>u</w:t>
      </w:r>
      <w:r>
        <w:t>lio se le encomendó la instalación, en proximid</w:t>
      </w:r>
      <w:r>
        <w:t>a</w:t>
      </w:r>
      <w:r>
        <w:t>des de las calles Pasteur y Tucumán, de una caja se</w:t>
      </w:r>
      <w:r>
        <w:t>c</w:t>
      </w:r>
      <w:r>
        <w:t>cionadora para la empresa “Edesur” y que, ni bien arr</w:t>
      </w:r>
      <w:r>
        <w:t>i</w:t>
      </w:r>
      <w:r>
        <w:t>baron al lugar a bordo del camión que los trasladó, se produjo la explosión.</w:t>
      </w:r>
    </w:p>
    <w:p w:rsidR="00224567" w:rsidRDefault="00224567">
      <w:pPr>
        <w:pStyle w:val="Sangradetextonormal"/>
        <w:widowControl w:val="0"/>
        <w:ind w:firstLine="0"/>
      </w:pPr>
      <w:r>
        <w:tab/>
        <w:t>Indicó que condujo dicho camión por la calle Tucumán, creyendo haber pasado Pasteur, y que, tras el estallido, un colectivo que circulaba detrás suyo r</w:t>
      </w:r>
      <w:r>
        <w:t>e</w:t>
      </w:r>
      <w:r>
        <w:t>sultó dañado en sus gomas. Si bien no prestaba mucha ate</w:t>
      </w:r>
      <w:r>
        <w:t>n</w:t>
      </w:r>
      <w:r>
        <w:t>ción al tránsito por cuanto venía conversando con sus co</w:t>
      </w:r>
      <w:r>
        <w:t>m</w:t>
      </w:r>
      <w:r>
        <w:t>pañeros, no recordó durante ese trayecto el paso de una Trafic blanca.</w:t>
      </w:r>
    </w:p>
    <w:p w:rsidR="00224567" w:rsidRDefault="00224567">
      <w:pPr>
        <w:pStyle w:val="Sangradetextonormal"/>
        <w:widowControl w:val="0"/>
        <w:ind w:firstLine="0"/>
      </w:pPr>
      <w:r>
        <w:tab/>
        <w:t>Su compañero Ángel Antonio Castillo tampoco recordó el paso de una camioneta Trafic en ci</w:t>
      </w:r>
      <w:r>
        <w:t>r</w:t>
      </w:r>
      <w:r>
        <w:t>cunstancias en que circulaba por Tucumán, precisando que la detonación se produjo a poco de descender en el cruce de esa calle y Azcuénaga.</w:t>
      </w:r>
    </w:p>
    <w:p w:rsidR="00224567" w:rsidRDefault="00224567">
      <w:pPr>
        <w:pStyle w:val="Sangradetextonormal"/>
        <w:widowControl w:val="0"/>
        <w:ind w:firstLine="0"/>
        <w:rPr>
          <w:lang w:val="es-ES"/>
        </w:rPr>
      </w:pPr>
      <w:r>
        <w:rPr>
          <w:lang w:val="es-ES"/>
        </w:rPr>
        <w:tab/>
        <w:t xml:space="preserve">Jorge Enrique Kaiser refirió que el día del atentado se dirigió a </w:t>
      </w:r>
      <w:smartTag w:uri="urn:schemas-microsoft-com:office:smarttags" w:element="PersonName">
        <w:smartTagPr>
          <w:attr w:name="ProductID" w:val="la A.M"/>
        </w:smartTagPr>
        <w:r>
          <w:rPr>
            <w:lang w:val="es-ES"/>
          </w:rPr>
          <w:t>la A.M</w:t>
        </w:r>
      </w:smartTag>
      <w:r>
        <w:rPr>
          <w:lang w:val="es-ES"/>
        </w:rPr>
        <w:t>.I.A. para entrevi</w:t>
      </w:r>
      <w:r>
        <w:rPr>
          <w:lang w:val="es-ES"/>
        </w:rPr>
        <w:t>s</w:t>
      </w:r>
      <w:r>
        <w:rPr>
          <w:lang w:val="es-ES"/>
        </w:rPr>
        <w:t>tarse con el arquitecto Malamud, a fin de dejarle una ca</w:t>
      </w:r>
      <w:r>
        <w:rPr>
          <w:lang w:val="es-ES"/>
        </w:rPr>
        <w:t>r</w:t>
      </w:r>
      <w:r>
        <w:rPr>
          <w:lang w:val="es-ES"/>
        </w:rPr>
        <w:t>ta de presentación para llevar a cabo unos trabajos de d</w:t>
      </w:r>
      <w:r>
        <w:rPr>
          <w:lang w:val="es-ES"/>
        </w:rPr>
        <w:t>e</w:t>
      </w:r>
      <w:r>
        <w:rPr>
          <w:lang w:val="es-ES"/>
        </w:rPr>
        <w:t>sinfección en la mutual. En ese cometido, ingresó al ed</w:t>
      </w:r>
      <w:r>
        <w:rPr>
          <w:lang w:val="es-ES"/>
        </w:rPr>
        <w:t>i</w:t>
      </w:r>
      <w:r>
        <w:rPr>
          <w:lang w:val="es-ES"/>
        </w:rPr>
        <w:t>ficio, se dirigió al segundo piso y como le informaron que Malamud no se encontraba, se retiró siendo aproximad</w:t>
      </w:r>
      <w:r>
        <w:rPr>
          <w:lang w:val="es-ES"/>
        </w:rPr>
        <w:t>a</w:t>
      </w:r>
      <w:r>
        <w:rPr>
          <w:lang w:val="es-ES"/>
        </w:rPr>
        <w:t>mente las 9.40 ó 9.45. Casi al llegar por Pasteur a la calle Viamonte ocurrió la explosión y de inmediato</w:t>
      </w:r>
      <w:r>
        <w:t xml:space="preserve"> una ll</w:t>
      </w:r>
      <w:r>
        <w:t>u</w:t>
      </w:r>
      <w:r>
        <w:t>via de vidrios comenzó a caer.</w:t>
      </w:r>
    </w:p>
    <w:p w:rsidR="00224567" w:rsidRDefault="00224567">
      <w:pPr>
        <w:pStyle w:val="Sangradetextonormal"/>
        <w:widowControl w:val="0"/>
        <w:ind w:firstLine="0"/>
      </w:pPr>
      <w:r>
        <w:tab/>
        <w:t>Asimismo, señaló no haber visto, in</w:t>
      </w:r>
      <w:r>
        <w:t>s</w:t>
      </w:r>
      <w:r>
        <w:t>tantes antes de la explosión, una camioneta Trafic color blanca, recordando tan solo un volquete con algunos esco</w:t>
      </w:r>
      <w:r>
        <w:t>m</w:t>
      </w:r>
      <w:r>
        <w:t xml:space="preserve">bros en su interior y un auto particular –quizá un Fiat 147- cerca de la puerta de </w:t>
      </w:r>
      <w:smartTag w:uri="urn:schemas-microsoft-com:office:smarttags" w:element="PersonName">
        <w:smartTagPr>
          <w:attr w:name="ProductID" w:val="la A.M"/>
        </w:smartTagPr>
        <w:r>
          <w:t>la A.M</w:t>
        </w:r>
      </w:smartTag>
      <w:r>
        <w:t>.I.A.</w:t>
      </w:r>
    </w:p>
    <w:p w:rsidR="00224567" w:rsidRDefault="00224567">
      <w:pPr>
        <w:pStyle w:val="Sangradetextonormal"/>
        <w:widowControl w:val="0"/>
        <w:ind w:firstLine="0"/>
        <w:rPr>
          <w:lang w:val="es-ES"/>
        </w:rPr>
      </w:pPr>
      <w:r>
        <w:rPr>
          <w:lang w:val="es-ES"/>
        </w:rPr>
        <w:tab/>
        <w:t>Por su parte, Marcial César Pel</w:t>
      </w:r>
      <w:r>
        <w:rPr>
          <w:lang w:val="es-ES"/>
        </w:rPr>
        <w:t>e</w:t>
      </w:r>
      <w:r>
        <w:rPr>
          <w:lang w:val="es-ES"/>
        </w:rPr>
        <w:t>teyro manifestó que el día del hecho concurrió a un local s</w:t>
      </w:r>
      <w:r>
        <w:rPr>
          <w:lang w:val="es-ES"/>
        </w:rPr>
        <w:t>o</w:t>
      </w:r>
      <w:r>
        <w:rPr>
          <w:lang w:val="es-ES"/>
        </w:rPr>
        <w:t>bre la calle Azcuénaga, pero como no lo pudieron atender dec</w:t>
      </w:r>
      <w:r>
        <w:rPr>
          <w:lang w:val="es-ES"/>
        </w:rPr>
        <w:t>i</w:t>
      </w:r>
      <w:r>
        <w:rPr>
          <w:lang w:val="es-ES"/>
        </w:rPr>
        <w:t xml:space="preserve">dió “hacer tiempo” caminando por la zona, tomando </w:t>
      </w:r>
      <w:smartTag w:uri="urn:schemas-microsoft-com:office:smarttags" w:element="PersonName">
        <w:smartTagPr>
          <w:attr w:name="ProductID" w:val="la Av. C￳rdoba"/>
        </w:smartTagPr>
        <w:r>
          <w:rPr>
            <w:lang w:val="es-ES"/>
          </w:rPr>
          <w:t>la Av. Córdoba</w:t>
        </w:r>
      </w:smartTag>
      <w:r>
        <w:rPr>
          <w:lang w:val="es-ES"/>
        </w:rPr>
        <w:t xml:space="preserve"> y luego Pasteur hacia Corrie</w:t>
      </w:r>
      <w:r>
        <w:rPr>
          <w:lang w:val="es-ES"/>
        </w:rPr>
        <w:t>n</w:t>
      </w:r>
      <w:r>
        <w:rPr>
          <w:lang w:val="es-ES"/>
        </w:rPr>
        <w:t>tes cuando, al llegar a Viamonte, escuchó un tremendo estruendo, una única e</w:t>
      </w:r>
      <w:r>
        <w:rPr>
          <w:lang w:val="es-ES"/>
        </w:rPr>
        <w:t>x</w:t>
      </w:r>
      <w:r>
        <w:rPr>
          <w:lang w:val="es-ES"/>
        </w:rPr>
        <w:t>plosión de gran envergadura. Precisó que antes del est</w:t>
      </w:r>
      <w:r>
        <w:rPr>
          <w:lang w:val="es-ES"/>
        </w:rPr>
        <w:t>a</w:t>
      </w:r>
      <w:r>
        <w:rPr>
          <w:lang w:val="es-ES"/>
        </w:rPr>
        <w:t>llido no observó que una cami</w:t>
      </w:r>
      <w:r>
        <w:rPr>
          <w:lang w:val="es-ES"/>
        </w:rPr>
        <w:t>o</w:t>
      </w:r>
      <w:r>
        <w:rPr>
          <w:lang w:val="es-ES"/>
        </w:rPr>
        <w:t>neta Trafic circulara por la calle Pasteur, calificando de desolador el panorama post</w:t>
      </w:r>
      <w:r>
        <w:rPr>
          <w:lang w:val="es-ES"/>
        </w:rPr>
        <w:t>e</w:t>
      </w:r>
      <w:r>
        <w:rPr>
          <w:lang w:val="es-ES"/>
        </w:rPr>
        <w:t>rior al hecho: olor a gas, polvo por todos lados y gran cantidad de escombros y basura, producto del derrumbe t</w:t>
      </w:r>
      <w:r>
        <w:rPr>
          <w:lang w:val="es-ES"/>
        </w:rPr>
        <w:t>o</w:t>
      </w:r>
      <w:r>
        <w:rPr>
          <w:lang w:val="es-ES"/>
        </w:rPr>
        <w:t>tal del edificio y de los daños que sufrieron las con</w:t>
      </w:r>
      <w:r>
        <w:rPr>
          <w:lang w:val="es-ES"/>
        </w:rPr>
        <w:t>s</w:t>
      </w:r>
      <w:r>
        <w:rPr>
          <w:lang w:val="es-ES"/>
        </w:rPr>
        <w:t>trucciones linda</w:t>
      </w:r>
      <w:r>
        <w:rPr>
          <w:lang w:val="es-ES"/>
        </w:rPr>
        <w:t>n</w:t>
      </w:r>
      <w:r>
        <w:rPr>
          <w:lang w:val="es-ES"/>
        </w:rPr>
        <w:t>tes.</w:t>
      </w:r>
    </w:p>
    <w:p w:rsidR="00224567" w:rsidRDefault="00224567">
      <w:pPr>
        <w:widowControl w:val="0"/>
      </w:pPr>
      <w:r>
        <w:tab/>
        <w:t>Gustavo Guillermo Spinelli expl</w:t>
      </w:r>
      <w:r>
        <w:t>i</w:t>
      </w:r>
      <w:r>
        <w:t xml:space="preserve">có que la explosión lo sorprendió mientras caminaba por la vereda par de la calle Pasteur, en dirección a </w:t>
      </w:r>
      <w:smartTag w:uri="urn:schemas-microsoft-com:office:smarttags" w:element="PersonName">
        <w:smartTagPr>
          <w:attr w:name="ProductID" w:val="la Av. Corrientes"/>
        </w:smartTagPr>
        <w:r>
          <w:t>la Av. Corrientes</w:t>
        </w:r>
      </w:smartTag>
      <w:r>
        <w:t>, poco antes de cruzar Viamonte, no recordando haber visto una camioneta Trafic ni haber escuchado, antes del est</w:t>
      </w:r>
      <w:r>
        <w:t>a</w:t>
      </w:r>
      <w:r>
        <w:t>llido, una frenada o aceleración brusca.</w:t>
      </w:r>
    </w:p>
    <w:p w:rsidR="00224567" w:rsidRDefault="00224567">
      <w:pPr>
        <w:widowControl w:val="0"/>
      </w:pPr>
      <w:r>
        <w:tab/>
        <w:t>Ramona Miño expresó que esa mañ</w:t>
      </w:r>
      <w:r>
        <w:t>a</w:t>
      </w:r>
      <w:r>
        <w:t>na se dirigía al Hospital de Clínicas caminando por Pasteur cuando, tras cruzar Viamonte, se produjo la expl</w:t>
      </w:r>
      <w:r>
        <w:t>o</w:t>
      </w:r>
      <w:r>
        <w:t>sión que la desplazó hacia la calle, no habiendo esc</w:t>
      </w:r>
      <w:r>
        <w:t>u</w:t>
      </w:r>
      <w:r>
        <w:t>chado, previo al estallido, ruido alguno que se asemeje a la aceler</w:t>
      </w:r>
      <w:r>
        <w:t>a</w:t>
      </w:r>
      <w:r>
        <w:t>ción, choque o frenada de un automóvil.</w:t>
      </w:r>
    </w:p>
    <w:p w:rsidR="00224567" w:rsidRDefault="00224567">
      <w:pPr>
        <w:pStyle w:val="Sangradetextonormal"/>
        <w:widowControl w:val="0"/>
        <w:ind w:firstLine="0"/>
      </w:pPr>
      <w:r>
        <w:tab/>
        <w:t xml:space="preserve">También Juan Carlos Espada manifestó que caminaba por Pasteur en dirección a </w:t>
      </w:r>
      <w:smartTag w:uri="urn:schemas-microsoft-com:office:smarttags" w:element="PersonName">
        <w:smartTagPr>
          <w:attr w:name="ProductID" w:val="la Av. C￳rdoba"/>
        </w:smartTagPr>
        <w:r>
          <w:t>la Av. Córdoba</w:t>
        </w:r>
      </w:smartTag>
      <w:r>
        <w:t xml:space="preserve"> cuando, 4 ó 5 minutos después de pasar la puerta de </w:t>
      </w:r>
      <w:smartTag w:uri="urn:schemas-microsoft-com:office:smarttags" w:element="PersonName">
        <w:smartTagPr>
          <w:attr w:name="ProductID" w:val="la A.M"/>
        </w:smartTagPr>
        <w:r>
          <w:t>la A.M</w:t>
        </w:r>
      </w:smartTag>
      <w:r>
        <w:t>.I.A. y encontrándose próximo a la ochava</w:t>
      </w:r>
      <w:r>
        <w:rPr>
          <w:b/>
          <w:bCs/>
        </w:rPr>
        <w:t xml:space="preserve"> </w:t>
      </w:r>
      <w:r>
        <w:t>de Pasteur y Viamonte, sintió como un trueno muy fuerte que movió el piso, hizo estallar los vidrios y le provocó una intensa sensación de ahogo. En ese momento observó un rodado Pe</w:t>
      </w:r>
      <w:r>
        <w:t>u</w:t>
      </w:r>
      <w:r>
        <w:t>geot 504 “volar por el aire” y un poste de luz caer en d</w:t>
      </w:r>
      <w:r>
        <w:t>i</w:t>
      </w:r>
      <w:r>
        <w:t>cha esquina, no sintiendo ninguna frenada ni ruidos extr</w:t>
      </w:r>
      <w:r>
        <w:t>a</w:t>
      </w:r>
      <w:r>
        <w:t>ños en los instantes previos a la expl</w:t>
      </w:r>
      <w:r>
        <w:t>o</w:t>
      </w:r>
      <w:r>
        <w:t>sión.</w:t>
      </w:r>
    </w:p>
    <w:p w:rsidR="00224567" w:rsidRDefault="00224567">
      <w:pPr>
        <w:pStyle w:val="Sangradetextonormal"/>
        <w:widowControl w:val="0"/>
        <w:ind w:firstLine="0"/>
      </w:pPr>
      <w:r>
        <w:rPr>
          <w:lang w:val="es-ES"/>
        </w:rPr>
        <w:tab/>
        <w:t>Leonor Marina Fuster recordó que cam</w:t>
      </w:r>
      <w:r>
        <w:rPr>
          <w:lang w:val="es-ES"/>
        </w:rPr>
        <w:t>i</w:t>
      </w:r>
      <w:r>
        <w:rPr>
          <w:lang w:val="es-ES"/>
        </w:rPr>
        <w:t>naba por Pasteur del lado de la numeración impar, en se</w:t>
      </w:r>
      <w:r>
        <w:rPr>
          <w:lang w:val="es-ES"/>
        </w:rPr>
        <w:t>n</w:t>
      </w:r>
      <w:r>
        <w:rPr>
          <w:lang w:val="es-ES"/>
        </w:rPr>
        <w:t>tido contrario al del tránsito cuando repentinamente, al cruzar Viamonte y avanzar unos metros, quedó ensordecida mientras una nube negra la rodeaba, a la vez que percibía mucho olor a gas, aclarando que ni siquiera llegó a esc</w:t>
      </w:r>
      <w:r>
        <w:rPr>
          <w:lang w:val="es-ES"/>
        </w:rPr>
        <w:t>u</w:t>
      </w:r>
      <w:r>
        <w:rPr>
          <w:lang w:val="es-ES"/>
        </w:rPr>
        <w:t xml:space="preserve">char la explosión y </w:t>
      </w:r>
      <w:r>
        <w:t>que no podía dar mayores precisiones acerca de lo que pasaba en la calle antes de ocurrida d</w:t>
      </w:r>
      <w:r>
        <w:t>e</w:t>
      </w:r>
      <w:r>
        <w:t>bido a que en ese momento estaba distraída mirando vidri</w:t>
      </w:r>
      <w:r>
        <w:t>e</w:t>
      </w:r>
      <w:r>
        <w:t>ras.</w:t>
      </w:r>
    </w:p>
    <w:p w:rsidR="00224567" w:rsidRDefault="00224567">
      <w:pPr>
        <w:pStyle w:val="Sangradetextonormal"/>
        <w:widowControl w:val="0"/>
        <w:ind w:firstLine="0"/>
      </w:pPr>
      <w:r>
        <w:tab/>
        <w:t>Angélica Esther Leiva, por su parte, declaró que la mañana del 18 de julio, previo a arribar a su trabajo en una boutique mayorista de niños, sita en Pasteur al 400 se dirigió, a eso de las 9.45, a la farm</w:t>
      </w:r>
      <w:r>
        <w:t>a</w:t>
      </w:r>
      <w:r>
        <w:t xml:space="preserve">cia ubicada frente a </w:t>
      </w:r>
      <w:smartTag w:uri="urn:schemas-microsoft-com:office:smarttags" w:element="PersonName">
        <w:smartTagPr>
          <w:attr w:name="ProductID" w:val="la A.M"/>
        </w:smartTagPr>
        <w:r>
          <w:t>la A.M</w:t>
        </w:r>
      </w:smartTag>
      <w:r>
        <w:t>.I.A.; señaló que mientras c</w:t>
      </w:r>
      <w:r>
        <w:t>a</w:t>
      </w:r>
      <w:r>
        <w:t>minaba por la vereda de la numeración par y una vez tra</w:t>
      </w:r>
      <w:r>
        <w:t>s</w:t>
      </w:r>
      <w:r>
        <w:t>puesto el edificio de la mutual, si</w:t>
      </w:r>
      <w:r>
        <w:t>n</w:t>
      </w:r>
      <w:r>
        <w:t>tió a sus espaldas una fuerte explosión que parecía provenir de la calle y ens</w:t>
      </w:r>
      <w:r>
        <w:t>e</w:t>
      </w:r>
      <w:r>
        <w:t>guida un aire caliente y una gran lluvia de tierra o po</w:t>
      </w:r>
      <w:r>
        <w:t>l</w:t>
      </w:r>
      <w:r>
        <w:t>vo, tras lo cual perdió el conocimiento.</w:t>
      </w:r>
    </w:p>
    <w:p w:rsidR="00224567" w:rsidRDefault="00224567">
      <w:pPr>
        <w:pStyle w:val="Sangradetextonormal"/>
        <w:widowControl w:val="0"/>
        <w:ind w:firstLine="0"/>
      </w:pPr>
      <w:r>
        <w:tab/>
        <w:t>Asimismo, memoró haber observado en el trayecto a la farmacia, un poco alejado de la puerta de la mutual, un móvil policial con una persona ubicada al v</w:t>
      </w:r>
      <w:r>
        <w:t>o</w:t>
      </w:r>
      <w:r>
        <w:t>lante, como así también que el tránsito vehicular era ba</w:t>
      </w:r>
      <w:r>
        <w:t>s</w:t>
      </w:r>
      <w:r>
        <w:t>tante fluido; empero, no recordó la presencia de ninguna camioneta, colectivo o automóvil en particular ni ruidos de aceleraciones o frenadas instantes antes de la deton</w:t>
      </w:r>
      <w:r>
        <w:t>a</w:t>
      </w:r>
      <w:r>
        <w:t>ción.</w:t>
      </w:r>
    </w:p>
    <w:p w:rsidR="00224567" w:rsidRDefault="00224567">
      <w:pPr>
        <w:pStyle w:val="Sangradetextonormal"/>
        <w:widowControl w:val="0"/>
        <w:ind w:firstLine="0"/>
      </w:pPr>
      <w:r>
        <w:tab/>
        <w:t>Finalmente, se reseñarán los d</w:t>
      </w:r>
      <w:r>
        <w:t>i</w:t>
      </w:r>
      <w:r>
        <w:t>chos de aquellas personas que se encontraban en el interior de los locales y viviendas ubicados en la zona afectada al mome</w:t>
      </w:r>
      <w:r>
        <w:t>n</w:t>
      </w:r>
      <w:r>
        <w:t>to en que se desató la expl</w:t>
      </w:r>
      <w:r>
        <w:t>o</w:t>
      </w:r>
      <w:r>
        <w:t>sión.</w:t>
      </w:r>
    </w:p>
    <w:p w:rsidR="00224567" w:rsidRDefault="00224567">
      <w:pPr>
        <w:pStyle w:val="Sangradetextonormal"/>
        <w:widowControl w:val="0"/>
        <w:ind w:firstLine="0"/>
      </w:pPr>
      <w:r>
        <w:tab/>
        <w:t>En ese sentido, Mónica Beatriz Barr</w:t>
      </w:r>
      <w:r>
        <w:t>a</w:t>
      </w:r>
      <w:r>
        <w:t>ganes relató que se encontraba en el interior de la merc</w:t>
      </w:r>
      <w:r>
        <w:t>e</w:t>
      </w:r>
      <w:r>
        <w:t>ría “Macagno S.R.L”, sita en Pasteur 619, cuando sintió una explosión muy fuerte y un viento que venía de afuera que la arrojó detrás del mostr</w:t>
      </w:r>
      <w:r>
        <w:t>a</w:t>
      </w:r>
      <w:r>
        <w:t>dor y que si bien desde su lugar podía observar la calle, en esa m</w:t>
      </w:r>
      <w:r>
        <w:t>a</w:t>
      </w:r>
      <w:r>
        <w:t>ñana no observó ni escuchó circun</w:t>
      </w:r>
      <w:r>
        <w:t>s</w:t>
      </w:r>
      <w:r>
        <w:t>tancia alguna que le llamara la atención.</w:t>
      </w:r>
    </w:p>
    <w:p w:rsidR="00224567" w:rsidRDefault="00224567">
      <w:pPr>
        <w:pStyle w:val="Sangradetextonormal"/>
        <w:widowControl w:val="0"/>
        <w:ind w:firstLine="0"/>
      </w:pPr>
      <w:r>
        <w:tab/>
        <w:t>Dolores Insúa Calo, también empleada de “Macagno S.R.L.”, coincidió en señalar que en los in</w:t>
      </w:r>
      <w:r>
        <w:t>s</w:t>
      </w:r>
      <w:r>
        <w:t>tantes que antecedieron a la explosión no escuchó ningún ruido fuera de los habituales en la zona.</w:t>
      </w:r>
    </w:p>
    <w:p w:rsidR="00224567" w:rsidRDefault="00224567">
      <w:pPr>
        <w:pStyle w:val="Sangradetextonormal"/>
        <w:widowControl w:val="0"/>
        <w:ind w:firstLine="0"/>
      </w:pPr>
      <w:r>
        <w:tab/>
        <w:t>Por su parte, Aldo Ernesto Macagno</w:t>
      </w:r>
      <w:r>
        <w:rPr>
          <w:b/>
        </w:rPr>
        <w:t>,</w:t>
      </w:r>
      <w:r>
        <w:t xml:space="preserve"> titular de la firma mencionada, tampoco dio cuenta de anormalidad alguna en la calle al producirse la deton</w:t>
      </w:r>
      <w:r>
        <w:t>a</w:t>
      </w:r>
      <w:r>
        <w:t>ción; explicó que fue como una gran descarga a raíz de la cual cayó al suelo perdiendo el conocimiento.</w:t>
      </w:r>
    </w:p>
    <w:p w:rsidR="00224567" w:rsidRDefault="00224567">
      <w:pPr>
        <w:pStyle w:val="Sangradetextonormal"/>
        <w:widowControl w:val="0"/>
        <w:ind w:firstLine="0"/>
      </w:pPr>
      <w:r>
        <w:tab/>
        <w:t>En el local opuesto –Pasteur 618- se encontraba Alejandra Claudia Feldman, quien al prod</w:t>
      </w:r>
      <w:r>
        <w:t>u</w:t>
      </w:r>
      <w:r>
        <w:t>cirse la explosión estaba en el mostrador mirando hacia la c</w:t>
      </w:r>
      <w:r>
        <w:t>a</w:t>
      </w:r>
      <w:r>
        <w:t>lle; según dijo, esa mañana el tránsito era normal sin que nada le llamara la ate</w:t>
      </w:r>
      <w:r>
        <w:t>n</w:t>
      </w:r>
      <w:r>
        <w:t>ción.</w:t>
      </w:r>
    </w:p>
    <w:p w:rsidR="00224567" w:rsidRDefault="00224567">
      <w:pPr>
        <w:pStyle w:val="Sangradetextonormal"/>
        <w:widowControl w:val="0"/>
        <w:ind w:firstLine="0"/>
      </w:pPr>
      <w:r>
        <w:tab/>
        <w:t>Por otro lado, Walter Rubén Ventim</w:t>
      </w:r>
      <w:r>
        <w:t>i</w:t>
      </w:r>
      <w:r>
        <w:t>glia Gopar declaró que se encontraba junto con su s</w:t>
      </w:r>
      <w:r>
        <w:t>o</w:t>
      </w:r>
      <w:r>
        <w:t>cio en el negocio de Pasteur 601 cuando a las 10.00 escuchó un ruido “muy impresionante”, pudiendo percibir ens</w:t>
      </w:r>
      <w:r>
        <w:t>e</w:t>
      </w:r>
      <w:r>
        <w:t>guida un humo negro, objetos y vidrios volando por el aire y un fuerte olor a amoníaco. Sostuvo que si bien en el momento en que ocurrió se encontraba mirando hacia la calle Pa</w:t>
      </w:r>
      <w:r>
        <w:t>s</w:t>
      </w:r>
      <w:r>
        <w:t>teur, no advi</w:t>
      </w:r>
      <w:r>
        <w:t>r</w:t>
      </w:r>
      <w:r>
        <w:t>tió el paso de ninguna camioneta blanca.</w:t>
      </w:r>
    </w:p>
    <w:p w:rsidR="00224567" w:rsidRDefault="00224567">
      <w:pPr>
        <w:pStyle w:val="Sangradetextonormal"/>
        <w:widowControl w:val="0"/>
        <w:ind w:firstLine="0"/>
      </w:pPr>
      <w:r>
        <w:tab/>
        <w:t>Sergio Luis Bondar, propietario de la agencia de lotería ubicada en Pasteur 609, declaró que mientras colocaba unas boletas en el frente del negocio, con su mirada dirigida hacia una de las paredes, sintió una explosión y vio una nube negra que lo envo</w:t>
      </w:r>
      <w:r>
        <w:t>l</w:t>
      </w:r>
      <w:r>
        <w:t>vió, a raíz de lo cual fue arrojado hacia el fondo del comercio; pr</w:t>
      </w:r>
      <w:r>
        <w:t>e</w:t>
      </w:r>
      <w:r>
        <w:t>cisó que, previame</w:t>
      </w:r>
      <w:r>
        <w:t>n</w:t>
      </w:r>
      <w:r>
        <w:t>te no había escuchado ningún ruido que le llamara la atención.</w:t>
      </w:r>
    </w:p>
    <w:p w:rsidR="00224567" w:rsidRDefault="00224567">
      <w:pPr>
        <w:pStyle w:val="Sangradetextonormal"/>
        <w:widowControl w:val="0"/>
        <w:ind w:firstLine="0"/>
      </w:pPr>
      <w:r>
        <w:tab/>
        <w:t>Héctor Eduardo Leoncio Lupi, titular de la juguetería sita en Pasteur 636, recordó que estaba sentado junto con su esposa y su hijo, frente a uno de los mostradores ubicados en la mitad del neg</w:t>
      </w:r>
      <w:r>
        <w:t>o</w:t>
      </w:r>
      <w:r>
        <w:t>cio, de costado a la calle, cuando repentinamente todo se osc</w:t>
      </w:r>
      <w:r>
        <w:t>u</w:t>
      </w:r>
      <w:r>
        <w:t>reció. Indicó que si bien a través de la vidri</w:t>
      </w:r>
      <w:r>
        <w:t>e</w:t>
      </w:r>
      <w:r>
        <w:t>ra de su local podía ver Pasteur y escucharse el ruido del tránsito, no vio en la calle, en los instantes previos al siniestro, ninguna c</w:t>
      </w:r>
      <w:r>
        <w:t>a</w:t>
      </w:r>
      <w:r>
        <w:t>mioneta blanca ni tampoco escuchó un chirrido de neumát</w:t>
      </w:r>
      <w:r>
        <w:t>i</w:t>
      </w:r>
      <w:r>
        <w:t>cos o a choque de vehíc</w:t>
      </w:r>
      <w:r>
        <w:t>u</w:t>
      </w:r>
      <w:r>
        <w:t>los.</w:t>
      </w:r>
    </w:p>
    <w:p w:rsidR="00224567" w:rsidRDefault="00224567">
      <w:pPr>
        <w:pStyle w:val="Sangradetextonormal"/>
        <w:widowControl w:val="0"/>
        <w:ind w:firstLine="0"/>
      </w:pPr>
      <w:r>
        <w:tab/>
        <w:t>Marta Beatriz Massoli, esposa de L</w:t>
      </w:r>
      <w:r>
        <w:t>u</w:t>
      </w:r>
      <w:r>
        <w:t>pi, señaló que mientras miraba unos folletos, de espa</w:t>
      </w:r>
      <w:r>
        <w:t>l</w:t>
      </w:r>
      <w:r>
        <w:t>das a la calle, fue sorprendida por una única explosión y, de inm</w:t>
      </w:r>
      <w:r>
        <w:t>e</w:t>
      </w:r>
      <w:r>
        <w:t>diato, por un fuerte olor a amoníaco que invadió el a</w:t>
      </w:r>
      <w:r>
        <w:t>m</w:t>
      </w:r>
      <w:r>
        <w:t>biente provocándole un sensación de ahogo. Refirió que desde el local se esc</w:t>
      </w:r>
      <w:r>
        <w:t>u</w:t>
      </w:r>
      <w:r>
        <w:t>chaba el ruido de la calle, a pesar de lo cual, previo al estallido, no pe</w:t>
      </w:r>
      <w:r>
        <w:t>r</w:t>
      </w:r>
      <w:r>
        <w:t>cibió ningún ruido que le llamara la atención.</w:t>
      </w:r>
    </w:p>
    <w:p w:rsidR="00224567" w:rsidRDefault="00224567">
      <w:pPr>
        <w:pStyle w:val="Sangradetextonormal"/>
        <w:widowControl w:val="0"/>
        <w:ind w:firstLine="0"/>
      </w:pPr>
      <w:r>
        <w:tab/>
        <w:t>A pocos metros de la mutual, esto es en Pasteur 621, Jorge Osvaldo Ferretti atendía un l</w:t>
      </w:r>
      <w:r>
        <w:t>o</w:t>
      </w:r>
      <w:r>
        <w:t>cal de venta de sombreros. Declaró que se encontraba co</w:t>
      </w:r>
      <w:r>
        <w:t>n</w:t>
      </w:r>
      <w:r>
        <w:t>versando</w:t>
      </w:r>
      <w:r>
        <w:rPr>
          <w:b/>
          <w:bCs/>
        </w:rPr>
        <w:t xml:space="preserve"> </w:t>
      </w:r>
      <w:r>
        <w:t>con su amigo Oscar Gómez cuando sintió un fu</w:t>
      </w:r>
      <w:r>
        <w:t>e</w:t>
      </w:r>
      <w:r>
        <w:t>go y escuchó un ruido, “como un zum”, a la vez que un golpe en su fre</w:t>
      </w:r>
      <w:r>
        <w:t>n</w:t>
      </w:r>
      <w:r>
        <w:t>te lo despidió hacia atrás, provocándole, por unos insta</w:t>
      </w:r>
      <w:r>
        <w:t>n</w:t>
      </w:r>
      <w:r>
        <w:t>tes, la perdida del conocimiento; previo a todo ello no escuchó ningún ruido significat</w:t>
      </w:r>
      <w:r>
        <w:t>i</w:t>
      </w:r>
      <w:r>
        <w:t>vo.</w:t>
      </w:r>
    </w:p>
    <w:p w:rsidR="00224567" w:rsidRDefault="00224567">
      <w:pPr>
        <w:pStyle w:val="Sangradetextonormal"/>
        <w:widowControl w:val="0"/>
        <w:ind w:firstLine="0"/>
      </w:pPr>
      <w:r>
        <w:tab/>
        <w:t>Por su parte, Mario Ernesto Damp man</w:t>
      </w:r>
      <w:r>
        <w:t>i</w:t>
      </w:r>
      <w:r>
        <w:t>festó que llegó a su comercio de fotografía, sito en Pa</w:t>
      </w:r>
      <w:r>
        <w:t>s</w:t>
      </w:r>
      <w:r>
        <w:t>teur 622, cinco minutos antes de la explosión. Ind</w:t>
      </w:r>
      <w:r>
        <w:t>i</w:t>
      </w:r>
      <w:r>
        <w:t>có que estaba atendiendo a una persona cuando sintió una fuerza que lo levantó y lo arrojó contra una de las paredes, qu</w:t>
      </w:r>
      <w:r>
        <w:t>e</w:t>
      </w:r>
      <w:r>
        <w:t>dando prácticamente ciego, percibiendo una gran polvareda. Aseguró que desde su local tenía un p</w:t>
      </w:r>
      <w:r>
        <w:t>a</w:t>
      </w:r>
      <w:r>
        <w:t>norama íntegro de la calle y que, previo al desastre, el tránsito era normal, no escuchando ningún ruido que le llamara la ate</w:t>
      </w:r>
      <w:r>
        <w:t>n</w:t>
      </w:r>
      <w:r>
        <w:t>ción.</w:t>
      </w:r>
    </w:p>
    <w:p w:rsidR="00224567" w:rsidRDefault="00224567">
      <w:pPr>
        <w:pStyle w:val="Sangradetextonormal"/>
        <w:widowControl w:val="0"/>
        <w:ind w:firstLine="0"/>
      </w:pPr>
      <w:r>
        <w:tab/>
        <w:t>María Beatriz Rivera Méndez, encarg</w:t>
      </w:r>
      <w:r>
        <w:t>a</w:t>
      </w:r>
      <w:r>
        <w:t>da de atender las mesas del bar “Kaoba”, sito en Pa</w:t>
      </w:r>
      <w:r>
        <w:t>s</w:t>
      </w:r>
      <w:r>
        <w:t xml:space="preserve">teur 630, refirió que al ocurrir la explosión se encontraba en la cocina, a unos </w:t>
      </w:r>
      <w:smartTag w:uri="urn:schemas-microsoft-com:office:smarttags" w:element="metricconverter">
        <w:smartTagPr>
          <w:attr w:name="ProductID" w:val="4 metros"/>
        </w:smartTagPr>
        <w:r>
          <w:t>4 metros</w:t>
        </w:r>
      </w:smartTag>
      <w:r>
        <w:t xml:space="preserve"> de la calle, desde donde podía e</w:t>
      </w:r>
      <w:r>
        <w:t>s</w:t>
      </w:r>
      <w:r>
        <w:t>cuchar el ruido del trá</w:t>
      </w:r>
      <w:r>
        <w:t>n</w:t>
      </w:r>
      <w:r>
        <w:t>sito, mas no ver el edificio de la mutual, en razón de que una heladera obstruía la visual; precisó que, antes de la detonación, no escuchó ninguna frenada ni un choque de veh</w:t>
      </w:r>
      <w:r>
        <w:t>í</w:t>
      </w:r>
      <w:r>
        <w:t>culos.</w:t>
      </w:r>
    </w:p>
    <w:p w:rsidR="00224567" w:rsidRDefault="00224567">
      <w:pPr>
        <w:pStyle w:val="Sangradetextonormal"/>
        <w:widowControl w:val="0"/>
        <w:ind w:firstLine="0"/>
      </w:pPr>
      <w:r>
        <w:tab/>
        <w:t>En tanto, Blanca Ofelia Castillo V</w:t>
      </w:r>
      <w:r>
        <w:t>i</w:t>
      </w:r>
      <w:r>
        <w:t>llanueva, vecina de Tucumán 2311, piso 3º “K”, manifestó que se encontraba recostada en su cuarto cuando e</w:t>
      </w:r>
      <w:r>
        <w:t>s</w:t>
      </w:r>
      <w:r>
        <w:t>cuchó un terrible estruendo y vio un resplandor anaranjado y amar</w:t>
      </w:r>
      <w:r>
        <w:t>i</w:t>
      </w:r>
      <w:r>
        <w:t>llo entre las persianas, “como si hubi</w:t>
      </w:r>
      <w:r>
        <w:t>e</w:t>
      </w:r>
      <w:r>
        <w:t>ra caído un rayo”. Precisó que su dormitorio daba a Pasteur, por lo que esc</w:t>
      </w:r>
      <w:r>
        <w:t>u</w:t>
      </w:r>
      <w:r>
        <w:t>chaba el m</w:t>
      </w:r>
      <w:r>
        <w:t>o</w:t>
      </w:r>
      <w:r>
        <w:t>vimiento peatonal y vehicular de dicha arteria, no percibiendo en esa mañana nada que le llamara la ate</w:t>
      </w:r>
      <w:r>
        <w:t>n</w:t>
      </w:r>
      <w:r>
        <w:t>ción.</w:t>
      </w:r>
    </w:p>
    <w:p w:rsidR="00224567" w:rsidRDefault="00224567">
      <w:pPr>
        <w:pStyle w:val="Sangradetextonormal"/>
        <w:widowControl w:val="0"/>
        <w:ind w:firstLine="0"/>
      </w:pPr>
      <w:r>
        <w:tab/>
        <w:t>En el piso 3º “A” de Pasteur 632, H</w:t>
      </w:r>
      <w:r>
        <w:t>o</w:t>
      </w:r>
      <w:r>
        <w:t>racio Diego Velásquez también reconoció no haber esc</w:t>
      </w:r>
      <w:r>
        <w:t>u</w:t>
      </w:r>
      <w:r>
        <w:t>chado por esas horas ningún ruido fuera del habitual.</w:t>
      </w:r>
    </w:p>
    <w:p w:rsidR="00224567" w:rsidRDefault="00224567">
      <w:pPr>
        <w:pStyle w:val="Sangradetextonormal"/>
        <w:widowControl w:val="0"/>
        <w:ind w:firstLine="0"/>
      </w:pPr>
      <w:r>
        <w:tab/>
        <w:t>Sobre el frente del edificio de Pa</w:t>
      </w:r>
      <w:r>
        <w:t>s</w:t>
      </w:r>
      <w:r>
        <w:t>teur 611, en el 2° piso, Arturo Gritti poseía una of</w:t>
      </w:r>
      <w:r>
        <w:t>i</w:t>
      </w:r>
      <w:r>
        <w:t>cina de venta de herramientas. Según sus dichos, se e</w:t>
      </w:r>
      <w:r>
        <w:t>n</w:t>
      </w:r>
      <w:r>
        <w:t xml:space="preserve">contraba a unos </w:t>
      </w:r>
      <w:smartTag w:uri="urn:schemas-microsoft-com:office:smarttags" w:element="metricconverter">
        <w:smartTagPr>
          <w:attr w:name="ProductID" w:val="2 metros"/>
        </w:smartTagPr>
        <w:r>
          <w:t>2 metros</w:t>
        </w:r>
      </w:smartTag>
      <w:r>
        <w:t xml:space="preserve"> de la ventana y no escuchó, instantes pr</w:t>
      </w:r>
      <w:r>
        <w:t>e</w:t>
      </w:r>
      <w:r>
        <w:t>vios a la explosión, ningún ruido que le llamara la ate</w:t>
      </w:r>
      <w:r>
        <w:t>n</w:t>
      </w:r>
      <w:r>
        <w:t>ción. En el piso 4º de ese edificio, Jaime Alejandro Wa</w:t>
      </w:r>
      <w:r>
        <w:t>i</w:t>
      </w:r>
      <w:r>
        <w:t>zer precisó no haber percibido, en los momentos ant</w:t>
      </w:r>
      <w:r>
        <w:t>e</w:t>
      </w:r>
      <w:r>
        <w:t>riores al siniestro, nada fuera de lo habitual, ni siquiera el estruendo de la explosión, expresando que “fue tan sólo como un gran escape de gas”</w:t>
      </w:r>
      <w:r>
        <w:rPr>
          <w:b/>
          <w:bCs/>
        </w:rPr>
        <w:t xml:space="preserve"> </w:t>
      </w:r>
      <w:r>
        <w:t>y, tras ello, una intensa luz roja.</w:t>
      </w:r>
    </w:p>
    <w:p w:rsidR="00224567" w:rsidRDefault="00224567">
      <w:pPr>
        <w:pStyle w:val="Sangradetextonormal"/>
        <w:widowControl w:val="0"/>
        <w:ind w:firstLine="0"/>
      </w:pPr>
      <w:r>
        <w:tab/>
        <w:t>También en el piso 4º se encontraba Jorge Gabriel Taibo, mozo del bar “Asturias”, quien rel</w:t>
      </w:r>
      <w:r>
        <w:t>a</w:t>
      </w:r>
      <w:r>
        <w:t>tó que la explosión, que lo sorprendió entregando un ped</w:t>
      </w:r>
      <w:r>
        <w:t>i</w:t>
      </w:r>
      <w:r>
        <w:t xml:space="preserve">do; pese a encontrarse a 3 ó </w:t>
      </w:r>
      <w:smartTag w:uri="urn:schemas-microsoft-com:office:smarttags" w:element="metricconverter">
        <w:smartTagPr>
          <w:attr w:name="ProductID" w:val="4 metros"/>
        </w:smartTagPr>
        <w:r>
          <w:t>4 metros</w:t>
        </w:r>
      </w:smartTag>
      <w:r>
        <w:t xml:space="preserve"> de la ventana, refirió no haber escuchado en los instantes previos ningún ruido que le llamara la atención.</w:t>
      </w:r>
    </w:p>
    <w:p w:rsidR="00224567" w:rsidRDefault="00224567">
      <w:pPr>
        <w:pStyle w:val="Sangradetextonormal"/>
        <w:widowControl w:val="0"/>
        <w:ind w:firstLine="0"/>
      </w:pPr>
      <w:r>
        <w:tab/>
        <w:t>Ariel Fernando Isgro, quien para la época vivía en el piso 1º del inmueble sito en Pasteur 644, manifestó que aproximadamente a las 9.50, cuando e</w:t>
      </w:r>
      <w:r>
        <w:t>s</w:t>
      </w:r>
      <w:r>
        <w:t>taba por salir de su domicilio, escuchó una explosión, viendo a la onda expansiva ingresar en su departamento, indicando que en los insta</w:t>
      </w:r>
      <w:r>
        <w:t>n</w:t>
      </w:r>
      <w:r>
        <w:t>tes previos ningún ruido de la calle le llamó la atención. También Telma Beatriz Díaz de Martínez, empleada en la distribuidora “Sussy” de Pasteur 666, afirmó que nada le llamó la atención previo al e</w:t>
      </w:r>
      <w:r>
        <w:t>s</w:t>
      </w:r>
      <w:r>
        <w:t>truendo, a pesar de que desde el lugar en que se encontr</w:t>
      </w:r>
      <w:r>
        <w:t>a</w:t>
      </w:r>
      <w:r>
        <w:t>ba podía escuchar el tránsito de la calle.</w:t>
      </w:r>
    </w:p>
    <w:p w:rsidR="00224567" w:rsidRDefault="00224567">
      <w:pPr>
        <w:pStyle w:val="Sangradetextonormal"/>
        <w:widowControl w:val="0"/>
        <w:ind w:firstLine="0"/>
      </w:pPr>
      <w:r>
        <w:rPr>
          <w:b/>
          <w:bCs/>
        </w:rPr>
        <w:tab/>
        <w:t>A.22)</w:t>
      </w:r>
      <w:r>
        <w:t xml:space="preserve"> Como resulta de la reseña efe</w:t>
      </w:r>
      <w:r>
        <w:t>c</w:t>
      </w:r>
      <w:r>
        <w:t>tuada en el apartado precedente, numerosas fueron las pe</w:t>
      </w:r>
      <w:r>
        <w:t>r</w:t>
      </w:r>
      <w:r>
        <w:t>sonas que, pese a haber estado próximas al ep</w:t>
      </w:r>
      <w:r>
        <w:t>i</w:t>
      </w:r>
      <w:r>
        <w:t>centro de la explosión, nada pudieron aportar acerca del modo en que se llevó a cabo el atentado, conforme los térm</w:t>
      </w:r>
      <w:r>
        <w:t>i</w:t>
      </w:r>
      <w:r>
        <w:t>nos que en el inicio del presente capítulo se tienen por probados; es más, algunos de ellos –Villalba, Ac</w:t>
      </w:r>
      <w:r>
        <w:t>u</w:t>
      </w:r>
      <w:r>
        <w:t>ña, Bordón y Álvarez- afirmaron, por distintas razones, la no presencia de una camioneta “R</w:t>
      </w:r>
      <w:r>
        <w:t>e</w:t>
      </w:r>
      <w:r>
        <w:t>nault Trafic” en el momento del hecho.</w:t>
      </w:r>
    </w:p>
    <w:p w:rsidR="00224567" w:rsidRDefault="00224567">
      <w:pPr>
        <w:pStyle w:val="Sangradetextonormal"/>
        <w:widowControl w:val="0"/>
        <w:ind w:firstLine="0"/>
      </w:pPr>
      <w:r>
        <w:tab/>
        <w:t>Sin embargo, tales testimonios en n</w:t>
      </w:r>
      <w:r>
        <w:t>a</w:t>
      </w:r>
      <w:r>
        <w:t>da modifican la conclusión anticipada, tal como lo pretendi</w:t>
      </w:r>
      <w:r>
        <w:t>e</w:t>
      </w:r>
      <w:r>
        <w:t>ron las defensas de Telleldín, Ribelli, Ibarra, Bareiro, Leal y Nitzcaner en sus alegatos.</w:t>
      </w:r>
    </w:p>
    <w:p w:rsidR="00224567" w:rsidRDefault="00224567">
      <w:pPr>
        <w:pStyle w:val="Sangradetextonormal"/>
        <w:widowControl w:val="0"/>
        <w:ind w:firstLine="0"/>
      </w:pPr>
      <w:r>
        <w:tab/>
        <w:t>En efecto, el secuestro en el lugar del hecho de numerosas piezas de un automotor que se h</w:t>
      </w:r>
      <w:r>
        <w:t>a</w:t>
      </w:r>
      <w:r>
        <w:t>llaban instaladas y funcionando al momento de la expl</w:t>
      </w:r>
      <w:r>
        <w:t>o</w:t>
      </w:r>
      <w:r>
        <w:t>sión, conforme el mentado peritaje de fs. 30.761/30.764, las que además presentaban roturas y deformaciones comp</w:t>
      </w:r>
      <w:r>
        <w:t>a</w:t>
      </w:r>
      <w:r>
        <w:t>tibles con una detonación; los vestigios de material e</w:t>
      </w:r>
      <w:r>
        <w:t>x</w:t>
      </w:r>
      <w:r>
        <w:t>plosivo que presentaban; la extracción de ese tipo de pi</w:t>
      </w:r>
      <w:r>
        <w:t>e</w:t>
      </w:r>
      <w:r>
        <w:t>zas de los cuerpos de dos víct</w:t>
      </w:r>
      <w:r>
        <w:t>i</w:t>
      </w:r>
      <w:r>
        <w:t>mas fatales; el lugar donde se produjo la detonación, esto es, en la zona i</w:t>
      </w:r>
      <w:r>
        <w:t>n</w:t>
      </w:r>
      <w:r>
        <w:t>mediata al ingreso del edificio, como así también los testimonios de María Nicolasa Romero y Carlos Rigoberto Heidenreich, ad</w:t>
      </w:r>
      <w:r>
        <w:t>i</w:t>
      </w:r>
      <w:r>
        <w:t xml:space="preserve">tados a los demás elementos de convicción </w:t>
      </w:r>
      <w:r>
        <w:rPr>
          <w:u w:val="single"/>
        </w:rPr>
        <w:t>ut supra</w:t>
      </w:r>
      <w:r>
        <w:t xml:space="preserve"> valor</w:t>
      </w:r>
      <w:r>
        <w:t>a</w:t>
      </w:r>
      <w:r>
        <w:t>dos, constituyen un cuadro probatorio concluyente e irr</w:t>
      </w:r>
      <w:r>
        <w:t>e</w:t>
      </w:r>
      <w:r>
        <w:t>futable del extremo señalado al inicio.</w:t>
      </w:r>
    </w:p>
    <w:p w:rsidR="00224567" w:rsidRDefault="00224567">
      <w:pPr>
        <w:pStyle w:val="Sangradetextonormal"/>
        <w:widowControl w:val="0"/>
        <w:ind w:firstLine="0"/>
      </w:pPr>
      <w:r>
        <w:tab/>
        <w:t>En tal sentido, cabe indicar que para que un testimonio goce de eficacia probatoria re</w:t>
      </w:r>
      <w:r>
        <w:t>s</w:t>
      </w:r>
      <w:r>
        <w:t>pecto de los sucesos que en él se narran, resulta nec</w:t>
      </w:r>
      <w:r>
        <w:t>e</w:t>
      </w:r>
      <w:r>
        <w:t>sario que no se encuentre en contradicción con una prueba de mayor fuerza convictiva. Regla que opera cuando se allega al proceso un medio probatorio que, sea por razón de la tar</w:t>
      </w:r>
      <w:r>
        <w:t>i</w:t>
      </w:r>
      <w:r>
        <w:t>fa legal o por la libre apreciación del juzgador, sumini</w:t>
      </w:r>
      <w:r>
        <w:t>s</w:t>
      </w:r>
      <w:r>
        <w:t>tra una mayor fuerza de convicción en sentido contrario. Es obvio, entonces, que el juez deba darle preferencia a este medio, cualquiera que sea el número y la calidad de los testimonios aducidos, porque resultarán inver</w:t>
      </w:r>
      <w:r>
        <w:t>o</w:t>
      </w:r>
      <w:r>
        <w:t xml:space="preserve">símiles o, por lo menos, sospechosos (Hernando Devis Echandía, “Teoría General de </w:t>
      </w:r>
      <w:smartTag w:uri="urn:schemas-microsoft-com:office:smarttags" w:element="PersonName">
        <w:smartTagPr>
          <w:attr w:name="ProductID" w:val="la Prueba Judicial"/>
        </w:smartTagPr>
        <w:r>
          <w:t>la Prueba Judicial</w:t>
        </w:r>
      </w:smartTag>
      <w:r>
        <w:t>”, Ed. Biblioteca J</w:t>
      </w:r>
      <w:r>
        <w:t>u</w:t>
      </w:r>
      <w:r>
        <w:t>rídica Diké, 4ª. Edición, Medellín 1993, T.II, pag. 113 y ss.).</w:t>
      </w:r>
    </w:p>
    <w:p w:rsidR="00224567" w:rsidRDefault="00224567">
      <w:pPr>
        <w:pStyle w:val="Sangradetextonormal"/>
        <w:widowControl w:val="0"/>
        <w:ind w:firstLine="0"/>
      </w:pPr>
      <w:r>
        <w:tab/>
        <w:t>De igual modo, Mittermaier señala que “la más fuerte garantía de la estabilidad del testimonio es su perfecta concordancia con los resultados que las d</w:t>
      </w:r>
      <w:r>
        <w:t>e</w:t>
      </w:r>
      <w:r>
        <w:t>más pruebas suministran”, añ</w:t>
      </w:r>
      <w:r>
        <w:t>a</w:t>
      </w:r>
      <w:r>
        <w:t>diendo que “si las pruebas de la causa vienen a demostrar alterada la circunstancia principal declarada por el testigo, en el momento la fe debida a éste cae por tierra y se desv</w:t>
      </w:r>
      <w:r>
        <w:t>a</w:t>
      </w:r>
      <w:r>
        <w:t>nece”. Como ejemplo de tal supuesto, el autor cita el caso del testigo que afirma que A. ha muerto a B. de una puñalada y los per</w:t>
      </w:r>
      <w:r>
        <w:t>i</w:t>
      </w:r>
      <w:r>
        <w:t>tos, después de hacer la auto</w:t>
      </w:r>
      <w:r>
        <w:t>p</w:t>
      </w:r>
      <w:r>
        <w:t xml:space="preserve">sia, declaran que la herida ha sido causada con arma de fuego (“Tratado de </w:t>
      </w:r>
      <w:smartTag w:uri="urn:schemas-microsoft-com:office:smarttags" w:element="PersonName">
        <w:smartTagPr>
          <w:attr w:name="ProductID" w:val="La Prueba"/>
        </w:smartTagPr>
        <w:r>
          <w:t>la Prueba</w:t>
        </w:r>
      </w:smartTag>
      <w:r>
        <w:t xml:space="preserve"> en Materia Criminal”, Instituto Editorial Reus, Novena Edición, Madrid 1959, pág. 372).</w:t>
      </w:r>
    </w:p>
    <w:p w:rsidR="00224567" w:rsidRDefault="00224567">
      <w:pPr>
        <w:pStyle w:val="Sangradetextonormal"/>
        <w:widowControl w:val="0"/>
        <w:ind w:firstLine="0"/>
      </w:pPr>
      <w:r>
        <w:tab/>
        <w:t>Corresponde aclarar que lo e</w:t>
      </w:r>
      <w:r>
        <w:t>x</w:t>
      </w:r>
      <w:r>
        <w:t>puesto no pretende poner en tela de juicio la rectitud de los test</w:t>
      </w:r>
      <w:r>
        <w:t>i</w:t>
      </w:r>
      <w:r>
        <w:t>gos cuyos relatos se reseñaron ant</w:t>
      </w:r>
      <w:r>
        <w:t>e</w:t>
      </w:r>
      <w:r>
        <w:t>riormente; es que, como enseña Devis Echandía “la crítica de la exactitud o ver</w:t>
      </w:r>
      <w:r>
        <w:t>a</w:t>
      </w:r>
      <w:r>
        <w:t>cidad consiste en determinar si lo dicho de buena fe por el testigo c</w:t>
      </w:r>
      <w:r>
        <w:t>o</w:t>
      </w:r>
      <w:r>
        <w:t>rresponde o no a la realidad o verdad de los hechos, de acuerdo con la razón de su dicho y el contenido de las demás pruebas, la posibilidad y verosimilitud de sus percepciones y de los hechos que de éstas deduce, la fidelidad de sus recuerdos y de su narr</w:t>
      </w:r>
      <w:r>
        <w:t>a</w:t>
      </w:r>
      <w:r>
        <w:t>ción, esto es, si incurrió o no en error” (Ob. cit., pág. 249).</w:t>
      </w:r>
    </w:p>
    <w:p w:rsidR="00224567" w:rsidRDefault="00224567">
      <w:pPr>
        <w:pStyle w:val="Sangradetextonormal"/>
        <w:widowControl w:val="0"/>
        <w:ind w:firstLine="0"/>
      </w:pPr>
      <w:r>
        <w:tab/>
        <w:t>En esa inteligencia, remarca el cit</w:t>
      </w:r>
      <w:r>
        <w:t>a</w:t>
      </w:r>
      <w:r>
        <w:t>do autor, distintas circunstancias pueden alterar las perce</w:t>
      </w:r>
      <w:r>
        <w:t>p</w:t>
      </w:r>
      <w:r>
        <w:t>ciones de los hechos que captan los sentidos, debiéndose considerar, en particular, el órgano que utilizó el test</w:t>
      </w:r>
      <w:r>
        <w:t>i</w:t>
      </w:r>
      <w:r>
        <w:t>go para su percepción, los defectos que pueda tener, el estímulo que rec</w:t>
      </w:r>
      <w:r>
        <w:t>i</w:t>
      </w:r>
      <w:r>
        <w:t>bió esa persona para percibir ese hecho, el poder de atención que pudo exi</w:t>
      </w:r>
      <w:r>
        <w:t>s</w:t>
      </w:r>
      <w:r>
        <w:t>tir en ese momento, las especiales condiciones subjet</w:t>
      </w:r>
      <w:r>
        <w:t>i</w:t>
      </w:r>
      <w:r>
        <w:t>vas en que se encontraba el testigo y que hacen más o menos probables sus errores (preocupaciones, dolores, alegrías, somnolencia, interés personal en el hecho), las condiciones del objeto o aco</w:t>
      </w:r>
      <w:r>
        <w:t>n</w:t>
      </w:r>
      <w:r>
        <w:t>tecimiento (si era simple o complejo, si intervenían pocas o muchas personas y si se trataba de algo común o extrao</w:t>
      </w:r>
      <w:r>
        <w:t>r</w:t>
      </w:r>
      <w:r>
        <w:t>dinario) y las circunstancias objetivas del hecho (si oc</w:t>
      </w:r>
      <w:r>
        <w:t>u</w:t>
      </w:r>
      <w:r>
        <w:t>rrió de día o de noche y a qué hora, la distancia, la pr</w:t>
      </w:r>
      <w:r>
        <w:t>e</w:t>
      </w:r>
      <w:r>
        <w:t>sencia de otras personas o la soledad del lugar).</w:t>
      </w:r>
    </w:p>
    <w:p w:rsidR="00224567" w:rsidRDefault="00224567">
      <w:pPr>
        <w:widowControl w:val="0"/>
        <w:rPr>
          <w:lang w:val="es-ES_tradnl"/>
        </w:rPr>
      </w:pPr>
      <w:r>
        <w:rPr>
          <w:lang w:val="es-ES_tradnl"/>
        </w:rPr>
        <w:tab/>
        <w:t>Sobre el particular, François Gorphe, en su obra “</w:t>
      </w:r>
      <w:smartTag w:uri="urn:schemas-microsoft-com:office:smarttags" w:element="PersonName">
        <w:smartTagPr>
          <w:attr w:name="ProductID" w:val="La Apreciaci￳n Judicial"/>
        </w:smartTagPr>
        <w:r>
          <w:rPr>
            <w:lang w:val="es-ES_tradnl"/>
          </w:rPr>
          <w:t>La Apreciación Judicial</w:t>
        </w:r>
      </w:smartTag>
      <w:r>
        <w:rPr>
          <w:lang w:val="es-ES_tradnl"/>
        </w:rPr>
        <w:t xml:space="preserve"> de Las Pruebas” i</w:t>
      </w:r>
      <w:r>
        <w:rPr>
          <w:lang w:val="es-ES_tradnl"/>
        </w:rPr>
        <w:t>n</w:t>
      </w:r>
      <w:r>
        <w:rPr>
          <w:lang w:val="es-ES_tradnl"/>
        </w:rPr>
        <w:t>dica que los testigos “están generalmente en una condición n</w:t>
      </w:r>
      <w:r>
        <w:rPr>
          <w:lang w:val="es-ES_tradnl"/>
        </w:rPr>
        <w:t>e</w:t>
      </w:r>
      <w:r>
        <w:rPr>
          <w:lang w:val="es-ES_tradnl"/>
        </w:rPr>
        <w:t>gativa desfavorable, muy distinta a la de un observador: tienen conocimiento por azar, involuntariamente, sin pr</w:t>
      </w:r>
      <w:r>
        <w:rPr>
          <w:lang w:val="es-ES_tradnl"/>
        </w:rPr>
        <w:t>e</w:t>
      </w:r>
      <w:r>
        <w:rPr>
          <w:lang w:val="es-ES_tradnl"/>
        </w:rPr>
        <w:t>paración y sin interés y, en consecuencia, sin mucha ate</w:t>
      </w:r>
      <w:r>
        <w:rPr>
          <w:lang w:val="es-ES_tradnl"/>
        </w:rPr>
        <w:t>n</w:t>
      </w:r>
      <w:r>
        <w:rPr>
          <w:lang w:val="es-ES_tradnl"/>
        </w:rPr>
        <w:t>ción; lo que da lugar a una percepción más o menos inco</w:t>
      </w:r>
      <w:r>
        <w:rPr>
          <w:lang w:val="es-ES_tradnl"/>
        </w:rPr>
        <w:t>m</w:t>
      </w:r>
      <w:r>
        <w:rPr>
          <w:lang w:val="es-ES_tradnl"/>
        </w:rPr>
        <w:t>pleta, fragmentaria y descolorida. Las cualidades de la percepción dependen m</w:t>
      </w:r>
      <w:r>
        <w:rPr>
          <w:lang w:val="es-ES_tradnl"/>
        </w:rPr>
        <w:t>u</w:t>
      </w:r>
      <w:r>
        <w:rPr>
          <w:lang w:val="es-ES_tradnl"/>
        </w:rPr>
        <w:t>cho de las condiciones en las que se forma: condiciones subjetivas en las que se encuentra el individuo en relación con el desarrollo del aco</w:t>
      </w:r>
      <w:r>
        <w:rPr>
          <w:lang w:val="es-ES_tradnl"/>
        </w:rPr>
        <w:t>n</w:t>
      </w:r>
      <w:r>
        <w:rPr>
          <w:lang w:val="es-ES_tradnl"/>
        </w:rPr>
        <w:t>tecimiento (estado afectivo, interés, disposición mental, etc.); co</w:t>
      </w:r>
      <w:r>
        <w:rPr>
          <w:lang w:val="es-ES_tradnl"/>
        </w:rPr>
        <w:t>n</w:t>
      </w:r>
      <w:r>
        <w:rPr>
          <w:lang w:val="es-ES_tradnl"/>
        </w:rPr>
        <w:t>diciones objetivas en las que se presenta el objeto, si</w:t>
      </w:r>
      <w:r>
        <w:rPr>
          <w:lang w:val="es-ES_tradnl"/>
        </w:rPr>
        <w:t>m</w:t>
      </w:r>
      <w:r>
        <w:rPr>
          <w:lang w:val="es-ES_tradnl"/>
        </w:rPr>
        <w:t>ple o complejo (luz, dista</w:t>
      </w:r>
      <w:r>
        <w:rPr>
          <w:lang w:val="es-ES_tradnl"/>
        </w:rPr>
        <w:t>n</w:t>
      </w:r>
      <w:r>
        <w:rPr>
          <w:lang w:val="es-ES_tradnl"/>
        </w:rPr>
        <w:t xml:space="preserve">cia, movilidad, etcétera)” (ed. </w:t>
      </w:r>
      <w:smartTag w:uri="urn:schemas-microsoft-com:office:smarttags" w:element="PersonName">
        <w:smartTagPr>
          <w:attr w:name="ProductID" w:val="La Ley"/>
        </w:smartTagPr>
        <w:r>
          <w:rPr>
            <w:lang w:val="es-ES_tradnl"/>
          </w:rPr>
          <w:t>La Ley</w:t>
        </w:r>
      </w:smartTag>
      <w:r>
        <w:rPr>
          <w:lang w:val="es-ES_tradnl"/>
        </w:rPr>
        <w:t>, Buenos Aires 1967, pág. 371).</w:t>
      </w:r>
    </w:p>
    <w:p w:rsidR="00224567" w:rsidRDefault="00224567">
      <w:pPr>
        <w:widowControl w:val="0"/>
        <w:rPr>
          <w:lang w:val="es-ES_tradnl"/>
        </w:rPr>
      </w:pPr>
      <w:r>
        <w:rPr>
          <w:lang w:val="es-ES_tradnl"/>
        </w:rPr>
        <w:tab/>
        <w:t>En ese mismo orden, Eduardo M. Ja</w:t>
      </w:r>
      <w:r>
        <w:rPr>
          <w:lang w:val="es-ES_tradnl"/>
        </w:rPr>
        <w:t>u</w:t>
      </w:r>
      <w:r>
        <w:rPr>
          <w:lang w:val="es-ES_tradnl"/>
        </w:rPr>
        <w:t xml:space="preserve">chen, en su obra “Tratado de </w:t>
      </w:r>
      <w:smartTag w:uri="urn:schemas-microsoft-com:office:smarttags" w:element="PersonName">
        <w:smartTagPr>
          <w:attr w:name="ProductID" w:val="La Prueba"/>
        </w:smartTagPr>
        <w:r>
          <w:rPr>
            <w:lang w:val="es-ES_tradnl"/>
          </w:rPr>
          <w:t>la Prueba</w:t>
        </w:r>
      </w:smartTag>
      <w:r>
        <w:rPr>
          <w:lang w:val="es-ES_tradnl"/>
        </w:rPr>
        <w:t xml:space="preserve"> en Materia P</w:t>
      </w:r>
      <w:r>
        <w:rPr>
          <w:lang w:val="es-ES_tradnl"/>
        </w:rPr>
        <w:t>e</w:t>
      </w:r>
      <w:r>
        <w:rPr>
          <w:lang w:val="es-ES_tradnl"/>
        </w:rPr>
        <w:t>nal”, alude a la “imposibilidad genérica de que cualquier pers</w:t>
      </w:r>
      <w:r>
        <w:rPr>
          <w:lang w:val="es-ES_tradnl"/>
        </w:rPr>
        <w:t>o</w:t>
      </w:r>
      <w:r>
        <w:rPr>
          <w:lang w:val="es-ES_tradnl"/>
        </w:rPr>
        <w:t>na pueda observar la totalidad de una realidad exterior tal como si fuese una cámara fi</w:t>
      </w:r>
      <w:r>
        <w:rPr>
          <w:lang w:val="es-ES_tradnl"/>
        </w:rPr>
        <w:t>l</w:t>
      </w:r>
      <w:r>
        <w:rPr>
          <w:lang w:val="es-ES_tradnl"/>
        </w:rPr>
        <w:t>madora” (Rubinzal Culzoni Editores, pág. 360 y sgtes.).</w:t>
      </w:r>
    </w:p>
    <w:p w:rsidR="00224567" w:rsidRDefault="00224567">
      <w:pPr>
        <w:widowControl w:val="0"/>
        <w:rPr>
          <w:lang w:val="es-ES_tradnl"/>
        </w:rPr>
      </w:pPr>
      <w:r>
        <w:rPr>
          <w:lang w:val="es-ES_tradnl"/>
        </w:rPr>
        <w:tab/>
        <w:t>Ricardo Levene (h) en su trabajo “El delito de Falso Testimonio” explica que “la psicología j</w:t>
      </w:r>
      <w:r>
        <w:rPr>
          <w:lang w:val="es-ES_tradnl"/>
        </w:rPr>
        <w:t>u</w:t>
      </w:r>
      <w:r>
        <w:rPr>
          <w:lang w:val="es-ES_tradnl"/>
        </w:rPr>
        <w:t>dicial muestra los múltiples errores involunt</w:t>
      </w:r>
      <w:r>
        <w:rPr>
          <w:lang w:val="es-ES_tradnl"/>
        </w:rPr>
        <w:t>a</w:t>
      </w:r>
      <w:r>
        <w:rPr>
          <w:lang w:val="es-ES_tradnl"/>
        </w:rPr>
        <w:t>rios en que incurren los sentidos. La imagin</w:t>
      </w:r>
      <w:r>
        <w:rPr>
          <w:lang w:val="es-ES_tradnl"/>
        </w:rPr>
        <w:t>a</w:t>
      </w:r>
      <w:r>
        <w:rPr>
          <w:lang w:val="es-ES_tradnl"/>
        </w:rPr>
        <w:t>ción o la emoción pueden oscurecer la vista o engañar al oído. El error puede pr</w:t>
      </w:r>
      <w:r>
        <w:rPr>
          <w:lang w:val="es-ES_tradnl"/>
        </w:rPr>
        <w:t>o</w:t>
      </w:r>
      <w:r>
        <w:rPr>
          <w:lang w:val="es-ES_tradnl"/>
        </w:rPr>
        <w:t>venir de las percepciones sensoriales, por i</w:t>
      </w:r>
      <w:r>
        <w:rPr>
          <w:lang w:val="es-ES_tradnl"/>
        </w:rPr>
        <w:t>m</w:t>
      </w:r>
      <w:r>
        <w:rPr>
          <w:lang w:val="es-ES_tradnl"/>
        </w:rPr>
        <w:t>perfecciones de los sentidos y por insuficiencia de la memoria” (pág. 62).</w:t>
      </w:r>
    </w:p>
    <w:p w:rsidR="00224567" w:rsidRDefault="00224567">
      <w:pPr>
        <w:pStyle w:val="Sangradetextonormal"/>
        <w:widowControl w:val="0"/>
        <w:ind w:firstLine="0"/>
      </w:pPr>
      <w:r>
        <w:tab/>
        <w:t>En esa misma línea, cabe traer a col</w:t>
      </w:r>
      <w:r>
        <w:t>a</w:t>
      </w:r>
      <w:r>
        <w:t>ción los trabajos de psicología experimental, consi</w:t>
      </w:r>
      <w:r>
        <w:t>s</w:t>
      </w:r>
      <w:r>
        <w:t>tentes en exponer a varias personas, durante algunos minutos, e</w:t>
      </w:r>
      <w:r>
        <w:t>s</w:t>
      </w:r>
      <w:r>
        <w:t>cenas impresas o breves acontecimientos fi</w:t>
      </w:r>
      <w:r>
        <w:t>l</w:t>
      </w:r>
      <w:r>
        <w:t>mados, y hacer luego sin previo interca</w:t>
      </w:r>
      <w:r>
        <w:t>m</w:t>
      </w:r>
      <w:r>
        <w:t>bio de ideas, que cada individuo narre o explique lo que ha visto. Normalmente resultan marcadas discrepancias o diferencias en los relatos, aún sobre circunstancias de importancia. De ello resulta que para cada persona es verdadero lo percibido (C.N.C.P., S</w:t>
      </w:r>
      <w:r>
        <w:t>a</w:t>
      </w:r>
      <w:r>
        <w:t xml:space="preserve">la III, </w:t>
      </w:r>
      <w:r>
        <w:rPr>
          <w:u w:val="single"/>
        </w:rPr>
        <w:t>in re</w:t>
      </w:r>
      <w:r>
        <w:t xml:space="preserve"> “Peirano, Lepoldo Segismundo”, reg. nº 168/94 del 11 de n</w:t>
      </w:r>
      <w:r>
        <w:t>o</w:t>
      </w:r>
      <w:r>
        <w:t>viembre de 1994).</w:t>
      </w:r>
    </w:p>
    <w:p w:rsidR="00224567" w:rsidRDefault="00224567">
      <w:pPr>
        <w:pStyle w:val="Sangradetextonormal"/>
        <w:widowControl w:val="0"/>
        <w:ind w:firstLine="0"/>
      </w:pPr>
      <w:r>
        <w:tab/>
        <w:t>Sentado lo expuesto, corresponde señ</w:t>
      </w:r>
      <w:r>
        <w:t>a</w:t>
      </w:r>
      <w:r>
        <w:t>lar que no es llamativo que las personas antes nombradas no advirtieran el paso de la camioneta Trafic por la calle Pasteur al 600, instantes antes de la e</w:t>
      </w:r>
      <w:r>
        <w:t>x</w:t>
      </w:r>
      <w:r>
        <w:t>plosión, en razón de que ese episodio, amén de lo fugaz y poco llamativo, resultaba a todas luces un hecho normal y propio de una zona que se caracteriza, como se demostró en el debate, por un continuo movimiento de carga y descarga de mercad</w:t>
      </w:r>
      <w:r>
        <w:t>e</w:t>
      </w:r>
      <w:r>
        <w:t>rías. Vale decir que el hecho que los testigos no hayan percibido el paso de la camioneta, cobró relevancia una vez que aconteció la explosión; extremo éste que, por ser posterior en el tiempo, en nada modificó la atención de los testigos en el momento inmediato anterior.</w:t>
      </w:r>
    </w:p>
    <w:p w:rsidR="00224567" w:rsidRDefault="00224567">
      <w:pPr>
        <w:pStyle w:val="Sangradetextonormal"/>
        <w:widowControl w:val="0"/>
        <w:ind w:firstLine="0"/>
      </w:pPr>
      <w:r>
        <w:tab/>
        <w:t>Es preciso destacar, por otra parte, que muchos de los testigos mencionados se encontraban de espaldas al trayecto de la camioneta por la c</w:t>
      </w:r>
      <w:r>
        <w:t>a</w:t>
      </w:r>
      <w:r>
        <w:t>lle Pasteur; tales, los casos de Rosa Montano de Barreiros, quién afi</w:t>
      </w:r>
      <w:r>
        <w:t>r</w:t>
      </w:r>
      <w:r>
        <w:t>mó que había pasado el volquete que, a juzgar por los d</w:t>
      </w:r>
      <w:r>
        <w:t>i</w:t>
      </w:r>
      <w:r>
        <w:t xml:space="preserve">chos de otros testigos, estaba ubicado unos metros más allá de la puerta de </w:t>
      </w:r>
      <w:smartTag w:uri="urn:schemas-microsoft-com:office:smarttags" w:element="PersonName">
        <w:smartTagPr>
          <w:attr w:name="ProductID" w:val="la A.M"/>
        </w:smartTagPr>
        <w:r>
          <w:t>la A.M</w:t>
        </w:r>
      </w:smartTag>
      <w:r>
        <w:t>.I.A., hacia la calle Viamonte (al respecto, cónfr. testimoniales del conductor del c</w:t>
      </w:r>
      <w:r>
        <w:t>a</w:t>
      </w:r>
      <w:r>
        <w:t>mión volquetero Juan Alberto López, corroboradas por Be</w:t>
      </w:r>
      <w:r>
        <w:t>r</w:t>
      </w:r>
      <w:r>
        <w:t>nardo Kogan, Cristian Enr</w:t>
      </w:r>
      <w:r>
        <w:t>i</w:t>
      </w:r>
      <w:r>
        <w:t>que Alberto Broin, Hugo Leandro Fryszberg, Enrique Antonio Cárdenas, Bernardo Rojman, Hé</w:t>
      </w:r>
      <w:r>
        <w:t>c</w:t>
      </w:r>
      <w:r>
        <w:t>tor Eduardo Leoncio Lupi, entre otros), Daniel Osvaldo S</w:t>
      </w:r>
      <w:r>
        <w:t>a</w:t>
      </w:r>
      <w:r>
        <w:t>ravia, quien señaló que ya había traspuesto el frente de la entidad, al igual que Angélica Esther Leiva, Jorge E</w:t>
      </w:r>
      <w:r>
        <w:t>n</w:t>
      </w:r>
      <w:r>
        <w:t>rique Kaiser, Ljudmila Birukov, Ramona Miño y Juan Carlos Espada.</w:t>
      </w:r>
    </w:p>
    <w:p w:rsidR="00224567" w:rsidRDefault="00224567">
      <w:pPr>
        <w:pStyle w:val="Sangradetextonormal"/>
        <w:widowControl w:val="0"/>
        <w:ind w:firstLine="0"/>
      </w:pPr>
      <w:r>
        <w:tab/>
        <w:t>Asimismo, otros que habrían ten</w:t>
      </w:r>
      <w:r>
        <w:t>i</w:t>
      </w:r>
      <w:r>
        <w:t>do la posibilidad de observar la trayectoria de la camioneta, manifestaron que tenían la atención puesta en otras c</w:t>
      </w:r>
      <w:r>
        <w:t>o</w:t>
      </w:r>
      <w:r>
        <w:t>sas o que, al menos, no habían prestado part</w:t>
      </w:r>
      <w:r>
        <w:t>i</w:t>
      </w:r>
      <w:r>
        <w:t>cular atención al tránsito vehicular. En ese sentido, Daniel Eduardo Joffe, estaba ocupado en un desperfecto en el motor de su autom</w:t>
      </w:r>
      <w:r>
        <w:t>ó</w:t>
      </w:r>
      <w:r>
        <w:t>vil; Osvaldo Héctor Pérez, tenía la vista puesta en una caja de telefonía que estaba rep</w:t>
      </w:r>
      <w:r>
        <w:t>a</w:t>
      </w:r>
      <w:r>
        <w:t>rando; Adriana Inés Mena, intentaba una comunicación telefónica; Marcial César Pel</w:t>
      </w:r>
      <w:r>
        <w:t>e</w:t>
      </w:r>
      <w:r>
        <w:t>teyro y Leonor Marina Fuster, se hallaban cruzando la c</w:t>
      </w:r>
      <w:r>
        <w:t>a</w:t>
      </w:r>
      <w:r>
        <w:t>lle Viamonte; Gu</w:t>
      </w:r>
      <w:r>
        <w:t>s</w:t>
      </w:r>
      <w:r>
        <w:t>tavo Guillermo Spinelli, estaba distraído observando locales en alquiler e Irene Rosa Perelman, t</w:t>
      </w:r>
      <w:r>
        <w:t>e</w:t>
      </w:r>
      <w:r>
        <w:t>nía la m</w:t>
      </w:r>
      <w:r>
        <w:t>i</w:t>
      </w:r>
      <w:r>
        <w:t>rada en la vidriera de un negocio.</w:t>
      </w:r>
    </w:p>
    <w:p w:rsidR="00224567" w:rsidRDefault="00224567">
      <w:pPr>
        <w:pStyle w:val="Sangradetextonormal"/>
        <w:widowControl w:val="0"/>
        <w:ind w:firstLine="0"/>
      </w:pPr>
      <w:r>
        <w:tab/>
        <w:t>Cabe aclarar que la enumeración pu</w:t>
      </w:r>
      <w:r>
        <w:t>n</w:t>
      </w:r>
      <w:r>
        <w:t>tual de las personas que presenciaron el atentado y sus distintas situaciones no pretende agotar ni dar acabada respuesta a cada uno de los casos en partic</w:t>
      </w:r>
      <w:r>
        <w:t>u</w:t>
      </w:r>
      <w:r>
        <w:t>lar, dado que múltiples razones podrían explicar el motivo por el cual un sujeto no percibe con sus sentidos un suceso que, como se dijo, se d</w:t>
      </w:r>
      <w:r>
        <w:t>e</w:t>
      </w:r>
      <w:r>
        <w:t>fine precisamente por ser fugaz y ordinario en la vía pública. A esas razones, las más de las veces, el testigo no las puede explicitar debido a que es impos</w:t>
      </w:r>
      <w:r>
        <w:t>i</w:t>
      </w:r>
      <w:r>
        <w:t>ble exigirle que recuerde en forma cabal cada uno de los movimientos –a veces inconscientes y de acto reflejo- que realizó en un d</w:t>
      </w:r>
      <w:r>
        <w:t>e</w:t>
      </w:r>
      <w:r>
        <w:t>terminado momento.</w:t>
      </w:r>
    </w:p>
    <w:p w:rsidR="00224567" w:rsidRDefault="00224567">
      <w:pPr>
        <w:pStyle w:val="Sangradetextonormal"/>
        <w:widowControl w:val="0"/>
        <w:ind w:firstLine="0"/>
      </w:pPr>
      <w:r>
        <w:tab/>
        <w:t>A ello se aduna que las perce</w:t>
      </w:r>
      <w:r>
        <w:t>p</w:t>
      </w:r>
      <w:r>
        <w:t>ciones y la retención de éstas en la memoria bien pudieron sufrir alteraciones a causa de la magnitud de la explosión, a raíz de la cual muchos de los testigos perdieron amigos o familiares o debieron permanecer internados de gravedad durante varios meses en distintos nos</w:t>
      </w:r>
      <w:r>
        <w:t>o</w:t>
      </w:r>
      <w:r>
        <w:t>comios, a más de las secuelas psicológicas que en cada uno dejó la sola ci</w:t>
      </w:r>
      <w:r>
        <w:t>r</w:t>
      </w:r>
      <w:r>
        <w:t>cunstancia de haber presenciado la tragedia.</w:t>
      </w:r>
    </w:p>
    <w:p w:rsidR="00224567" w:rsidRDefault="00224567">
      <w:pPr>
        <w:pStyle w:val="Sangradetextonormal"/>
        <w:widowControl w:val="0"/>
        <w:ind w:firstLine="0"/>
      </w:pPr>
      <w:r>
        <w:tab/>
        <w:t>Así, la valoración de la prueba en m</w:t>
      </w:r>
      <w:r>
        <w:t>o</w:t>
      </w:r>
      <w:r>
        <w:t>do alguno consiste en dar respuesta o extraer concl</w:t>
      </w:r>
      <w:r>
        <w:t>u</w:t>
      </w:r>
      <w:r>
        <w:t>siones de lo que se desconoce, imponiendo al juzgador la explic</w:t>
      </w:r>
      <w:r>
        <w:t>a</w:t>
      </w:r>
      <w:r>
        <w:t>ción en cada caso de por qué no vio el test</w:t>
      </w:r>
      <w:r>
        <w:t>i</w:t>
      </w:r>
      <w:r>
        <w:t>go determinado acontecimiento. Como se dijo, muchos factores obran sobre esa percepción, por lo que el juicio crítico debe real</w:t>
      </w:r>
      <w:r>
        <w:t>i</w:t>
      </w:r>
      <w:r>
        <w:t>zarse respecto de la prueba pos</w:t>
      </w:r>
      <w:r>
        <w:t>i</w:t>
      </w:r>
      <w:r>
        <w:t>tiva; es decir, acerca de aqu</w:t>
      </w:r>
      <w:r>
        <w:t>e</w:t>
      </w:r>
      <w:r>
        <w:t>llos aspectos sobre los que se pronunció el órgano de prueba, en consonancia con los restantes medios probat</w:t>
      </w:r>
      <w:r>
        <w:t>o</w:t>
      </w:r>
      <w:r>
        <w:t>rios colectados, para luego arribar a una conclusión.</w:t>
      </w:r>
    </w:p>
    <w:p w:rsidR="00224567" w:rsidRDefault="00224567">
      <w:pPr>
        <w:pStyle w:val="Sangradetextonormal"/>
        <w:widowControl w:val="0"/>
        <w:ind w:firstLine="0"/>
      </w:pPr>
      <w:r>
        <w:tab/>
        <w:t>Por último, el hecho de que los test</w:t>
      </w:r>
      <w:r>
        <w:t>i</w:t>
      </w:r>
      <w:r>
        <w:t xml:space="preserve">gos no hubiesen escuchado el ruido que debió producir el choque de la camioneta contra el frente de </w:t>
      </w:r>
      <w:smartTag w:uri="urn:schemas-microsoft-com:office:smarttags" w:element="PersonName">
        <w:smartTagPr>
          <w:attr w:name="ProductID" w:val="la A.M"/>
        </w:smartTagPr>
        <w:r>
          <w:t>la A.M</w:t>
        </w:r>
      </w:smartTag>
      <w:r>
        <w:t>.I.A., su aceleración o el giro brusco de sus ruedas, tampoco mod</w:t>
      </w:r>
      <w:r>
        <w:t>i</w:t>
      </w:r>
      <w:r>
        <w:t>fica la postura adoptada, por cuanto tales extremos no e</w:t>
      </w:r>
      <w:r>
        <w:t>n</w:t>
      </w:r>
      <w:r>
        <w:t>contraron sustento en ninguna de las pruebas producidas en el debate, más allá de los dichos de Mónica Lucila Arnaudo y Sal</w:t>
      </w:r>
      <w:r>
        <w:t>o</w:t>
      </w:r>
      <w:r>
        <w:t>món Mario Seltzer que, por carecer de verosimilitud, no habrán de ser considerados.</w:t>
      </w:r>
    </w:p>
    <w:p w:rsidR="00224567" w:rsidRDefault="00224567">
      <w:pPr>
        <w:pStyle w:val="Sangradetextonormal"/>
        <w:widowControl w:val="0"/>
        <w:ind w:firstLine="0"/>
      </w:pPr>
      <w:r>
        <w:tab/>
      </w:r>
      <w:r>
        <w:rPr>
          <w:b/>
          <w:bCs/>
        </w:rPr>
        <w:t>A.23)</w:t>
      </w:r>
      <w:r>
        <w:t xml:space="preserve"> Las defensas de Carlos Alberto Telleldín, Mario Norberto Bareiro y Ariel Nitzcaner cue</w:t>
      </w:r>
      <w:r>
        <w:t>s</w:t>
      </w:r>
      <w:r>
        <w:t>tionaron la supuesta utilización de una camioneta con e</w:t>
      </w:r>
      <w:r>
        <w:t>x</w:t>
      </w:r>
      <w:r>
        <w:t>plosivos en su interior para llevar a cabo el atentado, por cuanto entendieron que los peritajes realizados en procura de explicar la mecánica de la expl</w:t>
      </w:r>
      <w:r>
        <w:t>o</w:t>
      </w:r>
      <w:r>
        <w:t>sión resultaron insuficientes para acreditar tal extr</w:t>
      </w:r>
      <w:r>
        <w:t>e</w:t>
      </w:r>
      <w:r>
        <w:t>mo.</w:t>
      </w:r>
    </w:p>
    <w:p w:rsidR="00224567" w:rsidRDefault="00224567">
      <w:pPr>
        <w:pStyle w:val="Sangradetextonormal"/>
        <w:widowControl w:val="0"/>
        <w:ind w:firstLine="0"/>
      </w:pPr>
      <w:r>
        <w:tab/>
        <w:t>Afirmaron, contrariamente a lo sost</w:t>
      </w:r>
      <w:r>
        <w:t>e</w:t>
      </w:r>
      <w:r>
        <w:t>nido por los fiscales y las querellas, que no se logró descartar la hipótesis de que el material explosivo hubi</w:t>
      </w:r>
      <w:r>
        <w:t>e</w:t>
      </w:r>
      <w:r>
        <w:t>ra estado en el interior de la m</w:t>
      </w:r>
      <w:r>
        <w:t>u</w:t>
      </w:r>
      <w:r>
        <w:t>tual, aduciendo que éste pudo haber ingresado al edificio “disfrazado de material de construcción”, dado que desde hacía unos meses se v</w:t>
      </w:r>
      <w:r>
        <w:t>e</w:t>
      </w:r>
      <w:r>
        <w:t>nían realizando refa</w:t>
      </w:r>
      <w:r>
        <w:t>c</w:t>
      </w:r>
      <w:r>
        <w:t>ciones en la mutual.</w:t>
      </w:r>
    </w:p>
    <w:p w:rsidR="00224567" w:rsidRDefault="00224567">
      <w:pPr>
        <w:pStyle w:val="Sangradetextonormal"/>
        <w:widowControl w:val="0"/>
        <w:ind w:firstLine="0"/>
      </w:pPr>
      <w:r>
        <w:tab/>
        <w:t>En apoyo de su postura, la defe</w:t>
      </w:r>
      <w:r>
        <w:t>n</w:t>
      </w:r>
      <w:r>
        <w:t>sa de Telleldín citó el testimonio del experto en explosivos H</w:t>
      </w:r>
      <w:r>
        <w:t>u</w:t>
      </w:r>
      <w:r>
        <w:t xml:space="preserve">go Ariel Iseas, en cuanto afirmó que el amonal no podía ser descubierto por mecanismos de detección de metales y que al momento del atentado no existía uno específico de explosivos, como así también el del jefe de la seguridad de </w:t>
      </w:r>
      <w:smartTag w:uri="urn:schemas-microsoft-com:office:smarttags" w:element="PersonName">
        <w:smartTagPr>
          <w:attr w:name="ProductID" w:val="la A.M"/>
        </w:smartTagPr>
        <w:r>
          <w:t>la A.M</w:t>
        </w:r>
      </w:smartTag>
      <w:r>
        <w:t>.I.A., Aharón Edry, que no pudo asegurar que existieran controles de este tipo en la institución.</w:t>
      </w:r>
    </w:p>
    <w:p w:rsidR="00224567" w:rsidRDefault="00224567">
      <w:pPr>
        <w:pStyle w:val="Sangradetextonormal"/>
        <w:widowControl w:val="0"/>
        <w:ind w:firstLine="0"/>
      </w:pPr>
      <w:r>
        <w:tab/>
        <w:t>Además, esgrimió que la escasa magn</w:t>
      </w:r>
      <w:r>
        <w:t>i</w:t>
      </w:r>
      <w:r>
        <w:t>tud de los daños verificados en el edificio enfrentado a la mutual, sito en Pasteur 632, resultaba demostrat</w:t>
      </w:r>
      <w:r>
        <w:t>i</w:t>
      </w:r>
      <w:r>
        <w:t>vo de la explosión interna, señalando a guisa de ejemplo, el h</w:t>
      </w:r>
      <w:r>
        <w:t>e</w:t>
      </w:r>
      <w:r>
        <w:t>cho de que sus balcones permanecieron incól</w:t>
      </w:r>
      <w:r>
        <w:t>u</w:t>
      </w:r>
      <w:r>
        <w:t>mes.</w:t>
      </w:r>
    </w:p>
    <w:p w:rsidR="00224567" w:rsidRDefault="00224567">
      <w:pPr>
        <w:pStyle w:val="Sangradetextonormal"/>
        <w:widowControl w:val="0"/>
        <w:ind w:firstLine="0"/>
      </w:pPr>
      <w:r>
        <w:tab/>
        <w:t>Los elementos de juicio enunci</w:t>
      </w:r>
      <w:r>
        <w:t>a</w:t>
      </w:r>
      <w:r>
        <w:t>dos en los apartados que anteceden autorizan a de</w:t>
      </w:r>
      <w:r>
        <w:t>s</w:t>
      </w:r>
      <w:r>
        <w:t>cartar de plano la hipótesis planteada por los letrados defensores, en r</w:t>
      </w:r>
      <w:r>
        <w:t>a</w:t>
      </w:r>
      <w:r>
        <w:t>zón que ella se da de bruces con el hallazgo, en la e</w:t>
      </w:r>
      <w:r>
        <w:t>s</w:t>
      </w:r>
      <w:r>
        <w:t>cena del crimen, de numerosos elementos constitutivos de una camioneta Trafic que presentaban roturas y deformaciones propias de una explosión de esa magn</w:t>
      </w:r>
      <w:r>
        <w:t>i</w:t>
      </w:r>
      <w:r>
        <w:t>tud.</w:t>
      </w:r>
    </w:p>
    <w:p w:rsidR="00224567" w:rsidRDefault="00224567">
      <w:pPr>
        <w:pStyle w:val="Sangradetextonormal"/>
        <w:widowControl w:val="0"/>
        <w:ind w:firstLine="0"/>
      </w:pPr>
      <w:r>
        <w:tab/>
        <w:t>Asimismo, el lugar en que detonó la carga explosiva –entrada del edificio- y los d</w:t>
      </w:r>
      <w:r>
        <w:t>i</w:t>
      </w:r>
      <w:r>
        <w:t>chos de los testigos citados en el acápite A.19 del presente capítulo, a la vez que respaldan la conclusión a la que arribó el tribunal, desechan la hip</w:t>
      </w:r>
      <w:r>
        <w:t>ó</w:t>
      </w:r>
      <w:r>
        <w:t>tesis alegada por la defensa.</w:t>
      </w:r>
    </w:p>
    <w:p w:rsidR="00224567" w:rsidRDefault="00224567">
      <w:pPr>
        <w:pStyle w:val="Sangradetextonormal"/>
        <w:widowControl w:val="0"/>
        <w:ind w:firstLine="0"/>
      </w:pPr>
      <w:r>
        <w:tab/>
        <w:t>Sin perjuicio de ello, es preciso s</w:t>
      </w:r>
      <w:r>
        <w:t>e</w:t>
      </w:r>
      <w:r>
        <w:t>ñalar que al debate fue convocado el personal de algunos de los proveedores que abastecían de materiales y serv</w:t>
      </w:r>
      <w:r>
        <w:t>i</w:t>
      </w:r>
      <w:r>
        <w:t xml:space="preserve">cios tanto a </w:t>
      </w:r>
      <w:smartTag w:uri="urn:schemas-microsoft-com:office:smarttags" w:element="PersonName">
        <w:smartTagPr>
          <w:attr w:name="ProductID" w:val="la A.M"/>
        </w:smartTagPr>
        <w:r>
          <w:t>la A.M</w:t>
        </w:r>
      </w:smartTag>
      <w:r>
        <w:t>.I.A. como a la empresa constructora “G.P.I.”, encargada de las obras en esa entidad, tales c</w:t>
      </w:r>
      <w:r>
        <w:t>o</w:t>
      </w:r>
      <w:r>
        <w:t>mo los dependientes del corralón de materiales “Mazzotta S.A.”, los obreros de la citada firma constructora, los empleados de la empresa de limpieza “Limpser” y el carpi</w:t>
      </w:r>
      <w:r>
        <w:t>n</w:t>
      </w:r>
      <w:r>
        <w:t>tero de “Ofice S.A.”.</w:t>
      </w:r>
    </w:p>
    <w:p w:rsidR="00224567" w:rsidRDefault="00224567">
      <w:pPr>
        <w:pStyle w:val="Sangradetextonormal"/>
        <w:widowControl w:val="0"/>
        <w:ind w:firstLine="0"/>
      </w:pPr>
      <w:r>
        <w:tab/>
        <w:t>Del testimonio de dichas personas no surge ninguna circunstancia que permita sostener, ni en mínima medida, el extremo señalado por las d</w:t>
      </w:r>
      <w:r>
        <w:t>e</w:t>
      </w:r>
      <w:r>
        <w:t>fensas.</w:t>
      </w:r>
    </w:p>
    <w:p w:rsidR="00224567" w:rsidRDefault="00224567">
      <w:pPr>
        <w:pStyle w:val="Sangradetextonormal"/>
        <w:widowControl w:val="0"/>
        <w:ind w:firstLine="0"/>
      </w:pPr>
      <w:r>
        <w:tab/>
        <w:t>En efecto, los materiales de constru</w:t>
      </w:r>
      <w:r>
        <w:t>c</w:t>
      </w:r>
      <w:r>
        <w:t>ción eran proveídos por el mencionado corralón que, a e</w:t>
      </w:r>
      <w:r>
        <w:t>s</w:t>
      </w:r>
      <w:r>
        <w:t>tar por los dichos de Francisco Mazzotta, Jorge Osvaldo Mascarucci, Horacio Ismael Irigoitía y Gerardo Omar de Souza Rosa, eran cargados por los “bolseros” en la playa de la firma y enviados por los choferes de la empresa al edificio de Pa</w:t>
      </w:r>
      <w:r>
        <w:t>s</w:t>
      </w:r>
      <w:r>
        <w:t>teur 633.</w:t>
      </w:r>
    </w:p>
    <w:p w:rsidR="00224567" w:rsidRDefault="00224567">
      <w:pPr>
        <w:pStyle w:val="Sangradetextonormal"/>
        <w:widowControl w:val="0"/>
        <w:ind w:firstLine="0"/>
      </w:pPr>
      <w:r>
        <w:tab/>
        <w:t>Una vez allí, eran descargados por los obreros de “G.P.I.” y sometidos a una minuciosa revisión por la seguridad del edificio. En ese sentido, afirmaron que las bolsas de cal, cemento o arena eran perforadas con alambres a fin de controlar su interior y también se las sometía a un mec</w:t>
      </w:r>
      <w:r>
        <w:t>a</w:t>
      </w:r>
      <w:r>
        <w:t>nismo de detección de metales. El chofer Irigoitía explicó que en caso de dudas la vigilancia vo</w:t>
      </w:r>
      <w:r>
        <w:t>l</w:t>
      </w:r>
      <w:r>
        <w:t>caba el mat</w:t>
      </w:r>
      <w:r>
        <w:t>e</w:t>
      </w:r>
      <w:r>
        <w:t>rial en el piso para verificar su contenido.</w:t>
      </w:r>
    </w:p>
    <w:p w:rsidR="00224567" w:rsidRDefault="00224567">
      <w:pPr>
        <w:pStyle w:val="Sangradetextonormal"/>
        <w:widowControl w:val="0"/>
        <w:ind w:firstLine="0"/>
      </w:pPr>
      <w:r>
        <w:tab/>
        <w:t>El empleado administrativo de Souza Rosa agregó que el arquitecto Malamud era cliente hab</w:t>
      </w:r>
      <w:r>
        <w:t>i</w:t>
      </w:r>
      <w:r>
        <w:t xml:space="preserve">tual de la firma y que antes de la obra de </w:t>
      </w:r>
      <w:smartTag w:uri="urn:schemas-microsoft-com:office:smarttags" w:element="PersonName">
        <w:smartTagPr>
          <w:attr w:name="ProductID" w:val="la A.M"/>
        </w:smartTagPr>
        <w:r>
          <w:t>la A.M</w:t>
        </w:r>
      </w:smartTag>
      <w:r>
        <w:t>.I.A. le e</w:t>
      </w:r>
      <w:r>
        <w:t>n</w:t>
      </w:r>
      <w:r>
        <w:t>tregó m</w:t>
      </w:r>
      <w:r>
        <w:t>a</w:t>
      </w:r>
      <w:r>
        <w:t>teriales en otras.</w:t>
      </w:r>
    </w:p>
    <w:p w:rsidR="00224567" w:rsidRDefault="00224567">
      <w:pPr>
        <w:pStyle w:val="Sangradetextonormal"/>
        <w:widowControl w:val="0"/>
        <w:ind w:firstLine="0"/>
      </w:pPr>
      <w:r>
        <w:tab/>
        <w:t>De igual modo, el capataz de “G.P.I.”, Julio Barriga Loaiza y el obrero Policarpio Cruz Loaiza, que trabajaron en el edificio durante todo el tiempo que demandaron las refacciones, incluido el día de la expl</w:t>
      </w:r>
      <w:r>
        <w:t>o</w:t>
      </w:r>
      <w:r>
        <w:t>sión, como así también el responsable de la firma, Ferna</w:t>
      </w:r>
      <w:r>
        <w:t>n</w:t>
      </w:r>
      <w:r>
        <w:t>do Isaías Solla, no resaltaron ninguna circunstancia irr</w:t>
      </w:r>
      <w:r>
        <w:t>e</w:t>
      </w:r>
      <w:r>
        <w:t>gular en relación a la entrada o acopio de  materiales  dentro de la m</w:t>
      </w:r>
      <w:r>
        <w:t>u</w:t>
      </w:r>
      <w:r>
        <w:t>tual. Corroboraron, además, el mecanismo de seguridad i</w:t>
      </w:r>
      <w:r>
        <w:t>m</w:t>
      </w:r>
      <w:r>
        <w:t>plantado para el control de los materiales de construcción, la forma en que éstos eran ingresados al edificio y la estrecha relación comercial que los vincul</w:t>
      </w:r>
      <w:r>
        <w:t>a</w:t>
      </w:r>
      <w:r>
        <w:t>ba con el proveedor de materiales Mazzo</w:t>
      </w:r>
      <w:r>
        <w:t>t</w:t>
      </w:r>
      <w:r>
        <w:t>ta.</w:t>
      </w:r>
    </w:p>
    <w:p w:rsidR="00224567" w:rsidRDefault="00224567">
      <w:pPr>
        <w:pStyle w:val="Sangradetextonormal"/>
        <w:widowControl w:val="0"/>
        <w:ind w:firstLine="0"/>
      </w:pPr>
      <w:r>
        <w:tab/>
        <w:t>Cabe señalar, además, que el plomero José Ernesto Millán, el herrero Roberto César Reb</w:t>
      </w:r>
      <w:r>
        <w:t>o</w:t>
      </w:r>
      <w:r>
        <w:t>llo, el pintor Ramón Benicio Domínguez, los e</w:t>
      </w:r>
      <w:r>
        <w:t>m</w:t>
      </w:r>
      <w:r>
        <w:t>pleados del servicio de limpieza Eduardo Enrique Zabala, Cristian Enrique A</w:t>
      </w:r>
      <w:r>
        <w:t>l</w:t>
      </w:r>
      <w:r>
        <w:t>berto Broin y Norma Gladis Mansilla, el ca</w:t>
      </w:r>
      <w:r>
        <w:t>r</w:t>
      </w:r>
      <w:r>
        <w:t>pintero Martín José Viudez, el electricista Daniel Eduardo Joffe, el a</w:t>
      </w:r>
      <w:r>
        <w:t>l</w:t>
      </w:r>
      <w:r>
        <w:t>bañil José Longo y el arquitecto Claudio Alejandro Wei</w:t>
      </w:r>
      <w:r>
        <w:t>c</w:t>
      </w:r>
      <w:r>
        <w:t>man, fu</w:t>
      </w:r>
      <w:r>
        <w:t>e</w:t>
      </w:r>
      <w:r>
        <w:t>ron contestes en punto a los recaudos de seguridad que se tomaban para el control de materiales y ninguno apuntó, aunque más no sea en mínima medida, alguna ci</w:t>
      </w:r>
      <w:r>
        <w:t>r</w:t>
      </w:r>
      <w:r>
        <w:t>cunstancia que llamase la atención en orden a la presencia de sustancias distintas a las que comúnmente se utilizan para la constru</w:t>
      </w:r>
      <w:r>
        <w:t>c</w:t>
      </w:r>
      <w:r>
        <w:t>ción.</w:t>
      </w:r>
    </w:p>
    <w:p w:rsidR="00224567" w:rsidRDefault="00224567">
      <w:pPr>
        <w:pStyle w:val="Sangradetextonormal"/>
        <w:widowControl w:val="0"/>
        <w:ind w:firstLine="0"/>
      </w:pPr>
      <w:r>
        <w:tab/>
        <w:t>Por lo demás, la sola circunsta</w:t>
      </w:r>
      <w:r>
        <w:t>n</w:t>
      </w:r>
      <w:r>
        <w:t xml:space="preserve">cia de que en la planta baja del edificio, a unos </w:t>
      </w:r>
      <w:smartTag w:uri="urn:schemas-microsoft-com:office:smarttags" w:element="metricconverter">
        <w:smartTagPr>
          <w:attr w:name="ProductID" w:val="5 m"/>
        </w:smartTagPr>
        <w:r>
          <w:t>5 m</w:t>
        </w:r>
      </w:smartTag>
      <w:r>
        <w:t xml:space="preserve"> de la pue</w:t>
      </w:r>
      <w:r>
        <w:t>r</w:t>
      </w:r>
      <w:r>
        <w:t>ta, se acopiaran materiales para las obras, conforme lo señalaron en el debate Barriga Loaiza, Cruz Loaiza, S</w:t>
      </w:r>
      <w:r>
        <w:t>o</w:t>
      </w:r>
      <w:r>
        <w:t>lla, Weicman, Juan Alberto López y otros testigos más, no aut</w:t>
      </w:r>
      <w:r>
        <w:t>o</w:t>
      </w:r>
      <w:r>
        <w:t>riza a sostener, en modo alguno, que se hubieran aprov</w:t>
      </w:r>
      <w:r>
        <w:t>e</w:t>
      </w:r>
      <w:r>
        <w:t>chado esos elementos para ingresar subrepticiamente mat</w:t>
      </w:r>
      <w:r>
        <w:t>e</w:t>
      </w:r>
      <w:r>
        <w:t>riales explosivos; máxime cuando, como se dijo, la pru</w:t>
      </w:r>
      <w:r>
        <w:t>e</w:t>
      </w:r>
      <w:r>
        <w:t>ba producida en el juicio echó por tierra dicha hipótesis y no se verificó, a lo largo del debate, ningún elemento de convicción en ese sentido.</w:t>
      </w:r>
    </w:p>
    <w:p w:rsidR="00224567" w:rsidRDefault="00224567">
      <w:pPr>
        <w:pStyle w:val="Sangradetextonormal"/>
        <w:widowControl w:val="0"/>
        <w:ind w:firstLine="0"/>
      </w:pPr>
      <w:r>
        <w:tab/>
      </w:r>
      <w:r>
        <w:rPr>
          <w:b/>
        </w:rPr>
        <w:t>A.24)</w:t>
      </w:r>
      <w:r>
        <w:t xml:space="preserve"> La defensa de Mario Norberto B</w:t>
      </w:r>
      <w:r>
        <w:t>a</w:t>
      </w:r>
      <w:r>
        <w:t>reiro impugnó la hipótesis del cochebomba, tras co</w:t>
      </w:r>
      <w:r>
        <w:t>n</w:t>
      </w:r>
      <w:r>
        <w:t>siderar que no podía descartarse la utilización en el atentado del volquete de la empresa “Santa Rita” que, momentos antes del estallido, fue deposit</w:t>
      </w:r>
      <w:r>
        <w:t>a</w:t>
      </w:r>
      <w:r>
        <w:t>do frente a la mutual.</w:t>
      </w:r>
    </w:p>
    <w:p w:rsidR="00224567" w:rsidRDefault="00224567">
      <w:pPr>
        <w:widowControl w:val="0"/>
        <w:tabs>
          <w:tab w:val="left" w:pos="0"/>
        </w:tabs>
        <w:rPr>
          <w:lang w:val="es-ES_tradnl"/>
        </w:rPr>
      </w:pPr>
      <w:r>
        <w:rPr>
          <w:lang w:val="es-ES_tradnl"/>
        </w:rPr>
        <w:tab/>
        <w:t xml:space="preserve">Precisó que </w:t>
      </w:r>
      <w:r>
        <w:t>la confirmación de esa pista excluía la sostenida por la acusación y, en cons</w:t>
      </w:r>
      <w:r>
        <w:t>e</w:t>
      </w:r>
      <w:r>
        <w:t>cuencia, eximía de responsabilidad a su r</w:t>
      </w:r>
      <w:r>
        <w:t>e</w:t>
      </w:r>
      <w:r>
        <w:t>presentado.</w:t>
      </w:r>
    </w:p>
    <w:p w:rsidR="00224567" w:rsidRDefault="00224567">
      <w:pPr>
        <w:widowControl w:val="0"/>
        <w:tabs>
          <w:tab w:val="left" w:pos="0"/>
        </w:tabs>
        <w:rPr>
          <w:lang w:val="es-ES_tradnl"/>
        </w:rPr>
      </w:pPr>
      <w:r>
        <w:rPr>
          <w:lang w:val="es-ES_tradnl"/>
        </w:rPr>
        <w:tab/>
        <w:t>Entendió que tal supuesto, sin más, fue desechado por la investigación, pese a contar con d</w:t>
      </w:r>
      <w:r>
        <w:rPr>
          <w:lang w:val="es-ES_tradnl"/>
        </w:rPr>
        <w:t>a</w:t>
      </w:r>
      <w:r>
        <w:rPr>
          <w:lang w:val="es-ES_tradnl"/>
        </w:rPr>
        <w:t>tos que despertaban fundadas sospechas, mencionando los siguientes:</w:t>
      </w:r>
    </w:p>
    <w:p w:rsidR="00224567" w:rsidRDefault="00224567">
      <w:pPr>
        <w:widowControl w:val="0"/>
        <w:tabs>
          <w:tab w:val="left" w:pos="0"/>
        </w:tabs>
        <w:rPr>
          <w:lang w:val="es-ES_tradnl"/>
        </w:rPr>
      </w:pPr>
      <w:r>
        <w:rPr>
          <w:lang w:val="es-ES_tradnl"/>
        </w:rPr>
        <w:tab/>
        <w:t>a) No se probó que el 18 de julio de 1994 se hubiese contratado el servicio de volquetes que prestaba la empresa “Santa Rita”, puesto que no se regi</w:t>
      </w:r>
      <w:r>
        <w:rPr>
          <w:lang w:val="es-ES_tradnl"/>
        </w:rPr>
        <w:t>s</w:t>
      </w:r>
      <w:r>
        <w:rPr>
          <w:lang w:val="es-ES_tradnl"/>
        </w:rPr>
        <w:t>traron cruces telefónicos entre la mutual judía y el a</w:t>
      </w:r>
      <w:r>
        <w:rPr>
          <w:lang w:val="es-ES_tradnl"/>
        </w:rPr>
        <w:t>r</w:t>
      </w:r>
      <w:r>
        <w:rPr>
          <w:lang w:val="es-ES_tradnl"/>
        </w:rPr>
        <w:t>quitecto encargado de la obra, Andrés Gustavo Mal</w:t>
      </w:r>
      <w:r>
        <w:rPr>
          <w:lang w:val="es-ES_tradnl"/>
        </w:rPr>
        <w:t>a</w:t>
      </w:r>
      <w:r>
        <w:rPr>
          <w:lang w:val="es-ES_tradnl"/>
        </w:rPr>
        <w:t>mud, con la empresa de referencia.</w:t>
      </w:r>
    </w:p>
    <w:p w:rsidR="00224567" w:rsidRDefault="00224567">
      <w:pPr>
        <w:widowControl w:val="0"/>
        <w:tabs>
          <w:tab w:val="left" w:pos="0"/>
        </w:tabs>
        <w:rPr>
          <w:lang w:val="es-ES_tradnl"/>
        </w:rPr>
      </w:pPr>
      <w:r>
        <w:rPr>
          <w:lang w:val="es-ES_tradnl"/>
        </w:rPr>
        <w:tab/>
        <w:t>b) El remito que supuestamente acred</w:t>
      </w:r>
      <w:r>
        <w:rPr>
          <w:lang w:val="es-ES_tradnl"/>
        </w:rPr>
        <w:t>i</w:t>
      </w:r>
      <w:r>
        <w:rPr>
          <w:lang w:val="es-ES_tradnl"/>
        </w:rPr>
        <w:t xml:space="preserve">tó la entrega del volquete a </w:t>
      </w:r>
      <w:smartTag w:uri="urn:schemas-microsoft-com:office:smarttags" w:element="PersonName">
        <w:smartTagPr>
          <w:attr w:name="ProductID" w:val="la A.M"/>
        </w:smartTagPr>
        <w:r>
          <w:rPr>
            <w:lang w:val="es-ES_tradnl"/>
          </w:rPr>
          <w:t>la A.M</w:t>
        </w:r>
      </w:smartTag>
      <w:r>
        <w:rPr>
          <w:lang w:val="es-ES_tradnl"/>
        </w:rPr>
        <w:t>.I.A. el día del ate</w:t>
      </w:r>
      <w:r>
        <w:rPr>
          <w:lang w:val="es-ES_tradnl"/>
        </w:rPr>
        <w:t>n</w:t>
      </w:r>
      <w:r>
        <w:rPr>
          <w:lang w:val="es-ES_tradnl"/>
        </w:rPr>
        <w:t>tado no fue suscripto por Andrés Gustavo Malamud, pese a lo que allí se consigna.</w:t>
      </w:r>
    </w:p>
    <w:p w:rsidR="00224567" w:rsidRDefault="00224567">
      <w:pPr>
        <w:widowControl w:val="0"/>
        <w:tabs>
          <w:tab w:val="left" w:pos="0"/>
        </w:tabs>
        <w:rPr>
          <w:lang w:val="es-ES_tradnl"/>
        </w:rPr>
      </w:pPr>
      <w:r>
        <w:rPr>
          <w:lang w:val="es-ES_tradnl"/>
        </w:rPr>
        <w:tab/>
        <w:t>c) La prueba del debate no pudo dete</w:t>
      </w:r>
      <w:r>
        <w:rPr>
          <w:lang w:val="es-ES_tradnl"/>
        </w:rPr>
        <w:t>r</w:t>
      </w:r>
      <w:r>
        <w:rPr>
          <w:lang w:val="es-ES_tradnl"/>
        </w:rPr>
        <w:t>minar la persona que solicitó el volquete que fue depos</w:t>
      </w:r>
      <w:r>
        <w:rPr>
          <w:lang w:val="es-ES_tradnl"/>
        </w:rPr>
        <w:t>i</w:t>
      </w:r>
      <w:r>
        <w:rPr>
          <w:lang w:val="es-ES_tradnl"/>
        </w:rPr>
        <w:t xml:space="preserve">tado, tras dejar uno en </w:t>
      </w:r>
      <w:smartTag w:uri="urn:schemas-microsoft-com:office:smarttags" w:element="PersonName">
        <w:smartTagPr>
          <w:attr w:name="ProductID" w:val="la A.M"/>
        </w:smartTagPr>
        <w:r>
          <w:rPr>
            <w:lang w:val="es-ES_tradnl"/>
          </w:rPr>
          <w:t>la A.M</w:t>
        </w:r>
      </w:smartTag>
      <w:r>
        <w:rPr>
          <w:lang w:val="es-ES_tradnl"/>
        </w:rPr>
        <w:t>.I.A., en la calle Constit</w:t>
      </w:r>
      <w:r>
        <w:rPr>
          <w:lang w:val="es-ES_tradnl"/>
        </w:rPr>
        <w:t>u</w:t>
      </w:r>
      <w:r>
        <w:rPr>
          <w:lang w:val="es-ES_tradnl"/>
        </w:rPr>
        <w:t xml:space="preserve">ción </w:t>
      </w:r>
      <w:smartTag w:uri="urn:schemas-microsoft-com:office:smarttags" w:element="metricconverter">
        <w:smartTagPr>
          <w:attr w:name="ProductID" w:val="2657, a"/>
        </w:smartTagPr>
        <w:r>
          <w:t>2657</w:t>
        </w:r>
        <w:r>
          <w:rPr>
            <w:lang w:val="es-ES_tradnl"/>
          </w:rPr>
          <w:t>, a</w:t>
        </w:r>
      </w:smartTag>
      <w:r>
        <w:rPr>
          <w:lang w:val="es-ES_tradnl"/>
        </w:rPr>
        <w:t xml:space="preserve"> metros del domicilio de Alberto Kanoore Edul, persona ésta que desde </w:t>
      </w:r>
      <w:r>
        <w:t>su celular llamó a Carlos Alberto Telleldín el 10 de julio de 1994 y que, en su agenda pe</w:t>
      </w:r>
      <w:r>
        <w:t>r</w:t>
      </w:r>
      <w:r>
        <w:t xml:space="preserve">sonal, poseía el teléfono y la dirección del ex agregado cultural de </w:t>
      </w:r>
      <w:smartTag w:uri="urn:schemas-microsoft-com:office:smarttags" w:element="PersonName">
        <w:smartTagPr>
          <w:attr w:name="ProductID" w:val="la Embajada"/>
        </w:smartTagPr>
        <w:r>
          <w:t>la Embajada</w:t>
        </w:r>
      </w:smartTag>
      <w:r>
        <w:t xml:space="preserve"> de Irán en Buenos Aires, Moshen Rabbani.</w:t>
      </w:r>
    </w:p>
    <w:p w:rsidR="00224567" w:rsidRDefault="00224567">
      <w:pPr>
        <w:widowControl w:val="0"/>
        <w:tabs>
          <w:tab w:val="left" w:pos="0"/>
        </w:tabs>
        <w:rPr>
          <w:lang w:val="es-ES_tradnl"/>
        </w:rPr>
      </w:pPr>
      <w:r>
        <w:rPr>
          <w:lang w:val="es-ES_tradnl"/>
        </w:rPr>
        <w:tab/>
        <w:t xml:space="preserve">d) </w:t>
      </w:r>
      <w:r>
        <w:t>Guillermo Alfonso, Raúl José D</w:t>
      </w:r>
      <w:r>
        <w:t>í</w:t>
      </w:r>
      <w:r>
        <w:t>az y Héctor Manuel López,</w:t>
      </w:r>
      <w:r>
        <w:rPr>
          <w:lang w:val="es-ES_tradnl"/>
        </w:rPr>
        <w:t xml:space="preserve"> todos empleados de la firma “Santa Rita”, manifestaron que tras la explosión conc</w:t>
      </w:r>
      <w:r>
        <w:rPr>
          <w:lang w:val="es-ES_tradnl"/>
        </w:rPr>
        <w:t>u</w:t>
      </w:r>
      <w:r>
        <w:rPr>
          <w:lang w:val="es-ES_tradnl"/>
        </w:rPr>
        <w:t>rrieron al lugar del hecho para retirar escombros en volquetes, los que luego descargaron en terrenos de dicha empresa, co</w:t>
      </w:r>
      <w:r>
        <w:rPr>
          <w:lang w:val="es-ES_tradnl"/>
        </w:rPr>
        <w:t>n</w:t>
      </w:r>
      <w:r>
        <w:rPr>
          <w:lang w:val="es-ES_tradnl"/>
        </w:rPr>
        <w:t>trariamente a lo dispuesto por la i</w:t>
      </w:r>
      <w:r>
        <w:rPr>
          <w:lang w:val="es-ES_tradnl"/>
        </w:rPr>
        <w:t>n</w:t>
      </w:r>
      <w:r>
        <w:rPr>
          <w:lang w:val="es-ES_tradnl"/>
        </w:rPr>
        <w:t>vestigación en punto a que debían ser resguardados para su análisis en un predio de Costanera Norte.</w:t>
      </w:r>
    </w:p>
    <w:p w:rsidR="00224567" w:rsidRDefault="00224567">
      <w:pPr>
        <w:widowControl w:val="0"/>
        <w:tabs>
          <w:tab w:val="left" w:pos="0"/>
        </w:tabs>
      </w:pPr>
      <w:r>
        <w:rPr>
          <w:lang w:val="es-ES_tradnl"/>
        </w:rPr>
        <w:tab/>
        <w:t xml:space="preserve">e) </w:t>
      </w:r>
      <w:r>
        <w:t>El titular de “Santa Rita”, Na</w:t>
      </w:r>
      <w:r>
        <w:t>s</w:t>
      </w:r>
      <w:r>
        <w:t>sib Haddad, nació en Aynata, República del Líb</w:t>
      </w:r>
      <w:r>
        <w:t>a</w:t>
      </w:r>
      <w:r>
        <w:t>no, de donde es oriundo -según se ha publicado- uno de los líderes y fu</w:t>
      </w:r>
      <w:r>
        <w:t>n</w:t>
      </w:r>
      <w:r>
        <w:t>dadores de la organización terrorista “Hezbollah”, el Ay</w:t>
      </w:r>
      <w:r>
        <w:t>a</w:t>
      </w:r>
      <w:r>
        <w:t>tola Fadlallah, y que, según un memorando aport</w:t>
      </w:r>
      <w:r>
        <w:t>a</w:t>
      </w:r>
      <w:r>
        <w:t xml:space="preserve">do por la querella de </w:t>
      </w:r>
      <w:smartTag w:uri="urn:schemas-microsoft-com:office:smarttags" w:element="PersonName">
        <w:smartTagPr>
          <w:attr w:name="ProductID" w:val="la D.A"/>
        </w:smartTagPr>
        <w:r>
          <w:t>la D.A</w:t>
        </w:r>
      </w:smartTag>
      <w:r>
        <w:t>.I.A. (fs. 520 del legajo 74), los no</w:t>
      </w:r>
      <w:r>
        <w:t>m</w:t>
      </w:r>
      <w:r>
        <w:t>brados te</w:t>
      </w:r>
      <w:r>
        <w:t>n</w:t>
      </w:r>
      <w:r>
        <w:t>drían un parentesco sanguíneo.</w:t>
      </w:r>
    </w:p>
    <w:p w:rsidR="00224567" w:rsidRDefault="00224567">
      <w:pPr>
        <w:widowControl w:val="0"/>
      </w:pPr>
      <w:r>
        <w:tab/>
        <w:t>f) Nassib Haddad también era titular de una empresa de minería que, tras varios años de inact</w:t>
      </w:r>
      <w:r>
        <w:t>i</w:t>
      </w:r>
      <w:r>
        <w:t>vidad, retomó el giro industrial unos pocos meses antes del atentado; su firma, para la época de la explosión, h</w:t>
      </w:r>
      <w:r>
        <w:t>a</w:t>
      </w:r>
      <w:r>
        <w:t>bía adquirido 9146 kilos de amonal para realizar trab</w:t>
      </w:r>
      <w:r>
        <w:t>a</w:t>
      </w:r>
      <w:r>
        <w:t xml:space="preserve">jos en el dique “Casa de Piedra”, ubicado en la provincia de </w:t>
      </w:r>
      <w:smartTag w:uri="urn:schemas-microsoft-com:office:smarttags" w:element="PersonName">
        <w:smartTagPr>
          <w:attr w:name="ProductID" w:val="La Pampa. A￱adi￳"/>
        </w:smartTagPr>
        <w:r>
          <w:t>La Pampa. Añadió</w:t>
        </w:r>
      </w:smartTag>
      <w:r>
        <w:t xml:space="preserve"> que según el informe elaborado por el p</w:t>
      </w:r>
      <w:r>
        <w:t>e</w:t>
      </w:r>
      <w:r>
        <w:t>rito Carlos Néstor López, para esa tarea sólo se reque</w:t>
      </w:r>
      <w:r>
        <w:t>r</w:t>
      </w:r>
      <w:r>
        <w:t>ía 5946, ignorándose el destino de más de 3000 kilos (fs. 3700).</w:t>
      </w:r>
    </w:p>
    <w:p w:rsidR="00224567" w:rsidRDefault="00224567">
      <w:pPr>
        <w:widowControl w:val="0"/>
        <w:rPr>
          <w:bCs/>
        </w:rPr>
      </w:pPr>
      <w:r>
        <w:tab/>
      </w:r>
      <w:r>
        <w:rPr>
          <w:bCs/>
        </w:rPr>
        <w:t>g) El nombrado Haddad tuvo un incr</w:t>
      </w:r>
      <w:r>
        <w:rPr>
          <w:bCs/>
        </w:rPr>
        <w:t>e</w:t>
      </w:r>
      <w:r>
        <w:rPr>
          <w:bCs/>
        </w:rPr>
        <w:t>mento patrimonial sumamente llamativo en el año del ate</w:t>
      </w:r>
      <w:r>
        <w:rPr>
          <w:bCs/>
        </w:rPr>
        <w:t>n</w:t>
      </w:r>
      <w:r>
        <w:rPr>
          <w:bCs/>
        </w:rPr>
        <w:t>tado.</w:t>
      </w:r>
    </w:p>
    <w:p w:rsidR="00224567" w:rsidRDefault="00224567">
      <w:pPr>
        <w:widowControl w:val="0"/>
      </w:pPr>
      <w:r>
        <w:rPr>
          <w:bCs/>
        </w:rPr>
        <w:tab/>
      </w:r>
      <w:r>
        <w:t>h) A pesar de estar situados a la mi</w:t>
      </w:r>
      <w:r>
        <w:t>s</w:t>
      </w:r>
      <w:r>
        <w:t>ma distancia del epicentro de la explosión, los daños v</w:t>
      </w:r>
      <w:r>
        <w:t>e</w:t>
      </w:r>
      <w:r>
        <w:t>rificados en el volquete fueron consider</w:t>
      </w:r>
      <w:r>
        <w:t>a</w:t>
      </w:r>
      <w:r>
        <w:t>blemente mayores a los que sufrió el patrullero R</w:t>
      </w:r>
      <w:r>
        <w:t>e</w:t>
      </w:r>
      <w:r>
        <w:t>nault 18.</w:t>
      </w:r>
    </w:p>
    <w:p w:rsidR="00224567" w:rsidRDefault="00224567">
      <w:pPr>
        <w:widowControl w:val="0"/>
      </w:pPr>
      <w:r>
        <w:tab/>
        <w:t>Con relación a las cuestiones tra</w:t>
      </w:r>
      <w:r>
        <w:t>í</w:t>
      </w:r>
      <w:r>
        <w:t>das por la defensa de Mario Norberto Bareiro, corresponde s</w:t>
      </w:r>
      <w:r>
        <w:t>e</w:t>
      </w:r>
      <w:r>
        <w:t>ñalar que el tribunal habrá de ceñir su análisis, exclus</w:t>
      </w:r>
      <w:r>
        <w:t>i</w:t>
      </w:r>
      <w:r>
        <w:t>vamente, a aquellas que se refieren al modo en que suc</w:t>
      </w:r>
      <w:r>
        <w:t>e</w:t>
      </w:r>
      <w:r>
        <w:t>dieron los hechos, dejando de lado, por extralimitar el objeto procesal del debate, aquellas pruebas aducidas co</w:t>
      </w:r>
      <w:r>
        <w:t>n</w:t>
      </w:r>
      <w:r>
        <w:t>tra personas que en esta instancia no son sometidas a ju</w:t>
      </w:r>
      <w:r>
        <w:t>z</w:t>
      </w:r>
      <w:r>
        <w:t>gamiento.</w:t>
      </w:r>
    </w:p>
    <w:p w:rsidR="00224567" w:rsidRDefault="00224567">
      <w:pPr>
        <w:widowControl w:val="0"/>
      </w:pPr>
      <w:r>
        <w:tab/>
        <w:t>Así, en punto a la presencia de un volquete de la empresa “Santa Rita”, en la acera de la c</w:t>
      </w:r>
      <w:r>
        <w:t>a</w:t>
      </w:r>
      <w:r>
        <w:t>lle Pasteur 633, desde pocos minutos antes de la expl</w:t>
      </w:r>
      <w:r>
        <w:t>o</w:t>
      </w:r>
      <w:r>
        <w:t>sión, fueron interrogados en el debate el chofer del c</w:t>
      </w:r>
      <w:r>
        <w:t>a</w:t>
      </w:r>
      <w:r>
        <w:t>mión que lo portaba, Juan Alberto López y los emple</w:t>
      </w:r>
      <w:r>
        <w:t>a</w:t>
      </w:r>
      <w:r>
        <w:t>dos de la citada compañía Raúl José Díaz y Laura Be</w:t>
      </w:r>
      <w:r>
        <w:t>a</w:t>
      </w:r>
      <w:r>
        <w:t>triz Rivero.</w:t>
      </w:r>
    </w:p>
    <w:p w:rsidR="00224567" w:rsidRDefault="00224567">
      <w:pPr>
        <w:widowControl w:val="0"/>
      </w:pPr>
      <w:r>
        <w:tab/>
        <w:t>De sus expresiones resulta que el vo</w:t>
      </w:r>
      <w:r>
        <w:t>l</w:t>
      </w:r>
      <w:r>
        <w:t>quete fue solicitado en forma telefónica por el a</w:t>
      </w:r>
      <w:r>
        <w:t>r</w:t>
      </w:r>
      <w:r>
        <w:t>quitecto Andrés Gustavo Malamud –responsable de “G.P.I.” que fall</w:t>
      </w:r>
      <w:r>
        <w:t>e</w:t>
      </w:r>
      <w:r>
        <w:t>ció con motivo del atentado- en las primeras horas de la mañana del 18 de julio de 1994, siendo atendido en primer lugar por Laura Rivero y luego por el empleado administr</w:t>
      </w:r>
      <w:r>
        <w:t>a</w:t>
      </w:r>
      <w:r>
        <w:t>tivo de la firma Raúl José Díaz, quien le tomó el pedido. Seguidamente, éste com</w:t>
      </w:r>
      <w:r>
        <w:t>i</w:t>
      </w:r>
      <w:r>
        <w:t xml:space="preserve">sionó a Juan Alberto López para que lo transportara al edificio de </w:t>
      </w:r>
      <w:smartTag w:uri="urn:schemas-microsoft-com:office:smarttags" w:element="PersonName">
        <w:smartTagPr>
          <w:attr w:name="ProductID" w:val="la A.M"/>
        </w:smartTagPr>
        <w:r>
          <w:t>la A.M</w:t>
        </w:r>
      </w:smartTag>
      <w:r>
        <w:t>.I.A. y para que e</w:t>
      </w:r>
      <w:r>
        <w:t>n</w:t>
      </w:r>
      <w:r>
        <w:t>tregara otro en la calle Constitución 2657 de esta ciudad, por requerimiento de un cliente nu</w:t>
      </w:r>
      <w:r>
        <w:t>e</w:t>
      </w:r>
      <w:r>
        <w:t>vo de nombre Alejandro.</w:t>
      </w:r>
    </w:p>
    <w:p w:rsidR="00224567" w:rsidRDefault="00224567">
      <w:pPr>
        <w:widowControl w:val="0"/>
      </w:pPr>
      <w:r>
        <w:tab/>
        <w:t>Fue así que López se dirigió a la pr</w:t>
      </w:r>
      <w:r>
        <w:t>i</w:t>
      </w:r>
      <w:r>
        <w:t>mera de las direcciones citadas y, una vez depositado el contenedor frente a la mutual, continuó su derr</w:t>
      </w:r>
      <w:r>
        <w:t>o</w:t>
      </w:r>
      <w:r>
        <w:t>tero hacia el otro predio, donde dejó el restante (cónfr., en igual sentido, la documentación copiada a fs. 1940). López señ</w:t>
      </w:r>
      <w:r>
        <w:t>a</w:t>
      </w:r>
      <w:r>
        <w:t>ló que el volquete fue recibido en forma personal por el arquitecto M</w:t>
      </w:r>
      <w:r>
        <w:t>a</w:t>
      </w:r>
      <w:r>
        <w:t>lamud, quién firmó el correspondiente remito como constancia de la entr</w:t>
      </w:r>
      <w:r>
        <w:t>e</w:t>
      </w:r>
      <w:r>
        <w:t>ga. En el transcurso del viaje hacia la calle Constitución, escuchó el estruendo que pr</w:t>
      </w:r>
      <w:r>
        <w:t>o</w:t>
      </w:r>
      <w:r>
        <w:t>dujo la explosión que, en un primer momento, había atr</w:t>
      </w:r>
      <w:r>
        <w:t>i</w:t>
      </w:r>
      <w:r>
        <w:t>buido a un ruido propio del camión.</w:t>
      </w:r>
    </w:p>
    <w:p w:rsidR="00224567" w:rsidRDefault="00224567">
      <w:pPr>
        <w:widowControl w:val="0"/>
      </w:pPr>
      <w:r>
        <w:tab/>
        <w:t>López y Díaz afirmaron que el volqu</w:t>
      </w:r>
      <w:r>
        <w:t>e</w:t>
      </w:r>
      <w:r>
        <w:t>te dejado en la mutual estaba vacío puesto que fue ca</w:t>
      </w:r>
      <w:r>
        <w:t>r</w:t>
      </w:r>
      <w:r>
        <w:t>gado en la playa de la empresa, donde estaban apil</w:t>
      </w:r>
      <w:r>
        <w:t>a</w:t>
      </w:r>
      <w:r>
        <w:t>dos unos sobre otros. Además, refirieron que Malamud era un habitual cliente de la compañía y que habían proveído a la mutual otros muchos volquetes con anterioridad, siendo en el ú</w:t>
      </w:r>
      <w:r>
        <w:t>l</w:t>
      </w:r>
      <w:r>
        <w:t>timo tiempo más esporádicos los envíos. Rivero, por su parte, calificó al citado arquitecto como un cliente muy importante.</w:t>
      </w:r>
    </w:p>
    <w:p w:rsidR="00224567" w:rsidRDefault="00224567">
      <w:pPr>
        <w:widowControl w:val="0"/>
      </w:pPr>
      <w:r>
        <w:tab/>
        <w:t>A tales testimonios se agregan los de Barriga Loaiza y Cruz Loaiza en punto a que ese l</w:t>
      </w:r>
      <w:r>
        <w:t>u</w:t>
      </w:r>
      <w:r>
        <w:t>nes –el día del atentado- debían traer un volquete, dado que el sábado anterior habían limpiado los escombros de la obra dentro del edificio y los habían apilado en la planta baja para cargarlos con mayor facilidad; los del arquitecto Claudio Alejandro Weicman, en cuanto dijo que “tenía una imagen” de que Malamud solicitó esa m</w:t>
      </w:r>
      <w:r>
        <w:t>a</w:t>
      </w:r>
      <w:r>
        <w:t>ñana un volquete por teléfono para retirar unos escombros que se habían acum</w:t>
      </w:r>
      <w:r>
        <w:t>u</w:t>
      </w:r>
      <w:r>
        <w:t xml:space="preserve">lado en la planta baja y los de Gabriel Omar Gutesman, Jorge Eduardo Bordón, Ernesto Víctor Ini, Daniel Eduardo Joffe, Hilda Ester Delescabe de Díaz, Bernardo Kogan, </w:t>
      </w:r>
      <w:r>
        <w:rPr>
          <w:lang w:val="es-AR"/>
        </w:rPr>
        <w:t>M</w:t>
      </w:r>
      <w:r>
        <w:rPr>
          <w:lang w:val="es-AR"/>
        </w:rPr>
        <w:t>a</w:t>
      </w:r>
      <w:r>
        <w:rPr>
          <w:lang w:val="es-AR"/>
        </w:rPr>
        <w:t>nuel José Olasco</w:t>
      </w:r>
      <w:r>
        <w:rPr>
          <w:lang w:val="es-AR"/>
        </w:rPr>
        <w:t>a</w:t>
      </w:r>
      <w:r>
        <w:rPr>
          <w:lang w:val="es-AR"/>
        </w:rPr>
        <w:t>ga y</w:t>
      </w:r>
      <w:r>
        <w:t xml:space="preserve"> José Ernesto Millán, quienes dieron cuenta del efectivo d</w:t>
      </w:r>
      <w:r>
        <w:t>e</w:t>
      </w:r>
      <w:r>
        <w:t>pósito del volquete minutos antes de la explosión en el frente de la mutual. Los últimos tres precisaron, además, que el camión llevaba mas de un vo</w:t>
      </w:r>
      <w:r>
        <w:t>l</w:t>
      </w:r>
      <w:r>
        <w:t>quete, mie</w:t>
      </w:r>
      <w:r>
        <w:t>n</w:t>
      </w:r>
      <w:r>
        <w:t>tras que Kogan afirmó que dejó uno en la calle y que cargó nuevame</w:t>
      </w:r>
      <w:r>
        <w:t>n</w:t>
      </w:r>
      <w:r>
        <w:t>te los restantes en el camión. Además, aclaró que éstos estaban apilados, razón por la cual nec</w:t>
      </w:r>
      <w:r>
        <w:t>e</w:t>
      </w:r>
      <w:r>
        <w:t>sariamente deberían estar vacíos.</w:t>
      </w:r>
    </w:p>
    <w:p w:rsidR="00224567" w:rsidRDefault="00224567">
      <w:pPr>
        <w:widowControl w:val="0"/>
      </w:pPr>
      <w:r>
        <w:tab/>
        <w:t>Respaldan esta última circunstancia los testimonios de Juan Carlos Álvarez, que tiró unos p</w:t>
      </w:r>
      <w:r>
        <w:t>a</w:t>
      </w:r>
      <w:r>
        <w:t>peles en su interior, y de Bernardo Kogan y Rosa Montano de Barreiros, que pasaron caminando por al lado del vo</w:t>
      </w:r>
      <w:r>
        <w:t>l</w:t>
      </w:r>
      <w:r>
        <w:t>quete.</w:t>
      </w:r>
    </w:p>
    <w:p w:rsidR="00224567" w:rsidRDefault="00224567">
      <w:pPr>
        <w:widowControl w:val="0"/>
      </w:pPr>
      <w:r>
        <w:tab/>
        <w:t>Los remitos y facturas acompañados a fs. 2235 del principal y a fs. 626 del legajo 74, que acreditan 37 transportes de volquetes a Pa</w:t>
      </w:r>
      <w:r>
        <w:t>s</w:t>
      </w:r>
      <w:r>
        <w:t>teur 633 y uno a la calle Mansilla 3560 -éste últ</w:t>
      </w:r>
      <w:r>
        <w:t>i</w:t>
      </w:r>
      <w:r>
        <w:t>mo, también a nombre de “G.P.I.”- en el lapso co</w:t>
      </w:r>
      <w:r>
        <w:t>m</w:t>
      </w:r>
      <w:r>
        <w:t xml:space="preserve">prendido entre los meses de marzo y julio de </w:t>
      </w:r>
      <w:smartTag w:uri="urn:schemas-microsoft-com:office:smarttags" w:element="metricconverter">
        <w:smartTagPr>
          <w:attr w:name="ProductID" w:val="1994, a"/>
        </w:smartTagPr>
        <w:r>
          <w:t>1994, a</w:t>
        </w:r>
      </w:smartTag>
      <w:r>
        <w:t xml:space="preserve"> más de los testimonios reseñados, con</w:t>
      </w:r>
      <w:r>
        <w:t>s</w:t>
      </w:r>
      <w:r>
        <w:t>tituye prueba suficiente de la relación comercial entre las firmas “Santa Rita” y “G.P.I.”. Además, el total de la facturación que pagó “G.P.I.” por los servicios prest</w:t>
      </w:r>
      <w:r>
        <w:t>a</w:t>
      </w:r>
      <w:r>
        <w:t>dos, ascendió a la suma de $ 2188; extremo que apuntala la r</w:t>
      </w:r>
      <w:r>
        <w:t>e</w:t>
      </w:r>
      <w:r>
        <w:t>ferida vinculación comercial que unía a las referidas fi</w:t>
      </w:r>
      <w:r>
        <w:t>r</w:t>
      </w:r>
      <w:r>
        <w:t>mas.</w:t>
      </w:r>
    </w:p>
    <w:p w:rsidR="00224567" w:rsidRDefault="00224567">
      <w:pPr>
        <w:widowControl w:val="0"/>
      </w:pPr>
      <w:r>
        <w:tab/>
        <w:t>Asimismo, la documentación concuerda con los dichos de Fernando Isaías Solla, cuñado de A</w:t>
      </w:r>
      <w:r>
        <w:t>n</w:t>
      </w:r>
      <w:r>
        <w:t>drés Gustavo Malamud y socio de éste en la firma “G.P.I.”, en cuanto señaló que al inicio de la obra se requirió mayor cantidad de volquetes debido a la demolición que se real</w:t>
      </w:r>
      <w:r>
        <w:t>i</w:t>
      </w:r>
      <w:r>
        <w:t>zó en el cuarto piso cuarto del ed</w:t>
      </w:r>
      <w:r>
        <w:t>i</w:t>
      </w:r>
      <w:r>
        <w:t>ficio, agregando que se utilizó un tiraje de cañerías que permitía arrojar los e</w:t>
      </w:r>
      <w:r>
        <w:t>s</w:t>
      </w:r>
      <w:r>
        <w:t>combros d</w:t>
      </w:r>
      <w:r>
        <w:t>i</w:t>
      </w:r>
      <w:r>
        <w:t>rectamente a los volquetes (ver remitos del 14 y 21 de marzo de 1994) y con el contrato de locación de obra recibido a fs. 4599 del legajo de instrucción suplement</w:t>
      </w:r>
      <w:r>
        <w:t>a</w:t>
      </w:r>
      <w:r>
        <w:t>ria, en punto a la simultaneidad en el tiempo entre el c</w:t>
      </w:r>
      <w:r>
        <w:t>o</w:t>
      </w:r>
      <w:r>
        <w:t>mienzo de las obras y los sucesivos envíos de volqu</w:t>
      </w:r>
      <w:r>
        <w:t>e</w:t>
      </w:r>
      <w:r>
        <w:t>tes.</w:t>
      </w:r>
    </w:p>
    <w:p w:rsidR="00224567" w:rsidRDefault="00224567">
      <w:pPr>
        <w:widowControl w:val="0"/>
      </w:pPr>
      <w:r>
        <w:tab/>
        <w:t>Además, Julio Barriga Loaiza recon</w:t>
      </w:r>
      <w:r>
        <w:t>o</w:t>
      </w:r>
      <w:r>
        <w:t>ció en la audiencia de debate que la firma y su aclar</w:t>
      </w:r>
      <w:r>
        <w:t>a</w:t>
      </w:r>
      <w:r>
        <w:t>ción en el remito del 12 de mayo de 1994 corresponde a su puño y letra, extremo que, a mayor abundancia de lo expuesto, r</w:t>
      </w:r>
      <w:r>
        <w:t>e</w:t>
      </w:r>
      <w:r>
        <w:t>sulta d</w:t>
      </w:r>
      <w:r>
        <w:t>e</w:t>
      </w:r>
      <w:r>
        <w:t>mostrativo de la real entrega de los volquetes de que dan cuenta los documentos en cue</w:t>
      </w:r>
      <w:r>
        <w:t>s</w:t>
      </w:r>
      <w:r>
        <w:t>tión.</w:t>
      </w:r>
    </w:p>
    <w:p w:rsidR="00224567" w:rsidRDefault="00224567">
      <w:pPr>
        <w:widowControl w:val="0"/>
      </w:pPr>
      <w:r>
        <w:tab/>
        <w:t>En igual sentido, en los remitos del 19 de mayo de 1994 y en los del 14 y 21 de marzo del mismo año, es dable observar, a simple vista, fi</w:t>
      </w:r>
      <w:r>
        <w:t>r</w:t>
      </w:r>
      <w:r>
        <w:t>mas, junto con la aclaratoria “Malamud” en el caso de los últimos dos, que presentan rasgos y trazas muy similares a las que se utilizaron como indubitables en el peritaje de fs. 5053/5069 (en particular, ver los gráficos 22 y 23). Ta</w:t>
      </w:r>
      <w:r>
        <w:t>m</w:t>
      </w:r>
      <w:r>
        <w:t>bién se tiene en cuenta que las firmas y aclaratorias obrantes en los citados remitos del 14 y 21 de marzo ti</w:t>
      </w:r>
      <w:r>
        <w:t>e</w:t>
      </w:r>
      <w:r>
        <w:t>nen un común origen (cónfr. conclusión nº 3 del peritaje de fs. 31.458/31.461).</w:t>
      </w:r>
    </w:p>
    <w:p w:rsidR="00224567" w:rsidRDefault="00224567">
      <w:pPr>
        <w:widowControl w:val="0"/>
      </w:pPr>
      <w:r>
        <w:tab/>
        <w:t>A ello debe agregarse que el no</w:t>
      </w:r>
      <w:r>
        <w:t>m</w:t>
      </w:r>
      <w:r>
        <w:t>brado Solla reconoció en el debate la letra de Malamud en la aclaración de la firma que se observa en el rem</w:t>
      </w:r>
      <w:r>
        <w:t>i</w:t>
      </w:r>
      <w:r>
        <w:t>to del 21 de marzo de 1994. Antes de que se le exhibiera la consta</w:t>
      </w:r>
      <w:r>
        <w:t>n</w:t>
      </w:r>
      <w:r>
        <w:t>cia, el testigo expresó que la grafía de su c</w:t>
      </w:r>
      <w:r>
        <w:t>u</w:t>
      </w:r>
      <w:r>
        <w:t>ñado “era la típica de un arquitecto” (sic), queriendo significar con ello que era muy geométrica y a</w:t>
      </w:r>
      <w:r>
        <w:t>n</w:t>
      </w:r>
      <w:r>
        <w:t>gulada (ver, al respecto, los trazos de las aclaratorias en los remitos antes cit</w:t>
      </w:r>
      <w:r>
        <w:t>a</w:t>
      </w:r>
      <w:r>
        <w:t>dos).</w:t>
      </w:r>
    </w:p>
    <w:p w:rsidR="00224567" w:rsidRDefault="00224567">
      <w:pPr>
        <w:widowControl w:val="0"/>
      </w:pPr>
      <w:r>
        <w:tab/>
        <w:t>En relación a las conclusiones del e</w:t>
      </w:r>
      <w:r>
        <w:t>s</w:t>
      </w:r>
      <w:r>
        <w:t>tudio caligráfico de fs. 5053/5069, que descartó las gr</w:t>
      </w:r>
      <w:r>
        <w:t>a</w:t>
      </w:r>
      <w:r>
        <w:t>fías de Andrés Gustavo Malamud en el remito del 18 de j</w:t>
      </w:r>
      <w:r>
        <w:t>u</w:t>
      </w:r>
      <w:r>
        <w:t>lio de 1994, corresponde señalar que la efectiva entrega del volquete el día señalado se encuentra probada por los testimonios antes referenciados y por las fotografías nros. 3 y 9, recibidas a fs. 1975 del legajo de instru</w:t>
      </w:r>
      <w:r>
        <w:t>c</w:t>
      </w:r>
      <w:r>
        <w:t>ción suplementaria, en las que se observan los restos de un volquete con la inscripción parcial de “Santa Rita” y sus números tel</w:t>
      </w:r>
      <w:r>
        <w:t>e</w:t>
      </w:r>
      <w:r>
        <w:t>fónicos.</w:t>
      </w:r>
    </w:p>
    <w:p w:rsidR="00224567" w:rsidRDefault="00224567">
      <w:pPr>
        <w:widowControl w:val="0"/>
      </w:pPr>
      <w:r>
        <w:tab/>
        <w:t>Asimismo, las conclusiones del perit</w:t>
      </w:r>
      <w:r>
        <w:t>a</w:t>
      </w:r>
      <w:r>
        <w:t>je de fs. 31.458/31.461, que determinó que proviene de un mismo puño escritor esa grafía y la que se observa en el remito nº 2646 –del 15 de mayo de 1994- aut</w:t>
      </w:r>
      <w:r>
        <w:t>o</w:t>
      </w:r>
      <w:r>
        <w:t>riza a suponer que quién firmó ambas constancias bajo la falsa identidad de Malamud, lo hizo al solo efecto de documentar la entr</w:t>
      </w:r>
      <w:r>
        <w:t>e</w:t>
      </w:r>
      <w:r>
        <w:t>ga de ambos volquetes y autorizar, de esa manera, su efe</w:t>
      </w:r>
      <w:r>
        <w:t>c</w:t>
      </w:r>
      <w:r>
        <w:t>tivo c</w:t>
      </w:r>
      <w:r>
        <w:t>o</w:t>
      </w:r>
      <w:r>
        <w:t>bro.</w:t>
      </w:r>
    </w:p>
    <w:p w:rsidR="00224567" w:rsidRDefault="00224567">
      <w:pPr>
        <w:widowControl w:val="0"/>
      </w:pPr>
      <w:r>
        <w:tab/>
        <w:t>Por último, resta señalar que las ci</w:t>
      </w:r>
      <w:r>
        <w:t>r</w:t>
      </w:r>
      <w:r>
        <w:t>cunstancias referenciadas por el chofer del camión de Sa</w:t>
      </w:r>
      <w:r>
        <w:t>n</w:t>
      </w:r>
      <w:r>
        <w:t>ta Rita Juan Alberto López, se compadecen con la hoja de ruta aportada a fs. 1939, dado que figuran entregas de volquetes en Pasteur 633 y en Constitución 2657, como así también con los testimonios de Fabián Emanuel Cabrera y Carlos Bernardo Wolfson, pues ambos empresarios de la construcción corrob</w:t>
      </w:r>
      <w:r>
        <w:t>o</w:t>
      </w:r>
      <w:r>
        <w:t>raron que para esa época se realizaron obras en los predios de Sánchez de Bustamante 836 y Arév</w:t>
      </w:r>
      <w:r>
        <w:t>a</w:t>
      </w:r>
      <w:r>
        <w:t>lo 1965, donde según el ment</w:t>
      </w:r>
      <w:r>
        <w:t>a</w:t>
      </w:r>
      <w:r>
        <w:t>do plan de trabajo se debían retirar volquetes, agregando Wolfson que habitualmente utilizaba el servicio pre</w:t>
      </w:r>
      <w:r>
        <w:t>s</w:t>
      </w:r>
      <w:r>
        <w:t>tado por la aludida firma.</w:t>
      </w:r>
    </w:p>
    <w:p w:rsidR="00224567" w:rsidRDefault="00224567">
      <w:pPr>
        <w:widowControl w:val="0"/>
      </w:pPr>
      <w:r>
        <w:tab/>
        <w:t>En suma; la prueba producida en el d</w:t>
      </w:r>
      <w:r>
        <w:t>e</w:t>
      </w:r>
      <w:r>
        <w:t>bate acreditó que la empresa constructora que realizaba refacciones en la mutual tenía un vínculo comercial con “Santa Rita” que databa de largo tie</w:t>
      </w:r>
      <w:r>
        <w:t>m</w:t>
      </w:r>
      <w:r>
        <w:t>po; que el pedido del volquete se realizó por motivos circun</w:t>
      </w:r>
      <w:r>
        <w:t>s</w:t>
      </w:r>
      <w:r>
        <w:t>tanciales; que éste no llevaba ningún elemento en su interior y que las post</w:t>
      </w:r>
      <w:r>
        <w:t>e</w:t>
      </w:r>
      <w:r>
        <w:t>riores entregas o retiros de volquetes programados para ese mismo día estaban plenamente justificados, extremos éstos que no permiten abrigar sospechas en punto a la cuestión sometida a análisis.</w:t>
      </w:r>
    </w:p>
    <w:p w:rsidR="00224567" w:rsidRDefault="00224567">
      <w:pPr>
        <w:widowControl w:val="0"/>
      </w:pPr>
      <w:r>
        <w:tab/>
        <w:t>La conclusión que la defensa extrajo de la desproporción de los daños verificados en el volqu</w:t>
      </w:r>
      <w:r>
        <w:t>e</w:t>
      </w:r>
      <w:r>
        <w:t>te en comparación con aquellos que s</w:t>
      </w:r>
      <w:r>
        <w:t>u</w:t>
      </w:r>
      <w:r>
        <w:t>frió el resto de los vehíc</w:t>
      </w:r>
      <w:r>
        <w:t>u</w:t>
      </w:r>
      <w:r>
        <w:t>los estacionados en la calle Pasteur, en particular, el patrullero Renault 18, además de ser una mera conjet</w:t>
      </w:r>
      <w:r>
        <w:t>u</w:t>
      </w:r>
      <w:r>
        <w:t>ra, no tuvo en consideración la mayor proximidad de aquél con respecto al foco de la expl</w:t>
      </w:r>
      <w:r>
        <w:t>o</w:t>
      </w:r>
      <w:r>
        <w:t>sión.</w:t>
      </w:r>
    </w:p>
    <w:p w:rsidR="00224567" w:rsidRDefault="00224567">
      <w:pPr>
        <w:widowControl w:val="0"/>
      </w:pPr>
      <w:r>
        <w:tab/>
        <w:t>Así, el camionero Juan Alberto López, en concordancia con las observaciones de los te</w:t>
      </w:r>
      <w:r>
        <w:t>s</w:t>
      </w:r>
      <w:r>
        <w:t>tigos Juan Carlos Álvarez, Luis Eduardo Benlliure, Enrique Antonio Cárdenas, Rubén Samuel Chejfec, Hugo Leandro Fryszberg, Gabriel Omar Gutesman, D</w:t>
      </w:r>
      <w:r>
        <w:t>a</w:t>
      </w:r>
      <w:r>
        <w:t>niel Joffe, Jorge Enrique Kaiser, Bernardo Kogan, Rosa Montano, Isidro Horacio Neuah, Be</w:t>
      </w:r>
      <w:r>
        <w:t>r</w:t>
      </w:r>
      <w:r>
        <w:t>nardo Rojman, Gabriela Elizabeth So</w:t>
      </w:r>
      <w:r>
        <w:t>r</w:t>
      </w:r>
      <w:r>
        <w:t>ba, Martín José Viudez y Jaime Alejandro Waizer, expr</w:t>
      </w:r>
      <w:r>
        <w:t>e</w:t>
      </w:r>
      <w:r>
        <w:t>só que dejó el volquete muy cerca de la pue</w:t>
      </w:r>
      <w:r>
        <w:t>r</w:t>
      </w:r>
      <w:r>
        <w:t>ta de la mutual.</w:t>
      </w:r>
    </w:p>
    <w:p w:rsidR="00224567" w:rsidRDefault="00224567">
      <w:pPr>
        <w:widowControl w:val="0"/>
      </w:pPr>
      <w:r>
        <w:tab/>
        <w:t>Por el contrario, el patrullero se e</w:t>
      </w:r>
      <w:r>
        <w:t>n</w:t>
      </w:r>
      <w:r>
        <w:t>contraba a la altura de 621 de la calle Pasteur, según r</w:t>
      </w:r>
      <w:r>
        <w:t>e</w:t>
      </w:r>
      <w:r>
        <w:t>conoció el dueño del local de gorros y sombreros allí ub</w:t>
      </w:r>
      <w:r>
        <w:t>i</w:t>
      </w:r>
      <w:r>
        <w:t>cado, Jorge Osvaldo Ferretti, como así también los pol</w:t>
      </w:r>
      <w:r>
        <w:t>i</w:t>
      </w:r>
      <w:r>
        <w:t>cías Adolfo Guido Guzmán y Jorge Eduardo Bordón, que afi</w:t>
      </w:r>
      <w:r>
        <w:t>r</w:t>
      </w:r>
      <w:r>
        <w:t xml:space="preserve">maron que estaba estacionado a unos 12 ó </w:t>
      </w:r>
      <w:smartTag w:uri="urn:schemas-microsoft-com:office:smarttags" w:element="metricconverter">
        <w:smartTagPr>
          <w:attr w:name="ProductID" w:val="15 metros"/>
        </w:smartTagPr>
        <w:r>
          <w:t>15 metros</w:t>
        </w:r>
      </w:smartTag>
      <w:r>
        <w:t xml:space="preserve"> de </w:t>
      </w:r>
      <w:smartTag w:uri="urn:schemas-microsoft-com:office:smarttags" w:element="PersonName">
        <w:smartTagPr>
          <w:attr w:name="ProductID" w:val="la A.M"/>
        </w:smartTagPr>
        <w:r>
          <w:t>la A.M</w:t>
        </w:r>
      </w:smartTag>
      <w:r>
        <w:t>.I.A.</w:t>
      </w:r>
    </w:p>
    <w:p w:rsidR="00224567" w:rsidRDefault="00224567">
      <w:pPr>
        <w:widowControl w:val="0"/>
      </w:pPr>
      <w:r>
        <w:tab/>
        <w:t>Por último, cabe señalar que si bien el hecho de que no se hubiese detectado el 18 de julio de 1994 ningún contacto telefónico entre las líneas del a</w:t>
      </w:r>
      <w:r>
        <w:t>r</w:t>
      </w:r>
      <w:r>
        <w:t>quitecto Malamud y las de la mutual con las de la e</w:t>
      </w:r>
      <w:r>
        <w:t>m</w:t>
      </w:r>
      <w:r>
        <w:t>presa “Santa Rita” permitiría, inicialmente, conjeturar en la dirección señalada por la defensa (ver cruces t</w:t>
      </w:r>
      <w:r>
        <w:t>e</w:t>
      </w:r>
      <w:r>
        <w:t>lefónicos de los abonados 201-4637, 313-7193, 312-5953 y 313-7215 de la empresa “Santa Rita”, remitidos por el D.U.I.A. el 22 de julio de 2002 en el legajo de instrucción suplement</w:t>
      </w:r>
      <w:r>
        <w:t>a</w:t>
      </w:r>
      <w:r>
        <w:t>ria), cierto es que el sólido cuadro probatorio constru</w:t>
      </w:r>
      <w:r>
        <w:t>i</w:t>
      </w:r>
      <w:r>
        <w:t>do en sentido opuesto, autoriza, sin más, a desechar, la me</w:t>
      </w:r>
      <w:r>
        <w:t>n</w:t>
      </w:r>
      <w:r>
        <w:t>tada hipótesis.</w:t>
      </w:r>
    </w:p>
    <w:p w:rsidR="00224567" w:rsidRDefault="00224567">
      <w:pPr>
        <w:widowControl w:val="0"/>
      </w:pPr>
      <w:r>
        <w:tab/>
      </w:r>
      <w:r>
        <w:rPr>
          <w:b/>
        </w:rPr>
        <w:t>A.25)</w:t>
      </w:r>
      <w:r>
        <w:t xml:space="preserve"> Otra de las cuestiones introd</w:t>
      </w:r>
      <w:r>
        <w:t>u</w:t>
      </w:r>
      <w:r>
        <w:t>cidas por la defensa de Mario Norberto Bareiro se r</w:t>
      </w:r>
      <w:r>
        <w:t>e</w:t>
      </w:r>
      <w:r>
        <w:t>fiere a la presencia de un helicóptero durante la noche previa al atentado, circunstancia que, a su juicio, fue invest</w:t>
      </w:r>
      <w:r>
        <w:t>i</w:t>
      </w:r>
      <w:r>
        <w:t>gada de modo defectuoso.</w:t>
      </w:r>
    </w:p>
    <w:p w:rsidR="00224567" w:rsidRDefault="00224567">
      <w:pPr>
        <w:pStyle w:val="Sangradetextonormal"/>
        <w:widowControl w:val="0"/>
        <w:ind w:firstLine="0"/>
      </w:pPr>
      <w:r>
        <w:tab/>
        <w:t>Al respecto, cabe señalar que la pru</w:t>
      </w:r>
      <w:r>
        <w:t>e</w:t>
      </w:r>
      <w:r>
        <w:t>ba producida en el debate permitió establecer que entre las últimas horas del 17 de julio de 1994 y la madrugada del día siguiente, un helicóptero s</w:t>
      </w:r>
      <w:r>
        <w:t>o</w:t>
      </w:r>
      <w:r>
        <w:t xml:space="preserve">brevoló el edificio de Pasteur </w:t>
      </w:r>
      <w:smartTag w:uri="urn:schemas-microsoft-com:office:smarttags" w:element="metricconverter">
        <w:smartTagPr>
          <w:attr w:name="ProductID" w:val="633, a"/>
        </w:smartTagPr>
        <w:r>
          <w:t>633, a</w:t>
        </w:r>
      </w:smartTag>
      <w:r>
        <w:t xml:space="preserve"> baja altura, por espacio de algunos min</w:t>
      </w:r>
      <w:r>
        <w:t>u</w:t>
      </w:r>
      <w:r>
        <w:t>tos; aseveración que encontró respaldo en los dichos de Enrique Antonio Cárdenas, Lidia Bernardita Cazal Martí, Martín Rubén Strajman, Mario A</w:t>
      </w:r>
      <w:r>
        <w:t>l</w:t>
      </w:r>
      <w:r>
        <w:t>berto Chencinski, Sara Rosa Goldsztein, Gabriel Omar Gutesman, Isaac Szterenbaum, Ma</w:t>
      </w:r>
      <w:r>
        <w:t>r</w:t>
      </w:r>
      <w:r>
        <w:t>ta Nilda Portela, María Isabel Lima Ponce, Eduardo David Medina, María Josefa Vicente y Remo Carena.</w:t>
      </w:r>
    </w:p>
    <w:p w:rsidR="00224567" w:rsidRDefault="00224567">
      <w:pPr>
        <w:pStyle w:val="Sangradetextonormal"/>
        <w:widowControl w:val="0"/>
        <w:ind w:firstLine="0"/>
      </w:pPr>
      <w:r>
        <w:tab/>
        <w:t>En ese sentido, el policía Enrique A</w:t>
      </w:r>
      <w:r>
        <w:t>n</w:t>
      </w:r>
      <w:r>
        <w:t>tonio Cárdenas manifestó que a eso de las 2 ó 3 de la m</w:t>
      </w:r>
      <w:r>
        <w:t>a</w:t>
      </w:r>
      <w:r>
        <w:t>drugada del 18 de julio de 1994, en ci</w:t>
      </w:r>
      <w:r>
        <w:t>r</w:t>
      </w:r>
      <w:r>
        <w:t>cunstancias en que custodiaba una casa usurpada próxima a la interse</w:t>
      </w:r>
      <w:r>
        <w:t>c</w:t>
      </w:r>
      <w:r>
        <w:t>ción de las calles Viamonte y Pasteur, escuchó el ruido de un h</w:t>
      </w:r>
      <w:r>
        <w:t>e</w:t>
      </w:r>
      <w:r>
        <w:t xml:space="preserve">licóptero que daba vueltas sobre el edificio de </w:t>
      </w:r>
      <w:smartTag w:uri="urn:schemas-microsoft-com:office:smarttags" w:element="PersonName">
        <w:smartTagPr>
          <w:attr w:name="ProductID" w:val="la A.M"/>
        </w:smartTagPr>
        <w:r>
          <w:t>la A.M</w:t>
        </w:r>
      </w:smartTag>
      <w:r>
        <w:t>.I.A.</w:t>
      </w:r>
    </w:p>
    <w:p w:rsidR="00224567" w:rsidRDefault="00224567">
      <w:pPr>
        <w:pStyle w:val="Sangradetextonormal"/>
        <w:widowControl w:val="0"/>
        <w:ind w:firstLine="0"/>
      </w:pPr>
      <w:r>
        <w:tab/>
        <w:t>Por su parte, Remo Carena dijo que el 18 de julio, en el mismo horario indicado por Cárdenas, le llamó poderosamente la atención el sobrevuelo a baja alt</w:t>
      </w:r>
      <w:r>
        <w:t>u</w:t>
      </w:r>
      <w:r>
        <w:t>ra, dando vueltas sobre la m</w:t>
      </w:r>
      <w:r>
        <w:t>u</w:t>
      </w:r>
      <w:r>
        <w:t>tual judía, de un helicóptero de reducidas dimensiones, de color oscuro; circunstancia que lo llevó a que subiera a la terraza de su edificio, ubicado en la calle Pasteur 594, desde donde pudo observar a dicha aeronave en momentos en que se alejaba en dire</w:t>
      </w:r>
      <w:r>
        <w:t>c</w:t>
      </w:r>
      <w:r>
        <w:t>ción a Plaza Once. También su cónyuge, María Josefa Vice</w:t>
      </w:r>
      <w:r>
        <w:t>n</w:t>
      </w:r>
      <w:r>
        <w:t>te, recordó en el debate que en la noche previa al atent</w:t>
      </w:r>
      <w:r>
        <w:t>a</w:t>
      </w:r>
      <w:r>
        <w:t>do, siendo las 3 ó 4 de la mañana, su marido la llamó de</w:t>
      </w:r>
      <w:r>
        <w:t>s</w:t>
      </w:r>
      <w:r>
        <w:t>de el balcón para que observara un helicóptero, al que describió de color dorado y con un foco que alumbraba h</w:t>
      </w:r>
      <w:r>
        <w:t>a</w:t>
      </w:r>
      <w:r>
        <w:t xml:space="preserve">cia abajo, que parecía que estaba por aterrizar sobre el edificio de </w:t>
      </w:r>
      <w:smartTag w:uri="urn:schemas-microsoft-com:office:smarttags" w:element="PersonName">
        <w:smartTagPr>
          <w:attr w:name="ProductID" w:val="la A.M"/>
        </w:smartTagPr>
        <w:r>
          <w:t>la A.M</w:t>
        </w:r>
      </w:smartTag>
      <w:r>
        <w:t>.I.A. Agregó que la aeronave permaneció suspend</w:t>
      </w:r>
      <w:r>
        <w:t>i</w:t>
      </w:r>
      <w:r>
        <w:t xml:space="preserve">da sobre la mutual y un inmueble lindero, a unos 4 ó </w:t>
      </w:r>
      <w:smartTag w:uri="urn:schemas-microsoft-com:office:smarttags" w:element="metricconverter">
        <w:smartTagPr>
          <w:attr w:name="ProductID" w:val="5 metros"/>
        </w:smartTagPr>
        <w:r>
          <w:t>5 metros</w:t>
        </w:r>
      </w:smartTag>
      <w:r>
        <w:t xml:space="preserve"> de altura, por espacio de un minuto, retiránd</w:t>
      </w:r>
      <w:r>
        <w:t>o</w:t>
      </w:r>
      <w:r>
        <w:t>se luego en dirección al oeste.</w:t>
      </w:r>
    </w:p>
    <w:p w:rsidR="00224567" w:rsidRDefault="00224567">
      <w:pPr>
        <w:pStyle w:val="Sangradetextonormal"/>
        <w:widowControl w:val="0"/>
        <w:ind w:firstLine="0"/>
      </w:pPr>
      <w:r>
        <w:tab/>
        <w:t>Lidia Bernardita Cazal Martí, emple</w:t>
      </w:r>
      <w:r>
        <w:t>a</w:t>
      </w:r>
      <w:r>
        <w:t>ba doméstica en Pasteur 632, 10º piso “A”, señaló que el d</w:t>
      </w:r>
      <w:r>
        <w:t>o</w:t>
      </w:r>
      <w:r>
        <w:t>mingo 17 de julio, a eso de las 21.00, aproximad</w:t>
      </w:r>
      <w:r>
        <w:t>a</w:t>
      </w:r>
      <w:r>
        <w:t>mente, en circunstancias en que ingresaba al edif</w:t>
      </w:r>
      <w:r>
        <w:t>i</w:t>
      </w:r>
      <w:r>
        <w:t>cio, pudo advertir que un helicóptero sobrevoló los inmuebles de la zona d</w:t>
      </w:r>
      <w:r>
        <w:t>u</w:t>
      </w:r>
      <w:r>
        <w:t xml:space="preserve">rante unos 15 minutos, pareciéndole “muy raro que volara tan bajo y justo enfrente de </w:t>
      </w:r>
      <w:smartTag w:uri="urn:schemas-microsoft-com:office:smarttags" w:element="PersonName">
        <w:smartTagPr>
          <w:attr w:name="ProductID" w:val="la A.M"/>
        </w:smartTagPr>
        <w:r>
          <w:t>la A.M</w:t>
        </w:r>
      </w:smartTag>
      <w:r>
        <w:t>.I.A.”. Asimismo, Sara Rosa Goldsztein también recordó haber escuchado, en la n</w:t>
      </w:r>
      <w:r>
        <w:t>o</w:t>
      </w:r>
      <w:r>
        <w:t>che del 17 de julio, mientras se encontraba en su vivienda de Pasteur 676, el ruido de un helicóptero, en tanto que María Isabel Lima Ponce, de Pasteur 651, destacó que esa misma noche, amén de sentir ruidos extraños sobre los t</w:t>
      </w:r>
      <w:r>
        <w:t>e</w:t>
      </w:r>
      <w:r>
        <w:t>chos de su casa, observó luces provenientes de un objeto vol</w:t>
      </w:r>
      <w:r>
        <w:t>a</w:t>
      </w:r>
      <w:r>
        <w:t>dor.</w:t>
      </w:r>
    </w:p>
    <w:p w:rsidR="00224567" w:rsidRDefault="00224567">
      <w:pPr>
        <w:pStyle w:val="Sangradetextonormal"/>
        <w:widowControl w:val="0"/>
        <w:ind w:firstLine="0"/>
      </w:pPr>
      <w:r>
        <w:tab/>
        <w:t>En forma coincidente con sus v</w:t>
      </w:r>
      <w:r>
        <w:t>e</w:t>
      </w:r>
      <w:r>
        <w:t>cinos, Martín Rubén Strajman refirió que durante la medianoche previa al atentado escuchó, durante unos 8 ó 10 minutos, el sobrevuelo de un helicóptero en la zona, cuyo sonido se escuchaba cada vez más próximo, hasta que sintió como si la aeronave estuviera posada sobre la terraza de su edif</w:t>
      </w:r>
      <w:r>
        <w:t>i</w:t>
      </w:r>
      <w:r>
        <w:t>cio, sito en Pasteur 632, tornándose insoportable el ru</w:t>
      </w:r>
      <w:r>
        <w:t>i</w:t>
      </w:r>
      <w:r>
        <w:t>do; ubicación en la que se mantuvo durante aproximad</w:t>
      </w:r>
      <w:r>
        <w:t>a</w:t>
      </w:r>
      <w:r>
        <w:t>mente 2 ó 3 minutos. Aclaró que si bien era frecue</w:t>
      </w:r>
      <w:r>
        <w:t>n</w:t>
      </w:r>
      <w:r>
        <w:t>te el paso de helicópteros por la zona, nunca lo fue en la forma en que lo escuchó aquella n</w:t>
      </w:r>
      <w:r>
        <w:t>o</w:t>
      </w:r>
      <w:r>
        <w:t>che.</w:t>
      </w:r>
    </w:p>
    <w:p w:rsidR="00224567" w:rsidRDefault="00224567">
      <w:pPr>
        <w:pStyle w:val="Sangradetextonormal"/>
        <w:widowControl w:val="0"/>
        <w:ind w:firstLine="0"/>
      </w:pPr>
      <w:r>
        <w:tab/>
        <w:t>De igual manera, Isaac Szterenbaum e</w:t>
      </w:r>
      <w:r>
        <w:t>x</w:t>
      </w:r>
      <w:r>
        <w:t>plicó que el domingo anterior al atentado, en horas de las medianoche, en oportunidad de ingresar junto con su cóny</w:t>
      </w:r>
      <w:r>
        <w:t>u</w:t>
      </w:r>
      <w:r>
        <w:t>ge a su vivienda de Pasteur 632, advirtió que un helicó</w:t>
      </w:r>
      <w:r>
        <w:t>p</w:t>
      </w:r>
      <w:r>
        <w:t xml:space="preserve">tero daba vueltas sobre el edificio de </w:t>
      </w:r>
      <w:smartTag w:uri="urn:schemas-microsoft-com:office:smarttags" w:element="PersonName">
        <w:smartTagPr>
          <w:attr w:name="ProductID" w:val="la A.M"/>
        </w:smartTagPr>
        <w:r>
          <w:t>la A.M</w:t>
        </w:r>
      </w:smartTag>
      <w:r>
        <w:t>.I.A.; ci</w:t>
      </w:r>
      <w:r>
        <w:t>r</w:t>
      </w:r>
      <w:r>
        <w:t xml:space="preserve">cunstancia que calificó de absolutamente infrecuente y de la cual informó al personal de </w:t>
      </w:r>
      <w:smartTag w:uri="urn:schemas-microsoft-com:office:smarttags" w:element="PersonName">
        <w:smartTagPr>
          <w:attr w:name="ProductID" w:val="la S.I"/>
        </w:smartTagPr>
        <w:r>
          <w:t>la S.I</w:t>
        </w:r>
      </w:smartTag>
      <w:r>
        <w:t>.D.E., en oportunidad de ser e</w:t>
      </w:r>
      <w:r>
        <w:t>n</w:t>
      </w:r>
      <w:r>
        <w:t>trevistado uno o dos días después del siniestro, llamándole la atención que el encuestador, invocando que “ya tenía conocimiento de ello”, omitió interrogarlo al respecto.</w:t>
      </w:r>
    </w:p>
    <w:p w:rsidR="00224567" w:rsidRDefault="00224567">
      <w:pPr>
        <w:pStyle w:val="Sangradetextonormal"/>
        <w:widowControl w:val="0"/>
        <w:ind w:firstLine="0"/>
      </w:pPr>
      <w:r>
        <w:tab/>
        <w:t>Eduardo David Medina, Mario Alberto Chencinski y Marta Nilda Portela, vecinos de la calle Pa</w:t>
      </w:r>
      <w:r>
        <w:t>s</w:t>
      </w:r>
      <w:r>
        <w:t>teur 569, 676 y 783, respectivamente, fueron conte</w:t>
      </w:r>
      <w:r>
        <w:t>s</w:t>
      </w:r>
      <w:r>
        <w:t>tes en señalar que el domingo 17, en horas de la noche –los últ</w:t>
      </w:r>
      <w:r>
        <w:t>i</w:t>
      </w:r>
      <w:r>
        <w:t>mos dos lo situaron entre las 22.00 y 23.00-, escucharon el ruido de un helicóptero volando a muy baja altura; a</w:t>
      </w:r>
      <w:r>
        <w:t>e</w:t>
      </w:r>
      <w:r>
        <w:t>ronave que, según Portela, estuvo ilum</w:t>
      </w:r>
      <w:r>
        <w:t>i</w:t>
      </w:r>
      <w:r>
        <w:t>nando los techos de los edificios con un reflector. Por último, Gabriel Omar Gutesman, a unas tres cuadras del lugar donde se cometió el atentado, también se percató del vuelo de un helicópt</w:t>
      </w:r>
      <w:r>
        <w:t>e</w:t>
      </w:r>
      <w:r>
        <w:t>ro por esas horas.</w:t>
      </w:r>
    </w:p>
    <w:p w:rsidR="00224567" w:rsidRDefault="00224567">
      <w:pPr>
        <w:pStyle w:val="Sangradetextonormal"/>
        <w:widowControl w:val="0"/>
        <w:ind w:firstLine="0"/>
      </w:pPr>
      <w:r>
        <w:tab/>
        <w:t>En procura de corroborar y explicar los motivos del mencionado sobrevuelo, esa n</w:t>
      </w:r>
      <w:r>
        <w:t>o</w:t>
      </w:r>
      <w:r>
        <w:t>che, sobre el edificio de la mutual judía, se convocó a la audie</w:t>
      </w:r>
      <w:r>
        <w:t>n</w:t>
      </w:r>
      <w:r>
        <w:t>cia de debate a Guillermo Roberto Filmore, Jorge Edua</w:t>
      </w:r>
      <w:r>
        <w:t>r</w:t>
      </w:r>
      <w:r>
        <w:t>do Bianchi, Carlos Alejandro Agu</w:t>
      </w:r>
      <w:r>
        <w:t>i</w:t>
      </w:r>
      <w:r>
        <w:t>lar, Julia Alejandra Espeche, Eduardo Nogueras, Gustavo Zunino, Alberto Apolinario Gómez y Ma</w:t>
      </w:r>
      <w:r>
        <w:t>u</w:t>
      </w:r>
      <w:r>
        <w:t>ricio José Francisco Segurado, quienes se desempeñaron c</w:t>
      </w:r>
      <w:r>
        <w:t>o</w:t>
      </w:r>
      <w:r>
        <w:t>mo controladores aéreos del aer</w:t>
      </w:r>
      <w:r>
        <w:t>o</w:t>
      </w:r>
      <w:r>
        <w:t xml:space="preserve">parque “Jorge Newbery” de esta ciudad, durante los días 17 y 18 de julio de 1994, como así también a los comodoros de </w:t>
      </w:r>
      <w:smartTag w:uri="urn:schemas-microsoft-com:office:smarttags" w:element="PersonName">
        <w:smartTagPr>
          <w:attr w:name="ProductID" w:val="la Fuerza A￩rea"/>
        </w:smartTagPr>
        <w:r>
          <w:t>la Fuerza Aérea</w:t>
        </w:r>
      </w:smartTag>
      <w:r>
        <w:t xml:space="preserve"> Arge</w:t>
      </w:r>
      <w:r>
        <w:t>n</w:t>
      </w:r>
      <w:r>
        <w:t>tina Juan Miguel Eduardo Maclay y Carlos Alberto Maffeis.</w:t>
      </w:r>
    </w:p>
    <w:p w:rsidR="00224567" w:rsidRDefault="00224567">
      <w:pPr>
        <w:pStyle w:val="Sangradetextonormal"/>
        <w:widowControl w:val="0"/>
        <w:ind w:firstLine="0"/>
      </w:pPr>
      <w:r>
        <w:tab/>
        <w:t>Todos ellos coincidieron en afirmar que el aeroparque metropolitano contaba con una repet</w:t>
      </w:r>
      <w:r>
        <w:t>i</w:t>
      </w:r>
      <w:r>
        <w:t>dora del radar instalado en el Aeropuerto Internacional de Ezeiza, con capacidad para detectar toda aeronave que s</w:t>
      </w:r>
      <w:r>
        <w:t>o</w:t>
      </w:r>
      <w:r>
        <w:t xml:space="preserve">brevolara </w:t>
      </w:r>
      <w:smartTag w:uri="urn:schemas-microsoft-com:office:smarttags" w:element="PersonName">
        <w:smartTagPr>
          <w:attr w:name="ProductID" w:val="la Capital Federal"/>
        </w:smartTagPr>
        <w:r>
          <w:t>la Capital Federal</w:t>
        </w:r>
      </w:smartTag>
      <w:r>
        <w:t xml:space="preserve"> más allá de cierta altura, la que, según las distintas versiones, variaba entre los 70 y los </w:t>
      </w:r>
      <w:smartTag w:uri="urn:schemas-microsoft-com:office:smarttags" w:element="metricconverter">
        <w:smartTagPr>
          <w:attr w:name="ProductID" w:val="300 metros"/>
        </w:smartTagPr>
        <w:r>
          <w:t>300 metros</w:t>
        </w:r>
      </w:smartTag>
      <w:r>
        <w:t>; ello, sin perjuicio de aclarar que la constatación resultaba más sencilla cuando la nave contaba con el identificador de vuelo denominado “transponder”. Explicó, además, que toda a</w:t>
      </w:r>
      <w:r>
        <w:t>e</w:t>
      </w:r>
      <w:r>
        <w:t>ronave, sea comercial, privada o de una fuerza de seguridad, debía comunicar su plan de vuelo a la torre de control, registrándose ello en una cinta que se conservaba durante 30 días. Existía, ta</w:t>
      </w:r>
      <w:r>
        <w:t>m</w:t>
      </w:r>
      <w:r>
        <w:t>bién, un registro documental -denominado “fajas de vuelo”- que se guard</w:t>
      </w:r>
      <w:r>
        <w:t>a</w:t>
      </w:r>
      <w:r>
        <w:t>ba seis meses.</w:t>
      </w:r>
    </w:p>
    <w:p w:rsidR="00224567" w:rsidRDefault="00224567">
      <w:pPr>
        <w:pStyle w:val="Sangradetextonormal"/>
        <w:widowControl w:val="0"/>
        <w:ind w:firstLine="0"/>
      </w:pPr>
      <w:r>
        <w:tab/>
        <w:t xml:space="preserve">No obstante tales disposiciones, los controladores aéreos también coincidieron en señalar que para la época del atentado era factible que un helicóptero sobrevolase </w:t>
      </w:r>
      <w:smartTag w:uri="urn:schemas-microsoft-com:office:smarttags" w:element="PersonName">
        <w:smartTagPr>
          <w:attr w:name="ProductID" w:val="la Ciudad"/>
        </w:smartTagPr>
        <w:r>
          <w:t>la Ciudad</w:t>
        </w:r>
      </w:smartTag>
      <w:r>
        <w:t xml:space="preserve"> de Buenos Aires sin ser detectado por la autoridad aeronáut</w:t>
      </w:r>
      <w:r>
        <w:t>i</w:t>
      </w:r>
      <w:r>
        <w:t>ca, no habiendo recordado Carlos Aguilar, encargado de esa labor el 17 de julio de 1994 hasta la mañana del día siguiente, que se hubiera produc</w:t>
      </w:r>
      <w:r>
        <w:t>i</w:t>
      </w:r>
      <w:r>
        <w:t>do alguna novedad en relación a los vuelos realizados d</w:t>
      </w:r>
      <w:r>
        <w:t>u</w:t>
      </w:r>
      <w:r>
        <w:t>rante ese lapso.</w:t>
      </w:r>
    </w:p>
    <w:p w:rsidR="00224567" w:rsidRDefault="00224567">
      <w:pPr>
        <w:pStyle w:val="Sangradetextonormal"/>
        <w:widowControl w:val="0"/>
        <w:ind w:firstLine="0"/>
      </w:pPr>
      <w:r>
        <w:tab/>
        <w:t xml:space="preserve">A requerimiento del juez instructor, el comodoro Juan Maclay y el jefe de </w:t>
      </w:r>
      <w:smartTag w:uri="urn:schemas-microsoft-com:office:smarttags" w:element="PersonName">
        <w:smartTagPr>
          <w:attr w:name="ProductID" w:val="la Divisi￳n Escuadr￳n"/>
        </w:smartTagPr>
        <w:r>
          <w:t>la División Escu</w:t>
        </w:r>
        <w:r>
          <w:t>a</w:t>
        </w:r>
        <w:r>
          <w:t>drón</w:t>
        </w:r>
      </w:smartTag>
      <w:r>
        <w:t xml:space="preserve"> Aéreo de </w:t>
      </w:r>
      <w:smartTag w:uri="urn:schemas-microsoft-com:office:smarttags" w:element="PersonName">
        <w:smartTagPr>
          <w:attr w:name="ProductID" w:val="la Polic￭a Federal"/>
        </w:smartTagPr>
        <w:r>
          <w:t>la Policía Federal</w:t>
        </w:r>
      </w:smartTag>
      <w:r>
        <w:t xml:space="preserve"> Argentina, com</w:t>
      </w:r>
      <w:r>
        <w:t>i</w:t>
      </w:r>
      <w:r>
        <w:t>sario Norberto Gaudiero, informaron acerca de los vu</w:t>
      </w:r>
      <w:r>
        <w:t>e</w:t>
      </w:r>
      <w:r>
        <w:t xml:space="preserve">los de helicópteros producidos en </w:t>
      </w:r>
      <w:smartTag w:uri="urn:schemas-microsoft-com:office:smarttags" w:element="PersonName">
        <w:smartTagPr>
          <w:attr w:name="ProductID" w:val="la Capital Federal"/>
        </w:smartTagPr>
        <w:r>
          <w:t>la Cap</w:t>
        </w:r>
        <w:r>
          <w:t>i</w:t>
        </w:r>
        <w:r>
          <w:t>tal Federal</w:t>
        </w:r>
      </w:smartTag>
      <w:r>
        <w:t xml:space="preserve"> durante los días 17 y 18 de julio de 1994, entre las 20.00 y las 24.00 y entre las 06.00 y las 10.30, respectivame</w:t>
      </w:r>
      <w:r>
        <w:t>n</w:t>
      </w:r>
      <w:r>
        <w:t>te (ver fs. 2863/2864, fs. 3407/3408 y fs. 63.609); requerimiento inexplicablemente incompleto si se advierte que muchos de los vecinos ref</w:t>
      </w:r>
      <w:r>
        <w:t>i</w:t>
      </w:r>
      <w:r>
        <w:t>rieron haber observado la aeronave en las primeras horas del 18 de julio.</w:t>
      </w:r>
    </w:p>
    <w:p w:rsidR="00224567" w:rsidRDefault="00224567">
      <w:pPr>
        <w:pStyle w:val="Sangradetextonormal"/>
        <w:widowControl w:val="0"/>
        <w:ind w:firstLine="0"/>
      </w:pPr>
      <w:r>
        <w:tab/>
        <w:t>Con base en dicho informe y en el pr</w:t>
      </w:r>
      <w:r>
        <w:t>o</w:t>
      </w:r>
      <w:r>
        <w:t>porcionado a fs. 29.907, referido a los helicó</w:t>
      </w:r>
      <w:r>
        <w:t>p</w:t>
      </w:r>
      <w:r>
        <w:t xml:space="preserve">teros de </w:t>
      </w:r>
      <w:smartTag w:uri="urn:schemas-microsoft-com:office:smarttags" w:element="PersonName">
        <w:smartTagPr>
          <w:attr w:name="ProductID" w:val="la Polic￭a Federal"/>
        </w:smartTagPr>
        <w:r>
          <w:t>la Policía Federal</w:t>
        </w:r>
      </w:smartTag>
      <w:r>
        <w:t xml:space="preserve"> Argentina que se despl</w:t>
      </w:r>
      <w:r>
        <w:t>a</w:t>
      </w:r>
      <w:r>
        <w:t>zaron en la mañana del 18 de julio a la zona afectada por la explosión, se convocaron al debate Sebastián Ziliotto, Luis Alberto Ac</w:t>
      </w:r>
      <w:r>
        <w:t>e</w:t>
      </w:r>
      <w:r>
        <w:t>vedo, Mariano Julián Panzini, Miguel Ángel Vila, Fabián Oscar Rojas, Nilo Ruiz Díaz, Pablo Alejandro Santano, Ma</w:t>
      </w:r>
      <w:r>
        <w:t>r</w:t>
      </w:r>
      <w:r>
        <w:t>celo Pittis, Claudio Serrano, Hugo Corti, Manuel Rueda, Diego Andersen y Omar Aldo Parisi, pilotos de dicha inst</w:t>
      </w:r>
      <w:r>
        <w:t>i</w:t>
      </w:r>
      <w:r>
        <w:t>tución, todos los cuales negaron haber permanecido en p</w:t>
      </w:r>
      <w:r>
        <w:t>o</w:t>
      </w:r>
      <w:r>
        <w:t xml:space="preserve">sición estacionaria sobre el edificio de </w:t>
      </w:r>
      <w:smartTag w:uri="urn:schemas-microsoft-com:office:smarttags" w:element="PersonName">
        <w:smartTagPr>
          <w:attr w:name="ProductID" w:val="la A.M"/>
        </w:smartTagPr>
        <w:r>
          <w:t>la A.M</w:t>
        </w:r>
      </w:smartTag>
      <w:r>
        <w:t>.I.A. ni haber iluminado la zona con un reflector durante las últ</w:t>
      </w:r>
      <w:r>
        <w:t>i</w:t>
      </w:r>
      <w:r>
        <w:t>mas horas del 17 de julio ni en las primeras del siguie</w:t>
      </w:r>
      <w:r>
        <w:t>n</w:t>
      </w:r>
      <w:r>
        <w:t>te.</w:t>
      </w:r>
    </w:p>
    <w:p w:rsidR="00224567" w:rsidRDefault="00224567">
      <w:pPr>
        <w:pStyle w:val="Sangradetextonormal"/>
        <w:widowControl w:val="0"/>
        <w:ind w:firstLine="0"/>
      </w:pPr>
      <w:r>
        <w:tab/>
        <w:t>Por otra parte, a fs. 64.718 se info</w:t>
      </w:r>
      <w:r>
        <w:t>r</w:t>
      </w:r>
      <w:r>
        <w:t xml:space="preserve">mó que en los aeródromos de las localidades de </w:t>
      </w:r>
      <w:smartTag w:uri="urn:schemas-microsoft-com:office:smarttags" w:element="PersonName">
        <w:smartTagPr>
          <w:attr w:name="ProductID" w:val="La Matanza"/>
        </w:smartTagPr>
        <w:r>
          <w:t>La M</w:t>
        </w:r>
        <w:r>
          <w:t>a</w:t>
        </w:r>
        <w:r>
          <w:t>tanza</w:t>
        </w:r>
      </w:smartTag>
      <w:r>
        <w:t xml:space="preserve">, Quilmes y Morón, de </w:t>
      </w:r>
      <w:smartTag w:uri="urn:schemas-microsoft-com:office:smarttags" w:element="PersonName">
        <w:smartTagPr>
          <w:attr w:name="ProductID" w:val="la Provincia"/>
        </w:smartTagPr>
        <w:r>
          <w:t>la Provincia</w:t>
        </w:r>
      </w:smartTag>
      <w:r>
        <w:t xml:space="preserve"> de Buenos Aires, no se registraron vuelos de helicópteros en las fechas indic</w:t>
      </w:r>
      <w:r>
        <w:t>a</w:t>
      </w:r>
      <w:r>
        <w:t>das.</w:t>
      </w:r>
    </w:p>
    <w:p w:rsidR="00224567" w:rsidRDefault="00224567">
      <w:pPr>
        <w:pStyle w:val="Sangradetextonormal"/>
        <w:widowControl w:val="0"/>
        <w:ind w:firstLine="0"/>
      </w:pPr>
      <w:r>
        <w:tab/>
        <w:t>En definitiva, si bien la prueba pr</w:t>
      </w:r>
      <w:r>
        <w:t>o</w:t>
      </w:r>
      <w:r>
        <w:t>ducida en el debate permitió acreditar el extremo enunci</w:t>
      </w:r>
      <w:r>
        <w:t>a</w:t>
      </w:r>
      <w:r>
        <w:t>do al inicio, ella resultó insuficiente para est</w:t>
      </w:r>
      <w:r>
        <w:t>a</w:t>
      </w:r>
      <w:r>
        <w:t>blecer la procedencia de la aeronave y los motivos por los cuales sobrevoló la zona que horas más tarde constituiría el ep</w:t>
      </w:r>
      <w:r>
        <w:t>i</w:t>
      </w:r>
      <w:r>
        <w:t>centro del atentado. Ello, sin perjuicio de señalar la i</w:t>
      </w:r>
      <w:r>
        <w:t>m</w:t>
      </w:r>
      <w:r>
        <w:t>posibilidad de arrimar al debate la i</w:t>
      </w:r>
      <w:r>
        <w:t>n</w:t>
      </w:r>
      <w:r>
        <w:t>formación relativa a los vuelos realizados en el lapso comprendido entre las 24.00 del día 17 de julio y las 06.00 del día siguiente, ni de aquellos que, eventualmente, pudieron haberse e</w:t>
      </w:r>
      <w:r>
        <w:t>m</w:t>
      </w:r>
      <w:r>
        <w:t>prendido desde el Aeropuerto Internacional “Ministro Pi</w:t>
      </w:r>
      <w:r>
        <w:t>s</w:t>
      </w:r>
      <w:r>
        <w:t>tarini”, de la localidad de Ezeiza, ni de los a</w:t>
      </w:r>
      <w:r>
        <w:t>e</w:t>
      </w:r>
      <w:r>
        <w:t>ropuertos de Don Torcuato, San Fernando y San Justo, en razón que tal información, por el transcurso del tiempo, fue de</w:t>
      </w:r>
      <w:r>
        <w:t>s</w:t>
      </w:r>
      <w:r>
        <w:t>truida en cumplimiento de disposici</w:t>
      </w:r>
      <w:r>
        <w:t>o</w:t>
      </w:r>
      <w:r>
        <w:t>nes vigentes.</w:t>
      </w:r>
    </w:p>
    <w:p w:rsidR="00224567" w:rsidRDefault="00224567">
      <w:pPr>
        <w:pStyle w:val="Sangradetextonormal"/>
        <w:widowControl w:val="0"/>
        <w:ind w:firstLine="0"/>
      </w:pPr>
      <w:r>
        <w:tab/>
        <w:t>Dicho déficit probatorio, que fru</w:t>
      </w:r>
      <w:r>
        <w:t>s</w:t>
      </w:r>
      <w:r>
        <w:t>tró la posibilidad de ahondar las circunstancias que explic</w:t>
      </w:r>
      <w:r>
        <w:t>a</w:t>
      </w:r>
      <w:r>
        <w:t>rían tan singular acontecimiento –un vuelo estacionario sobre la mutual, durante algunos minutos, en la noche a</w:t>
      </w:r>
      <w:r>
        <w:t>n</w:t>
      </w:r>
      <w:r>
        <w:t>terior al atentado- y acerca del cual se tejieron numer</w:t>
      </w:r>
      <w:r>
        <w:t>o</w:t>
      </w:r>
      <w:r>
        <w:t>sas hipótesis, nunca confirmadas, constituyó una inadmis</w:t>
      </w:r>
      <w:r>
        <w:t>i</w:t>
      </w:r>
      <w:r>
        <w:t>ble desaprensión del magistrado instructor, dado que om</w:t>
      </w:r>
      <w:r>
        <w:t>i</w:t>
      </w:r>
      <w:r>
        <w:t>tió requerir, en el tiempo oportuno y en la forma adecu</w:t>
      </w:r>
      <w:r>
        <w:t>a</w:t>
      </w:r>
      <w:r>
        <w:t>da, aquellos datos que hubieran echado luz a la cuestión; máxime cuando la sospechosa presencia fue anunciada al juzgado interviniente el mismo día del atentado (ver ce</w:t>
      </w:r>
      <w:r>
        <w:t>r</w:t>
      </w:r>
      <w:r>
        <w:t>tificado actuarial del 18 de julio de 1994, obrante a fs. 447), corroborada luego por los primeros testimonios arr</w:t>
      </w:r>
      <w:r>
        <w:t>i</w:t>
      </w:r>
      <w:r>
        <w:t>mados al proc</w:t>
      </w:r>
      <w:r>
        <w:t>e</w:t>
      </w:r>
      <w:r>
        <w:t>so.</w:t>
      </w:r>
    </w:p>
    <w:p w:rsidR="00224567" w:rsidRDefault="00224567">
      <w:pPr>
        <w:pStyle w:val="Sangradetextonormal"/>
        <w:widowControl w:val="0"/>
        <w:ind w:firstLine="0"/>
      </w:pPr>
    </w:p>
    <w:p w:rsidR="00224567" w:rsidRDefault="00224567">
      <w:pPr>
        <w:pStyle w:val="Ttulo3"/>
        <w:keepNext w:val="0"/>
        <w:widowControl w:val="0"/>
      </w:pPr>
      <w:r>
        <w:t>B) Nulidades.</w:t>
      </w:r>
    </w:p>
    <w:p w:rsidR="00224567" w:rsidRDefault="00224567">
      <w:r>
        <w:tab/>
        <w:t>B.1) Para decidir los planteos de n</w:t>
      </w:r>
      <w:r>
        <w:t>u</w:t>
      </w:r>
      <w:r>
        <w:t>lidad articulados por la fiscalía y numerosas defe</w:t>
      </w:r>
      <w:r>
        <w:t>n</w:t>
      </w:r>
      <w:r>
        <w:t>sas con relación al acta de fs. 224 del Informe Prel</w:t>
      </w:r>
      <w:r>
        <w:t>i</w:t>
      </w:r>
      <w:r>
        <w:t xml:space="preserve">minar, que da cuenta del hallazgo de restos de un motor entre las ruinas de </w:t>
      </w:r>
      <w:smartTag w:uri="urn:schemas-microsoft-com:office:smarttags" w:element="PersonName">
        <w:smartTagPr>
          <w:attr w:name="ProductID" w:val="la A.M"/>
        </w:smartTagPr>
        <w:r>
          <w:t>la A.M</w:t>
        </w:r>
      </w:smartTag>
      <w:r>
        <w:t>.I.A., deviene necesario reseñar los dichos de quienes aparecen c</w:t>
      </w:r>
      <w:r>
        <w:t>o</w:t>
      </w:r>
      <w:r>
        <w:t>mo protagonistas de la diligencia, como así también los demás elementos de convicción que coady</w:t>
      </w:r>
      <w:r>
        <w:t>u</w:t>
      </w:r>
      <w:r>
        <w:t>van para elucidar el tema en cue</w:t>
      </w:r>
      <w:r>
        <w:t>s</w:t>
      </w:r>
      <w:r>
        <w:t>tión.</w:t>
      </w:r>
    </w:p>
    <w:p w:rsidR="00224567" w:rsidRDefault="00224567">
      <w:r>
        <w:tab/>
        <w:t xml:space="preserve">Horacio Ángel Lopardo, oficial de </w:t>
      </w:r>
      <w:smartTag w:uri="urn:schemas-microsoft-com:office:smarttags" w:element="PersonName">
        <w:smartTagPr>
          <w:attr w:name="ProductID" w:val="la Divisi￳n Investigaciones"/>
        </w:smartTagPr>
        <w:r>
          <w:t>la División Investigaciones</w:t>
        </w:r>
      </w:smartTag>
      <w:r>
        <w:t xml:space="preserve"> del Departamento Explosivos y Riesgos Especiales de </w:t>
      </w:r>
      <w:smartTag w:uri="urn:schemas-microsoft-com:office:smarttags" w:element="PersonName">
        <w:smartTagPr>
          <w:attr w:name="ProductID" w:val="la Superintendencia"/>
        </w:smartTagPr>
        <w:r>
          <w:t>la Superintendencia</w:t>
        </w:r>
      </w:smartTag>
      <w:r>
        <w:t xml:space="preserve"> de Bomberos, m</w:t>
      </w:r>
      <w:r>
        <w:t>a</w:t>
      </w:r>
      <w:r>
        <w:t>nifestó que se presentó en el lugar del hecho el 25 de j</w:t>
      </w:r>
      <w:r>
        <w:t>u</w:t>
      </w:r>
      <w:r>
        <w:t>lio de 1994 y que en esa jornada, en circunsta</w:t>
      </w:r>
      <w:r>
        <w:t>n</w:t>
      </w:r>
      <w:r>
        <w:t>cias en que se encontraba a unos seis o diez metros de una máquina r</w:t>
      </w:r>
      <w:r>
        <w:t>e</w:t>
      </w:r>
      <w:r>
        <w:t>troexcavadora que retiraba y descargaba en camiones los escombros que se hallaban en el sector izquierdo del pr</w:t>
      </w:r>
      <w:r>
        <w:t>e</w:t>
      </w:r>
      <w:r>
        <w:t xml:space="preserve">dio de </w:t>
      </w:r>
      <w:smartTag w:uri="urn:schemas-microsoft-com:office:smarttags" w:element="PersonName">
        <w:smartTagPr>
          <w:attr w:name="ProductID" w:val="la A.M"/>
        </w:smartTagPr>
        <w:r>
          <w:t>la A.M</w:t>
        </w:r>
      </w:smartTag>
      <w:r>
        <w:t>.I.A., el más cercano a la calle Viamonte, le llamó la atención que aquella dejó de operar, r</w:t>
      </w:r>
      <w:r>
        <w:t>e</w:t>
      </w:r>
      <w:r>
        <w:t>uniéndose gente a su alrededor, entre los que se encontraban los oficiales Scartascini y Se</w:t>
      </w:r>
      <w:r>
        <w:t>a</w:t>
      </w:r>
      <w:r>
        <w:t>ra.</w:t>
      </w:r>
    </w:p>
    <w:p w:rsidR="00224567" w:rsidRDefault="00224567">
      <w:r>
        <w:tab/>
        <w:t>Explicó que al acercarse pudo obse</w:t>
      </w:r>
      <w:r>
        <w:t>r</w:t>
      </w:r>
      <w:r>
        <w:t>var, próximo al cordón de la vereda, un bloque de motor dañado que, supuso, había sido dejado por dicha máquina, aclarando que en ningún momento vio dicho elemento sobre la pala de la retroexcavadora ni que se hubiera volcado en un camión.</w:t>
      </w:r>
    </w:p>
    <w:p w:rsidR="00224567" w:rsidRDefault="00224567">
      <w:r>
        <w:tab/>
        <w:t>Acto seguido, al intentar tomar la evidencia para trasladarla al centro de operaci</w:t>
      </w:r>
      <w:r>
        <w:t>o</w:t>
      </w:r>
      <w:r>
        <w:t xml:space="preserve">nes de </w:t>
      </w:r>
      <w:smartTag w:uri="urn:schemas-microsoft-com:office:smarttags" w:element="PersonName">
        <w:smartTagPr>
          <w:attr w:name="ProductID" w:val="la Brigada"/>
        </w:smartTagPr>
        <w:r>
          <w:t>la Brigada</w:t>
        </w:r>
      </w:smartTag>
      <w:r>
        <w:t xml:space="preserve"> de Explosivos, agentes de la fue</w:t>
      </w:r>
      <w:r>
        <w:t>r</w:t>
      </w:r>
      <w:r>
        <w:t>za israelí se lo impidieron, produciéndose un altercado, agravado por las diferencias idiomáticas, que se superó una vez que pudo comprender, traductor mediante, que aquellos sólo prete</w:t>
      </w:r>
      <w:r>
        <w:t>n</w:t>
      </w:r>
      <w:r>
        <w:t>dían obtener una f</w:t>
      </w:r>
      <w:r>
        <w:t>o</w:t>
      </w:r>
      <w:r>
        <w:t>tografía del objeto de mentas.</w:t>
      </w:r>
    </w:p>
    <w:p w:rsidR="00224567" w:rsidRDefault="00224567">
      <w:pPr>
        <w:widowControl w:val="0"/>
      </w:pPr>
      <w:r>
        <w:tab/>
        <w:t>Explicó que en la ocasión hizo de tr</w:t>
      </w:r>
      <w:r>
        <w:t>a</w:t>
      </w:r>
      <w:r>
        <w:t>ductor una persona alta, de tez blanca, con barba, que s</w:t>
      </w:r>
      <w:r>
        <w:t>e</w:t>
      </w:r>
      <w:r>
        <w:t>gún creía usaba anteojos y que permaneció muchos días en la zona del siniestro.</w:t>
      </w:r>
    </w:p>
    <w:p w:rsidR="00224567" w:rsidRDefault="00224567">
      <w:pPr>
        <w:widowControl w:val="0"/>
      </w:pPr>
      <w:r>
        <w:tab/>
        <w:t xml:space="preserve">Tras ello, el motor fue trasladado a la carpa que los israelíes habían instalado en la vereda opuesta a </w:t>
      </w:r>
      <w:smartTag w:uri="urn:schemas-microsoft-com:office:smarttags" w:element="PersonName">
        <w:smartTagPr>
          <w:attr w:name="ProductID" w:val="la A.M"/>
        </w:smartTagPr>
        <w:r>
          <w:t>la A.M</w:t>
        </w:r>
      </w:smartTag>
      <w:r>
        <w:t>.I.A. donde, tras pasarle una tiza, se p</w:t>
      </w:r>
      <w:r>
        <w:t>u</w:t>
      </w:r>
      <w:r>
        <w:t xml:space="preserve">do leer el número estampado en el motor; novedad que de inmediato el oficial Seara hizo conocer a </w:t>
      </w:r>
      <w:smartTag w:uri="urn:schemas-microsoft-com:office:smarttags" w:element="PersonName">
        <w:smartTagPr>
          <w:attr w:name="ProductID" w:val="la Superintendencia"/>
        </w:smartTagPr>
        <w:r>
          <w:t>la Superinte</w:t>
        </w:r>
        <w:r>
          <w:t>n</w:t>
        </w:r>
        <w:r>
          <w:t>dencia</w:t>
        </w:r>
      </w:smartTag>
      <w:r>
        <w:t xml:space="preserve"> de Bomberos.</w:t>
      </w:r>
    </w:p>
    <w:p w:rsidR="00224567" w:rsidRDefault="00224567">
      <w:pPr>
        <w:widowControl w:val="0"/>
        <w:rPr>
          <w:b/>
          <w:bCs/>
        </w:rPr>
      </w:pPr>
      <w:r>
        <w:tab/>
        <w:t>Recordó Lopardo que dentro de una bo</w:t>
      </w:r>
      <w:r>
        <w:t>l</w:t>
      </w:r>
      <w:r>
        <w:t>sa de plástico negra llevó la pieza hasta el comercio de la familia Moragues, donde funcionaba el centro de oper</w:t>
      </w:r>
      <w:r>
        <w:t>a</w:t>
      </w:r>
      <w:r>
        <w:t>ciones de la brigada, procediendo a identificar las piezas secuestradas, conformadas por un motor que tenía adherido, en forma precaria, el cárter y la bomba de aceite, las que luego envió al Departamento Central.</w:t>
      </w:r>
    </w:p>
    <w:p w:rsidR="00224567" w:rsidRDefault="00224567">
      <w:pPr>
        <w:widowControl w:val="0"/>
      </w:pPr>
      <w:r>
        <w:tab/>
        <w:t>Sostuvo, además, que en el centro de operaciones redactó el acta de secuestro sobre un formul</w:t>
      </w:r>
      <w:r>
        <w:t>a</w:t>
      </w:r>
      <w:r>
        <w:t>rio preimpreso, solicitándole a quienes se enco</w:t>
      </w:r>
      <w:r>
        <w:t>n</w:t>
      </w:r>
      <w:r>
        <w:t>traban en el local –Garris y Moragues- que of</w:t>
      </w:r>
      <w:r>
        <w:t>i</w:t>
      </w:r>
      <w:r>
        <w:t>ciaran de testigos de la diligencia, pese a saber que no habían presenciado el hallazgo, por cuanto consideró que igualmente debía l</w:t>
      </w:r>
      <w:r>
        <w:t>a</w:t>
      </w:r>
      <w:r>
        <w:t>brarla por constituir la evidencia secuestrada un comp</w:t>
      </w:r>
      <w:r>
        <w:t>o</w:t>
      </w:r>
      <w:r>
        <w:t>nente fundamental de la labor pericial; en sus palabras, no hacerlo hubiera sido “una l</w:t>
      </w:r>
      <w:r>
        <w:t>o</w:t>
      </w:r>
      <w:r>
        <w:t>cura”.</w:t>
      </w:r>
    </w:p>
    <w:p w:rsidR="00224567" w:rsidRDefault="00224567">
      <w:pPr>
        <w:widowControl w:val="0"/>
      </w:pPr>
      <w:r>
        <w:tab/>
        <w:t>No obstante, Lopardo aclaró que las personas que se habían reunido con motivo del hallazgo le comentaron que, inicialmente, vieron la pieza en el sitio por donde se encontraba operando la retroexcav</w:t>
      </w:r>
      <w:r>
        <w:t>a</w:t>
      </w:r>
      <w:r>
        <w:t>dora y que luego, a mano, la trasladaron hasta el cordón de la ver</w:t>
      </w:r>
      <w:r>
        <w:t>e</w:t>
      </w:r>
      <w:r>
        <w:t>da.</w:t>
      </w:r>
    </w:p>
    <w:p w:rsidR="00224567" w:rsidRDefault="00224567">
      <w:pPr>
        <w:widowControl w:val="0"/>
      </w:pPr>
      <w:r>
        <w:tab/>
        <w:t>Al tomar vista del acta de fs. 224, en la que consta que los objetos secuestrados “fueron avist</w:t>
      </w:r>
      <w:r>
        <w:t>a</w:t>
      </w:r>
      <w:r>
        <w:t>dos al ser volcados en un camión, por la pala de una m</w:t>
      </w:r>
      <w:r>
        <w:t>á</w:t>
      </w:r>
      <w:r>
        <w:t>quina retroexcavadora que conjuntamente con escombros los levantara de aproximadamente a (10) diez metros de la l</w:t>
      </w:r>
      <w:r>
        <w:t>í</w:t>
      </w:r>
      <w:r>
        <w:t xml:space="preserve">nea municipal de edificación, lateral derecho del predio de </w:t>
      </w:r>
      <w:smartTag w:uri="urn:schemas-microsoft-com:office:smarttags" w:element="PersonName">
        <w:smartTagPr>
          <w:attr w:name="ProductID" w:val="la AMIA"/>
        </w:smartTagPr>
        <w:r>
          <w:t>la AMIA</w:t>
        </w:r>
      </w:smartTag>
      <w:r>
        <w:t>”, el funcionario explicó que asentó tales e</w:t>
      </w:r>
      <w:r>
        <w:t>x</w:t>
      </w:r>
      <w:r>
        <w:t>tremos por considerarlos importa</w:t>
      </w:r>
      <w:r>
        <w:t>n</w:t>
      </w:r>
      <w:r>
        <w:t>tes, acordes a lo que le manifestó el personal que e</w:t>
      </w:r>
      <w:r>
        <w:t>s</w:t>
      </w:r>
      <w:r>
        <w:t>taba trabajando en ese lugar; precisó, sin embargo, que en modo alguno los elementos “fueron avistados” por él, sino que, en realidad, fueron advertidos por aquellas personas que así se lo refirieron, juzgando de improbable que quienes aparecen firmando la mentada acta como testigos hubiesen presenciado el halla</w:t>
      </w:r>
      <w:r>
        <w:t>z</w:t>
      </w:r>
      <w:r>
        <w:t>go, puesto que se encontraban en el interior del local.</w:t>
      </w:r>
    </w:p>
    <w:p w:rsidR="00224567" w:rsidRDefault="00224567">
      <w:pPr>
        <w:widowControl w:val="0"/>
      </w:pPr>
      <w:r>
        <w:tab/>
        <w:t>Al respecto, el comisario Guillermo Pedro Scartascini explicó que concurrió al lugar del s</w:t>
      </w:r>
      <w:r>
        <w:t>i</w:t>
      </w:r>
      <w:r>
        <w:t>niestro a partir de las 18 del 25 julio con el objeto de supervisar al personal en las tareas de remoción de esco</w:t>
      </w:r>
      <w:r>
        <w:t>m</w:t>
      </w:r>
      <w:r>
        <w:t>bros y de extracción de los cuerpos de las víctimas, h</w:t>
      </w:r>
      <w:r>
        <w:t>a</w:t>
      </w:r>
      <w:r>
        <w:t>ciendo lo propio el equipo de rescate israelí, con cuyo responsable acordó las tareas a llevar a cabo.</w:t>
      </w:r>
    </w:p>
    <w:p w:rsidR="00224567" w:rsidRDefault="00224567">
      <w:pPr>
        <w:widowControl w:val="0"/>
      </w:pPr>
      <w:r>
        <w:tab/>
        <w:t>Recordó que a poco de su arribo, cua</w:t>
      </w:r>
      <w:r>
        <w:t>n</w:t>
      </w:r>
      <w:r>
        <w:t>do come</w:t>
      </w:r>
      <w:r>
        <w:t>n</w:t>
      </w:r>
      <w:r>
        <w:t>zaba a anochecer, un grupo de personas se congregó en las proximidades de la carpa de la fuerza israelí, por lo que se dirigió hacia allí, observando sobre el piso un trozo de hierro lleno de polvo, “casi un trozo de hierro más, pero con alguna forma de cili</w:t>
      </w:r>
      <w:r>
        <w:t>n</w:t>
      </w:r>
      <w:r>
        <w:t>dros”, el que, según le p</w:t>
      </w:r>
      <w:r>
        <w:t>a</w:t>
      </w:r>
      <w:r>
        <w:t>reció, se vinculaba al cárter del motor.</w:t>
      </w:r>
    </w:p>
    <w:p w:rsidR="00224567" w:rsidRDefault="00224567">
      <w:pPr>
        <w:widowControl w:val="0"/>
      </w:pPr>
      <w:r>
        <w:tab/>
        <w:t>Scartascini refirió que en ese mome</w:t>
      </w:r>
      <w:r>
        <w:t>n</w:t>
      </w:r>
      <w:r>
        <w:t>to se produjo una discusión entre sus oficiales y los soc</w:t>
      </w:r>
      <w:r>
        <w:t>o</w:t>
      </w:r>
      <w:r>
        <w:t>rristas israelíes en razón que estos últimos pretendían retener para sí esa evidencia, debiendo mediar una pers</w:t>
      </w:r>
      <w:r>
        <w:t>o</w:t>
      </w:r>
      <w:r>
        <w:t>na, que hizo las veces de intérprete, para salvar el a</w:t>
      </w:r>
      <w:r>
        <w:t>l</w:t>
      </w:r>
      <w:r>
        <w:t>tercado; en el ínterin, con la ayuda de una tiza, se pr</w:t>
      </w:r>
      <w:r>
        <w:t>o</w:t>
      </w:r>
      <w:r>
        <w:t>cedió a remarcar la numeración estampada en el motor, mientras que los israelíes procedieron a f</w:t>
      </w:r>
      <w:r>
        <w:t>o</w:t>
      </w:r>
      <w:r>
        <w:t>tografiarlo.</w:t>
      </w:r>
    </w:p>
    <w:p w:rsidR="00224567" w:rsidRDefault="00224567">
      <w:pPr>
        <w:widowControl w:val="0"/>
      </w:pPr>
      <w:r>
        <w:tab/>
        <w:t>El oficial Daniel Roberto Seara dijo que vio el motor una vez que éste fue depositado d</w:t>
      </w:r>
      <w:r>
        <w:t>e</w:t>
      </w:r>
      <w:r>
        <w:t>bajo de un alero que tenía la carpa de los israelíes; allí, con una tiza, se resaltaron sus números identificat</w:t>
      </w:r>
      <w:r>
        <w:t>o</w:t>
      </w:r>
      <w:r>
        <w:t>rios, los que una vez obtenidos se los comunicó al principal Arbor a efectos de que transmita la novedad.</w:t>
      </w:r>
    </w:p>
    <w:p w:rsidR="00224567" w:rsidRDefault="00224567">
      <w:pPr>
        <w:widowControl w:val="0"/>
      </w:pPr>
      <w:r>
        <w:tab/>
        <w:t>Asimismo, a fin de dar cuenta de los términos de la discusión que se suscitó con los socorri</w:t>
      </w:r>
      <w:r>
        <w:t>s</w:t>
      </w:r>
      <w:r>
        <w:t>tas israelíes, explicó histriónicamente, impropio de un oficial de su jerarquía, que permanentemente debía insta</w:t>
      </w:r>
      <w:r>
        <w:t>r</w:t>
      </w:r>
      <w:r>
        <w:t xml:space="preserve">los a que “no toquen el motor”, a la vez que les afirmaba que “esa evidencia debía quedar en manos de </w:t>
      </w:r>
      <w:smartTag w:uri="urn:schemas-microsoft-com:office:smarttags" w:element="PersonName">
        <w:smartTagPr>
          <w:attr w:name="ProductID" w:val="la Polic￭a Federal"/>
        </w:smartTagPr>
        <w:r>
          <w:t>la Policía F</w:t>
        </w:r>
        <w:r>
          <w:t>e</w:t>
        </w:r>
        <w:r>
          <w:t>deral</w:t>
        </w:r>
      </w:smartTag>
      <w:r>
        <w:t>”.</w:t>
      </w:r>
    </w:p>
    <w:p w:rsidR="00224567" w:rsidRDefault="00224567">
      <w:pPr>
        <w:widowControl w:val="0"/>
      </w:pPr>
      <w:r>
        <w:tab/>
        <w:t>El subcomisario Alberto Ángel Carita relató que concurrió al lugar del hecho una sola vez, el 25 de julio, entre las 16 y las 21, aproximadamente, e</w:t>
      </w:r>
      <w:r>
        <w:t>n</w:t>
      </w:r>
      <w:r>
        <w:t>cargándose del personal avocado a las tareas de remoción de escombros y búsqueda de víctimas. Indicó que ese día, en horas de la tarde, escuchó un murmullo y observó un m</w:t>
      </w:r>
      <w:r>
        <w:t>o</w:t>
      </w:r>
      <w:r>
        <w:t>vimiento de personas en el sector derecho, sobre el que trabajaba el ejército israelí; concret</w:t>
      </w:r>
      <w:r>
        <w:t>a</w:t>
      </w:r>
      <w:r>
        <w:t xml:space="preserve">mente, recordó, se trataba de un grupo de entre seis y diez uniformados que se trasladaban desde la vereda de </w:t>
      </w:r>
      <w:smartTag w:uri="urn:schemas-microsoft-com:office:smarttags" w:element="PersonName">
        <w:smartTagPr>
          <w:attr w:name="ProductID" w:val="la A.M"/>
        </w:smartTagPr>
        <w:r>
          <w:t>la A.M</w:t>
        </w:r>
      </w:smartTag>
      <w:r>
        <w:t>.I.A. a la de e</w:t>
      </w:r>
      <w:r>
        <w:t>n</w:t>
      </w:r>
      <w:r>
        <w:t>frente.</w:t>
      </w:r>
    </w:p>
    <w:p w:rsidR="00224567" w:rsidRDefault="00224567">
      <w:pPr>
        <w:widowControl w:val="0"/>
      </w:pPr>
      <w:r>
        <w:tab/>
        <w:t>Continúo relatando que en ese insta</w:t>
      </w:r>
      <w:r>
        <w:t>n</w:t>
      </w:r>
      <w:r>
        <w:t xml:space="preserve">te, por curiosidad, atinó a acercarse, pudiendo observar en el piso de la carpa de la fuerza israelí un bloque de motor de unos </w:t>
      </w:r>
      <w:smartTag w:uri="urn:schemas-microsoft-com:office:smarttags" w:element="metricconverter">
        <w:smartTagPr>
          <w:attr w:name="ProductID" w:val="70 cm"/>
        </w:smartTagPr>
        <w:r>
          <w:t>70 cm</w:t>
        </w:r>
      </w:smartTag>
      <w:r>
        <w:t xml:space="preserve"> aproximadamente; recordó que también se encontraban los oficiales de </w:t>
      </w:r>
      <w:smartTag w:uri="urn:schemas-microsoft-com:office:smarttags" w:element="PersonName">
        <w:smartTagPr>
          <w:attr w:name="ProductID" w:val="la Brigada"/>
        </w:smartTagPr>
        <w:r>
          <w:t>la Brigada</w:t>
        </w:r>
      </w:smartTag>
      <w:r>
        <w:t xml:space="preserve"> de Explosivos Seara y Lopardo.</w:t>
      </w:r>
    </w:p>
    <w:p w:rsidR="00224567" w:rsidRDefault="00224567">
      <w:pPr>
        <w:widowControl w:val="0"/>
      </w:pPr>
      <w:r>
        <w:tab/>
        <w:t>Al tomar vista de las fotografías de las partes del motor, el funcionario expresó que el retr</w:t>
      </w:r>
      <w:r>
        <w:t>a</w:t>
      </w:r>
      <w:r>
        <w:t>tado era similar al que vio en aquella oportun</w:t>
      </w:r>
      <w:r>
        <w:t>i</w:t>
      </w:r>
      <w:r>
        <w:t>dad, aunque sin poder asegurar que fuese el mi</w:t>
      </w:r>
      <w:r>
        <w:t>s</w:t>
      </w:r>
      <w:r>
        <w:t>mo.</w:t>
      </w:r>
    </w:p>
    <w:p w:rsidR="00224567" w:rsidRDefault="00224567">
      <w:pPr>
        <w:widowControl w:val="0"/>
      </w:pPr>
      <w:r>
        <w:tab/>
        <w:t>Gustavo Hernán Moragues, por su pa</w:t>
      </w:r>
      <w:r>
        <w:t>r</w:t>
      </w:r>
      <w:r>
        <w:t>te, manifestó que para esa época atendía un negocio de venta de muebles para oficina, sito en Pasteur 669, l</w:t>
      </w:r>
      <w:r>
        <w:t>u</w:t>
      </w:r>
      <w:r>
        <w:t>gar donde lo sorprendió la explosión, permaneciendo los días post</w:t>
      </w:r>
      <w:r>
        <w:t>e</w:t>
      </w:r>
      <w:r>
        <w:t>riores en el local, junto con los emple</w:t>
      </w:r>
      <w:r>
        <w:t>a</w:t>
      </w:r>
      <w:r>
        <w:t>dos Pablo Marcelo Garris y Carlos Felipe Lugo, a fin de custodiar los bienes que allí se encontraban. Aclaró que, a excepción del día en que su padre retornó al país, dos o tres días después del atentado, nunca salió del negocio, estimando que su estancia en el local duró una semana.</w:t>
      </w:r>
    </w:p>
    <w:p w:rsidR="00224567" w:rsidRDefault="00224567">
      <w:pPr>
        <w:widowControl w:val="0"/>
      </w:pPr>
      <w:r>
        <w:tab/>
        <w:t xml:space="preserve">Moragues relató que </w:t>
      </w:r>
      <w:smartTag w:uri="urn:schemas-microsoft-com:office:smarttags" w:element="PersonName">
        <w:smartTagPr>
          <w:attr w:name="ProductID" w:val="la Brigada"/>
        </w:smartTagPr>
        <w:r>
          <w:t>la Brigada</w:t>
        </w:r>
      </w:smartTag>
      <w:r>
        <w:t xml:space="preserve"> de E</w:t>
      </w:r>
      <w:r>
        <w:t>x</w:t>
      </w:r>
      <w:r>
        <w:t>plosivos instaló en su comercio una base de operaci</w:t>
      </w:r>
      <w:r>
        <w:t>o</w:t>
      </w:r>
      <w:r>
        <w:t>nes, a la que se trasladaban todas las evidencias rec</w:t>
      </w:r>
      <w:r>
        <w:t>o</w:t>
      </w:r>
      <w:r>
        <w:t>gidas en el lugar, recordando que en una oportunidad, sin poder prec</w:t>
      </w:r>
      <w:r>
        <w:t>i</w:t>
      </w:r>
      <w:r>
        <w:t>sar el día ni la hora, fue llevado un motor dentro de una bolsa de arpillera, el que ni bien ingresaron se lo exh</w:t>
      </w:r>
      <w:r>
        <w:t>i</w:t>
      </w:r>
      <w:r>
        <w:t>bieron a él y a Garris, quien también se encontraba en el interior del local, tras lo cual los policías les hicieron firmar unos papeles. El motor permaneció algunas horas, sin poder especificar si fue limpiado o fotografi</w:t>
      </w:r>
      <w:r>
        <w:t>a</w:t>
      </w:r>
      <w:r>
        <w:t>do.</w:t>
      </w:r>
    </w:p>
    <w:p w:rsidR="00224567" w:rsidRDefault="00224567">
      <w:pPr>
        <w:widowControl w:val="0"/>
      </w:pPr>
      <w:r>
        <w:tab/>
        <w:t>En cuanto a las circunstancias que a</w:t>
      </w:r>
      <w:r>
        <w:t>n</w:t>
      </w:r>
      <w:r>
        <w:t>te el juzgado instructor dijo recordar “clar</w:t>
      </w:r>
      <w:r>
        <w:t>a</w:t>
      </w:r>
      <w:r>
        <w:t>mente” (cónf. su declaración de fs. 12.467/12.469), relativas a que al mome</w:t>
      </w:r>
      <w:r>
        <w:t>n</w:t>
      </w:r>
      <w:r>
        <w:t>to de aparecer el motor se encontraba en la puerta de su negocio, a que una excavadora que ubicó dentro del pr</w:t>
      </w:r>
      <w:r>
        <w:t>e</w:t>
      </w:r>
      <w:r>
        <w:t xml:space="preserve">dio de </w:t>
      </w:r>
      <w:smartTag w:uri="urn:schemas-microsoft-com:office:smarttags" w:element="PersonName">
        <w:smartTagPr>
          <w:attr w:name="ProductID" w:val="la A.M"/>
        </w:smartTagPr>
        <w:r>
          <w:t>la A.M</w:t>
        </w:r>
      </w:smartTag>
      <w:r>
        <w:t>.I.A. lo extrajo de entre los escombros, a que fue dejado, inicialmente, sobre la calzada, frente al nº 633 de Pasteur y a que una vez en el negocio dicha ev</w:t>
      </w:r>
      <w:r>
        <w:t>i</w:t>
      </w:r>
      <w:r>
        <w:t>dencia fue limpiada y fotografiada por personal del Depa</w:t>
      </w:r>
      <w:r>
        <w:t>r</w:t>
      </w:r>
      <w:r>
        <w:t>tamento de Explosivos, Moragues intentó explicar las d</w:t>
      </w:r>
      <w:r>
        <w:t>i</w:t>
      </w:r>
      <w:r>
        <w:t>vergencias que surgían entre dicho testimonio y lo man</w:t>
      </w:r>
      <w:r>
        <w:t>i</w:t>
      </w:r>
      <w:r>
        <w:t>festado en el debate, señalando que, en realidad, no r</w:t>
      </w:r>
      <w:r>
        <w:t>e</w:t>
      </w:r>
      <w:r>
        <w:t>cordaba haber visto el lugar donde se encontró el motor, ni tampoco haberse acercado al edificio de la mutual cua</w:t>
      </w:r>
      <w:r>
        <w:t>n</w:t>
      </w:r>
      <w:r>
        <w:t>do éste fue hallado, ni haber advertido la presencia en el lugar de una excavadora. Ello, sin perjuicio de indicar que no abrigaba dudas de que al momento de hallarse el m</w:t>
      </w:r>
      <w:r>
        <w:t>o</w:t>
      </w:r>
      <w:r>
        <w:t>tor se encontraba en el interior del local junto, según creía, a Garris.</w:t>
      </w:r>
    </w:p>
    <w:p w:rsidR="00224567" w:rsidRDefault="00224567">
      <w:pPr>
        <w:widowControl w:val="0"/>
      </w:pPr>
      <w:r>
        <w:tab/>
      </w:r>
      <w:r>
        <w:tab/>
        <w:t>Por último, el testigo dijo que no p</w:t>
      </w:r>
      <w:r>
        <w:t>o</w:t>
      </w:r>
      <w:r>
        <w:t>día precisar si el motor fue levantado por una máquina, tal como se asentó en el acta de fs. 224, la que no reco</w:t>
      </w:r>
      <w:r>
        <w:t>r</w:t>
      </w:r>
      <w:r>
        <w:t>dó donde la suscribió.</w:t>
      </w:r>
    </w:p>
    <w:p w:rsidR="00224567" w:rsidRDefault="00224567">
      <w:pPr>
        <w:widowControl w:val="0"/>
      </w:pPr>
      <w:r>
        <w:tab/>
        <w:t>Por su parte, Pablo Marcelo Garris m</w:t>
      </w:r>
      <w:r>
        <w:t>a</w:t>
      </w:r>
      <w:r>
        <w:t>nifestó que al momento de producirse la explosión se e</w:t>
      </w:r>
      <w:r>
        <w:t>n</w:t>
      </w:r>
      <w:r>
        <w:t>contraba trabajando en el local de Pasteur 669, perman</w:t>
      </w:r>
      <w:r>
        <w:t>e</w:t>
      </w:r>
      <w:r>
        <w:t>ciendo allí entre diez y quince días dado que su jefe, Jaime Moragues, no se encontr</w:t>
      </w:r>
      <w:r>
        <w:t>a</w:t>
      </w:r>
      <w:r>
        <w:t>ba en el país.</w:t>
      </w:r>
    </w:p>
    <w:p w:rsidR="00224567" w:rsidRDefault="00224567">
      <w:pPr>
        <w:widowControl w:val="0"/>
      </w:pPr>
      <w:r>
        <w:tab/>
        <w:t>Refirió que durante ese lapso, en r</w:t>
      </w:r>
      <w:r>
        <w:t>a</w:t>
      </w:r>
      <w:r>
        <w:t>zón de que estaba prohibido transitar por la zona, se ma</w:t>
      </w:r>
      <w:r>
        <w:t>n</w:t>
      </w:r>
      <w:r>
        <w:t>tuvo en el interior del local, donde personal de explos</w:t>
      </w:r>
      <w:r>
        <w:t>i</w:t>
      </w:r>
      <w:r>
        <w:t>vos instaló un centro de operaciones aprovechando que el servicio telefónico funcionaba con normalidad.</w:t>
      </w:r>
    </w:p>
    <w:p w:rsidR="00224567" w:rsidRDefault="00224567">
      <w:pPr>
        <w:widowControl w:val="0"/>
      </w:pPr>
      <w:r>
        <w:tab/>
        <w:t>En orden al secuestro del motor, G</w:t>
      </w:r>
      <w:r>
        <w:t>a</w:t>
      </w:r>
      <w:r>
        <w:t>rris relató que un día en horas de la tarde escuchó un b</w:t>
      </w:r>
      <w:r>
        <w:t>u</w:t>
      </w:r>
      <w:r>
        <w:t>llicio que daba cuenta de su hallazgo, por lo que s</w:t>
      </w:r>
      <w:r>
        <w:t>a</w:t>
      </w:r>
      <w:r>
        <w:t>lió a la puerta desde donde observó –contrariamente a lo sost</w:t>
      </w:r>
      <w:r>
        <w:t>e</w:t>
      </w:r>
      <w:r>
        <w:t xml:space="preserve">nido durante la instrucción- que a unos </w:t>
      </w:r>
      <w:smartTag w:uri="urn:schemas-microsoft-com:office:smarttags" w:element="metricconverter">
        <w:smartTagPr>
          <w:attr w:name="ProductID" w:val="35 metros"/>
        </w:smartTagPr>
        <w:r>
          <w:t>35 m</w:t>
        </w:r>
        <w:r>
          <w:t>e</w:t>
        </w:r>
        <w:r>
          <w:t>tros</w:t>
        </w:r>
      </w:smartTag>
      <w:r>
        <w:t xml:space="preserve"> una pala mecánica contenía, entre escombros, “una cosa negra” que se volcó en un camión; posteriormente, sin precisar cuánto tiempo transcurrió ni si se trataba del mismo obj</w:t>
      </w:r>
      <w:r>
        <w:t>e</w:t>
      </w:r>
      <w:r>
        <w:t>to, vio ingresar al local un motor sucio, lleno de tierra y esco</w:t>
      </w:r>
      <w:r>
        <w:t>m</w:t>
      </w:r>
      <w:r>
        <w:t>bros, que estuvo poco tiempo en el negocio, no aportando datos acerca de las partes del motor como tampoco si pr</w:t>
      </w:r>
      <w:r>
        <w:t>e</w:t>
      </w:r>
      <w:r>
        <w:t>sentaba alguna numeración.</w:t>
      </w:r>
    </w:p>
    <w:p w:rsidR="00224567" w:rsidRDefault="00224567">
      <w:pPr>
        <w:widowControl w:val="0"/>
      </w:pPr>
      <w:r>
        <w:tab/>
        <w:t>Señaló que tras exhibirle dicho obj</w:t>
      </w:r>
      <w:r>
        <w:t>e</w:t>
      </w:r>
      <w:r>
        <w:t>to firmó un acta, interpretando que “eran como remitos o r</w:t>
      </w:r>
      <w:r>
        <w:t>e</w:t>
      </w:r>
      <w:r>
        <w:t>cibos” de los elementos que se deposit</w:t>
      </w:r>
      <w:r>
        <w:t>a</w:t>
      </w:r>
      <w:r>
        <w:t>ban en el local, no leyendo su contenido por cuanto “no tenía motivos para desconfiar de un funcionario público”.</w:t>
      </w:r>
    </w:p>
    <w:p w:rsidR="00224567" w:rsidRDefault="00224567">
      <w:pPr>
        <w:widowControl w:val="0"/>
      </w:pPr>
      <w:r>
        <w:tab/>
        <w:t>Añadió que al declarar en la etapa a</w:t>
      </w:r>
      <w:r>
        <w:t>n</w:t>
      </w:r>
      <w:r>
        <w:t>terior le indicó al empleado que le tomó la declaración que él no había visto extraer la pieza, recibiendo por respuesta que se quedase tranquilo porque su testimonio “era un trámite”.</w:t>
      </w:r>
    </w:p>
    <w:p w:rsidR="00224567" w:rsidRDefault="00224567">
      <w:pPr>
        <w:widowControl w:val="0"/>
      </w:pPr>
      <w:r>
        <w:tab/>
        <w:t>Asimismo, Carlos Felipe Lugo indicó que el día de la explosión se encontraba en su oficina de “Moragues S.R.L.”, permaneciendo allí d</w:t>
      </w:r>
      <w:r>
        <w:t>u</w:t>
      </w:r>
      <w:r>
        <w:t>rante unos diez o trece días puesto que debía cuidar los bienes del come</w:t>
      </w:r>
      <w:r>
        <w:t>r</w:t>
      </w:r>
      <w:r>
        <w:t>cio, como así también velar por la seguridad de Gustavo Moragues, a quien calificó como una persona muy traviesa con mentalidad de niño; aseguró que durante ese lapso P</w:t>
      </w:r>
      <w:r>
        <w:t>a</w:t>
      </w:r>
      <w:r>
        <w:t>blo Garris no estuvo en el comercio, volviéndolo a ver una vez que abandonó el local.</w:t>
      </w:r>
    </w:p>
    <w:p w:rsidR="00224567" w:rsidRDefault="00224567">
      <w:pPr>
        <w:widowControl w:val="0"/>
      </w:pPr>
      <w:r>
        <w:tab/>
        <w:t>Recordó que el 18 de julio, en horas de la noche, el personal policial montó en el negocio un centro de operaciones, al que se remitieron todas las c</w:t>
      </w:r>
      <w:r>
        <w:t>o</w:t>
      </w:r>
      <w:r>
        <w:t>sas relacionadas con la investigación, memorando, en pa</w:t>
      </w:r>
      <w:r>
        <w:t>r</w:t>
      </w:r>
      <w:r>
        <w:t>ticular, una llanta y un tr</w:t>
      </w:r>
      <w:r>
        <w:t>o</w:t>
      </w:r>
      <w:r>
        <w:t>zo de una columna de luz.</w:t>
      </w:r>
    </w:p>
    <w:p w:rsidR="00224567" w:rsidRDefault="00224567">
      <w:pPr>
        <w:widowControl w:val="0"/>
      </w:pPr>
      <w:r>
        <w:tab/>
        <w:t>Refirió que entre el séptimo y el o</w:t>
      </w:r>
      <w:r>
        <w:t>c</w:t>
      </w:r>
      <w:r>
        <w:t>tavo día, durante la medianoche, los policías manife</w:t>
      </w:r>
      <w:r>
        <w:t>s</w:t>
      </w:r>
      <w:r>
        <w:t>taron haber encontrado el bloque de un motor, observa</w:t>
      </w:r>
      <w:r>
        <w:t>n</w:t>
      </w:r>
      <w:r>
        <w:t>do en ese momento que una ambulancia vieja, color roja, se dirigió hacia el predio de la mutual, donde tres o cuatro unifo</w:t>
      </w:r>
      <w:r>
        <w:t>r</w:t>
      </w:r>
      <w:r>
        <w:t>mados, rodeados de otras personas, carg</w:t>
      </w:r>
      <w:r>
        <w:t>a</w:t>
      </w:r>
      <w:r>
        <w:t>ron en el vehículo un pesado objeto que se enco</w:t>
      </w:r>
      <w:r>
        <w:t>n</w:t>
      </w:r>
      <w:r>
        <w:t>traba envuelto.</w:t>
      </w:r>
    </w:p>
    <w:p w:rsidR="00224567" w:rsidRDefault="00224567">
      <w:pPr>
        <w:widowControl w:val="0"/>
      </w:pPr>
      <w:r>
        <w:tab/>
        <w:t>El testigo afirmó que en ningún mome</w:t>
      </w:r>
      <w:r>
        <w:t>n</w:t>
      </w:r>
      <w:r>
        <w:t>to vio el motor, el que tampoco pudieron ver Gustavo Mor</w:t>
      </w:r>
      <w:r>
        <w:t>a</w:t>
      </w:r>
      <w:r>
        <w:t>gues, “ni nadie”, suponiendo que el pesado objeto se tr</w:t>
      </w:r>
      <w:r>
        <w:t>a</w:t>
      </w:r>
      <w:r>
        <w:t>taba del motor, el que nunca pasó por el negocio; precisó que ni él ni Gustavo Moragues fueron convocados como te</w:t>
      </w:r>
      <w:r>
        <w:t>s</w:t>
      </w:r>
      <w:r>
        <w:t>tigo del hallazgo, como tampoco Pablo Garris, dado que no se encontraba en el lugar.</w:t>
      </w:r>
    </w:p>
    <w:p w:rsidR="00224567" w:rsidRDefault="00224567">
      <w:pPr>
        <w:widowControl w:val="0"/>
      </w:pPr>
      <w:r>
        <w:tab/>
        <w:t>Alberto Szwarc relató que permaneció ocho días y sus noches en la zona afectada por la expl</w:t>
      </w:r>
      <w:r>
        <w:t>o</w:t>
      </w:r>
      <w:r>
        <w:t>sión debido al gran afecto que sentía por la m</w:t>
      </w:r>
      <w:r>
        <w:t>u</w:t>
      </w:r>
      <w:r>
        <w:t>tual judía y por haberle solicitado los efectivos israelíes que h</w:t>
      </w:r>
      <w:r>
        <w:t>i</w:t>
      </w:r>
      <w:r>
        <w:t>ciera las veces de traductor.</w:t>
      </w:r>
    </w:p>
    <w:p w:rsidR="00224567" w:rsidRDefault="00224567">
      <w:pPr>
        <w:widowControl w:val="0"/>
      </w:pPr>
      <w:r>
        <w:tab/>
        <w:t>Explicó que durante ese tiempo const</w:t>
      </w:r>
      <w:r>
        <w:t>a</w:t>
      </w:r>
      <w:r>
        <w:t>tó que los socorristas extranjeros se hacían a un lado cuando se encontraba algún elemento de prueba, de cuyo s</w:t>
      </w:r>
      <w:r>
        <w:t>e</w:t>
      </w:r>
      <w:r>
        <w:t>cuestro se ocupaba el personal de bo</w:t>
      </w:r>
      <w:r>
        <w:t>m</w:t>
      </w:r>
      <w:r>
        <w:t>beros.</w:t>
      </w:r>
    </w:p>
    <w:p w:rsidR="00224567" w:rsidRDefault="00224567">
      <w:pPr>
        <w:widowControl w:val="0"/>
        <w:rPr>
          <w:bCs/>
        </w:rPr>
      </w:pPr>
      <w:r>
        <w:tab/>
      </w:r>
      <w:r>
        <w:rPr>
          <w:bCs/>
        </w:rPr>
        <w:t>Szwarc recordó que el domingo o el l</w:t>
      </w:r>
      <w:r>
        <w:rPr>
          <w:bCs/>
        </w:rPr>
        <w:t>u</w:t>
      </w:r>
      <w:r>
        <w:rPr>
          <w:bCs/>
        </w:rPr>
        <w:t>nes siguiente a la llegada del contingente israelí, en h</w:t>
      </w:r>
      <w:r>
        <w:rPr>
          <w:bCs/>
        </w:rPr>
        <w:t>o</w:t>
      </w:r>
      <w:r>
        <w:rPr>
          <w:bCs/>
        </w:rPr>
        <w:t>ras de la noche, encontrándose debajo del alero del to</w:t>
      </w:r>
      <w:r>
        <w:rPr>
          <w:bCs/>
        </w:rPr>
        <w:t>l</w:t>
      </w:r>
      <w:r>
        <w:rPr>
          <w:bCs/>
        </w:rPr>
        <w:t>do donde se concentraba aquél, escuchó decir a gritos “se e</w:t>
      </w:r>
      <w:r>
        <w:rPr>
          <w:bCs/>
        </w:rPr>
        <w:t>n</w:t>
      </w:r>
      <w:r>
        <w:rPr>
          <w:bCs/>
        </w:rPr>
        <w:t>contró el motor, se encontró el motor”, por lo que se d</w:t>
      </w:r>
      <w:r>
        <w:rPr>
          <w:bCs/>
        </w:rPr>
        <w:t>i</w:t>
      </w:r>
      <w:r>
        <w:rPr>
          <w:bCs/>
        </w:rPr>
        <w:t>rigió rápidamente al lugar donde se produjo el hallazgo, el que ubicó en el sector izquierdo del edificio derrumb</w:t>
      </w:r>
      <w:r>
        <w:rPr>
          <w:bCs/>
        </w:rPr>
        <w:t>a</w:t>
      </w:r>
      <w:r>
        <w:rPr>
          <w:bCs/>
        </w:rPr>
        <w:t>do, próximo a los baños del a</w:t>
      </w:r>
      <w:r>
        <w:rPr>
          <w:bCs/>
        </w:rPr>
        <w:t>n</w:t>
      </w:r>
      <w:r>
        <w:rPr>
          <w:bCs/>
        </w:rPr>
        <w:t>fiteatro.</w:t>
      </w:r>
    </w:p>
    <w:p w:rsidR="00224567" w:rsidRDefault="00224567">
      <w:pPr>
        <w:widowControl w:val="0"/>
      </w:pPr>
      <w:r>
        <w:tab/>
        <w:t>Narró el testigo que para retirar la pieza hallada el personal israelí debió cortar una viga de hormigón de uno o dos metros de largo, mientras se agolp</w:t>
      </w:r>
      <w:r>
        <w:t>a</w:t>
      </w:r>
      <w:r>
        <w:t>ban numerosos efectivos nacionales y extranjeros; tras ello, junto con otras tres o cuatro personas, trasladó m</w:t>
      </w:r>
      <w:r>
        <w:t>a</w:t>
      </w:r>
      <w:r>
        <w:t>nualmente dicho objeto hasta el alero del mencionado to</w:t>
      </w:r>
      <w:r>
        <w:t>l</w:t>
      </w:r>
      <w:r>
        <w:t>do, donde un soldado israelí lo fotogr</w:t>
      </w:r>
      <w:r>
        <w:t>a</w:t>
      </w:r>
      <w:r>
        <w:t>fió, procediéndose luego a su limpieza y a la constatación, mediante una t</w:t>
      </w:r>
      <w:r>
        <w:t>i</w:t>
      </w:r>
      <w:r>
        <w:t>za, de la numeración que llevaba estampada, para finalme</w:t>
      </w:r>
      <w:r>
        <w:t>n</w:t>
      </w:r>
      <w:r>
        <w:t>te obtener nuevas fotos con una cámara de rayos infrarr</w:t>
      </w:r>
      <w:r>
        <w:t>o</w:t>
      </w:r>
      <w:r>
        <w:t>jos. Transcurridos unos quince minutos que duró su revel</w:t>
      </w:r>
      <w:r>
        <w:t>a</w:t>
      </w:r>
      <w:r>
        <w:t>do, dos o tres bomberos se llevaron el m</w:t>
      </w:r>
      <w:r>
        <w:t>o</w:t>
      </w:r>
      <w:r>
        <w:t>tor.</w:t>
      </w:r>
    </w:p>
    <w:p w:rsidR="00224567" w:rsidRDefault="00224567">
      <w:pPr>
        <w:widowControl w:val="0"/>
      </w:pPr>
      <w:r>
        <w:tab/>
        <w:t>Szwarc reconoció como “partes del m</w:t>
      </w:r>
      <w:r>
        <w:t>o</w:t>
      </w:r>
      <w:r>
        <w:t>tor de una camioneta” las piezas que ilustra la fot</w:t>
      </w:r>
      <w:r>
        <w:t>o</w:t>
      </w:r>
      <w:r>
        <w:t>grafía de fs. 25.677, oportunamente aportada a la in</w:t>
      </w:r>
      <w:r>
        <w:t>s</w:t>
      </w:r>
      <w:r>
        <w:t>trucción por Nahum Frenkel, añadiendo que la pieza hallada presentaba el mismo estado de suciedad que l</w:t>
      </w:r>
      <w:r>
        <w:t>u</w:t>
      </w:r>
      <w:r>
        <w:t>cen las de las foto. En cuanto al bloque de motor que se le exhibió en el debate, identific</w:t>
      </w:r>
      <w:r>
        <w:t>a</w:t>
      </w:r>
      <w:r>
        <w:t>do como pieza nº 78, señaló que el hallado entre los escombros no era tan pequeño, “estaba más armado” y, presumibl</w:t>
      </w:r>
      <w:r>
        <w:t>e</w:t>
      </w:r>
      <w:r>
        <w:t>mente, le colgaban algunos pedazos.</w:t>
      </w:r>
    </w:p>
    <w:p w:rsidR="00224567" w:rsidRDefault="00224567">
      <w:pPr>
        <w:widowControl w:val="0"/>
      </w:pPr>
      <w:r>
        <w:tab/>
      </w:r>
      <w:r>
        <w:rPr>
          <w:rFonts w:eastAsia="Arial Unicode MS"/>
        </w:rPr>
        <w:t>Por su parte, el comandante del eje</w:t>
      </w:r>
      <w:r>
        <w:rPr>
          <w:rFonts w:eastAsia="Arial Unicode MS"/>
        </w:rPr>
        <w:t>r</w:t>
      </w:r>
      <w:r>
        <w:rPr>
          <w:rFonts w:eastAsia="Arial Unicode MS"/>
        </w:rPr>
        <w:t>cito israelí Zeev Livne</w:t>
      </w:r>
      <w:r>
        <w:t xml:space="preserve"> explicó haber arribado a nuestro país en la medianoche del día siguiente al del atentado, al frente de un grupo de efectivos que tenía como misión el rescate de las personas que aún pudieran permanecer con vida, lo que motivó haber trabajado seis días ininterru</w:t>
      </w:r>
      <w:r>
        <w:t>m</w:t>
      </w:r>
      <w:r>
        <w:t>pidamente.</w:t>
      </w:r>
    </w:p>
    <w:p w:rsidR="00224567" w:rsidRDefault="00224567">
      <w:pPr>
        <w:widowControl w:val="0"/>
      </w:pPr>
      <w:r>
        <w:tab/>
        <w:t>Precisó que el 25 de julio, a las 18.30, personal del grupo a su cargo encontró entre los escombros del edificio una parte del motor del coch</w:t>
      </w:r>
      <w:r>
        <w:t>e</w:t>
      </w:r>
      <w:r>
        <w:t>bomba que lucía estampado un número identific</w:t>
      </w:r>
      <w:r>
        <w:t>a</w:t>
      </w:r>
      <w:r>
        <w:t>torio; que al día siguiente dieron por terminada su misión, alejándose del país.</w:t>
      </w:r>
    </w:p>
    <w:p w:rsidR="00224567" w:rsidRDefault="00224567">
      <w:pPr>
        <w:widowControl w:val="0"/>
        <w:rPr>
          <w:bCs/>
        </w:rPr>
      </w:pPr>
      <w:r>
        <w:tab/>
      </w:r>
      <w:r>
        <w:rPr>
          <w:bCs/>
        </w:rPr>
        <w:t>Livne manifestó que cuando se pr</w:t>
      </w:r>
      <w:r>
        <w:rPr>
          <w:bCs/>
        </w:rPr>
        <w:t>o</w:t>
      </w:r>
      <w:r>
        <w:rPr>
          <w:bCs/>
        </w:rPr>
        <w:t>dujo el hallazgo se encontraba en la carpa en la que se había instalado su comandancia, concurriendo de inmediato al l</w:t>
      </w:r>
      <w:r>
        <w:rPr>
          <w:bCs/>
        </w:rPr>
        <w:t>u</w:t>
      </w:r>
      <w:r>
        <w:rPr>
          <w:bCs/>
        </w:rPr>
        <w:t>gar donde el motor se levantó, el que luego fue trasladado hasta el negocio donde se depositaban las evidencias obt</w:t>
      </w:r>
      <w:r>
        <w:rPr>
          <w:bCs/>
        </w:rPr>
        <w:t>e</w:t>
      </w:r>
      <w:r>
        <w:rPr>
          <w:bCs/>
        </w:rPr>
        <w:t>nidas; reconoció la pieza identificada con el nº 78 como el motor al cual hizo refere</w:t>
      </w:r>
      <w:r>
        <w:rPr>
          <w:bCs/>
        </w:rPr>
        <w:t>n</w:t>
      </w:r>
      <w:r>
        <w:rPr>
          <w:bCs/>
        </w:rPr>
        <w:t>cia.</w:t>
      </w:r>
    </w:p>
    <w:p w:rsidR="00224567" w:rsidRDefault="00224567">
      <w:pPr>
        <w:pStyle w:val="Sangradetextonormal"/>
        <w:widowControl w:val="0"/>
        <w:ind w:firstLine="0"/>
      </w:pPr>
      <w:r>
        <w:tab/>
        <w:t>En igual sentido, se expidió el inve</w:t>
      </w:r>
      <w:r>
        <w:t>s</w:t>
      </w:r>
      <w:r>
        <w:t>tigador de la policía de Israel Dani Dror, quien sostuvo que una vez que se determinó la causa de la e</w:t>
      </w:r>
      <w:r>
        <w:t>x</w:t>
      </w:r>
      <w:r>
        <w:t>plosión -introducción de la carga explosiva mediante la utilización de un vehículo- el esfuerzo se encaminó a la búsqueda del bloque del motor, a partir del cual se obtendrían los d</w:t>
      </w:r>
      <w:r>
        <w:t>a</w:t>
      </w:r>
      <w:r>
        <w:t>tos del rodado y de su titular.</w:t>
      </w:r>
    </w:p>
    <w:p w:rsidR="00224567" w:rsidRDefault="00224567">
      <w:pPr>
        <w:pStyle w:val="Sangradetextonormal"/>
        <w:widowControl w:val="0"/>
        <w:ind w:firstLine="0"/>
      </w:pPr>
      <w:r>
        <w:tab/>
        <w:t>Refirió que un día, avanzada la ta</w:t>
      </w:r>
      <w:r>
        <w:t>r</w:t>
      </w:r>
      <w:r>
        <w:t>de, un subordinado lo anotició de que se había concretado el hallazgo, por lo que se dirigió presuroso a la carpa del cuerpo de rescate israelí instalada frente a la mutual j</w:t>
      </w:r>
      <w:r>
        <w:t>u</w:t>
      </w:r>
      <w:r>
        <w:t>día, pudiendo apreciar sobre la vereda el bloque de m</w:t>
      </w:r>
      <w:r>
        <w:t>o</w:t>
      </w:r>
      <w:r>
        <w:t>tor cubierto de polvo, al que fotografió previo limpiar y r</w:t>
      </w:r>
      <w:r>
        <w:t>e</w:t>
      </w:r>
      <w:r>
        <w:t>saltar con una tiza la numeración que llevaba estampada; reconoció una de las fotografías glosadas a fs. 25.680 c</w:t>
      </w:r>
      <w:r>
        <w:t>o</w:t>
      </w:r>
      <w:r>
        <w:t>mo la misma que obtuvo en la oportunidad señalada.</w:t>
      </w:r>
    </w:p>
    <w:p w:rsidR="00224567" w:rsidRDefault="00224567">
      <w:pPr>
        <w:pStyle w:val="Sangradetextonormal"/>
        <w:widowControl w:val="0"/>
        <w:ind w:firstLine="0"/>
      </w:pPr>
      <w:r>
        <w:tab/>
        <w:t>Finalmente, Dror expresó que días de</w:t>
      </w:r>
      <w:r>
        <w:t>s</w:t>
      </w:r>
      <w:r>
        <w:t>pués realizó junto con Nahum Frenkel, quien había enco</w:t>
      </w:r>
      <w:r>
        <w:t>n</w:t>
      </w:r>
      <w:r>
        <w:t>trado el motor, un reconocimiento del sitio donde éste fue levantado, el que volcó en el croquis obrante a fs. 25.701.</w:t>
      </w:r>
    </w:p>
    <w:p w:rsidR="00224567" w:rsidRDefault="00224567">
      <w:pPr>
        <w:pStyle w:val="Sangradetextonormal"/>
        <w:widowControl w:val="0"/>
        <w:ind w:firstLine="0"/>
      </w:pPr>
      <w:r>
        <w:tab/>
        <w:t>A su turno, el mayor del ejército i</w:t>
      </w:r>
      <w:r>
        <w:t>s</w:t>
      </w:r>
      <w:r>
        <w:t xml:space="preserve">raelí </w:t>
      </w:r>
      <w:r>
        <w:rPr>
          <w:rFonts w:eastAsia="Arial Unicode MS"/>
        </w:rPr>
        <w:t>Nahum Frenkel</w:t>
      </w:r>
      <w:r>
        <w:t xml:space="preserve"> explicó que si bien su comet</w:t>
      </w:r>
      <w:r>
        <w:t>i</w:t>
      </w:r>
      <w:r>
        <w:t>do era la búsqueda de sobrevivientes, para lo que debieron remover piedra por piedra los escombros, tanto las fue</w:t>
      </w:r>
      <w:r>
        <w:t>r</w:t>
      </w:r>
      <w:r>
        <w:t>zas locales como los investigadores del F.B.I. y de la policía israelí le requirieron que procurase también hallar restos del s</w:t>
      </w:r>
      <w:r>
        <w:t>u</w:t>
      </w:r>
      <w:r>
        <w:t>puesto automotor que detonó la carga explosiva. En esa t</w:t>
      </w:r>
      <w:r>
        <w:t>a</w:t>
      </w:r>
      <w:r>
        <w:t>rea, mientras supervisaba el corte de una viga de unos cuatro metros de largo, deb</w:t>
      </w:r>
      <w:r>
        <w:t>a</w:t>
      </w:r>
      <w:r>
        <w:t xml:space="preserve">jo de la cual podrían hallarse personas, se encontró el 25 de julio de </w:t>
      </w:r>
      <w:smartTag w:uri="urn:schemas-microsoft-com:office:smarttags" w:element="metricconverter">
        <w:smartTagPr>
          <w:attr w:name="ProductID" w:val="1994, a"/>
        </w:smartTagPr>
        <w:r>
          <w:t>1994, a</w:t>
        </w:r>
      </w:smartTag>
      <w:r>
        <w:t xml:space="preserve"> las 18.30, el motor de un veh</w:t>
      </w:r>
      <w:r>
        <w:t>í</w:t>
      </w:r>
      <w:r>
        <w:t>culo, el que se colocó sobre la pala de un pequeño tractor que lo llevó hasta la calle, depositá</w:t>
      </w:r>
      <w:r>
        <w:t>n</w:t>
      </w:r>
      <w:r>
        <w:t>dolo en un lugar próximo a la carpa de su comandancia; una vez allí, se dio cuenta del hallazgo a los efectivos i</w:t>
      </w:r>
      <w:r>
        <w:t>s</w:t>
      </w:r>
      <w:r>
        <w:t>raelíes, quienes se reunieron con integrantes de las fue</w:t>
      </w:r>
      <w:r>
        <w:t>r</w:t>
      </w:r>
      <w:r>
        <w:t>zas argentinas.</w:t>
      </w:r>
    </w:p>
    <w:p w:rsidR="00224567" w:rsidRDefault="00224567">
      <w:pPr>
        <w:pStyle w:val="Sangradetextonormal"/>
        <w:widowControl w:val="0"/>
        <w:ind w:firstLine="0"/>
      </w:pPr>
      <w:r>
        <w:tab/>
        <w:t>Frenkel situó el hallazgo en la parte media del predio donde se emplazaba el edificio, unos m</w:t>
      </w:r>
      <w:r>
        <w:t>e</w:t>
      </w:r>
      <w:r>
        <w:t>tros hacia la calle Viamonte, habiendo reconocido el bl</w:t>
      </w:r>
      <w:r>
        <w:t>o</w:t>
      </w:r>
      <w:r>
        <w:t>que de motor que se le exhibió en el debate como el mismo que encontró en las mencionadas circun</w:t>
      </w:r>
      <w:r>
        <w:t>s</w:t>
      </w:r>
      <w:r>
        <w:t>tancias, aunque le parecía que aquél “estaba más unido” y que tenía otras partes. Si bien el testigo dijo no haber reparado en la numeración que llevaba estampada, recordó que al día s</w:t>
      </w:r>
      <w:r>
        <w:t>i</w:t>
      </w:r>
      <w:r>
        <w:t>guiente Dani Dror le comentó haber li</w:t>
      </w:r>
      <w:r>
        <w:t>m</w:t>
      </w:r>
      <w:r>
        <w:t>piado y fotografiado el motor y tomado nota de su núm</w:t>
      </w:r>
      <w:r>
        <w:t>e</w:t>
      </w:r>
      <w:r>
        <w:t>ro.</w:t>
      </w:r>
    </w:p>
    <w:p w:rsidR="00224567" w:rsidRDefault="00224567">
      <w:pPr>
        <w:pStyle w:val="Sangradetextonormal"/>
        <w:widowControl w:val="0"/>
        <w:ind w:firstLine="0"/>
      </w:pPr>
      <w:r>
        <w:tab/>
        <w:t>Asimismo, hizo mención de que en su “Diario de Tareas”, en el que consignaba las novedades ocurridas en cada jornada, registró el hallazgo del m</w:t>
      </w:r>
      <w:r>
        <w:t>o</w:t>
      </w:r>
      <w:r>
        <w:t>tor en las circunstancias antes e</w:t>
      </w:r>
      <w:r>
        <w:t>x</w:t>
      </w:r>
      <w:r>
        <w:t>puestas.</w:t>
      </w:r>
    </w:p>
    <w:p w:rsidR="00224567" w:rsidRDefault="00224567">
      <w:pPr>
        <w:pStyle w:val="Sangradetextonormal"/>
        <w:widowControl w:val="0"/>
        <w:ind w:firstLine="0"/>
      </w:pPr>
      <w:r>
        <w:tab/>
        <w:t>El oficial israelí recordó haber e</w:t>
      </w:r>
      <w:r>
        <w:t>n</w:t>
      </w:r>
      <w:r>
        <w:t>contrado, además del motor, una pieza de la parte delant</w:t>
      </w:r>
      <w:r>
        <w:t>e</w:t>
      </w:r>
      <w:r>
        <w:t>ra de un vehículo y una chapa de bronce recordatoria de las autoridades de la mutual.</w:t>
      </w:r>
    </w:p>
    <w:p w:rsidR="00224567" w:rsidRDefault="00224567">
      <w:pPr>
        <w:pStyle w:val="Sangradetextonormal"/>
        <w:widowControl w:val="0"/>
        <w:ind w:firstLine="0"/>
      </w:pPr>
      <w:r>
        <w:tab/>
        <w:t>Finalmente, explicó que era pel</w:t>
      </w:r>
      <w:r>
        <w:t>i</w:t>
      </w:r>
      <w:r>
        <w:t>groso caminar entre los escombros del edificio porque había l</w:t>
      </w:r>
      <w:r>
        <w:t>o</w:t>
      </w:r>
      <w:r>
        <w:t>sas y paredes que estaban sostenidas sólo por unos pocos hierros, como así también por la propia índole de las t</w:t>
      </w:r>
      <w:r>
        <w:t>a</w:t>
      </w:r>
      <w:r>
        <w:t>reas que realizaban, es decir, por los peligros provenie</w:t>
      </w:r>
      <w:r>
        <w:t>n</w:t>
      </w:r>
      <w:r>
        <w:t>tes del trabajo con grúas, tractores o por el volcado de escombros.</w:t>
      </w:r>
    </w:p>
    <w:p w:rsidR="00224567" w:rsidRDefault="00224567">
      <w:pPr>
        <w:pStyle w:val="Sangradetextonormal"/>
        <w:widowControl w:val="0"/>
        <w:ind w:firstLine="0"/>
      </w:pPr>
      <w:r>
        <w:tab/>
        <w:t xml:space="preserve">Sentado cuanto precede, corresponde analizar los extremos de que da cuenta el acta de fs. </w:t>
      </w:r>
      <w:smartTag w:uri="urn:schemas-microsoft-com:office:smarttags" w:element="metricconverter">
        <w:smartTagPr>
          <w:attr w:name="ProductID" w:val="224 a"/>
        </w:smartTagPr>
        <w:r>
          <w:t>224 a</w:t>
        </w:r>
      </w:smartTag>
      <w:r>
        <w:t xml:space="preserve"> fin de cotejarlos con la prueba producida en el contr</w:t>
      </w:r>
      <w:r>
        <w:t>a</w:t>
      </w:r>
      <w:r>
        <w:t>dictorio.</w:t>
      </w:r>
    </w:p>
    <w:p w:rsidR="00224567" w:rsidRDefault="00224567">
      <w:pPr>
        <w:pStyle w:val="Sangradetextonormal"/>
        <w:widowControl w:val="0"/>
        <w:ind w:firstLine="0"/>
      </w:pPr>
      <w:r>
        <w:tab/>
        <w:t>En ese sentido, cabe recordar que en el acta en cuestión el subinspector Horacio Ángel L</w:t>
      </w:r>
      <w:r>
        <w:t>o</w:t>
      </w:r>
      <w:r>
        <w:t>pardo asentó que el 25 de julio de 1994, siendo las 19:05, en la calle Pasteur, entre Tucumán y Viamonte, en presencia de los testigos Gustavo Hernán Moragues y Pablo Garris, pr</w:t>
      </w:r>
      <w:r>
        <w:t>o</w:t>
      </w:r>
      <w:r>
        <w:t>cede al secuestro, por estar relaci</w:t>
      </w:r>
      <w:r>
        <w:t>o</w:t>
      </w:r>
      <w:r>
        <w:t>nados con el hecho que se investiga, de “restos de motor de un automotor número (2831467) y cárter del mismo con bomba de aceite; los mi</w:t>
      </w:r>
      <w:r>
        <w:t>s</w:t>
      </w:r>
      <w:r>
        <w:t>mos fueron avistados al ser volcados en un camión, por la pala de una máquina retroexcavadora que conjunt</w:t>
      </w:r>
      <w:r>
        <w:t>a</w:t>
      </w:r>
      <w:r>
        <w:t>mente con escombros los levantara de aproximadamente a (10) diez m</w:t>
      </w:r>
      <w:r>
        <w:t>e</w:t>
      </w:r>
      <w:r>
        <w:t>tros de la línea municipal de edific</w:t>
      </w:r>
      <w:r>
        <w:t>a</w:t>
      </w:r>
      <w:r>
        <w:t xml:space="preserve">ción, lateral derecho del predio de </w:t>
      </w:r>
      <w:smartTag w:uri="urn:schemas-microsoft-com:office:smarttags" w:element="PersonName">
        <w:smartTagPr>
          <w:attr w:name="ProductID" w:val="la A.M"/>
        </w:smartTagPr>
        <w:r>
          <w:t>la A.M</w:t>
        </w:r>
      </w:smartTag>
      <w:r>
        <w:t>.I.A. Es todo, los testigos dan lect</w:t>
      </w:r>
      <w:r>
        <w:t>u</w:t>
      </w:r>
      <w:r>
        <w:t>ra a la presente y firman por ante mi. Certifico”. El in</w:t>
      </w:r>
      <w:r>
        <w:t>s</w:t>
      </w:r>
      <w:r>
        <w:t>trumento fue firmado por quienes aparecen mencionados en él.</w:t>
      </w:r>
    </w:p>
    <w:p w:rsidR="00224567" w:rsidRDefault="00224567">
      <w:pPr>
        <w:pStyle w:val="Sangradetextonormal"/>
        <w:widowControl w:val="0"/>
        <w:ind w:firstLine="0"/>
      </w:pPr>
      <w:r>
        <w:tab/>
        <w:t>Ante todo, corresponde señalar que las manifestaciones de los testigos Moragues y Garris, por su palmaria divergencia con la versión que aportaron en la etapa anterior, revisten escaso valor convictivo. A ello debe añadirse que ambos r</w:t>
      </w:r>
      <w:r>
        <w:t>e</w:t>
      </w:r>
      <w:r>
        <w:t>conocieron en el debate haberle prestado poca impo</w:t>
      </w:r>
      <w:r>
        <w:t>r</w:t>
      </w:r>
      <w:r>
        <w:t>tancia al documento que firmaron, cuyo contenido no leyeron.</w:t>
      </w:r>
    </w:p>
    <w:p w:rsidR="00224567" w:rsidRDefault="00224567">
      <w:pPr>
        <w:pStyle w:val="Sangradetextonormal"/>
        <w:widowControl w:val="0"/>
        <w:ind w:firstLine="0"/>
      </w:pPr>
      <w:r>
        <w:tab/>
        <w:t>Finalmente, los dichos del testigo Carlos Felipe Lugo sumaron mayor confusión aún al afi</w:t>
      </w:r>
      <w:r>
        <w:t>r</w:t>
      </w:r>
      <w:r>
        <w:t>mar que Garris no se encontraba en el lugar al momento del s</w:t>
      </w:r>
      <w:r>
        <w:t>e</w:t>
      </w:r>
      <w:r>
        <w:t>cuestro, que el motor nunca ingresó al local de Pasteur 669 y, por ende, que a Gustavo Moragues nunca se lo exh</w:t>
      </w:r>
      <w:r>
        <w:t>i</w:t>
      </w:r>
      <w:r>
        <w:t>bieron dentro de dicho come</w:t>
      </w:r>
      <w:r>
        <w:t>r</w:t>
      </w:r>
      <w:r>
        <w:t>cio.</w:t>
      </w:r>
    </w:p>
    <w:p w:rsidR="00224567" w:rsidRDefault="00224567">
      <w:pPr>
        <w:pStyle w:val="Sangradetextonormal"/>
        <w:widowControl w:val="0"/>
        <w:ind w:firstLine="0"/>
      </w:pPr>
      <w:r>
        <w:tab/>
        <w:t>Hecha tal salvedad, y aún tenie</w:t>
      </w:r>
      <w:r>
        <w:t>n</w:t>
      </w:r>
      <w:r>
        <w:t>do en cuenta los dichos de ambos testigos y los del funcion</w:t>
      </w:r>
      <w:r>
        <w:t>a</w:t>
      </w:r>
      <w:r>
        <w:t>rio que intervino en la diligencia, resulta evidente que el secuestro no acaeció del modo en que se consignó en el a</w:t>
      </w:r>
      <w:r>
        <w:t>c</w:t>
      </w:r>
      <w:r>
        <w:t>ta.</w:t>
      </w:r>
    </w:p>
    <w:p w:rsidR="00224567" w:rsidRDefault="00224567">
      <w:pPr>
        <w:pStyle w:val="Sangradetextonormal"/>
        <w:widowControl w:val="0"/>
        <w:ind w:firstLine="0"/>
      </w:pPr>
      <w:r>
        <w:tab/>
        <w:t>En efecto, Horacio Ángel Lopardo afi</w:t>
      </w:r>
      <w:r>
        <w:t>r</w:t>
      </w:r>
      <w:r>
        <w:t>mó que ni él ni los testigos convocados vieron cuando el motor fue retirado mediante una pala mecánica que lo l</w:t>
      </w:r>
      <w:r>
        <w:t>e</w:t>
      </w:r>
      <w:r>
        <w:t>vantó del lugar indicado en el instrumento; Gustavo Mor</w:t>
      </w:r>
      <w:r>
        <w:t>a</w:t>
      </w:r>
      <w:r>
        <w:t>gues aseguró que tanto él como su compañero Pablo Garris se encontraban en el interior del comercio, por lo que n</w:t>
      </w:r>
      <w:r>
        <w:t>a</w:t>
      </w:r>
      <w:r>
        <w:t xml:space="preserve">da pudo aportar en relación al hallazgo del motor y este último, por su parte, ofreció un inverosímil relato del episodio, al indicar que en horas de la noche, desde unos </w:t>
      </w:r>
      <w:smartTag w:uri="urn:schemas-microsoft-com:office:smarttags" w:element="metricconverter">
        <w:smartTagPr>
          <w:attr w:name="ProductID" w:val="35 metros"/>
        </w:smartTagPr>
        <w:r>
          <w:t>35 metros</w:t>
        </w:r>
      </w:smartTag>
      <w:r>
        <w:t>, vio “un objeto negro” entre varios escombros, suspendidos en una pala mecánica.</w:t>
      </w:r>
    </w:p>
    <w:p w:rsidR="00224567" w:rsidRDefault="00224567">
      <w:pPr>
        <w:pStyle w:val="Sangradetextonormal"/>
        <w:widowControl w:val="0"/>
        <w:ind w:firstLine="0"/>
      </w:pPr>
      <w:r>
        <w:tab/>
        <w:t>En suma, las versiones ofrecidas por quienes suscribieron el acta en cuestión permiten co</w:t>
      </w:r>
      <w:r>
        <w:t>n</w:t>
      </w:r>
      <w:r>
        <w:t>cluir, sin esfuerzo, que las circunstancias consi</w:t>
      </w:r>
      <w:r>
        <w:t>g</w:t>
      </w:r>
      <w:r>
        <w:t>nadas en ella no reflejan, en modo alguno, lo realmente aco</w:t>
      </w:r>
      <w:r>
        <w:t>n</w:t>
      </w:r>
      <w:r>
        <w:t>tecido; extremo que el propio Lopardo admitió al señalar que ase</w:t>
      </w:r>
      <w:r>
        <w:t>n</w:t>
      </w:r>
      <w:r>
        <w:t>tó en el documento circunstancias que, en realidad, le fueron contadas por quienes participaron del hallazgo, a los que –para mayor sorpresa- no pudo identificar.</w:t>
      </w:r>
    </w:p>
    <w:p w:rsidR="00224567" w:rsidRDefault="00224567">
      <w:pPr>
        <w:pStyle w:val="Sangradetextonormal"/>
        <w:widowControl w:val="0"/>
        <w:ind w:firstLine="0"/>
      </w:pPr>
      <w:r>
        <w:tab/>
        <w:t>Por último, no puede soslayarse el desconcierto que provoca el hecho de que se haya consign</w:t>
      </w:r>
      <w:r>
        <w:t>a</w:t>
      </w:r>
      <w:r>
        <w:t>do en la mentada acta que los restos del m</w:t>
      </w:r>
      <w:r>
        <w:t>o</w:t>
      </w:r>
      <w:r>
        <w:t>tor, su cárter y la bomba de aceite fueron avistados al ser volcados, junto con escombros, en un camión, toda vez que, más allá del nudo testimonio de Garris, que por las razones expue</w:t>
      </w:r>
      <w:r>
        <w:t>s</w:t>
      </w:r>
      <w:r>
        <w:t>tas -en este aspecto- no habrá de considerarse, ninguna probanza dio sustento, siquiera mínimamente, a la versión consi</w:t>
      </w:r>
      <w:r>
        <w:t>g</w:t>
      </w:r>
      <w:r>
        <w:t>nada en aquella.</w:t>
      </w:r>
    </w:p>
    <w:p w:rsidR="00224567" w:rsidRDefault="00224567">
      <w:pPr>
        <w:pStyle w:val="Sangradetextonormal"/>
        <w:widowControl w:val="0"/>
        <w:ind w:firstLine="0"/>
      </w:pPr>
      <w:r>
        <w:tab/>
        <w:t>Por el contrario, como se vio, Fre</w:t>
      </w:r>
      <w:r>
        <w:t>n</w:t>
      </w:r>
      <w:r>
        <w:t>kel, Livne, Dror, Szwarc y el personal de bomberos antes reseñado, fueron contestes al señalar en el deb</w:t>
      </w:r>
      <w:r>
        <w:t>a</w:t>
      </w:r>
      <w:r>
        <w:t>te que el motor, una vez extraído de entre los escombros, fue carg</w:t>
      </w:r>
      <w:r>
        <w:t>a</w:t>
      </w:r>
      <w:r>
        <w:t>do en una pala que lo trasladó hasta la carpa de las fue</w:t>
      </w:r>
      <w:r>
        <w:t>r</w:t>
      </w:r>
      <w:r>
        <w:t>zas israelíes.</w:t>
      </w:r>
    </w:p>
    <w:p w:rsidR="00224567" w:rsidRDefault="00224567">
      <w:pPr>
        <w:pStyle w:val="Sangradetextonormal"/>
        <w:widowControl w:val="0"/>
        <w:ind w:firstLine="0"/>
      </w:pPr>
      <w:r>
        <w:tab/>
        <w:t>Por todo lo expuesto, corresponde d</w:t>
      </w:r>
      <w:r>
        <w:t>e</w:t>
      </w:r>
      <w:r>
        <w:t>clarar la nulidad del acta obrante a fs. 224 del Informe Preliminar del Departamento Explosivos y Riesgos Especi</w:t>
      </w:r>
      <w:r>
        <w:t>a</w:t>
      </w:r>
      <w:r>
        <w:t xml:space="preserve">les de </w:t>
      </w:r>
      <w:smartTag w:uri="urn:schemas-microsoft-com:office:smarttags" w:element="PersonName">
        <w:smartTagPr>
          <w:attr w:name="ProductID" w:val="la Superintendencia"/>
        </w:smartTagPr>
        <w:r>
          <w:t>la Superintendencia</w:t>
        </w:r>
      </w:smartTag>
      <w:r>
        <w:t xml:space="preserve"> de Bomberos (arts. 138, 139, 166 y concordantes del Código Procesal Penal de </w:t>
      </w:r>
      <w:smartTag w:uri="urn:schemas-microsoft-com:office:smarttags" w:element="PersonName">
        <w:smartTagPr>
          <w:attr w:name="ProductID" w:val="la Naci￳n"/>
        </w:smartTagPr>
        <w:r>
          <w:t>la Nación</w:t>
        </w:r>
      </w:smartTag>
      <w:r>
        <w:t>) y, consecuentemente, extraer testimonios para ser remit</w:t>
      </w:r>
      <w:r>
        <w:t>i</w:t>
      </w:r>
      <w:r>
        <w:t>dos a la cámara del fuero a fin de i</w:t>
      </w:r>
      <w:r>
        <w:t>n</w:t>
      </w:r>
      <w:r>
        <w:t>vestigar la presunta comisión del delito de falsedad ideológica de documento público, en que habrían incurrido Pablo Marcelo Garris, Gustavo Hernán Moragues y Horacio Ángel Lopa</w:t>
      </w:r>
      <w:r>
        <w:t>r</w:t>
      </w:r>
      <w:r>
        <w:t>do.</w:t>
      </w:r>
    </w:p>
    <w:p w:rsidR="00224567" w:rsidRDefault="00224567">
      <w:pPr>
        <w:pStyle w:val="Sangradetextonormal"/>
        <w:widowControl w:val="0"/>
        <w:ind w:firstLine="0"/>
      </w:pPr>
      <w:r>
        <w:tab/>
        <w:t>Empero, tal conclusión no impide que el tribunal tenga por acreditado el hallazgo por otro m</w:t>
      </w:r>
      <w:r>
        <w:t>e</w:t>
      </w:r>
      <w:r>
        <w:t>dios de prueba que mantienen incólume valor, en tanto no hayan sido logrados ilegítimamente o en violación de g</w:t>
      </w:r>
      <w:r>
        <w:t>a</w:t>
      </w:r>
      <w:r>
        <w:t xml:space="preserve">rantías constitucionales (en igual sentido, votos de los Dres. Larrambebere y Pons al decidir </w:t>
      </w:r>
      <w:r>
        <w:rPr>
          <w:u w:val="single"/>
        </w:rPr>
        <w:t xml:space="preserve">in re </w:t>
      </w:r>
      <w:r>
        <w:t>“Serr</w:t>
      </w:r>
      <w:r>
        <w:t>a</w:t>
      </w:r>
      <w:r>
        <w:t>no, Lucía Cristina”, del 5 de marzo de 1998, reg. nº 5/98 y sus c</w:t>
      </w:r>
      <w:r>
        <w:t>i</w:t>
      </w:r>
      <w:r>
        <w:t>tas; CCCF. Sala I, “Bigorrito, Rubén R.”, del 14 de marzo de 1986 y “Duchoony Romero, J</w:t>
      </w:r>
      <w:r>
        <w:t>u</w:t>
      </w:r>
      <w:r>
        <w:t>lio”, del 7 de abril de 1989 y Sala II, “Ciambelli, Héctor”, del 15 de septiembre de 1989 y “Brizuela, Ca</w:t>
      </w:r>
      <w:r>
        <w:t>r</w:t>
      </w:r>
      <w:r>
        <w:t>los”, del 12 de febrero de 1987).</w:t>
      </w:r>
    </w:p>
    <w:p w:rsidR="00224567" w:rsidRDefault="00224567">
      <w:pPr>
        <w:pStyle w:val="Sangradetextonormal"/>
        <w:widowControl w:val="0"/>
        <w:ind w:firstLine="0"/>
      </w:pPr>
      <w:r>
        <w:tab/>
        <w:t>En esa inteligencia, cabe citar el testimonio de Nahum Frenkel, en cuanto recordó que el 25 de julio de 1994, ya avanzada la tarde, levantó de entre los escombros esparcidos por el predio donde se emplazaba el edificio de la mutual judía, un bloque de motor que, a la postre, se determinó que presentaba grabado el nº 2831467. As</w:t>
      </w:r>
      <w:r>
        <w:t>i</w:t>
      </w:r>
      <w:r>
        <w:t>mismo, que dicho elemento se encontraba debajo de una viga de hormigón, la cual debió ser cortada para lograr extraerlo de ese lugar.</w:t>
      </w:r>
    </w:p>
    <w:p w:rsidR="00224567" w:rsidRDefault="00224567">
      <w:pPr>
        <w:pStyle w:val="Sangradetextonormal"/>
        <w:widowControl w:val="0"/>
        <w:ind w:firstLine="0"/>
      </w:pPr>
      <w:r>
        <w:tab/>
        <w:t>A más de considerar sinceros los d</w:t>
      </w:r>
      <w:r>
        <w:t>i</w:t>
      </w:r>
      <w:r>
        <w:t>chos de Frenkel, cabe poner de resalto que otras circun</w:t>
      </w:r>
      <w:r>
        <w:t>s</w:t>
      </w:r>
      <w:r>
        <w:t xml:space="preserve">tancias por él referidas, tales como el hallazgo de una placa de bronce con la nómina de las autoridades de </w:t>
      </w:r>
      <w:smartTag w:uri="urn:schemas-microsoft-com:office:smarttags" w:element="PersonName">
        <w:smartTagPr>
          <w:attr w:name="ProductID" w:val="la A.M"/>
        </w:smartTagPr>
        <w:r>
          <w:t>la A.M</w:t>
        </w:r>
      </w:smartTag>
      <w:r>
        <w:t>.I.A., tuvieron adecuado correlato en el resto del m</w:t>
      </w:r>
      <w:r>
        <w:t>a</w:t>
      </w:r>
      <w:r>
        <w:t>terial probatorio colectado; hallazgo que se co</w:t>
      </w:r>
      <w:r>
        <w:t>m</w:t>
      </w:r>
      <w:r>
        <w:t>padece, a su vez, con la fotografía nº 7 recibida a fs. 1975 del l</w:t>
      </w:r>
      <w:r>
        <w:t>e</w:t>
      </w:r>
      <w:r>
        <w:t>gajo de instru</w:t>
      </w:r>
      <w:r>
        <w:t>c</w:t>
      </w:r>
      <w:r>
        <w:t>ción suplementaria.</w:t>
      </w:r>
    </w:p>
    <w:p w:rsidR="00224567" w:rsidRDefault="00224567">
      <w:pPr>
        <w:pStyle w:val="Sangradetextonormal"/>
        <w:widowControl w:val="0"/>
        <w:ind w:firstLine="0"/>
      </w:pPr>
      <w:r>
        <w:tab/>
        <w:t>Por lo demás, los testimonios de Dani Dror, Zeev Livne, Scartascini, Seara, Carita y Szwarc, r</w:t>
      </w:r>
      <w:r>
        <w:t>a</w:t>
      </w:r>
      <w:r>
        <w:t>tificaron la versión ofrecida por Frenkel en punto a que, una vez extraído de entre los escombros, el motor fue d</w:t>
      </w:r>
      <w:r>
        <w:t>e</w:t>
      </w:r>
      <w:r>
        <w:t>positado en la vereda opuesta a la mutual, próximo a la carpa, donde se fotografió la pieza y se determinó el n</w:t>
      </w:r>
      <w:r>
        <w:t>ú</w:t>
      </w:r>
      <w:r>
        <w:t>mero que llevaba estampado, previo resaltarlo con una t</w:t>
      </w:r>
      <w:r>
        <w:t>i</w:t>
      </w:r>
      <w:r>
        <w:t>za.</w:t>
      </w:r>
    </w:p>
    <w:p w:rsidR="00224567" w:rsidRDefault="00224567">
      <w:pPr>
        <w:pStyle w:val="Sangradetextonormal"/>
        <w:widowControl w:val="0"/>
        <w:ind w:firstLine="0"/>
      </w:pPr>
      <w:r>
        <w:tab/>
        <w:t>Asimismo, las fotografías aportadas por el personal israelí a fs. 25.677/25.681, que retr</w:t>
      </w:r>
      <w:r>
        <w:t>a</w:t>
      </w:r>
      <w:r>
        <w:t>tan las partes del motor cubierto de polvo, dan acabado créd</w:t>
      </w:r>
      <w:r>
        <w:t>i</w:t>
      </w:r>
      <w:r>
        <w:t>to a sus afirmaciones (cónfr., en particular, la fotogr</w:t>
      </w:r>
      <w:r>
        <w:t>a</w:t>
      </w:r>
      <w:r>
        <w:t>fía de fs. 25.678, parte superior, en la que se advierte el resaltado en cue</w:t>
      </w:r>
      <w:r>
        <w:t>s</w:t>
      </w:r>
      <w:r>
        <w:t>tión).</w:t>
      </w:r>
    </w:p>
    <w:p w:rsidR="00224567" w:rsidRDefault="00224567">
      <w:pPr>
        <w:pStyle w:val="Sangradetextonormal"/>
        <w:widowControl w:val="0"/>
        <w:ind w:firstLine="0"/>
      </w:pPr>
      <w:r>
        <w:tab/>
        <w:t>A tales elementos, se agrega el rec</w:t>
      </w:r>
      <w:r>
        <w:t>o</w:t>
      </w:r>
      <w:r>
        <w:t>nocimiento de piezas efectuado en la mañana del 26 de j</w:t>
      </w:r>
      <w:r>
        <w:t>u</w:t>
      </w:r>
      <w:r>
        <w:t>lio por parte de agentes de la firma “C.I.A.D.E.A. S.A.” (ver fs. 32 del Informe Preliminar), del cual se de</w:t>
      </w:r>
      <w:r>
        <w:t>s</w:t>
      </w:r>
      <w:r>
        <w:t>prende que las piezas halladas el día anterior, rotul</w:t>
      </w:r>
      <w:r>
        <w:t>a</w:t>
      </w:r>
      <w:r>
        <w:t>das con los nros. 78, 79 y 80, fueron identificadas como “un trozo i</w:t>
      </w:r>
      <w:r>
        <w:t>z</w:t>
      </w:r>
      <w:r>
        <w:t>quierdo del block de motor de 1400 cc seccionado a la a</w:t>
      </w:r>
      <w:r>
        <w:t>l</w:t>
      </w:r>
      <w:r>
        <w:t xml:space="preserve">tura del primer cilindro numerado </w:t>
      </w:r>
      <w:smartTag w:uri="urn:schemas-microsoft-com:office:smarttags" w:element="metricconverter">
        <w:smartTagPr>
          <w:attr w:name="ProductID" w:val="2831467”"/>
        </w:smartTagPr>
        <w:r>
          <w:t>2831467”</w:t>
        </w:r>
      </w:smartTag>
      <w:r>
        <w:t>, “trozo der</w:t>
      </w:r>
      <w:r>
        <w:t>e</w:t>
      </w:r>
      <w:r>
        <w:t>cho de block de motor de 1400 cc” y “carter de ace</w:t>
      </w:r>
      <w:r>
        <w:t>i</w:t>
      </w:r>
      <w:r>
        <w:t>te de motor 1400 cc con bomba de aceite y parte central inferior i</w:t>
      </w:r>
      <w:r>
        <w:t>z</w:t>
      </w:r>
      <w:r>
        <w:t>quierda de block”, respectivamente, pertenecientes, al igual que el resto de las piezas encontradas en el lugar del siniestro, a un vehículo marca Renault, modelo Trafic.</w:t>
      </w:r>
    </w:p>
    <w:p w:rsidR="00224567" w:rsidRDefault="00224567">
      <w:pPr>
        <w:pStyle w:val="Sangradetextonormal"/>
        <w:widowControl w:val="0"/>
        <w:ind w:firstLine="0"/>
      </w:pPr>
      <w:r>
        <w:tab/>
        <w:t>En ese orden de ideas también cabe traer a colación el peritaje incorporado a fs. 30.761/30.764 del principal, que concluye que las piezas mencionadas en el apartado precedente prese</w:t>
      </w:r>
      <w:r>
        <w:t>n</w:t>
      </w:r>
      <w:r>
        <w:t>taban roturas y deformaciones que se relacionaban de modo directo con una onda de choque generada en sentido coi</w:t>
      </w:r>
      <w:r>
        <w:t>n</w:t>
      </w:r>
      <w:r>
        <w:t>cidente con su parte delantera correspondiente al pr</w:t>
      </w:r>
      <w:r>
        <w:t>i</w:t>
      </w:r>
      <w:r>
        <w:t>mer cilindro, que es el más próximo a la caja de velocidades; que dichas rot</w:t>
      </w:r>
      <w:r>
        <w:t>u</w:t>
      </w:r>
      <w:r>
        <w:t>ras y defo</w:t>
      </w:r>
      <w:r>
        <w:t>r</w:t>
      </w:r>
      <w:r>
        <w:t>maciones se hallaban en relación directa con la reacción de una carga explosiva y que sus elementos con</w:t>
      </w:r>
      <w:r>
        <w:t>s</w:t>
      </w:r>
      <w:r>
        <w:t>titutivos -entre los cuales se destaca el bloque del m</w:t>
      </w:r>
      <w:r>
        <w:t>o</w:t>
      </w:r>
      <w:r>
        <w:t>tor- se hallaban inst</w:t>
      </w:r>
      <w:r>
        <w:t>a</w:t>
      </w:r>
      <w:r>
        <w:t>lados y funcionando en la camioneta que portaba la carga explosiva, coincidiendo los desgarr</w:t>
      </w:r>
      <w:r>
        <w:t>a</w:t>
      </w:r>
      <w:r>
        <w:t>mientos, fracturas y deformaciones de las piezas con el anclaje original para lo cual fueron diseñadas y, por ú</w:t>
      </w:r>
      <w:r>
        <w:t>l</w:t>
      </w:r>
      <w:r>
        <w:t>timo, que los objetos revisados fueron sometidos a una única explosión, tr</w:t>
      </w:r>
      <w:r>
        <w:t>a</w:t>
      </w:r>
      <w:r>
        <w:t>tándose del mismo fenómeno que afectó a la totalidad de los elementos constitutivos de la cami</w:t>
      </w:r>
      <w:r>
        <w:t>o</w:t>
      </w:r>
      <w:r>
        <w:t>neta Trafic util</w:t>
      </w:r>
      <w:r>
        <w:t>i</w:t>
      </w:r>
      <w:r>
        <w:t>zada para cometer el atentado.</w:t>
      </w:r>
    </w:p>
    <w:p w:rsidR="00224567" w:rsidRDefault="00224567">
      <w:pPr>
        <w:pStyle w:val="Sangradetextonormal"/>
        <w:widowControl w:val="0"/>
        <w:ind w:firstLine="0"/>
      </w:pPr>
      <w:r>
        <w:tab/>
        <w:t>Finalmente, el estudio de fs. 5638/5910 del legajo de instrucción suplementaria determ</w:t>
      </w:r>
      <w:r>
        <w:t>i</w:t>
      </w:r>
      <w:r>
        <w:t>nó que el bloque del motor presentaba restos de los comp</w:t>
      </w:r>
      <w:r>
        <w:t>o</w:t>
      </w:r>
      <w:r>
        <w:t>nentes de un explosivo a base de nitrato de amonio, sim</w:t>
      </w:r>
      <w:r>
        <w:t>i</w:t>
      </w:r>
      <w:r>
        <w:t>lar al detectado en las otras piezas s</w:t>
      </w:r>
      <w:r>
        <w:t>e</w:t>
      </w:r>
      <w:r>
        <w:t>cuestradas.</w:t>
      </w:r>
    </w:p>
    <w:p w:rsidR="00224567" w:rsidRDefault="00224567">
      <w:pPr>
        <w:pStyle w:val="Sangradetextonormal"/>
        <w:widowControl w:val="0"/>
        <w:ind w:firstLine="0"/>
      </w:pPr>
      <w:r>
        <w:tab/>
        <w:t>Al explayarse sobre el tópico en cue</w:t>
      </w:r>
      <w:r>
        <w:t>s</w:t>
      </w:r>
      <w:r>
        <w:t>tión, el técnico en explosivos Hugo Ariel Iseas y los qu</w:t>
      </w:r>
      <w:r>
        <w:t>í</w:t>
      </w:r>
      <w:r>
        <w:t>micos Daniel Alejandro Converso y Ricardo Torelo coinc</w:t>
      </w:r>
      <w:r>
        <w:t>i</w:t>
      </w:r>
      <w:r>
        <w:t>dieron en señalar que en el motor se hallaron vestigios de nitritos, nitratos, amonio, hidrocarburos de más de 14 átomos y trotil (T.N.T.), descartando los dos primeros que tales rastros hubiesen sido fraguados en razón de que se encontraban completamente impregnados, mezclados con ti</w:t>
      </w:r>
      <w:r>
        <w:t>e</w:t>
      </w:r>
      <w:r>
        <w:t>rra y residuos de mampostería.</w:t>
      </w:r>
    </w:p>
    <w:p w:rsidR="00224567" w:rsidRDefault="00224567">
      <w:pPr>
        <w:pStyle w:val="Sangradetextonormal"/>
        <w:widowControl w:val="0"/>
        <w:ind w:firstLine="0"/>
      </w:pPr>
      <w:r>
        <w:tab/>
        <w:t>Los numerosos y concordantes eleme</w:t>
      </w:r>
      <w:r>
        <w:t>n</w:t>
      </w:r>
      <w:r>
        <w:t>tos de juicio arriba enunciados permiten concluir, sin resqu</w:t>
      </w:r>
      <w:r>
        <w:t>i</w:t>
      </w:r>
      <w:r>
        <w:t>cio de duda, que las piezas que conformaban el motor fu</w:t>
      </w:r>
      <w:r>
        <w:t>e</w:t>
      </w:r>
      <w:r>
        <w:t>ron halladas en las circunstancias referidas por Frenkel en su relato, concordante con los dichos de Dror, Livne, Scartascini, Seara, Carita y Szwarc.</w:t>
      </w:r>
    </w:p>
    <w:p w:rsidR="00224567" w:rsidRDefault="00224567">
      <w:pPr>
        <w:pStyle w:val="Sangradetextonormal"/>
        <w:widowControl w:val="0"/>
        <w:ind w:firstLine="0"/>
      </w:pPr>
      <w:r>
        <w:tab/>
        <w:t>No obstante, cabe poner de resa</w:t>
      </w:r>
      <w:r>
        <w:t>l</w:t>
      </w:r>
      <w:r>
        <w:t>to la inadmisible omisión en que incurrieron los funcionarios policiales que se encontraban en el lugar al momento del hallazgo, toda vez que nada hicieron para establ</w:t>
      </w:r>
      <w:r>
        <w:t>e</w:t>
      </w:r>
      <w:r>
        <w:t>cer cómo y dónde se produjo ni para individualizar a las personas que intervinieron en el.</w:t>
      </w:r>
    </w:p>
    <w:p w:rsidR="00224567" w:rsidRDefault="00224567">
      <w:pPr>
        <w:pStyle w:val="Sangradetextonormal"/>
        <w:widowControl w:val="0"/>
        <w:ind w:firstLine="0"/>
      </w:pPr>
      <w:r>
        <w:tab/>
        <w:t>En ese sentido, resulta incomprens</w:t>
      </w:r>
      <w:r>
        <w:t>i</w:t>
      </w:r>
      <w:r>
        <w:t>ble que ni Seara, Scartascini, Carita o Lopardo no hubieran mostrado una mínima inquietud en ese sentido, sea para r</w:t>
      </w:r>
      <w:r>
        <w:t>e</w:t>
      </w:r>
      <w:r>
        <w:t>cibirle declaración testimonial a quienes presenciaron el efectivo hallazgo del motor o para realizar una recon</w:t>
      </w:r>
      <w:r>
        <w:t>s</w:t>
      </w:r>
      <w:r>
        <w:t>trucción u observación del lugar dónde éste fue encontr</w:t>
      </w:r>
      <w:r>
        <w:t>a</w:t>
      </w:r>
      <w:r>
        <w:t>do. Tan incomprensible como no haber procurado vistas f</w:t>
      </w:r>
      <w:r>
        <w:t>o</w:t>
      </w:r>
      <w:r>
        <w:t>tográficas del motor, instantes de</w:t>
      </w:r>
      <w:r>
        <w:t>s</w:t>
      </w:r>
      <w:r>
        <w:t>pués del hallazgo, las que recién fueron aportadas por el personal israelí al concurrir al juzgado instructor el 20 de enero de 1997.</w:t>
      </w:r>
    </w:p>
    <w:p w:rsidR="00224567" w:rsidRDefault="00224567">
      <w:pPr>
        <w:pStyle w:val="Sangradetextonormal"/>
        <w:widowControl w:val="0"/>
        <w:ind w:firstLine="0"/>
      </w:pPr>
      <w:r>
        <w:tab/>
        <w:t>Empero, como se dijo, tales omisi</w:t>
      </w:r>
      <w:r>
        <w:t>o</w:t>
      </w:r>
      <w:r>
        <w:t>nes no autorizan a desechar, como la defensa de Telleldín pr</w:t>
      </w:r>
      <w:r>
        <w:t>e</w:t>
      </w:r>
      <w:r>
        <w:t>tendió, aquellas probanzas que convencen de su efectivo secuestro; pruebas de la cuales, por otra parte, dicha asistencia letrada no se hizo cargo a pesar de haber sido alegadas por la fiscalía en oportunidad de formular su acusación (v. g. las fotografías de fs. 25.677/25.681 y los peritajes de fs. 5638/5910 y fs. 30.761/30.764).</w:t>
      </w:r>
    </w:p>
    <w:p w:rsidR="00224567" w:rsidRDefault="00224567">
      <w:pPr>
        <w:pStyle w:val="Sangradetextonormal"/>
        <w:widowControl w:val="0"/>
        <w:ind w:firstLine="0"/>
      </w:pPr>
      <w:r>
        <w:tab/>
        <w:t xml:space="preserve">Es preciso señalar, además, que de la reseña de las declaraciones efectuada </w:t>
      </w:r>
      <w:r>
        <w:rPr>
          <w:u w:val="single"/>
        </w:rPr>
        <w:t>ut supra</w:t>
      </w:r>
      <w:r>
        <w:t xml:space="preserve"> no surgen las divergencias invocadas por las defensas de Carlos A</w:t>
      </w:r>
      <w:r>
        <w:t>l</w:t>
      </w:r>
      <w:r>
        <w:t>berto Telleldín, Raúl Edilio Ibarra y Juan José Ribelli, encaminadas a desacreditarlas; antes bien, se correlaci</w:t>
      </w:r>
      <w:r>
        <w:t>o</w:t>
      </w:r>
      <w:r>
        <w:t>nan y coinciden en diversos puntos, tales como el entred</w:t>
      </w:r>
      <w:r>
        <w:t>i</w:t>
      </w:r>
      <w:r>
        <w:t>cho entre las autoridades argentinas y los efectivos i</w:t>
      </w:r>
      <w:r>
        <w:t>s</w:t>
      </w:r>
      <w:r>
        <w:t>raelíes, el repaso del número con una tiza y el depósito del motor en la carpa del grupo de rescate extranjero, e</w:t>
      </w:r>
      <w:r>
        <w:t>n</w:t>
      </w:r>
      <w:r>
        <w:t>tre otros. Ello, más allá de las discordancias que se a</w:t>
      </w:r>
      <w:r>
        <w:t>d</w:t>
      </w:r>
      <w:r>
        <w:t>vierten entre los testimonios de Frenkel y Szwarc, en cuanto al modo en que el motor fue llevado hasta la me</w:t>
      </w:r>
      <w:r>
        <w:t>n</w:t>
      </w:r>
      <w:r>
        <w:t>cionada carpa; divergencias que en nada modifican la co</w:t>
      </w:r>
      <w:r>
        <w:t>n</w:t>
      </w:r>
      <w:r>
        <w:t>clusión a la que se arribó, en razón que ambos coincidi</w:t>
      </w:r>
      <w:r>
        <w:t>e</w:t>
      </w:r>
      <w:r>
        <w:t>ron en ub</w:t>
      </w:r>
      <w:r>
        <w:t>i</w:t>
      </w:r>
      <w:r>
        <w:t>car el motor debajo de una viga como al explicar la actividad que las fuerzas de seguridad debieron real</w:t>
      </w:r>
      <w:r>
        <w:t>i</w:t>
      </w:r>
      <w:r>
        <w:t>zar para extraerlo y los sucesos ocurridos lu</w:t>
      </w:r>
      <w:r>
        <w:t>e</w:t>
      </w:r>
      <w:r>
        <w:t>go de ello.</w:t>
      </w:r>
    </w:p>
    <w:p w:rsidR="00224567" w:rsidRDefault="00224567">
      <w:pPr>
        <w:pStyle w:val="Sangradetextonormal"/>
        <w:widowControl w:val="0"/>
        <w:ind w:firstLine="0"/>
        <w:rPr>
          <w:lang w:val="es-MX"/>
        </w:rPr>
      </w:pPr>
      <w:r>
        <w:tab/>
        <w:t xml:space="preserve">Por otra parte, la invocación de los dichos del </w:t>
      </w:r>
      <w:r>
        <w:rPr>
          <w:lang w:val="es-MX"/>
        </w:rPr>
        <w:t xml:space="preserve">gruero Iván </w:t>
      </w:r>
      <w:r>
        <w:t>Ziminov Kramanov,</w:t>
      </w:r>
      <w:r>
        <w:rPr>
          <w:lang w:val="es-MX"/>
        </w:rPr>
        <w:t xml:space="preserve"> del comisario m</w:t>
      </w:r>
      <w:r>
        <w:rPr>
          <w:lang w:val="es-MX"/>
        </w:rPr>
        <w:t>a</w:t>
      </w:r>
      <w:r>
        <w:rPr>
          <w:lang w:val="es-MX"/>
        </w:rPr>
        <w:t>yor de bomberos</w:t>
      </w:r>
      <w:r>
        <w:t xml:space="preserve"> Roberto Oscar</w:t>
      </w:r>
      <w:r>
        <w:rPr>
          <w:lang w:val="es-MX"/>
        </w:rPr>
        <w:t xml:space="preserve"> </w:t>
      </w:r>
      <w:r>
        <w:t>Corsetti</w:t>
      </w:r>
      <w:r>
        <w:rPr>
          <w:lang w:val="es-MX"/>
        </w:rPr>
        <w:t xml:space="preserve"> y del suboficial </w:t>
      </w:r>
      <w:r>
        <w:t>Luis Alberto Álvarez, quienes en el debate indicaron que el hallazgo del motor se prod</w:t>
      </w:r>
      <w:r>
        <w:t>u</w:t>
      </w:r>
      <w:r>
        <w:t>jo antes del</w:t>
      </w:r>
      <w:r>
        <w:rPr>
          <w:lang w:val="es-MX"/>
        </w:rPr>
        <w:t xml:space="preserve"> 25 de julio de 1994 y en base a los cuales las defensas intentaron sost</w:t>
      </w:r>
      <w:r>
        <w:rPr>
          <w:lang w:val="es-MX"/>
        </w:rPr>
        <w:t>e</w:t>
      </w:r>
      <w:r>
        <w:rPr>
          <w:lang w:val="es-MX"/>
        </w:rPr>
        <w:t>ner un desconcierto probatorio acerca de tal extremo, ta</w:t>
      </w:r>
      <w:r>
        <w:rPr>
          <w:lang w:val="es-MX"/>
        </w:rPr>
        <w:t>m</w:t>
      </w:r>
      <w:r>
        <w:rPr>
          <w:lang w:val="es-MX"/>
        </w:rPr>
        <w:t>poco habrá de prosperar.</w:t>
      </w:r>
    </w:p>
    <w:p w:rsidR="00224567" w:rsidRDefault="00224567">
      <w:pPr>
        <w:pStyle w:val="Sangradetextonormal"/>
        <w:widowControl w:val="0"/>
        <w:ind w:firstLine="0"/>
      </w:pPr>
      <w:r>
        <w:tab/>
        <w:t>En efecto, de la compulsa de las man</w:t>
      </w:r>
      <w:r>
        <w:t>i</w:t>
      </w:r>
      <w:r>
        <w:t>festaciones de los testigos aludidos surge con claridad que Ziminov Kramanov reconoció, al serle exhibidas las piezas secuestradas, que su afirmación referida al halla</w:t>
      </w:r>
      <w:r>
        <w:t>z</w:t>
      </w:r>
      <w:r>
        <w:t>go de “un motor” fue producto de una equivoc</w:t>
      </w:r>
      <w:r>
        <w:t>a</w:t>
      </w:r>
      <w:r>
        <w:t>ción, puesto que pretendió aludir, en realidad, a una tapa de cili</w:t>
      </w:r>
      <w:r>
        <w:t>n</w:t>
      </w:r>
      <w:r>
        <w:t>dros; Álvarez, en cambio, refirió una serie de circunsta</w:t>
      </w:r>
      <w:r>
        <w:t>n</w:t>
      </w:r>
      <w:r>
        <w:t>cias que, por carecer de todo sustento (ver apartado A.11 del presente capítulo), en este aspecto no habrán de co</w:t>
      </w:r>
      <w:r>
        <w:t>n</w:t>
      </w:r>
      <w:r>
        <w:t>siderarse. Por último, los nudos dichos de Corsetti con relación a la cuestión en anál</w:t>
      </w:r>
      <w:r>
        <w:t>i</w:t>
      </w:r>
      <w:r>
        <w:t>sis, sin otro elemento que los apuntalen, resultan m</w:t>
      </w:r>
      <w:r>
        <w:t>a</w:t>
      </w:r>
      <w:r>
        <w:t>nifiestamente insuficientes para tener por cierto su afirmación de que el motor apareció el 18 de julio entre las ru</w:t>
      </w:r>
      <w:r>
        <w:t>i</w:t>
      </w:r>
      <w:r>
        <w:t>nas del edificio.</w:t>
      </w:r>
    </w:p>
    <w:p w:rsidR="00224567" w:rsidRDefault="00224567">
      <w:pPr>
        <w:widowControl w:val="0"/>
        <w:tabs>
          <w:tab w:val="left" w:pos="2835"/>
        </w:tabs>
        <w:rPr>
          <w:b/>
          <w:bCs/>
        </w:rPr>
      </w:pPr>
      <w:r>
        <w:rPr>
          <w:b/>
          <w:bCs/>
        </w:rPr>
        <w:t>El Dr. Gordo, dijo:</w:t>
      </w:r>
    </w:p>
    <w:p w:rsidR="00224567" w:rsidRDefault="00224567">
      <w:pPr>
        <w:widowControl w:val="0"/>
        <w:tabs>
          <w:tab w:val="left" w:pos="2835"/>
        </w:tabs>
      </w:pPr>
      <w:r>
        <w:tab/>
      </w:r>
      <w:r>
        <w:tab/>
        <w:t>Comparto la totalidad de las consid</w:t>
      </w:r>
      <w:r>
        <w:t>e</w:t>
      </w:r>
      <w:r>
        <w:t>raciones que efectúan los colegas preopinantes con ref</w:t>
      </w:r>
      <w:r>
        <w:t>e</w:t>
      </w:r>
      <w:r>
        <w:t>rencia al acta de fs. 224 del Informe Preliminar que in</w:t>
      </w:r>
      <w:r>
        <w:t>s</w:t>
      </w:r>
      <w:r>
        <w:t>trumenta el secuestro de un motor que ostenta el número 2.831.467, razón por la cual adhiero a la nulidad prop</w:t>
      </w:r>
      <w:r>
        <w:t>i</w:t>
      </w:r>
      <w:r>
        <w:t>ciada.</w:t>
      </w:r>
    </w:p>
    <w:p w:rsidR="00224567" w:rsidRDefault="00224567">
      <w:pPr>
        <w:pStyle w:val="Textoindependiente"/>
        <w:spacing w:line="600" w:lineRule="auto"/>
      </w:pPr>
      <w:r>
        <w:tab/>
      </w:r>
      <w:r>
        <w:tab/>
        <w:t>Sin perjuicio de ello ha menester que formule algunas consideraciones, a los fines que no se piense que he cambiado mi forma de pensar con relación al tema.</w:t>
      </w:r>
    </w:p>
    <w:p w:rsidR="00224567" w:rsidRDefault="00224567">
      <w:pPr>
        <w:widowControl w:val="0"/>
        <w:tabs>
          <w:tab w:val="left" w:pos="2835"/>
        </w:tabs>
      </w:pPr>
      <w:r>
        <w:tab/>
        <w:t>Siempre he interpretado que, para que un secue</w:t>
      </w:r>
      <w:r>
        <w:t>s</w:t>
      </w:r>
      <w:r>
        <w:t xml:space="preserve">tro pueda ser valorado como prueba de </w:t>
      </w:r>
      <w:r>
        <w:rPr>
          <w:b/>
        </w:rPr>
        <w:t>cargo</w:t>
      </w:r>
      <w:r>
        <w:t>, debe haber sido efectuado cumpliendo con las disposiciones de los a</w:t>
      </w:r>
      <w:r>
        <w:t>r</w:t>
      </w:r>
      <w:r>
        <w:t xml:space="preserve">tículos </w:t>
      </w:r>
      <w:smartTag w:uri="urn:schemas-microsoft-com:office:smarttags" w:element="metricconverter">
        <w:smartTagPr>
          <w:attr w:name="ProductID" w:val="138 a"/>
        </w:smartTagPr>
        <w:r>
          <w:t>138 a</w:t>
        </w:r>
      </w:smartTag>
      <w:r>
        <w:t xml:space="preserve"> 140 del C.P.P.N.</w:t>
      </w:r>
    </w:p>
    <w:p w:rsidR="00224567" w:rsidRDefault="00224567">
      <w:pPr>
        <w:widowControl w:val="0"/>
        <w:tabs>
          <w:tab w:val="left" w:pos="2835"/>
        </w:tabs>
      </w:pPr>
      <w:r>
        <w:tab/>
      </w:r>
      <w:r>
        <w:tab/>
        <w:t>La violación de tales normas i</w:t>
      </w:r>
      <w:r>
        <w:t>n</w:t>
      </w:r>
      <w:r>
        <w:t>valida el acto e impide, a mi ver, evaluar el o los objetos i</w:t>
      </w:r>
      <w:r>
        <w:t>n</w:t>
      </w:r>
      <w:r>
        <w:t xml:space="preserve">cautados en forma </w:t>
      </w:r>
      <w:r>
        <w:rPr>
          <w:b/>
        </w:rPr>
        <w:t>gravosa</w:t>
      </w:r>
      <w:r>
        <w:t xml:space="preserve"> hacia alguna persona imputada en la causa, ello por cuanto “el legislador ha querido dotar a determinados actos de suficientes controles, especia</w:t>
      </w:r>
      <w:r>
        <w:t>l</w:t>
      </w:r>
      <w:r>
        <w:t>mente cuando no se llevan a cabo ante un magistrado, por lo que el requisito se transforma en una manera de instr</w:t>
      </w:r>
      <w:r>
        <w:t>u</w:t>
      </w:r>
      <w:r>
        <w:t>mentar procesalmente el derecho constitucional al debido proceso, y por ende, debe ser celosamente custodiado” (mi v</w:t>
      </w:r>
      <w:r>
        <w:t>o</w:t>
      </w:r>
      <w:r>
        <w:t>to en causa n° 94 del T.O.F. n° 5, “Cieri Quinelli, Juan Pedro”, sentencia del 7-3-96, reg. nº 1/96).</w:t>
      </w:r>
    </w:p>
    <w:p w:rsidR="00224567" w:rsidRDefault="00224567">
      <w:pPr>
        <w:pStyle w:val="Textoindependiente"/>
        <w:spacing w:line="600" w:lineRule="auto"/>
      </w:pPr>
      <w:r>
        <w:tab/>
      </w:r>
      <w:r>
        <w:tab/>
        <w:t>No desconozco que una parte importa</w:t>
      </w:r>
      <w:r>
        <w:t>n</w:t>
      </w:r>
      <w:r>
        <w:t>te de la jurisprudencia entiende que, más allá de la nulidad del acta, el secuestro de la cosa como todo hecho puede probarse por otros medios; empero, considero que en todos los casos en que la incautación pueda convertirse en pru</w:t>
      </w:r>
      <w:r>
        <w:t>e</w:t>
      </w:r>
      <w:r>
        <w:t>ba en contra de un imputado, sólo podrá ser legítimamente ev</w:t>
      </w:r>
      <w:r>
        <w:t>a</w:t>
      </w:r>
      <w:r>
        <w:t xml:space="preserve">luada en la medida en que haya sido obtenida mediante las reglas procesales ya reseñadas. </w:t>
      </w:r>
    </w:p>
    <w:p w:rsidR="00224567" w:rsidRDefault="00224567">
      <w:pPr>
        <w:widowControl w:val="0"/>
        <w:tabs>
          <w:tab w:val="left" w:pos="2835"/>
        </w:tabs>
      </w:pPr>
      <w:r>
        <w:tab/>
      </w:r>
      <w:r>
        <w:tab/>
        <w:t>En el caso de autos, al tratarse la materialidad del hecho principal en juzgamiento se ha t</w:t>
      </w:r>
      <w:r>
        <w:t>e</w:t>
      </w:r>
      <w:r>
        <w:t>nido por acreditada la existencia del motor de la camion</w:t>
      </w:r>
      <w:r>
        <w:t>e</w:t>
      </w:r>
      <w:r>
        <w:t xml:space="preserve">ta Trafic que explotara en </w:t>
      </w:r>
      <w:smartTag w:uri="urn:schemas-microsoft-com:office:smarttags" w:element="PersonName">
        <w:smartTagPr>
          <w:attr w:name="ProductID" w:val="la A.M"/>
        </w:smartTagPr>
        <w:r>
          <w:t>la A.M</w:t>
        </w:r>
      </w:smartTag>
      <w:r>
        <w:t>.I.A., mediante los te</w:t>
      </w:r>
      <w:r>
        <w:t>s</w:t>
      </w:r>
      <w:r>
        <w:t>timonios de las personas que lo hallaran.</w:t>
      </w:r>
    </w:p>
    <w:p w:rsidR="00224567" w:rsidRDefault="00224567">
      <w:pPr>
        <w:widowControl w:val="0"/>
        <w:tabs>
          <w:tab w:val="left" w:pos="2835"/>
        </w:tabs>
      </w:pPr>
      <w:r>
        <w:tab/>
        <w:t>Mas, toda vez que el hallazgo de d</w:t>
      </w:r>
      <w:r>
        <w:t>i</w:t>
      </w:r>
      <w:r>
        <w:t>cha pieza, en autos no configura prueba de cargo contra ni</w:t>
      </w:r>
      <w:r>
        <w:t>n</w:t>
      </w:r>
      <w:r>
        <w:t>guno de los incusados –en atención al resultado del acue</w:t>
      </w:r>
      <w:r>
        <w:t>r</w:t>
      </w:r>
      <w:r>
        <w:t>do celebrado-, no encuentro razón alguna para no evalua</w:t>
      </w:r>
      <w:r>
        <w:t>r</w:t>
      </w:r>
      <w:r>
        <w:t>lo, sobre todo teniendo en consideración el derecho de las víctimas y sus familiares a conocer la verdad acerca de los acontecimientos que los damnificaran, al que el trib</w:t>
      </w:r>
      <w:r>
        <w:t>u</w:t>
      </w:r>
      <w:r>
        <w:t>nal se refiere en otro tramo de e</w:t>
      </w:r>
      <w:r>
        <w:t>s</w:t>
      </w:r>
      <w:r>
        <w:t>te pronunciamiento.</w:t>
      </w:r>
    </w:p>
    <w:p w:rsidR="00224567" w:rsidRDefault="00224567">
      <w:pPr>
        <w:widowControl w:val="0"/>
        <w:tabs>
          <w:tab w:val="left" w:pos="2835"/>
        </w:tabs>
      </w:pPr>
      <w:r>
        <w:tab/>
      </w:r>
      <w:r>
        <w:tab/>
        <w:t>En síntesis, comparto y adhiero a la nulidad del acta de secuestro de fs. 224 del Informe Pr</w:t>
      </w:r>
      <w:r>
        <w:t>e</w:t>
      </w:r>
      <w:r>
        <w:t>liminar, y en la presente, al no constituir prueba de ca</w:t>
      </w:r>
      <w:r>
        <w:t>r</w:t>
      </w:r>
      <w:r>
        <w:t>go en contra de algún imp</w:t>
      </w:r>
      <w:r>
        <w:t>u</w:t>
      </w:r>
      <w:r>
        <w:t>tado, considero factible probar el hallazgo en cuestión por otros medios, tal como se h</w:t>
      </w:r>
      <w:r>
        <w:t>i</w:t>
      </w:r>
      <w:r>
        <w:t xml:space="preserve">ciera </w:t>
      </w:r>
      <w:r>
        <w:rPr>
          <w:u w:val="single"/>
        </w:rPr>
        <w:t>supra</w:t>
      </w:r>
      <w:r>
        <w:t>.</w:t>
      </w:r>
    </w:p>
    <w:p w:rsidR="00224567" w:rsidRDefault="00224567">
      <w:pPr>
        <w:pStyle w:val="Sangradetextonormal"/>
        <w:widowControl w:val="0"/>
        <w:ind w:firstLine="0"/>
      </w:pPr>
      <w:r>
        <w:tab/>
      </w:r>
      <w:r>
        <w:rPr>
          <w:b/>
          <w:bCs/>
        </w:rPr>
        <w:t>B.2)</w:t>
      </w:r>
      <w:r>
        <w:t xml:space="preserve"> La defensa de Carlos Alberto T</w:t>
      </w:r>
      <w:r>
        <w:t>e</w:t>
      </w:r>
      <w:r>
        <w:t>lleldín solicitó la nulidad de la “incorporación del m</w:t>
      </w:r>
      <w:r>
        <w:t>o</w:t>
      </w:r>
      <w:r>
        <w:t xml:space="preserve">tor” supuestamente secuestrado entre los escombros de la sede de </w:t>
      </w:r>
      <w:smartTag w:uri="urn:schemas-microsoft-com:office:smarttags" w:element="PersonName">
        <w:smartTagPr>
          <w:attr w:name="ProductID" w:val="la A.M"/>
        </w:smartTagPr>
        <w:r>
          <w:t>la A.M</w:t>
        </w:r>
      </w:smartTag>
      <w:r>
        <w:t>.I.A., en el entend</w:t>
      </w:r>
      <w:r>
        <w:t>i</w:t>
      </w:r>
      <w:r>
        <w:t>miento de que no existe una vía i</w:t>
      </w:r>
      <w:r>
        <w:t>n</w:t>
      </w:r>
      <w:r>
        <w:t>dependiente que permita demostrar la validez del secuestro por la prueba testimonial.</w:t>
      </w:r>
    </w:p>
    <w:p w:rsidR="00224567" w:rsidRDefault="00224567">
      <w:pPr>
        <w:pStyle w:val="Sangradetextonormal"/>
        <w:widowControl w:val="0"/>
        <w:ind w:firstLine="0"/>
      </w:pPr>
      <w:r>
        <w:tab/>
        <w:t>Corresponde rechazar el planteo form</w:t>
      </w:r>
      <w:r>
        <w:t>u</w:t>
      </w:r>
      <w:r>
        <w:t>lado en tales términos, en razón que el cuestion</w:t>
      </w:r>
      <w:r>
        <w:t>a</w:t>
      </w:r>
      <w:r>
        <w:t>miento de la defensa técnica, relativo al alcance probatorio que c</w:t>
      </w:r>
      <w:r>
        <w:t>a</w:t>
      </w:r>
      <w:r>
        <w:t>bía asignar a los elementos de juicio analizados en el apartado que antecede y que el trib</w:t>
      </w:r>
      <w:r>
        <w:t>u</w:t>
      </w:r>
      <w:r>
        <w:t>nal dio respuesta, no es susceptible de ser articulado por la vía prevista en los arts. 166 del Código Proc</w:t>
      </w:r>
      <w:r>
        <w:t>e</w:t>
      </w:r>
      <w:r>
        <w:t xml:space="preserve">sal Penal de </w:t>
      </w:r>
      <w:smartTag w:uri="urn:schemas-microsoft-com:office:smarttags" w:element="PersonName">
        <w:smartTagPr>
          <w:attr w:name="ProductID" w:val="la Naci￳n."/>
        </w:smartTagPr>
        <w:r>
          <w:t>la Nación.</w:t>
        </w:r>
      </w:smartTag>
    </w:p>
    <w:p w:rsidR="00224567" w:rsidRDefault="00224567">
      <w:pPr>
        <w:pStyle w:val="Sangradetextonormal"/>
        <w:widowControl w:val="0"/>
        <w:ind w:firstLine="0"/>
      </w:pPr>
      <w:r>
        <w:tab/>
      </w:r>
      <w:r>
        <w:rPr>
          <w:b/>
          <w:bCs/>
        </w:rPr>
        <w:t>B.3)</w:t>
      </w:r>
      <w:r>
        <w:t xml:space="preserve"> Las defensas de Carlos Alberto Telleldín, Mario Norberto Bareiro, Raúl Edilio Ibarra, Juan José Ribelli y Ariel Rodolfo Nitzcaner plantearon la nulidad de los secuestros de que dan cuenta las actas obrantes en el Informe Preliminar del Departamento Expl</w:t>
      </w:r>
      <w:r>
        <w:t>o</w:t>
      </w:r>
      <w:r>
        <w:t xml:space="preserve">sivos y Riesgos Especiales de </w:t>
      </w:r>
      <w:smartTag w:uri="urn:schemas-microsoft-com:office:smarttags" w:element="PersonName">
        <w:smartTagPr>
          <w:attr w:name="ProductID" w:val="la Superintendencia"/>
        </w:smartTagPr>
        <w:r>
          <w:t>la Superintendencia</w:t>
        </w:r>
      </w:smartTag>
      <w:r>
        <w:t xml:space="preserve"> de Bo</w:t>
      </w:r>
      <w:r>
        <w:t>m</w:t>
      </w:r>
      <w:r>
        <w:t>beros, en razón que ellas se llevaron a cabo sin la pr</w:t>
      </w:r>
      <w:r>
        <w:t>e</w:t>
      </w:r>
      <w:r>
        <w:t>sencia de testigos, en violación a la exigencia contenida en el art. 138 del ordenamiento adjetivo para los actos irreproducibles y definitivos, importando un menoscabo a las garantías del debido proceso y la i</w:t>
      </w:r>
      <w:r>
        <w:t>n</w:t>
      </w:r>
      <w:r>
        <w:t>violabilidad de la defensa en juicio.</w:t>
      </w:r>
    </w:p>
    <w:p w:rsidR="00224567" w:rsidRDefault="00224567">
      <w:pPr>
        <w:pStyle w:val="Sangradetextonormal"/>
        <w:widowControl w:val="0"/>
        <w:ind w:firstLine="0"/>
      </w:pPr>
      <w:r>
        <w:tab/>
        <w:t>Para ello, esgrimieron las s</w:t>
      </w:r>
      <w:r>
        <w:t>i</w:t>
      </w:r>
      <w:r>
        <w:t>guientes raz</w:t>
      </w:r>
      <w:r>
        <w:t>o</w:t>
      </w:r>
      <w:r>
        <w:t>nes:</w:t>
      </w:r>
    </w:p>
    <w:p w:rsidR="00224567" w:rsidRDefault="00224567">
      <w:pPr>
        <w:pStyle w:val="Sangradetextonormal"/>
        <w:widowControl w:val="0"/>
        <w:ind w:firstLine="0"/>
      </w:pPr>
      <w:r>
        <w:tab/>
        <w:t>a) que en muchos casos, por haberse llevado a cabo en lugares alejados del epicentro de la e</w:t>
      </w:r>
      <w:r>
        <w:t>x</w:t>
      </w:r>
      <w:r>
        <w:t>plosión, no se verificaron las circunstancias de peligro invocadas para omitir conv</w:t>
      </w:r>
      <w:r>
        <w:t>o</w:t>
      </w:r>
      <w:r>
        <w:t>car a los testigos, citándose, a modo de ejemplo, el acta de fs. 175 que instrumentó el hallazgo de un elemento en Viamonte 2350;</w:t>
      </w:r>
    </w:p>
    <w:p w:rsidR="00224567" w:rsidRDefault="00224567">
      <w:pPr>
        <w:pStyle w:val="Sangradetextonormal"/>
        <w:widowControl w:val="0"/>
        <w:ind w:firstLine="0"/>
      </w:pPr>
      <w:r>
        <w:rPr>
          <w:b/>
          <w:bCs/>
        </w:rPr>
        <w:tab/>
      </w:r>
      <w:r>
        <w:t>b) que, más allá del peligro en cue</w:t>
      </w:r>
      <w:r>
        <w:t>s</w:t>
      </w:r>
      <w:r>
        <w:t>tión, en el lugar había una gran cantidad de particul</w:t>
      </w:r>
      <w:r>
        <w:t>a</w:t>
      </w:r>
      <w:r>
        <w:t>res, pertenecientes a distintas agencias de socorro a las ví</w:t>
      </w:r>
      <w:r>
        <w:t>c</w:t>
      </w:r>
      <w:r>
        <w:t>timas, que bien pudieron haber sido convocados para sati</w:t>
      </w:r>
      <w:r>
        <w:t>s</w:t>
      </w:r>
      <w:r>
        <w:t>facer aquella exigencia proc</w:t>
      </w:r>
      <w:r>
        <w:t>e</w:t>
      </w:r>
      <w:r>
        <w:t>sal;</w:t>
      </w:r>
    </w:p>
    <w:p w:rsidR="00224567" w:rsidRDefault="00224567">
      <w:pPr>
        <w:pStyle w:val="Sangradetextonormal"/>
        <w:widowControl w:val="0"/>
        <w:ind w:firstLine="0"/>
      </w:pPr>
      <w:r>
        <w:tab/>
        <w:t>c) que lo propio ocurrió con los vec</w:t>
      </w:r>
      <w:r>
        <w:t>i</w:t>
      </w:r>
      <w:r>
        <w:t>nos del lugar, quienes fueron autorizados a retirar las pertenencias de sus viviendas, como también con aquellas personas que lograron ingresar a la zona afectada por r</w:t>
      </w:r>
      <w:r>
        <w:t>a</w:t>
      </w:r>
      <w:r>
        <w:t>zones de m</w:t>
      </w:r>
      <w:r>
        <w:t>e</w:t>
      </w:r>
      <w:r>
        <w:t>ra curiosidad;</w:t>
      </w:r>
    </w:p>
    <w:p w:rsidR="00224567" w:rsidRDefault="00224567">
      <w:pPr>
        <w:pStyle w:val="Sangradetextonormal"/>
        <w:widowControl w:val="0"/>
        <w:ind w:firstLine="0"/>
      </w:pPr>
      <w:r>
        <w:tab/>
        <w:t>e) que otras diligencias se ll</w:t>
      </w:r>
      <w:r>
        <w:t>e</w:t>
      </w:r>
      <w:r>
        <w:t>varon a cabo en presencia de testigos, demostrando con ello que el riesgo no era tal, para lo cual la defensa de Ibarra trajo a colación las actas obra</w:t>
      </w:r>
      <w:r>
        <w:t>n</w:t>
      </w:r>
      <w:r>
        <w:t xml:space="preserve">tes a fs. </w:t>
      </w:r>
      <w:r>
        <w:rPr>
          <w:lang w:val="es-MX"/>
        </w:rPr>
        <w:t xml:space="preserve">26.2, 33, </w:t>
      </w:r>
      <w:r>
        <w:t xml:space="preserve">37, 65, 66 y </w:t>
      </w:r>
      <w:r>
        <w:rPr>
          <w:lang w:val="es-MX"/>
        </w:rPr>
        <w:t xml:space="preserve">209 del Informe Preliminar y a fs. </w:t>
      </w:r>
      <w:r>
        <w:t>1038, 1044, 1046, 1057, 1096, 1100, 1113, 1116, 1117/1118, 1120, 1122/1123, 1124/1125, 1128, 1136, 1138 y 1154 del principal.</w:t>
      </w:r>
    </w:p>
    <w:p w:rsidR="00224567" w:rsidRDefault="00224567">
      <w:pPr>
        <w:pStyle w:val="Sangradetextonormal"/>
        <w:widowControl w:val="0"/>
        <w:ind w:firstLine="0"/>
      </w:pPr>
      <w:r>
        <w:tab/>
        <w:t>Al respecto, corresponde señalar que en todas aquellas actas que dan cuenta de diligencias re</w:t>
      </w:r>
      <w:r>
        <w:t>a</w:t>
      </w:r>
      <w:r>
        <w:t xml:space="preserve">lizadas por personal de </w:t>
      </w:r>
      <w:smartTag w:uri="urn:schemas-microsoft-com:office:smarttags" w:element="PersonName">
        <w:smartTagPr>
          <w:attr w:name="ProductID" w:val="la Superintendencia"/>
        </w:smartTagPr>
        <w:r>
          <w:t>la Superintendencia</w:t>
        </w:r>
      </w:smartTag>
      <w:r>
        <w:t xml:space="preserve"> de Bomberos sin la presencia de testigos, se d</w:t>
      </w:r>
      <w:r>
        <w:t>e</w:t>
      </w:r>
      <w:r>
        <w:t>jó constancia que dicha omisión respondía al peligro que representaba para los particulares la posibilidad de derrumbes, de</w:t>
      </w:r>
      <w:r>
        <w:t>s</w:t>
      </w:r>
      <w:r>
        <w:t>prendimientos de mamposterías y/o caídas de v</w:t>
      </w:r>
      <w:r>
        <w:t>i</w:t>
      </w:r>
      <w:r>
        <w:t>drios u objetos.</w:t>
      </w:r>
    </w:p>
    <w:p w:rsidR="00224567" w:rsidRDefault="00224567">
      <w:pPr>
        <w:pStyle w:val="Sangradetextonormal"/>
        <w:widowControl w:val="0"/>
        <w:ind w:firstLine="0"/>
      </w:pPr>
      <w:r>
        <w:tab/>
        <w:t>Consecuentemente, resulta menester e</w:t>
      </w:r>
      <w:r>
        <w:t>s</w:t>
      </w:r>
      <w:r>
        <w:t>tablecer si, conforme el cuadro reinante, la preve</w:t>
      </w:r>
      <w:r>
        <w:t>n</w:t>
      </w:r>
      <w:r>
        <w:t>ción se encontraba autorizada a desatender, válidamente, tal ex</w:t>
      </w:r>
      <w:r>
        <w:t>i</w:t>
      </w:r>
      <w:r>
        <w:t>gencia.</w:t>
      </w:r>
    </w:p>
    <w:p w:rsidR="00224567" w:rsidRDefault="00224567">
      <w:pPr>
        <w:pStyle w:val="Sangradetextonormal"/>
        <w:widowControl w:val="0"/>
        <w:ind w:firstLine="0"/>
      </w:pPr>
      <w:r>
        <w:tab/>
        <w:t>En ese sentido, cabe traer a c</w:t>
      </w:r>
      <w:r>
        <w:t>o</w:t>
      </w:r>
      <w:r>
        <w:t xml:space="preserve">lación el panorama que el 18 de julio de </w:t>
      </w:r>
      <w:smartTag w:uri="urn:schemas-microsoft-com:office:smarttags" w:element="metricconverter">
        <w:smartTagPr>
          <w:attr w:name="ProductID" w:val="1994, a"/>
        </w:smartTagPr>
        <w:r>
          <w:t>1994, a</w:t>
        </w:r>
      </w:smartTag>
      <w:r>
        <w:t xml:space="preserve"> eso de las 10.50, describió el comisario inspector Carlos Antonio Castañeda, a poco de arribar al lugar. Así refirió: “se aprecia un p</w:t>
      </w:r>
      <w:r>
        <w:t>a</w:t>
      </w:r>
      <w:r>
        <w:t>norama, ciertamente, difícil de describir: en un ajustado juicio, se pu</w:t>
      </w:r>
      <w:r>
        <w:t>e</w:t>
      </w:r>
      <w:r>
        <w:t xml:space="preserve">de afirmar que ha sido epicentro de una enorme explosión el edificio perteneciente a </w:t>
      </w:r>
      <w:smartTag w:uri="urn:schemas-microsoft-com:office:smarttags" w:element="PersonName">
        <w:smartTagPr>
          <w:attr w:name="ProductID" w:val="la AMIA"/>
        </w:smartTagPr>
        <w:r>
          <w:t>la AMIA</w:t>
        </w:r>
      </w:smartTag>
      <w:r>
        <w:t xml:space="preserve"> – DAIA, esto es Pasteur 633 está d</w:t>
      </w:r>
      <w:r>
        <w:t>e</w:t>
      </w:r>
      <w:r>
        <w:t xml:space="preserve">rrumbado, reducido a una montaña de escombros desde la línea de edificación hacia los fondos, proyectados unos </w:t>
      </w:r>
      <w:smartTag w:uri="urn:schemas-microsoft-com:office:smarttags" w:element="metricconverter">
        <w:smartTagPr>
          <w:attr w:name="ProductID" w:val="12 metros"/>
        </w:smartTagPr>
        <w:r>
          <w:t>12 metros</w:t>
        </w:r>
      </w:smartTag>
      <w:r>
        <w:t>. Allí se ma</w:t>
      </w:r>
      <w:r>
        <w:t>n</w:t>
      </w:r>
      <w:r>
        <w:t>tienen –sin poderse precisar por cuanto tiempo- el resto de las estructuras, visiblemente dañ</w:t>
      </w:r>
      <w:r>
        <w:t>a</w:t>
      </w:r>
      <w:r>
        <w:t>das, fracturadas, con desprendimiento de pisos de parquet que han quedado su</w:t>
      </w:r>
      <w:r>
        <w:t>s</w:t>
      </w:r>
      <w:r>
        <w:t>tentados en algún punto que no se aprecia. La montaña de escombros decrece en altura hacia el frente en un ángulo estimado en 45º [...] el techo del segundo piso del edif</w:t>
      </w:r>
      <w:r>
        <w:t>i</w:t>
      </w:r>
      <w:r>
        <w:t>cio lindante hacia la medianera sur –esto es la que se orienta hacia Tucumán- a partir de allí, hacia la línea de edificación, se escalonan los trozos de mampostería. Los daños se proyectan en abanico por toda la calle Pasteur, entre Tucumán por el sur y Viamonte por el norte, en cua</w:t>
      </w:r>
      <w:r>
        <w:t>n</w:t>
      </w:r>
      <w:r>
        <w:t>to a las edificaci</w:t>
      </w:r>
      <w:r>
        <w:t>o</w:t>
      </w:r>
      <w:r>
        <w:t>nes...” (fs. 1/6).</w:t>
      </w:r>
    </w:p>
    <w:p w:rsidR="00224567" w:rsidRDefault="00224567">
      <w:pPr>
        <w:pStyle w:val="Sangradetextonormal"/>
        <w:widowControl w:val="0"/>
        <w:ind w:firstLine="0"/>
      </w:pPr>
      <w:r>
        <w:tab/>
        <w:t xml:space="preserve">Tal descripción pretendió </w:t>
      </w:r>
      <w:r>
        <w:rPr>
          <w:bCs/>
        </w:rPr>
        <w:t>ilu</w:t>
      </w:r>
      <w:r>
        <w:rPr>
          <w:bCs/>
        </w:rPr>
        <w:t>s</w:t>
      </w:r>
      <w:r>
        <w:rPr>
          <w:bCs/>
        </w:rPr>
        <w:t xml:space="preserve">trar, en medida de lo posible, el aterrador panorama </w:t>
      </w:r>
      <w:r>
        <w:t>que se obse</w:t>
      </w:r>
      <w:r>
        <w:t>r</w:t>
      </w:r>
      <w:r>
        <w:t>vaba con posterioridad al atentado; panorama que reflej</w:t>
      </w:r>
      <w:r>
        <w:t>a</w:t>
      </w:r>
      <w:r>
        <w:t>ron en toda su intensidad las primeras imágenes fílmicas tomadas en la zona del siniestro y las innumerables fot</w:t>
      </w:r>
      <w:r>
        <w:t>o</w:t>
      </w:r>
      <w:r>
        <w:t>grafías agregadas al expediente (v. g. videos titulados: “Atentado AMIA (Gerardo Bernasconi)”; “Filmación hecha por Carlos Gacitúa”; los obtenidos por la emisora televisiva Canal 13, que se titulan “18/7 Ate</w:t>
      </w:r>
      <w:r>
        <w:t>n</w:t>
      </w:r>
      <w:r>
        <w:t>tado AMIA/DAIA de 10:54 a 13:49 hs.”, “18/7 Atentado AMIA de 13:48 a 14:40 hs. c</w:t>
      </w:r>
      <w:r>
        <w:t>o</w:t>
      </w:r>
      <w:r>
        <w:t>pia”, “18/7 Atentado AMIA de 14:40 a 17:30 hs., copia”, “18/7 Atentado AMIA de 17:30 a 20:20 hs., copia.”; los d</w:t>
      </w:r>
      <w:r>
        <w:t>e</w:t>
      </w:r>
      <w:r>
        <w:t xml:space="preserve">nominados “Imágenes tomadas por </w:t>
      </w:r>
      <w:smartTag w:uri="urn:schemas-microsoft-com:office:smarttags" w:element="PersonName">
        <w:smartTagPr>
          <w:attr w:name="ProductID" w:val="la Div. Serv."/>
        </w:smartTagPr>
        <w:r>
          <w:t>la Div. Serv.</w:t>
        </w:r>
      </w:smartTag>
      <w:r>
        <w:t xml:space="preserve"> Técnicos E</w:t>
      </w:r>
      <w:r>
        <w:t>s</w:t>
      </w:r>
      <w:r>
        <w:t>peci</w:t>
      </w:r>
      <w:r>
        <w:t>a</w:t>
      </w:r>
      <w:r>
        <w:t>les 17/7/94–1”, “Tomas de día y de noche de imágenes de explosión A.M.I.A. día 18-7-94/3”, “Imágenes de Expl</w:t>
      </w:r>
      <w:r>
        <w:t>o</w:t>
      </w:r>
      <w:r>
        <w:t>sión en A.M.I.A. desde Helicóptero y puesto fijo - día 18-7-94/5”</w:t>
      </w:r>
      <w:r>
        <w:rPr>
          <w:b/>
        </w:rPr>
        <w:t>,</w:t>
      </w:r>
      <w:r>
        <w:t xml:space="preserve"> entre muchísimas otras, como así también las f</w:t>
      </w:r>
      <w:r>
        <w:t>o</w:t>
      </w:r>
      <w:r>
        <w:t>tografías de fs. 5/10; 242,2/242,7 del Informe Prelim</w:t>
      </w:r>
      <w:r>
        <w:t>i</w:t>
      </w:r>
      <w:r>
        <w:t>nar del Departamento de Explosivos y fs. 1061/1069 del princ</w:t>
      </w:r>
      <w:r>
        <w:t>i</w:t>
      </w:r>
      <w:r>
        <w:t xml:space="preserve">pal, entre </w:t>
      </w:r>
      <w:r>
        <w:rPr>
          <w:bCs/>
        </w:rPr>
        <w:t>muchísimas</w:t>
      </w:r>
      <w:r>
        <w:t xml:space="preserve"> otras, reservadas en secr</w:t>
      </w:r>
      <w:r>
        <w:t>e</w:t>
      </w:r>
      <w:r>
        <w:t>taría).</w:t>
      </w:r>
    </w:p>
    <w:p w:rsidR="00224567" w:rsidRDefault="00224567">
      <w:pPr>
        <w:pStyle w:val="Sangradetextonormal"/>
        <w:widowControl w:val="0"/>
        <w:ind w:firstLine="0"/>
      </w:pPr>
      <w:r>
        <w:tab/>
        <w:t>En idéntico sentido, cabe citar el acápite “Descripción del Lugar del Hecho” del Informe Pr</w:t>
      </w:r>
      <w:r>
        <w:t>e</w:t>
      </w:r>
      <w:r>
        <w:t>liminar, agregado a fs. 1/3, concordante a su vez con los dichos brindados por el personal de bomberos que co</w:t>
      </w:r>
      <w:r>
        <w:t>n</w:t>
      </w:r>
      <w:r>
        <w:t>currió a la zona del siniestro (cónfr. testimonios reseñados en el apartado A.11 del presente capít</w:t>
      </w:r>
      <w:r>
        <w:t>u</w:t>
      </w:r>
      <w:r>
        <w:t>lo).</w:t>
      </w:r>
    </w:p>
    <w:p w:rsidR="00224567" w:rsidRDefault="00224567">
      <w:pPr>
        <w:pStyle w:val="Sangradetextonormal"/>
        <w:widowControl w:val="0"/>
        <w:ind w:firstLine="0"/>
      </w:pPr>
      <w:r>
        <w:tab/>
        <w:t>A tales elementos se adunan las cons</w:t>
      </w:r>
      <w:r>
        <w:t>i</w:t>
      </w:r>
      <w:r>
        <w:t xml:space="preserve">deraciones técnicas efectuadas por el arquitecto Edgardo Raúl Saralegui, por entonces jefe de </w:t>
      </w:r>
      <w:smartTag w:uri="urn:schemas-microsoft-com:office:smarttags" w:element="PersonName">
        <w:smartTagPr>
          <w:attr w:name="ProductID" w:val="la Direcci￳n Guardia"/>
        </w:smartTagPr>
        <w:r>
          <w:t>la Dire</w:t>
        </w:r>
        <w:r>
          <w:t>c</w:t>
        </w:r>
        <w:r>
          <w:t>ción Guardia</w:t>
        </w:r>
      </w:smartTag>
      <w:r>
        <w:t xml:space="preserve"> de Auxilio y Emergencias de </w:t>
      </w:r>
      <w:smartTag w:uri="urn:schemas-microsoft-com:office:smarttags" w:element="PersonName">
        <w:smartTagPr>
          <w:attr w:name="ProductID" w:val="la Municipalidad"/>
        </w:smartTagPr>
        <w:r>
          <w:t>la Municipal</w:t>
        </w:r>
        <w:r>
          <w:t>i</w:t>
        </w:r>
        <w:r>
          <w:t>dad</w:t>
        </w:r>
      </w:smartTag>
      <w:r>
        <w:t xml:space="preserve"> de </w:t>
      </w:r>
      <w:smartTag w:uri="urn:schemas-microsoft-com:office:smarttags" w:element="PersonName">
        <w:smartTagPr>
          <w:attr w:name="ProductID" w:val="la Ciudad"/>
        </w:smartTagPr>
        <w:r>
          <w:t>la Ciudad</w:t>
        </w:r>
      </w:smartTag>
      <w:r>
        <w:t xml:space="preserve"> de Buenos Aires, quien r</w:t>
      </w:r>
      <w:r>
        <w:t>e</w:t>
      </w:r>
      <w:r>
        <w:t>firió que el día del atentado, en horas del mediodía, concurrió a la zona afectada, junto con otros profesionales de la dire</w:t>
      </w:r>
      <w:r>
        <w:t>c</w:t>
      </w:r>
      <w:r>
        <w:t>ción, para evaluar los peligros remanentes que pudieran agravar la situación de las víctimas o perjudicar a las personas encargadas de la remoción de los e</w:t>
      </w:r>
      <w:r>
        <w:t>s</w:t>
      </w:r>
      <w:r>
        <w:t>combros.</w:t>
      </w:r>
    </w:p>
    <w:p w:rsidR="00224567" w:rsidRDefault="00224567">
      <w:pPr>
        <w:pStyle w:val="Textoindependiente2"/>
        <w:widowControl w:val="0"/>
        <w:rPr>
          <w:rFonts w:ascii="Courier New" w:hAnsi="Courier New" w:cs="Courier New"/>
        </w:rPr>
      </w:pPr>
      <w:r>
        <w:rPr>
          <w:rFonts w:ascii="Courier New" w:hAnsi="Courier New" w:cs="Courier New"/>
        </w:rPr>
        <w:tab/>
        <w:t>Explicó que es de práctica, en casos de catástrofe, determinar en el lugar los niveles de rie</w:t>
      </w:r>
      <w:r>
        <w:rPr>
          <w:rFonts w:ascii="Courier New" w:hAnsi="Courier New" w:cs="Courier New"/>
        </w:rPr>
        <w:t>s</w:t>
      </w:r>
      <w:r>
        <w:rPr>
          <w:rFonts w:ascii="Courier New" w:hAnsi="Courier New" w:cs="Courier New"/>
        </w:rPr>
        <w:t>go, los que se clasifican, según los peligros que presenta cada zona, en rojo, amarillo o verde; en este caso, la z</w:t>
      </w:r>
      <w:r>
        <w:rPr>
          <w:rFonts w:ascii="Courier New" w:hAnsi="Courier New" w:cs="Courier New"/>
        </w:rPr>
        <w:t>o</w:t>
      </w:r>
      <w:r>
        <w:rPr>
          <w:rFonts w:ascii="Courier New" w:hAnsi="Courier New" w:cs="Courier New"/>
        </w:rPr>
        <w:t xml:space="preserve">na roja abarcaba el radio comprendido entre los 30 y </w:t>
      </w:r>
      <w:smartTag w:uri="urn:schemas-microsoft-com:office:smarttags" w:element="metricconverter">
        <w:smartTagPr>
          <w:attr w:name="ProductID" w:val="40 m"/>
        </w:smartTagPr>
        <w:r>
          <w:rPr>
            <w:rFonts w:ascii="Courier New" w:hAnsi="Courier New" w:cs="Courier New"/>
          </w:rPr>
          <w:t>40 m</w:t>
        </w:r>
      </w:smartTag>
      <w:r>
        <w:rPr>
          <w:rFonts w:ascii="Courier New" w:hAnsi="Courier New" w:cs="Courier New"/>
        </w:rPr>
        <w:t xml:space="preserve"> desde el sector de la montaña de escombros del frente de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 xml:space="preserve">.I.A.; la zona subsiguiente continuaba 50 ó </w:t>
      </w:r>
      <w:smartTag w:uri="urn:schemas-microsoft-com:office:smarttags" w:element="metricconverter">
        <w:smartTagPr>
          <w:attr w:name="ProductID" w:val="60 metros"/>
        </w:smartTagPr>
        <w:r>
          <w:rPr>
            <w:rFonts w:ascii="Courier New" w:hAnsi="Courier New" w:cs="Courier New"/>
          </w:rPr>
          <w:t>60 m</w:t>
        </w:r>
        <w:r>
          <w:rPr>
            <w:rFonts w:ascii="Courier New" w:hAnsi="Courier New" w:cs="Courier New"/>
          </w:rPr>
          <w:t>e</w:t>
        </w:r>
        <w:r>
          <w:rPr>
            <w:rFonts w:ascii="Courier New" w:hAnsi="Courier New" w:cs="Courier New"/>
          </w:rPr>
          <w:t>tros</w:t>
        </w:r>
      </w:smartTag>
      <w:r>
        <w:rPr>
          <w:rFonts w:ascii="Courier New" w:hAnsi="Courier New" w:cs="Courier New"/>
        </w:rPr>
        <w:t xml:space="preserve"> más allá y la última, aproximadamente, unos </w:t>
      </w:r>
      <w:smartTag w:uri="urn:schemas-microsoft-com:office:smarttags" w:element="metricconverter">
        <w:smartTagPr>
          <w:attr w:name="ProductID" w:val="100 metros"/>
        </w:smartTagPr>
        <w:r>
          <w:rPr>
            <w:rFonts w:ascii="Courier New" w:hAnsi="Courier New" w:cs="Courier New"/>
          </w:rPr>
          <w:t>100 m</w:t>
        </w:r>
        <w:r>
          <w:rPr>
            <w:rFonts w:ascii="Courier New" w:hAnsi="Courier New" w:cs="Courier New"/>
          </w:rPr>
          <w:t>e</w:t>
        </w:r>
        <w:r>
          <w:rPr>
            <w:rFonts w:ascii="Courier New" w:hAnsi="Courier New" w:cs="Courier New"/>
          </w:rPr>
          <w:t>tros</w:t>
        </w:r>
      </w:smartTag>
      <w:r>
        <w:rPr>
          <w:rFonts w:ascii="Courier New" w:hAnsi="Courier New" w:cs="Courier New"/>
        </w:rPr>
        <w:t xml:space="preserve"> más. También indicó que tales sectores no constitu</w:t>
      </w:r>
      <w:r>
        <w:rPr>
          <w:rFonts w:ascii="Courier New" w:hAnsi="Courier New" w:cs="Courier New"/>
        </w:rPr>
        <w:t>í</w:t>
      </w:r>
      <w:r>
        <w:rPr>
          <w:rFonts w:ascii="Courier New" w:hAnsi="Courier New" w:cs="Courier New"/>
        </w:rPr>
        <w:t>an círculos perfectos sino que formaron un abanico como co</w:t>
      </w:r>
      <w:r>
        <w:rPr>
          <w:rFonts w:ascii="Courier New" w:hAnsi="Courier New" w:cs="Courier New"/>
        </w:rPr>
        <w:t>n</w:t>
      </w:r>
      <w:r>
        <w:rPr>
          <w:rFonts w:ascii="Courier New" w:hAnsi="Courier New" w:cs="Courier New"/>
        </w:rPr>
        <w:t>secuencia de la onda expansiva y de los efectos de pant</w:t>
      </w:r>
      <w:r>
        <w:rPr>
          <w:rFonts w:ascii="Courier New" w:hAnsi="Courier New" w:cs="Courier New"/>
        </w:rPr>
        <w:t>a</w:t>
      </w:r>
      <w:r>
        <w:rPr>
          <w:rFonts w:ascii="Courier New" w:hAnsi="Courier New" w:cs="Courier New"/>
        </w:rPr>
        <w:t>lla que produjeron los edificios y las paredes.</w:t>
      </w:r>
    </w:p>
    <w:p w:rsidR="00224567" w:rsidRDefault="00224567">
      <w:pPr>
        <w:pStyle w:val="Textoindependiente2"/>
        <w:widowControl w:val="0"/>
        <w:rPr>
          <w:rFonts w:ascii="Courier New" w:hAnsi="Courier New" w:cs="Courier New"/>
        </w:rPr>
      </w:pPr>
      <w:r>
        <w:rPr>
          <w:rFonts w:ascii="Courier New" w:hAnsi="Courier New" w:cs="Courier New"/>
        </w:rPr>
        <w:tab/>
        <w:t>Asimismo, definió a la zona roja como aquella en donde persistían serios peligros remanentes, tales como derrumbes, desmembramientos de losas o mampo</w:t>
      </w:r>
      <w:r>
        <w:rPr>
          <w:rFonts w:ascii="Courier New" w:hAnsi="Courier New" w:cs="Courier New"/>
        </w:rPr>
        <w:t>s</w:t>
      </w:r>
      <w:r>
        <w:rPr>
          <w:rFonts w:ascii="Courier New" w:hAnsi="Courier New" w:cs="Courier New"/>
        </w:rPr>
        <w:t>terías; a la amarilla como la que presentaba peligros eventuales que podían corregirse con cierta demora y a la siguiente como la afectada por los efectos col</w:t>
      </w:r>
      <w:r>
        <w:rPr>
          <w:rFonts w:ascii="Courier New" w:hAnsi="Courier New" w:cs="Courier New"/>
        </w:rPr>
        <w:t>a</w:t>
      </w:r>
      <w:r>
        <w:rPr>
          <w:rFonts w:ascii="Courier New" w:hAnsi="Courier New" w:cs="Courier New"/>
        </w:rPr>
        <w:t xml:space="preserve">terales de la onda expansiva, </w:t>
      </w:r>
      <w:r>
        <w:rPr>
          <w:rFonts w:ascii="Courier New" w:hAnsi="Courier New" w:cs="Courier New"/>
          <w:bCs/>
        </w:rPr>
        <w:t xml:space="preserve">que no hacían a </w:t>
      </w:r>
      <w:r>
        <w:rPr>
          <w:rFonts w:ascii="Courier New" w:hAnsi="Courier New" w:cs="Courier New"/>
        </w:rPr>
        <w:t>la estabilidad de las edificaciones.</w:t>
      </w:r>
    </w:p>
    <w:p w:rsidR="00224567" w:rsidRDefault="00224567">
      <w:pPr>
        <w:pStyle w:val="Textoindependiente2"/>
        <w:widowControl w:val="0"/>
        <w:rPr>
          <w:rFonts w:ascii="Courier New" w:hAnsi="Courier New" w:cs="Courier New"/>
        </w:rPr>
      </w:pPr>
      <w:r>
        <w:rPr>
          <w:rFonts w:ascii="Courier New" w:hAnsi="Courier New" w:cs="Courier New"/>
        </w:rPr>
        <w:tab/>
        <w:t>Saralegui explicó que además del ed</w:t>
      </w:r>
      <w:r>
        <w:rPr>
          <w:rFonts w:ascii="Courier New" w:hAnsi="Courier New" w:cs="Courier New"/>
        </w:rPr>
        <w:t>i</w:t>
      </w:r>
      <w:r>
        <w:rPr>
          <w:rFonts w:ascii="Courier New" w:hAnsi="Courier New" w:cs="Courier New"/>
        </w:rPr>
        <w:t xml:space="preserve">ficio de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.I.A., la zona roja también comprendía el de Pasteur 611, que presentaba un particular riesgo de desmembramiento de la columna y una parte de la m</w:t>
      </w:r>
      <w:r>
        <w:rPr>
          <w:rFonts w:ascii="Courier New" w:hAnsi="Courier New" w:cs="Courier New"/>
        </w:rPr>
        <w:t>e</w:t>
      </w:r>
      <w:r>
        <w:rPr>
          <w:rFonts w:ascii="Courier New" w:hAnsi="Courier New" w:cs="Courier New"/>
        </w:rPr>
        <w:t>dianera que separaba ambas edificaciones y, consecuentemente, la loza sostenida por ésta y el predio cont</w:t>
      </w:r>
      <w:r>
        <w:rPr>
          <w:rFonts w:ascii="Courier New" w:hAnsi="Courier New" w:cs="Courier New"/>
        </w:rPr>
        <w:t>i</w:t>
      </w:r>
      <w:r>
        <w:rPr>
          <w:rFonts w:ascii="Courier New" w:hAnsi="Courier New" w:cs="Courier New"/>
        </w:rPr>
        <w:t>guo a la mutual, hacia la izquierda, en razón de que estaba muy afectado. También refirió que debido a problemas en su estructura, los edificios de la vereda de enfrente debieron ser apu</w:t>
      </w:r>
      <w:r>
        <w:rPr>
          <w:rFonts w:ascii="Courier New" w:hAnsi="Courier New" w:cs="Courier New"/>
        </w:rPr>
        <w:t>n</w:t>
      </w:r>
      <w:r>
        <w:rPr>
          <w:rFonts w:ascii="Courier New" w:hAnsi="Courier New" w:cs="Courier New"/>
        </w:rPr>
        <w:t>talados con urgencia en procura de mantener su estabil</w:t>
      </w:r>
      <w:r>
        <w:rPr>
          <w:rFonts w:ascii="Courier New" w:hAnsi="Courier New" w:cs="Courier New"/>
        </w:rPr>
        <w:t>i</w:t>
      </w:r>
      <w:r>
        <w:rPr>
          <w:rFonts w:ascii="Courier New" w:hAnsi="Courier New" w:cs="Courier New"/>
        </w:rPr>
        <w:t>dad.</w:t>
      </w:r>
    </w:p>
    <w:p w:rsidR="00224567" w:rsidRDefault="00224567">
      <w:pPr>
        <w:pStyle w:val="Textoindependiente2"/>
        <w:widowControl w:val="0"/>
        <w:rPr>
          <w:rFonts w:ascii="Courier New" w:hAnsi="Courier New" w:cs="Courier New"/>
        </w:rPr>
      </w:pPr>
      <w:r>
        <w:rPr>
          <w:rFonts w:ascii="Courier New" w:hAnsi="Courier New" w:cs="Courier New"/>
        </w:rPr>
        <w:tab/>
        <w:t>Relató que el peligro de derru</w:t>
      </w:r>
      <w:r>
        <w:rPr>
          <w:rFonts w:ascii="Courier New" w:hAnsi="Courier New" w:cs="Courier New"/>
        </w:rPr>
        <w:t>m</w:t>
      </w:r>
      <w:r>
        <w:rPr>
          <w:rFonts w:ascii="Courier New" w:hAnsi="Courier New" w:cs="Courier New"/>
        </w:rPr>
        <w:t>bes fue contenido por las distintas intervenciones que d</w:t>
      </w:r>
      <w:r>
        <w:rPr>
          <w:rFonts w:ascii="Courier New" w:hAnsi="Courier New" w:cs="Courier New"/>
        </w:rPr>
        <w:t>u</w:t>
      </w:r>
      <w:r>
        <w:rPr>
          <w:rFonts w:ascii="Courier New" w:hAnsi="Courier New" w:cs="Courier New"/>
        </w:rPr>
        <w:t>rante los primeros diez o quince días se efectuaron en cada una de las edificaciones compromet</w:t>
      </w:r>
      <w:r>
        <w:rPr>
          <w:rFonts w:ascii="Courier New" w:hAnsi="Courier New" w:cs="Courier New"/>
        </w:rPr>
        <w:t>i</w:t>
      </w:r>
      <w:r>
        <w:rPr>
          <w:rFonts w:ascii="Courier New" w:hAnsi="Courier New" w:cs="Courier New"/>
        </w:rPr>
        <w:t>das, a la vez que se fiscalizó la remoción de los escombros en virtud de los riesgos de deslizamientos que podían afectar a las personas encarg</w:t>
      </w:r>
      <w:r>
        <w:rPr>
          <w:rFonts w:ascii="Courier New" w:hAnsi="Courier New" w:cs="Courier New"/>
        </w:rPr>
        <w:t>a</w:t>
      </w:r>
      <w:r>
        <w:rPr>
          <w:rFonts w:ascii="Courier New" w:hAnsi="Courier New" w:cs="Courier New"/>
        </w:rPr>
        <w:t>das de dicha labor. Recordó, a t</w:t>
      </w:r>
      <w:r>
        <w:rPr>
          <w:rFonts w:ascii="Courier New" w:hAnsi="Courier New" w:cs="Courier New"/>
        </w:rPr>
        <w:t>í</w:t>
      </w:r>
      <w:r>
        <w:rPr>
          <w:rFonts w:ascii="Courier New" w:hAnsi="Courier New" w:cs="Courier New"/>
        </w:rPr>
        <w:t xml:space="preserve">tulo de ejemplo, el caso de un sector de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.I.A. donde había dos lozas suspe</w:t>
      </w:r>
      <w:r>
        <w:rPr>
          <w:rFonts w:ascii="Courier New" w:hAnsi="Courier New" w:cs="Courier New"/>
        </w:rPr>
        <w:t>n</w:t>
      </w:r>
      <w:r>
        <w:rPr>
          <w:rFonts w:ascii="Courier New" w:hAnsi="Courier New" w:cs="Courier New"/>
        </w:rPr>
        <w:t xml:space="preserve">didas en una posición muy peligrosa, razón por la cual el servicio de auxilio de </w:t>
      </w:r>
      <w:smartTag w:uri="urn:schemas-microsoft-com:office:smarttags" w:element="PersonName">
        <w:smartTagPr>
          <w:attr w:name="ProductID" w:val="la Superintendencia"/>
        </w:smartTagPr>
        <w:r>
          <w:rPr>
            <w:rFonts w:ascii="Courier New" w:hAnsi="Courier New" w:cs="Courier New"/>
          </w:rPr>
          <w:t>la Superintendencia</w:t>
        </w:r>
      </w:smartTag>
      <w:r>
        <w:rPr>
          <w:rFonts w:ascii="Courier New" w:hAnsi="Courier New" w:cs="Courier New"/>
        </w:rPr>
        <w:t xml:space="preserve"> de Bomberos l</w:t>
      </w:r>
      <w:r>
        <w:rPr>
          <w:rFonts w:ascii="Courier New" w:hAnsi="Courier New" w:cs="Courier New"/>
        </w:rPr>
        <w:t>i</w:t>
      </w:r>
      <w:r>
        <w:rPr>
          <w:rFonts w:ascii="Courier New" w:hAnsi="Courier New" w:cs="Courier New"/>
        </w:rPr>
        <w:t>mitó al mínimo su i</w:t>
      </w:r>
      <w:r>
        <w:rPr>
          <w:rFonts w:ascii="Courier New" w:hAnsi="Courier New" w:cs="Courier New"/>
        </w:rPr>
        <w:t>n</w:t>
      </w:r>
      <w:r>
        <w:rPr>
          <w:rFonts w:ascii="Courier New" w:hAnsi="Courier New" w:cs="Courier New"/>
        </w:rPr>
        <w:t>tervención en esa área.</w:t>
      </w:r>
    </w:p>
    <w:p w:rsidR="00224567" w:rsidRDefault="00224567">
      <w:pPr>
        <w:pStyle w:val="Textoindependiente2"/>
        <w:widowControl w:val="0"/>
        <w:rPr>
          <w:rFonts w:ascii="Courier New" w:hAnsi="Courier New" w:cs="Courier New"/>
        </w:rPr>
      </w:pPr>
      <w:r>
        <w:rPr>
          <w:rFonts w:ascii="Courier New" w:hAnsi="Courier New" w:cs="Courier New"/>
        </w:rPr>
        <w:tab/>
        <w:t>Igualmente, el relevamiento efe</w:t>
      </w:r>
      <w:r>
        <w:rPr>
          <w:rFonts w:ascii="Courier New" w:hAnsi="Courier New" w:cs="Courier New"/>
        </w:rPr>
        <w:t>c</w:t>
      </w:r>
      <w:r>
        <w:rPr>
          <w:rFonts w:ascii="Courier New" w:hAnsi="Courier New" w:cs="Courier New"/>
        </w:rPr>
        <w:t xml:space="preserve">tuado por el personal de </w:t>
      </w:r>
      <w:smartTag w:uri="urn:schemas-microsoft-com:office:smarttags" w:element="PersonName">
        <w:smartTagPr>
          <w:attr w:name="ProductID" w:val="la Divisi￳n Inmuebles"/>
        </w:smartTagPr>
        <w:r>
          <w:rPr>
            <w:rFonts w:ascii="Courier New" w:hAnsi="Courier New" w:cs="Courier New"/>
          </w:rPr>
          <w:t>la División Inmuebles</w:t>
        </w:r>
      </w:smartTag>
      <w:r>
        <w:rPr>
          <w:rFonts w:ascii="Courier New" w:hAnsi="Courier New" w:cs="Courier New"/>
        </w:rPr>
        <w:t xml:space="preserve"> de </w:t>
      </w:r>
      <w:smartTag w:uri="urn:schemas-microsoft-com:office:smarttags" w:element="PersonName">
        <w:smartTagPr>
          <w:attr w:name="ProductID" w:val="la Polic￭a Federal"/>
        </w:smartTagPr>
        <w:r>
          <w:rPr>
            <w:rFonts w:ascii="Courier New" w:hAnsi="Courier New" w:cs="Courier New"/>
          </w:rPr>
          <w:t>la Policía F</w:t>
        </w:r>
        <w:r>
          <w:rPr>
            <w:rFonts w:ascii="Courier New" w:hAnsi="Courier New" w:cs="Courier New"/>
          </w:rPr>
          <w:t>e</w:t>
        </w:r>
        <w:r>
          <w:rPr>
            <w:rFonts w:ascii="Courier New" w:hAnsi="Courier New" w:cs="Courier New"/>
          </w:rPr>
          <w:t>deral</w:t>
        </w:r>
      </w:smartTag>
      <w:r>
        <w:rPr>
          <w:rFonts w:ascii="Courier New" w:hAnsi="Courier New" w:cs="Courier New"/>
        </w:rPr>
        <w:t xml:space="preserve"> Argentina y los testimonios de los arquitectos R</w:t>
      </w:r>
      <w:r>
        <w:rPr>
          <w:rFonts w:ascii="Courier New" w:hAnsi="Courier New" w:cs="Courier New"/>
        </w:rPr>
        <w:t>i</w:t>
      </w:r>
      <w:r>
        <w:rPr>
          <w:rFonts w:ascii="Courier New" w:hAnsi="Courier New" w:cs="Courier New"/>
        </w:rPr>
        <w:t>cardo Horacio Fasano y Juan Carlos Rosas y del comisario Jorge Alberto Chiossone, integrantes de dicha división, determinó que los daños producidos por la explosión alca</w:t>
      </w:r>
      <w:r>
        <w:rPr>
          <w:rFonts w:ascii="Courier New" w:hAnsi="Courier New" w:cs="Courier New"/>
        </w:rPr>
        <w:t>n</w:t>
      </w:r>
      <w:r>
        <w:rPr>
          <w:rFonts w:ascii="Courier New" w:hAnsi="Courier New" w:cs="Courier New"/>
        </w:rPr>
        <w:t>zaron a los inmuebles ubicados entre las alturas del 529 al 761 de la calle Pasteur; 2185 al 2402 de la calle Tuc</w:t>
      </w:r>
      <w:r>
        <w:rPr>
          <w:rFonts w:ascii="Courier New" w:hAnsi="Courier New" w:cs="Courier New"/>
        </w:rPr>
        <w:t>u</w:t>
      </w:r>
      <w:r>
        <w:rPr>
          <w:rFonts w:ascii="Courier New" w:hAnsi="Courier New" w:cs="Courier New"/>
        </w:rPr>
        <w:t>mán; 2188 al 2469 de la calle Viamonte; 484 al 742 de la calle Ur</w:t>
      </w:r>
      <w:r>
        <w:rPr>
          <w:rFonts w:ascii="Courier New" w:hAnsi="Courier New" w:cs="Courier New"/>
        </w:rPr>
        <w:t>i</w:t>
      </w:r>
      <w:r>
        <w:rPr>
          <w:rFonts w:ascii="Courier New" w:hAnsi="Courier New" w:cs="Courier New"/>
        </w:rPr>
        <w:t>buru; 555 al 774 de la calle Azcuénaga; 689 de la calle Larrea; 2262 de la calle Lavalle y 2234 de la aven</w:t>
      </w:r>
      <w:r>
        <w:rPr>
          <w:rFonts w:ascii="Courier New" w:hAnsi="Courier New" w:cs="Courier New"/>
        </w:rPr>
        <w:t>i</w:t>
      </w:r>
      <w:r>
        <w:rPr>
          <w:rFonts w:ascii="Courier New" w:hAnsi="Courier New" w:cs="Courier New"/>
        </w:rPr>
        <w:t>da Córdoba (cónfr. la r</w:t>
      </w:r>
      <w:r>
        <w:rPr>
          <w:rFonts w:ascii="Courier New" w:hAnsi="Courier New" w:cs="Courier New"/>
        </w:rPr>
        <w:t>e</w:t>
      </w:r>
      <w:r>
        <w:rPr>
          <w:rFonts w:ascii="Courier New" w:hAnsi="Courier New" w:cs="Courier New"/>
        </w:rPr>
        <w:t>seña de los daños efectuada en el apartado A.9 del pr</w:t>
      </w:r>
      <w:r>
        <w:rPr>
          <w:rFonts w:ascii="Courier New" w:hAnsi="Courier New" w:cs="Courier New"/>
        </w:rPr>
        <w:t>e</w:t>
      </w:r>
      <w:r>
        <w:rPr>
          <w:rFonts w:ascii="Courier New" w:hAnsi="Courier New" w:cs="Courier New"/>
        </w:rPr>
        <w:t>sente capítulo).</w:t>
      </w:r>
    </w:p>
    <w:p w:rsidR="00224567" w:rsidRDefault="00224567">
      <w:pPr>
        <w:pStyle w:val="Textoindependiente2"/>
        <w:widowControl w:val="0"/>
        <w:rPr>
          <w:rFonts w:ascii="Courier New" w:hAnsi="Courier New" w:cs="Courier New"/>
        </w:rPr>
      </w:pPr>
      <w:r>
        <w:rPr>
          <w:rFonts w:ascii="Courier New" w:hAnsi="Courier New" w:cs="Courier New"/>
        </w:rPr>
        <w:tab/>
        <w:t>A ello debe sumarse el evidente rie</w:t>
      </w:r>
      <w:r>
        <w:rPr>
          <w:rFonts w:ascii="Courier New" w:hAnsi="Courier New" w:cs="Courier New"/>
        </w:rPr>
        <w:t>s</w:t>
      </w:r>
      <w:r>
        <w:rPr>
          <w:rFonts w:ascii="Courier New" w:hAnsi="Courier New" w:cs="Courier New"/>
        </w:rPr>
        <w:t>go de explosi</w:t>
      </w:r>
      <w:r>
        <w:rPr>
          <w:rFonts w:ascii="Courier New" w:hAnsi="Courier New" w:cs="Courier New"/>
        </w:rPr>
        <w:t>o</w:t>
      </w:r>
      <w:r>
        <w:rPr>
          <w:rFonts w:ascii="Courier New" w:hAnsi="Courier New" w:cs="Courier New"/>
        </w:rPr>
        <w:t>nes o cortocircuitos que podían generarse como consecuencia de los daños producidos en las inst</w:t>
      </w:r>
      <w:r>
        <w:rPr>
          <w:rFonts w:ascii="Courier New" w:hAnsi="Courier New" w:cs="Courier New"/>
        </w:rPr>
        <w:t>a</w:t>
      </w:r>
      <w:r>
        <w:rPr>
          <w:rFonts w:ascii="Courier New" w:hAnsi="Courier New" w:cs="Courier New"/>
        </w:rPr>
        <w:t>laciones de electricidad y de gas (ver los informes de las firmas “Edesur” y “Metrogas”, obrantes a fs. 77/82 y 83/155, re</w:t>
      </w:r>
      <w:r>
        <w:rPr>
          <w:rFonts w:ascii="Courier New" w:hAnsi="Courier New" w:cs="Courier New"/>
        </w:rPr>
        <w:t>s</w:t>
      </w:r>
      <w:r>
        <w:rPr>
          <w:rFonts w:ascii="Courier New" w:hAnsi="Courier New" w:cs="Courier New"/>
        </w:rPr>
        <w:t>pectiv</w:t>
      </w:r>
      <w:r>
        <w:rPr>
          <w:rFonts w:ascii="Courier New" w:hAnsi="Courier New" w:cs="Courier New"/>
        </w:rPr>
        <w:t>a</w:t>
      </w:r>
      <w:r>
        <w:rPr>
          <w:rFonts w:ascii="Courier New" w:hAnsi="Courier New" w:cs="Courier New"/>
        </w:rPr>
        <w:t xml:space="preserve">mente, de la carpeta de </w:t>
      </w:r>
      <w:smartTag w:uri="urn:schemas-microsoft-com:office:smarttags" w:element="PersonName">
        <w:smartTagPr>
          <w:attr w:name="ProductID" w:val="la Divisi￳n Inmuebles"/>
        </w:smartTagPr>
        <w:r>
          <w:rPr>
            <w:rFonts w:ascii="Courier New" w:hAnsi="Courier New" w:cs="Courier New"/>
          </w:rPr>
          <w:t>la División Inmuebles</w:t>
        </w:r>
      </w:smartTag>
      <w:r>
        <w:rPr>
          <w:rFonts w:ascii="Courier New" w:hAnsi="Courier New" w:cs="Courier New"/>
        </w:rPr>
        <w:t xml:space="preserve"> de </w:t>
      </w:r>
      <w:smartTag w:uri="urn:schemas-microsoft-com:office:smarttags" w:element="PersonName">
        <w:smartTagPr>
          <w:attr w:name="ProductID" w:val="la Polic￭a Federal"/>
        </w:smartTagPr>
        <w:r>
          <w:rPr>
            <w:rFonts w:ascii="Courier New" w:hAnsi="Courier New" w:cs="Courier New"/>
          </w:rPr>
          <w:t>la Policía Federal</w:t>
        </w:r>
      </w:smartTag>
      <w:r>
        <w:rPr>
          <w:rFonts w:ascii="Courier New" w:hAnsi="Courier New" w:cs="Courier New"/>
        </w:rPr>
        <w:t xml:space="preserve"> Argentina, r</w:t>
      </w:r>
      <w:r>
        <w:rPr>
          <w:rFonts w:ascii="Courier New" w:hAnsi="Courier New" w:cs="Courier New"/>
        </w:rPr>
        <w:t>e</w:t>
      </w:r>
      <w:r>
        <w:rPr>
          <w:rFonts w:ascii="Courier New" w:hAnsi="Courier New" w:cs="Courier New"/>
        </w:rPr>
        <w:t>servada en secretaría).</w:t>
      </w:r>
    </w:p>
    <w:p w:rsidR="00224567" w:rsidRDefault="00224567">
      <w:pPr>
        <w:pStyle w:val="Textoindependiente2"/>
        <w:widowControl w:val="0"/>
        <w:rPr>
          <w:rFonts w:ascii="Courier New" w:hAnsi="Courier New" w:cs="Courier New"/>
        </w:rPr>
      </w:pPr>
      <w:r>
        <w:rPr>
          <w:rFonts w:ascii="Courier New" w:hAnsi="Courier New" w:cs="Courier New"/>
        </w:rPr>
        <w:tab/>
        <w:t>El peligro al que se viene aludiendo en forma potencial se vio materializado el 18 de j</w:t>
      </w:r>
      <w:r>
        <w:rPr>
          <w:rFonts w:ascii="Courier New" w:hAnsi="Courier New" w:cs="Courier New"/>
        </w:rPr>
        <w:t>u</w:t>
      </w:r>
      <w:r>
        <w:rPr>
          <w:rFonts w:ascii="Courier New" w:hAnsi="Courier New" w:cs="Courier New"/>
        </w:rPr>
        <w:t>lio de 1994, en horas de la tarde, con el desprend</w:t>
      </w:r>
      <w:r>
        <w:rPr>
          <w:rFonts w:ascii="Courier New" w:hAnsi="Courier New" w:cs="Courier New"/>
        </w:rPr>
        <w:t>i</w:t>
      </w:r>
      <w:r>
        <w:rPr>
          <w:rFonts w:ascii="Courier New" w:hAnsi="Courier New" w:cs="Courier New"/>
        </w:rPr>
        <w:t>miento de una losa de los pisos superiores de lo que quedaba del edif</w:t>
      </w:r>
      <w:r>
        <w:rPr>
          <w:rFonts w:ascii="Courier New" w:hAnsi="Courier New" w:cs="Courier New"/>
        </w:rPr>
        <w:t>i</w:t>
      </w:r>
      <w:r>
        <w:rPr>
          <w:rFonts w:ascii="Courier New" w:hAnsi="Courier New" w:cs="Courier New"/>
        </w:rPr>
        <w:t xml:space="preserve">cio de Pasteur </w:t>
      </w:r>
      <w:smartTag w:uri="urn:schemas-microsoft-com:office:smarttags" w:element="metricconverter">
        <w:smartTagPr>
          <w:attr w:name="ProductID" w:val="633, a"/>
        </w:smartTagPr>
        <w:r>
          <w:rPr>
            <w:rFonts w:ascii="Courier New" w:hAnsi="Courier New" w:cs="Courier New"/>
          </w:rPr>
          <w:t>633, a</w:t>
        </w:r>
      </w:smartTag>
      <w:r>
        <w:rPr>
          <w:rFonts w:ascii="Courier New" w:hAnsi="Courier New" w:cs="Courier New"/>
        </w:rPr>
        <w:t xml:space="preserve"> consecuencia de lo cual resultaron lesionados los siguientes funcionarios policiales afect</w:t>
      </w:r>
      <w:r>
        <w:rPr>
          <w:rFonts w:ascii="Courier New" w:hAnsi="Courier New" w:cs="Courier New"/>
        </w:rPr>
        <w:t>a</w:t>
      </w:r>
      <w:r>
        <w:rPr>
          <w:rFonts w:ascii="Courier New" w:hAnsi="Courier New" w:cs="Courier New"/>
        </w:rPr>
        <w:t>dos a las tareas de salvamento: Mario Antonio Ottolino (fs. 351 del anexo XVIII), Omar Pérez (fs. 316 del anexo X), Pedro Martínez (fs. 297 y 299 del anexo X y fs. 195 del anexo XI), Daniel Antonio Tobal (fs. 297 y 299 del anexo X), Oscar Alfredo Banega (fs. 2400 bis/7 del princ</w:t>
      </w:r>
      <w:r>
        <w:rPr>
          <w:rFonts w:ascii="Courier New" w:hAnsi="Courier New" w:cs="Courier New"/>
        </w:rPr>
        <w:t>i</w:t>
      </w:r>
      <w:r>
        <w:rPr>
          <w:rFonts w:ascii="Courier New" w:hAnsi="Courier New" w:cs="Courier New"/>
        </w:rPr>
        <w:t>pal), Raúl Chamorro (fs. 338 y 329 del anexo X y refere</w:t>
      </w:r>
      <w:r>
        <w:rPr>
          <w:rFonts w:ascii="Courier New" w:hAnsi="Courier New" w:cs="Courier New"/>
        </w:rPr>
        <w:t>n</w:t>
      </w:r>
      <w:r>
        <w:rPr>
          <w:rFonts w:ascii="Courier New" w:hAnsi="Courier New" w:cs="Courier New"/>
        </w:rPr>
        <w:t>cia de fs. 122/122,7 del I</w:t>
      </w:r>
      <w:r>
        <w:rPr>
          <w:rFonts w:ascii="Courier New" w:hAnsi="Courier New" w:cs="Courier New"/>
        </w:rPr>
        <w:t>n</w:t>
      </w:r>
      <w:r>
        <w:rPr>
          <w:rFonts w:ascii="Courier New" w:hAnsi="Courier New" w:cs="Courier New"/>
        </w:rPr>
        <w:t>forme Final, en particular, fs. 122,1vta.), Gabriel Germán Peralta Ruiz (fs. 194 del anexo XI), Miguel Ángel Vinciguerra (fs. 297, 299 y 338 del anexo X y fs. 122/122,7 del Informe Final, en particular, fs. 122,1vta.), Juan Antonio Brizuela (fs. 334 del anexo X) y Edgardo Roberto Ribrochi (fs. 195 del anexo XI y fs. 297 y 299 del anexo X).</w:t>
      </w:r>
    </w:p>
    <w:p w:rsidR="00224567" w:rsidRDefault="00224567">
      <w:pPr>
        <w:pStyle w:val="Textoindependiente2"/>
        <w:widowControl w:val="0"/>
        <w:rPr>
          <w:rFonts w:ascii="Courier New" w:hAnsi="Courier New" w:cs="Courier New"/>
        </w:rPr>
      </w:pPr>
      <w:r>
        <w:rPr>
          <w:rFonts w:ascii="Courier New" w:hAnsi="Courier New" w:cs="Courier New"/>
        </w:rPr>
        <w:tab/>
        <w:t>A dichos testimonios se agregan las imágenes tel</w:t>
      </w:r>
      <w:r>
        <w:rPr>
          <w:rFonts w:ascii="Courier New" w:hAnsi="Courier New" w:cs="Courier New"/>
        </w:rPr>
        <w:t>e</w:t>
      </w:r>
      <w:r>
        <w:rPr>
          <w:rFonts w:ascii="Courier New" w:hAnsi="Courier New" w:cs="Courier New"/>
        </w:rPr>
        <w:t xml:space="preserve">visivas tomadas por las emisoras “Canal </w:t>
      </w:r>
      <w:smartTag w:uri="urn:schemas-microsoft-com:office:smarttags" w:element="metricconverter">
        <w:smartTagPr>
          <w:attr w:name="ProductID" w:val="13”"/>
        </w:smartTagPr>
        <w:r>
          <w:rPr>
            <w:rFonts w:ascii="Courier New" w:hAnsi="Courier New" w:cs="Courier New"/>
          </w:rPr>
          <w:t>13”</w:t>
        </w:r>
      </w:smartTag>
      <w:r>
        <w:rPr>
          <w:rFonts w:ascii="Courier New" w:hAnsi="Courier New" w:cs="Courier New"/>
        </w:rPr>
        <w:t xml:space="preserve"> y “América T.V.”, registradas en las videocintas rotuladas “18/7 Atentado AMIA de 17:30 a 20:20 hs., copia.”, en pa</w:t>
      </w:r>
      <w:r>
        <w:rPr>
          <w:rFonts w:ascii="Courier New" w:hAnsi="Courier New" w:cs="Courier New"/>
        </w:rPr>
        <w:t>r</w:t>
      </w:r>
      <w:r>
        <w:rPr>
          <w:rFonts w:ascii="Courier New" w:hAnsi="Courier New" w:cs="Courier New"/>
        </w:rPr>
        <w:t>ticular, a las 2 horas y 12 minutos de transmisión y “Am</w:t>
      </w:r>
      <w:r>
        <w:rPr>
          <w:rFonts w:ascii="Courier New" w:hAnsi="Courier New" w:cs="Courier New"/>
        </w:rPr>
        <w:t>é</w:t>
      </w:r>
      <w:r>
        <w:rPr>
          <w:rFonts w:ascii="Courier New" w:hAnsi="Courier New" w:cs="Courier New"/>
        </w:rPr>
        <w:t>rica 2 VI”, a los 58 minutos.</w:t>
      </w:r>
    </w:p>
    <w:p w:rsidR="00224567" w:rsidRDefault="00224567">
      <w:pPr>
        <w:widowControl w:val="0"/>
      </w:pPr>
      <w:r>
        <w:tab/>
        <w:t>También se suman a ello las lesiones sufridas por otros efectivos policiales en ocasión del rescate de heridos, tal como lo explicaron en el debate Miguel Oscar Gómez -padeció el corte de una de sus art</w:t>
      </w:r>
      <w:r>
        <w:t>e</w:t>
      </w:r>
      <w:r>
        <w:t>rias a causa de los vidrios existentes en el interior de un local ubicado frente a la mutual; Ismael Raúl E</w:t>
      </w:r>
      <w:r>
        <w:t>s</w:t>
      </w:r>
      <w:r>
        <w:t>quivel -sufrió un desg</w:t>
      </w:r>
      <w:r>
        <w:t>a</w:t>
      </w:r>
      <w:r>
        <w:t>rro en los gemelos de su pierna izquierda a raíz de haberse tropezado-; Mirta Margarita Trintinaglia -se lesionó en la rótula al caer sobre los escombros- y Juan Carlos Mazzón -resultó lesionado a raíz de la caída de una caja metálica pesada-.</w:t>
      </w:r>
    </w:p>
    <w:p w:rsidR="00224567" w:rsidRDefault="00224567">
      <w:pPr>
        <w:widowControl w:val="0"/>
      </w:pPr>
      <w:r>
        <w:tab/>
        <w:t xml:space="preserve">Por su parte, los ingenieros Jorge Fontán Balestra, titular de </w:t>
      </w:r>
      <w:smartTag w:uri="urn:schemas-microsoft-com:office:smarttags" w:element="PersonName">
        <w:smartTagPr>
          <w:attr w:name="ProductID" w:val="la Asociaci￳n"/>
        </w:smartTagPr>
        <w:r>
          <w:t>la Asociación</w:t>
        </w:r>
      </w:smartTag>
      <w:r>
        <w:t xml:space="preserve"> de Ingenieros Estructurales y Aníbal Adalberto Manzelli, secretario de dicha entidad, coincidieron en señalar que el peligro de descalces y caídas de objetos no cesó con el paso del tiempo, explicando que una pormenorizada inspe</w:t>
      </w:r>
      <w:r>
        <w:t>c</w:t>
      </w:r>
      <w:r>
        <w:t>ción de los edificios afectados, llevada a cabo junto a otros veinte profesionales en un radio que abarcó entre las tres y cu</w:t>
      </w:r>
      <w:r>
        <w:t>a</w:t>
      </w:r>
      <w:r>
        <w:t>tro cuadras, los llevó a requerir la el</w:t>
      </w:r>
      <w:r>
        <w:t>i</w:t>
      </w:r>
      <w:r>
        <w:t>minación de todas las partes de hormigón y mampostería que se encontraban colgando de hierros o alambres.</w:t>
      </w:r>
    </w:p>
    <w:p w:rsidR="00224567" w:rsidRDefault="00224567">
      <w:pPr>
        <w:widowControl w:val="0"/>
      </w:pPr>
      <w:r>
        <w:tab/>
        <w:t>En ese mismo orden de ideas se expl</w:t>
      </w:r>
      <w:r>
        <w:t>a</w:t>
      </w:r>
      <w:r>
        <w:t xml:space="preserve">yaron dichos profesionales al elaborar el estudio “Sobre afectación estructural de los edificios dañados por el atentado a </w:t>
      </w:r>
      <w:smartTag w:uri="urn:schemas-microsoft-com:office:smarttags" w:element="PersonName">
        <w:smartTagPr>
          <w:attr w:name="ProductID" w:val="la A.M"/>
        </w:smartTagPr>
        <w:r>
          <w:t>la A.M</w:t>
        </w:r>
      </w:smartTag>
      <w:r>
        <w:t>.I.A.”, reservado en secretaría, en el que sost</w:t>
      </w:r>
      <w:r>
        <w:t>u</w:t>
      </w:r>
      <w:r>
        <w:t xml:space="preserve">vieron, en alusión al 2 de septiembre de 1994, lo siguiente: </w:t>
      </w:r>
      <w:r>
        <w:rPr>
          <w:bCs/>
        </w:rPr>
        <w:t>“hoy es muy riesgoso caminar por el lugar y realizar cualquier tarea porque la caída de escombros pu</w:t>
      </w:r>
      <w:r>
        <w:rPr>
          <w:bCs/>
        </w:rPr>
        <w:t>e</w:t>
      </w:r>
      <w:r>
        <w:rPr>
          <w:bCs/>
        </w:rPr>
        <w:t xml:space="preserve">de producirse en cualquier momento”, </w:t>
      </w:r>
      <w:r>
        <w:t>aconsejando que el lugar permanezca desalojado porque “la a</w:t>
      </w:r>
      <w:r>
        <w:t>c</w:t>
      </w:r>
      <w:r>
        <w:t>ción del viento, vibraciones inducidas por el tránsito o por trabajos en edificios vecinos o el simple paso del tiempo con acumul</w:t>
      </w:r>
      <w:r>
        <w:t>a</w:t>
      </w:r>
      <w:r>
        <w:t>ción de agua, corrosión, etc., puede provocar la caída de nuevos escombros sobre estructuras en estado crítico y f</w:t>
      </w:r>
      <w:r>
        <w:t>i</w:t>
      </w:r>
      <w:r>
        <w:t xml:space="preserve">nalmente el derrumbe de algún sector” (ver, en particular, fs. 45 </w:t>
      </w:r>
      <w:r>
        <w:rPr>
          <w:bCs/>
        </w:rPr>
        <w:t>del citado informe)</w:t>
      </w:r>
      <w:r>
        <w:t>.</w:t>
      </w:r>
    </w:p>
    <w:p w:rsidR="00224567" w:rsidRDefault="00224567">
      <w:pPr>
        <w:widowControl w:val="0"/>
      </w:pPr>
      <w:r>
        <w:tab/>
        <w:t>Tales consideraciones, más las señal</w:t>
      </w:r>
      <w:r>
        <w:t>a</w:t>
      </w:r>
      <w:r>
        <w:t xml:space="preserve">das por los profesionales de la citada Dirección Guardia de Auxilio y Emergencias, fueron las que determinaron oportunamente </w:t>
      </w:r>
      <w:r>
        <w:rPr>
          <w:bCs/>
        </w:rPr>
        <w:t>la clausura para el tránsito pe</w:t>
      </w:r>
      <w:r>
        <w:rPr>
          <w:bCs/>
        </w:rPr>
        <w:t>a</w:t>
      </w:r>
      <w:r>
        <w:rPr>
          <w:bCs/>
        </w:rPr>
        <w:t>tonal</w:t>
      </w:r>
      <w:r>
        <w:rPr>
          <w:b/>
        </w:rPr>
        <w:t xml:space="preserve"> </w:t>
      </w:r>
      <w:r>
        <w:t>de la calle Pasteur al 600, que se mantuvo hasta el 27 de d</w:t>
      </w:r>
      <w:r>
        <w:t>i</w:t>
      </w:r>
      <w:r>
        <w:t>ciembre de 1994 (cónfr. la constancia de fs. 7527).</w:t>
      </w:r>
    </w:p>
    <w:p w:rsidR="00224567" w:rsidRDefault="00224567">
      <w:pPr>
        <w:widowControl w:val="0"/>
      </w:pPr>
      <w:r>
        <w:tab/>
        <w:t>En esa inteligencia, no puede sosl</w:t>
      </w:r>
      <w:r>
        <w:t>a</w:t>
      </w:r>
      <w:r>
        <w:t>yarse que casi la totalidad de las piezas secuestradas fueron halladas en la primer semana del atentado, dentro de la zona que, por su alto rie</w:t>
      </w:r>
      <w:r>
        <w:t>s</w:t>
      </w:r>
      <w:r>
        <w:t>go, se catalogó como roja y que treinta y cuatro de ellas se encontraron en el int</w:t>
      </w:r>
      <w:r>
        <w:t>e</w:t>
      </w:r>
      <w:r>
        <w:t xml:space="preserve">rior del predio que ocupaba el edificio de </w:t>
      </w:r>
      <w:smartTag w:uri="urn:schemas-microsoft-com:office:smarttags" w:element="PersonName">
        <w:smartTagPr>
          <w:attr w:name="ProductID" w:val="la A.M"/>
        </w:smartTagPr>
        <w:r>
          <w:t>la A.M</w:t>
        </w:r>
      </w:smartTag>
      <w:r>
        <w:t>.I.A., por entonces, en ruinas.</w:t>
      </w:r>
    </w:p>
    <w:p w:rsidR="00224567" w:rsidRDefault="00224567">
      <w:pPr>
        <w:widowControl w:val="0"/>
      </w:pPr>
      <w:r>
        <w:tab/>
        <w:t>Por todo lo expuesto, debe señ</w:t>
      </w:r>
      <w:r>
        <w:t>a</w:t>
      </w:r>
      <w:r>
        <w:t>larse, primeramente, que en tanto no se demuestre la falsedad o inexistencia de las razones que determinaron al personal pol</w:t>
      </w:r>
      <w:r>
        <w:t>i</w:t>
      </w:r>
      <w:r>
        <w:t xml:space="preserve">cial a desatender la exigencia que impone el art. 138 del Código Procesal Penal de </w:t>
      </w:r>
      <w:smartTag w:uri="urn:schemas-microsoft-com:office:smarttags" w:element="PersonName">
        <w:smartTagPr>
          <w:attr w:name="ProductID" w:val="la Naci￳n"/>
        </w:smartTagPr>
        <w:r>
          <w:t>la Nación</w:t>
        </w:r>
      </w:smartTag>
      <w:r>
        <w:t>, la circunstancia de no convocar testigos, motivada en el grave peligro i</w:t>
      </w:r>
      <w:r>
        <w:t>n</w:t>
      </w:r>
      <w:r>
        <w:t>vocado, no lleva a sostener la nulidad automática de las diligencias realizadas en esas condiciones; de lo contr</w:t>
      </w:r>
      <w:r>
        <w:t>a</w:t>
      </w:r>
      <w:r>
        <w:t>rio, no tendría razón de ser la salvedad que i</w:t>
      </w:r>
      <w:r>
        <w:t>n</w:t>
      </w:r>
      <w:r>
        <w:t>troduce el art. 139 del citado ordenamiento (cónfr., en igual sent</w:t>
      </w:r>
      <w:r>
        <w:t>i</w:t>
      </w:r>
      <w:r>
        <w:t xml:space="preserve">do, este tribunal </w:t>
      </w:r>
      <w:r>
        <w:rPr>
          <w:u w:val="single"/>
        </w:rPr>
        <w:t>in re</w:t>
      </w:r>
      <w:r>
        <w:t xml:space="preserve"> “Ojeda, Marcelo Gustavo y otros”, del 9 de diciembre de 1997 y su cita).</w:t>
      </w:r>
    </w:p>
    <w:p w:rsidR="00224567" w:rsidRDefault="00224567">
      <w:pPr>
        <w:widowControl w:val="0"/>
      </w:pPr>
      <w:r>
        <w:tab/>
        <w:t>En esas condiciones, entonces, la p</w:t>
      </w:r>
      <w:r>
        <w:t>o</w:t>
      </w:r>
      <w:r>
        <w:t>testad del Estado de convocar a particulares a fin de pr</w:t>
      </w:r>
      <w:r>
        <w:t>e</w:t>
      </w:r>
      <w:r>
        <w:t xml:space="preserve">senciar determinadas diligencias llevadas a cabo por la prevención (art. </w:t>
      </w:r>
      <w:smartTag w:uri="urn:schemas-microsoft-com:office:smarttags" w:element="metricconverter">
        <w:smartTagPr>
          <w:attr w:name="ProductID" w:val="138 C"/>
        </w:smartTagPr>
        <w:r>
          <w:t>138 C</w:t>
        </w:r>
      </w:smartTag>
      <w:r>
        <w:t>.P.P.N.)</w:t>
      </w:r>
      <w:r>
        <w:rPr>
          <w:b/>
          <w:bCs/>
        </w:rPr>
        <w:t xml:space="preserve">, </w:t>
      </w:r>
      <w:r>
        <w:t>cede cuando dicha convoc</w:t>
      </w:r>
      <w:r>
        <w:t>a</w:t>
      </w:r>
      <w:r>
        <w:t>toria importa un riesgo cierto para su integr</w:t>
      </w:r>
      <w:r>
        <w:t>i</w:t>
      </w:r>
      <w:r>
        <w:t>dad física, resultando de estricta aplicación la do</w:t>
      </w:r>
      <w:r>
        <w:t>c</w:t>
      </w:r>
      <w:r>
        <w:t>trina sentada por este tribunal al fallar el 2 de noviembre de 1993 en los autos “Te</w:t>
      </w:r>
      <w:r>
        <w:t>m</w:t>
      </w:r>
      <w:r>
        <w:t>pesta, Juan Héctor”, en los que sostuvo que “no es posible exigir a quienes son convocados para actuar –en cumplimiento de una carga pública- como testigos en un procedimiento policial, que se comporten como verdaderos héroes, exponiendo i</w:t>
      </w:r>
      <w:r>
        <w:t>n</w:t>
      </w:r>
      <w:r>
        <w:t>diferentemente la propia vida. Por el contrario, es tarea de la pr</w:t>
      </w:r>
      <w:r>
        <w:t>e</w:t>
      </w:r>
      <w:r>
        <w:t>vención la de velar, en todo momento, por la int</w:t>
      </w:r>
      <w:r>
        <w:t>e</w:t>
      </w:r>
      <w:r>
        <w:t>gridad física de aquellos”.</w:t>
      </w:r>
    </w:p>
    <w:p w:rsidR="00224567" w:rsidRDefault="00224567">
      <w:pPr>
        <w:widowControl w:val="0"/>
      </w:pPr>
      <w:r>
        <w:tab/>
        <w:t>Al ser ello así, cabe concluir que aquellas actas confeccionadas en la forma que se enuncia al inicio del presente, resultan plenamente válidas en tanto, por los motivos señalados, se ajustan a la exce</w:t>
      </w:r>
      <w:r>
        <w:t>p</w:t>
      </w:r>
      <w:r>
        <w:t xml:space="preserve">ción prevista en el art. 139 del Código Procesal Penal de </w:t>
      </w:r>
      <w:smartTag w:uri="urn:schemas-microsoft-com:office:smarttags" w:element="PersonName">
        <w:smartTagPr>
          <w:attr w:name="ProductID" w:val="la Naci￳n."/>
        </w:smartTagPr>
        <w:r>
          <w:t>la Nación.</w:t>
        </w:r>
      </w:smartTag>
    </w:p>
    <w:p w:rsidR="00224567" w:rsidRDefault="00224567">
      <w:pPr>
        <w:widowControl w:val="0"/>
      </w:pPr>
      <w:r>
        <w:tab/>
        <w:t>No modifica tal conclusión la circun</w:t>
      </w:r>
      <w:r>
        <w:t>s</w:t>
      </w:r>
      <w:r>
        <w:t>tancia de que durante las primeras horas la zona de la c</w:t>
      </w:r>
      <w:r>
        <w:t>a</w:t>
      </w:r>
      <w:r>
        <w:t>tástrofe fuera invadida por un sinnúmero de personas aj</w:t>
      </w:r>
      <w:r>
        <w:t>e</w:t>
      </w:r>
      <w:r>
        <w:t>nas a las fuerzas de seguridad y de rescate, moviliz</w:t>
      </w:r>
      <w:r>
        <w:t>a</w:t>
      </w:r>
      <w:r>
        <w:t>das, en algunos casos, por la búsqueda afanosa de sus famili</w:t>
      </w:r>
      <w:r>
        <w:t>a</w:t>
      </w:r>
      <w:r>
        <w:t>res o amigos y, en otros, por el solo deseo de pr</w:t>
      </w:r>
      <w:r>
        <w:t>e</w:t>
      </w:r>
      <w:r>
        <w:t>star una ayuda solidaria o aún por mera curios</w:t>
      </w:r>
      <w:r>
        <w:t>i</w:t>
      </w:r>
      <w:r>
        <w:t>dad.</w:t>
      </w:r>
    </w:p>
    <w:p w:rsidR="00224567" w:rsidRDefault="00224567">
      <w:pPr>
        <w:widowControl w:val="0"/>
      </w:pPr>
      <w:r>
        <w:tab/>
        <w:t>Es que, superado el caos que se ev</w:t>
      </w:r>
      <w:r>
        <w:t>i</w:t>
      </w:r>
      <w:r>
        <w:t>denció en los primeros momentos, la autoridad policial dispuso desalojar a todos los particulares que nada tuvi</w:t>
      </w:r>
      <w:r>
        <w:t>e</w:t>
      </w:r>
      <w:r>
        <w:t>ran que ver con las tareas de búsqueda y rescate de pers</w:t>
      </w:r>
      <w:r>
        <w:t>o</w:t>
      </w:r>
      <w:r>
        <w:t>nas o remoción de escombros, motivando que solo permane</w:t>
      </w:r>
      <w:r>
        <w:t>z</w:t>
      </w:r>
      <w:r>
        <w:t>can en el lugar, pese a los riesgos exi</w:t>
      </w:r>
      <w:r>
        <w:t>s</w:t>
      </w:r>
      <w:r>
        <w:t>tentes y a fin de evitar un mayor número de víctimas, quienes debían atender aquellas tareas urgentes e impostergables (cónfr. las d</w:t>
      </w:r>
      <w:r>
        <w:t>e</w:t>
      </w:r>
      <w:r>
        <w:t xml:space="preserve">claraciones testimoniales de Luis Chantres, </w:t>
      </w:r>
      <w:r>
        <w:rPr>
          <w:bCs/>
        </w:rPr>
        <w:t>Ricardo</w:t>
      </w:r>
      <w:r>
        <w:rPr>
          <w:b/>
        </w:rPr>
        <w:t xml:space="preserve"> </w:t>
      </w:r>
      <w:r>
        <w:rPr>
          <w:bCs/>
        </w:rPr>
        <w:t>Jer</w:t>
      </w:r>
      <w:r>
        <w:rPr>
          <w:bCs/>
        </w:rPr>
        <w:t>ó</w:t>
      </w:r>
      <w:r>
        <w:rPr>
          <w:bCs/>
        </w:rPr>
        <w:t>nimo</w:t>
      </w:r>
      <w:r>
        <w:rPr>
          <w:b/>
        </w:rPr>
        <w:t xml:space="preserve"> </w:t>
      </w:r>
      <w:r>
        <w:rPr>
          <w:bCs/>
        </w:rPr>
        <w:t>Sachetti, Oscar Alfredo B</w:t>
      </w:r>
      <w:r>
        <w:rPr>
          <w:bCs/>
        </w:rPr>
        <w:t>a</w:t>
      </w:r>
      <w:r>
        <w:rPr>
          <w:bCs/>
        </w:rPr>
        <w:t>nega, Pablo Aníbal Meglioli y Omar Alfredo Pérez, e</w:t>
      </w:r>
      <w:r>
        <w:rPr>
          <w:bCs/>
        </w:rPr>
        <w:t>n</w:t>
      </w:r>
      <w:r>
        <w:rPr>
          <w:bCs/>
        </w:rPr>
        <w:t>tre muchos otros</w:t>
      </w:r>
      <w:r>
        <w:t>).</w:t>
      </w:r>
    </w:p>
    <w:p w:rsidR="00224567" w:rsidRDefault="00224567">
      <w:pPr>
        <w:widowControl w:val="0"/>
      </w:pPr>
      <w:r>
        <w:tab/>
        <w:t>Tal argumento tampoco se invalida por el hecho de haber convocado, en algunos casos, para pr</w:t>
      </w:r>
      <w:r>
        <w:t>e</w:t>
      </w:r>
      <w:r>
        <w:t>senciar las diligencias, a integrantes de las distintas agencias de auxilio a las víctimas, como ser el personal S.A.M.E., Cruz Roja, Defensa Civil o colaboradores de la mutual (v. g. las actas de fs. 26.1/26.2 y 37 del Informe Preliminar y fs. 1038, 1110, 1120 y 1136 del principal); ello en razón de que su cometido esp</w:t>
      </w:r>
      <w:r>
        <w:t>e</w:t>
      </w:r>
      <w:r>
        <w:t>cífico en el lugar no podía ser otro que su plena afectación a las tareas de emergencia que llevaron a cabo y para las que tenían esp</w:t>
      </w:r>
      <w:r>
        <w:t>e</w:t>
      </w:r>
      <w:r>
        <w:t>cial entr</w:t>
      </w:r>
      <w:r>
        <w:t>e</w:t>
      </w:r>
      <w:r>
        <w:t>namiento.</w:t>
      </w:r>
    </w:p>
    <w:p w:rsidR="00224567" w:rsidRDefault="00224567">
      <w:pPr>
        <w:widowControl w:val="0"/>
      </w:pPr>
      <w:r>
        <w:tab/>
        <w:t>Por otro lado, cabe señalar que las actas que la defensa de Ibarra citó en sustento de su pr</w:t>
      </w:r>
      <w:r>
        <w:t>e</w:t>
      </w:r>
      <w:r>
        <w:t>tensión, incorporadas a fs. 1044, 1046, 1057, 1096, 1100, 1113, 1116, 1117/1118, 1122/1123, 1124/1125 y 1128 del principal, que documentaron la entrega a funcionarios p</w:t>
      </w:r>
      <w:r>
        <w:t>o</w:t>
      </w:r>
      <w:r>
        <w:t>liciales de efectos pers</w:t>
      </w:r>
      <w:r>
        <w:t>o</w:t>
      </w:r>
      <w:r>
        <w:t>nales de distintos damnificados, se realizaron en lugares de escaso riesgo para la integr</w:t>
      </w:r>
      <w:r>
        <w:t>i</w:t>
      </w:r>
      <w:r>
        <w:t>dad física de los testigos que se conv</w:t>
      </w:r>
      <w:r>
        <w:t>o</w:t>
      </w:r>
      <w:r>
        <w:t>caron al efecto.</w:t>
      </w:r>
    </w:p>
    <w:p w:rsidR="00224567" w:rsidRDefault="00224567">
      <w:pPr>
        <w:widowControl w:val="0"/>
      </w:pPr>
      <w:r>
        <w:tab/>
        <w:t>Al respecto, el oficial Mario Redo</w:t>
      </w:r>
      <w:r>
        <w:t>n</w:t>
      </w:r>
      <w:r>
        <w:t>do, explicó que en los casos en que se requirió su interve</w:t>
      </w:r>
      <w:r>
        <w:t>n</w:t>
      </w:r>
      <w:r>
        <w:t>ción fue trasladado por el comando radioeléctrico a Pa</w:t>
      </w:r>
      <w:r>
        <w:t>s</w:t>
      </w:r>
      <w:r>
        <w:t>teur al 600 con el objeto de recibir, de manos del pers</w:t>
      </w:r>
      <w:r>
        <w:t>o</w:t>
      </w:r>
      <w:r>
        <w:t>nal de bomberos, los efectos detallados en las actas de fs. 1046, 1057 y 1096, habiéndose realizado tales proced</w:t>
      </w:r>
      <w:r>
        <w:t>i</w:t>
      </w:r>
      <w:r>
        <w:t>mientos, según creía, en las esquinas de Pasteur en su i</w:t>
      </w:r>
      <w:r>
        <w:t>n</w:t>
      </w:r>
      <w:r>
        <w:t>tersección con Tucumán y Viamonte. De igual modo, Gustavo F</w:t>
      </w:r>
      <w:r>
        <w:t>a</w:t>
      </w:r>
      <w:r>
        <w:t>bián Quevedo admitió que labró el acta de fs. 1128 en un lugar seguro.</w:t>
      </w:r>
    </w:p>
    <w:p w:rsidR="00224567" w:rsidRDefault="00224567">
      <w:pPr>
        <w:widowControl w:val="0"/>
      </w:pPr>
      <w:r>
        <w:tab/>
        <w:t>Por lo demás, el hecho de haber conv</w:t>
      </w:r>
      <w:r>
        <w:t>o</w:t>
      </w:r>
      <w:r>
        <w:t xml:space="preserve">cado testigos para presenciar algunas de las diligencias llevadas a cabo en el lugar siniestrado (v. g. actas de fs. 33, 65, 66 y </w:t>
      </w:r>
      <w:r>
        <w:rPr>
          <w:lang w:val="es-MX"/>
        </w:rPr>
        <w:t>209 del Informe Preliminar)</w:t>
      </w:r>
      <w:r>
        <w:t>, en nada co</w:t>
      </w:r>
      <w:r>
        <w:t>n</w:t>
      </w:r>
      <w:r>
        <w:t>mueve las r</w:t>
      </w:r>
      <w:r>
        <w:t>a</w:t>
      </w:r>
      <w:r>
        <w:t>zones expuestas.</w:t>
      </w:r>
    </w:p>
    <w:p w:rsidR="00224567" w:rsidRDefault="00224567">
      <w:pPr>
        <w:widowControl w:val="0"/>
        <w:rPr>
          <w:b/>
          <w:bCs/>
        </w:rPr>
      </w:pPr>
      <w:r>
        <w:tab/>
        <w:t>Distinta a la analizada es la situ</w:t>
      </w:r>
      <w:r>
        <w:t>a</w:t>
      </w:r>
      <w:r>
        <w:t>ción de los que ingresaron al perímetro vedado a los pa</w:t>
      </w:r>
      <w:r>
        <w:t>r</w:t>
      </w:r>
      <w:r>
        <w:t>ticulares, a efectos de recoger sus pertenencias de los inmuebles afe</w:t>
      </w:r>
      <w:r>
        <w:t>c</w:t>
      </w:r>
      <w:r>
        <w:t>tados o para instrumentar la entrega de sus viviendas (cónfr., entre otras, las cuantiosas actas de desalojo y mudanza, de retiro de bienes y de entrega def</w:t>
      </w:r>
      <w:r>
        <w:t>i</w:t>
      </w:r>
      <w:r>
        <w:t>nitiva de inmuebles, agregadas en el anexo XVI). En efe</w:t>
      </w:r>
      <w:r>
        <w:t>c</w:t>
      </w:r>
      <w:r>
        <w:t>to, más allá de que éstos también corrieron riesgos al i</w:t>
      </w:r>
      <w:r>
        <w:t>n</w:t>
      </w:r>
      <w:r>
        <w:t>gresar a las fincas afectadas por la explosión, equipar</w:t>
      </w:r>
      <w:r>
        <w:t>a</w:t>
      </w:r>
      <w:r>
        <w:t>ble en algunos casos con el que si</w:t>
      </w:r>
      <w:r>
        <w:t>g</w:t>
      </w:r>
      <w:r>
        <w:t>nificaba presenciar el secuestro de evidencias, debe tenerse en cuenta, fundame</w:t>
      </w:r>
      <w:r>
        <w:t>n</w:t>
      </w:r>
      <w:r>
        <w:t>talmente, el hecho no menor de que tales diligencias est</w:t>
      </w:r>
      <w:r>
        <w:t>u</w:t>
      </w:r>
      <w:r>
        <w:t>vieron motivadas por la propia voluntad de los propiet</w:t>
      </w:r>
      <w:r>
        <w:t>a</w:t>
      </w:r>
      <w:r>
        <w:t>rios y a causa de sus insistentes requerimientos, conforme lo ilustraron los dichos de Verónica Lorena Pate, Jorge Gabriel Roffe, Alberto Marcelo Chaufan, José Mario Vinokur, Diego Ariel Laoui, Jaime Carlos Laoui, Gustavo José Vicente, Alejandro Mario de Bilevich, Sandra Mónica Abra</w:t>
      </w:r>
      <w:r>
        <w:t>m</w:t>
      </w:r>
      <w:r>
        <w:t>son, entre muchos otros.</w:t>
      </w:r>
    </w:p>
    <w:p w:rsidR="00224567" w:rsidRDefault="00224567">
      <w:pPr>
        <w:pStyle w:val="Textoindependiente2"/>
        <w:widowControl w:val="0"/>
        <w:tabs>
          <w:tab w:val="left" w:pos="2835"/>
        </w:tabs>
        <w:rPr>
          <w:rFonts w:ascii="Courier New" w:hAnsi="Courier New" w:cs="Courier New"/>
          <w:szCs w:val="24"/>
          <w:lang w:val="es-MX"/>
        </w:rPr>
      </w:pPr>
      <w:r>
        <w:rPr>
          <w:rFonts w:ascii="Courier New" w:hAnsi="Courier New" w:cs="Courier New"/>
          <w:szCs w:val="24"/>
          <w:lang w:val="es-MX"/>
        </w:rPr>
        <w:tab/>
      </w:r>
      <w:r>
        <w:rPr>
          <w:rFonts w:ascii="Courier New" w:hAnsi="Courier New" w:cs="Courier New"/>
          <w:b/>
          <w:bCs/>
          <w:szCs w:val="24"/>
          <w:lang w:val="es-MX"/>
        </w:rPr>
        <w:t>B.4)</w:t>
      </w:r>
      <w:r>
        <w:rPr>
          <w:rFonts w:ascii="Courier New" w:hAnsi="Courier New" w:cs="Courier New"/>
          <w:szCs w:val="24"/>
          <w:lang w:val="es-MX"/>
        </w:rPr>
        <w:t xml:space="preserve"> Sin perjuicio del planteo de n</w:t>
      </w:r>
      <w:r>
        <w:rPr>
          <w:rFonts w:ascii="Courier New" w:hAnsi="Courier New" w:cs="Courier New"/>
          <w:szCs w:val="24"/>
          <w:lang w:val="es-MX"/>
        </w:rPr>
        <w:t>u</w:t>
      </w:r>
      <w:r>
        <w:rPr>
          <w:rFonts w:ascii="Courier New" w:hAnsi="Courier New" w:cs="Courier New"/>
          <w:szCs w:val="24"/>
          <w:lang w:val="es-MX"/>
        </w:rPr>
        <w:t>lidad que la defensa de Carlos Alberto Telleldín art</w:t>
      </w:r>
      <w:r>
        <w:rPr>
          <w:rFonts w:ascii="Courier New" w:hAnsi="Courier New" w:cs="Courier New"/>
          <w:szCs w:val="24"/>
          <w:lang w:val="es-MX"/>
        </w:rPr>
        <w:t>i</w:t>
      </w:r>
      <w:r>
        <w:rPr>
          <w:rFonts w:ascii="Courier New" w:hAnsi="Courier New" w:cs="Courier New"/>
          <w:szCs w:val="24"/>
          <w:lang w:val="es-MX"/>
        </w:rPr>
        <w:t xml:space="preserve">culó en forma genérica respecto de la totalidad de las actas de secuestro agregadas al Informe Preliminar de </w:t>
      </w:r>
      <w:smartTag w:uri="urn:schemas-microsoft-com:office:smarttags" w:element="PersonName">
        <w:smartTagPr>
          <w:attr w:name="ProductID" w:val="la Superintendencia"/>
        </w:smartTagPr>
        <w:r>
          <w:rPr>
            <w:rFonts w:ascii="Courier New" w:hAnsi="Courier New" w:cs="Courier New"/>
            <w:szCs w:val="24"/>
            <w:lang w:val="es-MX"/>
          </w:rPr>
          <w:t>la Superi</w:t>
        </w:r>
        <w:r>
          <w:rPr>
            <w:rFonts w:ascii="Courier New" w:hAnsi="Courier New" w:cs="Courier New"/>
            <w:szCs w:val="24"/>
            <w:lang w:val="es-MX"/>
          </w:rPr>
          <w:t>n</w:t>
        </w:r>
        <w:r>
          <w:rPr>
            <w:rFonts w:ascii="Courier New" w:hAnsi="Courier New" w:cs="Courier New"/>
            <w:szCs w:val="24"/>
            <w:lang w:val="es-MX"/>
          </w:rPr>
          <w:t>tendencia</w:t>
        </w:r>
      </w:smartTag>
      <w:r>
        <w:rPr>
          <w:rFonts w:ascii="Courier New" w:hAnsi="Courier New" w:cs="Courier New"/>
          <w:szCs w:val="24"/>
          <w:lang w:val="es-MX"/>
        </w:rPr>
        <w:t xml:space="preserve"> de Bomberos, aquella hizo hinc</w:t>
      </w:r>
      <w:r>
        <w:rPr>
          <w:rFonts w:ascii="Courier New" w:hAnsi="Courier New" w:cs="Courier New"/>
          <w:szCs w:val="24"/>
          <w:lang w:val="es-MX"/>
        </w:rPr>
        <w:t>a</w:t>
      </w:r>
      <w:r>
        <w:rPr>
          <w:rFonts w:ascii="Courier New" w:hAnsi="Courier New" w:cs="Courier New"/>
          <w:szCs w:val="24"/>
          <w:lang w:val="es-MX"/>
        </w:rPr>
        <w:t>pié en su reclamo de nulidad del “hallazgo de la pieza elástico que se ide</w:t>
      </w:r>
      <w:r>
        <w:rPr>
          <w:rFonts w:ascii="Courier New" w:hAnsi="Courier New" w:cs="Courier New"/>
          <w:szCs w:val="24"/>
          <w:lang w:val="es-MX"/>
        </w:rPr>
        <w:t>n</w:t>
      </w:r>
      <w:r>
        <w:rPr>
          <w:rFonts w:ascii="Courier New" w:hAnsi="Courier New" w:cs="Courier New"/>
          <w:szCs w:val="24"/>
          <w:lang w:val="es-MX"/>
        </w:rPr>
        <w:t>tifica en la foto nº 34, por no existir certeza del lugar del hallazgo de acuerdo a las constancias de la causa”.</w:t>
      </w:r>
    </w:p>
    <w:p w:rsidR="00224567" w:rsidRDefault="00224567">
      <w:pPr>
        <w:widowControl w:val="0"/>
        <w:tabs>
          <w:tab w:val="left" w:pos="2835"/>
        </w:tabs>
      </w:pPr>
      <w:r>
        <w:tab/>
        <w:t xml:space="preserve">Al respecto, argumentó que mientras por un lado el oficial Mauricio Adrián Barrera dio cuenta del secuestro de esa pieza en la vereda de enfrente a </w:t>
      </w:r>
      <w:smartTag w:uri="urn:schemas-microsoft-com:office:smarttags" w:element="PersonName">
        <w:smartTagPr>
          <w:attr w:name="ProductID" w:val="la A.M"/>
        </w:smartTagPr>
        <w:r>
          <w:t>la A.M</w:t>
        </w:r>
      </w:smartTag>
      <w:r>
        <w:t>.I.A., por otro, a fs. 110vta. del Informe Final, se consignó que dicho elemento fue hallado en el segundo piso del edificio de Tuc</w:t>
      </w:r>
      <w:r>
        <w:t>u</w:t>
      </w:r>
      <w:r>
        <w:t>mán 2307.</w:t>
      </w:r>
    </w:p>
    <w:p w:rsidR="00224567" w:rsidRDefault="00224567">
      <w:pPr>
        <w:widowControl w:val="0"/>
        <w:tabs>
          <w:tab w:val="left" w:pos="2835"/>
        </w:tabs>
      </w:pPr>
      <w:r>
        <w:tab/>
        <w:t>Cabe señalar que un cotejo del acta que luce a fs. 166 con la diligencia de recon</w:t>
      </w:r>
      <w:r>
        <w:t>o</w:t>
      </w:r>
      <w:r>
        <w:t>cimiento de piezas de fs. 24 (elemento identificado con el nº 34) y la fotografía de fs. 83vta., todas del Informe Preliminar, con más los dichos vertidos en el debate por el oficial Mauricio Adrián Barrera, permiten desechar, sin sobresa</w:t>
      </w:r>
      <w:r>
        <w:t>l</w:t>
      </w:r>
      <w:r>
        <w:t>tos, el planteo en cuestión.</w:t>
      </w:r>
    </w:p>
    <w:p w:rsidR="00224567" w:rsidRDefault="00224567">
      <w:pPr>
        <w:widowControl w:val="0"/>
        <w:tabs>
          <w:tab w:val="left" w:pos="2835"/>
        </w:tabs>
      </w:pPr>
      <w:r>
        <w:tab/>
        <w:t>En efecto, el acta de fs. 166 del I</w:t>
      </w:r>
      <w:r>
        <w:t>n</w:t>
      </w:r>
      <w:r>
        <w:t xml:space="preserve">forme Preliminar da cuenta que el 18 de julio de </w:t>
      </w:r>
      <w:smartTag w:uri="urn:schemas-microsoft-com:office:smarttags" w:element="metricconverter">
        <w:smartTagPr>
          <w:attr w:name="ProductID" w:val="1994, a"/>
        </w:smartTagPr>
        <w:r>
          <w:t>1994, a</w:t>
        </w:r>
      </w:smartTag>
      <w:r>
        <w:t xml:space="preserve"> las 11.45, Mauricio Adrián Barrera secuestró, entre los escombros ubicados en la vereda opuesta a la sede de </w:t>
      </w:r>
      <w:smartTag w:uri="urn:schemas-microsoft-com:office:smarttags" w:element="PersonName">
        <w:smartTagPr>
          <w:attr w:name="ProductID" w:val="la A.M"/>
        </w:smartTagPr>
        <w:r>
          <w:t>la A.M</w:t>
        </w:r>
      </w:smartTag>
      <w:r>
        <w:t>.I.A., “una pieza metál</w:t>
      </w:r>
      <w:r>
        <w:t>i</w:t>
      </w:r>
      <w:r>
        <w:t>ca deformada la cual parece ser un elástico con soporte y resto de chapa de un vehículo automotor”. Dos días después, el personal de CIADEA S.A. identificó con el nº 34 una “hoja de paquete de elástico trasero con soporte trasero y parte de carrocería”, obse</w:t>
      </w:r>
      <w:r>
        <w:t>r</w:t>
      </w:r>
      <w:r>
        <w:t>vándose en la mencionada fotografía de fs. 83vta., con igual identificación, una pieza de idénticas característ</w:t>
      </w:r>
      <w:r>
        <w:t>i</w:t>
      </w:r>
      <w:r>
        <w:t>cas.</w:t>
      </w:r>
    </w:p>
    <w:p w:rsidR="00224567" w:rsidRDefault="00224567">
      <w:pPr>
        <w:widowControl w:val="0"/>
        <w:tabs>
          <w:tab w:val="left" w:pos="2835"/>
        </w:tabs>
      </w:pPr>
      <w:r>
        <w:tab/>
        <w:t>Por otra parte, Mauricio Adrián Barr</w:t>
      </w:r>
      <w:r>
        <w:t>e</w:t>
      </w:r>
      <w:r>
        <w:t>ra corroboró en el debate los extremos consignados en el acta e identificó la pieza nº 34 como aquella que secue</w:t>
      </w:r>
      <w:r>
        <w:t>s</w:t>
      </w:r>
      <w:r>
        <w:t>tró en las circunstancias allí s</w:t>
      </w:r>
      <w:r>
        <w:t>e</w:t>
      </w:r>
      <w:r>
        <w:t>ñaladas.</w:t>
      </w:r>
    </w:p>
    <w:p w:rsidR="00224567" w:rsidRDefault="00224567">
      <w:pPr>
        <w:pStyle w:val="Textoindependiente2"/>
        <w:widowControl w:val="0"/>
        <w:tabs>
          <w:tab w:val="left" w:pos="2835"/>
        </w:tabs>
        <w:rPr>
          <w:rFonts w:ascii="Courier New" w:hAnsi="Courier New" w:cs="Courier New"/>
          <w:szCs w:val="24"/>
        </w:rPr>
      </w:pPr>
      <w:r>
        <w:rPr>
          <w:rFonts w:ascii="Courier New" w:hAnsi="Courier New" w:cs="Courier New"/>
          <w:szCs w:val="24"/>
        </w:rPr>
        <w:tab/>
        <w:t>Completa dicho cuadro el peritaje agregado a fs. 51 del Informe Preliminar, en el que se concluye que en “una pieza metálica de formato plano ala</w:t>
      </w:r>
      <w:r>
        <w:rPr>
          <w:rFonts w:ascii="Courier New" w:hAnsi="Courier New" w:cs="Courier New"/>
          <w:szCs w:val="24"/>
        </w:rPr>
        <w:t>r</w:t>
      </w:r>
      <w:r>
        <w:rPr>
          <w:rFonts w:ascii="Courier New" w:hAnsi="Courier New" w:cs="Courier New"/>
          <w:szCs w:val="24"/>
        </w:rPr>
        <w:t xml:space="preserve">gado, de aproximadamente </w:t>
      </w:r>
      <w:smartTag w:uri="urn:schemas-microsoft-com:office:smarttags" w:element="metricconverter">
        <w:smartTagPr>
          <w:attr w:name="ProductID" w:val="6 cm"/>
        </w:smartTagPr>
        <w:r>
          <w:rPr>
            <w:rFonts w:ascii="Courier New" w:hAnsi="Courier New" w:cs="Courier New"/>
            <w:szCs w:val="24"/>
          </w:rPr>
          <w:t>6 cm</w:t>
        </w:r>
      </w:smartTag>
      <w:r>
        <w:rPr>
          <w:rFonts w:ascii="Courier New" w:hAnsi="Courier New" w:cs="Courier New"/>
          <w:szCs w:val="24"/>
        </w:rPr>
        <w:t xml:space="preserve"> de ancho x </w:t>
      </w:r>
      <w:smartTag w:uri="urn:schemas-microsoft-com:office:smarttags" w:element="metricconverter">
        <w:smartTagPr>
          <w:attr w:name="ProductID" w:val="1,20 m"/>
        </w:smartTagPr>
        <w:r>
          <w:rPr>
            <w:rFonts w:ascii="Courier New" w:hAnsi="Courier New" w:cs="Courier New"/>
            <w:szCs w:val="24"/>
          </w:rPr>
          <w:t>1,20 m</w:t>
        </w:r>
      </w:smartTag>
      <w:r>
        <w:rPr>
          <w:rFonts w:ascii="Courier New" w:hAnsi="Courier New" w:cs="Courier New"/>
          <w:szCs w:val="24"/>
        </w:rPr>
        <w:t xml:space="preserve"> de largo, presentando desgarramiento en sus extremos (s</w:t>
      </w:r>
      <w:r>
        <w:rPr>
          <w:rFonts w:ascii="Courier New" w:hAnsi="Courier New" w:cs="Courier New"/>
          <w:szCs w:val="24"/>
        </w:rPr>
        <w:t>í</w:t>
      </w:r>
      <w:r>
        <w:rPr>
          <w:rFonts w:ascii="Courier New" w:hAnsi="Courier New" w:cs="Courier New"/>
          <w:szCs w:val="24"/>
        </w:rPr>
        <w:t>mil hoja de elástico de vehículo)” se encontraron vestigios de nitr</w:t>
      </w:r>
      <w:r>
        <w:rPr>
          <w:rFonts w:ascii="Courier New" w:hAnsi="Courier New" w:cs="Courier New"/>
          <w:szCs w:val="24"/>
        </w:rPr>
        <w:t>a</w:t>
      </w:r>
      <w:r>
        <w:rPr>
          <w:rFonts w:ascii="Courier New" w:hAnsi="Courier New" w:cs="Courier New"/>
          <w:szCs w:val="24"/>
        </w:rPr>
        <w:t>to, nitrito y amonio, además de aluminio elemental; comp</w:t>
      </w:r>
      <w:r>
        <w:rPr>
          <w:rFonts w:ascii="Courier New" w:hAnsi="Courier New" w:cs="Courier New"/>
          <w:szCs w:val="24"/>
        </w:rPr>
        <w:t>o</w:t>
      </w:r>
      <w:r>
        <w:rPr>
          <w:rFonts w:ascii="Courier New" w:hAnsi="Courier New" w:cs="Courier New"/>
          <w:szCs w:val="24"/>
        </w:rPr>
        <w:t>nentes éstos del explosivo den</w:t>
      </w:r>
      <w:r>
        <w:rPr>
          <w:rFonts w:ascii="Courier New" w:hAnsi="Courier New" w:cs="Courier New"/>
          <w:szCs w:val="24"/>
        </w:rPr>
        <w:t>o</w:t>
      </w:r>
      <w:r>
        <w:rPr>
          <w:rFonts w:ascii="Courier New" w:hAnsi="Courier New" w:cs="Courier New"/>
          <w:szCs w:val="24"/>
        </w:rPr>
        <w:t>minado “amonal”.</w:t>
      </w:r>
    </w:p>
    <w:p w:rsidR="00224567" w:rsidRDefault="00224567">
      <w:pPr>
        <w:widowControl w:val="0"/>
        <w:tabs>
          <w:tab w:val="left" w:pos="2835"/>
        </w:tabs>
      </w:pPr>
      <w:r>
        <w:tab/>
        <w:t>Es del caso advertir que del t</w:t>
      </w:r>
      <w:r>
        <w:t>o</w:t>
      </w:r>
      <w:r>
        <w:t>tal de hojas de elásticos secuestradas, la identif</w:t>
      </w:r>
      <w:r>
        <w:t>i</w:t>
      </w:r>
      <w:r>
        <w:t>cada con el nº 34 es la única que presenta desgarramientos en sus extr</w:t>
      </w:r>
      <w:r>
        <w:t>e</w:t>
      </w:r>
      <w:r>
        <w:t>mos y si bien en el estudio de fs. 51 se consignó que la pieza de mención se recibió dentro de una bolsa de pol</w:t>
      </w:r>
      <w:r>
        <w:t>i</w:t>
      </w:r>
      <w:r>
        <w:t>etileno señalizada con el nº 11, dicha numeración respo</w:t>
      </w:r>
      <w:r>
        <w:t>n</w:t>
      </w:r>
      <w:r>
        <w:t>día, en realidad, a la identificación que de las piezas efectuó el personal bomberos al momento de su secuestro, anterior a la realizada por “CIADEA S.A.”.</w:t>
      </w:r>
    </w:p>
    <w:p w:rsidR="00224567" w:rsidRDefault="00224567">
      <w:pPr>
        <w:widowControl w:val="0"/>
        <w:tabs>
          <w:tab w:val="left" w:pos="2835"/>
        </w:tabs>
      </w:pPr>
      <w:r>
        <w:tab/>
        <w:t>Por último, la contradicción a que aludió la defensa no es tal, puesto que el lugar en que se halló el elástico, según el estudio de fs. 110vta., resu</w:t>
      </w:r>
      <w:r>
        <w:t>l</w:t>
      </w:r>
      <w:r>
        <w:t xml:space="preserve">ta próximo al que consignó Mauricio Barrera, toda vez que el edificio con entrada en la calle Tucumán 2307/2311 se extiende, paralelo, a lo largo de la calle Pasteur al </w:t>
      </w:r>
      <w:smartTag w:uri="urn:schemas-microsoft-com:office:smarttags" w:element="metricconverter">
        <w:smartTagPr>
          <w:attr w:name="ProductID" w:val="600, a"/>
        </w:smartTagPr>
        <w:r>
          <w:t>600, a</w:t>
        </w:r>
      </w:smartTag>
      <w:r>
        <w:t xml:space="preserve"> pocos metros de su acera, según se desprende del plano de fs. 238 del Informe Preliminar; proximidad de la cual ta</w:t>
      </w:r>
      <w:r>
        <w:t>m</w:t>
      </w:r>
      <w:r>
        <w:t>bién ilustra la fotografía glosada a fs. 1177.</w:t>
      </w:r>
    </w:p>
    <w:p w:rsidR="00224567" w:rsidRDefault="00224567">
      <w:pPr>
        <w:pStyle w:val="Sangradetextonormal"/>
        <w:widowControl w:val="0"/>
        <w:ind w:firstLine="0"/>
      </w:pPr>
      <w:r>
        <w:tab/>
      </w:r>
      <w:r>
        <w:rPr>
          <w:b/>
          <w:bCs/>
        </w:rPr>
        <w:t>B.5)</w:t>
      </w:r>
      <w:r>
        <w:t xml:space="preserve"> La defensa del imputado Raúl Ed</w:t>
      </w:r>
      <w:r>
        <w:t>i</w:t>
      </w:r>
      <w:r>
        <w:t>lio Ibarra cuestionó los secuestros practicados en el pr</w:t>
      </w:r>
      <w:r>
        <w:t>e</w:t>
      </w:r>
      <w:r>
        <w:t>dio de la llamada Ciudad Universitaria, protocolizados a fs. 232 del Informe Preliminar y 5 y 7 del Informe Final, por entender que, en un caso, se requirió como testigo a una persona que se encontraba alcoholizada, en tanto que en los otros, los testigos consignados en las actas man</w:t>
      </w:r>
      <w:r>
        <w:t>i</w:t>
      </w:r>
      <w:r>
        <w:t>festaron no haber presenciado los supuestos hallazgos.</w:t>
      </w:r>
    </w:p>
    <w:p w:rsidR="00224567" w:rsidRDefault="00224567">
      <w:pPr>
        <w:pStyle w:val="Sangradetextonormal"/>
        <w:widowControl w:val="0"/>
        <w:ind w:firstLine="0"/>
      </w:pPr>
      <w:r>
        <w:tab/>
        <w:t>Asimismo, argumentó que los e</w:t>
      </w:r>
      <w:r>
        <w:t>s</w:t>
      </w:r>
      <w:r>
        <w:t>combros no fueron debidamente custodiados durante su traslado de</w:t>
      </w:r>
      <w:r>
        <w:t>s</w:t>
      </w:r>
      <w:r>
        <w:t>de la calle Pasteur, como así tampoco una vez que fueron depositados en el predio en cuestión, impidiendo tal ci</w:t>
      </w:r>
      <w:r>
        <w:t>r</w:t>
      </w:r>
      <w:r>
        <w:t>cunstancia otorgarles algún valor a las evidencias que allí fueron halladas.</w:t>
      </w:r>
    </w:p>
    <w:p w:rsidR="00224567" w:rsidRDefault="00224567">
      <w:pPr>
        <w:pStyle w:val="Sangradetextonormal"/>
        <w:widowControl w:val="0"/>
        <w:ind w:firstLine="0"/>
      </w:pPr>
      <w:r>
        <w:tab/>
        <w:t>Sin perjuicio de que la defensa no ha demostrado -ni intentó hacerlo- que incidencia en la ide</w:t>
      </w:r>
      <w:r>
        <w:t>n</w:t>
      </w:r>
      <w:r>
        <w:t>tificación del cochebomba tuvieron las piezas de cuyo h</w:t>
      </w:r>
      <w:r>
        <w:t>a</w:t>
      </w:r>
      <w:r>
        <w:t>llazgo dieron cuenta las actas de referencia, argumento suficiente para rechazar dicho planteo, cabe señalar que las razones invocadas por el preventor que confeccionó el acta de fs. 7, para dejar de lado la exigencia impuesta en el art. 138 del ordenamiento pr</w:t>
      </w:r>
      <w:r>
        <w:t>o</w:t>
      </w:r>
      <w:r>
        <w:t>cesal, resultan plenamente ate</w:t>
      </w:r>
      <w:r>
        <w:t>n</w:t>
      </w:r>
      <w:r>
        <w:t>dibles, en virtud que la diligencia se llevó a cabo en un lugar desolado, de d</w:t>
      </w:r>
      <w:r>
        <w:t>i</w:t>
      </w:r>
      <w:r>
        <w:t xml:space="preserve">fícil acceso, a orillas del Río de </w:t>
      </w:r>
      <w:smartTag w:uri="urn:schemas-microsoft-com:office:smarttags" w:element="PersonName">
        <w:smartTagPr>
          <w:attr w:name="ProductID" w:val="La Plata."/>
        </w:smartTagPr>
        <w:r>
          <w:t>la Plata.</w:t>
        </w:r>
      </w:smartTag>
    </w:p>
    <w:p w:rsidR="00224567" w:rsidRDefault="00224567">
      <w:pPr>
        <w:pStyle w:val="Sangradetextonormal"/>
        <w:widowControl w:val="0"/>
        <w:ind w:firstLine="0"/>
      </w:pPr>
      <w:r>
        <w:tab/>
        <w:t>En ese sentido, cabe recordar que en la mencionada acta se consignó la asistencia de un solo testigo -David Tomás González Espinosa- por no haberse h</w:t>
      </w:r>
      <w:r>
        <w:t>a</w:t>
      </w:r>
      <w:r>
        <w:t>llado otro “por sitio difícil acceso” (sic); diligencia que el oficial Alberto Tomás Scalise ratificó íntegrame</w:t>
      </w:r>
      <w:r>
        <w:t>n</w:t>
      </w:r>
      <w:r>
        <w:t>te, reconociendo su firma.</w:t>
      </w:r>
    </w:p>
    <w:p w:rsidR="00224567" w:rsidRDefault="00224567">
      <w:pPr>
        <w:pStyle w:val="Sangradetextonormal"/>
        <w:widowControl w:val="0"/>
        <w:ind w:firstLine="0"/>
      </w:pPr>
      <w:r>
        <w:tab/>
        <w:t>Además, aun cuando se admitiera como cierto el supuesto estado de embriaguez aludido por la d</w:t>
      </w:r>
      <w:r>
        <w:t>e</w:t>
      </w:r>
      <w:r>
        <w:t>fensa, basado en meras afirmaciones del testigo carentes de otro respaldo, ello tampoco autoriza a invalidar la d</w:t>
      </w:r>
      <w:r>
        <w:t>i</w:t>
      </w:r>
      <w:r>
        <w:t>ligencia de marras por resultar de estri</w:t>
      </w:r>
      <w:r>
        <w:t>c</w:t>
      </w:r>
      <w:r>
        <w:t>ta aplicación la doctrina sentada por este tribunal en el precedente “Oj</w:t>
      </w:r>
      <w:r>
        <w:t>e</w:t>
      </w:r>
      <w:r>
        <w:t xml:space="preserve">da, Marcelo Gustavo y otros”, mencionado </w:t>
      </w:r>
      <w:r>
        <w:rPr>
          <w:u w:val="single"/>
        </w:rPr>
        <w:t>ut supra</w:t>
      </w:r>
      <w:r>
        <w:t>; crit</w:t>
      </w:r>
      <w:r>
        <w:t>e</w:t>
      </w:r>
      <w:r>
        <w:t>rio que también permite desechar la nulidad de las actas de fs. 232 del Informe Preliminar y de fs. 5 del Informe Final por cuanto fluye evidente la dificultad, rayana en lo impracticable, que significaba para los inve</w:t>
      </w:r>
      <w:r>
        <w:t>s</w:t>
      </w:r>
      <w:r>
        <w:t>tigadores atender en ese desolado lugar y d</w:t>
      </w:r>
      <w:r>
        <w:t>u</w:t>
      </w:r>
      <w:r>
        <w:t>rante los seis meses en que se prolongó la afanosa búsqueda de evidencias, la ex</w:t>
      </w:r>
      <w:r>
        <w:t>i</w:t>
      </w:r>
      <w:r>
        <w:t>gencia contenida en el mentado art. 138.</w:t>
      </w:r>
    </w:p>
    <w:p w:rsidR="00224567" w:rsidRDefault="00224567">
      <w:pPr>
        <w:pStyle w:val="Sangradetextonormal"/>
        <w:widowControl w:val="0"/>
        <w:ind w:firstLine="0"/>
      </w:pPr>
      <w:r>
        <w:tab/>
        <w:t>A ello caben añadirse los test</w:t>
      </w:r>
      <w:r>
        <w:t>i</w:t>
      </w:r>
      <w:r>
        <w:t>monios vertidos sobre el particular por Walter Ostapowicz, Marc</w:t>
      </w:r>
      <w:r>
        <w:t>e</w:t>
      </w:r>
      <w:r>
        <w:t>lo Debiassi y Claudio Kirianovicz (cónfr. apartado A.11 del presente), sin que ninguna circunstancia autorice a cuestionar sus dichos.</w:t>
      </w:r>
    </w:p>
    <w:p w:rsidR="00224567" w:rsidRDefault="00224567">
      <w:pPr>
        <w:widowControl w:val="0"/>
      </w:pPr>
      <w:r>
        <w:tab/>
      </w:r>
      <w:r>
        <w:rPr>
          <w:b/>
          <w:bCs/>
        </w:rPr>
        <w:t>B.6)</w:t>
      </w:r>
      <w:r>
        <w:t xml:space="preserve"> </w:t>
      </w:r>
      <w:r>
        <w:rPr>
          <w:lang w:val="es-ES_tradnl"/>
        </w:rPr>
        <w:t>Finalmente, en lo que re</w:t>
      </w:r>
      <w:r>
        <w:rPr>
          <w:lang w:val="es-ES_tradnl"/>
        </w:rPr>
        <w:t>s</w:t>
      </w:r>
      <w:r>
        <w:rPr>
          <w:lang w:val="es-ES_tradnl"/>
        </w:rPr>
        <w:t>pecta al presente capítulo, la defensa de Carlos Alberto T</w:t>
      </w:r>
      <w:r>
        <w:rPr>
          <w:lang w:val="es-ES_tradnl"/>
        </w:rPr>
        <w:t>e</w:t>
      </w:r>
      <w:r>
        <w:rPr>
          <w:lang w:val="es-ES_tradnl"/>
        </w:rPr>
        <w:t xml:space="preserve">lleldín señaló que </w:t>
      </w:r>
      <w:r>
        <w:t>una vez que su asistido y otras personas se e</w:t>
      </w:r>
      <w:r>
        <w:t>n</w:t>
      </w:r>
      <w:r>
        <w:t>contraban detenidas e indagadas como autores del atent</w:t>
      </w:r>
      <w:r>
        <w:t>a</w:t>
      </w:r>
      <w:r>
        <w:t>do “nunca se los notificó de la realización de las per</w:t>
      </w:r>
      <w:r>
        <w:t>i</w:t>
      </w:r>
      <w:r>
        <w:t>cias, nunca se les puso en conocimiento que tenían el d</w:t>
      </w:r>
      <w:r>
        <w:t>e</w:t>
      </w:r>
      <w:r>
        <w:t>recho de designar un perito de parte, tal como lo había hecho la querella” y que “la falta de notificación de la realiz</w:t>
      </w:r>
      <w:r>
        <w:t>a</w:t>
      </w:r>
      <w:r>
        <w:t>ción de las per</w:t>
      </w:r>
      <w:r>
        <w:t>i</w:t>
      </w:r>
      <w:r>
        <w:t>cias, lleva a solicitar la nulidad de las mismas, en virtud de lo normado en el artículo 258 del C.P.P.N.”. Sostuvo, además, que la nulidad era absol</w:t>
      </w:r>
      <w:r>
        <w:t>u</w:t>
      </w:r>
      <w:r>
        <w:t>ta.</w:t>
      </w:r>
    </w:p>
    <w:p w:rsidR="00224567" w:rsidRDefault="00224567">
      <w:pPr>
        <w:widowControl w:val="0"/>
      </w:pPr>
      <w:r>
        <w:tab/>
        <w:t>Expresó, por último, que el perju</w:t>
      </w:r>
      <w:r>
        <w:t>i</w:t>
      </w:r>
      <w:r>
        <w:t>cio que acarrea el apartamiento de la regla procesal “se tr</w:t>
      </w:r>
      <w:r>
        <w:t>a</w:t>
      </w:r>
      <w:r>
        <w:t>duce en la forma irregular en que se hicieron las per</w:t>
      </w:r>
      <w:r>
        <w:t>i</w:t>
      </w:r>
      <w:r>
        <w:t>cias, en la imposibilidad de controlar la realización de la prueba, como garantía constitucional”.</w:t>
      </w:r>
    </w:p>
    <w:p w:rsidR="00224567" w:rsidRDefault="00224567">
      <w:pPr>
        <w:widowControl w:val="0"/>
      </w:pPr>
      <w:r>
        <w:tab/>
        <w:t>El planteo de nulidad formulado en t</w:t>
      </w:r>
      <w:r>
        <w:t>a</w:t>
      </w:r>
      <w:r>
        <w:t>les términos no habrá de tener acogida en tanto la defensa omitió precisar con exactitud el medio de prueba impugn</w:t>
      </w:r>
      <w:r>
        <w:t>a</w:t>
      </w:r>
      <w:r>
        <w:t>do, razón que impide al tribunal av</w:t>
      </w:r>
      <w:r>
        <w:t>o</w:t>
      </w:r>
      <w:r>
        <w:t>carse a su estudio.</w:t>
      </w:r>
    </w:p>
    <w:p w:rsidR="00224567" w:rsidRDefault="00224567">
      <w:pPr>
        <w:widowControl w:val="0"/>
      </w:pPr>
    </w:p>
    <w:p w:rsidR="00224567" w:rsidRDefault="00224567">
      <w:pPr>
        <w:pStyle w:val="Ttulo2"/>
        <w:keepNext w:val="0"/>
        <w:widowControl w:val="0"/>
      </w:pPr>
      <w:r>
        <w:t>CAPÍTULO VI</w:t>
      </w:r>
    </w:p>
    <w:p w:rsidR="00224567" w:rsidRDefault="00224567">
      <w:pPr>
        <w:widowControl w:val="0"/>
      </w:pPr>
    </w:p>
    <w:p w:rsidR="00224567" w:rsidRDefault="00224567">
      <w:pPr>
        <w:pStyle w:val="Ttulo3"/>
        <w:keepNext w:val="0"/>
        <w:widowControl w:val="0"/>
      </w:pPr>
      <w:bookmarkStart w:id="3" w:name="_Toc86053015"/>
      <w:r>
        <w:t xml:space="preserve">A) </w:t>
      </w:r>
      <w:smartTag w:uri="urn:schemas-microsoft-com:office:smarttags" w:element="PersonName">
        <w:smartTagPr>
          <w:attr w:name="ProductID" w:val="la Trafic"/>
        </w:smartTagPr>
        <w:r>
          <w:t>La Trafic</w:t>
        </w:r>
      </w:smartTag>
      <w:r>
        <w:t xml:space="preserve"> de “Messin”</w:t>
      </w:r>
      <w:bookmarkEnd w:id="3"/>
      <w:r>
        <w:t>.</w:t>
      </w:r>
    </w:p>
    <w:p w:rsidR="00224567" w:rsidRDefault="00224567">
      <w:pPr>
        <w:widowControl w:val="0"/>
      </w:pPr>
      <w:r>
        <w:tab/>
      </w:r>
      <w:r>
        <w:rPr>
          <w:b/>
          <w:bCs/>
        </w:rPr>
        <w:t>A.1)</w:t>
      </w:r>
      <w:r>
        <w:t xml:space="preserve"> La prueba producida en el contr</w:t>
      </w:r>
      <w:r>
        <w:t>a</w:t>
      </w:r>
      <w:r>
        <w:t xml:space="preserve">dictorio, con más la incorporada de conformidad con los arts. 391 y 392 del Código Procesal Penal de </w:t>
      </w:r>
      <w:smartTag w:uri="urn:schemas-microsoft-com:office:smarttags" w:element="PersonName">
        <w:smartTagPr>
          <w:attr w:name="ProductID" w:val="la Naci￳n"/>
        </w:smartTagPr>
        <w:r>
          <w:t>la Nación</w:t>
        </w:r>
      </w:smartTag>
      <w:r>
        <w:t>, acreditó que el bloque de motor nº 2.831.467, hallado e</w:t>
      </w:r>
      <w:r>
        <w:t>n</w:t>
      </w:r>
      <w:r>
        <w:t xml:space="preserve">tre los escombros del edificio de la sede de </w:t>
      </w:r>
      <w:smartTag w:uri="urn:schemas-microsoft-com:office:smarttags" w:element="PersonName">
        <w:smartTagPr>
          <w:attr w:name="ProductID" w:val="la Asociaci￳n Mutual"/>
        </w:smartTagPr>
        <w:r>
          <w:t>la As</w:t>
        </w:r>
        <w:r>
          <w:t>o</w:t>
        </w:r>
        <w:r>
          <w:t>ciación Mutual</w:t>
        </w:r>
      </w:smartTag>
      <w:r>
        <w:t xml:space="preserve"> Israelita Argentina, pertenecía originariamente a un vehículo marca Renault, modelo Trafic, patentado en 1990, dominio C 1.498.506, carrocería T310-003325, de ch</w:t>
      </w:r>
      <w:r>
        <w:t>a</w:t>
      </w:r>
      <w:r>
        <w:t>sis corto, color “blanco ch</w:t>
      </w:r>
      <w:r>
        <w:t>a</w:t>
      </w:r>
      <w:r>
        <w:t xml:space="preserve">pelco”, motor a nafta </w:t>
      </w:r>
      <w:r>
        <w:rPr>
          <w:bCs/>
        </w:rPr>
        <w:t>de 1400 cm³ de cilindrada, provisto de equipo de gas</w:t>
      </w:r>
      <w:r>
        <w:t>, de furgón cerrado, con puerta lateral, cuyo titular regi</w:t>
      </w:r>
      <w:r>
        <w:t>s</w:t>
      </w:r>
      <w:r>
        <w:t>tral fue la firma “Messin S.R.L.” –integrada por Daniel Aaron Cassin e Isaac Pedro Meta- y cuyo último tenedor conocido fue Ca</w:t>
      </w:r>
      <w:r>
        <w:t>r</w:t>
      </w:r>
      <w:r>
        <w:t>los Alberto Telle</w:t>
      </w:r>
      <w:r>
        <w:t>l</w:t>
      </w:r>
      <w:r>
        <w:t>dín.</w:t>
      </w:r>
    </w:p>
    <w:p w:rsidR="00224567" w:rsidRDefault="00224567">
      <w:pPr>
        <w:widowControl w:val="0"/>
      </w:pPr>
      <w:r>
        <w:tab/>
      </w:r>
      <w:r>
        <w:tab/>
        <w:t>Asimismo, se determinó que el 7 de marzo de 1994, dicha camioneta se incendió en la playa de estacionamiento sita en Alsina al 1800 de esta ciudad, h</w:t>
      </w:r>
      <w:r>
        <w:t>a</w:t>
      </w:r>
      <w:r>
        <w:t>ciéndose cargo del siniestro la compañía “Solvencia” pe</w:t>
      </w:r>
      <w:r>
        <w:t>r</w:t>
      </w:r>
      <w:r>
        <w:t>teneciente al “Grupo Juncal”, asegurad</w:t>
      </w:r>
      <w:r>
        <w:t>o</w:t>
      </w:r>
      <w:r>
        <w:t>ra del rodado y que a resultas de la pérdida, la propietaria recibió USD 16.000 en concepto de indemniz</w:t>
      </w:r>
      <w:r>
        <w:t>a</w:t>
      </w:r>
      <w:r>
        <w:t>ción, de los cuales 13.000 fueron abonados por la compañía as</w:t>
      </w:r>
      <w:r>
        <w:t>e</w:t>
      </w:r>
      <w:r>
        <w:t>guradora el 21 de abril de ese año –previo descuento de algunas cuotas adeudadas por la póliza de seguro- y los USD 3000 re</w:t>
      </w:r>
      <w:r>
        <w:t>s</w:t>
      </w:r>
      <w:r>
        <w:t>tantes el 29 de ese mismo mes y año por la agencia “Automotores Alejandro S.R.L.”, empresa de Alejandro Monjo dedicada a la come</w:t>
      </w:r>
      <w:r>
        <w:t>r</w:t>
      </w:r>
      <w:r>
        <w:t>cialización de rodados sinie</w:t>
      </w:r>
      <w:r>
        <w:t>s</w:t>
      </w:r>
      <w:r>
        <w:t>trados.</w:t>
      </w:r>
    </w:p>
    <w:p w:rsidR="00224567" w:rsidRDefault="00224567">
      <w:pPr>
        <w:widowControl w:val="0"/>
      </w:pPr>
      <w:r>
        <w:tab/>
        <w:t xml:space="preserve">Así, se estableció que “Automotores Alejandro” adquirió los restos de </w:t>
      </w:r>
      <w:smartTag w:uri="urn:schemas-microsoft-com:office:smarttags" w:element="PersonName">
        <w:smartTagPr>
          <w:attr w:name="ProductID" w:val="la Trafic"/>
        </w:smartTagPr>
        <w:r>
          <w:t>la Trafic</w:t>
        </w:r>
      </w:smartTag>
      <w:r>
        <w:t xml:space="preserve"> incendiada, que fueron retirados por Luis González el 23 de marzo; a su vez, estos fueron comprados en el mismo estado en que se encontraban por Carlos Telleldín bajo el nombre de Ca</w:t>
      </w:r>
      <w:r>
        <w:t>r</w:t>
      </w:r>
      <w:r>
        <w:t>los Alberto “Teccedin”, operación que se instrumentó m</w:t>
      </w:r>
      <w:r>
        <w:t>e</w:t>
      </w:r>
      <w:r>
        <w:t xml:space="preserve">diante factura del 4 de julio de 1994. La transferencia por parte de “Messin S.R.L.” a “Automotores Alejandro”, como la de esta agencia al imputado Telleldín no fueron inscriptas en el Registro de </w:t>
      </w:r>
      <w:smartTag w:uri="urn:schemas-microsoft-com:office:smarttags" w:element="PersonName">
        <w:smartTagPr>
          <w:attr w:name="ProductID" w:val="la Propiedad Automotor."/>
        </w:smartTagPr>
        <w:r>
          <w:t>la Propiedad Aut</w:t>
        </w:r>
        <w:r>
          <w:t>o</w:t>
        </w:r>
        <w:r>
          <w:t>motor.</w:t>
        </w:r>
      </w:smartTag>
    </w:p>
    <w:p w:rsidR="00224567" w:rsidRDefault="00224567">
      <w:pPr>
        <w:widowControl w:val="0"/>
      </w:pPr>
      <w:r>
        <w:tab/>
        <w:t>A continuación se detallarán los p</w:t>
      </w:r>
      <w:r>
        <w:t>a</w:t>
      </w:r>
      <w:r>
        <w:t>sos que siguieron los encargados de la investigación en proc</w:t>
      </w:r>
      <w:r>
        <w:t>u</w:t>
      </w:r>
      <w:r>
        <w:t>ra de establecer la identidad y, consecuentemente, el d</w:t>
      </w:r>
      <w:r>
        <w:t>o</w:t>
      </w:r>
      <w:r>
        <w:t>micilio de quien era el último tenedor conocido del vehículo cuyo motor fue hallado entre las ruinas de la s</w:t>
      </w:r>
      <w:r>
        <w:t>e</w:t>
      </w:r>
      <w:r>
        <w:t xml:space="preserve">de de </w:t>
      </w:r>
      <w:smartTag w:uri="urn:schemas-microsoft-com:office:smarttags" w:element="PersonName">
        <w:smartTagPr>
          <w:attr w:name="ProductID" w:val="la A.M"/>
        </w:smartTagPr>
        <w:r>
          <w:t>la A.M</w:t>
        </w:r>
      </w:smartTag>
      <w:r>
        <w:t>.I.A.; explicación que echa por tierra las o</w:t>
      </w:r>
      <w:r>
        <w:t>b</w:t>
      </w:r>
      <w:r>
        <w:t>jeciones que a tal cometido alzaron la defensa de Telle</w:t>
      </w:r>
      <w:r>
        <w:t>l</w:t>
      </w:r>
      <w:r>
        <w:t>dín y aquella a cargo del Dr. Valle.</w:t>
      </w:r>
    </w:p>
    <w:p w:rsidR="00224567" w:rsidRDefault="00224567">
      <w:pPr>
        <w:widowControl w:val="0"/>
      </w:pPr>
      <w:r>
        <w:tab/>
      </w:r>
      <w:r>
        <w:rPr>
          <w:b/>
          <w:bCs/>
        </w:rPr>
        <w:t>A.2)</w:t>
      </w:r>
      <w:r>
        <w:t xml:space="preserve"> Lo expuesto encuentra su</w:t>
      </w:r>
      <w:r>
        <w:t>s</w:t>
      </w:r>
      <w:r>
        <w:t xml:space="preserve">tento en las declaraciones testimoniales de Carlos Néstor López, Raúl Arbor, Daniel Alberto Helguero, Rubén Ramón Fígoli Ibáñez, Aldo Alfredo Álvarez, </w:t>
      </w:r>
      <w:r>
        <w:rPr>
          <w:bCs/>
        </w:rPr>
        <w:t>F</w:t>
      </w:r>
      <w:r>
        <w:rPr>
          <w:bCs/>
        </w:rPr>
        <w:t>a</w:t>
      </w:r>
      <w:r>
        <w:rPr>
          <w:bCs/>
        </w:rPr>
        <w:t>bián Gabriel Prado,</w:t>
      </w:r>
      <w:r>
        <w:t xml:space="preserve"> Jorge Luis Lucas, Horacio Antonio Stiuso, Néstor Ricardo Herná</w:t>
      </w:r>
      <w:r>
        <w:t>n</w:t>
      </w:r>
      <w:r>
        <w:t>dez, Roberto Jorge Saller, Luis Domingo Delizia, Daniel Alberto Fernández, Roberto Samuel Cassin, Daniel Aaron Cassin, Hugo Sergio Bottale, Isaac Pedro Meta, Luis Albe</w:t>
      </w:r>
      <w:r>
        <w:t>r</w:t>
      </w:r>
      <w:r>
        <w:t>to Salinas, Marcelo Adrián Mariani, Juan José Horacio Or</w:t>
      </w:r>
      <w:r>
        <w:t>i</w:t>
      </w:r>
      <w:r>
        <w:t>be, Marcelo Ángel Aguirre, Helmut Germán Windisch, Luis Alberto González, Roberto Christian Orlando, Roberto Fra</w:t>
      </w:r>
      <w:r>
        <w:t>n</w:t>
      </w:r>
      <w:r>
        <w:t>cisco Orlando, Hugo Antonio Tortorella, Rolando San</w:t>
      </w:r>
      <w:r>
        <w:t>a</w:t>
      </w:r>
      <w:r>
        <w:t>bria, Eusebio Sanabria, Gualberto Quintín Rocha Siles, J</w:t>
      </w:r>
      <w:r>
        <w:t>o</w:t>
      </w:r>
      <w:r>
        <w:t>sé Luis González, Carlos Alberto Be</w:t>
      </w:r>
      <w:r>
        <w:t>r</w:t>
      </w:r>
      <w:r>
        <w:t>tazzo, Fernando José Bardanca, Ana María Boragni, Alfredo Daniel Díaz, Oscar Jorge Príc</w:t>
      </w:r>
      <w:r>
        <w:t>o</w:t>
      </w:r>
      <w:r>
        <w:t>lo, M</w:t>
      </w:r>
      <w:r>
        <w:t>a</w:t>
      </w:r>
      <w:r>
        <w:t>riano Alberto Durand, María Ester Bruzzo, Alejandra Ema Fescina, Gerardo Ce</w:t>
      </w:r>
      <w:r>
        <w:t>l</w:t>
      </w:r>
      <w:r>
        <w:t>so Luppi, Mirta Lilia Mazzitelli y Carlos Edgardo Co</w:t>
      </w:r>
      <w:r>
        <w:t>p</w:t>
      </w:r>
      <w:r>
        <w:t>pini.</w:t>
      </w:r>
    </w:p>
    <w:p w:rsidR="00224567" w:rsidRDefault="00224567">
      <w:pPr>
        <w:widowControl w:val="0"/>
        <w:rPr>
          <w:bCs/>
        </w:rPr>
      </w:pPr>
      <w:r>
        <w:tab/>
        <w:t>A tales piezas habrán de adunarse el legajo B del dominio C 1.498.506 del Registro Naci</w:t>
      </w:r>
      <w:r>
        <w:t>o</w:t>
      </w:r>
      <w:r>
        <w:t xml:space="preserve">nal de </w:t>
      </w:r>
      <w:smartTag w:uri="urn:schemas-microsoft-com:office:smarttags" w:element="PersonName">
        <w:smartTagPr>
          <w:attr w:name="ProductID" w:val="la Propiedad"/>
        </w:smartTagPr>
        <w:r>
          <w:t>la Propiedad</w:t>
        </w:r>
      </w:smartTag>
      <w:r>
        <w:t xml:space="preserve"> del Automotor nº 50; las fotografías de fs. 231/239, </w:t>
      </w:r>
      <w:r>
        <w:rPr>
          <w:rFonts w:eastAsia="Arial Unicode MS"/>
          <w:spacing w:val="-3"/>
        </w:rPr>
        <w:t xml:space="preserve">265/266, </w:t>
      </w:r>
      <w:r>
        <w:t>4315 y 29.140/29.152; las constancias obrantes  a  fs.  215,  221  y  272;  las  n</w:t>
      </w:r>
      <w:r>
        <w:t>o</w:t>
      </w:r>
      <w:r>
        <w:t>tas  glosadas  a  fs.  9862/9863,  9997,  11.771/11.774,  12.804,  27.872, 28.201/28.203  y  29.690/29.691;  la  document</w:t>
      </w:r>
      <w:r>
        <w:t>a</w:t>
      </w:r>
      <w:r>
        <w:t xml:space="preserve">ción –originales o copias- agregada a fs. 227/230, 276, 290/296, 307, 309/310, 363/364, 2976, </w:t>
      </w:r>
      <w:r>
        <w:rPr>
          <w:rFonts w:eastAsia="Arial Unicode MS"/>
          <w:spacing w:val="-3"/>
        </w:rPr>
        <w:t>4316/4326</w:t>
      </w:r>
      <w:r>
        <w:t xml:space="preserve"> y 27.834/27.839; el croquis de fs. 30.104; las actas de allanamiento que lucen a fs. 362 y 6952/6956; </w:t>
      </w:r>
      <w:r>
        <w:rPr>
          <w:rFonts w:eastAsia="Arial Unicode MS"/>
          <w:spacing w:val="-3"/>
        </w:rPr>
        <w:t>la docume</w:t>
      </w:r>
      <w:r>
        <w:rPr>
          <w:rFonts w:eastAsia="Arial Unicode MS"/>
          <w:spacing w:val="-3"/>
        </w:rPr>
        <w:t>n</w:t>
      </w:r>
      <w:r>
        <w:rPr>
          <w:rFonts w:eastAsia="Arial Unicode MS"/>
          <w:spacing w:val="-3"/>
        </w:rPr>
        <w:t xml:space="preserve">tación y notas de fs. 4781/4785 </w:t>
      </w:r>
      <w:r>
        <w:t xml:space="preserve">y el peritaje obrante a </w:t>
      </w:r>
      <w:r>
        <w:rPr>
          <w:bCs/>
        </w:rPr>
        <w:t xml:space="preserve">fs. 63/64 del Informe Preliminar de </w:t>
      </w:r>
      <w:smartTag w:uri="urn:schemas-microsoft-com:office:smarttags" w:element="PersonName">
        <w:smartTagPr>
          <w:attr w:name="ProductID" w:val="la Superintendencia"/>
        </w:smartTagPr>
        <w:r>
          <w:rPr>
            <w:bCs/>
          </w:rPr>
          <w:t>la Superintende</w:t>
        </w:r>
        <w:r>
          <w:rPr>
            <w:bCs/>
          </w:rPr>
          <w:t>n</w:t>
        </w:r>
        <w:r>
          <w:rPr>
            <w:bCs/>
          </w:rPr>
          <w:t>cia</w:t>
        </w:r>
      </w:smartTag>
      <w:r>
        <w:rPr>
          <w:bCs/>
        </w:rPr>
        <w:t xml:space="preserve"> de Bomberos.</w:t>
      </w:r>
    </w:p>
    <w:p w:rsidR="00224567" w:rsidRDefault="00224567">
      <w:pPr>
        <w:widowControl w:val="0"/>
        <w:rPr>
          <w:bCs/>
        </w:rPr>
      </w:pPr>
      <w:r>
        <w:tab/>
      </w:r>
      <w:r>
        <w:rPr>
          <w:b/>
          <w:bCs/>
        </w:rPr>
        <w:t xml:space="preserve">A.2.a) </w:t>
      </w:r>
      <w:r>
        <w:t xml:space="preserve">En efecto, a </w:t>
      </w:r>
      <w:r>
        <w:rPr>
          <w:bCs/>
        </w:rPr>
        <w:t>fs. 63/64 del I</w:t>
      </w:r>
      <w:r>
        <w:rPr>
          <w:bCs/>
        </w:rPr>
        <w:t>n</w:t>
      </w:r>
      <w:r>
        <w:rPr>
          <w:bCs/>
        </w:rPr>
        <w:t xml:space="preserve">forme Preliminar de </w:t>
      </w:r>
      <w:smartTag w:uri="urn:schemas-microsoft-com:office:smarttags" w:element="PersonName">
        <w:smartTagPr>
          <w:attr w:name="ProductID" w:val="la Superintendencia"/>
        </w:smartTagPr>
        <w:r>
          <w:rPr>
            <w:bCs/>
          </w:rPr>
          <w:t>la Superintendencia</w:t>
        </w:r>
      </w:smartTag>
      <w:r>
        <w:rPr>
          <w:bCs/>
        </w:rPr>
        <w:t xml:space="preserve"> de Bomberos obra el peritaje químico realizado sobre el </w:t>
      </w:r>
      <w:r>
        <w:t>bloque</w:t>
      </w:r>
      <w:r>
        <w:rPr>
          <w:bCs/>
        </w:rPr>
        <w:t xml:space="preserve"> de motor s</w:t>
      </w:r>
      <w:r>
        <w:rPr>
          <w:bCs/>
        </w:rPr>
        <w:t>e</w:t>
      </w:r>
      <w:r>
        <w:rPr>
          <w:bCs/>
        </w:rPr>
        <w:t>cuestrado, suscripto por Jorge Alberto Macchi y Jorge R</w:t>
      </w:r>
      <w:r>
        <w:rPr>
          <w:bCs/>
        </w:rPr>
        <w:t>o</w:t>
      </w:r>
      <w:r>
        <w:rPr>
          <w:bCs/>
        </w:rPr>
        <w:t xml:space="preserve">berto Granja, del que surge que corresponde a un </w:t>
      </w:r>
      <w:r>
        <w:t>bloque</w:t>
      </w:r>
      <w:r>
        <w:rPr>
          <w:bCs/>
        </w:rPr>
        <w:t xml:space="preserve"> de fundición marca Renault y que la numer</w:t>
      </w:r>
      <w:r>
        <w:rPr>
          <w:bCs/>
        </w:rPr>
        <w:t>a</w:t>
      </w:r>
      <w:r>
        <w:rPr>
          <w:bCs/>
        </w:rPr>
        <w:t>ción que se observa es la original de f</w:t>
      </w:r>
      <w:r>
        <w:rPr>
          <w:bCs/>
        </w:rPr>
        <w:t>á</w:t>
      </w:r>
      <w:r>
        <w:rPr>
          <w:bCs/>
        </w:rPr>
        <w:t>brica.</w:t>
      </w:r>
    </w:p>
    <w:p w:rsidR="00224567" w:rsidRDefault="00224567">
      <w:pPr>
        <w:widowControl w:val="0"/>
      </w:pPr>
      <w:r>
        <w:rPr>
          <w:bCs/>
        </w:rPr>
        <w:tab/>
        <w:t>Con relación a la identificación de un vehículo a partir de su número de motor, prestaron decl</w:t>
      </w:r>
      <w:r>
        <w:rPr>
          <w:bCs/>
        </w:rPr>
        <w:t>a</w:t>
      </w:r>
      <w:r>
        <w:rPr>
          <w:bCs/>
        </w:rPr>
        <w:t xml:space="preserve">ración testimonial </w:t>
      </w:r>
      <w:r>
        <w:t>Alfredo Daniel Díaz, Oscar Jorge Príc</w:t>
      </w:r>
      <w:r>
        <w:t>o</w:t>
      </w:r>
      <w:r>
        <w:t>lo, Mariano Alberto Durand, María Ester Bruzzo, Alejandra Ema Fescina, Gerardo Ce</w:t>
      </w:r>
      <w:r>
        <w:t>l</w:t>
      </w:r>
      <w:r>
        <w:t>so Luppi, Mirta Lilia Mazzitelli y Carlos Edgardo Coppini</w:t>
      </w:r>
      <w:r>
        <w:rPr>
          <w:bCs/>
        </w:rPr>
        <w:t>.</w:t>
      </w:r>
      <w:r>
        <w:t xml:space="preserve"> A ello se agregan, en el caso pu</w:t>
      </w:r>
      <w:r>
        <w:t>n</w:t>
      </w:r>
      <w:r>
        <w:t>tual, las declaraciones de Carlos Néstor López, Raúl A</w:t>
      </w:r>
      <w:r>
        <w:t>r</w:t>
      </w:r>
      <w:r>
        <w:t>bor, Daniel Alberto Helguero, Rubén Ramón Fígoli Ibáñez, Jorge Luis Lucas y Horacio Antonio Sti</w:t>
      </w:r>
      <w:r>
        <w:t>u</w:t>
      </w:r>
      <w:r>
        <w:t>so.</w:t>
      </w:r>
    </w:p>
    <w:p w:rsidR="00224567" w:rsidRDefault="00224567">
      <w:pPr>
        <w:widowControl w:val="0"/>
      </w:pPr>
      <w:r>
        <w:tab/>
        <w:t xml:space="preserve">Pese a que la defensa oficial a cargo del Dr. Víctor Valle encontró confusas las actividades llevadas a cabo en el Registro de </w:t>
      </w:r>
      <w:smartTag w:uri="urn:schemas-microsoft-com:office:smarttags" w:element="PersonName">
        <w:smartTagPr>
          <w:attr w:name="ProductID" w:val="la Propiedad Automotor"/>
        </w:smartTagPr>
        <w:r>
          <w:t>la Propiedad Autom</w:t>
        </w:r>
        <w:r>
          <w:t>o</w:t>
        </w:r>
        <w:r>
          <w:t>tor</w:t>
        </w:r>
      </w:smartTag>
      <w:r>
        <w:t xml:space="preserve"> y la forma en que los investigadores determinaron que el m</w:t>
      </w:r>
      <w:r>
        <w:t>o</w:t>
      </w:r>
      <w:r>
        <w:t>tor correspondía al vehículo que había sido propiedad de “Messin S.R.L.”, los testimonios que a continuación se r</w:t>
      </w:r>
      <w:r>
        <w:t>e</w:t>
      </w:r>
      <w:r>
        <w:t>señan echan luz acerca de tales trámites y explican acab</w:t>
      </w:r>
      <w:r>
        <w:t>a</w:t>
      </w:r>
      <w:r>
        <w:t>damente los interrogantes pla</w:t>
      </w:r>
      <w:r>
        <w:t>n</w:t>
      </w:r>
      <w:r>
        <w:t>teados.</w:t>
      </w:r>
    </w:p>
    <w:p w:rsidR="00224567" w:rsidRDefault="00224567">
      <w:pPr>
        <w:widowControl w:val="0"/>
      </w:pPr>
      <w:r>
        <w:tab/>
        <w:t>Al respecto, Carlos Néstor López, quien p</w:t>
      </w:r>
      <w:r>
        <w:t>a</w:t>
      </w:r>
      <w:r>
        <w:t xml:space="preserve">ra la época del atentado se desempeñaba como jefe de </w:t>
      </w:r>
      <w:smartTag w:uri="urn:schemas-microsoft-com:office:smarttags" w:element="PersonName">
        <w:smartTagPr>
          <w:attr w:name="ProductID" w:val="la Divisi￳n Investigaciones"/>
        </w:smartTagPr>
        <w:r>
          <w:t>la División Investigaciones</w:t>
        </w:r>
      </w:smartTag>
      <w:r>
        <w:t xml:space="preserve"> del Departamento de Expl</w:t>
      </w:r>
      <w:r>
        <w:t>o</w:t>
      </w:r>
      <w:r>
        <w:t xml:space="preserve">sivos de </w:t>
      </w:r>
      <w:smartTag w:uri="urn:schemas-microsoft-com:office:smarttags" w:element="PersonName">
        <w:smartTagPr>
          <w:attr w:name="ProductID" w:val="la Polic￭a Federal"/>
        </w:smartTagPr>
        <w:r>
          <w:t>la Policía Federal</w:t>
        </w:r>
      </w:smartTag>
      <w:r>
        <w:t xml:space="preserve"> Argentina, man</w:t>
      </w:r>
      <w:r>
        <w:t>i</w:t>
      </w:r>
      <w:r>
        <w:t xml:space="preserve">festó que supo del hallazgo del motor, entre los escombros de </w:t>
      </w:r>
      <w:smartTag w:uri="urn:schemas-microsoft-com:office:smarttags" w:element="PersonName">
        <w:smartTagPr>
          <w:attr w:name="ProductID" w:val="la A.M"/>
        </w:smartTagPr>
        <w:r>
          <w:t>la A.M</w:t>
        </w:r>
      </w:smartTag>
      <w:r>
        <w:t>.I.A., en horas de la noche, alrededor de las 20.00 ó 21.00. Creyó recordar que tal conocimiento lo t</w:t>
      </w:r>
      <w:r>
        <w:t>u</w:t>
      </w:r>
      <w:r>
        <w:t>vo por el principal Arbor, quien a su vez recibió una comunicación del subcomisario Seara.</w:t>
      </w:r>
    </w:p>
    <w:p w:rsidR="00224567" w:rsidRDefault="00224567">
      <w:pPr>
        <w:widowControl w:val="0"/>
      </w:pPr>
      <w:r>
        <w:tab/>
        <w:t>Expresó que, a raíz de ello, le enc</w:t>
      </w:r>
      <w:r>
        <w:t>o</w:t>
      </w:r>
      <w:r>
        <w:t>mendó al principal Fígoli establecer contacto con el R</w:t>
      </w:r>
      <w:r>
        <w:t>e</w:t>
      </w:r>
      <w:r>
        <w:t xml:space="preserve">gistro de </w:t>
      </w:r>
      <w:smartTag w:uri="urn:schemas-microsoft-com:office:smarttags" w:element="PersonName">
        <w:smartTagPr>
          <w:attr w:name="ProductID" w:val="la Propiedad Automotor"/>
        </w:smartTagPr>
        <w:r>
          <w:t>la Propiedad Automotor</w:t>
        </w:r>
      </w:smartTag>
      <w:r>
        <w:t xml:space="preserve"> para obtener prec</w:t>
      </w:r>
      <w:r>
        <w:t>i</w:t>
      </w:r>
      <w:r>
        <w:t>siones acerca de su titular, recibiendo a los quince o veinte m</w:t>
      </w:r>
      <w:r>
        <w:t>i</w:t>
      </w:r>
      <w:r>
        <w:t>nutos una comunicación del Registro por la que se le i</w:t>
      </w:r>
      <w:r>
        <w:t>n</w:t>
      </w:r>
      <w:r>
        <w:t>formó que con ese número de motor se hallaba regi</w:t>
      </w:r>
      <w:r>
        <w:t>s</w:t>
      </w:r>
      <w:r>
        <w:t>trado un vehículo a nombre de la empresa “Messin”; dato que fue transmitido al Departamento Protección del Orden Constit</w:t>
      </w:r>
      <w:r>
        <w:t>u</w:t>
      </w:r>
      <w:r>
        <w:t>cional.</w:t>
      </w:r>
    </w:p>
    <w:p w:rsidR="00224567" w:rsidRDefault="00224567">
      <w:pPr>
        <w:widowControl w:val="0"/>
      </w:pPr>
      <w:r>
        <w:tab/>
        <w:t>En igual sentido, el entonces princ</w:t>
      </w:r>
      <w:r>
        <w:t>i</w:t>
      </w:r>
      <w:r>
        <w:t>pal R</w:t>
      </w:r>
      <w:r>
        <w:t>a</w:t>
      </w:r>
      <w:r>
        <w:t>úl Arbor del Departamento de Explosivos refirió que el principal Seara se comunicó para i</w:t>
      </w:r>
      <w:r>
        <w:t>n</w:t>
      </w:r>
      <w:r>
        <w:t>formar del hallazgo del motor.</w:t>
      </w:r>
    </w:p>
    <w:p w:rsidR="00224567" w:rsidRDefault="00224567">
      <w:pPr>
        <w:widowControl w:val="0"/>
      </w:pPr>
      <w:r>
        <w:tab/>
        <w:t>Explicó que, según creía, a los tres o cuatro días de acaecido el atentado se estableció por i</w:t>
      </w:r>
      <w:r>
        <w:t>n</w:t>
      </w:r>
      <w:r>
        <w:t xml:space="preserve">termedio de Fígoli un enlace con el Registro de </w:t>
      </w:r>
      <w:smartTag w:uri="urn:schemas-microsoft-com:office:smarttags" w:element="PersonName">
        <w:smartTagPr>
          <w:attr w:name="ProductID" w:val="la Propiedad Automotor"/>
        </w:smartTagPr>
        <w:r>
          <w:t>la Propi</w:t>
        </w:r>
        <w:r>
          <w:t>e</w:t>
        </w:r>
        <w:r>
          <w:t>dad Automotor</w:t>
        </w:r>
      </w:smartTag>
      <w:r>
        <w:t>, a fin de obtener un listado de vehículos Trafic que permitiera identificar el cochebo</w:t>
      </w:r>
      <w:r>
        <w:t>m</w:t>
      </w:r>
      <w:r>
        <w:t>ba.</w:t>
      </w:r>
    </w:p>
    <w:p w:rsidR="00224567" w:rsidRDefault="00224567">
      <w:pPr>
        <w:widowControl w:val="0"/>
      </w:pPr>
      <w:r>
        <w:tab/>
        <w:t>Así, indicó, a los quince minutos o media hora de solicitada la información, supo que ese n</w:t>
      </w:r>
      <w:r>
        <w:t>ú</w:t>
      </w:r>
      <w:r>
        <w:t>mero de motor pertenecía a un vehículo de la empresa  “Messin S.R.L.”, como así también el teléfono de dicha firma, obtenido de la guía, al que llamó para preguntar hasta qué hora se encontraba abierta; dato que luego pasó al subcomisario López, quien a su vez lo transmitió al D</w:t>
      </w:r>
      <w:r>
        <w:t>e</w:t>
      </w:r>
      <w:r>
        <w:t>partamento Protección del Orden Constituci</w:t>
      </w:r>
      <w:r>
        <w:t>o</w:t>
      </w:r>
      <w:r>
        <w:t>nal.</w:t>
      </w:r>
    </w:p>
    <w:p w:rsidR="00224567" w:rsidRDefault="00224567">
      <w:pPr>
        <w:widowControl w:val="0"/>
      </w:pPr>
      <w:r>
        <w:tab/>
        <w:t>Asimismo, Daniel Alberto Helguero, oficial de la dependencia policial mencionada, manifestó que el lunes siguiente a la explosión fue hallado un motor entre los escombros, del que se obtuvieron los números identificatorios y que luego, mediante una consulta tel</w:t>
      </w:r>
      <w:r>
        <w:t>e</w:t>
      </w:r>
      <w:r>
        <w:t xml:space="preserve">fónica con el Registro de </w:t>
      </w:r>
      <w:smartTag w:uri="urn:schemas-microsoft-com:office:smarttags" w:element="PersonName">
        <w:smartTagPr>
          <w:attr w:name="ProductID" w:val="la Propiedad"/>
        </w:smartTagPr>
        <w:r>
          <w:t>la Propiedad</w:t>
        </w:r>
      </w:smartTag>
      <w:r>
        <w:t xml:space="preserve"> del Automotor, se estableció que correspondía a una Trafic, aportando los datos de la e</w:t>
      </w:r>
      <w:r>
        <w:t>m</w:t>
      </w:r>
      <w:r>
        <w:t>presa propietaria.</w:t>
      </w:r>
    </w:p>
    <w:p w:rsidR="00224567" w:rsidRDefault="00224567">
      <w:pPr>
        <w:widowControl w:val="0"/>
      </w:pPr>
      <w:r>
        <w:tab/>
        <w:t>En concordancia con los testigos pr</w:t>
      </w:r>
      <w:r>
        <w:t>e</w:t>
      </w:r>
      <w:r>
        <w:t xml:space="preserve">cedentes, Rubén Ramón Fígoli Ibáñez recordó que en 1994 se desempeñaba en </w:t>
      </w:r>
      <w:smartTag w:uri="urn:schemas-microsoft-com:office:smarttags" w:element="PersonName">
        <w:smartTagPr>
          <w:attr w:name="ProductID" w:val="la Brigada"/>
        </w:smartTagPr>
        <w:r>
          <w:t>la Brigada</w:t>
        </w:r>
      </w:smartTag>
      <w:r>
        <w:t xml:space="preserve"> de Explosivos y que en horas de la tarde del 25 de julio, el oficial Arbor recibió un ll</w:t>
      </w:r>
      <w:r>
        <w:t>a</w:t>
      </w:r>
      <w:r>
        <w:t xml:space="preserve">mado telefónico dando cuenta del hallazgo del bloque de motor entre las ruinas de </w:t>
      </w:r>
      <w:smartTag w:uri="urn:schemas-microsoft-com:office:smarttags" w:element="PersonName">
        <w:smartTagPr>
          <w:attr w:name="ProductID" w:val="la A.M"/>
        </w:smartTagPr>
        <w:r>
          <w:t>la A.M</w:t>
        </w:r>
      </w:smartTag>
      <w:r>
        <w:t>.I.A..</w:t>
      </w:r>
    </w:p>
    <w:p w:rsidR="00224567" w:rsidRDefault="00224567">
      <w:pPr>
        <w:widowControl w:val="0"/>
      </w:pPr>
      <w:r>
        <w:tab/>
        <w:t>Agregó que les informaron el n</w:t>
      </w:r>
      <w:r>
        <w:t>ú</w:t>
      </w:r>
      <w:r>
        <w:t>mero de motor, tras lo cual se comunicó con el Registro Nacional del Automotor, con el que se había contactado previamente, obteniendo así los datos acerca de la pertenencia y dom</w:t>
      </w:r>
      <w:r>
        <w:t>i</w:t>
      </w:r>
      <w:r>
        <w:t>nio del vehículo. Aclaró que el trámite fue veloz, unos 10 ó 20 min</w:t>
      </w:r>
      <w:r>
        <w:t>u</w:t>
      </w:r>
      <w:r>
        <w:t>tos, no recordando con quién habló.</w:t>
      </w:r>
    </w:p>
    <w:p w:rsidR="00224567" w:rsidRDefault="00224567">
      <w:pPr>
        <w:widowControl w:val="0"/>
      </w:pPr>
      <w:r>
        <w:tab/>
        <w:t>Por su parte, Jorge Luis Lucas, dire</w:t>
      </w:r>
      <w:r>
        <w:t>c</w:t>
      </w:r>
      <w:r>
        <w:t xml:space="preserve">tor de Contrainteligencia de </w:t>
      </w:r>
      <w:smartTag w:uri="urn:schemas-microsoft-com:office:smarttags" w:element="PersonName">
        <w:smartTagPr>
          <w:attr w:name="ProductID" w:val="la S.I"/>
        </w:smartTagPr>
        <w:r>
          <w:t>la S.I</w:t>
        </w:r>
      </w:smartTag>
      <w:r>
        <w:t>.D.E. en 1994, indicó que, según creía, el viernes 22 de julio, personal de su área concurrió al Registro del Automotor para hacer un listado o base de datos de todas las Trafic del país, con número de chapa y número de dominio, por cuanto para ese momento, por los restos de carrocería encontrados, daban por s</w:t>
      </w:r>
      <w:r>
        <w:t>u</w:t>
      </w:r>
      <w:r>
        <w:t>puesto que se trataba de un vehículo de ese modelo. Creyó recordar que el lunes siguiente se halló el motor entre los escombros, cuyo número se le comun</w:t>
      </w:r>
      <w:r>
        <w:t>i</w:t>
      </w:r>
      <w:r>
        <w:t>có a “Jaime” Stiuso por teléfono, a partir de lo cual se identificó por dominio la camioneta y se e</w:t>
      </w:r>
      <w:r>
        <w:t>m</w:t>
      </w:r>
      <w:r>
        <w:t>pezó a seguir su rastro.</w:t>
      </w:r>
    </w:p>
    <w:p w:rsidR="00224567" w:rsidRDefault="00224567">
      <w:pPr>
        <w:widowControl w:val="0"/>
      </w:pPr>
      <w:r>
        <w:tab/>
        <w:t>A su vez, Horacio Antonio Stiuso, j</w:t>
      </w:r>
      <w:r>
        <w:t>e</w:t>
      </w:r>
      <w:r>
        <w:t>fe de Operaci</w:t>
      </w:r>
      <w:r>
        <w:t>o</w:t>
      </w:r>
      <w:r>
        <w:t xml:space="preserve">nes de Contrainteligencia de </w:t>
      </w:r>
      <w:smartTag w:uri="urn:schemas-microsoft-com:office:smarttags" w:element="PersonName">
        <w:smartTagPr>
          <w:attr w:name="ProductID" w:val="la S.I"/>
        </w:smartTagPr>
        <w:r>
          <w:t>la S.I</w:t>
        </w:r>
      </w:smartTag>
      <w:r>
        <w:t>.D.E., tras relatar las averiguaciones practicadas en “Jet Parking”, explicó que el sábado 23 de julio a la mañana supieron que no existía ninguna Trafic cuyo dominio f</w:t>
      </w:r>
      <w:r>
        <w:t>i</w:t>
      </w:r>
      <w:r>
        <w:t>nalizara con los seis dígitos que surgían de la tarjeta de ese estacion</w:t>
      </w:r>
      <w:r>
        <w:t>a</w:t>
      </w:r>
      <w:r>
        <w:t>miento y que, en consecue</w:t>
      </w:r>
      <w:r>
        <w:t>n</w:t>
      </w:r>
      <w:r>
        <w:t xml:space="preserve">cia, solicitó al Registro de </w:t>
      </w:r>
      <w:smartTag w:uri="urn:schemas-microsoft-com:office:smarttags" w:element="PersonName">
        <w:smartTagPr>
          <w:attr w:name="ProductID" w:val="la Propiedad Automotor"/>
        </w:smartTagPr>
        <w:r>
          <w:t>la Propiedad Automotor</w:t>
        </w:r>
      </w:smartTag>
      <w:r>
        <w:t xml:space="preserve"> se preparara un progr</w:t>
      </w:r>
      <w:r>
        <w:t>a</w:t>
      </w:r>
      <w:r>
        <w:t>ma para alistar camionetas Trafic por número de motor, chasis y dominio, mientras aguardaban el hallazgo del motor del vehículo utiliz</w:t>
      </w:r>
      <w:r>
        <w:t>a</w:t>
      </w:r>
      <w:r>
        <w:t>do en el atentado.</w:t>
      </w:r>
    </w:p>
    <w:p w:rsidR="00224567" w:rsidRDefault="00224567">
      <w:pPr>
        <w:widowControl w:val="0"/>
      </w:pPr>
      <w:r>
        <w:tab/>
        <w:t>Precisó que el lunes 25 de julio, en horas de la mañana, ya contaban con la inform</w:t>
      </w:r>
      <w:r>
        <w:t>a</w:t>
      </w:r>
      <w:r>
        <w:t>ción de las Trafic ordenadas por las tres variables requeridas y, h</w:t>
      </w:r>
      <w:r>
        <w:t>a</w:t>
      </w:r>
      <w:r>
        <w:t>cia las 19.00, personal de los grupos de rescate del Ejé</w:t>
      </w:r>
      <w:r>
        <w:t>r</w:t>
      </w:r>
      <w:r>
        <w:t>cito Israelí le comunicó telefónicamente el número esta</w:t>
      </w:r>
      <w:r>
        <w:t>m</w:t>
      </w:r>
      <w:r>
        <w:t>pado en el bloque. Aclaró que se trataba de un número te</w:t>
      </w:r>
      <w:r>
        <w:t>n</w:t>
      </w:r>
      <w:r>
        <w:t>tativo, por no estar del todo limpio, por lo que podía prestarse a errores; no obstante, puntualizó que en cue</w:t>
      </w:r>
      <w:r>
        <w:t>s</w:t>
      </w:r>
      <w:r>
        <w:t>tión de minutos supieron que ese m</w:t>
      </w:r>
      <w:r>
        <w:t>o</w:t>
      </w:r>
      <w:r>
        <w:t>tor correspondía a una camioneta cuyo titular era “Messin”, con domicilio en la calle Paraná de esta ciudad.</w:t>
      </w:r>
    </w:p>
    <w:p w:rsidR="00224567" w:rsidRDefault="00224567">
      <w:pPr>
        <w:widowControl w:val="0"/>
      </w:pPr>
      <w:r>
        <w:tab/>
        <w:t>El testimonio de Lucas y, en esp</w:t>
      </w:r>
      <w:r>
        <w:t>e</w:t>
      </w:r>
      <w:r>
        <w:t>cial, el de Stiuso, demo</w:t>
      </w:r>
      <w:r>
        <w:t>s</w:t>
      </w:r>
      <w:r>
        <w:t>traron que al momento del hallazgo del bloque ya se contaba con listados que pe</w:t>
      </w:r>
      <w:r>
        <w:t>r</w:t>
      </w:r>
      <w:r>
        <w:t>mitieron su fácil y rápida ubicación. En el mismo se</w:t>
      </w:r>
      <w:r>
        <w:t>n</w:t>
      </w:r>
      <w:r>
        <w:t>tido, Fígoli Ibáñez dio cuenta de un enlace previo con esa depende</w:t>
      </w:r>
      <w:r>
        <w:t>n</w:t>
      </w:r>
      <w:r>
        <w:t>cia.</w:t>
      </w:r>
    </w:p>
    <w:p w:rsidR="00224567" w:rsidRDefault="00224567">
      <w:pPr>
        <w:widowControl w:val="0"/>
      </w:pPr>
      <w:r>
        <w:tab/>
        <w:t>A su turno, Alfredo Daniel Díaz man</w:t>
      </w:r>
      <w:r>
        <w:t>i</w:t>
      </w:r>
      <w:r>
        <w:t xml:space="preserve">festó que en 1994 se desempeñaba como jefe de </w:t>
      </w:r>
      <w:smartTag w:uri="urn:schemas-microsoft-com:office:smarttags" w:element="PersonName">
        <w:smartTagPr>
          <w:attr w:name="ProductID" w:val="la Divisi￳n Sustracci￳n"/>
        </w:smartTagPr>
        <w:r>
          <w:t>la Div</w:t>
        </w:r>
        <w:r>
          <w:t>i</w:t>
        </w:r>
        <w:r>
          <w:t>sión Sustracción</w:t>
        </w:r>
      </w:smartTag>
      <w:r>
        <w:t xml:space="preserve"> de Automotores de </w:t>
      </w:r>
      <w:smartTag w:uri="urn:schemas-microsoft-com:office:smarttags" w:element="PersonName">
        <w:smartTagPr>
          <w:attr w:name="ProductID" w:val="la Polic￭a Federal"/>
        </w:smartTagPr>
        <w:r>
          <w:t>la Policía Federal</w:t>
        </w:r>
      </w:smartTag>
      <w:r>
        <w:t xml:space="preserve"> Argent</w:t>
      </w:r>
      <w:r>
        <w:t>i</w:t>
      </w:r>
      <w:r>
        <w:t>na. Refirió que en horas de la tarde, sin poder precisar la fecha, recibió un llamado telefónico de personal del Departamento Protección del Orden Constitucional, con el objeto de establecer a qué camioneta pertenecía un dete</w:t>
      </w:r>
      <w:r>
        <w:t>r</w:t>
      </w:r>
      <w:r>
        <w:t>minado motor.</w:t>
      </w:r>
    </w:p>
    <w:p w:rsidR="00224567" w:rsidRDefault="00224567">
      <w:pPr>
        <w:widowControl w:val="0"/>
      </w:pPr>
      <w:r>
        <w:tab/>
        <w:t>En ese momento, explicó, en la depe</w:t>
      </w:r>
      <w:r>
        <w:t>n</w:t>
      </w:r>
      <w:r>
        <w:t>dencia a su cargo no resultaba posible obtener tal info</w:t>
      </w:r>
      <w:r>
        <w:t>r</w:t>
      </w:r>
      <w:r>
        <w:t>mación; sólo se podía determinar si registraba pedido de secuestro, diligencia que arrojó resultado neg</w:t>
      </w:r>
      <w:r>
        <w:t>a</w:t>
      </w:r>
      <w:r>
        <w:t xml:space="preserve">tivo. Así, señaló, sugirió recurrir al Registro de </w:t>
      </w:r>
      <w:smartTag w:uri="urn:schemas-microsoft-com:office:smarttags" w:element="PersonName">
        <w:smartTagPr>
          <w:attr w:name="ProductID" w:val="la Propiedad Automotor"/>
        </w:smartTagPr>
        <w:r>
          <w:t>la Propiedad Aut</w:t>
        </w:r>
        <w:r>
          <w:t>o</w:t>
        </w:r>
        <w:r>
          <w:t>motor</w:t>
        </w:r>
      </w:smartTag>
      <w:r>
        <w:t xml:space="preserve"> y, al día siguiente, personal de ese organismo le brindó los datos requeridos, comunicándose luego con el Departamento Protección del Orden Constitucional, aunque allí ya se tenía el result</w:t>
      </w:r>
      <w:r>
        <w:t>a</w:t>
      </w:r>
      <w:r>
        <w:t>do.</w:t>
      </w:r>
    </w:p>
    <w:p w:rsidR="00224567" w:rsidRDefault="00224567">
      <w:pPr>
        <w:widowControl w:val="0"/>
      </w:pPr>
      <w:r>
        <w:tab/>
        <w:t>En otro orden, dijo conocer a Aleja</w:t>
      </w:r>
      <w:r>
        <w:t>n</w:t>
      </w:r>
      <w:r>
        <w:t>dro Monjo, comerciante dedicado a la compra y venta de a</w:t>
      </w:r>
      <w:r>
        <w:t>u</w:t>
      </w:r>
      <w:r>
        <w:t>tomóviles, por haberse encontrado con el nombrado en d</w:t>
      </w:r>
      <w:r>
        <w:t>i</w:t>
      </w:r>
      <w:r>
        <w:t xml:space="preserve">versas oportunidades. Adunó que, a modo de souvenir, le entregó un llavero de </w:t>
      </w:r>
      <w:smartTag w:uri="urn:schemas-microsoft-com:office:smarttags" w:element="PersonName">
        <w:smartTagPr>
          <w:attr w:name="ProductID" w:val="la Divisi￳n Sustracci￳n"/>
        </w:smartTagPr>
        <w:r>
          <w:t>la División Sustracción</w:t>
        </w:r>
      </w:smartTag>
      <w:r>
        <w:t xml:space="preserve"> de Automot</w:t>
      </w:r>
      <w:r>
        <w:t>o</w:t>
      </w:r>
      <w:r>
        <w:t>res.</w:t>
      </w:r>
    </w:p>
    <w:p w:rsidR="00224567" w:rsidRDefault="00224567">
      <w:pPr>
        <w:widowControl w:val="0"/>
        <w:rPr>
          <w:bCs/>
        </w:rPr>
      </w:pPr>
      <w:r>
        <w:rPr>
          <w:bCs/>
        </w:rPr>
        <w:tab/>
        <w:t xml:space="preserve">Por su parte, </w:t>
      </w:r>
      <w:r>
        <w:t xml:space="preserve">Oscar Jorge Prícolo, quien sucedió a Díaz en la jefatura de </w:t>
      </w:r>
      <w:smartTag w:uri="urn:schemas-microsoft-com:office:smarttags" w:element="PersonName">
        <w:smartTagPr>
          <w:attr w:name="ProductID" w:val="la Divisi￳n Sustracci￳n"/>
        </w:smartTagPr>
        <w:r>
          <w:t>la División Su</w:t>
        </w:r>
        <w:r>
          <w:t>s</w:t>
        </w:r>
        <w:r>
          <w:t>tracción</w:t>
        </w:r>
      </w:smartTag>
      <w:r>
        <w:t xml:space="preserve"> de Automotores, sostuvo que esa d</w:t>
      </w:r>
      <w:r>
        <w:t>e</w:t>
      </w:r>
      <w:r>
        <w:t>pendencia podía informar el dominio de un vehículo y su titularidad a pa</w:t>
      </w:r>
      <w:r>
        <w:t>r</w:t>
      </w:r>
      <w:r>
        <w:t>tir del número de motor, trámite que hacia 1994 demoraba sólo unos minutos. Sin embargo, apuntó, si el dato no su</w:t>
      </w:r>
      <w:r>
        <w:t>r</w:t>
      </w:r>
      <w:r>
        <w:t xml:space="preserve">gía de los archivos, era solicitado por nota al Registro de </w:t>
      </w:r>
      <w:smartTag w:uri="urn:schemas-microsoft-com:office:smarttags" w:element="PersonName">
        <w:smartTagPr>
          <w:attr w:name="ProductID" w:val="la Propiedad"/>
        </w:smartTagPr>
        <w:r>
          <w:t>la Propiedad</w:t>
        </w:r>
      </w:smartTag>
      <w:r>
        <w:t xml:space="preserve"> del Automotor, no pudiendo determinar cuánto demoraba éste en brindar la inform</w:t>
      </w:r>
      <w:r>
        <w:t>a</w:t>
      </w:r>
      <w:r>
        <w:t>ción.</w:t>
      </w:r>
    </w:p>
    <w:p w:rsidR="00224567" w:rsidRDefault="00224567">
      <w:pPr>
        <w:widowControl w:val="0"/>
      </w:pPr>
      <w:r>
        <w:rPr>
          <w:bCs/>
        </w:rPr>
        <w:tab/>
        <w:t xml:space="preserve">Al prestar declaración </w:t>
      </w:r>
      <w:r>
        <w:t>Mariano Albe</w:t>
      </w:r>
      <w:r>
        <w:t>r</w:t>
      </w:r>
      <w:r>
        <w:t xml:space="preserve">to Durand, refirió que en 1994 estaba a cargo de </w:t>
      </w:r>
      <w:smartTag w:uri="urn:schemas-microsoft-com:office:smarttags" w:element="PersonName">
        <w:smartTagPr>
          <w:attr w:name="ProductID" w:val="la Direcci￳n"/>
        </w:smartTagPr>
        <w:r>
          <w:t>la D</w:t>
        </w:r>
        <w:r>
          <w:t>i</w:t>
        </w:r>
        <w:r>
          <w:t>rección</w:t>
        </w:r>
      </w:smartTag>
      <w:r>
        <w:t xml:space="preserve"> de Registros de </w:t>
      </w:r>
      <w:smartTag w:uri="urn:schemas-microsoft-com:office:smarttags" w:element="PersonName">
        <w:smartTagPr>
          <w:attr w:name="ProductID" w:val="la Propiedad Automotor"/>
        </w:smartTagPr>
        <w:r>
          <w:t>la Propiedad Automotor</w:t>
        </w:r>
      </w:smartTag>
      <w:r>
        <w:t xml:space="preserve"> y Crédito Prend</w:t>
      </w:r>
      <w:r>
        <w:t>a</w:t>
      </w:r>
      <w:r>
        <w:t>rio. Explicó que para esa época los registros eran de tr</w:t>
      </w:r>
      <w:r>
        <w:t>á</w:t>
      </w:r>
      <w:r>
        <w:t>mite manual y se había empezado a desarrollar un sistema de informatización. Detalló que con el sistema vigente, para determinar el dominio de un vehículo a partir del n</w:t>
      </w:r>
      <w:r>
        <w:t>ú</w:t>
      </w:r>
      <w:r>
        <w:t>mero de su motor, éste debía estar completo y sin err</w:t>
      </w:r>
      <w:r>
        <w:t>o</w:t>
      </w:r>
      <w:r>
        <w:t>res.</w:t>
      </w:r>
    </w:p>
    <w:p w:rsidR="00224567" w:rsidRDefault="00224567">
      <w:pPr>
        <w:widowControl w:val="0"/>
      </w:pPr>
      <w:r>
        <w:tab/>
        <w:t>Asimismo, manifestó que tres o cu</w:t>
      </w:r>
      <w:r>
        <w:t>a</w:t>
      </w:r>
      <w:r>
        <w:t xml:space="preserve">tro días después del atentado a </w:t>
      </w:r>
      <w:smartTag w:uri="urn:schemas-microsoft-com:office:smarttags" w:element="PersonName">
        <w:smartTagPr>
          <w:attr w:name="ProductID" w:val="la A.M"/>
        </w:smartTagPr>
        <w:r>
          <w:t>la A.M</w:t>
        </w:r>
      </w:smartTag>
      <w:r>
        <w:t>.I.A., puntua</w:t>
      </w:r>
      <w:r>
        <w:t>l</w:t>
      </w:r>
      <w:r>
        <w:t>mente una jornada en que no se hallaba trabajando, según creía un sábado, recibió un llamado del Secretario de Justicia Elías Jassan, indicándole que debía colaborar con las fuerzas de seguridad que i</w:t>
      </w:r>
      <w:r>
        <w:t>n</w:t>
      </w:r>
      <w:r>
        <w:t>vestigaban el atentado, por lo que, ese mismo día, creó un equipo de trabajo, integrado por funcionarios de las categorías más altas y personas especializadas en computación, del que tomaron parte el contador Luppi, la licenciada Alejandra Fescina, Mirta Mazzitelli, el Dr. Coppini, algún otro funcionario y e</w:t>
      </w:r>
      <w:r>
        <w:t>m</w:t>
      </w:r>
      <w:r>
        <w:t>pleadas administrat</w:t>
      </w:r>
      <w:r>
        <w:t>i</w:t>
      </w:r>
      <w:r>
        <w:t>vas.</w:t>
      </w:r>
    </w:p>
    <w:p w:rsidR="00224567" w:rsidRDefault="00224567">
      <w:pPr>
        <w:widowControl w:val="0"/>
      </w:pPr>
      <w:r>
        <w:tab/>
        <w:t>También decidió que ese equipo trab</w:t>
      </w:r>
      <w:r>
        <w:t>a</w:t>
      </w:r>
      <w:r>
        <w:t>jara por turnos, aún fuera de horario, hasta altas horas de la madrugada y sin feriados, utilizando el sistema de computación que estaba en desarrollo. Agregó que también se formuló idéntica directiva a los encargados de todos los registros seccionales para que, más allá de su hor</w:t>
      </w:r>
      <w:r>
        <w:t>a</w:t>
      </w:r>
      <w:r>
        <w:t>rio, se encontrasen en un lugar donde fuera factible ub</w:t>
      </w:r>
      <w:r>
        <w:t>i</w:t>
      </w:r>
      <w:r>
        <w:t>carlos.</w:t>
      </w:r>
    </w:p>
    <w:p w:rsidR="00224567" w:rsidRDefault="00224567">
      <w:pPr>
        <w:widowControl w:val="0"/>
      </w:pPr>
      <w:r>
        <w:tab/>
        <w:t>La información, señaló, era e</w:t>
      </w:r>
      <w:r>
        <w:t>n</w:t>
      </w:r>
      <w:r>
        <w:t xml:space="preserve">tregada a </w:t>
      </w:r>
      <w:smartTag w:uri="urn:schemas-microsoft-com:office:smarttags" w:element="PersonName">
        <w:smartTagPr>
          <w:attr w:name="ProductID" w:val="la S.I"/>
        </w:smartTagPr>
        <w:r>
          <w:t>la S.I</w:t>
        </w:r>
      </w:smartTag>
      <w:r>
        <w:t xml:space="preserve">.D.E. y al Departamento de Bomberos de </w:t>
      </w:r>
      <w:smartTag w:uri="urn:schemas-microsoft-com:office:smarttags" w:element="PersonName">
        <w:smartTagPr>
          <w:attr w:name="ProductID" w:val="la Polic￭a Federal"/>
        </w:smartTagPr>
        <w:r>
          <w:t>la Pol</w:t>
        </w:r>
        <w:r>
          <w:t>i</w:t>
        </w:r>
        <w:r>
          <w:t>cía Federal</w:t>
        </w:r>
      </w:smartTag>
      <w:r>
        <w:t>, que era el que se llevaba los listados y, eve</w:t>
      </w:r>
      <w:r>
        <w:t>n</w:t>
      </w:r>
      <w:r>
        <w:t>tualmente, fotocopias de los legajos. Acotó que hubo una especial dedicación a las camionetas Trafic.</w:t>
      </w:r>
    </w:p>
    <w:p w:rsidR="00224567" w:rsidRDefault="00224567">
      <w:pPr>
        <w:widowControl w:val="0"/>
      </w:pPr>
      <w:r>
        <w:tab/>
        <w:t>Al respecto, Alejandra Ema Fescina e</w:t>
      </w:r>
      <w:r>
        <w:t>x</w:t>
      </w:r>
      <w:r>
        <w:t>presó que en 1994 estaba a cargo del Centro de Cómp</w:t>
      </w:r>
      <w:r>
        <w:t>u</w:t>
      </w:r>
      <w:r>
        <w:t xml:space="preserve">tos de </w:t>
      </w:r>
      <w:smartTag w:uri="urn:schemas-microsoft-com:office:smarttags" w:element="PersonName">
        <w:smartTagPr>
          <w:attr w:name="ProductID" w:val="la Direcci￳n Nacional"/>
        </w:smartTagPr>
        <w:r>
          <w:t>la Dirección Nacional</w:t>
        </w:r>
      </w:smartTag>
      <w:r>
        <w:t xml:space="preserve"> del Automotor, que se encontraba i</w:t>
      </w:r>
      <w:r>
        <w:t>n</w:t>
      </w:r>
      <w:r>
        <w:t>formatizado con un sistema en formación y recordó que un sábado su director la convocó a trabajar junto con otros empleados, a fin de ocuparse –ese fin de semana- de un listado de números de dominio de todo tipo de vehículos para, a partir del lunes siguiente, trabajar con camion</w:t>
      </w:r>
      <w:r>
        <w:t>e</w:t>
      </w:r>
      <w:r>
        <w:t>tas Trafic, acotando las tareas a partes de un número de motor y, luego, a Trafic blancas y nafteras, partes de m</w:t>
      </w:r>
      <w:r>
        <w:t>o</w:t>
      </w:r>
      <w:r>
        <w:t>tores, etc..</w:t>
      </w:r>
    </w:p>
    <w:p w:rsidR="00224567" w:rsidRDefault="00224567">
      <w:pPr>
        <w:widowControl w:val="0"/>
      </w:pPr>
      <w:r>
        <w:tab/>
        <w:t>Creyó recordar que el personal que concurría a retirar la información solicitada perten</w:t>
      </w:r>
      <w:r>
        <w:t>e</w:t>
      </w:r>
      <w:r>
        <w:t>cía a los organismos de seguridad, explosivos y S.I.D.E., no e</w:t>
      </w:r>
      <w:r>
        <w:t>s</w:t>
      </w:r>
      <w:r>
        <w:t>tando autorizados a brindar datos en forma telefón</w:t>
      </w:r>
      <w:r>
        <w:t>i</w:t>
      </w:r>
      <w:r>
        <w:t>ca, lo que no recordó haber hecho.</w:t>
      </w:r>
    </w:p>
    <w:p w:rsidR="00224567" w:rsidRDefault="00224567">
      <w:pPr>
        <w:widowControl w:val="0"/>
        <w:rPr>
          <w:bCs/>
        </w:rPr>
      </w:pPr>
      <w:r>
        <w:rPr>
          <w:bCs/>
        </w:rPr>
        <w:tab/>
        <w:t xml:space="preserve">A su turno, </w:t>
      </w:r>
      <w:r>
        <w:t>Gerardo Celso Luppi ref</w:t>
      </w:r>
      <w:r>
        <w:t>i</w:t>
      </w:r>
      <w:r>
        <w:t xml:space="preserve">rió que en 1994 se desempeñaba como </w:t>
      </w:r>
      <w:r>
        <w:rPr>
          <w:bCs/>
        </w:rPr>
        <w:t xml:space="preserve">coordinador general en </w:t>
      </w:r>
      <w:smartTag w:uri="urn:schemas-microsoft-com:office:smarttags" w:element="PersonName">
        <w:smartTagPr>
          <w:attr w:name="ProductID" w:val="la Direcci￳n Nacional"/>
        </w:smartTagPr>
        <w:r>
          <w:rPr>
            <w:bCs/>
          </w:rPr>
          <w:t>la Dirección Nacional</w:t>
        </w:r>
      </w:smartTag>
      <w:r>
        <w:rPr>
          <w:bCs/>
        </w:rPr>
        <w:t xml:space="preserve"> de </w:t>
      </w:r>
      <w:smartTag w:uri="urn:schemas-microsoft-com:office:smarttags" w:element="PersonName">
        <w:smartTagPr>
          <w:attr w:name="ProductID" w:val="la Propiedad Automotor"/>
        </w:smartTagPr>
        <w:r>
          <w:rPr>
            <w:bCs/>
          </w:rPr>
          <w:t>la Propiedad Automotor</w:t>
        </w:r>
      </w:smartTag>
      <w:r>
        <w:rPr>
          <w:bCs/>
        </w:rPr>
        <w:t xml:space="preserve"> y que a raíz de la explosión en </w:t>
      </w:r>
      <w:smartTag w:uri="urn:schemas-microsoft-com:office:smarttags" w:element="PersonName">
        <w:smartTagPr>
          <w:attr w:name="ProductID" w:val="la A.M"/>
        </w:smartTagPr>
        <w:r>
          <w:rPr>
            <w:bCs/>
          </w:rPr>
          <w:t>la A.M</w:t>
        </w:r>
      </w:smartTag>
      <w:r>
        <w:rPr>
          <w:bCs/>
        </w:rPr>
        <w:t>.I.A. el director nacional convocó a un grupo de personas de varias áreas para col</w:t>
      </w:r>
      <w:r>
        <w:rPr>
          <w:bCs/>
        </w:rPr>
        <w:t>a</w:t>
      </w:r>
      <w:r>
        <w:rPr>
          <w:bCs/>
        </w:rPr>
        <w:t xml:space="preserve">borar ante pedidos de personal de </w:t>
      </w:r>
      <w:smartTag w:uri="urn:schemas-microsoft-com:office:smarttags" w:element="PersonName">
        <w:smartTagPr>
          <w:attr w:name="ProductID" w:val="la S.I"/>
        </w:smartTagPr>
        <w:r>
          <w:rPr>
            <w:bCs/>
          </w:rPr>
          <w:t>la S.I</w:t>
        </w:r>
      </w:smartTag>
      <w:r>
        <w:rPr>
          <w:bCs/>
        </w:rPr>
        <w:t>.D.E., bo</w:t>
      </w:r>
      <w:r>
        <w:rPr>
          <w:bCs/>
        </w:rPr>
        <w:t>m</w:t>
      </w:r>
      <w:r>
        <w:rPr>
          <w:bCs/>
        </w:rPr>
        <w:t>beros o explosivos, relativos a datos que pudieran obrar en el r</w:t>
      </w:r>
      <w:r>
        <w:rPr>
          <w:bCs/>
        </w:rPr>
        <w:t>e</w:t>
      </w:r>
      <w:r>
        <w:rPr>
          <w:bCs/>
        </w:rPr>
        <w:t>gistro.</w:t>
      </w:r>
    </w:p>
    <w:p w:rsidR="00224567" w:rsidRDefault="00224567">
      <w:pPr>
        <w:widowControl w:val="0"/>
        <w:rPr>
          <w:bCs/>
        </w:rPr>
      </w:pPr>
      <w:r>
        <w:rPr>
          <w:bCs/>
        </w:rPr>
        <w:tab/>
        <w:t>Según creía, inició sus tareas un d</w:t>
      </w:r>
      <w:r>
        <w:rPr>
          <w:bCs/>
        </w:rPr>
        <w:t>o</w:t>
      </w:r>
      <w:r>
        <w:rPr>
          <w:bCs/>
        </w:rPr>
        <w:t>mingo, continuando durante siete u ocho días, trabajá</w:t>
      </w:r>
      <w:r>
        <w:rPr>
          <w:bCs/>
        </w:rPr>
        <w:t>n</w:t>
      </w:r>
      <w:r>
        <w:rPr>
          <w:bCs/>
        </w:rPr>
        <w:t>dose hasta la madrugada. Además, hizo s</w:t>
      </w:r>
      <w:r>
        <w:rPr>
          <w:bCs/>
        </w:rPr>
        <w:t>a</w:t>
      </w:r>
      <w:r>
        <w:rPr>
          <w:bCs/>
        </w:rPr>
        <w:t>ber que, por razones de urgencia, se soslayaron algunas formalidades, por lo que muchos pedidos se efectuaron en forma verbal. Añ</w:t>
      </w:r>
      <w:r>
        <w:rPr>
          <w:bCs/>
        </w:rPr>
        <w:t>a</w:t>
      </w:r>
      <w:r>
        <w:rPr>
          <w:bCs/>
        </w:rPr>
        <w:t>dió que, en un principio, las solicitudes se relacionaban con núm</w:t>
      </w:r>
      <w:r>
        <w:rPr>
          <w:bCs/>
        </w:rPr>
        <w:t>e</w:t>
      </w:r>
      <w:r>
        <w:rPr>
          <w:bCs/>
        </w:rPr>
        <w:t>ros de dom</w:t>
      </w:r>
      <w:r>
        <w:rPr>
          <w:bCs/>
        </w:rPr>
        <w:t>i</w:t>
      </w:r>
      <w:r>
        <w:rPr>
          <w:bCs/>
        </w:rPr>
        <w:t>nio y de motor, pero luego se inclinaron hacia un número parcial de un motor y, finalmente, sin poder precisar si a partir del lunes, martes o miércoles, les comunicaron que se trataba de una Trafic, iniciando una búsqueda limitada a esos ut</w:t>
      </w:r>
      <w:r>
        <w:rPr>
          <w:bCs/>
        </w:rPr>
        <w:t>i</w:t>
      </w:r>
      <w:r>
        <w:rPr>
          <w:bCs/>
        </w:rPr>
        <w:t>litarios.</w:t>
      </w:r>
    </w:p>
    <w:p w:rsidR="00224567" w:rsidRDefault="00224567">
      <w:pPr>
        <w:widowControl w:val="0"/>
      </w:pPr>
      <w:r>
        <w:rPr>
          <w:bCs/>
        </w:rPr>
        <w:tab/>
        <w:t xml:space="preserve">Por su parte, </w:t>
      </w:r>
      <w:r>
        <w:t xml:space="preserve">Mirta Lilia Mazzitelli manifestó que en 1994 trabajaba en </w:t>
      </w:r>
      <w:smartTag w:uri="urn:schemas-microsoft-com:office:smarttags" w:element="PersonName">
        <w:smartTagPr>
          <w:attr w:name="ProductID" w:val="la Direcci￳n Nacional"/>
        </w:smartTagPr>
        <w:r>
          <w:t>la Dirección Nacional</w:t>
        </w:r>
      </w:smartTag>
      <w:r>
        <w:t xml:space="preserve"> de los Registros Automotores como jefa del Departamento Técnico Registral y que un sábado fue convocada para col</w:t>
      </w:r>
      <w:r>
        <w:t>a</w:t>
      </w:r>
      <w:r>
        <w:t xml:space="preserve">borar con un tema relacionado con el atentado a </w:t>
      </w:r>
      <w:smartTag w:uri="urn:schemas-microsoft-com:office:smarttags" w:element="PersonName">
        <w:smartTagPr>
          <w:attr w:name="ProductID" w:val="la A.M"/>
        </w:smartTagPr>
        <w:r>
          <w:t>la A.M</w:t>
        </w:r>
      </w:smartTag>
      <w:r>
        <w:t>.I.A.. Aclaró que su tarea consistió en buscar legajos de automotores sobre la base de determinados dominios s</w:t>
      </w:r>
      <w:r>
        <w:t>o</w:t>
      </w:r>
      <w:r>
        <w:t xml:space="preserve">licitados por </w:t>
      </w:r>
      <w:smartTag w:uri="urn:schemas-microsoft-com:office:smarttags" w:element="PersonName">
        <w:smartTagPr>
          <w:attr w:name="ProductID" w:val="la Direcci￳n"/>
        </w:smartTagPr>
        <w:r>
          <w:t>la Dirección</w:t>
        </w:r>
      </w:smartTag>
      <w:r>
        <w:t xml:space="preserve">, que a su vez eran requeridos por la policía y </w:t>
      </w:r>
      <w:smartTag w:uri="urn:schemas-microsoft-com:office:smarttags" w:element="PersonName">
        <w:smartTagPr>
          <w:attr w:name="ProductID" w:val="la S.I"/>
        </w:smartTagPr>
        <w:r>
          <w:t>la S.I</w:t>
        </w:r>
      </w:smartTag>
      <w:r>
        <w:t>.D.E.; también recordó que le p</w:t>
      </w:r>
      <w:r>
        <w:t>i</w:t>
      </w:r>
      <w:r>
        <w:t>dieron listados o datos de vehículos Tr</w:t>
      </w:r>
      <w:r>
        <w:t>a</w:t>
      </w:r>
      <w:r>
        <w:t>fic.</w:t>
      </w:r>
    </w:p>
    <w:p w:rsidR="00224567" w:rsidRDefault="00224567">
      <w:pPr>
        <w:widowControl w:val="0"/>
        <w:rPr>
          <w:bCs/>
        </w:rPr>
      </w:pPr>
      <w:r>
        <w:rPr>
          <w:bCs/>
        </w:rPr>
        <w:tab/>
        <w:t xml:space="preserve">A su vez, </w:t>
      </w:r>
      <w:r>
        <w:t>Carlos Edgardo Coppini ind</w:t>
      </w:r>
      <w:r>
        <w:t>i</w:t>
      </w:r>
      <w:r>
        <w:t xml:space="preserve">có que en 1994 </w:t>
      </w:r>
      <w:r>
        <w:rPr>
          <w:bCs/>
        </w:rPr>
        <w:t xml:space="preserve">era jefe del Departamento Normativo de </w:t>
      </w:r>
      <w:smartTag w:uri="urn:schemas-microsoft-com:office:smarttags" w:element="PersonName">
        <w:smartTagPr>
          <w:attr w:name="ProductID" w:val="la Direcci￳n Nacional"/>
        </w:smartTagPr>
        <w:r>
          <w:rPr>
            <w:bCs/>
          </w:rPr>
          <w:t>la Dirección Nacional</w:t>
        </w:r>
      </w:smartTag>
      <w:r>
        <w:rPr>
          <w:bCs/>
        </w:rPr>
        <w:t xml:space="preserve"> de Automotor y que con</w:t>
      </w:r>
      <w:r>
        <w:t xml:space="preserve"> </w:t>
      </w:r>
      <w:r>
        <w:rPr>
          <w:bCs/>
        </w:rPr>
        <w:t>motivo del ate</w:t>
      </w:r>
      <w:r>
        <w:rPr>
          <w:bCs/>
        </w:rPr>
        <w:t>n</w:t>
      </w:r>
      <w:r>
        <w:rPr>
          <w:bCs/>
        </w:rPr>
        <w:t xml:space="preserve">tado a </w:t>
      </w:r>
      <w:smartTag w:uri="urn:schemas-microsoft-com:office:smarttags" w:element="PersonName">
        <w:smartTagPr>
          <w:attr w:name="ProductID" w:val="la A.M"/>
        </w:smartTagPr>
        <w:r>
          <w:rPr>
            <w:bCs/>
          </w:rPr>
          <w:t>la A.M</w:t>
        </w:r>
      </w:smartTag>
      <w:r>
        <w:rPr>
          <w:bCs/>
        </w:rPr>
        <w:t>.I.A. debió concurrir un sábado a la dire</w:t>
      </w:r>
      <w:r>
        <w:rPr>
          <w:bCs/>
        </w:rPr>
        <w:t>c</w:t>
      </w:r>
      <w:r>
        <w:rPr>
          <w:bCs/>
        </w:rPr>
        <w:t>ción, para trabajar en el cruzamiento de números de mot</w:t>
      </w:r>
      <w:r>
        <w:rPr>
          <w:bCs/>
        </w:rPr>
        <w:t>o</w:t>
      </w:r>
      <w:r>
        <w:rPr>
          <w:bCs/>
        </w:rPr>
        <w:t xml:space="preserve">res, entre otras cosas. Aclaró que esa tarea se basaba en datos aportados por </w:t>
      </w:r>
      <w:smartTag w:uri="urn:schemas-microsoft-com:office:smarttags" w:element="PersonName">
        <w:smartTagPr>
          <w:attr w:name="ProductID" w:val="la Divisi￳n Explosivos"/>
        </w:smartTagPr>
        <w:r>
          <w:rPr>
            <w:bCs/>
          </w:rPr>
          <w:t>la División Explosivos</w:t>
        </w:r>
      </w:smartTag>
      <w:r>
        <w:rPr>
          <w:bCs/>
        </w:rPr>
        <w:t xml:space="preserve"> de Policía F</w:t>
      </w:r>
      <w:r>
        <w:rPr>
          <w:bCs/>
        </w:rPr>
        <w:t>e</w:t>
      </w:r>
      <w:r>
        <w:rPr>
          <w:bCs/>
        </w:rPr>
        <w:t xml:space="preserve">deral y </w:t>
      </w:r>
      <w:smartTag w:uri="urn:schemas-microsoft-com:office:smarttags" w:element="PersonName">
        <w:smartTagPr>
          <w:attr w:name="ProductID" w:val="la S.I"/>
        </w:smartTagPr>
        <w:r>
          <w:rPr>
            <w:bCs/>
          </w:rPr>
          <w:t>la S.I</w:t>
        </w:r>
      </w:smartTag>
      <w:r>
        <w:rPr>
          <w:bCs/>
        </w:rPr>
        <w:t>.D.E. y que a los cinco o seis días se emp</w:t>
      </w:r>
      <w:r>
        <w:rPr>
          <w:bCs/>
        </w:rPr>
        <w:t>e</w:t>
      </w:r>
      <w:r>
        <w:rPr>
          <w:bCs/>
        </w:rPr>
        <w:t>zó a hablar de una Renault Trafic.</w:t>
      </w:r>
    </w:p>
    <w:p w:rsidR="00224567" w:rsidRDefault="00224567">
      <w:pPr>
        <w:widowControl w:val="0"/>
        <w:rPr>
          <w:bCs/>
        </w:rPr>
      </w:pPr>
      <w:r>
        <w:rPr>
          <w:bCs/>
        </w:rPr>
        <w:tab/>
        <w:t>Finalmente, si bien manifestó que en ningún momento supo de un número de motor que se relaci</w:t>
      </w:r>
      <w:r>
        <w:rPr>
          <w:bCs/>
        </w:rPr>
        <w:t>o</w:t>
      </w:r>
      <w:r>
        <w:rPr>
          <w:bCs/>
        </w:rPr>
        <w:t>nara con una pieza encontrada entre los escombros, creía que después de la última hora del domingo, se comenzó a comentar esa circunstancia.</w:t>
      </w:r>
    </w:p>
    <w:p w:rsidR="00224567" w:rsidRDefault="00224567">
      <w:pPr>
        <w:widowControl w:val="0"/>
      </w:pPr>
      <w:r>
        <w:tab/>
        <w:t>Por último, María Ester Bruzzo, jefa en 1994 del Departamento Control de Inscripciones del R</w:t>
      </w:r>
      <w:r>
        <w:t>e</w:t>
      </w:r>
      <w:r>
        <w:t xml:space="preserve">gistro de </w:t>
      </w:r>
      <w:smartTag w:uri="urn:schemas-microsoft-com:office:smarttags" w:element="PersonName">
        <w:smartTagPr>
          <w:attr w:name="ProductID" w:val="la Propiedad Automotor"/>
        </w:smartTagPr>
        <w:r>
          <w:t>la Propiedad Automotor</w:t>
        </w:r>
      </w:smartTag>
      <w:r>
        <w:t>, si bien negó haber pa</w:t>
      </w:r>
      <w:r>
        <w:t>r</w:t>
      </w:r>
      <w:r>
        <w:t>ticipado en las tareas relacionadas con el atentado, r</w:t>
      </w:r>
      <w:r>
        <w:t>e</w:t>
      </w:r>
      <w:r>
        <w:t>cordó que por ese entonces le comentaron la formación de un equipo que, según creía, también funcionó fuera del h</w:t>
      </w:r>
      <w:r>
        <w:t>o</w:t>
      </w:r>
      <w:r>
        <w:t>rario de oficina.</w:t>
      </w:r>
    </w:p>
    <w:p w:rsidR="00224567" w:rsidRDefault="00224567">
      <w:pPr>
        <w:widowControl w:val="0"/>
      </w:pPr>
      <w:r>
        <w:tab/>
        <w:t>Además, hizo saber que hacia esa f</w:t>
      </w:r>
      <w:r>
        <w:t>e</w:t>
      </w:r>
      <w:r>
        <w:t>cha la dirección se hallaba informatizada precariamente, p</w:t>
      </w:r>
      <w:r>
        <w:t>u</w:t>
      </w:r>
      <w:r>
        <w:t>diendo localizarse un vehículo por número de m</w:t>
      </w:r>
      <w:r>
        <w:t>o</w:t>
      </w:r>
      <w:r>
        <w:t>tor, chasis o dominio, pero no con la vel</w:t>
      </w:r>
      <w:r>
        <w:t>o</w:t>
      </w:r>
      <w:r>
        <w:t>cidad con que se desarrolló posteriormente.</w:t>
      </w:r>
    </w:p>
    <w:p w:rsidR="00224567" w:rsidRDefault="00224567">
      <w:pPr>
        <w:widowControl w:val="0"/>
      </w:pPr>
      <w:r>
        <w:tab/>
      </w:r>
      <w:r>
        <w:rPr>
          <w:b/>
          <w:bCs/>
        </w:rPr>
        <w:t>A.2.b)</w:t>
      </w:r>
      <w:r>
        <w:t xml:space="preserve"> A su vez, de la constancia de fs. 215 se desprende que el 25 de julio de 1994 </w:t>
      </w:r>
      <w:smartTag w:uri="urn:schemas-microsoft-com:office:smarttags" w:element="PersonName">
        <w:smartTagPr>
          <w:attr w:name="ProductID" w:val="la Divisi￳n Sustracci￳n"/>
        </w:smartTagPr>
        <w:r>
          <w:t>la Div</w:t>
        </w:r>
        <w:r>
          <w:t>i</w:t>
        </w:r>
        <w:r>
          <w:t>sión Sustracción</w:t>
        </w:r>
      </w:smartTag>
      <w:r>
        <w:t xml:space="preserve"> de Automotores de </w:t>
      </w:r>
      <w:smartTag w:uri="urn:schemas-microsoft-com:office:smarttags" w:element="PersonName">
        <w:smartTagPr>
          <w:attr w:name="ProductID" w:val="la Polic￭a Federal"/>
        </w:smartTagPr>
        <w:r>
          <w:t>la Policía Federal</w:t>
        </w:r>
      </w:smartTag>
      <w:r>
        <w:t xml:space="preserve"> i</w:t>
      </w:r>
      <w:r>
        <w:t>n</w:t>
      </w:r>
      <w:r>
        <w:t>formó que el motor nº 2.831.467 correspondía a la unidad Renault Trafic dominio C 1.498.506, sin impedimentos leg</w:t>
      </w:r>
      <w:r>
        <w:t>a</w:t>
      </w:r>
      <w:r>
        <w:t>les y cuyo titular era “Messin S.R.L.”, con domicilio en la calle Paraná 1140 de esta ci</w:t>
      </w:r>
      <w:r>
        <w:t>u</w:t>
      </w:r>
      <w:r>
        <w:t>dad.</w:t>
      </w:r>
    </w:p>
    <w:p w:rsidR="00224567" w:rsidRDefault="00224567">
      <w:pPr>
        <w:widowControl w:val="0"/>
        <w:rPr>
          <w:rFonts w:eastAsia="Arial Unicode MS"/>
        </w:rPr>
      </w:pPr>
      <w:r>
        <w:tab/>
      </w:r>
      <w:r>
        <w:tab/>
        <w:t>Además, conforme al legajo B del R</w:t>
      </w:r>
      <w:r>
        <w:t>e</w:t>
      </w:r>
      <w:r>
        <w:t xml:space="preserve">gistro Nacional de </w:t>
      </w:r>
      <w:smartTag w:uri="urn:schemas-microsoft-com:office:smarttags" w:element="PersonName">
        <w:smartTagPr>
          <w:attr w:name="ProductID" w:val="la Propiedad"/>
        </w:smartTagPr>
        <w:r>
          <w:t>la Propiedad</w:t>
        </w:r>
      </w:smartTag>
      <w:r>
        <w:t xml:space="preserve"> del Automotor nº 50, se trataba de un vehículo Renault tipo fu</w:t>
      </w:r>
      <w:r>
        <w:t>r</w:t>
      </w:r>
      <w:r>
        <w:t>gón, modelo Trafic, patentado en 1990, carrocería T310-003325, figurando la firma referida precedentemente como única y última t</w:t>
      </w:r>
      <w:r>
        <w:t>i</w:t>
      </w:r>
      <w:r>
        <w:t xml:space="preserve">tular registral desde que el 14 de diciembre de 1989 solicitó su </w:t>
      </w:r>
      <w:r>
        <w:rPr>
          <w:rFonts w:eastAsia="Arial Unicode MS"/>
        </w:rPr>
        <w:t>inscripción inicial. También surge del legajo que, confo</w:t>
      </w:r>
      <w:r>
        <w:rPr>
          <w:rFonts w:eastAsia="Arial Unicode MS"/>
        </w:rPr>
        <w:t>r</w:t>
      </w:r>
      <w:r>
        <w:rPr>
          <w:rFonts w:eastAsia="Arial Unicode MS"/>
        </w:rPr>
        <w:t>me la factura nº 2843, “Messin” adquirió la camioneta a “F. O. Díaz S.A.” el día anterior a su registro (cónf. también fs. 230); como apoderado del titular f</w:t>
      </w:r>
      <w:r>
        <w:rPr>
          <w:rFonts w:eastAsia="Arial Unicode MS"/>
        </w:rPr>
        <w:t>i</w:t>
      </w:r>
      <w:r>
        <w:rPr>
          <w:rFonts w:eastAsia="Arial Unicode MS"/>
        </w:rPr>
        <w:t>gura Pedro Isaac Meta.</w:t>
      </w:r>
    </w:p>
    <w:p w:rsidR="00224567" w:rsidRDefault="00224567">
      <w:pPr>
        <w:widowControl w:val="0"/>
      </w:pPr>
      <w:r>
        <w:tab/>
        <w:t>Por su parte, la empresa “Renault A</w:t>
      </w:r>
      <w:r>
        <w:t>r</w:t>
      </w:r>
      <w:r>
        <w:t xml:space="preserve">gentina S.A.” informó mediante nota de fs. 28.201/28.203. que el motor pertenecía a una Trafic corta a nafta 1,4, modelo T310, serie 003325, color “blanco chapelco”, </w:t>
      </w:r>
      <w:r>
        <w:rPr>
          <w:bCs/>
        </w:rPr>
        <w:t>tap</w:t>
      </w:r>
      <w:r>
        <w:rPr>
          <w:bCs/>
        </w:rPr>
        <w:t>i</w:t>
      </w:r>
      <w:r>
        <w:rPr>
          <w:bCs/>
        </w:rPr>
        <w:t xml:space="preserve">zado plástico avellana, </w:t>
      </w:r>
      <w:r>
        <w:t>facturada al concesionario “Fra</w:t>
      </w:r>
      <w:r>
        <w:t>n</w:t>
      </w:r>
      <w:r>
        <w:t>cisco Osvaldo Díaz S.A.”. Dicho v</w:t>
      </w:r>
      <w:r>
        <w:t>e</w:t>
      </w:r>
      <w:r>
        <w:t xml:space="preserve">hículo figura entre los producidos por “C.I.A.D.E.A.” durante el período abril de </w:t>
      </w:r>
      <w:smartTag w:uri="urn:schemas-microsoft-com:office:smarttags" w:element="metricconverter">
        <w:smartTagPr>
          <w:attr w:name="ProductID" w:val="1987 a"/>
        </w:smartTagPr>
        <w:r>
          <w:t>1987 a</w:t>
        </w:r>
      </w:smartTag>
      <w:r>
        <w:t xml:space="preserve"> n</w:t>
      </w:r>
      <w:r>
        <w:t>o</w:t>
      </w:r>
      <w:r>
        <w:t>viembre de 1989 (cónf. fs. 12.804).</w:t>
      </w:r>
    </w:p>
    <w:p w:rsidR="00224567" w:rsidRDefault="00224567">
      <w:pPr>
        <w:widowControl w:val="0"/>
      </w:pPr>
      <w:r>
        <w:tab/>
      </w:r>
      <w:r>
        <w:tab/>
        <w:t>De la constancia del Departamento Pr</w:t>
      </w:r>
      <w:r>
        <w:t>o</w:t>
      </w:r>
      <w:r>
        <w:t>tección del Orden Constitucional glosada a fs. 221 surge que la c</w:t>
      </w:r>
      <w:r>
        <w:t>a</w:t>
      </w:r>
      <w:r>
        <w:t xml:space="preserve">mioneta Trafic propiedad de “Messin” se incendió en la vía pública el 7 de marzo de 1994, conforme denuncia que se radicó ante </w:t>
      </w:r>
      <w:smartTag w:uri="urn:schemas-microsoft-com:office:smarttags" w:element="PersonName">
        <w:smartTagPr>
          <w:attr w:name="ProductID" w:val="la Comisar￭a"/>
        </w:smartTagPr>
        <w:r>
          <w:t>la C</w:t>
        </w:r>
        <w:r>
          <w:t>o</w:t>
        </w:r>
        <w:r>
          <w:t>misaría</w:t>
        </w:r>
      </w:smartTag>
      <w:r>
        <w:t xml:space="preserve"> nº 6 de </w:t>
      </w:r>
      <w:smartTag w:uri="urn:schemas-microsoft-com:office:smarttags" w:element="PersonName">
        <w:smartTagPr>
          <w:attr w:name="ProductID" w:val="la P.F"/>
        </w:smartTagPr>
        <w:r>
          <w:t>la P.F</w:t>
        </w:r>
      </w:smartTag>
      <w:r>
        <w:t>.A.</w:t>
      </w:r>
    </w:p>
    <w:p w:rsidR="00224567" w:rsidRDefault="00224567">
      <w:pPr>
        <w:widowControl w:val="0"/>
      </w:pPr>
      <w:r>
        <w:tab/>
      </w:r>
      <w:r>
        <w:tab/>
        <w:t>Aldo Alfredo Álvarez, oficial de int</w:t>
      </w:r>
      <w:r>
        <w:t>e</w:t>
      </w:r>
      <w:r>
        <w:t xml:space="preserve">ligencia de </w:t>
      </w:r>
      <w:smartTag w:uri="urn:schemas-microsoft-com:office:smarttags" w:element="PersonName">
        <w:smartTagPr>
          <w:attr w:name="ProductID" w:val="la Polic￭a Federal"/>
        </w:smartTagPr>
        <w:r>
          <w:t>la Policía Federal</w:t>
        </w:r>
      </w:smartTag>
      <w:r>
        <w:t xml:space="preserve"> Argentina, explicó que al conocer al titular dominial concurrió de inmediato al d</w:t>
      </w:r>
      <w:r>
        <w:t>o</w:t>
      </w:r>
      <w:r>
        <w:t>micilio que surgía del informe, donde halló a un tío de Daniel Aaron Cassin, uno de los socios de “Messin S.R.L.”.</w:t>
      </w:r>
      <w:r>
        <w:tab/>
        <w:t>El mismo día, agregó, concurrió a la dependencia personal de la empresa aseguradora o un prom</w:t>
      </w:r>
      <w:r>
        <w:t>o</w:t>
      </w:r>
      <w:r>
        <w:t>tor de seguros, manifestando que la camioneta, luego del incendio, fue vendida a “Automotores Aleja</w:t>
      </w:r>
      <w:r>
        <w:t>n</w:t>
      </w:r>
      <w:r>
        <w:t>dro”, señalando que en d</w:t>
      </w:r>
      <w:r>
        <w:t>i</w:t>
      </w:r>
      <w:r>
        <w:t>cha empresa le entregaron una factura o recibo a nombre de “Teccedin”, con un domicilio en la calle Salk, de la loc</w:t>
      </w:r>
      <w:r>
        <w:t>a</w:t>
      </w:r>
      <w:r>
        <w:t>lidad de Olivos.</w:t>
      </w:r>
    </w:p>
    <w:p w:rsidR="00224567" w:rsidRDefault="00224567">
      <w:pPr>
        <w:widowControl w:val="0"/>
        <w:rPr>
          <w:bCs/>
        </w:rPr>
      </w:pPr>
      <w:r>
        <w:tab/>
        <w:t xml:space="preserve">En el mismo sentido, el principal </w:t>
      </w:r>
      <w:r>
        <w:rPr>
          <w:bCs/>
        </w:rPr>
        <w:t>F</w:t>
      </w:r>
      <w:r>
        <w:rPr>
          <w:bCs/>
        </w:rPr>
        <w:t>a</w:t>
      </w:r>
      <w:r>
        <w:rPr>
          <w:bCs/>
        </w:rPr>
        <w:t>bián Gabriel Prado, del Departamento Protección del O</w:t>
      </w:r>
      <w:r>
        <w:rPr>
          <w:bCs/>
        </w:rPr>
        <w:t>r</w:t>
      </w:r>
      <w:r>
        <w:rPr>
          <w:bCs/>
        </w:rPr>
        <w:t>den Constitucional, refirió que la noche en que los titul</w:t>
      </w:r>
      <w:r>
        <w:rPr>
          <w:bCs/>
        </w:rPr>
        <w:t>a</w:t>
      </w:r>
      <w:r>
        <w:rPr>
          <w:bCs/>
        </w:rPr>
        <w:t>res de la camioneta declararon en la dependencia y dijeron h</w:t>
      </w:r>
      <w:r>
        <w:rPr>
          <w:bCs/>
        </w:rPr>
        <w:t>a</w:t>
      </w:r>
      <w:r>
        <w:rPr>
          <w:bCs/>
        </w:rPr>
        <w:t>berla vendido a “Automotores Alejandro”, se apersonó en la sede de ese comercio, donde le entregaron la document</w:t>
      </w:r>
      <w:r>
        <w:rPr>
          <w:bCs/>
        </w:rPr>
        <w:t>a</w:t>
      </w:r>
      <w:r>
        <w:rPr>
          <w:bCs/>
        </w:rPr>
        <w:t>ción relativa a la op</w:t>
      </w:r>
      <w:r>
        <w:rPr>
          <w:bCs/>
        </w:rPr>
        <w:t>e</w:t>
      </w:r>
      <w:r>
        <w:rPr>
          <w:bCs/>
        </w:rPr>
        <w:t>ración.</w:t>
      </w:r>
    </w:p>
    <w:p w:rsidR="00224567" w:rsidRDefault="00224567">
      <w:pPr>
        <w:widowControl w:val="0"/>
        <w:rPr>
          <w:bCs/>
        </w:rPr>
      </w:pPr>
      <w:r>
        <w:rPr>
          <w:bCs/>
        </w:rPr>
        <w:tab/>
        <w:t xml:space="preserve">Por su parte, </w:t>
      </w:r>
      <w:r>
        <w:t>Jorge Luis Lucas relató que una vez que se obtuvo el número de dominio de la c</w:t>
      </w:r>
      <w:r>
        <w:t>a</w:t>
      </w:r>
      <w:r>
        <w:t xml:space="preserve">mioneta personal de </w:t>
      </w:r>
      <w:smartTag w:uri="urn:schemas-microsoft-com:office:smarttags" w:element="PersonName">
        <w:smartTagPr>
          <w:attr w:name="ProductID" w:val="la Direcci￳n"/>
        </w:smartTagPr>
        <w:r>
          <w:t>la Dirección</w:t>
        </w:r>
      </w:smartTag>
      <w:r>
        <w:t xml:space="preserve"> a su cargo encontró al propietario, quien explicó que tras incendiarse la entregó a una compañía de seguros, donde a su vez les informaron que había sido adquirida por “Automotores Alejandro”. Cr</w:t>
      </w:r>
      <w:r>
        <w:t>e</w:t>
      </w:r>
      <w:r>
        <w:t>yó reco</w:t>
      </w:r>
      <w:r>
        <w:t>r</w:t>
      </w:r>
      <w:r>
        <w:t>dar que al día siguiente se allanó esa agencia de automotores, pudiendo lograr el dato de la venta a “Tecc</w:t>
      </w:r>
      <w:r>
        <w:t>e</w:t>
      </w:r>
      <w:r>
        <w:t>din” y el teléfono particular de un tal Telleldín, cuyos nombres –advirtió- resultaban simil</w:t>
      </w:r>
      <w:r>
        <w:t>a</w:t>
      </w:r>
      <w:r>
        <w:t>res. A partir de dicho teléfono, explicó, se localizó el domicilio de República 107 de Villa Balle</w:t>
      </w:r>
      <w:r>
        <w:t>s</w:t>
      </w:r>
      <w:r>
        <w:t>ter.</w:t>
      </w:r>
    </w:p>
    <w:p w:rsidR="00224567" w:rsidRDefault="00224567">
      <w:pPr>
        <w:widowControl w:val="0"/>
      </w:pPr>
      <w:r>
        <w:rPr>
          <w:bCs/>
        </w:rPr>
        <w:tab/>
        <w:t xml:space="preserve">También </w:t>
      </w:r>
      <w:r>
        <w:t>Horacio Antonio Stiuso man</w:t>
      </w:r>
      <w:r>
        <w:t>i</w:t>
      </w:r>
      <w:r>
        <w:t>festó que una vez hallado el bloque de motor se dete</w:t>
      </w:r>
      <w:r>
        <w:t>r</w:t>
      </w:r>
      <w:r>
        <w:t>minó que pertenecía a una Trafic a nombre de “Messin”, con d</w:t>
      </w:r>
      <w:r>
        <w:t>o</w:t>
      </w:r>
      <w:r>
        <w:t>micilio en la calle Paraná, adonde envió a su personal a eso de las 19.30 del lunes 25 de julio, indicándoles que debían dirigirse a otro local a la vue</w:t>
      </w:r>
      <w:r>
        <w:t>l</w:t>
      </w:r>
      <w:r>
        <w:t>ta, sobre la calle Santa Fe, siendo allí info</w:t>
      </w:r>
      <w:r>
        <w:t>r</w:t>
      </w:r>
      <w:r>
        <w:t>mados que el vehículo les había pertenecido, pero se había incendiado a pri</w:t>
      </w:r>
      <w:r>
        <w:t>n</w:t>
      </w:r>
      <w:r>
        <w:t>cipios de año.</w:t>
      </w:r>
    </w:p>
    <w:p w:rsidR="00224567" w:rsidRDefault="00224567">
      <w:pPr>
        <w:widowControl w:val="0"/>
      </w:pPr>
      <w:r>
        <w:tab/>
        <w:t>Relató que esa misma noche se conta</w:t>
      </w:r>
      <w:r>
        <w:t>c</w:t>
      </w:r>
      <w:r>
        <w:t>taron con la compañía aseguradora “Juncal”, que les info</w:t>
      </w:r>
      <w:r>
        <w:t>r</w:t>
      </w:r>
      <w:r>
        <w:t>mó que dicho rodado había sido vendido a “Automotores Al</w:t>
      </w:r>
      <w:r>
        <w:t>e</w:t>
      </w:r>
      <w:r>
        <w:t>jandro” y que al concurrir a esta última sólo se encontr</w:t>
      </w:r>
      <w:r>
        <w:t>a</w:t>
      </w:r>
      <w:r>
        <w:t>ban los serenos, por lo que debieron regresar a la madr</w:t>
      </w:r>
      <w:r>
        <w:t>u</w:t>
      </w:r>
      <w:r>
        <w:t>gada del día siguiente, martes 26 de julio, en que obt</w:t>
      </w:r>
      <w:r>
        <w:t>u</w:t>
      </w:r>
      <w:r>
        <w:t>vieron la factura de venta de la camioneta, el 4 de j</w:t>
      </w:r>
      <w:r>
        <w:t>u</w:t>
      </w:r>
      <w:r>
        <w:t xml:space="preserve">lio de </w:t>
      </w:r>
      <w:smartTag w:uri="urn:schemas-microsoft-com:office:smarttags" w:element="metricconverter">
        <w:smartTagPr>
          <w:attr w:name="ProductID" w:val="1994, a"/>
        </w:smartTagPr>
        <w:r>
          <w:t>1994, a</w:t>
        </w:r>
      </w:smartTag>
      <w:r>
        <w:t xml:space="preserve"> un tal “Teccedin”, con domicilio en la calle Jonas Salk y una altura que resultó no ser la real. Adunó que en la agencia también obtuvo un número telefónico, a partir del cual, por su pertenencia, localizó el d</w:t>
      </w:r>
      <w:r>
        <w:t>o</w:t>
      </w:r>
      <w:r>
        <w:t>micilio de Rep</w:t>
      </w:r>
      <w:r>
        <w:t>ú</w:t>
      </w:r>
      <w:r>
        <w:t>blica 107.</w:t>
      </w:r>
    </w:p>
    <w:p w:rsidR="00224567" w:rsidRDefault="00224567">
      <w:pPr>
        <w:widowControl w:val="0"/>
      </w:pPr>
      <w:r>
        <w:tab/>
        <w:t xml:space="preserve">A su vez, Néstor Ricardo Hernández, jefe de investigaciones del Departamento de Operaciones de </w:t>
      </w:r>
      <w:smartTag w:uri="urn:schemas-microsoft-com:office:smarttags" w:element="PersonName">
        <w:smartTagPr>
          <w:attr w:name="ProductID" w:val="la Direcci￳n"/>
        </w:smartTagPr>
        <w:r>
          <w:t>la Dirección</w:t>
        </w:r>
      </w:smartTag>
      <w:r>
        <w:t xml:space="preserve"> de Contraintel</w:t>
      </w:r>
      <w:r>
        <w:t>i</w:t>
      </w:r>
      <w:r>
        <w:t xml:space="preserve">gencia de </w:t>
      </w:r>
      <w:smartTag w:uri="urn:schemas-microsoft-com:office:smarttags" w:element="PersonName">
        <w:smartTagPr>
          <w:attr w:name="ProductID" w:val="la S.I"/>
        </w:smartTagPr>
        <w:r>
          <w:t>la S.I</w:t>
        </w:r>
      </w:smartTag>
      <w:r>
        <w:t xml:space="preserve">.D.E., declaró que al conocerse la titularidad del motor hallado en </w:t>
      </w:r>
      <w:smartTag w:uri="urn:schemas-microsoft-com:office:smarttags" w:element="PersonName">
        <w:smartTagPr>
          <w:attr w:name="ProductID" w:val="la A.M"/>
        </w:smartTagPr>
        <w:r>
          <w:t>la A.M</w:t>
        </w:r>
      </w:smartTag>
      <w:r>
        <w:t>.I.A., según creía el lunes 25 de julio, su jefe le o</w:t>
      </w:r>
      <w:r>
        <w:t>r</w:t>
      </w:r>
      <w:r>
        <w:t>denó ir al domicilio obtenido, que era un negocio en la calle Paraná, desde donde lo der</w:t>
      </w:r>
      <w:r>
        <w:t>i</w:t>
      </w:r>
      <w:r>
        <w:t>varon a otro local, sobre Santa Fe; estimó que serían las 19.00. Allí conversaron con el ex dueño de la camioneta, tomando conocimie</w:t>
      </w:r>
      <w:r>
        <w:t>n</w:t>
      </w:r>
      <w:r>
        <w:t>to que se había incendiado y que el seguro la había pagado. Añ</w:t>
      </w:r>
      <w:r>
        <w:t>a</w:t>
      </w:r>
      <w:r>
        <w:t>dió que esa misma noche el representante de la empresa aseguradora confirmó tal circunstancia y que el utilitario había sido adquirido por la agencia de Alejandro Monjo, dedicada a la compra y venta de vehículos s</w:t>
      </w:r>
      <w:r>
        <w:t>i</w:t>
      </w:r>
      <w:r>
        <w:t>niestrados.</w:t>
      </w:r>
    </w:p>
    <w:p w:rsidR="00224567" w:rsidRDefault="00224567">
      <w:pPr>
        <w:widowControl w:val="0"/>
      </w:pPr>
      <w:r>
        <w:tab/>
        <w:t>Hernández manifestó que esa misma n</w:t>
      </w:r>
      <w:r>
        <w:t>o</w:t>
      </w:r>
      <w:r>
        <w:t>che, al concurrir a la agencia, sólo se encontraba el s</w:t>
      </w:r>
      <w:r>
        <w:t>e</w:t>
      </w:r>
      <w:r>
        <w:t>reno, por lo que regresaron horas más tarde, en la madr</w:t>
      </w:r>
      <w:r>
        <w:t>u</w:t>
      </w:r>
      <w:r>
        <w:t>gada del martes, en que se llevó a cabo un allanamiento, encontrándose varias facturas o boletas en las que figur</w:t>
      </w:r>
      <w:r>
        <w:t>a</w:t>
      </w:r>
      <w:r>
        <w:t>ba el nombre del comprador, quien resultó ser Carlos A</w:t>
      </w:r>
      <w:r>
        <w:t>l</w:t>
      </w:r>
      <w:r>
        <w:t>berto Telleldín. Mencionó, además, que se investigó un d</w:t>
      </w:r>
      <w:r>
        <w:t>o</w:t>
      </w:r>
      <w:r>
        <w:t>micilio en Villa Ballester y otro en San Martín –según creía uno era el taller de un tal “Ariel”-, obteniéndose el tel</w:t>
      </w:r>
      <w:r>
        <w:t>é</w:t>
      </w:r>
      <w:r>
        <w:t>fono de la casa de aquél, sin poder precisar si fue a resultas de esas averiguaciones o del propio allanamie</w:t>
      </w:r>
      <w:r>
        <w:t>n</w:t>
      </w:r>
      <w:r>
        <w:t>to. Adunó que informó a su jefe el n</w:t>
      </w:r>
      <w:r>
        <w:t>ú</w:t>
      </w:r>
      <w:r>
        <w:t>mero y luego éste le aportó lo que sería la dirección de Telleldín, según creía en la calle R</w:t>
      </w:r>
      <w:r>
        <w:t>e</w:t>
      </w:r>
      <w:r>
        <w:t>pública.</w:t>
      </w:r>
    </w:p>
    <w:p w:rsidR="00224567" w:rsidRDefault="00224567">
      <w:pPr>
        <w:widowControl w:val="0"/>
      </w:pPr>
      <w:r>
        <w:rPr>
          <w:bCs/>
        </w:rPr>
        <w:tab/>
        <w:t>En el mismo sentido,</w:t>
      </w:r>
      <w:r>
        <w:t xml:space="preserve"> Roberto Jorge S</w:t>
      </w:r>
      <w:r>
        <w:t>a</w:t>
      </w:r>
      <w:r>
        <w:t xml:space="preserve">ller, agente de </w:t>
      </w:r>
      <w:smartTag w:uri="urn:schemas-microsoft-com:office:smarttags" w:element="PersonName">
        <w:smartTagPr>
          <w:attr w:name="ProductID" w:val="la Divisi￳n"/>
        </w:smartTagPr>
        <w:r>
          <w:t>la División</w:t>
        </w:r>
      </w:smartTag>
      <w:r>
        <w:t xml:space="preserve"> de Investigaciones de </w:t>
      </w:r>
      <w:smartTag w:uri="urn:schemas-microsoft-com:office:smarttags" w:element="PersonName">
        <w:smartTagPr>
          <w:attr w:name="ProductID" w:val="la Direcci￳n"/>
        </w:smartTagPr>
        <w:r>
          <w:t>la D</w:t>
        </w:r>
        <w:r>
          <w:t>i</w:t>
        </w:r>
        <w:r>
          <w:t>rección</w:t>
        </w:r>
      </w:smartTag>
      <w:r>
        <w:t xml:space="preserve"> de Contraint</w:t>
      </w:r>
      <w:r>
        <w:t>e</w:t>
      </w:r>
      <w:r>
        <w:t xml:space="preserve">ligencia de </w:t>
      </w:r>
      <w:smartTag w:uri="urn:schemas-microsoft-com:office:smarttags" w:element="PersonName">
        <w:smartTagPr>
          <w:attr w:name="ProductID" w:val="la S.I"/>
        </w:smartTagPr>
        <w:r>
          <w:t>la S.I</w:t>
        </w:r>
      </w:smartTag>
      <w:r>
        <w:t>.D.E., declaró que el 26 de julio concurrió a una agencia de vehículos s</w:t>
      </w:r>
      <w:r>
        <w:t>i</w:t>
      </w:r>
      <w:r>
        <w:t>niestrados, denominada “Monjo Automotores”, ubicada s</w:t>
      </w:r>
      <w:r>
        <w:t>o</w:t>
      </w:r>
      <w:r>
        <w:t xml:space="preserve">bre </w:t>
      </w:r>
      <w:smartTag w:uri="urn:schemas-microsoft-com:office:smarttags" w:element="PersonName">
        <w:smartTagPr>
          <w:attr w:name="ProductID" w:val="la Av. San"/>
        </w:smartTagPr>
        <w:r>
          <w:t>la Av. San</w:t>
        </w:r>
      </w:smartTag>
      <w:r>
        <w:t xml:space="preserve"> Martín de esta ciudad, donde se halló una fa</w:t>
      </w:r>
      <w:r>
        <w:t>c</w:t>
      </w:r>
      <w:r>
        <w:t>tura de compra de una camioneta, en la que el apellido de Telleldín no estaba bien escrito, y un papel en el que s</w:t>
      </w:r>
      <w:r>
        <w:t>u</w:t>
      </w:r>
      <w:r>
        <w:t>puestamente figuraba el número telef</w:t>
      </w:r>
      <w:r>
        <w:t>ó</w:t>
      </w:r>
      <w:r>
        <w:t>nico del nombrado; a partir de allí se pudo establecer que se domiciliaría en República y Alvear, de la loc</w:t>
      </w:r>
      <w:r>
        <w:t>a</w:t>
      </w:r>
      <w:r>
        <w:t>lidad de Villa Ballester.</w:t>
      </w:r>
    </w:p>
    <w:p w:rsidR="00224567" w:rsidRDefault="00224567">
      <w:pPr>
        <w:widowControl w:val="0"/>
      </w:pPr>
      <w:r>
        <w:rPr>
          <w:bCs/>
        </w:rPr>
        <w:tab/>
      </w:r>
      <w:r>
        <w:t xml:space="preserve">En similares términos se pronunció Luis Domingo Delizia, agente de </w:t>
      </w:r>
      <w:smartTag w:uri="urn:schemas-microsoft-com:office:smarttags" w:element="PersonName">
        <w:smartTagPr>
          <w:attr w:name="ProductID" w:val="la Direcci￳n"/>
        </w:smartTagPr>
        <w:r>
          <w:t>la Dirección</w:t>
        </w:r>
      </w:smartTag>
      <w:r>
        <w:t xml:space="preserve"> de Contrai</w:t>
      </w:r>
      <w:r>
        <w:t>n</w:t>
      </w:r>
      <w:r>
        <w:t xml:space="preserve">teligencia de </w:t>
      </w:r>
      <w:smartTag w:uri="urn:schemas-microsoft-com:office:smarttags" w:element="PersonName">
        <w:smartTagPr>
          <w:attr w:name="ProductID" w:val="la S.I"/>
        </w:smartTagPr>
        <w:r>
          <w:t>la S.I</w:t>
        </w:r>
      </w:smartTag>
      <w:r>
        <w:t>.D.E., quien recordó que en oportun</w:t>
      </w:r>
      <w:r>
        <w:t>i</w:t>
      </w:r>
      <w:r>
        <w:t>dad de allanarse la agencia “Automotores Alejandro”, su jefe le exhibió una factura de compra de una camioneta Trafic a no</w:t>
      </w:r>
      <w:r>
        <w:t>m</w:t>
      </w:r>
      <w:r>
        <w:t>bre de “Teccedin” y un papel con el número de teléfono que, supuestamente, pertenecía a la casa del no</w:t>
      </w:r>
      <w:r>
        <w:t>m</w:t>
      </w:r>
      <w:r>
        <w:t>brado. Precisó que Hernández, desde el lugar, se c</w:t>
      </w:r>
      <w:r>
        <w:t>o</w:t>
      </w:r>
      <w:r>
        <w:t>municó con Stiuso, quien luego de un rato les dio la orden de d</w:t>
      </w:r>
      <w:r>
        <w:t>i</w:t>
      </w:r>
      <w:r>
        <w:t>rigirse a la casa de “Teccedin”.</w:t>
      </w:r>
    </w:p>
    <w:p w:rsidR="00224567" w:rsidRDefault="00224567">
      <w:pPr>
        <w:widowControl w:val="0"/>
      </w:pPr>
      <w:r>
        <w:tab/>
        <w:t>Por último, Daniel Alberto Fe</w:t>
      </w:r>
      <w:r>
        <w:t>r</w:t>
      </w:r>
      <w:r>
        <w:t xml:space="preserve">nández, agente de </w:t>
      </w:r>
      <w:smartTag w:uri="urn:schemas-microsoft-com:office:smarttags" w:element="PersonName">
        <w:smartTagPr>
          <w:attr w:name="ProductID" w:val="la Direcci￳n"/>
        </w:smartTagPr>
        <w:r>
          <w:t>la Dirección</w:t>
        </w:r>
      </w:smartTag>
      <w:r>
        <w:t xml:space="preserve"> de Contra-terrorismo de </w:t>
      </w:r>
      <w:smartTag w:uri="urn:schemas-microsoft-com:office:smarttags" w:element="PersonName">
        <w:smartTagPr>
          <w:attr w:name="ProductID" w:val="la S.I"/>
        </w:smartTagPr>
        <w:r>
          <w:t>la S.I</w:t>
        </w:r>
      </w:smartTag>
      <w:r>
        <w:t>.D.E., relató que el lunes 25 de julio concurrieron a un comercio ubicado en la calle Libe</w:t>
      </w:r>
      <w:r>
        <w:t>r</w:t>
      </w:r>
      <w:r>
        <w:t xml:space="preserve">tad, cerca de </w:t>
      </w:r>
      <w:smartTag w:uri="urn:schemas-microsoft-com:office:smarttags" w:element="PersonName">
        <w:smartTagPr>
          <w:attr w:name="ProductID" w:val="la Av. Santa"/>
        </w:smartTagPr>
        <w:r>
          <w:t>la Av. Santa</w:t>
        </w:r>
      </w:smartTag>
      <w:r>
        <w:t xml:space="preserve"> Fe, donde le hicieron s</w:t>
      </w:r>
      <w:r>
        <w:t>a</w:t>
      </w:r>
      <w:r>
        <w:t>ber que una camioneta Trafic de su propiedad había sufrido un incendio, abonándole el seguro su destrucción total. Refirió, además, que tras ello se contactaron con un asesor o un directivo de la aseguradora, quien aportó una fotografía de la camioneta siniestrada, la que fue vendida, en esas cond</w:t>
      </w:r>
      <w:r>
        <w:t>i</w:t>
      </w:r>
      <w:r>
        <w:t>ciones, a la agencia “Automotores Alejandro”.</w:t>
      </w:r>
    </w:p>
    <w:p w:rsidR="00224567" w:rsidRDefault="00224567">
      <w:pPr>
        <w:widowControl w:val="0"/>
      </w:pPr>
      <w:r>
        <w:rPr>
          <w:bCs/>
        </w:rPr>
        <w:tab/>
        <w:t>Al igual que sus compañeros de trab</w:t>
      </w:r>
      <w:r>
        <w:rPr>
          <w:bCs/>
        </w:rPr>
        <w:t>a</w:t>
      </w:r>
      <w:r>
        <w:rPr>
          <w:bCs/>
        </w:rPr>
        <w:t>jo, Fernández indicó</w:t>
      </w:r>
      <w:r>
        <w:t xml:space="preserve"> que concurrieron a esa e</w:t>
      </w:r>
      <w:r>
        <w:t>m</w:t>
      </w:r>
      <w:r>
        <w:t>presa, pero debido al horario ya estaba cerrada, regresando al día s</w:t>
      </w:r>
      <w:r>
        <w:t>i</w:t>
      </w:r>
      <w:r>
        <w:t>guiente a primera hora. En ese lugar, puntualizó, se obt</w:t>
      </w:r>
      <w:r>
        <w:t>u</w:t>
      </w:r>
      <w:r>
        <w:t>vo una factura de venta del rodado y uno o más números t</w:t>
      </w:r>
      <w:r>
        <w:t>e</w:t>
      </w:r>
      <w:r>
        <w:t>lefónicos de Carlos Telleldín. Adunó que, de inmediato, Hernández solicitó a su jefe la titularidad de los teléf</w:t>
      </w:r>
      <w:r>
        <w:t>o</w:t>
      </w:r>
      <w:r>
        <w:t>nos y así se llegó al domicilio de Villa Ballester. Por último, acotó que en la agencia les brindaron una descri</w:t>
      </w:r>
      <w:r>
        <w:t>p</w:t>
      </w:r>
      <w:r>
        <w:t>ción física de aquél.</w:t>
      </w:r>
    </w:p>
    <w:p w:rsidR="00224567" w:rsidRDefault="00224567">
      <w:pPr>
        <w:widowControl w:val="0"/>
      </w:pPr>
      <w:r>
        <w:tab/>
      </w:r>
      <w:r>
        <w:rPr>
          <w:b/>
          <w:bCs/>
        </w:rPr>
        <w:t>A.2.b.i)</w:t>
      </w:r>
      <w:r>
        <w:t xml:space="preserve"> A su turno, Roberto Samuel Cassin refirió que fue contactado en su come</w:t>
      </w:r>
      <w:r>
        <w:t>r</w:t>
      </w:r>
      <w:r>
        <w:t>cio, sito en Paraná y Santa Fe de esta ciudad, sin precisar la fecha, por funcionarios policiales, quienes le pregu</w:t>
      </w:r>
      <w:r>
        <w:t>n</w:t>
      </w:r>
      <w:r>
        <w:t>taron por su sobrino Daniel Cassin, enterándose post</w:t>
      </w:r>
      <w:r>
        <w:t>e</w:t>
      </w:r>
      <w:r>
        <w:t xml:space="preserve">riormente que una Trafic que éste había vendido sería la que explotó en </w:t>
      </w:r>
      <w:smartTag w:uri="urn:schemas-microsoft-com:office:smarttags" w:element="PersonName">
        <w:smartTagPr>
          <w:attr w:name="ProductID" w:val="la A.M"/>
        </w:smartTagPr>
        <w:r>
          <w:t>la A.M</w:t>
        </w:r>
      </w:smartTag>
      <w:r>
        <w:t>.I.A.</w:t>
      </w:r>
    </w:p>
    <w:p w:rsidR="00224567" w:rsidRDefault="00224567">
      <w:pPr>
        <w:widowControl w:val="0"/>
      </w:pPr>
      <w:r>
        <w:tab/>
        <w:t>Por su parte, Daniel Aaron Cassin m</w:t>
      </w:r>
      <w:r>
        <w:t>a</w:t>
      </w:r>
      <w:r>
        <w:t>nifestó que para el año 1994 integraba, junto con Isaac Pedro Meta, la firma “Messin S.R.L.” dedicada a la fabr</w:t>
      </w:r>
      <w:r>
        <w:t>i</w:t>
      </w:r>
      <w:r>
        <w:t>cación de indumentaria femenina. Aseveró que para su act</w:t>
      </w:r>
      <w:r>
        <w:t>i</w:t>
      </w:r>
      <w:r>
        <w:t>vidad, la empresa poseía una camioneta Trafic bla</w:t>
      </w:r>
      <w:r>
        <w:t>n</w:t>
      </w:r>
      <w:r>
        <w:t>ca, con puerta de costado, la que en 1994 se incendió cuando se encontraba en un estacionamiento próximo a sus oficinas. Explicó que a raíz de ello se radicó la denuncia corre</w:t>
      </w:r>
      <w:r>
        <w:t>s</w:t>
      </w:r>
      <w:r>
        <w:t>pondiente y que Luis Salinas, empleado de la firma, se e</w:t>
      </w:r>
      <w:r>
        <w:t>n</w:t>
      </w:r>
      <w:r>
        <w:t>cargó de los trámites para el cobro del seguro, contactá</w:t>
      </w:r>
      <w:r>
        <w:t>n</w:t>
      </w:r>
      <w:r>
        <w:t>dose con el productor de seguros Marcelo Mariani, retira</w:t>
      </w:r>
      <w:r>
        <w:t>n</w:t>
      </w:r>
      <w:r>
        <w:t>do la aseguradora “Juncal” los restos de la camioneta. N</w:t>
      </w:r>
      <w:r>
        <w:t>e</w:t>
      </w:r>
      <w:r>
        <w:t>gó haber tenido trato alguno con la firma “Automotores Alejandro” o haber recibido dinero de ella.</w:t>
      </w:r>
    </w:p>
    <w:p w:rsidR="00224567" w:rsidRDefault="00224567">
      <w:pPr>
        <w:widowControl w:val="0"/>
      </w:pPr>
      <w:r>
        <w:tab/>
        <w:t>Por su parte, Hugo Sergio Bottale, chofer de “Messin S.R.L.”, reconoció haber manejado una Trafic blanca, corta, con motor chico, con puerta lat</w:t>
      </w:r>
      <w:r>
        <w:t>e</w:t>
      </w:r>
      <w:r>
        <w:t>ral y trasera, propiedad de la empresa, la que se i</w:t>
      </w:r>
      <w:r>
        <w:t>n</w:t>
      </w:r>
      <w:r>
        <w:t>cendió en una playa de estacionamiento, quemándose los tanques de gas, una garrafita para tomar mate, cajas con restos de ropa y cierta documentación de la camioneta, como ser la cédula verde.</w:t>
      </w:r>
    </w:p>
    <w:p w:rsidR="00224567" w:rsidRDefault="00224567">
      <w:pPr>
        <w:widowControl w:val="0"/>
      </w:pPr>
      <w:r>
        <w:tab/>
        <w:t>El testigo Isaac Pedro Meta, integra</w:t>
      </w:r>
      <w:r>
        <w:t>n</w:t>
      </w:r>
      <w:r>
        <w:t>te de “Messin S.R.L.” junto con Daniel Cassin, r</w:t>
      </w:r>
      <w:r>
        <w:t>e</w:t>
      </w:r>
      <w:r>
        <w:t>cordó que su empresa tenía una camioneta Trafic modelo ‘89, color blanca, la que se incendió en un garaje sito en Alsina al 1800 de esta ciudad, quemándose el tanque de gas y la r</w:t>
      </w:r>
      <w:r>
        <w:t>e</w:t>
      </w:r>
      <w:r>
        <w:t>caudación, no recordando si resultó afectada la document</w:t>
      </w:r>
      <w:r>
        <w:t>a</w:t>
      </w:r>
      <w:r>
        <w:t>ción de la camion</w:t>
      </w:r>
      <w:r>
        <w:t>e</w:t>
      </w:r>
      <w:r>
        <w:t>ta.</w:t>
      </w:r>
    </w:p>
    <w:p w:rsidR="00224567" w:rsidRDefault="00224567">
      <w:pPr>
        <w:widowControl w:val="0"/>
      </w:pPr>
      <w:r>
        <w:tab/>
        <w:t>Meta explicó que el utilitario estaba asegurado con el “Grupo Juncal” y por el cobro de la i</w:t>
      </w:r>
      <w:r>
        <w:t>n</w:t>
      </w:r>
      <w:r>
        <w:t>demnización se manejó directamente con esa empresa o con el productor Marcelo Mariani. Señaló que liquidaron el s</w:t>
      </w:r>
      <w:r>
        <w:t>i</w:t>
      </w:r>
      <w:r>
        <w:t>niestro en $ 16.000, pero le entregaron un cheque por $ 12.500 ó 13.000, informándole que un tercero le abonaría la diferencia.</w:t>
      </w:r>
    </w:p>
    <w:p w:rsidR="00224567" w:rsidRDefault="00224567">
      <w:pPr>
        <w:widowControl w:val="0"/>
      </w:pPr>
      <w:r>
        <w:tab/>
        <w:t>Al respecto, manifestó que se prese</w:t>
      </w:r>
      <w:r>
        <w:t>n</w:t>
      </w:r>
      <w:r>
        <w:t>tó en la empresa un individuo al que no conocía, vest</w:t>
      </w:r>
      <w:r>
        <w:t>i</w:t>
      </w:r>
      <w:r>
        <w:t xml:space="preserve">do con indumentaria de trabajo, quien trasladó con una grúa </w:t>
      </w:r>
      <w:smartTag w:uri="urn:schemas-microsoft-com:office:smarttags" w:element="PersonName">
        <w:smartTagPr>
          <w:attr w:name="ProductID" w:val="la Trafic"/>
        </w:smartTagPr>
        <w:r>
          <w:t>la Trafic</w:t>
        </w:r>
      </w:smartTag>
      <w:r>
        <w:t xml:space="preserve"> quemada. Con relación al pago, creyó recordar que ese sujeto fue quien saldó la diferencia en efectivo, ca</w:t>
      </w:r>
      <w:r>
        <w:t>u</w:t>
      </w:r>
      <w:r>
        <w:t>sándole extrañeza que la indemnización convenida se hubi</w:t>
      </w:r>
      <w:r>
        <w:t>e</w:t>
      </w:r>
      <w:r>
        <w:t>ra abonado en dos etapas. Aseveró que al dejar los restos del rodado en manos del asegurador, desconocía por compl</w:t>
      </w:r>
      <w:r>
        <w:t>e</w:t>
      </w:r>
      <w:r>
        <w:t>to su ulterior destino.</w:t>
      </w:r>
    </w:p>
    <w:p w:rsidR="00224567" w:rsidRDefault="00224567">
      <w:pPr>
        <w:widowControl w:val="0"/>
      </w:pPr>
      <w:r>
        <w:tab/>
        <w:t>Al ampliar su declaración, Meta no p</w:t>
      </w:r>
      <w:r>
        <w:t>u</w:t>
      </w:r>
      <w:r>
        <w:t xml:space="preserve">do precisar qué papeles firmó con motivo de la venta de </w:t>
      </w:r>
      <w:smartTag w:uri="urn:schemas-microsoft-com:office:smarttags" w:element="PersonName">
        <w:smartTagPr>
          <w:attr w:name="ProductID" w:val="la Trafic"/>
        </w:smartTagPr>
        <w:r>
          <w:t>la Trafic</w:t>
        </w:r>
      </w:smartTag>
      <w:r>
        <w:t>; si bien reconoció su firma y el sello aclarat</w:t>
      </w:r>
      <w:r>
        <w:t>o</w:t>
      </w:r>
      <w:r>
        <w:t>rio en el recibo obrante a fs. 364, aclaró que no recordaba el documento ni le perten</w:t>
      </w:r>
      <w:r>
        <w:t>e</w:t>
      </w:r>
      <w:r>
        <w:t>cía la letra.</w:t>
      </w:r>
    </w:p>
    <w:p w:rsidR="00224567" w:rsidRDefault="00224567">
      <w:pPr>
        <w:widowControl w:val="0"/>
      </w:pPr>
      <w:r>
        <w:tab/>
        <w:t>Por último, indicó que concurrió al registro del automotor correspondiente, donde llenó toda la documentación necesaria para la baja de la camioneta, lo que le fue exigido por la comp</w:t>
      </w:r>
      <w:r>
        <w:t>a</w:t>
      </w:r>
      <w:r>
        <w:t>ñía de seguros, a través del productor, a efectos de abonarle el s</w:t>
      </w:r>
      <w:r>
        <w:t>i</w:t>
      </w:r>
      <w:r>
        <w:t>niestro.</w:t>
      </w:r>
    </w:p>
    <w:p w:rsidR="00224567" w:rsidRDefault="00224567">
      <w:pPr>
        <w:widowControl w:val="0"/>
      </w:pPr>
      <w:r>
        <w:tab/>
        <w:t>Luis Alberto Salinas, por su parte, declaró que entre 1993 y 1995 fue empleado de “Messin S.R.L.”, cumpliendo tareas administrativas y de tesor</w:t>
      </w:r>
      <w:r>
        <w:t>e</w:t>
      </w:r>
      <w:r>
        <w:t>ría. Precisó que la empresa poseía una Renault Trafic, que se estacionaba en una playa vecina, donde se ince</w:t>
      </w:r>
      <w:r>
        <w:t>n</w:t>
      </w:r>
      <w:r>
        <w:t>dió.</w:t>
      </w:r>
    </w:p>
    <w:p w:rsidR="00224567" w:rsidRDefault="00224567">
      <w:pPr>
        <w:widowControl w:val="0"/>
      </w:pPr>
      <w:r>
        <w:tab/>
        <w:t>Salinas indicó que a efectos de c</w:t>
      </w:r>
      <w:r>
        <w:t>o</w:t>
      </w:r>
      <w:r>
        <w:t>brar el seguro por el siniestro, luego de entregada la docume</w:t>
      </w:r>
      <w:r>
        <w:t>n</w:t>
      </w:r>
      <w:r>
        <w:t>tación al productor Mariani, debió presentar una nota aceptando la suma de $ 16.000 como indemnización, valor en el que estaba asegurada, r</w:t>
      </w:r>
      <w:r>
        <w:t>e</w:t>
      </w:r>
      <w:r>
        <w:t>cibiendo luego un cheque por un monto menor, ante lo cual el nombrado se comprometió a c</w:t>
      </w:r>
      <w:r>
        <w:t>o</w:t>
      </w:r>
      <w:r>
        <w:t>municarse por los restantes $ 3000. Esa suma, agregó, se la pagarían en efectivo, deducie</w:t>
      </w:r>
      <w:r>
        <w:t>n</w:t>
      </w:r>
      <w:r>
        <w:t>do que se trataba de una cuestión de disponibilidad de dinero por parte de la co</w:t>
      </w:r>
      <w:r>
        <w:t>m</w:t>
      </w:r>
      <w:r>
        <w:t>pañía de seguros.</w:t>
      </w:r>
    </w:p>
    <w:p w:rsidR="00224567" w:rsidRDefault="00224567">
      <w:pPr>
        <w:widowControl w:val="0"/>
      </w:pPr>
      <w:r>
        <w:tab/>
        <w:t>Adunó que luego se presentó un indiv</w:t>
      </w:r>
      <w:r>
        <w:t>i</w:t>
      </w:r>
      <w:r>
        <w:t>duo a quien no conocía a abonar el saldo, confecci</w:t>
      </w:r>
      <w:r>
        <w:t>o</w:t>
      </w:r>
      <w:r>
        <w:t>nándole un recibo por el retiro del vehículo, que fue llevado por una grúa.</w:t>
      </w:r>
    </w:p>
    <w:p w:rsidR="00224567" w:rsidRDefault="00224567">
      <w:pPr>
        <w:widowControl w:val="0"/>
      </w:pPr>
      <w:r>
        <w:tab/>
        <w:t>En otro orden, Salinas aseveró que c</w:t>
      </w:r>
      <w:r>
        <w:t>o</w:t>
      </w:r>
      <w:r>
        <w:t>noció la firma “Automotores Alejandro” con posterioridad al atentado, al ser citado al Departamento Pr</w:t>
      </w:r>
      <w:r>
        <w:t>o</w:t>
      </w:r>
      <w:r>
        <w:t>tección del Orden Constitucional junto con Daniel Cassin, creyendo r</w:t>
      </w:r>
      <w:r>
        <w:t>e</w:t>
      </w:r>
      <w:r>
        <w:t>cordar que Mariani le comentó que los $ 13.000 los había pagado la compañía de seguros y los $ 3000 restantes “A</w:t>
      </w:r>
      <w:r>
        <w:t>u</w:t>
      </w:r>
      <w:r>
        <w:t>tomotores Aleja</w:t>
      </w:r>
      <w:r>
        <w:t>n</w:t>
      </w:r>
      <w:r>
        <w:t>dro”.</w:t>
      </w:r>
    </w:p>
    <w:p w:rsidR="00224567" w:rsidRDefault="00224567">
      <w:pPr>
        <w:widowControl w:val="0"/>
      </w:pPr>
      <w:r>
        <w:tab/>
      </w:r>
      <w:r>
        <w:rPr>
          <w:b/>
          <w:bCs/>
        </w:rPr>
        <w:t xml:space="preserve">A.2.b.ii) </w:t>
      </w:r>
      <w:r>
        <w:t>A su vez, Marcelo Adrián M</w:t>
      </w:r>
      <w:r>
        <w:t>a</w:t>
      </w:r>
      <w:r>
        <w:t>riani expresó que desde 1991 se desempeñaba como pr</w:t>
      </w:r>
      <w:r>
        <w:t>o</w:t>
      </w:r>
      <w:r>
        <w:t>motor de seguros; que aproximadamente a partir del año 1992 se relacionó comercialmente con la firma “Messin”, a la que le vendió seguros para los locales, viviendas y algunos veh</w:t>
      </w:r>
      <w:r>
        <w:t>í</w:t>
      </w:r>
      <w:r>
        <w:t>culos personales y de la empresa, pólizas que derivaba a la compañía aseguradora “Solvencia”, integrante del “Grupo Juncal”. Entre los rodados asegurados por la soci</w:t>
      </w:r>
      <w:r>
        <w:t>e</w:t>
      </w:r>
      <w:r>
        <w:t>dad, indicó, había un furgón Renault por la suma de $ 16.000, que se incendió en una cochera cercana al domic</w:t>
      </w:r>
      <w:r>
        <w:t>i</w:t>
      </w:r>
      <w:r>
        <w:t>lio de la firma.</w:t>
      </w:r>
    </w:p>
    <w:p w:rsidR="00224567" w:rsidRDefault="00224567">
      <w:pPr>
        <w:widowControl w:val="0"/>
      </w:pPr>
      <w:r>
        <w:tab/>
        <w:t>Refirió que en concepto de indemniz</w:t>
      </w:r>
      <w:r>
        <w:t>a</w:t>
      </w:r>
      <w:r>
        <w:t>ción la aseguradora abonó $ 13.000. En cuanto a los 3000 restantes, explicó que fueron abonados por “Automotores Alejandro”, quien adquirió los restos incendiados de la unidad.</w:t>
      </w:r>
    </w:p>
    <w:p w:rsidR="00224567" w:rsidRDefault="00224567">
      <w:pPr>
        <w:widowControl w:val="0"/>
      </w:pPr>
      <w:r>
        <w:tab/>
        <w:t>Por su parte, Juan José Horacio Oribe declaró que hacia 1994 se desempeñaba como jefe de se</w:t>
      </w:r>
      <w:r>
        <w:t>c</w:t>
      </w:r>
      <w:r>
        <w:t>tor a cargo del área de inspecciones del sector de sinie</w:t>
      </w:r>
      <w:r>
        <w:t>s</w:t>
      </w:r>
      <w:r>
        <w:t>tros de autos del “Grupo Juncal” de compañías de seguros. E</w:t>
      </w:r>
      <w:r>
        <w:t>x</w:t>
      </w:r>
      <w:r>
        <w:t>plicó que para esa época el sistema de indemnización de siniestros era muy particular, admitie</w:t>
      </w:r>
      <w:r>
        <w:t>n</w:t>
      </w:r>
      <w:r>
        <w:t>do que en realidad cada compañía hacía lo que más le co</w:t>
      </w:r>
      <w:r>
        <w:t>n</w:t>
      </w:r>
      <w:r>
        <w:t>venía económicamente.</w:t>
      </w:r>
    </w:p>
    <w:p w:rsidR="00224567" w:rsidRDefault="00224567">
      <w:pPr>
        <w:widowControl w:val="0"/>
      </w:pPr>
      <w:r>
        <w:tab/>
        <w:t>En el caso, aseveró que dicho grupo asegurador acostumbraba abonar sólo una parte del monto indemnizatorio, mientras que el saldo lo completaba quien compraba los restos del rodado, el que nunca se regi</w:t>
      </w:r>
      <w:r>
        <w:t>s</w:t>
      </w:r>
      <w:r>
        <w:t>traba a nombre de la compañía.</w:t>
      </w:r>
    </w:p>
    <w:p w:rsidR="00224567" w:rsidRDefault="00224567">
      <w:pPr>
        <w:widowControl w:val="0"/>
      </w:pPr>
      <w:r>
        <w:tab/>
        <w:t xml:space="preserve">Con relación a </w:t>
      </w:r>
      <w:smartTag w:uri="urn:schemas-microsoft-com:office:smarttags" w:element="PersonName">
        <w:smartTagPr>
          <w:attr w:name="ProductID" w:val="la Trafic"/>
        </w:smartTagPr>
        <w:r>
          <w:t>la Trafic</w:t>
        </w:r>
      </w:smartTag>
      <w:r>
        <w:t xml:space="preserve"> de “Me</w:t>
      </w:r>
      <w:r>
        <w:t>s</w:t>
      </w:r>
      <w:r>
        <w:t>sin”, el testigo recordó que ésta sufrió un incendio impo</w:t>
      </w:r>
      <w:r>
        <w:t>r</w:t>
      </w:r>
      <w:r>
        <w:t>tante, no reparable, por lo que una parte la indemnizó la aseg</w:t>
      </w:r>
      <w:r>
        <w:t>u</w:t>
      </w:r>
      <w:r>
        <w:t>radora y la otra, quien adquirió lo que quedó de ella. Agregó que en el caso de marras correspondía pagar al as</w:t>
      </w:r>
      <w:r>
        <w:t>e</w:t>
      </w:r>
      <w:r>
        <w:t>gurado $ 16.500 y que si bien, en ese caso, la empresa se quedaba con el vehículo en el estado en que se encontraba para lu</w:t>
      </w:r>
      <w:r>
        <w:t>e</w:t>
      </w:r>
      <w:r>
        <w:t>go venderlo, era política de la compañía procurar deshacerse de los rodados, toda vez que los depósitos se encontraban ab</w:t>
      </w:r>
      <w:r>
        <w:t>a</w:t>
      </w:r>
      <w:r>
        <w:t>rrotados.</w:t>
      </w:r>
    </w:p>
    <w:p w:rsidR="00224567" w:rsidRDefault="00224567">
      <w:pPr>
        <w:widowControl w:val="0"/>
      </w:pPr>
      <w:r>
        <w:tab/>
        <w:t>Oribe indicó que cuando la compañía pagaba un vehículo siniestrado como pérdida total, se le daba de baja en el registro correspondiente y en rentas. Agregó que si el monto ofrecido por los compr</w:t>
      </w:r>
      <w:r>
        <w:t>a</w:t>
      </w:r>
      <w:r>
        <w:t>dores de los restos era inferior al veinte por ciento, la unidad debía darse de baja. También apuntó que si el siniestro se co</w:t>
      </w:r>
      <w:r>
        <w:t>n</w:t>
      </w:r>
      <w:r>
        <w:t>sideraba pérdida total, debía darse de baja el rodado pr</w:t>
      </w:r>
      <w:r>
        <w:t>e</w:t>
      </w:r>
      <w:r>
        <w:t>vio a ordenar el pago. Sin embargo, aceptó que un autom</w:t>
      </w:r>
      <w:r>
        <w:t>ó</w:t>
      </w:r>
      <w:r>
        <w:t>vil dado de baja carecía práctic</w:t>
      </w:r>
      <w:r>
        <w:t>a</w:t>
      </w:r>
      <w:r>
        <w:t>mente de valor, ya que lo que realmente importaba era la document</w:t>
      </w:r>
      <w:r>
        <w:t>a</w:t>
      </w:r>
      <w:r>
        <w:t>ción.</w:t>
      </w:r>
    </w:p>
    <w:p w:rsidR="00224567" w:rsidRDefault="00224567">
      <w:pPr>
        <w:widowControl w:val="0"/>
      </w:pPr>
      <w:r>
        <w:tab/>
        <w:t xml:space="preserve">En el caso de </w:t>
      </w:r>
      <w:smartTag w:uri="urn:schemas-microsoft-com:office:smarttags" w:element="PersonName">
        <w:smartTagPr>
          <w:attr w:name="ProductID" w:val="la Trafic"/>
        </w:smartTagPr>
        <w:r>
          <w:t>la Trafic</w:t>
        </w:r>
      </w:smartTag>
      <w:r>
        <w:t xml:space="preserve"> de “Messin”, expresó que el siniestro se liquidó como indemnización t</w:t>
      </w:r>
      <w:r>
        <w:t>o</w:t>
      </w:r>
      <w:r>
        <w:t>tal por incendio, determinándose que no era pérdida total. Si se catalogaba el siniestro como pérdida t</w:t>
      </w:r>
      <w:r>
        <w:t>o</w:t>
      </w:r>
      <w:r>
        <w:t>tal, añadió, la aseguradora debía pagar la totalidad de la p</w:t>
      </w:r>
      <w:r>
        <w:t>ó</w:t>
      </w:r>
      <w:r>
        <w:t>liza y, si bien se abonó el total de la suma por la que estaba aseg</w:t>
      </w:r>
      <w:r>
        <w:t>u</w:t>
      </w:r>
      <w:r>
        <w:t>rada, se hizo de manera tal que la empresa no se quedaba con el vehículo y desembolsaba lo menos pos</w:t>
      </w:r>
      <w:r>
        <w:t>i</w:t>
      </w:r>
      <w:r>
        <w:t>ble.</w:t>
      </w:r>
    </w:p>
    <w:p w:rsidR="00224567" w:rsidRDefault="00224567">
      <w:pPr>
        <w:widowControl w:val="0"/>
      </w:pPr>
      <w:r>
        <w:tab/>
        <w:t>Con relación a este tema, prestó d</w:t>
      </w:r>
      <w:r>
        <w:t>e</w:t>
      </w:r>
      <w:r>
        <w:t xml:space="preserve">claración testimonial Marcelo Ángel Aguirre, a cargo de la gerencia técnica de </w:t>
      </w:r>
      <w:smartTag w:uri="urn:schemas-microsoft-com:office:smarttags" w:element="PersonName">
        <w:smartTagPr>
          <w:attr w:name="ProductID" w:val="la Superintendencia"/>
        </w:smartTagPr>
        <w:r>
          <w:t>la Superintendencia</w:t>
        </w:r>
      </w:smartTag>
      <w:r>
        <w:t xml:space="preserve"> de Seguros de </w:t>
      </w:r>
      <w:smartTag w:uri="urn:schemas-microsoft-com:office:smarttags" w:element="PersonName">
        <w:smartTagPr>
          <w:attr w:name="ProductID" w:val="la Naci￳n. Ense￱￳"/>
        </w:smartTagPr>
        <w:r>
          <w:t>la Nación. Enseñó</w:t>
        </w:r>
      </w:smartTag>
      <w:r>
        <w:t xml:space="preserve"> que, a partir de 1990, en que se modificó la normativa, a efectos de calificarse como destrucción total un vehículo siniestrado se hacía una valuación de los restos luego del accidente o incendio y si resultaba inferior al veinte por ciento del valor del rodado al m</w:t>
      </w:r>
      <w:r>
        <w:t>o</w:t>
      </w:r>
      <w:r>
        <w:t>mento del siniestro, se consideraba que era un daño t</w:t>
      </w:r>
      <w:r>
        <w:t>o</w:t>
      </w:r>
      <w:r>
        <w:t>tal.</w:t>
      </w:r>
    </w:p>
    <w:p w:rsidR="00224567" w:rsidRDefault="00224567">
      <w:pPr>
        <w:widowControl w:val="0"/>
      </w:pPr>
      <w:r>
        <w:tab/>
        <w:t>Indicó que acreditada la destrucción total del vehículo y determinado su valor a la fecha del siniestro, a efectos de percibir el seguro se debía pr</w:t>
      </w:r>
      <w:r>
        <w:t>e</w:t>
      </w:r>
      <w:r>
        <w:t>sentar en la empresa aseguradora la documentación relaci</w:t>
      </w:r>
      <w:r>
        <w:t>o</w:t>
      </w:r>
      <w:r>
        <w:t>nada con la titularidad del rodado, inexistencia de pre</w:t>
      </w:r>
      <w:r>
        <w:t>n</w:t>
      </w:r>
      <w:r>
        <w:t>das y embargos, pago de impuestos y patentes. Agr</w:t>
      </w:r>
      <w:r>
        <w:t>e</w:t>
      </w:r>
      <w:r>
        <w:t>gó que, en el caso de destrucción total, también se exigía la in</w:t>
      </w:r>
      <w:r>
        <w:t>s</w:t>
      </w:r>
      <w:r>
        <w:t xml:space="preserve">cripción previa de la baja en el Registro de </w:t>
      </w:r>
      <w:smartTag w:uri="urn:schemas-microsoft-com:office:smarttags" w:element="PersonName">
        <w:smartTagPr>
          <w:attr w:name="ProductID" w:val="la Propiedad Automotor"/>
        </w:smartTagPr>
        <w:r>
          <w:t>la Propiedad Automotor</w:t>
        </w:r>
      </w:smartTag>
      <w:r>
        <w:t xml:space="preserve"> donde estaba radicado, lo que jurídicamente i</w:t>
      </w:r>
      <w:r>
        <w:t>m</w:t>
      </w:r>
      <w:r>
        <w:t>plicaba que el bien d</w:t>
      </w:r>
      <w:r>
        <w:t>e</w:t>
      </w:r>
      <w:r>
        <w:t>jaba de existir y se daba de baja el legajo. A tales efectos, señ</w:t>
      </w:r>
      <w:r>
        <w:t>a</w:t>
      </w:r>
      <w:r>
        <w:t>ló, el titular debía hacer el trámite en el Registro, completando un form</w:t>
      </w:r>
      <w:r>
        <w:t>u</w:t>
      </w:r>
      <w:r>
        <w:t>lario “</w:t>
      </w:r>
      <w:smartTag w:uri="urn:schemas-microsoft-com:office:smarttags" w:element="metricconverter">
        <w:smartTagPr>
          <w:attr w:name="ProductID" w:val="04”"/>
        </w:smartTagPr>
        <w:r>
          <w:t>04”</w:t>
        </w:r>
      </w:smartTag>
      <w:r>
        <w:t>.</w:t>
      </w:r>
    </w:p>
    <w:p w:rsidR="00224567" w:rsidRDefault="00224567">
      <w:pPr>
        <w:widowControl w:val="0"/>
      </w:pPr>
      <w:r>
        <w:tab/>
        <w:t>Por otra parte, explicó que para ca</w:t>
      </w:r>
      <w:r>
        <w:t>l</w:t>
      </w:r>
      <w:r>
        <w:t>cular el valor de los restos había diferentes mecani</w:t>
      </w:r>
      <w:r>
        <w:t>s</w:t>
      </w:r>
      <w:r>
        <w:t>mos, sea que la compañía tuviera tasadores o liquidadores pr</w:t>
      </w:r>
      <w:r>
        <w:t>o</w:t>
      </w:r>
      <w:r>
        <w:t>pios, sea que terceros prestasen ese servicio para la e</w:t>
      </w:r>
      <w:r>
        <w:t>m</w:t>
      </w:r>
      <w:r>
        <w:t>presa. La aseguradora, apuntó, determinaba los valores y hacía un ofrecimiento al asegurado, dependiendo luego de la aceptación o no de la oferta.</w:t>
      </w:r>
    </w:p>
    <w:p w:rsidR="00224567" w:rsidRDefault="00224567">
      <w:pPr>
        <w:widowControl w:val="0"/>
      </w:pPr>
      <w:r>
        <w:tab/>
        <w:t>Ante la destrucción total de un aut</w:t>
      </w:r>
      <w:r>
        <w:t>o</w:t>
      </w:r>
      <w:r>
        <w:t>móvil, señaló, la póliza brindaba dos opciones al asegur</w:t>
      </w:r>
      <w:r>
        <w:t>a</w:t>
      </w:r>
      <w:r>
        <w:t>do, aunque ambas implicaban la baja previa del vehículo; una, que percibiera el total de la indemnización transf</w:t>
      </w:r>
      <w:r>
        <w:t>i</w:t>
      </w:r>
      <w:r>
        <w:t>riendo los restos a la aseguradora y la otra, que se qu</w:t>
      </w:r>
      <w:r>
        <w:t>e</w:t>
      </w:r>
      <w:r>
        <w:t>dase con los restos, perc</w:t>
      </w:r>
      <w:r>
        <w:t>i</w:t>
      </w:r>
      <w:r>
        <w:t>biendo el ochenta por ciento de la inde</w:t>
      </w:r>
      <w:r>
        <w:t>m</w:t>
      </w:r>
      <w:r>
        <w:t>nización.</w:t>
      </w:r>
    </w:p>
    <w:p w:rsidR="00224567" w:rsidRDefault="00224567">
      <w:pPr>
        <w:widowControl w:val="0"/>
      </w:pPr>
      <w:r>
        <w:tab/>
        <w:t>A lo expuesto, añadió que la normat</w:t>
      </w:r>
      <w:r>
        <w:t>i</w:t>
      </w:r>
      <w:r>
        <w:t>va de 1990 respondía en parte a la adecuación de los proced</w:t>
      </w:r>
      <w:r>
        <w:t>i</w:t>
      </w:r>
      <w:r>
        <w:t>mientos relacionados con las pólizas y trámites en los R</w:t>
      </w:r>
      <w:r>
        <w:t>e</w:t>
      </w:r>
      <w:r>
        <w:t xml:space="preserve">gistros de </w:t>
      </w:r>
      <w:smartTag w:uri="urn:schemas-microsoft-com:office:smarttags" w:element="PersonName">
        <w:smartTagPr>
          <w:attr w:name="ProductID" w:val="la Propiedad Automotor"/>
        </w:smartTagPr>
        <w:r>
          <w:t>la Propiedad Automotor</w:t>
        </w:r>
      </w:smartTag>
      <w:r>
        <w:t>, para evitar el uso de documentación de rod</w:t>
      </w:r>
      <w:r>
        <w:t>a</w:t>
      </w:r>
      <w:r>
        <w:t>dos a fin de doblarlos.</w:t>
      </w:r>
    </w:p>
    <w:p w:rsidR="00224567" w:rsidRDefault="00224567">
      <w:pPr>
        <w:widowControl w:val="0"/>
      </w:pPr>
      <w:r>
        <w:tab/>
        <w:t xml:space="preserve">A fs. </w:t>
      </w:r>
      <w:r>
        <w:rPr>
          <w:rFonts w:eastAsia="Arial Unicode MS"/>
          <w:spacing w:val="-3"/>
        </w:rPr>
        <w:t>18.669/18.675</w:t>
      </w:r>
      <w:r>
        <w:t xml:space="preserve"> obran copias de la resolución </w:t>
      </w:r>
      <w:r>
        <w:rPr>
          <w:rFonts w:eastAsia="Arial Unicode MS"/>
          <w:spacing w:val="-3"/>
        </w:rPr>
        <w:t xml:space="preserve">nº 20.614 de </w:t>
      </w:r>
      <w:smartTag w:uri="urn:schemas-microsoft-com:office:smarttags" w:element="PersonName">
        <w:smartTagPr>
          <w:attr w:name="ProductID" w:val="la Superintendencia"/>
        </w:smartTagPr>
        <w:r>
          <w:rPr>
            <w:rFonts w:eastAsia="Arial Unicode MS"/>
            <w:spacing w:val="-3"/>
          </w:rPr>
          <w:t>la Superintendencia</w:t>
        </w:r>
      </w:smartTag>
      <w:r>
        <w:rPr>
          <w:rFonts w:eastAsia="Arial Unicode MS"/>
          <w:spacing w:val="-3"/>
        </w:rPr>
        <w:t xml:space="preserve"> de Seguros de </w:t>
      </w:r>
      <w:smartTag w:uri="urn:schemas-microsoft-com:office:smarttags" w:element="PersonName">
        <w:smartTagPr>
          <w:attr w:name="ProductID" w:val="la Naci￳n"/>
        </w:smartTagPr>
        <w:r>
          <w:rPr>
            <w:rFonts w:eastAsia="Arial Unicode MS"/>
            <w:spacing w:val="-3"/>
          </w:rPr>
          <w:t>la Nación</w:t>
        </w:r>
      </w:smartTag>
      <w:r>
        <w:t>, normativa aludida por Aguirre en su declar</w:t>
      </w:r>
      <w:r>
        <w:t>a</w:t>
      </w:r>
      <w:r>
        <w:t xml:space="preserve">ción. De ella surge que cuando </w:t>
      </w:r>
      <w:r>
        <w:rPr>
          <w:rFonts w:eastAsia="Arial Unicode MS"/>
          <w:spacing w:val="-3"/>
        </w:rPr>
        <w:t>el valor de los restos no supere el veinte por ciento del valor de venta al público al contado en plaza del vehículo asegurado al momento del siniestro, el daño se considerará c</w:t>
      </w:r>
      <w:r>
        <w:rPr>
          <w:rFonts w:eastAsia="Arial Unicode MS"/>
          <w:spacing w:val="-3"/>
        </w:rPr>
        <w:t>o</w:t>
      </w:r>
      <w:r>
        <w:rPr>
          <w:rFonts w:eastAsia="Arial Unicode MS"/>
          <w:spacing w:val="-3"/>
        </w:rPr>
        <w:t>mo total y el asegurado deberá transferir los restos al asegurador o a quien éste indique, salvo que opte por recibir el ochenta por ciento de la suma. Además, di</w:t>
      </w:r>
      <w:r>
        <w:rPr>
          <w:rFonts w:eastAsia="Arial Unicode MS"/>
          <w:spacing w:val="-3"/>
        </w:rPr>
        <w:t>s</w:t>
      </w:r>
      <w:r>
        <w:rPr>
          <w:rFonts w:eastAsia="Arial Unicode MS"/>
          <w:spacing w:val="-3"/>
        </w:rPr>
        <w:t>pone que, determinada la destrucción total del vehículo siniestrado, y aún cuando el asegurado optara por percibir el ochenta por ciento conservando los restos en su poder, deberá previamente a la indemnización inscribirse la baja definitiva de la un</w:t>
      </w:r>
      <w:r>
        <w:rPr>
          <w:rFonts w:eastAsia="Arial Unicode MS"/>
          <w:spacing w:val="-3"/>
        </w:rPr>
        <w:t>i</w:t>
      </w:r>
      <w:r>
        <w:rPr>
          <w:rFonts w:eastAsia="Arial Unicode MS"/>
          <w:spacing w:val="-3"/>
        </w:rPr>
        <w:t>dad por destrucción total.</w:t>
      </w:r>
    </w:p>
    <w:p w:rsidR="00224567" w:rsidRDefault="00224567">
      <w:pPr>
        <w:widowControl w:val="0"/>
      </w:pPr>
      <w:r>
        <w:tab/>
        <w:t xml:space="preserve">Asimismo, conforme la resolución nº </w:t>
      </w:r>
      <w:r>
        <w:rPr>
          <w:rFonts w:eastAsia="Arial Unicode MS"/>
          <w:spacing w:val="-3"/>
        </w:rPr>
        <w:t>22.418 de la misma entidad, en caso de siniestro, entre la documentación que debe proporcionar el asegurado, se e</w:t>
      </w:r>
      <w:r>
        <w:rPr>
          <w:rFonts w:eastAsia="Arial Unicode MS"/>
          <w:spacing w:val="-3"/>
        </w:rPr>
        <w:t>n</w:t>
      </w:r>
      <w:r>
        <w:rPr>
          <w:rFonts w:eastAsia="Arial Unicode MS"/>
          <w:spacing w:val="-3"/>
        </w:rPr>
        <w:t>cuentran la constancia de baja por destrucción total, exp</w:t>
      </w:r>
      <w:r>
        <w:rPr>
          <w:rFonts w:eastAsia="Arial Unicode MS"/>
          <w:spacing w:val="-3"/>
        </w:rPr>
        <w:t>e</w:t>
      </w:r>
      <w:r>
        <w:rPr>
          <w:rFonts w:eastAsia="Arial Unicode MS"/>
          <w:spacing w:val="-3"/>
        </w:rPr>
        <w:t xml:space="preserve">dida por el Registro Nacional de </w:t>
      </w:r>
      <w:smartTag w:uri="urn:schemas-microsoft-com:office:smarttags" w:element="PersonName">
        <w:smartTagPr>
          <w:attr w:name="ProductID" w:val="la  Propiedad  Automotor"/>
        </w:smartTagPr>
        <w:r>
          <w:rPr>
            <w:rFonts w:eastAsia="Arial Unicode MS"/>
            <w:spacing w:val="-3"/>
          </w:rPr>
          <w:t>la  Propiedad  Aut</w:t>
        </w:r>
        <w:r>
          <w:rPr>
            <w:rFonts w:eastAsia="Arial Unicode MS"/>
            <w:spacing w:val="-3"/>
          </w:rPr>
          <w:t>o</w:t>
        </w:r>
        <w:r>
          <w:rPr>
            <w:rFonts w:eastAsia="Arial Unicode MS"/>
            <w:spacing w:val="-3"/>
          </w:rPr>
          <w:t>motor</w:t>
        </w:r>
      </w:smartTag>
      <w:r>
        <w:rPr>
          <w:rFonts w:eastAsia="Arial Unicode MS"/>
          <w:spacing w:val="-3"/>
        </w:rPr>
        <w:t xml:space="preserve">  -formulario tipo “04”- y la cesión de derechos a favor de la entidad aseguradora -formulario “15”- (cónf. fs. 18.665/18.667).</w:t>
      </w:r>
    </w:p>
    <w:p w:rsidR="00224567" w:rsidRDefault="00224567">
      <w:pPr>
        <w:widowControl w:val="0"/>
      </w:pPr>
      <w:r>
        <w:tab/>
        <w:t>A su turno, Helmut Germán Windisch m</w:t>
      </w:r>
      <w:r>
        <w:t>a</w:t>
      </w:r>
      <w:r>
        <w:t>nifestó que en 1994 se desempeñaba como inspector de s</w:t>
      </w:r>
      <w:r>
        <w:t>i</w:t>
      </w:r>
      <w:r>
        <w:t>niestros de automotores en la compañía de seguros “Ju</w:t>
      </w:r>
      <w:r>
        <w:t>n</w:t>
      </w:r>
      <w:r>
        <w:t>cal”. En una oportunidad, refirió, concurrió a un garaje en la calle Alsina, donde vio una Trafic totalmente quem</w:t>
      </w:r>
      <w:r>
        <w:t>a</w:t>
      </w:r>
      <w:r>
        <w:t>da, con una pequeña po</w:t>
      </w:r>
      <w:r>
        <w:t>r</w:t>
      </w:r>
      <w:r>
        <w:t>ción de pintura que aparentaba ser blanca en el ángulo inferior izquierdo. Explicó que tomó el número de motor, que también se hallaba quemado, sin poder determinar si era suscept</w:t>
      </w:r>
      <w:r>
        <w:t>i</w:t>
      </w:r>
      <w:r>
        <w:t>ble de reparación. Aseveró que el siniestro fue considerado destrucción total y que entregó a la aseguradora el informe de la in</w:t>
      </w:r>
      <w:r>
        <w:t>s</w:t>
      </w:r>
      <w:r>
        <w:t>pección.</w:t>
      </w:r>
    </w:p>
    <w:p w:rsidR="00224567" w:rsidRDefault="00224567">
      <w:pPr>
        <w:widowControl w:val="0"/>
      </w:pPr>
      <w:r>
        <w:tab/>
      </w:r>
      <w:r>
        <w:rPr>
          <w:b/>
          <w:bCs/>
        </w:rPr>
        <w:t xml:space="preserve">A.2.b.iii) </w:t>
      </w:r>
      <w:r>
        <w:t>En otro orden, prestó d</w:t>
      </w:r>
      <w:r>
        <w:t>e</w:t>
      </w:r>
      <w:r>
        <w:t>claración testimonial Luis Alberto González, quien, s</w:t>
      </w:r>
      <w:r>
        <w:t>e</w:t>
      </w:r>
      <w:r>
        <w:t>gún indicó, en 1994 trabajaba como chofer de una grúa de la agencia “Alejandro Autos”. Recordó haber retirado una c</w:t>
      </w:r>
      <w:r>
        <w:t>a</w:t>
      </w:r>
      <w:r>
        <w:t>mioneta Trafic de un garaje ubicado en la calle Alsina, frente al Congreso, transportándola a la playa de la e</w:t>
      </w:r>
      <w:r>
        <w:t>m</w:t>
      </w:r>
      <w:r>
        <w:t>presa, donde fue limpiada. Asimismo, señaló que, según creía, al retirar la camioneta suscribió un recibo, rec</w:t>
      </w:r>
      <w:r>
        <w:t>o</w:t>
      </w:r>
      <w:r>
        <w:t>nociendo como propia la firma estampada en el recibo del 23 de marzo de 1994, obrante a fs. 227.</w:t>
      </w:r>
    </w:p>
    <w:p w:rsidR="00224567" w:rsidRDefault="00224567">
      <w:pPr>
        <w:widowControl w:val="0"/>
      </w:pPr>
      <w:r>
        <w:tab/>
      </w:r>
      <w:r>
        <w:rPr>
          <w:b/>
          <w:bCs/>
        </w:rPr>
        <w:t xml:space="preserve">A.2.b.iv) </w:t>
      </w:r>
      <w:r>
        <w:t>En cuanto al pago de la p</w:t>
      </w:r>
      <w:r>
        <w:t>ó</w:t>
      </w:r>
      <w:r>
        <w:t>liza a favor de “Messin S.R.L.”, surge a fs. 2976 que m</w:t>
      </w:r>
      <w:r>
        <w:t>e</w:t>
      </w:r>
      <w:r>
        <w:t xml:space="preserve">diante el cheque nº 29.712.678 de la “Banca Nazionale del Lavoro”, la aseguradora </w:t>
      </w:r>
      <w:r>
        <w:rPr>
          <w:rFonts w:eastAsia="Arial Unicode MS"/>
          <w:spacing w:val="-3"/>
        </w:rPr>
        <w:t xml:space="preserve">“Solvencia S.A.” </w:t>
      </w:r>
      <w:r>
        <w:t>abonó $ 11.291 el 21 de abril de 1994, en tanto conforme el r</w:t>
      </w:r>
      <w:r>
        <w:t>e</w:t>
      </w:r>
      <w:r>
        <w:t>cibo glosado a fs. 364, el 29 de abril “Automotores Aleja</w:t>
      </w:r>
      <w:r>
        <w:t>n</w:t>
      </w:r>
      <w:r>
        <w:t>dro” pagó los $ 3000 restantes, habiendo retirado Luis Go</w:t>
      </w:r>
      <w:r>
        <w:t>n</w:t>
      </w:r>
      <w:r>
        <w:t xml:space="preserve">zález los restos del vehículo </w:t>
      </w:r>
      <w:r>
        <w:rPr>
          <w:rFonts w:eastAsia="Arial Unicode MS"/>
          <w:spacing w:val="-3"/>
        </w:rPr>
        <w:t>en representación de la compañía de s</w:t>
      </w:r>
      <w:r>
        <w:rPr>
          <w:rFonts w:eastAsia="Arial Unicode MS"/>
          <w:spacing w:val="-3"/>
        </w:rPr>
        <w:t>e</w:t>
      </w:r>
      <w:r>
        <w:rPr>
          <w:rFonts w:eastAsia="Arial Unicode MS"/>
          <w:spacing w:val="-3"/>
        </w:rPr>
        <w:t>guros</w:t>
      </w:r>
      <w:r>
        <w:t xml:space="preserve"> el 23 de marzo de ese año (cónf. recibo de fs. 227).</w:t>
      </w:r>
    </w:p>
    <w:p w:rsidR="00224567" w:rsidRDefault="00224567">
      <w:pPr>
        <w:widowControl w:val="0"/>
      </w:pPr>
      <w:r>
        <w:tab/>
        <w:t>Sin embargo, a fs. 29.690/29.691 “Ju</w:t>
      </w:r>
      <w:r>
        <w:t>n</w:t>
      </w:r>
      <w:r>
        <w:t xml:space="preserve">cal Compañía de Seguros” informó que los restos de </w:t>
      </w:r>
      <w:smartTag w:uri="urn:schemas-microsoft-com:office:smarttags" w:element="PersonName">
        <w:smartTagPr>
          <w:attr w:name="ProductID" w:val="la Trafic C"/>
        </w:smartTagPr>
        <w:r>
          <w:t>la Tr</w:t>
        </w:r>
        <w:r>
          <w:t>a</w:t>
        </w:r>
        <w:r>
          <w:t>fic C</w:t>
        </w:r>
      </w:smartTag>
      <w:r>
        <w:t xml:space="preserve"> 1.498.506 nunca pertenecieron a esa comp</w:t>
      </w:r>
      <w:r>
        <w:t>a</w:t>
      </w:r>
      <w:r>
        <w:t>ñía, por lo que ninguna persona en representación de la empresa los retiró de la playa de est</w:t>
      </w:r>
      <w:r>
        <w:t>a</w:t>
      </w:r>
      <w:r>
        <w:t>cio</w:t>
      </w:r>
      <w:r>
        <w:softHyphen/>
        <w:t xml:space="preserve">namiento de Alsina al 1800 de </w:t>
      </w:r>
      <w:smartTag w:uri="urn:schemas-microsoft-com:office:smarttags" w:element="PersonName">
        <w:smartTagPr>
          <w:attr w:name="ProductID" w:val="la Capital Federal"/>
        </w:smartTagPr>
        <w:r>
          <w:t>la Capital Federal</w:t>
        </w:r>
      </w:smartTag>
      <w:r>
        <w:t>, desconociendo al Sr. Luis González c</w:t>
      </w:r>
      <w:r>
        <w:t>u</w:t>
      </w:r>
      <w:r>
        <w:t>ya firma aparecía en el recibo de fs. 227; negativa que encuentra explicación en que González era empleado de “A</w:t>
      </w:r>
      <w:r>
        <w:t>u</w:t>
      </w:r>
      <w:r>
        <w:t>tomotores Alejandro” y no de la asegurad</w:t>
      </w:r>
      <w:r>
        <w:t>o</w:t>
      </w:r>
      <w:r>
        <w:t>ra.</w:t>
      </w:r>
    </w:p>
    <w:p w:rsidR="00224567" w:rsidRDefault="00224567">
      <w:pPr>
        <w:widowControl w:val="0"/>
        <w:rPr>
          <w:rFonts w:eastAsia="Arial Unicode MS"/>
          <w:spacing w:val="-3"/>
        </w:rPr>
      </w:pPr>
      <w:r>
        <w:tab/>
        <w:t>A fs. 227/230 obran copias certific</w:t>
      </w:r>
      <w:r>
        <w:t>a</w:t>
      </w:r>
      <w:r>
        <w:t xml:space="preserve">das de documentación aportada por </w:t>
      </w:r>
      <w:r>
        <w:rPr>
          <w:rFonts w:eastAsia="Arial Unicode MS"/>
          <w:spacing w:val="-3"/>
        </w:rPr>
        <w:t>Luis Alberto Salinas, que incluyen la carátula de la póliza nº 175.541 de la co</w:t>
      </w:r>
      <w:r>
        <w:rPr>
          <w:rFonts w:eastAsia="Arial Unicode MS"/>
          <w:spacing w:val="-3"/>
        </w:rPr>
        <w:t>m</w:t>
      </w:r>
      <w:r>
        <w:rPr>
          <w:rFonts w:eastAsia="Arial Unicode MS"/>
          <w:spacing w:val="-3"/>
        </w:rPr>
        <w:t>pañía “Solvencia S.A.”, a nombre del asegurado “Messin S.R.L.”, con fecha de emisión 23 de septiembre de 1993, en la que figura Marcelo Adrián Mariani como promotor; el t</w:t>
      </w:r>
      <w:r>
        <w:rPr>
          <w:rFonts w:eastAsia="Arial Unicode MS"/>
          <w:spacing w:val="-3"/>
        </w:rPr>
        <w:t>í</w:t>
      </w:r>
      <w:r>
        <w:rPr>
          <w:rFonts w:eastAsia="Arial Unicode MS"/>
          <w:spacing w:val="-3"/>
        </w:rPr>
        <w:t>tulo del automotor y la factura nº 2843 de la firma “Fra</w:t>
      </w:r>
      <w:r>
        <w:rPr>
          <w:rFonts w:eastAsia="Arial Unicode MS"/>
          <w:spacing w:val="-3"/>
        </w:rPr>
        <w:t>n</w:t>
      </w:r>
      <w:r>
        <w:rPr>
          <w:rFonts w:eastAsia="Arial Unicode MS"/>
          <w:spacing w:val="-3"/>
        </w:rPr>
        <w:t>cisco O</w:t>
      </w:r>
      <w:r>
        <w:rPr>
          <w:rFonts w:eastAsia="Arial Unicode MS"/>
          <w:spacing w:val="-3"/>
        </w:rPr>
        <w:t>s</w:t>
      </w:r>
      <w:r>
        <w:rPr>
          <w:rFonts w:eastAsia="Arial Unicode MS"/>
          <w:spacing w:val="-3"/>
        </w:rPr>
        <w:t>valdo Díaz S.A.”.</w:t>
      </w:r>
    </w:p>
    <w:p w:rsidR="00224567" w:rsidRDefault="00224567">
      <w:pPr>
        <w:widowControl w:val="0"/>
        <w:rPr>
          <w:rFonts w:eastAsia="Arial Unicode MS"/>
          <w:spacing w:val="-3"/>
        </w:rPr>
      </w:pPr>
      <w:r>
        <w:rPr>
          <w:rFonts w:eastAsia="Arial Unicode MS"/>
          <w:spacing w:val="-3"/>
        </w:rPr>
        <w:tab/>
        <w:t>Salinas agregó más documentación rel</w:t>
      </w:r>
      <w:r>
        <w:rPr>
          <w:rFonts w:eastAsia="Arial Unicode MS"/>
          <w:spacing w:val="-3"/>
        </w:rPr>
        <w:t>a</w:t>
      </w:r>
      <w:r>
        <w:rPr>
          <w:rFonts w:eastAsia="Arial Unicode MS"/>
          <w:spacing w:val="-3"/>
        </w:rPr>
        <w:t xml:space="preserve">tiva a la camioneta Trafic y </w:t>
      </w:r>
      <w:r>
        <w:t>al trámite de cobro del seg</w:t>
      </w:r>
      <w:r>
        <w:t>u</w:t>
      </w:r>
      <w:r>
        <w:t xml:space="preserve">ro </w:t>
      </w:r>
      <w:r>
        <w:rPr>
          <w:rFonts w:eastAsia="Arial Unicode MS"/>
          <w:spacing w:val="-3"/>
        </w:rPr>
        <w:t>a fs. 4316/4326, al igual que</w:t>
      </w:r>
      <w:r>
        <w:t xml:space="preserve"> Daniel Aaron Ca</w:t>
      </w:r>
      <w:r>
        <w:t>s</w:t>
      </w:r>
      <w:r>
        <w:t>sin a fs. 27.834/27.839, incluida la acept</w:t>
      </w:r>
      <w:r>
        <w:t>a</w:t>
      </w:r>
      <w:r>
        <w:t xml:space="preserve">ción por parte de “Messin S.R.L.” de </w:t>
      </w:r>
      <w:r>
        <w:rPr>
          <w:rFonts w:eastAsia="Arial Unicode MS"/>
          <w:spacing w:val="-3"/>
        </w:rPr>
        <w:t xml:space="preserve">la indemnización total de </w:t>
      </w:r>
      <w:r>
        <w:t>USD</w:t>
      </w:r>
      <w:r>
        <w:rPr>
          <w:rFonts w:eastAsia="Arial Unicode MS"/>
          <w:spacing w:val="-3"/>
        </w:rPr>
        <w:t xml:space="preserve"> 16.000 y autor</w:t>
      </w:r>
      <w:r>
        <w:rPr>
          <w:rFonts w:eastAsia="Arial Unicode MS"/>
          <w:spacing w:val="-3"/>
        </w:rPr>
        <w:t>i</w:t>
      </w:r>
      <w:r>
        <w:rPr>
          <w:rFonts w:eastAsia="Arial Unicode MS"/>
          <w:spacing w:val="-3"/>
        </w:rPr>
        <w:t>zando a retirar los restos del aut</w:t>
      </w:r>
      <w:r>
        <w:rPr>
          <w:rFonts w:eastAsia="Arial Unicode MS"/>
          <w:spacing w:val="-3"/>
        </w:rPr>
        <w:t>o</w:t>
      </w:r>
      <w:r>
        <w:rPr>
          <w:rFonts w:eastAsia="Arial Unicode MS"/>
          <w:spacing w:val="-3"/>
        </w:rPr>
        <w:t>motor.</w:t>
      </w:r>
    </w:p>
    <w:p w:rsidR="00224567" w:rsidRDefault="00224567">
      <w:pPr>
        <w:widowControl w:val="0"/>
        <w:rPr>
          <w:rFonts w:eastAsia="Arial Unicode MS"/>
          <w:spacing w:val="-3"/>
        </w:rPr>
      </w:pPr>
      <w:r>
        <w:rPr>
          <w:rFonts w:eastAsia="Arial Unicode MS"/>
          <w:spacing w:val="-3"/>
        </w:rPr>
        <w:tab/>
        <w:t xml:space="preserve">Por su parte, </w:t>
      </w:r>
      <w:r>
        <w:rPr>
          <w:iCs/>
        </w:rPr>
        <w:t>Juan José Horacio Oribe</w:t>
      </w:r>
      <w:r>
        <w:t xml:space="preserve"> apo</w:t>
      </w:r>
      <w:r>
        <w:t>r</w:t>
      </w:r>
      <w:r>
        <w:t>tó documentación que se agregó a fs. 290/296, entre la que se encuentra una</w:t>
      </w:r>
      <w:r>
        <w:rPr>
          <w:rFonts w:eastAsia="Arial Unicode MS"/>
          <w:spacing w:val="-3"/>
        </w:rPr>
        <w:t xml:space="preserve"> constancia de tasación de reparación de a</w:t>
      </w:r>
      <w:r>
        <w:rPr>
          <w:rFonts w:eastAsia="Arial Unicode MS"/>
          <w:spacing w:val="-3"/>
        </w:rPr>
        <w:t>u</w:t>
      </w:r>
      <w:r>
        <w:rPr>
          <w:rFonts w:eastAsia="Arial Unicode MS"/>
          <w:spacing w:val="-3"/>
        </w:rPr>
        <w:t>tomotores del “Grupo Juncal” firmada por el inspector Helmut G. Windisch, figurando como fecha de incendio el 7 de marzo de 1994 y de inspección el 8 de ese mes y año. Asimismo, obra un fax del 21 de marzo de “Automotores Al</w:t>
      </w:r>
      <w:r>
        <w:rPr>
          <w:rFonts w:eastAsia="Arial Unicode MS"/>
          <w:spacing w:val="-3"/>
        </w:rPr>
        <w:t>e</w:t>
      </w:r>
      <w:r>
        <w:rPr>
          <w:rFonts w:eastAsia="Arial Unicode MS"/>
          <w:spacing w:val="-3"/>
        </w:rPr>
        <w:t xml:space="preserve">jandro S.R.L.” al “Grupo Juncal” con una oferta de compra de </w:t>
      </w:r>
      <w:smartTag w:uri="urn:schemas-microsoft-com:office:smarttags" w:element="PersonName">
        <w:smartTagPr>
          <w:attr w:name="ProductID" w:val="la Trafic C"/>
        </w:smartTagPr>
        <w:r>
          <w:rPr>
            <w:rFonts w:eastAsia="Arial Unicode MS"/>
            <w:spacing w:val="-3"/>
          </w:rPr>
          <w:t>la Trafic C</w:t>
        </w:r>
      </w:smartTag>
      <w:r>
        <w:rPr>
          <w:rFonts w:eastAsia="Arial Unicode MS"/>
          <w:spacing w:val="-3"/>
        </w:rPr>
        <w:t xml:space="preserve"> 1.498.506 por </w:t>
      </w:r>
      <w:r>
        <w:t>USD</w:t>
      </w:r>
      <w:r>
        <w:rPr>
          <w:rFonts w:eastAsia="Arial Unicode MS"/>
          <w:spacing w:val="-3"/>
        </w:rPr>
        <w:t xml:space="preserve"> 3500.</w:t>
      </w:r>
    </w:p>
    <w:p w:rsidR="00224567" w:rsidRDefault="00224567">
      <w:pPr>
        <w:widowControl w:val="0"/>
        <w:rPr>
          <w:rFonts w:eastAsia="Arial Unicode MS"/>
          <w:spacing w:val="-3"/>
        </w:rPr>
      </w:pPr>
      <w:r>
        <w:rPr>
          <w:rFonts w:eastAsia="Arial Unicode MS"/>
          <w:spacing w:val="-3"/>
        </w:rPr>
        <w:tab/>
        <w:t>También obra una constancia de “Solve</w:t>
      </w:r>
      <w:r>
        <w:rPr>
          <w:rFonts w:eastAsia="Arial Unicode MS"/>
          <w:spacing w:val="-3"/>
        </w:rPr>
        <w:t>n</w:t>
      </w:r>
      <w:r>
        <w:rPr>
          <w:rFonts w:eastAsia="Arial Unicode MS"/>
          <w:spacing w:val="-3"/>
        </w:rPr>
        <w:t>cia S.A.”, con observaciones relacionadas al sinie</w:t>
      </w:r>
      <w:r>
        <w:rPr>
          <w:rFonts w:eastAsia="Arial Unicode MS"/>
          <w:spacing w:val="-3"/>
        </w:rPr>
        <w:t>s</w:t>
      </w:r>
      <w:r>
        <w:rPr>
          <w:rFonts w:eastAsia="Arial Unicode MS"/>
          <w:spacing w:val="-3"/>
        </w:rPr>
        <w:t>tro, en las que, pese a haber considerado al incendio como total, se concluye que no se trataba de una pérdida total. Tras ello se liquidó al asegurado la suma de $ 13.000, conse</w:t>
      </w:r>
      <w:r>
        <w:rPr>
          <w:rFonts w:eastAsia="Arial Unicode MS"/>
          <w:spacing w:val="-3"/>
        </w:rPr>
        <w:t>r</w:t>
      </w:r>
      <w:r>
        <w:rPr>
          <w:rFonts w:eastAsia="Arial Unicode MS"/>
          <w:spacing w:val="-3"/>
        </w:rPr>
        <w:t>vando los restos en su poder.</w:t>
      </w:r>
    </w:p>
    <w:p w:rsidR="00224567" w:rsidRDefault="00224567">
      <w:pPr>
        <w:widowControl w:val="0"/>
        <w:rPr>
          <w:rFonts w:eastAsia="Arial Unicode MS"/>
          <w:spacing w:val="-3"/>
        </w:rPr>
      </w:pPr>
      <w:r>
        <w:rPr>
          <w:rFonts w:eastAsia="Arial Unicode MS"/>
          <w:spacing w:val="-3"/>
        </w:rPr>
        <w:tab/>
        <w:t>Consecuentemente con lo expuesto, a fs. 295 obra la liquidación efectuada por “Solvencia S.A.” a “Messin S.R.L.”, de fecha 15 de abril de 1994. Por últ</w:t>
      </w:r>
      <w:r>
        <w:rPr>
          <w:rFonts w:eastAsia="Arial Unicode MS"/>
          <w:spacing w:val="-3"/>
        </w:rPr>
        <w:t>i</w:t>
      </w:r>
      <w:r>
        <w:rPr>
          <w:rFonts w:eastAsia="Arial Unicode MS"/>
          <w:spacing w:val="-3"/>
        </w:rPr>
        <w:t>mo, en la denuncia del siniestro de fs. 296 se lee una aclar</w:t>
      </w:r>
      <w:r>
        <w:rPr>
          <w:rFonts w:eastAsia="Arial Unicode MS"/>
          <w:spacing w:val="-3"/>
        </w:rPr>
        <w:t>a</w:t>
      </w:r>
      <w:r>
        <w:rPr>
          <w:rFonts w:eastAsia="Arial Unicode MS"/>
          <w:spacing w:val="-3"/>
        </w:rPr>
        <w:t xml:space="preserve">ción manuscrita, que indica que se indemniza como total y único pago la suma de </w:t>
      </w:r>
      <w:r>
        <w:t>USD</w:t>
      </w:r>
      <w:r>
        <w:rPr>
          <w:rFonts w:eastAsia="Arial Unicode MS"/>
          <w:spacing w:val="-3"/>
        </w:rPr>
        <w:t xml:space="preserve"> 13.000, aclarando que no es pé</w:t>
      </w:r>
      <w:r>
        <w:rPr>
          <w:rFonts w:eastAsia="Arial Unicode MS"/>
          <w:spacing w:val="-3"/>
        </w:rPr>
        <w:t>r</w:t>
      </w:r>
      <w:r>
        <w:rPr>
          <w:rFonts w:eastAsia="Arial Unicode MS"/>
          <w:spacing w:val="-3"/>
        </w:rPr>
        <w:t>dida total.</w:t>
      </w:r>
    </w:p>
    <w:p w:rsidR="00224567" w:rsidRDefault="00224567">
      <w:pPr>
        <w:widowControl w:val="0"/>
        <w:rPr>
          <w:rFonts w:eastAsia="Arial Unicode MS"/>
          <w:spacing w:val="-3"/>
        </w:rPr>
      </w:pPr>
      <w:r>
        <w:rPr>
          <w:rFonts w:eastAsia="Arial Unicode MS"/>
          <w:spacing w:val="-3"/>
        </w:rPr>
        <w:tab/>
        <w:t xml:space="preserve">A su vez, el “Grupo Juncal” aportó la documentación y nota de fs. 4781/4785, entre la cual luce un informe manuscrito de Juan José Oribe acerca de </w:t>
      </w:r>
      <w:smartTag w:uri="urn:schemas-microsoft-com:office:smarttags" w:element="PersonName">
        <w:smartTagPr>
          <w:attr w:name="ProductID" w:val="la Trafic"/>
        </w:smartTagPr>
        <w:r>
          <w:rPr>
            <w:rFonts w:eastAsia="Arial Unicode MS"/>
            <w:spacing w:val="-3"/>
          </w:rPr>
          <w:t>la Tr</w:t>
        </w:r>
        <w:r>
          <w:rPr>
            <w:rFonts w:eastAsia="Arial Unicode MS"/>
            <w:spacing w:val="-3"/>
          </w:rPr>
          <w:t>a</w:t>
        </w:r>
        <w:r>
          <w:rPr>
            <w:rFonts w:eastAsia="Arial Unicode MS"/>
            <w:spacing w:val="-3"/>
          </w:rPr>
          <w:t>fic</w:t>
        </w:r>
      </w:smartTag>
      <w:r>
        <w:rPr>
          <w:rFonts w:eastAsia="Arial Unicode MS"/>
          <w:spacing w:val="-3"/>
        </w:rPr>
        <w:t xml:space="preserve">, del que surge que el valor de plaza era de </w:t>
      </w:r>
      <w:r>
        <w:t>USD</w:t>
      </w:r>
      <w:r>
        <w:rPr>
          <w:rFonts w:eastAsia="Arial Unicode MS"/>
          <w:spacing w:val="-3"/>
        </w:rPr>
        <w:t xml:space="preserve"> 16.500, en tanto los restos fueron presupuestados en </w:t>
      </w:r>
      <w:r>
        <w:t>USD</w:t>
      </w:r>
      <w:r>
        <w:rPr>
          <w:rFonts w:eastAsia="Arial Unicode MS"/>
          <w:spacing w:val="-3"/>
        </w:rPr>
        <w:t xml:space="preserve"> 3500, no tratándose de pérdida total. Asimismo, consta que se co</w:t>
      </w:r>
      <w:r>
        <w:rPr>
          <w:rFonts w:eastAsia="Arial Unicode MS"/>
          <w:spacing w:val="-3"/>
        </w:rPr>
        <w:t>n</w:t>
      </w:r>
      <w:r>
        <w:rPr>
          <w:rFonts w:eastAsia="Arial Unicode MS"/>
          <w:spacing w:val="-3"/>
        </w:rPr>
        <w:t xml:space="preserve">vino con el asegurado indemnizarlo en </w:t>
      </w:r>
      <w:r>
        <w:t>USD</w:t>
      </w:r>
      <w:r>
        <w:rPr>
          <w:rFonts w:eastAsia="Arial Unicode MS"/>
          <w:spacing w:val="-3"/>
        </w:rPr>
        <w:t xml:space="preserve"> 13.000, quedando los restos en su poder, aclarándose que serían vendidos a quien cotizó por “Juncal”.</w:t>
      </w:r>
    </w:p>
    <w:p w:rsidR="00224567" w:rsidRDefault="00224567">
      <w:pPr>
        <w:widowControl w:val="0"/>
      </w:pPr>
      <w:r>
        <w:tab/>
        <w:t>Las fotografías obrantes a fs. 231/239, 265/266, 4315 y 29.140/29.152 ilustran acerca de las consecuencias del incendio y del estado en que quedó el utilit</w:t>
      </w:r>
      <w:r>
        <w:t>a</w:t>
      </w:r>
      <w:r>
        <w:t>rio.</w:t>
      </w:r>
    </w:p>
    <w:p w:rsidR="00224567" w:rsidRDefault="00224567">
      <w:pPr>
        <w:widowControl w:val="0"/>
      </w:pPr>
      <w:r>
        <w:tab/>
        <w:t>Por su parte, “Juncal Compañías de S</w:t>
      </w:r>
      <w:r>
        <w:t>e</w:t>
      </w:r>
      <w:r>
        <w:t>guros” informó, mediante nota glosada a fs. 27.872, que la empresa comenzó a filmar las inspecciones de s</w:t>
      </w:r>
      <w:r>
        <w:t>i</w:t>
      </w:r>
      <w:r>
        <w:t>niestros el 9 de mayo de 1995, no exi</w:t>
      </w:r>
      <w:r>
        <w:t>s</w:t>
      </w:r>
      <w:r>
        <w:t xml:space="preserve">tiendo por ende video alguno que documente la de </w:t>
      </w:r>
      <w:smartTag w:uri="urn:schemas-microsoft-com:office:smarttags" w:element="PersonName">
        <w:smartTagPr>
          <w:attr w:name="ProductID" w:val="la Trafic"/>
        </w:smartTagPr>
        <w:r>
          <w:t>la Trafic</w:t>
        </w:r>
      </w:smartTag>
      <w:r>
        <w:t xml:space="preserve"> propiedad de “Me</w:t>
      </w:r>
      <w:r>
        <w:t>s</w:t>
      </w:r>
      <w:r>
        <w:t>sin”.</w:t>
      </w:r>
    </w:p>
    <w:p w:rsidR="00224567" w:rsidRDefault="00224567">
      <w:pPr>
        <w:widowControl w:val="0"/>
      </w:pPr>
      <w:r>
        <w:tab/>
      </w:r>
      <w:r>
        <w:rPr>
          <w:b/>
          <w:bCs/>
        </w:rPr>
        <w:t xml:space="preserve">A.2.b.v) </w:t>
      </w:r>
      <w:r>
        <w:t>Con respecto a la adquis</w:t>
      </w:r>
      <w:r>
        <w:t>i</w:t>
      </w:r>
      <w:r>
        <w:t>ción del rodado por parte de Carlos Telleldín obra en autos la factura nº 0000-00001126 de “Automotores Al</w:t>
      </w:r>
      <w:r>
        <w:t>e</w:t>
      </w:r>
      <w:r>
        <w:t>jandro” del 4 de julio de 1994, que da cuenta de la operación referida, a nombre de Carlos Alberto “Teccedin”, libreta de enrol</w:t>
      </w:r>
      <w:r>
        <w:t>a</w:t>
      </w:r>
      <w:r>
        <w:t>miento nº 14.536.215, con domicilio en J. Salk 2878 de Olivos (cónf. fs. 276vta.).</w:t>
      </w:r>
    </w:p>
    <w:p w:rsidR="00224567" w:rsidRDefault="00224567">
      <w:pPr>
        <w:widowControl w:val="0"/>
        <w:rPr>
          <w:rFonts w:eastAsia="Arial Unicode MS"/>
          <w:spacing w:val="-3"/>
        </w:rPr>
      </w:pPr>
      <w:r>
        <w:tab/>
        <w:t xml:space="preserve">Asimismo, a fs. 276 </w:t>
      </w:r>
      <w:r>
        <w:rPr>
          <w:rFonts w:eastAsia="Arial Unicode MS"/>
          <w:spacing w:val="-3"/>
        </w:rPr>
        <w:t>obra la fotoc</w:t>
      </w:r>
      <w:r>
        <w:rPr>
          <w:rFonts w:eastAsia="Arial Unicode MS"/>
          <w:spacing w:val="-3"/>
        </w:rPr>
        <w:t>o</w:t>
      </w:r>
      <w:r>
        <w:rPr>
          <w:rFonts w:eastAsia="Arial Unicode MS"/>
          <w:spacing w:val="-3"/>
        </w:rPr>
        <w:t>pia de una hoja emitida por computadora,</w:t>
      </w:r>
      <w:r>
        <w:t xml:space="preserve"> </w:t>
      </w:r>
      <w:r>
        <w:rPr>
          <w:rFonts w:eastAsia="Arial Unicode MS"/>
          <w:spacing w:val="-3"/>
        </w:rPr>
        <w:t>aportada por Gabriel Meli, correspondiente a la base de datos de la firma “Aut</w:t>
      </w:r>
      <w:r>
        <w:rPr>
          <w:rFonts w:eastAsia="Arial Unicode MS"/>
          <w:spacing w:val="-3"/>
        </w:rPr>
        <w:t>o</w:t>
      </w:r>
      <w:r>
        <w:rPr>
          <w:rFonts w:eastAsia="Arial Unicode MS"/>
          <w:spacing w:val="-3"/>
        </w:rPr>
        <w:t>motores Alejandro” en la que con</w:t>
      </w:r>
      <w:r>
        <w:rPr>
          <w:rFonts w:eastAsia="Arial Unicode MS"/>
          <w:spacing w:val="-3"/>
        </w:rPr>
        <w:t>s</w:t>
      </w:r>
      <w:r>
        <w:rPr>
          <w:rFonts w:eastAsia="Arial Unicode MS"/>
          <w:spacing w:val="-3"/>
        </w:rPr>
        <w:t xml:space="preserve">ta, como vendida a Carlos Alberto “Teccedin”, </w:t>
      </w:r>
      <w:smartTag w:uri="urn:schemas-microsoft-com:office:smarttags" w:element="PersonName">
        <w:smartTagPr>
          <w:attr w:name="ProductID" w:val="la Trafic C"/>
        </w:smartTagPr>
        <w:r>
          <w:rPr>
            <w:rFonts w:eastAsia="Arial Unicode MS"/>
            <w:spacing w:val="-3"/>
          </w:rPr>
          <w:t>la Trafic C</w:t>
        </w:r>
      </w:smartTag>
      <w:r>
        <w:rPr>
          <w:rFonts w:eastAsia="Arial Unicode MS"/>
          <w:spacing w:val="-3"/>
        </w:rPr>
        <w:t xml:space="preserve"> 1.498.508, cuyos demás d</w:t>
      </w:r>
      <w:r>
        <w:rPr>
          <w:rFonts w:eastAsia="Arial Unicode MS"/>
          <w:spacing w:val="-3"/>
        </w:rPr>
        <w:t>a</w:t>
      </w:r>
      <w:r>
        <w:rPr>
          <w:rFonts w:eastAsia="Arial Unicode MS"/>
          <w:spacing w:val="-3"/>
        </w:rPr>
        <w:t>tos coinciden con los de la factura antes indicada, a e</w:t>
      </w:r>
      <w:r>
        <w:rPr>
          <w:rFonts w:eastAsia="Arial Unicode MS"/>
          <w:spacing w:val="-3"/>
        </w:rPr>
        <w:t>x</w:t>
      </w:r>
      <w:r>
        <w:rPr>
          <w:rFonts w:eastAsia="Arial Unicode MS"/>
          <w:spacing w:val="-3"/>
        </w:rPr>
        <w:t>cepción del número de dominio, que difiere por un d</w:t>
      </w:r>
      <w:r>
        <w:rPr>
          <w:rFonts w:eastAsia="Arial Unicode MS"/>
          <w:spacing w:val="-3"/>
        </w:rPr>
        <w:t>í</w:t>
      </w:r>
      <w:r>
        <w:rPr>
          <w:rFonts w:eastAsia="Arial Unicode MS"/>
          <w:spacing w:val="-3"/>
        </w:rPr>
        <w:t>gito.</w:t>
      </w:r>
    </w:p>
    <w:p w:rsidR="00224567" w:rsidRDefault="00224567">
      <w:pPr>
        <w:widowControl w:val="0"/>
      </w:pPr>
      <w:r>
        <w:tab/>
        <w:t>El 26 de julio de 1994 el Departame</w:t>
      </w:r>
      <w:r>
        <w:t>n</w:t>
      </w:r>
      <w:r>
        <w:t>to Protección del Orden Constitucional determinó que el dom</w:t>
      </w:r>
      <w:r>
        <w:t>i</w:t>
      </w:r>
      <w:r>
        <w:t>cilio que surgía de la documentación era inexiste</w:t>
      </w:r>
      <w:r>
        <w:t>n</w:t>
      </w:r>
      <w:r>
        <w:t>te y que</w:t>
      </w:r>
      <w:r>
        <w:rPr>
          <w:rFonts w:eastAsia="Arial Unicode MS"/>
          <w:spacing w:val="-3"/>
        </w:rPr>
        <w:t xml:space="preserve"> el Documento Nacional de Identidad nº 14.536.215</w:t>
      </w:r>
      <w:r>
        <w:t>, según i</w:t>
      </w:r>
      <w:r>
        <w:t>n</w:t>
      </w:r>
      <w:r>
        <w:t xml:space="preserve">forme del </w:t>
      </w:r>
      <w:r>
        <w:rPr>
          <w:rFonts w:eastAsia="Arial Unicode MS"/>
          <w:spacing w:val="-3"/>
        </w:rPr>
        <w:t>Registro N</w:t>
      </w:r>
      <w:r>
        <w:rPr>
          <w:rFonts w:eastAsia="Arial Unicode MS"/>
          <w:spacing w:val="-3"/>
        </w:rPr>
        <w:t>a</w:t>
      </w:r>
      <w:r>
        <w:rPr>
          <w:rFonts w:eastAsia="Arial Unicode MS"/>
          <w:spacing w:val="-3"/>
        </w:rPr>
        <w:t>cional de las Personas, correspondía a Carlos Alberto Telleldín, d</w:t>
      </w:r>
      <w:r>
        <w:rPr>
          <w:rFonts w:eastAsia="Arial Unicode MS"/>
          <w:spacing w:val="-3"/>
        </w:rPr>
        <w:t>o</w:t>
      </w:r>
      <w:r>
        <w:rPr>
          <w:rFonts w:eastAsia="Arial Unicode MS"/>
          <w:spacing w:val="-3"/>
        </w:rPr>
        <w:t>miciliado en J. Salk 2798 de la localidad de Olivos, nacido el 25 de j</w:t>
      </w:r>
      <w:r>
        <w:rPr>
          <w:rFonts w:eastAsia="Arial Unicode MS"/>
          <w:spacing w:val="-3"/>
        </w:rPr>
        <w:t>u</w:t>
      </w:r>
      <w:r>
        <w:rPr>
          <w:rFonts w:eastAsia="Arial Unicode MS"/>
          <w:spacing w:val="-3"/>
        </w:rPr>
        <w:t xml:space="preserve">nio de 1961 en Sáenz Peña, provincia de Buenos Aires, hijo de Raúl Pedro y Lidia Seeb </w:t>
      </w:r>
      <w:r>
        <w:t>(cónf. constancia de fs. 272).</w:t>
      </w:r>
    </w:p>
    <w:p w:rsidR="00224567" w:rsidRDefault="00224567">
      <w:pPr>
        <w:widowControl w:val="0"/>
      </w:pPr>
      <w:r>
        <w:tab/>
        <w:t>También se cuenta en autos con la fa</w:t>
      </w:r>
      <w:r>
        <w:t>c</w:t>
      </w:r>
      <w:r>
        <w:t>tura nº 1126 –original- de “Automotores Alejandro”, que fue secuestrada el 27 de diciembre de 1994 en ocasión de allanarse uno de los domicilios de Telleldín, sito en la calle Roosevelt 2462, piso 3º, depto. “A” de Capital Fed</w:t>
      </w:r>
      <w:r>
        <w:t>e</w:t>
      </w:r>
      <w:r>
        <w:t>ral.</w:t>
      </w:r>
    </w:p>
    <w:p w:rsidR="00224567" w:rsidRDefault="00224567">
      <w:pPr>
        <w:widowControl w:val="0"/>
      </w:pPr>
      <w:r>
        <w:tab/>
        <w:t>A tales elementos de juicio cabe agr</w:t>
      </w:r>
      <w:r>
        <w:t>e</w:t>
      </w:r>
      <w:r>
        <w:t>gar las declaraciones testimoniales prestadas por los e</w:t>
      </w:r>
      <w:r>
        <w:t>m</w:t>
      </w:r>
      <w:r>
        <w:t>pleados de dicha agencia.</w:t>
      </w:r>
    </w:p>
    <w:p w:rsidR="00224567" w:rsidRDefault="00224567">
      <w:pPr>
        <w:widowControl w:val="0"/>
      </w:pPr>
      <w:r>
        <w:tab/>
        <w:t>En este sentido, Roberto Christian O</w:t>
      </w:r>
      <w:r>
        <w:t>r</w:t>
      </w:r>
      <w:r>
        <w:t>lando expresó que en 1994 trabajaba en la firma “Al</w:t>
      </w:r>
      <w:r>
        <w:t>e</w:t>
      </w:r>
      <w:r>
        <w:t xml:space="preserve">jandro Autos”, encargándose de cotizar y comprar vehículos para la reventa. Si bien negó haber participado en la compra de </w:t>
      </w:r>
      <w:smartTag w:uri="urn:schemas-microsoft-com:office:smarttags" w:element="PersonName">
        <w:smartTagPr>
          <w:attr w:name="ProductID" w:val="la Trafic"/>
        </w:smartTagPr>
        <w:r>
          <w:t>la Trafic</w:t>
        </w:r>
      </w:smartTag>
      <w:r>
        <w:t xml:space="preserve"> de “Messin”, admitió que supo que unos meses a</w:t>
      </w:r>
      <w:r>
        <w:t>n</w:t>
      </w:r>
      <w:r>
        <w:t xml:space="preserve">tes del atentado a </w:t>
      </w:r>
      <w:smartTag w:uri="urn:schemas-microsoft-com:office:smarttags" w:element="PersonName">
        <w:smartTagPr>
          <w:attr w:name="ProductID" w:val="la A.M"/>
        </w:smartTagPr>
        <w:r>
          <w:t>la A.M</w:t>
        </w:r>
      </w:smartTag>
      <w:r>
        <w:t>.I.A. se vendió una camioneta R</w:t>
      </w:r>
      <w:r>
        <w:t>e</w:t>
      </w:r>
      <w:r>
        <w:t>nault Trafic de color blanco o s</w:t>
      </w:r>
      <w:r>
        <w:t>i</w:t>
      </w:r>
      <w:r>
        <w:t>milar, a cuyo adquirente desconocía, admitiendo que c</w:t>
      </w:r>
      <w:r>
        <w:t>o</w:t>
      </w:r>
      <w:r>
        <w:t>nocía de vista a Telleldín o “Teccedin” por haberlo cruzado en a</w:t>
      </w:r>
      <w:r>
        <w:t>l</w:t>
      </w:r>
      <w:r>
        <w:t>gunas oportunidades en la agencia.</w:t>
      </w:r>
    </w:p>
    <w:p w:rsidR="00224567" w:rsidRDefault="00224567">
      <w:pPr>
        <w:widowControl w:val="0"/>
      </w:pPr>
      <w:r>
        <w:tab/>
        <w:t>Por su parte, Roberto Francisco Orla</w:t>
      </w:r>
      <w:r>
        <w:t>n</w:t>
      </w:r>
      <w:r>
        <w:t>do manifestó que hacia 1994 se desempeñaba en el c</w:t>
      </w:r>
      <w:r>
        <w:t>o</w:t>
      </w:r>
      <w:r>
        <w:t>mercio de Monjo, encargándose de la compra de automóviles por i</w:t>
      </w:r>
      <w:r>
        <w:t>n</w:t>
      </w:r>
      <w:r>
        <w:t>termedio de las compañías de seguros. Señaló que en el primer semestre de ese año adquirió una Trafic quemada a una empresa textil con domicilio en la calle Alsina al 1600 ó 1700, recon</w:t>
      </w:r>
      <w:r>
        <w:t>o</w:t>
      </w:r>
      <w:r>
        <w:t>ciendo el recibo obrante a fs. 364 como el que se extendió en la ocasión, cuya letra no le pert</w:t>
      </w:r>
      <w:r>
        <w:t>e</w:t>
      </w:r>
      <w:r>
        <w:t>necía. Indicó que recién conoció a Telleldín a partir de su aparición en los m</w:t>
      </w:r>
      <w:r>
        <w:t>e</w:t>
      </w:r>
      <w:r>
        <w:t>dios de comunicación.</w:t>
      </w:r>
    </w:p>
    <w:p w:rsidR="00224567" w:rsidRDefault="00224567">
      <w:pPr>
        <w:widowControl w:val="0"/>
      </w:pPr>
      <w:r>
        <w:tab/>
        <w:t>A su turno, Hugo Antonio Tortorella expresó que desde 1992, aproximadamente, se dedicó al m</w:t>
      </w:r>
      <w:r>
        <w:t>a</w:t>
      </w:r>
      <w:r>
        <w:t>nejo de la documentación de los automotores y a la confe</w:t>
      </w:r>
      <w:r>
        <w:t>c</w:t>
      </w:r>
      <w:r>
        <w:t>ción de las facturas de venta en la empresa “Automotores Alejandro”, de la que Telleldín, al que conocía de vi</w:t>
      </w:r>
      <w:r>
        <w:t>s</w:t>
      </w:r>
      <w:r>
        <w:t>ta, era cliente desde 1992.</w:t>
      </w:r>
    </w:p>
    <w:p w:rsidR="00224567" w:rsidRDefault="00224567">
      <w:pPr>
        <w:widowControl w:val="0"/>
      </w:pPr>
      <w:r>
        <w:tab/>
        <w:t>Admitió haber confeccionado la fact</w:t>
      </w:r>
      <w:r>
        <w:t>u</w:t>
      </w:r>
      <w:r>
        <w:t>ra nº 0000-00001126, recordando que días de</w:t>
      </w:r>
      <w:r>
        <w:t>s</w:t>
      </w:r>
      <w:r>
        <w:t>pués del atentado fue convocado a la empresa por Gabriel Meli, quien le r</w:t>
      </w:r>
      <w:r>
        <w:t>e</w:t>
      </w:r>
      <w:r>
        <w:t>quirió la entrega de toda la documentación de esa Trafic.</w:t>
      </w:r>
    </w:p>
    <w:p w:rsidR="00224567" w:rsidRDefault="00224567">
      <w:pPr>
        <w:widowControl w:val="0"/>
      </w:pPr>
      <w:r>
        <w:tab/>
        <w:t>Por su parte, Carlos Arturo Tarela e</w:t>
      </w:r>
      <w:r>
        <w:t>x</w:t>
      </w:r>
      <w:r>
        <w:t>plicó que con posterioridad al atentado y en virtud de su calidad de apoderado de “Automotores Alejandro”, Roberto Orlando padre le comentó que la noche anterior había ido a la agencia a buscar una documentación; circunstancia que lo llevó a acercarse al comercio y luego al Departamento Protección del Orden Constitucional, en donde no le requ</w:t>
      </w:r>
      <w:r>
        <w:t>i</w:t>
      </w:r>
      <w:r>
        <w:t>rieron ningún dato acerca de la cami</w:t>
      </w:r>
      <w:r>
        <w:t>o</w:t>
      </w:r>
      <w:r>
        <w:t>neta, ni fotografías de ella. Señaló que en esa primera oportunidad co</w:t>
      </w:r>
      <w:r>
        <w:t>n</w:t>
      </w:r>
      <w:r>
        <w:t>currió a la dependencia policial junto con Orlando y luego, sin r</w:t>
      </w:r>
      <w:r>
        <w:t>e</w:t>
      </w:r>
      <w:r>
        <w:t>cordar si fue al día siguiente o dos días después, fue nuevamente, acomp</w:t>
      </w:r>
      <w:r>
        <w:t>a</w:t>
      </w:r>
      <w:r>
        <w:t>ñando a Monjo.</w:t>
      </w:r>
    </w:p>
    <w:p w:rsidR="00224567" w:rsidRDefault="00224567">
      <w:pPr>
        <w:widowControl w:val="0"/>
      </w:pPr>
      <w:r>
        <w:tab/>
        <w:t>Si bien reconoció su firma en la d</w:t>
      </w:r>
      <w:r>
        <w:t>e</w:t>
      </w:r>
      <w:r>
        <w:t>claración obrante a fs. 263, prestada el 26 de julio de 1994 ante el D.P.O.C., desmintió en el debate, sin expl</w:t>
      </w:r>
      <w:r>
        <w:t>i</w:t>
      </w:r>
      <w:r>
        <w:t>cación convincente, haber aportado los domicilios de “Te</w:t>
      </w:r>
      <w:r>
        <w:t>c</w:t>
      </w:r>
      <w:r>
        <w:t xml:space="preserve">cedin” y las fotografías de </w:t>
      </w:r>
      <w:smartTag w:uri="urn:schemas-microsoft-com:office:smarttags" w:element="PersonName">
        <w:smartTagPr>
          <w:attr w:name="ProductID" w:val="la Trafic"/>
        </w:smartTagPr>
        <w:r>
          <w:t>la Trafic</w:t>
        </w:r>
      </w:smartTag>
      <w:r>
        <w:t xml:space="preserve"> en cue</w:t>
      </w:r>
      <w:r>
        <w:t>s</w:t>
      </w:r>
      <w:r>
        <w:t>tión, lo que motivó, como se explica en otro apartado de la presente, que sea denunciado por el presunto delito de falso test</w:t>
      </w:r>
      <w:r>
        <w:t>i</w:t>
      </w:r>
      <w:r>
        <w:t>monio.</w:t>
      </w:r>
    </w:p>
    <w:p w:rsidR="00224567" w:rsidRDefault="00224567">
      <w:pPr>
        <w:widowControl w:val="0"/>
      </w:pPr>
      <w:r>
        <w:tab/>
        <w:t>Rolando Sanabria declaró que en 1994 trab</w:t>
      </w:r>
      <w:r>
        <w:t>a</w:t>
      </w:r>
      <w:r>
        <w:t>jaba para “Alejandro Autos” como chofer de una grúa y en tareas de mantenimiento. Refirió que si bien conocía a Telleldín como “el Petiso”, por ser cliente de la empresa, nunca trasladó vehículos para el nombr</w:t>
      </w:r>
      <w:r>
        <w:t>a</w:t>
      </w:r>
      <w:r>
        <w:t>do.</w:t>
      </w:r>
    </w:p>
    <w:p w:rsidR="00224567" w:rsidRDefault="00224567">
      <w:pPr>
        <w:widowControl w:val="0"/>
      </w:pPr>
      <w:r>
        <w:tab/>
        <w:t>Recordó que para abril o mayo de ese año había una Trafic con el motor y parte del interior quemados, la parte de atrás entera y que rodaba con las ruedas traseras, la que su hermano Eusebio, según sus d</w:t>
      </w:r>
      <w:r>
        <w:t>i</w:t>
      </w:r>
      <w:r>
        <w:t>chos, trasladó a lo de Telle</w:t>
      </w:r>
      <w:r>
        <w:t>l</w:t>
      </w:r>
      <w:r>
        <w:t>dín.</w:t>
      </w:r>
    </w:p>
    <w:p w:rsidR="00224567" w:rsidRDefault="00224567">
      <w:pPr>
        <w:widowControl w:val="0"/>
      </w:pPr>
      <w:r>
        <w:tab/>
        <w:t>A su vez, Eusebio Sanabria, quien re</w:t>
      </w:r>
      <w:r>
        <w:t>a</w:t>
      </w:r>
      <w:r>
        <w:t>lizaba similares tareas a las de su hermano, i</w:t>
      </w:r>
      <w:r>
        <w:t>n</w:t>
      </w:r>
      <w:r>
        <w:t>dicó que en marzo o abril de ese año ingresó a la playa de la calle Campana 3928 una Renault Trafic incendiada en la parte m</w:t>
      </w:r>
      <w:r>
        <w:t>e</w:t>
      </w:r>
      <w:r>
        <w:t>cánica y en su interior, con dos puertas delanteras y po</w:t>
      </w:r>
      <w:r>
        <w:t>r</w:t>
      </w:r>
      <w:r>
        <w:t>tones traseros, que luego fue vendida.</w:t>
      </w:r>
    </w:p>
    <w:p w:rsidR="00224567" w:rsidRDefault="00224567">
      <w:pPr>
        <w:widowControl w:val="0"/>
      </w:pPr>
      <w:r>
        <w:tab/>
        <w:t>Recordó que trasladó dicha camioneta hasta una casa particular, en la localidad de Flor</w:t>
      </w:r>
      <w:r>
        <w:t>i</w:t>
      </w:r>
      <w:r>
        <w:t>da, que tenía un garaje al lado y portón de m</w:t>
      </w:r>
      <w:r>
        <w:t>a</w:t>
      </w:r>
      <w:r>
        <w:t>dera, en la que, por no haber encontrado a nadie y previa consulta telefónica, la desenganchó y dejó en el lugar, reto</w:t>
      </w:r>
      <w:r>
        <w:t>r</w:t>
      </w:r>
      <w:r>
        <w:t>nando a la agencia con el sobre que contenía la documentación. Reconoció el utilitario en las fotogr</w:t>
      </w:r>
      <w:r>
        <w:t>a</w:t>
      </w:r>
      <w:r>
        <w:t>fías obrantes a fs. 231/239 –sin recordar si tenía la chapa patente-, como así también el plano de fs. 30.104, que confeccionó para señalar el it</w:t>
      </w:r>
      <w:r>
        <w:t>i</w:t>
      </w:r>
      <w:r>
        <w:t>nerario recorrido para su traslado, hasta un taller de la calle A</w:t>
      </w:r>
      <w:r>
        <w:t>l</w:t>
      </w:r>
      <w:r>
        <w:t>sina.</w:t>
      </w:r>
    </w:p>
    <w:p w:rsidR="00224567" w:rsidRDefault="00224567">
      <w:pPr>
        <w:widowControl w:val="0"/>
      </w:pPr>
      <w:r>
        <w:tab/>
        <w:t>Por último, expresó que a Telle</w:t>
      </w:r>
      <w:r>
        <w:t>l</w:t>
      </w:r>
      <w:r>
        <w:t>dín, a quien conocía como “el Petiso”, le había llevado varios rodados a un lavadero de la calle Pelliza, ent</w:t>
      </w:r>
      <w:r>
        <w:t>e</w:t>
      </w:r>
      <w:r>
        <w:t>rándose de su no</w:t>
      </w:r>
      <w:r>
        <w:t>m</w:t>
      </w:r>
      <w:r>
        <w:t>bre por los medios.</w:t>
      </w:r>
    </w:p>
    <w:p w:rsidR="00224567" w:rsidRDefault="00224567">
      <w:pPr>
        <w:widowControl w:val="0"/>
      </w:pPr>
      <w:r>
        <w:tab/>
        <w:t>Finalmente, Gualberto Quintín Rocha Siles, encargado de tareas de maestranza en “Automotores Al</w:t>
      </w:r>
      <w:r>
        <w:t>e</w:t>
      </w:r>
      <w:r>
        <w:t>jandro”, precisó que en marzo o abril de 1994 vio allí una Trafic siniestrada e hizo saber que luego del ate</w:t>
      </w:r>
      <w:r>
        <w:t>n</w:t>
      </w:r>
      <w:r>
        <w:t>tado se enteró por los medios que una Trafic vendida en la agencia fue utiliz</w:t>
      </w:r>
      <w:r>
        <w:t>a</w:t>
      </w:r>
      <w:r>
        <w:t>da en la explosión.</w:t>
      </w:r>
    </w:p>
    <w:p w:rsidR="00224567" w:rsidRDefault="00224567">
      <w:pPr>
        <w:widowControl w:val="0"/>
      </w:pPr>
      <w:r>
        <w:tab/>
        <w:t>A lo expuesto se aduna el allanamie</w:t>
      </w:r>
      <w:r>
        <w:t>n</w:t>
      </w:r>
      <w:r>
        <w:t xml:space="preserve">to practicado en la agencia “Automotores Alejandro S.R.L.”, sita en Campana 3928 de esta ciudad, el 28 de julio de </w:t>
      </w:r>
      <w:smartTag w:uri="urn:schemas-microsoft-com:office:smarttags" w:element="metricconverter">
        <w:smartTagPr>
          <w:attr w:name="ProductID" w:val="1994 a"/>
        </w:smartTagPr>
        <w:r>
          <w:t>1994 a</w:t>
        </w:r>
      </w:smartTag>
      <w:r>
        <w:t xml:space="preserve"> las 3.55, conforme surge del acta glosada a fs. 362, ocasión en que se secuestró la docume</w:t>
      </w:r>
      <w:r>
        <w:t>n</w:t>
      </w:r>
      <w:r>
        <w:t>tación obrante a fs. 363/364, entre la que se destaca un recibo provis</w:t>
      </w:r>
      <w:r>
        <w:t>o</w:t>
      </w:r>
      <w:r>
        <w:t xml:space="preserve">rio por $ </w:t>
      </w:r>
      <w:smartTag w:uri="urn:schemas-microsoft-com:office:smarttags" w:element="metricconverter">
        <w:smartTagPr>
          <w:attr w:name="ProductID" w:val="3000 a"/>
        </w:smartTagPr>
        <w:r>
          <w:t xml:space="preserve">3000 </w:t>
        </w:r>
        <w:r>
          <w:rPr>
            <w:rFonts w:eastAsia="Arial Unicode MS"/>
            <w:spacing w:val="-3"/>
          </w:rPr>
          <w:t>a</w:t>
        </w:r>
      </w:smartTag>
      <w:r>
        <w:rPr>
          <w:rFonts w:eastAsia="Arial Unicode MS"/>
          <w:spacing w:val="-3"/>
        </w:rPr>
        <w:t xml:space="preserve"> nombre de “Messin S.R.L.” </w:t>
      </w:r>
      <w:r>
        <w:t xml:space="preserve">por la venta del rodado dominio C 1.498.506, </w:t>
      </w:r>
      <w:r>
        <w:rPr>
          <w:rFonts w:eastAsia="Arial Unicode MS"/>
          <w:spacing w:val="-3"/>
        </w:rPr>
        <w:t>una nota de Marcelo Mari</w:t>
      </w:r>
      <w:r>
        <w:rPr>
          <w:rFonts w:eastAsia="Arial Unicode MS"/>
          <w:spacing w:val="-3"/>
        </w:rPr>
        <w:t>a</w:t>
      </w:r>
      <w:r>
        <w:rPr>
          <w:rFonts w:eastAsia="Arial Unicode MS"/>
          <w:spacing w:val="-3"/>
        </w:rPr>
        <w:t>ni a “Solvencia S.A.” rem</w:t>
      </w:r>
      <w:r>
        <w:rPr>
          <w:rFonts w:eastAsia="Arial Unicode MS"/>
          <w:spacing w:val="-3"/>
        </w:rPr>
        <w:t>i</w:t>
      </w:r>
      <w:r>
        <w:rPr>
          <w:rFonts w:eastAsia="Arial Unicode MS"/>
          <w:spacing w:val="-3"/>
        </w:rPr>
        <w:t>tiendo documentación de la unidad (título del automotor, formulario “</w:t>
      </w:r>
      <w:smartTag w:uri="urn:schemas-microsoft-com:office:smarttags" w:element="metricconverter">
        <w:smartTagPr>
          <w:attr w:name="ProductID" w:val="08”"/>
        </w:smartTagPr>
        <w:r>
          <w:rPr>
            <w:rFonts w:eastAsia="Arial Unicode MS"/>
            <w:spacing w:val="-3"/>
          </w:rPr>
          <w:t>08”</w:t>
        </w:r>
      </w:smartTag>
      <w:r>
        <w:rPr>
          <w:rFonts w:eastAsia="Arial Unicode MS"/>
          <w:spacing w:val="-3"/>
        </w:rPr>
        <w:t xml:space="preserve"> certificado por e</w:t>
      </w:r>
      <w:r>
        <w:rPr>
          <w:rFonts w:eastAsia="Arial Unicode MS"/>
          <w:spacing w:val="-3"/>
        </w:rPr>
        <w:t>s</w:t>
      </w:r>
      <w:r>
        <w:rPr>
          <w:rFonts w:eastAsia="Arial Unicode MS"/>
          <w:spacing w:val="-3"/>
        </w:rPr>
        <w:t>cribano, libre deuda de infracciones y cupones de patente) y una hoja manuscrita que reza “Luis Sal</w:t>
      </w:r>
      <w:r>
        <w:rPr>
          <w:rFonts w:eastAsia="Arial Unicode MS"/>
          <w:spacing w:val="-3"/>
        </w:rPr>
        <w:t>i</w:t>
      </w:r>
      <w:r>
        <w:rPr>
          <w:rFonts w:eastAsia="Arial Unicode MS"/>
          <w:spacing w:val="-3"/>
        </w:rPr>
        <w:t xml:space="preserve">nas - Alsina </w:t>
      </w:r>
      <w:smartTag w:uri="urn:schemas-microsoft-com:office:smarttags" w:element="metricconverter">
        <w:smartTagPr>
          <w:attr w:name="ProductID" w:val="1874 C"/>
        </w:smartTagPr>
        <w:r>
          <w:rPr>
            <w:rFonts w:eastAsia="Arial Unicode MS"/>
            <w:spacing w:val="-3"/>
          </w:rPr>
          <w:t>1874 C</w:t>
        </w:r>
      </w:smartTag>
      <w:r>
        <w:rPr>
          <w:rFonts w:eastAsia="Arial Unicode MS"/>
          <w:spacing w:val="-3"/>
        </w:rPr>
        <w:t>.F. - Pagar en $ 3000 – 49-3452, 40-5781, 372-849... – Trafic 89 – De Juncal”</w:t>
      </w:r>
      <w:r>
        <w:t>.</w:t>
      </w:r>
    </w:p>
    <w:p w:rsidR="00224567" w:rsidRDefault="00224567">
      <w:pPr>
        <w:widowControl w:val="0"/>
      </w:pPr>
      <w:r>
        <w:tab/>
        <w:t>Al respecto, fueron coincidentes las declaraciones testimoniales prestadas durante el debate por los testigos de actuación Carlos Alberto Bertazzo y Fernando José Bardanca, como así también por el inspe</w:t>
      </w:r>
      <w:r>
        <w:t>c</w:t>
      </w:r>
      <w:r>
        <w:t>tor José Luis González del Departamento Protección del Orden Constitucional.</w:t>
      </w:r>
    </w:p>
    <w:p w:rsidR="00224567" w:rsidRDefault="00224567">
      <w:pPr>
        <w:widowControl w:val="0"/>
        <w:rPr>
          <w:rFonts w:eastAsia="Arial Unicode MS"/>
          <w:spacing w:val="-3"/>
        </w:rPr>
      </w:pPr>
      <w:r>
        <w:tab/>
        <w:t xml:space="preserve">Por su parte, del legajo B de </w:t>
      </w:r>
      <w:smartTag w:uri="urn:schemas-microsoft-com:office:smarttags" w:element="PersonName">
        <w:smartTagPr>
          <w:attr w:name="ProductID" w:val="la Trafic C"/>
        </w:smartTagPr>
        <w:r>
          <w:t>la Tr</w:t>
        </w:r>
        <w:r>
          <w:t>a</w:t>
        </w:r>
        <w:r>
          <w:t>fic C</w:t>
        </w:r>
      </w:smartTag>
      <w:r>
        <w:t xml:space="preserve"> 1.498.506, surge que, si bien el 28 de abril de 1994 </w:t>
      </w:r>
      <w:r>
        <w:rPr>
          <w:rFonts w:eastAsia="Arial Unicode MS"/>
          <w:spacing w:val="-3"/>
        </w:rPr>
        <w:t>Rodolfo Américo Setau -gestor de la agencia “Automotores Alejandro”- solicitó un informe de estado de dominio ante posible compra, no figura asentada la transferencia de d</w:t>
      </w:r>
      <w:r>
        <w:rPr>
          <w:rFonts w:eastAsia="Arial Unicode MS"/>
          <w:spacing w:val="-3"/>
        </w:rPr>
        <w:t>i</w:t>
      </w:r>
      <w:r>
        <w:rPr>
          <w:rFonts w:eastAsia="Arial Unicode MS"/>
          <w:spacing w:val="-3"/>
        </w:rPr>
        <w:t>cho vehículo de “Messin S.R.L.” a persona a</w:t>
      </w:r>
      <w:r>
        <w:rPr>
          <w:rFonts w:eastAsia="Arial Unicode MS"/>
          <w:spacing w:val="-3"/>
        </w:rPr>
        <w:t>l</w:t>
      </w:r>
      <w:r>
        <w:rPr>
          <w:rFonts w:eastAsia="Arial Unicode MS"/>
          <w:spacing w:val="-3"/>
        </w:rPr>
        <w:t>guna.</w:t>
      </w:r>
    </w:p>
    <w:p w:rsidR="00224567" w:rsidRDefault="00224567">
      <w:pPr>
        <w:widowControl w:val="0"/>
      </w:pPr>
      <w:r>
        <w:rPr>
          <w:rFonts w:eastAsia="Arial Unicode MS"/>
          <w:spacing w:val="-3"/>
        </w:rPr>
        <w:tab/>
        <w:t xml:space="preserve">Complementan lo expuesto las notas </w:t>
      </w:r>
      <w:r>
        <w:t xml:space="preserve">de </w:t>
      </w:r>
      <w:smartTag w:uri="urn:schemas-microsoft-com:office:smarttags" w:element="PersonName">
        <w:smartTagPr>
          <w:attr w:name="ProductID" w:val="la Direcci￳n Nacional"/>
        </w:smartTagPr>
        <w:r>
          <w:t>la Dirección Nacional</w:t>
        </w:r>
      </w:smartTag>
      <w:r>
        <w:t xml:space="preserve"> de los Registros Nacionales de </w:t>
      </w:r>
      <w:smartTag w:uri="urn:schemas-microsoft-com:office:smarttags" w:element="PersonName">
        <w:smartTagPr>
          <w:attr w:name="ProductID" w:val="la Propiedad"/>
        </w:smartTagPr>
        <w:r>
          <w:t>la Propiedad</w:t>
        </w:r>
      </w:smartTag>
      <w:r>
        <w:t xml:space="preserve"> del Automotor y de Créditos Prendarios</w:t>
      </w:r>
      <w:r>
        <w:rPr>
          <w:rFonts w:eastAsia="Arial Unicode MS"/>
          <w:spacing w:val="-3"/>
        </w:rPr>
        <w:t xml:space="preserve"> agr</w:t>
      </w:r>
      <w:r>
        <w:rPr>
          <w:rFonts w:eastAsia="Arial Unicode MS"/>
          <w:spacing w:val="-3"/>
        </w:rPr>
        <w:t>e</w:t>
      </w:r>
      <w:r>
        <w:rPr>
          <w:rFonts w:eastAsia="Arial Unicode MS"/>
          <w:spacing w:val="-3"/>
        </w:rPr>
        <w:t>gadas a fs</w:t>
      </w:r>
      <w:r>
        <w:t>. 9862/9863 y 11.771/11.774, que dan cuenta de los a</w:t>
      </w:r>
      <w:r>
        <w:t>u</w:t>
      </w:r>
      <w:r>
        <w:t>tomóviles de los cuales Carlos Alberto Telleldín y Aleja</w:t>
      </w:r>
      <w:r>
        <w:t>n</w:t>
      </w:r>
      <w:r>
        <w:t>dro Ví</w:t>
      </w:r>
      <w:r>
        <w:t>c</w:t>
      </w:r>
      <w:r>
        <w:t>tor Monjo, respectivamente, figuran como titulares, entre los que no se encuentra la camioneta de me</w:t>
      </w:r>
      <w:r>
        <w:t>n</w:t>
      </w:r>
      <w:r>
        <w:t>ción. En igual sentido, a fs. 9997 el mismo organismo informó que Te</w:t>
      </w:r>
      <w:r>
        <w:softHyphen/>
        <w:t>lleldín no fue denunciado como adquirente de automotor alguno a partir de abril de 1994.</w:t>
      </w:r>
    </w:p>
    <w:p w:rsidR="00224567" w:rsidRDefault="00224567">
      <w:pPr>
        <w:widowControl w:val="0"/>
      </w:pPr>
      <w:r>
        <w:tab/>
        <w:t>Por su parte, Ana María Boragni apo</w:t>
      </w:r>
      <w:r>
        <w:t>r</w:t>
      </w:r>
      <w:r>
        <w:t xml:space="preserve">tó una copia del </w:t>
      </w:r>
      <w:r>
        <w:rPr>
          <w:rFonts w:eastAsia="Arial Unicode MS"/>
          <w:spacing w:val="-3"/>
        </w:rPr>
        <w:t xml:space="preserve">título del automotor dominio C </w:t>
      </w:r>
      <w:smartTag w:uri="urn:schemas-microsoft-com:office:smarttags" w:element="metricconverter">
        <w:smartTagPr>
          <w:attr w:name="ProductID" w:val="1.498.506 a"/>
        </w:smartTagPr>
        <w:r>
          <w:rPr>
            <w:rFonts w:eastAsia="Arial Unicode MS"/>
            <w:spacing w:val="-3"/>
          </w:rPr>
          <w:t>1.498.506 a</w:t>
        </w:r>
      </w:smartTag>
      <w:r>
        <w:rPr>
          <w:rFonts w:eastAsia="Arial Unicode MS"/>
          <w:spacing w:val="-3"/>
        </w:rPr>
        <w:t xml:space="preserve"> nombre de “Messin S.R.L.” y tres formularios “</w:t>
      </w:r>
      <w:smartTag w:uri="urn:schemas-microsoft-com:office:smarttags" w:element="metricconverter">
        <w:smartTagPr>
          <w:attr w:name="ProductID" w:val="08”"/>
        </w:smartTagPr>
        <w:r>
          <w:rPr>
            <w:rFonts w:eastAsia="Arial Unicode MS"/>
            <w:spacing w:val="-3"/>
          </w:rPr>
          <w:t>08”</w:t>
        </w:r>
      </w:smartTag>
      <w:r>
        <w:rPr>
          <w:rFonts w:eastAsia="Arial Unicode MS"/>
          <w:spacing w:val="-3"/>
        </w:rPr>
        <w:t xml:space="preserve"> n</w:t>
      </w:r>
      <w:r>
        <w:rPr>
          <w:rFonts w:eastAsia="Arial Unicode MS"/>
          <w:spacing w:val="-3"/>
        </w:rPr>
        <w:sym w:font="Symbol" w:char="F0B0"/>
      </w:r>
      <w:r>
        <w:rPr>
          <w:rFonts w:eastAsia="Arial Unicode MS"/>
          <w:spacing w:val="-3"/>
        </w:rPr>
        <w:t xml:space="preserve"> 05437671 de ese vehículo certificados por el escribano R</w:t>
      </w:r>
      <w:r>
        <w:rPr>
          <w:rFonts w:eastAsia="Arial Unicode MS"/>
          <w:spacing w:val="-3"/>
        </w:rPr>
        <w:t>o</w:t>
      </w:r>
      <w:r>
        <w:rPr>
          <w:rFonts w:eastAsia="Arial Unicode MS"/>
          <w:spacing w:val="-3"/>
        </w:rPr>
        <w:t>dolfo José Silvestre, en los que aparece como vendedor o transmitente Isaac P. Meta, en su c</w:t>
      </w:r>
      <w:r>
        <w:rPr>
          <w:rFonts w:eastAsia="Arial Unicode MS"/>
          <w:spacing w:val="-3"/>
        </w:rPr>
        <w:t>a</w:t>
      </w:r>
      <w:r>
        <w:rPr>
          <w:rFonts w:eastAsia="Arial Unicode MS"/>
          <w:spacing w:val="-3"/>
        </w:rPr>
        <w:t>rácter de apoderado de aquella empresa, con los restantes datos en blanco (</w:t>
      </w:r>
      <w:r>
        <w:t>cónf.</w:t>
      </w:r>
      <w:r>
        <w:rPr>
          <w:rFonts w:eastAsia="Arial Unicode MS"/>
          <w:spacing w:val="-3"/>
        </w:rPr>
        <w:t xml:space="preserve"> fs. 307 y 309/310).</w:t>
      </w:r>
    </w:p>
    <w:p w:rsidR="00224567" w:rsidRDefault="00224567">
      <w:pPr>
        <w:widowControl w:val="0"/>
      </w:pPr>
      <w:r>
        <w:tab/>
        <w:t>Por último, en ocasión de decl</w:t>
      </w:r>
      <w:r>
        <w:t>a</w:t>
      </w:r>
      <w:r>
        <w:t>rar en el debate, Ana María Boragni manifestó, en un primer m</w:t>
      </w:r>
      <w:r>
        <w:t>o</w:t>
      </w:r>
      <w:r>
        <w:t xml:space="preserve">mento, que Telleldín compró </w:t>
      </w:r>
      <w:smartTag w:uri="urn:schemas-microsoft-com:office:smarttags" w:element="PersonName">
        <w:smartTagPr>
          <w:attr w:name="ProductID" w:val="la Trafic"/>
        </w:smartTagPr>
        <w:r>
          <w:t>la Trafic</w:t>
        </w:r>
      </w:smartTag>
      <w:r>
        <w:t xml:space="preserve"> de mención a Aleja</w:t>
      </w:r>
      <w:r>
        <w:t>n</w:t>
      </w:r>
      <w:r>
        <w:t>dro Monjo en forma individual y no en un lote junto con otros automotores; circunstancia que luego desvirtuó al sostener como posible que la hubiera a</w:t>
      </w:r>
      <w:r>
        <w:t>d</w:t>
      </w:r>
      <w:r>
        <w:t>quirido en un lote junto con un Renault 9, retirando poco a poco los rodados que lo integr</w:t>
      </w:r>
      <w:r>
        <w:t>a</w:t>
      </w:r>
      <w:r>
        <w:t>ban.</w:t>
      </w:r>
    </w:p>
    <w:p w:rsidR="00224567" w:rsidRDefault="00224567">
      <w:pPr>
        <w:widowControl w:val="0"/>
      </w:pPr>
      <w:r>
        <w:tab/>
        <w:t>Explicó que muchas veces su marido compraba lotes de vehículos y, ante la falta de la total</w:t>
      </w:r>
      <w:r>
        <w:t>i</w:t>
      </w:r>
      <w:r>
        <w:t>dad del dinero o del lugar para guardarlos, los retiraba de a uno.</w:t>
      </w:r>
    </w:p>
    <w:p w:rsidR="00224567" w:rsidRDefault="00224567">
      <w:pPr>
        <w:widowControl w:val="0"/>
      </w:pPr>
      <w:r>
        <w:tab/>
        <w:t>Por otra parte, no recordó si luego del atentado, Telleldín le pidió a Monjo que efectuara a</w:t>
      </w:r>
      <w:r>
        <w:t>l</w:t>
      </w:r>
      <w:r>
        <w:t xml:space="preserve">guna modificación en la factura de venta de </w:t>
      </w:r>
      <w:smartTag w:uri="urn:schemas-microsoft-com:office:smarttags" w:element="PersonName">
        <w:smartTagPr>
          <w:attr w:name="ProductID" w:val="la Trafic."/>
        </w:smartTagPr>
        <w:r>
          <w:t>la Tr</w:t>
        </w:r>
        <w:r>
          <w:t>a</w:t>
        </w:r>
        <w:r>
          <w:t>fic.</w:t>
        </w:r>
      </w:smartTag>
    </w:p>
    <w:p w:rsidR="00224567" w:rsidRDefault="00224567">
      <w:pPr>
        <w:widowControl w:val="0"/>
      </w:pPr>
      <w:r>
        <w:rPr>
          <w:rFonts w:eastAsia="PMingLiU"/>
          <w:iCs/>
        </w:rPr>
        <w:tab/>
      </w:r>
      <w:r>
        <w:rPr>
          <w:b/>
          <w:bCs/>
        </w:rPr>
        <w:t xml:space="preserve">A.3) </w:t>
      </w:r>
      <w:r>
        <w:rPr>
          <w:rFonts w:eastAsia="PMingLiU"/>
          <w:iCs/>
        </w:rPr>
        <w:t xml:space="preserve">En cuanto a las circunstancias reseñadas, atinentes a la adquisición de </w:t>
      </w:r>
      <w:smartTag w:uri="urn:schemas-microsoft-com:office:smarttags" w:element="PersonName">
        <w:smartTagPr>
          <w:attr w:name="ProductID" w:val="la Trafic"/>
        </w:smartTagPr>
        <w:r>
          <w:rPr>
            <w:rFonts w:eastAsia="PMingLiU"/>
            <w:iCs/>
          </w:rPr>
          <w:t>la Trafic</w:t>
        </w:r>
      </w:smartTag>
      <w:r>
        <w:rPr>
          <w:rFonts w:eastAsia="PMingLiU"/>
          <w:iCs/>
        </w:rPr>
        <w:t xml:space="preserve"> de “Messin”, Carlos Alberto Telleldín explicó que </w:t>
      </w:r>
      <w:r>
        <w:t>su activ</w:t>
      </w:r>
      <w:r>
        <w:t>i</w:t>
      </w:r>
      <w:r>
        <w:t>dad en el rubro automotor consistía en comprar vehículos siniestrados, cuyos motores colocaba en otras c</w:t>
      </w:r>
      <w:r>
        <w:t>a</w:t>
      </w:r>
      <w:r>
        <w:t>rrocerías de procedencia ilícita, para finalmente venderlos util</w:t>
      </w:r>
      <w:r>
        <w:t>i</w:t>
      </w:r>
      <w:r>
        <w:t>zando la documentación de los primeros. I</w:t>
      </w:r>
      <w:r>
        <w:t>n</w:t>
      </w:r>
      <w:r>
        <w:t>dicó que en 1994 adquiría rodados por lote -entre otras- en la agencia de Alejandro Monjo, con quien arreglaba el pago, en tanto p</w:t>
      </w:r>
      <w:r>
        <w:t>a</w:t>
      </w:r>
      <w:r>
        <w:t>ra el retiro se manejaba con los empleados, quienes ta</w:t>
      </w:r>
      <w:r>
        <w:t>m</w:t>
      </w:r>
      <w:r>
        <w:t>bién le entregaban la carpeta y le confeccionaban una fa</w:t>
      </w:r>
      <w:r>
        <w:t>c</w:t>
      </w:r>
      <w:r>
        <w:t>tura.</w:t>
      </w:r>
    </w:p>
    <w:p w:rsidR="00224567" w:rsidRDefault="00224567">
      <w:pPr>
        <w:widowControl w:val="0"/>
      </w:pPr>
      <w:r>
        <w:tab/>
        <w:t>En ese marco, refirió, obtuvo en ma</w:t>
      </w:r>
      <w:r>
        <w:t>r</w:t>
      </w:r>
      <w:r>
        <w:t xml:space="preserve">zo de ese año </w:t>
      </w:r>
      <w:smartTag w:uri="urn:schemas-microsoft-com:office:smarttags" w:element="PersonName">
        <w:smartTagPr>
          <w:attr w:name="ProductID" w:val="la Trafic"/>
        </w:smartTagPr>
        <w:r>
          <w:t>la Trafic</w:t>
        </w:r>
      </w:smartTag>
      <w:r>
        <w:t xml:space="preserve"> de “Messin”, que formaba parte de un lote de aproximadamente diez vehículos, estimando como p</w:t>
      </w:r>
      <w:r>
        <w:t>o</w:t>
      </w:r>
      <w:r>
        <w:t>sible que se tratara de la fotografiada a fs. 233/239, aunque en las vistas lucía en mejor e</w:t>
      </w:r>
      <w:r>
        <w:t>s</w:t>
      </w:r>
      <w:r>
        <w:t>tado.</w:t>
      </w:r>
    </w:p>
    <w:p w:rsidR="00224567" w:rsidRDefault="00224567">
      <w:pPr>
        <w:widowControl w:val="0"/>
      </w:pPr>
      <w:r>
        <w:tab/>
      </w:r>
      <w:r>
        <w:rPr>
          <w:b/>
          <w:bCs/>
        </w:rPr>
        <w:t xml:space="preserve">A.4) </w:t>
      </w:r>
      <w:r>
        <w:t>En definitiva, se acreditó que Carlos Alberto Telleldín, bajo el apellido “Teccedin”, a</w:t>
      </w:r>
      <w:r>
        <w:t>d</w:t>
      </w:r>
      <w:r>
        <w:t xml:space="preserve">quirió </w:t>
      </w:r>
      <w:smartTag w:uri="urn:schemas-microsoft-com:office:smarttags" w:element="PersonName">
        <w:smartTagPr>
          <w:attr w:name="ProductID" w:val="la Trafic"/>
        </w:smartTagPr>
        <w:r>
          <w:t>la Trafic</w:t>
        </w:r>
      </w:smartTag>
      <w:r>
        <w:t xml:space="preserve"> incendiada de “Messin S.R.L.” en la age</w:t>
      </w:r>
      <w:r>
        <w:t>n</w:t>
      </w:r>
      <w:r>
        <w:t>cia automotriz “Automotores Alejandro S.R.L.”, de la que era cliente habitual, con el verdadero propósito de obt</w:t>
      </w:r>
      <w:r>
        <w:t>e</w:t>
      </w:r>
      <w:r>
        <w:t>ner también con ello su documentación.</w:t>
      </w:r>
    </w:p>
    <w:p w:rsidR="00224567" w:rsidRDefault="00224567">
      <w:pPr>
        <w:widowControl w:val="0"/>
      </w:pPr>
      <w:r>
        <w:tab/>
        <w:t>Que dicha maniobra la llevó a cabo, como en otros casos, gracias a que la compañía de seg</w:t>
      </w:r>
      <w:r>
        <w:t>u</w:t>
      </w:r>
      <w:r>
        <w:t>ros “Solvencia”, en lugar de liquidar el siniestro como de</w:t>
      </w:r>
      <w:r>
        <w:t>s</w:t>
      </w:r>
      <w:r>
        <w:t>trucción total y abonar la totalidad de la indemn</w:t>
      </w:r>
      <w:r>
        <w:t>i</w:t>
      </w:r>
      <w:r>
        <w:t>zación, dando de baja el vehículo en el registro pertinente, lo calificó, aviesamente, como destrucción parcial, perm</w:t>
      </w:r>
      <w:r>
        <w:t>i</w:t>
      </w:r>
      <w:r>
        <w:t>tiéndole mantener el alta registral y, consecuentemente, la posibilidad de utilizar válidamente su documentación.</w:t>
      </w:r>
    </w:p>
    <w:p w:rsidR="00224567" w:rsidRDefault="00224567">
      <w:pPr>
        <w:widowControl w:val="0"/>
      </w:pPr>
      <w:r>
        <w:tab/>
        <w:t>En virtud de esa operatoria, la comp</w:t>
      </w:r>
      <w:r>
        <w:t>a</w:t>
      </w:r>
      <w:r>
        <w:t>ñía de seguros evitó abonar el monto indemnizatorio que por la destrucción total del vehículo debía afrontar, trasladando a un tercero, en el caso “Automotores Aleja</w:t>
      </w:r>
      <w:r>
        <w:t>n</w:t>
      </w:r>
      <w:r>
        <w:t>dro”, parte de su obligación co</w:t>
      </w:r>
      <w:r>
        <w:t>n</w:t>
      </w:r>
      <w:r>
        <w:t>tractual.</w:t>
      </w:r>
    </w:p>
    <w:p w:rsidR="00224567" w:rsidRDefault="00224567">
      <w:pPr>
        <w:widowControl w:val="0"/>
      </w:pPr>
      <w:r>
        <w:tab/>
      </w:r>
      <w:r>
        <w:rPr>
          <w:b/>
          <w:bCs/>
        </w:rPr>
        <w:t>A.5)</w:t>
      </w:r>
      <w:r>
        <w:t xml:space="preserve"> Con relación a los dichos de Ca</w:t>
      </w:r>
      <w:r>
        <w:t>r</w:t>
      </w:r>
      <w:r>
        <w:t>los Arturo Tarela, corresponde efectuar las siguientes consider</w:t>
      </w:r>
      <w:r>
        <w:t>a</w:t>
      </w:r>
      <w:r>
        <w:t>ciones.</w:t>
      </w:r>
    </w:p>
    <w:p w:rsidR="00224567" w:rsidRDefault="00224567">
      <w:pPr>
        <w:widowControl w:val="0"/>
      </w:pPr>
      <w:r>
        <w:tab/>
      </w:r>
      <w:r>
        <w:tab/>
        <w:t>El 26 de julio de 1994, el nombrado prestó declaración ante el Departamento Protección del O</w:t>
      </w:r>
      <w:r>
        <w:t>r</w:t>
      </w:r>
      <w:r>
        <w:t>den Constitucional (cónf. fs. 263), oport</w:t>
      </w:r>
      <w:r>
        <w:t>u</w:t>
      </w:r>
      <w:r>
        <w:t>nidad en la que manifestó, entre otras cosas, que era apoderado de “Al</w:t>
      </w:r>
      <w:r>
        <w:t>e</w:t>
      </w:r>
      <w:r>
        <w:t>jandro Automotores S.R.L.”, sociedad formada por Alejandro Víctor Monjo y su esposa Rosa Mabel Patierno. Dijo que Monjo se encontraba en el ext</w:t>
      </w:r>
      <w:r>
        <w:t>e</w:t>
      </w:r>
      <w:r>
        <w:t>rior y regresaba al país ese día.</w:t>
      </w:r>
    </w:p>
    <w:p w:rsidR="00224567" w:rsidRDefault="00224567">
      <w:pPr>
        <w:widowControl w:val="0"/>
      </w:pPr>
      <w:r>
        <w:tab/>
        <w:t>En ese acto, Tarela aportó fotograf</w:t>
      </w:r>
      <w:r>
        <w:t>í</w:t>
      </w:r>
      <w:r>
        <w:t xml:space="preserve">as de </w:t>
      </w:r>
      <w:smartTag w:uri="urn:schemas-microsoft-com:office:smarttags" w:element="PersonName">
        <w:smartTagPr>
          <w:attr w:name="ProductID" w:val="la Trafic"/>
        </w:smartTagPr>
        <w:r>
          <w:t>la Trafic</w:t>
        </w:r>
      </w:smartTag>
      <w:r>
        <w:t xml:space="preserve"> de “Messin” e hizo saber los datos del co</w:t>
      </w:r>
      <w:r>
        <w:t>m</w:t>
      </w:r>
      <w:r>
        <w:t>prador (nombre, teléfonos y domicilios), así c</w:t>
      </w:r>
      <w:r>
        <w:t>o</w:t>
      </w:r>
      <w:r>
        <w:t>mo también que ese día había llamado por teléfono para decir que p</w:t>
      </w:r>
      <w:r>
        <w:t>a</w:t>
      </w:r>
      <w:r>
        <w:t>saría a c</w:t>
      </w:r>
      <w:r>
        <w:t>e</w:t>
      </w:r>
      <w:r>
        <w:t>rrar una operación con un Renault 21.</w:t>
      </w:r>
    </w:p>
    <w:p w:rsidR="00224567" w:rsidRDefault="00224567">
      <w:pPr>
        <w:widowControl w:val="0"/>
      </w:pPr>
      <w:r>
        <w:tab/>
        <w:t>En ocasión del debate, no obstante r</w:t>
      </w:r>
      <w:r>
        <w:t>e</w:t>
      </w:r>
      <w:r>
        <w:t>conocer su firma en el acta labrada con motivo de su exp</w:t>
      </w:r>
      <w:r>
        <w:t>o</w:t>
      </w:r>
      <w:r>
        <w:t>sición, modificó sustancialmente sus dichos e inc</w:t>
      </w:r>
      <w:r>
        <w:t>u</w:t>
      </w:r>
      <w:r>
        <w:t>rrió en numerosas contradicciones e i</w:t>
      </w:r>
      <w:r>
        <w:t>m</w:t>
      </w:r>
      <w:r>
        <w:t>precisiones.</w:t>
      </w:r>
    </w:p>
    <w:p w:rsidR="00224567" w:rsidRDefault="00224567">
      <w:pPr>
        <w:widowControl w:val="0"/>
      </w:pPr>
      <w:r>
        <w:tab/>
        <w:t xml:space="preserve">En este sentido, negó que le hubieran requerido datos sobre </w:t>
      </w:r>
      <w:smartTag w:uri="urn:schemas-microsoft-com:office:smarttags" w:element="PersonName">
        <w:smartTagPr>
          <w:attr w:name="ProductID" w:val="la Trafic"/>
        </w:smartTagPr>
        <w:r>
          <w:t>la Trafic</w:t>
        </w:r>
      </w:smartTag>
      <w:r>
        <w:t xml:space="preserve"> o haber aportado fotogr</w:t>
      </w:r>
      <w:r>
        <w:t>a</w:t>
      </w:r>
      <w:r>
        <w:t>fías de esa camioneta. Cuando le fueron exhibidas en la audiencia las placas obrantes a fs. 265/266 refirió que nunca las había visto, pese a lo cual reconoció su firma en dichas fotograf</w:t>
      </w:r>
      <w:r>
        <w:t>í</w:t>
      </w:r>
      <w:r>
        <w:t>as.</w:t>
      </w:r>
    </w:p>
    <w:p w:rsidR="00224567" w:rsidRDefault="00224567">
      <w:pPr>
        <w:widowControl w:val="0"/>
      </w:pPr>
      <w:r>
        <w:tab/>
        <w:t>Negó haber oído hablar de Telle</w:t>
      </w:r>
      <w:r>
        <w:t>l</w:t>
      </w:r>
      <w:r>
        <w:t xml:space="preserve">dín o acerca del comprador de </w:t>
      </w:r>
      <w:smartTag w:uri="urn:schemas-microsoft-com:office:smarttags" w:element="PersonName">
        <w:smartTagPr>
          <w:attr w:name="ProductID" w:val="la Trafic. Tambi￩n"/>
        </w:smartTagPr>
        <w:r>
          <w:t>la Trafic. También</w:t>
        </w:r>
      </w:smartTag>
      <w:r>
        <w:t xml:space="preserve"> r</w:t>
      </w:r>
      <w:r>
        <w:t>e</w:t>
      </w:r>
      <w:r>
        <w:t>saltó que no aportó los datos personalmente; según dijo, lo hizo a</w:t>
      </w:r>
      <w:r>
        <w:t>l</w:t>
      </w:r>
      <w:r>
        <w:t>guien de la agencia de autos. Desconoció sus dichos en cuanto a que el comprador de un Renault 21 iba a ir a la agencia. Finalmente, aseguró que cuando declaró, Monjo e</w:t>
      </w:r>
      <w:r>
        <w:t>s</w:t>
      </w:r>
      <w:r>
        <w:t>tuvo junto a él en el D.P.O.C., en la misma oficina. Al leérsele tramos de su declaración, los de</w:t>
      </w:r>
      <w:r>
        <w:t>s</w:t>
      </w:r>
      <w:r>
        <w:t>conoció.</w:t>
      </w:r>
    </w:p>
    <w:p w:rsidR="00224567" w:rsidRDefault="00224567">
      <w:pPr>
        <w:widowControl w:val="0"/>
      </w:pPr>
      <w:r>
        <w:tab/>
        <w:t>En virtud de lo señalado, corre</w:t>
      </w:r>
      <w:r>
        <w:t>s</w:t>
      </w:r>
      <w:r>
        <w:t>ponde extraer copias de las partes pertinentes y r</w:t>
      </w:r>
      <w:r>
        <w:t>e</w:t>
      </w:r>
      <w:r>
        <w:t xml:space="preserve">mitirlas a </w:t>
      </w:r>
      <w:smartTag w:uri="urn:schemas-microsoft-com:office:smarttags" w:element="PersonName">
        <w:smartTagPr>
          <w:attr w:name="ProductID" w:val="la C￡mara Nacional"/>
        </w:smartTagPr>
        <w:r>
          <w:t>la Cámara Nacional</w:t>
        </w:r>
      </w:smartTag>
      <w:r>
        <w:t xml:space="preserve"> de Apelaciones en lo Criminal y Correcci</w:t>
      </w:r>
      <w:r>
        <w:t>o</w:t>
      </w:r>
      <w:r>
        <w:t>nal Federal, a fin que por so</w:t>
      </w:r>
      <w:r>
        <w:t>r</w:t>
      </w:r>
      <w:r>
        <w:t>teo se asigne el juzgado que deberá investigar el presunto delito de falso testimonio en que habría incurrido Carlos Arturo Tarela.</w:t>
      </w:r>
    </w:p>
    <w:p w:rsidR="00224567" w:rsidRDefault="00224567">
      <w:pPr>
        <w:pStyle w:val="Piedepgina"/>
        <w:widowControl w:val="0"/>
        <w:tabs>
          <w:tab w:val="clear" w:pos="4419"/>
          <w:tab w:val="clear" w:pos="8838"/>
        </w:tabs>
        <w:spacing w:line="600" w:lineRule="auto"/>
      </w:pPr>
    </w:p>
    <w:p w:rsidR="00224567" w:rsidRDefault="00224567">
      <w:pPr>
        <w:pStyle w:val="Ttulo3"/>
        <w:keepNext w:val="0"/>
        <w:widowControl w:val="0"/>
      </w:pPr>
      <w:bookmarkStart w:id="4" w:name="_Toc86053027"/>
      <w:r>
        <w:t>B) Extracción del motor</w:t>
      </w:r>
      <w:bookmarkEnd w:id="4"/>
      <w:r>
        <w:t>.</w:t>
      </w:r>
    </w:p>
    <w:p w:rsidR="00224567" w:rsidRDefault="00224567">
      <w:pPr>
        <w:widowControl w:val="0"/>
      </w:pPr>
      <w:r>
        <w:tab/>
      </w:r>
      <w:r>
        <w:rPr>
          <w:b/>
          <w:bCs/>
        </w:rPr>
        <w:tab/>
        <w:t xml:space="preserve">B.1) </w:t>
      </w:r>
      <w:r>
        <w:t>El Tribunal también tiene por probado que por indicación de Carlos Alberto T</w:t>
      </w:r>
      <w:r>
        <w:t>e</w:t>
      </w:r>
      <w:r>
        <w:t>lleldín, el 4 de julio de 1994 la camioneta que era de “Messin” fue trasladada desde “Automotores Alejandro” hasta el domic</w:t>
      </w:r>
      <w:r>
        <w:t>i</w:t>
      </w:r>
      <w:r>
        <w:t>lio de Claudio Guillermo Miguel Cotoras, sito en Adolfo Alsina 3785, localidad de Villa Martelli, provincia de Buenos Aires. Allí, ese mismo día, en horas de la noche, en presencia de Hugo Antonio Pérez, Ana María Boragni y Telleldín, Cotoras extrajo, por i</w:t>
      </w:r>
      <w:r>
        <w:t>n</w:t>
      </w:r>
      <w:r>
        <w:t xml:space="preserve">dicación de este último, el motor de </w:t>
      </w:r>
      <w:smartTag w:uri="urn:schemas-microsoft-com:office:smarttags" w:element="PersonName">
        <w:smartTagPr>
          <w:attr w:name="ProductID" w:val="la Trafic"/>
        </w:smartTagPr>
        <w:r>
          <w:t>la Trafic</w:t>
        </w:r>
      </w:smartTag>
      <w:r>
        <w:t>, colocándolo en el baúl de un vehículo Ford Escort para retirarlo del l</w:t>
      </w:r>
      <w:r>
        <w:t>u</w:t>
      </w:r>
      <w:r>
        <w:t>gar.</w:t>
      </w:r>
    </w:p>
    <w:p w:rsidR="00224567" w:rsidRDefault="00224567">
      <w:pPr>
        <w:widowControl w:val="0"/>
      </w:pPr>
      <w:r>
        <w:tab/>
        <w:t>Con relación a la carrocería incendi</w:t>
      </w:r>
      <w:r>
        <w:t>a</w:t>
      </w:r>
      <w:r>
        <w:t>da, se comprobó que quedó depositada frente a dicho dom</w:t>
      </w:r>
      <w:r>
        <w:t>i</w:t>
      </w:r>
      <w:r>
        <w:t>cilio, hasta su traslado, no pudiéndose determinar quién lo hizo, ni cuándo o adónde. Tampoco fue posible establ</w:t>
      </w:r>
      <w:r>
        <w:t>e</w:t>
      </w:r>
      <w:r>
        <w:t>cer fehacientemente qué destino se le dio al motor extra</w:t>
      </w:r>
      <w:r>
        <w:t>í</w:t>
      </w:r>
      <w:r>
        <w:t>do en dichas circunsta</w:t>
      </w:r>
      <w:r>
        <w:t>n</w:t>
      </w:r>
      <w:r>
        <w:t>cias.</w:t>
      </w:r>
    </w:p>
    <w:p w:rsidR="00224567" w:rsidRDefault="00224567">
      <w:pPr>
        <w:widowControl w:val="0"/>
      </w:pPr>
      <w:r>
        <w:tab/>
      </w:r>
      <w:r>
        <w:rPr>
          <w:b/>
          <w:bCs/>
        </w:rPr>
        <w:t xml:space="preserve">B.2) </w:t>
      </w:r>
      <w:r>
        <w:t>Lo afirmado encuentra su</w:t>
      </w:r>
      <w:r>
        <w:t>s</w:t>
      </w:r>
      <w:r>
        <w:t>tento en las declaraciones testimoniales de Eusebio Sanabria, G</w:t>
      </w:r>
      <w:r>
        <w:t>a</w:t>
      </w:r>
      <w:r>
        <w:t>briel Eduardo Pittaluga, Héctor Carlos Pellegrini, Jorge Omar González, Oscar Mario Beitía, Ramón Weiss, Héctor A</w:t>
      </w:r>
      <w:r>
        <w:t>l</w:t>
      </w:r>
      <w:r>
        <w:t>berto Spelta, Laura Marcela Scillone, Walter Gregorio Fe</w:t>
      </w:r>
      <w:r>
        <w:t>r</w:t>
      </w:r>
      <w:r>
        <w:t>nández y Ana María B</w:t>
      </w:r>
      <w:r>
        <w:t>o</w:t>
      </w:r>
      <w:r>
        <w:t>ragni.</w:t>
      </w:r>
    </w:p>
    <w:p w:rsidR="00224567" w:rsidRDefault="00224567">
      <w:pPr>
        <w:widowControl w:val="0"/>
      </w:pPr>
      <w:r>
        <w:tab/>
        <w:t>A ellas cabe añadir el acta de allan</w:t>
      </w:r>
      <w:r>
        <w:t>a</w:t>
      </w:r>
      <w:r>
        <w:t>miento obrante a fs. 379 y las fotografías de fs. 114/115 del Anexo Requerimientos y Pericias, que ilustran acerca de los elementos secuestrados.</w:t>
      </w:r>
    </w:p>
    <w:p w:rsidR="00224567" w:rsidRDefault="00224567">
      <w:pPr>
        <w:widowControl w:val="0"/>
      </w:pPr>
      <w:r>
        <w:tab/>
      </w:r>
      <w:r>
        <w:rPr>
          <w:b/>
          <w:bCs/>
        </w:rPr>
        <w:t xml:space="preserve">B.2.a) </w:t>
      </w:r>
      <w:r>
        <w:t>Conforme lo relatado en el apartado precedente, Eusebio Sanabria dio cuenta del tra</w:t>
      </w:r>
      <w:r>
        <w:t>s</w:t>
      </w:r>
      <w:r>
        <w:t>lado de la camioneta de “Messin” desde la agencia “Autom</w:t>
      </w:r>
      <w:r>
        <w:t>o</w:t>
      </w:r>
      <w:r>
        <w:t>tores Alejandro” hasta un taller en la calle A</w:t>
      </w:r>
      <w:r>
        <w:t>l</w:t>
      </w:r>
      <w:r>
        <w:t>sina.</w:t>
      </w:r>
    </w:p>
    <w:p w:rsidR="00224567" w:rsidRDefault="00224567">
      <w:pPr>
        <w:widowControl w:val="0"/>
      </w:pPr>
      <w:r>
        <w:tab/>
        <w:t>A su vez, Walter Gregorio Fernández, vecino del taller mecánico de Guillermo Cotoras, recordó haber visto estacionada en el lugar, con anterior</w:t>
      </w:r>
      <w:r>
        <w:t>i</w:t>
      </w:r>
      <w:r>
        <w:t>dad al 5 de julio de 1994, una camioneta tipo furgón, blanca; pos</w:t>
      </w:r>
      <w:r>
        <w:t>i</w:t>
      </w:r>
      <w:r>
        <w:t>blemente se trataba de una Renault Trafic de color claro, totalmente quemada, según lo indicó en su declaración de fs. 12.649</w:t>
      </w:r>
      <w:r>
        <w:rPr>
          <w:iCs/>
        </w:rPr>
        <w:t>/12.651</w:t>
      </w:r>
      <w:r>
        <w:t>, si bien al e</w:t>
      </w:r>
      <w:r>
        <w:t>x</w:t>
      </w:r>
      <w:r>
        <w:t>hibírsele las fotografías de fs. 233/236, manifestó no recordar haber visto algo así, tan quemado.</w:t>
      </w:r>
    </w:p>
    <w:p w:rsidR="00224567" w:rsidRDefault="00224567">
      <w:pPr>
        <w:widowControl w:val="0"/>
      </w:pPr>
      <w:r>
        <w:tab/>
        <w:t>Además, señaló que en un par de oc</w:t>
      </w:r>
      <w:r>
        <w:t>a</w:t>
      </w:r>
      <w:r>
        <w:t>siones Telleldín concurrió a comprar al kiosco que p</w:t>
      </w:r>
      <w:r>
        <w:t>o</w:t>
      </w:r>
      <w:r>
        <w:t>seía contiguo a lo de Cotoras, donde también creyó ve</w:t>
      </w:r>
      <w:r>
        <w:t>r</w:t>
      </w:r>
      <w:r>
        <w:t>lo en una oportunidad.</w:t>
      </w:r>
    </w:p>
    <w:p w:rsidR="00224567" w:rsidRDefault="00224567">
      <w:pPr>
        <w:widowControl w:val="0"/>
      </w:pPr>
      <w:r>
        <w:tab/>
        <w:t>El acta glosada a fs. 379 da cuenta del allanamiento llevado a cabo el 28 de j</w:t>
      </w:r>
      <w:r>
        <w:t>u</w:t>
      </w:r>
      <w:r>
        <w:t>lio de 1994, en horas de la madrugada, en el domicilio de Claudio Guille</w:t>
      </w:r>
      <w:r>
        <w:t>r</w:t>
      </w:r>
      <w:r>
        <w:t>mo Miguel Cotoras, sito en Adolfo Alsina 3785 de la loc</w:t>
      </w:r>
      <w:r>
        <w:t>a</w:t>
      </w:r>
      <w:r>
        <w:t>lidad de Villa Martelli, provincia de Buenos Aires; opo</w:t>
      </w:r>
      <w:r>
        <w:t>r</w:t>
      </w:r>
      <w:r>
        <w:t>tunidad en la que se secuestró una chapa patente deteri</w:t>
      </w:r>
      <w:r>
        <w:t>o</w:t>
      </w:r>
      <w:r>
        <w:t xml:space="preserve">rada con la inscripción “C </w:t>
      </w:r>
      <w:smartTag w:uri="urn:schemas-microsoft-com:office:smarttags" w:element="metricconverter">
        <w:smartTagPr>
          <w:attr w:name="ProductID" w:val="1.498.506”"/>
        </w:smartTagPr>
        <w:r>
          <w:t>1.498.506”</w:t>
        </w:r>
      </w:smartTag>
      <w:r>
        <w:t>, un paragolpes d</w:t>
      </w:r>
      <w:r>
        <w:t>e</w:t>
      </w:r>
      <w:r>
        <w:t>lantero color blanco, un arranque y un radiador, todos pertenecientes a una Renault Tr</w:t>
      </w:r>
      <w:r>
        <w:t>a</w:t>
      </w:r>
      <w:r>
        <w:t>fic y con signos de haber sido afectados por incendio.</w:t>
      </w:r>
    </w:p>
    <w:p w:rsidR="00224567" w:rsidRDefault="00224567">
      <w:pPr>
        <w:widowControl w:val="0"/>
      </w:pPr>
      <w:r>
        <w:tab/>
        <w:t>Respecto de la diligencia en cue</w:t>
      </w:r>
      <w:r>
        <w:t>s</w:t>
      </w:r>
      <w:r>
        <w:t>tión, tanto el personal policial interviniente -Pittaluga, P</w:t>
      </w:r>
      <w:r>
        <w:t>e</w:t>
      </w:r>
      <w:r>
        <w:t>llegrini, González y Beitía-, como los testigos convocados al efecto –Spelta y Weiss- fu</w:t>
      </w:r>
      <w:r>
        <w:t>e</w:t>
      </w:r>
      <w:r>
        <w:t>ron coincidentes en orden a las circunstancias en que se llevó a cabo y al hallazgo de las piezas en cuestión. Sólo el testigo Weiss agregó que con anterioridad vio una Trafic quem</w:t>
      </w:r>
      <w:r>
        <w:t>a</w:t>
      </w:r>
      <w:r>
        <w:t>da detenida frente a la finca allanada y que en el barrio se comentaba que e</w:t>
      </w:r>
      <w:r>
        <w:t>s</w:t>
      </w:r>
      <w:r>
        <w:t>taba relacionada con el hecho.</w:t>
      </w:r>
    </w:p>
    <w:p w:rsidR="00224567" w:rsidRDefault="00224567">
      <w:pPr>
        <w:widowControl w:val="0"/>
      </w:pPr>
      <w:r>
        <w:tab/>
        <w:t>A lo expuesto se añade una convers</w:t>
      </w:r>
      <w:r>
        <w:t>a</w:t>
      </w:r>
      <w:r>
        <w:t>ción que, conforme el legajo de transcripciones del abon</w:t>
      </w:r>
      <w:r>
        <w:t>a</w:t>
      </w:r>
      <w:r>
        <w:t xml:space="preserve">do 768-0902, confeccionado por </w:t>
      </w:r>
      <w:smartTag w:uri="urn:schemas-microsoft-com:office:smarttags" w:element="PersonName">
        <w:smartTagPr>
          <w:attr w:name="ProductID" w:val="la Secretar￭a"/>
        </w:smartTagPr>
        <w:r>
          <w:t>la Secretaría</w:t>
        </w:r>
      </w:smartTag>
      <w:r>
        <w:t xml:space="preserve"> de Intelige</w:t>
      </w:r>
      <w:r>
        <w:t>n</w:t>
      </w:r>
      <w:r>
        <w:t>cia de Estado, habría tenido lugar el 27 de julio de 1994 entre Ariel –Nitzcaner- y MD –Ana Bora</w:t>
      </w:r>
      <w:r>
        <w:t>g</w:t>
      </w:r>
      <w:r>
        <w:t>ni- (cónf. fs. 3/4) y que en lo pertinente se transcr</w:t>
      </w:r>
      <w:r>
        <w:t>i</w:t>
      </w:r>
      <w:r>
        <w:t>be a continuación:</w:t>
      </w:r>
    </w:p>
    <w:p w:rsidR="00224567" w:rsidRDefault="00224567">
      <w:pPr>
        <w:widowControl w:val="0"/>
        <w:numPr>
          <w:ilvl w:val="0"/>
          <w:numId w:val="3"/>
        </w:numPr>
      </w:pPr>
      <w:r>
        <w:t xml:space="preserve">“Ariel: ¿cómo fue lo de </w:t>
      </w:r>
      <w:smartTag w:uri="urn:schemas-microsoft-com:office:smarttags" w:element="PersonName">
        <w:smartTagPr>
          <w:attr w:name="ProductID" w:val="la Trafic"/>
        </w:smartTagPr>
        <w:r>
          <w:t>la Trafic</w:t>
        </w:r>
      </w:smartTag>
      <w:r>
        <w:t>?</w:t>
      </w:r>
    </w:p>
    <w:p w:rsidR="00224567" w:rsidRDefault="00224567">
      <w:pPr>
        <w:widowControl w:val="0"/>
        <w:numPr>
          <w:ilvl w:val="0"/>
          <w:numId w:val="3"/>
        </w:numPr>
      </w:pPr>
      <w:r>
        <w:t>MD: Así como a veces iba una Trafic de lo de Aleja</w:t>
      </w:r>
      <w:r>
        <w:t>n</w:t>
      </w:r>
      <w:r>
        <w:t>dro a tu taller, esta Trafic fue de lo de Alejandro a lo de dije (f)...”</w:t>
      </w:r>
    </w:p>
    <w:p w:rsidR="00224567" w:rsidRDefault="00224567">
      <w:pPr>
        <w:widowControl w:val="0"/>
      </w:pPr>
      <w:r>
        <w:tab/>
        <w:t>Al prestar declaración en la audie</w:t>
      </w:r>
      <w:r>
        <w:t>n</w:t>
      </w:r>
      <w:r>
        <w:t>cia de debate, si bien Ana María Boragni no recordó haber ma</w:t>
      </w:r>
      <w:r>
        <w:t>n</w:t>
      </w:r>
      <w:r>
        <w:t>tenido la conversación aludida, estimó que, de haber exi</w:t>
      </w:r>
      <w:r>
        <w:t>s</w:t>
      </w:r>
      <w:r>
        <w:t>tido, “dije” se referiría a Guillermo Cot</w:t>
      </w:r>
      <w:r>
        <w:t>o</w:t>
      </w:r>
      <w:r>
        <w:t>ras.</w:t>
      </w:r>
    </w:p>
    <w:p w:rsidR="00224567" w:rsidRDefault="00224567">
      <w:pPr>
        <w:widowControl w:val="0"/>
      </w:pPr>
      <w:r>
        <w:tab/>
      </w:r>
      <w:r>
        <w:rPr>
          <w:b/>
          <w:bCs/>
        </w:rPr>
        <w:t xml:space="preserve">B.2.b) </w:t>
      </w:r>
      <w:r>
        <w:t>Laura Marcela Scillone adm</w:t>
      </w:r>
      <w:r>
        <w:t>i</w:t>
      </w:r>
      <w:r>
        <w:t>tió haber visto, antes del atentado, una camioneta Trafic, quemada y oxidada, frente a la casa y taller de su ex co</w:t>
      </w:r>
      <w:r>
        <w:t>n</w:t>
      </w:r>
      <w:r>
        <w:t>cubino Cotoras, quien, por su actividad como mecánico, e</w:t>
      </w:r>
      <w:r>
        <w:t>s</w:t>
      </w:r>
      <w:r>
        <w:t>taba vinculado con Carlos Alberto Telleldín. E</w:t>
      </w:r>
      <w:r>
        <w:t>x</w:t>
      </w:r>
      <w:r>
        <w:t>plicó que, por comentarios de su par</w:t>
      </w:r>
      <w:r>
        <w:t>e</w:t>
      </w:r>
      <w:r>
        <w:t>ja, se enteró que dicho vehículo lo llevó Telleldín a efectos de extrae</w:t>
      </w:r>
      <w:r>
        <w:t>r</w:t>
      </w:r>
      <w:r>
        <w:t>le el motor, el que luego retiró en un automóvil E</w:t>
      </w:r>
      <w:r>
        <w:t>s</w:t>
      </w:r>
      <w:r>
        <w:t>cort.</w:t>
      </w:r>
    </w:p>
    <w:p w:rsidR="00224567" w:rsidRDefault="00224567">
      <w:pPr>
        <w:widowControl w:val="0"/>
      </w:pPr>
      <w:r>
        <w:tab/>
        <w:t>Por su parte, Ana María Boragni expr</w:t>
      </w:r>
      <w:r>
        <w:t>e</w:t>
      </w:r>
      <w:r>
        <w:t>só que vio una camioneta totalmente incendiada, adqu</w:t>
      </w:r>
      <w:r>
        <w:t>i</w:t>
      </w:r>
      <w:r>
        <w:t>rida por su marido, en la puerta de la casa de Guillermo Cot</w:t>
      </w:r>
      <w:r>
        <w:t>o</w:t>
      </w:r>
      <w:r>
        <w:t>ras, suponiendo que fue llevada hasta allí por un r</w:t>
      </w:r>
      <w:r>
        <w:t>e</w:t>
      </w:r>
      <w:r>
        <w:t>molque de Monjo o algún otro contrat</w:t>
      </w:r>
      <w:r>
        <w:t>a</w:t>
      </w:r>
      <w:r>
        <w:t>do por su esposo.</w:t>
      </w:r>
    </w:p>
    <w:p w:rsidR="00224567" w:rsidRDefault="00224567">
      <w:pPr>
        <w:widowControl w:val="0"/>
      </w:pPr>
      <w:r>
        <w:tab/>
        <w:t>Aseguró que en una oportunidad acomp</w:t>
      </w:r>
      <w:r>
        <w:t>a</w:t>
      </w:r>
      <w:r>
        <w:t>ñó a su marido al taller, presenciando -mientras cebaba mate- la extracción del motor de la camioneta por parte de Cotoras. Puntualizó que la tarea demandó “un par de horas largas” y que la llevaron a cabo en la vereda, de noche, utilizando alargues para iluminar, sin recordar si Hugo Pérez se encontraba en esa oc</w:t>
      </w:r>
      <w:r>
        <w:t>a</w:t>
      </w:r>
      <w:r>
        <w:t>sión.</w:t>
      </w:r>
    </w:p>
    <w:p w:rsidR="00224567" w:rsidRDefault="00224567">
      <w:pPr>
        <w:widowControl w:val="0"/>
      </w:pPr>
      <w:r>
        <w:tab/>
        <w:t>Agregó que el motor extraído, si bien no presenció la maniobra, fue colocado en el baúl de su Escort, tras lo cual se dirigieron hacia su domicilio en atención a lo avanzado de la hora; indicó que al día s</w:t>
      </w:r>
      <w:r>
        <w:t>i</w:t>
      </w:r>
      <w:r>
        <w:t>guiente el motor fue llevado al taller de Nitzcaner. Pr</w:t>
      </w:r>
      <w:r>
        <w:t>e</w:t>
      </w:r>
      <w:r>
        <w:t>cisó que la extracción se realizó cinco o seis días antes del 10 de julio, con el propósito de limpiar y reactivar el motor.</w:t>
      </w:r>
    </w:p>
    <w:p w:rsidR="00224567" w:rsidRDefault="00224567">
      <w:pPr>
        <w:widowControl w:val="0"/>
      </w:pPr>
      <w:r>
        <w:tab/>
        <w:t>Creyó recordar que el utilitario p</w:t>
      </w:r>
      <w:r>
        <w:t>o</w:t>
      </w:r>
      <w:r>
        <w:t>seía tubos de gas; pese a que dijo desconocer qué pasó con ellos, apuntó que en su domicilio tuvo un par de cili</w:t>
      </w:r>
      <w:r>
        <w:t>n</w:t>
      </w:r>
      <w:r>
        <w:t>dros que luego vendió, sin poder precisar de qué camioneta pr</w:t>
      </w:r>
      <w:r>
        <w:t>o</w:t>
      </w:r>
      <w:r>
        <w:t>venían.</w:t>
      </w:r>
    </w:p>
    <w:p w:rsidR="00224567" w:rsidRDefault="00224567">
      <w:pPr>
        <w:widowControl w:val="0"/>
      </w:pPr>
      <w:r>
        <w:tab/>
        <w:t>Boragni, además, dijo desconocer el destino que se le dio a la carrocería quemada o a la doc</w:t>
      </w:r>
      <w:r>
        <w:t>u</w:t>
      </w:r>
      <w:r>
        <w:t>mentación de la camioneta, aunque mencionó que, habitua</w:t>
      </w:r>
      <w:r>
        <w:t>l</w:t>
      </w:r>
      <w:r>
        <w:t>mente, si tenían reparación eran llevadas a un taller c</w:t>
      </w:r>
      <w:r>
        <w:t>a</w:t>
      </w:r>
      <w:r>
        <w:t>mino a Ruta 8.</w:t>
      </w:r>
    </w:p>
    <w:p w:rsidR="00224567" w:rsidRDefault="00224567">
      <w:pPr>
        <w:widowControl w:val="0"/>
        <w:rPr>
          <w:rFonts w:eastAsia="Arial Unicode MS"/>
        </w:rPr>
      </w:pPr>
      <w:r>
        <w:rPr>
          <w:rFonts w:eastAsia="Arial Unicode MS"/>
        </w:rPr>
        <w:tab/>
      </w:r>
      <w:r>
        <w:rPr>
          <w:b/>
          <w:bCs/>
        </w:rPr>
        <w:t xml:space="preserve">B.3) </w:t>
      </w:r>
      <w:r>
        <w:rPr>
          <w:rFonts w:eastAsia="Arial Unicode MS"/>
        </w:rPr>
        <w:t>Los imputados Carlos Alberto T</w:t>
      </w:r>
      <w:r>
        <w:rPr>
          <w:rFonts w:eastAsia="Arial Unicode MS"/>
        </w:rPr>
        <w:t>e</w:t>
      </w:r>
      <w:r>
        <w:rPr>
          <w:rFonts w:eastAsia="Arial Unicode MS"/>
        </w:rPr>
        <w:t>lleldín y Hugo Antonio Pérez se refirieron al episodio tratado en este apartado en sus respectivas declaraci</w:t>
      </w:r>
      <w:r>
        <w:rPr>
          <w:rFonts w:eastAsia="Arial Unicode MS"/>
        </w:rPr>
        <w:t>o</w:t>
      </w:r>
      <w:r>
        <w:rPr>
          <w:rFonts w:eastAsia="Arial Unicode MS"/>
        </w:rPr>
        <w:t>nes indagatorias, como así también en los careos practic</w:t>
      </w:r>
      <w:r>
        <w:rPr>
          <w:rFonts w:eastAsia="Arial Unicode MS"/>
        </w:rPr>
        <w:t>a</w:t>
      </w:r>
      <w:r>
        <w:rPr>
          <w:rFonts w:eastAsia="Arial Unicode MS"/>
        </w:rPr>
        <w:t>dos.</w:t>
      </w:r>
    </w:p>
    <w:p w:rsidR="00224567" w:rsidRDefault="00224567">
      <w:pPr>
        <w:widowControl w:val="0"/>
      </w:pPr>
      <w:r>
        <w:tab/>
        <w:t>Al respecto, tal como se reseñara al inicio de la presente, Telleldín manifestó a lo largo de sus deposiciones que, según creía, el 4 de julio de 1994, uno de los grueros de Monjo llevó la camioneta sinie</w:t>
      </w:r>
      <w:r>
        <w:t>s</w:t>
      </w:r>
      <w:r>
        <w:t>trada de “Messin” al domicilio de Cotoras, donde también dejó el título y las patentes, pero no los formularios “</w:t>
      </w:r>
      <w:smartTag w:uri="urn:schemas-microsoft-com:office:smarttags" w:element="metricconverter">
        <w:smartTagPr>
          <w:attr w:name="ProductID" w:val="08”"/>
        </w:smartTagPr>
        <w:r>
          <w:t>08”</w:t>
        </w:r>
      </w:smartTag>
      <w:r>
        <w:t>, ya que adeudaba dinero.</w:t>
      </w:r>
    </w:p>
    <w:p w:rsidR="00224567" w:rsidRDefault="00224567">
      <w:pPr>
        <w:widowControl w:val="0"/>
      </w:pPr>
      <w:r>
        <w:tab/>
        <w:t>Detalló que el gruero dejó la camion</w:t>
      </w:r>
      <w:r>
        <w:t>e</w:t>
      </w:r>
      <w:r>
        <w:t>ta estacionada en el portón del domicilio de Cot</w:t>
      </w:r>
      <w:r>
        <w:t>o</w:t>
      </w:r>
      <w:r>
        <w:t>ras; a la noche la subieron en parte a la vereda, con las ruedas d</w:t>
      </w:r>
      <w:r>
        <w:t>e</w:t>
      </w:r>
      <w:r>
        <w:t>lanteras sobre ésta, sin que ingresara la trompa en la propiedad. Allí, indicó, extrajeron el motor, debiendo quitarse el paragolpe delantero, el radiador y la caja. Acotó que en ese momento también estaba presente Hugo P</w:t>
      </w:r>
      <w:r>
        <w:t>é</w:t>
      </w:r>
      <w:r>
        <w:t>rez y luego llamaron a su mujer para que les cebase m</w:t>
      </w:r>
      <w:r>
        <w:t>a</w:t>
      </w:r>
      <w:r>
        <w:t>te, aunque en la declaración de fs. 7022/7037 no recordó si quien los acompañó era Hugo Pérez o Humberto Pérez Me</w:t>
      </w:r>
      <w:r>
        <w:t>j</w:t>
      </w:r>
      <w:r>
        <w:t>ías.</w:t>
      </w:r>
    </w:p>
    <w:p w:rsidR="00224567" w:rsidRDefault="00224567">
      <w:pPr>
        <w:widowControl w:val="0"/>
      </w:pPr>
      <w:r>
        <w:tab/>
        <w:t>Estimó que Cotoras realizó la tarea después de las 19.00 ó 20.00. Y si bien, en una de sus d</w:t>
      </w:r>
      <w:r>
        <w:t>e</w:t>
      </w:r>
      <w:r>
        <w:t>cl</w:t>
      </w:r>
      <w:r>
        <w:t>a</w:t>
      </w:r>
      <w:r>
        <w:t>raciones, sostuvo que el nombrado cargó el motor en el Escort de Boragni, luego indicó que lo hizo junto con Hugo Pérez, quien condujo el rodado hasta su dom</w:t>
      </w:r>
      <w:r>
        <w:t>i</w:t>
      </w:r>
      <w:r>
        <w:t>cilio, para al día siguiente trasladarlo al de Nitzcaner; pr</w:t>
      </w:r>
      <w:r>
        <w:t>e</w:t>
      </w:r>
      <w:r>
        <w:t>cisó que en ese momento Nitzcaner ya contaba con la documentación de la camioneta siniestrada y con una Trafic que lucía las chapas patentes de aquélla. Sin embargo, en su d</w:t>
      </w:r>
      <w:r>
        <w:t>e</w:t>
      </w:r>
      <w:r>
        <w:t>claración de fs. 7022/7037 no supo precisar si el traslado lo hizo el mismo día en que se extrajo el motor o al día siguie</w:t>
      </w:r>
      <w:r>
        <w:t>n</w:t>
      </w:r>
      <w:r>
        <w:t>te.</w:t>
      </w:r>
    </w:p>
    <w:p w:rsidR="00224567" w:rsidRDefault="00224567">
      <w:pPr>
        <w:widowControl w:val="0"/>
      </w:pPr>
      <w:r>
        <w:tab/>
        <w:t xml:space="preserve">Con respecto a la carrocería de </w:t>
      </w:r>
      <w:smartTag w:uri="urn:schemas-microsoft-com:office:smarttags" w:element="PersonName">
        <w:smartTagPr>
          <w:attr w:name="ProductID" w:val="la Trafic"/>
        </w:smartTagPr>
        <w:r>
          <w:t>la Trafic</w:t>
        </w:r>
      </w:smartTag>
      <w:r>
        <w:t xml:space="preserve"> de “Messin”, Telleldín afirmó que con una grúa la envió desde el domicilio de Cotoras a un desarmadero ub</w:t>
      </w:r>
      <w:r>
        <w:t>i</w:t>
      </w:r>
      <w:r>
        <w:t>cado a una cuadra de otro, propiedad de un tal Agü</w:t>
      </w:r>
      <w:r>
        <w:t>e</w:t>
      </w:r>
      <w:r>
        <w:t>ro.</w:t>
      </w:r>
    </w:p>
    <w:p w:rsidR="00224567" w:rsidRDefault="00224567">
      <w:pPr>
        <w:widowControl w:val="0"/>
      </w:pPr>
      <w:r>
        <w:tab/>
        <w:t xml:space="preserve">Por su parte, </w:t>
      </w:r>
      <w:r>
        <w:rPr>
          <w:rFonts w:eastAsia="Arial Unicode MS"/>
          <w:spacing w:val="-3"/>
        </w:rPr>
        <w:t>Hugo Antonio Pérez r</w:t>
      </w:r>
      <w:r>
        <w:rPr>
          <w:rFonts w:eastAsia="Arial Unicode MS"/>
          <w:spacing w:val="-3"/>
        </w:rPr>
        <w:t>e</w:t>
      </w:r>
      <w:r>
        <w:rPr>
          <w:rFonts w:eastAsia="Arial Unicode MS"/>
          <w:spacing w:val="-3"/>
        </w:rPr>
        <w:t xml:space="preserve">lató que </w:t>
      </w:r>
      <w:r>
        <w:t>Carlos Alberto Telleldín adquirió una camion</w:t>
      </w:r>
      <w:r>
        <w:t>e</w:t>
      </w:r>
      <w:r>
        <w:t>ta Trafic siniestrada en “Automotores Alejandro”, aproximadamente diez o doce días antes de la explosión (cónf. fs. 7849/7857).</w:t>
      </w:r>
    </w:p>
    <w:p w:rsidR="00224567" w:rsidRDefault="00224567">
      <w:pPr>
        <w:widowControl w:val="0"/>
      </w:pPr>
      <w:r>
        <w:tab/>
        <w:t>A fs. 8131/8133, al ser careado con Ariel Rodolfo Nitzcaner, Pérez admitió haber concurrido al taller de Cotoras junto con Carlos T</w:t>
      </w:r>
      <w:r>
        <w:t>e</w:t>
      </w:r>
      <w:r>
        <w:t>lleldín y si bien no presenció la extracción del motor, vio cua</w:t>
      </w:r>
      <w:r>
        <w:t>n</w:t>
      </w:r>
      <w:r>
        <w:t>do lo cargaban en el baúl del Ford E</w:t>
      </w:r>
      <w:r>
        <w:t>s</w:t>
      </w:r>
      <w:r>
        <w:t>cort de éste; tras ello, lo trasladó al taller de Nitzcaner. Explicó que todo los pasos relat</w:t>
      </w:r>
      <w:r>
        <w:t>a</w:t>
      </w:r>
      <w:r>
        <w:t>dos acontecieron en un mismo día.</w:t>
      </w:r>
    </w:p>
    <w:p w:rsidR="00224567" w:rsidRDefault="00224567">
      <w:pPr>
        <w:widowControl w:val="0"/>
      </w:pPr>
      <w:r>
        <w:tab/>
        <w:t>Sin embargo, en otro tramo de la co</w:t>
      </w:r>
      <w:r>
        <w:t>n</w:t>
      </w:r>
      <w:r>
        <w:t>frontación, Pérez sostuvo que arribó al taller de Cot</w:t>
      </w:r>
      <w:r>
        <w:t>o</w:t>
      </w:r>
      <w:r>
        <w:t>ras en el Escort, a la vez que Telleldín lo hacía de</w:t>
      </w:r>
      <w:r>
        <w:t>s</w:t>
      </w:r>
      <w:r>
        <w:t>pués, en un Renault 19, en momentos en que Cotoras ca</w:t>
      </w:r>
      <w:r>
        <w:t>r</w:t>
      </w:r>
      <w:r>
        <w:t>gaba el motor en el baúl del primer veh</w:t>
      </w:r>
      <w:r>
        <w:t>í</w:t>
      </w:r>
      <w:r>
        <w:t>culo; tarea con la que colaboró. Agregó que Telleldín se retiró del t</w:t>
      </w:r>
      <w:r>
        <w:t>a</w:t>
      </w:r>
      <w:r>
        <w:t>ller de Cotoras en el mismo rodado en el que había ll</w:t>
      </w:r>
      <w:r>
        <w:t>e</w:t>
      </w:r>
      <w:r>
        <w:t>gado.</w:t>
      </w:r>
    </w:p>
    <w:p w:rsidR="00224567" w:rsidRDefault="00224567">
      <w:pPr>
        <w:widowControl w:val="0"/>
      </w:pPr>
      <w:r>
        <w:tab/>
        <w:t>En el careo entre Telleldín y Pérez, glosado a fs. 8606/8610, este último en un primer m</w:t>
      </w:r>
      <w:r>
        <w:t>o</w:t>
      </w:r>
      <w:r>
        <w:t>mento reiteró sus manifestaciones anteriores, para luego adm</w:t>
      </w:r>
      <w:r>
        <w:t>i</w:t>
      </w:r>
      <w:r>
        <w:t>tir, tal como sostuvo su cocareado, que era posible que hubiera ayudado a extraer el motor, perman</w:t>
      </w:r>
      <w:r>
        <w:t>e</w:t>
      </w:r>
      <w:r>
        <w:t>ciendo éste en el baúl del Escort, en el domic</w:t>
      </w:r>
      <w:r>
        <w:t>i</w:t>
      </w:r>
      <w:r>
        <w:t>lio de Telleldín, hasta el día siguiente, para su tra</w:t>
      </w:r>
      <w:r>
        <w:t>s</w:t>
      </w:r>
      <w:r>
        <w:t>lado a lo de Nitzcaner.</w:t>
      </w:r>
    </w:p>
    <w:p w:rsidR="00224567" w:rsidRDefault="00224567">
      <w:pPr>
        <w:widowControl w:val="0"/>
      </w:pPr>
      <w:r>
        <w:tab/>
      </w:r>
      <w:r>
        <w:rPr>
          <w:b/>
          <w:bCs/>
        </w:rPr>
        <w:t xml:space="preserve">B.4) </w:t>
      </w:r>
      <w:r>
        <w:t xml:space="preserve">De lo expuesto surge claramente que no existe acuerdo entre las versiones brindadas por Telleldín, Pérez y Boragni respecto a las circunstancias que rodearon la extracción del motor de </w:t>
      </w:r>
      <w:smartTag w:uri="urn:schemas-microsoft-com:office:smarttags" w:element="PersonName">
        <w:smartTagPr>
          <w:attr w:name="ProductID" w:val="la Trafic"/>
        </w:smartTagPr>
        <w:r>
          <w:t>la Trafic</w:t>
        </w:r>
      </w:smartTag>
      <w:r>
        <w:t xml:space="preserve"> de  “Messin” en el d</w:t>
      </w:r>
      <w:r>
        <w:t>o</w:t>
      </w:r>
      <w:r>
        <w:t>micilio de Cotoras.</w:t>
      </w:r>
    </w:p>
    <w:p w:rsidR="00224567" w:rsidRDefault="00224567">
      <w:pPr>
        <w:widowControl w:val="0"/>
      </w:pPr>
      <w:r>
        <w:tab/>
        <w:t>En efecto, Telleldín y Pérez coinc</w:t>
      </w:r>
      <w:r>
        <w:t>i</w:t>
      </w:r>
      <w:r>
        <w:t>dieron en que éste pudo haber colaborado en la extra</w:t>
      </w:r>
      <w:r>
        <w:t>c</w:t>
      </w:r>
      <w:r>
        <w:t>ción del motor. Sin embargo, en una de sus versiones, Pérez m</w:t>
      </w:r>
      <w:r>
        <w:t>a</w:t>
      </w:r>
      <w:r>
        <w:t>nifestó que no presenció ese acto, en tanto B</w:t>
      </w:r>
      <w:r>
        <w:t>o</w:t>
      </w:r>
      <w:r>
        <w:t>ragni señaló que s</w:t>
      </w:r>
      <w:r>
        <w:t>ó</w:t>
      </w:r>
      <w:r>
        <w:t>lo Cotoras hizo la tarea.</w:t>
      </w:r>
    </w:p>
    <w:p w:rsidR="00224567" w:rsidRDefault="00224567">
      <w:pPr>
        <w:widowControl w:val="0"/>
      </w:pPr>
      <w:r>
        <w:tab/>
        <w:t>En tanto, Telleldín recordó que pr</w:t>
      </w:r>
      <w:r>
        <w:t>e</w:t>
      </w:r>
      <w:r>
        <w:t>senció la maniobra y que también estaban Hugo Pérez o Hu</w:t>
      </w:r>
      <w:r>
        <w:t>m</w:t>
      </w:r>
      <w:r>
        <w:t>berto Pérez Mejías –finalmente pareció inclinarse por el pr</w:t>
      </w:r>
      <w:r>
        <w:t>i</w:t>
      </w:r>
      <w:r>
        <w:t>mero- y Boragni. En cambio, Pérez no mencionó a Boragni como una de las concurrentes y, por su parte, ésta aseguró haber estado presente, no recordando a Pérez en el l</w:t>
      </w:r>
      <w:r>
        <w:t>u</w:t>
      </w:r>
      <w:r>
        <w:t>gar.</w:t>
      </w:r>
    </w:p>
    <w:p w:rsidR="00224567" w:rsidRDefault="00224567">
      <w:pPr>
        <w:widowControl w:val="0"/>
      </w:pPr>
      <w:r>
        <w:tab/>
        <w:t>En otro orden, la factura emitida por “Automotores Alejandro” data del 4 de julio de 1994, coi</w:t>
      </w:r>
      <w:r>
        <w:t>n</w:t>
      </w:r>
      <w:r>
        <w:t>cidiendo la fecha con la versión de Telleldín, quien ind</w:t>
      </w:r>
      <w:r>
        <w:t>i</w:t>
      </w:r>
      <w:r>
        <w:t>có también que en horas de la noche del día en que fue d</w:t>
      </w:r>
      <w:r>
        <w:t>e</w:t>
      </w:r>
      <w:r>
        <w:t>jada la camioneta se extrajo el motor, el que fue ret</w:t>
      </w:r>
      <w:r>
        <w:t>i</w:t>
      </w:r>
      <w:r>
        <w:t>rado del lugar en el baúl del Escort.  A su turno, en forma  coincidente, Boragni indicó que lo sacaron una noche, ci</w:t>
      </w:r>
      <w:r>
        <w:t>n</w:t>
      </w:r>
      <w:r>
        <w:t>co o seis días antes del 10 de j</w:t>
      </w:r>
      <w:r>
        <w:t>u</w:t>
      </w:r>
      <w:r>
        <w:t>lio.</w:t>
      </w:r>
    </w:p>
    <w:p w:rsidR="00224567" w:rsidRDefault="00224567">
      <w:pPr>
        <w:widowControl w:val="0"/>
      </w:pPr>
      <w:r>
        <w:tab/>
        <w:t>No obstante, no hubo acuerdo en cua</w:t>
      </w:r>
      <w:r>
        <w:t>n</w:t>
      </w:r>
      <w:r>
        <w:t>to a si fue trasladado al taller de Nitzcaner esa misma noche o al día siguiente. En tal se</w:t>
      </w:r>
      <w:r>
        <w:t>n</w:t>
      </w:r>
      <w:r>
        <w:t>tido, Telleldín sostuvo que Pérez lo llevó al día siguiente, en tanto éste no pudo precisar el momento, mientras Boragni r</w:t>
      </w:r>
      <w:r>
        <w:t>e</w:t>
      </w:r>
      <w:r>
        <w:t>firió que luego de la extracción retornaron a su dom</w:t>
      </w:r>
      <w:r>
        <w:t>i</w:t>
      </w:r>
      <w:r>
        <w:t>cilio porque era tarde y al día siguiente lo trasladaron a lo de Nitzc</w:t>
      </w:r>
      <w:r>
        <w:t>a</w:t>
      </w:r>
      <w:r>
        <w:t>ner.</w:t>
      </w:r>
    </w:p>
    <w:p w:rsidR="00224567" w:rsidRDefault="00224567">
      <w:pPr>
        <w:widowControl w:val="0"/>
      </w:pPr>
      <w:r>
        <w:tab/>
        <w:t>Así, como se detallará en el acápite siguiente, no es posible afirmar que el motor de la cami</w:t>
      </w:r>
      <w:r>
        <w:t>o</w:t>
      </w:r>
      <w:r>
        <w:t xml:space="preserve">neta de “Messin” fuese el entregado a Nitzcaner para su colocación en </w:t>
      </w:r>
      <w:smartTag w:uri="urn:schemas-microsoft-com:office:smarttags" w:element="PersonName">
        <w:smartTagPr>
          <w:attr w:name="ProductID" w:val="la Trafic"/>
        </w:smartTagPr>
        <w:r>
          <w:t>la Trafic</w:t>
        </w:r>
      </w:smartTag>
      <w:r>
        <w:t xml:space="preserve"> de Sarap</w:t>
      </w:r>
      <w:r>
        <w:t>u</w:t>
      </w:r>
      <w:r>
        <w:t>ra.</w:t>
      </w:r>
    </w:p>
    <w:p w:rsidR="00224567" w:rsidRDefault="00224567">
      <w:pPr>
        <w:widowControl w:val="0"/>
        <w:rPr>
          <w:bCs/>
        </w:rPr>
      </w:pPr>
      <w:r>
        <w:tab/>
        <w:t>Por otra parte, en</w:t>
      </w:r>
      <w:r>
        <w:rPr>
          <w:lang w:val="es-MX"/>
        </w:rPr>
        <w:t xml:space="preserve"> oportunidad de al</w:t>
      </w:r>
      <w:r>
        <w:rPr>
          <w:lang w:val="es-MX"/>
        </w:rPr>
        <w:t>e</w:t>
      </w:r>
      <w:r>
        <w:rPr>
          <w:lang w:val="es-MX"/>
        </w:rPr>
        <w:t>gar, la defensa a cargo del Dr. Valle entendió que el m</w:t>
      </w:r>
      <w:r>
        <w:rPr>
          <w:lang w:val="es-MX"/>
        </w:rPr>
        <w:t>o</w:t>
      </w:r>
      <w:r>
        <w:rPr>
          <w:lang w:val="es-MX"/>
        </w:rPr>
        <w:t xml:space="preserve">tor de </w:t>
      </w:r>
      <w:smartTag w:uri="urn:schemas-microsoft-com:office:smarttags" w:element="PersonName">
        <w:smartTagPr>
          <w:attr w:name="ProductID" w:val="la Trafic"/>
        </w:smartTagPr>
        <w:r>
          <w:rPr>
            <w:lang w:val="es-MX"/>
          </w:rPr>
          <w:t>la Trafic</w:t>
        </w:r>
      </w:smartTag>
      <w:r>
        <w:rPr>
          <w:lang w:val="es-MX"/>
        </w:rPr>
        <w:t xml:space="preserve"> de “Messin” no pudo haber sido retirado del domicilio de Cotoras en el baúl del Ford Escort, por cuanto </w:t>
      </w:r>
      <w:r>
        <w:rPr>
          <w:bCs/>
        </w:rPr>
        <w:t>del libro de Registro de Automotores secuestrado en el taller de Nitzcaner surgía que el 1º de julio de 1994 ingresó dicho vehículo y permaneció allí hasta el allan</w:t>
      </w:r>
      <w:r>
        <w:rPr>
          <w:bCs/>
        </w:rPr>
        <w:t>a</w:t>
      </w:r>
      <w:r>
        <w:rPr>
          <w:bCs/>
        </w:rPr>
        <w:t>miento pra</w:t>
      </w:r>
      <w:r>
        <w:rPr>
          <w:bCs/>
        </w:rPr>
        <w:t>c</w:t>
      </w:r>
      <w:r>
        <w:rPr>
          <w:bCs/>
        </w:rPr>
        <w:t>ticado el 28 del mismo mes.</w:t>
      </w:r>
    </w:p>
    <w:p w:rsidR="00224567" w:rsidRDefault="00224567">
      <w:pPr>
        <w:widowControl w:val="0"/>
        <w:rPr>
          <w:lang w:val="es-MX"/>
        </w:rPr>
      </w:pPr>
      <w:r>
        <w:rPr>
          <w:lang w:val="es-MX"/>
        </w:rPr>
        <w:tab/>
        <w:t>Al respecto, se debe destacar que, si bien es cierto lo sostenido por esa defensa en cuanto a la anotación que figura en el libro del taller y a la prese</w:t>
      </w:r>
      <w:r>
        <w:rPr>
          <w:lang w:val="es-MX"/>
        </w:rPr>
        <w:t>n</w:t>
      </w:r>
      <w:r>
        <w:rPr>
          <w:lang w:val="es-MX"/>
        </w:rPr>
        <w:t>cia del Escort en ese lugar al momento del allanamiento, nada obsta a considerar que durante ese lapso pudo haber sido retirado y vuelto a ingresar, sin que se documentara tal circunstancia; máxime, ante la relación cercana que mantenían Telle</w:t>
      </w:r>
      <w:r>
        <w:rPr>
          <w:lang w:val="es-MX"/>
        </w:rPr>
        <w:t>l</w:t>
      </w:r>
      <w:r>
        <w:rPr>
          <w:lang w:val="es-MX"/>
        </w:rPr>
        <w:t>dín y Boragni con Nitzcaner, por tratarse de clientes hab</w:t>
      </w:r>
      <w:r>
        <w:rPr>
          <w:lang w:val="es-MX"/>
        </w:rPr>
        <w:t>i</w:t>
      </w:r>
      <w:r>
        <w:rPr>
          <w:lang w:val="es-MX"/>
        </w:rPr>
        <w:t>tuales.</w:t>
      </w:r>
    </w:p>
    <w:p w:rsidR="00224567" w:rsidRDefault="00224567">
      <w:pPr>
        <w:widowControl w:val="0"/>
      </w:pPr>
      <w:r>
        <w:tab/>
        <w:t>Por último, se debe poner de resalto que no se pudo establecer el destino de la carrocería de la camioneta de “Messin” luego de la e</w:t>
      </w:r>
      <w:r>
        <w:t>x</w:t>
      </w:r>
      <w:r>
        <w:t>tracción del motor, debiéndose tomar como último dato cierto su presencia frente al domicilio de Cot</w:t>
      </w:r>
      <w:r>
        <w:t>o</w:t>
      </w:r>
      <w:r>
        <w:t>ras.</w:t>
      </w:r>
    </w:p>
    <w:p w:rsidR="00224567" w:rsidRDefault="00224567">
      <w:pPr>
        <w:widowControl w:val="0"/>
      </w:pPr>
      <w:r>
        <w:tab/>
        <w:t>En este sentido, no encuentra as</w:t>
      </w:r>
      <w:r>
        <w:t>i</w:t>
      </w:r>
      <w:r>
        <w:t>dero la afirmación hecha por la fiscalía, en cuanto a que fue trasladada hasta las cercanías del taller de Nitzcaner, desde dónde, según esa parte, el 7 de julio de 1994 Albe</w:t>
      </w:r>
      <w:r>
        <w:t>r</w:t>
      </w:r>
      <w:r>
        <w:t>to Chueco -gruero contratado por Ana María Boragni- la transportó hasta el desarmadero de autom</w:t>
      </w:r>
      <w:r>
        <w:t>ó</w:t>
      </w:r>
      <w:r>
        <w:t xml:space="preserve">viles de Antonio Avelino Agüero, ubicado en </w:t>
      </w:r>
      <w:smartTag w:uri="urn:schemas-microsoft-com:office:smarttags" w:element="PersonName">
        <w:smartTagPr>
          <w:attr w:name="ProductID" w:val="la Ruta Nacional"/>
        </w:smartTagPr>
        <w:r>
          <w:t>la Ruta N</w:t>
        </w:r>
        <w:r>
          <w:t>a</w:t>
        </w:r>
        <w:r>
          <w:t>cional</w:t>
        </w:r>
      </w:smartTag>
      <w:r>
        <w:t xml:space="preserve"> nº 8.</w:t>
      </w:r>
    </w:p>
    <w:p w:rsidR="00224567" w:rsidRDefault="00224567">
      <w:pPr>
        <w:widowControl w:val="0"/>
      </w:pPr>
      <w:r>
        <w:tab/>
        <w:t>Ello, por cuanto no obra en autos prueba alguna que dé cuenta del traslado referido en pr</w:t>
      </w:r>
      <w:r>
        <w:t>i</w:t>
      </w:r>
      <w:r>
        <w:t>mer término, vale decir, desde el domicilio de Cotoras hasta el de Nitzcaner, amén de no haber explicitado el fiscal la finalidad a la que podría haber obedecido dicha maniobra. Además, si bien Alberto Mario Chueco aseveró h</w:t>
      </w:r>
      <w:r>
        <w:t>a</w:t>
      </w:r>
      <w:r>
        <w:t>ber acarreado una Trafic incendiada desde las inmediaci</w:t>
      </w:r>
      <w:r>
        <w:t>o</w:t>
      </w:r>
      <w:r>
        <w:t>nes del taller de Nitzcaner hasta José C. Paz, no fue pr</w:t>
      </w:r>
      <w:r>
        <w:t>e</w:t>
      </w:r>
      <w:r>
        <w:t>ciso en cua</w:t>
      </w:r>
      <w:r>
        <w:t>n</w:t>
      </w:r>
      <w:r>
        <w:t>to a la fecha en que habría llevado a cabo el cometido, ni se pudo establecer que se estuviera refirie</w:t>
      </w:r>
      <w:r>
        <w:t>n</w:t>
      </w:r>
      <w:r>
        <w:t>do al vehículo de “Messin”.</w:t>
      </w:r>
    </w:p>
    <w:p w:rsidR="00224567" w:rsidRDefault="00224567">
      <w:pPr>
        <w:widowControl w:val="0"/>
      </w:pPr>
      <w:r>
        <w:tab/>
        <w:t>A su vez, se debe recordar que la c</w:t>
      </w:r>
      <w:r>
        <w:t>a</w:t>
      </w:r>
      <w:r>
        <w:t>rrocería de Trafic incendiada que se encontró en el t</w:t>
      </w:r>
      <w:r>
        <w:t>a</w:t>
      </w:r>
      <w:r>
        <w:t>ller de Agüero no era la de la camioneta de “Messin”, sino otra con la inscripción “Ambulancia” en su c</w:t>
      </w:r>
      <w:r>
        <w:t>a</w:t>
      </w:r>
      <w:r>
        <w:t>pó, cuyo número de serie era TA12-003663 (cónf. actas de allanamiento de fs. 6940/6943 y 8786vta./8787, fotografías glosadas a fs. 6845, 6849, 7447/7448 y 10.673 y peritaje agregado a fs. 11.709/11.711), que correspondía al vehículo dominio B 2.242.044 (cónf. informe de fs. 7174), con el que Telle</w:t>
      </w:r>
      <w:r>
        <w:t>l</w:t>
      </w:r>
      <w:r>
        <w:t>dín enajenó una Trafic “doblada” a Ana María Toretta y Hernán del Carmen Mur</w:t>
      </w:r>
      <w:r>
        <w:t>i</w:t>
      </w:r>
      <w:r>
        <w:t>llo Zuñiga.</w:t>
      </w:r>
    </w:p>
    <w:p w:rsidR="00224567" w:rsidRDefault="00224567">
      <w:pPr>
        <w:pStyle w:val="Textoindependiente"/>
        <w:spacing w:line="600" w:lineRule="auto"/>
      </w:pPr>
    </w:p>
    <w:p w:rsidR="00224567" w:rsidRDefault="00224567">
      <w:pPr>
        <w:pStyle w:val="Ttulo3"/>
        <w:keepNext w:val="0"/>
        <w:widowControl w:val="0"/>
      </w:pPr>
      <w:bookmarkStart w:id="5" w:name="_Toc86053034"/>
      <w:r>
        <w:t>C) El taller de Nitzcaner</w:t>
      </w:r>
      <w:bookmarkEnd w:id="5"/>
      <w:r>
        <w:t>.</w:t>
      </w:r>
    </w:p>
    <w:p w:rsidR="00224567" w:rsidRDefault="00224567">
      <w:pPr>
        <w:widowControl w:val="0"/>
      </w:pPr>
      <w:r>
        <w:tab/>
      </w:r>
      <w:r>
        <w:tab/>
      </w:r>
      <w:r>
        <w:rPr>
          <w:b/>
          <w:bCs/>
        </w:rPr>
        <w:t>C.1)</w:t>
      </w:r>
      <w:r>
        <w:t xml:space="preserve"> El debate demostró, de manera fehaciente, que el sábado 2 de julio de 1994, en horas del mediodía, Miguel Gustavo Jaimes, a pedido de Carlos Albe</w:t>
      </w:r>
      <w:r>
        <w:t>r</w:t>
      </w:r>
      <w:r>
        <w:t>to Telleldín, remolcó con su a</w:t>
      </w:r>
      <w:r>
        <w:t>u</w:t>
      </w:r>
      <w:r>
        <w:t>tomóvil -Ford Sierra, color verde- la camioneta Renault Trafic dominio C 1.519.275, desde República y Alvear, de la localidad de Villa Balle</w:t>
      </w:r>
      <w:r>
        <w:t>s</w:t>
      </w:r>
      <w:r>
        <w:t>ter, hasta el taller de chapa y pintura “Pole Position”, perteneciente a Ariel Rodo</w:t>
      </w:r>
      <w:r>
        <w:t>l</w:t>
      </w:r>
      <w:r>
        <w:t>fo Nitzcaner, sito en Ituzaingó 2335, Villa Maipú, pr</w:t>
      </w:r>
      <w:r>
        <w:t>o</w:t>
      </w:r>
      <w:r>
        <w:t>vincia de Buenos Aires.</w:t>
      </w:r>
    </w:p>
    <w:p w:rsidR="00224567" w:rsidRDefault="00224567">
      <w:pPr>
        <w:widowControl w:val="0"/>
        <w:rPr>
          <w:rFonts w:eastAsia="Arial Unicode MS"/>
        </w:rPr>
      </w:pPr>
      <w:r>
        <w:tab/>
        <w:t>El vehículo acarreado le había sido sustraído a su propietario, Pedro Alejandro Sarapura, e</w:t>
      </w:r>
      <w:r>
        <w:t>n</w:t>
      </w:r>
      <w:r>
        <w:t>tre la noche del 1º de julio de 1994 y las 15.00, aprox</w:t>
      </w:r>
      <w:r>
        <w:t>i</w:t>
      </w:r>
      <w:r>
        <w:t xml:space="preserve">madamente, del día siguiente, en la calle </w:t>
      </w:r>
      <w:r>
        <w:rPr>
          <w:rFonts w:eastAsia="Arial Unicode MS"/>
        </w:rPr>
        <w:t>Arcos entre Ol</w:t>
      </w:r>
      <w:r>
        <w:rPr>
          <w:rFonts w:eastAsia="Arial Unicode MS"/>
        </w:rPr>
        <w:t>a</w:t>
      </w:r>
      <w:r>
        <w:rPr>
          <w:rFonts w:eastAsia="Arial Unicode MS"/>
        </w:rPr>
        <w:t>zábal y Blanco de Encalada, de esta Capital, donde la h</w:t>
      </w:r>
      <w:r>
        <w:rPr>
          <w:rFonts w:eastAsia="Arial Unicode MS"/>
        </w:rPr>
        <w:t>a</w:t>
      </w:r>
      <w:r>
        <w:rPr>
          <w:rFonts w:eastAsia="Arial Unicode MS"/>
        </w:rPr>
        <w:t>bía dejado estacion</w:t>
      </w:r>
      <w:r>
        <w:rPr>
          <w:rFonts w:eastAsia="Arial Unicode MS"/>
        </w:rPr>
        <w:t>a</w:t>
      </w:r>
      <w:r>
        <w:rPr>
          <w:rFonts w:eastAsia="Arial Unicode MS"/>
        </w:rPr>
        <w:t>da.</w:t>
      </w:r>
    </w:p>
    <w:p w:rsidR="00224567" w:rsidRDefault="00224567">
      <w:pPr>
        <w:widowControl w:val="0"/>
      </w:pPr>
      <w:r>
        <w:tab/>
        <w:t>Además se comprobó que, por indic</w:t>
      </w:r>
      <w:r>
        <w:t>a</w:t>
      </w:r>
      <w:r>
        <w:t>ción de Telleldín, Nitzcaner cambió en su taller el motor del vehículo de Sarapura por otro aportado por T</w:t>
      </w:r>
      <w:r>
        <w:t>e</w:t>
      </w:r>
      <w:r>
        <w:t>lleldín, sin que fuera posible determinar si se trataba del correspo</w:t>
      </w:r>
      <w:r>
        <w:t>n</w:t>
      </w:r>
      <w:r>
        <w:t xml:space="preserve">diente a </w:t>
      </w:r>
      <w:smartTag w:uri="urn:schemas-microsoft-com:office:smarttags" w:element="PersonName">
        <w:smartTagPr>
          <w:attr w:name="ProductID" w:val="la Trafic"/>
        </w:smartTagPr>
        <w:r>
          <w:t>la Trafic</w:t>
        </w:r>
      </w:smartTag>
      <w:r>
        <w:t xml:space="preserve"> de “Messin”. También se efectuaron en aquel rodado algunos arreglos de chapa y pintura y en el interior de la caja.</w:t>
      </w:r>
    </w:p>
    <w:p w:rsidR="00224567" w:rsidRDefault="00224567">
      <w:pPr>
        <w:widowControl w:val="0"/>
      </w:pPr>
      <w:r>
        <w:tab/>
        <w:t>Asimismo, se acreditó que el vie</w:t>
      </w:r>
      <w:r>
        <w:t>r</w:t>
      </w:r>
      <w:r>
        <w:t>nes 8 ó el sábado 9 de julio, la camioneta fue retirada del t</w:t>
      </w:r>
      <w:r>
        <w:t>a</w:t>
      </w:r>
      <w:r>
        <w:t>ller de Nitzcaner, sin que medie certeza acerca de que T</w:t>
      </w:r>
      <w:r>
        <w:t>e</w:t>
      </w:r>
      <w:r>
        <w:t>lleldín y Boragni o sólo esta última se hubieran enca</w:t>
      </w:r>
      <w:r>
        <w:t>r</w:t>
      </w:r>
      <w:r>
        <w:t>gado de dicho cometido.</w:t>
      </w:r>
    </w:p>
    <w:p w:rsidR="00224567" w:rsidRDefault="00224567">
      <w:pPr>
        <w:widowControl w:val="0"/>
      </w:pPr>
      <w:r>
        <w:tab/>
        <w:t xml:space="preserve">Tampoco se pudo establecer si </w:t>
      </w:r>
      <w:smartTag w:uri="urn:schemas-microsoft-com:office:smarttags" w:element="PersonName">
        <w:smartTagPr>
          <w:attr w:name="ProductID" w:val="la Trafic"/>
        </w:smartTagPr>
        <w:r>
          <w:t>la Tr</w:t>
        </w:r>
        <w:r>
          <w:t>a</w:t>
        </w:r>
        <w:r>
          <w:t>fic</w:t>
        </w:r>
      </w:smartTag>
      <w:r>
        <w:t xml:space="preserve"> que el sábado 9 y domingo 10 de julio de 1994 se est</w:t>
      </w:r>
      <w:r>
        <w:t>a</w:t>
      </w:r>
      <w:r>
        <w:t>cionó frente al domicilio de la calle República 107 de V</w:t>
      </w:r>
      <w:r>
        <w:t>i</w:t>
      </w:r>
      <w:r>
        <w:t>lla Ballester, publicada para su venta en el diario “Cl</w:t>
      </w:r>
      <w:r>
        <w:t>a</w:t>
      </w:r>
      <w:r>
        <w:t>rín” de ese fin de semana, era aquella que Telleldín h</w:t>
      </w:r>
      <w:r>
        <w:t>a</w:t>
      </w:r>
      <w:r>
        <w:t>bría armado con la carrocería del utilitario de Sar</w:t>
      </w:r>
      <w:r>
        <w:t>a</w:t>
      </w:r>
      <w:r>
        <w:t>pura y otro motor.</w:t>
      </w:r>
    </w:p>
    <w:p w:rsidR="00224567" w:rsidRDefault="00224567">
      <w:pPr>
        <w:widowControl w:val="0"/>
      </w:pPr>
      <w:r>
        <w:tab/>
        <w:t>Igualmente, el debate no pudo esclar</w:t>
      </w:r>
      <w:r>
        <w:t>e</w:t>
      </w:r>
      <w:r>
        <w:t>cer el destino que se le dio al motor nº 2.848.848, orig</w:t>
      </w:r>
      <w:r>
        <w:t>i</w:t>
      </w:r>
      <w:r>
        <w:t xml:space="preserve">nariamente colocado en </w:t>
      </w:r>
      <w:smartTag w:uri="urn:schemas-microsoft-com:office:smarttags" w:element="PersonName">
        <w:smartTagPr>
          <w:attr w:name="ProductID" w:val="la Trafic"/>
        </w:smartTagPr>
        <w:r>
          <w:t>la Trafic</w:t>
        </w:r>
      </w:smartTag>
      <w:r>
        <w:t xml:space="preserve"> sustraída a Sar</w:t>
      </w:r>
      <w:r>
        <w:t>a</w:t>
      </w:r>
      <w:r>
        <w:t>pura.</w:t>
      </w:r>
    </w:p>
    <w:p w:rsidR="00224567" w:rsidRDefault="00224567">
      <w:pPr>
        <w:widowControl w:val="0"/>
      </w:pPr>
      <w:r>
        <w:tab/>
        <w:t>Por último, no se encuentra probado, pese a las afirmaciones de Telleldín en tal sentido, que se hubiera regrabado la numeración de la carr</w:t>
      </w:r>
      <w:r>
        <w:t>o</w:t>
      </w:r>
      <w:r>
        <w:t xml:space="preserve">cería de </w:t>
      </w:r>
      <w:smartTag w:uri="urn:schemas-microsoft-com:office:smarttags" w:element="PersonName">
        <w:smartTagPr>
          <w:attr w:name="ProductID" w:val="la Trafic"/>
        </w:smartTagPr>
        <w:r>
          <w:t>la Trafic</w:t>
        </w:r>
      </w:smartTag>
      <w:r>
        <w:t xml:space="preserve"> de Sarapura.</w:t>
      </w:r>
    </w:p>
    <w:p w:rsidR="00224567" w:rsidRDefault="00224567">
      <w:pPr>
        <w:widowControl w:val="0"/>
      </w:pPr>
      <w:r>
        <w:tab/>
      </w:r>
      <w:r>
        <w:rPr>
          <w:b/>
          <w:bCs/>
        </w:rPr>
        <w:t>C.2)</w:t>
      </w:r>
      <w:r>
        <w:t xml:space="preserve"> Las afirmaciones precedentes e</w:t>
      </w:r>
      <w:r>
        <w:t>n</w:t>
      </w:r>
      <w:r>
        <w:t>cuentran sustento en las declaraciones testimoniales de Hugo César Ferrer, Carlos Osvaldo De Nápoli, Pedro Aleja</w:t>
      </w:r>
      <w:r>
        <w:t>n</w:t>
      </w:r>
      <w:r>
        <w:t>dro Sarapura, Manuel Iglesias, María Magdalena Dalbagni, Raúl Alberto Puente, Guillermo Raúl Latino –incorporada por lectura-, Francisco Tomás Bruno, Carlos Mario Vispo, Pedro Ancona, Augusto Carlos Curel, Rolando Guillermo Go</w:t>
      </w:r>
      <w:r>
        <w:t>i</w:t>
      </w:r>
      <w:r>
        <w:t>cochea, Martín Daniel Ivaldi, Juan Antonio Salguero, Ma</w:t>
      </w:r>
      <w:r>
        <w:t>r</w:t>
      </w:r>
      <w:r>
        <w:t xml:space="preserve">celo Fabián Jouce, Francisco Bonnefon, Pablo Mario De </w:t>
      </w:r>
      <w:smartTag w:uri="urn:schemas-microsoft-com:office:smarttags" w:element="PersonName">
        <w:smartTagPr>
          <w:attr w:name="ProductID" w:val="La Cruz Ar￩valo"/>
        </w:smartTagPr>
        <w:r>
          <w:t>la Cruz Arévalo</w:t>
        </w:r>
      </w:smartTag>
      <w:r>
        <w:t>, Alicia Noemí Trotonda, Ana María Boragni y Ricardo López.</w:t>
      </w:r>
    </w:p>
    <w:p w:rsidR="00224567" w:rsidRDefault="00224567">
      <w:pPr>
        <w:widowControl w:val="0"/>
        <w:rPr>
          <w:bCs/>
        </w:rPr>
      </w:pPr>
      <w:r>
        <w:rPr>
          <w:spacing w:val="-2"/>
        </w:rPr>
        <w:tab/>
        <w:t>Acreditan también los hechos descri</w:t>
      </w:r>
      <w:r>
        <w:rPr>
          <w:spacing w:val="-2"/>
        </w:rPr>
        <w:t>p</w:t>
      </w:r>
      <w:r>
        <w:rPr>
          <w:spacing w:val="-2"/>
        </w:rPr>
        <w:t>tos</w:t>
      </w:r>
      <w:r>
        <w:t xml:space="preserve"> el legajo B de </w:t>
      </w:r>
      <w:smartTag w:uri="urn:schemas-microsoft-com:office:smarttags" w:element="PersonName">
        <w:smartTagPr>
          <w:attr w:name="ProductID" w:val="la Trafic C"/>
        </w:smartTagPr>
        <w:r>
          <w:t>la Trafic C</w:t>
        </w:r>
      </w:smartTag>
      <w:r>
        <w:t xml:space="preserve"> 1.519.275 del Registro Secci</w:t>
      </w:r>
      <w:r>
        <w:t>o</w:t>
      </w:r>
      <w:r>
        <w:t xml:space="preserve">nal nº 49 de </w:t>
      </w:r>
      <w:smartTag w:uri="urn:schemas-microsoft-com:office:smarttags" w:element="PersonName">
        <w:smartTagPr>
          <w:attr w:name="ProductID" w:val="la Propiedad Automotor"/>
        </w:smartTagPr>
        <w:r>
          <w:t>la Propiedad Automotor</w:t>
        </w:r>
      </w:smartTag>
      <w:r>
        <w:t xml:space="preserve"> de </w:t>
      </w:r>
      <w:smartTag w:uri="urn:schemas-microsoft-com:office:smarttags" w:element="PersonName">
        <w:smartTagPr>
          <w:attr w:name="ProductID" w:val="la Capital Federal"/>
        </w:smartTagPr>
        <w:r>
          <w:t>la Capital Federal</w:t>
        </w:r>
      </w:smartTag>
      <w:r>
        <w:t>; las actas de allanamiento obrantes a fs. 409vta./410 y 10.561/10.562; el plano glosado a fs. 10.568; las fotogr</w:t>
      </w:r>
      <w:r>
        <w:t>a</w:t>
      </w:r>
      <w:r>
        <w:t>fías agregadas a fs. 232/236, 238/239, 10.569/10.574, 11.668/11.672, 31.691/31.692 y la aportada por Pedro Al</w:t>
      </w:r>
      <w:r>
        <w:t>e</w:t>
      </w:r>
      <w:r>
        <w:t>jandro Sarapura; las actuaci</w:t>
      </w:r>
      <w:r>
        <w:t>o</w:t>
      </w:r>
      <w:r>
        <w:t>nes de fs. 30.737/30.760; las fotocopias de document</w:t>
      </w:r>
      <w:r>
        <w:t>a</w:t>
      </w:r>
      <w:r>
        <w:t>ción obrantes a fs. 10.491/10.532, 11.039/11.051 y 13.170/13.195; la d</w:t>
      </w:r>
      <w:r>
        <w:t>o</w:t>
      </w:r>
      <w:r>
        <w:t xml:space="preserve">cumentación glosada a </w:t>
      </w:r>
      <w:r>
        <w:rPr>
          <w:rFonts w:eastAsia="Arial Unicode MS"/>
          <w:spacing w:val="-3"/>
        </w:rPr>
        <w:t xml:space="preserve">fs. 13.196; y el informe de </w:t>
      </w:r>
      <w:r>
        <w:t xml:space="preserve">fs. </w:t>
      </w:r>
      <w:r>
        <w:rPr>
          <w:bCs/>
        </w:rPr>
        <w:t>27.526/27.528.</w:t>
      </w:r>
    </w:p>
    <w:p w:rsidR="00224567" w:rsidRDefault="00224567">
      <w:pPr>
        <w:widowControl w:val="0"/>
        <w:rPr>
          <w:rFonts w:eastAsia="Arial Unicode MS"/>
          <w:spacing w:val="-3"/>
        </w:rPr>
      </w:pPr>
      <w:r>
        <w:tab/>
      </w:r>
      <w:r>
        <w:rPr>
          <w:b/>
          <w:bCs/>
        </w:rPr>
        <w:t>C.2.a)</w:t>
      </w:r>
      <w:r>
        <w:t xml:space="preserve"> Del legajo B de </w:t>
      </w:r>
      <w:smartTag w:uri="urn:schemas-microsoft-com:office:smarttags" w:element="PersonName">
        <w:smartTagPr>
          <w:attr w:name="ProductID" w:val="la Trafic C"/>
        </w:smartTagPr>
        <w:r>
          <w:t>la Trafic C</w:t>
        </w:r>
      </w:smartTag>
      <w:r>
        <w:t xml:space="preserve"> 1.519.275, además de los datos relacionados con la titul</w:t>
      </w:r>
      <w:r>
        <w:t>a</w:t>
      </w:r>
      <w:r>
        <w:t>ridad y el dominio, surge que se trataba de un vehículo Renault Trafic tipo furgón, año 1991, motor 2.848.848, c</w:t>
      </w:r>
      <w:r>
        <w:t>a</w:t>
      </w:r>
      <w:r>
        <w:t>rrocería T3101-001261, habiendo sido solicitada su in</w:t>
      </w:r>
      <w:r>
        <w:t>s</w:t>
      </w:r>
      <w:r>
        <w:t xml:space="preserve">cripción inicial el 19 de abril de 1991 por parte de </w:t>
      </w:r>
      <w:r>
        <w:rPr>
          <w:rFonts w:eastAsia="Arial Unicode MS"/>
          <w:spacing w:val="-3"/>
        </w:rPr>
        <w:t>Al</w:t>
      </w:r>
      <w:r>
        <w:rPr>
          <w:rFonts w:eastAsia="Arial Unicode MS"/>
          <w:spacing w:val="-3"/>
        </w:rPr>
        <w:t>e</w:t>
      </w:r>
      <w:r>
        <w:rPr>
          <w:rFonts w:eastAsia="Arial Unicode MS"/>
          <w:spacing w:val="-3"/>
        </w:rPr>
        <w:t>jandro Oscar Caputo y transferido a Pedro Alejandro Sarap</w:t>
      </w:r>
      <w:r>
        <w:rPr>
          <w:rFonts w:eastAsia="Arial Unicode MS"/>
          <w:spacing w:val="-3"/>
        </w:rPr>
        <w:t>u</w:t>
      </w:r>
      <w:r>
        <w:rPr>
          <w:rFonts w:eastAsia="Arial Unicode MS"/>
          <w:spacing w:val="-3"/>
        </w:rPr>
        <w:t xml:space="preserve">ra en febrero de 1994. Finalmente, el 14 de julio de ese año se tomó razón de la denuncia de hurto del día 5 de ese mes ante </w:t>
      </w:r>
      <w:smartTag w:uri="urn:schemas-microsoft-com:office:smarttags" w:element="PersonName">
        <w:smartTagPr>
          <w:attr w:name="ProductID" w:val="la Comisar￭a"/>
        </w:smartTagPr>
        <w:r>
          <w:rPr>
            <w:rFonts w:eastAsia="Arial Unicode MS"/>
            <w:spacing w:val="-3"/>
          </w:rPr>
          <w:t>la Com</w:t>
        </w:r>
        <w:r>
          <w:rPr>
            <w:rFonts w:eastAsia="Arial Unicode MS"/>
            <w:spacing w:val="-3"/>
          </w:rPr>
          <w:t>i</w:t>
        </w:r>
        <w:r>
          <w:rPr>
            <w:rFonts w:eastAsia="Arial Unicode MS"/>
            <w:spacing w:val="-3"/>
          </w:rPr>
          <w:t>saría</w:t>
        </w:r>
      </w:smartTag>
      <w:r>
        <w:rPr>
          <w:rFonts w:eastAsia="Arial Unicode MS"/>
          <w:spacing w:val="-3"/>
        </w:rPr>
        <w:t xml:space="preserve"> nº 33.</w:t>
      </w:r>
    </w:p>
    <w:p w:rsidR="00224567" w:rsidRDefault="00224567">
      <w:pPr>
        <w:widowControl w:val="0"/>
        <w:rPr>
          <w:rFonts w:eastAsia="Arial Unicode MS"/>
          <w:spacing w:val="-3"/>
        </w:rPr>
      </w:pPr>
      <w:r>
        <w:rPr>
          <w:rFonts w:eastAsia="Arial Unicode MS"/>
          <w:spacing w:val="-3"/>
        </w:rPr>
        <w:tab/>
        <w:t>Los dichos de Hugo César Ferrer y Ca</w:t>
      </w:r>
      <w:r>
        <w:rPr>
          <w:rFonts w:eastAsia="Arial Unicode MS"/>
          <w:spacing w:val="-3"/>
        </w:rPr>
        <w:t>r</w:t>
      </w:r>
      <w:r>
        <w:rPr>
          <w:rFonts w:eastAsia="Arial Unicode MS"/>
          <w:spacing w:val="-3"/>
        </w:rPr>
        <w:t>los Osvaldo De Nápoli fueron coincidentes al explicar las circunstancias que permitieron vincular a la camioneta de Pedro Alejandro Sarapura con la presente inve</w:t>
      </w:r>
      <w:r>
        <w:rPr>
          <w:rFonts w:eastAsia="Arial Unicode MS"/>
          <w:spacing w:val="-3"/>
        </w:rPr>
        <w:t>s</w:t>
      </w:r>
      <w:r>
        <w:rPr>
          <w:rFonts w:eastAsia="Arial Unicode MS"/>
          <w:spacing w:val="-3"/>
        </w:rPr>
        <w:t>tigación.</w:t>
      </w:r>
    </w:p>
    <w:p w:rsidR="00224567" w:rsidRDefault="00224567">
      <w:pPr>
        <w:widowControl w:val="0"/>
        <w:rPr>
          <w:rFonts w:eastAsia="Arial Unicode MS"/>
          <w:spacing w:val="-3"/>
        </w:rPr>
      </w:pPr>
      <w:r>
        <w:rPr>
          <w:rFonts w:eastAsia="Arial Unicode MS"/>
          <w:spacing w:val="-3"/>
        </w:rPr>
        <w:tab/>
        <w:t xml:space="preserve">Así, Ferrer, quien hacia </w:t>
      </w:r>
      <w:r>
        <w:rPr>
          <w:bCs/>
        </w:rPr>
        <w:t>julio de 1994 se desempeñaba como jefe de producción de Radio Mitre, m</w:t>
      </w:r>
      <w:r>
        <w:rPr>
          <w:bCs/>
        </w:rPr>
        <w:t>a</w:t>
      </w:r>
      <w:r>
        <w:rPr>
          <w:bCs/>
        </w:rPr>
        <w:t>nifestó que en una ocasión Nitzcaner se comunicó con la radio, interesado en relatar algunas circunstancias vinc</w:t>
      </w:r>
      <w:r>
        <w:rPr>
          <w:bCs/>
        </w:rPr>
        <w:t>u</w:t>
      </w:r>
      <w:r>
        <w:rPr>
          <w:bCs/>
        </w:rPr>
        <w:t>ladas con la camioneta que en los días previos al atentado había pasado por su taller, tras lo cual envió a una pe</w:t>
      </w:r>
      <w:r>
        <w:rPr>
          <w:bCs/>
        </w:rPr>
        <w:t>r</w:t>
      </w:r>
      <w:r>
        <w:rPr>
          <w:bCs/>
        </w:rPr>
        <w:t>sona de su conocimiento para que lo contact</w:t>
      </w:r>
      <w:r>
        <w:rPr>
          <w:bCs/>
        </w:rPr>
        <w:t>a</w:t>
      </w:r>
      <w:r>
        <w:rPr>
          <w:bCs/>
        </w:rPr>
        <w:t>ra.</w:t>
      </w:r>
    </w:p>
    <w:p w:rsidR="00224567" w:rsidRDefault="00224567">
      <w:pPr>
        <w:widowControl w:val="0"/>
      </w:pPr>
      <w:r>
        <w:tab/>
        <w:t>Por su parte, Carlos Osvaldo De Náp</w:t>
      </w:r>
      <w:r>
        <w:t>o</w:t>
      </w:r>
      <w:r>
        <w:t>li, luego de exponer las circunstancias que lo relacion</w:t>
      </w:r>
      <w:r>
        <w:t>a</w:t>
      </w:r>
      <w:r>
        <w:t xml:space="preserve">ban con la investigación del atentado a </w:t>
      </w:r>
      <w:smartTag w:uri="urn:schemas-microsoft-com:office:smarttags" w:element="PersonName">
        <w:smartTagPr>
          <w:attr w:name="ProductID" w:val="la A.M"/>
        </w:smartTagPr>
        <w:r>
          <w:t>la A.M</w:t>
        </w:r>
      </w:smartTag>
      <w:r>
        <w:t>.I.A., e</w:t>
      </w:r>
      <w:r>
        <w:t>x</w:t>
      </w:r>
      <w:r>
        <w:t>plicó que el productor radial Hugo Ferrer le hizo saber que había recibido una grabación de Nitzcaner en la que manifestaba que había arm</w:t>
      </w:r>
      <w:r>
        <w:t>a</w:t>
      </w:r>
      <w:r>
        <w:t>do una Trafic bomba.</w:t>
      </w:r>
    </w:p>
    <w:p w:rsidR="00224567" w:rsidRDefault="00224567">
      <w:pPr>
        <w:widowControl w:val="0"/>
      </w:pPr>
      <w:r>
        <w:tab/>
        <w:t>Así, indicó, tomó contacto con Nit</w:t>
      </w:r>
      <w:r>
        <w:t>z</w:t>
      </w:r>
      <w:r>
        <w:t>caner, quien a lo largo de las distintas conversaciones que mantuvieron, comentó acerca de una Tr</w:t>
      </w:r>
      <w:r>
        <w:t>a</w:t>
      </w:r>
      <w:r>
        <w:t>fic que armó, la que lucía un logotipo que representaba medio disco negro de pasta con un nombre, de</w:t>
      </w:r>
      <w:r>
        <w:t>s</w:t>
      </w:r>
      <w:r>
        <w:t>conociendo si había pertenecido a un grupo musical o algo sim</w:t>
      </w:r>
      <w:r>
        <w:t>i</w:t>
      </w:r>
      <w:r>
        <w:t>lar.</w:t>
      </w:r>
    </w:p>
    <w:p w:rsidR="00224567" w:rsidRDefault="00224567">
      <w:pPr>
        <w:widowControl w:val="0"/>
      </w:pPr>
      <w:r>
        <w:tab/>
        <w:t>A lo expuesto adunó que, en una oc</w:t>
      </w:r>
      <w:r>
        <w:t>a</w:t>
      </w:r>
      <w:r>
        <w:t>sión, mientras circulaba por la calle Crámer de esta ci</w:t>
      </w:r>
      <w:r>
        <w:t>u</w:t>
      </w:r>
      <w:r>
        <w:t>dad, observó una camioneta que presentaba iguales caract</w:t>
      </w:r>
      <w:r>
        <w:t>e</w:t>
      </w:r>
      <w:r>
        <w:t>rísticas que la descripta por Nitzcaner, por lo que la s</w:t>
      </w:r>
      <w:r>
        <w:t>i</w:t>
      </w:r>
      <w:r>
        <w:t>guió hasta que el conductor detuvo su marcha, in</w:t>
      </w:r>
      <w:r>
        <w:t>i</w:t>
      </w:r>
      <w:r>
        <w:t>ciando un diálogo, del que surgió que se trataba de Pedro Sarap</w:t>
      </w:r>
      <w:r>
        <w:t>u</w:t>
      </w:r>
      <w:r>
        <w:t>ra, ex propietario de aquélla.</w:t>
      </w:r>
    </w:p>
    <w:p w:rsidR="00224567" w:rsidRDefault="00224567">
      <w:pPr>
        <w:widowControl w:val="0"/>
      </w:pPr>
      <w:r>
        <w:tab/>
        <w:t>Asimismo, De Nápoli refirió que come</w:t>
      </w:r>
      <w:r>
        <w:t>n</w:t>
      </w:r>
      <w:r>
        <w:t>tó lo sucedido al fiscal Barbaccia, tomando conocimiento que a la semana siguiente se labraron actuaciones en el juzgado instructor, que concluyeron con un allanamiento en el taller de Nitzcaner.</w:t>
      </w:r>
    </w:p>
    <w:p w:rsidR="00224567" w:rsidRDefault="00224567">
      <w:pPr>
        <w:widowControl w:val="0"/>
      </w:pPr>
      <w:r>
        <w:tab/>
        <w:t>A su vez, Pedro Alejandro Sarapura r</w:t>
      </w:r>
      <w:r>
        <w:t>a</w:t>
      </w:r>
      <w:r>
        <w:t>tificó las circunstancias relacionadas con el encuentro ocasional con De Nápoli en la vía pública, oport</w:t>
      </w:r>
      <w:r>
        <w:t>u</w:t>
      </w:r>
      <w:r>
        <w:t>nidad en que éste le explicó que trabajaba en el juzgado de G</w:t>
      </w:r>
      <w:r>
        <w:t>a</w:t>
      </w:r>
      <w:r>
        <w:t xml:space="preserve">leano, encargado de investigar el atentado a </w:t>
      </w:r>
      <w:smartTag w:uri="urn:schemas-microsoft-com:office:smarttags" w:element="PersonName">
        <w:smartTagPr>
          <w:attr w:name="ProductID" w:val="la A.M"/>
        </w:smartTagPr>
        <w:r>
          <w:t>la A.M</w:t>
        </w:r>
      </w:smartTag>
      <w:r>
        <w:t>.I.A., por lo que no dudó en bri</w:t>
      </w:r>
      <w:r>
        <w:t>n</w:t>
      </w:r>
      <w:r>
        <w:t>darle sus datos personales.</w:t>
      </w:r>
    </w:p>
    <w:p w:rsidR="00224567" w:rsidRDefault="00224567">
      <w:pPr>
        <w:widowControl w:val="0"/>
      </w:pPr>
      <w:r>
        <w:tab/>
        <w:t>Sarapura manifestó que trabajaba como disc-jockey y que en 1994 tenía una empresa de m</w:t>
      </w:r>
      <w:r>
        <w:t>ú</w:t>
      </w:r>
      <w:r>
        <w:t>sica para fiestas, para cuyo cometido utilizaba una Trafic modelo ‘91, color blanco, naftera, corta, sin puerta lateral, con un logo en ambos laterales y sobre el c</w:t>
      </w:r>
      <w:r>
        <w:t>a</w:t>
      </w:r>
      <w:r>
        <w:t>pó; recordó que en una oportunidad col</w:t>
      </w:r>
      <w:r>
        <w:t>i</w:t>
      </w:r>
      <w:r>
        <w:t>sionó con dicho vehículo, rompiendo la parrilla, el paragolpes, el capó, el radiador, las ópt</w:t>
      </w:r>
      <w:r>
        <w:t>i</w:t>
      </w:r>
      <w:r>
        <w:t>cas, el frente en general, siendo reparada en el taller de un sujeto llamado M</w:t>
      </w:r>
      <w:r>
        <w:t>a</w:t>
      </w:r>
      <w:r>
        <w:t>nuel Iglesias.</w:t>
      </w:r>
    </w:p>
    <w:p w:rsidR="00224567" w:rsidRDefault="00224567">
      <w:pPr>
        <w:widowControl w:val="0"/>
      </w:pPr>
      <w:r>
        <w:tab/>
        <w:t>Narró que un viernes por la n</w:t>
      </w:r>
      <w:r>
        <w:t>o</w:t>
      </w:r>
      <w:r>
        <w:t>che, sin poder precisar la fecha exacta, dejó la camioneta estaci</w:t>
      </w:r>
      <w:r>
        <w:t>o</w:t>
      </w:r>
      <w:r>
        <w:t>nada en la calle y que al otro día, alrededor de las 3.00 de la tarde, advirtió que se la habían r</w:t>
      </w:r>
      <w:r>
        <w:t>o</w:t>
      </w:r>
      <w:r>
        <w:t>bado, efectuando al lunes siguiente la denuncia ante la autoridad pol</w:t>
      </w:r>
      <w:r>
        <w:t>i</w:t>
      </w:r>
      <w:r>
        <w:t>cial y la compañía de seguros “Juncal”, donde la tenía asegur</w:t>
      </w:r>
      <w:r>
        <w:t>a</w:t>
      </w:r>
      <w:r>
        <w:t>da por intermedio del productor Puente. Agregó que al m</w:t>
      </w:r>
      <w:r>
        <w:t>o</w:t>
      </w:r>
      <w:r>
        <w:t xml:space="preserve">mento del robo </w:t>
      </w:r>
      <w:smartTag w:uri="urn:schemas-microsoft-com:office:smarttags" w:element="PersonName">
        <w:smartTagPr>
          <w:attr w:name="ProductID" w:val="la Trafic"/>
        </w:smartTagPr>
        <w:r>
          <w:t>la Trafic</w:t>
        </w:r>
      </w:smartTag>
      <w:r>
        <w:t xml:space="preserve"> se encontraba en buenas condici</w:t>
      </w:r>
      <w:r>
        <w:t>o</w:t>
      </w:r>
      <w:r>
        <w:t>nes y le había colocado dos cubiertas marca “Fate”.</w:t>
      </w:r>
    </w:p>
    <w:p w:rsidR="00224567" w:rsidRDefault="00224567">
      <w:pPr>
        <w:widowControl w:val="0"/>
      </w:pPr>
      <w:r>
        <w:tab/>
        <w:t>Señaló también que participó en el allanamiento de un taller mecánico, donde se encontraron maderas con unas vigas de metal que se encontraban inst</w:t>
      </w:r>
      <w:r>
        <w:t>a</w:t>
      </w:r>
      <w:r>
        <w:t xml:space="preserve">ladas en el interior de </w:t>
      </w:r>
      <w:smartTag w:uri="urn:schemas-microsoft-com:office:smarttags" w:element="PersonName">
        <w:smartTagPr>
          <w:attr w:name="ProductID" w:val="la Trafic"/>
        </w:smartTagPr>
        <w:r>
          <w:t>la Trafic</w:t>
        </w:r>
      </w:smartTag>
      <w:r>
        <w:t xml:space="preserve"> que le sustraj</w:t>
      </w:r>
      <w:r>
        <w:t>e</w:t>
      </w:r>
      <w:r>
        <w:t>ron, como así también una carcasa de metal, que era parte del rec</w:t>
      </w:r>
      <w:r>
        <w:t>u</w:t>
      </w:r>
      <w:r>
        <w:t>brimiento de un efecto de luces; una e</w:t>
      </w:r>
      <w:r>
        <w:t>s</w:t>
      </w:r>
      <w:r>
        <w:t>tructura de hierro que se usaba como banquito; una alfombra sobre la que se ponían los equipos para amortiguar el andar de la camion</w:t>
      </w:r>
      <w:r>
        <w:t>e</w:t>
      </w:r>
      <w:r>
        <w:t>ta; una caja de lamparitas de un aparato para producir efectos lumínicos; un par de guantes similares a los que utilizaba y una llave para cambiar ruedas.</w:t>
      </w:r>
    </w:p>
    <w:p w:rsidR="00224567" w:rsidRDefault="00224567">
      <w:pPr>
        <w:widowControl w:val="0"/>
      </w:pPr>
      <w:r>
        <w:tab/>
        <w:t>En el mismo sentido, María Magdalena Dalbagni, ex novia de Sarapura, dijo que en 1994 éste t</w:t>
      </w:r>
      <w:r>
        <w:t>e</w:t>
      </w:r>
      <w:r>
        <w:t>nía una Trafic –que compró usada- blanca, corta, con un logo en sus laterales, en cuyo interior tenía listones p</w:t>
      </w:r>
      <w:r>
        <w:t>a</w:t>
      </w:r>
      <w:r>
        <w:t>ra proteger el piso y los costados, habiendo sufrido un choque de frente, que fue reparado. Añadió que supo del robo del vehículo, pero para esa época ya no estaba con Sarap</w:t>
      </w:r>
      <w:r>
        <w:t>u</w:t>
      </w:r>
      <w:r>
        <w:t>ra.</w:t>
      </w:r>
    </w:p>
    <w:p w:rsidR="00224567" w:rsidRDefault="00224567">
      <w:pPr>
        <w:widowControl w:val="0"/>
      </w:pPr>
      <w:r>
        <w:tab/>
        <w:t>Si bien no lo recordó en el debate, ratificó sus dichos ante la instrucción, según los cu</w:t>
      </w:r>
      <w:r>
        <w:t>a</w:t>
      </w:r>
      <w:r>
        <w:t>les la camioneta “estaba chocada y arreglada en la parte del conductor, quedando un defecto al nivel del t</w:t>
      </w:r>
      <w:r>
        <w:t>e</w:t>
      </w:r>
      <w:r>
        <w:t>cho”.</w:t>
      </w:r>
    </w:p>
    <w:p w:rsidR="00224567" w:rsidRDefault="00224567">
      <w:pPr>
        <w:widowControl w:val="0"/>
      </w:pPr>
      <w:r>
        <w:tab/>
        <w:t>Asimismo, Manuel Iglesias declaró que en 1994 tenía un taller de chapa y pintura en la calle S</w:t>
      </w:r>
      <w:r>
        <w:t>u</w:t>
      </w:r>
      <w:r>
        <w:t>perí 2753 de esta ciudad y que en una oportunidad Pedro Alejandro Sarapura, cliente de su comercio, le llevó una Trafic para repararle su parte delantera; concretamente, el capó, las ópticas, el paragolpes y la parrilla. Con r</w:t>
      </w:r>
      <w:r>
        <w:t>e</w:t>
      </w:r>
      <w:r>
        <w:t>lación a la camion</w:t>
      </w:r>
      <w:r>
        <w:t>e</w:t>
      </w:r>
      <w:r>
        <w:t>ta, apuntó que en general se hallaba en buen estado; a los costados exhibía un logo de un disco. Que S</w:t>
      </w:r>
      <w:r>
        <w:t>a</w:t>
      </w:r>
      <w:r>
        <w:t>rapura le comentó que se la habían robado.</w:t>
      </w:r>
    </w:p>
    <w:p w:rsidR="00224567" w:rsidRDefault="00224567">
      <w:pPr>
        <w:widowControl w:val="0"/>
      </w:pPr>
      <w:r>
        <w:tab/>
        <w:t>A su vez, Raúl Alberto Puente, produ</w:t>
      </w:r>
      <w:r>
        <w:t>c</w:t>
      </w:r>
      <w:r>
        <w:t>tor de seguros, refirió que tuvo como cliente a su vecino Pedro Sarapura, a quien le aseguró con el “Grupo Juncal” una camioneta Renault Trafic cl</w:t>
      </w:r>
      <w:r>
        <w:t>a</w:t>
      </w:r>
      <w:r>
        <w:t xml:space="preserve">ra, con una inscripción en la carrocería, que luego denunció como robada. Corroboran lo expuesto las fotocopias aportadas por el nombrado, agregadas a </w:t>
      </w:r>
      <w:r>
        <w:rPr>
          <w:rFonts w:eastAsia="Arial Unicode MS"/>
          <w:spacing w:val="-3"/>
        </w:rPr>
        <w:t xml:space="preserve">fs. </w:t>
      </w:r>
      <w:r>
        <w:t>11.039/11.051.</w:t>
      </w:r>
    </w:p>
    <w:p w:rsidR="00224567" w:rsidRDefault="00224567">
      <w:pPr>
        <w:widowControl w:val="0"/>
      </w:pPr>
      <w:r>
        <w:tab/>
        <w:t>Durante el curso de la instrucción P</w:t>
      </w:r>
      <w:r>
        <w:t>e</w:t>
      </w:r>
      <w:r>
        <w:t>dro Alejandro Sarapura aportó fotocopias de la document</w:t>
      </w:r>
      <w:r>
        <w:t>a</w:t>
      </w:r>
      <w:r>
        <w:t xml:space="preserve">ción, que lucen a fs. 10.491/10.532, relacionadas con su camioneta Trafic, entre las cuales obra un </w:t>
      </w:r>
      <w:r>
        <w:rPr>
          <w:rFonts w:eastAsia="Arial Unicode MS"/>
          <w:spacing w:val="-3"/>
        </w:rPr>
        <w:t>certif</w:t>
      </w:r>
      <w:r>
        <w:rPr>
          <w:rFonts w:eastAsia="Arial Unicode MS"/>
          <w:spacing w:val="-3"/>
        </w:rPr>
        <w:t>i</w:t>
      </w:r>
      <w:r>
        <w:rPr>
          <w:rFonts w:eastAsia="Arial Unicode MS"/>
          <w:spacing w:val="-3"/>
        </w:rPr>
        <w:t xml:space="preserve">cado de denuncia extendido el 5 de julio de 1994 por </w:t>
      </w:r>
      <w:smartTag w:uri="urn:schemas-microsoft-com:office:smarttags" w:element="PersonName">
        <w:smartTagPr>
          <w:attr w:name="ProductID" w:val="la Comisar￭a"/>
        </w:smartTagPr>
        <w:r>
          <w:rPr>
            <w:rFonts w:eastAsia="Arial Unicode MS"/>
            <w:spacing w:val="-3"/>
          </w:rPr>
          <w:t>la Comisaría</w:t>
        </w:r>
      </w:smartTag>
      <w:r>
        <w:rPr>
          <w:rFonts w:eastAsia="Arial Unicode MS"/>
          <w:spacing w:val="-3"/>
        </w:rPr>
        <w:t xml:space="preserve"> nº 33, que da cuenta que el hurto se produjo entre el 2 y el 5 de ese mes y año, en la calle Arcos entre Olazábal y Blanco de Encalada, de esta C</w:t>
      </w:r>
      <w:r>
        <w:rPr>
          <w:rFonts w:eastAsia="Arial Unicode MS"/>
          <w:spacing w:val="-3"/>
        </w:rPr>
        <w:t>a</w:t>
      </w:r>
      <w:r>
        <w:rPr>
          <w:rFonts w:eastAsia="Arial Unicode MS"/>
          <w:spacing w:val="-3"/>
        </w:rPr>
        <w:t>pital.</w:t>
      </w:r>
    </w:p>
    <w:p w:rsidR="00224567" w:rsidRDefault="00224567">
      <w:pPr>
        <w:widowControl w:val="0"/>
        <w:rPr>
          <w:rFonts w:eastAsia="Arial Unicode MS"/>
          <w:spacing w:val="-3"/>
        </w:rPr>
      </w:pPr>
      <w:r>
        <w:tab/>
        <w:t>En último término, a fs. 13.170/13.195 obran fotocopias de documentación de la camioneta R</w:t>
      </w:r>
      <w:r>
        <w:t>e</w:t>
      </w:r>
      <w:r>
        <w:t>nault Trafic dominio C 1.519.275, aportadas por el comisario m</w:t>
      </w:r>
      <w:r>
        <w:t>a</w:t>
      </w:r>
      <w:r>
        <w:t xml:space="preserve">yor de </w:t>
      </w:r>
      <w:smartTag w:uri="urn:schemas-microsoft-com:office:smarttags" w:element="PersonName">
        <w:smartTagPr>
          <w:attr w:name="ProductID" w:val="la Polic￭a Bonaerense"/>
        </w:smartTagPr>
        <w:r>
          <w:t>la Policía Bonaerense</w:t>
        </w:r>
      </w:smartTag>
      <w:r>
        <w:t xml:space="preserve"> Ramón Oreste Verón, de las que surge, amén de los datos del vehículo y sus titulares, que </w:t>
      </w:r>
      <w:r>
        <w:rPr>
          <w:rFonts w:eastAsia="Arial Unicode MS"/>
          <w:spacing w:val="-3"/>
        </w:rPr>
        <w:t>registra pedido de s</w:t>
      </w:r>
      <w:r>
        <w:rPr>
          <w:rFonts w:eastAsia="Arial Unicode MS"/>
          <w:spacing w:val="-3"/>
        </w:rPr>
        <w:t>e</w:t>
      </w:r>
      <w:r>
        <w:rPr>
          <w:rFonts w:eastAsia="Arial Unicode MS"/>
          <w:spacing w:val="-3"/>
        </w:rPr>
        <w:t>cuestro del 7 de julio de 1994.</w:t>
      </w:r>
    </w:p>
    <w:p w:rsidR="00224567" w:rsidRDefault="00224567">
      <w:pPr>
        <w:widowControl w:val="0"/>
      </w:pPr>
      <w:r>
        <w:tab/>
      </w:r>
      <w:r>
        <w:rPr>
          <w:b/>
          <w:bCs/>
        </w:rPr>
        <w:t>C.2.b)</w:t>
      </w:r>
      <w:r>
        <w:t xml:space="preserve"> A fs. 409vta./410 obra el acta de allanamiento labrada el 28 de julio de </w:t>
      </w:r>
      <w:smartTag w:uri="urn:schemas-microsoft-com:office:smarttags" w:element="metricconverter">
        <w:smartTagPr>
          <w:attr w:name="ProductID" w:val="1994, a"/>
        </w:smartTagPr>
        <w:r>
          <w:t>1994, a</w:t>
        </w:r>
      </w:smartTag>
      <w:r>
        <w:t xml:space="preserve"> las 5.15, en el taller “Pole Position”, sito en It</w:t>
      </w:r>
      <w:r>
        <w:t>u</w:t>
      </w:r>
      <w:r>
        <w:t>zaingó 2335 de Villa Maipú, provincia de Buenos Aires, a r</w:t>
      </w:r>
      <w:r>
        <w:t>e</w:t>
      </w:r>
      <w:r>
        <w:t>sultas del cual se secuestraron, entre otras cosas, ocho listones de madera y dos pisos de madera con li</w:t>
      </w:r>
      <w:r>
        <w:t>s</w:t>
      </w:r>
      <w:r>
        <w:t>tones de aluminio y se detuvo a Marcelo Fabián Jouce, quien dijo ser el respons</w:t>
      </w:r>
      <w:r>
        <w:t>a</w:t>
      </w:r>
      <w:r>
        <w:t>ble del taller.</w:t>
      </w:r>
    </w:p>
    <w:p w:rsidR="00224567" w:rsidRDefault="00224567">
      <w:pPr>
        <w:widowControl w:val="0"/>
      </w:pPr>
      <w:r>
        <w:tab/>
        <w:t>Obran a fs. 11.668/11.670 vistas fot</w:t>
      </w:r>
      <w:r>
        <w:t>o</w:t>
      </w:r>
      <w:r>
        <w:t>gráficas de los elementos secuestrados y a fs. 30.737/30.760 consta un acta de reconocimiento y fotogr</w:t>
      </w:r>
      <w:r>
        <w:t>a</w:t>
      </w:r>
      <w:r>
        <w:t>fías de esos objetos. Por otra parte, Juan Dante Falz</w:t>
      </w:r>
      <w:r>
        <w:t>a</w:t>
      </w:r>
      <w:r>
        <w:t>rano, Cantalicio Alfredo Bobadilla, Raúl Marcelo Costa y Fernando Carlos Cingolani reconocieron su firma en el r</w:t>
      </w:r>
      <w:r>
        <w:t>e</w:t>
      </w:r>
      <w:r>
        <w:t>ferido instrumento.</w:t>
      </w:r>
    </w:p>
    <w:p w:rsidR="00224567" w:rsidRDefault="00224567">
      <w:pPr>
        <w:widowControl w:val="0"/>
      </w:pPr>
      <w:r>
        <w:tab/>
        <w:t>A ello se adunan las declaraciones testimoniales prestadas en el debate por el subcomisario Francisco Tomás Bruno y por los testigos de actuación Ca</w:t>
      </w:r>
      <w:r>
        <w:t>r</w:t>
      </w:r>
      <w:r>
        <w:t>los Mario Vispo y Pedro Ancona. Bruno recordó haber part</w:t>
      </w:r>
      <w:r>
        <w:t>i</w:t>
      </w:r>
      <w:r>
        <w:t>cipado en la diligencia y reconoció en las fotografías apuntadas los efectos secuestrados, en ta</w:t>
      </w:r>
      <w:r>
        <w:t>n</w:t>
      </w:r>
      <w:r>
        <w:t>to los restantes fueron contestes respecto a las circunstancias de modo, tiempo y lugar que rodearon el procedimiento. En igual sentido, la declaración, incorporada por lectura, del su</w:t>
      </w:r>
      <w:r>
        <w:t>b</w:t>
      </w:r>
      <w:r>
        <w:t>comisario Guillermo Raúl Lat</w:t>
      </w:r>
      <w:r>
        <w:t>i</w:t>
      </w:r>
      <w:r>
        <w:t>no.</w:t>
      </w:r>
    </w:p>
    <w:p w:rsidR="00224567" w:rsidRDefault="00224567">
      <w:pPr>
        <w:widowControl w:val="0"/>
      </w:pPr>
      <w:r>
        <w:tab/>
        <w:t xml:space="preserve">El 12 de abril de </w:t>
      </w:r>
      <w:smartTag w:uri="urn:schemas-microsoft-com:office:smarttags" w:element="metricconverter">
        <w:smartTagPr>
          <w:attr w:name="ProductID" w:val="1995, a"/>
        </w:smartTagPr>
        <w:r>
          <w:t>1995, a</w:t>
        </w:r>
      </w:smartTag>
      <w:r>
        <w:t xml:space="preserve"> las 12.20, el entonces inspector Rolando Guillermo Goicochea, int</w:t>
      </w:r>
      <w:r>
        <w:t>e</w:t>
      </w:r>
      <w:r>
        <w:t>grante del Departamento Protección del Orden Constituci</w:t>
      </w:r>
      <w:r>
        <w:t>o</w:t>
      </w:r>
      <w:r>
        <w:t>nal, realizó un nuevo allanamiento en el taller de Nit</w:t>
      </w:r>
      <w:r>
        <w:t>z</w:t>
      </w:r>
      <w:r>
        <w:t>caner (cónf. acta glosada a fs. 10.561/10.562), en prese</w:t>
      </w:r>
      <w:r>
        <w:t>n</w:t>
      </w:r>
      <w:r>
        <w:t>cia de los testigos de actuación Martín Daniel Ivaldi, Juan Antonio Salguero y de Pedro Alejandro S</w:t>
      </w:r>
      <w:r>
        <w:t>a</w:t>
      </w:r>
      <w:r>
        <w:t>rapura.</w:t>
      </w:r>
    </w:p>
    <w:p w:rsidR="00224567" w:rsidRDefault="00224567">
      <w:pPr>
        <w:widowControl w:val="0"/>
      </w:pPr>
      <w:r>
        <w:tab/>
        <w:t>En la ocasión se secuestraron, del i</w:t>
      </w:r>
      <w:r>
        <w:t>n</w:t>
      </w:r>
      <w:r>
        <w:t>terior de una habitación utilizada como oficina y d</w:t>
      </w:r>
      <w:r>
        <w:t>e</w:t>
      </w:r>
      <w:r>
        <w:t>pósito de herramientas, cinco pedazos de madera enchapada con v</w:t>
      </w:r>
      <w:r>
        <w:t>a</w:t>
      </w:r>
      <w:r>
        <w:t>rillas de aluminio de distintas medidas, reconocidas por Sarapura como parte del revestimiento del interior de su Trafic; también rec</w:t>
      </w:r>
      <w:r>
        <w:t>o</w:t>
      </w:r>
      <w:r>
        <w:t>noció como de su propiedad una gaveta porta radio-pasacasete; una caja plástica color rojo co</w:t>
      </w:r>
      <w:r>
        <w:t>n</w:t>
      </w:r>
      <w:r>
        <w:t>teniendo balizas refractarias; una estructura de hierro de una banqueta; una tapa de metal; un trozo de alfombra c</w:t>
      </w:r>
      <w:r>
        <w:t>o</w:t>
      </w:r>
      <w:r>
        <w:t>lor beige; una llave de rueda; un par de guantes de trab</w:t>
      </w:r>
      <w:r>
        <w:t>a</w:t>
      </w:r>
      <w:r>
        <w:t>jo; otro trozo de madera y documentación. A fs. 10.569/10.574 y 11.671/11.672 obran vistas fotográficas que ilustran los elementos incautados, a fs. 10.568 un plano ilustrativo del lugar y a fs. 31.691/31.692 fotogr</w:t>
      </w:r>
      <w:r>
        <w:t>a</w:t>
      </w:r>
      <w:r>
        <w:t>fías del taller.</w:t>
      </w:r>
    </w:p>
    <w:p w:rsidR="00224567" w:rsidRDefault="00224567">
      <w:pPr>
        <w:widowControl w:val="0"/>
      </w:pPr>
      <w:r>
        <w:tab/>
      </w:r>
      <w:r>
        <w:rPr>
          <w:b/>
          <w:bCs/>
        </w:rPr>
        <w:t>C.2.c)</w:t>
      </w:r>
      <w:r>
        <w:t xml:space="preserve"> Prestaron declaración durante la audiencia de debate Marcelo Fabián Jouce, socio de N</w:t>
      </w:r>
      <w:r>
        <w:t>i</w:t>
      </w:r>
      <w:r>
        <w:t xml:space="preserve">tzcaner en el taller mecánico, y sus empleados Francisco Bonnefon y Pablo Mario De </w:t>
      </w:r>
      <w:smartTag w:uri="urn:schemas-microsoft-com:office:smarttags" w:element="PersonName">
        <w:smartTagPr>
          <w:attr w:name="ProductID" w:val="la Cruz Ar￩valo."/>
        </w:smartTagPr>
        <w:r>
          <w:t>la Cruz Arévalo.</w:t>
        </w:r>
      </w:smartTag>
      <w:r>
        <w:t xml:space="preserve"> También dep</w:t>
      </w:r>
      <w:r>
        <w:t>u</w:t>
      </w:r>
      <w:r>
        <w:t>sieron acerca de circunstancias relativas a dicho comercio Alicia Noemí Troto</w:t>
      </w:r>
      <w:r>
        <w:t>n</w:t>
      </w:r>
      <w:r>
        <w:t>da y Augusto Carlos Curel.</w:t>
      </w:r>
    </w:p>
    <w:p w:rsidR="00224567" w:rsidRDefault="00224567">
      <w:pPr>
        <w:widowControl w:val="0"/>
      </w:pPr>
      <w:r>
        <w:tab/>
        <w:t>Marcelo Fabián Jouce manifestó que en 1994 alquilaba un local con Ariel Nitzcaner, ubicado en la calle Ituzaingó de Villa Maipú, provincia de Bu</w:t>
      </w:r>
      <w:r>
        <w:t>e</w:t>
      </w:r>
      <w:r>
        <w:t>nos Aires, donde funcionaba un taller de mecánica, chapa y pintura. Expresó que un viernes de julio de ese año, Telleldín ll</w:t>
      </w:r>
      <w:r>
        <w:t>e</w:t>
      </w:r>
      <w:r>
        <w:t>vó al taller una Renault Trafic, con chapa patente coloc</w:t>
      </w:r>
      <w:r>
        <w:t>a</w:t>
      </w:r>
      <w:r>
        <w:t>da, de color blanco, sin puerta lateral, con un logo pi</w:t>
      </w:r>
      <w:r>
        <w:t>n</w:t>
      </w:r>
      <w:r>
        <w:t>tado en los dos paneles de costado que eran como dos sem</w:t>
      </w:r>
      <w:r>
        <w:t>i</w:t>
      </w:r>
      <w:r>
        <w:t>círculos que, creía, abajo tenían la inscripción “di</w:t>
      </w:r>
      <w:r>
        <w:t>s</w:t>
      </w:r>
      <w:r>
        <w:t>c-jockey”.</w:t>
      </w:r>
    </w:p>
    <w:p w:rsidR="00224567" w:rsidRDefault="00224567">
      <w:pPr>
        <w:widowControl w:val="0"/>
      </w:pPr>
      <w:r>
        <w:tab/>
        <w:t>Explicó que la camioneta llegó enga</w:t>
      </w:r>
      <w:r>
        <w:t>n</w:t>
      </w:r>
      <w:r>
        <w:t>chada con una cuarta a un automóvil Sierra, color verde, que la remolcaba, no recordando a la persona que lo cond</w:t>
      </w:r>
      <w:r>
        <w:t>u</w:t>
      </w:r>
      <w:r>
        <w:t>cía. Según los dichos del testigo, Telleldín solicitó que le quitaran los logos, como así también unas maderas que había dentro de la caja, tanto en el piso como en los co</w:t>
      </w:r>
      <w:r>
        <w:t>s</w:t>
      </w:r>
      <w:r>
        <w:t>tados, a fin de venderla lo más estándar posible. Requ</w:t>
      </w:r>
      <w:r>
        <w:t>i</w:t>
      </w:r>
      <w:r>
        <w:t>rió, asimismo, la reparación con masilla de un golpe que tenía en la parte trasera y otro que estaba arriba, en la delantera. Mencionó que el nombrado manifestó que había publicado el rodado para la venta el fin de semana s</w:t>
      </w:r>
      <w:r>
        <w:t>i</w:t>
      </w:r>
      <w:r>
        <w:t>guiente.</w:t>
      </w:r>
    </w:p>
    <w:p w:rsidR="00224567" w:rsidRDefault="00224567">
      <w:pPr>
        <w:widowControl w:val="0"/>
      </w:pPr>
      <w:r>
        <w:tab/>
        <w:t xml:space="preserve">En primer lugar, indicó, removió los logos con una pulidora y luego Arévalo de </w:t>
      </w:r>
      <w:smartTag w:uri="urn:schemas-microsoft-com:office:smarttags" w:element="PersonName">
        <w:smartTagPr>
          <w:attr w:name="ProductID" w:val="la Cruz"/>
        </w:smartTagPr>
        <w:r>
          <w:t>la Cruz</w:t>
        </w:r>
      </w:smartTag>
      <w:r>
        <w:t xml:space="preserve"> se e</w:t>
      </w:r>
      <w:r>
        <w:t>n</w:t>
      </w:r>
      <w:r>
        <w:t>cargó de sacarle los golpes y pintar las reparaciones. R</w:t>
      </w:r>
      <w:r>
        <w:t>e</w:t>
      </w:r>
      <w:r>
        <w:t>cordó que con Nitzcaner sacaron las maderas y los list</w:t>
      </w:r>
      <w:r>
        <w:t>o</w:t>
      </w:r>
      <w:r>
        <w:t>nes del interior, negando que se le hubiera efectuado alguna reparación en la amortiguación trasera o algún proced</w:t>
      </w:r>
      <w:r>
        <w:t>i</w:t>
      </w:r>
      <w:r>
        <w:t>miento relacionado con los elásticos.</w:t>
      </w:r>
    </w:p>
    <w:p w:rsidR="00224567" w:rsidRDefault="00224567">
      <w:pPr>
        <w:widowControl w:val="0"/>
      </w:pPr>
      <w:r>
        <w:tab/>
        <w:t>Relató también que el día en que T</w:t>
      </w:r>
      <w:r>
        <w:t>e</w:t>
      </w:r>
      <w:r>
        <w:t>lleldín llevó la camioneta, ayudó a Nitzcaner a extraer el motor –que se hallaba en condiciones normales- ret</w:t>
      </w:r>
      <w:r>
        <w:t>i</w:t>
      </w:r>
      <w:r>
        <w:t>rándolo el primero del taller. Añadió que a los dos días, según creía un lunes, Telleldín ll</w:t>
      </w:r>
      <w:r>
        <w:t>e</w:t>
      </w:r>
      <w:r>
        <w:t xml:space="preserve">vó, en el baúl de un Escort, otro motor; precisó que colaboró para colocarlo en </w:t>
      </w:r>
      <w:smartTag w:uri="urn:schemas-microsoft-com:office:smarttags" w:element="PersonName">
        <w:smartTagPr>
          <w:attr w:name="ProductID" w:val="la Trafic"/>
        </w:smartTagPr>
        <w:r>
          <w:t>la Tr</w:t>
        </w:r>
        <w:r>
          <w:t>a</w:t>
        </w:r>
        <w:r>
          <w:t>fic</w:t>
        </w:r>
      </w:smartTag>
      <w:r>
        <w:t>, sin intervenir en la reparación de la parte mecán</w:t>
      </w:r>
      <w:r>
        <w:t>i</w:t>
      </w:r>
      <w:r>
        <w:t>ca.</w:t>
      </w:r>
    </w:p>
    <w:p w:rsidR="00224567" w:rsidRDefault="00224567">
      <w:pPr>
        <w:widowControl w:val="0"/>
      </w:pPr>
      <w:r>
        <w:tab/>
        <w:t>En orden al segundo motor, apuntó que era muy parecido al extraído a la camioneta; que no advi</w:t>
      </w:r>
      <w:r>
        <w:t>r</w:t>
      </w:r>
      <w:r>
        <w:t>tió nada extraño. Señaló que creía que se le había sacado la tapa, que era naftero, no presentaba rastros de ince</w:t>
      </w:r>
      <w:r>
        <w:t>n</w:t>
      </w:r>
      <w:r>
        <w:t>dio, partes derretidas, ni algún olor en part</w:t>
      </w:r>
      <w:r>
        <w:t>i</w:t>
      </w:r>
      <w:r>
        <w:t>cular, a la vez que aclaró que desconocía los efectos producidos por el fuego sobre los motores.</w:t>
      </w:r>
    </w:p>
    <w:p w:rsidR="00224567" w:rsidRDefault="00224567">
      <w:pPr>
        <w:widowControl w:val="0"/>
      </w:pPr>
      <w:r>
        <w:tab/>
        <w:t>Recordó que carecía de las partes de aluminio y cableado; era el fierro donde se coloc</w:t>
      </w:r>
      <w:r>
        <w:t>a</w:t>
      </w:r>
      <w:r>
        <w:t>ban los pistones, que estaba sucio como si hubiera estado a la i</w:t>
      </w:r>
      <w:r>
        <w:t>n</w:t>
      </w:r>
      <w:r>
        <w:t>temperie. A lo expuesto agregó que el motor se e</w:t>
      </w:r>
      <w:r>
        <w:t>n</w:t>
      </w:r>
      <w:r>
        <w:t>contraba “cl</w:t>
      </w:r>
      <w:r>
        <w:t>a</w:t>
      </w:r>
      <w:r>
        <w:t>vado”, ya que Nitzcaner lo golpeaba con unos tacos de madera, no recordando si alguna persona del taller lo li</w:t>
      </w:r>
      <w:r>
        <w:t>m</w:t>
      </w:r>
      <w:r>
        <w:t>pió, pero entendió que fue colocado directamente en la c</w:t>
      </w:r>
      <w:r>
        <w:t>a</w:t>
      </w:r>
      <w:r>
        <w:t>mioneta.</w:t>
      </w:r>
    </w:p>
    <w:p w:rsidR="00224567" w:rsidRDefault="00224567">
      <w:pPr>
        <w:widowControl w:val="0"/>
      </w:pPr>
      <w:r>
        <w:tab/>
        <w:t xml:space="preserve">El testigo refirió que </w:t>
      </w:r>
      <w:smartTag w:uri="urn:schemas-microsoft-com:office:smarttags" w:element="PersonName">
        <w:smartTagPr>
          <w:attr w:name="ProductID" w:val="la Trafic"/>
        </w:smartTagPr>
        <w:r>
          <w:t>la Trafic</w:t>
        </w:r>
      </w:smartTag>
      <w:r>
        <w:t>, tras las reparaciones comentadas, le fue entregada a Telleldín en la fecha convenida, según creía un día viernes, no p</w:t>
      </w:r>
      <w:r>
        <w:t>u</w:t>
      </w:r>
      <w:r>
        <w:t>diéndolo precisar ya que ese día no tr</w:t>
      </w:r>
      <w:r>
        <w:t>a</w:t>
      </w:r>
      <w:r>
        <w:t>bajó.</w:t>
      </w:r>
    </w:p>
    <w:p w:rsidR="00224567" w:rsidRDefault="00224567">
      <w:pPr>
        <w:widowControl w:val="0"/>
      </w:pPr>
      <w:r>
        <w:tab/>
        <w:t>Aseveró que nunca vio la camioneta i</w:t>
      </w:r>
      <w:r>
        <w:t>n</w:t>
      </w:r>
      <w:r>
        <w:t>cendiada de “Messin”, que luce a fs. 239, ni una Trafic quemada a la vuelta del taller. Tampoco reconoció las pi</w:t>
      </w:r>
      <w:r>
        <w:t>e</w:t>
      </w:r>
      <w:r>
        <w:t>zas que componían el motor secue</w:t>
      </w:r>
      <w:r>
        <w:t>s</w:t>
      </w:r>
      <w:r>
        <w:t xml:space="preserve">trado entre los escombros de </w:t>
      </w:r>
      <w:smartTag w:uri="urn:schemas-microsoft-com:office:smarttags" w:element="PersonName">
        <w:smartTagPr>
          <w:attr w:name="ProductID" w:val="la A.M"/>
        </w:smartTagPr>
        <w:r>
          <w:t>la A.M</w:t>
        </w:r>
      </w:smartTag>
      <w:r>
        <w:t>.I.A. como el colocado en el utilitario; recon</w:t>
      </w:r>
      <w:r>
        <w:t>o</w:t>
      </w:r>
      <w:r>
        <w:t>ció, en cambio, la fotografía aportada por Pedro Sarapura como la c</w:t>
      </w:r>
      <w:r>
        <w:t>a</w:t>
      </w:r>
      <w:r>
        <w:t>mioneta llevada por Telleldín al taller.</w:t>
      </w:r>
    </w:p>
    <w:p w:rsidR="00224567" w:rsidRDefault="00224567">
      <w:pPr>
        <w:widowControl w:val="0"/>
      </w:pPr>
      <w:r>
        <w:tab/>
        <w:t>A la vez, Jouce narró que part</w:t>
      </w:r>
      <w:r>
        <w:t>i</w:t>
      </w:r>
      <w:r>
        <w:t>cipó de un allanamiento en el taller e incluso indicó a los fu</w:t>
      </w:r>
      <w:r>
        <w:t>n</w:t>
      </w:r>
      <w:r>
        <w:t xml:space="preserve">cionarios policiales que las maderas que estaban en un costado eran las que habían extraído de </w:t>
      </w:r>
      <w:smartTag w:uri="urn:schemas-microsoft-com:office:smarttags" w:element="PersonName">
        <w:smartTagPr>
          <w:attr w:name="ProductID" w:val="la Trafic"/>
        </w:smartTagPr>
        <w:r>
          <w:t>la Trafic</w:t>
        </w:r>
      </w:smartTag>
      <w:r>
        <w:t>, recon</w:t>
      </w:r>
      <w:r>
        <w:t>o</w:t>
      </w:r>
      <w:r>
        <w:t>ciendo en tal sentido las maderas y listones f</w:t>
      </w:r>
      <w:r>
        <w:t>o</w:t>
      </w:r>
      <w:r>
        <w:t>tografiados a fs. 10.569/10.574 y 11.668/11.672.</w:t>
      </w:r>
    </w:p>
    <w:p w:rsidR="00224567" w:rsidRDefault="00224567">
      <w:pPr>
        <w:widowControl w:val="0"/>
      </w:pPr>
      <w:r>
        <w:tab/>
        <w:t>Por último, manifestó que luego de ese allanamiento fue detenido y trasladado al Departamento Protección del Orden Constitucional, donde vio un bloque de motor y también pedazos de ch</w:t>
      </w:r>
      <w:r>
        <w:t>a</w:t>
      </w:r>
      <w:r>
        <w:t>pa. Durante su estadía en esa dependencia policial, aseguró Jouce, Telleldín le s</w:t>
      </w:r>
      <w:r>
        <w:t>o</w:t>
      </w:r>
      <w:r>
        <w:t>licitó que dijera que la camioneta que llevó al taller e</w:t>
      </w:r>
      <w:r>
        <w:t>s</w:t>
      </w:r>
      <w:r>
        <w:t>taba quemada y que los paños quemados se habían reemplaz</w:t>
      </w:r>
      <w:r>
        <w:t>a</w:t>
      </w:r>
      <w:r>
        <w:t>do por chapas con remaches, no recordando si le ofreció algo para recompensarlo o si sólo le manifestó que tenía un par de automóviles.</w:t>
      </w:r>
    </w:p>
    <w:p w:rsidR="00224567" w:rsidRDefault="00224567">
      <w:pPr>
        <w:widowControl w:val="0"/>
      </w:pPr>
      <w:r>
        <w:tab/>
        <w:t xml:space="preserve">A su turno, Pablo Mario De </w:t>
      </w:r>
      <w:smartTag w:uri="urn:schemas-microsoft-com:office:smarttags" w:element="PersonName">
        <w:smartTagPr>
          <w:attr w:name="ProductID" w:val="La Cruz Ar￩valo"/>
        </w:smartTagPr>
        <w:r>
          <w:t>la Cruz Arévalo</w:t>
        </w:r>
      </w:smartTag>
      <w:r>
        <w:t xml:space="preserve"> indicó que en 1994 trabajaba como pintor de vehículos en varios talleres, incluido el de “un tal Ariel”, en Villa Maipú, donde desarrolló sus activid</w:t>
      </w:r>
      <w:r>
        <w:t>a</w:t>
      </w:r>
      <w:r>
        <w:t>des a partir de mediados de ese año. Allí, señaló, vio una R</w:t>
      </w:r>
      <w:r>
        <w:t>e</w:t>
      </w:r>
      <w:r>
        <w:t>nault Trafic blanca, sin puerta lateral, de est</w:t>
      </w:r>
      <w:r>
        <w:t>a</w:t>
      </w:r>
      <w:r>
        <w:t>do general normal, que permaneció en el taller aproximadamente una semana, desconociendo cuándo y quién la llevó y retiró. Negó haber visto para esa época una camioneta quemada en los alred</w:t>
      </w:r>
      <w:r>
        <w:t>e</w:t>
      </w:r>
      <w:r>
        <w:t>dores del taller.</w:t>
      </w:r>
    </w:p>
    <w:p w:rsidR="00224567" w:rsidRDefault="00224567">
      <w:pPr>
        <w:widowControl w:val="0"/>
      </w:pPr>
      <w:r>
        <w:tab/>
        <w:t xml:space="preserve">Sobre </w:t>
      </w:r>
      <w:smartTag w:uri="urn:schemas-microsoft-com:office:smarttags" w:element="PersonName">
        <w:smartTagPr>
          <w:attr w:name="ProductID" w:val="la Trafic"/>
        </w:smartTagPr>
        <w:r>
          <w:t>la Trafic</w:t>
        </w:r>
      </w:smartTag>
      <w:r>
        <w:t>, expresó, realizó tr</w:t>
      </w:r>
      <w:r>
        <w:t>a</w:t>
      </w:r>
      <w:r>
        <w:t>bajos de lijado y pintura en los laterales, do</w:t>
      </w:r>
      <w:r>
        <w:t>n</w:t>
      </w:r>
      <w:r>
        <w:t>de, dedujo, hubo unos logos. Si bien en un principio no recordó si pintó la parte posterior o si el rodado presentaba a</w:t>
      </w:r>
      <w:r>
        <w:t>l</w:t>
      </w:r>
      <w:r>
        <w:t>guna abolladura, luego de leérsele un tramo de su declaración prestada ante el magistrado instructor, aclaró que en la parte trasera derecha -s</w:t>
      </w:r>
      <w:r>
        <w:t>o</w:t>
      </w:r>
      <w:r>
        <w:t>bre el marco de la puerta, en el techo-, tenía un golpe, presentando otro similar –como o</w:t>
      </w:r>
      <w:r>
        <w:t>n</w:t>
      </w:r>
      <w:r>
        <w:t>dulaciones- en el sector delantero, bordeando el parabr</w:t>
      </w:r>
      <w:r>
        <w:t>i</w:t>
      </w:r>
      <w:r>
        <w:t>sas, también sobre el techo.</w:t>
      </w:r>
    </w:p>
    <w:p w:rsidR="00224567" w:rsidRDefault="00224567">
      <w:pPr>
        <w:widowControl w:val="0"/>
      </w:pPr>
      <w:r>
        <w:tab/>
        <w:t>Aseveró que realizó retoques de pint</w:t>
      </w:r>
      <w:r>
        <w:t>u</w:t>
      </w:r>
      <w:r>
        <w:t>ra dentro de la cavidad del motor, del lado derecho, no recordando si éste estaba colocado o si vio uno en algún otro lado del taller. No obstante, puntualizó que vio un motor cuando empezó a trabajar y que era el único que h</w:t>
      </w:r>
      <w:r>
        <w:t>a</w:t>
      </w:r>
      <w:r>
        <w:t>bía en el lugar, sin poder precisar si se trataba del mi</w:t>
      </w:r>
      <w:r>
        <w:t>s</w:t>
      </w:r>
      <w:r>
        <w:t xml:space="preserve">mo que estaba colocado en </w:t>
      </w:r>
      <w:smartTag w:uri="urn:schemas-microsoft-com:office:smarttags" w:element="PersonName">
        <w:smartTagPr>
          <w:attr w:name="ProductID" w:val="la Trafic"/>
        </w:smartTagPr>
        <w:r>
          <w:t>la Trafic</w:t>
        </w:r>
      </w:smartTag>
      <w:r>
        <w:t xml:space="preserve"> o si alguien lo había llevado al taller. Con relación a ese motor, aseguró que no presentaba indicios de estar qu</w:t>
      </w:r>
      <w:r>
        <w:t>e</w:t>
      </w:r>
      <w:r>
        <w:t>mado, no recordando si era na</w:t>
      </w:r>
      <w:r>
        <w:t>f</w:t>
      </w:r>
      <w:r>
        <w:t>tero.</w:t>
      </w:r>
    </w:p>
    <w:p w:rsidR="00224567" w:rsidRDefault="00224567">
      <w:pPr>
        <w:widowControl w:val="0"/>
      </w:pPr>
      <w:r>
        <w:tab/>
        <w:t>Al exhibírsele la fotografía apo</w:t>
      </w:r>
      <w:r>
        <w:t>r</w:t>
      </w:r>
      <w:r>
        <w:t xml:space="preserve">tada por Pedro Sarapura, expresó que </w:t>
      </w:r>
      <w:smartTag w:uri="urn:schemas-microsoft-com:office:smarttags" w:element="PersonName">
        <w:smartTagPr>
          <w:attr w:name="ProductID" w:val="la Trafic"/>
        </w:smartTagPr>
        <w:r>
          <w:t>la Trafic</w:t>
        </w:r>
      </w:smartTag>
      <w:r>
        <w:t xml:space="preserve"> sobre la que trabajó no presentaba logos a la vista, pero las partes que pintó se correspondían con la ubicación de esas impr</w:t>
      </w:r>
      <w:r>
        <w:t>e</w:t>
      </w:r>
      <w:r>
        <w:t>siones en la foto. A la vez, reconoció en las vistas fot</w:t>
      </w:r>
      <w:r>
        <w:t>o</w:t>
      </w:r>
      <w:r>
        <w:t>gráficas obrantes a fs. 10.569/10.574 y 11.668/11.672 el taller y, si bien afirmó haber visto el interior de la c</w:t>
      </w:r>
      <w:r>
        <w:t>a</w:t>
      </w:r>
      <w:r>
        <w:t>mioneta, no recordó si lucía un revestimiento de madera con listones de aluminio, ni, en su caso, quién lo extr</w:t>
      </w:r>
      <w:r>
        <w:t>a</w:t>
      </w:r>
      <w:r>
        <w:t>jo.</w:t>
      </w:r>
    </w:p>
    <w:p w:rsidR="00224567" w:rsidRDefault="00224567">
      <w:pPr>
        <w:widowControl w:val="0"/>
      </w:pPr>
      <w:r>
        <w:tab/>
        <w:t>El testigo admitió conocer a Carlos Telleldín por haberlo visto en varias oportun</w:t>
      </w:r>
      <w:r>
        <w:t>i</w:t>
      </w:r>
      <w:r>
        <w:t>dades en el taller, además de las veces que concurrió para controlar los trabajos que se estaban realizando sobre la cami</w:t>
      </w:r>
      <w:r>
        <w:t>o</w:t>
      </w:r>
      <w:r>
        <w:t>neta a la que hizo referencia. Negó conocer a Ana Boragni; e</w:t>
      </w:r>
      <w:r>
        <w:t>m</w:t>
      </w:r>
      <w:r>
        <w:t>pero, reconoció que una rubia, de mediana estatura, de nombre Ana, sie</w:t>
      </w:r>
      <w:r>
        <w:t>m</w:t>
      </w:r>
      <w:r>
        <w:t>pre hablaba con Ariel o con Marcelo.</w:t>
      </w:r>
    </w:p>
    <w:p w:rsidR="00224567" w:rsidRDefault="00224567">
      <w:pPr>
        <w:widowControl w:val="0"/>
      </w:pPr>
      <w:r>
        <w:tab/>
        <w:t>Por su parte, Francisco Bonnefon rel</w:t>
      </w:r>
      <w:r>
        <w:t>a</w:t>
      </w:r>
      <w:r>
        <w:t>tó que entre mediados de mayo y diciembre de 1994 tr</w:t>
      </w:r>
      <w:r>
        <w:t>a</w:t>
      </w:r>
      <w:r>
        <w:t>bajó haciendo changas en el taller de chapa y pintura de Ariel Nitzcaner.</w:t>
      </w:r>
    </w:p>
    <w:p w:rsidR="00224567" w:rsidRDefault="00224567">
      <w:pPr>
        <w:widowControl w:val="0"/>
      </w:pPr>
      <w:r>
        <w:tab/>
        <w:t>Explicó que allí vio una camioneta R</w:t>
      </w:r>
      <w:r>
        <w:t>e</w:t>
      </w:r>
      <w:r>
        <w:t>nault Trafic que fue retirada el 9 de julio de ese año, comentando quien lo hizo que la había publicado para la venta; según creyó, el vehículo permaneció en el lugar d</w:t>
      </w:r>
      <w:r>
        <w:t>u</w:t>
      </w:r>
      <w:r>
        <w:t>rante una semana, sin poder precisar quién y cuándo la d</w:t>
      </w:r>
      <w:r>
        <w:t>e</w:t>
      </w:r>
      <w:r>
        <w:t>jaron. Describió el utilitario como blanco, corto, sin puerta en el costado, con el interior forr</w:t>
      </w:r>
      <w:r>
        <w:t>a</w:t>
      </w:r>
      <w:r>
        <w:t>do con maderas como para evitar golpes en la carga que tran</w:t>
      </w:r>
      <w:r>
        <w:t>s</w:t>
      </w:r>
      <w:r>
        <w:t>portaba; negó haber visto los logos.</w:t>
      </w:r>
    </w:p>
    <w:p w:rsidR="00224567" w:rsidRDefault="00224567">
      <w:pPr>
        <w:widowControl w:val="0"/>
      </w:pPr>
      <w:r>
        <w:tab/>
        <w:t>Con relación al motor, aseguró que cuando vio la camioneta se hallaba desarmado, ocupándose Ariel de armarlo. El testigo no supo decir si se hallaba quemado, toda vez que, según indicó, no trabajó en su c</w:t>
      </w:r>
      <w:r>
        <w:t>o</w:t>
      </w:r>
      <w:r>
        <w:t>locación en el rodado. Tampoco pudo precisar cuándo llev</w:t>
      </w:r>
      <w:r>
        <w:t>a</w:t>
      </w:r>
      <w:r>
        <w:t>ron al taller el motor que se col</w:t>
      </w:r>
      <w:r>
        <w:t>o</w:t>
      </w:r>
      <w:r>
        <w:t xml:space="preserve">có en </w:t>
      </w:r>
      <w:smartTag w:uri="urn:schemas-microsoft-com:office:smarttags" w:element="PersonName">
        <w:smartTagPr>
          <w:attr w:name="ProductID" w:val="la Trafic."/>
        </w:smartTagPr>
        <w:r>
          <w:t>la Trafic.</w:t>
        </w:r>
      </w:smartTag>
    </w:p>
    <w:p w:rsidR="00224567" w:rsidRDefault="00224567">
      <w:pPr>
        <w:widowControl w:val="0"/>
      </w:pPr>
      <w:r>
        <w:tab/>
        <w:t>Asimismo, explicó que se pintaron los costados del vehículo, donde la pintura se hallaba rasqu</w:t>
      </w:r>
      <w:r>
        <w:t>e</w:t>
      </w:r>
      <w:r>
        <w:t>teada, tarea en la que no intervino, toda vez que era ch</w:t>
      </w:r>
      <w:r>
        <w:t>a</w:t>
      </w:r>
      <w:r>
        <w:t>pista. Puntualizó que su participación en el arreglo no resultó necesaria por no presentar problemas de ch</w:t>
      </w:r>
      <w:r>
        <w:t>a</w:t>
      </w:r>
      <w:r>
        <w:t>pa.</w:t>
      </w:r>
    </w:p>
    <w:p w:rsidR="00224567" w:rsidRDefault="00224567">
      <w:pPr>
        <w:widowControl w:val="0"/>
      </w:pPr>
      <w:r>
        <w:tab/>
        <w:t>Al exhibírsele la fotografía apo</w:t>
      </w:r>
      <w:r>
        <w:t>r</w:t>
      </w:r>
      <w:r>
        <w:t>tada por Pedro Sarapura, señaló que la camioneta a la que hizo alusión era de ese tipo, reconociendo las maderas fotogr</w:t>
      </w:r>
      <w:r>
        <w:t>a</w:t>
      </w:r>
      <w:r>
        <w:t>fiadas a fs. 10.569/10.574 y 11.668/11.672 como las e</w:t>
      </w:r>
      <w:r>
        <w:t>x</w:t>
      </w:r>
      <w:r>
        <w:t xml:space="preserve">traídas del interior de </w:t>
      </w:r>
      <w:smartTag w:uri="urn:schemas-microsoft-com:office:smarttags" w:element="PersonName">
        <w:smartTagPr>
          <w:attr w:name="ProductID" w:val="la Trafic. Refiri￳"/>
        </w:smartTagPr>
        <w:r>
          <w:t>la Trafic. Refirió</w:t>
        </w:r>
      </w:smartTag>
      <w:r>
        <w:t xml:space="preserve"> que supo que se llevó a cabo un procedimiento en el t</w:t>
      </w:r>
      <w:r>
        <w:t>a</w:t>
      </w:r>
      <w:r>
        <w:t>ller, por cuanto en una oportunidad, al concurrir a su trabajo, encontró el lugar clausur</w:t>
      </w:r>
      <w:r>
        <w:t>a</w:t>
      </w:r>
      <w:r>
        <w:t>do.</w:t>
      </w:r>
    </w:p>
    <w:p w:rsidR="00224567" w:rsidRDefault="00224567">
      <w:pPr>
        <w:widowControl w:val="0"/>
      </w:pPr>
      <w:r>
        <w:tab/>
        <w:t>Expresó Bonnefon que conocía a Telle</w:t>
      </w:r>
      <w:r>
        <w:t>l</w:t>
      </w:r>
      <w:r>
        <w:t>dín como un cliente más; Hugo Antonio Pérez era quien lo acompañaba al taller; la esposa de Telleldín, según creyó que le comentó Ariel, fue la que se llevó la camioneta. Por último, negó haber visto alguna Trafic quemada en las inmediaci</w:t>
      </w:r>
      <w:r>
        <w:t>o</w:t>
      </w:r>
      <w:r>
        <w:t>nes.</w:t>
      </w:r>
    </w:p>
    <w:p w:rsidR="00224567" w:rsidRDefault="00224567">
      <w:pPr>
        <w:widowControl w:val="0"/>
      </w:pPr>
      <w:r>
        <w:tab/>
        <w:t>Alicia Noemí Trotonda indicó que res</w:t>
      </w:r>
      <w:r>
        <w:t>i</w:t>
      </w:r>
      <w:r>
        <w:t>día en la parte trasera de la finca sita en Ituzaingó 2331 de San Martín; que se hallaba separada por un patio, con salida independiente, de un taller que funcionaba adela</w:t>
      </w:r>
      <w:r>
        <w:t>n</w:t>
      </w:r>
      <w:r>
        <w:t>te, que era alquilado por su hermano a Ariel Nitzcaner. No recordó una camioneta en el interior del taller en 1994, ni tampoco una carrocería incendiada en la esquina de su dom</w:t>
      </w:r>
      <w:r>
        <w:t>i</w:t>
      </w:r>
      <w:r>
        <w:t>cilio.</w:t>
      </w:r>
    </w:p>
    <w:p w:rsidR="00224567" w:rsidRDefault="00224567">
      <w:pPr>
        <w:widowControl w:val="0"/>
      </w:pPr>
      <w:r>
        <w:tab/>
        <w:t>A ello se suma el testimonio de Augu</w:t>
      </w:r>
      <w:r>
        <w:t>s</w:t>
      </w:r>
      <w:r>
        <w:t>to Carlos Curel, quien expuso que vivía en un depa</w:t>
      </w:r>
      <w:r>
        <w:t>r</w:t>
      </w:r>
      <w:r>
        <w:t>tamento en el fondo de Ituzaingó 2331 de Villa Maipú, San Martín, donde su suegro le cedió un espacio. Expl</w:t>
      </w:r>
      <w:r>
        <w:t>i</w:t>
      </w:r>
      <w:r>
        <w:t>có que, patio de por medio, a la calle daba un taller, alquilado por Ariel Nitzcaner y su s</w:t>
      </w:r>
      <w:r>
        <w:t>o</w:t>
      </w:r>
      <w:r>
        <w:t>cio Marcelo.</w:t>
      </w:r>
    </w:p>
    <w:p w:rsidR="00224567" w:rsidRDefault="00224567">
      <w:pPr>
        <w:widowControl w:val="0"/>
      </w:pPr>
      <w:r>
        <w:tab/>
        <w:t>Aseveró que en 1994 observó varias Trafic tanto dentro como fuera del taller, aunque nunca presenció tareas de reparación o pintura sobre ellas, ni vio una camioneta quemada. En tal sentido, al e</w:t>
      </w:r>
      <w:r>
        <w:t>x</w:t>
      </w:r>
      <w:r>
        <w:t>hibírsele la fotogr</w:t>
      </w:r>
      <w:r>
        <w:t>a</w:t>
      </w:r>
      <w:r>
        <w:t>fía aportada por Pedro Sarapura, expresó que vio por lo menos dos o tres camionetas similares, no recorda</w:t>
      </w:r>
      <w:r>
        <w:t>n</w:t>
      </w:r>
      <w:r>
        <w:t>do los l</w:t>
      </w:r>
      <w:r>
        <w:t>o</w:t>
      </w:r>
      <w:r>
        <w:t xml:space="preserve">gos. Con relación a las fotografías de </w:t>
      </w:r>
      <w:smartTag w:uri="urn:schemas-microsoft-com:office:smarttags" w:element="PersonName">
        <w:smartTagPr>
          <w:attr w:name="ProductID" w:val="la Trafic"/>
        </w:smartTagPr>
        <w:r>
          <w:t>la Trafic</w:t>
        </w:r>
      </w:smartTag>
      <w:r>
        <w:t xml:space="preserve"> de “Messin” obrantes a fs. 234/235, manifestó que no o</w:t>
      </w:r>
      <w:r>
        <w:t>b</w:t>
      </w:r>
      <w:r>
        <w:t>servó “nada de eso” en el taller.</w:t>
      </w:r>
    </w:p>
    <w:p w:rsidR="00224567" w:rsidRDefault="00224567">
      <w:pPr>
        <w:widowControl w:val="0"/>
      </w:pPr>
      <w:r>
        <w:tab/>
        <w:t xml:space="preserve">Aseguró el testigo que vio a Carlos Telleldín varias veces en el taller, como así también a Ana Boragni –cuyo nombre ignoraba-, a quien describió como una señora de </w:t>
      </w:r>
      <w:smartTag w:uri="urn:schemas-microsoft-com:office:smarttags" w:element="metricconverter">
        <w:smartTagPr>
          <w:attr w:name="ProductID" w:val="1,60 m"/>
        </w:smartTagPr>
        <w:r>
          <w:t>1,60 m</w:t>
        </w:r>
      </w:smartTag>
      <w:r>
        <w:t xml:space="preserve"> aproxim</w:t>
      </w:r>
      <w:r>
        <w:t>a</w:t>
      </w:r>
      <w:r>
        <w:t>damente, de nariz pronunciada y mucho busto, enterándose por los di</w:t>
      </w:r>
      <w:r>
        <w:t>a</w:t>
      </w:r>
      <w:r>
        <w:t>rios que se trataba de la mujer del primero.</w:t>
      </w:r>
    </w:p>
    <w:p w:rsidR="00224567" w:rsidRDefault="00224567">
      <w:pPr>
        <w:widowControl w:val="0"/>
      </w:pPr>
      <w:r>
        <w:tab/>
        <w:t>Curel participó de los dos allanamie</w:t>
      </w:r>
      <w:r>
        <w:t>n</w:t>
      </w:r>
      <w:r>
        <w:t>tos practicados en el taller, facilitando en ambas ocasi</w:t>
      </w:r>
      <w:r>
        <w:t>o</w:t>
      </w:r>
      <w:r>
        <w:t>nes las llaves del lugar para el ingreso del personal p</w:t>
      </w:r>
      <w:r>
        <w:t>o</w:t>
      </w:r>
      <w:r>
        <w:t>licial. Reconoció diversos elementos fotografiados a fs. 10.569/10.574 y 11.668/11.672 como secuestrados en los procedimientos.</w:t>
      </w:r>
    </w:p>
    <w:p w:rsidR="00224567" w:rsidRDefault="00224567">
      <w:pPr>
        <w:widowControl w:val="0"/>
      </w:pPr>
      <w:r>
        <w:tab/>
        <w:t>Al prestar declaración con relación al t</w:t>
      </w:r>
      <w:r>
        <w:t>e</w:t>
      </w:r>
      <w:r>
        <w:t xml:space="preserve">ma, Ana María Boragni sostuvo que al día siguiente de la extracción del motor de </w:t>
      </w:r>
      <w:smartTag w:uri="urn:schemas-microsoft-com:office:smarttags" w:element="PersonName">
        <w:smartTagPr>
          <w:attr w:name="ProductID" w:val="la Trafic"/>
        </w:smartTagPr>
        <w:r>
          <w:t>la Trafic</w:t>
        </w:r>
      </w:smartTag>
      <w:r>
        <w:t xml:space="preserve"> de “Messin” en lo de C</w:t>
      </w:r>
      <w:r>
        <w:t>o</w:t>
      </w:r>
      <w:r>
        <w:t>toras, fue llevado al taller de Nitzcaner por Carlos T</w:t>
      </w:r>
      <w:r>
        <w:t>e</w:t>
      </w:r>
      <w:r>
        <w:t>lleldín, Hugo Pérez o ambos.</w:t>
      </w:r>
    </w:p>
    <w:p w:rsidR="00224567" w:rsidRDefault="00224567">
      <w:pPr>
        <w:widowControl w:val="0"/>
      </w:pPr>
      <w:r>
        <w:tab/>
        <w:t>La nombrada refirió que en diversas oportunidades concurrió al taller de Nitzcaner para ver una camioneta que allí estaba en repar</w:t>
      </w:r>
      <w:r>
        <w:t>a</w:t>
      </w:r>
      <w:r>
        <w:t>ción, ignorando si se trataba de un vehículo que se había incendiado; en t</w:t>
      </w:r>
      <w:r>
        <w:t>o</w:t>
      </w:r>
      <w:r>
        <w:t>dos los casos presentaba sus vidrios tapados con papel de diario, por cuanto estaban pintando la carrocería con s</w:t>
      </w:r>
      <w:r>
        <w:t>o</w:t>
      </w:r>
      <w:r>
        <w:t>plete.</w:t>
      </w:r>
    </w:p>
    <w:p w:rsidR="00224567" w:rsidRDefault="00224567">
      <w:pPr>
        <w:widowControl w:val="0"/>
      </w:pPr>
      <w:r>
        <w:tab/>
        <w:t>Asimismo, indicó que Nitzcaner decía que tenía pr</w:t>
      </w:r>
      <w:r>
        <w:t>o</w:t>
      </w:r>
      <w:r>
        <w:t>blemas con la pintura o con unos paños de la camioneta y que se iba a demorar un día más y no de</w:t>
      </w:r>
      <w:r>
        <w:t>s</w:t>
      </w:r>
      <w:r>
        <w:t>cartó haberle hablado a efectos de que agilizase las tareas, tal como lo hizo en muchas oportunidades.</w:t>
      </w:r>
    </w:p>
    <w:p w:rsidR="00224567" w:rsidRDefault="00224567">
      <w:pPr>
        <w:widowControl w:val="0"/>
      </w:pPr>
      <w:r>
        <w:tab/>
        <w:t>No supo decir si a la camioneta se le realizó algún trabajo de amortiguación o de elásticos; tampoco pudo explicar por qué el motor de la camioneta i</w:t>
      </w:r>
      <w:r>
        <w:t>n</w:t>
      </w:r>
      <w:r>
        <w:t>cinerada no lo extrajo directamente Nitzcaner en su t</w:t>
      </w:r>
      <w:r>
        <w:t>a</w:t>
      </w:r>
      <w:r>
        <w:t>ller, alegando que fue una decisión de su marido. Agregó que éste prefería que Guillermo Cotoras observara los m</w:t>
      </w:r>
      <w:r>
        <w:t>o</w:t>
      </w:r>
      <w:r>
        <w:t>tores que estaban muy delicados, ya que era más detalli</w:t>
      </w:r>
      <w:r>
        <w:t>s</w:t>
      </w:r>
      <w:r>
        <w:t>ta, a la vez que mencionó que en varias oportunidades se había proc</w:t>
      </w:r>
      <w:r>
        <w:t>e</w:t>
      </w:r>
      <w:r>
        <w:t>dido de idéntica forma.</w:t>
      </w:r>
    </w:p>
    <w:p w:rsidR="00224567" w:rsidRDefault="00224567">
      <w:pPr>
        <w:widowControl w:val="0"/>
      </w:pPr>
      <w:r>
        <w:tab/>
        <w:t>Relató que el sábado anterior al 10 de j</w:t>
      </w:r>
      <w:r>
        <w:t>u</w:t>
      </w:r>
      <w:r>
        <w:t>lio observó que la camioneta reparada en lo de Nitzcaner y que, presumía, era la incinerada, se hallaba en la pue</w:t>
      </w:r>
      <w:r>
        <w:t>r</w:t>
      </w:r>
      <w:r>
        <w:t>ta de su domicilio; explicó que era una Trafic blanca, l</w:t>
      </w:r>
      <w:r>
        <w:t>i</w:t>
      </w:r>
      <w:r>
        <w:t>sa, con dos puertas tra</w:t>
      </w:r>
      <w:r>
        <w:t>s</w:t>
      </w:r>
      <w:r>
        <w:t>eras, con caja cerrada, sin puerta lateral, naftera, sin r</w:t>
      </w:r>
      <w:r>
        <w:t>e</w:t>
      </w:r>
      <w:r>
        <w:t>cordar si era corta o larga; dijo desconocer si le d</w:t>
      </w:r>
      <w:r>
        <w:t>e</w:t>
      </w:r>
      <w:r>
        <w:t>jaron los tubos de gas.</w:t>
      </w:r>
    </w:p>
    <w:p w:rsidR="00224567" w:rsidRDefault="00224567">
      <w:pPr>
        <w:widowControl w:val="0"/>
      </w:pPr>
      <w:r>
        <w:tab/>
        <w:t xml:space="preserve">Boragni, a su vez, no supo decir si fue ella quien retiró </w:t>
      </w:r>
      <w:smartTag w:uri="urn:schemas-microsoft-com:office:smarttags" w:element="PersonName">
        <w:smartTagPr>
          <w:attr w:name="ProductID" w:val="la Trafic"/>
        </w:smartTagPr>
        <w:r>
          <w:t>la Trafic</w:t>
        </w:r>
      </w:smartTag>
      <w:r>
        <w:t xml:space="preserve"> de lo de Nitzc</w:t>
      </w:r>
      <w:r>
        <w:t>a</w:t>
      </w:r>
      <w:r>
        <w:t>ner o si lo hicieron Carlos o Hugo, aunque luego, en el tran</w:t>
      </w:r>
      <w:r>
        <w:t>s</w:t>
      </w:r>
      <w:r>
        <w:t>curso de su declaración, dijo estar segura que ella no había sido. Ello sin perjuicio de que en su testimonio de fs. 10.366 manifestó que había ido a lo de Nitzcaner en remis, ret</w:t>
      </w:r>
      <w:r>
        <w:t>i</w:t>
      </w:r>
      <w:r>
        <w:t>rando sola la cami</w:t>
      </w:r>
      <w:r>
        <w:t>o</w:t>
      </w:r>
      <w:r>
        <w:t>neta, la que condujo hasta el frente de su domic</w:t>
      </w:r>
      <w:r>
        <w:t>i</w:t>
      </w:r>
      <w:r>
        <w:t>lio, donde permaneció hasta su venta.</w:t>
      </w:r>
    </w:p>
    <w:p w:rsidR="00224567" w:rsidRDefault="00224567">
      <w:pPr>
        <w:widowControl w:val="0"/>
      </w:pPr>
      <w:r>
        <w:tab/>
        <w:t>En cuanto a Sarapura, manifestó que lo oyó nombrar como “el titular del supuesto chasis” que t</w:t>
      </w:r>
      <w:r>
        <w:t>e</w:t>
      </w:r>
      <w:r>
        <w:t xml:space="preserve">nía el motor de su marido; incluso Telleldín le comentó, una vez detenido, que tuvo </w:t>
      </w:r>
      <w:smartTag w:uri="urn:schemas-microsoft-com:office:smarttags" w:element="PersonName">
        <w:smartTagPr>
          <w:attr w:name="ProductID" w:val="la Trafic"/>
        </w:smartTagPr>
        <w:r>
          <w:t>la Trafic</w:t>
        </w:r>
      </w:smartTag>
      <w:r>
        <w:t xml:space="preserve"> de Sar</w:t>
      </w:r>
      <w:r>
        <w:t>a</w:t>
      </w:r>
      <w:r>
        <w:t>pura, a la que le colocó el motor de la incinerada, no recordando de qué manera se obtuvo la carrocería alud</w:t>
      </w:r>
      <w:r>
        <w:t>i</w:t>
      </w:r>
      <w:r>
        <w:t>da.</w:t>
      </w:r>
    </w:p>
    <w:p w:rsidR="00224567" w:rsidRDefault="00224567">
      <w:pPr>
        <w:widowControl w:val="0"/>
      </w:pPr>
      <w:r>
        <w:tab/>
      </w:r>
      <w:r>
        <w:rPr>
          <w:b/>
          <w:bCs/>
        </w:rPr>
        <w:t>C.2.d)</w:t>
      </w:r>
      <w:r>
        <w:t xml:space="preserve"> También prestó declaración en la audiencia de debate Ricardo López, perito mecánico de </w:t>
      </w:r>
      <w:smartTag w:uri="urn:schemas-microsoft-com:office:smarttags" w:element="PersonName">
        <w:smartTagPr>
          <w:attr w:name="ProductID" w:val="la Divisi￳n Plantas"/>
        </w:smartTagPr>
        <w:r>
          <w:t>la División Plantas</w:t>
        </w:r>
      </w:smartTag>
      <w:r>
        <w:t xml:space="preserve"> Verificadoras de </w:t>
      </w:r>
      <w:smartTag w:uri="urn:schemas-microsoft-com:office:smarttags" w:element="PersonName">
        <w:smartTagPr>
          <w:attr w:name="ProductID" w:val="la Polic￭a Federal"/>
        </w:smartTagPr>
        <w:r>
          <w:t>la Policía Federal</w:t>
        </w:r>
      </w:smartTag>
      <w:r>
        <w:t xml:space="preserve"> Argentina, quien brindó explicaciones técnicas acerca de los motores “clavados” y de las diferencias que existen entre un motor a nafta o a gas y uno ince</w:t>
      </w:r>
      <w:r>
        <w:t>n</w:t>
      </w:r>
      <w:r>
        <w:t>diado o dejado a la intemperie.</w:t>
      </w:r>
    </w:p>
    <w:p w:rsidR="00224567" w:rsidRDefault="00224567">
      <w:pPr>
        <w:widowControl w:val="0"/>
      </w:pPr>
      <w:r>
        <w:tab/>
        <w:t>En tal sentido, ilustró que un motor puede estar “clavado” cuando las piezas que se deben de</w:t>
      </w:r>
      <w:r>
        <w:t>s</w:t>
      </w:r>
      <w:r>
        <w:t>plazar –los pistones- “se agarran” sobre los cilindros, impidiéndole su funcionamiento. Aseguró que tal determin</w:t>
      </w:r>
      <w:r>
        <w:t>a</w:t>
      </w:r>
      <w:r>
        <w:t>ción se puede hacer a simple vista, inte</w:t>
      </w:r>
      <w:r>
        <w:t>n</w:t>
      </w:r>
      <w:r>
        <w:t>tando hacer girar el cigüeñal si el motor se halla fu</w:t>
      </w:r>
      <w:r>
        <w:t>e</w:t>
      </w:r>
      <w:r>
        <w:t>ra del vehículo o, en caso contrario, empujándolo para verif</w:t>
      </w:r>
      <w:r>
        <w:t>i</w:t>
      </w:r>
      <w:r>
        <w:t>car si los pistones se desplazan.</w:t>
      </w:r>
    </w:p>
    <w:p w:rsidR="00224567" w:rsidRDefault="00224567">
      <w:pPr>
        <w:widowControl w:val="0"/>
        <w:rPr>
          <w:bCs/>
        </w:rPr>
      </w:pPr>
      <w:r>
        <w:tab/>
        <w:t xml:space="preserve">Por otra parte, López señaló que las camionetas Trafic de 1400 </w:t>
      </w:r>
      <w:r>
        <w:rPr>
          <w:bCs/>
        </w:rPr>
        <w:t>cm³</w:t>
      </w:r>
      <w:r>
        <w:t xml:space="preserve"> llevan motores de fund</w:t>
      </w:r>
      <w:r>
        <w:t>i</w:t>
      </w:r>
      <w:r>
        <w:t>ción de hierro, en los que el óxido provocado por i</w:t>
      </w:r>
      <w:r>
        <w:t>n</w:t>
      </w:r>
      <w:r>
        <w:t xml:space="preserve">temperie o por incendio no tiene apariencia exterior semejante: </w:t>
      </w:r>
      <w:r>
        <w:rPr>
          <w:bCs/>
        </w:rPr>
        <w:t>por incendio se forman costras, que es el decapado, en tanto por intemperie queda como un polvillo colorado, que sale fácilmente. Eso, aseveró, puede ser detectado por un mec</w:t>
      </w:r>
      <w:r>
        <w:rPr>
          <w:bCs/>
        </w:rPr>
        <w:t>á</w:t>
      </w:r>
      <w:r>
        <w:rPr>
          <w:bCs/>
        </w:rPr>
        <w:t>nico.</w:t>
      </w:r>
    </w:p>
    <w:p w:rsidR="00224567" w:rsidRDefault="00224567">
      <w:pPr>
        <w:widowControl w:val="0"/>
      </w:pPr>
      <w:r>
        <w:rPr>
          <w:bCs/>
        </w:rPr>
        <w:tab/>
        <w:t>No obstante, comentó que si un motor incendiado es sometido a un baño de un elemento cáust</w:t>
      </w:r>
      <w:r>
        <w:rPr>
          <w:bCs/>
        </w:rPr>
        <w:t>i</w:t>
      </w:r>
      <w:r>
        <w:rPr>
          <w:bCs/>
        </w:rPr>
        <w:t>co  –como ser potasa- desaparecen totalmente los restos del incendio y no hay forma de detectarlo. Concluyó que ante la falta de óxido resulta imposible saber si estuvo a la intemperie u oxidado por cualquier otro mot</w:t>
      </w:r>
      <w:r>
        <w:rPr>
          <w:bCs/>
        </w:rPr>
        <w:t>i</w:t>
      </w:r>
      <w:r>
        <w:rPr>
          <w:bCs/>
        </w:rPr>
        <w:t>vo</w:t>
      </w:r>
      <w:r>
        <w:t>.</w:t>
      </w:r>
    </w:p>
    <w:p w:rsidR="00224567" w:rsidRDefault="00224567">
      <w:pPr>
        <w:widowControl w:val="0"/>
      </w:pPr>
      <w:r>
        <w:tab/>
        <w:t>Por último, enseñó que cuando un m</w:t>
      </w:r>
      <w:r>
        <w:t>o</w:t>
      </w:r>
      <w:r>
        <w:t>tor funcionó a gas, quedan señales que así lo i</w:t>
      </w:r>
      <w:r>
        <w:t>n</w:t>
      </w:r>
      <w:r>
        <w:t>dican.</w:t>
      </w:r>
    </w:p>
    <w:p w:rsidR="00224567" w:rsidRDefault="00224567">
      <w:pPr>
        <w:widowControl w:val="0"/>
        <w:rPr>
          <w:bCs/>
        </w:rPr>
      </w:pPr>
      <w:r>
        <w:tab/>
      </w:r>
      <w:r>
        <w:rPr>
          <w:b/>
          <w:bCs/>
        </w:rPr>
        <w:t>C.2.e)</w:t>
      </w:r>
      <w:r>
        <w:t xml:space="preserve"> Con relación al regrabado de la carrocería alegado por Telleldín, se debe destacar que a fs. </w:t>
      </w:r>
      <w:r>
        <w:rPr>
          <w:bCs/>
        </w:rPr>
        <w:t xml:space="preserve">27.526/27.528, Daniel A. Galetto del Área Métodos de Carrocería de </w:t>
      </w:r>
      <w:smartTag w:uri="urn:schemas-microsoft-com:office:smarttags" w:element="PersonName">
        <w:smartTagPr>
          <w:attr w:name="ProductID" w:val="la Divisi￳n T￩cnica"/>
        </w:smartTagPr>
        <w:r>
          <w:rPr>
            <w:bCs/>
          </w:rPr>
          <w:t>la División Técnica</w:t>
        </w:r>
      </w:smartTag>
      <w:r>
        <w:rPr>
          <w:bCs/>
        </w:rPr>
        <w:t xml:space="preserve"> de </w:t>
      </w:r>
      <w:smartTag w:uri="urn:schemas-microsoft-com:office:smarttags" w:element="PersonName">
        <w:smartTagPr>
          <w:attr w:name="ProductID" w:val="la Planta Santa"/>
        </w:smartTagPr>
        <w:r>
          <w:rPr>
            <w:bCs/>
          </w:rPr>
          <w:t>la Planta Santa</w:t>
        </w:r>
      </w:smartTag>
      <w:r>
        <w:rPr>
          <w:bCs/>
        </w:rPr>
        <w:t xml:space="preserve"> Is</w:t>
      </w:r>
      <w:r>
        <w:rPr>
          <w:bCs/>
        </w:rPr>
        <w:t>a</w:t>
      </w:r>
      <w:r>
        <w:rPr>
          <w:bCs/>
        </w:rPr>
        <w:t>bel de Córdoba de “C.I.A.D.E.A.” informó que no se util</w:t>
      </w:r>
      <w:r>
        <w:rPr>
          <w:bCs/>
        </w:rPr>
        <w:t>i</w:t>
      </w:r>
      <w:r>
        <w:rPr>
          <w:bCs/>
        </w:rPr>
        <w:t>zaban lápices ópticos para el grabado de los productos y que la metodología empleada era a través de percusión s</w:t>
      </w:r>
      <w:r>
        <w:rPr>
          <w:bCs/>
        </w:rPr>
        <w:t>o</w:t>
      </w:r>
      <w:r>
        <w:rPr>
          <w:bCs/>
        </w:rPr>
        <w:t>bre la chapa o fundición, que dejaba una impronta sobre el material. En el caso puntual de las carrocerías de Tr</w:t>
      </w:r>
      <w:r>
        <w:rPr>
          <w:bCs/>
        </w:rPr>
        <w:t>a</w:t>
      </w:r>
      <w:r>
        <w:rPr>
          <w:bCs/>
        </w:rPr>
        <w:t>fic, indicó que se realizaba en forma mecánica por percusión sobre cuños alfanuméricos.</w:t>
      </w:r>
    </w:p>
    <w:p w:rsidR="00224567" w:rsidRDefault="00224567">
      <w:pPr>
        <w:widowControl w:val="0"/>
      </w:pPr>
      <w:r>
        <w:tab/>
      </w:r>
      <w:r>
        <w:rPr>
          <w:b/>
          <w:bCs/>
        </w:rPr>
        <w:t>C.3)</w:t>
      </w:r>
      <w:r>
        <w:t xml:space="preserve"> Sin perjuicio de que las declar</w:t>
      </w:r>
      <w:r>
        <w:t>a</w:t>
      </w:r>
      <w:r>
        <w:t>ciones de los imputados de autos fueron volc</w:t>
      </w:r>
      <w:r>
        <w:t>a</w:t>
      </w:r>
      <w:r>
        <w:t xml:space="preserve">das </w:t>
      </w:r>
      <w:r>
        <w:rPr>
          <w:u w:val="single"/>
        </w:rPr>
        <w:t>ut supra</w:t>
      </w:r>
      <w:r>
        <w:t>, a continuación se reseñarán las partes pertinentes, acot</w:t>
      </w:r>
      <w:r>
        <w:t>a</w:t>
      </w:r>
      <w:r>
        <w:t>das a los hechos aquí tratados.</w:t>
      </w:r>
    </w:p>
    <w:p w:rsidR="00224567" w:rsidRDefault="00224567">
      <w:pPr>
        <w:widowControl w:val="0"/>
      </w:pPr>
      <w:r>
        <w:tab/>
        <w:t>Al respecto, en todo momento a lo la</w:t>
      </w:r>
      <w:r>
        <w:t>r</w:t>
      </w:r>
      <w:r>
        <w:t xml:space="preserve">go del proceso Carlos Alberto Telleldín sostuvo que en el taller de Nitzcaner se colocó el motor de </w:t>
      </w:r>
      <w:smartTag w:uri="urn:schemas-microsoft-com:office:smarttags" w:element="PersonName">
        <w:smartTagPr>
          <w:attr w:name="ProductID" w:val="la Trafic"/>
        </w:smartTagPr>
        <w:r>
          <w:t>la Trafic</w:t>
        </w:r>
      </w:smartTag>
      <w:r>
        <w:t xml:space="preserve"> de “Messin” en la camioneta de Sarapura. Destacó que para ello “encargó” una carrocería a César Fernández, cons</w:t>
      </w:r>
      <w:r>
        <w:t>i</w:t>
      </w:r>
      <w:r>
        <w:t xml:space="preserve">guiéndole una sin puerta lateral, a la que le colocó el motor de </w:t>
      </w:r>
      <w:smartTag w:uri="urn:schemas-microsoft-com:office:smarttags" w:element="PersonName">
        <w:smartTagPr>
          <w:attr w:name="ProductID" w:val="la Trafic"/>
        </w:smartTagPr>
        <w:r>
          <w:t>la Trafic</w:t>
        </w:r>
      </w:smartTag>
      <w:r>
        <w:t xml:space="preserve"> de “Messin”. Reconoció el motor fot</w:t>
      </w:r>
      <w:r>
        <w:t>o</w:t>
      </w:r>
      <w:r>
        <w:t>grafiado a fs. 239 como el extraído por Cotoras y entreg</w:t>
      </w:r>
      <w:r>
        <w:t>a</w:t>
      </w:r>
      <w:r>
        <w:t>do a Nitzc</w:t>
      </w:r>
      <w:r>
        <w:t>a</w:t>
      </w:r>
      <w:r>
        <w:t>ner.</w:t>
      </w:r>
    </w:p>
    <w:p w:rsidR="00224567" w:rsidRDefault="00224567">
      <w:pPr>
        <w:widowControl w:val="0"/>
      </w:pPr>
      <w:r>
        <w:tab/>
        <w:t>Si bien no recordó si se ocupó pers</w:t>
      </w:r>
      <w:r>
        <w:t>o</w:t>
      </w:r>
      <w:r>
        <w:t>nalmente de procurar chapas patentes con la numer</w:t>
      </w:r>
      <w:r>
        <w:t>a</w:t>
      </w:r>
      <w:r>
        <w:t>ción de la camioneta de “Messin” o delegó dicho cometido en Fe</w:t>
      </w:r>
      <w:r>
        <w:t>r</w:t>
      </w:r>
      <w:r>
        <w:t xml:space="preserve">nández, aseveró que al serle entregada </w:t>
      </w:r>
      <w:smartTag w:uri="urn:schemas-microsoft-com:office:smarttags" w:element="PersonName">
        <w:smartTagPr>
          <w:attr w:name="ProductID" w:val="la Trafic"/>
        </w:smartTagPr>
        <w:r>
          <w:t>la Trafic</w:t>
        </w:r>
      </w:smartTag>
      <w:r>
        <w:t xml:space="preserve"> pr</w:t>
      </w:r>
      <w:r>
        <w:t>o</w:t>
      </w:r>
      <w:r>
        <w:t>piedad de Sarapura tenía colocadas las de aquélla. Al respecto, manifestó que Fernández dejó la camioneta de Sarapura e</w:t>
      </w:r>
      <w:r>
        <w:t>s</w:t>
      </w:r>
      <w:r>
        <w:t>tacionada a la vuelta de su casa, sobre la calle Alvear, frente a una fiambrería, donde permaneció un día; al i</w:t>
      </w:r>
      <w:r>
        <w:t>n</w:t>
      </w:r>
      <w:r>
        <w:t>tentar arrancarla, advirtió que no funci</w:t>
      </w:r>
      <w:r>
        <w:t>o</w:t>
      </w:r>
      <w:r>
        <w:t>naba.</w:t>
      </w:r>
    </w:p>
    <w:p w:rsidR="00224567" w:rsidRDefault="00224567">
      <w:pPr>
        <w:widowControl w:val="0"/>
      </w:pPr>
      <w:r>
        <w:tab/>
        <w:t>En consecuencia, relató, Miguel Ja</w:t>
      </w:r>
      <w:r>
        <w:t>i</w:t>
      </w:r>
      <w:r>
        <w:t>mes remolcó el utilitario con su automóvil Sierra hasta el t</w:t>
      </w:r>
      <w:r>
        <w:t>a</w:t>
      </w:r>
      <w:r>
        <w:t>ller de Nitzcaner. Asimismo, aclaró que si bien en alguna de sus declaraciones refirió que Jaimes consiguió la c</w:t>
      </w:r>
      <w:r>
        <w:t>a</w:t>
      </w:r>
      <w:r>
        <w:t>mioneta, quiso significar que venía del lado de éste, pero que quien la robó fue César Fernández. Añadió que ambos eran amigos y trabajaban juntos vendiendo automóv</w:t>
      </w:r>
      <w:r>
        <w:t>i</w:t>
      </w:r>
      <w:r>
        <w:t>les.</w:t>
      </w:r>
    </w:p>
    <w:p w:rsidR="00224567" w:rsidRDefault="00224567">
      <w:pPr>
        <w:widowControl w:val="0"/>
      </w:pPr>
      <w:r>
        <w:tab/>
        <w:t xml:space="preserve">Por otra parte, Telleldín indicó que, junto con Hugo Pérez, llevó en el baúl del Ford Escort el motor de </w:t>
      </w:r>
      <w:smartTag w:uri="urn:schemas-microsoft-com:office:smarttags" w:element="PersonName">
        <w:smartTagPr>
          <w:attr w:name="ProductID" w:val="la Trafic"/>
        </w:smartTagPr>
        <w:r>
          <w:t>la Trafic</w:t>
        </w:r>
      </w:smartTag>
      <w:r>
        <w:t xml:space="preserve"> de “Messin” al taller de Nitzcaner, donde fue colocado en la carrocería de la sustraída. As</w:t>
      </w:r>
      <w:r>
        <w:t>i</w:t>
      </w:r>
      <w:r>
        <w:t>mismo, a ésta se le retiró un interior de madera y le efectuaron retoques de chapa y pintura, habiéndose co</w:t>
      </w:r>
      <w:r>
        <w:t>n</w:t>
      </w:r>
      <w:r>
        <w:t>cluido con el trabajo el viernes 8 de j</w:t>
      </w:r>
      <w:r>
        <w:t>u</w:t>
      </w:r>
      <w:r>
        <w:t>lio, día en que la retiró en compañía de su mujer y la dejó est</w:t>
      </w:r>
      <w:r>
        <w:t>a</w:t>
      </w:r>
      <w:r>
        <w:t>cionada en la calle, frente al domicilio de República 107. Aseguró que la camioneta que tuvo hasta el 10 de julio de 1994 car</w:t>
      </w:r>
      <w:r>
        <w:t>e</w:t>
      </w:r>
      <w:r>
        <w:t>cía de puerta lateral.</w:t>
      </w:r>
    </w:p>
    <w:p w:rsidR="00224567" w:rsidRDefault="00224567">
      <w:pPr>
        <w:widowControl w:val="0"/>
      </w:pPr>
      <w:r>
        <w:tab/>
        <w:t>También aseguró que en el taller de Nitzcaner, sin que éste supiera, grabó personalmente los números de la carrocería de “Messin” en la de Sar</w:t>
      </w:r>
      <w:r>
        <w:t>a</w:t>
      </w:r>
      <w:r>
        <w:t>pura con un lápiz óptico, tal como le enseñó Jaimes. Agregó que r</w:t>
      </w:r>
      <w:r>
        <w:t>e</w:t>
      </w:r>
      <w:r>
        <w:t>tiró del taller el bloque de motor de la camioneta de S</w:t>
      </w:r>
      <w:r>
        <w:t>a</w:t>
      </w:r>
      <w:r>
        <w:t>rapura y lo mandó a destruir a un desa</w:t>
      </w:r>
      <w:r>
        <w:t>r</w:t>
      </w:r>
      <w:r>
        <w:t>madero.</w:t>
      </w:r>
    </w:p>
    <w:p w:rsidR="00224567" w:rsidRDefault="00224567">
      <w:pPr>
        <w:widowControl w:val="0"/>
      </w:pPr>
      <w:r>
        <w:tab/>
        <w:t>A su turno, Miguel Gustavo Jaimes so</w:t>
      </w:r>
      <w:r>
        <w:t>s</w:t>
      </w:r>
      <w:r>
        <w:t>tuvo en su declaración de fs. 8148/8156 que para hacerle un favor a Telleldín, en una ocasión -según creía entre los meses de junio o julio- r</w:t>
      </w:r>
      <w:r>
        <w:t>e</w:t>
      </w:r>
      <w:r>
        <w:t>molcó con su automóvil Ford Sierra una camioneta Trafic, blanca, desde el d</w:t>
      </w:r>
      <w:r>
        <w:t>o</w:t>
      </w:r>
      <w:r>
        <w:t>micilio de aquél, hasta un taller ubicado en la zona de San Andrés, creyendo recordar que dicho traslado se llevó a cabo en un fin de semana, en horas de la mañana o del mediodía, pos</w:t>
      </w:r>
      <w:r>
        <w:t>i</w:t>
      </w:r>
      <w:r>
        <w:t>bl</w:t>
      </w:r>
      <w:r>
        <w:t>e</w:t>
      </w:r>
      <w:r>
        <w:t>mente un sábado.</w:t>
      </w:r>
    </w:p>
    <w:p w:rsidR="00224567" w:rsidRDefault="00224567">
      <w:pPr>
        <w:widowControl w:val="0"/>
      </w:pPr>
      <w:r>
        <w:tab/>
        <w:t>Por su parte, Ariel Rodolfo Nitzc</w:t>
      </w:r>
      <w:r>
        <w:t>a</w:t>
      </w:r>
      <w:r>
        <w:t>ner manifestó que alquilaba un taller mecánico denominado “P</w:t>
      </w:r>
      <w:r>
        <w:t>o</w:t>
      </w:r>
      <w:r>
        <w:t>le Position”, ubicado en la calle It</w:t>
      </w:r>
      <w:r>
        <w:t>u</w:t>
      </w:r>
      <w:r>
        <w:t>zaingó 2335 de Villa Maipú y que el sábado 2 de j</w:t>
      </w:r>
      <w:r>
        <w:t>u</w:t>
      </w:r>
      <w:r>
        <w:t>lio de 1994, entre las 13.00 y las 13.30, Telleldín le llevó una camioneta Renault Tr</w:t>
      </w:r>
      <w:r>
        <w:t>a</w:t>
      </w:r>
      <w:r>
        <w:t>fic blanca, sin puerta lateral, r</w:t>
      </w:r>
      <w:r>
        <w:t>e</w:t>
      </w:r>
      <w:r>
        <w:t>molcada por un automóvil Ford Sierra, color verde, propiedad de un amigo del no</w:t>
      </w:r>
      <w:r>
        <w:t>m</w:t>
      </w:r>
      <w:r>
        <w:t>brado llamado M</w:t>
      </w:r>
      <w:r>
        <w:t>i</w:t>
      </w:r>
      <w:r>
        <w:t>guel.</w:t>
      </w:r>
    </w:p>
    <w:p w:rsidR="00224567" w:rsidRDefault="00224567">
      <w:pPr>
        <w:widowControl w:val="0"/>
      </w:pPr>
      <w:r>
        <w:tab/>
        <w:t>Explicó que ese mismo sábado extrajo el motor del utilitario y en su reemplazo c</w:t>
      </w:r>
      <w:r>
        <w:t>o</w:t>
      </w:r>
      <w:r>
        <w:t>locó otro, que a eso de las 12.00 del lunes le ace</w:t>
      </w:r>
      <w:r>
        <w:t>r</w:t>
      </w:r>
      <w:r>
        <w:t>có Hugo Antonio Pérez, en el a</w:t>
      </w:r>
      <w:r>
        <w:t>u</w:t>
      </w:r>
      <w:r>
        <w:t>tomóvil Escort de Ana Boragni; el primer motor fue retirado el lunes a las 18.00 por Telle</w:t>
      </w:r>
      <w:r>
        <w:t>l</w:t>
      </w:r>
      <w:r>
        <w:t>dín y Boragni.</w:t>
      </w:r>
    </w:p>
    <w:p w:rsidR="00224567" w:rsidRDefault="00224567">
      <w:pPr>
        <w:widowControl w:val="0"/>
      </w:pPr>
      <w:r>
        <w:tab/>
        <w:t xml:space="preserve">Aseguró que el motor que instaló era de 1400 </w:t>
      </w:r>
      <w:r>
        <w:rPr>
          <w:bCs/>
        </w:rPr>
        <w:t>cm³</w:t>
      </w:r>
      <w:r>
        <w:t>, no tenía equipo de gas y se encontraba oxid</w:t>
      </w:r>
      <w:r>
        <w:t>a</w:t>
      </w:r>
      <w:r>
        <w:t>do, no quemado, como si hubiera estado a la inte</w:t>
      </w:r>
      <w:r>
        <w:t>m</w:t>
      </w:r>
      <w:r>
        <w:t xml:space="preserve">perie un tiempo. Negó que se tratara del correspondiente al motor de </w:t>
      </w:r>
      <w:smartTag w:uri="urn:schemas-microsoft-com:office:smarttags" w:element="PersonName">
        <w:smartTagPr>
          <w:attr w:name="ProductID" w:val="la Trafic"/>
        </w:smartTagPr>
        <w:r>
          <w:t>la Tr</w:t>
        </w:r>
        <w:r>
          <w:t>a</w:t>
        </w:r>
        <w:r>
          <w:t>fic</w:t>
        </w:r>
      </w:smartTag>
      <w:r>
        <w:t xml:space="preserve"> de “Messin”, ilustrado a fs. 239.</w:t>
      </w:r>
    </w:p>
    <w:p w:rsidR="00224567" w:rsidRDefault="00224567">
      <w:pPr>
        <w:widowControl w:val="0"/>
      </w:pPr>
      <w:r>
        <w:tab/>
        <w:t xml:space="preserve">Explicó que a </w:t>
      </w:r>
      <w:smartTag w:uri="urn:schemas-microsoft-com:office:smarttags" w:element="PersonName">
        <w:smartTagPr>
          <w:attr w:name="ProductID" w:val="la Trafic"/>
        </w:smartTagPr>
        <w:r>
          <w:t>la Trafic</w:t>
        </w:r>
      </w:smartTag>
      <w:r>
        <w:t xml:space="preserve"> se le quitó un revestimiento de madera interior y le re</w:t>
      </w:r>
      <w:r>
        <w:t>a</w:t>
      </w:r>
      <w:r>
        <w:t>lizaron trabajos de chapa y pintura, en especial en sus paneles laterales, donde daba la impresión de que se hubiera erradicado un logotipo. Reconoció la camioneta reparada en su taller c</w:t>
      </w:r>
      <w:r>
        <w:t>o</w:t>
      </w:r>
      <w:r>
        <w:t>mo la que luce la fotografía aportada por P</w:t>
      </w:r>
      <w:r>
        <w:t>e</w:t>
      </w:r>
      <w:r>
        <w:t>dro Sarapura.</w:t>
      </w:r>
    </w:p>
    <w:p w:rsidR="00224567" w:rsidRDefault="00224567">
      <w:pPr>
        <w:widowControl w:val="0"/>
      </w:pPr>
      <w:r>
        <w:tab/>
        <w:t>El viernes 8 de julio, indicó Nit</w:t>
      </w:r>
      <w:r>
        <w:t>z</w:t>
      </w:r>
      <w:r>
        <w:t>caner, entregó la camioneta arreglada a Telleldín, quien se hallaba acompañado por su esposa; sin embargo, en otro tramo de su exposición aseveró que ese día, en horas de la mañana, los nombrados se presentaron y, toda vez que la labor no se hallaba finalizada, le recriminaron su incu</w:t>
      </w:r>
      <w:r>
        <w:t>m</w:t>
      </w:r>
      <w:r>
        <w:t>plimiento. También mencionó que concurrieron a las 20.00 y, luego de probarla, le solicit</w:t>
      </w:r>
      <w:r>
        <w:t>a</w:t>
      </w:r>
      <w:r>
        <w:t>ron dejarla en el taller hasta el día siguiente, toda vez que no tenían dónde gua</w:t>
      </w:r>
      <w:r>
        <w:t>r</w:t>
      </w:r>
      <w:r>
        <w:t>darla, retirándola finalmente Boragni el sábado 9 de j</w:t>
      </w:r>
      <w:r>
        <w:t>u</w:t>
      </w:r>
      <w:r>
        <w:t>lio, a las 11.00.</w:t>
      </w:r>
    </w:p>
    <w:p w:rsidR="00224567" w:rsidRDefault="00224567">
      <w:pPr>
        <w:widowControl w:val="0"/>
      </w:pPr>
      <w:r>
        <w:tab/>
        <w:t>Asimismo, apuntó que, según coment</w:t>
      </w:r>
      <w:r>
        <w:t>a</w:t>
      </w:r>
      <w:r>
        <w:t>rios de Telleldín, el vehículo estaba publicado para la venta el sábado 9 y domi</w:t>
      </w:r>
      <w:r>
        <w:t>n</w:t>
      </w:r>
      <w:r>
        <w:t>go 10 de julio.</w:t>
      </w:r>
    </w:p>
    <w:p w:rsidR="00224567" w:rsidRDefault="00224567">
      <w:pPr>
        <w:widowControl w:val="0"/>
      </w:pPr>
      <w:r>
        <w:tab/>
        <w:t>Por último, el acusado Hugo Antonio Pérez, al ser careado con Nitzcaner, expresó que a p</w:t>
      </w:r>
      <w:r>
        <w:t>e</w:t>
      </w:r>
      <w:r>
        <w:t>dido de Carlos Telleldín transportó un motor de Trafic, quem</w:t>
      </w:r>
      <w:r>
        <w:t>a</w:t>
      </w:r>
      <w:r>
        <w:t>do, al taller de aquél, para lo cual utilizó el vehículo Escort de Telleldín. A ello agregó que vio una camioneta estacionada en la puerta del domicilio del no</w:t>
      </w:r>
      <w:r>
        <w:t>m</w:t>
      </w:r>
      <w:r>
        <w:t>brado, quien le comentó que estaba a la venta; en esa ocasión notó que estaba reparada, aunque la pintura se encontraba un poco de</w:t>
      </w:r>
      <w:r>
        <w:t>s</w:t>
      </w:r>
      <w:r>
        <w:t>prolija.</w:t>
      </w:r>
    </w:p>
    <w:p w:rsidR="00224567" w:rsidRDefault="00224567">
      <w:pPr>
        <w:widowControl w:val="0"/>
      </w:pPr>
      <w:r>
        <w:tab/>
      </w:r>
      <w:r>
        <w:rPr>
          <w:b/>
          <w:bCs/>
        </w:rPr>
        <w:t>C.4)</w:t>
      </w:r>
      <w:r>
        <w:t xml:space="preserve"> La defensa de Carlos Alberto T</w:t>
      </w:r>
      <w:r>
        <w:t>e</w:t>
      </w:r>
      <w:r>
        <w:t>lleldín, al igual que este último, sostuvo que en el t</w:t>
      </w:r>
      <w:r>
        <w:t>a</w:t>
      </w:r>
      <w:r>
        <w:t xml:space="preserve">ller de Nitzcaner se colocó el motor de </w:t>
      </w:r>
      <w:smartTag w:uri="urn:schemas-microsoft-com:office:smarttags" w:element="PersonName">
        <w:smartTagPr>
          <w:attr w:name="ProductID" w:val="la Trafic"/>
        </w:smartTagPr>
        <w:r>
          <w:t>la Trafic</w:t>
        </w:r>
      </w:smartTag>
      <w:r>
        <w:t xml:space="preserve"> de  “Messin” en la carrocería de la camioneta de Sarapura.</w:t>
      </w:r>
    </w:p>
    <w:p w:rsidR="00224567" w:rsidRDefault="00224567">
      <w:pPr>
        <w:widowControl w:val="0"/>
      </w:pPr>
      <w:r>
        <w:tab/>
        <w:t>A tales efectos, argumentó que Nit</w:t>
      </w:r>
      <w:r>
        <w:t>z</w:t>
      </w:r>
      <w:r>
        <w:t>caner mintió, o cuanto menos se equivocó, al decl</w:t>
      </w:r>
      <w:r>
        <w:t>a</w:t>
      </w:r>
      <w:r>
        <w:t xml:space="preserve">rar que el motor que recibió no se correspondía con el de </w:t>
      </w:r>
      <w:smartTag w:uri="urn:schemas-microsoft-com:office:smarttags" w:element="PersonName">
        <w:smartTagPr>
          <w:attr w:name="ProductID" w:val="la Trafic"/>
        </w:smartTagPr>
        <w:r>
          <w:t>la Tr</w:t>
        </w:r>
        <w:r>
          <w:t>a</w:t>
        </w:r>
        <w:r>
          <w:t>fic</w:t>
        </w:r>
      </w:smartTag>
      <w:r>
        <w:t xml:space="preserve"> de “Messin”. Sustentó su postura en que si bien el nombr</w:t>
      </w:r>
      <w:r>
        <w:t>a</w:t>
      </w:r>
      <w:r>
        <w:t>do negó que el motor de “Messin”, cuya fotografía se le exhibió,  fuera el que colocó en la carrocería de Sar</w:t>
      </w:r>
      <w:r>
        <w:t>a</w:t>
      </w:r>
      <w:r>
        <w:t>pura,  las  piezas  que,  según  señaló,  estaban  quem</w:t>
      </w:r>
      <w:r>
        <w:t>a</w:t>
      </w:r>
      <w:r>
        <w:t>das  -carburador, múltiple de admisión, tapa de válvula y equ</w:t>
      </w:r>
      <w:r>
        <w:t>i</w:t>
      </w:r>
      <w:r>
        <w:t>po de gas- nunca llegaron a su taller.</w:t>
      </w:r>
    </w:p>
    <w:p w:rsidR="00224567" w:rsidRDefault="00224567">
      <w:pPr>
        <w:widowControl w:val="0"/>
      </w:pPr>
      <w:r>
        <w:tab/>
        <w:t>Además, apuntó que ese motor fue som</w:t>
      </w:r>
      <w:r>
        <w:t>e</w:t>
      </w:r>
      <w:r>
        <w:t>tido a la acción de un matafuegos, razón por la cual, e</w:t>
      </w:r>
      <w:r>
        <w:t>n</w:t>
      </w:r>
      <w:r>
        <w:t>tre el incendio y la llegada al taller de Nitzcaner se g</w:t>
      </w:r>
      <w:r>
        <w:t>e</w:t>
      </w:r>
      <w:r>
        <w:t>neraron signos de oxidación, similares a los efectos pr</w:t>
      </w:r>
      <w:r>
        <w:t>o</w:t>
      </w:r>
      <w:r>
        <w:t>vocados por la intemperie. Al respecto, trajo a colación los dichos del perito Macchi, según el cual los motores de fundición se oxidan más rápidamente que los de aluminio. De ello coligió que no resultaba co</w:t>
      </w:r>
      <w:r>
        <w:t>m</w:t>
      </w:r>
      <w:r>
        <w:t>parable el estado que presentaba el motor enseguida de producido el siniestro con el que tenía al arribar al taller de Nitzcaner.</w:t>
      </w:r>
    </w:p>
    <w:p w:rsidR="00224567" w:rsidRDefault="00224567">
      <w:pPr>
        <w:widowControl w:val="0"/>
      </w:pPr>
      <w:r>
        <w:tab/>
        <w:t>En definitiva, entendió que la oxid</w:t>
      </w:r>
      <w:r>
        <w:t>a</w:t>
      </w:r>
      <w:r>
        <w:t>ción del motor se debió a la acción del mat</w:t>
      </w:r>
      <w:r>
        <w:t>a</w:t>
      </w:r>
      <w:r>
        <w:t xml:space="preserve">fuegos y a que estuvo a la intemperie, ya que por el estado del capó de </w:t>
      </w:r>
      <w:smartTag w:uri="urn:schemas-microsoft-com:office:smarttags" w:element="PersonName">
        <w:smartTagPr>
          <w:attr w:name="ProductID" w:val="la Trafic"/>
        </w:smartTagPr>
        <w:r>
          <w:t>la Trafic</w:t>
        </w:r>
      </w:smartTag>
      <w:r>
        <w:t xml:space="preserve"> quedaba expuesto.</w:t>
      </w:r>
    </w:p>
    <w:p w:rsidR="00224567" w:rsidRDefault="00224567">
      <w:pPr>
        <w:widowControl w:val="0"/>
      </w:pPr>
      <w:r>
        <w:tab/>
        <w:t>Por otra parte, señaló que no existe diferencia entre el motor a gas y el naftero, por cuanto la modificación consiste en una conexión que sale del ca</w:t>
      </w:r>
      <w:r>
        <w:t>r</w:t>
      </w:r>
      <w:r>
        <w:t>burador, elemento éste que no llegó al taller de Nit</w:t>
      </w:r>
      <w:r>
        <w:t>z</w:t>
      </w:r>
      <w:r>
        <w:t>caner, por lo que mal puede afirmar si poseía o no el a</w:t>
      </w:r>
      <w:r>
        <w:t>c</w:t>
      </w:r>
      <w:r>
        <w:t>cesorio que permitía el paso del gas.</w:t>
      </w:r>
    </w:p>
    <w:p w:rsidR="00224567" w:rsidRDefault="00224567">
      <w:pPr>
        <w:widowControl w:val="0"/>
      </w:pPr>
      <w:r>
        <w:tab/>
      </w:r>
      <w:r>
        <w:rPr>
          <w:b/>
          <w:bCs/>
        </w:rPr>
        <w:t>C.5)</w:t>
      </w:r>
      <w:r>
        <w:t xml:space="preserve"> Con las declaraciones y demás constancias reseñadas quedó acreditado que el sábado 2 de julio de 1994 la camioneta Trafic que le fuera sustraída en la vía pública a Pedro Alejandro Sarapura ingresó al taller mecánico de Nitzcaner, llevada por Jaimes por ind</w:t>
      </w:r>
      <w:r>
        <w:t>i</w:t>
      </w:r>
      <w:r>
        <w:t>cación de Telleldín. Acerca del arribo al taller fueron coincidentes los imputados Telleldín, Jaimes, Nitzcaner y los empleados del último, a la vez que S</w:t>
      </w:r>
      <w:r>
        <w:t>a</w:t>
      </w:r>
      <w:r>
        <w:t>rapura reconoció algunos de los elementos allí incautados como pertenecie</w:t>
      </w:r>
      <w:r>
        <w:t>n</w:t>
      </w:r>
      <w:r>
        <w:t>tes a su vehículo.</w:t>
      </w:r>
    </w:p>
    <w:p w:rsidR="00224567" w:rsidRDefault="00224567">
      <w:pPr>
        <w:widowControl w:val="0"/>
      </w:pPr>
      <w:r>
        <w:tab/>
        <w:t>En cuanto a la fecha de sustracción del rodado, se debe resaltar que si bien en un primer m</w:t>
      </w:r>
      <w:r>
        <w:t>o</w:t>
      </w:r>
      <w:r>
        <w:t>mento su propietario indicó que acaeció e</w:t>
      </w:r>
      <w:r>
        <w:t>n</w:t>
      </w:r>
      <w:r>
        <w:t>tre el 2 y el 5 de julio, luego admitió que lo hizo en el convencimiento de que la cuota del seguro no estaba paga, siendo que en realidad el hecho se produjo entre la noche del 1º y las 15.00, aproximadamente, del 2 de julio. Así, existe coi</w:t>
      </w:r>
      <w:r>
        <w:t>n</w:t>
      </w:r>
      <w:r>
        <w:t>cidencia entre el momento de la sustracción y el ingreso del utilitario al taller.</w:t>
      </w:r>
    </w:p>
    <w:p w:rsidR="00224567" w:rsidRDefault="00224567">
      <w:pPr>
        <w:widowControl w:val="0"/>
      </w:pPr>
      <w:r>
        <w:tab/>
        <w:t>Por otra parte, se probó que una vez en el taller de Nitzcaner, llevada por Jaimes, a la cami</w:t>
      </w:r>
      <w:r>
        <w:t>o</w:t>
      </w:r>
      <w:r>
        <w:t>neta de Sarapura se le extrajo el motor, que se r</w:t>
      </w:r>
      <w:r>
        <w:t>e</w:t>
      </w:r>
      <w:r>
        <w:t>emplazó por otro que no se pudo determinar, se le efectuaron ret</w:t>
      </w:r>
      <w:r>
        <w:t>o</w:t>
      </w:r>
      <w:r>
        <w:t>ques de chapa y pintura y se le retiró un interior de m</w:t>
      </w:r>
      <w:r>
        <w:t>a</w:t>
      </w:r>
      <w:r>
        <w:t>dera.</w:t>
      </w:r>
    </w:p>
    <w:p w:rsidR="00224567" w:rsidRDefault="00224567">
      <w:pPr>
        <w:widowControl w:val="0"/>
      </w:pPr>
      <w:r>
        <w:tab/>
        <w:t>Telleldín en un principio imputó a M</w:t>
      </w:r>
      <w:r>
        <w:t>i</w:t>
      </w:r>
      <w:r>
        <w:t>guel Jaimes haber regrabado la carrocería de ese v</w:t>
      </w:r>
      <w:r>
        <w:t>e</w:t>
      </w:r>
      <w:r>
        <w:t>hículo, luego dijo que él realizó esa tarea. No obsta</w:t>
      </w:r>
      <w:r>
        <w:t>n</w:t>
      </w:r>
      <w:r>
        <w:t>te, no obran en autos elementos probatorios que permitan considerar acreditado ese hecho y, por ende, menos aún, la respons</w:t>
      </w:r>
      <w:r>
        <w:t>a</w:t>
      </w:r>
      <w:r>
        <w:t>bilidad de uno u otro.</w:t>
      </w:r>
    </w:p>
    <w:p w:rsidR="00224567" w:rsidRDefault="00224567">
      <w:pPr>
        <w:widowControl w:val="0"/>
        <w:rPr>
          <w:iCs/>
        </w:rPr>
      </w:pPr>
      <w:r>
        <w:tab/>
        <w:t>Ello, por cuanto no fue hallada la c</w:t>
      </w:r>
      <w:r>
        <w:t>a</w:t>
      </w:r>
      <w:r>
        <w:t>rrocería de mención, ningún testigo declaró en ese sent</w:t>
      </w:r>
      <w:r>
        <w:t>i</w:t>
      </w:r>
      <w:r>
        <w:t xml:space="preserve">do, ni se encontraron herramientas para llevar a cabo la labor (cfr. las actas de allanamiento obrantes a </w:t>
      </w:r>
      <w:r>
        <w:rPr>
          <w:iCs/>
        </w:rPr>
        <w:t>fs. 417/418, 6952/6956 y 8104/8106, practicados sobre las fi</w:t>
      </w:r>
      <w:r>
        <w:rPr>
          <w:iCs/>
        </w:rPr>
        <w:t>n</w:t>
      </w:r>
      <w:r>
        <w:rPr>
          <w:iCs/>
        </w:rPr>
        <w:t>cas sitas en República 107 de Villa Ballester, Roosevelt 2462, piso 3º, departamento “A” de esta ciudad y Actis 1885 de Haedo, re</w:t>
      </w:r>
      <w:r>
        <w:rPr>
          <w:iCs/>
        </w:rPr>
        <w:t>s</w:t>
      </w:r>
      <w:r>
        <w:rPr>
          <w:iCs/>
        </w:rPr>
        <w:t>pectivamente; ello, sin perjuicio de la nulidad decretada sobre el primero). Tampoco arrojaron r</w:t>
      </w:r>
      <w:r>
        <w:rPr>
          <w:iCs/>
        </w:rPr>
        <w:t>e</w:t>
      </w:r>
      <w:r>
        <w:rPr>
          <w:iCs/>
        </w:rPr>
        <w:t>sultado alguno los procedimientos efectuados en los tall</w:t>
      </w:r>
      <w:r>
        <w:rPr>
          <w:iCs/>
        </w:rPr>
        <w:t>e</w:t>
      </w:r>
      <w:r>
        <w:rPr>
          <w:iCs/>
        </w:rPr>
        <w:t>res con los que operaba Telleldín (</w:t>
      </w:r>
      <w:r>
        <w:t>cónf.</w:t>
      </w:r>
      <w:r>
        <w:rPr>
          <w:iCs/>
        </w:rPr>
        <w:t xml:space="preserve"> fs. </w:t>
      </w:r>
      <w:r>
        <w:t>379, 409vta./410 y 10.561/10.562</w:t>
      </w:r>
      <w:r>
        <w:rPr>
          <w:iCs/>
        </w:rPr>
        <w:t>).</w:t>
      </w:r>
    </w:p>
    <w:p w:rsidR="00224567" w:rsidRDefault="00224567">
      <w:pPr>
        <w:widowControl w:val="0"/>
        <w:rPr>
          <w:bCs/>
        </w:rPr>
      </w:pPr>
      <w:r>
        <w:rPr>
          <w:iCs/>
        </w:rPr>
        <w:tab/>
        <w:t>A ello se aduna que la modalidad de grabado de carrocerías alegada por Telleldín, m</w:t>
      </w:r>
      <w:r>
        <w:rPr>
          <w:iCs/>
        </w:rPr>
        <w:t>e</w:t>
      </w:r>
      <w:r>
        <w:rPr>
          <w:iCs/>
        </w:rPr>
        <w:t xml:space="preserve">diante un lápiz óptico, fue negada por la empresa “C.I.A.D.E.A.” en su informe glosado a fs. </w:t>
      </w:r>
      <w:r>
        <w:rPr>
          <w:bCs/>
        </w:rPr>
        <w:t>27.526/27.528, como así también por los técnicos Fernando Carlos Cingolani, Daniel A</w:t>
      </w:r>
      <w:r>
        <w:rPr>
          <w:bCs/>
        </w:rPr>
        <w:t>u</w:t>
      </w:r>
      <w:r>
        <w:rPr>
          <w:bCs/>
        </w:rPr>
        <w:t>relio Galetto y Jorge Oscar Mamone, quienes coincidieron en s</w:t>
      </w:r>
      <w:r>
        <w:rPr>
          <w:bCs/>
        </w:rPr>
        <w:t>e</w:t>
      </w:r>
      <w:r>
        <w:rPr>
          <w:bCs/>
        </w:rPr>
        <w:t>ñalar que “Renault Argentina” nunca empleó tal elemento para el estampado de la numeración en las carrocer</w:t>
      </w:r>
      <w:r>
        <w:rPr>
          <w:bCs/>
        </w:rPr>
        <w:t>í</w:t>
      </w:r>
      <w:r>
        <w:rPr>
          <w:bCs/>
        </w:rPr>
        <w:t>as.</w:t>
      </w:r>
    </w:p>
    <w:p w:rsidR="00224567" w:rsidRDefault="00224567">
      <w:pPr>
        <w:widowControl w:val="0"/>
      </w:pPr>
      <w:r>
        <w:rPr>
          <w:bCs/>
        </w:rPr>
        <w:tab/>
        <w:t>Si bien todas las probanzas permiten afirmar que la camioneta de Sarapura fue llevada por ind</w:t>
      </w:r>
      <w:r>
        <w:rPr>
          <w:bCs/>
        </w:rPr>
        <w:t>i</w:t>
      </w:r>
      <w:r>
        <w:rPr>
          <w:bCs/>
        </w:rPr>
        <w:t xml:space="preserve">cación de Telleldín al taller de Nitzcaner,  no existe  coincidencia entre ambos en orden a qué motor </w:t>
      </w:r>
      <w:r>
        <w:t>se colocó en aquel vehículo.</w:t>
      </w:r>
    </w:p>
    <w:p w:rsidR="00224567" w:rsidRDefault="00224567">
      <w:pPr>
        <w:widowControl w:val="0"/>
      </w:pPr>
      <w:r>
        <w:tab/>
        <w:t xml:space="preserve">Mientras el primero aseguró que se trataba del motor sacado de </w:t>
      </w:r>
      <w:smartTag w:uri="urn:schemas-microsoft-com:office:smarttags" w:element="PersonName">
        <w:smartTagPr>
          <w:attr w:name="ProductID" w:val="la Trafic"/>
        </w:smartTagPr>
        <w:r>
          <w:t>la Trafic</w:t>
        </w:r>
      </w:smartTag>
      <w:r>
        <w:t xml:space="preserve"> de “Messin” ince</w:t>
      </w:r>
      <w:r>
        <w:t>n</w:t>
      </w:r>
      <w:r>
        <w:t>diada, respaldado por los dichos de Pérez y Boragni, Nit</w:t>
      </w:r>
      <w:r>
        <w:t>z</w:t>
      </w:r>
      <w:r>
        <w:t>caner sostuvo que el motor que instaló no estaba quemado, tan sólo oxidado, como si hubiera estado a la intemperie, negando que fuera el de “Messin”, fotogr</w:t>
      </w:r>
      <w:r>
        <w:t>a</w:t>
      </w:r>
      <w:r>
        <w:t>fiado a fs. 239.</w:t>
      </w:r>
    </w:p>
    <w:p w:rsidR="00224567" w:rsidRDefault="00224567">
      <w:pPr>
        <w:widowControl w:val="0"/>
      </w:pPr>
      <w:r>
        <w:tab/>
        <w:t>Nitzcaner, además, precisó que el m</w:t>
      </w:r>
      <w:r>
        <w:t>o</w:t>
      </w:r>
      <w:r>
        <w:t>tor que colocó carecía de equipo de gas, contr</w:t>
      </w:r>
      <w:r>
        <w:t>a</w:t>
      </w:r>
      <w:r>
        <w:t>riamente al de “Messin”, que sí lo tenía. Jouce fue conteste con Nit</w:t>
      </w:r>
      <w:r>
        <w:t>z</w:t>
      </w:r>
      <w:r>
        <w:t>caner al indicar que el motor era naftero, sin presentar rastros de incendio, ni partes derretidas, a lo que cabe agregar que en el taller “Pole Position” no se secuestr</w:t>
      </w:r>
      <w:r>
        <w:t>a</w:t>
      </w:r>
      <w:r>
        <w:t>ron elementos indicativos del paso del motor de “Messin” por el lugar.</w:t>
      </w:r>
    </w:p>
    <w:p w:rsidR="00224567" w:rsidRDefault="00224567">
      <w:pPr>
        <w:widowControl w:val="0"/>
      </w:pPr>
      <w:r>
        <w:tab/>
        <w:t>Asimismo, los dichos del perito mec</w:t>
      </w:r>
      <w:r>
        <w:t>á</w:t>
      </w:r>
      <w:r>
        <w:t>nico Ricardo López, más arriba enunciados, autorizan a sostener que la versión ofrecida por Nitzcaner no fue pr</w:t>
      </w:r>
      <w:r>
        <w:t>o</w:t>
      </w:r>
      <w:r>
        <w:t>ducto de un mero error conceptual. En efecto, aquél expl</w:t>
      </w:r>
      <w:r>
        <w:t>i</w:t>
      </w:r>
      <w:r>
        <w:t>có que la apariencia exterior de un motor de fu</w:t>
      </w:r>
      <w:r>
        <w:t>n</w:t>
      </w:r>
      <w:r>
        <w:t>dición de hierro oxidado difería según ese efecto lo hubiera prov</w:t>
      </w:r>
      <w:r>
        <w:t>o</w:t>
      </w:r>
      <w:r>
        <w:t>cado un incendio o por haber estado a la intemperie y que esa circunstancia podía ser advertida por cualquier mec</w:t>
      </w:r>
      <w:r>
        <w:t>á</w:t>
      </w:r>
      <w:r>
        <w:t xml:space="preserve">nico. Y aún en el caso de haber sido bañado en un </w:t>
      </w:r>
      <w:r>
        <w:rPr>
          <w:bCs/>
        </w:rPr>
        <w:t>el</w:t>
      </w:r>
      <w:r>
        <w:rPr>
          <w:bCs/>
        </w:rPr>
        <w:t>e</w:t>
      </w:r>
      <w:r>
        <w:rPr>
          <w:bCs/>
        </w:rPr>
        <w:t>mento cáustico, lo que desaparecería sería el óxido, e</w:t>
      </w:r>
      <w:r>
        <w:rPr>
          <w:bCs/>
        </w:rPr>
        <w:t>x</w:t>
      </w:r>
      <w:r>
        <w:rPr>
          <w:bCs/>
        </w:rPr>
        <w:t>tremo que el imputado no niega, sino que adjudica a una causal di</w:t>
      </w:r>
      <w:r>
        <w:rPr>
          <w:bCs/>
        </w:rPr>
        <w:t>s</w:t>
      </w:r>
      <w:r>
        <w:rPr>
          <w:bCs/>
        </w:rPr>
        <w:t>tinta –intemperie- a la invocada por Telleldín –incendio-.</w:t>
      </w:r>
    </w:p>
    <w:p w:rsidR="00224567" w:rsidRDefault="00224567">
      <w:pPr>
        <w:widowControl w:val="0"/>
      </w:pPr>
      <w:r>
        <w:tab/>
        <w:t>Tampoco coincidieron Telleldín y Nit</w:t>
      </w:r>
      <w:r>
        <w:t>z</w:t>
      </w:r>
      <w:r>
        <w:t>caner en cuanto a la fecha en que el primero le hizo ll</w:t>
      </w:r>
      <w:r>
        <w:t>e</w:t>
      </w:r>
      <w:r>
        <w:t xml:space="preserve">gar el motor que debía colocar en </w:t>
      </w:r>
      <w:smartTag w:uri="urn:schemas-microsoft-com:office:smarttags" w:element="PersonName">
        <w:smartTagPr>
          <w:attr w:name="ProductID" w:val="la Trafic."/>
        </w:smartTagPr>
        <w:r>
          <w:t>la Trafic.</w:t>
        </w:r>
      </w:smartTag>
    </w:p>
    <w:p w:rsidR="00224567" w:rsidRDefault="00224567">
      <w:pPr>
        <w:widowControl w:val="0"/>
      </w:pPr>
      <w:r>
        <w:tab/>
        <w:t>Al respecto, Nitzcaner afirmó que fue el lunes al mediodía; extremo con el que concordó Jouce, quien indicó que el motor arribó al taller pasados dos días de recibida la carrocería, según creía, un l</w:t>
      </w:r>
      <w:r>
        <w:t>u</w:t>
      </w:r>
      <w:r>
        <w:t>nes.</w:t>
      </w:r>
    </w:p>
    <w:p w:rsidR="00224567" w:rsidRDefault="00224567">
      <w:pPr>
        <w:widowControl w:val="0"/>
      </w:pPr>
      <w:r>
        <w:tab/>
        <w:t>Telleldín, en cambio, aseguró que P</w:t>
      </w:r>
      <w:r>
        <w:t>é</w:t>
      </w:r>
      <w:r>
        <w:t>rez llevó el motor al taller de Nitzcaner al día s</w:t>
      </w:r>
      <w:r>
        <w:t>i</w:t>
      </w:r>
      <w:r>
        <w:t>guiente que lo sacaron de la camioneta de “Messin”, lo que, s</w:t>
      </w:r>
      <w:r>
        <w:t>e</w:t>
      </w:r>
      <w:r>
        <w:t>gún creía, sucedió el 4 de julio de 1994.</w:t>
      </w:r>
    </w:p>
    <w:p w:rsidR="00224567" w:rsidRDefault="00224567">
      <w:pPr>
        <w:widowControl w:val="0"/>
      </w:pPr>
      <w:r>
        <w:tab/>
        <w:t>Sentado ello, y toda vez que el 4 de julio de 1994 fue lunes, la discordancia entre uno y otro deviene patente, en razón que si la extracción del motor de la camioneta de “Messin”, según Telleldín, se efectuó ese lunes en horas de la noche, tal extremo resulta inco</w:t>
      </w:r>
      <w:r>
        <w:t>n</w:t>
      </w:r>
      <w:r>
        <w:t>ciliable con la versión ofrecida por Nitzcaner, quien i</w:t>
      </w:r>
      <w:r>
        <w:t>n</w:t>
      </w:r>
      <w:r>
        <w:t>dicó que lo r</w:t>
      </w:r>
      <w:r>
        <w:t>e</w:t>
      </w:r>
      <w:r>
        <w:t>cibió ese día, pero en horas del mediodía.</w:t>
      </w:r>
    </w:p>
    <w:p w:rsidR="00224567" w:rsidRDefault="00224567">
      <w:pPr>
        <w:widowControl w:val="0"/>
      </w:pPr>
      <w:r>
        <w:tab/>
        <w:t>Las divergencias arriba señaladas i</w:t>
      </w:r>
      <w:r>
        <w:t>m</w:t>
      </w:r>
      <w:r>
        <w:t>piden arribar a una conclusión asertiva en orden a est</w:t>
      </w:r>
      <w:r>
        <w:t>a</w:t>
      </w:r>
      <w:r>
        <w:t>blecer qué motor llevó Telleldín a lo de Nitzcaner, como tampoco cuál se colocó en la camioneta sustraída a Sarap</w:t>
      </w:r>
      <w:r>
        <w:t>u</w:t>
      </w:r>
      <w:r>
        <w:t>ra, por cuanto no obra en autos ninguna otra probanza, a más de sus dichos, que respalde las versiones ofrecidas por Telleldín, Nitzcaner, Pérez, Jouce o B</w:t>
      </w:r>
      <w:r>
        <w:t>o</w:t>
      </w:r>
      <w:r>
        <w:t>ragni.</w:t>
      </w:r>
    </w:p>
    <w:p w:rsidR="00224567" w:rsidRDefault="00224567">
      <w:pPr>
        <w:widowControl w:val="0"/>
      </w:pPr>
      <w:r>
        <w:tab/>
        <w:t xml:space="preserve">En definitiva, la última constancia cierta acerca del itinerario seguido por el motor de </w:t>
      </w:r>
      <w:smartTag w:uri="urn:schemas-microsoft-com:office:smarttags" w:element="PersonName">
        <w:smartTagPr>
          <w:attr w:name="ProductID" w:val="la Trafic"/>
        </w:smartTagPr>
        <w:r>
          <w:t>la Trafic</w:t>
        </w:r>
      </w:smartTag>
      <w:r>
        <w:t xml:space="preserve"> de “Messin”, previo a su hallazgo entre los esco</w:t>
      </w:r>
      <w:r>
        <w:t>m</w:t>
      </w:r>
      <w:r>
        <w:t xml:space="preserve">bros de </w:t>
      </w:r>
      <w:smartTag w:uri="urn:schemas-microsoft-com:office:smarttags" w:element="PersonName">
        <w:smartTagPr>
          <w:attr w:name="ProductID" w:val="la A.M"/>
        </w:smartTagPr>
        <w:r>
          <w:t>la A.M</w:t>
        </w:r>
      </w:smartTag>
      <w:r>
        <w:t>.I.A., se ubica en el domicilio de Cot</w:t>
      </w:r>
      <w:r>
        <w:t>o</w:t>
      </w:r>
      <w:r>
        <w:t>ras, la noche del 4 de julio de 1994.</w:t>
      </w:r>
    </w:p>
    <w:p w:rsidR="00224567" w:rsidRDefault="00224567">
      <w:pPr>
        <w:widowControl w:val="0"/>
      </w:pPr>
    </w:p>
    <w:p w:rsidR="00224567" w:rsidRDefault="00224567">
      <w:pPr>
        <w:pStyle w:val="Ttulo3"/>
        <w:keepNext w:val="0"/>
        <w:widowControl w:val="0"/>
      </w:pPr>
      <w:bookmarkStart w:id="6" w:name="_Toc86053046"/>
      <w:r>
        <w:t xml:space="preserve">D) </w:t>
      </w:r>
      <w:smartTag w:uri="urn:schemas-microsoft-com:office:smarttags" w:element="PersonName">
        <w:smartTagPr>
          <w:attr w:name="ProductID" w:val="la Trafic"/>
        </w:smartTagPr>
        <w:r>
          <w:t>La Trafic</w:t>
        </w:r>
      </w:smartTag>
      <w:r>
        <w:t xml:space="preserve"> usada como cochebomba</w:t>
      </w:r>
      <w:bookmarkEnd w:id="6"/>
      <w:r>
        <w:t>.</w:t>
      </w:r>
    </w:p>
    <w:p w:rsidR="00224567" w:rsidRDefault="00224567">
      <w:pPr>
        <w:widowControl w:val="0"/>
      </w:pPr>
      <w:r>
        <w:tab/>
      </w:r>
      <w:r>
        <w:tab/>
      </w:r>
      <w:r>
        <w:rPr>
          <w:b/>
          <w:bCs/>
        </w:rPr>
        <w:t>D.1)</w:t>
      </w:r>
      <w:r>
        <w:t xml:space="preserve"> A juicio del Tribunal, la prueba colectada autoriza a concluir que el motor or</w:t>
      </w:r>
      <w:r>
        <w:t>i</w:t>
      </w:r>
      <w:r>
        <w:t>ginal de la camioneta de “Messin S.R.L.”, encontrado entre los esco</w:t>
      </w:r>
      <w:r>
        <w:t>m</w:t>
      </w:r>
      <w:r>
        <w:t xml:space="preserve">bros de </w:t>
      </w:r>
      <w:smartTag w:uri="urn:schemas-microsoft-com:office:smarttags" w:element="PersonName">
        <w:smartTagPr>
          <w:attr w:name="ProductID" w:val="la A.M"/>
        </w:smartTagPr>
        <w:r>
          <w:t>la A.M</w:t>
        </w:r>
      </w:smartTag>
      <w:r>
        <w:t>.I.A. fue colocado en una tercera carroc</w:t>
      </w:r>
      <w:r>
        <w:t>e</w:t>
      </w:r>
      <w:r>
        <w:t>ría, cuyo origen no fue posible determinar. De tal modo, quedan descartadas como portadoras del motor indicado la carrocería primigenia y la c</w:t>
      </w:r>
      <w:r>
        <w:t>o</w:t>
      </w:r>
      <w:r>
        <w:t>rrespondiente a la camioneta sustraída a Pedro Aleja</w:t>
      </w:r>
      <w:r>
        <w:t>n</w:t>
      </w:r>
      <w:r>
        <w:t>dro Sarapura.</w:t>
      </w:r>
    </w:p>
    <w:p w:rsidR="00224567" w:rsidRDefault="00224567">
      <w:pPr>
        <w:widowControl w:val="0"/>
      </w:pPr>
      <w:r>
        <w:tab/>
        <w:t>Se estableció que la carrocería util</w:t>
      </w:r>
      <w:r>
        <w:t>i</w:t>
      </w:r>
      <w:r>
        <w:t>zada en el atentado se trataba de una Renault Trafic, c</w:t>
      </w:r>
      <w:r>
        <w:t>o</w:t>
      </w:r>
      <w:r>
        <w:t>lor “blanco chapelco”, fabricada entre marzo de 1987 y o</w:t>
      </w:r>
      <w:r>
        <w:t>c</w:t>
      </w:r>
      <w:r>
        <w:t>tubre de 1989, sin poder precisarse el modelo. No obsta</w:t>
      </w:r>
      <w:r>
        <w:t>n</w:t>
      </w:r>
      <w:r>
        <w:t>te, fueron halladas en el l</w:t>
      </w:r>
      <w:r>
        <w:t>u</w:t>
      </w:r>
      <w:r>
        <w:t>gar del hecho piezas, también de Trafic, fabricadas en años posteri</w:t>
      </w:r>
      <w:r>
        <w:t>o</w:t>
      </w:r>
      <w:r>
        <w:t>res, lo que permite presumir que eran repuestos utilizados en reparaciones que se le hubieran hecho al utilitario.</w:t>
      </w:r>
    </w:p>
    <w:p w:rsidR="00224567" w:rsidRDefault="00224567">
      <w:pPr>
        <w:pStyle w:val="Sangradetextonormal"/>
        <w:widowControl w:val="0"/>
        <w:ind w:firstLine="0"/>
        <w:rPr>
          <w:spacing w:val="-3"/>
        </w:rPr>
      </w:pPr>
      <w:r>
        <w:tab/>
      </w:r>
      <w:r>
        <w:rPr>
          <w:b/>
          <w:bCs/>
        </w:rPr>
        <w:t>D.2)</w:t>
      </w:r>
      <w:r>
        <w:t xml:space="preserve"> Las afirmaciones precedentes h</w:t>
      </w:r>
      <w:r>
        <w:t>a</w:t>
      </w:r>
      <w:r>
        <w:t>llan fundamento en las declaraciones testimoniales de Fe</w:t>
      </w:r>
      <w:r>
        <w:t>r</w:t>
      </w:r>
      <w:r>
        <w:t>nando Carlos Cingolani, Luis Omar Gariboldi, Justino A</w:t>
      </w:r>
      <w:r>
        <w:t>u</w:t>
      </w:r>
      <w:r>
        <w:t>gusto Acosta, Ricardo Eduardo Rodríguez Arvas, Diego Eduardo Ricagno, Hugo Ricardo Pérez, José Luis Alberto R</w:t>
      </w:r>
      <w:r>
        <w:t>o</w:t>
      </w:r>
      <w:r>
        <w:t>setti, Eduardo Magnano, José Luis Martilotta, Jorge Fl</w:t>
      </w:r>
      <w:r>
        <w:t>o</w:t>
      </w:r>
      <w:r>
        <w:t>rencio Valdez, Daniel Aurelio Galetto, Bernardo Ramón Sa</w:t>
      </w:r>
      <w:r>
        <w:t>l</w:t>
      </w:r>
      <w:r>
        <w:t>cedo, Daniel Balián, Jorge Oscar Mamone</w:t>
      </w:r>
      <w:r>
        <w:rPr>
          <w:b/>
          <w:bCs/>
        </w:rPr>
        <w:t xml:space="preserve">, </w:t>
      </w:r>
      <w:r>
        <w:t>Roberto Eduardo Ruiz, Sergio Daniel Fraga,</w:t>
      </w:r>
      <w:r>
        <w:rPr>
          <w:spacing w:val="-3"/>
        </w:rPr>
        <w:t xml:space="preserve"> Carlos Miguel Zapata, Carlos Néstor López, Raúl Arbor,</w:t>
      </w:r>
      <w:r>
        <w:t xml:space="preserve"> Daniel Alberto Helguero</w:t>
      </w:r>
      <w:r>
        <w:rPr>
          <w:spacing w:val="-3"/>
        </w:rPr>
        <w:t xml:space="preserve">, </w:t>
      </w:r>
      <w:r>
        <w:t>Ma</w:t>
      </w:r>
      <w:r>
        <w:t>r</w:t>
      </w:r>
      <w:r>
        <w:t>celo Alejandro Debiassi,</w:t>
      </w:r>
      <w:r>
        <w:rPr>
          <w:bCs/>
        </w:rPr>
        <w:t xml:space="preserve"> Claudio Luis Kirianovicz, </w:t>
      </w:r>
      <w:r>
        <w:t>Jorge Luis Lucas y Horacio Antonio Stiuso</w:t>
      </w:r>
      <w:r>
        <w:rPr>
          <w:spacing w:val="-3"/>
        </w:rPr>
        <w:t>.</w:t>
      </w:r>
    </w:p>
    <w:p w:rsidR="00224567" w:rsidRDefault="00224567">
      <w:pPr>
        <w:pStyle w:val="Sangradetextonormal"/>
        <w:widowControl w:val="0"/>
        <w:ind w:firstLine="0"/>
        <w:rPr>
          <w:bCs/>
        </w:rPr>
      </w:pPr>
      <w:r>
        <w:rPr>
          <w:spacing w:val="-3"/>
        </w:rPr>
        <w:tab/>
      </w:r>
      <w:r>
        <w:t>Asimismo, encuentran sustento en el informe de “C.I.A.D.E.A. S.A.” que corre por cuerda y en los producidos por dicha firma y “R</w:t>
      </w:r>
      <w:r>
        <w:t>e</w:t>
      </w:r>
      <w:r>
        <w:t>nault Argentina S.A.”, obrantes a fs. 11.917/12.096, 14.263/14.267,</w:t>
      </w:r>
      <w:r>
        <w:rPr>
          <w:bCs/>
        </w:rPr>
        <w:t xml:space="preserve"> 28.216, 30.215/30.216 y 111.868/111.872 del principal; en </w:t>
      </w:r>
      <w:r>
        <w:t>las a</w:t>
      </w:r>
      <w:r>
        <w:t>c</w:t>
      </w:r>
      <w:r>
        <w:t xml:space="preserve">tuaciones agregadas a fs. 14.304/14.322, 30.761/30.764 y 34.079/34.081; en la constancia de fs. 11; en el </w:t>
      </w:r>
      <w:r>
        <w:rPr>
          <w:bCs/>
        </w:rPr>
        <w:t xml:space="preserve">informe actuarial de fs. 454; en los informes que lucen a </w:t>
      </w:r>
      <w:r>
        <w:rPr>
          <w:rFonts w:eastAsia="Arial Unicode MS"/>
          <w:spacing w:val="-3"/>
        </w:rPr>
        <w:t xml:space="preserve">fs. 4302/4306, </w:t>
      </w:r>
      <w:r>
        <w:rPr>
          <w:rFonts w:eastAsia="PMingLiU"/>
        </w:rPr>
        <w:t xml:space="preserve">22.940 </w:t>
      </w:r>
      <w:r>
        <w:rPr>
          <w:rFonts w:eastAsia="Arial Unicode MS"/>
          <w:spacing w:val="-3"/>
        </w:rPr>
        <w:t xml:space="preserve">y </w:t>
      </w:r>
      <w:r>
        <w:rPr>
          <w:bCs/>
        </w:rPr>
        <w:t>28.080; y en el peritaje llevado a c</w:t>
      </w:r>
      <w:r>
        <w:rPr>
          <w:bCs/>
        </w:rPr>
        <w:t>a</w:t>
      </w:r>
      <w:r>
        <w:rPr>
          <w:bCs/>
        </w:rPr>
        <w:t xml:space="preserve">bo por </w:t>
      </w:r>
      <w:smartTag w:uri="urn:schemas-microsoft-com:office:smarttags" w:element="PersonName">
        <w:smartTagPr>
          <w:attr w:name="ProductID" w:val="la Direcci￳n"/>
        </w:smartTagPr>
        <w:r>
          <w:rPr>
            <w:bCs/>
          </w:rPr>
          <w:t>la Dirección</w:t>
        </w:r>
      </w:smartTag>
      <w:r>
        <w:rPr>
          <w:bCs/>
        </w:rPr>
        <w:t xml:space="preserve"> de Policía Científica de Gendarmería Nacional, glosado a fs. </w:t>
      </w:r>
      <w:r>
        <w:t>5637/5910 del legajo de instru</w:t>
      </w:r>
      <w:r>
        <w:t>c</w:t>
      </w:r>
      <w:r>
        <w:t>ción suplement</w:t>
      </w:r>
      <w:r>
        <w:t>a</w:t>
      </w:r>
      <w:r>
        <w:t>ria</w:t>
      </w:r>
      <w:r>
        <w:rPr>
          <w:bCs/>
        </w:rPr>
        <w:t>.</w:t>
      </w:r>
    </w:p>
    <w:p w:rsidR="00224567" w:rsidRDefault="00224567">
      <w:pPr>
        <w:widowControl w:val="0"/>
        <w:rPr>
          <w:bCs/>
        </w:rPr>
      </w:pPr>
      <w:r>
        <w:rPr>
          <w:bCs/>
        </w:rPr>
        <w:tab/>
        <w:t>A tales elementos de juicio deben añ</w:t>
      </w:r>
      <w:r>
        <w:rPr>
          <w:bCs/>
        </w:rPr>
        <w:t>a</w:t>
      </w:r>
      <w:r>
        <w:rPr>
          <w:bCs/>
        </w:rPr>
        <w:t>dirse las siguientes constancias del Informe Prel</w:t>
      </w:r>
      <w:r>
        <w:rPr>
          <w:bCs/>
        </w:rPr>
        <w:t>i</w:t>
      </w:r>
      <w:r>
        <w:rPr>
          <w:bCs/>
        </w:rPr>
        <w:t xml:space="preserve">minar de </w:t>
      </w:r>
      <w:smartTag w:uri="urn:schemas-microsoft-com:office:smarttags" w:element="PersonName">
        <w:smartTagPr>
          <w:attr w:name="ProductID" w:val="la Superintendencia"/>
        </w:smartTagPr>
        <w:r>
          <w:rPr>
            <w:bCs/>
          </w:rPr>
          <w:t>la Superintendencia</w:t>
        </w:r>
      </w:smartTag>
      <w:r>
        <w:rPr>
          <w:bCs/>
        </w:rPr>
        <w:t xml:space="preserve"> de Bomberos: las n</w:t>
      </w:r>
      <w:r>
        <w:rPr>
          <w:bCs/>
        </w:rPr>
        <w:t>o</w:t>
      </w:r>
      <w:r>
        <w:rPr>
          <w:bCs/>
        </w:rPr>
        <w:t xml:space="preserve">tas de </w:t>
      </w:r>
      <w:r>
        <w:t xml:space="preserve">fs. </w:t>
      </w:r>
      <w:r>
        <w:rPr>
          <w:bCs/>
        </w:rPr>
        <w:t>13/17 y 233/234; las actas glosadas a fs. 24, 30, 32, 36, 38 y 42; las fotografías de fs. 35 y 67/115; y los gráficos obra</w:t>
      </w:r>
      <w:r>
        <w:rPr>
          <w:bCs/>
        </w:rPr>
        <w:t>n</w:t>
      </w:r>
      <w:r>
        <w:rPr>
          <w:bCs/>
        </w:rPr>
        <w:t xml:space="preserve">tes a fs. 119/165. Por último, del Informe Final de </w:t>
      </w:r>
      <w:smartTag w:uri="urn:schemas-microsoft-com:office:smarttags" w:element="PersonName">
        <w:smartTagPr>
          <w:attr w:name="ProductID" w:val="la Superintendencia"/>
        </w:smartTagPr>
        <w:r>
          <w:rPr>
            <w:bCs/>
          </w:rPr>
          <w:t>la S</w:t>
        </w:r>
        <w:r>
          <w:rPr>
            <w:bCs/>
          </w:rPr>
          <w:t>u</w:t>
        </w:r>
        <w:r>
          <w:rPr>
            <w:bCs/>
          </w:rPr>
          <w:t>perintendencia</w:t>
        </w:r>
      </w:smartTag>
      <w:r>
        <w:rPr>
          <w:bCs/>
        </w:rPr>
        <w:t xml:space="preserve"> de Bomberos: las comunicaciones </w:t>
      </w:r>
      <w:r>
        <w:t>de “C.I.A.D.E.A. S.A.” y “Renault Argentina S.A.” de</w:t>
      </w:r>
      <w:r>
        <w:rPr>
          <w:bCs/>
        </w:rPr>
        <w:t xml:space="preserve"> fs. 16/20, 32/37, 38/39 y 43/45; los informes de fs. 1/3 y 106/118; el acta obrante a fs. 9; las f</w:t>
      </w:r>
      <w:r>
        <w:rPr>
          <w:bCs/>
        </w:rPr>
        <w:t>o</w:t>
      </w:r>
      <w:r>
        <w:rPr>
          <w:bCs/>
        </w:rPr>
        <w:t>tografías glosadas a fs. 78/86 y a fs. 29 y 31 de la última parte del info</w:t>
      </w:r>
      <w:r>
        <w:rPr>
          <w:bCs/>
        </w:rPr>
        <w:t>r</w:t>
      </w:r>
      <w:r>
        <w:rPr>
          <w:bCs/>
        </w:rPr>
        <w:t>me; y los gráficos de fs. 88/105.</w:t>
      </w:r>
    </w:p>
    <w:p w:rsidR="00224567" w:rsidRDefault="00224567">
      <w:pPr>
        <w:widowControl w:val="0"/>
      </w:pPr>
      <w:r>
        <w:tab/>
      </w:r>
      <w:r>
        <w:rPr>
          <w:b/>
          <w:bCs/>
        </w:rPr>
        <w:t>D.2.a)</w:t>
      </w:r>
      <w:r>
        <w:t xml:space="preserve"> Al declarar en la audiencia de d</w:t>
      </w:r>
      <w:r>
        <w:t>e</w:t>
      </w:r>
      <w:r>
        <w:t xml:space="preserve">bate, el comisario inspector Carlos Néstor López, quien en julio de 1994 se desempeñaba como jefe de </w:t>
      </w:r>
      <w:smartTag w:uri="urn:schemas-microsoft-com:office:smarttags" w:element="PersonName">
        <w:smartTagPr>
          <w:attr w:name="ProductID" w:val="la Divisi￳n Investigaciones"/>
        </w:smartTagPr>
        <w:r>
          <w:t>la División Investigaciones</w:t>
        </w:r>
      </w:smartTag>
      <w:r>
        <w:t xml:space="preserve"> del Departamento de Explosivos de </w:t>
      </w:r>
      <w:smartTag w:uri="urn:schemas-microsoft-com:office:smarttags" w:element="PersonName">
        <w:smartTagPr>
          <w:attr w:name="ProductID" w:val="la Polic￭a Federal"/>
        </w:smartTagPr>
        <w:r>
          <w:t>la Pol</w:t>
        </w:r>
        <w:r>
          <w:t>i</w:t>
        </w:r>
        <w:r>
          <w:t>cía Federal</w:t>
        </w:r>
      </w:smartTag>
      <w:r>
        <w:t xml:space="preserve"> Argentina, manifestó que el día del atentado se solicitó colabor</w:t>
      </w:r>
      <w:r>
        <w:t>a</w:t>
      </w:r>
      <w:r>
        <w:t>ción a la empresa “C.I.A.D.E.A.” para identificar las autopartes que se iban encontrando, a efectos de establecer qué modelo de vehículo se utilizó como cochebomba.</w:t>
      </w:r>
    </w:p>
    <w:p w:rsidR="00224567" w:rsidRDefault="00224567">
      <w:pPr>
        <w:widowControl w:val="0"/>
      </w:pPr>
      <w:r>
        <w:tab/>
        <w:t>En tal sentido, indicó que el 18 de julio, alrededor de las 12.00 ó 13.00, envió a un of</w:t>
      </w:r>
      <w:r>
        <w:t>i</w:t>
      </w:r>
      <w:r>
        <w:t>cial, desde el lugar del hecho hasta la sede de la empresa, s</w:t>
      </w:r>
      <w:r>
        <w:t>e</w:t>
      </w:r>
      <w:r>
        <w:t>gún creía, ubicada en Av. Del Campo, con una o dos pi</w:t>
      </w:r>
      <w:r>
        <w:t>e</w:t>
      </w:r>
      <w:r>
        <w:t>zas, presumiblemente pertenecientes a un vehículo, una de las cuales, de forma triangular, poseía estampada una ma</w:t>
      </w:r>
      <w:r>
        <w:t>r</w:t>
      </w:r>
      <w:r>
        <w:t>ca o logo; se logró determinar que dicha pieza pertenecía al tren delantero de una camioneta Trafic, reconociéndola c</w:t>
      </w:r>
      <w:r>
        <w:t>o</w:t>
      </w:r>
      <w:r>
        <w:t>mo la pieza nº 30.</w:t>
      </w:r>
    </w:p>
    <w:p w:rsidR="00224567" w:rsidRDefault="00224567">
      <w:pPr>
        <w:widowControl w:val="0"/>
      </w:pPr>
      <w:r>
        <w:tab/>
        <w:t>Explicó que, por ende, a las pocas h</w:t>
      </w:r>
      <w:r>
        <w:t>o</w:t>
      </w:r>
      <w:r>
        <w:t>ras de ocurrido el atentado conocían, en virtud de la i</w:t>
      </w:r>
      <w:r>
        <w:t>n</w:t>
      </w:r>
      <w:r>
        <w:t>formación proporcionada por “C.I.A.D.E.A.”, que se tr</w:t>
      </w:r>
      <w:r>
        <w:t>a</w:t>
      </w:r>
      <w:r>
        <w:t>taba de una Trafic. Y que previo a ello realizaron averiguaci</w:t>
      </w:r>
      <w:r>
        <w:t>o</w:t>
      </w:r>
      <w:r>
        <w:t>nes en una gomería respecto de un trozo de cubierta hall</w:t>
      </w:r>
      <w:r>
        <w:t>a</w:t>
      </w:r>
      <w:r>
        <w:t>do en el lugar, estableciéndose que podría correspo</w:t>
      </w:r>
      <w:r>
        <w:t>n</w:t>
      </w:r>
      <w:r>
        <w:t>der a una camioneta Peugeot, Ford o R</w:t>
      </w:r>
      <w:r>
        <w:t>e</w:t>
      </w:r>
      <w:r>
        <w:t>nault.</w:t>
      </w:r>
    </w:p>
    <w:p w:rsidR="00224567" w:rsidRDefault="00224567">
      <w:pPr>
        <w:widowControl w:val="0"/>
      </w:pPr>
      <w:r>
        <w:tab/>
        <w:t>A posteriori, expresó, la empresa a</w:t>
      </w:r>
      <w:r>
        <w:t>u</w:t>
      </w:r>
      <w:r>
        <w:t>tomotriz destinó personal técnico para colaborar, aporta</w:t>
      </w:r>
      <w:r>
        <w:t>n</w:t>
      </w:r>
      <w:r>
        <w:t>do catálogos y un vehículo Trafic con puerta lateral, s</w:t>
      </w:r>
      <w:r>
        <w:t>i</w:t>
      </w:r>
      <w:r>
        <w:t>milar al empleado en el atentado.</w:t>
      </w:r>
    </w:p>
    <w:p w:rsidR="00224567" w:rsidRDefault="00224567">
      <w:pPr>
        <w:widowControl w:val="0"/>
      </w:pPr>
      <w:r>
        <w:tab/>
        <w:t>Mencionó también que algunos tr</w:t>
      </w:r>
      <w:r>
        <w:t>o</w:t>
      </w:r>
      <w:r>
        <w:t>zos de chapa secuestrados entre los escombros se r</w:t>
      </w:r>
      <w:r>
        <w:t>e</w:t>
      </w:r>
      <w:r>
        <w:t>mitieron a la fábrica de “C.I.A.D.E.A.”, en Córdoba, para su análisis, concluyéndose que tales piezas no habían sido e</w:t>
      </w:r>
      <w:r>
        <w:t>x</w:t>
      </w:r>
      <w:r>
        <w:t>puestas a temperatura sostenida y que la pintura que presentaban era original de fábrica. A partir de ello se dedujo que el c</w:t>
      </w:r>
      <w:r>
        <w:t>o</w:t>
      </w:r>
      <w:r>
        <w:t>chebomba utilizado tenía una carrocería que no se corre</w:t>
      </w:r>
      <w:r>
        <w:t>s</w:t>
      </w:r>
      <w:r>
        <w:t>pondía con la original del motor hallado entre las ruinas.</w:t>
      </w:r>
    </w:p>
    <w:p w:rsidR="00224567" w:rsidRDefault="00224567">
      <w:pPr>
        <w:widowControl w:val="0"/>
      </w:pPr>
      <w:r>
        <w:tab/>
        <w:t>En cuanto a la determinación del mod</w:t>
      </w:r>
      <w:r>
        <w:t>e</w:t>
      </w:r>
      <w:r>
        <w:t>lo, manifestó que el personal de “C.I.A.D.E.A.” separó elementos que, según decían, correspondían a una Trafic corta, en tanto había otros de una larga, como ser una h</w:t>
      </w:r>
      <w:r>
        <w:t>o</w:t>
      </w:r>
      <w:r>
        <w:t>ja de elástico. Agregó que los técnicos explicaron que los de la larga podían instalarse en la corta, pero no a la inversa, por lo que se presumía que se trataba de una Tr</w:t>
      </w:r>
      <w:r>
        <w:t>a</w:t>
      </w:r>
      <w:r>
        <w:t>fic corta, a la vez que los análisis realizados sobre la pintura de las chapas permitieron determinar que el c</w:t>
      </w:r>
      <w:r>
        <w:t>o</w:t>
      </w:r>
      <w:r>
        <w:t>lor era “blanco chapelco”.</w:t>
      </w:r>
    </w:p>
    <w:p w:rsidR="00224567" w:rsidRDefault="00224567">
      <w:pPr>
        <w:widowControl w:val="0"/>
      </w:pPr>
      <w:r>
        <w:tab/>
        <w:t>López recordó que también se enco</w:t>
      </w:r>
      <w:r>
        <w:t>n</w:t>
      </w:r>
      <w:r>
        <w:t>tró, en las primeras jornadas, una guía de la corredera de la puerta, llamada “cajonera U”; pieza que resultó determ</w:t>
      </w:r>
      <w:r>
        <w:t>i</w:t>
      </w:r>
      <w:r>
        <w:t>nante para concluir que poseía una puerta lat</w:t>
      </w:r>
      <w:r>
        <w:t>e</w:t>
      </w:r>
      <w:r>
        <w:t>ral.</w:t>
      </w:r>
    </w:p>
    <w:p w:rsidR="00224567" w:rsidRDefault="00224567">
      <w:pPr>
        <w:widowControl w:val="0"/>
      </w:pPr>
      <w:r>
        <w:tab/>
        <w:t>Estimó que se debió haber basado en esa pieza a la hora de elaborar el Informe Final, aclara</w:t>
      </w:r>
      <w:r>
        <w:t>n</w:t>
      </w:r>
      <w:r>
        <w:t>do que de las charlas con el personal de “C.I.A.D.E.A.” surgió que el utilitario tenía puerta lateral, por cuanto lo referían como T310 y utilizaban catálogos de ese mod</w:t>
      </w:r>
      <w:r>
        <w:t>e</w:t>
      </w:r>
      <w:r>
        <w:t>lo, como así también de la documentación de la camioneta cuyo motor había sido hall</w:t>
      </w:r>
      <w:r>
        <w:t>a</w:t>
      </w:r>
      <w:r>
        <w:t>do.</w:t>
      </w:r>
    </w:p>
    <w:p w:rsidR="00224567" w:rsidRDefault="00224567">
      <w:pPr>
        <w:widowControl w:val="0"/>
      </w:pPr>
      <w:r>
        <w:tab/>
        <w:t>Con respecto a la carrocería, acotó que los análisis de laboratorio determinaron, en base a los tratamientos de chapa y pintura, que la utilizada como cochebomba fue fabricada entre los años 1987 y 1989; no obstante, observó que resultaba difícil comp</w:t>
      </w:r>
      <w:r>
        <w:t>a</w:t>
      </w:r>
      <w:r>
        <w:t>tibilizar ese resultado con la existe</w:t>
      </w:r>
      <w:r>
        <w:t>n</w:t>
      </w:r>
      <w:r>
        <w:t>cia de piezas del año 1990 ó 1991, que también se hallaron y que presumiblemente se encontr</w:t>
      </w:r>
      <w:r>
        <w:t>a</w:t>
      </w:r>
      <w:r>
        <w:t>ban instaladas en el vehículo. Al re</w:t>
      </w:r>
      <w:r>
        <w:t>s</w:t>
      </w:r>
      <w:r>
        <w:t>pecto, apuntó que se barajó la posibilidad de que la carrocería hubiera t</w:t>
      </w:r>
      <w:r>
        <w:t>e</w:t>
      </w:r>
      <w:r>
        <w:t>nido un tratamiento del año anterior, siendo finalmente pate</w:t>
      </w:r>
      <w:r>
        <w:t>n</w:t>
      </w:r>
      <w:r>
        <w:t>tada en 1990.</w:t>
      </w:r>
    </w:p>
    <w:p w:rsidR="00224567" w:rsidRDefault="00224567">
      <w:pPr>
        <w:widowControl w:val="0"/>
      </w:pPr>
      <w:r>
        <w:tab/>
        <w:t>En similares términos se pronunci</w:t>
      </w:r>
      <w:r>
        <w:t>a</w:t>
      </w:r>
      <w:r>
        <w:t>ron Raúl Arbor y Daniel Alberto Helguero, también integra</w:t>
      </w:r>
      <w:r>
        <w:t>n</w:t>
      </w:r>
      <w:r>
        <w:t xml:space="preserve">tes de </w:t>
      </w:r>
      <w:smartTag w:uri="urn:schemas-microsoft-com:office:smarttags" w:element="PersonName">
        <w:smartTagPr>
          <w:attr w:name="ProductID" w:val="la Divisi￳n Investigaciones."/>
        </w:smartTagPr>
        <w:r>
          <w:t>la División Investigaciones.</w:t>
        </w:r>
      </w:smartTag>
    </w:p>
    <w:p w:rsidR="00224567" w:rsidRDefault="00224567">
      <w:pPr>
        <w:widowControl w:val="0"/>
      </w:pPr>
      <w:r>
        <w:tab/>
        <w:t>En coincidencia con tales declaraci</w:t>
      </w:r>
      <w:r>
        <w:t>o</w:t>
      </w:r>
      <w:r>
        <w:t xml:space="preserve">nes se expidió Marcelo Alejandro Debiassi, oficial en </w:t>
      </w:r>
      <w:smartTag w:uri="urn:schemas-microsoft-com:office:smarttags" w:element="PersonName">
        <w:smartTagPr>
          <w:attr w:name="ProductID" w:val="la Brigada"/>
        </w:smartTagPr>
        <w:r>
          <w:t>la Brigada</w:t>
        </w:r>
      </w:smartTag>
      <w:r>
        <w:t xml:space="preserve"> de Explosivos, quien explicó que el 18 de julio, en horas del mediodía, al arribar al lugar del hecho, el subcomisario López le entregó una pieza pe</w:t>
      </w:r>
      <w:r>
        <w:t>r</w:t>
      </w:r>
      <w:r>
        <w:t>teneciente a un vehículo, indicándole que debía concurrir a un centro de posventa de “Renault”, ubicado, según creyó, en la calle Estomba, para su identificación. En dicho lugar recordó haber sido atendido por un ing</w:t>
      </w:r>
      <w:r>
        <w:t>e</w:t>
      </w:r>
      <w:r>
        <w:t>niero, el que tras revisar la pieza y cotejarla con libros de repuestos de los dif</w:t>
      </w:r>
      <w:r>
        <w:t>e</w:t>
      </w:r>
      <w:r>
        <w:t>rentes modelos, le informó que pertenecía a una Renault Trafic.</w:t>
      </w:r>
    </w:p>
    <w:p w:rsidR="00224567" w:rsidRDefault="00224567">
      <w:pPr>
        <w:widowControl w:val="0"/>
      </w:pPr>
      <w:r>
        <w:tab/>
        <w:t>Asimismo, recordó que la pieza que llevó para su reconocimiento tenía el rombo típico de “R</w:t>
      </w:r>
      <w:r>
        <w:t>e</w:t>
      </w:r>
      <w:r>
        <w:t>nault” y una letra T, creyendo reconocerla como la misma que en fotografías se identifica como la pieza nº 30.</w:t>
      </w:r>
    </w:p>
    <w:p w:rsidR="00224567" w:rsidRDefault="00224567">
      <w:pPr>
        <w:widowControl w:val="0"/>
      </w:pPr>
      <w:r>
        <w:tab/>
        <w:t>Con relación a lo expuesto,</w:t>
      </w:r>
      <w:r>
        <w:rPr>
          <w:bCs/>
        </w:rPr>
        <w:t xml:space="preserve"> </w:t>
      </w:r>
      <w:r>
        <w:t>Fernando Carlos Cingolani expresó que en 1994 se desempeñaba como empleado en la oficina de análisis técnico de fallas de piezas de “Renault Argentina”, siendo convocado por su s</w:t>
      </w:r>
      <w:r>
        <w:t>u</w:t>
      </w:r>
      <w:r>
        <w:t>perior, Jorge Mamone, para colaborar en la ident</w:t>
      </w:r>
      <w:r>
        <w:t>i</w:t>
      </w:r>
      <w:r>
        <w:t xml:space="preserve">ficación de piezas halladas con motivo de la explosión de </w:t>
      </w:r>
      <w:smartTag w:uri="urn:schemas-microsoft-com:office:smarttags" w:element="PersonName">
        <w:smartTagPr>
          <w:attr w:name="ProductID" w:val="la A.M"/>
        </w:smartTagPr>
        <w:r>
          <w:t>la A.M</w:t>
        </w:r>
      </w:smartTag>
      <w:r>
        <w:t>.I.A.</w:t>
      </w:r>
    </w:p>
    <w:p w:rsidR="00224567" w:rsidRDefault="00224567">
      <w:pPr>
        <w:widowControl w:val="0"/>
      </w:pPr>
      <w:r>
        <w:tab/>
        <w:t>Al respecto, señaló que el 18 de j</w:t>
      </w:r>
      <w:r>
        <w:t>u</w:t>
      </w:r>
      <w:r>
        <w:t>lio, entre las 14.00 y las 16.00, en ocasión en que se e</w:t>
      </w:r>
      <w:r>
        <w:t>n</w:t>
      </w:r>
      <w:r>
        <w:t>contraba en la empresa, le informaron que se requería su colaboración para identificar dos piezas de Renault obt</w:t>
      </w:r>
      <w:r>
        <w:t>e</w:t>
      </w:r>
      <w:r>
        <w:t>nidas en la zona del atentado, por lo que, junto con otro compañero, se avocaron a su reconocimiento, logrando d</w:t>
      </w:r>
      <w:r>
        <w:t>e</w:t>
      </w:r>
      <w:r>
        <w:t>terminar que pertenecían a la suspensión trasera y dela</w:t>
      </w:r>
      <w:r>
        <w:t>n</w:t>
      </w:r>
      <w:r>
        <w:t>tera de una c</w:t>
      </w:r>
      <w:r>
        <w:t>a</w:t>
      </w:r>
      <w:r>
        <w:t>mioneta Trafic.</w:t>
      </w:r>
    </w:p>
    <w:p w:rsidR="00224567" w:rsidRDefault="00224567">
      <w:pPr>
        <w:widowControl w:val="0"/>
      </w:pPr>
      <w:r>
        <w:tab/>
        <w:t>Reconoció las piezas referidas como las individualizadas con los números 28 y 29, cuyas fot</w:t>
      </w:r>
      <w:r>
        <w:t>o</w:t>
      </w:r>
      <w:r>
        <w:t>grafías obran a fs. 80vta. y 81, respectivamente, del I</w:t>
      </w:r>
      <w:r>
        <w:t>n</w:t>
      </w:r>
      <w:r>
        <w:t xml:space="preserve">forme Preliminar de </w:t>
      </w:r>
      <w:smartTag w:uri="urn:schemas-microsoft-com:office:smarttags" w:element="PersonName">
        <w:smartTagPr>
          <w:attr w:name="ProductID" w:val="la Superintendencia"/>
        </w:smartTagPr>
        <w:r>
          <w:t>la Superintende</w:t>
        </w:r>
        <w:r>
          <w:t>n</w:t>
        </w:r>
        <w:r>
          <w:t>cia</w:t>
        </w:r>
      </w:smartTag>
      <w:r>
        <w:t xml:space="preserve"> de Bomberos de </w:t>
      </w:r>
      <w:smartTag w:uri="urn:schemas-microsoft-com:office:smarttags" w:element="PersonName">
        <w:smartTagPr>
          <w:attr w:name="ProductID" w:val="la Polic￭a Federal"/>
        </w:smartTagPr>
        <w:r>
          <w:t>la Policía Federal</w:t>
        </w:r>
      </w:smartTag>
      <w:r>
        <w:t xml:space="preserve"> Argentina, a la vez que en la sala de a</w:t>
      </w:r>
      <w:r>
        <w:t>u</w:t>
      </w:r>
      <w:r>
        <w:t>diencias precisó que la primera era un trozo del eje  tr</w:t>
      </w:r>
      <w:r>
        <w:t>a</w:t>
      </w:r>
      <w:r>
        <w:t>sero del lado izquierdo y la segunda el porta-masa dela</w:t>
      </w:r>
      <w:r>
        <w:t>n</w:t>
      </w:r>
      <w:r>
        <w:t>tero der</w:t>
      </w:r>
      <w:r>
        <w:t>e</w:t>
      </w:r>
      <w:r>
        <w:t>cho.</w:t>
      </w:r>
    </w:p>
    <w:p w:rsidR="00224567" w:rsidRDefault="00224567">
      <w:pPr>
        <w:widowControl w:val="0"/>
      </w:pPr>
      <w:r>
        <w:tab/>
        <w:t>Asimismo, Cingolani puntualizó que al día siguiente del atentado, alrededor de las 10.00, conc</w:t>
      </w:r>
      <w:r>
        <w:t>u</w:t>
      </w:r>
      <w:r>
        <w:t xml:space="preserve">rrió junto con otros empleados de la empresa, a </w:t>
      </w:r>
      <w:smartTag w:uri="urn:schemas-microsoft-com:office:smarttags" w:element="PersonName">
        <w:smartTagPr>
          <w:attr w:name="ProductID" w:val="la Divisi￳n Explosivos"/>
        </w:smartTagPr>
        <w:r>
          <w:t>la Div</w:t>
        </w:r>
        <w:r>
          <w:t>i</w:t>
        </w:r>
        <w:r>
          <w:t>sión Explosivos</w:t>
        </w:r>
      </w:smartTag>
      <w:r>
        <w:t>, donde le exhibieron numerosos elementos metálicos para su posible identificación como pertenecie</w:t>
      </w:r>
      <w:r>
        <w:t>n</w:t>
      </w:r>
      <w:r>
        <w:t>tes a una Trafic. No recordó si se convocaban testigos a medida que se pr</w:t>
      </w:r>
      <w:r>
        <w:t>o</w:t>
      </w:r>
      <w:r>
        <w:t>cedía a la apertura de las bolsas que los contenían o si tales diligencias se d</w:t>
      </w:r>
      <w:r>
        <w:t>o</w:t>
      </w:r>
      <w:r>
        <w:t>cumentaban de alguna manera. No obstante, refirió, a medida que reconocían pi</w:t>
      </w:r>
      <w:r>
        <w:t>e</w:t>
      </w:r>
      <w:r>
        <w:t>zas eran numeradas, fotogr</w:t>
      </w:r>
      <w:r>
        <w:t>a</w:t>
      </w:r>
      <w:r>
        <w:t>fiadas y se labraba un acta.</w:t>
      </w:r>
    </w:p>
    <w:p w:rsidR="00224567" w:rsidRDefault="00224567">
      <w:pPr>
        <w:widowControl w:val="0"/>
      </w:pPr>
      <w:r>
        <w:tab/>
        <w:t>Aseguró que en dicha dependencia tr</w:t>
      </w:r>
      <w:r>
        <w:t>a</w:t>
      </w:r>
      <w:r>
        <w:t>bajaron durante dos meses, aproximadamente; en los prim</w:t>
      </w:r>
      <w:r>
        <w:t>e</w:t>
      </w:r>
      <w:r>
        <w:t>ros tiempos concurrían a diario, para luego hace</w:t>
      </w:r>
      <w:r>
        <w:t>r</w:t>
      </w:r>
      <w:r>
        <w:t>lo cuando los convocaban.</w:t>
      </w:r>
    </w:p>
    <w:p w:rsidR="00224567" w:rsidRDefault="00224567">
      <w:pPr>
        <w:widowControl w:val="0"/>
      </w:pPr>
      <w:r>
        <w:tab/>
        <w:t>La tarea, detalló, consistía en el r</w:t>
      </w:r>
      <w:r>
        <w:t>e</w:t>
      </w:r>
      <w:r>
        <w:t>conocimiento visual de los objetos, para luego cot</w:t>
      </w:r>
      <w:r>
        <w:t>e</w:t>
      </w:r>
      <w:r>
        <w:t>jarlos con los manuales de la empresa; por últ</w:t>
      </w:r>
      <w:r>
        <w:t>i</w:t>
      </w:r>
      <w:r>
        <w:t>mo, se verificaba en una Trafic que se correspondieran o pudiesen ser mont</w:t>
      </w:r>
      <w:r>
        <w:t>a</w:t>
      </w:r>
      <w:r>
        <w:t xml:space="preserve">dos en ella. </w:t>
      </w:r>
      <w:r>
        <w:rPr>
          <w:bCs/>
        </w:rPr>
        <w:t>En su cometido, recordó haber hallado</w:t>
      </w:r>
      <w:r>
        <w:t>, entre otros, trozos del eje trasero, porta-masa trasero, lla</w:t>
      </w:r>
      <w:r>
        <w:t>n</w:t>
      </w:r>
      <w:r>
        <w:t>tas, espirales, amortiguadores, alguna parrilla de suspe</w:t>
      </w:r>
      <w:r>
        <w:t>n</w:t>
      </w:r>
      <w:r>
        <w:t>sión delantera, porta-masa d</w:t>
      </w:r>
      <w:r>
        <w:t>e</w:t>
      </w:r>
      <w:r>
        <w:t>lantero, partes de la caja de d</w:t>
      </w:r>
      <w:r>
        <w:t>i</w:t>
      </w:r>
      <w:r>
        <w:t>rección, partes del bloque del motor, algunas piezas de carrocería y ped</w:t>
      </w:r>
      <w:r>
        <w:t>a</w:t>
      </w:r>
      <w:r>
        <w:t>zos de chapa; todos los cuales reconoció al serle exhib</w:t>
      </w:r>
      <w:r>
        <w:t>i</w:t>
      </w:r>
      <w:r>
        <w:t>dos durante la audiencia de debate.</w:t>
      </w:r>
    </w:p>
    <w:p w:rsidR="00224567" w:rsidRDefault="00224567">
      <w:pPr>
        <w:widowControl w:val="0"/>
      </w:pPr>
      <w:r>
        <w:tab/>
        <w:t>Así, señaló la pieza nº 17 como una parte del paragolpes trasero, la nº 30 como la parrilla de suspensión, la nº 56 como una tapa de cilindro de una aleación de aluminio, la nº 60 como la cuna de s</w:t>
      </w:r>
      <w:r>
        <w:t>o</w:t>
      </w:r>
      <w:r>
        <w:t>porte del motor, la nº 96 como un trozo de punta de eje trasero d</w:t>
      </w:r>
      <w:r>
        <w:t>e</w:t>
      </w:r>
      <w:r>
        <w:t>recho y la nº 104 como un porta-masa de rueda delantera izquierda. Explicó que se trataba de una camioneta cuya carrocería era d</w:t>
      </w:r>
      <w:r>
        <w:t>e</w:t>
      </w:r>
      <w:r>
        <w:t>nominada auto portante, es decir, que no tenía largueros postizos, ni un chasis separado de la c</w:t>
      </w:r>
      <w:r>
        <w:t>a</w:t>
      </w:r>
      <w:r>
        <w:t>rrocería, ya que ésta estaba formada por la misma estru</w:t>
      </w:r>
      <w:r>
        <w:t>c</w:t>
      </w:r>
      <w:r>
        <w:t>tura.</w:t>
      </w:r>
    </w:p>
    <w:p w:rsidR="00224567" w:rsidRDefault="00224567">
      <w:pPr>
        <w:widowControl w:val="0"/>
      </w:pPr>
      <w:r>
        <w:tab/>
        <w:t>Respecto de la pieza nº 6A dijo que la separó del resto para remitirla a la planta de Córdoba p</w:t>
      </w:r>
      <w:r>
        <w:t>a</w:t>
      </w:r>
      <w:r>
        <w:t>ra su análisis, no recordando haber observado una pieza denominada “cajonera U”, aunque, aclaró, tampoco hubiera podido identificarla por escapar a su especi</w:t>
      </w:r>
      <w:r>
        <w:t>a</w:t>
      </w:r>
      <w:r>
        <w:t>lidad.</w:t>
      </w:r>
    </w:p>
    <w:p w:rsidR="00224567" w:rsidRDefault="00224567">
      <w:pPr>
        <w:widowControl w:val="0"/>
      </w:pPr>
      <w:r>
        <w:tab/>
        <w:t>Agregó que junto con su compañero G</w:t>
      </w:r>
      <w:r>
        <w:t>a</w:t>
      </w:r>
      <w:r>
        <w:t>riboldi, debido a una sugerencia del personal policial, realizaron un esquema en el patio de esa depe</w:t>
      </w:r>
      <w:r>
        <w:t>n</w:t>
      </w:r>
      <w:r>
        <w:t>dencia, con las piezas que identificaban para verificar en qué parte del vehículo iba montada cada una, comparándolas con una Trafic original. En tal sentido, reconoció las fotografías nº 15 y 16, gl</w:t>
      </w:r>
      <w:r>
        <w:t>o</w:t>
      </w:r>
      <w:r>
        <w:t>sadas a fs. 35 del informe antes referido y estimó que las piezas de mecánica r</w:t>
      </w:r>
      <w:r>
        <w:t>e</w:t>
      </w:r>
      <w:r>
        <w:t>presentaban un veinte por ciento del vehículo total, aproximadamente.</w:t>
      </w:r>
    </w:p>
    <w:p w:rsidR="00224567" w:rsidRDefault="00224567">
      <w:pPr>
        <w:widowControl w:val="0"/>
      </w:pPr>
      <w:r>
        <w:tab/>
        <w:t>A su vez, Cingolani explicó que m</w:t>
      </w:r>
      <w:r>
        <w:t>u</w:t>
      </w:r>
      <w:r>
        <w:t>chas de las piezas analizadas eran comunes a cualquier modelo de Trafic, con excepción de los amort</w:t>
      </w:r>
      <w:r>
        <w:t>i</w:t>
      </w:r>
      <w:r>
        <w:t>guadores, elásticos y espirales. Añadió que sólo se determinó la fecha de f</w:t>
      </w:r>
      <w:r>
        <w:t>a</w:t>
      </w:r>
      <w:r>
        <w:t>bricación de ciertas piezas, no siendo posible precisar cuándo fueron montadas en la línea de producción de Tr</w:t>
      </w:r>
      <w:r>
        <w:t>a</w:t>
      </w:r>
      <w:r>
        <w:t>fic; aseveró que sobre la base de las piezas identificadas no se pudo establecer el año de fabricación de la camion</w:t>
      </w:r>
      <w:r>
        <w:t>e</w:t>
      </w:r>
      <w:r>
        <w:t>ta.</w:t>
      </w:r>
    </w:p>
    <w:p w:rsidR="00224567" w:rsidRDefault="00224567">
      <w:pPr>
        <w:widowControl w:val="0"/>
      </w:pPr>
      <w:r>
        <w:tab/>
        <w:t>Asimismo, indicó que hacia 1994 exi</w:t>
      </w:r>
      <w:r>
        <w:t>s</w:t>
      </w:r>
      <w:r>
        <w:t>tían diversos modelos de Trafic y que las autopartes rec</w:t>
      </w:r>
      <w:r>
        <w:t>o</w:t>
      </w:r>
      <w:r>
        <w:t>nocidas eran comunes a más de un modelo, sin que resultara fácil determinar si correspondían a una Trafic larga o corta, aclarando que cuando sobre el suelo hicieron el e</w:t>
      </w:r>
      <w:r>
        <w:t>s</w:t>
      </w:r>
      <w:r>
        <w:t>quema para la reconstrucción del vehículo, se basaron en una Trafic corta, por cuanto el motor encontrado e</w:t>
      </w:r>
      <w:r>
        <w:t>n</w:t>
      </w:r>
      <w:r>
        <w:t xml:space="preserve">tre los escombros de </w:t>
      </w:r>
      <w:smartTag w:uri="urn:schemas-microsoft-com:office:smarttags" w:element="PersonName">
        <w:smartTagPr>
          <w:attr w:name="ProductID" w:val="la A.M"/>
        </w:smartTagPr>
        <w:r>
          <w:t>la A.M</w:t>
        </w:r>
      </w:smartTag>
      <w:r>
        <w:t>.I.A. pertenecía a un rodado de ese t</w:t>
      </w:r>
      <w:r>
        <w:t>i</w:t>
      </w:r>
      <w:r>
        <w:t>po. Apuntó que la dif</w:t>
      </w:r>
      <w:r>
        <w:t>e</w:t>
      </w:r>
      <w:r>
        <w:t xml:space="preserve">rencia entre la carrocería T310 y </w:t>
      </w:r>
      <w:smartTag w:uri="urn:schemas-microsoft-com:office:smarttags" w:element="PersonName">
        <w:smartTagPr>
          <w:attr w:name="ProductID" w:val="la T"/>
        </w:smartTagPr>
        <w:r>
          <w:t>la T</w:t>
        </w:r>
      </w:smartTag>
      <w:r>
        <w:t>3101 podía radicar en si ésta contaba o no con puerta l</w:t>
      </w:r>
      <w:r>
        <w:t>a</w:t>
      </w:r>
      <w:r>
        <w:t>teral.</w:t>
      </w:r>
    </w:p>
    <w:p w:rsidR="00224567" w:rsidRDefault="00224567">
      <w:pPr>
        <w:widowControl w:val="0"/>
      </w:pPr>
      <w:r>
        <w:tab/>
        <w:t>El testigo observó que, conforme su experiencia, el estado y las roturas de las piezas ident</w:t>
      </w:r>
      <w:r>
        <w:t>i</w:t>
      </w:r>
      <w:r>
        <w:t>ficadas no eran producto de su normal funcion</w:t>
      </w:r>
      <w:r>
        <w:t>a</w:t>
      </w:r>
      <w:r>
        <w:t>miento, por daños mecánicos, sino que daban la impr</w:t>
      </w:r>
      <w:r>
        <w:t>e</w:t>
      </w:r>
      <w:r>
        <w:t>sión de haber sido sometidas a un esfuerzo importante, a alguna presión muy grande, a temperatura, no tratándose de deformaciones no</w:t>
      </w:r>
      <w:r>
        <w:t>r</w:t>
      </w:r>
      <w:r>
        <w:t>males, presentando todas ellas un p</w:t>
      </w:r>
      <w:r>
        <w:t>a</w:t>
      </w:r>
      <w:r>
        <w:t>trón común de rotura.</w:t>
      </w:r>
    </w:p>
    <w:p w:rsidR="00224567" w:rsidRDefault="00224567">
      <w:pPr>
        <w:widowControl w:val="0"/>
        <w:rPr>
          <w:bCs/>
        </w:rPr>
      </w:pPr>
      <w:r>
        <w:rPr>
          <w:bCs/>
        </w:rPr>
        <w:tab/>
        <w:t>Con relación a los elásticos de Tr</w:t>
      </w:r>
      <w:r>
        <w:rPr>
          <w:bCs/>
        </w:rPr>
        <w:t>a</w:t>
      </w:r>
      <w:r>
        <w:rPr>
          <w:bCs/>
        </w:rPr>
        <w:t>fic, Cingolani explicó que según se</w:t>
      </w:r>
      <w:r>
        <w:t xml:space="preserve"> tratara de una cami</w:t>
      </w:r>
      <w:r>
        <w:t>o</w:t>
      </w:r>
      <w:r>
        <w:t xml:space="preserve">neta de chasis corto o largo, </w:t>
      </w:r>
      <w:r>
        <w:rPr>
          <w:bCs/>
        </w:rPr>
        <w:t>difería la</w:t>
      </w:r>
      <w:r>
        <w:t xml:space="preserve"> cantidad de hojas que los conformaban; no obstante, admitió que por sus d</w:t>
      </w:r>
      <w:r>
        <w:t>i</w:t>
      </w:r>
      <w:r>
        <w:t>mensiones era posible montarlos, produciendo a</w:t>
      </w:r>
      <w:r>
        <w:t>l</w:t>
      </w:r>
      <w:r>
        <w:t>gún efecto en el andar del rodado sólo en el caso que se lo ca</w:t>
      </w:r>
      <w:r>
        <w:t>r</w:t>
      </w:r>
      <w:r>
        <w:t>gase.</w:t>
      </w:r>
    </w:p>
    <w:p w:rsidR="00224567" w:rsidRDefault="00224567">
      <w:pPr>
        <w:widowControl w:val="0"/>
      </w:pPr>
      <w:r>
        <w:rPr>
          <w:bCs/>
        </w:rPr>
        <w:tab/>
        <w:t>Complementó lo expuesto indicando que exi</w:t>
      </w:r>
      <w:r>
        <w:rPr>
          <w:bCs/>
        </w:rPr>
        <w:t>s</w:t>
      </w:r>
      <w:r>
        <w:rPr>
          <w:bCs/>
        </w:rPr>
        <w:t xml:space="preserve">tían dos </w:t>
      </w:r>
      <w:r>
        <w:t>modelos de elásticos, uno de siete hojas para chasis corto y otro de nueve para el largo, aunque, depe</w:t>
      </w:r>
      <w:r>
        <w:t>n</w:t>
      </w:r>
      <w:r>
        <w:t>diendo del peso de carga, podía darse el caso de un chasis largo con elásticos de siete hojas. Refirió que era pos</w:t>
      </w:r>
      <w:r>
        <w:t>i</w:t>
      </w:r>
      <w:r>
        <w:t>ble reforzar los elásticos con una mayor cant</w:t>
      </w:r>
      <w:r>
        <w:t>i</w:t>
      </w:r>
      <w:r>
        <w:t>dad de hojas del mismo espesor o con menos hojas de mayor espesor, d</w:t>
      </w:r>
      <w:r>
        <w:t>e</w:t>
      </w:r>
      <w:r>
        <w:t>pendiendo de la c</w:t>
      </w:r>
      <w:r>
        <w:t>a</w:t>
      </w:r>
      <w:r>
        <w:t>lidad que se buscara obtener en el andar del rodado.</w:t>
      </w:r>
    </w:p>
    <w:p w:rsidR="00224567" w:rsidRDefault="00224567">
      <w:pPr>
        <w:widowControl w:val="0"/>
      </w:pPr>
      <w:r>
        <w:tab/>
        <w:t xml:space="preserve">En cuanto al motor hallado entre las ruinas de </w:t>
      </w:r>
      <w:smartTag w:uri="urn:schemas-microsoft-com:office:smarttags" w:element="PersonName">
        <w:smartTagPr>
          <w:attr w:name="ProductID" w:val="la A.M"/>
        </w:smartTagPr>
        <w:r>
          <w:t>la A.M</w:t>
        </w:r>
      </w:smartTag>
      <w:r>
        <w:t>.I.A., afirmó que pertenecía a una Tr</w:t>
      </w:r>
      <w:r>
        <w:t>a</w:t>
      </w:r>
      <w:r>
        <w:t xml:space="preserve">fic, con su respectiva numeración; su bloque estaba construido con fundición de acero de hierro y su cilindrada era de 1400 </w:t>
      </w:r>
      <w:r>
        <w:rPr>
          <w:bCs/>
        </w:rPr>
        <w:t>cm³</w:t>
      </w:r>
      <w:r>
        <w:t>, sin poder determinar si era na</w:t>
      </w:r>
      <w:r>
        <w:t>f</w:t>
      </w:r>
      <w:r>
        <w:t>tero o a gas. Si bien no recordó el momento en que le llevaron el motor, aseguró que fue dentro de las primeras tres semanas de ocurrido el atentado.</w:t>
      </w:r>
    </w:p>
    <w:p w:rsidR="00224567" w:rsidRDefault="00224567">
      <w:pPr>
        <w:widowControl w:val="0"/>
      </w:pPr>
      <w:r>
        <w:tab/>
        <w:t>Por otro lado, reconoció la bomba de nafta fotografiada a fs. 37 del Informe Final, manifesta</w:t>
      </w:r>
      <w:r>
        <w:t>n</w:t>
      </w:r>
      <w:r>
        <w:t>do que ella, si bien no era original de “Renault”, podía ser montada en un motor de los utilizados en las Trafic, previo hacerle algunas modificaciones. Afirmó que su a</w:t>
      </w:r>
      <w:r>
        <w:t>s</w:t>
      </w:r>
      <w:r>
        <w:t>pecto no se correspondía con el del r</w:t>
      </w:r>
      <w:r>
        <w:t>e</w:t>
      </w:r>
      <w:r>
        <w:t>sto de las piezas y no parecía que hubiese estado som</w:t>
      </w:r>
      <w:r>
        <w:t>e</w:t>
      </w:r>
      <w:r>
        <w:t>tida al mismo patrón de rotura. Añadió que era viable montarla en el bloque de m</w:t>
      </w:r>
      <w:r>
        <w:t>o</w:t>
      </w:r>
      <w:r>
        <w:t>tor hallado, aunque no podía determ</w:t>
      </w:r>
      <w:r>
        <w:t>i</w:t>
      </w:r>
      <w:r>
        <w:t>nar si funcionaría.</w:t>
      </w:r>
    </w:p>
    <w:p w:rsidR="00224567" w:rsidRDefault="00224567">
      <w:pPr>
        <w:widowControl w:val="0"/>
      </w:pPr>
      <w:r>
        <w:tab/>
        <w:t>También recordó el técnico de C.I.A.D.E.A. haber visto un amortiguador trasero con re</w:t>
      </w:r>
      <w:r>
        <w:t>s</w:t>
      </w:r>
      <w:r>
        <w:t>tos humanos, identificándolo como “Renault” por cuanto t</w:t>
      </w:r>
      <w:r>
        <w:t>e</w:t>
      </w:r>
      <w:r>
        <w:t>nía el logo de la empresa, los códigos de proveedor y f</w:t>
      </w:r>
      <w:r>
        <w:t>a</w:t>
      </w:r>
      <w:r>
        <w:t>bricación y el número de pieza identificat</w:t>
      </w:r>
      <w:r>
        <w:t>o</w:t>
      </w:r>
      <w:r>
        <w:t>ria.</w:t>
      </w:r>
    </w:p>
    <w:p w:rsidR="00224567" w:rsidRDefault="00224567">
      <w:pPr>
        <w:widowControl w:val="0"/>
      </w:pPr>
      <w:r>
        <w:tab/>
        <w:t>Cingolani estimó factible que un vehículo fuese fabricado y vendido al año siguiente, i</w:t>
      </w:r>
      <w:r>
        <w:t>n</w:t>
      </w:r>
      <w:r>
        <w:t>cluso que fuera armado con piezas en stock producidas el año anterior al de su ensamblado final. Asimismo, apuntó que la mayoría de las piezas de Renault eran de producción nacional, fabricadas por proveedores exte</w:t>
      </w:r>
      <w:r>
        <w:t>r</w:t>
      </w:r>
      <w:r>
        <w:t>nos.</w:t>
      </w:r>
    </w:p>
    <w:p w:rsidR="00224567" w:rsidRDefault="00224567">
      <w:pPr>
        <w:widowControl w:val="0"/>
      </w:pPr>
      <w:r>
        <w:tab/>
        <w:t>Por otra parte, indicó el experto que el laboratorio de la empresa podía determinar si el repi</w:t>
      </w:r>
      <w:r>
        <w:t>n</w:t>
      </w:r>
      <w:r>
        <w:t>tado de un vehículo fue realizado fuera de fábrica, acl</w:t>
      </w:r>
      <w:r>
        <w:t>a</w:t>
      </w:r>
      <w:r>
        <w:t>rando que si bien un particular podía conseguir la pintura original a esos efectos, el proceso de pi</w:t>
      </w:r>
      <w:r>
        <w:t>n</w:t>
      </w:r>
      <w:r>
        <w:t>tado en línea de montaje era único; incluso, el utilizado para reparar un vehículo en el concesionario podía ser similar, pero no igual.</w:t>
      </w:r>
    </w:p>
    <w:p w:rsidR="00224567" w:rsidRDefault="00224567">
      <w:pPr>
        <w:widowControl w:val="0"/>
      </w:pPr>
      <w:r>
        <w:tab/>
        <w:t>También informó que a una Trafic c</w:t>
      </w:r>
      <w:r>
        <w:t>o</w:t>
      </w:r>
      <w:r>
        <w:t>mún se le podía colocar una puerta lateral y que el trabajo usual a esos efectos consistía en cortar la e</w:t>
      </w:r>
      <w:r>
        <w:t>s</w:t>
      </w:r>
      <w:r>
        <w:t>tructura de la camioneta para colocar la puerta o vidrios; no obsta</w:t>
      </w:r>
      <w:r>
        <w:t>n</w:t>
      </w:r>
      <w:r>
        <w:t>te, acl</w:t>
      </w:r>
      <w:r>
        <w:t>a</w:t>
      </w:r>
      <w:r>
        <w:t>ró que la empresa sólo ofrecía repuestos para los rodados que ya traían la puerta o los ventanales col</w:t>
      </w:r>
      <w:r>
        <w:t>o</w:t>
      </w:r>
      <w:r>
        <w:t>cados de fábrica.</w:t>
      </w:r>
    </w:p>
    <w:p w:rsidR="00224567" w:rsidRDefault="00224567">
      <w:pPr>
        <w:widowControl w:val="0"/>
      </w:pPr>
      <w:r>
        <w:tab/>
        <w:t>En otro orden, declaró que existi</w:t>
      </w:r>
      <w:r>
        <w:t>e</w:t>
      </w:r>
      <w:r>
        <w:t>ron dos sistemas para grabar los números de la carroc</w:t>
      </w:r>
      <w:r>
        <w:t>e</w:t>
      </w:r>
      <w:r>
        <w:t>ría; uno era con un lápiz eléctrico, que luego fue reempl</w:t>
      </w:r>
      <w:r>
        <w:t>a</w:t>
      </w:r>
      <w:r>
        <w:t>zado por percusión, sin poder determinar exactamente cuándo se pr</w:t>
      </w:r>
      <w:r>
        <w:t>o</w:t>
      </w:r>
      <w:r>
        <w:t>dujo ese cambio. Apuntó que el lápiz eléctrico era para grabar y el lápiz ópt</w:t>
      </w:r>
      <w:r>
        <w:t>i</w:t>
      </w:r>
      <w:r>
        <w:t>co para leer.</w:t>
      </w:r>
    </w:p>
    <w:p w:rsidR="00224567" w:rsidRDefault="00224567">
      <w:pPr>
        <w:widowControl w:val="0"/>
      </w:pPr>
      <w:r>
        <w:rPr>
          <w:bCs/>
        </w:rPr>
        <w:tab/>
        <w:t>Si bien no tenía presente haber visto</w:t>
      </w:r>
      <w:r>
        <w:t xml:space="preserve"> piezas secuestradas en allanamientos, recordó la pr</w:t>
      </w:r>
      <w:r>
        <w:t>e</w:t>
      </w:r>
      <w:r>
        <w:t>sencia de objetos hallados entre los escombros depos</w:t>
      </w:r>
      <w:r>
        <w:t>i</w:t>
      </w:r>
      <w:r>
        <w:t xml:space="preserve">tados en el predio de </w:t>
      </w:r>
      <w:smartTag w:uri="urn:schemas-microsoft-com:office:smarttags" w:element="PersonName">
        <w:smartTagPr>
          <w:attr w:name="ProductID" w:val="la Ciudad Universitaria."/>
        </w:smartTagPr>
        <w:r>
          <w:t>la Ci</w:t>
        </w:r>
        <w:r>
          <w:t>u</w:t>
        </w:r>
        <w:r>
          <w:t>dad Universitaria.</w:t>
        </w:r>
      </w:smartTag>
    </w:p>
    <w:p w:rsidR="00224567" w:rsidRDefault="00224567">
      <w:pPr>
        <w:widowControl w:val="0"/>
      </w:pPr>
      <w:r>
        <w:rPr>
          <w:bCs/>
        </w:rPr>
        <w:tab/>
        <w:t xml:space="preserve">Por último, Cingolani refirió que </w:t>
      </w:r>
      <w:r>
        <w:t>pa</w:t>
      </w:r>
      <w:r>
        <w:t>r</w:t>
      </w:r>
      <w:r>
        <w:t>ticipó en tres allanamientos, uno de ellos en un desarm</w:t>
      </w:r>
      <w:r>
        <w:t>a</w:t>
      </w:r>
      <w:r>
        <w:t xml:space="preserve">dero ubicado sobre </w:t>
      </w:r>
      <w:smartTag w:uri="urn:schemas-microsoft-com:office:smarttags" w:element="PersonName">
        <w:smartTagPr>
          <w:attr w:name="ProductID" w:val="la Ruta"/>
        </w:smartTagPr>
        <w:r>
          <w:t>la Ruta</w:t>
        </w:r>
      </w:smartTag>
      <w:r>
        <w:t xml:space="preserve"> 8, otro en un t</w:t>
      </w:r>
      <w:r>
        <w:t>a</w:t>
      </w:r>
      <w:r>
        <w:t>ller de la zona de Colegiales y el tercero en la casa particular de una persona que poseía un vehículo de auxilio en el barrio de San Martín de la provincia de Buenos A</w:t>
      </w:r>
      <w:r>
        <w:t>i</w:t>
      </w:r>
      <w:r>
        <w:t>res. Reconoció las llantas secuestradas en el desarmadero como de Trafic, d</w:t>
      </w:r>
      <w:r>
        <w:t>a</w:t>
      </w:r>
      <w:r>
        <w:t>do que sobre el borde externo tenían grabado el número y nombre de proveedor –“Protto”- y una serie de números r</w:t>
      </w:r>
      <w:r>
        <w:t>e</w:t>
      </w:r>
      <w:r>
        <w:t>lacionados con la pieza y la industria, aclarando que la circunstancia de que varias llantas poseyeran idéntica n</w:t>
      </w:r>
      <w:r>
        <w:t>u</w:t>
      </w:r>
      <w:r>
        <w:t>meración no indicaba su pertenencia a un mismo rodado y que el número de pieza y la fecha de fabricación eran iguales para todas las llantas fabricadas en un mismo día o sem</w:t>
      </w:r>
      <w:r>
        <w:t>a</w:t>
      </w:r>
      <w:r>
        <w:t>na.</w:t>
      </w:r>
    </w:p>
    <w:p w:rsidR="00224567" w:rsidRDefault="00224567">
      <w:pPr>
        <w:widowControl w:val="0"/>
      </w:pPr>
      <w:r>
        <w:tab/>
        <w:t>El técnico Luis Omar Gariboldi, quien hacia julio de 1994 se desempeñaba como analista de r</w:t>
      </w:r>
      <w:r>
        <w:t>e</w:t>
      </w:r>
      <w:r>
        <w:t>puestos en el sector post-venta de la empresa “Renault A</w:t>
      </w:r>
      <w:r>
        <w:t>r</w:t>
      </w:r>
      <w:r>
        <w:t>gentina”, se pronunció en similares términos que Cingol</w:t>
      </w:r>
      <w:r>
        <w:t>a</w:t>
      </w:r>
      <w:r>
        <w:t>ni. No obstante, al exhibírsele en el debate los elementos incautados, reconoció los nº 28 -punta de eje trasero- y 30 -parte de la p</w:t>
      </w:r>
      <w:r>
        <w:t>a</w:t>
      </w:r>
      <w:r>
        <w:t>rrilla de suspensión del tren delantero- como los identificados el día del ate</w:t>
      </w:r>
      <w:r>
        <w:t>n</w:t>
      </w:r>
      <w:r>
        <w:t>tado.</w:t>
      </w:r>
    </w:p>
    <w:p w:rsidR="00224567" w:rsidRDefault="00224567">
      <w:pPr>
        <w:widowControl w:val="0"/>
      </w:pPr>
      <w:r>
        <w:tab/>
        <w:t>Asimismo, hizo saber que en base a las piezas que reconoció, se determinó que se trataba de una Trafic, habiéndose utilizado una camioneta de ese tipo p</w:t>
      </w:r>
      <w:r>
        <w:t>a</w:t>
      </w:r>
      <w:r>
        <w:t>ra cotejo en aquellos casos en los que la identificación era dudosa. Concluyó señalando que la utilizada en el atentado era una Trafic corta, sin poder determinar si p</w:t>
      </w:r>
      <w:r>
        <w:t>o</w:t>
      </w:r>
      <w:r>
        <w:t>seía o no pue</w:t>
      </w:r>
      <w:r>
        <w:t>r</w:t>
      </w:r>
      <w:r>
        <w:t>ta lateral.</w:t>
      </w:r>
    </w:p>
    <w:p w:rsidR="00224567" w:rsidRDefault="00224567">
      <w:pPr>
        <w:widowControl w:val="0"/>
      </w:pPr>
      <w:r>
        <w:tab/>
        <w:t>Por su parte, Justino Augusto Aco</w:t>
      </w:r>
      <w:r>
        <w:t>s</w:t>
      </w:r>
      <w:r>
        <w:t>ta, quien trabajaba en el departamento de asistencia técnica de “Renault Argentina”, fue coincidente con Cingolani y Gariboldi en cuanto a que fueron convocados al Departame</w:t>
      </w:r>
      <w:r>
        <w:t>n</w:t>
      </w:r>
      <w:r>
        <w:t>to Central de Policía, a efectos de llevar a cabo un rec</w:t>
      </w:r>
      <w:r>
        <w:t>o</w:t>
      </w:r>
      <w:r>
        <w:t>nocimiento de piezas de vehículos. Aclaró que concurrió en una sola oportunidad; si bien no pudo precisar la fecha, mencionó que cuando lo hizo aún se hallaba el grupo isra</w:t>
      </w:r>
      <w:r>
        <w:t>e</w:t>
      </w:r>
      <w:r>
        <w:t>lí que colaboraba con la investig</w:t>
      </w:r>
      <w:r>
        <w:t>a</w:t>
      </w:r>
      <w:r>
        <w:t>ción.</w:t>
      </w:r>
    </w:p>
    <w:p w:rsidR="00224567" w:rsidRDefault="00224567">
      <w:pPr>
        <w:pStyle w:val="Sangradetextonormal"/>
        <w:widowControl w:val="0"/>
        <w:ind w:firstLine="0"/>
      </w:pPr>
      <w:r>
        <w:tab/>
        <w:t>A su vez, Ricardo Eduardo Rodríguez Arvas refirió que en julio de 1994 se desempeñaba como d</w:t>
      </w:r>
      <w:r>
        <w:t>i</w:t>
      </w:r>
      <w:r>
        <w:t>re</w:t>
      </w:r>
      <w:r>
        <w:t>c</w:t>
      </w:r>
      <w:r>
        <w:t>tor de posventa en “Renault – C.I.A.D.E.A.”, habiéndose limitado a trasladar un pedido que la policía le efe</w:t>
      </w:r>
      <w:r>
        <w:t>c</w:t>
      </w:r>
      <w:r>
        <w:t>tuó a la empresa, tendiente a identificar un autom</w:t>
      </w:r>
      <w:r>
        <w:t>ó</w:t>
      </w:r>
      <w:r>
        <w:t>vil a partir de restos encontrados en el lugar de la expl</w:t>
      </w:r>
      <w:r>
        <w:t>o</w:t>
      </w:r>
      <w:r>
        <w:t>sión.</w:t>
      </w:r>
    </w:p>
    <w:p w:rsidR="00224567" w:rsidRDefault="00224567">
      <w:pPr>
        <w:pStyle w:val="Sangradetextonormal"/>
        <w:widowControl w:val="0"/>
        <w:ind w:firstLine="0"/>
      </w:pPr>
      <w:r>
        <w:tab/>
        <w:t>Al prestar declaración Diego Eduardo Ricagno manifestó que en julio de 1994 trabajaba en “R</w:t>
      </w:r>
      <w:r>
        <w:t>e</w:t>
      </w:r>
      <w:r>
        <w:t>nault Argentina S.A.”, en la parte técnica del departame</w:t>
      </w:r>
      <w:r>
        <w:t>n</w:t>
      </w:r>
      <w:r>
        <w:t>to de posventa, fundamentalmente en lo relacionado a f</w:t>
      </w:r>
      <w:r>
        <w:t>a</w:t>
      </w:r>
      <w:r>
        <w:t>llas en carroc</w:t>
      </w:r>
      <w:r>
        <w:t>e</w:t>
      </w:r>
      <w:r>
        <w:t>rías y pintura.</w:t>
      </w:r>
    </w:p>
    <w:p w:rsidR="00224567" w:rsidRDefault="00224567">
      <w:pPr>
        <w:pStyle w:val="Sangradetextonormal"/>
        <w:widowControl w:val="0"/>
        <w:ind w:firstLine="0"/>
      </w:pPr>
      <w:r>
        <w:tab/>
        <w:t>Narró que fue convocado por la empr</w:t>
      </w:r>
      <w:r>
        <w:t>e</w:t>
      </w:r>
      <w:r>
        <w:t>sa para colaborar en el reconocimiento de restos de carroc</w:t>
      </w:r>
      <w:r>
        <w:t>e</w:t>
      </w:r>
      <w:r>
        <w:t xml:space="preserve">ría hallados entre los escombros del edificio de </w:t>
      </w:r>
      <w:smartTag w:uri="urn:schemas-microsoft-com:office:smarttags" w:element="PersonName">
        <w:smartTagPr>
          <w:attr w:name="ProductID" w:val="la A.M"/>
        </w:smartTagPr>
        <w:r>
          <w:t>la A.M</w:t>
        </w:r>
      </w:smartTag>
      <w:r>
        <w:t xml:space="preserve">.I.A., tarea que realizó en el Departamento de </w:t>
      </w:r>
      <w:smartTag w:uri="urn:schemas-microsoft-com:office:smarttags" w:element="PersonName">
        <w:smartTagPr>
          <w:attr w:name="ProductID" w:val="la Polic￭a Federal"/>
        </w:smartTagPr>
        <w:r>
          <w:t>la Pol</w:t>
        </w:r>
        <w:r>
          <w:t>i</w:t>
        </w:r>
        <w:r>
          <w:t>cía Federal</w:t>
        </w:r>
      </w:smartTag>
      <w:r>
        <w:t>, junto con Cingolani y Gariboldi. Precisó que los elementos se encontraban en bolsas de plástico color negro, rotuladas a mano, correspondiendo la mayoría a la carroc</w:t>
      </w:r>
      <w:r>
        <w:t>e</w:t>
      </w:r>
      <w:r>
        <w:t>ría.</w:t>
      </w:r>
    </w:p>
    <w:p w:rsidR="00224567" w:rsidRDefault="00224567">
      <w:pPr>
        <w:pStyle w:val="Sangradetextonormal"/>
        <w:widowControl w:val="0"/>
        <w:ind w:firstLine="0"/>
      </w:pPr>
      <w:r>
        <w:tab/>
        <w:t>Al extraer las piezas de las bolsas, expuso, iban armando las distintas partes de la carroc</w:t>
      </w:r>
      <w:r>
        <w:t>e</w:t>
      </w:r>
      <w:r>
        <w:t>ría, sobre un esquema, con las dimensiones de una unidad original, dibujado sobre el piso del patio del Departame</w:t>
      </w:r>
      <w:r>
        <w:t>n</w:t>
      </w:r>
      <w:r>
        <w:t>to de Policía, de acuerdo a los planos de la empr</w:t>
      </w:r>
      <w:r>
        <w:t>e</w:t>
      </w:r>
      <w:r>
        <w:t>sa.</w:t>
      </w:r>
    </w:p>
    <w:p w:rsidR="00224567" w:rsidRDefault="00224567">
      <w:pPr>
        <w:pStyle w:val="Sangradetextonormal"/>
        <w:widowControl w:val="0"/>
        <w:ind w:firstLine="0"/>
      </w:pPr>
      <w:r>
        <w:tab/>
        <w:t>Señaló, inicialmente, que el análisis realizado determinó que los elementos corre</w:t>
      </w:r>
      <w:r>
        <w:t>s</w:t>
      </w:r>
      <w:r>
        <w:t>pondían a una Trafic larga, para luego, en otro tramo de su d</w:t>
      </w:r>
      <w:r>
        <w:t>e</w:t>
      </w:r>
      <w:r>
        <w:t>claración, explicar que no recordaba qué piezas lo llevaron a sost</w:t>
      </w:r>
      <w:r>
        <w:t>e</w:t>
      </w:r>
      <w:r>
        <w:t>ner tal cosa.</w:t>
      </w:r>
    </w:p>
    <w:p w:rsidR="00224567" w:rsidRDefault="00224567">
      <w:pPr>
        <w:pStyle w:val="Sangradetextonormal"/>
        <w:widowControl w:val="0"/>
        <w:ind w:firstLine="0"/>
      </w:pPr>
      <w:r>
        <w:tab/>
        <w:t>Negó haber participado en la recon</w:t>
      </w:r>
      <w:r>
        <w:t>s</w:t>
      </w:r>
      <w:r>
        <w:t>trucción ilustrada a fs. 35 del Informe Preliminar de Bo</w:t>
      </w:r>
      <w:r>
        <w:t>m</w:t>
      </w:r>
      <w:r>
        <w:t>beros, ya que allí la mayoría de los elementos eran de m</w:t>
      </w:r>
      <w:r>
        <w:t>e</w:t>
      </w:r>
      <w:r>
        <w:t>cánica, aunque refirió que, según creía, en ese momento se marcó el perímetro de una Trafic larga. Detalló que fueron armando las piezas como un rompecabezas hasta establecer los largos de los módulos y que de la extensión o dime</w:t>
      </w:r>
      <w:r>
        <w:t>n</w:t>
      </w:r>
      <w:r>
        <w:t>sión del perímetro se pudo co</w:t>
      </w:r>
      <w:r>
        <w:t>n</w:t>
      </w:r>
      <w:r>
        <w:t>cluir que se trataba de una c</w:t>
      </w:r>
      <w:r>
        <w:t>a</w:t>
      </w:r>
      <w:r>
        <w:t>mioneta larga.</w:t>
      </w:r>
    </w:p>
    <w:p w:rsidR="00224567" w:rsidRDefault="00224567">
      <w:pPr>
        <w:pStyle w:val="Sangradetextonormal"/>
        <w:widowControl w:val="0"/>
        <w:ind w:firstLine="0"/>
      </w:pPr>
      <w:r>
        <w:tab/>
        <w:t>Por otra parte, aseguró que recon</w:t>
      </w:r>
      <w:r>
        <w:t>o</w:t>
      </w:r>
      <w:r>
        <w:t>ció una sección de la parte correspondiente a la puerta corr</w:t>
      </w:r>
      <w:r>
        <w:t>e</w:t>
      </w:r>
      <w:r>
        <w:t>diza lateral, a la vez que enseñó que la “cajonera U” era una parte del mecanismo de esa puerta y que en las Trafic que carecían de ella, el módulo donde debía colocarse era reemplazado por una sección ciega de idénticas medidas al otro lateral, con la impronta invert</w:t>
      </w:r>
      <w:r>
        <w:t>i</w:t>
      </w:r>
      <w:r>
        <w:t>da.</w:t>
      </w:r>
    </w:p>
    <w:p w:rsidR="00224567" w:rsidRDefault="00224567">
      <w:pPr>
        <w:pStyle w:val="Sangradetextonormal"/>
        <w:widowControl w:val="0"/>
        <w:ind w:firstLine="0"/>
      </w:pPr>
      <w:r>
        <w:tab/>
        <w:t>Razonó que si a una Trafic tota</w:t>
      </w:r>
      <w:r>
        <w:t>l</w:t>
      </w:r>
      <w:r>
        <w:t>mente cerrada se le instalaba una puerta lateral en un taller, ésta no quedaría igual que la de fábrica, en virtud que había elementos y mecanismos que hacían al funcion</w:t>
      </w:r>
      <w:r>
        <w:t>a</w:t>
      </w:r>
      <w:r>
        <w:t>miento de la puerta corrediza que en una unidad con el costado ciego no exi</w:t>
      </w:r>
      <w:r>
        <w:t>s</w:t>
      </w:r>
      <w:r>
        <w:t>tían.</w:t>
      </w:r>
    </w:p>
    <w:p w:rsidR="00224567" w:rsidRDefault="00224567">
      <w:pPr>
        <w:pStyle w:val="Sangradetextonormal"/>
        <w:widowControl w:val="0"/>
        <w:ind w:firstLine="0"/>
      </w:pPr>
      <w:r>
        <w:tab/>
        <w:t>Asimismo, Ricagno aclaró que en su oportunidad trabajaron con los manuales de la empresa y determinaron que el color de la camioneta era blanco. Al exhibírsele las piezas en la audiencia de debate, sólo r</w:t>
      </w:r>
      <w:r>
        <w:t>e</w:t>
      </w:r>
      <w:r>
        <w:t>conoció las nº 1A, 2A, 5A, 37 y 50; sin embargo, no ind</w:t>
      </w:r>
      <w:r>
        <w:t>i</w:t>
      </w:r>
      <w:r>
        <w:t>vidualizó ningún objeto indicativo de la prese</w:t>
      </w:r>
      <w:r>
        <w:t>n</w:t>
      </w:r>
      <w:r>
        <w:t>cia de una puerta lateral.</w:t>
      </w:r>
    </w:p>
    <w:p w:rsidR="00224567" w:rsidRDefault="00224567">
      <w:pPr>
        <w:pStyle w:val="Sangradetextonormal"/>
        <w:widowControl w:val="0"/>
        <w:ind w:firstLine="0"/>
      </w:pPr>
      <w:r>
        <w:tab/>
        <w:t>En el catálogo de piezas del v</w:t>
      </w:r>
      <w:r>
        <w:t>e</w:t>
      </w:r>
      <w:r>
        <w:t>hículo Renault Trafic, copiado a fs. 14.314, el testigo, previa supresión de las indicaciones numéricas, señaló la “caj</w:t>
      </w:r>
      <w:r>
        <w:t>o</w:t>
      </w:r>
      <w:r>
        <w:t>nera U” -identificada como 1A-, agregando que se trataba de una pieza conformada, es decir, que no era una sección entera, sino ensamblada con otras chapas y soldada a la carrocería.</w:t>
      </w:r>
    </w:p>
    <w:p w:rsidR="00224567" w:rsidRDefault="00224567">
      <w:pPr>
        <w:pStyle w:val="Sangradetextonormal"/>
        <w:widowControl w:val="0"/>
        <w:ind w:firstLine="0"/>
      </w:pPr>
      <w:r>
        <w:tab/>
        <w:t>Expresó que no era posible determ</w:t>
      </w:r>
      <w:r>
        <w:t>i</w:t>
      </w:r>
      <w:r>
        <w:t>nar exactamente el proceso de pintado que tenían los objetos observados, puntualizando que para esa época las unid</w:t>
      </w:r>
      <w:r>
        <w:t>a</w:t>
      </w:r>
      <w:r>
        <w:t>des eran sometidas a baños por inmersión de protección cataf</w:t>
      </w:r>
      <w:r>
        <w:t>o</w:t>
      </w:r>
      <w:r>
        <w:t>résica y a una aplicación de pintura termoconvertible acrílica, a la vez que una impresión selladora de tipo epoxi iba aplicada sobre aquella protección; mat</w:t>
      </w:r>
      <w:r>
        <w:t>e</w:t>
      </w:r>
      <w:r>
        <w:t>rial que impedía que fuera modificada por solventes, thiner o na</w:t>
      </w:r>
      <w:r>
        <w:t>f</w:t>
      </w:r>
      <w:r>
        <w:t>ta, no recordando haber enco</w:t>
      </w:r>
      <w:r>
        <w:t>n</w:t>
      </w:r>
      <w:r>
        <w:t>trado piezas sometidas a ese tipo de proceso o si alguna de las chapas secuestradas t</w:t>
      </w:r>
      <w:r>
        <w:t>e</w:t>
      </w:r>
      <w:r>
        <w:t>nía la impresión sell</w:t>
      </w:r>
      <w:r>
        <w:t>a</w:t>
      </w:r>
      <w:r>
        <w:t>dora epoxi.</w:t>
      </w:r>
    </w:p>
    <w:p w:rsidR="00224567" w:rsidRDefault="00224567">
      <w:pPr>
        <w:pStyle w:val="Sangradetextonormal"/>
        <w:widowControl w:val="0"/>
        <w:ind w:firstLine="0"/>
      </w:pPr>
      <w:r>
        <w:tab/>
        <w:t>Consideró que los trabajos de pi</w:t>
      </w:r>
      <w:r>
        <w:t>n</w:t>
      </w:r>
      <w:r>
        <w:t>tura hechos en la empresa no diferían en gran medida de aqu</w:t>
      </w:r>
      <w:r>
        <w:t>e</w:t>
      </w:r>
      <w:r>
        <w:t>llos llevados a cabo en talleres exte</w:t>
      </w:r>
      <w:r>
        <w:t>r</w:t>
      </w:r>
      <w:r>
        <w:t>nos; en ambos casos, explicó, se trabaja con pinturas de base sim</w:t>
      </w:r>
      <w:r>
        <w:t>i</w:t>
      </w:r>
      <w:r>
        <w:t>lar, pero con componentes distintos. Hizo alusión a las pinturas term</w:t>
      </w:r>
      <w:r>
        <w:t>o</w:t>
      </w:r>
      <w:r>
        <w:t>convertibles, indicando que eran las que se aplicaban a carrocerías desarmadas, recién fabricadas, que no cont</w:t>
      </w:r>
      <w:r>
        <w:t>e</w:t>
      </w:r>
      <w:r>
        <w:t>nían ningún otro elemento que no fuera chapa y permitían trabajar con temperaturas de horno. En ese sentido, come</w:t>
      </w:r>
      <w:r>
        <w:t>n</w:t>
      </w:r>
      <w:r>
        <w:t>tó que cuando se repintaba se utilizaba un c</w:t>
      </w:r>
      <w:r>
        <w:t>a</w:t>
      </w:r>
      <w:r>
        <w:t>talizador que suplantaba a la temperatura, evitando el total desarmado de una carrocería cuando sólo se debía trabajar sobre una sección.</w:t>
      </w:r>
    </w:p>
    <w:p w:rsidR="00224567" w:rsidRDefault="00224567">
      <w:pPr>
        <w:pStyle w:val="Sangradetextonormal"/>
        <w:widowControl w:val="0"/>
        <w:ind w:firstLine="0"/>
      </w:pPr>
      <w:r>
        <w:tab/>
        <w:t>A lo expuesto añadió el experto que resultaba muy difícil colocar el sellador epoxi fuera de fábrica, por cuanto iba sobre la carrocería, expuesto en un horno a temperaturas muy elevadas para que c</w:t>
      </w:r>
      <w:r>
        <w:t>a</w:t>
      </w:r>
      <w:r>
        <w:t>talice sin perder la flexibilidad. Mencionó que la i</w:t>
      </w:r>
      <w:r>
        <w:t>m</w:t>
      </w:r>
      <w:r>
        <w:t>presión epoxi no se podía conseguir en el mercado porque sólo se comerci</w:t>
      </w:r>
      <w:r>
        <w:t>a</w:t>
      </w:r>
      <w:r>
        <w:t>liza en las terminales y que el proceso de cataforesis p</w:t>
      </w:r>
      <w:r>
        <w:t>o</w:t>
      </w:r>
      <w:r>
        <w:t>día desaparecer a cierta te</w:t>
      </w:r>
      <w:r>
        <w:t>m</w:t>
      </w:r>
      <w:r>
        <w:t>peratura.</w:t>
      </w:r>
    </w:p>
    <w:p w:rsidR="00224567" w:rsidRDefault="00224567">
      <w:pPr>
        <w:pStyle w:val="Sangradetextonormal"/>
        <w:widowControl w:val="0"/>
        <w:ind w:firstLine="0"/>
      </w:pPr>
      <w:r>
        <w:tab/>
        <w:t>Aseveró Ricagno que los elementos que examinó no se hallaban repintados y que las piezas est</w:t>
      </w:r>
      <w:r>
        <w:t>u</w:t>
      </w:r>
      <w:r>
        <w:t xml:space="preserve">diadas le impidieron establecer el año de fabricación de </w:t>
      </w:r>
      <w:smartTag w:uri="urn:schemas-microsoft-com:office:smarttags" w:element="PersonName">
        <w:smartTagPr>
          <w:attr w:name="ProductID" w:val="la Trafic."/>
        </w:smartTagPr>
        <w:r>
          <w:t>la Trafic.</w:t>
        </w:r>
      </w:smartTag>
    </w:p>
    <w:p w:rsidR="00224567" w:rsidRDefault="00224567">
      <w:pPr>
        <w:pStyle w:val="Sangradetextonormal"/>
        <w:widowControl w:val="0"/>
        <w:ind w:firstLine="0"/>
      </w:pPr>
      <w:r>
        <w:tab/>
        <w:t>Dijo que las chapas que estudió no e</w:t>
      </w:r>
      <w:r>
        <w:t>s</w:t>
      </w:r>
      <w:r>
        <w:t>tuvieron sometidas a temperatura sostenida, s</w:t>
      </w:r>
      <w:r>
        <w:t>i</w:t>
      </w:r>
      <w:r>
        <w:t>no sólo por breve tiempo, explicando que una unidad incendiada por llama no es recuperable, por cuanto se modifica la cadena molecular de la chapa, estimando que una vez modificada por la acción del fuego resultaba muy difícil determinar si la chapa tenía un proceso de pintado de fábrica o de un taller e</w:t>
      </w:r>
      <w:r>
        <w:t>x</w:t>
      </w:r>
      <w:r>
        <w:t>terno.</w:t>
      </w:r>
    </w:p>
    <w:p w:rsidR="00224567" w:rsidRDefault="00224567">
      <w:pPr>
        <w:pStyle w:val="Sangradetextonormal"/>
        <w:widowControl w:val="0"/>
        <w:ind w:firstLine="0"/>
      </w:pPr>
      <w:r>
        <w:tab/>
        <w:t>También hizo saber que si bien sobre una carrocería quemada se podía hacer un trabajo con pi</w:t>
      </w:r>
      <w:r>
        <w:t>n</w:t>
      </w:r>
      <w:r>
        <w:t>tura termoconvertible, el estado de la chapa no permit</w:t>
      </w:r>
      <w:r>
        <w:t>i</w:t>
      </w:r>
      <w:r>
        <w:t>ría que ese rodado volviese a circular, ya que al ser modif</w:t>
      </w:r>
      <w:r>
        <w:t>i</w:t>
      </w:r>
      <w:r>
        <w:t>cada su condición de origen, perdiendo flexibilidad, se encontraría al punto de quiebre; de tal forma que el vehículo podía estar perfectamente pint</w:t>
      </w:r>
      <w:r>
        <w:t>a</w:t>
      </w:r>
      <w:r>
        <w:t>do, pero al pasar una cuneta podría romperse en cualquier parte de su e</w:t>
      </w:r>
      <w:r>
        <w:t>s</w:t>
      </w:r>
      <w:r>
        <w:t>truct</w:t>
      </w:r>
      <w:r>
        <w:t>u</w:t>
      </w:r>
      <w:r>
        <w:t>ra.</w:t>
      </w:r>
    </w:p>
    <w:p w:rsidR="00224567" w:rsidRDefault="00224567">
      <w:pPr>
        <w:pStyle w:val="Sangradetextonormal"/>
        <w:widowControl w:val="0"/>
        <w:ind w:firstLine="0"/>
      </w:pPr>
      <w:r>
        <w:tab/>
        <w:t>Con relación a las fotografías que  exhiben la camioneta incendiada propiedad de “Messin”, glosadas a fs. 232/236, 238/239 y 29.140/29.151, man</w:t>
      </w:r>
      <w:r>
        <w:t>i</w:t>
      </w:r>
      <w:r>
        <w:t>festó que no podía determinar si las chapas que analizó corre</w:t>
      </w:r>
      <w:r>
        <w:t>s</w:t>
      </w:r>
      <w:r>
        <w:t>pondían a un vehículo como el ilustrado.</w:t>
      </w:r>
    </w:p>
    <w:p w:rsidR="00224567" w:rsidRDefault="00224567">
      <w:pPr>
        <w:pStyle w:val="Sangradetextonormal"/>
        <w:widowControl w:val="0"/>
        <w:ind w:firstLine="0"/>
      </w:pPr>
      <w:r>
        <w:tab/>
        <w:t>Finalmente, reconoció su firma en las actas de reconocimiento de piezas obrantes a fs. 14.320 y 14.321.</w:t>
      </w:r>
    </w:p>
    <w:p w:rsidR="00224567" w:rsidRDefault="00224567">
      <w:pPr>
        <w:pStyle w:val="Sangradetextonormal"/>
        <w:widowControl w:val="0"/>
        <w:ind w:firstLine="0"/>
        <w:rPr>
          <w:bCs/>
        </w:rPr>
      </w:pPr>
      <w:r>
        <w:tab/>
        <w:t xml:space="preserve">A su vez, el principal </w:t>
      </w:r>
      <w:r>
        <w:rPr>
          <w:bCs/>
        </w:rPr>
        <w:t xml:space="preserve">Claudio Luis Kirianovicz de </w:t>
      </w:r>
      <w:smartTag w:uri="urn:schemas-microsoft-com:office:smarttags" w:element="PersonName">
        <w:smartTagPr>
          <w:attr w:name="ProductID" w:val="la Divisi￳n Brigada"/>
        </w:smartTagPr>
        <w:r>
          <w:rPr>
            <w:bCs/>
          </w:rPr>
          <w:t>la División Brigada</w:t>
        </w:r>
      </w:smartTag>
      <w:r>
        <w:rPr>
          <w:bCs/>
        </w:rPr>
        <w:t xml:space="preserve"> de Explosivos, d</w:t>
      </w:r>
      <w:r>
        <w:rPr>
          <w:bCs/>
        </w:rPr>
        <w:t>e</w:t>
      </w:r>
      <w:r>
        <w:rPr>
          <w:bCs/>
        </w:rPr>
        <w:t>claró que un año después del atentado, con la colabor</w:t>
      </w:r>
      <w:r>
        <w:rPr>
          <w:bCs/>
        </w:rPr>
        <w:t>a</w:t>
      </w:r>
      <w:r>
        <w:rPr>
          <w:bCs/>
        </w:rPr>
        <w:t>ción de un especialista en chapas y carrocerías de “C.I.A.D.E.A.”, estableció que una de las piezas que conformaron la carr</w:t>
      </w:r>
      <w:r>
        <w:rPr>
          <w:bCs/>
        </w:rPr>
        <w:t>o</w:t>
      </w:r>
      <w:r>
        <w:rPr>
          <w:bCs/>
        </w:rPr>
        <w:t>cería del cochebomba era la “cajonera U”, que es aquella en la que se introduce el portón lateral o su guía, no p</w:t>
      </w:r>
      <w:r>
        <w:rPr>
          <w:bCs/>
        </w:rPr>
        <w:t>u</w:t>
      </w:r>
      <w:r>
        <w:rPr>
          <w:bCs/>
        </w:rPr>
        <w:t>diendo precisar si ésta fue de las halladas en el lugar del hecho o en el predio de Ciudad Universitaria.</w:t>
      </w:r>
    </w:p>
    <w:p w:rsidR="00224567" w:rsidRDefault="00224567">
      <w:pPr>
        <w:pStyle w:val="Sangradetextonormal"/>
        <w:widowControl w:val="0"/>
        <w:ind w:firstLine="0"/>
      </w:pPr>
      <w:r>
        <w:tab/>
        <w:t>Por su parte, Bernardo Ramón Salc</w:t>
      </w:r>
      <w:r>
        <w:t>e</w:t>
      </w:r>
      <w:r>
        <w:t>do, quien en 1994 se desempeñó en el laboratorio químico de “Renault”, explicó que a partir de marzo de 1987 se puso en marcha un nuevo proceso de protección de las carroc</w:t>
      </w:r>
      <w:r>
        <w:t>e</w:t>
      </w:r>
      <w:r>
        <w:t>rías denominado cataforesis, un nuevo tratamiento de s</w:t>
      </w:r>
      <w:r>
        <w:t>u</w:t>
      </w:r>
      <w:r>
        <w:t>perficie o fosfatizado denominado bicatión, en el que los cationes preponderantes eran manganeso y zinc y luego el procedimiento estándar sobre la cataf</w:t>
      </w:r>
      <w:r>
        <w:t>o</w:t>
      </w:r>
      <w:r>
        <w:t>resis, es decir, una impresión aceleradora epoxi y los esmaltes acrílicos. De</w:t>
      </w:r>
      <w:r>
        <w:t>s</w:t>
      </w:r>
      <w:r>
        <w:t>pués de 1990, i</w:t>
      </w:r>
      <w:r>
        <w:t>n</w:t>
      </w:r>
      <w:r>
        <w:t>dicó, continuó el mismo proceso, pero con fosfatizado tricatión, en lugar de bicatión, ya que se i</w:t>
      </w:r>
      <w:r>
        <w:t>n</w:t>
      </w:r>
      <w:r>
        <w:t>corporó un tercer catión –níquel- para el tratamiento de la superficie.</w:t>
      </w:r>
    </w:p>
    <w:p w:rsidR="00224567" w:rsidRDefault="00224567">
      <w:pPr>
        <w:pStyle w:val="Sangradetextonormal"/>
        <w:widowControl w:val="0"/>
        <w:ind w:firstLine="0"/>
      </w:pPr>
      <w:r>
        <w:tab/>
        <w:t>Añadió que todo el tratamiento de s</w:t>
      </w:r>
      <w:r>
        <w:t>u</w:t>
      </w:r>
      <w:r>
        <w:t>perficie y la cataforesis eran previos al pintado gen</w:t>
      </w:r>
      <w:r>
        <w:t>e</w:t>
      </w:r>
      <w:r>
        <w:t>ral y constituían netamente un proceso de protección. Me</w:t>
      </w:r>
      <w:r>
        <w:t>n</w:t>
      </w:r>
      <w:r>
        <w:t>cionó que entre 1987 y 1989 se aplicaron esmaltes acrílicos a las carrocerías de Renault Tr</w:t>
      </w:r>
      <w:r>
        <w:t>a</w:t>
      </w:r>
      <w:r>
        <w:t>fic, a las que generalmente se las pintaba de color “blanco chapelco”, ref</w:t>
      </w:r>
      <w:r>
        <w:t>i</w:t>
      </w:r>
      <w:r>
        <w:t xml:space="preserve">riendo que la pintura de la carrocería de un vehículo se destruía arriba de los 400 ó </w:t>
      </w:r>
      <w:smartTag w:uri="urn:schemas-microsoft-com:office:smarttags" w:element="metricconverter">
        <w:smartTagPr>
          <w:attr w:name="ProductID" w:val="500ﾺC"/>
        </w:smartTagPr>
        <w:r>
          <w:t>500ºC</w:t>
        </w:r>
      </w:smartTag>
      <w:r>
        <w:t>, desaparecie</w:t>
      </w:r>
      <w:r>
        <w:t>n</w:t>
      </w:r>
      <w:r>
        <w:t>do por completo.</w:t>
      </w:r>
    </w:p>
    <w:p w:rsidR="00224567" w:rsidRDefault="00224567">
      <w:pPr>
        <w:pStyle w:val="Sangradetextonormal"/>
        <w:widowControl w:val="0"/>
        <w:ind w:firstLine="0"/>
      </w:pPr>
      <w:r>
        <w:tab/>
        <w:t>El testigo aseguró que en su laborat</w:t>
      </w:r>
      <w:r>
        <w:t>o</w:t>
      </w:r>
      <w:r>
        <w:t>rio no se hicieron estudios sobre chapas afectadas por i</w:t>
      </w:r>
      <w:r>
        <w:t>n</w:t>
      </w:r>
      <w:r>
        <w:t>cendio, señalando que recibieron cajas con chapas deform</w:t>
      </w:r>
      <w:r>
        <w:t>a</w:t>
      </w:r>
      <w:r>
        <w:t>das, a las que se les efectuó un estudio de microscopía electrónica y espectrofotometría de infrarrojo, a r</w:t>
      </w:r>
      <w:r>
        <w:t>e</w:t>
      </w:r>
      <w:r>
        <w:t>sultas de lo cual se determinó que la gama era de las comprend</w:t>
      </w:r>
      <w:r>
        <w:t>i</w:t>
      </w:r>
      <w:r>
        <w:t>das entre marzo de 1987 y octubre de 1989, tratándose de paneles alterados desde el punto de vista físico, con ra</w:t>
      </w:r>
      <w:r>
        <w:t>s</w:t>
      </w:r>
      <w:r>
        <w:t>pones y rayones, pudiéndose advertir que era la gama co</w:t>
      </w:r>
      <w:r>
        <w:t>m</w:t>
      </w:r>
      <w:r>
        <w:t>pleta original intacta de “R</w:t>
      </w:r>
      <w:r>
        <w:t>e</w:t>
      </w:r>
      <w:r>
        <w:t>nault”, sin retoques.</w:t>
      </w:r>
    </w:p>
    <w:p w:rsidR="00224567" w:rsidRDefault="00224567">
      <w:pPr>
        <w:pStyle w:val="Sangradetextonormal"/>
        <w:widowControl w:val="0"/>
        <w:ind w:firstLine="0"/>
      </w:pPr>
      <w:r>
        <w:tab/>
        <w:t>En tal sentido, detalló que al ll</w:t>
      </w:r>
      <w:r>
        <w:t>e</w:t>
      </w:r>
      <w:r>
        <w:t>var a cabo el análisis no se advirtió el níquel fosfatizado, por lo que se concluyó que era la gama original de bic</w:t>
      </w:r>
      <w:r>
        <w:t>a</w:t>
      </w:r>
      <w:r>
        <w:t>tión, manganeso y zinc y que de haber existido níquel no pudo desaparecer por haber sufrido un incendio o expl</w:t>
      </w:r>
      <w:r>
        <w:t>o</w:t>
      </w:r>
      <w:r>
        <w:t>sión. También refirió que en las chapas analizadas la i</w:t>
      </w:r>
      <w:r>
        <w:t>m</w:t>
      </w:r>
      <w:r>
        <w:t>presión era epoxi y que el proceso orig</w:t>
      </w:r>
      <w:r>
        <w:t>i</w:t>
      </w:r>
      <w:r>
        <w:t>nal que tenían no podía ser imitado fuera de la fábrica. Además, manifestó que de haberse hecho un ret</w:t>
      </w:r>
      <w:r>
        <w:t>o</w:t>
      </w:r>
      <w:r>
        <w:t>que en esas chapas se hubiese advertido con los análisis realiz</w:t>
      </w:r>
      <w:r>
        <w:t>a</w:t>
      </w:r>
      <w:r>
        <w:t>dos.</w:t>
      </w:r>
    </w:p>
    <w:p w:rsidR="00224567" w:rsidRDefault="00224567">
      <w:pPr>
        <w:pStyle w:val="Sangradetextonormal"/>
        <w:widowControl w:val="0"/>
        <w:ind w:firstLine="0"/>
      </w:pPr>
      <w:r>
        <w:tab/>
        <w:t>Salcedo enseñó que el concepto de te</w:t>
      </w:r>
      <w:r>
        <w:t>m</w:t>
      </w:r>
      <w:r>
        <w:t>peratura sostenida guardaba relación con la perm</w:t>
      </w:r>
      <w:r>
        <w:t>a</w:t>
      </w:r>
      <w:r>
        <w:t>nencia en el tiempo de determinada composición térmica. Relató que cuando recibieron el material para análisis no evaluaron la causa de la degradación física que pr</w:t>
      </w:r>
      <w:r>
        <w:t>e</w:t>
      </w:r>
      <w:r>
        <w:t>sentaba, pero el deterioro de los paneles no era producto de un incendio, ya que la pintura no estaba qu</w:t>
      </w:r>
      <w:r>
        <w:t>e</w:t>
      </w:r>
      <w:r>
        <w:t>mada.</w:t>
      </w:r>
    </w:p>
    <w:p w:rsidR="00224567" w:rsidRDefault="00224567">
      <w:pPr>
        <w:pStyle w:val="Sangradetextonormal"/>
        <w:widowControl w:val="0"/>
        <w:ind w:firstLine="0"/>
      </w:pPr>
      <w:r>
        <w:tab/>
        <w:t>También explicó que la acción del fu</w:t>
      </w:r>
      <w:r>
        <w:t>e</w:t>
      </w:r>
      <w:r>
        <w:t>go sobre el bloque de un motor quemaba todo lo org</w:t>
      </w:r>
      <w:r>
        <w:t>á</w:t>
      </w:r>
      <w:r>
        <w:t>nico   -mangueras, aceites, pintura del motor- pero no podía fu</w:t>
      </w:r>
      <w:r>
        <w:t>n</w:t>
      </w:r>
      <w:r>
        <w:t>dir el metal, aunque ello dependía de la temperatura a</w:t>
      </w:r>
      <w:r>
        <w:t>l</w:t>
      </w:r>
      <w:r>
        <w:t>canzada y que después de un incendio se producía en el m</w:t>
      </w:r>
      <w:r>
        <w:t>o</w:t>
      </w:r>
      <w:r>
        <w:t>tor algún proceso de ox</w:t>
      </w:r>
      <w:r>
        <w:t>i</w:t>
      </w:r>
      <w:r>
        <w:t>dación.</w:t>
      </w:r>
    </w:p>
    <w:p w:rsidR="00224567" w:rsidRDefault="00224567">
      <w:pPr>
        <w:pStyle w:val="Sangradetextonormal"/>
        <w:widowControl w:val="0"/>
        <w:ind w:firstLine="0"/>
      </w:pPr>
      <w:r>
        <w:tab/>
        <w:t>En último término, reconoció su firma a fs. 11.917 y 12.037 del principal y a fs. 17 del I</w:t>
      </w:r>
      <w:r>
        <w:t>n</w:t>
      </w:r>
      <w:r>
        <w:t xml:space="preserve">forme Final de </w:t>
      </w:r>
      <w:smartTag w:uri="urn:schemas-microsoft-com:office:smarttags" w:element="PersonName">
        <w:smartTagPr>
          <w:attr w:name="ProductID" w:val="la Superintendencia"/>
        </w:smartTagPr>
        <w:r>
          <w:t>la Superintendencia</w:t>
        </w:r>
      </w:smartTag>
      <w:r>
        <w:t xml:space="preserve"> de Bomb</w:t>
      </w:r>
      <w:r>
        <w:t>e</w:t>
      </w:r>
      <w:r>
        <w:t>ros.</w:t>
      </w:r>
    </w:p>
    <w:p w:rsidR="00224567" w:rsidRDefault="00224567">
      <w:pPr>
        <w:pStyle w:val="Sangradetextonormal"/>
        <w:widowControl w:val="0"/>
        <w:ind w:firstLine="0"/>
      </w:pPr>
      <w:r>
        <w:tab/>
        <w:t>A su turno,</w:t>
      </w:r>
      <w:r>
        <w:rPr>
          <w:b/>
          <w:bCs/>
        </w:rPr>
        <w:t xml:space="preserve"> </w:t>
      </w:r>
      <w:r>
        <w:t>Hugo Ricardo Pérez, ing</w:t>
      </w:r>
      <w:r>
        <w:t>e</w:t>
      </w:r>
      <w:r>
        <w:t>niero en 1994 del laboratorio de “Renault Argentina”, r</w:t>
      </w:r>
      <w:r>
        <w:t>e</w:t>
      </w:r>
      <w:r>
        <w:t>cordó que se enviaron a la empresa trozos de chapa para que se verificase si fueron fabricados por dicha terminal, como así también qué compuestos presentaban y si coinc</w:t>
      </w:r>
      <w:r>
        <w:t>i</w:t>
      </w:r>
      <w:r>
        <w:t>dían éstos con los elementos usados para la pintura que se aplicaba para el tratamiento de la superficie de la carr</w:t>
      </w:r>
      <w:r>
        <w:t>o</w:t>
      </w:r>
      <w:r>
        <w:t>cería.</w:t>
      </w:r>
    </w:p>
    <w:p w:rsidR="00224567" w:rsidRDefault="00224567">
      <w:pPr>
        <w:pStyle w:val="Sangradetextonormal"/>
        <w:widowControl w:val="0"/>
        <w:ind w:firstLine="0"/>
      </w:pPr>
      <w:r>
        <w:tab/>
        <w:t>Dicho análisis, sostuvo, coinc</w:t>
      </w:r>
      <w:r>
        <w:t>i</w:t>
      </w:r>
      <w:r>
        <w:t>dió con lo dictaminado con anterioridad por Salcedo, en cuanto a que esas piezas no habían sufrido temperaturas superi</w:t>
      </w:r>
      <w:r>
        <w:t>o</w:t>
      </w:r>
      <w:r>
        <w:t>res a las que soportaba una carrocería en el proceso de fabr</w:t>
      </w:r>
      <w:r>
        <w:t>i</w:t>
      </w:r>
      <w:r>
        <w:t>cación en la planta automotriz, expl</w:t>
      </w:r>
      <w:r>
        <w:t>i</w:t>
      </w:r>
      <w:r>
        <w:t xml:space="preserve">cando que en la etapa de cataforesis era de </w:t>
      </w:r>
      <w:smartTag w:uri="urn:schemas-microsoft-com:office:smarttags" w:element="metricconverter">
        <w:smartTagPr>
          <w:attr w:name="ProductID" w:val="200ﾺC"/>
        </w:smartTagPr>
        <w:r>
          <w:t>200ºC</w:t>
        </w:r>
      </w:smartTag>
      <w:r>
        <w:t xml:space="preserve">, en la aplicación de la capa siguiente de </w:t>
      </w:r>
      <w:smartTag w:uri="urn:schemas-microsoft-com:office:smarttags" w:element="metricconverter">
        <w:smartTagPr>
          <w:attr w:name="ProductID" w:val="175ﾺC"/>
        </w:smartTagPr>
        <w:r>
          <w:t>175ºC</w:t>
        </w:r>
      </w:smartTag>
      <w:r>
        <w:t xml:space="preserve"> y para la capa final de </w:t>
      </w:r>
      <w:smartTag w:uri="urn:schemas-microsoft-com:office:smarttags" w:element="metricconverter">
        <w:smartTagPr>
          <w:attr w:name="ProductID" w:val="150ﾺC"/>
        </w:smartTagPr>
        <w:r>
          <w:t>150ºC</w:t>
        </w:r>
      </w:smartTag>
      <w:r>
        <w:t>, aprox</w:t>
      </w:r>
      <w:r>
        <w:t>i</w:t>
      </w:r>
      <w:r>
        <w:t>madame</w:t>
      </w:r>
      <w:r>
        <w:t>n</w:t>
      </w:r>
      <w:r>
        <w:t>te.</w:t>
      </w:r>
    </w:p>
    <w:p w:rsidR="00224567" w:rsidRDefault="00224567">
      <w:pPr>
        <w:pStyle w:val="Sangradetextonormal"/>
        <w:widowControl w:val="0"/>
        <w:ind w:firstLine="0"/>
      </w:pPr>
      <w:r>
        <w:tab/>
        <w:t>Hizo saber que para establecer si las chapas habían sido expuestas a temperatura sostenida di</w:t>
      </w:r>
      <w:r>
        <w:t>e</w:t>
      </w:r>
      <w:r>
        <w:t>ron intervención al área metalúrgica, que concl</w:t>
      </w:r>
      <w:r>
        <w:t>u</w:t>
      </w:r>
      <w:r>
        <w:t>yó que no estuvieron sometidas a una temperatura sup</w:t>
      </w:r>
      <w:r>
        <w:t>e</w:t>
      </w:r>
      <w:r>
        <w:t>rior a las del proceso de fabricación, dado que en ese caso cambiaban los granos del metal.</w:t>
      </w:r>
    </w:p>
    <w:p w:rsidR="00224567" w:rsidRDefault="00224567">
      <w:pPr>
        <w:pStyle w:val="Sangradetextonormal"/>
        <w:widowControl w:val="0"/>
        <w:ind w:firstLine="0"/>
      </w:pPr>
      <w:r>
        <w:tab/>
        <w:t>Pérez negó haber participado en una microscopía electrónica de barrido derivada a una instit</w:t>
      </w:r>
      <w:r>
        <w:t>u</w:t>
      </w:r>
      <w:r>
        <w:t>ción llamada “CEMCOR”, dependiente del “INTI”, como así también en la realización de una electro fotografía infr</w:t>
      </w:r>
      <w:r>
        <w:t>a</w:t>
      </w:r>
      <w:r>
        <w:t>rroja. No obstante, explicó que el primero de los análisis referidos concluyó que la chapa tenía una pr</w:t>
      </w:r>
      <w:r>
        <w:t>i</w:t>
      </w:r>
      <w:r>
        <w:t>mera capa de fosfatizado de manganeso y zinc, similar al proceso usado en la empresa automotriz, mientras que, en el segundo, se detectó la presencia de la primer capa de cataforesis s</w:t>
      </w:r>
      <w:r>
        <w:t>o</w:t>
      </w:r>
      <w:r>
        <w:t>bre el fosfatizado, que es un compuesto epoxi y sobre ésta “sealer”, un material de r</w:t>
      </w:r>
      <w:r>
        <w:t>e</w:t>
      </w:r>
      <w:r>
        <w:t>lleno para alisar la superficie y, luego, la pintura color, que se trata de un compuesto acr</w:t>
      </w:r>
      <w:r>
        <w:t>í</w:t>
      </w:r>
      <w:r>
        <w:t>lico.</w:t>
      </w:r>
    </w:p>
    <w:p w:rsidR="00224567" w:rsidRDefault="00224567">
      <w:pPr>
        <w:pStyle w:val="Sangradetextonormal"/>
        <w:widowControl w:val="0"/>
        <w:ind w:firstLine="0"/>
      </w:pPr>
      <w:r>
        <w:tab/>
        <w:t>En ese sentido, detalló que en un pr</w:t>
      </w:r>
      <w:r>
        <w:t>o</w:t>
      </w:r>
      <w:r>
        <w:t>ceso original de fábrica, desde la chapa pelada hasta la pintura final, se verifican varias capas de material, a saber: primero un tratamiento de fosfato sobre la chapa limpia, luego una capa de cataforesis, la capa de impr</w:t>
      </w:r>
      <w:r>
        <w:t>e</w:t>
      </w:r>
      <w:r>
        <w:t>sión intermedia “sealer”, que es otro epoxi y, por último, la capa de color. Aclaró que después de un choque, en la reparación de la chapa no se verificaría un pr</w:t>
      </w:r>
      <w:r>
        <w:t>o</w:t>
      </w:r>
      <w:r>
        <w:t>ceso igual, sea arreglado en un taller oficial o no, ya que la comp</w:t>
      </w:r>
      <w:r>
        <w:t>o</w:t>
      </w:r>
      <w:r>
        <w:t>sición de la pintura difiere de la utilizada en la pla</w:t>
      </w:r>
      <w:r>
        <w:t>n</w:t>
      </w:r>
      <w:r>
        <w:t>ta.</w:t>
      </w:r>
    </w:p>
    <w:p w:rsidR="00224567" w:rsidRDefault="00224567">
      <w:pPr>
        <w:pStyle w:val="Sangradetextonormal"/>
        <w:widowControl w:val="0"/>
        <w:ind w:firstLine="0"/>
      </w:pPr>
      <w:r>
        <w:tab/>
        <w:t>En otro orden, Pérez manifestó la i</w:t>
      </w:r>
      <w:r>
        <w:t>m</w:t>
      </w:r>
      <w:r>
        <w:t>posibilidad de determinar cómo se produjeron u origin</w:t>
      </w:r>
      <w:r>
        <w:t>a</w:t>
      </w:r>
      <w:r>
        <w:t>ron las deformaciones que presentaban las chapas, a la vez que admitió que tanto él como el laboratorio de la empresa c</w:t>
      </w:r>
      <w:r>
        <w:t>a</w:t>
      </w:r>
      <w:r>
        <w:t>recían de experiencia en deformaciones o daños causados por explosivos. Aclaró que tampoco fue posible d</w:t>
      </w:r>
      <w:r>
        <w:t>e</w:t>
      </w:r>
      <w:r>
        <w:t>terminar a qué vehículo correspondían las chapas, aunque se est</w:t>
      </w:r>
      <w:r>
        <w:t>a</w:t>
      </w:r>
      <w:r>
        <w:t>bleció que fueron fabricadas e</w:t>
      </w:r>
      <w:r>
        <w:t>n</w:t>
      </w:r>
      <w:r>
        <w:t>tre 1987 y 1989, en base a los productos usados en el tratamiento de la superficie, reconociendo su firma en el informe obrante a fs. 38 del Informe Final, como ta</w:t>
      </w:r>
      <w:r>
        <w:t>m</w:t>
      </w:r>
      <w:r>
        <w:t>bién en las estampadas a fs. 5638, 5891, 5892 y 5909 del legajo de instru</w:t>
      </w:r>
      <w:r>
        <w:t>c</w:t>
      </w:r>
      <w:r>
        <w:t>ción suplementaria.</w:t>
      </w:r>
    </w:p>
    <w:p w:rsidR="00224567" w:rsidRDefault="00224567">
      <w:pPr>
        <w:pStyle w:val="Sangradetextonormal"/>
        <w:widowControl w:val="0"/>
        <w:ind w:firstLine="0"/>
      </w:pPr>
      <w:r>
        <w:tab/>
        <w:t>A su turno, Daniel Balián, quien en 1994 trabajó en el sector Síntesis de Vehículos y Labor</w:t>
      </w:r>
      <w:r>
        <w:t>a</w:t>
      </w:r>
      <w:r>
        <w:t>torio de “Renault Argentina”, dijo que no intervino en forma directa en los estudios; no obsta</w:t>
      </w:r>
      <w:r>
        <w:t>n</w:t>
      </w:r>
      <w:r>
        <w:t>te, recordó que en una oportunidad recibió un pedido del pe</w:t>
      </w:r>
      <w:r>
        <w:t>r</w:t>
      </w:r>
      <w:r>
        <w:t>sonal de posventa de Buenos Aires para analizar algunos tr</w:t>
      </w:r>
      <w:r>
        <w:t>o</w:t>
      </w:r>
      <w:r>
        <w:t>zos de chapas, a los fines de determinar si podían haber pertenecido al vehículo utilizado en la explosión y si, a través del r</w:t>
      </w:r>
      <w:r>
        <w:t>e</w:t>
      </w:r>
      <w:r>
        <w:t>conocimiento de la pintura, era posible establecer si c</w:t>
      </w:r>
      <w:r>
        <w:t>o</w:t>
      </w:r>
      <w:r>
        <w:t>rrespondían al proceso utilizado por la empr</w:t>
      </w:r>
      <w:r>
        <w:t>e</w:t>
      </w:r>
      <w:r>
        <w:t>sa.</w:t>
      </w:r>
    </w:p>
    <w:p w:rsidR="00224567" w:rsidRDefault="00224567">
      <w:pPr>
        <w:pStyle w:val="Sangradetextonormal"/>
        <w:widowControl w:val="0"/>
        <w:ind w:firstLine="0"/>
      </w:pPr>
      <w:r>
        <w:tab/>
        <w:t>Comentó que delegó la tarea en el se</w:t>
      </w:r>
      <w:r>
        <w:t>c</w:t>
      </w:r>
      <w:r>
        <w:t>tor especializado para ello, a resultas de lo cual se pr</w:t>
      </w:r>
      <w:r>
        <w:t>o</w:t>
      </w:r>
      <w:r>
        <w:t>dujo el i</w:t>
      </w:r>
      <w:r>
        <w:t>n</w:t>
      </w:r>
      <w:r>
        <w:t>forme de fs. 29.708, que daba cuenta de que esas chapas fueron pintadas con un proceso equivalente o sim</w:t>
      </w:r>
      <w:r>
        <w:t>i</w:t>
      </w:r>
      <w:r>
        <w:t>lar al utilizado en “R</w:t>
      </w:r>
      <w:r>
        <w:t>e</w:t>
      </w:r>
      <w:r>
        <w:t>nault Argentina”, correspondiente a un período previo a un cambio de pr</w:t>
      </w:r>
      <w:r>
        <w:t>o</w:t>
      </w:r>
      <w:r>
        <w:t>ceso de pintura.</w:t>
      </w:r>
    </w:p>
    <w:p w:rsidR="00224567" w:rsidRDefault="00224567">
      <w:pPr>
        <w:pStyle w:val="Sangradetextonormal"/>
        <w:widowControl w:val="0"/>
        <w:ind w:firstLine="0"/>
      </w:pPr>
      <w:r>
        <w:tab/>
        <w:t>Por último, explicó que en un vehíc</w:t>
      </w:r>
      <w:r>
        <w:t>u</w:t>
      </w:r>
      <w:r>
        <w:t>lo pintado en diciembre de 1990 resultaba imposible que se utilizara un sistema diferente o anterior, que ya no se empleara en la empresa, debido a que el proceso se hacía en serie, por lo que resultaba muy dif</w:t>
      </w:r>
      <w:r>
        <w:t>í</w:t>
      </w:r>
      <w:r>
        <w:t>cil que se hiciera un cambio para una sola un</w:t>
      </w:r>
      <w:r>
        <w:t>i</w:t>
      </w:r>
      <w:r>
        <w:t>dad.</w:t>
      </w:r>
    </w:p>
    <w:p w:rsidR="00224567" w:rsidRDefault="00224567">
      <w:pPr>
        <w:pStyle w:val="Sangradetextonormal"/>
        <w:widowControl w:val="0"/>
        <w:ind w:firstLine="0"/>
      </w:pPr>
      <w:r>
        <w:tab/>
        <w:t>José Luis Alberto Rosetti, respons</w:t>
      </w:r>
      <w:r>
        <w:t>a</w:t>
      </w:r>
      <w:r>
        <w:t>ble en 1994 de la ingeniería de “Renault Argentina”, expresó que le fue solicitada por nota la evacuación de tres co</w:t>
      </w:r>
      <w:r>
        <w:t>n</w:t>
      </w:r>
      <w:r>
        <w:t>sultas sobre la fabricación de una Trafic, recon</w:t>
      </w:r>
      <w:r>
        <w:t>o</w:t>
      </w:r>
      <w:r>
        <w:t>ciendo su firma en la nota glosada a fs. 30.215. En ellas informó que un conju</w:t>
      </w:r>
      <w:r>
        <w:t>n</w:t>
      </w:r>
      <w:r>
        <w:t>to de tres piezas sobre el que fue consultado era una “U” deslizante de la puerta lateral, siendo sus componentes importados de Francia y ensamblados por el proveedor “Montich” de la ciudad de Có</w:t>
      </w:r>
      <w:r>
        <w:t>r</w:t>
      </w:r>
      <w:r>
        <w:t>doba.</w:t>
      </w:r>
    </w:p>
    <w:p w:rsidR="00224567" w:rsidRDefault="00224567">
      <w:pPr>
        <w:pStyle w:val="Sangradetextonormal"/>
        <w:widowControl w:val="0"/>
        <w:ind w:firstLine="0"/>
      </w:pPr>
      <w:r>
        <w:tab/>
        <w:t>Asimismo, hizo saber que en un tiempo no se fabricaron Trafic cortas con elásticos de nueve h</w:t>
      </w:r>
      <w:r>
        <w:t>o</w:t>
      </w:r>
      <w:r>
        <w:t>jas; se reforzaron algunas unidades de ese t</w:t>
      </w:r>
      <w:r>
        <w:t>i</w:t>
      </w:r>
      <w:r>
        <w:t>po, ya que en 1998 se estaban produciendo para el mercado brasileño. E</w:t>
      </w:r>
      <w:r>
        <w:t>x</w:t>
      </w:r>
      <w:r>
        <w:t>plicó que reacondicionar una Trafic corta con un elást</w:t>
      </w:r>
      <w:r>
        <w:t>i</w:t>
      </w:r>
      <w:r>
        <w:t>co de nueve hojas no era un trabajo dificultoso, ya que co</w:t>
      </w:r>
      <w:r>
        <w:t>n</w:t>
      </w:r>
      <w:r>
        <w:t>sistía en cambiar los gemelos y poner esa cantidad de h</w:t>
      </w:r>
      <w:r>
        <w:t>o</w:t>
      </w:r>
      <w:r>
        <w:t>jas en los elásticos, en lugar de las que llevaba norma</w:t>
      </w:r>
      <w:r>
        <w:t>l</w:t>
      </w:r>
      <w:r>
        <w:t>mente.</w:t>
      </w:r>
    </w:p>
    <w:p w:rsidR="00224567" w:rsidRDefault="00224567">
      <w:pPr>
        <w:pStyle w:val="Sangradetextonormal"/>
        <w:widowControl w:val="0"/>
        <w:ind w:firstLine="0"/>
      </w:pPr>
      <w:r>
        <w:tab/>
        <w:t>También consideró factible vender un rodado cero kilómetro de determinado año, aunque hubiera sido fabricado el anterior, no existiendo impedimentos p</w:t>
      </w:r>
      <w:r>
        <w:t>a</w:t>
      </w:r>
      <w:r>
        <w:t>ra que repuestos fabricados en un año fueran ut</w:t>
      </w:r>
      <w:r>
        <w:t>i</w:t>
      </w:r>
      <w:r>
        <w:t>lizados al siguiente, por cuanto lo que importaba era la fecha de a</w:t>
      </w:r>
      <w:r>
        <w:t>r</w:t>
      </w:r>
      <w:r>
        <w:t>mado.</w:t>
      </w:r>
    </w:p>
    <w:p w:rsidR="00224567" w:rsidRDefault="00224567">
      <w:pPr>
        <w:pStyle w:val="Sangradetextonormal"/>
        <w:widowControl w:val="0"/>
        <w:ind w:firstLine="0"/>
      </w:pPr>
      <w:r>
        <w:tab/>
        <w:t>Por otra parte, comentó que las Tr</w:t>
      </w:r>
      <w:r>
        <w:t>a</w:t>
      </w:r>
      <w:r>
        <w:t xml:space="preserve">fic comenzaron a comercializarse en </w:t>
      </w:r>
      <w:smartTag w:uri="urn:schemas-microsoft-com:office:smarttags" w:element="PersonName">
        <w:smartTagPr>
          <w:attr w:name="ProductID" w:val="la Argentina"/>
        </w:smartTagPr>
        <w:r>
          <w:t>la Argentina</w:t>
        </w:r>
      </w:smartTag>
      <w:r>
        <w:t xml:space="preserve"> e</w:t>
      </w:r>
      <w:r>
        <w:t>n</w:t>
      </w:r>
      <w:r>
        <w:t>tre 1984 y 1985, aproximadamente, sin que se hubieran pr</w:t>
      </w:r>
      <w:r>
        <w:t>o</w:t>
      </w:r>
      <w:r>
        <w:t>ducido entre 1987 y 1991 modificaciones en el mod</w:t>
      </w:r>
      <w:r>
        <w:t>e</w:t>
      </w:r>
      <w:r>
        <w:t>lo.</w:t>
      </w:r>
    </w:p>
    <w:p w:rsidR="00224567" w:rsidRDefault="00224567">
      <w:pPr>
        <w:pStyle w:val="Sangradetextonormal"/>
        <w:widowControl w:val="0"/>
        <w:ind w:firstLine="0"/>
      </w:pPr>
      <w:r>
        <w:tab/>
        <w:t>A su turno, Eduardo Magnano, respons</w:t>
      </w:r>
      <w:r>
        <w:t>a</w:t>
      </w:r>
      <w:r>
        <w:t>ble en 1994 del Departamento de Informaciones Técn</w:t>
      </w:r>
      <w:r>
        <w:t>i</w:t>
      </w:r>
      <w:r>
        <w:t>cas de “Renault Argentina”, indicó que fue convocado por el ju</w:t>
      </w:r>
      <w:r>
        <w:t>z</w:t>
      </w:r>
      <w:r>
        <w:t>gado instructor para oficiar como nexo con la empresa a</w:t>
      </w:r>
      <w:r>
        <w:t>u</w:t>
      </w:r>
      <w:r>
        <w:t>tomotriz, aportando datos técnicos relacionados con fra</w:t>
      </w:r>
      <w:r>
        <w:t>g</w:t>
      </w:r>
      <w:r>
        <w:t>mentos de un vehículo encontrados en el lugar de la expl</w:t>
      </w:r>
      <w:r>
        <w:t>o</w:t>
      </w:r>
      <w:r>
        <w:t>sión.</w:t>
      </w:r>
    </w:p>
    <w:p w:rsidR="00224567" w:rsidRDefault="00224567">
      <w:pPr>
        <w:pStyle w:val="Sangradetextonormal"/>
        <w:widowControl w:val="0"/>
        <w:ind w:firstLine="0"/>
      </w:pPr>
      <w:r>
        <w:tab/>
        <w:t>Así, manifestó que el día del atent</w:t>
      </w:r>
      <w:r>
        <w:t>a</w:t>
      </w:r>
      <w:r>
        <w:t>do, pasados unos cuarenta o cuarenta y cinco minutos de</w:t>
      </w:r>
      <w:r>
        <w:t>s</w:t>
      </w:r>
      <w:r>
        <w:t xml:space="preserve">pués de conocerse la noticia, personal de </w:t>
      </w:r>
      <w:smartTag w:uri="urn:schemas-microsoft-com:office:smarttags" w:element="PersonName">
        <w:smartTagPr>
          <w:attr w:name="ProductID" w:val="la Polic￭a Federal"/>
        </w:smartTagPr>
        <w:r>
          <w:t>la Policía Fed</w:t>
        </w:r>
        <w:r>
          <w:t>e</w:t>
        </w:r>
        <w:r>
          <w:t>ral</w:t>
        </w:r>
      </w:smartTag>
      <w:r>
        <w:t xml:space="preserve"> co</w:t>
      </w:r>
      <w:r>
        <w:t>n</w:t>
      </w:r>
      <w:r>
        <w:t xml:space="preserve">currió a la empresa con una pieza de forma tubular, alargada, que medía unos </w:t>
      </w:r>
      <w:smartTag w:uri="urn:schemas-microsoft-com:office:smarttags" w:element="metricconverter">
        <w:smartTagPr>
          <w:attr w:name="ProductID" w:val="40 a"/>
        </w:smartTagPr>
        <w:r>
          <w:t>40 a</w:t>
        </w:r>
      </w:smartTag>
      <w:r>
        <w:t xml:space="preserve"> </w:t>
      </w:r>
      <w:smartTag w:uri="urn:schemas-microsoft-com:office:smarttags" w:element="metricconverter">
        <w:smartTagPr>
          <w:attr w:name="ProductID" w:val="50 cm"/>
        </w:smartTagPr>
        <w:r>
          <w:t>50 cm</w:t>
        </w:r>
      </w:smartTag>
      <w:r>
        <w:t>. Relató que al cot</w:t>
      </w:r>
      <w:r>
        <w:t>e</w:t>
      </w:r>
      <w:r>
        <w:t>jarse con otra de un vehículo Trafic, coi</w:t>
      </w:r>
      <w:r>
        <w:t>n</w:t>
      </w:r>
      <w:r>
        <w:t>cidía en cuanto a la forma e incluso las numeraci</w:t>
      </w:r>
      <w:r>
        <w:t>o</w:t>
      </w:r>
      <w:r>
        <w:t>nes estaban grabadas, en ambos casos, en el mismo lugar, aclarando que por la num</w:t>
      </w:r>
      <w:r>
        <w:t>e</w:t>
      </w:r>
      <w:r>
        <w:t>ración estampada en la pieza no era posible determinar a qué modelo correspondía el vehículo, consignando tan solo un dato de fabr</w:t>
      </w:r>
      <w:r>
        <w:t>i</w:t>
      </w:r>
      <w:r>
        <w:t>cación.</w:t>
      </w:r>
    </w:p>
    <w:p w:rsidR="00224567" w:rsidRDefault="00224567">
      <w:pPr>
        <w:pStyle w:val="Sangradetextonormal"/>
        <w:widowControl w:val="0"/>
        <w:ind w:firstLine="0"/>
      </w:pPr>
      <w:r>
        <w:tab/>
        <w:t>A su vez, recordó haber observado fragmentos minúsculos de chapas de vehículos, re</w:t>
      </w:r>
      <w:r>
        <w:t>s</w:t>
      </w:r>
      <w:r>
        <w:t>pecto de los cuales Bernardo Salcedo obtuvo datos relacion</w:t>
      </w:r>
      <w:r>
        <w:t>a</w:t>
      </w:r>
      <w:r>
        <w:t>dos con procesos de fabricación y pintado, lo que permitió prec</w:t>
      </w:r>
      <w:r>
        <w:t>i</w:t>
      </w:r>
      <w:r>
        <w:t>sar una época de fabricación del rodado por cambios de componentes en la pintura. Al recrearse un fragmento de su declaración prestada en la etapa anterior, recordó que ellos correspondían a un proceso que comenzó en marzo de 1987 y finalizó en o</w:t>
      </w:r>
      <w:r>
        <w:t>c</w:t>
      </w:r>
      <w:r>
        <w:t>tubre de 1989.</w:t>
      </w:r>
    </w:p>
    <w:p w:rsidR="00224567" w:rsidRDefault="00224567">
      <w:pPr>
        <w:pStyle w:val="Sangradetextonormal"/>
        <w:widowControl w:val="0"/>
        <w:ind w:firstLine="0"/>
      </w:pPr>
      <w:r>
        <w:tab/>
        <w:t>Magnano declaró que era posible dete</w:t>
      </w:r>
      <w:r>
        <w:t>r</w:t>
      </w:r>
      <w:r>
        <w:t>minar el modelo de un vehículo Trafic tomando como base un paquete de elásticos trasero, por cuanto diferían según fueran de una Trafic corta o larga o según los kilos de carga.</w:t>
      </w:r>
    </w:p>
    <w:p w:rsidR="00224567" w:rsidRDefault="00224567">
      <w:pPr>
        <w:pStyle w:val="Sangradetextonormal"/>
        <w:widowControl w:val="0"/>
        <w:ind w:firstLine="0"/>
      </w:pPr>
      <w:r>
        <w:tab/>
        <w:t>Por otra parte, expuso que el “VIN” era una identificación internacional de diecisiete d</w:t>
      </w:r>
      <w:r>
        <w:t>í</w:t>
      </w:r>
      <w:r>
        <w:t>gitos con números y letras, usado por todas las marcas de aut</w:t>
      </w:r>
      <w:r>
        <w:t>o</w:t>
      </w:r>
      <w:r>
        <w:t>motores, que individualizaba a los vehículos, indicando el país, fabricante y otros datos relacion</w:t>
      </w:r>
      <w:r>
        <w:t>a</w:t>
      </w:r>
      <w:r>
        <w:t>dos con el modelo, la carrocería y el año de fabricación. Aseveró que con posterioridad a la implementación de ese sistema era pos</w:t>
      </w:r>
      <w:r>
        <w:t>i</w:t>
      </w:r>
      <w:r>
        <w:t>ble que un rodado fabricado en un año se vendiera al año siguiente, como así también que piezas fabricadas en un año y dejadas en stock pudieran ser instaladas en vehíc</w:t>
      </w:r>
      <w:r>
        <w:t>u</w:t>
      </w:r>
      <w:r>
        <w:t>los montados en años posteri</w:t>
      </w:r>
      <w:r>
        <w:t>o</w:t>
      </w:r>
      <w:r>
        <w:t>res.</w:t>
      </w:r>
    </w:p>
    <w:p w:rsidR="00224567" w:rsidRDefault="00224567">
      <w:pPr>
        <w:pStyle w:val="Sangradetextonormal"/>
        <w:widowControl w:val="0"/>
        <w:ind w:firstLine="0"/>
      </w:pPr>
      <w:r>
        <w:tab/>
        <w:t>Por último, no reconoció como s</w:t>
      </w:r>
      <w:r>
        <w:t>u</w:t>
      </w:r>
      <w:r>
        <w:t>ya la firma obrante en la nota de fs. 12.804, pero indicó que era similar a la de uno de sus jefes, llamado Domingo Ca</w:t>
      </w:r>
      <w:r>
        <w:t>s</w:t>
      </w:r>
      <w:r>
        <w:t>tila.</w:t>
      </w:r>
    </w:p>
    <w:p w:rsidR="00224567" w:rsidRDefault="00224567">
      <w:pPr>
        <w:pStyle w:val="Sangradetextonormal"/>
        <w:widowControl w:val="0"/>
        <w:ind w:firstLine="0"/>
      </w:pPr>
      <w:r>
        <w:tab/>
        <w:t xml:space="preserve">Por su parte, José Luis Martilotta, empleado de “Renault Argentina”, indicó que transcurrido más de un año del atentado a </w:t>
      </w:r>
      <w:smartTag w:uri="urn:schemas-microsoft-com:office:smarttags" w:element="PersonName">
        <w:smartTagPr>
          <w:attr w:name="ProductID" w:val="la A.M"/>
        </w:smartTagPr>
        <w:r>
          <w:t>la A.M</w:t>
        </w:r>
      </w:smartTag>
      <w:r>
        <w:t>.I.A. fue convocado junto con Jorge Valdez, a efectos de reconocer algunas piezas mecánicas correspondientes a una Trafic. En la a</w:t>
      </w:r>
      <w:r>
        <w:t>u</w:t>
      </w:r>
      <w:r>
        <w:t>diencia de d</w:t>
      </w:r>
      <w:r>
        <w:t>e</w:t>
      </w:r>
      <w:r>
        <w:t>bate reconoció, entre otras, la pieza nº 34, expl</w:t>
      </w:r>
      <w:r>
        <w:t>i</w:t>
      </w:r>
      <w:r>
        <w:t>cando que se trataba de una hoja de elástico, la que poseía un código que permitía su identificación, pero i</w:t>
      </w:r>
      <w:r>
        <w:t>n</w:t>
      </w:r>
      <w:r>
        <w:t>suficiente para establecer a qué modelo de Trafic perten</w:t>
      </w:r>
      <w:r>
        <w:t>e</w:t>
      </w:r>
      <w:r>
        <w:t>cía, en razón que había elásticos para Trafic de chasis corto o la</w:t>
      </w:r>
      <w:r>
        <w:t>r</w:t>
      </w:r>
      <w:r>
        <w:t>go.</w:t>
      </w:r>
    </w:p>
    <w:p w:rsidR="00224567" w:rsidRDefault="00224567">
      <w:pPr>
        <w:pStyle w:val="Sangradetextonormal"/>
        <w:widowControl w:val="0"/>
        <w:ind w:firstLine="0"/>
      </w:pPr>
      <w:r>
        <w:tab/>
        <w:t>Si se incorpora un elástico de una Trafic larga en una corta, enseñó, se le otorga la posib</w:t>
      </w:r>
      <w:r>
        <w:t>i</w:t>
      </w:r>
      <w:r>
        <w:t>lidad de soportar más peso, mas ello no era un trabajo h</w:t>
      </w:r>
      <w:r>
        <w:t>a</w:t>
      </w:r>
      <w:r>
        <w:t>bitual ni se realizaba en la fábrica, añadiendo que el elástico de una Trafic larga tenía un número de identif</w:t>
      </w:r>
      <w:r>
        <w:t>i</w:t>
      </w:r>
      <w:r>
        <w:t>cación distinto al de la corta. Consideró ilógico e irr</w:t>
      </w:r>
      <w:r>
        <w:t>a</w:t>
      </w:r>
      <w:r>
        <w:t>zonable que uno fabricado para una Trafic de caja larga fuera instalado en un rodado equipado con un motor chico, ya que la relación peso potencia de ese vehículo no lo justificaba; en ese caso, comentó, el utilitario soport</w:t>
      </w:r>
      <w:r>
        <w:t>a</w:t>
      </w:r>
      <w:r>
        <w:t>ría mayor carga, pero el motor trabaj</w:t>
      </w:r>
      <w:r>
        <w:t>a</w:t>
      </w:r>
      <w:r>
        <w:t>ría forzado, con una vida útil más limitada.</w:t>
      </w:r>
    </w:p>
    <w:p w:rsidR="00224567" w:rsidRDefault="00224567">
      <w:pPr>
        <w:pStyle w:val="Sangradetextonormal"/>
        <w:widowControl w:val="0"/>
        <w:ind w:firstLine="0"/>
      </w:pPr>
      <w:r>
        <w:tab/>
        <w:t>Recordó que el reconocimiento de pi</w:t>
      </w:r>
      <w:r>
        <w:t>e</w:t>
      </w:r>
      <w:r>
        <w:t>zas se efectuó relacionando los números de identific</w:t>
      </w:r>
      <w:r>
        <w:t>a</w:t>
      </w:r>
      <w:r>
        <w:t>ción con los manuales de la empresa, informando que c</w:t>
      </w:r>
      <w:r>
        <w:t>a</w:t>
      </w:r>
      <w:r>
        <w:t>da pieza tenía un número identificatorio, que en ciertos casos pe</w:t>
      </w:r>
      <w:r>
        <w:t>r</w:t>
      </w:r>
      <w:r>
        <w:t>mitía saber en qué rodado fue ensamblada, por cuanto exi</w:t>
      </w:r>
      <w:r>
        <w:t>s</w:t>
      </w:r>
      <w:r>
        <w:t>tían piezas comunes a todos los vehíc</w:t>
      </w:r>
      <w:r>
        <w:t>u</w:t>
      </w:r>
      <w:r>
        <w:t>los y otras que no.</w:t>
      </w:r>
    </w:p>
    <w:p w:rsidR="00224567" w:rsidRDefault="00224567">
      <w:pPr>
        <w:pStyle w:val="Sangradetextonormal"/>
        <w:widowControl w:val="0"/>
        <w:ind w:firstLine="0"/>
      </w:pPr>
      <w:r>
        <w:tab/>
        <w:t>Admitió que entre las piezas que rec</w:t>
      </w:r>
      <w:r>
        <w:t>o</w:t>
      </w:r>
      <w:r>
        <w:t>noció había algunas de vehículos de chasis corto y otras de chasis largo, es decir, como si estuviera “ante la pr</w:t>
      </w:r>
      <w:r>
        <w:t>e</w:t>
      </w:r>
      <w:r>
        <w:t>sencia de dos vehículos”, aclarando que un rodado que t</w:t>
      </w:r>
      <w:r>
        <w:t>u</w:t>
      </w:r>
      <w:r>
        <w:t>viera esas partes no tendría dificultad alguna en su fu</w:t>
      </w:r>
      <w:r>
        <w:t>n</w:t>
      </w:r>
      <w:r>
        <w:t>cionamiento.</w:t>
      </w:r>
    </w:p>
    <w:p w:rsidR="00224567" w:rsidRDefault="00224567">
      <w:pPr>
        <w:pStyle w:val="Sangradetextonormal"/>
        <w:widowControl w:val="0"/>
        <w:ind w:firstLine="0"/>
      </w:pPr>
      <w:r>
        <w:tab/>
        <w:t>Reconoció su firma en el informe de fs. 14.263/14.265 y el acta de fs. 14.267.</w:t>
      </w:r>
    </w:p>
    <w:p w:rsidR="00224567" w:rsidRDefault="00224567">
      <w:pPr>
        <w:pStyle w:val="Sangradetextonormal"/>
        <w:widowControl w:val="0"/>
        <w:ind w:firstLine="0"/>
      </w:pPr>
      <w:r>
        <w:tab/>
        <w:t>A su vez, Jorge Florencio Valdez, té</w:t>
      </w:r>
      <w:r>
        <w:t>c</w:t>
      </w:r>
      <w:r>
        <w:t xml:space="preserve">nico de “Renault Argentina”, acotó que un par de meses después del atentado a </w:t>
      </w:r>
      <w:smartTag w:uri="urn:schemas-microsoft-com:office:smarttags" w:element="PersonName">
        <w:smartTagPr>
          <w:attr w:name="ProductID" w:val="la A.M"/>
        </w:smartTagPr>
        <w:r>
          <w:t>la A.M</w:t>
        </w:r>
      </w:smartTag>
      <w:r>
        <w:t>.I.A. fue convocado para identificar unas piezas, junto con su jefe Martilotta y Gariboldi, para lo cual tomaron nota de los n</w:t>
      </w:r>
      <w:r>
        <w:t>ú</w:t>
      </w:r>
      <w:r>
        <w:t>meros de las piezas de las que se podía obtener información r</w:t>
      </w:r>
      <w:r>
        <w:t>e</w:t>
      </w:r>
      <w:r>
        <w:t>lativa a la fecha de fabricación, a efectos de determinar la de a</w:t>
      </w:r>
      <w:r>
        <w:t>r</w:t>
      </w:r>
      <w:r>
        <w:t>mado del rodado. Indicó que concluyeron que había fechas de fabricación muy disímiles entre las distintas piezas, siendo la mayoría ant</w:t>
      </w:r>
      <w:r>
        <w:t>e</w:t>
      </w:r>
      <w:r>
        <w:t xml:space="preserve">rior a </w:t>
      </w:r>
      <w:smartTag w:uri="urn:schemas-microsoft-com:office:smarttags" w:element="metricconverter">
        <w:smartTagPr>
          <w:attr w:name="ProductID" w:val="1990, a"/>
        </w:smartTagPr>
        <w:r>
          <w:t>1990, a</w:t>
        </w:r>
      </w:smartTag>
      <w:r>
        <w:t xml:space="preserve"> excepción de una hoja de elástico que era de 1991 ó 1992. Asimismo, recordó que una hoja madre de elástico era de 1993 y correspondía a un furgón de chasis largo, en tanto las piezas delanteras eran de fu</w:t>
      </w:r>
      <w:r>
        <w:t>r</w:t>
      </w:r>
      <w:r>
        <w:t>gón corto.</w:t>
      </w:r>
    </w:p>
    <w:p w:rsidR="00224567" w:rsidRDefault="00224567">
      <w:pPr>
        <w:pStyle w:val="Sangradetextonormal"/>
        <w:widowControl w:val="0"/>
        <w:ind w:firstLine="0"/>
      </w:pPr>
      <w:r>
        <w:tab/>
        <w:t>Explicó que la hoja madre de elá</w:t>
      </w:r>
      <w:r>
        <w:t>s</w:t>
      </w:r>
      <w:r>
        <w:t>tico sostenía todo el paquete y era la que venía identific</w:t>
      </w:r>
      <w:r>
        <w:t>a</w:t>
      </w:r>
      <w:r>
        <w:t>da, siendo que el paquete de elásticos de una Trafic corta t</w:t>
      </w:r>
      <w:r>
        <w:t>e</w:t>
      </w:r>
      <w:r>
        <w:t>nía una hoja madre distinta. También informó que a efe</w:t>
      </w:r>
      <w:r>
        <w:t>c</w:t>
      </w:r>
      <w:r>
        <w:t>tos de reforzar la suspensión de una Trafic de chasis co</w:t>
      </w:r>
      <w:r>
        <w:t>r</w:t>
      </w:r>
      <w:r>
        <w:t>to se le agregaban hojas en el paquete de elásticos y se cambi</w:t>
      </w:r>
      <w:r>
        <w:t>a</w:t>
      </w:r>
      <w:r>
        <w:t>ban los su</w:t>
      </w:r>
      <w:r>
        <w:t>n</w:t>
      </w:r>
      <w:r>
        <w:t>chos que las tomaban.</w:t>
      </w:r>
    </w:p>
    <w:p w:rsidR="00224567" w:rsidRDefault="00224567">
      <w:pPr>
        <w:pStyle w:val="Sangradetextonormal"/>
        <w:widowControl w:val="0"/>
        <w:ind w:firstLine="0"/>
      </w:pPr>
      <w:r>
        <w:tab/>
        <w:t>A fin de complementar su explic</w:t>
      </w:r>
      <w:r>
        <w:t>a</w:t>
      </w:r>
      <w:r>
        <w:t>ción, hizo saber que si la hoja madre carecía de número ident</w:t>
      </w:r>
      <w:r>
        <w:t>i</w:t>
      </w:r>
      <w:r>
        <w:t>ficatorio, se podría determinar si pert</w:t>
      </w:r>
      <w:r>
        <w:t>e</w:t>
      </w:r>
      <w:r>
        <w:t>necía a una Trafic larga o corta por la medida del paquete de elást</w:t>
      </w:r>
      <w:r>
        <w:t>i</w:t>
      </w:r>
      <w:r>
        <w:t>cos, que variaba en la cantidad de hojas y poseía una hoja madre más larga. Aseguró que a simple vista se distinguía una hoja de elástico de fu</w:t>
      </w:r>
      <w:r>
        <w:t>r</w:t>
      </w:r>
      <w:r>
        <w:t>gón corto de una de largo, por ser más extensa.</w:t>
      </w:r>
    </w:p>
    <w:p w:rsidR="00224567" w:rsidRDefault="00224567">
      <w:pPr>
        <w:pStyle w:val="Sangradetextonormal"/>
        <w:widowControl w:val="0"/>
        <w:ind w:firstLine="0"/>
      </w:pPr>
      <w:r>
        <w:tab/>
        <w:t>Reconoció su firma en el informe de fs. 14.263/14.265 y el acta de fs. 14.267 y en la sala de audiencias señaló la pieza nº 34 como la hoja madre de elástico.</w:t>
      </w:r>
    </w:p>
    <w:p w:rsidR="00224567" w:rsidRDefault="00224567">
      <w:pPr>
        <w:pStyle w:val="Sangradetextonormal"/>
        <w:widowControl w:val="0"/>
        <w:ind w:firstLine="0"/>
      </w:pPr>
      <w:r>
        <w:tab/>
        <w:t>Daniel Aurelio Galetto, empleado de “Renault Argentina” en el área de diseño de ingeniería y métodos de la planta de Santa Isabel, provincia de Córd</w:t>
      </w:r>
      <w:r>
        <w:t>o</w:t>
      </w:r>
      <w:r>
        <w:t>ba, refirió que su actuación en la causa se limitó a la elaboración de un informe referido a la forma de grabado de los números de identificación en los motores y carroc</w:t>
      </w:r>
      <w:r>
        <w:t>e</w:t>
      </w:r>
      <w:r>
        <w:t>rías. Precisó que no se utilizaban lápices ópticos, sino un sistema de cuños, por impacto, alfanum</w:t>
      </w:r>
      <w:r>
        <w:t>é</w:t>
      </w:r>
      <w:r>
        <w:t>ricos, es decir, con números y letras, desconociendo si alguna vez se usó un lápiz óptico para los gr</w:t>
      </w:r>
      <w:r>
        <w:t>a</w:t>
      </w:r>
      <w:r>
        <w:t>bados.</w:t>
      </w:r>
    </w:p>
    <w:p w:rsidR="00224567" w:rsidRDefault="00224567">
      <w:pPr>
        <w:pStyle w:val="Sangradetextonormal"/>
        <w:widowControl w:val="0"/>
        <w:ind w:firstLine="0"/>
      </w:pPr>
      <w:r>
        <w:tab/>
        <w:t>Jorge Oscar Mamone, también té</w:t>
      </w:r>
      <w:r>
        <w:t>c</w:t>
      </w:r>
      <w:r>
        <w:t>nico de “Renault Argentina”, explicó que generalmente las piezas mecánicas tenían un código de fabricación o de prove</w:t>
      </w:r>
      <w:r>
        <w:t>e</w:t>
      </w:r>
      <w:r>
        <w:t>dor y podían lucir un rombo, en tanto las chapas sólo se ident</w:t>
      </w:r>
      <w:r>
        <w:t>i</w:t>
      </w:r>
      <w:r>
        <w:t>ficaban por el formato. Señaló que ciertas partes, como las relacionadas con la suspensión o el motor, no perm</w:t>
      </w:r>
      <w:r>
        <w:t>i</w:t>
      </w:r>
      <w:r>
        <w:t>tían distinguir si correspondían a una Trafic larga o co</w:t>
      </w:r>
      <w:r>
        <w:t>r</w:t>
      </w:r>
      <w:r>
        <w:t>ta, porque eran comunes a todos los modelos. Asimismo, consideró extraño que en la planta hubiera un gran stock de piezas ya que, en general, se trabajaba con stock al día, salvo casos excepcion</w:t>
      </w:r>
      <w:r>
        <w:t>a</w:t>
      </w:r>
      <w:r>
        <w:t>les.</w:t>
      </w:r>
    </w:p>
    <w:p w:rsidR="00224567" w:rsidRDefault="00224567">
      <w:pPr>
        <w:pStyle w:val="Sangradetextonormal"/>
        <w:widowControl w:val="0"/>
        <w:ind w:firstLine="0"/>
      </w:pPr>
      <w:r>
        <w:tab/>
        <w:t>En otro orden, expresó que durante un período se utilizó un lápiz eléctrico para grabar en la chapa el número de modelo y serie de la carrocería, desc</w:t>
      </w:r>
      <w:r>
        <w:t>o</w:t>
      </w:r>
      <w:r>
        <w:t>nociendo qué era un lápiz ópt</w:t>
      </w:r>
      <w:r>
        <w:t>i</w:t>
      </w:r>
      <w:r>
        <w:t>co.</w:t>
      </w:r>
    </w:p>
    <w:p w:rsidR="00224567" w:rsidRDefault="00224567">
      <w:pPr>
        <w:pStyle w:val="Sangradetextonormal"/>
        <w:widowControl w:val="0"/>
        <w:ind w:firstLine="0"/>
      </w:pPr>
      <w:r>
        <w:tab/>
        <w:t>A las declaraciones del personal de “Renault Argentina S.A.” se agregan las de los mecánicos Roberto Eduardo Ruiz y Sergio Daniel Fraga, esp</w:t>
      </w:r>
      <w:r>
        <w:t>e</w:t>
      </w:r>
      <w:r>
        <w:t>cialistas en su</w:t>
      </w:r>
      <w:r>
        <w:t>s</w:t>
      </w:r>
      <w:r>
        <w:t>pensión y elásticos.</w:t>
      </w:r>
    </w:p>
    <w:p w:rsidR="00224567" w:rsidRDefault="00224567">
      <w:pPr>
        <w:widowControl w:val="0"/>
      </w:pPr>
      <w:r>
        <w:tab/>
        <w:t>El primero manifestó que para esa a</w:t>
      </w:r>
      <w:r>
        <w:t>c</w:t>
      </w:r>
      <w:r>
        <w:t>tividad se utilizan herramientas comunes y neumáticas, e incluso fraguas, morsas y máquinas de curvar y que para reforzar los elásticos de un utilit</w:t>
      </w:r>
      <w:r>
        <w:t>a</w:t>
      </w:r>
      <w:r>
        <w:t>rio, a efectos de que soporte más peso, se agregan hojas al mismo paquete, inc</w:t>
      </w:r>
      <w:r>
        <w:t>i</w:t>
      </w:r>
      <w:r>
        <w:t>diendo ello en el andar del vehíc</w:t>
      </w:r>
      <w:r>
        <w:t>u</w:t>
      </w:r>
      <w:r>
        <w:t>lo.</w:t>
      </w:r>
    </w:p>
    <w:p w:rsidR="00224567" w:rsidRDefault="00224567">
      <w:pPr>
        <w:widowControl w:val="0"/>
      </w:pPr>
      <w:r>
        <w:tab/>
        <w:t>Aclaró que en una misma Trafic se pu</w:t>
      </w:r>
      <w:r>
        <w:t>e</w:t>
      </w:r>
      <w:r>
        <w:t>de colocar un elástico de una corta y otro de una larga y, si bien desnivelado, un automotor de esas característ</w:t>
      </w:r>
      <w:r>
        <w:t>i</w:t>
      </w:r>
      <w:r>
        <w:t>cas puede funcionar normalmente. Mencionó que en cie</w:t>
      </w:r>
      <w:r>
        <w:t>r</w:t>
      </w:r>
      <w:r>
        <w:t>tos casos se refuerza más de un lado que del otro, para luego niv</w:t>
      </w:r>
      <w:r>
        <w:t>e</w:t>
      </w:r>
      <w:r>
        <w:t>larla con la carga.</w:t>
      </w:r>
    </w:p>
    <w:p w:rsidR="00224567" w:rsidRDefault="00224567">
      <w:pPr>
        <w:widowControl w:val="0"/>
      </w:pPr>
      <w:r>
        <w:tab/>
        <w:t>Por su parte, Fraga sostuvo que para esa actividad se requerían herramientas y conocimientos especiales, como así también máquinas para curvar las h</w:t>
      </w:r>
      <w:r>
        <w:t>o</w:t>
      </w:r>
      <w:r>
        <w:t>jas. Aclaró que ambos elásticos debían ser parejos; en c</w:t>
      </w:r>
      <w:r>
        <w:t>a</w:t>
      </w:r>
      <w:r>
        <w:t>so contrario, no entraban.</w:t>
      </w:r>
    </w:p>
    <w:p w:rsidR="00224567" w:rsidRDefault="00224567">
      <w:pPr>
        <w:widowControl w:val="0"/>
      </w:pPr>
      <w:r>
        <w:tab/>
        <w:t>Ambos coincidieron en señalar que r</w:t>
      </w:r>
      <w:r>
        <w:t>e</w:t>
      </w:r>
      <w:r>
        <w:t>forzar un paquete de elásticos demandaba e</w:t>
      </w:r>
      <w:r>
        <w:t>n</w:t>
      </w:r>
      <w:r>
        <w:t>tre dos y tres horas de trabajo y se realizaba a efectos de que el r</w:t>
      </w:r>
      <w:r>
        <w:t>o</w:t>
      </w:r>
      <w:r>
        <w:t>dado pudiese cargar mayor peso, como por ejemplo cuando se in</w:t>
      </w:r>
      <w:r>
        <w:t>s</w:t>
      </w:r>
      <w:r>
        <w:t>talaba un equipo de gas.</w:t>
      </w:r>
    </w:p>
    <w:p w:rsidR="00224567" w:rsidRDefault="00224567">
      <w:pPr>
        <w:widowControl w:val="0"/>
        <w:rPr>
          <w:bCs/>
        </w:rPr>
      </w:pPr>
      <w:r>
        <w:tab/>
      </w:r>
      <w:r>
        <w:rPr>
          <w:b/>
          <w:bCs/>
        </w:rPr>
        <w:t>D.2.b)</w:t>
      </w:r>
      <w:r>
        <w:t xml:space="preserve"> A </w:t>
      </w:r>
      <w:r>
        <w:rPr>
          <w:bCs/>
        </w:rPr>
        <w:t>fs. 13/17 del Informe Prel</w:t>
      </w:r>
      <w:r>
        <w:rPr>
          <w:bCs/>
        </w:rPr>
        <w:t>i</w:t>
      </w:r>
      <w:r>
        <w:rPr>
          <w:bCs/>
        </w:rPr>
        <w:t xml:space="preserve">minar de </w:t>
      </w:r>
      <w:smartTag w:uri="urn:schemas-microsoft-com:office:smarttags" w:element="PersonName">
        <w:smartTagPr>
          <w:attr w:name="ProductID" w:val="la Superintendencia"/>
        </w:smartTagPr>
        <w:r>
          <w:rPr>
            <w:bCs/>
          </w:rPr>
          <w:t>la Superintendencia</w:t>
        </w:r>
      </w:smartTag>
      <w:r>
        <w:rPr>
          <w:bCs/>
        </w:rPr>
        <w:t xml:space="preserve"> de Bomberos consta que el 18 de julio se analizaron las primeras piezas de  veh</w:t>
      </w:r>
      <w:r>
        <w:rPr>
          <w:bCs/>
        </w:rPr>
        <w:t>í</w:t>
      </w:r>
      <w:r>
        <w:rPr>
          <w:bCs/>
        </w:rPr>
        <w:t xml:space="preserve">culo   -trozos de cubiertas y restos de autopartes- halladas en el lugar, arribándose </w:t>
      </w:r>
      <w:r>
        <w:rPr>
          <w:bCs/>
          <w:u w:val="single"/>
        </w:rPr>
        <w:t>prima facie</w:t>
      </w:r>
      <w:r>
        <w:rPr>
          <w:bCs/>
        </w:rPr>
        <w:t xml:space="preserve"> a la conclusión de que se había utilizado una camioneta Renault Trafic como c</w:t>
      </w:r>
      <w:r>
        <w:rPr>
          <w:bCs/>
        </w:rPr>
        <w:t>o</w:t>
      </w:r>
      <w:r>
        <w:rPr>
          <w:bCs/>
        </w:rPr>
        <w:t>chebomba. Asimi</w:t>
      </w:r>
      <w:r>
        <w:rPr>
          <w:bCs/>
        </w:rPr>
        <w:t>s</w:t>
      </w:r>
      <w:r>
        <w:rPr>
          <w:bCs/>
        </w:rPr>
        <w:t>mo, se dejó asentado que los días 20, 22, 26, 27 y 29 de julio y 1º de agosto de 1994, personal de “C.I.A.D.E.A.” identificó diversos restos como perten</w:t>
      </w:r>
      <w:r>
        <w:rPr>
          <w:bCs/>
        </w:rPr>
        <w:t>e</w:t>
      </w:r>
      <w:r>
        <w:rPr>
          <w:bCs/>
        </w:rPr>
        <w:t>cientes a un vehículo de esas características y que real</w:t>
      </w:r>
      <w:r>
        <w:rPr>
          <w:bCs/>
        </w:rPr>
        <w:t>i</w:t>
      </w:r>
      <w:r>
        <w:rPr>
          <w:bCs/>
        </w:rPr>
        <w:t>zó una reconstrucción primaria, a escala real, de la ub</w:t>
      </w:r>
      <w:r>
        <w:rPr>
          <w:bCs/>
        </w:rPr>
        <w:t>i</w:t>
      </w:r>
      <w:r>
        <w:rPr>
          <w:bCs/>
        </w:rPr>
        <w:t>cación de los elementos reconoc</w:t>
      </w:r>
      <w:r>
        <w:rPr>
          <w:bCs/>
        </w:rPr>
        <w:t>i</w:t>
      </w:r>
      <w:r>
        <w:rPr>
          <w:bCs/>
        </w:rPr>
        <w:t>dos.</w:t>
      </w:r>
    </w:p>
    <w:p w:rsidR="00224567" w:rsidRDefault="00224567">
      <w:pPr>
        <w:widowControl w:val="0"/>
        <w:rPr>
          <w:bCs/>
        </w:rPr>
      </w:pPr>
      <w:r>
        <w:rPr>
          <w:bCs/>
        </w:rPr>
        <w:tab/>
        <w:t>Complementa lo anterior el info</w:t>
      </w:r>
      <w:r>
        <w:rPr>
          <w:bCs/>
        </w:rPr>
        <w:t>r</w:t>
      </w:r>
      <w:r>
        <w:rPr>
          <w:bCs/>
        </w:rPr>
        <w:t xml:space="preserve">me de la secretaria </w:t>
      </w:r>
      <w:r>
        <w:rPr>
          <w:rFonts w:eastAsia="Arial Unicode MS"/>
          <w:spacing w:val="-3"/>
        </w:rPr>
        <w:t xml:space="preserve">María Susana Spina, del 18 de julio de 1994, del que surge que el subcomisario López de </w:t>
      </w:r>
      <w:smartTag w:uri="urn:schemas-microsoft-com:office:smarttags" w:element="PersonName">
        <w:smartTagPr>
          <w:attr w:name="ProductID" w:val="la Divisi￳n Explosivos"/>
        </w:smartTagPr>
        <w:r>
          <w:rPr>
            <w:rFonts w:eastAsia="Arial Unicode MS"/>
            <w:spacing w:val="-3"/>
          </w:rPr>
          <w:t>la División E</w:t>
        </w:r>
        <w:r>
          <w:rPr>
            <w:rFonts w:eastAsia="Arial Unicode MS"/>
            <w:spacing w:val="-3"/>
          </w:rPr>
          <w:t>x</w:t>
        </w:r>
        <w:r>
          <w:rPr>
            <w:rFonts w:eastAsia="Arial Unicode MS"/>
            <w:spacing w:val="-3"/>
          </w:rPr>
          <w:t>plosivos</w:t>
        </w:r>
      </w:smartTag>
      <w:r>
        <w:rPr>
          <w:rFonts w:eastAsia="Arial Unicode MS"/>
          <w:spacing w:val="-3"/>
        </w:rPr>
        <w:t xml:space="preserve"> de </w:t>
      </w:r>
      <w:smartTag w:uri="urn:schemas-microsoft-com:office:smarttags" w:element="PersonName">
        <w:smartTagPr>
          <w:attr w:name="ProductID" w:val="la Polic￭a Federal"/>
        </w:smartTagPr>
        <w:r>
          <w:rPr>
            <w:rFonts w:eastAsia="Arial Unicode MS"/>
            <w:spacing w:val="-3"/>
          </w:rPr>
          <w:t>la Policía Federal</w:t>
        </w:r>
      </w:smartTag>
      <w:r>
        <w:rPr>
          <w:rFonts w:eastAsia="Arial Unicode MS"/>
          <w:spacing w:val="-3"/>
        </w:rPr>
        <w:t xml:space="preserve"> Argentina hizo saber que la explosión se produjo por una carga depositada en una cami</w:t>
      </w:r>
      <w:r>
        <w:rPr>
          <w:rFonts w:eastAsia="Arial Unicode MS"/>
          <w:spacing w:val="-3"/>
        </w:rPr>
        <w:t>o</w:t>
      </w:r>
      <w:r>
        <w:rPr>
          <w:rFonts w:eastAsia="Arial Unicode MS"/>
          <w:spacing w:val="-3"/>
        </w:rPr>
        <w:t>neta Renault Trafic blanca; circunstancia, esta última, certificada por la firma “Renault” a partir de los restos hall</w:t>
      </w:r>
      <w:r>
        <w:rPr>
          <w:rFonts w:eastAsia="Arial Unicode MS"/>
          <w:spacing w:val="-3"/>
        </w:rPr>
        <w:t>a</w:t>
      </w:r>
      <w:r>
        <w:rPr>
          <w:rFonts w:eastAsia="Arial Unicode MS"/>
          <w:spacing w:val="-3"/>
        </w:rPr>
        <w:t>dos.</w:t>
      </w:r>
    </w:p>
    <w:p w:rsidR="00224567" w:rsidRDefault="00224567">
      <w:pPr>
        <w:widowControl w:val="0"/>
      </w:pPr>
      <w:r>
        <w:tab/>
        <w:t>En similar sentido, luce a fs. 11 del principal una constancia suscripta el día del ate</w:t>
      </w:r>
      <w:r>
        <w:t>n</w:t>
      </w:r>
      <w:r>
        <w:t>tado, a las 13.40, por el comisario inspector Carlos Antonio Ca</w:t>
      </w:r>
      <w:r>
        <w:t>s</w:t>
      </w:r>
      <w:r>
        <w:t>tañeda, jefe del Departamento Protección del Orden Const</w:t>
      </w:r>
      <w:r>
        <w:t>i</w:t>
      </w:r>
      <w:r>
        <w:t xml:space="preserve">tucional de </w:t>
      </w:r>
      <w:smartTag w:uri="urn:schemas-microsoft-com:office:smarttags" w:element="PersonName">
        <w:smartTagPr>
          <w:attr w:name="ProductID" w:val="la Polic￭a Federal"/>
        </w:smartTagPr>
        <w:r>
          <w:t>la Policía Federal</w:t>
        </w:r>
      </w:smartTag>
      <w:r>
        <w:t>, y el in</w:t>
      </w:r>
      <w:r>
        <w:t>s</w:t>
      </w:r>
      <w:r>
        <w:t>pector Claudio A. Tomé, dando cuenta del hallazgo de restos metálicos de una puerta de Renault Tr</w:t>
      </w:r>
      <w:r>
        <w:t>a</w:t>
      </w:r>
      <w:r>
        <w:t>fic</w:t>
      </w:r>
      <w:r>
        <w:rPr>
          <w:bCs/>
        </w:rPr>
        <w:t>.</w:t>
      </w:r>
    </w:p>
    <w:p w:rsidR="00224567" w:rsidRDefault="00224567">
      <w:pPr>
        <w:widowControl w:val="0"/>
        <w:rPr>
          <w:bCs/>
        </w:rPr>
      </w:pPr>
      <w:r>
        <w:rPr>
          <w:bCs/>
        </w:rPr>
        <w:tab/>
        <w:t>Asimismo, a fs. 1/3 del Informe F</w:t>
      </w:r>
      <w:r>
        <w:rPr>
          <w:bCs/>
        </w:rPr>
        <w:t>i</w:t>
      </w:r>
      <w:r>
        <w:rPr>
          <w:bCs/>
        </w:rPr>
        <w:t xml:space="preserve">nal de </w:t>
      </w:r>
      <w:smartTag w:uri="urn:schemas-microsoft-com:office:smarttags" w:element="PersonName">
        <w:smartTagPr>
          <w:attr w:name="ProductID" w:val="la Superintendencia"/>
        </w:smartTagPr>
        <w:r>
          <w:rPr>
            <w:bCs/>
          </w:rPr>
          <w:t>la Superintendencia</w:t>
        </w:r>
      </w:smartTag>
      <w:r>
        <w:rPr>
          <w:bCs/>
        </w:rPr>
        <w:t xml:space="preserve"> de Bomberos se hizo constar que e</w:t>
      </w:r>
      <w:r>
        <w:rPr>
          <w:bCs/>
        </w:rPr>
        <w:t>n</w:t>
      </w:r>
      <w:r>
        <w:rPr>
          <w:bCs/>
        </w:rPr>
        <w:t>tre los escombros trasladados al predio de Ciudad Unive</w:t>
      </w:r>
      <w:r>
        <w:rPr>
          <w:bCs/>
        </w:rPr>
        <w:t>r</w:t>
      </w:r>
      <w:r>
        <w:rPr>
          <w:bCs/>
        </w:rPr>
        <w:t>sitaria se secuestraron piezas de automotor, luego ident</w:t>
      </w:r>
      <w:r>
        <w:rPr>
          <w:bCs/>
        </w:rPr>
        <w:t>i</w:t>
      </w:r>
      <w:r>
        <w:rPr>
          <w:bCs/>
        </w:rPr>
        <w:t>ficadas, junto a otras remitidas por di</w:t>
      </w:r>
      <w:r>
        <w:rPr>
          <w:bCs/>
        </w:rPr>
        <w:t>s</w:t>
      </w:r>
      <w:r>
        <w:rPr>
          <w:bCs/>
        </w:rPr>
        <w:t>tintos medios, por personal técnico de “C.I.A.D.E.A.”.</w:t>
      </w:r>
    </w:p>
    <w:p w:rsidR="00224567" w:rsidRDefault="00224567">
      <w:pPr>
        <w:widowControl w:val="0"/>
        <w:rPr>
          <w:bCs/>
        </w:rPr>
      </w:pPr>
      <w:r>
        <w:rPr>
          <w:bCs/>
        </w:rPr>
        <w:tab/>
        <w:t xml:space="preserve">A su vez, </w:t>
      </w:r>
      <w:r>
        <w:rPr>
          <w:rFonts w:eastAsia="PMingLiU"/>
        </w:rPr>
        <w:t>el subcomisario Carlos Né</w:t>
      </w:r>
      <w:r>
        <w:rPr>
          <w:rFonts w:eastAsia="PMingLiU"/>
        </w:rPr>
        <w:t>s</w:t>
      </w:r>
      <w:r>
        <w:rPr>
          <w:rFonts w:eastAsia="PMingLiU"/>
        </w:rPr>
        <w:t xml:space="preserve">tor López de </w:t>
      </w:r>
      <w:smartTag w:uri="urn:schemas-microsoft-com:office:smarttags" w:element="PersonName">
        <w:smartTagPr>
          <w:attr w:name="ProductID" w:val="la Divisi￳n Investigaciones"/>
        </w:smartTagPr>
        <w:r>
          <w:rPr>
            <w:rFonts w:eastAsia="PMingLiU"/>
          </w:rPr>
          <w:t>la División Investigaciones</w:t>
        </w:r>
      </w:smartTag>
      <w:r>
        <w:rPr>
          <w:rFonts w:eastAsia="PMingLiU"/>
        </w:rPr>
        <w:t xml:space="preserve"> del Depart</w:t>
      </w:r>
      <w:r>
        <w:rPr>
          <w:rFonts w:eastAsia="PMingLiU"/>
        </w:rPr>
        <w:t>a</w:t>
      </w:r>
      <w:r>
        <w:rPr>
          <w:rFonts w:eastAsia="PMingLiU"/>
        </w:rPr>
        <w:t>mento Mitigación de Explosivos comunicó que de la inspe</w:t>
      </w:r>
      <w:r>
        <w:rPr>
          <w:rFonts w:eastAsia="PMingLiU"/>
        </w:rPr>
        <w:t>c</w:t>
      </w:r>
      <w:r>
        <w:rPr>
          <w:rFonts w:eastAsia="PMingLiU"/>
        </w:rPr>
        <w:t>ción de los restos ubicados en el predio antes indicado no surgi</w:t>
      </w:r>
      <w:r>
        <w:rPr>
          <w:rFonts w:eastAsia="PMingLiU"/>
        </w:rPr>
        <w:t>e</w:t>
      </w:r>
      <w:r>
        <w:rPr>
          <w:rFonts w:eastAsia="PMingLiU"/>
        </w:rPr>
        <w:t>ron elementos que modificasen lo expuesto en los I</w:t>
      </w:r>
      <w:r>
        <w:rPr>
          <w:rFonts w:eastAsia="PMingLiU"/>
        </w:rPr>
        <w:t>n</w:t>
      </w:r>
      <w:r>
        <w:rPr>
          <w:rFonts w:eastAsia="PMingLiU"/>
        </w:rPr>
        <w:t>formes Preliminar y Final. Asimismo, dio cuenta del hallazgo de partes metálicas aparentemente de automotor, que serían revisadas por personal de la empresa “C.I.A.D.E.A.” (</w:t>
      </w:r>
      <w:r>
        <w:t>cónf.</w:t>
      </w:r>
      <w:r>
        <w:rPr>
          <w:rFonts w:eastAsia="PMingLiU"/>
        </w:rPr>
        <w:t xml:space="preserve"> fs. 22.940).</w:t>
      </w:r>
    </w:p>
    <w:p w:rsidR="00224567" w:rsidRDefault="00224567">
      <w:pPr>
        <w:widowControl w:val="0"/>
        <w:rPr>
          <w:bCs/>
        </w:rPr>
      </w:pPr>
      <w:r>
        <w:rPr>
          <w:bCs/>
        </w:rPr>
        <w:tab/>
        <w:t>En el Informe Preliminar elabor</w:t>
      </w:r>
      <w:r>
        <w:rPr>
          <w:bCs/>
        </w:rPr>
        <w:t>a</w:t>
      </w:r>
      <w:r>
        <w:rPr>
          <w:bCs/>
        </w:rPr>
        <w:t xml:space="preserve">do por </w:t>
      </w:r>
      <w:smartTag w:uri="urn:schemas-microsoft-com:office:smarttags" w:element="PersonName">
        <w:smartTagPr>
          <w:attr w:name="ProductID" w:val="la Superintendencia"/>
        </w:smartTagPr>
        <w:r>
          <w:rPr>
            <w:bCs/>
          </w:rPr>
          <w:t>la Superintendencia</w:t>
        </w:r>
      </w:smartTag>
      <w:r>
        <w:rPr>
          <w:bCs/>
        </w:rPr>
        <w:t xml:space="preserve"> de Bomberos se encuentran agregadas las actas de fs. 24, 30, 32, 36, 38 y 42, correspo</w:t>
      </w:r>
      <w:r>
        <w:rPr>
          <w:bCs/>
        </w:rPr>
        <w:t>n</w:t>
      </w:r>
      <w:r>
        <w:rPr>
          <w:bCs/>
        </w:rPr>
        <w:t>dientes a los días 20, 22, 26, 27 y 29 de julio y 1º de agosto de 1994, respectivamente, en las que consta que personal de “C.I.A.D.E.A.” reconoció a 98 de los elementos de los s</w:t>
      </w:r>
      <w:r>
        <w:rPr>
          <w:bCs/>
        </w:rPr>
        <w:t>e</w:t>
      </w:r>
      <w:r>
        <w:rPr>
          <w:bCs/>
        </w:rPr>
        <w:t xml:space="preserve">cuestrados como pertenecientes a una camioneta Renault Trafic (piezas identificadas como </w:t>
      </w:r>
      <w:smartTag w:uri="urn:schemas-microsoft-com:office:smarttags" w:element="metricconverter">
        <w:smartTagPr>
          <w:attr w:name="ProductID" w:val="1 a"/>
        </w:smartTagPr>
        <w:r>
          <w:rPr>
            <w:bCs/>
          </w:rPr>
          <w:t>1 a</w:t>
        </w:r>
      </w:smartTag>
      <w:r>
        <w:rPr>
          <w:bCs/>
        </w:rPr>
        <w:t xml:space="preserve"> 98). En la primer acta intervinieron, en representación de la empresa, los analistas Justino Augusto Acosta, Fernando Carlos Cingol</w:t>
      </w:r>
      <w:r>
        <w:rPr>
          <w:bCs/>
        </w:rPr>
        <w:t>a</w:t>
      </w:r>
      <w:r>
        <w:rPr>
          <w:bCs/>
        </w:rPr>
        <w:t>ni y Luis Omar Gariboldi, en tanto en las restantes sólo lo hicieron los dos últ</w:t>
      </w:r>
      <w:r>
        <w:rPr>
          <w:bCs/>
        </w:rPr>
        <w:t>i</w:t>
      </w:r>
      <w:r>
        <w:rPr>
          <w:bCs/>
        </w:rPr>
        <w:t>mos.</w:t>
      </w:r>
    </w:p>
    <w:p w:rsidR="00224567" w:rsidRDefault="00224567">
      <w:pPr>
        <w:widowControl w:val="0"/>
        <w:rPr>
          <w:bCs/>
        </w:rPr>
      </w:pPr>
      <w:r>
        <w:rPr>
          <w:bCs/>
        </w:rPr>
        <w:tab/>
        <w:t>También a fs. 67/115 de dicho i</w:t>
      </w:r>
      <w:r>
        <w:rPr>
          <w:bCs/>
        </w:rPr>
        <w:t>n</w:t>
      </w:r>
      <w:r>
        <w:rPr>
          <w:bCs/>
        </w:rPr>
        <w:t>forme obran fotografías de los objetos y a fs. 119/165 se prec</w:t>
      </w:r>
      <w:r>
        <w:rPr>
          <w:bCs/>
        </w:rPr>
        <w:t>i</w:t>
      </w:r>
      <w:r>
        <w:rPr>
          <w:bCs/>
        </w:rPr>
        <w:t>só la ubicación de las piezas en los catálogos de “R</w:t>
      </w:r>
      <w:r>
        <w:rPr>
          <w:bCs/>
        </w:rPr>
        <w:t>e</w:t>
      </w:r>
      <w:r>
        <w:rPr>
          <w:bCs/>
        </w:rPr>
        <w:t>nault”, mientras que a fs. 35 lucen dos fotogr</w:t>
      </w:r>
      <w:r>
        <w:rPr>
          <w:bCs/>
        </w:rPr>
        <w:t>a</w:t>
      </w:r>
      <w:r>
        <w:rPr>
          <w:bCs/>
        </w:rPr>
        <w:t>fías de una reconstrucción primaria, a escala real, de las piezas identif</w:t>
      </w:r>
      <w:r>
        <w:rPr>
          <w:bCs/>
        </w:rPr>
        <w:t>i</w:t>
      </w:r>
      <w:r>
        <w:rPr>
          <w:bCs/>
        </w:rPr>
        <w:t>cadas.</w:t>
      </w:r>
    </w:p>
    <w:p w:rsidR="00224567" w:rsidRDefault="00224567">
      <w:pPr>
        <w:widowControl w:val="0"/>
        <w:rPr>
          <w:bCs/>
        </w:rPr>
      </w:pPr>
      <w:r>
        <w:rPr>
          <w:bCs/>
        </w:rPr>
        <w:tab/>
        <w:t>A fs. 9 del Informe Final luce un a</w:t>
      </w:r>
      <w:r>
        <w:rPr>
          <w:bCs/>
        </w:rPr>
        <w:t>c</w:t>
      </w:r>
      <w:r>
        <w:rPr>
          <w:bCs/>
        </w:rPr>
        <w:t>ta del 19 de diciembre de 1994, según la cual Ferna</w:t>
      </w:r>
      <w:r>
        <w:rPr>
          <w:bCs/>
        </w:rPr>
        <w:t>n</w:t>
      </w:r>
      <w:r>
        <w:rPr>
          <w:bCs/>
        </w:rPr>
        <w:t>do Carlos Cingolani y Luis Omar Gariboldi identificaron como comp</w:t>
      </w:r>
      <w:r>
        <w:rPr>
          <w:bCs/>
        </w:rPr>
        <w:t>o</w:t>
      </w:r>
      <w:r>
        <w:rPr>
          <w:bCs/>
        </w:rPr>
        <w:t xml:space="preserve">nentes de una Renault Trafic 10 fragmentos (piezas nº </w:t>
      </w:r>
      <w:smartTag w:uri="urn:schemas-microsoft-com:office:smarttags" w:element="metricconverter">
        <w:smartTagPr>
          <w:attr w:name="ProductID" w:val="99 a"/>
        </w:smartTagPr>
        <w:r>
          <w:rPr>
            <w:bCs/>
          </w:rPr>
          <w:t>99 a</w:t>
        </w:r>
      </w:smartTag>
      <w:r>
        <w:rPr>
          <w:bCs/>
        </w:rPr>
        <w:t xml:space="preserve"> 108). </w:t>
      </w:r>
      <w:r>
        <w:t xml:space="preserve">A su vez, a </w:t>
      </w:r>
      <w:r>
        <w:rPr>
          <w:bCs/>
        </w:rPr>
        <w:t>fs. 31/37 obran las actuaciones realiz</w:t>
      </w:r>
      <w:r>
        <w:rPr>
          <w:bCs/>
        </w:rPr>
        <w:t>a</w:t>
      </w:r>
      <w:r>
        <w:rPr>
          <w:bCs/>
        </w:rPr>
        <w:t xml:space="preserve">das por Celso Costa, empleado de “C.I.A.D.E.A.”, en las que se identificaron las piezas nº </w:t>
      </w:r>
      <w:smartTag w:uri="urn:schemas-microsoft-com:office:smarttags" w:element="metricconverter">
        <w:smartTagPr>
          <w:attr w:name="ProductID" w:val="109 a"/>
        </w:smartTagPr>
        <w:r>
          <w:rPr>
            <w:bCs/>
          </w:rPr>
          <w:t>109 a</w:t>
        </w:r>
      </w:smartTag>
      <w:r>
        <w:rPr>
          <w:bCs/>
        </w:rPr>
        <w:t xml:space="preserve"> 117 como las ca</w:t>
      </w:r>
      <w:r>
        <w:rPr>
          <w:bCs/>
        </w:rPr>
        <w:t>r</w:t>
      </w:r>
      <w:r>
        <w:rPr>
          <w:bCs/>
        </w:rPr>
        <w:t>gas utilizadas para el montaje de los componentes del puente trasero de una Renault Trafic; se descartaron otras como componentes de vehículos Renault, incluido un faro que probablemente fuera de un rodado marca Peugeot. As</w:t>
      </w:r>
      <w:r>
        <w:rPr>
          <w:bCs/>
        </w:rPr>
        <w:t>i</w:t>
      </w:r>
      <w:r>
        <w:rPr>
          <w:bCs/>
        </w:rPr>
        <w:t>mismo, se dio cuenta de la existencia de una bomba de co</w:t>
      </w:r>
      <w:r>
        <w:rPr>
          <w:bCs/>
        </w:rPr>
        <w:t>m</w:t>
      </w:r>
      <w:r>
        <w:rPr>
          <w:bCs/>
        </w:rPr>
        <w:t>bustible de Renault, utilizada hasta 1974, aproximadame</w:t>
      </w:r>
      <w:r>
        <w:rPr>
          <w:bCs/>
        </w:rPr>
        <w:t>n</w:t>
      </w:r>
      <w:r>
        <w:rPr>
          <w:bCs/>
        </w:rPr>
        <w:t>te, la que se cons</w:t>
      </w:r>
      <w:r>
        <w:rPr>
          <w:bCs/>
        </w:rPr>
        <w:t>i</w:t>
      </w:r>
      <w:r>
        <w:rPr>
          <w:bCs/>
        </w:rPr>
        <w:t>deró que no estaba montada.</w:t>
      </w:r>
    </w:p>
    <w:p w:rsidR="00224567" w:rsidRDefault="00224567">
      <w:pPr>
        <w:widowControl w:val="0"/>
        <w:rPr>
          <w:bCs/>
        </w:rPr>
      </w:pPr>
      <w:r>
        <w:rPr>
          <w:bCs/>
        </w:rPr>
        <w:tab/>
        <w:t>Además, a fs. 78/86 lucen fot</w:t>
      </w:r>
      <w:r>
        <w:rPr>
          <w:bCs/>
        </w:rPr>
        <w:t>o</w:t>
      </w:r>
      <w:r>
        <w:rPr>
          <w:bCs/>
        </w:rPr>
        <w:t xml:space="preserve">grafías de las piezas nº </w:t>
      </w:r>
      <w:smartTag w:uri="urn:schemas-microsoft-com:office:smarttags" w:element="metricconverter">
        <w:smartTagPr>
          <w:attr w:name="ProductID" w:val="99 a"/>
        </w:smartTagPr>
        <w:r>
          <w:rPr>
            <w:bCs/>
          </w:rPr>
          <w:t>99 a</w:t>
        </w:r>
      </w:smartTag>
      <w:r>
        <w:rPr>
          <w:bCs/>
        </w:rPr>
        <w:t xml:space="preserve"> 117, en tanto a fs. 88/105 se graf</w:t>
      </w:r>
      <w:r>
        <w:rPr>
          <w:bCs/>
        </w:rPr>
        <w:t>i</w:t>
      </w:r>
      <w:r>
        <w:rPr>
          <w:bCs/>
        </w:rPr>
        <w:t xml:space="preserve">ca la ubicación en los catálogos de Renault. A ello se adunan las fotografías nº 21 y 23, glosadas a fs. 29 y 31 de la última parte del Informe Final, las que ilustran acerca del armado de los elementos de </w:t>
      </w:r>
      <w:smartTag w:uri="urn:schemas-microsoft-com:office:smarttags" w:element="PersonName">
        <w:smartTagPr>
          <w:attr w:name="ProductID" w:val="la Trafic"/>
        </w:smartTagPr>
        <w:r>
          <w:rPr>
            <w:bCs/>
          </w:rPr>
          <w:t>la Trafic</w:t>
        </w:r>
      </w:smartTag>
      <w:r>
        <w:rPr>
          <w:bCs/>
        </w:rPr>
        <w:t xml:space="preserve"> del ate</w:t>
      </w:r>
      <w:r>
        <w:rPr>
          <w:bCs/>
        </w:rPr>
        <w:t>n</w:t>
      </w:r>
      <w:r>
        <w:rPr>
          <w:bCs/>
        </w:rPr>
        <w:t>tado.</w:t>
      </w:r>
    </w:p>
    <w:p w:rsidR="00224567" w:rsidRDefault="00224567">
      <w:pPr>
        <w:widowControl w:val="0"/>
      </w:pPr>
      <w:r>
        <w:tab/>
        <w:t>A su vez, a fs. 14.304/14.322 obran las actuaciones remitidas por el</w:t>
      </w:r>
      <w:r>
        <w:rPr>
          <w:b/>
          <w:bCs/>
        </w:rPr>
        <w:t xml:space="preserve"> </w:t>
      </w:r>
      <w:r>
        <w:t>mencionado</w:t>
      </w:r>
      <w:r>
        <w:rPr>
          <w:b/>
          <w:bCs/>
        </w:rPr>
        <w:t xml:space="preserve"> </w:t>
      </w:r>
      <w:r>
        <w:t>subcomisario López, en las que consta el reconocimiento efectuado por Diego Ricagno, analista de informaciones técnicas del Se</w:t>
      </w:r>
      <w:r>
        <w:t>r</w:t>
      </w:r>
      <w:r>
        <w:t>vicio Técnico de “C.I.A.D.E.A.”, acerca de determinados restos hall</w:t>
      </w:r>
      <w:r>
        <w:t>a</w:t>
      </w:r>
      <w:r>
        <w:t>dos en la zona del atentado.</w:t>
      </w:r>
    </w:p>
    <w:p w:rsidR="00224567" w:rsidRDefault="00224567">
      <w:pPr>
        <w:widowControl w:val="0"/>
      </w:pPr>
      <w:r>
        <w:tab/>
        <w:t>En tal sentido, el nombrado identif</w:t>
      </w:r>
      <w:r>
        <w:t>i</w:t>
      </w:r>
      <w:r>
        <w:t>có como correspondientes a un vehículo Renault Trafic un tr</w:t>
      </w:r>
      <w:r>
        <w:t>o</w:t>
      </w:r>
      <w:r>
        <w:t>zo de la “cajonera U” del portón del lateral derecho; un trozo de soporte y larguero de puente principal de apoyo del motor; un trozo del falso chasis, parte trasera; un trozo de la puntera del chasis; un trozo de chapa del p</w:t>
      </w:r>
      <w:r>
        <w:t>a</w:t>
      </w:r>
      <w:r>
        <w:t>rante de la parte media interior del lateral derecho ant</w:t>
      </w:r>
      <w:r>
        <w:t>e</w:t>
      </w:r>
      <w:r>
        <w:t>rior del furgón de carga; un trozo de chapa correspondie</w:t>
      </w:r>
      <w:r>
        <w:t>n</w:t>
      </w:r>
      <w:r>
        <w:t>te a uno de los laterales del fu</w:t>
      </w:r>
      <w:r>
        <w:t>r</w:t>
      </w:r>
      <w:r>
        <w:t>gón; un trozo de chapa de puerta delantera de la parte interior con sujeción de tuerca “canasta” de comando de apertura de puerta y 260 fragmentos de chapa de distintos tam</w:t>
      </w:r>
      <w:r>
        <w:t>a</w:t>
      </w:r>
      <w:r>
        <w:t>ños y formato (piezas 1A a 8A). También, obran fotografías e ilustraciones de catálogos de fábrica, con la ubicación de algunas de las piezas identific</w:t>
      </w:r>
      <w:r>
        <w:t>a</w:t>
      </w:r>
      <w:r>
        <w:t>das.</w:t>
      </w:r>
    </w:p>
    <w:p w:rsidR="00224567" w:rsidRDefault="00224567">
      <w:pPr>
        <w:widowControl w:val="0"/>
        <w:rPr>
          <w:bCs/>
        </w:rPr>
      </w:pPr>
      <w:r>
        <w:tab/>
        <w:t>Por su parte, a fs. 16/20 del I</w:t>
      </w:r>
      <w:r>
        <w:t>n</w:t>
      </w:r>
      <w:r>
        <w:t>forme Final, Bernardo Salcedo, técnico de “C.I.A.D.E.A.”, asev</w:t>
      </w:r>
      <w:r>
        <w:t>e</w:t>
      </w:r>
      <w:r>
        <w:t>ró que de acuerdo al análisis de fragmentos de chapas pi</w:t>
      </w:r>
      <w:r>
        <w:t>n</w:t>
      </w:r>
      <w:r>
        <w:t>tadas con gama completa –secuestradas entre los esco</w:t>
      </w:r>
      <w:r>
        <w:t>m</w:t>
      </w:r>
      <w:r>
        <w:t xml:space="preserve">bros- se estableció que correspondían </w:t>
      </w:r>
      <w:r>
        <w:rPr>
          <w:bCs/>
        </w:rPr>
        <w:t>a una carrocería de vehículo Renault, procesada en la línea de producción de la empresa entre marzo 1987 y octubre 1989.</w:t>
      </w:r>
    </w:p>
    <w:p w:rsidR="00224567" w:rsidRDefault="00224567">
      <w:pPr>
        <w:widowControl w:val="0"/>
        <w:rPr>
          <w:bCs/>
        </w:rPr>
      </w:pPr>
      <w:r>
        <w:tab/>
        <w:t>Asimismo, sostuvo que el color era “blanco chapelco”, observándose la gama de pintura orig</w:t>
      </w:r>
      <w:r>
        <w:t>i</w:t>
      </w:r>
      <w:r>
        <w:t>nal sin señas de retoques posteriores. Agregó que por las irr</w:t>
      </w:r>
      <w:r>
        <w:t>e</w:t>
      </w:r>
      <w:r>
        <w:t>gularidades que se advertían en las capas de pintura y en la chapa, debido al escaso espesor del esmalte, un agente externo, desconocido, había afectado a esas pi</w:t>
      </w:r>
      <w:r>
        <w:t>e</w:t>
      </w:r>
      <w:r>
        <w:t>zas, provocándoles daños superficiales. Para ilustración adju</w:t>
      </w:r>
      <w:r>
        <w:t>n</w:t>
      </w:r>
      <w:r>
        <w:t xml:space="preserve">tó una </w:t>
      </w:r>
      <w:r>
        <w:rPr>
          <w:bCs/>
        </w:rPr>
        <w:t>fotografía de las distintas capas (chapa soporte, fosfatizado, cataforesis, impresión selladora y esmalte “blanco chapelco”).</w:t>
      </w:r>
    </w:p>
    <w:p w:rsidR="00224567" w:rsidRDefault="00224567">
      <w:pPr>
        <w:widowControl w:val="0"/>
        <w:rPr>
          <w:bCs/>
        </w:rPr>
      </w:pPr>
      <w:r>
        <w:rPr>
          <w:bCs/>
        </w:rPr>
        <w:tab/>
        <w:t>El análisis de fs. 38/39 del mentado Informe Final</w:t>
      </w:r>
      <w:r>
        <w:t xml:space="preserve">, elaborado por Hugo Ricardo Pérez sobre </w:t>
      </w:r>
      <w:r>
        <w:rPr>
          <w:bCs/>
        </w:rPr>
        <w:t xml:space="preserve">un segundo envío de pedazos de chapas pintadas, </w:t>
      </w:r>
      <w:r>
        <w:t>ratif</w:t>
      </w:r>
      <w:r>
        <w:t>i</w:t>
      </w:r>
      <w:r>
        <w:t>có las conclusiones del anterior en cua</w:t>
      </w:r>
      <w:r>
        <w:t>n</w:t>
      </w:r>
      <w:r>
        <w:t xml:space="preserve">to a los trozos pintados de blanco, aclarando que también se recibieron </w:t>
      </w:r>
      <w:r>
        <w:rPr>
          <w:bCs/>
        </w:rPr>
        <w:t>chapas c</w:t>
      </w:r>
      <w:r>
        <w:rPr>
          <w:bCs/>
        </w:rPr>
        <w:t>o</w:t>
      </w:r>
      <w:r>
        <w:rPr>
          <w:bCs/>
        </w:rPr>
        <w:t>lor negro, cuyo origen y modelo no se pudo d</w:t>
      </w:r>
      <w:r>
        <w:rPr>
          <w:bCs/>
        </w:rPr>
        <w:t>e</w:t>
      </w:r>
      <w:r>
        <w:rPr>
          <w:bCs/>
        </w:rPr>
        <w:t>terminar. En último término, se hizo saber que en ni</w:t>
      </w:r>
      <w:r>
        <w:rPr>
          <w:bCs/>
        </w:rPr>
        <w:t>n</w:t>
      </w:r>
      <w:r>
        <w:rPr>
          <w:bCs/>
        </w:rPr>
        <w:t>guno de los restos se detectó material sometido a temperatura so</w:t>
      </w:r>
      <w:r>
        <w:rPr>
          <w:bCs/>
        </w:rPr>
        <w:t>s</w:t>
      </w:r>
      <w:r>
        <w:rPr>
          <w:bCs/>
        </w:rPr>
        <w:t>tenida.</w:t>
      </w:r>
    </w:p>
    <w:p w:rsidR="00224567" w:rsidRDefault="00224567">
      <w:pPr>
        <w:widowControl w:val="0"/>
      </w:pPr>
      <w:r>
        <w:tab/>
        <w:t>En el mismo sentido, del informe el</w:t>
      </w:r>
      <w:r>
        <w:t>a</w:t>
      </w:r>
      <w:r>
        <w:t xml:space="preserve">borado por Salcedo, glosado a fs. 11.917/12.096, surge que los trozos de chapa hallados en </w:t>
      </w:r>
      <w:smartTag w:uri="urn:schemas-microsoft-com:office:smarttags" w:element="PersonName">
        <w:smartTagPr>
          <w:attr w:name="ProductID" w:val="la A.M"/>
        </w:smartTagPr>
        <w:r>
          <w:t>la A.M</w:t>
        </w:r>
      </w:smartTag>
      <w:r>
        <w:t>.I.A., envi</w:t>
      </w:r>
      <w:r>
        <w:t>a</w:t>
      </w:r>
      <w:r>
        <w:t>dos para su análisis, no fueron sometidos a temperatura sosten</w:t>
      </w:r>
      <w:r>
        <w:t>i</w:t>
      </w:r>
      <w:r>
        <w:t>da, lo que significa que no sufrieron temperaturas superi</w:t>
      </w:r>
      <w:r>
        <w:t>o</w:t>
      </w:r>
      <w:r>
        <w:t>res a las del proceso de pintura, como ser horneo de catafor</w:t>
      </w:r>
      <w:r>
        <w:t>e</w:t>
      </w:r>
      <w:r>
        <w:t xml:space="preserve">sis (12 minutos a </w:t>
      </w:r>
      <w:smartTag w:uri="urn:schemas-microsoft-com:office:smarttags" w:element="metricconverter">
        <w:smartTagPr>
          <w:attr w:name="ProductID" w:val="200ﾺC"/>
        </w:smartTagPr>
        <w:r>
          <w:t>200ºC</w:t>
        </w:r>
      </w:smartTag>
      <w:r>
        <w:t xml:space="preserve">), horneo de impresión selladora (15 minutos a </w:t>
      </w:r>
      <w:smartTag w:uri="urn:schemas-microsoft-com:office:smarttags" w:element="metricconverter">
        <w:smartTagPr>
          <w:attr w:name="ProductID" w:val="175ﾺC"/>
        </w:smartTagPr>
        <w:r>
          <w:t>175ºC</w:t>
        </w:r>
      </w:smartTag>
      <w:r>
        <w:t>) y horneo de acabado color (15 min</w:t>
      </w:r>
      <w:r>
        <w:t>u</w:t>
      </w:r>
      <w:r>
        <w:t xml:space="preserve">tos a </w:t>
      </w:r>
      <w:smartTag w:uri="urn:schemas-microsoft-com:office:smarttags" w:element="metricconverter">
        <w:smartTagPr>
          <w:attr w:name="ProductID" w:val="150ﾺC"/>
        </w:smartTagPr>
        <w:r>
          <w:t>150ºC</w:t>
        </w:r>
      </w:smartTag>
      <w:r>
        <w:t>).</w:t>
      </w:r>
    </w:p>
    <w:p w:rsidR="00224567" w:rsidRDefault="00224567">
      <w:pPr>
        <w:widowControl w:val="0"/>
      </w:pPr>
      <w:r>
        <w:tab/>
        <w:t>En el informe de “C.I.A.D.E.A.”, que corre por cuerda, Salcedo reiteró los conceptos relat</w:t>
      </w:r>
      <w:r>
        <w:t>i</w:t>
      </w:r>
      <w:r>
        <w:t>vos a la temperatura sostenida, a la vez que expl</w:t>
      </w:r>
      <w:r>
        <w:t>i</w:t>
      </w:r>
      <w:r>
        <w:t xml:space="preserve">có que no se podía establecer la </w:t>
      </w:r>
      <w:r>
        <w:rPr>
          <w:bCs/>
        </w:rPr>
        <w:t>fecha exacta del c</w:t>
      </w:r>
      <w:r>
        <w:rPr>
          <w:bCs/>
        </w:rPr>
        <w:t>o</w:t>
      </w:r>
      <w:r>
        <w:rPr>
          <w:bCs/>
        </w:rPr>
        <w:t>mienzo del proceso de fabricación de las chapas hall</w:t>
      </w:r>
      <w:r>
        <w:rPr>
          <w:bCs/>
        </w:rPr>
        <w:t>a</w:t>
      </w:r>
      <w:r>
        <w:rPr>
          <w:bCs/>
        </w:rPr>
        <w:t>das entre los escombros. No obstante, indicó que la tecnología del fosfatizado de manganeso-zinc se usó desde el comienzo de la aplicación del proceso de cataforesis, en marzo de 1987, hasta f</w:t>
      </w:r>
      <w:r>
        <w:rPr>
          <w:bCs/>
        </w:rPr>
        <w:t>i</w:t>
      </w:r>
      <w:r>
        <w:rPr>
          <w:bCs/>
        </w:rPr>
        <w:t>nes de 1990, en que fue reemplazada por la tecnología Tric</w:t>
      </w:r>
      <w:r>
        <w:rPr>
          <w:bCs/>
        </w:rPr>
        <w:t>a</w:t>
      </w:r>
      <w:r>
        <w:rPr>
          <w:bCs/>
        </w:rPr>
        <w:t>tión; que la capa de protección cataforesis PPG, del pr</w:t>
      </w:r>
      <w:r>
        <w:rPr>
          <w:bCs/>
        </w:rPr>
        <w:t>o</w:t>
      </w:r>
      <w:r>
        <w:rPr>
          <w:bCs/>
        </w:rPr>
        <w:t>veedor “Colorín” fue utilizada desde marzo de 1987 hasta fines de 1990, en que fue reemplazada por el producto “Cathoguard” de tecnología Basf, del proveedor “Glasurit Argentina”; que la i</w:t>
      </w:r>
      <w:r>
        <w:rPr>
          <w:bCs/>
        </w:rPr>
        <w:t>m</w:t>
      </w:r>
      <w:r>
        <w:rPr>
          <w:bCs/>
        </w:rPr>
        <w:t>presión intermedia horneable epoxi se usó entre fines de 1986 y octubre de 1989, en que fue   reemplazada por poliéster; y que no había datos precisos acerca de la fecha de iniciación del esmalte acrílico, c</w:t>
      </w:r>
      <w:r>
        <w:rPr>
          <w:bCs/>
        </w:rPr>
        <w:t>o</w:t>
      </w:r>
      <w:r>
        <w:rPr>
          <w:bCs/>
        </w:rPr>
        <w:t>lor “blanco chapelco”, aunque se discont</w:t>
      </w:r>
      <w:r>
        <w:rPr>
          <w:bCs/>
        </w:rPr>
        <w:t>i</w:t>
      </w:r>
      <w:r>
        <w:rPr>
          <w:bCs/>
        </w:rPr>
        <w:t xml:space="preserve">nuó su uso con </w:t>
      </w:r>
      <w:smartTag w:uri="urn:schemas-microsoft-com:office:smarttags" w:element="PersonName">
        <w:smartTagPr>
          <w:attr w:name="ProductID" w:val="la Gama"/>
        </w:smartTagPr>
        <w:r>
          <w:rPr>
            <w:bCs/>
          </w:rPr>
          <w:t>la Gama</w:t>
        </w:r>
      </w:smartTag>
      <w:r>
        <w:rPr>
          <w:bCs/>
        </w:rPr>
        <w:t xml:space="preserve"> 93, con la incorporación del “blanco nórdico”, a f</w:t>
      </w:r>
      <w:r>
        <w:rPr>
          <w:bCs/>
        </w:rPr>
        <w:t>i</w:t>
      </w:r>
      <w:r>
        <w:rPr>
          <w:bCs/>
        </w:rPr>
        <w:t>nes de 1992.</w:t>
      </w:r>
    </w:p>
    <w:p w:rsidR="00224567" w:rsidRDefault="00224567">
      <w:pPr>
        <w:widowControl w:val="0"/>
      </w:pPr>
      <w:r>
        <w:tab/>
        <w:t xml:space="preserve">En el mismo sentido, Salcedo </w:t>
      </w:r>
      <w:r>
        <w:rPr>
          <w:bCs/>
        </w:rPr>
        <w:t>establ</w:t>
      </w:r>
      <w:r>
        <w:rPr>
          <w:bCs/>
        </w:rPr>
        <w:t>e</w:t>
      </w:r>
      <w:r>
        <w:rPr>
          <w:bCs/>
        </w:rPr>
        <w:t>ció que las chapas analizadas tenían una protección co</w:t>
      </w:r>
      <w:r>
        <w:rPr>
          <w:bCs/>
        </w:rPr>
        <w:t>m</w:t>
      </w:r>
      <w:r>
        <w:rPr>
          <w:bCs/>
        </w:rPr>
        <w:t>puesta por fosfatizado Mn-Zn, cataforesis, impresión i</w:t>
      </w:r>
      <w:r>
        <w:rPr>
          <w:bCs/>
        </w:rPr>
        <w:t>n</w:t>
      </w:r>
      <w:r>
        <w:rPr>
          <w:bCs/>
        </w:rPr>
        <w:t>termedia epoxi y esmalte acrílico “blanco chapelco”, h</w:t>
      </w:r>
      <w:r>
        <w:rPr>
          <w:bCs/>
        </w:rPr>
        <w:t>a</w:t>
      </w:r>
      <w:r>
        <w:rPr>
          <w:bCs/>
        </w:rPr>
        <w:t>biendo finalizado la producción de las dos primeras a f</w:t>
      </w:r>
      <w:r>
        <w:rPr>
          <w:bCs/>
        </w:rPr>
        <w:t>i</w:t>
      </w:r>
      <w:r>
        <w:rPr>
          <w:bCs/>
        </w:rPr>
        <w:t>nes de 1990, la de la tercera en octubre de 1989 y la de la última a fines de 1992. Sobre la base de esas consid</w:t>
      </w:r>
      <w:r>
        <w:rPr>
          <w:bCs/>
        </w:rPr>
        <w:t>e</w:t>
      </w:r>
      <w:r>
        <w:rPr>
          <w:bCs/>
        </w:rPr>
        <w:t>raciones, concluyó que, toda vez que el primer elemento que se dejó de usar fue la impresión interm</w:t>
      </w:r>
      <w:r>
        <w:rPr>
          <w:bCs/>
        </w:rPr>
        <w:t>e</w:t>
      </w:r>
      <w:r>
        <w:rPr>
          <w:bCs/>
        </w:rPr>
        <w:t>dia epoxi, el vehículo no pudo haber sido fabricado después de octubre de 1989.</w:t>
      </w:r>
    </w:p>
    <w:p w:rsidR="00224567" w:rsidRDefault="00224567">
      <w:pPr>
        <w:widowControl w:val="0"/>
        <w:rPr>
          <w:bCs/>
        </w:rPr>
      </w:pPr>
      <w:r>
        <w:rPr>
          <w:bCs/>
        </w:rPr>
        <w:tab/>
        <w:t>Con relación a la carrocería nº 3325, del modelo T310, montada sobre la unidad adquirida por “Messin”, el técnico informó que ella fue procesada en o</w:t>
      </w:r>
      <w:r>
        <w:rPr>
          <w:bCs/>
        </w:rPr>
        <w:t>c</w:t>
      </w:r>
      <w:r>
        <w:rPr>
          <w:bCs/>
        </w:rPr>
        <w:t>tubre de 1989, con fecha de finalización de línea del 25 de ese mes y año; vale decir que a esa unidad le fue apl</w:t>
      </w:r>
      <w:r>
        <w:rPr>
          <w:bCs/>
        </w:rPr>
        <w:t>i</w:t>
      </w:r>
      <w:r>
        <w:rPr>
          <w:bCs/>
        </w:rPr>
        <w:t>cado el mismo proceso de protección que a los restos de chapas hallados en el lugar de la e</w:t>
      </w:r>
      <w:r>
        <w:rPr>
          <w:bCs/>
        </w:rPr>
        <w:t>x</w:t>
      </w:r>
      <w:r>
        <w:rPr>
          <w:bCs/>
        </w:rPr>
        <w:t>plosión.</w:t>
      </w:r>
    </w:p>
    <w:p w:rsidR="00224567" w:rsidRDefault="00224567">
      <w:pPr>
        <w:widowControl w:val="0"/>
        <w:rPr>
          <w:bCs/>
        </w:rPr>
      </w:pPr>
      <w:r>
        <w:rPr>
          <w:bCs/>
        </w:rPr>
        <w:tab/>
        <w:t xml:space="preserve">En igual sentido, a fs. </w:t>
      </w:r>
      <w:r>
        <w:t xml:space="preserve">5637/5910 del legajo de instrucción suplementaria luce un </w:t>
      </w:r>
      <w:r>
        <w:rPr>
          <w:bCs/>
        </w:rPr>
        <w:t>peritaje ll</w:t>
      </w:r>
      <w:r>
        <w:rPr>
          <w:bCs/>
        </w:rPr>
        <w:t>e</w:t>
      </w:r>
      <w:r>
        <w:rPr>
          <w:bCs/>
        </w:rPr>
        <w:t xml:space="preserve">vado a cabo por </w:t>
      </w:r>
      <w:smartTag w:uri="urn:schemas-microsoft-com:office:smarttags" w:element="PersonName">
        <w:smartTagPr>
          <w:attr w:name="ProductID" w:val="la Direcci￳n"/>
        </w:smartTagPr>
        <w:r>
          <w:rPr>
            <w:bCs/>
          </w:rPr>
          <w:t>la Dirección</w:t>
        </w:r>
      </w:smartTag>
      <w:r>
        <w:rPr>
          <w:bCs/>
        </w:rPr>
        <w:t xml:space="preserve"> de Policía Científica de Ge</w:t>
      </w:r>
      <w:r>
        <w:rPr>
          <w:bCs/>
        </w:rPr>
        <w:t>n</w:t>
      </w:r>
      <w:r>
        <w:rPr>
          <w:bCs/>
        </w:rPr>
        <w:t>darmería Nacional sobre determinadas piezas, respecto de las cuales se concluyó que presentaban la misma compos</w:t>
      </w:r>
      <w:r>
        <w:rPr>
          <w:bCs/>
        </w:rPr>
        <w:t>i</w:t>
      </w:r>
      <w:r>
        <w:rPr>
          <w:bCs/>
        </w:rPr>
        <w:t>ción en cuanto a la chapa y a las cuatro capas protect</w:t>
      </w:r>
      <w:r>
        <w:rPr>
          <w:bCs/>
        </w:rPr>
        <w:t>o</w:t>
      </w:r>
      <w:r>
        <w:rPr>
          <w:bCs/>
        </w:rPr>
        <w:t>ras. Es decir, se detectó el recubrimiento primario de fosfatizado manganeso zinc, las capas internas e interm</w:t>
      </w:r>
      <w:r>
        <w:rPr>
          <w:bCs/>
        </w:rPr>
        <w:t>e</w:t>
      </w:r>
      <w:r>
        <w:rPr>
          <w:bCs/>
        </w:rPr>
        <w:t>dias de resina epoxi y la capa exte</w:t>
      </w:r>
      <w:r>
        <w:rPr>
          <w:bCs/>
        </w:rPr>
        <w:t>r</w:t>
      </w:r>
      <w:r>
        <w:rPr>
          <w:bCs/>
        </w:rPr>
        <w:t>na de resina acrílica con pigmento a base de titanio. Asimismo, se estableció que el tratamiento se corre</w:t>
      </w:r>
      <w:r>
        <w:rPr>
          <w:bCs/>
        </w:rPr>
        <w:t>s</w:t>
      </w:r>
      <w:r>
        <w:rPr>
          <w:bCs/>
        </w:rPr>
        <w:t>pondía con el efectuado a las carrocerías por la firma “Renault S.A.” entre marzo de 1987 y octubre de 1989.</w:t>
      </w:r>
    </w:p>
    <w:p w:rsidR="00224567" w:rsidRDefault="00224567">
      <w:pPr>
        <w:widowControl w:val="0"/>
        <w:rPr>
          <w:rFonts w:eastAsia="Arial Unicode MS"/>
          <w:spacing w:val="-3"/>
        </w:rPr>
      </w:pPr>
      <w:r>
        <w:rPr>
          <w:bCs/>
        </w:rPr>
        <w:tab/>
        <w:t xml:space="preserve">Por su parte, el </w:t>
      </w:r>
      <w:r>
        <w:rPr>
          <w:rFonts w:eastAsia="Arial Unicode MS"/>
          <w:spacing w:val="-3"/>
        </w:rPr>
        <w:t>subcomisario López i</w:t>
      </w:r>
      <w:r>
        <w:rPr>
          <w:rFonts w:eastAsia="Arial Unicode MS"/>
          <w:spacing w:val="-3"/>
        </w:rPr>
        <w:t>n</w:t>
      </w:r>
      <w:r>
        <w:rPr>
          <w:rFonts w:eastAsia="Arial Unicode MS"/>
          <w:spacing w:val="-3"/>
        </w:rPr>
        <w:t>formó que mediante consulta con la empresa “C.I.A.D.E.A.” se estableció que las chapas halladas en el lugar de la e</w:t>
      </w:r>
      <w:r>
        <w:rPr>
          <w:rFonts w:eastAsia="Arial Unicode MS"/>
          <w:spacing w:val="-3"/>
        </w:rPr>
        <w:t>x</w:t>
      </w:r>
      <w:r>
        <w:rPr>
          <w:rFonts w:eastAsia="Arial Unicode MS"/>
          <w:spacing w:val="-3"/>
        </w:rPr>
        <w:t>plosión correspondían a trozos de piezas de carrocería pr</w:t>
      </w:r>
      <w:r>
        <w:rPr>
          <w:rFonts w:eastAsia="Arial Unicode MS"/>
          <w:spacing w:val="-3"/>
        </w:rPr>
        <w:t>o</w:t>
      </w:r>
      <w:r>
        <w:rPr>
          <w:rFonts w:eastAsia="Arial Unicode MS"/>
          <w:spacing w:val="-3"/>
        </w:rPr>
        <w:t xml:space="preserve">cesadas en esa línea de producción en el lapso marzo de </w:t>
      </w:r>
      <w:smartTag w:uri="urn:schemas-microsoft-com:office:smarttags" w:element="metricconverter">
        <w:smartTagPr>
          <w:attr w:name="ProductID" w:val="1987 a"/>
        </w:smartTagPr>
        <w:r>
          <w:rPr>
            <w:rFonts w:eastAsia="Arial Unicode MS"/>
            <w:spacing w:val="-3"/>
          </w:rPr>
          <w:t>1987 a</w:t>
        </w:r>
      </w:smartTag>
      <w:r>
        <w:rPr>
          <w:rFonts w:eastAsia="Arial Unicode MS"/>
          <w:spacing w:val="-3"/>
        </w:rPr>
        <w:t xml:space="preserve"> octubre de 1989, no habiéndose detectado que hubi</w:t>
      </w:r>
      <w:r>
        <w:rPr>
          <w:rFonts w:eastAsia="Arial Unicode MS"/>
          <w:spacing w:val="-3"/>
        </w:rPr>
        <w:t>e</w:t>
      </w:r>
      <w:r>
        <w:rPr>
          <w:rFonts w:eastAsia="Arial Unicode MS"/>
          <w:spacing w:val="-3"/>
        </w:rPr>
        <w:t>ran sido sometidas a temperatura sostenida (</w:t>
      </w:r>
      <w:r>
        <w:t>cónf.</w:t>
      </w:r>
      <w:r>
        <w:rPr>
          <w:rFonts w:eastAsia="Arial Unicode MS"/>
          <w:spacing w:val="-3"/>
        </w:rPr>
        <w:t xml:space="preserve"> fs. 4302/4306).</w:t>
      </w:r>
    </w:p>
    <w:p w:rsidR="00224567" w:rsidRDefault="00224567">
      <w:pPr>
        <w:widowControl w:val="0"/>
        <w:rPr>
          <w:bCs/>
        </w:rPr>
      </w:pPr>
      <w:r>
        <w:rPr>
          <w:rFonts w:eastAsia="Arial Unicode MS"/>
          <w:spacing w:val="-3"/>
        </w:rPr>
        <w:tab/>
      </w:r>
      <w:r>
        <w:rPr>
          <w:b/>
          <w:bCs/>
        </w:rPr>
        <w:t>D.2.c)</w:t>
      </w:r>
      <w:r>
        <w:t xml:space="preserve"> </w:t>
      </w:r>
      <w:r>
        <w:rPr>
          <w:rFonts w:eastAsia="Arial Unicode MS"/>
          <w:spacing w:val="-3"/>
        </w:rPr>
        <w:t xml:space="preserve">A fs. </w:t>
      </w:r>
      <w:r>
        <w:rPr>
          <w:bCs/>
        </w:rPr>
        <w:t>233/234 del Informe Pr</w:t>
      </w:r>
      <w:r>
        <w:rPr>
          <w:bCs/>
        </w:rPr>
        <w:t>e</w:t>
      </w:r>
      <w:r>
        <w:rPr>
          <w:bCs/>
        </w:rPr>
        <w:t>liminar se concluyó que el vehículo utilizado en el ate</w:t>
      </w:r>
      <w:r>
        <w:rPr>
          <w:bCs/>
        </w:rPr>
        <w:t>n</w:t>
      </w:r>
      <w:r>
        <w:rPr>
          <w:bCs/>
        </w:rPr>
        <w:t>tado fue una camioneta Renault Trafic, tipo T310, de fu</w:t>
      </w:r>
      <w:r>
        <w:rPr>
          <w:bCs/>
        </w:rPr>
        <w:t>r</w:t>
      </w:r>
      <w:r>
        <w:rPr>
          <w:bCs/>
        </w:rPr>
        <w:t>gón corto, con portón sobre el lateral derecho, equipada con motor alimentado a nafta de 1400 cm³ de cilindrada, con número de identificación 2.831.467, dominio C 1.498.506, sin ventanillas laterales, con doble puerta trasera y de color claro, aparentemente blanco. A fs. 106/118 del Informe Final se vertieron similares concl</w:t>
      </w:r>
      <w:r>
        <w:rPr>
          <w:bCs/>
        </w:rPr>
        <w:t>u</w:t>
      </w:r>
      <w:r>
        <w:rPr>
          <w:bCs/>
        </w:rPr>
        <w:t>siones, con la salvedad de la referencia al número de d</w:t>
      </w:r>
      <w:r>
        <w:rPr>
          <w:bCs/>
        </w:rPr>
        <w:t>o</w:t>
      </w:r>
      <w:r>
        <w:rPr>
          <w:bCs/>
        </w:rPr>
        <w:t>minio, precisando que el color era “blanco ch</w:t>
      </w:r>
      <w:r>
        <w:rPr>
          <w:bCs/>
        </w:rPr>
        <w:t>a</w:t>
      </w:r>
      <w:r>
        <w:rPr>
          <w:bCs/>
        </w:rPr>
        <w:t>pelco” y que poseía puerta lateral corrediza derecha, aunque este últ</w:t>
      </w:r>
      <w:r>
        <w:rPr>
          <w:bCs/>
        </w:rPr>
        <w:t>i</w:t>
      </w:r>
      <w:r>
        <w:rPr>
          <w:bCs/>
        </w:rPr>
        <w:t>mo dato surgía implícitamente de la mención del modelo T310.</w:t>
      </w:r>
    </w:p>
    <w:p w:rsidR="00224567" w:rsidRDefault="00224567">
      <w:pPr>
        <w:widowControl w:val="0"/>
        <w:rPr>
          <w:bCs/>
        </w:rPr>
      </w:pPr>
      <w:r>
        <w:rPr>
          <w:bCs/>
        </w:rPr>
        <w:tab/>
        <w:t>No obstante lo expuesto, los técn</w:t>
      </w:r>
      <w:r>
        <w:rPr>
          <w:bCs/>
        </w:rPr>
        <w:t>i</w:t>
      </w:r>
      <w:r>
        <w:rPr>
          <w:bCs/>
        </w:rPr>
        <w:t>cos de C.I.A.D.E.A., tanto al declarar testimonialmente como al elaborar los informes antes res</w:t>
      </w:r>
      <w:r>
        <w:rPr>
          <w:bCs/>
        </w:rPr>
        <w:t>e</w:t>
      </w:r>
      <w:r>
        <w:rPr>
          <w:bCs/>
        </w:rPr>
        <w:t>ñados, negaron que con los elementos identificados se pudiera precisar el modelo de Trafic utilizado en la explosión, con lo que las co</w:t>
      </w:r>
      <w:r>
        <w:rPr>
          <w:bCs/>
        </w:rPr>
        <w:t>n</w:t>
      </w:r>
      <w:r>
        <w:rPr>
          <w:bCs/>
        </w:rPr>
        <w:t xml:space="preserve">clusiones arribadas por </w:t>
      </w:r>
      <w:smartTag w:uri="urn:schemas-microsoft-com:office:smarttags" w:element="PersonName">
        <w:smartTagPr>
          <w:attr w:name="ProductID" w:val="la Superintendencia"/>
        </w:smartTagPr>
        <w:r>
          <w:rPr>
            <w:bCs/>
          </w:rPr>
          <w:t>la Superintendencia</w:t>
        </w:r>
      </w:smartTag>
      <w:r>
        <w:rPr>
          <w:bCs/>
        </w:rPr>
        <w:t xml:space="preserve"> de Bomberos aparecen, por lo menos, prematuras en cuanto a tal dete</w:t>
      </w:r>
      <w:r>
        <w:rPr>
          <w:bCs/>
        </w:rPr>
        <w:t>r</w:t>
      </w:r>
      <w:r>
        <w:rPr>
          <w:bCs/>
        </w:rPr>
        <w:t>minación.</w:t>
      </w:r>
    </w:p>
    <w:p w:rsidR="00224567" w:rsidRDefault="00224567">
      <w:pPr>
        <w:widowControl w:val="0"/>
      </w:pPr>
      <w:r>
        <w:tab/>
        <w:t>En el informe de “C.I.A.D.E.A.”, co</w:t>
      </w:r>
      <w:r>
        <w:t>n</w:t>
      </w:r>
      <w:r>
        <w:t>feccionado por José Luis Martilotta y Jorge Florencio Va</w:t>
      </w:r>
      <w:r>
        <w:t>l</w:t>
      </w:r>
      <w:r>
        <w:t>dez, obrante a fs. 14.263/14.267, consta que se identif</w:t>
      </w:r>
      <w:r>
        <w:t>i</w:t>
      </w:r>
      <w:r>
        <w:t>caron diversas piezas de Trafic s</w:t>
      </w:r>
      <w:r>
        <w:t>e</w:t>
      </w:r>
      <w:r>
        <w:t>cuestradas, de acuerdo a su fecha de fabricación y modelo al cual pertenecían. A</w:t>
      </w:r>
      <w:r>
        <w:t>l</w:t>
      </w:r>
      <w:r>
        <w:t>gunas de esas piezas correspondían al motor de arranque, corredera de pinza de freno, trozo de pinza de freno, amortiguador delantero izquierdo, amortiguador delantero derecho, resortes amortiguadores delanteros, rueda de ch</w:t>
      </w:r>
      <w:r>
        <w:t>a</w:t>
      </w:r>
      <w:r>
        <w:t>pa, brazo de suspensión dela</w:t>
      </w:r>
      <w:r>
        <w:t>n</w:t>
      </w:r>
      <w:r>
        <w:t>tera y soportes punta de eje delanteros izquierdo y d</w:t>
      </w:r>
      <w:r>
        <w:t>e</w:t>
      </w:r>
      <w:r>
        <w:t>recho.</w:t>
      </w:r>
    </w:p>
    <w:p w:rsidR="00224567" w:rsidRDefault="00224567">
      <w:pPr>
        <w:widowControl w:val="0"/>
      </w:pPr>
      <w:r>
        <w:tab/>
        <w:t>Respecto de ellas, los expertos co</w:t>
      </w:r>
      <w:r>
        <w:t>n</w:t>
      </w:r>
      <w:r>
        <w:t>cluyeron que eran parte del conjunto formado por el m</w:t>
      </w:r>
      <w:r>
        <w:t>o</w:t>
      </w:r>
      <w:r>
        <w:t>tor, la caja de velocidades y tren delantero compl</w:t>
      </w:r>
      <w:r>
        <w:t>e</w:t>
      </w:r>
      <w:r>
        <w:t>to, montado sobre un travesaño al cual se fijaban, para luego ensa</w:t>
      </w:r>
      <w:r>
        <w:t>m</w:t>
      </w:r>
      <w:r>
        <w:t>blarse a la carrocería por tornillos en la zona delantera y por los soportes de caja en la trasera. Asimismo, sost</w:t>
      </w:r>
      <w:r>
        <w:t>u</w:t>
      </w:r>
      <w:r>
        <w:t>vieron que el grupo de piezas, si bien diferían indiv</w:t>
      </w:r>
      <w:r>
        <w:t>i</w:t>
      </w:r>
      <w:r>
        <w:t>dualmente en la fecha de fabric</w:t>
      </w:r>
      <w:r>
        <w:t>a</w:t>
      </w:r>
      <w:r>
        <w:t>ción, formaban parte de un vehículo armado a principios de 1991, aclarando a su vez que las diferentes fechas que presentaban las piezas ob</w:t>
      </w:r>
      <w:r>
        <w:t>e</w:t>
      </w:r>
      <w:r>
        <w:t>decían a que en aquella época se manejaban stocks impo</w:t>
      </w:r>
      <w:r>
        <w:t>r</w:t>
      </w:r>
      <w:r>
        <w:t>tantes en piezas de largo proceso y no se realizaba en a</w:t>
      </w:r>
      <w:r>
        <w:t>l</w:t>
      </w:r>
      <w:r>
        <w:t>gunos casos rotación en los d</w:t>
      </w:r>
      <w:r>
        <w:t>e</w:t>
      </w:r>
      <w:r>
        <w:t>pósitos.</w:t>
      </w:r>
    </w:p>
    <w:p w:rsidR="00224567" w:rsidRDefault="00224567">
      <w:pPr>
        <w:widowControl w:val="0"/>
      </w:pPr>
      <w:r>
        <w:tab/>
        <w:t>En las mismas actuaciones se informó acerca de caballetes traseros, amortiguador trasero, i</w:t>
      </w:r>
      <w:r>
        <w:t>z</w:t>
      </w:r>
      <w:r>
        <w:t>quierdo o derecho, y elástico o resorte de suspensión tr</w:t>
      </w:r>
      <w:r>
        <w:t>a</w:t>
      </w:r>
      <w:r>
        <w:t xml:space="preserve">sero conjunto de 9 hojas; en síntesis, se indicó que </w:t>
      </w:r>
      <w:r>
        <w:rPr>
          <w:bCs/>
        </w:rPr>
        <w:t>de las 16 piezas identificadas, una fue fabricada en 1989, diez en 1990, dos en 1991, una en 1993 y dos antes de 1993.</w:t>
      </w:r>
    </w:p>
    <w:p w:rsidR="00224567" w:rsidRDefault="00224567">
      <w:pPr>
        <w:widowControl w:val="0"/>
      </w:pPr>
      <w:r>
        <w:tab/>
        <w:t>Con relación al elástico, los técn</w:t>
      </w:r>
      <w:r>
        <w:t>i</w:t>
      </w:r>
      <w:r>
        <w:t>cos explicaron que si bien no coincidía con las restantes pi</w:t>
      </w:r>
      <w:r>
        <w:t>e</w:t>
      </w:r>
      <w:r>
        <w:t>zas por su fecha de fabricación –1993- y dado que su uso original era en vehículos de caja larga equipados con m</w:t>
      </w:r>
      <w:r>
        <w:t>o</w:t>
      </w:r>
      <w:r>
        <w:t>tor 2000 o diesel, se podía adaptar perfectamente a la c</w:t>
      </w:r>
      <w:r>
        <w:t>a</w:t>
      </w:r>
      <w:r>
        <w:t>ja corta, reemplazando el paquete de elásticos original a efectos de que soporte más peso; no obstante, observaron que resultaba ilógico que ello se hiciera con un motor 1400, dado que éste trabajaría forzado, acortando su v</w:t>
      </w:r>
      <w:r>
        <w:t>i</w:t>
      </w:r>
      <w:r>
        <w:t>da.</w:t>
      </w:r>
    </w:p>
    <w:p w:rsidR="00224567" w:rsidRDefault="00224567">
      <w:pPr>
        <w:widowControl w:val="0"/>
        <w:rPr>
          <w:bCs/>
        </w:rPr>
      </w:pPr>
      <w:r>
        <w:tab/>
        <w:t xml:space="preserve">Tal informe fue complementado con el obrante a fs. </w:t>
      </w:r>
      <w:r>
        <w:rPr>
          <w:bCs/>
        </w:rPr>
        <w:t>111.868/111.872, elaborado por Eduardo O. Cáceres y Jorge F. Valdez de “Renault A</w:t>
      </w:r>
      <w:r>
        <w:rPr>
          <w:bCs/>
        </w:rPr>
        <w:t>r</w:t>
      </w:r>
      <w:r>
        <w:rPr>
          <w:bCs/>
        </w:rPr>
        <w:t>gentina S.A.”, del que surge que del análisis de determinadas piezas se co</w:t>
      </w:r>
      <w:r>
        <w:rPr>
          <w:bCs/>
        </w:rPr>
        <w:t>n</w:t>
      </w:r>
      <w:r>
        <w:rPr>
          <w:bCs/>
        </w:rPr>
        <w:t>cluyó que las fechas de fabricación coi</w:t>
      </w:r>
      <w:r>
        <w:rPr>
          <w:bCs/>
        </w:rPr>
        <w:t>n</w:t>
      </w:r>
      <w:r>
        <w:rPr>
          <w:bCs/>
        </w:rPr>
        <w:t>cidían con las del informe precedente, en tanto en otras no se pudo determ</w:t>
      </w:r>
      <w:r>
        <w:rPr>
          <w:bCs/>
        </w:rPr>
        <w:t>i</w:t>
      </w:r>
      <w:r>
        <w:rPr>
          <w:bCs/>
        </w:rPr>
        <w:t>nar. Con relación a la pieza nº 75, correspondiente a un trozo de manguera de circuito de refr</w:t>
      </w:r>
      <w:r>
        <w:rPr>
          <w:bCs/>
        </w:rPr>
        <w:t>i</w:t>
      </w:r>
      <w:r>
        <w:rPr>
          <w:bCs/>
        </w:rPr>
        <w:t>geración del motor, se indicó que era de 1992, pudiendo tratarse de una pieza de recambio.</w:t>
      </w:r>
    </w:p>
    <w:p w:rsidR="00224567" w:rsidRDefault="00224567">
      <w:pPr>
        <w:widowControl w:val="0"/>
      </w:pPr>
      <w:r>
        <w:tab/>
        <w:t>También se dio cuenta de la presencia, entre otros, de ciertos trozos de neumático Fate AR 27, indicando que no eran los originales de las Tr</w:t>
      </w:r>
      <w:r>
        <w:t>a</w:t>
      </w:r>
      <w:r>
        <w:t>fic (piezas nº 42 y 44).</w:t>
      </w:r>
    </w:p>
    <w:p w:rsidR="00224567" w:rsidRDefault="00224567">
      <w:pPr>
        <w:widowControl w:val="0"/>
      </w:pPr>
      <w:r>
        <w:tab/>
        <w:t>Asimismo, a fs. 28.216 “Renault Arge</w:t>
      </w:r>
      <w:r>
        <w:t>n</w:t>
      </w:r>
      <w:r>
        <w:t>tina S.A.” informó que no resultaba posible ident</w:t>
      </w:r>
      <w:r>
        <w:t>i</w:t>
      </w:r>
      <w:r>
        <w:t>ficar el vehículo modelo Trafic en que fue instalada la pieza nº 330.448, que correspondía al cuerpo pinza de freno der</w:t>
      </w:r>
      <w:r>
        <w:t>e</w:t>
      </w:r>
      <w:r>
        <w:t>cho Trafic originaria del proveedor “Bendix”, por cuanto la empresa no llevaba un registro de ese t</w:t>
      </w:r>
      <w:r>
        <w:t>i</w:t>
      </w:r>
      <w:r>
        <w:t>po de pieza dentro del proceso de f</w:t>
      </w:r>
      <w:r>
        <w:t>a</w:t>
      </w:r>
      <w:r>
        <w:t>bricación.</w:t>
      </w:r>
    </w:p>
    <w:p w:rsidR="00224567" w:rsidRDefault="00224567">
      <w:pPr>
        <w:widowControl w:val="0"/>
        <w:rPr>
          <w:bCs/>
        </w:rPr>
      </w:pPr>
      <w:r>
        <w:tab/>
        <w:t xml:space="preserve">Con relación a la </w:t>
      </w:r>
      <w:r>
        <w:rPr>
          <w:bCs/>
        </w:rPr>
        <w:t>pieza de “cajonera U”, a fs. 30.215/30.216 José L. Rosetti, de “Renault A</w:t>
      </w:r>
      <w:r>
        <w:rPr>
          <w:bCs/>
        </w:rPr>
        <w:t>r</w:t>
      </w:r>
      <w:r>
        <w:rPr>
          <w:bCs/>
        </w:rPr>
        <w:t>gentina S.A.”, enseñó que se ensamblaba en el proveedor local “Montich” con piezas de origen importado, no s</w:t>
      </w:r>
      <w:r>
        <w:rPr>
          <w:bCs/>
        </w:rPr>
        <w:t>u</w:t>
      </w:r>
      <w:r>
        <w:rPr>
          <w:bCs/>
        </w:rPr>
        <w:t>friendo cambios en el período 1987/1991. También informó que entre esos años no se fabricaron vehículos Trafic con chasis corto y puerta lateral, con elástico de 9 hojas, aunque era posible reacondicionarlos en ese se</w:t>
      </w:r>
      <w:r>
        <w:rPr>
          <w:bCs/>
        </w:rPr>
        <w:t>n</w:t>
      </w:r>
      <w:r>
        <w:rPr>
          <w:bCs/>
        </w:rPr>
        <w:t>tido.</w:t>
      </w:r>
    </w:p>
    <w:p w:rsidR="00224567" w:rsidRDefault="00224567">
      <w:pPr>
        <w:widowControl w:val="0"/>
      </w:pPr>
      <w:r>
        <w:rPr>
          <w:bCs/>
        </w:rPr>
        <w:tab/>
        <w:t>Finalmente, Rosetti hizo saber que, teniendo en cuenta lo establecido por la resolución SIM 416/82, era posible que unidades fabricadas en un año d</w:t>
      </w:r>
      <w:r>
        <w:rPr>
          <w:bCs/>
        </w:rPr>
        <w:t>e</w:t>
      </w:r>
      <w:r>
        <w:rPr>
          <w:bCs/>
        </w:rPr>
        <w:t>terminado, que quedaron en stock, fueran comercializadas posteriormente como modelos correspondientes al año en que fueron c</w:t>
      </w:r>
      <w:r>
        <w:rPr>
          <w:bCs/>
        </w:rPr>
        <w:t>o</w:t>
      </w:r>
      <w:r>
        <w:rPr>
          <w:bCs/>
        </w:rPr>
        <w:t>locadas en el mercado.</w:t>
      </w:r>
    </w:p>
    <w:p w:rsidR="00224567" w:rsidRDefault="00224567">
      <w:pPr>
        <w:widowControl w:val="0"/>
      </w:pPr>
      <w:r>
        <w:tab/>
        <w:t xml:space="preserve">A </w:t>
      </w:r>
      <w:r>
        <w:rPr>
          <w:bCs/>
        </w:rPr>
        <w:t xml:space="preserve">fs. 43/45 del Informe Final obra una nota de Jorge Mamone de “C.I.A.D.E.A.”, relativa al eje trasero de </w:t>
      </w:r>
      <w:smartTag w:uri="urn:schemas-microsoft-com:office:smarttags" w:element="PersonName">
        <w:smartTagPr>
          <w:attr w:name="ProductID" w:val="la Trafic."/>
        </w:smartTagPr>
        <w:r>
          <w:rPr>
            <w:bCs/>
          </w:rPr>
          <w:t>la Tr</w:t>
        </w:r>
        <w:r>
          <w:rPr>
            <w:bCs/>
          </w:rPr>
          <w:t>a</w:t>
        </w:r>
        <w:r>
          <w:rPr>
            <w:bCs/>
          </w:rPr>
          <w:t>fic.</w:t>
        </w:r>
      </w:smartTag>
    </w:p>
    <w:p w:rsidR="00224567" w:rsidRDefault="00224567">
      <w:pPr>
        <w:widowControl w:val="0"/>
        <w:rPr>
          <w:bCs/>
        </w:rPr>
      </w:pPr>
      <w:r>
        <w:rPr>
          <w:bCs/>
        </w:rPr>
        <w:tab/>
        <w:t>Con relación a las llantas secuestr</w:t>
      </w:r>
      <w:r>
        <w:rPr>
          <w:bCs/>
        </w:rPr>
        <w:t>a</w:t>
      </w:r>
      <w:r>
        <w:rPr>
          <w:bCs/>
        </w:rPr>
        <w:t>das entre los escombros, a fs. 28.080 Patricia E. La</w:t>
      </w:r>
      <w:r>
        <w:rPr>
          <w:bCs/>
        </w:rPr>
        <w:t>n</w:t>
      </w:r>
      <w:r>
        <w:rPr>
          <w:bCs/>
        </w:rPr>
        <w:t>gan, en representación del fabricante “Protto Hnos.”, informó que la llanta nº 7700724717 corresponde al plano de fabr</w:t>
      </w:r>
      <w:r>
        <w:rPr>
          <w:bCs/>
        </w:rPr>
        <w:t>i</w:t>
      </w:r>
      <w:r>
        <w:rPr>
          <w:bCs/>
        </w:rPr>
        <w:t>cación de “C.I.A.D.E.A.”, con el que producen las encome</w:t>
      </w:r>
      <w:r>
        <w:rPr>
          <w:bCs/>
        </w:rPr>
        <w:t>n</w:t>
      </w:r>
      <w:r>
        <w:rPr>
          <w:bCs/>
        </w:rPr>
        <w:t>dadas por esa terminal y que el estampado es norma para cualquier autopartista.</w:t>
      </w:r>
    </w:p>
    <w:p w:rsidR="00224567" w:rsidRDefault="00224567">
      <w:pPr>
        <w:widowControl w:val="0"/>
        <w:rPr>
          <w:spacing w:val="-3"/>
        </w:rPr>
      </w:pPr>
      <w:r>
        <w:rPr>
          <w:bCs/>
        </w:rPr>
        <w:tab/>
        <w:t xml:space="preserve">A </w:t>
      </w:r>
      <w:r>
        <w:t>fs. 34.079/34.081 obran actuaci</w:t>
      </w:r>
      <w:r>
        <w:t>o</w:t>
      </w:r>
      <w:r>
        <w:t xml:space="preserve">nes de </w:t>
      </w:r>
      <w:smartTag w:uri="urn:schemas-microsoft-com:office:smarttags" w:element="PersonName">
        <w:smartTagPr>
          <w:attr w:name="ProductID" w:val="la Brigada"/>
        </w:smartTagPr>
        <w:r>
          <w:t>la Brigada</w:t>
        </w:r>
      </w:smartTag>
      <w:r>
        <w:t xml:space="preserve"> de Explosivos, donde luce un </w:t>
      </w:r>
      <w:r>
        <w:rPr>
          <w:spacing w:val="-3"/>
        </w:rPr>
        <w:t>acta de verif</w:t>
      </w:r>
      <w:r>
        <w:rPr>
          <w:spacing w:val="-3"/>
        </w:rPr>
        <w:t>i</w:t>
      </w:r>
      <w:r>
        <w:rPr>
          <w:spacing w:val="-3"/>
        </w:rPr>
        <w:t>cación del 2 de marzo de 1998, dejando constancia de que Carlos Miguel Zapata, gerente coordinador de planta de “Protto Hnos. S.A.”, examinó tres llantas halladas en las inmediaci</w:t>
      </w:r>
      <w:r>
        <w:rPr>
          <w:spacing w:val="-3"/>
        </w:rPr>
        <w:t>o</w:t>
      </w:r>
      <w:r>
        <w:rPr>
          <w:spacing w:val="-3"/>
        </w:rPr>
        <w:t xml:space="preserve">nes de </w:t>
      </w:r>
      <w:smartTag w:uri="urn:schemas-microsoft-com:office:smarttags" w:element="PersonName">
        <w:smartTagPr>
          <w:attr w:name="ProductID" w:val="la A.M"/>
        </w:smartTagPr>
        <w:r>
          <w:rPr>
            <w:spacing w:val="-3"/>
          </w:rPr>
          <w:t>la A.M</w:t>
        </w:r>
      </w:smartTag>
      <w:r>
        <w:rPr>
          <w:spacing w:val="-3"/>
        </w:rPr>
        <w:t>.I.A. el 18 de julio de 1994. Por su parte, Zapata remitió una nota sobre el resultado del an</w:t>
      </w:r>
      <w:r>
        <w:rPr>
          <w:spacing w:val="-3"/>
        </w:rPr>
        <w:t>á</w:t>
      </w:r>
      <w:r>
        <w:rPr>
          <w:spacing w:val="-3"/>
        </w:rPr>
        <w:t>lisis de las piezas, informando que se trataba de ruedas pertenecientes a un vehículo Renault Trafic, ident</w:t>
      </w:r>
      <w:r>
        <w:rPr>
          <w:spacing w:val="-3"/>
        </w:rPr>
        <w:t>i</w:t>
      </w:r>
      <w:r>
        <w:rPr>
          <w:spacing w:val="-3"/>
        </w:rPr>
        <w:t>ficadas por el artículo Protto nº 1560 y fabric</w:t>
      </w:r>
      <w:r>
        <w:rPr>
          <w:spacing w:val="-3"/>
        </w:rPr>
        <w:t>a</w:t>
      </w:r>
      <w:r>
        <w:rPr>
          <w:spacing w:val="-3"/>
        </w:rPr>
        <w:t>das por esa firma; una de ellas en 1990, otra en novie</w:t>
      </w:r>
      <w:r>
        <w:rPr>
          <w:spacing w:val="-3"/>
        </w:rPr>
        <w:t>m</w:t>
      </w:r>
      <w:r>
        <w:rPr>
          <w:spacing w:val="-3"/>
        </w:rPr>
        <w:t>bre de 1990 y respecto de la tercera no pudo determinar la f</w:t>
      </w:r>
      <w:r>
        <w:rPr>
          <w:spacing w:val="-3"/>
        </w:rPr>
        <w:t>e</w:t>
      </w:r>
      <w:r>
        <w:rPr>
          <w:spacing w:val="-3"/>
        </w:rPr>
        <w:t>cha.</w:t>
      </w:r>
    </w:p>
    <w:p w:rsidR="00224567" w:rsidRDefault="00224567">
      <w:pPr>
        <w:widowControl w:val="0"/>
      </w:pPr>
      <w:r>
        <w:tab/>
        <w:t>Asimismo, Zapata explicó que por las cara</w:t>
      </w:r>
      <w:r>
        <w:t>c</w:t>
      </w:r>
      <w:r>
        <w:t>terísticas del producto y, principalmente, porque se utilizaba en vehículos pesados, no era requerida en gran cantidad por el mercado de repue</w:t>
      </w:r>
      <w:r>
        <w:t>s</w:t>
      </w:r>
      <w:r>
        <w:t>tos, destinándose en casi su totalidad a la industria terminal. En tal sentido, ejemplificó que en 1990 el total de piezas ve</w:t>
      </w:r>
      <w:r>
        <w:t>n</w:t>
      </w:r>
      <w:r>
        <w:t>didas fue de 9936 unidades, correspondiéndole a la terminal el 98,3% (firma “C.I.A.D.E.A.”, fabricante del vehículo) y sólo el 1,7% p</w:t>
      </w:r>
      <w:r>
        <w:t>a</w:t>
      </w:r>
      <w:r>
        <w:t>ra el mercado de repuestos.</w:t>
      </w:r>
    </w:p>
    <w:p w:rsidR="00224567" w:rsidRDefault="00224567">
      <w:pPr>
        <w:widowControl w:val="0"/>
      </w:pPr>
      <w:r>
        <w:tab/>
        <w:t>Todo ello fue ratificado por Z</w:t>
      </w:r>
      <w:r>
        <w:t>a</w:t>
      </w:r>
      <w:r>
        <w:t>pata al prestar declaración en la audiencia de debate, a la vez que mencionó que las llantas tenían un cuño donde figuraba el nombre de la empresa, la f</w:t>
      </w:r>
      <w:r>
        <w:t>e</w:t>
      </w:r>
      <w:r>
        <w:t>cha del lote de producción y un número que permitía determinar cuándo fue fabricada e, indirectamente, a qué modelo de vehículo estaba dest</w:t>
      </w:r>
      <w:r>
        <w:t>i</w:t>
      </w:r>
      <w:r>
        <w:t>nada.</w:t>
      </w:r>
    </w:p>
    <w:p w:rsidR="00224567" w:rsidRDefault="00224567">
      <w:pPr>
        <w:widowControl w:val="0"/>
      </w:pPr>
      <w:r>
        <w:tab/>
        <w:t>En otro orden, a fs. 30.761/30.764 obran actuaciones remitidas por Carlos Néstor López, co</w:t>
      </w:r>
      <w:r>
        <w:t>n</w:t>
      </w:r>
      <w:r>
        <w:t>sistentes en actas de comprobación sobre los elementos s</w:t>
      </w:r>
      <w:r>
        <w:t>e</w:t>
      </w:r>
      <w:r>
        <w:t>cuestrados, efectuadas en conjunto con Osvaldo Laborda y el analista de repuestos de “Renault S.A.”, Fernando Ca</w:t>
      </w:r>
      <w:r>
        <w:t>r</w:t>
      </w:r>
      <w:r>
        <w:t>los Cingolani, en las que consta que se realizó un acta de verificación física, arribándose a la concl</w:t>
      </w:r>
      <w:r>
        <w:t>u</w:t>
      </w:r>
      <w:r>
        <w:t xml:space="preserve">sión de que la totalidad de los componentes de </w:t>
      </w:r>
      <w:smartTag w:uri="urn:schemas-microsoft-com:office:smarttags" w:element="PersonName">
        <w:smartTagPr>
          <w:attr w:name="ProductID" w:val="la Trafic"/>
        </w:smartTagPr>
        <w:r>
          <w:t>la Trafic</w:t>
        </w:r>
      </w:smartTag>
      <w:r>
        <w:t xml:space="preserve"> usada como c</w:t>
      </w:r>
      <w:r>
        <w:t>o</w:t>
      </w:r>
      <w:r>
        <w:t>chebomba mantenía d</w:t>
      </w:r>
      <w:r>
        <w:t>e</w:t>
      </w:r>
      <w:r>
        <w:t>formaciones y roturas que se hallaban en relación directa con la reacción de una carga explosiva ubicada en el  interior de la camioneta, más precisamente en la cabina de ca</w:t>
      </w:r>
      <w:r>
        <w:t>r</w:t>
      </w:r>
      <w:r>
        <w:t>ga.</w:t>
      </w:r>
    </w:p>
    <w:p w:rsidR="00224567" w:rsidRDefault="00224567">
      <w:pPr>
        <w:widowControl w:val="0"/>
      </w:pPr>
      <w:r>
        <w:tab/>
        <w:t>Asimismo, determinaron que los eleme</w:t>
      </w:r>
      <w:r>
        <w:t>n</w:t>
      </w:r>
      <w:r>
        <w:t xml:space="preserve">tos constitutivos de </w:t>
      </w:r>
      <w:smartTag w:uri="urn:schemas-microsoft-com:office:smarttags" w:element="PersonName">
        <w:smartTagPr>
          <w:attr w:name="ProductID" w:val="la Trafic"/>
        </w:smartTagPr>
        <w:r>
          <w:t>la Trafic</w:t>
        </w:r>
      </w:smartTag>
      <w:r>
        <w:t xml:space="preserve"> (motor, eje, llantas, rót</w:t>
      </w:r>
      <w:r>
        <w:t>u</w:t>
      </w:r>
      <w:r>
        <w:t>las, elásticos, amortiguadores, engranajes, chapas de c</w:t>
      </w:r>
      <w:r>
        <w:t>a</w:t>
      </w:r>
      <w:r>
        <w:t>rrocería, etc.) se encontraban instalados y fu</w:t>
      </w:r>
      <w:r>
        <w:t>n</w:t>
      </w:r>
      <w:r>
        <w:t>cionando en la camioneta que portaba la carga explos</w:t>
      </w:r>
      <w:r>
        <w:t>i</w:t>
      </w:r>
      <w:r>
        <w:t>va, coincidiendo los desgarramientos, fracturas y deformaciones de las pi</w:t>
      </w:r>
      <w:r>
        <w:t>e</w:t>
      </w:r>
      <w:r>
        <w:t>zas con el anclaje original para el que fueron diseñadas, encontrándose en relación directa con los efectos de la onda expansiva.</w:t>
      </w:r>
    </w:p>
    <w:p w:rsidR="00224567" w:rsidRDefault="00224567">
      <w:pPr>
        <w:widowControl w:val="0"/>
      </w:pPr>
      <w:r>
        <w:tab/>
        <w:t>En las mismas actuaciones, aunque sin la intervención de Cingolani, se llevó a cabo un acta de revisión técnica de la que surge que, según las ev</w:t>
      </w:r>
      <w:r>
        <w:t>i</w:t>
      </w:r>
      <w:r>
        <w:t>dencias físicas, el motor estuvo afectado por una explosión; que las piezas extraídas del cuerpo de las víctimas que se h</w:t>
      </w:r>
      <w:r>
        <w:t>a</w:t>
      </w:r>
      <w:r>
        <w:t>llaban instaladas en la camioneta Trafic se transform</w:t>
      </w:r>
      <w:r>
        <w:t>a</w:t>
      </w:r>
      <w:r>
        <w:t>ron en proyectiles capaces de producir lesiones por su despl</w:t>
      </w:r>
      <w:r>
        <w:t>a</w:t>
      </w:r>
      <w:r>
        <w:t>zamiento y velocidad en relación con su masa; y que la evaluación de las piezas halladas en el lugar del hecho, secuestradas en Ciudad Universitaria y los objetos secue</w:t>
      </w:r>
      <w:r>
        <w:t>s</w:t>
      </w:r>
      <w:r>
        <w:t>trados en el acta de fs. 9578 (chapas) daba como r</w:t>
      </w:r>
      <w:r>
        <w:t>e</w:t>
      </w:r>
      <w:r>
        <w:t>sultado que la totalidad de los eleme</w:t>
      </w:r>
      <w:r>
        <w:t>n</w:t>
      </w:r>
      <w:r>
        <w:t>tos fueron afectados por una onda de choque de igual intensidad, que produjo desgarros, roturas y deformaciones característ</w:t>
      </w:r>
      <w:r>
        <w:t>i</w:t>
      </w:r>
      <w:r>
        <w:t>cas de ese fenómeno.</w:t>
      </w:r>
    </w:p>
    <w:p w:rsidR="00224567" w:rsidRDefault="00224567">
      <w:pPr>
        <w:widowControl w:val="0"/>
      </w:pPr>
      <w:r>
        <w:tab/>
        <w:t>Se afirma también que los objetos p</w:t>
      </w:r>
      <w:r>
        <w:t>e</w:t>
      </w:r>
      <w:r>
        <w:t>ritados fueron sometidos a una única explosión, tratá</w:t>
      </w:r>
      <w:r>
        <w:t>n</w:t>
      </w:r>
      <w:r>
        <w:t>dose del mismo fenómeno que afectó la totalidad de los eleme</w:t>
      </w:r>
      <w:r>
        <w:t>n</w:t>
      </w:r>
      <w:r>
        <w:t>tos constitutivos de la camioneta Trafic utilizada como cochebomba. Se adunó que la superficie aproximada de la totalidad de los restos de chapas que constaban en la ca</w:t>
      </w:r>
      <w:r>
        <w:t>u</w:t>
      </w:r>
      <w:r>
        <w:t xml:space="preserve">sa era de </w:t>
      </w:r>
      <w:smartTag w:uri="urn:schemas-microsoft-com:office:smarttags" w:element="metricconverter">
        <w:smartTagPr>
          <w:attr w:name="ProductID" w:val="10,5 mﾲ"/>
        </w:smartTagPr>
        <w:r>
          <w:t>10,5 m²</w:t>
        </w:r>
      </w:smartTag>
      <w:r>
        <w:t>, los cuales en general poseían vestigios de pintura blanca en una o ambas c</w:t>
      </w:r>
      <w:r>
        <w:t>a</w:t>
      </w:r>
      <w:r>
        <w:t>ras.</w:t>
      </w:r>
    </w:p>
    <w:p w:rsidR="00224567" w:rsidRDefault="00224567">
      <w:pPr>
        <w:widowControl w:val="0"/>
      </w:pPr>
      <w:r>
        <w:tab/>
        <w:t>Por último, se hizo constar que los elementos no constitutivos de la camioneta Trafic (cónf. fs. 36/37 del Informe Final), las piezas de origen desc</w:t>
      </w:r>
      <w:r>
        <w:t>o</w:t>
      </w:r>
      <w:r>
        <w:t>nocido y el faro, que probablemente correspondía a un vehículo Peugeot, presentaban deformaciones propias de h</w:t>
      </w:r>
      <w:r>
        <w:t>a</w:t>
      </w:r>
      <w:r>
        <w:t>ber soportado una onda expansiva de distinta intens</w:t>
      </w:r>
      <w:r>
        <w:t>i</w:t>
      </w:r>
      <w:r>
        <w:t xml:space="preserve">dad a las de </w:t>
      </w:r>
      <w:smartTag w:uri="urn:schemas-microsoft-com:office:smarttags" w:element="PersonName">
        <w:smartTagPr>
          <w:attr w:name="ProductID" w:val="la Trafic. En"/>
        </w:smartTagPr>
        <w:r>
          <w:t>la Trafic. En</w:t>
        </w:r>
      </w:smartTag>
      <w:r>
        <w:t xml:space="preserve"> cuanto a la pieza cilíndrica de or</w:t>
      </w:r>
      <w:r>
        <w:t>i</w:t>
      </w:r>
      <w:r>
        <w:t>gen desconocido y a la bomba de combustible, no existían evidencias que indicasen que estuviesen instaladas o fu</w:t>
      </w:r>
      <w:r>
        <w:t>e</w:t>
      </w:r>
      <w:r>
        <w:t xml:space="preserve">ran transportadas por </w:t>
      </w:r>
      <w:smartTag w:uri="urn:schemas-microsoft-com:office:smarttags" w:element="PersonName">
        <w:smartTagPr>
          <w:attr w:name="ProductID" w:val="la Trafic"/>
        </w:smartTagPr>
        <w:r>
          <w:t>la Trafic</w:t>
        </w:r>
      </w:smartTag>
      <w:r>
        <w:t>, habida cuenta de las el</w:t>
      </w:r>
      <w:r>
        <w:t>e</w:t>
      </w:r>
      <w:r>
        <w:t>vadas presiones que soportó el vehíc</w:t>
      </w:r>
      <w:r>
        <w:t>u</w:t>
      </w:r>
      <w:r>
        <w:t>lo.</w:t>
      </w:r>
    </w:p>
    <w:p w:rsidR="00224567" w:rsidRDefault="00224567">
      <w:pPr>
        <w:widowControl w:val="0"/>
      </w:pPr>
      <w:r>
        <w:tab/>
      </w:r>
      <w:r>
        <w:tab/>
      </w:r>
      <w:r>
        <w:rPr>
          <w:b/>
          <w:bCs/>
        </w:rPr>
        <w:t>D.2.d)</w:t>
      </w:r>
      <w:r>
        <w:t xml:space="preserve"> En otro orden, el funcionario de </w:t>
      </w:r>
      <w:smartTag w:uri="urn:schemas-microsoft-com:office:smarttags" w:element="PersonName">
        <w:smartTagPr>
          <w:attr w:name="ProductID" w:val="la S.I"/>
        </w:smartTagPr>
        <w:r>
          <w:t>la S.I</w:t>
        </w:r>
      </w:smartTag>
      <w:r>
        <w:t>.D.E. Jorge Luis Lucas señaló que desc</w:t>
      </w:r>
      <w:r>
        <w:t>o</w:t>
      </w:r>
      <w:r>
        <w:t xml:space="preserve">nocía con qué carrocería fue armada </w:t>
      </w:r>
      <w:smartTag w:uri="urn:schemas-microsoft-com:office:smarttags" w:element="PersonName">
        <w:smartTagPr>
          <w:attr w:name="ProductID" w:val="la Trafic"/>
        </w:smartTagPr>
        <w:r>
          <w:t>la Trafic</w:t>
        </w:r>
      </w:smartTag>
      <w:r>
        <w:t xml:space="preserve"> que se utilizó en el atentado, a la vez que creyó recordar que se había desca</w:t>
      </w:r>
      <w:r>
        <w:t>r</w:t>
      </w:r>
      <w:r>
        <w:t>tado la de Sarapura por un tema relacionado con la prese</w:t>
      </w:r>
      <w:r>
        <w:t>n</w:t>
      </w:r>
      <w:r>
        <w:t>cia o no de puerta lateral.</w:t>
      </w:r>
    </w:p>
    <w:p w:rsidR="00224567" w:rsidRDefault="00224567">
      <w:pPr>
        <w:widowControl w:val="0"/>
      </w:pPr>
      <w:r>
        <w:tab/>
        <w:t>En el mismo sentido, Horacio Antonio Stiuso indicó que no llegó a ninguna concl</w:t>
      </w:r>
      <w:r>
        <w:t>u</w:t>
      </w:r>
      <w:r>
        <w:t>sión acerca de la carrocería en la que se habría colocado el motor hall</w:t>
      </w:r>
      <w:r>
        <w:t>a</w:t>
      </w:r>
      <w:r>
        <w:t>do entre los escombros, habiéndose desechado la de Sarap</w:t>
      </w:r>
      <w:r>
        <w:t>u</w:t>
      </w:r>
      <w:r>
        <w:t>ra.</w:t>
      </w:r>
    </w:p>
    <w:p w:rsidR="00224567" w:rsidRDefault="00224567">
      <w:pPr>
        <w:widowControl w:val="0"/>
      </w:pPr>
      <w:r>
        <w:tab/>
      </w:r>
      <w:r>
        <w:rPr>
          <w:b/>
          <w:bCs/>
        </w:rPr>
        <w:t>D.3)</w:t>
      </w:r>
      <w:r>
        <w:t xml:space="preserve"> La defensa de Carlos Alberto T</w:t>
      </w:r>
      <w:r>
        <w:t>e</w:t>
      </w:r>
      <w:r>
        <w:t>lleldín entendió que los restos de carrocería hallados e</w:t>
      </w:r>
      <w:r>
        <w:t>n</w:t>
      </w:r>
      <w:r>
        <w:t xml:space="preserve">tre los escombros de </w:t>
      </w:r>
      <w:smartTag w:uri="urn:schemas-microsoft-com:office:smarttags" w:element="PersonName">
        <w:smartTagPr>
          <w:attr w:name="ProductID" w:val="la A.M"/>
        </w:smartTagPr>
        <w:r>
          <w:t>la A.M</w:t>
        </w:r>
      </w:smartTag>
      <w:r>
        <w:t>.I.A. pertenecían a la camion</w:t>
      </w:r>
      <w:r>
        <w:t>e</w:t>
      </w:r>
      <w:r>
        <w:t>ta de S</w:t>
      </w:r>
      <w:r>
        <w:t>a</w:t>
      </w:r>
      <w:r>
        <w:t>rapura.</w:t>
      </w:r>
    </w:p>
    <w:p w:rsidR="00224567" w:rsidRDefault="00224567">
      <w:pPr>
        <w:widowControl w:val="0"/>
      </w:pPr>
      <w:r>
        <w:tab/>
        <w:t>Basó su postura en que, si bien el tratamiento epoxi se aplicó a las carrocerías e</w:t>
      </w:r>
      <w:r>
        <w:t>n</w:t>
      </w:r>
      <w:r>
        <w:t xml:space="preserve">tre 1987 y 1989 y </w:t>
      </w:r>
      <w:smartTag w:uri="urn:schemas-microsoft-com:office:smarttags" w:element="PersonName">
        <w:smartTagPr>
          <w:attr w:name="ProductID" w:val="la Trafic"/>
        </w:smartTagPr>
        <w:r>
          <w:t>la Trafic</w:t>
        </w:r>
      </w:smartTag>
      <w:r>
        <w:t xml:space="preserve"> de Sarapura fue patentada en 1991, su f</w:t>
      </w:r>
      <w:r>
        <w:t>a</w:t>
      </w:r>
      <w:r>
        <w:t>bricación fue anterior, habiéndose encontrado chapas de camionetas vendidas en 1990 y 1991, en sto</w:t>
      </w:r>
      <w:r>
        <w:t>c</w:t>
      </w:r>
      <w:r>
        <w:t>k.</w:t>
      </w:r>
    </w:p>
    <w:p w:rsidR="00224567" w:rsidRDefault="00224567">
      <w:pPr>
        <w:widowControl w:val="0"/>
      </w:pPr>
      <w:r>
        <w:tab/>
        <w:t>Asimismo, consideró, con sustento en dichos de Ricagno, que el hallazgo de la “cajon</w:t>
      </w:r>
      <w:r>
        <w:t>e</w:t>
      </w:r>
      <w:r>
        <w:t>ra U” por sí solo no probaba que la carrocería empleada tuviera puerta lateral, por cuanto aquella pieza se e</w:t>
      </w:r>
      <w:r>
        <w:t>n</w:t>
      </w:r>
      <w:r>
        <w:t>contraba en todas las camionetas, sin explicarse que no se hubieran hallado restos de otros repuestos, como ser las guías de hierro, las manijas y la puerta propiame</w:t>
      </w:r>
      <w:r>
        <w:t>n</w:t>
      </w:r>
      <w:r>
        <w:t>te dicha.</w:t>
      </w:r>
    </w:p>
    <w:p w:rsidR="00224567" w:rsidRDefault="00224567">
      <w:pPr>
        <w:widowControl w:val="0"/>
      </w:pPr>
      <w:r>
        <w:tab/>
        <w:t>Además, alegó que ninguno de los te</w:t>
      </w:r>
      <w:r>
        <w:t>s</w:t>
      </w:r>
      <w:r>
        <w:t xml:space="preserve">tigos que declararon en el debate dijo haber visto una Trafic con puerta lateral, citando, a modo de ejemplo, a Schonbrod y a los empleados y clientes de la playa “Jet Parking”. Resaltó que era inconsistente sostener que la camioneta que explotó en </w:t>
      </w:r>
      <w:smartTag w:uri="urn:schemas-microsoft-com:office:smarttags" w:element="PersonName">
        <w:smartTagPr>
          <w:attr w:name="ProductID" w:val="la A.M"/>
        </w:smartTagPr>
        <w:r>
          <w:t>la A.M</w:t>
        </w:r>
      </w:smartTag>
      <w:r>
        <w:t>.I.A. tenía puerta lat</w:t>
      </w:r>
      <w:r>
        <w:t>e</w:t>
      </w:r>
      <w:r>
        <w:t>ral y que ésta a su vez estuvo aparcada en ese estacionamie</w:t>
      </w:r>
      <w:r>
        <w:t>n</w:t>
      </w:r>
      <w:r>
        <w:t xml:space="preserve">to, cuando </w:t>
      </w:r>
      <w:smartTag w:uri="urn:schemas-microsoft-com:office:smarttags" w:element="PersonName">
        <w:smartTagPr>
          <w:attr w:name="ProductID" w:val="la Trafic"/>
        </w:smartTagPr>
        <w:r>
          <w:t>la Trafic</w:t>
        </w:r>
      </w:smartTag>
      <w:r>
        <w:t xml:space="preserve"> que se vio en ese último lugar car</w:t>
      </w:r>
      <w:r>
        <w:t>e</w:t>
      </w:r>
      <w:r>
        <w:t>cía de po</w:t>
      </w:r>
      <w:r>
        <w:t>r</w:t>
      </w:r>
      <w:r>
        <w:t>tón.</w:t>
      </w:r>
    </w:p>
    <w:p w:rsidR="00224567" w:rsidRDefault="00224567">
      <w:pPr>
        <w:widowControl w:val="0"/>
      </w:pPr>
      <w:r>
        <w:tab/>
        <w:t>También señaló que la fecha de fabr</w:t>
      </w:r>
      <w:r>
        <w:t>i</w:t>
      </w:r>
      <w:r>
        <w:t>cación de ciertas piezas indicaba que no podían pert</w:t>
      </w:r>
      <w:r>
        <w:t>e</w:t>
      </w:r>
      <w:r>
        <w:t xml:space="preserve">necer a una camioneta modelo </w:t>
      </w:r>
      <w:smartTag w:uri="urn:schemas-microsoft-com:office:smarttags" w:element="metricconverter">
        <w:smartTagPr>
          <w:attr w:name="ProductID" w:val="1987 a"/>
        </w:smartTagPr>
        <w:r>
          <w:t>1987 a</w:t>
        </w:r>
      </w:smartTag>
      <w:r>
        <w:t xml:space="preserve"> 1989, considera</w:t>
      </w:r>
      <w:r>
        <w:t>n</w:t>
      </w:r>
      <w:r>
        <w:t>do que no se podía atribuir su presencia a reparaciones posteriores, por cuanto, en el caso del pedal de freno, era muy difícil que se rompiera; en cambio, aseveró que los repuestos c</w:t>
      </w:r>
      <w:r>
        <w:t>o</w:t>
      </w:r>
      <w:r>
        <w:t>rrespondían a un vehículo de 1991, tal como el de Sarap</w:t>
      </w:r>
      <w:r>
        <w:t>u</w:t>
      </w:r>
      <w:r>
        <w:t>ra.</w:t>
      </w:r>
    </w:p>
    <w:p w:rsidR="00224567" w:rsidRDefault="00224567">
      <w:pPr>
        <w:widowControl w:val="0"/>
      </w:pPr>
      <w:r>
        <w:tab/>
        <w:t>Por último, sostuvo que las cubie</w:t>
      </w:r>
      <w:r>
        <w:t>r</w:t>
      </w:r>
      <w:r>
        <w:t>tas halladas entre los escombros probaban que la cami</w:t>
      </w:r>
      <w:r>
        <w:t>o</w:t>
      </w:r>
      <w:r>
        <w:t>neta que explotó era la armada con la carrocería de Sarapura, por cuanto eran “Fate AR30”, que no son las orig</w:t>
      </w:r>
      <w:r>
        <w:t>i</w:t>
      </w:r>
      <w:r>
        <w:t>nales de las Trafic y, conforme los dichos de Sarapura, su utilitario tenía cubiertas de esa marca, modelo AR, según creía. Añ</w:t>
      </w:r>
      <w:r>
        <w:t>a</w:t>
      </w:r>
      <w:r>
        <w:t>dió que Nitzcaner mintió al afirmar que las cubiertas de la camioneta que estuvo en su taller eran “Wrangler”, co</w:t>
      </w:r>
      <w:r>
        <w:t>n</w:t>
      </w:r>
      <w:r>
        <w:t>tradiciéndose así con lo manifestado por Sarapura; ello sin perjuicio de que no se secuestró ningún trozo de c</w:t>
      </w:r>
      <w:r>
        <w:t>u</w:t>
      </w:r>
      <w:r>
        <w:t>bierta de esa marca.</w:t>
      </w:r>
    </w:p>
    <w:p w:rsidR="00224567" w:rsidRDefault="00224567">
      <w:pPr>
        <w:widowControl w:val="0"/>
      </w:pPr>
      <w:r>
        <w:tab/>
      </w:r>
      <w:r>
        <w:rPr>
          <w:b/>
          <w:bCs/>
        </w:rPr>
        <w:t>D.4)</w:t>
      </w:r>
      <w:r>
        <w:t xml:space="preserve"> Contrariamente a lo sosten</w:t>
      </w:r>
      <w:r>
        <w:t>i</w:t>
      </w:r>
      <w:r>
        <w:t xml:space="preserve">do por la asistencia técnica de Telleldín, el Tribunal entiende que con la prueba producida en el debate se demostró que la camioneta que detonó en la sede de </w:t>
      </w:r>
      <w:smartTag w:uri="urn:schemas-microsoft-com:office:smarttags" w:element="PersonName">
        <w:smartTagPr>
          <w:attr w:name="ProductID" w:val="la A.M"/>
        </w:smartTagPr>
        <w:r>
          <w:t>la A.M</w:t>
        </w:r>
      </w:smartTag>
      <w:r>
        <w:t>.I.A. no est</w:t>
      </w:r>
      <w:r>
        <w:t>a</w:t>
      </w:r>
      <w:r>
        <w:t>ba conformada con la carr</w:t>
      </w:r>
      <w:r>
        <w:t>o</w:t>
      </w:r>
      <w:r>
        <w:t xml:space="preserve">cería de </w:t>
      </w:r>
      <w:smartTag w:uri="urn:schemas-microsoft-com:office:smarttags" w:element="PersonName">
        <w:smartTagPr>
          <w:attr w:name="ProductID" w:val="la Trafic"/>
        </w:smartTagPr>
        <w:r>
          <w:t>la Trafic</w:t>
        </w:r>
      </w:smartTag>
      <w:r>
        <w:t xml:space="preserve"> de Sarapura, sino con otra que no se pudo determinar a qué rodado pe</w:t>
      </w:r>
      <w:r>
        <w:t>r</w:t>
      </w:r>
      <w:r>
        <w:t>tenecía.</w:t>
      </w:r>
    </w:p>
    <w:p w:rsidR="00224567" w:rsidRDefault="00224567">
      <w:pPr>
        <w:widowControl w:val="0"/>
      </w:pPr>
      <w:r>
        <w:tab/>
        <w:t>Con relación al argumento basado en que la carrocería del utilitario de Sarapura pudo haber sido fabricada entre 1987 y 1989, permaneciendo en stock hasta su c</w:t>
      </w:r>
      <w:r>
        <w:t>o</w:t>
      </w:r>
      <w:r>
        <w:t>mercialización, basta señalar que a fs. 29.708 obra una copia de un informe de “C.I.A.D.E.A. S.A.”, co</w:t>
      </w:r>
      <w:r>
        <w:t>n</w:t>
      </w:r>
      <w:r>
        <w:t>cerniente a ese vehículo -modelo T3101, serie 001261-, del que surge como fecha de fabricación de la chapa el 4, de pintura el 5 y de montaje final el 7, todas de diciembre de 1990. Ello lleva a descartar, sin más, la aplicación a la carrocería de Sarapura del proceso de fabricación c</w:t>
      </w:r>
      <w:r>
        <w:t>o</w:t>
      </w:r>
      <w:r>
        <w:t>rrespo</w:t>
      </w:r>
      <w:r>
        <w:t>n</w:t>
      </w:r>
      <w:r>
        <w:t>diente al período 1987/1989.</w:t>
      </w:r>
    </w:p>
    <w:p w:rsidR="00224567" w:rsidRDefault="00224567">
      <w:pPr>
        <w:widowControl w:val="0"/>
      </w:pPr>
      <w:r>
        <w:tab/>
        <w:t>En cuanto a la “cajonera U”, de las constancias de autos surge que constituye un repuesto pr</w:t>
      </w:r>
      <w:r>
        <w:t>o</w:t>
      </w:r>
      <w:r>
        <w:t>pio de la puerta lateral corred</w:t>
      </w:r>
      <w:r>
        <w:t>i</w:t>
      </w:r>
      <w:r>
        <w:t>za.</w:t>
      </w:r>
    </w:p>
    <w:p w:rsidR="00224567" w:rsidRDefault="00224567">
      <w:pPr>
        <w:widowControl w:val="0"/>
      </w:pPr>
      <w:r>
        <w:tab/>
        <w:t>En efecto, el especialista Ricagno m</w:t>
      </w:r>
      <w:r>
        <w:t>a</w:t>
      </w:r>
      <w:r>
        <w:t>nifestó que entre las piezas había una sección de una pa</w:t>
      </w:r>
      <w:r>
        <w:t>r</w:t>
      </w:r>
      <w:r>
        <w:t>te de la carrocería que denotaba un sector de la puerta corrediza lateral. Y explicó: una “cajonera U” es una se</w:t>
      </w:r>
      <w:r>
        <w:t>c</w:t>
      </w:r>
      <w:r>
        <w:t>ción donde se desplaza parte del mecanismo de la puerta cuando se separa de la carr</w:t>
      </w:r>
      <w:r>
        <w:t>o</w:t>
      </w:r>
      <w:r>
        <w:t>cería y se corre, reteniéndola para que no se salga. En la unidad que no cuenta con pue</w:t>
      </w:r>
      <w:r>
        <w:t>r</w:t>
      </w:r>
      <w:r>
        <w:t>ta lateral, se hace un módulo ciego de la misma medida, por lo que los laterales derecho e i</w:t>
      </w:r>
      <w:r>
        <w:t>z</w:t>
      </w:r>
      <w:r>
        <w:t>quierdo de una misma camioneta quedan idé</w:t>
      </w:r>
      <w:r>
        <w:t>n</w:t>
      </w:r>
      <w:r>
        <w:t>ticos, con la impronta invertida. Si se retira ese módulo ciego, aclaró, no hay guías en el l</w:t>
      </w:r>
      <w:r>
        <w:t>u</w:t>
      </w:r>
      <w:r>
        <w:t>gar donde correspond</w:t>
      </w:r>
      <w:r>
        <w:t>e</w:t>
      </w:r>
      <w:r>
        <w:t>ría encastrar la puerta lateral.</w:t>
      </w:r>
    </w:p>
    <w:p w:rsidR="00224567" w:rsidRDefault="00224567">
      <w:pPr>
        <w:widowControl w:val="0"/>
      </w:pPr>
      <w:r>
        <w:tab/>
        <w:t>Asimismo, del catálogo de piezas de “Renault”, obrante a fs. 14.314, surge que la pieza 1A, es decir, la “cajonera U”, sólo corresponde a las Trafic m</w:t>
      </w:r>
      <w:r>
        <w:t>o</w:t>
      </w:r>
      <w:r>
        <w:t>delo T310, T312, T350, T352, TA12, TA52 y TA22, todas con puerta lateral;  en cambio,  no está i</w:t>
      </w:r>
      <w:r>
        <w:t>n</w:t>
      </w:r>
      <w:r>
        <w:t xml:space="preserve">cluida </w:t>
      </w:r>
      <w:smartTag w:uri="urn:schemas-microsoft-com:office:smarttags" w:element="PersonName">
        <w:smartTagPr>
          <w:attr w:name="ProductID" w:val="la T"/>
        </w:smartTagPr>
        <w:r>
          <w:t>la T</w:t>
        </w:r>
      </w:smartTag>
      <w:r>
        <w:t>3101    –camioneta de Sarapura-, que no tiene puerta l</w:t>
      </w:r>
      <w:r>
        <w:t>a</w:t>
      </w:r>
      <w:r>
        <w:t>teral, por lo que mal se puede concluir que todas las Trafic tienen el repuesto “U”, tal como pr</w:t>
      </w:r>
      <w:r>
        <w:t>e</w:t>
      </w:r>
      <w:r>
        <w:t>tendió la defensa.</w:t>
      </w:r>
    </w:p>
    <w:p w:rsidR="00224567" w:rsidRDefault="00224567">
      <w:pPr>
        <w:widowControl w:val="0"/>
      </w:pPr>
      <w:r>
        <w:tab/>
        <w:t>Con respecto a las manifestaciones vertidas por Schonbrod y los testigos de “Jet Parking”, se sostiene en otros acápites de la presente sente</w:t>
      </w:r>
      <w:r>
        <w:t>n</w:t>
      </w:r>
      <w:r>
        <w:t>cia que no se pudo establecer, de manera fehaciente, que la camioneta por ellos descripta se corresponda con la empleada para cometer el atent</w:t>
      </w:r>
      <w:r>
        <w:t>a</w:t>
      </w:r>
      <w:r>
        <w:t>do.</w:t>
      </w:r>
    </w:p>
    <w:p w:rsidR="00224567" w:rsidRDefault="00224567">
      <w:pPr>
        <w:widowControl w:val="0"/>
      </w:pPr>
      <w:r>
        <w:tab/>
        <w:t>Con relación a las piezas fabricadas con posterioridad a 1989, tal como se explicó, podrían c</w:t>
      </w:r>
      <w:r>
        <w:t>o</w:t>
      </w:r>
      <w:r>
        <w:t>rresponder a repuestos; no obstante, la presencia de las producidas en 1990 también podría obedecer a que fueron empleadas a la hora de armar un vehículo con una carroc</w:t>
      </w:r>
      <w:r>
        <w:t>e</w:t>
      </w:r>
      <w:r>
        <w:t>ría del año previo, conservada en stock. Al respecto, se observa que la mayoría de las piezas obrantes en el info</w:t>
      </w:r>
      <w:r>
        <w:t>r</w:t>
      </w:r>
      <w:r>
        <w:t>me de “C.I.A.D.E.A.” de fs. 14.263/14.267 son de 1990, i</w:t>
      </w:r>
      <w:r>
        <w:t>n</w:t>
      </w:r>
      <w:r>
        <w:t>cluidas las nº 54 y 92, correspondientes a la pinza de freno.</w:t>
      </w:r>
    </w:p>
    <w:p w:rsidR="00224567" w:rsidRDefault="00224567">
      <w:pPr>
        <w:widowControl w:val="0"/>
      </w:pPr>
      <w:r>
        <w:tab/>
        <w:t>Finalmente, se debe destacar que las cubiertas de los vehículos son elementos fung</w:t>
      </w:r>
      <w:r>
        <w:t>i</w:t>
      </w:r>
      <w:r>
        <w:t>bles, que se cambian con frecuencia y, por ende, no se puede co</w:t>
      </w:r>
      <w:r>
        <w:t>n</w:t>
      </w:r>
      <w:r>
        <w:t>cluir, con ese solo dato, que se tratara de una determinada c</w:t>
      </w:r>
      <w:r>
        <w:t>a</w:t>
      </w:r>
      <w:r>
        <w:t>rrocería; máxime cuando el resto de las pru</w:t>
      </w:r>
      <w:r>
        <w:t>e</w:t>
      </w:r>
      <w:r>
        <w:t>bas colectadas en autos demuestra que la carrocería cuyos restos se h</w:t>
      </w:r>
      <w:r>
        <w:t>a</w:t>
      </w:r>
      <w:r>
        <w:t>llaron entre los escombros del derrumbado edificio no era la de la camioneta de Sarap</w:t>
      </w:r>
      <w:r>
        <w:t>u</w:t>
      </w:r>
      <w:r>
        <w:t>ra.</w:t>
      </w:r>
    </w:p>
    <w:p w:rsidR="00224567" w:rsidRDefault="00224567">
      <w:pPr>
        <w:widowControl w:val="0"/>
      </w:pPr>
      <w:r>
        <w:tab/>
        <w:t>En definitiva, con base en las proba</w:t>
      </w:r>
      <w:r>
        <w:t>n</w:t>
      </w:r>
      <w:r>
        <w:t>zas reseñadas se descarta, de manera definitiva, que la carrocería de “Messin” fuera la empleada en el atentado, por cuanto en los restos de chapa encontrados entre los escombros no se detectaron signos de incendio, a la vez que se determinó que la pintura era la orig</w:t>
      </w:r>
      <w:r>
        <w:t>i</w:t>
      </w:r>
      <w:r>
        <w:t>nal, en tanto la primera, tal como se corroboró en el transcurso del d</w:t>
      </w:r>
      <w:r>
        <w:t>e</w:t>
      </w:r>
      <w:r>
        <w:t>bate, se vio sometida a la acción del fuego.</w:t>
      </w:r>
    </w:p>
    <w:p w:rsidR="00224567" w:rsidRDefault="00224567">
      <w:pPr>
        <w:widowControl w:val="0"/>
      </w:pPr>
      <w:r>
        <w:tab/>
        <w:t>También cabe afirmar que, sin perju</w:t>
      </w:r>
      <w:r>
        <w:t>i</w:t>
      </w:r>
      <w:r>
        <w:t>cio de que no se haya podido esclarecer si en el t</w:t>
      </w:r>
      <w:r>
        <w:t>a</w:t>
      </w:r>
      <w:r>
        <w:t>ller de Nitzcaner el motor del utilitario de “Messin” fue colocado en la carrocería de la camioneta de Sarapura, ésta no co</w:t>
      </w:r>
      <w:r>
        <w:t>m</w:t>
      </w:r>
      <w:r>
        <w:t>puso el cochebomba, por cuanto el año de fabricación, en particular su pr</w:t>
      </w:r>
      <w:r>
        <w:t>o</w:t>
      </w:r>
      <w:r>
        <w:t xml:space="preserve">ceso de pintado, no se corresponde con el de los restos encontrados entre los escombros de </w:t>
      </w:r>
      <w:smartTag w:uri="urn:schemas-microsoft-com:office:smarttags" w:element="PersonName">
        <w:smartTagPr>
          <w:attr w:name="ProductID" w:val="la A.M"/>
        </w:smartTagPr>
        <w:r>
          <w:t>la A.M</w:t>
        </w:r>
      </w:smartTag>
      <w:r>
        <w:t>.I.A. y en las zonas al</w:t>
      </w:r>
      <w:r>
        <w:t>e</w:t>
      </w:r>
      <w:r>
        <w:t>dañas. A ello se suma que entre éstos apareció una “cajonera U”, pieza correspondiente a la puerta lateral del vehículo, sistema del que carecía, dado que se trataba de un furgón cerr</w:t>
      </w:r>
      <w:r>
        <w:t>a</w:t>
      </w:r>
      <w:r>
        <w:t>do.</w:t>
      </w:r>
    </w:p>
    <w:p w:rsidR="00224567" w:rsidRDefault="00224567">
      <w:pPr>
        <w:widowControl w:val="0"/>
      </w:pPr>
      <w:r>
        <w:tab/>
        <w:t>Como se anticipara, la camioneta e</w:t>
      </w:r>
      <w:r>
        <w:t>m</w:t>
      </w:r>
      <w:r>
        <w:t>pleada para la explosión se hallaba co</w:t>
      </w:r>
      <w:r>
        <w:t>m</w:t>
      </w:r>
      <w:r>
        <w:t xml:space="preserve">puesta por el motor que perteneciera a </w:t>
      </w:r>
      <w:smartTag w:uri="urn:schemas-microsoft-com:office:smarttags" w:element="PersonName">
        <w:smartTagPr>
          <w:attr w:name="ProductID" w:val="la Trafic"/>
        </w:smartTagPr>
        <w:r>
          <w:t>la Trafic</w:t>
        </w:r>
      </w:smartTag>
      <w:r>
        <w:t xml:space="preserve"> de “Messin” y una carrocería cuyo origen no se pudo determinar. Con rel</w:t>
      </w:r>
      <w:r>
        <w:t>a</w:t>
      </w:r>
      <w:r>
        <w:t xml:space="preserve">ción a ésta, y pese a lo afirmado por el personal del </w:t>
      </w:r>
      <w:r>
        <w:rPr>
          <w:rFonts w:eastAsia="PMingLiU"/>
        </w:rPr>
        <w:t>Departamento Mit</w:t>
      </w:r>
      <w:r>
        <w:rPr>
          <w:rFonts w:eastAsia="PMingLiU"/>
        </w:rPr>
        <w:t>i</w:t>
      </w:r>
      <w:r>
        <w:rPr>
          <w:rFonts w:eastAsia="PMingLiU"/>
        </w:rPr>
        <w:t xml:space="preserve">gación de Explosivos de </w:t>
      </w:r>
      <w:smartTag w:uri="urn:schemas-microsoft-com:office:smarttags" w:element="PersonName">
        <w:smartTagPr>
          <w:attr w:name="ProductID" w:val="la Polic￭a Federal"/>
        </w:smartTagPr>
        <w:r>
          <w:rPr>
            <w:rFonts w:eastAsia="PMingLiU"/>
          </w:rPr>
          <w:t>la Policía Federal</w:t>
        </w:r>
      </w:smartTag>
      <w:r>
        <w:rPr>
          <w:rFonts w:eastAsia="PMingLiU"/>
        </w:rPr>
        <w:t xml:space="preserve"> Argent</w:t>
      </w:r>
      <w:r>
        <w:rPr>
          <w:rFonts w:eastAsia="PMingLiU"/>
        </w:rPr>
        <w:t>i</w:t>
      </w:r>
      <w:r>
        <w:rPr>
          <w:rFonts w:eastAsia="PMingLiU"/>
        </w:rPr>
        <w:t>na</w:t>
      </w:r>
      <w:r>
        <w:t>, los técnicos de “Renault Argentina” fueron coincidentes en s</w:t>
      </w:r>
      <w:r>
        <w:t>e</w:t>
      </w:r>
      <w:r>
        <w:t>ñalar, en base a un exhaustivo análisis de las piezas s</w:t>
      </w:r>
      <w:r>
        <w:t>e</w:t>
      </w:r>
      <w:r>
        <w:t>cuestradas, que no resultaba posible establecer el  mod</w:t>
      </w:r>
      <w:r>
        <w:t>e</w:t>
      </w:r>
      <w:r>
        <w:t>lo.</w:t>
      </w:r>
    </w:p>
    <w:p w:rsidR="00224567" w:rsidRDefault="00224567">
      <w:pPr>
        <w:widowControl w:val="0"/>
      </w:pPr>
      <w:r>
        <w:tab/>
        <w:t>En cuanto a los componentes de otros vehículos encontrados en las inmediaciones del edificio atacado, la prueba colectada no permitió especificar las causas de ello; no obstante, el Tribunal, en base a los juicios técnicos comentados, descarta que formaran parte del cochebomba.</w:t>
      </w:r>
    </w:p>
    <w:p w:rsidR="00224567" w:rsidRDefault="00224567">
      <w:pPr>
        <w:widowControl w:val="0"/>
      </w:pPr>
    </w:p>
    <w:p w:rsidR="00224567" w:rsidRDefault="00224567">
      <w:pPr>
        <w:pStyle w:val="Ttulo3"/>
        <w:keepNext w:val="0"/>
        <w:widowControl w:val="0"/>
      </w:pPr>
      <w:bookmarkStart w:id="7" w:name="_Toc86053060"/>
      <w:r>
        <w:t>E) Análisis de camionetas Trafic sustraídas</w:t>
      </w:r>
      <w:bookmarkEnd w:id="7"/>
      <w:r>
        <w:t>.</w:t>
      </w:r>
    </w:p>
    <w:p w:rsidR="00224567" w:rsidRDefault="00224567">
      <w:pPr>
        <w:widowControl w:val="0"/>
        <w:rPr>
          <w:rFonts w:eastAsia="PMingLiU"/>
          <w:spacing w:val="-3"/>
        </w:rPr>
      </w:pPr>
      <w:r>
        <w:tab/>
        <w:t xml:space="preserve">A efectos de intentar determinar, sin éxito, la carrocería utilizada en el atentado, </w:t>
      </w:r>
      <w:r>
        <w:rPr>
          <w:rFonts w:eastAsia="PMingLiU"/>
        </w:rPr>
        <w:t>el comis</w:t>
      </w:r>
      <w:r>
        <w:rPr>
          <w:rFonts w:eastAsia="PMingLiU"/>
        </w:rPr>
        <w:t>a</w:t>
      </w:r>
      <w:r>
        <w:rPr>
          <w:rFonts w:eastAsia="PMingLiU"/>
        </w:rPr>
        <w:t>rio Oscar Jorge Prícolo de</w:t>
      </w:r>
      <w:r>
        <w:t xml:space="preserve"> </w:t>
      </w:r>
      <w:smartTag w:uri="urn:schemas-microsoft-com:office:smarttags" w:element="PersonName">
        <w:smartTagPr>
          <w:attr w:name="ProductID" w:val="la Divisi￳n Sustracci￳n"/>
        </w:smartTagPr>
        <w:r>
          <w:t>la División Sustracción</w:t>
        </w:r>
      </w:smartTag>
      <w:r>
        <w:t xml:space="preserve"> de </w:t>
      </w:r>
      <w:r>
        <w:rPr>
          <w:rFonts w:eastAsia="PMingLiU"/>
          <w:spacing w:val="-3"/>
        </w:rPr>
        <w:t>A</w:t>
      </w:r>
      <w:r>
        <w:rPr>
          <w:rFonts w:eastAsia="PMingLiU"/>
          <w:spacing w:val="-3"/>
        </w:rPr>
        <w:t>u</w:t>
      </w:r>
      <w:r>
        <w:rPr>
          <w:rFonts w:eastAsia="PMingLiU"/>
          <w:spacing w:val="-3"/>
        </w:rPr>
        <w:t xml:space="preserve">tomotores de </w:t>
      </w:r>
      <w:smartTag w:uri="urn:schemas-microsoft-com:office:smarttags" w:element="PersonName">
        <w:smartTagPr>
          <w:attr w:name="ProductID" w:val="la Polic￭a Federal"/>
        </w:smartTagPr>
        <w:r>
          <w:rPr>
            <w:rFonts w:eastAsia="PMingLiU"/>
            <w:spacing w:val="-3"/>
          </w:rPr>
          <w:t>la Policía Federal</w:t>
        </w:r>
      </w:smartTag>
      <w:r>
        <w:rPr>
          <w:rFonts w:eastAsia="PMingLiU"/>
          <w:spacing w:val="-3"/>
        </w:rPr>
        <w:t xml:space="preserve"> realizó un análisis de la nómina de rodados Trafic sustraídos y no recup</w:t>
      </w:r>
      <w:r>
        <w:rPr>
          <w:rFonts w:eastAsia="PMingLiU"/>
          <w:spacing w:val="-3"/>
        </w:rPr>
        <w:t>e</w:t>
      </w:r>
      <w:r>
        <w:rPr>
          <w:rFonts w:eastAsia="PMingLiU"/>
          <w:spacing w:val="-3"/>
        </w:rPr>
        <w:t>rados, entre los meses de enero y j</w:t>
      </w:r>
      <w:r>
        <w:rPr>
          <w:rFonts w:eastAsia="PMingLiU"/>
          <w:spacing w:val="-3"/>
        </w:rPr>
        <w:t>u</w:t>
      </w:r>
      <w:r>
        <w:rPr>
          <w:rFonts w:eastAsia="PMingLiU"/>
          <w:spacing w:val="-3"/>
        </w:rPr>
        <w:t>lio de 1994 (</w:t>
      </w:r>
      <w:r>
        <w:t>cónf.</w:t>
      </w:r>
      <w:r>
        <w:rPr>
          <w:rFonts w:eastAsia="PMingLiU"/>
          <w:spacing w:val="-3"/>
        </w:rPr>
        <w:t xml:space="preserve"> informe obrante a fs. 21.380/21.411).</w:t>
      </w:r>
    </w:p>
    <w:p w:rsidR="00224567" w:rsidRDefault="00224567">
      <w:pPr>
        <w:widowControl w:val="0"/>
        <w:rPr>
          <w:rFonts w:eastAsia="PMingLiU"/>
        </w:rPr>
      </w:pPr>
      <w:r>
        <w:rPr>
          <w:rFonts w:eastAsia="PMingLiU"/>
        </w:rPr>
        <w:tab/>
        <w:t>Asimismo, estableció, en base a la m</w:t>
      </w:r>
      <w:r>
        <w:rPr>
          <w:rFonts w:eastAsia="PMingLiU"/>
        </w:rPr>
        <w:t>o</w:t>
      </w:r>
      <w:r>
        <w:rPr>
          <w:rFonts w:eastAsia="PMingLiU"/>
        </w:rPr>
        <w:t>dalidad seguida por Carlos Alberto Telleldín para el d</w:t>
      </w:r>
      <w:r>
        <w:rPr>
          <w:rFonts w:eastAsia="PMingLiU"/>
        </w:rPr>
        <w:t>o</w:t>
      </w:r>
      <w:r>
        <w:rPr>
          <w:rFonts w:eastAsia="PMingLiU"/>
        </w:rPr>
        <w:t>blado del utilitario B 2.242.044, que de las Trafic su</w:t>
      </w:r>
      <w:r>
        <w:rPr>
          <w:rFonts w:eastAsia="PMingLiU"/>
        </w:rPr>
        <w:t>s</w:t>
      </w:r>
      <w:r>
        <w:rPr>
          <w:rFonts w:eastAsia="PMingLiU"/>
        </w:rPr>
        <w:t>traídas en junio y julio de ese año, dos podrían haber s</w:t>
      </w:r>
      <w:r>
        <w:rPr>
          <w:rFonts w:eastAsia="PMingLiU"/>
        </w:rPr>
        <w:t>i</w:t>
      </w:r>
      <w:r>
        <w:rPr>
          <w:rFonts w:eastAsia="PMingLiU"/>
        </w:rPr>
        <w:t>do utilizadas en el caso de autos; una de ellas, la cami</w:t>
      </w:r>
      <w:r>
        <w:rPr>
          <w:rFonts w:eastAsia="PMingLiU"/>
        </w:rPr>
        <w:t>o</w:t>
      </w:r>
      <w:r>
        <w:rPr>
          <w:rFonts w:eastAsia="PMingLiU"/>
        </w:rPr>
        <w:t>neta dominio B 2.292.400, modelo ’91, motor 2.851.705, chasis T310-004300, propiedad de Miguel Ángel Grela o de Beatriz L. Luna y, la otra, la de Sarapura. No obstante, la selección efectuada por Prícolo no resulta comprens</w:t>
      </w:r>
      <w:r>
        <w:rPr>
          <w:rFonts w:eastAsia="PMingLiU"/>
        </w:rPr>
        <w:t>i</w:t>
      </w:r>
      <w:r>
        <w:rPr>
          <w:rFonts w:eastAsia="PMingLiU"/>
        </w:rPr>
        <w:t>ble, toda vez que ninguna de las dos se adapta, en cuanto al año de fabricación, a los restos hallados entre los e</w:t>
      </w:r>
      <w:r>
        <w:rPr>
          <w:rFonts w:eastAsia="PMingLiU"/>
        </w:rPr>
        <w:t>s</w:t>
      </w:r>
      <w:r>
        <w:rPr>
          <w:rFonts w:eastAsia="PMingLiU"/>
        </w:rPr>
        <w:t xml:space="preserve">combros, que, conforme lo reseñado </w:t>
      </w:r>
      <w:r>
        <w:rPr>
          <w:rFonts w:eastAsia="PMingLiU"/>
          <w:u w:val="single"/>
        </w:rPr>
        <w:t>ut supra</w:t>
      </w:r>
      <w:r>
        <w:rPr>
          <w:rFonts w:eastAsia="PMingLiU"/>
        </w:rPr>
        <w:t>, correspond</w:t>
      </w:r>
      <w:r>
        <w:rPr>
          <w:rFonts w:eastAsia="PMingLiU"/>
        </w:rPr>
        <w:t>e</w:t>
      </w:r>
      <w:r>
        <w:rPr>
          <w:rFonts w:eastAsia="PMingLiU"/>
        </w:rPr>
        <w:t>rían a una carrocería procesada entre marzo de 1987 y o</w:t>
      </w:r>
      <w:r>
        <w:rPr>
          <w:rFonts w:eastAsia="PMingLiU"/>
        </w:rPr>
        <w:t>c</w:t>
      </w:r>
      <w:r>
        <w:rPr>
          <w:rFonts w:eastAsia="PMingLiU"/>
        </w:rPr>
        <w:t>tubre de 1989.</w:t>
      </w:r>
    </w:p>
    <w:p w:rsidR="00224567" w:rsidRDefault="00224567">
      <w:pPr>
        <w:widowControl w:val="0"/>
        <w:rPr>
          <w:rFonts w:eastAsia="PMingLiU"/>
        </w:rPr>
      </w:pPr>
      <w:r>
        <w:rPr>
          <w:rFonts w:eastAsia="PMingLiU"/>
        </w:rPr>
        <w:tab/>
        <w:t>Amén de ello, a fs. 236/238 del leg</w:t>
      </w:r>
      <w:r>
        <w:rPr>
          <w:rFonts w:eastAsia="PMingLiU"/>
        </w:rPr>
        <w:t>a</w:t>
      </w:r>
      <w:r>
        <w:rPr>
          <w:rFonts w:eastAsia="PMingLiU"/>
        </w:rPr>
        <w:t>jo de instrucción suplementaria lucen actuaciones que dan cuenta del levantamiento del pedido de secuestro del rod</w:t>
      </w:r>
      <w:r>
        <w:rPr>
          <w:rFonts w:eastAsia="PMingLiU"/>
        </w:rPr>
        <w:t>a</w:t>
      </w:r>
      <w:r>
        <w:rPr>
          <w:rFonts w:eastAsia="PMingLiU"/>
        </w:rPr>
        <w:t>do Renault Trafic dominio B 2.292.400 y de su entrega d</w:t>
      </w:r>
      <w:r>
        <w:rPr>
          <w:rFonts w:eastAsia="PMingLiU"/>
        </w:rPr>
        <w:t>e</w:t>
      </w:r>
      <w:r>
        <w:rPr>
          <w:rFonts w:eastAsia="PMingLiU"/>
        </w:rPr>
        <w:t>finitiva con fecha 22 de noviembre de 1995.</w:t>
      </w:r>
    </w:p>
    <w:p w:rsidR="00224567" w:rsidRDefault="00224567">
      <w:pPr>
        <w:widowControl w:val="0"/>
      </w:pPr>
      <w:r>
        <w:tab/>
        <w:t>Al declarar en la audiencia de deb</w:t>
      </w:r>
      <w:r>
        <w:t>a</w:t>
      </w:r>
      <w:r>
        <w:t>te, Oscar Jorge Prícolo manifestó que en 1996 se desempeñó c</w:t>
      </w:r>
      <w:r>
        <w:t>o</w:t>
      </w:r>
      <w:r>
        <w:t xml:space="preserve">mo jefe de </w:t>
      </w:r>
      <w:smartTag w:uri="urn:schemas-microsoft-com:office:smarttags" w:element="PersonName">
        <w:smartTagPr>
          <w:attr w:name="ProductID" w:val="la Divisi￳n Sustracci￳n"/>
        </w:smartTagPr>
        <w:r>
          <w:t>la División Sustracción</w:t>
        </w:r>
      </w:smartTag>
      <w:r>
        <w:t xml:space="preserve"> de Automotores y que, con relación a esta causa, prosiguió el trámite iniciado por su predecesor, el comisario Díaz, en orden a la ver</w:t>
      </w:r>
      <w:r>
        <w:t>i</w:t>
      </w:r>
      <w:r>
        <w:t>ficación y estudio de distintos vehículos s</w:t>
      </w:r>
      <w:r>
        <w:t>e</w:t>
      </w:r>
      <w:r>
        <w:t>cuestrados.</w:t>
      </w:r>
    </w:p>
    <w:p w:rsidR="00224567" w:rsidRDefault="00224567">
      <w:pPr>
        <w:widowControl w:val="0"/>
      </w:pPr>
      <w:r>
        <w:tab/>
        <w:t>Pese a que reconoció su firma en el informe de fs. 21.409/21.411, alegó no recordar las dil</w:t>
      </w:r>
      <w:r>
        <w:t>i</w:t>
      </w:r>
      <w:r>
        <w:t>gencias allí plasmadas y no supo explicar la manera en que se labraron esas actuaciones, por cuanto el e</w:t>
      </w:r>
      <w:r>
        <w:t>n</w:t>
      </w:r>
      <w:r>
        <w:t>cargado del tema era un oficial principal, cuyo nombre tampoco m</w:t>
      </w:r>
      <w:r>
        <w:t>e</w:t>
      </w:r>
      <w:r>
        <w:t>moró.</w:t>
      </w:r>
    </w:p>
    <w:p w:rsidR="00224567" w:rsidRDefault="00224567">
      <w:pPr>
        <w:widowControl w:val="0"/>
      </w:pPr>
      <w:r>
        <w:rPr>
          <w:rFonts w:eastAsia="PMingLiU"/>
          <w:spacing w:val="-3"/>
        </w:rPr>
        <w:tab/>
        <w:t xml:space="preserve">A su vez, a fs. </w:t>
      </w:r>
      <w:r>
        <w:t>14.031/14.032 se e</w:t>
      </w:r>
      <w:r>
        <w:t>n</w:t>
      </w:r>
      <w:r>
        <w:t>cuentran glosadas Planas del Sistema de Informát</w:t>
      </w:r>
      <w:r>
        <w:t>i</w:t>
      </w:r>
      <w:r>
        <w:t xml:space="preserve">ca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y del Registro N</w:t>
      </w:r>
      <w:r>
        <w:t>a</w:t>
      </w:r>
      <w:r>
        <w:t xml:space="preserve">cional de </w:t>
      </w:r>
      <w:smartTag w:uri="urn:schemas-microsoft-com:office:smarttags" w:element="PersonName">
        <w:smartTagPr>
          <w:attr w:name="ProductID" w:val="la Propiedad Automotor"/>
        </w:smartTagPr>
        <w:r>
          <w:t>la Propiedad Automotor</w:t>
        </w:r>
      </w:smartTag>
      <w:r>
        <w:t xml:space="preserve"> respecto de vehículos R</w:t>
      </w:r>
      <w:r>
        <w:t>e</w:t>
      </w:r>
      <w:r>
        <w:t>nault Trafic robados y/o recuperados en el período co</w:t>
      </w:r>
      <w:r>
        <w:t>m</w:t>
      </w:r>
      <w:r>
        <w:t>prendido entre enero y julio de 1994, con información d</w:t>
      </w:r>
      <w:r>
        <w:t>e</w:t>
      </w:r>
      <w:r>
        <w:t xml:space="preserve">tallada de algunos de ellos (cónf. fs. 14.037/14.102, 14.104/14.134, 14.138/140 y 14.142/14.160). Entre los vehículos robados figura </w:t>
      </w:r>
      <w:smartTag w:uri="urn:schemas-microsoft-com:office:smarttags" w:element="PersonName">
        <w:smartTagPr>
          <w:attr w:name="ProductID" w:val="la Trafic"/>
        </w:smartTagPr>
        <w:r>
          <w:t>la Trafic</w:t>
        </w:r>
      </w:smartTag>
      <w:r>
        <w:t xml:space="preserve"> dominio C 1.519.275, motor nº 2.848.848, chasis nº T3101-001261, es decir, la camioneta de Sarapura.</w:t>
      </w:r>
    </w:p>
    <w:p w:rsidR="00224567" w:rsidRDefault="00224567">
      <w:pPr>
        <w:widowControl w:val="0"/>
      </w:pPr>
      <w:r>
        <w:tab/>
        <w:t>La defensa de Carlos Alberto Telle</w:t>
      </w:r>
      <w:r>
        <w:t>l</w:t>
      </w:r>
      <w:r>
        <w:t>dín alegó que la acusación en contra de su cliente en el se</w:t>
      </w:r>
      <w:r>
        <w:t>n</w:t>
      </w:r>
      <w:r>
        <w:t>tido de que armó más de una cami</w:t>
      </w:r>
      <w:r>
        <w:t>o</w:t>
      </w:r>
      <w:r>
        <w:t>neta no pudo ser probada e invocó, en sustento de ello, que del informe de fs. 21.409/21.411 surgía que no existía otra cami</w:t>
      </w:r>
      <w:r>
        <w:t>o</w:t>
      </w:r>
      <w:r>
        <w:t>neta de las características investigadas y con pedido de secuestro, más que la de Sarapura. Por ello, ente</w:t>
      </w:r>
      <w:r>
        <w:t>n</w:t>
      </w:r>
      <w:r>
        <w:t>dió que esa fue la carrocería robada que empleó el ac</w:t>
      </w:r>
      <w:r>
        <w:t>u</w:t>
      </w:r>
      <w:r>
        <w:t>sado.</w:t>
      </w:r>
    </w:p>
    <w:p w:rsidR="00224567" w:rsidRDefault="00224567">
      <w:pPr>
        <w:widowControl w:val="0"/>
      </w:pPr>
      <w:r>
        <w:tab/>
        <w:t>Al respecto, el Tribunal consid</w:t>
      </w:r>
      <w:r>
        <w:t>e</w:t>
      </w:r>
      <w:r>
        <w:t>ra que el informe citado es incompleto y confuso, por cuanto, c</w:t>
      </w:r>
      <w:r>
        <w:t>o</w:t>
      </w:r>
      <w:r>
        <w:t>mo se dijo, se contemplaron carrocerías que no se corre</w:t>
      </w:r>
      <w:r>
        <w:t>s</w:t>
      </w:r>
      <w:r>
        <w:t>pondían con la empleada en el atentado, además de haberse acotado la búsqueda a un período relativamente corto (enero a julio de 1994).</w:t>
      </w:r>
    </w:p>
    <w:p w:rsidR="00224567" w:rsidRDefault="00224567">
      <w:pPr>
        <w:widowControl w:val="0"/>
      </w:pPr>
      <w:r>
        <w:tab/>
        <w:t>A lo expuesto, se añade que no se e</w:t>
      </w:r>
      <w:r>
        <w:t>x</w:t>
      </w:r>
      <w:r>
        <w:t>plicitó el criterio de selección de los utilitarios en análisis, en razón que de los listados obrantes a fs. 14.031/14.032, 14.036 y 14.103 surgen otras camionetas Trafic, sustraídas en el lapso citado, que no fueron som</w:t>
      </w:r>
      <w:r>
        <w:t>e</w:t>
      </w:r>
      <w:r>
        <w:t>tidas a estudio en el informe de fs. 21.409/21.411, sin que Pr</w:t>
      </w:r>
      <w:r>
        <w:t>i</w:t>
      </w:r>
      <w:r>
        <w:t>colo arrojara luz sobre tal cuestión.</w:t>
      </w:r>
    </w:p>
    <w:p w:rsidR="00224567" w:rsidRDefault="00224567">
      <w:pPr>
        <w:widowControl w:val="0"/>
      </w:pPr>
      <w:r>
        <w:tab/>
        <w:t>Por lo expuesto, no se puede compa</w:t>
      </w:r>
      <w:r>
        <w:t>r</w:t>
      </w:r>
      <w:r>
        <w:t>tir, en base a dicho informe, lo afirmado por la defensa de Telleldín, en cuanto a que sólo la carrocería de Sar</w:t>
      </w:r>
      <w:r>
        <w:t>a</w:t>
      </w:r>
      <w:r>
        <w:t>pura pudo haber sido la empleada para armar el vehículo cuyos restos se hallaran luego de la expl</w:t>
      </w:r>
      <w:r>
        <w:t>o</w:t>
      </w:r>
      <w:r>
        <w:t>sión.</w:t>
      </w:r>
    </w:p>
    <w:p w:rsidR="00224567" w:rsidRDefault="00224567">
      <w:pPr>
        <w:widowControl w:val="0"/>
      </w:pPr>
      <w:r>
        <w:tab/>
        <w:t>Tampoco en base a probables infracci</w:t>
      </w:r>
      <w:r>
        <w:t>o</w:t>
      </w:r>
      <w:r>
        <w:t>nes de tránsito cometidas entre el 10 y 18 de julio de 1994 fue posible establecer el derrotero de la c</w:t>
      </w:r>
      <w:r>
        <w:t>a</w:t>
      </w:r>
      <w:r>
        <w:t xml:space="preserve">rrocería de </w:t>
      </w:r>
      <w:smartTag w:uri="urn:schemas-microsoft-com:office:smarttags" w:element="PersonName">
        <w:smartTagPr>
          <w:attr w:name="ProductID" w:val="la Trafic"/>
        </w:smartTagPr>
        <w:r>
          <w:t>la Trafic</w:t>
        </w:r>
      </w:smartTag>
      <w:r>
        <w:t xml:space="preserve"> “Messin” ni de aquella a la que se le coloc</w:t>
      </w:r>
      <w:r>
        <w:t>a</w:t>
      </w:r>
      <w:r>
        <w:t xml:space="preserve">ron las chapas patentes C 1.498.506, por cuanto tanto </w:t>
      </w:r>
      <w:smartTag w:uri="urn:schemas-microsoft-com:office:smarttags" w:element="PersonName">
        <w:smartTagPr>
          <w:attr w:name="ProductID" w:val="la Municipalidad"/>
        </w:smartTagPr>
        <w:r>
          <w:t>la Municipalidad</w:t>
        </w:r>
      </w:smartTag>
      <w:r>
        <w:t xml:space="preserve"> de </w:t>
      </w:r>
      <w:smartTag w:uri="urn:schemas-microsoft-com:office:smarttags" w:element="PersonName">
        <w:smartTagPr>
          <w:attr w:name="ProductID" w:val="la Ciudad"/>
        </w:smartTagPr>
        <w:r>
          <w:t>la Ciudad</w:t>
        </w:r>
      </w:smartTag>
      <w:r>
        <w:t xml:space="preserve"> de Buenos Aires como </w:t>
      </w:r>
      <w:smartTag w:uri="urn:schemas-microsoft-com:office:smarttags" w:element="PersonName">
        <w:smartTagPr>
          <w:attr w:name="ProductID" w:val="la Divisi￳n Actuaciones"/>
        </w:smartTagPr>
        <w:r>
          <w:t>la Div</w:t>
        </w:r>
        <w:r>
          <w:t>i</w:t>
        </w:r>
        <w:r>
          <w:t>sión Actuaciones</w:t>
        </w:r>
      </w:smartTag>
      <w:r>
        <w:t>, Dirección General de Asuntos J</w:t>
      </w:r>
      <w:r>
        <w:t>u</w:t>
      </w:r>
      <w:r>
        <w:t xml:space="preserve">diciales de </w:t>
      </w:r>
      <w:smartTag w:uri="urn:schemas-microsoft-com:office:smarttags" w:element="PersonName">
        <w:smartTagPr>
          <w:attr w:name="ProductID" w:val="la Polic￭a Federal"/>
        </w:smartTagPr>
        <w:r>
          <w:t>la Policía Federal</w:t>
        </w:r>
      </w:smartTag>
      <w:r>
        <w:t xml:space="preserve"> Argentina y </w:t>
      </w:r>
      <w:smartTag w:uri="urn:schemas-microsoft-com:office:smarttags" w:element="PersonName">
        <w:smartTagPr>
          <w:attr w:name="ProductID" w:val="la Secretar￭a General"/>
        </w:smartTagPr>
        <w:r>
          <w:t>la Secret</w:t>
        </w:r>
        <w:r>
          <w:t>a</w:t>
        </w:r>
        <w:r>
          <w:t>ría General</w:t>
        </w:r>
      </w:smartTag>
      <w:r>
        <w:t xml:space="preserve"> de Jefatura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informaron que no registraban anotaciones en el período consignado (cónf. fs. 9873/9881, 10.027/10.029 y 11.626/11.644, respectiv</w:t>
      </w:r>
      <w:r>
        <w:t>a</w:t>
      </w:r>
      <w:r>
        <w:t>mente).</w:t>
      </w:r>
    </w:p>
    <w:p w:rsidR="00224567" w:rsidRDefault="00224567">
      <w:pPr>
        <w:widowControl w:val="0"/>
      </w:pPr>
      <w:r>
        <w:tab/>
        <w:t xml:space="preserve">A su vez, </w:t>
      </w:r>
      <w:smartTag w:uri="urn:schemas-microsoft-com:office:smarttags" w:element="PersonName">
        <w:smartTagPr>
          <w:attr w:name="ProductID" w:val="la Divisi￳n Plantas"/>
        </w:smartTagPr>
        <w:r>
          <w:t>la División Plantas</w:t>
        </w:r>
      </w:smartTag>
      <w:r>
        <w:t xml:space="preserve"> Verif</w:t>
      </w:r>
      <w:r>
        <w:t>i</w:t>
      </w:r>
      <w:r>
        <w:t xml:space="preserve">cadoras de </w:t>
      </w:r>
      <w:smartTag w:uri="urn:schemas-microsoft-com:office:smarttags" w:element="PersonName">
        <w:smartTagPr>
          <w:attr w:name="ProductID" w:val="la Polic￭a Federal"/>
        </w:smartTagPr>
        <w:r>
          <w:t>la Policía Federal</w:t>
        </w:r>
      </w:smartTag>
      <w:r>
        <w:t xml:space="preserve"> informó a fs. 38.399 que e</w:t>
      </w:r>
      <w:r>
        <w:t>n</w:t>
      </w:r>
      <w:r>
        <w:t>tre el 25 de junio y el 15 de julio de 1994 no se ver</w:t>
      </w:r>
      <w:r>
        <w:t>i</w:t>
      </w:r>
      <w:r>
        <w:t>ficó el vehículo de marras.</w:t>
      </w:r>
    </w:p>
    <w:p w:rsidR="00224567" w:rsidRDefault="00224567">
      <w:pPr>
        <w:widowControl w:val="0"/>
      </w:pPr>
    </w:p>
    <w:p w:rsidR="00224567" w:rsidRDefault="00224567">
      <w:pPr>
        <w:pStyle w:val="Ttulo2"/>
        <w:keepNext w:val="0"/>
        <w:widowControl w:val="0"/>
      </w:pPr>
      <w:r>
        <w:t>CAPÍTULO VII</w:t>
      </w:r>
    </w:p>
    <w:p w:rsidR="00224567" w:rsidRDefault="00224567">
      <w:pPr>
        <w:widowControl w:val="0"/>
        <w:rPr>
          <w:rFonts w:eastAsia="Arial Unicode MS"/>
          <w:spacing w:val="-3"/>
        </w:rPr>
      </w:pPr>
    </w:p>
    <w:p w:rsidR="00224567" w:rsidRDefault="00224567">
      <w:pPr>
        <w:widowControl w:val="0"/>
        <w:rPr>
          <w:rFonts w:eastAsia="Arial Unicode MS"/>
          <w:spacing w:val="-3"/>
        </w:rPr>
      </w:pPr>
      <w:r>
        <w:rPr>
          <w:rFonts w:eastAsia="Arial Unicode MS"/>
          <w:spacing w:val="-3"/>
        </w:rPr>
        <w:tab/>
      </w:r>
      <w:r>
        <w:rPr>
          <w:rFonts w:eastAsia="Arial Unicode MS"/>
          <w:b/>
          <w:bCs/>
          <w:spacing w:val="-3"/>
        </w:rPr>
        <w:t>A)</w:t>
      </w:r>
      <w:r>
        <w:rPr>
          <w:rFonts w:eastAsia="Arial Unicode MS"/>
          <w:spacing w:val="-3"/>
        </w:rPr>
        <w:t xml:space="preserve"> El Tribunal tiene por acred</w:t>
      </w:r>
      <w:r>
        <w:rPr>
          <w:rFonts w:eastAsia="Arial Unicode MS"/>
          <w:spacing w:val="-3"/>
        </w:rPr>
        <w:t>i</w:t>
      </w:r>
      <w:r>
        <w:rPr>
          <w:rFonts w:eastAsia="Arial Unicode MS"/>
          <w:spacing w:val="-3"/>
        </w:rPr>
        <w:t xml:space="preserve">tado que el viernes 15 de julio de </w:t>
      </w:r>
      <w:smartTag w:uri="urn:schemas-microsoft-com:office:smarttags" w:element="metricconverter">
        <w:smartTagPr>
          <w:attr w:name="ProductID" w:val="1994, a"/>
        </w:smartTagPr>
        <w:r>
          <w:rPr>
            <w:rFonts w:eastAsia="Arial Unicode MS"/>
            <w:spacing w:val="-3"/>
          </w:rPr>
          <w:t>1994, a</w:t>
        </w:r>
      </w:smartTag>
      <w:r>
        <w:rPr>
          <w:rFonts w:eastAsia="Arial Unicode MS"/>
          <w:spacing w:val="-3"/>
        </w:rPr>
        <w:t xml:space="preserve"> las 18.00 aproximadame</w:t>
      </w:r>
      <w:r>
        <w:rPr>
          <w:rFonts w:eastAsia="Arial Unicode MS"/>
          <w:spacing w:val="-3"/>
        </w:rPr>
        <w:t>n</w:t>
      </w:r>
      <w:r>
        <w:rPr>
          <w:rFonts w:eastAsia="Arial Unicode MS"/>
          <w:spacing w:val="-3"/>
        </w:rPr>
        <w:t>te, un sujeto estacionó, en la playa de estacionamiento d</w:t>
      </w:r>
      <w:r>
        <w:rPr>
          <w:rFonts w:eastAsia="Arial Unicode MS"/>
          <w:spacing w:val="-3"/>
        </w:rPr>
        <w:t>e</w:t>
      </w:r>
      <w:r>
        <w:rPr>
          <w:rFonts w:eastAsia="Arial Unicode MS"/>
          <w:spacing w:val="-3"/>
        </w:rPr>
        <w:t>nominada “Jet Parking”, sita en Azcuénaga 959 de esta ci</w:t>
      </w:r>
      <w:r>
        <w:rPr>
          <w:rFonts w:eastAsia="Arial Unicode MS"/>
          <w:spacing w:val="-3"/>
        </w:rPr>
        <w:t>u</w:t>
      </w:r>
      <w:r>
        <w:rPr>
          <w:rFonts w:eastAsia="Arial Unicode MS"/>
          <w:spacing w:val="-3"/>
        </w:rPr>
        <w:t>dad, una camioneta Renault Trafic cuyos cuatro últimos d</w:t>
      </w:r>
      <w:r>
        <w:rPr>
          <w:rFonts w:eastAsia="Arial Unicode MS"/>
          <w:spacing w:val="-3"/>
        </w:rPr>
        <w:t>í</w:t>
      </w:r>
      <w:r>
        <w:rPr>
          <w:rFonts w:eastAsia="Arial Unicode MS"/>
          <w:spacing w:val="-3"/>
        </w:rPr>
        <w:t>gitos de dominio eran 8506, ubicándola en el sector que d</w:t>
      </w:r>
      <w:r>
        <w:rPr>
          <w:rFonts w:eastAsia="Arial Unicode MS"/>
          <w:spacing w:val="-3"/>
        </w:rPr>
        <w:t>a</w:t>
      </w:r>
      <w:r>
        <w:rPr>
          <w:rFonts w:eastAsia="Arial Unicode MS"/>
          <w:spacing w:val="-3"/>
        </w:rPr>
        <w:t>ba hacia esa calle, al frente. A esos efectos, el indiv</w:t>
      </w:r>
      <w:r>
        <w:rPr>
          <w:rFonts w:eastAsia="Arial Unicode MS"/>
          <w:spacing w:val="-3"/>
        </w:rPr>
        <w:t>i</w:t>
      </w:r>
      <w:r>
        <w:rPr>
          <w:rFonts w:eastAsia="Arial Unicode MS"/>
          <w:spacing w:val="-3"/>
        </w:rPr>
        <w:t>duo abonó $ 100 en concepto de estadía por una quincena, bri</w:t>
      </w:r>
      <w:r>
        <w:rPr>
          <w:rFonts w:eastAsia="Arial Unicode MS"/>
          <w:spacing w:val="-3"/>
        </w:rPr>
        <w:t>n</w:t>
      </w:r>
      <w:r>
        <w:rPr>
          <w:rFonts w:eastAsia="Arial Unicode MS"/>
          <w:spacing w:val="-3"/>
        </w:rPr>
        <w:t>dando ciertos datos para la confección de una ficha del r</w:t>
      </w:r>
      <w:r>
        <w:rPr>
          <w:rFonts w:eastAsia="Arial Unicode MS"/>
          <w:spacing w:val="-3"/>
        </w:rPr>
        <w:t>o</w:t>
      </w:r>
      <w:r>
        <w:rPr>
          <w:rFonts w:eastAsia="Arial Unicode MS"/>
          <w:spacing w:val="-3"/>
        </w:rPr>
        <w:t>dado.</w:t>
      </w:r>
    </w:p>
    <w:p w:rsidR="00224567" w:rsidRDefault="00224567">
      <w:pPr>
        <w:widowControl w:val="0"/>
        <w:rPr>
          <w:rFonts w:eastAsia="Arial Unicode MS"/>
          <w:spacing w:val="-3"/>
        </w:rPr>
      </w:pPr>
      <w:r>
        <w:rPr>
          <w:rFonts w:eastAsia="Arial Unicode MS"/>
          <w:spacing w:val="-3"/>
        </w:rPr>
        <w:tab/>
        <w:t>Luego del atentado, los empleados del estacionamiento advirtieron que la camioneta no se enco</w:t>
      </w:r>
      <w:r>
        <w:rPr>
          <w:rFonts w:eastAsia="Arial Unicode MS"/>
          <w:spacing w:val="-3"/>
        </w:rPr>
        <w:t>n</w:t>
      </w:r>
      <w:r>
        <w:rPr>
          <w:rFonts w:eastAsia="Arial Unicode MS"/>
          <w:spacing w:val="-3"/>
        </w:rPr>
        <w:t>traba más en la playa y conjeturaron que podría estar vi</w:t>
      </w:r>
      <w:r>
        <w:rPr>
          <w:rFonts w:eastAsia="Arial Unicode MS"/>
          <w:spacing w:val="-3"/>
        </w:rPr>
        <w:t>n</w:t>
      </w:r>
      <w:r>
        <w:rPr>
          <w:rFonts w:eastAsia="Arial Unicode MS"/>
          <w:spacing w:val="-3"/>
        </w:rPr>
        <w:t xml:space="preserve">culada con el hecho, por lo que el jueves 21 de julio o al día siguiente, </w:t>
      </w:r>
      <w:r>
        <w:t>Manuel Bernardo Umansky</w:t>
      </w:r>
      <w:r>
        <w:rPr>
          <w:rFonts w:eastAsia="Arial Unicode MS"/>
          <w:spacing w:val="-3"/>
        </w:rPr>
        <w:t xml:space="preserve"> y Ma</w:t>
      </w:r>
      <w:r>
        <w:rPr>
          <w:rFonts w:eastAsia="Arial Unicode MS"/>
          <w:spacing w:val="-3"/>
        </w:rPr>
        <w:t>u</w:t>
      </w:r>
      <w:r>
        <w:rPr>
          <w:rFonts w:eastAsia="Arial Unicode MS"/>
          <w:spacing w:val="-3"/>
        </w:rPr>
        <w:t xml:space="preserve">ricio Alejandro Vaysman, titulares de la concesión, se presentaron en </w:t>
      </w:r>
      <w:smartTag w:uri="urn:schemas-microsoft-com:office:smarttags" w:element="PersonName">
        <w:smartTagPr>
          <w:attr w:name="ProductID" w:val="la Embajada"/>
        </w:smartTagPr>
        <w:r>
          <w:rPr>
            <w:rFonts w:eastAsia="Arial Unicode MS"/>
            <w:spacing w:val="-3"/>
          </w:rPr>
          <w:t>la Embajada</w:t>
        </w:r>
      </w:smartTag>
      <w:r>
        <w:rPr>
          <w:rFonts w:eastAsia="Arial Unicode MS"/>
          <w:spacing w:val="-3"/>
        </w:rPr>
        <w:t xml:space="preserve"> de Israel a fin de aportar esa inform</w:t>
      </w:r>
      <w:r>
        <w:rPr>
          <w:rFonts w:eastAsia="Arial Unicode MS"/>
          <w:spacing w:val="-3"/>
        </w:rPr>
        <w:t>a</w:t>
      </w:r>
      <w:r>
        <w:rPr>
          <w:rFonts w:eastAsia="Arial Unicode MS"/>
          <w:spacing w:val="-3"/>
        </w:rPr>
        <w:t>ción.</w:t>
      </w:r>
    </w:p>
    <w:p w:rsidR="00224567" w:rsidRDefault="00224567">
      <w:pPr>
        <w:widowControl w:val="0"/>
        <w:rPr>
          <w:rFonts w:eastAsia="Arial Unicode MS"/>
          <w:spacing w:val="-3"/>
        </w:rPr>
      </w:pPr>
      <w:r>
        <w:rPr>
          <w:rFonts w:eastAsia="Arial Unicode MS"/>
          <w:spacing w:val="-3"/>
        </w:rPr>
        <w:tab/>
        <w:t>Las pruebas del debate no permitieron establecer en qué jornada, ni en qué horario, la cami</w:t>
      </w:r>
      <w:r>
        <w:rPr>
          <w:rFonts w:eastAsia="Arial Unicode MS"/>
          <w:spacing w:val="-3"/>
        </w:rPr>
        <w:t>o</w:t>
      </w:r>
      <w:r>
        <w:rPr>
          <w:rFonts w:eastAsia="Arial Unicode MS"/>
          <w:spacing w:val="-3"/>
        </w:rPr>
        <w:t>neta Trafic de mención fue retirada de la playa.</w:t>
      </w:r>
    </w:p>
    <w:p w:rsidR="00224567" w:rsidRDefault="00224567">
      <w:pPr>
        <w:widowControl w:val="0"/>
        <w:rPr>
          <w:rFonts w:eastAsia="Arial Unicode MS"/>
          <w:spacing w:val="-3"/>
        </w:rPr>
      </w:pPr>
      <w:r>
        <w:rPr>
          <w:rFonts w:eastAsia="Arial Unicode MS"/>
          <w:spacing w:val="-3"/>
        </w:rPr>
        <w:tab/>
      </w:r>
      <w:r>
        <w:rPr>
          <w:rFonts w:eastAsia="Arial Unicode MS"/>
          <w:b/>
          <w:bCs/>
          <w:spacing w:val="-3"/>
        </w:rPr>
        <w:t xml:space="preserve">B) </w:t>
      </w:r>
      <w:r>
        <w:rPr>
          <w:rFonts w:eastAsia="Arial Unicode MS"/>
          <w:spacing w:val="-3"/>
        </w:rPr>
        <w:t>Lo expuesto encuentra sustento en las decl</w:t>
      </w:r>
      <w:r>
        <w:rPr>
          <w:rFonts w:eastAsia="Arial Unicode MS"/>
          <w:spacing w:val="-3"/>
        </w:rPr>
        <w:t>a</w:t>
      </w:r>
      <w:r>
        <w:rPr>
          <w:rFonts w:eastAsia="Arial Unicode MS"/>
          <w:spacing w:val="-3"/>
        </w:rPr>
        <w:t xml:space="preserve">raciones testimoniales de José Antonio Díaz, Jorge Carlos Giser, </w:t>
      </w:r>
      <w:r>
        <w:t>Elena Schargorodsky, César Omar Alderete, José Alejandro Címbolo, Manuel Bernardo Umansky, Maur</w:t>
      </w:r>
      <w:r>
        <w:t>i</w:t>
      </w:r>
      <w:r>
        <w:t>cio Alejandro Vaysman, Gregorio Jorge Stilman, Jorge Daniel Torres, Jorge Luis Lucas, Horacio Antonio Stiuso, Néstor Ricardo Hernández, Roberto Jorge Saller y Luis Domingo D</w:t>
      </w:r>
      <w:r>
        <w:t>e</w:t>
      </w:r>
      <w:r>
        <w:t>lizia.</w:t>
      </w:r>
    </w:p>
    <w:p w:rsidR="00224567" w:rsidRDefault="00224567">
      <w:pPr>
        <w:widowControl w:val="0"/>
      </w:pPr>
      <w:r>
        <w:rPr>
          <w:rFonts w:eastAsia="Arial Unicode MS"/>
          <w:spacing w:val="-3"/>
        </w:rPr>
        <w:tab/>
        <w:t>A ello se agregan la documentación gl</w:t>
      </w:r>
      <w:r>
        <w:rPr>
          <w:rFonts w:eastAsia="Arial Unicode MS"/>
          <w:spacing w:val="-3"/>
        </w:rPr>
        <w:t>o</w:t>
      </w:r>
      <w:r>
        <w:rPr>
          <w:rFonts w:eastAsia="Arial Unicode MS"/>
          <w:spacing w:val="-3"/>
        </w:rPr>
        <w:t xml:space="preserve">sada a fs. 206/208, las fotografías que lucen a fs. </w:t>
      </w:r>
      <w:r>
        <w:t>66.867/66.873 y 66.877/66.883</w:t>
      </w:r>
      <w:r>
        <w:rPr>
          <w:rFonts w:eastAsia="Arial Unicode MS"/>
          <w:spacing w:val="-3"/>
        </w:rPr>
        <w:t xml:space="preserve">, los gráficos agregados a </w:t>
      </w:r>
      <w:r>
        <w:t xml:space="preserve">fs. 66.876 y 66.898, las constancias obrantes a fs. </w:t>
      </w:r>
      <w:r>
        <w:rPr>
          <w:rFonts w:eastAsia="Arial Unicode MS"/>
          <w:spacing w:val="-3"/>
        </w:rPr>
        <w:t>214 y 339,</w:t>
      </w:r>
      <w:r>
        <w:t xml:space="preserve"> las actuaciones de fs. 99.433/99.504, el peritaje c</w:t>
      </w:r>
      <w:r>
        <w:t>a</w:t>
      </w:r>
      <w:r>
        <w:t xml:space="preserve">ligráfico glosado a fs. 77.922/77.925, las copias de fs. 78.708/78.710 y 80.477/80.630, el </w:t>
      </w:r>
      <w:r>
        <w:rPr>
          <w:u w:val="single"/>
        </w:rPr>
        <w:t>ph</w:t>
      </w:r>
      <w:r>
        <w:rPr>
          <w:u w:val="single"/>
        </w:rPr>
        <w:t>o</w:t>
      </w:r>
      <w:r>
        <w:rPr>
          <w:u w:val="single"/>
        </w:rPr>
        <w:t>to-fit</w:t>
      </w:r>
      <w:r>
        <w:t xml:space="preserve"> obrante a fs. 20 del anexo de </w:t>
      </w:r>
      <w:smartTag w:uri="urn:schemas-microsoft-com:office:smarttags" w:element="PersonName">
        <w:smartTagPr>
          <w:attr w:name="ProductID" w:val="la Divisi￳n Scopometr￭a"/>
        </w:smartTagPr>
        <w:r>
          <w:t>la División Scopometría</w:t>
        </w:r>
      </w:smartTag>
      <w:r>
        <w:t xml:space="preserve"> de </w:t>
      </w:r>
      <w:smartTag w:uri="urn:schemas-microsoft-com:office:smarttags" w:element="PersonName">
        <w:smartTagPr>
          <w:attr w:name="ProductID" w:val="la Polic￭a Federal"/>
        </w:smartTagPr>
        <w:r>
          <w:t>la Policía F</w:t>
        </w:r>
        <w:r>
          <w:t>e</w:t>
        </w:r>
        <w:r>
          <w:t>deral</w:t>
        </w:r>
      </w:smartTag>
      <w:r>
        <w:t xml:space="preserve"> Arge</w:t>
      </w:r>
      <w:r>
        <w:t>n</w:t>
      </w:r>
      <w:r>
        <w:t>tina que corre por cuerda y los informes de fs. 974/975 y 77.612/77.619 del principal y fs. 857/859 del legajo de instrucción suplement</w:t>
      </w:r>
      <w:r>
        <w:t>a</w:t>
      </w:r>
      <w:r>
        <w:t>ria.</w:t>
      </w:r>
    </w:p>
    <w:p w:rsidR="00224567" w:rsidRDefault="00224567">
      <w:pPr>
        <w:widowControl w:val="0"/>
        <w:rPr>
          <w:rFonts w:eastAsia="Arial Unicode MS"/>
          <w:spacing w:val="-3"/>
        </w:rPr>
      </w:pPr>
      <w:r>
        <w:rPr>
          <w:rFonts w:eastAsia="Arial Unicode MS"/>
          <w:spacing w:val="-3"/>
        </w:rPr>
        <w:tab/>
      </w:r>
      <w:r>
        <w:rPr>
          <w:rFonts w:eastAsia="Arial Unicode MS"/>
          <w:b/>
          <w:bCs/>
          <w:spacing w:val="-3"/>
        </w:rPr>
        <w:t xml:space="preserve">B.1) </w:t>
      </w:r>
      <w:r>
        <w:rPr>
          <w:rFonts w:eastAsia="Arial Unicode MS"/>
          <w:spacing w:val="-3"/>
        </w:rPr>
        <w:t>Al prestar declaración en la a</w:t>
      </w:r>
      <w:r>
        <w:rPr>
          <w:rFonts w:eastAsia="Arial Unicode MS"/>
          <w:spacing w:val="-3"/>
        </w:rPr>
        <w:t>u</w:t>
      </w:r>
      <w:r>
        <w:rPr>
          <w:rFonts w:eastAsia="Arial Unicode MS"/>
          <w:spacing w:val="-3"/>
        </w:rPr>
        <w:t>diencia de debate, José Antonio Díaz manifestó que en julio de 1994 trabajaba como playero en el estacionamiento “Jet Parking”, sito en Azcuénaga entre Paraguay y Marc</w:t>
      </w:r>
      <w:r>
        <w:rPr>
          <w:rFonts w:eastAsia="Arial Unicode MS"/>
          <w:spacing w:val="-3"/>
        </w:rPr>
        <w:t>e</w:t>
      </w:r>
      <w:r>
        <w:rPr>
          <w:rFonts w:eastAsia="Arial Unicode MS"/>
          <w:spacing w:val="-3"/>
        </w:rPr>
        <w:t>lo T. de Alvear, estando a su cargo entregar los tickets al ingreso de los vehículos y registrar los cuatro últimos dígitos de las patentes en una máqu</w:t>
      </w:r>
      <w:r>
        <w:rPr>
          <w:rFonts w:eastAsia="Arial Unicode MS"/>
          <w:spacing w:val="-3"/>
        </w:rPr>
        <w:t>i</w:t>
      </w:r>
      <w:r>
        <w:rPr>
          <w:rFonts w:eastAsia="Arial Unicode MS"/>
          <w:spacing w:val="-3"/>
        </w:rPr>
        <w:t>na.</w:t>
      </w:r>
    </w:p>
    <w:p w:rsidR="00224567" w:rsidRDefault="00224567">
      <w:pPr>
        <w:widowControl w:val="0"/>
        <w:rPr>
          <w:rFonts w:eastAsia="Arial Unicode MS"/>
          <w:spacing w:val="-3"/>
        </w:rPr>
      </w:pPr>
      <w:r>
        <w:rPr>
          <w:rFonts w:eastAsia="Arial Unicode MS"/>
          <w:spacing w:val="-3"/>
        </w:rPr>
        <w:tab/>
        <w:t>Puntualizó que el viernes anterior al atentado, entre las 17.30 y las 19.00, se hallaba en el a</w:t>
      </w:r>
      <w:r>
        <w:rPr>
          <w:rFonts w:eastAsia="Arial Unicode MS"/>
          <w:spacing w:val="-3"/>
        </w:rPr>
        <w:t>c</w:t>
      </w:r>
      <w:r>
        <w:rPr>
          <w:rFonts w:eastAsia="Arial Unicode MS"/>
          <w:spacing w:val="-3"/>
        </w:rPr>
        <w:t>ceso de Paraguay y Azcuénaga, cuando advirtió el arr</w:t>
      </w:r>
      <w:r>
        <w:rPr>
          <w:rFonts w:eastAsia="Arial Unicode MS"/>
          <w:spacing w:val="-3"/>
        </w:rPr>
        <w:t>i</w:t>
      </w:r>
      <w:r>
        <w:rPr>
          <w:rFonts w:eastAsia="Arial Unicode MS"/>
          <w:spacing w:val="-3"/>
        </w:rPr>
        <w:t>bo de una camioneta, cuyos últimos cuatro números de la patente registró, la que no pudo completar su ingreso por haberse detenido el motor. Refirió que fue en ese mome</w:t>
      </w:r>
      <w:r>
        <w:rPr>
          <w:rFonts w:eastAsia="Arial Unicode MS"/>
          <w:spacing w:val="-3"/>
        </w:rPr>
        <w:t>n</w:t>
      </w:r>
      <w:r>
        <w:rPr>
          <w:rFonts w:eastAsia="Arial Unicode MS"/>
          <w:spacing w:val="-3"/>
        </w:rPr>
        <w:t>to en que, a pie, hizo su aparición un hombre que, luego de desplazar a su conductor, que descendió, logró ponerla en marcha, est</w:t>
      </w:r>
      <w:r>
        <w:rPr>
          <w:rFonts w:eastAsia="Arial Unicode MS"/>
          <w:spacing w:val="-3"/>
        </w:rPr>
        <w:t>a</w:t>
      </w:r>
      <w:r>
        <w:rPr>
          <w:rFonts w:eastAsia="Arial Unicode MS"/>
          <w:spacing w:val="-3"/>
        </w:rPr>
        <w:t>cionándola en la mitad de la playa, con el frente hacia A</w:t>
      </w:r>
      <w:r>
        <w:rPr>
          <w:rFonts w:eastAsia="Arial Unicode MS"/>
          <w:spacing w:val="-3"/>
        </w:rPr>
        <w:t>z</w:t>
      </w:r>
      <w:r>
        <w:rPr>
          <w:rFonts w:eastAsia="Arial Unicode MS"/>
          <w:spacing w:val="-3"/>
        </w:rPr>
        <w:t>cuénaga. Si bien en un tramo sostuvo que ambos sujetos ma</w:t>
      </w:r>
      <w:r>
        <w:rPr>
          <w:rFonts w:eastAsia="Arial Unicode MS"/>
          <w:spacing w:val="-3"/>
        </w:rPr>
        <w:t>n</w:t>
      </w:r>
      <w:r>
        <w:rPr>
          <w:rFonts w:eastAsia="Arial Unicode MS"/>
          <w:spacing w:val="-3"/>
        </w:rPr>
        <w:t>tuvieron un diálogo, luego lo negó.</w:t>
      </w:r>
    </w:p>
    <w:p w:rsidR="00224567" w:rsidRDefault="00224567">
      <w:pPr>
        <w:widowControl w:val="0"/>
        <w:rPr>
          <w:rFonts w:eastAsia="Arial Unicode MS"/>
          <w:spacing w:val="-3"/>
        </w:rPr>
      </w:pPr>
      <w:r>
        <w:rPr>
          <w:rFonts w:eastAsia="Arial Unicode MS"/>
          <w:spacing w:val="-3"/>
        </w:rPr>
        <w:tab/>
        <w:t>Acto seguido, explicó, el nuevo condu</w:t>
      </w:r>
      <w:r>
        <w:rPr>
          <w:rFonts w:eastAsia="Arial Unicode MS"/>
          <w:spacing w:val="-3"/>
        </w:rPr>
        <w:t>c</w:t>
      </w:r>
      <w:r>
        <w:rPr>
          <w:rFonts w:eastAsia="Arial Unicode MS"/>
          <w:spacing w:val="-3"/>
        </w:rPr>
        <w:t>tor le hizo una seña al otro y se retiró hacia el sector que da a la facultad contigua, en tanto el ch</w:t>
      </w:r>
      <w:r>
        <w:rPr>
          <w:rFonts w:eastAsia="Arial Unicode MS"/>
          <w:spacing w:val="-3"/>
        </w:rPr>
        <w:t>o</w:t>
      </w:r>
      <w:r>
        <w:rPr>
          <w:rFonts w:eastAsia="Arial Unicode MS"/>
          <w:spacing w:val="-3"/>
        </w:rPr>
        <w:t>fer original le inquirió acerca del sistema de la playa, informándole que iba a estacionar durante unos días. Ante ello, relató Díaz, le entregó el ticket y le indicó que se dirigiera a la oficina, donde lo atendió el gerente, Jorge Giser, e</w:t>
      </w:r>
      <w:r>
        <w:rPr>
          <w:rFonts w:eastAsia="Arial Unicode MS"/>
          <w:spacing w:val="-3"/>
        </w:rPr>
        <w:t>n</w:t>
      </w:r>
      <w:r>
        <w:rPr>
          <w:rFonts w:eastAsia="Arial Unicode MS"/>
          <w:spacing w:val="-3"/>
        </w:rPr>
        <w:t>contrándose también los cajeros Elena y Alfr</w:t>
      </w:r>
      <w:r>
        <w:rPr>
          <w:rFonts w:eastAsia="Arial Unicode MS"/>
          <w:spacing w:val="-3"/>
        </w:rPr>
        <w:t>e</w:t>
      </w:r>
      <w:r>
        <w:rPr>
          <w:rFonts w:eastAsia="Arial Unicode MS"/>
          <w:spacing w:val="-3"/>
        </w:rPr>
        <w:t>do.</w:t>
      </w:r>
    </w:p>
    <w:p w:rsidR="00224567" w:rsidRDefault="00224567">
      <w:pPr>
        <w:widowControl w:val="0"/>
        <w:rPr>
          <w:rFonts w:eastAsia="Arial Unicode MS"/>
          <w:spacing w:val="-3"/>
        </w:rPr>
      </w:pPr>
      <w:r>
        <w:rPr>
          <w:rFonts w:eastAsia="Arial Unicode MS"/>
          <w:spacing w:val="-3"/>
        </w:rPr>
        <w:tab/>
        <w:t>Díaz recordó que permaneció intranqu</w:t>
      </w:r>
      <w:r>
        <w:rPr>
          <w:rFonts w:eastAsia="Arial Unicode MS"/>
          <w:spacing w:val="-3"/>
        </w:rPr>
        <w:t>i</w:t>
      </w:r>
      <w:r>
        <w:rPr>
          <w:rFonts w:eastAsia="Arial Unicode MS"/>
          <w:spacing w:val="-3"/>
        </w:rPr>
        <w:t>lo, pensando que, por lo raro de sus movimientos, podían ser ladrones y por ello, luego que el individuo se retiró, concurrió a ver a Giser, exponiéndole sus tem</w:t>
      </w:r>
      <w:r>
        <w:rPr>
          <w:rFonts w:eastAsia="Arial Unicode MS"/>
          <w:spacing w:val="-3"/>
        </w:rPr>
        <w:t>o</w:t>
      </w:r>
      <w:r>
        <w:rPr>
          <w:rFonts w:eastAsia="Arial Unicode MS"/>
          <w:spacing w:val="-3"/>
        </w:rPr>
        <w:t>res. Precisó que el sujeto que abonó la estadía se retiró sin pasar por donde quedó el vehículo estacion</w:t>
      </w:r>
      <w:r>
        <w:rPr>
          <w:rFonts w:eastAsia="Arial Unicode MS"/>
          <w:spacing w:val="-3"/>
        </w:rPr>
        <w:t>a</w:t>
      </w:r>
      <w:r>
        <w:rPr>
          <w:rFonts w:eastAsia="Arial Unicode MS"/>
          <w:spacing w:val="-3"/>
        </w:rPr>
        <w:t>do.</w:t>
      </w:r>
    </w:p>
    <w:p w:rsidR="00224567" w:rsidRDefault="00224567">
      <w:pPr>
        <w:widowControl w:val="0"/>
        <w:rPr>
          <w:rFonts w:eastAsia="Arial Unicode MS"/>
          <w:spacing w:val="-3"/>
        </w:rPr>
      </w:pPr>
      <w:r>
        <w:rPr>
          <w:rFonts w:eastAsia="Arial Unicode MS"/>
          <w:spacing w:val="-3"/>
        </w:rPr>
        <w:tab/>
        <w:t xml:space="preserve">Describió al segundo individuo como de </w:t>
      </w:r>
      <w:smartTag w:uri="urn:schemas-microsoft-com:office:smarttags" w:element="metricconverter">
        <w:smartTagPr>
          <w:attr w:name="ProductID" w:val="1,70 m"/>
        </w:smartTagPr>
        <w:r>
          <w:rPr>
            <w:rFonts w:eastAsia="Arial Unicode MS"/>
            <w:spacing w:val="-3"/>
          </w:rPr>
          <w:t>1,70 m</w:t>
        </w:r>
      </w:smartTag>
      <w:r>
        <w:rPr>
          <w:rFonts w:eastAsia="Arial Unicode MS"/>
          <w:spacing w:val="-3"/>
        </w:rPr>
        <w:t>. de altura, cabello negro, morocho y, según creyó, vestía saco y pantalón oscuros. En cuanto al primero, apu</w:t>
      </w:r>
      <w:r>
        <w:rPr>
          <w:rFonts w:eastAsia="Arial Unicode MS"/>
          <w:spacing w:val="-3"/>
        </w:rPr>
        <w:t>n</w:t>
      </w:r>
      <w:r>
        <w:rPr>
          <w:rFonts w:eastAsia="Arial Unicode MS"/>
          <w:spacing w:val="-3"/>
        </w:rPr>
        <w:t>tó que parecía tener un pantalón vaquero, más desprolijo, sin percibir ninguna tonada o acento en particular en lo poco que habló.</w:t>
      </w:r>
    </w:p>
    <w:p w:rsidR="00224567" w:rsidRDefault="00224567">
      <w:pPr>
        <w:widowControl w:val="0"/>
        <w:rPr>
          <w:rFonts w:eastAsia="Arial Unicode MS"/>
          <w:spacing w:val="-3"/>
        </w:rPr>
      </w:pPr>
      <w:r>
        <w:rPr>
          <w:rFonts w:eastAsia="Arial Unicode MS"/>
          <w:spacing w:val="-3"/>
        </w:rPr>
        <w:tab/>
        <w:t>Con relación a la camioneta, refirió que era “normal”, de color blanco y, según recordaba, sin inscripciones ni ventanas, no pudiendo precisar si tenía portón lateral. Remarcó el testigo que desconocía si se trataba de una Renault Trafic o de otra marca; tampoco pudo dar cuenta si estaba cargada, aunque acotó que luego de arrancarla, se desplazó rápidamente. No recordó si cont</w:t>
      </w:r>
      <w:r>
        <w:rPr>
          <w:rFonts w:eastAsia="Arial Unicode MS"/>
          <w:spacing w:val="-3"/>
        </w:rPr>
        <w:t>i</w:t>
      </w:r>
      <w:r>
        <w:rPr>
          <w:rFonts w:eastAsia="Arial Unicode MS"/>
          <w:spacing w:val="-3"/>
        </w:rPr>
        <w:t>nuaba est</w:t>
      </w:r>
      <w:r>
        <w:rPr>
          <w:rFonts w:eastAsia="Arial Unicode MS"/>
          <w:spacing w:val="-3"/>
        </w:rPr>
        <w:t>a</w:t>
      </w:r>
      <w:r>
        <w:rPr>
          <w:rFonts w:eastAsia="Arial Unicode MS"/>
          <w:spacing w:val="-3"/>
        </w:rPr>
        <w:t>cionada cuando se retiró o al regresar a trabajar al día siguiente, no pudiéndose establecer el momento en que abandonó la playa.</w:t>
      </w:r>
    </w:p>
    <w:p w:rsidR="00224567" w:rsidRDefault="00224567">
      <w:pPr>
        <w:widowControl w:val="0"/>
        <w:rPr>
          <w:rFonts w:eastAsia="Arial Unicode MS"/>
          <w:spacing w:val="-3"/>
        </w:rPr>
      </w:pPr>
      <w:r>
        <w:rPr>
          <w:rFonts w:eastAsia="Arial Unicode MS"/>
          <w:spacing w:val="-3"/>
        </w:rPr>
        <w:tab/>
        <w:t>Díaz señaló que Elena, la cajera, r</w:t>
      </w:r>
      <w:r>
        <w:rPr>
          <w:rFonts w:eastAsia="Arial Unicode MS"/>
          <w:spacing w:val="-3"/>
        </w:rPr>
        <w:t>e</w:t>
      </w:r>
      <w:r>
        <w:rPr>
          <w:rFonts w:eastAsia="Arial Unicode MS"/>
          <w:spacing w:val="-3"/>
        </w:rPr>
        <w:t>cordó el episodio; si bien no pudo precisar cuándo, e</w:t>
      </w:r>
      <w:r>
        <w:rPr>
          <w:rFonts w:eastAsia="Arial Unicode MS"/>
          <w:spacing w:val="-3"/>
        </w:rPr>
        <w:t>s</w:t>
      </w:r>
      <w:r>
        <w:rPr>
          <w:rFonts w:eastAsia="Arial Unicode MS"/>
          <w:spacing w:val="-3"/>
        </w:rPr>
        <w:t xml:space="preserve">timó que pudo ser el martes y afirmó que por ella y por Jorge se enteró que fue uno de los dueños de la empresa, Gregorio Stilman, quien a su vez dio aviso, sin poder indicar a quién. Asimismo, mencionó que no fue interrogado por </w:t>
      </w:r>
      <w:smartTag w:uri="urn:schemas-microsoft-com:office:smarttags" w:element="PersonName">
        <w:smartTagPr>
          <w:attr w:name="ProductID" w:val="la S.I"/>
        </w:smartTagPr>
        <w:r>
          <w:rPr>
            <w:rFonts w:eastAsia="Arial Unicode MS"/>
            <w:spacing w:val="-3"/>
          </w:rPr>
          <w:t>la S.I</w:t>
        </w:r>
      </w:smartTag>
      <w:r>
        <w:rPr>
          <w:rFonts w:eastAsia="Arial Unicode MS"/>
          <w:spacing w:val="-3"/>
        </w:rPr>
        <w:t xml:space="preserve">.D.E., pero sí, a bordo de una camioneta, por personal de </w:t>
      </w:r>
      <w:smartTag w:uri="urn:schemas-microsoft-com:office:smarttags" w:element="PersonName">
        <w:smartTagPr>
          <w:attr w:name="ProductID" w:val="la D.A"/>
        </w:smartTagPr>
        <w:r>
          <w:rPr>
            <w:rFonts w:eastAsia="Arial Unicode MS"/>
            <w:spacing w:val="-3"/>
          </w:rPr>
          <w:t>la D.A</w:t>
        </w:r>
      </w:smartTag>
      <w:r>
        <w:rPr>
          <w:rFonts w:eastAsia="Arial Unicode MS"/>
          <w:spacing w:val="-3"/>
        </w:rPr>
        <w:t>.I.A., a un mes del hecho, en la playa de estaci</w:t>
      </w:r>
      <w:r>
        <w:rPr>
          <w:rFonts w:eastAsia="Arial Unicode MS"/>
          <w:spacing w:val="-3"/>
        </w:rPr>
        <w:t>o</w:t>
      </w:r>
      <w:r>
        <w:rPr>
          <w:rFonts w:eastAsia="Arial Unicode MS"/>
          <w:spacing w:val="-3"/>
        </w:rPr>
        <w:t>namiento.</w:t>
      </w:r>
    </w:p>
    <w:p w:rsidR="00224567" w:rsidRDefault="00224567">
      <w:pPr>
        <w:widowControl w:val="0"/>
        <w:rPr>
          <w:rFonts w:eastAsia="Arial Unicode MS"/>
          <w:spacing w:val="-3"/>
        </w:rPr>
      </w:pPr>
      <w:r>
        <w:rPr>
          <w:rFonts w:eastAsia="Arial Unicode MS"/>
          <w:spacing w:val="-3"/>
        </w:rPr>
        <w:tab/>
        <w:t>Por su parte, Jorge Carlos Giser man</w:t>
      </w:r>
      <w:r>
        <w:rPr>
          <w:rFonts w:eastAsia="Arial Unicode MS"/>
          <w:spacing w:val="-3"/>
        </w:rPr>
        <w:t>i</w:t>
      </w:r>
      <w:r>
        <w:rPr>
          <w:rFonts w:eastAsia="Arial Unicode MS"/>
          <w:spacing w:val="-3"/>
        </w:rPr>
        <w:t>festó que en julio de 1994 se desempeñaba como gerente de la playa de estacionamiento “Jet Parking”, encontrándose habitualmente en la caja. Recordó que unos días antes del atentado, pudiendo haber sido el viernes, se presentó una persona a fin de gestionar un abono para estacionar por unos días –indicó siete- una camioneta Trafic blanca, c</w:t>
      </w:r>
      <w:r>
        <w:rPr>
          <w:rFonts w:eastAsia="Arial Unicode MS"/>
          <w:spacing w:val="-3"/>
        </w:rPr>
        <w:t>o</w:t>
      </w:r>
      <w:r>
        <w:rPr>
          <w:rFonts w:eastAsia="Arial Unicode MS"/>
          <w:spacing w:val="-3"/>
        </w:rPr>
        <w:t>brándosele $ 100 por una qui</w:t>
      </w:r>
      <w:r>
        <w:rPr>
          <w:rFonts w:eastAsia="Arial Unicode MS"/>
          <w:spacing w:val="-3"/>
        </w:rPr>
        <w:t>n</w:t>
      </w:r>
      <w:r>
        <w:rPr>
          <w:rFonts w:eastAsia="Arial Unicode MS"/>
          <w:spacing w:val="-3"/>
        </w:rPr>
        <w:t>cena.</w:t>
      </w:r>
    </w:p>
    <w:p w:rsidR="00224567" w:rsidRDefault="00224567">
      <w:pPr>
        <w:widowControl w:val="0"/>
        <w:rPr>
          <w:rFonts w:eastAsia="Arial Unicode MS"/>
          <w:spacing w:val="-3"/>
        </w:rPr>
      </w:pPr>
      <w:r>
        <w:rPr>
          <w:rFonts w:eastAsia="Arial Unicode MS"/>
          <w:spacing w:val="-3"/>
        </w:rPr>
        <w:tab/>
        <w:t>Recordó que para tramitar la estadía el empleado José Díaz envió al sujeto a la c</w:t>
      </w:r>
      <w:r>
        <w:rPr>
          <w:rFonts w:eastAsia="Arial Unicode MS"/>
          <w:spacing w:val="-3"/>
        </w:rPr>
        <w:t>a</w:t>
      </w:r>
      <w:r>
        <w:rPr>
          <w:rFonts w:eastAsia="Arial Unicode MS"/>
          <w:spacing w:val="-3"/>
        </w:rPr>
        <w:t>ja, donde también estaban los cajeros Elena Schargorodsky y A</w:t>
      </w:r>
      <w:r>
        <w:rPr>
          <w:rFonts w:eastAsia="Arial Unicode MS"/>
          <w:spacing w:val="-3"/>
        </w:rPr>
        <w:t>l</w:t>
      </w:r>
      <w:r>
        <w:rPr>
          <w:rFonts w:eastAsia="Arial Unicode MS"/>
          <w:spacing w:val="-3"/>
        </w:rPr>
        <w:t>fredo Vaysman. Asimismo, puntualizó que como el condu</w:t>
      </w:r>
      <w:r>
        <w:rPr>
          <w:rFonts w:eastAsia="Arial Unicode MS"/>
          <w:spacing w:val="-3"/>
        </w:rPr>
        <w:t>c</w:t>
      </w:r>
      <w:r>
        <w:rPr>
          <w:rFonts w:eastAsia="Arial Unicode MS"/>
          <w:spacing w:val="-3"/>
        </w:rPr>
        <w:t>tor precisaba poder retirar la camioneta de la playa una o dos veces, le entr</w:t>
      </w:r>
      <w:r>
        <w:rPr>
          <w:rFonts w:eastAsia="Arial Unicode MS"/>
          <w:spacing w:val="-3"/>
        </w:rPr>
        <w:t>e</w:t>
      </w:r>
      <w:r>
        <w:rPr>
          <w:rFonts w:eastAsia="Arial Unicode MS"/>
          <w:spacing w:val="-3"/>
        </w:rPr>
        <w:t>garon una oblea -como la de fs. 208-, que le permitía i</w:t>
      </w:r>
      <w:r>
        <w:rPr>
          <w:rFonts w:eastAsia="Arial Unicode MS"/>
          <w:spacing w:val="-3"/>
        </w:rPr>
        <w:t>n</w:t>
      </w:r>
      <w:r>
        <w:rPr>
          <w:rFonts w:eastAsia="Arial Unicode MS"/>
          <w:spacing w:val="-3"/>
        </w:rPr>
        <w:t>gresar y egresar del estacionamiento mediante  su  sola  exhibición, sin que ello quede regi</w:t>
      </w:r>
      <w:r>
        <w:rPr>
          <w:rFonts w:eastAsia="Arial Unicode MS"/>
          <w:spacing w:val="-3"/>
        </w:rPr>
        <w:t>s</w:t>
      </w:r>
      <w:r>
        <w:rPr>
          <w:rFonts w:eastAsia="Arial Unicode MS"/>
          <w:spacing w:val="-3"/>
        </w:rPr>
        <w:t>trado.</w:t>
      </w:r>
    </w:p>
    <w:p w:rsidR="00224567" w:rsidRDefault="00224567">
      <w:pPr>
        <w:widowControl w:val="0"/>
        <w:rPr>
          <w:rFonts w:eastAsia="Arial Unicode MS"/>
          <w:spacing w:val="-3"/>
        </w:rPr>
      </w:pPr>
      <w:r>
        <w:rPr>
          <w:rFonts w:eastAsia="Arial Unicode MS"/>
          <w:spacing w:val="-3"/>
        </w:rPr>
        <w:tab/>
        <w:t>Explicó que, como lo hacía habitualme</w:t>
      </w:r>
      <w:r>
        <w:rPr>
          <w:rFonts w:eastAsia="Arial Unicode MS"/>
          <w:spacing w:val="-3"/>
        </w:rPr>
        <w:t>n</w:t>
      </w:r>
      <w:r>
        <w:rPr>
          <w:rFonts w:eastAsia="Arial Unicode MS"/>
          <w:spacing w:val="-3"/>
        </w:rPr>
        <w:t>te, requirió al conductor determinados datos para completar la ficha del rodado, tales como su nombre y apellido, dom</w:t>
      </w:r>
      <w:r>
        <w:rPr>
          <w:rFonts w:eastAsia="Arial Unicode MS"/>
          <w:spacing w:val="-3"/>
        </w:rPr>
        <w:t>i</w:t>
      </w:r>
      <w:r>
        <w:rPr>
          <w:rFonts w:eastAsia="Arial Unicode MS"/>
          <w:spacing w:val="-3"/>
        </w:rPr>
        <w:t>cilio, marca del vehículo y número de dominio. Indicó que el sujeto dio como domicilio el “Hotel Las Américas”, sum</w:t>
      </w:r>
      <w:r>
        <w:rPr>
          <w:rFonts w:eastAsia="Arial Unicode MS"/>
          <w:spacing w:val="-3"/>
        </w:rPr>
        <w:t>i</w:t>
      </w:r>
      <w:r>
        <w:rPr>
          <w:rFonts w:eastAsia="Arial Unicode MS"/>
          <w:spacing w:val="-3"/>
        </w:rPr>
        <w:t>nistrando su supuesto número de documento cuando le pidió la conformación de la patente; por esa razón, al adverti</w:t>
      </w:r>
      <w:r>
        <w:rPr>
          <w:rFonts w:eastAsia="Arial Unicode MS"/>
          <w:spacing w:val="-3"/>
        </w:rPr>
        <w:t>r</w:t>
      </w:r>
      <w:r>
        <w:rPr>
          <w:rFonts w:eastAsia="Arial Unicode MS"/>
          <w:spacing w:val="-3"/>
        </w:rPr>
        <w:t>lo, debió tacharlo. Reconoció la ficha obrante a fs. 206 como la que co</w:t>
      </w:r>
      <w:r>
        <w:rPr>
          <w:rFonts w:eastAsia="Arial Unicode MS"/>
          <w:spacing w:val="-3"/>
        </w:rPr>
        <w:t>n</w:t>
      </w:r>
      <w:r>
        <w:rPr>
          <w:rFonts w:eastAsia="Arial Unicode MS"/>
          <w:spacing w:val="-3"/>
        </w:rPr>
        <w:t>feccionara en la oportunidad y como propias las inscripciones manuscritas que luce, explicando que la palabra “nuevo” aludía a que se trataba de un cliente nu</w:t>
      </w:r>
      <w:r>
        <w:rPr>
          <w:rFonts w:eastAsia="Arial Unicode MS"/>
          <w:spacing w:val="-3"/>
        </w:rPr>
        <w:t>e</w:t>
      </w:r>
      <w:r>
        <w:rPr>
          <w:rFonts w:eastAsia="Arial Unicode MS"/>
          <w:spacing w:val="-3"/>
        </w:rPr>
        <w:t>vo.</w:t>
      </w:r>
    </w:p>
    <w:p w:rsidR="00224567" w:rsidRDefault="00224567">
      <w:pPr>
        <w:widowControl w:val="0"/>
        <w:rPr>
          <w:rFonts w:eastAsia="Arial Unicode MS"/>
          <w:spacing w:val="-3"/>
        </w:rPr>
      </w:pPr>
      <w:r>
        <w:rPr>
          <w:rFonts w:eastAsia="Arial Unicode MS"/>
          <w:spacing w:val="-3"/>
        </w:rPr>
        <w:tab/>
        <w:t>Describió a dicho individuo, que ve</w:t>
      </w:r>
      <w:r>
        <w:rPr>
          <w:rFonts w:eastAsia="Arial Unicode MS"/>
          <w:spacing w:val="-3"/>
        </w:rPr>
        <w:t>s</w:t>
      </w:r>
      <w:r>
        <w:rPr>
          <w:rFonts w:eastAsia="Arial Unicode MS"/>
          <w:spacing w:val="-3"/>
        </w:rPr>
        <w:t xml:space="preserve">tía saco y corbata, como de 1,70 ó </w:t>
      </w:r>
      <w:smartTag w:uri="urn:schemas-microsoft-com:office:smarttags" w:element="metricconverter">
        <w:smartTagPr>
          <w:attr w:name="ProductID" w:val="1,75 m"/>
        </w:smartTagPr>
        <w:r>
          <w:rPr>
            <w:rFonts w:eastAsia="Arial Unicode MS"/>
            <w:spacing w:val="-3"/>
          </w:rPr>
          <w:t>1,75 m</w:t>
        </w:r>
      </w:smartTag>
      <w:r>
        <w:rPr>
          <w:rFonts w:eastAsia="Arial Unicode MS"/>
          <w:spacing w:val="-3"/>
        </w:rPr>
        <w:t xml:space="preserve"> de altura, de tez m</w:t>
      </w:r>
      <w:r>
        <w:rPr>
          <w:rFonts w:eastAsia="Arial Unicode MS"/>
          <w:spacing w:val="-3"/>
        </w:rPr>
        <w:t>a</w:t>
      </w:r>
      <w:r>
        <w:rPr>
          <w:rFonts w:eastAsia="Arial Unicode MS"/>
          <w:spacing w:val="-3"/>
        </w:rPr>
        <w:t>te, pelo castaño y con acento del interior, si bien habló muy poco. Agregó que no usaba barba, ni b</w:t>
      </w:r>
      <w:r>
        <w:rPr>
          <w:rFonts w:eastAsia="Arial Unicode MS"/>
          <w:spacing w:val="-3"/>
        </w:rPr>
        <w:t>i</w:t>
      </w:r>
      <w:r>
        <w:rPr>
          <w:rFonts w:eastAsia="Arial Unicode MS"/>
          <w:spacing w:val="-3"/>
        </w:rPr>
        <w:t>gote y que se lo notaba muy tranquilo.</w:t>
      </w:r>
    </w:p>
    <w:p w:rsidR="00224567" w:rsidRDefault="00224567">
      <w:pPr>
        <w:widowControl w:val="0"/>
        <w:rPr>
          <w:rFonts w:eastAsia="Arial Unicode MS"/>
          <w:spacing w:val="-3"/>
        </w:rPr>
      </w:pPr>
      <w:r>
        <w:rPr>
          <w:rFonts w:eastAsia="Arial Unicode MS"/>
          <w:spacing w:val="-3"/>
        </w:rPr>
        <w:tab/>
        <w:t>El testigo señaló que cuando el condu</w:t>
      </w:r>
      <w:r>
        <w:rPr>
          <w:rFonts w:eastAsia="Arial Unicode MS"/>
          <w:spacing w:val="-3"/>
        </w:rPr>
        <w:t>c</w:t>
      </w:r>
      <w:r>
        <w:rPr>
          <w:rFonts w:eastAsia="Arial Unicode MS"/>
          <w:spacing w:val="-3"/>
        </w:rPr>
        <w:t>tor se retiró, José Díaz le comentó que había notado algo extraño, que el vehículo se le había quedado al ingreso y que, en algún momento, supuso que podía tratarse de un asalto. También explicó que la camioneta quedó registrada en una máquina que tomaba el horario de entrada y el tipo de vehículo, reconociendo el li</w:t>
      </w:r>
      <w:r>
        <w:rPr>
          <w:rFonts w:eastAsia="Arial Unicode MS"/>
          <w:spacing w:val="-3"/>
        </w:rPr>
        <w:t>s</w:t>
      </w:r>
      <w:r>
        <w:rPr>
          <w:rFonts w:eastAsia="Arial Unicode MS"/>
          <w:spacing w:val="-3"/>
        </w:rPr>
        <w:t>tado de fs. 207.</w:t>
      </w:r>
    </w:p>
    <w:p w:rsidR="00224567" w:rsidRDefault="00224567">
      <w:pPr>
        <w:widowControl w:val="0"/>
        <w:rPr>
          <w:rFonts w:eastAsia="Arial Unicode MS"/>
          <w:spacing w:val="-3"/>
        </w:rPr>
      </w:pPr>
      <w:r>
        <w:rPr>
          <w:rFonts w:eastAsia="Arial Unicode MS"/>
          <w:spacing w:val="-3"/>
        </w:rPr>
        <w:tab/>
        <w:t>Con relación a la camioneta, i</w:t>
      </w:r>
      <w:r>
        <w:rPr>
          <w:rFonts w:eastAsia="Arial Unicode MS"/>
          <w:spacing w:val="-3"/>
        </w:rPr>
        <w:t>n</w:t>
      </w:r>
      <w:r>
        <w:rPr>
          <w:rFonts w:eastAsia="Arial Unicode MS"/>
          <w:spacing w:val="-3"/>
        </w:rPr>
        <w:t>dicó que si bien era de noche y en ese entonces la playa no contaba con sistema de iluminación, la vio estacionada contra el muro, mirando hacia la calle Azcuénaga. Recordó que la ú</w:t>
      </w:r>
      <w:r>
        <w:rPr>
          <w:rFonts w:eastAsia="Arial Unicode MS"/>
          <w:spacing w:val="-3"/>
        </w:rPr>
        <w:t>l</w:t>
      </w:r>
      <w:r>
        <w:rPr>
          <w:rFonts w:eastAsia="Arial Unicode MS"/>
          <w:spacing w:val="-3"/>
        </w:rPr>
        <w:t>tima vez que la vio fue el viernes antes de retirarse, pr</w:t>
      </w:r>
      <w:r>
        <w:rPr>
          <w:rFonts w:eastAsia="Arial Unicode MS"/>
          <w:spacing w:val="-3"/>
        </w:rPr>
        <w:t>e</w:t>
      </w:r>
      <w:r>
        <w:rPr>
          <w:rFonts w:eastAsia="Arial Unicode MS"/>
          <w:spacing w:val="-3"/>
        </w:rPr>
        <w:t>cisando que era blanca, totalmente cerrada, sin portón l</w:t>
      </w:r>
      <w:r>
        <w:rPr>
          <w:rFonts w:eastAsia="Arial Unicode MS"/>
          <w:spacing w:val="-3"/>
        </w:rPr>
        <w:t>a</w:t>
      </w:r>
      <w:r>
        <w:rPr>
          <w:rFonts w:eastAsia="Arial Unicode MS"/>
          <w:spacing w:val="-3"/>
        </w:rPr>
        <w:t>teral; tampoco el personal de la playa supo indicar cuá</w:t>
      </w:r>
      <w:r>
        <w:rPr>
          <w:rFonts w:eastAsia="Arial Unicode MS"/>
          <w:spacing w:val="-3"/>
        </w:rPr>
        <w:t>n</w:t>
      </w:r>
      <w:r>
        <w:rPr>
          <w:rFonts w:eastAsia="Arial Unicode MS"/>
          <w:spacing w:val="-3"/>
        </w:rPr>
        <w:t>do la sacaron, pero, según creía, desapareció en la noche del sábado al d</w:t>
      </w:r>
      <w:r>
        <w:rPr>
          <w:rFonts w:eastAsia="Arial Unicode MS"/>
          <w:spacing w:val="-3"/>
        </w:rPr>
        <w:t>o</w:t>
      </w:r>
      <w:r>
        <w:rPr>
          <w:rFonts w:eastAsia="Arial Unicode MS"/>
          <w:spacing w:val="-3"/>
        </w:rPr>
        <w:t>mingo.</w:t>
      </w:r>
    </w:p>
    <w:p w:rsidR="00224567" w:rsidRDefault="00224567">
      <w:pPr>
        <w:widowControl w:val="0"/>
        <w:rPr>
          <w:rFonts w:eastAsia="Arial Unicode MS"/>
          <w:spacing w:val="-3"/>
        </w:rPr>
      </w:pPr>
      <w:r>
        <w:rPr>
          <w:rFonts w:eastAsia="Arial Unicode MS"/>
          <w:spacing w:val="-3"/>
        </w:rPr>
        <w:tab/>
        <w:t>Indicó Giser que pasado uno o dos d</w:t>
      </w:r>
      <w:r>
        <w:rPr>
          <w:rFonts w:eastAsia="Arial Unicode MS"/>
          <w:spacing w:val="-3"/>
        </w:rPr>
        <w:t>í</w:t>
      </w:r>
      <w:r>
        <w:rPr>
          <w:rFonts w:eastAsia="Arial Unicode MS"/>
          <w:spacing w:val="-3"/>
        </w:rPr>
        <w:t>as del atentado, es decir, el martes o miércoles, alrededor del mediodía, se presentó un oficial de pol</w:t>
      </w:r>
      <w:r>
        <w:rPr>
          <w:rFonts w:eastAsia="Arial Unicode MS"/>
          <w:spacing w:val="-3"/>
        </w:rPr>
        <w:t>i</w:t>
      </w:r>
      <w:r>
        <w:rPr>
          <w:rFonts w:eastAsia="Arial Unicode MS"/>
          <w:spacing w:val="-3"/>
        </w:rPr>
        <w:t>cía, vestido de civil, inquiriendo si tenían conocimiento de algún suceso extraño; luego de relatarle el episodio, el policía lo ll</w:t>
      </w:r>
      <w:r>
        <w:rPr>
          <w:rFonts w:eastAsia="Arial Unicode MS"/>
          <w:spacing w:val="-3"/>
        </w:rPr>
        <w:t>e</w:t>
      </w:r>
      <w:r>
        <w:rPr>
          <w:rFonts w:eastAsia="Arial Unicode MS"/>
          <w:spacing w:val="-3"/>
        </w:rPr>
        <w:t xml:space="preserve">vó a prestar declaración a </w:t>
      </w:r>
      <w:smartTag w:uri="urn:schemas-microsoft-com:office:smarttags" w:element="PersonName">
        <w:smartTagPr>
          <w:attr w:name="ProductID" w:val="la Brigada Antiterrorista"/>
        </w:smartTagPr>
        <w:r>
          <w:rPr>
            <w:rFonts w:eastAsia="Arial Unicode MS"/>
            <w:spacing w:val="-3"/>
          </w:rPr>
          <w:t>la Brigada Antiterrorista</w:t>
        </w:r>
      </w:smartTag>
      <w:r>
        <w:rPr>
          <w:rFonts w:eastAsia="Arial Unicode MS"/>
          <w:spacing w:val="-3"/>
        </w:rPr>
        <w:t xml:space="preserve"> o de Defensa de </w:t>
      </w:r>
      <w:smartTag w:uri="urn:schemas-microsoft-com:office:smarttags" w:element="PersonName">
        <w:smartTagPr>
          <w:attr w:name="ProductID" w:val="la Democracia"/>
        </w:smartTagPr>
        <w:r>
          <w:rPr>
            <w:rFonts w:eastAsia="Arial Unicode MS"/>
            <w:spacing w:val="-3"/>
          </w:rPr>
          <w:t>la Democracia</w:t>
        </w:r>
      </w:smartTag>
      <w:r>
        <w:rPr>
          <w:rFonts w:eastAsia="Arial Unicode MS"/>
          <w:spacing w:val="-3"/>
        </w:rPr>
        <w:t>, donde se hallaba un principal llamado Heise o similar; en esa oportunidad, recordó, apo</w:t>
      </w:r>
      <w:r>
        <w:rPr>
          <w:rFonts w:eastAsia="Arial Unicode MS"/>
          <w:spacing w:val="-3"/>
        </w:rPr>
        <w:t>r</w:t>
      </w:r>
      <w:r>
        <w:rPr>
          <w:rFonts w:eastAsia="Arial Unicode MS"/>
          <w:spacing w:val="-3"/>
        </w:rPr>
        <w:t>tó la documentación relacionada con la estadía del vehíc</w:t>
      </w:r>
      <w:r>
        <w:rPr>
          <w:rFonts w:eastAsia="Arial Unicode MS"/>
          <w:spacing w:val="-3"/>
        </w:rPr>
        <w:t>u</w:t>
      </w:r>
      <w:r>
        <w:rPr>
          <w:rFonts w:eastAsia="Arial Unicode MS"/>
          <w:spacing w:val="-3"/>
        </w:rPr>
        <w:t>lo. En otro tramo de su declaración acotó que el p</w:t>
      </w:r>
      <w:r>
        <w:rPr>
          <w:rFonts w:eastAsia="Arial Unicode MS"/>
          <w:spacing w:val="-3"/>
        </w:rPr>
        <w:t>o</w:t>
      </w:r>
      <w:r>
        <w:rPr>
          <w:rFonts w:eastAsia="Arial Unicode MS"/>
          <w:spacing w:val="-3"/>
        </w:rPr>
        <w:t>licía se presentó en la semana del atentado, pero más hacia el día viernes y que, en una oportunidad, lo hizo alguien que dijo ser del Mo</w:t>
      </w:r>
      <w:r>
        <w:rPr>
          <w:rFonts w:eastAsia="Arial Unicode MS"/>
          <w:spacing w:val="-3"/>
        </w:rPr>
        <w:t>s</w:t>
      </w:r>
      <w:r>
        <w:rPr>
          <w:rFonts w:eastAsia="Arial Unicode MS"/>
          <w:spacing w:val="-3"/>
        </w:rPr>
        <w:t>sad.</w:t>
      </w:r>
    </w:p>
    <w:p w:rsidR="00224567" w:rsidRDefault="00224567">
      <w:pPr>
        <w:widowControl w:val="0"/>
        <w:rPr>
          <w:rFonts w:eastAsia="Arial Unicode MS"/>
          <w:spacing w:val="-3"/>
        </w:rPr>
      </w:pPr>
      <w:r>
        <w:rPr>
          <w:rFonts w:eastAsia="Arial Unicode MS"/>
          <w:spacing w:val="-3"/>
        </w:rPr>
        <w:tab/>
        <w:t>Explicó que a raíz de lo publicado en los diarios, Elena asoció lo acontecido el viernes a</w:t>
      </w:r>
      <w:r>
        <w:rPr>
          <w:rFonts w:eastAsia="Arial Unicode MS"/>
          <w:spacing w:val="-3"/>
        </w:rPr>
        <w:t>n</w:t>
      </w:r>
      <w:r>
        <w:rPr>
          <w:rFonts w:eastAsia="Arial Unicode MS"/>
          <w:spacing w:val="-3"/>
        </w:rPr>
        <w:t>terior con el atentado; asociación que llegó a o</w:t>
      </w:r>
      <w:r>
        <w:rPr>
          <w:rFonts w:eastAsia="Arial Unicode MS"/>
          <w:spacing w:val="-3"/>
        </w:rPr>
        <w:t>í</w:t>
      </w:r>
      <w:r>
        <w:rPr>
          <w:rFonts w:eastAsia="Arial Unicode MS"/>
          <w:spacing w:val="-3"/>
        </w:rPr>
        <w:t>dos de uno de los dueños de la playa, “Lito” Umansky, quien luego apareció con el sujeto del Mossad; según creía, también conversó con otra persona del Mossad en el interior de una camion</w:t>
      </w:r>
      <w:r>
        <w:rPr>
          <w:rFonts w:eastAsia="Arial Unicode MS"/>
          <w:spacing w:val="-3"/>
        </w:rPr>
        <w:t>e</w:t>
      </w:r>
      <w:r>
        <w:rPr>
          <w:rFonts w:eastAsia="Arial Unicode MS"/>
          <w:spacing w:val="-3"/>
        </w:rPr>
        <w:t>ta.</w:t>
      </w:r>
    </w:p>
    <w:p w:rsidR="00224567" w:rsidRDefault="00224567">
      <w:pPr>
        <w:widowControl w:val="0"/>
        <w:rPr>
          <w:rFonts w:eastAsia="Arial Unicode MS"/>
          <w:spacing w:val="-3"/>
        </w:rPr>
      </w:pPr>
      <w:r>
        <w:rPr>
          <w:rFonts w:eastAsia="Arial Unicode MS"/>
          <w:spacing w:val="-3"/>
        </w:rPr>
        <w:tab/>
        <w:t>Manifestó que, según comentó el emple</w:t>
      </w:r>
      <w:r>
        <w:rPr>
          <w:rFonts w:eastAsia="Arial Unicode MS"/>
          <w:spacing w:val="-3"/>
        </w:rPr>
        <w:t>a</w:t>
      </w:r>
      <w:r>
        <w:rPr>
          <w:rFonts w:eastAsia="Arial Unicode MS"/>
          <w:spacing w:val="-3"/>
        </w:rPr>
        <w:t>do de un garaje próximo, se pretendió estacionar la cami</w:t>
      </w:r>
      <w:r>
        <w:rPr>
          <w:rFonts w:eastAsia="Arial Unicode MS"/>
          <w:spacing w:val="-3"/>
        </w:rPr>
        <w:t>o</w:t>
      </w:r>
      <w:r>
        <w:rPr>
          <w:rFonts w:eastAsia="Arial Unicode MS"/>
          <w:spacing w:val="-3"/>
        </w:rPr>
        <w:t>neta en otra playa, pero por la altura no se pudo.</w:t>
      </w:r>
    </w:p>
    <w:p w:rsidR="00224567" w:rsidRDefault="00224567">
      <w:pPr>
        <w:widowControl w:val="0"/>
      </w:pPr>
      <w:r>
        <w:rPr>
          <w:rFonts w:eastAsia="Arial Unicode MS"/>
          <w:spacing w:val="-3"/>
        </w:rPr>
        <w:tab/>
        <w:t xml:space="preserve">A su turno, </w:t>
      </w:r>
      <w:r>
        <w:t>Elena Schargorodsky decl</w:t>
      </w:r>
      <w:r>
        <w:t>a</w:t>
      </w:r>
      <w:r>
        <w:t>ró que en julio de 1994 atendía la caja de la playa de e</w:t>
      </w:r>
      <w:r>
        <w:t>s</w:t>
      </w:r>
      <w:r>
        <w:t>tacionamiento “Jet Parking” y a eso de las 18.00 ó 19.00 del viernes anterior al atentado, atendió a un individuo que pidió estacionar una Tr</w:t>
      </w:r>
      <w:r>
        <w:t>a</w:t>
      </w:r>
      <w:r>
        <w:t>fic por quince días; debido a que cometió un error al indicarle el precio, lo llamó para rectificarlo, sin que opusiera reparos, creyendo recordar que le había c</w:t>
      </w:r>
      <w:r>
        <w:t>o</w:t>
      </w:r>
      <w:r>
        <w:t>brado $ 65, cuando en realidad eran $ 85.</w:t>
      </w:r>
    </w:p>
    <w:p w:rsidR="00224567" w:rsidRDefault="00224567">
      <w:pPr>
        <w:widowControl w:val="0"/>
      </w:pPr>
      <w:r>
        <w:tab/>
        <w:t xml:space="preserve">La testigo describió al sujeto como de </w:t>
      </w:r>
      <w:smartTag w:uri="urn:schemas-microsoft-com:office:smarttags" w:element="metricconverter">
        <w:smartTagPr>
          <w:attr w:name="ProductID" w:val="1,70 m"/>
        </w:smartTagPr>
        <w:r>
          <w:t>1,70 m</w:t>
        </w:r>
      </w:smartTag>
      <w:r>
        <w:t xml:space="preserve"> de a</w:t>
      </w:r>
      <w:r>
        <w:t>l</w:t>
      </w:r>
      <w:r>
        <w:t>tura, aproximadamente, delgado, de tez mate y con ra</w:t>
      </w:r>
      <w:r>
        <w:t>s</w:t>
      </w:r>
      <w:r>
        <w:t>gos orientales, pudiendo ser oriundo del norte del país, como de Jujuy o Tucumán, quien informó que vivía en un hotel.</w:t>
      </w:r>
    </w:p>
    <w:p w:rsidR="00224567" w:rsidRDefault="00224567">
      <w:pPr>
        <w:widowControl w:val="0"/>
      </w:pPr>
      <w:r>
        <w:tab/>
        <w:t>Explicó, además, que a los abonados por quincena se les daba un recibo, a la vez que se co</w:t>
      </w:r>
      <w:r>
        <w:t>n</w:t>
      </w:r>
      <w:r>
        <w:t>feccionaba una ficha con los datos y que, en el caso pa</w:t>
      </w:r>
      <w:r>
        <w:t>r</w:t>
      </w:r>
      <w:r>
        <w:t>ticular, fue dicha persona quien informó que se tr</w:t>
      </w:r>
      <w:r>
        <w:t>a</w:t>
      </w:r>
      <w:r>
        <w:t>taba de una camioneta Trafic. Si bien en un primer momento dijo que completó la ficha personalmente, luego reconoció la letra de Giser (fs. 206); no obstante, aseguró que estuvo presente en el momento en que aportó los d</w:t>
      </w:r>
      <w:r>
        <w:t>a</w:t>
      </w:r>
      <w:r>
        <w:t>tos.</w:t>
      </w:r>
    </w:p>
    <w:p w:rsidR="00224567" w:rsidRDefault="00224567">
      <w:pPr>
        <w:widowControl w:val="0"/>
      </w:pPr>
      <w:r>
        <w:tab/>
        <w:t>Con respecto a la camioneta, indicó que la vio de muy lejos y que tanto la persona que gesti</w:t>
      </w:r>
      <w:r>
        <w:t>o</w:t>
      </w:r>
      <w:r>
        <w:t>nó el estacionamiento como algunos compañeros suyos le d</w:t>
      </w:r>
      <w:r>
        <w:t>i</w:t>
      </w:r>
      <w:r>
        <w:t>jeron que se trataba de una Trafic blanca.</w:t>
      </w:r>
    </w:p>
    <w:p w:rsidR="00224567" w:rsidRDefault="00224567">
      <w:pPr>
        <w:widowControl w:val="0"/>
      </w:pPr>
      <w:r>
        <w:tab/>
        <w:t>Aseveró Schargorodsky que el l</w:t>
      </w:r>
      <w:r>
        <w:t>u</w:t>
      </w:r>
      <w:r>
        <w:t>nes, al enterarse del atentado, sintió que algo extraño s</w:t>
      </w:r>
      <w:r>
        <w:t>u</w:t>
      </w:r>
      <w:r>
        <w:t>cedía y preguntó por el vehículo, no pudiendo ser loc</w:t>
      </w:r>
      <w:r>
        <w:t>a</w:t>
      </w:r>
      <w:r>
        <w:t>lizado en la playa ni determinarse cuándo salió. Así, refirió, lo c</w:t>
      </w:r>
      <w:r>
        <w:t>o</w:t>
      </w:r>
      <w:r>
        <w:t>mentó con Umansky y éste, a su vez, habló con otra pers</w:t>
      </w:r>
      <w:r>
        <w:t>o</w:t>
      </w:r>
      <w:r>
        <w:t>na, presentándose lu</w:t>
      </w:r>
      <w:r>
        <w:t>e</w:t>
      </w:r>
      <w:r>
        <w:t>go personal de la policía, del Mossad y del servicio de inteligencia n</w:t>
      </w:r>
      <w:r>
        <w:t>a</w:t>
      </w:r>
      <w:r>
        <w:t>cional.</w:t>
      </w:r>
    </w:p>
    <w:p w:rsidR="00224567" w:rsidRDefault="00224567">
      <w:pPr>
        <w:widowControl w:val="0"/>
      </w:pPr>
      <w:r>
        <w:tab/>
        <w:t>Aclaró que el lunes a la noche fue gente del Mossad, la hicieron subir a una camioneta para mirar unas fotografías de personas –sobre todo, orient</w:t>
      </w:r>
      <w:r>
        <w:t>a</w:t>
      </w:r>
      <w:r>
        <w:t>les- y que ese mismo día fue la entrevista con el se</w:t>
      </w:r>
      <w:r>
        <w:t>r</w:t>
      </w:r>
      <w:r>
        <w:t>vicio de inteligencia nacional.</w:t>
      </w:r>
    </w:p>
    <w:p w:rsidR="00224567" w:rsidRDefault="00224567">
      <w:pPr>
        <w:widowControl w:val="0"/>
      </w:pPr>
      <w:r>
        <w:tab/>
        <w:t>Con relación a la policía, expl</w:t>
      </w:r>
      <w:r>
        <w:t>i</w:t>
      </w:r>
      <w:r>
        <w:t>có que cuando se presentó en la playa, la traslad</w:t>
      </w:r>
      <w:r>
        <w:t>a</w:t>
      </w:r>
      <w:r>
        <w:t>ron, junto con Giser y Díaz, a una dependencia que descon</w:t>
      </w:r>
      <w:r>
        <w:t>o</w:t>
      </w:r>
      <w:r>
        <w:t>ce. Pese a que no pudo precisar cuándo sucedió eso, creyó recordar que fue el mismo l</w:t>
      </w:r>
      <w:r>
        <w:t>u</w:t>
      </w:r>
      <w:r>
        <w:t>nes a la noche o el martes.</w:t>
      </w:r>
    </w:p>
    <w:p w:rsidR="00224567" w:rsidRDefault="00224567">
      <w:pPr>
        <w:widowControl w:val="0"/>
      </w:pPr>
      <w:r>
        <w:tab/>
        <w:t>Acotó que al relacionar la camioneta con el atentado aún no se hablaba en los medios de una Trafic, sino que fue una suposición suya y que el mismo lunes a la tarde llamó por teléfono al hotel, informánd</w:t>
      </w:r>
      <w:r>
        <w:t>o</w:t>
      </w:r>
      <w:r>
        <w:t>sele que el sujeto “no exi</w:t>
      </w:r>
      <w:r>
        <w:t>s</w:t>
      </w:r>
      <w:r>
        <w:t>tía”.</w:t>
      </w:r>
    </w:p>
    <w:p w:rsidR="00224567" w:rsidRDefault="00224567">
      <w:pPr>
        <w:widowControl w:val="0"/>
        <w:rPr>
          <w:rFonts w:eastAsia="Arial Unicode MS"/>
          <w:spacing w:val="-3"/>
        </w:rPr>
      </w:pPr>
      <w:r>
        <w:rPr>
          <w:rFonts w:eastAsia="Arial Unicode MS"/>
          <w:spacing w:val="-3"/>
        </w:rPr>
        <w:tab/>
        <w:t xml:space="preserve">Por su parte, </w:t>
      </w:r>
      <w:r>
        <w:t xml:space="preserve">César Omar Alderete </w:t>
      </w:r>
      <w:r>
        <w:rPr>
          <w:rFonts w:eastAsia="Arial Unicode MS"/>
          <w:spacing w:val="-3"/>
        </w:rPr>
        <w:t>d</w:t>
      </w:r>
      <w:r>
        <w:rPr>
          <w:rFonts w:eastAsia="Arial Unicode MS"/>
          <w:spacing w:val="-3"/>
        </w:rPr>
        <w:t>e</w:t>
      </w:r>
      <w:r>
        <w:rPr>
          <w:rFonts w:eastAsia="Arial Unicode MS"/>
          <w:spacing w:val="-3"/>
        </w:rPr>
        <w:t>claró que en julio de 1994 trabajaba en un estacion</w:t>
      </w:r>
      <w:r>
        <w:rPr>
          <w:rFonts w:eastAsia="Arial Unicode MS"/>
          <w:spacing w:val="-3"/>
        </w:rPr>
        <w:t>a</w:t>
      </w:r>
      <w:r>
        <w:rPr>
          <w:rFonts w:eastAsia="Arial Unicode MS"/>
          <w:spacing w:val="-3"/>
        </w:rPr>
        <w:t xml:space="preserve">miento en la calle Azcuénaga como cajero, en el horario de </w:t>
      </w:r>
      <w:smartTag w:uri="urn:schemas-microsoft-com:office:smarttags" w:element="metricconverter">
        <w:smartTagPr>
          <w:attr w:name="ProductID" w:val="22.00 a"/>
        </w:smartTagPr>
        <w:r>
          <w:rPr>
            <w:rFonts w:eastAsia="Arial Unicode MS"/>
            <w:spacing w:val="-3"/>
          </w:rPr>
          <w:t>22.00 a</w:t>
        </w:r>
      </w:smartTag>
      <w:r>
        <w:rPr>
          <w:rFonts w:eastAsia="Arial Unicode MS"/>
          <w:spacing w:val="-3"/>
        </w:rPr>
        <w:t xml:space="preserve"> 6.00 de la mañana y que días antes del atentado vio tres camionetas Trafic, una perteneciente a una aseguradora de riesgos de trabajo, otra ubicada s</w:t>
      </w:r>
      <w:r>
        <w:rPr>
          <w:rFonts w:eastAsia="Arial Unicode MS"/>
          <w:spacing w:val="-3"/>
        </w:rPr>
        <w:t>o</w:t>
      </w:r>
      <w:r>
        <w:rPr>
          <w:rFonts w:eastAsia="Arial Unicode MS"/>
          <w:spacing w:val="-3"/>
        </w:rPr>
        <w:t>bre Azcuénaga, que tenía una suerte de antena en el techo, y la tercera con el fre</w:t>
      </w:r>
      <w:r>
        <w:rPr>
          <w:rFonts w:eastAsia="Arial Unicode MS"/>
          <w:spacing w:val="-3"/>
        </w:rPr>
        <w:t>n</w:t>
      </w:r>
      <w:r>
        <w:rPr>
          <w:rFonts w:eastAsia="Arial Unicode MS"/>
          <w:spacing w:val="-3"/>
        </w:rPr>
        <w:t>te hacia Azcuénaga.</w:t>
      </w:r>
    </w:p>
    <w:p w:rsidR="00224567" w:rsidRDefault="00224567">
      <w:pPr>
        <w:widowControl w:val="0"/>
        <w:rPr>
          <w:rFonts w:eastAsia="Arial Unicode MS"/>
          <w:spacing w:val="-3"/>
        </w:rPr>
      </w:pPr>
      <w:r>
        <w:rPr>
          <w:rFonts w:eastAsia="Arial Unicode MS"/>
          <w:spacing w:val="-3"/>
        </w:rPr>
        <w:tab/>
        <w:t>Con relación a la última, recordó que era blanca, pero no se notaba bien el color debido a la s</w:t>
      </w:r>
      <w:r>
        <w:rPr>
          <w:rFonts w:eastAsia="Arial Unicode MS"/>
          <w:spacing w:val="-3"/>
        </w:rPr>
        <w:t>u</w:t>
      </w:r>
      <w:r>
        <w:rPr>
          <w:rFonts w:eastAsia="Arial Unicode MS"/>
          <w:spacing w:val="-3"/>
        </w:rPr>
        <w:t>ciedad. Agregó que se hallaba inclinada de trompa porque en la playa había una pendiente, pero no notó nada raro; si bien indicó que era cerrada, no pudo precisar si tenía puerta en el costado. Refirió que, según creía, el parago</w:t>
      </w:r>
      <w:r>
        <w:rPr>
          <w:rFonts w:eastAsia="Arial Unicode MS"/>
          <w:spacing w:val="-3"/>
        </w:rPr>
        <w:t>l</w:t>
      </w:r>
      <w:r>
        <w:rPr>
          <w:rFonts w:eastAsia="Arial Unicode MS"/>
          <w:spacing w:val="-3"/>
        </w:rPr>
        <w:t>pes era de chapa porque el domingo a la noche, mientras j</w:t>
      </w:r>
      <w:r>
        <w:rPr>
          <w:rFonts w:eastAsia="Arial Unicode MS"/>
          <w:spacing w:val="-3"/>
        </w:rPr>
        <w:t>u</w:t>
      </w:r>
      <w:r>
        <w:rPr>
          <w:rFonts w:eastAsia="Arial Unicode MS"/>
          <w:spacing w:val="-3"/>
        </w:rPr>
        <w:t>gaba a la pelota con un compañero, apoyó el pie en la d</w:t>
      </w:r>
      <w:r>
        <w:rPr>
          <w:rFonts w:eastAsia="Arial Unicode MS"/>
          <w:spacing w:val="-3"/>
        </w:rPr>
        <w:t>e</w:t>
      </w:r>
      <w:r>
        <w:rPr>
          <w:rFonts w:eastAsia="Arial Unicode MS"/>
          <w:spacing w:val="-3"/>
        </w:rPr>
        <w:t>fensa que tenía. Aseveró que vio la camioneta cuando él se ret</w:t>
      </w:r>
      <w:r>
        <w:rPr>
          <w:rFonts w:eastAsia="Arial Unicode MS"/>
          <w:spacing w:val="-3"/>
        </w:rPr>
        <w:t>i</w:t>
      </w:r>
      <w:r>
        <w:rPr>
          <w:rFonts w:eastAsia="Arial Unicode MS"/>
          <w:spacing w:val="-3"/>
        </w:rPr>
        <w:t>ró el domingo a las 6.00.</w:t>
      </w:r>
    </w:p>
    <w:p w:rsidR="00224567" w:rsidRDefault="00224567">
      <w:pPr>
        <w:widowControl w:val="0"/>
        <w:rPr>
          <w:rFonts w:eastAsia="Arial Unicode MS"/>
          <w:spacing w:val="-3"/>
        </w:rPr>
      </w:pPr>
      <w:r>
        <w:rPr>
          <w:rFonts w:eastAsia="Arial Unicode MS"/>
          <w:spacing w:val="-3"/>
        </w:rPr>
        <w:tab/>
        <w:t>Manifestó que se reintegró el lunes a la noche; oportunidad en que su compañero Alfredo y el g</w:t>
      </w:r>
      <w:r>
        <w:rPr>
          <w:rFonts w:eastAsia="Arial Unicode MS"/>
          <w:spacing w:val="-3"/>
        </w:rPr>
        <w:t>e</w:t>
      </w:r>
      <w:r>
        <w:rPr>
          <w:rFonts w:eastAsia="Arial Unicode MS"/>
          <w:spacing w:val="-3"/>
        </w:rPr>
        <w:t>rente Jorge le comentaron que lo llevarían a declarar por ese tema, recogiéndolo la policía en un aut</w:t>
      </w:r>
      <w:r>
        <w:rPr>
          <w:rFonts w:eastAsia="Arial Unicode MS"/>
          <w:spacing w:val="-3"/>
        </w:rPr>
        <w:t>o</w:t>
      </w:r>
      <w:r>
        <w:rPr>
          <w:rFonts w:eastAsia="Arial Unicode MS"/>
          <w:spacing w:val="-3"/>
        </w:rPr>
        <w:t>móvil.</w:t>
      </w:r>
    </w:p>
    <w:p w:rsidR="00224567" w:rsidRDefault="00224567">
      <w:pPr>
        <w:widowControl w:val="0"/>
        <w:rPr>
          <w:rFonts w:eastAsia="Arial Unicode MS"/>
          <w:spacing w:val="-3"/>
        </w:rPr>
      </w:pPr>
      <w:r>
        <w:rPr>
          <w:rFonts w:eastAsia="Arial Unicode MS"/>
          <w:spacing w:val="-3"/>
        </w:rPr>
        <w:tab/>
        <w:t>Por su parte, en la audiencia de d</w:t>
      </w:r>
      <w:r>
        <w:rPr>
          <w:rFonts w:eastAsia="Arial Unicode MS"/>
          <w:spacing w:val="-3"/>
        </w:rPr>
        <w:t>e</w:t>
      </w:r>
      <w:r>
        <w:rPr>
          <w:rFonts w:eastAsia="Arial Unicode MS"/>
          <w:spacing w:val="-3"/>
        </w:rPr>
        <w:t xml:space="preserve">bate el testigo </w:t>
      </w:r>
      <w:r>
        <w:t>José Alejandro Címbolo</w:t>
      </w:r>
      <w:r>
        <w:rPr>
          <w:rFonts w:eastAsia="Arial Unicode MS"/>
          <w:spacing w:val="-3"/>
        </w:rPr>
        <w:t xml:space="preserve"> e</w:t>
      </w:r>
      <w:r>
        <w:rPr>
          <w:rFonts w:eastAsia="Arial Unicode MS"/>
          <w:spacing w:val="-3"/>
        </w:rPr>
        <w:t>x</w:t>
      </w:r>
      <w:r>
        <w:rPr>
          <w:rFonts w:eastAsia="Arial Unicode MS"/>
          <w:spacing w:val="-3"/>
        </w:rPr>
        <w:t>presó que para la época del atentado laboraba en  una  playa  denominada  “Jet  Parking”, no recordando haber visto una camioneta Trafic sobre la que se hicieron comentarios después de la expl</w:t>
      </w:r>
      <w:r>
        <w:rPr>
          <w:rFonts w:eastAsia="Arial Unicode MS"/>
          <w:spacing w:val="-3"/>
        </w:rPr>
        <w:t>o</w:t>
      </w:r>
      <w:r>
        <w:rPr>
          <w:rFonts w:eastAsia="Arial Unicode MS"/>
          <w:spacing w:val="-3"/>
        </w:rPr>
        <w:t>sión. Sin embargo, al ser confrontado con su declaración prestada ante el magistrado instructor, el testigo afirmó haber visto, uno o dos días antes de la explosión, una c</w:t>
      </w:r>
      <w:r>
        <w:rPr>
          <w:rFonts w:eastAsia="Arial Unicode MS"/>
          <w:spacing w:val="-3"/>
        </w:rPr>
        <w:t>a</w:t>
      </w:r>
      <w:r>
        <w:rPr>
          <w:rFonts w:eastAsia="Arial Unicode MS"/>
          <w:spacing w:val="-3"/>
        </w:rPr>
        <w:t>mioneta Trafic blanca en la playa de estacion</w:t>
      </w:r>
      <w:r>
        <w:rPr>
          <w:rFonts w:eastAsia="Arial Unicode MS"/>
          <w:spacing w:val="-3"/>
        </w:rPr>
        <w:t>a</w:t>
      </w:r>
      <w:r>
        <w:rPr>
          <w:rFonts w:eastAsia="Arial Unicode MS"/>
          <w:spacing w:val="-3"/>
        </w:rPr>
        <w:t>miento.</w:t>
      </w:r>
    </w:p>
    <w:p w:rsidR="00224567" w:rsidRDefault="00224567">
      <w:pPr>
        <w:widowControl w:val="0"/>
        <w:rPr>
          <w:rFonts w:eastAsia="Arial Unicode MS"/>
          <w:spacing w:val="-3"/>
        </w:rPr>
      </w:pPr>
      <w:r>
        <w:rPr>
          <w:rFonts w:eastAsia="Arial Unicode MS"/>
          <w:spacing w:val="-3"/>
        </w:rPr>
        <w:tab/>
        <w:t>Durante la audiencia de debate, Díaz, Giser, Alderete y Címbolo ubicaron en un plano el lugar donde se estacionaron, en la playa, las camionetas a las que hicieron referencia; coincidieron en situarlas en el sector que daba hacia la calle Azcuén</w:t>
      </w:r>
      <w:r>
        <w:rPr>
          <w:rFonts w:eastAsia="Arial Unicode MS"/>
          <w:spacing w:val="-3"/>
        </w:rPr>
        <w:t>a</w:t>
      </w:r>
      <w:r>
        <w:rPr>
          <w:rFonts w:eastAsia="Arial Unicode MS"/>
          <w:spacing w:val="-3"/>
        </w:rPr>
        <w:t>ga, entre el ingreso ubicado en la esquina de ésta y P</w:t>
      </w:r>
      <w:r>
        <w:rPr>
          <w:rFonts w:eastAsia="Arial Unicode MS"/>
          <w:spacing w:val="-3"/>
        </w:rPr>
        <w:t>a</w:t>
      </w:r>
      <w:r>
        <w:rPr>
          <w:rFonts w:eastAsia="Arial Unicode MS"/>
          <w:spacing w:val="-3"/>
        </w:rPr>
        <w:t>raguay y la salida que se hallaba a mitad de cuadra, sobre Azcuén</w:t>
      </w:r>
      <w:r>
        <w:rPr>
          <w:rFonts w:eastAsia="Arial Unicode MS"/>
          <w:spacing w:val="-3"/>
        </w:rPr>
        <w:t>a</w:t>
      </w:r>
      <w:r>
        <w:rPr>
          <w:rFonts w:eastAsia="Arial Unicode MS"/>
          <w:spacing w:val="-3"/>
        </w:rPr>
        <w:t>ga.</w:t>
      </w:r>
    </w:p>
    <w:p w:rsidR="00224567" w:rsidRDefault="00224567">
      <w:pPr>
        <w:widowControl w:val="0"/>
        <w:rPr>
          <w:rFonts w:eastAsia="Arial Unicode MS"/>
          <w:spacing w:val="-3"/>
        </w:rPr>
      </w:pPr>
      <w:r>
        <w:rPr>
          <w:rFonts w:eastAsia="Arial Unicode MS"/>
          <w:spacing w:val="-3"/>
        </w:rPr>
        <w:tab/>
      </w:r>
      <w:r>
        <w:rPr>
          <w:rFonts w:eastAsia="Arial Unicode MS"/>
          <w:b/>
          <w:bCs/>
          <w:spacing w:val="-3"/>
        </w:rPr>
        <w:t xml:space="preserve">B.2) </w:t>
      </w:r>
      <w:r>
        <w:rPr>
          <w:rFonts w:eastAsia="Arial Unicode MS"/>
          <w:spacing w:val="-3"/>
        </w:rPr>
        <w:t>Los restantes empleados de “Jet Parking” y los clientes que depusieron, dieron diversas r</w:t>
      </w:r>
      <w:r>
        <w:rPr>
          <w:rFonts w:eastAsia="Arial Unicode MS"/>
          <w:spacing w:val="-3"/>
        </w:rPr>
        <w:t>e</w:t>
      </w:r>
      <w:r>
        <w:rPr>
          <w:rFonts w:eastAsia="Arial Unicode MS"/>
          <w:spacing w:val="-3"/>
        </w:rPr>
        <w:t>ferencias en cuanto a la existencia de camionetas, sin co</w:t>
      </w:r>
      <w:r>
        <w:rPr>
          <w:rFonts w:eastAsia="Arial Unicode MS"/>
          <w:spacing w:val="-3"/>
        </w:rPr>
        <w:t>n</w:t>
      </w:r>
      <w:r>
        <w:rPr>
          <w:rFonts w:eastAsia="Arial Unicode MS"/>
          <w:spacing w:val="-3"/>
        </w:rPr>
        <w:t>cordar en cuanto a la ubicación en la playa; por ello, nada permite afirmar que estuvieran aludiendo al mismo rodado que protagonizó el episodio del 15 de julio (</w:t>
      </w:r>
      <w:r>
        <w:t>cónf.</w:t>
      </w:r>
      <w:r>
        <w:rPr>
          <w:rFonts w:eastAsia="Arial Unicode MS"/>
          <w:spacing w:val="-3"/>
        </w:rPr>
        <w:t xml:space="preserve"> declar</w:t>
      </w:r>
      <w:r>
        <w:rPr>
          <w:rFonts w:eastAsia="Arial Unicode MS"/>
          <w:spacing w:val="-3"/>
        </w:rPr>
        <w:t>a</w:t>
      </w:r>
      <w:r>
        <w:rPr>
          <w:rFonts w:eastAsia="Arial Unicode MS"/>
          <w:spacing w:val="-3"/>
        </w:rPr>
        <w:t>ciones de Elba Noemí Alesso, Mario Alberto Boskis, Alfredo Horacio Di Fonzo, Néstor Alfredo Gibernau, Jorge Alberto Hurst, Alejandro Mario Lucchelli, Jorge Albe</w:t>
      </w:r>
      <w:r>
        <w:rPr>
          <w:rFonts w:eastAsia="Arial Unicode MS"/>
          <w:spacing w:val="-3"/>
        </w:rPr>
        <w:t>r</w:t>
      </w:r>
      <w:r>
        <w:rPr>
          <w:rFonts w:eastAsia="Arial Unicode MS"/>
          <w:spacing w:val="-3"/>
        </w:rPr>
        <w:t>to Ruiz, María del Carmen Sallete y Rubén Luis S</w:t>
      </w:r>
      <w:r>
        <w:rPr>
          <w:rFonts w:eastAsia="Arial Unicode MS"/>
          <w:spacing w:val="-3"/>
        </w:rPr>
        <w:t>o</w:t>
      </w:r>
      <w:r>
        <w:rPr>
          <w:rFonts w:eastAsia="Arial Unicode MS"/>
          <w:spacing w:val="-3"/>
        </w:rPr>
        <w:t>sa).</w:t>
      </w:r>
    </w:p>
    <w:p w:rsidR="00224567" w:rsidRDefault="00224567">
      <w:pPr>
        <w:widowControl w:val="0"/>
      </w:pPr>
      <w:r>
        <w:rPr>
          <w:rFonts w:eastAsia="Arial Unicode MS"/>
          <w:spacing w:val="-3"/>
        </w:rPr>
        <w:tab/>
        <w:t>Párrafo aparte merece la declaración de N</w:t>
      </w:r>
      <w:r>
        <w:rPr>
          <w:rFonts w:eastAsia="Arial Unicode MS"/>
          <w:spacing w:val="-3"/>
        </w:rPr>
        <w:t>e</w:t>
      </w:r>
      <w:r>
        <w:rPr>
          <w:rFonts w:eastAsia="Arial Unicode MS"/>
          <w:spacing w:val="-3"/>
        </w:rPr>
        <w:t xml:space="preserve">lly Marta Tilli de López, clienta de la playa, quien dijo haber visto estacionada una camioneta el domingo anterior al atentado, alrededor de </w:t>
      </w:r>
      <w:r>
        <w:t xml:space="preserve">las 17.45 ó 18.00, ubicándola en un sector coincidente con el señalado por </w:t>
      </w:r>
      <w:r>
        <w:rPr>
          <w:rFonts w:eastAsia="Arial Unicode MS"/>
          <w:spacing w:val="-3"/>
        </w:rPr>
        <w:t xml:space="preserve">los empleados mencionados en el apartado que antecede. Asimismo, hizo alusión a la presencia de una persona </w:t>
      </w:r>
      <w:r>
        <w:t>sentada en el asiento del acomp</w:t>
      </w:r>
      <w:r>
        <w:t>a</w:t>
      </w:r>
      <w:r>
        <w:t>ñante.</w:t>
      </w:r>
    </w:p>
    <w:p w:rsidR="00224567" w:rsidRDefault="00224567">
      <w:pPr>
        <w:widowControl w:val="0"/>
        <w:rPr>
          <w:rFonts w:eastAsia="Arial Unicode MS"/>
          <w:spacing w:val="-3"/>
        </w:rPr>
      </w:pPr>
      <w:r>
        <w:tab/>
        <w:t>Sin embargo, las</w:t>
      </w:r>
      <w:r>
        <w:rPr>
          <w:rFonts w:eastAsia="Arial Unicode MS"/>
          <w:spacing w:val="-3"/>
        </w:rPr>
        <w:t xml:space="preserve"> circunstancias refer</w:t>
      </w:r>
      <w:r>
        <w:rPr>
          <w:rFonts w:eastAsia="Arial Unicode MS"/>
          <w:spacing w:val="-3"/>
        </w:rPr>
        <w:t>i</w:t>
      </w:r>
      <w:r>
        <w:rPr>
          <w:rFonts w:eastAsia="Arial Unicode MS"/>
          <w:spacing w:val="-3"/>
        </w:rPr>
        <w:t>das por la nombrada -tanto la referencia temporal como la persona que dijo haber visto-, no fueron corroboradas por el test</w:t>
      </w:r>
      <w:r>
        <w:rPr>
          <w:rFonts w:eastAsia="Arial Unicode MS"/>
          <w:spacing w:val="-3"/>
        </w:rPr>
        <w:t>i</w:t>
      </w:r>
      <w:r>
        <w:rPr>
          <w:rFonts w:eastAsia="Arial Unicode MS"/>
          <w:spacing w:val="-3"/>
        </w:rPr>
        <w:t>monio de ningún otro empleado o cliente del lugar; extremo que no permite afirmar que hubiera alud</w:t>
      </w:r>
      <w:r>
        <w:rPr>
          <w:rFonts w:eastAsia="Arial Unicode MS"/>
          <w:spacing w:val="-3"/>
        </w:rPr>
        <w:t>i</w:t>
      </w:r>
      <w:r>
        <w:rPr>
          <w:rFonts w:eastAsia="Arial Unicode MS"/>
          <w:spacing w:val="-3"/>
        </w:rPr>
        <w:t>do al mismo vehículo que José Antonio Díaz y Jorge Carlos G</w:t>
      </w:r>
      <w:r>
        <w:rPr>
          <w:rFonts w:eastAsia="Arial Unicode MS"/>
          <w:spacing w:val="-3"/>
        </w:rPr>
        <w:t>i</w:t>
      </w:r>
      <w:r>
        <w:rPr>
          <w:rFonts w:eastAsia="Arial Unicode MS"/>
          <w:spacing w:val="-3"/>
        </w:rPr>
        <w:t>ser.</w:t>
      </w:r>
    </w:p>
    <w:p w:rsidR="00224567" w:rsidRDefault="00224567">
      <w:pPr>
        <w:widowControl w:val="0"/>
        <w:rPr>
          <w:rFonts w:eastAsia="Arial Unicode MS"/>
        </w:rPr>
      </w:pPr>
      <w:r>
        <w:rPr>
          <w:rFonts w:eastAsia="Arial Unicode MS"/>
        </w:rPr>
        <w:tab/>
      </w:r>
      <w:r>
        <w:rPr>
          <w:rFonts w:eastAsia="Arial Unicode MS"/>
          <w:b/>
          <w:bCs/>
        </w:rPr>
        <w:t xml:space="preserve">B.3) </w:t>
      </w:r>
      <w:r>
        <w:rPr>
          <w:rFonts w:eastAsia="Arial Unicode MS"/>
        </w:rPr>
        <w:t xml:space="preserve">También prestaron declaración testimonial </w:t>
      </w:r>
      <w:r>
        <w:t>Manuel Bernardo Umansky, Mauricio Alejandro Vaysman y Gregorio Jorge Stilman</w:t>
      </w:r>
      <w:r>
        <w:rPr>
          <w:rFonts w:eastAsia="Arial Unicode MS"/>
        </w:rPr>
        <w:t>, quienes hacia julio de 1994 eran los titulares de la concesión sobre el estaci</w:t>
      </w:r>
      <w:r>
        <w:rPr>
          <w:rFonts w:eastAsia="Arial Unicode MS"/>
        </w:rPr>
        <w:t>o</w:t>
      </w:r>
      <w:r>
        <w:rPr>
          <w:rFonts w:eastAsia="Arial Unicode MS"/>
        </w:rPr>
        <w:t>namiento “Jet Parking”.</w:t>
      </w:r>
    </w:p>
    <w:p w:rsidR="00224567" w:rsidRDefault="00224567">
      <w:pPr>
        <w:widowControl w:val="0"/>
      </w:pPr>
      <w:r>
        <w:tab/>
        <w:t>Con relación a tal concesión, a fs. 99.433/99.504 obra un informe elaborado por el Departame</w:t>
      </w:r>
      <w:r>
        <w:t>n</w:t>
      </w:r>
      <w:r>
        <w:t xml:space="preserve">to Unidad de Investigación Antiterrorista, del que surge que </w:t>
      </w:r>
      <w:smartTag w:uri="urn:schemas-microsoft-com:office:smarttags" w:element="PersonName">
        <w:smartTagPr>
          <w:attr w:name="ProductID" w:val="la Direcci￳n General"/>
        </w:smartTagPr>
        <w:r>
          <w:t>la Dirección General</w:t>
        </w:r>
      </w:smartTag>
      <w:r>
        <w:t xml:space="preserve"> de Verificaciones y Habilitaci</w:t>
      </w:r>
      <w:r>
        <w:t>o</w:t>
      </w:r>
      <w:r>
        <w:t xml:space="preserve">nes, dependiente de </w:t>
      </w:r>
      <w:smartTag w:uri="urn:schemas-microsoft-com:office:smarttags" w:element="PersonName">
        <w:smartTagPr>
          <w:attr w:name="ProductID" w:val="la Secretar￭a"/>
        </w:smartTagPr>
        <w:r>
          <w:t>la Secretaría</w:t>
        </w:r>
      </w:smartTag>
      <w:r>
        <w:t xml:space="preserve"> de Just</w:t>
      </w:r>
      <w:r>
        <w:t>i</w:t>
      </w:r>
      <w:r>
        <w:t xml:space="preserve">cia y Seguridad del Gobierno de </w:t>
      </w:r>
      <w:smartTag w:uri="urn:schemas-microsoft-com:office:smarttags" w:element="PersonName">
        <w:smartTagPr>
          <w:attr w:name="ProductID" w:val="la Ciudad Aut￳noma"/>
        </w:smartTagPr>
        <w:r>
          <w:t>la Ciudad Autónoma</w:t>
        </w:r>
      </w:smartTag>
      <w:r>
        <w:t xml:space="preserve"> de Buenos Aires, hizo saber que el local de Azcuénaga 959 registraba una con</w:t>
      </w:r>
      <w:r>
        <w:t>s</w:t>
      </w:r>
      <w:r>
        <w:t xml:space="preserve">tancia de habilitación del 5 de abril de </w:t>
      </w:r>
      <w:smartTag w:uri="urn:schemas-microsoft-com:office:smarttags" w:element="metricconverter">
        <w:smartTagPr>
          <w:attr w:name="ProductID" w:val="1994, a"/>
        </w:smartTagPr>
        <w:r>
          <w:t>1994, a</w:t>
        </w:r>
      </w:smartTag>
      <w:r>
        <w:t xml:space="preserve"> nombre de Mauricio Alejandro Vaysman, para desarrollar el rubro pl</w:t>
      </w:r>
      <w:r>
        <w:t>a</w:t>
      </w:r>
      <w:r>
        <w:t>ya de estacionamiento, habiendo sido transf</w:t>
      </w:r>
      <w:r>
        <w:t>e</w:t>
      </w:r>
      <w:r>
        <w:t xml:space="preserve">rido el 17 de marzo de </w:t>
      </w:r>
      <w:smartTag w:uri="urn:schemas-microsoft-com:office:smarttags" w:element="metricconverter">
        <w:smartTagPr>
          <w:attr w:name="ProductID" w:val="1997 a"/>
        </w:smartTagPr>
        <w:r>
          <w:t>1997 a</w:t>
        </w:r>
      </w:smartTag>
      <w:r>
        <w:t xml:space="preserve"> nombre de “Estacionamiento Azcuénaga S.A.”.</w:t>
      </w:r>
    </w:p>
    <w:p w:rsidR="00224567" w:rsidRDefault="00224567">
      <w:pPr>
        <w:widowControl w:val="0"/>
      </w:pPr>
      <w:r>
        <w:rPr>
          <w:rFonts w:eastAsia="Arial Unicode MS"/>
          <w:spacing w:val="-3"/>
        </w:rPr>
        <w:tab/>
        <w:t>Por su parte,</w:t>
      </w:r>
      <w:r>
        <w:t xml:space="preserve"> Manuel Bernardo Umansky man</w:t>
      </w:r>
      <w:r>
        <w:t>i</w:t>
      </w:r>
      <w:r>
        <w:t>festó que el día del atentado concurrió a la playa de estacionamiento, pero no recibió ningún tipo de c</w:t>
      </w:r>
      <w:r>
        <w:t>o</w:t>
      </w:r>
      <w:r>
        <w:t>mentario relacionado con un vehículo; no obstante, aseveró que a los dos o tres días, cuando se comenzó a menci</w:t>
      </w:r>
      <w:r>
        <w:t>o</w:t>
      </w:r>
      <w:r>
        <w:t>nar en los medios que una camioneta pudo haberse utilizado en el atentado, los empleados la relacionaron con una de cara</w:t>
      </w:r>
      <w:r>
        <w:t>c</w:t>
      </w:r>
      <w:r>
        <w:t>terísticas similares que había ingresado una noche, est</w:t>
      </w:r>
      <w:r>
        <w:t>a</w:t>
      </w:r>
      <w:r>
        <w:t>cionándose sobre la calle Azcuénaga, la que nadie vio cuando se retiró.</w:t>
      </w:r>
    </w:p>
    <w:p w:rsidR="00224567" w:rsidRDefault="00224567">
      <w:pPr>
        <w:widowControl w:val="0"/>
      </w:pPr>
      <w:r>
        <w:tab/>
        <w:t>En consecuencia, explicó, el día s</w:t>
      </w:r>
      <w:r>
        <w:t>i</w:t>
      </w:r>
      <w:r>
        <w:t>guiente al acto que la comunidad judía realizó en la plaza de Los Dos Congresos, concurrió con su socio Alejandro V</w:t>
      </w:r>
      <w:r>
        <w:t>a</w:t>
      </w:r>
      <w:r>
        <w:t xml:space="preserve">ysman a </w:t>
      </w:r>
      <w:smartTag w:uri="urn:schemas-microsoft-com:office:smarttags" w:element="PersonName">
        <w:smartTagPr>
          <w:attr w:name="ProductID" w:val="la Embajada"/>
        </w:smartTagPr>
        <w:r>
          <w:t>la Embajada</w:t>
        </w:r>
      </w:smartTag>
      <w:r>
        <w:t xml:space="preserve"> de Israel para informar lo sucedido, siendo atendidos por un muchacho con el que mantuvieron una charla breve. Asimismo, indicó que llevaron una tarj</w:t>
      </w:r>
      <w:r>
        <w:t>e</w:t>
      </w:r>
      <w:r>
        <w:t>ta con los datos de la camioneta, que, s</w:t>
      </w:r>
      <w:r>
        <w:t>e</w:t>
      </w:r>
      <w:r>
        <w:t>gún creía, era la obrante a fs. 206, aclarando que en dicha representación sólo aportaron los datos, mie</w:t>
      </w:r>
      <w:r>
        <w:t>n</w:t>
      </w:r>
      <w:r>
        <w:t xml:space="preserve">tras que la ficha, creía, se la entregaron a </w:t>
      </w:r>
      <w:smartTag w:uri="urn:schemas-microsoft-com:office:smarttags" w:element="PersonName">
        <w:smartTagPr>
          <w:attr w:name="ProductID" w:val="la Polic￭a Federal."/>
        </w:smartTagPr>
        <w:r>
          <w:t>la Policía F</w:t>
        </w:r>
        <w:r>
          <w:t>e</w:t>
        </w:r>
        <w:r>
          <w:t>deral.</w:t>
        </w:r>
      </w:smartTag>
      <w:r>
        <w:t xml:space="preserve"> Agregó que a los dos o tres días concurrió a la playa gente de </w:t>
      </w:r>
      <w:smartTag w:uri="urn:schemas-microsoft-com:office:smarttags" w:element="PersonName">
        <w:smartTagPr>
          <w:attr w:name="ProductID" w:val="la Embajada"/>
        </w:smartTagPr>
        <w:r>
          <w:t>la Embajada</w:t>
        </w:r>
      </w:smartTag>
      <w:r>
        <w:t xml:space="preserve"> y de </w:t>
      </w:r>
      <w:smartTag w:uri="urn:schemas-microsoft-com:office:smarttags" w:element="PersonName">
        <w:smartTagPr>
          <w:attr w:name="ProductID" w:val="la Polic￭a."/>
        </w:smartTagPr>
        <w:r>
          <w:t>la Pol</w:t>
        </w:r>
        <w:r>
          <w:t>i</w:t>
        </w:r>
        <w:r>
          <w:t>cía.</w:t>
        </w:r>
      </w:smartTag>
    </w:p>
    <w:p w:rsidR="00224567" w:rsidRDefault="00224567">
      <w:pPr>
        <w:widowControl w:val="0"/>
      </w:pPr>
      <w:r>
        <w:tab/>
        <w:t>Recordó que en la ficha del vehículo se había tomado la dirección del conductor, pero al inte</w:t>
      </w:r>
      <w:r>
        <w:t>n</w:t>
      </w:r>
      <w:r>
        <w:t>tar comprobarla –personal de la embajada o de la p</w:t>
      </w:r>
      <w:r>
        <w:t>o</w:t>
      </w:r>
      <w:r>
        <w:t>licía-, desc</w:t>
      </w:r>
      <w:r>
        <w:t>u</w:t>
      </w:r>
      <w:r>
        <w:t>brieron que no existía.</w:t>
      </w:r>
    </w:p>
    <w:p w:rsidR="00224567" w:rsidRDefault="00224567">
      <w:pPr>
        <w:widowControl w:val="0"/>
        <w:rPr>
          <w:rFonts w:eastAsia="Arial Unicode MS"/>
          <w:spacing w:val="-3"/>
        </w:rPr>
      </w:pPr>
      <w:r>
        <w:rPr>
          <w:rFonts w:eastAsia="Arial Unicode MS"/>
          <w:spacing w:val="-3"/>
        </w:rPr>
        <w:tab/>
        <w:t>Mauricio Alejandro Vaysman decl</w:t>
      </w:r>
      <w:r>
        <w:rPr>
          <w:rFonts w:eastAsia="Arial Unicode MS"/>
          <w:spacing w:val="-3"/>
        </w:rPr>
        <w:t>a</w:t>
      </w:r>
      <w:r>
        <w:rPr>
          <w:rFonts w:eastAsia="Arial Unicode MS"/>
          <w:spacing w:val="-3"/>
        </w:rPr>
        <w:t xml:space="preserve">ró que a raíz del comentario de Umansky acerca del ticket de una camioneta con un número de patente, al finalizar el acto que se realizó en frente al Congreso Nacional, concurrió con el nombrado a </w:t>
      </w:r>
      <w:smartTag w:uri="urn:schemas-microsoft-com:office:smarttags" w:element="PersonName">
        <w:smartTagPr>
          <w:attr w:name="ProductID" w:val="la Embajada"/>
        </w:smartTagPr>
        <w:r>
          <w:rPr>
            <w:rFonts w:eastAsia="Arial Unicode MS"/>
            <w:spacing w:val="-3"/>
          </w:rPr>
          <w:t>la Embajada</w:t>
        </w:r>
      </w:smartTag>
      <w:r>
        <w:rPr>
          <w:rFonts w:eastAsia="Arial Unicode MS"/>
          <w:spacing w:val="-3"/>
        </w:rPr>
        <w:t xml:space="preserve"> de Israel a fin de informar lo sucedido, no recordando quién los ate</w:t>
      </w:r>
      <w:r>
        <w:rPr>
          <w:rFonts w:eastAsia="Arial Unicode MS"/>
          <w:spacing w:val="-3"/>
        </w:rPr>
        <w:t>n</w:t>
      </w:r>
      <w:r>
        <w:rPr>
          <w:rFonts w:eastAsia="Arial Unicode MS"/>
          <w:spacing w:val="-3"/>
        </w:rPr>
        <w:t>dió. Añadió que la reunión duró entre diez y quince minutos y si bien no r</w:t>
      </w:r>
      <w:r>
        <w:rPr>
          <w:rFonts w:eastAsia="Arial Unicode MS"/>
          <w:spacing w:val="-3"/>
        </w:rPr>
        <w:t>e</w:t>
      </w:r>
      <w:r>
        <w:rPr>
          <w:rFonts w:eastAsia="Arial Unicode MS"/>
          <w:spacing w:val="-3"/>
        </w:rPr>
        <w:t>cordó si exhibieron el ticket o aportaron los datos, asev</w:t>
      </w:r>
      <w:r>
        <w:rPr>
          <w:rFonts w:eastAsia="Arial Unicode MS"/>
          <w:spacing w:val="-3"/>
        </w:rPr>
        <w:t>e</w:t>
      </w:r>
      <w:r>
        <w:rPr>
          <w:rFonts w:eastAsia="Arial Unicode MS"/>
          <w:spacing w:val="-3"/>
        </w:rPr>
        <w:t>ró que no lo dejaron allí; con posterioridad, sin poder precisar la fecha, concurrió personal p</w:t>
      </w:r>
      <w:r>
        <w:rPr>
          <w:rFonts w:eastAsia="Arial Unicode MS"/>
          <w:spacing w:val="-3"/>
        </w:rPr>
        <w:t>o</w:t>
      </w:r>
      <w:r>
        <w:rPr>
          <w:rFonts w:eastAsia="Arial Unicode MS"/>
          <w:spacing w:val="-3"/>
        </w:rPr>
        <w:t>licial a la playa, en varias oportunidades, para dialogar con el encargado y con el empleado que atendió al conductor de la camion</w:t>
      </w:r>
      <w:r>
        <w:rPr>
          <w:rFonts w:eastAsia="Arial Unicode MS"/>
          <w:spacing w:val="-3"/>
        </w:rPr>
        <w:t>e</w:t>
      </w:r>
      <w:r>
        <w:rPr>
          <w:rFonts w:eastAsia="Arial Unicode MS"/>
          <w:spacing w:val="-3"/>
        </w:rPr>
        <w:t>ta.</w:t>
      </w:r>
    </w:p>
    <w:p w:rsidR="00224567" w:rsidRDefault="00224567">
      <w:pPr>
        <w:widowControl w:val="0"/>
      </w:pPr>
      <w:r>
        <w:tab/>
        <w:t>Por último, Gregorio Jorge Stilman m</w:t>
      </w:r>
      <w:r>
        <w:t>a</w:t>
      </w:r>
      <w:r>
        <w:t>nifestó que, según creía, al día siguiente del atentado, escuchó un comentario en la playa acerca de un episodio con una camioneta Trafic que llamó la atención, acaecido el viernes o sábado previo. El vehículo, creía, contrató por cinco días o una semana y sólo permaneció un día; ad</w:t>
      </w:r>
      <w:r>
        <w:t>e</w:t>
      </w:r>
      <w:r>
        <w:t>más, como había tenido dificultades para ingresar, su co</w:t>
      </w:r>
      <w:r>
        <w:t>n</w:t>
      </w:r>
      <w:r>
        <w:t>ductor fue ayudado por un transeúnte, a la vez que ta</w:t>
      </w:r>
      <w:r>
        <w:t>m</w:t>
      </w:r>
      <w:r>
        <w:t>bién se produjo un error con el documento que apo</w:t>
      </w:r>
      <w:r>
        <w:t>r</w:t>
      </w:r>
      <w:r>
        <w:t>tó.</w:t>
      </w:r>
    </w:p>
    <w:p w:rsidR="00224567" w:rsidRDefault="00224567">
      <w:pPr>
        <w:widowControl w:val="0"/>
      </w:pPr>
      <w:r>
        <w:tab/>
        <w:t>En virtud de ello, indicó, se reso</w:t>
      </w:r>
      <w:r>
        <w:t>l</w:t>
      </w:r>
      <w:r>
        <w:t>vió comunicar lo ocurrido a las autoridades, no pudiendo pr</w:t>
      </w:r>
      <w:r>
        <w:t>e</w:t>
      </w:r>
      <w:r>
        <w:t>cisar cuándo ni a qué organismo, por cuanto lo canalizó alguno de sus socios.</w:t>
      </w:r>
    </w:p>
    <w:p w:rsidR="00224567" w:rsidRDefault="00224567">
      <w:pPr>
        <w:widowControl w:val="0"/>
      </w:pPr>
      <w:r>
        <w:tab/>
      </w:r>
      <w:r>
        <w:rPr>
          <w:b/>
          <w:bCs/>
        </w:rPr>
        <w:t>B.4)</w:t>
      </w:r>
      <w:r>
        <w:t xml:space="preserve"> Sin perjuicio de lo expuesto con relación a la información aportada por los pr</w:t>
      </w:r>
      <w:r>
        <w:t>o</w:t>
      </w:r>
      <w:r>
        <w:t>pietarios de “Jet Parking”, en la audiencia de debate declararon dive</w:t>
      </w:r>
      <w:r>
        <w:t>r</w:t>
      </w:r>
      <w:r>
        <w:t>sos testigos acerca de otras vías por las que los invest</w:t>
      </w:r>
      <w:r>
        <w:t>i</w:t>
      </w:r>
      <w:r>
        <w:t>gadores habrían llegado a esa playa de estaci</w:t>
      </w:r>
      <w:r>
        <w:t>o</w:t>
      </w:r>
      <w:r>
        <w:t>namiento.</w:t>
      </w:r>
    </w:p>
    <w:p w:rsidR="00224567" w:rsidRDefault="00224567">
      <w:pPr>
        <w:widowControl w:val="0"/>
      </w:pPr>
      <w:r>
        <w:tab/>
        <w:t>Así, Jorge Daniel Torres, aux</w:t>
      </w:r>
      <w:r>
        <w:t>i</w:t>
      </w:r>
      <w:r>
        <w:t xml:space="preserve">liar de inteligencia de </w:t>
      </w:r>
      <w:smartTag w:uri="urn:schemas-microsoft-com:office:smarttags" w:element="PersonName">
        <w:smartTagPr>
          <w:attr w:name="ProductID" w:val="la Polic￭a Federal"/>
        </w:smartTagPr>
        <w:r>
          <w:t>la Policía Federal</w:t>
        </w:r>
      </w:smartTag>
      <w:r>
        <w:t xml:space="preserve"> Argent</w:t>
      </w:r>
      <w:r>
        <w:t>i</w:t>
      </w:r>
      <w:r>
        <w:t>na, que en 1994 se desempeñaba en el Departamento Protección del Orden Constitucional, manifestó que entre las tareas que se le asignaron estuvo la de relevar estacionamientos y que, a raíz de ello, hallaron el lugar donde, supuestamente, e</w:t>
      </w:r>
      <w:r>
        <w:t>s</w:t>
      </w:r>
      <w:r>
        <w:t>tuvo apa</w:t>
      </w:r>
      <w:r>
        <w:t>r</w:t>
      </w:r>
      <w:r>
        <w:t>cada la camioneta del atentado, tratándose de una playa muy grande, en Paraguay y Azcuén</w:t>
      </w:r>
      <w:r>
        <w:t>a</w:t>
      </w:r>
      <w:r>
        <w:t>ga.</w:t>
      </w:r>
    </w:p>
    <w:p w:rsidR="00224567" w:rsidRDefault="00224567">
      <w:pPr>
        <w:widowControl w:val="0"/>
      </w:pPr>
      <w:r>
        <w:tab/>
        <w:t>Al respecto, relató que días después del ataque, sin poder precisar la fecha, concurrió al l</w:t>
      </w:r>
      <w:r>
        <w:t>u</w:t>
      </w:r>
      <w:r>
        <w:t xml:space="preserve">gar con el auxiliar De </w:t>
      </w:r>
      <w:smartTag w:uri="urn:schemas-microsoft-com:office:smarttags" w:element="PersonName">
        <w:smartTagPr>
          <w:attr w:name="ProductID" w:val="la Torre"/>
        </w:smartTagPr>
        <w:r>
          <w:t>la Torre</w:t>
        </w:r>
      </w:smartTag>
      <w:r>
        <w:t xml:space="preserve"> –desconociendo si se tr</w:t>
      </w:r>
      <w:r>
        <w:t>a</w:t>
      </w:r>
      <w:r>
        <w:t>taba de su nombre real o ficticio- quien se acercó a la casilla de atención al público y, al salir, le informó a él y a su dependencia que allí había estado el vehículo, motivando que trasladaran a un hombre joven a efectos de que prestase declaración.</w:t>
      </w:r>
    </w:p>
    <w:p w:rsidR="00224567" w:rsidRDefault="00224567">
      <w:pPr>
        <w:widowControl w:val="0"/>
      </w:pPr>
      <w:r>
        <w:tab/>
        <w:t>Por último, recordó que previamente había concurrido a tres playas subterráneas y que, al d</w:t>
      </w:r>
      <w:r>
        <w:t>e</w:t>
      </w:r>
      <w:r>
        <w:t>terminarse el lugar, cesó la búsqueda.</w:t>
      </w:r>
    </w:p>
    <w:p w:rsidR="00224567" w:rsidRDefault="00224567">
      <w:pPr>
        <w:widowControl w:val="0"/>
      </w:pPr>
      <w:r>
        <w:tab/>
        <w:t>Por su parte, Jorge Luis Lucas, ento</w:t>
      </w:r>
      <w:r>
        <w:t>n</w:t>
      </w:r>
      <w:r>
        <w:t>ces director de Contraintel</w:t>
      </w:r>
      <w:r>
        <w:t>i</w:t>
      </w:r>
      <w:r>
        <w:t xml:space="preserve">gencia de </w:t>
      </w:r>
      <w:smartTag w:uri="urn:schemas-microsoft-com:office:smarttags" w:element="PersonName">
        <w:smartTagPr>
          <w:attr w:name="ProductID" w:val="la S.I"/>
        </w:smartTagPr>
        <w:r>
          <w:t>la S.I</w:t>
        </w:r>
      </w:smartTag>
      <w:r>
        <w:t>.D.E., explicó que el día del atentado se dispuso relevar, entre otros objetivos, las playas de estacionamiento de la zona, t</w:t>
      </w:r>
      <w:r>
        <w:t>o</w:t>
      </w:r>
      <w:r>
        <w:t>mando un radio de 10 ó 12 cuadras del lugar de la expl</w:t>
      </w:r>
      <w:r>
        <w:t>o</w:t>
      </w:r>
      <w:r>
        <w:t>sión y que, como consecuencia de ese “barr</w:t>
      </w:r>
      <w:r>
        <w:t>i</w:t>
      </w:r>
      <w:r>
        <w:t>do”, se llegó a “Jet Parking”, donde había estado la camion</w:t>
      </w:r>
      <w:r>
        <w:t>e</w:t>
      </w:r>
      <w:r>
        <w:t>ta.</w:t>
      </w:r>
    </w:p>
    <w:p w:rsidR="00224567" w:rsidRDefault="00224567">
      <w:pPr>
        <w:widowControl w:val="0"/>
      </w:pPr>
      <w:r>
        <w:tab/>
        <w:t>Creyó recordar que al día s</w:t>
      </w:r>
      <w:r>
        <w:t>i</w:t>
      </w:r>
      <w:r>
        <w:t xml:space="preserve">guiente el dueño de ese lugar hizo una denuncia en </w:t>
      </w:r>
      <w:smartTag w:uri="urn:schemas-microsoft-com:office:smarttags" w:element="PersonName">
        <w:smartTagPr>
          <w:attr w:name="ProductID" w:val="la Embajada"/>
        </w:smartTagPr>
        <w:r>
          <w:t>la Embajada</w:t>
        </w:r>
      </w:smartTag>
      <w:r>
        <w:t xml:space="preserve"> de I</w:t>
      </w:r>
      <w:r>
        <w:t>s</w:t>
      </w:r>
      <w:r>
        <w:t>rael, diciendo que habían visto algo sospechoso con rel</w:t>
      </w:r>
      <w:r>
        <w:t>a</w:t>
      </w:r>
      <w:r>
        <w:t>ción a una Trafic y unos personajes raros; si bien no lo pudo precisar, manifestó que, según creía, primero había sido el relevamiento, aunque ambas cosas habían sucedido casi co</w:t>
      </w:r>
      <w:r>
        <w:t>n</w:t>
      </w:r>
      <w:r>
        <w:t>temporáneamente.</w:t>
      </w:r>
    </w:p>
    <w:p w:rsidR="00224567" w:rsidRDefault="00224567">
      <w:pPr>
        <w:widowControl w:val="0"/>
      </w:pPr>
      <w:r>
        <w:tab/>
        <w:t>Asimismo, aclaró que el número de d</w:t>
      </w:r>
      <w:r>
        <w:t>o</w:t>
      </w:r>
      <w:r>
        <w:t xml:space="preserve">minio asentado en el ticket de “Jet Parking” no era el  real, por lo que el de </w:t>
      </w:r>
      <w:smartTag w:uri="urn:schemas-microsoft-com:office:smarttags" w:element="PersonName">
        <w:smartTagPr>
          <w:attr w:name="ProductID" w:val="la Trafic"/>
        </w:smartTagPr>
        <w:r>
          <w:t>la Trafic</w:t>
        </w:r>
      </w:smartTag>
      <w:r>
        <w:t xml:space="preserve"> de “Messin” recién se o</w:t>
      </w:r>
      <w:r>
        <w:t>b</w:t>
      </w:r>
      <w:r>
        <w:t>tuvo a partir del halla</w:t>
      </w:r>
      <w:r>
        <w:t>z</w:t>
      </w:r>
      <w:r>
        <w:t>go del motor.</w:t>
      </w:r>
    </w:p>
    <w:p w:rsidR="00224567" w:rsidRDefault="00224567">
      <w:pPr>
        <w:widowControl w:val="0"/>
      </w:pPr>
      <w:r>
        <w:tab/>
        <w:t>A su turno, Horacio Antonio Stiuso, jefe de Operaciones de Contrainteligencia del mismo org</w:t>
      </w:r>
      <w:r>
        <w:t>a</w:t>
      </w:r>
      <w:r>
        <w:t>nismo, manifestó que a mediados de la s</w:t>
      </w:r>
      <w:r>
        <w:t>e</w:t>
      </w:r>
      <w:r>
        <w:t>mana del atentado se conocía, en virtud de las pi</w:t>
      </w:r>
      <w:r>
        <w:t>e</w:t>
      </w:r>
      <w:r>
        <w:t>zas y restos hallados, que se había empleado una camioneta Trafic, por lo que di</w:t>
      </w:r>
      <w:r>
        <w:t>s</w:t>
      </w:r>
      <w:r>
        <w:t>puso que un grupo se avocara a relevar estacionamientos y gar</w:t>
      </w:r>
      <w:r>
        <w:t>a</w:t>
      </w:r>
      <w:r>
        <w:t>jes en un radio de diez o más cuadras, tarea que demandó unos diez días; labor en virtud de la cual supo el 21 de julio –antes de hallarse el motor- lo ocurrido en “Jet Parking”.</w:t>
      </w:r>
    </w:p>
    <w:p w:rsidR="00224567" w:rsidRDefault="00224567">
      <w:pPr>
        <w:widowControl w:val="0"/>
      </w:pPr>
      <w:r>
        <w:tab/>
        <w:t>Aclaró luego que, en realidad, la ll</w:t>
      </w:r>
      <w:r>
        <w:t>e</w:t>
      </w:r>
      <w:r>
        <w:t>gada a “Jet Parking” obedeció a que uno de los du</w:t>
      </w:r>
      <w:r>
        <w:t>e</w:t>
      </w:r>
      <w:r>
        <w:t>ños del estacionamiento, fue a avisar a la embajada israelí lo s</w:t>
      </w:r>
      <w:r>
        <w:t>u</w:t>
      </w:r>
      <w:r>
        <w:t xml:space="preserve">cedido, toda vez que el personal de </w:t>
      </w:r>
      <w:smartTag w:uri="urn:schemas-microsoft-com:office:smarttags" w:element="PersonName">
        <w:smartTagPr>
          <w:attr w:name="ProductID" w:val="la S.I"/>
        </w:smartTagPr>
        <w:r>
          <w:t>la S.I</w:t>
        </w:r>
      </w:smartTag>
      <w:r>
        <w:t>.D.E. aún no h</w:t>
      </w:r>
      <w:r>
        <w:t>a</w:t>
      </w:r>
      <w:r>
        <w:t>bía pasado por allí, puesto que estaban relevando otros estacionamie</w:t>
      </w:r>
      <w:r>
        <w:t>n</w:t>
      </w:r>
      <w:r>
        <w:t>tos.</w:t>
      </w:r>
    </w:p>
    <w:p w:rsidR="00224567" w:rsidRDefault="00224567">
      <w:pPr>
        <w:widowControl w:val="0"/>
      </w:pPr>
      <w:r>
        <w:tab/>
        <w:t>El testigo señaló que a resultas de la información que contenía la tarjeta de la playa, se ver</w:t>
      </w:r>
      <w:r>
        <w:t>i</w:t>
      </w:r>
      <w:r>
        <w:t>ficó si un tal Carlos Martínez se alojó en el “Hotel de las Américas”, con resultado negativo; ta</w:t>
      </w:r>
      <w:r>
        <w:t>m</w:t>
      </w:r>
      <w:r>
        <w:t>bién se averiguó la pertenencia del número de d</w:t>
      </w:r>
      <w:r>
        <w:t>o</w:t>
      </w:r>
      <w:r>
        <w:t>cumento asentado, que como Documento Nacional de Identidad c</w:t>
      </w:r>
      <w:r>
        <w:t>o</w:t>
      </w:r>
      <w:r>
        <w:t>rrespondía a una mujer y como c</w:t>
      </w:r>
      <w:r>
        <w:t>é</w:t>
      </w:r>
      <w:r>
        <w:t>dula, a un varón, pero cuyo nombre no era el antes mencionado, sino Tomás Lorenz, surgie</w:t>
      </w:r>
      <w:r>
        <w:t>n</w:t>
      </w:r>
      <w:r>
        <w:t xml:space="preserve">do de un prontuario, como referencia, un tal Carlos Martínez, que resultó ser suboficial de </w:t>
      </w:r>
      <w:smartTag w:uri="urn:schemas-microsoft-com:office:smarttags" w:element="PersonName">
        <w:smartTagPr>
          <w:attr w:name="ProductID" w:val="la Polic￭a Federal."/>
        </w:smartTagPr>
        <w:r>
          <w:t>la Policía Federal.</w:t>
        </w:r>
      </w:smartTag>
      <w:r>
        <w:t xml:space="preserve"> A juicio del testigo, los nombrados no tuvieron ninguna relación con el atent</w:t>
      </w:r>
      <w:r>
        <w:t>a</w:t>
      </w:r>
      <w:r>
        <w:t>do, tratándose de un hecho armado para desviar, por a</w:t>
      </w:r>
      <w:r>
        <w:t>l</w:t>
      </w:r>
      <w:r>
        <w:t>guien que evidentemente conocía a a</w:t>
      </w:r>
      <w:r>
        <w:t>m</w:t>
      </w:r>
      <w:r>
        <w:t>bos y tenía acceso al prontuario de dicha instit</w:t>
      </w:r>
      <w:r>
        <w:t>u</w:t>
      </w:r>
      <w:r>
        <w:t>ción.</w:t>
      </w:r>
    </w:p>
    <w:p w:rsidR="00224567" w:rsidRDefault="00224567">
      <w:pPr>
        <w:widowControl w:val="0"/>
      </w:pPr>
      <w:r>
        <w:tab/>
        <w:t>Asimismo, Stiuso precisó que el 22 de julio personal a su cargo se constituyó en “Jet Parking” para entrevistar a los empleados y o</w:t>
      </w:r>
      <w:r>
        <w:t>b</w:t>
      </w:r>
      <w:r>
        <w:t xml:space="preserve">tener datos acerca de las circunstancias que rodearon el estacionamiento de </w:t>
      </w:r>
      <w:smartTag w:uri="urn:schemas-microsoft-com:office:smarttags" w:element="PersonName">
        <w:smartTagPr>
          <w:attr w:name="ProductID" w:val="la Trafic"/>
        </w:smartTagPr>
        <w:r>
          <w:t>la Trafic</w:t>
        </w:r>
      </w:smartTag>
      <w:r>
        <w:t>, informándose que el conductor tenía un acento m</w:t>
      </w:r>
      <w:r>
        <w:t>e</w:t>
      </w:r>
      <w:r>
        <w:t>dio provinciano, que al ingreso se detuvo el motor del utilitario y que, en ese momento, apareció otra persona entre los autos que lo arrancó y estacionó en un lugar m</w:t>
      </w:r>
      <w:r>
        <w:t>i</w:t>
      </w:r>
      <w:r>
        <w:t>rando hacia Azcuénaga, a la altura de “Med</w:t>
      </w:r>
      <w:r>
        <w:t>i</w:t>
      </w:r>
      <w:r>
        <w:t>cus”.</w:t>
      </w:r>
    </w:p>
    <w:p w:rsidR="00224567" w:rsidRDefault="00224567">
      <w:pPr>
        <w:widowControl w:val="0"/>
      </w:pPr>
      <w:r>
        <w:tab/>
        <w:t>También agregó que, con esa inform</w:t>
      </w:r>
      <w:r>
        <w:t>a</w:t>
      </w:r>
      <w:r>
        <w:t xml:space="preserve">ción, solicitó al Registro de </w:t>
      </w:r>
      <w:smartTag w:uri="urn:schemas-microsoft-com:office:smarttags" w:element="PersonName">
        <w:smartTagPr>
          <w:attr w:name="ProductID" w:val="la Propiedad Automotor"/>
        </w:smartTagPr>
        <w:r>
          <w:t>la Propiedad Automotor</w:t>
        </w:r>
      </w:smartTag>
      <w:r>
        <w:t xml:space="preserve"> el rastreo en todo el país de las Trafic cuyos dominios fin</w:t>
      </w:r>
      <w:r>
        <w:t>a</w:t>
      </w:r>
      <w:r>
        <w:t>lizaran con los seis dígitos que surgían de la tarjeta, acotando que por ser el pr</w:t>
      </w:r>
      <w:r>
        <w:t>i</w:t>
      </w:r>
      <w:r>
        <w:t>mer número un cuatro, eran muy pocas provincias con padr</w:t>
      </w:r>
      <w:r>
        <w:t>o</w:t>
      </w:r>
      <w:r>
        <w:t>nes superiores a 400.000. Aclaró que esa tarea, llevada a cabo entre el viernes y la mañana del sábado, determinó que no existía ninguna Trafic con esos últimos seis números de d</w:t>
      </w:r>
      <w:r>
        <w:t>o</w:t>
      </w:r>
      <w:r>
        <w:t>minio.</w:t>
      </w:r>
    </w:p>
    <w:p w:rsidR="00224567" w:rsidRDefault="00224567">
      <w:pPr>
        <w:widowControl w:val="0"/>
      </w:pPr>
      <w:r>
        <w:tab/>
        <w:t>También refirió que su personal “b</w:t>
      </w:r>
      <w:r>
        <w:t>a</w:t>
      </w:r>
      <w:r>
        <w:t>rrió” la zona a efectos de determinar si alguien vio la camioneta estacionada durante su estadía en “Jet Pa</w:t>
      </w:r>
      <w:r>
        <w:t>r</w:t>
      </w:r>
      <w:r>
        <w:t>king”, es decir, entre el 15 de julio a las 18.00 y la m</w:t>
      </w:r>
      <w:r>
        <w:t>a</w:t>
      </w:r>
      <w:r>
        <w:t>ñana del atentado, resultando que una persona la vio el sábado 16 y dos el domingo, pero no permaneció en el lugar hasta la mañana del 18, sino que salió antes, desconociendo su de</w:t>
      </w:r>
      <w:r>
        <w:t>s</w:t>
      </w:r>
      <w:r>
        <w:t>tino. Por último, apuntó que no se determinó si ese rodado t</w:t>
      </w:r>
      <w:r>
        <w:t>e</w:t>
      </w:r>
      <w:r>
        <w:t>nía puerta lateral.</w:t>
      </w:r>
    </w:p>
    <w:p w:rsidR="00224567" w:rsidRDefault="00224567">
      <w:pPr>
        <w:widowControl w:val="0"/>
      </w:pPr>
      <w:r>
        <w:tab/>
        <w:t>A su vez, Néstor Ricardo Hernández, jefe de investigaciones del Departamento de Op</w:t>
      </w:r>
      <w:r>
        <w:t>e</w:t>
      </w:r>
      <w:r>
        <w:t xml:space="preserve">raciones de </w:t>
      </w:r>
      <w:smartTag w:uri="urn:schemas-microsoft-com:office:smarttags" w:element="PersonName">
        <w:smartTagPr>
          <w:attr w:name="ProductID" w:val="la Direcci￳n"/>
        </w:smartTagPr>
        <w:r>
          <w:t>la Dirección</w:t>
        </w:r>
      </w:smartTag>
      <w:r>
        <w:t xml:space="preserve"> de Contrainteligencia de </w:t>
      </w:r>
      <w:smartTag w:uri="urn:schemas-microsoft-com:office:smarttags" w:element="PersonName">
        <w:smartTagPr>
          <w:attr w:name="ProductID" w:val="la S.I"/>
        </w:smartTagPr>
        <w:r>
          <w:t>la S.I</w:t>
        </w:r>
      </w:smartTag>
      <w:r>
        <w:t>.D.E., relató que se hizo un relevamiento de las playas de estacion</w:t>
      </w:r>
      <w:r>
        <w:t>a</w:t>
      </w:r>
      <w:r>
        <w:t>miento, cr</w:t>
      </w:r>
      <w:r>
        <w:t>e</w:t>
      </w:r>
      <w:r>
        <w:t>yendo que a “Jet Parking” llegaron al tercer o cuarto día y que luego Stiuso mandó a dos personas; sin embargo, no pudo precisar si a esa playa se llegó por el relevamiento o porque Stiuso lo ordenó direct</w:t>
      </w:r>
      <w:r>
        <w:t>a</w:t>
      </w:r>
      <w:r>
        <w:t>mente.</w:t>
      </w:r>
    </w:p>
    <w:p w:rsidR="00224567" w:rsidRDefault="00224567">
      <w:pPr>
        <w:widowControl w:val="0"/>
      </w:pPr>
      <w:r>
        <w:tab/>
        <w:t xml:space="preserve">Roberto Jorge Saller, agente de </w:t>
      </w:r>
      <w:smartTag w:uri="urn:schemas-microsoft-com:office:smarttags" w:element="PersonName">
        <w:smartTagPr>
          <w:attr w:name="ProductID" w:val="la Divisi￳n"/>
        </w:smartTagPr>
        <w:r>
          <w:t>la D</w:t>
        </w:r>
        <w:r>
          <w:t>i</w:t>
        </w:r>
        <w:r>
          <w:t>visión</w:t>
        </w:r>
      </w:smartTag>
      <w:r>
        <w:t xml:space="preserve"> de Investigaciones de </w:t>
      </w:r>
      <w:smartTag w:uri="urn:schemas-microsoft-com:office:smarttags" w:element="PersonName">
        <w:smartTagPr>
          <w:attr w:name="ProductID" w:val="la Direcci￳n"/>
        </w:smartTagPr>
        <w:r>
          <w:t>la Dirección</w:t>
        </w:r>
      </w:smartTag>
      <w:r>
        <w:t xml:space="preserve"> de Contraintel</w:t>
      </w:r>
      <w:r>
        <w:t>i</w:t>
      </w:r>
      <w:r>
        <w:t xml:space="preserve">gencia de </w:t>
      </w:r>
      <w:smartTag w:uri="urn:schemas-microsoft-com:office:smarttags" w:element="PersonName">
        <w:smartTagPr>
          <w:attr w:name="ProductID" w:val="la S.I"/>
        </w:smartTagPr>
        <w:r>
          <w:t>la S.I</w:t>
        </w:r>
      </w:smartTag>
      <w:r>
        <w:t>.D.E., refirió que a partir del 19 de j</w:t>
      </w:r>
      <w:r>
        <w:t>u</w:t>
      </w:r>
      <w:r>
        <w:t>lio y durante aproximadamente tres días, recabaron info</w:t>
      </w:r>
      <w:r>
        <w:t>r</w:t>
      </w:r>
      <w:r>
        <w:t>mación sobre los vehículos aparcados en las playas cerc</w:t>
      </w:r>
      <w:r>
        <w:t>a</w:t>
      </w:r>
      <w:r>
        <w:t>nas al lugar del hecho, puntualizando que la tarea consi</w:t>
      </w:r>
      <w:r>
        <w:t>s</w:t>
      </w:r>
      <w:r>
        <w:t>tía en solicitar a los encargados que preparasen la info</w:t>
      </w:r>
      <w:r>
        <w:t>r</w:t>
      </w:r>
      <w:r>
        <w:t>mación de los automotores que est</w:t>
      </w:r>
      <w:r>
        <w:t>u</w:t>
      </w:r>
      <w:r>
        <w:t xml:space="preserve">vieron estacionados, que luego sería retirada por personal de </w:t>
      </w:r>
      <w:smartTag w:uri="urn:schemas-microsoft-com:office:smarttags" w:element="PersonName">
        <w:smartTagPr>
          <w:attr w:name="ProductID" w:val="la S.I"/>
        </w:smartTagPr>
        <w:r>
          <w:t>la S.I</w:t>
        </w:r>
      </w:smartTag>
      <w:r>
        <w:t>.D.E., ya que en muchos casos faltaba la autorización de los propiet</w:t>
      </w:r>
      <w:r>
        <w:t>a</w:t>
      </w:r>
      <w:r>
        <w:t>rios de los garajes para brindarla.</w:t>
      </w:r>
    </w:p>
    <w:p w:rsidR="00224567" w:rsidRDefault="00224567">
      <w:pPr>
        <w:widowControl w:val="0"/>
      </w:pPr>
      <w:r>
        <w:tab/>
        <w:t>En ese marco, creyó recordar que al día siguiente del atentado tomó contacto con el enca</w:t>
      </w:r>
      <w:r>
        <w:t>r</w:t>
      </w:r>
      <w:r>
        <w:t>gado de “Jet Parking”, donde, por c</w:t>
      </w:r>
      <w:r>
        <w:t>o</w:t>
      </w:r>
      <w:r>
        <w:t>mentarios de otros agentes, se sabía que había estado una camioneta. Explicó que fue al lugar para conversar con el encargado y determinar dó</w:t>
      </w:r>
      <w:r>
        <w:t>n</w:t>
      </w:r>
      <w:r>
        <w:t>de estuvo estacionada, qué datos suministró el condu</w:t>
      </w:r>
      <w:r>
        <w:t>c</w:t>
      </w:r>
      <w:r>
        <w:t>tor, por cuánto tiempo permaneció, cómo era el método para el ingreso y egreso y si contrató estadía diaria o mensual; datos todos ellos que se le proporcionaron, agregándole que el conductor tenía un acento provinci</w:t>
      </w:r>
      <w:r>
        <w:t>a</w:t>
      </w:r>
      <w:r>
        <w:t>no.</w:t>
      </w:r>
    </w:p>
    <w:p w:rsidR="00224567" w:rsidRDefault="00224567">
      <w:pPr>
        <w:widowControl w:val="0"/>
      </w:pPr>
      <w:r>
        <w:tab/>
        <w:t>Saller añadió que, según creía al día siguiente de su primer visita, es decir, el 20, r</w:t>
      </w:r>
      <w:r>
        <w:t>e</w:t>
      </w:r>
      <w:r>
        <w:t>gresó al lugar, pero no obtuvo datos adicionales.</w:t>
      </w:r>
    </w:p>
    <w:p w:rsidR="00224567" w:rsidRDefault="00224567">
      <w:pPr>
        <w:widowControl w:val="0"/>
      </w:pPr>
      <w:r>
        <w:tab/>
        <w:t xml:space="preserve">Por último, Luis Domingo Delizia, de </w:t>
      </w:r>
      <w:smartTag w:uri="urn:schemas-microsoft-com:office:smarttags" w:element="PersonName">
        <w:smartTagPr>
          <w:attr w:name="ProductID" w:val="la Direcci￳n"/>
        </w:smartTagPr>
        <w:r>
          <w:t>la Dirección</w:t>
        </w:r>
      </w:smartTag>
      <w:r>
        <w:t xml:space="preserve"> de Contrainteligencia, refirió que a los cu</w:t>
      </w:r>
      <w:r>
        <w:t>a</w:t>
      </w:r>
      <w:r>
        <w:t>tro o cinco días del atentado realizaron una búsqueda de lugares de estacionamiento para determ</w:t>
      </w:r>
      <w:r>
        <w:t>i</w:t>
      </w:r>
      <w:r>
        <w:t>nar si había habido alguna Trafic.</w:t>
      </w:r>
    </w:p>
    <w:p w:rsidR="00224567" w:rsidRDefault="00224567">
      <w:pPr>
        <w:widowControl w:val="0"/>
        <w:rPr>
          <w:rFonts w:eastAsia="Arial Unicode MS"/>
        </w:rPr>
      </w:pPr>
      <w:r>
        <w:tab/>
      </w:r>
      <w:r>
        <w:rPr>
          <w:b/>
          <w:bCs/>
        </w:rPr>
        <w:t>B.5)</w:t>
      </w:r>
      <w:r>
        <w:t xml:space="preserve"> A los testimonios reseñados se adunan las piezas incorporadas por lectura. En tal sent</w:t>
      </w:r>
      <w:r>
        <w:t>i</w:t>
      </w:r>
      <w:r>
        <w:t xml:space="preserve">do, se destaca la documentación glosada a fs. 206/208, aportada en su oportunidad por </w:t>
      </w:r>
      <w:r>
        <w:rPr>
          <w:rFonts w:eastAsia="Arial Unicode MS"/>
        </w:rPr>
        <w:t>Jorge Carlos Giser, consi</w:t>
      </w:r>
      <w:r>
        <w:rPr>
          <w:rFonts w:eastAsia="Arial Unicode MS"/>
        </w:rPr>
        <w:t>s</w:t>
      </w:r>
      <w:r>
        <w:rPr>
          <w:rFonts w:eastAsia="Arial Unicode MS"/>
        </w:rPr>
        <w:t>tente en una ficha que confeccionara en el episodio narr</w:t>
      </w:r>
      <w:r>
        <w:rPr>
          <w:rFonts w:eastAsia="Arial Unicode MS"/>
        </w:rPr>
        <w:t>a</w:t>
      </w:r>
      <w:r>
        <w:rPr>
          <w:rFonts w:eastAsia="Arial Unicode MS"/>
        </w:rPr>
        <w:t>do, un listado de vehículos ingresados a la playa y un m</w:t>
      </w:r>
      <w:r>
        <w:rPr>
          <w:rFonts w:eastAsia="Arial Unicode MS"/>
        </w:rPr>
        <w:t>o</w:t>
      </w:r>
      <w:r>
        <w:rPr>
          <w:rFonts w:eastAsia="Arial Unicode MS"/>
        </w:rPr>
        <w:t>delo de oblea como el otorgado al co</w:t>
      </w:r>
      <w:r>
        <w:rPr>
          <w:rFonts w:eastAsia="Arial Unicode MS"/>
        </w:rPr>
        <w:t>n</w:t>
      </w:r>
      <w:r>
        <w:rPr>
          <w:rFonts w:eastAsia="Arial Unicode MS"/>
        </w:rPr>
        <w:t xml:space="preserve">ductor de </w:t>
      </w:r>
      <w:smartTag w:uri="urn:schemas-microsoft-com:office:smarttags" w:element="PersonName">
        <w:smartTagPr>
          <w:attr w:name="ProductID" w:val="la Trafic."/>
        </w:smartTagPr>
        <w:r>
          <w:rPr>
            <w:rFonts w:eastAsia="Arial Unicode MS"/>
          </w:rPr>
          <w:t>la Trafic.</w:t>
        </w:r>
      </w:smartTag>
    </w:p>
    <w:p w:rsidR="00224567" w:rsidRDefault="00224567">
      <w:pPr>
        <w:widowControl w:val="0"/>
        <w:rPr>
          <w:rFonts w:eastAsia="Arial Unicode MS"/>
        </w:rPr>
      </w:pPr>
      <w:r>
        <w:rPr>
          <w:rFonts w:eastAsia="Arial Unicode MS"/>
        </w:rPr>
        <w:tab/>
        <w:t>Conforme al listado, el 15 de j</w:t>
      </w:r>
      <w:r>
        <w:rPr>
          <w:rFonts w:eastAsia="Arial Unicode MS"/>
        </w:rPr>
        <w:t>u</w:t>
      </w:r>
      <w:r>
        <w:rPr>
          <w:rFonts w:eastAsia="Arial Unicode MS"/>
        </w:rPr>
        <w:t>lio, a las 18.02, habría ingresado un vehículo cuya patente fin</w:t>
      </w:r>
      <w:r>
        <w:rPr>
          <w:rFonts w:eastAsia="Arial Unicode MS"/>
        </w:rPr>
        <w:t>a</w:t>
      </w:r>
      <w:r>
        <w:rPr>
          <w:rFonts w:eastAsia="Arial Unicode MS"/>
        </w:rPr>
        <w:t>lizaba con los números 8506.</w:t>
      </w:r>
    </w:p>
    <w:p w:rsidR="00224567" w:rsidRDefault="00224567">
      <w:pPr>
        <w:widowControl w:val="0"/>
        <w:rPr>
          <w:rFonts w:eastAsia="Arial Unicode MS"/>
        </w:rPr>
      </w:pPr>
      <w:r>
        <w:tab/>
        <w:t>De la ficha del cliente surge que brindó el nombre de Carlos Martínez, con domicilio en “H</w:t>
      </w:r>
      <w:r>
        <w:t>o</w:t>
      </w:r>
      <w:r>
        <w:t>tel Las Américas” y que el automotor era una Trafic con patente 408.506, habiendo contratado un abono de $ 100 por medio mes. Asimismo, se observa que en el casillero c</w:t>
      </w:r>
      <w:r>
        <w:t>o</w:t>
      </w:r>
      <w:r>
        <w:t xml:space="preserve">rrespondiente a la patente se halla tachado el número </w:t>
      </w:r>
      <w:r>
        <w:rPr>
          <w:rFonts w:eastAsia="Arial Unicode MS"/>
        </w:rPr>
        <w:t>11.509.709.</w:t>
      </w:r>
    </w:p>
    <w:p w:rsidR="00224567" w:rsidRDefault="00224567">
      <w:pPr>
        <w:widowControl w:val="0"/>
        <w:rPr>
          <w:rFonts w:eastAsia="Arial Unicode MS"/>
        </w:rPr>
      </w:pPr>
      <w:r>
        <w:tab/>
        <w:t>Los datos emergentes de la ficha fu</w:t>
      </w:r>
      <w:r>
        <w:t>e</w:t>
      </w:r>
      <w:r>
        <w:t>ron verificados por el Departamento Protección del Orden Constitucional, determinándose que no se hallaban regi</w:t>
      </w:r>
      <w:r>
        <w:t>s</w:t>
      </w:r>
      <w:r>
        <w:t xml:space="preserve">trados </w:t>
      </w:r>
      <w:r>
        <w:rPr>
          <w:rFonts w:eastAsia="Arial Unicode MS"/>
        </w:rPr>
        <w:t>veh</w:t>
      </w:r>
      <w:r>
        <w:rPr>
          <w:rFonts w:eastAsia="Arial Unicode MS"/>
        </w:rPr>
        <w:t>í</w:t>
      </w:r>
      <w:r>
        <w:rPr>
          <w:rFonts w:eastAsia="Arial Unicode MS"/>
        </w:rPr>
        <w:t>culos Renault o Trafic con la patente 408.506 y las letras B, C, B1, C1, B2, A, X, S, M y E, indicativos, por entonces, del lugar de radicación. Asimismo, se est</w:t>
      </w:r>
      <w:r>
        <w:rPr>
          <w:rFonts w:eastAsia="Arial Unicode MS"/>
        </w:rPr>
        <w:t>a</w:t>
      </w:r>
      <w:r>
        <w:rPr>
          <w:rFonts w:eastAsia="Arial Unicode MS"/>
        </w:rPr>
        <w:t>bleció que el nº 11.509.709 correspondía a la cédula de identidad de Tomás David Lorenz, en cuyo legajo figuraba como referencia Carlos Alejandro Martínez, titular de la cédula nº 11.509.720, en tanto que el primero constaba c</w:t>
      </w:r>
      <w:r>
        <w:rPr>
          <w:rFonts w:eastAsia="Arial Unicode MS"/>
        </w:rPr>
        <w:t>o</w:t>
      </w:r>
      <w:r>
        <w:rPr>
          <w:rFonts w:eastAsia="Arial Unicode MS"/>
        </w:rPr>
        <w:t xml:space="preserve">mo referencia de éste </w:t>
      </w:r>
      <w:r>
        <w:t xml:space="preserve">(cónf. constancias de fs. </w:t>
      </w:r>
      <w:r>
        <w:rPr>
          <w:rFonts w:eastAsia="Arial Unicode MS"/>
        </w:rPr>
        <w:t>214 y 339).</w:t>
      </w:r>
    </w:p>
    <w:p w:rsidR="00224567" w:rsidRDefault="00224567">
      <w:pPr>
        <w:widowControl w:val="0"/>
      </w:pPr>
      <w:r>
        <w:rPr>
          <w:rFonts w:eastAsia="Arial Unicode MS"/>
        </w:rPr>
        <w:tab/>
        <w:t xml:space="preserve">Por su parte, el Departamento Unidad de Investigación Antiterrorista informó a </w:t>
      </w:r>
      <w:r>
        <w:t>fs. 77.612/77.619 que el Documento Nacional de Identidad nº 11.509.709 correspo</w:t>
      </w:r>
      <w:r>
        <w:t>n</w:t>
      </w:r>
      <w:r>
        <w:t>día a María de los Ángeles Jiménez.</w:t>
      </w:r>
    </w:p>
    <w:p w:rsidR="00224567" w:rsidRDefault="00224567">
      <w:pPr>
        <w:widowControl w:val="0"/>
      </w:pPr>
      <w:r>
        <w:tab/>
        <w:t xml:space="preserve">En el mismo sentido, a fs. 974/975 </w:t>
      </w:r>
      <w:smartTag w:uri="urn:schemas-microsoft-com:office:smarttags" w:element="PersonName">
        <w:smartTagPr>
          <w:attr w:name="ProductID" w:val="la S.I"/>
        </w:smartTagPr>
        <w:r>
          <w:t>la S.I</w:t>
        </w:r>
      </w:smartTag>
      <w:r>
        <w:t>.D.E. informó que el número consignado en la b</w:t>
      </w:r>
      <w:r>
        <w:t>o</w:t>
      </w:r>
      <w:r>
        <w:t>leta del estacionamiento, como Documento Nacional de Identidad, pertenecía a una mujer, en tanto que, como cédula de ide</w:t>
      </w:r>
      <w:r>
        <w:t>n</w:t>
      </w:r>
      <w:r>
        <w:t>tidad, correspondía a Tomás David Lorenz, respecto de quien se estableció que estaba vinculado a Carlos Aleja</w:t>
      </w:r>
      <w:r>
        <w:t>n</w:t>
      </w:r>
      <w:r>
        <w:t>dro Ma</w:t>
      </w:r>
      <w:r>
        <w:t>r</w:t>
      </w:r>
      <w:r>
        <w:t>tínez.</w:t>
      </w:r>
    </w:p>
    <w:p w:rsidR="00224567" w:rsidRDefault="00224567">
      <w:pPr>
        <w:widowControl w:val="0"/>
        <w:rPr>
          <w:rFonts w:eastAsia="Arial Unicode MS"/>
        </w:rPr>
      </w:pPr>
      <w:r>
        <w:rPr>
          <w:rFonts w:eastAsia="Arial Unicode MS"/>
        </w:rPr>
        <w:tab/>
        <w:t>A fs. 857/859 del legajo de instru</w:t>
      </w:r>
      <w:r>
        <w:rPr>
          <w:rFonts w:eastAsia="Arial Unicode MS"/>
        </w:rPr>
        <w:t>c</w:t>
      </w:r>
      <w:r>
        <w:rPr>
          <w:rFonts w:eastAsia="Arial Unicode MS"/>
        </w:rPr>
        <w:t xml:space="preserve">ción suplementaria obra la información relativa a los vehículo Renault Trafic registrados a 1994, cuyos últimos números de dominio fueran 8506, remitiendo </w:t>
      </w:r>
      <w:smartTag w:uri="urn:schemas-microsoft-com:office:smarttags" w:element="PersonName">
        <w:smartTagPr>
          <w:attr w:name="ProductID" w:val="la Direcci￳n Nacional"/>
        </w:smartTagPr>
        <w:r>
          <w:rPr>
            <w:rFonts w:eastAsia="Arial Unicode MS"/>
          </w:rPr>
          <w:t>la Dirección Nacional</w:t>
        </w:r>
      </w:smartTag>
      <w:r>
        <w:rPr>
          <w:rFonts w:eastAsia="Arial Unicode MS"/>
        </w:rPr>
        <w:t xml:space="preserve"> de los Registros Nacionales de </w:t>
      </w:r>
      <w:smartTag w:uri="urn:schemas-microsoft-com:office:smarttags" w:element="PersonName">
        <w:smartTagPr>
          <w:attr w:name="ProductID" w:val="la Propiedad Automotor"/>
        </w:smartTagPr>
        <w:r>
          <w:rPr>
            <w:rFonts w:eastAsia="Arial Unicode MS"/>
          </w:rPr>
          <w:t>la Propiedad Aut</w:t>
        </w:r>
        <w:r>
          <w:rPr>
            <w:rFonts w:eastAsia="Arial Unicode MS"/>
          </w:rPr>
          <w:t>o</w:t>
        </w:r>
        <w:r>
          <w:rPr>
            <w:rFonts w:eastAsia="Arial Unicode MS"/>
          </w:rPr>
          <w:t>motor</w:t>
        </w:r>
      </w:smartTag>
      <w:r>
        <w:rPr>
          <w:rFonts w:eastAsia="Arial Unicode MS"/>
        </w:rPr>
        <w:t xml:space="preserve"> y Créditos Prendarios un listado con ocho rodados que reunían esas características, incluido el de la fi</w:t>
      </w:r>
      <w:r>
        <w:rPr>
          <w:rFonts w:eastAsia="Arial Unicode MS"/>
        </w:rPr>
        <w:t>r</w:t>
      </w:r>
      <w:r>
        <w:rPr>
          <w:rFonts w:eastAsia="Arial Unicode MS"/>
        </w:rPr>
        <w:t>ma “Messin”.</w:t>
      </w:r>
    </w:p>
    <w:p w:rsidR="00224567" w:rsidRDefault="00224567">
      <w:pPr>
        <w:widowControl w:val="0"/>
      </w:pPr>
      <w:r>
        <w:rPr>
          <w:rFonts w:eastAsia="Arial Unicode MS"/>
        </w:rPr>
        <w:tab/>
        <w:t xml:space="preserve">Asimismo, </w:t>
      </w:r>
      <w:r>
        <w:t>Néstor Eduardo Lucas y Ama</w:t>
      </w:r>
      <w:r>
        <w:t>n</w:t>
      </w:r>
      <w:r>
        <w:t>da Pinto</w:t>
      </w:r>
      <w:r>
        <w:rPr>
          <w:rFonts w:eastAsia="Arial Unicode MS"/>
        </w:rPr>
        <w:t xml:space="preserve"> practicaron un </w:t>
      </w:r>
      <w:r>
        <w:t>peritaje caligráfico sobre la f</w:t>
      </w:r>
      <w:r>
        <w:t>i</w:t>
      </w:r>
      <w:r>
        <w:t>cha referida, concluyendo que las grafías corre</w:t>
      </w:r>
      <w:r>
        <w:t>s</w:t>
      </w:r>
      <w:r>
        <w:t>pondían al mismo puño y letra –anverso y reverso-, que también se c</w:t>
      </w:r>
      <w:r>
        <w:t>o</w:t>
      </w:r>
      <w:r>
        <w:t>rrespondían con lo escrito en otras fichas del estacion</w:t>
      </w:r>
      <w:r>
        <w:t>a</w:t>
      </w:r>
      <w:r>
        <w:t>miento y que la escritura que se encontraba debajo del l</w:t>
      </w:r>
      <w:r>
        <w:t>í</w:t>
      </w:r>
      <w:r>
        <w:t>quido borrador era “X A S M”. A su vez, determinaron que las grafías no se identificaban con las de la copia carb</w:t>
      </w:r>
      <w:r>
        <w:t>ó</w:t>
      </w:r>
      <w:r>
        <w:t xml:space="preserve">nica del boleto de compraventa de </w:t>
      </w:r>
      <w:smartTag w:uri="urn:schemas-microsoft-com:office:smarttags" w:element="PersonName">
        <w:smartTagPr>
          <w:attr w:name="ProductID" w:val="la Trafic"/>
        </w:smartTagPr>
        <w:r>
          <w:t>la Trafic</w:t>
        </w:r>
      </w:smartTag>
      <w:r>
        <w:t xml:space="preserve"> de f</w:t>
      </w:r>
      <w:r>
        <w:t>e</w:t>
      </w:r>
      <w:r>
        <w:t>cha 10 de julio de 1994 (cónf. fs. 77.922/77.925).</w:t>
      </w:r>
    </w:p>
    <w:p w:rsidR="00224567" w:rsidRDefault="00224567">
      <w:pPr>
        <w:widowControl w:val="0"/>
        <w:rPr>
          <w:rFonts w:eastAsia="Arial Unicode MS"/>
        </w:rPr>
      </w:pPr>
      <w:r>
        <w:tab/>
        <w:t>A modo ilustrativo, a fs. 80.477/80.630 se glosaron copias de diversas fichas de clientes de la playa de estacionamiento en cue</w:t>
      </w:r>
      <w:r>
        <w:t>s</w:t>
      </w:r>
      <w:r>
        <w:t>tión.</w:t>
      </w:r>
    </w:p>
    <w:p w:rsidR="00224567" w:rsidRDefault="00224567">
      <w:pPr>
        <w:widowControl w:val="0"/>
      </w:pPr>
      <w:r>
        <w:tab/>
        <w:t xml:space="preserve">Por otra parte, a fs. 20 del anexo con </w:t>
      </w:r>
      <w:r>
        <w:rPr>
          <w:u w:val="single"/>
        </w:rPr>
        <w:t>photo-fits</w:t>
      </w:r>
      <w:r>
        <w:t xml:space="preserve"> confeccionados por </w:t>
      </w:r>
      <w:smartTag w:uri="urn:schemas-microsoft-com:office:smarttags" w:element="PersonName">
        <w:smartTagPr>
          <w:attr w:name="ProductID" w:val="la Divisi￳n Scopometr￭a"/>
        </w:smartTagPr>
        <w:r>
          <w:t>la División Scopometría</w:t>
        </w:r>
      </w:smartTag>
      <w:r>
        <w:t xml:space="preserve"> de </w:t>
      </w:r>
      <w:smartTag w:uri="urn:schemas-microsoft-com:office:smarttags" w:element="PersonName">
        <w:smartTagPr>
          <w:attr w:name="ProductID" w:val="la Polic￭a Federal"/>
        </w:smartTagPr>
        <w:r>
          <w:t>la Policía Federal</w:t>
        </w:r>
      </w:smartTag>
      <w:r>
        <w:t xml:space="preserve"> Argentina, que corre por cuerda, se e</w:t>
      </w:r>
      <w:r>
        <w:t>n</w:t>
      </w:r>
      <w:r>
        <w:t>cuentra agregado el elaborado en base a los datos aport</w:t>
      </w:r>
      <w:r>
        <w:t>a</w:t>
      </w:r>
      <w:r>
        <w:t>dos por Elena Schargorodsky y Ca</w:t>
      </w:r>
      <w:r>
        <w:t>r</w:t>
      </w:r>
      <w:r>
        <w:t>los Giser.</w:t>
      </w:r>
    </w:p>
    <w:p w:rsidR="00224567" w:rsidRDefault="00224567">
      <w:pPr>
        <w:widowControl w:val="0"/>
      </w:pPr>
      <w:r>
        <w:tab/>
        <w:t>A su vez, a fs. 66.867/66.873 y 66.877/66.883 obran fotografías que ilustran acerca de la playa de estacionamiento y a fs. 66.876 y 66.898 se e</w:t>
      </w:r>
      <w:r>
        <w:t>n</w:t>
      </w:r>
      <w:r>
        <w:t>cuentran glosados gráficos del lugar, todos apo</w:t>
      </w:r>
      <w:r>
        <w:t>r</w:t>
      </w:r>
      <w:r>
        <w:t>tados por el Departamento Unidad de Investigación Antiterr</w:t>
      </w:r>
      <w:r>
        <w:t>o</w:t>
      </w:r>
      <w:r>
        <w:t>rista. Se adunan las copias de fotografías agregadas a fs. 78.708/78.710.</w:t>
      </w:r>
    </w:p>
    <w:p w:rsidR="00224567" w:rsidRDefault="00224567">
      <w:pPr>
        <w:widowControl w:val="0"/>
      </w:pPr>
      <w:r>
        <w:tab/>
      </w:r>
      <w:r>
        <w:rPr>
          <w:b/>
          <w:bCs/>
        </w:rPr>
        <w:t xml:space="preserve">C) </w:t>
      </w:r>
      <w:r>
        <w:t>En otro orden, Fabián Alfredo Bu</w:t>
      </w:r>
      <w:r>
        <w:t>s</w:t>
      </w:r>
      <w:r>
        <w:t>tos, encargado del estacionamiento del “Sanatorio Ot</w:t>
      </w:r>
      <w:r>
        <w:t>a</w:t>
      </w:r>
      <w:r>
        <w:t>mendi y Miroli S.A.”, sito en Azcuénaga 850/64 de esta ciudad, relató un episodio ocurrido en esa pl</w:t>
      </w:r>
      <w:r>
        <w:t>a</w:t>
      </w:r>
      <w:r>
        <w:t>ya el viernes 15 de julio de 1994. Explicó que ese viernes, cerca del medi</w:t>
      </w:r>
      <w:r>
        <w:t>o</w:t>
      </w:r>
      <w:r>
        <w:t>día, un individuo pretendió estacionar hasta las primeras horas del lunes siguiente y en un lugar donde no fuera vista desde la calle, una camioneta Trafic, dejándola c</w:t>
      </w:r>
      <w:r>
        <w:t>e</w:t>
      </w:r>
      <w:r>
        <w:t>rrada con llave. Indicó que mantuvo con el conductor una conversación de diez o quince minutos, en la que intentó explicarle que resultaba imposible, ya que la a</w:t>
      </w:r>
      <w:r>
        <w:t>l</w:t>
      </w:r>
      <w:r>
        <w:t>tura de la losa no permitía el paso de la camioneta, dado que tenía un porta-equipajes de hierro que la hacía más alta que otros utilitarios de ese m</w:t>
      </w:r>
      <w:r>
        <w:t>o</w:t>
      </w:r>
      <w:r>
        <w:t>delo.</w:t>
      </w:r>
    </w:p>
    <w:p w:rsidR="00224567" w:rsidRDefault="00224567">
      <w:pPr>
        <w:widowControl w:val="0"/>
      </w:pPr>
      <w:r>
        <w:tab/>
        <w:t>Recordó que pese a sus explicaciones el conductor descendió del vehículo en el playón de ingr</w:t>
      </w:r>
      <w:r>
        <w:t>e</w:t>
      </w:r>
      <w:r>
        <w:t>so e insistió en estacionarlo allí, ofreciéndole i</w:t>
      </w:r>
      <w:r>
        <w:t>n</w:t>
      </w:r>
      <w:r>
        <w:t xml:space="preserve">cluso $ </w:t>
      </w:r>
      <w:smartTag w:uri="urn:schemas-microsoft-com:office:smarttags" w:element="metricconverter">
        <w:smartTagPr>
          <w:attr w:name="ProductID" w:val="100 a"/>
        </w:smartTagPr>
        <w:r>
          <w:t>100 a</w:t>
        </w:r>
      </w:smartTag>
      <w:r>
        <w:t xml:space="preserve"> cambio, cuando el valor de la estadía era de $ 18. Puntualizó que el techo estaba a </w:t>
      </w:r>
      <w:smartTag w:uri="urn:schemas-microsoft-com:office:smarttags" w:element="metricconverter">
        <w:smartTagPr>
          <w:attr w:name="ProductID" w:val="2,10 m"/>
        </w:smartTagPr>
        <w:r>
          <w:t>2,10 m</w:t>
        </w:r>
      </w:smartTag>
      <w:r>
        <w:t xml:space="preserve"> de altura, en ta</w:t>
      </w:r>
      <w:r>
        <w:t>n</w:t>
      </w:r>
      <w:r>
        <w:t>to la camioneta m</w:t>
      </w:r>
      <w:r>
        <w:t>e</w:t>
      </w:r>
      <w:r>
        <w:t xml:space="preserve">día más de </w:t>
      </w:r>
      <w:smartTag w:uri="urn:schemas-microsoft-com:office:smarttags" w:element="metricconverter">
        <w:smartTagPr>
          <w:attr w:name="ProductID" w:val="2,20 m"/>
        </w:smartTagPr>
        <w:r>
          <w:t>2,20 m</w:t>
        </w:r>
      </w:smartTag>
      <w:r>
        <w:t>; datos que precisó por cuanto, s</w:t>
      </w:r>
      <w:r>
        <w:t>e</w:t>
      </w:r>
      <w:r>
        <w:t>gún dijo, mandó a comprar una cinta métrica para convencerlo de tal extremo, sugiriéndole a su vez que la estacionara en Azcuénaga y Viamonte o frente al Hospital de Clín</w:t>
      </w:r>
      <w:r>
        <w:t>i</w:t>
      </w:r>
      <w:r>
        <w:t>cas.</w:t>
      </w:r>
    </w:p>
    <w:p w:rsidR="00224567" w:rsidRDefault="00224567">
      <w:pPr>
        <w:widowControl w:val="0"/>
      </w:pPr>
      <w:r>
        <w:tab/>
        <w:t xml:space="preserve">Precisó que </w:t>
      </w:r>
      <w:smartTag w:uri="urn:schemas-microsoft-com:office:smarttags" w:element="PersonName">
        <w:smartTagPr>
          <w:attr w:name="ProductID" w:val="la Trafic"/>
        </w:smartTagPr>
        <w:r>
          <w:t>la Trafic</w:t>
        </w:r>
      </w:smartTag>
      <w:r>
        <w:t xml:space="preserve"> era blanca y de furgón corto, desconociendo si poseía puerta lateral. Ad</w:t>
      </w:r>
      <w:r>
        <w:t>u</w:t>
      </w:r>
      <w:r>
        <w:t>nó que no estaba chocada ni tenía inscripciones o calcom</w:t>
      </w:r>
      <w:r>
        <w:t>a</w:t>
      </w:r>
      <w:r>
        <w:t>nías, no tomándole el número de patente, ya que esa oper</w:t>
      </w:r>
      <w:r>
        <w:t>a</w:t>
      </w:r>
      <w:r>
        <w:t>ción se hacía tras el acuerdo.</w:t>
      </w:r>
    </w:p>
    <w:p w:rsidR="00224567" w:rsidRDefault="00224567">
      <w:pPr>
        <w:widowControl w:val="0"/>
      </w:pPr>
      <w:r>
        <w:tab/>
        <w:t>Con relación al sujeto que la cond</w:t>
      </w:r>
      <w:r>
        <w:t>u</w:t>
      </w:r>
      <w:r>
        <w:t>cía, estimó que tendría más de treinta años, vestido de elegante sport y lucía una barba prolija, tipo candado, aunque no supo decir si usaba bigotes. Si bien Bustos dijo no dominar idiomas extranjeros, observó que su interloc</w:t>
      </w:r>
      <w:r>
        <w:t>u</w:t>
      </w:r>
      <w:r>
        <w:t>tor, pese a manejar corre</w:t>
      </w:r>
      <w:r>
        <w:t>c</w:t>
      </w:r>
      <w:r>
        <w:t>tamente el castellano, tenía un acento foráneo, p</w:t>
      </w:r>
      <w:r>
        <w:t>u</w:t>
      </w:r>
      <w:r>
        <w:t>diendo ser árabe o iraní.</w:t>
      </w:r>
    </w:p>
    <w:p w:rsidR="00224567" w:rsidRDefault="00224567">
      <w:pPr>
        <w:widowControl w:val="0"/>
      </w:pPr>
      <w:r>
        <w:tab/>
        <w:t>Señaló, además, que para esa ép</w:t>
      </w:r>
      <w:r>
        <w:t>o</w:t>
      </w:r>
      <w:r>
        <w:t>ca la playa contaba con una cámara de filmación, dirigida al sector de ingreso de los automóviles, por lo que regi</w:t>
      </w:r>
      <w:r>
        <w:t>s</w:t>
      </w:r>
      <w:r>
        <w:t>tró íntegramente lo sucedido. En tal sentido, asev</w:t>
      </w:r>
      <w:r>
        <w:t>e</w:t>
      </w:r>
      <w:r>
        <w:t xml:space="preserve">ró que unos días después del atentado concurrió a la playa personal que dijo ser de </w:t>
      </w:r>
      <w:smartTag w:uri="urn:schemas-microsoft-com:office:smarttags" w:element="PersonName">
        <w:smartTagPr>
          <w:attr w:name="ProductID" w:val="la S.I"/>
        </w:smartTagPr>
        <w:r>
          <w:t>la S.I</w:t>
        </w:r>
      </w:smartTag>
      <w:r>
        <w:t>.D.E., quienes le indicaron que lo citarían para declarar y que debía conc</w:t>
      </w:r>
      <w:r>
        <w:t>u</w:t>
      </w:r>
      <w:r>
        <w:t>rrir con el video, aunque en ese momento no quisieron verlo. Agregó que co</w:t>
      </w:r>
      <w:r>
        <w:t>n</w:t>
      </w:r>
      <w:r>
        <w:t>servó la cinta durante uno o dos años y, ante la falta de citación, finalmente la reutilizó; también apuntó que cuando le comentó esa circunstancia al magistrado instru</w:t>
      </w:r>
      <w:r>
        <w:t>c</w:t>
      </w:r>
      <w:r>
        <w:t>tor, éste “se agarró la c</w:t>
      </w:r>
      <w:r>
        <w:t>a</w:t>
      </w:r>
      <w:r>
        <w:t>beza”.</w:t>
      </w:r>
    </w:p>
    <w:p w:rsidR="00224567" w:rsidRDefault="00224567">
      <w:pPr>
        <w:widowControl w:val="0"/>
      </w:pPr>
      <w:r>
        <w:tab/>
        <w:t xml:space="preserve">Los funcionarios de </w:t>
      </w:r>
      <w:smartTag w:uri="urn:schemas-microsoft-com:office:smarttags" w:element="PersonName">
        <w:smartTagPr>
          <w:attr w:name="ProductID" w:val="la S.I"/>
        </w:smartTagPr>
        <w:r>
          <w:t>la S.I</w:t>
        </w:r>
      </w:smartTag>
      <w:r>
        <w:t>.D.E. Jorge Luis Lucas y Horacio Antonio Stiuso fueron inte</w:t>
      </w:r>
      <w:r>
        <w:t>r</w:t>
      </w:r>
      <w:r>
        <w:t>rogados en torno a las circunstancias relatadas por Bustos.</w:t>
      </w:r>
    </w:p>
    <w:p w:rsidR="00224567" w:rsidRDefault="00224567">
      <w:pPr>
        <w:widowControl w:val="0"/>
      </w:pPr>
      <w:r>
        <w:tab/>
        <w:t>Así, Jorge Luis Lucas admitió haber sido informado del intento de guardar una camioneta Tr</w:t>
      </w:r>
      <w:r>
        <w:t>a</w:t>
      </w:r>
      <w:r>
        <w:t>fic, creía que en la playa contigua al “Sanatorio Otame</w:t>
      </w:r>
      <w:r>
        <w:t>n</w:t>
      </w:r>
      <w:r>
        <w:t>di”, pero que no pudo hacerlo por problemas de altura, no recordando que le hayan mencionado la existencia de un v</w:t>
      </w:r>
      <w:r>
        <w:t>i</w:t>
      </w:r>
      <w:r>
        <w:t>deo.</w:t>
      </w:r>
    </w:p>
    <w:p w:rsidR="00224567" w:rsidRDefault="00224567">
      <w:pPr>
        <w:widowControl w:val="0"/>
      </w:pPr>
      <w:r>
        <w:tab/>
        <w:t>Por su parte, Horacio Antonio Stiuso relató que el jefe de seguridad de “Medicus” refirió que se comentaba que el conductor de un utilitario había qu</w:t>
      </w:r>
      <w:r>
        <w:t>e</w:t>
      </w:r>
      <w:r>
        <w:t>rido estacionar también al lado del “Sanatorio Otame</w:t>
      </w:r>
      <w:r>
        <w:t>n</w:t>
      </w:r>
      <w:r>
        <w:t>di” y que Giser, uno de los responsables de “Jet Parking” ta</w:t>
      </w:r>
      <w:r>
        <w:t>m</w:t>
      </w:r>
      <w:r>
        <w:t>bién contó que el encargado de esa playa le dijo que h</w:t>
      </w:r>
      <w:r>
        <w:t>a</w:t>
      </w:r>
      <w:r>
        <w:t>bían querido estacionar allí la camioneta, pero no daba la altura. Aseveró que, por entonces, nadie comentó la exi</w:t>
      </w:r>
      <w:r>
        <w:t>s</w:t>
      </w:r>
      <w:r>
        <w:t>tencia de un video.</w:t>
      </w:r>
    </w:p>
    <w:p w:rsidR="00224567" w:rsidRDefault="00224567">
      <w:pPr>
        <w:widowControl w:val="0"/>
      </w:pPr>
      <w:r>
        <w:tab/>
        <w:t>A fs. 78.659/78.685 obran copias de fotografías de la playa de estacionamiento del “Sanat</w:t>
      </w:r>
      <w:r>
        <w:t>o</w:t>
      </w:r>
      <w:r>
        <w:t>rio Otamendi” y a 78.688/78.690 se encuentran glosadas c</w:t>
      </w:r>
      <w:r>
        <w:t>o</w:t>
      </w:r>
      <w:r>
        <w:t>pias de un plano del lugar.</w:t>
      </w:r>
    </w:p>
    <w:p w:rsidR="00224567" w:rsidRDefault="00224567">
      <w:pPr>
        <w:widowControl w:val="0"/>
      </w:pPr>
      <w:r>
        <w:tab/>
      </w:r>
      <w:r>
        <w:rPr>
          <w:b/>
          <w:bCs/>
        </w:rPr>
        <w:t xml:space="preserve">D) </w:t>
      </w:r>
      <w:r>
        <w:t>Sin perjuicio de que el episodio relatado por Bustos resulta cuanto menos llamativo, no existen elementos que permitan sostener, con certeza, que se vinculó con aquel que tuvo lugar ese mismo día en “Jet Parking”; ello por cuanto, si bien se presentan algunas coincidencias entre ambos -los dos versan sobre camionetas Trafic y sus co</w:t>
      </w:r>
      <w:r>
        <w:t>n</w:t>
      </w:r>
      <w:r>
        <w:t>ductores presentaban un acento extranjero- los restantes datos no permiten aseverar que se tratara del mismo r</w:t>
      </w:r>
      <w:r>
        <w:t>o</w:t>
      </w:r>
      <w:r>
        <w:t>dado.</w:t>
      </w:r>
    </w:p>
    <w:p w:rsidR="00224567" w:rsidRDefault="00224567">
      <w:pPr>
        <w:widowControl w:val="0"/>
      </w:pPr>
      <w:r>
        <w:tab/>
        <w:t>En ese sentido, Bustos declaró que el suceso ocurrió en horas del mediodía, en tanto del li</w:t>
      </w:r>
      <w:r>
        <w:t>s</w:t>
      </w:r>
      <w:r>
        <w:t xml:space="preserve">tado de vehículos del estacionamiento “Jet Parking” surge que </w:t>
      </w:r>
      <w:smartTag w:uri="urn:schemas-microsoft-com:office:smarttags" w:element="PersonName">
        <w:smartTagPr>
          <w:attr w:name="ProductID" w:val="la Trafic"/>
        </w:smartTagPr>
        <w:r>
          <w:t>la Trafic</w:t>
        </w:r>
      </w:smartTag>
      <w:r>
        <w:t xml:space="preserve"> ingresó a las 18.02, lo que se complementa con los testimonios de Díaz, Giser y Scharg</w:t>
      </w:r>
      <w:r>
        <w:t>o</w:t>
      </w:r>
      <w:r>
        <w:t>rodsky en el mismo sent</w:t>
      </w:r>
      <w:r>
        <w:t>i</w:t>
      </w:r>
      <w:r>
        <w:t>do.</w:t>
      </w:r>
    </w:p>
    <w:p w:rsidR="00224567" w:rsidRDefault="00224567">
      <w:pPr>
        <w:widowControl w:val="0"/>
      </w:pPr>
      <w:r>
        <w:tab/>
        <w:t>A ello debe añadirse que Bustos aseg</w:t>
      </w:r>
      <w:r>
        <w:t>u</w:t>
      </w:r>
      <w:r>
        <w:t>ró que lo que impedía el ingreso de la camioneta al est</w:t>
      </w:r>
      <w:r>
        <w:t>a</w:t>
      </w:r>
      <w:r>
        <w:t>cionamiento era su altura, por cuanto p</w:t>
      </w:r>
      <w:r>
        <w:t>o</w:t>
      </w:r>
      <w:r>
        <w:t>seía un porta-equipajes de hierro; circunstancia no mencionada por ni</w:t>
      </w:r>
      <w:r>
        <w:t>n</w:t>
      </w:r>
      <w:r>
        <w:t>guno de los empleados de “Jet Parking”. Fina</w:t>
      </w:r>
      <w:r>
        <w:t>l</w:t>
      </w:r>
      <w:r>
        <w:t>mente, aquél recordó que su interlocutor lucía un barba prolija, tipo candado, en tanto Díaz y Schargorodsky no hicieron al</w:t>
      </w:r>
      <w:r>
        <w:t>u</w:t>
      </w:r>
      <w:r>
        <w:t>sión a tal rasgo y, por su parte, Giser fue más contundente y aseveró que no usaba barba ni bigote.</w:t>
      </w:r>
    </w:p>
    <w:p w:rsidR="00224567" w:rsidRDefault="00224567">
      <w:pPr>
        <w:widowControl w:val="0"/>
      </w:pPr>
      <w:r>
        <w:tab/>
      </w:r>
      <w:r>
        <w:rPr>
          <w:b/>
          <w:bCs/>
        </w:rPr>
        <w:t>E)</w:t>
      </w:r>
      <w:r>
        <w:t xml:space="preserve"> Por otra parte, si bien es cierto que, a primera vista, determinados elementos parecerían hacer coincidir la camioneta que se estacionó en “Jet  Parking” con la utilizada como cochebomba, no lo es m</w:t>
      </w:r>
      <w:r>
        <w:t>e</w:t>
      </w:r>
      <w:r>
        <w:t>nos que, tras el debate, el Tribunal no cuenta con ev</w:t>
      </w:r>
      <w:r>
        <w:t>i</w:t>
      </w:r>
      <w:r>
        <w:t>dencias concluyentes que aut</w:t>
      </w:r>
      <w:r>
        <w:t>o</w:t>
      </w:r>
      <w:r>
        <w:t>ricen a afirmar, fuera de toda duda, que se trató del mismo vehículo; ello por cuanto no fue posible esclarecer, en todos sus aspectos, el episodio ocurrido en la playa de estacionamiento ni tampoco vinc</w:t>
      </w:r>
      <w:r>
        <w:t>u</w:t>
      </w:r>
      <w:r>
        <w:t>lar directamente a éste con el ate</w:t>
      </w:r>
      <w:r>
        <w:t>n</w:t>
      </w:r>
      <w:r>
        <w:t>tado.</w:t>
      </w:r>
    </w:p>
    <w:p w:rsidR="00224567" w:rsidRDefault="00224567">
      <w:pPr>
        <w:widowControl w:val="0"/>
        <w:rPr>
          <w:rFonts w:eastAsia="Arial Unicode MS"/>
          <w:spacing w:val="-3"/>
        </w:rPr>
      </w:pPr>
      <w:r>
        <w:rPr>
          <w:rFonts w:eastAsia="Arial Unicode MS"/>
          <w:spacing w:val="-3"/>
        </w:rPr>
        <w:tab/>
        <w:t>En efecto, de las declaraciones test</w:t>
      </w:r>
      <w:r>
        <w:rPr>
          <w:rFonts w:eastAsia="Arial Unicode MS"/>
          <w:spacing w:val="-3"/>
        </w:rPr>
        <w:t>i</w:t>
      </w:r>
      <w:r>
        <w:rPr>
          <w:rFonts w:eastAsia="Arial Unicode MS"/>
          <w:spacing w:val="-3"/>
        </w:rPr>
        <w:t>moniales rendidas y demás constancias incorporadas por le</w:t>
      </w:r>
      <w:r>
        <w:rPr>
          <w:rFonts w:eastAsia="Arial Unicode MS"/>
          <w:spacing w:val="-3"/>
        </w:rPr>
        <w:t>c</w:t>
      </w:r>
      <w:r>
        <w:rPr>
          <w:rFonts w:eastAsia="Arial Unicode MS"/>
          <w:spacing w:val="-3"/>
        </w:rPr>
        <w:t xml:space="preserve">tura, no surgen datos que permitan determinar la fecha u horario en que </w:t>
      </w:r>
      <w:smartTag w:uri="urn:schemas-microsoft-com:office:smarttags" w:element="PersonName">
        <w:smartTagPr>
          <w:attr w:name="ProductID" w:val="la Trafic"/>
        </w:smartTagPr>
        <w:r>
          <w:rPr>
            <w:rFonts w:eastAsia="Arial Unicode MS"/>
            <w:spacing w:val="-3"/>
          </w:rPr>
          <w:t>la Trafic</w:t>
        </w:r>
      </w:smartTag>
      <w:r>
        <w:rPr>
          <w:rFonts w:eastAsia="Arial Unicode MS"/>
          <w:spacing w:val="-3"/>
        </w:rPr>
        <w:t xml:space="preserve"> dejó la playa de Azcuénaga y Par</w:t>
      </w:r>
      <w:r>
        <w:rPr>
          <w:rFonts w:eastAsia="Arial Unicode MS"/>
          <w:spacing w:val="-3"/>
        </w:rPr>
        <w:t>a</w:t>
      </w:r>
      <w:r>
        <w:rPr>
          <w:rFonts w:eastAsia="Arial Unicode MS"/>
          <w:spacing w:val="-3"/>
        </w:rPr>
        <w:t>guay; extremo que imposibilita obtener mayor información acerca de su destino y, por ende, vincularlo directamente con el momento de la explosión. También resultaron vanos los intentos de establecer la identidad del conductor del rodado.</w:t>
      </w:r>
    </w:p>
    <w:p w:rsidR="00224567" w:rsidRDefault="00224567">
      <w:pPr>
        <w:widowControl w:val="0"/>
        <w:rPr>
          <w:rFonts w:eastAsia="Arial Unicode MS"/>
          <w:spacing w:val="-3"/>
        </w:rPr>
      </w:pPr>
      <w:r>
        <w:rPr>
          <w:rFonts w:eastAsia="Arial Unicode MS"/>
          <w:spacing w:val="-3"/>
        </w:rPr>
        <w:tab/>
        <w:t>Además, los empleados del lugar, al describir el utilitario, no brindaron datos distint</w:t>
      </w:r>
      <w:r>
        <w:rPr>
          <w:rFonts w:eastAsia="Arial Unicode MS"/>
          <w:spacing w:val="-3"/>
        </w:rPr>
        <w:t>i</w:t>
      </w:r>
      <w:r>
        <w:rPr>
          <w:rFonts w:eastAsia="Arial Unicode MS"/>
          <w:spacing w:val="-3"/>
        </w:rPr>
        <w:t>vos; en su mayoría, no supieron decir si pr</w:t>
      </w:r>
      <w:r>
        <w:rPr>
          <w:rFonts w:eastAsia="Arial Unicode MS"/>
          <w:spacing w:val="-3"/>
        </w:rPr>
        <w:t>e</w:t>
      </w:r>
      <w:r>
        <w:rPr>
          <w:rFonts w:eastAsia="Arial Unicode MS"/>
          <w:spacing w:val="-3"/>
        </w:rPr>
        <w:t>sentaba puerta lateral, con e</w:t>
      </w:r>
      <w:r>
        <w:rPr>
          <w:rFonts w:eastAsia="Arial Unicode MS"/>
          <w:spacing w:val="-3"/>
        </w:rPr>
        <w:t>x</w:t>
      </w:r>
      <w:r>
        <w:rPr>
          <w:rFonts w:eastAsia="Arial Unicode MS"/>
          <w:spacing w:val="-3"/>
        </w:rPr>
        <w:t>cepción de Giser, que afirmó que carecía de ella. Al respecto, se debe r</w:t>
      </w:r>
      <w:r>
        <w:rPr>
          <w:rFonts w:eastAsia="Arial Unicode MS"/>
          <w:spacing w:val="-3"/>
        </w:rPr>
        <w:t>e</w:t>
      </w:r>
      <w:r>
        <w:rPr>
          <w:rFonts w:eastAsia="Arial Unicode MS"/>
          <w:spacing w:val="-3"/>
        </w:rPr>
        <w:t>cordar que el vehículo utilizado en la explosión la tenía, tal como lo indican los restos hallados entre los escombros, reconocidos por los técnicos de “R</w:t>
      </w:r>
      <w:r>
        <w:rPr>
          <w:rFonts w:eastAsia="Arial Unicode MS"/>
          <w:spacing w:val="-3"/>
        </w:rPr>
        <w:t>e</w:t>
      </w:r>
      <w:r>
        <w:rPr>
          <w:rFonts w:eastAsia="Arial Unicode MS"/>
          <w:spacing w:val="-3"/>
        </w:rPr>
        <w:t>nault A</w:t>
      </w:r>
      <w:r>
        <w:rPr>
          <w:rFonts w:eastAsia="Arial Unicode MS"/>
          <w:spacing w:val="-3"/>
        </w:rPr>
        <w:t>r</w:t>
      </w:r>
      <w:r>
        <w:rPr>
          <w:rFonts w:eastAsia="Arial Unicode MS"/>
          <w:spacing w:val="-3"/>
        </w:rPr>
        <w:t>gentina S.A.”.</w:t>
      </w:r>
    </w:p>
    <w:p w:rsidR="00224567" w:rsidRDefault="00224567">
      <w:pPr>
        <w:widowControl w:val="0"/>
        <w:rPr>
          <w:rFonts w:eastAsia="Arial Unicode MS"/>
          <w:spacing w:val="-3"/>
        </w:rPr>
      </w:pPr>
      <w:r>
        <w:rPr>
          <w:rFonts w:eastAsia="Arial Unicode MS"/>
          <w:spacing w:val="-3"/>
        </w:rPr>
        <w:tab/>
        <w:t xml:space="preserve">Tampoco obran en autos constancias fehacientes acerca del dominio de </w:t>
      </w:r>
      <w:smartTag w:uri="urn:schemas-microsoft-com:office:smarttags" w:element="PersonName">
        <w:smartTagPr>
          <w:attr w:name="ProductID" w:val="la Trafic"/>
        </w:smartTagPr>
        <w:r>
          <w:rPr>
            <w:rFonts w:eastAsia="Arial Unicode MS"/>
            <w:spacing w:val="-3"/>
          </w:rPr>
          <w:t>la Trafic</w:t>
        </w:r>
      </w:smartTag>
      <w:r>
        <w:rPr>
          <w:rFonts w:eastAsia="Arial Unicode MS"/>
          <w:spacing w:val="-3"/>
        </w:rPr>
        <w:t xml:space="preserve"> allí estacion</w:t>
      </w:r>
      <w:r>
        <w:rPr>
          <w:rFonts w:eastAsia="Arial Unicode MS"/>
          <w:spacing w:val="-3"/>
        </w:rPr>
        <w:t>a</w:t>
      </w:r>
      <w:r>
        <w:rPr>
          <w:rFonts w:eastAsia="Arial Unicode MS"/>
          <w:spacing w:val="-3"/>
        </w:rPr>
        <w:t>da. Al respecto, sólo José Antonio Díaz observó en  forma  directa la chapa colocada en la camioneta, cargando sus cuatro últimos dígitos –8506- en la máquina destinada al efecto. Se debe tener en cuenta que, conforme lo info</w:t>
      </w:r>
      <w:r>
        <w:rPr>
          <w:rFonts w:eastAsia="Arial Unicode MS"/>
          <w:spacing w:val="-3"/>
        </w:rPr>
        <w:t>r</w:t>
      </w:r>
      <w:r>
        <w:rPr>
          <w:rFonts w:eastAsia="Arial Unicode MS"/>
          <w:spacing w:val="-3"/>
        </w:rPr>
        <w:t xml:space="preserve">mado por el Registro de </w:t>
      </w:r>
      <w:smartTag w:uri="urn:schemas-microsoft-com:office:smarttags" w:element="PersonName">
        <w:smartTagPr>
          <w:attr w:name="ProductID" w:val="la Propiedad Automotor"/>
        </w:smartTagPr>
        <w:r>
          <w:rPr>
            <w:rFonts w:eastAsia="Arial Unicode MS"/>
            <w:spacing w:val="-3"/>
          </w:rPr>
          <w:t>la Propiedad Automotor</w:t>
        </w:r>
      </w:smartTag>
      <w:r>
        <w:rPr>
          <w:rFonts w:eastAsia="Arial Unicode MS"/>
          <w:spacing w:val="-3"/>
        </w:rPr>
        <w:t xml:space="preserve">, a la fecha del episodio, además de </w:t>
      </w:r>
      <w:smartTag w:uri="urn:schemas-microsoft-com:office:smarttags" w:element="PersonName">
        <w:smartTagPr>
          <w:attr w:name="ProductID" w:val="la Trafic"/>
        </w:smartTagPr>
        <w:r>
          <w:rPr>
            <w:rFonts w:eastAsia="Arial Unicode MS"/>
            <w:spacing w:val="-3"/>
          </w:rPr>
          <w:t>la Trafic</w:t>
        </w:r>
      </w:smartTag>
      <w:r>
        <w:rPr>
          <w:rFonts w:eastAsia="Arial Unicode MS"/>
          <w:spacing w:val="-3"/>
        </w:rPr>
        <w:t xml:space="preserve"> de “Messin”, existían otras siete camionetas de esa marca y modelo cuya patente final</w:t>
      </w:r>
      <w:r>
        <w:rPr>
          <w:rFonts w:eastAsia="Arial Unicode MS"/>
          <w:spacing w:val="-3"/>
        </w:rPr>
        <w:t>i</w:t>
      </w:r>
      <w:r>
        <w:rPr>
          <w:rFonts w:eastAsia="Arial Unicode MS"/>
          <w:spacing w:val="-3"/>
        </w:rPr>
        <w:t>zaba con esos núm</w:t>
      </w:r>
      <w:r>
        <w:rPr>
          <w:rFonts w:eastAsia="Arial Unicode MS"/>
          <w:spacing w:val="-3"/>
        </w:rPr>
        <w:t>e</w:t>
      </w:r>
      <w:r>
        <w:rPr>
          <w:rFonts w:eastAsia="Arial Unicode MS"/>
          <w:spacing w:val="-3"/>
        </w:rPr>
        <w:t>ros.</w:t>
      </w:r>
    </w:p>
    <w:p w:rsidR="00224567" w:rsidRDefault="00224567">
      <w:pPr>
        <w:widowControl w:val="0"/>
        <w:rPr>
          <w:rFonts w:eastAsia="Arial Unicode MS"/>
          <w:spacing w:val="-3"/>
        </w:rPr>
      </w:pPr>
      <w:r>
        <w:rPr>
          <w:rFonts w:eastAsia="Arial Unicode MS"/>
          <w:spacing w:val="-3"/>
        </w:rPr>
        <w:tab/>
        <w:t>A su vez, ninguno de los emple</w:t>
      </w:r>
      <w:r>
        <w:rPr>
          <w:rFonts w:eastAsia="Arial Unicode MS"/>
          <w:spacing w:val="-3"/>
        </w:rPr>
        <w:t>a</w:t>
      </w:r>
      <w:r>
        <w:rPr>
          <w:rFonts w:eastAsia="Arial Unicode MS"/>
          <w:spacing w:val="-3"/>
        </w:rPr>
        <w:t>dos del estacionamiento verificó si el número completo apo</w:t>
      </w:r>
      <w:r>
        <w:rPr>
          <w:rFonts w:eastAsia="Arial Unicode MS"/>
          <w:spacing w:val="-3"/>
        </w:rPr>
        <w:t>r</w:t>
      </w:r>
      <w:r>
        <w:rPr>
          <w:rFonts w:eastAsia="Arial Unicode MS"/>
          <w:spacing w:val="-3"/>
        </w:rPr>
        <w:t>tado por el conductor para llenar la ficha -</w:t>
      </w:r>
      <w:r>
        <w:t xml:space="preserve">408.506- </w:t>
      </w:r>
      <w:r>
        <w:rPr>
          <w:rFonts w:eastAsia="Arial Unicode MS"/>
          <w:spacing w:val="-3"/>
        </w:rPr>
        <w:t>se correspondía efectivamente con el de la patente que l</w:t>
      </w:r>
      <w:r>
        <w:rPr>
          <w:rFonts w:eastAsia="Arial Unicode MS"/>
          <w:spacing w:val="-3"/>
        </w:rPr>
        <w:t>u</w:t>
      </w:r>
      <w:r>
        <w:rPr>
          <w:rFonts w:eastAsia="Arial Unicode MS"/>
          <w:spacing w:val="-3"/>
        </w:rPr>
        <w:t>cía el rodado.</w:t>
      </w:r>
    </w:p>
    <w:p w:rsidR="00224567" w:rsidRDefault="00224567">
      <w:pPr>
        <w:widowControl w:val="0"/>
        <w:rPr>
          <w:rFonts w:eastAsia="Arial Unicode MS"/>
          <w:spacing w:val="-3"/>
        </w:rPr>
      </w:pPr>
      <w:r>
        <w:rPr>
          <w:rFonts w:eastAsia="Arial Unicode MS"/>
          <w:spacing w:val="-3"/>
        </w:rPr>
        <w:tab/>
        <w:t>Por otra parte, a partir del n</w:t>
      </w:r>
      <w:r>
        <w:rPr>
          <w:rFonts w:eastAsia="Arial Unicode MS"/>
          <w:spacing w:val="-3"/>
        </w:rPr>
        <w:t>ú</w:t>
      </w:r>
      <w:r>
        <w:rPr>
          <w:rFonts w:eastAsia="Arial Unicode MS"/>
          <w:spacing w:val="-3"/>
        </w:rPr>
        <w:t>mero de patente registrado en la ficha de “Jet Parking”, no se ll</w:t>
      </w:r>
      <w:r>
        <w:rPr>
          <w:rFonts w:eastAsia="Arial Unicode MS"/>
          <w:spacing w:val="-3"/>
        </w:rPr>
        <w:t>e</w:t>
      </w:r>
      <w:r>
        <w:rPr>
          <w:rFonts w:eastAsia="Arial Unicode MS"/>
          <w:spacing w:val="-3"/>
        </w:rPr>
        <w:t>ga a la que fue propiedad de “Messin S.R.L.”, dado que el dominio de ésta era C 1.498.506, en tanto se ignora la l</w:t>
      </w:r>
      <w:r>
        <w:rPr>
          <w:rFonts w:eastAsia="Arial Unicode MS"/>
          <w:spacing w:val="-3"/>
        </w:rPr>
        <w:t>e</w:t>
      </w:r>
      <w:r>
        <w:rPr>
          <w:rFonts w:eastAsia="Arial Unicode MS"/>
          <w:spacing w:val="-3"/>
        </w:rPr>
        <w:t>tra y el primer número de la que fue estacionada en la pl</w:t>
      </w:r>
      <w:r>
        <w:rPr>
          <w:rFonts w:eastAsia="Arial Unicode MS"/>
          <w:spacing w:val="-3"/>
        </w:rPr>
        <w:t>a</w:t>
      </w:r>
      <w:r>
        <w:rPr>
          <w:rFonts w:eastAsia="Arial Unicode MS"/>
          <w:spacing w:val="-3"/>
        </w:rPr>
        <w:t>ya, amén de la diferencia de un dígito –el “</w:t>
      </w:r>
      <w:smartTag w:uri="urn:schemas-microsoft-com:office:smarttags" w:element="metricconverter">
        <w:smartTagPr>
          <w:attr w:name="ProductID" w:val="0”"/>
        </w:smartTagPr>
        <w:r>
          <w:rPr>
            <w:rFonts w:eastAsia="Arial Unicode MS"/>
            <w:spacing w:val="-3"/>
          </w:rPr>
          <w:t>0”</w:t>
        </w:r>
      </w:smartTag>
      <w:r>
        <w:rPr>
          <w:rFonts w:eastAsia="Arial Unicode MS"/>
          <w:spacing w:val="-3"/>
        </w:rPr>
        <w:t xml:space="preserve"> por el “9”- en los restantes números.</w:t>
      </w:r>
    </w:p>
    <w:p w:rsidR="00224567" w:rsidRDefault="00224567">
      <w:pPr>
        <w:widowControl w:val="0"/>
        <w:rPr>
          <w:rFonts w:eastAsia="Arial Unicode MS"/>
        </w:rPr>
      </w:pPr>
      <w:r>
        <w:rPr>
          <w:rFonts w:eastAsia="Arial Unicode MS"/>
        </w:rPr>
        <w:tab/>
        <w:t>Sin embargo, la circunstancia de que la camioneta estacionada en “Jet Parking” el 15 de julio de 1994 no haya podido identificarse con la util</w:t>
      </w:r>
      <w:r>
        <w:rPr>
          <w:rFonts w:eastAsia="Arial Unicode MS"/>
        </w:rPr>
        <w:t>i</w:t>
      </w:r>
      <w:r>
        <w:rPr>
          <w:rFonts w:eastAsia="Arial Unicode MS"/>
        </w:rPr>
        <w:t>zada como cochebomba, no implica necesariamente desvincular dicho episodio del atentado, desde que bien pudo ser la misma camioneta o constituir –eventualmente- una maniobra de distracción, en miras a la investigación que habría de desatarse luego de ocurrido aquél.</w:t>
      </w:r>
    </w:p>
    <w:p w:rsidR="00224567" w:rsidRDefault="00224567">
      <w:pPr>
        <w:widowControl w:val="0"/>
        <w:rPr>
          <w:rFonts w:eastAsia="Arial Unicode MS"/>
        </w:rPr>
      </w:pPr>
      <w:r>
        <w:rPr>
          <w:rFonts w:eastAsia="Arial Unicode MS"/>
        </w:rPr>
        <w:tab/>
        <w:t>La misteriosa aparición del sujeto que, en auxilio de quien la conducía, se ocupó de i</w:t>
      </w:r>
      <w:r>
        <w:rPr>
          <w:rFonts w:eastAsia="Arial Unicode MS"/>
        </w:rPr>
        <w:t>n</w:t>
      </w:r>
      <w:r>
        <w:rPr>
          <w:rFonts w:eastAsia="Arial Unicode MS"/>
        </w:rPr>
        <w:t xml:space="preserve">gresar </w:t>
      </w:r>
      <w:smartTag w:uri="urn:schemas-microsoft-com:office:smarttags" w:element="PersonName">
        <w:smartTagPr>
          <w:attr w:name="ProductID" w:val="la Trafic"/>
        </w:smartTagPr>
        <w:r>
          <w:rPr>
            <w:rFonts w:eastAsia="Arial Unicode MS"/>
          </w:rPr>
          <w:t>la Trafic</w:t>
        </w:r>
      </w:smartTag>
      <w:r>
        <w:rPr>
          <w:rFonts w:eastAsia="Arial Unicode MS"/>
        </w:rPr>
        <w:t xml:space="preserve"> a la playa de estacionamiento; el erróneo llen</w:t>
      </w:r>
      <w:r>
        <w:rPr>
          <w:rFonts w:eastAsia="Arial Unicode MS"/>
        </w:rPr>
        <w:t>a</w:t>
      </w:r>
      <w:r>
        <w:rPr>
          <w:rFonts w:eastAsia="Arial Unicode MS"/>
        </w:rPr>
        <w:t>do en la ficha del cliente de un número de dominio que, en ningún caso, podía corresponder a un automotor, recién a</w:t>
      </w:r>
      <w:r>
        <w:rPr>
          <w:rFonts w:eastAsia="Arial Unicode MS"/>
        </w:rPr>
        <w:t>d</w:t>
      </w:r>
      <w:r>
        <w:rPr>
          <w:rFonts w:eastAsia="Arial Unicode MS"/>
        </w:rPr>
        <w:t>vertido luego de completar ocho d</w:t>
      </w:r>
      <w:r>
        <w:rPr>
          <w:rFonts w:eastAsia="Arial Unicode MS"/>
        </w:rPr>
        <w:t>í</w:t>
      </w:r>
      <w:r>
        <w:rPr>
          <w:rFonts w:eastAsia="Arial Unicode MS"/>
        </w:rPr>
        <w:t>gitos; la circunstancia de que el número erróneamente asentado coincidiera con el de la cédula de identidad de Tomás David Lorenz, en cuyo trámite de obtención f</w:t>
      </w:r>
      <w:r>
        <w:rPr>
          <w:rFonts w:eastAsia="Arial Unicode MS"/>
        </w:rPr>
        <w:t>i</w:t>
      </w:r>
      <w:r>
        <w:rPr>
          <w:rFonts w:eastAsia="Arial Unicode MS"/>
        </w:rPr>
        <w:t>gura -entre los que informan acerca del titular- un tal “Carlos Martínez”, identidad que inv</w:t>
      </w:r>
      <w:r>
        <w:rPr>
          <w:rFonts w:eastAsia="Arial Unicode MS"/>
        </w:rPr>
        <w:t>o</w:t>
      </w:r>
      <w:r>
        <w:rPr>
          <w:rFonts w:eastAsia="Arial Unicode MS"/>
        </w:rPr>
        <w:t>có quien gestionó la estadía de la camioneta en dicha pl</w:t>
      </w:r>
      <w:r>
        <w:rPr>
          <w:rFonts w:eastAsia="Arial Unicode MS"/>
        </w:rPr>
        <w:t>a</w:t>
      </w:r>
      <w:r>
        <w:rPr>
          <w:rFonts w:eastAsia="Arial Unicode MS"/>
        </w:rPr>
        <w:t>ya, conforman un cuadro de sospechosas casualidades que alientan, sin riesgo de temeridad, el juicio arriba enu</w:t>
      </w:r>
      <w:r>
        <w:rPr>
          <w:rFonts w:eastAsia="Arial Unicode MS"/>
        </w:rPr>
        <w:t>n</w:t>
      </w:r>
      <w:r>
        <w:rPr>
          <w:rFonts w:eastAsia="Arial Unicode MS"/>
        </w:rPr>
        <w:t>ciado.</w:t>
      </w:r>
    </w:p>
    <w:p w:rsidR="00224567" w:rsidRDefault="00224567">
      <w:pPr>
        <w:widowControl w:val="0"/>
        <w:rPr>
          <w:rFonts w:eastAsia="Arial Unicode MS"/>
        </w:rPr>
      </w:pPr>
      <w:r>
        <w:rPr>
          <w:rFonts w:eastAsia="Arial Unicode MS"/>
        </w:rPr>
        <w:tab/>
        <w:t>Sin perjuicio de lo expuesto, debe quedar en claro que el hecho de que el cochebomba hubi</w:t>
      </w:r>
      <w:r>
        <w:rPr>
          <w:rFonts w:eastAsia="Arial Unicode MS"/>
        </w:rPr>
        <w:t>e</w:t>
      </w:r>
      <w:r>
        <w:rPr>
          <w:rFonts w:eastAsia="Arial Unicode MS"/>
        </w:rPr>
        <w:t>se estacionado en la playa “Jet Parking” el fin de semana a</w:t>
      </w:r>
      <w:r>
        <w:rPr>
          <w:rFonts w:eastAsia="Arial Unicode MS"/>
        </w:rPr>
        <w:t>n</w:t>
      </w:r>
      <w:r>
        <w:rPr>
          <w:rFonts w:eastAsia="Arial Unicode MS"/>
        </w:rPr>
        <w:t>terior al 18 de julio carece de relevancia a la hora de esclarecer el modo en que se llevó a cabo la explosión o de juzgar la conducta de los imputados en a</w:t>
      </w:r>
      <w:r>
        <w:rPr>
          <w:rFonts w:eastAsia="Arial Unicode MS"/>
        </w:rPr>
        <w:t>u</w:t>
      </w:r>
      <w:r>
        <w:rPr>
          <w:rFonts w:eastAsia="Arial Unicode MS"/>
        </w:rPr>
        <w:t>tos, dado que en nada altera la decisión que se habrá de tomar respe</w:t>
      </w:r>
      <w:r>
        <w:rPr>
          <w:rFonts w:eastAsia="Arial Unicode MS"/>
        </w:rPr>
        <w:t>c</w:t>
      </w:r>
      <w:r>
        <w:rPr>
          <w:rFonts w:eastAsia="Arial Unicode MS"/>
        </w:rPr>
        <w:t>to a ellos.</w:t>
      </w:r>
    </w:p>
    <w:p w:rsidR="00224567" w:rsidRDefault="00224567"/>
    <w:p w:rsidR="00224567" w:rsidRDefault="00224567">
      <w:pPr>
        <w:pStyle w:val="Ttulo2"/>
        <w:keepNext w:val="0"/>
        <w:widowControl w:val="0"/>
      </w:pPr>
      <w:r>
        <w:t>CAPÍTULO VIII</w:t>
      </w:r>
    </w:p>
    <w:p w:rsidR="00224567" w:rsidRDefault="00224567">
      <w:pPr>
        <w:widowControl w:val="0"/>
      </w:pPr>
    </w:p>
    <w:p w:rsidR="00224567" w:rsidRDefault="00224567">
      <w:pPr>
        <w:pStyle w:val="Ttulo3"/>
        <w:keepNext w:val="0"/>
        <w:widowControl w:val="0"/>
      </w:pPr>
      <w:r>
        <w:t>A) Violación de garantías constitucionales. Debido proc</w:t>
      </w:r>
      <w:r>
        <w:t>e</w:t>
      </w:r>
      <w:r>
        <w:t>so y defensa en juicio. Parcialidad.</w:t>
      </w:r>
    </w:p>
    <w:p w:rsidR="00224567" w:rsidRDefault="00224567">
      <w:pPr>
        <w:widowControl w:val="0"/>
      </w:pPr>
      <w:r>
        <w:rPr>
          <w:b/>
        </w:rPr>
        <w:tab/>
      </w:r>
      <w:r>
        <w:rPr>
          <w:b/>
        </w:rPr>
        <w:tab/>
        <w:t xml:space="preserve">A.1) </w:t>
      </w:r>
      <w:r>
        <w:t>Que, tras la realización del d</w:t>
      </w:r>
      <w:r>
        <w:t>e</w:t>
      </w:r>
      <w:r>
        <w:t>bate, la cuantiosa prueba producida demostró una evidente violación a las reglas del debido pr</w:t>
      </w:r>
      <w:r>
        <w:t>o</w:t>
      </w:r>
      <w:r>
        <w:t>ceso y la defensa en juicio, dado que de ella surgió con claridad la falta de imparcialidad del juez in</w:t>
      </w:r>
      <w:r>
        <w:t>s</w:t>
      </w:r>
      <w:r>
        <w:t>tructor.</w:t>
      </w:r>
    </w:p>
    <w:p w:rsidR="00224567" w:rsidRDefault="00224567">
      <w:pPr>
        <w:widowControl w:val="0"/>
      </w:pPr>
      <w:r>
        <w:tab/>
        <w:t xml:space="preserve">Si bien </w:t>
      </w:r>
      <w:smartTag w:uri="urn:schemas-microsoft-com:office:smarttags" w:element="PersonName">
        <w:smartTagPr>
          <w:attr w:name="ProductID" w:val="la Constituci￳n Nacional"/>
        </w:smartTagPr>
        <w:r>
          <w:t>la Constitución Nacional</w:t>
        </w:r>
      </w:smartTag>
      <w:r>
        <w:t xml:space="preserve"> de 1853-1860 no fijó de modo expreso la garantía de la impa</w:t>
      </w:r>
      <w:r>
        <w:t>r</w:t>
      </w:r>
      <w:r>
        <w:t xml:space="preserve">cialidad del juez, ella fue reconocida por </w:t>
      </w:r>
      <w:smartTag w:uri="urn:schemas-microsoft-com:office:smarttags" w:element="PersonName">
        <w:smartTagPr>
          <w:attr w:name="ProductID" w:val="la Corte Suprema"/>
        </w:smartTagPr>
        <w:r>
          <w:t>la Corte Supr</w:t>
        </w:r>
        <w:r>
          <w:t>e</w:t>
        </w:r>
        <w:r>
          <w:t>ma</w:t>
        </w:r>
      </w:smartTag>
      <w:r>
        <w:t xml:space="preserve"> de Justicia de </w:t>
      </w:r>
      <w:smartTag w:uri="urn:schemas-microsoft-com:office:smarttags" w:element="PersonName">
        <w:smartTagPr>
          <w:attr w:name="ProductID" w:val="la Naci￳n"/>
        </w:smartTagPr>
        <w:r>
          <w:t>la Nación</w:t>
        </w:r>
      </w:smartTag>
      <w:r>
        <w:t xml:space="preserve"> al señalar que “no es dudoso que las cuestiones de recusación se vinculan con la mejor administración de justicia, cuyo ejercicio imparcial es uno de los elementos de la defensa en juicio” (Fallos: 198:78 y 257:132, e</w:t>
      </w:r>
      <w:r>
        <w:t>n</w:t>
      </w:r>
      <w:r>
        <w:t>tre otros).</w:t>
      </w:r>
    </w:p>
    <w:p w:rsidR="00224567" w:rsidRDefault="00224567">
      <w:pPr>
        <w:widowControl w:val="0"/>
      </w:pPr>
      <w:r>
        <w:tab/>
        <w:t>En tiempos más recientes, ha sosten</w:t>
      </w:r>
      <w:r>
        <w:t>i</w:t>
      </w:r>
      <w:r>
        <w:t>do el Alto Tribunal que “si bien una reiterada juri</w:t>
      </w:r>
      <w:r>
        <w:t>s</w:t>
      </w:r>
      <w:r>
        <w:t>prudencia de esta Corte declara insusceptibles de recurso extraord</w:t>
      </w:r>
      <w:r>
        <w:t>i</w:t>
      </w:r>
      <w:r>
        <w:t>nario las decisiones que versan sobre la recusación de los jueces, puede, en caso de rigurosa excepción, existir r</w:t>
      </w:r>
      <w:r>
        <w:t>a</w:t>
      </w:r>
      <w:r>
        <w:t>zón valedera que justifique apartarse de tal regla si de los antecedentes de la causa surge que el ejercicio impa</w:t>
      </w:r>
      <w:r>
        <w:t>r</w:t>
      </w:r>
      <w:r>
        <w:t>cial de la administración de justicia se encuentra tan s</w:t>
      </w:r>
      <w:r>
        <w:t>e</w:t>
      </w:r>
      <w:r>
        <w:t>veramente cuestionado que el derecho de defensa comprom</w:t>
      </w:r>
      <w:r>
        <w:t>e</w:t>
      </w:r>
      <w:r>
        <w:t>tido exige una cons</w:t>
      </w:r>
      <w:r>
        <w:t>i</w:t>
      </w:r>
      <w:r>
        <w:t>deración inmediata en tanto constituye la única oportunidad para su adecuada tutela” (Fallos: 306:1392 y 316:826).</w:t>
      </w:r>
    </w:p>
    <w:p w:rsidR="00224567" w:rsidRDefault="00224567">
      <w:pPr>
        <w:widowControl w:val="0"/>
      </w:pPr>
      <w:r>
        <w:tab/>
        <w:t>A partir de la reforma de 1994, que receptó constitucionalmente una serie de instrumentos i</w:t>
      </w:r>
      <w:r>
        <w:t>n</w:t>
      </w:r>
      <w:r>
        <w:t>ternacionales en materia de Derechos Humanos, oto</w:t>
      </w:r>
      <w:r>
        <w:t>r</w:t>
      </w:r>
      <w:r>
        <w:t>gándole similar jerarquía (art. 75, inciso 22), aquel principio adquirió de modo expreso la calidad de garantía constit</w:t>
      </w:r>
      <w:r>
        <w:t>u</w:t>
      </w:r>
      <w:r>
        <w:t>cional.</w:t>
      </w:r>
    </w:p>
    <w:p w:rsidR="00224567" w:rsidRDefault="00224567">
      <w:pPr>
        <w:widowControl w:val="0"/>
      </w:pPr>
      <w:r>
        <w:tab/>
        <w:t xml:space="preserve">En efecto, el art. 10 de </w:t>
      </w:r>
      <w:smartTag w:uri="urn:schemas-microsoft-com:office:smarttags" w:element="PersonName">
        <w:smartTagPr>
          <w:attr w:name="ProductID" w:val="la Declaraci￳n Universal"/>
        </w:smartTagPr>
        <w:r>
          <w:t>la Declar</w:t>
        </w:r>
        <w:r>
          <w:t>a</w:t>
        </w:r>
        <w:r>
          <w:t>ción Universal</w:t>
        </w:r>
      </w:smartTag>
      <w:r>
        <w:t xml:space="preserve"> de Derechos Humanos establece que “Toda persona tiene derecho, en condiciones de plena igua</w:t>
      </w:r>
      <w:r>
        <w:t>l</w:t>
      </w:r>
      <w:r>
        <w:t>dad, a ser oída públicamente y con justicia por un tribunal ind</w:t>
      </w:r>
      <w:r>
        <w:t>e</w:t>
      </w:r>
      <w:r>
        <w:t xml:space="preserve">pendiente e </w:t>
      </w:r>
      <w:r>
        <w:rPr>
          <w:bCs/>
        </w:rPr>
        <w:t>imparcial</w:t>
      </w:r>
      <w:r>
        <w:t xml:space="preserve"> para... el examen de cualquier ac</w:t>
      </w:r>
      <w:r>
        <w:t>u</w:t>
      </w:r>
      <w:r>
        <w:t>sación contra ella en materia penal”.</w:t>
      </w:r>
    </w:p>
    <w:p w:rsidR="00224567" w:rsidRDefault="00224567">
      <w:pPr>
        <w:widowControl w:val="0"/>
      </w:pPr>
      <w:r>
        <w:tab/>
        <w:t>De manera análoga, el art. 26, 2º p</w:t>
      </w:r>
      <w:r>
        <w:t>á</w:t>
      </w:r>
      <w:r>
        <w:t xml:space="preserve">rrafo de </w:t>
      </w:r>
      <w:smartTag w:uri="urn:schemas-microsoft-com:office:smarttags" w:element="PersonName">
        <w:smartTagPr>
          <w:attr w:name="ProductID" w:val="la Declaraci￳n Americana"/>
        </w:smartTagPr>
        <w:r>
          <w:t>la Declaración Americana</w:t>
        </w:r>
      </w:smartTag>
      <w:r>
        <w:t xml:space="preserve"> de los Derechos y Deb</w:t>
      </w:r>
      <w:r>
        <w:t>e</w:t>
      </w:r>
      <w:r>
        <w:t>res del Hombre prescribe que “Toda persona acusada de d</w:t>
      </w:r>
      <w:r>
        <w:t>e</w:t>
      </w:r>
      <w:r>
        <w:t>lito tiene derecho a ser oída en forma imparcial... por tribunales anteriormente establec</w:t>
      </w:r>
      <w:r>
        <w:t>i</w:t>
      </w:r>
      <w:r>
        <w:t>dos...”.</w:t>
      </w:r>
    </w:p>
    <w:p w:rsidR="00224567" w:rsidRDefault="00224567">
      <w:pPr>
        <w:widowControl w:val="0"/>
      </w:pPr>
      <w:r>
        <w:tab/>
        <w:t xml:space="preserve">Por su parte, el art. 8.1 de </w:t>
      </w:r>
      <w:smartTag w:uri="urn:schemas-microsoft-com:office:smarttags" w:element="PersonName">
        <w:smartTagPr>
          <w:attr w:name="ProductID" w:val="la Convenci￳n Americana"/>
        </w:smartTagPr>
        <w:r>
          <w:t>la Co</w:t>
        </w:r>
        <w:r>
          <w:t>n</w:t>
        </w:r>
        <w:r>
          <w:t>vención Americana</w:t>
        </w:r>
      </w:smartTag>
      <w:r>
        <w:t xml:space="preserve"> sobre Derechos Humanos dispone que “toda persona tiene derecho a ser oída, con las debidas gara</w:t>
      </w:r>
      <w:r>
        <w:t>n</w:t>
      </w:r>
      <w:r>
        <w:t>tías y dentro de un plazo razonable, por un juez o trib</w:t>
      </w:r>
      <w:r>
        <w:t>u</w:t>
      </w:r>
      <w:r>
        <w:t xml:space="preserve">nal competente, independiente </w:t>
      </w:r>
      <w:r>
        <w:rPr>
          <w:bCs/>
        </w:rPr>
        <w:t>e imparcial,</w:t>
      </w:r>
      <w:r>
        <w:t xml:space="preserve"> establecido con a</w:t>
      </w:r>
      <w:r>
        <w:t>n</w:t>
      </w:r>
      <w:r>
        <w:t>terioridad por la ley, en la sustanciación de cualquier acus</w:t>
      </w:r>
      <w:r>
        <w:t>a</w:t>
      </w:r>
      <w:r>
        <w:t>ción penal formulada contra ella...”.</w:t>
      </w:r>
    </w:p>
    <w:p w:rsidR="00224567" w:rsidRDefault="00224567">
      <w:pPr>
        <w:widowControl w:val="0"/>
      </w:pPr>
      <w:r>
        <w:tab/>
        <w:t>Finalmente, el art. 14.1 del Pacto I</w:t>
      </w:r>
      <w:r>
        <w:t>n</w:t>
      </w:r>
      <w:r>
        <w:t xml:space="preserve">ternacional de Derechos Civiles y Políticos expresa que “toda persona tendrá derecho a ser oída y con las debidas garantías por un tribunal competente, independiente e </w:t>
      </w:r>
      <w:r>
        <w:rPr>
          <w:bCs/>
        </w:rPr>
        <w:t>i</w:t>
      </w:r>
      <w:r>
        <w:rPr>
          <w:bCs/>
        </w:rPr>
        <w:t>m</w:t>
      </w:r>
      <w:r>
        <w:rPr>
          <w:bCs/>
        </w:rPr>
        <w:t>parcial,</w:t>
      </w:r>
      <w:r>
        <w:t xml:space="preserve"> establecido por ley, en la substanciación de cualquier acusación penal formulada contra ella...”.</w:t>
      </w:r>
    </w:p>
    <w:p w:rsidR="00224567" w:rsidRDefault="00224567">
      <w:pPr>
        <w:widowControl w:val="0"/>
      </w:pPr>
      <w:r>
        <w:tab/>
      </w:r>
      <w:smartTag w:uri="urn:schemas-microsoft-com:office:smarttags" w:element="PersonName">
        <w:smartTagPr>
          <w:attr w:name="ProductID" w:val="La Corte Interamericana"/>
        </w:smartTagPr>
        <w:r>
          <w:t>La Corte Interamericana</w:t>
        </w:r>
      </w:smartTag>
      <w:r>
        <w:t xml:space="preserve"> ha señalado que el art. 8 reconoce el “debido proceso legal”, def</w:t>
      </w:r>
      <w:r>
        <w:t>i</w:t>
      </w:r>
      <w:r>
        <w:t>niéndolo como las condiciones que deben cumplirse para asegurar la adecuada defensa de los derechos u obligaci</w:t>
      </w:r>
      <w:r>
        <w:t>o</w:t>
      </w:r>
      <w:r>
        <w:t>nes que están bajo consideración judicial. Es un concepto aplicable a todas las garantías judiciales protegidas en la convención (Opinión Consultiva OC-9/87, del 6 de oct</w:t>
      </w:r>
      <w:r>
        <w:t>u</w:t>
      </w:r>
      <w:r>
        <w:t>bre de 1987. S</w:t>
      </w:r>
      <w:r>
        <w:t>e</w:t>
      </w:r>
      <w:r>
        <w:t>rie A. Nº 9, párr. 29).</w:t>
      </w:r>
    </w:p>
    <w:p w:rsidR="00224567" w:rsidRDefault="00224567">
      <w:pPr>
        <w:widowControl w:val="0"/>
      </w:pPr>
      <w:r>
        <w:tab/>
        <w:t>Sentado lo expuesto, corresponde def</w:t>
      </w:r>
      <w:r>
        <w:t>i</w:t>
      </w:r>
      <w:r>
        <w:t>nir el concepto de “imparcialidad del juez” y, luego de ello, determinar en qué supuestos debe considerarse viol</w:t>
      </w:r>
      <w:r>
        <w:t>a</w:t>
      </w:r>
      <w:r>
        <w:t>da dicha garantía.</w:t>
      </w:r>
    </w:p>
    <w:p w:rsidR="00224567" w:rsidRDefault="00224567">
      <w:pPr>
        <w:widowControl w:val="0"/>
      </w:pPr>
      <w:r>
        <w:tab/>
        <w:t>Ha sostenido el Tribunal Constituci</w:t>
      </w:r>
      <w:r>
        <w:t>o</w:t>
      </w:r>
      <w:r>
        <w:t>nal español “que la exigencia de juez imparcial o ne</w:t>
      </w:r>
      <w:r>
        <w:t>u</w:t>
      </w:r>
      <w:r>
        <w:t>tral, correlato en el concreto proceso de la independencia que se predica del juez en tanto que miembro del Poder Jud</w:t>
      </w:r>
      <w:r>
        <w:t>i</w:t>
      </w:r>
      <w:r>
        <w:t>cial, es la primera garantía de todo ciudadano justici</w:t>
      </w:r>
      <w:r>
        <w:t>a</w:t>
      </w:r>
      <w:r>
        <w:t>ble. Sin ella no puede hablarse, en rigor, de jurisdi</w:t>
      </w:r>
      <w:r>
        <w:t>c</w:t>
      </w:r>
      <w:r>
        <w:t>ción. Sólo quien sea tercero extraño, re</w:t>
      </w:r>
      <w:r>
        <w:t>s</w:t>
      </w:r>
      <w:r>
        <w:t>pecto del proceso o causa, puede asumir la función jurisdiccional, precis</w:t>
      </w:r>
      <w:r>
        <w:t>a</w:t>
      </w:r>
      <w:r>
        <w:t>mente porque se halla supra partes, porque le es indif</w:t>
      </w:r>
      <w:r>
        <w:t>e</w:t>
      </w:r>
      <w:r>
        <w:t>rente, jurídicamente hablando, el resultado de la contr</w:t>
      </w:r>
      <w:r>
        <w:t>o</w:t>
      </w:r>
      <w:r>
        <w:t>versia” (cfr. Sala: Pleno, Sentencia del 17/3/01, refere</w:t>
      </w:r>
      <w:r>
        <w:t>n</w:t>
      </w:r>
      <w:r>
        <w:t>cia 69/2001, ponente don Guillermo Jiménez Sánchez, publ</w:t>
      </w:r>
      <w:r>
        <w:t>i</w:t>
      </w:r>
      <w:r>
        <w:t>cación BOE: 20010406 [BOE NÚM. 83]).</w:t>
      </w:r>
    </w:p>
    <w:p w:rsidR="00224567" w:rsidRDefault="00224567">
      <w:pPr>
        <w:widowControl w:val="0"/>
      </w:pPr>
      <w:r>
        <w:tab/>
        <w:t>Agregó el miembro informante, en el precedente mencionado en el párrafo anterior, que “cua</w:t>
      </w:r>
      <w:r>
        <w:t>l</w:t>
      </w:r>
      <w:r>
        <w:t>quiera sea su encuadramiento constitucional y su razón de ser, lo incuestionable es que la impa</w:t>
      </w:r>
      <w:r>
        <w:t>r</w:t>
      </w:r>
      <w:r>
        <w:t>cialidad del juez es un d</w:t>
      </w:r>
      <w:r>
        <w:t>e</w:t>
      </w:r>
      <w:r>
        <w:t>recho fundamental de quien es parte en un proceso y, muy singularmente, de quien asume la co</w:t>
      </w:r>
      <w:r>
        <w:t>n</w:t>
      </w:r>
      <w:r>
        <w:t xml:space="preserve">dición de acusado en el proceso penal, y tal exigencia es predicable no solo del órgano jurisdiccional que enjuicia la causa y dicta sentencia, </w:t>
      </w:r>
      <w:r>
        <w:rPr>
          <w:b/>
        </w:rPr>
        <w:t>sino también del juez</w:t>
      </w:r>
      <w:r>
        <w:t xml:space="preserve"> </w:t>
      </w:r>
      <w:r>
        <w:rPr>
          <w:b/>
        </w:rPr>
        <w:t>instructor que pr</w:t>
      </w:r>
      <w:r>
        <w:rPr>
          <w:b/>
        </w:rPr>
        <w:t>e</w:t>
      </w:r>
      <w:r>
        <w:rPr>
          <w:b/>
        </w:rPr>
        <w:t>para el juicio oral</w:t>
      </w:r>
      <w:r>
        <w:t>. Comparto, por ello, la afirmación de la se</w:t>
      </w:r>
      <w:r>
        <w:t>n</w:t>
      </w:r>
      <w:r>
        <w:t>tencia cuando establece que ‘En definitiva, el Juez de Instrucción, como cualquier Juez, debe ser un tercero ajeno a los intereses en litigio, a sus titulares y a las funciones que desempeñan en el proceso’” (la negrita pe</w:t>
      </w:r>
      <w:r>
        <w:t>r</w:t>
      </w:r>
      <w:r>
        <w:t>tenece a este Tribunal).</w:t>
      </w:r>
    </w:p>
    <w:p w:rsidR="00224567" w:rsidRDefault="00224567">
      <w:pPr>
        <w:widowControl w:val="0"/>
      </w:pPr>
      <w:r>
        <w:tab/>
        <w:t>Siempre en orden a que el juez in</w:t>
      </w:r>
      <w:r>
        <w:t>s</w:t>
      </w:r>
      <w:r>
        <w:t>tructor puede hallarse con las partes y con el objeto del proceso en una relación que puede afectar negativ</w:t>
      </w:r>
      <w:r>
        <w:t>a</w:t>
      </w:r>
      <w:r>
        <w:t>mente su ecuanimidad y rectitud de juicio, resaltó el Tribunal Constitucional español, en el caso que se viene citando, que “au</w:t>
      </w:r>
      <w:r>
        <w:t>n</w:t>
      </w:r>
      <w:r>
        <w:t>que el contenido de la garantía constitucional de imparcialidad del juez de instrucción, dada la configur</w:t>
      </w:r>
      <w:r>
        <w:t>a</w:t>
      </w:r>
      <w:r>
        <w:t>ción de nuestro sistema proc</w:t>
      </w:r>
      <w:r>
        <w:t>e</w:t>
      </w:r>
      <w:r>
        <w:t>sal, no sea idéntica a la que pueda predicarse del ó</w:t>
      </w:r>
      <w:r>
        <w:t>r</w:t>
      </w:r>
      <w:r>
        <w:t>gano de enjuiciamiento (pues habrá de ponerse en conexión con las resoluciones o determin</w:t>
      </w:r>
      <w:r>
        <w:t>a</w:t>
      </w:r>
      <w:r>
        <w:t>ciones que concretamente haya adoptado en un determinado asunto), es también exigible a aquél en la medida en que esta fase del proceso penal, tal y c</w:t>
      </w:r>
      <w:r>
        <w:t>o</w:t>
      </w:r>
      <w:r>
        <w:t>mo viene diseñado en nue</w:t>
      </w:r>
      <w:r>
        <w:t>s</w:t>
      </w:r>
      <w:r>
        <w:t>tras leyes procesales, ha de resolver las pretensiones que ante él se formulen sin prejuicios ni motivaciones ajenas a la recta aplicación del Derecho, y ha de tomar determinaciones que pueden afectar a los intereses o der</w:t>
      </w:r>
      <w:r>
        <w:t>e</w:t>
      </w:r>
      <w:r>
        <w:t>chos fundamentales de las partes (así ocurre con los Autos de prisión o libertad provisional, de procesamiento, de sobreseimiento...), sobre las cuales ha de exigirse la previa condición de que el juez que las adopte aparezca tanto subjetiva como objetivamente ne</w:t>
      </w:r>
      <w:r>
        <w:t>u</w:t>
      </w:r>
      <w:r>
        <w:t>tral”.</w:t>
      </w:r>
    </w:p>
    <w:p w:rsidR="00224567" w:rsidRDefault="00224567">
      <w:pPr>
        <w:widowControl w:val="0"/>
      </w:pPr>
      <w:r>
        <w:tab/>
      </w:r>
      <w:r>
        <w:rPr>
          <w:bCs/>
        </w:rPr>
        <w:t>Eduardo J. Couture,</w:t>
      </w:r>
      <w:r>
        <w:rPr>
          <w:b/>
        </w:rPr>
        <w:t xml:space="preserve"> </w:t>
      </w:r>
      <w:r>
        <w:t>en su trabajo “El ‘Debido Proceso’ como Tutela de los Derechos Humanos” (p</w:t>
      </w:r>
      <w:r>
        <w:t>u</w:t>
      </w:r>
      <w:r>
        <w:t>blicado originalmente en “</w:t>
      </w:r>
      <w:smartTag w:uri="urn:schemas-microsoft-com:office:smarttags" w:element="PersonName">
        <w:smartTagPr>
          <w:attr w:name="ProductID" w:val="La Ley"/>
        </w:smartTagPr>
        <w:r>
          <w:t>La Ley</w:t>
        </w:r>
      </w:smartTag>
      <w:r>
        <w:t>”, T. 72, pág. 802, Se</w:t>
      </w:r>
      <w:r>
        <w:t>c</w:t>
      </w:r>
      <w:r>
        <w:t>ción Doctrina, año 1953, vuelto a publicar en “Pag</w:t>
      </w:r>
      <w:r>
        <w:t>i</w:t>
      </w:r>
      <w:r>
        <w:t>nas de Ayer”, pág. 1, año 5, nº8, septiembre de 2004), cita las palabras vertidas por Calamandrei en el Congreso de Der</w:t>
      </w:r>
      <w:r>
        <w:t>e</w:t>
      </w:r>
      <w:r>
        <w:t>cho Procesal Civil, celebrado en la ciudad de Viena en o</w:t>
      </w:r>
      <w:r>
        <w:t>c</w:t>
      </w:r>
      <w:r>
        <w:t>tubre de 1953, al referirse a los lazos que unen el der</w:t>
      </w:r>
      <w:r>
        <w:t>e</w:t>
      </w:r>
      <w:r>
        <w:t>cho procesal con el derecho constit</w:t>
      </w:r>
      <w:r>
        <w:t>u</w:t>
      </w:r>
      <w:r>
        <w:t>cional.</w:t>
      </w:r>
    </w:p>
    <w:p w:rsidR="00224567" w:rsidRDefault="00224567">
      <w:pPr>
        <w:widowControl w:val="0"/>
      </w:pPr>
      <w:r>
        <w:tab/>
        <w:t>Sostuvo Calamandrei: “todas las libe</w:t>
      </w:r>
      <w:r>
        <w:t>r</w:t>
      </w:r>
      <w:r>
        <w:t>tades son vanas si no se pueden reivindicar y defe</w:t>
      </w:r>
      <w:r>
        <w:t>n</w:t>
      </w:r>
      <w:r>
        <w:t>der en juicio y si el ordenamiento de este ju</w:t>
      </w:r>
      <w:r>
        <w:t>i</w:t>
      </w:r>
      <w:r>
        <w:t>cio no se funda en el respeto de la persona humana, el cual rec</w:t>
      </w:r>
      <w:r>
        <w:t>o</w:t>
      </w:r>
      <w:r>
        <w:t>noce en cada hombre una conciencia libre, sólo responsable ante si mi</w:t>
      </w:r>
      <w:r>
        <w:t>s</w:t>
      </w:r>
      <w:r>
        <w:t>ma y, por esto inviolable”. Sobre la base de estos conce</w:t>
      </w:r>
      <w:r>
        <w:t>p</w:t>
      </w:r>
      <w:r>
        <w:t>tos, al abordar Couture la inconstitucionalidad por inid</w:t>
      </w:r>
      <w:r>
        <w:t>o</w:t>
      </w:r>
      <w:r>
        <w:t>neidad del juez, finaliza diciendo la siguiente frase de Calamandrei: “todas las libertades son vanas si no se pu</w:t>
      </w:r>
      <w:r>
        <w:t>e</w:t>
      </w:r>
      <w:r>
        <w:t>den reivindicar y defender en juicio; si el individuo no encue</w:t>
      </w:r>
      <w:r>
        <w:t>n</w:t>
      </w:r>
      <w:r>
        <w:t>tra ante sí jueces capaces de darle la razón”.</w:t>
      </w:r>
    </w:p>
    <w:p w:rsidR="00224567" w:rsidRDefault="00224567">
      <w:pPr>
        <w:widowControl w:val="0"/>
      </w:pPr>
      <w:r>
        <w:tab/>
        <w:t xml:space="preserve">Destaca el maestro uruguayo que </w:t>
      </w:r>
      <w:smartTag w:uri="urn:schemas-microsoft-com:office:smarttags" w:element="PersonName">
        <w:smartTagPr>
          <w:attr w:name="ProductID" w:val="la Suprema Corte"/>
        </w:smartTagPr>
        <w:r>
          <w:t>la S</w:t>
        </w:r>
        <w:r>
          <w:t>u</w:t>
        </w:r>
        <w:r>
          <w:t>prema Corte</w:t>
        </w:r>
      </w:smartTag>
      <w:r>
        <w:t xml:space="preserve"> de los Estados Unidos sostuvo que es g</w:t>
      </w:r>
      <w:r>
        <w:t>a</w:t>
      </w:r>
      <w:r>
        <w:t>rantía fundamental la existencia de un tribunal “competente e i</w:t>
      </w:r>
      <w:r>
        <w:t>m</w:t>
      </w:r>
      <w:r>
        <w:t>pa</w:t>
      </w:r>
      <w:r>
        <w:t>r</w:t>
      </w:r>
      <w:r>
        <w:t>cial” (“Jordan v. Massachussets”, 255 U.S. 167, 176 -1912).</w:t>
      </w:r>
    </w:p>
    <w:p w:rsidR="00224567" w:rsidRDefault="00224567">
      <w:pPr>
        <w:widowControl w:val="0"/>
      </w:pPr>
      <w:r>
        <w:tab/>
      </w:r>
      <w:r>
        <w:rPr>
          <w:bCs/>
        </w:rPr>
        <w:t>Julio Maier</w:t>
      </w:r>
      <w:r>
        <w:t xml:space="preserve"> (cfr. “Derecho Procesal Penal”, T. I, pág. 739 y sgts., ed. Del Puerto, 1996) s</w:t>
      </w:r>
      <w:r>
        <w:t>e</w:t>
      </w:r>
      <w:r>
        <w:t>ñala que “la palabra ‘</w:t>
      </w:r>
      <w:r>
        <w:rPr>
          <w:i/>
        </w:rPr>
        <w:t>juez’</w:t>
      </w:r>
      <w:r>
        <w:t xml:space="preserve"> no se comprende, al menos en el sentido moderno de la expresión, sin el calific</w:t>
      </w:r>
      <w:r>
        <w:t>a</w:t>
      </w:r>
      <w:r>
        <w:t>tivo de ‘</w:t>
      </w:r>
      <w:r>
        <w:rPr>
          <w:i/>
        </w:rPr>
        <w:t>imparcial’</w:t>
      </w:r>
      <w:r>
        <w:t>. De otro modo: el adjetivo ‘</w:t>
      </w:r>
      <w:r>
        <w:rPr>
          <w:i/>
        </w:rPr>
        <w:t>impa</w:t>
      </w:r>
      <w:r>
        <w:rPr>
          <w:i/>
        </w:rPr>
        <w:t>r</w:t>
      </w:r>
      <w:r>
        <w:rPr>
          <w:i/>
        </w:rPr>
        <w:t>cial’</w:t>
      </w:r>
      <w:r>
        <w:t xml:space="preserve"> integra hoy, desde un punto de vista material el concepto de </w:t>
      </w:r>
      <w:r>
        <w:rPr>
          <w:i/>
        </w:rPr>
        <w:t>‘juez’</w:t>
      </w:r>
      <w:r>
        <w:t>, cuando se lo refiere a la descripción de la act</w:t>
      </w:r>
      <w:r>
        <w:t>i</w:t>
      </w:r>
      <w:r>
        <w:t>vidad concreta que le es encomendada a quien juzga y no tan sólo a las condiciones formales que, para cumplir esa función pública, el cargo -permanente o accidental- r</w:t>
      </w:r>
      <w:r>
        <w:t>e</w:t>
      </w:r>
      <w:r>
        <w:t>quiere”.</w:t>
      </w:r>
    </w:p>
    <w:p w:rsidR="00224567" w:rsidRDefault="00224567">
      <w:pPr>
        <w:widowControl w:val="0"/>
      </w:pPr>
      <w:r>
        <w:tab/>
        <w:t>Agrega, que “el sustantivo imparcial refiere, directamente, por su origen etimológ</w:t>
      </w:r>
      <w:r>
        <w:t>i</w:t>
      </w:r>
      <w:r>
        <w:t>co (</w:t>
      </w:r>
      <w:r>
        <w:rPr>
          <w:i/>
        </w:rPr>
        <w:t>in-partial)</w:t>
      </w:r>
      <w:r>
        <w:t>, a aquel que no es parte en un asunto que debe decidir, esto es, que lo ataca sin interés personal a</w:t>
      </w:r>
      <w:r>
        <w:t>l</w:t>
      </w:r>
      <w:r>
        <w:t>guno. Por otra parte, el concepto refiere, semántic</w:t>
      </w:r>
      <w:r>
        <w:t>a</w:t>
      </w:r>
      <w:r>
        <w:t xml:space="preserve">mente, </w:t>
      </w:r>
      <w:r>
        <w:rPr>
          <w:b/>
          <w:u w:val="single"/>
        </w:rPr>
        <w:t>a la ausencia de prejuicios a favor o en contra de las personas</w:t>
      </w:r>
      <w:r>
        <w:t xml:space="preserve"> (el subrayado es del Tribunal) o de la materia acerca de las cu</w:t>
      </w:r>
      <w:r>
        <w:t>a</w:t>
      </w:r>
      <w:r>
        <w:t>les debe decidir”.</w:t>
      </w:r>
    </w:p>
    <w:p w:rsidR="00224567" w:rsidRDefault="00224567">
      <w:pPr>
        <w:widowControl w:val="0"/>
      </w:pPr>
      <w:r>
        <w:tab/>
        <w:t>En ese sentido destaca Maier (ob. cit. pág. 742) que “es preciso no confundir el atributo y su portador: no se trata aquí de reglas ‘de los jueces’ (pr</w:t>
      </w:r>
      <w:r>
        <w:t>i</w:t>
      </w:r>
      <w:r>
        <w:t>vilegios), comprendidos en esa corporación una serie de personas con determinados atributos, sino, por el contr</w:t>
      </w:r>
      <w:r>
        <w:t>a</w:t>
      </w:r>
      <w:r>
        <w:t>rio, de reglas de g</w:t>
      </w:r>
      <w:r>
        <w:t>a</w:t>
      </w:r>
      <w:r>
        <w:t xml:space="preserve">rantía ‘del justiciable’, necesitadas quizás de apoyo institucional y, por ello, clasificadas aquí -más o menos arbitrariamente- por su referencia a la organización judicial, pero sin perder de vista su  </w:t>
      </w:r>
      <w:r>
        <w:rPr>
          <w:u w:val="single"/>
        </w:rPr>
        <w:t>nat</w:t>
      </w:r>
      <w:r>
        <w:rPr>
          <w:u w:val="single"/>
        </w:rPr>
        <w:t>u</w:t>
      </w:r>
      <w:r>
        <w:rPr>
          <w:u w:val="single"/>
        </w:rPr>
        <w:t>raleza de garantía individual de un Estado de Derecho</w:t>
      </w:r>
      <w:r>
        <w:t xml:space="preserve"> (subrayado del Tribunal). En tanto garantías del justici</w:t>
      </w:r>
      <w:r>
        <w:t>a</w:t>
      </w:r>
      <w:r>
        <w:t>ble, esas reglas gozan de todas las características que hemos adosado a la categoría: otra vez resulta impresci</w:t>
      </w:r>
      <w:r>
        <w:t>n</w:t>
      </w:r>
      <w:r>
        <w:t>dible alertar contra la ut</w:t>
      </w:r>
      <w:r>
        <w:t>i</w:t>
      </w:r>
      <w:r>
        <w:t>lización y aplicación en contra del imputado”.</w:t>
      </w:r>
    </w:p>
    <w:p w:rsidR="00224567" w:rsidRDefault="00224567">
      <w:pPr>
        <w:widowControl w:val="0"/>
      </w:pPr>
      <w:r>
        <w:tab/>
        <w:t>Acerca de la forma en que se logra la imparcialidad, destaca Maier (ob. cit., pág. 752) que no es positivamente -como la independencia-, sino de manera negativa “excluyendo del caso al juez que no garantiza s</w:t>
      </w:r>
      <w:r>
        <w:t>u</w:t>
      </w:r>
      <w:r>
        <w:t>ficientemente la objetividad de su criterio frente a él”. No se trata de establecer criterios generales, sino, de</w:t>
      </w:r>
      <w:r>
        <w:t>s</w:t>
      </w:r>
      <w:r>
        <w:t>taca, “de la relación específica de la persona física e</w:t>
      </w:r>
      <w:r>
        <w:t>n</w:t>
      </w:r>
      <w:r>
        <w:t>cargada de juzgar con el caso concreto sometido a juicio”.</w:t>
      </w:r>
    </w:p>
    <w:p w:rsidR="00224567" w:rsidRDefault="00224567">
      <w:pPr>
        <w:widowControl w:val="0"/>
      </w:pPr>
      <w:r>
        <w:tab/>
      </w:r>
      <w:r>
        <w:rPr>
          <w:bCs/>
        </w:rPr>
        <w:t>Jorge A. Clariá Olmedo</w:t>
      </w:r>
      <w:r>
        <w:t xml:space="preserve"> (“Derecho Pr</w:t>
      </w:r>
      <w:r>
        <w:t>o</w:t>
      </w:r>
      <w:r>
        <w:t>cesal Penal”, T. II, pág. 241), enseña que “a p</w:t>
      </w:r>
      <w:r>
        <w:t>e</w:t>
      </w:r>
      <w:r>
        <w:t>sar de ser competente el juez que interviene en la causa, otras ci</w:t>
      </w:r>
      <w:r>
        <w:t>r</w:t>
      </w:r>
      <w:r>
        <w:t>cunstancias de carácter particular y concreto pueden m</w:t>
      </w:r>
      <w:r>
        <w:t>e</w:t>
      </w:r>
      <w:r>
        <w:t>diar para apartarlo de ella ante la existencia de sospecha de parcialidad. La sospecha ha de fundarse en hechos co</w:t>
      </w:r>
      <w:r>
        <w:t>n</w:t>
      </w:r>
      <w:r>
        <w:t>cretos y relativos a la causa misma en cualquiera de sus aspectos; y esos hechos o circunstancias han de actuar c</w:t>
      </w:r>
      <w:r>
        <w:t>o</w:t>
      </w:r>
      <w:r>
        <w:t xml:space="preserve">mo </w:t>
      </w:r>
      <w:r>
        <w:rPr>
          <w:u w:val="single"/>
        </w:rPr>
        <w:t>índices de un peligro para la recta administración de la justicia frente al caso particular</w:t>
      </w:r>
      <w:r>
        <w:t xml:space="preserve"> (subrayado es del Tribunal), sea que pueda afectarse un interés público o un interés privado co</w:t>
      </w:r>
      <w:r>
        <w:t>m</w:t>
      </w:r>
      <w:r>
        <w:t>prometido en el proceso”.</w:t>
      </w:r>
    </w:p>
    <w:p w:rsidR="00224567" w:rsidRDefault="00224567">
      <w:pPr>
        <w:widowControl w:val="0"/>
      </w:pPr>
      <w:r>
        <w:tab/>
        <w:t>Indica que “razones de cierta impo</w:t>
      </w:r>
      <w:r>
        <w:t>r</w:t>
      </w:r>
      <w:r>
        <w:t>tancia, que las leyes procesales suelen enumerar con pr</w:t>
      </w:r>
      <w:r>
        <w:t>e</w:t>
      </w:r>
      <w:r>
        <w:t>tensión de agotarlas, pueden influir decisivamente en el ánimo del juez, en forma de no permitirle objetivizar el criterio de justicia exigido por el interés social, fav</w:t>
      </w:r>
      <w:r>
        <w:t>o</w:t>
      </w:r>
      <w:r>
        <w:t>reciendo o perjudicando indebidamente al imputado o a las partes c</w:t>
      </w:r>
      <w:r>
        <w:t>i</w:t>
      </w:r>
      <w:r>
        <w:t>viles cuando intervengan en el proceso. Esto hace que se permita o imponga, según los casos, la exclusión o apartamiento del juez penal sospechoso, tanto del unipe</w:t>
      </w:r>
      <w:r>
        <w:t>r</w:t>
      </w:r>
      <w:r>
        <w:t>sonal, como de cualquiera de los miembros de los tribun</w:t>
      </w:r>
      <w:r>
        <w:t>a</w:t>
      </w:r>
      <w:r>
        <w:t>les colegiados, en cuyo caso se lo reemplazará con otros insospechados a los sistemas v</w:t>
      </w:r>
      <w:r>
        <w:t>i</w:t>
      </w:r>
      <w:r>
        <w:t>gentes al efecto”.</w:t>
      </w:r>
    </w:p>
    <w:p w:rsidR="00224567" w:rsidRDefault="00224567">
      <w:pPr>
        <w:widowControl w:val="0"/>
      </w:pPr>
      <w:r>
        <w:tab/>
      </w:r>
      <w:r>
        <w:rPr>
          <w:bCs/>
        </w:rPr>
        <w:t>Claus Roxin</w:t>
      </w:r>
      <w:r>
        <w:t xml:space="preserve"> (“Derecho Procesal Al</w:t>
      </w:r>
      <w:r>
        <w:t>e</w:t>
      </w:r>
      <w:r>
        <w:t>mán”, Ed. Del Puerto, págs. 41 y sigs.), destaca que tras el conjunto de disposiciones acerca de recusación y excl</w:t>
      </w:r>
      <w:r>
        <w:t>u</w:t>
      </w:r>
      <w:r>
        <w:t>sión del juez “está la idea de que un juez, cuya objetiv</w:t>
      </w:r>
      <w:r>
        <w:t>i</w:t>
      </w:r>
      <w:r>
        <w:t>dad en un proceso determinado está puesta en duda, no debe resolver en ese proceso, tanto en interés de las partes como para mantener la confianza en la i</w:t>
      </w:r>
      <w:r>
        <w:t>m</w:t>
      </w:r>
      <w:r>
        <w:t>parcialidad de la administración de justicia. Este principio está garantiz</w:t>
      </w:r>
      <w:r>
        <w:t>a</w:t>
      </w:r>
      <w:r>
        <w:t>do constitucionalmente en el art. 101, I, 2, GG (BVerfGE 21, 139)”.</w:t>
      </w:r>
    </w:p>
    <w:p w:rsidR="00224567" w:rsidRDefault="00224567">
      <w:pPr>
        <w:widowControl w:val="0"/>
      </w:pPr>
      <w:r>
        <w:tab/>
        <w:t>Señala más adelante, que para la rec</w:t>
      </w:r>
      <w:r>
        <w:t>u</w:t>
      </w:r>
      <w:r>
        <w:t>sación “no se exige que él realmente sea parcial, antes bien, alcanza con que pueda introducirse la sospecha de ello, s</w:t>
      </w:r>
      <w:r>
        <w:t>e</w:t>
      </w:r>
      <w:r>
        <w:t>gún una valoración razonable (cf. BGHSt 1, 37; BGH MDR/D 72, 571)”.</w:t>
      </w:r>
    </w:p>
    <w:p w:rsidR="00224567" w:rsidRDefault="00224567">
      <w:pPr>
        <w:widowControl w:val="0"/>
      </w:pPr>
      <w:r>
        <w:tab/>
      </w:r>
      <w:r>
        <w:rPr>
          <w:bCs/>
        </w:rPr>
        <w:t>Luigi Ferrajoli</w:t>
      </w:r>
      <w:r>
        <w:t xml:space="preserve"> (cfr. “Derecho y R</w:t>
      </w:r>
      <w:r>
        <w:t>a</w:t>
      </w:r>
      <w:r>
        <w:t>zón. Teoría del garantismo penal”, Ed. Trotta, pág. 580) llama imparcialidad “a la ajenidad del juez a los inter</w:t>
      </w:r>
      <w:r>
        <w:t>e</w:t>
      </w:r>
      <w:r>
        <w:t>ses de las partes en la causa, tanto en lo personal como en lo institucional. Añade que “el juez, que, como se ha dicho..., no debe gozar del consenso de la mayoría, debe contar, sin embargo, con la confianza de los sujetos co</w:t>
      </w:r>
      <w:r>
        <w:t>n</w:t>
      </w:r>
      <w:r>
        <w:t>cretos que juzga, de modo que éstos no sólo no tengan, sino, ni siquiera alberguen el temor de llegar a tener un juez enemigo o de cualquier modo no imparcial”.</w:t>
      </w:r>
    </w:p>
    <w:p w:rsidR="00224567" w:rsidRDefault="00224567">
      <w:pPr>
        <w:widowControl w:val="0"/>
      </w:pPr>
      <w:r>
        <w:tab/>
        <w:t xml:space="preserve">Agrega Ferrajoli (ob. cit., pág. 582), que “para garantizar la imparcialidad del juez es preciso que éste no tenga en la causa ni siquiera un interés </w:t>
      </w:r>
      <w:r>
        <w:rPr>
          <w:i/>
        </w:rPr>
        <w:t>p</w:t>
      </w:r>
      <w:r>
        <w:rPr>
          <w:i/>
        </w:rPr>
        <w:t>ú</w:t>
      </w:r>
      <w:r>
        <w:rPr>
          <w:i/>
        </w:rPr>
        <w:t>blico</w:t>
      </w:r>
      <w:r>
        <w:t xml:space="preserve"> </w:t>
      </w:r>
      <w:r>
        <w:rPr>
          <w:i/>
        </w:rPr>
        <w:t>o institucional</w:t>
      </w:r>
      <w:r>
        <w:t>. En particular, es necesario que no tenga un interés acusatorio, y que por esto no ejercite simultáneamente las funciones de acusación, como, por el contrario, ocurre en el proceso inquisitivo y, aunque de manera ambigua, también en el mixto. Sólo así puede el proceso conservar un carácter ‘cognoscitivo’ o como dice Beccaria, ‘informativo’ y no degradar en ‘proceso ofens</w:t>
      </w:r>
      <w:r>
        <w:t>i</w:t>
      </w:r>
      <w:r>
        <w:t>vo’ donde ‘el juez se hace enemigo del reo’”.</w:t>
      </w:r>
    </w:p>
    <w:p w:rsidR="00224567" w:rsidRDefault="00224567">
      <w:pPr>
        <w:widowControl w:val="0"/>
      </w:pPr>
      <w:r>
        <w:tab/>
      </w:r>
      <w:r>
        <w:rPr>
          <w:bCs/>
        </w:rPr>
        <w:t>Pedro J. Bertolino</w:t>
      </w:r>
      <w:r>
        <w:rPr>
          <w:b/>
        </w:rPr>
        <w:t xml:space="preserve"> </w:t>
      </w:r>
      <w:r>
        <w:t>sostiene que la g</w:t>
      </w:r>
      <w:r>
        <w:t>a</w:t>
      </w:r>
      <w:r>
        <w:t>rantía del debido proceso surge como más gen</w:t>
      </w:r>
      <w:r>
        <w:t>e</w:t>
      </w:r>
      <w:r>
        <w:t>ral y extensa que la de la defensa en juicio, “que contendría, precis</w:t>
      </w:r>
      <w:r>
        <w:t>a</w:t>
      </w:r>
      <w:r>
        <w:t>mente como específica y menos extensa, más notas partic</w:t>
      </w:r>
      <w:r>
        <w:t>u</w:t>
      </w:r>
      <w:r>
        <w:t>lares circunscribientes”. Añade, “sin embargo, y en todo caso, para nosotros lo fundamental sería siempre esto: a</w:t>
      </w:r>
      <w:r>
        <w:t>m</w:t>
      </w:r>
      <w:r>
        <w:t>bas en su integración y complementación mutua, tienden a aprisionar con pretensión correcta el mayor espectro pos</w:t>
      </w:r>
      <w:r>
        <w:t>i</w:t>
      </w:r>
      <w:r>
        <w:t xml:space="preserve">ble de situaciones que, por un lado, nieguen el proceso que al ciudadano </w:t>
      </w:r>
      <w:r>
        <w:rPr>
          <w:i/>
        </w:rPr>
        <w:t>le es debido</w:t>
      </w:r>
      <w:r>
        <w:t xml:space="preserve"> como institución exigida constituci</w:t>
      </w:r>
      <w:r>
        <w:t>o</w:t>
      </w:r>
      <w:r>
        <w:t xml:space="preserve">nalmente y, por el otro, no se corresponden con el proceso que debe estar realizado </w:t>
      </w:r>
      <w:r>
        <w:rPr>
          <w:i/>
        </w:rPr>
        <w:t>como es debido</w:t>
      </w:r>
      <w:r>
        <w:t xml:space="preserve"> según las leyes procedimentales conforme a </w:t>
      </w:r>
      <w:smartTag w:uri="urn:schemas-microsoft-com:office:smarttags" w:element="PersonName">
        <w:smartTagPr>
          <w:attr w:name="ProductID" w:val="la Constituci￳n"/>
        </w:smartTagPr>
        <w:r>
          <w:t>la Constitución</w:t>
        </w:r>
      </w:smartTag>
      <w:r>
        <w:t>” (cfr. “El Debido Proceso Legal”, pág.134 y ss.; Librería Editora Plate</w:t>
      </w:r>
      <w:r>
        <w:t>n</w:t>
      </w:r>
      <w:r>
        <w:t>se, 1986).</w:t>
      </w:r>
    </w:p>
    <w:p w:rsidR="00224567" w:rsidRDefault="00224567">
      <w:pPr>
        <w:widowControl w:val="0"/>
      </w:pPr>
      <w:r>
        <w:tab/>
        <w:t>Piensa Bertolino “que en el n</w:t>
      </w:r>
      <w:r>
        <w:t>ú</w:t>
      </w:r>
      <w:r>
        <w:t xml:space="preserve">cleo de la garantía del debido proceso se sitúa, como haciendo parte principalísima de ella, </w:t>
      </w:r>
      <w:r>
        <w:rPr>
          <w:i/>
        </w:rPr>
        <w:t>el principio de imparcial</w:t>
      </w:r>
      <w:r>
        <w:rPr>
          <w:i/>
        </w:rPr>
        <w:t>i</w:t>
      </w:r>
      <w:r>
        <w:rPr>
          <w:i/>
        </w:rPr>
        <w:t xml:space="preserve">dad”, </w:t>
      </w:r>
      <w:r>
        <w:t>destacando que así, la evolución jurídica, llegó a la figura del juez como te</w:t>
      </w:r>
      <w:r>
        <w:t>r</w:t>
      </w:r>
      <w:r>
        <w:t>cero imparcial.</w:t>
      </w:r>
    </w:p>
    <w:p w:rsidR="00224567" w:rsidRDefault="00224567">
      <w:pPr>
        <w:widowControl w:val="0"/>
      </w:pPr>
      <w:r>
        <w:tab/>
        <w:t>Cita Bertolino la opinión de Werner Goldschmidt acerca de la imparcialidad, en cuanto so</w:t>
      </w:r>
      <w:r>
        <w:t>s</w:t>
      </w:r>
      <w:r>
        <w:t>tiene que importa “ser objetivo, sumergirse en el objeto, al margen de toda subjetividad”; también la de Aragoneses Alonso, quien tras destacar que “la imparcialidad es un</w:t>
      </w:r>
      <w:r>
        <w:rPr>
          <w:i/>
        </w:rPr>
        <w:t>o de los principios supremos del proceso”,</w:t>
      </w:r>
      <w:r>
        <w:t xml:space="preserve"> afirma que es una especie determinada de motivación, “consistente en que la declaración o resolución </w:t>
      </w:r>
      <w:r>
        <w:rPr>
          <w:u w:val="single"/>
        </w:rPr>
        <w:t>se orienta en el deseo de decir la verdad, de dictaminar con exactitud, de resolver justa o legalmente</w:t>
      </w:r>
      <w:r>
        <w:t>” (el su</w:t>
      </w:r>
      <w:r>
        <w:t>b</w:t>
      </w:r>
      <w:r>
        <w:t>rayado es del Tribunal).</w:t>
      </w:r>
    </w:p>
    <w:p w:rsidR="00224567" w:rsidRDefault="00224567">
      <w:pPr>
        <w:widowControl w:val="0"/>
      </w:pPr>
      <w:r>
        <w:tab/>
      </w:r>
      <w:r w:rsidRPr="00F05CC0">
        <w:rPr>
          <w:bCs/>
          <w:lang w:val="es-AR"/>
        </w:rPr>
        <w:t>Jan Woischnik</w:t>
      </w:r>
      <w:r w:rsidRPr="00F05CC0">
        <w:rPr>
          <w:lang w:val="es-AR"/>
        </w:rPr>
        <w:t xml:space="preserve"> (cfr. </w:t>
      </w:r>
      <w:r>
        <w:t>“Juez de Instru</w:t>
      </w:r>
      <w:r>
        <w:t>c</w:t>
      </w:r>
      <w:r>
        <w:t>ción y Derechos Humanos en Argentina. Un análisis cr</w:t>
      </w:r>
      <w:r>
        <w:t>í</w:t>
      </w:r>
      <w:r>
        <w:t xml:space="preserve">tico del Código Procesal Penal de </w:t>
      </w:r>
      <w:smartTag w:uri="urn:schemas-microsoft-com:office:smarttags" w:element="PersonName">
        <w:smartTagPr>
          <w:attr w:name="ProductID" w:val="la Naci￳n"/>
        </w:smartTagPr>
        <w:r>
          <w:t>la Nación</w:t>
        </w:r>
      </w:smartTag>
      <w:r>
        <w:t xml:space="preserve">”, pág. 161 y ss.; Konrad Adenauer -Stiftung- Ed. “Ad-Hoc”) señala que las garantías procesales del art. 8º de </w:t>
      </w:r>
      <w:smartTag w:uri="urn:schemas-microsoft-com:office:smarttags" w:element="PersonName">
        <w:smartTagPr>
          <w:attr w:name="ProductID" w:val="la Convenci￳n Americana"/>
        </w:smartTagPr>
        <w:r>
          <w:t>la Convención Americ</w:t>
        </w:r>
        <w:r>
          <w:t>a</w:t>
        </w:r>
        <w:r>
          <w:t>na</w:t>
        </w:r>
      </w:smartTag>
      <w:r>
        <w:t xml:space="preserve"> de Derechos Humanos, se refieren primariamente al ju</w:t>
      </w:r>
      <w:r>
        <w:t>i</w:t>
      </w:r>
      <w:r>
        <w:t>cio oral, pero, no obstante, de esa norma, surgen cond</w:t>
      </w:r>
      <w:r>
        <w:t>i</w:t>
      </w:r>
      <w:r>
        <w:t>ciones, también exigencias, para el procedimiento prelim</w:t>
      </w:r>
      <w:r>
        <w:t>i</w:t>
      </w:r>
      <w:r>
        <w:t>nar, dado que la fórmula “en la sustanciación de cualquier acusación penal” no importa que recién se proteja al imp</w:t>
      </w:r>
      <w:r>
        <w:t>u</w:t>
      </w:r>
      <w:r>
        <w:t>tado a pa</w:t>
      </w:r>
      <w:r>
        <w:t>r</w:t>
      </w:r>
      <w:r>
        <w:t>tir del momento en que se formula la acusación.</w:t>
      </w:r>
    </w:p>
    <w:p w:rsidR="00224567" w:rsidRDefault="00224567">
      <w:pPr>
        <w:widowControl w:val="0"/>
      </w:pPr>
      <w:r>
        <w:tab/>
        <w:t>En tal sentido, destaca que según p</w:t>
      </w:r>
      <w:r>
        <w:t>a</w:t>
      </w:r>
      <w:r>
        <w:t>cífica jurisprudencia del Tribunal Europeo de Derechos H</w:t>
      </w:r>
      <w:r>
        <w:t>u</w:t>
      </w:r>
      <w:r>
        <w:t>manos “el concepto de ‘acusación’ (charge), para la dete</w:t>
      </w:r>
      <w:r>
        <w:t>r</w:t>
      </w:r>
      <w:r>
        <w:t xml:space="preserve">minación del ámbito temporal de aplicación de la norma (art. 6º de </w:t>
      </w:r>
      <w:smartTag w:uri="urn:schemas-microsoft-com:office:smarttags" w:element="PersonName">
        <w:smartTagPr>
          <w:attr w:name="ProductID" w:val="la CEDH"/>
        </w:smartTagPr>
        <w:r>
          <w:t>la CEDH</w:t>
        </w:r>
      </w:smartTag>
      <w:r>
        <w:t>), no debe entenderse en se</w:t>
      </w:r>
      <w:r>
        <w:t>n</w:t>
      </w:r>
      <w:r>
        <w:t>tido formal sino material, teniéndose en consideración las circunsta</w:t>
      </w:r>
      <w:r>
        <w:t>n</w:t>
      </w:r>
      <w:r>
        <w:t>cias fácticas del procedimiento que corresponde juzgar. Una persona está ‘acusada’ a partir del momento en que la autoridad competente le comunica oficialmente que se la inculpa de un delito, o que existe la sospecha de que ha cometido un hecho pun</w:t>
      </w:r>
      <w:r>
        <w:t>i</w:t>
      </w:r>
      <w:r>
        <w:t>ble”.</w:t>
      </w:r>
    </w:p>
    <w:p w:rsidR="00224567" w:rsidRDefault="00224567">
      <w:pPr>
        <w:widowControl w:val="0"/>
      </w:pPr>
      <w:r>
        <w:tab/>
        <w:t xml:space="preserve">De tal modo, apunta Woischnik, “puede sostenerse que el art. 8º, párr. 1º de </w:t>
      </w:r>
      <w:smartTag w:uri="urn:schemas-microsoft-com:office:smarttags" w:element="PersonName">
        <w:smartTagPr>
          <w:attr w:name="ProductID" w:val="la CADH"/>
        </w:smartTagPr>
        <w:r>
          <w:t>la CADH</w:t>
        </w:r>
      </w:smartTag>
      <w:r>
        <w:t xml:space="preserve"> es aplic</w:t>
      </w:r>
      <w:r>
        <w:t>a</w:t>
      </w:r>
      <w:r>
        <w:t>ble ya en el procedimiento preliminar o etapa preparat</w:t>
      </w:r>
      <w:r>
        <w:t>o</w:t>
      </w:r>
      <w:r>
        <w:t>ria, en tanto la realización de tal procedimiento perjud</w:t>
      </w:r>
      <w:r>
        <w:t>i</w:t>
      </w:r>
      <w:r>
        <w:t>que al imputado de manera co</w:t>
      </w:r>
      <w:r>
        <w:t>n</w:t>
      </w:r>
      <w:r>
        <w:t>siderable”. Añade que, “según el derecho procesal penal federal argent</w:t>
      </w:r>
      <w:r>
        <w:t>i</w:t>
      </w:r>
      <w:r>
        <w:t xml:space="preserve">no, ello ocurre a más tardar con la primera indagatoria (art. </w:t>
      </w:r>
      <w:smartTag w:uri="urn:schemas-microsoft-com:office:smarttags" w:element="metricconverter">
        <w:smartTagPr>
          <w:attr w:name="ProductID" w:val="294 C"/>
        </w:smartTagPr>
        <w:r>
          <w:t>294 C</w:t>
        </w:r>
      </w:smartTag>
      <w:r>
        <w:t>.P.P.N.) durante el curso del procedimiento preliminar, pues es a lo sumo en ese momento cuando el imputado toma conocimie</w:t>
      </w:r>
      <w:r>
        <w:t>n</w:t>
      </w:r>
      <w:r>
        <w:t>to de la investigación dirigida en su c</w:t>
      </w:r>
      <w:r>
        <w:t>o</w:t>
      </w:r>
      <w:r>
        <w:t>ntra”.</w:t>
      </w:r>
    </w:p>
    <w:p w:rsidR="00224567" w:rsidRDefault="00224567">
      <w:pPr>
        <w:widowControl w:val="0"/>
      </w:pPr>
      <w:r>
        <w:tab/>
        <w:t>Acerca del concepto de imparci</w:t>
      </w:r>
      <w:r>
        <w:t>a</w:t>
      </w:r>
      <w:r>
        <w:t>lidad, siguiendo la definición del Tribunal Europeo de Derechos Humanos (caso “Piersack”), precisa que significa “ausencia de prejuicios y no tomar partido”, agregando que “en un Estado democrático, los derechos procesales tienen, en el sentido de la convención, una posición tan jerarquizada, que una i</w:t>
      </w:r>
      <w:r>
        <w:t>n</w:t>
      </w:r>
      <w:r>
        <w:t>terpretación restrictiva de este precepto no se corresponde ni con su fin ni con su objeto de prote</w:t>
      </w:r>
      <w:r>
        <w:t>c</w:t>
      </w:r>
      <w:r>
        <w:t>ción” (ob. cit., pág. 163 y ss.).</w:t>
      </w:r>
    </w:p>
    <w:p w:rsidR="00224567" w:rsidRDefault="00224567">
      <w:pPr>
        <w:widowControl w:val="0"/>
      </w:pPr>
      <w:r>
        <w:tab/>
      </w:r>
      <w:r>
        <w:rPr>
          <w:bCs/>
        </w:rPr>
        <w:t>Luis M. García</w:t>
      </w:r>
      <w:r>
        <w:t>, en su trabajo “</w:t>
      </w:r>
      <w:smartTag w:uri="urn:schemas-microsoft-com:office:smarttags" w:element="PersonName">
        <w:smartTagPr>
          <w:attr w:name="ProductID" w:val="La Noci￳n"/>
        </w:smartTagPr>
        <w:r>
          <w:t>La N</w:t>
        </w:r>
        <w:r>
          <w:t>o</w:t>
        </w:r>
        <w:r>
          <w:t>ción</w:t>
        </w:r>
      </w:smartTag>
      <w:r>
        <w:t xml:space="preserve"> de Tribunal Imparcial en los Instrumentos Internaci</w:t>
      </w:r>
      <w:r>
        <w:t>o</w:t>
      </w:r>
      <w:r>
        <w:t>nales de Derechos Humanos -El caso ‘Zenzerovich’-: una oportunidad perdida” (ver “</w:t>
      </w:r>
      <w:smartTag w:uri="urn:schemas-microsoft-com:office:smarttags" w:element="PersonName">
        <w:smartTagPr>
          <w:attr w:name="ProductID" w:val="La Ley"/>
        </w:smartTagPr>
        <w:r>
          <w:t>La Ley</w:t>
        </w:r>
      </w:smartTag>
      <w:r>
        <w:t>”, 1999-E, 223), destaca que en la doctrina del Tribunal Europeo de Derechos Hum</w:t>
      </w:r>
      <w:r>
        <w:t>a</w:t>
      </w:r>
      <w:r>
        <w:t>nos imparcialidad significa falta de prejuicios o de pa</w:t>
      </w:r>
      <w:r>
        <w:t>r</w:t>
      </w:r>
      <w:r>
        <w:t>cialidad y que para comprobar si se ha satisfecho el r</w:t>
      </w:r>
      <w:r>
        <w:t>e</w:t>
      </w:r>
      <w:r>
        <w:t>quisito de imparcialidad, el citado tr</w:t>
      </w:r>
      <w:r>
        <w:t>i</w:t>
      </w:r>
      <w:r>
        <w:t>bunal desarrolló un test con dos abordajes, uno subj</w:t>
      </w:r>
      <w:r>
        <w:t>e</w:t>
      </w:r>
      <w:r>
        <w:t>tivo y otro objetivo.</w:t>
      </w:r>
    </w:p>
    <w:p w:rsidR="00224567" w:rsidRDefault="00224567">
      <w:pPr>
        <w:widowControl w:val="0"/>
      </w:pPr>
      <w:r>
        <w:tab/>
        <w:t>En el subjetivo, refiere García, “el examen se centra, en general, en la revisión del modo en que se condujo el caso, y de su atmósfera”, añadie</w:t>
      </w:r>
      <w:r>
        <w:t>n</w:t>
      </w:r>
      <w:r>
        <w:t>do que “en suma, parecería que la exterior</w:t>
      </w:r>
      <w:r>
        <w:t>i</w:t>
      </w:r>
      <w:r>
        <w:t>zación de expresiones prejuiciosas por un juez, no serían ‘per se’ decisivas p</w:t>
      </w:r>
      <w:r>
        <w:t>a</w:t>
      </w:r>
      <w:r>
        <w:t>ra determinar una violación al principio del juez impa</w:t>
      </w:r>
      <w:r>
        <w:t>r</w:t>
      </w:r>
      <w:r>
        <w:t>cial, salvo que se pueda demostrar que esto resultó en un perjuicio r</w:t>
      </w:r>
      <w:r>
        <w:t>e</w:t>
      </w:r>
      <w:r>
        <w:t>al para el acusado”.</w:t>
      </w:r>
    </w:p>
    <w:p w:rsidR="00224567" w:rsidRDefault="00224567">
      <w:pPr>
        <w:widowControl w:val="0"/>
      </w:pPr>
      <w:r>
        <w:tab/>
        <w:t>En orden a la prueba objetiva, resa</w:t>
      </w:r>
      <w:r>
        <w:t>l</w:t>
      </w:r>
      <w:r>
        <w:t>ta el autor, con cita de los casos “Sramek v. Austria”,  “Borgers v. Belgica”,  “Fey v. Austria” y  “Thorgeir  Thorgeirson c. Islandia”, que el Tribunal Europeo de Der</w:t>
      </w:r>
      <w:r>
        <w:t>e</w:t>
      </w:r>
      <w:r>
        <w:t>chos Humanos subrayó la importancia de las apariencias y expresó que “lo que está en juego es la confia</w:t>
      </w:r>
      <w:r>
        <w:t>n</w:t>
      </w:r>
      <w:r>
        <w:t>za que los tribunales, en una sociedad democrática, d</w:t>
      </w:r>
      <w:r>
        <w:t>e</w:t>
      </w:r>
      <w:r>
        <w:t>ben inspirar en el público y en el acusado, sobre todo, en cuanto respecta a los pr</w:t>
      </w:r>
      <w:r>
        <w:t>o</w:t>
      </w:r>
      <w:r>
        <w:t>cedimientos criminales”.</w:t>
      </w:r>
    </w:p>
    <w:p w:rsidR="00224567" w:rsidRDefault="00224567">
      <w:pPr>
        <w:widowControl w:val="0"/>
      </w:pPr>
      <w:r>
        <w:tab/>
        <w:t>Sobre la aplicación del test o</w:t>
      </w:r>
      <w:r>
        <w:t>b</w:t>
      </w:r>
      <w:r>
        <w:t>jetivo precisa García, con cita de los casos “Hauschildt v. Din</w:t>
      </w:r>
      <w:r>
        <w:t>a</w:t>
      </w:r>
      <w:r>
        <w:t>marca”, ”Fey v. Austria”, “Padovani c. Italia”, “Saraiva de Carvalho c. Portugal”, “Remili c. Francia”, “Gregory v. Reino Unido”, “Incal c. Turquía”, “Campbell y Fell  v.  Reino Unido” y “Sramek v. Austria”, resueltos por el Tr</w:t>
      </w:r>
      <w:r>
        <w:t>i</w:t>
      </w:r>
      <w:r>
        <w:t>bunal Europeo de Derechos Humanos, “que la opinión de la parte que alega parcialidad es importante pero no decis</w:t>
      </w:r>
      <w:r>
        <w:t>i</w:t>
      </w:r>
      <w:r>
        <w:t>va, lo que es crucial es si una d</w:t>
      </w:r>
      <w:r>
        <w:t>u</w:t>
      </w:r>
      <w:r>
        <w:t>da sobre la parcialidad puede ser ‘justificada objetivamente’. Si hay una ‘duda legítima’ o ‘razonable’ sobre la imparcialidad del juez, éste debe apartarse del caso”.</w:t>
      </w:r>
    </w:p>
    <w:p w:rsidR="00224567" w:rsidRDefault="00224567">
      <w:pPr>
        <w:widowControl w:val="0"/>
      </w:pPr>
      <w:r>
        <w:tab/>
        <w:t>En nuestro medio el Jurado de Enju</w:t>
      </w:r>
      <w:r>
        <w:t>i</w:t>
      </w:r>
      <w:r>
        <w:t xml:space="preserve">ciamiento de Magistrados de </w:t>
      </w:r>
      <w:smartTag w:uri="urn:schemas-microsoft-com:office:smarttags" w:element="PersonName">
        <w:smartTagPr>
          <w:attr w:name="ProductID" w:val="la Naci￳n"/>
        </w:smartTagPr>
        <w:r>
          <w:t>la Nación</w:t>
        </w:r>
      </w:smartTag>
      <w:r>
        <w:t>, en la causa nº 6, “Dr. Luis Alberto Leiva s/ pedido de enjuiciamiento”, r</w:t>
      </w:r>
      <w:r>
        <w:t>e</w:t>
      </w:r>
      <w:r>
        <w:t>suelta el 9 de mayo de 2002, afirmó que reviste extrema gravedad la conducta del magistrado “por cuanto el incu</w:t>
      </w:r>
      <w:r>
        <w:t>m</w:t>
      </w:r>
      <w:r>
        <w:t>plimiento de su obligación legal de inhibirse ha comprom</w:t>
      </w:r>
      <w:r>
        <w:t>e</w:t>
      </w:r>
      <w:r>
        <w:t>tido irremediablemente su deber de imparci</w:t>
      </w:r>
      <w:r>
        <w:t>a</w:t>
      </w:r>
      <w:r>
        <w:t>lidad, atributo inabdicable de la función judicial para preservar sin a</w:t>
      </w:r>
      <w:r>
        <w:t>l</w:t>
      </w:r>
      <w:r>
        <w:t>teraciones la confianza pública, y condición inexcusable para asegurar un juicio justo”.</w:t>
      </w:r>
    </w:p>
    <w:p w:rsidR="00224567" w:rsidRDefault="00224567">
      <w:pPr>
        <w:widowControl w:val="0"/>
      </w:pPr>
      <w:r>
        <w:tab/>
        <w:t>Agregó el citado tribunal que, al no excusarse, el juez “ha desoído uno de sus primeros d</w:t>
      </w:r>
      <w:r>
        <w:t>e</w:t>
      </w:r>
      <w:r>
        <w:t>beres como juez, negando a las personas investigadas en la ca</w:t>
      </w:r>
      <w:r>
        <w:t>u</w:t>
      </w:r>
      <w:r>
        <w:t>sa..., uno de sus elementales derechos como ciudadanos, cual es el de ser juzgados por un juez imparcial, convi</w:t>
      </w:r>
      <w:r>
        <w:t>r</w:t>
      </w:r>
      <w:r>
        <w:t>tiendo el proceso que llevaba adelante en un artificioso remedo de procedimiento judicial, donde la eficacia, ecu</w:t>
      </w:r>
      <w:r>
        <w:t>a</w:t>
      </w:r>
      <w:r>
        <w:t>nimidad y legalidad de la función jurisdiccional se enco</w:t>
      </w:r>
      <w:r>
        <w:t>n</w:t>
      </w:r>
      <w:r>
        <w:t>tr</w:t>
      </w:r>
      <w:r>
        <w:t>a</w:t>
      </w:r>
      <w:r>
        <w:t>ban inexcusablemente ausentes”.</w:t>
      </w:r>
    </w:p>
    <w:p w:rsidR="00224567" w:rsidRDefault="00224567">
      <w:pPr>
        <w:widowControl w:val="0"/>
      </w:pPr>
      <w:r>
        <w:tab/>
        <w:t>Al abordar Carlos Santiago Nino (cfr. “Fu</w:t>
      </w:r>
      <w:r>
        <w:t>n</w:t>
      </w:r>
      <w:r>
        <w:t>damentos de Derecho Constitucional”, pág. 448 y sgts., Ed. “Astrea”, Bs. As., 1992) la idea del debido proceso, enseña que el “...judicial debe estar guiado por tres grandes principios mutuamente complementarios en su co</w:t>
      </w:r>
      <w:r>
        <w:t>n</w:t>
      </w:r>
      <w:r>
        <w:t>tribución a que se haga justicia en el ejercicio de la coacción estatal”, siendo ellos: a) el de observancia de la ley dictada por los órganos democráticos, b) el de bú</w:t>
      </w:r>
      <w:r>
        <w:t>s</w:t>
      </w:r>
      <w:r>
        <w:t>queda irrestricta de la verdad sobre los hechos y, c) el de imparcialidad, “tan absoluta cuanto sea posible entre las partes contendientes en el proceso”.</w:t>
      </w:r>
    </w:p>
    <w:p w:rsidR="00224567" w:rsidRDefault="00224567">
      <w:pPr>
        <w:widowControl w:val="0"/>
      </w:pPr>
      <w:r>
        <w:tab/>
        <w:t>En relación al principio de imparci</w:t>
      </w:r>
      <w:r>
        <w:t>a</w:t>
      </w:r>
      <w:r>
        <w:t>lidad, Nino sostiene que éste es esencial entre las pa</w:t>
      </w:r>
      <w:r>
        <w:t>r</w:t>
      </w:r>
      <w:r>
        <w:t>tes, “para que el proceso albergue un genuino diál</w:t>
      </w:r>
      <w:r>
        <w:t>o</w:t>
      </w:r>
      <w:r>
        <w:t>go, en el que las partes tengan amplia posibilidad de justificar sus pretensiones, percibiéndose a la decisión final como la conclusión que refleje el balance de razones ofrec</w:t>
      </w:r>
      <w:r>
        <w:t>i</w:t>
      </w:r>
      <w:r>
        <w:t>das”. Asimismo, dicho autor agrega: “Es inherente a la d</w:t>
      </w:r>
      <w:r>
        <w:t>e</w:t>
      </w:r>
      <w:r>
        <w:t>mocracia liberal que los intereses agregativos de la com</w:t>
      </w:r>
      <w:r>
        <w:t>u</w:t>
      </w:r>
      <w:r>
        <w:t>nidad no desplazan automáticamente los intereses antagón</w:t>
      </w:r>
      <w:r>
        <w:t>i</w:t>
      </w:r>
      <w:r>
        <w:t>cos de un individuo, sino que éstos, cuando son protegidos por derechos, tienen un peso propio que puede llegar a cancelar el cálculo del beneficio global de la sociedad”.</w:t>
      </w:r>
    </w:p>
    <w:p w:rsidR="00224567" w:rsidRDefault="00224567">
      <w:pPr>
        <w:widowControl w:val="0"/>
      </w:pPr>
      <w:r>
        <w:tab/>
        <w:t>Añade Nino que ello “es representado en el proceso por la paridad de condiciones en el di</w:t>
      </w:r>
      <w:r>
        <w:t>á</w:t>
      </w:r>
      <w:r>
        <w:t>logo entre el individuo y los órganos que expresen los inter</w:t>
      </w:r>
      <w:r>
        <w:t>e</w:t>
      </w:r>
      <w:r>
        <w:t>ses del conjunto social -como los fiscales-, manteniendo el juez una posición equidi</w:t>
      </w:r>
      <w:r>
        <w:t>s</w:t>
      </w:r>
      <w:r>
        <w:t>tante”.</w:t>
      </w:r>
    </w:p>
    <w:p w:rsidR="00224567" w:rsidRDefault="00224567">
      <w:pPr>
        <w:widowControl w:val="0"/>
      </w:pPr>
      <w:r>
        <w:tab/>
        <w:t>Sobre la base normativa, jurisprude</w:t>
      </w:r>
      <w:r>
        <w:t>n</w:t>
      </w:r>
      <w:r>
        <w:t>cial y doctrinaria expuesta, corresponde examinar si el cometido del juez instructor estuvo guiado, en palabras de Aragoneses Alonso, en el deseo de buscar la verdad y de resolver justa o lega</w:t>
      </w:r>
      <w:r>
        <w:t>l</w:t>
      </w:r>
      <w:r>
        <w:t>mente.</w:t>
      </w:r>
    </w:p>
    <w:p w:rsidR="00224567" w:rsidRDefault="00224567">
      <w:pPr>
        <w:widowControl w:val="0"/>
      </w:pPr>
      <w:r>
        <w:tab/>
        <w:t>En nada obsta el cometido enu</w:t>
      </w:r>
      <w:r>
        <w:t>n</w:t>
      </w:r>
      <w:r>
        <w:t>ciado en el párrafo precedente, la circunstancia de que el proceso alcanzara la etapa del juicio y que éste  se  hubiese  desarrollado en su integridad, dado que fue durante esta etapa cuando trascendieron diversas circunstancias que llevan a preguntarse si fueron protegidas el conjunto de garantías constitucionales enderezadas a tutelar al ciud</w:t>
      </w:r>
      <w:r>
        <w:t>a</w:t>
      </w:r>
      <w:r>
        <w:t>dano desde su primer contacto con la maquinaria de inve</w:t>
      </w:r>
      <w:r>
        <w:t>s</w:t>
      </w:r>
      <w:r>
        <w:t>tigación estatal, esto es en la etapa instructoria o pr</w:t>
      </w:r>
      <w:r>
        <w:t>e</w:t>
      </w:r>
      <w:r>
        <w:t>liminar, en tanto allí puede perjudicarse al imputado de manera cons</w:t>
      </w:r>
      <w:r>
        <w:t>i</w:t>
      </w:r>
      <w:r>
        <w:t>derable (Woischnik, ob. cit.).</w:t>
      </w:r>
    </w:p>
    <w:p w:rsidR="00224567" w:rsidRDefault="00224567">
      <w:pPr>
        <w:widowControl w:val="0"/>
      </w:pPr>
      <w:r>
        <w:tab/>
        <w:t>Para ello, resulta por demás trasce</w:t>
      </w:r>
      <w:r>
        <w:t>n</w:t>
      </w:r>
      <w:r>
        <w:t>dente establecer si las supuestas irregularidades comet</w:t>
      </w:r>
      <w:r>
        <w:t>i</w:t>
      </w:r>
      <w:r>
        <w:t>das por el juez Galeano, denunciadas por casi todas las partes, excepto los apoderados de A.M.I.A. y D.A.I.A, pe</w:t>
      </w:r>
      <w:r>
        <w:t>r</w:t>
      </w:r>
      <w:r>
        <w:t>judicaron la defensa de los imputados y, en su caso, si esas consecuencias se proyectaron sobre las ulteriores instancias del pr</w:t>
      </w:r>
      <w:r>
        <w:t>o</w:t>
      </w:r>
      <w:r>
        <w:t>ceso.</w:t>
      </w:r>
    </w:p>
    <w:p w:rsidR="00224567" w:rsidRDefault="00224567">
      <w:pPr>
        <w:widowControl w:val="0"/>
      </w:pPr>
      <w:r>
        <w:tab/>
      </w:r>
      <w:r>
        <w:rPr>
          <w:b/>
          <w:bCs/>
        </w:rPr>
        <w:t xml:space="preserve">A.2) </w:t>
      </w:r>
      <w:r>
        <w:t>A la luz de las premisas que a</w:t>
      </w:r>
      <w:r>
        <w:t>n</w:t>
      </w:r>
      <w:r>
        <w:t>teceden cabe examinar si la actuación del juez instru</w:t>
      </w:r>
      <w:r>
        <w:t>c</w:t>
      </w:r>
      <w:r>
        <w:t>tor soporta la aplicación de los comentados parámetros; es d</w:t>
      </w:r>
      <w:r>
        <w:t>e</w:t>
      </w:r>
      <w:r>
        <w:t>cir, si atraviesa el fino cedazo de la imparcial</w:t>
      </w:r>
      <w:r>
        <w:t>i</w:t>
      </w:r>
      <w:r>
        <w:t>dad.</w:t>
      </w:r>
    </w:p>
    <w:p w:rsidR="00224567" w:rsidRDefault="00224567">
      <w:pPr>
        <w:widowControl w:val="0"/>
      </w:pPr>
      <w:r>
        <w:tab/>
        <w:t>Para examinar si la garantía de los procesados a un juez imparcial se mantuvo incólume a lo largo del período instructorio, sin pe</w:t>
      </w:r>
      <w:r>
        <w:t>r</w:t>
      </w:r>
      <w:r>
        <w:t>juicio para ellos, es preciso repasar diversas a</w:t>
      </w:r>
      <w:r>
        <w:t>c</w:t>
      </w:r>
      <w:r>
        <w:t>tuaciones que constituyeron fundamento de las decisiones del magistrado, como así ta</w:t>
      </w:r>
      <w:r>
        <w:t>m</w:t>
      </w:r>
      <w:r>
        <w:t>bién circunstancias del proceso revelan que su actividad no estuvo encaminada al desc</w:t>
      </w:r>
      <w:r>
        <w:t>u</w:t>
      </w:r>
      <w:r>
        <w:t>brimiento de la verdad real.</w:t>
      </w:r>
    </w:p>
    <w:p w:rsidR="00224567" w:rsidRDefault="00224567">
      <w:pPr>
        <w:widowControl w:val="0"/>
      </w:pPr>
      <w:r>
        <w:tab/>
        <w:t>Cabe indagar, asimismo, si sus proc</w:t>
      </w:r>
      <w:r>
        <w:t>e</w:t>
      </w:r>
      <w:r>
        <w:t>deres se adecuaron a la normativa legal vigente y a la transparencia que una sociedad democrática exige de sus magistr</w:t>
      </w:r>
      <w:r>
        <w:t>a</w:t>
      </w:r>
      <w:r>
        <w:t>dos.</w:t>
      </w:r>
    </w:p>
    <w:p w:rsidR="00224567" w:rsidRDefault="00224567">
      <w:pPr>
        <w:widowControl w:val="0"/>
      </w:pPr>
      <w:r>
        <w:tab/>
        <w:t>Enlazado con lo expuesto se e</w:t>
      </w:r>
      <w:r>
        <w:t>n</w:t>
      </w:r>
      <w:r>
        <w:t>cuentra cierta actividad de diversos órganos estatales encam</w:t>
      </w:r>
      <w:r>
        <w:t>i</w:t>
      </w:r>
      <w:r>
        <w:t>nada a sostener políticamente al Dr. G</w:t>
      </w:r>
      <w:r>
        <w:t>a</w:t>
      </w:r>
      <w:r>
        <w:t>leano, como así también a cubrir toda su actividad cuando fue tildada de irreg</w:t>
      </w:r>
      <w:r>
        <w:t>u</w:t>
      </w:r>
      <w:r>
        <w:t>lar, hasta de delictiva.</w:t>
      </w:r>
    </w:p>
    <w:p w:rsidR="00224567" w:rsidRDefault="00224567">
      <w:pPr>
        <w:widowControl w:val="0"/>
      </w:pPr>
      <w:r>
        <w:tab/>
        <w:t xml:space="preserve">La imparcialidad del juez federal Juan José Galeano fue cuestionada, sin suerte, en diversas oportunidades (ver incidentes de recusación), hasta el 3 de diciembre de 2003, oportunidad en que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Nacional"/>
        </w:smartTagPr>
        <w:r>
          <w:t>la Cámara Nacional</w:t>
        </w:r>
      </w:smartTag>
      <w:r>
        <w:t xml:space="preserve"> de Apelaciones en lo Criminal y Correcci</w:t>
      </w:r>
      <w:r>
        <w:t>o</w:t>
      </w:r>
      <w:r>
        <w:t>nal Federal, mediante resolución nº 1047, hizo lugar al apartamiento del magistrado a r</w:t>
      </w:r>
      <w:r>
        <w:t>e</w:t>
      </w:r>
      <w:r>
        <w:t>querimiento de la querella autodenominada “Memoria A</w:t>
      </w:r>
      <w:r>
        <w:t>c</w:t>
      </w:r>
      <w:r>
        <w:t>tiva”.</w:t>
      </w:r>
    </w:p>
    <w:p w:rsidR="00224567" w:rsidRDefault="00224567">
      <w:pPr>
        <w:widowControl w:val="0"/>
      </w:pPr>
      <w:r>
        <w:tab/>
        <w:t>Para así resolver tuvo en cuenta que se cuestionó la imparcialidad del juzgador, “garantía b</w:t>
      </w:r>
      <w:r>
        <w:t>á</w:t>
      </w:r>
      <w:r>
        <w:t>sica del estado de derecho que asegura el debido pr</w:t>
      </w:r>
      <w:r>
        <w:t>o</w:t>
      </w:r>
      <w:r>
        <w:t>ceso y la defensa en juicio”.</w:t>
      </w:r>
    </w:p>
    <w:p w:rsidR="00224567" w:rsidRDefault="00224567">
      <w:pPr>
        <w:widowControl w:val="0"/>
      </w:pPr>
      <w:r>
        <w:tab/>
        <w:t>Para arribar a la mentada solución, procedió a examinar la prueba ofrecida por el recusante, llegando a la conclusión que “la situación ha sufrido m</w:t>
      </w:r>
      <w:r>
        <w:t>o</w:t>
      </w:r>
      <w:r>
        <w:t>dificaciones a partir del avance del juicio oral y del proceso que se sigue contra el magistrado, al haberse r</w:t>
      </w:r>
      <w:r>
        <w:t>e</w:t>
      </w:r>
      <w:r>
        <w:t>levado del secreto de estado a los funci</w:t>
      </w:r>
      <w:r>
        <w:t>o</w:t>
      </w:r>
      <w:r>
        <w:t>narios y agentes del Poder Ejecutivo Nacional (SIDE)”.</w:t>
      </w:r>
    </w:p>
    <w:p w:rsidR="00224567" w:rsidRDefault="00224567">
      <w:pPr>
        <w:widowControl w:val="0"/>
      </w:pPr>
      <w:r>
        <w:tab/>
        <w:t xml:space="preserve">Tras desbrozar la prueba, sostuvo </w:t>
      </w:r>
      <w:smartTag w:uri="urn:schemas-microsoft-com:office:smarttags" w:element="PersonName">
        <w:smartTagPr>
          <w:attr w:name="ProductID" w:val="la C￡mara"/>
        </w:smartTagPr>
        <w:r>
          <w:t>la Cámara</w:t>
        </w:r>
      </w:smartTag>
      <w:r>
        <w:t xml:space="preserve"> “que diversas resultan las vertientes que pueden sembrar sospechas sobre la imparcialidad del magistr</w:t>
      </w:r>
      <w:r>
        <w:t>a</w:t>
      </w:r>
      <w:r>
        <w:t>do”, agregando: “se ha puesto en tela de juicio, seri</w:t>
      </w:r>
      <w:r>
        <w:t>a</w:t>
      </w:r>
      <w:r>
        <w:t>mente, la posibilidad de que haya mediado un pago al imputado T</w:t>
      </w:r>
      <w:r>
        <w:t>e</w:t>
      </w:r>
      <w:r>
        <w:t>lleldín, por orden del Dr. Galeano”. También destacó el citado tribunal que se cuestionó, objetivamente, la dif</w:t>
      </w:r>
      <w:r>
        <w:t>e</w:t>
      </w:r>
      <w:r>
        <w:t>rencia de trato e intervención de las partes.</w:t>
      </w:r>
    </w:p>
    <w:p w:rsidR="00224567" w:rsidRDefault="00224567">
      <w:pPr>
        <w:widowControl w:val="0"/>
      </w:pPr>
      <w:r>
        <w:tab/>
        <w:t xml:space="preserve">Agregó </w:t>
      </w:r>
      <w:smartTag w:uri="urn:schemas-microsoft-com:office:smarttags" w:element="PersonName">
        <w:smartTagPr>
          <w:attr w:name="ProductID" w:val="la Sala I"/>
        </w:smartTagPr>
        <w:r>
          <w:t>la Sala I</w:t>
        </w:r>
      </w:smartTag>
      <w:r>
        <w:t>, que “en suma, todas estas constancias antes reseñadas conforman un cuadro s</w:t>
      </w:r>
      <w:r>
        <w:t>u</w:t>
      </w:r>
      <w:r>
        <w:t xml:space="preserve">ficiente como para tener configurado, a la fecha, el </w:t>
      </w:r>
      <w:r>
        <w:rPr>
          <w:b/>
        </w:rPr>
        <w:t>temor</w:t>
      </w:r>
      <w:r>
        <w:t xml:space="preserve"> de pa</w:t>
      </w:r>
      <w:r>
        <w:t>r</w:t>
      </w:r>
      <w:r>
        <w:t>cialidad del Juez Instructor” (la negrita pertenece a este Tribunal).</w:t>
      </w:r>
    </w:p>
    <w:p w:rsidR="00224567" w:rsidRDefault="00224567">
      <w:pPr>
        <w:widowControl w:val="0"/>
      </w:pPr>
      <w:r>
        <w:tab/>
        <w:t>Es aquí donde debe formularse el pr</w:t>
      </w:r>
      <w:r>
        <w:t>i</w:t>
      </w:r>
      <w:r>
        <w:t>mer r</w:t>
      </w:r>
      <w:r>
        <w:t>e</w:t>
      </w:r>
      <w:r>
        <w:t>paro respecto a la protección que mereció en el caso la garantía de los procesados a la impa</w:t>
      </w:r>
      <w:r>
        <w:t>r</w:t>
      </w:r>
      <w:r>
        <w:t xml:space="preserve">cialidad del juez; ello, debido a que ese </w:t>
      </w:r>
      <w:r>
        <w:rPr>
          <w:bCs/>
        </w:rPr>
        <w:t xml:space="preserve">temor </w:t>
      </w:r>
      <w:r>
        <w:t>había surgido en la causa y se encontraba a la consideración pública desde mucho tie</w:t>
      </w:r>
      <w:r>
        <w:t>m</w:t>
      </w:r>
      <w:r>
        <w:t xml:space="preserve">po antes. Es más, ante presentaciones de similar tenor del imputado Ribelli,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Nacional"/>
        </w:smartTagPr>
        <w:r>
          <w:t>la Cámara Nacional</w:t>
        </w:r>
      </w:smartTag>
      <w:r>
        <w:t xml:space="preserve"> de Ap</w:t>
      </w:r>
      <w:r>
        <w:t>e</w:t>
      </w:r>
      <w:r>
        <w:t>laciones en lo Criminal y Corre</w:t>
      </w:r>
      <w:r>
        <w:t>c</w:t>
      </w:r>
      <w:r>
        <w:t>cional Federal sostuvo que “finalmente, en cuanto al temor de parcialidad alegado, no se advierte que éste se encuentre razonablemente objetiv</w:t>
      </w:r>
      <w:r>
        <w:t>a</w:t>
      </w:r>
      <w:r>
        <w:t>do” (ver resolución del 21 de septiembre de 2001, reg. nº 841), desechando las argumentaciones relativas al pago a Telleldín.</w:t>
      </w:r>
    </w:p>
    <w:p w:rsidR="00224567" w:rsidRDefault="00224567">
      <w:pPr>
        <w:widowControl w:val="0"/>
      </w:pPr>
      <w:r>
        <w:tab/>
        <w:t>La misma sala el 22 de noviembre de 2002 (reg. nº 1233), señaló que “los restantes cuestion</w:t>
      </w:r>
      <w:r>
        <w:t>a</w:t>
      </w:r>
      <w:r>
        <w:t>mientos formulados se asientan en las pruebas producidas en la causa 497 del Tribunal Oral F</w:t>
      </w:r>
      <w:r>
        <w:t>e</w:t>
      </w:r>
      <w:r>
        <w:t>deral nº 3, durante el desarrollo del juicio. Como resulta evidente, atento el régimen procesal que e</w:t>
      </w:r>
      <w:r>
        <w:t>s</w:t>
      </w:r>
      <w:r>
        <w:t>tas actuaciones transitan, éstas se han desarrollado en la forma propia de esa etapa, esto es de manera oral. Ello importa que cualquiera haya sido la forma en que quedaran documentadas, los suscriptos se e</w:t>
      </w:r>
      <w:r>
        <w:t>n</w:t>
      </w:r>
      <w:r>
        <w:t>cuentran impedidos de evaluar y comprender en su integr</w:t>
      </w:r>
      <w:r>
        <w:t>i</w:t>
      </w:r>
      <w:r>
        <w:t>dad, pues amén de no haberse encontrado prese</w:t>
      </w:r>
      <w:r>
        <w:t>n</w:t>
      </w:r>
      <w:r>
        <w:t>tes durante su desarrollo, resultan sólo una parte selectiva del ju</w:t>
      </w:r>
      <w:r>
        <w:t>i</w:t>
      </w:r>
      <w:r>
        <w:t>cio, cuyo análisis recién podrá ser efectuado al momento de su culminación y por el Tr</w:t>
      </w:r>
      <w:r>
        <w:t>i</w:t>
      </w:r>
      <w:r>
        <w:t>bunal competente”.</w:t>
      </w:r>
    </w:p>
    <w:p w:rsidR="00224567" w:rsidRDefault="00224567">
      <w:pPr>
        <w:widowControl w:val="0"/>
      </w:pPr>
      <w:r>
        <w:tab/>
        <w:t xml:space="preserve">Además, </w:t>
      </w:r>
      <w:smartTag w:uri="urn:schemas-microsoft-com:office:smarttags" w:element="PersonName">
        <w:smartTagPr>
          <w:attr w:name="ProductID" w:val="la C￡mara"/>
        </w:smartTagPr>
        <w:r>
          <w:t>la Cámara</w:t>
        </w:r>
      </w:smartTag>
      <w:r>
        <w:t xml:space="preserve"> destacó que “para epilogar debe agregarse que las medidas de prueba realiz</w:t>
      </w:r>
      <w:r>
        <w:t>a</w:t>
      </w:r>
      <w:r>
        <w:t>das durante la instrucción de esta causa por el Dr. G</w:t>
      </w:r>
      <w:r>
        <w:t>a</w:t>
      </w:r>
      <w:r>
        <w:t>leano -quien comenzara su intervención con posterioridad a encontrarse resuelta la situación procesal del imputado- no evidencian objetivamente el temor de parcialidad aleg</w:t>
      </w:r>
      <w:r>
        <w:t>a</w:t>
      </w:r>
      <w:r>
        <w:t>do”.</w:t>
      </w:r>
    </w:p>
    <w:p w:rsidR="00224567" w:rsidRDefault="00224567">
      <w:pPr>
        <w:widowControl w:val="0"/>
      </w:pPr>
      <w:r>
        <w:tab/>
        <w:t>Vale reiterar, al respecto, que el Tribunal Europeo de Derechos Humanos subrayó la importa</w:t>
      </w:r>
      <w:r>
        <w:t>n</w:t>
      </w:r>
      <w:r>
        <w:t>cia de las apariencias y expresó que “lo que está en juego es la confianza que los tribunales, en una sociedad dem</w:t>
      </w:r>
      <w:r>
        <w:t>o</w:t>
      </w:r>
      <w:r>
        <w:t>crática, deben inspirar en el público y en el acusado, s</w:t>
      </w:r>
      <w:r>
        <w:t>o</w:t>
      </w:r>
      <w:r>
        <w:t>bre todo, en cuanto respecta a los procedimientos crimin</w:t>
      </w:r>
      <w:r>
        <w:t>a</w:t>
      </w:r>
      <w:r>
        <w:t>les”.</w:t>
      </w:r>
    </w:p>
    <w:p w:rsidR="00224567" w:rsidRDefault="00224567">
      <w:pPr>
        <w:widowControl w:val="0"/>
      </w:pPr>
      <w:r>
        <w:tab/>
        <w:t>Ahora bien, no se puede soslayar que la argumentación expuesta por el apoderado de la quer</w:t>
      </w:r>
      <w:r>
        <w:t>e</w:t>
      </w:r>
      <w:r>
        <w:t>lla “M</w:t>
      </w:r>
      <w:r>
        <w:t>e</w:t>
      </w:r>
      <w:r>
        <w:t>moria Activa” apuntó, de modo especial, a los primeros indicios relacionados al pago que percibió T</w:t>
      </w:r>
      <w:r>
        <w:t>e</w:t>
      </w:r>
      <w:r>
        <w:t xml:space="preserve">lleldín, que surgieron a la consideración pública el 6 de abril de </w:t>
      </w:r>
      <w:smartTag w:uri="urn:schemas-microsoft-com:office:smarttags" w:element="metricconverter">
        <w:smartTagPr>
          <w:attr w:name="ProductID" w:val="1997, a"/>
        </w:smartTagPr>
        <w:r>
          <w:t>1997, a</w:t>
        </w:r>
      </w:smartTag>
      <w:r>
        <w:t xml:space="preserve"> raíz de la emisión en el programa televisivo del periodista Jorge Lanata de una videofilmación en la cual se podía obse</w:t>
      </w:r>
      <w:r>
        <w:t>r</w:t>
      </w:r>
      <w:r>
        <w:t xml:space="preserve">var a aquél y al juez hablando de la causa y de dinero. También constaban en el proceso, así lo hizo saber el Dr. Ubeira a </w:t>
      </w:r>
      <w:smartTag w:uri="urn:schemas-microsoft-com:office:smarttags" w:element="PersonName">
        <w:smartTagPr>
          <w:attr w:name="ProductID" w:val="la C￡mara"/>
        </w:smartTagPr>
        <w:r>
          <w:t>la Cámara</w:t>
        </w:r>
      </w:smartTag>
      <w:r>
        <w:t>, previo a que reso</w:t>
      </w:r>
      <w:r>
        <w:t>l</w:t>
      </w:r>
      <w:r>
        <w:t>viera, diversas conversaciones donde se tocaba el tema del din</w:t>
      </w:r>
      <w:r>
        <w:t>e</w:t>
      </w:r>
      <w:r>
        <w:t>ro.</w:t>
      </w:r>
    </w:p>
    <w:p w:rsidR="00224567" w:rsidRDefault="00224567">
      <w:pPr>
        <w:widowControl w:val="0"/>
      </w:pPr>
      <w:r>
        <w:tab/>
        <w:t>Tampoco resultó novedosa la cuestión relativa al manejo antojadizo de legajos, dado que el tema fue planteado por la propia recusante, motivando la res</w:t>
      </w:r>
      <w:r>
        <w:t>o</w:t>
      </w:r>
      <w:r>
        <w:t>lución del 7 de mayo de 1999 (reg. nº 311), en la que, tras diversas consideraciones acerca del obrar del juez, le recomendó “que ordene se realice, de inmediato, una completa certificación actuarial que detalle minuciosame</w:t>
      </w:r>
      <w:r>
        <w:t>n</w:t>
      </w:r>
      <w:r>
        <w:t>te la totalidad de los legajos formados como resulta de las di</w:t>
      </w:r>
      <w:r>
        <w:t>s</w:t>
      </w:r>
      <w:r>
        <w:t>tintas hipótesis de investigación y cualquier otra documentación o información de la que pueda disponer, f</w:t>
      </w:r>
      <w:r>
        <w:t>a</w:t>
      </w:r>
      <w:r>
        <w:t>cilitando la intervención de las pa</w:t>
      </w:r>
      <w:r>
        <w:t>r</w:t>
      </w:r>
      <w:r>
        <w:t>tes”.</w:t>
      </w:r>
    </w:p>
    <w:p w:rsidR="00224567" w:rsidRDefault="00224567">
      <w:pPr>
        <w:widowControl w:val="0"/>
      </w:pPr>
      <w:r>
        <w:tab/>
        <w:t>El tema de los legajos fue nuev</w:t>
      </w:r>
      <w:r>
        <w:t>a</w:t>
      </w:r>
      <w:r>
        <w:t xml:space="preserve">mente fue abordado por </w:t>
      </w:r>
      <w:smartTag w:uri="urn:schemas-microsoft-com:office:smarttags" w:element="PersonName">
        <w:smartTagPr>
          <w:attr w:name="ProductID" w:val="la C￡mara"/>
        </w:smartTagPr>
        <w:r>
          <w:t>la Cámara</w:t>
        </w:r>
      </w:smartTag>
      <w:r>
        <w:t xml:space="preserve"> el 1º de junio de 1999, al o</w:t>
      </w:r>
      <w:r>
        <w:t>r</w:t>
      </w:r>
      <w:r>
        <w:t xml:space="preserve">denar al juez que “realice, con la </w:t>
      </w:r>
      <w:r>
        <w:rPr>
          <w:bCs/>
        </w:rPr>
        <w:t>mayor celeridad</w:t>
      </w:r>
      <w:r>
        <w:t>, las medidas dispuestas a fs. 150/155 con carácter pr</w:t>
      </w:r>
      <w:r>
        <w:t>e</w:t>
      </w:r>
      <w:r>
        <w:t xml:space="preserve">vio a las vistas previstas en el art. 346 del Código Procesal Penal de </w:t>
      </w:r>
      <w:smartTag w:uri="urn:schemas-microsoft-com:office:smarttags" w:element="PersonName">
        <w:smartTagPr>
          <w:attr w:name="ProductID" w:val="la Naci￳n"/>
        </w:smartTagPr>
        <w:r>
          <w:t>la Nación</w:t>
        </w:r>
      </w:smartTag>
      <w:r>
        <w:t>”.</w:t>
      </w:r>
    </w:p>
    <w:p w:rsidR="00224567" w:rsidRDefault="00224567">
      <w:pPr>
        <w:widowControl w:val="0"/>
      </w:pPr>
      <w:r>
        <w:tab/>
        <w:t>Tras su objetivo de tomar conocimie</w:t>
      </w:r>
      <w:r>
        <w:t>n</w:t>
      </w:r>
      <w:r>
        <w:t>to de todos los legajos, la infatigable querella real</w:t>
      </w:r>
      <w:r>
        <w:t>i</w:t>
      </w:r>
      <w:r>
        <w:t>zó las presentaciones de fs. 63.417/63.418, 71.305/71.308, 71.356/7 y 71.702/71.704.</w:t>
      </w:r>
    </w:p>
    <w:p w:rsidR="00224567" w:rsidRDefault="00224567">
      <w:pPr>
        <w:widowControl w:val="0"/>
      </w:pPr>
      <w:r>
        <w:tab/>
        <w:t xml:space="preserve">Finalmente, </w:t>
      </w:r>
      <w:smartTag w:uri="urn:schemas-microsoft-com:office:smarttags" w:element="PersonName">
        <w:smartTagPr>
          <w:attr w:name="ProductID" w:val="la C￡mara"/>
        </w:smartTagPr>
        <w:r>
          <w:t>la Cámara</w:t>
        </w:r>
      </w:smartTag>
      <w:r>
        <w:t>, el 7 de dicie</w:t>
      </w:r>
      <w:r>
        <w:t>m</w:t>
      </w:r>
      <w:r>
        <w:t>bre de 1999 (reg. nº 1114) sostuvo lo siguiente: “lleva razón la querella al reclamar la paridad de oportunidades en cuanto a su intervención en el proceso con relación a las demás partes que repr</w:t>
      </w:r>
      <w:r>
        <w:t>e</w:t>
      </w:r>
      <w:r>
        <w:t>sentan a otros damnificados por los hechos principales por los que se instruyen las pr</w:t>
      </w:r>
      <w:r>
        <w:t>e</w:t>
      </w:r>
      <w:r>
        <w:t>sentes actuaciones, entre quienes no cabe hacer distingo en ocasión de correr vistas y traslados en tanto el rol que asumieran los equipara en cuanto al ejercicio de su derecho de d</w:t>
      </w:r>
      <w:r>
        <w:t>e</w:t>
      </w:r>
      <w:r>
        <w:t>fensa en juicio, con prescindencia de que las actuaciones o medidas se produzcan de oficio o a petición de alguna de ellas”.</w:t>
      </w:r>
    </w:p>
    <w:p w:rsidR="00224567" w:rsidRDefault="00224567">
      <w:pPr>
        <w:widowControl w:val="0"/>
      </w:pPr>
      <w:r>
        <w:tab/>
        <w:t>Como es dable observar, los gérmenes de la parcialidad del juez ya estaban instal</w:t>
      </w:r>
      <w:r>
        <w:t>a</w:t>
      </w:r>
      <w:r>
        <w:t>dos y, luego de la difusión del video del 1º de julio de 1997 en el programa televisivo del periodista Jorge Lanata, a la vi</w:t>
      </w:r>
      <w:r>
        <w:t>s</w:t>
      </w:r>
      <w:r>
        <w:t>ta de todos.</w:t>
      </w:r>
    </w:p>
    <w:p w:rsidR="00224567" w:rsidRDefault="00224567">
      <w:pPr>
        <w:widowControl w:val="0"/>
      </w:pPr>
      <w:r>
        <w:tab/>
        <w:t>Más aún; antes de que se tuviese con</w:t>
      </w:r>
      <w:r>
        <w:t>o</w:t>
      </w:r>
      <w:r>
        <w:t>cimiento de ello, el abogado defensor de Anast</w:t>
      </w:r>
      <w:r>
        <w:t>a</w:t>
      </w:r>
      <w:r>
        <w:t>sio Ireneo Leal, Dr. Héctor Horacio Zárate, en el memorial que luce a fs. 337/352 del incidente de apelación, r</w:t>
      </w:r>
      <w:r>
        <w:t>e</w:t>
      </w:r>
      <w:r>
        <w:t>clamó la nulidad de las actas que contienen las manifestaciones del proc</w:t>
      </w:r>
      <w:r>
        <w:t>e</w:t>
      </w:r>
      <w:r>
        <w:t xml:space="preserve">sado Telleldín recibidas por </w:t>
      </w:r>
      <w:smartTag w:uri="urn:schemas-microsoft-com:office:smarttags" w:element="PersonName">
        <w:smartTagPr>
          <w:attr w:name="ProductID" w:val="la Dra. Riva"/>
        </w:smartTagPr>
        <w:r>
          <w:t>la Dra. Riva</w:t>
        </w:r>
      </w:smartTag>
      <w:r>
        <w:t xml:space="preserve"> Aramayo, menci</w:t>
      </w:r>
      <w:r>
        <w:t>o</w:t>
      </w:r>
      <w:r>
        <w:t xml:space="preserve">nadas en el auto de procesamiento y prisión preventiva; planteo que </w:t>
      </w:r>
      <w:smartTag w:uri="urn:schemas-microsoft-com:office:smarttags" w:element="PersonName">
        <w:smartTagPr>
          <w:attr w:name="ProductID" w:val="la C￡mara"/>
        </w:smartTagPr>
        <w:r>
          <w:t>la Cámara</w:t>
        </w:r>
      </w:smartTag>
      <w:r>
        <w:t xml:space="preserve"> de</w:t>
      </w:r>
      <w:r>
        <w:t>s</w:t>
      </w:r>
      <w:r>
        <w:t>estimó, entre otras razones, por falta de interés d</w:t>
      </w:r>
      <w:r>
        <w:t>i</w:t>
      </w:r>
      <w:r>
        <w:t>recto, pese a que en dichas minutas se brindaban pistas precisas para identif</w:t>
      </w:r>
      <w:r>
        <w:t>i</w:t>
      </w:r>
      <w:r>
        <w:t xml:space="preserve">car a Leal y por no revestir las formalidades de una indagatoria; extremo que jamás puede atribuirse al acto celebrado por un juez de cámara (arts. 33 y 294 del Código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pPr>
      <w:r>
        <w:tab/>
        <w:t>Basta sumar el cúmulo de irregularid</w:t>
      </w:r>
      <w:r>
        <w:t>a</w:t>
      </w:r>
      <w:r>
        <w:t>des de las que tenían conocimiento las partes, sucintame</w:t>
      </w:r>
      <w:r>
        <w:t>n</w:t>
      </w:r>
      <w:r>
        <w:t>te enunciadas, para concluir que, con a</w:t>
      </w:r>
      <w:r>
        <w:t>n</w:t>
      </w:r>
      <w:r>
        <w:t>terioridad al 3 de diciembre de 2003, era manifiesta la parcial</w:t>
      </w:r>
      <w:r>
        <w:t>i</w:t>
      </w:r>
      <w:r>
        <w:t>dad del juez, que lo llevó a obrar en perjuicio de los procesados.</w:t>
      </w:r>
    </w:p>
    <w:p w:rsidR="00224567" w:rsidRDefault="00224567">
      <w:pPr>
        <w:widowControl w:val="0"/>
      </w:pPr>
      <w:r>
        <w:tab/>
        <w:t>Puede sostenerse, también, que el a</w:t>
      </w:r>
      <w:r>
        <w:t>u</w:t>
      </w:r>
      <w:r>
        <w:t>to de procesamiento de fs. 40.171/40.257, dictado re</w:t>
      </w:r>
      <w:r>
        <w:t>s</w:t>
      </w:r>
      <w:r>
        <w:t>pecto de Ribelli, Ibarra, Leal, Bareiro, Cruz, Albarracín, Araya, Rago, Barreda, Burguete, Arancibia, Bacigalupo, Qui</w:t>
      </w:r>
      <w:r>
        <w:t>n</w:t>
      </w:r>
      <w:r>
        <w:t>teros y Lasala, fue urdido sobre la base de espurios convenios con otros procesados, ilegales reuniones de alleg</w:t>
      </w:r>
      <w:r>
        <w:t>a</w:t>
      </w:r>
      <w:r>
        <w:t xml:space="preserve">dos a </w:t>
      </w:r>
      <w:smartTag w:uri="urn:schemas-microsoft-com:office:smarttags" w:element="PersonName">
        <w:smartTagPr>
          <w:attr w:name="ProductID" w:val="la Secretar￭a"/>
        </w:smartTagPr>
        <w:r>
          <w:t>la Secretaría</w:t>
        </w:r>
      </w:smartTag>
      <w:r>
        <w:t xml:space="preserve"> de Inteligencia de Estado con un detenido, irregulares entrevistas de una juez de cámara con un imp</w:t>
      </w:r>
      <w:r>
        <w:t>u</w:t>
      </w:r>
      <w:r>
        <w:t>tado, maniobras engañosas y amenazas.</w:t>
      </w:r>
    </w:p>
    <w:p w:rsidR="00224567" w:rsidRDefault="00224567">
      <w:pPr>
        <w:widowControl w:val="0"/>
      </w:pPr>
      <w:r>
        <w:tab/>
        <w:t>Todo ello, que será motivo de un det</w:t>
      </w:r>
      <w:r>
        <w:t>a</w:t>
      </w:r>
      <w:r>
        <w:t>llado examen, no hace más que demostrar que los imp</w:t>
      </w:r>
      <w:r>
        <w:t>u</w:t>
      </w:r>
      <w:r>
        <w:t>tados jamás podrían haber esperado ecuanimidad por parte del juzgador, dado que éste a sus espaldas había tramado el modo de vi</w:t>
      </w:r>
      <w:r>
        <w:t>n</w:t>
      </w:r>
      <w:r>
        <w:t>cularlos al proceso.</w:t>
      </w:r>
    </w:p>
    <w:p w:rsidR="00224567" w:rsidRDefault="00224567">
      <w:pPr>
        <w:widowControl w:val="0"/>
      </w:pPr>
      <w:r>
        <w:tab/>
        <w:t>Por tales razones, las actuaciones l</w:t>
      </w:r>
      <w:r>
        <w:t>a</w:t>
      </w:r>
      <w:r>
        <w:t>bradas por el juez instructor no pueden ser conval</w:t>
      </w:r>
      <w:r>
        <w:t>i</w:t>
      </w:r>
      <w:r>
        <w:t>dadas, pues en ellas no se revela, en modo alguno, la verdad de lo acontecido; por el contrario, la seudo investigación encarada por el juez de grado, acompañado por funcionarios nacionales y de la provincia de Buenos Aires, sólo buscó darle ropaje de verosimilitud y leg</w:t>
      </w:r>
      <w:r>
        <w:t>a</w:t>
      </w:r>
      <w:r>
        <w:t>lidad a una hipótesis arquitectónicamente armada, que se desvaneció a lo largo del extenso debate.</w:t>
      </w:r>
    </w:p>
    <w:p w:rsidR="00224567" w:rsidRDefault="00224567">
      <w:pPr>
        <w:widowControl w:val="0"/>
      </w:pPr>
      <w:r>
        <w:tab/>
        <w:t>Toda la base fáctica del reproche de los homicidios imputados a los funcionarios pol</w:t>
      </w:r>
      <w:r>
        <w:t>i</w:t>
      </w:r>
      <w:r>
        <w:t>ciales fue a</w:t>
      </w:r>
      <w:r>
        <w:t>r</w:t>
      </w:r>
      <w:r>
        <w:t>mada de manera aviesa, violándose de tal modo no sólo la garantía de imparcialidad del juzgador, sino, como se v</w:t>
      </w:r>
      <w:r>
        <w:t>e</w:t>
      </w:r>
      <w:r>
        <w:t>rá, todo el catálogo de principios procesales de inm</w:t>
      </w:r>
      <w:r>
        <w:t>a</w:t>
      </w:r>
      <w:r>
        <w:t>nente jerarquía const</w:t>
      </w:r>
      <w:r>
        <w:t>i</w:t>
      </w:r>
      <w:r>
        <w:t>tucional.</w:t>
      </w:r>
    </w:p>
    <w:p w:rsidR="00224567" w:rsidRDefault="00224567">
      <w:pPr>
        <w:widowControl w:val="0"/>
      </w:pPr>
      <w:r>
        <w:tab/>
        <w:t>Una de las manifestaciones de la pa</w:t>
      </w:r>
      <w:r>
        <w:t>r</w:t>
      </w:r>
      <w:r>
        <w:t>cialidad del juez está dada por la manera en que se aferró a la causa, descalificando, a la vez que ocultaba inform</w:t>
      </w:r>
      <w:r>
        <w:t>a</w:t>
      </w:r>
      <w:r>
        <w:t>ción, todo intento destinado a apa</w:t>
      </w:r>
      <w:r>
        <w:t>r</w:t>
      </w:r>
      <w:r>
        <w:t>tarlo.</w:t>
      </w:r>
    </w:p>
    <w:p w:rsidR="00224567" w:rsidRDefault="00224567">
      <w:pPr>
        <w:widowControl w:val="0"/>
      </w:pPr>
    </w:p>
    <w:p w:rsidR="00224567" w:rsidRDefault="00224567">
      <w:pPr>
        <w:pStyle w:val="Ttulo3"/>
        <w:keepNext w:val="0"/>
        <w:widowControl w:val="0"/>
      </w:pPr>
      <w:r>
        <w:t>B) Recusaciones al juez instructor: sus esquivos info</w:t>
      </w:r>
      <w:r>
        <w:t>r</w:t>
      </w:r>
      <w:r>
        <w:t>mes (art. 61 del C.P.P.).</w:t>
      </w:r>
    </w:p>
    <w:p w:rsidR="00224567" w:rsidRDefault="00224567">
      <w:r>
        <w:tab/>
      </w:r>
      <w:r>
        <w:rPr>
          <w:b/>
          <w:bCs/>
        </w:rPr>
        <w:t xml:space="preserve">B.1) </w:t>
      </w:r>
      <w:r>
        <w:t>Que si bien en el apartado ant</w:t>
      </w:r>
      <w:r>
        <w:t>e</w:t>
      </w:r>
      <w:r>
        <w:t>rior se hizo mención a los planteos de recusación al Dr. Juan José Galeano y a las diferentes resoluciones adopt</w:t>
      </w:r>
      <w:r>
        <w:t>a</w:t>
      </w:r>
      <w:r>
        <w:t>das, una debida ponderación de la actividad procesal del juez in</w:t>
      </w:r>
      <w:r>
        <w:t>s</w:t>
      </w:r>
      <w:r>
        <w:t>tructor, en orden a las garantías de imparcialidad y de defensa en juicio que tenga en consideración los h</w:t>
      </w:r>
      <w:r>
        <w:t>e</w:t>
      </w:r>
      <w:r>
        <w:t>chos y las circunstancias que se han probado en el deb</w:t>
      </w:r>
      <w:r>
        <w:t>a</w:t>
      </w:r>
      <w:r>
        <w:t>te, torna imprescindible un estricto examen del modo en que el magistrado tramitó, sustanció y resolvió las rec</w:t>
      </w:r>
      <w:r>
        <w:t>u</w:t>
      </w:r>
      <w:r>
        <w:t>saciones en las que reiteradamente se invocó, entre otros motivos, la existencia de un pago a un imputado. Ello, sin perju</w:t>
      </w:r>
      <w:r>
        <w:t>i</w:t>
      </w:r>
      <w:r>
        <w:t>cio de advertir que el primero de aquellos planteos, art</w:t>
      </w:r>
      <w:r>
        <w:t>i</w:t>
      </w:r>
      <w:r>
        <w:t>culado por Carlos Telleldín y luego desistido en la alz</w:t>
      </w:r>
      <w:r>
        <w:t>a</w:t>
      </w:r>
      <w:r>
        <w:t>da, será tratado en otro capítulo por su íntima rel</w:t>
      </w:r>
      <w:r>
        <w:t>e</w:t>
      </w:r>
      <w:r>
        <w:t>vancia con el tema que allí se abordará.</w:t>
      </w:r>
    </w:p>
    <w:p w:rsidR="00224567" w:rsidRDefault="00224567">
      <w:pPr>
        <w:rPr>
          <w:b/>
          <w:bCs/>
        </w:rPr>
      </w:pPr>
      <w:r>
        <w:tab/>
      </w:r>
      <w:r>
        <w:rPr>
          <w:b/>
          <w:bCs/>
        </w:rPr>
        <w:t>B.1.a) Recusación del 7 de febr</w:t>
      </w:r>
      <w:r>
        <w:rPr>
          <w:b/>
          <w:bCs/>
        </w:rPr>
        <w:t>e</w:t>
      </w:r>
      <w:r>
        <w:rPr>
          <w:b/>
          <w:bCs/>
        </w:rPr>
        <w:t>ro de 2001.</w:t>
      </w:r>
    </w:p>
    <w:p w:rsidR="00224567" w:rsidRDefault="00224567">
      <w:r>
        <w:tab/>
      </w:r>
      <w:r>
        <w:tab/>
        <w:t>Fue interpuesta por el Dr. Juan Manuel Ubeira en el legajo nº 314 (correspo</w:t>
      </w:r>
      <w:r>
        <w:t>n</w:t>
      </w:r>
      <w:r>
        <w:t>diente a la causa nº 1156) que formó el juez instructor con motivo de los h</w:t>
      </w:r>
      <w:r>
        <w:t>e</w:t>
      </w:r>
      <w:r>
        <w:t>chos y situaciones procesales pendientes advertidas por este Tribunal en oportunidad de la cit</w:t>
      </w:r>
      <w:r>
        <w:t>a</w:t>
      </w:r>
      <w:r>
        <w:t>ción a juicio (art. 354 del código adjetivo) y que lu</w:t>
      </w:r>
      <w:r>
        <w:t>e</w:t>
      </w:r>
      <w:r>
        <w:t>go dio origen a la causa nº 501 (ver fs. 80.263/80.264 y 108.074/108.077). Se inv</w:t>
      </w:r>
      <w:r>
        <w:t>o</w:t>
      </w:r>
      <w:r>
        <w:t>caron las siguientes caus</w:t>
      </w:r>
      <w:r>
        <w:t>a</w:t>
      </w:r>
      <w:r>
        <w:t>les:</w:t>
      </w:r>
    </w:p>
    <w:p w:rsidR="00224567" w:rsidRDefault="00224567">
      <w:r>
        <w:tab/>
      </w:r>
      <w:r>
        <w:rPr>
          <w:b/>
          <w:bCs/>
        </w:rPr>
        <w:t xml:space="preserve">B.1.a.i) </w:t>
      </w:r>
      <w:r>
        <w:t>Litispendencia.</w:t>
      </w:r>
    </w:p>
    <w:p w:rsidR="00224567" w:rsidRDefault="00224567">
      <w:pPr>
        <w:rPr>
          <w:b/>
        </w:rPr>
      </w:pPr>
      <w:r>
        <w:tab/>
        <w:t>Se aludió a la denuncia y al trámite de la causa nº 9789/00 radicada ante el juzgado a cargo del Dr. Claudio Bonadío, en la que Juan José Ribelli fue tenido como parte querellante y el Dr. Juan José Galeano enfrentaría, según sostuvo el l</w:t>
      </w:r>
      <w:r>
        <w:t>e</w:t>
      </w:r>
      <w:r>
        <w:t>trado defensor, diferentes imputaciones originadas en la investigación de la causa A.M.I.A. Se argumentó que esa causa comenzó antes de la formación del legajo nº 314 y que uno de los hechos denu</w:t>
      </w:r>
      <w:r>
        <w:t>n</w:t>
      </w:r>
      <w:r>
        <w:t xml:space="preserve">ciados estaría relacionado con la decisión de detener a Juan José Ribelli, conjuntamente con otros policías, en el marco de </w:t>
      </w:r>
      <w:r>
        <w:rPr>
          <w:bCs/>
        </w:rPr>
        <w:t>“...una estrategia consensuada, entre otras pe</w:t>
      </w:r>
      <w:r>
        <w:rPr>
          <w:bCs/>
        </w:rPr>
        <w:t>r</w:t>
      </w:r>
      <w:r>
        <w:rPr>
          <w:bCs/>
        </w:rPr>
        <w:t>sonas por V.S., con otro de los imputados en este proceso a cambio de una remuner</w:t>
      </w:r>
      <w:r>
        <w:rPr>
          <w:bCs/>
        </w:rPr>
        <w:t>a</w:t>
      </w:r>
      <w:r>
        <w:rPr>
          <w:bCs/>
        </w:rPr>
        <w:t>ción”</w:t>
      </w:r>
      <w:r>
        <w:rPr>
          <w:b/>
        </w:rPr>
        <w:t>.</w:t>
      </w:r>
    </w:p>
    <w:p w:rsidR="00224567" w:rsidRDefault="00224567">
      <w:r>
        <w:rPr>
          <w:b/>
        </w:rPr>
        <w:tab/>
      </w:r>
      <w:r>
        <w:rPr>
          <w:b/>
          <w:bCs/>
        </w:rPr>
        <w:t xml:space="preserve">B.1.a.ii) </w:t>
      </w:r>
      <w:r>
        <w:t>Prejuzgamiento.</w:t>
      </w:r>
    </w:p>
    <w:p w:rsidR="00224567" w:rsidRDefault="00224567">
      <w:r>
        <w:tab/>
      </w:r>
      <w:r>
        <w:rPr>
          <w:b/>
        </w:rPr>
        <w:t>a)</w:t>
      </w:r>
      <w:r>
        <w:t xml:space="preserve"> Se mencionaron las consider</w:t>
      </w:r>
      <w:r>
        <w:t>a</w:t>
      </w:r>
      <w:r>
        <w:t>ciones efectuadas por el juez respecto de Juan José Ribelli, plasm</w:t>
      </w:r>
      <w:r>
        <w:t>a</w:t>
      </w:r>
      <w:r>
        <w:t>das en el decreto del 9 de junio del año 2000 en el que contestó una presentación efectuada por el no</w:t>
      </w:r>
      <w:r>
        <w:t>m</w:t>
      </w:r>
      <w:r>
        <w:t>brado.</w:t>
      </w:r>
    </w:p>
    <w:p w:rsidR="00224567" w:rsidRDefault="00224567">
      <w:r>
        <w:tab/>
      </w:r>
      <w:r>
        <w:rPr>
          <w:b/>
        </w:rPr>
        <w:t xml:space="preserve">b) </w:t>
      </w:r>
      <w:r>
        <w:t>El Dr. Galeano realizó el informe previsto por el ordenamiento procesal el 8 de febrero de 2001 y refirió, sustancialmente, que el legajo nº 314 fo</w:t>
      </w:r>
      <w:r>
        <w:t>r</w:t>
      </w:r>
      <w:r>
        <w:t>maba parte de la causa nº 1156 y que, en cons</w:t>
      </w:r>
      <w:r>
        <w:t>e</w:t>
      </w:r>
      <w:r>
        <w:t>cuencia, el proceso a cargo del Dr. Bonadío era de tr</w:t>
      </w:r>
      <w:r>
        <w:t>á</w:t>
      </w:r>
      <w:r>
        <w:t>mite posterior; descalificó las d</w:t>
      </w:r>
      <w:r>
        <w:t>e</w:t>
      </w:r>
      <w:r>
        <w:t>nuncias de Claudio Lifschitz que dieron origen a ese sumario y señaló que no hubo prejuzgamiento sino opiniones en el marco del dictado de resoluciones de mérito (ver fs. 108.079/ 108.080).</w:t>
      </w:r>
    </w:p>
    <w:p w:rsidR="00224567" w:rsidRDefault="00224567">
      <w:pPr>
        <w:rPr>
          <w:b/>
        </w:rPr>
      </w:pPr>
      <w:r>
        <w:tab/>
      </w:r>
      <w:r>
        <w:rPr>
          <w:b/>
          <w:bCs/>
        </w:rPr>
        <w:t xml:space="preserve">B.1.b) </w:t>
      </w:r>
      <w:r>
        <w:rPr>
          <w:b/>
        </w:rPr>
        <w:t>Recusación del 22 de mayo de 2001. Ampliación de la anterior durante su trám</w:t>
      </w:r>
      <w:r>
        <w:rPr>
          <w:b/>
        </w:rPr>
        <w:t>i</w:t>
      </w:r>
      <w:r>
        <w:rPr>
          <w:b/>
        </w:rPr>
        <w:t>te.</w:t>
      </w:r>
    </w:p>
    <w:p w:rsidR="00224567" w:rsidRDefault="00224567">
      <w:pPr>
        <w:rPr>
          <w:bCs/>
        </w:rPr>
      </w:pPr>
      <w:r>
        <w:rPr>
          <w:bCs/>
        </w:rPr>
        <w:tab/>
      </w:r>
      <w:r>
        <w:t xml:space="preserve">En la audiencia que dispone el art. 61 del C.P.P.N, el Dr. Ubeira articuló ante los jueces de </w:t>
      </w:r>
      <w:smartTag w:uri="urn:schemas-microsoft-com:office:smarttags" w:element="PersonName">
        <w:smartTagPr>
          <w:attr w:name="ProductID" w:val="la C￡mara"/>
        </w:smartTagPr>
        <w:r>
          <w:t>la Cámara</w:t>
        </w:r>
      </w:smartTag>
      <w:r>
        <w:t xml:space="preserve">, como un nuevo motivo de recusación, la parcialidad del juez. Señaló en esa oportunidad, conforme surge del acta respectiva, que </w:t>
      </w:r>
      <w:r>
        <w:rPr>
          <w:bCs/>
        </w:rPr>
        <w:t>“con posterioridad a la interpos</w:t>
      </w:r>
      <w:r>
        <w:rPr>
          <w:bCs/>
        </w:rPr>
        <w:t>i</w:t>
      </w:r>
      <w:r>
        <w:rPr>
          <w:bCs/>
        </w:rPr>
        <w:t>ción de esta recusación advirtió que en escuchas telefónicas ordenadas en estos autos, Telleldín habla con su esp</w:t>
      </w:r>
      <w:r>
        <w:rPr>
          <w:bCs/>
        </w:rPr>
        <w:t>o</w:t>
      </w:r>
      <w:r>
        <w:rPr>
          <w:bCs/>
        </w:rPr>
        <w:t>sa de cómo se materializó el pago de la supuesta recompensa en un tiempo anterior a que éste ampliara su declaración i</w:t>
      </w:r>
      <w:r>
        <w:rPr>
          <w:bCs/>
        </w:rPr>
        <w:t>n</w:t>
      </w:r>
      <w:r>
        <w:rPr>
          <w:bCs/>
        </w:rPr>
        <w:t>dagatoria, las que se encuentran contenidas en el casete 47, lado A de la línea 427-7829, y los case</w:t>
      </w:r>
      <w:r>
        <w:rPr>
          <w:bCs/>
        </w:rPr>
        <w:t>t</w:t>
      </w:r>
      <w:r>
        <w:rPr>
          <w:bCs/>
        </w:rPr>
        <w:t>es 932 y 1210 de la línea 929-1845 en las que se señalara la cuenta c</w:t>
      </w:r>
      <w:r>
        <w:rPr>
          <w:bCs/>
        </w:rPr>
        <w:t>o</w:t>
      </w:r>
      <w:r>
        <w:rPr>
          <w:bCs/>
        </w:rPr>
        <w:t xml:space="preserve">rriente nº 68217 del sector internacional Uruguay de </w:t>
      </w:r>
      <w:smartTag w:uri="urn:schemas-microsoft-com:office:smarttags" w:element="PersonName">
        <w:smartTagPr>
          <w:attr w:name="ProductID" w:val="la Banca Nazionale"/>
        </w:smartTagPr>
        <w:r>
          <w:rPr>
            <w:bCs/>
          </w:rPr>
          <w:t>la Banca Nazionale</w:t>
        </w:r>
      </w:smartTag>
      <w:r>
        <w:rPr>
          <w:bCs/>
        </w:rPr>
        <w:t xml:space="preserve"> del Lavoro, de un primer pago de doscie</w:t>
      </w:r>
      <w:r>
        <w:rPr>
          <w:bCs/>
        </w:rPr>
        <w:t>n</w:t>
      </w:r>
      <w:r>
        <w:rPr>
          <w:bCs/>
        </w:rPr>
        <w:t>tos mil pesos y de la restante división económ</w:t>
      </w:r>
      <w:r>
        <w:rPr>
          <w:bCs/>
        </w:rPr>
        <w:t>i</w:t>
      </w:r>
      <w:r>
        <w:rPr>
          <w:bCs/>
        </w:rPr>
        <w:t>ca, todo lo cual lleva a tener la certeza sobre la parcialidad del Juez de instrucción respecto de su asistido y guardan r</w:t>
      </w:r>
      <w:r>
        <w:rPr>
          <w:bCs/>
        </w:rPr>
        <w:t>e</w:t>
      </w:r>
      <w:r>
        <w:rPr>
          <w:bCs/>
        </w:rPr>
        <w:t>lación con el video-casete gravado sobre cuestiones rel</w:t>
      </w:r>
      <w:r>
        <w:rPr>
          <w:bCs/>
        </w:rPr>
        <w:t>a</w:t>
      </w:r>
      <w:r>
        <w:rPr>
          <w:bCs/>
        </w:rPr>
        <w:t>tivas al tema. El Dr. Ubeira agregó que e</w:t>
      </w:r>
      <w:r>
        <w:rPr>
          <w:bCs/>
        </w:rPr>
        <w:t>s</w:t>
      </w:r>
      <w:r>
        <w:rPr>
          <w:bCs/>
        </w:rPr>
        <w:t>tas pruebas han sido ofrecidas al Tribunal Oral Federal nº 3 en el trámite del juicio a su defendido” -sic- (ver fs. 108.176).</w:t>
      </w:r>
    </w:p>
    <w:p w:rsidR="00224567" w:rsidRDefault="00224567">
      <w:r>
        <w:rPr>
          <w:bCs/>
        </w:rPr>
        <w:tab/>
      </w:r>
      <w:r>
        <w:t>Puede inferirse, por la fecha de la incidencia, que la cinta que mencionó el recusante es el video del 1º de julio que fue difundido en el programa t</w:t>
      </w:r>
      <w:r>
        <w:t>e</w:t>
      </w:r>
      <w:r>
        <w:t>levis</w:t>
      </w:r>
      <w:r>
        <w:t>i</w:t>
      </w:r>
      <w:r>
        <w:t>vo del periodista Jorge Lanata, ya que la filmación del 10 de abril fue remitida por el juez Galeano al Trib</w:t>
      </w:r>
      <w:r>
        <w:t>u</w:t>
      </w:r>
      <w:r>
        <w:t>nal el 14 de agosto de 2001, con posterioridad a la pr</w:t>
      </w:r>
      <w:r>
        <w:t>e</w:t>
      </w:r>
      <w:r>
        <w:t>sentación de trato (ver fs. 827/830 del Legajo de Instru</w:t>
      </w:r>
      <w:r>
        <w:t>c</w:t>
      </w:r>
      <w:r>
        <w:t>ción Suplement</w:t>
      </w:r>
      <w:r>
        <w:t>a</w:t>
      </w:r>
      <w:r>
        <w:t>ria).</w:t>
      </w:r>
    </w:p>
    <w:p w:rsidR="00224567" w:rsidRDefault="00224567">
      <w:r>
        <w:tab/>
        <w:t xml:space="preserve">Al estimar que en el informe oral se amplió el motivo de la recusación, </w:t>
      </w:r>
      <w:smartTag w:uri="urn:schemas-microsoft-com:office:smarttags" w:element="PersonName">
        <w:smartTagPr>
          <w:attr w:name="ProductID" w:val="la C￡mara"/>
        </w:smartTagPr>
        <w:r>
          <w:t>la Cámara</w:t>
        </w:r>
      </w:smartTag>
      <w:r>
        <w:t xml:space="preserve"> dejó sin efecto el acuerdo convocado y dio nueva intervención al juez a los fines correspondientes.</w:t>
      </w:r>
    </w:p>
    <w:p w:rsidR="00224567" w:rsidRDefault="00224567">
      <w:r>
        <w:tab/>
        <w:t>El Dr. Galeano reunió la prueba inv</w:t>
      </w:r>
      <w:r>
        <w:t>o</w:t>
      </w:r>
      <w:r>
        <w:t>cada en el planteo pero, además, produjo otra; incorporó copia de la transcripción de las conversaciones individu</w:t>
      </w:r>
      <w:r>
        <w:t>a</w:t>
      </w:r>
      <w:r>
        <w:t xml:space="preserve">lizadas por el Dr. Ubeira y ordenó a </w:t>
      </w:r>
      <w:smartTag w:uri="urn:schemas-microsoft-com:office:smarttags" w:element="PersonName">
        <w:smartTagPr>
          <w:attr w:name="ProductID" w:val="la Actuaria"/>
        </w:smartTagPr>
        <w:r>
          <w:t>la Actuaria</w:t>
        </w:r>
      </w:smartTag>
      <w:r>
        <w:t xml:space="preserve"> que i</w:t>
      </w:r>
      <w:r>
        <w:t>n</w:t>
      </w:r>
      <w:r>
        <w:t>formara “respecto de las comunicaciones registr</w:t>
      </w:r>
      <w:r>
        <w:t>a</w:t>
      </w:r>
      <w:r>
        <w:t>das en las intervenciones telefónicas a Ana Maria Boragni en que ta</w:t>
      </w:r>
      <w:r>
        <w:t>m</w:t>
      </w:r>
      <w:r>
        <w:t>bién se hable de temas relacionados a dinero o que pudi</w:t>
      </w:r>
      <w:r>
        <w:t>e</w:t>
      </w:r>
      <w:r>
        <w:t>ran resultar de i</w:t>
      </w:r>
      <w:r>
        <w:t>n</w:t>
      </w:r>
      <w:r>
        <w:t>terés para cumplir con lo solicitado por el Sup</w:t>
      </w:r>
      <w:r>
        <w:t>e</w:t>
      </w:r>
      <w:r>
        <w:t>rior” (Ver fs. 108.186).</w:t>
      </w:r>
    </w:p>
    <w:p w:rsidR="00224567" w:rsidRDefault="00224567">
      <w:r>
        <w:tab/>
      </w:r>
      <w:smartTag w:uri="urn:schemas-microsoft-com:office:smarttags" w:element="PersonName">
        <w:smartTagPr>
          <w:attr w:name="ProductID" w:val="la Dra. Susana"/>
        </w:smartTagPr>
        <w:r>
          <w:t>La Dra. Susana</w:t>
        </w:r>
      </w:smartTag>
      <w:r>
        <w:t xml:space="preserve"> Spina redactó así un informe en el que asentó lo siguiente: “</w:t>
      </w:r>
      <w:r>
        <w:rPr>
          <w:bCs/>
        </w:rPr>
        <w:t>como consecue</w:t>
      </w:r>
      <w:r>
        <w:rPr>
          <w:bCs/>
        </w:rPr>
        <w:t>n</w:t>
      </w:r>
      <w:r>
        <w:rPr>
          <w:bCs/>
        </w:rPr>
        <w:t>cia de las intervenciones telefónicas de abonados utilizados por Ana Maria BORAGNI, se determinó que existen numerosas conversaciones, tanto anteriores como posteri</w:t>
      </w:r>
      <w:r>
        <w:rPr>
          <w:bCs/>
        </w:rPr>
        <w:t>o</w:t>
      </w:r>
      <w:r>
        <w:rPr>
          <w:bCs/>
        </w:rPr>
        <w:t>res a julio de 1996, en las que la nombrada y/o Carlos Alberto Telle</w:t>
      </w:r>
      <w:r>
        <w:rPr>
          <w:bCs/>
        </w:rPr>
        <w:t>l</w:t>
      </w:r>
      <w:r>
        <w:rPr>
          <w:bCs/>
        </w:rPr>
        <w:t>dín realizaron comentarios sobre dinero, venta del l</w:t>
      </w:r>
      <w:r>
        <w:rPr>
          <w:bCs/>
        </w:rPr>
        <w:t>i</w:t>
      </w:r>
      <w:r>
        <w:rPr>
          <w:bCs/>
        </w:rPr>
        <w:t>bro, cobro de un seguro y la recompensa, tanto aceptando como negando haberla cobrado” (ver fs. 108.18</w:t>
      </w:r>
      <w:r>
        <w:t>7/vta.).</w:t>
      </w:r>
    </w:p>
    <w:p w:rsidR="00224567" w:rsidRDefault="00224567">
      <w:r>
        <w:tab/>
        <w:t>A continuación el juez realizó el i</w:t>
      </w:r>
      <w:r>
        <w:t>n</w:t>
      </w:r>
      <w:r>
        <w:t>forme previsto por el ordenamiento procesal y en el cap</w:t>
      </w:r>
      <w:r>
        <w:t>í</w:t>
      </w:r>
      <w:r>
        <w:t>tulo que tituló “Sobre las transcripciones telefónicas” comenzó s</w:t>
      </w:r>
      <w:r>
        <w:t>e</w:t>
      </w:r>
      <w:r>
        <w:t>ñalando: “Las menciones a operaciones dinerarias que surgen de algunas transcripciones telefónicas no pu</w:t>
      </w:r>
      <w:r>
        <w:t>e</w:t>
      </w:r>
      <w:r>
        <w:t>den constituir motivo de apartamiento del Juez que las dispuso; no obstante lo cual, considero que corresponde hacer algunas aclaraciones”.</w:t>
      </w:r>
    </w:p>
    <w:p w:rsidR="00224567" w:rsidRDefault="00224567">
      <w:r>
        <w:tab/>
        <w:t>Además agregó: “En primer lugar y co</w:t>
      </w:r>
      <w:r>
        <w:t>n</w:t>
      </w:r>
      <w:r>
        <w:t xml:space="preserve">forme lo informado por </w:t>
      </w:r>
      <w:smartTag w:uri="urn:schemas-microsoft-com:office:smarttags" w:element="PersonName">
        <w:smartTagPr>
          <w:attr w:name="ProductID" w:val="la Actuaria"/>
        </w:smartTagPr>
        <w:r>
          <w:t>la Actuaria</w:t>
        </w:r>
      </w:smartTag>
      <w:r>
        <w:t>, de los legajos de transcripciones del producido de las intervenciones tel</w:t>
      </w:r>
      <w:r>
        <w:t>e</w:t>
      </w:r>
      <w:r>
        <w:t>fónicas de los abonados utilizados por Ana María BORAGNI, no sólo surgen las conversaciones mencionadas por Ubeira sino otras conversaciones sobre inversiones o temas rel</w:t>
      </w:r>
      <w:r>
        <w:t>a</w:t>
      </w:r>
      <w:r>
        <w:t>cion</w:t>
      </w:r>
      <w:r>
        <w:t>a</w:t>
      </w:r>
      <w:r>
        <w:t>dos con la causa”.</w:t>
      </w:r>
    </w:p>
    <w:p w:rsidR="00224567" w:rsidRDefault="00224567">
      <w:r>
        <w:tab/>
        <w:t>Y añadió: “En segundo término, debe remarcarse que en el llamado en que BORAGNI fue atendida por la grabadora del ‘Banco Quilmes’ (26/7/96, cas</w:t>
      </w:r>
      <w:r>
        <w:t>e</w:t>
      </w:r>
      <w:r>
        <w:t>te 47) no se produjo conversación a</w:t>
      </w:r>
      <w:r>
        <w:t>l</w:t>
      </w:r>
      <w:r>
        <w:t>guna sino que se registraron los comentarios que ella y otra persona realizaron en el ambiente, ace</w:t>
      </w:r>
      <w:r>
        <w:t>r</w:t>
      </w:r>
      <w:r>
        <w:t>ca de cómo mandar plata a Uruguay y sacar lo que e</w:t>
      </w:r>
      <w:r>
        <w:t>s</w:t>
      </w:r>
      <w:r>
        <w:t>ta ahí. Al respecto cabe hacer notar que de algunas conversaciones se infiere que la nombra (sic) y su marido presumen o conocen que el teléfono se encuentra interven</w:t>
      </w:r>
      <w:r>
        <w:t>i</w:t>
      </w:r>
      <w:r>
        <w:t>do, a punto tal de hacer comentarios directamente dirig</w:t>
      </w:r>
      <w:r>
        <w:t>i</w:t>
      </w:r>
      <w:r>
        <w:t>dos a los que la escuchan. Esa situación fue reconocida por TELLELDIN y quedó registrada en la entrevista que ma</w:t>
      </w:r>
      <w:r>
        <w:t>n</w:t>
      </w:r>
      <w:r>
        <w:t>tuve el 1º de julio de 1996, donde dice que hace coment</w:t>
      </w:r>
      <w:r>
        <w:t>a</w:t>
      </w:r>
      <w:r>
        <w:t>rios para distintos destinatarios (fs. 21 de la transcri</w:t>
      </w:r>
      <w:r>
        <w:t>p</w:t>
      </w:r>
      <w:r>
        <w:t>ción efectuada por Gendarmería en la causa nº 3150/97 que tramitara ante el Juzgado Federal nº 4 y que corre por cuerda a la nº 1156 de este Juzgado)”.</w:t>
      </w:r>
    </w:p>
    <w:p w:rsidR="00224567" w:rsidRDefault="00224567">
      <w:r>
        <w:tab/>
        <w:t>También el Dr. Galeano indico lo s</w:t>
      </w:r>
      <w:r>
        <w:t>i</w:t>
      </w:r>
      <w:r>
        <w:t>guiente: “Por otro lado, la negativa a haber cobrado una compensación pecuniaria o recompensa a la que hicieron r</w:t>
      </w:r>
      <w:r>
        <w:t>e</w:t>
      </w:r>
      <w:r>
        <w:t xml:space="preserve">ferencia en la época en que se publicitó la desaparición de un video del ámbito de </w:t>
      </w:r>
      <w:smartTag w:uri="urn:schemas-microsoft-com:office:smarttags" w:element="PersonName">
        <w:smartTagPr>
          <w:attr w:name="ProductID" w:val="la Secretar￭a"/>
        </w:smartTagPr>
        <w:r>
          <w:t>la Secretaría</w:t>
        </w:r>
      </w:smartTag>
      <w:r>
        <w:t>, es concordante con el pedido efectuado el 6 de Mayo de 1997 por el Dr. Víctor Stinfale, en virtud del cual solicitó se determin</w:t>
      </w:r>
      <w:r>
        <w:t>a</w:t>
      </w:r>
      <w:r>
        <w:t>ra el monto de la recompensa, pedido que fue ratificado por TELLELDIN, conforme surge del incidente respectivo. Ambos –defensor y procesado- declararon testimonialmente ante el Dr. Gabriel Cavallo (20 de agosto y 1º de septie</w:t>
      </w:r>
      <w:r>
        <w:t>m</w:t>
      </w:r>
      <w:r>
        <w:t>bre de 1997 respectivamente) con motivo de la investig</w:t>
      </w:r>
      <w:r>
        <w:t>a</w:t>
      </w:r>
      <w:r>
        <w:t>ción sustanciada en el Juzgado Federal nº 4 sobre la a</w:t>
      </w:r>
      <w:r>
        <w:t>c</w:t>
      </w:r>
      <w:r>
        <w:t>tuación del suscripto y el Secretario actuante, refirié</w:t>
      </w:r>
      <w:r>
        <w:t>n</w:t>
      </w:r>
      <w:r>
        <w:t>dose al interés en vender los der</w:t>
      </w:r>
      <w:r>
        <w:t>e</w:t>
      </w:r>
      <w:r>
        <w:t>chos de autor del libro y cobrar la reco</w:t>
      </w:r>
      <w:r>
        <w:t>m</w:t>
      </w:r>
      <w:r>
        <w:t>pensa prevista en el decreto 2023/94. El abogado manifestó que en ese contexto se llevó a cabo la reunión del 1º de Julio de 1996 y que las conversaciones debían seguir hasta llegar a un eventual acuerdo o no s</w:t>
      </w:r>
      <w:r>
        <w:t>o</w:t>
      </w:r>
      <w:r>
        <w:t>bre el tema. Que en razón de la tardanza y falta de éx</w:t>
      </w:r>
      <w:r>
        <w:t>i</w:t>
      </w:r>
      <w:r>
        <w:t>to de la negociación, como también por el conocimiento públ</w:t>
      </w:r>
      <w:r>
        <w:t>i</w:t>
      </w:r>
      <w:r>
        <w:t>co de la información con la que contaba su asistido, dec</w:t>
      </w:r>
      <w:r>
        <w:t>i</w:t>
      </w:r>
      <w:r>
        <w:t>dió un cambio de estrategia y que declarara jud</w:t>
      </w:r>
      <w:r>
        <w:t>i</w:t>
      </w:r>
      <w:r>
        <w:t>cialmente, sin que existiera dinero a cambio. Por su parte, TELLELDIN recalcó que no cobró ni la recompensa ni los derechos de autor. Sobre el tema se expidió el Magistrado actuante el 12 de septiembre de 1997 (causa nº 3150/07 antes mencion</w:t>
      </w:r>
      <w:r>
        <w:t>a</w:t>
      </w:r>
      <w:r>
        <w:t>da), exponiendo que ‘la di</w:t>
      </w:r>
      <w:r>
        <w:t>s</w:t>
      </w:r>
      <w:r>
        <w:t>yuntiva acerca de si aquél -por el decreto 2023/94- requería reglamentación alguna p</w:t>
      </w:r>
      <w:r>
        <w:t>a</w:t>
      </w:r>
      <w:r>
        <w:t>ra su puesta en práctica, o bastaba con la simple existe</w:t>
      </w:r>
      <w:r>
        <w:t>n</w:t>
      </w:r>
      <w:r>
        <w:t>cia del decreto, no podía traducirse en una inactividad por parte del juez ante la presencia concreta de un reclamo de la suma allí ofrecida –aunque bajo la forma ya descripta-: por lo que, desde mi punto de vista resulta plenamente atendible que fuera el magistrado quien evaluara prudent</w:t>
      </w:r>
      <w:r>
        <w:t>e</w:t>
      </w:r>
      <w:r>
        <w:t>mente la importancia de la información bri</w:t>
      </w:r>
      <w:r>
        <w:t>n</w:t>
      </w:r>
      <w:r>
        <w:t>dada, a fin de que el interesado iniciara la tramitación para la obte</w:t>
      </w:r>
      <w:r>
        <w:t>n</w:t>
      </w:r>
      <w:r>
        <w:t>ción del dinero reclamado...’</w:t>
      </w:r>
      <w:r>
        <w:rPr>
          <w:i/>
        </w:rPr>
        <w:t>,</w:t>
      </w:r>
      <w:r>
        <w:t xml:space="preserve"> interpretando adecuadamente la actuación del su</w:t>
      </w:r>
      <w:r>
        <w:t>s</w:t>
      </w:r>
      <w:r>
        <w:t>cripto frente a los hechos”.</w:t>
      </w:r>
    </w:p>
    <w:p w:rsidR="00224567" w:rsidRDefault="00224567">
      <w:r>
        <w:tab/>
        <w:t>Asimismo, infirió que, “Sin embargo, esa negativa de TELLELDIN a haber cobrado la recompensa se modificó al denegarle la excarcelación. Al notificarle d</w:t>
      </w:r>
      <w:r>
        <w:t>i</w:t>
      </w:r>
      <w:r>
        <w:t>cha decisión del suscripto, manifestó que si no se le co</w:t>
      </w:r>
      <w:r>
        <w:t>n</w:t>
      </w:r>
      <w:r>
        <w:t>cedía la libertad, declararía que había mentido y que se le había pagado para declarar contra los policías, discu</w:t>
      </w:r>
      <w:r>
        <w:t>l</w:t>
      </w:r>
      <w:r>
        <w:t>pándose el Dr. Stinfale y atribuyendo los dichos de su cliente al estado nervioso por no recuperar su libertad; de todo lo cual quedó constancia en el incidente. Post</w:t>
      </w:r>
      <w:r>
        <w:t>e</w:t>
      </w:r>
      <w:r>
        <w:t>riormente, en una conversación con su mujer come</w:t>
      </w:r>
      <w:r>
        <w:t>n</w:t>
      </w:r>
      <w:r>
        <w:t>tó que lo único que consiguió estando preso es la recompensa. Debe recordarse que el decreto 2023/94 prevé la creación del Fondo Permanente de Protección contra el Terrorismo Inte</w:t>
      </w:r>
      <w:r>
        <w:t>r</w:t>
      </w:r>
      <w:r>
        <w:t>nacional, mediante el cual se ofrecen compensaciones pec</w:t>
      </w:r>
      <w:r>
        <w:t>u</w:t>
      </w:r>
      <w:r>
        <w:t>niarias o recompensas a las personas que aporten datos, informes, test</w:t>
      </w:r>
      <w:r>
        <w:t>i</w:t>
      </w:r>
      <w:r>
        <w:t>monios, documentación y todo otro elemento o referencia fehaciente que conduzcan al esclarecimiento y/o a la investigación de hechos como el que diera or</w:t>
      </w:r>
      <w:r>
        <w:t>i</w:t>
      </w:r>
      <w:r>
        <w:t>gen a la causa nº 1156, en consulta con el Juez actuante; es decir que la decisión e instrumentación del pago –en caso de existir- no es una cuestión j</w:t>
      </w:r>
      <w:r>
        <w:t>u</w:t>
      </w:r>
      <w:r>
        <w:t>dicial sino política. Por otra parte, V.E. conoce los exiguos ingresos con que cue</w:t>
      </w:r>
      <w:r>
        <w:t>n</w:t>
      </w:r>
      <w:r>
        <w:t>tan los Juzgados”.</w:t>
      </w:r>
    </w:p>
    <w:p w:rsidR="00224567" w:rsidRDefault="00224567">
      <w:r>
        <w:tab/>
        <w:t>Comentó finalmente: “En oportunidad de decretar la elevación a juicio oral de algunos de los h</w:t>
      </w:r>
      <w:r>
        <w:t>e</w:t>
      </w:r>
      <w:r>
        <w:t>chos investigados, se realizaron amplias explicaciones s</w:t>
      </w:r>
      <w:r>
        <w:t>o</w:t>
      </w:r>
      <w:r>
        <w:t>bre la recompensa en el punto E) del título IV, dedicado a las dificultades que presenta la legislación aplicable en el caso. A ello cabe agregar que el tema fue investigado en 1997 por el Juzgado federal nº 4 y actualmente por el Juzgado nº 11, por lo que no adopte medida alguna al re</w:t>
      </w:r>
      <w:r>
        <w:t>s</w:t>
      </w:r>
      <w:r>
        <w:t>pecto. No puede dejar de mencionarse, teniendo en cuenta lo expuesto en cuanto a la voluntad de registrar determ</w:t>
      </w:r>
      <w:r>
        <w:t>i</w:t>
      </w:r>
      <w:r>
        <w:t>nados comentarios, presumiendo o conociendo la observ</w:t>
      </w:r>
      <w:r>
        <w:t>a</w:t>
      </w:r>
      <w:r>
        <w:t>ción telefónica, que algunas de las constancias asentadas pu</w:t>
      </w:r>
      <w:r>
        <w:t>e</w:t>
      </w:r>
      <w:r>
        <w:t>den constituir una nueva estrategia en miras al próximo juicio oral” (ver fs. 108.189/108.190vta.).</w:t>
      </w:r>
    </w:p>
    <w:p w:rsidR="00224567" w:rsidRDefault="00224567">
      <w:r>
        <w:tab/>
        <w:t>Mediante resolución del 21 de septie</w:t>
      </w:r>
      <w:r>
        <w:t>m</w:t>
      </w:r>
      <w:r>
        <w:t xml:space="preserve">bre de </w:t>
      </w:r>
      <w:smartTag w:uri="urn:schemas-microsoft-com:office:smarttags" w:element="metricconverter">
        <w:smartTagPr>
          <w:attr w:name="ProductID" w:val="2001, a"/>
        </w:smartTagPr>
        <w:r>
          <w:t>2001, a</w:t>
        </w:r>
      </w:smartTag>
      <w:r>
        <w:t xml:space="preserve"> tres días de comenzar la audiencia del d</w:t>
      </w:r>
      <w:r>
        <w:t>e</w:t>
      </w:r>
      <w:r>
        <w:t xml:space="preserve">bate oral y público, registrada bajo el nº 841,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w:smartTagPr>
        <w:r>
          <w:t>la Cámara</w:t>
        </w:r>
      </w:smartTag>
      <w:r>
        <w:t xml:space="preserve"> en lo Criminal y Correccional Federal, int</w:t>
      </w:r>
      <w:r>
        <w:t>e</w:t>
      </w:r>
      <w:r>
        <w:t>grada por los Dres. Hor</w:t>
      </w:r>
      <w:r>
        <w:t>a</w:t>
      </w:r>
      <w:r>
        <w:t>cio Raúl Vigliani, Martín Irurzun y Horacio Rolando Cattani, rechazó la recusación formulada por el Dr. Ubeira.</w:t>
      </w:r>
    </w:p>
    <w:p w:rsidR="00224567" w:rsidRDefault="00224567">
      <w:r>
        <w:tab/>
        <w:t>Con relación al supuesto cobro del d</w:t>
      </w:r>
      <w:r>
        <w:t>i</w:t>
      </w:r>
      <w:r>
        <w:t xml:space="preserve">nero, sostuvo: </w:t>
      </w:r>
      <w:r>
        <w:rPr>
          <w:bCs/>
        </w:rPr>
        <w:t>“Finalmente y en cuanto al temor de parci</w:t>
      </w:r>
      <w:r>
        <w:rPr>
          <w:bCs/>
        </w:rPr>
        <w:t>a</w:t>
      </w:r>
      <w:r>
        <w:rPr>
          <w:bCs/>
        </w:rPr>
        <w:t>lidad alegado, no se advierte que éste se encuentre raz</w:t>
      </w:r>
      <w:r>
        <w:rPr>
          <w:bCs/>
        </w:rPr>
        <w:t>o</w:t>
      </w:r>
      <w:r>
        <w:rPr>
          <w:bCs/>
        </w:rPr>
        <w:t>nablemente objetivado. En efecto, del informe realizado por el Juez instructor se desprende tanto que los interl</w:t>
      </w:r>
      <w:r>
        <w:rPr>
          <w:bCs/>
        </w:rPr>
        <w:t>o</w:t>
      </w:r>
      <w:r>
        <w:rPr>
          <w:bCs/>
        </w:rPr>
        <w:t>cutores de las conversaciones telefónicas sabían que est</w:t>
      </w:r>
      <w:r>
        <w:rPr>
          <w:bCs/>
        </w:rPr>
        <w:t>a</w:t>
      </w:r>
      <w:r>
        <w:rPr>
          <w:bCs/>
        </w:rPr>
        <w:t>ban siendo esc</w:t>
      </w:r>
      <w:r>
        <w:rPr>
          <w:bCs/>
        </w:rPr>
        <w:t>u</w:t>
      </w:r>
      <w:r>
        <w:rPr>
          <w:bCs/>
        </w:rPr>
        <w:t>chados por orden judicial como, y con mayor relevancia, que Telleldín y su defensa han negado la exi</w:t>
      </w:r>
      <w:r>
        <w:rPr>
          <w:bCs/>
        </w:rPr>
        <w:t>s</w:t>
      </w:r>
      <w:r>
        <w:rPr>
          <w:bCs/>
        </w:rPr>
        <w:t>tencia del hecho referido como sostén de la parcialidad inv</w:t>
      </w:r>
      <w:r>
        <w:rPr>
          <w:bCs/>
        </w:rPr>
        <w:t>o</w:t>
      </w:r>
      <w:r>
        <w:rPr>
          <w:bCs/>
        </w:rPr>
        <w:t>cada” (ver fs. 108.193/</w:t>
      </w:r>
      <w:r>
        <w:t>vta.).</w:t>
      </w:r>
    </w:p>
    <w:p w:rsidR="00224567" w:rsidRDefault="00224567">
      <w:pPr>
        <w:rPr>
          <w:b/>
        </w:rPr>
      </w:pPr>
      <w:r>
        <w:tab/>
      </w:r>
      <w:r>
        <w:rPr>
          <w:b/>
          <w:bCs/>
        </w:rPr>
        <w:t xml:space="preserve">B.1.c) </w:t>
      </w:r>
      <w:r>
        <w:rPr>
          <w:b/>
        </w:rPr>
        <w:t>Recusación del 10 de julio de 2002.</w:t>
      </w:r>
    </w:p>
    <w:p w:rsidR="00224567" w:rsidRDefault="00224567">
      <w:pPr>
        <w:widowControl w:val="0"/>
      </w:pPr>
      <w:r>
        <w:tab/>
        <w:t>Interpuesta por el Dr. Juan Manuel Ubeira en la causa nº 1564 que originariamente tramitó a</w:t>
      </w:r>
      <w:r>
        <w:t>n</w:t>
      </w:r>
      <w:r>
        <w:t>te el Juzgado en lo Criminal y Correccional nº 11 del D</w:t>
      </w:r>
      <w:r>
        <w:t>e</w:t>
      </w:r>
      <w:r>
        <w:t>partamento Judicial de Lomas de Z</w:t>
      </w:r>
      <w:r>
        <w:t>a</w:t>
      </w:r>
      <w:r>
        <w:t>mora (ver fs. 36/46 del Incidente de Recusación de Ribelli, Juan José en autos “Piñ</w:t>
      </w:r>
      <w:r>
        <w:t>e</w:t>
      </w:r>
      <w:r>
        <w:t>ro, Héctor y otros por extorsión”).</w:t>
      </w:r>
    </w:p>
    <w:p w:rsidR="00224567" w:rsidRDefault="00224567">
      <w:pPr>
        <w:widowControl w:val="0"/>
      </w:pPr>
      <w:r>
        <w:tab/>
        <w:t>Se reeditaron, en cierta medida, las</w:t>
      </w:r>
      <w:r>
        <w:rPr>
          <w:b/>
        </w:rPr>
        <w:t xml:space="preserve"> </w:t>
      </w:r>
      <w:r>
        <w:t>causales de litispendencia y prejuzgamiento del planteo ant</w:t>
      </w:r>
      <w:r>
        <w:t>e</w:t>
      </w:r>
      <w:r>
        <w:t>rior y se agregaron otras.</w:t>
      </w:r>
    </w:p>
    <w:p w:rsidR="00224567" w:rsidRDefault="00224567">
      <w:pPr>
        <w:widowControl w:val="0"/>
      </w:pPr>
      <w:r>
        <w:tab/>
      </w:r>
      <w:r>
        <w:rPr>
          <w:b/>
          <w:bCs/>
        </w:rPr>
        <w:t xml:space="preserve">B.1.c.i) </w:t>
      </w:r>
      <w:r>
        <w:t>Prejuzgamiento. Compr</w:t>
      </w:r>
      <w:r>
        <w:t>o</w:t>
      </w:r>
      <w:r>
        <w:t>bación de reconocimientos fotográf</w:t>
      </w:r>
      <w:r>
        <w:t>i</w:t>
      </w:r>
      <w:r>
        <w:t>cos inducidos.</w:t>
      </w:r>
    </w:p>
    <w:p w:rsidR="00224567" w:rsidRDefault="00224567">
      <w:pPr>
        <w:widowControl w:val="0"/>
      </w:pPr>
      <w:r>
        <w:tab/>
        <w:t>El Dr. Ubeira argumentó que en el v</w:t>
      </w:r>
      <w:r>
        <w:t>i</w:t>
      </w:r>
      <w:r>
        <w:t>deo del 10 de abril de 1996, remitido por el juzgado in</w:t>
      </w:r>
      <w:r>
        <w:t>s</w:t>
      </w:r>
      <w:r>
        <w:t>tru</w:t>
      </w:r>
      <w:r>
        <w:t>c</w:t>
      </w:r>
      <w:r>
        <w:t>tor al Tribunal, puede observarse que el juez, junto a alguno de sus colaboradores, mantuvo una entr</w:t>
      </w:r>
      <w:r>
        <w:t>e</w:t>
      </w:r>
      <w:r>
        <w:t>vista con el imputado Telleldín en cuyo d</w:t>
      </w:r>
      <w:r>
        <w:t>e</w:t>
      </w:r>
      <w:r>
        <w:t>sarrollo le fueron exhibidas fotografías y legajos policiales que posteriormente se e</w:t>
      </w:r>
      <w:r>
        <w:t>m</w:t>
      </w:r>
      <w:r>
        <w:t>plearon en la i</w:t>
      </w:r>
      <w:r>
        <w:t>n</w:t>
      </w:r>
      <w:r>
        <w:t>dagatoria del 5 de julio de 1996, sin que se hubiera dejado constancia en el expediente. Agregó, además, que Telleldín declaró en la audiencia del debate que cobró USD 400.000 para reconocer a los policías, transcribiendo en el escrito algunos fragmentos de la d</w:t>
      </w:r>
      <w:r>
        <w:t>e</w:t>
      </w:r>
      <w:r>
        <w:t>claración indagatoria que el nombrado prestó en esta sede.</w:t>
      </w:r>
    </w:p>
    <w:p w:rsidR="00224567" w:rsidRDefault="00224567">
      <w:pPr>
        <w:widowControl w:val="0"/>
        <w:rPr>
          <w:b/>
          <w:bCs/>
        </w:rPr>
      </w:pPr>
      <w:r>
        <w:rPr>
          <w:b/>
          <w:bCs/>
        </w:rPr>
        <w:tab/>
        <w:t>B.1.c.ii)</w:t>
      </w:r>
      <w:r>
        <w:t xml:space="preserve"> Prejuzgamiento. Convers</w:t>
      </w:r>
      <w:r>
        <w:t>a</w:t>
      </w:r>
      <w:r>
        <w:t>ción telefónica.</w:t>
      </w:r>
    </w:p>
    <w:p w:rsidR="00224567" w:rsidRDefault="00224567">
      <w:pPr>
        <w:widowControl w:val="0"/>
      </w:pPr>
      <w:r>
        <w:tab/>
        <w:t>Sostuvo el letrado defensor que en la co</w:t>
      </w:r>
      <w:r>
        <w:t>n</w:t>
      </w:r>
      <w:r>
        <w:t>versación telefónica mantenida por el juez Galeano con el Dr. Rubén Beraja, obtenida en la causa nº 10.247 del Juzgado Federal nº 5, secretaría nº 10, caratulada: “Ber</w:t>
      </w:r>
      <w:r>
        <w:t>a</w:t>
      </w:r>
      <w:r>
        <w:t>ja, Rubén Ezra y otros s/defraudación c/administración p</w:t>
      </w:r>
      <w:r>
        <w:t>ú</w:t>
      </w:r>
      <w:r>
        <w:t>blica”, puede advertirse un diálogo vinculado a temas de la investigación de la causa A.M.I.A., en el que se efe</w:t>
      </w:r>
      <w:r>
        <w:t>c</w:t>
      </w:r>
      <w:r>
        <w:t>tuaron comentarios y referencias acerca del modo de proc</w:t>
      </w:r>
      <w:r>
        <w:t>e</w:t>
      </w:r>
      <w:r>
        <w:t>der de su defendido, calificándolo como “un patrón de e</w:t>
      </w:r>
      <w:r>
        <w:t>s</w:t>
      </w:r>
      <w:r>
        <w:t>tancia” o “un verd</w:t>
      </w:r>
      <w:r>
        <w:t>a</w:t>
      </w:r>
      <w:r>
        <w:t>dero jefe”.</w:t>
      </w:r>
    </w:p>
    <w:p w:rsidR="00224567" w:rsidRDefault="00224567">
      <w:pPr>
        <w:widowControl w:val="0"/>
      </w:pPr>
      <w:r>
        <w:tab/>
      </w:r>
      <w:r>
        <w:rPr>
          <w:b/>
          <w:bCs/>
        </w:rPr>
        <w:t xml:space="preserve">B.1.c.iii) </w:t>
      </w:r>
      <w:r>
        <w:t>Litispendencia</w:t>
      </w:r>
      <w:r>
        <w:rPr>
          <w:b/>
        </w:rPr>
        <w:t>.</w:t>
      </w:r>
    </w:p>
    <w:p w:rsidR="00224567" w:rsidRDefault="00224567">
      <w:pPr>
        <w:widowControl w:val="0"/>
      </w:pPr>
      <w:r>
        <w:tab/>
        <w:t>Se argumentó la existencia de una d</w:t>
      </w:r>
      <w:r>
        <w:t>e</w:t>
      </w:r>
      <w:r>
        <w:t>nuncia contra el juez Galeano por el modo irreg</w:t>
      </w:r>
      <w:r>
        <w:t>u</w:t>
      </w:r>
      <w:r>
        <w:t>lar en que fue sobreseída Miriam Salinas para que pudiera ser testigo de identidad reservada en este proceso. En dichas actu</w:t>
      </w:r>
      <w:r>
        <w:t>a</w:t>
      </w:r>
      <w:r>
        <w:t>ciones Juan José Ribelli se constituyó como parte quer</w:t>
      </w:r>
      <w:r>
        <w:t>e</w:t>
      </w:r>
      <w:r>
        <w:t xml:space="preserve">llante; </w:t>
      </w:r>
      <w:smartTag w:uri="urn:schemas-microsoft-com:office:smarttags" w:element="PersonName">
        <w:smartTagPr>
          <w:attr w:name="ProductID" w:val="la C￡mara"/>
        </w:smartTagPr>
        <w:r>
          <w:t>la Cámara</w:t>
        </w:r>
      </w:smartTag>
      <w:r>
        <w:t xml:space="preserve"> revocó el cierre ordenado por el juez instructor y dispuso la realización de medidas de invest</w:t>
      </w:r>
      <w:r>
        <w:t>i</w:t>
      </w:r>
      <w:r>
        <w:t>gación.</w:t>
      </w:r>
    </w:p>
    <w:p w:rsidR="00224567" w:rsidRDefault="00224567">
      <w:pPr>
        <w:widowControl w:val="0"/>
        <w:rPr>
          <w:bCs/>
        </w:rPr>
      </w:pPr>
      <w:r>
        <w:tab/>
        <w:t>El Dr</w:t>
      </w:r>
      <w:r>
        <w:rPr>
          <w:b/>
        </w:rPr>
        <w:t xml:space="preserve">. </w:t>
      </w:r>
      <w:r>
        <w:t>Juan José Galeano efectuó el informe previsto por el ordenamiento procesal el 16 de j</w:t>
      </w:r>
      <w:r>
        <w:t>u</w:t>
      </w:r>
      <w:r>
        <w:t xml:space="preserve">lio del año 2002 (ver fs. 172/175 del incidente) y narró inicialmente: </w:t>
      </w:r>
      <w:r>
        <w:rPr>
          <w:bCs/>
        </w:rPr>
        <w:t xml:space="preserve">“No es la primera vez que se intenta el apartamiento del suscripto en la causa nº 1156-atentado a </w:t>
      </w:r>
      <w:smartTag w:uri="urn:schemas-microsoft-com:office:smarttags" w:element="PersonName">
        <w:smartTagPr>
          <w:attr w:name="ProductID" w:val="la A.M"/>
        </w:smartTagPr>
        <w:r>
          <w:rPr>
            <w:bCs/>
          </w:rPr>
          <w:t>la A.M</w:t>
        </w:r>
      </w:smartTag>
      <w:r>
        <w:rPr>
          <w:bCs/>
        </w:rPr>
        <w:t xml:space="preserve">.I.A.-de </w:t>
      </w:r>
      <w:smartTag w:uri="urn:schemas-microsoft-com:office:smarttags" w:element="PersonName">
        <w:smartTagPr>
          <w:attr w:name="ProductID" w:val="la Secr."/>
        </w:smartTagPr>
        <w:r>
          <w:rPr>
            <w:bCs/>
          </w:rPr>
          <w:t>la Secr.</w:t>
        </w:r>
      </w:smartTag>
      <w:r>
        <w:rPr>
          <w:bCs/>
        </w:rPr>
        <w:t xml:space="preserve"> nº 17. Ya lo hicieron Carlos T</w:t>
      </w:r>
      <w:r>
        <w:rPr>
          <w:bCs/>
        </w:rPr>
        <w:t>E</w:t>
      </w:r>
      <w:r>
        <w:rPr>
          <w:bCs/>
        </w:rPr>
        <w:t>LLELDÍN y el mismo RIB</w:t>
      </w:r>
      <w:r>
        <w:rPr>
          <w:bCs/>
        </w:rPr>
        <w:t>E</w:t>
      </w:r>
      <w:r>
        <w:rPr>
          <w:bCs/>
        </w:rPr>
        <w:t>LLI, quien ahora lo intenta en una causa conexa; más aún, los motivos casi no difieren del anterior planteo en relación a un leg</w:t>
      </w:r>
      <w:r>
        <w:rPr>
          <w:bCs/>
        </w:rPr>
        <w:t>a</w:t>
      </w:r>
      <w:r>
        <w:rPr>
          <w:bCs/>
        </w:rPr>
        <w:t>jo vinculado a dicha causa nº 1156-nº 314-, donde se investigaba la comisión de delitos por parte de su p</w:t>
      </w:r>
      <w:r>
        <w:rPr>
          <w:bCs/>
        </w:rPr>
        <w:t>u</w:t>
      </w:r>
      <w:r>
        <w:rPr>
          <w:bCs/>
        </w:rPr>
        <w:t>pilo procesal, tal como reconoce el letrado en su pr</w:t>
      </w:r>
      <w:r>
        <w:rPr>
          <w:bCs/>
        </w:rPr>
        <w:t>e</w:t>
      </w:r>
      <w:r>
        <w:rPr>
          <w:bCs/>
        </w:rPr>
        <w:t>sentación”.</w:t>
      </w:r>
    </w:p>
    <w:p w:rsidR="00224567" w:rsidRDefault="00224567">
      <w:pPr>
        <w:widowControl w:val="0"/>
      </w:pPr>
      <w:r>
        <w:rPr>
          <w:bCs/>
        </w:rPr>
        <w:tab/>
        <w:t>Tras pronunciarse en similares térm</w:t>
      </w:r>
      <w:r>
        <w:rPr>
          <w:bCs/>
        </w:rPr>
        <w:t>i</w:t>
      </w:r>
      <w:r>
        <w:rPr>
          <w:bCs/>
        </w:rPr>
        <w:t>nos respecto de la anterior recusación, aludió a las afi</w:t>
      </w:r>
      <w:r>
        <w:rPr>
          <w:bCs/>
        </w:rPr>
        <w:t>r</w:t>
      </w:r>
      <w:r>
        <w:rPr>
          <w:bCs/>
        </w:rPr>
        <w:t>maciones efectuadas por Telleldín en la indagatoria pre</w:t>
      </w:r>
      <w:r>
        <w:rPr>
          <w:bCs/>
        </w:rPr>
        <w:t>s</w:t>
      </w:r>
      <w:r>
        <w:rPr>
          <w:bCs/>
        </w:rPr>
        <w:t>tada en el juicio, con estas pal</w:t>
      </w:r>
      <w:r>
        <w:rPr>
          <w:bCs/>
        </w:rPr>
        <w:t>a</w:t>
      </w:r>
      <w:r>
        <w:rPr>
          <w:bCs/>
        </w:rPr>
        <w:t>bras: “y respecto de los dichos de TELLELDIN, corresponde aclarar, a pesar de no encontrarse la transcripción certificada de manera a</w:t>
      </w:r>
      <w:r>
        <w:rPr>
          <w:bCs/>
        </w:rPr>
        <w:t>l</w:t>
      </w:r>
      <w:r>
        <w:rPr>
          <w:bCs/>
        </w:rPr>
        <w:t>guna por el tribunal actuante, que tales afirmaciones en la a</w:t>
      </w:r>
      <w:r>
        <w:rPr>
          <w:bCs/>
        </w:rPr>
        <w:t>u</w:t>
      </w:r>
      <w:r>
        <w:rPr>
          <w:bCs/>
        </w:rPr>
        <w:t>diencia pública no pueden tomarse legalmente como repr</w:t>
      </w:r>
      <w:r>
        <w:rPr>
          <w:bCs/>
        </w:rPr>
        <w:t>e</w:t>
      </w:r>
      <w:r>
        <w:rPr>
          <w:bCs/>
        </w:rPr>
        <w:t>sentativos de una opinión o pensamiento del suscripto s</w:t>
      </w:r>
      <w:r>
        <w:rPr>
          <w:bCs/>
        </w:rPr>
        <w:t>o</w:t>
      </w:r>
      <w:r>
        <w:rPr>
          <w:bCs/>
        </w:rPr>
        <w:t>bre RIBELLI sino como lo que son: manifestaciones de uno de los procesados -ergo, sin juramento de decir verdad- intentando mejorar su situación procesal. No es este el ámbito para que op</w:t>
      </w:r>
      <w:r>
        <w:rPr>
          <w:bCs/>
        </w:rPr>
        <w:t>i</w:t>
      </w:r>
      <w:r>
        <w:rPr>
          <w:bCs/>
        </w:rPr>
        <w:t>ne sobre tales dichos</w:t>
      </w:r>
      <w:r>
        <w:t>”.</w:t>
      </w:r>
    </w:p>
    <w:p w:rsidR="00224567" w:rsidRDefault="00224567">
      <w:pPr>
        <w:widowControl w:val="0"/>
        <w:rPr>
          <w:b/>
        </w:rPr>
      </w:pPr>
      <w:r>
        <w:tab/>
      </w:r>
      <w:r>
        <w:rPr>
          <w:b/>
          <w:bCs/>
        </w:rPr>
        <w:t xml:space="preserve">B.1.d) </w:t>
      </w:r>
      <w:r>
        <w:rPr>
          <w:b/>
        </w:rPr>
        <w:t>Recusación del 6 de noviembre del año 2002. Ampliación de la anterior durante su trám</w:t>
      </w:r>
      <w:r>
        <w:rPr>
          <w:b/>
        </w:rPr>
        <w:t>i</w:t>
      </w:r>
      <w:r>
        <w:rPr>
          <w:b/>
        </w:rPr>
        <w:t>te.</w:t>
      </w:r>
    </w:p>
    <w:p w:rsidR="00224567" w:rsidRDefault="00224567">
      <w:pPr>
        <w:widowControl w:val="0"/>
      </w:pPr>
      <w:r>
        <w:rPr>
          <w:b/>
        </w:rPr>
        <w:tab/>
        <w:t>a)</w:t>
      </w:r>
      <w:r>
        <w:t xml:space="preserve"> Interpuesta por propio derecho por el imputado Juan José Ribelli, en la oportunidad de la a</w:t>
      </w:r>
      <w:r>
        <w:t>u</w:t>
      </w:r>
      <w:r>
        <w:t>diencia ante la alzada, en los términos del art. 61 del código de rito (ver fs. 237/255 del incidente). Entre otros argumentos, el nombrado man</w:t>
      </w:r>
      <w:r>
        <w:t>i</w:t>
      </w:r>
      <w:r>
        <w:t>festó que el juez no fue imparcial respecto de su persona; extremo que advertía a partir de comportamientos tales como el pago de dinero a un deten</w:t>
      </w:r>
      <w:r>
        <w:t>i</w:t>
      </w:r>
      <w:r>
        <w:t>do, la extorsión a testigos para que declaren en su contra, el ocultamiento de elementos que hacían a su descargo y de los reconocimientos fotográficos ind</w:t>
      </w:r>
      <w:r>
        <w:t>u</w:t>
      </w:r>
      <w:r>
        <w:t>cidos, entre otras circunstancias. Apuntó, además, otras cuesti</w:t>
      </w:r>
      <w:r>
        <w:t>o</w:t>
      </w:r>
      <w:r>
        <w:t>nes que, según su criterio, evidenciaban la parcialidad del magistrado:</w:t>
      </w:r>
    </w:p>
    <w:p w:rsidR="00224567" w:rsidRDefault="00224567">
      <w:pPr>
        <w:widowControl w:val="0"/>
      </w:pPr>
      <w:r>
        <w:rPr>
          <w:b/>
        </w:rPr>
        <w:tab/>
        <w:t xml:space="preserve">a.1) </w:t>
      </w:r>
      <w:r>
        <w:t>Que durante el trámite de la ca</w:t>
      </w:r>
      <w:r>
        <w:t>u</w:t>
      </w:r>
      <w:r>
        <w:t>sa “Brigadas” y habiéndose iniciado la llamada “ca</w:t>
      </w:r>
      <w:r>
        <w:t>u</w:t>
      </w:r>
      <w:r>
        <w:t>sa del video”, en la que se consideró damnificado, el juez ord</w:t>
      </w:r>
      <w:r>
        <w:t>e</w:t>
      </w:r>
      <w:r>
        <w:t>nó, en septiembre de 1997, la formación de un legajo p</w:t>
      </w:r>
      <w:r>
        <w:t>a</w:t>
      </w:r>
      <w:r>
        <w:t>ra que se investiguen las conductas ilícitas que podían su</w:t>
      </w:r>
      <w:r>
        <w:t>r</w:t>
      </w:r>
      <w:r>
        <w:t>gir de las conversaciones telefónicas del personal pol</w:t>
      </w:r>
      <w:r>
        <w:t>i</w:t>
      </w:r>
      <w:r>
        <w:t>cial; investigación que dejó a cargo del comisario inspe</w:t>
      </w:r>
      <w:r>
        <w:t>c</w:t>
      </w:r>
      <w:r>
        <w:t xml:space="preserve">tor de </w:t>
      </w:r>
      <w:smartTag w:uri="urn:schemas-microsoft-com:office:smarttags" w:element="PersonName">
        <w:smartTagPr>
          <w:attr w:name="ProductID" w:val="la Polic￭a Bonaerense"/>
        </w:smartTagPr>
        <w:r>
          <w:t>la Policía Bonaerense</w:t>
        </w:r>
      </w:smartTag>
      <w:r>
        <w:t xml:space="preserve"> Luis Vicat, quien fina</w:t>
      </w:r>
      <w:r>
        <w:t>l</w:t>
      </w:r>
      <w:r>
        <w:t>mente elevó las actuaciones indicando la presunta comisión de hechos ilícitos, las que el juez no remitió de inmedi</w:t>
      </w:r>
      <w:r>
        <w:t>a</w:t>
      </w:r>
      <w:r>
        <w:t>to a la justicia penal provincial, manteniéndolas en reserva por un tiempo. Relató, por último, que recién a pa</w:t>
      </w:r>
      <w:r>
        <w:t>r</w:t>
      </w:r>
      <w:r>
        <w:t xml:space="preserve">tir del 19 de mayo de 1999 la defensa pudo tomar conocimiento de lo actuado en el legajo 14-A, en razón que </w:t>
      </w:r>
      <w:smartTag w:uri="urn:schemas-microsoft-com:office:smarttags" w:element="PersonName">
        <w:smartTagPr>
          <w:attr w:name="ProductID" w:val="la C￡mara"/>
        </w:smartTagPr>
        <w:r>
          <w:t>la Cámara</w:t>
        </w:r>
      </w:smartTag>
      <w:r>
        <w:t xml:space="preserve"> le ordenó al juez que lo acumule al principal.</w:t>
      </w:r>
    </w:p>
    <w:p w:rsidR="00224567" w:rsidRDefault="00224567">
      <w:pPr>
        <w:widowControl w:val="0"/>
      </w:pPr>
      <w:r>
        <w:rPr>
          <w:b/>
        </w:rPr>
        <w:tab/>
        <w:t xml:space="preserve">a.2) </w:t>
      </w:r>
      <w:r>
        <w:t>Que el juez lo privó de acceder al legajo de intervenciones telefónicas de la causa, el que recién pudo consultar en la etapa de juicio; oportun</w:t>
      </w:r>
      <w:r>
        <w:t>i</w:t>
      </w:r>
      <w:r>
        <w:t>dad a partir de la cual pudo conocer las conversaciones telefónicas de Boragni que daban cuenta de la existencia de un pago al imputado T</w:t>
      </w:r>
      <w:r>
        <w:t>e</w:t>
      </w:r>
      <w:r>
        <w:t>lleldín.</w:t>
      </w:r>
    </w:p>
    <w:p w:rsidR="00224567" w:rsidRDefault="00224567">
      <w:pPr>
        <w:widowControl w:val="0"/>
      </w:pPr>
      <w:r>
        <w:tab/>
      </w:r>
      <w:r>
        <w:rPr>
          <w:b/>
        </w:rPr>
        <w:t xml:space="preserve">a.3) </w:t>
      </w:r>
      <w:r>
        <w:t xml:space="preserve">Que pese a que el juez negó ante </w:t>
      </w:r>
      <w:smartTag w:uri="urn:schemas-microsoft-com:office:smarttags" w:element="PersonName">
        <w:smartTagPr>
          <w:attr w:name="ProductID" w:val="la Comisi￳n Bicameral"/>
        </w:smartTagPr>
        <w:r>
          <w:t>la Comisión Bicameral</w:t>
        </w:r>
      </w:smartTag>
      <w:r>
        <w:t xml:space="preserve"> poseer otros videos similares al d</w:t>
      </w:r>
      <w:r>
        <w:t>i</w:t>
      </w:r>
      <w:r>
        <w:t>fundido en el programa del periodista Jorge Lanata, rec</w:t>
      </w:r>
      <w:r>
        <w:t>o</w:t>
      </w:r>
      <w:r>
        <w:t>noció en una contestación al Tr</w:t>
      </w:r>
      <w:r>
        <w:t>i</w:t>
      </w:r>
      <w:r>
        <w:t>bunal Oral Federal nº 3 la existencia de otros que mandó destruir, a la vez que aco</w:t>
      </w:r>
      <w:r>
        <w:t>m</w:t>
      </w:r>
      <w:r>
        <w:t>pañó un video, supuestamente obtenido el 10 de abril de 1996, en el que puede verse al juez, junto a sus secret</w:t>
      </w:r>
      <w:r>
        <w:t>a</w:t>
      </w:r>
      <w:r>
        <w:t>rios, exhibiéndole a Telleldín fotografías y legajos pol</w:t>
      </w:r>
      <w:r>
        <w:t>i</w:t>
      </w:r>
      <w:r>
        <w:t>ciales, sin dejar constancia alguna en el expediente; d</w:t>
      </w:r>
      <w:r>
        <w:t>a</w:t>
      </w:r>
      <w:r>
        <w:t>tos éstos que luego fueron empleados en la indagatoria del 5 de j</w:t>
      </w:r>
      <w:r>
        <w:t>u</w:t>
      </w:r>
      <w:r>
        <w:t>lio de 1996.</w:t>
      </w:r>
    </w:p>
    <w:p w:rsidR="00224567" w:rsidRDefault="00224567">
      <w:pPr>
        <w:widowControl w:val="0"/>
      </w:pPr>
      <w:r>
        <w:tab/>
      </w:r>
      <w:r>
        <w:rPr>
          <w:b/>
        </w:rPr>
        <w:t xml:space="preserve">a.4) </w:t>
      </w:r>
      <w:r>
        <w:t>Que el juez ocultó toda la situ</w:t>
      </w:r>
      <w:r>
        <w:t>a</w:t>
      </w:r>
      <w:r>
        <w:t>ción vinculada con el testimonio del Dr. Gustavo S</w:t>
      </w:r>
      <w:r>
        <w:t>e</w:t>
      </w:r>
      <w:r>
        <w:t xml:space="preserve">morile como testigo de identidad reservada; letrado que recibió de manos de Telleldín la motocicleta “Kawasaki KMK </w:t>
      </w:r>
      <w:smartTag w:uri="urn:schemas-microsoft-com:office:smarttags" w:element="metricconverter">
        <w:smartTagPr>
          <w:attr w:name="ProductID" w:val="125”"/>
        </w:smartTagPr>
        <w:r>
          <w:t>125”</w:t>
        </w:r>
      </w:smartTag>
      <w:r>
        <w:t>, dom</w:t>
      </w:r>
      <w:r>
        <w:t>i</w:t>
      </w:r>
      <w:r>
        <w:t xml:space="preserve">nio 328 APX, cuando éste estuvo detenido en </w:t>
      </w:r>
      <w:smartTag w:uri="urn:schemas-microsoft-com:office:smarttags" w:element="PersonName">
        <w:smartTagPr>
          <w:attr w:name="ProductID" w:val="la Brigada"/>
        </w:smartTagPr>
        <w:r>
          <w:t>la Brigada</w:t>
        </w:r>
      </w:smartTag>
      <w:r>
        <w:t xml:space="preserve"> de Investigaci</w:t>
      </w:r>
      <w:r>
        <w:t>o</w:t>
      </w:r>
      <w:r>
        <w:t>nes de Lanús, en abril de 1994.</w:t>
      </w:r>
    </w:p>
    <w:p w:rsidR="00224567" w:rsidRDefault="00224567">
      <w:pPr>
        <w:widowControl w:val="0"/>
      </w:pPr>
      <w:r>
        <w:tab/>
      </w:r>
      <w:r>
        <w:rPr>
          <w:b/>
        </w:rPr>
        <w:t xml:space="preserve">a.5) </w:t>
      </w:r>
      <w:r>
        <w:rPr>
          <w:bCs/>
        </w:rPr>
        <w:t>Que también o</w:t>
      </w:r>
      <w:r>
        <w:t>cultó las circun</w:t>
      </w:r>
      <w:r>
        <w:t>s</w:t>
      </w:r>
      <w:r>
        <w:t>tancias en las que se le recibió declaración testim</w:t>
      </w:r>
      <w:r>
        <w:t>o</w:t>
      </w:r>
      <w:r>
        <w:t>nial a Miriam Salinas como testigo de identidad rese</w:t>
      </w:r>
      <w:r>
        <w:t>r</w:t>
      </w:r>
      <w:r>
        <w:t>vada.</w:t>
      </w:r>
    </w:p>
    <w:p w:rsidR="00224567" w:rsidRDefault="00224567">
      <w:pPr>
        <w:widowControl w:val="0"/>
      </w:pPr>
      <w:r>
        <w:tab/>
      </w:r>
      <w:r>
        <w:rPr>
          <w:b/>
        </w:rPr>
        <w:t xml:space="preserve">a.6) </w:t>
      </w:r>
      <w:r>
        <w:t>Que en el debate los testigos Walter Alejandro Castro, Ángel Rubén Varela y José A</w:t>
      </w:r>
      <w:r>
        <w:t>n</w:t>
      </w:r>
      <w:r>
        <w:t>tonio Alfonso admitieron haber sido presionados en el juzgado instructor para brindar testimonios en perjuicio de Rib</w:t>
      </w:r>
      <w:r>
        <w:t>e</w:t>
      </w:r>
      <w:r>
        <w:t>lli.</w:t>
      </w:r>
    </w:p>
    <w:p w:rsidR="00224567" w:rsidRDefault="00224567">
      <w:pPr>
        <w:widowControl w:val="0"/>
      </w:pPr>
      <w:r>
        <w:tab/>
      </w:r>
      <w:r>
        <w:rPr>
          <w:b/>
        </w:rPr>
        <w:t xml:space="preserve">b) </w:t>
      </w:r>
      <w:r>
        <w:t xml:space="preserve">Nuevamente </w:t>
      </w:r>
      <w:smartTag w:uri="urn:schemas-microsoft-com:office:smarttags" w:element="PersonName">
        <w:smartTagPr>
          <w:attr w:name="ProductID" w:val="la C￡mara"/>
        </w:smartTagPr>
        <w:r>
          <w:t>la Cámara</w:t>
        </w:r>
      </w:smartTag>
      <w:r>
        <w:t xml:space="preserve"> entendió que se introdujeron otras razones a la recusación planteada inicialmente y dispuso que el juez amplíe su informe.</w:t>
      </w:r>
    </w:p>
    <w:p w:rsidR="00224567" w:rsidRDefault="00224567">
      <w:pPr>
        <w:widowControl w:val="0"/>
      </w:pPr>
      <w:r>
        <w:tab/>
      </w:r>
      <w:r>
        <w:rPr>
          <w:b/>
        </w:rPr>
        <w:t xml:space="preserve">c) </w:t>
      </w:r>
      <w:r>
        <w:t>El Dr</w:t>
      </w:r>
      <w:r>
        <w:rPr>
          <w:b/>
        </w:rPr>
        <w:t xml:space="preserve">. </w:t>
      </w:r>
      <w:r>
        <w:t>Juan José Galeano dio cu</w:t>
      </w:r>
      <w:r>
        <w:t>m</w:t>
      </w:r>
      <w:r>
        <w:t>plimiento a la directiva el 12 de noviembre de 2002, co</w:t>
      </w:r>
      <w:r>
        <w:t>n</w:t>
      </w:r>
      <w:r>
        <w:t>siderando, tal como lo sostuvo en las anteriores oportun</w:t>
      </w:r>
      <w:r>
        <w:t>i</w:t>
      </w:r>
      <w:r>
        <w:t>dades, que no se encontraba incurso en las s</w:t>
      </w:r>
      <w:r>
        <w:t>i</w:t>
      </w:r>
      <w:r>
        <w:t>tuaciones del art. 55 del C.P.P.N. y entre otras expl</w:t>
      </w:r>
      <w:r>
        <w:t>i</w:t>
      </w:r>
      <w:r>
        <w:t>caciones, señaló:</w:t>
      </w:r>
    </w:p>
    <w:p w:rsidR="00224567" w:rsidRDefault="00224567">
      <w:pPr>
        <w:widowControl w:val="0"/>
        <w:rPr>
          <w:bCs/>
        </w:rPr>
      </w:pPr>
      <w:r>
        <w:tab/>
      </w:r>
      <w:r>
        <w:rPr>
          <w:bCs/>
        </w:rPr>
        <w:t>“La causa nº 1564, en la que se orig</w:t>
      </w:r>
      <w:r>
        <w:rPr>
          <w:bCs/>
        </w:rPr>
        <w:t>i</w:t>
      </w:r>
      <w:r>
        <w:rPr>
          <w:bCs/>
        </w:rPr>
        <w:t>na e</w:t>
      </w:r>
      <w:r>
        <w:rPr>
          <w:bCs/>
        </w:rPr>
        <w:t>s</w:t>
      </w:r>
      <w:r>
        <w:rPr>
          <w:bCs/>
        </w:rPr>
        <w:t>te planteo de apartamiento, es un claro ejemplo sobre la intervención de distintos Magistrados aunque la recus</w:t>
      </w:r>
      <w:r>
        <w:rPr>
          <w:bCs/>
        </w:rPr>
        <w:t>a</w:t>
      </w:r>
      <w:r>
        <w:rPr>
          <w:bCs/>
        </w:rPr>
        <w:t>ción se dirija exclusivamente a mi persona.”</w:t>
      </w:r>
    </w:p>
    <w:p w:rsidR="00224567" w:rsidRDefault="00224567">
      <w:pPr>
        <w:widowControl w:val="0"/>
        <w:rPr>
          <w:bCs/>
        </w:rPr>
      </w:pPr>
      <w:r>
        <w:rPr>
          <w:bCs/>
        </w:rPr>
        <w:tab/>
        <w:t>Añadió más adelante: “No está de más asentar que dicha investigación, como también la llevada en el sumario 1156 recorrieron todos los controles jud</w:t>
      </w:r>
      <w:r>
        <w:rPr>
          <w:bCs/>
        </w:rPr>
        <w:t>i</w:t>
      </w:r>
      <w:r>
        <w:rPr>
          <w:bCs/>
        </w:rPr>
        <w:t xml:space="preserve">ciales: </w:t>
      </w:r>
      <w:smartTag w:uri="urn:schemas-microsoft-com:office:smarttags" w:element="PersonName">
        <w:smartTagPr>
          <w:attr w:name="ProductID" w:val="la Sala"/>
        </w:smartTagPr>
        <w:r>
          <w:rPr>
            <w:bCs/>
          </w:rPr>
          <w:t>la Sala</w:t>
        </w:r>
      </w:smartTag>
      <w:r>
        <w:rPr>
          <w:bCs/>
        </w:rPr>
        <w:t xml:space="preserve"> que V.E. preside intervino en numerosas oportunidades y, recientemente, lo hizo al confirmar la denegatoria de excarcelación de Roberto MAISÚ; y también ha intervenido </w:t>
      </w:r>
      <w:smartTag w:uri="urn:schemas-microsoft-com:office:smarttags" w:element="PersonName">
        <w:smartTagPr>
          <w:attr w:name="ProductID" w:val="la Excma. C￡mara"/>
        </w:smartTagPr>
        <w:r>
          <w:rPr>
            <w:bCs/>
          </w:rPr>
          <w:t>la Excma. Cámara</w:t>
        </w:r>
      </w:smartTag>
      <w:r>
        <w:rPr>
          <w:bCs/>
        </w:rPr>
        <w:t xml:space="preserve"> de Casación Penal y </w:t>
      </w:r>
      <w:smartTag w:uri="urn:schemas-microsoft-com:office:smarttags" w:element="PersonName">
        <w:smartTagPr>
          <w:attr w:name="ProductID" w:val="la Corte Suprema"/>
        </w:smartTagPr>
        <w:r>
          <w:rPr>
            <w:bCs/>
          </w:rPr>
          <w:t>la Corte Suprema</w:t>
        </w:r>
      </w:smartTag>
      <w:r>
        <w:rPr>
          <w:bCs/>
        </w:rPr>
        <w:t xml:space="preserve"> de Justicia de </w:t>
      </w:r>
      <w:smartTag w:uri="urn:schemas-microsoft-com:office:smarttags" w:element="PersonName">
        <w:smartTagPr>
          <w:attr w:name="ProductID" w:val="la Naci￳n"/>
        </w:smartTagPr>
        <w:r>
          <w:rPr>
            <w:bCs/>
          </w:rPr>
          <w:t>la Nación</w:t>
        </w:r>
      </w:smartTag>
      <w:r>
        <w:rPr>
          <w:bCs/>
        </w:rPr>
        <w:t>, convalidando las decisiones del Juzgado y sin hacer mención a las irregul</w:t>
      </w:r>
      <w:r>
        <w:rPr>
          <w:bCs/>
        </w:rPr>
        <w:t>a</w:t>
      </w:r>
      <w:r>
        <w:rPr>
          <w:bCs/>
        </w:rPr>
        <w:t>ridades expuestas por algunas de las partes. Al respecto cabe mencionar que no he sido llamado a dar explicaciones por ninguna de las imputaciones formuladas” (ver fs. 256/257 del incidente).</w:t>
      </w:r>
    </w:p>
    <w:p w:rsidR="00224567" w:rsidRDefault="00224567">
      <w:pPr>
        <w:widowControl w:val="0"/>
      </w:pPr>
      <w:r>
        <w:rPr>
          <w:bCs/>
        </w:rPr>
        <w:tab/>
      </w:r>
      <w:r>
        <w:rPr>
          <w:b/>
        </w:rPr>
        <w:t xml:space="preserve">d) </w:t>
      </w:r>
      <w:r>
        <w:t xml:space="preserve">El 22 de noviembre de 2002 (reg. nº 1233),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w:smartTagPr>
        <w:r>
          <w:t>la Cámara</w:t>
        </w:r>
      </w:smartTag>
      <w:r>
        <w:t xml:space="preserve"> resolvió rechazar la recus</w:t>
      </w:r>
      <w:r>
        <w:t>a</w:t>
      </w:r>
      <w:r>
        <w:t>ción articulada y, entre los fundamentos desarrollados, sostuvo:</w:t>
      </w:r>
    </w:p>
    <w:p w:rsidR="00224567" w:rsidRDefault="00224567">
      <w:pPr>
        <w:widowControl w:val="0"/>
      </w:pPr>
      <w:r>
        <w:tab/>
        <w:t>“Los restantes cuestionamientos form</w:t>
      </w:r>
      <w:r>
        <w:t>u</w:t>
      </w:r>
      <w:r>
        <w:t>lados se asientan en las pruebas producidas en la causa 497 del Tribunal Oral Federal Nro. 3, durante el desarr</w:t>
      </w:r>
      <w:r>
        <w:t>o</w:t>
      </w:r>
      <w:r>
        <w:t>llo del juicio. Como resulta evidente, atento al régimen pr</w:t>
      </w:r>
      <w:r>
        <w:t>o</w:t>
      </w:r>
      <w:r>
        <w:t>cesal que esas actuaciones transitan,  estas  se  han  de</w:t>
      </w:r>
      <w:r>
        <w:t>s</w:t>
      </w:r>
      <w:r>
        <w:t>arrollado en la forma propia de esta etapa, esto es de manera oral. Ello importa que cualquiera haya sido la fo</w:t>
      </w:r>
      <w:r>
        <w:t>r</w:t>
      </w:r>
      <w:r>
        <w:t>ma en que quedaran documentadas, los suscriptos se encue</w:t>
      </w:r>
      <w:r>
        <w:t>n</w:t>
      </w:r>
      <w:r>
        <w:t>tran impedidos de evaluar y co</w:t>
      </w:r>
      <w:r>
        <w:t>m</w:t>
      </w:r>
      <w:r>
        <w:t>prender su integridad pues, amén de no haberse encontrado presentes durante su des</w:t>
      </w:r>
      <w:r>
        <w:t>a</w:t>
      </w:r>
      <w:r>
        <w:t>rrollo, resultan sólo una parte selectiva del juicio, cuyo análisis recién podrá ser efectuado al momento de su cu</w:t>
      </w:r>
      <w:r>
        <w:t>l</w:t>
      </w:r>
      <w:r>
        <w:t>minación y por el Tribunal co</w:t>
      </w:r>
      <w:r>
        <w:t>m</w:t>
      </w:r>
      <w:r>
        <w:t>petente”.</w:t>
      </w:r>
    </w:p>
    <w:p w:rsidR="00224567" w:rsidRDefault="00224567">
      <w:pPr>
        <w:widowControl w:val="0"/>
      </w:pPr>
      <w:r>
        <w:tab/>
        <w:t>Se añadió: “Para epilogar, debe agr</w:t>
      </w:r>
      <w:r>
        <w:t>e</w:t>
      </w:r>
      <w:r>
        <w:t>garse que las medidas de prueba realizadas durante la in</w:t>
      </w:r>
      <w:r>
        <w:t>s</w:t>
      </w:r>
      <w:r>
        <w:t>trucción de esta causa por el Dr. Galeano –quien c</w:t>
      </w:r>
      <w:r>
        <w:t>o</w:t>
      </w:r>
      <w:r>
        <w:t>menzara su intervención con posterioridad a encontrarse resuelta la situación procesal del imputado- no evidencian objet</w:t>
      </w:r>
      <w:r>
        <w:t>i</w:t>
      </w:r>
      <w:r>
        <w:t>vamente el temor de parcialidad alegado”. Suscriben la r</w:t>
      </w:r>
      <w:r>
        <w:t>e</w:t>
      </w:r>
      <w:r>
        <w:t>solución los doctores Horacio Raúl Vigliani y Martín Irú</w:t>
      </w:r>
      <w:r>
        <w:t>r</w:t>
      </w:r>
      <w:r>
        <w:t>zun (ver fs. 261/262 del incide</w:t>
      </w:r>
      <w:r>
        <w:t>n</w:t>
      </w:r>
      <w:r>
        <w:t>te).</w:t>
      </w:r>
    </w:p>
    <w:p w:rsidR="00224567" w:rsidRDefault="00224567">
      <w:pPr>
        <w:widowControl w:val="0"/>
        <w:rPr>
          <w:b/>
        </w:rPr>
      </w:pPr>
      <w:r>
        <w:tab/>
      </w:r>
      <w:r>
        <w:rPr>
          <w:b/>
          <w:bCs/>
        </w:rPr>
        <w:t xml:space="preserve">B.1.e) </w:t>
      </w:r>
      <w:r>
        <w:rPr>
          <w:b/>
        </w:rPr>
        <w:t>Recusación del 2 de se</w:t>
      </w:r>
      <w:r>
        <w:rPr>
          <w:b/>
        </w:rPr>
        <w:t>p</w:t>
      </w:r>
      <w:r>
        <w:rPr>
          <w:b/>
        </w:rPr>
        <w:t>tiembre de 2003.</w:t>
      </w:r>
    </w:p>
    <w:p w:rsidR="00224567" w:rsidRDefault="00224567">
      <w:pPr>
        <w:widowControl w:val="0"/>
      </w:pPr>
      <w:r>
        <w:tab/>
        <w:t>Articulada por el Dr. Manuel Ubeira quien señaló, como un hecho nuevo demostrativo de la pa</w:t>
      </w:r>
      <w:r>
        <w:t>r</w:t>
      </w:r>
      <w:r>
        <w:t>cialidad del juez, la declaración testimonial pre</w:t>
      </w:r>
      <w:r>
        <w:t>s</w:t>
      </w:r>
      <w:r>
        <w:t xml:space="preserve">tada por Isaac Eduardo García, agente de </w:t>
      </w:r>
      <w:smartTag w:uri="urn:schemas-microsoft-com:office:smarttags" w:element="PersonName">
        <w:smartTagPr>
          <w:attr w:name="ProductID" w:val="la Secretar￭a"/>
        </w:smartTagPr>
        <w:r>
          <w:t>la Secretaría</w:t>
        </w:r>
      </w:smartTag>
      <w:r>
        <w:t xml:space="preserve"> de Intel</w:t>
      </w:r>
      <w:r>
        <w:t>i</w:t>
      </w:r>
      <w:r>
        <w:t xml:space="preserve">gencia de Estado, en la audiencia de debate del 21 de agosto de 2003, en la que explicó como se llevo a cabo el pago a Carlos Alberto Telleldín de USD 400.000 </w:t>
      </w:r>
      <w:r>
        <w:rPr>
          <w:bCs/>
        </w:rPr>
        <w:t>para que declarara, según sostuvo el letrado, en perjuicio de su defendido y de otros policías.</w:t>
      </w:r>
      <w:r>
        <w:rPr>
          <w:b/>
        </w:rPr>
        <w:t xml:space="preserve"> </w:t>
      </w:r>
      <w:r>
        <w:t>Además el Dr. UBeira me</w:t>
      </w:r>
      <w:r>
        <w:t>n</w:t>
      </w:r>
      <w:r>
        <w:t>cionó la existencia de conversaciones telefónicas entre Ana Maria Boragni, Víctor Stinfale y un tal “David”, el día 4 de julio de 1996, que permiten ilustrar algunos d</w:t>
      </w:r>
      <w:r>
        <w:t>e</w:t>
      </w:r>
      <w:r>
        <w:t>talles de esa operación (ver fs. 267/272).</w:t>
      </w:r>
    </w:p>
    <w:p w:rsidR="00224567" w:rsidRDefault="00224567">
      <w:pPr>
        <w:widowControl w:val="0"/>
      </w:pPr>
      <w:r>
        <w:tab/>
        <w:t>El Dr</w:t>
      </w:r>
      <w:r>
        <w:rPr>
          <w:b/>
        </w:rPr>
        <w:t xml:space="preserve">. </w:t>
      </w:r>
      <w:r>
        <w:t>Juan José Galeano realizó su informe el 11 de septiembre de 2003, en el que se rem</w:t>
      </w:r>
      <w:r>
        <w:t>i</w:t>
      </w:r>
      <w:r>
        <w:t xml:space="preserve">tió principalmente a la resolución de </w:t>
      </w:r>
      <w:smartTag w:uri="urn:schemas-microsoft-com:office:smarttags" w:element="PersonName">
        <w:smartTagPr>
          <w:attr w:name="ProductID" w:val="la C￡mara"/>
        </w:smartTagPr>
        <w:r>
          <w:t>la Cámara</w:t>
        </w:r>
      </w:smartTag>
      <w:r>
        <w:t xml:space="preserve"> dictada en respuesta al planteo anterior y, además, agregó:</w:t>
      </w:r>
    </w:p>
    <w:p w:rsidR="00224567" w:rsidRDefault="00224567">
      <w:pPr>
        <w:widowControl w:val="0"/>
      </w:pPr>
      <w:r>
        <w:tab/>
        <w:t>“Es así que este nuevo pedido, si bien aparece como novedoso, solo trae a colación las circun</w:t>
      </w:r>
      <w:r>
        <w:t>s</w:t>
      </w:r>
      <w:r>
        <w:t>tancias reseñadas en sus anteriores planteos que ya fu</w:t>
      </w:r>
      <w:r>
        <w:t>e</w:t>
      </w:r>
      <w:r>
        <w:t>ron resueltos, con lo cual entiendo que solo se trata de un nuevo y apasionado intento de la defensa de separar al Suscripto de esta investigación. A ello, se suma que la declaración prestada por García no determ</w:t>
      </w:r>
      <w:r>
        <w:t>i</w:t>
      </w:r>
      <w:r>
        <w:t>na circunstancia alguna que considere que afecte la objetividad de este Juez o implique, como señala la defensa técnica, una d</w:t>
      </w:r>
      <w:r>
        <w:t>e</w:t>
      </w:r>
      <w:r>
        <w:t>mostración de la animosidad del Suscripto contra su clie</w:t>
      </w:r>
      <w:r>
        <w:t>n</w:t>
      </w:r>
      <w:r>
        <w:t>te” (ver fs. 280/vta.).</w:t>
      </w:r>
    </w:p>
    <w:p w:rsidR="00224567" w:rsidRDefault="00224567">
      <w:pPr>
        <w:widowControl w:val="0"/>
        <w:rPr>
          <w:b/>
        </w:rPr>
      </w:pPr>
      <w:r>
        <w:tab/>
      </w:r>
      <w:r>
        <w:rPr>
          <w:b/>
          <w:bCs/>
        </w:rPr>
        <w:t xml:space="preserve">B.1.f) </w:t>
      </w:r>
      <w:r>
        <w:rPr>
          <w:b/>
        </w:rPr>
        <w:t>Recusación del 25 de septie</w:t>
      </w:r>
      <w:r>
        <w:rPr>
          <w:b/>
        </w:rPr>
        <w:t>m</w:t>
      </w:r>
      <w:r>
        <w:rPr>
          <w:b/>
        </w:rPr>
        <w:t>bre de 2003</w:t>
      </w:r>
      <w:r>
        <w:t xml:space="preserve">. </w:t>
      </w:r>
      <w:r>
        <w:rPr>
          <w:b/>
        </w:rPr>
        <w:t>Ampliación de la anterior durante su tr</w:t>
      </w:r>
      <w:r>
        <w:rPr>
          <w:b/>
        </w:rPr>
        <w:t>á</w:t>
      </w:r>
      <w:r>
        <w:rPr>
          <w:b/>
        </w:rPr>
        <w:t>mite.</w:t>
      </w:r>
    </w:p>
    <w:p w:rsidR="00224567" w:rsidRDefault="00224567">
      <w:pPr>
        <w:widowControl w:val="0"/>
      </w:pPr>
      <w:r>
        <w:tab/>
        <w:t>Interpuesta por el Dr. Manuel Ubeira; argumentó que en la audiencia de debate del 23 de septie</w:t>
      </w:r>
      <w:r>
        <w:t>m</w:t>
      </w:r>
      <w:r>
        <w:t>bre de 2003 prestaron declaración te</w:t>
      </w:r>
      <w:r>
        <w:t>s</w:t>
      </w:r>
      <w:r>
        <w:t xml:space="preserve">timonial Juan Carlos Legascue, Héctor Salvador Maiolo y Alejandro Alberto Brousson, los dos últimos integrantes de </w:t>
      </w:r>
      <w:smartTag w:uri="urn:schemas-microsoft-com:office:smarttags" w:element="PersonName">
        <w:smartTagPr>
          <w:attr w:name="ProductID" w:val="la Secretaria"/>
        </w:smartTagPr>
        <w:r>
          <w:t>la S</w:t>
        </w:r>
        <w:r>
          <w:t>e</w:t>
        </w:r>
        <w:r>
          <w:t>cretaria</w:t>
        </w:r>
      </w:smartTag>
      <w:r>
        <w:t xml:space="preserve"> de Inteligencia de Estado, quienes intervinieron, junto a Isaac Eduardo García y otras personas, en el operativo destinado a entregarle a Ana María Bora</w:t>
      </w:r>
      <w:r>
        <w:t>g</w:t>
      </w:r>
      <w:r>
        <w:t>ni, en la sucursal Ramos M</w:t>
      </w:r>
      <w:r>
        <w:t>e</w:t>
      </w:r>
      <w:r>
        <w:t>jía del Banco “Quilmes”, la suma de USD 200.000 en concepto de parte de un pago total de cuatrocientos mil convenido con el imputado Telleldín. Que, además, las d</w:t>
      </w:r>
      <w:r>
        <w:t>e</w:t>
      </w:r>
      <w:r>
        <w:t>claraciones de Maiolo y Brousson confi</w:t>
      </w:r>
      <w:r>
        <w:t>r</w:t>
      </w:r>
      <w:r>
        <w:t>maron la existencia de ese segundo pago, que habría sido filmado (ver fs. 287/288).</w:t>
      </w:r>
    </w:p>
    <w:p w:rsidR="00224567" w:rsidRDefault="00224567">
      <w:pPr>
        <w:widowControl w:val="0"/>
      </w:pPr>
      <w:r>
        <w:rPr>
          <w:bCs/>
        </w:rPr>
        <w:tab/>
      </w:r>
      <w:r>
        <w:rPr>
          <w:b/>
          <w:bCs/>
        </w:rPr>
        <w:t xml:space="preserve">B.1.g) </w:t>
      </w:r>
      <w:r>
        <w:rPr>
          <w:b/>
        </w:rPr>
        <w:t>Recusación</w:t>
      </w:r>
      <w:r>
        <w:t xml:space="preserve"> </w:t>
      </w:r>
      <w:r>
        <w:rPr>
          <w:b/>
        </w:rPr>
        <w:t>del</w:t>
      </w:r>
      <w:r>
        <w:t xml:space="preserve"> </w:t>
      </w:r>
      <w:r>
        <w:rPr>
          <w:b/>
        </w:rPr>
        <w:t>6 de noviembre de 2003. Ampliación de las dos anteriores durante su tr</w:t>
      </w:r>
      <w:r>
        <w:rPr>
          <w:b/>
        </w:rPr>
        <w:t>á</w:t>
      </w:r>
      <w:r>
        <w:rPr>
          <w:b/>
        </w:rPr>
        <w:t>mite.</w:t>
      </w:r>
    </w:p>
    <w:p w:rsidR="00224567" w:rsidRDefault="00224567">
      <w:pPr>
        <w:widowControl w:val="0"/>
      </w:pPr>
      <w:r>
        <w:tab/>
        <w:t>Formulada por el Dr. Manuel Ubeira, quien señaló que en el contradictorio, en la a</w:t>
      </w:r>
      <w:r>
        <w:t>u</w:t>
      </w:r>
      <w:r>
        <w:t>diencia del 4 de noviembre de 2003, durante la ampliación de la ind</w:t>
      </w:r>
      <w:r>
        <w:t>a</w:t>
      </w:r>
      <w:r>
        <w:t>gatoria de Raúl Edilio Ibarra, se reprodujo, a p</w:t>
      </w:r>
      <w:r>
        <w:t>e</w:t>
      </w:r>
      <w:r>
        <w:t>dido del imput</w:t>
      </w:r>
      <w:r>
        <w:t>a</w:t>
      </w:r>
      <w:r>
        <w:t>do, el contenido de tres conversaciones telefónicas mantenidas en el mes de abril del año 1997, las que tran</w:t>
      </w:r>
      <w:r>
        <w:t>s</w:t>
      </w:r>
      <w:r>
        <w:t>cribió en su presentación.</w:t>
      </w:r>
    </w:p>
    <w:p w:rsidR="00224567" w:rsidRDefault="00224567">
      <w:pPr>
        <w:widowControl w:val="0"/>
      </w:pPr>
      <w:r>
        <w:tab/>
        <w:t>En una de ellas, correspondiente al teléfono del Dr. José Mariano Pereyra, uno de los funci</w:t>
      </w:r>
      <w:r>
        <w:t>o</w:t>
      </w:r>
      <w:r>
        <w:t>narios del juzgado, una persona apodada “Pepo” conversa con otra de nombre Adrián y le formula a</w:t>
      </w:r>
      <w:r>
        <w:t>l</w:t>
      </w:r>
      <w:r>
        <w:t>gunos comentarios acerca del pago a Telleldín.</w:t>
      </w:r>
    </w:p>
    <w:p w:rsidR="00224567" w:rsidRDefault="00224567">
      <w:pPr>
        <w:widowControl w:val="0"/>
      </w:pPr>
      <w:r>
        <w:tab/>
        <w:t>En otra, el Dr. Javier Ignacio de G</w:t>
      </w:r>
      <w:r>
        <w:t>a</w:t>
      </w:r>
      <w:r>
        <w:t>mas conversa con el Dr. Carlos Alfredo Velasco, ambos s</w:t>
      </w:r>
      <w:r>
        <w:t>e</w:t>
      </w:r>
      <w:r>
        <w:t>cretarios del juzgado y efectúan comentarios acerca del programa de Jorge Lanata en el que se d</w:t>
      </w:r>
      <w:r>
        <w:t>i</w:t>
      </w:r>
      <w:r>
        <w:t xml:space="preserve">fundiría el video del juez con Telleldín, acordando verlo juntos en compañía de </w:t>
      </w:r>
      <w:smartTag w:uri="urn:schemas-microsoft-com:office:smarttags" w:element="PersonName">
        <w:smartTagPr>
          <w:attr w:name="ProductID" w:val="la Dra. Susana"/>
        </w:smartTagPr>
        <w:r>
          <w:t>la Dra. Susana</w:t>
        </w:r>
      </w:smartTag>
      <w:r>
        <w:t xml:space="preserve"> Spina, también secretaria y el Dr. J</w:t>
      </w:r>
      <w:r>
        <w:t>a</w:t>
      </w:r>
      <w:r>
        <w:t>vier Astigarraga, r</w:t>
      </w:r>
      <w:r>
        <w:t>e</w:t>
      </w:r>
      <w:r>
        <w:t>presentante de la querella de A.M.I.A.</w:t>
      </w:r>
    </w:p>
    <w:p w:rsidR="00224567" w:rsidRDefault="00224567">
      <w:pPr>
        <w:widowControl w:val="0"/>
      </w:pPr>
      <w:r>
        <w:tab/>
        <w:t>En la tercera, obtenida de la línea del secretario Carlos Alfredo Velasco, éste recibe un ll</w:t>
      </w:r>
      <w:r>
        <w:t>a</w:t>
      </w:r>
      <w:r>
        <w:t>mado del juez Galeano quien, con un tono festivo –según parecer del letrado defensor- lo anoticia del procesamie</w:t>
      </w:r>
      <w:r>
        <w:t>n</w:t>
      </w:r>
      <w:r>
        <w:t>to de Juan José Ribelli en la “causa del video” (ver fs. 303/304).</w:t>
      </w:r>
    </w:p>
    <w:p w:rsidR="00224567" w:rsidRDefault="00224567">
      <w:pPr>
        <w:widowControl w:val="0"/>
      </w:pPr>
      <w:r>
        <w:tab/>
        <w:t>El día 18 de noviembre de 2003</w:t>
      </w:r>
      <w:r>
        <w:rPr>
          <w:b/>
        </w:rPr>
        <w:t xml:space="preserve">, </w:t>
      </w:r>
      <w:r>
        <w:t xml:space="preserve">el Dr. José Manuel Ubeira informó ante los jueces de </w:t>
      </w:r>
      <w:smartTag w:uri="urn:schemas-microsoft-com:office:smarttags" w:element="PersonName">
        <w:smartTagPr>
          <w:attr w:name="ProductID" w:val="la C￡mara"/>
        </w:smartTagPr>
        <w:r>
          <w:t>la Cámara</w:t>
        </w:r>
      </w:smartTag>
      <w:r>
        <w:t>, en los términos del art. 61 del código de rito, “impetra</w:t>
      </w:r>
      <w:r>
        <w:t>n</w:t>
      </w:r>
      <w:r>
        <w:t>do la nulidad de lo actuado por el magistrado de grado” (ver fs. 317).</w:t>
      </w:r>
    </w:p>
    <w:p w:rsidR="00224567" w:rsidRDefault="00224567">
      <w:pPr>
        <w:widowControl w:val="0"/>
      </w:pPr>
      <w:r>
        <w:tab/>
      </w:r>
      <w:smartTag w:uri="urn:schemas-microsoft-com:office:smarttags" w:element="PersonName">
        <w:smartTagPr>
          <w:attr w:name="ProductID" w:val="la C￡mara"/>
        </w:smartTagPr>
        <w:r>
          <w:t>La Cámara</w:t>
        </w:r>
      </w:smartTag>
      <w:r>
        <w:t xml:space="preserve"> tuvo presente el pedido y, a fin de resolver la cuestión planteada, requirió la rem</w:t>
      </w:r>
      <w:r>
        <w:t>i</w:t>
      </w:r>
      <w:r>
        <w:t>sión de la causa nº 9789/00 del juzgado del Dr. Bonadío, solicitando también a este Tribunal, el 25 de noviembre, el envío de las transcripciones de las declaraciones te</w:t>
      </w:r>
      <w:r>
        <w:t>s</w:t>
      </w:r>
      <w:r>
        <w:t>timoniales de Hugo Anzorreguy, Horacio Antonio Stiuso y Patricio Fi</w:t>
      </w:r>
      <w:r>
        <w:t>n</w:t>
      </w:r>
      <w:r>
        <w:t>nen, que fueron ofrecidas como prueba.</w:t>
      </w:r>
    </w:p>
    <w:p w:rsidR="00224567" w:rsidRDefault="00224567">
      <w:pPr>
        <w:widowControl w:val="0"/>
        <w:rPr>
          <w:bCs/>
        </w:rPr>
      </w:pPr>
      <w:r>
        <w:tab/>
        <w:t>Finalmente,</w:t>
      </w:r>
      <w:r>
        <w:rPr>
          <w:b/>
        </w:rPr>
        <w:t xml:space="preserve"> </w:t>
      </w:r>
      <w:r>
        <w:t xml:space="preserve">el 3 de diciembre del 2003, </w:t>
      </w:r>
      <w:smartTag w:uri="urn:schemas-microsoft-com:office:smarttags" w:element="PersonName">
        <w:smartTagPr>
          <w:attr w:name="ProductID" w:val="la C￡mara"/>
        </w:smartTagPr>
        <w:r>
          <w:t>la Cámara</w:t>
        </w:r>
      </w:smartTag>
      <w:r>
        <w:t xml:space="preserve"> resolvió lo siguiente: </w:t>
      </w:r>
      <w:r>
        <w:rPr>
          <w:bCs/>
        </w:rPr>
        <w:t>“Toda vez que el apartamiento del Dr. Galeano dispuesto por este Tribunal en el día de la fecha en el Incidente nro. 36019 comprende la cuestión planteada en la presente ... c</w:t>
      </w:r>
      <w:r>
        <w:rPr>
          <w:bCs/>
        </w:rPr>
        <w:t>o</w:t>
      </w:r>
      <w:r>
        <w:rPr>
          <w:bCs/>
        </w:rPr>
        <w:t>rresponde estar a lo decidido en esos autos. Por lo demás, las nulidades articuladas por el Dr. José Ubeira deberán ser sustanci</w:t>
      </w:r>
      <w:r>
        <w:rPr>
          <w:bCs/>
        </w:rPr>
        <w:t>a</w:t>
      </w:r>
      <w:r>
        <w:rPr>
          <w:bCs/>
        </w:rPr>
        <w:t>das y decididas por el nuevo m</w:t>
      </w:r>
      <w:r>
        <w:rPr>
          <w:bCs/>
        </w:rPr>
        <w:t>a</w:t>
      </w:r>
      <w:r>
        <w:rPr>
          <w:bCs/>
        </w:rPr>
        <w:t>gistrado que entienda en la causa, a fin de no privar de instancia” (ver fs. 334).</w:t>
      </w:r>
    </w:p>
    <w:p w:rsidR="00224567" w:rsidRDefault="00224567">
      <w:pPr>
        <w:widowControl w:val="0"/>
      </w:pPr>
      <w:r>
        <w:rPr>
          <w:bCs/>
        </w:rPr>
        <w:tab/>
      </w:r>
      <w:r>
        <w:rPr>
          <w:b/>
          <w:bCs/>
        </w:rPr>
        <w:t xml:space="preserve">B.1.h) </w:t>
      </w:r>
      <w:r>
        <w:rPr>
          <w:b/>
        </w:rPr>
        <w:t>Recusación</w:t>
      </w:r>
      <w:r>
        <w:t xml:space="preserve"> </w:t>
      </w:r>
      <w:r>
        <w:rPr>
          <w:b/>
        </w:rPr>
        <w:t>del 14 de oct</w:t>
      </w:r>
      <w:r>
        <w:rPr>
          <w:b/>
        </w:rPr>
        <w:t>u</w:t>
      </w:r>
      <w:r>
        <w:rPr>
          <w:b/>
        </w:rPr>
        <w:t>bre de 2003.</w:t>
      </w:r>
    </w:p>
    <w:p w:rsidR="00224567" w:rsidRDefault="00224567">
      <w:pPr>
        <w:widowControl w:val="0"/>
      </w:pPr>
      <w:r>
        <w:rPr>
          <w:b/>
        </w:rPr>
        <w:tab/>
        <w:t xml:space="preserve">a) </w:t>
      </w:r>
      <w:r>
        <w:t>Interpuesta por el Dr. Pablo M</w:t>
      </w:r>
      <w:r>
        <w:t>i</w:t>
      </w:r>
      <w:r>
        <w:t>guel Jacoby, por la querella “Memoria Activa”, en represent</w:t>
      </w:r>
      <w:r>
        <w:t>a</w:t>
      </w:r>
      <w:r>
        <w:t>ción de Diana Noemí Wassner, Adriana Marcela Reisfeld y Benjamín Jorge Lew. Se invocaron los siguientes fundame</w:t>
      </w:r>
      <w:r>
        <w:t>n</w:t>
      </w:r>
      <w:r>
        <w:t>tos y mot</w:t>
      </w:r>
      <w:r>
        <w:t>i</w:t>
      </w:r>
      <w:r>
        <w:t>vos:</w:t>
      </w:r>
    </w:p>
    <w:p w:rsidR="00224567" w:rsidRDefault="00224567">
      <w:pPr>
        <w:widowControl w:val="0"/>
      </w:pPr>
      <w:r>
        <w:tab/>
      </w:r>
      <w:r>
        <w:rPr>
          <w:b/>
        </w:rPr>
        <w:t xml:space="preserve">a.1) </w:t>
      </w:r>
      <w:r>
        <w:t>Se verificó la existencia de un pago ilegal, secreto y clandestino, sin conocimiento de esa parte, efectuado por orden del juez al imputado Carlos Telleldín, para ampliar su declaración indagatoria en té</w:t>
      </w:r>
      <w:r>
        <w:t>r</w:t>
      </w:r>
      <w:r>
        <w:t>minos consensuados, según surge de dos videos, sin dejar constancia alguna en el expediente.</w:t>
      </w:r>
    </w:p>
    <w:p w:rsidR="00224567" w:rsidRDefault="00224567">
      <w:pPr>
        <w:widowControl w:val="0"/>
      </w:pPr>
      <w:r>
        <w:rPr>
          <w:b/>
        </w:rPr>
        <w:tab/>
        <w:t xml:space="preserve">a.2) </w:t>
      </w:r>
      <w:r>
        <w:t>El juez y los secretarios no han mantenido la imparcialidad y transparencia; no sólo mant</w:t>
      </w:r>
      <w:r>
        <w:t>u</w:t>
      </w:r>
      <w:r>
        <w:t>vieron oculto el pago, sino que lo neg</w:t>
      </w:r>
      <w:r>
        <w:t>a</w:t>
      </w:r>
      <w:r>
        <w:t>ron.</w:t>
      </w:r>
    </w:p>
    <w:p w:rsidR="00224567" w:rsidRDefault="00224567">
      <w:pPr>
        <w:widowControl w:val="0"/>
      </w:pPr>
      <w:r>
        <w:tab/>
      </w:r>
      <w:r>
        <w:rPr>
          <w:b/>
        </w:rPr>
        <w:t xml:space="preserve">a.3) </w:t>
      </w:r>
      <w:r>
        <w:t>El juez y los secretarios están seriamente comprometidos con el resultado del debate en atención a las irregularidades y posibles delitos que i</w:t>
      </w:r>
      <w:r>
        <w:t>n</w:t>
      </w:r>
      <w:r>
        <w:t>vest</w:t>
      </w:r>
      <w:r>
        <w:t>i</w:t>
      </w:r>
      <w:r>
        <w:t>ga el juez Bonadío.</w:t>
      </w:r>
    </w:p>
    <w:p w:rsidR="00224567" w:rsidRDefault="00224567">
      <w:pPr>
        <w:widowControl w:val="0"/>
      </w:pPr>
      <w:r>
        <w:tab/>
      </w:r>
      <w:r>
        <w:rPr>
          <w:b/>
        </w:rPr>
        <w:t xml:space="preserve">a.4) </w:t>
      </w:r>
      <w:r>
        <w:t>El juez y los secretarios priv</w:t>
      </w:r>
      <w:r>
        <w:t>i</w:t>
      </w:r>
      <w:r>
        <w:t>legiaron y aconsejaron a las otras querellas. Citó la i</w:t>
      </w:r>
      <w:r>
        <w:t>n</w:t>
      </w:r>
      <w:r>
        <w:t>tervención de los Dres. Rubén Beraja y A</w:t>
      </w:r>
      <w:r>
        <w:t>s</w:t>
      </w:r>
      <w:r>
        <w:t>tigarraga.</w:t>
      </w:r>
    </w:p>
    <w:p w:rsidR="00224567" w:rsidRDefault="00224567">
      <w:pPr>
        <w:widowControl w:val="0"/>
      </w:pPr>
      <w:r>
        <w:tab/>
      </w:r>
      <w:r>
        <w:rPr>
          <w:b/>
        </w:rPr>
        <w:t xml:space="preserve">a.5) </w:t>
      </w:r>
      <w:r>
        <w:t>El juez y los secretarios mant</w:t>
      </w:r>
      <w:r>
        <w:t>u</w:t>
      </w:r>
      <w:r>
        <w:t xml:space="preserve">vieron oculto la existencia del pago durante el trámite de la causa del juzgado federal nº </w:t>
      </w:r>
      <w:smartTag w:uri="urn:schemas-microsoft-com:office:smarttags" w:element="metricconverter">
        <w:smartTagPr>
          <w:attr w:name="ProductID" w:val="4 a"/>
        </w:smartTagPr>
        <w:r>
          <w:t>4 a</w:t>
        </w:r>
      </w:smartTag>
      <w:r>
        <w:t xml:space="preserve"> cargo del Dr. Gabriel Cavallo, quien justamente había realizado averiguaciones en el “Banco Lloyds”, mencionado en el video, para est</w:t>
      </w:r>
      <w:r>
        <w:t>a</w:t>
      </w:r>
      <w:r>
        <w:t>blecer si se había efectuado. El juez también mantuvo e</w:t>
      </w:r>
      <w:r>
        <w:t>n</w:t>
      </w:r>
      <w:r>
        <w:t>cubiertas las esc</w:t>
      </w:r>
      <w:r>
        <w:t>u</w:t>
      </w:r>
      <w:r>
        <w:t>chas telefónicas que daban cuenta de la existencia del dinero negociado.</w:t>
      </w:r>
    </w:p>
    <w:p w:rsidR="00224567" w:rsidRDefault="00224567">
      <w:pPr>
        <w:widowControl w:val="0"/>
      </w:pPr>
      <w:r>
        <w:tab/>
      </w:r>
      <w:r>
        <w:rPr>
          <w:b/>
        </w:rPr>
        <w:t xml:space="preserve">a.6) </w:t>
      </w:r>
      <w:r>
        <w:t xml:space="preserve">El juez negó la existencia del pago a miembros de </w:t>
      </w:r>
      <w:smartTag w:uri="urn:schemas-microsoft-com:office:smarttags" w:element="PersonName">
        <w:smartTagPr>
          <w:attr w:name="ProductID" w:val="la Comisi￳n Bicameral"/>
        </w:smartTagPr>
        <w:r>
          <w:t>la Comisión Bicameral</w:t>
        </w:r>
      </w:smartTag>
      <w:r>
        <w:t xml:space="preserve"> de S</w:t>
      </w:r>
      <w:r>
        <w:t>e</w:t>
      </w:r>
      <w:r>
        <w:t xml:space="preserve">guimiento de los Atentados a </w:t>
      </w:r>
      <w:smartTag w:uri="urn:schemas-microsoft-com:office:smarttags" w:element="PersonName">
        <w:smartTagPr>
          <w:attr w:name="ProductID" w:val="la Embajada"/>
        </w:smartTagPr>
        <w:r>
          <w:t>la Embajada</w:t>
        </w:r>
      </w:smartTag>
      <w:r>
        <w:t xml:space="preserve"> de Israel y a la sede de </w:t>
      </w:r>
      <w:smartTag w:uri="urn:schemas-microsoft-com:office:smarttags" w:element="PersonName">
        <w:smartTagPr>
          <w:attr w:name="ProductID" w:val="la A.M"/>
        </w:smartTagPr>
        <w:r>
          <w:t>la A.M</w:t>
        </w:r>
      </w:smartTag>
      <w:r>
        <w:t>.I.A. Mencionó el testimonio prestado en la a</w:t>
      </w:r>
      <w:r>
        <w:t>u</w:t>
      </w:r>
      <w:r>
        <w:t>diencia, en ese sentido, por Juan Pablo Cafiero (ver fs. 1/15 del “Incidente de Recusación del Dr. Pablo M</w:t>
      </w:r>
      <w:r>
        <w:t>i</w:t>
      </w:r>
      <w:r>
        <w:t>guel Jacoby”).</w:t>
      </w:r>
    </w:p>
    <w:p w:rsidR="00224567" w:rsidRDefault="00224567">
      <w:pPr>
        <w:widowControl w:val="0"/>
      </w:pPr>
      <w:r>
        <w:tab/>
      </w:r>
      <w:r>
        <w:rPr>
          <w:b/>
        </w:rPr>
        <w:t xml:space="preserve">b) </w:t>
      </w:r>
      <w:r>
        <w:t>El Dr</w:t>
      </w:r>
      <w:r>
        <w:rPr>
          <w:b/>
        </w:rPr>
        <w:t xml:space="preserve">. </w:t>
      </w:r>
      <w:r>
        <w:t>Juan José Galeano sol</w:t>
      </w:r>
      <w:r>
        <w:t>i</w:t>
      </w:r>
      <w:r>
        <w:t>citó a este Tribunal copia de las transcripciones de las declar</w:t>
      </w:r>
      <w:r>
        <w:t>a</w:t>
      </w:r>
      <w:r>
        <w:t>ciones testimoniales prestadas en la audiencia por los e</w:t>
      </w:r>
      <w:r>
        <w:t>m</w:t>
      </w:r>
      <w:r>
        <w:t>pleados y funcionarios del juzgado instructor, como ta</w:t>
      </w:r>
      <w:r>
        <w:t>m</w:t>
      </w:r>
      <w:r>
        <w:t xml:space="preserve">bién de los integrantes de </w:t>
      </w:r>
      <w:smartTag w:uri="urn:schemas-microsoft-com:office:smarttags" w:element="PersonName">
        <w:smartTagPr>
          <w:attr w:name="ProductID" w:val="la Secretar￭a"/>
        </w:smartTagPr>
        <w:r>
          <w:t>la Secretaría</w:t>
        </w:r>
      </w:smartTag>
      <w:r>
        <w:t xml:space="preserve"> de I</w:t>
      </w:r>
      <w:r>
        <w:t>n</w:t>
      </w:r>
      <w:r>
        <w:t>teligencia.</w:t>
      </w:r>
    </w:p>
    <w:p w:rsidR="00224567" w:rsidRDefault="00224567">
      <w:pPr>
        <w:widowControl w:val="0"/>
      </w:pPr>
      <w:r>
        <w:tab/>
        <w:t>El 29 de octubre de 2003 el Dr. Jac</w:t>
      </w:r>
      <w:r>
        <w:t>o</w:t>
      </w:r>
      <w:r>
        <w:t>by pr</w:t>
      </w:r>
      <w:r>
        <w:t>e</w:t>
      </w:r>
      <w:r>
        <w:t>sentó un escrito en el que solicitó un pronto despacho al planteo de recusación; el Dr. G</w:t>
      </w:r>
      <w:r>
        <w:t>a</w:t>
      </w:r>
      <w:r>
        <w:t>leano tuvo presente lo expuesto, pidió al Tribunal el envío de las transcripci</w:t>
      </w:r>
      <w:r>
        <w:t>o</w:t>
      </w:r>
      <w:r>
        <w:t>nes de las declaraciones testimoniales de Rubén Ezra Ber</w:t>
      </w:r>
      <w:r>
        <w:t>a</w:t>
      </w:r>
      <w:r>
        <w:t xml:space="preserve">ja, Claudio Lifschitz y de los integrantes y ex miembros de </w:t>
      </w:r>
      <w:smartTag w:uri="urn:schemas-microsoft-com:office:smarttags" w:element="PersonName">
        <w:smartTagPr>
          <w:attr w:name="ProductID" w:val="la Comisi￳n Bicameral"/>
        </w:smartTagPr>
        <w:r>
          <w:t>la Com</w:t>
        </w:r>
        <w:r>
          <w:t>i</w:t>
        </w:r>
        <w:r>
          <w:t>sión Bicameral</w:t>
        </w:r>
      </w:smartTag>
      <w:r>
        <w:t xml:space="preserve">; por último, ordenó a </w:t>
      </w:r>
      <w:smartTag w:uri="urn:schemas-microsoft-com:office:smarttags" w:element="PersonName">
        <w:smartTagPr>
          <w:attr w:name="ProductID" w:val="la Actuaria"/>
        </w:smartTagPr>
        <w:r>
          <w:t>la Actuaria</w:t>
        </w:r>
      </w:smartTag>
      <w:r>
        <w:t xml:space="preserve"> que realizara averiguaciones a efectos de establecer las fechas en que se produjeron las declaraciones testimoni</w:t>
      </w:r>
      <w:r>
        <w:t>a</w:t>
      </w:r>
      <w:r>
        <w:t>les a las que se refirió el recusante.</w:t>
      </w:r>
    </w:p>
    <w:p w:rsidR="00224567" w:rsidRDefault="00224567">
      <w:pPr>
        <w:widowControl w:val="0"/>
      </w:pPr>
      <w:r>
        <w:tab/>
      </w:r>
      <w:smartTag w:uri="urn:schemas-microsoft-com:office:smarttags" w:element="PersonName">
        <w:smartTagPr>
          <w:attr w:name="ProductID" w:val="la Dra. Susana"/>
        </w:smartTagPr>
        <w:r>
          <w:t>La Dra. Susana</w:t>
        </w:r>
      </w:smartTag>
      <w:r>
        <w:t xml:space="preserve"> Spina confeccionó una nota en la que dejó constancia que Alejandro Brousson d</w:t>
      </w:r>
      <w:r>
        <w:t>e</w:t>
      </w:r>
      <w:r>
        <w:t>claró durante los días 23 y 24 de septiembre; Patricio Finnen los días 24 y 25, Hugo Anzorreguy el 30 y Horacio Stiuso en las audiencias de los días 1º y 2 de octubre.</w:t>
      </w:r>
    </w:p>
    <w:p w:rsidR="00224567" w:rsidRDefault="00224567">
      <w:pPr>
        <w:widowControl w:val="0"/>
        <w:rPr>
          <w:bCs/>
        </w:rPr>
      </w:pPr>
      <w:r>
        <w:tab/>
      </w:r>
      <w:r>
        <w:rPr>
          <w:b/>
        </w:rPr>
        <w:t>b.1)</w:t>
      </w:r>
      <w:r>
        <w:t xml:space="preserve"> El Dr. Galeano efectuó el info</w:t>
      </w:r>
      <w:r>
        <w:t>r</w:t>
      </w:r>
      <w:r>
        <w:t>me previsto por el ordenamiento procesal con fecha 31 de o</w:t>
      </w:r>
      <w:r>
        <w:t>c</w:t>
      </w:r>
      <w:r>
        <w:t>tubre de 2003 (ver fs. 421/422 del incidente). Allí se r</w:t>
      </w:r>
      <w:r>
        <w:t>e</w:t>
      </w:r>
      <w:r>
        <w:t xml:space="preserve">mitió a las resoluciones de </w:t>
      </w:r>
      <w:smartTag w:uri="urn:schemas-microsoft-com:office:smarttags" w:element="PersonName">
        <w:smartTagPr>
          <w:attr w:name="ProductID" w:val="la C￡mara"/>
        </w:smartTagPr>
        <w:r>
          <w:t>la Cámara</w:t>
        </w:r>
      </w:smartTag>
      <w:r>
        <w:t xml:space="preserve"> en orden a los pla</w:t>
      </w:r>
      <w:r>
        <w:t>n</w:t>
      </w:r>
      <w:r>
        <w:t>teos anteriores, especialmente en cuanto a la imposibil</w:t>
      </w:r>
      <w:r>
        <w:t>i</w:t>
      </w:r>
      <w:r>
        <w:t xml:space="preserve">dad de evaluar y valorar la prueba producida en la etapa oral. Sostuvo: </w:t>
      </w:r>
      <w:r>
        <w:rPr>
          <w:bCs/>
        </w:rPr>
        <w:t>“De manera que no c</w:t>
      </w:r>
      <w:r>
        <w:rPr>
          <w:bCs/>
        </w:rPr>
        <w:t>a</w:t>
      </w:r>
      <w:r>
        <w:rPr>
          <w:bCs/>
        </w:rPr>
        <w:t>be explayarse sobre el punto, teniendo en cuenta que el planteo que realiza el Dr. Jac</w:t>
      </w:r>
      <w:r>
        <w:rPr>
          <w:bCs/>
        </w:rPr>
        <w:t>o</w:t>
      </w:r>
      <w:r>
        <w:rPr>
          <w:bCs/>
        </w:rPr>
        <w:t>by se basa en el mismo hecho que expusiera el dr. (sic) José Manuel Ubeira en su carácter de defensor de Juan José Ribelli, sólo que ahora se aportan nuevas pru</w:t>
      </w:r>
      <w:r>
        <w:rPr>
          <w:bCs/>
        </w:rPr>
        <w:t>e</w:t>
      </w:r>
      <w:r>
        <w:rPr>
          <w:bCs/>
        </w:rPr>
        <w:t>bas conforme la incorporación que paulatinamente se efe</w:t>
      </w:r>
      <w:r>
        <w:rPr>
          <w:bCs/>
        </w:rPr>
        <w:t>c</w:t>
      </w:r>
      <w:r>
        <w:rPr>
          <w:bCs/>
        </w:rPr>
        <w:t>túa en el deb</w:t>
      </w:r>
      <w:r>
        <w:rPr>
          <w:bCs/>
        </w:rPr>
        <w:t>a</w:t>
      </w:r>
      <w:r>
        <w:rPr>
          <w:bCs/>
        </w:rPr>
        <w:t>te”.</w:t>
      </w:r>
    </w:p>
    <w:p w:rsidR="00224567" w:rsidRDefault="00224567">
      <w:pPr>
        <w:widowControl w:val="0"/>
        <w:rPr>
          <w:bCs/>
        </w:rPr>
      </w:pPr>
      <w:r>
        <w:rPr>
          <w:bCs/>
        </w:rPr>
        <w:tab/>
        <w:t>Agregó mas adelante: “Independient</w:t>
      </w:r>
      <w:r>
        <w:rPr>
          <w:bCs/>
        </w:rPr>
        <w:t>e</w:t>
      </w:r>
      <w:r>
        <w:rPr>
          <w:bCs/>
        </w:rPr>
        <w:t>mente de lo expuesto en cuanto a la improcedencia de la present</w:t>
      </w:r>
      <w:r>
        <w:rPr>
          <w:bCs/>
        </w:rPr>
        <w:t>a</w:t>
      </w:r>
      <w:r>
        <w:rPr>
          <w:bCs/>
        </w:rPr>
        <w:t>ción por no darse los motivos de inhibición, cabe mencionar que, de entender que se basa en causales sobr</w:t>
      </w:r>
      <w:r>
        <w:rPr>
          <w:bCs/>
        </w:rPr>
        <w:t>e</w:t>
      </w:r>
      <w:r>
        <w:rPr>
          <w:bCs/>
        </w:rPr>
        <w:t>vinientes, el letrado realizó la presentación habiendo e</w:t>
      </w:r>
      <w:r>
        <w:rPr>
          <w:bCs/>
        </w:rPr>
        <w:t>x</w:t>
      </w:r>
      <w:r>
        <w:rPr>
          <w:bCs/>
        </w:rPr>
        <w:t>cedido el plazo pr</w:t>
      </w:r>
      <w:r>
        <w:rPr>
          <w:bCs/>
        </w:rPr>
        <w:t>e</w:t>
      </w:r>
      <w:r>
        <w:rPr>
          <w:bCs/>
        </w:rPr>
        <w:t>visto en el art. 60 del código de forma por cuanto las declaraciones a la que aludió se produjeron en un lapso mayor a las 48 horas respecto de la present</w:t>
      </w:r>
      <w:r>
        <w:rPr>
          <w:bCs/>
        </w:rPr>
        <w:t>a</w:t>
      </w:r>
      <w:r>
        <w:rPr>
          <w:bCs/>
        </w:rPr>
        <w:t>ción efectuada el 14 de octubre; tal como resulta de la nota del Actuario, específic</w:t>
      </w:r>
      <w:r>
        <w:rPr>
          <w:bCs/>
        </w:rPr>
        <w:t>a</w:t>
      </w:r>
      <w:r>
        <w:rPr>
          <w:bCs/>
        </w:rPr>
        <w:t>mente la última de ellas fue la del Director de Contrainteligencia, llevada a cabo en las audiencias de los días 1º y 2 de octubre ppdos.”.</w:t>
      </w:r>
    </w:p>
    <w:p w:rsidR="00224567" w:rsidRDefault="00224567">
      <w:pPr>
        <w:widowControl w:val="0"/>
        <w:rPr>
          <w:bCs/>
        </w:rPr>
      </w:pPr>
      <w:r>
        <w:rPr>
          <w:bCs/>
        </w:rPr>
        <w:tab/>
        <w:t>Acto seguido, el magistrado dictó el siguiente proveído: “Con el informe que antecede corre</w:t>
      </w:r>
      <w:r>
        <w:rPr>
          <w:bCs/>
        </w:rPr>
        <w:t>s</w:t>
      </w:r>
      <w:r>
        <w:rPr>
          <w:bCs/>
        </w:rPr>
        <w:t>ponde elevar este incidente al Superior.  Bajo pena de  inadmisibilidad el letrado debió aportar la prueba a la que hizo referencia en la presentación, cuya a</w:t>
      </w:r>
      <w:r>
        <w:rPr>
          <w:bCs/>
        </w:rPr>
        <w:t>u</w:t>
      </w:r>
      <w:r>
        <w:rPr>
          <w:bCs/>
        </w:rPr>
        <w:t>tenticidad y veracidad no consta al suscri</w:t>
      </w:r>
      <w:r>
        <w:rPr>
          <w:bCs/>
        </w:rPr>
        <w:t>p</w:t>
      </w:r>
      <w:r>
        <w:rPr>
          <w:bCs/>
        </w:rPr>
        <w:t>to. Pese a ello se dispuso su obtención. Se rece</w:t>
      </w:r>
      <w:r>
        <w:rPr>
          <w:bCs/>
        </w:rPr>
        <w:t>p</w:t>
      </w:r>
      <w:r>
        <w:rPr>
          <w:bCs/>
        </w:rPr>
        <w:t>cionó parte de ella, la relacionada con los empleados y funcionarios del Juzgado, y se encue</w:t>
      </w:r>
      <w:r>
        <w:rPr>
          <w:bCs/>
        </w:rPr>
        <w:t>n</w:t>
      </w:r>
      <w:r>
        <w:rPr>
          <w:bCs/>
        </w:rPr>
        <w:t>tra pendiente de envío la restante; tal como resulta del oficio enviado por el tribunal oral y obrante a fs. 416. Sin embargo y ante el pedido de pronto despacho, se elev</w:t>
      </w:r>
      <w:r>
        <w:rPr>
          <w:bCs/>
        </w:rPr>
        <w:t>a</w:t>
      </w:r>
      <w:r>
        <w:rPr>
          <w:bCs/>
        </w:rPr>
        <w:t xml:space="preserve">rá el presente, tal como se expuso en el primer párrafo, remitiéndose las transcripciones faltantes a </w:t>
      </w:r>
      <w:smartTag w:uri="urn:schemas-microsoft-com:office:smarttags" w:element="PersonName">
        <w:smartTagPr>
          <w:attr w:name="ProductID" w:val="la Excma. C￡mara"/>
        </w:smartTagPr>
        <w:r>
          <w:rPr>
            <w:bCs/>
          </w:rPr>
          <w:t>la Excma. C</w:t>
        </w:r>
        <w:r>
          <w:rPr>
            <w:bCs/>
          </w:rPr>
          <w:t>á</w:t>
        </w:r>
        <w:r>
          <w:rPr>
            <w:bCs/>
          </w:rPr>
          <w:t>mara</w:t>
        </w:r>
      </w:smartTag>
      <w:r>
        <w:rPr>
          <w:bCs/>
        </w:rPr>
        <w:t xml:space="preserve"> una vez que se reciban. Cabe agregar que no es el presente incidente el ámbito para debatir algunas afirm</w:t>
      </w:r>
      <w:r>
        <w:rPr>
          <w:bCs/>
        </w:rPr>
        <w:t>a</w:t>
      </w:r>
      <w:r>
        <w:rPr>
          <w:bCs/>
        </w:rPr>
        <w:t>ciones del letrado apoderado, quien ha sido legitimado c</w:t>
      </w:r>
      <w:r>
        <w:rPr>
          <w:bCs/>
        </w:rPr>
        <w:t>o</w:t>
      </w:r>
      <w:r>
        <w:rPr>
          <w:bCs/>
        </w:rPr>
        <w:t>mo parte en causas en que se debaten los puntos expuestos en la presentación. En consecuencia, cúmplase con la rem</w:t>
      </w:r>
      <w:r>
        <w:rPr>
          <w:bCs/>
        </w:rPr>
        <w:t>i</w:t>
      </w:r>
      <w:r>
        <w:rPr>
          <w:bCs/>
        </w:rPr>
        <w:t>sión si</w:t>
      </w:r>
      <w:r>
        <w:rPr>
          <w:bCs/>
        </w:rPr>
        <w:t>r</w:t>
      </w:r>
      <w:r>
        <w:rPr>
          <w:bCs/>
        </w:rPr>
        <w:t>viendo el presente de atenta nota” (ver fs. 423).</w:t>
      </w:r>
    </w:p>
    <w:p w:rsidR="00224567" w:rsidRDefault="00224567">
      <w:pPr>
        <w:widowControl w:val="0"/>
      </w:pPr>
      <w:r>
        <w:rPr>
          <w:bCs/>
        </w:rPr>
        <w:tab/>
      </w:r>
      <w:r>
        <w:rPr>
          <w:b/>
        </w:rPr>
        <w:t>c)</w:t>
      </w:r>
      <w:r>
        <w:t xml:space="preserve"> </w:t>
      </w:r>
      <w:smartTag w:uri="urn:schemas-microsoft-com:office:smarttags" w:element="PersonName">
        <w:smartTagPr>
          <w:attr w:name="ProductID" w:val="la C￡mara"/>
        </w:smartTagPr>
        <w:r>
          <w:t>La Cámara</w:t>
        </w:r>
      </w:smartTag>
      <w:r>
        <w:t xml:space="preserve"> decidió el 3 de dicie</w:t>
      </w:r>
      <w:r>
        <w:t>m</w:t>
      </w:r>
      <w:r>
        <w:t>bre de 2003 hacer lugar a la recusación articulada por la qu</w:t>
      </w:r>
      <w:r>
        <w:t>e</w:t>
      </w:r>
      <w:r>
        <w:t>rella, apartando al Dr. Juan José Galeano de la instru</w:t>
      </w:r>
      <w:r>
        <w:t>c</w:t>
      </w:r>
      <w:r>
        <w:t>ción de estas actuaciones y de aquellas que resultaran c</w:t>
      </w:r>
      <w:r>
        <w:t>o</w:t>
      </w:r>
      <w:r>
        <w:t>nexas (ver fs. 871/874).</w:t>
      </w:r>
    </w:p>
    <w:p w:rsidR="00224567" w:rsidRDefault="00224567">
      <w:pPr>
        <w:widowControl w:val="0"/>
      </w:pPr>
      <w:r>
        <w:tab/>
        <w:t>Se transcriben algunos párrafos rel</w:t>
      </w:r>
      <w:r>
        <w:t>e</w:t>
      </w:r>
      <w:r>
        <w:t>vantes de esa resolución:</w:t>
      </w:r>
    </w:p>
    <w:p w:rsidR="00224567" w:rsidRDefault="00224567">
      <w:pPr>
        <w:widowControl w:val="0"/>
      </w:pPr>
      <w:r>
        <w:tab/>
        <w:t>“En dos ocasiones, con un año de dif</w:t>
      </w:r>
      <w:r>
        <w:t>e</w:t>
      </w:r>
      <w:r>
        <w:t>rencia, la cuestión del pago de Telleldín ya había sido argüida por otra parte del proceso como fundamento del apartamiento, pretensión que no fuera acogida favorabl</w:t>
      </w:r>
      <w:r>
        <w:t>e</w:t>
      </w:r>
      <w:r>
        <w:t>mente. Y es que entonces el magistrado recusado había afirmado en su informe que ta</w:t>
      </w:r>
      <w:r>
        <w:t>n</w:t>
      </w:r>
      <w:r>
        <w:t>to Carlos Alberto Telleldín, como su defensa, habían negado el hecho. En la segunda oportunidad lo argumentado solo se apoyaba en dichos ve</w:t>
      </w:r>
      <w:r>
        <w:t>r</w:t>
      </w:r>
      <w:r>
        <w:t>tidos por Telleldín y por su co</w:t>
      </w:r>
      <w:r>
        <w:t>n</w:t>
      </w:r>
      <w:r>
        <w:t>cubina Ana Boragni ante el Tribunal Oral Federal, por constancias documentales que daban cuenta de la apertura de una caja de seguridad por la mencionada en último lugar, el mismo día de la rece</w:t>
      </w:r>
      <w:r>
        <w:t>p</w:t>
      </w:r>
      <w:r>
        <w:t>ción de la indagatoria de fecha 5 de julio de 1996 y por la transcripción de escuchas telefónicas entre los nombr</w:t>
      </w:r>
      <w:r>
        <w:t>a</w:t>
      </w:r>
      <w:r>
        <w:t>dos con interlocutores no debidamente identificados (ver resoluciones de esta Cám</w:t>
      </w:r>
      <w:r>
        <w:t>a</w:t>
      </w:r>
      <w:r>
        <w:t>ra de fechas 21 de septiembre de 2001 y 22 de n</w:t>
      </w:r>
      <w:r>
        <w:t>o</w:t>
      </w:r>
      <w:r>
        <w:t>viembre de 2002)”.</w:t>
      </w:r>
    </w:p>
    <w:p w:rsidR="00224567" w:rsidRDefault="00224567">
      <w:pPr>
        <w:widowControl w:val="0"/>
      </w:pPr>
      <w:r>
        <w:tab/>
        <w:t>En contradicción al criterio f</w:t>
      </w:r>
      <w:r>
        <w:t>i</w:t>
      </w:r>
      <w:r>
        <w:t>jado en la resolución del 22 de noviembre de 2002 (reg. nº 1233), se agregó: “Empero, recientemente han prestado declaración en el juicio oral –testimonios también incorporados al proceso en tr</w:t>
      </w:r>
      <w:r>
        <w:t>á</w:t>
      </w:r>
      <w:r>
        <w:t xml:space="preserve">mite ante el Juzgado del Dr. Bonadío- otras personas que cumpliendo funciones públicas para </w:t>
      </w:r>
      <w:smartTag w:uri="urn:schemas-microsoft-com:office:smarttags" w:element="PersonName">
        <w:smartTagPr>
          <w:attr w:name="ProductID" w:val="la Secretar￭a"/>
        </w:smartTagPr>
        <w:r>
          <w:t>la Secr</w:t>
        </w:r>
        <w:r>
          <w:t>e</w:t>
        </w:r>
        <w:r>
          <w:t>taría</w:t>
        </w:r>
      </w:smartTag>
      <w:r>
        <w:t xml:space="preserve"> de Inteligencia de Estado, refirieron los pormenores del pago efectuado a Carlos Alberto Telleldín por orden del juez. Además, esos dichos permitieron despejar las i</w:t>
      </w:r>
      <w:r>
        <w:t>n</w:t>
      </w:r>
      <w:r>
        <w:t>cógnitas respecto a la identidad de los interlocutores de las escuchas telefónicas –a las que antes se hiciera ref</w:t>
      </w:r>
      <w:r>
        <w:t>e</w:t>
      </w:r>
      <w:r>
        <w:t>rencia- que complementan la cuestión de la que se tr</w:t>
      </w:r>
      <w:r>
        <w:t>a</w:t>
      </w:r>
      <w:r>
        <w:t>ta”.</w:t>
      </w:r>
    </w:p>
    <w:p w:rsidR="00224567" w:rsidRDefault="00224567">
      <w:pPr>
        <w:widowControl w:val="0"/>
      </w:pPr>
      <w:r>
        <w:tab/>
        <w:t>Como consecuencia de esta nueva post</w:t>
      </w:r>
      <w:r>
        <w:t>u</w:t>
      </w:r>
      <w:r>
        <w:t>ra, se valoraron las declaraciones prestadas en la audie</w:t>
      </w:r>
      <w:r>
        <w:t>n</w:t>
      </w:r>
      <w:r>
        <w:t>cia por Hugo Alfredo Anzorreguy, Patricio Miguel Finnen, Alejandro Alberto Brousson, Juan Carlos Legascue, Héctor Salvador Maiolo y Juan Pablo Cafiero, arribándose a la s</w:t>
      </w:r>
      <w:r>
        <w:t>i</w:t>
      </w:r>
      <w:r>
        <w:t>guiente conclusión:</w:t>
      </w:r>
    </w:p>
    <w:p w:rsidR="00224567" w:rsidRDefault="00224567">
      <w:pPr>
        <w:widowControl w:val="0"/>
        <w:rPr>
          <w:bCs/>
        </w:rPr>
      </w:pPr>
      <w:r>
        <w:tab/>
      </w:r>
      <w:r>
        <w:rPr>
          <w:bCs/>
        </w:rPr>
        <w:t>“Sin embargo, los testimonios c</w:t>
      </w:r>
      <w:r>
        <w:rPr>
          <w:bCs/>
        </w:rPr>
        <w:t>i</w:t>
      </w:r>
      <w:r>
        <w:rPr>
          <w:bCs/>
        </w:rPr>
        <w:t>tados –que ya no provienen de un imputado, que como tal no se encuentra obligado a pronunciarse con veracidad, ni tamp</w:t>
      </w:r>
      <w:r>
        <w:rPr>
          <w:bCs/>
        </w:rPr>
        <w:t>o</w:t>
      </w:r>
      <w:r>
        <w:rPr>
          <w:bCs/>
        </w:rPr>
        <w:t>co corresponden a personas de su entorno- llevan a cue</w:t>
      </w:r>
      <w:r>
        <w:rPr>
          <w:bCs/>
        </w:rPr>
        <w:t>s</w:t>
      </w:r>
      <w:r>
        <w:rPr>
          <w:bCs/>
        </w:rPr>
        <w:t>tionar la negación del epis</w:t>
      </w:r>
      <w:r>
        <w:rPr>
          <w:bCs/>
        </w:rPr>
        <w:t>o</w:t>
      </w:r>
      <w:r>
        <w:rPr>
          <w:bCs/>
        </w:rPr>
        <w:t>dio del que se trata. Por otro lado, la cuestión relativa al pago efectuado resulta uno de los hechos por los que se instruye la causa seguida a</w:t>
      </w:r>
      <w:r>
        <w:rPr>
          <w:bCs/>
        </w:rPr>
        <w:t>n</w:t>
      </w:r>
      <w:r>
        <w:rPr>
          <w:bCs/>
        </w:rPr>
        <w:t>te el Juzgado Federal nro. 11, la que se encuentra en pl</w:t>
      </w:r>
      <w:r>
        <w:rPr>
          <w:bCs/>
        </w:rPr>
        <w:t>e</w:t>
      </w:r>
      <w:r>
        <w:rPr>
          <w:bCs/>
        </w:rPr>
        <w:t>na pr</w:t>
      </w:r>
      <w:r>
        <w:rPr>
          <w:bCs/>
        </w:rPr>
        <w:t>o</w:t>
      </w:r>
      <w:r>
        <w:rPr>
          <w:bCs/>
        </w:rPr>
        <w:t>ducción de prueba”.</w:t>
      </w:r>
    </w:p>
    <w:p w:rsidR="00224567" w:rsidRDefault="00224567">
      <w:pPr>
        <w:widowControl w:val="0"/>
        <w:rPr>
          <w:bCs/>
        </w:rPr>
      </w:pPr>
      <w:r>
        <w:rPr>
          <w:bCs/>
        </w:rPr>
        <w:tab/>
        <w:t xml:space="preserve"> Se señaló luego: “En consecuencia, del desarrollo efectuado a lo largo de los considerandos se desprende que diversas resultan las vertientes que pu</w:t>
      </w:r>
      <w:r>
        <w:rPr>
          <w:bCs/>
        </w:rPr>
        <w:t>e</w:t>
      </w:r>
      <w:r>
        <w:rPr>
          <w:bCs/>
        </w:rPr>
        <w:t>den sembrar sospechas sobre la imparcialidad del magistr</w:t>
      </w:r>
      <w:r>
        <w:rPr>
          <w:bCs/>
        </w:rPr>
        <w:t>a</w:t>
      </w:r>
      <w:r>
        <w:rPr>
          <w:bCs/>
        </w:rPr>
        <w:t>do. Se ha puesto en tela de juicio, seriamente, la posib</w:t>
      </w:r>
      <w:r>
        <w:rPr>
          <w:bCs/>
        </w:rPr>
        <w:t>i</w:t>
      </w:r>
      <w:r>
        <w:rPr>
          <w:bCs/>
        </w:rPr>
        <w:t>lidad de que haya mediado un pago al imputado Telleldín, por orden del Dr. Galeano. También se ha cuestionado, o</w:t>
      </w:r>
      <w:r>
        <w:rPr>
          <w:bCs/>
        </w:rPr>
        <w:t>b</w:t>
      </w:r>
      <w:r>
        <w:rPr>
          <w:bCs/>
        </w:rPr>
        <w:t>jetivame</w:t>
      </w:r>
      <w:r>
        <w:rPr>
          <w:bCs/>
        </w:rPr>
        <w:t>n</w:t>
      </w:r>
      <w:r>
        <w:rPr>
          <w:bCs/>
        </w:rPr>
        <w:t>te, la diferencia de trato e intervención de las partes fundada en el conocimiento acerca de la existencia de los legajos y en la autor</w:t>
      </w:r>
      <w:r>
        <w:rPr>
          <w:bCs/>
        </w:rPr>
        <w:t>i</w:t>
      </w:r>
      <w:r>
        <w:rPr>
          <w:bCs/>
        </w:rPr>
        <w:t>zación limitada a solo una de las querellas para su compulsa y en la prohibición de e</w:t>
      </w:r>
      <w:r>
        <w:rPr>
          <w:bCs/>
        </w:rPr>
        <w:t>x</w:t>
      </w:r>
      <w:r>
        <w:rPr>
          <w:bCs/>
        </w:rPr>
        <w:t>hibi</w:t>
      </w:r>
      <w:r>
        <w:rPr>
          <w:bCs/>
        </w:rPr>
        <w:t>r</w:t>
      </w:r>
      <w:r>
        <w:rPr>
          <w:bCs/>
        </w:rPr>
        <w:t>los a las otras”.</w:t>
      </w:r>
    </w:p>
    <w:p w:rsidR="00224567" w:rsidRDefault="00224567">
      <w:pPr>
        <w:widowControl w:val="0"/>
        <w:rPr>
          <w:bCs/>
        </w:rPr>
      </w:pPr>
      <w:r>
        <w:rPr>
          <w:bCs/>
        </w:rPr>
        <w:tab/>
        <w:t>Sostuvo que: “El desarrollo de la ca</w:t>
      </w:r>
      <w:r>
        <w:rPr>
          <w:bCs/>
        </w:rPr>
        <w:t>u</w:t>
      </w:r>
      <w:r>
        <w:rPr>
          <w:bCs/>
        </w:rPr>
        <w:t>sa nro. 9789/00 y la consiguiente imputación que se efe</w:t>
      </w:r>
      <w:r>
        <w:rPr>
          <w:bCs/>
        </w:rPr>
        <w:t>c</w:t>
      </w:r>
      <w:r>
        <w:rPr>
          <w:bCs/>
        </w:rPr>
        <w:t>túa al magistrado puede condicionar la investigación del atentado, en cuanto existe la posibilidad de que el resu</w:t>
      </w:r>
      <w:r>
        <w:rPr>
          <w:bCs/>
        </w:rPr>
        <w:t>l</w:t>
      </w:r>
      <w:r>
        <w:rPr>
          <w:bCs/>
        </w:rPr>
        <w:t>tado de ésta última sea utilizada como m</w:t>
      </w:r>
      <w:r>
        <w:rPr>
          <w:bCs/>
        </w:rPr>
        <w:t>e</w:t>
      </w:r>
      <w:r>
        <w:rPr>
          <w:bCs/>
        </w:rPr>
        <w:t>dio de defensa en la prim</w:t>
      </w:r>
      <w:r>
        <w:rPr>
          <w:bCs/>
        </w:rPr>
        <w:t>e</w:t>
      </w:r>
      <w:r>
        <w:rPr>
          <w:bCs/>
        </w:rPr>
        <w:t>ra”.</w:t>
      </w:r>
    </w:p>
    <w:p w:rsidR="00224567" w:rsidRDefault="00224567">
      <w:pPr>
        <w:widowControl w:val="0"/>
        <w:rPr>
          <w:bCs/>
        </w:rPr>
      </w:pPr>
      <w:r>
        <w:rPr>
          <w:bCs/>
        </w:rPr>
        <w:tab/>
        <w:t xml:space="preserve">Entendió </w:t>
      </w:r>
      <w:smartTag w:uri="urn:schemas-microsoft-com:office:smarttags" w:element="PersonName">
        <w:smartTagPr>
          <w:attr w:name="ProductID" w:val="la Sala"/>
        </w:smartTagPr>
        <w:r>
          <w:rPr>
            <w:bCs/>
          </w:rPr>
          <w:t>la Sala</w:t>
        </w:r>
      </w:smartTag>
      <w:r>
        <w:rPr>
          <w:bCs/>
        </w:rPr>
        <w:t xml:space="preserve"> que “En suma todas estas constancias antes reseñadas conforman un cuadro s</w:t>
      </w:r>
      <w:r>
        <w:rPr>
          <w:bCs/>
        </w:rPr>
        <w:t>u</w:t>
      </w:r>
      <w:r>
        <w:rPr>
          <w:bCs/>
        </w:rPr>
        <w:t>ficiente como para tener configurado, a la fecha, el temor de pa</w:t>
      </w:r>
      <w:r>
        <w:rPr>
          <w:bCs/>
        </w:rPr>
        <w:t>r</w:t>
      </w:r>
      <w:r>
        <w:rPr>
          <w:bCs/>
        </w:rPr>
        <w:t>cialidad del juez instructor”.</w:t>
      </w:r>
    </w:p>
    <w:p w:rsidR="00224567" w:rsidRDefault="00224567">
      <w:pPr>
        <w:widowControl w:val="0"/>
      </w:pPr>
      <w:r>
        <w:tab/>
        <w:t>Advirtió lo siguiente: “Todo lo antes considerado no debe entenderse como un adelanto de op</w:t>
      </w:r>
      <w:r>
        <w:t>i</w:t>
      </w:r>
      <w:r>
        <w:t>nión ni una valoración sobre los hechos ni sobre las consecue</w:t>
      </w:r>
      <w:r>
        <w:t>n</w:t>
      </w:r>
      <w:r>
        <w:t>cias procesales que eventualmente puedan der</w:t>
      </w:r>
      <w:r>
        <w:t>i</w:t>
      </w:r>
      <w:r>
        <w:t>varse de las cuestiones apuntadas pues serán el Tribunal Oral Federal nº 3 y el titular del Juzgado Federal nro. 11 los órganos jurisdiccionales que deberán pr</w:t>
      </w:r>
      <w:r>
        <w:t>o</w:t>
      </w:r>
      <w:r>
        <w:t>nunciarse al respecto. La evaluación que se termina de efectuar ha obedecido al an</w:t>
      </w:r>
      <w:r>
        <w:t>á</w:t>
      </w:r>
      <w:r>
        <w:t>lisis del temor de parci</w:t>
      </w:r>
      <w:r>
        <w:t>a</w:t>
      </w:r>
      <w:r>
        <w:t>lidad del juzgador en el marco de la recusación planteada”. Firman la resolución, los doct</w:t>
      </w:r>
      <w:r>
        <w:t>o</w:t>
      </w:r>
      <w:r>
        <w:t>res Horacio Raúl Vigliani, Horacio Rolando Cattani y Ma</w:t>
      </w:r>
      <w:r>
        <w:t>r</w:t>
      </w:r>
      <w:r>
        <w:t>tín Irúrzun.</w:t>
      </w:r>
    </w:p>
    <w:p w:rsidR="00224567" w:rsidRDefault="00224567">
      <w:pPr>
        <w:widowControl w:val="0"/>
      </w:pPr>
      <w:r>
        <w:tab/>
      </w:r>
      <w:r>
        <w:rPr>
          <w:b/>
          <w:bCs/>
        </w:rPr>
        <w:t>B.2)</w:t>
      </w:r>
      <w:r>
        <w:t xml:space="preserve"> Finalizada la reseña del trámite impuesto a los sucesivos planteos de recusación fundados en la existencia de un pago a un imputado,  cabe  co</w:t>
      </w:r>
      <w:r>
        <w:t>n</w:t>
      </w:r>
      <w:r>
        <w:t>cluir,  tras  ponderar  la  prueba  testimonial  y  doc</w:t>
      </w:r>
      <w:r>
        <w:t>u</w:t>
      </w:r>
      <w:r>
        <w:t>mental -vinculada con esa circunstancia de hecho- produc</w:t>
      </w:r>
      <w:r>
        <w:t>i</w:t>
      </w:r>
      <w:r>
        <w:t>da en el debate, materia de particular desarrollo en el capítulo correspondiente, que los distintos informes el</w:t>
      </w:r>
      <w:r>
        <w:t>a</w:t>
      </w:r>
      <w:r>
        <w:t>borados por el juez Galeano, en respuesta a los planteos de apartamiento formulados, importaron un comportamiento co</w:t>
      </w:r>
      <w:r>
        <w:t>n</w:t>
      </w:r>
      <w:r>
        <w:t>trario al deber de buena fe en el proceso, no sólo con relación a la parte que impulsaba su separación sino ta</w:t>
      </w:r>
      <w:r>
        <w:t>m</w:t>
      </w:r>
      <w:r>
        <w:t xml:space="preserve">bién frente a </w:t>
      </w:r>
      <w:smartTag w:uri="urn:schemas-microsoft-com:office:smarttags" w:element="PersonName">
        <w:smartTagPr>
          <w:attr w:name="ProductID" w:val="la C￡mara"/>
        </w:smartTagPr>
        <w:r>
          <w:t>la Cámara</w:t>
        </w:r>
      </w:smartTag>
      <w:r>
        <w:t xml:space="preserve"> que debía controlar su interve</w:t>
      </w:r>
      <w:r>
        <w:t>n</w:t>
      </w:r>
      <w:r>
        <w:t>ción, afectando de ese modo las gara</w:t>
      </w:r>
      <w:r>
        <w:t>n</w:t>
      </w:r>
      <w:r>
        <w:t>tías constitucionales de la defensa en juicio y del deb</w:t>
      </w:r>
      <w:r>
        <w:t>i</w:t>
      </w:r>
      <w:r>
        <w:t>do proceso.</w:t>
      </w:r>
    </w:p>
    <w:p w:rsidR="00224567" w:rsidRDefault="00224567">
      <w:pPr>
        <w:widowControl w:val="0"/>
      </w:pPr>
      <w:r>
        <w:tab/>
        <w:t>Esta afirmación encuentra suste</w:t>
      </w:r>
      <w:r>
        <w:t>n</w:t>
      </w:r>
      <w:r>
        <w:t>to en la observación de las prácticas del juez y en la comprob</w:t>
      </w:r>
      <w:r>
        <w:t>a</w:t>
      </w:r>
      <w:r>
        <w:t>ción de algunas de las consecuencias de dicho pr</w:t>
      </w:r>
      <w:r>
        <w:t>o</w:t>
      </w:r>
      <w:r>
        <w:t>ceder.</w:t>
      </w:r>
    </w:p>
    <w:p w:rsidR="00224567" w:rsidRDefault="00224567">
      <w:pPr>
        <w:widowControl w:val="0"/>
      </w:pPr>
      <w:r>
        <w:tab/>
        <w:t>El Dr. Juan José Galeano ocultó sist</w:t>
      </w:r>
      <w:r>
        <w:t>e</w:t>
      </w:r>
      <w:r>
        <w:t>máticamente la existencia de un pago efectuado a Carlos Alberto Telleldín para que éste amplíe, en términos pr</w:t>
      </w:r>
      <w:r>
        <w:t>e</w:t>
      </w:r>
      <w:r>
        <w:t>viamente consensuados, su declaración indagatoria, enc</w:t>
      </w:r>
      <w:r>
        <w:t>u</w:t>
      </w:r>
      <w:r>
        <w:t>brió que fue él quien ordenó al Secretario de Int</w:t>
      </w:r>
      <w:r>
        <w:t>e</w:t>
      </w:r>
      <w:r>
        <w:t xml:space="preserve">ligencia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Nación</w:t>
        </w:r>
      </w:smartTag>
      <w:r>
        <w:t xml:space="preserve"> realizar ese pago y, por supuesto, impidió que se conozca la vinculación del pago con la declaración indagatoria del 5 de julio de 1996 y con las med</w:t>
      </w:r>
      <w:r>
        <w:t>i</w:t>
      </w:r>
      <w:r>
        <w:t>das procesales adoptadas como consecuencia de dicha dil</w:t>
      </w:r>
      <w:r>
        <w:t>i</w:t>
      </w:r>
      <w:r>
        <w:t>gencia procesal.</w:t>
      </w:r>
    </w:p>
    <w:p w:rsidR="00224567" w:rsidRDefault="00224567">
      <w:pPr>
        <w:widowControl w:val="0"/>
      </w:pPr>
      <w:r>
        <w:tab/>
        <w:t>Estos graves actos de inconducta ca</w:t>
      </w:r>
      <w:r>
        <w:t>u</w:t>
      </w:r>
      <w:r>
        <w:t>saron un generalizado estado de indefensión a la parte que pretendía su apartamiento, ya que al n</w:t>
      </w:r>
      <w:r>
        <w:t>e</w:t>
      </w:r>
      <w:r>
        <w:t>garse la verdad de lo acontecido se vio privada de poder invocar ante la a</w:t>
      </w:r>
      <w:r>
        <w:t>l</w:t>
      </w:r>
      <w:r>
        <w:t>zada el reconocimiento de la existencia de ese pago como fundamento de su prete</w:t>
      </w:r>
      <w:r>
        <w:t>n</w:t>
      </w:r>
      <w:r>
        <w:t>sión de separar al magistrado de la ca</w:t>
      </w:r>
      <w:r>
        <w:t>u</w:t>
      </w:r>
      <w:r>
        <w:t>sa.</w:t>
      </w:r>
    </w:p>
    <w:p w:rsidR="00224567" w:rsidRDefault="00224567">
      <w:pPr>
        <w:widowControl w:val="0"/>
      </w:pPr>
      <w:r>
        <w:tab/>
        <w:t>Pero, además, se la privó de la pos</w:t>
      </w:r>
      <w:r>
        <w:t>i</w:t>
      </w:r>
      <w:r>
        <w:t>bilidad de alegar en la causa principal la existencia de ese pago y sus consecuencias en orden a la situación pr</w:t>
      </w:r>
      <w:r>
        <w:t>o</w:t>
      </w:r>
      <w:r>
        <w:t>cesal de Ribelli, no permitiéndosele entonces, op</w:t>
      </w:r>
      <w:r>
        <w:t>o</w:t>
      </w:r>
      <w:r>
        <w:t>ner las defensas adecuadas u ofrecer las pruebas cond</w:t>
      </w:r>
      <w:r>
        <w:t>u</w:t>
      </w:r>
      <w:r>
        <w:t>centes.</w:t>
      </w:r>
    </w:p>
    <w:p w:rsidR="00224567" w:rsidRDefault="00224567">
      <w:pPr>
        <w:widowControl w:val="0"/>
      </w:pPr>
      <w:r>
        <w:tab/>
        <w:t>El estado de indefensión descri</w:t>
      </w:r>
      <w:r>
        <w:t>p</w:t>
      </w:r>
      <w:r>
        <w:t>to se agravó aún más, toda vez que puede advertirse que cuando el magistrado impidió que se supieran los hechos ocurr</w:t>
      </w:r>
      <w:r>
        <w:t>i</w:t>
      </w:r>
      <w:r>
        <w:t xml:space="preserve">dos, esto es la existencia del pago y </w:t>
      </w:r>
      <w:r>
        <w:rPr>
          <w:u w:val="single"/>
        </w:rPr>
        <w:t>sus condiciones</w:t>
      </w:r>
      <w:r>
        <w:t>, i</w:t>
      </w:r>
      <w:r>
        <w:t>n</w:t>
      </w:r>
      <w:r>
        <w:t>defectiblemente tuvo que enmascarar la actividad extra procesal que realizó, no documentada en el expediente, d</w:t>
      </w:r>
      <w:r>
        <w:t>i</w:t>
      </w:r>
      <w:r>
        <w:t>rigida a confirmar y reforzar la imput</w:t>
      </w:r>
      <w:r>
        <w:t>a</w:t>
      </w:r>
      <w:r>
        <w:t>ción contra Ribelli que su</w:t>
      </w:r>
      <w:r>
        <w:t>r</w:t>
      </w:r>
      <w:r>
        <w:t>giría de la ampliación de la indagatoria de Carlos Telleldín; actividad que sólo pudo conocerse cuando la causa fue elevada a juicio oral (ver, por ejemplo, las reuniones del juez con el imputado Telleldín en abril y junio de 1996 y la variada intervención en la causa del Dr. Gustavo Semorile).</w:t>
      </w:r>
    </w:p>
    <w:p w:rsidR="00224567" w:rsidRDefault="00224567">
      <w:pPr>
        <w:widowControl w:val="0"/>
      </w:pPr>
      <w:r>
        <w:tab/>
        <w:t xml:space="preserve">En la obra </w:t>
      </w:r>
      <w:r>
        <w:rPr>
          <w:bCs/>
        </w:rPr>
        <w:t>“Función Judicial”</w:t>
      </w:r>
      <w:r>
        <w:rPr>
          <w:b/>
        </w:rPr>
        <w:t xml:space="preserve">, </w:t>
      </w:r>
      <w:r>
        <w:rPr>
          <w:bCs/>
        </w:rPr>
        <w:t>Rodo</w:t>
      </w:r>
      <w:r>
        <w:rPr>
          <w:bCs/>
        </w:rPr>
        <w:t>l</w:t>
      </w:r>
      <w:r>
        <w:rPr>
          <w:bCs/>
        </w:rPr>
        <w:t>fo Luis Vigo (h)</w:t>
      </w:r>
      <w:r>
        <w:t xml:space="preserve"> (págs. 75 y ss., Ediciones Depalma, Buenos Aires, 1981), aborda el tema de las exigencias éticas co</w:t>
      </w:r>
      <w:r>
        <w:t>n</w:t>
      </w:r>
      <w:r>
        <w:t>tenidas en el proceso, explicándolo de esta manera: “El proceso, en definitiva, tiene su propia razón de ser; él constituye el camino de las partes para argumentar sobre sus pretensiones y fundamentos fácticos y jurídicos de ellas ante el juez, que esta habilitado por la comunidad para conducir el proceso y determinar qué es lo que c</w:t>
      </w:r>
      <w:r>
        <w:t>o</w:t>
      </w:r>
      <w:r>
        <w:t>rresponde en justicia y en derecho a cada una de las pa</w:t>
      </w:r>
      <w:r>
        <w:t>r</w:t>
      </w:r>
      <w:r>
        <w:t>tes. El proceso es algo jurídico y, por co</w:t>
      </w:r>
      <w:r>
        <w:t>n</w:t>
      </w:r>
      <w:r>
        <w:t>siguiente, algo ético; contiene derechos y deberes, y en consecuencia, no sólo el juez esta obligado éticamente a resolver con ju</w:t>
      </w:r>
      <w:r>
        <w:t>s</w:t>
      </w:r>
      <w:r>
        <w:t>ticia y en derecho, sino que toda la etapa del proceso a</w:t>
      </w:r>
      <w:r>
        <w:t>n</w:t>
      </w:r>
      <w:r>
        <w:t>terior a la sentencia incluye determinadas conductas de las partes y del juez exigibles éticamente y jurídicame</w:t>
      </w:r>
      <w:r>
        <w:t>n</w:t>
      </w:r>
      <w:r>
        <w:t>te”.</w:t>
      </w:r>
    </w:p>
    <w:p w:rsidR="00224567" w:rsidRDefault="00224567">
      <w:pPr>
        <w:widowControl w:val="0"/>
      </w:pPr>
      <w:r>
        <w:tab/>
        <w:t>Sigue analizando la cuestión de las conductas debidas de las partes en el proceso diciendo: “...Los particulares que actúan en el proceso tienen deb</w:t>
      </w:r>
      <w:r>
        <w:t>e</w:t>
      </w:r>
      <w:r>
        <w:t>res y derechos para con las contrapartes y para con el juez y es este el que debe velar para que no se viole el debido proceso, es decir, aquel que encuentra su fundame</w:t>
      </w:r>
      <w:r>
        <w:t>n</w:t>
      </w:r>
      <w:r>
        <w:t>to en la ética y además en el derecho. Aseg</w:t>
      </w:r>
      <w:r>
        <w:t>u</w:t>
      </w:r>
      <w:r>
        <w:t>rando el juez el debido proceso contribuye a la práctica profesional “buena” de los abogados, y además posibilita el camino p</w:t>
      </w:r>
      <w:r>
        <w:t>a</w:t>
      </w:r>
      <w:r>
        <w:t>ra su pr</w:t>
      </w:r>
      <w:r>
        <w:t>u</w:t>
      </w:r>
      <w:r>
        <w:t>dente resolución”.</w:t>
      </w:r>
    </w:p>
    <w:p w:rsidR="00224567" w:rsidRDefault="00224567">
      <w:pPr>
        <w:widowControl w:val="0"/>
        <w:rPr>
          <w:bCs/>
        </w:rPr>
      </w:pPr>
      <w:r>
        <w:tab/>
        <w:t xml:space="preserve">Por ultimo, Vigo centra su examen a exigencias éticas del juez manifestando: </w:t>
      </w:r>
      <w:r>
        <w:rPr>
          <w:bCs/>
        </w:rPr>
        <w:t>“Así como el d</w:t>
      </w:r>
      <w:r>
        <w:rPr>
          <w:bCs/>
        </w:rPr>
        <w:t>e</w:t>
      </w:r>
      <w:r>
        <w:rPr>
          <w:bCs/>
        </w:rPr>
        <w:t>bido proceso implica ciertos deberes para las partes y sus apoderados, cuyo respeto corresponde que lo asegure el juez. Este mismo y al margen de aquellas conductas indeb</w:t>
      </w:r>
      <w:r>
        <w:rPr>
          <w:bCs/>
        </w:rPr>
        <w:t>i</w:t>
      </w:r>
      <w:r>
        <w:rPr>
          <w:bCs/>
        </w:rPr>
        <w:t>das, se halla obligado por ciertos deberes cuyo fundamento son la ética profesional y la naturaleza del proceso; aquella conduciendo los actos del m</w:t>
      </w:r>
      <w:r>
        <w:rPr>
          <w:bCs/>
        </w:rPr>
        <w:t>a</w:t>
      </w:r>
      <w:r>
        <w:rPr>
          <w:bCs/>
        </w:rPr>
        <w:t>gistrado de manera que su fu</w:t>
      </w:r>
      <w:r>
        <w:rPr>
          <w:bCs/>
        </w:rPr>
        <w:t>n</w:t>
      </w:r>
      <w:r>
        <w:rPr>
          <w:bCs/>
        </w:rPr>
        <w:t>ción como tal coincida con su perfección como hombre y el proceso, desde el momento que es un instrumento jur</w:t>
      </w:r>
      <w:r>
        <w:rPr>
          <w:bCs/>
        </w:rPr>
        <w:t>í</w:t>
      </w:r>
      <w:r>
        <w:rPr>
          <w:bCs/>
        </w:rPr>
        <w:t>dico que posibilita la determinación de lo suyo de cada uno s</w:t>
      </w:r>
      <w:r>
        <w:rPr>
          <w:bCs/>
        </w:rPr>
        <w:t>e</w:t>
      </w:r>
      <w:r>
        <w:rPr>
          <w:bCs/>
        </w:rPr>
        <w:t>gún el derecho”.</w:t>
      </w:r>
    </w:p>
    <w:p w:rsidR="00224567" w:rsidRDefault="00224567">
      <w:pPr>
        <w:widowControl w:val="0"/>
      </w:pPr>
      <w:r>
        <w:rPr>
          <w:bCs/>
        </w:rPr>
        <w:tab/>
      </w:r>
      <w:r>
        <w:t>No puede soslayarse el profundo de</w:t>
      </w:r>
      <w:r>
        <w:t>s</w:t>
      </w:r>
      <w:r>
        <w:t>crédito que genera en el sistema de administración de ju</w:t>
      </w:r>
      <w:r>
        <w:t>s</w:t>
      </w:r>
      <w:r>
        <w:t>ticia la conducta de un juez que no solo ocultó, en reit</w:t>
      </w:r>
      <w:r>
        <w:t>e</w:t>
      </w:r>
      <w:r>
        <w:t>radas oportunidades, la existencia de un motivo de recus</w:t>
      </w:r>
      <w:r>
        <w:t>a</w:t>
      </w:r>
      <w:r>
        <w:t>ción invocado sino que, además, orientó su inte</w:t>
      </w:r>
      <w:r>
        <w:t>r</w:t>
      </w:r>
      <w:r>
        <w:t>vención a confundir y argumentar oblicuamente, controvirtiendo la actividad legítima de una parte del proc</w:t>
      </w:r>
      <w:r>
        <w:t>e</w:t>
      </w:r>
      <w:r>
        <w:t>so que ejercía un derecho y colectaba los elementos de prueba que fundame</w:t>
      </w:r>
      <w:r>
        <w:t>n</w:t>
      </w:r>
      <w:r>
        <w:t>taban su pretensión.</w:t>
      </w:r>
    </w:p>
    <w:p w:rsidR="00224567" w:rsidRDefault="00224567">
      <w:pPr>
        <w:widowControl w:val="0"/>
      </w:pPr>
      <w:r>
        <w:tab/>
        <w:t>El contenido y la finalidad subyace</w:t>
      </w:r>
      <w:r>
        <w:t>n</w:t>
      </w:r>
      <w:r>
        <w:t>te de los informes que redactó demuestran, con total certeza, que las decisiones del magistrado en la tram</w:t>
      </w:r>
      <w:r>
        <w:t>i</w:t>
      </w:r>
      <w:r>
        <w:t>tación de los incidentes no fueron reveladoras de la rectitud del der</w:t>
      </w:r>
      <w:r>
        <w:t>e</w:t>
      </w:r>
      <w:r>
        <w:t>cho y la justicia.</w:t>
      </w:r>
    </w:p>
    <w:p w:rsidR="00224567" w:rsidRDefault="00224567">
      <w:pPr>
        <w:widowControl w:val="0"/>
      </w:pPr>
      <w:r>
        <w:tab/>
        <w:t>Que, por otra parte, la lectura de los argumentos y razonamientos desarrollados en la r</w:t>
      </w:r>
      <w:r>
        <w:t>e</w:t>
      </w:r>
      <w:r>
        <w:t>solución del 3 de diciembre de 2003 imponen la necesidad de man</w:t>
      </w:r>
      <w:r>
        <w:t>i</w:t>
      </w:r>
      <w:r>
        <w:t xml:space="preserve">festar que </w:t>
      </w:r>
      <w:smartTag w:uri="urn:schemas-microsoft-com:office:smarttags" w:element="PersonName">
        <w:smartTagPr>
          <w:attr w:name="ProductID" w:val="la Alzada"/>
        </w:smartTagPr>
        <w:r>
          <w:t>la Alzada</w:t>
        </w:r>
      </w:smartTag>
      <w:r>
        <w:t xml:space="preserve"> no contribuyó a profundizar la rev</w:t>
      </w:r>
      <w:r>
        <w:t>i</w:t>
      </w:r>
      <w:r>
        <w:t>sión de la actividad irregular del Dr. Juan José Galeano que, en alguna medida, surgía del propio relato de las consideraciones efectuadas o, en su defecto, podía inf</w:t>
      </w:r>
      <w:r>
        <w:t>e</w:t>
      </w:r>
      <w:r>
        <w:t>rirse sin d</w:t>
      </w:r>
      <w:r>
        <w:t>i</w:t>
      </w:r>
      <w:r>
        <w:t>ficultad.</w:t>
      </w:r>
    </w:p>
    <w:p w:rsidR="00224567" w:rsidRDefault="00224567">
      <w:pPr>
        <w:widowControl w:val="0"/>
      </w:pPr>
      <w:r>
        <w:tab/>
        <w:t>Basta recordar, en ese sentido, que cuando el juez contestó el planteo de recusación del 22 de mayo de 2001 dio a entender, claramente, que no hubo pago alguno ya que informó que el propio Telleldín y el Dr. Stinfale, su abogado, lo habían negado en la declaración testimonial prestada en otro proceso y que una eventual dec</w:t>
      </w:r>
      <w:r>
        <w:t>i</w:t>
      </w:r>
      <w:r>
        <w:t>sión sobre ese tema no era una cuestión judicial sino p</w:t>
      </w:r>
      <w:r>
        <w:t>o</w:t>
      </w:r>
      <w:r>
        <w:t>lítica.</w:t>
      </w:r>
    </w:p>
    <w:p w:rsidR="00224567" w:rsidRDefault="00224567">
      <w:pPr>
        <w:widowControl w:val="0"/>
      </w:pPr>
      <w:r>
        <w:tab/>
        <w:t>Si bien este informe fue mencionado, en forma sucinta, en la resolución que apartó al magistr</w:t>
      </w:r>
      <w:r>
        <w:t>a</w:t>
      </w:r>
      <w:r>
        <w:t>do de la instrucción de la causa, no generó ninguna val</w:t>
      </w:r>
      <w:r>
        <w:t>o</w:t>
      </w:r>
      <w:r>
        <w:t>ración crítica pese a que, como finalmente se so</w:t>
      </w:r>
      <w:r>
        <w:t>s</w:t>
      </w:r>
      <w:r>
        <w:t>tuvo, se encontraba en tela de juicio la posibilidad seria de que hubiera mediado un pago al imputado Telleldín por orden del Dr. Galeano; es decir, del mismo juez que dio las e</w:t>
      </w:r>
      <w:r>
        <w:t>x</w:t>
      </w:r>
      <w:r>
        <w:t>plicaciones en sentido contrario.</w:t>
      </w:r>
    </w:p>
    <w:p w:rsidR="00224567" w:rsidRDefault="00224567">
      <w:pPr>
        <w:widowControl w:val="0"/>
      </w:pPr>
      <w:r>
        <w:tab/>
        <w:t>Puede afirmarse, en consecuencia, que se contaba con suficientes elementos de discernimiento p</w:t>
      </w:r>
      <w:r>
        <w:t>a</w:t>
      </w:r>
      <w:r>
        <w:t>ra que la reticencia y negativa del magistrado pudi</w:t>
      </w:r>
      <w:r>
        <w:t>e</w:t>
      </w:r>
      <w:r>
        <w:t>ra ser interpretada como una evidencia objetiva de que su rol c</w:t>
      </w:r>
      <w:r>
        <w:t>o</w:t>
      </w:r>
      <w:r>
        <w:t>mo director del proceso se había desnaturalizado de modo definitivo, ya que estaba probado que el juez, lejos de respetar y cumplir con la ley y de actuar con rectitud conforme a las obligaciones legales y éticas propias de su función, no dudó en argumentar, probar o alegar en un se</w:t>
      </w:r>
      <w:r>
        <w:t>n</w:t>
      </w:r>
      <w:r>
        <w:t>tido que llevara al convencimiento de que el pago no se había efectuado o, al menos, arrojara incert</w:t>
      </w:r>
      <w:r>
        <w:t>i</w:t>
      </w:r>
      <w:r>
        <w:t>dumbre acerca de tal extremo.</w:t>
      </w:r>
    </w:p>
    <w:p w:rsidR="00224567" w:rsidRDefault="00224567">
      <w:pPr>
        <w:widowControl w:val="0"/>
      </w:pPr>
      <w:r>
        <w:tab/>
        <w:t>Señalado esto, resta agregar que ta</w:t>
      </w:r>
      <w:r>
        <w:t>m</w:t>
      </w:r>
      <w:r>
        <w:t xml:space="preserve">poco </w:t>
      </w:r>
      <w:smartTag w:uri="urn:schemas-microsoft-com:office:smarttags" w:element="PersonName">
        <w:smartTagPr>
          <w:attr w:name="ProductID" w:val="la C￡mara"/>
        </w:smartTagPr>
        <w:r>
          <w:t>la Cámara</w:t>
        </w:r>
      </w:smartTag>
      <w:r>
        <w:t xml:space="preserve"> exigió al juez, a partir del pr</w:t>
      </w:r>
      <w:r>
        <w:t>i</w:t>
      </w:r>
      <w:r>
        <w:t>mer planteo que llegó a su conocimiento, una contestación personal, precisa y sin dilaciones acerca de la existencia del mot</w:t>
      </w:r>
      <w:r>
        <w:t>i</w:t>
      </w:r>
      <w:r>
        <w:t>vo en que se fundaba la recusación; ci</w:t>
      </w:r>
      <w:r>
        <w:t>r</w:t>
      </w:r>
      <w:r>
        <w:t>cunstancia ésta que resultaba esencial para resolver adecuadamente la incide</w:t>
      </w:r>
      <w:r>
        <w:t>n</w:t>
      </w:r>
      <w:r>
        <w:t>cia, a más de tolerar que el Dr. Galeano desvirtúe el tr</w:t>
      </w:r>
      <w:r>
        <w:t>á</w:t>
      </w:r>
      <w:r>
        <w:t>mite previsto por el art. 61 del código de rito, al disp</w:t>
      </w:r>
      <w:r>
        <w:t>o</w:t>
      </w:r>
      <w:r>
        <w:t>ner en forma reiterada la producción de prueba que inm</w:t>
      </w:r>
      <w:r>
        <w:t>e</w:t>
      </w:r>
      <w:r>
        <w:t xml:space="preserve">diatamente valoraba, demostrando con ello su particular interés en no ser apartado de la causa. Tal el caso de los informes que ordenó a </w:t>
      </w:r>
      <w:smartTag w:uri="urn:schemas-microsoft-com:office:smarttags" w:element="PersonName">
        <w:smartTagPr>
          <w:attr w:name="ProductID" w:val="la Actuaria"/>
        </w:smartTagPr>
        <w:r>
          <w:t>la Actuaria</w:t>
        </w:r>
      </w:smartTag>
      <w:r>
        <w:t xml:space="preserve"> y las consideraciones que luego, al respecto, realizó.</w:t>
      </w:r>
    </w:p>
    <w:p w:rsidR="00224567" w:rsidRDefault="00224567">
      <w:pPr>
        <w:widowControl w:val="0"/>
      </w:pPr>
      <w:r>
        <w:tab/>
        <w:t>En mérito a las reflexiones efectu</w:t>
      </w:r>
      <w:r>
        <w:t>a</w:t>
      </w:r>
      <w:r>
        <w:t>das, debe concluirse que el juez ocultó la exi</w:t>
      </w:r>
      <w:r>
        <w:t>s</w:t>
      </w:r>
      <w:r>
        <w:t>tencia del pago o, en otras palabras, del motivo de recusación inv</w:t>
      </w:r>
      <w:r>
        <w:t>o</w:t>
      </w:r>
      <w:r>
        <w:t>cado, valiéndose de un informe que contenía ci</w:t>
      </w:r>
      <w:r>
        <w:t>r</w:t>
      </w:r>
      <w:r>
        <w:t>cunstancias formalmente verdaderas pero que estaban originadas, orie</w:t>
      </w:r>
      <w:r>
        <w:t>n</w:t>
      </w:r>
      <w:r>
        <w:t>tadas y ensambladas a mantener la falsedad en punto a lo que debía contestar; proceder que se repitió en otras oc</w:t>
      </w:r>
      <w:r>
        <w:t>a</w:t>
      </w:r>
      <w:r>
        <w:t xml:space="preserve">siones y que, como pudo apreciarse, causó un perjuicio a la parte que lo recusaba y a la actividad de control de </w:t>
      </w:r>
      <w:smartTag w:uri="urn:schemas-microsoft-com:office:smarttags" w:element="PersonName">
        <w:smartTagPr>
          <w:attr w:name="ProductID" w:val="la C￡mara."/>
        </w:smartTagPr>
        <w:r>
          <w:t>la Cámara.</w:t>
        </w:r>
      </w:smartTag>
    </w:p>
    <w:p w:rsidR="00224567" w:rsidRDefault="00224567">
      <w:pPr>
        <w:widowControl w:val="0"/>
      </w:pPr>
      <w:r>
        <w:tab/>
        <w:t>Relacionado con esta trama, el Dr. P</w:t>
      </w:r>
      <w:r>
        <w:t>a</w:t>
      </w:r>
      <w:r>
        <w:t>blo Jacoby, apoderado de la querella “Memoria Activa”, desarrolló una argumentación en el escrito recus</w:t>
      </w:r>
      <w:r>
        <w:t>a</w:t>
      </w:r>
      <w:r>
        <w:t>torio que ahora podrá ser comprendida y valorada en su adecuada d</w:t>
      </w:r>
      <w:r>
        <w:t>i</w:t>
      </w:r>
      <w:r>
        <w:t>mensión y que se vincula e</w:t>
      </w:r>
      <w:r>
        <w:t>s</w:t>
      </w:r>
      <w:r>
        <w:t>trechamente con el modo en que el juez intentó revestir, con una ap</w:t>
      </w:r>
      <w:r>
        <w:t>a</w:t>
      </w:r>
      <w:r>
        <w:t>riencia de legalidad, las negociaciones y el acuerdo al que arribó con Carlos Alberto Telleldín.</w:t>
      </w:r>
    </w:p>
    <w:p w:rsidR="00224567" w:rsidRDefault="00224567">
      <w:pPr>
        <w:widowControl w:val="0"/>
      </w:pPr>
      <w:r>
        <w:tab/>
        <w:t>El 25 de marzo de 1997 el imputado Juan José Ribelli mantuvo una entrevista con el juez G</w:t>
      </w:r>
      <w:r>
        <w:t>a</w:t>
      </w:r>
      <w:r>
        <w:t>leano, en la que le entregó una copia de un video que daba cuenta de una reunión que éste llevó a cabo, el 1º de j</w:t>
      </w:r>
      <w:r>
        <w:t>u</w:t>
      </w:r>
      <w:r>
        <w:t>lio de 1996, con Carlos Alberto Telleldín; filmación que el periodista Jorge Lanata difundió luego en su programa de televisión.</w:t>
      </w:r>
    </w:p>
    <w:p w:rsidR="00224567" w:rsidRDefault="00224567">
      <w:pPr>
        <w:widowControl w:val="0"/>
      </w:pPr>
      <w:r>
        <w:tab/>
        <w:t>Seis días más tarde, el juez Oyarbide comenzó a investigar la desaparición de un efecto –la c</w:t>
      </w:r>
      <w:r>
        <w:t>o</w:t>
      </w:r>
      <w:r>
        <w:t>pia de un video- denunciada por el magistrado in</w:t>
      </w:r>
      <w:r>
        <w:t>s</w:t>
      </w:r>
      <w:r>
        <w:t>tructor, mientras que, a partir del 9 de abril, el juez Cavallo quedó a cargo de las actu</w:t>
      </w:r>
      <w:r>
        <w:t>a</w:t>
      </w:r>
      <w:r>
        <w:t>ciones iniciadas por la posible comisión de delitos en que pudieron haber incurrido el juez Galeano y el secretario Dr. Javier De Gamas, deriv</w:t>
      </w:r>
      <w:r>
        <w:t>a</w:t>
      </w:r>
      <w:r>
        <w:t>dos del cont</w:t>
      </w:r>
      <w:r>
        <w:t>e</w:t>
      </w:r>
      <w:r>
        <w:t>nido del video.</w:t>
      </w:r>
    </w:p>
    <w:p w:rsidR="00224567" w:rsidRDefault="00224567">
      <w:pPr>
        <w:widowControl w:val="0"/>
      </w:pPr>
      <w:r>
        <w:tab/>
        <w:t>Una vez decidida la inhibición form</w:t>
      </w:r>
      <w:r>
        <w:t>u</w:t>
      </w:r>
      <w:r>
        <w:t>lada por el Dr. Cavallo, acerca de cuyo trámite se vo</w:t>
      </w:r>
      <w:r>
        <w:t>l</w:t>
      </w:r>
      <w:r>
        <w:t>verá más adelante, dicho magistrado dispuso una serie de med</w:t>
      </w:r>
      <w:r>
        <w:t>i</w:t>
      </w:r>
      <w:r>
        <w:t>das; entre ellas, le solicitó al Dr. Galeano el acta l</w:t>
      </w:r>
      <w:r>
        <w:t>a</w:t>
      </w:r>
      <w:r>
        <w:t>brada por el secretario De Gamas que fuera registrada en el video aportado a la causa, los datos filiatorios de Carlos Alberto Telleldín y Ana María Boragni y que info</w:t>
      </w:r>
      <w:r>
        <w:t>r</w:t>
      </w:r>
      <w:r>
        <w:t>mara la situación procesal de aquél al momento en que se llevó a cabo la entrevista.</w:t>
      </w:r>
    </w:p>
    <w:p w:rsidR="00224567" w:rsidRDefault="00224567">
      <w:pPr>
        <w:widowControl w:val="0"/>
      </w:pPr>
      <w:r>
        <w:tab/>
        <w:t xml:space="preserve">Al recibir la respuesta, en la que el Dr. Galeano señaló que Telleldín </w:t>
      </w:r>
      <w:r>
        <w:rPr>
          <w:bCs/>
        </w:rPr>
        <w:t>“en ningún momento resu</w:t>
      </w:r>
      <w:r>
        <w:rPr>
          <w:bCs/>
        </w:rPr>
        <w:t>l</w:t>
      </w:r>
      <w:r>
        <w:rPr>
          <w:bCs/>
        </w:rPr>
        <w:t>to procesado por el hecho principal”,</w:t>
      </w:r>
      <w:r>
        <w:rPr>
          <w:b/>
        </w:rPr>
        <w:t xml:space="preserve"> </w:t>
      </w:r>
      <w:r>
        <w:t>el Dr.</w:t>
      </w:r>
      <w:r>
        <w:rPr>
          <w:b/>
        </w:rPr>
        <w:t xml:space="preserve"> </w:t>
      </w:r>
      <w:r>
        <w:t>Cavallo tomó los datos filiatorios remitidos y requirió al gerente de la sucursal Cabildo del “Lloyds Bank” que informe si Ca</w:t>
      </w:r>
      <w:r>
        <w:t>r</w:t>
      </w:r>
      <w:r>
        <w:t>los Alberto Telle</w:t>
      </w:r>
      <w:r>
        <w:t>l</w:t>
      </w:r>
      <w:r>
        <w:t>dín y/o Ana María Boragni tenían cuenta corriente, caja de ahorro o caja de seg</w:t>
      </w:r>
      <w:r>
        <w:t>u</w:t>
      </w:r>
      <w:r>
        <w:t>ridad en esa sede y, en su caso, se remitieran los e</w:t>
      </w:r>
      <w:r>
        <w:t>x</w:t>
      </w:r>
      <w:r>
        <w:t>tractos de las cuentas desde el mes de julio de 1996 en adelante; medida que arrojó resultado negativo.</w:t>
      </w:r>
    </w:p>
    <w:p w:rsidR="00224567" w:rsidRDefault="00224567">
      <w:pPr>
        <w:widowControl w:val="0"/>
      </w:pPr>
      <w:r>
        <w:tab/>
        <w:t>En la resolución del 12 de se</w:t>
      </w:r>
      <w:r>
        <w:t>p</w:t>
      </w:r>
      <w:r>
        <w:t>tiembre de 1997 en la que el Dr. Galeano y el Dr. De Gamas fu</w:t>
      </w:r>
      <w:r>
        <w:t>e</w:t>
      </w:r>
      <w:r>
        <w:t>ron sobreseídos, el Dr. Cavallo mencionó, tangencia</w:t>
      </w:r>
      <w:r>
        <w:t>l</w:t>
      </w:r>
      <w:r>
        <w:t>mente, el tema del pago. En ese orden, sostuvo: “</w:t>
      </w:r>
      <w:r>
        <w:rPr>
          <w:bCs/>
        </w:rPr>
        <w:t>Por otra parte, c</w:t>
      </w:r>
      <w:r>
        <w:rPr>
          <w:bCs/>
        </w:rPr>
        <w:t>a</w:t>
      </w:r>
      <w:r>
        <w:rPr>
          <w:bCs/>
        </w:rPr>
        <w:t>be poner de manifiesto que al momento de colectar la pru</w:t>
      </w:r>
      <w:r>
        <w:rPr>
          <w:bCs/>
        </w:rPr>
        <w:t>e</w:t>
      </w:r>
      <w:r>
        <w:rPr>
          <w:bCs/>
        </w:rPr>
        <w:t>ba en autos, se estableció la inexistencia de cuentas c</w:t>
      </w:r>
      <w:r>
        <w:rPr>
          <w:bCs/>
        </w:rPr>
        <w:t>o</w:t>
      </w:r>
      <w:r>
        <w:rPr>
          <w:bCs/>
        </w:rPr>
        <w:t>rrientes, cajas de ahorro y/o cajas de seguridad, a nombre de Carlos Alberto Telleldín y/o Ana María Boragni (fs. 135); así como que –de conformidad con los dichos de los interesados-, actualmente se está tramitando la obtención de la recompensa estipulada en el decreto 2023/94 y su a</w:t>
      </w:r>
      <w:r>
        <w:rPr>
          <w:bCs/>
        </w:rPr>
        <w:t>m</w:t>
      </w:r>
      <w:r>
        <w:rPr>
          <w:bCs/>
        </w:rPr>
        <w:t xml:space="preserve">pliación 1340/96, como consecuencia de la declaración efectuada por Telleldín en la causa nro. 1.156.-” (conf. fs. 184 vta. y 185 de la causa nº 3150/97 </w:t>
      </w:r>
      <w:r>
        <w:t>del registro del Juzgado en lo Criminal y Correccional Federal nº 4, Secr</w:t>
      </w:r>
      <w:r>
        <w:t>e</w:t>
      </w:r>
      <w:r>
        <w:t>taría nº 7).</w:t>
      </w:r>
    </w:p>
    <w:p w:rsidR="00224567" w:rsidRDefault="00224567">
      <w:pPr>
        <w:widowControl w:val="0"/>
      </w:pPr>
      <w:r>
        <w:tab/>
        <w:t>El representante de la querella “Mem</w:t>
      </w:r>
      <w:r>
        <w:t>o</w:t>
      </w:r>
      <w:r>
        <w:t>ria Activa”, haciendo mención al trámite de ese proceso, señ</w:t>
      </w:r>
      <w:r>
        <w:t>a</w:t>
      </w:r>
      <w:r>
        <w:t>ló que el Dr. Galeano ocultó la verdad acerca del pago al juez Cavallo; no obstante, se debe explicar como suc</w:t>
      </w:r>
      <w:r>
        <w:t>e</w:t>
      </w:r>
      <w:r>
        <w:t>dió.</w:t>
      </w:r>
    </w:p>
    <w:p w:rsidR="00224567" w:rsidRDefault="00224567">
      <w:pPr>
        <w:widowControl w:val="0"/>
      </w:pPr>
      <w:r>
        <w:tab/>
        <w:t>La circunstancia de que el Dr. Gale</w:t>
      </w:r>
      <w:r>
        <w:t>a</w:t>
      </w:r>
      <w:r>
        <w:t>no no hubiera aportado por propia iniciativa ninguna clase de información acerca de su interve</w:t>
      </w:r>
      <w:r>
        <w:t>n</w:t>
      </w:r>
      <w:r>
        <w:t>ción en una actividad que estaba siendo cuestionada, puede interpretarse de disti</w:t>
      </w:r>
      <w:r>
        <w:t>n</w:t>
      </w:r>
      <w:r>
        <w:t>tas maneras; una de ellas, es que el magistrado consideró que no estaba obligado a hacerlo en atención a su situ</w:t>
      </w:r>
      <w:r>
        <w:t>a</w:t>
      </w:r>
      <w:r>
        <w:t>ción en ese proceso.</w:t>
      </w:r>
    </w:p>
    <w:p w:rsidR="00224567" w:rsidRDefault="00224567">
      <w:pPr>
        <w:widowControl w:val="0"/>
      </w:pPr>
      <w:r>
        <w:tab/>
        <w:t>Lo que resulta inadmisible es que el Dr. Cavallo no haya realizado una pesquisa eficiente ace</w:t>
      </w:r>
      <w:r>
        <w:t>r</w:t>
      </w:r>
      <w:r>
        <w:t>ca de los hechos, pese a su gravedad in</w:t>
      </w:r>
      <w:r>
        <w:t>s</w:t>
      </w:r>
      <w:r>
        <w:t>titucional, ya que no interrogó al juez, a los secretarios, ni a los fisc</w:t>
      </w:r>
      <w:r>
        <w:t>a</w:t>
      </w:r>
      <w:r>
        <w:t>les, bajo alguna de las formas procesales aplicables a c</w:t>
      </w:r>
      <w:r>
        <w:t>a</w:t>
      </w:r>
      <w:r>
        <w:t>da caso, a efectos de establecer, al menos, sí tenían c</w:t>
      </w:r>
      <w:r>
        <w:t>o</w:t>
      </w:r>
      <w:r>
        <w:t>nocimiento de que el imputado Carlos Alberto Telleldín h</w:t>
      </w:r>
      <w:r>
        <w:t>u</w:t>
      </w:r>
      <w:r>
        <w:t>biera r</w:t>
      </w:r>
      <w:r>
        <w:t>e</w:t>
      </w:r>
      <w:r>
        <w:t>cibido un pago bajo alguna modalidad.</w:t>
      </w:r>
    </w:p>
    <w:p w:rsidR="00224567" w:rsidRDefault="00224567">
      <w:pPr>
        <w:widowControl w:val="0"/>
      </w:pPr>
      <w:r>
        <w:tab/>
        <w:t>Sentado ello, corresponde también ce</w:t>
      </w:r>
      <w:r>
        <w:t>n</w:t>
      </w:r>
      <w:r>
        <w:t>surar la conducta del Dr. Galeano en cuanto a que, media</w:t>
      </w:r>
      <w:r>
        <w:t>n</w:t>
      </w:r>
      <w:r>
        <w:t>te la formación de actuaciones procesales en la causa que continuaba tramitando, invocadas por los testigos en las actuaciones a cargo del Dr. Cavallo y que sirvieron como fundamento del sobrese</w:t>
      </w:r>
      <w:r>
        <w:t>i</w:t>
      </w:r>
      <w:r>
        <w:t>miento, permitió que se mantuviera el engaño en a</w:t>
      </w:r>
      <w:r>
        <w:t>m</w:t>
      </w:r>
      <w:r>
        <w:t>bos expedientes.</w:t>
      </w:r>
    </w:p>
    <w:p w:rsidR="00224567" w:rsidRDefault="00224567">
      <w:pPr>
        <w:widowControl w:val="0"/>
      </w:pPr>
      <w:r>
        <w:tab/>
        <w:t xml:space="preserve">En efecto; en el mes de mayo de 1997 se pergeñó la formación de un incidente que se caratuló </w:t>
      </w:r>
      <w:r>
        <w:rPr>
          <w:bCs/>
        </w:rPr>
        <w:t>“Pedido de Recompensa”</w:t>
      </w:r>
      <w:r>
        <w:t>, iniciado por el Dr. Stinfale, r</w:t>
      </w:r>
      <w:r>
        <w:t>a</w:t>
      </w:r>
      <w:r>
        <w:t>tificado luego por Telleldín ante el juez y el secr</w:t>
      </w:r>
      <w:r>
        <w:t>e</w:t>
      </w:r>
      <w:r>
        <w:t>tario, Dr. Javier De Gamas; todos los nombrados, como finalmente se comprobó en la audiencia de debate, sabían del pago efectuado el año anterior, pese a lo cual formaron parte de la redacción y suscribieron un acta en los siguientes términos: “///la ciudad de Buenos Aires, a los seis días del mes de junio de mil novecientos noventa y siete, co</w:t>
      </w:r>
      <w:r>
        <w:t>m</w:t>
      </w:r>
      <w:r>
        <w:t>parece ante S.S. y Secretario Autorizante, el procesado CARLOS ALBERTO TELLELDIN, cuyas demás condiciones person</w:t>
      </w:r>
      <w:r>
        <w:t>a</w:t>
      </w:r>
      <w:r>
        <w:t>les obran en autos, a quien se le exhibe la presentación hecha por su abogado defe</w:t>
      </w:r>
      <w:r>
        <w:t>n</w:t>
      </w:r>
      <w:r>
        <w:t>sor, Dr. VICTOR STINFALE, donde este solicita que se fije el monto de la recompensa que le corresponde por entender que su asistido colaboró con la investigación. Interrogado que fue para que diga si rat</w:t>
      </w:r>
      <w:r>
        <w:t>i</w:t>
      </w:r>
      <w:r>
        <w:t>fica los términos de la presentación, manifiesta que si que lo ratifica en todo su contenido, señalando que su abogado realizó dicha presentación por habérselo solicit</w:t>
      </w:r>
      <w:r>
        <w:t>a</w:t>
      </w:r>
      <w:r>
        <w:t>do el d</w:t>
      </w:r>
      <w:r>
        <w:t>e</w:t>
      </w:r>
      <w:r>
        <w:t>clarante. En síntesis expresa que al haber tomado estado público la colaboración que prestara en la prese</w:t>
      </w:r>
      <w:r>
        <w:t>n</w:t>
      </w:r>
      <w:r>
        <w:t>te investigación es que solicita que se fije el monto de la recompensa que le corresponde. Entiende que ello es así, ya que a partir de su declaración se procesó a cuatro pe</w:t>
      </w:r>
      <w:r>
        <w:t>r</w:t>
      </w:r>
      <w:r>
        <w:t xml:space="preserve">sonas como participes del atentado terrorista cometido  contra la sede de </w:t>
      </w:r>
      <w:smartTag w:uri="urn:schemas-microsoft-com:office:smarttags" w:element="PersonName">
        <w:smartTagPr>
          <w:attr w:name="ProductID" w:val="la A.M"/>
        </w:smartTagPr>
        <w:r>
          <w:t>la A.M</w:t>
        </w:r>
      </w:smartTag>
      <w:r>
        <w:t>.I.A. Que solicita se arb</w:t>
      </w:r>
      <w:r>
        <w:t>i</w:t>
      </w:r>
      <w:r>
        <w:t>tren los medios necesarios para que su pedido se tramite lo antes posible, ya que entiende la segur</w:t>
      </w:r>
      <w:r>
        <w:t>i</w:t>
      </w:r>
      <w:r>
        <w:t>dad de su familia corre pel</w:t>
      </w:r>
      <w:r>
        <w:t>i</w:t>
      </w:r>
      <w:r>
        <w:t>gro...”.</w:t>
      </w:r>
    </w:p>
    <w:p w:rsidR="00224567" w:rsidRDefault="00224567">
      <w:pPr>
        <w:widowControl w:val="0"/>
      </w:pPr>
      <w:r>
        <w:tab/>
        <w:t>El Tribunal tiene por cierto que las actuaciones de ese pedido no constituyeron más que la e</w:t>
      </w:r>
      <w:r>
        <w:t>x</w:t>
      </w:r>
      <w:r>
        <w:t>teriorización de un indudable acuerdo sim</w:t>
      </w:r>
      <w:r>
        <w:t>u</w:t>
      </w:r>
      <w:r>
        <w:t>lado con el que se pretendió ocultar la realidad, esto es el pago a T</w:t>
      </w:r>
      <w:r>
        <w:t>e</w:t>
      </w:r>
      <w:r>
        <w:t>lleldín, persiguiendo una finalidad ilícita general al mantener a resguardo una actividad violatoria de la ley que causó perjuicio a terceros. En ese cometido, resultó indispensable confeccionar el acta que fue transcripta, cuya falsedad resulta evidente en toda su extensión y pr</w:t>
      </w:r>
      <w:r>
        <w:t>o</w:t>
      </w:r>
      <w:r>
        <w:t>pós</w:t>
      </w:r>
      <w:r>
        <w:t>i</w:t>
      </w:r>
      <w:r>
        <w:t>to.</w:t>
      </w:r>
    </w:p>
    <w:p w:rsidR="00224567" w:rsidRDefault="00224567">
      <w:pPr>
        <w:widowControl w:val="0"/>
      </w:pPr>
      <w:r>
        <w:tab/>
        <w:t>Si bien es obligación de todo juez obrar con transparencia y lealtad frente a quienes atrib</w:t>
      </w:r>
      <w:r>
        <w:t>u</w:t>
      </w:r>
      <w:r>
        <w:t>ye co</w:t>
      </w:r>
      <w:r>
        <w:t>n</w:t>
      </w:r>
      <w:r>
        <w:t>ductas delictivas y no incurrir en ellas para lograr incriminarlos, no corresponde examinar aquí si el ocult</w:t>
      </w:r>
      <w:r>
        <w:t>a</w:t>
      </w:r>
      <w:r>
        <w:t>miento del juez Galeano importó un acto defensivo, por cuanto ello deberá ser materia de estudio en otra sede.</w:t>
      </w:r>
    </w:p>
    <w:p w:rsidR="00224567" w:rsidRDefault="00224567">
      <w:pPr>
        <w:widowControl w:val="0"/>
      </w:pPr>
      <w:r>
        <w:tab/>
      </w:r>
      <w:r>
        <w:rPr>
          <w:b/>
          <w:bCs/>
        </w:rPr>
        <w:t xml:space="preserve">B.3) </w:t>
      </w:r>
      <w:r>
        <w:t>Para concluir el estudio del d</w:t>
      </w:r>
      <w:r>
        <w:t>i</w:t>
      </w:r>
      <w:r>
        <w:t>latado trámite que demandó el apartamiento del Dr. Juan José Galeano, corresponde destacar que la dec</w:t>
      </w:r>
      <w:r>
        <w:t>i</w:t>
      </w:r>
      <w:r>
        <w:t>sión que así lo dispuso no estableció las circun</w:t>
      </w:r>
      <w:r>
        <w:t>s</w:t>
      </w:r>
      <w:r>
        <w:t>tancias de hecho ni la activ</w:t>
      </w:r>
      <w:r>
        <w:t>i</w:t>
      </w:r>
      <w:r>
        <w:t>dad de investigación y probatoria desplegada por el juez que se veían alcanzadas por el motivo que dio suste</w:t>
      </w:r>
      <w:r>
        <w:t>n</w:t>
      </w:r>
      <w:r>
        <w:t>to a la recus</w:t>
      </w:r>
      <w:r>
        <w:t>a</w:t>
      </w:r>
      <w:r>
        <w:t>ción –el pago a un imputado- y que, junto a otros, conformaron a juicio de la alzada un cuadro suf</w:t>
      </w:r>
      <w:r>
        <w:t>i</w:t>
      </w:r>
      <w:r>
        <w:t>ciente para tener configurado el temor de parcial</w:t>
      </w:r>
      <w:r>
        <w:t>i</w:t>
      </w:r>
      <w:r>
        <w:t>dad.</w:t>
      </w:r>
    </w:p>
    <w:p w:rsidR="00224567" w:rsidRDefault="00224567">
      <w:pPr>
        <w:widowControl w:val="0"/>
      </w:pPr>
      <w:r>
        <w:tab/>
        <w:t xml:space="preserve">Concretamente, </w:t>
      </w:r>
      <w:smartTag w:uri="urn:schemas-microsoft-com:office:smarttags" w:element="PersonName">
        <w:smartTagPr>
          <w:attr w:name="ProductID" w:val="la C￡mara"/>
        </w:smartTagPr>
        <w:r>
          <w:t>la Cámara</w:t>
        </w:r>
      </w:smartTag>
      <w:r>
        <w:t xml:space="preserve"> afirmó que las consideraciones efectuadas no debían entenderse como una valoración de las consecuencias procesales que pudi</w:t>
      </w:r>
      <w:r>
        <w:t>e</w:t>
      </w:r>
      <w:r>
        <w:t>ran derivarse de las cuestiones apuntadas, por cuanto s</w:t>
      </w:r>
      <w:r>
        <w:t>e</w:t>
      </w:r>
      <w:r>
        <w:t>ría este Tribunal y el titular del Juzgado Federal nº 11 quienes deberían pr</w:t>
      </w:r>
      <w:r>
        <w:t>o</w:t>
      </w:r>
      <w:r>
        <w:t>nunciarse al respecto.</w:t>
      </w:r>
    </w:p>
    <w:p w:rsidR="00224567" w:rsidRDefault="00224567">
      <w:pPr>
        <w:widowControl w:val="0"/>
      </w:pPr>
      <w:r>
        <w:tab/>
        <w:t>En ese sentido, es imperativo asev</w:t>
      </w:r>
      <w:r>
        <w:t>e</w:t>
      </w:r>
      <w:r>
        <w:t>rar que si bien el pago a Telleldín tuvo como hecho central la declaración indagatoria del 5 de julio de 1996, no puede omitirse que ese acto proc</w:t>
      </w:r>
      <w:r>
        <w:t>e</w:t>
      </w:r>
      <w:r>
        <w:t>sal proyectó sus consecuencias a toda la actividad probatoria originada o que reconoce fundamento en esa declaración y que, por otra parte, co</w:t>
      </w:r>
      <w:r>
        <w:t>m</w:t>
      </w:r>
      <w:r>
        <w:t>prende y compromete una dete</w:t>
      </w:r>
      <w:r>
        <w:t>r</w:t>
      </w:r>
      <w:r>
        <w:t>minada intervención del juez anterior en el tiempo; en especial, aquella que reconoce como precedente la pa</w:t>
      </w:r>
      <w:r>
        <w:t>r</w:t>
      </w:r>
      <w:r>
        <w:t>ticular incorporación a la causa de las supuestas manifestaciones extra procesales de Telle</w:t>
      </w:r>
      <w:r>
        <w:t>l</w:t>
      </w:r>
      <w:r>
        <w:t xml:space="preserve">dín a </w:t>
      </w:r>
      <w:smartTag w:uri="urn:schemas-microsoft-com:office:smarttags" w:element="PersonName">
        <w:smartTagPr>
          <w:attr w:name="ProductID" w:val="la Dra. Riva"/>
        </w:smartTagPr>
        <w:r>
          <w:t>la Dra. Riva</w:t>
        </w:r>
      </w:smartTag>
      <w:r>
        <w:t xml:space="preserve"> Aramayo, en las condiciones en que fu</w:t>
      </w:r>
      <w:r>
        <w:t>e</w:t>
      </w:r>
      <w:r>
        <w:t>ron obtenidas.</w:t>
      </w:r>
    </w:p>
    <w:p w:rsidR="00224567" w:rsidRDefault="00224567">
      <w:pPr>
        <w:widowControl w:val="0"/>
      </w:pPr>
      <w:r>
        <w:tab/>
        <w:t>En esa oportunidad, y de un modo tan intrincado como desconcertante, el curso del proceso in</w:t>
      </w:r>
      <w:r>
        <w:t>i</w:t>
      </w:r>
      <w:r>
        <w:t xml:space="preserve">ciado con motivo del atentado a la sede de </w:t>
      </w:r>
      <w:smartTag w:uri="urn:schemas-microsoft-com:office:smarttags" w:element="PersonName">
        <w:smartTagPr>
          <w:attr w:name="ProductID" w:val="la A.M"/>
        </w:smartTagPr>
        <w:r>
          <w:t>la A.M</w:t>
        </w:r>
      </w:smartTag>
      <w:r>
        <w:t>.I.A. se modificó sustancialmente, formá</w:t>
      </w:r>
      <w:r>
        <w:t>n</w:t>
      </w:r>
      <w:r>
        <w:t>dose la causa “Brigadas”. A partir de allí, comenzó a desarrollarse una actividad procesal y extra procesal, esta última generalmente no d</w:t>
      </w:r>
      <w:r>
        <w:t>o</w:t>
      </w:r>
      <w:r>
        <w:t>cumentada en el expediente e ingeniosamente denominada “causa virtual” por el Sr. defensor oficial, Dr. Sergio Moreno, que respondía a la apremiante necesidad del juez de obtener y contar, de la única forma legalmente admis</w:t>
      </w:r>
      <w:r>
        <w:t>i</w:t>
      </w:r>
      <w:r>
        <w:t>ble, con los dichos de Telleldín en la causa, esto es su declaración indagat</w:t>
      </w:r>
      <w:r>
        <w:t>o</w:t>
      </w:r>
      <w:r>
        <w:t>ria.</w:t>
      </w:r>
    </w:p>
    <w:p w:rsidR="00224567" w:rsidRDefault="00224567">
      <w:pPr>
        <w:widowControl w:val="0"/>
      </w:pPr>
      <w:r>
        <w:tab/>
        <w:t>Ello, como se demostrará más adela</w:t>
      </w:r>
      <w:r>
        <w:t>n</w:t>
      </w:r>
      <w:r>
        <w:t>te, requirió la realización de una serie de actos irr</w:t>
      </w:r>
      <w:r>
        <w:t>e</w:t>
      </w:r>
      <w:r>
        <w:t>gulares, previos, concomitantes y posteriores a esa declaración, dirigidos a apuntalar la versión brindada por Telleldín.</w:t>
      </w:r>
    </w:p>
    <w:p w:rsidR="00224567" w:rsidRDefault="00224567">
      <w:pPr>
        <w:widowControl w:val="0"/>
        <w:tabs>
          <w:tab w:val="left" w:pos="2660"/>
        </w:tabs>
      </w:pPr>
    </w:p>
    <w:p w:rsidR="00224567" w:rsidRDefault="00224567">
      <w:pPr>
        <w:pStyle w:val="Ttulo3"/>
        <w:keepNext w:val="0"/>
        <w:widowControl w:val="0"/>
      </w:pPr>
      <w:r>
        <w:t>C) Capitán (R) Héctor Pedro Vergéz. Su actuación al margen de la normativa vigente, autorizada por el juez.</w:t>
      </w:r>
    </w:p>
    <w:p w:rsidR="00224567" w:rsidRDefault="00224567">
      <w:pPr>
        <w:widowControl w:val="0"/>
      </w:pPr>
      <w:r>
        <w:rPr>
          <w:b/>
          <w:bCs/>
        </w:rPr>
        <w:tab/>
        <w:t>C.1)</w:t>
      </w:r>
      <w:r>
        <w:t xml:space="preserve"> A fin de lograr una cabal co</w:t>
      </w:r>
      <w:r>
        <w:t>m</w:t>
      </w:r>
      <w:r>
        <w:t>prensión acerca de cómo funcionarios nacionales trataron de comprar la voluntad de Carlos Alberto Telleldín, se i</w:t>
      </w:r>
      <w:r>
        <w:t>m</w:t>
      </w:r>
      <w:r>
        <w:t>pone efectuar un repaso de su pos</w:t>
      </w:r>
      <w:r>
        <w:t>i</w:t>
      </w:r>
      <w:r>
        <w:t>ción frente a los hechos que se le i</w:t>
      </w:r>
      <w:r>
        <w:t>m</w:t>
      </w:r>
      <w:r>
        <w:t>putaban.</w:t>
      </w:r>
    </w:p>
    <w:p w:rsidR="00224567" w:rsidRDefault="00224567">
      <w:pPr>
        <w:widowControl w:val="0"/>
      </w:pPr>
      <w:r>
        <w:tab/>
        <w:t>Así, cabe recordar que Carlos A</w:t>
      </w:r>
      <w:r>
        <w:t>l</w:t>
      </w:r>
      <w:r>
        <w:t>berto Telleldín fue detenido el 27 de julio de 1994, habiendo manifestado en sus tres primeras declaraciones indagat</w:t>
      </w:r>
      <w:r>
        <w:t>o</w:t>
      </w:r>
      <w:r>
        <w:t>rias (6 y 7 de agosto y 29 de diciembre de 1994) que ve</w:t>
      </w:r>
      <w:r>
        <w:t>n</w:t>
      </w:r>
      <w:r>
        <w:t>dió una camioneta Trafic el 10 de julio de 1994. El 2 de enero de 1995 compareció ante el juez Galeano, oportunidad que respondió a escasas preguntas y confe</w:t>
      </w:r>
      <w:r>
        <w:t>c</w:t>
      </w:r>
      <w:r>
        <w:t>cionó un cuerpo de escr</w:t>
      </w:r>
      <w:r>
        <w:t>i</w:t>
      </w:r>
      <w:r>
        <w:t>tura y el 4 de abril de 1995, relató ante el juez instructor las visitas que recibió en su lugar de dete</w:t>
      </w:r>
      <w:r>
        <w:t>n</w:t>
      </w:r>
      <w:r>
        <w:t xml:space="preserve">ción por parte del capitán Vergéz, quien se presentó como personal de </w:t>
      </w:r>
      <w:smartTag w:uri="urn:schemas-microsoft-com:office:smarttags" w:element="PersonName">
        <w:smartTagPr>
          <w:attr w:name="ProductID" w:val="la Secretar￭a"/>
        </w:smartTagPr>
        <w:r>
          <w:t>la Secretaría</w:t>
        </w:r>
      </w:smartTag>
      <w:r>
        <w:t xml:space="preserve"> de Inteligencia de Estado, aco</w:t>
      </w:r>
      <w:r>
        <w:t>m</w:t>
      </w:r>
      <w:r>
        <w:t>pañado por otra persona que también dijo pertenecer a ese organismo.</w:t>
      </w:r>
    </w:p>
    <w:p w:rsidR="00224567" w:rsidRDefault="00224567">
      <w:pPr>
        <w:widowControl w:val="0"/>
      </w:pPr>
      <w:r>
        <w:tab/>
        <w:t xml:space="preserve">Telleldín también denunció, el 20 de julio de 1995, las visitas de Vergéz ante los jueces de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w:smartTagPr>
        <w:r>
          <w:t>la Cámara</w:t>
        </w:r>
      </w:smartTag>
      <w:r>
        <w:t xml:space="preserve"> en lo Criminal y Correccional Federal de esta capital, oportunidad en la que indicó que el al</w:t>
      </w:r>
      <w:r>
        <w:t>u</w:t>
      </w:r>
      <w:r>
        <w:t>dido militar, que decía concurrir en representación del gobierno nacional, le ofreció plata a cambio de sindicar a un suj</w:t>
      </w:r>
      <w:r>
        <w:t>e</w:t>
      </w:r>
      <w:r>
        <w:t>to de nacionalidad libanesa detenido en Paraguay.</w:t>
      </w:r>
    </w:p>
    <w:p w:rsidR="00224567" w:rsidRDefault="00224567">
      <w:pPr>
        <w:widowControl w:val="0"/>
      </w:pPr>
      <w:r>
        <w:tab/>
        <w:t xml:space="preserve">A raíz de la denuncia efectuada por dicha alzada, se instruyó la causa nº B-376 –expte. 2644/95- del registro de </w:t>
      </w:r>
      <w:smartTag w:uri="urn:schemas-microsoft-com:office:smarttags" w:element="PersonName">
        <w:smartTagPr>
          <w:attr w:name="ProductID" w:val="la Secretar￭a"/>
        </w:smartTagPr>
        <w:r>
          <w:t>la Secretaría</w:t>
        </w:r>
      </w:smartTag>
      <w:r>
        <w:t xml:space="preserve"> nº 24 del Juzgado en lo Criminal y Correccional Federal nº 12, en la que a fs. 6/8vta. Telleldín relató que se entrevistó en tres ocasiones con Vergéz en la sede del juzgado fed</w:t>
      </w:r>
      <w:r>
        <w:t>e</w:t>
      </w:r>
      <w:r>
        <w:t>ral nº 9 y en otras en su lugar de dete</w:t>
      </w:r>
      <w:r>
        <w:t>n</w:t>
      </w:r>
      <w:r>
        <w:t>ción.</w:t>
      </w:r>
    </w:p>
    <w:p w:rsidR="00224567" w:rsidRDefault="00224567">
      <w:pPr>
        <w:widowControl w:val="0"/>
      </w:pPr>
      <w:r>
        <w:tab/>
        <w:t xml:space="preserve">A fs. 26 luce la nota remitida por el director de </w:t>
      </w:r>
      <w:smartTag w:uri="urn:schemas-microsoft-com:office:smarttags" w:element="PersonName">
        <w:smartTagPr>
          <w:attr w:name="ProductID" w:val="la Unidad"/>
        </w:smartTagPr>
        <w:r>
          <w:t>la Unidad</w:t>
        </w:r>
      </w:smartTag>
      <w:r>
        <w:t xml:space="preserve"> nº 1 del Servicio Penitenciario F</w:t>
      </w:r>
      <w:r>
        <w:t>e</w:t>
      </w:r>
      <w:r>
        <w:t>deral, prefecto Mario L. Soto, informando “que el i</w:t>
      </w:r>
      <w:r>
        <w:t>n</w:t>
      </w:r>
      <w:r>
        <w:t>terno Carlos Alberto Telleldín fue visitado por el Sr. Héctor Vergéz en fechas 21/02/95 y 23/02/95”.</w:t>
      </w:r>
    </w:p>
    <w:p w:rsidR="00224567" w:rsidRDefault="00224567">
      <w:pPr>
        <w:widowControl w:val="0"/>
        <w:tabs>
          <w:tab w:val="center" w:pos="0"/>
        </w:tabs>
      </w:pPr>
      <w:r>
        <w:tab/>
        <w:t>En oportunidad de recibírsele declar</w:t>
      </w:r>
      <w:r>
        <w:t>a</w:t>
      </w:r>
      <w:r>
        <w:t>ción testimonial a Héctor Pedro Vergéz en la causa antes aludida, desconociéndose, al parecer, la concreta imp</w:t>
      </w:r>
      <w:r>
        <w:t>u</w:t>
      </w:r>
      <w:r>
        <w:t>tación que se le formulara, éste sólo fue preguntado ace</w:t>
      </w:r>
      <w:r>
        <w:t>r</w:t>
      </w:r>
      <w:r>
        <w:t>ca de si entrevistó en la cárcel a Telleldín, respondiendo de modo afirmativo. Dijo que lo hizo “por haber tenido una impo</w:t>
      </w:r>
      <w:r>
        <w:t>r</w:t>
      </w:r>
      <w:r>
        <w:t>tante amistad con el padre” y que “valiéndose de tal argumento pretendió, sin éxito, lograr datos para el e</w:t>
      </w:r>
      <w:r>
        <w:t>s</w:t>
      </w:r>
      <w:r>
        <w:t>clar</w:t>
      </w:r>
      <w:r>
        <w:t>e</w:t>
      </w:r>
      <w:r>
        <w:t xml:space="preserve">cimiento del hecho de </w:t>
      </w:r>
      <w:smartTag w:uri="urn:schemas-microsoft-com:office:smarttags" w:element="PersonName">
        <w:smartTagPr>
          <w:attr w:name="ProductID" w:val="la A.M"/>
        </w:smartTagPr>
        <w:r>
          <w:t>la A.M</w:t>
        </w:r>
      </w:smartTag>
      <w:r>
        <w:t xml:space="preserve">.I.A.”. Reconoció Vergéz haberle dado dos mil pesos ($2.000) a </w:t>
      </w:r>
      <w:smartTag w:uri="urn:schemas-microsoft-com:office:smarttags" w:element="PersonName">
        <w:smartTagPr>
          <w:attr w:name="ProductID" w:val="la Sra."/>
        </w:smartTagPr>
        <w:r>
          <w:t>la Sra.</w:t>
        </w:r>
      </w:smartTag>
      <w:r>
        <w:t xml:space="preserve"> de T</w:t>
      </w:r>
      <w:r>
        <w:t>e</w:t>
      </w:r>
      <w:r>
        <w:t>lleldín para que pudiera pagar una fianza en el juzgado del Dr. Marquevich.</w:t>
      </w:r>
    </w:p>
    <w:p w:rsidR="00224567" w:rsidRDefault="00224567">
      <w:pPr>
        <w:widowControl w:val="0"/>
        <w:tabs>
          <w:tab w:val="center" w:pos="0"/>
        </w:tabs>
      </w:pPr>
      <w:r>
        <w:tab/>
        <w:t>Por último, Vergéz destacó que sus i</w:t>
      </w:r>
      <w:r>
        <w:t>n</w:t>
      </w:r>
      <w:r>
        <w:t xml:space="preserve">tentos no obtuvieron el resultado que logró </w:t>
      </w:r>
      <w:smartTag w:uri="urn:schemas-microsoft-com:office:smarttags" w:element="PersonName">
        <w:smartTagPr>
          <w:attr w:name="ProductID" w:val="la Dra. Riva"/>
        </w:smartTagPr>
        <w:r>
          <w:t>la Dra. Riva</w:t>
        </w:r>
      </w:smartTag>
      <w:r>
        <w:t xml:space="preserve"> Aramayo.</w:t>
      </w:r>
    </w:p>
    <w:p w:rsidR="00224567" w:rsidRDefault="00224567">
      <w:pPr>
        <w:widowControl w:val="0"/>
        <w:tabs>
          <w:tab w:val="center" w:pos="0"/>
        </w:tabs>
      </w:pPr>
      <w:r>
        <w:tab/>
        <w:t>Al deducir, el 30 de marzo de 1996, ante el Juzgado Federal nº 2 de San Isidro, provincia de Buenos Aires, una acción de hábeas hábeas, Ana María Bor</w:t>
      </w:r>
      <w:r>
        <w:t>a</w:t>
      </w:r>
      <w:r>
        <w:t>gni se refirió a las conversaciones que tuvo con el cap</w:t>
      </w:r>
      <w:r>
        <w:t>i</w:t>
      </w:r>
      <w:r>
        <w:t>tán o mayor Vergéz y con Acosta, otro militar de igual j</w:t>
      </w:r>
      <w:r>
        <w:t>e</w:t>
      </w:r>
      <w:r>
        <w:t>rarquía, quienes visitaron a su marido en el Penal de C</w:t>
      </w:r>
      <w:r>
        <w:t>a</w:t>
      </w:r>
      <w:r>
        <w:t>seros en num</w:t>
      </w:r>
      <w:r>
        <w:t>e</w:t>
      </w:r>
      <w:r>
        <w:t>rosas oportunidades (causa nº 549).</w:t>
      </w:r>
    </w:p>
    <w:p w:rsidR="00224567" w:rsidRDefault="00224567">
      <w:pPr>
        <w:widowControl w:val="0"/>
        <w:tabs>
          <w:tab w:val="center" w:pos="0"/>
        </w:tabs>
      </w:pPr>
      <w:r>
        <w:tab/>
        <w:t>Al desistir Boragni de la acción, se declaró la incompetencia del Juzgado Federal nº 2 de San Isidro y quedó radicada la causa en el Juzgado N</w:t>
      </w:r>
      <w:r>
        <w:t>a</w:t>
      </w:r>
      <w:r>
        <w:t>cional en lo Criminal de Instrucción nº 23, Secretaría nº 158, r</w:t>
      </w:r>
      <w:r>
        <w:t>e</w:t>
      </w:r>
      <w:r>
        <w:t>gistrada bajo el nº 37.323.</w:t>
      </w:r>
    </w:p>
    <w:p w:rsidR="00224567" w:rsidRDefault="00224567">
      <w:pPr>
        <w:widowControl w:val="0"/>
        <w:tabs>
          <w:tab w:val="center" w:pos="0"/>
        </w:tabs>
      </w:pPr>
      <w:r>
        <w:tab/>
        <w:t>En dicho proceso prestaron declar</w:t>
      </w:r>
      <w:r>
        <w:t>a</w:t>
      </w:r>
      <w:r>
        <w:t>ción testimonial Vergéz y Acosta; el primero reconoció, a fs. 49/50 vta., haber entrevistado a Telleldín tanto en la s</w:t>
      </w:r>
      <w:r>
        <w:t>e</w:t>
      </w:r>
      <w:r>
        <w:t>de del Juzgado Federal nº 9 de esta ciudad como en su l</w:t>
      </w:r>
      <w:r>
        <w:t>u</w:t>
      </w:r>
      <w:r>
        <w:t>gar de detención.</w:t>
      </w:r>
    </w:p>
    <w:p w:rsidR="00224567" w:rsidRDefault="00224567">
      <w:pPr>
        <w:widowControl w:val="0"/>
        <w:tabs>
          <w:tab w:val="center" w:pos="0"/>
        </w:tabs>
      </w:pPr>
      <w:r>
        <w:rPr>
          <w:b/>
          <w:bCs/>
        </w:rPr>
        <w:tab/>
        <w:t>C.2)</w:t>
      </w:r>
      <w:r>
        <w:t xml:space="preserve"> La primer alarma de la suma de “irregularidades” que se irán describiendo, la dio Telle</w:t>
      </w:r>
      <w:r>
        <w:t>l</w:t>
      </w:r>
      <w:r>
        <w:t>dín al exponer las “visitas” del capitán Vergéz, las que en modo alguno constaban en el pr</w:t>
      </w:r>
      <w:r>
        <w:t>o</w:t>
      </w:r>
      <w:r>
        <w:t>ceso.</w:t>
      </w:r>
    </w:p>
    <w:p w:rsidR="00224567" w:rsidRDefault="00224567">
      <w:pPr>
        <w:widowControl w:val="0"/>
        <w:tabs>
          <w:tab w:val="center" w:pos="0"/>
        </w:tabs>
      </w:pPr>
      <w:r>
        <w:tab/>
        <w:t>“Visitas” que, peor aún, fueron urd</w:t>
      </w:r>
      <w:r>
        <w:t>i</w:t>
      </w:r>
      <w:r>
        <w:t>das desde el juzgado instructor, según surge de las con</w:t>
      </w:r>
      <w:r>
        <w:t>s</w:t>
      </w:r>
      <w:r>
        <w:t>tancias de la causa. Así, a fs. 8206 obra un informe del 24 de enero de 1995, suscripto por el secretario Carlos A. Velasco, en el que hizo saber al magistrado que en esa f</w:t>
      </w:r>
      <w:r>
        <w:t>e</w:t>
      </w:r>
      <w:r>
        <w:t>cha “se presentó en S</w:t>
      </w:r>
      <w:r>
        <w:t>e</w:t>
      </w:r>
      <w:r>
        <w:t>cretaría quien dijo ser HECTOR PEDRO VERGEZ, acreditando su identidad con el D.N.I. nro. 7.361.705, manifestando ser pariente de Carlos Alberto T</w:t>
      </w:r>
      <w:r>
        <w:t>e</w:t>
      </w:r>
      <w:r>
        <w:t>lleldín y solicitando autorización para mantener una co</w:t>
      </w:r>
      <w:r>
        <w:t>n</w:t>
      </w:r>
      <w:r>
        <w:t xml:space="preserve">versación con el nombrado en </w:t>
      </w:r>
      <w:smartTag w:uri="urn:schemas-microsoft-com:office:smarttags" w:element="PersonName">
        <w:smartTagPr>
          <w:attr w:name="ProductID" w:val="la Unidad"/>
        </w:smartTagPr>
        <w:r>
          <w:t>la Unidad</w:t>
        </w:r>
      </w:smartTag>
      <w:r>
        <w:t xml:space="preserve"> nro. 28 del Serv</w:t>
      </w:r>
      <w:r>
        <w:t>i</w:t>
      </w:r>
      <w:r>
        <w:t>cio Penitenciario Federal”.</w:t>
      </w:r>
    </w:p>
    <w:p w:rsidR="00224567" w:rsidRDefault="00224567">
      <w:pPr>
        <w:widowControl w:val="0"/>
        <w:tabs>
          <w:tab w:val="center" w:pos="0"/>
        </w:tabs>
      </w:pPr>
      <w:r>
        <w:tab/>
        <w:t>En la misma fecha, el Dr. Galeano a</w:t>
      </w:r>
      <w:r>
        <w:t>u</w:t>
      </w:r>
      <w:r>
        <w:t>torizó la entrevista solicitada, disponiendo se libre el corre</w:t>
      </w:r>
      <w:r>
        <w:t>s</w:t>
      </w:r>
      <w:r>
        <w:t>pondiente despacho telegráfico.</w:t>
      </w:r>
    </w:p>
    <w:p w:rsidR="00224567" w:rsidRDefault="00224567">
      <w:pPr>
        <w:widowControl w:val="0"/>
        <w:tabs>
          <w:tab w:val="center" w:pos="0"/>
        </w:tabs>
      </w:pPr>
      <w:r>
        <w:tab/>
        <w:t>A fs. 8208 luce otro informe del s</w:t>
      </w:r>
      <w:r>
        <w:t>e</w:t>
      </w:r>
      <w:r>
        <w:t xml:space="preserve">cretario Velasco, también del 24 de enero de 1995, en el que dejó constancia de un “llamado telefónico de </w:t>
      </w:r>
      <w:smartTag w:uri="urn:schemas-microsoft-com:office:smarttags" w:element="PersonName">
        <w:smartTagPr>
          <w:attr w:name="ProductID" w:val="la Unidad"/>
        </w:smartTagPr>
        <w:r>
          <w:t>la Unidad</w:t>
        </w:r>
      </w:smartTag>
      <w:r>
        <w:t xml:space="preserve"> nro. 28 siendo informado que por reglamentos carcelarios no se permiten entrevistas entre detenidos y familiares en dicha Unidad”.</w:t>
      </w:r>
    </w:p>
    <w:p w:rsidR="00224567" w:rsidRDefault="00224567">
      <w:pPr>
        <w:widowControl w:val="0"/>
        <w:tabs>
          <w:tab w:val="center" w:pos="0"/>
        </w:tabs>
      </w:pPr>
      <w:r>
        <w:tab/>
        <w:t>A fs. 8619, el Dr. Carlos A. Velasco informa que el 30 de enero de 1995 nuevamente se pr</w:t>
      </w:r>
      <w:r>
        <w:t>e</w:t>
      </w:r>
      <w:r>
        <w:t>sentó en la secretaría Héctor Pedro Vergéz, “quien m</w:t>
      </w:r>
      <w:r>
        <w:t>a</w:t>
      </w:r>
      <w:r>
        <w:t>nifestó ser allegado de Carlos Alberto Telleldín y solicitando mant</w:t>
      </w:r>
      <w:r>
        <w:t>e</w:t>
      </w:r>
      <w:r>
        <w:t>ner una entrevista con el nombrado. Conforme lo oportun</w:t>
      </w:r>
      <w:r>
        <w:t>a</w:t>
      </w:r>
      <w:r>
        <w:t>mente dispuesto por el Tribunal a dicho respecto se real</w:t>
      </w:r>
      <w:r>
        <w:t>i</w:t>
      </w:r>
      <w:r>
        <w:t xml:space="preserve">zó la entrevista mencionada en </w:t>
      </w:r>
      <w:smartTag w:uri="urn:schemas-microsoft-com:office:smarttags" w:element="PersonName">
        <w:smartTagPr>
          <w:attr w:name="ProductID" w:val="la Secretar￭a"/>
        </w:smartTagPr>
        <w:r>
          <w:t>la Secretaría</w:t>
        </w:r>
      </w:smartTag>
      <w:r>
        <w:t>” (sic).</w:t>
      </w:r>
    </w:p>
    <w:p w:rsidR="00224567" w:rsidRDefault="00224567">
      <w:pPr>
        <w:widowControl w:val="0"/>
      </w:pPr>
      <w:r>
        <w:tab/>
        <w:t>Luce a fs. 8749 la nota del 2 de f</w:t>
      </w:r>
      <w:r>
        <w:t>e</w:t>
      </w:r>
      <w:r>
        <w:t>brero de 1995, firmada por el secretario De Gamas que reza lo siguiente: “que en el día de la fecha se presentó en Secretaría el Sr. HECTOR PEDRO VERGEZ de la filiación ya consignada en autos, quien mantuvo una entrevista con el detenido CARLOS ALBERTO T</w:t>
      </w:r>
      <w:r>
        <w:t>E</w:t>
      </w:r>
      <w:r>
        <w:t>LLELDÍN en estos estrados por el lapso de media hora aproximadamente conforme lo oportun</w:t>
      </w:r>
      <w:r>
        <w:t>a</w:t>
      </w:r>
      <w:r>
        <w:t>mente dispuesto por el Tribunal a dicho respecto a fs. 8206" (sic).</w:t>
      </w:r>
    </w:p>
    <w:p w:rsidR="00224567" w:rsidRDefault="00224567">
      <w:pPr>
        <w:widowControl w:val="0"/>
        <w:tabs>
          <w:tab w:val="center" w:pos="0"/>
        </w:tabs>
      </w:pPr>
      <w:r>
        <w:tab/>
        <w:t>Con lo expuesto queda patentiz</w:t>
      </w:r>
      <w:r>
        <w:t>a</w:t>
      </w:r>
      <w:r>
        <w:t>do, de modo manifiesto, el irregular proceder de los funcion</w:t>
      </w:r>
      <w:r>
        <w:t>a</w:t>
      </w:r>
      <w:r>
        <w:t>rios del juzgado, dado que asentaron falsamente, primero, que Vergéz invocó ser “pariente” de Telleldín y luego un “allegado”; todo ello, para facilitar el trabajo del cap</w:t>
      </w:r>
      <w:r>
        <w:t>i</w:t>
      </w:r>
      <w:r>
        <w:t xml:space="preserve">tán Héctor Pedro Vergéz, quien junto con Daniel Romero, ambos enviados por </w:t>
      </w:r>
      <w:smartTag w:uri="urn:schemas-microsoft-com:office:smarttags" w:element="PersonName">
        <w:smartTagPr>
          <w:attr w:name="ProductID" w:val="la Secretar￭a"/>
        </w:smartTagPr>
        <w:r>
          <w:t>la Secretaría</w:t>
        </w:r>
      </w:smartTag>
      <w:r>
        <w:t xml:space="preserve"> de Inteligencia de Est</w:t>
      </w:r>
      <w:r>
        <w:t>a</w:t>
      </w:r>
      <w:r>
        <w:t>do, grabaron la conversaciones que mantuvieron con Telle</w:t>
      </w:r>
      <w:r>
        <w:t>l</w:t>
      </w:r>
      <w:r>
        <w:t>dín, aportando los casetes obt</w:t>
      </w:r>
      <w:r>
        <w:t>e</w:t>
      </w:r>
      <w:r>
        <w:t>nidos.</w:t>
      </w:r>
    </w:p>
    <w:p w:rsidR="00224567" w:rsidRDefault="00224567">
      <w:pPr>
        <w:widowControl w:val="0"/>
        <w:tabs>
          <w:tab w:val="center" w:pos="0"/>
        </w:tabs>
      </w:pPr>
      <w:r>
        <w:tab/>
        <w:t>Más aún, resulta increíble que en un proceso en el que se investiga un cruento hecho de terr</w:t>
      </w:r>
      <w:r>
        <w:t>o</w:t>
      </w:r>
      <w:r>
        <w:t>rismo, la sola invocación de la calidad de pariente o allegado haya bastado para autorizar a un sujeto descon</w:t>
      </w:r>
      <w:r>
        <w:t>o</w:t>
      </w:r>
      <w:r>
        <w:t>cido a entrevistar, sin más, al único detenido en el pr</w:t>
      </w:r>
      <w:r>
        <w:t>o</w:t>
      </w:r>
      <w:r>
        <w:t>ceso, franqueándole el acceso al juzgado y fac</w:t>
      </w:r>
      <w:r>
        <w:t>i</w:t>
      </w:r>
      <w:r>
        <w:t>litándole a tal fin sus dependencias.</w:t>
      </w:r>
    </w:p>
    <w:p w:rsidR="00224567" w:rsidRDefault="00224567">
      <w:pPr>
        <w:widowControl w:val="0"/>
        <w:tabs>
          <w:tab w:val="center" w:pos="0"/>
        </w:tabs>
      </w:pPr>
      <w:r>
        <w:tab/>
        <w:t>Si ese proceder es desaconsejado y p</w:t>
      </w:r>
      <w:r>
        <w:t>e</w:t>
      </w:r>
      <w:r>
        <w:t>ligr</w:t>
      </w:r>
      <w:r>
        <w:t>o</w:t>
      </w:r>
      <w:r>
        <w:t>so en relación a hechos menores, extremo que no podía escapar a experimentados funcionarios de la justicia p</w:t>
      </w:r>
      <w:r>
        <w:t>e</w:t>
      </w:r>
      <w:r>
        <w:t>nal, lo era de modo superlativo en el caso bajo examen, por lo que ello deja al descubierto el verdad</w:t>
      </w:r>
      <w:r>
        <w:t>e</w:t>
      </w:r>
      <w:r>
        <w:t>ro motivo de tales encuentros.</w:t>
      </w:r>
    </w:p>
    <w:p w:rsidR="00224567" w:rsidRDefault="00224567">
      <w:pPr>
        <w:widowControl w:val="0"/>
        <w:tabs>
          <w:tab w:val="center" w:pos="0"/>
        </w:tabs>
      </w:pPr>
      <w:r>
        <w:tab/>
        <w:t>Por lo expuesto y en base a los d</w:t>
      </w:r>
      <w:r>
        <w:t>i</w:t>
      </w:r>
      <w:r>
        <w:t>chos de Vergéz y Romero, el Dr. Galeano y los secretarios V</w:t>
      </w:r>
      <w:r>
        <w:t>e</w:t>
      </w:r>
      <w:r>
        <w:t>lasco y De Gamas, en modo alguno podían ignorar quienes eran los nombrados ni el cometido que ellos estaban cu</w:t>
      </w:r>
      <w:r>
        <w:t>m</w:t>
      </w:r>
      <w:r>
        <w:t>pliendo.</w:t>
      </w:r>
    </w:p>
    <w:p w:rsidR="00224567" w:rsidRDefault="00224567">
      <w:pPr>
        <w:widowControl w:val="0"/>
        <w:tabs>
          <w:tab w:val="center" w:pos="0"/>
        </w:tabs>
      </w:pPr>
      <w:r>
        <w:tab/>
        <w:t>Las circunstancias arriba señaladas constituyeron la primer maniobra tendiente a obtener i</w:t>
      </w:r>
      <w:r>
        <w:t>n</w:t>
      </w:r>
      <w:r>
        <w:t xml:space="preserve">formación de boca del detenido Telleldín al margen de la normativa procesal, en franca violación a las garantías constitucionales plasmadas en el art. 18 de </w:t>
      </w:r>
      <w:smartTag w:uri="urn:schemas-microsoft-com:office:smarttags" w:element="PersonName">
        <w:smartTagPr>
          <w:attr w:name="ProductID" w:val="la Carta Magna."/>
        </w:smartTagPr>
        <w:r>
          <w:t>la Carta Ma</w:t>
        </w:r>
        <w:r>
          <w:t>g</w:t>
        </w:r>
        <w:r>
          <w:t>na.</w:t>
        </w:r>
      </w:smartTag>
    </w:p>
    <w:p w:rsidR="00224567" w:rsidRDefault="00224567">
      <w:pPr>
        <w:widowControl w:val="0"/>
        <w:tabs>
          <w:tab w:val="center" w:pos="0"/>
        </w:tabs>
      </w:pPr>
      <w:r>
        <w:rPr>
          <w:b/>
          <w:bCs/>
        </w:rPr>
        <w:tab/>
        <w:t>C.3)</w:t>
      </w:r>
      <w:r>
        <w:t xml:space="preserve"> En relación a la actividad de</w:t>
      </w:r>
      <w:r>
        <w:t>s</w:t>
      </w:r>
      <w:r>
        <w:t>plegada por Héctor Pedro Vergéz, es preciso resaltar que Telleldín, en su declaración indagatoria del 6 de agosto de 1994 (fs. 2197/2213), se refirió al hecho que protag</w:t>
      </w:r>
      <w:r>
        <w:t>o</w:t>
      </w:r>
      <w:r>
        <w:t xml:space="preserve">nizó el 14 de julio de ese año, a la detención de Pérez y al posterior traslado de éste a </w:t>
      </w:r>
      <w:smartTag w:uri="urn:schemas-microsoft-com:office:smarttags" w:element="PersonName">
        <w:smartTagPr>
          <w:attr w:name="ProductID" w:val="la Brigada"/>
        </w:smartTagPr>
        <w:r>
          <w:t>la Brigada</w:t>
        </w:r>
      </w:smartTag>
      <w:r>
        <w:t xml:space="preserve"> de Investig</w:t>
      </w:r>
      <w:r>
        <w:t>a</w:t>
      </w:r>
      <w:r>
        <w:t>ciones de Vicente López; mencionó además las posteriores negociaci</w:t>
      </w:r>
      <w:r>
        <w:t>o</w:t>
      </w:r>
      <w:r>
        <w:t>nes con Bottegal.</w:t>
      </w:r>
    </w:p>
    <w:p w:rsidR="00224567" w:rsidRDefault="00224567">
      <w:pPr>
        <w:widowControl w:val="0"/>
        <w:tabs>
          <w:tab w:val="center" w:pos="0"/>
        </w:tabs>
      </w:pPr>
      <w:r>
        <w:tab/>
        <w:t>Ahora bien, hasta el 30 de enero de 1995, fecha en que se celebró la “entrevista” e</w:t>
      </w:r>
      <w:r>
        <w:t>n</w:t>
      </w:r>
      <w:r>
        <w:t>tre Vergéz y T</w:t>
      </w:r>
      <w:r>
        <w:t>e</w:t>
      </w:r>
      <w:r>
        <w:t>lleldín en la sede del juzgado, no consta en la causa ninguna medida encaminada a investigar aqu</w:t>
      </w:r>
      <w:r>
        <w:t>e</w:t>
      </w:r>
      <w:r>
        <w:t>llos hechos. Al hacerlo, entre varias diligencias más, se dispuso lo s</w:t>
      </w:r>
      <w:r>
        <w:t>i</w:t>
      </w:r>
      <w:r>
        <w:t>guiente: “Solicít</w:t>
      </w:r>
      <w:r>
        <w:t>e</w:t>
      </w:r>
      <w:r>
        <w:t xml:space="preserve">se a </w:t>
      </w:r>
      <w:smartTag w:uri="urn:schemas-microsoft-com:office:smarttags" w:element="PersonName">
        <w:smartTagPr>
          <w:attr w:name="ProductID" w:val="la Brigada"/>
        </w:smartTagPr>
        <w:r>
          <w:t>la Brigada</w:t>
        </w:r>
      </w:smartTag>
      <w:r>
        <w:t xml:space="preserve"> de Vicente López informe a este Tribunal las entradas registradas que hubiere ten</w:t>
      </w:r>
      <w:r>
        <w:t>i</w:t>
      </w:r>
      <w:r>
        <w:t xml:space="preserve">do HUGO ANTONIO PEREZ a esa dependencia en el mes de julio de </w:t>
      </w:r>
      <w:smartTag w:uri="urn:schemas-microsoft-com:office:smarttags" w:element="metricconverter">
        <w:smartTagPr>
          <w:attr w:name="ProductID" w:val="1994”"/>
        </w:smartTagPr>
        <w:r>
          <w:t>1994”</w:t>
        </w:r>
      </w:smartTag>
      <w:r>
        <w:t>.</w:t>
      </w:r>
    </w:p>
    <w:p w:rsidR="00224567" w:rsidRDefault="00224567">
      <w:pPr>
        <w:widowControl w:val="0"/>
        <w:tabs>
          <w:tab w:val="center" w:pos="0"/>
        </w:tabs>
      </w:pPr>
      <w:r>
        <w:tab/>
        <w:t>En respuesta a dicho oficio (fs. 9107/9110), donde se informa acerca de la detención por averiguación de antecedentes de Hugo Antonio Pérez, el juez federal, el 17 de febrero de 1995, proveyó lo s</w:t>
      </w:r>
      <w:r>
        <w:t>i</w:t>
      </w:r>
      <w:r>
        <w:t xml:space="preserve">guiente: </w:t>
      </w:r>
      <w:r>
        <w:rPr>
          <w:b/>
        </w:rPr>
        <w:t>“</w:t>
      </w:r>
      <w:r>
        <w:t>Por recibido, agréguese el i</w:t>
      </w:r>
      <w:r>
        <w:t>n</w:t>
      </w:r>
      <w:r>
        <w:t xml:space="preserve">forme remitido por el Jefe de </w:t>
      </w:r>
      <w:smartTag w:uri="urn:schemas-microsoft-com:office:smarttags" w:element="PersonName">
        <w:smartTagPr>
          <w:attr w:name="ProductID" w:val="la Brigada"/>
        </w:smartTagPr>
        <w:r>
          <w:t>la Brigada</w:t>
        </w:r>
      </w:smartTag>
      <w:r>
        <w:t xml:space="preserve"> de Vicente López respecto de Hugo Antonio Pérez y téngase pr</w:t>
      </w:r>
      <w:r>
        <w:t>e</w:t>
      </w:r>
      <w:r>
        <w:t>sente”.</w:t>
      </w:r>
    </w:p>
    <w:p w:rsidR="00224567" w:rsidRDefault="00224567">
      <w:pPr>
        <w:widowControl w:val="0"/>
        <w:tabs>
          <w:tab w:val="center" w:pos="0"/>
        </w:tabs>
      </w:pPr>
      <w:r>
        <w:tab/>
        <w:t>No puede soslayarse que los primeros intentos de Vergéz por entrevistar a Telleldín, al menos registrados en la causa, datan del 24 de enero de 1995 (fs. 8.206).</w:t>
      </w:r>
    </w:p>
    <w:p w:rsidR="00224567" w:rsidRDefault="00224567">
      <w:pPr>
        <w:widowControl w:val="0"/>
        <w:tabs>
          <w:tab w:val="center" w:pos="0"/>
        </w:tabs>
      </w:pPr>
      <w:r>
        <w:rPr>
          <w:b/>
          <w:bCs/>
        </w:rPr>
        <w:tab/>
        <w:t>C.4)</w:t>
      </w:r>
      <w:r>
        <w:t xml:space="preserve"> </w:t>
      </w:r>
      <w:r>
        <w:rPr>
          <w:bCs/>
        </w:rPr>
        <w:t>Héctor Pedro Vergéz,</w:t>
      </w:r>
      <w:r>
        <w:t xml:space="preserve"> capitán r</w:t>
      </w:r>
      <w:r>
        <w:t>e</w:t>
      </w:r>
      <w:r>
        <w:t>tirado del Ejército Argentino, prestó declaración testim</w:t>
      </w:r>
      <w:r>
        <w:t>o</w:t>
      </w:r>
      <w:r>
        <w:t>nial en el debate el 30 de enero de 2003.</w:t>
      </w:r>
    </w:p>
    <w:p w:rsidR="00224567" w:rsidRDefault="00224567">
      <w:pPr>
        <w:widowControl w:val="0"/>
        <w:tabs>
          <w:tab w:val="center" w:pos="0"/>
        </w:tabs>
      </w:pPr>
      <w:r>
        <w:tab/>
        <w:t>Admitió haber intervenido en la inve</w:t>
      </w:r>
      <w:r>
        <w:t>s</w:t>
      </w:r>
      <w:r>
        <w:t>tigación de la causa A.M.I.A. debido, entre otras razones, a que un camarada de armas, el cap</w:t>
      </w:r>
      <w:r>
        <w:t>i</w:t>
      </w:r>
      <w:r>
        <w:t xml:space="preserve">tán Acosta, le presentó a Daniel Romero, “perteneciente a </w:t>
      </w:r>
      <w:smartTag w:uri="urn:schemas-microsoft-com:office:smarttags" w:element="PersonName">
        <w:smartTagPr>
          <w:attr w:name="ProductID" w:val="la S.I"/>
        </w:smartTagPr>
        <w:r>
          <w:t>la S.I</w:t>
        </w:r>
      </w:smartTag>
      <w:r>
        <w:t>.D.E.”, quien al enterarse que conocía a Telleldín le preguntó si no se animaba a colaborar para que éste último hablara, ya que era una fuente muy importante; propuesta que aceptó, sol</w:t>
      </w:r>
      <w:r>
        <w:t>i</w:t>
      </w:r>
      <w:r>
        <w:t>citando que de su actuación tuviese conocimiento el Dr. Galeano. Explicó que la primera entrevista la mantuvo con el imputado en la sede del juzgado, tratando siempre de convencerlo de que diera pistas o elementos para esclar</w:t>
      </w:r>
      <w:r>
        <w:t>e</w:t>
      </w:r>
      <w:r>
        <w:t xml:space="preserve">cer la masacre de </w:t>
      </w:r>
      <w:smartTag w:uri="urn:schemas-microsoft-com:office:smarttags" w:element="PersonName">
        <w:smartTagPr>
          <w:attr w:name="ProductID" w:val="la A.M"/>
        </w:smartTagPr>
        <w:r>
          <w:t>la A.M</w:t>
        </w:r>
      </w:smartTag>
      <w:r>
        <w:t>.I.A.</w:t>
      </w:r>
    </w:p>
    <w:p w:rsidR="00224567" w:rsidRDefault="00224567">
      <w:pPr>
        <w:widowControl w:val="0"/>
        <w:tabs>
          <w:tab w:val="center" w:pos="0"/>
        </w:tabs>
      </w:pPr>
      <w:r>
        <w:tab/>
        <w:t>Vergéz recalcó que el Dr. Galeano t</w:t>
      </w:r>
      <w:r>
        <w:t>e</w:t>
      </w:r>
      <w:r>
        <w:t>nía pleno conocimiento de las entrevistas que mantuvo con Telleldín y de la investigación que realizaba junto con Daniel Romero; agregó que pidió que se grabaran las co</w:t>
      </w:r>
      <w:r>
        <w:t>n</w:t>
      </w:r>
      <w:r>
        <w:t>versaciones sin conocimiento de Telleldín, quedándose R</w:t>
      </w:r>
      <w:r>
        <w:t>o</w:t>
      </w:r>
      <w:r>
        <w:t>mero con las cintas de audio y que la primera reunión se llevó a cabo en el ju</w:t>
      </w:r>
      <w:r>
        <w:t>z</w:t>
      </w:r>
      <w:r>
        <w:t>gado y las siguientes en la cárcel, habiéndose entrevistado, aproximadamente, en cinco oport</w:t>
      </w:r>
      <w:r>
        <w:t>u</w:t>
      </w:r>
      <w:r>
        <w:t>nidades, sin ofrecer nada a cambio de la información que obtuviera.</w:t>
      </w:r>
    </w:p>
    <w:p w:rsidR="00224567" w:rsidRDefault="00224567">
      <w:pPr>
        <w:widowControl w:val="0"/>
        <w:tabs>
          <w:tab w:val="center" w:pos="0"/>
        </w:tabs>
      </w:pPr>
      <w:r>
        <w:tab/>
        <w:t>Recordó que cuando empezó su invest</w:t>
      </w:r>
      <w:r>
        <w:t>i</w:t>
      </w:r>
      <w:r>
        <w:t>gación, presenció una charla de Romero con Ana Boragni, en la que la nombrada pidió que la ayudaran con tres mil p</w:t>
      </w:r>
      <w:r>
        <w:t>e</w:t>
      </w:r>
      <w:r>
        <w:t>sos, a fin de afrontar una caución en un proceso por din</w:t>
      </w:r>
      <w:r>
        <w:t>e</w:t>
      </w:r>
      <w:r>
        <w:t>ro fa</w:t>
      </w:r>
      <w:r>
        <w:t>l</w:t>
      </w:r>
      <w:r>
        <w:t>so.</w:t>
      </w:r>
    </w:p>
    <w:p w:rsidR="00224567" w:rsidRDefault="00224567">
      <w:pPr>
        <w:widowControl w:val="0"/>
        <w:tabs>
          <w:tab w:val="center" w:pos="0"/>
        </w:tabs>
      </w:pPr>
      <w:r>
        <w:tab/>
        <w:t xml:space="preserve">El testigo destacó que actuaba como investigador, como un colaborador de </w:t>
      </w:r>
      <w:smartTag w:uri="urn:schemas-microsoft-com:office:smarttags" w:element="PersonName">
        <w:smartTagPr>
          <w:attr w:name="ProductID" w:val="la S.I"/>
        </w:smartTagPr>
        <w:r>
          <w:t>la S.I</w:t>
        </w:r>
      </w:smartTag>
      <w:r>
        <w:t xml:space="preserve">.D.E., “o sea, a través de Romero que era un hombre orgánico de </w:t>
      </w:r>
      <w:smartTag w:uri="urn:schemas-microsoft-com:office:smarttags" w:element="PersonName">
        <w:smartTagPr>
          <w:attr w:name="ProductID" w:val="la S.I"/>
        </w:smartTagPr>
        <w:r>
          <w:t>la S.I</w:t>
        </w:r>
      </w:smartTag>
      <w:r>
        <w:t>.D.E.”. Admitió también haber estado destinado en org</w:t>
      </w:r>
      <w:r>
        <w:t>a</w:t>
      </w:r>
      <w:r>
        <w:t>nismos militares de inteligencia, por lo que contaba con aptitud para ello.</w:t>
      </w:r>
    </w:p>
    <w:p w:rsidR="00224567" w:rsidRDefault="00224567">
      <w:pPr>
        <w:widowControl w:val="0"/>
        <w:tabs>
          <w:tab w:val="center" w:pos="0"/>
        </w:tabs>
      </w:pPr>
      <w:r>
        <w:tab/>
        <w:t>En cuanto a su relación con Romero d</w:t>
      </w:r>
      <w:r>
        <w:t>i</w:t>
      </w:r>
      <w:r>
        <w:t>jo que fue casual, dado que lo conoció en una oport</w:t>
      </w:r>
      <w:r>
        <w:t>u</w:t>
      </w:r>
      <w:r>
        <w:t xml:space="preserve">nidad en que concurrió a la casa del capitán de ejército </w:t>
      </w:r>
      <w:r>
        <w:rPr>
          <w:bCs/>
        </w:rPr>
        <w:t>Jorge Acosta</w:t>
      </w:r>
      <w:r>
        <w:t>. Acotó que desconocía si Romero era un agente org</w:t>
      </w:r>
      <w:r>
        <w:t>á</w:t>
      </w:r>
      <w:r>
        <w:t xml:space="preserve">nico o inorgánico de </w:t>
      </w:r>
      <w:smartTag w:uri="urn:schemas-microsoft-com:office:smarttags" w:element="PersonName">
        <w:smartTagPr>
          <w:attr w:name="ProductID" w:val="la S.I"/>
        </w:smartTagPr>
        <w:r>
          <w:t>la S.I</w:t>
        </w:r>
      </w:smartTag>
      <w:r>
        <w:t>.D.E. y que, según le contó, ingresó a ese organismo por ser amigo de Yofre, ex Secr</w:t>
      </w:r>
      <w:r>
        <w:t>e</w:t>
      </w:r>
      <w:r>
        <w:t>tario de Int</w:t>
      </w:r>
      <w:r>
        <w:t>e</w:t>
      </w:r>
      <w:r>
        <w:t>ligencia.</w:t>
      </w:r>
    </w:p>
    <w:p w:rsidR="00224567" w:rsidRDefault="00224567">
      <w:pPr>
        <w:widowControl w:val="0"/>
        <w:tabs>
          <w:tab w:val="center" w:pos="0"/>
        </w:tabs>
      </w:pPr>
      <w:r>
        <w:tab/>
        <w:t xml:space="preserve">Relató que actuó como colaborador de </w:t>
      </w:r>
      <w:smartTag w:uri="urn:schemas-microsoft-com:office:smarttags" w:element="PersonName">
        <w:smartTagPr>
          <w:attr w:name="ProductID" w:val="la S.I"/>
        </w:smartTagPr>
        <w:r>
          <w:t>la S.I</w:t>
        </w:r>
      </w:smartTag>
      <w:r>
        <w:t>.D.E., cobrando una escasa remuneración que le e</w:t>
      </w:r>
      <w:r>
        <w:t>n</w:t>
      </w:r>
      <w:r>
        <w:t>treg</w:t>
      </w:r>
      <w:r>
        <w:t>a</w:t>
      </w:r>
      <w:r>
        <w:t>ba Romero, que fue quien lo llevó a hablar con el Dr. G</w:t>
      </w:r>
      <w:r>
        <w:t>a</w:t>
      </w:r>
      <w:r>
        <w:t>leano.</w:t>
      </w:r>
    </w:p>
    <w:p w:rsidR="00224567" w:rsidRDefault="00224567">
      <w:pPr>
        <w:widowControl w:val="0"/>
        <w:tabs>
          <w:tab w:val="center" w:pos="0"/>
        </w:tabs>
      </w:pPr>
      <w:r>
        <w:tab/>
        <w:t xml:space="preserve">En cuanto a la información que obtuvo de Telleldín, recordó que éste le dijo que entregó </w:t>
      </w:r>
      <w:smartTag w:uri="urn:schemas-microsoft-com:office:smarttags" w:element="PersonName">
        <w:smartTagPr>
          <w:attr w:name="ProductID" w:val="la Trafic"/>
        </w:smartTagPr>
        <w:r>
          <w:t>la Tr</w:t>
        </w:r>
        <w:r>
          <w:t>a</w:t>
        </w:r>
        <w:r>
          <w:t>fic</w:t>
        </w:r>
      </w:smartTag>
      <w:r>
        <w:t xml:space="preserve"> a un hombre con acento centroam</w:t>
      </w:r>
      <w:r>
        <w:t>e</w:t>
      </w:r>
      <w:r>
        <w:t>ricano, a quien se la vendió. También le habló de corrupción policial y del c</w:t>
      </w:r>
      <w:r>
        <w:t>o</w:t>
      </w:r>
      <w:r>
        <w:t>mis</w:t>
      </w:r>
      <w:r>
        <w:t>a</w:t>
      </w:r>
      <w:r>
        <w:t xml:space="preserve">rio </w:t>
      </w:r>
      <w:r>
        <w:rPr>
          <w:bCs/>
        </w:rPr>
        <w:t xml:space="preserve">Ribelli, de quien dijo que lo extorsionó sacándole vehículos, pero </w:t>
      </w:r>
      <w:r>
        <w:t xml:space="preserve">sin vincularlo con el tema A.M.I.A.; </w:t>
      </w:r>
      <w:r>
        <w:rPr>
          <w:bCs/>
        </w:rPr>
        <w:t>suc</w:t>
      </w:r>
      <w:r>
        <w:rPr>
          <w:bCs/>
        </w:rPr>
        <w:t>e</w:t>
      </w:r>
      <w:r>
        <w:rPr>
          <w:bCs/>
        </w:rPr>
        <w:t>diendo esto</w:t>
      </w:r>
      <w:r>
        <w:t>, por lo menos, un año y medio antes de que R</w:t>
      </w:r>
      <w:r>
        <w:t>i</w:t>
      </w:r>
      <w:r>
        <w:t>belli fuese detenido. No recordó el nombre  Sandra  Petr</w:t>
      </w:r>
      <w:r>
        <w:t>u</w:t>
      </w:r>
      <w:r>
        <w:t>cci.</w:t>
      </w:r>
    </w:p>
    <w:p w:rsidR="00224567" w:rsidRDefault="00224567">
      <w:pPr>
        <w:widowControl w:val="0"/>
        <w:tabs>
          <w:tab w:val="center" w:pos="0"/>
        </w:tabs>
      </w:pPr>
      <w:r>
        <w:tab/>
        <w:t>Vergéz estimó que su investigación fue s</w:t>
      </w:r>
      <w:r>
        <w:t>u</w:t>
      </w:r>
      <w:r>
        <w:t>mamente valiosa.</w:t>
      </w:r>
    </w:p>
    <w:p w:rsidR="00224567" w:rsidRDefault="00224567">
      <w:pPr>
        <w:widowControl w:val="0"/>
        <w:tabs>
          <w:tab w:val="center" w:pos="0"/>
        </w:tabs>
      </w:pPr>
      <w:r>
        <w:tab/>
        <w:t xml:space="preserve">También declaró en el debate </w:t>
      </w:r>
      <w:r>
        <w:rPr>
          <w:bCs/>
        </w:rPr>
        <w:t>Daniel Ricardo Romero</w:t>
      </w:r>
      <w:r>
        <w:t>. Previo a ello, el 31 de enero de 2002, el nombrado entregó al Tribunal las cintas de audio que opo</w:t>
      </w:r>
      <w:r>
        <w:t>r</w:t>
      </w:r>
      <w:r>
        <w:t>tunamente le fueron requeridas.</w:t>
      </w:r>
    </w:p>
    <w:p w:rsidR="00224567" w:rsidRDefault="00224567">
      <w:pPr>
        <w:widowControl w:val="0"/>
        <w:tabs>
          <w:tab w:val="center" w:pos="0"/>
        </w:tabs>
      </w:pPr>
      <w:r>
        <w:tab/>
        <w:t xml:space="preserve">Asimismo, cabe precisar que pese a no constar en la causa información fehaciente acerca de que Romero se desempeñó en </w:t>
      </w:r>
      <w:smartTag w:uri="urn:schemas-microsoft-com:office:smarttags" w:element="PersonName">
        <w:smartTagPr>
          <w:attr w:name="ProductID" w:val="la Secretar￭a"/>
        </w:smartTagPr>
        <w:r>
          <w:t>la Secretaría</w:t>
        </w:r>
      </w:smartTag>
      <w:r>
        <w:t xml:space="preserve"> de Inteligencia de Est</w:t>
      </w:r>
      <w:r>
        <w:t>a</w:t>
      </w:r>
      <w:r>
        <w:t>do, fue notificado por ese organismo de la resolución que lo relevaba de la obligación de guardar secreto.</w:t>
      </w:r>
    </w:p>
    <w:p w:rsidR="00224567" w:rsidRDefault="00224567">
      <w:pPr>
        <w:widowControl w:val="0"/>
        <w:tabs>
          <w:tab w:val="center" w:pos="0"/>
        </w:tabs>
      </w:pPr>
      <w:r>
        <w:tab/>
        <w:t>Al deponer,</w:t>
      </w:r>
      <w:r>
        <w:rPr>
          <w:bCs/>
        </w:rPr>
        <w:t xml:space="preserve"> Romero</w:t>
      </w:r>
      <w:r>
        <w:t xml:space="preserve"> precisó que ingr</w:t>
      </w:r>
      <w:r>
        <w:t>e</w:t>
      </w:r>
      <w:r>
        <w:t xml:space="preserve">só a </w:t>
      </w:r>
      <w:smartTag w:uri="urn:schemas-microsoft-com:office:smarttags" w:element="PersonName">
        <w:smartTagPr>
          <w:attr w:name="ProductID" w:val="la S.I"/>
        </w:smartTagPr>
        <w:r>
          <w:t>la S.I</w:t>
        </w:r>
      </w:smartTag>
      <w:r>
        <w:t>.D.E. durante la gestión de Yofre, permaneciendo hasta la llegada del Dr. Anzorreguy.</w:t>
      </w:r>
    </w:p>
    <w:p w:rsidR="00224567" w:rsidRDefault="00224567">
      <w:pPr>
        <w:widowControl w:val="0"/>
        <w:tabs>
          <w:tab w:val="center" w:pos="0"/>
        </w:tabs>
      </w:pPr>
      <w:r>
        <w:tab/>
        <w:t>Acerca de su vinculación con la ca</w:t>
      </w:r>
      <w:r>
        <w:t>u</w:t>
      </w:r>
      <w:r>
        <w:t xml:space="preserve">sa, explicó que vivía muy cerca de </w:t>
      </w:r>
      <w:smartTag w:uri="urn:schemas-microsoft-com:office:smarttags" w:element="PersonName">
        <w:smartTagPr>
          <w:attr w:name="ProductID" w:val="la A.M"/>
        </w:smartTagPr>
        <w:r>
          <w:t>la A.M</w:t>
        </w:r>
      </w:smartTag>
      <w:r>
        <w:t>.I.A., siendo so</w:t>
      </w:r>
      <w:r>
        <w:t>r</w:t>
      </w:r>
      <w:r>
        <w:t>prendido por la explosión en circunstancias que salía de su domicilio, concurriendo al lugar e interesá</w:t>
      </w:r>
      <w:r>
        <w:t>n</w:t>
      </w:r>
      <w:r>
        <w:t>dose en el tema. Luego, explicó, fue conversando con distintas pers</w:t>
      </w:r>
      <w:r>
        <w:t>o</w:t>
      </w:r>
      <w:r>
        <w:t>nas que le aportaron material y contactos que le “perm</w:t>
      </w:r>
      <w:r>
        <w:t>i</w:t>
      </w:r>
      <w:r>
        <w:t>tieron ir avanza</w:t>
      </w:r>
      <w:r>
        <w:t>n</w:t>
      </w:r>
      <w:r>
        <w:t>do en un costado de la investigación”.</w:t>
      </w:r>
    </w:p>
    <w:p w:rsidR="00224567" w:rsidRDefault="00224567">
      <w:pPr>
        <w:widowControl w:val="0"/>
        <w:tabs>
          <w:tab w:val="center" w:pos="0"/>
        </w:tabs>
      </w:pPr>
      <w:r>
        <w:tab/>
        <w:t>Acotó que se acercó a la investig</w:t>
      </w:r>
      <w:r>
        <w:t>a</w:t>
      </w:r>
      <w:r>
        <w:t xml:space="preserve">ción para arrimar material a </w:t>
      </w:r>
      <w:smartTag w:uri="urn:schemas-microsoft-com:office:smarttags" w:element="PersonName">
        <w:smartTagPr>
          <w:attr w:name="ProductID" w:val="la Secretar￭a"/>
        </w:smartTagPr>
        <w:r>
          <w:t>la Secretaría</w:t>
        </w:r>
      </w:smartTag>
      <w:r>
        <w:t xml:space="preserve"> de Inteligencia, r</w:t>
      </w:r>
      <w:r>
        <w:t>e</w:t>
      </w:r>
      <w:r>
        <w:t>firiendo “yo pertenecía a la secretaría, fui asesor del secretario de inteligencia”; aclaró, más tarde, que su f</w:t>
      </w:r>
      <w:r>
        <w:t>i</w:t>
      </w:r>
      <w:r>
        <w:t>nalidad era la realiz</w:t>
      </w:r>
      <w:r>
        <w:t>a</w:t>
      </w:r>
      <w:r>
        <w:t>ción de un libro.</w:t>
      </w:r>
    </w:p>
    <w:p w:rsidR="00224567" w:rsidRDefault="00224567">
      <w:pPr>
        <w:widowControl w:val="0"/>
        <w:tabs>
          <w:tab w:val="center" w:pos="0"/>
        </w:tabs>
      </w:pPr>
      <w:r>
        <w:tab/>
        <w:t xml:space="preserve">A los pocos días, cuando ya tenía un panorama, fue a </w:t>
      </w:r>
      <w:smartTag w:uri="urn:schemas-microsoft-com:office:smarttags" w:element="PersonName">
        <w:smartTagPr>
          <w:attr w:name="ProductID" w:val="la S.I"/>
        </w:smartTagPr>
        <w:r>
          <w:t>la S.I</w:t>
        </w:r>
      </w:smartTag>
      <w:r>
        <w:t>.D.E. donde le transmitió sus impr</w:t>
      </w:r>
      <w:r>
        <w:t>e</w:t>
      </w:r>
      <w:r>
        <w:t>siones al Dr. Allevato, que le manifestó que lo te</w:t>
      </w:r>
      <w:r>
        <w:t>n</w:t>
      </w:r>
      <w:r>
        <w:t>dría en cuenta; al poco tiempo lo conta</w:t>
      </w:r>
      <w:r>
        <w:t>c</w:t>
      </w:r>
      <w:r>
        <w:t>taron con el Dr. Galeano y luego con la llamada “S</w:t>
      </w:r>
      <w:r>
        <w:t>a</w:t>
      </w:r>
      <w:r>
        <w:t>la Patria”.</w:t>
      </w:r>
    </w:p>
    <w:p w:rsidR="00224567" w:rsidRDefault="00224567">
      <w:pPr>
        <w:widowControl w:val="0"/>
        <w:tabs>
          <w:tab w:val="center" w:pos="0"/>
        </w:tabs>
      </w:pPr>
      <w:r>
        <w:tab/>
        <w:t>Explicó que se le acercó el capitán Vergéz, a quien se lo presentó el militar retirado Jorge Acosta, diciéndole que en la provincia de Córdoba había conocido a Telleldín y a su padre y que por ello creía que podía obtener alguna información; circunsta</w:t>
      </w:r>
      <w:r>
        <w:t>n</w:t>
      </w:r>
      <w:r>
        <w:t>cia que motivó que se comunicara con el Dr. De Gamas, en procura de “ver la posibilidad de que Vergéz pudiera dialogar, en algún momento, en el juzgado, con el det</w:t>
      </w:r>
      <w:r>
        <w:t>e</w:t>
      </w:r>
      <w:r>
        <w:t>nido Telleldín”.</w:t>
      </w:r>
    </w:p>
    <w:p w:rsidR="00224567" w:rsidRDefault="00224567">
      <w:pPr>
        <w:widowControl w:val="0"/>
        <w:tabs>
          <w:tab w:val="center" w:pos="0"/>
        </w:tabs>
      </w:pPr>
      <w:r>
        <w:tab/>
        <w:t>Señaló que esa entrevista se llevó a cabo y que el diálogo de Telleldín con Vergéz se grabó, entregándole una copia de la cinta de audio al Dr. De G</w:t>
      </w:r>
      <w:r>
        <w:t>a</w:t>
      </w:r>
      <w:r>
        <w:t>mas; las restantes reuniones, ind</w:t>
      </w:r>
      <w:r>
        <w:t>i</w:t>
      </w:r>
      <w:r>
        <w:t>có, se realizaron en la cárcel.</w:t>
      </w:r>
    </w:p>
    <w:p w:rsidR="00224567" w:rsidRDefault="00224567">
      <w:pPr>
        <w:widowControl w:val="0"/>
        <w:tabs>
          <w:tab w:val="center" w:pos="0"/>
        </w:tabs>
      </w:pPr>
      <w:r>
        <w:tab/>
        <w:t>En cuanto a las entrevistas en el e</w:t>
      </w:r>
      <w:r>
        <w:t>s</w:t>
      </w:r>
      <w:r>
        <w:t>tablecimiento carcelario, Daniel Romero explicó que mie</w:t>
      </w:r>
      <w:r>
        <w:t>n</w:t>
      </w:r>
      <w:r>
        <w:t>tras Vergéz hablaba con Telleldín, él se ocupaba de grabar las conversaciones desde otro lugar, remitiendo luego el producido de ellas al juzgado; admitió que también le e</w:t>
      </w:r>
      <w:r>
        <w:t>n</w:t>
      </w:r>
      <w:r>
        <w:t>tregó copia de las cintas a Brousson, quien trabajaba en lo que después se denominó “Sala Patria”. Interrogado R</w:t>
      </w:r>
      <w:r>
        <w:t>o</w:t>
      </w:r>
      <w:r>
        <w:t>mero acerca de si realizó alguna tarea tendiente a corr</w:t>
      </w:r>
      <w:r>
        <w:t>o</w:t>
      </w:r>
      <w:r>
        <w:t xml:space="preserve">borar la información que obtenían de los diálogos entre Vergéz y Telleldín, respondió que, “supuestamente, eso lo iban a hacer la gente de </w:t>
      </w:r>
      <w:smartTag w:uri="urn:schemas-microsoft-com:office:smarttags" w:element="PersonName">
        <w:smartTagPr>
          <w:attr w:name="ProductID" w:val="la Sala Patria"/>
        </w:smartTagPr>
        <w:r>
          <w:t>la Sala Patria</w:t>
        </w:r>
      </w:smartTag>
      <w:r>
        <w:t>; ellos le pedían el material permanentemente” y “se encargaban de corrob</w:t>
      </w:r>
      <w:r>
        <w:t>o</w:t>
      </w:r>
      <w:r>
        <w:t>rar esa información b</w:t>
      </w:r>
      <w:r>
        <w:t>a</w:t>
      </w:r>
      <w:r>
        <w:t>se” que aportaba.</w:t>
      </w:r>
    </w:p>
    <w:p w:rsidR="00224567" w:rsidRDefault="00224567">
      <w:pPr>
        <w:widowControl w:val="0"/>
        <w:tabs>
          <w:tab w:val="center" w:pos="0"/>
        </w:tabs>
      </w:pPr>
      <w:r>
        <w:tab/>
        <w:t>Reconoció Romero que para la ép</w:t>
      </w:r>
      <w:r>
        <w:t>o</w:t>
      </w:r>
      <w:r>
        <w:t>ca en que estaban grabando a Carlos Telleldín, se reunió con Ana María Boragni y Eduardo Telleldín y que el producto de esas entrevistas también se lo entregó a “Sala P</w:t>
      </w:r>
      <w:r>
        <w:t>a</w:t>
      </w:r>
      <w:r>
        <w:t>tria”.</w:t>
      </w:r>
    </w:p>
    <w:p w:rsidR="00224567" w:rsidRDefault="00224567">
      <w:pPr>
        <w:widowControl w:val="0"/>
        <w:tabs>
          <w:tab w:val="center" w:pos="0"/>
        </w:tabs>
      </w:pPr>
      <w:r>
        <w:tab/>
        <w:t>Dijo que Vergéz no recibió emolume</w:t>
      </w:r>
      <w:r>
        <w:t>n</w:t>
      </w:r>
      <w:r>
        <w:t xml:space="preserve">tos de </w:t>
      </w:r>
      <w:smartTag w:uri="urn:schemas-microsoft-com:office:smarttags" w:element="PersonName">
        <w:smartTagPr>
          <w:attr w:name="ProductID" w:val="la S.I"/>
        </w:smartTagPr>
        <w:r>
          <w:t>la S.I</w:t>
        </w:r>
      </w:smartTag>
      <w:r>
        <w:t>.D.E., desconociendo si alguien le dio, que él colaboró con algún dinero, pero poco; “habrá cobrado mil pesos, dos mil pesos, no más”. Destacó que ese fue uno de los motivos por los cuales discutieron, dado que Vergéz quería plata y no estaba en condiciones de dársela; agregó que él nunca recibió dinero del o</w:t>
      </w:r>
      <w:r>
        <w:t>r</w:t>
      </w:r>
      <w:r>
        <w:t>ganismo de inteligencia, si bien había pautado una cantidad que jamás se la di</w:t>
      </w:r>
      <w:r>
        <w:t>e</w:t>
      </w:r>
      <w:r>
        <w:t>ron.</w:t>
      </w:r>
    </w:p>
    <w:p w:rsidR="00224567" w:rsidRDefault="00224567">
      <w:pPr>
        <w:widowControl w:val="0"/>
        <w:tabs>
          <w:tab w:val="center" w:pos="0"/>
        </w:tabs>
      </w:pPr>
      <w:r>
        <w:tab/>
        <w:t xml:space="preserve">Precisó que en </w:t>
      </w:r>
      <w:smartTag w:uri="urn:schemas-microsoft-com:office:smarttags" w:element="PersonName">
        <w:smartTagPr>
          <w:attr w:name="ProductID" w:val="la S.I"/>
        </w:smartTagPr>
        <w:r>
          <w:t>la S.I</w:t>
        </w:r>
      </w:smartTag>
      <w:r>
        <w:t>.D.E., ad</w:t>
      </w:r>
      <w:r>
        <w:t>e</w:t>
      </w:r>
      <w:r>
        <w:t>más de Brousson, trató con Allevato, un tal “Pinocho”, un tal “Pollo”, Molina Quiroga y con dos señoritas cuyos no</w:t>
      </w:r>
      <w:r>
        <w:t>m</w:t>
      </w:r>
      <w:r>
        <w:t>bres no recordó. Respecto de Stiuso dijo que lo conoció en 1989, no lo trató por el tema A.M.I.A., pero sí se topó con gente que el nombrado enviaba para hablar con Ana M</w:t>
      </w:r>
      <w:r>
        <w:t>a</w:t>
      </w:r>
      <w:r>
        <w:t>ría Boragni; un abogado, que trabajaba como inorgánico p</w:t>
      </w:r>
      <w:r>
        <w:t>a</w:t>
      </w:r>
      <w:r>
        <w:t>ra contrainteligencia, apellidado Polito, le decía a Bor</w:t>
      </w:r>
      <w:r>
        <w:t>a</w:t>
      </w:r>
      <w:r>
        <w:t>gni que no hablara más con ellos.</w:t>
      </w:r>
    </w:p>
    <w:p w:rsidR="00224567" w:rsidRDefault="00224567">
      <w:pPr>
        <w:widowControl w:val="0"/>
        <w:tabs>
          <w:tab w:val="center" w:pos="0"/>
        </w:tabs>
      </w:pPr>
      <w:r>
        <w:tab/>
        <w:t>Refirió Romero que Telleldín, en las charlas, “le iba relatando a Vergéz distintas cosas, por ejemplo, cuando la brigada de Lanús lo persiguió para s</w:t>
      </w:r>
      <w:r>
        <w:t>a</w:t>
      </w:r>
      <w:r>
        <w:t>carle unos vehículos, cuando unos gitanos lo habían entr</w:t>
      </w:r>
      <w:r>
        <w:t>e</w:t>
      </w:r>
      <w:r>
        <w:t>gado, supuestamente en complot con su ab</w:t>
      </w:r>
      <w:r>
        <w:t>o</w:t>
      </w:r>
      <w:r>
        <w:t>gado defensor, el Dr. Semorile...”.</w:t>
      </w:r>
    </w:p>
    <w:p w:rsidR="00224567" w:rsidRDefault="00224567">
      <w:pPr>
        <w:widowControl w:val="0"/>
        <w:tabs>
          <w:tab w:val="center" w:pos="0"/>
        </w:tabs>
      </w:pPr>
      <w:r>
        <w:tab/>
        <w:t>A otras preguntas, reiteró: “todo lo que se grabó, lo que dijo Telleldín, era que la brigada de Lanús le había sacado dinero, le habían sacado un Renault 18, una moto, un barco, velero”, dinero y algunos otros bienes; “que no era la primera vez que lo e</w:t>
      </w:r>
      <w:r>
        <w:t>x</w:t>
      </w:r>
      <w:r>
        <w:t xml:space="preserve">torsionaban”; que </w:t>
      </w:r>
      <w:r>
        <w:rPr>
          <w:lang w:val="es-AR"/>
        </w:rPr>
        <w:t>“Vergéz</w:t>
      </w:r>
      <w:r>
        <w:t xml:space="preserve"> le preguntaba si había entr</w:t>
      </w:r>
      <w:r>
        <w:t>e</w:t>
      </w:r>
      <w:r>
        <w:t>gado la camioneta y él decía que no, que la camioneta había que buscarla por otro lado, ustedes tienen que seguir, decía, ustedes ti</w:t>
      </w:r>
      <w:r>
        <w:t>e</w:t>
      </w:r>
      <w:r>
        <w:t>nen que mirar para el lado de Semorile”.</w:t>
      </w:r>
    </w:p>
    <w:p w:rsidR="00224567" w:rsidRDefault="00224567">
      <w:pPr>
        <w:widowControl w:val="0"/>
        <w:tabs>
          <w:tab w:val="center" w:pos="0"/>
        </w:tabs>
      </w:pPr>
      <w:r>
        <w:tab/>
        <w:t>Mencionó haber conocido que Vergéz t</w:t>
      </w:r>
      <w:r>
        <w:t>u</w:t>
      </w:r>
      <w:r>
        <w:t>vo la intención de hablar con Ribelli, a lo que se opuso, pues no le parecía apropiado; no obstante sosp</w:t>
      </w:r>
      <w:r>
        <w:t>e</w:t>
      </w:r>
      <w:r>
        <w:t>chó que lo hizo, aunque no lo pudo corr</w:t>
      </w:r>
      <w:r>
        <w:t>o</w:t>
      </w:r>
      <w:r>
        <w:t>borar.</w:t>
      </w:r>
    </w:p>
    <w:p w:rsidR="00224567" w:rsidRDefault="00224567">
      <w:pPr>
        <w:widowControl w:val="0"/>
        <w:tabs>
          <w:tab w:val="center" w:pos="0"/>
        </w:tabs>
      </w:pPr>
      <w:r>
        <w:tab/>
        <w:t xml:space="preserve">Luego de un par de años, apuntó, se enteró que Semorile era informante de </w:t>
      </w:r>
      <w:smartTag w:uri="urn:schemas-microsoft-com:office:smarttags" w:element="PersonName">
        <w:smartTagPr>
          <w:attr w:name="ProductID" w:val="la Secretar￭a"/>
        </w:smartTagPr>
        <w:r>
          <w:t>la Secretaría</w:t>
        </w:r>
      </w:smartTag>
      <w:r>
        <w:t xml:space="preserve"> de I</w:t>
      </w:r>
      <w:r>
        <w:t>n</w:t>
      </w:r>
      <w:r>
        <w:t>teligencia, según tenía entendido de Sti</w:t>
      </w:r>
      <w:r>
        <w:t>u</w:t>
      </w:r>
      <w:r>
        <w:t>so.</w:t>
      </w:r>
    </w:p>
    <w:p w:rsidR="00224567" w:rsidRDefault="00224567">
      <w:pPr>
        <w:widowControl w:val="0"/>
        <w:tabs>
          <w:tab w:val="center" w:pos="0"/>
        </w:tabs>
      </w:pPr>
      <w:r>
        <w:tab/>
        <w:t xml:space="preserve">Refirió que creía que Vergéz, después que terminó abruptamente su relación con él, trabajó para </w:t>
      </w:r>
      <w:smartTag w:uri="urn:schemas-microsoft-com:office:smarttags" w:element="PersonName">
        <w:smartTagPr>
          <w:attr w:name="ProductID" w:val="la S.I"/>
        </w:smartTagPr>
        <w:r>
          <w:t>la S.I</w:t>
        </w:r>
      </w:smartTag>
      <w:r>
        <w:t>.D.E., aparentemente, en contrainteligencia, sin p</w:t>
      </w:r>
      <w:r>
        <w:t>o</w:t>
      </w:r>
      <w:r>
        <w:t>der especificar con quién.</w:t>
      </w:r>
    </w:p>
    <w:p w:rsidR="00224567" w:rsidRDefault="00224567">
      <w:pPr>
        <w:widowControl w:val="0"/>
        <w:tabs>
          <w:tab w:val="center" w:pos="0"/>
        </w:tabs>
      </w:pPr>
      <w:r>
        <w:rPr>
          <w:b/>
        </w:rPr>
        <w:tab/>
      </w:r>
      <w:r>
        <w:rPr>
          <w:b/>
        </w:rPr>
        <w:tab/>
      </w:r>
      <w:r>
        <w:t>Como se indicó más arriba, Daniel R</w:t>
      </w:r>
      <w:r>
        <w:t>o</w:t>
      </w:r>
      <w:r>
        <w:t>mero acompañó parte del material que contiene las conve</w:t>
      </w:r>
      <w:r>
        <w:t>r</w:t>
      </w:r>
      <w:r>
        <w:t>saciones sostenidas entre Vergéz y Telleldín (fs. 106.609).</w:t>
      </w:r>
    </w:p>
    <w:p w:rsidR="00224567" w:rsidRDefault="00224567">
      <w:pPr>
        <w:widowControl w:val="0"/>
        <w:tabs>
          <w:tab w:val="center" w:pos="0"/>
        </w:tabs>
      </w:pPr>
      <w:r>
        <w:tab/>
        <w:t xml:space="preserve">De ese audio, por su elocuencia, es conveniente transcribir fragmentos de la charla del </w:t>
      </w:r>
      <w:r>
        <w:rPr>
          <w:bCs/>
        </w:rPr>
        <w:t>23 de febrero de 1995</w:t>
      </w:r>
      <w:r>
        <w:rPr>
          <w:bCs/>
          <w:i/>
        </w:rPr>
        <w:t>.</w:t>
      </w:r>
      <w:r>
        <w:rPr>
          <w:i/>
        </w:rPr>
        <w:t xml:space="preserve"> </w:t>
      </w:r>
      <w:r>
        <w:t>Se identifica con la l</w:t>
      </w:r>
      <w:r>
        <w:t>e</w:t>
      </w:r>
      <w:r>
        <w:t>tra “V” al capitán Héctor Pedro Vergéz, en tanto que con la “T” a Carlos T</w:t>
      </w:r>
      <w:r>
        <w:t>e</w:t>
      </w:r>
      <w:r>
        <w:t>lleldín.</w:t>
      </w:r>
    </w:p>
    <w:p w:rsidR="00224567" w:rsidRDefault="00224567">
      <w:pPr>
        <w:widowControl w:val="0"/>
      </w:pPr>
      <w:r>
        <w:t>-V: Bueno lo que quiero que hagamos, vamos a agarrar los items que ayer hablamos.</w:t>
      </w:r>
    </w:p>
    <w:p w:rsidR="00224567" w:rsidRDefault="00224567">
      <w:pPr>
        <w:widowControl w:val="0"/>
      </w:pPr>
      <w:r>
        <w:t>-T: (superposición de voces) Página 12 le está dando con un palo a estos pibes</w:t>
      </w:r>
    </w:p>
    <w:p w:rsidR="00224567" w:rsidRDefault="00224567">
      <w:pPr>
        <w:widowControl w:val="0"/>
      </w:pPr>
      <w:r>
        <w:t>...</w:t>
      </w:r>
    </w:p>
    <w:p w:rsidR="00224567" w:rsidRDefault="00224567">
      <w:pPr>
        <w:widowControl w:val="0"/>
      </w:pPr>
      <w:r>
        <w:t>-V: no, no te calientes mucho por eso, porque ahí el qu</w:t>
      </w:r>
      <w:r>
        <w:t>i</w:t>
      </w:r>
      <w:r>
        <w:t>lombo que se armó en los diarios, supongo que d</w:t>
      </w:r>
      <w:r>
        <w:t>e</w:t>
      </w:r>
      <w:r>
        <w:t>be ser una interna policial, una interna de mucho nivel policial por el tema de los autos, que vos sabrás, me imagino. El que maneja una batata enorme de autos es el segundo jefe de la policía de la provi</w:t>
      </w:r>
      <w:r>
        <w:t>n</w:t>
      </w:r>
      <w:r>
        <w:t>cia.</w:t>
      </w:r>
    </w:p>
    <w:p w:rsidR="00224567" w:rsidRDefault="00224567">
      <w:pPr>
        <w:widowControl w:val="0"/>
      </w:pPr>
      <w:r>
        <w:t>-T: si? (así se entiende)</w:t>
      </w:r>
    </w:p>
    <w:p w:rsidR="00224567" w:rsidRDefault="00224567">
      <w:pPr>
        <w:widowControl w:val="0"/>
      </w:pPr>
      <w:r>
        <w:t>-V: Es el que maneja todo el circo... “</w:t>
      </w:r>
      <w:smartTag w:uri="urn:schemas-microsoft-com:office:smarttags" w:element="PersonName">
        <w:smartTagPr>
          <w:attr w:name="ProductID" w:val="la Bruja Padilla"/>
        </w:smartTagPr>
        <w:r>
          <w:t>la Bruja Pad</w:t>
        </w:r>
        <w:r>
          <w:t>i</w:t>
        </w:r>
        <w:r>
          <w:t>lla</w:t>
        </w:r>
      </w:smartTag>
      <w:r>
        <w:t>”, creo que es.</w:t>
      </w:r>
    </w:p>
    <w:p w:rsidR="00224567" w:rsidRDefault="00224567">
      <w:pPr>
        <w:widowControl w:val="0"/>
      </w:pPr>
      <w:r>
        <w:t>-T: si</w:t>
      </w:r>
    </w:p>
    <w:p w:rsidR="00224567" w:rsidRDefault="00224567">
      <w:pPr>
        <w:widowControl w:val="0"/>
      </w:pPr>
      <w:r>
        <w:t>-V: vos te creés que va a pasar algo en este (inintelig</w:t>
      </w:r>
      <w:r>
        <w:t>i</w:t>
      </w:r>
      <w:r>
        <w:t>ble), no va a pasar un carajo!</w:t>
      </w:r>
    </w:p>
    <w:p w:rsidR="00224567" w:rsidRDefault="00224567">
      <w:pPr>
        <w:widowControl w:val="0"/>
      </w:pPr>
      <w:r>
        <w:t>-T: No..., lo que yo te dije: los cuatro (ininteligible) el más importante es el comisario Martelli, los cuatro me compraron cosas.</w:t>
      </w:r>
    </w:p>
    <w:p w:rsidR="00224567" w:rsidRDefault="00224567">
      <w:pPr>
        <w:widowControl w:val="0"/>
      </w:pPr>
      <w:r>
        <w:t>...</w:t>
      </w:r>
    </w:p>
    <w:p w:rsidR="00224567" w:rsidRDefault="00224567">
      <w:pPr>
        <w:widowControl w:val="0"/>
      </w:pPr>
      <w:r>
        <w:t>T: Yo te puedo dar puntos que te pueden abrir los ojos a vos que al juzgado no se los puedo dar.</w:t>
      </w:r>
    </w:p>
    <w:p w:rsidR="00224567" w:rsidRDefault="00224567">
      <w:pPr>
        <w:widowControl w:val="0"/>
      </w:pPr>
      <w:r>
        <w:t>-V: por eso yo vine acá con más tiempo, tenemos ha</w:t>
      </w:r>
      <w:r>
        <w:t>s</w:t>
      </w:r>
      <w:r>
        <w:t>ta las seis, mirá.</w:t>
      </w:r>
    </w:p>
    <w:p w:rsidR="00224567" w:rsidRDefault="00224567">
      <w:pPr>
        <w:widowControl w:val="0"/>
      </w:pPr>
      <w:r>
        <w:t>-T: como sea, yo te puedo...</w:t>
      </w:r>
    </w:p>
    <w:p w:rsidR="00224567" w:rsidRDefault="00224567">
      <w:pPr>
        <w:widowControl w:val="0"/>
      </w:pPr>
      <w:r>
        <w:t>-V: querés que hagamos un gráfico?</w:t>
      </w:r>
    </w:p>
    <w:p w:rsidR="00224567" w:rsidRDefault="00224567">
      <w:pPr>
        <w:widowControl w:val="0"/>
      </w:pPr>
      <w:r>
        <w:t>-T: sí. Sí querés yo (ininteligible) porque estos son pu</w:t>
      </w:r>
      <w:r>
        <w:t>n</w:t>
      </w:r>
      <w:r>
        <w:t>tos clave... son puntos clave, pero clave para que vos (ininteligible) pero clave, clave (ruidos ambient</w:t>
      </w:r>
      <w:r>
        <w:t>a</w:t>
      </w:r>
      <w:r>
        <w:t>les)</w:t>
      </w:r>
    </w:p>
    <w:p w:rsidR="00224567" w:rsidRDefault="00224567">
      <w:pPr>
        <w:widowControl w:val="0"/>
      </w:pPr>
      <w:r>
        <w:t>...</w:t>
      </w:r>
    </w:p>
    <w:p w:rsidR="00224567" w:rsidRDefault="00224567">
      <w:pPr>
        <w:widowControl w:val="0"/>
      </w:pPr>
      <w:r>
        <w:t>-V:...si vos me nombrás gente y me decís: no quiero que la toquen, no quiero que la comprometan, podés verlo? Nada más?. Y eso lo vamos a respetar viste?, porque... (supe</w:t>
      </w:r>
      <w:r>
        <w:t>r</w:t>
      </w:r>
      <w:r>
        <w:t>posición de voces) eh?</w:t>
      </w:r>
    </w:p>
    <w:p w:rsidR="00224567" w:rsidRDefault="00224567">
      <w:pPr>
        <w:widowControl w:val="0"/>
      </w:pPr>
      <w:r>
        <w:t>-T: (ininteligible) no quiero que jodan, viste (inintel</w:t>
      </w:r>
      <w:r>
        <w:t>i</w:t>
      </w:r>
      <w:r>
        <w:t>gible), Sandra, la que salía conmigo porque... pobre ch</w:t>
      </w:r>
      <w:r>
        <w:t>i</w:t>
      </w:r>
      <w:r>
        <w:t>ca, viste?... yo le prometí que me iba a vivir con ella, toda una historia, y después la d</w:t>
      </w:r>
      <w:r>
        <w:t>e</w:t>
      </w:r>
      <w:r>
        <w:t>jé, viste?</w:t>
      </w:r>
    </w:p>
    <w:p w:rsidR="00224567" w:rsidRDefault="00224567">
      <w:pPr>
        <w:widowControl w:val="0"/>
      </w:pPr>
      <w:r>
        <w:t>-V: sos igual que tu viejo vos. Te copiás todo..., medio Córdoba...</w:t>
      </w:r>
    </w:p>
    <w:p w:rsidR="00224567" w:rsidRDefault="00224567">
      <w:pPr>
        <w:widowControl w:val="0"/>
      </w:pPr>
      <w:r>
        <w:t>-T: no, estuve dos años saliendo con ella, viste? De</w:t>
      </w:r>
      <w:r>
        <w:t>s</w:t>
      </w:r>
      <w:r>
        <w:t xml:space="preserve">pués me quedé con mi mujer. Bueno, mirá el 10 de julio vendo </w:t>
      </w:r>
      <w:smartTag w:uri="urn:schemas-microsoft-com:office:smarttags" w:element="PersonName">
        <w:smartTagPr>
          <w:attr w:name="ProductID" w:val="la Trafic"/>
        </w:smartTagPr>
        <w:r>
          <w:t>la Trafic</w:t>
        </w:r>
      </w:smartTag>
      <w:r>
        <w:t>, si?</w:t>
      </w:r>
    </w:p>
    <w:p w:rsidR="00224567" w:rsidRDefault="00224567">
      <w:pPr>
        <w:widowControl w:val="0"/>
      </w:pPr>
      <w:r>
        <w:t>-V: el día?</w:t>
      </w:r>
    </w:p>
    <w:p w:rsidR="00224567" w:rsidRDefault="00224567">
      <w:pPr>
        <w:widowControl w:val="0"/>
      </w:pPr>
      <w:r>
        <w:t xml:space="preserve">-T: el 10 de julio entrego </w:t>
      </w:r>
      <w:smartTag w:uri="urn:schemas-microsoft-com:office:smarttags" w:element="PersonName">
        <w:smartTagPr>
          <w:attr w:name="ProductID" w:val="la Trafic"/>
        </w:smartTagPr>
        <w:r>
          <w:t>la Trafic</w:t>
        </w:r>
      </w:smartTag>
      <w:r>
        <w:t>, la vendo por el av</w:t>
      </w:r>
      <w:r>
        <w:t>i</w:t>
      </w:r>
      <w:r>
        <w:t>so (ininteligible) viene una persona de ap</w:t>
      </w:r>
      <w:r>
        <w:t>e</w:t>
      </w:r>
      <w:r>
        <w:t>llido Martínez (ininteligible) Clarín</w:t>
      </w:r>
    </w:p>
    <w:p w:rsidR="00224567" w:rsidRDefault="00224567">
      <w:pPr>
        <w:widowControl w:val="0"/>
      </w:pPr>
      <w:r>
        <w:t>...</w:t>
      </w:r>
    </w:p>
    <w:p w:rsidR="00224567" w:rsidRDefault="00224567">
      <w:pPr>
        <w:widowControl w:val="0"/>
      </w:pPr>
      <w:r>
        <w:t>-T: todo, y este viene (refiriéndose a Semorile) en el 91 y me presenta a Spagnuolo... Yo desde el primer m</w:t>
      </w:r>
      <w:r>
        <w:t>o</w:t>
      </w:r>
      <w:r>
        <w:t>mento...</w:t>
      </w:r>
    </w:p>
    <w:p w:rsidR="00224567" w:rsidRDefault="00224567">
      <w:pPr>
        <w:widowControl w:val="0"/>
      </w:pPr>
      <w:r>
        <w:t>-V: Spagnuolo qué es? Es socio de Semorile?, el abog</w:t>
      </w:r>
      <w:r>
        <w:t>a</w:t>
      </w:r>
      <w:r>
        <w:t>do?</w:t>
      </w:r>
    </w:p>
    <w:p w:rsidR="00224567" w:rsidRDefault="00224567">
      <w:pPr>
        <w:widowControl w:val="0"/>
      </w:pPr>
      <w:r>
        <w:t>-T: pero estaban, con cero de dinero, los dos..., este es nuevo, un abogado nuevo, pero nuevo..., me entendés?</w:t>
      </w:r>
    </w:p>
    <w:p w:rsidR="00224567" w:rsidRDefault="00224567">
      <w:pPr>
        <w:widowControl w:val="0"/>
      </w:pPr>
      <w:r>
        <w:t>-V: pendejo es?</w:t>
      </w:r>
    </w:p>
    <w:p w:rsidR="00224567" w:rsidRDefault="00224567">
      <w:pPr>
        <w:widowControl w:val="0"/>
      </w:pPr>
      <w:r>
        <w:t>-T: pendejo, recién recibido, todo. Trabaja este, para mandarlo ahora a hacer las suplencias, porque el otro como tiene tres o cuatro causas abiertas, no quiere m</w:t>
      </w:r>
      <w:r>
        <w:t>e</w:t>
      </w:r>
      <w:r>
        <w:t>terse en la boca del lobo, entonces lo tiene a este p</w:t>
      </w:r>
      <w:r>
        <w:t>a</w:t>
      </w:r>
      <w:r>
        <w:t>ra que toque, porque aparte es el sobrino del comisario mayor Isolino, Isolin, una cosa así...</w:t>
      </w:r>
    </w:p>
    <w:p w:rsidR="00224567" w:rsidRDefault="00224567">
      <w:pPr>
        <w:widowControl w:val="0"/>
      </w:pPr>
      <w:r>
        <w:t>...</w:t>
      </w:r>
    </w:p>
    <w:p w:rsidR="00224567" w:rsidRDefault="00224567">
      <w:pPr>
        <w:widowControl w:val="0"/>
      </w:pPr>
      <w:r>
        <w:t>-V: esperate que no me..., yo lo que quiero después, eso si..., de lo que vos te acuerdes o que pueda haber por ahí, las direcciones últimas de estos tipos..., de Semor</w:t>
      </w:r>
      <w:r>
        <w:t>i</w:t>
      </w:r>
      <w:r>
        <w:t>le por ejemplo</w:t>
      </w:r>
    </w:p>
    <w:p w:rsidR="00224567" w:rsidRDefault="00224567">
      <w:pPr>
        <w:widowControl w:val="0"/>
      </w:pPr>
      <w:r>
        <w:t>-T: (ininteligible) mirá el juez tiene el Movicom, todo actuales.</w:t>
      </w:r>
    </w:p>
    <w:p w:rsidR="00224567" w:rsidRDefault="00224567">
      <w:pPr>
        <w:widowControl w:val="0"/>
      </w:pPr>
      <w:r>
        <w:t>-V: los tie... los secuestros están?</w:t>
      </w:r>
    </w:p>
    <w:p w:rsidR="00224567" w:rsidRDefault="00224567">
      <w:pPr>
        <w:widowControl w:val="0"/>
      </w:pPr>
      <w:r>
        <w:t>-T: están en su agenda... tengo tres agendas “Mo</w:t>
      </w:r>
      <w:r>
        <w:t>r</w:t>
      </w:r>
      <w:r>
        <w:t>gan”, ahí está todo.</w:t>
      </w:r>
    </w:p>
    <w:p w:rsidR="00224567" w:rsidRDefault="00224567">
      <w:pPr>
        <w:widowControl w:val="0"/>
      </w:pPr>
      <w:r>
        <w:t>-V: ahí está Semorile?</w:t>
      </w:r>
    </w:p>
    <w:p w:rsidR="00224567" w:rsidRDefault="00224567">
      <w:pPr>
        <w:widowControl w:val="0"/>
      </w:pPr>
      <w:r>
        <w:t>-T: claro, ahí tenés todos los datos. En mi agenda no te</w:t>
      </w:r>
      <w:r>
        <w:t>n</w:t>
      </w:r>
      <w:r>
        <w:t>go nada que ocultar, si es la de Carlos (así se e</w:t>
      </w:r>
      <w:r>
        <w:t>n</w:t>
      </w:r>
      <w:r>
        <w:t>tiende) (ininteligible) se la iba a entregar al juez...</w:t>
      </w:r>
    </w:p>
    <w:p w:rsidR="00224567" w:rsidRDefault="00224567">
      <w:pPr>
        <w:widowControl w:val="0"/>
      </w:pPr>
      <w:r>
        <w:t>-V: son tres agendas “Morgan”?</w:t>
      </w:r>
    </w:p>
    <w:p w:rsidR="00224567" w:rsidRDefault="00224567">
      <w:pPr>
        <w:widowControl w:val="0"/>
      </w:pPr>
      <w:r>
        <w:t>-T: Tengo tres agendas, que secuestró el juez</w:t>
      </w:r>
    </w:p>
    <w:p w:rsidR="00224567" w:rsidRDefault="00224567">
      <w:pPr>
        <w:widowControl w:val="0"/>
      </w:pPr>
      <w:r>
        <w:t>...</w:t>
      </w:r>
    </w:p>
    <w:p w:rsidR="00224567" w:rsidRDefault="00224567">
      <w:pPr>
        <w:widowControl w:val="0"/>
      </w:pPr>
      <w:r>
        <w:t>-V: Semorile cómo es? Es un tipo para apretarlo y neg</w:t>
      </w:r>
      <w:r>
        <w:t>o</w:t>
      </w:r>
      <w:r>
        <w:t>ciar, por ejemplo. Vamos a,... supongamos que uno pueda apretarlo a Semorile y decirle: mirá he</w:t>
      </w:r>
      <w:r>
        <w:t>r</w:t>
      </w:r>
      <w:r>
        <w:t>mano, vos no estás pegado por la causa A.M.I.A., pero conoces quien puede comprar la camioneta, el na</w:t>
      </w:r>
      <w:r>
        <w:t>r</w:t>
      </w:r>
      <w:r>
        <w:t>co que te dijo que era narco, no es tan narco, est</w:t>
      </w:r>
      <w:r>
        <w:t>a</w:t>
      </w:r>
      <w:r>
        <w:t>ba en otro tema.</w:t>
      </w:r>
    </w:p>
    <w:p w:rsidR="00224567" w:rsidRDefault="00224567">
      <w:pPr>
        <w:widowControl w:val="0"/>
      </w:pPr>
      <w:r>
        <w:t>-T: si... (ininteligible)... cuál era?</w:t>
      </w:r>
    </w:p>
    <w:p w:rsidR="00224567" w:rsidRDefault="00224567">
      <w:pPr>
        <w:widowControl w:val="0"/>
      </w:pPr>
      <w:r>
        <w:t>-V: es un tipo cagón?</w:t>
      </w:r>
    </w:p>
    <w:p w:rsidR="00224567" w:rsidRDefault="00224567">
      <w:pPr>
        <w:widowControl w:val="0"/>
      </w:pPr>
      <w:r>
        <w:t>-T: sí, es cagón...</w:t>
      </w:r>
    </w:p>
    <w:p w:rsidR="00224567" w:rsidRDefault="00224567">
      <w:pPr>
        <w:widowControl w:val="0"/>
      </w:pPr>
      <w:r>
        <w:t>...</w:t>
      </w:r>
    </w:p>
    <w:p w:rsidR="00224567" w:rsidRDefault="00224567">
      <w:pPr>
        <w:widowControl w:val="0"/>
      </w:pPr>
      <w:r>
        <w:t>-V: Escuchame una cosa: de las agendas tuyas vamos a sacar el domicilio posta de Semorile, del est</w:t>
      </w:r>
      <w:r>
        <w:t>u</w:t>
      </w:r>
      <w:r>
        <w:t>dio...?</w:t>
      </w:r>
    </w:p>
    <w:p w:rsidR="00224567" w:rsidRDefault="00224567">
      <w:pPr>
        <w:widowControl w:val="0"/>
      </w:pPr>
      <w:r>
        <w:t>-T: sí, esta todo</w:t>
      </w:r>
    </w:p>
    <w:p w:rsidR="00224567" w:rsidRDefault="00224567">
      <w:pPr>
        <w:widowControl w:val="0"/>
      </w:pPr>
      <w:r>
        <w:t>-V: está todo ahí?... bueno, yo quería ver si consigo f</w:t>
      </w:r>
      <w:r>
        <w:t>o</w:t>
      </w:r>
      <w:r>
        <w:t>tocopias.</w:t>
      </w:r>
    </w:p>
    <w:p w:rsidR="00224567" w:rsidRDefault="00224567">
      <w:pPr>
        <w:widowControl w:val="0"/>
      </w:pPr>
      <w:r>
        <w:t>-T: si, está todo.</w:t>
      </w:r>
    </w:p>
    <w:p w:rsidR="00224567" w:rsidRDefault="00224567">
      <w:pPr>
        <w:widowControl w:val="0"/>
      </w:pPr>
      <w:r>
        <w:t>-V: y la chequeamos viste</w:t>
      </w:r>
    </w:p>
    <w:p w:rsidR="00224567" w:rsidRDefault="00224567">
      <w:pPr>
        <w:widowControl w:val="0"/>
      </w:pPr>
      <w:r>
        <w:t>-T: En la agenda está todo, hay muchos comisarios, m</w:t>
      </w:r>
      <w:r>
        <w:t>u</w:t>
      </w:r>
      <w:r>
        <w:t>chos comisarios mayores, hay mucha policía.</w:t>
      </w:r>
    </w:p>
    <w:p w:rsidR="00224567" w:rsidRDefault="00224567">
      <w:pPr>
        <w:widowControl w:val="0"/>
      </w:pPr>
      <w:r>
        <w:t>-V: eso..., no. La idea no es cagar..., porque ahí te c</w:t>
      </w:r>
      <w:r>
        <w:t>a</w:t>
      </w:r>
      <w:r>
        <w:t>gamos a vos.</w:t>
      </w:r>
    </w:p>
    <w:p w:rsidR="00224567" w:rsidRDefault="00224567">
      <w:pPr>
        <w:widowControl w:val="0"/>
      </w:pPr>
      <w:r>
        <w:t>...</w:t>
      </w:r>
    </w:p>
    <w:p w:rsidR="00224567" w:rsidRDefault="00224567">
      <w:pPr>
        <w:widowControl w:val="0"/>
      </w:pPr>
      <w:r>
        <w:t>-V: La dirección de Botey y el teléfono está en tu agenda?</w:t>
      </w:r>
    </w:p>
    <w:p w:rsidR="00224567" w:rsidRDefault="00224567">
      <w:pPr>
        <w:widowControl w:val="0"/>
      </w:pPr>
      <w:r>
        <w:t>-T: No..., Botey..., creo que si, puede ser...</w:t>
      </w:r>
    </w:p>
    <w:p w:rsidR="00224567" w:rsidRDefault="00224567">
      <w:pPr>
        <w:widowControl w:val="0"/>
      </w:pPr>
      <w:r>
        <w:t>-V: Sino la tiene Carlos?</w:t>
      </w:r>
    </w:p>
    <w:p w:rsidR="00224567" w:rsidRDefault="00224567">
      <w:pPr>
        <w:widowControl w:val="0"/>
      </w:pPr>
      <w:r>
        <w:t>-T: Quién la tiene?</w:t>
      </w:r>
    </w:p>
    <w:p w:rsidR="00224567" w:rsidRDefault="00224567">
      <w:pPr>
        <w:widowControl w:val="0"/>
      </w:pPr>
      <w:r>
        <w:t>-V: Y sino la tiene Eduardo?</w:t>
      </w:r>
    </w:p>
    <w:p w:rsidR="00224567" w:rsidRDefault="00224567">
      <w:pPr>
        <w:widowControl w:val="0"/>
      </w:pPr>
      <w:r>
        <w:t>-T: si, pero mi hermano no te va a dar nada, te av</w:t>
      </w:r>
      <w:r>
        <w:t>i</w:t>
      </w:r>
      <w:r>
        <w:t>so.</w:t>
      </w:r>
    </w:p>
    <w:p w:rsidR="00224567" w:rsidRDefault="00224567">
      <w:pPr>
        <w:widowControl w:val="0"/>
      </w:pPr>
      <w:r>
        <w:t>-V: Está muy cagado?</w:t>
      </w:r>
    </w:p>
    <w:p w:rsidR="00224567" w:rsidRDefault="00224567">
      <w:pPr>
        <w:widowControl w:val="0"/>
      </w:pPr>
      <w:r>
        <w:t>-T: a parte yo le dije que no se meta en este qu</w:t>
      </w:r>
      <w:r>
        <w:t>i</w:t>
      </w:r>
      <w:r>
        <w:t>lombo.</w:t>
      </w:r>
    </w:p>
    <w:p w:rsidR="00224567" w:rsidRDefault="00224567">
      <w:pPr>
        <w:widowControl w:val="0"/>
      </w:pPr>
      <w:r>
        <w:t>-V: Puede estar en la agenda?</w:t>
      </w:r>
    </w:p>
    <w:p w:rsidR="00224567" w:rsidRDefault="00224567">
      <w:pPr>
        <w:widowControl w:val="0"/>
      </w:pPr>
      <w:r>
        <w:t>-T: en la agenda si, creo que está, porque está con un montón de conchudos.</w:t>
      </w:r>
    </w:p>
    <w:p w:rsidR="00224567" w:rsidRDefault="00224567">
      <w:pPr>
        <w:widowControl w:val="0"/>
      </w:pPr>
      <w:r>
        <w:t>-V: este tipo, de tu apreciación que haces con él, si n</w:t>
      </w:r>
      <w:r>
        <w:t>o</w:t>
      </w:r>
      <w:r>
        <w:t>sotros vamos por las buenas, y por una buena vía de algún amigote... (superposición de voces) Botey... me puede ll</w:t>
      </w:r>
      <w:r>
        <w:t>e</w:t>
      </w:r>
      <w:r>
        <w:t>var a charlar con el tipo de la brigada de Avellaneda y este tipo nos cuente cómo fue la toma quién fue el entr</w:t>
      </w:r>
      <w:r>
        <w:t>e</w:t>
      </w:r>
      <w:r>
        <w:t>gador...?</w:t>
      </w:r>
    </w:p>
    <w:p w:rsidR="00224567" w:rsidRDefault="00224567">
      <w:pPr>
        <w:widowControl w:val="0"/>
      </w:pPr>
      <w:r>
        <w:t>-T: Mirá, vos tenés ahora a la persona de la que yo de</w:t>
      </w:r>
      <w:r>
        <w:t>s</w:t>
      </w:r>
      <w:r>
        <w:t>confío, la número uno, pero esto no lo tiene n</w:t>
      </w:r>
      <w:r>
        <w:t>a</w:t>
      </w:r>
      <w:r>
        <w:t xml:space="preserve">die, ni </w:t>
      </w:r>
      <w:smartTag w:uri="urn:schemas-microsoft-com:office:smarttags" w:element="PersonName">
        <w:smartTagPr>
          <w:attr w:name="ProductID" w:val="la Polic￭a Federal"/>
        </w:smartTagPr>
        <w:r>
          <w:t>la Policía Federal</w:t>
        </w:r>
      </w:smartTag>
      <w:r>
        <w:t>, nadie.</w:t>
      </w:r>
    </w:p>
    <w:p w:rsidR="00224567" w:rsidRDefault="00224567">
      <w:pPr>
        <w:widowControl w:val="0"/>
      </w:pPr>
      <w:r>
        <w:t>-V: no, no.</w:t>
      </w:r>
    </w:p>
    <w:p w:rsidR="00224567" w:rsidRDefault="00224567">
      <w:pPr>
        <w:widowControl w:val="0"/>
      </w:pPr>
      <w:r>
        <w:t>-T: Ustedes opinan, porque está mi duda no? Porque mi duda está, desde un primer momento, porque la primera semana que estuve detenido, yo sabía que e</w:t>
      </w:r>
      <w:r>
        <w:t>s</w:t>
      </w:r>
      <w:r>
        <w:t>ta persona, sabía todo esto, entendés?</w:t>
      </w:r>
    </w:p>
    <w:p w:rsidR="00224567" w:rsidRDefault="00224567">
      <w:pPr>
        <w:widowControl w:val="0"/>
      </w:pPr>
      <w:r>
        <w:t>-V: Si</w:t>
      </w:r>
    </w:p>
    <w:p w:rsidR="00224567" w:rsidRDefault="00224567">
      <w:pPr>
        <w:widowControl w:val="0"/>
      </w:pPr>
      <w:r>
        <w:t>-T: Entonces vos sentís el efecto, que te puede servir p</w:t>
      </w:r>
      <w:r>
        <w:t>a</w:t>
      </w:r>
      <w:r>
        <w:t>ra guardarlo, me entendés? Lo guardás, pero vos tenés que encontrar que si el entregador es el mismo, que confío yo.</w:t>
      </w:r>
    </w:p>
    <w:p w:rsidR="00224567" w:rsidRDefault="00224567">
      <w:pPr>
        <w:widowControl w:val="0"/>
      </w:pPr>
      <w:r>
        <w:t>-V: si, obvio.</w:t>
      </w:r>
    </w:p>
    <w:p w:rsidR="00224567" w:rsidRDefault="00224567">
      <w:pPr>
        <w:widowControl w:val="0"/>
      </w:pPr>
      <w:r>
        <w:t>-T: Por qué, qué pasa? Si vos agarras esta gente eh, vos decís..., el entregador, vos ibas con Botey. B</w:t>
      </w:r>
      <w:r>
        <w:t>o</w:t>
      </w:r>
      <w:r>
        <w:t>tey te va a comentar, yo pienso que tiene que llegar al comisario in</w:t>
      </w:r>
      <w:r>
        <w:t>s</w:t>
      </w:r>
      <w:r>
        <w:t>pector, jefe de la brigada de Av</w:t>
      </w:r>
      <w:r>
        <w:t>e</w:t>
      </w:r>
      <w:r>
        <w:t>llaneda</w:t>
      </w:r>
    </w:p>
    <w:p w:rsidR="00224567" w:rsidRDefault="00224567">
      <w:pPr>
        <w:widowControl w:val="0"/>
      </w:pPr>
      <w:r>
        <w:t>-V: Pero por eso, un camino puede ser Botey</w:t>
      </w:r>
    </w:p>
    <w:p w:rsidR="00224567" w:rsidRDefault="00224567">
      <w:pPr>
        <w:widowControl w:val="0"/>
      </w:pPr>
      <w:r>
        <w:t>-T: Botey o que sé yo, si vos estás trabajando para el g</w:t>
      </w:r>
      <w:r>
        <w:t>o</w:t>
      </w:r>
      <w:r>
        <w:t>bierno podés citarlo por el jefe de policía, porque es buena persona, lo citas</w:t>
      </w:r>
    </w:p>
    <w:p w:rsidR="00224567" w:rsidRDefault="00224567">
      <w:pPr>
        <w:widowControl w:val="0"/>
      </w:pPr>
      <w:r>
        <w:t>-V: pero si no reconoce nada oficialmente</w:t>
      </w:r>
    </w:p>
    <w:p w:rsidR="00224567" w:rsidRDefault="00224567">
      <w:pPr>
        <w:widowControl w:val="0"/>
      </w:pPr>
      <w:r>
        <w:t>-T: pero tiene dos formas</w:t>
      </w:r>
    </w:p>
    <w:p w:rsidR="00224567" w:rsidRDefault="00224567">
      <w:pPr>
        <w:widowControl w:val="0"/>
      </w:pPr>
      <w:r>
        <w:t>-V: pero tiene que ser en un bar, y de noche, vos te reís pero sabés como son estas cosas.</w:t>
      </w:r>
    </w:p>
    <w:p w:rsidR="00224567" w:rsidRDefault="00224567">
      <w:pPr>
        <w:widowControl w:val="0"/>
      </w:pPr>
      <w:r>
        <w:t>-T: Vos tenés opciones para apretar; cómo son las opci</w:t>
      </w:r>
      <w:r>
        <w:t>o</w:t>
      </w:r>
      <w:r>
        <w:t>nes? Tenés al fletero que te sale de testigo, que llevó la moto, vos tenés diez testigos armando una causa, que de</w:t>
      </w:r>
      <w:r>
        <w:t>s</w:t>
      </w:r>
      <w:r>
        <w:t>mantelas toda la causa de Avell</w:t>
      </w:r>
      <w:r>
        <w:t>a</w:t>
      </w:r>
      <w:r>
        <w:t>neda.</w:t>
      </w:r>
    </w:p>
    <w:p w:rsidR="00224567" w:rsidRDefault="00224567">
      <w:pPr>
        <w:widowControl w:val="0"/>
      </w:pPr>
      <w:r>
        <w:t>-V: pero la charla con él, querido Carlos, la charla con él tiene que ser de amigotes, decí, mirá...</w:t>
      </w:r>
    </w:p>
    <w:p w:rsidR="00224567" w:rsidRDefault="00224567">
      <w:pPr>
        <w:widowControl w:val="0"/>
      </w:pPr>
      <w:r>
        <w:t>-T: con lo de amigote no vas a conseguir nada en la priv</w:t>
      </w:r>
      <w:r>
        <w:t>a</w:t>
      </w:r>
      <w:r>
        <w:t>da, investigaciones, tenés que decir, un tipo e</w:t>
      </w:r>
      <w:r>
        <w:t>s</w:t>
      </w:r>
      <w:r>
        <w:t>to.</w:t>
      </w:r>
    </w:p>
    <w:p w:rsidR="00224567" w:rsidRDefault="00224567">
      <w:pPr>
        <w:widowControl w:val="0"/>
      </w:pPr>
      <w:r>
        <w:t>-V: no.</w:t>
      </w:r>
    </w:p>
    <w:p w:rsidR="00224567" w:rsidRDefault="00224567">
      <w:pPr>
        <w:widowControl w:val="0"/>
      </w:pPr>
      <w:r>
        <w:t>-T: ellos cambian de opinión...</w:t>
      </w:r>
    </w:p>
    <w:p w:rsidR="00224567" w:rsidRDefault="00224567">
      <w:pPr>
        <w:widowControl w:val="0"/>
      </w:pPr>
      <w:r>
        <w:t>-V: esperá un cachito, yo apretarlo suavecito, porque yo le digo, yo conozco tu..., tu..., el fletero, todo.</w:t>
      </w:r>
    </w:p>
    <w:p w:rsidR="00224567" w:rsidRDefault="00224567">
      <w:pPr>
        <w:widowControl w:val="0"/>
      </w:pPr>
      <w:r>
        <w:t>-T: vos tenés que tener...</w:t>
      </w:r>
    </w:p>
    <w:p w:rsidR="00224567" w:rsidRDefault="00224567">
      <w:pPr>
        <w:widowControl w:val="0"/>
      </w:pPr>
      <w:r>
        <w:t>-V: eso olvidate</w:t>
      </w:r>
    </w:p>
    <w:p w:rsidR="00224567" w:rsidRDefault="00224567">
      <w:pPr>
        <w:widowControl w:val="0"/>
      </w:pPr>
      <w:r>
        <w:t>-T: Vos tenés a Sandra Petrucci, que estuvo detenida. Po</w:t>
      </w:r>
      <w:r>
        <w:t>r</w:t>
      </w:r>
      <w:r>
        <w:t>que Telleldín vamos a suponer que no es creíble porque tiene antecedentes. Pero la tengo a Sandra, al fl</w:t>
      </w:r>
      <w:r>
        <w:t>e</w:t>
      </w:r>
      <w:r>
        <w:t>tero que llevó la moto.</w:t>
      </w:r>
    </w:p>
    <w:p w:rsidR="00224567" w:rsidRDefault="00224567">
      <w:pPr>
        <w:widowControl w:val="0"/>
      </w:pPr>
      <w:r>
        <w:t>-V: Pero por eso, decírselo al cana de buena manera, d</w:t>
      </w:r>
      <w:r>
        <w:t>e</w:t>
      </w:r>
      <w:r>
        <w:t>cirle acá lo que me interesa no es eso, a mi me interesa otra cosa, yo estoy arriba de esto, por eso te digo que si a través de Botey, podemos llegar al jefe de la brigada de Avellaneda...</w:t>
      </w:r>
    </w:p>
    <w:p w:rsidR="00224567" w:rsidRDefault="00224567">
      <w:pPr>
        <w:widowControl w:val="0"/>
      </w:pPr>
      <w:r>
        <w:t>-T: yo a Botey no lo conozco personalmente, fue a arr</w:t>
      </w:r>
      <w:r>
        <w:t>e</w:t>
      </w:r>
      <w:r>
        <w:t>glar el quilombo...</w:t>
      </w:r>
    </w:p>
    <w:p w:rsidR="00224567" w:rsidRDefault="00224567">
      <w:pPr>
        <w:widowControl w:val="0"/>
      </w:pPr>
      <w:r>
        <w:t>-V: está bien, está bien. Esta familia Ibañez, puede ay</w:t>
      </w:r>
      <w:r>
        <w:t>u</w:t>
      </w:r>
      <w:r>
        <w:t>dar en algo?</w:t>
      </w:r>
    </w:p>
    <w:p w:rsidR="00224567" w:rsidRDefault="00224567">
      <w:pPr>
        <w:widowControl w:val="0"/>
      </w:pPr>
      <w:r>
        <w:t>-T: no.</w:t>
      </w:r>
    </w:p>
    <w:p w:rsidR="00224567" w:rsidRDefault="00224567">
      <w:pPr>
        <w:widowControl w:val="0"/>
      </w:pPr>
      <w:r>
        <w:t>-V: no? Para tocar... Semorile sabía que había una Tr</w:t>
      </w:r>
      <w:r>
        <w:t>a</w:t>
      </w:r>
      <w:r>
        <w:t>fic a la venta, si o no? Si, lo sabía por medio de los Ibañez</w:t>
      </w:r>
    </w:p>
    <w:p w:rsidR="00224567" w:rsidRDefault="00224567">
      <w:pPr>
        <w:widowControl w:val="0"/>
      </w:pPr>
      <w:r>
        <w:t>-T: claro, pero lo sabía seguro.</w:t>
      </w:r>
    </w:p>
    <w:p w:rsidR="00224567" w:rsidRDefault="00224567">
      <w:pPr>
        <w:widowControl w:val="0"/>
      </w:pPr>
      <w:r>
        <w:t>-V: eh?</w:t>
      </w:r>
    </w:p>
    <w:p w:rsidR="00224567" w:rsidRDefault="00224567">
      <w:pPr>
        <w:widowControl w:val="0"/>
      </w:pPr>
      <w:r>
        <w:t>-T: lo sabía seguro, confirmado</w:t>
      </w:r>
    </w:p>
    <w:p w:rsidR="00224567" w:rsidRDefault="00224567">
      <w:pPr>
        <w:widowControl w:val="0"/>
      </w:pPr>
      <w:r>
        <w:t>-V: Pérez, teléfono, domicilio? Cómo hacemos para hablar con Pérez por las buenas?</w:t>
      </w:r>
    </w:p>
    <w:p w:rsidR="00224567" w:rsidRDefault="00224567">
      <w:pPr>
        <w:widowControl w:val="0"/>
      </w:pPr>
      <w:r>
        <w:t>...</w:t>
      </w:r>
    </w:p>
    <w:p w:rsidR="00224567" w:rsidRDefault="00224567">
      <w:pPr>
        <w:widowControl w:val="0"/>
      </w:pPr>
      <w:r>
        <w:t>-V: ... Sandra Petrucci, vale la pena hablar con ella? Qué le puedo decir?</w:t>
      </w:r>
    </w:p>
    <w:p w:rsidR="00224567" w:rsidRDefault="00224567">
      <w:pPr>
        <w:widowControl w:val="0"/>
      </w:pPr>
      <w:r>
        <w:t>-T: Ella le puede servir de testigo, para hablar lo de Avellaneda</w:t>
      </w:r>
    </w:p>
    <w:p w:rsidR="00224567" w:rsidRDefault="00224567">
      <w:pPr>
        <w:widowControl w:val="0"/>
      </w:pPr>
      <w:r>
        <w:t>...</w:t>
      </w:r>
    </w:p>
    <w:p w:rsidR="00224567" w:rsidRDefault="00224567">
      <w:pPr>
        <w:widowControl w:val="0"/>
        <w:tabs>
          <w:tab w:val="center" w:pos="0"/>
        </w:tabs>
      </w:pPr>
      <w:r>
        <w:tab/>
        <w:t>Se impone destacar que en el auto de procesamiento y prisión preventiva dictado el 31 de j</w:t>
      </w:r>
      <w:r>
        <w:t>u</w:t>
      </w:r>
      <w:r>
        <w:t>lio de 1996 (fs. 40.171/40.257vta.) respecto del personal p</w:t>
      </w:r>
      <w:r>
        <w:t>o</w:t>
      </w:r>
      <w:r>
        <w:t>licial encausado, el juez Galeano, entre otras probanzas de la causa, citó dos conversaciones que el 2 de febrero de 1995 mantuvo una persona identificada como Carlos con otra cuya ide</w:t>
      </w:r>
      <w:r>
        <w:t>n</w:t>
      </w:r>
      <w:r>
        <w:t>tidad no se estableció, a través de la línea nº 787-4807. Según el magistrado, Carlos sería Telleldín.</w:t>
      </w:r>
    </w:p>
    <w:p w:rsidR="00224567" w:rsidRDefault="00224567">
      <w:pPr>
        <w:widowControl w:val="0"/>
        <w:tabs>
          <w:tab w:val="center" w:pos="0"/>
        </w:tabs>
        <w:rPr>
          <w:lang w:val="es-AR"/>
        </w:rPr>
      </w:pPr>
      <w:r>
        <w:tab/>
        <w:t>Enfatiza el interlocutorio que “</w:t>
      </w:r>
      <w:r>
        <w:rPr>
          <w:lang w:val="es-AR"/>
        </w:rPr>
        <w:t>Cha</w:t>
      </w:r>
      <w:r>
        <w:rPr>
          <w:lang w:val="es-AR"/>
        </w:rPr>
        <w:t>r</w:t>
      </w:r>
      <w:r>
        <w:rPr>
          <w:lang w:val="es-AR"/>
        </w:rPr>
        <w:t>lan sobre diversos temas hasta que en un momento CARLOS manifiesta: “...A MI ME ENTREGARON DOS VECES; ME ENTR</w:t>
      </w:r>
      <w:r>
        <w:rPr>
          <w:lang w:val="es-AR"/>
        </w:rPr>
        <w:t>E</w:t>
      </w:r>
      <w:r>
        <w:rPr>
          <w:lang w:val="es-AR"/>
        </w:rPr>
        <w:t xml:space="preserve">GAN UNA A LANUS, A </w:t>
      </w:r>
      <w:smartTag w:uri="urn:schemas-microsoft-com:office:smarttags" w:element="PersonName">
        <w:smartTagPr>
          <w:attr w:name="ProductID" w:val="LA BRIGADA DE"/>
        </w:smartTagPr>
        <w:r>
          <w:rPr>
            <w:lang w:val="es-AR"/>
          </w:rPr>
          <w:t>LA BRIGADA DE</w:t>
        </w:r>
      </w:smartTag>
      <w:r>
        <w:rPr>
          <w:lang w:val="es-AR"/>
        </w:rPr>
        <w:t xml:space="preserve"> LANUS, ME SACAN 30.000 DOL</w:t>
      </w:r>
      <w:r>
        <w:rPr>
          <w:lang w:val="es-AR"/>
        </w:rPr>
        <w:t>A</w:t>
      </w:r>
      <w:r>
        <w:rPr>
          <w:lang w:val="es-AR"/>
        </w:rPr>
        <w:t>RES, 3 COCHES Y UNA MOTO...”; “...A MI ME SALVA UN COMIS</w:t>
      </w:r>
      <w:r>
        <w:rPr>
          <w:lang w:val="es-AR"/>
        </w:rPr>
        <w:t>A</w:t>
      </w:r>
      <w:r>
        <w:rPr>
          <w:lang w:val="es-AR"/>
        </w:rPr>
        <w:t xml:space="preserve">RIO MAYOR AMIGO DE MI VIEJO; Y TUVE QUE PONER UN RENALUT 18 GXL, UN FALCON Y UNA MOTO </w:t>
      </w:r>
      <w:smartTag w:uri="urn:schemas-microsoft-com:office:smarttags" w:element="metricconverter">
        <w:smartTagPr>
          <w:attr w:name="ProductID" w:val="0 KM"/>
        </w:smartTagPr>
        <w:r>
          <w:rPr>
            <w:lang w:val="es-AR"/>
          </w:rPr>
          <w:t>0 KM</w:t>
        </w:r>
      </w:smartTag>
      <w:r>
        <w:rPr>
          <w:lang w:val="es-AR"/>
        </w:rPr>
        <w:t>.; Y 4.000 DOLARES; Y E</w:t>
      </w:r>
      <w:r>
        <w:rPr>
          <w:lang w:val="es-AR"/>
        </w:rPr>
        <w:t>S</w:t>
      </w:r>
      <w:r>
        <w:rPr>
          <w:lang w:val="es-AR"/>
        </w:rPr>
        <w:t>TUVE DETENIDO POR AVERIGUACION DE ANTECEDENTES CON UNA CHICA QUE S</w:t>
      </w:r>
      <w:r>
        <w:rPr>
          <w:lang w:val="es-AR"/>
        </w:rPr>
        <w:t>A</w:t>
      </w:r>
      <w:r>
        <w:rPr>
          <w:lang w:val="es-AR"/>
        </w:rPr>
        <w:t>LIA CONMIGO...”; “...Y BUENO, ESO ES LANUS; YO ESTUVE EN V</w:t>
      </w:r>
      <w:r>
        <w:rPr>
          <w:lang w:val="es-AR"/>
        </w:rPr>
        <w:t>I</w:t>
      </w:r>
      <w:r>
        <w:rPr>
          <w:lang w:val="es-AR"/>
        </w:rPr>
        <w:t>CENTE LOPEZ, YO TUVE DOS APRETADAS...”</w:t>
      </w:r>
      <w:r>
        <w:rPr>
          <w:b/>
          <w:lang w:val="es-AR"/>
        </w:rPr>
        <w:t xml:space="preserve"> </w:t>
      </w:r>
      <w:r>
        <w:rPr>
          <w:lang w:val="es-AR"/>
        </w:rPr>
        <w:t xml:space="preserve">“...ME AGARRAN EN TORTUGUITAS...”; “...AL CORDOBES LO TUVIERON PRESO, TODA </w:t>
      </w:r>
      <w:smartTag w:uri="urn:schemas-microsoft-com:office:smarttags" w:element="PersonName">
        <w:smartTagPr>
          <w:attr w:name="ProductID" w:val="LA NOCHE PEGANDOLE"/>
        </w:smartTagPr>
        <w:r>
          <w:rPr>
            <w:lang w:val="es-AR"/>
          </w:rPr>
          <w:t>LA NOCHE PEGANDOLE</w:t>
        </w:r>
      </w:smartTag>
      <w:r>
        <w:rPr>
          <w:lang w:val="es-AR"/>
        </w:rPr>
        <w:t xml:space="preserve"> P</w:t>
      </w:r>
      <w:r>
        <w:rPr>
          <w:lang w:val="es-AR"/>
        </w:rPr>
        <w:t>A</w:t>
      </w:r>
      <w:r>
        <w:rPr>
          <w:lang w:val="es-AR"/>
        </w:rPr>
        <w:t>RA QUE DIGA DONDE ESTABA YO,...”.</w:t>
      </w:r>
    </w:p>
    <w:p w:rsidR="00224567" w:rsidRDefault="00224567">
      <w:pPr>
        <w:widowControl w:val="0"/>
        <w:tabs>
          <w:tab w:val="center" w:pos="0"/>
        </w:tabs>
        <w:rPr>
          <w:lang w:val="es-AR"/>
        </w:rPr>
      </w:pPr>
      <w:r>
        <w:rPr>
          <w:lang w:val="es-AR"/>
        </w:rPr>
        <w:tab/>
        <w:t>La otra conversación que citó el in</w:t>
      </w:r>
      <w:r>
        <w:rPr>
          <w:lang w:val="es-AR"/>
        </w:rPr>
        <w:t>s</w:t>
      </w:r>
      <w:r>
        <w:rPr>
          <w:lang w:val="es-AR"/>
        </w:rPr>
        <w:t xml:space="preserve">tructor, es la siguiente: “...A MI ME ENTREGAN... EL 7 DE ABRIL... DE LANUS Y ME SACAN 30.000 DOLARES, YO TE DIJE A VOS, ME SACARON DOS AUTOS, UN FALCON...”; “...Y </w:t>
      </w:r>
      <w:smartTag w:uri="urn:schemas-microsoft-com:office:smarttags" w:element="PersonName">
        <w:smartTagPr>
          <w:attr w:name="ProductID" w:val="LA BRIGADA DE"/>
        </w:smartTagPr>
        <w:r>
          <w:rPr>
            <w:lang w:val="es-AR"/>
          </w:rPr>
          <w:t>LA BRIG</w:t>
        </w:r>
        <w:r>
          <w:rPr>
            <w:lang w:val="es-AR"/>
          </w:rPr>
          <w:t>A</w:t>
        </w:r>
        <w:r>
          <w:rPr>
            <w:lang w:val="es-AR"/>
          </w:rPr>
          <w:t>DA DE</w:t>
        </w:r>
      </w:smartTag>
      <w:r>
        <w:rPr>
          <w:lang w:val="es-AR"/>
        </w:rPr>
        <w:t xml:space="preserve"> VICENTE LOPEZ ME CRUZAN UN AUTO EN </w:t>
      </w:r>
      <w:smartTag w:uri="urn:schemas-microsoft-com:office:smarttags" w:element="PersonName">
        <w:smartTagPr>
          <w:attr w:name="ProductID" w:val="LA PUERTA DE"/>
        </w:smartTagPr>
        <w:r>
          <w:rPr>
            <w:lang w:val="es-AR"/>
          </w:rPr>
          <w:t>LA PUERTA DE</w:t>
        </w:r>
      </w:smartTag>
      <w:r>
        <w:rPr>
          <w:lang w:val="es-AR"/>
        </w:rPr>
        <w:t xml:space="preserve"> CASA, ME ESCAPO Y LE ROMPO LOS AUTOS Y ME VOY”; “...7 DE ABRIL... SI ME VOLTEA ESTA BRIGADA HACIENDO INTELIGENCIA TRES MESES, SABIAN TODO DE MI...” “ESCUCHAME TENGO EL FL</w:t>
      </w:r>
      <w:r>
        <w:rPr>
          <w:lang w:val="es-AR"/>
        </w:rPr>
        <w:t>E</w:t>
      </w:r>
      <w:r>
        <w:rPr>
          <w:lang w:val="es-AR"/>
        </w:rPr>
        <w:t xml:space="preserve">TERO QUE BAJO </w:t>
      </w:r>
      <w:smartTag w:uri="urn:schemas-microsoft-com:office:smarttags" w:element="PersonName">
        <w:smartTagPr>
          <w:attr w:name="ProductID" w:val="LA MOTO Y"/>
        </w:smartTagPr>
        <w:r>
          <w:rPr>
            <w:lang w:val="es-AR"/>
          </w:rPr>
          <w:t>LA MOTO Y</w:t>
        </w:r>
      </w:smartTag>
      <w:r>
        <w:rPr>
          <w:lang w:val="es-AR"/>
        </w:rPr>
        <w:t xml:space="preserve"> </w:t>
      </w:r>
      <w:smartTag w:uri="urn:schemas-microsoft-com:office:smarttags" w:element="PersonName">
        <w:smartTagPr>
          <w:attr w:name="ProductID" w:val="LA ENTREGARON DENTRO"/>
        </w:smartTagPr>
        <w:r>
          <w:rPr>
            <w:lang w:val="es-AR"/>
          </w:rPr>
          <w:t>LA ENTREGARON DENTRO</w:t>
        </w:r>
      </w:smartTag>
      <w:r>
        <w:rPr>
          <w:lang w:val="es-AR"/>
        </w:rPr>
        <w:t xml:space="preserve"> DE </w:t>
      </w:r>
      <w:smartTag w:uri="urn:schemas-microsoft-com:office:smarttags" w:element="PersonName">
        <w:smartTagPr>
          <w:attr w:name="ProductID" w:val="la Brigada"/>
        </w:smartTagPr>
        <w:r>
          <w:rPr>
            <w:lang w:val="es-AR"/>
          </w:rPr>
          <w:t>LA BRIG</w:t>
        </w:r>
        <w:r>
          <w:rPr>
            <w:lang w:val="es-AR"/>
          </w:rPr>
          <w:t>A</w:t>
        </w:r>
        <w:r>
          <w:rPr>
            <w:lang w:val="es-AR"/>
          </w:rPr>
          <w:t>DA</w:t>
        </w:r>
      </w:smartTag>
      <w:r>
        <w:rPr>
          <w:lang w:val="es-AR"/>
        </w:rPr>
        <w:t xml:space="preserve">, UNA MOTO </w:t>
      </w:r>
      <w:smartTag w:uri="urn:schemas-microsoft-com:office:smarttags" w:element="metricconverter">
        <w:smartTagPr>
          <w:attr w:name="ProductID" w:val="0 KM"/>
        </w:smartTagPr>
        <w:r>
          <w:rPr>
            <w:lang w:val="es-AR"/>
          </w:rPr>
          <w:t>0 KM</w:t>
        </w:r>
      </w:smartTag>
      <w:r>
        <w:rPr>
          <w:lang w:val="es-AR"/>
        </w:rPr>
        <w:t xml:space="preserve">. Y AL FLETERO LO TENGO DE TESTIGO, </w:t>
      </w:r>
      <w:smartTag w:uri="urn:schemas-microsoft-com:office:smarttags" w:element="PersonName">
        <w:smartTagPr>
          <w:attr w:name="ProductID" w:val="LA BAJAMOS Y"/>
        </w:smartTagPr>
        <w:r>
          <w:rPr>
            <w:lang w:val="es-AR"/>
          </w:rPr>
          <w:t>LA BAJAMOS Y</w:t>
        </w:r>
      </w:smartTag>
      <w:r>
        <w:rPr>
          <w:lang w:val="es-AR"/>
        </w:rPr>
        <w:t xml:space="preserve"> </w:t>
      </w:r>
      <w:smartTag w:uri="urn:schemas-microsoft-com:office:smarttags" w:element="PersonName">
        <w:smartTagPr>
          <w:attr w:name="ProductID" w:val="LA DEJAMOS ADENTRO"/>
        </w:smartTagPr>
        <w:r>
          <w:rPr>
            <w:lang w:val="es-AR"/>
          </w:rPr>
          <w:t>LA DEJAMOS ADENTRO</w:t>
        </w:r>
      </w:smartTag>
      <w:r>
        <w:rPr>
          <w:lang w:val="es-AR"/>
        </w:rPr>
        <w:t xml:space="preserve"> DE </w:t>
      </w:r>
      <w:smartTag w:uri="urn:schemas-microsoft-com:office:smarttags" w:element="PersonName">
        <w:smartTagPr>
          <w:attr w:name="ProductID" w:val="la Brigada"/>
        </w:smartTagPr>
        <w:r>
          <w:rPr>
            <w:lang w:val="es-AR"/>
          </w:rPr>
          <w:t>LA BRIGADA</w:t>
        </w:r>
      </w:smartTag>
      <w:r>
        <w:rPr>
          <w:lang w:val="es-AR"/>
        </w:rPr>
        <w:t xml:space="preserve">, </w:t>
      </w:r>
      <w:smartTag w:uri="urn:schemas-microsoft-com:office:smarttags" w:element="PersonName">
        <w:smartTagPr>
          <w:attr w:name="ProductID" w:val="LA ENTREGUE AHￍ.."/>
        </w:smartTagPr>
        <w:r>
          <w:rPr>
            <w:lang w:val="es-AR"/>
          </w:rPr>
          <w:t>LA ENTREGUE AHÍ..</w:t>
        </w:r>
      </w:smartTag>
      <w:r>
        <w:rPr>
          <w:lang w:val="es-AR"/>
        </w:rPr>
        <w:t>.” “EL COM</w:t>
      </w:r>
      <w:r>
        <w:rPr>
          <w:lang w:val="es-AR"/>
        </w:rPr>
        <w:t>I</w:t>
      </w:r>
      <w:r>
        <w:rPr>
          <w:lang w:val="es-AR"/>
        </w:rPr>
        <w:t xml:space="preserve">SARIO MAYOR BOTEGUI (así se entiende), QUE ESE FUE EL QUE ARREGLO MI PROBLEMA EL 7 DE ABRIL, VA Y ARREGLA MI PROBLEMA”; “...ENTONCES CUANDO ME HACEN </w:t>
      </w:r>
      <w:smartTag w:uri="urn:schemas-microsoft-com:office:smarttags" w:element="PersonName">
        <w:smartTagPr>
          <w:attr w:name="ProductID" w:val="LA INTELIGENCIA A"/>
        </w:smartTagPr>
        <w:r>
          <w:rPr>
            <w:lang w:val="es-AR"/>
          </w:rPr>
          <w:t>LA I</w:t>
        </w:r>
        <w:r>
          <w:rPr>
            <w:lang w:val="es-AR"/>
          </w:rPr>
          <w:t>N</w:t>
        </w:r>
        <w:r>
          <w:rPr>
            <w:lang w:val="es-AR"/>
          </w:rPr>
          <w:t>TELIGENCIA A</w:t>
        </w:r>
      </w:smartTag>
      <w:r>
        <w:rPr>
          <w:lang w:val="es-AR"/>
        </w:rPr>
        <w:t xml:space="preserve"> MI, VIENE ANTES, UN SUBCOMISARIO ESTABA VE</w:t>
      </w:r>
      <w:r>
        <w:rPr>
          <w:lang w:val="es-AR"/>
        </w:rPr>
        <w:t>S</w:t>
      </w:r>
      <w:r>
        <w:rPr>
          <w:lang w:val="es-AR"/>
        </w:rPr>
        <w:t>TIDO DE CIEGO, YO TE CONTE ESO...”. Quien lo escucha co</w:t>
      </w:r>
      <w:r>
        <w:rPr>
          <w:lang w:val="es-AR"/>
        </w:rPr>
        <w:t>n</w:t>
      </w:r>
      <w:r>
        <w:rPr>
          <w:lang w:val="es-AR"/>
        </w:rPr>
        <w:t xml:space="preserve">testa que no. CARLOS prosigue “EN </w:t>
      </w:r>
      <w:smartTag w:uri="urn:schemas-microsoft-com:office:smarttags" w:element="PersonName">
        <w:smartTagPr>
          <w:attr w:name="ProductID" w:val="LA PUERTA"/>
        </w:smartTagPr>
        <w:r>
          <w:rPr>
            <w:lang w:val="es-AR"/>
          </w:rPr>
          <w:t>LA PUERTA</w:t>
        </w:r>
      </w:smartTag>
      <w:r>
        <w:rPr>
          <w:lang w:val="es-AR"/>
        </w:rPr>
        <w:t xml:space="preserve"> (inintelig</w:t>
      </w:r>
      <w:r>
        <w:rPr>
          <w:lang w:val="es-AR"/>
        </w:rPr>
        <w:t>i</w:t>
      </w:r>
      <w:r>
        <w:rPr>
          <w:lang w:val="es-AR"/>
        </w:rPr>
        <w:t>ble) UN SUBCOMIS</w:t>
      </w:r>
      <w:r>
        <w:rPr>
          <w:lang w:val="es-AR"/>
        </w:rPr>
        <w:t>A</w:t>
      </w:r>
      <w:r>
        <w:rPr>
          <w:lang w:val="es-AR"/>
        </w:rPr>
        <w:t xml:space="preserve">RIO VESTIDO DE CIEGO, Y MOVIA </w:t>
      </w:r>
      <w:smartTag w:uri="urn:schemas-microsoft-com:office:smarttags" w:element="PersonName">
        <w:smartTagPr>
          <w:attr w:name="ProductID" w:val="LA CABEZA"/>
        </w:smartTagPr>
        <w:r>
          <w:rPr>
            <w:lang w:val="es-AR"/>
          </w:rPr>
          <w:t>LA CABEZA</w:t>
        </w:r>
      </w:smartTag>
      <w:r>
        <w:rPr>
          <w:lang w:val="es-AR"/>
        </w:rPr>
        <w:t>, Y YO FUI CON SANDRA Y LE DIJE MIRA VAMONOS QUE ME PARECE QUE TENGO UNA BRIGADA (ininteligible) NUNCA VI A UN CI</w:t>
      </w:r>
      <w:r>
        <w:rPr>
          <w:lang w:val="es-AR"/>
        </w:rPr>
        <w:t>E</w:t>
      </w:r>
      <w:r>
        <w:rPr>
          <w:lang w:val="es-AR"/>
        </w:rPr>
        <w:t xml:space="preserve">GO QUE MUEVA </w:t>
      </w:r>
      <w:smartTag w:uri="urn:schemas-microsoft-com:office:smarttags" w:element="PersonName">
        <w:smartTagPr>
          <w:attr w:name="ProductID" w:val="LA CABEZA"/>
        </w:smartTagPr>
        <w:r>
          <w:rPr>
            <w:lang w:val="es-AR"/>
          </w:rPr>
          <w:t>LA CABEZA</w:t>
        </w:r>
      </w:smartTag>
      <w:r>
        <w:rPr>
          <w:lang w:val="es-AR"/>
        </w:rPr>
        <w:t>, HACIA ASI EL TIPO..., MIRABA LOS C</w:t>
      </w:r>
      <w:r>
        <w:rPr>
          <w:lang w:val="es-AR"/>
        </w:rPr>
        <w:t>O</w:t>
      </w:r>
      <w:r>
        <w:rPr>
          <w:lang w:val="es-AR"/>
        </w:rPr>
        <w:t>CHES, TODO, ME ESTABA ESPERANDO A MI, Y DESPUES ME CUE</w:t>
      </w:r>
      <w:r>
        <w:rPr>
          <w:lang w:val="es-AR"/>
        </w:rPr>
        <w:t>N</w:t>
      </w:r>
      <w:r>
        <w:rPr>
          <w:lang w:val="es-AR"/>
        </w:rPr>
        <w:t>TAN, QUE EL CIEGO ERA EL SUBCOMISARIO ESTE QUE ME DETI</w:t>
      </w:r>
      <w:r>
        <w:rPr>
          <w:lang w:val="es-AR"/>
        </w:rPr>
        <w:t>E</w:t>
      </w:r>
      <w:r>
        <w:rPr>
          <w:lang w:val="es-AR"/>
        </w:rPr>
        <w:t>NE...”.</w:t>
      </w:r>
    </w:p>
    <w:p w:rsidR="00224567" w:rsidRDefault="00224567">
      <w:pPr>
        <w:widowControl w:val="0"/>
        <w:tabs>
          <w:tab w:val="center" w:pos="0"/>
        </w:tabs>
        <w:rPr>
          <w:lang w:val="es-AR"/>
        </w:rPr>
      </w:pPr>
      <w:r>
        <w:rPr>
          <w:lang w:val="es-AR"/>
        </w:rPr>
        <w:tab/>
        <w:t>A tenor del contenido de la convers</w:t>
      </w:r>
      <w:r>
        <w:rPr>
          <w:lang w:val="es-AR"/>
        </w:rPr>
        <w:t>a</w:t>
      </w:r>
      <w:r>
        <w:rPr>
          <w:lang w:val="es-AR"/>
        </w:rPr>
        <w:t>ción, parece evidente que los interlocutores son T</w:t>
      </w:r>
      <w:r>
        <w:rPr>
          <w:lang w:val="es-AR"/>
        </w:rPr>
        <w:t>e</w:t>
      </w:r>
      <w:r>
        <w:rPr>
          <w:lang w:val="es-AR"/>
        </w:rPr>
        <w:t>lleldín y Vergéz. Ello, por otra parte, coi</w:t>
      </w:r>
      <w:r>
        <w:rPr>
          <w:lang w:val="es-AR"/>
        </w:rPr>
        <w:t>n</w:t>
      </w:r>
      <w:r>
        <w:rPr>
          <w:lang w:val="es-AR"/>
        </w:rPr>
        <w:t>cide con lo expresado por Ana María Boragni, acerca de la asiduidad con la que el último llamaba a su marido.</w:t>
      </w:r>
    </w:p>
    <w:p w:rsidR="00224567" w:rsidRDefault="00224567">
      <w:pPr>
        <w:widowControl w:val="0"/>
        <w:tabs>
          <w:tab w:val="center" w:pos="0"/>
        </w:tabs>
        <w:rPr>
          <w:lang w:val="es-AR"/>
        </w:rPr>
      </w:pPr>
      <w:r>
        <w:rPr>
          <w:lang w:val="es-AR"/>
        </w:rPr>
        <w:tab/>
        <w:t>También concuerda la fecha de las co</w:t>
      </w:r>
      <w:r>
        <w:rPr>
          <w:lang w:val="es-AR"/>
        </w:rPr>
        <w:t>n</w:t>
      </w:r>
      <w:r>
        <w:rPr>
          <w:lang w:val="es-AR"/>
        </w:rPr>
        <w:t>versaciones transcriptas con la que luce la nota del Dr. De Gamas (fs. 8749), en la que dejó consta</w:t>
      </w:r>
      <w:r>
        <w:rPr>
          <w:lang w:val="es-AR"/>
        </w:rPr>
        <w:t>n</w:t>
      </w:r>
      <w:r>
        <w:rPr>
          <w:lang w:val="es-AR"/>
        </w:rPr>
        <w:t>cia que Héctor Pedro Vergéz se entrevistó con T</w:t>
      </w:r>
      <w:r>
        <w:rPr>
          <w:lang w:val="es-AR"/>
        </w:rPr>
        <w:t>e</w:t>
      </w:r>
      <w:r>
        <w:rPr>
          <w:lang w:val="es-AR"/>
        </w:rPr>
        <w:t>lleldín en la secretaría; esto es, el 2 de febrero de 1995.</w:t>
      </w:r>
    </w:p>
    <w:p w:rsidR="00224567" w:rsidRDefault="00224567">
      <w:pPr>
        <w:widowControl w:val="0"/>
        <w:rPr>
          <w:b/>
          <w:lang w:val="es-AR"/>
        </w:rPr>
      </w:pPr>
    </w:p>
    <w:p w:rsidR="00224567" w:rsidRDefault="00224567">
      <w:pPr>
        <w:pStyle w:val="Ttulo3"/>
        <w:keepNext w:val="0"/>
        <w:widowControl w:val="0"/>
        <w:rPr>
          <w:lang w:val="es-AR"/>
        </w:rPr>
      </w:pPr>
      <w:r>
        <w:rPr>
          <w:lang w:val="es-AR"/>
        </w:rPr>
        <w:t>D) Comisario Mayor Ramón Oreste Verón. Inexplicable inicio de la causa denominada “Brigadas” nº 1598.</w:t>
      </w:r>
    </w:p>
    <w:p w:rsidR="00224567" w:rsidRDefault="00224567">
      <w:pPr>
        <w:widowControl w:val="0"/>
        <w:tabs>
          <w:tab w:val="center" w:pos="0"/>
        </w:tabs>
      </w:pPr>
      <w:r>
        <w:rPr>
          <w:b/>
          <w:bCs/>
          <w:lang w:val="es-AR"/>
        </w:rPr>
        <w:tab/>
      </w:r>
      <w:r>
        <w:rPr>
          <w:b/>
          <w:bCs/>
        </w:rPr>
        <w:t>D.1)</w:t>
      </w:r>
      <w:r>
        <w:t xml:space="preserve"> El 9 de junio de 1995 (fs. 12.389), el juez Galeano, sin explicitar razón ni remiti</w:t>
      </w:r>
      <w:r>
        <w:t>r</w:t>
      </w:r>
      <w:r>
        <w:t>se a constancia alguna de la causa, dictó la siguiente providencia: “Para actuar dentro del marco de la presente pesquisa, y con el objeto de coordinarse con mayor efect</w:t>
      </w:r>
      <w:r>
        <w:t>i</w:t>
      </w:r>
      <w:r>
        <w:t>vidad las investigaciones que se vienen llevando a cabo como también las que deberán realiza</w:t>
      </w:r>
      <w:r>
        <w:t>r</w:t>
      </w:r>
      <w:r>
        <w:t xml:space="preserve">se, líbrese oficio al Sr. Jefe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Comisario General Pedro Anast</w:t>
      </w:r>
      <w:r>
        <w:t>a</w:t>
      </w:r>
      <w:r>
        <w:t>sio Klodczyk, solicitando su colaboración en la presente causa sumándose así a los e</w:t>
      </w:r>
      <w:r>
        <w:t>s</w:t>
      </w:r>
      <w:r>
        <w:t>fuerzos que los diferentes órganos de seguridad vienen desarr</w:t>
      </w:r>
      <w:r>
        <w:t>o</w:t>
      </w:r>
      <w:r>
        <w:t>llando en la presente</w:t>
      </w:r>
      <w:r>
        <w:rPr>
          <w:b/>
        </w:rPr>
        <w:t>”</w:t>
      </w:r>
      <w:r>
        <w:t>.</w:t>
      </w:r>
    </w:p>
    <w:p w:rsidR="00224567" w:rsidRDefault="00224567">
      <w:pPr>
        <w:widowControl w:val="0"/>
        <w:tabs>
          <w:tab w:val="center" w:pos="0"/>
        </w:tabs>
      </w:pPr>
      <w:r>
        <w:tab/>
        <w:t>Agregó: “En consecuencia, solicítese al nombrado funcionario que efectúe averiguaciones te</w:t>
      </w:r>
      <w:r>
        <w:t>n</w:t>
      </w:r>
      <w:r>
        <w:t>dientes a determinar de un modo minucioso el entorno de la actividad que el imputado Carlos Alberto Telleldín ha r</w:t>
      </w:r>
      <w:r>
        <w:t>e</w:t>
      </w:r>
      <w:r>
        <w:t>ferido llevó a cabo en el á</w:t>
      </w:r>
      <w:r>
        <w:t>m</w:t>
      </w:r>
      <w:r>
        <w:t xml:space="preserve">bito de </w:t>
      </w:r>
      <w:smartTag w:uri="urn:schemas-microsoft-com:office:smarttags" w:element="PersonName">
        <w:smartTagPr>
          <w:attr w:name="ProductID" w:val="la Provincia"/>
        </w:smartTagPr>
        <w:r>
          <w:t>la Provincia</w:t>
        </w:r>
      </w:smartTag>
      <w:r>
        <w:t xml:space="preserve"> de Buenos Aires, como asimismo las relaciones que en función de ello hubiera entablado con personal policial de aquélla provi</w:t>
      </w:r>
      <w:r>
        <w:t>n</w:t>
      </w:r>
      <w:r>
        <w:t>cia</w:t>
      </w:r>
      <w:r>
        <w:rPr>
          <w:b/>
        </w:rPr>
        <w:t>”.</w:t>
      </w:r>
    </w:p>
    <w:p w:rsidR="00224567" w:rsidRDefault="00224567">
      <w:pPr>
        <w:widowControl w:val="0"/>
        <w:tabs>
          <w:tab w:val="center" w:pos="0"/>
        </w:tabs>
      </w:pPr>
      <w:r>
        <w:tab/>
        <w:t>A fs. 12.390 corre agregada la copia del oficio remitido en virtud del auto tran</w:t>
      </w:r>
      <w:r>
        <w:t>s</w:t>
      </w:r>
      <w:r>
        <w:t>cripto.</w:t>
      </w:r>
    </w:p>
    <w:p w:rsidR="00224567" w:rsidRDefault="00224567">
      <w:pPr>
        <w:widowControl w:val="0"/>
        <w:tabs>
          <w:tab w:val="center" w:pos="0"/>
        </w:tabs>
      </w:pPr>
      <w:r>
        <w:tab/>
        <w:t>Dicho oficio fue recibido en la jef</w:t>
      </w:r>
      <w:r>
        <w:t>a</w:t>
      </w:r>
      <w:r>
        <w:t>tura de policía el 22 de junio de ese año, di</w:t>
      </w:r>
      <w:r>
        <w:t>s</w:t>
      </w:r>
      <w:r>
        <w:t xml:space="preserve">poniendo el jefe de la institución el pase a </w:t>
      </w:r>
      <w:smartTag w:uri="urn:schemas-microsoft-com:office:smarttags" w:element="PersonName">
        <w:smartTagPr>
          <w:attr w:name="ProductID" w:val="la Direcci￳n General"/>
        </w:smartTagPr>
        <w:r>
          <w:t>la Dirección General</w:t>
        </w:r>
      </w:smartTag>
      <w:r>
        <w:t xml:space="preserve"> de Investigaciones “a efectos de que designe un funcionario calificado del área, quién deberá ponerse a disposición del Sr. magistrado oficiante, llevando adelante la inve</w:t>
      </w:r>
      <w:r>
        <w:t>s</w:t>
      </w:r>
      <w:r>
        <w:t>tigación pertine</w:t>
      </w:r>
      <w:r>
        <w:t>n</w:t>
      </w:r>
      <w:r>
        <w:t>te” (fs. 37.102).</w:t>
      </w:r>
    </w:p>
    <w:p w:rsidR="00224567" w:rsidRDefault="00224567">
      <w:pPr>
        <w:widowControl w:val="0"/>
        <w:tabs>
          <w:tab w:val="center" w:pos="0"/>
        </w:tabs>
      </w:pPr>
      <w:r>
        <w:tab/>
        <w:t>El 23 de junio de 1995 (fs. 37.103) el Director General de Investigaciones, comisario general A</w:t>
      </w:r>
      <w:r>
        <w:t>r</w:t>
      </w:r>
      <w:r>
        <w:t>mando Antonio Calabró, designó al Director de Coordinación e Inspección, Zona I, comisario mayor R</w:t>
      </w:r>
      <w:r>
        <w:t>a</w:t>
      </w:r>
      <w:r>
        <w:t>món Orestes Verón, a efectos de dar cumplimiento a lo requerido por el juez federal G</w:t>
      </w:r>
      <w:r>
        <w:t>a</w:t>
      </w:r>
      <w:r>
        <w:t>leano.</w:t>
      </w:r>
    </w:p>
    <w:p w:rsidR="00224567" w:rsidRDefault="00224567">
      <w:pPr>
        <w:widowControl w:val="0"/>
        <w:tabs>
          <w:tab w:val="center" w:pos="0"/>
        </w:tabs>
      </w:pPr>
      <w:r>
        <w:tab/>
        <w:t xml:space="preserve">A fs. 37.104, el 28 de junio de 1995, el comisario mayor Verón dispuso: </w:t>
      </w:r>
      <w:r>
        <w:rPr>
          <w:b/>
        </w:rPr>
        <w:t>“</w:t>
      </w:r>
      <w:r>
        <w:t>A fin de determinar aquellas dependencias de esta provincia, que han partic</w:t>
      </w:r>
      <w:r>
        <w:t>i</w:t>
      </w:r>
      <w:r>
        <w:t>pado en procedimientos que involucren o se relacionen con Ca</w:t>
      </w:r>
      <w:r>
        <w:t>r</w:t>
      </w:r>
      <w:r>
        <w:t xml:space="preserve">los Alberto Telleldín, no obstante el informe requerido anteriormente y </w:t>
      </w:r>
      <w:r>
        <w:rPr>
          <w:u w:val="single"/>
        </w:rPr>
        <w:t>en conocimiento de proced</w:t>
      </w:r>
      <w:r>
        <w:rPr>
          <w:u w:val="single"/>
        </w:rPr>
        <w:t>i</w:t>
      </w:r>
      <w:r>
        <w:rPr>
          <w:u w:val="single"/>
        </w:rPr>
        <w:t>mientos llevados a cabo por las Brigadas de Investigaciones</w:t>
      </w:r>
      <w:r>
        <w:t xml:space="preserve"> de Vicente L</w:t>
      </w:r>
      <w:r>
        <w:t>ó</w:t>
      </w:r>
      <w:r>
        <w:t xml:space="preserve">pez y </w:t>
      </w:r>
      <w:r>
        <w:rPr>
          <w:u w:val="single"/>
        </w:rPr>
        <w:t>Lanús</w:t>
      </w:r>
      <w:r>
        <w:t>, relacionado con lo que se investiga líbrese oficio a las citadas dependencias para que informen al respecto” (el subrayado pertenece al Tribunal).</w:t>
      </w:r>
    </w:p>
    <w:p w:rsidR="00224567" w:rsidRDefault="00224567">
      <w:pPr>
        <w:widowControl w:val="0"/>
        <w:tabs>
          <w:tab w:val="center" w:pos="0"/>
        </w:tabs>
      </w:pPr>
      <w:r>
        <w:tab/>
        <w:t>Ahora bien, las constancias all</w:t>
      </w:r>
      <w:r>
        <w:t>e</w:t>
      </w:r>
      <w:r>
        <w:t>gadas al proceso de modo formal y legal, no permit</w:t>
      </w:r>
      <w:r>
        <w:t>í</w:t>
      </w:r>
      <w:r>
        <w:t>an, hasta ese momento, inferir la intervención de personal policial pe</w:t>
      </w:r>
      <w:r>
        <w:t>r</w:t>
      </w:r>
      <w:r>
        <w:t xml:space="preserve">teneciente a </w:t>
      </w:r>
      <w:smartTag w:uri="urn:schemas-microsoft-com:office:smarttags" w:element="PersonName">
        <w:smartTagPr>
          <w:attr w:name="ProductID" w:val="la Brigada"/>
        </w:smartTagPr>
        <w:r>
          <w:t>la Brigada</w:t>
        </w:r>
      </w:smartTag>
      <w:r>
        <w:t xml:space="preserve"> de Investigaciones de Lanús en h</w:t>
      </w:r>
      <w:r>
        <w:t>e</w:t>
      </w:r>
      <w:r>
        <w:t>cho alguno.</w:t>
      </w:r>
    </w:p>
    <w:p w:rsidR="00224567" w:rsidRDefault="00224567">
      <w:pPr>
        <w:widowControl w:val="0"/>
        <w:tabs>
          <w:tab w:val="center" w:pos="0"/>
        </w:tabs>
      </w:pPr>
      <w:r>
        <w:tab/>
        <w:t>Según surgió del debate, en junio de 1995 no existía ninguna referencia en el proceso que pe</w:t>
      </w:r>
      <w:r>
        <w:t>r</w:t>
      </w:r>
      <w:r>
        <w:t>mitiese vincular a Carlos Telleldín con la brigada en cuestión; el nombrado, en sus declaraciones indagatorias ante el juez Galeano, sólo había mencionado a la depende</w:t>
      </w:r>
      <w:r>
        <w:t>n</w:t>
      </w:r>
      <w:r>
        <w:t>cia policial de Vicente L</w:t>
      </w:r>
      <w:r>
        <w:t>ó</w:t>
      </w:r>
      <w:r>
        <w:t>pez.</w:t>
      </w:r>
    </w:p>
    <w:p w:rsidR="00224567" w:rsidRDefault="00224567">
      <w:pPr>
        <w:widowControl w:val="0"/>
        <w:tabs>
          <w:tab w:val="center" w:pos="0"/>
        </w:tabs>
      </w:pPr>
      <w:r>
        <w:tab/>
        <w:t>Al ser interrogado en el debate el c</w:t>
      </w:r>
      <w:r>
        <w:t>o</w:t>
      </w:r>
      <w:r>
        <w:t>misario general Ramón Oreste Verón, nada pudo decir acerca de cómo obtuvo la información que ju</w:t>
      </w:r>
      <w:r>
        <w:t>s</w:t>
      </w:r>
      <w:r>
        <w:t xml:space="preserve">tificase encuestar a </w:t>
      </w:r>
      <w:smartTag w:uri="urn:schemas-microsoft-com:office:smarttags" w:element="PersonName">
        <w:smartTagPr>
          <w:attr w:name="ProductID" w:val="la Brigada"/>
        </w:smartTagPr>
        <w:r>
          <w:t>la Brigada</w:t>
        </w:r>
      </w:smartTag>
      <w:r>
        <w:t xml:space="preserve"> de Investigaciones de Lanús.</w:t>
      </w:r>
    </w:p>
    <w:p w:rsidR="00224567" w:rsidRDefault="00224567">
      <w:pPr>
        <w:widowControl w:val="0"/>
        <w:tabs>
          <w:tab w:val="center" w:pos="0"/>
        </w:tabs>
      </w:pPr>
      <w:r>
        <w:tab/>
        <w:t>Verón, a lo largo de su expos</w:t>
      </w:r>
      <w:r>
        <w:t>i</w:t>
      </w:r>
      <w:r>
        <w:t>ción, se refugió, de manera recurrente, en su falta de r</w:t>
      </w:r>
      <w:r>
        <w:t>e</w:t>
      </w:r>
      <w:r>
        <w:t>cuerdos.</w:t>
      </w:r>
    </w:p>
    <w:p w:rsidR="00224567" w:rsidRDefault="00224567">
      <w:pPr>
        <w:widowControl w:val="0"/>
        <w:tabs>
          <w:tab w:val="center" w:pos="0"/>
        </w:tabs>
      </w:pPr>
      <w:r>
        <w:tab/>
        <w:t>En esa postura, sostuvo que no con</w:t>
      </w:r>
      <w:r>
        <w:t>o</w:t>
      </w:r>
      <w:r>
        <w:t>cía los elementos arrimados a la causa, que su misión era cu</w:t>
      </w:r>
      <w:r>
        <w:t>m</w:t>
      </w:r>
      <w:r>
        <w:t>plimentar los oficios que le remitía el magi</w:t>
      </w:r>
      <w:r>
        <w:t>s</w:t>
      </w:r>
      <w:r>
        <w:t>trado, quien no le daba explicaciones y que todos los datos que obtuvo se los transmitió por e</w:t>
      </w:r>
      <w:r>
        <w:t>s</w:t>
      </w:r>
      <w:r>
        <w:t>crito al juez, no habiéndolo hecho nunca en forma telefónica.</w:t>
      </w:r>
    </w:p>
    <w:p w:rsidR="00224567" w:rsidRDefault="00224567">
      <w:pPr>
        <w:widowControl w:val="0"/>
        <w:tabs>
          <w:tab w:val="center" w:pos="0"/>
        </w:tabs>
      </w:pPr>
      <w:r>
        <w:tab/>
        <w:t>Añadió, que conocía a Stiuso, que p</w:t>
      </w:r>
      <w:r>
        <w:t>u</w:t>
      </w:r>
      <w:r>
        <w:t>dieron haber conversado de la causa, pero que nunca hici</w:t>
      </w:r>
      <w:r>
        <w:t>e</w:t>
      </w:r>
      <w:r>
        <w:t>ron a</w:t>
      </w:r>
      <w:r>
        <w:t>l</w:t>
      </w:r>
      <w:r>
        <w:t>guna tarea en conjunto.</w:t>
      </w:r>
    </w:p>
    <w:p w:rsidR="00224567" w:rsidRDefault="00224567">
      <w:pPr>
        <w:widowControl w:val="0"/>
        <w:tabs>
          <w:tab w:val="center" w:pos="0"/>
        </w:tabs>
      </w:pPr>
      <w:r>
        <w:tab/>
        <w:t>Tampoco explicó el juez federal, en oportunidad de dictar el auto de procesamiento y prisión preventiva (fs. 40.171/40.257vta.) cómo ll</w:t>
      </w:r>
      <w:r>
        <w:t>e</w:t>
      </w:r>
      <w:r>
        <w:t>gó el comisario m</w:t>
      </w:r>
      <w:r>
        <w:t>a</w:t>
      </w:r>
      <w:r>
        <w:t>yor Verón a la brigada de Lanús.</w:t>
      </w:r>
    </w:p>
    <w:p w:rsidR="00224567" w:rsidRDefault="00224567">
      <w:pPr>
        <w:widowControl w:val="0"/>
        <w:tabs>
          <w:tab w:val="center" w:pos="0"/>
        </w:tabs>
      </w:pPr>
      <w:r>
        <w:tab/>
        <w:t>En dicho auto se limitó a señalar: “Así también, y teniendo conocimiento que las Brigadas de Investigaciones de Lanús y Vicente López habían ll</w:t>
      </w:r>
      <w:r>
        <w:t>e</w:t>
      </w:r>
      <w:r>
        <w:t>vado a cabo procedimientos contra el nombrado [Telleldín], les requirió informes al respe</w:t>
      </w:r>
      <w:r>
        <w:t>c</w:t>
      </w:r>
      <w:r>
        <w:t>to”.</w:t>
      </w:r>
    </w:p>
    <w:p w:rsidR="00224567" w:rsidRDefault="00224567">
      <w:pPr>
        <w:widowControl w:val="0"/>
        <w:tabs>
          <w:tab w:val="center" w:pos="0"/>
        </w:tabs>
      </w:pPr>
      <w:r>
        <w:rPr>
          <w:b/>
          <w:bCs/>
        </w:rPr>
        <w:tab/>
        <w:t>D.2)</w:t>
      </w:r>
      <w:r>
        <w:t xml:space="preserve"> A fs. 37.551/37.555, luce el r</w:t>
      </w:r>
      <w:r>
        <w:t>e</w:t>
      </w:r>
      <w:r>
        <w:t>querimiento de instrucción formulado en la causa “Brig</w:t>
      </w:r>
      <w:r>
        <w:t>a</w:t>
      </w:r>
      <w:r>
        <w:t>das”, nº 1598, por el fiscal federal adjunto, Dr. J</w:t>
      </w:r>
      <w:r>
        <w:t>o</w:t>
      </w:r>
      <w:r>
        <w:t>sé C. Barba</w:t>
      </w:r>
      <w:r>
        <w:t>c</w:t>
      </w:r>
      <w:r>
        <w:t>cia.</w:t>
      </w:r>
    </w:p>
    <w:p w:rsidR="00224567" w:rsidRDefault="00224567">
      <w:pPr>
        <w:widowControl w:val="0"/>
        <w:tabs>
          <w:tab w:val="center" w:pos="0"/>
        </w:tabs>
      </w:pPr>
      <w:r>
        <w:tab/>
        <w:t>Allí, el representante del Mini</w:t>
      </w:r>
      <w:r>
        <w:t>s</w:t>
      </w:r>
      <w:r>
        <w:t>terio Público Fiscal, tras individualizar a los funcionarios p</w:t>
      </w:r>
      <w:r>
        <w:t>o</w:t>
      </w:r>
      <w:r>
        <w:t>liciales imputados, fundamentó su presentación sobre los siguientes puntos:</w:t>
      </w:r>
    </w:p>
    <w:p w:rsidR="00224567" w:rsidRDefault="00224567">
      <w:pPr>
        <w:widowControl w:val="0"/>
        <w:tabs>
          <w:tab w:val="center" w:pos="0"/>
        </w:tabs>
      </w:pPr>
      <w:r>
        <w:rPr>
          <w:b/>
        </w:rPr>
        <w:tab/>
        <w:t>a)</w:t>
      </w:r>
      <w:r>
        <w:t xml:space="preserve"> la declaración indagatoria de Ca</w:t>
      </w:r>
      <w:r>
        <w:t>r</w:t>
      </w:r>
      <w:r>
        <w:t>los T</w:t>
      </w:r>
      <w:r>
        <w:t>e</w:t>
      </w:r>
      <w:r>
        <w:t>lleldín del 8 de agosto de 1994.</w:t>
      </w:r>
    </w:p>
    <w:p w:rsidR="00224567" w:rsidRDefault="00224567">
      <w:pPr>
        <w:widowControl w:val="0"/>
        <w:tabs>
          <w:tab w:val="center" w:pos="0"/>
        </w:tabs>
      </w:pPr>
      <w:r>
        <w:rPr>
          <w:b/>
        </w:rPr>
        <w:tab/>
        <w:t>b)</w:t>
      </w:r>
      <w:r>
        <w:t xml:space="preserve"> las actuaciones labradas por el c</w:t>
      </w:r>
      <w:r>
        <w:t>o</w:t>
      </w:r>
      <w:r>
        <w:t>misario mayor Verón al requerírsele que investigue el e</w:t>
      </w:r>
      <w:r>
        <w:t>n</w:t>
      </w:r>
      <w:r>
        <w:t>torno de Telleldín.</w:t>
      </w:r>
    </w:p>
    <w:p w:rsidR="00224567" w:rsidRDefault="00224567">
      <w:pPr>
        <w:widowControl w:val="0"/>
        <w:tabs>
          <w:tab w:val="center" w:pos="0"/>
        </w:tabs>
      </w:pPr>
      <w:r>
        <w:rPr>
          <w:b/>
        </w:rPr>
        <w:tab/>
        <w:t>c)</w:t>
      </w:r>
      <w:r>
        <w:t xml:space="preserve"> las actuaciones caratuladas “Leg</w:t>
      </w:r>
      <w:r>
        <w:t>a</w:t>
      </w:r>
      <w:r>
        <w:t xml:space="preserve">jo relacionado con informes suministrados por </w:t>
      </w:r>
      <w:smartTag w:uri="urn:schemas-microsoft-com:office:smarttags" w:element="PersonName">
        <w:smartTagPr>
          <w:attr w:name="ProductID" w:val="la Dra. Luisa"/>
        </w:smartTagPr>
        <w:r>
          <w:t>la Dra. Luisa</w:t>
        </w:r>
      </w:smartTag>
      <w:r>
        <w:t xml:space="preserve"> Riva Aramayo sobre la base de las manifestaciones de Ca</w:t>
      </w:r>
      <w:r>
        <w:t>r</w:t>
      </w:r>
      <w:r>
        <w:t>los Telleldín”.</w:t>
      </w:r>
    </w:p>
    <w:p w:rsidR="00224567" w:rsidRDefault="00224567">
      <w:pPr>
        <w:widowControl w:val="0"/>
        <w:tabs>
          <w:tab w:val="center" w:pos="0"/>
        </w:tabs>
      </w:pPr>
      <w:r>
        <w:tab/>
        <w:t>Varios son los reparos que merece el requerimiento fiscal, que afectan su esencia como acto procesal legítimo.</w:t>
      </w:r>
    </w:p>
    <w:p w:rsidR="00224567" w:rsidRDefault="00224567">
      <w:pPr>
        <w:widowControl w:val="0"/>
        <w:tabs>
          <w:tab w:val="center" w:pos="0"/>
        </w:tabs>
      </w:pPr>
      <w:r>
        <w:tab/>
        <w:t>En efecto, sabido es que el proceso penal está constituido por la concatenación de actos vál</w:t>
      </w:r>
      <w:r>
        <w:t>i</w:t>
      </w:r>
      <w:r>
        <w:t>dos, tendientes a preparar, desarrollar y poner fin, m</w:t>
      </w:r>
      <w:r>
        <w:t>e</w:t>
      </w:r>
      <w:r>
        <w:t>diante la sentencia, a un pleito cuya certeza y legalidad debe resultar incontrovertible. Hace a su esencia la pos</w:t>
      </w:r>
      <w:r>
        <w:t>i</w:t>
      </w:r>
      <w:r>
        <w:t>bilidad de conocer y controlar por parte de los justici</w:t>
      </w:r>
      <w:r>
        <w:t>a</w:t>
      </w:r>
      <w:r>
        <w:t>bles el origen y modo en que se colectaron las pruebas e informaciones empleadas en su perjuicio; esto es, de co</w:t>
      </w:r>
      <w:r>
        <w:t>n</w:t>
      </w:r>
      <w:r>
        <w:t>tar con la posibilidad, cierta y amplia, de contradeci</w:t>
      </w:r>
      <w:r>
        <w:t>r</w:t>
      </w:r>
      <w:r>
        <w:t>las.</w:t>
      </w:r>
    </w:p>
    <w:p w:rsidR="00224567" w:rsidRDefault="00224567">
      <w:pPr>
        <w:widowControl w:val="0"/>
        <w:tabs>
          <w:tab w:val="center" w:pos="0"/>
        </w:tabs>
      </w:pPr>
      <w:r>
        <w:tab/>
        <w:t>Sentado ello, es preciso dest</w:t>
      </w:r>
      <w:r>
        <w:t>a</w:t>
      </w:r>
      <w:r>
        <w:t>car, en primer lugar, que el fiscal en su escrito pretende prese</w:t>
      </w:r>
      <w:r>
        <w:t>n</w:t>
      </w:r>
      <w:r>
        <w:t>tar como una consecuencia inmediata y necesaria de la d</w:t>
      </w:r>
      <w:r>
        <w:t>e</w:t>
      </w:r>
      <w:r>
        <w:t>claración indagatoria de Telleldín del 8 de agosto de 1994, el pedido efectuado por el magistrado instru</w:t>
      </w:r>
      <w:r>
        <w:t>c</w:t>
      </w:r>
      <w:r>
        <w:t>tor el 9 de j</w:t>
      </w:r>
      <w:r>
        <w:t>u</w:t>
      </w:r>
      <w:r>
        <w:t>nio de 1995 (fs. 12.389).</w:t>
      </w:r>
    </w:p>
    <w:p w:rsidR="00224567" w:rsidRDefault="00224567">
      <w:pPr>
        <w:widowControl w:val="0"/>
        <w:tabs>
          <w:tab w:val="center" w:pos="0"/>
        </w:tabs>
      </w:pPr>
      <w:r>
        <w:tab/>
        <w:t>El tiempo transcurrido, casi un año, contradice la pretensión del Dr. Barbaccia; ello sin pe</w:t>
      </w:r>
      <w:r>
        <w:t>r</w:t>
      </w:r>
      <w:r>
        <w:t>juicio de resaltar que durante esa declaración ind</w:t>
      </w:r>
      <w:r>
        <w:t>a</w:t>
      </w:r>
      <w:r>
        <w:t xml:space="preserve">gatoria Telleldín no mencionó a </w:t>
      </w:r>
      <w:smartTag w:uri="urn:schemas-microsoft-com:office:smarttags" w:element="PersonName">
        <w:smartTagPr>
          <w:attr w:name="ProductID" w:val="la Brigada"/>
        </w:smartTagPr>
        <w:r>
          <w:t>la Brigada</w:t>
        </w:r>
      </w:smartTag>
      <w:r>
        <w:t xml:space="preserve"> de Investigaciones de Lanús.</w:t>
      </w:r>
    </w:p>
    <w:p w:rsidR="00224567" w:rsidRDefault="00224567">
      <w:pPr>
        <w:widowControl w:val="0"/>
        <w:tabs>
          <w:tab w:val="center" w:pos="0"/>
        </w:tabs>
      </w:pPr>
      <w:r>
        <w:tab/>
        <w:t>Así, entonces, no surge de las actu</w:t>
      </w:r>
      <w:r>
        <w:t>a</w:t>
      </w:r>
      <w:r>
        <w:t>ciones cómo llegó Verón, a través de qué vía, a la menci</w:t>
      </w:r>
      <w:r>
        <w:t>o</w:t>
      </w:r>
      <w:r>
        <w:t>nada d</w:t>
      </w:r>
      <w:r>
        <w:t>e</w:t>
      </w:r>
      <w:r>
        <w:t xml:space="preserve">pendencia de </w:t>
      </w:r>
      <w:smartTag w:uri="urn:schemas-microsoft-com:office:smarttags" w:element="PersonName">
        <w:smartTagPr>
          <w:attr w:name="ProductID" w:val="la Polic￭a Bonaerense."/>
        </w:smartTagPr>
        <w:r>
          <w:t>la Policía Bonaerense.</w:t>
        </w:r>
      </w:smartTag>
    </w:p>
    <w:p w:rsidR="00224567" w:rsidRDefault="00224567">
      <w:pPr>
        <w:widowControl w:val="0"/>
        <w:tabs>
          <w:tab w:val="center" w:pos="0"/>
        </w:tabs>
      </w:pPr>
      <w:r>
        <w:tab/>
        <w:t>La prueba colectada en el debate d</w:t>
      </w:r>
      <w:r>
        <w:t>e</w:t>
      </w:r>
      <w:r>
        <w:t>mostró que sólo se podía llegar a la mentada dependencia policial recurriendo a la información que, de modo ilegal, había obtenido, con conocimiento del juez, el capitán Ve</w:t>
      </w:r>
      <w:r>
        <w:t>r</w:t>
      </w:r>
      <w:r>
        <w:t>géz; extremo que contamina ese camino, convirtiéndolo en esp</w:t>
      </w:r>
      <w:r>
        <w:t>u</w:t>
      </w:r>
      <w:r>
        <w:t>rio.</w:t>
      </w:r>
    </w:p>
    <w:p w:rsidR="00224567" w:rsidRDefault="00224567">
      <w:pPr>
        <w:widowControl w:val="0"/>
        <w:tabs>
          <w:tab w:val="center" w:pos="0"/>
        </w:tabs>
      </w:pPr>
      <w:r>
        <w:tab/>
        <w:t>Adolece de igual vicio el “Legajo r</w:t>
      </w:r>
      <w:r>
        <w:t>e</w:t>
      </w:r>
      <w:r>
        <w:t xml:space="preserve">lacionado con informes suministrados por </w:t>
      </w:r>
      <w:smartTag w:uri="urn:schemas-microsoft-com:office:smarttags" w:element="PersonName">
        <w:smartTagPr>
          <w:attr w:name="ProductID" w:val="la Dra. Luisa"/>
        </w:smartTagPr>
        <w:r>
          <w:t>la Dra. Luisa</w:t>
        </w:r>
      </w:smartTag>
      <w:r>
        <w:t xml:space="preserve"> R</w:t>
      </w:r>
      <w:r>
        <w:t>i</w:t>
      </w:r>
      <w:r>
        <w:t>va Aramayo en base a manifestaciones de Carlos T</w:t>
      </w:r>
      <w:r>
        <w:t>e</w:t>
      </w:r>
      <w:r>
        <w:t>lleldín” dado que, como más adelante se verá, la actividad de la jueza también fue ilegítima e ilegal.</w:t>
      </w:r>
    </w:p>
    <w:p w:rsidR="00224567" w:rsidRDefault="00224567">
      <w:pPr>
        <w:widowControl w:val="0"/>
        <w:tabs>
          <w:tab w:val="center" w:pos="0"/>
        </w:tabs>
      </w:pPr>
      <w:r>
        <w:tab/>
        <w:t>En tales condiciones, por las r</w:t>
      </w:r>
      <w:r>
        <w:t>a</w:t>
      </w:r>
      <w:r>
        <w:t>zones expuestas, sólo cabe concluir que el requerimiento fi</w:t>
      </w:r>
      <w:r>
        <w:t>s</w:t>
      </w:r>
      <w:r>
        <w:t>cal carecía de virtualidad para impulsar la investig</w:t>
      </w:r>
      <w:r>
        <w:t>a</w:t>
      </w:r>
      <w:r>
        <w:t>ción.</w:t>
      </w:r>
    </w:p>
    <w:p w:rsidR="00224567" w:rsidRDefault="00224567">
      <w:pPr>
        <w:widowControl w:val="0"/>
        <w:tabs>
          <w:tab w:val="center" w:pos="0"/>
        </w:tabs>
      </w:pPr>
      <w:r>
        <w:tab/>
        <w:t>Por otra parte, los hechos por los cuales el agente fiscal podía requerir la in</w:t>
      </w:r>
      <w:r>
        <w:t>s</w:t>
      </w:r>
      <w:r>
        <w:t>trucción, por contar con elementos de origen conoc</w:t>
      </w:r>
      <w:r>
        <w:t>i</w:t>
      </w:r>
      <w:r>
        <w:t>do, resultaban ajenos a la competencia del juzgado federal por ser de naturaleza c</w:t>
      </w:r>
      <w:r>
        <w:t>o</w:t>
      </w:r>
      <w:r>
        <w:t>mún y acaecidos en extraña jurisdicción.</w:t>
      </w:r>
    </w:p>
    <w:p w:rsidR="00224567" w:rsidRDefault="00224567">
      <w:pPr>
        <w:widowControl w:val="0"/>
        <w:tabs>
          <w:tab w:val="center" w:pos="0"/>
        </w:tabs>
      </w:pPr>
      <w:r>
        <w:tab/>
        <w:t>No es menos cierto que los delitos c</w:t>
      </w:r>
      <w:r>
        <w:t>o</w:t>
      </w:r>
      <w:r>
        <w:t>munes, cuya investigación solicitó el fiscal Barba</w:t>
      </w:r>
      <w:r>
        <w:t>c</w:t>
      </w:r>
      <w:r>
        <w:t xml:space="preserve">cia en </w:t>
      </w:r>
      <w:r>
        <w:rPr>
          <w:bCs/>
        </w:rPr>
        <w:t>octubre de 1995</w:t>
      </w:r>
      <w:r>
        <w:t xml:space="preserve"> (fs. 37.551/37.555), eran con</w:t>
      </w:r>
      <w:r>
        <w:t>o</w:t>
      </w:r>
      <w:r>
        <w:t xml:space="preserve">cidos desde el 6 de </w:t>
      </w:r>
      <w:r>
        <w:rPr>
          <w:bCs/>
        </w:rPr>
        <w:t>agosto de 1994; fecha en</w:t>
      </w:r>
      <w:r>
        <w:rPr>
          <w:b/>
        </w:rPr>
        <w:t xml:space="preserve"> </w:t>
      </w:r>
      <w:r>
        <w:t>que Telleldín amplió su declar</w:t>
      </w:r>
      <w:r>
        <w:t>a</w:t>
      </w:r>
      <w:r>
        <w:t>ción indagatoria (fs. 2197/2213).</w:t>
      </w:r>
    </w:p>
    <w:p w:rsidR="00224567" w:rsidRDefault="00224567">
      <w:pPr>
        <w:widowControl w:val="0"/>
        <w:tabs>
          <w:tab w:val="center" w:pos="0"/>
        </w:tabs>
      </w:pPr>
      <w:r>
        <w:tab/>
        <w:t>Resulta evidente, entonces, que no fueron las pruebas colectadas en el proceso las que gui</w:t>
      </w:r>
      <w:r>
        <w:t>a</w:t>
      </w:r>
      <w:r>
        <w:t xml:space="preserve">ron al juez, a Verón y a los fiscales hacia </w:t>
      </w:r>
      <w:smartTag w:uri="urn:schemas-microsoft-com:office:smarttags" w:element="PersonName">
        <w:smartTagPr>
          <w:attr w:name="ProductID" w:val="la Brigada"/>
        </w:smartTagPr>
        <w:r>
          <w:t>la Br</w:t>
        </w:r>
        <w:r>
          <w:t>i</w:t>
        </w:r>
        <w:r>
          <w:t>gada</w:t>
        </w:r>
      </w:smartTag>
      <w:r>
        <w:t xml:space="preserve"> de Investigaciones de Lanús, sino las que resultaban de la llamada “causa virtual”; rótulo que comprendía, como se dijo, todo lo que se realizaba por fuera del proceso, a espaldas de casi todas las partes. Luego esa prueba, que en los casos en que así se procedió siempre era cargosa, se incorporaba por cualquier vía al proceso, algunas veces también ignorada por los i</w:t>
      </w:r>
      <w:r>
        <w:t>n</w:t>
      </w:r>
      <w:r>
        <w:t>teresados.</w:t>
      </w:r>
    </w:p>
    <w:p w:rsidR="00224567" w:rsidRDefault="00224567">
      <w:pPr>
        <w:widowControl w:val="0"/>
        <w:tabs>
          <w:tab w:val="center" w:pos="0"/>
        </w:tabs>
      </w:pPr>
      <w:r>
        <w:tab/>
        <w:t>Ilustrativo de tal proceder resultan los videos del 10 de abril y 1º de julio de 1996, las “e</w:t>
      </w:r>
      <w:r>
        <w:t>n</w:t>
      </w:r>
      <w:r>
        <w:t>tr</w:t>
      </w:r>
      <w:r>
        <w:t>e</w:t>
      </w:r>
      <w:r>
        <w:t xml:space="preserve">vistas” de Telleldín con la jueza Riva Aramayo, el pago de U$S </w:t>
      </w:r>
      <w:smartTag w:uri="urn:schemas-microsoft-com:office:smarttags" w:element="metricconverter">
        <w:smartTagPr>
          <w:attr w:name="ProductID" w:val="400.000 a"/>
        </w:smartTagPr>
        <w:r>
          <w:t>400.000 a</w:t>
        </w:r>
      </w:smartTag>
      <w:r>
        <w:t xml:space="preserve"> Telleldín, las amenazas a Semorile y el sobreseimiento a Miriam Salinas, entre otros.</w:t>
      </w:r>
    </w:p>
    <w:p w:rsidR="00224567" w:rsidRDefault="00224567">
      <w:pPr>
        <w:widowControl w:val="0"/>
        <w:tabs>
          <w:tab w:val="center" w:pos="0"/>
        </w:tabs>
      </w:pPr>
      <w:r>
        <w:rPr>
          <w:b/>
          <w:bCs/>
        </w:rPr>
        <w:tab/>
        <w:t>D.3)</w:t>
      </w:r>
      <w:r>
        <w:t xml:space="preserve"> Carlos Alberto Telleldín menci</w:t>
      </w:r>
      <w:r>
        <w:t>o</w:t>
      </w:r>
      <w:r>
        <w:t>nó por primera vez a Sandra Marisa Petrucci en oport</w:t>
      </w:r>
      <w:r>
        <w:t>u</w:t>
      </w:r>
      <w:r>
        <w:t>nidad de ampliar su indagatoria el 6 de agosto de 1994 (fs. 2207vta.), mientras que la nombrada prestó declaración testimonial el 27 de septiembre de 1994 (fs. 4261), oc</w:t>
      </w:r>
      <w:r>
        <w:t>a</w:t>
      </w:r>
      <w:r>
        <w:t xml:space="preserve">sión en la que nada manifestó respecto de su detención en </w:t>
      </w:r>
      <w:smartTag w:uri="urn:schemas-microsoft-com:office:smarttags" w:element="PersonName">
        <w:smartTagPr>
          <w:attr w:name="ProductID" w:val="la Brigada"/>
        </w:smartTagPr>
        <w:r>
          <w:t>la Brigada</w:t>
        </w:r>
      </w:smartTag>
      <w:r>
        <w:t xml:space="preserve"> de Investigaciones de Lanús; aspecto sobre el que tampoco fue interrogada.</w:t>
      </w:r>
    </w:p>
    <w:p w:rsidR="00224567" w:rsidRDefault="00224567">
      <w:pPr>
        <w:widowControl w:val="0"/>
        <w:tabs>
          <w:tab w:val="center" w:pos="0"/>
        </w:tabs>
      </w:pPr>
      <w:r>
        <w:tab/>
        <w:t xml:space="preserve">Petrucci fue convocada nuevamente a declarar el 11 de octubre de 1995, de forma urgente, por lo que el juez dispuso que personal de </w:t>
      </w:r>
      <w:smartTag w:uri="urn:schemas-microsoft-com:office:smarttags" w:element="PersonName">
        <w:smartTagPr>
          <w:attr w:name="ProductID" w:val="la Superintendencia"/>
        </w:smartTagPr>
        <w:r>
          <w:t>la Superi</w:t>
        </w:r>
        <w:r>
          <w:t>n</w:t>
        </w:r>
        <w:r>
          <w:t>tendencia</w:t>
        </w:r>
      </w:smartTag>
      <w:r>
        <w:t xml:space="preserve"> de Drogas Peligrosas de </w:t>
      </w:r>
      <w:smartTag w:uri="urn:schemas-microsoft-com:office:smarttags" w:element="PersonName">
        <w:smartTagPr>
          <w:attr w:name="ProductID" w:val="la Polic￭a Federal"/>
        </w:smartTagPr>
        <w:r>
          <w:t>la Policía Federal</w:t>
        </w:r>
      </w:smartTag>
      <w:r>
        <w:t>, la trasladase al juzgado (fs. 17.891).</w:t>
      </w:r>
    </w:p>
    <w:p w:rsidR="00224567" w:rsidRDefault="00224567">
      <w:pPr>
        <w:widowControl w:val="0"/>
        <w:tabs>
          <w:tab w:val="center" w:pos="0"/>
        </w:tabs>
      </w:pPr>
      <w:r>
        <w:tab/>
        <w:t>A fs. 17.929/17.943, la nombrada, e</w:t>
      </w:r>
      <w:r>
        <w:t>n</w:t>
      </w:r>
      <w:r>
        <w:t>tre otras circunstancias, se explayó sobre los sucesos acaec</w:t>
      </w:r>
      <w:r>
        <w:t>i</w:t>
      </w:r>
      <w:r>
        <w:t xml:space="preserve">dos en </w:t>
      </w:r>
      <w:smartTag w:uri="urn:schemas-microsoft-com:office:smarttags" w:element="PersonName">
        <w:smartTagPr>
          <w:attr w:name="ProductID" w:val="la Brigada"/>
        </w:smartTagPr>
        <w:r>
          <w:t>la Brigada</w:t>
        </w:r>
      </w:smartTag>
      <w:r>
        <w:t xml:space="preserve"> de Lanús.</w:t>
      </w:r>
    </w:p>
    <w:p w:rsidR="00224567" w:rsidRDefault="00224567">
      <w:pPr>
        <w:widowControl w:val="0"/>
        <w:tabs>
          <w:tab w:val="center" w:pos="0"/>
        </w:tabs>
      </w:pPr>
      <w:r>
        <w:tab/>
        <w:t>También el 11 de octubre de 1995 d</w:t>
      </w:r>
      <w:r>
        <w:t>e</w:t>
      </w:r>
      <w:r>
        <w:t>claró como testigo de identidad reservada, letra “K”, M</w:t>
      </w:r>
      <w:r>
        <w:t>i</w:t>
      </w:r>
      <w:r>
        <w:t>riam R</w:t>
      </w:r>
      <w:r>
        <w:t>a</w:t>
      </w:r>
      <w:r>
        <w:t>quel Salinas, quien en su exposición -acerca de la cual, más adelante, habrán de formularse una serie de co</w:t>
      </w:r>
      <w:r>
        <w:t>n</w:t>
      </w:r>
      <w:r>
        <w:t>sideraciones- aludió a que Sandra Petrucci y Telleldín fueron detenidos en la localidad de Tortuguitas y luego traslad</w:t>
      </w:r>
      <w:r>
        <w:t>a</w:t>
      </w:r>
      <w:r>
        <w:t xml:space="preserve">dos a </w:t>
      </w:r>
      <w:smartTag w:uri="urn:schemas-microsoft-com:office:smarttags" w:element="PersonName">
        <w:smartTagPr>
          <w:attr w:name="ProductID" w:val="la Brigada"/>
        </w:smartTagPr>
        <w:r>
          <w:t>la Brigada</w:t>
        </w:r>
      </w:smartTag>
      <w:r>
        <w:t xml:space="preserve"> de Lanús.</w:t>
      </w:r>
    </w:p>
    <w:p w:rsidR="00224567" w:rsidRDefault="00224567">
      <w:pPr>
        <w:widowControl w:val="0"/>
        <w:tabs>
          <w:tab w:val="center" w:pos="0"/>
        </w:tabs>
      </w:pPr>
      <w:r>
        <w:tab/>
        <w:t>Por tanto, las declaraciones de las testigos mencionadas, por las fechas en que fueron prest</w:t>
      </w:r>
      <w:r>
        <w:t>a</w:t>
      </w:r>
      <w:r>
        <w:t>das, tampoco podían dar basamento para que el 28 de junio de 1995 el comisario mayor Verón encaminara la investig</w:t>
      </w:r>
      <w:r>
        <w:t>a</w:t>
      </w:r>
      <w:r>
        <w:t>ción hacia la mencionada brig</w:t>
      </w:r>
      <w:r>
        <w:t>a</w:t>
      </w:r>
      <w:r>
        <w:t>da.</w:t>
      </w:r>
    </w:p>
    <w:p w:rsidR="00224567" w:rsidRDefault="00224567">
      <w:pPr>
        <w:widowControl w:val="0"/>
        <w:tabs>
          <w:tab w:val="center" w:pos="0"/>
        </w:tabs>
      </w:pPr>
      <w:r>
        <w:rPr>
          <w:b/>
          <w:bCs/>
        </w:rPr>
        <w:tab/>
        <w:t>D.4)</w:t>
      </w:r>
      <w:r>
        <w:t xml:space="preserve"> Ahora bien, no puede dejar de r</w:t>
      </w:r>
      <w:r>
        <w:t>e</w:t>
      </w:r>
      <w:r>
        <w:t>saltarse que la línea nº 787-4807, ubicada en Fra</w:t>
      </w:r>
      <w:r>
        <w:t>n</w:t>
      </w:r>
      <w:r>
        <w:t>klin D. Roosevelt 2462, 3º 2ª, de esta capital, domicilio de Ana María Boragni, fue intervenida el 9 de marzo de 1995, me</w:t>
      </w:r>
      <w:r>
        <w:t>n</w:t>
      </w:r>
      <w:r>
        <w:t>cionándose como único fundame</w:t>
      </w:r>
      <w:r>
        <w:t>n</w:t>
      </w:r>
      <w:r>
        <w:t>to que era “de interés para la investigación” (fs. 9970). Esa medida había sido requ</w:t>
      </w:r>
      <w:r>
        <w:t>e</w:t>
      </w:r>
      <w:r>
        <w:t>rida en la misma fecha por Juan Carlos Anchezar, subsecr</w:t>
      </w:r>
      <w:r>
        <w:t>e</w:t>
      </w:r>
      <w:r>
        <w:t>tario de inteligencia de est</w:t>
      </w:r>
      <w:r>
        <w:t>a</w:t>
      </w:r>
      <w:r>
        <w:t>do, también por considerarlo de interés para la causa (fs. 9968/9969).</w:t>
      </w:r>
    </w:p>
    <w:p w:rsidR="00224567" w:rsidRDefault="00224567">
      <w:pPr>
        <w:widowControl w:val="0"/>
        <w:tabs>
          <w:tab w:val="center" w:pos="0"/>
        </w:tabs>
      </w:pPr>
      <w:r>
        <w:tab/>
        <w:t>Del simple cotejo de las fechas entre las conversaciones del 2 de febrero de 1995, citada por el juez Galeano en el auto de procesamiento y prisión preve</w:t>
      </w:r>
      <w:r>
        <w:t>n</w:t>
      </w:r>
      <w:r>
        <w:t>tiva y la providencia que dispuso intervenir la línea nº 787-4807, resulta con evidencia que Ana María Boragni v</w:t>
      </w:r>
      <w:r>
        <w:t>e</w:t>
      </w:r>
      <w:r>
        <w:t>nía siendo escuchada sin que mediara la pertinente orden judicial.</w:t>
      </w:r>
    </w:p>
    <w:p w:rsidR="00224567" w:rsidRDefault="00224567">
      <w:pPr>
        <w:widowControl w:val="0"/>
        <w:tabs>
          <w:tab w:val="center" w:pos="0"/>
        </w:tabs>
      </w:pPr>
      <w:r>
        <w:tab/>
        <w:t>La ilegalidad expuesta se confirma a partir de las siguientes circunstancias:</w:t>
      </w:r>
    </w:p>
    <w:p w:rsidR="00224567" w:rsidRDefault="00224567">
      <w:pPr>
        <w:widowControl w:val="0"/>
        <w:tabs>
          <w:tab w:val="center" w:pos="0"/>
        </w:tabs>
      </w:pPr>
      <w:r>
        <w:rPr>
          <w:b/>
          <w:bCs/>
        </w:rPr>
        <w:tab/>
        <w:t>a)</w:t>
      </w:r>
      <w:r>
        <w:t xml:space="preserve"> las primeras transcripciones de la línea 787-4807 datan del 10 de marzo de 1995, es decir, del día posterior al de la orden del juez; no obstante, en la foja 1 del primer cuerpo de transcripciones de la línea menci</w:t>
      </w:r>
      <w:r>
        <w:t>o</w:t>
      </w:r>
      <w:r>
        <w:t>nada se indica que corresponde al casete nº 4.</w:t>
      </w:r>
    </w:p>
    <w:p w:rsidR="00224567" w:rsidRDefault="00224567">
      <w:pPr>
        <w:widowControl w:val="0"/>
        <w:tabs>
          <w:tab w:val="center" w:pos="0"/>
        </w:tabs>
      </w:pPr>
      <w:r>
        <w:rPr>
          <w:b/>
          <w:bCs/>
        </w:rPr>
        <w:tab/>
        <w:t>b)</w:t>
      </w:r>
      <w:r>
        <w:t xml:space="preserve"> a fs. 118.070, en oportunidad de remitir el director de Asuntos Jurídicos de </w:t>
      </w:r>
      <w:smartTag w:uri="urn:schemas-microsoft-com:office:smarttags" w:element="PersonName">
        <w:smartTagPr>
          <w:attr w:name="ProductID" w:val="la Secretar￭a"/>
        </w:smartTagPr>
        <w:r>
          <w:t>la Secret</w:t>
        </w:r>
        <w:r>
          <w:t>a</w:t>
        </w:r>
        <w:r>
          <w:t>ría</w:t>
        </w:r>
      </w:smartTag>
      <w:r>
        <w:t xml:space="preserve"> de Int</w:t>
      </w:r>
      <w:r>
        <w:t>e</w:t>
      </w:r>
      <w:r>
        <w:t>ligencia, Dr. Hugo Gándara, el 19 de marzo del año en curso, las casetes correspondientes a la intervención telef</w:t>
      </w:r>
      <w:r>
        <w:t>ó</w:t>
      </w:r>
      <w:r>
        <w:t>nica del abonado nº 787-4807, acompañó los numerados del 1 al 126, que abarcan el período co</w:t>
      </w:r>
      <w:r>
        <w:t>m</w:t>
      </w:r>
      <w:r>
        <w:t>prendido entre el 1º de marzo de 1995 y el 4 de julio de ese año, ambos i</w:t>
      </w:r>
      <w:r>
        <w:t>n</w:t>
      </w:r>
      <w:r>
        <w:t>clusive.</w:t>
      </w:r>
    </w:p>
    <w:p w:rsidR="00224567" w:rsidRDefault="00224567">
      <w:pPr>
        <w:widowControl w:val="0"/>
        <w:tabs>
          <w:tab w:val="center" w:pos="0"/>
        </w:tabs>
      </w:pPr>
      <w:r>
        <w:tab/>
        <w:t>Lo expuesto a más de corroborar el e</w:t>
      </w:r>
      <w:r>
        <w:t>x</w:t>
      </w:r>
      <w:r>
        <w:t>tremo arriba señalado deja en evidencia al magistrado in</w:t>
      </w:r>
      <w:r>
        <w:t>s</w:t>
      </w:r>
      <w:r>
        <w:t>tructor, quien no solo fundó su decisión en esa clase de evidencia sino que, además, ninguna medida tomó sobre el pa</w:t>
      </w:r>
      <w:r>
        <w:t>r</w:t>
      </w:r>
      <w:r>
        <w:t>ticular.</w:t>
      </w:r>
    </w:p>
    <w:p w:rsidR="00224567" w:rsidRDefault="00224567">
      <w:pPr>
        <w:widowControl w:val="0"/>
        <w:tabs>
          <w:tab w:val="center" w:pos="0"/>
        </w:tabs>
      </w:pPr>
      <w:r>
        <w:rPr>
          <w:b/>
          <w:bCs/>
        </w:rPr>
        <w:tab/>
        <w:t>D.5)</w:t>
      </w:r>
      <w:r>
        <w:t xml:space="preserve"> A juicio del Tribunal, tras la actividad desplegada, de modo secreto e insondable, por sombríos personajes que actuaron entre los pliegues y meandros de la malentendida inteligencia estatal, tales como Vergéz, Acosta y Romero, se determinó que Telleldín había sido víctima de delitos por parte de funcionarios de </w:t>
      </w:r>
      <w:smartTag w:uri="urn:schemas-microsoft-com:office:smarttags" w:element="PersonName">
        <w:smartTagPr>
          <w:attr w:name="ProductID" w:val="la Polic￭a Bonaerense"/>
        </w:smartTagPr>
        <w:r>
          <w:t>la Policía Bonaerense</w:t>
        </w:r>
      </w:smartTag>
      <w:r>
        <w:t>, a quienes debió entregar dinero y bienes, obtenié</w:t>
      </w:r>
      <w:r>
        <w:t>n</w:t>
      </w:r>
      <w:r>
        <w:t>dose, además, los nombres de las personas que podrían declarar como testigos de esos hechos y, por sobre t</w:t>
      </w:r>
      <w:r>
        <w:t>o</w:t>
      </w:r>
      <w:r>
        <w:t>do, qué personas lo habrían traicionado.</w:t>
      </w:r>
    </w:p>
    <w:p w:rsidR="00224567" w:rsidRDefault="00224567">
      <w:pPr>
        <w:widowControl w:val="0"/>
        <w:tabs>
          <w:tab w:val="center" w:pos="0"/>
        </w:tabs>
      </w:pPr>
      <w:r>
        <w:tab/>
        <w:t>Si de por sí resulta grave y preoc</w:t>
      </w:r>
      <w:r>
        <w:t>u</w:t>
      </w:r>
      <w:r>
        <w:t>pante, amén de ilegal, que agentes de inteligencia o pe</w:t>
      </w:r>
      <w:r>
        <w:t>r</w:t>
      </w:r>
      <w:r>
        <w:t>sonajes vinculados a ella interroguen a procesados trata</w:t>
      </w:r>
      <w:r>
        <w:t>n</w:t>
      </w:r>
      <w:r>
        <w:t>do de obtener información, adquiere ribetes de escándalo cuando dicha actividad es llevada a cabo con la anuencia de un juez.</w:t>
      </w:r>
    </w:p>
    <w:p w:rsidR="00224567" w:rsidRDefault="00224567">
      <w:pPr>
        <w:widowControl w:val="0"/>
        <w:tabs>
          <w:tab w:val="center" w:pos="0"/>
        </w:tabs>
      </w:pPr>
      <w:r>
        <w:tab/>
        <w:t>Con igual prisma debe observarse la actividad estatal que amasó y guardó la información que, del modo descripto, brindó Telleldín; información que c</w:t>
      </w:r>
      <w:r>
        <w:t>o</w:t>
      </w:r>
      <w:r>
        <w:t xml:space="preserve">menzó a volcarse en la causa a partir de las “reuniones” que éste mantuvo con </w:t>
      </w:r>
      <w:smartTag w:uri="urn:schemas-microsoft-com:office:smarttags" w:element="PersonName">
        <w:smartTagPr>
          <w:attr w:name="ProductID" w:val="la Dra. Riva"/>
        </w:smartTagPr>
        <w:r>
          <w:t>la Dra. Riva</w:t>
        </w:r>
      </w:smartTag>
      <w:r>
        <w:t xml:space="preserve"> Aramayo en agosto de 1995, en las que comienza a escucharse la palabra “exige</w:t>
      </w:r>
      <w:r>
        <w:t>n</w:t>
      </w:r>
      <w:r>
        <w:t>cias” como efugio de pacto o venta de información.</w:t>
      </w:r>
    </w:p>
    <w:p w:rsidR="00224567" w:rsidRDefault="00224567">
      <w:pPr>
        <w:widowControl w:val="0"/>
        <w:tabs>
          <w:tab w:val="center" w:pos="0"/>
        </w:tabs>
      </w:pPr>
      <w:r>
        <w:tab/>
        <w:t>Previo a ello, Boragni ya conocía los fav</w:t>
      </w:r>
      <w:r>
        <w:t>o</w:t>
      </w:r>
      <w:r>
        <w:t>res del Estado.</w:t>
      </w:r>
    </w:p>
    <w:p w:rsidR="00224567" w:rsidRDefault="00224567">
      <w:pPr>
        <w:widowControl w:val="0"/>
      </w:pPr>
    </w:p>
    <w:p w:rsidR="00224567" w:rsidRDefault="00224567">
      <w:pPr>
        <w:pStyle w:val="Ttulo3"/>
        <w:keepNext w:val="0"/>
        <w:widowControl w:val="0"/>
      </w:pPr>
      <w:r>
        <w:t>E) Actividad informal y subrepticia del E</w:t>
      </w:r>
      <w:r>
        <w:t>s</w:t>
      </w:r>
      <w:r>
        <w:t>tado.</w:t>
      </w:r>
    </w:p>
    <w:p w:rsidR="00224567" w:rsidRDefault="00224567">
      <w:pPr>
        <w:widowControl w:val="0"/>
        <w:tabs>
          <w:tab w:val="center" w:pos="0"/>
        </w:tabs>
      </w:pPr>
      <w:r>
        <w:rPr>
          <w:b/>
          <w:bCs/>
        </w:rPr>
        <w:tab/>
        <w:t xml:space="preserve">E.1) </w:t>
      </w:r>
      <w:r>
        <w:t>La actividad informal y subrept</w:t>
      </w:r>
      <w:r>
        <w:t>i</w:t>
      </w:r>
      <w:r>
        <w:t>cia del Estado a fin de obtener la declaración de Carlos Telle</w:t>
      </w:r>
      <w:r>
        <w:t>l</w:t>
      </w:r>
      <w:r>
        <w:t xml:space="preserve">dín, iniciadas con las reuniones de Vergéz y Romero, prosiguió con las peculiares entrevistas que el imputado mantuvo con la entonces presidente de </w:t>
      </w:r>
      <w:smartTag w:uri="urn:schemas-microsoft-com:office:smarttags" w:element="PersonName">
        <w:smartTagPr>
          <w:attr w:name="ProductID" w:val="la C￡mara Nacional"/>
        </w:smartTagPr>
        <w:r>
          <w:t>la Cámara Nacional</w:t>
        </w:r>
      </w:smartTag>
      <w:r>
        <w:t xml:space="preserve"> de Apelaciones en lo Criminal y Corre</w:t>
      </w:r>
      <w:r>
        <w:t>c</w:t>
      </w:r>
      <w:r>
        <w:t>cional Federal, Dra. Luisa Riva Aramayo.</w:t>
      </w:r>
    </w:p>
    <w:p w:rsidR="00224567" w:rsidRDefault="00224567">
      <w:pPr>
        <w:widowControl w:val="0"/>
        <w:tabs>
          <w:tab w:val="center" w:pos="0"/>
        </w:tabs>
      </w:pPr>
      <w:r>
        <w:tab/>
        <w:t>Así, a fs. 27 (fs. 14.560) del inc</w:t>
      </w:r>
      <w:r>
        <w:t>i</w:t>
      </w:r>
      <w:r>
        <w:t>dente de recusación deducido por Carlos Telleldín contra el Dr. Galeano, en ocasión de que el l</w:t>
      </w:r>
      <w:r>
        <w:t>e</w:t>
      </w:r>
      <w:r>
        <w:t xml:space="preserve">gajo se hallaba en </w:t>
      </w:r>
      <w:smartTag w:uri="urn:schemas-microsoft-com:office:smarttags" w:element="PersonName">
        <w:smartTagPr>
          <w:attr w:name="ProductID" w:val="la Sala I"/>
        </w:smartTagPr>
        <w:r>
          <w:t>la Sala I</w:t>
        </w:r>
      </w:smartTag>
      <w:r>
        <w:t xml:space="preserve"> de esa Alzada, el procesado y el Dr. Víctor Stinfale, al que recién designara como defensor, desisti</w:t>
      </w:r>
      <w:r>
        <w:t>e</w:t>
      </w:r>
      <w:r>
        <w:t>ron de la recusación, requiriendo una audiencia con los jueces de la sala, la que se concretó a fs. 31 (fs. 14.564).</w:t>
      </w:r>
    </w:p>
    <w:p w:rsidR="00224567" w:rsidRDefault="00224567">
      <w:pPr>
        <w:widowControl w:val="0"/>
        <w:tabs>
          <w:tab w:val="center" w:pos="0"/>
        </w:tabs>
      </w:pPr>
      <w:r>
        <w:tab/>
        <w:t>A fs. 40 de esa incidencia (fs. 14.572), el Dr. Víctor Stinfale solicitó el 3 de agosto de 1995 que “se conceda una entrevista pers</w:t>
      </w:r>
      <w:r>
        <w:t>o</w:t>
      </w:r>
      <w:r>
        <w:t xml:space="preserve">nal” a su pupilo con la presidente del tribunal, disponiendo </w:t>
      </w:r>
      <w:smartTag w:uri="urn:schemas-microsoft-com:office:smarttags" w:element="PersonName">
        <w:smartTagPr>
          <w:attr w:name="ProductID" w:val="la Dra. Riva"/>
        </w:smartTagPr>
        <w:r>
          <w:t>la Dra. Riva</w:t>
        </w:r>
      </w:smartTag>
      <w:r>
        <w:t xml:space="preserve"> Aramayo, en la misma fecha, lo siguiente: “Agréguese el escrito presentado por el Dr. Stinfale y a fin de evitar eventuales problemas inherentes al traslado del interno Telleldín, constitúyase </w:t>
      </w:r>
      <w:smartTag w:uri="urn:schemas-microsoft-com:office:smarttags" w:element="PersonName">
        <w:smartTagPr>
          <w:attr w:name="ProductID" w:val="la Presidenta"/>
        </w:smartTagPr>
        <w:r>
          <w:t>la Pres</w:t>
        </w:r>
        <w:r>
          <w:t>i</w:t>
        </w:r>
        <w:r>
          <w:t>denta</w:t>
        </w:r>
      </w:smartTag>
      <w:r>
        <w:t xml:space="preserve"> de </w:t>
      </w:r>
      <w:smartTag w:uri="urn:schemas-microsoft-com:office:smarttags" w:element="PersonName">
        <w:smartTagPr>
          <w:attr w:name="ProductID" w:val="la Sala"/>
        </w:smartTagPr>
        <w:r>
          <w:t>la Sala</w:t>
        </w:r>
      </w:smartTag>
      <w:r>
        <w:t xml:space="preserve"> en el día de la fecha en la unidad de detención”.</w:t>
      </w:r>
    </w:p>
    <w:p w:rsidR="00224567" w:rsidRDefault="00224567">
      <w:pPr>
        <w:widowControl w:val="0"/>
        <w:tabs>
          <w:tab w:val="center" w:pos="0"/>
        </w:tabs>
      </w:pPr>
      <w:r>
        <w:tab/>
        <w:t>En la foja siguiente luce una consta</w:t>
      </w:r>
      <w:r>
        <w:t>n</w:t>
      </w:r>
      <w:r>
        <w:t xml:space="preserve">cia del Actuario, de idéntica fecha, que da cuenta de la audiencia personal realizada en </w:t>
      </w:r>
      <w:smartTag w:uri="urn:schemas-microsoft-com:office:smarttags" w:element="PersonName">
        <w:smartTagPr>
          <w:attr w:name="ProductID" w:val="la Unidad"/>
        </w:smartTagPr>
        <w:r>
          <w:t>la Unidad</w:t>
        </w:r>
      </w:smartTag>
      <w:r>
        <w:t xml:space="preserve"> nº 2 del Serv</w:t>
      </w:r>
      <w:r>
        <w:t>i</w:t>
      </w:r>
      <w:r>
        <w:t>cio Penitenciario Federal, entre Carlos Albe</w:t>
      </w:r>
      <w:r>
        <w:t>r</w:t>
      </w:r>
      <w:r>
        <w:t>to Telleldín y la mencionada magistrada.</w:t>
      </w:r>
    </w:p>
    <w:p w:rsidR="00224567" w:rsidRDefault="00224567">
      <w:pPr>
        <w:widowControl w:val="0"/>
        <w:tabs>
          <w:tab w:val="center" w:pos="0"/>
        </w:tabs>
      </w:pPr>
      <w:r>
        <w:tab/>
        <w:t>Practicadas las notificaciones de r</w:t>
      </w:r>
      <w:r>
        <w:t>i</w:t>
      </w:r>
      <w:r>
        <w:t xml:space="preserve">gor, el incidente de recusación fue devuelto al juzgado instructor, que lo recibió el </w:t>
      </w:r>
      <w:r>
        <w:rPr>
          <w:bCs/>
        </w:rPr>
        <w:t>16</w:t>
      </w:r>
      <w:r>
        <w:t xml:space="preserve"> de agosto de 1995 (ver fs. 14.579 vta.).</w:t>
      </w:r>
    </w:p>
    <w:p w:rsidR="00224567" w:rsidRDefault="00224567">
      <w:pPr>
        <w:widowControl w:val="0"/>
        <w:tabs>
          <w:tab w:val="center" w:pos="0"/>
        </w:tabs>
        <w:rPr>
          <w:b/>
        </w:rPr>
      </w:pPr>
      <w:r>
        <w:tab/>
        <w:t>A fs. 37.376 luce una nota, su</w:t>
      </w:r>
      <w:r>
        <w:t>s</w:t>
      </w:r>
      <w:r>
        <w:t xml:space="preserve">cripta por el Dr. Galeano, mediante la cual dejó constancia que el </w:t>
      </w:r>
      <w:r>
        <w:rPr>
          <w:bCs/>
        </w:rPr>
        <w:t>15</w:t>
      </w:r>
      <w:r>
        <w:t xml:space="preserve"> de agosto de 1995 fue convocado por la pres</w:t>
      </w:r>
      <w:r>
        <w:t>i</w:t>
      </w:r>
      <w:r>
        <w:t xml:space="preserve">dente de </w:t>
      </w:r>
      <w:smartTag w:uri="urn:schemas-microsoft-com:office:smarttags" w:element="PersonName">
        <w:smartTagPr>
          <w:attr w:name="ProductID" w:val="la Sala I"/>
        </w:smartTagPr>
        <w:r>
          <w:t>la Sala I</w:t>
        </w:r>
      </w:smartTag>
      <w:r>
        <w:t xml:space="preserve"> de la cámara del fu</w:t>
      </w:r>
      <w:r>
        <w:t>e</w:t>
      </w:r>
      <w:r>
        <w:t xml:space="preserve">ro, quien le hizo saber que había mantenido </w:t>
      </w:r>
      <w:r>
        <w:rPr>
          <w:bCs/>
        </w:rPr>
        <w:t>reuniones</w:t>
      </w:r>
      <w:r>
        <w:rPr>
          <w:b/>
        </w:rPr>
        <w:t xml:space="preserve"> </w:t>
      </w:r>
      <w:r>
        <w:t>con el detenido Carlos Alberto Telleldín a ped</w:t>
      </w:r>
      <w:r>
        <w:t>i</w:t>
      </w:r>
      <w:r>
        <w:t xml:space="preserve">do de su defensa, formalizada por escrito en los expedientes relacionados con las apelaciones en curso ante ese Tribunal. En ella el Dr. Galeano asentó, además, que según le informó </w:t>
      </w:r>
      <w:smartTag w:uri="urn:schemas-microsoft-com:office:smarttags" w:element="PersonName">
        <w:smartTagPr>
          <w:attr w:name="ProductID" w:val="la Dra. Riva"/>
        </w:smartTagPr>
        <w:r>
          <w:t>la Dra. Riva</w:t>
        </w:r>
      </w:smartTag>
      <w:r>
        <w:t xml:space="preserve"> Aramayo, aquél le dijo que “`no existía Ramón Martínez y que el boleto de compraventa de </w:t>
      </w:r>
      <w:smartTag w:uri="urn:schemas-microsoft-com:office:smarttags" w:element="PersonName">
        <w:smartTagPr>
          <w:attr w:name="ProductID" w:val="la Traffic"/>
        </w:smartTagPr>
        <w:r>
          <w:t>la Traffic</w:t>
        </w:r>
      </w:smartTag>
      <w:r>
        <w:t xml:space="preserve"> era falso´. Que el nombrado le había trazado un plano a mano alzada en una hoja de una agenda de </w:t>
      </w:r>
      <w:smartTag w:uri="urn:schemas-microsoft-com:office:smarttags" w:element="PersonName">
        <w:smartTagPr>
          <w:attr w:name="ProductID" w:val="la Magistrada"/>
        </w:smartTagPr>
        <w:r>
          <w:t>la Magistrada</w:t>
        </w:r>
      </w:smartTag>
      <w:r>
        <w:t>, que se comprometió a entregarme a la brevedad, pues T</w:t>
      </w:r>
      <w:r>
        <w:t>e</w:t>
      </w:r>
      <w:r>
        <w:t xml:space="preserve">lleldín le indicó que `si Galeano y su equipo lo veían se darían cuenta de todo´. Asimismo, </w:t>
      </w:r>
      <w:smartTag w:uri="urn:schemas-microsoft-com:office:smarttags" w:element="PersonName">
        <w:smartTagPr>
          <w:attr w:name="ProductID" w:val="la Magistrada"/>
        </w:smartTagPr>
        <w:r>
          <w:t>la Magistrada</w:t>
        </w:r>
      </w:smartTag>
      <w:r>
        <w:t xml:space="preserve"> me explicó que el detenido le había dicho que `la clave de lo ocurrido la había dado en su primera d</w:t>
      </w:r>
      <w:r>
        <w:t>e</w:t>
      </w:r>
      <w:r>
        <w:t>claración, y que si se volvía a leer se la encontraría´. Me comunicó que estaba en contacto con el abogado de T</w:t>
      </w:r>
      <w:r>
        <w:t>e</w:t>
      </w:r>
      <w:r>
        <w:t>lleldín, Dr. Víctor Stinfale y que me podría al tanto de cualquier novedad. Es todo</w:t>
      </w:r>
      <w:r>
        <w:rPr>
          <w:b/>
        </w:rPr>
        <w:t xml:space="preserve">” </w:t>
      </w:r>
      <w:r>
        <w:rPr>
          <w:bCs/>
        </w:rPr>
        <w:t>(</w:t>
      </w:r>
      <w:r>
        <w:t>sic)</w:t>
      </w:r>
      <w:r>
        <w:rPr>
          <w:b/>
        </w:rPr>
        <w:t>.</w:t>
      </w:r>
    </w:p>
    <w:p w:rsidR="00224567" w:rsidRDefault="00224567">
      <w:pPr>
        <w:widowControl w:val="0"/>
        <w:tabs>
          <w:tab w:val="center" w:pos="0"/>
        </w:tabs>
      </w:pPr>
      <w:r>
        <w:tab/>
        <w:t>A fs. 37.377 luce una hoja, con la apariencia de haber pertenecido a una agenda, donde se o</w:t>
      </w:r>
      <w:r>
        <w:t>b</w:t>
      </w:r>
      <w:r>
        <w:t>serva un croquis explicativo con diferentes indic</w:t>
      </w:r>
      <w:r>
        <w:t>a</w:t>
      </w:r>
      <w:r>
        <w:t>ciones; en la foja siguiente consta la siguiente nota, suscripta por el Dr. Galeano: “Nota: para dejar constancia que sie</w:t>
      </w:r>
      <w:r>
        <w:t>n</w:t>
      </w:r>
      <w:r>
        <w:t>do las 17.15 del día 15 de agosto de 1995 se recibió por Secretaría Privada un sobre cont</w:t>
      </w:r>
      <w:r>
        <w:t>e</w:t>
      </w:r>
      <w:r>
        <w:t>niendo una hoja de agenda Citanova con un plano efe</w:t>
      </w:r>
      <w:r>
        <w:t>c</w:t>
      </w:r>
      <w:r>
        <w:t>tuado a mano alzada. Es todo”.</w:t>
      </w:r>
    </w:p>
    <w:p w:rsidR="00224567" w:rsidRDefault="00224567">
      <w:pPr>
        <w:widowControl w:val="0"/>
      </w:pPr>
      <w:r>
        <w:tab/>
        <w:t>A fs. 37.380 obra otra nota del juez instructor que reza lo siguiente: “Nota: para dejar con</w:t>
      </w:r>
      <w:r>
        <w:t>s</w:t>
      </w:r>
      <w:r>
        <w:t xml:space="preserve">tancia que el día </w:t>
      </w:r>
      <w:r>
        <w:rPr>
          <w:bCs/>
        </w:rPr>
        <w:t>24</w:t>
      </w:r>
      <w:r>
        <w:t xml:space="preserve"> de agosto de 1995, en horas de la m</w:t>
      </w:r>
      <w:r>
        <w:t>a</w:t>
      </w:r>
      <w:r>
        <w:t xml:space="preserve">ñana fui convocado por </w:t>
      </w:r>
      <w:smartTag w:uri="urn:schemas-microsoft-com:office:smarttags" w:element="PersonName">
        <w:smartTagPr>
          <w:attr w:name="ProductID" w:val="la Dra. Mar￭a"/>
        </w:smartTagPr>
        <w:r>
          <w:t>la Dra. María</w:t>
        </w:r>
      </w:smartTag>
      <w:r>
        <w:t xml:space="preserve"> Luisa Riva Aramayo, quien me informó que el plano detallaba el domicilio de Telleldín y el lugar donde se encontraban estacionados distintos vehículos afectados al uso de </w:t>
      </w:r>
      <w:smartTag w:uri="urn:schemas-microsoft-com:office:smarttags" w:element="PersonName">
        <w:smartTagPr>
          <w:attr w:name="ProductID" w:val="la Polic￭a Bonaerense"/>
        </w:smartTagPr>
        <w:r>
          <w:t>la Policía Bona</w:t>
        </w:r>
        <w:r>
          <w:t>e</w:t>
        </w:r>
        <w:r>
          <w:t>rense</w:t>
        </w:r>
      </w:smartTag>
      <w:r>
        <w:t xml:space="preserve"> el día de la entrega de la camion</w:t>
      </w:r>
      <w:r>
        <w:t>e</w:t>
      </w:r>
      <w:r>
        <w:t>ta. Explicó que si bien en la primera entrevista Telleldín le había dado a</w:t>
      </w:r>
      <w:r>
        <w:t>l</w:t>
      </w:r>
      <w:r>
        <w:t xml:space="preserve">gunos datos imprecisos, en la segunda le mencionó que quienes recibieron la camioneta eran policías de </w:t>
      </w:r>
      <w:smartTag w:uri="urn:schemas-microsoft-com:office:smarttags" w:element="PersonName">
        <w:smartTagPr>
          <w:attr w:name="ProductID" w:val="la Provincia"/>
        </w:smartTagPr>
        <w:r>
          <w:t>la Pr</w:t>
        </w:r>
        <w:r>
          <w:t>o</w:t>
        </w:r>
        <w:r>
          <w:t>vincia</w:t>
        </w:r>
      </w:smartTag>
      <w:r>
        <w:t xml:space="preserve"> de Buenos Aires que conocía, cuyos nombres se r</w:t>
      </w:r>
      <w:r>
        <w:t>e</w:t>
      </w:r>
      <w:r>
        <w:t>servaba. Simplemente le dijo que uno de ellos es un su</w:t>
      </w:r>
      <w:r>
        <w:t>b</w:t>
      </w:r>
      <w:r>
        <w:t>oficial que usa anteojos gruesos de aumento, gorra y cr</w:t>
      </w:r>
      <w:r>
        <w:t>e</w:t>
      </w:r>
      <w:r>
        <w:t>dencial verde, y que el otro es un oficial que se caract</w:t>
      </w:r>
      <w:r>
        <w:t>e</w:t>
      </w:r>
      <w:r>
        <w:t>riza por usar una campera de cuero color beige claro y c</w:t>
      </w:r>
      <w:r>
        <w:t>u</w:t>
      </w:r>
      <w:r>
        <w:t xml:space="preserve">yo nombre, apellido o apodo es “Pino”. Que el suboficial es el que firmó el boleto de compraventa de </w:t>
      </w:r>
      <w:smartTag w:uri="urn:schemas-microsoft-com:office:smarttags" w:element="PersonName">
        <w:smartTagPr>
          <w:attr w:name="ProductID" w:val="la Trafic"/>
        </w:smartTagPr>
        <w:r>
          <w:t>la Trafic</w:t>
        </w:r>
      </w:smartTag>
      <w:r>
        <w:t xml:space="preserve"> y se hizo pasar por Ramón Martínez. Agregó que esas personas deben figurar en el sumario. Asimismo me informó que T</w:t>
      </w:r>
      <w:r>
        <w:t>e</w:t>
      </w:r>
      <w:r>
        <w:t>lleldín condicionó su cooperación al cumplimiento previo de determ</w:t>
      </w:r>
      <w:r>
        <w:t>i</w:t>
      </w:r>
      <w:r>
        <w:t xml:space="preserve">nadas exigencias que no me precisó. Me aclaró </w:t>
      </w:r>
      <w:smartTag w:uri="urn:schemas-microsoft-com:office:smarttags" w:element="PersonName">
        <w:smartTagPr>
          <w:attr w:name="ProductID" w:val="la Sra. Camarista"/>
        </w:smartTagPr>
        <w:r>
          <w:t>la Sra. Camarista</w:t>
        </w:r>
      </w:smartTag>
      <w:r>
        <w:t xml:space="preserve"> que en cuanto contara con más datos me los haría saber. Es todo”.</w:t>
      </w:r>
    </w:p>
    <w:p w:rsidR="00224567" w:rsidRDefault="00224567">
      <w:pPr>
        <w:widowControl w:val="0"/>
      </w:pPr>
      <w:r>
        <w:tab/>
        <w:t>A fs. 37.381 glosa otra nota del Dr. Gale</w:t>
      </w:r>
      <w:r>
        <w:t>a</w:t>
      </w:r>
      <w:r>
        <w:t xml:space="preserve">no en la que señala que el </w:t>
      </w:r>
      <w:r>
        <w:rPr>
          <w:bCs/>
        </w:rPr>
        <w:t>1º</w:t>
      </w:r>
      <w:r>
        <w:t xml:space="preserve"> de septiembre de 1995, en horas de la mañana, recibió un llamado telef</w:t>
      </w:r>
      <w:r>
        <w:t>ó</w:t>
      </w:r>
      <w:r>
        <w:t xml:space="preserve">nico de </w:t>
      </w:r>
      <w:smartTag w:uri="urn:schemas-microsoft-com:office:smarttags" w:element="PersonName">
        <w:smartTagPr>
          <w:attr w:name="ProductID" w:val="la Dra. Riva"/>
        </w:smartTagPr>
        <w:r>
          <w:t>la Dra. Riva</w:t>
        </w:r>
      </w:smartTag>
      <w:r>
        <w:t xml:space="preserve"> Aramayo, quien lo anotició que en una última reunión mantenida en el penal con el detenido Telleldín había recibido nuevos d</w:t>
      </w:r>
      <w:r>
        <w:t>a</w:t>
      </w:r>
      <w:r>
        <w:t>tos respecto de las identidades de los presuntos receptores de la camioneta Trafic; inform</w:t>
      </w:r>
      <w:r>
        <w:t>a</w:t>
      </w:r>
      <w:r>
        <w:t>ciones que había anotado y que luego de pasarlas en li</w:t>
      </w:r>
      <w:r>
        <w:t>m</w:t>
      </w:r>
      <w:r>
        <w:t>pio, se las acercaría.</w:t>
      </w:r>
    </w:p>
    <w:p w:rsidR="00224567" w:rsidRDefault="00224567">
      <w:pPr>
        <w:widowControl w:val="0"/>
      </w:pPr>
      <w:r>
        <w:tab/>
        <w:t>Luce a fs. 37.382/37.384 una nueva n</w:t>
      </w:r>
      <w:r>
        <w:t>o</w:t>
      </w:r>
      <w:r>
        <w:t xml:space="preserve">ta del Dr. Galeano, fechada el </w:t>
      </w:r>
      <w:r>
        <w:rPr>
          <w:bCs/>
        </w:rPr>
        <w:t xml:space="preserve">5 </w:t>
      </w:r>
      <w:r>
        <w:t xml:space="preserve">de septiembre de 1995, que ilustra acerca de la entrevista que mantuvo con </w:t>
      </w:r>
      <w:smartTag w:uri="urn:schemas-microsoft-com:office:smarttags" w:element="PersonName">
        <w:smartTagPr>
          <w:attr w:name="ProductID" w:val="la Dra. Riva"/>
        </w:smartTagPr>
        <w:r>
          <w:t>la Dra. Riva</w:t>
        </w:r>
      </w:smartTag>
      <w:r>
        <w:t xml:space="preserve"> Aramayo, oportunidad en que la nombr</w:t>
      </w:r>
      <w:r>
        <w:t>a</w:t>
      </w:r>
      <w:r>
        <w:t>da le hizo saber que, a raíz de una audie</w:t>
      </w:r>
      <w:r>
        <w:t>n</w:t>
      </w:r>
      <w:r>
        <w:t>cia celebrada a pedido del detenido Carlos Alberto Telleldín, éste le hizo saber d</w:t>
      </w:r>
      <w:r>
        <w:t>i</w:t>
      </w:r>
      <w:r>
        <w:t>ferentes circunstancias con relación a la investigación. En este sent</w:t>
      </w:r>
      <w:r>
        <w:t>i</w:t>
      </w:r>
      <w:r>
        <w:t>do manifestó que Telleldín le había referido que “conocía a los individuos a qui</w:t>
      </w:r>
      <w:r>
        <w:t>e</w:t>
      </w:r>
      <w:r>
        <w:t xml:space="preserve">nes había entregado la camioneta Traffic. Que esas personas eran policías de </w:t>
      </w:r>
      <w:smartTag w:uri="urn:schemas-microsoft-com:office:smarttags" w:element="PersonName">
        <w:smartTagPr>
          <w:attr w:name="ProductID" w:val="la Provincia"/>
        </w:smartTagPr>
        <w:r>
          <w:t>la Provincia</w:t>
        </w:r>
      </w:smartTag>
      <w:r>
        <w:t xml:space="preserve"> de Buenos Aires que le exigían a Telleldín el pago de una suma $30.000 a cambio de que éste continúe sin ser molestado en sus negocios ilícitos, toda vez que sabía que se encontraba ve</w:t>
      </w:r>
      <w:r>
        <w:t>n</w:t>
      </w:r>
      <w:r>
        <w:t>diendo automotores `doblados´” (sic).</w:t>
      </w:r>
    </w:p>
    <w:p w:rsidR="00224567" w:rsidRDefault="00224567">
      <w:pPr>
        <w:widowControl w:val="0"/>
      </w:pPr>
      <w:r>
        <w:tab/>
        <w:t>Siempre en referencia a los d</w:t>
      </w:r>
      <w:r>
        <w:t>i</w:t>
      </w:r>
      <w:r>
        <w:t xml:space="preserve">chos que le transmitió la jueza, indicó que con el fin de cubrir la suma antes indicada Telleldín entregó, en parte de pago, el 10 de julio de 1994, la camioneta Trafic, modelo 1990, blanca, sin puerta lateral, que fue valuada en $ </w:t>
      </w:r>
      <w:smartTag w:uri="urn:schemas-microsoft-com:office:smarttags" w:element="metricconverter">
        <w:smartTagPr>
          <w:attr w:name="ProductID" w:val="10.000, a"/>
        </w:smartTagPr>
        <w:r>
          <w:t>10.000, a</w:t>
        </w:r>
      </w:smartTag>
      <w:r>
        <w:t xml:space="preserve"> un suboficial de </w:t>
      </w:r>
      <w:smartTag w:uri="urn:schemas-microsoft-com:office:smarttags" w:element="PersonName">
        <w:smartTagPr>
          <w:attr w:name="ProductID" w:val="la Brigada"/>
        </w:smartTagPr>
        <w:r>
          <w:t>la Brigada</w:t>
        </w:r>
      </w:smartTag>
      <w:r>
        <w:t xml:space="preserve"> de Vicente López. Que éste, que ese día tenía puesta una gorra, anteojos gruesos de aumento y que exhibió una credencial verde, fue quien, además, firmó el boleto a nombre de Ramón Martínez. Que esa persona exhibió el correspondiente D.N.I. al suscribir el boleto de compra-venta, advirtiendo Telleldín que el documento era falso; que el suboficial se encontraba aco</w:t>
      </w:r>
      <w:r>
        <w:t>m</w:t>
      </w:r>
      <w:r>
        <w:t>pañado por un subc</w:t>
      </w:r>
      <w:r>
        <w:t>o</w:t>
      </w:r>
      <w:r>
        <w:t>misario a quien conoce como “Pino”, de quien aportó sus señas particulares, propietario de un Ford Galaxy y a quien siempre vio utilizando una campera de color marrón claro.</w:t>
      </w:r>
    </w:p>
    <w:p w:rsidR="00224567" w:rsidRDefault="00224567">
      <w:pPr>
        <w:widowControl w:val="0"/>
      </w:pPr>
      <w:r>
        <w:tab/>
        <w:t>Precisó Galeano, que la camarista le refirió que en la oportunidad indicada ambos sujetos est</w:t>
      </w:r>
      <w:r>
        <w:t>a</w:t>
      </w:r>
      <w:r>
        <w:t>ban a bordo de un Fiat “Duna”, color blanco, enco</w:t>
      </w:r>
      <w:r>
        <w:t>n</w:t>
      </w:r>
      <w:r>
        <w:t xml:space="preserve">trándose al volante el subcomisario, que no descendió. Después de entregar </w:t>
      </w:r>
      <w:smartTag w:uri="urn:schemas-microsoft-com:office:smarttags" w:element="PersonName">
        <w:smartTagPr>
          <w:attr w:name="ProductID" w:val="la Trafic"/>
        </w:smartTagPr>
        <w:r>
          <w:t>la Trafic</w:t>
        </w:r>
      </w:smartTag>
      <w:r>
        <w:t>, dejaron a un suboficial a una cuadra de su casa, para que lo vigile; esta persona le refirió que prestaba servicios en Concepción, barrio de San Ma</w:t>
      </w:r>
      <w:r>
        <w:t>r</w:t>
      </w:r>
      <w:r>
        <w:t xml:space="preserve">tín, que después fue trasladado a </w:t>
      </w:r>
      <w:smartTag w:uri="urn:schemas-microsoft-com:office:smarttags" w:element="PersonName">
        <w:smartTagPr>
          <w:attr w:name="ProductID" w:val="la Brigada"/>
        </w:smartTagPr>
        <w:r>
          <w:t>la Brigada</w:t>
        </w:r>
      </w:smartTag>
      <w:r>
        <w:t xml:space="preserve"> de Vicente López, siendo propietario de un Fiat “128", viejo y de</w:t>
      </w:r>
      <w:r>
        <w:t>s</w:t>
      </w:r>
      <w:r>
        <w:t>pintado.</w:t>
      </w:r>
    </w:p>
    <w:p w:rsidR="00224567" w:rsidRDefault="00224567">
      <w:pPr>
        <w:widowControl w:val="0"/>
      </w:pPr>
      <w:r>
        <w:tab/>
        <w:t>También consta en dicha nota que como Telleldín trató de “bicicletear” el pago de los $20.000 restantes, el jueves 14 de julio ocurrió el incidente que relató en su declaración indagatoria. Que para completar la suma que faltaba, debió entregar un barco de su propi</w:t>
      </w:r>
      <w:r>
        <w:t>e</w:t>
      </w:r>
      <w:r>
        <w:t>dad llamado “Gonzalo”, firmando un boleto de venta en blanco. Que el 14 de julio de 1994, en oportunidad de c</w:t>
      </w:r>
      <w:r>
        <w:t>o</w:t>
      </w:r>
      <w:r>
        <w:t>lisionar con los policías que le cruzaron los autos, co</w:t>
      </w:r>
      <w:r>
        <w:t>n</w:t>
      </w:r>
      <w:r>
        <w:t>ducía un “Renault 19", que presentaría rastros de la pi</w:t>
      </w:r>
      <w:r>
        <w:t>n</w:t>
      </w:r>
      <w:r>
        <w:t>tura de aquellos rodados; que el Renault 19, con chapa p</w:t>
      </w:r>
      <w:r>
        <w:t>a</w:t>
      </w:r>
      <w:r>
        <w:t>tente de la provincia de Santa Fe, estaba guardado en la provincia de Córdoba.</w:t>
      </w:r>
    </w:p>
    <w:p w:rsidR="00224567" w:rsidRDefault="00224567">
      <w:pPr>
        <w:widowControl w:val="0"/>
      </w:pPr>
      <w:r>
        <w:tab/>
        <w:t>Asimismo, dejó constancia que “con r</w:t>
      </w:r>
      <w:r>
        <w:t>e</w:t>
      </w:r>
      <w:r>
        <w:t>lación al subcomisario descripto, le refirió que con ant</w:t>
      </w:r>
      <w:r>
        <w:t>e</w:t>
      </w:r>
      <w:r>
        <w:t>rioridad a las circunstancias mencionadas, Telle</w:t>
      </w:r>
      <w:r>
        <w:t>l</w:t>
      </w:r>
      <w:r>
        <w:t xml:space="preserve">dín ya le había entregado $40.000 el día 7 de abril de 1994, fecha en que lo encañonó con su arma en </w:t>
      </w:r>
      <w:smartTag w:uri="urn:schemas-microsoft-com:office:smarttags" w:element="PersonName">
        <w:smartTagPr>
          <w:attr w:name="ProductID" w:val="la Brigada"/>
        </w:smartTagPr>
        <w:r>
          <w:t>la Brigada</w:t>
        </w:r>
      </w:smartTag>
      <w:r>
        <w:t xml:space="preserve"> de Lanús. E</w:t>
      </w:r>
      <w:r>
        <w:t>s</w:t>
      </w:r>
      <w:r>
        <w:t>te también se encontraría en el rodado junto con el no</w:t>
      </w:r>
      <w:r>
        <w:t>m</w:t>
      </w:r>
      <w:r>
        <w:t>brado Pino. Dicha suma le fue exigida por este policía e</w:t>
      </w:r>
      <w:r>
        <w:t>n</w:t>
      </w:r>
      <w:r>
        <w:t>tregando en consecuencia los s</w:t>
      </w:r>
      <w:r>
        <w:t>i</w:t>
      </w:r>
      <w:r>
        <w:t xml:space="preserve">guientes vehículos: Renault 18 GXE modelo 1990 color verde petróleo, Ford Falcon Ghía modelo 1984, color blanco y una Kawasaki cero kilómetro del año </w:t>
      </w:r>
      <w:smartTag w:uri="urn:schemas-microsoft-com:office:smarttags" w:element="metricconverter">
        <w:smartTagPr>
          <w:attr w:name="ProductID" w:val="1993”"/>
        </w:smartTagPr>
        <w:r>
          <w:t>1993”</w:t>
        </w:r>
      </w:smartTag>
      <w:r>
        <w:t>.</w:t>
      </w:r>
    </w:p>
    <w:p w:rsidR="00224567" w:rsidRDefault="00224567">
      <w:pPr>
        <w:widowControl w:val="0"/>
      </w:pPr>
      <w:r>
        <w:tab/>
        <w:t>Destacó en la nota, además, que según la magistrada, Telleldín dijo que en esa oportunidad le hicieron firmar un papel en blanco, amenazándolo con inv</w:t>
      </w:r>
      <w:r>
        <w:t>o</w:t>
      </w:r>
      <w:r>
        <w:t>lucrarlo en una causa de piratas del asfalto; que estuvo presente en el “arreglo” un abogado de nombre Semorile, pudiendo aportar datos Sandra Marisa Petruchi, quien r</w:t>
      </w:r>
      <w:r>
        <w:t>e</w:t>
      </w:r>
      <w:r>
        <w:t>sultó detenida el 7 de abril frente a un videoclub de To</w:t>
      </w:r>
      <w:r>
        <w:t>r</w:t>
      </w:r>
      <w:r>
        <w:t>tuguitas por el subcomisario en cue</w:t>
      </w:r>
      <w:r>
        <w:t>s</w:t>
      </w:r>
      <w:r>
        <w:t xml:space="preserve">tión, siendo llevada a </w:t>
      </w:r>
      <w:smartTag w:uri="urn:schemas-microsoft-com:office:smarttags" w:element="PersonName">
        <w:smartTagPr>
          <w:attr w:name="ProductID" w:val="la Brigada"/>
        </w:smartTagPr>
        <w:r>
          <w:t>la Brigada</w:t>
        </w:r>
      </w:smartTag>
      <w:r>
        <w:t xml:space="preserve"> de Lanús en el Renault 18 que fuera parte del “arreglo”; que el hermano de Telleldín le llevó al subc</w:t>
      </w:r>
      <w:r>
        <w:t>o</w:t>
      </w:r>
      <w:r>
        <w:t>misario el Ford Falcón; la moto fue transportada a la puerta de la brigada por un fletero de apodo “Cacho”, que vive frente a la casa de Eduardo Telleldín, habiendo ay</w:t>
      </w:r>
      <w:r>
        <w:t>u</w:t>
      </w:r>
      <w:r>
        <w:t>dado a descargarla Carlos T</w:t>
      </w:r>
      <w:r>
        <w:t>e</w:t>
      </w:r>
      <w:r>
        <w:t>lleldín, el abogado Semorile y el aludido subcomis</w:t>
      </w:r>
      <w:r>
        <w:t>a</w:t>
      </w:r>
      <w:r>
        <w:t>rio.</w:t>
      </w:r>
    </w:p>
    <w:p w:rsidR="00224567" w:rsidRDefault="00224567">
      <w:pPr>
        <w:widowControl w:val="0"/>
      </w:pPr>
      <w:r>
        <w:tab/>
        <w:t>La nota agrega que las detenci</w:t>
      </w:r>
      <w:r>
        <w:t>o</w:t>
      </w:r>
      <w:r>
        <w:t>nes de Petrucci y Telleldín quedaron registradas en la brigada, modificándose el apellido del último por el de “Teccedín” a fin de evitar que surja el pedido de captura que regi</w:t>
      </w:r>
      <w:r>
        <w:t>s</w:t>
      </w:r>
      <w:r>
        <w:t>traba y así poder eludir la acción jud</w:t>
      </w:r>
      <w:r>
        <w:t>i</w:t>
      </w:r>
      <w:r>
        <w:t xml:space="preserve">cial y recuperar la libertad y que, en orden al incidente que tuvo con </w:t>
      </w:r>
      <w:smartTag w:uri="urn:schemas-microsoft-com:office:smarttags" w:element="PersonName">
        <w:smartTagPr>
          <w:attr w:name="ProductID" w:val="la Brigada"/>
        </w:smartTagPr>
        <w:r>
          <w:t>la Br</w:t>
        </w:r>
        <w:r>
          <w:t>i</w:t>
        </w:r>
        <w:r>
          <w:t>gada</w:t>
        </w:r>
      </w:smartTag>
      <w:r>
        <w:t xml:space="preserve"> de Lanús, Telleldín ind</w:t>
      </w:r>
      <w:r>
        <w:t>i</w:t>
      </w:r>
      <w:r>
        <w:t xml:space="preserve">có a </w:t>
      </w:r>
      <w:smartTag w:uri="urn:schemas-microsoft-com:office:smarttags" w:element="PersonName">
        <w:smartTagPr>
          <w:attr w:name="ProductID" w:val="la Sra."/>
        </w:smartTagPr>
        <w:r>
          <w:t>la Sra.</w:t>
        </w:r>
      </w:smartTag>
      <w:r>
        <w:t xml:space="preserve"> camarista que el jefe de la seguridad externa del penal de “Olmos”, comis</w:t>
      </w:r>
      <w:r>
        <w:t>a</w:t>
      </w:r>
      <w:r>
        <w:t>rio (RE) Boteil, se presentó, el 7 de abril, en la depe</w:t>
      </w:r>
      <w:r>
        <w:t>n</w:t>
      </w:r>
      <w:r>
        <w:t>dencia policial y mantuvo, en un bar vecino, una entrevi</w:t>
      </w:r>
      <w:r>
        <w:t>s</w:t>
      </w:r>
      <w:r>
        <w:t>ta con el referido subcomisario, con la finalidad de i</w:t>
      </w:r>
      <w:r>
        <w:t>n</w:t>
      </w:r>
      <w:r>
        <w:t>terceder en favor de su libertad.</w:t>
      </w:r>
    </w:p>
    <w:p w:rsidR="00224567" w:rsidRDefault="00224567">
      <w:pPr>
        <w:widowControl w:val="0"/>
      </w:pPr>
      <w:r>
        <w:tab/>
        <w:t>En relación a los boletos de ve</w:t>
      </w:r>
      <w:r>
        <w:t>n</w:t>
      </w:r>
      <w:r>
        <w:t>ta de los rodados y del crucero, la nota reza “que eran todos de un mismo talonario, y que algunos fueron firmados en bla</w:t>
      </w:r>
      <w:r>
        <w:t>n</w:t>
      </w:r>
      <w:r>
        <w:t>co, y otros con nombres que fueron suministrados por la pol</w:t>
      </w:r>
      <w:r>
        <w:t>i</w:t>
      </w:r>
      <w:r>
        <w:t>cía”.</w:t>
      </w:r>
    </w:p>
    <w:p w:rsidR="00224567" w:rsidRDefault="00224567">
      <w:pPr>
        <w:widowControl w:val="0"/>
      </w:pPr>
      <w:r>
        <w:tab/>
        <w:t>Surge de la anotación efectuada por el magistrado, siempre con base en lo que le trasmitiera la jueza Riva Aramayo, que estando detenido Telleldín en el Departamento de Protección del Orden Constitucional, fue visitado por una mujer a la que conoce como “Vicky”, esp</w:t>
      </w:r>
      <w:r>
        <w:t>o</w:t>
      </w:r>
      <w:r>
        <w:t xml:space="preserve">sa de Barreiro (sic), oficial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w:t>
        </w:r>
        <w:r>
          <w:t>n</w:t>
        </w:r>
        <w:r>
          <w:t>cia</w:t>
        </w:r>
      </w:smartTag>
      <w:r>
        <w:t xml:space="preserve"> de Buenos Aires, quien le dijo que se quedase tranqu</w:t>
      </w:r>
      <w:r>
        <w:t>i</w:t>
      </w:r>
      <w:r>
        <w:t>lo “que habían encontrado a una persona de apellido S</w:t>
      </w:r>
      <w:r>
        <w:t>o</w:t>
      </w:r>
      <w:r>
        <w:t xml:space="preserve">lari quien se haría cargo de la compra de </w:t>
      </w:r>
      <w:smartTag w:uri="urn:schemas-microsoft-com:office:smarttags" w:element="PersonName">
        <w:smartTagPr>
          <w:attr w:name="ProductID" w:val="la Trafic"/>
        </w:smartTagPr>
        <w:r>
          <w:t>la Trafic</w:t>
        </w:r>
      </w:smartTag>
      <w:r>
        <w:t xml:space="preserve">, diciendo que había ido con el tal Martínez, por lo que a Solari, según dichos de Telleldín lo presentó en la causa en el mes de febrero de </w:t>
      </w:r>
      <w:smartTag w:uri="urn:schemas-microsoft-com:office:smarttags" w:element="metricconverter">
        <w:smartTagPr>
          <w:attr w:name="ProductID" w:val="1995”"/>
        </w:smartTagPr>
        <w:r>
          <w:t>1995”</w:t>
        </w:r>
      </w:smartTag>
      <w:r>
        <w:t>. También comentó Telleldín, según la magistrada, que “hubo diferentes identikits en el P.O.C. que fueron quemados durante la jefatura de Castañ</w:t>
      </w:r>
      <w:r>
        <w:t>e</w:t>
      </w:r>
      <w:r>
        <w:t>da”.</w:t>
      </w:r>
    </w:p>
    <w:p w:rsidR="00224567" w:rsidRDefault="00224567">
      <w:pPr>
        <w:widowControl w:val="0"/>
      </w:pPr>
      <w:r>
        <w:tab/>
        <w:t>También se refiere en la nota de m</w:t>
      </w:r>
      <w:r>
        <w:t>a</w:t>
      </w:r>
      <w:r>
        <w:t>rras que Telleldín indicó que en el baño del D.P.O.C. f</w:t>
      </w:r>
      <w:r>
        <w:t>i</w:t>
      </w:r>
      <w:r>
        <w:t>gura una inscripción en lápiz que reza “LUNA ALUJ BUM”, quien fuera detenido y deportado a El Salvador; que el nombrado le entregó a su hermano la llave de una caja de seguridad, ubicada en la estación Retiro, que está en p</w:t>
      </w:r>
      <w:r>
        <w:t>o</w:t>
      </w:r>
      <w:r>
        <w:t>der de Eduardo Telle</w:t>
      </w:r>
      <w:r>
        <w:t>l</w:t>
      </w:r>
      <w:r>
        <w:t>dín.</w:t>
      </w:r>
    </w:p>
    <w:p w:rsidR="00224567" w:rsidRDefault="00224567">
      <w:pPr>
        <w:pStyle w:val="Encabezado"/>
        <w:widowControl w:val="0"/>
        <w:tabs>
          <w:tab w:val="center" w:pos="0"/>
        </w:tabs>
      </w:pPr>
      <w:r>
        <w:tab/>
        <w:t>Finalmente, consta en la mencionada acta que Telleldín manifestó que el apellido de uno de los oficiales que recibieron la camioneta “podría ser `Tu</w:t>
      </w:r>
      <w:r>
        <w:t>r</w:t>
      </w:r>
      <w:r>
        <w:t>co´”.</w:t>
      </w:r>
    </w:p>
    <w:p w:rsidR="00224567" w:rsidRDefault="00224567">
      <w:pPr>
        <w:pStyle w:val="Encabezado"/>
        <w:widowControl w:val="0"/>
        <w:tabs>
          <w:tab w:val="center" w:pos="0"/>
        </w:tabs>
      </w:pPr>
      <w:r>
        <w:rPr>
          <w:b/>
          <w:bCs/>
        </w:rPr>
        <w:tab/>
        <w:t xml:space="preserve">E.2) </w:t>
      </w:r>
      <w:r>
        <w:t>Como más adelante se verá, al son de los comentarios efectuados por Telleldín a la jueza R</w:t>
      </w:r>
      <w:r>
        <w:t>i</w:t>
      </w:r>
      <w:r>
        <w:t>va Aramayo, que técnicamente, en modo alguno, puede adm</w:t>
      </w:r>
      <w:r>
        <w:t>i</w:t>
      </w:r>
      <w:r>
        <w:t>tirse que constituyan o se asimilen a algunas de las d</w:t>
      </w:r>
      <w:r>
        <w:t>e</w:t>
      </w:r>
      <w:r>
        <w:t>claraciones que prevé la legislación procesal, se fue construyendo, de modo formal, con un pseudo e</w:t>
      </w:r>
      <w:r>
        <w:t>s</w:t>
      </w:r>
      <w:r>
        <w:t>tilo forense o, al menos, con pretensiones de serlo, la versión que f</w:t>
      </w:r>
      <w:r>
        <w:t>i</w:t>
      </w:r>
      <w:r>
        <w:t>nalmente el antes nombrado volcó en su declaración indag</w:t>
      </w:r>
      <w:r>
        <w:t>a</w:t>
      </w:r>
      <w:r>
        <w:t>toria del 5 de julio de 1996.</w:t>
      </w:r>
    </w:p>
    <w:p w:rsidR="00224567" w:rsidRDefault="00224567">
      <w:pPr>
        <w:widowControl w:val="0"/>
      </w:pPr>
      <w:r>
        <w:tab/>
        <w:t>Ello, por cuanto, de lo que pudo con</w:t>
      </w:r>
      <w:r>
        <w:t>o</w:t>
      </w:r>
      <w:r>
        <w:t>cerse de la actividad de Vergéz y Acosta, el grueso de la información que Telleldín habría apo</w:t>
      </w:r>
      <w:r>
        <w:t>r</w:t>
      </w:r>
      <w:r>
        <w:t xml:space="preserve">tado a la jueza ya la había proporcionado a aquellos, aunque sin mencionar que la policía le hubiese quitado </w:t>
      </w:r>
      <w:smartTag w:uri="urn:schemas-microsoft-com:office:smarttags" w:element="PersonName">
        <w:smartTagPr>
          <w:attr w:name="ProductID" w:val="la Trafic."/>
        </w:smartTagPr>
        <w:r>
          <w:t>la Trafic.</w:t>
        </w:r>
      </w:smartTag>
    </w:p>
    <w:p w:rsidR="00224567" w:rsidRDefault="00224567">
      <w:pPr>
        <w:widowControl w:val="0"/>
      </w:pPr>
      <w:r>
        <w:tab/>
        <w:t>Dos circunstancias, que temporalmente pueden ubicarse al inicio y al final del tramado de la hist</w:t>
      </w:r>
      <w:r>
        <w:t>o</w:t>
      </w:r>
      <w:r>
        <w:t>ria, avalan tal afirmación.</w:t>
      </w:r>
    </w:p>
    <w:p w:rsidR="00224567" w:rsidRDefault="00224567">
      <w:pPr>
        <w:widowControl w:val="0"/>
        <w:tabs>
          <w:tab w:val="center" w:pos="0"/>
        </w:tabs>
      </w:pPr>
      <w:r>
        <w:tab/>
        <w:t xml:space="preserve">La primera, que Telleldín, según le habría comentado </w:t>
      </w:r>
      <w:smartTag w:uri="urn:schemas-microsoft-com:office:smarttags" w:element="PersonName">
        <w:smartTagPr>
          <w:attr w:name="ProductID" w:val="la Dra. Riva"/>
        </w:smartTagPr>
        <w:r>
          <w:t>la Dra. Riva</w:t>
        </w:r>
      </w:smartTag>
      <w:r>
        <w:t xml:space="preserve"> Aramayo al juez G</w:t>
      </w:r>
      <w:r>
        <w:t>a</w:t>
      </w:r>
      <w:r>
        <w:t>leano (fs. 37.380, acta del 24 de agosto de 1995), había co</w:t>
      </w:r>
      <w:r>
        <w:t>n</w:t>
      </w:r>
      <w:r>
        <w:t>dicionado su cooperación al cumplimiento previo de determinadas ex</w:t>
      </w:r>
      <w:r>
        <w:t>i</w:t>
      </w:r>
      <w:r>
        <w:t>gencias que no precisó.</w:t>
      </w:r>
    </w:p>
    <w:p w:rsidR="00224567" w:rsidRDefault="00224567">
      <w:pPr>
        <w:widowControl w:val="0"/>
      </w:pPr>
      <w:r>
        <w:tab/>
        <w:t>La segunda, desde el otro extr</w:t>
      </w:r>
      <w:r>
        <w:t>e</w:t>
      </w:r>
      <w:r>
        <w:t>mo, lo constituye la circunstancia, indicada por T</w:t>
      </w:r>
      <w:r>
        <w:t>e</w:t>
      </w:r>
      <w:r>
        <w:t>lleldín en el debate, de que suscribió su declar</w:t>
      </w:r>
      <w:r>
        <w:t>a</w:t>
      </w:r>
      <w:r>
        <w:t>ción indagatoria del 5 de julio de 1996 una vez que constató que se había form</w:t>
      </w:r>
      <w:r>
        <w:t>a</w:t>
      </w:r>
      <w:r>
        <w:t>lizado el pago, agregando que de lo contrario no lo hubi</w:t>
      </w:r>
      <w:r>
        <w:t>e</w:t>
      </w:r>
      <w:r>
        <w:t>se hecho. En su última ampliación, T</w:t>
      </w:r>
      <w:r>
        <w:t>e</w:t>
      </w:r>
      <w:r>
        <w:t>lleldín indicó que lo siguiente: “cobré por las hipótesis transformadas en realidad del juez Galeano, porque decía que tenía probado por otros medios, por otras personas y por otras cosas, que la policía estaba con esta persona Ramón Martínez, c</w:t>
      </w:r>
      <w:r>
        <w:t>o</w:t>
      </w:r>
      <w:r>
        <w:t>sa que yo nunca pude s</w:t>
      </w:r>
      <w:r>
        <w:t>a</w:t>
      </w:r>
      <w:r>
        <w:t>ber a ciencia cierta”.</w:t>
      </w:r>
    </w:p>
    <w:p w:rsidR="00224567" w:rsidRDefault="00224567">
      <w:pPr>
        <w:widowControl w:val="0"/>
        <w:tabs>
          <w:tab w:val="center" w:pos="0"/>
        </w:tabs>
        <w:rPr>
          <w:b/>
          <w:bCs/>
        </w:rPr>
      </w:pPr>
      <w:r>
        <w:tab/>
        <w:t>Si bien no es necesario abundar aquí acerca de la demostrada mendacidad de Telleldín, la ref</w:t>
      </w:r>
      <w:r>
        <w:t>e</w:t>
      </w:r>
      <w:r>
        <w:t>rida manifestación encuentra asidero no bien se cot</w:t>
      </w:r>
      <w:r>
        <w:t>e</w:t>
      </w:r>
      <w:r>
        <w:t>je la total</w:t>
      </w:r>
      <w:r>
        <w:t>i</w:t>
      </w:r>
      <w:r>
        <w:t>dad de la prueba colectada en el debate.</w:t>
      </w:r>
    </w:p>
    <w:p w:rsidR="00224567" w:rsidRDefault="00224567">
      <w:pPr>
        <w:widowControl w:val="0"/>
        <w:tabs>
          <w:tab w:val="center" w:pos="0"/>
        </w:tabs>
      </w:pPr>
      <w:r>
        <w:rPr>
          <w:b/>
          <w:bCs/>
        </w:rPr>
        <w:tab/>
        <w:t xml:space="preserve">E.3) </w:t>
      </w:r>
      <w:r>
        <w:t xml:space="preserve">El periodista </w:t>
      </w:r>
      <w:r>
        <w:rPr>
          <w:bCs/>
        </w:rPr>
        <w:t xml:space="preserve">Román Lejtman </w:t>
      </w:r>
      <w:r>
        <w:t>dio cuenta en el debate del interés de algunos funcionarios del Gobierno Nacional en obtener una declaración de T</w:t>
      </w:r>
      <w:r>
        <w:t>e</w:t>
      </w:r>
      <w:r>
        <w:t>lleldín que precise a quien le entr</w:t>
      </w:r>
      <w:r>
        <w:t>e</w:t>
      </w:r>
      <w:r>
        <w:t>gó la camioneta.</w:t>
      </w:r>
    </w:p>
    <w:p w:rsidR="00224567" w:rsidRDefault="00224567">
      <w:pPr>
        <w:widowControl w:val="0"/>
        <w:tabs>
          <w:tab w:val="center" w:pos="0"/>
        </w:tabs>
      </w:pPr>
      <w:r>
        <w:tab/>
        <w:t>Indicó que uno de ellos, al conocer que la oferta económica que le había formulado a Telle</w:t>
      </w:r>
      <w:r>
        <w:t>l</w:t>
      </w:r>
      <w:r>
        <w:t>dín, junto con su colega Kollmann, en procura de ed</w:t>
      </w:r>
      <w:r>
        <w:t>i</w:t>
      </w:r>
      <w:r>
        <w:t>tar un libro con su versión de los hechos, no había sido aceptada por el imputado, le propuso que el gobierno solvente la difere</w:t>
      </w:r>
      <w:r>
        <w:t>n</w:t>
      </w:r>
      <w:r>
        <w:t>cia entre lo que iba a pagar la editorial y lo que quería Telleldín, incluidos los honorarios; ofrecimiento que el testigo dijo no haber aceptado, por lo que el libro no se publicó.</w:t>
      </w:r>
    </w:p>
    <w:p w:rsidR="00224567" w:rsidRDefault="00224567">
      <w:pPr>
        <w:widowControl w:val="0"/>
        <w:tabs>
          <w:tab w:val="center" w:pos="0"/>
        </w:tabs>
      </w:pPr>
      <w:r>
        <w:tab/>
        <w:t>Al serle requerido el nombre del fu</w:t>
      </w:r>
      <w:r>
        <w:t>n</w:t>
      </w:r>
      <w:r>
        <w:t>cionario del Gobierno Nacional, Lejtman prefirió no rev</w:t>
      </w:r>
      <w:r>
        <w:t>e</w:t>
      </w:r>
      <w:r>
        <w:t>lar su fuente periodística; criterio que, tras la incide</w:t>
      </w:r>
      <w:r>
        <w:t>n</w:t>
      </w:r>
      <w:r>
        <w:t>cia suscitada, el Tribunal, por may</w:t>
      </w:r>
      <w:r>
        <w:t>o</w:t>
      </w:r>
      <w:r>
        <w:t>ría, avaló.</w:t>
      </w:r>
    </w:p>
    <w:p w:rsidR="00224567" w:rsidRDefault="00224567">
      <w:pPr>
        <w:widowControl w:val="0"/>
        <w:tabs>
          <w:tab w:val="center" w:pos="0"/>
        </w:tabs>
      </w:pPr>
      <w:r>
        <w:rPr>
          <w:bCs/>
        </w:rPr>
        <w:tab/>
        <w:t>Raúl Kollmann, por su parte,</w:t>
      </w:r>
      <w:r>
        <w:t xml:space="preserve"> refirió en la audiencia de debate las tratativas que mantuvi</w:t>
      </w:r>
      <w:r>
        <w:t>e</w:t>
      </w:r>
      <w:r>
        <w:t>ron, junto con Román Lejtman, a fin de escribir un l</w:t>
      </w:r>
      <w:r>
        <w:t>i</w:t>
      </w:r>
      <w:r>
        <w:t>bro con la confesión de Telleldín, quien se había comprometido a r</w:t>
      </w:r>
      <w:r>
        <w:t>a</w:t>
      </w:r>
      <w:r>
        <w:t xml:space="preserve">tificarla luego ante el juez Galeano. Para ello, indicó, se había buscado la conformidad de Rubén Beraja, el juez Galeano y José Allevato de </w:t>
      </w:r>
      <w:smartTag w:uri="urn:schemas-microsoft-com:office:smarttags" w:element="PersonName">
        <w:smartTagPr>
          <w:attr w:name="ProductID" w:val="la S.I"/>
        </w:smartTagPr>
        <w:r>
          <w:t>la S.I</w:t>
        </w:r>
      </w:smartTag>
      <w:r>
        <w:t>.D.E.; incluso, dijo, creyó recordar que se había hablado con los fiscales M</w:t>
      </w:r>
      <w:r>
        <w:t>u</w:t>
      </w:r>
      <w:r>
        <w:t>llen y Barbaccia, dado que no se quería interferir en la investigación; aclaró que ninguno de los nombrados enco</w:t>
      </w:r>
      <w:r>
        <w:t>n</w:t>
      </w:r>
      <w:r>
        <w:t>tró obstáculos para e</w:t>
      </w:r>
      <w:r>
        <w:t>m</w:t>
      </w:r>
      <w:r>
        <w:t>prender esa tarea.</w:t>
      </w:r>
    </w:p>
    <w:p w:rsidR="00224567" w:rsidRDefault="00224567">
      <w:pPr>
        <w:widowControl w:val="0"/>
        <w:tabs>
          <w:tab w:val="center" w:pos="0"/>
        </w:tabs>
      </w:pPr>
      <w:r>
        <w:tab/>
        <w:t>Explicó el periodista que el noventa por ciento de las negociaciones las llevó adelante su c</w:t>
      </w:r>
      <w:r>
        <w:t>o</w:t>
      </w:r>
      <w:r>
        <w:t>lega Lejtman y que en ese marco intentó comenzar el libro, dado que todos decían que sí. A raíz de ello se reunieron con Stinfale en el bar “Filippo” y ante su insistencia por emprender el c</w:t>
      </w:r>
      <w:r>
        <w:t>o</w:t>
      </w:r>
      <w:r>
        <w:t>metido, Román Lejtman le comentó que debían ser “cautelosos, cuidadosos, tomémosnos nuestro tiempo”, percibiendo a partir de ese momento “que alguien estaba, que había algo detrás que yo no conocía, de que había otra cosa, de que había alguien con negociaciones que yo desc</w:t>
      </w:r>
      <w:r>
        <w:t>o</w:t>
      </w:r>
      <w:r>
        <w:t>nocía y tuvimos un lío en esa... yo cuando me enojo me enojo, tuvimos un lío muy fuerte en esa confitería y, de</w:t>
      </w:r>
      <w:r>
        <w:t>s</w:t>
      </w:r>
      <w:r>
        <w:t>de entonces, el libro dejó de existir para mí, incluso t</w:t>
      </w:r>
      <w:r>
        <w:t>u</w:t>
      </w:r>
      <w:r>
        <w:t>vimos un di</w:t>
      </w:r>
      <w:r>
        <w:t>s</w:t>
      </w:r>
      <w:r>
        <w:t>tanciamiento con Román” (sic).</w:t>
      </w:r>
    </w:p>
    <w:p w:rsidR="00224567" w:rsidRDefault="00224567">
      <w:pPr>
        <w:widowControl w:val="0"/>
        <w:tabs>
          <w:tab w:val="center" w:pos="0"/>
        </w:tabs>
      </w:pPr>
      <w:r>
        <w:tab/>
        <w:t>Precisó el testigo Kollmann que por el libro les pagarían $40.000, a dividir entre los dos, sup</w:t>
      </w:r>
      <w:r>
        <w:t>o</w:t>
      </w:r>
      <w:r>
        <w:t>niendo que la plata la pondría la ed</w:t>
      </w:r>
      <w:r>
        <w:t>i</w:t>
      </w:r>
      <w:r>
        <w:t>torial, sin saber en ese momento cuál, debido a que Lejtman se encargó de las negociaciones, enterándose luego que la editorial era “Sudam</w:t>
      </w:r>
      <w:r>
        <w:t>e</w:t>
      </w:r>
      <w:r>
        <w:t>ricana”.</w:t>
      </w:r>
    </w:p>
    <w:p w:rsidR="00224567" w:rsidRDefault="00224567">
      <w:pPr>
        <w:widowControl w:val="0"/>
        <w:tabs>
          <w:tab w:val="center" w:pos="0"/>
        </w:tabs>
      </w:pPr>
      <w:r>
        <w:rPr>
          <w:b/>
          <w:bCs/>
        </w:rPr>
        <w:tab/>
        <w:t xml:space="preserve">E.4) </w:t>
      </w:r>
      <w:r>
        <w:t>Con posterioridad a las reuni</w:t>
      </w:r>
      <w:r>
        <w:t>o</w:t>
      </w:r>
      <w:r>
        <w:t>nes con la camarista Riva Aramayo, en el año 1996, se inici</w:t>
      </w:r>
      <w:r>
        <w:t>a</w:t>
      </w:r>
      <w:r>
        <w:t>ron una serie de conversaciones entre el Dr. Stinfale, T</w:t>
      </w:r>
      <w:r>
        <w:t>e</w:t>
      </w:r>
      <w:r>
        <w:t>lleldín y el Dr. Beraja, querellante en la causa, de las que el ju</w:t>
      </w:r>
      <w:r>
        <w:t>z</w:t>
      </w:r>
      <w:r>
        <w:t>gado estaba anoticiado.</w:t>
      </w:r>
    </w:p>
    <w:p w:rsidR="00224567" w:rsidRDefault="00224567">
      <w:pPr>
        <w:widowControl w:val="0"/>
        <w:tabs>
          <w:tab w:val="center" w:pos="0"/>
        </w:tabs>
      </w:pPr>
      <w:r>
        <w:tab/>
        <w:t>En efecto, al deponer en la a</w:t>
      </w:r>
      <w:r>
        <w:t>u</w:t>
      </w:r>
      <w:r>
        <w:t xml:space="preserve">diencia el Dr. Rubén Ezra Beraja, presidente de </w:t>
      </w:r>
      <w:smartTag w:uri="urn:schemas-microsoft-com:office:smarttags" w:element="PersonName">
        <w:smartTagPr>
          <w:attr w:name="ProductID" w:val="la Delegaci￳n"/>
        </w:smartTagPr>
        <w:r>
          <w:t>la Delegación</w:t>
        </w:r>
      </w:smartTag>
      <w:r>
        <w:t xml:space="preserve"> de Asociaciones Israelitas Argentinas entre los años 1991 y 1998, sostuvo que en 1996 mantuvo dos encuentros con el Dr. Stinfale, defensor de Telleldín, en los cu</w:t>
      </w:r>
      <w:r>
        <w:t>a</w:t>
      </w:r>
      <w:r>
        <w:t>les, entre otras cosas, surgió el tema de un libro, por cuanto el imputado quería lograr una edición para obtener recursos, dado que era la forma de proteger a su familia.</w:t>
      </w:r>
    </w:p>
    <w:p w:rsidR="00224567" w:rsidRDefault="00224567">
      <w:pPr>
        <w:widowControl w:val="0"/>
        <w:tabs>
          <w:tab w:val="center" w:pos="0"/>
        </w:tabs>
      </w:pPr>
      <w:r>
        <w:tab/>
        <w:t>Explicó que el primer encuentro con Stinfale, a quien no conocía, se realizó en su oficina, que se trató de “una reunión de conocimiento, de planteo del tema. Stinfale le dijo que tenía experiencia en asu</w:t>
      </w:r>
      <w:r>
        <w:t>n</w:t>
      </w:r>
      <w:r>
        <w:t>tos penales pero que era consciente que este era un caso grave y, por su envergadura, ajeno a su actividad hab</w:t>
      </w:r>
      <w:r>
        <w:t>i</w:t>
      </w:r>
      <w:r>
        <w:t>tual. Le comentó, además, que el temor impedía a su clie</w:t>
      </w:r>
      <w:r>
        <w:t>n</w:t>
      </w:r>
      <w:r>
        <w:t xml:space="preserve">te hablar de sus vínculos con miembros de </w:t>
      </w:r>
      <w:smartTag w:uri="urn:schemas-microsoft-com:office:smarttags" w:element="PersonName">
        <w:smartTagPr>
          <w:attr w:name="ProductID" w:val="la Polic￭a Bonaerense"/>
        </w:smartTagPr>
        <w:r>
          <w:t>la Policía B</w:t>
        </w:r>
        <w:r>
          <w:t>o</w:t>
        </w:r>
        <w:r>
          <w:t>naerense</w:t>
        </w:r>
      </w:smartTag>
      <w:r>
        <w:t>, quienes lo habían llevado hasta aparecer invol</w:t>
      </w:r>
      <w:r>
        <w:t>u</w:t>
      </w:r>
      <w:r>
        <w:t>crado en la causa”.</w:t>
      </w:r>
    </w:p>
    <w:p w:rsidR="00224567" w:rsidRDefault="00224567">
      <w:pPr>
        <w:widowControl w:val="0"/>
        <w:tabs>
          <w:tab w:val="center" w:pos="0"/>
        </w:tabs>
      </w:pPr>
      <w:r>
        <w:tab/>
        <w:t>Añadió Beraja que su interlocutor le dijo que Telleldín no hablaba debido a que temía por su vida y sostuvo que Stinfale quedó en “que charlaría con su cliente para ver si podíamos encontrar alternat</w:t>
      </w:r>
      <w:r>
        <w:t>i</w:t>
      </w:r>
      <w:r>
        <w:t>vas”.</w:t>
      </w:r>
    </w:p>
    <w:p w:rsidR="00224567" w:rsidRDefault="00224567">
      <w:pPr>
        <w:widowControl w:val="0"/>
        <w:tabs>
          <w:tab w:val="center" w:pos="0"/>
        </w:tabs>
      </w:pPr>
      <w:r>
        <w:tab/>
        <w:t>Luego de un mes, acotó, tuvieron otra reunión en una oficina sita en Lavalle y Florida, que no estaba habilitada, donde podían tener privacidad y lo co</w:t>
      </w:r>
      <w:r>
        <w:t>n</w:t>
      </w:r>
      <w:r>
        <w:t>sideraban un lugar neutral, acordando darle a la entrevi</w:t>
      </w:r>
      <w:r>
        <w:t>s</w:t>
      </w:r>
      <w:r>
        <w:t>ta el carácter de secreto profesional. En la ocasión vo</w:t>
      </w:r>
      <w:r>
        <w:t>l</w:t>
      </w:r>
      <w:r>
        <w:t>vieron a hablar del tema y “ahí introdujo la cuestión del libro”, mencionándole Stinfale que Telleldín lo quería h</w:t>
      </w:r>
      <w:r>
        <w:t>a</w:t>
      </w:r>
      <w:r>
        <w:t xml:space="preserve">cer, indicándole </w:t>
      </w:r>
      <w:smartTag w:uri="urn:schemas-microsoft-com:office:smarttags" w:element="PersonName">
        <w:smartTagPr>
          <w:attr w:name="ProductID" w:val="la Editorial Sudamericana"/>
        </w:smartTagPr>
        <w:r>
          <w:t>la Editorial Sudamericana</w:t>
        </w:r>
      </w:smartTag>
      <w:r>
        <w:t xml:space="preserve"> y la aspir</w:t>
      </w:r>
      <w:r>
        <w:t>a</w:t>
      </w:r>
      <w:r>
        <w:t>ción dineraria que tenía. Según Beraja, el libro contendría t</w:t>
      </w:r>
      <w:r>
        <w:t>e</w:t>
      </w:r>
      <w:r>
        <w:t>mas vinculados a cómo ocurrió el atentado, exponiéndolo públicamente, interpretando que ese medio “podía signif</w:t>
      </w:r>
      <w:r>
        <w:t>i</w:t>
      </w:r>
      <w:r>
        <w:t>car una mayor salvaguarda por la publicidad”.</w:t>
      </w:r>
    </w:p>
    <w:p w:rsidR="00224567" w:rsidRDefault="00224567">
      <w:pPr>
        <w:widowControl w:val="0"/>
        <w:tabs>
          <w:tab w:val="center" w:pos="0"/>
        </w:tabs>
      </w:pPr>
      <w:r>
        <w:tab/>
        <w:t>Recordó el testigo que, en razón que para esa época estaba vigente la recompensa establecida por el gobierno, le preguntó a “Stinfale que si lo que T</w:t>
      </w:r>
      <w:r>
        <w:t>e</w:t>
      </w:r>
      <w:r>
        <w:t>lleldín necesitaba eran recursos para tomar recaudos y distancia frente a las amenazas que podría haber s</w:t>
      </w:r>
      <w:r>
        <w:t>o</w:t>
      </w:r>
      <w:r>
        <w:t>bre su familia, por qué no se acogía a la recompensa, respondié</w:t>
      </w:r>
      <w:r>
        <w:t>n</w:t>
      </w:r>
      <w:r>
        <w:t>dole su interlocutor que estaba excluido por su carácter de procesado y, además, debido a que tenía embargos jud</w:t>
      </w:r>
      <w:r>
        <w:t>i</w:t>
      </w:r>
      <w:r>
        <w:t>ciales, extremo que hacía ilusoria la posibilidad de c</w:t>
      </w:r>
      <w:r>
        <w:t>o</w:t>
      </w:r>
      <w:r>
        <w:t>brar la r</w:t>
      </w:r>
      <w:r>
        <w:t>e</w:t>
      </w:r>
      <w:r>
        <w:t>compensa”.</w:t>
      </w:r>
    </w:p>
    <w:p w:rsidR="00224567" w:rsidRDefault="00224567">
      <w:pPr>
        <w:widowControl w:val="0"/>
        <w:tabs>
          <w:tab w:val="center" w:pos="0"/>
        </w:tabs>
      </w:pPr>
      <w:r>
        <w:tab/>
        <w:t>Agregó que luego de la reunión quedó abierto un canal de dialogo que sirvió para solicitar y llevar a cabo en el juzgado una entrevista con el imp</w:t>
      </w:r>
      <w:r>
        <w:t>u</w:t>
      </w:r>
      <w:r>
        <w:t>tado, de la que participó junto con los Dres. Stinfale, Cichowolski, Dobniewski y Astigarraga, no habiendo tomado parte ningún funcionario del juzgado; reunión que no arr</w:t>
      </w:r>
      <w:r>
        <w:t>o</w:t>
      </w:r>
      <w:r>
        <w:t>jó ningún r</w:t>
      </w:r>
      <w:r>
        <w:t>e</w:t>
      </w:r>
      <w:r>
        <w:t>sultado dado que Telleldín volvió a decir que sabía mucho pero que no podía hablar por el riesgo. Agregó que frente a ello le dijeron que si informaba el destino de la camioneta Trafic entre el 10 y el 17, se compromet</w:t>
      </w:r>
      <w:r>
        <w:t>e</w:t>
      </w:r>
      <w:r>
        <w:t>rían a lograr que el gobierno tomara medidas para darle protección a nivel nacional e internacional; no obstante, Telleldín no modificó su a</w:t>
      </w:r>
      <w:r>
        <w:t>c</w:t>
      </w:r>
      <w:r>
        <w:t>titud.</w:t>
      </w:r>
    </w:p>
    <w:p w:rsidR="00224567" w:rsidRDefault="00224567">
      <w:pPr>
        <w:widowControl w:val="0"/>
        <w:tabs>
          <w:tab w:val="center" w:pos="0"/>
        </w:tabs>
      </w:pPr>
      <w:r>
        <w:tab/>
        <w:t>Beraja precisó que pidieron que la e</w:t>
      </w:r>
      <w:r>
        <w:t>n</w:t>
      </w:r>
      <w:r>
        <w:t>trevista se llevase a cabo en la sede del juzgado d</w:t>
      </w:r>
      <w:r>
        <w:t>e</w:t>
      </w:r>
      <w:r>
        <w:t>bido a que querían conversar en un ámbito “donde se pudiera gen</w:t>
      </w:r>
      <w:r>
        <w:t>e</w:t>
      </w:r>
      <w:r>
        <w:t>rar un contexto más positivo” recalcando que durante el cónclave Telleldín ocupó, con mucha soltura, el asiento central y construyó con habilidad la conversación, con f</w:t>
      </w:r>
      <w:r>
        <w:t>a</w:t>
      </w:r>
      <w:r>
        <w:t>cetas que no conducían a nada concreto.</w:t>
      </w:r>
    </w:p>
    <w:p w:rsidR="00224567" w:rsidRDefault="00224567">
      <w:pPr>
        <w:widowControl w:val="0"/>
      </w:pPr>
      <w:r>
        <w:tab/>
        <w:t>El juez instructor y los funci</w:t>
      </w:r>
      <w:r>
        <w:t>o</w:t>
      </w:r>
      <w:r>
        <w:t>narios del juzgado, expuso, sabían de que se trataría de persu</w:t>
      </w:r>
      <w:r>
        <w:t>a</w:t>
      </w:r>
      <w:r>
        <w:t>dir a Telleldín “para que por encima del temor que aducía, dijera lo que sabía y que realmente ese compromiso iba a ser tratado a nivel presidencial”, indicando “que Galeano era escéptico sobre la conveniencia de hacer la reunión, pero ante nuestra insistencia aceptó convocarlos”.</w:t>
      </w:r>
    </w:p>
    <w:p w:rsidR="00224567" w:rsidRDefault="00224567">
      <w:pPr>
        <w:widowControl w:val="0"/>
        <w:tabs>
          <w:tab w:val="center" w:pos="0"/>
        </w:tabs>
      </w:pPr>
      <w:r>
        <w:tab/>
        <w:t>Preguntado Beraja acerca de si se l</w:t>
      </w:r>
      <w:r>
        <w:t>a</w:t>
      </w:r>
      <w:r>
        <w:t>bró alguna constancia o se hizo un acta de la reunión, respondió que no.</w:t>
      </w:r>
    </w:p>
    <w:p w:rsidR="00224567" w:rsidRDefault="00224567">
      <w:pPr>
        <w:widowControl w:val="0"/>
        <w:tabs>
          <w:tab w:val="center" w:pos="0"/>
        </w:tabs>
        <w:rPr>
          <w:b/>
          <w:bCs/>
        </w:rPr>
      </w:pPr>
      <w:r>
        <w:tab/>
        <w:t>Si bien el encuentro al que se ref</w:t>
      </w:r>
      <w:r>
        <w:t>i</w:t>
      </w:r>
      <w:r>
        <w:t>rió el testigo acaeció en 1996, al serle exhib</w:t>
      </w:r>
      <w:r>
        <w:t>i</w:t>
      </w:r>
      <w:r>
        <w:t>da, a instancia de una de las defensas, el acta del 6 de agosto de 1997, que luce a fs. 26.589, aquél la reconoció, no obstante  reit</w:t>
      </w:r>
      <w:r>
        <w:t>e</w:t>
      </w:r>
      <w:r>
        <w:t>rar su creencia de que no se había dejado constancia alg</w:t>
      </w:r>
      <w:r>
        <w:t>u</w:t>
      </w:r>
      <w:r>
        <w:t>na del encuentro.</w:t>
      </w:r>
    </w:p>
    <w:p w:rsidR="00224567" w:rsidRDefault="00224567">
      <w:pPr>
        <w:widowControl w:val="0"/>
        <w:tabs>
          <w:tab w:val="center" w:pos="0"/>
        </w:tabs>
      </w:pPr>
      <w:r>
        <w:rPr>
          <w:b/>
          <w:bCs/>
        </w:rPr>
        <w:tab/>
        <w:t>E.5)</w:t>
      </w:r>
      <w:r>
        <w:t xml:space="preserve"> Ahora bien, demostrado como se gestó el acuerdo al que arribó Telleldín, plasmado clar</w:t>
      </w:r>
      <w:r>
        <w:t>a</w:t>
      </w:r>
      <w:r>
        <w:t xml:space="preserve">mente en su declaración indagatoria del 5 de julio de 1996, también puede reconstruirse cómo fue armándose esa versión sobre la base de los datos que el nombrado iba aportando a </w:t>
      </w:r>
      <w:smartTag w:uri="urn:schemas-microsoft-com:office:smarttags" w:element="PersonName">
        <w:smartTagPr>
          <w:attr w:name="ProductID" w:val="la Dra. Riva"/>
        </w:smartTagPr>
        <w:r>
          <w:t>la Dra. Riva</w:t>
        </w:r>
      </w:smartTag>
      <w:r>
        <w:t xml:space="preserve"> Aramayo.</w:t>
      </w:r>
    </w:p>
    <w:p w:rsidR="00224567" w:rsidRDefault="00224567">
      <w:pPr>
        <w:widowControl w:val="0"/>
        <w:tabs>
          <w:tab w:val="center" w:pos="0"/>
        </w:tabs>
      </w:pPr>
      <w:r>
        <w:tab/>
        <w:t>Prueba de ello resulta una de las d</w:t>
      </w:r>
      <w:r>
        <w:t>e</w:t>
      </w:r>
      <w:r>
        <w:t>claraciones testimoniales prestadas por el sarge</w:t>
      </w:r>
      <w:r>
        <w:t>n</w:t>
      </w:r>
      <w:r>
        <w:t xml:space="preserve">to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Manuel Enrique García, la del 15 de noviembre de 1995, en </w:t>
      </w:r>
      <w:smartTag w:uri="urn:schemas-microsoft-com:office:smarttags" w:element="PersonName">
        <w:smartTagPr>
          <w:attr w:name="ProductID" w:val="la Divisi￳n Sustracci￳n"/>
        </w:smartTagPr>
        <w:r>
          <w:t>la División Sustracción</w:t>
        </w:r>
      </w:smartTag>
      <w:r>
        <w:t xml:space="preserve"> de Automotores donde prestaba serv</w:t>
      </w:r>
      <w:r>
        <w:t>i</w:t>
      </w:r>
      <w:r>
        <w:t>cios.</w:t>
      </w:r>
    </w:p>
    <w:p w:rsidR="00224567" w:rsidRDefault="00224567">
      <w:pPr>
        <w:widowControl w:val="0"/>
        <w:tabs>
          <w:tab w:val="center" w:pos="0"/>
        </w:tabs>
      </w:pPr>
      <w:r>
        <w:tab/>
        <w:t xml:space="preserve">Vale recordar que Telleldín le habría comentado a la camarista Riva Aramayo, según la nota del Dr. Galeano del 5 de septiembre de 1995 (fs. 37.382), que el suboficial de </w:t>
      </w:r>
      <w:smartTag w:uri="urn:schemas-microsoft-com:office:smarttags" w:element="PersonName">
        <w:smartTagPr>
          <w:attr w:name="ProductID" w:val="la Brigada"/>
        </w:smartTagPr>
        <w:r>
          <w:t>la Brigada</w:t>
        </w:r>
      </w:smartTag>
      <w:r>
        <w:t xml:space="preserve"> de Vicente López al que le e</w:t>
      </w:r>
      <w:r>
        <w:t>n</w:t>
      </w:r>
      <w:r>
        <w:t>tregó la camioneta estaba acompañado por un subcomisario “a quien conoce como “PINO”, propietario de un Ford Gal</w:t>
      </w:r>
      <w:r>
        <w:t>a</w:t>
      </w:r>
      <w:r>
        <w:t>xy, de aspecto normal, delgado morocho, de bigotes, de 40 años”.</w:t>
      </w:r>
    </w:p>
    <w:p w:rsidR="00224567" w:rsidRDefault="00224567">
      <w:pPr>
        <w:widowControl w:val="0"/>
        <w:tabs>
          <w:tab w:val="center" w:pos="0"/>
        </w:tabs>
      </w:pPr>
      <w:r>
        <w:tab/>
        <w:t>Para ese entonces, ninguna circunsta</w:t>
      </w:r>
      <w:r>
        <w:t>n</w:t>
      </w:r>
      <w:r>
        <w:t>cia del legajo conducía a identificar a Anastasio Ireneo Leal.</w:t>
      </w:r>
    </w:p>
    <w:p w:rsidR="00224567" w:rsidRDefault="00224567">
      <w:pPr>
        <w:widowControl w:val="0"/>
        <w:tabs>
          <w:tab w:val="center" w:pos="0"/>
        </w:tabs>
      </w:pPr>
      <w:r>
        <w:tab/>
        <w:t>El sargento García el 17 de julio de 1995 prestó una breve declaración testimonial en el asie</w:t>
      </w:r>
      <w:r>
        <w:t>n</w:t>
      </w:r>
      <w:r>
        <w:t xml:space="preserve">to de sus funciones (fs. 37.157); luego, el 26 del mismo mes y año, declaró nuevamente en </w:t>
      </w:r>
      <w:smartTag w:uri="urn:schemas-microsoft-com:office:smarttags" w:element="PersonName">
        <w:smartTagPr>
          <w:attr w:name="ProductID" w:val="la Direcci￳n"/>
        </w:smartTagPr>
        <w:r>
          <w:t>la D</w:t>
        </w:r>
        <w:r>
          <w:t>i</w:t>
        </w:r>
        <w:r>
          <w:t>rección</w:t>
        </w:r>
      </w:smartTag>
      <w:r>
        <w:t xml:space="preserve"> de Sumarios, sita en </w:t>
      </w:r>
      <w:smartTag w:uri="urn:schemas-microsoft-com:office:smarttags" w:element="PersonName">
        <w:smartTagPr>
          <w:attr w:name="ProductID" w:val="la Ciudad"/>
        </w:smartTagPr>
        <w:r>
          <w:t>la Ciudad</w:t>
        </w:r>
      </w:smartTag>
      <w:r>
        <w:t xml:space="preserve"> de </w:t>
      </w:r>
      <w:smartTag w:uri="urn:schemas-microsoft-com:office:smarttags" w:element="PersonName">
        <w:smartTagPr>
          <w:attr w:name="ProductID" w:val="La Plata"/>
        </w:smartTagPr>
        <w:r>
          <w:t>la Plata</w:t>
        </w:r>
      </w:smartTag>
      <w:r>
        <w:t>, donde fue ampliamente int</w:t>
      </w:r>
      <w:r>
        <w:t>e</w:t>
      </w:r>
      <w:r>
        <w:t>rrogado en orden a los sucesos del 14 y 15 de julio de 1994 (fs. 37.198/37.199vta.).</w:t>
      </w:r>
    </w:p>
    <w:p w:rsidR="00224567" w:rsidRDefault="00224567">
      <w:pPr>
        <w:widowControl w:val="0"/>
        <w:tabs>
          <w:tab w:val="center" w:pos="0"/>
        </w:tabs>
      </w:pPr>
      <w:r>
        <w:tab/>
        <w:t>Finalmente, el 15 de noviembre de 1995, García es convocado nuevamente como testigo (fs. 37.759), ocasión en la que le es “puesta de m</w:t>
      </w:r>
      <w:r>
        <w:t>a</w:t>
      </w:r>
      <w:r>
        <w:t>nifiesto el acta labrada a fojas (   ) de las presentes actuaciones, dice que la ratifica íntegrame</w:t>
      </w:r>
      <w:r>
        <w:t>n</w:t>
      </w:r>
      <w:r>
        <w:t>te por ajustarse lo narrado a la v</w:t>
      </w:r>
      <w:r>
        <w:t>e</w:t>
      </w:r>
      <w:r>
        <w:t>racidad de lo acontecido reconociendo de su puño y letra una de las firmas que la suscriben, como la que ut</w:t>
      </w:r>
      <w:r>
        <w:t>i</w:t>
      </w:r>
      <w:r>
        <w:t>liza en todos sus actos” (sic). Seguidamente y de manera espont</w:t>
      </w:r>
      <w:r>
        <w:t>á</w:t>
      </w:r>
      <w:r>
        <w:t xml:space="preserve">nea García precisó: </w:t>
      </w:r>
      <w:r>
        <w:rPr>
          <w:b/>
        </w:rPr>
        <w:t>“</w:t>
      </w:r>
      <w:r>
        <w:t>Asimismo quiere agregar que el grupo operativo que formaba al momento de realizarse el procedimiento en el domicilio de Ca</w:t>
      </w:r>
      <w:r>
        <w:t>r</w:t>
      </w:r>
      <w:r>
        <w:t>los Alberto Telleldín, el día 14 de julio de 1994, estaba a cargo del oficial principal Anastacio Irineo Leal apodado ‘PINO’, el decl</w:t>
      </w:r>
      <w:r>
        <w:t>a</w:t>
      </w:r>
      <w:r>
        <w:t>rante, apodado ‘G</w:t>
      </w:r>
      <w:r>
        <w:t>A</w:t>
      </w:r>
      <w:r>
        <w:t>LLEGO’, y el sargento primero ARGENTINO LASALA, apodado ‘CABEZÓN’, con la salvedad que también e</w:t>
      </w:r>
      <w:r>
        <w:t>s</w:t>
      </w:r>
      <w:r>
        <w:t>taba el oficial inspector MARIO BAREIRO, del cual descon</w:t>
      </w:r>
      <w:r>
        <w:t>o</w:t>
      </w:r>
      <w:r>
        <w:t>ce apodo. Es todo cuanto tiene que declarar al respecto</w:t>
      </w:r>
      <w:r>
        <w:rPr>
          <w:b/>
        </w:rPr>
        <w:t>”</w:t>
      </w:r>
      <w:r>
        <w:t xml:space="preserve"> (sic).</w:t>
      </w:r>
    </w:p>
    <w:p w:rsidR="00224567" w:rsidRDefault="00224567">
      <w:pPr>
        <w:widowControl w:val="0"/>
        <w:tabs>
          <w:tab w:val="center" w:pos="0"/>
        </w:tabs>
      </w:pPr>
      <w:r>
        <w:tab/>
        <w:t>Varias observaciones merece esta últ</w:t>
      </w:r>
      <w:r>
        <w:t>i</w:t>
      </w:r>
      <w:r>
        <w:t>ma d</w:t>
      </w:r>
      <w:r>
        <w:t>e</w:t>
      </w:r>
      <w:r>
        <w:t>claración del suboficial García.</w:t>
      </w:r>
    </w:p>
    <w:p w:rsidR="00224567" w:rsidRDefault="00224567">
      <w:pPr>
        <w:widowControl w:val="0"/>
        <w:tabs>
          <w:tab w:val="center" w:pos="0"/>
        </w:tabs>
      </w:pPr>
      <w:r>
        <w:tab/>
        <w:t>En primer lugar, no es posible est</w:t>
      </w:r>
      <w:r>
        <w:t>a</w:t>
      </w:r>
      <w:r>
        <w:t>blecer cuál fue el motivo de su convocatoria, pues no se consignó acerca de qué habría de ser i</w:t>
      </w:r>
      <w:r>
        <w:t>n</w:t>
      </w:r>
      <w:r>
        <w:t>terrogado.</w:t>
      </w:r>
    </w:p>
    <w:p w:rsidR="00224567" w:rsidRDefault="00224567">
      <w:pPr>
        <w:widowControl w:val="0"/>
        <w:tabs>
          <w:tab w:val="center" w:pos="0"/>
        </w:tabs>
      </w:pPr>
      <w:r>
        <w:tab/>
        <w:t>En segundo término, era innecesaria toda referencia a cómo se conformaba el grupo operativo a cargo del oficial Leal, pues ello había sido expuesto de manera detallada en su declaración del 26 de julio de 1995.</w:t>
      </w:r>
    </w:p>
    <w:p w:rsidR="00224567" w:rsidRDefault="00224567">
      <w:pPr>
        <w:widowControl w:val="0"/>
        <w:tabs>
          <w:tab w:val="center" w:pos="0"/>
        </w:tabs>
      </w:pPr>
      <w:r>
        <w:tab/>
        <w:t>Asimismo, surge como forzada, pese a que se le hace aparecer como espontánea, la r</w:t>
      </w:r>
      <w:r>
        <w:t>e</w:t>
      </w:r>
      <w:r>
        <w:t>ferencia de los s</w:t>
      </w:r>
      <w:r>
        <w:t>o</w:t>
      </w:r>
      <w:r>
        <w:t>brenombres de los integrantes de la brigada; no son comunes las declaraciones de ese tipo en la que sólo se hace hincapié en los seudónimos de los funcionarios pol</w:t>
      </w:r>
      <w:r>
        <w:t>i</w:t>
      </w:r>
      <w:r>
        <w:t>ciales, salvo, claro está, que a raíz de esa mención pu</w:t>
      </w:r>
      <w:r>
        <w:t>e</w:t>
      </w:r>
      <w:r>
        <w:t>dan corroborarse extremos conocidos y no volcados en la causa.</w:t>
      </w:r>
    </w:p>
    <w:p w:rsidR="00224567" w:rsidRDefault="00224567">
      <w:pPr>
        <w:widowControl w:val="0"/>
        <w:tabs>
          <w:tab w:val="center" w:pos="0"/>
        </w:tabs>
      </w:pPr>
      <w:r>
        <w:tab/>
        <w:t>Se aduna a lo expuesto que el sarge</w:t>
      </w:r>
      <w:r>
        <w:t>n</w:t>
      </w:r>
      <w:r>
        <w:t>to Manuel Enrique García, pese a la interve</w:t>
      </w:r>
      <w:r>
        <w:t>n</w:t>
      </w:r>
      <w:r>
        <w:t>ción que le cupo en los hechos -en procura de detener a Telleldín efectuó un disparo con su arma reglamentaria el 14 de julio de 1994 y vigiló su casa al día siguiente- nunca fue indagado en estas actuaciones; suerte procesal diametralmente opuesta a la del suboficial Argentino Gabriel Lasala, quien fue exonerado de la institución policial y debió senta</w:t>
      </w:r>
      <w:r>
        <w:t>r</w:t>
      </w:r>
      <w:r>
        <w:t>se en el banquillo de los acusados pese a tener una actuación sim</w:t>
      </w:r>
      <w:r>
        <w:t>i</w:t>
      </w:r>
      <w:r>
        <w:t>lar o aún menor a la de aquél.</w:t>
      </w:r>
    </w:p>
    <w:p w:rsidR="00224567" w:rsidRDefault="00224567">
      <w:pPr>
        <w:widowControl w:val="0"/>
        <w:tabs>
          <w:tab w:val="center" w:pos="0"/>
        </w:tabs>
        <w:rPr>
          <w:b/>
          <w:i/>
        </w:rPr>
      </w:pPr>
      <w:r>
        <w:tab/>
        <w:t>Tampoco puede soslayarse que en la a</w:t>
      </w:r>
      <w:r>
        <w:t>u</w:t>
      </w:r>
      <w:r>
        <w:t>diencia García no pudo precisar el motivo de su convocat</w:t>
      </w:r>
      <w:r>
        <w:t>o</w:t>
      </w:r>
      <w:r>
        <w:t>ria ni a qué obedeció la extraña espont</w:t>
      </w:r>
      <w:r>
        <w:t>a</w:t>
      </w:r>
      <w:r>
        <w:t>neidad que parece r</w:t>
      </w:r>
      <w:r>
        <w:t>e</w:t>
      </w:r>
      <w:r>
        <w:t>flejar su testimonio del 15 de noviembre de 1995.</w:t>
      </w:r>
    </w:p>
    <w:p w:rsidR="00224567" w:rsidRDefault="00224567">
      <w:pPr>
        <w:widowControl w:val="0"/>
        <w:tabs>
          <w:tab w:val="center" w:pos="0"/>
        </w:tabs>
      </w:pPr>
      <w:r>
        <w:tab/>
        <w:t>Las circunstancias puestas de r</w:t>
      </w:r>
      <w:r>
        <w:t>e</w:t>
      </w:r>
      <w:r>
        <w:t>lieve precedentemente permiten inferir que dicha declaración s</w:t>
      </w:r>
      <w:r>
        <w:t>ó</w:t>
      </w:r>
      <w:r>
        <w:t>lo buscaba dar pie a la historia urdida sobre la base de algunos hechos ciertos, a los que se adosaron otros que no lo eran.</w:t>
      </w:r>
    </w:p>
    <w:p w:rsidR="00224567" w:rsidRDefault="00224567">
      <w:pPr>
        <w:widowControl w:val="0"/>
        <w:tabs>
          <w:tab w:val="center" w:pos="0"/>
        </w:tabs>
      </w:pPr>
      <w:r>
        <w:tab/>
        <w:t>De todo ello da cuenta un artíc</w:t>
      </w:r>
      <w:r>
        <w:t>u</w:t>
      </w:r>
      <w:r>
        <w:t xml:space="preserve">lo del diario “Página </w:t>
      </w:r>
      <w:smartTag w:uri="urn:schemas-microsoft-com:office:smarttags" w:element="metricconverter">
        <w:smartTagPr>
          <w:attr w:name="ProductID" w:val="12”"/>
        </w:smartTagPr>
        <w:r>
          <w:t>12”</w:t>
        </w:r>
      </w:smartTag>
      <w:r>
        <w:t xml:space="preserve"> del 3 de noviembre de 1995, en el que se indicó que “durante su confesión a Riva Aramayo, el principal implicado no señaló a Leal con su verdadero no</w:t>
      </w:r>
      <w:r>
        <w:t>m</w:t>
      </w:r>
      <w:r>
        <w:t>bre y grado, sino que hizo referencia al sobrenombre ‘Pino’. La camarista entregó esta inform</w:t>
      </w:r>
      <w:r>
        <w:t>a</w:t>
      </w:r>
      <w:r>
        <w:t xml:space="preserve">ción a </w:t>
      </w:r>
      <w:smartTag w:uri="urn:schemas-microsoft-com:office:smarttags" w:element="PersonName">
        <w:smartTagPr>
          <w:attr w:name="ProductID" w:val="la SIDE"/>
        </w:smartTagPr>
        <w:r>
          <w:t>la SIDE</w:t>
        </w:r>
      </w:smartTag>
      <w:r>
        <w:t xml:space="preserve"> y al Ministerio del Interior, y días después recibió un memo reservado donde se aclaraba que ‘Pino’ era el seudónimo del subcom</w:t>
      </w:r>
      <w:r>
        <w:t>i</w:t>
      </w:r>
      <w:r>
        <w:t>sario Leal”.</w:t>
      </w:r>
    </w:p>
    <w:p w:rsidR="00224567" w:rsidRDefault="00224567">
      <w:pPr>
        <w:widowControl w:val="0"/>
        <w:tabs>
          <w:tab w:val="center" w:pos="0"/>
        </w:tabs>
      </w:pPr>
      <w:r>
        <w:tab/>
        <w:t>El mismo periódico, el 27 de septie</w:t>
      </w:r>
      <w:r>
        <w:t>m</w:t>
      </w:r>
      <w:r>
        <w:t>bre de 1995, publicó que Telleldín, en sus tres convers</w:t>
      </w:r>
      <w:r>
        <w:t>a</w:t>
      </w:r>
      <w:r>
        <w:t xml:space="preserve">ciones con </w:t>
      </w:r>
      <w:smartTag w:uri="urn:schemas-microsoft-com:office:smarttags" w:element="PersonName">
        <w:smartTagPr>
          <w:attr w:name="ProductID" w:val="la Dra. Riva"/>
        </w:smartTagPr>
        <w:r>
          <w:t>la Dra. Riva</w:t>
        </w:r>
      </w:smartTag>
      <w:r>
        <w:t xml:space="preserve"> Aramayo, solicitó protección y d</w:t>
      </w:r>
      <w:r>
        <w:t>i</w:t>
      </w:r>
      <w:r>
        <w:t>nero a cambio de su confesión.</w:t>
      </w:r>
    </w:p>
    <w:p w:rsidR="00224567" w:rsidRDefault="00224567">
      <w:pPr>
        <w:widowControl w:val="0"/>
        <w:tabs>
          <w:tab w:val="center" w:pos="0"/>
        </w:tabs>
      </w:pPr>
      <w:r>
        <w:tab/>
        <w:t>Como puede observarse, el entr</w:t>
      </w:r>
      <w:r>
        <w:t>a</w:t>
      </w:r>
      <w:r>
        <w:t>mado de las negociaciones para que Telleldín hablase fue seguido por el periódico aludido, al que el imputado, según su conveniencia, suministraba informaciones; eje</w:t>
      </w:r>
      <w:r>
        <w:t>m</w:t>
      </w:r>
      <w:r>
        <w:t>plo de ello ta</w:t>
      </w:r>
      <w:r>
        <w:t>m</w:t>
      </w:r>
      <w:r>
        <w:t>bién resulta la noticia publicada en la edición del 16 de julio de 1995 (los artículos citados se encuentran r</w:t>
      </w:r>
      <w:r>
        <w:t>e</w:t>
      </w:r>
      <w:r>
        <w:t>servados en Secr</w:t>
      </w:r>
      <w:r>
        <w:t>e</w:t>
      </w:r>
      <w:r>
        <w:t>taría).</w:t>
      </w:r>
    </w:p>
    <w:p w:rsidR="00224567" w:rsidRDefault="00224567">
      <w:pPr>
        <w:widowControl w:val="0"/>
        <w:tabs>
          <w:tab w:val="center" w:pos="0"/>
        </w:tabs>
      </w:pPr>
      <w:r>
        <w:tab/>
        <w:t>En ese marco deben encuadrarse, igua</w:t>
      </w:r>
      <w:r>
        <w:t>l</w:t>
      </w:r>
      <w:r>
        <w:t>mente, las poco claras negociaciones -según d</w:t>
      </w:r>
      <w:r>
        <w:t>e</w:t>
      </w:r>
      <w:r>
        <w:t>jó entrever el periodista Raúl Kollmann- entre Román Lejtman, el imp</w:t>
      </w:r>
      <w:r>
        <w:t>u</w:t>
      </w:r>
      <w:r>
        <w:t>tado Telleldín, su defensor y un funcion</w:t>
      </w:r>
      <w:r>
        <w:t>a</w:t>
      </w:r>
      <w:r>
        <w:t>rio del Gobierno Nacional, cuyo nombre se negó a pr</w:t>
      </w:r>
      <w:r>
        <w:t>o</w:t>
      </w:r>
      <w:r>
        <w:t>porcionar, a efectos de publicar un libro con la ve</w:t>
      </w:r>
      <w:r>
        <w:t>r</w:t>
      </w:r>
      <w:r>
        <w:t>sión de los hechos.</w:t>
      </w:r>
    </w:p>
    <w:p w:rsidR="00224567" w:rsidRDefault="00224567">
      <w:pPr>
        <w:widowControl w:val="0"/>
        <w:tabs>
          <w:tab w:val="center" w:pos="0"/>
        </w:tabs>
      </w:pPr>
      <w:r>
        <w:tab/>
        <w:t>Por otra parte, como más adelante se verá, la palabra “libro” se empleó como eufemismo del pago que recibiría Telleldín a cambio de prestar una declar</w:t>
      </w:r>
      <w:r>
        <w:t>a</w:t>
      </w:r>
      <w:r>
        <w:t>ción indagatoria e involucrar a otras personas.</w:t>
      </w:r>
    </w:p>
    <w:p w:rsidR="00224567" w:rsidRDefault="00224567">
      <w:pPr>
        <w:widowControl w:val="0"/>
        <w:tabs>
          <w:tab w:val="center" w:pos="0"/>
        </w:tabs>
      </w:pPr>
      <w:r>
        <w:tab/>
        <w:t>Como se desprende de cuanto se viene exponiendo, la declaración indagatoria del 5 de julio de 1996 estuvo precedida de un arquitectónico armado, conse</w:t>
      </w:r>
      <w:r>
        <w:t>n</w:t>
      </w:r>
      <w:r>
        <w:t>tido y guiado por el juez federal Galeano, del que no fue ajena la camarista Riva Aramayo, quienes eran, precisame</w:t>
      </w:r>
      <w:r>
        <w:t>n</w:t>
      </w:r>
      <w:r>
        <w:t>te, los que debían velar para que ese tipo de maniobras ilícitas nunca sucedieran.</w:t>
      </w:r>
    </w:p>
    <w:p w:rsidR="00224567" w:rsidRDefault="00224567">
      <w:pPr>
        <w:widowControl w:val="0"/>
        <w:tabs>
          <w:tab w:val="center" w:pos="0"/>
        </w:tabs>
      </w:pPr>
    </w:p>
    <w:p w:rsidR="00224567" w:rsidRDefault="00224567">
      <w:pPr>
        <w:pStyle w:val="Ttulo3"/>
        <w:keepNext w:val="0"/>
        <w:widowControl w:val="0"/>
        <w:rPr>
          <w:lang w:val="es-AR"/>
        </w:rPr>
      </w:pPr>
      <w:r>
        <w:rPr>
          <w:lang w:val="es-AR"/>
        </w:rPr>
        <w:t>F) Apriete al Dr. Gustavo Semorile.</w:t>
      </w:r>
    </w:p>
    <w:p w:rsidR="00224567" w:rsidRDefault="00224567">
      <w:pPr>
        <w:widowControl w:val="0"/>
        <w:tabs>
          <w:tab w:val="center" w:pos="0"/>
        </w:tabs>
      </w:pPr>
      <w:r>
        <w:rPr>
          <w:b/>
          <w:bCs/>
          <w:lang w:val="es-AR"/>
        </w:rPr>
        <w:tab/>
      </w:r>
      <w:r>
        <w:rPr>
          <w:b/>
          <w:bCs/>
        </w:rPr>
        <w:t>F.1)</w:t>
      </w:r>
      <w:r>
        <w:t xml:space="preserve"> La actuación de Vergéz no se r</w:t>
      </w:r>
      <w:r>
        <w:t>e</w:t>
      </w:r>
      <w:r>
        <w:t>dujo únicamente a la recolección de información que luego apareció como suministrada por la camarista Riva Aramayo al juez Galeano. Su accionar también se proye</w:t>
      </w:r>
      <w:r>
        <w:t>c</w:t>
      </w:r>
      <w:r>
        <w:t>tó sobre el Dr. Gu</w:t>
      </w:r>
      <w:r>
        <w:t>s</w:t>
      </w:r>
      <w:r>
        <w:t>tavo Semorile, abogado de Telleldín.</w:t>
      </w:r>
    </w:p>
    <w:p w:rsidR="00224567" w:rsidRDefault="00224567">
      <w:pPr>
        <w:pStyle w:val="Sangradetextonormal"/>
        <w:widowControl w:val="0"/>
        <w:tabs>
          <w:tab w:val="center" w:pos="0"/>
        </w:tabs>
        <w:ind w:firstLine="0"/>
      </w:pPr>
      <w:r>
        <w:rPr>
          <w:lang w:val="es-ES"/>
        </w:rPr>
        <w:tab/>
      </w:r>
      <w:r>
        <w:t>A tal fin, basta recordar que el cap</w:t>
      </w:r>
      <w:r>
        <w:t>i</w:t>
      </w:r>
      <w:r>
        <w:t>tán Vergéz, de modo expreso, interrogó a Telleldín ace</w:t>
      </w:r>
      <w:r>
        <w:t>r</w:t>
      </w:r>
      <w:r>
        <w:t>ca de si “Semorile era un tipo para apretarlo y n</w:t>
      </w:r>
      <w:r>
        <w:t>e</w:t>
      </w:r>
      <w:r>
        <w:t>gociar”, a lo que aquél respondió que “sí, es un c</w:t>
      </w:r>
      <w:r>
        <w:t>a</w:t>
      </w:r>
      <w:r>
        <w:t>gón”.</w:t>
      </w:r>
    </w:p>
    <w:p w:rsidR="00224567" w:rsidRDefault="00224567">
      <w:pPr>
        <w:pStyle w:val="Sangradetextonormal"/>
        <w:widowControl w:val="0"/>
        <w:tabs>
          <w:tab w:val="center" w:pos="0"/>
        </w:tabs>
        <w:ind w:firstLine="0"/>
      </w:pPr>
      <w:r>
        <w:tab/>
        <w:t>Gustavo Semorile, en la etapa instru</w:t>
      </w:r>
      <w:r>
        <w:t>c</w:t>
      </w:r>
      <w:r>
        <w:t>toria, prestó declaración testimonial, el 4 y 6 de junio de 1996, como testigo de identidad rese</w:t>
      </w:r>
      <w:r>
        <w:t>r</w:t>
      </w:r>
      <w:r>
        <w:t>vada, identificado con el nº 2, sin haber sido relevado del secreto profesi</w:t>
      </w:r>
      <w:r>
        <w:t>o</w:t>
      </w:r>
      <w:r>
        <w:t>nal (fs. 111.439/111.444 y 111.446/111.448).</w:t>
      </w:r>
    </w:p>
    <w:p w:rsidR="00224567" w:rsidRDefault="00224567">
      <w:pPr>
        <w:pStyle w:val="Sangradetextonormal"/>
        <w:widowControl w:val="0"/>
        <w:tabs>
          <w:tab w:val="center" w:pos="0"/>
        </w:tabs>
        <w:ind w:firstLine="0"/>
      </w:pPr>
      <w:r>
        <w:tab/>
        <w:t>En esa ocasión sostuvo, en prieta sí</w:t>
      </w:r>
      <w:r>
        <w:t>n</w:t>
      </w:r>
      <w:r>
        <w:t>tesis:</w:t>
      </w:r>
    </w:p>
    <w:p w:rsidR="00224567" w:rsidRDefault="00224567">
      <w:pPr>
        <w:widowControl w:val="0"/>
        <w:tabs>
          <w:tab w:val="center" w:pos="0"/>
        </w:tabs>
      </w:pPr>
      <w:r>
        <w:rPr>
          <w:b/>
          <w:lang w:val="es-ES_tradnl"/>
        </w:rPr>
        <w:tab/>
      </w:r>
      <w:r>
        <w:rPr>
          <w:b/>
        </w:rPr>
        <w:t>a)</w:t>
      </w:r>
      <w:r>
        <w:t xml:space="preserve"> que Telleldín lo llamó con motivo del incidente acaecido en Olivos y pudo averiguar que quien estaba detrás de ese episodio era el comisario Juan José Ribelli de </w:t>
      </w:r>
      <w:smartTag w:uri="urn:schemas-microsoft-com:office:smarttags" w:element="PersonName">
        <w:smartTagPr>
          <w:attr w:name="ProductID" w:val="la Brigada"/>
        </w:smartTagPr>
        <w:r>
          <w:t>la Brigada</w:t>
        </w:r>
      </w:smartTag>
      <w:r>
        <w:t xml:space="preserve"> de Inve</w:t>
      </w:r>
      <w:r>
        <w:t>s</w:t>
      </w:r>
      <w:r>
        <w:t>tigaciones de Lanús;</w:t>
      </w:r>
    </w:p>
    <w:p w:rsidR="00224567" w:rsidRDefault="00224567">
      <w:pPr>
        <w:widowControl w:val="0"/>
        <w:tabs>
          <w:tab w:val="center" w:pos="0"/>
        </w:tabs>
      </w:pPr>
      <w:r>
        <w:rPr>
          <w:b/>
        </w:rPr>
        <w:tab/>
        <w:t>b)</w:t>
      </w:r>
      <w:r>
        <w:t xml:space="preserve"> que a efectos de blanquear el suc</w:t>
      </w:r>
      <w:r>
        <w:t>e</w:t>
      </w:r>
      <w:r>
        <w:t>so, en razón de las lesiones de Casas, se vinculó a T</w:t>
      </w:r>
      <w:r>
        <w:t>e</w:t>
      </w:r>
      <w:r>
        <w:t>lleldín en un sumario por homicidio;</w:t>
      </w:r>
    </w:p>
    <w:p w:rsidR="00224567" w:rsidRDefault="00224567">
      <w:pPr>
        <w:widowControl w:val="0"/>
        <w:tabs>
          <w:tab w:val="center" w:pos="0"/>
        </w:tabs>
      </w:pPr>
      <w:r>
        <w:rPr>
          <w:b/>
        </w:rPr>
        <w:tab/>
        <w:t>c)</w:t>
      </w:r>
      <w:r>
        <w:t xml:space="preserve"> que de esta última circunstancia tomó conocimiento por Ribelli y por dichos del personal a sus órdenes;</w:t>
      </w:r>
    </w:p>
    <w:p w:rsidR="00224567" w:rsidRDefault="00224567">
      <w:pPr>
        <w:widowControl w:val="0"/>
        <w:tabs>
          <w:tab w:val="center" w:pos="0"/>
        </w:tabs>
      </w:pPr>
      <w:r>
        <w:rPr>
          <w:b/>
        </w:rPr>
        <w:tab/>
        <w:t>d)</w:t>
      </w:r>
      <w:r>
        <w:t xml:space="preserve"> que tiempo después lo llamó Ana M</w:t>
      </w:r>
      <w:r>
        <w:t>a</w:t>
      </w:r>
      <w:r>
        <w:t xml:space="preserve">ría Boragni o Telleldín para que fuese a </w:t>
      </w:r>
      <w:smartTag w:uri="urn:schemas-microsoft-com:office:smarttags" w:element="PersonName">
        <w:smartTagPr>
          <w:attr w:name="ProductID" w:val="la Brigada"/>
        </w:smartTagPr>
        <w:r>
          <w:t>la Brigada</w:t>
        </w:r>
      </w:smartTag>
      <w:r>
        <w:t xml:space="preserve"> de I</w:t>
      </w:r>
      <w:r>
        <w:t>n</w:t>
      </w:r>
      <w:r>
        <w:t>vestigaciones de Lanús, ya que este último había sido d</w:t>
      </w:r>
      <w:r>
        <w:t>e</w:t>
      </w:r>
      <w:r>
        <w:t>ten</w:t>
      </w:r>
      <w:r>
        <w:t>i</w:t>
      </w:r>
      <w:r>
        <w:t>do;</w:t>
      </w:r>
    </w:p>
    <w:p w:rsidR="00224567" w:rsidRDefault="00224567">
      <w:pPr>
        <w:widowControl w:val="0"/>
        <w:tabs>
          <w:tab w:val="center" w:pos="0"/>
        </w:tabs>
      </w:pPr>
      <w:r>
        <w:rPr>
          <w:b/>
        </w:rPr>
        <w:tab/>
        <w:t>e)</w:t>
      </w:r>
      <w:r>
        <w:t xml:space="preserve"> a pesar de que su socio, el Dr. A</w:t>
      </w:r>
      <w:r>
        <w:t>l</w:t>
      </w:r>
      <w:r>
        <w:t>berto Spagnuolo, concurrió al lugar, igualmente debió h</w:t>
      </w:r>
      <w:r>
        <w:t>a</w:t>
      </w:r>
      <w:r>
        <w:t>cerlo ya que Telleldín sólo quería hablar con él;</w:t>
      </w:r>
    </w:p>
    <w:p w:rsidR="00224567" w:rsidRDefault="00224567">
      <w:pPr>
        <w:widowControl w:val="0"/>
        <w:tabs>
          <w:tab w:val="center" w:pos="0"/>
        </w:tabs>
      </w:pPr>
      <w:r>
        <w:rPr>
          <w:b/>
        </w:rPr>
        <w:tab/>
        <w:t>f)</w:t>
      </w:r>
      <w:r>
        <w:t xml:space="preserve"> al llegar se enteró, por d</w:t>
      </w:r>
      <w:r>
        <w:t>i</w:t>
      </w:r>
      <w:r>
        <w:t>chos de Telleldín, que ya había arreglado su situación, entregá</w:t>
      </w:r>
      <w:r>
        <w:t>n</w:t>
      </w:r>
      <w:r>
        <w:t>dole a Ribelli y al subcomisario Leal dos mil pesos ($2.000) en efectivo, una moto Kawasaki, un Renault 18 y un Ford Fa</w:t>
      </w:r>
      <w:r>
        <w:t>l</w:t>
      </w:r>
      <w:r>
        <w:t>con;</w:t>
      </w:r>
    </w:p>
    <w:p w:rsidR="00224567" w:rsidRDefault="00224567">
      <w:pPr>
        <w:widowControl w:val="0"/>
        <w:tabs>
          <w:tab w:val="center" w:pos="0"/>
        </w:tabs>
      </w:pPr>
      <w:r>
        <w:rPr>
          <w:b/>
        </w:rPr>
        <w:tab/>
        <w:t>g)</w:t>
      </w:r>
      <w:r>
        <w:t xml:space="preserve"> que dicha entrega le fue confirm</w:t>
      </w:r>
      <w:r>
        <w:t>a</w:t>
      </w:r>
      <w:r>
        <w:t>da por los funcionarios policiales;</w:t>
      </w:r>
    </w:p>
    <w:p w:rsidR="00224567" w:rsidRDefault="00224567">
      <w:pPr>
        <w:widowControl w:val="0"/>
        <w:tabs>
          <w:tab w:val="center" w:pos="0"/>
        </w:tabs>
      </w:pPr>
      <w:r>
        <w:rPr>
          <w:b/>
        </w:rPr>
        <w:tab/>
        <w:t>h)</w:t>
      </w:r>
      <w:r>
        <w:t xml:space="preserve"> recordó, incluso, “que poco antes de retirarse del asiento policial, Carlos Telleldín co</w:t>
      </w:r>
      <w:r>
        <w:t>n</w:t>
      </w:r>
      <w:r>
        <w:t>versaba con el subcomisario Leal, como que quedaban en verse en alguna oportunidad para ir a comer algún asado o pescar” (sic);</w:t>
      </w:r>
    </w:p>
    <w:p w:rsidR="00224567" w:rsidRDefault="00224567">
      <w:pPr>
        <w:widowControl w:val="0"/>
        <w:tabs>
          <w:tab w:val="center" w:pos="0"/>
        </w:tabs>
      </w:pPr>
      <w:r>
        <w:rPr>
          <w:b/>
        </w:rPr>
        <w:tab/>
        <w:t>i)</w:t>
      </w:r>
      <w:r>
        <w:t xml:space="preserve"> que “si bien tiene conocimie</w:t>
      </w:r>
      <w:r>
        <w:t>n</w:t>
      </w:r>
      <w:r>
        <w:t>to que la mano derecha de Ribelli a nivel operativo es el oficial Hugo Reyes, interpreta que en dicho ‘arreglo’ habría pa</w:t>
      </w:r>
      <w:r>
        <w:t>r</w:t>
      </w:r>
      <w:r>
        <w:t>ticipado el nombrado Leal...”.</w:t>
      </w:r>
    </w:p>
    <w:p w:rsidR="00224567" w:rsidRDefault="00224567">
      <w:pPr>
        <w:widowControl w:val="0"/>
        <w:tabs>
          <w:tab w:val="center" w:pos="0"/>
        </w:tabs>
      </w:pPr>
      <w:r>
        <w:tab/>
        <w:t>En la segunda declaración Semorile sostuvo:</w:t>
      </w:r>
    </w:p>
    <w:p w:rsidR="00224567" w:rsidRDefault="00224567">
      <w:pPr>
        <w:widowControl w:val="0"/>
        <w:tabs>
          <w:tab w:val="center" w:pos="0"/>
        </w:tabs>
      </w:pPr>
      <w:r>
        <w:rPr>
          <w:b/>
        </w:rPr>
        <w:tab/>
        <w:t>a)</w:t>
      </w:r>
      <w:r>
        <w:t xml:space="preserve"> que en oportunidad de encontrarse con Hugo Antonio Pérez, en los tribunales de San Isidro, éste le contó que Telleldín, además del barco, p</w:t>
      </w:r>
      <w:r>
        <w:t>u</w:t>
      </w:r>
      <w:r>
        <w:t xml:space="preserve">do haber entregado “a la brigada de Vicente López” la camioneta utilizada para volar </w:t>
      </w:r>
      <w:smartTag w:uri="urn:schemas-microsoft-com:office:smarttags" w:element="PersonName">
        <w:smartTagPr>
          <w:attr w:name="ProductID" w:val="la A.M"/>
        </w:smartTagPr>
        <w:r>
          <w:t>la A.M</w:t>
        </w:r>
      </w:smartTag>
      <w:r>
        <w:t>.I.A.;</w:t>
      </w:r>
    </w:p>
    <w:p w:rsidR="00224567" w:rsidRDefault="00224567">
      <w:pPr>
        <w:widowControl w:val="0"/>
        <w:tabs>
          <w:tab w:val="center" w:pos="0"/>
        </w:tabs>
      </w:pPr>
      <w:r>
        <w:rPr>
          <w:b/>
        </w:rPr>
        <w:tab/>
        <w:t>b)</w:t>
      </w:r>
      <w:r>
        <w:t xml:space="preserve"> que en un encuentro ocasional el subcomisario Rago, que estaba molesto, le dijo que tenía entendido que en el “apriete” Telleldín había entregado dinero en efectivo, un barco y “algo más”;</w:t>
      </w:r>
    </w:p>
    <w:p w:rsidR="00224567" w:rsidRDefault="00224567">
      <w:pPr>
        <w:widowControl w:val="0"/>
        <w:tabs>
          <w:tab w:val="center" w:pos="0"/>
        </w:tabs>
      </w:pPr>
      <w:r>
        <w:rPr>
          <w:b/>
        </w:rPr>
        <w:tab/>
        <w:t>c)</w:t>
      </w:r>
      <w:r>
        <w:t xml:space="preserve"> que avanzada la conversación, Rago me</w:t>
      </w:r>
      <w:r>
        <w:t>n</w:t>
      </w:r>
      <w:r>
        <w:t xml:space="preserve">cionó que ese “algo más” bien pudo ser la entrega de </w:t>
      </w:r>
      <w:smartTag w:uri="urn:schemas-microsoft-com:office:smarttags" w:element="PersonName">
        <w:smartTagPr>
          <w:attr w:name="ProductID" w:val="la Trafic"/>
        </w:smartTagPr>
        <w:r>
          <w:t>la Trafic</w:t>
        </w:r>
      </w:smartTag>
      <w:r>
        <w:t xml:space="preserve"> que luego fue utilizada en el atentado a </w:t>
      </w:r>
      <w:smartTag w:uri="urn:schemas-microsoft-com:office:smarttags" w:element="PersonName">
        <w:smartTagPr>
          <w:attr w:name="ProductID" w:val="la A.M"/>
        </w:smartTagPr>
        <w:r>
          <w:t>la A.M</w:t>
        </w:r>
      </w:smartTag>
      <w:r>
        <w:t>.I.A.;</w:t>
      </w:r>
    </w:p>
    <w:p w:rsidR="00224567" w:rsidRDefault="00224567">
      <w:pPr>
        <w:widowControl w:val="0"/>
        <w:tabs>
          <w:tab w:val="center" w:pos="0"/>
        </w:tabs>
      </w:pPr>
      <w:r>
        <w:rPr>
          <w:b/>
        </w:rPr>
        <w:tab/>
        <w:t xml:space="preserve">d) </w:t>
      </w:r>
      <w:r>
        <w:t>que era su deseo dejar expresa constancia de “que recuerda muy bien lo afectuoso que fue el saludo que se brindaron el subcomisario Leal y Carlos Telleldín, cuando éste recupera su libertad luego de e</w:t>
      </w:r>
      <w:r>
        <w:t>n</w:t>
      </w:r>
      <w:r>
        <w:t>tregar los vehículos a que hiciera referencia en su decl</w:t>
      </w:r>
      <w:r>
        <w:t>a</w:t>
      </w:r>
      <w:r>
        <w:t>ración anterior”.</w:t>
      </w:r>
    </w:p>
    <w:p w:rsidR="00224567" w:rsidRDefault="00224567">
      <w:pPr>
        <w:widowControl w:val="0"/>
        <w:tabs>
          <w:tab w:val="center" w:pos="0"/>
        </w:tabs>
      </w:pPr>
      <w:r>
        <w:tab/>
        <w:t>En dichas testimoniales Semorile sum</w:t>
      </w:r>
      <w:r>
        <w:t>i</w:t>
      </w:r>
      <w:r>
        <w:t>nistra al juez direcciones, teléfonos, nombres, hechos y detalles que, prácticamente, constituyen el meollo de las imputaciones que se formularon a los funcionarios polici</w:t>
      </w:r>
      <w:r>
        <w:t>a</w:t>
      </w:r>
      <w:r>
        <w:t>les.</w:t>
      </w:r>
    </w:p>
    <w:p w:rsidR="00224567" w:rsidRDefault="00224567">
      <w:pPr>
        <w:widowControl w:val="0"/>
        <w:tabs>
          <w:tab w:val="center" w:pos="0"/>
        </w:tabs>
      </w:pPr>
      <w:r>
        <w:tab/>
        <w:t xml:space="preserve">Los dichos de Telleldín vertidos en su indagatoria del 5 de julio de 1996 no han hecho más que confirmar la información que adelantaran Vergéz, </w:t>
      </w:r>
      <w:smartTag w:uri="urn:schemas-microsoft-com:office:smarttags" w:element="PersonName">
        <w:smartTagPr>
          <w:attr w:name="ProductID" w:val="la Dra. Riva"/>
        </w:smartTagPr>
        <w:r>
          <w:t>la Dra. Riva</w:t>
        </w:r>
      </w:smartTag>
      <w:r>
        <w:t xml:space="preserve"> Aramayo y, luego, Semorile.</w:t>
      </w:r>
    </w:p>
    <w:p w:rsidR="00224567" w:rsidRDefault="00224567">
      <w:pPr>
        <w:widowControl w:val="0"/>
        <w:tabs>
          <w:tab w:val="center" w:pos="0"/>
        </w:tabs>
      </w:pPr>
      <w:r>
        <w:tab/>
        <w:t>De la declaración de Gustavo S</w:t>
      </w:r>
      <w:r>
        <w:t>e</w:t>
      </w:r>
      <w:r>
        <w:t>morile como testigo de identidad reservada, llama la atención el pu</w:t>
      </w:r>
      <w:r>
        <w:t>n</w:t>
      </w:r>
      <w:r>
        <w:t>tual conocimiento que éste tenía de los delitos de los que fue víctima Telleldín, supuestamente comet</w:t>
      </w:r>
      <w:r>
        <w:t>i</w:t>
      </w:r>
      <w:r>
        <w:t>dos por los p</w:t>
      </w:r>
      <w:r>
        <w:t>o</w:t>
      </w:r>
      <w:r>
        <w:t>licías bonaerenses.</w:t>
      </w:r>
    </w:p>
    <w:p w:rsidR="00224567" w:rsidRDefault="00224567">
      <w:pPr>
        <w:widowControl w:val="0"/>
        <w:tabs>
          <w:tab w:val="center" w:pos="0"/>
        </w:tabs>
      </w:pPr>
      <w:r>
        <w:tab/>
        <w:t>Provoca igual sensación, el ahí</w:t>
      </w:r>
      <w:r>
        <w:t>n</w:t>
      </w:r>
      <w:r>
        <w:t>co con que el testigo recalcó determinadas situaciones, tales c</w:t>
      </w:r>
      <w:r>
        <w:t>o</w:t>
      </w:r>
      <w:r>
        <w:t>mo la confesión de Ribelli, la relación entre Leal y T</w:t>
      </w:r>
      <w:r>
        <w:t>e</w:t>
      </w:r>
      <w:r>
        <w:t>lleldín, el destino de los bienes y las actividades y d</w:t>
      </w:r>
      <w:r>
        <w:t>e</w:t>
      </w:r>
      <w:r>
        <w:t xml:space="preserve">litos perpetrados por los integrantes de </w:t>
      </w:r>
      <w:smartTag w:uri="urn:schemas-microsoft-com:office:smarttags" w:element="PersonName">
        <w:smartTagPr>
          <w:attr w:name="ProductID" w:val="la Brigada"/>
        </w:smartTagPr>
        <w:r>
          <w:t>la Brigada</w:t>
        </w:r>
      </w:smartTag>
      <w:r>
        <w:t xml:space="preserve"> de I</w:t>
      </w:r>
      <w:r>
        <w:t>n</w:t>
      </w:r>
      <w:r>
        <w:t>vestig</w:t>
      </w:r>
      <w:r>
        <w:t>a</w:t>
      </w:r>
      <w:r>
        <w:t>ciones de Vicente López.</w:t>
      </w:r>
    </w:p>
    <w:p w:rsidR="00224567" w:rsidRDefault="00224567">
      <w:pPr>
        <w:widowControl w:val="0"/>
        <w:tabs>
          <w:tab w:val="center" w:pos="0"/>
        </w:tabs>
        <w:rPr>
          <w:b/>
          <w:bCs/>
        </w:rPr>
      </w:pPr>
      <w:r>
        <w:tab/>
        <w:t>No menos curioso resulta, a ju</w:t>
      </w:r>
      <w:r>
        <w:t>i</w:t>
      </w:r>
      <w:r>
        <w:t>cio del Tribunal, que todo ese cúmulo de información co</w:t>
      </w:r>
      <w:r>
        <w:t>n</w:t>
      </w:r>
      <w:r>
        <w:t>vergiera, c</w:t>
      </w:r>
      <w:r>
        <w:t>a</w:t>
      </w:r>
      <w:r>
        <w:t>sualmente, en Gustavo Semorile.</w:t>
      </w:r>
    </w:p>
    <w:p w:rsidR="00224567" w:rsidRDefault="00224567">
      <w:pPr>
        <w:widowControl w:val="0"/>
        <w:tabs>
          <w:tab w:val="center" w:pos="0"/>
        </w:tabs>
      </w:pPr>
      <w:r>
        <w:tab/>
      </w:r>
      <w:r>
        <w:rPr>
          <w:b/>
          <w:bCs/>
        </w:rPr>
        <w:t>F.2)</w:t>
      </w:r>
      <w:r>
        <w:t xml:space="preserve"> Sin perjuicio de lo que más ad</w:t>
      </w:r>
      <w:r>
        <w:t>e</w:t>
      </w:r>
      <w:r>
        <w:t>lante habrá de afirmarse, no puede soslayarse aquí, en atención al énfasis con que Semorile destacó la prese</w:t>
      </w:r>
      <w:r>
        <w:t>n</w:t>
      </w:r>
      <w:r>
        <w:t xml:space="preserve">cia de Leal en </w:t>
      </w:r>
      <w:smartTag w:uri="urn:schemas-microsoft-com:office:smarttags" w:element="PersonName">
        <w:smartTagPr>
          <w:attr w:name="ProductID" w:val="la Brigada"/>
        </w:smartTagPr>
        <w:r>
          <w:t>la Brigada</w:t>
        </w:r>
      </w:smartTag>
      <w:r>
        <w:t xml:space="preserve"> de Lanús, que dicho subcomisario, para la época -abril de 1994- en que Telleldín recuperó su libertad tras entregar los vehículos, prestaba servicios en </w:t>
      </w:r>
      <w:smartTag w:uri="urn:schemas-microsoft-com:office:smarttags" w:element="PersonName">
        <w:smartTagPr>
          <w:attr w:name="ProductID" w:val="la Brigada"/>
        </w:smartTagPr>
        <w:r>
          <w:t>la Brigada</w:t>
        </w:r>
      </w:smartTag>
      <w:r>
        <w:t xml:space="preserve"> de Investigaciones de V</w:t>
      </w:r>
      <w:r>
        <w:t>i</w:t>
      </w:r>
      <w:r>
        <w:t>cente López.</w:t>
      </w:r>
    </w:p>
    <w:p w:rsidR="00224567" w:rsidRDefault="00224567">
      <w:pPr>
        <w:widowControl w:val="0"/>
        <w:tabs>
          <w:tab w:val="center" w:pos="0"/>
        </w:tabs>
      </w:pPr>
      <w:r>
        <w:tab/>
        <w:t xml:space="preserve">En efecto, luce a fs. 4672/4681 del legajo de Instrucción Suplementaria, el informe remitido por </w:t>
      </w:r>
      <w:smartTag w:uri="urn:schemas-microsoft-com:office:smarttags" w:element="PersonName">
        <w:smartTagPr>
          <w:attr w:name="ProductID" w:val="la Polic￭a Bonaerense"/>
        </w:smartTagPr>
        <w:r>
          <w:t>la Policía Bonaerense</w:t>
        </w:r>
      </w:smartTag>
      <w:r>
        <w:t xml:space="preserve">, del que surge que Anastasio Ireneo Leal, legajo nº 13.301, cumplió funciones en </w:t>
      </w:r>
      <w:smartTag w:uri="urn:schemas-microsoft-com:office:smarttags" w:element="PersonName">
        <w:smartTagPr>
          <w:attr w:name="ProductID" w:val="la Brigada"/>
        </w:smartTagPr>
        <w:r>
          <w:t>la Brigada</w:t>
        </w:r>
      </w:smartTag>
      <w:r>
        <w:t xml:space="preserve"> de Investigaciones de Vice</w:t>
      </w:r>
      <w:r>
        <w:t>n</w:t>
      </w:r>
      <w:r>
        <w:t>te López entre el 21 de marzo y el 28 de noviembre de 1994; en tanto, se desprende de fs. 1790 de la actuación citada que en la brigada de Lanús se de</w:t>
      </w:r>
      <w:r>
        <w:t>s</w:t>
      </w:r>
      <w:r>
        <w:t>empeñó entre el 9 de diciembre de 1992 y el 5 de m</w:t>
      </w:r>
      <w:r>
        <w:t>a</w:t>
      </w:r>
      <w:r>
        <w:t>yo de 1993.</w:t>
      </w:r>
    </w:p>
    <w:p w:rsidR="00224567" w:rsidRDefault="00224567">
      <w:pPr>
        <w:widowControl w:val="0"/>
        <w:tabs>
          <w:tab w:val="center" w:pos="0"/>
        </w:tabs>
      </w:pPr>
      <w:r>
        <w:tab/>
        <w:t>Pese al empeño de Semorile en demo</w:t>
      </w:r>
      <w:r>
        <w:t>s</w:t>
      </w:r>
      <w:r>
        <w:t>trar lo contrario, resulta evidente, entonces, que los s</w:t>
      </w:r>
      <w:r>
        <w:t>u</w:t>
      </w:r>
      <w:r>
        <w:t>puestos vínculos que le atribuyó a Leal con Ribelli y T</w:t>
      </w:r>
      <w:r>
        <w:t>e</w:t>
      </w:r>
      <w:r>
        <w:t>lleldín quedaron sin sustento.</w:t>
      </w:r>
    </w:p>
    <w:p w:rsidR="00224567" w:rsidRDefault="00224567">
      <w:pPr>
        <w:widowControl w:val="0"/>
        <w:tabs>
          <w:tab w:val="center" w:pos="0"/>
        </w:tabs>
      </w:pPr>
      <w:r>
        <w:rPr>
          <w:b/>
          <w:bCs/>
        </w:rPr>
        <w:tab/>
        <w:t>F.3)</w:t>
      </w:r>
      <w:r>
        <w:t xml:space="preserve"> Resulta oportuno señalar, sin perjuicio de las consideraciones que habrán de form</w:t>
      </w:r>
      <w:r>
        <w:t>u</w:t>
      </w:r>
      <w:r>
        <w:t>larse más adelante, que si el subcomisario Leal conocía a T</w:t>
      </w:r>
      <w:r>
        <w:t>e</w:t>
      </w:r>
      <w:r>
        <w:t xml:space="preserve">lleldín, tal como lo sostuvo Semorile, no se explica la necesidad de llevar a Bareiro, el 14 de julio de </w:t>
      </w:r>
      <w:smartTag w:uri="urn:schemas-microsoft-com:office:smarttags" w:element="metricconverter">
        <w:smartTagPr>
          <w:attr w:name="ProductID" w:val="1994, a"/>
        </w:smartTagPr>
        <w:r>
          <w:t>1994, a</w:t>
        </w:r>
      </w:smartTag>
      <w:r>
        <w:t xml:space="preserve"> solo efecto de que lo ident</w:t>
      </w:r>
      <w:r>
        <w:t>i</w:t>
      </w:r>
      <w:r>
        <w:t>ficase.</w:t>
      </w:r>
    </w:p>
    <w:p w:rsidR="00224567" w:rsidRDefault="00224567">
      <w:pPr>
        <w:widowControl w:val="0"/>
        <w:tabs>
          <w:tab w:val="center" w:pos="0"/>
        </w:tabs>
      </w:pPr>
      <w:r>
        <w:tab/>
        <w:t>Evidentemente, aquel interrogante planteado por Vergéz a Telleldín -¿es apretable Semor</w:t>
      </w:r>
      <w:r>
        <w:t>i</w:t>
      </w:r>
      <w:r>
        <w:t>le?- se relaciona, sin duda, con la supuesta espontaneidad, ahínco, casualidades vividas e interés demostrado por Gu</w:t>
      </w:r>
      <w:r>
        <w:t>s</w:t>
      </w:r>
      <w:r>
        <w:t>tavo S</w:t>
      </w:r>
      <w:r>
        <w:t>e</w:t>
      </w:r>
      <w:r>
        <w:t>morile en aportar datos al juez.</w:t>
      </w:r>
    </w:p>
    <w:p w:rsidR="00224567" w:rsidRDefault="00224567">
      <w:pPr>
        <w:widowControl w:val="0"/>
        <w:tabs>
          <w:tab w:val="center" w:pos="0"/>
        </w:tabs>
      </w:pPr>
      <w:r>
        <w:rPr>
          <w:b/>
          <w:bCs/>
        </w:rPr>
        <w:tab/>
        <w:t>F.4)</w:t>
      </w:r>
      <w:r>
        <w:t xml:space="preserve"> Las sospechas acerca de la falta de espontaneidad y veracidad que sobrevuelan las declar</w:t>
      </w:r>
      <w:r>
        <w:t>a</w:t>
      </w:r>
      <w:r>
        <w:t>ciones de Semorile, máxime frente al extraño proced</w:t>
      </w:r>
      <w:r>
        <w:t>i</w:t>
      </w:r>
      <w:r>
        <w:t>miento empleado para recibírselas, comenzaron a despejarse, d</w:t>
      </w:r>
      <w:r>
        <w:t>e</w:t>
      </w:r>
      <w:r>
        <w:t>mostrándose su mendacidad en oportunidad de declarar su ex socio, el Dr. A</w:t>
      </w:r>
      <w:r>
        <w:t>l</w:t>
      </w:r>
      <w:r>
        <w:t>berto Fabián Spagnuolo.</w:t>
      </w:r>
    </w:p>
    <w:p w:rsidR="00224567" w:rsidRDefault="00224567">
      <w:pPr>
        <w:widowControl w:val="0"/>
        <w:tabs>
          <w:tab w:val="center" w:pos="0"/>
        </w:tabs>
      </w:pPr>
      <w:r>
        <w:tab/>
      </w:r>
      <w:r>
        <w:rPr>
          <w:bCs/>
        </w:rPr>
        <w:t>Spagnuolo,</w:t>
      </w:r>
      <w:r>
        <w:t xml:space="preserve"> de modo abierto, contrad</w:t>
      </w:r>
      <w:r>
        <w:t>i</w:t>
      </w:r>
      <w:r>
        <w:t>jo la versión de Semorile.</w:t>
      </w:r>
    </w:p>
    <w:p w:rsidR="00224567" w:rsidRDefault="00224567">
      <w:pPr>
        <w:widowControl w:val="0"/>
        <w:tabs>
          <w:tab w:val="center" w:pos="0"/>
        </w:tabs>
      </w:pPr>
      <w:r>
        <w:tab/>
        <w:t>Manifestó haberse sorprendido de que Telleldín hubiese llamado a Semorile, pues estaban dista</w:t>
      </w:r>
      <w:r>
        <w:t>n</w:t>
      </w:r>
      <w:r>
        <w:t>ciados, explicando que aquél lo culpaba de haberlo “entr</w:t>
      </w:r>
      <w:r>
        <w:t>e</w:t>
      </w:r>
      <w:r>
        <w:t>gado” a unos gitanos con los que tenía una deuda.</w:t>
      </w:r>
    </w:p>
    <w:p w:rsidR="00224567" w:rsidRDefault="00224567">
      <w:pPr>
        <w:widowControl w:val="0"/>
        <w:tabs>
          <w:tab w:val="center" w:pos="0"/>
        </w:tabs>
      </w:pPr>
      <w:r>
        <w:tab/>
        <w:t>También refirió haber visitado a T</w:t>
      </w:r>
      <w:r>
        <w:t>e</w:t>
      </w:r>
      <w:r>
        <w:t xml:space="preserve">lleldín en </w:t>
      </w:r>
      <w:smartTag w:uri="urn:schemas-microsoft-com:office:smarttags" w:element="PersonName">
        <w:smartTagPr>
          <w:attr w:name="ProductID" w:val="la Brigada"/>
        </w:smartTagPr>
        <w:r>
          <w:t>la Brigada</w:t>
        </w:r>
      </w:smartTag>
      <w:r>
        <w:t xml:space="preserve"> de Investigaciones de Lanús donde, según le dijo, le exigían $ 50.000, sin me</w:t>
      </w:r>
      <w:r>
        <w:t>n</w:t>
      </w:r>
      <w:r>
        <w:t>cionarle quién lo hacía.</w:t>
      </w:r>
    </w:p>
    <w:p w:rsidR="00224567" w:rsidRDefault="00224567">
      <w:pPr>
        <w:widowControl w:val="0"/>
        <w:tabs>
          <w:tab w:val="center" w:pos="0"/>
        </w:tabs>
      </w:pPr>
      <w:r>
        <w:tab/>
        <w:t>Expresó que tras mantener varias co</w:t>
      </w:r>
      <w:r>
        <w:t>n</w:t>
      </w:r>
      <w:r>
        <w:t>versaciones, decidió apartarse del tema que afe</w:t>
      </w:r>
      <w:r>
        <w:t>c</w:t>
      </w:r>
      <w:r>
        <w:t>taba a su cliente, enterándose al tiempo, por boca de Semor</w:t>
      </w:r>
      <w:r>
        <w:t>i</w:t>
      </w:r>
      <w:r>
        <w:t>le, que Telleldín había recuperado su libertad, pres</w:t>
      </w:r>
      <w:r>
        <w:t>u</w:t>
      </w:r>
      <w:r>
        <w:t>miendo ambos que había “arreglado” con la brigada.</w:t>
      </w:r>
    </w:p>
    <w:p w:rsidR="00224567" w:rsidRDefault="00224567">
      <w:pPr>
        <w:widowControl w:val="0"/>
        <w:tabs>
          <w:tab w:val="center" w:pos="0"/>
        </w:tabs>
      </w:pPr>
      <w:r>
        <w:tab/>
        <w:t>Años después, acotó, rota su sociedad profesional con Semorile, se enteró por éste, unos días antes de que fuera a declarar al juzgado del Dr. Gale</w:t>
      </w:r>
      <w:r>
        <w:t>a</w:t>
      </w:r>
      <w:r>
        <w:t xml:space="preserve">no, que el tema de la exigencia dineraria en </w:t>
      </w:r>
      <w:smartTag w:uri="urn:schemas-microsoft-com:office:smarttags" w:element="PersonName">
        <w:smartTagPr>
          <w:attr w:name="ProductID" w:val="la Brigada"/>
        </w:smartTagPr>
        <w:r>
          <w:t>la Brigada</w:t>
        </w:r>
      </w:smartTag>
      <w:r>
        <w:t xml:space="preserve"> de L</w:t>
      </w:r>
      <w:r>
        <w:t>a</w:t>
      </w:r>
      <w:r>
        <w:t>nús había continuado. En la oportunidad, Semorile le e</w:t>
      </w:r>
      <w:r>
        <w:t>x</w:t>
      </w:r>
      <w:r>
        <w:t>plicó que ya había decl</w:t>
      </w:r>
      <w:r>
        <w:t>a</w:t>
      </w:r>
      <w:r>
        <w:t>rado y que ahora lo iban a citar a él. Le aclaró, además, que en su relato lo había desvinc</w:t>
      </w:r>
      <w:r>
        <w:t>u</w:t>
      </w:r>
      <w:r>
        <w:t>lado t</w:t>
      </w:r>
      <w:r>
        <w:t>o</w:t>
      </w:r>
      <w:r>
        <w:t>talmente del hecho.</w:t>
      </w:r>
    </w:p>
    <w:p w:rsidR="00224567" w:rsidRDefault="00224567">
      <w:pPr>
        <w:widowControl w:val="0"/>
        <w:tabs>
          <w:tab w:val="center" w:pos="0"/>
        </w:tabs>
      </w:pPr>
      <w:r>
        <w:tab/>
        <w:t>Concretamente, Semorile le contó que después que él se retiró de la brigada, continuó interv</w:t>
      </w:r>
      <w:r>
        <w:t>i</w:t>
      </w:r>
      <w:r>
        <w:t>niendo en la cuestión, habiendo “terminado el arreglo” (sic); arreglo en virtud del cual Semorile se había qued</w:t>
      </w:r>
      <w:r>
        <w:t>a</w:t>
      </w:r>
      <w:r>
        <w:t>do con una moto.</w:t>
      </w:r>
    </w:p>
    <w:p w:rsidR="00224567" w:rsidRDefault="00224567">
      <w:pPr>
        <w:widowControl w:val="0"/>
        <w:tabs>
          <w:tab w:val="center" w:pos="0"/>
        </w:tabs>
      </w:pPr>
      <w:r>
        <w:tab/>
        <w:t>Admitió haberse sorprendido al con</w:t>
      </w:r>
      <w:r>
        <w:t>o</w:t>
      </w:r>
      <w:r>
        <w:t>cer lo que Semorile había declarado en el juzgado, donde ad</w:t>
      </w:r>
      <w:r>
        <w:t>e</w:t>
      </w:r>
      <w:r>
        <w:t>más le solicitaron que le dijera a él que concurriese en determinada fecha.</w:t>
      </w:r>
    </w:p>
    <w:p w:rsidR="00224567" w:rsidRDefault="00224567">
      <w:pPr>
        <w:widowControl w:val="0"/>
        <w:tabs>
          <w:tab w:val="center" w:pos="0"/>
        </w:tabs>
      </w:pPr>
      <w:r>
        <w:tab/>
        <w:t>Recalcó su sorpresa frente a lo que escuchaba, preguntándole a Semorile cómo fue que no quedó preso tras haber admitido su participación en un hecho c</w:t>
      </w:r>
      <w:r>
        <w:t>o</w:t>
      </w:r>
      <w:r>
        <w:t>mo ése, respondiéndole que esa participación “era un ch</w:t>
      </w:r>
      <w:r>
        <w:t>u</w:t>
      </w:r>
      <w:r>
        <w:t>petín, por decirlo de alguna manera, a comparación de lo que se le podía venir encima”, habiéndolo interpretado “como que le podían cargar algo muy pesado”, que esa adm</w:t>
      </w:r>
      <w:r>
        <w:t>i</w:t>
      </w:r>
      <w:r>
        <w:t>sión de su parte “no era nada comparado con el cargo que le podían formular si él no rec</w:t>
      </w:r>
      <w:r>
        <w:t>o</w:t>
      </w:r>
      <w:r>
        <w:t>nocía esta situación”.</w:t>
      </w:r>
    </w:p>
    <w:p w:rsidR="00224567" w:rsidRDefault="00224567">
      <w:pPr>
        <w:widowControl w:val="0"/>
        <w:tabs>
          <w:tab w:val="center" w:pos="0"/>
        </w:tabs>
      </w:pPr>
      <w:r>
        <w:tab/>
        <w:t xml:space="preserve">En el juicio, </w:t>
      </w:r>
      <w:r>
        <w:rPr>
          <w:bCs/>
        </w:rPr>
        <w:t>Gustavo Alberto Semor</w:t>
      </w:r>
      <w:r>
        <w:rPr>
          <w:bCs/>
        </w:rPr>
        <w:t>i</w:t>
      </w:r>
      <w:r>
        <w:rPr>
          <w:bCs/>
        </w:rPr>
        <w:t>le</w:t>
      </w:r>
      <w:r>
        <w:t xml:space="preserve"> señaló que en una oportunidad lo llamó la mujer de Telle</w:t>
      </w:r>
      <w:r>
        <w:t>l</w:t>
      </w:r>
      <w:r>
        <w:t>dín y le comentó que habían intentado detener al no</w:t>
      </w:r>
      <w:r>
        <w:t>m</w:t>
      </w:r>
      <w:r>
        <w:t>brado en la zona de Olivos.</w:t>
      </w:r>
    </w:p>
    <w:p w:rsidR="00224567" w:rsidRDefault="00224567">
      <w:pPr>
        <w:widowControl w:val="0"/>
        <w:tabs>
          <w:tab w:val="center" w:pos="0"/>
        </w:tabs>
      </w:pPr>
      <w:r>
        <w:tab/>
        <w:t>Recordó también haber actuado prof</w:t>
      </w:r>
      <w:r>
        <w:t>e</w:t>
      </w:r>
      <w:r>
        <w:t>sionalmente en una oportunidad en la que Telleldín e</w:t>
      </w:r>
      <w:r>
        <w:t>s</w:t>
      </w:r>
      <w:r>
        <w:t>tuvo detenido en el Brigada de Lanús, precisando que para la época en que ello se produjo tenía problemas de índole personal con el nombrado, debido a una importa</w:t>
      </w:r>
      <w:r>
        <w:t>n</w:t>
      </w:r>
      <w:r>
        <w:t>te deuda en concepto de honorarios. Además, refirió que Telleldín h</w:t>
      </w:r>
      <w:r>
        <w:t>a</w:t>
      </w:r>
      <w:r>
        <w:t>bía tenido algunas dificultades con Miriam Salinas y P</w:t>
      </w:r>
      <w:r>
        <w:t>a</w:t>
      </w:r>
      <w:r>
        <w:t>blo Ib</w:t>
      </w:r>
      <w:r>
        <w:t>á</w:t>
      </w:r>
      <w:r>
        <w:t>ñez, quienes también eran clientes suyos.</w:t>
      </w:r>
    </w:p>
    <w:p w:rsidR="00224567" w:rsidRDefault="00224567">
      <w:pPr>
        <w:widowControl w:val="0"/>
        <w:tabs>
          <w:tab w:val="center" w:pos="0"/>
        </w:tabs>
      </w:pPr>
      <w:r>
        <w:tab/>
        <w:t>Por ello, adujo que al convocarlo la mujer de Telleldín delegó la responsabilidad en el Dr. Spagnuolo, su socio para entonces; que ese día no conc</w:t>
      </w:r>
      <w:r>
        <w:t>u</w:t>
      </w:r>
      <w:r>
        <w:t>rrió a la brigada, habiendo permanecido en contacto con su colega, quien manejaba la situación, aunque admitió que pudo haber recibido algún llamado del imput</w:t>
      </w:r>
      <w:r>
        <w:t>a</w:t>
      </w:r>
      <w:r>
        <w:t>do.</w:t>
      </w:r>
    </w:p>
    <w:p w:rsidR="00224567" w:rsidRDefault="00224567">
      <w:pPr>
        <w:widowControl w:val="0"/>
        <w:tabs>
          <w:tab w:val="center" w:pos="0"/>
        </w:tabs>
      </w:pPr>
      <w:r>
        <w:tab/>
        <w:t>Precisó Semorile que recibió un llam</w:t>
      </w:r>
      <w:r>
        <w:t>a</w:t>
      </w:r>
      <w:r>
        <w:t>do de Spagnuolo diciéndole que no podía hacer nada más y que Telleldín lo convocaba a él; motivo por el cual conc</w:t>
      </w:r>
      <w:r>
        <w:t>u</w:t>
      </w:r>
      <w:r>
        <w:t>rrió en horas de la noche a la brigada, cuando Spagnuolo ya no se encontraba. Indicó que habló con el comisario R</w:t>
      </w:r>
      <w:r>
        <w:t>i</w:t>
      </w:r>
      <w:r>
        <w:t>belli, quien le dijo que no tenía el manejo del expedie</w:t>
      </w:r>
      <w:r>
        <w:t>n</w:t>
      </w:r>
      <w:r>
        <w:t>te, el que estaba en manos de un su</w:t>
      </w:r>
      <w:r>
        <w:t>b</w:t>
      </w:r>
      <w:r>
        <w:t>comisario, cuyo nombre el testigo no pudo recordar.</w:t>
      </w:r>
    </w:p>
    <w:p w:rsidR="00224567" w:rsidRDefault="00224567">
      <w:pPr>
        <w:widowControl w:val="0"/>
        <w:tabs>
          <w:tab w:val="center" w:pos="0"/>
        </w:tabs>
      </w:pPr>
      <w:r>
        <w:tab/>
        <w:t>Refirió que una vez en la depe</w:t>
      </w:r>
      <w:r>
        <w:t>n</w:t>
      </w:r>
      <w:r>
        <w:t>dencia policial, Telleldín le comentó que había llegado a un “acue</w:t>
      </w:r>
      <w:r>
        <w:t>r</w:t>
      </w:r>
      <w:r>
        <w:t>do” con el personal de la brigada y que en virtud de ello entregaría un automóvil R</w:t>
      </w:r>
      <w:r>
        <w:t>e</w:t>
      </w:r>
      <w:r>
        <w:t>nault 18, un Ford Falcon y, según creyó recordar, una suma de dinero que tenía en su poder. Además, Semorile admitió que en esa oportunidad le reclamó a Telleldín el pago de los honorarios adeudados, acordando que en tal concepto le daría una moto “Kawas</w:t>
      </w:r>
      <w:r>
        <w:t>a</w:t>
      </w:r>
      <w:r>
        <w:t xml:space="preserve">ki </w:t>
      </w:r>
      <w:smartTag w:uri="urn:schemas-microsoft-com:office:smarttags" w:element="metricconverter">
        <w:smartTagPr>
          <w:attr w:name="ProductID" w:val="125”"/>
        </w:smartTagPr>
        <w:r>
          <w:t>125”</w:t>
        </w:r>
      </w:smartTag>
      <w:r>
        <w:t>, que más tarde le fue entregada en el asiento de la brigada a uno de sus empleados, sin reco</w:t>
      </w:r>
      <w:r>
        <w:t>r</w:t>
      </w:r>
      <w:r>
        <w:t>dar si era Uriona o Goyeneche.</w:t>
      </w:r>
    </w:p>
    <w:p w:rsidR="00224567" w:rsidRDefault="00224567">
      <w:pPr>
        <w:widowControl w:val="0"/>
        <w:tabs>
          <w:tab w:val="center" w:pos="0"/>
        </w:tabs>
      </w:pPr>
      <w:r>
        <w:tab/>
        <w:t>Señaló que Eduardo Telleldín, hermano de su cliente, hizo trasladar la moto en un flete a la brigada.</w:t>
      </w:r>
    </w:p>
    <w:p w:rsidR="00224567" w:rsidRDefault="00224567">
      <w:pPr>
        <w:widowControl w:val="0"/>
        <w:tabs>
          <w:tab w:val="center" w:pos="0"/>
        </w:tabs>
      </w:pPr>
      <w:r>
        <w:tab/>
        <w:t>Al advertírsele que en su decl</w:t>
      </w:r>
      <w:r>
        <w:t>a</w:t>
      </w:r>
      <w:r>
        <w:t>ración bajo identidad reservada había explicado que cuando arribó a la brigada de Lanús Telleldín ya había arreglado su s</w:t>
      </w:r>
      <w:r>
        <w:t>i</w:t>
      </w:r>
      <w:r>
        <w:t>tuación entregándole a Ribelli y al subcomisario Leal la suma de $ 2.000, un R</w:t>
      </w:r>
      <w:r>
        <w:t>e</w:t>
      </w:r>
      <w:r>
        <w:t>nault 18, un Ford Falcón y una moto Kawasaki, Semorile se rectificó, aclarando que habló con Telleldín para que le fuera entregada la moto y que “de hecho fue así”, dado que la llevaron después de que se r</w:t>
      </w:r>
      <w:r>
        <w:t>e</w:t>
      </w:r>
      <w:r>
        <w:t>tiró de la dependencia.</w:t>
      </w:r>
    </w:p>
    <w:p w:rsidR="00224567" w:rsidRDefault="00224567">
      <w:pPr>
        <w:widowControl w:val="0"/>
        <w:tabs>
          <w:tab w:val="center" w:pos="0"/>
        </w:tabs>
      </w:pPr>
      <w:r>
        <w:tab/>
        <w:t>Respecto de la necesidad de cobrar esa noche, Semorile explicó que como tenía pr</w:t>
      </w:r>
      <w:r>
        <w:t>o</w:t>
      </w:r>
      <w:r>
        <w:t>blemas de cobro con Telleldín, quien le debía una suma importante, quiso asegurarse, de alguna manera, sus honorarios; razón por la cual, le exigió que se le abonara en la brigada, “fuera con una moto o en efectivo”.</w:t>
      </w:r>
    </w:p>
    <w:p w:rsidR="00224567" w:rsidRDefault="00224567">
      <w:pPr>
        <w:widowControl w:val="0"/>
        <w:tabs>
          <w:tab w:val="center" w:pos="0"/>
        </w:tabs>
      </w:pPr>
      <w:r>
        <w:tab/>
        <w:t>Acerca del destino de la moto, ref</w:t>
      </w:r>
      <w:r>
        <w:t>i</w:t>
      </w:r>
      <w:r>
        <w:t>rió que la tuvo poco tiempo, entregándola como parte de pago en una operación de compra de un dúplex ubicado en la l</w:t>
      </w:r>
      <w:r>
        <w:t>o</w:t>
      </w:r>
      <w:r>
        <w:t>calidad de Olivos. Aclaró que dicha propiedad era de la madre de un cliente suyo, Heber Alejandro Núñez, pero no descartó haber entregado la moto, por algún motivo, a P</w:t>
      </w:r>
      <w:r>
        <w:t>a</w:t>
      </w:r>
      <w:r>
        <w:t>blo Ibáñez y a Miriam Salinas.</w:t>
      </w:r>
    </w:p>
    <w:p w:rsidR="00224567" w:rsidRDefault="00224567">
      <w:pPr>
        <w:widowControl w:val="0"/>
        <w:tabs>
          <w:tab w:val="center" w:pos="0"/>
        </w:tabs>
      </w:pPr>
      <w:r>
        <w:tab/>
        <w:t>Estos últimos, acotó, también fueron imputados en este proceso, habiéndolos asistido técnic</w:t>
      </w:r>
      <w:r>
        <w:t>a</w:t>
      </w:r>
      <w:r>
        <w:t>mente.</w:t>
      </w:r>
    </w:p>
    <w:p w:rsidR="00224567" w:rsidRDefault="00224567">
      <w:pPr>
        <w:widowControl w:val="0"/>
        <w:tabs>
          <w:tab w:val="center" w:pos="0"/>
        </w:tabs>
      </w:pPr>
      <w:r>
        <w:rPr>
          <w:bCs/>
        </w:rPr>
        <w:tab/>
        <w:t>Sandra Marisa Petrucci,</w:t>
      </w:r>
      <w:r>
        <w:t xml:space="preserve"> detenida ju</w:t>
      </w:r>
      <w:r>
        <w:t>n</w:t>
      </w:r>
      <w:r>
        <w:t>to con Telleldín en la localidad de Tortuguitas y tra</w:t>
      </w:r>
      <w:r>
        <w:t>s</w:t>
      </w:r>
      <w:r>
        <w:t xml:space="preserve">ladada a </w:t>
      </w:r>
      <w:smartTag w:uri="urn:schemas-microsoft-com:office:smarttags" w:element="PersonName">
        <w:smartTagPr>
          <w:attr w:name="ProductID" w:val="la Brigada"/>
        </w:smartTagPr>
        <w:r>
          <w:t>la Brigada</w:t>
        </w:r>
      </w:smartTag>
      <w:r>
        <w:t xml:space="preserve"> de Investigaciones de Lanús, sostuvo en el debate que tras recuperar su libertad y luego de tomar c</w:t>
      </w:r>
      <w:r>
        <w:t>a</w:t>
      </w:r>
      <w:r>
        <w:t>fé en una confitería, concurrió con Eduardo Telleldín y el Dr. Semorile a buscar una moto a la casa del primero, para trasladarla a la brigada.</w:t>
      </w:r>
    </w:p>
    <w:p w:rsidR="00224567" w:rsidRDefault="00224567">
      <w:pPr>
        <w:widowControl w:val="0"/>
        <w:tabs>
          <w:tab w:val="center" w:pos="0"/>
        </w:tabs>
      </w:pPr>
      <w:r>
        <w:tab/>
        <w:t>Añadió que frente a la casa de Edua</w:t>
      </w:r>
      <w:r>
        <w:t>r</w:t>
      </w:r>
      <w:r>
        <w:t>do Telleldín vivía un hombre que tenía un flete, al que rec</w:t>
      </w:r>
      <w:r>
        <w:t>u</w:t>
      </w:r>
      <w:r>
        <w:t>rrieron para trasladar la moto, creyendo que desde la br</w:t>
      </w:r>
      <w:r>
        <w:t>i</w:t>
      </w:r>
      <w:r>
        <w:t>gada hasta la casa de aquél fueron en el auto de Semorile.</w:t>
      </w:r>
    </w:p>
    <w:p w:rsidR="00224567" w:rsidRDefault="00224567">
      <w:pPr>
        <w:widowControl w:val="0"/>
        <w:tabs>
          <w:tab w:val="center" w:pos="0"/>
        </w:tabs>
      </w:pPr>
      <w:r>
        <w:tab/>
        <w:t>Asimismo, Petrucci indicó que al r</w:t>
      </w:r>
      <w:r>
        <w:t>e</w:t>
      </w:r>
      <w:r>
        <w:t>tornar a la dependencia policial, bajaron la motocicl</w:t>
      </w:r>
      <w:r>
        <w:t>e</w:t>
      </w:r>
      <w:r>
        <w:t>ta, la dejaron en la puerta e ingresó con Sem</w:t>
      </w:r>
      <w:r>
        <w:t>o</w:t>
      </w:r>
      <w:r>
        <w:t>rile, sin poder precisar si también lo hizo Eduardo Telleldín. Creyó r</w:t>
      </w:r>
      <w:r>
        <w:t>e</w:t>
      </w:r>
      <w:r>
        <w:t>cordar que en esa ocasión Semorile expresó lo siguiente: “está todo arreglado nos podemos ir”, tras lo cual trasl</w:t>
      </w:r>
      <w:r>
        <w:t>a</w:t>
      </w:r>
      <w:r>
        <w:t>dó a Carlos y a ella hasta Tortuguitas.</w:t>
      </w:r>
    </w:p>
    <w:p w:rsidR="00224567" w:rsidRDefault="00224567">
      <w:pPr>
        <w:widowControl w:val="0"/>
        <w:tabs>
          <w:tab w:val="center" w:pos="0"/>
        </w:tabs>
      </w:pPr>
      <w:r>
        <w:tab/>
        <w:t>Fueron incorporadas al debate las d</w:t>
      </w:r>
      <w:r>
        <w:t>e</w:t>
      </w:r>
      <w:r>
        <w:t xml:space="preserve">claraciones de </w:t>
      </w:r>
      <w:r>
        <w:rPr>
          <w:bCs/>
        </w:rPr>
        <w:t>Oscar Alfredo Setaro</w:t>
      </w:r>
      <w:r>
        <w:t xml:space="preserve"> (art. 391, inc. 3º del código procesal), cuya acta de defunción obra a fs. 5394 del legajo de citaciones.</w:t>
      </w:r>
    </w:p>
    <w:p w:rsidR="00224567" w:rsidRDefault="00224567">
      <w:pPr>
        <w:widowControl w:val="0"/>
        <w:tabs>
          <w:tab w:val="center" w:pos="0"/>
        </w:tabs>
      </w:pPr>
      <w:r>
        <w:tab/>
        <w:t>En su declaración del 2 de noviembre de 1995 (fs. 37.587/37.590) el nombrado sostuvo que trab</w:t>
      </w:r>
      <w:r>
        <w:t>a</w:t>
      </w:r>
      <w:r>
        <w:t xml:space="preserve">jó como fletero y que en una oportunidad transportó, por encargo de Eduardo Telleldín, una motocicleta tipo “cross”, de la que no recordó la marca, desde una casa, cerca de Liniers, hasta </w:t>
      </w:r>
      <w:smartTag w:uri="urn:schemas-microsoft-com:office:smarttags" w:element="PersonName">
        <w:smartTagPr>
          <w:attr w:name="ProductID" w:val="la Brigada"/>
        </w:smartTagPr>
        <w:r>
          <w:t>la Brigada</w:t>
        </w:r>
      </w:smartTag>
      <w:r>
        <w:t xml:space="preserve"> de Investigaciones de Lanús, donde debía entregarla por un problema que tenía Carlos Telleldín, quien se encontraba detenido en esa d</w:t>
      </w:r>
      <w:r>
        <w:t>e</w:t>
      </w:r>
      <w:r>
        <w:t>pende</w:t>
      </w:r>
      <w:r>
        <w:t>n</w:t>
      </w:r>
      <w:r>
        <w:t>cia.</w:t>
      </w:r>
    </w:p>
    <w:p w:rsidR="00224567" w:rsidRDefault="00224567">
      <w:pPr>
        <w:widowControl w:val="0"/>
        <w:tabs>
          <w:tab w:val="center" w:pos="0"/>
        </w:tabs>
      </w:pPr>
      <w:r>
        <w:tab/>
        <w:t>La motocicleta, sostuvo, fue descarg</w:t>
      </w:r>
      <w:r>
        <w:t>a</w:t>
      </w:r>
      <w:r>
        <w:t>da frente a la comisaría, donde había un grupo de personas vestidas de civil, entre las que recuerda a una mujer j</w:t>
      </w:r>
      <w:r>
        <w:t>o</w:t>
      </w:r>
      <w:r>
        <w:t>ven, creyendo que Eduardo debía encontrarse con un abog</w:t>
      </w:r>
      <w:r>
        <w:t>a</w:t>
      </w:r>
      <w:r>
        <w:t>do, cuyo nombre el testigo manifestó desconocer como así también si se encontraba en el lugar.</w:t>
      </w:r>
    </w:p>
    <w:p w:rsidR="00224567" w:rsidRDefault="00224567">
      <w:pPr>
        <w:widowControl w:val="0"/>
        <w:tabs>
          <w:tab w:val="center" w:pos="0"/>
        </w:tabs>
      </w:pPr>
      <w:r>
        <w:tab/>
        <w:t xml:space="preserve">Con relación a las circunstancias que rodearon la declaración de Semorile ante la instrucción, </w:t>
      </w:r>
      <w:r>
        <w:rPr>
          <w:bCs/>
        </w:rPr>
        <w:t>Claudio Adrián Lifschitz</w:t>
      </w:r>
      <w:r>
        <w:t>, ex prosecretario del Juzgado F</w:t>
      </w:r>
      <w:r>
        <w:t>e</w:t>
      </w:r>
      <w:r>
        <w:t>deral nº 9, recordó haber visto en d</w:t>
      </w:r>
      <w:r>
        <w:t>i</w:t>
      </w:r>
      <w:r>
        <w:t>recto, a través de un monitor, la filmación de una reunión a s</w:t>
      </w:r>
      <w:r>
        <w:t>o</w:t>
      </w:r>
      <w:r>
        <w:t>las entre el Dr. Galeano y el Dr. Semorile; empero, i</w:t>
      </w:r>
      <w:r>
        <w:t>n</w:t>
      </w:r>
      <w:r>
        <w:t>dicó, no vio el video que se habría obtenido.</w:t>
      </w:r>
    </w:p>
    <w:p w:rsidR="00224567" w:rsidRDefault="00224567">
      <w:pPr>
        <w:widowControl w:val="0"/>
        <w:tabs>
          <w:tab w:val="center" w:pos="0"/>
        </w:tabs>
      </w:pPr>
      <w:r>
        <w:tab/>
        <w:t>Detalló que para dicho encuentro G</w:t>
      </w:r>
      <w:r>
        <w:t>a</w:t>
      </w:r>
      <w:r>
        <w:t>leano ya sabía, por dichos de Ibáñez y Salinas o por otra información, que uno de los vehículos que entregó Telle</w:t>
      </w:r>
      <w:r>
        <w:t>l</w:t>
      </w:r>
      <w:r>
        <w:t>dín en la brigada de Lanús para recuperar su libertad, precisamente la moto Kawasaki, se la había llevado Semor</w:t>
      </w:r>
      <w:r>
        <w:t>i</w:t>
      </w:r>
      <w:r>
        <w:t>le.</w:t>
      </w:r>
    </w:p>
    <w:p w:rsidR="00224567" w:rsidRDefault="00224567">
      <w:pPr>
        <w:widowControl w:val="0"/>
        <w:tabs>
          <w:tab w:val="center" w:pos="0"/>
        </w:tabs>
      </w:pPr>
      <w:r>
        <w:tab/>
        <w:t xml:space="preserve">Asimismo, </w:t>
      </w:r>
      <w:r>
        <w:rPr>
          <w:bCs/>
        </w:rPr>
        <w:t>Lifschitz</w:t>
      </w:r>
      <w:r>
        <w:t xml:space="preserve"> explicó que en la oportunidad el juez Galeano le contó a Semorile todo lo que conocía al respecto y le pidió que se sincere, por lo que aquél le relató cómo había sido el “apriete” a Telle</w:t>
      </w:r>
      <w:r>
        <w:t>l</w:t>
      </w:r>
      <w:r>
        <w:t>dín, aclarándole que, en realidad, a éste lo había “entr</w:t>
      </w:r>
      <w:r>
        <w:t>e</w:t>
      </w:r>
      <w:r>
        <w:t>gado” su esposa Ana María Boragni debido a que estaba c</w:t>
      </w:r>
      <w:r>
        <w:t>e</w:t>
      </w:r>
      <w:r>
        <w:t>losa porque el nombrado salía con Sandra Petrucci y, ap</w:t>
      </w:r>
      <w:r>
        <w:t>a</w:t>
      </w:r>
      <w:r>
        <w:t>rent</w:t>
      </w:r>
      <w:r>
        <w:t>e</w:t>
      </w:r>
      <w:r>
        <w:t>mente, no le pasaba alimentos.</w:t>
      </w:r>
    </w:p>
    <w:p w:rsidR="00224567" w:rsidRDefault="00224567">
      <w:pPr>
        <w:widowControl w:val="0"/>
        <w:tabs>
          <w:tab w:val="center" w:pos="0"/>
        </w:tabs>
      </w:pPr>
      <w:r>
        <w:tab/>
        <w:t xml:space="preserve">Según </w:t>
      </w:r>
      <w:r>
        <w:rPr>
          <w:bCs/>
        </w:rPr>
        <w:t>Lifschitz</w:t>
      </w:r>
      <w:r>
        <w:t>, Semorile también le contó a Galeano que Boragni comentó aquella s</w:t>
      </w:r>
      <w:r>
        <w:t>i</w:t>
      </w:r>
      <w:r>
        <w:t>tuación con sus amigos Ibáñez y Salinas, surgiendo la idea de “entr</w:t>
      </w:r>
      <w:r>
        <w:t>e</w:t>
      </w:r>
      <w:r>
        <w:t>gar” a Telleldín a la policía como forma de s</w:t>
      </w:r>
      <w:r>
        <w:t>a</w:t>
      </w:r>
      <w:r>
        <w:t>carle plata de alguna manera. Agregó el testigo que S</w:t>
      </w:r>
      <w:r>
        <w:t>e</w:t>
      </w:r>
      <w:r>
        <w:t>morile admitió, además, que como conocía a Ribelli le proporcionaría a é</w:t>
      </w:r>
      <w:r>
        <w:t>s</w:t>
      </w:r>
      <w:r>
        <w:t>te los datos que habría de suministrarle Boragni para que lo “leva</w:t>
      </w:r>
      <w:r>
        <w:t>n</w:t>
      </w:r>
      <w:r>
        <w:t>tasen”.</w:t>
      </w:r>
    </w:p>
    <w:p w:rsidR="00224567" w:rsidRDefault="00224567">
      <w:pPr>
        <w:widowControl w:val="0"/>
        <w:tabs>
          <w:tab w:val="center" w:pos="0"/>
        </w:tabs>
      </w:pPr>
      <w:r>
        <w:tab/>
        <w:t>Expuso que como Telleldín no s</w:t>
      </w:r>
      <w:r>
        <w:t>a</w:t>
      </w:r>
      <w:r>
        <w:t>bía del tema en ocasión de ser detenido, éste llamó a otro abog</w:t>
      </w:r>
      <w:r>
        <w:t>a</w:t>
      </w:r>
      <w:r>
        <w:t>do, llegando luego Semorile, quien tenía que “aparecer” como su letrado para poder cerrar la negoci</w:t>
      </w:r>
      <w:r>
        <w:t>a</w:t>
      </w:r>
      <w:r>
        <w:t>ción.</w:t>
      </w:r>
    </w:p>
    <w:p w:rsidR="00224567" w:rsidRDefault="00224567">
      <w:pPr>
        <w:widowControl w:val="0"/>
        <w:tabs>
          <w:tab w:val="center" w:pos="0"/>
        </w:tabs>
      </w:pPr>
      <w:r>
        <w:tab/>
        <w:t>Días después, precisó Lifschitz, hubo otra reunión entre Semorile y el juez Galeano, la cual no presenció, constándole sólo la concurrencia del ab</w:t>
      </w:r>
      <w:r>
        <w:t>o</w:t>
      </w:r>
      <w:r>
        <w:t>gado al tribunal. Tras dicha reunión, el juez salió de su desp</w:t>
      </w:r>
      <w:r>
        <w:t>a</w:t>
      </w:r>
      <w:r>
        <w:t>cho, diciéndole al secretario Velasco, a quien siempre p</w:t>
      </w:r>
      <w:r>
        <w:t>e</w:t>
      </w:r>
      <w:r>
        <w:t>día los videos, “prepárame el video de Semorile”, lo que así hizo. Después “aparece el juez Gale</w:t>
      </w:r>
      <w:r>
        <w:t>a</w:t>
      </w:r>
      <w:r>
        <w:t>no con Semorile y se dirigen a la oficina donde estaba el monitor con el v</w:t>
      </w:r>
      <w:r>
        <w:t>i</w:t>
      </w:r>
      <w:r>
        <w:t>deo”, quedando a solas; aclaró que se retiró por una cue</w:t>
      </w:r>
      <w:r>
        <w:t>s</w:t>
      </w:r>
      <w:r>
        <w:t>tión de ubicación, en tanto V</w:t>
      </w:r>
      <w:r>
        <w:t>e</w:t>
      </w:r>
      <w:r>
        <w:t>lasco se quedó más atrás.</w:t>
      </w:r>
    </w:p>
    <w:p w:rsidR="00224567" w:rsidRDefault="00224567">
      <w:pPr>
        <w:widowControl w:val="0"/>
        <w:tabs>
          <w:tab w:val="center" w:pos="0"/>
        </w:tabs>
      </w:pPr>
      <w:r>
        <w:tab/>
        <w:t>Tras ello, refirió que regresaron al despacho del magistrado y que al rato lo llamaron, no r</w:t>
      </w:r>
      <w:r>
        <w:t>e</w:t>
      </w:r>
      <w:r>
        <w:t>corda</w:t>
      </w:r>
      <w:r>
        <w:t>n</w:t>
      </w:r>
      <w:r>
        <w:t>do si estaban los dos secretarios pero sí De Gamas, y le dijeron que tenía que tomarle declaración con ident</w:t>
      </w:r>
      <w:r>
        <w:t>i</w:t>
      </w:r>
      <w:r>
        <w:t xml:space="preserve">dad reservada en el despacho de </w:t>
      </w:r>
      <w:smartTag w:uri="urn:schemas-microsoft-com:office:smarttags" w:element="PersonName">
        <w:smartTagPr>
          <w:attr w:name="ProductID" w:val="la Dra. Spina."/>
        </w:smartTagPr>
        <w:r>
          <w:t>la Dra. Sp</w:t>
        </w:r>
        <w:r>
          <w:t>i</w:t>
        </w:r>
        <w:r>
          <w:t>na.</w:t>
        </w:r>
      </w:smartTag>
      <w:r>
        <w:t xml:space="preserve"> Memoró que en esa oportunidad S</w:t>
      </w:r>
      <w:r>
        <w:t>e</w:t>
      </w:r>
      <w:r>
        <w:t>morile preguntó cuántas personas iban a conocer sus dichos; que los secretarios le comentaron que el abogado iba a relatarles cómo fue “el tema del apriete de Lanús; que no iba a quedar asentado el tema de que la camioneta se había retirado él” (sic).</w:t>
      </w:r>
    </w:p>
    <w:p w:rsidR="00224567" w:rsidRDefault="00224567">
      <w:pPr>
        <w:widowControl w:val="0"/>
        <w:tabs>
          <w:tab w:val="center" w:pos="0"/>
        </w:tabs>
      </w:pPr>
      <w:r>
        <w:tab/>
        <w:t>El ex funcionario judicial describió que Semorile estaba nervioso, que tenía miedo “porque e</w:t>
      </w:r>
      <w:r>
        <w:t>s</w:t>
      </w:r>
      <w:r>
        <w:t>taba dando detalles de un delito cometido de pronto por personas que en ese momento podían detentar determinada autor</w:t>
      </w:r>
      <w:r>
        <w:t>i</w:t>
      </w:r>
      <w:r>
        <w:t>dad o potestad”, recordando que éste le dijo: “otra no me queda sino voy en c</w:t>
      </w:r>
      <w:r>
        <w:t>a</w:t>
      </w:r>
      <w:r>
        <w:t>na”.</w:t>
      </w:r>
    </w:p>
    <w:p w:rsidR="00224567" w:rsidRDefault="00224567">
      <w:pPr>
        <w:widowControl w:val="0"/>
        <w:tabs>
          <w:tab w:val="center" w:pos="0"/>
        </w:tabs>
      </w:pPr>
      <w:r>
        <w:tab/>
        <w:t>Además, el testigo indicó que G</w:t>
      </w:r>
      <w:r>
        <w:t>a</w:t>
      </w:r>
      <w:r>
        <w:t xml:space="preserve">leano le dijo a Semorile que quería conocer a Rago, que estaba en </w:t>
      </w:r>
      <w:smartTag w:uri="urn:schemas-microsoft-com:office:smarttags" w:element="PersonName">
        <w:smartTagPr>
          <w:attr w:name="ProductID" w:val="la Brigada"/>
        </w:smartTagPr>
        <w:r>
          <w:t>la Brigada</w:t>
        </w:r>
      </w:smartTag>
      <w:r>
        <w:t xml:space="preserve"> de Investigaciones de Vicente López y que cuando este último concurrió al juzgado también se filmó la entrevista.</w:t>
      </w:r>
    </w:p>
    <w:p w:rsidR="00224567" w:rsidRDefault="00224567">
      <w:pPr>
        <w:widowControl w:val="0"/>
        <w:tabs>
          <w:tab w:val="center" w:pos="0"/>
        </w:tabs>
      </w:pPr>
      <w:r>
        <w:tab/>
        <w:t>Como se advierte, las declaraci</w:t>
      </w:r>
      <w:r>
        <w:t>o</w:t>
      </w:r>
      <w:r>
        <w:t>nes de Spagnuolo, Petrucci y Lifschitz, permiten al Tribunal co</w:t>
      </w:r>
      <w:r>
        <w:t>n</w:t>
      </w:r>
      <w:r>
        <w:t>siderar acreditado que el abogado Gustavo Semorile se ll</w:t>
      </w:r>
      <w:r>
        <w:t>e</w:t>
      </w:r>
      <w:r>
        <w:t xml:space="preserve">vó la moto Kawasaki que entregara Telleldín en </w:t>
      </w:r>
      <w:smartTag w:uri="urn:schemas-microsoft-com:office:smarttags" w:element="PersonName">
        <w:smartTagPr>
          <w:attr w:name="ProductID" w:val="la Brigada"/>
        </w:smartTagPr>
        <w:r>
          <w:t>la Br</w:t>
        </w:r>
        <w:r>
          <w:t>i</w:t>
        </w:r>
        <w:r>
          <w:t>gada</w:t>
        </w:r>
      </w:smartTag>
      <w:r>
        <w:t xml:space="preserve"> de Investigaciones de Lanús, en oportunidad de perm</w:t>
      </w:r>
      <w:r>
        <w:t>a</w:t>
      </w:r>
      <w:r>
        <w:t>necer ahí detenido.</w:t>
      </w:r>
    </w:p>
    <w:p w:rsidR="00224567" w:rsidRDefault="00224567">
      <w:pPr>
        <w:widowControl w:val="0"/>
        <w:tabs>
          <w:tab w:val="center" w:pos="0"/>
        </w:tabs>
      </w:pPr>
      <w:r>
        <w:tab/>
        <w:t>Ante estos estrados Semorile debió m</w:t>
      </w:r>
      <w:r>
        <w:t>o</w:t>
      </w:r>
      <w:r>
        <w:t>dificar su versión primigenia dada como testigo de ident</w:t>
      </w:r>
      <w:r>
        <w:t>i</w:t>
      </w:r>
      <w:r>
        <w:t>dad reservada, arguyendo que recibió la moto a cuenta de hon</w:t>
      </w:r>
      <w:r>
        <w:t>o</w:t>
      </w:r>
      <w:r>
        <w:t>rarios.</w:t>
      </w:r>
    </w:p>
    <w:p w:rsidR="00224567" w:rsidRDefault="00224567">
      <w:pPr>
        <w:widowControl w:val="0"/>
        <w:tabs>
          <w:tab w:val="center" w:pos="0"/>
        </w:tabs>
      </w:pPr>
      <w:r>
        <w:tab/>
        <w:t>Más aún, el letrado trató de tomar distancia de ese episodio alegando que cuando la moto fue llev</w:t>
      </w:r>
      <w:r>
        <w:t>a</w:t>
      </w:r>
      <w:r>
        <w:t>da a la dependencia policial él ya se había retirado; versión contradicha por Sandra Petrucci de manera categ</w:t>
      </w:r>
      <w:r>
        <w:t>ó</w:t>
      </w:r>
      <w:r>
        <w:t>rica.</w:t>
      </w:r>
    </w:p>
    <w:p w:rsidR="00224567" w:rsidRDefault="00224567">
      <w:pPr>
        <w:widowControl w:val="0"/>
        <w:tabs>
          <w:tab w:val="center" w:pos="0"/>
        </w:tabs>
      </w:pPr>
      <w:r>
        <w:tab/>
        <w:t>Tampoco respaldaron la versión de S</w:t>
      </w:r>
      <w:r>
        <w:t>e</w:t>
      </w:r>
      <w:r>
        <w:t>morile quienes, según dijo, fueron sus empleados en el e</w:t>
      </w:r>
      <w:r>
        <w:t>s</w:t>
      </w:r>
      <w:r>
        <w:t>tudio, en cuanto a que a uno de ellos -Romualdo Goy</w:t>
      </w:r>
      <w:r>
        <w:t>e</w:t>
      </w:r>
      <w:r>
        <w:t>neche o Julián Roberto Uriona- el fl</w:t>
      </w:r>
      <w:r>
        <w:t>e</w:t>
      </w:r>
      <w:r>
        <w:t>tero les entregó, en Lanús, la motocicleta que se llevaron.</w:t>
      </w:r>
    </w:p>
    <w:p w:rsidR="00224567" w:rsidRDefault="00224567">
      <w:pPr>
        <w:widowControl w:val="0"/>
        <w:tabs>
          <w:tab w:val="center" w:pos="0"/>
        </w:tabs>
      </w:pPr>
      <w:r>
        <w:tab/>
        <w:t>Como nota pintoresca de la mend</w:t>
      </w:r>
      <w:r>
        <w:t>a</w:t>
      </w:r>
      <w:r>
        <w:t>cidad de Semorile, cabe destacar que ante estos estrado Julián Roberto Uriona dijo que trabajó para el nombrado en 1997, realizando trabajos de jardinería y albañilería, que su hijo, de igual nombre, en 1994 tenía doce años y que no conoció a Romualdo Goyen</w:t>
      </w:r>
      <w:r>
        <w:t>e</w:t>
      </w:r>
      <w:r>
        <w:t>che.</w:t>
      </w:r>
    </w:p>
    <w:p w:rsidR="00224567" w:rsidRDefault="00224567">
      <w:pPr>
        <w:widowControl w:val="0"/>
        <w:tabs>
          <w:tab w:val="center" w:pos="0"/>
        </w:tabs>
      </w:pPr>
      <w:r>
        <w:tab/>
        <w:t>Este último al prestar declar</w:t>
      </w:r>
      <w:r>
        <w:t>a</w:t>
      </w:r>
      <w:r>
        <w:t xml:space="preserve">ción, en </w:t>
      </w:r>
      <w:smartTag w:uri="urn:schemas-microsoft-com:office:smarttags" w:element="PersonName">
        <w:smartTagPr>
          <w:attr w:name="ProductID" w:val="la Embajada"/>
        </w:smartTagPr>
        <w:r>
          <w:t>la Embajada</w:t>
        </w:r>
      </w:smartTag>
      <w:r>
        <w:t xml:space="preserve"> de nuestro país en </w:t>
      </w:r>
      <w:smartTag w:uri="urn:schemas-microsoft-com:office:smarttags" w:element="PersonName">
        <w:smartTagPr>
          <w:attr w:name="ProductID" w:val="la Rep￺blica"/>
        </w:smartTagPr>
        <w:r>
          <w:t>la República</w:t>
        </w:r>
      </w:smartTag>
      <w:r>
        <w:t xml:space="preserve"> de Francia, manifestó que durante algunos meses, entre 1987 y 1988, realizó una pasantía en el estudio jurídico del Dr. Sem</w:t>
      </w:r>
      <w:r>
        <w:t>o</w:t>
      </w:r>
      <w:r>
        <w:t>rile y que nunca se desempeñó como chofer del nombrado; refirió que luego de ello perdieron contacto, viéndose ocasionalmente en tr</w:t>
      </w:r>
      <w:r>
        <w:t>i</w:t>
      </w:r>
      <w:r>
        <w:t>bunales.</w:t>
      </w:r>
    </w:p>
    <w:p w:rsidR="00224567" w:rsidRDefault="00224567">
      <w:pPr>
        <w:widowControl w:val="0"/>
        <w:tabs>
          <w:tab w:val="center" w:pos="0"/>
        </w:tabs>
      </w:pPr>
      <w:r>
        <w:tab/>
        <w:t>Goyeneche indicó que en 1994 “hacía ya mucho tiempo que había perdido contacto con el Dr. Semor</w:t>
      </w:r>
      <w:r>
        <w:t>i</w:t>
      </w:r>
      <w:r>
        <w:t>le”, no recordando que éste lo hubiese llamado para conv</w:t>
      </w:r>
      <w:r>
        <w:t>o</w:t>
      </w:r>
      <w:r>
        <w:t>carlo en alguna dependencia policial; que jamás trabajo como chofer ni rec</w:t>
      </w:r>
      <w:r>
        <w:t>i</w:t>
      </w:r>
      <w:r>
        <w:t>bió algún bien para aquél.</w:t>
      </w:r>
    </w:p>
    <w:p w:rsidR="00224567" w:rsidRDefault="00224567">
      <w:pPr>
        <w:widowControl w:val="0"/>
        <w:tabs>
          <w:tab w:val="center" w:pos="0"/>
        </w:tabs>
      </w:pPr>
      <w:r>
        <w:tab/>
        <w:t>En estas condiciones, adquieren plena credibilidad los coincidentes dichos de Spagnuolo y de Lifschitz, acerca de la participación de Gustavo Sem</w:t>
      </w:r>
      <w:r>
        <w:t>o</w:t>
      </w:r>
      <w:r>
        <w:t xml:space="preserve">rile en los sucesos del 4 de abril de 1994, ocurridos en </w:t>
      </w:r>
      <w:smartTag w:uri="urn:schemas-microsoft-com:office:smarttags" w:element="PersonName">
        <w:smartTagPr>
          <w:attr w:name="ProductID" w:val="la Brigada"/>
        </w:smartTagPr>
        <w:r>
          <w:t>la Brig</w:t>
        </w:r>
        <w:r>
          <w:t>a</w:t>
        </w:r>
        <w:r>
          <w:t>da</w:t>
        </w:r>
      </w:smartTag>
      <w:r>
        <w:t xml:space="preserve"> de Investigaciones de Lanús y de cómo, luego, éste fue obligado por el juez Galeano a declarar en determinado sentido.</w:t>
      </w:r>
    </w:p>
    <w:p w:rsidR="00224567" w:rsidRDefault="00224567">
      <w:pPr>
        <w:widowControl w:val="0"/>
        <w:tabs>
          <w:tab w:val="center" w:pos="0"/>
        </w:tabs>
      </w:pPr>
      <w:r>
        <w:tab/>
        <w:t>Obsérvese que Spagnuolo y Lifschitz tomaron conocimiento de los hechos de modo diverso y en circunstancias diferentes y que, no obstante, sus afirm</w:t>
      </w:r>
      <w:r>
        <w:t>a</w:t>
      </w:r>
      <w:r>
        <w:t>ciones concuerdan entre sí y con el resto de la prueba c</w:t>
      </w:r>
      <w:r>
        <w:t>o</w:t>
      </w:r>
      <w:r>
        <w:t>lectada.</w:t>
      </w:r>
    </w:p>
    <w:p w:rsidR="00224567" w:rsidRDefault="00224567">
      <w:pPr>
        <w:widowControl w:val="0"/>
        <w:tabs>
          <w:tab w:val="center" w:pos="0"/>
        </w:tabs>
      </w:pPr>
      <w:r>
        <w:tab/>
        <w:t>A modo de broche de la cuestión que se abordó en este apartado, se impone transcribir, por su elocuencia que exime de todo comentario, parte de la “charla” que mantuvieron el 10 de abril de 1996 el juez y Telleldín, documentada en video.</w:t>
      </w:r>
    </w:p>
    <w:p w:rsidR="00224567" w:rsidRDefault="00224567">
      <w:pPr>
        <w:widowControl w:val="0"/>
      </w:pPr>
      <w:r>
        <w:t>-G (Galeano): Y bueno, eso...</w:t>
      </w:r>
    </w:p>
    <w:p w:rsidR="00224567" w:rsidRDefault="00224567">
      <w:pPr>
        <w:widowControl w:val="0"/>
      </w:pPr>
      <w:r>
        <w:t>-T (Telleldín): entonces... los tipos saben lo que hici</w:t>
      </w:r>
      <w:r>
        <w:t>e</w:t>
      </w:r>
      <w:r>
        <w:t>ron, y yo, saben que yo de repente ehh..., soy una pieza que se les quedó colgado, y entonces bu</w:t>
      </w:r>
      <w:r>
        <w:t>e</w:t>
      </w:r>
      <w:r>
        <w:t xml:space="preserve">no, ese es el gran problema que hay. Yo se lo dije de entrada a Ud., yo fui el único... cuando hablé con </w:t>
      </w:r>
      <w:smartTag w:uri="urn:schemas-microsoft-com:office:smarttags" w:element="PersonName">
        <w:smartTagPr>
          <w:attr w:name="ProductID" w:val="la Riva Aramayo"/>
        </w:smartTagPr>
        <w:r>
          <w:t>la Riva Aram</w:t>
        </w:r>
        <w:r>
          <w:t>a</w:t>
        </w:r>
        <w:r>
          <w:t>yo</w:t>
        </w:r>
      </w:smartTag>
      <w:r>
        <w:t xml:space="preserve"> la otra vez, le dije, yo a Galeano de entrada le dije. Yo dije, seguí la línea de Semorile, yo le puse a Semorile. Semorile sí o sí lo va a tener que meter pr</w:t>
      </w:r>
      <w:r>
        <w:t>e</w:t>
      </w:r>
      <w:r>
        <w:t>so. ¿Por qué?, porque él fue partícipe de la extorsión ¿si o no?. Yo estoy estudiando los derechos ...(ininteligible)</w:t>
      </w:r>
    </w:p>
    <w:p w:rsidR="00224567" w:rsidRDefault="00224567">
      <w:pPr>
        <w:widowControl w:val="0"/>
      </w:pPr>
      <w:r>
        <w:t>-G: Y, él estuvo</w:t>
      </w:r>
    </w:p>
    <w:p w:rsidR="00224567" w:rsidRDefault="00224567">
      <w:pPr>
        <w:widowControl w:val="0"/>
      </w:pPr>
      <w:r>
        <w:t>-T: Él estuvo. Y si no hace lo que Ud..., no habla con Ud., va a terminar preso, porque él causó ...(I) O sea, cómo lo va a justificar, estuvo en la agencia Conti.</w:t>
      </w:r>
    </w:p>
    <w:p w:rsidR="00224567" w:rsidRDefault="00224567">
      <w:pPr>
        <w:widowControl w:val="0"/>
      </w:pPr>
      <w:r>
        <w:t>...</w:t>
      </w:r>
    </w:p>
    <w:p w:rsidR="00224567" w:rsidRDefault="00224567">
      <w:pPr>
        <w:widowControl w:val="0"/>
      </w:pPr>
      <w:r>
        <w:tab/>
        <w:t>En otro tramo se escucha:</w:t>
      </w:r>
    </w:p>
    <w:p w:rsidR="00224567" w:rsidRDefault="00224567">
      <w:pPr>
        <w:widowControl w:val="0"/>
      </w:pPr>
      <w:r>
        <w:t>-T:...lo que pasa es que con la moto necesita el testim</w:t>
      </w:r>
      <w:r>
        <w:t>o</w:t>
      </w:r>
      <w:r>
        <w:t>nio de est... de... de..., yo le digo (I) a Semorile no si tendrá algo... algo que ver, no creo pero...</w:t>
      </w:r>
    </w:p>
    <w:p w:rsidR="00224567" w:rsidRDefault="00224567">
      <w:pPr>
        <w:widowControl w:val="0"/>
      </w:pPr>
      <w:r>
        <w:t>-G: (I) si el tipo...</w:t>
      </w:r>
    </w:p>
    <w:p w:rsidR="00224567" w:rsidRDefault="00224567">
      <w:pPr>
        <w:widowControl w:val="0"/>
        <w:rPr>
          <w:lang w:val="en-US"/>
        </w:rPr>
      </w:pPr>
      <w:r>
        <w:t>-T: el testimonio es importante de él, ¿por qué?. Porque él estuvo metido en la extorsión ¿no?. Es lo que decía el otro día Stinfale, el va a tener que caer pr</w:t>
      </w:r>
      <w:r>
        <w:t>e</w:t>
      </w:r>
      <w:r>
        <w:t xml:space="preserve">so, porque se llevó la moto y yo no sabía; se la llevó después a la agencia de Conti, la vendieron y no sé... ¿cómo apareció en manos de él la moto?. Ahora se está por ir del país, esteee... no..., ¿no le avisó? </w:t>
      </w:r>
      <w:r>
        <w:rPr>
          <w:lang w:val="en-US"/>
        </w:rPr>
        <w:t>(I)</w:t>
      </w:r>
    </w:p>
    <w:p w:rsidR="00224567" w:rsidRPr="00F05CC0" w:rsidRDefault="00224567">
      <w:pPr>
        <w:widowControl w:val="0"/>
        <w:rPr>
          <w:lang w:val="es-AR"/>
        </w:rPr>
      </w:pPr>
      <w:r w:rsidRPr="00F05CC0">
        <w:rPr>
          <w:lang w:val="es-AR"/>
        </w:rPr>
        <w:t>-G: sí</w:t>
      </w:r>
    </w:p>
    <w:p w:rsidR="00224567" w:rsidRDefault="00224567">
      <w:pPr>
        <w:widowControl w:val="0"/>
      </w:pPr>
      <w:r w:rsidRPr="00F05CC0">
        <w:rPr>
          <w:lang w:val="es-AR"/>
        </w:rPr>
        <w:t xml:space="preserve">-T: eh... </w:t>
      </w:r>
      <w:r>
        <w:t>Semorile está asustado, se está por ir del país, me dijo Ana; está planeando irse inmediatame</w:t>
      </w:r>
      <w:r>
        <w:t>n</w:t>
      </w:r>
      <w:r>
        <w:t>te...</w:t>
      </w:r>
    </w:p>
    <w:p w:rsidR="00224567" w:rsidRDefault="00224567">
      <w:pPr>
        <w:widowControl w:val="0"/>
        <w:tabs>
          <w:tab w:val="center" w:pos="0"/>
        </w:tabs>
      </w:pPr>
      <w:r>
        <w:tab/>
        <w:t>Frente a todo ello, encuentra su r</w:t>
      </w:r>
      <w:r>
        <w:t>a</w:t>
      </w:r>
      <w:r>
        <w:t>zón de ser la reserva de identidad de Gustavo Semorile, como así también explica el énfasis de éste al exponer determ</w:t>
      </w:r>
      <w:r>
        <w:t>i</w:t>
      </w:r>
      <w:r>
        <w:t>nadas circunstancias que el debate demostró carentes de verac</w:t>
      </w:r>
      <w:r>
        <w:t>i</w:t>
      </w:r>
      <w:r>
        <w:t>dad.</w:t>
      </w:r>
    </w:p>
    <w:p w:rsidR="00224567" w:rsidRDefault="00224567">
      <w:pPr>
        <w:widowControl w:val="0"/>
        <w:tabs>
          <w:tab w:val="center" w:pos="0"/>
        </w:tabs>
      </w:pPr>
    </w:p>
    <w:p w:rsidR="00224567" w:rsidRDefault="00224567">
      <w:pPr>
        <w:pStyle w:val="Ttulo3"/>
        <w:keepNext w:val="0"/>
        <w:widowControl w:val="0"/>
        <w:rPr>
          <w:lang w:val="es-AR"/>
        </w:rPr>
      </w:pPr>
      <w:r>
        <w:rPr>
          <w:lang w:val="es-AR"/>
        </w:rPr>
        <w:t>G) Pago a Carlos Telleldín con fondos públicos, autor</w:t>
      </w:r>
      <w:r>
        <w:rPr>
          <w:lang w:val="es-AR"/>
        </w:rPr>
        <w:t>i</w:t>
      </w:r>
      <w:r>
        <w:rPr>
          <w:lang w:val="es-AR"/>
        </w:rPr>
        <w:t>zado por el juez.</w:t>
      </w:r>
    </w:p>
    <w:p w:rsidR="00224567" w:rsidRDefault="00224567">
      <w:pPr>
        <w:widowControl w:val="0"/>
        <w:tabs>
          <w:tab w:val="center" w:pos="0"/>
        </w:tabs>
      </w:pPr>
      <w:r>
        <w:rPr>
          <w:b/>
          <w:bCs/>
          <w:lang w:val="es-AR"/>
        </w:rPr>
        <w:tab/>
      </w:r>
      <w:r>
        <w:rPr>
          <w:b/>
          <w:bCs/>
        </w:rPr>
        <w:t>G.1)</w:t>
      </w:r>
      <w:r>
        <w:t xml:space="preserve"> Tanto los agentes del “Se</w:t>
      </w:r>
      <w:r>
        <w:t>c</w:t>
      </w:r>
      <w:r>
        <w:t xml:space="preserve">tor </w:t>
      </w:r>
      <w:smartTag w:uri="urn:schemas-microsoft-com:office:smarttags" w:element="metricconverter">
        <w:smartTagPr>
          <w:attr w:name="ProductID" w:val="85”"/>
        </w:smartTagPr>
        <w:r>
          <w:t>85”</w:t>
        </w:r>
      </w:smartTag>
      <w:r>
        <w:t xml:space="preserve"> -Contrainteligencia- como los pertenecientes a la denom</w:t>
      </w:r>
      <w:r>
        <w:t>i</w:t>
      </w:r>
      <w:r>
        <w:t xml:space="preserve">nada “Sala Patria” -Área Exterior-, ambos de </w:t>
      </w:r>
      <w:smartTag w:uri="urn:schemas-microsoft-com:office:smarttags" w:element="PersonName">
        <w:smartTagPr>
          <w:attr w:name="ProductID" w:val="la Secretar￭a"/>
        </w:smartTagPr>
        <w:r>
          <w:t>la Secretaría</w:t>
        </w:r>
      </w:smartTag>
      <w:r>
        <w:t xml:space="preserve"> de Inteligencia de Estado, fueron contestes en señalar que la hipótesis de la pista policial surgió del juzgado; pi</w:t>
      </w:r>
      <w:r>
        <w:t>s</w:t>
      </w:r>
      <w:r>
        <w:t>ta que desechó el “Sector 85" y que, según Toranzo, fue aportada por el comisario general Verón.</w:t>
      </w:r>
    </w:p>
    <w:p w:rsidR="00224567" w:rsidRDefault="00224567">
      <w:pPr>
        <w:widowControl w:val="0"/>
        <w:tabs>
          <w:tab w:val="center" w:pos="0"/>
        </w:tabs>
        <w:rPr>
          <w:highlight w:val="yellow"/>
        </w:rPr>
      </w:pPr>
      <w:r>
        <w:tab/>
        <w:t>Las pruebas que habrán de reseñarse seguidamente, por su contundencia, permiten al Tribunal sostener, sin margen de duda, que el pago que recibió T</w:t>
      </w:r>
      <w:r>
        <w:t>e</w:t>
      </w:r>
      <w:r>
        <w:t>lleldín, en manos de Boragni, fue para involucrar a los pol</w:t>
      </w:r>
      <w:r>
        <w:t>i</w:t>
      </w:r>
      <w:r>
        <w:t>cías en el atentado.</w:t>
      </w:r>
    </w:p>
    <w:p w:rsidR="00224567" w:rsidRDefault="00224567">
      <w:pPr>
        <w:widowControl w:val="0"/>
        <w:tabs>
          <w:tab w:val="center" w:pos="-1080"/>
        </w:tabs>
      </w:pPr>
      <w:r>
        <w:tab/>
        <w:t>Así, surge con claridad que hasta el 5 de julio de 1996, fecha en que tras verificarse el pago Telleldín amplió sus dichos, no mediaba en el pr</w:t>
      </w:r>
      <w:r>
        <w:t>o</w:t>
      </w:r>
      <w:r>
        <w:t>ceso, más allá de pistas acerca de delitos comunes, indicio alguno del hecho que, según el nombrado, acaeció el 10 de julio de 1994; suceso que a juicio del Trib</w:t>
      </w:r>
      <w:r>
        <w:t>u</w:t>
      </w:r>
      <w:r>
        <w:t>nal fue el resultado de una con</w:t>
      </w:r>
      <w:r>
        <w:t>s</w:t>
      </w:r>
      <w:r>
        <w:t>trucción finalmente consensuada entre Telleldín y el juez instructor.</w:t>
      </w:r>
    </w:p>
    <w:p w:rsidR="00224567" w:rsidRDefault="00224567">
      <w:pPr>
        <w:pStyle w:val="Sangradetextonormal"/>
        <w:widowControl w:val="0"/>
        <w:ind w:firstLine="0"/>
      </w:pPr>
      <w:r>
        <w:rPr>
          <w:lang w:val="es-ES"/>
        </w:rPr>
        <w:tab/>
      </w:r>
      <w:r>
        <w:t>Es más, previo a la mentada indagat</w:t>
      </w:r>
      <w:r>
        <w:t>o</w:t>
      </w:r>
      <w:r>
        <w:t>ria de Telleldín, sólo existían en la causa dos vías, por demás endebles, para llegar al imputado Ribelli.</w:t>
      </w:r>
    </w:p>
    <w:p w:rsidR="00224567" w:rsidRDefault="00224567">
      <w:pPr>
        <w:widowControl w:val="0"/>
      </w:pPr>
      <w:r>
        <w:rPr>
          <w:lang w:val="es-ES_tradnl"/>
        </w:rPr>
        <w:tab/>
      </w:r>
      <w:r>
        <w:t>La primera estaba dada por un anón</w:t>
      </w:r>
      <w:r>
        <w:t>i</w:t>
      </w:r>
      <w:r>
        <w:t>mo.</w:t>
      </w:r>
    </w:p>
    <w:p w:rsidR="00224567" w:rsidRDefault="00224567">
      <w:pPr>
        <w:widowControl w:val="0"/>
      </w:pPr>
      <w:r>
        <w:tab/>
        <w:t>En efecto, consta a fs. 37.721 un i</w:t>
      </w:r>
      <w:r>
        <w:t>n</w:t>
      </w:r>
      <w:r>
        <w:t xml:space="preserve">forme de </w:t>
      </w:r>
      <w:smartTag w:uri="urn:schemas-microsoft-com:office:smarttags" w:element="PersonName">
        <w:smartTagPr>
          <w:attr w:name="ProductID" w:val="la Dra. Mar￭a"/>
        </w:smartTagPr>
        <w:r>
          <w:t>la Dra. María</w:t>
        </w:r>
      </w:smartTag>
      <w:r>
        <w:t xml:space="preserve"> Susana Spina, secretaria del juzg</w:t>
      </w:r>
      <w:r>
        <w:t>a</w:t>
      </w:r>
      <w:r>
        <w:t xml:space="preserve">do, del 26 de diciembre de 1995, por el que hace saber al juez lo siguiente: </w:t>
      </w:r>
      <w:r>
        <w:rPr>
          <w:b/>
        </w:rPr>
        <w:t>“</w:t>
      </w:r>
      <w:r>
        <w:t>que recibí un llamado telefónico de una persona que no se identificó, quien manifestó que ad</w:t>
      </w:r>
      <w:r>
        <w:t>e</w:t>
      </w:r>
      <w:r>
        <w:t xml:space="preserve">más de lo publicado en el diario ‘Página </w:t>
      </w:r>
      <w:smartTag w:uri="urn:schemas-microsoft-com:office:smarttags" w:element="metricconverter">
        <w:smartTagPr>
          <w:attr w:name="ProductID" w:val="12’"/>
        </w:smartTagPr>
        <w:r>
          <w:t>12’</w:t>
        </w:r>
      </w:smartTag>
      <w:r>
        <w:t xml:space="preserve"> del día de la fecha, también debía investigarse a los Policías de </w:t>
      </w:r>
      <w:smartTag w:uri="urn:schemas-microsoft-com:office:smarttags" w:element="PersonName">
        <w:smartTagPr>
          <w:attr w:name="ProductID" w:val="la Pcia."/>
        </w:smartTagPr>
        <w:r>
          <w:t>la Pcia.</w:t>
        </w:r>
      </w:smartTag>
      <w:r>
        <w:t xml:space="preserve"> de Buenos Aires VALENZUELA Y RIVELLI. El primero, por haber entregado </w:t>
      </w:r>
      <w:smartTag w:uri="urn:schemas-microsoft-com:office:smarttags" w:element="PersonName">
        <w:smartTagPr>
          <w:attr w:name="ProductID" w:val="la Traffic"/>
        </w:smartTagPr>
        <w:r>
          <w:t>la Traffic</w:t>
        </w:r>
      </w:smartTag>
      <w:r>
        <w:t xml:space="preserve"> a Leal y el segundo, por pertenecer a </w:t>
      </w:r>
      <w:smartTag w:uri="urn:schemas-microsoft-com:office:smarttags" w:element="PersonName">
        <w:smartTagPr>
          <w:attr w:name="ProductID" w:val="la Brigadas"/>
        </w:smartTagPr>
        <w:r>
          <w:t>la Brigadas</w:t>
        </w:r>
      </w:smartTag>
      <w:r>
        <w:t xml:space="preserve"> de L</w:t>
      </w:r>
      <w:r>
        <w:t>a</w:t>
      </w:r>
      <w:r>
        <w:t>nús</w:t>
      </w:r>
      <w:r>
        <w:rPr>
          <w:b/>
        </w:rPr>
        <w:t>”</w:t>
      </w:r>
      <w:r>
        <w:t>.</w:t>
      </w:r>
    </w:p>
    <w:p w:rsidR="00224567" w:rsidRDefault="00224567">
      <w:pPr>
        <w:widowControl w:val="0"/>
      </w:pPr>
      <w:r>
        <w:tab/>
        <w:t>La segunda, por los dichos de Gustavo Semorile de junio de 1996. Sobre el particular, cabe rem</w:t>
      </w:r>
      <w:r>
        <w:t>i</w:t>
      </w:r>
      <w:r>
        <w:t>tir, por razón de brevedad, a la po</w:t>
      </w:r>
      <w:r>
        <w:t>n</w:t>
      </w:r>
      <w:r>
        <w:t>deración que de ellos se efectúo en párrafos ant</w:t>
      </w:r>
      <w:r>
        <w:t>e</w:t>
      </w:r>
      <w:r>
        <w:t>riores.</w:t>
      </w:r>
    </w:p>
    <w:p w:rsidR="00224567" w:rsidRDefault="00224567">
      <w:pPr>
        <w:widowControl w:val="0"/>
      </w:pPr>
      <w:r>
        <w:tab/>
        <w:t>Cuadra destacar aquí que pese a la trasce</w:t>
      </w:r>
      <w:r>
        <w:t>n</w:t>
      </w:r>
      <w:r>
        <w:t>dencia del hecho del que daba cuenta el anónimo, en orden al policía Valenzuela, el juzgado no lo investigó con la intensidad y minuciosidad empleada respecto de R</w:t>
      </w:r>
      <w:r>
        <w:t>i</w:t>
      </w:r>
      <w:r>
        <w:t>belli, a pesar de que sobre él caía la imputación más gr</w:t>
      </w:r>
      <w:r>
        <w:t>a</w:t>
      </w:r>
      <w:r>
        <w:t>ve.</w:t>
      </w:r>
    </w:p>
    <w:p w:rsidR="00224567" w:rsidRDefault="00224567">
      <w:pPr>
        <w:widowControl w:val="0"/>
      </w:pPr>
      <w:r>
        <w:tab/>
        <w:t xml:space="preserve">Sólo consta en el proceso que en </w:t>
      </w:r>
      <w:r>
        <w:rPr>
          <w:bCs/>
        </w:rPr>
        <w:t>ago</w:t>
      </w:r>
      <w:r>
        <w:rPr>
          <w:bCs/>
        </w:rPr>
        <w:t>s</w:t>
      </w:r>
      <w:r>
        <w:rPr>
          <w:bCs/>
        </w:rPr>
        <w:t>to de 1996</w:t>
      </w:r>
      <w:r>
        <w:rPr>
          <w:b/>
        </w:rPr>
        <w:t xml:space="preserve">, </w:t>
      </w:r>
      <w:r>
        <w:t>fecha en la que ya</w:t>
      </w:r>
      <w:r>
        <w:rPr>
          <w:b/>
        </w:rPr>
        <w:t xml:space="preserve"> </w:t>
      </w:r>
      <w:r>
        <w:t>estaba detenido Ribelli, otro policía -Claudio Ariel Fernández- dijo en una decl</w:t>
      </w:r>
      <w:r>
        <w:t>a</w:t>
      </w:r>
      <w:r>
        <w:t>ración testimonial que recibió un llamado telefónico que daba cuenta que Anastasio Leal le había enviado un mensaje a un suboficial Valenzuela, recome</w:t>
      </w:r>
      <w:r>
        <w:t>n</w:t>
      </w:r>
      <w:r>
        <w:t>dándole que se cuidara y “borrara” (fs. 41.458).</w:t>
      </w:r>
    </w:p>
    <w:p w:rsidR="00224567" w:rsidRDefault="00224567">
      <w:pPr>
        <w:widowControl w:val="0"/>
      </w:pPr>
      <w:r>
        <w:tab/>
        <w:t>Ello originó que el comisario Vacc</w:t>
      </w:r>
      <w:r>
        <w:t>a</w:t>
      </w:r>
      <w:r>
        <w:t>rezza realizara una serie de medidas en ese sentido, fo</w:t>
      </w:r>
      <w:r>
        <w:t>r</w:t>
      </w:r>
      <w:r>
        <w:t>mándose un legajo, cuya reserva se dispuso el 29 de oct</w:t>
      </w:r>
      <w:r>
        <w:t>u</w:t>
      </w:r>
      <w:r>
        <w:t>bre de 1998 (fs. 48.592).</w:t>
      </w:r>
    </w:p>
    <w:p w:rsidR="00224567" w:rsidRDefault="00224567">
      <w:pPr>
        <w:widowControl w:val="0"/>
      </w:pPr>
      <w:r>
        <w:tab/>
      </w:r>
      <w:r>
        <w:tab/>
        <w:t>En orden a la vinculación de Ribelli al pr</w:t>
      </w:r>
      <w:r>
        <w:t>o</w:t>
      </w:r>
      <w:r>
        <w:t>ceso, el abogado de la querella A.M.I.A., D.A.I.A. y Grupo de Familiares, Dr. Juan José Ávila, al momento de replicar los argumentos de las defensas, sostuvo, de modo textual, lo que a continuación se transcribe: “No es esa llamada anónima la que hace i</w:t>
      </w:r>
      <w:r>
        <w:t>n</w:t>
      </w:r>
      <w:r>
        <w:t>gresar a Ribelli a la causa, éste había ingresado, aunque sin su nombre todavía, cua</w:t>
      </w:r>
      <w:r>
        <w:t>n</w:t>
      </w:r>
      <w:r>
        <w:t>do Telleldín omitió durante meses hablar de la brigada de L</w:t>
      </w:r>
      <w:r>
        <w:t>a</w:t>
      </w:r>
      <w:r>
        <w:t>nús. Había ingresado, como dije antes, cuando Brestschne</w:t>
      </w:r>
      <w:r>
        <w:t>i</w:t>
      </w:r>
      <w:r>
        <w:t>der envió fotos de los policías de Lanús, aunque om</w:t>
      </w:r>
      <w:r>
        <w:t>i</w:t>
      </w:r>
      <w:r>
        <w:t>tiera la suya y, fundamentalmente, había ingresado de manera o</w:t>
      </w:r>
      <w:r>
        <w:t>b</w:t>
      </w:r>
      <w:r>
        <w:t>jetiva e irremediable desde hacía mucho tiempo, al solic</w:t>
      </w:r>
      <w:r>
        <w:t>i</w:t>
      </w:r>
      <w:r>
        <w:t>tarse el listado de llamadas del celular que utilizaba T</w:t>
      </w:r>
      <w:r>
        <w:t>e</w:t>
      </w:r>
      <w:r>
        <w:t>lleldín, ya habían aparecido los teléfonos celulares del Sr. Ribelli. Tan temprano que esto figura a fs. 7880, en el cuerpo 40 de la causa principal. En efecto en los ll</w:t>
      </w:r>
      <w:r>
        <w:t>a</w:t>
      </w:r>
      <w:r>
        <w:t xml:space="preserve">mados de la línea 478-7685, se consigna el llamado </w:t>
      </w:r>
      <w:r>
        <w:rPr>
          <w:bCs/>
        </w:rPr>
        <w:t>desde el celular 440-</w:t>
      </w:r>
      <w:smartTag w:uri="urn:schemas-microsoft-com:office:smarttags" w:element="metricconverter">
        <w:smartTagPr>
          <w:attr w:name="ProductID" w:val="6746, a"/>
        </w:smartTagPr>
        <w:r>
          <w:rPr>
            <w:bCs/>
          </w:rPr>
          <w:t>6746,</w:t>
        </w:r>
        <w:r>
          <w:t xml:space="preserve"> a</w:t>
        </w:r>
      </w:smartTag>
      <w:r>
        <w:t xml:space="preserve"> nombre de Ribelli y que éste util</w:t>
      </w:r>
      <w:r>
        <w:t>i</w:t>
      </w:r>
      <w:r>
        <w:t>zaba personalmente”.</w:t>
      </w:r>
    </w:p>
    <w:p w:rsidR="00224567" w:rsidRDefault="00224567">
      <w:pPr>
        <w:widowControl w:val="0"/>
        <w:rPr>
          <w:lang w:val="es-AR"/>
        </w:rPr>
      </w:pPr>
      <w:r>
        <w:tab/>
      </w:r>
      <w:r>
        <w:rPr>
          <w:lang w:val="es-AR"/>
        </w:rPr>
        <w:t>Como se dijo más arriba, concuerda el Tr</w:t>
      </w:r>
      <w:r>
        <w:rPr>
          <w:lang w:val="es-AR"/>
        </w:rPr>
        <w:t>i</w:t>
      </w:r>
      <w:r>
        <w:rPr>
          <w:lang w:val="es-AR"/>
        </w:rPr>
        <w:t xml:space="preserve">bunal con el abogado de la querella en cuanto a que no fue el anónimo, del que informó </w:t>
      </w:r>
      <w:smartTag w:uri="urn:schemas-microsoft-com:office:smarttags" w:element="PersonName">
        <w:smartTagPr>
          <w:attr w:name="ProductID" w:val="la Dra. Spina"/>
        </w:smartTagPr>
        <w:r>
          <w:rPr>
            <w:lang w:val="es-AR"/>
          </w:rPr>
          <w:t>la Dra. Spina</w:t>
        </w:r>
      </w:smartTag>
      <w:r>
        <w:rPr>
          <w:lang w:val="es-AR"/>
        </w:rPr>
        <w:t xml:space="preserve"> a fs. 37.721, el que hizo ingresar a R</w:t>
      </w:r>
      <w:r>
        <w:rPr>
          <w:lang w:val="es-AR"/>
        </w:rPr>
        <w:t>i</w:t>
      </w:r>
      <w:r>
        <w:rPr>
          <w:lang w:val="es-AR"/>
        </w:rPr>
        <w:t>belli al proceso.</w:t>
      </w:r>
    </w:p>
    <w:p w:rsidR="00224567" w:rsidRDefault="00224567">
      <w:pPr>
        <w:widowControl w:val="0"/>
        <w:rPr>
          <w:lang w:val="es-AR"/>
        </w:rPr>
      </w:pPr>
      <w:r>
        <w:rPr>
          <w:lang w:val="es-AR"/>
        </w:rPr>
        <w:tab/>
        <w:t>Cabe discrepar, empero, acerca de la forma en que el Dr. Ávila, insistió, en que se vinculó a Ribelli con Telleldín en la causa.</w:t>
      </w:r>
    </w:p>
    <w:p w:rsidR="00224567" w:rsidRDefault="00224567">
      <w:pPr>
        <w:widowControl w:val="0"/>
      </w:pPr>
      <w:r>
        <w:rPr>
          <w:lang w:val="es-AR"/>
        </w:rPr>
        <w:tab/>
        <w:t>No se logra comprender como un acto de carácter positivo, como el que trasunta el verbo “ingr</w:t>
      </w:r>
      <w:r>
        <w:rPr>
          <w:lang w:val="es-AR"/>
        </w:rPr>
        <w:t>e</w:t>
      </w:r>
      <w:r>
        <w:rPr>
          <w:lang w:val="es-AR"/>
        </w:rPr>
        <w:t>sar”, empleado por el acusador, puede resultar de dos om</w:t>
      </w:r>
      <w:r>
        <w:rPr>
          <w:lang w:val="es-AR"/>
        </w:rPr>
        <w:t>i</w:t>
      </w:r>
      <w:r>
        <w:rPr>
          <w:lang w:val="es-AR"/>
        </w:rPr>
        <w:t>siones. La primera la no mención de Telleldín del nombre de Ribelli y, la segunda, el no envío de la foto de éste último por parte del c</w:t>
      </w:r>
      <w:r>
        <w:rPr>
          <w:lang w:val="es-AR"/>
        </w:rPr>
        <w:t>o</w:t>
      </w:r>
      <w:r>
        <w:rPr>
          <w:lang w:val="es-AR"/>
        </w:rPr>
        <w:t xml:space="preserve">misario mayor </w:t>
      </w:r>
      <w:r>
        <w:t>Brestschneider.</w:t>
      </w:r>
    </w:p>
    <w:p w:rsidR="00224567" w:rsidRDefault="00224567">
      <w:pPr>
        <w:widowControl w:val="0"/>
      </w:pPr>
      <w:r>
        <w:tab/>
        <w:t>Hasta aquí la argumentación del letr</w:t>
      </w:r>
      <w:r>
        <w:t>a</w:t>
      </w:r>
      <w:r>
        <w:t>do r</w:t>
      </w:r>
      <w:r>
        <w:t>e</w:t>
      </w:r>
      <w:r>
        <w:t>sulta incoherente e ininteligible.</w:t>
      </w:r>
    </w:p>
    <w:p w:rsidR="00224567" w:rsidRDefault="00224567">
      <w:pPr>
        <w:widowControl w:val="0"/>
      </w:pPr>
      <w:r>
        <w:tab/>
        <w:t>En cambio, mayor gravedad revi</w:t>
      </w:r>
      <w:r>
        <w:t>s</w:t>
      </w:r>
      <w:r>
        <w:t>te, por cuanto modifica la sustancia de la prueba, no su interpr</w:t>
      </w:r>
      <w:r>
        <w:t>e</w:t>
      </w:r>
      <w:r>
        <w:t>tación, llevando a una peligrosa confusión, las categór</w:t>
      </w:r>
      <w:r>
        <w:t>i</w:t>
      </w:r>
      <w:r>
        <w:t>cas afirmaciones que realiza en orden a los teléfonos c</w:t>
      </w:r>
      <w:r>
        <w:t>e</w:t>
      </w:r>
      <w:r>
        <w:t>lulares de Telleldín y Rib</w:t>
      </w:r>
      <w:r>
        <w:t>e</w:t>
      </w:r>
      <w:r>
        <w:t>lli.</w:t>
      </w:r>
    </w:p>
    <w:p w:rsidR="00224567" w:rsidRDefault="00224567">
      <w:pPr>
        <w:widowControl w:val="0"/>
      </w:pPr>
      <w:r>
        <w:tab/>
        <w:t>A fs. 7861, el 22 de diciembre de 1994, el juez Galeano requirió a la empresa “Mini</w:t>
      </w:r>
      <w:r>
        <w:t>p</w:t>
      </w:r>
      <w:r>
        <w:t xml:space="preserve">hone” el listado de llamadas </w:t>
      </w:r>
      <w:r>
        <w:rPr>
          <w:bCs/>
        </w:rPr>
        <w:t>efectuadas</w:t>
      </w:r>
      <w:r>
        <w:t xml:space="preserve"> por el abonado </w:t>
      </w:r>
      <w:r>
        <w:rPr>
          <w:bCs/>
        </w:rPr>
        <w:t>478-7685, desde el mes de enero de 1994 hasta julio del mismo año. El 9 de enero de 1995 (fs. 7892), la empresa remitió la información solicitada, adjuntando treinta hojas donde constan las llamadas salientes. En la nº 9 consta una ll</w:t>
      </w:r>
      <w:r>
        <w:rPr>
          <w:bCs/>
        </w:rPr>
        <w:t>a</w:t>
      </w:r>
      <w:r>
        <w:rPr>
          <w:bCs/>
        </w:rPr>
        <w:t>mada efectuada, el 4 de abril de 1994, al nº 440-6746.</w:t>
      </w:r>
    </w:p>
    <w:p w:rsidR="00224567" w:rsidRDefault="00224567">
      <w:pPr>
        <w:widowControl w:val="0"/>
      </w:pPr>
      <w:r>
        <w:tab/>
        <w:t>Surge de la prueba colectada que el teléfono celular 478-</w:t>
      </w:r>
      <w:smartTag w:uri="urn:schemas-microsoft-com:office:smarttags" w:element="metricconverter">
        <w:smartTagPr>
          <w:attr w:name="ProductID" w:val="7685, a"/>
        </w:smartTagPr>
        <w:r>
          <w:t>7685, a</w:t>
        </w:r>
      </w:smartTag>
      <w:r>
        <w:t xml:space="preserve"> nombre de Lo Preiato, fue usado, hasta su baja por falta de pago, por Carlos Telle</w:t>
      </w:r>
      <w:r>
        <w:t>l</w:t>
      </w:r>
      <w:r>
        <w:t>dín.</w:t>
      </w:r>
    </w:p>
    <w:p w:rsidR="00224567" w:rsidRDefault="00224567">
      <w:pPr>
        <w:widowControl w:val="0"/>
      </w:pPr>
      <w:r>
        <w:tab/>
        <w:t>El 9 de mayo de 1996, el Sr. juez f</w:t>
      </w:r>
      <w:r>
        <w:t>e</w:t>
      </w:r>
      <w:r>
        <w:t>deral solicitó a las empresas “Movicom”,  “CTI”  y  “Min</w:t>
      </w:r>
      <w:r>
        <w:t>i</w:t>
      </w:r>
      <w:r>
        <w:t>phone”, informen: “si el Sr. Juan José Ribelli fue o es titular de alguna línea telefónica. En caso afirmativo, número asi</w:t>
      </w:r>
      <w:r>
        <w:t>g</w:t>
      </w:r>
      <w:r>
        <w:t>nado y fecha de solicitud, como así también se remita detalle de llamadas salientes y e</w:t>
      </w:r>
      <w:r>
        <w:t>n</w:t>
      </w:r>
      <w:r>
        <w:t>trantes desde la apertura de la cuenta hasta la actu</w:t>
      </w:r>
      <w:r>
        <w:t>a</w:t>
      </w:r>
      <w:r>
        <w:t>lidad” (fs. 38.045).</w:t>
      </w:r>
    </w:p>
    <w:p w:rsidR="00224567" w:rsidRDefault="00224567">
      <w:pPr>
        <w:widowControl w:val="0"/>
      </w:pPr>
      <w:r>
        <w:tab/>
        <w:t>La empresa “Movicom” respondió media</w:t>
      </w:r>
      <w:r>
        <w:t>n</w:t>
      </w:r>
      <w:r>
        <w:t>te nota, recibida en secretaría el 24 mayo de 1996 (fs. 38.221/38.222), haciendo saber que Juan José Ribelli era titular, entre otras, de la línea 440-6746, desde el 10 de enero de 1991.</w:t>
      </w:r>
    </w:p>
    <w:p w:rsidR="00224567" w:rsidRDefault="00224567">
      <w:pPr>
        <w:widowControl w:val="0"/>
      </w:pPr>
      <w:r>
        <w:tab/>
        <w:t xml:space="preserve">Queda evidenciado de tal modo que el juzgado desconocía en enero de </w:t>
      </w:r>
      <w:smartTag w:uri="urn:schemas-microsoft-com:office:smarttags" w:element="metricconverter">
        <w:smartTagPr>
          <w:attr w:name="ProductID" w:val="1995 a"/>
        </w:smartTagPr>
        <w:r>
          <w:t>1995 a</w:t>
        </w:r>
      </w:smartTag>
      <w:r>
        <w:t xml:space="preserve"> quien pe</w:t>
      </w:r>
      <w:r>
        <w:t>r</w:t>
      </w:r>
      <w:r>
        <w:t>tenecía la línea 440-6746 y que ninguna gestión realizó para aver</w:t>
      </w:r>
      <w:r>
        <w:t>i</w:t>
      </w:r>
      <w:r>
        <w:t>guar quien era su titular. Puede concluirse, e</w:t>
      </w:r>
      <w:r>
        <w:t>n</w:t>
      </w:r>
      <w:r>
        <w:t>tonces, que el ingreso a la causa de Ribelli no se produjo en el m</w:t>
      </w:r>
      <w:r>
        <w:t>o</w:t>
      </w:r>
      <w:r>
        <w:t>mento que el Dr. Ávila indicó.</w:t>
      </w:r>
    </w:p>
    <w:p w:rsidR="00224567" w:rsidRDefault="00224567">
      <w:pPr>
        <w:widowControl w:val="0"/>
      </w:pPr>
      <w:r>
        <w:tab/>
        <w:t>Corrobora lo expuesto la circunsta</w:t>
      </w:r>
      <w:r>
        <w:t>n</w:t>
      </w:r>
      <w:r>
        <w:t>cia de que el juez instructor recién requirió i</w:t>
      </w:r>
      <w:r>
        <w:t>n</w:t>
      </w:r>
      <w:r>
        <w:t>formes, a las empresas prestatarias de telefonía celular, acerca de si Juan José Ribelli había contratado ese tipo de servicio, recién en mayo de 1996, formada  ya  la  ca</w:t>
      </w:r>
      <w:r>
        <w:t>u</w:t>
      </w:r>
      <w:r>
        <w:t>sa  nº  1598  -brigadas- y próxima la detención del nombrado.</w:t>
      </w:r>
    </w:p>
    <w:p w:rsidR="00224567" w:rsidRDefault="00224567">
      <w:pPr>
        <w:widowControl w:val="0"/>
        <w:tabs>
          <w:tab w:val="left" w:pos="0"/>
        </w:tabs>
      </w:pPr>
      <w:r>
        <w:tab/>
        <w:t>Por ello son inexactas las afirmaci</w:t>
      </w:r>
      <w:r>
        <w:t>o</w:t>
      </w:r>
      <w:r>
        <w:t>nes del Dr. Ávila, sobre todo cuando refiere que la l</w:t>
      </w:r>
      <w:r>
        <w:t>í</w:t>
      </w:r>
      <w:r>
        <w:t>nea 478-7685 “consigna el llamado desde el celular 440-</w:t>
      </w:r>
      <w:smartTag w:uri="urn:schemas-microsoft-com:office:smarttags" w:element="metricconverter">
        <w:smartTagPr>
          <w:attr w:name="ProductID" w:val="6746, a"/>
        </w:smartTagPr>
        <w:r>
          <w:t>6746, a</w:t>
        </w:r>
      </w:smartTag>
      <w:r>
        <w:t xml:space="preserve"> nombre de Ribelli”, dado que ello fue al revés y en el i</w:t>
      </w:r>
      <w:r>
        <w:t>n</w:t>
      </w:r>
      <w:r>
        <w:t>forme de “Miniphone” de fs. 7892, no se consignó, como p</w:t>
      </w:r>
      <w:r>
        <w:t>a</w:t>
      </w:r>
      <w:r>
        <w:t>rece desprenderse de los dichos del l</w:t>
      </w:r>
      <w:r>
        <w:t>e</w:t>
      </w:r>
      <w:r>
        <w:t>trado, el nombre del procesado. El detalle no es menor por cuanto se da a e</w:t>
      </w:r>
      <w:r>
        <w:t>n</w:t>
      </w:r>
      <w:r>
        <w:t>tender que Ribelli fue identificado en 1994, cuando, en realidad, sólo mediaba en la causa su teléfono, en una lista, entre muchísimos otros, sin que ninguna medida se dispusiera en ese se</w:t>
      </w:r>
      <w:r>
        <w:t>n</w:t>
      </w:r>
      <w:r>
        <w:t>tido.</w:t>
      </w:r>
    </w:p>
    <w:p w:rsidR="00224567" w:rsidRDefault="00224567">
      <w:pPr>
        <w:widowControl w:val="0"/>
        <w:tabs>
          <w:tab w:val="left" w:pos="0"/>
        </w:tabs>
      </w:pPr>
      <w:r>
        <w:rPr>
          <w:b/>
          <w:bCs/>
        </w:rPr>
        <w:tab/>
        <w:t>G.2)</w:t>
      </w:r>
      <w:r>
        <w:t xml:space="preserve"> A fs. 110.548 luce el oficio r</w:t>
      </w:r>
      <w:r>
        <w:t>e</w:t>
      </w:r>
      <w:r>
        <w:t>mitido por el Director Nacional del Servicio Penite</w:t>
      </w:r>
      <w:r>
        <w:t>n</w:t>
      </w:r>
      <w:r>
        <w:t>ciario Federal, mediante el cual adjunta el i</w:t>
      </w:r>
      <w:r>
        <w:t>n</w:t>
      </w:r>
      <w:r>
        <w:t xml:space="preserve">forme del director de </w:t>
      </w:r>
      <w:smartTag w:uri="urn:schemas-microsoft-com:office:smarttags" w:element="PersonName">
        <w:smartTagPr>
          <w:attr w:name="ProductID" w:val="la Alcaid￭a Penal"/>
        </w:smartTagPr>
        <w:r>
          <w:t>la A</w:t>
        </w:r>
        <w:r>
          <w:t>l</w:t>
        </w:r>
        <w:r>
          <w:t>caidía Penal</w:t>
        </w:r>
      </w:smartTag>
      <w:r>
        <w:t xml:space="preserve"> Federal -U.29- (fs. 110.547), por el cual se hace saber que el interno Carlos Alberto Telle</w:t>
      </w:r>
      <w:r>
        <w:t>l</w:t>
      </w:r>
      <w:r>
        <w:t xml:space="preserve">dín, el 10 de abril de 1996, fue conducido en comparendo desde esa alcaidía al Juzgado Nacional en lo Criminal y Correccional Federal nº 9, Secretaría nº </w:t>
      </w:r>
      <w:smartTag w:uri="urn:schemas-microsoft-com:office:smarttags" w:element="metricconverter">
        <w:smartTagPr>
          <w:attr w:name="ProductID" w:val="17 a"/>
        </w:smartTagPr>
        <w:r>
          <w:t>17 a</w:t>
        </w:r>
      </w:smartTag>
      <w:r>
        <w:t xml:space="preserve"> las 12.20 hs. y reint</w:t>
      </w:r>
      <w:r>
        <w:t>e</w:t>
      </w:r>
      <w:r>
        <w:t>grado a las 15 hs.</w:t>
      </w:r>
    </w:p>
    <w:p w:rsidR="00224567" w:rsidRDefault="00224567">
      <w:pPr>
        <w:widowControl w:val="0"/>
        <w:tabs>
          <w:tab w:val="center" w:pos="0"/>
        </w:tabs>
      </w:pPr>
      <w:r>
        <w:tab/>
        <w:t>En la primera de las reuniones con el juez, documentada mediante la videocinta del 10 de abril de 1996, se observa a Telleldín en el despacho del Dr. Juan José Galeano, en un marco de informalidad y confia</w:t>
      </w:r>
      <w:r>
        <w:t>n</w:t>
      </w:r>
      <w:r>
        <w:t>za, abarcando la conversación diversos aspectos de la ca</w:t>
      </w:r>
      <w:r>
        <w:t>u</w:t>
      </w:r>
      <w:r>
        <w:t>sa y de cada uno de los sucesos investig</w:t>
      </w:r>
      <w:r>
        <w:t>a</w:t>
      </w:r>
      <w:r>
        <w:t>dos.</w:t>
      </w:r>
    </w:p>
    <w:p w:rsidR="00224567" w:rsidRDefault="00224567">
      <w:pPr>
        <w:widowControl w:val="0"/>
        <w:tabs>
          <w:tab w:val="center" w:pos="0"/>
        </w:tabs>
      </w:pPr>
      <w:r>
        <w:tab/>
        <w:t>En esa situación, el detenido brinda al magistrado información acerca de los posibles test</w:t>
      </w:r>
      <w:r>
        <w:t>i</w:t>
      </w:r>
      <w:r>
        <w:t>gos, llegando este último a consultarlo respecto de la conv</w:t>
      </w:r>
      <w:r>
        <w:t>e</w:t>
      </w:r>
      <w:r>
        <w:t>niencia de reservar la identidad de uno de ellos para que d</w:t>
      </w:r>
      <w:r>
        <w:t>e</w:t>
      </w:r>
      <w:r>
        <w:t>clare.</w:t>
      </w:r>
    </w:p>
    <w:p w:rsidR="00224567" w:rsidRDefault="00224567">
      <w:pPr>
        <w:widowControl w:val="0"/>
        <w:tabs>
          <w:tab w:val="center" w:pos="0"/>
        </w:tabs>
      </w:pPr>
      <w:r>
        <w:tab/>
        <w:t>Luego se ve cuando le exhiben a T</w:t>
      </w:r>
      <w:r>
        <w:t>e</w:t>
      </w:r>
      <w:r>
        <w:t>lleldín diversos álbumes de fotografías, acerca de los cuales es interrogado, observándose en ese momento la pr</w:t>
      </w:r>
      <w:r>
        <w:t>e</w:t>
      </w:r>
      <w:r>
        <w:t>sencia de funcionarios del juzgado, e</w:t>
      </w:r>
      <w:r>
        <w:t>n</w:t>
      </w:r>
      <w:r>
        <w:t>tre los que se puede identificar a los Dres. María Susana Spina, Javier De G</w:t>
      </w:r>
      <w:r>
        <w:t>a</w:t>
      </w:r>
      <w:r>
        <w:t>mas y José Pereyra.</w:t>
      </w:r>
    </w:p>
    <w:p w:rsidR="00224567" w:rsidRDefault="00224567">
      <w:pPr>
        <w:widowControl w:val="0"/>
        <w:tabs>
          <w:tab w:val="center" w:pos="0"/>
        </w:tabs>
      </w:pPr>
      <w:r>
        <w:tab/>
        <w:t>Ilustra acerca de cuanto se viene d</w:t>
      </w:r>
      <w:r>
        <w:t>i</w:t>
      </w:r>
      <w:r>
        <w:t>ciendo, con relación al marco de inusual confianza en el que se llevó a cabo plática, el siguiente di</w:t>
      </w:r>
      <w:r>
        <w:t>á</w:t>
      </w:r>
      <w:r>
        <w:t>logo:</w:t>
      </w:r>
    </w:p>
    <w:p w:rsidR="00224567" w:rsidRDefault="00224567">
      <w:pPr>
        <w:widowControl w:val="0"/>
      </w:pPr>
      <w:r>
        <w:t>...</w:t>
      </w:r>
    </w:p>
    <w:p w:rsidR="00224567" w:rsidRDefault="00224567">
      <w:pPr>
        <w:widowControl w:val="0"/>
      </w:pPr>
      <w:r>
        <w:t>T: ese 18... no, no, que febrero, si yo ese, lo entr</w:t>
      </w:r>
      <w:r>
        <w:t>e</w:t>
      </w:r>
      <w:r>
        <w:t>go... a principios de abril lo entrego, y lo habré comprado en marzo, claro... marzo, ahí en esa época.</w:t>
      </w:r>
    </w:p>
    <w:p w:rsidR="00224567" w:rsidRDefault="00224567">
      <w:pPr>
        <w:widowControl w:val="0"/>
      </w:pPr>
      <w:r>
        <w:t>G: (I) ¿qué color era?</w:t>
      </w:r>
    </w:p>
    <w:p w:rsidR="00224567" w:rsidRDefault="00224567">
      <w:pPr>
        <w:widowControl w:val="0"/>
      </w:pPr>
      <w:r>
        <w:t>T: un verde aceituna, y en la carrocería...</w:t>
      </w:r>
    </w:p>
    <w:p w:rsidR="00224567" w:rsidRDefault="00224567">
      <w:pPr>
        <w:widowControl w:val="0"/>
      </w:pPr>
      <w:r>
        <w:t>G: ¿89, 90?</w:t>
      </w:r>
    </w:p>
    <w:p w:rsidR="00224567" w:rsidRDefault="00224567">
      <w:pPr>
        <w:widowControl w:val="0"/>
      </w:pPr>
      <w:r>
        <w:t>T: si, y la carrocería era de un comandante de Fuerza A</w:t>
      </w:r>
      <w:r>
        <w:t>é</w:t>
      </w:r>
      <w:r>
        <w:t>rea.</w:t>
      </w:r>
    </w:p>
    <w:p w:rsidR="00224567" w:rsidRDefault="00224567">
      <w:pPr>
        <w:widowControl w:val="0"/>
      </w:pPr>
      <w:r>
        <w:t>G: (I)</w:t>
      </w:r>
    </w:p>
    <w:p w:rsidR="00224567" w:rsidRDefault="00224567">
      <w:pPr>
        <w:widowControl w:val="0"/>
      </w:pPr>
      <w:r>
        <w:t>T: claro (I) se le cambió carrocería. Todo lo mismo, igual, todo</w:t>
      </w:r>
    </w:p>
    <w:p w:rsidR="00224567" w:rsidRDefault="00224567">
      <w:pPr>
        <w:widowControl w:val="0"/>
      </w:pPr>
      <w:r>
        <w:t>G: y ese tenía eh...</w:t>
      </w:r>
    </w:p>
    <w:p w:rsidR="00224567" w:rsidRDefault="00224567">
      <w:pPr>
        <w:widowControl w:val="0"/>
      </w:pPr>
      <w:r>
        <w:t>T: ¿no me la vas a agravar más?</w:t>
      </w:r>
    </w:p>
    <w:p w:rsidR="00224567" w:rsidRDefault="00224567">
      <w:pPr>
        <w:widowControl w:val="0"/>
      </w:pPr>
      <w:r>
        <w:t>G: no boludo, chapa... ¿cuál?</w:t>
      </w:r>
    </w:p>
    <w:p w:rsidR="00224567" w:rsidRDefault="00224567">
      <w:pPr>
        <w:widowControl w:val="0"/>
      </w:pPr>
      <w:r>
        <w:t>T: chapa... “B” creo</w:t>
      </w:r>
    </w:p>
    <w:p w:rsidR="00224567" w:rsidRDefault="00224567">
      <w:pPr>
        <w:widowControl w:val="0"/>
      </w:pPr>
      <w:r>
        <w:t>G: ¿y el otro? ¿el falcon?</w:t>
      </w:r>
    </w:p>
    <w:p w:rsidR="00224567" w:rsidRDefault="00224567">
      <w:pPr>
        <w:widowControl w:val="0"/>
      </w:pPr>
      <w:r>
        <w:t>T: el falcon...</w:t>
      </w:r>
    </w:p>
    <w:p w:rsidR="00224567" w:rsidRDefault="00224567">
      <w:pPr>
        <w:widowControl w:val="0"/>
      </w:pPr>
      <w:r>
        <w:t>...</w:t>
      </w:r>
    </w:p>
    <w:p w:rsidR="00224567" w:rsidRDefault="00224567">
      <w:pPr>
        <w:widowControl w:val="0"/>
        <w:tabs>
          <w:tab w:val="center" w:pos="0"/>
        </w:tabs>
      </w:pPr>
      <w:r>
        <w:tab/>
        <w:t>No puede soslayarse, a esta altura, que en la “reunión informal” con el Dr. Galeano, de la que ilustra el video del 10 de abril de 1996, Telleldín incu</w:t>
      </w:r>
      <w:r>
        <w:t>r</w:t>
      </w:r>
      <w:r>
        <w:t>siona en temas que aún no había expuesto en sus declar</w:t>
      </w:r>
      <w:r>
        <w:t>a</w:t>
      </w:r>
      <w:r>
        <w:t>ciones indagatorias prestadas el 6 y 7 de agosto y 29 de diciembre de 1994 y el 2 de enero, 4 de abril y 21 de o</w:t>
      </w:r>
      <w:r>
        <w:t>c</w:t>
      </w:r>
      <w:r>
        <w:t>tubre de 1995.</w:t>
      </w:r>
    </w:p>
    <w:p w:rsidR="00224567" w:rsidRDefault="00224567">
      <w:pPr>
        <w:widowControl w:val="0"/>
        <w:tabs>
          <w:tab w:val="center" w:pos="0"/>
        </w:tabs>
      </w:pPr>
      <w:r>
        <w:tab/>
        <w:t>En efecto, basta compulsarlas para a</w:t>
      </w:r>
      <w:r>
        <w:t>d</w:t>
      </w:r>
      <w:r>
        <w:t>vertir que Telleldín nada había manifestado acerca de los hechos del 15 de marzo y 4 de abril que lo tuvieron como protagonista, en tanto que había brindado una versión d</w:t>
      </w:r>
      <w:r>
        <w:t>i</w:t>
      </w:r>
      <w:r>
        <w:t>ferente con relación a lo que sucedió el 10 de julio de 1994.</w:t>
      </w:r>
    </w:p>
    <w:p w:rsidR="00224567" w:rsidRDefault="00224567">
      <w:pPr>
        <w:widowControl w:val="0"/>
        <w:tabs>
          <w:tab w:val="center" w:pos="0"/>
        </w:tabs>
      </w:pPr>
      <w:r>
        <w:tab/>
        <w:t>Cuadra resaltar que Telleldín, al e</w:t>
      </w:r>
      <w:r>
        <w:t>n</w:t>
      </w:r>
      <w:r>
        <w:t>trevistarse en 1995 con la camarista Riva Aramayo, según constancias suscriptas por el juez Galeano, también al</w:t>
      </w:r>
      <w:r>
        <w:t>u</w:t>
      </w:r>
      <w:r>
        <w:t>dió, de “manera informal”, a los sucesos del 4 de abril y 10 de julio de 1994.</w:t>
      </w:r>
    </w:p>
    <w:p w:rsidR="00224567" w:rsidRDefault="00224567">
      <w:pPr>
        <w:widowControl w:val="0"/>
        <w:tabs>
          <w:tab w:val="center" w:pos="0"/>
        </w:tabs>
      </w:pPr>
      <w:r>
        <w:tab/>
        <w:t>De lo expuesto surge patente que, al menos a partir de agosto de 1995, comenzaron a real</w:t>
      </w:r>
      <w:r>
        <w:t>i</w:t>
      </w:r>
      <w:r>
        <w:t>zarse tratativas con Telleldín, al margen de la legislación v</w:t>
      </w:r>
      <w:r>
        <w:t>i</w:t>
      </w:r>
      <w:r>
        <w:t>gente, en procura de que éste aporte a la i</w:t>
      </w:r>
      <w:r>
        <w:t>n</w:t>
      </w:r>
      <w:r>
        <w:t>vestigación lo que sabía en relación con el hecho; e</w:t>
      </w:r>
      <w:r>
        <w:t>x</w:t>
      </w:r>
      <w:r>
        <w:t>tremo que finalmente se concretó el 5 de julio de 1996.</w:t>
      </w:r>
    </w:p>
    <w:p w:rsidR="00224567" w:rsidRDefault="00224567">
      <w:pPr>
        <w:widowControl w:val="0"/>
        <w:tabs>
          <w:tab w:val="center" w:pos="0"/>
        </w:tabs>
      </w:pPr>
      <w:r>
        <w:tab/>
        <w:t>Ello no sólo surge de los dichos del propio imputado, sino también de la nota del juez instru</w:t>
      </w:r>
      <w:r>
        <w:t>c</w:t>
      </w:r>
      <w:r>
        <w:t>tor del 24 de agosto de 1995 (fs. 37.380), por la cual d</w:t>
      </w:r>
      <w:r>
        <w:t>o</w:t>
      </w:r>
      <w:r>
        <w:t>cumentó la entrevista que mantuvo con la camarista Riva Aramayo.</w:t>
      </w:r>
    </w:p>
    <w:p w:rsidR="00224567" w:rsidRDefault="00224567">
      <w:pPr>
        <w:widowControl w:val="0"/>
        <w:tabs>
          <w:tab w:val="center" w:pos="0"/>
        </w:tabs>
      </w:pPr>
      <w:r>
        <w:tab/>
        <w:t>En dicha constancia el Dr. Galeano d</w:t>
      </w:r>
      <w:r>
        <w:t>e</w:t>
      </w:r>
      <w:r>
        <w:t>jó asentado que la jueza le refirió que el detenido “</w:t>
      </w:r>
      <w:r>
        <w:rPr>
          <w:b/>
        </w:rPr>
        <w:t>co</w:t>
      </w:r>
      <w:r>
        <w:rPr>
          <w:b/>
        </w:rPr>
        <w:t>n</w:t>
      </w:r>
      <w:r>
        <w:rPr>
          <w:b/>
        </w:rPr>
        <w:t>dicionó su cooperación al cumplimiento previo de determ</w:t>
      </w:r>
      <w:r>
        <w:rPr>
          <w:b/>
        </w:rPr>
        <w:t>i</w:t>
      </w:r>
      <w:r>
        <w:rPr>
          <w:b/>
        </w:rPr>
        <w:t>nadas exigencias</w:t>
      </w:r>
      <w:r>
        <w:rPr>
          <w:b/>
          <w:bCs/>
        </w:rPr>
        <w:t xml:space="preserve"> que no le fueron precisadas</w:t>
      </w:r>
      <w:r>
        <w:t>” (la n</w:t>
      </w:r>
      <w:r>
        <w:t>e</w:t>
      </w:r>
      <w:r>
        <w:t>grita nos pertenece).</w:t>
      </w:r>
    </w:p>
    <w:p w:rsidR="00224567" w:rsidRDefault="00224567">
      <w:pPr>
        <w:widowControl w:val="0"/>
        <w:tabs>
          <w:tab w:val="center" w:pos="0"/>
        </w:tabs>
      </w:pPr>
      <w:r>
        <w:tab/>
        <w:t>Corrobora lo expuesto el conten</w:t>
      </w:r>
      <w:r>
        <w:t>i</w:t>
      </w:r>
      <w:r>
        <w:t>do de los videos obtenidos el 10 de abril y el 1° de julio de 1996, en los que habla de un libro.</w:t>
      </w:r>
    </w:p>
    <w:p w:rsidR="00224567" w:rsidRDefault="00224567">
      <w:pPr>
        <w:widowControl w:val="0"/>
        <w:tabs>
          <w:tab w:val="center" w:pos="0"/>
        </w:tabs>
      </w:pPr>
      <w:r>
        <w:tab/>
        <w:t>De modo concreto, en el primero se alude a la “venta de los derechos del libro”; en el segu</w:t>
      </w:r>
      <w:r>
        <w:t>n</w:t>
      </w:r>
      <w:r>
        <w:t>do, como se verá, surge la negociación, esto es, al modo y monto de la operación por los aludidos derechos.</w:t>
      </w:r>
    </w:p>
    <w:p w:rsidR="00224567" w:rsidRDefault="00224567">
      <w:pPr>
        <w:widowControl w:val="0"/>
        <w:tabs>
          <w:tab w:val="center" w:pos="0"/>
        </w:tabs>
      </w:pPr>
      <w:r>
        <w:tab/>
        <w:t>Por otra parte, la afectada credibil</w:t>
      </w:r>
      <w:r>
        <w:t>i</w:t>
      </w:r>
      <w:r>
        <w:t>dad de Telleldín, quien dijo haber cobrado la suma de USD 400.000 por su declaración del 5 de j</w:t>
      </w:r>
      <w:r>
        <w:t>u</w:t>
      </w:r>
      <w:r>
        <w:t>lio de 1996, en este caso se restablece, dado que el pago fue corroborado por abundante prueba testim</w:t>
      </w:r>
      <w:r>
        <w:t>o</w:t>
      </w:r>
      <w:r>
        <w:t>nial e indiciaria.</w:t>
      </w:r>
    </w:p>
    <w:p w:rsidR="00224567" w:rsidRDefault="00224567">
      <w:pPr>
        <w:widowControl w:val="0"/>
        <w:tabs>
          <w:tab w:val="center" w:pos="0"/>
        </w:tabs>
      </w:pPr>
      <w:r>
        <w:tab/>
        <w:t>En tal sentido, fueron explícitos los dichos del imputado, que a su vez concordaron con las d</w:t>
      </w:r>
      <w:r>
        <w:t>i</w:t>
      </w:r>
      <w:r>
        <w:t>versas conversaciones telefónicas propaladas durante la audiencia de debate, entre las cuales caben dest</w:t>
      </w:r>
      <w:r>
        <w:t>a</w:t>
      </w:r>
      <w:r>
        <w:t>carse las conversaciones con Legascue y Maiolo.</w:t>
      </w:r>
    </w:p>
    <w:p w:rsidR="00224567" w:rsidRDefault="00224567">
      <w:pPr>
        <w:widowControl w:val="0"/>
        <w:tabs>
          <w:tab w:val="center" w:pos="0"/>
        </w:tabs>
      </w:pPr>
      <w:r>
        <w:tab/>
        <w:t>En esa dirección también apunta la d</w:t>
      </w:r>
      <w:r>
        <w:t>e</w:t>
      </w:r>
      <w:r>
        <w:t>claración testimonial de Ana María Boragni, dado que rec</w:t>
      </w:r>
      <w:r>
        <w:t>o</w:t>
      </w:r>
      <w:r>
        <w:t>noció que el 5 de julio de 1996 abrió una caja de segur</w:t>
      </w:r>
      <w:r>
        <w:t>i</w:t>
      </w:r>
      <w:r>
        <w:t>dad en la sucursal Ramos Mejía del Banco Quilmes, para guardar el dinero que le darían a Telleldín por la venta de un libro; habiendo mantenido ese día una reunión con gente de una edit</w:t>
      </w:r>
      <w:r>
        <w:t>o</w:t>
      </w:r>
      <w:r>
        <w:t>rial y su abogado.</w:t>
      </w:r>
    </w:p>
    <w:p w:rsidR="00224567" w:rsidRDefault="00224567">
      <w:pPr>
        <w:widowControl w:val="0"/>
        <w:tabs>
          <w:tab w:val="center" w:pos="0"/>
        </w:tabs>
      </w:pPr>
      <w:r>
        <w:tab/>
        <w:t>Recordó que también se reunieron en la puerta del banco, pero como no le dieron rec</w:t>
      </w:r>
      <w:r>
        <w:t>i</w:t>
      </w:r>
      <w:r>
        <w:t>bo, no quiso guardar el dinero en la caja de seguridad; su marido le había dicho que eran entre $ 300.000 y $ 400.000. Agregó que ese día Telleldín se encontraba en el juzgado.</w:t>
      </w:r>
    </w:p>
    <w:p w:rsidR="00224567" w:rsidRDefault="00224567">
      <w:pPr>
        <w:widowControl w:val="0"/>
        <w:tabs>
          <w:tab w:val="center" w:pos="0"/>
        </w:tabs>
      </w:pPr>
      <w:r>
        <w:tab/>
        <w:t>Dijo Boragni que contrató la caja de seguridad en el banco antes indicado debido a que qu</w:t>
      </w:r>
      <w:r>
        <w:t>e</w:t>
      </w:r>
      <w:r>
        <w:t>daba en la cuadra del estudio de Víctor Stinfale, defensor de su marido. Aclaró, que ese día guardó en la caja de seg</w:t>
      </w:r>
      <w:r>
        <w:t>u</w:t>
      </w:r>
      <w:r>
        <w:t>ridad unos dólares que tenía ahorr</w:t>
      </w:r>
      <w:r>
        <w:t>a</w:t>
      </w:r>
      <w:r>
        <w:t>dos.</w:t>
      </w:r>
    </w:p>
    <w:p w:rsidR="00224567" w:rsidRDefault="00224567">
      <w:pPr>
        <w:widowControl w:val="0"/>
        <w:tabs>
          <w:tab w:val="center" w:pos="0"/>
        </w:tabs>
      </w:pPr>
      <w:r>
        <w:tab/>
        <w:t>Ahora bien, según lo informado por el Banco Quilmes, sucursal Ramos Mejía, la caja de segur</w:t>
      </w:r>
      <w:r>
        <w:t>i</w:t>
      </w:r>
      <w:r>
        <w:t>dad nº 173 fue contratada por Ana María B</w:t>
      </w:r>
      <w:r>
        <w:t>o</w:t>
      </w:r>
      <w:r>
        <w:t>ragni el 5 de julio de 1996 y cerrada por falta de pago el 23 de abril de 1997 (cfr. fs. 1333 y fs. 1695 de la causa 9789/00 del Juzgado en lo Criminal y Correccional Fed</w:t>
      </w:r>
      <w:r>
        <w:t>e</w:t>
      </w:r>
      <w:r>
        <w:t>ral n° 11, Secretaría n° 22, que en fotocopia corre por cuerda sin acumular).</w:t>
      </w:r>
    </w:p>
    <w:p w:rsidR="00224567" w:rsidRDefault="00224567">
      <w:pPr>
        <w:widowControl w:val="0"/>
        <w:tabs>
          <w:tab w:val="center" w:pos="0"/>
        </w:tabs>
      </w:pPr>
      <w:r>
        <w:tab/>
        <w:t>Según la planilla remitida por el ba</w:t>
      </w:r>
      <w:r>
        <w:t>n</w:t>
      </w:r>
      <w:r>
        <w:t xml:space="preserve">co aludido, Ana María Boragni, única persona autorizada, accedió a la caja el 5 de julio de </w:t>
      </w:r>
      <w:smartTag w:uri="urn:schemas-microsoft-com:office:smarttags" w:element="metricconverter">
        <w:smartTagPr>
          <w:attr w:name="ProductID" w:val="1996, a"/>
        </w:smartTagPr>
        <w:r>
          <w:t>1996, a</w:t>
        </w:r>
      </w:smartTag>
      <w:r>
        <w:t xml:space="preserve"> las 14.</w:t>
      </w:r>
    </w:p>
    <w:p w:rsidR="00224567" w:rsidRDefault="00224567">
      <w:pPr>
        <w:widowControl w:val="0"/>
        <w:tabs>
          <w:tab w:val="center" w:pos="0"/>
        </w:tabs>
      </w:pPr>
      <w:r>
        <w:tab/>
        <w:t>No resultó antojadiza la elección de la s</w:t>
      </w:r>
      <w:r>
        <w:t>u</w:t>
      </w:r>
      <w:r>
        <w:t>cursal Ramos Mejía de la entidad crediticia, toda vez que, como dijo Boragni, era próxima al e</w:t>
      </w:r>
      <w:r>
        <w:t>s</w:t>
      </w:r>
      <w:r>
        <w:t>tudio del abogado defensor de Telleldín, Dr. Víctor Stinfale y su apertura se realizó el mismo día en que Telleldín prestó la cue</w:t>
      </w:r>
      <w:r>
        <w:t>s</w:t>
      </w:r>
      <w:r>
        <w:t>tion</w:t>
      </w:r>
      <w:r>
        <w:t>a</w:t>
      </w:r>
      <w:r>
        <w:t>da declaración.</w:t>
      </w:r>
    </w:p>
    <w:p w:rsidR="00224567" w:rsidRDefault="00224567">
      <w:pPr>
        <w:widowControl w:val="0"/>
        <w:tabs>
          <w:tab w:val="center" w:pos="0"/>
        </w:tabs>
      </w:pPr>
      <w:r>
        <w:tab/>
        <w:t>En esa ocasión el imputado se r</w:t>
      </w:r>
      <w:r>
        <w:t>e</w:t>
      </w:r>
      <w:r>
        <w:t>firió a hechos y circunstancias que, hasta ese m</w:t>
      </w:r>
      <w:r>
        <w:t>o</w:t>
      </w:r>
      <w:r>
        <w:t>mento, sólo se habían volcado de manera “informal”, si es que cabe adm</w:t>
      </w:r>
      <w:r>
        <w:t>i</w:t>
      </w:r>
      <w:r>
        <w:t>tir dicho carácter a las conversaciones entre un juez y una persona detenida a su disposición, relativas a hechos de una causa en la que está involucrado y en la que e</w:t>
      </w:r>
      <w:r>
        <w:t>n</w:t>
      </w:r>
      <w:r>
        <w:t>tiende el prim</w:t>
      </w:r>
      <w:r>
        <w:t>e</w:t>
      </w:r>
      <w:r>
        <w:t>ro.</w:t>
      </w:r>
    </w:p>
    <w:p w:rsidR="00224567" w:rsidRDefault="00224567">
      <w:pPr>
        <w:widowControl w:val="0"/>
        <w:tabs>
          <w:tab w:val="center" w:pos="0"/>
        </w:tabs>
        <w:rPr>
          <w:b/>
          <w:bCs/>
        </w:rPr>
      </w:pPr>
      <w:r>
        <w:tab/>
        <w:t>También es del caso señalar que el Dr. Stinfale tuvo activa participación en las tratativas que se vieron coronadas con el pago a su defendido, según su</w:t>
      </w:r>
      <w:r>
        <w:t>r</w:t>
      </w:r>
      <w:r>
        <w:t>ge de las conversaciones de que da cuenta la escucha tel</w:t>
      </w:r>
      <w:r>
        <w:t>e</w:t>
      </w:r>
      <w:r>
        <w:t>fónica del abonado 427-7829, del 4 de julio de 1996.</w:t>
      </w:r>
    </w:p>
    <w:p w:rsidR="00224567" w:rsidRDefault="00224567">
      <w:pPr>
        <w:widowControl w:val="0"/>
        <w:tabs>
          <w:tab w:val="center" w:pos="0"/>
        </w:tabs>
      </w:pPr>
      <w:r>
        <w:rPr>
          <w:b/>
          <w:bCs/>
        </w:rPr>
        <w:tab/>
        <w:t xml:space="preserve">G.3) </w:t>
      </w:r>
      <w:r>
        <w:t>Cuanto se viene afirmando se p</w:t>
      </w:r>
      <w:r>
        <w:t>a</w:t>
      </w:r>
      <w:r>
        <w:t xml:space="preserve">tentiza, de modo evidente, en la cuestión relativa a la entrega de la camioneta, el 10 de julio de </w:t>
      </w:r>
      <w:smartTag w:uri="urn:schemas-microsoft-com:office:smarttags" w:element="metricconverter">
        <w:smartTagPr>
          <w:attr w:name="ProductID" w:val="1994, a"/>
        </w:smartTagPr>
        <w:r>
          <w:t>1994, a</w:t>
        </w:r>
      </w:smartTag>
      <w:r>
        <w:t xml:space="preserve"> los p</w:t>
      </w:r>
      <w:r>
        <w:t>o</w:t>
      </w:r>
      <w:r>
        <w:t>licías bonaerenses.</w:t>
      </w:r>
    </w:p>
    <w:p w:rsidR="00224567" w:rsidRDefault="00224567">
      <w:pPr>
        <w:widowControl w:val="0"/>
        <w:tabs>
          <w:tab w:val="center" w:pos="0"/>
        </w:tabs>
      </w:pPr>
      <w:r>
        <w:tab/>
        <w:t>Cabe advertir, en ese sentido, que en el video del 1º de julio de 1996 -un “hecho procesal”, s</w:t>
      </w:r>
      <w:r>
        <w:t>e</w:t>
      </w:r>
      <w:r>
        <w:t>gún la eufemística terminología utilizada por el Dr. Áv</w:t>
      </w:r>
      <w:r>
        <w:t>i</w:t>
      </w:r>
      <w:r>
        <w:t>la- puede verse al Dr. Galeano conversando con Telleldín de manera amena y distendida, en la que aquél le indica la necesidad de que él hable con los test</w:t>
      </w:r>
      <w:r>
        <w:t>i</w:t>
      </w:r>
      <w:r>
        <w:t>gos.</w:t>
      </w:r>
    </w:p>
    <w:p w:rsidR="00224567" w:rsidRDefault="00224567">
      <w:pPr>
        <w:widowControl w:val="0"/>
        <w:tabs>
          <w:tab w:val="center" w:pos="0"/>
        </w:tabs>
      </w:pPr>
      <w:r>
        <w:tab/>
        <w:t>Como se verá, toda la prueba de lo que los acusadores dicen que ocurrió el 10 de julio de 1994, gira en derredor a los dichos del imputado y de su e</w:t>
      </w:r>
      <w:r>
        <w:t>n</w:t>
      </w:r>
      <w:r>
        <w:t>torno.</w:t>
      </w:r>
    </w:p>
    <w:p w:rsidR="00224567" w:rsidRDefault="00224567">
      <w:pPr>
        <w:widowControl w:val="0"/>
        <w:tabs>
          <w:tab w:val="center" w:pos="0"/>
        </w:tabs>
      </w:pPr>
      <w:r>
        <w:tab/>
        <w:t>El videocasete antes aludido da cue</w:t>
      </w:r>
      <w:r>
        <w:t>n</w:t>
      </w:r>
      <w:r>
        <w:t>ta de una entrevista llevada a cabo en dependencias del ju</w:t>
      </w:r>
      <w:r>
        <w:t>z</w:t>
      </w:r>
      <w:r>
        <w:t>gado, entre el magistrado instructor, el secretario De G</w:t>
      </w:r>
      <w:r>
        <w:t>a</w:t>
      </w:r>
      <w:r>
        <w:t>mas y el imputado Telleldín; ocasión en la que se abord</w:t>
      </w:r>
      <w:r>
        <w:t>a</w:t>
      </w:r>
      <w:r>
        <w:t>ron diversos temas que eran materia de investig</w:t>
      </w:r>
      <w:r>
        <w:t>a</w:t>
      </w:r>
      <w:r>
        <w:t>ción en la causa y acerca de los cuales el procesado, en oportunidad de ejercer su defensa material, aún no se había pronunci</w:t>
      </w:r>
      <w:r>
        <w:t>a</w:t>
      </w:r>
      <w:r>
        <w:t>do.</w:t>
      </w:r>
    </w:p>
    <w:p w:rsidR="00224567" w:rsidRDefault="00224567">
      <w:pPr>
        <w:widowControl w:val="0"/>
        <w:tabs>
          <w:tab w:val="center" w:pos="0"/>
        </w:tabs>
      </w:pPr>
      <w:r>
        <w:tab/>
        <w:t>Sobre el particular, resulta ilustr</w:t>
      </w:r>
      <w:r>
        <w:t>a</w:t>
      </w:r>
      <w:r>
        <w:t>tivo transcribir parte de lo manifestado por Telleldín en aquel encuentro, cuando sostiene: ”esto es lo más impo</w:t>
      </w:r>
      <w:r>
        <w:t>r</w:t>
      </w:r>
      <w:r>
        <w:t>tante, yo le di todo para que vea que le estoy d</w:t>
      </w:r>
      <w:r>
        <w:t>i</w:t>
      </w:r>
      <w:r>
        <w:t xml:space="preserve">ciendo la verdad, </w:t>
      </w:r>
      <w:r>
        <w:rPr>
          <w:u w:val="single"/>
        </w:rPr>
        <w:t>con eso le probé todo y todavía no declaré</w:t>
      </w:r>
      <w:r>
        <w:t>; cuando yo declare, le va a cerrar todo” (el subrayado pertenece al Tribunal).</w:t>
      </w:r>
    </w:p>
    <w:p w:rsidR="00224567" w:rsidRDefault="00224567">
      <w:pPr>
        <w:widowControl w:val="0"/>
        <w:tabs>
          <w:tab w:val="center" w:pos="0"/>
        </w:tabs>
      </w:pPr>
      <w:r>
        <w:tab/>
        <w:t>De manera especial se conversó acerca de la forma en que se acreditarían determinados extr</w:t>
      </w:r>
      <w:r>
        <w:t>e</w:t>
      </w:r>
      <w:r>
        <w:t>mos. Así, los testigos serían aportados por Telleldín, abarca</w:t>
      </w:r>
      <w:r>
        <w:t>n</w:t>
      </w:r>
      <w:r>
        <w:t>do también el reconocimiento de Ibarra; tópico este último que fue motivo de expresa conversación en el también “i</w:t>
      </w:r>
      <w:r>
        <w:t>n</w:t>
      </w:r>
      <w:r>
        <w:t>formal” encuentro entre el Dr. Galeano y el imputado, ll</w:t>
      </w:r>
      <w:r>
        <w:t>e</w:t>
      </w:r>
      <w:r>
        <w:t>vado a cabo el 10 de abril de 1996, en el que se exhibi</w:t>
      </w:r>
      <w:r>
        <w:t>e</w:t>
      </w:r>
      <w:r>
        <w:t>ron fotos de Ibarra, según puede verse en el video obten</w:t>
      </w:r>
      <w:r>
        <w:t>i</w:t>
      </w:r>
      <w:r>
        <w:t>do en la oportunidad.</w:t>
      </w:r>
    </w:p>
    <w:p w:rsidR="00224567" w:rsidRDefault="00224567">
      <w:pPr>
        <w:widowControl w:val="0"/>
        <w:tabs>
          <w:tab w:val="center" w:pos="0"/>
        </w:tabs>
      </w:pPr>
      <w:r>
        <w:tab/>
        <w:t>En el encuentro del 1º de julio de 1996 T</w:t>
      </w:r>
      <w:r>
        <w:t>e</w:t>
      </w:r>
      <w:r>
        <w:t>lleldín le manifiesta al juez que ya le había dado instrucciones a los testigos que aportó para que recono</w:t>
      </w:r>
      <w:r>
        <w:t>z</w:t>
      </w:r>
      <w:r>
        <w:t>can primero las fotografías de Ib</w:t>
      </w:r>
      <w:r>
        <w:t>a</w:t>
      </w:r>
      <w:r>
        <w:t>rra; también le requiere al Dr. Galeano que a los testigos no “los toquen” pues se pueden asustar “más todavía” y, a lo mejor, saben cosas que no declar</w:t>
      </w:r>
      <w:r>
        <w:t>a</w:t>
      </w:r>
      <w:r>
        <w:t>ron.</w:t>
      </w:r>
    </w:p>
    <w:p w:rsidR="00224567" w:rsidRDefault="00224567">
      <w:pPr>
        <w:widowControl w:val="0"/>
        <w:tabs>
          <w:tab w:val="center" w:pos="0"/>
        </w:tabs>
      </w:pPr>
      <w:r>
        <w:tab/>
        <w:t>En dicha filmación, tanto el juez in</w:t>
      </w:r>
      <w:r>
        <w:t>s</w:t>
      </w:r>
      <w:r>
        <w:t>tructor como el imputado, aluden reiteradamente a los d</w:t>
      </w:r>
      <w:r>
        <w:t>e</w:t>
      </w:r>
      <w:r>
        <w:t>rechos de un libro, asumiendo el primero un rol de inte</w:t>
      </w:r>
      <w:r>
        <w:t>r</w:t>
      </w:r>
      <w:r>
        <w:t>mediario de terceras personas, que no nombra, frente a las cuales debía responder.</w:t>
      </w:r>
    </w:p>
    <w:p w:rsidR="00224567" w:rsidRDefault="00224567">
      <w:pPr>
        <w:widowControl w:val="0"/>
        <w:tabs>
          <w:tab w:val="center" w:pos="0"/>
        </w:tabs>
      </w:pPr>
      <w:r>
        <w:tab/>
        <w:t>En tal sentido, puede mencionarse la pregunta que el secretario le formuló a Telleldín acerca de si vendió los derechos del libro, a lo que le respondió que del libro hablen con Ana (por Boragni) y con Víctor (por el Dr. Stinfale), aunque mejor con Ana; que le dep</w:t>
      </w:r>
      <w:r>
        <w:t>o</w:t>
      </w:r>
      <w:r>
        <w:t>siten la plata a ésta, a quien otorgó un poder que está secuestrado en el juzgado; que ella, como apoderada, vende los derechos del libro y hacen un contrato para justif</w:t>
      </w:r>
      <w:r>
        <w:t>i</w:t>
      </w:r>
      <w:r>
        <w:t>car. Al retomar el tema, comenta que va a “tirar” la plata en Uruguay, para sortear los e</w:t>
      </w:r>
      <w:r>
        <w:t>m</w:t>
      </w:r>
      <w:r>
        <w:t>bargos que habría de tener en las causas civiles por el tema de los coches.</w:t>
      </w:r>
    </w:p>
    <w:p w:rsidR="00224567" w:rsidRDefault="00224567">
      <w:pPr>
        <w:widowControl w:val="0"/>
        <w:tabs>
          <w:tab w:val="center" w:pos="0"/>
        </w:tabs>
      </w:pPr>
      <w:r>
        <w:tab/>
        <w:t>En ese contexto, el juez le dice al imputado que la persona que está interesada en la compra del libro le dijo que lo único que quería saber era si p</w:t>
      </w:r>
      <w:r>
        <w:t>o</w:t>
      </w:r>
      <w:r>
        <w:t>día contestar determinados puntos, aunque fuese por sí o por no, exhibiéndole a continuación una hoja en el que ellos estarían detallados; ante lo cual, Telleldín respo</w:t>
      </w:r>
      <w:r>
        <w:t>n</w:t>
      </w:r>
      <w:r>
        <w:t>dió: “yo le voy a decir sinceramente lo que voy a hacer, yo quiero el dinero depositado en el ‘Lloyds’ de Cabildo, voy a girar trescientos cincuenta mil dólares a Colonia, Uruguay, frente a la embajada Argentina, a los bancos que están ahí,...voy a tener el dinero ahí a plazo fijo para que me de cincuenta mil dólares, así que...”(sic).</w:t>
      </w:r>
    </w:p>
    <w:p w:rsidR="00224567" w:rsidRDefault="00224567">
      <w:pPr>
        <w:widowControl w:val="0"/>
        <w:tabs>
          <w:tab w:val="center" w:pos="0"/>
        </w:tabs>
      </w:pPr>
      <w:r>
        <w:tab/>
        <w:t>Avanzada la reunión, el Dr. G</w:t>
      </w:r>
      <w:r>
        <w:t>a</w:t>
      </w:r>
      <w:r>
        <w:t>leano le dice a su entrevistado: ”vamos a poner las cosas en claro, los que quieren comprar los derechos del libro no quieren joder más, ni van a querer joder para el f</w:t>
      </w:r>
      <w:r>
        <w:t>u</w:t>
      </w:r>
      <w:r>
        <w:t>turo ¿estamos?. Los que quieren co</w:t>
      </w:r>
      <w:r>
        <w:t>m</w:t>
      </w:r>
      <w:r>
        <w:t>prar los derechos del libro, o sea que hay buena voluntad. Ahora, no quieren comprar humo o a</w:t>
      </w:r>
      <w:r>
        <w:t>i</w:t>
      </w:r>
      <w:r>
        <w:t>re...”, a lo que su interlocutor responde que no quiere vender humo, que él tiene a Ramón Martínez.</w:t>
      </w:r>
    </w:p>
    <w:p w:rsidR="00224567" w:rsidRDefault="00224567">
      <w:pPr>
        <w:widowControl w:val="0"/>
        <w:tabs>
          <w:tab w:val="center" w:pos="0"/>
        </w:tabs>
      </w:pPr>
      <w:r>
        <w:tab/>
        <w:t>Prosigue el magistrado y lo int</w:t>
      </w:r>
      <w:r>
        <w:t>e</w:t>
      </w:r>
      <w:r>
        <w:t>rroga ace</w:t>
      </w:r>
      <w:r>
        <w:t>r</w:t>
      </w:r>
      <w:r>
        <w:t>ca de con quién hay que hablar para cerrar el tema del libro, respondiéndole Telleldín, que ya le dijo que con Ana; ante ello Galeano menciona: “cuatro...”, lo interru</w:t>
      </w:r>
      <w:r>
        <w:t>m</w:t>
      </w:r>
      <w:r>
        <w:t>pe Telleldín y le dice: “p</w:t>
      </w:r>
      <w:r>
        <w:t>e</w:t>
      </w:r>
      <w:r>
        <w:t>ro sin bicicleta”.</w:t>
      </w:r>
    </w:p>
    <w:p w:rsidR="00224567" w:rsidRDefault="00224567">
      <w:pPr>
        <w:widowControl w:val="0"/>
        <w:tabs>
          <w:tab w:val="center" w:pos="0"/>
        </w:tabs>
      </w:pPr>
      <w:r>
        <w:tab/>
        <w:t>Ante ese comentario afirma el juez: “no, no; acá no hay, esta gente es muy seria, vino gente que le interesa”; luego conversan acerca de si se pondrá precio a los capítulos; referencia coincidente con los d</w:t>
      </w:r>
      <w:r>
        <w:t>i</w:t>
      </w:r>
      <w:r>
        <w:t>chos de Brousson en el debate, en cuanto admitió haberle sugerido al juez que no se pagase sin saber el contenido del libro o, que al menos, se lo hiciese por capítulos.</w:t>
      </w:r>
    </w:p>
    <w:p w:rsidR="00224567" w:rsidRDefault="00224567">
      <w:pPr>
        <w:widowControl w:val="0"/>
        <w:tabs>
          <w:tab w:val="center" w:pos="0"/>
        </w:tabs>
      </w:pPr>
      <w:r>
        <w:tab/>
        <w:t>Tras ello, el juez refirió lo siguie</w:t>
      </w:r>
      <w:r>
        <w:t>n</w:t>
      </w:r>
      <w:r>
        <w:t>te: “está bien, yo no estoy diciendo, no estoy d</w:t>
      </w:r>
      <w:r>
        <w:t>i</w:t>
      </w:r>
      <w:r>
        <w:t>ciendo, a ver si quedamos en claro, no estoy d</w:t>
      </w:r>
      <w:r>
        <w:t>i</w:t>
      </w:r>
      <w:r>
        <w:t>ciendo que no exista voluntad, ni exista lo que vos pedís, ni la forma en que vos pedís. Te diría más, yo creo que la gente tiene la v</w:t>
      </w:r>
      <w:r>
        <w:t>a</w:t>
      </w:r>
      <w:r>
        <w:t>lija preparada. El tema puntual es que no creo que es que no quieran manejar, inclusive no creo que lo quieran man</w:t>
      </w:r>
      <w:r>
        <w:t>e</w:t>
      </w:r>
      <w:r>
        <w:t>jar, diciendo eh..., te digo 48 horas..., lo que fuere; inclusive una parte y otra parte, yo en eso no me quiero meter” (sic), a lo que responde su interlocutor: “yo no quiero ninguna parte, ni nada, yo realmente quiero los d</w:t>
      </w:r>
      <w:r>
        <w:t>e</w:t>
      </w:r>
      <w:r>
        <w:t>rechos del libro mañana, pasado mañana empezamos; quiero un día para pasar la plata a Uruguay...”(sic); tras otros comentarios de Telleldín, el magistrado le manifestó su disgu</w:t>
      </w:r>
      <w:r>
        <w:t>s</w:t>
      </w:r>
      <w:r>
        <w:t>to por estar en el medio de eso.</w:t>
      </w:r>
    </w:p>
    <w:p w:rsidR="00224567" w:rsidRDefault="00224567">
      <w:pPr>
        <w:widowControl w:val="0"/>
        <w:tabs>
          <w:tab w:val="center" w:pos="0"/>
        </w:tabs>
      </w:pPr>
      <w:r>
        <w:tab/>
        <w:t>En un punto de la conversación man</w:t>
      </w:r>
      <w:r>
        <w:t>i</w:t>
      </w:r>
      <w:r>
        <w:t>fiesta el imputado: “...con respecto a la plata en ‘Lloyds Bank’ de Cabildo, a nombre de Ana. Va Ana, ‘tac’, se dep</w:t>
      </w:r>
      <w:r>
        <w:t>o</w:t>
      </w:r>
      <w:r>
        <w:t>sitan (inteligible) del libro p</w:t>
      </w:r>
      <w:r>
        <w:t>a</w:t>
      </w:r>
      <w:r>
        <w:t>ra que sea todo legal. Yo no quiero tener ningún punto de vinculación con nada (i</w:t>
      </w:r>
      <w:r>
        <w:t>n</w:t>
      </w:r>
      <w:r>
        <w:t>teligible), este tipo compra los derechos, se venden los derechos como corresponde y Ana justifica la plata. USD 350.000 voy a mandar a Uruguay para no tener problemas con los damnificados que tenemos con los automotores, por el problema de las causas civiles de todos los tipos que ti</w:t>
      </w:r>
      <w:r>
        <w:t>e</w:t>
      </w:r>
      <w:r>
        <w:t>nen tenencia provis</w:t>
      </w:r>
      <w:r>
        <w:t>o</w:t>
      </w:r>
      <w:r>
        <w:t xml:space="preserve">ria, le voy a dar USD </w:t>
      </w:r>
      <w:smartTag w:uri="urn:schemas-microsoft-com:office:smarttags" w:element="metricconverter">
        <w:smartTagPr>
          <w:attr w:name="ProductID" w:val="50.000 a"/>
        </w:smartTagPr>
        <w:r>
          <w:t>50.000 a</w:t>
        </w:r>
      </w:smartTag>
      <w:r>
        <w:t xml:space="preserve"> Ana acá y el resto a Colonia. (I) y después usted va hasta saber donde está el dinero, (I)...pero todo lo que le entregué fue bueno y lo que falta es el final. No tengo para entr</w:t>
      </w:r>
      <w:r>
        <w:t>e</w:t>
      </w:r>
      <w:r>
        <w:t>gar capítulo, diez capítulos del libro están terminados; falta el final que no lo hice porque no confío en nadie, se lo doy a mi abogado, se lo vende a Página 12...y mañana sale en los diarios” (sic).</w:t>
      </w:r>
    </w:p>
    <w:p w:rsidR="00224567" w:rsidRDefault="00224567">
      <w:pPr>
        <w:widowControl w:val="0"/>
        <w:tabs>
          <w:tab w:val="center" w:pos="0"/>
        </w:tabs>
      </w:pPr>
      <w:r>
        <w:tab/>
        <w:t>Ante ello el Sr. magistrado ac</w:t>
      </w:r>
      <w:r>
        <w:t>o</w:t>
      </w:r>
      <w:r>
        <w:t>tó: “yo pregunto..., por ejemplo..., para dar una alternativa a esta gente...¿se puede empezar con el depósito del ‘Lloyds’... hoy o mañana por ejemplo?... los primeros ci</w:t>
      </w:r>
      <w:r>
        <w:t>n</w:t>
      </w:r>
      <w:r>
        <w:t>cuenta para demostrar que hay interés... y después bueno...”.</w:t>
      </w:r>
    </w:p>
    <w:p w:rsidR="00224567" w:rsidRDefault="00224567">
      <w:pPr>
        <w:widowControl w:val="0"/>
        <w:tabs>
          <w:tab w:val="center" w:pos="0"/>
        </w:tabs>
      </w:pPr>
      <w:r>
        <w:tab/>
        <w:t>En orden a las tratativas que lleva a cabo, el juez manifiesta que no está jugando; que está p</w:t>
      </w:r>
      <w:r>
        <w:t>o</w:t>
      </w:r>
      <w:r>
        <w:t>niendo la cara, pensando en esa gente que le interesa co</w:t>
      </w:r>
      <w:r>
        <w:t>m</w:t>
      </w:r>
      <w:r>
        <w:t>prar el libro; que él no es un banco; que va tran</w:t>
      </w:r>
      <w:r>
        <w:t>s</w:t>
      </w:r>
      <w:r>
        <w:t>mitir lo que le manifieste y que los que quieren comprar los der</w:t>
      </w:r>
      <w:r>
        <w:t>e</w:t>
      </w:r>
      <w:r>
        <w:t>chos de autor no son gente que quiera a</w:t>
      </w:r>
      <w:r>
        <w:t>d</w:t>
      </w:r>
      <w:r>
        <w:t>quirir pavadas.</w:t>
      </w:r>
    </w:p>
    <w:p w:rsidR="00224567" w:rsidRDefault="00224567">
      <w:pPr>
        <w:widowControl w:val="0"/>
        <w:tabs>
          <w:tab w:val="center" w:pos="0"/>
        </w:tabs>
      </w:pPr>
      <w:r>
        <w:tab/>
        <w:t>Sobre el final de la plática, Telle</w:t>
      </w:r>
      <w:r>
        <w:t>l</w:t>
      </w:r>
      <w:r>
        <w:t>dín le informa al juez acerca de su intención de recusar al fiscal Mullen, manifestándole el magistrado que se equivocaba, pero que estaba en su derecho; no ob</w:t>
      </w:r>
      <w:r>
        <w:t>s</w:t>
      </w:r>
      <w:r>
        <w:t>tante le hace saber la inconveniencia de recusarlo, dado que lo p</w:t>
      </w:r>
      <w:r>
        <w:t>o</w:t>
      </w:r>
      <w:r>
        <w:t>dría perjudicar ante la opinión publica.</w:t>
      </w:r>
    </w:p>
    <w:p w:rsidR="00224567" w:rsidRDefault="00224567">
      <w:pPr>
        <w:widowControl w:val="0"/>
        <w:tabs>
          <w:tab w:val="center" w:pos="0"/>
        </w:tabs>
      </w:pPr>
      <w:r>
        <w:tab/>
        <w:t>Respecto de este tema, el Dr. G</w:t>
      </w:r>
      <w:r>
        <w:t>a</w:t>
      </w:r>
      <w:r>
        <w:t>leano le restó importancia a los argumentos del imputado, man</w:t>
      </w:r>
      <w:r>
        <w:t>i</w:t>
      </w:r>
      <w:r>
        <w:t>festando que entendía que la cuestión no era como la i</w:t>
      </w:r>
      <w:r>
        <w:t>n</w:t>
      </w:r>
      <w:r>
        <w:t>terpretaba, que si “lo sacaban a Mullen” había que ver a quien iban a poner; que, e</w:t>
      </w:r>
      <w:r>
        <w:t>s</w:t>
      </w:r>
      <w:r>
        <w:t>tratégicamente, “más vale malo conocido que bueno por conocer”.</w:t>
      </w:r>
    </w:p>
    <w:p w:rsidR="00224567" w:rsidRDefault="00224567">
      <w:pPr>
        <w:widowControl w:val="0"/>
        <w:tabs>
          <w:tab w:val="center" w:pos="0"/>
        </w:tabs>
      </w:pPr>
      <w:r>
        <w:tab/>
        <w:t>Luego, el magistrado le indica a T</w:t>
      </w:r>
      <w:r>
        <w:t>e</w:t>
      </w:r>
      <w:r>
        <w:t>lleldín que trasmitirá su posición a los interesados, agregando: “lo que yo podría confirmar, desde mi óptica, que eso está y que se iban a conectar con la persona que usted disp</w:t>
      </w:r>
      <w:r>
        <w:t>o</w:t>
      </w:r>
      <w:r>
        <w:t>ne”.</w:t>
      </w:r>
    </w:p>
    <w:p w:rsidR="00224567" w:rsidRDefault="00224567">
      <w:pPr>
        <w:widowControl w:val="0"/>
        <w:tabs>
          <w:tab w:val="center" w:pos="0"/>
        </w:tabs>
      </w:pPr>
      <w:r>
        <w:tab/>
        <w:t>Retoma el diálogo el secretario, a quien Telleldín le pide que la visita en el penal se pr</w:t>
      </w:r>
      <w:r>
        <w:t>o</w:t>
      </w:r>
      <w:r>
        <w:t>longue hasta las 18:00; que Jorge Damonte esté en su ce</w:t>
      </w:r>
      <w:r>
        <w:t>l</w:t>
      </w:r>
      <w:r>
        <w:t>da; que pueda recibir a su abogado en el lugar de aloj</w:t>
      </w:r>
      <w:r>
        <w:t>a</w:t>
      </w:r>
      <w:r>
        <w:t>miento y que lo dejen ingresar alimentos sin requisa, t</w:t>
      </w:r>
      <w:r>
        <w:t>a</w:t>
      </w:r>
      <w:r>
        <w:t>les como pescado enlatado y otros que suele comer; tras ello solicita que le entreguen como depositario el autom</w:t>
      </w:r>
      <w:r>
        <w:t>ó</w:t>
      </w:r>
      <w:r>
        <w:t>vil Renault 19 Chamade, finalizando la entrevista con la aseveración del s</w:t>
      </w:r>
      <w:r>
        <w:t>e</w:t>
      </w:r>
      <w:r>
        <w:t>cretario “pero si vos nunca ayudaste en nada” (sic).</w:t>
      </w:r>
    </w:p>
    <w:p w:rsidR="00224567" w:rsidRDefault="00224567">
      <w:pPr>
        <w:widowControl w:val="0"/>
        <w:tabs>
          <w:tab w:val="center" w:pos="0"/>
        </w:tabs>
      </w:pPr>
      <w:r>
        <w:tab/>
        <w:t xml:space="preserve">El acta labrada el </w:t>
      </w:r>
      <w:r>
        <w:rPr>
          <w:bCs/>
        </w:rPr>
        <w:t>1º de julio de 1996</w:t>
      </w:r>
      <w:r>
        <w:t>, suscripta por Telleldín y por el secretario De Gamas (fs. 24.184), nada informa acerca de la convers</w:t>
      </w:r>
      <w:r>
        <w:t>a</w:t>
      </w:r>
      <w:r>
        <w:t>ción antes d</w:t>
      </w:r>
      <w:r>
        <w:t>e</w:t>
      </w:r>
      <w:r>
        <w:t>tallada.</w:t>
      </w:r>
    </w:p>
    <w:p w:rsidR="00224567" w:rsidRDefault="00224567">
      <w:pPr>
        <w:widowControl w:val="0"/>
        <w:tabs>
          <w:tab w:val="center" w:pos="0"/>
        </w:tabs>
      </w:pPr>
      <w:r>
        <w:tab/>
        <w:t>Allí sólo se da cuenta de la compar</w:t>
      </w:r>
      <w:r>
        <w:t>e</w:t>
      </w:r>
      <w:r>
        <w:t>cencia ante el Actuario del procesado Carlos Alberto T</w:t>
      </w:r>
      <w:r>
        <w:t>e</w:t>
      </w:r>
      <w:r>
        <w:t xml:space="preserve">lleldín, quien solicitó que se requiera a </w:t>
      </w:r>
      <w:smartTag w:uri="urn:schemas-microsoft-com:office:smarttags" w:element="PersonName">
        <w:smartTagPr>
          <w:attr w:name="ProductID" w:val="la Unidad"/>
        </w:smartTagPr>
        <w:r>
          <w:t>la Unidad</w:t>
        </w:r>
      </w:smartTag>
      <w:r>
        <w:t xml:space="preserve"> nº 2 del Servicio Penitenciario Federal la ampliación del hor</w:t>
      </w:r>
      <w:r>
        <w:t>a</w:t>
      </w:r>
      <w:r>
        <w:t>rio de sus visitas hasta las 18, que el detenido Jorge D</w:t>
      </w:r>
      <w:r>
        <w:t>a</w:t>
      </w:r>
      <w:r>
        <w:t>niel Damonte sea alojado en su pabellón, que pueda recibir a su abogado Dr. Stinfale en su lugar de alojamiento y que se ordene a la unidad de detención que autorice el ingreso de los comestibles que Ana M</w:t>
      </w:r>
      <w:r>
        <w:t>a</w:t>
      </w:r>
      <w:r>
        <w:t>ría Boragni le acerca.</w:t>
      </w:r>
    </w:p>
    <w:p w:rsidR="00224567" w:rsidRDefault="00224567">
      <w:pPr>
        <w:widowControl w:val="0"/>
        <w:tabs>
          <w:tab w:val="center" w:pos="0"/>
        </w:tabs>
        <w:rPr>
          <w:b/>
          <w:bCs/>
        </w:rPr>
      </w:pPr>
      <w:r>
        <w:tab/>
        <w:t>Peticionó, además, se entregue a la antes nombrada la siguiente documentación: 1) título de propiedad de la finca sita en la calle Gü</w:t>
      </w:r>
      <w:r>
        <w:t>e</w:t>
      </w:r>
      <w:r>
        <w:t>mes y Pasaje San Vicente de la localidad de Vicente López, 2) título de propiedad de la quinta sita en la calle Alvarado de la ciudad de Mar del Plata, 3) fotocopias del título de pr</w:t>
      </w:r>
      <w:r>
        <w:t>o</w:t>
      </w:r>
      <w:r>
        <w:t>piedad y sus planos de la isla que posee en el Tigre, 4) poder general que le otorgara a Ana María B</w:t>
      </w:r>
      <w:r>
        <w:t>o</w:t>
      </w:r>
      <w:r>
        <w:t>ragni y 5) se le entregue, en carácter de depositario judicial, el vehículo marca Renault 19, “Chamade”, que fuera secuestr</w:t>
      </w:r>
      <w:r>
        <w:t>a</w:t>
      </w:r>
      <w:r>
        <w:t>do en la provincia de Córdoba.</w:t>
      </w:r>
    </w:p>
    <w:p w:rsidR="00224567" w:rsidRDefault="00224567">
      <w:pPr>
        <w:widowControl w:val="0"/>
        <w:tabs>
          <w:tab w:val="center" w:pos="0"/>
        </w:tabs>
      </w:pPr>
      <w:r>
        <w:rPr>
          <w:b/>
          <w:bCs/>
        </w:rPr>
        <w:tab/>
        <w:t xml:space="preserve">G.4) </w:t>
      </w:r>
      <w:r>
        <w:t xml:space="preserve">Constituyen también indicios de la negociación que se estaba gestando con Telleldín, las declaraciones de </w:t>
      </w:r>
      <w:r>
        <w:rPr>
          <w:bCs/>
        </w:rPr>
        <w:t>Horacio Antonio Stiuso y Jorge Luis L</w:t>
      </w:r>
      <w:r>
        <w:rPr>
          <w:bCs/>
        </w:rPr>
        <w:t>u</w:t>
      </w:r>
      <w:r>
        <w:rPr>
          <w:bCs/>
        </w:rPr>
        <w:t>cas</w:t>
      </w:r>
      <w:r>
        <w:t xml:space="preserve">, ambos funcionarios de </w:t>
      </w:r>
      <w:smartTag w:uri="urn:schemas-microsoft-com:office:smarttags" w:element="PersonName">
        <w:smartTagPr>
          <w:attr w:name="ProductID" w:val="la Secretar￭a"/>
        </w:smartTagPr>
        <w:r>
          <w:t>la Secretaría</w:t>
        </w:r>
      </w:smartTag>
      <w:r>
        <w:t xml:space="preserve"> de Inteligencia de Est</w:t>
      </w:r>
      <w:r>
        <w:t>a</w:t>
      </w:r>
      <w:r>
        <w:t>do.</w:t>
      </w:r>
    </w:p>
    <w:p w:rsidR="00224567" w:rsidRDefault="00224567">
      <w:pPr>
        <w:widowControl w:val="0"/>
        <w:tabs>
          <w:tab w:val="center" w:pos="0"/>
        </w:tabs>
      </w:pPr>
      <w:r>
        <w:tab/>
        <w:t xml:space="preserve">El primero, Jefe de Operaciones de Contrainteligencia de </w:t>
      </w:r>
      <w:smartTag w:uri="urn:schemas-microsoft-com:office:smarttags" w:element="PersonName">
        <w:smartTagPr>
          <w:attr w:name="ProductID" w:val="la Secretaria"/>
        </w:smartTagPr>
        <w:r>
          <w:t>la Secretaria</w:t>
        </w:r>
      </w:smartTag>
      <w:r>
        <w:t xml:space="preserve"> de Intelige</w:t>
      </w:r>
      <w:r>
        <w:t>n</w:t>
      </w:r>
      <w:r>
        <w:t xml:space="preserve">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Nación</w:t>
        </w:r>
      </w:smartTag>
      <w:r>
        <w:t>, sostuvo que de</w:t>
      </w:r>
      <w:r>
        <w:t>s</w:t>
      </w:r>
      <w:r>
        <w:t xml:space="preserve">de el día que se perpetró el atentado estuvo a cargo de la investigación, dedicándose después de </w:t>
      </w:r>
      <w:smartTag w:uri="urn:schemas-microsoft-com:office:smarttags" w:element="metricconverter">
        <w:smartTagPr>
          <w:attr w:name="ProductID" w:val="1996 a"/>
        </w:smartTagPr>
        <w:r>
          <w:t>1996 a</w:t>
        </w:r>
      </w:smartTag>
      <w:r>
        <w:t xml:space="preserve"> la pista islámica y a la prevención de nuevos hechos de esa natur</w:t>
      </w:r>
      <w:r>
        <w:t>a</w:t>
      </w:r>
      <w:r>
        <w:t>leza.</w:t>
      </w:r>
    </w:p>
    <w:p w:rsidR="00224567" w:rsidRDefault="00224567">
      <w:pPr>
        <w:widowControl w:val="0"/>
        <w:tabs>
          <w:tab w:val="center" w:pos="0"/>
        </w:tabs>
      </w:pPr>
      <w:r>
        <w:tab/>
        <w:t>Precisó que se apartó de la pesquisa por habérselo ordenado su por entonces director, Jorge Luis Lucas, en razón que el deponente no estaba de acuerdo con las detenciones de los policías, dado que la declar</w:t>
      </w:r>
      <w:r>
        <w:t>a</w:t>
      </w:r>
      <w:r>
        <w:t>ción de Telleldín, a su juicio, “no cerraba” (sic); par</w:t>
      </w:r>
      <w:r>
        <w:t>e</w:t>
      </w:r>
      <w:r>
        <w:t>cer que no sólo se lo comentó a Lucas, sino también al juez Gale</w:t>
      </w:r>
      <w:r>
        <w:t>a</w:t>
      </w:r>
      <w:r>
        <w:t>no.</w:t>
      </w:r>
    </w:p>
    <w:p w:rsidR="00224567" w:rsidRDefault="00224567">
      <w:pPr>
        <w:widowControl w:val="0"/>
        <w:tabs>
          <w:tab w:val="center" w:pos="0"/>
        </w:tabs>
      </w:pPr>
      <w:r>
        <w:tab/>
        <w:t>Explicó que en el verano de 1996 L</w:t>
      </w:r>
      <w:r>
        <w:t>u</w:t>
      </w:r>
      <w:r>
        <w:t>cas le exhibió un papel con la hipótesis de las exto</w:t>
      </w:r>
      <w:r>
        <w:t>r</w:t>
      </w:r>
      <w:r>
        <w:t>siones a Telleldín, consistente en que el domingo 10 de julio pol</w:t>
      </w:r>
      <w:r>
        <w:t>i</w:t>
      </w:r>
      <w:r>
        <w:t>cías bonaerenses le habían quitado la camioneta a Telle</w:t>
      </w:r>
      <w:r>
        <w:t>l</w:t>
      </w:r>
      <w:r>
        <w:t>dín y que el 14 regresaron por más; hipótesis que, según dichos de Lucas, se manejaba en el juzgado.</w:t>
      </w:r>
    </w:p>
    <w:p w:rsidR="00224567" w:rsidRDefault="00224567">
      <w:pPr>
        <w:widowControl w:val="0"/>
        <w:tabs>
          <w:tab w:val="center" w:pos="0"/>
        </w:tabs>
      </w:pPr>
      <w:r>
        <w:tab/>
        <w:t>Indicó que la investigación del ate</w:t>
      </w:r>
      <w:r>
        <w:t>n</w:t>
      </w:r>
      <w:r>
        <w:t xml:space="preserve">tado, hasta ese momento, estaba a cargo de </w:t>
      </w:r>
      <w:smartTag w:uri="urn:schemas-microsoft-com:office:smarttags" w:element="PersonName">
        <w:smartTagPr>
          <w:attr w:name="ProductID" w:val="la Direcci￳n"/>
        </w:smartTagPr>
        <w:r>
          <w:t>la Dirección</w:t>
        </w:r>
      </w:smartTag>
      <w:r>
        <w:t xml:space="preserve"> de Co</w:t>
      </w:r>
      <w:r>
        <w:t>n</w:t>
      </w:r>
      <w:r>
        <w:t>trainteligencia.</w:t>
      </w:r>
    </w:p>
    <w:p w:rsidR="00224567" w:rsidRDefault="00224567">
      <w:pPr>
        <w:widowControl w:val="0"/>
        <w:tabs>
          <w:tab w:val="center" w:pos="0"/>
        </w:tabs>
      </w:pPr>
      <w:r>
        <w:tab/>
        <w:t xml:space="preserve">Refirió </w:t>
      </w:r>
      <w:r>
        <w:rPr>
          <w:bCs/>
        </w:rPr>
        <w:t>Stiuso</w:t>
      </w:r>
      <w:r>
        <w:t xml:space="preserve"> que cuando vio por t</w:t>
      </w:r>
      <w:r>
        <w:t>e</w:t>
      </w:r>
      <w:r>
        <w:t>levisión el video en el que aparecía el juez y Telle</w:t>
      </w:r>
      <w:r>
        <w:t>l</w:t>
      </w:r>
      <w:r>
        <w:t>dín, entendió que lo que allí se mostraba se correspondía con lo que le había dicho Lucas en rel</w:t>
      </w:r>
      <w:r>
        <w:t>a</w:t>
      </w:r>
      <w:r>
        <w:t>ción a la hipótesis que barajaba el juzgado.</w:t>
      </w:r>
    </w:p>
    <w:p w:rsidR="00224567" w:rsidRDefault="00224567">
      <w:pPr>
        <w:widowControl w:val="0"/>
        <w:tabs>
          <w:tab w:val="center" w:pos="0"/>
        </w:tabs>
      </w:pPr>
      <w:r>
        <w:tab/>
        <w:t xml:space="preserve">Al comparecer </w:t>
      </w:r>
      <w:r>
        <w:rPr>
          <w:bCs/>
        </w:rPr>
        <w:t>Jorge Luis Lucas,</w:t>
      </w:r>
      <w:r>
        <w:t xml:space="preserve"> Dire</w:t>
      </w:r>
      <w:r>
        <w:t>c</w:t>
      </w:r>
      <w:r>
        <w:t>tor de Contrainteligencia entre los años 1992 y  1999,  coincidió con Stiuso en cuanto a que, por escrito, les llegó del juzgado una hipótesis de trab</w:t>
      </w:r>
      <w:r>
        <w:t>a</w:t>
      </w:r>
      <w:r>
        <w:t>jo que involucraba a policías bonaerenses en el atentado, la que fue desca</w:t>
      </w:r>
      <w:r>
        <w:t>r</w:t>
      </w:r>
      <w:r>
        <w:t>tada debido a que no se ajustaba con la información que su dirección había colectado; conclusión con la que también coincidían el FBI. y otras agencias de inteligencia e</w:t>
      </w:r>
      <w:r>
        <w:t>x</w:t>
      </w:r>
      <w:r>
        <w:t>tranj</w:t>
      </w:r>
      <w:r>
        <w:t>e</w:t>
      </w:r>
      <w:r>
        <w:t>ras.</w:t>
      </w:r>
    </w:p>
    <w:p w:rsidR="00224567" w:rsidRDefault="00224567">
      <w:pPr>
        <w:widowControl w:val="0"/>
        <w:tabs>
          <w:tab w:val="center" w:pos="0"/>
        </w:tabs>
      </w:pPr>
      <w:r>
        <w:tab/>
        <w:t>La declaración de los agentes menci</w:t>
      </w:r>
      <w:r>
        <w:t>o</w:t>
      </w:r>
      <w:r>
        <w:t xml:space="preserve">nados no hace más que confirmar cuanto se viene diciendo respecto del armado de la versión que incriminaba a los integrantes de </w:t>
      </w:r>
      <w:smartTag w:uri="urn:schemas-microsoft-com:office:smarttags" w:element="PersonName">
        <w:smartTagPr>
          <w:attr w:name="ProductID" w:val="la Polic￭a Bonaerense"/>
        </w:smartTagPr>
        <w:r>
          <w:t>la Policía Bonaerense</w:t>
        </w:r>
      </w:smartTag>
      <w:r>
        <w:t xml:space="preserve"> en el atentado a la mutual.</w:t>
      </w:r>
    </w:p>
    <w:p w:rsidR="00224567" w:rsidRDefault="00224567">
      <w:pPr>
        <w:widowControl w:val="0"/>
        <w:tabs>
          <w:tab w:val="center" w:pos="0"/>
        </w:tabs>
      </w:pPr>
      <w:r>
        <w:tab/>
      </w:r>
      <w:r>
        <w:tab/>
        <w:t>En ese sentido, adviértase que a pa</w:t>
      </w:r>
      <w:r>
        <w:t>r</w:t>
      </w:r>
      <w:r>
        <w:t>tir de la reunión entre Telleldín y Riva Aramayo del 5 de septiembre de 1995 y de la publicación del diario “P</w:t>
      </w:r>
      <w:r>
        <w:t>á</w:t>
      </w:r>
      <w:r>
        <w:t xml:space="preserve">gina </w:t>
      </w:r>
      <w:smartTag w:uri="urn:schemas-microsoft-com:office:smarttags" w:element="metricconverter">
        <w:smartTagPr>
          <w:attr w:name="ProductID" w:val="12”"/>
        </w:smartTagPr>
        <w:r>
          <w:t>12”</w:t>
        </w:r>
      </w:smartTag>
      <w:r>
        <w:t>, del 3 de noviembre de 1995, en el que se indica que “durante su confesión a Riva Aramayo, el principal impl</w:t>
      </w:r>
      <w:r>
        <w:t>i</w:t>
      </w:r>
      <w:r>
        <w:t>cado no señaló a Leal con su verdadero nombre y grado, sino que hizo referencia al sobre nombre ‘Pino´”, se pr</w:t>
      </w:r>
      <w:r>
        <w:t>o</w:t>
      </w:r>
      <w:r>
        <w:t>dujo la declaración del sargento M</w:t>
      </w:r>
      <w:r>
        <w:t>a</w:t>
      </w:r>
      <w:r>
        <w:t>nuel Enrique García.</w:t>
      </w:r>
    </w:p>
    <w:p w:rsidR="00224567" w:rsidRDefault="00224567">
      <w:pPr>
        <w:widowControl w:val="0"/>
        <w:tabs>
          <w:tab w:val="center" w:pos="0"/>
        </w:tabs>
      </w:pPr>
      <w:r>
        <w:tab/>
        <w:t xml:space="preserve">Según el matutino, como se vio, “la camarista entregó esta información a </w:t>
      </w:r>
      <w:smartTag w:uri="urn:schemas-microsoft-com:office:smarttags" w:element="PersonName">
        <w:smartTagPr>
          <w:attr w:name="ProductID" w:val="la SIDE"/>
        </w:smartTagPr>
        <w:r>
          <w:t>la SIDE</w:t>
        </w:r>
      </w:smartTag>
      <w:r>
        <w:t xml:space="preserve"> y al Minist</w:t>
      </w:r>
      <w:r>
        <w:t>e</w:t>
      </w:r>
      <w:r>
        <w:t>rio del Interior, y días después recibió un memo reservado donde se aclaraba que ‘Pino’ era el seudónimo del subcom</w:t>
      </w:r>
      <w:r>
        <w:t>i</w:t>
      </w:r>
      <w:r>
        <w:t>sario Leal”.</w:t>
      </w:r>
    </w:p>
    <w:p w:rsidR="00224567" w:rsidRDefault="00224567">
      <w:pPr>
        <w:widowControl w:val="0"/>
        <w:tabs>
          <w:tab w:val="center" w:pos="0"/>
        </w:tabs>
      </w:pPr>
      <w:r>
        <w:tab/>
        <w:t>Otra prueba del ardidoso entram</w:t>
      </w:r>
      <w:r>
        <w:t>a</w:t>
      </w:r>
      <w:r>
        <w:t>do lo constituye el escrito que presentó el 3 de julio de 1996 el Dr. Víctor Stinfale (fs. 24.200), mediante el cual s</w:t>
      </w:r>
      <w:r>
        <w:t>o</w:t>
      </w:r>
      <w:r>
        <w:t>licitó se fije audiencia a efectos de que T</w:t>
      </w:r>
      <w:r>
        <w:t>e</w:t>
      </w:r>
      <w:r>
        <w:t>lleldín amplíe su declaración indagatoria; ampliación que ese mismo día se dispuso se lleve a cabo el 5 de julio, constando al pie la notificación del fiscal.</w:t>
      </w:r>
    </w:p>
    <w:p w:rsidR="00224567" w:rsidRDefault="00224567">
      <w:pPr>
        <w:widowControl w:val="0"/>
        <w:tabs>
          <w:tab w:val="center" w:pos="0"/>
        </w:tabs>
      </w:pPr>
      <w:r>
        <w:tab/>
        <w:t>A fs. 24.213 luce el acta suscripta por el Dr. Carlos A. Velasco, secretario federal, en la que se dejó constancia que el 4 de julio de 1996 se not</w:t>
      </w:r>
      <w:r>
        <w:t>i</w:t>
      </w:r>
      <w:r>
        <w:t>ficó al Dr. Víctor Stinfale de la audiencia fijada a efe</w:t>
      </w:r>
      <w:r>
        <w:t>c</w:t>
      </w:r>
      <w:r>
        <w:t>tos de que Telleldín amplíe sus dichos.</w:t>
      </w:r>
    </w:p>
    <w:p w:rsidR="00224567" w:rsidRDefault="00224567">
      <w:pPr>
        <w:widowControl w:val="0"/>
        <w:tabs>
          <w:tab w:val="center" w:pos="0"/>
        </w:tabs>
      </w:pPr>
      <w:r>
        <w:tab/>
        <w:t>En ese contexto se inserta la orden del juez de brindar custodia a Ana María Boragni y sus h</w:t>
      </w:r>
      <w:r>
        <w:t>i</w:t>
      </w:r>
      <w:r>
        <w:t>jos Jessica y Damián Schiavone, Carlos Alberto y Nahuel Seba</w:t>
      </w:r>
      <w:r>
        <w:t>s</w:t>
      </w:r>
      <w:r>
        <w:t>tián Telleldín; como así también a Eduardo Telleldín y su grupo familiar (fs. 24.290); todo ello con base en el temor que expusi</w:t>
      </w:r>
      <w:r>
        <w:t>e</w:t>
      </w:r>
      <w:r>
        <w:t>ra el imputado en su indagatoria del 5 de julio de 1996.</w:t>
      </w:r>
    </w:p>
    <w:p w:rsidR="00224567" w:rsidRDefault="00224567">
      <w:pPr>
        <w:widowControl w:val="0"/>
        <w:tabs>
          <w:tab w:val="center" w:pos="0"/>
        </w:tabs>
      </w:pPr>
      <w:r>
        <w:tab/>
        <w:t>No puede dejar de señalarse la inver</w:t>
      </w:r>
      <w:r>
        <w:t>o</w:t>
      </w:r>
      <w:r>
        <w:t>símil situación que se dio en la causa; mientras por un lado los representantes del Ministerio Público Fiscal r</w:t>
      </w:r>
      <w:r>
        <w:t>e</w:t>
      </w:r>
      <w:r>
        <w:t>querían la indagatoria de Ana María Boragni, por consid</w:t>
      </w:r>
      <w:r>
        <w:t>e</w:t>
      </w:r>
      <w:r>
        <w:t>rarla partícipe necesaria del atentado, por el otro, el magistrado se encargaba de brindarle prote</w:t>
      </w:r>
      <w:r>
        <w:t>c</w:t>
      </w:r>
      <w:r>
        <w:t>ción con medios estatales, al igual que a Eduardo Telleldín, también imp</w:t>
      </w:r>
      <w:r>
        <w:t>u</w:t>
      </w:r>
      <w:r>
        <w:t>tado por esos días de la voladura de la mutual.</w:t>
      </w:r>
    </w:p>
    <w:p w:rsidR="00224567" w:rsidRDefault="00224567">
      <w:pPr>
        <w:widowControl w:val="0"/>
        <w:tabs>
          <w:tab w:val="center" w:pos="0"/>
        </w:tabs>
      </w:pPr>
      <w:r>
        <w:tab/>
        <w:t>Más aún, a fs. 103.241/103.245vta., el juez Galeano pretendió justificar la omisión de citar a Ana María Boragni a prestar declaración indagat</w:t>
      </w:r>
      <w:r>
        <w:t>o</w:t>
      </w:r>
      <w:r>
        <w:t>ria, en la circunstancia de que los jueces que intervenían en las causas, en las que se investigaba la asociación ilícita que ponía a la venta autos “armados”, no habían adoptado temperamento procesal alguno respecto de la nombrada; r</w:t>
      </w:r>
      <w:r>
        <w:t>a</w:t>
      </w:r>
      <w:r>
        <w:t>zonamiento que pareció olvidar cuan diversas eran las imputaciones que se le efectuaban a Boragni en este proc</w:t>
      </w:r>
      <w:r>
        <w:t>e</w:t>
      </w:r>
      <w:r>
        <w:t>so y en los formados por sus denuncias.</w:t>
      </w:r>
    </w:p>
    <w:p w:rsidR="00224567" w:rsidRDefault="00224567">
      <w:pPr>
        <w:widowControl w:val="0"/>
        <w:tabs>
          <w:tab w:val="center" w:pos="0"/>
        </w:tabs>
      </w:pPr>
      <w:r>
        <w:tab/>
        <w:t>Frente al cuadro expuesto, el pedido de los representantes del Ministerio Público Fiscal imp</w:t>
      </w:r>
      <w:r>
        <w:t>e</w:t>
      </w:r>
      <w:r>
        <w:t>trando que se le reciba declaración indagatoria a Ana M</w:t>
      </w:r>
      <w:r>
        <w:t>a</w:t>
      </w:r>
      <w:r>
        <w:t>ría Boragni, concretado el 2 de junio de 1995 (fs. 12.183/12.211vta.), luce como una maniobra disuasoria a efectos de que el nombrado concretase cuanto insinuaba; máxime que luego del 5 de julio de 1996 los fiscales no insistieron con esa pretensión.</w:t>
      </w:r>
    </w:p>
    <w:p w:rsidR="00224567" w:rsidRDefault="00224567">
      <w:pPr>
        <w:widowControl w:val="0"/>
        <w:tabs>
          <w:tab w:val="center" w:pos="0"/>
        </w:tabs>
        <w:rPr>
          <w:b/>
          <w:bCs/>
        </w:rPr>
      </w:pPr>
      <w:r>
        <w:tab/>
        <w:t>Las circunstancias arriba reseñadas explican, sin duda, la existencia de ese ardidoso entram</w:t>
      </w:r>
      <w:r>
        <w:t>a</w:t>
      </w:r>
      <w:r>
        <w:t>do que se viene enunciando, toda vez que al menos hasta el 6 de abril de 1997, fecha en que se exhibió públicamente el video del 1º de julio de 1996, la le</w:t>
      </w:r>
      <w:r>
        <w:t>c</w:t>
      </w:r>
      <w:r>
        <w:t>tura de la causa y el encabezamiento de la declaración indagatoria de Telle</w:t>
      </w:r>
      <w:r>
        <w:t>l</w:t>
      </w:r>
      <w:r>
        <w:t>dín del 5 de julio (fs. 24.223/24.249), en modo alguno permitía inferir el e</w:t>
      </w:r>
      <w:r>
        <w:t>s</w:t>
      </w:r>
      <w:r>
        <w:t>purio accionar del juez federal Juan José Galeano y de los demás funcionarios de su juzgado.</w:t>
      </w:r>
    </w:p>
    <w:p w:rsidR="00224567" w:rsidRDefault="00224567">
      <w:pPr>
        <w:widowControl w:val="0"/>
        <w:tabs>
          <w:tab w:val="center" w:pos="0"/>
        </w:tabs>
      </w:pPr>
      <w:r>
        <w:rPr>
          <w:b/>
          <w:bCs/>
        </w:rPr>
        <w:tab/>
        <w:t>G.5)</w:t>
      </w:r>
      <w:r>
        <w:t xml:space="preserve"> Luego de diversas incidencias m</w:t>
      </w:r>
      <w:r>
        <w:t>o</w:t>
      </w:r>
      <w:r>
        <w:t>tivadas por las idas y vueltas del Poder Ejecutivo Naci</w:t>
      </w:r>
      <w:r>
        <w:t>o</w:t>
      </w:r>
      <w:r>
        <w:t xml:space="preserve">nal –decretos n° 490/02, 41/03, 291/03 y resoluciones de </w:t>
      </w:r>
      <w:smartTag w:uri="urn:schemas-microsoft-com:office:smarttags" w:element="PersonName">
        <w:smartTagPr>
          <w:attr w:name="ProductID" w:val="la Secretar￭a"/>
        </w:smartTagPr>
        <w:r>
          <w:t>la Secretaría</w:t>
        </w:r>
      </w:smartTag>
      <w:r>
        <w:t xml:space="preserve"> de Inteligencia n° 256/02 y 2/03- fue pos</w:t>
      </w:r>
      <w:r>
        <w:t>i</w:t>
      </w:r>
      <w:r>
        <w:t>ble escuchar en el debate el testimonio de diversos age</w:t>
      </w:r>
      <w:r>
        <w:t>n</w:t>
      </w:r>
      <w:r>
        <w:t xml:space="preserve">tes de </w:t>
      </w:r>
      <w:smartTag w:uri="urn:schemas-microsoft-com:office:smarttags" w:element="PersonName">
        <w:smartTagPr>
          <w:attr w:name="ProductID" w:val="la Secretar￭a"/>
        </w:smartTagPr>
        <w:r>
          <w:t>la Secret</w:t>
        </w:r>
        <w:r>
          <w:t>a</w:t>
        </w:r>
        <w:r>
          <w:t>ría</w:t>
        </w:r>
      </w:smartTag>
      <w:r>
        <w:t xml:space="preserve"> de Inteligencia de </w:t>
      </w:r>
      <w:smartTag w:uri="urn:schemas-microsoft-com:office:smarttags" w:element="PersonName">
        <w:smartTagPr>
          <w:attr w:name="ProductID" w:val="la Presidencia"/>
        </w:smartTagPr>
        <w:r>
          <w:t>la Presidencia</w:t>
        </w:r>
      </w:smartTag>
      <w:r>
        <w:t xml:space="preserve"> de Nación.</w:t>
      </w:r>
    </w:p>
    <w:p w:rsidR="00224567" w:rsidRDefault="00224567">
      <w:pPr>
        <w:widowControl w:val="0"/>
        <w:tabs>
          <w:tab w:val="center" w:pos="0"/>
        </w:tabs>
      </w:pPr>
      <w:r>
        <w:tab/>
        <w:t>Todos ellos coincidieron, en té</w:t>
      </w:r>
      <w:r>
        <w:t>r</w:t>
      </w:r>
      <w:r>
        <w:t>minos generales, con la versión dada por Telleldín en el ju</w:t>
      </w:r>
      <w:r>
        <w:t>i</w:t>
      </w:r>
      <w:r>
        <w:t>cio acerca de la forma en que negoció con el juez instructor su declaración, como así también el modo en que se instr</w:t>
      </w:r>
      <w:r>
        <w:t>u</w:t>
      </w:r>
      <w:r>
        <w:t>mentó el cobro de los USD 400.000 que percibió por ella.</w:t>
      </w:r>
    </w:p>
    <w:p w:rsidR="00224567" w:rsidRDefault="00224567">
      <w:pPr>
        <w:widowControl w:val="0"/>
        <w:tabs>
          <w:tab w:val="center" w:pos="0"/>
        </w:tabs>
      </w:pPr>
      <w:r>
        <w:tab/>
        <w:t>Si bien, como se dijo, resulta escasa la credibilidad que puede otorgarse a los d</w:t>
      </w:r>
      <w:r>
        <w:t>i</w:t>
      </w:r>
      <w:r>
        <w:t>chos de Carlos Telleldín, en el caso concreto del pago sus manifestaci</w:t>
      </w:r>
      <w:r>
        <w:t>o</w:t>
      </w:r>
      <w:r>
        <w:t xml:space="preserve">nes se vieron plenamente corroborados con las reuniones con </w:t>
      </w:r>
      <w:smartTag w:uri="urn:schemas-microsoft-com:office:smarttags" w:element="PersonName">
        <w:smartTagPr>
          <w:attr w:name="ProductID" w:val="la Dra. Riva"/>
        </w:smartTagPr>
        <w:r>
          <w:t>la Dra. Riva</w:t>
        </w:r>
      </w:smartTag>
      <w:r>
        <w:t xml:space="preserve"> Aramayo, con la prueba documental que acredita la apertura de cuentas y cajas de seguridad, con las escuchas tel</w:t>
      </w:r>
      <w:r>
        <w:t>e</w:t>
      </w:r>
      <w:r>
        <w:t xml:space="preserve">fónicas que informan de las negociaciones y de los arreglos para realizar el pago y, finalmente, con los testimonios de los funcionarios de </w:t>
      </w:r>
      <w:smartTag w:uri="urn:schemas-microsoft-com:office:smarttags" w:element="PersonName">
        <w:smartTagPr>
          <w:attr w:name="ProductID" w:val="la Secretar￭a"/>
        </w:smartTagPr>
        <w:r>
          <w:t>la Secretaría</w:t>
        </w:r>
      </w:smartTag>
      <w:r>
        <w:t xml:space="preserve"> de Inteligencia que se encargaron de coordinar y m</w:t>
      </w:r>
      <w:r>
        <w:t>a</w:t>
      </w:r>
      <w:r>
        <w:t>terializar la entrega del dinero.</w:t>
      </w:r>
    </w:p>
    <w:p w:rsidR="00224567" w:rsidRDefault="00224567">
      <w:pPr>
        <w:widowControl w:val="0"/>
        <w:tabs>
          <w:tab w:val="center" w:pos="0"/>
        </w:tabs>
      </w:pPr>
      <w:r>
        <w:tab/>
        <w:t>Así, Isaac Eduardo García, agente de la referida secretaría, al deponer en la audie</w:t>
      </w:r>
      <w:r>
        <w:t>n</w:t>
      </w:r>
      <w:r>
        <w:t>cia del día 21 de agosto de 2003, recordó que intervino en un operat</w:t>
      </w:r>
      <w:r>
        <w:t>i</w:t>
      </w:r>
      <w:r>
        <w:t>vo en la provincia de Buenos A</w:t>
      </w:r>
      <w:r>
        <w:t>i</w:t>
      </w:r>
      <w:r>
        <w:t xml:space="preserve">res, en una calle paralela a </w:t>
      </w:r>
      <w:smartTag w:uri="urn:schemas-microsoft-com:office:smarttags" w:element="PersonName">
        <w:smartTagPr>
          <w:attr w:name="ProductID" w:val="la Avenida Rivadavia"/>
        </w:smartTagPr>
        <w:r>
          <w:t>la Avenida Rivadavia</w:t>
        </w:r>
      </w:smartTag>
      <w:r>
        <w:t>, junto con Brousson, Ruiz Díaz, G</w:t>
      </w:r>
      <w:r>
        <w:t>a</w:t>
      </w:r>
      <w:r>
        <w:t>linianis, Mesones y, quizás, González, en el que también participó Juan Carlos Legascue, que era un agente inorg</w:t>
      </w:r>
      <w:r>
        <w:t>á</w:t>
      </w:r>
      <w:r>
        <w:t>nico, es decir que cobraba sueldo sin ser contratado por el organismo de inteligencia.</w:t>
      </w:r>
    </w:p>
    <w:p w:rsidR="00224567" w:rsidRDefault="00224567">
      <w:pPr>
        <w:widowControl w:val="0"/>
        <w:tabs>
          <w:tab w:val="center" w:pos="0"/>
        </w:tabs>
      </w:pPr>
      <w:r>
        <w:tab/>
        <w:t>Dicho operativo, sostuvo, consi</w:t>
      </w:r>
      <w:r>
        <w:t>s</w:t>
      </w:r>
      <w:r>
        <w:t>tía en transportar en un maletín una suma importante de d</w:t>
      </w:r>
      <w:r>
        <w:t>i</w:t>
      </w:r>
      <w:r>
        <w:t>nero a una sucursal del “Banco Quilmes”; suma que estaba destin</w:t>
      </w:r>
      <w:r>
        <w:t>a</w:t>
      </w:r>
      <w:r>
        <w:t>da al pago de un libro. Su misión era vigilar el maletín a efectos de evitar que fuese sustraído, para lo cual se quedó en las inmediaciones del banco; así, comentó, obse</w:t>
      </w:r>
      <w:r>
        <w:t>r</w:t>
      </w:r>
      <w:r>
        <w:t>vó que la persona que llevaba dicho maletín ingresó en la entidad cr</w:t>
      </w:r>
      <w:r>
        <w:t>e</w:t>
      </w:r>
      <w:r>
        <w:t>diticia.</w:t>
      </w:r>
    </w:p>
    <w:p w:rsidR="00224567" w:rsidRDefault="00224567">
      <w:pPr>
        <w:widowControl w:val="0"/>
        <w:tabs>
          <w:tab w:val="center" w:pos="0"/>
        </w:tabs>
      </w:pPr>
      <w:r>
        <w:tab/>
        <w:t>Explicó que, en un bar vecino p</w:t>
      </w:r>
      <w:r>
        <w:t>u</w:t>
      </w:r>
      <w:r>
        <w:t>do ver a Legascue junto con Boragni y el Dr. Stinfale, quienes luego se dirigieron al banco. Asimismo recon</w:t>
      </w:r>
      <w:r>
        <w:t>o</w:t>
      </w:r>
      <w:r>
        <w:t>ció las voces de dicho agente y de Maiolo en la escucha de la línea 427-7829 perteneciente al teléfono celular de Ana María Bora</w:t>
      </w:r>
      <w:r>
        <w:t>g</w:t>
      </w:r>
      <w:r>
        <w:t>ni, en la que esta última y el letrado aparecen conversa</w:t>
      </w:r>
      <w:r>
        <w:t>n</w:t>
      </w:r>
      <w:r>
        <w:t>do con aqu</w:t>
      </w:r>
      <w:r>
        <w:t>e</w:t>
      </w:r>
      <w:r>
        <w:t>llos.</w:t>
      </w:r>
    </w:p>
    <w:p w:rsidR="00224567" w:rsidRDefault="00224567">
      <w:pPr>
        <w:widowControl w:val="0"/>
        <w:tabs>
          <w:tab w:val="center" w:pos="0"/>
        </w:tabs>
      </w:pPr>
      <w:r>
        <w:tab/>
        <w:t>En tales charlas se alude a un fru</w:t>
      </w:r>
      <w:r>
        <w:t>s</w:t>
      </w:r>
      <w:r>
        <w:t>trado encuentro, invocándose razones de seguridad, d</w:t>
      </w:r>
      <w:r>
        <w:t>e</w:t>
      </w:r>
      <w:r>
        <w:t>bido a la presencia de personas desconocidas, acordando el Dr. Sti</w:t>
      </w:r>
      <w:r>
        <w:t>n</w:t>
      </w:r>
      <w:r>
        <w:t>fale, el 4 de julio de 1996, con quien sería Legascue, reunirse al día siguiente, a la misma hora y lugar, ad</w:t>
      </w:r>
      <w:r>
        <w:t>u</w:t>
      </w:r>
      <w:r>
        <w:t>ciendo éste último que la demora se debía a cuestiones de i</w:t>
      </w:r>
      <w:r>
        <w:t>m</w:t>
      </w:r>
      <w:r>
        <w:t>plementación judicial.</w:t>
      </w:r>
    </w:p>
    <w:p w:rsidR="00224567" w:rsidRDefault="00224567">
      <w:pPr>
        <w:widowControl w:val="0"/>
        <w:tabs>
          <w:tab w:val="center" w:pos="0"/>
        </w:tabs>
      </w:pPr>
      <w:r>
        <w:tab/>
        <w:t xml:space="preserve">En este mismo sentido, </w:t>
      </w:r>
      <w:r>
        <w:rPr>
          <w:bCs/>
        </w:rPr>
        <w:t>Juan Carlos L</w:t>
      </w:r>
      <w:r>
        <w:rPr>
          <w:bCs/>
        </w:rPr>
        <w:t>e</w:t>
      </w:r>
      <w:r>
        <w:rPr>
          <w:bCs/>
        </w:rPr>
        <w:t>gascue</w:t>
      </w:r>
      <w:r>
        <w:t xml:space="preserve"> sostuvo que fue convocado por Alejandro Brousson para entrevistarse con Ana María Boragni a efectos de pa</w:t>
      </w:r>
      <w:r>
        <w:t>c</w:t>
      </w:r>
      <w:r>
        <w:t>tar las condiciones por la compra de los derechos de un libro. A ese fin, se encontró con la nombrada en el bar “Genoa”, a donde fue llevada por el agente Maiolo; allí pactaron las condiciones y se acordó pagar USD 400.000, la mitad antes de la firma, debiéndole entr</w:t>
      </w:r>
      <w:r>
        <w:t>e</w:t>
      </w:r>
      <w:r>
        <w:t>gar el borrador a la gente de Brousson.</w:t>
      </w:r>
    </w:p>
    <w:p w:rsidR="00224567" w:rsidRDefault="00224567">
      <w:pPr>
        <w:widowControl w:val="0"/>
        <w:tabs>
          <w:tab w:val="center" w:pos="0"/>
        </w:tabs>
      </w:pPr>
      <w:r>
        <w:tab/>
        <w:t>Expresó que en su presencia nada se firmó, sólo se hizo un “borrador mental” que luego se plasmó en una minuta; en ella se hacía referencia a la c</w:t>
      </w:r>
      <w:r>
        <w:t>e</w:t>
      </w:r>
      <w:r>
        <w:t>sión de derechos y a la renuncia a cualquier reclamo po</w:t>
      </w:r>
      <w:r>
        <w:t>s</w:t>
      </w:r>
      <w:r>
        <w:t>terior, sin definirse el ed</w:t>
      </w:r>
      <w:r>
        <w:t>i</w:t>
      </w:r>
      <w:r>
        <w:t>tor.</w:t>
      </w:r>
    </w:p>
    <w:p w:rsidR="00224567" w:rsidRDefault="00224567">
      <w:pPr>
        <w:widowControl w:val="0"/>
        <w:tabs>
          <w:tab w:val="center" w:pos="0"/>
        </w:tabs>
      </w:pPr>
      <w:r>
        <w:tab/>
        <w:t>Relató que el pagó se efectuó cuare</w:t>
      </w:r>
      <w:r>
        <w:t>n</w:t>
      </w:r>
      <w:r>
        <w:t>ta y ocho horas después de la reunión, en R</w:t>
      </w:r>
      <w:r>
        <w:t>a</w:t>
      </w:r>
      <w:r>
        <w:t>mos Mejía, dentro de un banco elegido por Boragni y su abogado, cerca de la oficina de éste. Según creyó recordar era el “Galicia”, habiéndose encargado de los arreglos Brousson. Interpretó, por los dichos de este último, que el juez estaba al tanto de la op</w:t>
      </w:r>
      <w:r>
        <w:t>e</w:t>
      </w:r>
      <w:r>
        <w:t>ración.</w:t>
      </w:r>
    </w:p>
    <w:p w:rsidR="00224567" w:rsidRDefault="00224567">
      <w:pPr>
        <w:widowControl w:val="0"/>
        <w:tabs>
          <w:tab w:val="center" w:pos="0"/>
        </w:tabs>
      </w:pPr>
      <w:r>
        <w:tab/>
        <w:t>Refirió que, una vez en el banco, al que concurrió junto con Brousson, hizo su ingreso Mai</w:t>
      </w:r>
      <w:r>
        <w:t>o</w:t>
      </w:r>
      <w:r>
        <w:t>lo, quien traía el dinero -entendió eran dólares- dentro del estuche de una videofilmadora, no recordando haber visto a Boragni entregar manuscrito alguno al momento de recibir el dinero, el que fue contado mediante una máquina por el empleado del banco; tras lo cual se dirigió al subsuelo junto con Boragni y su abogado.</w:t>
      </w:r>
    </w:p>
    <w:p w:rsidR="00224567" w:rsidRDefault="00224567">
      <w:pPr>
        <w:widowControl w:val="0"/>
        <w:tabs>
          <w:tab w:val="center" w:pos="0"/>
        </w:tabs>
      </w:pPr>
      <w:r>
        <w:tab/>
        <w:t>Luego de ello, Boragni llamó de</w:t>
      </w:r>
      <w:r>
        <w:t>s</w:t>
      </w:r>
      <w:r>
        <w:t>de un teléfono público a un número de teléfono celular que le había suministrado Brousson, diciéndole a su interloc</w:t>
      </w:r>
      <w:r>
        <w:t>u</w:t>
      </w:r>
      <w:r>
        <w:t>tor, que presumió era su marido, que ya estaba el din</w:t>
      </w:r>
      <w:r>
        <w:t>e</w:t>
      </w:r>
      <w:r>
        <w:t>ro, tras lo cual finalizó su cometido. Adujo que los llamados se efectuaron de la manera indicada, por razones de segur</w:t>
      </w:r>
      <w:r>
        <w:t>i</w:t>
      </w:r>
      <w:r>
        <w:t>dad, a efectos de que no quedasen regi</w:t>
      </w:r>
      <w:r>
        <w:t>s</w:t>
      </w:r>
      <w:r>
        <w:t>trados.</w:t>
      </w:r>
    </w:p>
    <w:p w:rsidR="00224567" w:rsidRDefault="00224567">
      <w:pPr>
        <w:widowControl w:val="0"/>
        <w:tabs>
          <w:tab w:val="center" w:pos="0"/>
        </w:tabs>
      </w:pPr>
      <w:r>
        <w:tab/>
        <w:t>Aclaró que el primer encuentro iba a ser con Boragni y su abogado en un café, pero en la oc</w:t>
      </w:r>
      <w:r>
        <w:t>a</w:t>
      </w:r>
      <w:r>
        <w:t>sión debió retirarse del lugar por cuanto Maiolo hizo s</w:t>
      </w:r>
      <w:r>
        <w:t>e</w:t>
      </w:r>
      <w:r>
        <w:t>ñas de que se abortaba el encuentro debido a la presencia de pe</w:t>
      </w:r>
      <w:r>
        <w:t>r</w:t>
      </w:r>
      <w:r>
        <w:t>sonas extrañas.</w:t>
      </w:r>
    </w:p>
    <w:p w:rsidR="00224567" w:rsidRDefault="00224567">
      <w:pPr>
        <w:widowControl w:val="0"/>
        <w:tabs>
          <w:tab w:val="center" w:pos="0"/>
        </w:tabs>
      </w:pPr>
      <w:r>
        <w:tab/>
        <w:t>Legascue reconoció su voz al reprod</w:t>
      </w:r>
      <w:r>
        <w:t>u</w:t>
      </w:r>
      <w:r>
        <w:t>cirse la escucha telefónica de la línea n° 427-7829 (Cas</w:t>
      </w:r>
      <w:r>
        <w:t>e</w:t>
      </w:r>
      <w:r>
        <w:t>te n° 3, del 4/07/96, lado “A”, vuelta 285), cuyo diálogo es el siguiente:</w:t>
      </w:r>
    </w:p>
    <w:p w:rsidR="00224567" w:rsidRDefault="00224567">
      <w:pPr>
        <w:widowControl w:val="0"/>
      </w:pPr>
      <w:r>
        <w:rPr>
          <w:b/>
        </w:rPr>
        <w:t>-</w:t>
      </w:r>
      <w:r>
        <w:t xml:space="preserve"> hola</w:t>
      </w:r>
    </w:p>
    <w:p w:rsidR="00224567" w:rsidRDefault="00224567">
      <w:pPr>
        <w:widowControl w:val="0"/>
      </w:pPr>
      <w:r>
        <w:rPr>
          <w:b/>
        </w:rPr>
        <w:t>-</w:t>
      </w:r>
      <w:r>
        <w:t xml:space="preserve"> Ana María, David habla. ¿Dónde están, en el lugar ya?</w:t>
      </w:r>
    </w:p>
    <w:p w:rsidR="00224567" w:rsidRDefault="00224567">
      <w:pPr>
        <w:widowControl w:val="0"/>
      </w:pPr>
      <w:r>
        <w:rPr>
          <w:b/>
        </w:rPr>
        <w:t>-</w:t>
      </w:r>
      <w:r>
        <w:t xml:space="preserve"> Espera un segundo que ya te paso (le pasa el tel</w:t>
      </w:r>
      <w:r>
        <w:t>é</w:t>
      </w:r>
      <w:r>
        <w:t>fono a Victor Stinfale [V])</w:t>
      </w:r>
    </w:p>
    <w:p w:rsidR="00224567" w:rsidRDefault="00224567">
      <w:pPr>
        <w:widowControl w:val="0"/>
      </w:pPr>
      <w:r>
        <w:rPr>
          <w:b/>
        </w:rPr>
        <w:t>-</w:t>
      </w:r>
      <w:r>
        <w:t xml:space="preserve"> hola</w:t>
      </w:r>
    </w:p>
    <w:p w:rsidR="00224567" w:rsidRDefault="00224567">
      <w:pPr>
        <w:widowControl w:val="0"/>
      </w:pPr>
      <w:r>
        <w:rPr>
          <w:b/>
        </w:rPr>
        <w:t>-</w:t>
      </w:r>
      <w:r>
        <w:t xml:space="preserve"> ¿doctor?</w:t>
      </w:r>
    </w:p>
    <w:p w:rsidR="00224567" w:rsidRDefault="00224567">
      <w:pPr>
        <w:widowControl w:val="0"/>
      </w:pPr>
      <w:r>
        <w:rPr>
          <w:b/>
        </w:rPr>
        <w:t>-</w:t>
      </w:r>
      <w:r>
        <w:t xml:space="preserve"> si</w:t>
      </w:r>
    </w:p>
    <w:p w:rsidR="00224567" w:rsidRDefault="00224567">
      <w:pPr>
        <w:widowControl w:val="0"/>
      </w:pPr>
      <w:r>
        <w:rPr>
          <w:b/>
        </w:rPr>
        <w:t>-</w:t>
      </w:r>
      <w:r>
        <w:t xml:space="preserve"> está resuelto eso ¿no?</w:t>
      </w:r>
    </w:p>
    <w:p w:rsidR="00224567" w:rsidRDefault="00224567">
      <w:pPr>
        <w:widowControl w:val="0"/>
      </w:pPr>
      <w:r>
        <w:rPr>
          <w:b/>
        </w:rPr>
        <w:t>-</w:t>
      </w:r>
      <w:r>
        <w:t xml:space="preserve"> si.</w:t>
      </w:r>
    </w:p>
    <w:p w:rsidR="00224567" w:rsidRDefault="00224567">
      <w:pPr>
        <w:widowControl w:val="0"/>
      </w:pPr>
      <w:r>
        <w:rPr>
          <w:b/>
        </w:rPr>
        <w:t>-</w:t>
      </w:r>
      <w:r>
        <w:t xml:space="preserve"> Bueno, mire. Vamos a tener una demora por cuesti</w:t>
      </w:r>
      <w:r>
        <w:t>o</w:t>
      </w:r>
      <w:r>
        <w:t>nes de implementación judicial.</w:t>
      </w:r>
    </w:p>
    <w:p w:rsidR="00224567" w:rsidRDefault="00224567">
      <w:pPr>
        <w:widowControl w:val="0"/>
      </w:pPr>
      <w:r>
        <w:rPr>
          <w:b/>
        </w:rPr>
        <w:t>-</w:t>
      </w:r>
      <w:r>
        <w:t xml:space="preserve"> Si.</w:t>
      </w:r>
    </w:p>
    <w:p w:rsidR="00224567" w:rsidRDefault="00224567">
      <w:pPr>
        <w:widowControl w:val="0"/>
      </w:pPr>
      <w:r>
        <w:rPr>
          <w:b/>
        </w:rPr>
        <w:t>-</w:t>
      </w:r>
      <w:r>
        <w:t xml:space="preserve"> para trasladar a la persona que conocemos....</w:t>
      </w:r>
    </w:p>
    <w:p w:rsidR="00224567" w:rsidRDefault="00224567">
      <w:pPr>
        <w:widowControl w:val="0"/>
      </w:pPr>
      <w:r>
        <w:rPr>
          <w:b/>
        </w:rPr>
        <w:t>-</w:t>
      </w:r>
      <w:r>
        <w:t xml:space="preserve"> si.</w:t>
      </w:r>
    </w:p>
    <w:p w:rsidR="00224567" w:rsidRDefault="00224567">
      <w:pPr>
        <w:widowControl w:val="0"/>
        <w:tabs>
          <w:tab w:val="left" w:pos="720"/>
          <w:tab w:val="left" w:pos="1440"/>
          <w:tab w:val="left" w:pos="2160"/>
          <w:tab w:val="left" w:pos="2880"/>
        </w:tabs>
      </w:pPr>
      <w:r>
        <w:rPr>
          <w:b/>
        </w:rPr>
        <w:t>-</w:t>
      </w:r>
      <w:r>
        <w:t xml:space="preserve"> ...hasta mañana</w:t>
      </w:r>
      <w:r>
        <w:tab/>
      </w:r>
    </w:p>
    <w:p w:rsidR="00224567" w:rsidRDefault="00224567">
      <w:pPr>
        <w:widowControl w:val="0"/>
      </w:pPr>
      <w:r>
        <w:rPr>
          <w:b/>
        </w:rPr>
        <w:t>-</w:t>
      </w:r>
      <w:r>
        <w:t xml:space="preserve"> Ah. ¿hasta mañana?</w:t>
      </w:r>
    </w:p>
    <w:p w:rsidR="00224567" w:rsidRDefault="00224567">
      <w:pPr>
        <w:widowControl w:val="0"/>
      </w:pPr>
      <w:r>
        <w:rPr>
          <w:b/>
        </w:rPr>
        <w:t>-</w:t>
      </w:r>
      <w:r>
        <w:t xml:space="preserve"> Hasta mañana, misma hora, mismo lugar, misma fo</w:t>
      </w:r>
      <w:r>
        <w:t>r</w:t>
      </w:r>
      <w:r>
        <w:t>ma.</w:t>
      </w:r>
    </w:p>
    <w:p w:rsidR="00224567" w:rsidRDefault="00224567">
      <w:pPr>
        <w:widowControl w:val="0"/>
      </w:pPr>
      <w:r>
        <w:rPr>
          <w:b/>
        </w:rPr>
        <w:t>-</w:t>
      </w:r>
      <w:r>
        <w:t xml:space="preserve"> Regio.</w:t>
      </w:r>
    </w:p>
    <w:p w:rsidR="00224567" w:rsidRDefault="00224567">
      <w:pPr>
        <w:widowControl w:val="0"/>
      </w:pPr>
      <w:r>
        <w:rPr>
          <w:b/>
        </w:rPr>
        <w:t>-</w:t>
      </w:r>
      <w:r>
        <w:t xml:space="preserve"> ¿eh?</w:t>
      </w:r>
    </w:p>
    <w:p w:rsidR="00224567" w:rsidRDefault="00224567">
      <w:pPr>
        <w:widowControl w:val="0"/>
      </w:pPr>
      <w:r>
        <w:rPr>
          <w:b/>
        </w:rPr>
        <w:t>-</w:t>
      </w:r>
      <w:r>
        <w:t xml:space="preserve"> Regio.</w:t>
      </w:r>
    </w:p>
    <w:p w:rsidR="00224567" w:rsidRDefault="00224567">
      <w:pPr>
        <w:widowControl w:val="0"/>
      </w:pPr>
      <w:r>
        <w:rPr>
          <w:b/>
        </w:rPr>
        <w:t>-</w:t>
      </w:r>
      <w:r>
        <w:t xml:space="preserve"> comprenda que son los tiempos judiciales.</w:t>
      </w:r>
    </w:p>
    <w:p w:rsidR="00224567" w:rsidRDefault="00224567">
      <w:pPr>
        <w:widowControl w:val="0"/>
      </w:pPr>
      <w:r>
        <w:rPr>
          <w:b/>
        </w:rPr>
        <w:t>-</w:t>
      </w:r>
      <w:r>
        <w:t xml:space="preserve"> como Ud. diga.</w:t>
      </w:r>
    </w:p>
    <w:p w:rsidR="00224567" w:rsidRDefault="00224567">
      <w:pPr>
        <w:widowControl w:val="0"/>
      </w:pPr>
      <w:r>
        <w:rPr>
          <w:b/>
        </w:rPr>
        <w:t>-</w:t>
      </w:r>
      <w:r>
        <w:t xml:space="preserve"> En el mismo lugar, a la misma hora, como hablamos.</w:t>
      </w:r>
    </w:p>
    <w:p w:rsidR="00224567" w:rsidRDefault="00224567">
      <w:pPr>
        <w:widowControl w:val="0"/>
      </w:pPr>
      <w:r>
        <w:rPr>
          <w:b/>
        </w:rPr>
        <w:t>-</w:t>
      </w:r>
      <w:r>
        <w:t xml:space="preserve"> Bueno quedamos así.</w:t>
      </w:r>
    </w:p>
    <w:p w:rsidR="00224567" w:rsidRDefault="00224567">
      <w:pPr>
        <w:widowControl w:val="0"/>
        <w:numPr>
          <w:ilvl w:val="0"/>
          <w:numId w:val="4"/>
        </w:numPr>
      </w:pPr>
      <w:r>
        <w:t>Gusto en escucharlo.</w:t>
      </w:r>
    </w:p>
    <w:p w:rsidR="00224567" w:rsidRDefault="00224567">
      <w:pPr>
        <w:widowControl w:val="0"/>
      </w:pPr>
      <w:r>
        <w:tab/>
        <w:t>Al respecto, explicó que dicha charla telefónica fue la que mantuvo con Boragni y Stinfale en la oportunidad arriba mencionada, que la referencia a una d</w:t>
      </w:r>
      <w:r>
        <w:t>e</w:t>
      </w:r>
      <w:r>
        <w:t>mora por los “tiempos judiciales” le fue indicada en esos términos por Brousson y que “David” era el nombre de c</w:t>
      </w:r>
      <w:r>
        <w:t>o</w:t>
      </w:r>
      <w:r>
        <w:t>bertura que él utilizaba.</w:t>
      </w:r>
    </w:p>
    <w:p w:rsidR="00224567" w:rsidRDefault="00224567">
      <w:pPr>
        <w:widowControl w:val="0"/>
      </w:pPr>
      <w:r>
        <w:tab/>
        <w:t>A su turno,</w:t>
      </w:r>
      <w:r>
        <w:rPr>
          <w:b/>
        </w:rPr>
        <w:t xml:space="preserve"> </w:t>
      </w:r>
      <w:r>
        <w:rPr>
          <w:bCs/>
        </w:rPr>
        <w:t>Héctor Salvador Maiolo</w:t>
      </w:r>
      <w:r>
        <w:rPr>
          <w:b/>
        </w:rPr>
        <w:t>,</w:t>
      </w:r>
      <w:r>
        <w:t xml:space="preserve"> cuya identidad de cobertura era Julio Mansur, tras r</w:t>
      </w:r>
      <w:r>
        <w:t>e</w:t>
      </w:r>
      <w:r>
        <w:t>latar diversas tareas relacionadas con la causa, indicó que en junio de 1996 le encomendaron, por razones de seguridad, vigilar a Boragni pues, según Finnen, el juez estaba i</w:t>
      </w:r>
      <w:r>
        <w:t>n</w:t>
      </w:r>
      <w:r>
        <w:t>teresado en ello.</w:t>
      </w:r>
    </w:p>
    <w:p w:rsidR="00224567" w:rsidRDefault="00224567">
      <w:pPr>
        <w:widowControl w:val="0"/>
        <w:tabs>
          <w:tab w:val="center" w:pos="0"/>
        </w:tabs>
      </w:pPr>
      <w:r>
        <w:tab/>
        <w:t>Asimismo, indicó que tres semanas de</w:t>
      </w:r>
      <w:r>
        <w:t>s</w:t>
      </w:r>
      <w:r>
        <w:t>pués tomó contacto con la nombrada en la fila para ingr</w:t>
      </w:r>
      <w:r>
        <w:t>e</w:t>
      </w:r>
      <w:r>
        <w:t>sar al penal, explicándole que él era Julio y que quería reunirse con ella en relación con la compra de un libro que estaba negociando su esposo, respondiéndole la mujer que estaba interesada en vender.</w:t>
      </w:r>
    </w:p>
    <w:p w:rsidR="00224567" w:rsidRDefault="00224567">
      <w:pPr>
        <w:widowControl w:val="0"/>
        <w:tabs>
          <w:tab w:val="center" w:pos="0"/>
        </w:tabs>
      </w:pPr>
      <w:r>
        <w:tab/>
        <w:t>Maiolo agregó que tras ello preparó una reunión para el día siguiente a la noche, en un bar de la zona de Chacarita, habiéndolo acompañado Juan Carlos Legascue, a quien aludían como “J.C.”. Una vez en el bar, acotó, llegó Boragni con un señor en momentos en los que también vio aparecer a otras personas y, en la calle, a dos o tres automóviles Ford Falcon; circunstancia que d</w:t>
      </w:r>
      <w:r>
        <w:t>e</w:t>
      </w:r>
      <w:r>
        <w:t>terminó que le hiciera una seña a Legascue, abortando el encue</w:t>
      </w:r>
      <w:r>
        <w:t>n</w:t>
      </w:r>
      <w:r>
        <w:t>tro.</w:t>
      </w:r>
    </w:p>
    <w:p w:rsidR="00224567" w:rsidRDefault="00224567">
      <w:pPr>
        <w:widowControl w:val="0"/>
        <w:tabs>
          <w:tab w:val="center" w:pos="0"/>
        </w:tabs>
      </w:pPr>
      <w:r>
        <w:tab/>
        <w:t>Maiolo recordó que esa noche llamó a Boragni por teléfono, ocasión en la que ésta le recr</w:t>
      </w:r>
      <w:r>
        <w:t>i</w:t>
      </w:r>
      <w:r>
        <w:t>minó por la espera, explicándole lo sucedido, quedando en com</w:t>
      </w:r>
      <w:r>
        <w:t>u</w:t>
      </w:r>
      <w:r>
        <w:t>nicarse nuevamente.</w:t>
      </w:r>
    </w:p>
    <w:p w:rsidR="00224567" w:rsidRDefault="00224567">
      <w:pPr>
        <w:widowControl w:val="0"/>
        <w:tabs>
          <w:tab w:val="center" w:pos="0"/>
        </w:tabs>
      </w:pPr>
      <w:r>
        <w:tab/>
        <w:t>Acordado un nuevo encuentro, llevó a Boragni a un bar ubicado en Monroe y Cabildo, donde le presentó a Legascue como el “Dr. David”, tras lo cual se retiró, permaneciendo en las cerc</w:t>
      </w:r>
      <w:r>
        <w:t>a</w:t>
      </w:r>
      <w:r>
        <w:t>nías. Reseñó que David, según tenía entendido, debía arreglar los términos de la compra de los derechos del libro; términos que Boragni aceptó y que, según comentarios de Legascue en la base, consistían en el pago de USD 400.000, que se abonarían en dos cuotas de USD 200.000 cada una.</w:t>
      </w:r>
    </w:p>
    <w:p w:rsidR="00224567" w:rsidRDefault="00224567">
      <w:pPr>
        <w:widowControl w:val="0"/>
        <w:tabs>
          <w:tab w:val="center" w:pos="0"/>
        </w:tabs>
      </w:pPr>
      <w:r>
        <w:tab/>
        <w:t>Agregó que su misión era que Boragni se juntara con el dinero, conociendo que el pago se efe</w:t>
      </w:r>
      <w:r>
        <w:t>c</w:t>
      </w:r>
      <w:r>
        <w:t>tuaba a cambio de la entrega de un manuscrito con la hi</w:t>
      </w:r>
      <w:r>
        <w:t>s</w:t>
      </w:r>
      <w:r>
        <w:t>toria de los que se habían llevado la camioneta. Aclaró que el operativo fue orden</w:t>
      </w:r>
      <w:r>
        <w:t>a</w:t>
      </w:r>
      <w:r>
        <w:t>do por Brousson y que de éste, según e</w:t>
      </w:r>
      <w:r>
        <w:t>n</w:t>
      </w:r>
      <w:r>
        <w:t>tendía, no era ajeno el juzgado dado que Finnen y Brousson habían hablado con el juez.</w:t>
      </w:r>
    </w:p>
    <w:p w:rsidR="00224567" w:rsidRDefault="00224567">
      <w:pPr>
        <w:widowControl w:val="0"/>
        <w:tabs>
          <w:tab w:val="center" w:pos="0"/>
        </w:tabs>
      </w:pPr>
      <w:r>
        <w:tab/>
        <w:t>El testigo precisó que al día siguie</w:t>
      </w:r>
      <w:r>
        <w:t>n</w:t>
      </w:r>
      <w:r>
        <w:t>te participó de la entrega del dinero que se convino re</w:t>
      </w:r>
      <w:r>
        <w:t>a</w:t>
      </w:r>
      <w:r>
        <w:t>lizar en un banco de la localidad de Ramos Mejía, hasta donde concurrió en compañía de Lagascue y Brousson. Expl</w:t>
      </w:r>
      <w:r>
        <w:t>i</w:t>
      </w:r>
      <w:r>
        <w:t>có que al llegar este último le entregó un bolsito de una cámara de video conteniendo USD 200.000 y que Legascue, que había bajado del auto unas cuadras antes, portaba un “attaché” vacío. Afirmó que en la zona aledaña al banco había seg</w:t>
      </w:r>
      <w:r>
        <w:t>u</w:t>
      </w:r>
      <w:r>
        <w:t xml:space="preserve">ridad de </w:t>
      </w:r>
      <w:smartTag w:uri="urn:schemas-microsoft-com:office:smarttags" w:element="PersonName">
        <w:smartTagPr>
          <w:attr w:name="ProductID" w:val="la S.I"/>
        </w:smartTagPr>
        <w:r>
          <w:t>la S.I</w:t>
        </w:r>
      </w:smartTag>
      <w:r>
        <w:t>.D.E., aunque no la vio.</w:t>
      </w:r>
    </w:p>
    <w:p w:rsidR="00224567" w:rsidRDefault="00224567">
      <w:pPr>
        <w:widowControl w:val="0"/>
        <w:tabs>
          <w:tab w:val="center" w:pos="0"/>
        </w:tabs>
      </w:pPr>
      <w:r>
        <w:tab/>
        <w:t>Añadió que ingresó al banco con el bolsito y tras entregárselo a Legascue se retiró; que tras ellos el nombrado llevó a Boragni, que lo acompañaba, a una c</w:t>
      </w:r>
      <w:r>
        <w:t>a</w:t>
      </w:r>
      <w:r>
        <w:t>bina de teléfono público desde donde ésta realizó un ll</w:t>
      </w:r>
      <w:r>
        <w:t>a</w:t>
      </w:r>
      <w:r>
        <w:t>mado.</w:t>
      </w:r>
    </w:p>
    <w:p w:rsidR="00224567" w:rsidRDefault="00224567">
      <w:pPr>
        <w:widowControl w:val="0"/>
        <w:tabs>
          <w:tab w:val="center" w:pos="0"/>
        </w:tabs>
      </w:pPr>
      <w:r>
        <w:tab/>
        <w:t>Refirió que, en el trayecto de regr</w:t>
      </w:r>
      <w:r>
        <w:t>e</w:t>
      </w:r>
      <w:r>
        <w:t>so a la base, Legascue, que había permanecido media hora en la entidad bancaria, no efectúo comentario alguno acerca de la entrega de un manuscrito.</w:t>
      </w:r>
    </w:p>
    <w:p w:rsidR="00224567" w:rsidRDefault="00224567">
      <w:pPr>
        <w:widowControl w:val="0"/>
        <w:tabs>
          <w:tab w:val="center" w:pos="0"/>
        </w:tabs>
      </w:pPr>
      <w:r>
        <w:tab/>
        <w:t>Maiolo también relató los pormenores del pago de la segunda cuota a Boragni, oc</w:t>
      </w:r>
      <w:r>
        <w:t>u</w:t>
      </w:r>
      <w:r>
        <w:t>rrido en el mes de octubre de 1996. Al respecto, explicó que se llevó a cabo en un banco ubicado en Cabildo y Monroe de esta ci</w:t>
      </w:r>
      <w:r>
        <w:t>u</w:t>
      </w:r>
      <w:r>
        <w:t>dad, en diagonal a la pizzería “Génova”, hasta donde co</w:t>
      </w:r>
      <w:r>
        <w:t>n</w:t>
      </w:r>
      <w:r>
        <w:t>currió solo, en tanto Brousson, quien le ordenó hacerlo, se enco</w:t>
      </w:r>
      <w:r>
        <w:t>n</w:t>
      </w:r>
      <w:r>
        <w:t>traba en la zona.</w:t>
      </w:r>
    </w:p>
    <w:p w:rsidR="00224567" w:rsidRDefault="00224567">
      <w:pPr>
        <w:widowControl w:val="0"/>
        <w:tabs>
          <w:tab w:val="center" w:pos="0"/>
        </w:tabs>
      </w:pPr>
      <w:r>
        <w:tab/>
        <w:t>Refirió que llevó el dinero en el mi</w:t>
      </w:r>
      <w:r>
        <w:t>s</w:t>
      </w:r>
      <w:r>
        <w:t>mo bolsito usado la vez anterior, descendiendo con Boragni al subsuelo del banco, donde, después de co</w:t>
      </w:r>
      <w:r>
        <w:t>n</w:t>
      </w:r>
      <w:r>
        <w:t>tarlo, ésta lo guardó en una caja de seguridad, que al parecer tenía; oportunidad en que, a modo de recibo, filmó la entrega con una cámara oculta, pr</w:t>
      </w:r>
      <w:r>
        <w:t>e</w:t>
      </w:r>
      <w:r>
        <w:t>parada con una lente “gran angular” que permitía a corta distancia tomar a Boragni de cuerpo entero. Dichas imágenes fueron vistas por Brousson y, s</w:t>
      </w:r>
      <w:r>
        <w:t>e</w:t>
      </w:r>
      <w:r>
        <w:t>gún entendía, la cinta quedó en la base.</w:t>
      </w:r>
    </w:p>
    <w:p w:rsidR="00224567" w:rsidRDefault="00224567">
      <w:pPr>
        <w:widowControl w:val="0"/>
        <w:tabs>
          <w:tab w:val="center" w:pos="0"/>
        </w:tabs>
      </w:pPr>
      <w:r>
        <w:tab/>
        <w:t>Propaladas en la audiencia las conve</w:t>
      </w:r>
      <w:r>
        <w:t>r</w:t>
      </w:r>
      <w:r>
        <w:t>saciones telefónicas que a continuación se transcriben, reconoció haber intervenido en ellas y que la voz de su interlocutora pertenecía a Ana M</w:t>
      </w:r>
      <w:r>
        <w:t>a</w:t>
      </w:r>
      <w:r>
        <w:t>ría Boragni.</w:t>
      </w:r>
    </w:p>
    <w:p w:rsidR="00224567" w:rsidRDefault="00224567">
      <w:pPr>
        <w:widowControl w:val="0"/>
        <w:rPr>
          <w:bCs/>
        </w:rPr>
      </w:pPr>
      <w:r>
        <w:rPr>
          <w:bCs/>
        </w:rPr>
        <w:tab/>
        <w:t>Abonado telefónico n° 780-0520</w:t>
      </w:r>
    </w:p>
    <w:p w:rsidR="00224567" w:rsidRDefault="00224567">
      <w:pPr>
        <w:widowControl w:val="0"/>
        <w:rPr>
          <w:bCs/>
        </w:rPr>
      </w:pPr>
      <w:r>
        <w:rPr>
          <w:bCs/>
        </w:rPr>
        <w:tab/>
        <w:t>Casete n° 11, del 4/07/1996, lado “A”.</w:t>
      </w:r>
    </w:p>
    <w:p w:rsidR="00224567" w:rsidRDefault="00224567">
      <w:pPr>
        <w:widowControl w:val="0"/>
        <w:rPr>
          <w:bCs/>
        </w:rPr>
      </w:pPr>
      <w:r>
        <w:rPr>
          <w:bCs/>
        </w:rPr>
        <w:t>A: qué pasó?</w:t>
      </w:r>
    </w:p>
    <w:p w:rsidR="00224567" w:rsidRDefault="00224567">
      <w:pPr>
        <w:widowControl w:val="0"/>
        <w:rPr>
          <w:bCs/>
        </w:rPr>
      </w:pPr>
      <w:r>
        <w:rPr>
          <w:bCs/>
        </w:rPr>
        <w:t>M: y, algo salió mal Ana.</w:t>
      </w:r>
    </w:p>
    <w:p w:rsidR="00224567" w:rsidRDefault="00224567">
      <w:pPr>
        <w:widowControl w:val="0"/>
        <w:rPr>
          <w:bCs/>
        </w:rPr>
      </w:pPr>
      <w:r>
        <w:rPr>
          <w:bCs/>
        </w:rPr>
        <w:t>A: ¿por qué? ¿qué pasó?</w:t>
      </w:r>
    </w:p>
    <w:p w:rsidR="00224567" w:rsidRDefault="00224567">
      <w:pPr>
        <w:widowControl w:val="0"/>
        <w:rPr>
          <w:bCs/>
        </w:rPr>
      </w:pPr>
      <w:r>
        <w:rPr>
          <w:bCs/>
        </w:rPr>
        <w:t>M: no sé. Alguien... terceras persona, no tengo idea. Pero algo salió mal. Eh... sabés de que habl</w:t>
      </w:r>
      <w:r>
        <w:rPr>
          <w:bCs/>
        </w:rPr>
        <w:t>a</w:t>
      </w:r>
      <w:r>
        <w:rPr>
          <w:bCs/>
        </w:rPr>
        <w:t>mos no?</w:t>
      </w:r>
    </w:p>
    <w:p w:rsidR="00224567" w:rsidRDefault="00224567">
      <w:pPr>
        <w:widowControl w:val="0"/>
        <w:rPr>
          <w:bCs/>
        </w:rPr>
      </w:pPr>
      <w:r>
        <w:rPr>
          <w:bCs/>
        </w:rPr>
        <w:t>A: si.</w:t>
      </w:r>
    </w:p>
    <w:p w:rsidR="00224567" w:rsidRDefault="00224567">
      <w:pPr>
        <w:widowControl w:val="0"/>
        <w:rPr>
          <w:bCs/>
        </w:rPr>
      </w:pPr>
      <w:r>
        <w:rPr>
          <w:bCs/>
        </w:rPr>
        <w:t>M: bueno.. Así que vamos a hacer una cosa. Mañana d</w:t>
      </w:r>
      <w:r>
        <w:rPr>
          <w:bCs/>
        </w:rPr>
        <w:t>u</w:t>
      </w:r>
      <w:r>
        <w:rPr>
          <w:bCs/>
        </w:rPr>
        <w:t>rante el día...</w:t>
      </w:r>
    </w:p>
    <w:p w:rsidR="00224567" w:rsidRDefault="00224567">
      <w:pPr>
        <w:widowControl w:val="0"/>
        <w:rPr>
          <w:bCs/>
        </w:rPr>
      </w:pPr>
      <w:r>
        <w:rPr>
          <w:bCs/>
        </w:rPr>
        <w:t>A: si.</w:t>
      </w:r>
    </w:p>
    <w:p w:rsidR="00224567" w:rsidRDefault="00224567">
      <w:pPr>
        <w:widowControl w:val="0"/>
        <w:rPr>
          <w:bCs/>
        </w:rPr>
      </w:pPr>
      <w:r>
        <w:rPr>
          <w:bCs/>
        </w:rPr>
        <w:t>M: vamos a tomar contacto nuevamente.</w:t>
      </w:r>
    </w:p>
    <w:p w:rsidR="00224567" w:rsidRDefault="00224567">
      <w:pPr>
        <w:widowControl w:val="0"/>
        <w:rPr>
          <w:bCs/>
        </w:rPr>
      </w:pPr>
      <w:r>
        <w:rPr>
          <w:bCs/>
        </w:rPr>
        <w:t>A: bueno.</w:t>
      </w:r>
    </w:p>
    <w:p w:rsidR="00224567" w:rsidRDefault="00224567">
      <w:pPr>
        <w:widowControl w:val="0"/>
        <w:rPr>
          <w:bCs/>
        </w:rPr>
      </w:pPr>
      <w:r>
        <w:rPr>
          <w:bCs/>
        </w:rPr>
        <w:t>M: te parece bien?</w:t>
      </w:r>
    </w:p>
    <w:p w:rsidR="00224567" w:rsidRDefault="00224567">
      <w:pPr>
        <w:widowControl w:val="0"/>
        <w:rPr>
          <w:bCs/>
        </w:rPr>
      </w:pPr>
      <w:r>
        <w:rPr>
          <w:bCs/>
        </w:rPr>
        <w:t>A: si</w:t>
      </w:r>
    </w:p>
    <w:p w:rsidR="00224567" w:rsidRDefault="00224567">
      <w:pPr>
        <w:widowControl w:val="0"/>
        <w:rPr>
          <w:bCs/>
        </w:rPr>
      </w:pPr>
      <w:r>
        <w:rPr>
          <w:bCs/>
        </w:rPr>
        <w:t>M: porque hubo terceras personas que no tenemos idea ¿vi</w:t>
      </w:r>
      <w:r>
        <w:rPr>
          <w:bCs/>
        </w:rPr>
        <w:t>s</w:t>
      </w:r>
      <w:r>
        <w:rPr>
          <w:bCs/>
        </w:rPr>
        <w:t>te?. Pero por ahora seguimos ahí ¿eh?. ¿quedamos así?</w:t>
      </w:r>
    </w:p>
    <w:p w:rsidR="00224567" w:rsidRDefault="00224567">
      <w:pPr>
        <w:widowControl w:val="0"/>
        <w:rPr>
          <w:bCs/>
        </w:rPr>
      </w:pPr>
      <w:r>
        <w:rPr>
          <w:bCs/>
        </w:rPr>
        <w:t>A: bueno... lo que pasa que nos hubieran avisado, porque estuvimos hasta las nueve de la noche.</w:t>
      </w:r>
    </w:p>
    <w:p w:rsidR="00224567" w:rsidRDefault="00224567">
      <w:pPr>
        <w:widowControl w:val="0"/>
        <w:rPr>
          <w:bCs/>
        </w:rPr>
      </w:pPr>
      <w:r>
        <w:rPr>
          <w:bCs/>
        </w:rPr>
        <w:t>M: que lo que pasó es que... hubo que hacer otras c</w:t>
      </w:r>
      <w:r>
        <w:rPr>
          <w:bCs/>
        </w:rPr>
        <w:t>o</w:t>
      </w:r>
      <w:r>
        <w:rPr>
          <w:bCs/>
        </w:rPr>
        <w:t>sas.</w:t>
      </w:r>
    </w:p>
    <w:p w:rsidR="00224567" w:rsidRDefault="00224567">
      <w:pPr>
        <w:widowControl w:val="0"/>
        <w:rPr>
          <w:bCs/>
        </w:rPr>
      </w:pPr>
      <w:r>
        <w:rPr>
          <w:bCs/>
        </w:rPr>
        <w:t>A: claro</w:t>
      </w:r>
    </w:p>
    <w:p w:rsidR="00224567" w:rsidRDefault="00224567">
      <w:pPr>
        <w:widowControl w:val="0"/>
        <w:rPr>
          <w:bCs/>
        </w:rPr>
      </w:pPr>
      <w:r>
        <w:rPr>
          <w:bCs/>
        </w:rPr>
        <w:t>M: ¿de acuerdo?</w:t>
      </w:r>
    </w:p>
    <w:p w:rsidR="00224567" w:rsidRDefault="00224567">
      <w:pPr>
        <w:widowControl w:val="0"/>
        <w:rPr>
          <w:bCs/>
        </w:rPr>
      </w:pPr>
      <w:r>
        <w:rPr>
          <w:bCs/>
        </w:rPr>
        <w:t>A: entiendo.</w:t>
      </w:r>
    </w:p>
    <w:p w:rsidR="00224567" w:rsidRDefault="00224567">
      <w:pPr>
        <w:widowControl w:val="0"/>
        <w:rPr>
          <w:bCs/>
        </w:rPr>
      </w:pPr>
      <w:r>
        <w:rPr>
          <w:bCs/>
        </w:rPr>
        <w:t>M: pero necesitamos sacar todas las cosas que no son nue</w:t>
      </w:r>
      <w:r>
        <w:rPr>
          <w:bCs/>
        </w:rPr>
        <w:t>s</w:t>
      </w:r>
      <w:r>
        <w:rPr>
          <w:bCs/>
        </w:rPr>
        <w:t>tras, te das cuenta?. Que no haya otra gente.</w:t>
      </w:r>
    </w:p>
    <w:p w:rsidR="00224567" w:rsidRDefault="00224567">
      <w:pPr>
        <w:widowControl w:val="0"/>
        <w:rPr>
          <w:bCs/>
        </w:rPr>
      </w:pPr>
      <w:r>
        <w:rPr>
          <w:bCs/>
        </w:rPr>
        <w:t>A: mire. Yo todo lo que le quiero decir, que espero que tanto mis hijos como yo, no nos pase nada...</w:t>
      </w:r>
    </w:p>
    <w:p w:rsidR="00224567" w:rsidRDefault="00224567">
      <w:pPr>
        <w:widowControl w:val="0"/>
        <w:rPr>
          <w:bCs/>
        </w:rPr>
      </w:pPr>
      <w:r>
        <w:rPr>
          <w:bCs/>
        </w:rPr>
        <w:t>M: no, por favor Ana, no me diga eso.</w:t>
      </w:r>
    </w:p>
    <w:p w:rsidR="00224567" w:rsidRDefault="00224567">
      <w:pPr>
        <w:widowControl w:val="0"/>
        <w:rPr>
          <w:bCs/>
        </w:rPr>
      </w:pPr>
      <w:r>
        <w:rPr>
          <w:bCs/>
        </w:rPr>
        <w:t>A: escúcheme una cosa. Ustedes más que nadie deben saber que yo trabajo...</w:t>
      </w:r>
    </w:p>
    <w:p w:rsidR="00224567" w:rsidRDefault="00224567">
      <w:pPr>
        <w:widowControl w:val="0"/>
        <w:rPr>
          <w:bCs/>
        </w:rPr>
      </w:pPr>
      <w:r>
        <w:rPr>
          <w:bCs/>
        </w:rPr>
        <w:t>M: si.</w:t>
      </w:r>
    </w:p>
    <w:p w:rsidR="00224567" w:rsidRDefault="00224567">
      <w:pPr>
        <w:widowControl w:val="0"/>
        <w:rPr>
          <w:bCs/>
        </w:rPr>
      </w:pPr>
      <w:r>
        <w:rPr>
          <w:bCs/>
        </w:rPr>
        <w:t>A: ¿no es cierto?, bueno o malo, lo tengo.</w:t>
      </w:r>
    </w:p>
    <w:p w:rsidR="00224567" w:rsidRDefault="00224567">
      <w:pPr>
        <w:widowControl w:val="0"/>
        <w:rPr>
          <w:bCs/>
        </w:rPr>
      </w:pPr>
      <w:r>
        <w:rPr>
          <w:bCs/>
        </w:rPr>
        <w:t>M: está bien. No hay problema.</w:t>
      </w:r>
    </w:p>
    <w:p w:rsidR="00224567" w:rsidRDefault="00224567">
      <w:pPr>
        <w:widowControl w:val="0"/>
        <w:rPr>
          <w:bCs/>
        </w:rPr>
      </w:pPr>
      <w:r>
        <w:rPr>
          <w:bCs/>
        </w:rPr>
        <w:t>A: y yo soy una laburante.... no entiendo nada de e</w:t>
      </w:r>
      <w:r>
        <w:rPr>
          <w:bCs/>
        </w:rPr>
        <w:t>s</w:t>
      </w:r>
      <w:r>
        <w:rPr>
          <w:bCs/>
        </w:rPr>
        <w:t>to...</w:t>
      </w:r>
    </w:p>
    <w:p w:rsidR="00224567" w:rsidRDefault="00224567">
      <w:pPr>
        <w:widowControl w:val="0"/>
        <w:rPr>
          <w:bCs/>
        </w:rPr>
      </w:pPr>
      <w:r>
        <w:rPr>
          <w:bCs/>
        </w:rPr>
        <w:t>M: no, no. Pero sabe que pasa...</w:t>
      </w:r>
    </w:p>
    <w:p w:rsidR="00224567" w:rsidRDefault="00224567">
      <w:pPr>
        <w:widowControl w:val="0"/>
        <w:rPr>
          <w:bCs/>
        </w:rPr>
      </w:pPr>
      <w:r>
        <w:rPr>
          <w:bCs/>
        </w:rPr>
        <w:t>A: Y no me interesa complicarme en..., me parecía que e</w:t>
      </w:r>
      <w:r>
        <w:rPr>
          <w:bCs/>
        </w:rPr>
        <w:t>s</w:t>
      </w:r>
      <w:r>
        <w:rPr>
          <w:bCs/>
        </w:rPr>
        <w:t>taba adentro de una película de poliladron yo...</w:t>
      </w:r>
    </w:p>
    <w:p w:rsidR="00224567" w:rsidRDefault="00224567">
      <w:pPr>
        <w:widowControl w:val="0"/>
        <w:rPr>
          <w:bCs/>
        </w:rPr>
      </w:pPr>
      <w:r>
        <w:rPr>
          <w:bCs/>
        </w:rPr>
        <w:t>M: No, pero escuchame una cosa. Vos te diste cuenta de a</w:t>
      </w:r>
      <w:r>
        <w:rPr>
          <w:bCs/>
        </w:rPr>
        <w:t>l</w:t>
      </w:r>
      <w:r>
        <w:rPr>
          <w:bCs/>
        </w:rPr>
        <w:t>go también, ¿no es así?</w:t>
      </w:r>
    </w:p>
    <w:p w:rsidR="00224567" w:rsidRDefault="00224567">
      <w:pPr>
        <w:widowControl w:val="0"/>
        <w:rPr>
          <w:bCs/>
        </w:rPr>
      </w:pPr>
      <w:r>
        <w:rPr>
          <w:bCs/>
        </w:rPr>
        <w:t>A: si. Pero yo pensé que era de parte suya.</w:t>
      </w:r>
    </w:p>
    <w:p w:rsidR="00224567" w:rsidRDefault="00224567">
      <w:pPr>
        <w:widowControl w:val="0"/>
        <w:rPr>
          <w:bCs/>
        </w:rPr>
      </w:pPr>
      <w:r>
        <w:rPr>
          <w:bCs/>
        </w:rPr>
        <w:t>M: Viste vos, viste vos..., te das cuenta, ves que hay a</w:t>
      </w:r>
      <w:r>
        <w:rPr>
          <w:bCs/>
        </w:rPr>
        <w:t>l</w:t>
      </w:r>
      <w:r>
        <w:rPr>
          <w:bCs/>
        </w:rPr>
        <w:t>go que no funcionó. Digo yo, ¿por parte de quién?. Nuestra no, porque no era nuestro, por eso abortamos..., pero de parte de otra gente no tengo idea... ¿eh?</w:t>
      </w:r>
    </w:p>
    <w:p w:rsidR="00224567" w:rsidRDefault="00224567">
      <w:pPr>
        <w:widowControl w:val="0"/>
        <w:rPr>
          <w:bCs/>
        </w:rPr>
      </w:pPr>
      <w:r>
        <w:rPr>
          <w:bCs/>
        </w:rPr>
        <w:t>A: está.</w:t>
      </w:r>
    </w:p>
    <w:p w:rsidR="00224567" w:rsidRDefault="00224567">
      <w:pPr>
        <w:widowControl w:val="0"/>
        <w:rPr>
          <w:bCs/>
        </w:rPr>
      </w:pPr>
      <w:r>
        <w:rPr>
          <w:bCs/>
        </w:rPr>
        <w:t>M: ¿lo dejamos así Ana?</w:t>
      </w:r>
    </w:p>
    <w:p w:rsidR="00224567" w:rsidRDefault="00224567">
      <w:pPr>
        <w:widowControl w:val="0"/>
        <w:rPr>
          <w:bCs/>
        </w:rPr>
      </w:pPr>
      <w:r>
        <w:rPr>
          <w:bCs/>
        </w:rPr>
        <w:t>A: Bueno. ¿Mañana me llama?</w:t>
      </w:r>
    </w:p>
    <w:p w:rsidR="00224567" w:rsidRDefault="00224567">
      <w:pPr>
        <w:widowControl w:val="0"/>
        <w:rPr>
          <w:bCs/>
        </w:rPr>
      </w:pPr>
      <w:r>
        <w:rPr>
          <w:bCs/>
        </w:rPr>
        <w:t>M: Si, si. No se yo, los horarios que usted se mu</w:t>
      </w:r>
      <w:r>
        <w:rPr>
          <w:bCs/>
        </w:rPr>
        <w:t>e</w:t>
      </w:r>
      <w:r>
        <w:rPr>
          <w:bCs/>
        </w:rPr>
        <w:t>ve, como está en su casa...</w:t>
      </w:r>
    </w:p>
    <w:p w:rsidR="00224567" w:rsidRDefault="00224567">
      <w:pPr>
        <w:widowControl w:val="0"/>
        <w:rPr>
          <w:bCs/>
        </w:rPr>
      </w:pPr>
      <w:r>
        <w:rPr>
          <w:bCs/>
        </w:rPr>
        <w:t>A: yo cuando no estoy en mi casa, tengo el celular abie</w:t>
      </w:r>
      <w:r>
        <w:rPr>
          <w:bCs/>
        </w:rPr>
        <w:t>r</w:t>
      </w:r>
      <w:r>
        <w:rPr>
          <w:bCs/>
        </w:rPr>
        <w:t>to.</w:t>
      </w:r>
    </w:p>
    <w:p w:rsidR="00224567" w:rsidRDefault="00224567">
      <w:pPr>
        <w:widowControl w:val="0"/>
        <w:rPr>
          <w:bCs/>
        </w:rPr>
      </w:pPr>
      <w:r>
        <w:rPr>
          <w:bCs/>
        </w:rPr>
        <w:t>M: Bueno porque recién llamé al celular y estaba con el contestador.</w:t>
      </w:r>
    </w:p>
    <w:p w:rsidR="00224567" w:rsidRDefault="00224567">
      <w:pPr>
        <w:widowControl w:val="0"/>
        <w:rPr>
          <w:bCs/>
        </w:rPr>
      </w:pPr>
      <w:r>
        <w:rPr>
          <w:bCs/>
        </w:rPr>
        <w:t>A: Claro. Cuando está con el contestador es porque estoy en mi casa.</w:t>
      </w:r>
    </w:p>
    <w:p w:rsidR="00224567" w:rsidRDefault="00224567">
      <w:pPr>
        <w:widowControl w:val="0"/>
        <w:rPr>
          <w:bCs/>
        </w:rPr>
      </w:pPr>
      <w:r>
        <w:rPr>
          <w:bCs/>
        </w:rPr>
        <w:t>M: Bueno listo Ana.</w:t>
      </w:r>
    </w:p>
    <w:p w:rsidR="00224567" w:rsidRDefault="00224567">
      <w:pPr>
        <w:widowControl w:val="0"/>
        <w:rPr>
          <w:bCs/>
        </w:rPr>
      </w:pPr>
      <w:r>
        <w:rPr>
          <w:bCs/>
        </w:rPr>
        <w:t>Se despiden y cortan.</w:t>
      </w:r>
    </w:p>
    <w:p w:rsidR="00224567" w:rsidRDefault="00224567">
      <w:pPr>
        <w:widowControl w:val="0"/>
        <w:rPr>
          <w:bCs/>
        </w:rPr>
      </w:pPr>
      <w:r>
        <w:rPr>
          <w:bCs/>
        </w:rPr>
        <w:tab/>
        <w:t>Abonado telefónico n° 427-7829</w:t>
      </w:r>
    </w:p>
    <w:p w:rsidR="00224567" w:rsidRDefault="00224567">
      <w:pPr>
        <w:widowControl w:val="0"/>
        <w:rPr>
          <w:bCs/>
        </w:rPr>
      </w:pPr>
      <w:r>
        <w:rPr>
          <w:bCs/>
        </w:rPr>
        <w:tab/>
        <w:t>Casete n° 1, del 3/07/96, lado A, vuelta 285:</w:t>
      </w:r>
    </w:p>
    <w:p w:rsidR="00224567" w:rsidRDefault="00224567">
      <w:pPr>
        <w:widowControl w:val="0"/>
        <w:rPr>
          <w:bCs/>
        </w:rPr>
      </w:pPr>
      <w:r>
        <w:rPr>
          <w:bCs/>
        </w:rPr>
        <w:t>A: hola...</w:t>
      </w:r>
    </w:p>
    <w:p w:rsidR="00224567" w:rsidRDefault="00224567">
      <w:pPr>
        <w:widowControl w:val="0"/>
        <w:rPr>
          <w:bCs/>
        </w:rPr>
      </w:pPr>
      <w:r>
        <w:rPr>
          <w:bCs/>
        </w:rPr>
        <w:t>M: hola, Ana María...</w:t>
      </w:r>
    </w:p>
    <w:p w:rsidR="00224567" w:rsidRDefault="00224567">
      <w:pPr>
        <w:widowControl w:val="0"/>
        <w:rPr>
          <w:bCs/>
        </w:rPr>
      </w:pPr>
      <w:r>
        <w:rPr>
          <w:bCs/>
        </w:rPr>
        <w:t>A: si</w:t>
      </w:r>
    </w:p>
    <w:p w:rsidR="00224567" w:rsidRDefault="00224567">
      <w:pPr>
        <w:widowControl w:val="0"/>
        <w:rPr>
          <w:bCs/>
        </w:rPr>
      </w:pPr>
      <w:r>
        <w:rPr>
          <w:bCs/>
        </w:rPr>
        <w:t>M: ¿vos no estás sola verdad ...(interferencias)... t</w:t>
      </w:r>
      <w:r>
        <w:rPr>
          <w:bCs/>
        </w:rPr>
        <w:t>e</w:t>
      </w:r>
      <w:r>
        <w:rPr>
          <w:bCs/>
        </w:rPr>
        <w:t>nés el abogado... tenés más gente con vos?</w:t>
      </w:r>
    </w:p>
    <w:p w:rsidR="00224567" w:rsidRDefault="00224567">
      <w:pPr>
        <w:widowControl w:val="0"/>
        <w:rPr>
          <w:bCs/>
        </w:rPr>
      </w:pPr>
      <w:r>
        <w:rPr>
          <w:bCs/>
        </w:rPr>
        <w:t>A: ¿cómo?</w:t>
      </w:r>
    </w:p>
    <w:p w:rsidR="00224567" w:rsidRDefault="00224567">
      <w:pPr>
        <w:widowControl w:val="0"/>
        <w:rPr>
          <w:bCs/>
        </w:rPr>
      </w:pPr>
      <w:r>
        <w:rPr>
          <w:bCs/>
        </w:rPr>
        <w:t>M: Aparte de tu abogado, tenés más gente?</w:t>
      </w:r>
    </w:p>
    <w:p w:rsidR="00224567" w:rsidRDefault="00224567">
      <w:pPr>
        <w:widowControl w:val="0"/>
        <w:rPr>
          <w:bCs/>
        </w:rPr>
      </w:pPr>
      <w:r>
        <w:rPr>
          <w:bCs/>
        </w:rPr>
        <w:tab/>
        <w:t>Se corta la comunicación.</w:t>
      </w:r>
    </w:p>
    <w:p w:rsidR="00224567" w:rsidRDefault="00224567">
      <w:pPr>
        <w:widowControl w:val="0"/>
        <w:rPr>
          <w:bCs/>
        </w:rPr>
      </w:pPr>
      <w:r>
        <w:rPr>
          <w:bCs/>
        </w:rPr>
        <w:tab/>
        <w:t>Conversación siguiente entre los mi</w:t>
      </w:r>
      <w:r>
        <w:rPr>
          <w:bCs/>
        </w:rPr>
        <w:t>s</w:t>
      </w:r>
      <w:r>
        <w:rPr>
          <w:bCs/>
        </w:rPr>
        <w:t>mos i</w:t>
      </w:r>
      <w:r>
        <w:rPr>
          <w:bCs/>
        </w:rPr>
        <w:t>n</w:t>
      </w:r>
      <w:r>
        <w:rPr>
          <w:bCs/>
        </w:rPr>
        <w:t>terlocutores.</w:t>
      </w:r>
    </w:p>
    <w:p w:rsidR="00224567" w:rsidRDefault="00224567">
      <w:pPr>
        <w:widowControl w:val="0"/>
        <w:rPr>
          <w:bCs/>
        </w:rPr>
      </w:pPr>
      <w:r>
        <w:rPr>
          <w:bCs/>
        </w:rPr>
        <w:t>A: hola</w:t>
      </w:r>
    </w:p>
    <w:p w:rsidR="00224567" w:rsidRDefault="00224567">
      <w:pPr>
        <w:widowControl w:val="0"/>
        <w:rPr>
          <w:bCs/>
        </w:rPr>
      </w:pPr>
      <w:r>
        <w:rPr>
          <w:bCs/>
        </w:rPr>
        <w:t>M: si, se corta, disculpame, Julio... ¿cómo te va?</w:t>
      </w:r>
    </w:p>
    <w:p w:rsidR="00224567" w:rsidRDefault="00224567">
      <w:pPr>
        <w:widowControl w:val="0"/>
        <w:rPr>
          <w:bCs/>
        </w:rPr>
      </w:pPr>
      <w:r>
        <w:rPr>
          <w:bCs/>
        </w:rPr>
        <w:t>A: ¿qué tal Julio, cómo te va?</w:t>
      </w:r>
    </w:p>
    <w:p w:rsidR="00224567" w:rsidRDefault="00224567">
      <w:pPr>
        <w:widowControl w:val="0"/>
        <w:rPr>
          <w:bCs/>
        </w:rPr>
      </w:pPr>
      <w:r>
        <w:rPr>
          <w:bCs/>
        </w:rPr>
        <w:t>M: escuchame una cosa... este... pero... no, no... llega</w:t>
      </w:r>
      <w:r>
        <w:rPr>
          <w:bCs/>
        </w:rPr>
        <w:t>s</w:t>
      </w:r>
      <w:r>
        <w:rPr>
          <w:bCs/>
        </w:rPr>
        <w:t>te vos y después se metieron unos tipos ahí adentro... ¿quiénes son?</w:t>
      </w:r>
    </w:p>
    <w:p w:rsidR="00224567" w:rsidRDefault="00224567">
      <w:pPr>
        <w:widowControl w:val="0"/>
        <w:rPr>
          <w:bCs/>
        </w:rPr>
      </w:pPr>
      <w:r>
        <w:rPr>
          <w:bCs/>
        </w:rPr>
        <w:t>A: Ay... qué se yo... son medios raros. Pensé que eran de uds.</w:t>
      </w:r>
    </w:p>
    <w:p w:rsidR="00224567" w:rsidRDefault="00224567">
      <w:pPr>
        <w:widowControl w:val="0"/>
        <w:rPr>
          <w:bCs/>
        </w:rPr>
      </w:pPr>
      <w:r>
        <w:rPr>
          <w:bCs/>
        </w:rPr>
        <w:t>M: no, nada que ver... nada que ver... este..., qu</w:t>
      </w:r>
      <w:r>
        <w:rPr>
          <w:bCs/>
        </w:rPr>
        <w:t>e</w:t>
      </w:r>
      <w:r>
        <w:rPr>
          <w:bCs/>
        </w:rPr>
        <w:t>dáte un ratito por favor, a ver si... si..., no sé, a ver si hac</w:t>
      </w:r>
      <w:r>
        <w:rPr>
          <w:bCs/>
        </w:rPr>
        <w:t>e</w:t>
      </w:r>
      <w:r>
        <w:rPr>
          <w:bCs/>
        </w:rPr>
        <w:t>mos otro lugar o algo así ¿sabes?. ¿aguantas un p</w:t>
      </w:r>
      <w:r>
        <w:rPr>
          <w:bCs/>
        </w:rPr>
        <w:t>o</w:t>
      </w:r>
      <w:r>
        <w:rPr>
          <w:bCs/>
        </w:rPr>
        <w:t>quito?</w:t>
      </w:r>
    </w:p>
    <w:p w:rsidR="00224567" w:rsidRDefault="00224567">
      <w:pPr>
        <w:widowControl w:val="0"/>
        <w:rPr>
          <w:bCs/>
        </w:rPr>
      </w:pPr>
      <w:r>
        <w:rPr>
          <w:bCs/>
        </w:rPr>
        <w:t>A: si. ¿me volves a llamar?</w:t>
      </w:r>
    </w:p>
    <w:p w:rsidR="00224567" w:rsidRDefault="00224567">
      <w:pPr>
        <w:widowControl w:val="0"/>
        <w:rPr>
          <w:bCs/>
        </w:rPr>
      </w:pPr>
      <w:r>
        <w:rPr>
          <w:bCs/>
        </w:rPr>
        <w:t>M: yo te vuelvo a llamar. Quedáte tranquila.</w:t>
      </w:r>
    </w:p>
    <w:p w:rsidR="00224567" w:rsidRDefault="00224567">
      <w:pPr>
        <w:widowControl w:val="0"/>
        <w:rPr>
          <w:bCs/>
        </w:rPr>
      </w:pPr>
      <w:r>
        <w:rPr>
          <w:bCs/>
        </w:rPr>
        <w:t>A: listo</w:t>
      </w:r>
    </w:p>
    <w:p w:rsidR="00224567" w:rsidRDefault="00224567">
      <w:pPr>
        <w:widowControl w:val="0"/>
        <w:rPr>
          <w:bCs/>
        </w:rPr>
      </w:pPr>
      <w:r>
        <w:rPr>
          <w:bCs/>
        </w:rPr>
        <w:tab/>
        <w:t>También reconoció Maiolo la siguiente conversación con el Dr. Víctor Stinfale (C</w:t>
      </w:r>
      <w:r>
        <w:rPr>
          <w:bCs/>
        </w:rPr>
        <w:t>a</w:t>
      </w:r>
      <w:r>
        <w:rPr>
          <w:bCs/>
        </w:rPr>
        <w:t>sete n° 1, del 3/07/96, lado A, vuelta 415):</w:t>
      </w:r>
    </w:p>
    <w:p w:rsidR="00224567" w:rsidRDefault="00224567">
      <w:pPr>
        <w:pStyle w:val="Encabezado"/>
        <w:widowControl w:val="0"/>
        <w:rPr>
          <w:bCs/>
        </w:rPr>
      </w:pPr>
      <w:r>
        <w:rPr>
          <w:bCs/>
        </w:rPr>
        <w:t>Se saludan</w:t>
      </w:r>
    </w:p>
    <w:p w:rsidR="00224567" w:rsidRDefault="00224567">
      <w:pPr>
        <w:widowControl w:val="0"/>
        <w:rPr>
          <w:bCs/>
        </w:rPr>
      </w:pPr>
      <w:r>
        <w:rPr>
          <w:bCs/>
        </w:rPr>
        <w:t>M: Escucháme una cosa. Mirá, vuelvan para su casa y en m</w:t>
      </w:r>
      <w:r>
        <w:rPr>
          <w:bCs/>
        </w:rPr>
        <w:t>e</w:t>
      </w:r>
      <w:r>
        <w:rPr>
          <w:bCs/>
        </w:rPr>
        <w:t>dia hora nos comunicamos. Porque esa gente no nos gusta y no es nuestra.</w:t>
      </w:r>
    </w:p>
    <w:p w:rsidR="00224567" w:rsidRDefault="00224567">
      <w:pPr>
        <w:widowControl w:val="0"/>
        <w:rPr>
          <w:bCs/>
        </w:rPr>
      </w:pPr>
      <w:r>
        <w:rPr>
          <w:bCs/>
        </w:rPr>
        <w:t>V: Bueno.</w:t>
      </w:r>
    </w:p>
    <w:p w:rsidR="00224567" w:rsidRDefault="00224567">
      <w:pPr>
        <w:widowControl w:val="0"/>
        <w:rPr>
          <w:bCs/>
        </w:rPr>
      </w:pPr>
      <w:r>
        <w:rPr>
          <w:bCs/>
        </w:rPr>
        <w:t>M: ¿de acuerdo?. Es por su seguridad, no por la nue</w:t>
      </w:r>
      <w:r>
        <w:rPr>
          <w:bCs/>
        </w:rPr>
        <w:t>s</w:t>
      </w:r>
      <w:r>
        <w:rPr>
          <w:bCs/>
        </w:rPr>
        <w:t>tra.</w:t>
      </w:r>
    </w:p>
    <w:p w:rsidR="00224567" w:rsidRDefault="00224567">
      <w:pPr>
        <w:widowControl w:val="0"/>
        <w:rPr>
          <w:bCs/>
        </w:rPr>
      </w:pPr>
      <w:r>
        <w:rPr>
          <w:bCs/>
        </w:rPr>
        <w:t>V: Bueno, bueno.</w:t>
      </w:r>
    </w:p>
    <w:p w:rsidR="00224567" w:rsidRDefault="00224567">
      <w:pPr>
        <w:widowControl w:val="0"/>
        <w:rPr>
          <w:bCs/>
        </w:rPr>
      </w:pPr>
      <w:r>
        <w:rPr>
          <w:bCs/>
        </w:rPr>
        <w:t>M: ¿Lo entendés Victor?</w:t>
      </w:r>
    </w:p>
    <w:p w:rsidR="00224567" w:rsidRDefault="00224567">
      <w:pPr>
        <w:widowControl w:val="0"/>
        <w:rPr>
          <w:bCs/>
        </w:rPr>
      </w:pPr>
      <w:r>
        <w:rPr>
          <w:bCs/>
        </w:rPr>
        <w:t>V: Está todo bien, viste... Bueno está bien.</w:t>
      </w:r>
    </w:p>
    <w:p w:rsidR="00224567" w:rsidRDefault="00224567">
      <w:pPr>
        <w:widowControl w:val="0"/>
        <w:rPr>
          <w:bCs/>
        </w:rPr>
      </w:pPr>
      <w:r>
        <w:rPr>
          <w:bCs/>
        </w:rPr>
        <w:t>M: Haceme la gauchada.</w:t>
      </w:r>
    </w:p>
    <w:p w:rsidR="00224567" w:rsidRDefault="00224567">
      <w:pPr>
        <w:widowControl w:val="0"/>
        <w:rPr>
          <w:bCs/>
        </w:rPr>
      </w:pPr>
      <w:r>
        <w:rPr>
          <w:bCs/>
        </w:rPr>
        <w:t>V: Bueno.</w:t>
      </w:r>
    </w:p>
    <w:p w:rsidR="00224567" w:rsidRDefault="00224567">
      <w:pPr>
        <w:widowControl w:val="0"/>
        <w:rPr>
          <w:bCs/>
        </w:rPr>
      </w:pPr>
      <w:r>
        <w:rPr>
          <w:bCs/>
        </w:rPr>
        <w:t>M: No se de donde aparecieron, ¿eh?. Pero vamos a hacerla bien.</w:t>
      </w:r>
    </w:p>
    <w:p w:rsidR="00224567" w:rsidRDefault="00224567">
      <w:pPr>
        <w:widowControl w:val="0"/>
        <w:rPr>
          <w:bCs/>
        </w:rPr>
      </w:pPr>
      <w:r>
        <w:rPr>
          <w:bCs/>
        </w:rPr>
        <w:t>V: Bueno.</w:t>
      </w:r>
    </w:p>
    <w:p w:rsidR="00224567" w:rsidRDefault="00224567">
      <w:pPr>
        <w:widowControl w:val="0"/>
        <w:tabs>
          <w:tab w:val="center" w:pos="0"/>
        </w:tabs>
      </w:pPr>
      <w:r>
        <w:tab/>
        <w:t>Cabe agregar, al respecto, que a fs. 3493/3495 de la causa nº 9789 del Juzgado Federal nº 11, obran copias del contrato de locación de la caja de seg</w:t>
      </w:r>
      <w:r>
        <w:t>u</w:t>
      </w:r>
      <w:r>
        <w:t>ridad, celebrado el 5 de julio de 1996 entre Ana María B</w:t>
      </w:r>
      <w:r>
        <w:t>o</w:t>
      </w:r>
      <w:r>
        <w:t xml:space="preserve">ragni y la sucursal Belgrano del “Banco Río de </w:t>
      </w:r>
      <w:smartTag w:uri="urn:schemas-microsoft-com:office:smarttags" w:element="PersonName">
        <w:smartTagPr>
          <w:attr w:name="ProductID" w:val="la Plata S.A"/>
        </w:smartTagPr>
        <w:r>
          <w:t>la Plata S.A</w:t>
        </w:r>
      </w:smartTag>
      <w:r>
        <w:t>.” -sita en Av. Cabildo 2543-; filial ubicada, precis</w:t>
      </w:r>
      <w:r>
        <w:t>a</w:t>
      </w:r>
      <w:r>
        <w:t>mente, donde Maiolo dijo que entregó el dinero a Boragni.</w:t>
      </w:r>
    </w:p>
    <w:p w:rsidR="00224567" w:rsidRDefault="00224567">
      <w:pPr>
        <w:widowControl w:val="0"/>
        <w:tabs>
          <w:tab w:val="center" w:pos="0"/>
        </w:tabs>
      </w:pPr>
      <w:r>
        <w:rPr>
          <w:bCs/>
        </w:rPr>
        <w:tab/>
        <w:t>Alejandro Alberto Brousson,</w:t>
      </w:r>
      <w:r>
        <w:t xml:space="preserve"> Director de Contrainteligencia -“Sector 85"- de </w:t>
      </w:r>
      <w:smartTag w:uri="urn:schemas-microsoft-com:office:smarttags" w:element="PersonName">
        <w:smartTagPr>
          <w:attr w:name="ProductID" w:val="la Secretar￭a"/>
        </w:smartTagPr>
        <w:r>
          <w:t>la Secretaría</w:t>
        </w:r>
      </w:smartTag>
      <w:r>
        <w:t xml:space="preserve"> de Inteligencia, ex jefe de departamento en la denominada “Sala Patria”, señaló que se entregó dinero a Boragni en dos oportunidades.</w:t>
      </w:r>
    </w:p>
    <w:p w:rsidR="00224567" w:rsidRDefault="00224567">
      <w:pPr>
        <w:widowControl w:val="0"/>
        <w:tabs>
          <w:tab w:val="center" w:pos="0"/>
        </w:tabs>
      </w:pPr>
      <w:r>
        <w:tab/>
        <w:t>En tal sentido, indicó que su jefe P</w:t>
      </w:r>
      <w:r>
        <w:t>a</w:t>
      </w:r>
      <w:r>
        <w:t>tricio Finnen le dijo que Telleldín quería judicial</w:t>
      </w:r>
      <w:r>
        <w:t>i</w:t>
      </w:r>
      <w:r>
        <w:t>zar un libro donde iba a contar a quien entregó la camioneta; asimismo, le pidió que fuese al juzgado por requerimiento del Dr. Galeano.</w:t>
      </w:r>
    </w:p>
    <w:p w:rsidR="00224567" w:rsidRDefault="00224567">
      <w:pPr>
        <w:widowControl w:val="0"/>
        <w:tabs>
          <w:tab w:val="center" w:pos="0"/>
        </w:tabs>
      </w:pPr>
      <w:r>
        <w:tab/>
        <w:t>Una vez allí, el magistrado le come</w:t>
      </w:r>
      <w:r>
        <w:t>n</w:t>
      </w:r>
      <w:r>
        <w:t>tó que mantendría una entrevista con Telleldín, la que podía observar a través de un monitor; pasó a un cuarto, se c</w:t>
      </w:r>
      <w:r>
        <w:t>o</w:t>
      </w:r>
      <w:r>
        <w:t>locó auriculares y escuchó un proceso de negociación del juez; en un momento dado pudo observar cuando el Dr. G</w:t>
      </w:r>
      <w:r>
        <w:t>a</w:t>
      </w:r>
      <w:r>
        <w:t>leano le entregó un papel a su interl</w:t>
      </w:r>
      <w:r>
        <w:t>o</w:t>
      </w:r>
      <w:r>
        <w:t>cutor, tras lo cual se dirigió a su despacho, pregu</w:t>
      </w:r>
      <w:r>
        <w:t>n</w:t>
      </w:r>
      <w:r>
        <w:t>tándole qué opinaba de lo que v</w:t>
      </w:r>
      <w:r>
        <w:t>e</w:t>
      </w:r>
      <w:r>
        <w:t>ía.</w:t>
      </w:r>
    </w:p>
    <w:p w:rsidR="00224567" w:rsidRDefault="00224567">
      <w:pPr>
        <w:widowControl w:val="0"/>
        <w:tabs>
          <w:tab w:val="center" w:pos="0"/>
        </w:tabs>
      </w:pPr>
      <w:r>
        <w:tab/>
        <w:t>Brousson explicó que ante dicho  int</w:t>
      </w:r>
      <w:r>
        <w:t>e</w:t>
      </w:r>
      <w:r>
        <w:t>rrogante le sugirió al magistrado que pidiera los tít</w:t>
      </w:r>
      <w:r>
        <w:t>u</w:t>
      </w:r>
      <w:r>
        <w:t>los de los capítulos, al menos un capítulo y que se pagara de manera proporcional al material entregado, a lo cual el Dr. G</w:t>
      </w:r>
      <w:r>
        <w:t>a</w:t>
      </w:r>
      <w:r>
        <w:t>leano le respondió que Telleldín no aceptaría. Según dijo, el juez no sabía quién le pr</w:t>
      </w:r>
      <w:r>
        <w:t>o</w:t>
      </w:r>
      <w:r>
        <w:t>porcionaría el dinero.</w:t>
      </w:r>
    </w:p>
    <w:p w:rsidR="00224567" w:rsidRDefault="00224567">
      <w:pPr>
        <w:widowControl w:val="0"/>
        <w:tabs>
          <w:tab w:val="center" w:pos="0"/>
        </w:tabs>
      </w:pPr>
      <w:r>
        <w:tab/>
        <w:t>Recordó que se quería resguardar la familia de Telleldín e inclusive se llegó a pensar en la posibil</w:t>
      </w:r>
      <w:r>
        <w:t>i</w:t>
      </w:r>
      <w:r>
        <w:t>dad de que ésta abandone el país.</w:t>
      </w:r>
    </w:p>
    <w:p w:rsidR="00224567" w:rsidRDefault="00224567">
      <w:pPr>
        <w:widowControl w:val="0"/>
        <w:tabs>
          <w:tab w:val="center" w:pos="0"/>
        </w:tabs>
      </w:pPr>
      <w:r>
        <w:tab/>
        <w:t>Añadió que, luego de ello, su jefe Finnen le entregó $ 400.000 en la playa de estacion</w:t>
      </w:r>
      <w:r>
        <w:t>a</w:t>
      </w:r>
      <w:r>
        <w:t>miento del edificio de tribunales, sito en la calle Comodoro Py 2002 de esta ciudad, comentándole que se lo había dado “Don Hugo”, en obvia alusión al Secretario de Intelige</w:t>
      </w:r>
      <w:r>
        <w:t>n</w:t>
      </w:r>
      <w:r>
        <w:t>cia.</w:t>
      </w:r>
    </w:p>
    <w:p w:rsidR="00224567" w:rsidRDefault="00224567">
      <w:pPr>
        <w:widowControl w:val="0"/>
        <w:tabs>
          <w:tab w:val="center" w:pos="0"/>
        </w:tabs>
      </w:pPr>
      <w:r>
        <w:tab/>
        <w:t>Señaló el testigo que, a raíz de ello, dispuso convocar al agente Legascue, en tanto Maiolo efe</w:t>
      </w:r>
      <w:r>
        <w:t>c</w:t>
      </w:r>
      <w:r>
        <w:t>tuaba los primeros contactos con Boragni, sin hacer ref</w:t>
      </w:r>
      <w:r>
        <w:t>e</w:t>
      </w:r>
      <w:r>
        <w:t xml:space="preserve">rencia a que era de </w:t>
      </w:r>
      <w:smartTag w:uri="urn:schemas-microsoft-com:office:smarttags" w:element="PersonName">
        <w:smartTagPr>
          <w:attr w:name="ProductID" w:val="la S.I"/>
        </w:smartTagPr>
        <w:r>
          <w:t>la S.I</w:t>
        </w:r>
      </w:smartTag>
      <w:r>
        <w:t>.D.E.; precisó que para la op</w:t>
      </w:r>
      <w:r>
        <w:t>e</w:t>
      </w:r>
      <w:r>
        <w:t>ración la nombrada eligió una sucursal del “Banco Quilmes” en Ramos Mejía, provincia de Buenos Aires, cerca del est</w:t>
      </w:r>
      <w:r>
        <w:t>u</w:t>
      </w:r>
      <w:r>
        <w:t>dio del Dr. Sti</w:t>
      </w:r>
      <w:r>
        <w:t>n</w:t>
      </w:r>
      <w:r>
        <w:t>fale.</w:t>
      </w:r>
    </w:p>
    <w:p w:rsidR="00224567" w:rsidRDefault="00224567">
      <w:pPr>
        <w:widowControl w:val="0"/>
        <w:tabs>
          <w:tab w:val="center" w:pos="0"/>
        </w:tabs>
      </w:pPr>
      <w:r>
        <w:tab/>
        <w:t>Brousson recordó que a dicha entidad bancaria concurrió Legascue, a quien Maiolo le acercó el dinero. Precisó que el operativo, por razones de segur</w:t>
      </w:r>
      <w:r>
        <w:t>i</w:t>
      </w:r>
      <w:r>
        <w:t>dad, fue cubierto por, al menos, ocho personas y que est</w:t>
      </w:r>
      <w:r>
        <w:t>a</w:t>
      </w:r>
      <w:r>
        <w:t>ba convenido que Boragni debía llamar a Telleldín para avisarle que había recibido el dinero y éste entregaría un manuscrito.</w:t>
      </w:r>
    </w:p>
    <w:p w:rsidR="00224567" w:rsidRDefault="00224567">
      <w:pPr>
        <w:widowControl w:val="0"/>
        <w:tabs>
          <w:tab w:val="center" w:pos="0"/>
        </w:tabs>
      </w:pPr>
      <w:r>
        <w:tab/>
        <w:t>El segundo pago, precisó Brou</w:t>
      </w:r>
      <w:r>
        <w:t>s</w:t>
      </w:r>
      <w:r>
        <w:t xml:space="preserve">son, se realizó, sin la presencia del Dr. Stinfale, en el “Banco Río” ubicado en </w:t>
      </w:r>
      <w:smartTag w:uri="urn:schemas-microsoft-com:office:smarttags" w:element="PersonName">
        <w:smartTagPr>
          <w:attr w:name="ProductID" w:val="la Avenida Cabildo"/>
        </w:smartTagPr>
        <w:r>
          <w:t>la Avenida Cabildo</w:t>
        </w:r>
      </w:smartTag>
      <w:r>
        <w:t xml:space="preserve"> de esta capital; dicha entrega de dinero fue filmada por Maiolo, quien le hizo decir a Boragni, a modo de recibo, que había percibido la totalidad del dinero, habiéndose guardado el video obten</w:t>
      </w:r>
      <w:r>
        <w:t>i</w:t>
      </w:r>
      <w:r>
        <w:t xml:space="preserve">do en </w:t>
      </w:r>
      <w:smartTag w:uri="urn:schemas-microsoft-com:office:smarttags" w:element="PersonName">
        <w:smartTagPr>
          <w:attr w:name="ProductID" w:val="la Direcci￳n"/>
        </w:smartTagPr>
        <w:r>
          <w:t>la Dirección</w:t>
        </w:r>
      </w:smartTag>
      <w:r>
        <w:t xml:space="preserve"> de Terrorismo Internacional, donde e</w:t>
      </w:r>
      <w:r>
        <w:t>s</w:t>
      </w:r>
      <w:r>
        <w:t>taba en el 2000.</w:t>
      </w:r>
    </w:p>
    <w:p w:rsidR="00224567" w:rsidRDefault="00224567">
      <w:pPr>
        <w:widowControl w:val="0"/>
        <w:tabs>
          <w:tab w:val="center" w:pos="0"/>
        </w:tabs>
      </w:pPr>
      <w:r>
        <w:tab/>
        <w:t>Mencionó que dicha cinta fue vi</w:t>
      </w:r>
      <w:r>
        <w:t>s</w:t>
      </w:r>
      <w:r>
        <w:t>ta por el juez y los Dres. Anzorreguy y Toranzo, habiendo estado presente en la oportunidad por cuanto operó la videorepr</w:t>
      </w:r>
      <w:r>
        <w:t>o</w:t>
      </w:r>
      <w:r>
        <w:t>ductora.</w:t>
      </w:r>
    </w:p>
    <w:p w:rsidR="00224567" w:rsidRDefault="00224567">
      <w:pPr>
        <w:widowControl w:val="0"/>
        <w:tabs>
          <w:tab w:val="center" w:pos="0"/>
        </w:tabs>
      </w:pPr>
      <w:r>
        <w:tab/>
        <w:t>Asimismo, mencionó que Isaac Ga</w:t>
      </w:r>
      <w:r>
        <w:t>r</w:t>
      </w:r>
      <w:r>
        <w:t>cía y Luis González, junto a otros agentes, participaron en la primer entrega de dinero.</w:t>
      </w:r>
    </w:p>
    <w:p w:rsidR="00224567" w:rsidRDefault="00224567">
      <w:pPr>
        <w:widowControl w:val="0"/>
        <w:tabs>
          <w:tab w:val="center" w:pos="0"/>
        </w:tabs>
      </w:pPr>
      <w:r>
        <w:tab/>
        <w:t>Comentó Brousson que el juez se ent</w:t>
      </w:r>
      <w:r>
        <w:t>e</w:t>
      </w:r>
      <w:r>
        <w:t>ró que se había concretado el pago por cuanto Telleldín est</w:t>
      </w:r>
      <w:r>
        <w:t>a</w:t>
      </w:r>
      <w:r>
        <w:t>ba con él cuando recibió la llamada de Boragni, para lo cual se utilizó un teléfono celular descartable, que le había acercado al juzgado el agente Molina Quiroga; este último se encontraba en dicha sede por orden suya y fue quien, en realidad, atendió el llamado de Boragni, pasá</w:t>
      </w:r>
      <w:r>
        <w:t>n</w:t>
      </w:r>
      <w:r>
        <w:t>dole el t</w:t>
      </w:r>
      <w:r>
        <w:t>e</w:t>
      </w:r>
      <w:r>
        <w:t>léfono a Telleldín. Acotó que ese procedimiento había s</w:t>
      </w:r>
      <w:r>
        <w:t>i</w:t>
      </w:r>
      <w:r>
        <w:t>do acordado con el juez.</w:t>
      </w:r>
    </w:p>
    <w:p w:rsidR="00224567" w:rsidRDefault="00224567">
      <w:pPr>
        <w:widowControl w:val="0"/>
        <w:tabs>
          <w:tab w:val="center" w:pos="0"/>
        </w:tabs>
      </w:pPr>
      <w:r>
        <w:tab/>
        <w:t>Finalmente, sostuvo que ningún hecho determinó el segundo pago; para ello Finnen tan sólo le refirió “dice el juez que pagués” (sic).</w:t>
      </w:r>
    </w:p>
    <w:p w:rsidR="00224567" w:rsidRDefault="00224567">
      <w:pPr>
        <w:widowControl w:val="0"/>
        <w:tabs>
          <w:tab w:val="center" w:pos="0"/>
        </w:tabs>
      </w:pPr>
      <w:r>
        <w:rPr>
          <w:bCs/>
        </w:rPr>
        <w:tab/>
        <w:t>Patricio Miguel Finnen</w:t>
      </w:r>
      <w:r>
        <w:t>, ex dire</w:t>
      </w:r>
      <w:r>
        <w:t>c</w:t>
      </w:r>
      <w:r>
        <w:t xml:space="preserve">tor de Reunión Exterior de </w:t>
      </w:r>
      <w:smartTag w:uri="urn:schemas-microsoft-com:office:smarttags" w:element="PersonName">
        <w:smartTagPr>
          <w:attr w:name="ProductID" w:val="la Secretar￭a"/>
        </w:smartTagPr>
        <w:r>
          <w:t>la Secretaría</w:t>
        </w:r>
      </w:smartTag>
      <w:r>
        <w:t xml:space="preserve"> de Inteligencia de Est</w:t>
      </w:r>
      <w:r>
        <w:t>a</w:t>
      </w:r>
      <w:r>
        <w:t>do, relató que en una oportunidad el Dr. Galeano le come</w:t>
      </w:r>
      <w:r>
        <w:t>n</w:t>
      </w:r>
      <w:r>
        <w:t>tó que la investigación estaba detenida debido a que T</w:t>
      </w:r>
      <w:r>
        <w:t>e</w:t>
      </w:r>
      <w:r>
        <w:t xml:space="preserve">lleldín no decía a dónde fue </w:t>
      </w:r>
      <w:smartTag w:uri="urn:schemas-microsoft-com:office:smarttags" w:element="PersonName">
        <w:smartTagPr>
          <w:attr w:name="ProductID" w:val="la Trafic"/>
        </w:smartTagPr>
        <w:r>
          <w:t>la Trafic</w:t>
        </w:r>
      </w:smartTag>
      <w:r>
        <w:t xml:space="preserve">, pero que algo le había dado a </w:t>
      </w:r>
      <w:smartTag w:uri="urn:schemas-microsoft-com:office:smarttags" w:element="PersonName">
        <w:smartTagPr>
          <w:attr w:name="ProductID" w:val="la Dra. Riva"/>
        </w:smartTagPr>
        <w:r>
          <w:t>la Dra. Riva</w:t>
        </w:r>
      </w:smartTag>
      <w:r>
        <w:t xml:space="preserve"> Aramayo; que Telle</w:t>
      </w:r>
      <w:r>
        <w:t>l</w:t>
      </w:r>
      <w:r>
        <w:t>dín temía por su familia y que trabajaba en la reda</w:t>
      </w:r>
      <w:r>
        <w:t>c</w:t>
      </w:r>
      <w:r>
        <w:t>ción de en un libro a fin de subsanar de este modo la seguridad de su grupo primario.</w:t>
      </w:r>
    </w:p>
    <w:p w:rsidR="00224567" w:rsidRDefault="00224567">
      <w:pPr>
        <w:widowControl w:val="0"/>
        <w:tabs>
          <w:tab w:val="center" w:pos="0"/>
        </w:tabs>
      </w:pPr>
      <w:r>
        <w:tab/>
        <w:t>Por ese motivo, explicó, se tr</w:t>
      </w:r>
      <w:r>
        <w:t>a</w:t>
      </w:r>
      <w:r>
        <w:t>bajó el entorno familiar de Telleldín, informándole el agente Maiolo que la seguridad en el domicilio era escasa y que se v</w:t>
      </w:r>
      <w:r>
        <w:t>i</w:t>
      </w:r>
      <w:r>
        <w:t>sualizaban sospechosos en los alrededores; a raíz de ello se pensó en trasladar la familia al ext</w:t>
      </w:r>
      <w:r>
        <w:t>e</w:t>
      </w:r>
      <w:r>
        <w:t>rior.</w:t>
      </w:r>
    </w:p>
    <w:p w:rsidR="00224567" w:rsidRDefault="00224567">
      <w:pPr>
        <w:widowControl w:val="0"/>
        <w:tabs>
          <w:tab w:val="center" w:pos="0"/>
        </w:tabs>
      </w:pPr>
      <w:r>
        <w:tab/>
        <w:t>Precisó que dos meses después el Dr. Galeano le dijo que el libro no había salido y que neces</w:t>
      </w:r>
      <w:r>
        <w:t>i</w:t>
      </w:r>
      <w:r>
        <w:t xml:space="preserve">taba un auxilio monetario de </w:t>
      </w:r>
      <w:smartTag w:uri="urn:schemas-microsoft-com:office:smarttags" w:element="PersonName">
        <w:smartTagPr>
          <w:attr w:name="ProductID" w:val="la S.I"/>
        </w:smartTagPr>
        <w:r>
          <w:t>la S.I</w:t>
        </w:r>
      </w:smartTag>
      <w:r>
        <w:t>.D.E. de USD 400.000, respondiéndole que hablase con el Dr. Anzorr</w:t>
      </w:r>
      <w:r>
        <w:t>e</w:t>
      </w:r>
      <w:r>
        <w:t>guy para que lo autorizara, dado que no contaba con esa suma de dinero; el Dr. Galeano le comentó que ya había hablado con el Dr. Allevato y con Mc. Farlane.</w:t>
      </w:r>
    </w:p>
    <w:p w:rsidR="00224567" w:rsidRDefault="00224567">
      <w:pPr>
        <w:widowControl w:val="0"/>
        <w:tabs>
          <w:tab w:val="center" w:pos="0"/>
        </w:tabs>
      </w:pPr>
      <w:r>
        <w:tab/>
        <w:t>Así, Anzorreguy lo llamó para que fu</w:t>
      </w:r>
      <w:r>
        <w:t>e</w:t>
      </w:r>
      <w:r>
        <w:t xml:space="preserve">se al edificio de </w:t>
      </w:r>
      <w:smartTag w:uri="urn:schemas-microsoft-com:office:smarttags" w:element="PersonName">
        <w:smartTagPr>
          <w:attr w:name="ProductID" w:val="la Secretar￭a"/>
        </w:smartTagPr>
        <w:r>
          <w:t>la Secretaría</w:t>
        </w:r>
      </w:smartTag>
      <w:r>
        <w:t xml:space="preserve"> de Inteligencia, sito en 25 de mayo 11, 5to. piso, de esta capital; una vez allí, le dijo “tome, esto es para lo de Galeano” (sic) y le e</w:t>
      </w:r>
      <w:r>
        <w:t>n</w:t>
      </w:r>
      <w:r>
        <w:t xml:space="preserve">tregó el dinero en bolsas de papel madera, en fajos del “Banco de </w:t>
      </w:r>
      <w:smartTag w:uri="urn:schemas-microsoft-com:office:smarttags" w:element="PersonName">
        <w:smartTagPr>
          <w:attr w:name="ProductID" w:val="la Naci￳n Argentina"/>
        </w:smartTagPr>
        <w:r>
          <w:t>la Nación Argentina</w:t>
        </w:r>
      </w:smartTag>
      <w:r>
        <w:t>”, casa ce</w:t>
      </w:r>
      <w:r>
        <w:t>n</w:t>
      </w:r>
      <w:r>
        <w:t>tral.</w:t>
      </w:r>
    </w:p>
    <w:p w:rsidR="00224567" w:rsidRDefault="00224567">
      <w:pPr>
        <w:widowControl w:val="0"/>
        <w:tabs>
          <w:tab w:val="center" w:pos="0"/>
        </w:tabs>
      </w:pPr>
      <w:r>
        <w:tab/>
        <w:t>Recordó que, luego de ello, fue a ve</w:t>
      </w:r>
      <w:r>
        <w:t>r</w:t>
      </w:r>
      <w:r>
        <w:t>lo al Dr. Galeano y le dijo que tenía el dinero, a la vez que citó a Brousson a la playa de estacionamiento del ed</w:t>
      </w:r>
      <w:r>
        <w:t>i</w:t>
      </w:r>
      <w:r>
        <w:t>ficio de la avenida Comodoro Py para que se lleve el din</w:t>
      </w:r>
      <w:r>
        <w:t>e</w:t>
      </w:r>
      <w:r>
        <w:t>ro que recibió y lo guarde en la base en una caja de seg</w:t>
      </w:r>
      <w:r>
        <w:t>u</w:t>
      </w:r>
      <w:r>
        <w:t>ridad.</w:t>
      </w:r>
    </w:p>
    <w:p w:rsidR="00224567" w:rsidRDefault="00224567">
      <w:pPr>
        <w:widowControl w:val="0"/>
        <w:tabs>
          <w:tab w:val="center" w:pos="0"/>
        </w:tabs>
      </w:pPr>
      <w:r>
        <w:tab/>
        <w:t>Sostuvo que Brousson le avisó del pr</w:t>
      </w:r>
      <w:r>
        <w:t>i</w:t>
      </w:r>
      <w:r>
        <w:t>mer pago; no recordó si también lo hizo con el segundo, pero memoró que aquél le comentó que el ú</w:t>
      </w:r>
      <w:r>
        <w:t>l</w:t>
      </w:r>
      <w:r>
        <w:t>timo se filmó a los fines administrativos y que ese video lo vio junto con Anzorreguy, Toranzo y Gale</w:t>
      </w:r>
      <w:r>
        <w:t>a</w:t>
      </w:r>
      <w:r>
        <w:t>no.</w:t>
      </w:r>
    </w:p>
    <w:p w:rsidR="00224567" w:rsidRDefault="00224567">
      <w:pPr>
        <w:widowControl w:val="0"/>
        <w:tabs>
          <w:tab w:val="center" w:pos="0"/>
        </w:tabs>
      </w:pPr>
      <w:r>
        <w:tab/>
        <w:t>Indicó que, a su juicio, no se trat</w:t>
      </w:r>
      <w:r>
        <w:t>a</w:t>
      </w:r>
      <w:r>
        <w:t>ba de una operación comprometida y que no sabía bien para que era por cuanto el tema lo manejaba Galeano, llegando a pensar que la operación se haría en el ext</w:t>
      </w:r>
      <w:r>
        <w:t>e</w:t>
      </w:r>
      <w:r>
        <w:t>rior.</w:t>
      </w:r>
    </w:p>
    <w:p w:rsidR="00224567" w:rsidRDefault="00224567">
      <w:pPr>
        <w:widowControl w:val="0"/>
        <w:tabs>
          <w:tab w:val="center" w:pos="0"/>
        </w:tabs>
      </w:pPr>
      <w:r>
        <w:rPr>
          <w:bCs/>
        </w:rPr>
        <w:tab/>
        <w:t>Hugo Alfredo Anzorreguy,</w:t>
      </w:r>
      <w:r>
        <w:t xml:space="preserve"> Secret</w:t>
      </w:r>
      <w:r>
        <w:t>a</w:t>
      </w:r>
      <w:r>
        <w:t>rio de Inteligencia de Estado entre los años 1990 y 1999, al prestar declaración testimonial en el debate, indicó que a fines de mayo de 1996 el Dr. Galeano concurrió a su desp</w:t>
      </w:r>
      <w:r>
        <w:t>a</w:t>
      </w:r>
      <w:r>
        <w:t>cho, comentándole que la causa estaba estancada, que los familiares de Telleldín tenían miedo y que necesitaba una suma de dinero para destrabarla, toda vez que la familia necesitaba seguridad para que el imputado declare. Le i</w:t>
      </w:r>
      <w:r>
        <w:t>n</w:t>
      </w:r>
      <w:r>
        <w:t>dicó que el dinero era para la f</w:t>
      </w:r>
      <w:r>
        <w:t>a</w:t>
      </w:r>
      <w:r>
        <w:t>milia de Telleldín, para sacarlos del país, sin requerirle que efectuara esa oper</w:t>
      </w:r>
      <w:r>
        <w:t>a</w:t>
      </w:r>
      <w:r>
        <w:t>ción.</w:t>
      </w:r>
    </w:p>
    <w:p w:rsidR="00224567" w:rsidRDefault="00224567">
      <w:pPr>
        <w:widowControl w:val="0"/>
        <w:tabs>
          <w:tab w:val="center" w:pos="0"/>
        </w:tabs>
      </w:pPr>
      <w:r>
        <w:tab/>
        <w:t>La suma solicitada ascendía a $ 400.000, dado que, según el juez, Telleldín se negaba a declarar por el comentado temor.</w:t>
      </w:r>
    </w:p>
    <w:p w:rsidR="00224567" w:rsidRDefault="00224567">
      <w:pPr>
        <w:widowControl w:val="0"/>
        <w:tabs>
          <w:tab w:val="center" w:pos="0"/>
        </w:tabs>
        <w:ind w:firstLine="2160"/>
      </w:pPr>
      <w:r>
        <w:t xml:space="preserve">Refirió el ex titular de </w:t>
      </w:r>
      <w:smartTag w:uri="urn:schemas-microsoft-com:office:smarttags" w:element="PersonName">
        <w:smartTagPr>
          <w:attr w:name="ProductID" w:val="la S.I"/>
        </w:smartTagPr>
        <w:r>
          <w:t>la S.I</w:t>
        </w:r>
      </w:smartTag>
      <w:r>
        <w:t>.D.E. que no preguntó acerca de qué aportaría Telleldín, ni ta</w:t>
      </w:r>
      <w:r>
        <w:t>m</w:t>
      </w:r>
      <w:r>
        <w:t>poco el magistrado se lo comentó, pero de inmediato respondió afirmativamente a su solicitud por cuanto era una contr</w:t>
      </w:r>
      <w:r>
        <w:t>i</w:t>
      </w:r>
      <w:r>
        <w:t>bución más del organismo a su cargo “para s</w:t>
      </w:r>
      <w:r>
        <w:t>a</w:t>
      </w:r>
      <w:r>
        <w:t>lir adelante”.</w:t>
      </w:r>
    </w:p>
    <w:p w:rsidR="00224567" w:rsidRDefault="00224567">
      <w:pPr>
        <w:widowControl w:val="0"/>
        <w:tabs>
          <w:tab w:val="center" w:pos="0"/>
        </w:tabs>
      </w:pPr>
      <w:r>
        <w:tab/>
        <w:t>En cuanto al tiempo, el juez le dijo que lo necesitaba lo antes posible, no comentando con n</w:t>
      </w:r>
      <w:r>
        <w:t>a</w:t>
      </w:r>
      <w:r>
        <w:t>die dicho requerimiento; indicó que el dinero estaba en el país y que se lo pidió al dire</w:t>
      </w:r>
      <w:r>
        <w:t>c</w:t>
      </w:r>
      <w:r>
        <w:t>tor de finanzas.</w:t>
      </w:r>
    </w:p>
    <w:p w:rsidR="00224567" w:rsidRDefault="00224567">
      <w:pPr>
        <w:widowControl w:val="0"/>
        <w:tabs>
          <w:tab w:val="center" w:pos="0"/>
        </w:tabs>
      </w:pPr>
      <w:r>
        <w:tab/>
        <w:t>Agregó Anzorreguy que transcurridos veinte días, aproximadamente, citó a Finnen a su desp</w:t>
      </w:r>
      <w:r>
        <w:t>a</w:t>
      </w:r>
      <w:r>
        <w:t>cho y le entregó el dinero para que se lo lleve al Dr. G</w:t>
      </w:r>
      <w:r>
        <w:t>a</w:t>
      </w:r>
      <w:r>
        <w:t>leano. Si bien Finnen no estaba al tanto, sabía que había una necesidad por cuanto había sido el primer funcionario a quien recurrió el magistrado. Previo a ello averiguó que la seguridad de la familia de Telle</w:t>
      </w:r>
      <w:r>
        <w:t>l</w:t>
      </w:r>
      <w:r>
        <w:t>dín era precaria.</w:t>
      </w:r>
    </w:p>
    <w:p w:rsidR="00224567" w:rsidRDefault="00224567">
      <w:pPr>
        <w:widowControl w:val="0"/>
        <w:tabs>
          <w:tab w:val="center" w:pos="0"/>
        </w:tabs>
      </w:pPr>
      <w:r>
        <w:tab/>
        <w:t>Destacó que no realizó mayores aver</w:t>
      </w:r>
      <w:r>
        <w:t>i</w:t>
      </w:r>
      <w:r>
        <w:t xml:space="preserve">guaciones sobre el tema dado que </w:t>
      </w:r>
      <w:smartTag w:uri="urn:schemas-microsoft-com:office:smarttags" w:element="PersonName">
        <w:smartTagPr>
          <w:attr w:name="ProductID" w:val="la Secretar￭a"/>
        </w:smartTagPr>
        <w:r>
          <w:t>la Secretaría</w:t>
        </w:r>
      </w:smartTag>
      <w:r>
        <w:t xml:space="preserve"> estaba a disposición de la justicia, ni tampoco i</w:t>
      </w:r>
      <w:r>
        <w:t>n</w:t>
      </w:r>
      <w:r>
        <w:t>quirió acerca de la forma en que se realizaría el pago, debido a que no e</w:t>
      </w:r>
      <w:r>
        <w:t>s</w:t>
      </w:r>
      <w:r>
        <w:t>taba a su cargo la instr</w:t>
      </w:r>
      <w:r>
        <w:t>u</w:t>
      </w:r>
      <w:r>
        <w:t>mentación.</w:t>
      </w:r>
    </w:p>
    <w:p w:rsidR="00224567" w:rsidRDefault="00224567">
      <w:pPr>
        <w:widowControl w:val="0"/>
        <w:tabs>
          <w:tab w:val="center" w:pos="0"/>
        </w:tabs>
      </w:pPr>
      <w:r>
        <w:tab/>
        <w:t>Aclaró que la operación y los fondos eran secretos, demorándose entre 15 y 20 días para cons</w:t>
      </w:r>
      <w:r>
        <w:t>e</w:t>
      </w:r>
      <w:r>
        <w:t>guir el dinero; que, en cuanto lo tuvo, se lo entregó a Finnen.</w:t>
      </w:r>
    </w:p>
    <w:p w:rsidR="00224567" w:rsidRDefault="00224567">
      <w:pPr>
        <w:widowControl w:val="0"/>
        <w:tabs>
          <w:tab w:val="center" w:pos="0"/>
        </w:tabs>
      </w:pPr>
      <w:r>
        <w:tab/>
        <w:t>Destacó que no requirió autorización para realizar el pago, dado que estaba dentro de sus f</w:t>
      </w:r>
      <w:r>
        <w:t>a</w:t>
      </w:r>
      <w:r>
        <w:t>cultades hacerlo y que previamente, no comentó el t</w:t>
      </w:r>
      <w:r>
        <w:t>e</w:t>
      </w:r>
      <w:r>
        <w:t>ma con el ex presidente Menem, aunque seguramente lo hizo con posteri</w:t>
      </w:r>
      <w:r>
        <w:t>o</w:t>
      </w:r>
      <w:r>
        <w:t>ridad.</w:t>
      </w:r>
    </w:p>
    <w:p w:rsidR="00224567" w:rsidRDefault="00224567">
      <w:pPr>
        <w:widowControl w:val="0"/>
        <w:tabs>
          <w:tab w:val="center" w:pos="0"/>
        </w:tabs>
      </w:pPr>
      <w:r>
        <w:tab/>
        <w:t>Anzorreguy develó que con motivo de esta causa se hicieron aportes dinerarios en diversos l</w:t>
      </w:r>
      <w:r>
        <w:t>u</w:t>
      </w:r>
      <w:r>
        <w:t>gares del mundo, que se gastó mucho dinero en la invest</w:t>
      </w:r>
      <w:r>
        <w:t>i</w:t>
      </w:r>
      <w:r>
        <w:t>gación y en informantes; que “no se ahorró nada”.</w:t>
      </w:r>
    </w:p>
    <w:p w:rsidR="00224567" w:rsidRDefault="00224567">
      <w:pPr>
        <w:widowControl w:val="0"/>
        <w:tabs>
          <w:tab w:val="center" w:pos="0"/>
        </w:tabs>
      </w:pPr>
      <w:r>
        <w:tab/>
        <w:t>Detalló que con posterioridad se ent</w:t>
      </w:r>
      <w:r>
        <w:t>e</w:t>
      </w:r>
      <w:r>
        <w:t xml:space="preserve">ró que el dinero fue entregado, pues vio un video en la base de </w:t>
      </w:r>
      <w:smartTag w:uri="urn:schemas-microsoft-com:office:smarttags" w:element="PersonName">
        <w:smartTagPr>
          <w:attr w:name="ProductID" w:val="la Secretar￭a"/>
        </w:smartTagPr>
        <w:r>
          <w:t>la Secretaría</w:t>
        </w:r>
      </w:smartTag>
      <w:r>
        <w:t xml:space="preserve"> sita en Avenida de los Incas, junto con T</w:t>
      </w:r>
      <w:r>
        <w:t>o</w:t>
      </w:r>
      <w:r>
        <w:t>ranzo, el juez Galeano, Brousson y Finnen; imágenes en las que aparecía B</w:t>
      </w:r>
      <w:r>
        <w:t>o</w:t>
      </w:r>
      <w:r>
        <w:t>ragni diciendo que había recibido $ 400.000 y que se obtuvieron a modo de con</w:t>
      </w:r>
      <w:r>
        <w:t>s</w:t>
      </w:r>
      <w:r>
        <w:t>tancia.</w:t>
      </w:r>
    </w:p>
    <w:p w:rsidR="00224567" w:rsidRDefault="00224567">
      <w:pPr>
        <w:widowControl w:val="0"/>
        <w:tabs>
          <w:tab w:val="center" w:pos="0"/>
        </w:tabs>
      </w:pPr>
      <w:r>
        <w:tab/>
        <w:t>Añadió, que no le pidieron que sacara a la familia de Telleldín del país, pese a que según le come</w:t>
      </w:r>
      <w:r>
        <w:t>n</w:t>
      </w:r>
      <w:r>
        <w:t>taron seguía corriendo riesgos.</w:t>
      </w:r>
    </w:p>
    <w:p w:rsidR="00224567" w:rsidRDefault="00224567">
      <w:pPr>
        <w:widowControl w:val="0"/>
        <w:tabs>
          <w:tab w:val="center" w:pos="0"/>
        </w:tabs>
      </w:pPr>
      <w:r>
        <w:tab/>
        <w:t>Con relación a la recompensa, manife</w:t>
      </w:r>
      <w:r>
        <w:t>s</w:t>
      </w:r>
      <w:r>
        <w:t>tó que el decreto no estaba reglamentado y que no tuvo c</w:t>
      </w:r>
      <w:r>
        <w:t>o</w:t>
      </w:r>
      <w:r>
        <w:t>nocimientos que se hubiera hablado sobre los derechos de autor de un libro.</w:t>
      </w:r>
    </w:p>
    <w:p w:rsidR="00224567" w:rsidRDefault="00224567">
      <w:pPr>
        <w:widowControl w:val="0"/>
        <w:tabs>
          <w:tab w:val="center" w:pos="0"/>
        </w:tabs>
      </w:pPr>
      <w:r>
        <w:tab/>
        <w:t xml:space="preserve">En punto a los asientos contables de los fondos secretos de </w:t>
      </w:r>
      <w:smartTag w:uri="urn:schemas-microsoft-com:office:smarttags" w:element="PersonName">
        <w:smartTagPr>
          <w:attr w:name="ProductID" w:val="la Secretar￭a"/>
        </w:smartTagPr>
        <w:r>
          <w:t>la Secretaría</w:t>
        </w:r>
      </w:smartTag>
      <w:r>
        <w:t xml:space="preserve"> de Estado de Intel</w:t>
      </w:r>
      <w:r>
        <w:t>i</w:t>
      </w:r>
      <w:r>
        <w:t>gencia, indicó que tenían igual carácter y que los pagos se volcaban en un acta global, sin discr</w:t>
      </w:r>
      <w:r>
        <w:t>i</w:t>
      </w:r>
      <w:r>
        <w:t>minar, en la que n</w:t>
      </w:r>
      <w:r>
        <w:t>a</w:t>
      </w:r>
      <w:r>
        <w:t>da se consignaba.</w:t>
      </w:r>
    </w:p>
    <w:p w:rsidR="00224567" w:rsidRDefault="00224567">
      <w:pPr>
        <w:widowControl w:val="0"/>
        <w:tabs>
          <w:tab w:val="center" w:pos="0"/>
        </w:tabs>
      </w:pPr>
      <w:r>
        <w:tab/>
        <w:t>Aclaró, que al tiempo de su declar</w:t>
      </w:r>
      <w:r>
        <w:t>a</w:t>
      </w:r>
      <w:r>
        <w:t>ción no había forma de descifrar una rendición; a modo de ejemplo, dijo que no se podía saber si ésta respondía a una oper</w:t>
      </w:r>
      <w:r>
        <w:t>a</w:t>
      </w:r>
      <w:r>
        <w:t>ción llevada a cabo aquí, en Francia o en España.</w:t>
      </w:r>
    </w:p>
    <w:p w:rsidR="00224567" w:rsidRDefault="00224567">
      <w:pPr>
        <w:widowControl w:val="0"/>
        <w:tabs>
          <w:tab w:val="center" w:pos="0"/>
        </w:tabs>
      </w:pPr>
      <w:r>
        <w:tab/>
        <w:t>Recalcó que el pago le pareció normal y estaba dentro de su órbita y que hubo otros, incluso s</w:t>
      </w:r>
      <w:r>
        <w:t>u</w:t>
      </w:r>
      <w:r>
        <w:t>periores, realizados con servicios colaterales extranj</w:t>
      </w:r>
      <w:r>
        <w:t>e</w:t>
      </w:r>
      <w:r>
        <w:t>ros.</w:t>
      </w:r>
    </w:p>
    <w:p w:rsidR="00224567" w:rsidRDefault="00224567">
      <w:pPr>
        <w:widowControl w:val="0"/>
        <w:tabs>
          <w:tab w:val="center" w:pos="0"/>
        </w:tabs>
      </w:pPr>
      <w:r>
        <w:tab/>
        <w:t xml:space="preserve">En oportunidad de rendir testimonio </w:t>
      </w:r>
      <w:r>
        <w:rPr>
          <w:bCs/>
        </w:rPr>
        <w:t>Rodrigo Toranzo,</w:t>
      </w:r>
      <w:r>
        <w:rPr>
          <w:b/>
        </w:rPr>
        <w:t xml:space="preserve"> </w:t>
      </w:r>
      <w:r>
        <w:t>quien se desempeñó como subs</w:t>
      </w:r>
      <w:r>
        <w:t>e</w:t>
      </w:r>
      <w:r>
        <w:t xml:space="preserve">cretario del Área Exterior en </w:t>
      </w:r>
      <w:smartTag w:uri="urn:schemas-microsoft-com:office:smarttags" w:element="PersonName">
        <w:smartTagPr>
          <w:attr w:name="ProductID" w:val="la Secretar￭a"/>
        </w:smartTagPr>
        <w:r>
          <w:t>la Secretaría</w:t>
        </w:r>
      </w:smartTag>
      <w:r>
        <w:t xml:space="preserve"> de Int</w:t>
      </w:r>
      <w:r>
        <w:t>e</w:t>
      </w:r>
      <w:r>
        <w:t>ligencia de Estado, entre 1992 y 1999, refirió, en lo concerniente al tema b</w:t>
      </w:r>
      <w:r>
        <w:t>a</w:t>
      </w:r>
      <w:r>
        <w:t>jo examen, que el comisario Verón arrimó al juzgado la h</w:t>
      </w:r>
      <w:r>
        <w:t>i</w:t>
      </w:r>
      <w:r>
        <w:t>pótesis policial.</w:t>
      </w:r>
    </w:p>
    <w:p w:rsidR="00224567" w:rsidRDefault="00224567">
      <w:pPr>
        <w:widowControl w:val="0"/>
        <w:tabs>
          <w:tab w:val="center" w:pos="0"/>
        </w:tabs>
      </w:pPr>
      <w:r>
        <w:tab/>
        <w:t>Añadió que tuvo información que se i</w:t>
      </w:r>
      <w:r>
        <w:t>n</w:t>
      </w:r>
      <w:r>
        <w:t>vestigaban las relaciones de Telleldín con el grupo de R</w:t>
      </w:r>
      <w:r>
        <w:t>i</w:t>
      </w:r>
      <w:r>
        <w:t>belli y que en el grupo de contrainteligencia eran escé</w:t>
      </w:r>
      <w:r>
        <w:t>p</w:t>
      </w:r>
      <w:r>
        <w:t>ticos respecto de la pista policial, a la que no consid</w:t>
      </w:r>
      <w:r>
        <w:t>e</w:t>
      </w:r>
      <w:r>
        <w:t>raban una hipótesis impo</w:t>
      </w:r>
      <w:r>
        <w:t>r</w:t>
      </w:r>
      <w:r>
        <w:t>tante.</w:t>
      </w:r>
    </w:p>
    <w:p w:rsidR="00224567" w:rsidRDefault="00224567">
      <w:pPr>
        <w:widowControl w:val="0"/>
        <w:tabs>
          <w:tab w:val="center" w:pos="0"/>
        </w:tabs>
      </w:pPr>
      <w:r>
        <w:tab/>
        <w:t>Precisó Toranzo que Finnen y Brousson le exhibieron una videofilmación operativa, que daba cue</w:t>
      </w:r>
      <w:r>
        <w:t>n</w:t>
      </w:r>
      <w:r>
        <w:t>ta de un pago, enterándose por ello que se habían pagado $ 400.000 en dos entregas y para lo cual se habían recibido instrucciones del juzgado y del Secretario de Intelige</w:t>
      </w:r>
      <w:r>
        <w:t>n</w:t>
      </w:r>
      <w:r>
        <w:t>cia.</w:t>
      </w:r>
    </w:p>
    <w:p w:rsidR="00224567" w:rsidRDefault="00224567">
      <w:pPr>
        <w:widowControl w:val="0"/>
        <w:tabs>
          <w:tab w:val="center" w:pos="0"/>
        </w:tabs>
      </w:pPr>
      <w:r>
        <w:tab/>
        <w:t>Acerca de las circunstancias del p</w:t>
      </w:r>
      <w:r>
        <w:t>a</w:t>
      </w:r>
      <w:r>
        <w:t>go, indicó que la investigación estaba detenida, extremo que generaba una preocupación generalizada, entre las víct</w:t>
      </w:r>
      <w:r>
        <w:t>i</w:t>
      </w:r>
      <w:r>
        <w:t>mas, en su servicio y en el de I</w:t>
      </w:r>
      <w:r>
        <w:t>s</w:t>
      </w:r>
      <w:r>
        <w:t>rael, entre otros.</w:t>
      </w:r>
    </w:p>
    <w:p w:rsidR="00224567" w:rsidRDefault="00224567">
      <w:pPr>
        <w:widowControl w:val="0"/>
        <w:tabs>
          <w:tab w:val="center" w:pos="0"/>
        </w:tabs>
      </w:pPr>
      <w:r>
        <w:tab/>
        <w:t>Toranzo admitió haberse enterado de insinuaciones o adelantos de Telleldín, quien ponía cond</w:t>
      </w:r>
      <w:r>
        <w:t>i</w:t>
      </w:r>
      <w:r>
        <w:t xml:space="preserve">ciones y que esas conversaciones comenzaron con </w:t>
      </w:r>
      <w:smartTag w:uri="urn:schemas-microsoft-com:office:smarttags" w:element="PersonName">
        <w:smartTagPr>
          <w:attr w:name="ProductID" w:val="la Dra. Riva"/>
        </w:smartTagPr>
        <w:r>
          <w:t>la Dra. Riva</w:t>
        </w:r>
      </w:smartTag>
      <w:r>
        <w:t xml:space="preserve"> Aramayo, invocando aquél temor por su fam</w:t>
      </w:r>
      <w:r>
        <w:t>i</w:t>
      </w:r>
      <w:r>
        <w:t>lia.</w:t>
      </w:r>
    </w:p>
    <w:p w:rsidR="00224567" w:rsidRDefault="00224567">
      <w:pPr>
        <w:widowControl w:val="0"/>
        <w:tabs>
          <w:tab w:val="center" w:pos="0"/>
        </w:tabs>
      </w:pPr>
      <w:r>
        <w:tab/>
        <w:t>Se enteró también que el juez habló con Brousson y Finnen del pago y les dio las indicaci</w:t>
      </w:r>
      <w:r>
        <w:t>o</w:t>
      </w:r>
      <w:r>
        <w:t>nes acerca de cómo realizarlo; que Anzorreguy le entregó el dinero a Finnen y éste, a su vez, a Brousson.</w:t>
      </w:r>
    </w:p>
    <w:p w:rsidR="00224567" w:rsidRDefault="00224567">
      <w:pPr>
        <w:widowControl w:val="0"/>
        <w:tabs>
          <w:tab w:val="center" w:pos="0"/>
        </w:tabs>
      </w:pPr>
      <w:r>
        <w:tab/>
        <w:t>Mencionó el testigo que el pago se h</w:t>
      </w:r>
      <w:r>
        <w:t>i</w:t>
      </w:r>
      <w:r>
        <w:t>zo para saber la verdad, que se paga para saber la ve</w:t>
      </w:r>
      <w:r>
        <w:t>r</w:t>
      </w:r>
      <w:r>
        <w:t>dad, pero como no la conocen de antemano, les pueden me</w:t>
      </w:r>
      <w:r>
        <w:t>n</w:t>
      </w:r>
      <w:r>
        <w:t>tir.</w:t>
      </w:r>
    </w:p>
    <w:p w:rsidR="00224567" w:rsidRDefault="00224567">
      <w:pPr>
        <w:widowControl w:val="0"/>
        <w:tabs>
          <w:tab w:val="center" w:pos="0"/>
        </w:tabs>
      </w:pPr>
      <w:r>
        <w:tab/>
        <w:t>Aclaró, frente a diversas preguntas, que no valoraron la información ni la verific</w:t>
      </w:r>
      <w:r>
        <w:t>a</w:t>
      </w:r>
      <w:r>
        <w:t>ron dado que el pedido venía del área judicial y porque tampoco se le enca</w:t>
      </w:r>
      <w:r>
        <w:t>r</w:t>
      </w:r>
      <w:r>
        <w:t>gó investigar la versión de Telleldín.</w:t>
      </w:r>
    </w:p>
    <w:p w:rsidR="00224567" w:rsidRDefault="00224567">
      <w:pPr>
        <w:widowControl w:val="0"/>
        <w:tabs>
          <w:tab w:val="center" w:pos="0"/>
        </w:tabs>
      </w:pPr>
      <w:r>
        <w:rPr>
          <w:bCs/>
        </w:rPr>
        <w:tab/>
        <w:t>Daniel Alberto Fernández,</w:t>
      </w:r>
      <w:r>
        <w:rPr>
          <w:b/>
        </w:rPr>
        <w:t xml:space="preserve"> </w:t>
      </w:r>
      <w:r>
        <w:t>cuyo nombre de cobertura era Ferro, dijo que participó del operativo de seguridad cuando se realizó el s</w:t>
      </w:r>
      <w:r>
        <w:t>e</w:t>
      </w:r>
      <w:r>
        <w:t>gundo pago de $200.000 a Boragni. Su misión consistió en custodiar la zona aled</w:t>
      </w:r>
      <w:r>
        <w:t>a</w:t>
      </w:r>
      <w:r>
        <w:t xml:space="preserve">ña al banco donde se abonó, sito en </w:t>
      </w:r>
      <w:smartTag w:uri="urn:schemas-microsoft-com:office:smarttags" w:element="PersonName">
        <w:smartTagPr>
          <w:attr w:name="ProductID" w:val="la Avenida Cabildo"/>
        </w:smartTagPr>
        <w:r>
          <w:t>la Avenida Cabildo</w:t>
        </w:r>
      </w:smartTag>
      <w:r>
        <w:t>; que para ello se instaló casi frente a la entidad credit</w:t>
      </w:r>
      <w:r>
        <w:t>i</w:t>
      </w:r>
      <w:r>
        <w:t>cia.</w:t>
      </w:r>
    </w:p>
    <w:p w:rsidR="00224567" w:rsidRDefault="00224567">
      <w:pPr>
        <w:widowControl w:val="0"/>
        <w:tabs>
          <w:tab w:val="center" w:pos="0"/>
        </w:tabs>
      </w:pPr>
      <w:r>
        <w:tab/>
        <w:t>Añadió, que el pago lo hizo Mansur (Maiolo) y, que del operativo también participaron del operativo Brousson y Villaseca.</w:t>
      </w:r>
    </w:p>
    <w:p w:rsidR="00224567" w:rsidRDefault="00224567">
      <w:pPr>
        <w:widowControl w:val="0"/>
        <w:tabs>
          <w:tab w:val="center" w:pos="0"/>
        </w:tabs>
      </w:pPr>
      <w:r>
        <w:rPr>
          <w:bCs/>
        </w:rPr>
        <w:tab/>
        <w:t>Carlos Aníbal Molina Quiroga</w:t>
      </w:r>
      <w:r>
        <w:rPr>
          <w:b/>
        </w:rPr>
        <w:t xml:space="preserve"> </w:t>
      </w:r>
      <w:r>
        <w:t>so</w:t>
      </w:r>
      <w:r>
        <w:t>s</w:t>
      </w:r>
      <w:r>
        <w:t>tuvo, con relación al desembolso, que en julio de 1996 se e</w:t>
      </w:r>
      <w:r>
        <w:t>n</w:t>
      </w:r>
      <w:r>
        <w:t>teró que se iba a hacer una operación, pero desconocía de qué se trataba. Explicó que lo llamó Brousson y le dijo que llevase un teléfono cel</w:t>
      </w:r>
      <w:r>
        <w:t>u</w:t>
      </w:r>
      <w:r>
        <w:t>lar al Dr. Galeano; una vez en el juzgado se lo e</w:t>
      </w:r>
      <w:r>
        <w:t>n</w:t>
      </w:r>
      <w:r>
        <w:t>tregó a una empleada y pasada una hora se lo devo</w:t>
      </w:r>
      <w:r>
        <w:t>l</w:t>
      </w:r>
      <w:r>
        <w:t>vió, entregándoselo luego a Brousson.</w:t>
      </w:r>
    </w:p>
    <w:p w:rsidR="00224567" w:rsidRDefault="00224567">
      <w:pPr>
        <w:widowControl w:val="0"/>
        <w:tabs>
          <w:tab w:val="center" w:pos="0"/>
        </w:tabs>
        <w:rPr>
          <w:u w:val="single"/>
        </w:rPr>
      </w:pPr>
      <w:r>
        <w:tab/>
        <w:t>Adujo que tiempo después, por gente de la oficina -Brousson, González, Finnen- se enteró para qué se había usado el celular, contánd</w:t>
      </w:r>
      <w:r>
        <w:t>o</w:t>
      </w:r>
      <w:r>
        <w:t>le que se hizo un pago a Telleldín y que a través del celular que entregó en el juzgado, éste habló con Boragni, quien le informó, desde un teléfono p</w:t>
      </w:r>
      <w:r>
        <w:t>ú</w:t>
      </w:r>
      <w:r>
        <w:t xml:space="preserve">blico, que se había hecho el pago. Según le dijeron, se pagaron $ 400.000 para que Telleldín relatara en una declaración lo que decía </w:t>
      </w:r>
      <w:r>
        <w:rPr>
          <w:u w:val="single"/>
        </w:rPr>
        <w:t>off the record.</w:t>
      </w:r>
    </w:p>
    <w:p w:rsidR="00224567" w:rsidRDefault="00224567">
      <w:pPr>
        <w:widowControl w:val="0"/>
        <w:tabs>
          <w:tab w:val="center" w:pos="0"/>
        </w:tabs>
      </w:pPr>
      <w:r>
        <w:tab/>
        <w:t>Refirió Molina Quiroga que, según le dijo Brousson, el pago fue una operación; éstas, dijo, se rigen por</w:t>
      </w:r>
      <w:r>
        <w:rPr>
          <w:b/>
        </w:rPr>
        <w:t xml:space="preserve"> </w:t>
      </w:r>
      <w:r>
        <w:t>diversos principios</w:t>
      </w:r>
      <w:r>
        <w:rPr>
          <w:b/>
        </w:rPr>
        <w:t>,</w:t>
      </w:r>
      <w:r>
        <w:t xml:space="preserve"> formando parte de ellos la no divulgación y la reserva, siendo ese el m</w:t>
      </w:r>
      <w:r>
        <w:t>o</w:t>
      </w:r>
      <w:r>
        <w:t xml:space="preserve">do de operar de </w:t>
      </w:r>
      <w:smartTag w:uri="urn:schemas-microsoft-com:office:smarttags" w:element="PersonName">
        <w:smartTagPr>
          <w:attr w:name="ProductID" w:val="la Secretar￭a"/>
        </w:smartTagPr>
        <w:r>
          <w:t>la Secretaría</w:t>
        </w:r>
      </w:smartTag>
      <w:r>
        <w:t xml:space="preserve"> de Intel</w:t>
      </w:r>
      <w:r>
        <w:t>i</w:t>
      </w:r>
      <w:r>
        <w:t>gencia.</w:t>
      </w:r>
    </w:p>
    <w:p w:rsidR="00224567" w:rsidRDefault="00224567">
      <w:pPr>
        <w:widowControl w:val="0"/>
        <w:tabs>
          <w:tab w:val="center" w:pos="0"/>
        </w:tabs>
      </w:pPr>
      <w:r>
        <w:rPr>
          <w:bCs/>
        </w:rPr>
        <w:tab/>
        <w:t xml:space="preserve">Luis Nelson González, </w:t>
      </w:r>
      <w:r>
        <w:t>conocido bajo apodo de “Pinocho”, aunque admitió que su nombre de cobe</w:t>
      </w:r>
      <w:r>
        <w:t>r</w:t>
      </w:r>
      <w:r>
        <w:t>tura era Lucas Grosso, luego Leonardo Gontel, no recorda</w:t>
      </w:r>
      <w:r>
        <w:t>n</w:t>
      </w:r>
      <w:r>
        <w:t>do el último, dijo que en julio de 1994 Brousson le info</w:t>
      </w:r>
      <w:r>
        <w:t>r</w:t>
      </w:r>
      <w:r>
        <w:t>mó que se haría una operación y que debía col</w:t>
      </w:r>
      <w:r>
        <w:t>a</w:t>
      </w:r>
      <w:r>
        <w:t>borar en la seguridad; asimismo, le preguntó si surgía alguna nov</w:t>
      </w:r>
      <w:r>
        <w:t>e</w:t>
      </w:r>
      <w:r>
        <w:t>dad de las e</w:t>
      </w:r>
      <w:r>
        <w:t>s</w:t>
      </w:r>
      <w:r>
        <w:t>cuchas de Telleldín y Boragni.</w:t>
      </w:r>
    </w:p>
    <w:p w:rsidR="00224567" w:rsidRDefault="00224567">
      <w:pPr>
        <w:widowControl w:val="0"/>
        <w:tabs>
          <w:tab w:val="center" w:pos="0"/>
        </w:tabs>
      </w:pPr>
      <w:r>
        <w:tab/>
        <w:t>Aclaró, que esto último obedecía a que había una información acerca de unos manuscritos donde T</w:t>
      </w:r>
      <w:r>
        <w:t>e</w:t>
      </w:r>
      <w:r>
        <w:t>lleldín contaría la verdad, pero no lo hacía pues temía por su familia; que “Operaciones” trabajaba en obtener esos escritos, dado que sabían que desde el año 1995 T</w:t>
      </w:r>
      <w:r>
        <w:t>e</w:t>
      </w:r>
      <w:r>
        <w:t>lleldín hablaba por la prensa de la reda</w:t>
      </w:r>
      <w:r>
        <w:t>c</w:t>
      </w:r>
      <w:r>
        <w:t>ción de un libro.</w:t>
      </w:r>
    </w:p>
    <w:p w:rsidR="00224567" w:rsidRDefault="00224567">
      <w:pPr>
        <w:widowControl w:val="0"/>
        <w:tabs>
          <w:tab w:val="center" w:pos="0"/>
        </w:tabs>
      </w:pPr>
      <w:r>
        <w:tab/>
        <w:t>Brousson le dijo que se haría una op</w:t>
      </w:r>
      <w:r>
        <w:t>e</w:t>
      </w:r>
      <w:r>
        <w:t>ración por la cual se pagarían USD 400.000, reco</w:t>
      </w:r>
      <w:r>
        <w:t>r</w:t>
      </w:r>
      <w:r>
        <w:t>dando que en una anterior operación el pago fracasó debido a la pr</w:t>
      </w:r>
      <w:r>
        <w:t>e</w:t>
      </w:r>
      <w:r>
        <w:t>sencia de gente extraña en el lugar donde se debía real</w:t>
      </w:r>
      <w:r>
        <w:t>i</w:t>
      </w:r>
      <w:r>
        <w:t>zar.</w:t>
      </w:r>
    </w:p>
    <w:p w:rsidR="00224567" w:rsidRDefault="00224567">
      <w:pPr>
        <w:widowControl w:val="0"/>
        <w:tabs>
          <w:tab w:val="center" w:pos="0"/>
        </w:tabs>
        <w:rPr>
          <w:highlight w:val="yellow"/>
        </w:rPr>
      </w:pPr>
      <w:r>
        <w:tab/>
        <w:t>Brousson le indicó que el 5 ó 6 de j</w:t>
      </w:r>
      <w:r>
        <w:t>u</w:t>
      </w:r>
      <w:r>
        <w:t>lio debía apoyar la seguridad del agente Maiolo y de un colaborador, Legascue, en el operativo a realizar en un banco de Ramos Mejía. Indicó, que una vez en el lugar Brousson se colocó en una esquina y él en la otra, debían controlar a Maiolo que llevaba el dinero en un estuche de video. A Legascue lo vio en la puerta del banco, al que luego ingresó, en tanto dijo no haber visto a Boragni, aunque luego se enteró que estaba d</w:t>
      </w:r>
      <w:r>
        <w:t>e</w:t>
      </w:r>
      <w:r>
        <w:t>ntro de la entidad.</w:t>
      </w:r>
    </w:p>
    <w:p w:rsidR="00224567" w:rsidRDefault="00224567">
      <w:pPr>
        <w:widowControl w:val="0"/>
        <w:tabs>
          <w:tab w:val="center" w:pos="0"/>
        </w:tabs>
      </w:pPr>
      <w:r>
        <w:tab/>
        <w:t>Precisó que Finnen estaba al ta</w:t>
      </w:r>
      <w:r>
        <w:t>n</w:t>
      </w:r>
      <w:r>
        <w:t>to de la operación y que la tarde anterior Brousson lo llamó a la base para contar y separar los dól</w:t>
      </w:r>
      <w:r>
        <w:t>a</w:t>
      </w:r>
      <w:r>
        <w:t>res.</w:t>
      </w:r>
    </w:p>
    <w:p w:rsidR="00224567" w:rsidRDefault="00224567">
      <w:pPr>
        <w:widowControl w:val="0"/>
        <w:tabs>
          <w:tab w:val="center" w:pos="0"/>
        </w:tabs>
        <w:rPr>
          <w:highlight w:val="yellow"/>
        </w:rPr>
      </w:pPr>
      <w:r>
        <w:tab/>
        <w:t>Aclaró que el tema fue planteado como secreto de Estado, por lo que no podía hablarlo con el juez ni con los fiscales y, por tanto, nunca lo hizo; dijo de</w:t>
      </w:r>
      <w:r>
        <w:t>s</w:t>
      </w:r>
      <w:r>
        <w:t>conocer si el juez sabía del pago.</w:t>
      </w:r>
    </w:p>
    <w:p w:rsidR="00224567" w:rsidRDefault="00224567">
      <w:pPr>
        <w:widowControl w:val="0"/>
        <w:tabs>
          <w:tab w:val="center" w:pos="0"/>
        </w:tabs>
      </w:pPr>
      <w:r>
        <w:tab/>
        <w:t>La segunda retribución, precisó Gonz</w:t>
      </w:r>
      <w:r>
        <w:t>á</w:t>
      </w:r>
      <w:r>
        <w:t>lez, fue en septiembre u octubre; su misión consistió en co</w:t>
      </w:r>
      <w:r>
        <w:t>n</w:t>
      </w:r>
      <w:r>
        <w:t>trolar a Maiolo que estaba solo. A éste lo vio ingresar al banco, llevaba un equipo de filmación dado que Brousson quería una constancia de que el dinero se había recibido. Al salir Maiolo fue a la base y ahí vio el video que gr</w:t>
      </w:r>
      <w:r>
        <w:t>a</w:t>
      </w:r>
      <w:r>
        <w:t>bó, donde Boragni dice que antes había recibido USD 200.000.</w:t>
      </w:r>
    </w:p>
    <w:p w:rsidR="00224567" w:rsidRDefault="00224567">
      <w:pPr>
        <w:widowControl w:val="0"/>
        <w:tabs>
          <w:tab w:val="center" w:pos="0"/>
        </w:tabs>
      </w:pPr>
      <w:r>
        <w:tab/>
        <w:t>Añadió que, como sucedió con el otro pago, nunca más se conversó del tema dado que Brousson le dijo que era secreto de Estado. Recalcó que no habló de la recompensa con el juez, ni con nadie del juzgado, dest</w:t>
      </w:r>
      <w:r>
        <w:t>a</w:t>
      </w:r>
      <w:r>
        <w:t>cando que “fue una operación de inteligencia para que a</w:t>
      </w:r>
      <w:r>
        <w:t>l</w:t>
      </w:r>
      <w:r>
        <w:t>guien declare lo que t</w:t>
      </w:r>
      <w:r>
        <w:t>e</w:t>
      </w:r>
      <w:r>
        <w:t>nía que declarar”.</w:t>
      </w:r>
    </w:p>
    <w:p w:rsidR="00224567" w:rsidRDefault="00224567">
      <w:pPr>
        <w:widowControl w:val="0"/>
        <w:tabs>
          <w:tab w:val="center" w:pos="0"/>
        </w:tabs>
      </w:pPr>
      <w:r>
        <w:tab/>
        <w:t>Lo expuesto por los funcionarios de inteligencia acerca de la forma y el monto de dinero que se e</w:t>
      </w:r>
      <w:r>
        <w:t>n</w:t>
      </w:r>
      <w:r>
        <w:t>tregó a Telleldín, coincide con los aspectos que éste r</w:t>
      </w:r>
      <w:r>
        <w:t>e</w:t>
      </w:r>
      <w:r>
        <w:t>lató al prestar declaración en el debate.</w:t>
      </w:r>
    </w:p>
    <w:p w:rsidR="00224567" w:rsidRDefault="00224567">
      <w:pPr>
        <w:widowControl w:val="0"/>
        <w:tabs>
          <w:tab w:val="center" w:pos="0"/>
        </w:tabs>
      </w:pPr>
      <w:r>
        <w:tab/>
        <w:t>Indicó, al respecto, que le abonaron en dos etapas; la primera el 5 de julio de 1996 y la otra en o</w:t>
      </w:r>
      <w:r>
        <w:t>c</w:t>
      </w:r>
      <w:r>
        <w:t>tubre de ese año.</w:t>
      </w:r>
    </w:p>
    <w:p w:rsidR="00224567" w:rsidRDefault="00224567">
      <w:pPr>
        <w:widowControl w:val="0"/>
        <w:tabs>
          <w:tab w:val="center" w:pos="0"/>
        </w:tabs>
      </w:pPr>
      <w:r>
        <w:tab/>
        <w:t>Acerca de la primera dijo que ese día, el juez, en la sede del juzgado, le entregó un teléfono celular con el que se comunicó con su hermano, quien le dijo que había recibido el dinero; ante ello firmó su d</w:t>
      </w:r>
      <w:r>
        <w:t>e</w:t>
      </w:r>
      <w:r>
        <w:t>clar</w:t>
      </w:r>
      <w:r>
        <w:t>a</w:t>
      </w:r>
      <w:r>
        <w:t>ción indagatoria y dejó en claro que si no le pagaban no la suscribía.</w:t>
      </w:r>
    </w:p>
    <w:p w:rsidR="00224567" w:rsidRDefault="00224567">
      <w:pPr>
        <w:widowControl w:val="0"/>
        <w:tabs>
          <w:tab w:val="center" w:pos="0"/>
        </w:tabs>
      </w:pPr>
      <w:r>
        <w:tab/>
        <w:t>Recordó también Telleldín que el día anterior, debido a la presencia de sujetos extraños, se había suspendido la entrega del dinero, posponiéndosela para el siguiente.</w:t>
      </w:r>
    </w:p>
    <w:p w:rsidR="00224567" w:rsidRDefault="00224567">
      <w:pPr>
        <w:widowControl w:val="0"/>
        <w:tabs>
          <w:tab w:val="center" w:pos="0"/>
        </w:tabs>
      </w:pPr>
      <w:r>
        <w:tab/>
        <w:t>Al abordar el tema de la negociación con el juez, relativa al monto que se le abonaría, i</w:t>
      </w:r>
      <w:r>
        <w:t>n</w:t>
      </w:r>
      <w:r>
        <w:t>dicó que falta en la causa el video que da cuenta de la entr</w:t>
      </w:r>
      <w:r>
        <w:t>e</w:t>
      </w:r>
      <w:r>
        <w:t>vista que ambos mantuvieron en el mes de junio de 1996, oport</w:t>
      </w:r>
      <w:r>
        <w:t>u</w:t>
      </w:r>
      <w:r>
        <w:t>nidad en la que pelearon el precio, dado que el juez le quería dar USD 350.000, en tanto él p</w:t>
      </w:r>
      <w:r>
        <w:t>e</w:t>
      </w:r>
      <w:r>
        <w:t>día USD 500.000, pues tenía que pagarle a Stinfale, arreglando finalmente en USD 400.000.</w:t>
      </w:r>
    </w:p>
    <w:p w:rsidR="00224567" w:rsidRDefault="00224567">
      <w:pPr>
        <w:widowControl w:val="0"/>
        <w:tabs>
          <w:tab w:val="center" w:pos="0"/>
        </w:tabs>
      </w:pPr>
      <w:r>
        <w:tab/>
        <w:t>Aclaró, además, que al video del 10 de abril de 1996 le falta la parte inicial, que refleja la discusión que mantuvieron durante casi una hora.</w:t>
      </w:r>
    </w:p>
    <w:p w:rsidR="00224567" w:rsidRDefault="00224567">
      <w:pPr>
        <w:widowControl w:val="0"/>
        <w:tabs>
          <w:tab w:val="center" w:pos="0"/>
        </w:tabs>
      </w:pPr>
      <w:r>
        <w:tab/>
        <w:t>En orden al tema económico, sostuvo que fueron pagadas las fianzas de su mujer y la suya por ca</w:t>
      </w:r>
      <w:r>
        <w:t>u</w:t>
      </w:r>
      <w:r>
        <w:t>sas que tramitaban en el juzgado federal de San Isidro, a cargo del Dr. Marquevich y que mensualmente recibía cierto dinero, entre USD 2.000 y USD 4.000, que se lo e</w:t>
      </w:r>
      <w:r>
        <w:t>n</w:t>
      </w:r>
      <w:r>
        <w:t>tregaban a su familia; que por esos pagos no firmó recibos y que ello duró unos meses.</w:t>
      </w:r>
    </w:p>
    <w:p w:rsidR="00224567" w:rsidRDefault="00224567">
      <w:pPr>
        <w:widowControl w:val="0"/>
        <w:tabs>
          <w:tab w:val="center" w:pos="0"/>
        </w:tabs>
        <w:rPr>
          <w:b/>
          <w:bCs/>
        </w:rPr>
      </w:pPr>
      <w:r>
        <w:tab/>
        <w:t>Los testimonios de los funcion</w:t>
      </w:r>
      <w:r>
        <w:t>a</w:t>
      </w:r>
      <w:r>
        <w:t xml:space="preserve">rios de </w:t>
      </w:r>
      <w:smartTag w:uri="urn:schemas-microsoft-com:office:smarttags" w:element="PersonName">
        <w:smartTagPr>
          <w:attr w:name="ProductID" w:val="la Secretar￭a"/>
        </w:smartTagPr>
        <w:r>
          <w:t>la Secretaría</w:t>
        </w:r>
      </w:smartTag>
      <w:r>
        <w:t xml:space="preserve"> de Inteligencia, reseñados en este apartado, si bien trasuntan divergencias en cuanto al modo de enc</w:t>
      </w:r>
      <w:r>
        <w:t>a</w:t>
      </w:r>
      <w:r>
        <w:t>rar la investigación, como así también acerca de la exi</w:t>
      </w:r>
      <w:r>
        <w:t>s</w:t>
      </w:r>
      <w:r>
        <w:t>tencia de celos profesionales de las áreas encargadas de la pesquisa, son coincidentes en cuanto a que se pagó a Telleldín la suma de $400.000; que la investigación se e</w:t>
      </w:r>
      <w:r>
        <w:t>n</w:t>
      </w:r>
      <w:r>
        <w:t>contraba estacionada y, que el pago se realizó bajo   d</w:t>
      </w:r>
      <w:r>
        <w:t>i</w:t>
      </w:r>
      <w:r>
        <w:t>recta s</w:t>
      </w:r>
      <w:r>
        <w:t>u</w:t>
      </w:r>
      <w:r>
        <w:t>pervisión del juez de la causa.</w:t>
      </w:r>
    </w:p>
    <w:p w:rsidR="00224567" w:rsidRDefault="00224567">
      <w:pPr>
        <w:widowControl w:val="0"/>
        <w:tabs>
          <w:tab w:val="center" w:pos="0"/>
        </w:tabs>
      </w:pPr>
      <w:r>
        <w:rPr>
          <w:b/>
          <w:bCs/>
        </w:rPr>
        <w:tab/>
        <w:t xml:space="preserve">G.6) </w:t>
      </w:r>
      <w:r>
        <w:t>La versión dada en el debate por los agentes de inteligencia, que dan cuenta del pago a T</w:t>
      </w:r>
      <w:r>
        <w:t>e</w:t>
      </w:r>
      <w:r>
        <w:t>lleldín, fue corroborada por el entonces prosecretario a</w:t>
      </w:r>
      <w:r>
        <w:t>d</w:t>
      </w:r>
      <w:r>
        <w:t>ministrativo del Juzgado Nacional en lo Criminal y Corre</w:t>
      </w:r>
      <w:r>
        <w:t>c</w:t>
      </w:r>
      <w:r>
        <w:t>cional Federal nº 9, José Pereyra, alias “Pepo”, cuyo t</w:t>
      </w:r>
      <w:r>
        <w:t>e</w:t>
      </w:r>
      <w:r>
        <w:t>léfono particular -nº 791-1605-, fue intervenido en la causa “Ribelli, Juan José y otros s/ delito de acción p</w:t>
      </w:r>
      <w:r>
        <w:t>ú</w:t>
      </w:r>
      <w:r>
        <w:t>blica, nº 2912/97, que tramitara ante el Juzgado Naci</w:t>
      </w:r>
      <w:r>
        <w:t>o</w:t>
      </w:r>
      <w:r>
        <w:t>nal en lo Criminal y Correccional Federal nº 12 -a cargo int</w:t>
      </w:r>
      <w:r>
        <w:t>e</w:t>
      </w:r>
      <w:r>
        <w:t>rinamente del Dr. Oyarbide- Secretaría nº 24 del Dr. Pablo D. Be</w:t>
      </w:r>
      <w:r>
        <w:t>r</w:t>
      </w:r>
      <w:r>
        <w:t>tuzzi.</w:t>
      </w:r>
    </w:p>
    <w:p w:rsidR="00224567" w:rsidRDefault="00224567">
      <w:pPr>
        <w:widowControl w:val="0"/>
        <w:tabs>
          <w:tab w:val="center" w:pos="0"/>
        </w:tabs>
      </w:pPr>
      <w:r>
        <w:tab/>
        <w:t>A fs. 2/vta. de las actuaciones rese</w:t>
      </w:r>
      <w:r>
        <w:t>r</w:t>
      </w:r>
      <w:r>
        <w:t>vadas de la causa aludida, consta el informe de la pros</w:t>
      </w:r>
      <w:r>
        <w:t>e</w:t>
      </w:r>
      <w:r>
        <w:t>cretaria de cámara, Dra. Susana Marina Echevarria, dando cuenta de los teléfonos particulares de los agentes del juzgado f</w:t>
      </w:r>
      <w:r>
        <w:t>e</w:t>
      </w:r>
      <w:r>
        <w:t>deral nº 9, constando en ese listado el nº 791-1605, como correspondiente a José Fernando Mariano Pere</w:t>
      </w:r>
      <w:r>
        <w:t>y</w:t>
      </w:r>
      <w:r>
        <w:t>ra.</w:t>
      </w:r>
    </w:p>
    <w:p w:rsidR="00224567" w:rsidRDefault="00224567">
      <w:pPr>
        <w:widowControl w:val="0"/>
        <w:tabs>
          <w:tab w:val="center" w:pos="0"/>
        </w:tabs>
      </w:pPr>
      <w:r>
        <w:tab/>
        <w:t>La intervención de la línea nº 791-1605 fue dispuesta por el juez Oyarbide a fs. 5 de las a</w:t>
      </w:r>
      <w:r>
        <w:t>c</w:t>
      </w:r>
      <w:r>
        <w:t>tuaciones reservadas.</w:t>
      </w:r>
    </w:p>
    <w:p w:rsidR="00224567" w:rsidRDefault="00224567">
      <w:pPr>
        <w:widowControl w:val="0"/>
        <w:tabs>
          <w:tab w:val="center" w:pos="0"/>
        </w:tabs>
      </w:pPr>
      <w:r>
        <w:tab/>
        <w:t>Por su elocuencia, cabe transcr</w:t>
      </w:r>
      <w:r>
        <w:t>i</w:t>
      </w:r>
      <w:r>
        <w:t>bir la conversación que mantuvo Pereyra; funcionario que ante e</w:t>
      </w:r>
      <w:r>
        <w:t>s</w:t>
      </w:r>
      <w:r>
        <w:t>tos estrados negó, con énfasis, tener conocimiento del p</w:t>
      </w:r>
      <w:r>
        <w:t>a</w:t>
      </w:r>
      <w:r>
        <w:t>go a Telleldín.</w:t>
      </w:r>
    </w:p>
    <w:p w:rsidR="00224567" w:rsidRDefault="00224567">
      <w:pPr>
        <w:widowControl w:val="0"/>
        <w:tabs>
          <w:tab w:val="center" w:pos="0"/>
        </w:tabs>
        <w:rPr>
          <w:bCs/>
        </w:rPr>
      </w:pPr>
      <w:r>
        <w:tab/>
        <w:t xml:space="preserve">Abonado telefónico n° </w:t>
      </w:r>
      <w:r>
        <w:rPr>
          <w:bCs/>
        </w:rPr>
        <w:t>791-1605, cas</w:t>
      </w:r>
      <w:r>
        <w:rPr>
          <w:bCs/>
        </w:rPr>
        <w:t>e</w:t>
      </w:r>
      <w:r>
        <w:rPr>
          <w:bCs/>
        </w:rPr>
        <w:t>te n° 2, del 6 de abril de 1997, vuelta n° 2685. Llamada s</w:t>
      </w:r>
      <w:r>
        <w:rPr>
          <w:bCs/>
        </w:rPr>
        <w:t>a</w:t>
      </w:r>
      <w:r>
        <w:rPr>
          <w:bCs/>
        </w:rPr>
        <w:t>lie</w:t>
      </w:r>
      <w:r>
        <w:rPr>
          <w:bCs/>
        </w:rPr>
        <w:t>n</w:t>
      </w:r>
      <w:r>
        <w:rPr>
          <w:bCs/>
        </w:rPr>
        <w:t>te entre Pepo (P) y Adrián (A).</w:t>
      </w:r>
    </w:p>
    <w:p w:rsidR="00224567" w:rsidRDefault="00224567">
      <w:pPr>
        <w:widowControl w:val="0"/>
        <w:tabs>
          <w:tab w:val="center" w:pos="0"/>
        </w:tabs>
        <w:rPr>
          <w:bCs/>
        </w:rPr>
      </w:pPr>
      <w:r>
        <w:rPr>
          <w:bCs/>
        </w:rPr>
        <w:tab/>
        <w:t>Hablan sobre temas personales, y a continuación se destaca el siguiente diálogo:</w:t>
      </w:r>
    </w:p>
    <w:p w:rsidR="00224567" w:rsidRDefault="00224567">
      <w:pPr>
        <w:widowControl w:val="0"/>
        <w:rPr>
          <w:bCs/>
        </w:rPr>
      </w:pPr>
      <w:r>
        <w:rPr>
          <w:bCs/>
        </w:rPr>
        <w:t>A: Che, que quilombo eh?. ¿qué pasó con el video ese?</w:t>
      </w:r>
    </w:p>
    <w:p w:rsidR="00224567" w:rsidRDefault="00224567">
      <w:pPr>
        <w:widowControl w:val="0"/>
        <w:rPr>
          <w:bCs/>
        </w:rPr>
      </w:pPr>
      <w:r>
        <w:rPr>
          <w:bCs/>
        </w:rPr>
        <w:t>P: Y...</w:t>
      </w:r>
    </w:p>
    <w:p w:rsidR="00224567" w:rsidRDefault="00224567">
      <w:pPr>
        <w:widowControl w:val="0"/>
        <w:rPr>
          <w:bCs/>
        </w:rPr>
      </w:pPr>
      <w:r>
        <w:rPr>
          <w:bCs/>
        </w:rPr>
        <w:t>A: Se lo (I)</w:t>
      </w:r>
    </w:p>
    <w:p w:rsidR="00224567" w:rsidRDefault="00224567">
      <w:pPr>
        <w:widowControl w:val="0"/>
        <w:rPr>
          <w:bCs/>
        </w:rPr>
      </w:pPr>
      <w:r>
        <w:rPr>
          <w:bCs/>
        </w:rPr>
        <w:t>P: Desapareció. O lo entregó alguien, o lo afanaron o...</w:t>
      </w:r>
    </w:p>
    <w:p w:rsidR="00224567" w:rsidRDefault="00224567">
      <w:pPr>
        <w:widowControl w:val="0"/>
        <w:rPr>
          <w:bCs/>
        </w:rPr>
      </w:pPr>
      <w:r>
        <w:rPr>
          <w:bCs/>
        </w:rPr>
        <w:t>A: Lo están investigando.</w:t>
      </w:r>
    </w:p>
    <w:p w:rsidR="00224567" w:rsidRDefault="00224567">
      <w:pPr>
        <w:widowControl w:val="0"/>
        <w:rPr>
          <w:bCs/>
        </w:rPr>
      </w:pPr>
      <w:r>
        <w:rPr>
          <w:bCs/>
        </w:rPr>
        <w:t>P: Algo no, no se, no sabemos bien como...</w:t>
      </w:r>
    </w:p>
    <w:p w:rsidR="00224567" w:rsidRDefault="00224567">
      <w:pPr>
        <w:widowControl w:val="0"/>
        <w:rPr>
          <w:bCs/>
        </w:rPr>
      </w:pPr>
      <w:r>
        <w:rPr>
          <w:bCs/>
        </w:rPr>
        <w:t>A: Que cagada boludo.</w:t>
      </w:r>
    </w:p>
    <w:p w:rsidR="00224567" w:rsidRDefault="00224567">
      <w:pPr>
        <w:widowControl w:val="0"/>
        <w:rPr>
          <w:bCs/>
        </w:rPr>
      </w:pPr>
      <w:r>
        <w:rPr>
          <w:bCs/>
        </w:rPr>
        <w:t>P: (I).</w:t>
      </w:r>
    </w:p>
    <w:p w:rsidR="00224567" w:rsidRDefault="00224567">
      <w:pPr>
        <w:widowControl w:val="0"/>
        <w:rPr>
          <w:bCs/>
        </w:rPr>
      </w:pPr>
      <w:r>
        <w:rPr>
          <w:bCs/>
        </w:rPr>
        <w:t>A: Pero hay..., está comprometido Galeta.</w:t>
      </w:r>
    </w:p>
    <w:p w:rsidR="00224567" w:rsidRDefault="00224567">
      <w:pPr>
        <w:widowControl w:val="0"/>
        <w:rPr>
          <w:bCs/>
        </w:rPr>
      </w:pPr>
      <w:r>
        <w:rPr>
          <w:bCs/>
        </w:rPr>
        <w:t>P: Según desde donde lo mires, puede estar comprom</w:t>
      </w:r>
      <w:r>
        <w:rPr>
          <w:bCs/>
        </w:rPr>
        <w:t>e</w:t>
      </w:r>
      <w:r>
        <w:rPr>
          <w:bCs/>
        </w:rPr>
        <w:t>tido o no. La defensa va a hacer todo lo posible para que sí ¿viste?. Da lugar, da lugar a interpret</w:t>
      </w:r>
      <w:r>
        <w:rPr>
          <w:bCs/>
        </w:rPr>
        <w:t>a</w:t>
      </w:r>
      <w:r>
        <w:rPr>
          <w:bCs/>
        </w:rPr>
        <w:t>ciones.</w:t>
      </w:r>
    </w:p>
    <w:p w:rsidR="00224567" w:rsidRDefault="00224567">
      <w:pPr>
        <w:widowControl w:val="0"/>
        <w:rPr>
          <w:bCs/>
        </w:rPr>
      </w:pPr>
      <w:r>
        <w:rPr>
          <w:bCs/>
        </w:rPr>
        <w:t>A: Ah.</w:t>
      </w:r>
    </w:p>
    <w:p w:rsidR="00224567" w:rsidRDefault="00224567">
      <w:pPr>
        <w:widowControl w:val="0"/>
        <w:rPr>
          <w:bCs/>
        </w:rPr>
      </w:pPr>
      <w:r>
        <w:rPr>
          <w:bCs/>
        </w:rPr>
        <w:t>P: Pero no. Nosotros (esperemos o sostenemos) que no.(I). Porque hay un decreto que ampara el pago de dinero a te</w:t>
      </w:r>
      <w:r>
        <w:rPr>
          <w:bCs/>
        </w:rPr>
        <w:t>s</w:t>
      </w:r>
      <w:r>
        <w:rPr>
          <w:bCs/>
        </w:rPr>
        <w:t>tigos, a quien sea para que dé inform</w:t>
      </w:r>
      <w:r>
        <w:rPr>
          <w:bCs/>
        </w:rPr>
        <w:t>a</w:t>
      </w:r>
      <w:r>
        <w:rPr>
          <w:bCs/>
        </w:rPr>
        <w:t>ción...</w:t>
      </w:r>
    </w:p>
    <w:p w:rsidR="00224567" w:rsidRDefault="00224567">
      <w:pPr>
        <w:widowControl w:val="0"/>
        <w:rPr>
          <w:bCs/>
        </w:rPr>
      </w:pPr>
      <w:r>
        <w:rPr>
          <w:bCs/>
        </w:rPr>
        <w:t>A: Es lo que hace (¿Duhalde?).</w:t>
      </w:r>
    </w:p>
    <w:p w:rsidR="00224567" w:rsidRDefault="00224567">
      <w:pPr>
        <w:widowControl w:val="0"/>
        <w:rPr>
          <w:bCs/>
        </w:rPr>
      </w:pPr>
      <w:r>
        <w:rPr>
          <w:bCs/>
        </w:rPr>
        <w:t>P: Eh...</w:t>
      </w:r>
    </w:p>
    <w:p w:rsidR="00224567" w:rsidRDefault="00224567">
      <w:pPr>
        <w:widowControl w:val="0"/>
        <w:rPr>
          <w:bCs/>
        </w:rPr>
      </w:pPr>
      <w:r>
        <w:rPr>
          <w:bCs/>
        </w:rPr>
        <w:t>A: O no?</w:t>
      </w:r>
    </w:p>
    <w:p w:rsidR="00224567" w:rsidRDefault="00224567">
      <w:pPr>
        <w:widowControl w:val="0"/>
        <w:rPr>
          <w:bCs/>
        </w:rPr>
      </w:pPr>
      <w:r>
        <w:rPr>
          <w:bCs/>
        </w:rPr>
        <w:t>P: Bueno...</w:t>
      </w:r>
    </w:p>
    <w:p w:rsidR="00224567" w:rsidRDefault="00224567">
      <w:pPr>
        <w:widowControl w:val="0"/>
        <w:rPr>
          <w:bCs/>
        </w:rPr>
      </w:pPr>
      <w:r>
        <w:rPr>
          <w:bCs/>
        </w:rPr>
        <w:t>A: Cuando ofrece recompensas.</w:t>
      </w:r>
    </w:p>
    <w:p w:rsidR="00224567" w:rsidRDefault="00224567">
      <w:pPr>
        <w:widowControl w:val="0"/>
        <w:rPr>
          <w:bCs/>
        </w:rPr>
      </w:pPr>
      <w:r>
        <w:rPr>
          <w:bCs/>
        </w:rPr>
        <w:t>P: Pero lo que hizo el juez es una charla secreta, una e</w:t>
      </w:r>
      <w:r>
        <w:rPr>
          <w:bCs/>
        </w:rPr>
        <w:t>n</w:t>
      </w:r>
      <w:r>
        <w:rPr>
          <w:bCs/>
        </w:rPr>
        <w:t>trevista con el pibe, para pactar eso no?.</w:t>
      </w:r>
    </w:p>
    <w:p w:rsidR="00224567" w:rsidRDefault="00224567">
      <w:pPr>
        <w:widowControl w:val="0"/>
        <w:rPr>
          <w:bCs/>
        </w:rPr>
      </w:pPr>
      <w:r>
        <w:rPr>
          <w:bCs/>
        </w:rPr>
        <w:t>A: Si.</w:t>
      </w:r>
    </w:p>
    <w:p w:rsidR="00224567" w:rsidRDefault="00224567">
      <w:pPr>
        <w:widowControl w:val="0"/>
        <w:rPr>
          <w:bCs/>
        </w:rPr>
      </w:pPr>
      <w:r>
        <w:rPr>
          <w:bCs/>
        </w:rPr>
        <w:t>P: Porque el decreto ese dice inclusive, que se va a..., que tiene que estar el okey del juez. El juez tiene que hablar con el pibe para dar el...</w:t>
      </w:r>
    </w:p>
    <w:p w:rsidR="00224567" w:rsidRDefault="00224567">
      <w:pPr>
        <w:widowControl w:val="0"/>
        <w:rPr>
          <w:bCs/>
        </w:rPr>
      </w:pPr>
      <w:r>
        <w:rPr>
          <w:bCs/>
        </w:rPr>
        <w:t>A: ah. Y este Cúneo...</w:t>
      </w:r>
    </w:p>
    <w:p w:rsidR="00224567" w:rsidRDefault="00224567">
      <w:pPr>
        <w:widowControl w:val="0"/>
        <w:rPr>
          <w:bCs/>
        </w:rPr>
      </w:pPr>
      <w:r>
        <w:rPr>
          <w:bCs/>
        </w:rPr>
        <w:t>P: Si vas a pagar cuatrocientos mil dólares tenés que ver (finaliza el lado A, continúa lado B).</w:t>
      </w:r>
    </w:p>
    <w:p w:rsidR="00224567" w:rsidRDefault="00224567">
      <w:pPr>
        <w:widowControl w:val="0"/>
        <w:rPr>
          <w:bCs/>
        </w:rPr>
      </w:pPr>
      <w:r>
        <w:rPr>
          <w:bCs/>
        </w:rPr>
        <w:t>A: lo que pasa es que trabajan con gente muy pesada bol</w:t>
      </w:r>
      <w:r>
        <w:rPr>
          <w:bCs/>
        </w:rPr>
        <w:t>u</w:t>
      </w:r>
      <w:r>
        <w:rPr>
          <w:bCs/>
        </w:rPr>
        <w:t>do.</w:t>
      </w:r>
    </w:p>
    <w:p w:rsidR="00224567" w:rsidRDefault="00224567">
      <w:pPr>
        <w:widowControl w:val="0"/>
        <w:rPr>
          <w:bCs/>
        </w:rPr>
      </w:pPr>
      <w:r>
        <w:rPr>
          <w:bCs/>
        </w:rPr>
        <w:t>P: mmm.</w:t>
      </w:r>
    </w:p>
    <w:p w:rsidR="00224567" w:rsidRDefault="00224567">
      <w:pPr>
        <w:widowControl w:val="0"/>
        <w:rPr>
          <w:bCs/>
        </w:rPr>
      </w:pPr>
      <w:r>
        <w:rPr>
          <w:bCs/>
        </w:rPr>
        <w:t>A: que hoy están..., como vos decís mañana por un bill</w:t>
      </w:r>
      <w:r>
        <w:rPr>
          <w:bCs/>
        </w:rPr>
        <w:t>e</w:t>
      </w:r>
      <w:r>
        <w:rPr>
          <w:bCs/>
        </w:rPr>
        <w:t>te...</w:t>
      </w:r>
    </w:p>
    <w:p w:rsidR="00224567" w:rsidRDefault="00224567">
      <w:pPr>
        <w:widowControl w:val="0"/>
        <w:rPr>
          <w:bCs/>
        </w:rPr>
      </w:pPr>
      <w:r>
        <w:rPr>
          <w:bCs/>
        </w:rPr>
        <w:t>P: si, si. Pero además la “bonaerense” es una mafia, vi</w:t>
      </w:r>
      <w:r>
        <w:rPr>
          <w:bCs/>
        </w:rPr>
        <w:t>s</w:t>
      </w:r>
      <w:r>
        <w:rPr>
          <w:bCs/>
        </w:rPr>
        <w:t>te?.</w:t>
      </w:r>
    </w:p>
    <w:p w:rsidR="00224567" w:rsidRDefault="00224567">
      <w:pPr>
        <w:widowControl w:val="0"/>
        <w:rPr>
          <w:bCs/>
        </w:rPr>
      </w:pPr>
      <w:r>
        <w:rPr>
          <w:bCs/>
        </w:rPr>
        <w:t>A: mm.</w:t>
      </w:r>
    </w:p>
    <w:p w:rsidR="00224567" w:rsidRDefault="00224567">
      <w:pPr>
        <w:widowControl w:val="0"/>
        <w:rPr>
          <w:bCs/>
        </w:rPr>
      </w:pPr>
      <w:r>
        <w:rPr>
          <w:bCs/>
        </w:rPr>
        <w:t>P: Y están moviendo todo..., si el otro día están labura</w:t>
      </w:r>
      <w:r>
        <w:rPr>
          <w:bCs/>
        </w:rPr>
        <w:t>n</w:t>
      </w:r>
      <w:r>
        <w:rPr>
          <w:bCs/>
        </w:rPr>
        <w:t>do para ellos, para los que están detenidos.</w:t>
      </w:r>
    </w:p>
    <w:p w:rsidR="00224567" w:rsidRDefault="00224567">
      <w:pPr>
        <w:widowControl w:val="0"/>
        <w:rPr>
          <w:bCs/>
        </w:rPr>
      </w:pPr>
      <w:r>
        <w:rPr>
          <w:bCs/>
        </w:rPr>
        <w:t>A: claro...</w:t>
      </w:r>
    </w:p>
    <w:p w:rsidR="00224567" w:rsidRDefault="00224567">
      <w:pPr>
        <w:widowControl w:val="0"/>
        <w:rPr>
          <w:bCs/>
        </w:rPr>
      </w:pPr>
      <w:r>
        <w:rPr>
          <w:bCs/>
        </w:rPr>
        <w:t>P: y es mucha guita.</w:t>
      </w:r>
    </w:p>
    <w:p w:rsidR="00224567" w:rsidRDefault="00224567">
      <w:pPr>
        <w:widowControl w:val="0"/>
        <w:rPr>
          <w:bCs/>
        </w:rPr>
      </w:pPr>
      <w:r>
        <w:rPr>
          <w:bCs/>
        </w:rPr>
        <w:t>A: ahora Cúneo, boludo, es un hijo de puta.</w:t>
      </w:r>
    </w:p>
    <w:p w:rsidR="00224567" w:rsidRDefault="00224567">
      <w:pPr>
        <w:widowControl w:val="0"/>
        <w:rPr>
          <w:bCs/>
        </w:rPr>
      </w:pPr>
      <w:r>
        <w:rPr>
          <w:bCs/>
        </w:rPr>
        <w:t>P: Cúneo lo quiere ver preso a Galeano..., está loco. Se metió... ya mal. Venía mal, ¿viste?, siempre venía en el límite, entre lo legal y lo ilegal, ¿viste? re..., era muy eh..., cuestionable todo lo que..., como ejercía su..., la profesión...</w:t>
      </w:r>
    </w:p>
    <w:p w:rsidR="00224567" w:rsidRDefault="00224567">
      <w:pPr>
        <w:widowControl w:val="0"/>
        <w:rPr>
          <w:bCs/>
        </w:rPr>
      </w:pPr>
      <w:r>
        <w:rPr>
          <w:bCs/>
        </w:rPr>
        <w:t>A: ¿quién Cúneo?</w:t>
      </w:r>
    </w:p>
    <w:p w:rsidR="00224567" w:rsidRDefault="00224567">
      <w:pPr>
        <w:widowControl w:val="0"/>
        <w:rPr>
          <w:bCs/>
        </w:rPr>
      </w:pPr>
      <w:r>
        <w:rPr>
          <w:bCs/>
        </w:rPr>
        <w:t>P: si...</w:t>
      </w:r>
    </w:p>
    <w:p w:rsidR="00224567" w:rsidRDefault="00224567">
      <w:pPr>
        <w:widowControl w:val="0"/>
        <w:rPr>
          <w:bCs/>
        </w:rPr>
      </w:pPr>
      <w:r>
        <w:rPr>
          <w:bCs/>
        </w:rPr>
        <w:t>A: ¿a Galeano lo quiere ver preso?.</w:t>
      </w:r>
    </w:p>
    <w:p w:rsidR="00224567" w:rsidRDefault="00224567">
      <w:pPr>
        <w:widowControl w:val="0"/>
        <w:rPr>
          <w:bCs/>
        </w:rPr>
      </w:pPr>
      <w:r>
        <w:rPr>
          <w:bCs/>
        </w:rPr>
        <w:t>P: y si. Y porque si le sale bien esto a Cúneo Libar</w:t>
      </w:r>
      <w:r>
        <w:rPr>
          <w:bCs/>
        </w:rPr>
        <w:t>o</w:t>
      </w:r>
      <w:r>
        <w:rPr>
          <w:bCs/>
        </w:rPr>
        <w:t>na..., juicio político a Galeano..., se cae la causa, cae todo.</w:t>
      </w:r>
    </w:p>
    <w:p w:rsidR="00224567" w:rsidRDefault="00224567">
      <w:pPr>
        <w:widowControl w:val="0"/>
        <w:rPr>
          <w:bCs/>
        </w:rPr>
      </w:pPr>
      <w:r>
        <w:rPr>
          <w:bCs/>
        </w:rPr>
        <w:t>A: claro.</w:t>
      </w:r>
    </w:p>
    <w:p w:rsidR="00224567" w:rsidRDefault="00224567">
      <w:pPr>
        <w:widowControl w:val="0"/>
        <w:rPr>
          <w:bCs/>
        </w:rPr>
      </w:pPr>
      <w:r>
        <w:rPr>
          <w:bCs/>
        </w:rPr>
        <w:t>P: el..., se jugaron una carta que consideran ellos la gran. Si les sale mal, les sale para el orto. Y le va a salir mal...</w:t>
      </w:r>
    </w:p>
    <w:p w:rsidR="00224567" w:rsidRDefault="00224567">
      <w:pPr>
        <w:widowControl w:val="0"/>
        <w:rPr>
          <w:bCs/>
        </w:rPr>
      </w:pPr>
      <w:r>
        <w:rPr>
          <w:bCs/>
        </w:rPr>
        <w:t>A: si, ¿no?.</w:t>
      </w:r>
    </w:p>
    <w:p w:rsidR="00224567" w:rsidRDefault="00224567">
      <w:pPr>
        <w:widowControl w:val="0"/>
        <w:rPr>
          <w:bCs/>
        </w:rPr>
      </w:pPr>
      <w:r>
        <w:rPr>
          <w:bCs/>
        </w:rPr>
        <w:t>P: por supuesto. Si, si.</w:t>
      </w:r>
    </w:p>
    <w:p w:rsidR="00224567" w:rsidRDefault="00224567">
      <w:pPr>
        <w:widowControl w:val="0"/>
        <w:rPr>
          <w:bCs/>
        </w:rPr>
      </w:pPr>
      <w:r>
        <w:rPr>
          <w:bCs/>
        </w:rPr>
        <w:t>A: a ése video...</w:t>
      </w:r>
    </w:p>
    <w:p w:rsidR="00224567" w:rsidRDefault="00224567">
      <w:pPr>
        <w:widowControl w:val="0"/>
        <w:rPr>
          <w:bCs/>
        </w:rPr>
      </w:pPr>
      <w:r>
        <w:rPr>
          <w:bCs/>
        </w:rPr>
        <w:t>P: si él es inteligente, Galeano es el doble, b</w:t>
      </w:r>
      <w:r>
        <w:rPr>
          <w:bCs/>
        </w:rPr>
        <w:t>o</w:t>
      </w:r>
      <w:r>
        <w:rPr>
          <w:bCs/>
        </w:rPr>
        <w:t>lo...</w:t>
      </w:r>
    </w:p>
    <w:p w:rsidR="00224567" w:rsidRDefault="00224567">
      <w:pPr>
        <w:widowControl w:val="0"/>
        <w:rPr>
          <w:bCs/>
        </w:rPr>
      </w:pPr>
      <w:r>
        <w:rPr>
          <w:bCs/>
        </w:rPr>
        <w:t>A: lo que pasa es eh... Cúneo es hábil, pero es un at</w:t>
      </w:r>
      <w:r>
        <w:rPr>
          <w:bCs/>
        </w:rPr>
        <w:t>o</w:t>
      </w:r>
      <w:r>
        <w:rPr>
          <w:bCs/>
        </w:rPr>
        <w:t>rrante...</w:t>
      </w:r>
    </w:p>
    <w:p w:rsidR="00224567" w:rsidRDefault="00224567">
      <w:pPr>
        <w:widowControl w:val="0"/>
        <w:rPr>
          <w:bCs/>
        </w:rPr>
      </w:pPr>
      <w:r>
        <w:rPr>
          <w:bCs/>
        </w:rPr>
        <w:t>P: si, es un mafioso.</w:t>
      </w:r>
    </w:p>
    <w:p w:rsidR="00224567" w:rsidRDefault="00224567">
      <w:pPr>
        <w:widowControl w:val="0"/>
        <w:rPr>
          <w:bCs/>
        </w:rPr>
      </w:pPr>
      <w:r>
        <w:rPr>
          <w:bCs/>
        </w:rPr>
        <w:t>A: es un mafioso. Y bueno...</w:t>
      </w:r>
    </w:p>
    <w:p w:rsidR="00224567" w:rsidRDefault="00224567">
      <w:pPr>
        <w:widowControl w:val="0"/>
        <w:rPr>
          <w:bCs/>
        </w:rPr>
      </w:pPr>
      <w:r>
        <w:rPr>
          <w:bCs/>
        </w:rPr>
        <w:t>P: pero... No y además, está el problema del que renu</w:t>
      </w:r>
      <w:r>
        <w:rPr>
          <w:bCs/>
        </w:rPr>
        <w:t>n</w:t>
      </w:r>
      <w:r>
        <w:rPr>
          <w:bCs/>
        </w:rPr>
        <w:t>ció a la justicia, Vigliero, el socio..., renu</w:t>
      </w:r>
      <w:r>
        <w:rPr>
          <w:bCs/>
        </w:rPr>
        <w:t>n</w:t>
      </w:r>
      <w:r>
        <w:rPr>
          <w:bCs/>
        </w:rPr>
        <w:t>ció y lo conoce a Galeano. Está haciendo declaraci</w:t>
      </w:r>
      <w:r>
        <w:rPr>
          <w:bCs/>
        </w:rPr>
        <w:t>o</w:t>
      </w:r>
      <w:r>
        <w:rPr>
          <w:bCs/>
        </w:rPr>
        <w:t>nes en contra de todos, Galeano fue al casamiento..., es el que me hizo entrar a mi en Tribun</w:t>
      </w:r>
      <w:r>
        <w:rPr>
          <w:bCs/>
        </w:rPr>
        <w:t>a</w:t>
      </w:r>
      <w:r>
        <w:rPr>
          <w:bCs/>
        </w:rPr>
        <w:t>les... Es loco, está loco el pibe ese.</w:t>
      </w:r>
    </w:p>
    <w:p w:rsidR="00224567" w:rsidRDefault="00224567">
      <w:pPr>
        <w:widowControl w:val="0"/>
        <w:rPr>
          <w:bCs/>
        </w:rPr>
      </w:pPr>
      <w:r>
        <w:rPr>
          <w:bCs/>
        </w:rPr>
        <w:t>A: pero entonces...</w:t>
      </w:r>
    </w:p>
    <w:p w:rsidR="00224567" w:rsidRDefault="00224567">
      <w:pPr>
        <w:widowControl w:val="0"/>
        <w:rPr>
          <w:bCs/>
        </w:rPr>
      </w:pPr>
      <w:r>
        <w:rPr>
          <w:bCs/>
        </w:rPr>
        <w:t xml:space="preserve">P: Renunció a </w:t>
      </w:r>
      <w:smartTag w:uri="urn:schemas-microsoft-com:office:smarttags" w:element="PersonName">
        <w:smartTagPr>
          <w:attr w:name="ProductID" w:val="la Justicia"/>
        </w:smartTagPr>
        <w:r>
          <w:rPr>
            <w:bCs/>
          </w:rPr>
          <w:t>la Justicia</w:t>
        </w:r>
      </w:smartTag>
      <w:r>
        <w:rPr>
          <w:bCs/>
        </w:rPr>
        <w:t xml:space="preserve"> para esta causa nada más. S</w:t>
      </w:r>
      <w:r>
        <w:rPr>
          <w:bCs/>
        </w:rPr>
        <w:t>o</w:t>
      </w:r>
      <w:r>
        <w:rPr>
          <w:bCs/>
        </w:rPr>
        <w:t>cio de Cúneo, Vigliero. Están locos bolo, se m</w:t>
      </w:r>
      <w:r>
        <w:rPr>
          <w:bCs/>
        </w:rPr>
        <w:t>e</w:t>
      </w:r>
      <w:r>
        <w:rPr>
          <w:bCs/>
        </w:rPr>
        <w:t>tieron mal.</w:t>
      </w:r>
    </w:p>
    <w:p w:rsidR="00224567" w:rsidRDefault="00224567">
      <w:pPr>
        <w:widowControl w:val="0"/>
        <w:rPr>
          <w:bCs/>
        </w:rPr>
      </w:pPr>
      <w:r>
        <w:rPr>
          <w:bCs/>
        </w:rPr>
        <w:t>A: Quién...</w:t>
      </w:r>
    </w:p>
    <w:p w:rsidR="00224567" w:rsidRDefault="00224567">
      <w:pPr>
        <w:widowControl w:val="0"/>
        <w:rPr>
          <w:bCs/>
        </w:rPr>
      </w:pPr>
      <w:r>
        <w:rPr>
          <w:bCs/>
        </w:rPr>
        <w:t>P: Lo que pasa es que le ofrecieron..., ¿sabes la plata que les deben haber ofrecido?</w:t>
      </w:r>
    </w:p>
    <w:p w:rsidR="00224567" w:rsidRDefault="00224567">
      <w:pPr>
        <w:widowControl w:val="0"/>
        <w:rPr>
          <w:bCs/>
        </w:rPr>
      </w:pPr>
      <w:r>
        <w:rPr>
          <w:bCs/>
        </w:rPr>
        <w:t>A: ¿Quién, el... el amigo..., el que te hizo entrar a vos a Tribunales, todo, es socio ahora de Cúneo?</w:t>
      </w:r>
    </w:p>
    <w:p w:rsidR="00224567" w:rsidRDefault="00224567">
      <w:pPr>
        <w:widowControl w:val="0"/>
        <w:rPr>
          <w:bCs/>
        </w:rPr>
      </w:pPr>
      <w:r>
        <w:rPr>
          <w:bCs/>
        </w:rPr>
        <w:t>P: Si.</w:t>
      </w:r>
    </w:p>
    <w:p w:rsidR="00224567" w:rsidRDefault="00224567">
      <w:pPr>
        <w:widowControl w:val="0"/>
        <w:rPr>
          <w:bCs/>
        </w:rPr>
      </w:pPr>
      <w:r>
        <w:rPr>
          <w:bCs/>
        </w:rPr>
        <w:t>A: ¿y armó todo esto?</w:t>
      </w:r>
    </w:p>
    <w:p w:rsidR="00224567" w:rsidRDefault="00224567">
      <w:pPr>
        <w:widowControl w:val="0"/>
        <w:rPr>
          <w:bCs/>
        </w:rPr>
      </w:pPr>
      <w:r>
        <w:rPr>
          <w:bCs/>
        </w:rPr>
        <w:t>P: y..., sí.</w:t>
      </w:r>
    </w:p>
    <w:p w:rsidR="00224567" w:rsidRDefault="00224567">
      <w:pPr>
        <w:widowControl w:val="0"/>
        <w:rPr>
          <w:bCs/>
        </w:rPr>
      </w:pPr>
      <w:r>
        <w:rPr>
          <w:bCs/>
        </w:rPr>
        <w:t>A: Está loco boludo.</w:t>
      </w:r>
    </w:p>
    <w:p w:rsidR="00224567" w:rsidRDefault="00224567">
      <w:pPr>
        <w:widowControl w:val="0"/>
        <w:rPr>
          <w:bCs/>
        </w:rPr>
      </w:pPr>
      <w:r>
        <w:rPr>
          <w:bCs/>
        </w:rPr>
        <w:t>P: si</w:t>
      </w:r>
    </w:p>
    <w:p w:rsidR="00224567" w:rsidRDefault="00224567">
      <w:pPr>
        <w:widowControl w:val="0"/>
        <w:rPr>
          <w:bCs/>
        </w:rPr>
      </w:pPr>
      <w:r>
        <w:rPr>
          <w:bCs/>
        </w:rPr>
        <w:t>A: Yo escuché el otro día...</w:t>
      </w:r>
    </w:p>
    <w:p w:rsidR="00224567" w:rsidRDefault="00224567">
      <w:pPr>
        <w:widowControl w:val="0"/>
        <w:rPr>
          <w:bCs/>
        </w:rPr>
      </w:pPr>
      <w:r>
        <w:rPr>
          <w:bCs/>
        </w:rPr>
        <w:t>P: Vigliero es... No, a mi un amigo de mi familia, me pr</w:t>
      </w:r>
      <w:r>
        <w:rPr>
          <w:bCs/>
        </w:rPr>
        <w:t>e</w:t>
      </w:r>
      <w:r>
        <w:rPr>
          <w:bCs/>
        </w:rPr>
        <w:t>senta a éste, que fue compañero suyo del colegio de toda la vida, amigo... y éste me presenta a Galeano. Y así e</w:t>
      </w:r>
      <w:r>
        <w:rPr>
          <w:bCs/>
        </w:rPr>
        <w:t>n</w:t>
      </w:r>
      <w:r>
        <w:rPr>
          <w:bCs/>
        </w:rPr>
        <w:t>tré yo a Tribunales. Es el que se movió para ver donde h</w:t>
      </w:r>
      <w:r>
        <w:rPr>
          <w:bCs/>
        </w:rPr>
        <w:t>a</w:t>
      </w:r>
      <w:r>
        <w:rPr>
          <w:bCs/>
        </w:rPr>
        <w:t>bía vacantes para meritorio. Vigliero de toda la vida de la justicia.</w:t>
      </w:r>
    </w:p>
    <w:p w:rsidR="00224567" w:rsidRDefault="00224567">
      <w:pPr>
        <w:widowControl w:val="0"/>
        <w:rPr>
          <w:bCs/>
        </w:rPr>
      </w:pPr>
      <w:r>
        <w:rPr>
          <w:bCs/>
        </w:rPr>
        <w:t>A: boludo, yo el otro día escuché...</w:t>
      </w:r>
    </w:p>
    <w:p w:rsidR="00224567" w:rsidRDefault="00224567">
      <w:pPr>
        <w:widowControl w:val="0"/>
        <w:rPr>
          <w:bCs/>
        </w:rPr>
      </w:pPr>
      <w:r>
        <w:rPr>
          <w:bCs/>
        </w:rPr>
        <w:t>P: Era secretario del Juzgado de Alberto Baños, del Gordo Baños que iba a Punta del Este con Galeano, conmigo..., que es uno de los mejores amigos de Galeano. No, está l</w:t>
      </w:r>
      <w:r>
        <w:rPr>
          <w:bCs/>
        </w:rPr>
        <w:t>o</w:t>
      </w:r>
      <w:r>
        <w:rPr>
          <w:bCs/>
        </w:rPr>
        <w:t>co. Pero viste, se cegó por la guita, y es un hijo de puta además.</w:t>
      </w:r>
    </w:p>
    <w:p w:rsidR="00224567" w:rsidRDefault="00224567">
      <w:pPr>
        <w:widowControl w:val="0"/>
        <w:rPr>
          <w:bCs/>
        </w:rPr>
      </w:pPr>
      <w:r>
        <w:rPr>
          <w:bCs/>
        </w:rPr>
        <w:t>A: yo escuché el otro día en la tele, un abogado que dijo en estos días va a salir un video, que es tipo una cámara oculta, como la que le hicieron a ...</w:t>
      </w:r>
    </w:p>
    <w:p w:rsidR="00224567" w:rsidRDefault="00224567">
      <w:pPr>
        <w:widowControl w:val="0"/>
        <w:rPr>
          <w:bCs/>
        </w:rPr>
      </w:pPr>
      <w:r>
        <w:rPr>
          <w:bCs/>
        </w:rPr>
        <w:t>P: No, es..., fue una filmación del juez... nue</w:t>
      </w:r>
      <w:r>
        <w:rPr>
          <w:bCs/>
        </w:rPr>
        <w:t>s</w:t>
      </w:r>
      <w:r>
        <w:rPr>
          <w:bCs/>
        </w:rPr>
        <w:t>tra...</w:t>
      </w:r>
    </w:p>
    <w:p w:rsidR="00224567" w:rsidRDefault="00224567">
      <w:pPr>
        <w:widowControl w:val="0"/>
        <w:rPr>
          <w:bCs/>
        </w:rPr>
      </w:pPr>
      <w:r>
        <w:rPr>
          <w:bCs/>
        </w:rPr>
        <w:t>A: Claro, bueno, Pero ellos..., decían que iba a ser un video...</w:t>
      </w:r>
    </w:p>
    <w:p w:rsidR="00224567" w:rsidRDefault="00224567">
      <w:pPr>
        <w:widowControl w:val="0"/>
        <w:rPr>
          <w:bCs/>
        </w:rPr>
      </w:pPr>
      <w:r>
        <w:rPr>
          <w:bCs/>
        </w:rPr>
        <w:t>P: No. lo quieren pintar como..., lo quieren pintar, qui</w:t>
      </w:r>
      <w:r>
        <w:rPr>
          <w:bCs/>
        </w:rPr>
        <w:t>e</w:t>
      </w:r>
      <w:r>
        <w:rPr>
          <w:bCs/>
        </w:rPr>
        <w:t>ren dar vuelta todo y pintarlo como que es todo ilegal, como que es todo...</w:t>
      </w:r>
    </w:p>
    <w:p w:rsidR="00224567" w:rsidRDefault="00224567">
      <w:pPr>
        <w:widowControl w:val="0"/>
        <w:rPr>
          <w:bCs/>
        </w:rPr>
      </w:pPr>
      <w:r>
        <w:rPr>
          <w:bCs/>
        </w:rPr>
        <w:t>A: como el juez este.</w:t>
      </w:r>
    </w:p>
    <w:p w:rsidR="00224567" w:rsidRDefault="00224567">
      <w:pPr>
        <w:widowControl w:val="0"/>
        <w:rPr>
          <w:bCs/>
        </w:rPr>
      </w:pPr>
      <w:r>
        <w:rPr>
          <w:bCs/>
        </w:rPr>
        <w:t>P: ...una tramoya, como que Galeano le está pa..., que i</w:t>
      </w:r>
      <w:r>
        <w:rPr>
          <w:bCs/>
        </w:rPr>
        <w:t>n</w:t>
      </w:r>
      <w:r>
        <w:rPr>
          <w:bCs/>
        </w:rPr>
        <w:t>clusive, van a decir que (I) sino se quedó con algo de la guita, que el juez le está pagando guita..., s</w:t>
      </w:r>
      <w:r>
        <w:rPr>
          <w:bCs/>
        </w:rPr>
        <w:t>o</w:t>
      </w:r>
      <w:r>
        <w:rPr>
          <w:bCs/>
        </w:rPr>
        <w:t>bornándolo ¿entendés?. Te doy cuatrocientas mil lucas, y decí cua</w:t>
      </w:r>
      <w:r>
        <w:rPr>
          <w:bCs/>
        </w:rPr>
        <w:t>l</w:t>
      </w:r>
      <w:r>
        <w:rPr>
          <w:bCs/>
        </w:rPr>
        <w:t>quier cosa, ¿viste?, para meter a esta gente presa. Pero no es así, era que el pibe no hablaba si no se le pagaba, entonces... este y bueno... si el estado pone guita le tiene que pagar, tiene cosas para decir que las diga. Lo que Telleldín quería era seguridad p</w:t>
      </w:r>
      <w:r>
        <w:rPr>
          <w:bCs/>
        </w:rPr>
        <w:t>a</w:t>
      </w:r>
      <w:r>
        <w:rPr>
          <w:bCs/>
        </w:rPr>
        <w:t>ra su familia..., que ya que va a hablar y pone en riesgo toda su vida...</w:t>
      </w:r>
    </w:p>
    <w:p w:rsidR="00224567" w:rsidRDefault="00224567">
      <w:pPr>
        <w:widowControl w:val="0"/>
        <w:rPr>
          <w:bCs/>
        </w:rPr>
      </w:pPr>
      <w:r>
        <w:rPr>
          <w:bCs/>
        </w:rPr>
        <w:t>A: si.</w:t>
      </w:r>
    </w:p>
    <w:p w:rsidR="00224567" w:rsidRDefault="00224567">
      <w:pPr>
        <w:widowControl w:val="0"/>
        <w:rPr>
          <w:bCs/>
        </w:rPr>
      </w:pPr>
      <w:r>
        <w:rPr>
          <w:bCs/>
        </w:rPr>
        <w:t>P: Por lo menos darles guita a los que están afuera, vi</w:t>
      </w:r>
      <w:r>
        <w:rPr>
          <w:bCs/>
        </w:rPr>
        <w:t>s</w:t>
      </w:r>
      <w:r>
        <w:rPr>
          <w:bCs/>
        </w:rPr>
        <w:t>te?, hijos, a la...</w:t>
      </w:r>
    </w:p>
    <w:p w:rsidR="00224567" w:rsidRDefault="00224567">
      <w:pPr>
        <w:widowControl w:val="0"/>
        <w:rPr>
          <w:bCs/>
        </w:rPr>
      </w:pPr>
      <w:r>
        <w:rPr>
          <w:bCs/>
        </w:rPr>
        <w:t>A: En base a ese video, Galeta le dice que se va a qu</w:t>
      </w:r>
      <w:r>
        <w:rPr>
          <w:bCs/>
        </w:rPr>
        <w:t>e</w:t>
      </w:r>
      <w:r>
        <w:rPr>
          <w:bCs/>
        </w:rPr>
        <w:t>dar con guita o algo.</w:t>
      </w:r>
    </w:p>
    <w:p w:rsidR="00224567" w:rsidRDefault="00224567">
      <w:pPr>
        <w:widowControl w:val="0"/>
        <w:rPr>
          <w:bCs/>
        </w:rPr>
      </w:pPr>
      <w:r>
        <w:rPr>
          <w:bCs/>
        </w:rPr>
        <w:t>P: Y eso, es el, es el pacto. Porque además el pibe sino iba a escribir un libro, entonces, se frena eso del l</w:t>
      </w:r>
      <w:r>
        <w:rPr>
          <w:bCs/>
        </w:rPr>
        <w:t>i</w:t>
      </w:r>
      <w:r>
        <w:rPr>
          <w:bCs/>
        </w:rPr>
        <w:t>bro... “no escribás nada, lo que te iban a pagar te lo p</w:t>
      </w:r>
      <w:r>
        <w:rPr>
          <w:bCs/>
        </w:rPr>
        <w:t>a</w:t>
      </w:r>
      <w:r>
        <w:rPr>
          <w:bCs/>
        </w:rPr>
        <w:t>ga el Estado, o una gente”.</w:t>
      </w:r>
    </w:p>
    <w:p w:rsidR="00224567" w:rsidRDefault="00224567">
      <w:pPr>
        <w:widowControl w:val="0"/>
        <w:rPr>
          <w:bCs/>
        </w:rPr>
      </w:pPr>
      <w:r>
        <w:rPr>
          <w:bCs/>
        </w:rPr>
        <w:t>A: No. a lo que yo voy es que ellos quieren inculparlo a Galeano como que se queda con guita...</w:t>
      </w:r>
    </w:p>
    <w:p w:rsidR="00224567" w:rsidRDefault="00224567">
      <w:pPr>
        <w:widowControl w:val="0"/>
        <w:rPr>
          <w:bCs/>
        </w:rPr>
      </w:pPr>
      <w:r>
        <w:rPr>
          <w:bCs/>
        </w:rPr>
        <w:t>P: O como que lo soborna, o como que con dinero negro ¿viste?, le está pagando para que hable, por más que no sea la verdad. Que están comprando un testimonio ¿vi</w:t>
      </w:r>
      <w:r>
        <w:rPr>
          <w:bCs/>
        </w:rPr>
        <w:t>s</w:t>
      </w:r>
      <w:r>
        <w:rPr>
          <w:bCs/>
        </w:rPr>
        <w:t>te?</w:t>
      </w:r>
    </w:p>
    <w:p w:rsidR="00224567" w:rsidRDefault="00224567">
      <w:pPr>
        <w:widowControl w:val="0"/>
        <w:rPr>
          <w:bCs/>
        </w:rPr>
      </w:pPr>
      <w:r>
        <w:rPr>
          <w:bCs/>
        </w:rPr>
        <w:t>A: Bueno, pero eso no sería...</w:t>
      </w:r>
    </w:p>
    <w:p w:rsidR="00224567" w:rsidRDefault="00224567">
      <w:pPr>
        <w:widowControl w:val="0"/>
        <w:rPr>
          <w:bCs/>
        </w:rPr>
      </w:pPr>
      <w:r>
        <w:rPr>
          <w:bCs/>
        </w:rPr>
        <w:t>P: Lo podés ver desde dos puntos de vista todo...</w:t>
      </w:r>
    </w:p>
    <w:p w:rsidR="00224567" w:rsidRDefault="00224567">
      <w:pPr>
        <w:widowControl w:val="0"/>
        <w:rPr>
          <w:bCs/>
        </w:rPr>
      </w:pPr>
      <w:r>
        <w:rPr>
          <w:bCs/>
        </w:rPr>
        <w:t xml:space="preserve">A: Si. Pero por eso no le pueden hacer Juicio Político a Galeano. Si eso lo determina </w:t>
      </w:r>
      <w:smartTag w:uri="urn:schemas-microsoft-com:office:smarttags" w:element="PersonName">
        <w:smartTagPr>
          <w:attr w:name="ProductID" w:val="la Justicia"/>
        </w:smartTagPr>
        <w:r>
          <w:rPr>
            <w:bCs/>
          </w:rPr>
          <w:t>la Justicia</w:t>
        </w:r>
      </w:smartTag>
      <w:r>
        <w:rPr>
          <w:bCs/>
        </w:rPr>
        <w:t>, y si eso es...</w:t>
      </w:r>
    </w:p>
    <w:p w:rsidR="00224567" w:rsidRDefault="00224567">
      <w:pPr>
        <w:widowControl w:val="0"/>
        <w:rPr>
          <w:bCs/>
        </w:rPr>
      </w:pPr>
      <w:r>
        <w:rPr>
          <w:bCs/>
        </w:rPr>
        <w:t>P: Y bueno, si lo miras de un lado no, y si lo miras del otro si. Desde donde lo ve Cúneo y todas las expl</w:t>
      </w:r>
      <w:r>
        <w:rPr>
          <w:bCs/>
        </w:rPr>
        <w:t>i</w:t>
      </w:r>
      <w:r>
        <w:rPr>
          <w:bCs/>
        </w:rPr>
        <w:t>caciones que va a dar Cúneo, que está dando Cúneo por televisión y todo... está para el orto. Ahora si lo ves bien... (I) (superposición de voces) Diputados estuvo muy bueno, muy favorable.</w:t>
      </w:r>
    </w:p>
    <w:p w:rsidR="00224567" w:rsidRDefault="00224567">
      <w:pPr>
        <w:widowControl w:val="0"/>
        <w:rPr>
          <w:bCs/>
        </w:rPr>
      </w:pPr>
      <w:r>
        <w:rPr>
          <w:bCs/>
        </w:rPr>
        <w:t>A: Eh?</w:t>
      </w:r>
    </w:p>
    <w:p w:rsidR="00224567" w:rsidRDefault="00224567">
      <w:pPr>
        <w:widowControl w:val="0"/>
        <w:rPr>
          <w:bCs/>
        </w:rPr>
      </w:pPr>
      <w:r>
        <w:rPr>
          <w:bCs/>
        </w:rPr>
        <w:t>P: Los Diputados muy favorable, a nosotros.</w:t>
      </w:r>
    </w:p>
    <w:p w:rsidR="00224567" w:rsidRDefault="00224567">
      <w:pPr>
        <w:widowControl w:val="0"/>
        <w:rPr>
          <w:bCs/>
        </w:rPr>
      </w:pPr>
      <w:r>
        <w:rPr>
          <w:bCs/>
        </w:rPr>
        <w:t>A: Si.</w:t>
      </w:r>
    </w:p>
    <w:p w:rsidR="00224567" w:rsidRDefault="00224567">
      <w:pPr>
        <w:widowControl w:val="0"/>
        <w:rPr>
          <w:bCs/>
        </w:rPr>
      </w:pPr>
      <w:r>
        <w:rPr>
          <w:bCs/>
        </w:rPr>
        <w:t>P: Así que no. No, va a perder Cúneo, como en la gu</w:t>
      </w:r>
      <w:r>
        <w:rPr>
          <w:bCs/>
        </w:rPr>
        <w:t>e</w:t>
      </w:r>
      <w:r>
        <w:rPr>
          <w:bCs/>
        </w:rPr>
        <w:t>rra.</w:t>
      </w:r>
    </w:p>
    <w:p w:rsidR="00224567" w:rsidRDefault="00224567">
      <w:pPr>
        <w:widowControl w:val="0"/>
        <w:rPr>
          <w:bCs/>
        </w:rPr>
      </w:pPr>
      <w:r>
        <w:rPr>
          <w:bCs/>
        </w:rPr>
        <w:t>A: Mi viejo escuchó que lo pueden, le pueden sacar la m</w:t>
      </w:r>
      <w:r>
        <w:rPr>
          <w:bCs/>
        </w:rPr>
        <w:t>a</w:t>
      </w:r>
      <w:r>
        <w:rPr>
          <w:bCs/>
        </w:rPr>
        <w:t>trícula si...</w:t>
      </w:r>
    </w:p>
    <w:p w:rsidR="00224567" w:rsidRDefault="00224567">
      <w:pPr>
        <w:widowControl w:val="0"/>
        <w:rPr>
          <w:bCs/>
        </w:rPr>
      </w:pPr>
      <w:r>
        <w:rPr>
          <w:bCs/>
        </w:rPr>
        <w:t>P: Eje, lo más probable es que quede preso.</w:t>
      </w:r>
    </w:p>
    <w:p w:rsidR="00224567" w:rsidRDefault="00224567">
      <w:pPr>
        <w:widowControl w:val="0"/>
        <w:rPr>
          <w:bCs/>
        </w:rPr>
      </w:pPr>
      <w:r>
        <w:rPr>
          <w:bCs/>
        </w:rPr>
        <w:t>A: Por afano.</w:t>
      </w:r>
    </w:p>
    <w:p w:rsidR="00224567" w:rsidRDefault="00224567">
      <w:pPr>
        <w:widowControl w:val="0"/>
        <w:rPr>
          <w:bCs/>
        </w:rPr>
      </w:pPr>
      <w:r>
        <w:rPr>
          <w:bCs/>
        </w:rPr>
        <w:t>P: Noo. Porque ellos trataron de extorsionar al juez.</w:t>
      </w:r>
    </w:p>
    <w:p w:rsidR="00224567" w:rsidRDefault="00224567">
      <w:pPr>
        <w:widowControl w:val="0"/>
        <w:rPr>
          <w:bCs/>
        </w:rPr>
      </w:pPr>
      <w:r>
        <w:rPr>
          <w:bCs/>
        </w:rPr>
        <w:t>A: Ah.</w:t>
      </w:r>
    </w:p>
    <w:p w:rsidR="00224567" w:rsidRDefault="00224567">
      <w:pPr>
        <w:widowControl w:val="0"/>
        <w:rPr>
          <w:bCs/>
        </w:rPr>
      </w:pPr>
      <w:r>
        <w:rPr>
          <w:bCs/>
        </w:rPr>
        <w:t>P: Acá no es sólo que desapareció un video, acá desapar</w:t>
      </w:r>
      <w:r>
        <w:rPr>
          <w:bCs/>
        </w:rPr>
        <w:t>e</w:t>
      </w:r>
      <w:r>
        <w:rPr>
          <w:bCs/>
        </w:rPr>
        <w:t>ció un video que llegó a manos de la defensa y del deten</w:t>
      </w:r>
      <w:r>
        <w:rPr>
          <w:bCs/>
        </w:rPr>
        <w:t>i</w:t>
      </w:r>
      <w:r>
        <w:rPr>
          <w:bCs/>
        </w:rPr>
        <w:t>do, de Ribelli. El detenido Ribelli, el otro día el 24, 25 de marzo le ampliamos la indag</w:t>
      </w:r>
      <w:r>
        <w:rPr>
          <w:bCs/>
        </w:rPr>
        <w:t>a</w:t>
      </w:r>
      <w:r>
        <w:rPr>
          <w:bCs/>
        </w:rPr>
        <w:t>toria, pide una entrevista a solas con el juez, y le, y le da este video y le dice esto me esta quemando las manos mírelo Ud. no se lo mue</w:t>
      </w:r>
      <w:r>
        <w:rPr>
          <w:bCs/>
        </w:rPr>
        <w:t>s</w:t>
      </w:r>
      <w:r>
        <w:rPr>
          <w:bCs/>
        </w:rPr>
        <w:t>tre a sus hija nada y Ud. ya sabrá lo que tenga que hacer de aquí en más, con relación a todo lo que el declaró y todas las pruebas que ofreció para zafar ¿viste?. El dio todas coartadas, de.... cada cosa que se le imputaba las eh, se defendió, es cierto.</w:t>
      </w:r>
    </w:p>
    <w:p w:rsidR="00224567" w:rsidRDefault="00224567">
      <w:pPr>
        <w:widowControl w:val="0"/>
        <w:rPr>
          <w:bCs/>
        </w:rPr>
      </w:pPr>
      <w:r>
        <w:rPr>
          <w:bCs/>
        </w:rPr>
        <w:t>A: Claro.</w:t>
      </w:r>
    </w:p>
    <w:p w:rsidR="00224567" w:rsidRDefault="00224567">
      <w:pPr>
        <w:widowControl w:val="0"/>
        <w:rPr>
          <w:bCs/>
        </w:rPr>
      </w:pPr>
      <w:r>
        <w:rPr>
          <w:bCs/>
        </w:rPr>
        <w:t>P: Entonces si nosotros seguimos eso, y le creemos, y bueno queda en libertad, se sobresee. Y lo trató de exto</w:t>
      </w:r>
      <w:r>
        <w:rPr>
          <w:bCs/>
        </w:rPr>
        <w:t>r</w:t>
      </w:r>
      <w:r>
        <w:rPr>
          <w:bCs/>
        </w:rPr>
        <w:t>si</w:t>
      </w:r>
      <w:r>
        <w:rPr>
          <w:bCs/>
        </w:rPr>
        <w:t>o</w:t>
      </w:r>
      <w:r>
        <w:rPr>
          <w:bCs/>
        </w:rPr>
        <w:t>nar con eso viste, una intimidación.</w:t>
      </w:r>
    </w:p>
    <w:p w:rsidR="00224567" w:rsidRDefault="00224567">
      <w:pPr>
        <w:widowControl w:val="0"/>
        <w:rPr>
          <w:bCs/>
        </w:rPr>
      </w:pPr>
      <w:r>
        <w:rPr>
          <w:bCs/>
        </w:rPr>
        <w:t>A: ¿eso se lo dijo Cúneo o Ribelli?</w:t>
      </w:r>
    </w:p>
    <w:p w:rsidR="00224567" w:rsidRDefault="00224567">
      <w:pPr>
        <w:widowControl w:val="0"/>
        <w:rPr>
          <w:bCs/>
        </w:rPr>
      </w:pPr>
      <w:r>
        <w:rPr>
          <w:bCs/>
        </w:rPr>
        <w:t>P: Ribelli.</w:t>
      </w:r>
    </w:p>
    <w:p w:rsidR="00224567" w:rsidRDefault="00224567">
      <w:pPr>
        <w:widowControl w:val="0"/>
        <w:rPr>
          <w:bCs/>
        </w:rPr>
      </w:pPr>
      <w:r>
        <w:rPr>
          <w:bCs/>
        </w:rPr>
        <w:t>A: Que hijo de puta, bolo.</w:t>
      </w:r>
    </w:p>
    <w:p w:rsidR="00224567" w:rsidRDefault="00224567">
      <w:pPr>
        <w:widowControl w:val="0"/>
        <w:rPr>
          <w:bCs/>
        </w:rPr>
      </w:pPr>
      <w:r>
        <w:rPr>
          <w:bCs/>
        </w:rPr>
        <w:t>P: ¿entendés?. Entonces Galeano ve el video y dice eu, nuestra filmación. Se van a fijar los videos, a ver donde estaban, que estaba en la caja fuerte y falta el original. Y el que le dio Ribelli es una copia, quiere decir que a</w:t>
      </w:r>
      <w:r>
        <w:rPr>
          <w:bCs/>
        </w:rPr>
        <w:t>l</w:t>
      </w:r>
      <w:r>
        <w:rPr>
          <w:bCs/>
        </w:rPr>
        <w:t>guien tiene el original no?, y del cual hicieron mil c</w:t>
      </w:r>
      <w:r>
        <w:rPr>
          <w:bCs/>
        </w:rPr>
        <w:t>o</w:t>
      </w:r>
      <w:r>
        <w:rPr>
          <w:bCs/>
        </w:rPr>
        <w:t>pias. Y después bueno la transfugueada de Cúneo Libarona está en que tiene conocimiento de una cosa así que la ti</w:t>
      </w:r>
      <w:r>
        <w:rPr>
          <w:bCs/>
        </w:rPr>
        <w:t>e</w:t>
      </w:r>
      <w:r>
        <w:rPr>
          <w:bCs/>
        </w:rPr>
        <w:t>ne que poner en conocimiento, apenas te llega a las manos la tenés que poner, te tenés que ir al juzgado, ¿viste?. ¿señor juez, qué es esto, qué irregularidad es e</w:t>
      </w:r>
      <w:r>
        <w:rPr>
          <w:bCs/>
        </w:rPr>
        <w:t>s</w:t>
      </w:r>
      <w:r>
        <w:rPr>
          <w:bCs/>
        </w:rPr>
        <w:t>ta?, qué es esto?, yo que sé. Ellos no, ellos se lo quedaron lo trataron de intimidar a Galeano, este y después lo trat</w:t>
      </w:r>
      <w:r>
        <w:rPr>
          <w:bCs/>
        </w:rPr>
        <w:t>a</w:t>
      </w:r>
      <w:r>
        <w:rPr>
          <w:bCs/>
        </w:rPr>
        <w:t>ron de vender a los diferentes medios de prensa y no les dieron pelota porque Cúneo Libarona ya está con una imagen pésima. Fue a Canal 13, no se lo, a Telenoche no se lo aceptó, fueron a Verbisky de Página 12 y lo sacó cagando.</w:t>
      </w:r>
    </w:p>
    <w:p w:rsidR="00224567" w:rsidRDefault="00224567">
      <w:pPr>
        <w:widowControl w:val="0"/>
        <w:rPr>
          <w:bCs/>
        </w:rPr>
      </w:pPr>
      <w:r>
        <w:rPr>
          <w:bCs/>
        </w:rPr>
        <w:t>A: Verbisky es amigo del padre de Lucía.</w:t>
      </w:r>
    </w:p>
    <w:p w:rsidR="00224567" w:rsidRDefault="00224567">
      <w:pPr>
        <w:widowControl w:val="0"/>
        <w:rPr>
          <w:bCs/>
        </w:rPr>
      </w:pPr>
      <w:r>
        <w:rPr>
          <w:bCs/>
        </w:rPr>
        <w:t>P: ¿A sí? Y bueno lo sacó cagando. Lo sacaron cagando de todos lados. Ni a Crónica se lo pudieron ve</w:t>
      </w:r>
      <w:r>
        <w:rPr>
          <w:bCs/>
        </w:rPr>
        <w:t>n</w:t>
      </w:r>
      <w:r>
        <w:rPr>
          <w:bCs/>
        </w:rPr>
        <w:t>der.</w:t>
      </w:r>
    </w:p>
    <w:p w:rsidR="00224567" w:rsidRDefault="00224567">
      <w:pPr>
        <w:widowControl w:val="0"/>
        <w:rPr>
          <w:bCs/>
        </w:rPr>
      </w:pPr>
      <w:r>
        <w:rPr>
          <w:bCs/>
        </w:rPr>
        <w:t>A: ja, ni a Viale.</w:t>
      </w:r>
    </w:p>
    <w:p w:rsidR="00224567" w:rsidRDefault="00224567">
      <w:pPr>
        <w:widowControl w:val="0"/>
        <w:rPr>
          <w:bCs/>
        </w:rPr>
      </w:pPr>
      <w:r>
        <w:rPr>
          <w:bCs/>
        </w:rPr>
        <w:t>P: Este...</w:t>
      </w:r>
    </w:p>
    <w:p w:rsidR="00224567" w:rsidRDefault="00224567">
      <w:pPr>
        <w:widowControl w:val="0"/>
        <w:rPr>
          <w:bCs/>
        </w:rPr>
      </w:pPr>
      <w:r>
        <w:rPr>
          <w:bCs/>
        </w:rPr>
        <w:t>A: Viale lo echó del programa, bolo, a Cúneo.</w:t>
      </w:r>
    </w:p>
    <w:p w:rsidR="00224567" w:rsidRDefault="00224567">
      <w:pPr>
        <w:widowControl w:val="0"/>
        <w:rPr>
          <w:bCs/>
        </w:rPr>
      </w:pPr>
      <w:r>
        <w:rPr>
          <w:bCs/>
        </w:rPr>
        <w:t>P: No, pero era un verso, ahí esta todo, esas son todas cosas que hacen ¿viste?</w:t>
      </w:r>
    </w:p>
    <w:p w:rsidR="00224567" w:rsidRDefault="00224567">
      <w:pPr>
        <w:widowControl w:val="0"/>
        <w:rPr>
          <w:bCs/>
        </w:rPr>
      </w:pPr>
      <w:r>
        <w:rPr>
          <w:bCs/>
        </w:rPr>
        <w:t>A: a, sí</w:t>
      </w:r>
    </w:p>
    <w:p w:rsidR="00224567" w:rsidRDefault="00224567">
      <w:pPr>
        <w:widowControl w:val="0"/>
        <w:rPr>
          <w:bCs/>
        </w:rPr>
      </w:pPr>
      <w:r>
        <w:rPr>
          <w:bCs/>
        </w:rPr>
        <w:t>P: Si, todo raiting</w:t>
      </w:r>
    </w:p>
    <w:p w:rsidR="00224567" w:rsidRDefault="00224567">
      <w:pPr>
        <w:widowControl w:val="0"/>
        <w:rPr>
          <w:bCs/>
        </w:rPr>
      </w:pPr>
      <w:r>
        <w:rPr>
          <w:bCs/>
        </w:rPr>
        <w:t>A: ah</w:t>
      </w:r>
    </w:p>
    <w:p w:rsidR="00224567" w:rsidRDefault="00224567">
      <w:pPr>
        <w:widowControl w:val="0"/>
        <w:rPr>
          <w:bCs/>
        </w:rPr>
      </w:pPr>
      <w:r>
        <w:rPr>
          <w:bCs/>
        </w:rPr>
        <w:t>P: Yo lo vi cuando lo echo...</w:t>
      </w:r>
    </w:p>
    <w:p w:rsidR="00224567" w:rsidRDefault="00224567">
      <w:pPr>
        <w:widowControl w:val="0"/>
        <w:rPr>
          <w:bCs/>
        </w:rPr>
      </w:pPr>
      <w:r>
        <w:rPr>
          <w:bCs/>
        </w:rPr>
        <w:t>A: (I) tránsfuga</w:t>
      </w:r>
    </w:p>
    <w:p w:rsidR="00224567" w:rsidRDefault="00224567">
      <w:pPr>
        <w:widowControl w:val="0"/>
        <w:rPr>
          <w:bCs/>
        </w:rPr>
      </w:pPr>
      <w:r>
        <w:rPr>
          <w:bCs/>
        </w:rPr>
        <w:t>P: y bueno, y... en todo esto, trataron de..., hay, hay mil cosas que hicieron que no..., que ese video apenas te llega lo tenés que poner a disposición de la justicia, ¿viste?, es una prueba, es una cosa de la causa.</w:t>
      </w:r>
    </w:p>
    <w:p w:rsidR="00224567" w:rsidRDefault="00224567">
      <w:pPr>
        <w:widowControl w:val="0"/>
        <w:rPr>
          <w:bCs/>
        </w:rPr>
      </w:pPr>
      <w:r>
        <w:rPr>
          <w:bCs/>
        </w:rPr>
        <w:t>A: claro, claro.</w:t>
      </w:r>
    </w:p>
    <w:p w:rsidR="00224567" w:rsidRDefault="00224567">
      <w:pPr>
        <w:widowControl w:val="0"/>
        <w:rPr>
          <w:bCs/>
        </w:rPr>
      </w:pPr>
      <w:r>
        <w:rPr>
          <w:bCs/>
        </w:rPr>
        <w:t>P: Y estos no explican como les llegó, eh..., para qué lo querían, nada, nada.</w:t>
      </w:r>
    </w:p>
    <w:p w:rsidR="00224567" w:rsidRDefault="00224567">
      <w:pPr>
        <w:widowControl w:val="0"/>
        <w:rPr>
          <w:bCs/>
        </w:rPr>
      </w:pPr>
      <w:r>
        <w:rPr>
          <w:bCs/>
        </w:rPr>
        <w:t>A: Pobre Galeta, bolo, debe estar a las puteadas.</w:t>
      </w:r>
    </w:p>
    <w:p w:rsidR="00224567" w:rsidRDefault="00224567">
      <w:pPr>
        <w:widowControl w:val="0"/>
        <w:rPr>
          <w:bCs/>
        </w:rPr>
      </w:pPr>
      <w:r>
        <w:rPr>
          <w:bCs/>
        </w:rPr>
        <w:t>P: Y fue una cosa nueva, ¿viste? no esperada</w:t>
      </w:r>
    </w:p>
    <w:p w:rsidR="00224567" w:rsidRDefault="00224567">
      <w:pPr>
        <w:widowControl w:val="0"/>
        <w:rPr>
          <w:bCs/>
        </w:rPr>
      </w:pPr>
      <w:r>
        <w:rPr>
          <w:bCs/>
        </w:rPr>
        <w:t>A: Aparte esto lo que hace es ensuciar más la ca</w:t>
      </w:r>
      <w:r>
        <w:rPr>
          <w:bCs/>
        </w:rPr>
        <w:t>n</w:t>
      </w:r>
      <w:r>
        <w:rPr>
          <w:bCs/>
        </w:rPr>
        <w:t>cha, como (I)</w:t>
      </w:r>
    </w:p>
    <w:p w:rsidR="00224567" w:rsidRDefault="00224567">
      <w:pPr>
        <w:widowControl w:val="0"/>
        <w:rPr>
          <w:bCs/>
        </w:rPr>
      </w:pPr>
      <w:r>
        <w:rPr>
          <w:bCs/>
        </w:rPr>
        <w:t>P: Claro quieren que caiga la causa, y con la causa cae el juez, pero...</w:t>
      </w:r>
    </w:p>
    <w:p w:rsidR="00224567" w:rsidRDefault="00224567">
      <w:pPr>
        <w:widowControl w:val="0"/>
        <w:rPr>
          <w:bCs/>
        </w:rPr>
      </w:pPr>
      <w:r>
        <w:rPr>
          <w:bCs/>
        </w:rPr>
        <w:t>A: Igual tiene mucho respaldo de...</w:t>
      </w:r>
    </w:p>
    <w:p w:rsidR="00224567" w:rsidRDefault="00224567">
      <w:pPr>
        <w:widowControl w:val="0"/>
        <w:rPr>
          <w:bCs/>
        </w:rPr>
      </w:pPr>
      <w:r>
        <w:rPr>
          <w:bCs/>
        </w:rPr>
        <w:t>P: Sí</w:t>
      </w:r>
    </w:p>
    <w:p w:rsidR="00224567" w:rsidRDefault="00224567">
      <w:pPr>
        <w:widowControl w:val="0"/>
        <w:rPr>
          <w:bCs/>
        </w:rPr>
      </w:pPr>
      <w:r>
        <w:rPr>
          <w:bCs/>
        </w:rPr>
        <w:t>A: ...de la gente, de los moishes</w:t>
      </w:r>
    </w:p>
    <w:p w:rsidR="00224567" w:rsidRDefault="00224567">
      <w:pPr>
        <w:widowControl w:val="0"/>
        <w:rPr>
          <w:bCs/>
        </w:rPr>
      </w:pPr>
      <w:r>
        <w:rPr>
          <w:bCs/>
        </w:rPr>
        <w:t>P: Sí, no, de todos. Además que si le haces..., ad</w:t>
      </w:r>
      <w:r>
        <w:rPr>
          <w:bCs/>
        </w:rPr>
        <w:t>e</w:t>
      </w:r>
      <w:r>
        <w:rPr>
          <w:bCs/>
        </w:rPr>
        <w:t>más que no es así. Y si fuera, si le vas a hacer caso a estos h</w:t>
      </w:r>
      <w:r>
        <w:rPr>
          <w:bCs/>
        </w:rPr>
        <w:t>i</w:t>
      </w:r>
      <w:r>
        <w:rPr>
          <w:bCs/>
        </w:rPr>
        <w:t>jos de puta, bolo. No, no.</w:t>
      </w:r>
    </w:p>
    <w:p w:rsidR="00224567" w:rsidRDefault="00224567">
      <w:pPr>
        <w:widowControl w:val="0"/>
        <w:rPr>
          <w:bCs/>
        </w:rPr>
      </w:pPr>
      <w:r>
        <w:rPr>
          <w:bCs/>
        </w:rPr>
        <w:t xml:space="preserve">A: El titular de </w:t>
      </w:r>
      <w:smartTag w:uri="urn:schemas-microsoft-com:office:smarttags" w:element="PersonName">
        <w:smartTagPr>
          <w:attr w:name="ProductID" w:val="la D.A"/>
        </w:smartTagPr>
        <w:r>
          <w:rPr>
            <w:bCs/>
          </w:rPr>
          <w:t>la D.A</w:t>
        </w:r>
      </w:smartTag>
      <w:r>
        <w:rPr>
          <w:bCs/>
        </w:rPr>
        <w:t>.I.A. lo re-apoyó a Galeta, b</w:t>
      </w:r>
      <w:r>
        <w:rPr>
          <w:bCs/>
        </w:rPr>
        <w:t>o</w:t>
      </w:r>
      <w:r>
        <w:rPr>
          <w:bCs/>
        </w:rPr>
        <w:t>lo.</w:t>
      </w:r>
    </w:p>
    <w:p w:rsidR="00224567" w:rsidRDefault="00224567">
      <w:pPr>
        <w:widowControl w:val="0"/>
        <w:rPr>
          <w:bCs/>
        </w:rPr>
      </w:pPr>
      <w:r>
        <w:rPr>
          <w:bCs/>
        </w:rPr>
        <w:t>P: Si, si, si.</w:t>
      </w:r>
    </w:p>
    <w:p w:rsidR="00224567" w:rsidRDefault="00224567">
      <w:pPr>
        <w:widowControl w:val="0"/>
        <w:rPr>
          <w:bCs/>
        </w:rPr>
      </w:pPr>
      <w:r>
        <w:rPr>
          <w:bCs/>
        </w:rPr>
        <w:t>A: Dijo que el lo había visto el video, todo.</w:t>
      </w:r>
    </w:p>
    <w:p w:rsidR="00224567" w:rsidRDefault="00224567">
      <w:pPr>
        <w:widowControl w:val="0"/>
        <w:rPr>
          <w:bCs/>
        </w:rPr>
      </w:pPr>
      <w:r>
        <w:rPr>
          <w:bCs/>
        </w:rPr>
        <w:t>P: Si.</w:t>
      </w:r>
    </w:p>
    <w:p w:rsidR="00224567" w:rsidRDefault="00224567">
      <w:pPr>
        <w:widowControl w:val="0"/>
        <w:rPr>
          <w:bCs/>
        </w:rPr>
      </w:pPr>
      <w:r>
        <w:rPr>
          <w:bCs/>
        </w:rPr>
        <w:t>A: Eso.</w:t>
      </w:r>
    </w:p>
    <w:p w:rsidR="00224567" w:rsidRDefault="00224567">
      <w:pPr>
        <w:widowControl w:val="0"/>
        <w:rPr>
          <w:bCs/>
        </w:rPr>
      </w:pPr>
      <w:r>
        <w:rPr>
          <w:bCs/>
        </w:rPr>
        <w:t>P: Pero yo qué se. Por eso, y por eso todos estos días</w:t>
      </w:r>
    </w:p>
    <w:p w:rsidR="00224567" w:rsidRDefault="00224567">
      <w:pPr>
        <w:widowControl w:val="0"/>
        <w:rPr>
          <w:bCs/>
        </w:rPr>
      </w:pPr>
      <w:r>
        <w:rPr>
          <w:bCs/>
        </w:rPr>
        <w:t>A: y están a full no?</w:t>
      </w:r>
    </w:p>
    <w:p w:rsidR="00224567" w:rsidRDefault="00224567">
      <w:pPr>
        <w:widowControl w:val="0"/>
        <w:rPr>
          <w:bCs/>
        </w:rPr>
      </w:pPr>
      <w:r>
        <w:rPr>
          <w:bCs/>
        </w:rPr>
        <w:t>P: Mucho laburo.</w:t>
      </w:r>
    </w:p>
    <w:p w:rsidR="00224567" w:rsidRDefault="00224567">
      <w:pPr>
        <w:widowControl w:val="0"/>
        <w:rPr>
          <w:bCs/>
        </w:rPr>
      </w:pPr>
      <w:r>
        <w:rPr>
          <w:bCs/>
        </w:rPr>
        <w:t>A: Aparte lo que decían que los únicos que tenían las ll</w:t>
      </w:r>
      <w:r>
        <w:rPr>
          <w:bCs/>
        </w:rPr>
        <w:t>a</w:t>
      </w:r>
      <w:r>
        <w:rPr>
          <w:bCs/>
        </w:rPr>
        <w:t>ves era el pro-secretario y el secretario.</w:t>
      </w:r>
    </w:p>
    <w:p w:rsidR="00224567" w:rsidRDefault="00224567">
      <w:pPr>
        <w:widowControl w:val="0"/>
        <w:rPr>
          <w:bCs/>
        </w:rPr>
      </w:pPr>
      <w:r>
        <w:rPr>
          <w:bCs/>
        </w:rPr>
        <w:t>P: No, los dos secretarios.</w:t>
      </w:r>
    </w:p>
    <w:p w:rsidR="00224567" w:rsidRDefault="00224567">
      <w:pPr>
        <w:widowControl w:val="0"/>
        <w:rPr>
          <w:bCs/>
        </w:rPr>
      </w:pPr>
      <w:r>
        <w:rPr>
          <w:bCs/>
        </w:rPr>
        <w:t>A: Ah.</w:t>
      </w:r>
    </w:p>
    <w:p w:rsidR="00224567" w:rsidRDefault="00224567">
      <w:pPr>
        <w:widowControl w:val="0"/>
        <w:rPr>
          <w:bCs/>
        </w:rPr>
      </w:pPr>
      <w:r>
        <w:rPr>
          <w:bCs/>
        </w:rPr>
        <w:t>P: Este..., y bueno, ahora estamos esperando a ver que p</w:t>
      </w:r>
      <w:r>
        <w:rPr>
          <w:bCs/>
        </w:rPr>
        <w:t>a</w:t>
      </w:r>
      <w:r>
        <w:rPr>
          <w:bCs/>
        </w:rPr>
        <w:t>sa en la causa que se investiga el robo y que investiga toda la maniobra esta, por parte de Rib</w:t>
      </w:r>
      <w:r>
        <w:rPr>
          <w:bCs/>
        </w:rPr>
        <w:t>e</w:t>
      </w:r>
      <w:r>
        <w:rPr>
          <w:bCs/>
        </w:rPr>
        <w:t>lli y su defensor.</w:t>
      </w:r>
    </w:p>
    <w:p w:rsidR="00224567" w:rsidRDefault="00224567">
      <w:pPr>
        <w:widowControl w:val="0"/>
        <w:rPr>
          <w:bCs/>
        </w:rPr>
      </w:pPr>
      <w:r>
        <w:rPr>
          <w:bCs/>
        </w:rPr>
        <w:t>A: Es complicadísimo ¿no?. Porque no sabes si el que está investigando fue el que lo afanó.</w:t>
      </w:r>
    </w:p>
    <w:p w:rsidR="00224567" w:rsidRDefault="00224567">
      <w:pPr>
        <w:widowControl w:val="0"/>
        <w:rPr>
          <w:bCs/>
        </w:rPr>
      </w:pPr>
      <w:r>
        <w:rPr>
          <w:bCs/>
        </w:rPr>
        <w:t>P: No. ¿cómo?</w:t>
      </w:r>
    </w:p>
    <w:p w:rsidR="00224567" w:rsidRDefault="00224567">
      <w:pPr>
        <w:widowControl w:val="0"/>
        <w:rPr>
          <w:bCs/>
        </w:rPr>
      </w:pPr>
      <w:r>
        <w:rPr>
          <w:bCs/>
        </w:rPr>
        <w:t>A: Y claro, porque..., ponele ahí interviene ¿para inve</w:t>
      </w:r>
      <w:r>
        <w:rPr>
          <w:bCs/>
        </w:rPr>
        <w:t>s</w:t>
      </w:r>
      <w:r>
        <w:rPr>
          <w:bCs/>
        </w:rPr>
        <w:t>tigar este robo, quién interviene?</w:t>
      </w:r>
    </w:p>
    <w:p w:rsidR="00224567" w:rsidRDefault="00224567">
      <w:pPr>
        <w:widowControl w:val="0"/>
        <w:rPr>
          <w:bCs/>
        </w:rPr>
      </w:pPr>
      <w:r>
        <w:rPr>
          <w:bCs/>
        </w:rPr>
        <w:t>P: Otro juez nuevo, Oyarbide.</w:t>
      </w:r>
    </w:p>
    <w:p w:rsidR="00224567" w:rsidRDefault="00224567">
      <w:pPr>
        <w:widowControl w:val="0"/>
        <w:rPr>
          <w:bCs/>
        </w:rPr>
      </w:pPr>
      <w:r>
        <w:rPr>
          <w:bCs/>
        </w:rPr>
        <w:t>A: Está bien, pero ese, ¿quién pone gente a investiga</w:t>
      </w:r>
      <w:r>
        <w:rPr>
          <w:bCs/>
        </w:rPr>
        <w:t>r</w:t>
      </w:r>
      <w:r>
        <w:rPr>
          <w:bCs/>
        </w:rPr>
        <w:t>lo?</w:t>
      </w:r>
    </w:p>
    <w:p w:rsidR="00224567" w:rsidRDefault="00224567">
      <w:pPr>
        <w:widowControl w:val="0"/>
        <w:rPr>
          <w:bCs/>
        </w:rPr>
      </w:pPr>
      <w:r>
        <w:rPr>
          <w:bCs/>
        </w:rPr>
        <w:t>P: Y, su juzgado</w:t>
      </w:r>
    </w:p>
    <w:p w:rsidR="00224567" w:rsidRDefault="00224567">
      <w:pPr>
        <w:widowControl w:val="0"/>
        <w:rPr>
          <w:bCs/>
        </w:rPr>
      </w:pPr>
      <w:r>
        <w:rPr>
          <w:bCs/>
        </w:rPr>
        <w:t xml:space="preserve">A: Si, pero trabaja con gente de </w:t>
      </w:r>
      <w:smartTag w:uri="urn:schemas-microsoft-com:office:smarttags" w:element="PersonName">
        <w:smartTagPr>
          <w:attr w:name="ProductID" w:val="la SIDE"/>
        </w:smartTagPr>
        <w:r>
          <w:rPr>
            <w:bCs/>
          </w:rPr>
          <w:t>la SIDE</w:t>
        </w:r>
      </w:smartTag>
      <w:r>
        <w:rPr>
          <w:bCs/>
        </w:rPr>
        <w:t>, con toda esa gente ¿o no?</w:t>
      </w:r>
    </w:p>
    <w:p w:rsidR="00224567" w:rsidRDefault="00224567">
      <w:pPr>
        <w:widowControl w:val="0"/>
        <w:rPr>
          <w:bCs/>
        </w:rPr>
      </w:pPr>
      <w:r>
        <w:rPr>
          <w:bCs/>
        </w:rPr>
        <w:t>P: Sí</w:t>
      </w:r>
    </w:p>
    <w:p w:rsidR="00224567" w:rsidRDefault="00224567">
      <w:pPr>
        <w:widowControl w:val="0"/>
        <w:rPr>
          <w:bCs/>
        </w:rPr>
      </w:pPr>
      <w:r>
        <w:rPr>
          <w:bCs/>
        </w:rPr>
        <w:t>A: Que puede ser la misma gente que...</w:t>
      </w:r>
    </w:p>
    <w:p w:rsidR="00224567" w:rsidRDefault="00224567">
      <w:pPr>
        <w:widowControl w:val="0"/>
        <w:rPr>
          <w:bCs/>
        </w:rPr>
      </w:pPr>
      <w:r>
        <w:rPr>
          <w:bCs/>
        </w:rPr>
        <w:t>P: Y acá no se sabe nada...</w:t>
      </w:r>
    </w:p>
    <w:p w:rsidR="00224567" w:rsidRDefault="00224567">
      <w:pPr>
        <w:widowControl w:val="0"/>
        <w:rPr>
          <w:bCs/>
        </w:rPr>
      </w:pPr>
      <w:r>
        <w:rPr>
          <w:bCs/>
        </w:rPr>
        <w:t>A: No sabés quién es, complicadísimo.</w:t>
      </w:r>
    </w:p>
    <w:p w:rsidR="00224567" w:rsidRDefault="00224567">
      <w:pPr>
        <w:widowControl w:val="0"/>
        <w:rPr>
          <w:bCs/>
        </w:rPr>
      </w:pPr>
      <w:r>
        <w:rPr>
          <w:bCs/>
        </w:rPr>
        <w:t>P: Sí, y bueno...</w:t>
      </w:r>
    </w:p>
    <w:p w:rsidR="00224567" w:rsidRDefault="00224567">
      <w:pPr>
        <w:widowControl w:val="0"/>
        <w:rPr>
          <w:bCs/>
        </w:rPr>
      </w:pPr>
      <w:r>
        <w:rPr>
          <w:bCs/>
        </w:rPr>
        <w:tab/>
        <w:t>Sigue la conversación, hablan asuntos personales, se de</w:t>
      </w:r>
      <w:r>
        <w:rPr>
          <w:bCs/>
        </w:rPr>
        <w:t>s</w:t>
      </w:r>
      <w:r>
        <w:rPr>
          <w:bCs/>
        </w:rPr>
        <w:t>piden y cortan.</w:t>
      </w:r>
    </w:p>
    <w:p w:rsidR="00224567" w:rsidRDefault="00224567">
      <w:pPr>
        <w:widowControl w:val="0"/>
        <w:tabs>
          <w:tab w:val="left" w:pos="3480"/>
        </w:tabs>
      </w:pPr>
      <w:r>
        <w:rPr>
          <w:b/>
          <w:bCs/>
        </w:rPr>
        <w:tab/>
        <w:t>G.7)</w:t>
      </w:r>
      <w:r>
        <w:t xml:space="preserve"> Que, como se ha visto diversas fueron las maniobras y artilugios empleados por los fu</w:t>
      </w:r>
      <w:r>
        <w:t>n</w:t>
      </w:r>
      <w:r>
        <w:t>cionarios encargados de la pesquisa a efectos de ocultar las irregularidades cometidas en relación a e</w:t>
      </w:r>
      <w:r>
        <w:t>s</w:t>
      </w:r>
      <w:r>
        <w:t>te proceso. En ese orden cabe incluir el incidente r</w:t>
      </w:r>
      <w:r>
        <w:t>e</w:t>
      </w:r>
      <w:r>
        <w:t>lativo al pedido de recompensa formulado por el Dr. Víctor Stinfale a favor de su defendido, Ca</w:t>
      </w:r>
      <w:r>
        <w:t>r</w:t>
      </w:r>
      <w:r>
        <w:t>los Alberto Telleldín, que en 54 fojas corre por cuerda sin acum</w:t>
      </w:r>
      <w:r>
        <w:t>u</w:t>
      </w:r>
      <w:r>
        <w:t>lar.</w:t>
      </w:r>
    </w:p>
    <w:p w:rsidR="00224567" w:rsidRDefault="00224567">
      <w:pPr>
        <w:pStyle w:val="Sangradetextonormal"/>
        <w:widowControl w:val="0"/>
        <w:ind w:firstLine="0"/>
      </w:pPr>
      <w:r>
        <w:rPr>
          <w:lang w:val="es-ES"/>
        </w:rPr>
        <w:tab/>
      </w:r>
      <w:r>
        <w:t>A fs. 1/2 de dicha actuación luce el escrito presentado el 6 de mayo de 1997 por el Dr. Stinf</w:t>
      </w:r>
      <w:r>
        <w:t>a</w:t>
      </w:r>
      <w:r>
        <w:t xml:space="preserve">le, donde hizo mención a que su asistido colaboró con la justicia para dilucidar los hechos ocurridos en la sede de </w:t>
      </w:r>
      <w:smartTag w:uri="urn:schemas-microsoft-com:office:smarttags" w:element="PersonName">
        <w:smartTagPr>
          <w:attr w:name="ProductID" w:val="la A.M"/>
        </w:smartTagPr>
        <w:r>
          <w:t>la A.M</w:t>
        </w:r>
      </w:smartTag>
      <w:r>
        <w:t>.I.A., al punto que a raíz de su d</w:t>
      </w:r>
      <w:r>
        <w:t>e</w:t>
      </w:r>
      <w:r>
        <w:t>claración fueron procesadas cuatro pe</w:t>
      </w:r>
      <w:r>
        <w:t>r</w:t>
      </w:r>
      <w:r>
        <w:t>sonas, que de otro modo difícilmente se podría haber determinado sus responsabilidades.</w:t>
      </w:r>
    </w:p>
    <w:p w:rsidR="00224567" w:rsidRDefault="00224567">
      <w:pPr>
        <w:widowControl w:val="0"/>
      </w:pPr>
      <w:r>
        <w:rPr>
          <w:lang w:val="es-ES_tradnl"/>
        </w:rPr>
        <w:tab/>
      </w:r>
      <w:r>
        <w:t>Sobre esa base requirió se determine el monto de la recompensa en atención “al decreto-ley sa</w:t>
      </w:r>
      <w:r>
        <w:t>n</w:t>
      </w:r>
      <w:r>
        <w:t>cionado por el Poder Ejecutivo Nacional” (sic), nº 2023/94.</w:t>
      </w:r>
    </w:p>
    <w:p w:rsidR="00224567" w:rsidRDefault="00224567">
      <w:pPr>
        <w:widowControl w:val="0"/>
      </w:pPr>
      <w:r>
        <w:tab/>
        <w:t>A fs. 4 el letrado requirió se arb</w:t>
      </w:r>
      <w:r>
        <w:t>i</w:t>
      </w:r>
      <w:r>
        <w:t>tren los medios necesarios para que la querella informe, con cará</w:t>
      </w:r>
      <w:r>
        <w:t>c</w:t>
      </w:r>
      <w:r>
        <w:t>ter de urgente, si consideraban que los dichos de su r</w:t>
      </w:r>
      <w:r>
        <w:t>e</w:t>
      </w:r>
      <w:r>
        <w:t>presentado habían contribuido “con el accionar de la justicia en cuanto al esclarecimiento de los hechos aca</w:t>
      </w:r>
      <w:r>
        <w:t>e</w:t>
      </w:r>
      <w:r>
        <w:t xml:space="preserve">cidos en la sede de </w:t>
      </w:r>
      <w:smartTag w:uri="urn:schemas-microsoft-com:office:smarttags" w:element="PersonName">
        <w:smartTagPr>
          <w:attr w:name="ProductID" w:val="la AMIA"/>
        </w:smartTagPr>
        <w:r>
          <w:t>la AMIA</w:t>
        </w:r>
      </w:smartTag>
      <w:r>
        <w:t>”. Esta última presentación e</w:t>
      </w:r>
      <w:r>
        <w:t>s</w:t>
      </w:r>
      <w:r>
        <w:t>tá cargada el 7 de mayo de 1997, encontrándose enmendado el “</w:t>
      </w:r>
      <w:smartTag w:uri="urn:schemas-microsoft-com:office:smarttags" w:element="metricconverter">
        <w:smartTagPr>
          <w:attr w:name="ProductID" w:val="7”"/>
        </w:smartTagPr>
        <w:r>
          <w:t>7”</w:t>
        </w:r>
      </w:smartTag>
      <w:r>
        <w:t>, sin salvar.</w:t>
      </w:r>
    </w:p>
    <w:p w:rsidR="00224567" w:rsidRDefault="00224567">
      <w:pPr>
        <w:widowControl w:val="0"/>
      </w:pPr>
      <w:r>
        <w:tab/>
        <w:t>El juez instructor, a fs. 5, dispuso agregar a la incidencia fotocopias del decreto relativo a la creación del Fondo Permanente de Protección contra el Terrorismo Internacional.</w:t>
      </w:r>
    </w:p>
    <w:p w:rsidR="00224567" w:rsidRDefault="00224567">
      <w:pPr>
        <w:widowControl w:val="0"/>
      </w:pPr>
      <w:r>
        <w:tab/>
        <w:t>A fs. 6/7, lucen las copias del Bol</w:t>
      </w:r>
      <w:r>
        <w:t>e</w:t>
      </w:r>
      <w:r>
        <w:t>tín Oficial nº 28.022 del 21/11/94, que da cuenta de la publicación del decreto 2023/92, por el que se creó un Fondo Permanente de Protección contra el Terrorismo Inte</w:t>
      </w:r>
      <w:r>
        <w:t>r</w:t>
      </w:r>
      <w:r>
        <w:t>naci</w:t>
      </w:r>
      <w:r>
        <w:t>o</w:t>
      </w:r>
      <w:r>
        <w:t>nal al que se asignó la suma de dos millones de pesos ($2.000.000) a efectos de “abonar recompensas a aquellas personas que aporten datos, informes, testimonios, doc</w:t>
      </w:r>
      <w:r>
        <w:t>u</w:t>
      </w:r>
      <w:r>
        <w:t>mentación y todo otro elemento o referencia fehaciente a fin de esclarecer los atentados del terrorismo internaci</w:t>
      </w:r>
      <w:r>
        <w:t>o</w:t>
      </w:r>
      <w:r>
        <w:t xml:space="preserve">nal perpetrados contra </w:t>
      </w:r>
      <w:smartTag w:uri="urn:schemas-microsoft-com:office:smarttags" w:element="PersonName">
        <w:smartTagPr>
          <w:attr w:name="ProductID" w:val="la EMBAJADA DEL"/>
        </w:smartTagPr>
        <w:r>
          <w:t>la EMBAJADA DEL</w:t>
        </w:r>
      </w:smartTag>
      <w:r>
        <w:t xml:space="preserve"> ESTADO DE ISRAEL en nuestro país y la sede de </w:t>
      </w:r>
      <w:smartTag w:uri="urn:schemas-microsoft-com:office:smarttags" w:element="PersonName">
        <w:smartTagPr>
          <w:attr w:name="ProductID" w:val="la Asociaci￳n Mutual"/>
        </w:smartTagPr>
        <w:r>
          <w:t>la ASOCIACIÓN MUTUAL</w:t>
        </w:r>
      </w:smartTag>
      <w:r>
        <w:t xml:space="preserve"> ISRAELITA ARGENTINA, acaecidos con fecha 17 de marzo de 1992 y 18 de julio de 1994, respectivamente, y para todos aquellos d</w:t>
      </w:r>
      <w:r>
        <w:t>e</w:t>
      </w:r>
      <w:r>
        <w:t>rivados del accionar del t</w:t>
      </w:r>
      <w:r>
        <w:t>e</w:t>
      </w:r>
      <w:r>
        <w:t>rrorismo internacional”.</w:t>
      </w:r>
    </w:p>
    <w:p w:rsidR="00224567" w:rsidRDefault="00224567">
      <w:pPr>
        <w:widowControl w:val="0"/>
      </w:pPr>
      <w:r>
        <w:tab/>
        <w:t>El art. 2º determina como autor</w:t>
      </w:r>
      <w:r>
        <w:t>i</w:t>
      </w:r>
      <w:r>
        <w:t xml:space="preserve">dad de aplicación a </w:t>
      </w:r>
      <w:smartTag w:uri="urn:schemas-microsoft-com:office:smarttags" w:element="PersonName">
        <w:smartTagPr>
          <w:attr w:name="ProductID" w:val="la Secretar￭a"/>
        </w:smartTagPr>
        <w:r>
          <w:t>la Secretaría</w:t>
        </w:r>
      </w:smartTag>
      <w:r>
        <w:t xml:space="preserve"> de Seguridad y Protección de </w:t>
      </w:r>
      <w:smartTag w:uri="urn:schemas-microsoft-com:office:smarttags" w:element="PersonName">
        <w:smartTagPr>
          <w:attr w:name="ProductID" w:val="la Comunidad"/>
        </w:smartTagPr>
        <w:r>
          <w:t>la Comunidad</w:t>
        </w:r>
      </w:smartTag>
      <w:r>
        <w:t xml:space="preserve">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Nación</w:t>
        </w:r>
      </w:smartTag>
      <w:r>
        <w:t>, “la cual dictará las normas reglamentarias y aclaratorias necesarias para la mejor implementación de la medida. Asimismo, la citada Secretaría tendrá a su cargo el pago de las recompensas previa consulta sobre su conv</w:t>
      </w:r>
      <w:r>
        <w:t>e</w:t>
      </w:r>
      <w:r>
        <w:t>niencia al juez actuante en la i</w:t>
      </w:r>
      <w:r>
        <w:t>n</w:t>
      </w:r>
      <w:r>
        <w:t>vestigación del hecho”.</w:t>
      </w:r>
    </w:p>
    <w:p w:rsidR="00224567" w:rsidRDefault="00224567">
      <w:pPr>
        <w:widowControl w:val="0"/>
      </w:pPr>
      <w:r>
        <w:tab/>
        <w:t>Carlos Alberto Telleldín compareció ante el juez de la causa el 6 de junio de 1997 (fs. 13), oportunidad en la que ratificó el pedido de recompensa efectuado por su defensor, aclarando que éste actuó s</w:t>
      </w:r>
      <w:r>
        <w:t>i</w:t>
      </w:r>
      <w:r>
        <w:t>guiendo sus instrucciones.</w:t>
      </w:r>
    </w:p>
    <w:p w:rsidR="00224567" w:rsidRDefault="00224567">
      <w:pPr>
        <w:widowControl w:val="0"/>
      </w:pPr>
      <w:r>
        <w:tab/>
        <w:t>A fs. 14 el juez instructor ordenó c</w:t>
      </w:r>
      <w:r>
        <w:t>o</w:t>
      </w:r>
      <w:r>
        <w:t>rrer vista a los querellantes y al agente fiscal, d</w:t>
      </w:r>
      <w:r>
        <w:t>e</w:t>
      </w:r>
      <w:r>
        <w:t>bido a que la solicitud de recompensa form</w:t>
      </w:r>
      <w:r>
        <w:t>u</w:t>
      </w:r>
      <w:r>
        <w:t>lada no se encontraba “procesalmente prevista”.</w:t>
      </w:r>
    </w:p>
    <w:p w:rsidR="00224567" w:rsidRDefault="00224567">
      <w:pPr>
        <w:widowControl w:val="0"/>
      </w:pPr>
      <w:r>
        <w:tab/>
        <w:t>A reglón seguido luce la constancia del actuario, Dr. De Gamas, que informa que “se libraron cédulas de notificación a los Dres. Natalio Isaac Czarny-Rogelio Salvador Cichowolski (D.A.I.A.), Dres. Luis Do</w:t>
      </w:r>
      <w:r>
        <w:t>b</w:t>
      </w:r>
      <w:r>
        <w:t>niewski-Alberto Cukier (A.M.I.A) y como letrados patroc</w:t>
      </w:r>
      <w:r>
        <w:t>i</w:t>
      </w:r>
      <w:r>
        <w:t>nantes de León Averbuch, Ana Blugerman de Czyzewski y de Luis Czyzewski; Laura Alché vda. De Ginsberg y otros r</w:t>
      </w:r>
      <w:r>
        <w:t>e</w:t>
      </w:r>
      <w:r>
        <w:t>presentados `por los Dres. Elías Neuman y León Smolianski; Agu</w:t>
      </w:r>
      <w:r>
        <w:t>s</w:t>
      </w:r>
      <w:r>
        <w:t>tina Ledesma-Dr. Carlos Piñero y el Dr. Pinto Kramer”.</w:t>
      </w:r>
    </w:p>
    <w:p w:rsidR="00224567" w:rsidRDefault="00224567">
      <w:pPr>
        <w:widowControl w:val="0"/>
      </w:pPr>
      <w:r>
        <w:tab/>
        <w:t>Constan a fs. 15/19, los origin</w:t>
      </w:r>
      <w:r>
        <w:t>a</w:t>
      </w:r>
      <w:r>
        <w:t>les de las cédulas diligenciadas.</w:t>
      </w:r>
    </w:p>
    <w:p w:rsidR="00224567" w:rsidRDefault="00224567">
      <w:pPr>
        <w:widowControl w:val="0"/>
      </w:pPr>
      <w:r>
        <w:tab/>
        <w:t>A fs. 20 obra una constancia del s</w:t>
      </w:r>
      <w:r>
        <w:t>e</w:t>
      </w:r>
      <w:r>
        <w:t>cretario De Gamas, del 26 de enero de 1998, por la que da cuenta que en esa fecha halló “traspapelada entre distinta documentación” la incidencia. A continuación el juez G</w:t>
      </w:r>
      <w:r>
        <w:t>a</w:t>
      </w:r>
      <w:r>
        <w:t>leano ordenó se cumpliera con la vista dispuesta al fi</w:t>
      </w:r>
      <w:r>
        <w:t>s</w:t>
      </w:r>
      <w:r>
        <w:t>cal.</w:t>
      </w:r>
    </w:p>
    <w:p w:rsidR="00224567" w:rsidRDefault="00224567">
      <w:pPr>
        <w:widowControl w:val="0"/>
      </w:pPr>
      <w:r>
        <w:tab/>
        <w:t>El Dr. José C. Barbaccia, fiscal fed</w:t>
      </w:r>
      <w:r>
        <w:t>e</w:t>
      </w:r>
      <w:r>
        <w:t>ral adjunto, presentó su dictamen el 30 de enero de 1998 (fs. 21). Allí entendió que debía rechazarse la solicitud de recompensa debido a que “resulta al menos a esta altura del proceso, improcedente por prematura, ya que el momento adecuado en el cual el Tribunal podría efectuar una ev</w:t>
      </w:r>
      <w:r>
        <w:t>a</w:t>
      </w:r>
      <w:r>
        <w:t>luación cierta de los dichos fo</w:t>
      </w:r>
      <w:r>
        <w:t>r</w:t>
      </w:r>
      <w:r>
        <w:t>mulados por el nombrado y su incidencia en el esclarecimiento de los hechos, sería en oportunidad del dictado del fallo”. Agregó: “Ello así dado que, es precisamente en la sentencia def</w:t>
      </w:r>
      <w:r>
        <w:t>i</w:t>
      </w:r>
      <w:r>
        <w:t>nitiva donde el juzgador, teniendo ante sí la totalidad de las proba</w:t>
      </w:r>
      <w:r>
        <w:t>n</w:t>
      </w:r>
      <w:r>
        <w:t>zas acumuladas durante la instrucción y el juicio, se e</w:t>
      </w:r>
      <w:r>
        <w:t>n</w:t>
      </w:r>
      <w:r>
        <w:t>contraría en condiciones de establecer el grado de colab</w:t>
      </w:r>
      <w:r>
        <w:t>o</w:t>
      </w:r>
      <w:r>
        <w:t>ración prestado por un individuo durante el transcurso del proceso”.</w:t>
      </w:r>
    </w:p>
    <w:p w:rsidR="00224567" w:rsidRDefault="00224567">
      <w:pPr>
        <w:widowControl w:val="0"/>
      </w:pPr>
      <w:r>
        <w:tab/>
        <w:t>A fs. 22/46, lucen fotocopias del a</w:t>
      </w:r>
      <w:r>
        <w:t>u</w:t>
      </w:r>
      <w:r>
        <w:t xml:space="preserve">to de procesamiento, dictado el 2 de noviembre de 1998, que mantuvo la prisión preventiva ya dispuesta, de Carlos A. Telleldín por encontrarlo </w:t>
      </w:r>
      <w:r>
        <w:rPr>
          <w:u w:val="single"/>
        </w:rPr>
        <w:t>prima</w:t>
      </w:r>
      <w:r>
        <w:t xml:space="preserve"> </w:t>
      </w:r>
      <w:r>
        <w:rPr>
          <w:u w:val="single"/>
        </w:rPr>
        <w:t>facie</w:t>
      </w:r>
      <w:r>
        <w:t xml:space="preserve"> responsable como partícipe necesario de los delitos de homicidio calific</w:t>
      </w:r>
      <w:r>
        <w:t>a</w:t>
      </w:r>
      <w:r>
        <w:t>do, lesiones -leves, graves y gravísimas- y daño, comet</w:t>
      </w:r>
      <w:r>
        <w:t>i</w:t>
      </w:r>
      <w:r>
        <w:t>dos todos ellos en forma reiterada.</w:t>
      </w:r>
    </w:p>
    <w:p w:rsidR="00224567" w:rsidRDefault="00224567">
      <w:pPr>
        <w:widowControl w:val="0"/>
      </w:pPr>
      <w:r>
        <w:tab/>
        <w:t>Corren agregadas fs. 47/51 del inc</w:t>
      </w:r>
      <w:r>
        <w:t>i</w:t>
      </w:r>
      <w:r>
        <w:t xml:space="preserve">dente, copias de la resolución de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Federal"/>
        </w:smartTagPr>
        <w:r>
          <w:t>la Cámara Federal</w:t>
        </w:r>
      </w:smartTag>
      <w:r>
        <w:t>, del 11 de mayo de 1999, que confirmó el auto al</w:t>
      </w:r>
      <w:r>
        <w:t>u</w:t>
      </w:r>
      <w:r>
        <w:t>dido en el párrafo anterior.</w:t>
      </w:r>
    </w:p>
    <w:p w:rsidR="00224567" w:rsidRDefault="00224567">
      <w:pPr>
        <w:widowControl w:val="0"/>
      </w:pPr>
      <w:r>
        <w:tab/>
        <w:t>En la fs. 53, última del incide</w:t>
      </w:r>
      <w:r>
        <w:t>n</w:t>
      </w:r>
      <w:r>
        <w:t>te, el juez instructor dispuso: “Habiendo sido co</w:t>
      </w:r>
      <w:r>
        <w:t>n</w:t>
      </w:r>
      <w:r>
        <w:t xml:space="preserve">firmada por </w:t>
      </w:r>
      <w:smartTag w:uri="urn:schemas-microsoft-com:office:smarttags" w:element="PersonName">
        <w:smartTagPr>
          <w:attr w:name="ProductID" w:val="la Excma. C￡mara"/>
        </w:smartTagPr>
        <w:r>
          <w:t>la Excma. Cámara</w:t>
        </w:r>
      </w:smartTag>
      <w:r>
        <w:t xml:space="preserve"> del fuero el auto de procesamiento dictado respecto de Carlos Alberto T</w:t>
      </w:r>
      <w:r>
        <w:t>e</w:t>
      </w:r>
      <w:r>
        <w:t>lleldín por su participación en el hecho que me toca juzgar, estése a lo allí decidido en cuanto a la v</w:t>
      </w:r>
      <w:r>
        <w:t>a</w:t>
      </w:r>
      <w:r>
        <w:t>lidez de los dichos del nombrado”.</w:t>
      </w:r>
    </w:p>
    <w:p w:rsidR="00224567" w:rsidRDefault="00224567">
      <w:pPr>
        <w:widowControl w:val="0"/>
      </w:pPr>
      <w:r>
        <w:tab/>
        <w:t>Como más arriba se estableció, con b</w:t>
      </w:r>
      <w:r>
        <w:t>a</w:t>
      </w:r>
      <w:r>
        <w:t>se en la cuantiosa prueba colectada, en 1996 se le pagó a Telleldín, con autorización del juez instructor, la suma de $ 400.000; circunstancia que era conocida por todos los funcionarios que intervinieron en el i</w:t>
      </w:r>
      <w:r>
        <w:t>n</w:t>
      </w:r>
      <w:r>
        <w:t>cidente comentado.</w:t>
      </w:r>
    </w:p>
    <w:p w:rsidR="00224567" w:rsidRDefault="00224567">
      <w:pPr>
        <w:widowControl w:val="0"/>
      </w:pPr>
      <w:r>
        <w:tab/>
        <w:t>Parece claro, entonces, que dicha a</w:t>
      </w:r>
      <w:r>
        <w:t>c</w:t>
      </w:r>
      <w:r>
        <w:t>tuación solo apuntó a blanquear un proceder injustific</w:t>
      </w:r>
      <w:r>
        <w:t>a</w:t>
      </w:r>
      <w:r>
        <w:t>ble, ajustándolo a la legalidad, debido a que se había propalado por televisión el video del 1º de julio de 1996,.</w:t>
      </w:r>
    </w:p>
    <w:p w:rsidR="00224567" w:rsidRDefault="00224567">
      <w:pPr>
        <w:widowControl w:val="0"/>
      </w:pPr>
      <w:r>
        <w:tab/>
        <w:t>Precisamente fue lo que dijo Telle</w:t>
      </w:r>
      <w:r>
        <w:t>l</w:t>
      </w:r>
      <w:r>
        <w:t>dín en el debate, al destacar la preocupación y dese</w:t>
      </w:r>
      <w:r>
        <w:t>s</w:t>
      </w:r>
      <w:r>
        <w:t>peración del Dr. Galeano y el Dr. Beraja a raíz del r</w:t>
      </w:r>
      <w:r>
        <w:t>o</w:t>
      </w:r>
      <w:r>
        <w:t>bo del video, haciéndole saber el último, por intermedio del Dr. Stinf</w:t>
      </w:r>
      <w:r>
        <w:t>a</w:t>
      </w:r>
      <w:r>
        <w:t>le, que el juez necesitaba que firme un legajo de reco</w:t>
      </w:r>
      <w:r>
        <w:t>m</w:t>
      </w:r>
      <w:r>
        <w:t>pensa, lo que así hizo.</w:t>
      </w:r>
    </w:p>
    <w:p w:rsidR="00224567" w:rsidRDefault="00224567">
      <w:pPr>
        <w:widowControl w:val="0"/>
      </w:pPr>
      <w:r>
        <w:tab/>
        <w:t>La lectura del incidente le da la r</w:t>
      </w:r>
      <w:r>
        <w:t>a</w:t>
      </w:r>
      <w:r>
        <w:t>zón a Telleldín. Repárese que el pedido se efectuó diez meses después de dictado el procesamiento y prisión pr</w:t>
      </w:r>
      <w:r>
        <w:t>e</w:t>
      </w:r>
      <w:r>
        <w:t>ventiva de Ribelli, Ibarra, Leal y Bareiro, por pa</w:t>
      </w:r>
      <w:r>
        <w:t>r</w:t>
      </w:r>
      <w:r>
        <w:t>ticipar del atentado a la mutual, cuando el decreto que se invoca como fundamento fue dictado en 1994.</w:t>
      </w:r>
    </w:p>
    <w:p w:rsidR="00224567" w:rsidRDefault="00224567">
      <w:pPr>
        <w:widowControl w:val="0"/>
      </w:pPr>
      <w:r>
        <w:tab/>
        <w:t>Como se destacó, se hizo el pedido p</w:t>
      </w:r>
      <w:r>
        <w:t>o</w:t>
      </w:r>
      <w:r>
        <w:t>co tiempo después de que se divulgó la particular conve</w:t>
      </w:r>
      <w:r>
        <w:t>r</w:t>
      </w:r>
      <w:r>
        <w:t>sación que mantuvo Telleldín con el juez Galeano.</w:t>
      </w:r>
    </w:p>
    <w:p w:rsidR="00224567" w:rsidRDefault="00224567">
      <w:pPr>
        <w:widowControl w:val="0"/>
      </w:pPr>
      <w:r>
        <w:tab/>
        <w:t>No menos llamativo resulta que ning</w:t>
      </w:r>
      <w:r>
        <w:t>u</w:t>
      </w:r>
      <w:r>
        <w:t>no de los querellantes se haya pronunciado en el sentido de la vista que se les corrió, ni realizaran presentación a</w:t>
      </w:r>
      <w:r>
        <w:t>l</w:t>
      </w:r>
      <w:r>
        <w:t>guna sobre el particular.</w:t>
      </w:r>
    </w:p>
    <w:p w:rsidR="00224567" w:rsidRDefault="00224567">
      <w:pPr>
        <w:widowControl w:val="0"/>
      </w:pPr>
      <w:r>
        <w:tab/>
        <w:t>En la misma línea se anota la falta de interés demostrada por Telleldín y su ab</w:t>
      </w:r>
      <w:r>
        <w:t>o</w:t>
      </w:r>
      <w:r>
        <w:t>gado acerca de la suerte del pedido de recompensa, al extremo de que el A</w:t>
      </w:r>
      <w:r>
        <w:t>c</w:t>
      </w:r>
      <w:r>
        <w:t>tuario, en una no menos sugestiva nota, dio cuenta que e</w:t>
      </w:r>
      <w:r>
        <w:t>s</w:t>
      </w:r>
      <w:r>
        <w:t>tuvo traspapelada durante seis meses sin que mediara r</w:t>
      </w:r>
      <w:r>
        <w:t>e</w:t>
      </w:r>
      <w:r>
        <w:t>clamo alguno del interesado.</w:t>
      </w:r>
    </w:p>
    <w:p w:rsidR="00224567" w:rsidRDefault="00224567">
      <w:pPr>
        <w:widowControl w:val="0"/>
      </w:pPr>
      <w:r>
        <w:tab/>
        <w:t>También resulta sugestivo la fo</w:t>
      </w:r>
      <w:r>
        <w:t>r</w:t>
      </w:r>
      <w:r>
        <w:t>ma en que finalizó la incidencia; esto es, con un decreto del juez que remite a lo decido por su alzada acerca de la v</w:t>
      </w:r>
      <w:r>
        <w:t>a</w:t>
      </w:r>
      <w:r>
        <w:t>lidez de los dichos de Telleldín, del que no se not</w:t>
      </w:r>
      <w:r>
        <w:t>i</w:t>
      </w:r>
      <w:r>
        <w:t>ficó a las partes, ni éstas efe</w:t>
      </w:r>
      <w:r>
        <w:t>c</w:t>
      </w:r>
      <w:r>
        <w:t>tuaron reclamo alguno.</w:t>
      </w:r>
    </w:p>
    <w:p w:rsidR="00224567" w:rsidRDefault="00224567">
      <w:pPr>
        <w:widowControl w:val="0"/>
      </w:pPr>
      <w:r>
        <w:tab/>
        <w:t>También llevan a dar credibilidad a Telleldín, en orden a razones por las que firmó la ratif</w:t>
      </w:r>
      <w:r>
        <w:t>i</w:t>
      </w:r>
      <w:r>
        <w:t>cación de fs. 13, la circunstancia de que todos los que intervinieron en la incidencia conocían que se había pag</w:t>
      </w:r>
      <w:r>
        <w:t>a</w:t>
      </w:r>
      <w:r>
        <w:t>do en 1996. Así, los doctores Galeano y De Gamas, como surge del video grabado el 1º de julio de 1996, fueron quienes negociaron el pago con el imputado. El Dr. Stinf</w:t>
      </w:r>
      <w:r>
        <w:t>a</w:t>
      </w:r>
      <w:r>
        <w:t>le, según surgió de las escuchas tel</w:t>
      </w:r>
      <w:r>
        <w:t>e</w:t>
      </w:r>
      <w:r>
        <w:t xml:space="preserve">fónicas difundidas en la audiencia, fue quien combinó con los agentes de </w:t>
      </w:r>
      <w:smartTag w:uri="urn:schemas-microsoft-com:office:smarttags" w:element="PersonName">
        <w:smartTagPr>
          <w:attr w:name="ProductID" w:val="la Secretar￭a"/>
        </w:smartTagPr>
        <w:r>
          <w:t>la S</w:t>
        </w:r>
        <w:r>
          <w:t>e</w:t>
        </w:r>
        <w:r>
          <w:t>cretaría</w:t>
        </w:r>
      </w:smartTag>
      <w:r>
        <w:t xml:space="preserve"> de Inteligencia los lugares a los que debería asistir Boragni, a quien acompañó al momento de recibir el primer pago.</w:t>
      </w:r>
    </w:p>
    <w:p w:rsidR="00224567" w:rsidRDefault="00224567">
      <w:pPr>
        <w:widowControl w:val="0"/>
      </w:pPr>
      <w:r>
        <w:tab/>
        <w:t>A su vez, según el acta labrada en su oportunidad, el fiscal Barbaccia presenció í</w:t>
      </w:r>
      <w:r>
        <w:t>n</w:t>
      </w:r>
      <w:r>
        <w:t>tegramente el desarrollo de la declaración indagat</w:t>
      </w:r>
      <w:r>
        <w:t>o</w:t>
      </w:r>
      <w:r>
        <w:t>ria del 5 de julio de 1996, durante el cual Telle</w:t>
      </w:r>
      <w:r>
        <w:t>l</w:t>
      </w:r>
      <w:r>
        <w:t>dín, tras hablar por teléfono con su pareja y co</w:t>
      </w:r>
      <w:r>
        <w:t>n</w:t>
      </w:r>
      <w:r>
        <w:t>firmarle ésta el pago, aceptó suscribir la declar</w:t>
      </w:r>
      <w:r>
        <w:t>a</w:t>
      </w:r>
      <w:r>
        <w:t>ción.</w:t>
      </w:r>
    </w:p>
    <w:p w:rsidR="00224567" w:rsidRDefault="00224567">
      <w:pPr>
        <w:widowControl w:val="0"/>
      </w:pPr>
      <w:r>
        <w:tab/>
        <w:t>El incidente fraguado, mas allá de la prueba producida en el debate, demostrativa de falsedad, contradice la propia actividad del juzgado evidenciando, nuevamente, los espurios acuerdos a los que se llegó con Telleldín.</w:t>
      </w:r>
    </w:p>
    <w:p w:rsidR="00224567" w:rsidRDefault="00224567">
      <w:pPr>
        <w:widowControl w:val="0"/>
      </w:pPr>
      <w:r>
        <w:tab/>
        <w:t>De ello da cuenta el Incidente de E</w:t>
      </w:r>
      <w:r>
        <w:t>x</w:t>
      </w:r>
      <w:r>
        <w:t>carcelación del nombrado, dado que cuando fue notific</w:t>
      </w:r>
      <w:r>
        <w:t>a</w:t>
      </w:r>
      <w:r>
        <w:t>do, el 31 de octubre de 1997, de la resolución que d</w:t>
      </w:r>
      <w:r>
        <w:t>e</w:t>
      </w:r>
      <w:r>
        <w:t>negaba su libertad, generó un escándalo en la sede del juzgado que obligó al juez y al secretario a labrar un acta dando cuenta del incidente.</w:t>
      </w:r>
    </w:p>
    <w:p w:rsidR="00224567" w:rsidRDefault="00224567">
      <w:pPr>
        <w:widowControl w:val="0"/>
        <w:rPr>
          <w:b/>
          <w:bCs/>
        </w:rPr>
      </w:pPr>
      <w:r>
        <w:tab/>
        <w:t>También por su elocuencia cabe tran</w:t>
      </w:r>
      <w:r>
        <w:t>s</w:t>
      </w:r>
      <w:r>
        <w:t xml:space="preserve">cribirlo: </w:t>
      </w:r>
      <w:r>
        <w:rPr>
          <w:b/>
          <w:bCs/>
        </w:rPr>
        <w:t>“</w:t>
      </w:r>
      <w:r>
        <w:t>...a los fines que pudieran corresponder, se deja constancia de las manifestaciones de CARLOS ALBERTO TELLELDIN realizadas con posterioridad de notificá</w:t>
      </w:r>
      <w:r>
        <w:t>r</w:t>
      </w:r>
      <w:r>
        <w:t>sele la denegatoria de su excarcelación, en presencia del Secret</w:t>
      </w:r>
      <w:r>
        <w:t>a</w:t>
      </w:r>
      <w:r>
        <w:t>rio del Juzgado, Dr. JAVIER DE GAMAS, de su letrado defe</w:t>
      </w:r>
      <w:r>
        <w:t>n</w:t>
      </w:r>
      <w:r>
        <w:t>sor, Dr. VICTOR STINFALE, y del suscripto. Visiblemente ofuscado T</w:t>
      </w:r>
      <w:r>
        <w:t>e</w:t>
      </w:r>
      <w:r>
        <w:t xml:space="preserve">lleldín dijo, en referencia a la excarcelación, que a su entender </w:t>
      </w:r>
      <w:r>
        <w:rPr>
          <w:b/>
          <w:bCs/>
        </w:rPr>
        <w:t>‘</w:t>
      </w:r>
      <w:r>
        <w:t>estaban cumplidos los términos</w:t>
      </w:r>
      <w:r>
        <w:rPr>
          <w:b/>
          <w:bCs/>
        </w:rPr>
        <w:t>’</w:t>
      </w:r>
      <w:r>
        <w:t xml:space="preserve"> y que si no se le concedía la libertad, declararía que había mentido, que se le había pagado para que d</w:t>
      </w:r>
      <w:r>
        <w:t>e</w:t>
      </w:r>
      <w:r>
        <w:t>clarara contra los policías, que había mentido en el juzgado del Dr. C</w:t>
      </w:r>
      <w:r>
        <w:t>a</w:t>
      </w:r>
      <w:r>
        <w:t>vallo porque estaba pr</w:t>
      </w:r>
      <w:r>
        <w:t>e</w:t>
      </w:r>
      <w:r>
        <w:t>sionado por el suscripto, y de esa manera perjudicaría todos los avances de la investigación. Dijo que se co</w:t>
      </w:r>
      <w:r>
        <w:t>n</w:t>
      </w:r>
      <w:r>
        <w:t xml:space="preserve">sideraba </w:t>
      </w:r>
      <w:r>
        <w:rPr>
          <w:b/>
          <w:bCs/>
        </w:rPr>
        <w:t>‘</w:t>
      </w:r>
      <w:r>
        <w:t>un preso político</w:t>
      </w:r>
      <w:r>
        <w:rPr>
          <w:b/>
          <w:bCs/>
        </w:rPr>
        <w:t>’</w:t>
      </w:r>
      <w:r>
        <w:t>, ante lo cual se le mencionó que a pesar de todo lo que estaba manife</w:t>
      </w:r>
      <w:r>
        <w:t>s</w:t>
      </w:r>
      <w:r>
        <w:t>tando, como se había expresado en la resolución denegat</w:t>
      </w:r>
      <w:r>
        <w:t>o</w:t>
      </w:r>
      <w:r>
        <w:t>ria, las condenas dictadas a su respecto por otros trib</w:t>
      </w:r>
      <w:r>
        <w:t>u</w:t>
      </w:r>
      <w:r>
        <w:t>nales y los delitos por los cuales se encontraba proces</w:t>
      </w:r>
      <w:r>
        <w:t>a</w:t>
      </w:r>
      <w:r>
        <w:t>do en la causa nº 1156, no permitían interpretar que el cómputo que hacía admitiera, por el momento, la excarcel</w:t>
      </w:r>
      <w:r>
        <w:t>a</w:t>
      </w:r>
      <w:r>
        <w:t>ción. Manifestó que estudiaría la situación y a</w:t>
      </w:r>
      <w:r>
        <w:t>c</w:t>
      </w:r>
      <w:r>
        <w:t>tuaría en consecuencia. Con posterioridad a ello y luego de retira</w:t>
      </w:r>
      <w:r>
        <w:t>r</w:t>
      </w:r>
      <w:r>
        <w:t>se TELLELDIN, su defensor manifestó al suscripto, en pr</w:t>
      </w:r>
      <w:r>
        <w:t>e</w:t>
      </w:r>
      <w:r>
        <w:t>sencia del Dr. De Gamas, que solicit</w:t>
      </w:r>
      <w:r>
        <w:t>a</w:t>
      </w:r>
      <w:r>
        <w:t>ba disculpas por las manifestaciones de su cliente y que no participaba de las expresiones de TELLELDIN, las que atribuía al estado ne</w:t>
      </w:r>
      <w:r>
        <w:t>r</w:t>
      </w:r>
      <w:r>
        <w:t>vioso ocasionado por no rec</w:t>
      </w:r>
      <w:r>
        <w:t>u</w:t>
      </w:r>
      <w:r>
        <w:t>perar la libertad. Entendiendo el suscripto que resultan relevantes las manifestaciones expuestas, se asientan en esta constancia labr</w:t>
      </w:r>
      <w:r>
        <w:t>a</w:t>
      </w:r>
      <w:r>
        <w:t>da el 31 de octubre de 1997 y se tiene presente</w:t>
      </w:r>
      <w:r>
        <w:rPr>
          <w:b/>
          <w:bCs/>
        </w:rPr>
        <w:t>”.</w:t>
      </w:r>
    </w:p>
    <w:p w:rsidR="00224567" w:rsidRDefault="00224567">
      <w:pPr>
        <w:pStyle w:val="Sangradetextonormal"/>
        <w:widowControl w:val="0"/>
        <w:ind w:firstLine="0"/>
      </w:pPr>
      <w:r>
        <w:rPr>
          <w:lang w:val="es-ES"/>
        </w:rPr>
        <w:tab/>
      </w:r>
      <w:r>
        <w:t>Varias son los comentarios que pueden realizarse sobre la actuación transcripta. El primero, que se labró un acta donde se volcaron graves imput</w:t>
      </w:r>
      <w:r>
        <w:t>a</w:t>
      </w:r>
      <w:r>
        <w:t>ciones de Telleldín pero no se efectuó ninguna denuncia, ello en abierta violación al art. 177 del Código Procesal Penal, aunque es claro que ninguno de los i</w:t>
      </w:r>
      <w:r>
        <w:t>n</w:t>
      </w:r>
      <w:r>
        <w:t>tervinientes denunció el hecho debido a que conocían la veracidad de las imp</w:t>
      </w:r>
      <w:r>
        <w:t>u</w:t>
      </w:r>
      <w:r>
        <w:t>taci</w:t>
      </w:r>
      <w:r>
        <w:t>o</w:t>
      </w:r>
      <w:r>
        <w:t>nes.</w:t>
      </w:r>
    </w:p>
    <w:p w:rsidR="00224567" w:rsidRDefault="00224567">
      <w:pPr>
        <w:pStyle w:val="Sangradetextonormal"/>
        <w:widowControl w:val="0"/>
        <w:ind w:firstLine="0"/>
      </w:pPr>
      <w:r>
        <w:tab/>
        <w:t>Tampoco puede soslayarse la aviesa i</w:t>
      </w:r>
      <w:r>
        <w:t>n</w:t>
      </w:r>
      <w:r>
        <w:t>tervención en los hechos del defensor de T</w:t>
      </w:r>
      <w:r>
        <w:t>e</w:t>
      </w:r>
      <w:r>
        <w:t>lleldín, el Dr. Víctor Stinfale, dado que, como se demostró, participó en las negociaciones del pago y cuando su asistido denunció las irregularidades, se limitó a solicitar disculpas por las manifestaciones de aquél.</w:t>
      </w:r>
    </w:p>
    <w:p w:rsidR="00224567" w:rsidRDefault="00224567">
      <w:pPr>
        <w:pStyle w:val="Sangradetextonormal"/>
        <w:widowControl w:val="0"/>
        <w:ind w:firstLine="0"/>
      </w:pPr>
      <w:r>
        <w:tab/>
        <w:t>Acerca de todo lo expuesto precedent</w:t>
      </w:r>
      <w:r>
        <w:t>e</w:t>
      </w:r>
      <w:r>
        <w:t>mente Telleldín se pronunció en el debate. Vale reiterar que el nombrado puntualizó que la causa “Brig</w:t>
      </w:r>
      <w:r>
        <w:t>a</w:t>
      </w:r>
      <w:r>
        <w:t>das” se armó el 6 de junio de 1995 y que en noviembre Galeano le ofr</w:t>
      </w:r>
      <w:r>
        <w:t>e</w:t>
      </w:r>
      <w:r>
        <w:t>ció su libertad y un pago. El dinero era importante, pero el hecho de que se lo diera un juez de esa manera, es d</w:t>
      </w:r>
      <w:r>
        <w:t>e</w:t>
      </w:r>
      <w:r>
        <w:t>cir, de forma “trucha”, le garantizaba su soltura; en d</w:t>
      </w:r>
      <w:r>
        <w:t>e</w:t>
      </w:r>
      <w:r>
        <w:t>finitiva, manifestó que la negociación se llevó a cabo e</w:t>
      </w:r>
      <w:r>
        <w:t>n</w:t>
      </w:r>
      <w:r>
        <w:t>tre noviembre y julio; que el juez le ofreció su libe</w:t>
      </w:r>
      <w:r>
        <w:t>r</w:t>
      </w:r>
      <w:r>
        <w:t>tad para octubre, cuando se vencían todas sus condenas, ind</w:t>
      </w:r>
      <w:r>
        <w:t>i</w:t>
      </w:r>
      <w:r>
        <w:t>cándole que debía presentar un pedido de excarcelación p</w:t>
      </w:r>
      <w:r>
        <w:t>a</w:t>
      </w:r>
      <w:r>
        <w:t>ra esa fecha; si bien no pudo precisar cuántas ni con qué frecuencia, aseveró que mantuvo muchísimas reuniones con Galeano.</w:t>
      </w:r>
    </w:p>
    <w:p w:rsidR="00224567" w:rsidRDefault="00224567">
      <w:pPr>
        <w:pStyle w:val="Sangradetextonormal"/>
        <w:widowControl w:val="0"/>
        <w:ind w:firstLine="0"/>
      </w:pPr>
      <w:r>
        <w:tab/>
        <w:t>Manifestó que luego del robo del v</w:t>
      </w:r>
      <w:r>
        <w:t>i</w:t>
      </w:r>
      <w:r>
        <w:t>deo Galeano entró en pánico; que Beraja le pidió pers</w:t>
      </w:r>
      <w:r>
        <w:t>o</w:t>
      </w:r>
      <w:r>
        <w:t>nalmente a Stinfale que lo apoyaran, que el juez necesitaba que firmaran un legajo por la recompensa, ya que estaban pre</w:t>
      </w:r>
      <w:r>
        <w:t>o</w:t>
      </w:r>
      <w:r>
        <w:t>cupados, incluido Dobniewski. Apuntó que no se los perm</w:t>
      </w:r>
      <w:r>
        <w:t>i</w:t>
      </w:r>
      <w:r>
        <w:t>tieron leer, pero firmó varios papeles por indicación de Stinf</w:t>
      </w:r>
      <w:r>
        <w:t>a</w:t>
      </w:r>
      <w:r>
        <w:t>le, sin recordar el mes en que ello aconteció, pero aseguró que fue después del robo, cua</w:t>
      </w:r>
      <w:r>
        <w:t>n</w:t>
      </w:r>
      <w:r>
        <w:t>do el video aparecía en todos los noticiosos.</w:t>
      </w:r>
    </w:p>
    <w:p w:rsidR="00224567" w:rsidRDefault="00224567">
      <w:pPr>
        <w:pStyle w:val="Sangradetextonormal"/>
        <w:widowControl w:val="0"/>
        <w:ind w:firstLine="0"/>
      </w:pPr>
      <w:r>
        <w:tab/>
        <w:t>Reconoció como suya la firma que luce a fs. 13 del incidente relativo al pedido de recompensa formulado por el Dr. Víctor Stinfale. La fecha, remarcó, coincidía por cuanto fue en 1997, posterior al robo. Agr</w:t>
      </w:r>
      <w:r>
        <w:t>e</w:t>
      </w:r>
      <w:r>
        <w:t>gó que también le hicieron firmar un recibo por el d</w:t>
      </w:r>
      <w:r>
        <w:t>i</w:t>
      </w:r>
      <w:r>
        <w:t>nero cobrado, el que suscribió por indicación de su abogado, donde constaba que solicitaba que se mantuviera en máxima reserva para seguridad de su familia y que no supo la c</w:t>
      </w:r>
      <w:r>
        <w:t>i</w:t>
      </w:r>
      <w:r>
        <w:t>fra que figuraba en él, toda vez que no le permitieron leerlo.</w:t>
      </w:r>
    </w:p>
    <w:p w:rsidR="00224567" w:rsidRDefault="00224567">
      <w:pPr>
        <w:pStyle w:val="Sangradetextonormal"/>
        <w:widowControl w:val="0"/>
        <w:ind w:firstLine="0"/>
      </w:pPr>
      <w:r>
        <w:tab/>
        <w:t>Mencionó que en ese momento, el juez Galeano le prometió dejarlo en libertad en octubre, f</w:t>
      </w:r>
      <w:r>
        <w:t>e</w:t>
      </w:r>
      <w:r>
        <w:t>cha en la que envió a Stinfale a reclamarle a Dobniewski po</w:t>
      </w:r>
      <w:r>
        <w:t>r</w:t>
      </w:r>
      <w:r>
        <w:t>que le est</w:t>
      </w:r>
      <w:r>
        <w:t>a</w:t>
      </w:r>
      <w:r>
        <w:t>ban complicando adrede su situación procesal en otras causas, respondiendo éste que se qu</w:t>
      </w:r>
      <w:r>
        <w:t>e</w:t>
      </w:r>
      <w:r>
        <w:t>dara tranquilo.</w:t>
      </w:r>
    </w:p>
    <w:p w:rsidR="00224567" w:rsidRDefault="00224567">
      <w:pPr>
        <w:pStyle w:val="Sangradetextonormal"/>
        <w:widowControl w:val="0"/>
        <w:ind w:firstLine="0"/>
      </w:pPr>
      <w:r>
        <w:tab/>
        <w:t>Asimismo, indicó que en octubre de 1997 presentó su excarcelación, se la denegaron y di</w:t>
      </w:r>
      <w:r>
        <w:t>s</w:t>
      </w:r>
      <w:r>
        <w:t>cutió fuertemente con Galeano, quien llamó a su mujer y le habló desde afuera de su despacho, solicitándole que lo cont</w:t>
      </w:r>
      <w:r>
        <w:t>u</w:t>
      </w:r>
      <w:r>
        <w:t>viera, porque ella también e</w:t>
      </w:r>
      <w:r>
        <w:t>s</w:t>
      </w:r>
      <w:r>
        <w:t>taba al borde de estar en la misma situación. Le otorgaron una entrevi</w:t>
      </w:r>
      <w:r>
        <w:t>s</w:t>
      </w:r>
      <w:r>
        <w:t>ta con su pareja y ésta le pidió que se calmase, tras lo cual fue traslad</w:t>
      </w:r>
      <w:r>
        <w:t>a</w:t>
      </w:r>
      <w:r>
        <w:t>do a la prisión en un estado de t</w:t>
      </w:r>
      <w:r>
        <w:t>o</w:t>
      </w:r>
      <w:r>
        <w:t>tal nerviosismo.</w:t>
      </w:r>
    </w:p>
    <w:p w:rsidR="00224567" w:rsidRDefault="00224567">
      <w:pPr>
        <w:pStyle w:val="Sangradetextonormal"/>
        <w:widowControl w:val="0"/>
        <w:ind w:firstLine="0"/>
      </w:pPr>
      <w:r>
        <w:tab/>
        <w:t>En definitiva, detalló que, ad</w:t>
      </w:r>
      <w:r>
        <w:t>e</w:t>
      </w:r>
      <w:r>
        <w:t>más de la promesa del dinero, el juez le ofreció su libertad, amén de reconocer delante de su abogado que sabía de su inocencia pero que las presiones políticas y de la cole</w:t>
      </w:r>
      <w:r>
        <w:t>c</w:t>
      </w:r>
      <w:r>
        <w:t>tividad lo obligaban a mant</w:t>
      </w:r>
      <w:r>
        <w:t>e</w:t>
      </w:r>
      <w:r>
        <w:t>nerlo detenido. Aclaró que el acuerdo con el magistrado no incluía garantías para su m</w:t>
      </w:r>
      <w:r>
        <w:t>u</w:t>
      </w:r>
      <w:r>
        <w:t>jer.</w:t>
      </w:r>
    </w:p>
    <w:p w:rsidR="00224567" w:rsidRDefault="00224567">
      <w:pPr>
        <w:pStyle w:val="Sangradetextonormal"/>
        <w:widowControl w:val="0"/>
        <w:ind w:firstLine="0"/>
      </w:pPr>
      <w:r>
        <w:tab/>
        <w:t>Como se aprecia, todos quienes de un modo u otro contribuyeron a confeccionar el inc</w:t>
      </w:r>
      <w:r>
        <w:t>i</w:t>
      </w:r>
      <w:r>
        <w:t>dente por el pedido de la recompensa, con conocimiento de su fals</w:t>
      </w:r>
      <w:r>
        <w:t>e</w:t>
      </w:r>
      <w:r>
        <w:t>dad, habrían incurrido en condu</w:t>
      </w:r>
      <w:r>
        <w:t>c</w:t>
      </w:r>
      <w:r>
        <w:t>tas delictivas que deberán ser invest</w:t>
      </w:r>
      <w:r>
        <w:t>i</w:t>
      </w:r>
      <w:r>
        <w:t>gadas.</w:t>
      </w:r>
    </w:p>
    <w:p w:rsidR="00224567" w:rsidRDefault="00224567">
      <w:pPr>
        <w:pStyle w:val="Sangradetextonormal"/>
        <w:widowControl w:val="0"/>
        <w:ind w:firstLine="0"/>
      </w:pPr>
      <w:r>
        <w:tab/>
        <w:t>A su vez, la actuación a lo largo de todo el proceso del Dr. Stinfale, de manera esp</w:t>
      </w:r>
      <w:r>
        <w:t>e</w:t>
      </w:r>
      <w:r>
        <w:t>cial sobre el punto aquí abordado, oportunamente d</w:t>
      </w:r>
      <w:r>
        <w:t>e</w:t>
      </w:r>
      <w:r>
        <w:t xml:space="preserve">berá ser puesta en conocimiento del Colegio Público de Abogados de </w:t>
      </w:r>
      <w:smartTag w:uri="urn:schemas-microsoft-com:office:smarttags" w:element="PersonName">
        <w:smartTagPr>
          <w:attr w:name="ProductID" w:val="la Ciudad"/>
        </w:smartTagPr>
        <w:r>
          <w:t>la Ciudad</w:t>
        </w:r>
      </w:smartTag>
      <w:r>
        <w:t xml:space="preserve"> de Buenos.</w:t>
      </w:r>
    </w:p>
    <w:p w:rsidR="00224567" w:rsidRDefault="00224567">
      <w:pPr>
        <w:pStyle w:val="Sangradetextonormal"/>
        <w:widowControl w:val="0"/>
        <w:ind w:firstLine="0"/>
      </w:pPr>
    </w:p>
    <w:p w:rsidR="00224567" w:rsidRDefault="00224567">
      <w:pPr>
        <w:pStyle w:val="Ttulo3"/>
        <w:keepNext w:val="0"/>
        <w:widowControl w:val="0"/>
      </w:pPr>
      <w:r>
        <w:t>H) Miriam Salinas. Negociación de su testimonio por el juez.</w:t>
      </w:r>
    </w:p>
    <w:p w:rsidR="00224567" w:rsidRDefault="00224567">
      <w:pPr>
        <w:pStyle w:val="Ttulo4"/>
      </w:pPr>
      <w:r>
        <w:tab/>
      </w:r>
      <w:bookmarkStart w:id="8" w:name="_Toc86642669"/>
      <w:r>
        <w:t>H.1) Introducción</w:t>
      </w:r>
      <w:bookmarkEnd w:id="8"/>
    </w:p>
    <w:p w:rsidR="00224567" w:rsidRDefault="00224567">
      <w:pPr>
        <w:pStyle w:val="Sangradetextonormal"/>
        <w:tabs>
          <w:tab w:val="left" w:pos="2835"/>
        </w:tabs>
        <w:ind w:firstLine="0"/>
      </w:pPr>
      <w:r>
        <w:tab/>
      </w:r>
      <w:r>
        <w:tab/>
        <w:t>Un caso emblemático de las graves vi</w:t>
      </w:r>
      <w:r>
        <w:t>o</w:t>
      </w:r>
      <w:r>
        <w:t>laciones a las formas legales cometidas en este proceso lo constituye el caso de Miriam Sal</w:t>
      </w:r>
      <w:r>
        <w:t>i</w:t>
      </w:r>
      <w:r>
        <w:t>nas.</w:t>
      </w:r>
    </w:p>
    <w:p w:rsidR="00224567" w:rsidRDefault="00224567">
      <w:pPr>
        <w:pStyle w:val="Sangradetextonormal"/>
        <w:tabs>
          <w:tab w:val="left" w:pos="2835"/>
        </w:tabs>
        <w:ind w:firstLine="0"/>
      </w:pPr>
      <w:r>
        <w:tab/>
      </w:r>
      <w:r>
        <w:tab/>
        <w:t>Su situación demuestra, en forma ac</w:t>
      </w:r>
      <w:r>
        <w:t>a</w:t>
      </w:r>
      <w:r>
        <w:t>bada, que el juez Juan José Galeano utilizó, como inescr</w:t>
      </w:r>
      <w:r>
        <w:t>u</w:t>
      </w:r>
      <w:r>
        <w:t>pulosa forma de presión, el manejo de graves imputaci</w:t>
      </w:r>
      <w:r>
        <w:t>o</w:t>
      </w:r>
      <w:r>
        <w:t>nes, incluso la participación por el atentado, para obtener d</w:t>
      </w:r>
      <w:r>
        <w:t>e</w:t>
      </w:r>
      <w:r>
        <w:t>claraciones testimoniales incriminantes hacia otros enca</w:t>
      </w:r>
      <w:r>
        <w:t>u</w:t>
      </w:r>
      <w:r>
        <w:t>sados.</w:t>
      </w:r>
    </w:p>
    <w:p w:rsidR="00224567" w:rsidRDefault="00224567">
      <w:pPr>
        <w:pStyle w:val="Sangradetextonormal"/>
        <w:tabs>
          <w:tab w:val="left" w:pos="2835"/>
        </w:tabs>
        <w:ind w:firstLine="0"/>
      </w:pPr>
      <w:r>
        <w:tab/>
        <w:t>Si bien la manipulación arbitr</w:t>
      </w:r>
      <w:r>
        <w:t>a</w:t>
      </w:r>
      <w:r>
        <w:t>ria de imputaciones fue una constante en el proceder del juez instructor, como se detallará en otro apartado de este pronunciamiento, lo que distingue el caso de Miriam Sal</w:t>
      </w:r>
      <w:r>
        <w:t>i</w:t>
      </w:r>
      <w:r>
        <w:t>nas es que permite vislumbrar en su totalidad, por haber quedado burdamente expuesto, el obrar ilegal del magistr</w:t>
      </w:r>
      <w:r>
        <w:t>a</w:t>
      </w:r>
      <w:r>
        <w:t>do; esto es, desde la inicial imputación hasta la desvi</w:t>
      </w:r>
      <w:r>
        <w:t>n</w:t>
      </w:r>
      <w:r>
        <w:t>culación de quien prestaba su “colaboración” al ju</w:t>
      </w:r>
      <w:r>
        <w:t>z</w:t>
      </w:r>
      <w:r>
        <w:t>gado.</w:t>
      </w:r>
    </w:p>
    <w:p w:rsidR="00224567" w:rsidRDefault="00224567">
      <w:pPr>
        <w:pStyle w:val="Sangradetextonormal"/>
        <w:tabs>
          <w:tab w:val="left" w:pos="2835"/>
        </w:tabs>
        <w:ind w:firstLine="0"/>
      </w:pPr>
      <w:r>
        <w:tab/>
        <w:t>En este caso, la espuria negociación protagon</w:t>
      </w:r>
      <w:r>
        <w:t>i</w:t>
      </w:r>
      <w:r>
        <w:t>zada por el magistrado consistió en asegurar a la declarante su desvinculación del pr</w:t>
      </w:r>
      <w:r>
        <w:t>o</w:t>
      </w:r>
      <w:r>
        <w:t>ceso a cambio de que, en una deposición jurada, incriminara a Carlos T</w:t>
      </w:r>
      <w:r>
        <w:t>e</w:t>
      </w:r>
      <w:r>
        <w:t>lleldín.</w:t>
      </w:r>
    </w:p>
    <w:p w:rsidR="00224567" w:rsidRDefault="00224567">
      <w:pPr>
        <w:pStyle w:val="Sangradetextonormal"/>
        <w:tabs>
          <w:tab w:val="left" w:pos="2835"/>
        </w:tabs>
        <w:ind w:firstLine="0"/>
      </w:pPr>
      <w:r>
        <w:tab/>
        <w:t>En otros casos, la moneda de cambio ofrecida por el juez consistió en omitir, mediante el ocultamiento de pruebas de cargo que co</w:t>
      </w:r>
      <w:r>
        <w:t>m</w:t>
      </w:r>
      <w:r>
        <w:t>prometían a quien negociaba, alguna evidente imputación, tal los casos del abogado Gustavo Semorile</w:t>
      </w:r>
      <w:r>
        <w:rPr>
          <w:i/>
          <w:iCs/>
        </w:rPr>
        <w:t xml:space="preserve"> </w:t>
      </w:r>
      <w:r>
        <w:t>y Pablo Ib</w:t>
      </w:r>
      <w:r>
        <w:t>á</w:t>
      </w:r>
      <w:r>
        <w:t>ñez.</w:t>
      </w:r>
    </w:p>
    <w:p w:rsidR="00224567" w:rsidRDefault="00224567">
      <w:pPr>
        <w:pStyle w:val="Sangradetextonormal"/>
        <w:tabs>
          <w:tab w:val="left" w:pos="2835"/>
        </w:tabs>
        <w:ind w:firstLine="0"/>
      </w:pPr>
      <w:r>
        <w:tab/>
        <w:t>El magistrado instructor otorgaba, a quien aceptara ese oscuro pacto, la reserva de su ident</w:t>
      </w:r>
      <w:r>
        <w:t>i</w:t>
      </w:r>
      <w:r>
        <w:t>dad en la declaración que luego se utiliz</w:t>
      </w:r>
      <w:r>
        <w:t>a</w:t>
      </w:r>
      <w:r>
        <w:t>ría como prueba de cargo. De esta forma se excluía, fácilmente, el eve</w:t>
      </w:r>
      <w:r>
        <w:t>n</w:t>
      </w:r>
      <w:r>
        <w:t>tual contralor de las partes. Esta situación se agravaba por el método empleado para mantener el anonimato de los testigos, ya que re</w:t>
      </w:r>
      <w:r>
        <w:t>s</w:t>
      </w:r>
      <w:r>
        <w:t>pecto del contenido de la declaración solo se dejaba, en el mejor de los casos en forma inco</w:t>
      </w:r>
      <w:r>
        <w:t>m</w:t>
      </w:r>
      <w:r>
        <w:t>pleta y demorada, una escueta certificación actu</w:t>
      </w:r>
      <w:r>
        <w:t>a</w:t>
      </w:r>
      <w:r>
        <w:t>rial.</w:t>
      </w:r>
    </w:p>
    <w:p w:rsidR="00224567" w:rsidRDefault="00224567">
      <w:pPr>
        <w:pStyle w:val="Ttulo4"/>
      </w:pPr>
      <w:r>
        <w:tab/>
      </w:r>
      <w:bookmarkStart w:id="9" w:name="_Toc86642670"/>
      <w:r>
        <w:t>H.2) Reseña de las inexplicables a</w:t>
      </w:r>
      <w:r>
        <w:t>c</w:t>
      </w:r>
      <w:r>
        <w:t>tuaciones labr</w:t>
      </w:r>
      <w:r>
        <w:t>a</w:t>
      </w:r>
      <w:r>
        <w:t>das respecto a Miriam Salinas.</w:t>
      </w:r>
      <w:bookmarkEnd w:id="9"/>
    </w:p>
    <w:p w:rsidR="00224567" w:rsidRDefault="00224567">
      <w:pPr>
        <w:tabs>
          <w:tab w:val="left" w:pos="2835"/>
        </w:tabs>
      </w:pPr>
      <w:r>
        <w:tab/>
        <w:t>Un sucinto detalle cronológico de los actos procesales referidos a Miriam Salinas expondrá un sinnúmero de circunstancias que sólo encuentran explic</w:t>
      </w:r>
      <w:r>
        <w:t>a</w:t>
      </w:r>
      <w:r>
        <w:t>ción en el propósito del Dr. Juan José Galeano de r</w:t>
      </w:r>
      <w:r>
        <w:t>e</w:t>
      </w:r>
      <w:r>
        <w:t>vestir de formas legales al pacto subrepticio que protagon</w:t>
      </w:r>
      <w:r>
        <w:t>i</w:t>
      </w:r>
      <w:r>
        <w:t>zó.</w:t>
      </w:r>
    </w:p>
    <w:p w:rsidR="00224567" w:rsidRDefault="00224567">
      <w:pPr>
        <w:tabs>
          <w:tab w:val="left" w:pos="2835"/>
        </w:tabs>
      </w:pPr>
      <w:r>
        <w:tab/>
        <w:t>Miriam Salinas prestó declaración i</w:t>
      </w:r>
      <w:r>
        <w:t>n</w:t>
      </w:r>
      <w:r>
        <w:t>dagatoria el 5 de octubre de 1995. La imputación co</w:t>
      </w:r>
      <w:r>
        <w:t>n</w:t>
      </w:r>
      <w:r>
        <w:t>sistió en “formar parte de una organización compuesta por dif</w:t>
      </w:r>
      <w:r>
        <w:t>e</w:t>
      </w:r>
      <w:r>
        <w:t>rentes personas con el fin de realizar diferentes hechos delictivos relacionados con la infracción al Decreto Ley 6582/58; y colaborar con Carlos Alberto Telleldín en la obtención de diferentes partes de camionetas Renault Tr</w:t>
      </w:r>
      <w:r>
        <w:t>a</w:t>
      </w:r>
      <w:r>
        <w:t>fic y consecuente preparación de un rodado de las caract</w:t>
      </w:r>
      <w:r>
        <w:t>e</w:t>
      </w:r>
      <w:r>
        <w:t>rísticas mencionadas que resultó utilizado en el atent</w:t>
      </w:r>
      <w:r>
        <w:t>a</w:t>
      </w:r>
      <w:r>
        <w:t xml:space="preserve">do en </w:t>
      </w:r>
      <w:smartTag w:uri="urn:schemas-microsoft-com:office:smarttags" w:element="PersonName">
        <w:smartTagPr>
          <w:attr w:name="ProductID" w:val="la Ciudad"/>
        </w:smartTagPr>
        <w:r>
          <w:t>la Ciudad</w:t>
        </w:r>
      </w:smartTag>
      <w:r>
        <w:t xml:space="preserve"> de Buenos Aires, el día 18 de julio de 1994, en horas de la mañana en </w:t>
      </w:r>
      <w:smartTag w:uri="urn:schemas-microsoft-com:office:smarttags" w:element="PersonName">
        <w:smartTagPr>
          <w:attr w:name="ProductID" w:val="la Asociaci￳n Mutual"/>
        </w:smartTagPr>
        <w:r>
          <w:t>la Asociación Mutual</w:t>
        </w:r>
      </w:smartTag>
      <w:r>
        <w:t xml:space="preserve"> Israelita Argentina, sita en la calle Pasteur 633 de </w:t>
      </w:r>
      <w:smartTag w:uri="urn:schemas-microsoft-com:office:smarttags" w:element="PersonName">
        <w:smartTagPr>
          <w:attr w:name="ProductID" w:val="la Capital Federal"/>
        </w:smartTagPr>
        <w:r>
          <w:t>la Capital F</w:t>
        </w:r>
        <w:r>
          <w:t>e</w:t>
        </w:r>
        <w:r>
          <w:t>deral</w:t>
        </w:r>
      </w:smartTag>
      <w:r>
        <w:t>, la que provocó mediante la utilización de eleme</w:t>
      </w:r>
      <w:r>
        <w:t>n</w:t>
      </w:r>
      <w:r>
        <w:t>tos explosivos numerosas muertes, lesiones, daños a la propi</w:t>
      </w:r>
      <w:r>
        <w:t>e</w:t>
      </w:r>
      <w:r>
        <w:t>dad tanto en el lugar señalado como en sus alrededores; tener en su poder sustancias estupefacientes con f</w:t>
      </w:r>
      <w:r>
        <w:t>i</w:t>
      </w:r>
      <w:r>
        <w:t>nes de comercialización y la tenencia de un D.N.I. ajeno.” (fs. 16.861/16.862).</w:t>
      </w:r>
    </w:p>
    <w:p w:rsidR="00224567" w:rsidRDefault="00224567">
      <w:pPr>
        <w:tabs>
          <w:tab w:val="left" w:pos="2835"/>
        </w:tabs>
      </w:pPr>
      <w:r>
        <w:tab/>
        <w:t>El acta labrada por el Dr. Carlos A. Velasco en esa oportunidad, en la que fue defe</w:t>
      </w:r>
      <w:r>
        <w:t>n</w:t>
      </w:r>
      <w:r>
        <w:t>dida por el doctor Gustavo Sem</w:t>
      </w:r>
      <w:r>
        <w:t>o</w:t>
      </w:r>
      <w:r>
        <w:t>rile, cuyo irregular paso por la causa fuera detallado en otro apartado de este pronu</w:t>
      </w:r>
      <w:r>
        <w:t>n</w:t>
      </w:r>
      <w:r>
        <w:t>ciamiento, da cuenta que la imputada comenzó a dar una breve versión de descargo que fue abruptamente suspe</w:t>
      </w:r>
      <w:r>
        <w:t>n</w:t>
      </w:r>
      <w:r>
        <w:t>dida, a su pedido, hasta el día s</w:t>
      </w:r>
      <w:r>
        <w:t>i</w:t>
      </w:r>
      <w:r>
        <w:t>guiente.</w:t>
      </w:r>
    </w:p>
    <w:p w:rsidR="00224567" w:rsidRDefault="00224567">
      <w:pPr>
        <w:pStyle w:val="Sangradetextonormal"/>
        <w:tabs>
          <w:tab w:val="left" w:pos="2835"/>
        </w:tabs>
        <w:ind w:firstLine="0"/>
      </w:pPr>
      <w:r>
        <w:tab/>
        <w:t>Al reanudarse aquella audiencia el viernes 6 de octubre de 1995, siempre según las consta</w:t>
      </w:r>
      <w:r>
        <w:t>n</w:t>
      </w:r>
      <w:r>
        <w:t>cias de la causa, la imputada, sorpresivame</w:t>
      </w:r>
      <w:r>
        <w:t>n</w:t>
      </w:r>
      <w:r>
        <w:t>te, se negó a declarar (cfr. acta de fs. 17.407/17.408 que también fue suscripta por el Dr. Carlos A. Velasco).</w:t>
      </w:r>
    </w:p>
    <w:p w:rsidR="00224567" w:rsidRDefault="00224567">
      <w:pPr>
        <w:tabs>
          <w:tab w:val="left" w:pos="2835"/>
        </w:tabs>
      </w:pPr>
      <w:r>
        <w:tab/>
        <w:t>En esa misma jornada, el juez dispuso la falta de m</w:t>
      </w:r>
      <w:r>
        <w:t>é</w:t>
      </w:r>
      <w:r>
        <w:t>rito para procesar o sobreseer a Salinas y, consecuentemente, ordenó su libertad (fs. 17.464). Esta resolución se caracteriza por una liviandad y ause</w:t>
      </w:r>
      <w:r>
        <w:t>n</w:t>
      </w:r>
      <w:r>
        <w:t>cia de fundamentación, en verdad, alarmantes. En efecto, no se individualiza una sola prueba que el juez valore para ap</w:t>
      </w:r>
      <w:r>
        <w:t>o</w:t>
      </w:r>
      <w:r>
        <w:t>yar su decisión. Solo contiene una fórmula tautol</w:t>
      </w:r>
      <w:r>
        <w:t>ó</w:t>
      </w:r>
      <w:r>
        <w:t>gica ya que, en realidad, solo describe conceptualmente el tipo de resolución dict</w:t>
      </w:r>
      <w:r>
        <w:t>a</w:t>
      </w:r>
      <w:r>
        <w:t>da.</w:t>
      </w:r>
    </w:p>
    <w:p w:rsidR="00224567" w:rsidRDefault="00224567">
      <w:pPr>
        <w:pStyle w:val="Sangradetextonormal"/>
        <w:tabs>
          <w:tab w:val="left" w:pos="2835"/>
        </w:tabs>
        <w:ind w:firstLine="0"/>
      </w:pPr>
      <w:r>
        <w:tab/>
        <w:t>Si el actuar reseñado denotaría en cualquier proceso una grav</w:t>
      </w:r>
      <w:r>
        <w:t>e</w:t>
      </w:r>
      <w:r>
        <w:t>dad intolerable en un Estado de Derecho, su utilización en estas actuaciones, y específ</w:t>
      </w:r>
      <w:r>
        <w:t>i</w:t>
      </w:r>
      <w:r>
        <w:t>camente el superficial manejo de la imputación por el atentado, importa un arbitrario ejercicio de p</w:t>
      </w:r>
      <w:r>
        <w:t>o</w:t>
      </w:r>
      <w:r>
        <w:t>der, di-sociado de la búsqueda de la verdad en este grave epis</w:t>
      </w:r>
      <w:r>
        <w:t>o</w:t>
      </w:r>
      <w:r>
        <w:t>dio.</w:t>
      </w:r>
    </w:p>
    <w:p w:rsidR="00224567" w:rsidRDefault="00224567">
      <w:pPr>
        <w:pStyle w:val="Sangradetextonormal"/>
        <w:tabs>
          <w:tab w:val="left" w:pos="2835"/>
        </w:tabs>
        <w:ind w:firstLine="0"/>
      </w:pPr>
      <w:r>
        <w:tab/>
        <w:t>Llamativamente, según la consta</w:t>
      </w:r>
      <w:r>
        <w:t>n</w:t>
      </w:r>
      <w:r>
        <w:t>cia de fs. 17.464 vuelta suscripta por el Dr. Carlos A. V</w:t>
      </w:r>
      <w:r>
        <w:t>e</w:t>
      </w:r>
      <w:r>
        <w:t>lasco, Miriam Salinas fue notificada de esa res</w:t>
      </w:r>
      <w:r>
        <w:t>o</w:t>
      </w:r>
      <w:r>
        <w:t>lución recién el sábado 7 de octubre de 1995. En otras palabras, es anot</w:t>
      </w:r>
      <w:r>
        <w:t>i</w:t>
      </w:r>
      <w:r>
        <w:t>ciada del auto de falta de mérito que o</w:t>
      </w:r>
      <w:r>
        <w:t>r</w:t>
      </w:r>
      <w:r>
        <w:t>denaba su libertad al día siguiente de recuperarla, lo que importaría poco menos que una situación absurda. En realidad, esta es otra muestra de que las formas dadas por el juez instructor a los actos procesales reseñados no se correspondían con la realidad y constituían solo un ropaje para ocultar su il</w:t>
      </w:r>
      <w:r>
        <w:t>e</w:t>
      </w:r>
      <w:r>
        <w:t>gal forma de actuar.</w:t>
      </w:r>
    </w:p>
    <w:p w:rsidR="00224567" w:rsidRDefault="00224567">
      <w:pPr>
        <w:tabs>
          <w:tab w:val="left" w:pos="2835"/>
        </w:tabs>
      </w:pPr>
      <w:r>
        <w:tab/>
        <w:t>El 10 de ese mes, a solo 5 días de que se le recibiera por primera vez declaración indagatoria, Miriam Salinas fue sobreseída. El juez instructor en los fundamentos de tan pronta resolución destacó: “que no existe elemento probatorio alguno que lleve, siquiera a presumir al suscripto que la imputada Salinas haya tenido participación o vinculación con el criminal atentado que motivara la intervención de este Tribunal, y que constit</w:t>
      </w:r>
      <w:r>
        <w:t>u</w:t>
      </w:r>
      <w:r>
        <w:t>ye el primigenio objeto de indagación en este l</w:t>
      </w:r>
      <w:r>
        <w:t>e</w:t>
      </w:r>
      <w:r>
        <w:t>gajo” (fs. 17.269/17.271).</w:t>
      </w:r>
    </w:p>
    <w:p w:rsidR="00224567" w:rsidRDefault="00224567">
      <w:pPr>
        <w:tabs>
          <w:tab w:val="left" w:pos="2835"/>
        </w:tabs>
      </w:pPr>
      <w:r>
        <w:tab/>
        <w:t>Nuevamente debe destacarse que el juez ni siquiera enumera, menos aún valora, los elementos pr</w:t>
      </w:r>
      <w:r>
        <w:t>o</w:t>
      </w:r>
      <w:r>
        <w:t>batorios, ahora inexistentes, que motivaron en su íntima convicción la sospecha de la participación de Miriam Sal</w:t>
      </w:r>
      <w:r>
        <w:t>i</w:t>
      </w:r>
      <w:r>
        <w:t>nas en el atentado que justificaran la recepción de la d</w:t>
      </w:r>
      <w:r>
        <w:t>e</w:t>
      </w:r>
      <w:r>
        <w:t>claración ind</w:t>
      </w:r>
      <w:r>
        <w:t>a</w:t>
      </w:r>
      <w:r>
        <w:t xml:space="preserve">gatoria citada. </w:t>
      </w:r>
    </w:p>
    <w:p w:rsidR="00224567" w:rsidRDefault="00224567">
      <w:pPr>
        <w:tabs>
          <w:tab w:val="left" w:pos="2835"/>
        </w:tabs>
      </w:pPr>
      <w:r>
        <w:tab/>
        <w:t>Al día siguiente de que Miriam Sal</w:t>
      </w:r>
      <w:r>
        <w:t>i</w:t>
      </w:r>
      <w:r>
        <w:t>nas fuera sobreseída, cuando esta resolución aún podía ser r</w:t>
      </w:r>
      <w:r>
        <w:t>e</w:t>
      </w:r>
      <w:r>
        <w:t>currida y, por ende, revocada, el Dr. Galeano le recibió declaración testimonial a la aún imputada Miriam Salinas bajo reserva de su identidad, la que continuó al día s</w:t>
      </w:r>
      <w:r>
        <w:t>i</w:t>
      </w:r>
      <w:r>
        <w:t>guiente (cfr. actas de fs. 111.467/111.481 y 111.483/ 111.487 firmadas por el Dr. Carlos A. Velasco).</w:t>
      </w:r>
    </w:p>
    <w:p w:rsidR="00224567" w:rsidRDefault="00224567">
      <w:pPr>
        <w:tabs>
          <w:tab w:val="left" w:pos="2835"/>
        </w:tabs>
      </w:pPr>
      <w:r>
        <w:tab/>
        <w:t xml:space="preserve">También aquel día 11, el magistrado instructor ordenó a </w:t>
      </w:r>
      <w:smartTag w:uri="urn:schemas-microsoft-com:office:smarttags" w:element="PersonName">
        <w:smartTagPr>
          <w:attr w:name="ProductID" w:val="la Secretar￭a"/>
        </w:smartTagPr>
        <w:r>
          <w:t>la Secretaría</w:t>
        </w:r>
      </w:smartTag>
      <w:r>
        <w:t xml:space="preserve"> de Inteligencia de Est</w:t>
      </w:r>
      <w:r>
        <w:t>a</w:t>
      </w:r>
      <w:r>
        <w:t>do que dispusiera de los medios necesarios para efectuar grabaciones de audio y video en el domicilio de Miriam S</w:t>
      </w:r>
      <w:r>
        <w:t>a</w:t>
      </w:r>
      <w:r>
        <w:t>linas, de aquellas conve</w:t>
      </w:r>
      <w:r>
        <w:t>r</w:t>
      </w:r>
      <w:r>
        <w:t>saciones que ésta mantuviera con la persona fuente de sus d</w:t>
      </w:r>
      <w:r>
        <w:t>i</w:t>
      </w:r>
      <w:r>
        <w:t>chos.</w:t>
      </w:r>
    </w:p>
    <w:p w:rsidR="00224567" w:rsidRDefault="00224567">
      <w:pPr>
        <w:pStyle w:val="Ttulo4"/>
      </w:pPr>
      <w:r>
        <w:tab/>
      </w:r>
      <w:bookmarkStart w:id="10" w:name="_Toc86642671"/>
      <w:r>
        <w:t>H.3) Detalle de las irregularidades cometidas. La ocultación de un veloz sobreseimiento. La declaración testimonial a una imput</w:t>
      </w:r>
      <w:r>
        <w:t>a</w:t>
      </w:r>
      <w:r>
        <w:t>da.</w:t>
      </w:r>
      <w:bookmarkEnd w:id="10"/>
    </w:p>
    <w:p w:rsidR="00224567" w:rsidRDefault="00224567">
      <w:pPr>
        <w:pStyle w:val="Sangradetextonormal"/>
        <w:tabs>
          <w:tab w:val="left" w:pos="2835"/>
        </w:tabs>
        <w:ind w:firstLine="0"/>
      </w:pPr>
      <w:r>
        <w:tab/>
        <w:t>Como se adelantó, la precedente res</w:t>
      </w:r>
      <w:r>
        <w:t>e</w:t>
      </w:r>
      <w:r>
        <w:t>ña cronológica de los actos procesales llevados a cabo re</w:t>
      </w:r>
      <w:r>
        <w:t>s</w:t>
      </w:r>
      <w:r>
        <w:t>pecto de Miriam Salinas demuestra una serie de irregular</w:t>
      </w:r>
      <w:r>
        <w:t>i</w:t>
      </w:r>
      <w:r>
        <w:t>dades que evidencian que las actuaciones citadas no refl</w:t>
      </w:r>
      <w:r>
        <w:t>e</w:t>
      </w:r>
      <w:r>
        <w:t>jan la verdad de lo ocurrido.</w:t>
      </w:r>
    </w:p>
    <w:p w:rsidR="00224567" w:rsidRDefault="00224567">
      <w:pPr>
        <w:pStyle w:val="Sangradetextonormal"/>
        <w:tabs>
          <w:tab w:val="left" w:pos="2835"/>
        </w:tabs>
        <w:ind w:firstLine="0"/>
      </w:pPr>
      <w:r>
        <w:tab/>
        <w:t>En primer lugar, debe destacarse que su situación procesal, a diferencia de lo ocurrido con imputados respecto de los cuales solo se ha dictado su falta de mérito hace ya más de diez años, fue resuelta por el magistrado instructor con una celeridad que denota un rústico intento por ocultar una negociación esp</w:t>
      </w:r>
      <w:r>
        <w:t>u</w:t>
      </w:r>
      <w:r>
        <w:t>ria.</w:t>
      </w:r>
    </w:p>
    <w:p w:rsidR="00224567" w:rsidRDefault="00224567">
      <w:pPr>
        <w:pStyle w:val="Sangradetextonormal"/>
        <w:tabs>
          <w:tab w:val="left" w:pos="2835"/>
        </w:tabs>
        <w:ind w:firstLine="0"/>
      </w:pPr>
      <w:r>
        <w:tab/>
        <w:t>Efectivamente, en el exiguo plazo de una semana Salinas prestó declaración indagatoria en dos oportunidades, se dictó a su respecto la fa</w:t>
      </w:r>
      <w:r>
        <w:t>l</w:t>
      </w:r>
      <w:r>
        <w:t>ta de mérito y el sobreseimiento, y expuso testimonialmente bajo ident</w:t>
      </w:r>
      <w:r>
        <w:t>i</w:t>
      </w:r>
      <w:r>
        <w:t>dad reservada también en dos ocasiones (cfr. fs. 16.861/ 16.862, 17.407/17.408, 17.464, 17.269/17.271, 111.467/ 111.481 y 111.483/111.487, respectivame</w:t>
      </w:r>
      <w:r>
        <w:t>n</w:t>
      </w:r>
      <w:r>
        <w:t>te).</w:t>
      </w:r>
    </w:p>
    <w:p w:rsidR="00224567" w:rsidRDefault="00224567">
      <w:pPr>
        <w:tabs>
          <w:tab w:val="left" w:pos="2835"/>
        </w:tabs>
      </w:pPr>
      <w:r>
        <w:tab/>
        <w:t>Ese sorprendente apresuramiento llevó al magistrado instructor a dejar en evidencia, con una torpeza llamativa, la confusión de las categorías proces</w:t>
      </w:r>
      <w:r>
        <w:t>a</w:t>
      </w:r>
      <w:r>
        <w:t>les respecto de Miriam Salinas. En efecto, antes de tran</w:t>
      </w:r>
      <w:r>
        <w:t>s</w:t>
      </w:r>
      <w:r>
        <w:t>currido el plazo para que el sobreseimiento qued</w:t>
      </w:r>
      <w:r>
        <w:t>a</w:t>
      </w:r>
      <w:r>
        <w:t>ra firme el Dr. Galeano dispuso recibirle declaración testimonial bajo identidad reservada.  Al obligar a manife</w:t>
      </w:r>
      <w:r>
        <w:t>s</w:t>
      </w:r>
      <w:r>
        <w:t>tarse bajo juramento a una persona sobre la que aún pesaba una imp</w:t>
      </w:r>
      <w:r>
        <w:t>u</w:t>
      </w:r>
      <w:r>
        <w:t>tación respecto al mismo sustrato fáctico, el juez violó en forma burda la garantía constitucional que prohíbe la autoi</w:t>
      </w:r>
      <w:r>
        <w:t>n</w:t>
      </w:r>
      <w:r>
        <w:t>criminación forzada (Fallos 1:350).</w:t>
      </w:r>
    </w:p>
    <w:p w:rsidR="00224567" w:rsidRDefault="00224567">
      <w:pPr>
        <w:tabs>
          <w:tab w:val="left" w:pos="2835"/>
        </w:tabs>
      </w:pPr>
      <w:r>
        <w:tab/>
        <w:t>La ocultación de la vertiginosa mani</w:t>
      </w:r>
      <w:r>
        <w:t>o</w:t>
      </w:r>
      <w:r>
        <w:t>bra de desvinculación de Miriam Salinas de la causa se a</w:t>
      </w:r>
      <w:r>
        <w:t>d</w:t>
      </w:r>
      <w:r>
        <w:t>vierte cuando el juez, en forma pueril, intercala el s</w:t>
      </w:r>
      <w:r>
        <w:t>o</w:t>
      </w:r>
      <w:r>
        <w:t>brese</w:t>
      </w:r>
      <w:r>
        <w:t>i</w:t>
      </w:r>
      <w:r>
        <w:t>miento dictado el 10 de octubre de 1995 (fs. 17.269/ 17.272) entre decenas de fot</w:t>
      </w:r>
      <w:r>
        <w:t>o</w:t>
      </w:r>
      <w:r>
        <w:t>copias de billetes de dólares estadounidenses (fs. 17.185/17.268 y 17.273/17.323) rece</w:t>
      </w:r>
      <w:r>
        <w:t>p</w:t>
      </w:r>
      <w:r>
        <w:t>cionadas en el juzgado instructor el 6 de o</w:t>
      </w:r>
      <w:r>
        <w:t>c</w:t>
      </w:r>
      <w:r>
        <w:t>tubre de 1995.</w:t>
      </w:r>
    </w:p>
    <w:p w:rsidR="00224567" w:rsidRDefault="00224567">
      <w:pPr>
        <w:tabs>
          <w:tab w:val="left" w:pos="2835"/>
        </w:tabs>
      </w:pPr>
      <w:r>
        <w:tab/>
        <w:t>En otras palabras, el cuestion</w:t>
      </w:r>
      <w:r>
        <w:t>a</w:t>
      </w:r>
      <w:r>
        <w:t>do, por abrupto e infundado, sobreseimiento fue directamente e</w:t>
      </w:r>
      <w:r>
        <w:t>s</w:t>
      </w:r>
      <w:r>
        <w:t>condido en una ubicación que permitía que, a si</w:t>
      </w:r>
      <w:r>
        <w:t>m</w:t>
      </w:r>
      <w:r>
        <w:t>ple vista, pasara desapercibido. Las numerosas fotoc</w:t>
      </w:r>
      <w:r>
        <w:t>o</w:t>
      </w:r>
      <w:r>
        <w:t>pias de billetes ubicados antes y después de la resol</w:t>
      </w:r>
      <w:r>
        <w:t>u</w:t>
      </w:r>
      <w:r>
        <w:t>ción contribuyeron a ese pr</w:t>
      </w:r>
      <w:r>
        <w:t>o</w:t>
      </w:r>
      <w:r>
        <w:t xml:space="preserve">pósito. </w:t>
      </w:r>
    </w:p>
    <w:p w:rsidR="00224567" w:rsidRDefault="00224567">
      <w:pPr>
        <w:tabs>
          <w:tab w:val="left" w:pos="2835"/>
        </w:tabs>
      </w:pPr>
      <w:r>
        <w:tab/>
        <w:t>Se descarta que esta situación pudi</w:t>
      </w:r>
      <w:r>
        <w:t>e</w:t>
      </w:r>
      <w:r>
        <w:t>ra obedecer a un error material, toda vez que, por la fecha de su dictado, resultaba imposible que hubiera sido glos</w:t>
      </w:r>
      <w:r>
        <w:t>a</w:t>
      </w:r>
      <w:r>
        <w:t>do siquiera en ese cuerpo de actuaciones. En efecto, las piezas agregadas a continuación de este s</w:t>
      </w:r>
      <w:r>
        <w:t>o</w:t>
      </w:r>
      <w:r>
        <w:t>breseimiento son temporalmente a</w:t>
      </w:r>
      <w:r>
        <w:t>n</w:t>
      </w:r>
      <w:r>
        <w:t>teriores a éste.</w:t>
      </w:r>
    </w:p>
    <w:p w:rsidR="00224567" w:rsidRDefault="00224567">
      <w:pPr>
        <w:tabs>
          <w:tab w:val="left" w:pos="2835"/>
        </w:tabs>
      </w:pPr>
      <w:r>
        <w:tab/>
        <w:t>Pero, además, la absoluta incompatib</w:t>
      </w:r>
      <w:r>
        <w:t>i</w:t>
      </w:r>
      <w:r>
        <w:t>lidad entre la fecha consignada en ese sobr</w:t>
      </w:r>
      <w:r>
        <w:t>e</w:t>
      </w:r>
      <w:r>
        <w:t>seimiento y el lugar donde fue incorporado en el expediente, surge ta</w:t>
      </w:r>
      <w:r>
        <w:t>m</w:t>
      </w:r>
      <w:r>
        <w:t>bién del decreto de fs. 17.401 vta. que ordena la form</w:t>
      </w:r>
      <w:r>
        <w:t>a</w:t>
      </w:r>
      <w:r>
        <w:t xml:space="preserve">ción de los cuerpos </w:t>
      </w:r>
      <w:smartTag w:uri="urn:schemas-microsoft-com:office:smarttags" w:element="metricconverter">
        <w:smartTagPr>
          <w:attr w:name="ProductID" w:val="84 a"/>
        </w:smartTagPr>
        <w:r>
          <w:t>84 a</w:t>
        </w:r>
      </w:smartTag>
      <w:r>
        <w:t xml:space="preserve"> 87 con un detalle de la foja en la que se iniciará cada uno.</w:t>
      </w:r>
    </w:p>
    <w:p w:rsidR="00224567" w:rsidRDefault="00224567">
      <w:pPr>
        <w:tabs>
          <w:tab w:val="left" w:pos="2835"/>
        </w:tabs>
      </w:pPr>
      <w:r>
        <w:tab/>
        <w:t>En esa resolución, del 6 de oct</w:t>
      </w:r>
      <w:r>
        <w:t>u</w:t>
      </w:r>
      <w:r>
        <w:t xml:space="preserve">bre de 1995, se indica que el cuerpo 86, en el que está glosado el sobreseimiento, se forma a partir de la foja  17.185 y el </w:t>
      </w:r>
      <w:smartTag w:uri="urn:schemas-microsoft-com:office:smarttags" w:element="metricconverter">
        <w:smartTagPr>
          <w:attr w:name="ProductID" w:val="87, a"/>
        </w:smartTagPr>
        <w:r>
          <w:t>87, a</w:t>
        </w:r>
      </w:smartTag>
      <w:r>
        <w:t xml:space="preserve"> partir de la 17.401. Por su parte, en el decreto de foja 17.630, de fecha 9 de octubre de 1995, se ordena fo</w:t>
      </w:r>
      <w:r>
        <w:t>r</w:t>
      </w:r>
      <w:r>
        <w:t xml:space="preserve">mar el cuerpo </w:t>
      </w:r>
      <w:smartTag w:uri="urn:schemas-microsoft-com:office:smarttags" w:element="metricconverter">
        <w:smartTagPr>
          <w:attr w:name="ProductID" w:val="88 a"/>
        </w:smartTagPr>
        <w:r>
          <w:t>88 a</w:t>
        </w:r>
      </w:smartTag>
      <w:r>
        <w:t xml:space="preserve"> partir de la foja 17.607.</w:t>
      </w:r>
    </w:p>
    <w:p w:rsidR="00224567" w:rsidRDefault="00224567">
      <w:pPr>
        <w:tabs>
          <w:tab w:val="left" w:pos="2835"/>
        </w:tabs>
      </w:pPr>
      <w:r>
        <w:tab/>
        <w:t>Del contenido y, particularmente, de la fecha de estas dos resoluciones, se deduce la mani</w:t>
      </w:r>
      <w:r>
        <w:t>o</w:t>
      </w:r>
      <w:r>
        <w:t>bra de ocultación del cuestionado sobreseimiento. En efecto, según estas constancias, para el 6 de octubre de 1995 ya estaba foliado el cuerpo 86 que es el que contiene el s</w:t>
      </w:r>
      <w:r>
        <w:t>o</w:t>
      </w:r>
      <w:r>
        <w:t>breseimiento di</w:t>
      </w:r>
      <w:r>
        <w:t>c</w:t>
      </w:r>
      <w:r>
        <w:t>tado 4 días después.</w:t>
      </w:r>
    </w:p>
    <w:p w:rsidR="00224567" w:rsidRDefault="00224567">
      <w:pPr>
        <w:tabs>
          <w:tab w:val="left" w:pos="2835"/>
        </w:tabs>
      </w:pPr>
      <w:r>
        <w:tab/>
        <w:t>Y para el 9 de octubre de 1995, es d</w:t>
      </w:r>
      <w:r>
        <w:t>e</w:t>
      </w:r>
      <w:r>
        <w:t>cir, siempre con anterioridad al sobreseimie</w:t>
      </w:r>
      <w:r>
        <w:t>n</w:t>
      </w:r>
      <w:r>
        <w:t>to, ya estaba foliado el cuerpo 87, el siguiente al que contiene esa r</w:t>
      </w:r>
      <w:r>
        <w:t>e</w:t>
      </w:r>
      <w:r>
        <w:t>sol</w:t>
      </w:r>
      <w:r>
        <w:t>u</w:t>
      </w:r>
      <w:r>
        <w:t>ción.</w:t>
      </w:r>
    </w:p>
    <w:p w:rsidR="00224567" w:rsidRDefault="00224567">
      <w:pPr>
        <w:tabs>
          <w:tab w:val="left" w:pos="2835"/>
        </w:tabs>
      </w:pPr>
      <w:r>
        <w:tab/>
        <w:t>Lo expuesto es suficiente para desca</w:t>
      </w:r>
      <w:r>
        <w:t>r</w:t>
      </w:r>
      <w:r>
        <w:t>tar que esta desorganización haya obedecido a un error m</w:t>
      </w:r>
      <w:r>
        <w:t>a</w:t>
      </w:r>
      <w:r>
        <w:t>terial, producto del volumen de las actuaci</w:t>
      </w:r>
      <w:r>
        <w:t>o</w:t>
      </w:r>
      <w:r>
        <w:t>nes. Si lucen numerosas piezas agregadas con posterioridad al sobrese</w:t>
      </w:r>
      <w:r>
        <w:t>i</w:t>
      </w:r>
      <w:r>
        <w:t>miento, de fecha anterior a éste, y si además se corroboró que las fojas del cuerpo 86 –que contienen el sobrese</w:t>
      </w:r>
      <w:r>
        <w:t>i</w:t>
      </w:r>
      <w:r>
        <w:t>miento– ya se habían foliado el 6 de octubre de 1995, la intercalación de ese auto solo encuentra explicación en una maniobra de ocu</w:t>
      </w:r>
      <w:r>
        <w:t>l</w:t>
      </w:r>
      <w:r>
        <w:t>tación.</w:t>
      </w:r>
    </w:p>
    <w:p w:rsidR="00224567" w:rsidRDefault="00224567">
      <w:pPr>
        <w:tabs>
          <w:tab w:val="left" w:pos="2835"/>
        </w:tabs>
      </w:pPr>
      <w:r>
        <w:tab/>
        <w:t>Contribuye a este fin, el adve</w:t>
      </w:r>
      <w:r>
        <w:t>r</w:t>
      </w:r>
      <w:r>
        <w:t>tir que el sobreseimiento fue agregado en el cuerpo anterior al que contiene las declaraciones indagatorias de Miriam S</w:t>
      </w:r>
      <w:r>
        <w:t>a</w:t>
      </w:r>
      <w:r>
        <w:t>linas. Resulta evidente que, de esa forma, su anticipación en varios cuerpos a las indagatorias y aún al auto de fa</w:t>
      </w:r>
      <w:r>
        <w:t>l</w:t>
      </w:r>
      <w:r>
        <w:t>ta de mérito y su intercalación en decenas de fotocopias de billetes, se procuraba ocultar la cuestionada decisión. Evidentemente, si alguna parte –o sus letrados– en una causa de esta magnitud, al revisar las actuaciones en pr</w:t>
      </w:r>
      <w:r>
        <w:t>o</w:t>
      </w:r>
      <w:r>
        <w:t>cura de identificar si se había sobreseído o procesado a Miriam Salinas, buscara esa resolución, sie</w:t>
      </w:r>
      <w:r>
        <w:t>m</w:t>
      </w:r>
      <w:r>
        <w:t>pre lo haría a partir de la declaración indagatoria o de la falta de m</w:t>
      </w:r>
      <w:r>
        <w:t>é</w:t>
      </w:r>
      <w:r>
        <w:t>rito.</w:t>
      </w:r>
    </w:p>
    <w:p w:rsidR="00224567" w:rsidRDefault="00224567">
      <w:pPr>
        <w:tabs>
          <w:tab w:val="left" w:pos="2835"/>
        </w:tabs>
      </w:pPr>
      <w:r>
        <w:tab/>
        <w:t>Por esta irregularidad, el Trib</w:t>
      </w:r>
      <w:r>
        <w:t>u</w:t>
      </w:r>
      <w:r>
        <w:t>nal ya ordenó la extracción de testimonios que se remitieron ju</w:t>
      </w:r>
      <w:r>
        <w:t>n</w:t>
      </w:r>
      <w:r>
        <w:t xml:space="preserve">to con un oficio dirigido a </w:t>
      </w:r>
      <w:smartTag w:uri="urn:schemas-microsoft-com:office:smarttags" w:element="PersonName">
        <w:smartTagPr>
          <w:attr w:name="ProductID" w:val="la C￡mara Nacional"/>
        </w:smartTagPr>
        <w:r>
          <w:t>la Cámara Nacional</w:t>
        </w:r>
      </w:smartTag>
      <w:r>
        <w:t xml:space="preserve"> de Apel</w:t>
      </w:r>
      <w:r>
        <w:t>a</w:t>
      </w:r>
      <w:r>
        <w:t>ciones en lo Criminal y Correcci</w:t>
      </w:r>
      <w:r>
        <w:t>o</w:t>
      </w:r>
      <w:r>
        <w:t>nal Federal, a fin de que desinsaculara el juzgado que debería intervenir en su i</w:t>
      </w:r>
      <w:r>
        <w:t>n</w:t>
      </w:r>
      <w:r>
        <w:t>vestig</w:t>
      </w:r>
      <w:r>
        <w:t>a</w:t>
      </w:r>
      <w:r>
        <w:t xml:space="preserve">ción (cfr. fs. 106.574 y 106.686) </w:t>
      </w:r>
    </w:p>
    <w:p w:rsidR="00224567" w:rsidRDefault="00224567">
      <w:pPr>
        <w:pStyle w:val="Ttulo4"/>
      </w:pPr>
      <w:r>
        <w:tab/>
      </w:r>
      <w:bookmarkStart w:id="11" w:name="_Toc86642672"/>
      <w:r>
        <w:t>H.4) La espuria negociación protagon</w:t>
      </w:r>
      <w:r>
        <w:t>i</w:t>
      </w:r>
      <w:r>
        <w:t>zada por el doctor G</w:t>
      </w:r>
      <w:r>
        <w:t>a</w:t>
      </w:r>
      <w:r>
        <w:t>leano.</w:t>
      </w:r>
      <w:bookmarkEnd w:id="11"/>
    </w:p>
    <w:p w:rsidR="00224567" w:rsidRDefault="00224567">
      <w:pPr>
        <w:pStyle w:val="Ttulo5"/>
      </w:pPr>
      <w:r>
        <w:tab/>
      </w:r>
      <w:bookmarkStart w:id="12" w:name="_Toc86642673"/>
      <w:r>
        <w:t xml:space="preserve">H.4.a) </w:t>
      </w:r>
      <w:r>
        <w:rPr>
          <w:b w:val="0"/>
          <w:bCs w:val="0"/>
        </w:rPr>
        <w:t>El testimonio de Claudio Lifschitz. Las irregularidades desde dentro.</w:t>
      </w:r>
      <w:bookmarkEnd w:id="12"/>
    </w:p>
    <w:p w:rsidR="00224567" w:rsidRDefault="00224567">
      <w:pPr>
        <w:pStyle w:val="Sangradetextonormal"/>
        <w:tabs>
          <w:tab w:val="left" w:pos="2835"/>
        </w:tabs>
        <w:ind w:firstLine="0"/>
      </w:pPr>
      <w:r>
        <w:tab/>
        <w:t>La negociación con el magistrado in</w:t>
      </w:r>
      <w:r>
        <w:t>s</w:t>
      </w:r>
      <w:r>
        <w:t>tructor surge no solo del trámite irregular que el juez imprimió a las actuaciones, conforme se expusiera, sino también de los dichos prestados durante el debate por Claudio Adrián Lif</w:t>
      </w:r>
      <w:r>
        <w:t>s</w:t>
      </w:r>
      <w:r>
        <w:t>chitz.</w:t>
      </w:r>
    </w:p>
    <w:p w:rsidR="00224567" w:rsidRDefault="00224567">
      <w:pPr>
        <w:pStyle w:val="Sangradetextonormal"/>
        <w:tabs>
          <w:tab w:val="left" w:pos="2835"/>
        </w:tabs>
        <w:ind w:firstLine="0"/>
      </w:pPr>
      <w:r>
        <w:tab/>
        <w:t>El ex prosecretario del juzgado in</w:t>
      </w:r>
      <w:r>
        <w:t>s</w:t>
      </w:r>
      <w:r>
        <w:t>tructor destacó que el juez negoció con Miriam Salinas d</w:t>
      </w:r>
      <w:r>
        <w:t>e</w:t>
      </w:r>
      <w:r>
        <w:t>clarar su sobreseimiento de forma rápida a cambio de que ella declarara contra Carlos T</w:t>
      </w:r>
      <w:r>
        <w:t>e</w:t>
      </w:r>
      <w:r>
        <w:t>lleldín y Alejandro Monjo.</w:t>
      </w:r>
    </w:p>
    <w:p w:rsidR="00224567" w:rsidRDefault="00224567">
      <w:pPr>
        <w:pStyle w:val="Sangradetextonormal"/>
        <w:tabs>
          <w:tab w:val="left" w:pos="2835"/>
        </w:tabs>
        <w:ind w:firstLine="0"/>
      </w:pPr>
      <w:r>
        <w:tab/>
        <w:t>En tal sentido, precisó que al magi</w:t>
      </w:r>
      <w:r>
        <w:t>s</w:t>
      </w:r>
      <w:r>
        <w:t>trado le interesaba que Sal</w:t>
      </w:r>
      <w:r>
        <w:t>i</w:t>
      </w:r>
      <w:r>
        <w:t>nas declarara como testigo ya que tenía más valor que los dichos de una imputada. Reco</w:t>
      </w:r>
      <w:r>
        <w:t>r</w:t>
      </w:r>
      <w:r>
        <w:t>dó que ella estaba temerosa y que la presencia de su ab</w:t>
      </w:r>
      <w:r>
        <w:t>o</w:t>
      </w:r>
      <w:r>
        <w:t>gado, el Dr. Gustavo Semorile, fue permanente. En cons</w:t>
      </w:r>
      <w:r>
        <w:t>e</w:t>
      </w:r>
      <w:r>
        <w:t>cuencia, se le ofreció que declare como testigo de ident</w:t>
      </w:r>
      <w:r>
        <w:t>i</w:t>
      </w:r>
      <w:r>
        <w:t>dad reservada, lo que inevitablemente requería que previ</w:t>
      </w:r>
      <w:r>
        <w:t>a</w:t>
      </w:r>
      <w:r>
        <w:t>mente se le dictara el sobreseimie</w:t>
      </w:r>
      <w:r>
        <w:t>n</w:t>
      </w:r>
      <w:r>
        <w:t>to.</w:t>
      </w:r>
    </w:p>
    <w:p w:rsidR="00224567" w:rsidRDefault="00224567">
      <w:pPr>
        <w:pStyle w:val="Sangradetextonormal"/>
        <w:tabs>
          <w:tab w:val="left" w:pos="2835"/>
        </w:tabs>
        <w:ind w:firstLine="0"/>
      </w:pPr>
      <w:r>
        <w:tab/>
        <w:t>Si bien no recordó la fecha de esta resolución, destacó que debía ser el único sobrese</w:t>
      </w:r>
      <w:r>
        <w:t>i</w:t>
      </w:r>
      <w:r>
        <w:t>miento que se dictó tan rápido en la causa A.M.I.A.</w:t>
      </w:r>
    </w:p>
    <w:p w:rsidR="00224567" w:rsidRDefault="00224567">
      <w:pPr>
        <w:pStyle w:val="Sangradetextonormal"/>
        <w:tabs>
          <w:tab w:val="left" w:pos="2835"/>
        </w:tabs>
        <w:ind w:firstLine="0"/>
      </w:pPr>
      <w:r>
        <w:tab/>
        <w:t>También recordó que la declar</w:t>
      </w:r>
      <w:r>
        <w:t>a</w:t>
      </w:r>
      <w:r>
        <w:t>ción de Miriam Salinas se recepcionó y filmó en la fiscalía del Dr. Montenegro, aunque aclaró que este último no part</w:t>
      </w:r>
      <w:r>
        <w:t>i</w:t>
      </w:r>
      <w:r>
        <w:t>cipó en el acto y ni siquiera estuvo presente, sino que se l</w:t>
      </w:r>
      <w:r>
        <w:t>i</w:t>
      </w:r>
      <w:r>
        <w:t>mitó a facilitar el espacio físico para la audie</w:t>
      </w:r>
      <w:r>
        <w:t>n</w:t>
      </w:r>
      <w:r>
        <w:t>cia.</w:t>
      </w:r>
    </w:p>
    <w:p w:rsidR="00224567" w:rsidRDefault="00224567">
      <w:pPr>
        <w:pStyle w:val="Sangradetextonormal"/>
        <w:tabs>
          <w:tab w:val="left" w:pos="2835"/>
        </w:tabs>
        <w:ind w:firstLine="0"/>
      </w:pPr>
      <w:r>
        <w:tab/>
        <w:t>Destacó que la filmación de la decl</w:t>
      </w:r>
      <w:r>
        <w:t>a</w:t>
      </w:r>
      <w:r>
        <w:t>ración testimonial de Miriam Salinas permitía también o</w:t>
      </w:r>
      <w:r>
        <w:t>b</w:t>
      </w:r>
      <w:r>
        <w:t>servar la propuesta efectuada por el juez Juan José G</w:t>
      </w:r>
      <w:r>
        <w:t>a</w:t>
      </w:r>
      <w:r>
        <w:t xml:space="preserve">leano de que </w:t>
      </w:r>
      <w:smartTag w:uri="urn:schemas-microsoft-com:office:smarttags" w:element="PersonName">
        <w:smartTagPr>
          <w:attr w:name="ProductID" w:val="la Secretar￭a"/>
        </w:smartTagPr>
        <w:r>
          <w:t>la Secretaría</w:t>
        </w:r>
      </w:smartTag>
      <w:r>
        <w:t xml:space="preserve"> de Inteligencia de Estado col</w:t>
      </w:r>
      <w:r>
        <w:t>o</w:t>
      </w:r>
      <w:r>
        <w:t>cara cámaras en su casa para filmar a Ana Boragni cuando conc</w:t>
      </w:r>
      <w:r>
        <w:t>u</w:t>
      </w:r>
      <w:r>
        <w:t>rriera.</w:t>
      </w:r>
    </w:p>
    <w:p w:rsidR="00224567" w:rsidRDefault="00224567">
      <w:pPr>
        <w:pStyle w:val="Sangradetextonormal"/>
        <w:tabs>
          <w:tab w:val="left" w:pos="2835"/>
        </w:tabs>
        <w:ind w:firstLine="0"/>
      </w:pPr>
      <w:r>
        <w:tab/>
        <w:t>En tal sentido precisó que la idea era “sorprender” a Ana Boragni, esposa de Telleldín, en la amistad que tenía con Miriam Salinas y de esa forma obt</w:t>
      </w:r>
      <w:r>
        <w:t>e</w:t>
      </w:r>
      <w:r>
        <w:t>ner este testimonio de vivencias respecto a la e</w:t>
      </w:r>
      <w:r>
        <w:t>n</w:t>
      </w:r>
      <w:r>
        <w:t xml:space="preserve">trega de la camioneta y a la reacción de Telleldín cuando explotó la sede de </w:t>
      </w:r>
      <w:smartTag w:uri="urn:schemas-microsoft-com:office:smarttags" w:element="PersonName">
        <w:smartTagPr>
          <w:attr w:name="ProductID" w:val="la A.M"/>
        </w:smartTagPr>
        <w:r>
          <w:t>la A.M</w:t>
        </w:r>
      </w:smartTag>
      <w:r>
        <w:t>.I.A.</w:t>
      </w:r>
    </w:p>
    <w:p w:rsidR="00224567" w:rsidRDefault="00224567">
      <w:pPr>
        <w:pStyle w:val="Sangradetextonormal"/>
        <w:tabs>
          <w:tab w:val="left" w:pos="2835"/>
        </w:tabs>
        <w:ind w:firstLine="0"/>
      </w:pPr>
      <w:r>
        <w:tab/>
        <w:t>Agregó, además, que incluso el juez le prometió que beneficiaría la situación de su pareja, Pablo Ibáñez.</w:t>
      </w:r>
    </w:p>
    <w:p w:rsidR="00224567" w:rsidRDefault="00224567">
      <w:pPr>
        <w:pStyle w:val="Sangradetextonormal"/>
        <w:tabs>
          <w:tab w:val="left" w:pos="2835"/>
        </w:tabs>
        <w:ind w:firstLine="0"/>
      </w:pPr>
      <w:r>
        <w:tab/>
        <w:t>El valor de este testimonio es indud</w:t>
      </w:r>
      <w:r>
        <w:t>a</w:t>
      </w:r>
      <w:r>
        <w:t>ble, desde que se trata de un protagonista de los s</w:t>
      </w:r>
      <w:r>
        <w:t>u</w:t>
      </w:r>
      <w:r>
        <w:t>cesos que relata, no solo por ser funcionario del juzgado in</w:t>
      </w:r>
      <w:r>
        <w:t>s</w:t>
      </w:r>
      <w:r>
        <w:t>tructor sino, particularmente, por haber participado, ju</w:t>
      </w:r>
      <w:r>
        <w:t>n</w:t>
      </w:r>
      <w:r>
        <w:t>to a los secretarios del juzgado instructor, en la confe</w:t>
      </w:r>
      <w:r>
        <w:t>c</w:t>
      </w:r>
      <w:r>
        <w:t>ción del acta correspondiente a la declar</w:t>
      </w:r>
      <w:r>
        <w:t>a</w:t>
      </w:r>
      <w:r>
        <w:t>ción testimonial prestada por Miriam S</w:t>
      </w:r>
      <w:r>
        <w:t>a</w:t>
      </w:r>
      <w:r>
        <w:t>linas.</w:t>
      </w:r>
    </w:p>
    <w:p w:rsidR="00224567" w:rsidRDefault="00224567">
      <w:pPr>
        <w:tabs>
          <w:tab w:val="left" w:pos="2835"/>
        </w:tabs>
      </w:pPr>
      <w:r>
        <w:tab/>
        <w:t>A todo lo expuesto, en cuanto al mér</w:t>
      </w:r>
      <w:r>
        <w:t>i</w:t>
      </w:r>
      <w:r>
        <w:t>to de la declaración de Lifschitz debe sumarse que el te</w:t>
      </w:r>
      <w:r>
        <w:t>s</w:t>
      </w:r>
      <w:r>
        <w:t>tigo aporta una razonable explicación a todas las circun</w:t>
      </w:r>
      <w:r>
        <w:t>s</w:t>
      </w:r>
      <w:r>
        <w:t>tancias que resultaban llamat</w:t>
      </w:r>
      <w:r>
        <w:t>i</w:t>
      </w:r>
      <w:r>
        <w:t>vas.</w:t>
      </w:r>
    </w:p>
    <w:p w:rsidR="00224567" w:rsidRDefault="00224567">
      <w:pPr>
        <w:pStyle w:val="Ttulo5"/>
      </w:pPr>
      <w:r>
        <w:tab/>
      </w:r>
      <w:bookmarkStart w:id="13" w:name="_Toc86642674"/>
      <w:r>
        <w:t xml:space="preserve">H.4.b) </w:t>
      </w:r>
      <w:r>
        <w:rPr>
          <w:b w:val="0"/>
          <w:bCs w:val="0"/>
        </w:rPr>
        <w:t>La versión de Miriam S</w:t>
      </w:r>
      <w:r>
        <w:rPr>
          <w:b w:val="0"/>
          <w:bCs w:val="0"/>
        </w:rPr>
        <w:t>a</w:t>
      </w:r>
      <w:r>
        <w:rPr>
          <w:b w:val="0"/>
          <w:bCs w:val="0"/>
        </w:rPr>
        <w:t>linas.</w:t>
      </w:r>
      <w:bookmarkEnd w:id="13"/>
    </w:p>
    <w:p w:rsidR="00224567" w:rsidRDefault="00224567">
      <w:pPr>
        <w:tabs>
          <w:tab w:val="left" w:pos="2835"/>
        </w:tabs>
      </w:pPr>
      <w:r>
        <w:tab/>
        <w:t>Si bien durante el debate Miriam Sal</w:t>
      </w:r>
      <w:r>
        <w:t>i</w:t>
      </w:r>
      <w:r>
        <w:t>nas no admitió haber protagonizado ese pacto, al de</w:t>
      </w:r>
      <w:r>
        <w:t>s</w:t>
      </w:r>
      <w:r>
        <w:t>cribir el contexto en el que se produjeron sus declar</w:t>
      </w:r>
      <w:r>
        <w:t>a</w:t>
      </w:r>
      <w:r>
        <w:t>ciones puso en evidencia una serie de circunstancias afines a la neg</w:t>
      </w:r>
      <w:r>
        <w:t>o</w:t>
      </w:r>
      <w:r>
        <w:t>ciación que se sostiene.</w:t>
      </w:r>
    </w:p>
    <w:p w:rsidR="00224567" w:rsidRDefault="00224567">
      <w:pPr>
        <w:tabs>
          <w:tab w:val="left" w:pos="2835"/>
        </w:tabs>
      </w:pPr>
      <w:r>
        <w:tab/>
        <w:t>En primer lugar, cabe destacar la co</w:t>
      </w:r>
      <w:r>
        <w:t>n</w:t>
      </w:r>
      <w:r>
        <w:t>fusión que expuso Salinas acerca de las categorías proc</w:t>
      </w:r>
      <w:r>
        <w:t>e</w:t>
      </w:r>
      <w:r>
        <w:t>sales en las que prestó declaración. Así, al ser pregunt</w:t>
      </w:r>
      <w:r>
        <w:t>a</w:t>
      </w:r>
      <w:r>
        <w:t>da por el momento del traspaso de su rol de imputada a test</w:t>
      </w:r>
      <w:r>
        <w:t>i</w:t>
      </w:r>
      <w:r>
        <w:t>go, destacó que desconocía la existencia de dos tipos de declaraci</w:t>
      </w:r>
      <w:r>
        <w:t>o</w:t>
      </w:r>
      <w:r>
        <w:t>nes.</w:t>
      </w:r>
    </w:p>
    <w:p w:rsidR="00224567" w:rsidRDefault="00224567">
      <w:pPr>
        <w:tabs>
          <w:tab w:val="left" w:pos="2835"/>
        </w:tabs>
      </w:pPr>
      <w:r>
        <w:tab/>
        <w:t>También expresó ignorar, precisame</w:t>
      </w:r>
      <w:r>
        <w:t>n</w:t>
      </w:r>
      <w:r>
        <w:t>te, cuál era la imputación que se le dir</w:t>
      </w:r>
      <w:r>
        <w:t>i</w:t>
      </w:r>
      <w:r>
        <w:t xml:space="preserve">gía. Si bien admitió que tanto al momento de su detención como en alguna otra ocasión le indicaron que estaba detenida por la causa de </w:t>
      </w:r>
      <w:smartTag w:uri="urn:schemas-microsoft-com:office:smarttags" w:element="PersonName">
        <w:smartTagPr>
          <w:attr w:name="ProductID" w:val="la A.M"/>
        </w:smartTagPr>
        <w:r>
          <w:t>la A.M</w:t>
        </w:r>
      </w:smartTag>
      <w:r>
        <w:t>.I.A., negó enfáticamente conocer la intimación co</w:t>
      </w:r>
      <w:r>
        <w:t>n</w:t>
      </w:r>
      <w:r>
        <w:t>tenida en las declaraciones indagat</w:t>
      </w:r>
      <w:r>
        <w:t>o</w:t>
      </w:r>
      <w:r>
        <w:t>rias cuando se le leyó durante el debate. Incluso pr</w:t>
      </w:r>
      <w:r>
        <w:t>e</w:t>
      </w:r>
      <w:r>
        <w:t>cisó que se acordaría si así hubiera ocurr</w:t>
      </w:r>
      <w:r>
        <w:t>i</w:t>
      </w:r>
      <w:r>
        <w:t>do.</w:t>
      </w:r>
    </w:p>
    <w:p w:rsidR="00224567" w:rsidRDefault="00224567">
      <w:pPr>
        <w:tabs>
          <w:tab w:val="left" w:pos="2835"/>
        </w:tabs>
      </w:pPr>
      <w:r>
        <w:tab/>
        <w:t>Además, destacó que mientras le rec</w:t>
      </w:r>
      <w:r>
        <w:t>i</w:t>
      </w:r>
      <w:r>
        <w:t>bían declaración le explicaban que tenía que c</w:t>
      </w:r>
      <w:r>
        <w:t>o</w:t>
      </w:r>
      <w:r>
        <w:t xml:space="preserve">laborar con lo que sabía. </w:t>
      </w:r>
    </w:p>
    <w:p w:rsidR="00224567" w:rsidRDefault="00224567">
      <w:pPr>
        <w:tabs>
          <w:tab w:val="left" w:pos="2835"/>
        </w:tabs>
      </w:pPr>
      <w:r>
        <w:tab/>
        <w:t>Por otra parte, al ser preguntada i</w:t>
      </w:r>
      <w:r>
        <w:t>n</w:t>
      </w:r>
      <w:r>
        <w:t>sistentemente sobre el punto, Salinas respondió que nu</w:t>
      </w:r>
      <w:r>
        <w:t>n</w:t>
      </w:r>
      <w:r>
        <w:t>ca hizo uso de su derecho a negarse a declarar. Es más, pr</w:t>
      </w:r>
      <w:r>
        <w:t>e</w:t>
      </w:r>
      <w:r>
        <w:t>cisó que el día que acordó con el juzgado ser testigo de identidad reservada, no pudo precisar por qué razón o te</w:t>
      </w:r>
      <w:r>
        <w:t>c</w:t>
      </w:r>
      <w:r>
        <w:t>nicismo, se dirigió a un lugar donde firmó como que se h</w:t>
      </w:r>
      <w:r>
        <w:t>a</w:t>
      </w:r>
      <w:r>
        <w:t>bía negado a decl</w:t>
      </w:r>
      <w:r>
        <w:t>a</w:t>
      </w:r>
      <w:r>
        <w:t>rar.</w:t>
      </w:r>
    </w:p>
    <w:p w:rsidR="00224567" w:rsidRDefault="00224567">
      <w:pPr>
        <w:tabs>
          <w:tab w:val="left" w:pos="2835"/>
        </w:tabs>
      </w:pPr>
      <w:r>
        <w:tab/>
        <w:t>Señaló Salinas que si bien no le di</w:t>
      </w:r>
      <w:r>
        <w:t>e</w:t>
      </w:r>
      <w:r>
        <w:t>ron explicación de tal proceder, interpretó que const</w:t>
      </w:r>
      <w:r>
        <w:t>i</w:t>
      </w:r>
      <w:r>
        <w:t>tuía una maniobra para preservar el anonimato de su d</w:t>
      </w:r>
      <w:r>
        <w:t>e</w:t>
      </w:r>
      <w:r>
        <w:t>claración testim</w:t>
      </w:r>
      <w:r>
        <w:t>o</w:t>
      </w:r>
      <w:r>
        <w:t>nial.</w:t>
      </w:r>
    </w:p>
    <w:p w:rsidR="00224567" w:rsidRDefault="00224567">
      <w:pPr>
        <w:tabs>
          <w:tab w:val="left" w:pos="2835"/>
        </w:tabs>
      </w:pPr>
      <w:r>
        <w:tab/>
        <w:t>En cuando al contenido y orden de sus declaraciones, precisó que el primer día relató cómo era su vida y cómo empezó la relación con Telleldín, y el s</w:t>
      </w:r>
      <w:r>
        <w:t>e</w:t>
      </w:r>
      <w:r>
        <w:t>gundo día las actividades de éste. Si bien negó que le fuera impuesto el contenido de su deposición, puso de r</w:t>
      </w:r>
      <w:r>
        <w:t>e</w:t>
      </w:r>
      <w:r>
        <w:t>salto, en reiteradas oportunidades, que recién el último día le leyeron un compilado que habían armado con lo que ella había declarado durante todas las jornadas. Precisó que en esa ocasión estaba presente el fiscal que usaba barba y su defensor, Gustavo Sem</w:t>
      </w:r>
      <w:r>
        <w:t>o</w:t>
      </w:r>
      <w:r>
        <w:t>rile.</w:t>
      </w:r>
    </w:p>
    <w:p w:rsidR="00224567" w:rsidRDefault="00224567">
      <w:pPr>
        <w:tabs>
          <w:tab w:val="left" w:pos="2835"/>
        </w:tabs>
      </w:pPr>
      <w:r>
        <w:tab/>
        <w:t>Miriam Salinas afirmó que antes de r</w:t>
      </w:r>
      <w:r>
        <w:t>e</w:t>
      </w:r>
      <w:r>
        <w:t>cuperar la libertad, en una de las jornadas en las que h</w:t>
      </w:r>
      <w:r>
        <w:t>a</w:t>
      </w:r>
      <w:r>
        <w:t>bía declarado, debió pernoctar en una oficina y no, a d</w:t>
      </w:r>
      <w:r>
        <w:t>i</w:t>
      </w:r>
      <w:r>
        <w:t>ferencia de las noches anteriores, en la alcaidía. D</w:t>
      </w:r>
      <w:r>
        <w:t>e</w:t>
      </w:r>
      <w:r>
        <w:t>talló que ese ámbito, a diferencia de los calabozos, no tenía rejas; había un colchón, una mesa y un escritorio. Indicó incluso que, al subirse a uno de estos muebles, pudo ver todas las cámaras de televisión abajo, por lo que concluyó que la oficina donde fue alojada estaba en un p</w:t>
      </w:r>
      <w:r>
        <w:t>i</w:t>
      </w:r>
      <w:r>
        <w:t>so alto.</w:t>
      </w:r>
    </w:p>
    <w:p w:rsidR="00224567" w:rsidRDefault="00224567">
      <w:pPr>
        <w:tabs>
          <w:tab w:val="left" w:pos="2835"/>
        </w:tabs>
      </w:pPr>
      <w:r>
        <w:tab/>
        <w:t>En otro orden de cosas, Miriam Sal</w:t>
      </w:r>
      <w:r>
        <w:t>i</w:t>
      </w:r>
      <w:r>
        <w:t>nas destacó que se notificó del auto de falta de mérito el día en que recup</w:t>
      </w:r>
      <w:r>
        <w:t>e</w:t>
      </w:r>
      <w:r>
        <w:t>ró su libertad.</w:t>
      </w:r>
    </w:p>
    <w:p w:rsidR="00224567" w:rsidRDefault="00224567">
      <w:pPr>
        <w:tabs>
          <w:tab w:val="left" w:pos="2835"/>
        </w:tabs>
      </w:pPr>
      <w:r>
        <w:tab/>
        <w:t>Respecto de las filmaciones efectu</w:t>
      </w:r>
      <w:r>
        <w:t>a</w:t>
      </w:r>
      <w:r>
        <w:t>das en su domicilio, recordó que le preguntaron si quería p</w:t>
      </w:r>
      <w:r>
        <w:t>o</w:t>
      </w:r>
      <w:r>
        <w:t>ner una cám</w:t>
      </w:r>
      <w:r>
        <w:t>a</w:t>
      </w:r>
      <w:r>
        <w:t>ra oculta en su vivienda y que ella accedió a la petición en el entendimiento de que debía colaborar, aún grabando a quien fuera, para demostrar que ella no t</w:t>
      </w:r>
      <w:r>
        <w:t>e</w:t>
      </w:r>
      <w:r>
        <w:t>nía nada que ver con el hecho.</w:t>
      </w:r>
    </w:p>
    <w:p w:rsidR="00224567" w:rsidRDefault="00224567">
      <w:pPr>
        <w:tabs>
          <w:tab w:val="left" w:pos="2835"/>
        </w:tabs>
      </w:pPr>
      <w:r>
        <w:tab/>
        <w:t>Indicó que, mediante ese instrume</w:t>
      </w:r>
      <w:r>
        <w:t>n</w:t>
      </w:r>
      <w:r>
        <w:t>tal, filmó a Ana Boragni, Hugo Pérez y Guillermo Cotoras em</w:t>
      </w:r>
      <w:r>
        <w:t>i</w:t>
      </w:r>
      <w:r>
        <w:t>tiendo sus opiniones sobre todo lo que había p</w:t>
      </w:r>
      <w:r>
        <w:t>a</w:t>
      </w:r>
      <w:r>
        <w:t>sado.</w:t>
      </w:r>
    </w:p>
    <w:p w:rsidR="00224567" w:rsidRDefault="00224567">
      <w:pPr>
        <w:tabs>
          <w:tab w:val="left" w:pos="2835"/>
        </w:tabs>
      </w:pPr>
      <w:r>
        <w:tab/>
        <w:t>Precisó que eran tres videos y que desapareció el que contenía la de Cotoras.</w:t>
      </w:r>
    </w:p>
    <w:p w:rsidR="00224567" w:rsidRDefault="00224567">
      <w:pPr>
        <w:tabs>
          <w:tab w:val="left" w:pos="2835"/>
        </w:tabs>
      </w:pPr>
      <w:r>
        <w:tab/>
        <w:t>Recordó que al entregar estas film</w:t>
      </w:r>
      <w:r>
        <w:t>a</w:t>
      </w:r>
      <w:r>
        <w:t>ciones en el juzgado, reclamó que ya no quería colaborar más.</w:t>
      </w:r>
    </w:p>
    <w:p w:rsidR="00224567" w:rsidRDefault="00224567">
      <w:pPr>
        <w:pStyle w:val="Ttulo5"/>
      </w:pPr>
      <w:r>
        <w:tab/>
      </w:r>
      <w:bookmarkStart w:id="14" w:name="_Toc86642675"/>
      <w:r>
        <w:t xml:space="preserve">H.4.c) </w:t>
      </w:r>
      <w:r>
        <w:rPr>
          <w:b w:val="0"/>
          <w:bCs w:val="0"/>
        </w:rPr>
        <w:t>Especial valoración del test</w:t>
      </w:r>
      <w:r>
        <w:rPr>
          <w:b w:val="0"/>
          <w:bCs w:val="0"/>
        </w:rPr>
        <w:t>i</w:t>
      </w:r>
      <w:r>
        <w:rPr>
          <w:b w:val="0"/>
          <w:bCs w:val="0"/>
        </w:rPr>
        <w:t>monio de Miriam Salinas</w:t>
      </w:r>
      <w:bookmarkEnd w:id="14"/>
      <w:r>
        <w:rPr>
          <w:b w:val="0"/>
          <w:bCs w:val="0"/>
        </w:rPr>
        <w:t>.</w:t>
      </w:r>
    </w:p>
    <w:p w:rsidR="00224567" w:rsidRDefault="00224567">
      <w:pPr>
        <w:tabs>
          <w:tab w:val="left" w:pos="2835"/>
        </w:tabs>
      </w:pPr>
      <w:r>
        <w:tab/>
        <w:t>El valor de las irregularidades denu</w:t>
      </w:r>
      <w:r>
        <w:t>n</w:t>
      </w:r>
      <w:r>
        <w:t>ciadas por Miriam Salinas se potencia al tomar en consid</w:t>
      </w:r>
      <w:r>
        <w:t>e</w:t>
      </w:r>
      <w:r>
        <w:t>ración las condiciones en las que prestó declaración te</w:t>
      </w:r>
      <w:r>
        <w:t>s</w:t>
      </w:r>
      <w:r>
        <w:t>timonial durante el debate. También a partir de estas co</w:t>
      </w:r>
      <w:r>
        <w:t>n</w:t>
      </w:r>
      <w:r>
        <w:t>sideraciones se explica que haya omitido denunciar la coacción de la que había sido objeto.</w:t>
      </w:r>
    </w:p>
    <w:p w:rsidR="00224567" w:rsidRDefault="00224567">
      <w:pPr>
        <w:tabs>
          <w:tab w:val="left" w:pos="2835"/>
        </w:tabs>
      </w:pPr>
      <w:r>
        <w:tab/>
        <w:t>Al momento de su deposición, s</w:t>
      </w:r>
      <w:r>
        <w:t>o</w:t>
      </w:r>
      <w:r>
        <w:t>bre su pareja Pablo Ibáñez pesaba un pedido de captura emanado del juzgado instructor (fs. 1135, 1178 y 1181 del legajo 310), por la tan repentina como demorada averigu</w:t>
      </w:r>
      <w:r>
        <w:t>a</w:t>
      </w:r>
      <w:r>
        <w:t>ción por el destino de la moto que Telleldín denunció haber entr</w:t>
      </w:r>
      <w:r>
        <w:t>e</w:t>
      </w:r>
      <w:r>
        <w:t>gado a la brigada de Lanús al ser detenido en abril de 1994; aún subsistía la imputación por el atentado, cuya investigación también continuaba a cargo del Dr. Gale</w:t>
      </w:r>
      <w:r>
        <w:t>a</w:t>
      </w:r>
      <w:r>
        <w:t>no.</w:t>
      </w:r>
    </w:p>
    <w:p w:rsidR="00224567" w:rsidRDefault="00224567">
      <w:pPr>
        <w:tabs>
          <w:tab w:val="left" w:pos="2835"/>
        </w:tabs>
      </w:pPr>
      <w:r>
        <w:tab/>
        <w:t>Al respecto, vale recordar que la s</w:t>
      </w:r>
      <w:r>
        <w:t>i</w:t>
      </w:r>
      <w:r>
        <w:t>tuación procesal de Pablo Ibáñez, por su imput</w:t>
      </w:r>
      <w:r>
        <w:t>a</w:t>
      </w:r>
      <w:r>
        <w:t>ción por el atentado, recién fue resuelta, en forma parcial mediante el dictado del auto de falta de mérito de fs. 78.778/78.780, el 9 de agosto de 2000; situación que se mantuvo para el momento en que M</w:t>
      </w:r>
      <w:r>
        <w:t>i</w:t>
      </w:r>
      <w:r>
        <w:t>riam Salinas declarara en el debate.</w:t>
      </w:r>
    </w:p>
    <w:p w:rsidR="00224567" w:rsidRDefault="00224567">
      <w:pPr>
        <w:tabs>
          <w:tab w:val="left" w:pos="2835"/>
        </w:tabs>
      </w:pPr>
      <w:r>
        <w:tab/>
        <w:t>Es decir, para cuando la testigo d</w:t>
      </w:r>
      <w:r>
        <w:t>e</w:t>
      </w:r>
      <w:r>
        <w:t>claró por primera vez en el debate no solo se encontraba vinculada a la irregular declaración test</w:t>
      </w:r>
      <w:r>
        <w:t>i</w:t>
      </w:r>
      <w:r>
        <w:t>monial prestada en el juzgado federal, incluso con el riesgo de incurrir en un falso testimonio si se apartaba de ella, sino que incluso su pareja Pablo Ibáñez continu</w:t>
      </w:r>
      <w:r>
        <w:t>a</w:t>
      </w:r>
      <w:r>
        <w:t>ba imputado por el atentado cuya instrucción, valga recordarlo, seguía a ca</w:t>
      </w:r>
      <w:r>
        <w:t>r</w:t>
      </w:r>
      <w:r>
        <w:t>go del juez Galeano.</w:t>
      </w:r>
    </w:p>
    <w:p w:rsidR="00224567" w:rsidRDefault="00224567">
      <w:pPr>
        <w:tabs>
          <w:tab w:val="left" w:pos="2835"/>
        </w:tabs>
      </w:pPr>
      <w:r>
        <w:tab/>
        <w:t>En ese contexto debe ser inte</w:t>
      </w:r>
      <w:r>
        <w:t>r</w:t>
      </w:r>
      <w:r>
        <w:t xml:space="preserve">pretado que Miriam Salinas no haya denunciado por esta coacción al magistrado que aún conservaba el </w:t>
      </w:r>
      <w:r>
        <w:rPr>
          <w:u w:val="single"/>
        </w:rPr>
        <w:t>imperium</w:t>
      </w:r>
      <w:r>
        <w:t xml:space="preserve"> para dec</w:t>
      </w:r>
      <w:r>
        <w:t>i</w:t>
      </w:r>
      <w:r>
        <w:t>dir si procesaba o sobreseía por el atentado a su par</w:t>
      </w:r>
      <w:r>
        <w:t>e</w:t>
      </w:r>
      <w:r>
        <w:t>ja.</w:t>
      </w:r>
    </w:p>
    <w:p w:rsidR="00224567" w:rsidRDefault="00224567">
      <w:pPr>
        <w:tabs>
          <w:tab w:val="left" w:pos="2835"/>
        </w:tabs>
      </w:pPr>
      <w:r>
        <w:tab/>
        <w:t>Por lo expuesto, se pondrán de resa</w:t>
      </w:r>
      <w:r>
        <w:t>l</w:t>
      </w:r>
      <w:r>
        <w:t>to, en otro acápite de este mismo apartado, las irregul</w:t>
      </w:r>
      <w:r>
        <w:t>a</w:t>
      </w:r>
      <w:r>
        <w:t>ridades evidenciadas en el labrado de actu</w:t>
      </w:r>
      <w:r>
        <w:t>a</w:t>
      </w:r>
      <w:r>
        <w:t>ciones respecto de Pablo Ibáñez.</w:t>
      </w:r>
    </w:p>
    <w:p w:rsidR="00224567" w:rsidRDefault="00224567">
      <w:pPr>
        <w:pStyle w:val="Ttulo4"/>
      </w:pPr>
      <w:r>
        <w:tab/>
      </w:r>
      <w:bookmarkStart w:id="15" w:name="_Toc86642676"/>
      <w:r>
        <w:t>H.5) Otras valoraciones</w:t>
      </w:r>
      <w:bookmarkEnd w:id="15"/>
    </w:p>
    <w:p w:rsidR="00224567" w:rsidRDefault="00224567">
      <w:pPr>
        <w:tabs>
          <w:tab w:val="left" w:pos="2835"/>
        </w:tabs>
      </w:pPr>
      <w:r>
        <w:tab/>
        <w:t>Como se adelantó, de la declaración prestada por Salinas durante el debate, se destaca un si</w:t>
      </w:r>
      <w:r>
        <w:t>n</w:t>
      </w:r>
      <w:r>
        <w:t>número de irregularidades que conducirán a la extracción de testimonios para que se investiguen la participación del juez y fiscales que intervinieran en la instrucción, así como la de funcionarios y empleados de las depende</w:t>
      </w:r>
      <w:r>
        <w:t>n</w:t>
      </w:r>
      <w:r>
        <w:t>cias a cargo de aquellos, en la eventual comisión de del</w:t>
      </w:r>
      <w:r>
        <w:t>i</w:t>
      </w:r>
      <w:r>
        <w:t>tos de acción públ</w:t>
      </w:r>
      <w:r>
        <w:t>i</w:t>
      </w:r>
      <w:r>
        <w:t>ca.</w:t>
      </w:r>
    </w:p>
    <w:p w:rsidR="00224567" w:rsidRDefault="00224567">
      <w:pPr>
        <w:pStyle w:val="Ttulo5"/>
        <w:rPr>
          <w:b w:val="0"/>
          <w:bCs w:val="0"/>
        </w:rPr>
      </w:pPr>
      <w:r>
        <w:tab/>
      </w:r>
      <w:bookmarkStart w:id="16" w:name="_Toc86642677"/>
      <w:r>
        <w:t xml:space="preserve">H.5.a) </w:t>
      </w:r>
      <w:r>
        <w:rPr>
          <w:b w:val="0"/>
          <w:bCs w:val="0"/>
        </w:rPr>
        <w:t>Imputada. Testigo. Film</w:t>
      </w:r>
      <w:r>
        <w:rPr>
          <w:b w:val="0"/>
          <w:bCs w:val="0"/>
        </w:rPr>
        <w:t>a</w:t>
      </w:r>
      <w:r>
        <w:rPr>
          <w:b w:val="0"/>
          <w:bCs w:val="0"/>
        </w:rPr>
        <w:t>ciones clandestinas.</w:t>
      </w:r>
      <w:bookmarkEnd w:id="16"/>
    </w:p>
    <w:p w:rsidR="00224567" w:rsidRDefault="00224567">
      <w:pPr>
        <w:tabs>
          <w:tab w:val="left" w:pos="2835"/>
        </w:tabs>
      </w:pPr>
      <w:r>
        <w:tab/>
        <w:t>En primer lugar, corresponde señalar que la conf</w:t>
      </w:r>
      <w:r>
        <w:t>u</w:t>
      </w:r>
      <w:r>
        <w:t>sión que denotó Miriam Salinas en cuanto a la categoría procesal que revistiera en estas actuaci</w:t>
      </w:r>
      <w:r>
        <w:t>o</w:t>
      </w:r>
      <w:r>
        <w:t>nes no obedeció a su desconocimiento de la ley de rito sino al trámite de neto carácter ilegal que el juez instructor i</w:t>
      </w:r>
      <w:r>
        <w:t>m</w:t>
      </w:r>
      <w:r>
        <w:t>primiera en a</w:t>
      </w:r>
      <w:r>
        <w:t>u</w:t>
      </w:r>
      <w:r>
        <w:t>tos.</w:t>
      </w:r>
    </w:p>
    <w:p w:rsidR="00224567" w:rsidRDefault="00224567">
      <w:pPr>
        <w:tabs>
          <w:tab w:val="left" w:pos="2835"/>
        </w:tabs>
      </w:pPr>
      <w:r>
        <w:tab/>
        <w:t>En efecto, adviértase que, aún om</w:t>
      </w:r>
      <w:r>
        <w:t>i</w:t>
      </w:r>
      <w:r>
        <w:t>tiendo considerar las falsedades cometidas por el magi</w:t>
      </w:r>
      <w:r>
        <w:t>s</w:t>
      </w:r>
      <w:r>
        <w:t>trado, es éste el que ordena recibirle declaración test</w:t>
      </w:r>
      <w:r>
        <w:t>i</w:t>
      </w:r>
      <w:r>
        <w:t>monial a quien aún revestía la calidad de imp</w:t>
      </w:r>
      <w:r>
        <w:t>u</w:t>
      </w:r>
      <w:r>
        <w:t>tada por el ataque.</w:t>
      </w:r>
    </w:p>
    <w:p w:rsidR="00224567" w:rsidRDefault="00224567">
      <w:pPr>
        <w:tabs>
          <w:tab w:val="left" w:pos="2835"/>
        </w:tabs>
      </w:pPr>
      <w:r>
        <w:tab/>
        <w:t>Además, en su afán desmedido por obt</w:t>
      </w:r>
      <w:r>
        <w:t>e</w:t>
      </w:r>
      <w:r>
        <w:t>ner, de cualquier forma, la versión de los inculp</w:t>
      </w:r>
      <w:r>
        <w:t>a</w:t>
      </w:r>
      <w:r>
        <w:t>dos, el juez exigió a Miriam Salinas que filmara cla</w:t>
      </w:r>
      <w:r>
        <w:t>n</w:t>
      </w:r>
      <w:r>
        <w:t>destinamente a Ana María Boragni, quien habría sido fuente de sus d</w:t>
      </w:r>
      <w:r>
        <w:t>i</w:t>
      </w:r>
      <w:r>
        <w:t>chos.</w:t>
      </w:r>
    </w:p>
    <w:p w:rsidR="00224567" w:rsidRDefault="00224567">
      <w:pPr>
        <w:tabs>
          <w:tab w:val="left" w:pos="2835"/>
        </w:tabs>
      </w:pPr>
      <w:r>
        <w:tab/>
        <w:t>A tal fin, el Dr. Galeano se v</w:t>
      </w:r>
      <w:r>
        <w:t>a</w:t>
      </w:r>
      <w:r>
        <w:t>lió del peso que tal “colaboración” implicaba para quien aún est</w:t>
      </w:r>
      <w:r>
        <w:t>a</w:t>
      </w:r>
      <w:r>
        <w:t>ba imputada por el ate</w:t>
      </w:r>
      <w:r>
        <w:t>n</w:t>
      </w:r>
      <w:r>
        <w:t>tado.</w:t>
      </w:r>
    </w:p>
    <w:p w:rsidR="00224567" w:rsidRDefault="00224567">
      <w:pPr>
        <w:tabs>
          <w:tab w:val="left" w:pos="2835"/>
        </w:tabs>
      </w:pPr>
      <w:r>
        <w:tab/>
        <w:t>Con el objeto de visualizar, en toda su dimensión, el irregular proceder del Dr. G</w:t>
      </w:r>
      <w:r>
        <w:t>a</w:t>
      </w:r>
      <w:r>
        <w:t>leano, debe considerarse que Miriam Salinas, encargada de la ilegal misión, convivía con Pablo Ibáñez, quien a la fecha de la declaración de aquella en el debate aún estaba imputado por la volad</w:t>
      </w:r>
      <w:r>
        <w:t>u</w:t>
      </w:r>
      <w:r>
        <w:t>ra.</w:t>
      </w:r>
    </w:p>
    <w:p w:rsidR="00224567" w:rsidRDefault="00224567">
      <w:pPr>
        <w:tabs>
          <w:tab w:val="left" w:pos="2835"/>
        </w:tabs>
      </w:pPr>
      <w:r>
        <w:tab/>
        <w:t>En efecto, en las filmaciones remit</w:t>
      </w:r>
      <w:r>
        <w:t>i</w:t>
      </w:r>
      <w:r>
        <w:t>das por el juzgado instructor mediante el oficio de fs. 111.922, se observa que participaron de esas subrept</w:t>
      </w:r>
      <w:r>
        <w:t>i</w:t>
      </w:r>
      <w:r>
        <w:t>cias entrevistas con Ana Boragni y Hugo Pérez, no solo Miriam Salinas sino también Pablo Ib</w:t>
      </w:r>
      <w:r>
        <w:t>á</w:t>
      </w:r>
      <w:r>
        <w:t>ñez.</w:t>
      </w:r>
    </w:p>
    <w:p w:rsidR="00224567" w:rsidRDefault="00224567">
      <w:pPr>
        <w:tabs>
          <w:tab w:val="left" w:pos="2835"/>
        </w:tabs>
      </w:pPr>
      <w:r>
        <w:tab/>
        <w:t>No puede señalarse que la interve</w:t>
      </w:r>
      <w:r>
        <w:t>n</w:t>
      </w:r>
      <w:r>
        <w:t>ción activa de éste último en esas oscuras entr</w:t>
      </w:r>
      <w:r>
        <w:t>e</w:t>
      </w:r>
      <w:r>
        <w:t>vistas no fuera prevista por el magistrado instru</w:t>
      </w:r>
      <w:r>
        <w:t>c</w:t>
      </w:r>
      <w:r>
        <w:t>tor. Ello, toda vez que, como se fundamenta más adelante, la particip</w:t>
      </w:r>
      <w:r>
        <w:t>a</w:t>
      </w:r>
      <w:r>
        <w:t>ción de Pablo Ibáñez, el otorgamiento de su libertad y su de</w:t>
      </w:r>
      <w:r>
        <w:t>s</w:t>
      </w:r>
      <w:r>
        <w:t>vinculación de estos actuados ha sido parte de la esp</w:t>
      </w:r>
      <w:r>
        <w:t>u</w:t>
      </w:r>
      <w:r>
        <w:t>ria negociación propuesta por el doctor Galeano.</w:t>
      </w:r>
    </w:p>
    <w:p w:rsidR="00224567" w:rsidRDefault="00224567">
      <w:pPr>
        <w:tabs>
          <w:tab w:val="left" w:pos="2835"/>
        </w:tabs>
      </w:pPr>
      <w:r>
        <w:tab/>
        <w:t>Debe recordarse que el Tribunal, m</w:t>
      </w:r>
      <w:r>
        <w:t>e</w:t>
      </w:r>
      <w:r>
        <w:t>diante la resol</w:t>
      </w:r>
      <w:r>
        <w:t>u</w:t>
      </w:r>
      <w:r>
        <w:t>ción del 3 de diciembre de 2002 hizo lugar a la oposición expuesta por algunos defensores a que se exhibieran durante el debate las video filmaciones remit</w:t>
      </w:r>
      <w:r>
        <w:t>i</w:t>
      </w:r>
      <w:r>
        <w:t>das por el juzgado instru</w:t>
      </w:r>
      <w:r>
        <w:t>c</w:t>
      </w:r>
      <w:r>
        <w:t>tor a fs. 111.922.</w:t>
      </w:r>
    </w:p>
    <w:p w:rsidR="00224567" w:rsidRDefault="00224567">
      <w:pPr>
        <w:tabs>
          <w:tab w:val="left" w:pos="2835"/>
        </w:tabs>
      </w:pPr>
      <w:r>
        <w:tab/>
        <w:t>Para adoptar este temperamento, se t</w:t>
      </w:r>
      <w:r>
        <w:t>u</w:t>
      </w:r>
      <w:r>
        <w:t>vo en cuenta que el magistrado instructor, respecto de M</w:t>
      </w:r>
      <w:r>
        <w:t>i</w:t>
      </w:r>
      <w:r>
        <w:t>riam Salinas, claramente había violado la garantía const</w:t>
      </w:r>
      <w:r>
        <w:t>i</w:t>
      </w:r>
      <w:r>
        <w:t>tucional que prohíbe la autoincriminación forzada al rec</w:t>
      </w:r>
      <w:r>
        <w:t>i</w:t>
      </w:r>
      <w:r>
        <w:t>birle declaración jurada a quien aún, por no encontrarse firme el sobreseimiento dictado a su favor, revestía la calidad de imp</w:t>
      </w:r>
      <w:r>
        <w:t>u</w:t>
      </w:r>
      <w:r>
        <w:t>tada.</w:t>
      </w:r>
    </w:p>
    <w:p w:rsidR="00224567" w:rsidRDefault="00224567">
      <w:pPr>
        <w:pStyle w:val="Sangradetextonormal"/>
        <w:tabs>
          <w:tab w:val="left" w:pos="2835"/>
        </w:tabs>
        <w:ind w:firstLine="0"/>
      </w:pPr>
      <w:r>
        <w:tab/>
        <w:t>Pero, además, se valoró que el auto de fs. 111.488/111.489, del 11 de octubre de 1995, que ord</w:t>
      </w:r>
      <w:r>
        <w:t>e</w:t>
      </w:r>
      <w:r>
        <w:t>nó la medida, resultaba arbitrario, al contener solo en ap</w:t>
      </w:r>
      <w:r>
        <w:t>a</w:t>
      </w:r>
      <w:r>
        <w:t>riencia una fundamentación, por cuanto aludía al consent</w:t>
      </w:r>
      <w:r>
        <w:t>i</w:t>
      </w:r>
      <w:r>
        <w:t>miento que Salinas aún no había prestado. En efecto, la aquiescencia de Salinas solo se expresa al pie de su d</w:t>
      </w:r>
      <w:r>
        <w:t>e</w:t>
      </w:r>
      <w:r>
        <w:t>claración test</w:t>
      </w:r>
      <w:r>
        <w:t>i</w:t>
      </w:r>
      <w:r>
        <w:t>monial del 12 de octubre de 1995 (cfr. fs. 111.487 vta.) y la resolución es del día ant</w:t>
      </w:r>
      <w:r>
        <w:t>e</w:t>
      </w:r>
      <w:r>
        <w:t>rior.</w:t>
      </w:r>
    </w:p>
    <w:p w:rsidR="00224567" w:rsidRDefault="00224567">
      <w:pPr>
        <w:tabs>
          <w:tab w:val="left" w:pos="2835"/>
        </w:tabs>
      </w:pPr>
      <w:r>
        <w:tab/>
        <w:t>Finalmente, se aludió al inexpl</w:t>
      </w:r>
      <w:r>
        <w:t>i</w:t>
      </w:r>
      <w:r>
        <w:t>cable error en que incurrió el magistrado instructor cuando de</w:t>
      </w:r>
      <w:r>
        <w:t>s</w:t>
      </w:r>
      <w:r>
        <w:t>cartó, en los fundamentos de esa misma r</w:t>
      </w:r>
      <w:r>
        <w:t>e</w:t>
      </w:r>
      <w:r>
        <w:t>solución, que la medida di</w:t>
      </w:r>
      <w:r>
        <w:t>s</w:t>
      </w:r>
      <w:r>
        <w:t>puesta pudiera violar la garantía constitucional que prohíbe la autoincriminación forzada, toda vez que s</w:t>
      </w:r>
      <w:r>
        <w:t>e</w:t>
      </w:r>
      <w:r>
        <w:t>gún dijo el juez –utilizando tipografía resaltada– “las grabaciones y filmaciones que se dispondrán resultan ser respecto de personas que hasta la fecha no se encuentran imputadas en las presentes actuaci</w:t>
      </w:r>
      <w:r>
        <w:t>o</w:t>
      </w:r>
      <w:r>
        <w:t>nes”.</w:t>
      </w:r>
    </w:p>
    <w:p w:rsidR="00224567" w:rsidRDefault="00224567">
      <w:pPr>
        <w:tabs>
          <w:tab w:val="left" w:pos="2835"/>
        </w:tabs>
      </w:pPr>
      <w:r>
        <w:tab/>
        <w:t>Tan evidente resulta que la pri</w:t>
      </w:r>
      <w:r>
        <w:t>n</w:t>
      </w:r>
      <w:r>
        <w:t>cipal fuente de los dichos de Miriam Salinas, a la que se al</w:t>
      </w:r>
      <w:r>
        <w:t>u</w:t>
      </w:r>
      <w:r>
        <w:t>diera en la cuestionada resolución era Ana Boragni, como que ésta revestía la condición de i</w:t>
      </w:r>
      <w:r>
        <w:t>m</w:t>
      </w:r>
      <w:r>
        <w:t xml:space="preserve">putada, ello desde que los fiscales habían solicitado que prestara declaración indagatoria (art. </w:t>
      </w:r>
      <w:smartTag w:uri="urn:schemas-microsoft-com:office:smarttags" w:element="metricconverter">
        <w:smartTagPr>
          <w:attr w:name="ProductID" w:val="72 C"/>
        </w:smartTagPr>
        <w:r>
          <w:t>72 C</w:t>
        </w:r>
      </w:smartTag>
      <w:r>
        <w:t>.P.P.N.).</w:t>
      </w:r>
    </w:p>
    <w:p w:rsidR="00224567" w:rsidRDefault="00224567">
      <w:pPr>
        <w:tabs>
          <w:tab w:val="left" w:pos="2835"/>
        </w:tabs>
      </w:pPr>
      <w:r>
        <w:tab/>
        <w:t>Esta situación no pudo pasarle des</w:t>
      </w:r>
      <w:r>
        <w:t>a</w:t>
      </w:r>
      <w:r>
        <w:t>percibida al magistrado instructor. Ana María Boragni no era una más en el numeroso grupo de declarantes en la ca</w:t>
      </w:r>
      <w:r>
        <w:t>u</w:t>
      </w:r>
      <w:r>
        <w:t>sa, sino la pareja del primer imputado en las a</w:t>
      </w:r>
      <w:r>
        <w:t>c</w:t>
      </w:r>
      <w:r>
        <w:t>tuaciones. En el mismo sentido debe destacarse el c</w:t>
      </w:r>
      <w:r>
        <w:t>a</w:t>
      </w:r>
      <w:r>
        <w:t>rácter inusual de la medida, ya señalado por el juez Galeano en el encabez</w:t>
      </w:r>
      <w:r>
        <w:t>a</w:t>
      </w:r>
      <w:r>
        <w:t>do de la resolución de fs. 111.488/111.489.</w:t>
      </w:r>
    </w:p>
    <w:p w:rsidR="00224567" w:rsidRDefault="00224567">
      <w:pPr>
        <w:tabs>
          <w:tab w:val="left" w:pos="2835"/>
        </w:tabs>
      </w:pPr>
      <w:r>
        <w:tab/>
        <w:t>Por ende, la apariencia de fundament</w:t>
      </w:r>
      <w:r>
        <w:t>a</w:t>
      </w:r>
      <w:r>
        <w:t>ción de la resolución en crisis no puede adj</w:t>
      </w:r>
      <w:r>
        <w:t>u</w:t>
      </w:r>
      <w:r>
        <w:t>dicarse a un simple error del juez instructor sino que solo encuentra explicación en su propósito por ocultar o justificar los ilícitos que advertía protagonizar con cada una de estas resoluci</w:t>
      </w:r>
      <w:r>
        <w:t>o</w:t>
      </w:r>
      <w:r>
        <w:t>nes.</w:t>
      </w:r>
    </w:p>
    <w:p w:rsidR="00224567" w:rsidRDefault="00224567">
      <w:pPr>
        <w:pStyle w:val="Ttulo5"/>
        <w:rPr>
          <w:b w:val="0"/>
          <w:bCs w:val="0"/>
        </w:rPr>
      </w:pPr>
      <w:r>
        <w:tab/>
      </w:r>
      <w:bookmarkStart w:id="17" w:name="_Toc86642678"/>
      <w:r>
        <w:t xml:space="preserve">H.5.b) </w:t>
      </w:r>
      <w:bookmarkStart w:id="18" w:name="voy_x_acá_leyendo"/>
      <w:bookmarkEnd w:id="18"/>
      <w:r>
        <w:rPr>
          <w:b w:val="0"/>
          <w:bCs w:val="0"/>
        </w:rPr>
        <w:t>Falsedades de las actu</w:t>
      </w:r>
      <w:r>
        <w:rPr>
          <w:b w:val="0"/>
          <w:bCs w:val="0"/>
        </w:rPr>
        <w:t>a</w:t>
      </w:r>
      <w:r>
        <w:rPr>
          <w:b w:val="0"/>
          <w:bCs w:val="0"/>
        </w:rPr>
        <w:t>ciones.</w:t>
      </w:r>
      <w:bookmarkEnd w:id="17"/>
    </w:p>
    <w:p w:rsidR="00224567" w:rsidRDefault="00224567">
      <w:pPr>
        <w:tabs>
          <w:tab w:val="left" w:pos="2835"/>
        </w:tabs>
      </w:pPr>
      <w:r>
        <w:tab/>
        <w:t>También surge del testimonio de M</w:t>
      </w:r>
      <w:r>
        <w:t>i</w:t>
      </w:r>
      <w:r>
        <w:t>riam Salinas la cantidad de falsedades ideológicas en las que se incurrió al volcar en actas circunstancias que no se comp</w:t>
      </w:r>
      <w:r>
        <w:t>a</w:t>
      </w:r>
      <w:r>
        <w:t>decían con lo ocurrido.</w:t>
      </w:r>
    </w:p>
    <w:p w:rsidR="00224567" w:rsidRDefault="00224567">
      <w:pPr>
        <w:tabs>
          <w:tab w:val="left" w:pos="2835"/>
        </w:tabs>
      </w:pPr>
      <w:r>
        <w:tab/>
        <w:t>En tal sentido, cabe incluir la con</w:t>
      </w:r>
      <w:r>
        <w:t>s</w:t>
      </w:r>
      <w:r>
        <w:t>tancia contenida en el auto de fs. 111.488/111.489 en cuanto alude a que fue Miriam Salinas quien ha solic</w:t>
      </w:r>
      <w:r>
        <w:t>i</w:t>
      </w:r>
      <w:r>
        <w:t>tado la grabación y filmación de conversaciones –en su domic</w:t>
      </w:r>
      <w:r>
        <w:t>i</w:t>
      </w:r>
      <w:r>
        <w:t>lio– que pudiera mantener con la persona que ha sido la fuente de lo que ella hubiera testimoniado.</w:t>
      </w:r>
    </w:p>
    <w:p w:rsidR="00224567" w:rsidRDefault="00224567">
      <w:pPr>
        <w:pStyle w:val="Sangradetextonormal"/>
        <w:tabs>
          <w:tab w:val="left" w:pos="2835"/>
        </w:tabs>
        <w:ind w:firstLine="0"/>
      </w:pPr>
      <w:r>
        <w:tab/>
        <w:t>Así, con letras resaltadas, se consi</w:t>
      </w:r>
      <w:r>
        <w:t>g</w:t>
      </w:r>
      <w:r>
        <w:t>na: “ha solicitado la testigo de identidad protegida la grabación y filmación de conversaciones –en su dom</w:t>
      </w:r>
      <w:r>
        <w:t>i</w:t>
      </w:r>
      <w:r>
        <w:t>cilio– que puedan llegar a ma</w:t>
      </w:r>
      <w:r>
        <w:t>n</w:t>
      </w:r>
      <w:r>
        <w:t>tenerse con la persona que ha sido la fuente de lo que aquí testimonió aqu</w:t>
      </w:r>
      <w:r>
        <w:t>é</w:t>
      </w:r>
      <w:r>
        <w:t>lla, prestando en función de ello un claro consentimiento para el ingreso del personal encargado de la instalación del equipo nec</w:t>
      </w:r>
      <w:r>
        <w:t>e</w:t>
      </w:r>
      <w:r>
        <w:t>sario para que pueda cumplime</w:t>
      </w:r>
      <w:r>
        <w:t>n</w:t>
      </w:r>
      <w:r>
        <w:t>tarse la medida solicitada”.</w:t>
      </w:r>
    </w:p>
    <w:p w:rsidR="00224567" w:rsidRDefault="00224567">
      <w:pPr>
        <w:tabs>
          <w:tab w:val="left" w:pos="2835"/>
        </w:tabs>
      </w:pPr>
      <w:r>
        <w:tab/>
        <w:t>La afirmación transcripta se contrad</w:t>
      </w:r>
      <w:r>
        <w:t>i</w:t>
      </w:r>
      <w:r>
        <w:t>ce, en primera instancia, con lo sostenido por Miriam S</w:t>
      </w:r>
      <w:r>
        <w:t>a</w:t>
      </w:r>
      <w:r>
        <w:t>linas y Claudio Lifschitz durante el deb</w:t>
      </w:r>
      <w:r>
        <w:t>a</w:t>
      </w:r>
      <w:r>
        <w:t>te, ya que ellos señal</w:t>
      </w:r>
      <w:r>
        <w:t>a</w:t>
      </w:r>
      <w:r>
        <w:t>ron que la realización de filmaciones no obedeció al impulso de la testigo –como consigna la r</w:t>
      </w:r>
      <w:r>
        <w:t>e</w:t>
      </w:r>
      <w:r>
        <w:t>solución– sino a una exigencia de “colaboración” emanada del juzgado in</w:t>
      </w:r>
      <w:r>
        <w:t>s</w:t>
      </w:r>
      <w:r>
        <w:t>tructor.</w:t>
      </w:r>
    </w:p>
    <w:p w:rsidR="00224567" w:rsidRDefault="00224567">
      <w:pPr>
        <w:tabs>
          <w:tab w:val="left" w:pos="2835"/>
        </w:tabs>
      </w:pPr>
      <w:r>
        <w:tab/>
        <w:t>Pero, y aquí se evidencia nuevamente la torpeza en el actuar del magistrado, ni s</w:t>
      </w:r>
      <w:r>
        <w:t>i</w:t>
      </w:r>
      <w:r>
        <w:t>quiera existe una correspo</w:t>
      </w:r>
      <w:r>
        <w:t>n</w:t>
      </w:r>
      <w:r>
        <w:t>dencia de fechas entre esa supuesta solicitud y la resolución mencionada. En efecto, el acta labr</w:t>
      </w:r>
      <w:r>
        <w:t>a</w:t>
      </w:r>
      <w:r>
        <w:t>da que contiene el supuesto consentimiento de Salinas para el i</w:t>
      </w:r>
      <w:r>
        <w:t>n</w:t>
      </w:r>
      <w:r>
        <w:t>greso a su domicilio de personal d</w:t>
      </w:r>
      <w:r>
        <w:t>e</w:t>
      </w:r>
      <w:r>
        <w:t>signado por el Tribunal es de fecha 12 de octubre de 1995 y la resolución, agreg</w:t>
      </w:r>
      <w:r>
        <w:t>a</w:t>
      </w:r>
      <w:r>
        <w:t>da posteriormente, que la cita en sus fundamentos es del día ant</w:t>
      </w:r>
      <w:r>
        <w:t>e</w:t>
      </w:r>
      <w:r>
        <w:t>rior.</w:t>
      </w:r>
    </w:p>
    <w:p w:rsidR="00224567" w:rsidRDefault="00224567">
      <w:pPr>
        <w:tabs>
          <w:tab w:val="left" w:pos="2835"/>
        </w:tabs>
      </w:pPr>
      <w:r>
        <w:tab/>
        <w:t>También cabe considerar que el conse</w:t>
      </w:r>
      <w:r>
        <w:t>n</w:t>
      </w:r>
      <w:r>
        <w:t>timiento prestado por Salinas, siempre según constancias del acta de fs. 111.483/111.487 vta., lo era para que el personal designado por el Tribunal efectuara la grab</w:t>
      </w:r>
      <w:r>
        <w:t>a</w:t>
      </w:r>
      <w:r>
        <w:t>ción y no para que se limitara a instalar el instrumental, d</w:t>
      </w:r>
      <w:r>
        <w:t>e</w:t>
      </w:r>
      <w:r>
        <w:t>jando a su cargo la realización de las filmaci</w:t>
      </w:r>
      <w:r>
        <w:t>o</w:t>
      </w:r>
      <w:r>
        <w:t>nes.</w:t>
      </w:r>
    </w:p>
    <w:p w:rsidR="00224567" w:rsidRDefault="00224567">
      <w:pPr>
        <w:tabs>
          <w:tab w:val="left" w:pos="2835"/>
        </w:tabs>
      </w:pPr>
      <w:r>
        <w:tab/>
        <w:t>Por otra parte, también se aparta de la realidad el acta de fs. 17.407/17.408 en la que se co</w:t>
      </w:r>
      <w:r>
        <w:t>n</w:t>
      </w:r>
      <w:r>
        <w:t>signa que en la ampliación indagatoria prestada por M</w:t>
      </w:r>
      <w:r>
        <w:t>i</w:t>
      </w:r>
      <w:r>
        <w:t>riam Salinas el 6 de octubre de 1995, hizo uso del derecho de negarse a decl</w:t>
      </w:r>
      <w:r>
        <w:t>a</w:t>
      </w:r>
      <w:r>
        <w:t>rar.</w:t>
      </w:r>
    </w:p>
    <w:p w:rsidR="00224567" w:rsidRDefault="00224567">
      <w:pPr>
        <w:tabs>
          <w:tab w:val="left" w:pos="2835"/>
        </w:tabs>
      </w:pPr>
      <w:r>
        <w:tab/>
        <w:t>Ha sido clara e insistente Salinas d</w:t>
      </w:r>
      <w:r>
        <w:t>u</w:t>
      </w:r>
      <w:r>
        <w:t>rante el debate al señalar que ella no se negó a d</w:t>
      </w:r>
      <w:r>
        <w:t>e</w:t>
      </w:r>
      <w:r>
        <w:t>clarar en ninguna oportunidad, ya que carecía de motivo para ello. Cabe recordar que incluso agregó que le “hicieron firmar” una constancia como que se había negado a decl</w:t>
      </w:r>
      <w:r>
        <w:t>a</w:t>
      </w:r>
      <w:r>
        <w:t>rar, circunstancia que, interpretó, obedecía a un artil</w:t>
      </w:r>
      <w:r>
        <w:t>u</w:t>
      </w:r>
      <w:r>
        <w:t>gio para garantizar el anonimato de su declaración test</w:t>
      </w:r>
      <w:r>
        <w:t>i</w:t>
      </w:r>
      <w:r>
        <w:t>monial.</w:t>
      </w:r>
    </w:p>
    <w:p w:rsidR="00224567" w:rsidRDefault="00224567">
      <w:pPr>
        <w:tabs>
          <w:tab w:val="left" w:pos="2835"/>
        </w:tabs>
      </w:pPr>
      <w:r>
        <w:tab/>
        <w:t>También constituye una falsedad el contenido de las actas de fs. 111.467/111.481 y 111.483/ 111.487 que dan cuenta de las testimoniales prestadas por Miriam Salinas, ya que la testigo r</w:t>
      </w:r>
      <w:r>
        <w:t>e</w:t>
      </w:r>
      <w:r>
        <w:t>cordó que días después a que ella declarara el juzgado le l</w:t>
      </w:r>
      <w:r>
        <w:t>e</w:t>
      </w:r>
      <w:r>
        <w:t>yó una compilación de los dichos prestados en sucesivas depos</w:t>
      </w:r>
      <w:r>
        <w:t>i</w:t>
      </w:r>
      <w:r>
        <w:t>ciones.</w:t>
      </w:r>
    </w:p>
    <w:p w:rsidR="00224567" w:rsidRDefault="00224567">
      <w:pPr>
        <w:tabs>
          <w:tab w:val="left" w:pos="2835"/>
        </w:tabs>
      </w:pPr>
      <w:r>
        <w:tab/>
        <w:t>Por último, la inexplicable dispar</w:t>
      </w:r>
      <w:r>
        <w:t>i</w:t>
      </w:r>
      <w:r>
        <w:t>dad entre la fecha del auto de falta de mérito glosado a fs. 17.464, que ordena la libertad de Miriam Salinas, y su n</w:t>
      </w:r>
      <w:r>
        <w:t>o</w:t>
      </w:r>
      <w:r>
        <w:t>tificación al día siguiente, solo puede implicar la fals</w:t>
      </w:r>
      <w:r>
        <w:t>e</w:t>
      </w:r>
      <w:r>
        <w:t>dad de alguna de esas fechas.</w:t>
      </w:r>
    </w:p>
    <w:p w:rsidR="00224567" w:rsidRDefault="00224567">
      <w:pPr>
        <w:tabs>
          <w:tab w:val="left" w:pos="2835"/>
        </w:tabs>
      </w:pPr>
      <w:r>
        <w:tab/>
        <w:t>Valga señalar que Miriam Salinas r</w:t>
      </w:r>
      <w:r>
        <w:t>e</w:t>
      </w:r>
      <w:r>
        <w:t>cordó que se notificó de esa resolución en el momento de recuperar su l</w:t>
      </w:r>
      <w:r>
        <w:t>i</w:t>
      </w:r>
      <w:r>
        <w:t>bertad.</w:t>
      </w:r>
    </w:p>
    <w:p w:rsidR="00224567" w:rsidRDefault="00224567">
      <w:pPr>
        <w:pStyle w:val="Ttulo4"/>
      </w:pPr>
      <w:r>
        <w:tab/>
      </w:r>
      <w:bookmarkStart w:id="19" w:name="_Toc86642679"/>
      <w:r>
        <w:t>H.6) La situación de Pablo Ib</w:t>
      </w:r>
      <w:r>
        <w:t>á</w:t>
      </w:r>
      <w:r>
        <w:t>ñez.</w:t>
      </w:r>
      <w:bookmarkEnd w:id="19"/>
    </w:p>
    <w:p w:rsidR="00224567" w:rsidRDefault="00224567">
      <w:pPr>
        <w:tabs>
          <w:tab w:val="left" w:pos="2835"/>
        </w:tabs>
      </w:pPr>
      <w:r>
        <w:tab/>
        <w:t>Con lo hasta aquí expuesto ha quedado evidenciada la coacción ejercida por el magistrado in</w:t>
      </w:r>
      <w:r>
        <w:t>s</w:t>
      </w:r>
      <w:r>
        <w:t>tructor a Miriam Salinas, al ofrecerle desvincularla de las imputaciones que pesaban sobre ella, a cambio de que preste una declaración testimonial que comprometa a T</w:t>
      </w:r>
      <w:r>
        <w:t>e</w:t>
      </w:r>
      <w:r>
        <w:t>lleldín.</w:t>
      </w:r>
    </w:p>
    <w:p w:rsidR="00224567" w:rsidRDefault="00224567">
      <w:pPr>
        <w:tabs>
          <w:tab w:val="left" w:pos="2835"/>
        </w:tabs>
      </w:pPr>
      <w:r>
        <w:tab/>
        <w:t>Pero, además, se ha advertido, confo</w:t>
      </w:r>
      <w:r>
        <w:t>r</w:t>
      </w:r>
      <w:r>
        <w:t>me lo declarara Claudio Lifschitz, que la situación proc</w:t>
      </w:r>
      <w:r>
        <w:t>e</w:t>
      </w:r>
      <w:r>
        <w:t>sal de la pareja de Miriam Salinas Pablo Ibáñez, también constituyó una moneda de cambio en esa negoci</w:t>
      </w:r>
      <w:r>
        <w:t>a</w:t>
      </w:r>
      <w:r>
        <w:t>ción.</w:t>
      </w:r>
    </w:p>
    <w:p w:rsidR="00224567" w:rsidRDefault="00224567">
      <w:pPr>
        <w:tabs>
          <w:tab w:val="left" w:pos="2835"/>
        </w:tabs>
      </w:pPr>
      <w:r>
        <w:tab/>
        <w:t>Si bien no se pudo escuchar a Pablo Ibáñez durante la audiencia de debate, justamente, d</w:t>
      </w:r>
      <w:r>
        <w:t>e</w:t>
      </w:r>
      <w:r>
        <w:t>bido a la imputación que por el atentado pes</w:t>
      </w:r>
      <w:r>
        <w:t>a</w:t>
      </w:r>
      <w:r>
        <w:t>ba sobre aquél, el repaso de las actuaciones labradas a su respecto perm</w:t>
      </w:r>
      <w:r>
        <w:t>i</w:t>
      </w:r>
      <w:r>
        <w:t>ten arribar a la conclusión antedicha.</w:t>
      </w:r>
    </w:p>
    <w:p w:rsidR="00224567" w:rsidRDefault="00224567">
      <w:pPr>
        <w:tabs>
          <w:tab w:val="left" w:pos="2835"/>
        </w:tabs>
      </w:pPr>
      <w:r>
        <w:tab/>
        <w:t>Adviértase la similitud del proceder empleado respecto de Miriam Salinas en cuanto al cont</w:t>
      </w:r>
      <w:r>
        <w:t>e</w:t>
      </w:r>
      <w:r>
        <w:t>nido de sus declaraciones indagatorias. Según el acta de fs. 16.864/16.865, el 5 de octubre de 1995 Pablo Ibáñez se l</w:t>
      </w:r>
      <w:r>
        <w:t>i</w:t>
      </w:r>
      <w:r>
        <w:t>mitó a solicitar la suspensión de la audiencia. Al día s</w:t>
      </w:r>
      <w:r>
        <w:t>i</w:t>
      </w:r>
      <w:r>
        <w:t>guiente hizo uso de su derecho de negarse a d</w:t>
      </w:r>
      <w:r>
        <w:t>e</w:t>
      </w:r>
      <w:r>
        <w:t>clarar (cfr. fs. 17.410/17.411).</w:t>
      </w:r>
    </w:p>
    <w:p w:rsidR="00224567" w:rsidRDefault="00224567">
      <w:pPr>
        <w:tabs>
          <w:tab w:val="left" w:pos="2835"/>
        </w:tabs>
      </w:pPr>
      <w:r>
        <w:tab/>
        <w:t>El 2 de noviembre de 1995 el juez d</w:t>
      </w:r>
      <w:r>
        <w:t>e</w:t>
      </w:r>
      <w:r>
        <w:t>cretó su proces</w:t>
      </w:r>
      <w:r>
        <w:t>a</w:t>
      </w:r>
      <w:r>
        <w:t>miento por el delito de tenencia simple de estupefacientes y dispuso su inmediata libertad. Sin e</w:t>
      </w:r>
      <w:r>
        <w:t>m</w:t>
      </w:r>
      <w:r>
        <w:t>bargo, sobre Pablo Ibáñez pesaba la imputación como part</w:t>
      </w:r>
      <w:r>
        <w:t>í</w:t>
      </w:r>
      <w:r>
        <w:t>cipe en el atentado conforme a la intimación co</w:t>
      </w:r>
      <w:r>
        <w:t>n</w:t>
      </w:r>
      <w:r>
        <w:t>tenida en las indagatorias más arriba reseñadas.</w:t>
      </w:r>
    </w:p>
    <w:p w:rsidR="00224567" w:rsidRDefault="00224567">
      <w:pPr>
        <w:tabs>
          <w:tab w:val="left" w:pos="2835"/>
        </w:tabs>
      </w:pPr>
      <w:r>
        <w:tab/>
        <w:t>Como ya se dijo, la imputación por el atentado dirigida a Pablo Ibáñez recién fue resuelta por el magistrado instructor en forma provisoria el 9 de ago</w:t>
      </w:r>
      <w:r>
        <w:t>s</w:t>
      </w:r>
      <w:r>
        <w:t>to de 2000, mediante el dictado del auto de falta de mér</w:t>
      </w:r>
      <w:r>
        <w:t>i</w:t>
      </w:r>
      <w:r>
        <w:t>to.</w:t>
      </w:r>
    </w:p>
    <w:p w:rsidR="00224567" w:rsidRDefault="00224567">
      <w:pPr>
        <w:tabs>
          <w:tab w:val="left" w:pos="2835"/>
        </w:tabs>
      </w:pPr>
      <w:r>
        <w:tab/>
        <w:t>En esa oportunidad el juez citó, para justificar su demora en resolver la situ</w:t>
      </w:r>
      <w:r>
        <w:t>a</w:t>
      </w:r>
      <w:r>
        <w:t>ción procesal de Pablo Ibáñez, un párrafo contenido en el auto de falta de mérito de varios policías imputados por el ataque (fs. 49.001/49.002).</w:t>
      </w:r>
    </w:p>
    <w:p w:rsidR="00224567" w:rsidRDefault="00224567">
      <w:pPr>
        <w:tabs>
          <w:tab w:val="left" w:pos="2835"/>
        </w:tabs>
      </w:pPr>
      <w:r>
        <w:tab/>
        <w:t>Esa resolución fue dictada en cumpl</w:t>
      </w:r>
      <w:r>
        <w:t>i</w:t>
      </w:r>
      <w:r>
        <w:t>miento a la intimación efectuada por el tribunal de a</w:t>
      </w:r>
      <w:r>
        <w:t>l</w:t>
      </w:r>
      <w:r>
        <w:t>zada en d</w:t>
      </w:r>
      <w:r>
        <w:t>i</w:t>
      </w:r>
      <w:r>
        <w:t>ciembre de 1998 para que, en el término de diez días hábiles, se pronunciara respecto de la situ</w:t>
      </w:r>
      <w:r>
        <w:t>a</w:t>
      </w:r>
      <w:r>
        <w:t>ción procesal de algunos de los imp</w:t>
      </w:r>
      <w:r>
        <w:t>u</w:t>
      </w:r>
      <w:r>
        <w:t>tados que fueron indagados en julio de 1996, de conformidad con lo di</w:t>
      </w:r>
      <w:r>
        <w:t>s</w:t>
      </w:r>
      <w:r>
        <w:t xml:space="preserve">puesto por los artículos 306, 309 ó 336 del Código Procesal Penal de </w:t>
      </w:r>
      <w:smartTag w:uri="urn:schemas-microsoft-com:office:smarttags" w:element="PersonName">
        <w:smartTagPr>
          <w:attr w:name="ProductID" w:val="la Naci￳n"/>
        </w:smartTagPr>
        <w:r>
          <w:t>la N</w:t>
        </w:r>
        <w:r>
          <w:t>a</w:t>
        </w:r>
        <w:r>
          <w:t>ción</w:t>
        </w:r>
      </w:smartTag>
      <w:r>
        <w:t xml:space="preserve"> (fs. 48.998/49.000).</w:t>
      </w:r>
    </w:p>
    <w:p w:rsidR="00224567" w:rsidRDefault="00224567">
      <w:pPr>
        <w:tabs>
          <w:tab w:val="left" w:pos="2835"/>
        </w:tabs>
      </w:pPr>
      <w:r>
        <w:tab/>
        <w:t>Allí el Dr. Galeano, a modo de just</w:t>
      </w:r>
      <w:r>
        <w:t>i</w:t>
      </w:r>
      <w:r>
        <w:t>ficación, sostuvo que: “La falta de resolución de los i</w:t>
      </w:r>
      <w:r>
        <w:t>n</w:t>
      </w:r>
      <w:r>
        <w:t>dagados por la imputación del atentado no respondió a un olvido o a un capricho del suscripto, sino que, en su m</w:t>
      </w:r>
      <w:r>
        <w:t>o</w:t>
      </w:r>
      <w:r>
        <w:t>mento, pareció ser lo más atinado dada la alta complejidad de los hechos, y según la visión de la causa que en ese momento se tenía” (cfr. fs. 49.001 vue</w:t>
      </w:r>
      <w:r>
        <w:t>l</w:t>
      </w:r>
      <w:r>
        <w:t>ta).</w:t>
      </w:r>
    </w:p>
    <w:p w:rsidR="00224567" w:rsidRDefault="00224567">
      <w:pPr>
        <w:tabs>
          <w:tab w:val="left" w:pos="2835"/>
        </w:tabs>
      </w:pPr>
      <w:r>
        <w:tab/>
        <w:t>Sin embargo, el magistrado in</w:t>
      </w:r>
      <w:r>
        <w:t>s</w:t>
      </w:r>
      <w:r>
        <w:t>tructor no fundamentó en qué obstaculizaba la investigación el dictado de esta resolución en tiempo oportuno.</w:t>
      </w:r>
    </w:p>
    <w:p w:rsidR="00224567" w:rsidRDefault="00224567">
      <w:pPr>
        <w:tabs>
          <w:tab w:val="left" w:pos="2835"/>
        </w:tabs>
      </w:pPr>
      <w:r>
        <w:tab/>
        <w:t>De todas formas, el juez pretendió asignarle una naturaleza accidental a la falta de resol</w:t>
      </w:r>
      <w:r>
        <w:t>u</w:t>
      </w:r>
      <w:r>
        <w:t>ción de la situación de Pablo Ibáñez al señalar que “h</w:t>
      </w:r>
      <w:r>
        <w:t>a</w:t>
      </w:r>
      <w:r>
        <w:t>ciendo una evaluación de la totalidad de los elementos r</w:t>
      </w:r>
      <w:r>
        <w:t>e</w:t>
      </w:r>
      <w:r>
        <w:t>cogidos a lo largo de la pesquisa” se advirtió que no se había adoptado una resolución sobre el mérito existente respecto del imput</w:t>
      </w:r>
      <w:r>
        <w:t>a</w:t>
      </w:r>
      <w:r>
        <w:t>do.</w:t>
      </w:r>
    </w:p>
    <w:p w:rsidR="00224567" w:rsidRDefault="00224567">
      <w:pPr>
        <w:tabs>
          <w:tab w:val="left" w:pos="2835"/>
        </w:tabs>
      </w:pPr>
      <w:r>
        <w:tab/>
        <w:t>Los argumentos justificatorios volc</w:t>
      </w:r>
      <w:r>
        <w:t>a</w:t>
      </w:r>
      <w:r>
        <w:t>dos por el juez en las resoluciones citadas no pueden ser acept</w:t>
      </w:r>
      <w:r>
        <w:t>a</w:t>
      </w:r>
      <w:r>
        <w:t>dos.</w:t>
      </w:r>
    </w:p>
    <w:p w:rsidR="00224567" w:rsidRDefault="00224567">
      <w:pPr>
        <w:tabs>
          <w:tab w:val="left" w:pos="2835"/>
        </w:tabs>
      </w:pPr>
      <w:r>
        <w:tab/>
        <w:t>En efecto, destacar que la irregular</w:t>
      </w:r>
      <w:r>
        <w:t>i</w:t>
      </w:r>
      <w:r>
        <w:t>dad consistente en la omisión de resolver la situ</w:t>
      </w:r>
      <w:r>
        <w:t>a</w:t>
      </w:r>
      <w:r>
        <w:t>ción de Pablo Ibáñez ya la había cometido respecto de otros imp</w:t>
      </w:r>
      <w:r>
        <w:t>u</w:t>
      </w:r>
      <w:r>
        <w:t>tados lejos de eximir su respo</w:t>
      </w:r>
      <w:r>
        <w:t>n</w:t>
      </w:r>
      <w:r>
        <w:t>sabilidad por ese error, la acentúa. Al reeditar e</w:t>
      </w:r>
      <w:r>
        <w:t>s</w:t>
      </w:r>
      <w:r>
        <w:t>ta grave falencia solo demuestra su indiferencia por superar estas graves equivocaciones. M</w:t>
      </w:r>
      <w:r>
        <w:t>á</w:t>
      </w:r>
      <w:r>
        <w:t>xime, cuando en aquella oportunidad, esa situación había motivado la intimación que le cursara su superior funci</w:t>
      </w:r>
      <w:r>
        <w:t>o</w:t>
      </w:r>
      <w:r>
        <w:t>nal.</w:t>
      </w:r>
    </w:p>
    <w:p w:rsidR="00224567" w:rsidRDefault="00224567">
      <w:pPr>
        <w:tabs>
          <w:tab w:val="left" w:pos="2835"/>
        </w:tabs>
      </w:pPr>
      <w:r>
        <w:tab/>
        <w:t>Por otra parte, si bien es cierto que para el magistrado instructor no constituyó un escollo p</w:t>
      </w:r>
      <w:r>
        <w:t>a</w:t>
      </w:r>
      <w:r>
        <w:t>ra otorgar la libertad de algunos encausados que sobre ellos subsistiera la imputación por el atentado, sin s</w:t>
      </w:r>
      <w:r>
        <w:t>i</w:t>
      </w:r>
      <w:r>
        <w:t>quiera mediar un auto de falta de mérito, la s</w:t>
      </w:r>
      <w:r>
        <w:t>i</w:t>
      </w:r>
      <w:r>
        <w:t>tuación de Pablo Ibáñez resulta part</w:t>
      </w:r>
      <w:r>
        <w:t>i</w:t>
      </w:r>
      <w:r>
        <w:t>cular.</w:t>
      </w:r>
    </w:p>
    <w:p w:rsidR="00224567" w:rsidRDefault="00224567">
      <w:pPr>
        <w:tabs>
          <w:tab w:val="left" w:pos="2835"/>
        </w:tabs>
      </w:pPr>
      <w:r>
        <w:tab/>
        <w:t>Efectivamente, este imputado r</w:t>
      </w:r>
      <w:r>
        <w:t>e</w:t>
      </w:r>
      <w:r>
        <w:t>cuperó su libertad el 2 de noviembre de 1995 y, al día s</w:t>
      </w:r>
      <w:r>
        <w:t>i</w:t>
      </w:r>
      <w:r>
        <w:t>guiente, prestó declar</w:t>
      </w:r>
      <w:r>
        <w:t>a</w:t>
      </w:r>
      <w:r>
        <w:t>ción en el legajo de identidad reservada que contenía las deposiciones de su pareja, M</w:t>
      </w:r>
      <w:r>
        <w:t>i</w:t>
      </w:r>
      <w:r>
        <w:t>riam Salinas.</w:t>
      </w:r>
    </w:p>
    <w:p w:rsidR="00224567" w:rsidRDefault="00224567">
      <w:pPr>
        <w:tabs>
          <w:tab w:val="left" w:pos="2835"/>
        </w:tabs>
      </w:pPr>
      <w:r>
        <w:tab/>
        <w:t>Esta peculiar declaración no se aju</w:t>
      </w:r>
      <w:r>
        <w:t>s</w:t>
      </w:r>
      <w:r>
        <w:t>ta a ninguna de las previstas en el ordenamiento de r</w:t>
      </w:r>
      <w:r>
        <w:t>i</w:t>
      </w:r>
      <w:r>
        <w:t>to. En efecto, no cumple con las formas de una declaración ind</w:t>
      </w:r>
      <w:r>
        <w:t>a</w:t>
      </w:r>
      <w:r>
        <w:t>gatoria –valga recordarlo específicamente en estos actu</w:t>
      </w:r>
      <w:r>
        <w:t>a</w:t>
      </w:r>
      <w:r>
        <w:t>dos, única forma de incorporación de los dichos de un imputado al proceso– ni de una testimonial.</w:t>
      </w:r>
    </w:p>
    <w:p w:rsidR="00224567" w:rsidRDefault="00224567">
      <w:pPr>
        <w:tabs>
          <w:tab w:val="left" w:pos="2835"/>
        </w:tabs>
      </w:pPr>
      <w:r>
        <w:tab/>
        <w:t>Pero, además, en esa declaración, a partir de su incorporación al legajo reservado correspo</w:t>
      </w:r>
      <w:r>
        <w:t>n</w:t>
      </w:r>
      <w:r>
        <w:t>diente a Miriam Salinas, se le resguarda la identidad a Pablo Ibáñez, con lo cual se crearía la figura de un imp</w:t>
      </w:r>
      <w:r>
        <w:t>u</w:t>
      </w:r>
      <w:r>
        <w:t>tado que prestó una declaración que no cumple las formas de una indagatoria ni de una testimonial y que, además, se efe</w:t>
      </w:r>
      <w:r>
        <w:t>c</w:t>
      </w:r>
      <w:r>
        <w:t>túa bajo reserva de identidad.</w:t>
      </w:r>
    </w:p>
    <w:p w:rsidR="00224567" w:rsidRDefault="00224567">
      <w:pPr>
        <w:tabs>
          <w:tab w:val="left" w:pos="2835"/>
        </w:tabs>
      </w:pPr>
      <w:r>
        <w:tab/>
        <w:t>Nuevamente, debe afirmarse, enérgic</w:t>
      </w:r>
      <w:r>
        <w:t>a</w:t>
      </w:r>
      <w:r>
        <w:t>mente, que las categorías procesales no se encuentran subordinadas a la imaginación de los ju</w:t>
      </w:r>
      <w:r>
        <w:t>e</w:t>
      </w:r>
      <w:r>
        <w:t>ces sino al texto de la ley.</w:t>
      </w:r>
    </w:p>
    <w:p w:rsidR="00224567" w:rsidRDefault="00224567">
      <w:pPr>
        <w:tabs>
          <w:tab w:val="left" w:pos="2835"/>
        </w:tabs>
      </w:pPr>
      <w:r>
        <w:tab/>
        <w:t>Corresponde destacar que la fig</w:t>
      </w:r>
      <w:r>
        <w:t>u</w:t>
      </w:r>
      <w:r>
        <w:t>ra del testigo de identidad reservada ha sido una de las herr</w:t>
      </w:r>
      <w:r>
        <w:t>a</w:t>
      </w:r>
      <w:r>
        <w:t>mientas empleadas por el juez instructor, para ocultar  reiteradas mani</w:t>
      </w:r>
      <w:r>
        <w:t>o</w:t>
      </w:r>
      <w:r>
        <w:t>bras ilegales.</w:t>
      </w:r>
    </w:p>
    <w:p w:rsidR="00224567" w:rsidRDefault="00224567">
      <w:pPr>
        <w:tabs>
          <w:tab w:val="left" w:pos="2835"/>
        </w:tabs>
      </w:pPr>
      <w:r>
        <w:rPr>
          <w:color w:val="FF0000"/>
        </w:rPr>
        <w:tab/>
      </w:r>
      <w:r>
        <w:t>A esta altura del análisis, luego de haber reseñado las numerosas irregularidades c</w:t>
      </w:r>
      <w:r>
        <w:t>o</w:t>
      </w:r>
      <w:r>
        <w:t>metidas por el magistrado instructor respecto de Miriam Salinas, a</w:t>
      </w:r>
      <w:r>
        <w:t>d</w:t>
      </w:r>
      <w:r>
        <w:t>quiere otro significado la libertad otorgada a Pablo Ib</w:t>
      </w:r>
      <w:r>
        <w:t>á</w:t>
      </w:r>
      <w:r>
        <w:t>ñez, aún cuando pesaba sobre él una imputación no resue</w:t>
      </w:r>
      <w:r>
        <w:t>l</w:t>
      </w:r>
      <w:r>
        <w:t>ta, ni siquiera bajo el dictado de la falta de mérito, c</w:t>
      </w:r>
      <w:r>
        <w:t>o</w:t>
      </w:r>
      <w:r>
        <w:t>mo partícipe en el atentado. Valga recordar que su libe</w:t>
      </w:r>
      <w:r>
        <w:t>r</w:t>
      </w:r>
      <w:r>
        <w:t>tad se ordenó el día anterior a que “col</w:t>
      </w:r>
      <w:r>
        <w:t>a</w:t>
      </w:r>
      <w:r>
        <w:t>borara” prestando decl</w:t>
      </w:r>
      <w:r>
        <w:t>a</w:t>
      </w:r>
      <w:r>
        <w:t>ración en el legajo de identidad reservada de Miriam Salinas.</w:t>
      </w:r>
    </w:p>
    <w:p w:rsidR="00224567" w:rsidRDefault="00224567">
      <w:pPr>
        <w:tabs>
          <w:tab w:val="left" w:pos="2835"/>
        </w:tabs>
      </w:pPr>
      <w:r>
        <w:tab/>
        <w:t>Por otra parte, las filmaciones en las que se observa a Miriam Salinas y a Pablo Ibáñez entrevi</w:t>
      </w:r>
      <w:r>
        <w:t>s</w:t>
      </w:r>
      <w:r>
        <w:t>tando, clandestinamente, a algunos imputados de esta ca</w:t>
      </w:r>
      <w:r>
        <w:t>u</w:t>
      </w:r>
      <w:r>
        <w:t>sa, según la propuesta del ju</w:t>
      </w:r>
      <w:r>
        <w:t>z</w:t>
      </w:r>
      <w:r>
        <w:t>gado instructor, contribuyen a establecer el oscuro rol que desplegó a su respecto el Dr. Gale</w:t>
      </w:r>
      <w:r>
        <w:t>a</w:t>
      </w:r>
      <w:r>
        <w:t>no.</w:t>
      </w:r>
    </w:p>
    <w:p w:rsidR="00224567" w:rsidRDefault="00224567">
      <w:pPr>
        <w:tabs>
          <w:tab w:val="left" w:pos="2835"/>
        </w:tabs>
      </w:pPr>
      <w:r>
        <w:tab/>
        <w:t>Como se dijo, fue la subsistencia de esa imputación la que impidió que Pablo Ibáñez declare d</w:t>
      </w:r>
      <w:r>
        <w:t>u</w:t>
      </w:r>
      <w:r>
        <w:t>rante el debate (cfr. certificación de fs. 94.822, auto de admisibilidad de prueba de fs. 94.825/94.898) pese a las insistencias del Tribunal al magistrado instructor para que resuelva esa situación (cfr. apartado 18 de la resol</w:t>
      </w:r>
      <w:r>
        <w:t>u</w:t>
      </w:r>
      <w:r>
        <w:t>ción de fs. 95.193/95.207, auto de fs. 110.863/4, oficio que en copia obra a fs. 110.869 y certificación de fs. 110.870 que da cuenta de su diligenciamie</w:t>
      </w:r>
      <w:r>
        <w:t>n</w:t>
      </w:r>
      <w:r>
        <w:t>to).</w:t>
      </w:r>
    </w:p>
    <w:p w:rsidR="00224567" w:rsidRDefault="00224567">
      <w:pPr>
        <w:tabs>
          <w:tab w:val="left" w:pos="2835"/>
        </w:tabs>
      </w:pPr>
      <w:r>
        <w:tab/>
        <w:t>Pero respecto de Pablo Ibáñez se ver</w:t>
      </w:r>
      <w:r>
        <w:t>i</w:t>
      </w:r>
      <w:r>
        <w:t>fica además cómo el magistrado instructor protegió, al igual que lo hizo con el abogado Gustavo Semorile, la eventual imputación que podía corresponderle por la com</w:t>
      </w:r>
      <w:r>
        <w:t>i</w:t>
      </w:r>
      <w:r>
        <w:t>sión de un ilícito.</w:t>
      </w:r>
    </w:p>
    <w:p w:rsidR="00224567" w:rsidRDefault="00224567">
      <w:pPr>
        <w:tabs>
          <w:tab w:val="left" w:pos="2835"/>
        </w:tabs>
      </w:pPr>
      <w:r>
        <w:tab/>
        <w:t>En efecto, el juez otorgaba como mon</w:t>
      </w:r>
      <w:r>
        <w:t>e</w:t>
      </w:r>
      <w:r>
        <w:t>da de cambio a quienes aceptaran “colaborar” con la inve</w:t>
      </w:r>
      <w:r>
        <w:t>s</w:t>
      </w:r>
      <w:r>
        <w:t>tigación, dirigiendo imputaciones hacia otros e</w:t>
      </w:r>
      <w:r>
        <w:t>n</w:t>
      </w:r>
      <w:r>
        <w:t>causados, el ocultamiento de los ilícitos que el “colaborador” h</w:t>
      </w:r>
      <w:r>
        <w:t>u</w:t>
      </w:r>
      <w:r>
        <w:t>biera com</w:t>
      </w:r>
      <w:r>
        <w:t>e</w:t>
      </w:r>
      <w:r>
        <w:t>tido.</w:t>
      </w:r>
    </w:p>
    <w:p w:rsidR="00224567" w:rsidRDefault="00224567">
      <w:pPr>
        <w:tabs>
          <w:tab w:val="left" w:pos="2835"/>
        </w:tabs>
      </w:pPr>
      <w:r>
        <w:tab/>
        <w:t>Así, se omitió interrogar a Pablo Ib</w:t>
      </w:r>
      <w:r>
        <w:t>á</w:t>
      </w:r>
      <w:r>
        <w:t>ñez y a M</w:t>
      </w:r>
      <w:r>
        <w:t>i</w:t>
      </w:r>
      <w:r>
        <w:t>riam Salinas por la tenencia de la moto Kawasaki KMX 125 dominio 328 APX que en los autos de mérito, se consideró parte del botín entregado por Telleldín a pol</w:t>
      </w:r>
      <w:r>
        <w:t>i</w:t>
      </w:r>
      <w:r>
        <w:t xml:space="preserve">cías de </w:t>
      </w:r>
      <w:smartTag w:uri="urn:schemas-microsoft-com:office:smarttags" w:element="PersonName">
        <w:smartTagPr>
          <w:attr w:name="ProductID" w:val="la Brigada"/>
        </w:smartTagPr>
        <w:r>
          <w:t>la Brigada</w:t>
        </w:r>
      </w:smartTag>
      <w:r>
        <w:t xml:space="preserve"> de Investigaciones de L</w:t>
      </w:r>
      <w:r>
        <w:t>a</w:t>
      </w:r>
      <w:r>
        <w:t>nús.</w:t>
      </w:r>
    </w:p>
    <w:p w:rsidR="00224567" w:rsidRDefault="00224567">
      <w:pPr>
        <w:tabs>
          <w:tab w:val="left" w:pos="2835"/>
        </w:tabs>
      </w:pPr>
      <w:r>
        <w:tab/>
        <w:t>En primer lugar esta información su</w:t>
      </w:r>
      <w:r>
        <w:t>r</w:t>
      </w:r>
      <w:r>
        <w:t>gía de los propios dichos del abogado Semorile en su d</w:t>
      </w:r>
      <w:r>
        <w:t>e</w:t>
      </w:r>
      <w:r>
        <w:t>claración prest</w:t>
      </w:r>
      <w:r>
        <w:t>a</w:t>
      </w:r>
      <w:r>
        <w:t>da bajo identidad reservada el 4 de junio de 1996 cuando afirmó, respecto de ese vehículo, que: “s</w:t>
      </w:r>
      <w:r>
        <w:t>a</w:t>
      </w:r>
      <w:r>
        <w:t>be que llegó a manos de Miriam Salinas y Pablo Ibáñez, los que luego la comercializaron, desconociendo el destino a</w:t>
      </w:r>
      <w:r>
        <w:t>c</w:t>
      </w:r>
      <w:r>
        <w:t>tual de la mi</w:t>
      </w:r>
      <w:r>
        <w:t>s</w:t>
      </w:r>
      <w:r>
        <w:t>ma” (cfr. 111.441 vta.).</w:t>
      </w:r>
    </w:p>
    <w:p w:rsidR="00224567" w:rsidRDefault="00224567">
      <w:pPr>
        <w:tabs>
          <w:tab w:val="left" w:pos="2835"/>
        </w:tabs>
      </w:pPr>
      <w:r>
        <w:tab/>
        <w:t>No puede entonces atribuirse a la c</w:t>
      </w:r>
      <w:r>
        <w:t>a</w:t>
      </w:r>
      <w:r>
        <w:t>sualidad, a un olvido, ni a procurar garantizar el anon</w:t>
      </w:r>
      <w:r>
        <w:t>i</w:t>
      </w:r>
      <w:r>
        <w:t xml:space="preserve">mato del testigo, como lo afirmó </w:t>
      </w:r>
      <w:smartTag w:uri="urn:schemas-microsoft-com:office:smarttags" w:element="PersonName">
        <w:smartTagPr>
          <w:attr w:name="ProductID" w:val="la Dra. Spina"/>
        </w:smartTagPr>
        <w:r>
          <w:t>la Dra. Spina</w:t>
        </w:r>
      </w:smartTag>
      <w:r>
        <w:t xml:space="preserve"> dura</w:t>
      </w:r>
      <w:r>
        <w:t>n</w:t>
      </w:r>
      <w:r>
        <w:t>te el debate, que en la certificación del contenido de los d</w:t>
      </w:r>
      <w:r>
        <w:t>i</w:t>
      </w:r>
      <w:r>
        <w:t>chos de Semorile (cfr. fs. 38.708) efectuada el 10 de j</w:t>
      </w:r>
      <w:r>
        <w:t>u</w:t>
      </w:r>
      <w:r>
        <w:t>lio de 1996, se haya omitido destacar la relevante ci</w:t>
      </w:r>
      <w:r>
        <w:t>r</w:t>
      </w:r>
      <w:r>
        <w:t>cunstancia afirmada por el testigo de identidad rese</w:t>
      </w:r>
      <w:r>
        <w:t>r</w:t>
      </w:r>
      <w:r>
        <w:t>vada.</w:t>
      </w:r>
    </w:p>
    <w:p w:rsidR="00224567" w:rsidRDefault="00224567">
      <w:pPr>
        <w:pStyle w:val="Sangradetextonormal"/>
        <w:tabs>
          <w:tab w:val="left" w:pos="2835"/>
        </w:tabs>
        <w:ind w:firstLine="0"/>
      </w:pPr>
      <w:r>
        <w:tab/>
        <w:t>Para contextualizar esa certific</w:t>
      </w:r>
      <w:r>
        <w:t>a</w:t>
      </w:r>
      <w:r>
        <w:t>ción, demorada e incompleta, c</w:t>
      </w:r>
      <w:r>
        <w:t>a</w:t>
      </w:r>
      <w:r>
        <w:t>be recordar que fue en esa fecha cuando se le recibió declaración testimonial por la entr</w:t>
      </w:r>
      <w:r>
        <w:t>e</w:t>
      </w:r>
      <w:r>
        <w:t>ga de la camioneta Trafic a Ana Boragni, Eduardo Telleldín y Guillermo Cotoras, quienes revestían carácter de imp</w:t>
      </w:r>
      <w:r>
        <w:t>u</w:t>
      </w:r>
      <w:r>
        <w:t>tados, para que avalaran la versión extorsiva sostenida por Carlos Telleldín en la clandestinamente remunerada d</w:t>
      </w:r>
      <w:r>
        <w:t>e</w:t>
      </w:r>
      <w:r>
        <w:t>claración indagatoria de ci</w:t>
      </w:r>
      <w:r>
        <w:t>n</w:t>
      </w:r>
      <w:r>
        <w:t>co días antes.</w:t>
      </w:r>
    </w:p>
    <w:p w:rsidR="00224567" w:rsidRDefault="00224567">
      <w:pPr>
        <w:tabs>
          <w:tab w:val="left" w:pos="2835"/>
        </w:tabs>
      </w:pPr>
      <w:r>
        <w:tab/>
        <w:t>Pero, además, en la investigación del derrotero de esta motocicleta se advierten serias irreg</w:t>
      </w:r>
      <w:r>
        <w:t>u</w:t>
      </w:r>
      <w:r>
        <w:t>laridades en el actuar del doctor Galeano que no pueden soslaya</w:t>
      </w:r>
      <w:r>
        <w:t>r</w:t>
      </w:r>
      <w:r>
        <w:t>se.</w:t>
      </w:r>
    </w:p>
    <w:p w:rsidR="00224567" w:rsidRDefault="00224567">
      <w:pPr>
        <w:tabs>
          <w:tab w:val="left" w:pos="2835"/>
        </w:tabs>
      </w:pPr>
      <w:r>
        <w:tab/>
        <w:t>El juez dispuso recibirle decl</w:t>
      </w:r>
      <w:r>
        <w:t>a</w:t>
      </w:r>
      <w:r>
        <w:t>ración a todos los poseedores de este vehículo, c</w:t>
      </w:r>
      <w:r>
        <w:t>o</w:t>
      </w:r>
      <w:r>
        <w:t>menzando por el último, para, de esta forma, reconstruir íntegramente la cadena de tra</w:t>
      </w:r>
      <w:r>
        <w:t>s</w:t>
      </w:r>
      <w:r>
        <w:t>pasos.</w:t>
      </w:r>
    </w:p>
    <w:p w:rsidR="00224567" w:rsidRDefault="00224567">
      <w:pPr>
        <w:tabs>
          <w:tab w:val="left" w:pos="2835"/>
        </w:tabs>
      </w:pPr>
      <w:r>
        <w:tab/>
        <w:t>Así fueron identificados como tened</w:t>
      </w:r>
      <w:r>
        <w:t>o</w:t>
      </w:r>
      <w:r>
        <w:t>res del vehículo, con posterioridad a Carlos Telleldín, entre otros, Juan Manuel Ledesma, Eric Hernán Ferrer y L</w:t>
      </w:r>
      <w:r>
        <w:t>o</w:t>
      </w:r>
      <w:r>
        <w:t>reto Si</w:t>
      </w:r>
      <w:r>
        <w:t>n</w:t>
      </w:r>
      <w:r>
        <w:t>dulfo Meza.</w:t>
      </w:r>
    </w:p>
    <w:p w:rsidR="00224567" w:rsidRDefault="00224567">
      <w:pPr>
        <w:tabs>
          <w:tab w:val="left" w:pos="2835"/>
        </w:tabs>
      </w:pPr>
      <w:r>
        <w:tab/>
        <w:t>Pero en este actuar es notorio el di</w:t>
      </w:r>
      <w:r>
        <w:t>s</w:t>
      </w:r>
      <w:r>
        <w:t>tinto celo puesto por el magistrado en la búsqu</w:t>
      </w:r>
      <w:r>
        <w:t>e</w:t>
      </w:r>
      <w:r>
        <w:t>da de los diferentes p</w:t>
      </w:r>
      <w:r>
        <w:t>o</w:t>
      </w:r>
      <w:r>
        <w:t>seedores de este vehículo.</w:t>
      </w:r>
    </w:p>
    <w:p w:rsidR="00224567" w:rsidRDefault="00224567">
      <w:pPr>
        <w:tabs>
          <w:tab w:val="left" w:pos="2835"/>
        </w:tabs>
      </w:pPr>
      <w:r>
        <w:tab/>
        <w:t>En efecto, aunque Eric Ferrer se co</w:t>
      </w:r>
      <w:r>
        <w:t>m</w:t>
      </w:r>
      <w:r>
        <w:t>prometió a aportar el domicilio del comprador Juan M</w:t>
      </w:r>
      <w:r>
        <w:t>a</w:t>
      </w:r>
      <w:r>
        <w:t>nuel Ledesma, el juez le encomendó dicha tarea al personal p</w:t>
      </w:r>
      <w:r>
        <w:t>o</w:t>
      </w:r>
      <w:r>
        <w:t>licial (cfr. fs. 41.320).</w:t>
      </w:r>
    </w:p>
    <w:p w:rsidR="00224567" w:rsidRDefault="00224567">
      <w:pPr>
        <w:tabs>
          <w:tab w:val="left" w:pos="2835"/>
        </w:tabs>
      </w:pPr>
      <w:r>
        <w:tab/>
        <w:t>En cambio, el instructor decidió esp</w:t>
      </w:r>
      <w:r>
        <w:t>e</w:t>
      </w:r>
      <w:r>
        <w:t>rar que Ledesma –quien declaró el 30 de octubre de 1996– aportara la dirección del adquirente del vehíc</w:t>
      </w:r>
      <w:r>
        <w:t>u</w:t>
      </w:r>
      <w:r>
        <w:t>lo, a quien señaló como “Pablo” y que vivía en Olivos, Vicente L</w:t>
      </w:r>
      <w:r>
        <w:t>ó</w:t>
      </w:r>
      <w:r>
        <w:t>pez o San Isidro. Vale aclarar que el aporte de Ledesma se pr</w:t>
      </w:r>
      <w:r>
        <w:t>o</w:t>
      </w:r>
      <w:r>
        <w:t>dujo no a las 72 horas estipuladas, sino recién en su a</w:t>
      </w:r>
      <w:r>
        <w:t>m</w:t>
      </w:r>
      <w:r>
        <w:t>pliación testimonial de fs. 41.767 prestada tres meses y medio de</w:t>
      </w:r>
      <w:r>
        <w:t>s</w:t>
      </w:r>
      <w:r>
        <w:t>pués de que expirara el plazo concedido. Pero, lo más sorprendente, es que tal aparición no fue espontánea sino provocada por el s</w:t>
      </w:r>
      <w:r>
        <w:t>e</w:t>
      </w:r>
      <w:r>
        <w:t>cuestro del rodado que efectuaron funcionarios de la se</w:t>
      </w:r>
      <w:r>
        <w:t>c</w:t>
      </w:r>
      <w:r>
        <w:t>cional 33ª (cfr. fs. 41.664).</w:t>
      </w:r>
    </w:p>
    <w:p w:rsidR="00224567" w:rsidRDefault="00224567">
      <w:pPr>
        <w:tabs>
          <w:tab w:val="left" w:pos="2835"/>
        </w:tabs>
      </w:pPr>
      <w:r>
        <w:tab/>
        <w:t>Lo llamativo es que el magistrado no haya advertido con el dato aportado por Ledesma en su pr</w:t>
      </w:r>
      <w:r>
        <w:t>i</w:t>
      </w:r>
      <w:r>
        <w:t>mera declaración, que un tal Pablo fue el anterior pose</w:t>
      </w:r>
      <w:r>
        <w:t>e</w:t>
      </w:r>
      <w:r>
        <w:t xml:space="preserve">dor del vehículo, coincidía con lo ya sostenido por el testigo de identidad reservada </w:t>
      </w:r>
      <w:smartTag w:uri="urn:schemas-microsoft-com:office:smarttags" w:element="metricconverter">
        <w:smartTagPr>
          <w:attr w:name="ProductID" w:val="2, a"/>
        </w:smartTagPr>
        <w:r>
          <w:t>2, a</w:t>
        </w:r>
      </w:smartTag>
      <w:r>
        <w:t xml:space="preserve"> la postre el abogado Gustavo Semorile, en su declaración del 4 de junio de 1996, al señalar que supo que la moto llegó a manos de M</w:t>
      </w:r>
      <w:r>
        <w:t>i</w:t>
      </w:r>
      <w:r>
        <w:t>riam Salinas y P</w:t>
      </w:r>
      <w:r>
        <w:t>a</w:t>
      </w:r>
      <w:r>
        <w:t>blo Ibáñez.</w:t>
      </w:r>
    </w:p>
    <w:p w:rsidR="00224567" w:rsidRDefault="00224567">
      <w:pPr>
        <w:tabs>
          <w:tab w:val="left" w:pos="2835"/>
        </w:tabs>
      </w:pPr>
      <w:r>
        <w:tab/>
        <w:t>Además, debe tenerse en cuenta que P</w:t>
      </w:r>
      <w:r>
        <w:t>a</w:t>
      </w:r>
      <w:r>
        <w:t>blo Ibáñez no era una persona desconocida del magi</w:t>
      </w:r>
      <w:r>
        <w:t>s</w:t>
      </w:r>
      <w:r>
        <w:t xml:space="preserve">trado, sino que ya había sido indagado por él –aunque no por este hecho– en octubre de 1995 (cfr. fs. 16.864 y 17.410) y su domicilio ya surgía del informe de </w:t>
      </w:r>
      <w:smartTag w:uri="urn:schemas-microsoft-com:office:smarttags" w:element="PersonName">
        <w:smartTagPr>
          <w:attr w:name="ProductID" w:val="la S.I"/>
        </w:smartTagPr>
        <w:r>
          <w:t>la S.I</w:t>
        </w:r>
      </w:smartTag>
      <w:r>
        <w:t>.D.E. del 9 de marzo de 1995 (cfr. fs. 9.968/9.969).</w:t>
      </w:r>
    </w:p>
    <w:p w:rsidR="00224567" w:rsidRDefault="00224567">
      <w:pPr>
        <w:tabs>
          <w:tab w:val="left" w:pos="2835"/>
        </w:tabs>
      </w:pPr>
      <w:r>
        <w:tab/>
        <w:t>Ahora, menos explicación tiene aún que, pese a ser mencionado por Ledesma por su nombre co</w:t>
      </w:r>
      <w:r>
        <w:t>m</w:t>
      </w:r>
      <w:r>
        <w:t>pleto en febrero de 1997, el juez instructor no d</w:t>
      </w:r>
      <w:r>
        <w:t>e</w:t>
      </w:r>
      <w:r>
        <w:t>cidiera recibirle ningún tipo de declaración por este hecho a P</w:t>
      </w:r>
      <w:r>
        <w:t>a</w:t>
      </w:r>
      <w:r>
        <w:t>blo Ib</w:t>
      </w:r>
      <w:r>
        <w:t>á</w:t>
      </w:r>
      <w:r>
        <w:t xml:space="preserve">ñez hasta abril de 2002. </w:t>
      </w:r>
    </w:p>
    <w:p w:rsidR="00224567" w:rsidRDefault="00224567">
      <w:pPr>
        <w:tabs>
          <w:tab w:val="left" w:pos="2835"/>
        </w:tabs>
      </w:pPr>
      <w:r>
        <w:tab/>
        <w:t>La irregularidad abarca aquella afi</w:t>
      </w:r>
      <w:r>
        <w:t>r</w:t>
      </w:r>
      <w:r>
        <w:t>mación del auto de elevación a juicio, dictado el 26 de febrero de 2000, donde se señalara “nunca pudo establece</w:t>
      </w:r>
      <w:r>
        <w:t>r</w:t>
      </w:r>
      <w:r>
        <w:t>se el itinerario total al que fue s</w:t>
      </w:r>
      <w:r>
        <w:t>o</w:t>
      </w:r>
      <w:r>
        <w:t>metida la moto”. Ello, toda vez que, como se ve, el magistrado interrumpió ine</w:t>
      </w:r>
      <w:r>
        <w:t>x</w:t>
      </w:r>
      <w:r>
        <w:t>plicablemente, y pese a tener serios elementos para cont</w:t>
      </w:r>
      <w:r>
        <w:t>i</w:t>
      </w:r>
      <w:r>
        <w:t>nuarla, la búsqueda de los poseedores del vehículo inve</w:t>
      </w:r>
      <w:r>
        <w:t>s</w:t>
      </w:r>
      <w:r>
        <w:t>tigado.</w:t>
      </w:r>
    </w:p>
    <w:p w:rsidR="00224567" w:rsidRDefault="00224567">
      <w:pPr>
        <w:tabs>
          <w:tab w:val="left" w:pos="2835"/>
        </w:tabs>
      </w:pPr>
      <w:r>
        <w:tab/>
        <w:t>Como se adelantó, fue recién el 11 de abril de 2002 que el Dr. Galeano ordenó recibirle declar</w:t>
      </w:r>
      <w:r>
        <w:t>a</w:t>
      </w:r>
      <w:r>
        <w:t>ción indagatoria por este hecho, la que se efectivizó el 31 de octubre de 2002 (cfr. fs. 937/938 y 1170/1174 del legajo 310). Para ese ento</w:t>
      </w:r>
      <w:r>
        <w:t>n</w:t>
      </w:r>
      <w:r>
        <w:t>ces, Gustavo Semorile ya había admitido en la audiencia de debate del 3 de ese mes que recibió la moto en cuestión.</w:t>
      </w:r>
    </w:p>
    <w:p w:rsidR="00224567" w:rsidRDefault="00224567">
      <w:pPr>
        <w:tabs>
          <w:tab w:val="left" w:pos="2835"/>
        </w:tabs>
      </w:pPr>
      <w:r>
        <w:tab/>
        <w:t>Si bien en julio de 2001 el juez ya había dispuesto escuchar a Pablo Ib</w:t>
      </w:r>
      <w:r>
        <w:t>á</w:t>
      </w:r>
      <w:r>
        <w:t>ñez, no puede de allí deducirse que el objeto de su convocatoria obed</w:t>
      </w:r>
      <w:r>
        <w:t>e</w:t>
      </w:r>
      <w:r>
        <w:t>ciera a la imputación por la tenencia de la m</w:t>
      </w:r>
      <w:r>
        <w:t>o</w:t>
      </w:r>
      <w:r>
        <w:t>to en cuestión, como lo pretendiera el magistrado instructor al dictar su falta de mérito por este hecho (cfr. fs. 1200/1201 del l</w:t>
      </w:r>
      <w:r>
        <w:t>e</w:t>
      </w:r>
      <w:r>
        <w:t>gajo 310).</w:t>
      </w:r>
    </w:p>
    <w:p w:rsidR="00224567" w:rsidRDefault="00224567">
      <w:pPr>
        <w:tabs>
          <w:tab w:val="left" w:pos="2835"/>
        </w:tabs>
      </w:pPr>
      <w:r>
        <w:tab/>
        <w:t>Se arriba a esta conclusión toda vez que en el decreto del 18 de julio de 2001 el magistrado justificó la convocatoria a Pablo Ibáñez a prestar decl</w:t>
      </w:r>
      <w:r>
        <w:t>a</w:t>
      </w:r>
      <w:r>
        <w:t>ración indagatoria y no a testimonial como en el caso de Jouce, “por encontrarse con auto de falta de m</w:t>
      </w:r>
      <w:r>
        <w:t>é</w:t>
      </w:r>
      <w:r>
        <w:t>rito en los autos principales” (fs. 736 vta. del legajo 310).</w:t>
      </w:r>
    </w:p>
    <w:p w:rsidR="00224567" w:rsidRDefault="00224567">
      <w:pPr>
        <w:tabs>
          <w:tab w:val="left" w:pos="2835"/>
        </w:tabs>
      </w:pPr>
      <w:r>
        <w:tab/>
        <w:t>Más allá de que hubiera sido c</w:t>
      </w:r>
      <w:r>
        <w:t>o</w:t>
      </w:r>
      <w:r>
        <w:t>rrecto que el magistrado instructor respetase este principio el</w:t>
      </w:r>
      <w:r>
        <w:t>e</w:t>
      </w:r>
      <w:r>
        <w:t>mental de no recibirle declaración jurada a quien aún r</w:t>
      </w:r>
      <w:r>
        <w:t>e</w:t>
      </w:r>
      <w:r>
        <w:t>vestía el carácter de imputado, y no como lo omitió re</w:t>
      </w:r>
      <w:r>
        <w:t>s</w:t>
      </w:r>
      <w:r>
        <w:t>pecto de Ana Boragni, Eduardo Telleldín, Hugo Pérez y Claudio Guillermo Cotoras entre otros, cabe destacar que esa declar</w:t>
      </w:r>
      <w:r>
        <w:t>a</w:t>
      </w:r>
      <w:r>
        <w:t>ción fue posteriormente dejada sin efecto (fs. 743 del legajo 310).</w:t>
      </w:r>
    </w:p>
    <w:p w:rsidR="00224567" w:rsidRDefault="00224567">
      <w:pPr>
        <w:tabs>
          <w:tab w:val="left" w:pos="2835"/>
        </w:tabs>
      </w:pPr>
      <w:r>
        <w:tab/>
        <w:t>Por todo lo expuesto, se advierte que la única razón para que Pablo Ibáñez no fuera interr</w:t>
      </w:r>
      <w:r>
        <w:t>o</w:t>
      </w:r>
      <w:r>
        <w:t>gado por la tenencia de la motocicleta desde 1996, cuando se tuvo conocimiento de esta circunstancia tanto por el co</w:t>
      </w:r>
      <w:r>
        <w:t>n</w:t>
      </w:r>
      <w:r>
        <w:t>tenido de la declaración bajo identidad reservada de Gu</w:t>
      </w:r>
      <w:r>
        <w:t>s</w:t>
      </w:r>
      <w:r>
        <w:t>tavo Semorile como por el testimonio de Juan Manuel Lede</w:t>
      </w:r>
      <w:r>
        <w:t>s</w:t>
      </w:r>
      <w:r>
        <w:t>ma, consistió en retribuir la “colab</w:t>
      </w:r>
      <w:r>
        <w:t>o</w:t>
      </w:r>
      <w:r>
        <w:t>ración” brindada por Gustavo Semorile, Miriam Salinas y Pablo Ibáñez, al incr</w:t>
      </w:r>
      <w:r>
        <w:t>i</w:t>
      </w:r>
      <w:r>
        <w:t>minar con sus declaraciones obtenidas bajo presión a Rib</w:t>
      </w:r>
      <w:r>
        <w:t>e</w:t>
      </w:r>
      <w:r>
        <w:t>lli y Telleldín, respectiv</w:t>
      </w:r>
      <w:r>
        <w:t>a</w:t>
      </w:r>
      <w:r>
        <w:t>mente.</w:t>
      </w:r>
    </w:p>
    <w:p w:rsidR="00224567" w:rsidRDefault="00224567">
      <w:pPr>
        <w:pStyle w:val="Ttulo4"/>
        <w:spacing w:line="600" w:lineRule="auto"/>
      </w:pPr>
      <w:r>
        <w:tab/>
      </w:r>
      <w:bookmarkStart w:id="20" w:name="_Toc86642680"/>
      <w:r>
        <w:t>H.7) Responsabilidad de los fi</w:t>
      </w:r>
      <w:r>
        <w:t>s</w:t>
      </w:r>
      <w:r>
        <w:t>cales.</w:t>
      </w:r>
      <w:bookmarkEnd w:id="20"/>
    </w:p>
    <w:p w:rsidR="00224567" w:rsidRDefault="00224567">
      <w:pPr>
        <w:tabs>
          <w:tab w:val="left" w:pos="2835"/>
        </w:tabs>
      </w:pPr>
      <w:r>
        <w:tab/>
        <w:t>Las irregularidades evidenciadas no deben ser exclusivamente atribuidas al magistrado instru</w:t>
      </w:r>
      <w:r>
        <w:t>c</w:t>
      </w:r>
      <w:r>
        <w:t>tor y a los funcionarios intervinientes del Juzgado Naci</w:t>
      </w:r>
      <w:r>
        <w:t>o</w:t>
      </w:r>
      <w:r>
        <w:t>nal en lo Criminal y Correccional Federal nº 9, sino ta</w:t>
      </w:r>
      <w:r>
        <w:t>m</w:t>
      </w:r>
      <w:r>
        <w:t>bién a los por entonces agentes fiscales doctores Eamon Mullen y José Barbaccia, quienes tomaron c</w:t>
      </w:r>
      <w:r>
        <w:t>o</w:t>
      </w:r>
      <w:r>
        <w:t>nocimiento del trámite irregular del legajo de identidad reservada y om</w:t>
      </w:r>
      <w:r>
        <w:t>i</w:t>
      </w:r>
      <w:r>
        <w:t>tieron efectuar las denuncias pert</w:t>
      </w:r>
      <w:r>
        <w:t>i</w:t>
      </w:r>
      <w:r>
        <w:t>nentes derivadas de su función de contralor de la leg</w:t>
      </w:r>
      <w:r>
        <w:t>a</w:t>
      </w:r>
      <w:r>
        <w:t>lidad del procedimiento.</w:t>
      </w:r>
    </w:p>
    <w:p w:rsidR="00224567" w:rsidRDefault="00224567"/>
    <w:p w:rsidR="00224567" w:rsidRDefault="00224567">
      <w:pPr>
        <w:pStyle w:val="Ttulo3"/>
        <w:keepNext w:val="0"/>
        <w:widowControl w:val="0"/>
      </w:pPr>
      <w:r>
        <w:t>I) Manejo arbitrario de imputaciones.</w:t>
      </w:r>
    </w:p>
    <w:p w:rsidR="00224567" w:rsidRDefault="00224567">
      <w:r>
        <w:rPr>
          <w:b/>
          <w:bCs/>
        </w:rPr>
        <w:tab/>
        <w:t>I.1)</w:t>
      </w:r>
      <w:r>
        <w:t xml:space="preserve"> Como ya se dijera, el juez in</w:t>
      </w:r>
      <w:r>
        <w:t>s</w:t>
      </w:r>
      <w:r>
        <w:t>tructor, en una clara muestra de la parcialidad que cara</w:t>
      </w:r>
      <w:r>
        <w:t>c</w:t>
      </w:r>
      <w:r>
        <w:t>terizó su actuación durante este proceso, realizó un man</w:t>
      </w:r>
      <w:r>
        <w:t>e</w:t>
      </w:r>
      <w:r>
        <w:t>jo arbitrario de las imputaciones d</w:t>
      </w:r>
      <w:r>
        <w:t>i</w:t>
      </w:r>
      <w:r>
        <w:t>rigidas a los policías acus</w:t>
      </w:r>
      <w:r>
        <w:t>a</w:t>
      </w:r>
      <w:r>
        <w:t>dos.</w:t>
      </w:r>
    </w:p>
    <w:p w:rsidR="00224567" w:rsidRDefault="00224567">
      <w:r>
        <w:tab/>
        <w:t>A tal fin debe destacarse que el m</w:t>
      </w:r>
      <w:r>
        <w:t>a</w:t>
      </w:r>
      <w:r>
        <w:t>gistrado dirigió y quitó imputaciones, incluso por el h</w:t>
      </w:r>
      <w:r>
        <w:t>e</w:t>
      </w:r>
      <w:r>
        <w:t>cho terrorista que aquí se juzga, con una superficial</w:t>
      </w:r>
      <w:r>
        <w:t>i</w:t>
      </w:r>
      <w:r>
        <w:t>dad que, en realidad, denota su utilización como forma de pr</w:t>
      </w:r>
      <w:r>
        <w:t>e</w:t>
      </w:r>
      <w:r>
        <w:t>sión hacia los enca</w:t>
      </w:r>
      <w:r>
        <w:t>u</w:t>
      </w:r>
      <w:r>
        <w:t>sados.</w:t>
      </w:r>
    </w:p>
    <w:p w:rsidR="00224567" w:rsidRDefault="00224567">
      <w:r>
        <w:tab/>
        <w:t>Así, el caso de Miriam Salinas, abo</w:t>
      </w:r>
      <w:r>
        <w:t>r</w:t>
      </w:r>
      <w:r>
        <w:t>dado precedentemente, permite entrever cómo el magi</w:t>
      </w:r>
      <w:r>
        <w:t>s</w:t>
      </w:r>
      <w:r>
        <w:t>trado vinculó y desvinculó del proceso a distintas personas, a tr</w:t>
      </w:r>
      <w:r>
        <w:t>a</w:t>
      </w:r>
      <w:r>
        <w:t>vés de maniobras espurias.</w:t>
      </w:r>
    </w:p>
    <w:p w:rsidR="00224567" w:rsidRDefault="00224567">
      <w:r>
        <w:tab/>
        <w:t>Como se recordará, allí el juez in</w:t>
      </w:r>
      <w:r>
        <w:t>s</w:t>
      </w:r>
      <w:r>
        <w:t>tructor se valió de la imputación del atentado a Miriam Salinas para obtener de ella una declaración jurada que incriminó a Carlos Telleldín. Con ese objeto, quien fina</w:t>
      </w:r>
      <w:r>
        <w:t>l</w:t>
      </w:r>
      <w:r>
        <w:t>mente deviniera en testigo de identidad reservada fue l</w:t>
      </w:r>
      <w:r>
        <w:t>i</w:t>
      </w:r>
      <w:r>
        <w:t>berada definitivamente del proceso en el exiguo plazo de una semana, con una celeridad y liviandad propias del ocultamiento de la maniobra ilícita det</w:t>
      </w:r>
      <w:r>
        <w:t>a</w:t>
      </w:r>
      <w:r>
        <w:t>llada.</w:t>
      </w:r>
    </w:p>
    <w:p w:rsidR="00224567" w:rsidRDefault="00224567">
      <w:pPr>
        <w:pStyle w:val="Sangradetextonormal"/>
        <w:widowControl w:val="0"/>
        <w:tabs>
          <w:tab w:val="left" w:pos="2835"/>
        </w:tabs>
        <w:ind w:firstLine="2880"/>
      </w:pPr>
      <w:r>
        <w:t>También se demostró la forma en que el juez instructor ocultó imputaciones como la que debió d</w:t>
      </w:r>
      <w:r>
        <w:t>i</w:t>
      </w:r>
      <w:r>
        <w:t>rigir al abogado Gustavo Semorile por la partic</w:t>
      </w:r>
      <w:r>
        <w:t>i</w:t>
      </w:r>
      <w:r>
        <w:t>pación en la denunciada extorsión a Telleldín de abril de 1994 y a Pablo Ibáñez por la posesión de uno de los vehículos que, según el magistrado y los representantes del Ministerio Público Fiscal, integró el botín entr</w:t>
      </w:r>
      <w:r>
        <w:t>e</w:t>
      </w:r>
      <w:r>
        <w:t xml:space="preserve">gado a funcionarios de </w:t>
      </w:r>
      <w:smartTag w:uri="urn:schemas-microsoft-com:office:smarttags" w:element="PersonName">
        <w:smartTagPr>
          <w:attr w:name="ProductID" w:val="la Brigada"/>
        </w:smartTagPr>
        <w:r>
          <w:t>la Brigada</w:t>
        </w:r>
      </w:smartTag>
      <w:r>
        <w:t xml:space="preserve"> de Lanús como rescate por la libertad de Carlos Telleldín y Sandra P</w:t>
      </w:r>
      <w:r>
        <w:t>e</w:t>
      </w:r>
      <w:r>
        <w:t>trucci.</w:t>
      </w:r>
    </w:p>
    <w:p w:rsidR="00224567" w:rsidRDefault="00224567">
      <w:pPr>
        <w:pStyle w:val="Sangradetextonormal"/>
        <w:widowControl w:val="0"/>
        <w:tabs>
          <w:tab w:val="left" w:pos="2835"/>
        </w:tabs>
        <w:ind w:firstLine="2880"/>
      </w:pPr>
      <w:r>
        <w:t>Como se dijo, aquel ocultamiento no fue gratuito. A cambio de tal proceder tanto S</w:t>
      </w:r>
      <w:r>
        <w:t>e</w:t>
      </w:r>
      <w:r>
        <w:t>morile como Pablo Ibáñez  colaboraron con  el magistrado  al d</w:t>
      </w:r>
      <w:r>
        <w:t>e</w:t>
      </w:r>
      <w:r>
        <w:t>clarar –bajo reserva de su identidad– en contra de Juan José R</w:t>
      </w:r>
      <w:r>
        <w:t>i</w:t>
      </w:r>
      <w:r>
        <w:t>belli y Carlos Telleldín, re</w:t>
      </w:r>
      <w:r>
        <w:t>s</w:t>
      </w:r>
      <w:r>
        <w:t>pectivamente.</w:t>
      </w:r>
    </w:p>
    <w:p w:rsidR="00224567" w:rsidRDefault="00224567">
      <w:pPr>
        <w:pStyle w:val="Sangradetextonormal"/>
        <w:widowControl w:val="0"/>
        <w:tabs>
          <w:tab w:val="left" w:pos="2835"/>
        </w:tabs>
        <w:ind w:firstLine="2880"/>
      </w:pPr>
      <w:r>
        <w:t>Si bien es cierto que respecto de M</w:t>
      </w:r>
      <w:r>
        <w:t>i</w:t>
      </w:r>
      <w:r>
        <w:t>riam Salinas, a diferencia de lo aquí ocurrido, el obrar ilegal del Dr. Galeano se pudo observar en su totalidad, no puede dejar de advertirse que aquél const</w:t>
      </w:r>
      <w:r>
        <w:t>i</w:t>
      </w:r>
      <w:r>
        <w:t>tuyó un caso paradigmático del ilegal manejo que el juez instructor efectuó de las imputaciones que dirigía y, por ello, con</w:t>
      </w:r>
      <w:r>
        <w:t>s</w:t>
      </w:r>
      <w:r>
        <w:t>tituye el patrón que se evidencia en los casos que se abordan en este apa</w:t>
      </w:r>
      <w:r>
        <w:t>r</w:t>
      </w:r>
      <w:r>
        <w:t>tado.</w:t>
      </w:r>
    </w:p>
    <w:p w:rsidR="00224567" w:rsidRDefault="00224567">
      <w:pPr>
        <w:pStyle w:val="Sangradetextonormal"/>
        <w:widowControl w:val="0"/>
        <w:tabs>
          <w:tab w:val="left" w:pos="2835"/>
        </w:tabs>
        <w:ind w:firstLine="2880"/>
      </w:pPr>
      <w:r>
        <w:t>Entonces, luego de haber detall</w:t>
      </w:r>
      <w:r>
        <w:t>a</w:t>
      </w:r>
      <w:r>
        <w:t>do el actuar desplegado por el juez instructor frente a otras imputaciones que constituyen, valga r</w:t>
      </w:r>
      <w:r>
        <w:t>e</w:t>
      </w:r>
      <w:r>
        <w:t>cordarlo, el emblema de las ilegales formas de pr</w:t>
      </w:r>
      <w:r>
        <w:t>e</w:t>
      </w:r>
      <w:r>
        <w:t>sión de las que se valió, se pasará a analizar la situación respecto a los policías b</w:t>
      </w:r>
      <w:r>
        <w:t>o</w:t>
      </w:r>
      <w:r>
        <w:t>naerenses acus</w:t>
      </w:r>
      <w:r>
        <w:t>a</w:t>
      </w:r>
      <w:r>
        <w:t>dos.</w:t>
      </w:r>
    </w:p>
    <w:p w:rsidR="00224567" w:rsidRDefault="00224567">
      <w:pPr>
        <w:pStyle w:val="Ttulo4"/>
        <w:spacing w:line="600" w:lineRule="auto"/>
      </w:pPr>
      <w:r>
        <w:tab/>
        <w:t>I.2) Imputaciones a los policías b</w:t>
      </w:r>
      <w:r>
        <w:t>o</w:t>
      </w:r>
      <w:r>
        <w:t>naerenses.</w:t>
      </w:r>
    </w:p>
    <w:p w:rsidR="00224567" w:rsidRDefault="00224567">
      <w:pPr>
        <w:pStyle w:val="Sangradetextonormal"/>
        <w:widowControl w:val="0"/>
        <w:tabs>
          <w:tab w:val="left" w:pos="2835"/>
        </w:tabs>
        <w:ind w:firstLine="2880"/>
        <w:rPr>
          <w:b/>
          <w:bCs/>
        </w:rPr>
      </w:pPr>
      <w:r>
        <w:rPr>
          <w:b/>
          <w:bCs/>
        </w:rPr>
        <w:t xml:space="preserve">I.2.a) </w:t>
      </w:r>
      <w:r>
        <w:t>Introducción.</w:t>
      </w:r>
    </w:p>
    <w:p w:rsidR="00224567" w:rsidRDefault="00224567">
      <w:pPr>
        <w:pStyle w:val="Sangradetextonormal"/>
        <w:widowControl w:val="0"/>
        <w:tabs>
          <w:tab w:val="left" w:pos="2835"/>
        </w:tabs>
        <w:ind w:firstLine="2880"/>
      </w:pPr>
      <w:r>
        <w:t>Respecto de los policías acus</w:t>
      </w:r>
      <w:r>
        <w:t>a</w:t>
      </w:r>
      <w:r>
        <w:t>dos, el manejo arbitrario de imputaciones se vislumbró, en pr</w:t>
      </w:r>
      <w:r>
        <w:t>i</w:t>
      </w:r>
      <w:r>
        <w:t>mer lugar y principalmente, en la atribución, sin el mínimo respaldo probatorio, de diferentes hechos ilícitos, incl</w:t>
      </w:r>
      <w:r>
        <w:t>u</w:t>
      </w:r>
      <w:r>
        <w:t>so del atent</w:t>
      </w:r>
      <w:r>
        <w:t>a</w:t>
      </w:r>
      <w:r>
        <w:t>do.</w:t>
      </w:r>
    </w:p>
    <w:p w:rsidR="00224567" w:rsidRDefault="00224567">
      <w:pPr>
        <w:pStyle w:val="Sangradetextonormal"/>
        <w:widowControl w:val="0"/>
        <w:tabs>
          <w:tab w:val="left" w:pos="2835"/>
        </w:tabs>
        <w:ind w:firstLine="2880"/>
      </w:pPr>
      <w:r>
        <w:t>Pero también la oscura maniobra de</w:t>
      </w:r>
      <w:r>
        <w:t>s</w:t>
      </w:r>
      <w:r>
        <w:t>plegada por el juez se evidencia con la inexplicable dem</w:t>
      </w:r>
      <w:r>
        <w:t>o</w:t>
      </w:r>
      <w:r>
        <w:t>ra en la que incurrió para resolver la situación procesal de alg</w:t>
      </w:r>
      <w:r>
        <w:t>u</w:t>
      </w:r>
      <w:r>
        <w:t>nos imputados no solo por el atentado sino incluso por las extorsiones que fueran elevadas a juicio re</w:t>
      </w:r>
      <w:r>
        <w:t>s</w:t>
      </w:r>
      <w:r>
        <w:t>pecto de otros acusados.</w:t>
      </w:r>
    </w:p>
    <w:p w:rsidR="00224567" w:rsidRDefault="00224567">
      <w:pPr>
        <w:widowControl w:val="0"/>
        <w:rPr>
          <w:b/>
          <w:bCs/>
        </w:rPr>
      </w:pPr>
      <w:r>
        <w:tab/>
      </w:r>
      <w:r>
        <w:rPr>
          <w:b/>
          <w:bCs/>
        </w:rPr>
        <w:t xml:space="preserve">I.2.b) </w:t>
      </w:r>
      <w:r>
        <w:t>La indiscriminada atrib</w:t>
      </w:r>
      <w:r>
        <w:t>u</w:t>
      </w:r>
      <w:r>
        <w:t>ción de la participación en el atentado a todos los policías b</w:t>
      </w:r>
      <w:r>
        <w:t>o</w:t>
      </w:r>
      <w:r>
        <w:t>naerenses imputados.</w:t>
      </w:r>
    </w:p>
    <w:p w:rsidR="00224567" w:rsidRDefault="00224567">
      <w:pPr>
        <w:pStyle w:val="Sangradetextonormal"/>
        <w:widowControl w:val="0"/>
        <w:tabs>
          <w:tab w:val="left" w:pos="2835"/>
        </w:tabs>
        <w:ind w:firstLine="2880"/>
      </w:pPr>
      <w:r>
        <w:t>El Dr. Galeano dirigió en forma ind</w:t>
      </w:r>
      <w:r>
        <w:t>i</w:t>
      </w:r>
      <w:r>
        <w:t>ferenciada a todos los policías encausados la imputación por su participación en el hecho terrorista que aquí se juzga.</w:t>
      </w:r>
    </w:p>
    <w:p w:rsidR="00224567" w:rsidRDefault="00224567">
      <w:pPr>
        <w:pStyle w:val="Sangradetextonormal"/>
        <w:widowControl w:val="0"/>
        <w:tabs>
          <w:tab w:val="left" w:pos="2835"/>
        </w:tabs>
        <w:ind w:firstLine="2880"/>
      </w:pPr>
      <w:r>
        <w:t>Además de los policías que fueran pr</w:t>
      </w:r>
      <w:r>
        <w:t>o</w:t>
      </w:r>
      <w:r>
        <w:t>cesados y acusados por su intervención en el atentado, también se atribuyó la participación en ese hecho a Marc</w:t>
      </w:r>
      <w:r>
        <w:t>e</w:t>
      </w:r>
      <w:r>
        <w:t>lo Gustavo Albarracín, José Miguel Arancibia, Claudio Wa</w:t>
      </w:r>
      <w:r>
        <w:t>l</w:t>
      </w:r>
      <w:r>
        <w:t>ter Araya, Oscar Eusebio Bacigalupo, Diego Enrique Barr</w:t>
      </w:r>
      <w:r>
        <w:t>e</w:t>
      </w:r>
      <w:r>
        <w:t>da, Alejandro Burguete, Víctor Carlos Cruz, Bautista A</w:t>
      </w:r>
      <w:r>
        <w:t>l</w:t>
      </w:r>
      <w:r>
        <w:t>berto Huici, Argentino Gabriel Lasala, Daniel Emilio Qui</w:t>
      </w:r>
      <w:r>
        <w:t>n</w:t>
      </w:r>
      <w:r>
        <w:t>teros y Jorge Horacio Rago. En efe</w:t>
      </w:r>
      <w:r>
        <w:t>c</w:t>
      </w:r>
      <w:r>
        <w:t xml:space="preserve">to, en la intimación de sus respectivas declaraciones indagatorias se describe: “haber participado en el atentado ocurrido en la sede de </w:t>
      </w:r>
      <w:smartTag w:uri="urn:schemas-microsoft-com:office:smarttags" w:element="PersonName">
        <w:smartTagPr>
          <w:attr w:name="ProductID" w:val="la Asociaci￳n Mutual"/>
        </w:smartTagPr>
        <w:r>
          <w:t>la Asociación Mutual</w:t>
        </w:r>
      </w:smartTag>
      <w:r>
        <w:t xml:space="preserve"> Israelita Argentina, sita en la calle Pasteur 633 de </w:t>
      </w:r>
      <w:smartTag w:uri="urn:schemas-microsoft-com:office:smarttags" w:element="PersonName">
        <w:smartTagPr>
          <w:attr w:name="ProductID" w:val="la Capital Federal"/>
        </w:smartTagPr>
        <w:r>
          <w:t>la Capital Federal</w:t>
        </w:r>
      </w:smartTag>
      <w:r>
        <w:t>, el día 18 de julio de 1994, el que provocó a través de la utilización de eleme</w:t>
      </w:r>
      <w:r>
        <w:t>n</w:t>
      </w:r>
      <w:r>
        <w:t>tos explosivos, numerosas muertes, lesiones a distintas personas y daños a la propiedad, en virtud de haber pr</w:t>
      </w:r>
      <w:r>
        <w:t>o</w:t>
      </w:r>
      <w:r>
        <w:t>porcionado la c</w:t>
      </w:r>
      <w:r>
        <w:t>a</w:t>
      </w:r>
      <w:r>
        <w:t>mioneta Trafic utilizada como coche bomba, en cuya obtención colaboró mediante actividades ilícitas” (cfr. fs. 39.230/39.231, 39.223/39.224, 39.289/39.290, 39.247/39.248, 38.802/38.809, 39.233/39.235, 39.240/39.241, 39.237/39.238, 39.292/39.293, 39.227/39.228 y 39.244/39.245).</w:t>
      </w:r>
    </w:p>
    <w:p w:rsidR="00224567" w:rsidRDefault="00224567">
      <w:pPr>
        <w:pStyle w:val="Sangradetextonormal"/>
        <w:widowControl w:val="0"/>
        <w:tabs>
          <w:tab w:val="left" w:pos="2835"/>
        </w:tabs>
        <w:ind w:firstLine="2880"/>
      </w:pPr>
      <w:r>
        <w:t>Para la imputación por el atentado d</w:t>
      </w:r>
      <w:r>
        <w:t>i</w:t>
      </w:r>
      <w:r>
        <w:t>rigida a Raúl Edilio Ibarra, Anastasio Ireneo Leal, Juan José Ribelli y Mario Norberto Bareiro el juez instructor se valió de la clandestinamente remunerada declaración i</w:t>
      </w:r>
      <w:r>
        <w:t>n</w:t>
      </w:r>
      <w:r>
        <w:t>dagatoria de Telleldín del 5 de julio de 1996, en la que se ubicaba a los dos primeros como integrantes del grupo que concurrió a su domicilio el 10 de julio de 1994 y se llevó la camioneta Trafic en p</w:t>
      </w:r>
      <w:r>
        <w:t>o</w:t>
      </w:r>
      <w:r>
        <w:t>der de Telleldín.</w:t>
      </w:r>
    </w:p>
    <w:p w:rsidR="00224567" w:rsidRDefault="00224567">
      <w:pPr>
        <w:pStyle w:val="Sangradetextonormal"/>
        <w:widowControl w:val="0"/>
        <w:tabs>
          <w:tab w:val="left" w:pos="2835"/>
        </w:tabs>
        <w:ind w:firstLine="2880"/>
      </w:pPr>
      <w:r>
        <w:t>Sin embargo, ni siquiera sobre esa b</w:t>
      </w:r>
      <w:r>
        <w:t>a</w:t>
      </w:r>
      <w:r>
        <w:t>se, descalificada por haber sido fruto de una ileg</w:t>
      </w:r>
      <w:r>
        <w:t>í</w:t>
      </w:r>
      <w:r>
        <w:t>tima y clandestina negociación, se puede sostener la imputación por el hecho terrorista a los demás policías menci</w:t>
      </w:r>
      <w:r>
        <w:t>o</w:t>
      </w:r>
      <w:r>
        <w:t>nados.</w:t>
      </w:r>
    </w:p>
    <w:p w:rsidR="00224567" w:rsidRDefault="00224567">
      <w:pPr>
        <w:pStyle w:val="Sangradetextonormal"/>
        <w:widowControl w:val="0"/>
        <w:tabs>
          <w:tab w:val="left" w:pos="2835"/>
        </w:tabs>
        <w:ind w:firstLine="2880"/>
      </w:pPr>
      <w:r>
        <w:t>Adviértase que en esa declaración i</w:t>
      </w:r>
      <w:r>
        <w:t>n</w:t>
      </w:r>
      <w:r>
        <w:t>dagatoria Telleldín menciona, indirectamente, a Ib</w:t>
      </w:r>
      <w:r>
        <w:t>a</w:t>
      </w:r>
      <w:r>
        <w:t>rra –el subcomisario más alto y de bigotes que había conocido en su detención en Lanús– y a Leal, que según se sostuvo en la acusación era quien respondía al apodo “Pino”, a qui</w:t>
      </w:r>
      <w:r>
        <w:t>e</w:t>
      </w:r>
      <w:r>
        <w:t>nes identificó fot</w:t>
      </w:r>
      <w:r>
        <w:t>o</w:t>
      </w:r>
      <w:r>
        <w:t xml:space="preserve">gráficamente en una diligencia que fue posteriormente anulada por </w:t>
      </w:r>
      <w:smartTag w:uri="urn:schemas-microsoft-com:office:smarttags" w:element="PersonName">
        <w:smartTagPr>
          <w:attr w:name="ProductID" w:val="la Alzada"/>
        </w:smartTagPr>
        <w:r>
          <w:t>la Alzada</w:t>
        </w:r>
      </w:smartTag>
      <w:r>
        <w:t xml:space="preserve"> (cfr. fs. 41.026/41.036).</w:t>
      </w:r>
    </w:p>
    <w:p w:rsidR="00224567" w:rsidRDefault="00224567">
      <w:pPr>
        <w:pStyle w:val="Sangradetextonormal"/>
        <w:widowControl w:val="0"/>
        <w:tabs>
          <w:tab w:val="left" w:pos="2835"/>
        </w:tabs>
        <w:ind w:firstLine="2880"/>
      </w:pPr>
      <w:r>
        <w:t>Como se ve, ninguna mención se efe</w:t>
      </w:r>
      <w:r>
        <w:t>c</w:t>
      </w:r>
      <w:r>
        <w:t>túa de los otros policías bonaerenses acusados a los que el Dr. Galeano les imputó su participación en el atentado.</w:t>
      </w:r>
    </w:p>
    <w:p w:rsidR="00224567" w:rsidRDefault="00224567">
      <w:pPr>
        <w:pStyle w:val="Sangradetextonormal"/>
        <w:widowControl w:val="0"/>
        <w:tabs>
          <w:tab w:val="left" w:pos="2835"/>
        </w:tabs>
        <w:ind w:firstLine="2880"/>
      </w:pPr>
      <w:r>
        <w:t>Esta ausencia de las pruebas neces</w:t>
      </w:r>
      <w:r>
        <w:t>a</w:t>
      </w:r>
      <w:r>
        <w:t>rias para su convoc</w:t>
      </w:r>
      <w:r>
        <w:t>a</w:t>
      </w:r>
      <w:r>
        <w:t>toria en los términos del art. 294 del C.P.P.N., quedó plasmada con la absoluta omisión de fund</w:t>
      </w:r>
      <w:r>
        <w:t>a</w:t>
      </w:r>
      <w:r>
        <w:t>mentos en la resolución de falta de mérito de fs. 49.001/49.002 del 22 de diciembre de 1998.</w:t>
      </w:r>
    </w:p>
    <w:p w:rsidR="00224567" w:rsidRDefault="00224567">
      <w:pPr>
        <w:pStyle w:val="Sangradetextonormal"/>
        <w:widowControl w:val="0"/>
        <w:tabs>
          <w:tab w:val="left" w:pos="2835"/>
        </w:tabs>
        <w:ind w:firstLine="2880"/>
      </w:pPr>
      <w:r>
        <w:t>Si bien allí se alude a que “las pru</w:t>
      </w:r>
      <w:r>
        <w:t>e</w:t>
      </w:r>
      <w:r>
        <w:t>bas acumuladas todavía arrojan un manto de so</w:t>
      </w:r>
      <w:r>
        <w:t>s</w:t>
      </w:r>
      <w:r>
        <w:t>pecha sobre todos los nombrados”, no se enuncia siquiera una sola de las pruebas que justificaron la imputación inicialmente formulada.</w:t>
      </w:r>
    </w:p>
    <w:p w:rsidR="00224567" w:rsidRDefault="00224567">
      <w:pPr>
        <w:pStyle w:val="Sangradetextonormal"/>
        <w:widowControl w:val="0"/>
        <w:tabs>
          <w:tab w:val="left" w:pos="2835"/>
        </w:tabs>
        <w:ind w:firstLine="2880"/>
      </w:pPr>
      <w:r>
        <w:t>Asimismo, se destaca que: “encontrá</w:t>
      </w:r>
      <w:r>
        <w:t>n</w:t>
      </w:r>
      <w:r>
        <w:t>dose pendiente la realización de otras medidas pr</w:t>
      </w:r>
      <w:r>
        <w:t>o</w:t>
      </w:r>
      <w:r>
        <w:t>batorias tales como un análisis final sobre las llamadas telefón</w:t>
      </w:r>
      <w:r>
        <w:t>i</w:t>
      </w:r>
      <w:r>
        <w:t>cas realizadas el día 10 de julio de 1994, el que podría arrojar resultado de interés es que resulta prematuro de</w:t>
      </w:r>
      <w:r>
        <w:t>s</w:t>
      </w:r>
      <w:r>
        <w:t>vincularlos definitivamente de la causa seguida por el atentado terrorista perpetrado c</w:t>
      </w:r>
      <w:r>
        <w:t>o</w:t>
      </w:r>
      <w:r>
        <w:t xml:space="preserve">ntra la sede del edificio de </w:t>
      </w:r>
      <w:smartTag w:uri="urn:schemas-microsoft-com:office:smarttags" w:element="PersonName">
        <w:smartTagPr>
          <w:attr w:name="ProductID" w:val="la AMIA-DAIA"/>
        </w:smartTagPr>
        <w:r>
          <w:t>la AMIA-DAIA</w:t>
        </w:r>
      </w:smartTag>
      <w:r>
        <w:t xml:space="preserve"> por lo cual habré de adoptar un temper</w:t>
      </w:r>
      <w:r>
        <w:t>a</w:t>
      </w:r>
      <w:r>
        <w:t>mento expectante”.</w:t>
      </w:r>
    </w:p>
    <w:p w:rsidR="00224567" w:rsidRDefault="00224567">
      <w:pPr>
        <w:pStyle w:val="Sangradetextonormal"/>
        <w:widowControl w:val="0"/>
        <w:tabs>
          <w:tab w:val="left" w:pos="2835"/>
        </w:tabs>
        <w:ind w:firstLine="2880"/>
      </w:pPr>
      <w:r>
        <w:t>Al respecto, cabe acotar que este p</w:t>
      </w:r>
      <w:r>
        <w:t>á</w:t>
      </w:r>
      <w:r>
        <w:t>rrafo tampoco permite elucidar cuáles fueron los eleme</w:t>
      </w:r>
      <w:r>
        <w:t>n</w:t>
      </w:r>
      <w:r>
        <w:t>tos sobre los que basó la sospecha necesaria para la imp</w:t>
      </w:r>
      <w:r>
        <w:t>u</w:t>
      </w:r>
      <w:r>
        <w:t>tación de su participación en el atent</w:t>
      </w:r>
      <w:r>
        <w:t>a</w:t>
      </w:r>
      <w:r>
        <w:t>do. Solo se limita a afirmar que restan medidas por realizar las que, evide</w:t>
      </w:r>
      <w:r>
        <w:t>n</w:t>
      </w:r>
      <w:r>
        <w:t>temente, el juez instructor no pudo concretar mientras e</w:t>
      </w:r>
      <w:r>
        <w:t>s</w:t>
      </w:r>
      <w:r>
        <w:t>tuvo a cargo del proceso, desde que no adoptó ningún te</w:t>
      </w:r>
      <w:r>
        <w:t>m</w:t>
      </w:r>
      <w:r>
        <w:t>peramento al re</w:t>
      </w:r>
      <w:r>
        <w:t>s</w:t>
      </w:r>
      <w:r>
        <w:t>pecto.</w:t>
      </w:r>
    </w:p>
    <w:p w:rsidR="00224567" w:rsidRDefault="00224567">
      <w:pPr>
        <w:pStyle w:val="Sangradetextonormal"/>
        <w:widowControl w:val="0"/>
        <w:tabs>
          <w:tab w:val="left" w:pos="2835"/>
        </w:tabs>
        <w:ind w:firstLine="2880"/>
      </w:pPr>
      <w:r>
        <w:t>Allí, en todo caso, se justifica la imposibilidad de dictar un pronunciamiento que desvi</w:t>
      </w:r>
      <w:r>
        <w:t>n</w:t>
      </w:r>
      <w:r>
        <w:t>cule definitivamente a los encausados del proceso, pero no da pauta alguna sobre los elementos que justificaron la in</w:t>
      </w:r>
      <w:r>
        <w:t>i</w:t>
      </w:r>
      <w:r>
        <w:t>cial i</w:t>
      </w:r>
      <w:r>
        <w:t>m</w:t>
      </w:r>
      <w:r>
        <w:t>putación.</w:t>
      </w:r>
    </w:p>
    <w:p w:rsidR="00224567" w:rsidRDefault="00224567">
      <w:pPr>
        <w:pStyle w:val="Sangradetextonormal"/>
        <w:widowControl w:val="0"/>
        <w:tabs>
          <w:tab w:val="left" w:pos="2835"/>
        </w:tabs>
        <w:ind w:firstLine="2880"/>
      </w:pPr>
      <w:r>
        <w:t>En este punto, se advierte una simil</w:t>
      </w:r>
      <w:r>
        <w:t>i</w:t>
      </w:r>
      <w:r>
        <w:t>tud con lo a</w:t>
      </w:r>
      <w:r>
        <w:t>c</w:t>
      </w:r>
      <w:r>
        <w:t>tuado respecto de Miriam Salinas. La falta de fundamentación en las resoluciones de desvinculación de imputados con el proceso, fue una con</w:t>
      </w:r>
      <w:r>
        <w:t>s</w:t>
      </w:r>
      <w:r>
        <w:t>tante en el proceder del juez instructor y demuestra la inexistencia de eleme</w:t>
      </w:r>
      <w:r>
        <w:t>n</w:t>
      </w:r>
      <w:r>
        <w:t>tos que justificaran la primigenia citación a prestar d</w:t>
      </w:r>
      <w:r>
        <w:t>e</w:t>
      </w:r>
      <w:r>
        <w:t>claración indagat</w:t>
      </w:r>
      <w:r>
        <w:t>o</w:t>
      </w:r>
      <w:r>
        <w:t>ria.</w:t>
      </w:r>
    </w:p>
    <w:p w:rsidR="00224567" w:rsidRDefault="00224567">
      <w:pPr>
        <w:pStyle w:val="Sangradetextonormal"/>
        <w:widowControl w:val="0"/>
        <w:tabs>
          <w:tab w:val="left" w:pos="2835"/>
        </w:tabs>
        <w:ind w:firstLine="2880"/>
      </w:pPr>
      <w:r>
        <w:t>Por otra parte, cabe recordar que esta resolución no fue dictada a iniciativa del magistrado in</w:t>
      </w:r>
      <w:r>
        <w:t>s</w:t>
      </w:r>
      <w:r>
        <w:t xml:space="preserve">tructor, sino frente a instrucciones precisa de </w:t>
      </w:r>
      <w:smartTag w:uri="urn:schemas-microsoft-com:office:smarttags" w:element="PersonName">
        <w:smartTagPr>
          <w:attr w:name="ProductID" w:val="la C￡mara. En"/>
        </w:smartTagPr>
        <w:r>
          <w:t>la Cámara. En</w:t>
        </w:r>
      </w:smartTag>
      <w:r>
        <w:t xml:space="preserve"> efecto, mediante el auto agregado a fs. 48.998/49.000, del 15 de diciembre de 1998, se di</w:t>
      </w:r>
      <w:r>
        <w:t>s</w:t>
      </w:r>
      <w:r>
        <w:t>puso que “en el término de diez días deberá pronuncia</w:t>
      </w:r>
      <w:r>
        <w:t>r</w:t>
      </w:r>
      <w:r>
        <w:t>se respecto de la situación procesal de Carlos Cruz, Marcelo Albarracín, Claudio Ar</w:t>
      </w:r>
      <w:r>
        <w:t>a</w:t>
      </w:r>
      <w:r>
        <w:t>ya, Jorge Rago, Diego Barreda, Bautista Huici y los re</w:t>
      </w:r>
      <w:r>
        <w:t>s</w:t>
      </w:r>
      <w:r>
        <w:t xml:space="preserve">tantes indagados por estos hechos –declaraciones todas llevadas a cabo en el mes de julio de 1996– de conformidad con lo dispuesto en los arts. 306, 309 o 336 del Código Procesal Penal de </w:t>
      </w:r>
      <w:smartTag w:uri="urn:schemas-microsoft-com:office:smarttags" w:element="PersonName">
        <w:smartTagPr>
          <w:attr w:name="ProductID" w:val="la Naci￳n"/>
        </w:smartTagPr>
        <w:r>
          <w:t>la Nación</w:t>
        </w:r>
      </w:smartTag>
      <w:r>
        <w:t>”.</w:t>
      </w:r>
    </w:p>
    <w:p w:rsidR="00224567" w:rsidRDefault="00224567">
      <w:pPr>
        <w:pStyle w:val="Sangradetextonormal"/>
        <w:widowControl w:val="0"/>
        <w:tabs>
          <w:tab w:val="left" w:pos="2835"/>
        </w:tabs>
        <w:ind w:firstLine="2880"/>
      </w:pPr>
      <w:r>
        <w:t>El juez, en su resolución de fa</w:t>
      </w:r>
      <w:r>
        <w:t>l</w:t>
      </w:r>
      <w:r>
        <w:t>ta de mérito, en una reacción inédita, respondió aquél pronu</w:t>
      </w:r>
      <w:r>
        <w:t>n</w:t>
      </w:r>
      <w:r>
        <w:t>ciamiento, al señalar que: “La falta de resol</w:t>
      </w:r>
      <w:r>
        <w:t>u</w:t>
      </w:r>
      <w:r>
        <w:t>ción de los indag</w:t>
      </w:r>
      <w:r>
        <w:t>a</w:t>
      </w:r>
      <w:r>
        <w:t>dos por la imputación del atentado no respondió a un olvido o a un capricho del suscripto, sino que, en su m</w:t>
      </w:r>
      <w:r>
        <w:t>o</w:t>
      </w:r>
      <w:r>
        <w:t>mento, pareció ser lo más atinado dada la alta co</w:t>
      </w:r>
      <w:r>
        <w:t>m</w:t>
      </w:r>
      <w:r>
        <w:t>plejidad de los hechos y según la visión de la causa que en ese m</w:t>
      </w:r>
      <w:r>
        <w:t>o</w:t>
      </w:r>
      <w:r>
        <w:t>mento se tenía”.</w:t>
      </w:r>
    </w:p>
    <w:p w:rsidR="00224567" w:rsidRDefault="00224567">
      <w:pPr>
        <w:pStyle w:val="Sangradetextonormal"/>
        <w:widowControl w:val="0"/>
        <w:tabs>
          <w:tab w:val="left" w:pos="2835"/>
        </w:tabs>
        <w:ind w:firstLine="2880"/>
      </w:pPr>
      <w:r>
        <w:t>Sin embargo, el magistrado no logra explicar razonablemente en qué se vería perjudicada la i</w:t>
      </w:r>
      <w:r>
        <w:t>n</w:t>
      </w:r>
      <w:r>
        <w:t>vestigación, aún de una causa de la magnitud y co</w:t>
      </w:r>
      <w:r>
        <w:t>m</w:t>
      </w:r>
      <w:r>
        <w:t>plejidad como la presente, con el dictado de la resolución de fa</w:t>
      </w:r>
      <w:r>
        <w:t>l</w:t>
      </w:r>
      <w:r>
        <w:t>ta de mérito que adopta.</w:t>
      </w:r>
    </w:p>
    <w:p w:rsidR="00224567" w:rsidRDefault="00224567">
      <w:pPr>
        <w:pStyle w:val="Sangradetextonormal"/>
        <w:widowControl w:val="0"/>
        <w:tabs>
          <w:tab w:val="left" w:pos="2835"/>
        </w:tabs>
        <w:ind w:firstLine="2880"/>
      </w:pPr>
      <w:r>
        <w:t>Finalmente, corresponde destacar que tampoco puede justificarse la ausencia de basamentos obj</w:t>
      </w:r>
      <w:r>
        <w:t>e</w:t>
      </w:r>
      <w:r>
        <w:t>tivos de la imputación en la magnitud y complejidad de e</w:t>
      </w:r>
      <w:r>
        <w:t>s</w:t>
      </w:r>
      <w:r>
        <w:t>tos actuados. De lo contrario, ello permitiría arribar a una conclusión inadmisible en un Estado de Derecho, que consistiría en facultar al magistrado a cargo de la in</w:t>
      </w:r>
      <w:r>
        <w:t>s</w:t>
      </w:r>
      <w:r>
        <w:t>trucción de expedientes de magnitud considerable a conse</w:t>
      </w:r>
      <w:r>
        <w:t>r</w:t>
      </w:r>
      <w:r>
        <w:t xml:space="preserve">var </w:t>
      </w:r>
      <w:r>
        <w:rPr>
          <w:u w:val="single"/>
        </w:rPr>
        <w:t>in pectore</w:t>
      </w:r>
      <w:r>
        <w:t xml:space="preserve"> los fundamentos de las vinculaciones al proceso de cua</w:t>
      </w:r>
      <w:r>
        <w:t>l</w:t>
      </w:r>
      <w:r>
        <w:t>quier ciudadano.</w:t>
      </w:r>
    </w:p>
    <w:p w:rsidR="00224567" w:rsidRDefault="00224567">
      <w:pPr>
        <w:pStyle w:val="Sangradetextonormal"/>
        <w:widowControl w:val="0"/>
        <w:tabs>
          <w:tab w:val="left" w:pos="2835"/>
        </w:tabs>
        <w:ind w:firstLine="2880"/>
      </w:pPr>
      <w:r>
        <w:t>Hasta lo aquí expuesto se detalló cuál ha sido la seria irregularidad cometida por el juez in</w:t>
      </w:r>
      <w:r>
        <w:t>s</w:t>
      </w:r>
      <w:r>
        <w:t>tructor al dirigir imputaciones sin el consab</w:t>
      </w:r>
      <w:r>
        <w:t>i</w:t>
      </w:r>
      <w:r>
        <w:t>do respaldo probat</w:t>
      </w:r>
      <w:r>
        <w:t>o</w:t>
      </w:r>
      <w:r>
        <w:t>rio.</w:t>
      </w:r>
    </w:p>
    <w:p w:rsidR="00224567" w:rsidRDefault="00224567">
      <w:pPr>
        <w:pStyle w:val="Sangradetextonormal"/>
        <w:widowControl w:val="0"/>
        <w:tabs>
          <w:tab w:val="left" w:pos="2835"/>
        </w:tabs>
        <w:ind w:firstLine="2880"/>
      </w:pPr>
      <w:r>
        <w:t>Sin embargo, el proceder desplegado por el juez implica una gravedad aún mayor y para su e</w:t>
      </w:r>
      <w:r>
        <w:t>x</w:t>
      </w:r>
      <w:r>
        <w:t>plicación debe destacarse el contexto que caracterizó el trámite de estas actuaciones.</w:t>
      </w:r>
    </w:p>
    <w:p w:rsidR="00224567" w:rsidRDefault="00224567">
      <w:pPr>
        <w:pStyle w:val="Sangradetextonormal"/>
        <w:widowControl w:val="0"/>
        <w:tabs>
          <w:tab w:val="left" w:pos="2835"/>
        </w:tabs>
        <w:ind w:firstLine="2880"/>
      </w:pPr>
      <w:r>
        <w:t>A esos fines corresponde recordar las gravísimas irregularidades detalladas precedent</w:t>
      </w:r>
      <w:r>
        <w:t>e</w:t>
      </w:r>
      <w:r>
        <w:t>mente, que incluyera la existencia de maniobras, impulsadas, favor</w:t>
      </w:r>
      <w:r>
        <w:t>e</w:t>
      </w:r>
      <w:r>
        <w:t>cidas o toleradas por el magistrado instructor, tendie</w:t>
      </w:r>
      <w:r>
        <w:t>n</w:t>
      </w:r>
      <w:r>
        <w:t>tes a vencer la resistencia a declarar del primer imp</w:t>
      </w:r>
      <w:r>
        <w:t>u</w:t>
      </w:r>
      <w:r>
        <w:t>tado por el hecho terrorista, que incl</w:t>
      </w:r>
      <w:r>
        <w:t>u</w:t>
      </w:r>
      <w:r>
        <w:t>yó una clandestina e ilegal remuner</w:t>
      </w:r>
      <w:r>
        <w:t>a</w:t>
      </w:r>
      <w:r>
        <w:t>ción. A ello debe sumarse el andamiaje creado por el juez para sostener, aún frente a las pruebas que la r</w:t>
      </w:r>
      <w:r>
        <w:t>e</w:t>
      </w:r>
      <w:r>
        <w:t>futaban, la versión brindada en la pactada decl</w:t>
      </w:r>
      <w:r>
        <w:t>a</w:t>
      </w:r>
      <w:r>
        <w:t>ración.</w:t>
      </w:r>
    </w:p>
    <w:p w:rsidR="00224567" w:rsidRDefault="00224567">
      <w:pPr>
        <w:pStyle w:val="Sangradetextonormal"/>
        <w:widowControl w:val="0"/>
        <w:tabs>
          <w:tab w:val="left" w:pos="2835"/>
        </w:tabs>
        <w:ind w:firstLine="2880"/>
      </w:pPr>
      <w:r>
        <w:t>También debe recordarse cuál fue la maniobra desplegada por el juez instructor respecto de M</w:t>
      </w:r>
      <w:r>
        <w:t>i</w:t>
      </w:r>
      <w:r>
        <w:t>riam Salinas, Pablo Ibáñez y Gustavo Semorile, para enco</w:t>
      </w:r>
      <w:r>
        <w:t>n</w:t>
      </w:r>
      <w:r>
        <w:t>trar la verdadera explicación a este sinnúmero de irreg</w:t>
      </w:r>
      <w:r>
        <w:t>u</w:t>
      </w:r>
      <w:r>
        <w:t>laridades cometidas por el magistrado en el manejo de imput</w:t>
      </w:r>
      <w:r>
        <w:t>a</w:t>
      </w:r>
      <w:r>
        <w:t>ciones.</w:t>
      </w:r>
    </w:p>
    <w:p w:rsidR="00224567" w:rsidRDefault="00224567">
      <w:pPr>
        <w:pStyle w:val="Sangradetextonormal"/>
        <w:widowControl w:val="0"/>
        <w:tabs>
          <w:tab w:val="left" w:pos="2835"/>
        </w:tabs>
        <w:ind w:firstLine="2880"/>
      </w:pPr>
      <w:r>
        <w:t>En efecto, como quedó dicho, el juez utilizó la atribución de complicidad en graves ilíc</w:t>
      </w:r>
      <w:r>
        <w:t>i</w:t>
      </w:r>
      <w:r>
        <w:t>tos, e incluso por el atentado, para obtener bajo presión decl</w:t>
      </w:r>
      <w:r>
        <w:t>a</w:t>
      </w:r>
      <w:r>
        <w:t>raciones que comprometieran a los acus</w:t>
      </w:r>
      <w:r>
        <w:t>a</w:t>
      </w:r>
      <w:r>
        <w:t>dos; principalmente a Carlos Telleldín y a Juan José Rib</w:t>
      </w:r>
      <w:r>
        <w:t>e</w:t>
      </w:r>
      <w:r>
        <w:t>lli.</w:t>
      </w:r>
    </w:p>
    <w:p w:rsidR="00224567" w:rsidRDefault="00224567">
      <w:pPr>
        <w:pStyle w:val="Sangradetextonormal"/>
        <w:widowControl w:val="0"/>
        <w:tabs>
          <w:tab w:val="left" w:pos="2835"/>
        </w:tabs>
        <w:ind w:firstLine="2880"/>
      </w:pPr>
      <w:r>
        <w:t>Ahora bien, en ese contexto, el m</w:t>
      </w:r>
      <w:r>
        <w:t>a</w:t>
      </w:r>
      <w:r>
        <w:t>nejo arbitrario de imputaciones realizada por el juez adquiere otra dimensión, de una gravedad institucional en verdad ala</w:t>
      </w:r>
      <w:r>
        <w:t>r</w:t>
      </w:r>
      <w:r>
        <w:t>mante.</w:t>
      </w:r>
    </w:p>
    <w:p w:rsidR="00224567" w:rsidRDefault="00224567">
      <w:pPr>
        <w:widowControl w:val="0"/>
      </w:pPr>
      <w:r>
        <w:rPr>
          <w:b/>
          <w:bCs/>
        </w:rPr>
        <w:tab/>
        <w:t xml:space="preserve">I.2.c) </w:t>
      </w:r>
      <w:r>
        <w:t>Atribución de la partic</w:t>
      </w:r>
      <w:r>
        <w:t>i</w:t>
      </w:r>
      <w:r>
        <w:t>pación en la privación ilegal de Hugo Pérez del 15 de julio de 1994.</w:t>
      </w:r>
    </w:p>
    <w:p w:rsidR="00224567" w:rsidRDefault="00224567">
      <w:pPr>
        <w:pStyle w:val="Sangradetextonormal"/>
        <w:widowControl w:val="0"/>
        <w:tabs>
          <w:tab w:val="left" w:pos="2835"/>
        </w:tabs>
        <w:ind w:firstLine="2880"/>
      </w:pPr>
      <w:r>
        <w:t>Sin que exista fundamento alguno el juez instructor incluyó en la intimación formul</w:t>
      </w:r>
      <w:r>
        <w:t>a</w:t>
      </w:r>
      <w:r>
        <w:t xml:space="preserve">da en las indagatorias recepcionadas el 15 de julio de </w:t>
      </w:r>
      <w:smartTag w:uri="urn:schemas-microsoft-com:office:smarttags" w:element="metricconverter">
        <w:smartTagPr>
          <w:attr w:name="ProductID" w:val="1996 a"/>
        </w:smartTagPr>
        <w:r>
          <w:t>1996 a</w:t>
        </w:r>
      </w:smartTag>
      <w:r>
        <w:t xml:space="preserve"> los integrantes de la brigada de Lanús, no solo el proceder llevado a cabo en esa dependencia en abril de 1994, sino incluso la participación en el procedimiento real</w:t>
      </w:r>
      <w:r>
        <w:t>i</w:t>
      </w:r>
      <w:r>
        <w:t>zado por sus pares de la brigada de Vicente López, tres meses de</w:t>
      </w:r>
      <w:r>
        <w:t>s</w:t>
      </w:r>
      <w:r>
        <w:t>pués, que cu</w:t>
      </w:r>
      <w:r>
        <w:t>l</w:t>
      </w:r>
      <w:r>
        <w:t>minó con la detención de Hugo Antonio Pérez.</w:t>
      </w:r>
    </w:p>
    <w:p w:rsidR="00224567" w:rsidRDefault="00224567">
      <w:pPr>
        <w:pStyle w:val="Sangradetextonormal"/>
        <w:widowControl w:val="0"/>
        <w:tabs>
          <w:tab w:val="left" w:pos="2835"/>
        </w:tabs>
        <w:ind w:firstLine="2880"/>
      </w:pPr>
      <w:r>
        <w:t>Así, en las indagatorias prest</w:t>
      </w:r>
      <w:r>
        <w:t>a</w:t>
      </w:r>
      <w:r>
        <w:t>das por Marcelo Gustavo Albarr</w:t>
      </w:r>
      <w:r>
        <w:t>a</w:t>
      </w:r>
      <w:r>
        <w:t>cín, José Miguel Arancibia, Claudio Walter Araya, Oscar Eusebio Bacigalupo, Aleja</w:t>
      </w:r>
      <w:r>
        <w:t>n</w:t>
      </w:r>
      <w:r>
        <w:t>dro Burguete y Bautista Alberto Huici, glosadas a f</w:t>
      </w:r>
      <w:r>
        <w:t>o</w:t>
      </w:r>
      <w:r>
        <w:t>jas 39.230/39.231, 39.223/39.224, 39.289/39.290, 39.247/39.248, 39.233/39.235, 39.237/39.238, respectivamente, se o</w:t>
      </w:r>
      <w:r>
        <w:t>b</w:t>
      </w:r>
      <w:r>
        <w:t>serva que, luego de intimarlos por la privación de libertad de Sandra Marisa Petrucci y Carlos Telleldín de abril de 1994, se atribuye: “como así también haber participado, brindando información y suficiente colaboración a la br</w:t>
      </w:r>
      <w:r>
        <w:t>i</w:t>
      </w:r>
      <w:r>
        <w:t>gada de Vicente López, con el fin de nuevamente privar ilegítimame</w:t>
      </w:r>
      <w:r>
        <w:t>n</w:t>
      </w:r>
      <w:r>
        <w:t>te de la libertad del nombrado anteriormente y solicitar para su soltura s</w:t>
      </w:r>
      <w:r>
        <w:t>u</w:t>
      </w:r>
      <w:r>
        <w:t>mas de dinero o bienes. De tal manera se produjo la detención de Hugo Antonio Pérez el día 15 de julio de 1994 habiéndose obtenido en forma co</w:t>
      </w:r>
      <w:r>
        <w:t>n</w:t>
      </w:r>
      <w:r>
        <w:t>creta el rescate que al menos motivó la libertad del no</w:t>
      </w:r>
      <w:r>
        <w:t>m</w:t>
      </w:r>
      <w:r>
        <w:t>brado Pérez”.</w:t>
      </w:r>
    </w:p>
    <w:p w:rsidR="00224567" w:rsidRDefault="00224567">
      <w:pPr>
        <w:pStyle w:val="Sangradetextonormal"/>
        <w:widowControl w:val="0"/>
        <w:tabs>
          <w:tab w:val="left" w:pos="2835"/>
        </w:tabs>
        <w:ind w:firstLine="2880"/>
      </w:pPr>
      <w:r>
        <w:t>Llama la atención, frente a la le</w:t>
      </w:r>
      <w:r>
        <w:t>c</w:t>
      </w:r>
      <w:r>
        <w:t>tura de esta intimación, que se haya atribuido a pers</w:t>
      </w:r>
      <w:r>
        <w:t>o</w:t>
      </w:r>
      <w:r>
        <w:t>nal de la brig</w:t>
      </w:r>
      <w:r>
        <w:t>a</w:t>
      </w:r>
      <w:r>
        <w:t xml:space="preserve">da de Lanús su intervención en hechos que se imputó a los integrantes de </w:t>
      </w:r>
      <w:smartTag w:uri="urn:schemas-microsoft-com:office:smarttags" w:element="PersonName">
        <w:smartTagPr>
          <w:attr w:name="ProductID" w:val="la Brigada"/>
        </w:smartTagPr>
        <w:r>
          <w:t>la Brigada</w:t>
        </w:r>
      </w:smartTag>
      <w:r>
        <w:t xml:space="preserve"> de Vicente López, que h</w:t>
      </w:r>
      <w:r>
        <w:t>a</w:t>
      </w:r>
      <w:r>
        <w:t>brían acaecido meses de</w:t>
      </w:r>
      <w:r>
        <w:t>s</w:t>
      </w:r>
      <w:r>
        <w:t>pués.</w:t>
      </w:r>
    </w:p>
    <w:p w:rsidR="00224567" w:rsidRDefault="00224567">
      <w:pPr>
        <w:pStyle w:val="Sangradetextonormal"/>
        <w:widowControl w:val="0"/>
        <w:tabs>
          <w:tab w:val="left" w:pos="2835"/>
        </w:tabs>
        <w:ind w:firstLine="2880"/>
      </w:pPr>
      <w:r>
        <w:t>Esta imputación denotaría la existe</w:t>
      </w:r>
      <w:r>
        <w:t>n</w:t>
      </w:r>
      <w:r>
        <w:t>cia de vínculos entre los integrantes de las Brigadas de Lanús y Vicente López, que, valga anticiparlo, nunca se demostraron, para extorsionar a Carlos Telle</w:t>
      </w:r>
      <w:r>
        <w:t>l</w:t>
      </w:r>
      <w:r>
        <w:t>dín a través de la privación de su libertad o la de sus alleg</w:t>
      </w:r>
      <w:r>
        <w:t>a</w:t>
      </w:r>
      <w:r>
        <w:t>dos.</w:t>
      </w:r>
    </w:p>
    <w:p w:rsidR="00224567" w:rsidRDefault="00224567">
      <w:pPr>
        <w:pStyle w:val="Sangradetextonormal"/>
        <w:widowControl w:val="0"/>
        <w:tabs>
          <w:tab w:val="left" w:pos="2835"/>
        </w:tabs>
        <w:ind w:firstLine="2880"/>
      </w:pPr>
      <w:r>
        <w:t>Esta conexión entre las dos brigadas es la que se pretendió inst</w:t>
      </w:r>
      <w:r>
        <w:t>a</w:t>
      </w:r>
      <w:r>
        <w:t>lar a partir de la versión de Telleldín en la declaración ilegal y clandestinamente r</w:t>
      </w:r>
      <w:r>
        <w:t>e</w:t>
      </w:r>
      <w:r>
        <w:t>munerada del 5 de j</w:t>
      </w:r>
      <w:r>
        <w:t>u</w:t>
      </w:r>
      <w:r>
        <w:t>lio de 1996.</w:t>
      </w:r>
    </w:p>
    <w:p w:rsidR="00224567" w:rsidRDefault="00224567">
      <w:pPr>
        <w:pStyle w:val="Sangradetextonormal"/>
        <w:widowControl w:val="0"/>
        <w:tabs>
          <w:tab w:val="left" w:pos="2835"/>
        </w:tabs>
        <w:ind w:firstLine="2880"/>
      </w:pPr>
      <w:r>
        <w:t>No obstante, se advierte una seria contradicción en el razonamiento del magistrado in</w:t>
      </w:r>
      <w:r>
        <w:t>s</w:t>
      </w:r>
      <w:r>
        <w:t>tructor con sus propios postulados. En efecto, si existía algún vínculo para obtener ilegalmente dinero o bienes de T</w:t>
      </w:r>
      <w:r>
        <w:t>e</w:t>
      </w:r>
      <w:r>
        <w:t>lleldín, y la única muestra corroborada de la particip</w:t>
      </w:r>
      <w:r>
        <w:t>a</w:t>
      </w:r>
      <w:r>
        <w:t>ción conjunta de ambas brigadas, a su juicio, fue en la alegada expoliación de la camioneta Tr</w:t>
      </w:r>
      <w:r>
        <w:t>a</w:t>
      </w:r>
      <w:r>
        <w:t>fic el 10 de julio de 1994, no se explica cómo no se dirigió esta imput</w:t>
      </w:r>
      <w:r>
        <w:t>a</w:t>
      </w:r>
      <w:r>
        <w:t>ción a quienes se dice partícipes de ese hecho.</w:t>
      </w:r>
    </w:p>
    <w:p w:rsidR="00224567" w:rsidRDefault="00224567">
      <w:pPr>
        <w:pStyle w:val="Sangradetextonormal"/>
        <w:widowControl w:val="0"/>
        <w:tabs>
          <w:tab w:val="left" w:pos="2835"/>
        </w:tabs>
        <w:ind w:firstLine="2880"/>
      </w:pPr>
      <w:r>
        <w:t xml:space="preserve">En efecto, de los integrantes de </w:t>
      </w:r>
      <w:smartTag w:uri="urn:schemas-microsoft-com:office:smarttags" w:element="PersonName">
        <w:smartTagPr>
          <w:attr w:name="ProductID" w:val="la Brigada"/>
        </w:smartTagPr>
        <w:r>
          <w:t>la Brigada</w:t>
        </w:r>
      </w:smartTag>
      <w:r>
        <w:t xml:space="preserve"> de Lanús, sólo Ibarra y Ribelli fueron consider</w:t>
      </w:r>
      <w:r>
        <w:t>a</w:t>
      </w:r>
      <w:r>
        <w:t>dos partícipes en el procedimiento conjunto denunci</w:t>
      </w:r>
      <w:r>
        <w:t>a</w:t>
      </w:r>
      <w:r>
        <w:t>do.</w:t>
      </w:r>
    </w:p>
    <w:p w:rsidR="00224567" w:rsidRDefault="00224567">
      <w:pPr>
        <w:pStyle w:val="Sangradetextonormal"/>
        <w:widowControl w:val="0"/>
        <w:tabs>
          <w:tab w:val="left" w:pos="2835"/>
        </w:tabs>
        <w:ind w:firstLine="2880"/>
      </w:pPr>
      <w:r>
        <w:t>Sin embargo, misteriosamente, a ellos se los excluye de la imputación por el procedimiento ll</w:t>
      </w:r>
      <w:r>
        <w:t>e</w:t>
      </w:r>
      <w:r>
        <w:t>vado a cabo por los integrantes de la brigada de Vicente López los días 14 y 15 de julio de 1994.</w:t>
      </w:r>
    </w:p>
    <w:p w:rsidR="00224567" w:rsidRDefault="00224567">
      <w:pPr>
        <w:pStyle w:val="Sangradetextonormal"/>
        <w:widowControl w:val="0"/>
        <w:tabs>
          <w:tab w:val="left" w:pos="2835"/>
        </w:tabs>
        <w:ind w:firstLine="2880"/>
      </w:pPr>
      <w:r>
        <w:t>En definitiva, en la lógica del magi</w:t>
      </w:r>
      <w:r>
        <w:t>s</w:t>
      </w:r>
      <w:r>
        <w:t>trado, los funcionarios imputados que prestaron se</w:t>
      </w:r>
      <w:r>
        <w:t>r</w:t>
      </w:r>
      <w:r>
        <w:t>vicios en la brigada de Lanús habrían “pasado el dato” a sus p</w:t>
      </w:r>
      <w:r>
        <w:t>a</w:t>
      </w:r>
      <w:r>
        <w:t xml:space="preserve">res de </w:t>
      </w:r>
      <w:smartTag w:uri="urn:schemas-microsoft-com:office:smarttags" w:element="PersonName">
        <w:smartTagPr>
          <w:attr w:name="ProductID" w:val="la Brigada"/>
        </w:smartTagPr>
        <w:r>
          <w:t>la Brigada</w:t>
        </w:r>
      </w:smartTag>
      <w:r>
        <w:t xml:space="preserve"> de Vicente López de que Telleldín era una posible víctima de extorsi</w:t>
      </w:r>
      <w:r>
        <w:t>o</w:t>
      </w:r>
      <w:r>
        <w:t>nes.</w:t>
      </w:r>
    </w:p>
    <w:p w:rsidR="00224567" w:rsidRDefault="00224567">
      <w:pPr>
        <w:pStyle w:val="Sangradetextonormal"/>
        <w:widowControl w:val="0"/>
        <w:tabs>
          <w:tab w:val="left" w:pos="2835"/>
        </w:tabs>
        <w:ind w:firstLine="2880"/>
      </w:pPr>
      <w:r>
        <w:t>Pero, y aquí lo absurdo del planteo, de tal proc</w:t>
      </w:r>
      <w:r>
        <w:t>e</w:t>
      </w:r>
      <w:r>
        <w:t>der excluye a quienes precisamente imputa por su participación conjunta en la expoliación de la camion</w:t>
      </w:r>
      <w:r>
        <w:t>e</w:t>
      </w:r>
      <w:r>
        <w:t>ta el 10 de julio de 1994.</w:t>
      </w:r>
    </w:p>
    <w:p w:rsidR="00224567" w:rsidRDefault="00224567">
      <w:pPr>
        <w:pStyle w:val="Sangradetextonormal"/>
        <w:widowControl w:val="0"/>
        <w:tabs>
          <w:tab w:val="left" w:pos="2835"/>
        </w:tabs>
        <w:ind w:firstLine="2880"/>
      </w:pPr>
      <w:r>
        <w:t>Tal inconsecuencia demuestra el o</w:t>
      </w:r>
      <w:r>
        <w:t>s</w:t>
      </w:r>
      <w:r>
        <w:t>curo actuar del juez instructor al endilgar la inte</w:t>
      </w:r>
      <w:r>
        <w:t>r</w:t>
      </w:r>
      <w:r>
        <w:t>vención de sucesos delictivos sin prueba que lo suste</w:t>
      </w:r>
      <w:r>
        <w:t>n</w:t>
      </w:r>
      <w:r>
        <w:t>te.</w:t>
      </w:r>
    </w:p>
    <w:p w:rsidR="00224567" w:rsidRDefault="00224567">
      <w:pPr>
        <w:pStyle w:val="Sangradetextonormal"/>
        <w:widowControl w:val="0"/>
        <w:tabs>
          <w:tab w:val="left" w:pos="2835"/>
        </w:tabs>
        <w:ind w:firstLine="2880"/>
      </w:pPr>
      <w:r>
        <w:t>El juez resolvió la situación proc</w:t>
      </w:r>
      <w:r>
        <w:t>e</w:t>
      </w:r>
      <w:r>
        <w:t>sal de los imputados de la brigada de Lanús por este hecho m</w:t>
      </w:r>
      <w:r>
        <w:t>e</w:t>
      </w:r>
      <w:r>
        <w:t>diante el dictado de la resolución de falta de mérito del 17 de febrero de 2000, que luce agregada a fs. 74.175/74.176.</w:t>
      </w:r>
    </w:p>
    <w:p w:rsidR="00224567" w:rsidRDefault="00224567">
      <w:pPr>
        <w:pStyle w:val="Sangradetextonormal"/>
        <w:widowControl w:val="0"/>
        <w:tabs>
          <w:tab w:val="left" w:pos="2835"/>
        </w:tabs>
        <w:ind w:firstLine="2880"/>
      </w:pPr>
      <w:r>
        <w:t>Nuevamente, se advierte, que la fund</w:t>
      </w:r>
      <w:r>
        <w:t>a</w:t>
      </w:r>
      <w:r>
        <w:t>mentación de esa decisión es solo aparente. En efe</w:t>
      </w:r>
      <w:r>
        <w:t>c</w:t>
      </w:r>
      <w:r>
        <w:t>to, no se enuncian siquiera cuáles son los elementos que justif</w:t>
      </w:r>
      <w:r>
        <w:t>i</w:t>
      </w:r>
      <w:r>
        <w:t>caron que, en su momento, les recibiera declaración ind</w:t>
      </w:r>
      <w:r>
        <w:t>a</w:t>
      </w:r>
      <w:r>
        <w:t>gat</w:t>
      </w:r>
      <w:r>
        <w:t>o</w:t>
      </w:r>
      <w:r>
        <w:t>ria por este hecho.</w:t>
      </w:r>
    </w:p>
    <w:p w:rsidR="00224567" w:rsidRDefault="00224567">
      <w:pPr>
        <w:pStyle w:val="Sangradetextonormal"/>
        <w:widowControl w:val="0"/>
        <w:tabs>
          <w:tab w:val="left" w:pos="2835"/>
        </w:tabs>
        <w:ind w:firstLine="2880"/>
      </w:pPr>
      <w:r>
        <w:t>No resulta suficiente, la mera rem</w:t>
      </w:r>
      <w:r>
        <w:t>i</w:t>
      </w:r>
      <w:r>
        <w:t>sión a la existencia de una asociación ilícita, que, a juicio del instructor, integraban los imput</w:t>
      </w:r>
      <w:r>
        <w:t>a</w:t>
      </w:r>
      <w:r>
        <w:t>dos, si no se demostró siquiera el mínimo vínculo entre los int</w:t>
      </w:r>
      <w:r>
        <w:t>e</w:t>
      </w:r>
      <w:r>
        <w:t>grantes de a</w:t>
      </w:r>
      <w:r>
        <w:t>m</w:t>
      </w:r>
      <w:r>
        <w:t>bas brigadas.</w:t>
      </w:r>
    </w:p>
    <w:p w:rsidR="00224567" w:rsidRDefault="00224567">
      <w:pPr>
        <w:pStyle w:val="Sangradetextonormal"/>
        <w:widowControl w:val="0"/>
        <w:tabs>
          <w:tab w:val="left" w:pos="2835"/>
        </w:tabs>
        <w:ind w:firstLine="2880"/>
      </w:pPr>
      <w:r>
        <w:t>Por otra parte, el magistrado, tanto en los fundamentos de esta resolución como en la cit</w:t>
      </w:r>
      <w:r>
        <w:t>a</w:t>
      </w:r>
      <w:r>
        <w:t>da de fs. 49.001/49.002, al dictar sendas faltas de mérito, v</w:t>
      </w:r>
      <w:r>
        <w:t>a</w:t>
      </w:r>
      <w:r>
        <w:t>loró como un elemento de cargo de la intervención en un hecho delictivo –sea el atentado, sea la privación de l</w:t>
      </w:r>
      <w:r>
        <w:t>i</w:t>
      </w:r>
      <w:r>
        <w:t>bertad de Hugo Pérez– el considerar que el imputado es miembro de la asociación ilícita que, a su juicio, existió entre todos los policías acus</w:t>
      </w:r>
      <w:r>
        <w:t>a</w:t>
      </w:r>
      <w:r>
        <w:t>dos.</w:t>
      </w:r>
    </w:p>
    <w:p w:rsidR="00224567" w:rsidRDefault="00224567">
      <w:pPr>
        <w:pStyle w:val="Sangradetextonormal"/>
        <w:widowControl w:val="0"/>
        <w:tabs>
          <w:tab w:val="left" w:pos="2835"/>
        </w:tabs>
        <w:ind w:firstLine="2880"/>
      </w:pPr>
      <w:r>
        <w:t>En otras palabras, bastaría demo</w:t>
      </w:r>
      <w:r>
        <w:t>s</w:t>
      </w:r>
      <w:r>
        <w:t>trar la existencia de la banda prevista en el art. 210 del C</w:t>
      </w:r>
      <w:r>
        <w:t>ó</w:t>
      </w:r>
      <w:r>
        <w:t>digo Penal para justificar que a todos sus integrantes se les atribuya la participación en cada uno de los epis</w:t>
      </w:r>
      <w:r>
        <w:t>o</w:t>
      </w:r>
      <w:r>
        <w:t>dios llevados a cabo por alguno de sus int</w:t>
      </w:r>
      <w:r>
        <w:t>e</w:t>
      </w:r>
      <w:r>
        <w:t>grantes.</w:t>
      </w:r>
    </w:p>
    <w:p w:rsidR="00224567" w:rsidRDefault="00224567">
      <w:pPr>
        <w:pStyle w:val="Sangradetextonormal"/>
        <w:widowControl w:val="0"/>
        <w:tabs>
          <w:tab w:val="left" w:pos="2835"/>
        </w:tabs>
        <w:ind w:firstLine="2880"/>
      </w:pPr>
      <w:r>
        <w:t>Sin embargo, a poco que se anal</w:t>
      </w:r>
      <w:r>
        <w:t>i</w:t>
      </w:r>
      <w:r>
        <w:t>ce la conducta del magistrado en este aspecto, se advierte que aquél pretendido fundamento de su primigenia imp</w:t>
      </w:r>
      <w:r>
        <w:t>u</w:t>
      </w:r>
      <w:r>
        <w:t>tación es solo aparente.</w:t>
      </w:r>
    </w:p>
    <w:p w:rsidR="00224567" w:rsidRDefault="00224567">
      <w:pPr>
        <w:pStyle w:val="Sangradetextonormal"/>
        <w:widowControl w:val="0"/>
        <w:tabs>
          <w:tab w:val="left" w:pos="2835"/>
        </w:tabs>
        <w:ind w:firstLine="2880"/>
      </w:pPr>
      <w:r>
        <w:t>Ello, desde que ni siquiera es s</w:t>
      </w:r>
      <w:r>
        <w:t>e</w:t>
      </w:r>
      <w:r>
        <w:t xml:space="preserve">guido hasta sus últimas consecuencias por el propio juez. Así, adviértase que si el magistrado hubiera cumplido con el principio que anunció en las cuestionadas resoluciones, debería haber indagado a los policías acusados de </w:t>
      </w:r>
      <w:smartTag w:uri="urn:schemas-microsoft-com:office:smarttags" w:element="PersonName">
        <w:smartTagPr>
          <w:attr w:name="ProductID" w:val="la Brigada"/>
        </w:smartTagPr>
        <w:r>
          <w:t>la Br</w:t>
        </w:r>
        <w:r>
          <w:t>i</w:t>
        </w:r>
        <w:r>
          <w:t>gada</w:t>
        </w:r>
      </w:smartTag>
      <w:r>
        <w:t xml:space="preserve"> de Vicente López por los hechos atribuidos a sus p</w:t>
      </w:r>
      <w:r>
        <w:t>a</w:t>
      </w:r>
      <w:r>
        <w:t>res de Lanús.</w:t>
      </w:r>
    </w:p>
    <w:p w:rsidR="00224567" w:rsidRDefault="00224567">
      <w:pPr>
        <w:pStyle w:val="Sangradetextonormal"/>
        <w:widowControl w:val="0"/>
        <w:tabs>
          <w:tab w:val="left" w:pos="2835"/>
        </w:tabs>
        <w:ind w:firstLine="2880"/>
      </w:pPr>
      <w:r>
        <w:t>Por otra parte, en forma inadmis</w:t>
      </w:r>
      <w:r>
        <w:t>i</w:t>
      </w:r>
      <w:r>
        <w:t>ble, el juez alude a que dicha resolución “intenta suplir una especie de omisión producida al momento de resolver la s</w:t>
      </w:r>
      <w:r>
        <w:t>i</w:t>
      </w:r>
      <w:r>
        <w:t>tuación procesal de los aquí enca</w:t>
      </w:r>
      <w:r>
        <w:t>r</w:t>
      </w:r>
      <w:r>
        <w:t>tados y su destino es el de poner un o</w:t>
      </w:r>
      <w:r>
        <w:t>r</w:t>
      </w:r>
      <w:r>
        <w:t>den lógico a la causa”.</w:t>
      </w:r>
    </w:p>
    <w:p w:rsidR="00224567" w:rsidRDefault="00224567">
      <w:pPr>
        <w:pStyle w:val="Sangradetextonormal"/>
        <w:widowControl w:val="0"/>
        <w:tabs>
          <w:tab w:val="left" w:pos="2835"/>
        </w:tabs>
        <w:ind w:firstLine="2880"/>
      </w:pPr>
      <w:r>
        <w:t>Como se ve, de esta forma se prete</w:t>
      </w:r>
      <w:r>
        <w:t>n</w:t>
      </w:r>
      <w:r>
        <w:t>de minimizar la ausencia de resolución, pese al extenso tie</w:t>
      </w:r>
      <w:r>
        <w:t>m</w:t>
      </w:r>
      <w:r>
        <w:t>po transcurrido, respecto a la imputación por un ilíc</w:t>
      </w:r>
      <w:r>
        <w:t>i</w:t>
      </w:r>
      <w:r>
        <w:t>to.</w:t>
      </w:r>
    </w:p>
    <w:p w:rsidR="00224567" w:rsidRDefault="00224567">
      <w:pPr>
        <w:pStyle w:val="Sangradetextonormal"/>
        <w:widowControl w:val="0"/>
        <w:tabs>
          <w:tab w:val="left" w:pos="2835"/>
        </w:tabs>
        <w:ind w:firstLine="2880"/>
      </w:pPr>
      <w:r>
        <w:t>Además, cabe recordar que también esta resolución fue dictada en cumplimiento de lo ord</w:t>
      </w:r>
      <w:r>
        <w:t>e</w:t>
      </w:r>
      <w:r>
        <w:t xml:space="preserve">nado por </w:t>
      </w:r>
      <w:smartTag w:uri="urn:schemas-microsoft-com:office:smarttags" w:element="PersonName">
        <w:smartTagPr>
          <w:attr w:name="ProductID" w:val="la Alzada"/>
        </w:smartTagPr>
        <w:r>
          <w:t>la Alzada</w:t>
        </w:r>
      </w:smartTag>
      <w:r>
        <w:t>, y no respondió al propio impulso del juez, s</w:t>
      </w:r>
      <w:r>
        <w:t>e</w:t>
      </w:r>
      <w:r>
        <w:t>gún lo admitió este último (cfr. fs. 538 del incidente de prórroga de instrucción–art. 207 del C.P.P.N).</w:t>
      </w:r>
    </w:p>
    <w:p w:rsidR="00224567" w:rsidRDefault="00224567">
      <w:pPr>
        <w:pStyle w:val="Sangradetextonormal"/>
        <w:widowControl w:val="0"/>
        <w:tabs>
          <w:tab w:val="left" w:pos="2835"/>
        </w:tabs>
        <w:ind w:firstLine="2880"/>
      </w:pPr>
      <w:r>
        <w:t>Por último, no podrá tampoco en este caso adjudicarse la irregularidad evidenciada a un mero descuido del juez en el trámite de la causa. Ello, a la luz de las diversas irregularidades del magistrado que d</w:t>
      </w:r>
      <w:r>
        <w:t>e</w:t>
      </w:r>
      <w:r>
        <w:t>mostró su absoluta ausencia de i</w:t>
      </w:r>
      <w:r>
        <w:t>m</w:t>
      </w:r>
      <w:r>
        <w:t>parcialidad.</w:t>
      </w:r>
    </w:p>
    <w:p w:rsidR="00224567" w:rsidRDefault="00224567">
      <w:pPr>
        <w:pStyle w:val="Sangradetextonormal"/>
        <w:widowControl w:val="0"/>
        <w:tabs>
          <w:tab w:val="left" w:pos="2835"/>
        </w:tabs>
        <w:ind w:firstLine="2880"/>
        <w:rPr>
          <w:b/>
          <w:bCs/>
        </w:rPr>
      </w:pPr>
      <w:r>
        <w:rPr>
          <w:b/>
          <w:bCs/>
        </w:rPr>
        <w:t xml:space="preserve">I.2.d) </w:t>
      </w:r>
      <w:r>
        <w:t>La demora en resolver la situ</w:t>
      </w:r>
      <w:r>
        <w:t>a</w:t>
      </w:r>
      <w:r>
        <w:t>ción procesal de los p</w:t>
      </w:r>
      <w:r>
        <w:t>o</w:t>
      </w:r>
      <w:r>
        <w:t>licías acusados</w:t>
      </w:r>
      <w:r>
        <w:rPr>
          <w:b/>
          <w:bCs/>
        </w:rPr>
        <w:t>.</w:t>
      </w:r>
    </w:p>
    <w:p w:rsidR="00224567" w:rsidRDefault="00224567">
      <w:pPr>
        <w:pStyle w:val="Sangradetextonormal"/>
        <w:widowControl w:val="0"/>
        <w:tabs>
          <w:tab w:val="left" w:pos="2835"/>
        </w:tabs>
        <w:ind w:firstLine="2880"/>
      </w:pPr>
      <w:r>
        <w:t>A la situación descripta, tal c</w:t>
      </w:r>
      <w:r>
        <w:t>o</w:t>
      </w:r>
      <w:r>
        <w:t>mo se anticipó en la introducción de este acápite, debe agrega</w:t>
      </w:r>
      <w:r>
        <w:t>r</w:t>
      </w:r>
      <w:r>
        <w:t>se la injustificable demora en la que el juez incurrió p</w:t>
      </w:r>
      <w:r>
        <w:t>a</w:t>
      </w:r>
      <w:r>
        <w:t>ra resolver la imputación dirigida a los policías acus</w:t>
      </w:r>
      <w:r>
        <w:t>a</w:t>
      </w:r>
      <w:r>
        <w:t>dos.</w:t>
      </w:r>
    </w:p>
    <w:p w:rsidR="00224567" w:rsidRDefault="00224567">
      <w:pPr>
        <w:pStyle w:val="Sangradetextonormal"/>
        <w:widowControl w:val="0"/>
        <w:tabs>
          <w:tab w:val="left" w:pos="2835"/>
        </w:tabs>
        <w:ind w:firstLine="2880"/>
      </w:pPr>
      <w:r>
        <w:t>En otros términos, el juez no solo realizó imputaciones, incluso por el atentado, sin demo</w:t>
      </w:r>
      <w:r>
        <w:t>s</w:t>
      </w:r>
      <w:r>
        <w:t>trar el grado de sospecha requerido para tal proceder, sino que también demoró injustificadamente resolver su s</w:t>
      </w:r>
      <w:r>
        <w:t>i</w:t>
      </w:r>
      <w:r>
        <w:t>tuación procesal, y cuando lo hizo sólo lo concretó en forma provis</w:t>
      </w:r>
      <w:r>
        <w:t>o</w:t>
      </w:r>
      <w:r>
        <w:t>ria.</w:t>
      </w:r>
    </w:p>
    <w:p w:rsidR="00224567" w:rsidRDefault="00224567">
      <w:pPr>
        <w:pStyle w:val="Sangradetextonormal"/>
        <w:widowControl w:val="0"/>
        <w:tabs>
          <w:tab w:val="left" w:pos="2835"/>
        </w:tabs>
        <w:ind w:firstLine="2880"/>
      </w:pPr>
      <w:r>
        <w:t>En efecto, el magistrado instructor recién decidió el 22 de diciembre de 1998, la falta de m</w:t>
      </w:r>
      <w:r>
        <w:t>é</w:t>
      </w:r>
      <w:r>
        <w:t>rito por la participación en el atentado de aquellos pol</w:t>
      </w:r>
      <w:r>
        <w:t>i</w:t>
      </w:r>
      <w:r>
        <w:t>cías que, indagados en julio de 1996 por ese hecho, no fueron pr</w:t>
      </w:r>
      <w:r>
        <w:t>o</w:t>
      </w:r>
      <w:r>
        <w:t>cesados.</w:t>
      </w:r>
    </w:p>
    <w:p w:rsidR="00224567" w:rsidRDefault="00224567">
      <w:pPr>
        <w:pStyle w:val="Sangradetextonormal"/>
        <w:widowControl w:val="0"/>
        <w:tabs>
          <w:tab w:val="left" w:pos="2835"/>
        </w:tabs>
        <w:ind w:firstLine="2880"/>
      </w:pPr>
      <w:r>
        <w:t>Respecto de los policías investig</w:t>
      </w:r>
      <w:r>
        <w:t>a</w:t>
      </w:r>
      <w:r>
        <w:t>dos de la brig</w:t>
      </w:r>
      <w:r>
        <w:t>a</w:t>
      </w:r>
      <w:r>
        <w:t>da de Lanús, con excepción de Juan José Ribelli y Raúl Edilio Ibarra, también indagados en julio de 1996 por su i</w:t>
      </w:r>
      <w:r>
        <w:t>n</w:t>
      </w:r>
      <w:r>
        <w:t>tervención en la privación de la libertad de Hugo Pérez acaecida en julio de 1994 por integrantes de la br</w:t>
      </w:r>
      <w:r>
        <w:t>i</w:t>
      </w:r>
      <w:r>
        <w:t>gada de Vicente López, recién di</w:t>
      </w:r>
      <w:r>
        <w:t>c</w:t>
      </w:r>
      <w:r>
        <w:t>tó su falta de mérito por este episodio el 17 de febr</w:t>
      </w:r>
      <w:r>
        <w:t>e</w:t>
      </w:r>
      <w:r>
        <w:t>ro de 2000.</w:t>
      </w:r>
    </w:p>
    <w:p w:rsidR="00224567" w:rsidRDefault="00224567">
      <w:pPr>
        <w:pStyle w:val="Sangradetextonormal"/>
        <w:widowControl w:val="0"/>
        <w:tabs>
          <w:tab w:val="left" w:pos="2835"/>
        </w:tabs>
        <w:ind w:firstLine="2880"/>
      </w:pPr>
      <w:r>
        <w:t>A la extraordinaria demora en ado</w:t>
      </w:r>
      <w:r>
        <w:t>p</w:t>
      </w:r>
      <w:r>
        <w:t xml:space="preserve">tar este tipo de resolución, debe recordarse que su dictado obedeció, como se dijo, a indicaciones de </w:t>
      </w:r>
      <w:smartTag w:uri="urn:schemas-microsoft-com:office:smarttags" w:element="PersonName">
        <w:smartTagPr>
          <w:attr w:name="ProductID" w:val="la C￡mara."/>
        </w:smartTagPr>
        <w:r>
          <w:t>la Cámara.</w:t>
        </w:r>
      </w:smartTag>
    </w:p>
    <w:p w:rsidR="00224567" w:rsidRDefault="00224567">
      <w:pPr>
        <w:pStyle w:val="Sangradetextonormal"/>
        <w:widowControl w:val="0"/>
        <w:tabs>
          <w:tab w:val="left" w:pos="2835"/>
        </w:tabs>
        <w:ind w:firstLine="2880"/>
      </w:pPr>
      <w:r>
        <w:t>Pero, además, debe ponerse de resa</w:t>
      </w:r>
      <w:r>
        <w:t>l</w:t>
      </w:r>
      <w:r>
        <w:t>to que el juez no avanzó en resolver definitivamente la s</w:t>
      </w:r>
      <w:r>
        <w:t>i</w:t>
      </w:r>
      <w:r>
        <w:t>tuación de los acusados, sea mediante el dictado de un procesamiento o sobreseimiento, durante los años en que estuvo a cargo de esas actuaci</w:t>
      </w:r>
      <w:r>
        <w:t>o</w:t>
      </w:r>
      <w:r>
        <w:t>nes.</w:t>
      </w:r>
    </w:p>
    <w:p w:rsidR="00224567" w:rsidRDefault="00224567">
      <w:pPr>
        <w:pStyle w:val="Sangradetextonormal"/>
        <w:widowControl w:val="0"/>
        <w:tabs>
          <w:tab w:val="left" w:pos="2835"/>
        </w:tabs>
        <w:ind w:firstLine="2880"/>
      </w:pPr>
      <w:r>
        <w:t>Además, debe señalarse que el a</w:t>
      </w:r>
      <w:r>
        <w:t>u</w:t>
      </w:r>
      <w:r>
        <w:t>to de falta de mérito, es una resolución de naturaleza eminent</w:t>
      </w:r>
      <w:r>
        <w:t>e</w:t>
      </w:r>
      <w:r>
        <w:t>mente provisoria, que no fue pensada, como parece ente</w:t>
      </w:r>
      <w:r>
        <w:t>n</w:t>
      </w:r>
      <w:r>
        <w:t xml:space="preserve">derlo el juez instructor, para mantener con un estado de incertidumbre </w:t>
      </w:r>
      <w:r>
        <w:rPr>
          <w:u w:val="single"/>
        </w:rPr>
        <w:t>sine die</w:t>
      </w:r>
      <w:r>
        <w:t xml:space="preserve"> a los imputados, sino en virtud de no haber podido alcanzar, en el plazo de diez días previ</w:t>
      </w:r>
      <w:r>
        <w:t>s</w:t>
      </w:r>
      <w:r>
        <w:t>to en el art. 306 del ordenamiento de rito, el grado de convicción  requerido para el di</w:t>
      </w:r>
      <w:r>
        <w:t>c</w:t>
      </w:r>
      <w:r>
        <w:t>tado  del  procesamiento –probabilidad– o del sobreseimiento –certeza negat</w:t>
      </w:r>
      <w:r>
        <w:t>i</w:t>
      </w:r>
      <w:r>
        <w:t>va–.</w:t>
      </w:r>
    </w:p>
    <w:p w:rsidR="00224567" w:rsidRDefault="00224567">
      <w:pPr>
        <w:pStyle w:val="Sangradetextonormal"/>
        <w:widowControl w:val="0"/>
        <w:tabs>
          <w:tab w:val="left" w:pos="2835"/>
        </w:tabs>
        <w:ind w:firstLine="2880"/>
      </w:pPr>
      <w:r>
        <w:t>Esta sujeción de los imputados al pr</w:t>
      </w:r>
      <w:r>
        <w:t>o</w:t>
      </w:r>
      <w:r>
        <w:t>ceso no puede adjudicarse a un mero olvido del juez (s</w:t>
      </w:r>
      <w:r>
        <w:t>i</w:t>
      </w:r>
      <w:r>
        <w:t>tuación ya de</w:t>
      </w:r>
      <w:r>
        <w:t>s</w:t>
      </w:r>
      <w:r>
        <w:t>cartada por él en el párrafo contenido en la resol</w:t>
      </w:r>
      <w:r>
        <w:t>u</w:t>
      </w:r>
      <w:r>
        <w:t>ción de fs. 49.001/49.002 ya citada), sino que solo encuentra explicación, a la luz de lo hasta aquí descri</w:t>
      </w:r>
      <w:r>
        <w:t>p</w:t>
      </w:r>
      <w:r>
        <w:t>to, como una inaceptable forma de presión hacia los acus</w:t>
      </w:r>
      <w:r>
        <w:t>a</w:t>
      </w:r>
      <w:r>
        <w:t>dos.</w:t>
      </w:r>
    </w:p>
    <w:p w:rsidR="00224567" w:rsidRDefault="00224567">
      <w:pPr>
        <w:pStyle w:val="Sangradetextonormal"/>
        <w:widowControl w:val="0"/>
        <w:tabs>
          <w:tab w:val="left" w:pos="2835"/>
        </w:tabs>
        <w:ind w:firstLine="2880"/>
      </w:pPr>
    </w:p>
    <w:p w:rsidR="00224567" w:rsidRDefault="00224567">
      <w:pPr>
        <w:pStyle w:val="Ttulo3"/>
      </w:pPr>
      <w:r>
        <w:t>J) Arbitrario manejo de las categorías procesales en que declararon Hugo Antonio Pérez, Claudio Guillermo Miguel Cotoras y Eduardo Daniel Telleldín</w:t>
      </w:r>
    </w:p>
    <w:p w:rsidR="00224567" w:rsidRDefault="00224567">
      <w:pPr>
        <w:pStyle w:val="Ttulo4"/>
      </w:pPr>
      <w:r>
        <w:tab/>
        <w:t>J.1) La artificial división de las causas “A.M.I.A.” y “Brigadas”.</w:t>
      </w:r>
    </w:p>
    <w:p w:rsidR="00224567" w:rsidRDefault="00224567">
      <w:r>
        <w:tab/>
        <w:t>Otra de las graves irregularid</w:t>
      </w:r>
      <w:r>
        <w:t>a</w:t>
      </w:r>
      <w:r>
        <w:t>des que se advierten en la instrucción de este proceso, es la r</w:t>
      </w:r>
      <w:r>
        <w:t>e</w:t>
      </w:r>
      <w:r>
        <w:t>cepción de declaraciones testimoniales en la denominada causa “Brigadas” a quienes se encontraban imp</w:t>
      </w:r>
      <w:r>
        <w:t>u</w:t>
      </w:r>
      <w:r>
        <w:t>tados en el expediente “A.M.I.A.”. Los casos de Hugo Antonio Pérez, Claudio Guillermo Miguel Cotoras y Eduardo Daniel Telle</w:t>
      </w:r>
      <w:r>
        <w:t>l</w:t>
      </w:r>
      <w:r>
        <w:t>dín constit</w:t>
      </w:r>
      <w:r>
        <w:t>u</w:t>
      </w:r>
      <w:r>
        <w:t>yen un ejemplo más del irregular proceder del m</w:t>
      </w:r>
      <w:r>
        <w:t>a</w:t>
      </w:r>
      <w:r>
        <w:t>gistrado instructor.</w:t>
      </w:r>
    </w:p>
    <w:p w:rsidR="00224567" w:rsidRDefault="00224567">
      <w:r>
        <w:tab/>
        <w:t>La artificial separación de las ca</w:t>
      </w:r>
      <w:r>
        <w:t>u</w:t>
      </w:r>
      <w:r>
        <w:t>sas nros. 1156 –“A.M.I.A.”- y 1598 –“Brigadas”- fue la argucia de la que se valió el juez instructor para justificar la convocatoria a testimonial de los arriba nombrados.</w:t>
      </w:r>
    </w:p>
    <w:p w:rsidR="00224567" w:rsidRDefault="00224567">
      <w:r>
        <w:tab/>
        <w:t>En tal orden, cabe destacar que el 4 de octubre de 1995 el Dr. Galeano ordenó formar nueva ca</w:t>
      </w:r>
      <w:r>
        <w:t>u</w:t>
      </w:r>
      <w:r>
        <w:t>sa con las actuaciones elevadas por el comisario mayor J</w:t>
      </w:r>
      <w:r>
        <w:t>o</w:t>
      </w:r>
      <w:r>
        <w:t>sé Carlos Bretschneider relativas a las detenciones sufr</w:t>
      </w:r>
      <w:r>
        <w:t>i</w:t>
      </w:r>
      <w:r>
        <w:t>das por Carlos Alberto Telleldín y por Hugo Antonio Pérez, a las que acumuló el legajo que se inició con mot</w:t>
      </w:r>
      <w:r>
        <w:t>i</w:t>
      </w:r>
      <w:r>
        <w:t xml:space="preserve">vo de lo informado oportunamente por </w:t>
      </w:r>
      <w:smartTag w:uri="urn:schemas-microsoft-com:office:smarttags" w:element="PersonName">
        <w:smartTagPr>
          <w:attr w:name="ProductID" w:val="la Dra. Riva"/>
        </w:smartTagPr>
        <w:r>
          <w:t>la Dra. Riva</w:t>
        </w:r>
      </w:smartTag>
      <w:r>
        <w:t xml:space="preserve"> Aramayo (cfr. fs. 37.375).</w:t>
      </w:r>
    </w:p>
    <w:p w:rsidR="00224567" w:rsidRDefault="00224567">
      <w:r>
        <w:tab/>
        <w:t>En ese auto, el magistrado in</w:t>
      </w:r>
      <w:r>
        <w:t>s</w:t>
      </w:r>
      <w:r>
        <w:t>tructor valoró los informes obrantes en ese último legajo, señ</w:t>
      </w:r>
      <w:r>
        <w:t>a</w:t>
      </w:r>
      <w:r>
        <w:t>lando que de ellos “resulta que la camioneta Trafic util</w:t>
      </w:r>
      <w:r>
        <w:t>i</w:t>
      </w:r>
      <w:r>
        <w:t xml:space="preserve">zada para perpetrar el atentado a la sede de </w:t>
      </w:r>
      <w:smartTag w:uri="urn:schemas-microsoft-com:office:smarttags" w:element="PersonName">
        <w:smartTagPr>
          <w:attr w:name="ProductID" w:val="la A.M"/>
        </w:smartTagPr>
        <w:r>
          <w:t>la A.M</w:t>
        </w:r>
      </w:smartTag>
      <w:r>
        <w:t>.I.A. fue entregada por el proc</w:t>
      </w:r>
      <w:r>
        <w:t>e</w:t>
      </w:r>
      <w:r>
        <w:t>sado Carlos Alberto Telleldín a personal policial con motivo de los procedimientos cuya investigación corresponde analizar en la presente causa, por lo que entre estas actuaciones y el sumario nº 1156 caratulado: “Atentado en Pasteur 633 –homicidio e infr. ley 23.592- Damnificados: A.M.I.A., D.A.I.A., etc.” existe la relación de conexidad prevista en el art. 41 inc. 2º del C.P.P.”.</w:t>
      </w:r>
    </w:p>
    <w:p w:rsidR="00224567" w:rsidRDefault="00224567">
      <w:r>
        <w:tab/>
        <w:t>A continuación el magistrado dispuso que el sumario nº 1598 corriera por cuerda a la causa nº 1156, determinando con ello una forzada división de la i</w:t>
      </w:r>
      <w:r>
        <w:t>n</w:t>
      </w:r>
      <w:r>
        <w:t>vestig</w:t>
      </w:r>
      <w:r>
        <w:t>a</w:t>
      </w:r>
      <w:r>
        <w:t>ción.</w:t>
      </w:r>
    </w:p>
    <w:p w:rsidR="00224567" w:rsidRDefault="00224567">
      <w:r>
        <w:tab/>
        <w:t>El injustificado trámite por s</w:t>
      </w:r>
      <w:r>
        <w:t>e</w:t>
      </w:r>
      <w:r>
        <w:t xml:space="preserve">parado de las actuaciones recibió la crítica de </w:t>
      </w:r>
      <w:smartTag w:uri="urn:schemas-microsoft-com:office:smarttags" w:element="PersonName">
        <w:smartTagPr>
          <w:attr w:name="ProductID" w:val="la Alzada"/>
        </w:smartTagPr>
        <w:r>
          <w:t>la Alzada</w:t>
        </w:r>
      </w:smartTag>
      <w:r>
        <w:t>, en oportunidad de homologar, el 15 de diciembre de 1998, la prórroga de la prisión preventiva dispuesta respecto de quienes se encontraban procesados en la causa “Br</w:t>
      </w:r>
      <w:r>
        <w:t>i</w:t>
      </w:r>
      <w:r>
        <w:t>gadas”. Allí consideró que “no debe este Tribunal omitir señalar que a la ins</w:t>
      </w:r>
      <w:r>
        <w:t>i</w:t>
      </w:r>
      <w:r>
        <w:t>ta complejidad de los delitos pesquisados se ha agregado una mayor dificultad para el avance de la in</w:t>
      </w:r>
      <w:r>
        <w:t>s</w:t>
      </w:r>
      <w:r>
        <w:t>trucción al confundirse el objeto procesal de estas actu</w:t>
      </w:r>
      <w:r>
        <w:t>a</w:t>
      </w:r>
      <w:r>
        <w:t xml:space="preserve">ciones con aquél que se investiga en los autos nro. </w:t>
      </w:r>
      <w:smartTag w:uri="urn:schemas-microsoft-com:office:smarttags" w:element="metricconverter">
        <w:smartTagPr>
          <w:attr w:name="ProductID" w:val="1156”"/>
        </w:smartTagPr>
        <w:r>
          <w:t>1156”</w:t>
        </w:r>
      </w:smartTag>
      <w:r>
        <w:t xml:space="preserve">, ordenando que “devuelta que sea la presente, el Señor Juez </w:t>
      </w:r>
      <w:r>
        <w:rPr>
          <w:i/>
          <w:iCs/>
        </w:rPr>
        <w:t xml:space="preserve">a quo </w:t>
      </w:r>
      <w:r>
        <w:t>deberá incorporar, de inmediato, a los autos nro. 1156 las actuaciones de esta causa nro. 1598 vinculadas a la imput</w:t>
      </w:r>
      <w:r>
        <w:t>a</w:t>
      </w:r>
      <w:r>
        <w:t>ción por el atentado efectuada a los procesados, en la primera investigado” (cfr. resolución de fs. 48.998/49.000).</w:t>
      </w:r>
    </w:p>
    <w:p w:rsidR="00224567" w:rsidRDefault="00224567">
      <w:r>
        <w:tab/>
        <w:t xml:space="preserve">Frente a los claros términos de </w:t>
      </w:r>
      <w:smartTag w:uri="urn:schemas-microsoft-com:office:smarttags" w:element="PersonName">
        <w:smartTagPr>
          <w:attr w:name="ProductID" w:val="la C￡mara"/>
        </w:smartTagPr>
        <w:r>
          <w:t>la C</w:t>
        </w:r>
        <w:r>
          <w:t>á</w:t>
        </w:r>
        <w:r>
          <w:t>mara</w:t>
        </w:r>
      </w:smartTag>
      <w:r>
        <w:t>, el juez instructor dispuso la acumulación de la ca</w:t>
      </w:r>
      <w:r>
        <w:t>u</w:t>
      </w:r>
      <w:r>
        <w:t>sa “Brigadas” a la nº 1156 por aplicación de las r</w:t>
      </w:r>
      <w:r>
        <w:t>e</w:t>
      </w:r>
      <w:r>
        <w:t>glas de conexidad, sin perjuicio de lo cual, ordenó que su tram</w:t>
      </w:r>
      <w:r>
        <w:t>i</w:t>
      </w:r>
      <w:r>
        <w:t>tación continúe por separado (ver auto del 4 de marzo de 1999 de fs. 50.337).</w:t>
      </w:r>
    </w:p>
    <w:p w:rsidR="00224567" w:rsidRDefault="00224567">
      <w:r>
        <w:tab/>
        <w:t xml:space="preserve">Ante la insólita resistencia del juez en cumplir lo ordenado por </w:t>
      </w:r>
      <w:smartTag w:uri="urn:schemas-microsoft-com:office:smarttags" w:element="PersonName">
        <w:smartTagPr>
          <w:attr w:name="ProductID" w:val="la Alzada"/>
        </w:smartTagPr>
        <w:r>
          <w:t>la Alzada</w:t>
        </w:r>
      </w:smartTag>
      <w:r>
        <w:t>, el 7 de mayo de 1999 ese tribunal, al resolver en el incidente de e</w:t>
      </w:r>
      <w:r>
        <w:t>x</w:t>
      </w:r>
      <w:r>
        <w:t>carcelación de Marcelo Albarracín, sostuvo que “... de la lectura de los autos principales se advierte que el Magistrado in</w:t>
      </w:r>
      <w:r>
        <w:t>s</w:t>
      </w:r>
      <w:r>
        <w:t>tructor ha reeditado el pasado 4 de marzo un decreto ant</w:t>
      </w:r>
      <w:r>
        <w:t>e</w:t>
      </w:r>
      <w:r>
        <w:t>rior de fecha 4 de octubre de 1995 ... el cual no se aju</w:t>
      </w:r>
      <w:r>
        <w:t>s</w:t>
      </w:r>
      <w:r>
        <w:t>ta a lo ordenado por este Tribunal ... el 15 de diciembre de 1998. Por ello, devueltas que sean las actuaciones d</w:t>
      </w:r>
      <w:r>
        <w:t>e</w:t>
      </w:r>
      <w:r>
        <w:t>berá, en forma inmediata e improrrogable, incorporar mat</w:t>
      </w:r>
      <w:r>
        <w:t>e</w:t>
      </w:r>
      <w:r>
        <w:t>rialmente a la causa nro. 1156 las actuaci</w:t>
      </w:r>
      <w:r>
        <w:t>o</w:t>
      </w:r>
      <w:r>
        <w:t>nes labradas en estos autos relacionadas con las imputaciones efectuadas por la responsabilidad en el atentado investigado en aqu</w:t>
      </w:r>
      <w:r>
        <w:t>é</w:t>
      </w:r>
      <w:r>
        <w:t>lla y culminar la instrucción de la presente cumpliendo con las vistas previstas por los artículos 346 y conco</w:t>
      </w:r>
      <w:r>
        <w:t>r</w:t>
      </w:r>
      <w:r>
        <w:t xml:space="preserve">dantes del Código Procesal Penal de </w:t>
      </w:r>
      <w:smartTag w:uri="urn:schemas-microsoft-com:office:smarttags" w:element="PersonName">
        <w:smartTagPr>
          <w:attr w:name="ProductID" w:val="la Naci￳n"/>
        </w:smartTagPr>
        <w:r>
          <w:t>la Nación</w:t>
        </w:r>
      </w:smartTag>
      <w:r>
        <w:t>” (cfr. fs. 50.559/50.560).</w:t>
      </w:r>
    </w:p>
    <w:p w:rsidR="00224567" w:rsidRDefault="00224567">
      <w:r>
        <w:tab/>
        <w:t>En atención a lo ello, el juez in</w:t>
      </w:r>
      <w:r>
        <w:t>s</w:t>
      </w:r>
      <w:r>
        <w:t>tructor dispuso, el 17 de mayo de 1999, “incorporar mat</w:t>
      </w:r>
      <w:r>
        <w:t>e</w:t>
      </w:r>
      <w:r>
        <w:t>rialmente la causa nº 1598 ... a estos originales –causa nº 1156-, a efectos de continuar la sustanciación y disp</w:t>
      </w:r>
      <w:r>
        <w:t>o</w:t>
      </w:r>
      <w:r>
        <w:t>ner los traslados previstos en el art. 346 y sigs. del C.P.P.N...” (cfr. fs. 37.099/37.100).</w:t>
      </w:r>
    </w:p>
    <w:p w:rsidR="00224567" w:rsidRDefault="00224567">
      <w:pPr>
        <w:pStyle w:val="Piedepgina"/>
        <w:tabs>
          <w:tab w:val="clear" w:pos="4419"/>
          <w:tab w:val="clear" w:pos="8838"/>
        </w:tabs>
        <w:spacing w:line="600" w:lineRule="auto"/>
      </w:pPr>
    </w:p>
    <w:p w:rsidR="00224567" w:rsidRDefault="00224567">
      <w:pPr>
        <w:pStyle w:val="Ttulo4"/>
      </w:pPr>
      <w:r>
        <w:rPr>
          <w:b w:val="0"/>
          <w:bCs w:val="0"/>
        </w:rPr>
        <w:tab/>
      </w:r>
      <w:r>
        <w:t>J.2)</w:t>
      </w:r>
      <w:r>
        <w:rPr>
          <w:b w:val="0"/>
          <w:bCs w:val="0"/>
        </w:rPr>
        <w:t xml:space="preserve"> </w:t>
      </w:r>
      <w:r>
        <w:t>Consecuencia de la separ</w:t>
      </w:r>
      <w:r>
        <w:t>a</w:t>
      </w:r>
      <w:r>
        <w:t>ción de las actuaciones</w:t>
      </w:r>
    </w:p>
    <w:p w:rsidR="00224567" w:rsidRDefault="00224567">
      <w:r>
        <w:tab/>
        <w:t>A esta altura del análisis  puede so</w:t>
      </w:r>
      <w:r>
        <w:t>s</w:t>
      </w:r>
      <w:r>
        <w:t>tenerse que la artificial división de las causas nros. 1156 y 1598 formó parte del “armado” de estas a</w:t>
      </w:r>
      <w:r>
        <w:t>c</w:t>
      </w:r>
      <w:r>
        <w:t>tuaciones y que su tratamiento como si sus objetos procesales no t</w:t>
      </w:r>
      <w:r>
        <w:t>u</w:t>
      </w:r>
      <w:r>
        <w:t>vieran relación entre sí no fue casual ni se debió a una simple desprol</w:t>
      </w:r>
      <w:r>
        <w:t>i</w:t>
      </w:r>
      <w:r>
        <w:t xml:space="preserve">jidad. </w:t>
      </w:r>
    </w:p>
    <w:p w:rsidR="00224567" w:rsidRDefault="00224567">
      <w:r>
        <w:tab/>
        <w:t>En efecto, el magistrado instructor, en su afán por colectar pruebas de cargo contra los pol</w:t>
      </w:r>
      <w:r>
        <w:t>i</w:t>
      </w:r>
      <w:r>
        <w:t>cías bonaerenses, aprovechó la escisión de las actu</w:t>
      </w:r>
      <w:r>
        <w:t>a</w:t>
      </w:r>
      <w:r>
        <w:t>ciones para tomar declaraciones bajo juramento en la causa “Br</w:t>
      </w:r>
      <w:r>
        <w:t>i</w:t>
      </w:r>
      <w:r>
        <w:t>gadas” a Hugo Antonio Pérez, Claudio Guillermo Miguel C</w:t>
      </w:r>
      <w:r>
        <w:t>o</w:t>
      </w:r>
      <w:r>
        <w:t>toras y a Eduardo Daniel Telleldín, quienes habían sido indagados por el atentado a la mutual judía y mantenían la calidad de imputados en la causa “A.M.I.A.”, importando una patente violación a las g</w:t>
      </w:r>
      <w:r>
        <w:t>a</w:t>
      </w:r>
      <w:r>
        <w:t xml:space="preserve">rantías prevista en el art. 18 de </w:t>
      </w:r>
      <w:smartTag w:uri="urn:schemas-microsoft-com:office:smarttags" w:element="PersonName">
        <w:smartTagPr>
          <w:attr w:name="ProductID" w:val="la Constituci￳n Nacional."/>
        </w:smartTagPr>
        <w:r>
          <w:t>la Constitución N</w:t>
        </w:r>
        <w:r>
          <w:t>a</w:t>
        </w:r>
        <w:r>
          <w:t>cional.</w:t>
        </w:r>
      </w:smartTag>
    </w:p>
    <w:p w:rsidR="00224567" w:rsidRDefault="00224567">
      <w:r>
        <w:tab/>
        <w:t>La única y verdadera razón de sus co</w:t>
      </w:r>
      <w:r>
        <w:t>n</w:t>
      </w:r>
      <w:r>
        <w:t>vocatorias en carácter de testigos encuentra explicación en la clandestina negociación que mantuvo el juez instru</w:t>
      </w:r>
      <w:r>
        <w:t>c</w:t>
      </w:r>
      <w:r>
        <w:t>tor con Carlos Alberto Telleldín, de la cual resultaron su consecuencia, siendo funcionales a la imputación contra los policías b</w:t>
      </w:r>
      <w:r>
        <w:t>o</w:t>
      </w:r>
      <w:r>
        <w:t>naerenses.</w:t>
      </w:r>
    </w:p>
    <w:p w:rsidR="00224567" w:rsidRDefault="00224567">
      <w:r>
        <w:tab/>
        <w:t>Tal proceder revela, como ya se dij</w:t>
      </w:r>
      <w:r>
        <w:t>e</w:t>
      </w:r>
      <w:r>
        <w:t>ra en relación al caso de Miriam Salinas, el antojadizo man</w:t>
      </w:r>
      <w:r>
        <w:t>e</w:t>
      </w:r>
      <w:r>
        <w:t>jo de las imputaciones por parte del instructor c</w:t>
      </w:r>
      <w:r>
        <w:t>o</w:t>
      </w:r>
      <w:r>
        <w:t>mo forma de presión para obtener declaraciones testimoniales incr</w:t>
      </w:r>
      <w:r>
        <w:t>i</w:t>
      </w:r>
      <w:r>
        <w:t>minantes hacia otros e</w:t>
      </w:r>
      <w:r>
        <w:t>n</w:t>
      </w:r>
      <w:r>
        <w:t>causados.</w:t>
      </w:r>
    </w:p>
    <w:p w:rsidR="00224567" w:rsidRDefault="00224567">
      <w:pPr>
        <w:pStyle w:val="Sangra3detindependiente"/>
        <w:spacing w:line="600" w:lineRule="auto"/>
        <w:rPr>
          <w:lang w:val="es-AR"/>
        </w:rPr>
      </w:pPr>
      <w:r>
        <w:rPr>
          <w:lang w:val="es-AR"/>
        </w:rPr>
        <w:t>Resulta evidente que la espont</w:t>
      </w:r>
      <w:r>
        <w:rPr>
          <w:lang w:val="es-AR"/>
        </w:rPr>
        <w:t>a</w:t>
      </w:r>
      <w:r>
        <w:rPr>
          <w:lang w:val="es-AR"/>
        </w:rPr>
        <w:t>neidad y credibilidad de quienes debían declarar c</w:t>
      </w:r>
      <w:r>
        <w:rPr>
          <w:lang w:val="es-AR"/>
        </w:rPr>
        <w:t>o</w:t>
      </w:r>
      <w:r>
        <w:rPr>
          <w:lang w:val="es-AR"/>
        </w:rPr>
        <w:t>mo testigos en actuaciones que, de modo indudable, excedían la mera con</w:t>
      </w:r>
      <w:r>
        <w:rPr>
          <w:lang w:val="es-AR"/>
        </w:rPr>
        <w:t>e</w:t>
      </w:r>
      <w:r>
        <w:rPr>
          <w:lang w:val="es-AR"/>
        </w:rPr>
        <w:t>xidad con la causa “A.M.I.A.”, en la que permanecían imp</w:t>
      </w:r>
      <w:r>
        <w:rPr>
          <w:lang w:val="es-AR"/>
        </w:rPr>
        <w:t>u</w:t>
      </w:r>
      <w:r>
        <w:rPr>
          <w:lang w:val="es-AR"/>
        </w:rPr>
        <w:t>tados, se encontraban seriamente afectadas; máxime cua</w:t>
      </w:r>
      <w:r>
        <w:rPr>
          <w:lang w:val="es-AR"/>
        </w:rPr>
        <w:t>n</w:t>
      </w:r>
      <w:r>
        <w:rPr>
          <w:lang w:val="es-AR"/>
        </w:rPr>
        <w:t>do, como se dijo, sus testimonios fueron traídos como cons</w:t>
      </w:r>
      <w:r>
        <w:rPr>
          <w:lang w:val="es-AR"/>
        </w:rPr>
        <w:t>e</w:t>
      </w:r>
      <w:r>
        <w:rPr>
          <w:lang w:val="es-AR"/>
        </w:rPr>
        <w:t>cuencia de la negociación tantas v</w:t>
      </w:r>
      <w:r>
        <w:rPr>
          <w:lang w:val="es-AR"/>
        </w:rPr>
        <w:t>e</w:t>
      </w:r>
      <w:r>
        <w:rPr>
          <w:lang w:val="es-AR"/>
        </w:rPr>
        <w:t xml:space="preserve">ces aludida. </w:t>
      </w:r>
    </w:p>
    <w:p w:rsidR="00224567" w:rsidRDefault="00224567">
      <w:r>
        <w:rPr>
          <w:lang w:val="es-AR"/>
        </w:rPr>
        <w:tab/>
      </w:r>
      <w:r>
        <w:t>Fue en esa inteligencia que el 16 de julio de 2001, al proveer la prueba ofrecida, este Trib</w:t>
      </w:r>
      <w:r>
        <w:t>u</w:t>
      </w:r>
      <w:r>
        <w:t>nal no hizo lugar a las declaraciones de Claudio Gu</w:t>
      </w:r>
      <w:r>
        <w:t>i</w:t>
      </w:r>
      <w:r>
        <w:t>llermo Miguel Cotoras y Eduardo Daniel Telleldín, para lo cual sostuvo que “por la condición de imputados que aún revi</w:t>
      </w:r>
      <w:r>
        <w:t>s</w:t>
      </w:r>
      <w:r>
        <w:t>ten en autos, su admisión como testigos violaría la proh</w:t>
      </w:r>
      <w:r>
        <w:t>i</w:t>
      </w:r>
      <w:r>
        <w:t xml:space="preserve">bición del art. 18 de </w:t>
      </w:r>
      <w:smartTag w:uri="urn:schemas-microsoft-com:office:smarttags" w:element="PersonName">
        <w:smartTagPr>
          <w:attr w:name="ProductID" w:val="la Constituci￳n Nacional"/>
        </w:smartTagPr>
        <w:r>
          <w:t>la Constitución N</w:t>
        </w:r>
        <w:r>
          <w:t>a</w:t>
        </w:r>
        <w:r>
          <w:t>cional</w:t>
        </w:r>
      </w:smartTag>
      <w:r>
        <w:t>”.</w:t>
      </w:r>
    </w:p>
    <w:p w:rsidR="00224567" w:rsidRDefault="00224567">
      <w:r>
        <w:tab/>
        <w:t>Finalmente, y en descreimiento de los testimonios así recibidos, cabe recordar que ellos apunt</w:t>
      </w:r>
      <w:r>
        <w:t>a</w:t>
      </w:r>
      <w:r>
        <w:t>laron en la causa “Brigadas” la versión de los hechos que Telleldín brindó en la remunerada declar</w:t>
      </w:r>
      <w:r>
        <w:t>a</w:t>
      </w:r>
      <w:r>
        <w:t>ción indagatoria del 5 de julio de 1996, fo</w:t>
      </w:r>
      <w:r>
        <w:t>r</w:t>
      </w:r>
      <w:r>
        <w:t>mando sus testimonios parte del acuerdo alcanzado entre el juez Galeano y Telleldín, según dan cuenta los videos del 10 de abril y 1º de julio de 1996.</w:t>
      </w:r>
    </w:p>
    <w:p w:rsidR="00224567" w:rsidRDefault="00224567">
      <w:pPr>
        <w:pStyle w:val="Ttulo4"/>
      </w:pPr>
      <w:r>
        <w:tab/>
        <w:t>J.3)</w:t>
      </w:r>
      <w:r>
        <w:rPr>
          <w:b w:val="0"/>
          <w:bCs w:val="0"/>
        </w:rPr>
        <w:t xml:space="preserve"> </w:t>
      </w:r>
      <w:r>
        <w:rPr>
          <w:lang w:val="es-AR"/>
        </w:rPr>
        <w:t>Negociación entre Telleldín y G</w:t>
      </w:r>
      <w:r>
        <w:rPr>
          <w:lang w:val="es-AR"/>
        </w:rPr>
        <w:t>a</w:t>
      </w:r>
      <w:r>
        <w:rPr>
          <w:lang w:val="es-AR"/>
        </w:rPr>
        <w:t>leano para</w:t>
      </w:r>
      <w:r>
        <w:t xml:space="preserve"> la presentación de testigos</w:t>
      </w:r>
    </w:p>
    <w:p w:rsidR="00224567" w:rsidRDefault="00224567">
      <w:r>
        <w:tab/>
        <w:t>De las reuniones que el juez Galeano mantuvo con Telleldín, reflejadas en los videos arriba mencionados, surge que, como parte del acuerdo, el proc</w:t>
      </w:r>
      <w:r>
        <w:t>e</w:t>
      </w:r>
      <w:r>
        <w:t>sado acercaría al juzgado, previo a convencerlos de ello,  una serie de testigos que respaldarían su versión de los hechos.</w:t>
      </w:r>
    </w:p>
    <w:p w:rsidR="00224567" w:rsidRDefault="00224567">
      <w:r>
        <w:tab/>
        <w:t>En ese marco, cabe mencionar, a más de las declaraciones de Cotoras y del hermano de Telleldín, la de Hugo Antonio Pérez.</w:t>
      </w:r>
    </w:p>
    <w:p w:rsidR="00224567" w:rsidRDefault="00224567">
      <w:r>
        <w:tab/>
        <w:t>Si bien ya fueron volcadas a lo largo de este pronunciamiento al tratar otras cue</w:t>
      </w:r>
      <w:r>
        <w:t>s</w:t>
      </w:r>
      <w:r>
        <w:t>tiones, por su elocuencia, el Tribunal entiende n</w:t>
      </w:r>
      <w:r>
        <w:t>e</w:t>
      </w:r>
      <w:r>
        <w:t xml:space="preserve">cesario renovar dichas transcripciones. </w:t>
      </w:r>
    </w:p>
    <w:p w:rsidR="00224567" w:rsidRDefault="00224567">
      <w:r>
        <w:tab/>
        <w:t>En el encuentro del 1º de julio de 1996, se mantuvo el s</w:t>
      </w:r>
      <w:r>
        <w:t>i</w:t>
      </w:r>
      <w:r>
        <w:t>guiente diálogo:</w:t>
      </w:r>
    </w:p>
    <w:p w:rsidR="00224567" w:rsidRDefault="00224567">
      <w:pPr>
        <w:pStyle w:val="Textoindependiente"/>
        <w:numPr>
          <w:ilvl w:val="0"/>
          <w:numId w:val="5"/>
        </w:numPr>
        <w:tabs>
          <w:tab w:val="left" w:pos="1440"/>
          <w:tab w:val="left" w:pos="2160"/>
          <w:tab w:val="left" w:pos="2880"/>
          <w:tab w:val="left" w:pos="3600"/>
          <w:tab w:val="left" w:pos="4320"/>
          <w:tab w:val="left" w:pos="5040"/>
          <w:tab w:val="left" w:pos="5760"/>
        </w:tabs>
        <w:spacing w:line="600" w:lineRule="auto"/>
      </w:pPr>
      <w:r>
        <w:t>De Gamas: Tu idea, tu idea es que vengan a declarar cada uno de los tipos.</w:t>
      </w:r>
    </w:p>
    <w:p w:rsidR="00224567" w:rsidRDefault="00224567">
      <w:pPr>
        <w:pStyle w:val="Textoindependiente"/>
        <w:numPr>
          <w:ilvl w:val="0"/>
          <w:numId w:val="5"/>
        </w:numPr>
        <w:tabs>
          <w:tab w:val="left" w:pos="1440"/>
          <w:tab w:val="left" w:pos="2160"/>
          <w:tab w:val="left" w:pos="2880"/>
          <w:tab w:val="left" w:pos="3600"/>
          <w:tab w:val="left" w:pos="4320"/>
          <w:tab w:val="left" w:pos="5040"/>
          <w:tab w:val="left" w:pos="5760"/>
        </w:tabs>
        <w:spacing w:line="600" w:lineRule="auto"/>
      </w:pPr>
      <w:r>
        <w:t>Telleldín: Yo le empiezo a traer a los....</w:t>
      </w:r>
    </w:p>
    <w:p w:rsidR="00224567" w:rsidRDefault="00224567">
      <w:pPr>
        <w:pStyle w:val="Textoindependiente"/>
        <w:numPr>
          <w:ilvl w:val="0"/>
          <w:numId w:val="5"/>
        </w:numPr>
        <w:tabs>
          <w:tab w:val="left" w:pos="1440"/>
          <w:tab w:val="left" w:pos="2160"/>
          <w:tab w:val="left" w:pos="2880"/>
          <w:tab w:val="left" w:pos="3600"/>
          <w:tab w:val="left" w:pos="4320"/>
          <w:tab w:val="left" w:pos="5040"/>
          <w:tab w:val="left" w:pos="5760"/>
        </w:tabs>
        <w:spacing w:line="600" w:lineRule="auto"/>
      </w:pPr>
      <w:r>
        <w:t>De Gamas: ¿Cuántos testigos son?, más o menos decime para calcular</w:t>
      </w:r>
    </w:p>
    <w:p w:rsidR="00224567" w:rsidRDefault="00224567">
      <w:pPr>
        <w:pStyle w:val="Textoindependiente"/>
        <w:numPr>
          <w:ilvl w:val="0"/>
          <w:numId w:val="5"/>
        </w:numPr>
        <w:tabs>
          <w:tab w:val="left" w:pos="1440"/>
          <w:tab w:val="left" w:pos="2160"/>
          <w:tab w:val="left" w:pos="2880"/>
          <w:tab w:val="left" w:pos="3600"/>
          <w:tab w:val="left" w:pos="4320"/>
          <w:tab w:val="left" w:pos="5040"/>
          <w:tab w:val="left" w:pos="5760"/>
        </w:tabs>
        <w:spacing w:line="600" w:lineRule="auto"/>
      </w:pPr>
      <w:r>
        <w:t>Telleldín: No sé, pueden ser como diez como pueden ser ocho, no sé porque tengo hablar con gente que no sé si me va a decir que sí. ¿Entendés? Pueden ser diez, ocho, no sé. No te doy un número.</w:t>
      </w:r>
    </w:p>
    <w:p w:rsidR="00224567" w:rsidRDefault="00224567">
      <w:pPr>
        <w:rPr>
          <w:szCs w:val="20"/>
          <w:lang w:val="es-ES_tradnl"/>
        </w:rPr>
      </w:pPr>
      <w:r>
        <w:tab/>
        <w:t>En otro párrafo de la conversación T</w:t>
      </w:r>
      <w:r>
        <w:t>e</w:t>
      </w:r>
      <w:r>
        <w:t>lleldín le dijo al Dr. Galeano, “... yo tengo los testigos que sé que no van a declarar sino los convenzo ... o sea que los testigos que quedo re tranqui, no van a declarar hasta que yo hable todo con ellos...”, agr</w:t>
      </w:r>
      <w:r>
        <w:t>e</w:t>
      </w:r>
      <w:r>
        <w:t>gando “</w:t>
      </w:r>
      <w:r>
        <w:rPr>
          <w:szCs w:val="20"/>
          <w:lang w:val="es-ES_tradnl"/>
        </w:rPr>
        <w:t>todo lo que usted sea testigo, no logra nada no va a llegar a n</w:t>
      </w:r>
      <w:r>
        <w:rPr>
          <w:szCs w:val="20"/>
          <w:lang w:val="es-ES_tradnl"/>
        </w:rPr>
        <w:t>a</w:t>
      </w:r>
      <w:r>
        <w:rPr>
          <w:szCs w:val="20"/>
          <w:lang w:val="es-ES_tradnl"/>
        </w:rPr>
        <w:t>da, se lo aseguro, sin mí, se lo aseguro. Los testigos e</w:t>
      </w:r>
      <w:r>
        <w:rPr>
          <w:szCs w:val="20"/>
          <w:lang w:val="es-ES_tradnl"/>
        </w:rPr>
        <w:t>s</w:t>
      </w:r>
      <w:r>
        <w:rPr>
          <w:szCs w:val="20"/>
          <w:lang w:val="es-ES_tradnl"/>
        </w:rPr>
        <w:t>tán firme a mí, más que acá en este Juzgado, le hablaron re mal de mí, que yo era esto, que yo era lo otro, le ca</w:t>
      </w:r>
      <w:r>
        <w:rPr>
          <w:szCs w:val="20"/>
          <w:lang w:val="es-ES_tradnl"/>
        </w:rPr>
        <w:t>r</w:t>
      </w:r>
      <w:r>
        <w:rPr>
          <w:szCs w:val="20"/>
          <w:lang w:val="es-ES_tradnl"/>
        </w:rPr>
        <w:t>garon los cartuchos, y los testigos después por atrás me venían y me decían me enteré de todo, entonces los test</w:t>
      </w:r>
      <w:r>
        <w:rPr>
          <w:szCs w:val="20"/>
          <w:lang w:val="es-ES_tradnl"/>
        </w:rPr>
        <w:t>i</w:t>
      </w:r>
      <w:r>
        <w:rPr>
          <w:szCs w:val="20"/>
          <w:lang w:val="es-ES_tradnl"/>
        </w:rPr>
        <w:t>gos están todos negativos; tengo que hacer yo un trabajo para que los tipos rea</w:t>
      </w:r>
      <w:r>
        <w:rPr>
          <w:szCs w:val="20"/>
          <w:lang w:val="es-ES_tradnl"/>
        </w:rPr>
        <w:t>l</w:t>
      </w:r>
      <w:r>
        <w:rPr>
          <w:szCs w:val="20"/>
          <w:lang w:val="es-ES_tradnl"/>
        </w:rPr>
        <w:t>mente declaren ¿me entendés?...”.</w:t>
      </w:r>
    </w:p>
    <w:p w:rsidR="00224567" w:rsidRDefault="00224567">
      <w:r>
        <w:rPr>
          <w:lang w:val="es-ES_tradnl"/>
        </w:rPr>
        <w:tab/>
      </w:r>
      <w:r>
        <w:t>Además adicionó “</w:t>
      </w:r>
      <w:r>
        <w:rPr>
          <w:szCs w:val="20"/>
          <w:lang w:val="es-ES_tradnl"/>
        </w:rPr>
        <w:t>No, les pido que no los toquen y los tipos se asustan más todavía no co</w:t>
      </w:r>
      <w:r>
        <w:rPr>
          <w:szCs w:val="20"/>
          <w:lang w:val="es-ES_tradnl"/>
        </w:rPr>
        <w:t>n</w:t>
      </w:r>
      <w:r>
        <w:rPr>
          <w:szCs w:val="20"/>
          <w:lang w:val="es-ES_tradnl"/>
        </w:rPr>
        <w:t>viene ¿viste?. Hasta que yo no hable con la gente y le diga, porque hay testigos que están procesados y a lo mejor s</w:t>
      </w:r>
      <w:r>
        <w:rPr>
          <w:szCs w:val="20"/>
          <w:lang w:val="es-ES_tradnl"/>
        </w:rPr>
        <w:t>a</w:t>
      </w:r>
      <w:r>
        <w:rPr>
          <w:szCs w:val="20"/>
          <w:lang w:val="es-ES_tradnl"/>
        </w:rPr>
        <w:t>bías cosas que no declararon, hay que llamarlos, mandarlo al boga, hacer (I) de abogado, convencerlos que decl</w:t>
      </w:r>
      <w:r>
        <w:rPr>
          <w:szCs w:val="20"/>
          <w:lang w:val="es-ES_tradnl"/>
        </w:rPr>
        <w:t>a</w:t>
      </w:r>
      <w:r>
        <w:rPr>
          <w:szCs w:val="20"/>
          <w:lang w:val="es-ES_tradnl"/>
        </w:rPr>
        <w:t>ren..., es un laburo mío.”</w:t>
      </w:r>
    </w:p>
    <w:p w:rsidR="00224567" w:rsidRDefault="00224567">
      <w:pPr>
        <w:pStyle w:val="Sangra3detindependiente"/>
        <w:spacing w:line="600" w:lineRule="auto"/>
        <w:rPr>
          <w:lang w:val="es-AR"/>
        </w:rPr>
      </w:pPr>
      <w:r>
        <w:rPr>
          <w:lang w:val="es-AR"/>
        </w:rPr>
        <w:t>Más adelante Telleldín afirmó que “... Y el único camino que hay es uno sólo, nada más. Vendo el libro y después tengo que declarar d</w:t>
      </w:r>
      <w:r>
        <w:rPr>
          <w:lang w:val="es-AR"/>
        </w:rPr>
        <w:t>u</w:t>
      </w:r>
      <w:r>
        <w:rPr>
          <w:lang w:val="es-AR"/>
        </w:rPr>
        <w:t>rante ..., darle los testigos ..., tengo que hablar con ciertos testigos que están apáticos que los tipos están muy mal, decirles que recuerden lo que pasó y que le digan a usted la verdad, como hice con los paraguayos. Una vez que declaren todos yo te</w:t>
      </w:r>
      <w:r>
        <w:rPr>
          <w:lang w:val="es-AR"/>
        </w:rPr>
        <w:t>n</w:t>
      </w:r>
      <w:r>
        <w:rPr>
          <w:lang w:val="es-AR"/>
        </w:rPr>
        <w:t>go que declarar ...”.</w:t>
      </w:r>
    </w:p>
    <w:p w:rsidR="00224567" w:rsidRDefault="00224567">
      <w:r>
        <w:tab/>
        <w:t>Con relación al hecho del 10 de julio de 1994 se mantuvo el siguiente diálogo:</w:t>
      </w:r>
    </w:p>
    <w:p w:rsidR="00224567" w:rsidRDefault="00224567">
      <w:pPr>
        <w:widowControl w:val="0"/>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rPr>
        <w:t>De Gamas</w:t>
      </w:r>
      <w:r>
        <w:rPr>
          <w:szCs w:val="20"/>
          <w:lang w:val="es-ES_tradnl"/>
        </w:rPr>
        <w:t>:</w:t>
      </w:r>
      <w:r>
        <w:rPr>
          <w:szCs w:val="20"/>
          <w:lang w:val="es-ES_tradnl"/>
        </w:rPr>
        <w:tab/>
        <w:t>Bueno, entonces estamos en los testigos del día diez, ¿tenés testigos para el día diez? (superpos</w:t>
      </w:r>
      <w:r>
        <w:rPr>
          <w:szCs w:val="20"/>
          <w:lang w:val="es-ES_tradnl"/>
        </w:rPr>
        <w:t>i</w:t>
      </w:r>
      <w:r>
        <w:rPr>
          <w:szCs w:val="20"/>
          <w:lang w:val="es-ES_tradnl"/>
        </w:rPr>
        <w:t>ción de voces)</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lang w:val="es-ES_tradnl"/>
        </w:rPr>
        <w:t>Telleldín: ¿No te dije?</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rPr>
        <w:t>De Gamas</w:t>
      </w:r>
      <w:r>
        <w:rPr>
          <w:szCs w:val="20"/>
          <w:lang w:val="es-ES_tradnl"/>
        </w:rPr>
        <w:t>: Sí, además de este tipo, te pregunto, vos cuándo entregaste la camioneta, ¿le comentaste a a</w:t>
      </w:r>
      <w:r>
        <w:rPr>
          <w:szCs w:val="20"/>
          <w:lang w:val="es-ES_tradnl"/>
        </w:rPr>
        <w:t>l</w:t>
      </w:r>
      <w:r>
        <w:rPr>
          <w:szCs w:val="20"/>
          <w:lang w:val="es-ES_tradnl"/>
        </w:rPr>
        <w:t>guien lo que pasó...?</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lang w:val="es-ES_tradnl"/>
        </w:rPr>
        <w:t>Telleldín: Tengo, tres testigos.</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pPr>
      <w:r>
        <w:rPr>
          <w:szCs w:val="20"/>
        </w:rPr>
        <w:t>De Gamas</w:t>
      </w:r>
      <w:r>
        <w:rPr>
          <w:szCs w:val="20"/>
          <w:lang w:val="es-ES_tradnl"/>
        </w:rPr>
        <w:t>: Listo, eso quería saber.</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rPr>
      </w:pPr>
      <w:r>
        <w:t>Telleldín: tres testigos que van a declarar, tengo que hablar con ellos viste, que el abogado les diga que ust</w:t>
      </w:r>
      <w:r>
        <w:t>e</w:t>
      </w:r>
      <w:r>
        <w:t>des no lo van a procesar que..., que sé yo el más fund</w:t>
      </w:r>
      <w:r>
        <w:t>a</w:t>
      </w:r>
      <w:r>
        <w:t>mental es el que yo le dí el papelito.</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rPr>
        <w:t>...</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rPr>
        <w:t>De Gamas</w:t>
      </w:r>
      <w:r>
        <w:rPr>
          <w:szCs w:val="20"/>
          <w:lang w:val="es-ES_tradnl"/>
        </w:rPr>
        <w:t>: ¿O sea que habría tres personas más que vieron todo o de alguna forma se enteraron de todo lo que paso eh?</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lang w:val="es-ES_tradnl"/>
        </w:rPr>
        <w:t>Telleldín: Tres personas más...</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rPr>
        <w:t>De Gamas</w:t>
      </w:r>
      <w:r>
        <w:rPr>
          <w:szCs w:val="20"/>
          <w:lang w:val="es-ES_tradnl"/>
        </w:rPr>
        <w:t>: ¿Qué vieron o que escucharon?</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pPr>
      <w:r>
        <w:rPr>
          <w:szCs w:val="20"/>
          <w:lang w:val="es-ES_tradnl"/>
        </w:rPr>
        <w:t>Galeano: Para, para que quiero escucharlo.</w:t>
      </w:r>
    </w:p>
    <w:p w:rsidR="00224567" w:rsidRDefault="00224567">
      <w:pPr>
        <w:widowControl w:val="0"/>
        <w:numPr>
          <w:ilvl w:val="0"/>
          <w:numId w:val="5"/>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pPr>
      <w:r>
        <w:rPr>
          <w:szCs w:val="20"/>
          <w:lang w:val="es-ES_tradnl"/>
        </w:rPr>
        <w:t>Telleldín: Tres personas más que sabían lo que estaba pasando, estaban atentos de lo que estaba p</w:t>
      </w:r>
      <w:r>
        <w:rPr>
          <w:szCs w:val="20"/>
          <w:lang w:val="es-ES_tradnl"/>
        </w:rPr>
        <w:t>a</w:t>
      </w:r>
      <w:r>
        <w:rPr>
          <w:szCs w:val="20"/>
          <w:lang w:val="es-ES_tradnl"/>
        </w:rPr>
        <w:t>sando, no era yo sólo ... ¿me entendés?, lo que pasa es que después que se arma todo este lío, yo les dije, d</w:t>
      </w:r>
      <w:r>
        <w:rPr>
          <w:szCs w:val="20"/>
          <w:lang w:val="es-ES_tradnl"/>
        </w:rPr>
        <w:t>í</w:t>
      </w:r>
      <w:r>
        <w:rPr>
          <w:szCs w:val="20"/>
          <w:lang w:val="es-ES_tradnl"/>
        </w:rPr>
        <w:t>ganle al juez toda la ver</w:t>
      </w:r>
      <w:r>
        <w:rPr>
          <w:szCs w:val="20"/>
          <w:lang w:val="es-ES_tradnl"/>
        </w:rPr>
        <w:softHyphen/>
        <w:t>dad y, a los testigos le d</w:t>
      </w:r>
      <w:r>
        <w:rPr>
          <w:szCs w:val="20"/>
          <w:lang w:val="es-ES_tradnl"/>
        </w:rPr>
        <w:t>i</w:t>
      </w:r>
      <w:r>
        <w:rPr>
          <w:szCs w:val="20"/>
          <w:lang w:val="es-ES_tradnl"/>
        </w:rPr>
        <w:t>je ustedes no digan nada de policía porque vamos a ser todos boleta en poco tiempo, les digo..., los testigos no dijeron todo, por miedo, por miedo de ello, no por miedo mío, porque al saber que la causa era tan grande y usted le ponía que estaban imput</w:t>
      </w:r>
      <w:r>
        <w:rPr>
          <w:szCs w:val="20"/>
          <w:lang w:val="es-ES_tradnl"/>
        </w:rPr>
        <w:t>a</w:t>
      </w:r>
      <w:r>
        <w:rPr>
          <w:szCs w:val="20"/>
          <w:lang w:val="es-ES_tradnl"/>
        </w:rPr>
        <w:t xml:space="preserve">dos en la masacre de </w:t>
      </w:r>
      <w:smartTag w:uri="urn:schemas-microsoft-com:office:smarttags" w:element="PersonName">
        <w:smartTagPr>
          <w:attr w:name="ProductID" w:val="la AMIA"/>
        </w:smartTagPr>
        <w:r>
          <w:rPr>
            <w:szCs w:val="20"/>
            <w:lang w:val="es-ES_tradnl"/>
          </w:rPr>
          <w:t>la AMIA</w:t>
        </w:r>
      </w:smartTag>
      <w:r>
        <w:rPr>
          <w:szCs w:val="20"/>
          <w:lang w:val="es-ES_tradnl"/>
        </w:rPr>
        <w:t>, los tipos dec</w:t>
      </w:r>
      <w:r>
        <w:rPr>
          <w:szCs w:val="20"/>
          <w:lang w:val="es-ES_tradnl"/>
        </w:rPr>
        <w:t>í</w:t>
      </w:r>
      <w:r>
        <w:rPr>
          <w:szCs w:val="20"/>
          <w:lang w:val="es-ES_tradnl"/>
        </w:rPr>
        <w:t>an, si yo se, vamos todos hasta las pelotas, no salimos nunca más. Por miedo de ellos, no porque haya otros temores, p</w:t>
      </w:r>
      <w:r>
        <w:rPr>
          <w:szCs w:val="20"/>
          <w:lang w:val="es-ES_tradnl"/>
        </w:rPr>
        <w:t>e</w:t>
      </w:r>
      <w:r>
        <w:rPr>
          <w:szCs w:val="20"/>
          <w:lang w:val="es-ES_tradnl"/>
        </w:rPr>
        <w:t>ro estos testigos no lo entregué todavía por el tema este, porque los testigos están seguros. Este Edul no lo conozco, ya me preguntó usted por él, ni se quién es, no lo c</w:t>
      </w:r>
      <w:r>
        <w:rPr>
          <w:szCs w:val="20"/>
          <w:lang w:val="es-ES_tradnl"/>
        </w:rPr>
        <w:t>o</w:t>
      </w:r>
      <w:r>
        <w:rPr>
          <w:szCs w:val="20"/>
          <w:lang w:val="es-ES_tradnl"/>
        </w:rPr>
        <w:t>nozco.</w:t>
      </w:r>
    </w:p>
    <w:p w:rsidR="00224567" w:rsidRDefault="00224567">
      <w:r>
        <w:tab/>
        <w:t>Telleldín, además, realizó precisi</w:t>
      </w:r>
      <w:r>
        <w:t>o</w:t>
      </w:r>
      <w:r>
        <w:t>nes sobre los testigos a los que se viene al</w:t>
      </w:r>
      <w:r>
        <w:t>u</w:t>
      </w:r>
      <w:r>
        <w:t>diendo.</w:t>
      </w:r>
    </w:p>
    <w:p w:rsidR="00224567" w:rsidRDefault="00224567">
      <w:r>
        <w:tab/>
        <w:t>Así, respecto de Hugo Pérez dijo: “...Los testigos es lo que tengo que convencer, de que d</w:t>
      </w:r>
      <w:r>
        <w:t>e</w:t>
      </w:r>
      <w:r>
        <w:t>claren la verdad, total con Hugo Pérez, yo hablando diez minutos va a hacer lo que yo le ord</w:t>
      </w:r>
      <w:r>
        <w:t>e</w:t>
      </w:r>
      <w:r>
        <w:t>ne...”.</w:t>
      </w:r>
    </w:p>
    <w:p w:rsidR="00224567" w:rsidRDefault="00224567">
      <w:r>
        <w:tab/>
        <w:t>En otro momento de la reunión, Telle</w:t>
      </w:r>
      <w:r>
        <w:t>l</w:t>
      </w:r>
      <w:r>
        <w:t>dín le refirió al magistrado instructor que: “</w:t>
      </w:r>
      <w:r>
        <w:rPr>
          <w:szCs w:val="20"/>
        </w:rPr>
        <w:t>Lo que pasa que no sé, tiene que declarar Hugo Pérez también. Hugo P</w:t>
      </w:r>
      <w:r>
        <w:rPr>
          <w:szCs w:val="20"/>
        </w:rPr>
        <w:t>é</w:t>
      </w:r>
      <w:r>
        <w:rPr>
          <w:szCs w:val="20"/>
        </w:rPr>
        <w:t>rez, lo tengo que convencer para que declare ciertas c</w:t>
      </w:r>
      <w:r>
        <w:rPr>
          <w:szCs w:val="20"/>
        </w:rPr>
        <w:t>o</w:t>
      </w:r>
      <w:r>
        <w:rPr>
          <w:szCs w:val="20"/>
        </w:rPr>
        <w:t>sas; a Hugo Pérez usted va lo mata ... y va a decir (I) ellos y va a pensar que usted lo va a querer dejar perp</w:t>
      </w:r>
      <w:r>
        <w:rPr>
          <w:szCs w:val="20"/>
        </w:rPr>
        <w:t>e</w:t>
      </w:r>
      <w:r>
        <w:rPr>
          <w:szCs w:val="20"/>
        </w:rPr>
        <w:t>tuamente preso, tengo que explicarle a Hugo Pérez que lo hablamos con... que declare sobre que Leal le estuvo p</w:t>
      </w:r>
      <w:r>
        <w:rPr>
          <w:szCs w:val="20"/>
        </w:rPr>
        <w:t>e</w:t>
      </w:r>
      <w:r>
        <w:rPr>
          <w:szCs w:val="20"/>
        </w:rPr>
        <w:t>gando durante 6 horas, con una bolsa de merca, y le dijo sino me decís dónde está Telleldín, te matamos, y le peg</w:t>
      </w:r>
      <w:r>
        <w:rPr>
          <w:szCs w:val="20"/>
        </w:rPr>
        <w:t>a</w:t>
      </w:r>
      <w:r>
        <w:rPr>
          <w:szCs w:val="20"/>
        </w:rPr>
        <w:t>ron durante 6 horas. La entrada en Vicente López está h</w:t>
      </w:r>
      <w:r>
        <w:rPr>
          <w:szCs w:val="20"/>
        </w:rPr>
        <w:t>e</w:t>
      </w:r>
      <w:r>
        <w:rPr>
          <w:szCs w:val="20"/>
        </w:rPr>
        <w:t>cha a la mañana y lo detienen a las 12 de la noche, te</w:t>
      </w:r>
      <w:r>
        <w:rPr>
          <w:szCs w:val="20"/>
        </w:rPr>
        <w:t>n</w:t>
      </w:r>
      <w:r>
        <w:rPr>
          <w:szCs w:val="20"/>
        </w:rPr>
        <w:t>go testigos de la detención a las 12 de la noche; y eso Pérez no lo declara, ni lo va a declarar. Pero yo tengo que h</w:t>
      </w:r>
      <w:r>
        <w:rPr>
          <w:szCs w:val="20"/>
        </w:rPr>
        <w:t>a</w:t>
      </w:r>
      <w:r>
        <w:rPr>
          <w:szCs w:val="20"/>
        </w:rPr>
        <w:t>blar con él y decirle Hugo por favor declará esto, que e</w:t>
      </w:r>
      <w:r>
        <w:rPr>
          <w:szCs w:val="20"/>
        </w:rPr>
        <w:t>s</w:t>
      </w:r>
      <w:r>
        <w:rPr>
          <w:szCs w:val="20"/>
        </w:rPr>
        <w:t>to y el otro, que el juez va a favore</w:t>
      </w:r>
      <w:r>
        <w:rPr>
          <w:szCs w:val="20"/>
        </w:rPr>
        <w:softHyphen/>
        <w:t>cer tu situación pr</w:t>
      </w:r>
      <w:r>
        <w:rPr>
          <w:szCs w:val="20"/>
        </w:rPr>
        <w:t>o</w:t>
      </w:r>
      <w:r>
        <w:rPr>
          <w:szCs w:val="20"/>
        </w:rPr>
        <w:t>cesal, que esto y el otro, y el tipo va a decl</w:t>
      </w:r>
      <w:r>
        <w:rPr>
          <w:szCs w:val="20"/>
        </w:rPr>
        <w:t>a</w:t>
      </w:r>
      <w:r>
        <w:rPr>
          <w:szCs w:val="20"/>
        </w:rPr>
        <w:t>rar; pero a usted no le cree nada, a nadie le cree (I) ninguno quiere saber nada, pero no es porque ..., tiene miedo, tiene mi</w:t>
      </w:r>
      <w:r>
        <w:rPr>
          <w:szCs w:val="20"/>
        </w:rPr>
        <w:t>e</w:t>
      </w:r>
      <w:r>
        <w:rPr>
          <w:szCs w:val="20"/>
        </w:rPr>
        <w:t>do, es lógico, la ca</w:t>
      </w:r>
      <w:r>
        <w:rPr>
          <w:szCs w:val="20"/>
        </w:rPr>
        <w:t>u</w:t>
      </w:r>
      <w:r>
        <w:rPr>
          <w:szCs w:val="20"/>
        </w:rPr>
        <w:t>sa es muy importante, y todos tienen temor a quedar pre</w:t>
      </w:r>
      <w:r>
        <w:rPr>
          <w:szCs w:val="20"/>
        </w:rPr>
        <w:softHyphen/>
        <w:t>sos por n</w:t>
      </w:r>
      <w:r>
        <w:rPr>
          <w:szCs w:val="20"/>
        </w:rPr>
        <w:t>a</w:t>
      </w:r>
      <w:r>
        <w:rPr>
          <w:szCs w:val="20"/>
        </w:rPr>
        <w:t>da...”.</w:t>
      </w:r>
    </w:p>
    <w:p w:rsidR="00224567" w:rsidRDefault="00224567">
      <w:pPr>
        <w:pStyle w:val="Sangra3detindependiente"/>
        <w:spacing w:line="600" w:lineRule="auto"/>
      </w:pPr>
      <w:r>
        <w:t>Telleldín también presentó a Cot</w:t>
      </w:r>
      <w:r>
        <w:t>o</w:t>
      </w:r>
      <w:r>
        <w:t>ras, aunque sin nombrarlo, como el testigo que estuvo pr</w:t>
      </w:r>
      <w:r>
        <w:t>e</w:t>
      </w:r>
      <w:r>
        <w:t xml:space="preserve">sente en su domicilio, el día que entregó la camioneta. </w:t>
      </w:r>
    </w:p>
    <w:p w:rsidR="00224567" w:rsidRDefault="00224567">
      <w:r>
        <w:rPr>
          <w:lang w:val="es-ES_tradnl"/>
        </w:rPr>
        <w:tab/>
      </w:r>
      <w:r>
        <w:t>Telleldín manifestó que “</w:t>
      </w:r>
      <w:r>
        <w:rPr>
          <w:szCs w:val="20"/>
          <w:lang w:val="es-ES_tradnl"/>
        </w:rPr>
        <w:t>lo de la en</w:t>
      </w:r>
      <w:r>
        <w:rPr>
          <w:szCs w:val="20"/>
          <w:lang w:val="es-ES_tradnl"/>
        </w:rPr>
        <w:softHyphen/>
        <w:t xml:space="preserve">trega de </w:t>
      </w:r>
      <w:smartTag w:uri="urn:schemas-microsoft-com:office:smarttags" w:element="PersonName">
        <w:smartTagPr>
          <w:attr w:name="ProductID" w:val="la Trafic"/>
        </w:smartTagPr>
        <w:r>
          <w:rPr>
            <w:szCs w:val="20"/>
            <w:lang w:val="es-ES_tradnl"/>
          </w:rPr>
          <w:t>la Trafic</w:t>
        </w:r>
      </w:smartTag>
      <w:r>
        <w:rPr>
          <w:szCs w:val="20"/>
          <w:lang w:val="es-ES_tradnl"/>
        </w:rPr>
        <w:t xml:space="preserve"> está todo en la causa, ... no es ment</w:t>
      </w:r>
      <w:r>
        <w:rPr>
          <w:szCs w:val="20"/>
          <w:lang w:val="es-ES_tradnl"/>
        </w:rPr>
        <w:t>i</w:t>
      </w:r>
      <w:r>
        <w:rPr>
          <w:szCs w:val="20"/>
          <w:lang w:val="es-ES_tradnl"/>
        </w:rPr>
        <w:t>ra porque si, si la causa es mentira, hubiéramos mentido todo, hubiéramos d</w:t>
      </w:r>
      <w:r>
        <w:rPr>
          <w:szCs w:val="20"/>
          <w:lang w:val="es-ES_tradnl"/>
        </w:rPr>
        <w:t>e</w:t>
      </w:r>
      <w:r>
        <w:rPr>
          <w:szCs w:val="20"/>
          <w:lang w:val="es-ES_tradnl"/>
        </w:rPr>
        <w:t>clarado cualquier cosa; por eso a todo el mu</w:t>
      </w:r>
      <w:r>
        <w:rPr>
          <w:szCs w:val="20"/>
          <w:lang w:val="es-ES_tradnl"/>
        </w:rPr>
        <w:t>n</w:t>
      </w:r>
      <w:r>
        <w:rPr>
          <w:szCs w:val="20"/>
          <w:lang w:val="es-ES_tradnl"/>
        </w:rPr>
        <w:t xml:space="preserve">do le dije que diga la verdad, todos declararon con toda la verdad; faltan cositas, pi, pi, cosita como ser el día que yo entrego la camioneta, que esto no se lo dije yo, pero que hay un testigo fundamental de la causa, que es lo que me pide </w:t>
      </w:r>
      <w:smartTag w:uri="urn:schemas-microsoft-com:office:smarttags" w:element="PersonName">
        <w:smartTagPr>
          <w:attr w:name="ProductID" w:val="la C￡mara"/>
        </w:smartTagPr>
        <w:r>
          <w:rPr>
            <w:szCs w:val="20"/>
            <w:lang w:val="es-ES_tradnl"/>
          </w:rPr>
          <w:t>la Cámara</w:t>
        </w:r>
      </w:smartTag>
      <w:r>
        <w:rPr>
          <w:szCs w:val="20"/>
          <w:lang w:val="es-ES_tradnl"/>
        </w:rPr>
        <w:t>, que es un testigo que justo me vienen a cobrar un din</w:t>
      </w:r>
      <w:r>
        <w:rPr>
          <w:szCs w:val="20"/>
          <w:lang w:val="es-ES_tradnl"/>
        </w:rPr>
        <w:t>e</w:t>
      </w:r>
      <w:r>
        <w:rPr>
          <w:szCs w:val="20"/>
          <w:lang w:val="es-ES_tradnl"/>
        </w:rPr>
        <w:t>ro y estaba la policía, conmigo, justo afuera en mi c</w:t>
      </w:r>
      <w:r>
        <w:rPr>
          <w:szCs w:val="20"/>
          <w:lang w:val="es-ES_tradnl"/>
        </w:rPr>
        <w:t>a</w:t>
      </w:r>
      <w:r>
        <w:rPr>
          <w:szCs w:val="20"/>
          <w:lang w:val="es-ES_tradnl"/>
        </w:rPr>
        <w:t>sa, le dije mira, que estoy apretado, toma este teléfono llamálo a Barreda, decíle que con un tal Pino (I) problema, y le doy un papelito que el tipo hasta hoy tiene el pap</w:t>
      </w:r>
      <w:r>
        <w:rPr>
          <w:szCs w:val="20"/>
          <w:lang w:val="es-ES_tradnl"/>
        </w:rPr>
        <w:t>e</w:t>
      </w:r>
      <w:r>
        <w:rPr>
          <w:szCs w:val="20"/>
          <w:lang w:val="es-ES_tradnl"/>
        </w:rPr>
        <w:t>lito en su poder. ... ¡No anotes!, ¡no anotes!, porque esto, no anotes, ¡para!, no lo van a encontrar, a parte lo van a voltear al tipo, lo van a mo</w:t>
      </w:r>
      <w:r>
        <w:rPr>
          <w:szCs w:val="20"/>
          <w:lang w:val="es-ES_tradnl"/>
        </w:rPr>
        <w:softHyphen/>
        <w:t>ver y el tipo te va a decir a muerte que no sabe nada; ..., entendés, lo tengo que convencer a que declare la verdad y que traiga el papelito que le di en ese m</w:t>
      </w:r>
      <w:r>
        <w:rPr>
          <w:szCs w:val="20"/>
          <w:lang w:val="es-ES_tradnl"/>
        </w:rPr>
        <w:t>o</w:t>
      </w:r>
      <w:r>
        <w:rPr>
          <w:szCs w:val="20"/>
          <w:lang w:val="es-ES_tradnl"/>
        </w:rPr>
        <w:t>mento y toda la historia, es así, uds. se ríen, pero ... lo único que van a hacer, es cons</w:t>
      </w:r>
      <w:r>
        <w:rPr>
          <w:szCs w:val="20"/>
          <w:lang w:val="es-ES_tradnl"/>
        </w:rPr>
        <w:t>e</w:t>
      </w:r>
      <w:r>
        <w:rPr>
          <w:szCs w:val="20"/>
          <w:lang w:val="es-ES_tradnl"/>
        </w:rPr>
        <w:t>guir que el ti</w:t>
      </w:r>
      <w:r>
        <w:rPr>
          <w:szCs w:val="20"/>
          <w:lang w:val="es-ES_tradnl"/>
        </w:rPr>
        <w:softHyphen/>
        <w:t>po tenga más miedo, aparte que no lo van a encontrar, po</w:t>
      </w:r>
      <w:r>
        <w:rPr>
          <w:szCs w:val="20"/>
          <w:lang w:val="es-ES_tradnl"/>
        </w:rPr>
        <w:t>r</w:t>
      </w:r>
      <w:r>
        <w:rPr>
          <w:szCs w:val="20"/>
          <w:lang w:val="es-ES_tradnl"/>
        </w:rPr>
        <w:t>que no es ninguna de esta gente que usted tiene ... un tipo que vino a cobrar un dinero justo y yo le dije, mira pibe tengo un problema con la policía, ... voy a ver si transo por</w:t>
      </w:r>
      <w:r>
        <w:rPr>
          <w:szCs w:val="20"/>
          <w:lang w:val="es-ES_tradnl"/>
        </w:rPr>
        <w:softHyphen/>
        <w:t>que tengo a</w:t>
      </w:r>
      <w:r>
        <w:rPr>
          <w:szCs w:val="20"/>
          <w:lang w:val="es-ES_tradnl"/>
        </w:rPr>
        <w:t>u</w:t>
      </w:r>
      <w:r>
        <w:rPr>
          <w:szCs w:val="20"/>
          <w:lang w:val="es-ES_tradnl"/>
        </w:rPr>
        <w:t>to trucho adentro, así que no entres a mi casa, qu</w:t>
      </w:r>
      <w:r>
        <w:rPr>
          <w:szCs w:val="20"/>
          <w:lang w:val="es-ES_tradnl"/>
        </w:rPr>
        <w:t>é</w:t>
      </w:r>
      <w:r>
        <w:rPr>
          <w:szCs w:val="20"/>
          <w:lang w:val="es-ES_tradnl"/>
        </w:rPr>
        <w:t>date afue</w:t>
      </w:r>
      <w:r>
        <w:rPr>
          <w:szCs w:val="20"/>
          <w:lang w:val="es-ES_tradnl"/>
        </w:rPr>
        <w:softHyphen/>
        <w:t>ra. Se quedó al lado del t</w:t>
      </w:r>
      <w:r>
        <w:rPr>
          <w:szCs w:val="20"/>
          <w:lang w:val="es-ES_tradnl"/>
        </w:rPr>
        <w:t>a</w:t>
      </w:r>
      <w:r>
        <w:rPr>
          <w:szCs w:val="20"/>
          <w:lang w:val="es-ES_tradnl"/>
        </w:rPr>
        <w:t>no; por eso yo dije que el tano de enfrente que era fundamental, porque el tano se quedó al lado de e</w:t>
      </w:r>
      <w:r>
        <w:rPr>
          <w:szCs w:val="20"/>
          <w:lang w:val="es-ES_tradnl"/>
        </w:rPr>
        <w:t>s</w:t>
      </w:r>
      <w:r>
        <w:rPr>
          <w:szCs w:val="20"/>
          <w:lang w:val="es-ES_tradnl"/>
        </w:rPr>
        <w:t>te pibe...”</w:t>
      </w:r>
    </w:p>
    <w:p w:rsidR="00224567" w:rsidRDefault="00224567">
      <w:r>
        <w:tab/>
        <w:t>En cuanto a Eduardo Telleldín, en el video del 10 de abril de 1996, se produjo el siguiente diál</w:t>
      </w:r>
      <w:r>
        <w:t>o</w:t>
      </w:r>
      <w:r>
        <w:t>go:</w:t>
      </w:r>
    </w:p>
    <w:p w:rsidR="00224567" w:rsidRDefault="00224567">
      <w:pPr>
        <w:pStyle w:val="Sangra3detindependiente"/>
        <w:numPr>
          <w:ilvl w:val="0"/>
          <w:numId w:val="5"/>
        </w:numPr>
        <w:spacing w:line="600" w:lineRule="auto"/>
        <w:rPr>
          <w:lang w:val="es-AR"/>
        </w:rPr>
      </w:pPr>
      <w:r>
        <w:rPr>
          <w:lang w:val="es-AR"/>
        </w:rPr>
        <w:t>Galeano: ¿Y a Eduardo, lo podemos c</w:t>
      </w:r>
      <w:r>
        <w:rPr>
          <w:lang w:val="es-AR"/>
        </w:rPr>
        <w:t>i</w:t>
      </w:r>
      <w:r>
        <w:rPr>
          <w:lang w:val="es-AR"/>
        </w:rPr>
        <w:t>tar?</w:t>
      </w:r>
    </w:p>
    <w:p w:rsidR="00224567" w:rsidRDefault="00224567">
      <w:pPr>
        <w:pStyle w:val="Sangra3detindependiente"/>
        <w:numPr>
          <w:ilvl w:val="0"/>
          <w:numId w:val="5"/>
        </w:numPr>
        <w:spacing w:line="600" w:lineRule="auto"/>
      </w:pPr>
      <w:r>
        <w:t>Telleldín: sí, mi hermano sí. Mi hermano está esp</w:t>
      </w:r>
      <w:r>
        <w:t>e</w:t>
      </w:r>
      <w:r>
        <w:t>rando...</w:t>
      </w:r>
    </w:p>
    <w:p w:rsidR="00224567" w:rsidRDefault="00224567">
      <w:r>
        <w:tab/>
        <w:t>En otro pasaje de la conversación se puede escuchar que Telleldín le afirmó a Galeano que “Mi hermano va a decl</w:t>
      </w:r>
      <w:r>
        <w:t>a</w:t>
      </w:r>
      <w:r>
        <w:t>rar cuando usted quiera”.</w:t>
      </w:r>
    </w:p>
    <w:p w:rsidR="00224567" w:rsidRDefault="00224567">
      <w:pPr>
        <w:pStyle w:val="Ttulo4"/>
      </w:pPr>
      <w:r>
        <w:tab/>
        <w:t>J.4) Declaraciones de los test</w:t>
      </w:r>
      <w:r>
        <w:t>i</w:t>
      </w:r>
      <w:r>
        <w:t xml:space="preserve">gos-imputados. </w:t>
      </w:r>
    </w:p>
    <w:p w:rsidR="00224567" w:rsidRDefault="00224567">
      <w:pPr>
        <w:pStyle w:val="Sangra3detindependiente"/>
        <w:spacing w:line="600" w:lineRule="auto"/>
      </w:pPr>
      <w:r>
        <w:t>Repárese que las declaraciones test</w:t>
      </w:r>
      <w:r>
        <w:t>i</w:t>
      </w:r>
      <w:r>
        <w:t>moniales concertadas de los tres personajes en cue</w:t>
      </w:r>
      <w:r>
        <w:t>s</w:t>
      </w:r>
      <w:r>
        <w:t>tión, a fin de ajustar su versión a la nueva que ofr</w:t>
      </w:r>
      <w:r>
        <w:t>e</w:t>
      </w:r>
      <w:r>
        <w:t>ció Telleldín en su indagatoria del 5 de julio, modificaron diametra</w:t>
      </w:r>
      <w:r>
        <w:t>l</w:t>
      </w:r>
      <w:r>
        <w:t>mente las que habían volcado con ant</w:t>
      </w:r>
      <w:r>
        <w:t>e</w:t>
      </w:r>
      <w:r>
        <w:t xml:space="preserve">rioridad en la causa “A.M.I.A.”, al señalar que </w:t>
      </w:r>
      <w:smartTag w:uri="urn:schemas-microsoft-com:office:smarttags" w:element="PersonName">
        <w:smartTagPr>
          <w:attr w:name="ProductID" w:val="la Trafic"/>
        </w:smartTagPr>
        <w:r>
          <w:t>la Trafic</w:t>
        </w:r>
      </w:smartTag>
      <w:r>
        <w:t xml:space="preserve"> se había entregado como consecuencia de una exto</w:t>
      </w:r>
      <w:r>
        <w:t>r</w:t>
      </w:r>
      <w:r>
        <w:t xml:space="preserve">sión y no de una venta. </w:t>
      </w:r>
    </w:p>
    <w:p w:rsidR="00224567" w:rsidRDefault="00224567">
      <w:pPr>
        <w:pStyle w:val="Sangra3detindependiente"/>
        <w:spacing w:line="600" w:lineRule="auto"/>
      </w:pPr>
      <w:r>
        <w:t>En todos los casos, para justif</w:t>
      </w:r>
      <w:r>
        <w:t>i</w:t>
      </w:r>
      <w:r>
        <w:t>car el cambio en la versión de los hechos, los “testigos” invoc</w:t>
      </w:r>
      <w:r>
        <w:t>a</w:t>
      </w:r>
      <w:r>
        <w:t>ron un estado de temor.</w:t>
      </w:r>
      <w:r>
        <w:rPr>
          <w:highlight w:val="yellow"/>
        </w:rPr>
        <w:t xml:space="preserve"> </w:t>
      </w:r>
    </w:p>
    <w:p w:rsidR="00224567" w:rsidRDefault="00224567">
      <w:pPr>
        <w:pStyle w:val="Sangra3detindependiente"/>
        <w:spacing w:line="600" w:lineRule="auto"/>
        <w:rPr>
          <w:lang w:val="es-AR"/>
        </w:rPr>
      </w:pPr>
      <w:r>
        <w:rPr>
          <w:lang w:val="es-AR"/>
        </w:rPr>
        <w:t>Por último, al examinar estas testim</w:t>
      </w:r>
      <w:r>
        <w:rPr>
          <w:lang w:val="es-AR"/>
        </w:rPr>
        <w:t>o</w:t>
      </w:r>
      <w:r>
        <w:rPr>
          <w:lang w:val="es-AR"/>
        </w:rPr>
        <w:t>niales no puede soslayarse sus fechas ya que, como se de</w:t>
      </w:r>
      <w:r>
        <w:rPr>
          <w:lang w:val="es-AR"/>
        </w:rPr>
        <w:t>s</w:t>
      </w:r>
      <w:r>
        <w:rPr>
          <w:lang w:val="es-AR"/>
        </w:rPr>
        <w:t>prende de otros puntos del presente pronunciamiento, los meses de junio y julio de 1996 fueron claves en la neg</w:t>
      </w:r>
      <w:r>
        <w:rPr>
          <w:lang w:val="es-AR"/>
        </w:rPr>
        <w:t>o</w:t>
      </w:r>
      <w:r>
        <w:rPr>
          <w:lang w:val="es-AR"/>
        </w:rPr>
        <w:t>ciación y cumplimiento del acuerdo arribado entre Telle</w:t>
      </w:r>
      <w:r>
        <w:rPr>
          <w:lang w:val="es-AR"/>
        </w:rPr>
        <w:t>l</w:t>
      </w:r>
      <w:r>
        <w:rPr>
          <w:lang w:val="es-AR"/>
        </w:rPr>
        <w:t>dín y el magistrado instructor.</w:t>
      </w:r>
    </w:p>
    <w:p w:rsidR="00224567" w:rsidRDefault="00224567">
      <w:pPr>
        <w:rPr>
          <w:lang w:val="es-ES_tradnl"/>
        </w:rPr>
      </w:pPr>
      <w:r>
        <w:rPr>
          <w:lang w:val="es-AR"/>
        </w:rPr>
        <w:tab/>
      </w:r>
      <w:r>
        <w:t>Así, Hugo Antonio Pérez depuso el 21 de junio y el 11 de julio de ese año, mientras que los otros dos lo hicieron, con mayor detalle, el 10 de j</w:t>
      </w:r>
      <w:r>
        <w:t>u</w:t>
      </w:r>
      <w:r>
        <w:t>lio; es decir cinco días después de que Carlos Telleldín su</w:t>
      </w:r>
      <w:r>
        <w:t>s</w:t>
      </w:r>
      <w:r>
        <w:t>cribiera la indag</w:t>
      </w:r>
      <w:r>
        <w:t>a</w:t>
      </w:r>
      <w:r>
        <w:t>toria acordada.</w:t>
      </w:r>
    </w:p>
    <w:p w:rsidR="00224567" w:rsidRDefault="00224567">
      <w:pPr>
        <w:rPr>
          <w:lang w:val="es-ES_tradnl"/>
        </w:rPr>
      </w:pPr>
      <w:r>
        <w:rPr>
          <w:lang w:val="es-ES_tradnl"/>
        </w:rPr>
        <w:tab/>
        <w:t>Para comprender la magnitud de los cambios, se hará un análisis particularizado de cada te</w:t>
      </w:r>
      <w:r>
        <w:rPr>
          <w:lang w:val="es-ES_tradnl"/>
        </w:rPr>
        <w:t>s</w:t>
      </w:r>
      <w:r>
        <w:rPr>
          <w:lang w:val="es-ES_tradnl"/>
        </w:rPr>
        <w:t>tigo-imputado.</w:t>
      </w:r>
    </w:p>
    <w:p w:rsidR="00224567" w:rsidRDefault="00224567">
      <w:pPr>
        <w:pStyle w:val="Ttulo5"/>
        <w:rPr>
          <w:b w:val="0"/>
          <w:bCs w:val="0"/>
        </w:rPr>
      </w:pPr>
      <w:r>
        <w:t xml:space="preserve">J.4.a) </w:t>
      </w:r>
      <w:r>
        <w:rPr>
          <w:b w:val="0"/>
          <w:bCs w:val="0"/>
        </w:rPr>
        <w:t>Hugo Antonio Pérez.</w:t>
      </w:r>
    </w:p>
    <w:p w:rsidR="00224567" w:rsidRDefault="00224567">
      <w:pPr>
        <w:pStyle w:val="Sangra3detindependiente"/>
        <w:spacing w:line="600" w:lineRule="auto"/>
        <w:rPr>
          <w:lang w:val="es-AR"/>
        </w:rPr>
      </w:pPr>
      <w:r>
        <w:rPr>
          <w:lang w:val="es-AR"/>
        </w:rPr>
        <w:t>Prestó declaración testimonial en la causa nº 1156 –“A.M.I.A.”- el 9 de agosto y el 21 de oct</w:t>
      </w:r>
      <w:r>
        <w:rPr>
          <w:lang w:val="es-AR"/>
        </w:rPr>
        <w:t>u</w:t>
      </w:r>
      <w:r>
        <w:rPr>
          <w:lang w:val="es-AR"/>
        </w:rPr>
        <w:t>bre de 1994 (cfr. fs. 2302/2304 y 5007/5011).</w:t>
      </w:r>
    </w:p>
    <w:p w:rsidR="00224567" w:rsidRDefault="00224567">
      <w:r>
        <w:rPr>
          <w:lang w:val="es-AR"/>
        </w:rPr>
        <w:tab/>
      </w:r>
      <w:r>
        <w:t>Luego de ello, fue convocado a dep</w:t>
      </w:r>
      <w:r>
        <w:t>o</w:t>
      </w:r>
      <w:r>
        <w:t>ner en indagatoria el 11 y 12 de enero y el 24 de julio de 1995, reprochándosele “colaborar con Carlos Alberto T</w:t>
      </w:r>
      <w:r>
        <w:t>e</w:t>
      </w:r>
      <w:r>
        <w:t>lleldín en la obtención de diferentes partes de c</w:t>
      </w:r>
      <w:r>
        <w:t>a</w:t>
      </w:r>
      <w:r>
        <w:t>mionetas Renault Trafic y consecuente preparación de un rodado de las características mencionadas que resultó utilizado en el atentado ocurrido en la ciudad de Bu</w:t>
      </w:r>
      <w:r>
        <w:t>e</w:t>
      </w:r>
      <w:r>
        <w:t xml:space="preserve">nos Aires, el día 18 de julio pasado, en horas de la mañana, en </w:t>
      </w:r>
      <w:smartTag w:uri="urn:schemas-microsoft-com:office:smarttags" w:element="PersonName">
        <w:smartTagPr>
          <w:attr w:name="ProductID" w:val="la Asociaci￳n Mutual"/>
        </w:smartTagPr>
        <w:r>
          <w:t>la Asoci</w:t>
        </w:r>
        <w:r>
          <w:t>a</w:t>
        </w:r>
        <w:r>
          <w:t>ción Mutual</w:t>
        </w:r>
      </w:smartTag>
      <w:r>
        <w:t xml:space="preserve"> I</w:t>
      </w:r>
      <w:r>
        <w:t>s</w:t>
      </w:r>
      <w:r>
        <w:t>raelita Argentina, sita en la calle Pasteur 633, la que provocó mediante la utilización de elementos explosivos numerosas muertes, lesiones a distintas pers</w:t>
      </w:r>
      <w:r>
        <w:t>o</w:t>
      </w:r>
      <w:r>
        <w:t xml:space="preserve">nas, y daños a la propiedad, tanto en el lugar señalado como en sus alrededores” (cfr. indagatorias de fs. 7849/7857, 7898/7910 y 13.928/13.933). </w:t>
      </w:r>
    </w:p>
    <w:p w:rsidR="00224567" w:rsidRDefault="00224567">
      <w:pPr>
        <w:pStyle w:val="Sangra3detindependiente"/>
        <w:spacing w:line="600" w:lineRule="auto"/>
        <w:rPr>
          <w:lang w:val="es-AR"/>
        </w:rPr>
      </w:pPr>
      <w:r>
        <w:rPr>
          <w:lang w:val="es-AR"/>
        </w:rPr>
        <w:t>El 31 de enero de 1995 fue procesado en orden al delito de encubrimiento y el 2 de noviembre por el de asociación ilícita (cfr. fs. 8625/8632 y 19.488/543).</w:t>
      </w:r>
    </w:p>
    <w:p w:rsidR="00224567" w:rsidRDefault="00224567">
      <w:pPr>
        <w:pStyle w:val="Sangra3detindependiente"/>
        <w:spacing w:line="600" w:lineRule="auto"/>
        <w:rPr>
          <w:lang w:val="es-AR"/>
        </w:rPr>
      </w:pPr>
      <w:r>
        <w:rPr>
          <w:lang w:val="es-AR"/>
        </w:rPr>
        <w:t>Sin perjuicio de ello, depuso en fo</w:t>
      </w:r>
      <w:r>
        <w:rPr>
          <w:lang w:val="es-AR"/>
        </w:rPr>
        <w:t>r</w:t>
      </w:r>
      <w:r>
        <w:rPr>
          <w:lang w:val="es-AR"/>
        </w:rPr>
        <w:t>ma testimonial el 21 de junio y el 11 de julio de 1996 en la causa “Brigadas”, nº 1598 (cfr. fs. 38.516/38.521 y 38.711 y 38.712).</w:t>
      </w:r>
    </w:p>
    <w:p w:rsidR="00224567" w:rsidRDefault="00224567">
      <w:r>
        <w:rPr>
          <w:lang w:val="es-AR"/>
        </w:rPr>
        <w:tab/>
      </w:r>
      <w:r>
        <w:t>Las declaraciones prestadas por Pérez en la causa nº 1156, “A.M.I.A.” –las dos testimoniales y las tres indag</w:t>
      </w:r>
      <w:r>
        <w:t>a</w:t>
      </w:r>
      <w:r>
        <w:t>torias que le siguieron- hacen mención a la ve</w:t>
      </w:r>
      <w:r>
        <w:t>n</w:t>
      </w:r>
      <w:r>
        <w:t>ta de la camioneta Trafic.</w:t>
      </w:r>
    </w:p>
    <w:p w:rsidR="00224567" w:rsidRDefault="00224567">
      <w:r>
        <w:tab/>
        <w:t>Por otra parte, también se a</w:t>
      </w:r>
      <w:r>
        <w:t>d</w:t>
      </w:r>
      <w:r>
        <w:t>vierte la llamativa omisión a toda referencia a la supuesta exto</w:t>
      </w:r>
      <w:r>
        <w:t>r</w:t>
      </w:r>
      <w:r>
        <w:t>sión del 14 de julio de 1994, de la cual Telleldín denu</w:t>
      </w:r>
      <w:r>
        <w:t>n</w:t>
      </w:r>
      <w:r>
        <w:t>ció haber sido víctima en sus indagatorias del 6 y 7 de agosto de ese año, entre otras.</w:t>
      </w:r>
    </w:p>
    <w:p w:rsidR="00224567" w:rsidRDefault="00224567">
      <w:r>
        <w:tab/>
        <w:t>La ausencia de esa alusión resu</w:t>
      </w:r>
      <w:r>
        <w:t>l</w:t>
      </w:r>
      <w:r>
        <w:t>ta más notoria aún si se tiene en cuenta que en la primera de ellas, Telleldín manifestó que Pérez había sido to</w:t>
      </w:r>
      <w:r>
        <w:t>r</w:t>
      </w:r>
      <w:r>
        <w:t xml:space="preserve">turado por personal policial de </w:t>
      </w:r>
      <w:smartTag w:uri="urn:schemas-microsoft-com:office:smarttags" w:element="PersonName">
        <w:smartTagPr>
          <w:attr w:name="ProductID" w:val="la Brigada"/>
        </w:smartTagPr>
        <w:r>
          <w:t>la Brigada</w:t>
        </w:r>
      </w:smartTag>
      <w:r>
        <w:t xml:space="preserve"> de Vicente López cua</w:t>
      </w:r>
      <w:r>
        <w:t>n</w:t>
      </w:r>
      <w:r>
        <w:t>do fue detenido el 14 de julio. Así Carlos Alberto Telle</w:t>
      </w:r>
      <w:r>
        <w:t>l</w:t>
      </w:r>
      <w:r>
        <w:t>dín señaló que a Pérez “le pegan desde las 12 de la noche hasta las 6 de la mañana”.</w:t>
      </w:r>
    </w:p>
    <w:p w:rsidR="00224567" w:rsidRDefault="00224567">
      <w:r>
        <w:tab/>
        <w:t>Ante la claridad de sus términos, r</w:t>
      </w:r>
      <w:r>
        <w:t>e</w:t>
      </w:r>
      <w:r>
        <w:t>sulta incomprensible que el magistrado instructor no di</w:t>
      </w:r>
      <w:r>
        <w:t>s</w:t>
      </w:r>
      <w:r>
        <w:t>pusiera, de manera inmediata, medidas tendientes a la i</w:t>
      </w:r>
      <w:r>
        <w:t>n</w:t>
      </w:r>
      <w:r>
        <w:t>vestig</w:t>
      </w:r>
      <w:r>
        <w:t>a</w:t>
      </w:r>
      <w:r>
        <w:t>ción del hecho.</w:t>
      </w:r>
    </w:p>
    <w:p w:rsidR="00224567" w:rsidRDefault="00224567">
      <w:r>
        <w:tab/>
        <w:t>Dicha falencia adquiere mayor releva</w:t>
      </w:r>
      <w:r>
        <w:t>n</w:t>
      </w:r>
      <w:r>
        <w:t>cia si se tiene en cuenta que Hugo Antonio Pérez d</w:t>
      </w:r>
      <w:r>
        <w:t>e</w:t>
      </w:r>
      <w:r>
        <w:t>puso en forma testim</w:t>
      </w:r>
      <w:r>
        <w:t>o</w:t>
      </w:r>
      <w:r>
        <w:t>nial el 9 de agosto de ese año, es decir tres d</w:t>
      </w:r>
      <w:r>
        <w:t>í</w:t>
      </w:r>
      <w:r>
        <w:t xml:space="preserve">as después que Telleldín denunciara sus apremios. </w:t>
      </w:r>
    </w:p>
    <w:p w:rsidR="00224567" w:rsidRDefault="00224567">
      <w:r>
        <w:tab/>
        <w:t>En efecto, la inactividad del juez frente al delito que se denunció fue absoluta, al punto de ni siquiera interrogar a Pérez acerca de los supuestos apremios recibidos o disponer la extracción de te</w:t>
      </w:r>
      <w:r>
        <w:t>s</w:t>
      </w:r>
      <w:r>
        <w:t>timonios por ese hecho.</w:t>
      </w:r>
    </w:p>
    <w:p w:rsidR="00224567" w:rsidRDefault="00224567">
      <w:pPr>
        <w:pStyle w:val="Sangra3detindependiente"/>
        <w:spacing w:line="600" w:lineRule="auto"/>
        <w:rPr>
          <w:lang w:val="es-AR"/>
        </w:rPr>
      </w:pPr>
      <w:r>
        <w:rPr>
          <w:lang w:val="es-AR"/>
        </w:rPr>
        <w:t>Por otra parte, los dichos dados en la causa “Brigadas” –nº 1598- tienen varias particul</w:t>
      </w:r>
      <w:r>
        <w:rPr>
          <w:lang w:val="es-AR"/>
        </w:rPr>
        <w:t>a</w:t>
      </w:r>
      <w:r>
        <w:rPr>
          <w:lang w:val="es-AR"/>
        </w:rPr>
        <w:t>ridades que merecen distinguirse adecuadame</w:t>
      </w:r>
      <w:r>
        <w:rPr>
          <w:lang w:val="es-AR"/>
        </w:rPr>
        <w:t>n</w:t>
      </w:r>
      <w:r>
        <w:rPr>
          <w:lang w:val="es-AR"/>
        </w:rPr>
        <w:t xml:space="preserve">te. </w:t>
      </w:r>
    </w:p>
    <w:p w:rsidR="00224567" w:rsidRDefault="00224567">
      <w:pPr>
        <w:pStyle w:val="Sangra3detindependiente"/>
        <w:spacing w:line="600" w:lineRule="auto"/>
        <w:rPr>
          <w:lang w:val="es-AR"/>
        </w:rPr>
      </w:pPr>
      <w:r>
        <w:rPr>
          <w:lang w:val="es-AR"/>
        </w:rPr>
        <w:t>En primer lugar, se le recibieron d</w:t>
      </w:r>
      <w:r>
        <w:rPr>
          <w:lang w:val="es-AR"/>
        </w:rPr>
        <w:t>e</w:t>
      </w:r>
      <w:r>
        <w:rPr>
          <w:lang w:val="es-AR"/>
        </w:rPr>
        <w:t>claraciones testimoniales cuando estaba no solo imputado sino también procesado en la causa “A.M.I.A.” en orden a los delitos de encubrimiento y asociación ilíc</w:t>
      </w:r>
      <w:r>
        <w:rPr>
          <w:lang w:val="es-AR"/>
        </w:rPr>
        <w:t>i</w:t>
      </w:r>
      <w:r>
        <w:rPr>
          <w:lang w:val="es-AR"/>
        </w:rPr>
        <w:t>ta.</w:t>
      </w:r>
    </w:p>
    <w:p w:rsidR="00224567" w:rsidRDefault="00224567">
      <w:pPr>
        <w:pStyle w:val="Sangra3detindependiente"/>
        <w:spacing w:line="600" w:lineRule="auto"/>
        <w:rPr>
          <w:lang w:val="es-AR"/>
        </w:rPr>
      </w:pPr>
      <w:r>
        <w:rPr>
          <w:lang w:val="es-AR"/>
        </w:rPr>
        <w:t>En segundo término, se deben de</w:t>
      </w:r>
      <w:r>
        <w:rPr>
          <w:lang w:val="es-AR"/>
        </w:rPr>
        <w:t>s</w:t>
      </w:r>
      <w:r>
        <w:rPr>
          <w:lang w:val="es-AR"/>
        </w:rPr>
        <w:t>tacar las modificaciones sustanciales que revelan estas declar</w:t>
      </w:r>
      <w:r>
        <w:rPr>
          <w:lang w:val="es-AR"/>
        </w:rPr>
        <w:t>a</w:t>
      </w:r>
      <w:r>
        <w:rPr>
          <w:lang w:val="es-AR"/>
        </w:rPr>
        <w:t>ciones respecto de las anteriores. Así, Pérez afirmó en la testimonial del 21 de junio de 1996, co</w:t>
      </w:r>
      <w:r>
        <w:rPr>
          <w:lang w:val="es-AR"/>
        </w:rPr>
        <w:t>n</w:t>
      </w:r>
      <w:r>
        <w:rPr>
          <w:lang w:val="es-AR"/>
        </w:rPr>
        <w:t xml:space="preserve">tradiciéndose con el resto de sus declaraciones, que “la camioneta no fue vendida sino entregada a </w:t>
      </w:r>
      <w:smartTag w:uri="urn:schemas-microsoft-com:office:smarttags" w:element="PersonName">
        <w:smartTagPr>
          <w:attr w:name="ProductID" w:val="la Brigada"/>
        </w:smartTagPr>
        <w:r>
          <w:rPr>
            <w:lang w:val="es-AR"/>
          </w:rPr>
          <w:t>la Brigada</w:t>
        </w:r>
      </w:smartTag>
      <w:r>
        <w:rPr>
          <w:lang w:val="es-AR"/>
        </w:rPr>
        <w:t>”, en referencia a la de Vicente López y que “si bien Telleldín le dijo que h</w:t>
      </w:r>
      <w:r>
        <w:rPr>
          <w:lang w:val="es-AR"/>
        </w:rPr>
        <w:t>a</w:t>
      </w:r>
      <w:r>
        <w:rPr>
          <w:lang w:val="es-AR"/>
        </w:rPr>
        <w:t xml:space="preserve">bía arreglado a </w:t>
      </w:r>
      <w:smartTag w:uri="urn:schemas-microsoft-com:office:smarttags" w:element="PersonName">
        <w:smartTagPr>
          <w:attr w:name="ProductID" w:val="la Brigada"/>
        </w:smartTagPr>
        <w:r>
          <w:rPr>
            <w:lang w:val="es-AR"/>
          </w:rPr>
          <w:t>la Brigada</w:t>
        </w:r>
      </w:smartTag>
      <w:r>
        <w:rPr>
          <w:lang w:val="es-AR"/>
        </w:rPr>
        <w:t xml:space="preserve"> de Vicente López con $ </w:t>
      </w:r>
      <w:smartTag w:uri="urn:schemas-microsoft-com:office:smarttags" w:element="metricconverter">
        <w:smartTagPr>
          <w:attr w:name="ProductID" w:val="10.000”"/>
        </w:smartTagPr>
        <w:r>
          <w:rPr>
            <w:lang w:val="es-AR"/>
          </w:rPr>
          <w:t>10.000”</w:t>
        </w:r>
      </w:smartTag>
      <w:r>
        <w:rPr>
          <w:lang w:val="es-AR"/>
        </w:rPr>
        <w:t>, supuso “que no debe haber sido así, sino que debe haber entregado la camioneta Trafic”.</w:t>
      </w:r>
    </w:p>
    <w:p w:rsidR="00224567" w:rsidRDefault="00224567">
      <w:pPr>
        <w:pStyle w:val="Sangra3detindependiente"/>
        <w:spacing w:line="600" w:lineRule="auto"/>
        <w:rPr>
          <w:lang w:val="es-AR"/>
        </w:rPr>
      </w:pPr>
      <w:r>
        <w:rPr>
          <w:lang w:val="es-AR"/>
        </w:rPr>
        <w:t>En su testimonio en la causa “Brig</w:t>
      </w:r>
      <w:r>
        <w:rPr>
          <w:lang w:val="es-AR"/>
        </w:rPr>
        <w:t>a</w:t>
      </w:r>
      <w:r>
        <w:rPr>
          <w:lang w:val="es-AR"/>
        </w:rPr>
        <w:t>das” Pérez también incluyó referencias a las supuestas e</w:t>
      </w:r>
      <w:r>
        <w:rPr>
          <w:lang w:val="es-AR"/>
        </w:rPr>
        <w:t>x</w:t>
      </w:r>
      <w:r>
        <w:rPr>
          <w:lang w:val="es-AR"/>
        </w:rPr>
        <w:t>torsiones a Telleldín protagonizadas por las Brigadas de Lanús y Vicente López, dando cuenta de los diversos proc</w:t>
      </w:r>
      <w:r>
        <w:rPr>
          <w:lang w:val="es-AR"/>
        </w:rPr>
        <w:t>e</w:t>
      </w:r>
      <w:r>
        <w:rPr>
          <w:lang w:val="es-AR"/>
        </w:rPr>
        <w:t>dimientos; además, detalló su detención por la última de las dependencias menci</w:t>
      </w:r>
      <w:r>
        <w:rPr>
          <w:lang w:val="es-AR"/>
        </w:rPr>
        <w:t>o</w:t>
      </w:r>
      <w:r>
        <w:rPr>
          <w:lang w:val="es-AR"/>
        </w:rPr>
        <w:t>nadas, precisando que fue golpeado por sus captores, entre los que se enco</w:t>
      </w:r>
      <w:r>
        <w:rPr>
          <w:lang w:val="es-AR"/>
        </w:rPr>
        <w:t>n</w:t>
      </w:r>
      <w:r>
        <w:rPr>
          <w:lang w:val="es-AR"/>
        </w:rPr>
        <w:t>traba “Pino”.</w:t>
      </w:r>
    </w:p>
    <w:p w:rsidR="00224567" w:rsidRDefault="00224567">
      <w:pPr>
        <w:pStyle w:val="Sangra3detindependiente"/>
        <w:spacing w:line="600" w:lineRule="auto"/>
        <w:rPr>
          <w:lang w:val="es-AR"/>
        </w:rPr>
      </w:pPr>
      <w:r>
        <w:rPr>
          <w:lang w:val="es-AR"/>
        </w:rPr>
        <w:t>Por otra parte, añadió que, según creía, para julio de 1994 Telleldín tenía, en condici</w:t>
      </w:r>
      <w:r>
        <w:rPr>
          <w:lang w:val="es-AR"/>
        </w:rPr>
        <w:t>o</w:t>
      </w:r>
      <w:r>
        <w:rPr>
          <w:lang w:val="es-AR"/>
        </w:rPr>
        <w:t>nes de e</w:t>
      </w:r>
      <w:r>
        <w:rPr>
          <w:lang w:val="es-AR"/>
        </w:rPr>
        <w:t>n</w:t>
      </w:r>
      <w:r>
        <w:rPr>
          <w:lang w:val="es-AR"/>
        </w:rPr>
        <w:t xml:space="preserve">tregar, un Renault 19, el barco y </w:t>
      </w:r>
      <w:smartTag w:uri="urn:schemas-microsoft-com:office:smarttags" w:element="PersonName">
        <w:smartTagPr>
          <w:attr w:name="ProductID" w:val="la Trafic."/>
        </w:smartTagPr>
        <w:r>
          <w:rPr>
            <w:lang w:val="es-AR"/>
          </w:rPr>
          <w:t>la Trafic.</w:t>
        </w:r>
      </w:smartTag>
    </w:p>
    <w:p w:rsidR="00224567" w:rsidRDefault="00224567">
      <w:pPr>
        <w:pStyle w:val="Sangra3detindependiente"/>
        <w:spacing w:line="600" w:lineRule="auto"/>
        <w:rPr>
          <w:lang w:val="es-AR"/>
        </w:rPr>
      </w:pPr>
      <w:r>
        <w:rPr>
          <w:lang w:val="es-AR"/>
        </w:rPr>
        <w:t>En su testimonial del 11 de julio de 1996 Pérez ratificó lo expresado en la anterior, a la vez que agregó lo siguiente: “no recuerda que Telleldín le h</w:t>
      </w:r>
      <w:r>
        <w:rPr>
          <w:lang w:val="es-AR"/>
        </w:rPr>
        <w:t>u</w:t>
      </w:r>
      <w:r>
        <w:rPr>
          <w:lang w:val="es-AR"/>
        </w:rPr>
        <w:t>biera comentado que la camioneta Trafic la hubiera entr</w:t>
      </w:r>
      <w:r>
        <w:rPr>
          <w:lang w:val="es-AR"/>
        </w:rPr>
        <w:t>e</w:t>
      </w:r>
      <w:r>
        <w:rPr>
          <w:lang w:val="es-AR"/>
        </w:rPr>
        <w:t>gado a una persona sin recibir dinero a cambio. Que r</w:t>
      </w:r>
      <w:r>
        <w:rPr>
          <w:lang w:val="es-AR"/>
        </w:rPr>
        <w:t>e</w:t>
      </w:r>
      <w:r>
        <w:rPr>
          <w:lang w:val="es-AR"/>
        </w:rPr>
        <w:t>cuerda únicamente que le c</w:t>
      </w:r>
      <w:r>
        <w:rPr>
          <w:lang w:val="es-AR"/>
        </w:rPr>
        <w:t>o</w:t>
      </w:r>
      <w:r>
        <w:rPr>
          <w:lang w:val="es-AR"/>
        </w:rPr>
        <w:t xml:space="preserve">mentó lo sucedido en </w:t>
      </w:r>
      <w:smartTag w:uri="urn:schemas-microsoft-com:office:smarttags" w:element="PersonName">
        <w:smartTagPr>
          <w:attr w:name="ProductID" w:val="la Brigada"/>
        </w:smartTagPr>
        <w:r>
          <w:rPr>
            <w:lang w:val="es-AR"/>
          </w:rPr>
          <w:t>la Brigada</w:t>
        </w:r>
      </w:smartTag>
      <w:r>
        <w:rPr>
          <w:lang w:val="es-AR"/>
        </w:rPr>
        <w:t xml:space="preserve"> de Lanús, en cuanto a que recuperó la libertad con la e</w:t>
      </w:r>
      <w:r>
        <w:rPr>
          <w:lang w:val="es-AR"/>
        </w:rPr>
        <w:t>n</w:t>
      </w:r>
      <w:r>
        <w:rPr>
          <w:lang w:val="es-AR"/>
        </w:rPr>
        <w:t>trega de vehículos. De todos modos, reitera, que si T</w:t>
      </w:r>
      <w:r>
        <w:rPr>
          <w:lang w:val="es-AR"/>
        </w:rPr>
        <w:t>e</w:t>
      </w:r>
      <w:r>
        <w:rPr>
          <w:lang w:val="es-AR"/>
        </w:rPr>
        <w:t>lleldín tenía un vehículo no entregaba dinero sino el vehículo”.</w:t>
      </w:r>
    </w:p>
    <w:p w:rsidR="00224567" w:rsidRDefault="00224567">
      <w:pPr>
        <w:pStyle w:val="Sangra3detindependiente"/>
        <w:spacing w:line="600" w:lineRule="auto"/>
        <w:rPr>
          <w:lang w:val="es-AR"/>
        </w:rPr>
      </w:pPr>
      <w:r>
        <w:rPr>
          <w:lang w:val="es-AR"/>
        </w:rPr>
        <w:t>En este estado de cosas, no puede d</w:t>
      </w:r>
      <w:r>
        <w:rPr>
          <w:lang w:val="es-AR"/>
        </w:rPr>
        <w:t>e</w:t>
      </w:r>
      <w:r>
        <w:rPr>
          <w:lang w:val="es-AR"/>
        </w:rPr>
        <w:t>jar de señalarse otra irregularidad que se advie</w:t>
      </w:r>
      <w:r>
        <w:rPr>
          <w:lang w:val="es-AR"/>
        </w:rPr>
        <w:t>r</w:t>
      </w:r>
      <w:r>
        <w:rPr>
          <w:lang w:val="es-AR"/>
        </w:rPr>
        <w:t>te de la testimonial brindada por Pérez el 21 de octubre de 1994, agregada a fs. 5007/5011. En el marco de este acto, el m</w:t>
      </w:r>
      <w:r>
        <w:rPr>
          <w:lang w:val="es-AR"/>
        </w:rPr>
        <w:t>a</w:t>
      </w:r>
      <w:r>
        <w:rPr>
          <w:lang w:val="es-AR"/>
        </w:rPr>
        <w:t>gistrado instructor dispuso que el testigo realizara un cuerpo de escritura en el que se incluyó el nombre de “R</w:t>
      </w:r>
      <w:r>
        <w:rPr>
          <w:lang w:val="es-AR"/>
        </w:rPr>
        <w:t>a</w:t>
      </w:r>
      <w:r>
        <w:rPr>
          <w:lang w:val="es-AR"/>
        </w:rPr>
        <w:t>món Martínez”, y otros textos que co</w:t>
      </w:r>
      <w:r>
        <w:rPr>
          <w:lang w:val="es-AR"/>
        </w:rPr>
        <w:t>m</w:t>
      </w:r>
      <w:r>
        <w:rPr>
          <w:lang w:val="es-AR"/>
        </w:rPr>
        <w:t>pletaban el boleto de compraventa de la camioneta Trafic oportunamente apo</w:t>
      </w:r>
      <w:r>
        <w:rPr>
          <w:lang w:val="es-AR"/>
        </w:rPr>
        <w:t>r</w:t>
      </w:r>
      <w:r>
        <w:rPr>
          <w:lang w:val="es-AR"/>
        </w:rPr>
        <w:t>tado por Ana Boragni.</w:t>
      </w:r>
    </w:p>
    <w:p w:rsidR="00224567" w:rsidRDefault="00224567">
      <w:pPr>
        <w:pStyle w:val="Sangra3detindependiente"/>
        <w:spacing w:line="600" w:lineRule="auto"/>
        <w:rPr>
          <w:lang w:val="es-AR"/>
        </w:rPr>
      </w:pPr>
      <w:r>
        <w:rPr>
          <w:lang w:val="es-AR"/>
        </w:rPr>
        <w:t>Al ser ello así, resulta evidente que el juez, lejos de pensar en Pérez como un simple test</w:t>
      </w:r>
      <w:r>
        <w:rPr>
          <w:lang w:val="es-AR"/>
        </w:rPr>
        <w:t>i</w:t>
      </w:r>
      <w:r>
        <w:rPr>
          <w:lang w:val="es-AR"/>
        </w:rPr>
        <w:t>go, abrigaba sospechas sobre su persona.</w:t>
      </w:r>
    </w:p>
    <w:p w:rsidR="00224567" w:rsidRDefault="00224567">
      <w:pPr>
        <w:pStyle w:val="Ttulo5"/>
        <w:rPr>
          <w:b w:val="0"/>
          <w:bCs w:val="0"/>
        </w:rPr>
      </w:pPr>
      <w:r>
        <w:t xml:space="preserve">J.4.b) </w:t>
      </w:r>
      <w:r>
        <w:rPr>
          <w:b w:val="0"/>
          <w:bCs w:val="0"/>
        </w:rPr>
        <w:t>Declaraciones de Cotoras.</w:t>
      </w:r>
    </w:p>
    <w:p w:rsidR="00224567" w:rsidRDefault="00224567">
      <w:r>
        <w:tab/>
        <w:t>En similar situación se encuentra Claudio Guillermo Miguel Cotoras. El nombrado prestó d</w:t>
      </w:r>
      <w:r>
        <w:t>e</w:t>
      </w:r>
      <w:r>
        <w:t>claración testimonial el 26 de julio de 1994 (ver fs. 302/303) y luego fue indagado por el magistrado in</w:t>
      </w:r>
      <w:r>
        <w:t>s</w:t>
      </w:r>
      <w:r>
        <w:t>tructor el 30 de julio de 1994 y el 23 de enero de 1995, oportun</w:t>
      </w:r>
      <w:r>
        <w:t>i</w:t>
      </w:r>
      <w:r>
        <w:t>dades en las que se le imputó el haber participado del atentado ocurrido en la ciudad de Bu</w:t>
      </w:r>
      <w:r>
        <w:t>e</w:t>
      </w:r>
      <w:r>
        <w:t xml:space="preserve">nos Aires, el día 18 de julio de 1994, en horas de la mañana, en </w:t>
      </w:r>
      <w:smartTag w:uri="urn:schemas-microsoft-com:office:smarttags" w:element="PersonName">
        <w:smartTagPr>
          <w:attr w:name="ProductID" w:val="la Asociaci￳n Mutual"/>
        </w:smartTagPr>
        <w:r>
          <w:t>la Asociación Mutual</w:t>
        </w:r>
      </w:smartTag>
      <w:r>
        <w:t xml:space="preserve"> Israelita Argent</w:t>
      </w:r>
      <w:r>
        <w:t>i</w:t>
      </w:r>
      <w:r>
        <w:t>na...”. El 30 de julio de 1994 se dictó su falta de m</w:t>
      </w:r>
      <w:r>
        <w:t>é</w:t>
      </w:r>
      <w:r>
        <w:t xml:space="preserve">rito (cfr. fs. 1412/1416, 1473/1474 y 8135/8141). </w:t>
      </w:r>
    </w:p>
    <w:p w:rsidR="00224567" w:rsidRDefault="00224567">
      <w:r>
        <w:tab/>
        <w:t>No obstante ello, prestó declaración testimonial en la causa nº 1598 –“Brigadas”-, el 10 de j</w:t>
      </w:r>
      <w:r>
        <w:t>u</w:t>
      </w:r>
      <w:r>
        <w:t>lio de 1996 y el 3 de febrero de 1998 (cfr. fs. 38.691/38.695 y 45.301/45.302).</w:t>
      </w:r>
    </w:p>
    <w:p w:rsidR="00224567" w:rsidRDefault="00224567">
      <w:r>
        <w:tab/>
        <w:t>En las declaraciones rendidas en la causa “A.M.I.A.” –nº 1156-, Pérez nunca refirió lo suced</w:t>
      </w:r>
      <w:r>
        <w:t>i</w:t>
      </w:r>
      <w:r>
        <w:t>do el 10 de julio y dijo no haber visto a Telleldín en esa fecha, ya que desde el día en que Telleldín le dejó la c</w:t>
      </w:r>
      <w:r>
        <w:t>a</w:t>
      </w:r>
      <w:r>
        <w:t>mioneta, antes del 10, no volvió a verlo hasta que se cr</w:t>
      </w:r>
      <w:r>
        <w:t>u</w:t>
      </w:r>
      <w:r>
        <w:t>zó con él, e</w:t>
      </w:r>
      <w:r>
        <w:t>s</w:t>
      </w:r>
      <w:r>
        <w:t>tando ambos detenidos.</w:t>
      </w:r>
    </w:p>
    <w:p w:rsidR="00224567" w:rsidRDefault="00224567">
      <w:r>
        <w:tab/>
        <w:t>Por otra parte, tampoco mencionó que la camioneta Trafic hubiera sido entregada a la policía bona</w:t>
      </w:r>
      <w:r>
        <w:t>e</w:t>
      </w:r>
      <w:r>
        <w:t>rense en el marco de una extorsión.</w:t>
      </w:r>
    </w:p>
    <w:p w:rsidR="00224567" w:rsidRDefault="00224567">
      <w:r>
        <w:tab/>
        <w:t>Sin perjuicio de subsistir la imp</w:t>
      </w:r>
      <w:r>
        <w:t>u</w:t>
      </w:r>
      <w:r>
        <w:t>tación por su participación en el atentado, el 10 de julio de 1996 se le recibió declaración “testimonial” en la ca</w:t>
      </w:r>
      <w:r>
        <w:t>u</w:t>
      </w:r>
      <w:r>
        <w:t>sa “Brig</w:t>
      </w:r>
      <w:r>
        <w:t>a</w:t>
      </w:r>
      <w:r>
        <w:t>das”. En ella contradijo sus anteriores versiones y brindó una ajustada a la aportada por Telleldín en su indagatoria del 5 de julio, para lo cual sostuvo que el 10 de julio de 1994, alrededor de las 14, se dirigió al dom</w:t>
      </w:r>
      <w:r>
        <w:t>i</w:t>
      </w:r>
      <w:r>
        <w:t>cilio de Telleldín para reclamarle el pago de una deuda, oportunidad en la que presenció que el nombrado estaba siendo extorsionado, contándole Telleldín que “lo estaba apretando la p</w:t>
      </w:r>
      <w:r>
        <w:t>o</w:t>
      </w:r>
      <w:r>
        <w:t>licía” y que “Pino” era uno involucrados en tal mani</w:t>
      </w:r>
      <w:r>
        <w:t>o</w:t>
      </w:r>
      <w:r>
        <w:t>bra.</w:t>
      </w:r>
    </w:p>
    <w:p w:rsidR="00224567" w:rsidRDefault="00224567">
      <w:pPr>
        <w:pStyle w:val="Ttulo5"/>
        <w:rPr>
          <w:b w:val="0"/>
          <w:bCs w:val="0"/>
        </w:rPr>
      </w:pPr>
      <w:r>
        <w:t xml:space="preserve">J.4.c) </w:t>
      </w:r>
      <w:r>
        <w:rPr>
          <w:b w:val="0"/>
          <w:bCs w:val="0"/>
        </w:rPr>
        <w:t>Declaraciones de Eduardo D</w:t>
      </w:r>
      <w:r>
        <w:rPr>
          <w:b w:val="0"/>
          <w:bCs w:val="0"/>
        </w:rPr>
        <w:t>a</w:t>
      </w:r>
      <w:r>
        <w:rPr>
          <w:b w:val="0"/>
          <w:bCs w:val="0"/>
        </w:rPr>
        <w:t>niel Telleldín.</w:t>
      </w:r>
    </w:p>
    <w:p w:rsidR="00224567" w:rsidRDefault="00224567">
      <w:r>
        <w:rPr>
          <w:lang w:val="es-ES_tradnl"/>
        </w:rPr>
        <w:tab/>
      </w:r>
      <w:r>
        <w:t>Por último, corresponde mencionar el caso de Eduardo Daniel Telleldín, quien fue ind</w:t>
      </w:r>
      <w:r>
        <w:t>a</w:t>
      </w:r>
      <w:r>
        <w:t>gado el 30 de diciembre de 1994 y el 2 y 20 de enero de 1995, imp</w:t>
      </w:r>
      <w:r>
        <w:t>u</w:t>
      </w:r>
      <w:r>
        <w:t>tándosele el haber participado en la preparación de el</w:t>
      </w:r>
      <w:r>
        <w:t>e</w:t>
      </w:r>
      <w:r>
        <w:t xml:space="preserve">mentos que con posterioridad resultaron utilizados en el atentado ocurrido en la sede de </w:t>
      </w:r>
      <w:smartTag w:uri="urn:schemas-microsoft-com:office:smarttags" w:element="PersonName">
        <w:smartTagPr>
          <w:attr w:name="ProductID" w:val="la A.M"/>
        </w:smartTagPr>
        <w:r>
          <w:t>la A.M</w:t>
        </w:r>
      </w:smartTag>
      <w:r>
        <w:t>.I.A.  (cfr. fs. 7107/7115, 7220/7224 y 8093/8098); se le dictó falta de mérito respe</w:t>
      </w:r>
      <w:r>
        <w:t>c</w:t>
      </w:r>
      <w:r>
        <w:t>to de ese hecho el 13 de enero del mismo año (cfr. fs. 7944/7947).</w:t>
      </w:r>
    </w:p>
    <w:p w:rsidR="00224567" w:rsidRDefault="00224567">
      <w:r>
        <w:tab/>
        <w:t>Posteriormente el nombrado fue conv</w:t>
      </w:r>
      <w:r>
        <w:t>o</w:t>
      </w:r>
      <w:r>
        <w:t>cado como testigo en la causa “Brigadas”, prestando decl</w:t>
      </w:r>
      <w:r>
        <w:t>a</w:t>
      </w:r>
      <w:r>
        <w:t>ración  el 10 y 18 de julio de 1996, el 11 de febr</w:t>
      </w:r>
      <w:r>
        <w:t>e</w:t>
      </w:r>
      <w:r>
        <w:t>ro y el 10 de abril de 1997 (ver fs. 38.682/38.690, 39.526, 41.832/41.833 y 42.072/42.073).</w:t>
      </w:r>
    </w:p>
    <w:p w:rsidR="00224567" w:rsidRDefault="00224567">
      <w:r>
        <w:tab/>
        <w:t>En la primera de ellas, Telleldín r</w:t>
      </w:r>
      <w:r>
        <w:t>e</w:t>
      </w:r>
      <w:r>
        <w:t>lató hechos que no había contado antes y que resultaron coincidentes con la versión que su hermano Carlos había dado cinco días antes. Manifestó que éste fue extorsi</w:t>
      </w:r>
      <w:r>
        <w:t>o</w:t>
      </w:r>
      <w:r>
        <w:t xml:space="preserve">nado por </w:t>
      </w:r>
      <w:smartTag w:uri="urn:schemas-microsoft-com:office:smarttags" w:element="PersonName">
        <w:smartTagPr>
          <w:attr w:name="ProductID" w:val="la Brigada"/>
        </w:smartTagPr>
        <w:r>
          <w:t>la Brigada</w:t>
        </w:r>
      </w:smartTag>
      <w:r>
        <w:t xml:space="preserve"> de Lanús en abril de 1994; que fue detenido por </w:t>
      </w:r>
      <w:smartTag w:uri="urn:schemas-microsoft-com:office:smarttags" w:element="PersonName">
        <w:smartTagPr>
          <w:attr w:name="ProductID" w:val="la Brigada"/>
        </w:smartTagPr>
        <w:r>
          <w:t>la Brigada</w:t>
        </w:r>
      </w:smartTag>
      <w:r>
        <w:t xml:space="preserve"> de Villa Martelli; que el 10 de julio de 1994 Carlos Telleldín entregó un automotor a un grupo de policías, entre los cuales se encontraba uno llamado “Pino”; que su hermano también tuvo problemas el 14 de ese mes con una depende</w:t>
      </w:r>
      <w:r>
        <w:t>n</w:t>
      </w:r>
      <w:r>
        <w:t>cia policial que detuvo a Hugo Antonio Pérez, como así también que unos paraguayos le relataron en la unidad p</w:t>
      </w:r>
      <w:r>
        <w:t>e</w:t>
      </w:r>
      <w:r>
        <w:t xml:space="preserve">nitenciaria de Caseros, que un detenido de </w:t>
      </w:r>
      <w:smartTag w:uri="urn:schemas-microsoft-com:office:smarttags" w:element="PersonName">
        <w:smartTagPr>
          <w:attr w:name="ProductID" w:val="la Brigada"/>
        </w:smartTagPr>
        <w:r>
          <w:t>la Brigada</w:t>
        </w:r>
      </w:smartTag>
      <w:r>
        <w:t xml:space="preserve"> de Vicente López o </w:t>
      </w:r>
      <w:smartTag w:uri="urn:schemas-microsoft-com:office:smarttags" w:element="PersonName">
        <w:smartTagPr>
          <w:attr w:name="ProductID" w:val="la Horqueta"/>
        </w:smartTagPr>
        <w:r>
          <w:t>la Horqueta</w:t>
        </w:r>
      </w:smartTag>
      <w:r>
        <w:t xml:space="preserve"> había sido in</w:t>
      </w:r>
      <w:r>
        <w:t>s</w:t>
      </w:r>
      <w:r>
        <w:t>truido por personal policial para que declarara en la ca</w:t>
      </w:r>
      <w:r>
        <w:t>u</w:t>
      </w:r>
      <w:r>
        <w:t>sa “A.M.I.A.”.</w:t>
      </w:r>
    </w:p>
    <w:p w:rsidR="00224567" w:rsidRDefault="00224567">
      <w:r>
        <w:tab/>
        <w:t>El manejo arbitrario que el juez efe</w:t>
      </w:r>
      <w:r>
        <w:t>c</w:t>
      </w:r>
      <w:r>
        <w:t>tuó de las calidades en que deponían los que eran convoc</w:t>
      </w:r>
      <w:r>
        <w:t>a</w:t>
      </w:r>
      <w:r>
        <w:t>dos, no se detuvo en las declaraciones refer</w:t>
      </w:r>
      <w:r>
        <w:t>i</w:t>
      </w:r>
      <w:r>
        <w:t>das.</w:t>
      </w:r>
    </w:p>
    <w:p w:rsidR="00224567" w:rsidRDefault="00224567">
      <w:r>
        <w:tab/>
        <w:t>Así, el 5 de febrero de 1998, a</w:t>
      </w:r>
      <w:r>
        <w:t>n</w:t>
      </w:r>
      <w:r>
        <w:t>tes de la efectiva acumulación de la causa “Brigadas”, Eduardo Daniel Telleldín prestó declaración indagatoria en la ca</w:t>
      </w:r>
      <w:r>
        <w:t>u</w:t>
      </w:r>
      <w:r>
        <w:t>sa “A.M.I.A.”, sin que fuera relevado del juramento de d</w:t>
      </w:r>
      <w:r>
        <w:t>e</w:t>
      </w:r>
      <w:r>
        <w:t>cir verdad que prestara en las oportunidades reseñadas prec</w:t>
      </w:r>
      <w:r>
        <w:t>e</w:t>
      </w:r>
      <w:r>
        <w:t>dentemente (cfr. fs. 28.673/28.678).</w:t>
      </w:r>
    </w:p>
    <w:p w:rsidR="00224567" w:rsidRDefault="00224567">
      <w:pPr>
        <w:pStyle w:val="Sangra3detindependiente"/>
        <w:spacing w:line="600" w:lineRule="auto"/>
        <w:rPr>
          <w:lang w:val="es-AR"/>
        </w:rPr>
      </w:pPr>
      <w:r>
        <w:rPr>
          <w:lang w:val="es-AR"/>
        </w:rPr>
        <w:t xml:space="preserve">Luego de que se acumulara la causa “Brigadas” al principal, en razón de lo ordenado por </w:t>
      </w:r>
      <w:smartTag w:uri="urn:schemas-microsoft-com:office:smarttags" w:element="PersonName">
        <w:smartTagPr>
          <w:attr w:name="ProductID" w:val="la C￡mara Federal"/>
        </w:smartTagPr>
        <w:r>
          <w:rPr>
            <w:lang w:val="es-AR"/>
          </w:rPr>
          <w:t>la Cámara Federal</w:t>
        </w:r>
      </w:smartTag>
      <w:r>
        <w:rPr>
          <w:lang w:val="es-AR"/>
        </w:rPr>
        <w:t>, el 29 de septiembre de 1999 se le rec</w:t>
      </w:r>
      <w:r>
        <w:rPr>
          <w:lang w:val="es-AR"/>
        </w:rPr>
        <w:t>i</w:t>
      </w:r>
      <w:r>
        <w:rPr>
          <w:lang w:val="es-AR"/>
        </w:rPr>
        <w:t>bió declaración indagatoria a Cotoras y, en el caso, se lo r</w:t>
      </w:r>
      <w:r>
        <w:rPr>
          <w:lang w:val="es-AR"/>
        </w:rPr>
        <w:t>e</w:t>
      </w:r>
      <w:r>
        <w:rPr>
          <w:lang w:val="es-AR"/>
        </w:rPr>
        <w:t>levó del juramento que prestó en sus anteriores declar</w:t>
      </w:r>
      <w:r>
        <w:rPr>
          <w:lang w:val="es-AR"/>
        </w:rPr>
        <w:t>a</w:t>
      </w:r>
      <w:r>
        <w:rPr>
          <w:lang w:val="es-AR"/>
        </w:rPr>
        <w:t>ciones(cfr. fs. 68.482).</w:t>
      </w:r>
    </w:p>
    <w:p w:rsidR="00224567" w:rsidRDefault="00224567">
      <w:pPr>
        <w:pStyle w:val="Sangra3detindependiente"/>
        <w:spacing w:line="600" w:lineRule="auto"/>
      </w:pPr>
      <w:r>
        <w:t>El contraste con la situación de Eduardo Telleldín deviene patente y trasunta el inadmis</w:t>
      </w:r>
      <w:r>
        <w:t>i</w:t>
      </w:r>
      <w:r>
        <w:t>ble desarreglo procesal que significó la tramitación por separado de ambas causas, toda vez que el objeto procesal de la causa “Brigadas” era común, desde su inicio, al de la causa “A.M.I.A.”.</w:t>
      </w:r>
    </w:p>
    <w:p w:rsidR="00224567" w:rsidRDefault="00224567">
      <w:pPr>
        <w:pStyle w:val="Ttulo4"/>
      </w:pPr>
      <w:r>
        <w:tab/>
        <w:t>J.5) La justificación ensayada por el Dr. Galeano para tomarles declaración testimonial a Cot</w:t>
      </w:r>
      <w:r>
        <w:t>o</w:t>
      </w:r>
      <w:r>
        <w:t>ras y Pérez</w:t>
      </w:r>
    </w:p>
    <w:p w:rsidR="00224567" w:rsidRDefault="00224567">
      <w:r>
        <w:tab/>
        <w:t>El 18 de mayo de 1999 el magistrado instructor efectuó algunas consideraciones acerca de la particular situación generada en relación a Hugo Antonio Pérez y Claudio Guillermo Cot</w:t>
      </w:r>
      <w:r>
        <w:t>o</w:t>
      </w:r>
      <w:r>
        <w:t>ras.</w:t>
      </w:r>
    </w:p>
    <w:p w:rsidR="00224567" w:rsidRDefault="00224567">
      <w:r>
        <w:tab/>
        <w:t>En ese sentido, sostuvo: “En efecto, el avance de la pesquisa en los autos principales determ</w:t>
      </w:r>
      <w:r>
        <w:t>i</w:t>
      </w:r>
      <w:r>
        <w:t>naron, al poco tiempo de producido el atentado, que entre las personas que colaboraron con Carlos A</w:t>
      </w:r>
      <w:r>
        <w:t>l</w:t>
      </w:r>
      <w:r>
        <w:t>berto Telleldín en el armado de la camion</w:t>
      </w:r>
      <w:r>
        <w:t>e</w:t>
      </w:r>
      <w:r>
        <w:t>ta Renault Trafic utilizada, se encontraban Hugo Antonio Pérez y Claudio Guillermo Cot</w:t>
      </w:r>
      <w:r>
        <w:t>o</w:t>
      </w:r>
      <w:r>
        <w:t>ras, sospechados también de participar en los hechos il</w:t>
      </w:r>
      <w:r>
        <w:t>í</w:t>
      </w:r>
      <w:r>
        <w:t>citos relacionados con automotores en los que se invol</w:t>
      </w:r>
      <w:r>
        <w:t>u</w:t>
      </w:r>
      <w:r>
        <w:t>craba a T</w:t>
      </w:r>
      <w:r>
        <w:t>e</w:t>
      </w:r>
      <w:r>
        <w:t>lleldín”.</w:t>
      </w:r>
    </w:p>
    <w:p w:rsidR="00224567" w:rsidRDefault="00224567">
      <w:r>
        <w:tab/>
        <w:t>“En razón de ello, se les recibió d</w:t>
      </w:r>
      <w:r>
        <w:t>e</w:t>
      </w:r>
      <w:r>
        <w:t>claración indagatoria a los dos nombrados, deponiendo C</w:t>
      </w:r>
      <w:r>
        <w:t>o</w:t>
      </w:r>
      <w:r>
        <w:t>toras con fecha 30/07/94 y 23/01/95, y Pérez con fecha 11/01/95, 12/01/95 y 24/07/95; al resolverse sus situaci</w:t>
      </w:r>
      <w:r>
        <w:t>o</w:t>
      </w:r>
      <w:r>
        <w:t>nes, se dispuso la falta de m</w:t>
      </w:r>
      <w:r>
        <w:t>é</w:t>
      </w:r>
      <w:r>
        <w:t>rito del primero –30/07/94- y el procesamiento del segundo en orden a los delitos de encubrimiento –el 31/01/95- y asociación ilícita –el 2/05/95”.</w:t>
      </w:r>
    </w:p>
    <w:p w:rsidR="00224567" w:rsidRDefault="00224567">
      <w:r>
        <w:tab/>
        <w:t>“Por otra parte, en la causa nº 1598, en el marco de una investigación distinta –aunque vincul</w:t>
      </w:r>
      <w:r>
        <w:t>a</w:t>
      </w:r>
      <w:r>
        <w:t xml:space="preserve">da a la del atentado a la sede de </w:t>
      </w:r>
      <w:smartTag w:uri="urn:schemas-microsoft-com:office:smarttags" w:element="PersonName">
        <w:smartTagPr>
          <w:attr w:name="ProductID" w:val="la A.M"/>
        </w:smartTagPr>
        <w:r>
          <w:t>la A.M</w:t>
        </w:r>
      </w:smartTag>
      <w:r>
        <w:t>.I.A.-, se profu</w:t>
      </w:r>
      <w:r>
        <w:t>n</w:t>
      </w:r>
      <w:r>
        <w:t>dizó a partir de fines del año 1995 la observación sobre lo actuado por algunos miembros de las Brigadas de Inve</w:t>
      </w:r>
      <w:r>
        <w:t>s</w:t>
      </w:r>
      <w:r>
        <w:t>tigación de Lanús y Vicente López, en relación a los h</w:t>
      </w:r>
      <w:r>
        <w:t>e</w:t>
      </w:r>
      <w:r>
        <w:t>chos acaecidos el 15 de marzo de 1994 en Olivos, 4 de abril de 1994 en Tortuguitas, 10 de julio de 1994 en el domicilio de Telle</w:t>
      </w:r>
      <w:r>
        <w:t>l</w:t>
      </w:r>
      <w:r>
        <w:t>dín , y finalmente lo ocurrido el 14 de julio de ese mismo año”.</w:t>
      </w:r>
    </w:p>
    <w:p w:rsidR="00224567" w:rsidRDefault="00224567">
      <w:r>
        <w:tab/>
        <w:t>“Así, en el ámbito de la pesqu</w:t>
      </w:r>
      <w:r>
        <w:t>i</w:t>
      </w:r>
      <w:r>
        <w:t xml:space="preserve">sa, se estableció que Claudio Guillermo Cotoras fue testigo del accionar intimidatorio desplegado por personal de </w:t>
      </w:r>
      <w:smartTag w:uri="urn:schemas-microsoft-com:office:smarttags" w:element="PersonName">
        <w:smartTagPr>
          <w:attr w:name="ProductID" w:val="la Polic￭a Bonaerense"/>
        </w:smartTagPr>
        <w:r>
          <w:t>la Pol</w:t>
        </w:r>
        <w:r>
          <w:t>i</w:t>
        </w:r>
        <w:r>
          <w:t>cía Bonaerense</w:t>
        </w:r>
      </w:smartTag>
      <w:r>
        <w:t>, el día 10 de julio de 1994, en las inm</w:t>
      </w:r>
      <w:r>
        <w:t>e</w:t>
      </w:r>
      <w:r>
        <w:t>diaciones de la vivienda en la que residía Carlos Telle</w:t>
      </w:r>
      <w:r>
        <w:t>l</w:t>
      </w:r>
      <w:r>
        <w:t>dín y su familia, el que concluyó con la entrega de la c</w:t>
      </w:r>
      <w:r>
        <w:t>a</w:t>
      </w:r>
      <w:r>
        <w:t>mioneta Trafic en cuestión. Por esa razón se le recibió al nombrado declar</w:t>
      </w:r>
      <w:r>
        <w:t>a</w:t>
      </w:r>
      <w:r>
        <w:t>ción testimonial...”.</w:t>
      </w:r>
    </w:p>
    <w:p w:rsidR="00224567" w:rsidRDefault="00224567">
      <w:r>
        <w:tab/>
        <w:t>“Asimismo, se acreditó la detención ilegítima sufrida por Hugo Pérez el día 14 de julio de 1994, motivo por el cual el nombrado declaró como te</w:t>
      </w:r>
      <w:r>
        <w:t>s</w:t>
      </w:r>
      <w:r>
        <w:t>tigo con fecha 21 de junio y el 11 de julio de 1996, toda vez que resultaba víctima del a</w:t>
      </w:r>
      <w:r>
        <w:t>c</w:t>
      </w:r>
      <w:r>
        <w:t>cionar de algunos componentes de las brigadas polici</w:t>
      </w:r>
      <w:r>
        <w:t>a</w:t>
      </w:r>
      <w:r>
        <w:t>les. Esta condición de damnificado tomó mayor relieve al denunciar el propio Pérez el haber sido objeto de apremios ilegales por parte de sus aprehe</w:t>
      </w:r>
      <w:r>
        <w:t>n</w:t>
      </w:r>
      <w:r>
        <w:t>sores”.</w:t>
      </w:r>
    </w:p>
    <w:p w:rsidR="00224567" w:rsidRDefault="00224567">
      <w:r>
        <w:tab/>
        <w:t>“Ahora bien, discriminándose de man</w:t>
      </w:r>
      <w:r>
        <w:t>e</w:t>
      </w:r>
      <w:r>
        <w:t>ra clara los distintos marcos investigativos que contenían las causas nº 1156 y nº 1598, pese a su elocuente rel</w:t>
      </w:r>
      <w:r>
        <w:t>a</w:t>
      </w:r>
      <w:r>
        <w:t>ción, es posible interpretar el rol que en cada una de ellas tenían Claudio Guillermo Cotoras y Hugo Antonio P</w:t>
      </w:r>
      <w:r>
        <w:t>é</w:t>
      </w:r>
      <w:r>
        <w:t>rez; es decir, como imputados en la primera y como test</w:t>
      </w:r>
      <w:r>
        <w:t>i</w:t>
      </w:r>
      <w:r>
        <w:t>gos en la segu</w:t>
      </w:r>
      <w:r>
        <w:t>n</w:t>
      </w:r>
      <w:r>
        <w:t>da”.</w:t>
      </w:r>
    </w:p>
    <w:p w:rsidR="00224567" w:rsidRDefault="00224567">
      <w:r>
        <w:tab/>
        <w:t>“Ello es así por cuanto los hechos por los cuales testificaron en el sumario “Brigadas” no sign</w:t>
      </w:r>
      <w:r>
        <w:t>i</w:t>
      </w:r>
      <w:r>
        <w:t>ficaban una posible autoincrim</w:t>
      </w:r>
      <w:r>
        <w:t>i</w:t>
      </w:r>
      <w:r>
        <w:t>nación en violación de sus derechos, por tratarse de eventos ajenos a aquellos por los cuales se los había indagado en el expediente princ</w:t>
      </w:r>
      <w:r>
        <w:t>i</w:t>
      </w:r>
      <w:r>
        <w:t>pal” (cfr. fs. 55.328).</w:t>
      </w:r>
    </w:p>
    <w:p w:rsidR="00224567" w:rsidRDefault="00224567">
      <w:r>
        <w:tab/>
        <w:t>El auto transcripto merece algunas o</w:t>
      </w:r>
      <w:r>
        <w:t>b</w:t>
      </w:r>
      <w:r>
        <w:t>servaciones.</w:t>
      </w:r>
    </w:p>
    <w:p w:rsidR="00224567" w:rsidRDefault="00224567">
      <w:r>
        <w:tab/>
        <w:t>La pretendida justificación de tal proceder con base en la supuesta autonomía de dos causas di</w:t>
      </w:r>
      <w:r>
        <w:t>s</w:t>
      </w:r>
      <w:r>
        <w:t>tintas resulta inaceptable.</w:t>
      </w:r>
    </w:p>
    <w:p w:rsidR="00224567" w:rsidRDefault="00224567">
      <w:r>
        <w:tab/>
        <w:t>Ello es así por cuanto, más allá de la descripción de los hechos atribuidos a los nombrados en las diferentes indagatorias y de aquellos sobre los que depusieron en forma testimonial, resulta claramente ina</w:t>
      </w:r>
      <w:r>
        <w:t>d</w:t>
      </w:r>
      <w:r>
        <w:t>misible que un imputado d</w:t>
      </w:r>
      <w:r>
        <w:t>e</w:t>
      </w:r>
      <w:r>
        <w:t>ponga como testigo en una causa conexa por su “elocuente relación”; máxime cuando ambas desde su in</w:t>
      </w:r>
      <w:r>
        <w:t>i</w:t>
      </w:r>
      <w:r>
        <w:t>cio tramitaban en el mismo juzgado.</w:t>
      </w:r>
    </w:p>
    <w:p w:rsidR="00224567" w:rsidRDefault="00224567">
      <w:r>
        <w:tab/>
        <w:t>Nótese que mientras Cotoras fue ind</w:t>
      </w:r>
      <w:r>
        <w:t>a</w:t>
      </w:r>
      <w:r>
        <w:t>gado por su participación en el atentado y Pérez por la prepar</w:t>
      </w:r>
      <w:r>
        <w:t>a</w:t>
      </w:r>
      <w:r>
        <w:t>ción del rodado que resultó utilizado en ese hecho, ambos depusieron testimonialmente en la causa “Brigadas” sobre aspectos manifiestamente inescindibles de los que habían sido motivo de indagación, como, por ejemplo, el modo en que se e</w:t>
      </w:r>
      <w:r>
        <w:t>n</w:t>
      </w:r>
      <w:r>
        <w:t>tregó la camioneta Trafic.</w:t>
      </w:r>
    </w:p>
    <w:p w:rsidR="00224567" w:rsidRDefault="00224567">
      <w:r>
        <w:tab/>
        <w:t>Cabe añadir a ello que, como se viene diciendo, el motivo real que explica de modo acabado que Pérez y Cotoras hayan declarado como testigos fue el apu</w:t>
      </w:r>
      <w:r>
        <w:t>n</w:t>
      </w:r>
      <w:r>
        <w:t>talamiento de la versión de los hechos volcada en la ind</w:t>
      </w:r>
      <w:r>
        <w:t>a</w:t>
      </w:r>
      <w:r>
        <w:t>gatoria de T</w:t>
      </w:r>
      <w:r>
        <w:t>e</w:t>
      </w:r>
      <w:r>
        <w:t>lleldín del 5 de julio de 1996.</w:t>
      </w:r>
    </w:p>
    <w:p w:rsidR="00224567" w:rsidRDefault="00224567">
      <w:pPr>
        <w:pStyle w:val="Sangra3detindependiente"/>
        <w:spacing w:line="600" w:lineRule="auto"/>
        <w:rPr>
          <w:lang w:val="es-AR"/>
        </w:rPr>
      </w:pPr>
      <w:r>
        <w:rPr>
          <w:lang w:val="es-AR"/>
        </w:rPr>
        <w:t>Por lo demás, como prueba de la ínt</w:t>
      </w:r>
      <w:r>
        <w:rPr>
          <w:lang w:val="es-AR"/>
        </w:rPr>
        <w:t>i</w:t>
      </w:r>
      <w:r>
        <w:rPr>
          <w:lang w:val="es-AR"/>
        </w:rPr>
        <w:t>ma vinculación de las actuaciones, imposible por ello de a</w:t>
      </w:r>
      <w:r>
        <w:rPr>
          <w:lang w:val="es-AR"/>
        </w:rPr>
        <w:t>d</w:t>
      </w:r>
      <w:r>
        <w:rPr>
          <w:lang w:val="es-AR"/>
        </w:rPr>
        <w:t>mitir su tramitación como compartimentos estancos, resu</w:t>
      </w:r>
      <w:r>
        <w:rPr>
          <w:lang w:val="es-AR"/>
        </w:rPr>
        <w:t>l</w:t>
      </w:r>
      <w:r>
        <w:rPr>
          <w:lang w:val="es-AR"/>
        </w:rPr>
        <w:t>tan algunas frases incluidas en las declaraciones de los nombrados, en las que se desl</w:t>
      </w:r>
      <w:r>
        <w:rPr>
          <w:lang w:val="es-AR"/>
        </w:rPr>
        <w:t>i</w:t>
      </w:r>
      <w:r>
        <w:rPr>
          <w:lang w:val="es-AR"/>
        </w:rPr>
        <w:t xml:space="preserve">zó tal extremo. </w:t>
      </w:r>
    </w:p>
    <w:p w:rsidR="00224567" w:rsidRDefault="00224567">
      <w:r>
        <w:rPr>
          <w:lang w:val="es-AR"/>
        </w:rPr>
        <w:tab/>
      </w:r>
      <w:r>
        <w:t>Así, en la primer testimonial de P</w:t>
      </w:r>
      <w:r>
        <w:t>é</w:t>
      </w:r>
      <w:r>
        <w:t>rez en la causa “Brigadas”, del 21 de junio de 1996, éste dijo que “... tal como lo manifestara en anteriores declaraci</w:t>
      </w:r>
      <w:r>
        <w:t>o</w:t>
      </w:r>
      <w:r>
        <w:t>nes ....”, cuando supuestamente se trataba de una causa distinta.</w:t>
      </w:r>
    </w:p>
    <w:p w:rsidR="00224567" w:rsidRDefault="00224567">
      <w:r>
        <w:tab/>
        <w:t>Del mismo modo, Cotoras manifestó en la testimonial prestada en la causa “Brigadas” el 10 de julio de 1996, que “si bien va a decir toda la verdad de lo que recuerda y observó, no lo mencionó con ant</w:t>
      </w:r>
      <w:r>
        <w:t>e</w:t>
      </w:r>
      <w:r>
        <w:t>rioridad debido a que siente y sintió sie</w:t>
      </w:r>
      <w:r>
        <w:t>m</w:t>
      </w:r>
      <w:r>
        <w:t>pre un gran temor ...”.</w:t>
      </w:r>
    </w:p>
    <w:p w:rsidR="00224567" w:rsidRDefault="00224567">
      <w:r>
        <w:tab/>
        <w:t>Su elocuencia exime de nuevas consid</w:t>
      </w:r>
      <w:r>
        <w:t>e</w:t>
      </w:r>
      <w:r>
        <w:t>raciones al re</w:t>
      </w:r>
      <w:r>
        <w:t>s</w:t>
      </w:r>
      <w:r>
        <w:t>pecto.</w:t>
      </w:r>
    </w:p>
    <w:p w:rsidR="00224567" w:rsidRDefault="00224567"/>
    <w:p w:rsidR="00224567" w:rsidRDefault="00224567">
      <w:pPr>
        <w:pStyle w:val="Ttulo3"/>
      </w:pPr>
      <w:r>
        <w:t>K) Arbitraria pesquisa respecto de Anastasio Ireneo Leal.</w:t>
      </w:r>
    </w:p>
    <w:p w:rsidR="00224567" w:rsidRDefault="00224567">
      <w:pPr>
        <w:pStyle w:val="Ttulo4"/>
        <w:rPr>
          <w:b w:val="0"/>
          <w:bCs w:val="0"/>
        </w:rPr>
      </w:pPr>
      <w:r>
        <w:tab/>
        <w:t>K.1) Demora en disponer medidas pese a haber sido identificado como el acompañante de Ramón Ma</w:t>
      </w:r>
      <w:r>
        <w:t>r</w:t>
      </w:r>
      <w:r>
        <w:t>tínez.</w:t>
      </w:r>
    </w:p>
    <w:p w:rsidR="00224567" w:rsidRDefault="00224567">
      <w:r>
        <w:rPr>
          <w:lang w:val="es-ES_tradnl"/>
        </w:rPr>
        <w:tab/>
        <w:t>E</w:t>
      </w:r>
      <w:r>
        <w:t>l magistrado instructor</w:t>
      </w:r>
      <w:r>
        <w:rPr>
          <w:lang w:val="es-ES_tradnl"/>
        </w:rPr>
        <w:t xml:space="preserve"> dejó consta</w:t>
      </w:r>
      <w:r>
        <w:rPr>
          <w:lang w:val="es-ES_tradnl"/>
        </w:rPr>
        <w:t>n</w:t>
      </w:r>
      <w:r>
        <w:rPr>
          <w:lang w:val="es-ES_tradnl"/>
        </w:rPr>
        <w:t>cia</w:t>
      </w:r>
      <w:r>
        <w:t xml:space="preserve"> de sendas entrevistas que Telleldín habría mantenido </w:t>
      </w:r>
      <w:r>
        <w:rPr>
          <w:lang w:val="es-ES_tradnl"/>
        </w:rPr>
        <w:t>el 24</w:t>
      </w:r>
      <w:r>
        <w:t xml:space="preserve"> de agosto y 5 de septiembre de 1995 con </w:t>
      </w:r>
      <w:smartTag w:uri="urn:schemas-microsoft-com:office:smarttags" w:element="PersonName">
        <w:smartTagPr>
          <w:attr w:name="ProductID" w:val="la Dra. Riva"/>
        </w:smartTagPr>
        <w:r>
          <w:t>la Dra. Riva</w:t>
        </w:r>
      </w:smartTag>
      <w:r>
        <w:t xml:space="preserve"> Aramayo, en las que el pr</w:t>
      </w:r>
      <w:r>
        <w:t>o</w:t>
      </w:r>
      <w:r>
        <w:t xml:space="preserve">cesado relató que el 10 de julio de 1994 entregó la camioneta Trafic a un suboficial de </w:t>
      </w:r>
      <w:smartTag w:uri="urn:schemas-microsoft-com:office:smarttags" w:element="PersonName">
        <w:smartTagPr>
          <w:attr w:name="ProductID" w:val="la Brigada"/>
        </w:smartTagPr>
        <w:r>
          <w:t>la Brigada</w:t>
        </w:r>
      </w:smartTag>
      <w:r>
        <w:t xml:space="preserve"> de Vicente López, quien firmó el boleto de compr</w:t>
      </w:r>
      <w:r>
        <w:t>a</w:t>
      </w:r>
      <w:r>
        <w:t>venta a nombre de Ramón Martínez, el que a su vez estaba acomp</w:t>
      </w:r>
      <w:r>
        <w:t>a</w:t>
      </w:r>
      <w:r>
        <w:t>ñado por un subcomisario a quien conoce como “Pino”, propietario de un Ford Galaxy azul (crf. fs. 37.380 y 37.382/4).</w:t>
      </w:r>
    </w:p>
    <w:p w:rsidR="00224567" w:rsidRDefault="00224567">
      <w:r>
        <w:tab/>
        <w:t>El 17 de octubre de 1995, el fiscal José Carlos Barbaccia formuló requerimiento de instru</w:t>
      </w:r>
      <w:r>
        <w:t>c</w:t>
      </w:r>
      <w:r>
        <w:t>ción respecto de Anastasio Ireneo Leal, entre otros, por los delitos que pudieran surgir del pr</w:t>
      </w:r>
      <w:r>
        <w:t>o</w:t>
      </w:r>
      <w:r>
        <w:t xml:space="preserve">cedimiento realizado el 14 y 15 de julio de 1994 por </w:t>
      </w:r>
      <w:smartTag w:uri="urn:schemas-microsoft-com:office:smarttags" w:element="PersonName">
        <w:smartTagPr>
          <w:attr w:name="ProductID" w:val="la Brigada"/>
        </w:smartTagPr>
        <w:r>
          <w:t>la Brigada</w:t>
        </w:r>
      </w:smartTag>
      <w:r>
        <w:t xml:space="preserve"> de Investigaciones de Vicente López en las inmediaciones del domicilio de T</w:t>
      </w:r>
      <w:r>
        <w:t>e</w:t>
      </w:r>
      <w:r>
        <w:t>lleldín. Asimismo, requirió la i</w:t>
      </w:r>
      <w:r>
        <w:t>n</w:t>
      </w:r>
      <w:r>
        <w:t xml:space="preserve">vestigación de los dichos atribuidos a Carlos Alberto Telleldín en la reunión que éste mantuvo con </w:t>
      </w:r>
      <w:smartTag w:uri="urn:schemas-microsoft-com:office:smarttags" w:element="PersonName">
        <w:smartTagPr>
          <w:attr w:name="ProductID" w:val="la Dra. Riva"/>
        </w:smartTagPr>
        <w:r>
          <w:t>la Dra. Riva</w:t>
        </w:r>
      </w:smartTag>
      <w:r>
        <w:t xml:space="preserve"> Aramayo, al referir que “la entrega de </w:t>
      </w:r>
      <w:smartTag w:uri="urn:schemas-microsoft-com:office:smarttags" w:element="PersonName">
        <w:smartTagPr>
          <w:attr w:name="ProductID" w:val="la Trafic"/>
        </w:smartTagPr>
        <w:r>
          <w:t>la Trafic</w:t>
        </w:r>
      </w:smartTag>
      <w:r>
        <w:t xml:space="preserve"> se la hizo a un suboficial de </w:t>
      </w:r>
      <w:smartTag w:uri="urn:schemas-microsoft-com:office:smarttags" w:element="PersonName">
        <w:smartTagPr>
          <w:attr w:name="ProductID" w:val="la Brigada"/>
        </w:smartTagPr>
        <w:r>
          <w:t>la Br</w:t>
        </w:r>
        <w:r>
          <w:t>i</w:t>
        </w:r>
        <w:r>
          <w:t>gada</w:t>
        </w:r>
      </w:smartTag>
      <w:r>
        <w:t xml:space="preserve"> de Vicente López, quien estaba acompañado por un su</w:t>
      </w:r>
      <w:r>
        <w:t>b</w:t>
      </w:r>
      <w:r>
        <w:t>comisario a quien conoce como “Pino”, propietario de un Ford G</w:t>
      </w:r>
      <w:r>
        <w:t>a</w:t>
      </w:r>
      <w:r>
        <w:t>laxy azul (cfr. fs. 37.551/37.555).</w:t>
      </w:r>
    </w:p>
    <w:p w:rsidR="00224567" w:rsidRDefault="00224567">
      <w:r>
        <w:tab/>
        <w:t xml:space="preserve">El 3 de noviembre de 1995 el diario “Página </w:t>
      </w:r>
      <w:smartTag w:uri="urn:schemas-microsoft-com:office:smarttags" w:element="metricconverter">
        <w:smartTagPr>
          <w:attr w:name="ProductID" w:val="12”"/>
        </w:smartTagPr>
        <w:r>
          <w:t>12”</w:t>
        </w:r>
      </w:smartTag>
      <w:r>
        <w:t xml:space="preserve"> publicó una nota titulada “Policías cerca de </w:t>
      </w:r>
      <w:smartTag w:uri="urn:schemas-microsoft-com:office:smarttags" w:element="PersonName">
        <w:smartTagPr>
          <w:attr w:name="ProductID" w:val="la Trafic"/>
        </w:smartTagPr>
        <w:r>
          <w:t>la Trafic</w:t>
        </w:r>
      </w:smartTag>
      <w:r>
        <w:t>”, donde se afirmó que Telleldín le confesó a R</w:t>
      </w:r>
      <w:r>
        <w:t>i</w:t>
      </w:r>
      <w:r>
        <w:t xml:space="preserve">va Aramayo que entregó la camioneta al subcomisario Ireneo Leal, alias “Pino”, de </w:t>
      </w:r>
      <w:smartTag w:uri="urn:schemas-microsoft-com:office:smarttags" w:element="PersonName">
        <w:smartTagPr>
          <w:attr w:name="ProductID" w:val="la Brigada"/>
        </w:smartTagPr>
        <w:r>
          <w:t>la Brigada</w:t>
        </w:r>
      </w:smartTag>
      <w:r>
        <w:t xml:space="preserve"> de Investigaciones de Vicente López. También en dicha nota se dijo que “(Telle</w:t>
      </w:r>
      <w:r>
        <w:t>l</w:t>
      </w:r>
      <w:r>
        <w:t>dín) tenía deudas pendientes con Leal y otros miembros de la p</w:t>
      </w:r>
      <w:r>
        <w:t>o</w:t>
      </w:r>
      <w:r>
        <w:t xml:space="preserve">licía bonaerense y que cedió </w:t>
      </w:r>
      <w:smartTag w:uri="urn:schemas-microsoft-com:office:smarttags" w:element="PersonName">
        <w:smartTagPr>
          <w:attr w:name="ProductID" w:val="la Trafic"/>
        </w:smartTagPr>
        <w:r>
          <w:t>la Trafic</w:t>
        </w:r>
      </w:smartTag>
      <w:r>
        <w:t xml:space="preserve"> días antes del ataque terrorista a la comunidad judía” (cfr. fs. 37.824).</w:t>
      </w:r>
    </w:p>
    <w:p w:rsidR="00224567" w:rsidRDefault="00224567">
      <w:r>
        <w:tab/>
        <w:t>El 15 de noviembre de 1995 prestó d</w:t>
      </w:r>
      <w:r>
        <w:t>e</w:t>
      </w:r>
      <w:r>
        <w:t xml:space="preserve">claración testimonial Manuel Enrique García ante </w:t>
      </w:r>
      <w:smartTag w:uri="urn:schemas-microsoft-com:office:smarttags" w:element="PersonName">
        <w:smartTagPr>
          <w:attr w:name="ProductID" w:val="la Divisi￳n Sustracci￳n"/>
        </w:smartTagPr>
        <w:r>
          <w:t>la Div</w:t>
        </w:r>
        <w:r>
          <w:t>i</w:t>
        </w:r>
        <w:r>
          <w:t>sión Sustracción</w:t>
        </w:r>
      </w:smartTag>
      <w:r>
        <w:t xml:space="preserve"> de Automotores Vicente López, en la que refirió espontáneamente que el grupo operativo del cual formaba parte al momento de realizarse el proced</w:t>
      </w:r>
      <w:r>
        <w:t>i</w:t>
      </w:r>
      <w:r>
        <w:t>miento en el domicilio de Telle</w:t>
      </w:r>
      <w:r>
        <w:t>l</w:t>
      </w:r>
      <w:r>
        <w:t>dín el 14 de julio de 1994, estaba a cargo del of</w:t>
      </w:r>
      <w:r>
        <w:t>i</w:t>
      </w:r>
      <w:r>
        <w:t>cial principal Anastasio Ireneo Leal, apodado “Pino”; actuaciones que se elevaron al juzgado instru</w:t>
      </w:r>
      <w:r>
        <w:t>c</w:t>
      </w:r>
      <w:r>
        <w:t>tor el 27 de diciembre de ese año (cfr. fs. 37.759 y 37.777).</w:t>
      </w:r>
    </w:p>
    <w:p w:rsidR="00224567" w:rsidRDefault="00224567">
      <w:r>
        <w:tab/>
        <w:t>Pese a los graves indicios que par</w:t>
      </w:r>
      <w:r>
        <w:t>e</w:t>
      </w:r>
      <w:r>
        <w:t>cían involucrar a Leal en la recepción de la camioneta Trafic, el 10 de julio de 1994, suceso por el cual el fi</w:t>
      </w:r>
      <w:r>
        <w:t>s</w:t>
      </w:r>
      <w:r>
        <w:t>cal había requerido la instrucción, el juez demoró hasta el 12 de julio de 1996</w:t>
      </w:r>
      <w:r>
        <w:rPr>
          <w:b/>
          <w:bCs/>
        </w:rPr>
        <w:t xml:space="preserve">, </w:t>
      </w:r>
      <w:r>
        <w:t>casi nueve meses después, para o</w:t>
      </w:r>
      <w:r>
        <w:t>r</w:t>
      </w:r>
      <w:r>
        <w:t>denar su declaración indagat</w:t>
      </w:r>
      <w:r>
        <w:t>o</w:t>
      </w:r>
      <w:r>
        <w:t>ria.</w:t>
      </w:r>
    </w:p>
    <w:p w:rsidR="00224567" w:rsidRDefault="00224567">
      <w:r>
        <w:tab/>
        <w:t>En el ínterin, el magistrado solic</w:t>
      </w:r>
      <w:r>
        <w:t>i</w:t>
      </w:r>
      <w:r>
        <w:t xml:space="preserve">tó, el 27 de marzo de 1996, el listado y las fotografías de oficiales y suboficiales que prestaron servicios en </w:t>
      </w:r>
      <w:smartTag w:uri="urn:schemas-microsoft-com:office:smarttags" w:element="PersonName">
        <w:smartTagPr>
          <w:attr w:name="ProductID" w:val="la Brigada"/>
        </w:smartTagPr>
        <w:r>
          <w:t>la Brigada</w:t>
        </w:r>
      </w:smartTag>
      <w:r>
        <w:t xml:space="preserve"> de Investigaciones de Vicente López durante los años </w:t>
      </w:r>
      <w:smartTag w:uri="urn:schemas-microsoft-com:office:smarttags" w:element="metricconverter">
        <w:smartTagPr>
          <w:attr w:name="ProductID" w:val="1993 a"/>
        </w:smartTagPr>
        <w:r>
          <w:t>1993 a</w:t>
        </w:r>
      </w:smartTag>
      <w:r>
        <w:t xml:space="preserve"> 1995; el 6 de junio que se le informe el dom</w:t>
      </w:r>
      <w:r>
        <w:t>i</w:t>
      </w:r>
      <w:r>
        <w:t>cilio registrado por Leal, el 18 del mismo mes, dispuso intervenir su tel</w:t>
      </w:r>
      <w:r>
        <w:t>é</w:t>
      </w:r>
      <w:r>
        <w:t>fono celular y el</w:t>
      </w:r>
      <w:r>
        <w:rPr>
          <w:b/>
          <w:bCs/>
        </w:rPr>
        <w:t xml:space="preserve"> </w:t>
      </w:r>
      <w:r>
        <w:t>27 el de su casa, día en que encomendó tareas de inteligencia para determinar si tenía t</w:t>
      </w:r>
      <w:r>
        <w:t>e</w:t>
      </w:r>
      <w:r>
        <w:t>léfono en su domicilio (cfr. fs. 37.950, 38.401/2 y 38.572 del ppal. y fs. 7 y 18 del Legajo de Intervenci</w:t>
      </w:r>
      <w:r>
        <w:t>o</w:t>
      </w:r>
      <w:r>
        <w:t>nes Telefón</w:t>
      </w:r>
      <w:r>
        <w:t>i</w:t>
      </w:r>
      <w:r>
        <w:t>cas formado en la causa nº 1598).</w:t>
      </w:r>
    </w:p>
    <w:p w:rsidR="00224567" w:rsidRDefault="00224567">
      <w:r>
        <w:tab/>
      </w:r>
      <w:r>
        <w:tab/>
        <w:t>La aparente desidia del instru</w:t>
      </w:r>
      <w:r>
        <w:t>c</w:t>
      </w:r>
      <w:r>
        <w:t>tor en activar la pesquisa respecto de Leal, quien por entonces aparecía como el primer efectivo policial -integrante del grupo que habría despojado de la camioneta a Telleldín- que se había podido identificar, solo se explica en fu</w:t>
      </w:r>
      <w:r>
        <w:t>n</w:t>
      </w:r>
      <w:r>
        <w:t>ción del arqu</w:t>
      </w:r>
      <w:r>
        <w:t>i</w:t>
      </w:r>
      <w:r>
        <w:t>tectónico armado de la imputación contra los policías bonaerenses que se venía gestando en esa suerte de instru</w:t>
      </w:r>
      <w:r>
        <w:t>c</w:t>
      </w:r>
      <w:r>
        <w:t>ción paralela.</w:t>
      </w:r>
    </w:p>
    <w:p w:rsidR="00224567" w:rsidRDefault="00224567">
      <w:r>
        <w:tab/>
      </w:r>
      <w:r>
        <w:tab/>
        <w:t>Es más, su individualización por esos días, no presentaba dificultad alguna. El 5 de diciembre de 1995 Anastasio Ireneo Leal, conjuntamente con el patr</w:t>
      </w:r>
      <w:r>
        <w:t>o</w:t>
      </w:r>
      <w:r>
        <w:t>cinio del Dr. Roberto Oscar Pascual, presentó un escrito en el que manifestó lo siguiente: “I- Que como compruebo con copia de publicaciones en medios de prensa de circul</w:t>
      </w:r>
      <w:r>
        <w:t>a</w:t>
      </w:r>
      <w:r>
        <w:t>ción masiva y pública, he resultado mencionado como el</w:t>
      </w:r>
      <w:r>
        <w:t>e</w:t>
      </w:r>
      <w:r>
        <w:t>mento sospechado y/o relacionado con la presente invest</w:t>
      </w:r>
      <w:r>
        <w:t>i</w:t>
      </w:r>
      <w:r>
        <w:t>gación”.</w:t>
      </w:r>
    </w:p>
    <w:p w:rsidR="00224567" w:rsidRDefault="00224567">
      <w:r>
        <w:tab/>
        <w:t>“II- Que habiéndome puesto en todo m</w:t>
      </w:r>
      <w:r>
        <w:t>o</w:t>
      </w:r>
      <w:r>
        <w:t>mento a disposición de la justicia, no se ha requer</w:t>
      </w:r>
      <w:r>
        <w:t>i</w:t>
      </w:r>
      <w:r>
        <w:t>do de mi persona en carácter alguno relacionado con los hechos delictivos investigados”.</w:t>
      </w:r>
    </w:p>
    <w:p w:rsidR="00224567" w:rsidRDefault="00224567">
      <w:r>
        <w:tab/>
        <w:t xml:space="preserve">“III- Que como no escapara al elevado criterio de V.S. me desempeño como elemento de cuadro de la repartición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cia."/>
        </w:smartTagPr>
        <w:r>
          <w:t>la Pcia.</w:t>
        </w:r>
      </w:smartTag>
      <w:r>
        <w:t xml:space="preserve"> de Buenos Aires, con grado de Oficial Princ</w:t>
      </w:r>
      <w:r>
        <w:t>i</w:t>
      </w:r>
      <w:r>
        <w:t>pal, por lo que hechos públicos que fueron los el</w:t>
      </w:r>
      <w:r>
        <w:t>e</w:t>
      </w:r>
      <w:r>
        <w:t>mentos expuestos, tienen capacidad para ocasionarme un irreparable gravamen en cuanto a mi rel</w:t>
      </w:r>
      <w:r>
        <w:t>a</w:t>
      </w:r>
      <w:r>
        <w:t>ción con la fuerza y en cuanto al desarrollo de mi carrera dentro de la misma, sin contar con el grave mal que se h</w:t>
      </w:r>
      <w:r>
        <w:t>a</w:t>
      </w:r>
      <w:r>
        <w:t>ce a la fuerza misma”.</w:t>
      </w:r>
    </w:p>
    <w:p w:rsidR="00224567" w:rsidRDefault="00224567">
      <w:r>
        <w:tab/>
        <w:t>“Por tanto y considerándome graveme</w:t>
      </w:r>
      <w:r>
        <w:t>n</w:t>
      </w:r>
      <w:r>
        <w:t>te lesionado en mis derechos por la gravedad y ligereza de las acusaciones publicadas por los medios que refi</w:t>
      </w:r>
      <w:r>
        <w:t>e</w:t>
      </w:r>
      <w:r>
        <w:t>ro, y a los efectos de regularizar definitivamente mi situación dentro de la fuerza que represento, como así también eje</w:t>
      </w:r>
      <w:r>
        <w:t>r</w:t>
      </w:r>
      <w:r>
        <w:t>cer mis derechos por la vía pertinente en resarcimiento de los gravámenes que me fueron causados, ES QUE VENGO A I</w:t>
      </w:r>
      <w:r>
        <w:t>M</w:t>
      </w:r>
      <w:r>
        <w:t>PETRAR A V.S. SE EXPIDA CERTIFICADO DE MI SITUACIÓN PROC</w:t>
      </w:r>
      <w:r>
        <w:t>E</w:t>
      </w:r>
      <w:r>
        <w:t xml:space="preserve">SAL RESPECTO DE </w:t>
      </w:r>
      <w:smartTag w:uri="urn:schemas-microsoft-com:office:smarttags" w:element="PersonName">
        <w:smartTagPr>
          <w:attr w:name="ProductID" w:val="LA PRESENTE CAUSA"/>
        </w:smartTagPr>
        <w:r>
          <w:t>LA PRESENTE CAUSA</w:t>
        </w:r>
      </w:smartTag>
      <w:r>
        <w:t>, A CUYO FIN AUTORIZO A MI PATROCINANTE A SU RETIRO DE A</w:t>
      </w:r>
      <w:r>
        <w:t>U</w:t>
      </w:r>
      <w:r>
        <w:t>TOS”.</w:t>
      </w:r>
    </w:p>
    <w:p w:rsidR="00224567" w:rsidRDefault="00224567">
      <w:r>
        <w:tab/>
        <w:t>Adjuntó con la presentación ref</w:t>
      </w:r>
      <w:r>
        <w:t>e</w:t>
      </w:r>
      <w:r>
        <w:t xml:space="preserve">rida, la publicación de “Página </w:t>
      </w:r>
      <w:smartTag w:uri="urn:schemas-microsoft-com:office:smarttags" w:element="metricconverter">
        <w:smartTagPr>
          <w:attr w:name="ProductID" w:val="12”"/>
        </w:smartTagPr>
        <w:r>
          <w:t>12”</w:t>
        </w:r>
      </w:smartTag>
      <w:r>
        <w:t xml:space="preserve"> del 3 de noviembre ppdo. (cfr. fs. 20.994/20.997).</w:t>
      </w:r>
    </w:p>
    <w:p w:rsidR="00224567" w:rsidRDefault="00224567">
      <w:r>
        <w:tab/>
        <w:t>Dicha presentación fue agregada y pr</w:t>
      </w:r>
      <w:r>
        <w:t>o</w:t>
      </w:r>
      <w:r>
        <w:t>veída en los siguientes términos: “En cuanto a lo solic</w:t>
      </w:r>
      <w:r>
        <w:t>i</w:t>
      </w:r>
      <w:r>
        <w:t>tado en el escrito de mención, POR IMPROCEDENTE, NO HA L</w:t>
      </w:r>
      <w:r>
        <w:t>U</w:t>
      </w:r>
      <w:r>
        <w:t>GAR” (cfr. fs. 20.998).</w:t>
      </w:r>
    </w:p>
    <w:p w:rsidR="00224567" w:rsidRDefault="00224567">
      <w:r>
        <w:tab/>
        <w:t>Tan lacónica providencia reflejaba, además de su evidente arbitrariedad, por cuanto de</w:t>
      </w:r>
      <w:r>
        <w:t>s</w:t>
      </w:r>
      <w:r>
        <w:t>atendía sin razón el derecho que le otorgaba su indud</w:t>
      </w:r>
      <w:r>
        <w:t>a</w:t>
      </w:r>
      <w:r>
        <w:t>ble calidad de imputado en la causa (art. 72 del C.P.P.N), la oculta voluntad del magistrado de dilatar, hasta tanto se concl</w:t>
      </w:r>
      <w:r>
        <w:t>u</w:t>
      </w:r>
      <w:r>
        <w:t>ya aquella obra, cualquier medida respecto de quien, en ese momento, manifestaba su e</w:t>
      </w:r>
      <w:r>
        <w:t>x</w:t>
      </w:r>
      <w:r>
        <w:t>presa voluntad de someterse a la justicia en procura de aclarar su situación con rel</w:t>
      </w:r>
      <w:r>
        <w:t>a</w:t>
      </w:r>
      <w:r>
        <w:t>ción al atentado a la m</w:t>
      </w:r>
      <w:r>
        <w:t>u</w:t>
      </w:r>
      <w:r>
        <w:t>tual.</w:t>
      </w:r>
    </w:p>
    <w:p w:rsidR="00224567" w:rsidRDefault="00224567">
      <w:r>
        <w:tab/>
        <w:t>Por último, no puede soslayarse que el instructor, en aras de que nada altere el curso de la ca</w:t>
      </w:r>
      <w:r>
        <w:t>u</w:t>
      </w:r>
      <w:r>
        <w:t>sa “Brigadas”, incorporó tan clara presentación de Leal a la causa “A.M.I.A.”, escamoteándola de aquellas en las que, indudablemente, d</w:t>
      </w:r>
      <w:r>
        <w:t>e</w:t>
      </w:r>
      <w:r>
        <w:t>bía haberse glosado.</w:t>
      </w:r>
      <w:r>
        <w:tab/>
      </w:r>
    </w:p>
    <w:p w:rsidR="00224567" w:rsidRDefault="00224567">
      <w:pPr>
        <w:pStyle w:val="Ttulo4"/>
      </w:pPr>
      <w:r>
        <w:tab/>
        <w:t>K.2) Recepción de declaraciones test</w:t>
      </w:r>
      <w:r>
        <w:t>i</w:t>
      </w:r>
      <w:r>
        <w:t>moniales a quienes eran investigados por el delito de vi</w:t>
      </w:r>
      <w:r>
        <w:t>o</w:t>
      </w:r>
      <w:r>
        <w:t>lación a los deberes de funcionario público. Violación a la garantía que prohíbe la aut</w:t>
      </w:r>
      <w:r>
        <w:t>o</w:t>
      </w:r>
      <w:r>
        <w:t>incriminación forzada.</w:t>
      </w:r>
    </w:p>
    <w:p w:rsidR="00224567" w:rsidRDefault="00224567">
      <w:pPr>
        <w:tabs>
          <w:tab w:val="left" w:pos="2835"/>
        </w:tabs>
      </w:pPr>
      <w:r>
        <w:tab/>
        <w:t>La ilegal actuación del juez instru</w:t>
      </w:r>
      <w:r>
        <w:t>c</w:t>
      </w:r>
      <w:r>
        <w:t>tor también se puso de manifiesto al interrogarse testim</w:t>
      </w:r>
      <w:r>
        <w:t>o</w:t>
      </w:r>
      <w:r>
        <w:t xml:space="preserve">nialmente, en sede policial, a integrantes de </w:t>
      </w:r>
      <w:smartTag w:uri="urn:schemas-microsoft-com:office:smarttags" w:element="PersonName">
        <w:smartTagPr>
          <w:attr w:name="ProductID" w:val="la Brigada"/>
        </w:smartTagPr>
        <w:r>
          <w:t>la Brigada</w:t>
        </w:r>
      </w:smartTag>
      <w:r>
        <w:t xml:space="preserve"> de Investigaciones de Vicente López, en relación a los s</w:t>
      </w:r>
      <w:r>
        <w:t>u</w:t>
      </w:r>
      <w:r>
        <w:t>cesos ocurridos el 14 y 15 de julio de 1994, que Telleldín calificó como extors</w:t>
      </w:r>
      <w:r>
        <w:t>i</w:t>
      </w:r>
      <w:r>
        <w:t>vos.</w:t>
      </w:r>
    </w:p>
    <w:p w:rsidR="00224567" w:rsidRDefault="00224567">
      <w:pPr>
        <w:tabs>
          <w:tab w:val="left" w:pos="2835"/>
        </w:tabs>
      </w:pPr>
      <w:r>
        <w:tab/>
        <w:t>De este modo, se incorporaron a la causa datos obtenidos mediante declaraciones jurament</w:t>
      </w:r>
      <w:r>
        <w:t>a</w:t>
      </w:r>
      <w:r>
        <w:t>das de quienes estaban siendo investigados en orden al delito de violación de los deberes de funcionario p</w:t>
      </w:r>
      <w:r>
        <w:t>ú</w:t>
      </w:r>
      <w:r>
        <w:t>blico.</w:t>
      </w:r>
    </w:p>
    <w:p w:rsidR="00224567" w:rsidRDefault="00224567">
      <w:pPr>
        <w:tabs>
          <w:tab w:val="left" w:pos="2835"/>
        </w:tabs>
      </w:pPr>
      <w:r>
        <w:tab/>
        <w:t>En este sentido, cabe destacar la n</w:t>
      </w:r>
      <w:r>
        <w:t>o</w:t>
      </w:r>
      <w:r>
        <w:t xml:space="preserve">ta del 24 de julio de 1995 del Director de Sumarios de </w:t>
      </w:r>
      <w:smartTag w:uri="urn:schemas-microsoft-com:office:smarttags" w:element="PersonName">
        <w:smartTagPr>
          <w:attr w:name="ProductID" w:val="la Direcci￳n General"/>
        </w:smartTagPr>
        <w:r>
          <w:t>la D</w:t>
        </w:r>
        <w:r>
          <w:t>i</w:t>
        </w:r>
        <w:r>
          <w:t>rección General</w:t>
        </w:r>
      </w:smartTag>
      <w:r>
        <w:t xml:space="preserve"> de Asuntos Judiciales de </w:t>
      </w:r>
      <w:smartTag w:uri="urn:schemas-microsoft-com:office:smarttags" w:element="PersonName">
        <w:smartTagPr>
          <w:attr w:name="ProductID" w:val="la Polic￭a Bonaerense"/>
        </w:smartTagPr>
        <w:r>
          <w:t>la Policía Bona</w:t>
        </w:r>
        <w:r>
          <w:t>e</w:t>
        </w:r>
        <w:r>
          <w:t>rense</w:t>
        </w:r>
      </w:smartTag>
      <w:r>
        <w:t>, comisario mayor José Carlos Bretschneider, por la que dio cuenta del inicio de la instrucción sumarial, con intervención del juzgado instructor, a fin de profundizar la investigación que oportunamente tuviera principio de ejecución el 28 de junio de 1995, mediante la interve</w:t>
      </w:r>
      <w:r>
        <w:t>n</w:t>
      </w:r>
      <w:r>
        <w:t>ción del comisario mayor Ramón Oreste Verón, a los fines de i</w:t>
      </w:r>
      <w:r>
        <w:t>n</w:t>
      </w:r>
      <w:r>
        <w:t>dividualizar debidamente a aquellos funcionarios que t</w:t>
      </w:r>
      <w:r>
        <w:t>u</w:t>
      </w:r>
      <w:r>
        <w:t>vieron activa particip</w:t>
      </w:r>
      <w:r>
        <w:t>a</w:t>
      </w:r>
      <w:r>
        <w:t xml:space="preserve">ción en las extorsiones denunciadas por Telleldín en la publicación del 16 de ese mes en el diario “Página </w:t>
      </w:r>
      <w:smartTag w:uri="urn:schemas-microsoft-com:office:smarttags" w:element="metricconverter">
        <w:smartTagPr>
          <w:attr w:name="ProductID" w:val="12”"/>
        </w:smartTagPr>
        <w:r>
          <w:t>12”</w:t>
        </w:r>
      </w:smartTag>
      <w:r>
        <w:t>, en las que habrían participado las Brigadas de Lanús y Vicente López. Se agregó en la nota que “a prima facie, en el caso de establecerse su respo</w:t>
      </w:r>
      <w:r>
        <w:t>n</w:t>
      </w:r>
      <w:r>
        <w:t>sabilidad, result</w:t>
      </w:r>
      <w:r>
        <w:t>a</w:t>
      </w:r>
      <w:r>
        <w:t>rían incriminados en la figura delictiva prevista en el art. 248 del C. Penal (violación a los d</w:t>
      </w:r>
      <w:r>
        <w:t>e</w:t>
      </w:r>
      <w:r>
        <w:t>beres de funcionario público) al no ejecutar las leyes c</w:t>
      </w:r>
      <w:r>
        <w:t>u</w:t>
      </w:r>
      <w:r>
        <w:t>yo cumplimiento resultaran de su incumbe</w:t>
      </w:r>
      <w:r>
        <w:t>n</w:t>
      </w:r>
      <w:r>
        <w:t>cia”.</w:t>
      </w:r>
    </w:p>
    <w:p w:rsidR="00224567" w:rsidRDefault="00224567">
      <w:pPr>
        <w:tabs>
          <w:tab w:val="left" w:pos="2835"/>
        </w:tabs>
      </w:pPr>
      <w:r>
        <w:tab/>
        <w:t>Por otra parte, puso en conocimiento del juzgado instructor que “De modo correlativo se gen</w:t>
      </w:r>
      <w:r>
        <w:t>e</w:t>
      </w:r>
      <w:r>
        <w:t>ran, asimismo, las correspondientes actuaciones admini</w:t>
      </w:r>
      <w:r>
        <w:t>s</w:t>
      </w:r>
      <w:r>
        <w:t>trativas ...” (cfr. fs. 14.025).</w:t>
      </w:r>
    </w:p>
    <w:p w:rsidR="00224567" w:rsidRDefault="00224567">
      <w:pPr>
        <w:tabs>
          <w:tab w:val="left" w:pos="2835"/>
        </w:tabs>
      </w:pPr>
      <w:r>
        <w:tab/>
        <w:t>Al día siguiente, el Director de Sum</w:t>
      </w:r>
      <w:r>
        <w:t>a</w:t>
      </w:r>
      <w:r>
        <w:t>rios se constituyó en la sede del juzgado instructor “en horas de la mañana ... a los fines de hacer entrega del correspondiente preventivo y mantener la consiguiente e</w:t>
      </w:r>
      <w:r>
        <w:t>n</w:t>
      </w:r>
      <w:r>
        <w:t>trevista de consulta con S.S...”. Ante su ausencia, fue atendido por el secretario Carlos A. Velasco, “quien i</w:t>
      </w:r>
      <w:r>
        <w:t>n</w:t>
      </w:r>
      <w:r>
        <w:t>teriorizado debidamente de las actuaciones iniciadas, puso de manifiesto la imposibilidad inmediata de poder autor</w:t>
      </w:r>
      <w:r>
        <w:t>i</w:t>
      </w:r>
      <w:r>
        <w:t>zar a esta instrucción, en recibir al personal supuest</w:t>
      </w:r>
      <w:r>
        <w:t>a</w:t>
      </w:r>
      <w:r>
        <w:t>mente involucrado, correspondiente declaración testim</w:t>
      </w:r>
      <w:r>
        <w:t>o</w:t>
      </w:r>
      <w:r>
        <w:t>nial, en orden al artículo 249 del C</w:t>
      </w:r>
      <w:r>
        <w:t>ó</w:t>
      </w:r>
      <w:r>
        <w:t xml:space="preserve">digo de Procedimiento en lo Penal de </w:t>
      </w:r>
      <w:smartTag w:uri="urn:schemas-microsoft-com:office:smarttags" w:element="PersonName">
        <w:smartTagPr>
          <w:attr w:name="ProductID" w:val="la Naci￳n"/>
        </w:smartTagPr>
        <w:r>
          <w:t>la Nación</w:t>
        </w:r>
      </w:smartTag>
      <w:r>
        <w:t>, pero resaltando, no obstante, que efectuaría la correspondiente consulta al juez de la causa y de ello comunic</w:t>
      </w:r>
      <w:r>
        <w:t>a</w:t>
      </w:r>
      <w:r>
        <w:t>ría sus resultados al suscripto en forma telefón</w:t>
      </w:r>
      <w:r>
        <w:t>i</w:t>
      </w:r>
      <w:r>
        <w:t>ca”.</w:t>
      </w:r>
    </w:p>
    <w:p w:rsidR="00224567" w:rsidRDefault="00224567">
      <w:pPr>
        <w:tabs>
          <w:tab w:val="left" w:pos="2835"/>
        </w:tabs>
      </w:pPr>
      <w:r>
        <w:tab/>
        <w:t>Ante ello, Bretschneider resolvió “mantener estos actuados en carpeta a la espera de la r</w:t>
      </w:r>
      <w:r>
        <w:t>e</w:t>
      </w:r>
      <w:r>
        <w:t>solución judicial y actuar directamente en el aspecto a</w:t>
      </w:r>
      <w:r>
        <w:t>d</w:t>
      </w:r>
      <w:r>
        <w:t>ministrativo...” (cfr. fs. 37.184) y en la misma fecha d</w:t>
      </w:r>
      <w:r>
        <w:t>e</w:t>
      </w:r>
      <w:r>
        <w:t>jó constancia que, “habiendo recibido el Suscripto, siendo las 21,30 ... correspondiente comunicación tel</w:t>
      </w:r>
      <w:r>
        <w:t>e</w:t>
      </w:r>
      <w:r>
        <w:t>fónica ... por parte del Secretario del Juzgado de inte</w:t>
      </w:r>
      <w:r>
        <w:t>r</w:t>
      </w:r>
      <w:r>
        <w:t>vención –DR. CA</w:t>
      </w:r>
      <w:r>
        <w:t>R</w:t>
      </w:r>
      <w:r>
        <w:t>LOS A. VELASCO- mediante la cual, ponía en conocimiento de esta instrucción que como resultado de la correspo</w:t>
      </w:r>
      <w:r>
        <w:t>n</w:t>
      </w:r>
      <w:r>
        <w:t>diente consulta que efectuara durante el tran</w:t>
      </w:r>
      <w:r>
        <w:t>s</w:t>
      </w:r>
      <w:r>
        <w:t>curso de la presente jornada con el señor juez de la causa –DR. JUAN JOSÉ GALEANO- en torno a las particularidades que se e</w:t>
      </w:r>
      <w:r>
        <w:t>n</w:t>
      </w:r>
      <w:r>
        <w:t>cuentran co</w:t>
      </w:r>
      <w:r>
        <w:t>n</w:t>
      </w:r>
      <w:r>
        <w:t>tenidas en el decreto obrante a fojas (84) de lo cual se desprende la correspondiente directiva y aut</w:t>
      </w:r>
      <w:r>
        <w:t>o</w:t>
      </w:r>
      <w:r>
        <w:t>rización extendida a ésta instrucción para formalizar la recepción de declaraciones testimoniales al personal pol</w:t>
      </w:r>
      <w:r>
        <w:t>i</w:t>
      </w:r>
      <w:r>
        <w:t>cial sujeto a investigación, dentro de las formalidades establecidas en el artículo 249 del Código de Procedimie</w:t>
      </w:r>
      <w:r>
        <w:t>n</w:t>
      </w:r>
      <w:r>
        <w:t xml:space="preserve">to en lo Penal de </w:t>
      </w:r>
      <w:smartTag w:uri="urn:schemas-microsoft-com:office:smarttags" w:element="PersonName">
        <w:smartTagPr>
          <w:attr w:name="ProductID" w:val="la Naci￳n"/>
        </w:smartTagPr>
        <w:r>
          <w:t>la Nación</w:t>
        </w:r>
      </w:smartTag>
      <w:r>
        <w:t xml:space="preserve"> y el diligenciamiento de lo que se actúe en la esfera penal con intervención de ese fuero”.</w:t>
      </w:r>
    </w:p>
    <w:p w:rsidR="00224567" w:rsidRDefault="00224567">
      <w:pPr>
        <w:tabs>
          <w:tab w:val="left" w:pos="2835"/>
        </w:tabs>
      </w:pPr>
      <w:r>
        <w:tab/>
        <w:t>En base a ello, resolvió suspe</w:t>
      </w:r>
      <w:r>
        <w:t>n</w:t>
      </w:r>
      <w:r>
        <w:t>der la recepción de las declaraciones de carácter testimonial a</w:t>
      </w:r>
      <w:r>
        <w:t>d</w:t>
      </w:r>
      <w:r>
        <w:t>ministrativo que habían sido program</w:t>
      </w:r>
      <w:r>
        <w:t>a</w:t>
      </w:r>
      <w:r>
        <w:t>das respecto de Jorge Horacio Rago y Anastasio Ireneo Leal y priorizar sus pe</w:t>
      </w:r>
      <w:r>
        <w:t>r</w:t>
      </w:r>
      <w:r>
        <w:t>tinentes declaraciones dentro de la esfera penal (cfr. 37.185).</w:t>
      </w:r>
    </w:p>
    <w:p w:rsidR="00224567" w:rsidRDefault="00224567">
      <w:pPr>
        <w:tabs>
          <w:tab w:val="left" w:pos="2835"/>
        </w:tabs>
      </w:pPr>
      <w:r>
        <w:tab/>
        <w:t>En oportunidad de recibirse el sum</w:t>
      </w:r>
      <w:r>
        <w:t>a</w:t>
      </w:r>
      <w:r>
        <w:t>rio en la sede del juzgado instructor nada manifestaron sus funcionarios en orden al contenido del auto de fs. 37.185, suscripto por el comisario mayor Bretschne</w:t>
      </w:r>
      <w:r>
        <w:t>i</w:t>
      </w:r>
      <w:r>
        <w:t>der.</w:t>
      </w:r>
    </w:p>
    <w:p w:rsidR="00224567" w:rsidRDefault="00224567">
      <w:pPr>
        <w:tabs>
          <w:tab w:val="left" w:pos="2835"/>
        </w:tabs>
      </w:pPr>
      <w:r>
        <w:tab/>
        <w:t>En sede policial prestaron declar</w:t>
      </w:r>
      <w:r>
        <w:t>a</w:t>
      </w:r>
      <w:r>
        <w:t>ción testimonial Enrique Carlos Forgione, Jorge Horacio Rago, Anastasio Ireneo Leal, Manuel Enrique García y Argentino Gabriel Lasala por los sucesos arriba enu</w:t>
      </w:r>
      <w:r>
        <w:t>n</w:t>
      </w:r>
      <w:r>
        <w:t>ciados (cfr. fs. 37.186/7, 37.188/9, 37.193/4, 37.196/7 y 37.198/9).</w:t>
      </w:r>
    </w:p>
    <w:p w:rsidR="00224567" w:rsidRDefault="00224567">
      <w:pPr>
        <w:tabs>
          <w:tab w:val="left" w:pos="2835"/>
        </w:tabs>
        <w:ind w:firstLine="708"/>
      </w:pPr>
      <w:r>
        <w:tab/>
        <w:t>Además, para la época, Telleldín había denunciado en sus indagatorias del 6 y 7 de ago</w:t>
      </w:r>
      <w:r>
        <w:t>s</w:t>
      </w:r>
      <w:r>
        <w:t>to y 29 de diciembre de 1994, la supuesta extorsión cometida por i</w:t>
      </w:r>
      <w:r>
        <w:t>n</w:t>
      </w:r>
      <w:r>
        <w:t xml:space="preserve">tegrantes de esa dependencia, como así también se refirió a tal suceso en una nota periodística, publicada en el diario “Página </w:t>
      </w:r>
      <w:smartTag w:uri="urn:schemas-microsoft-com:office:smarttags" w:element="metricconverter">
        <w:smartTagPr>
          <w:attr w:name="ProductID" w:val="12”"/>
        </w:smartTagPr>
        <w:r>
          <w:t>12”</w:t>
        </w:r>
      </w:smartTag>
      <w:r>
        <w:t xml:space="preserve"> del 16 de julio de 1995.</w:t>
      </w:r>
    </w:p>
    <w:p w:rsidR="00224567" w:rsidRDefault="00224567">
      <w:pPr>
        <w:tabs>
          <w:tab w:val="left" w:pos="2835"/>
        </w:tabs>
      </w:pPr>
      <w:r>
        <w:tab/>
        <w:t xml:space="preserve">También se agregó a la causa, el 15 de febrero de 1995, un informe que indicaba que Hugo Antonio Pérez fue detenido el 15 de julio de 1994 por </w:t>
      </w:r>
      <w:smartTag w:uri="urn:schemas-microsoft-com:office:smarttags" w:element="PersonName">
        <w:smartTagPr>
          <w:attr w:name="ProductID" w:val="la Brigada"/>
        </w:smartTagPr>
        <w:r>
          <w:t>la Brigada</w:t>
        </w:r>
      </w:smartTag>
      <w:r>
        <w:t xml:space="preserve"> de Vicente López, en averiguación de antecedentes, corr</w:t>
      </w:r>
      <w:r>
        <w:t>o</w:t>
      </w:r>
      <w:r>
        <w:t>borando con ello uno de los datos aport</w:t>
      </w:r>
      <w:r>
        <w:t>a</w:t>
      </w:r>
      <w:r>
        <w:t>dos por Telleldín en sus d</w:t>
      </w:r>
      <w:r>
        <w:t>e</w:t>
      </w:r>
      <w:r>
        <w:t>nuncias (cfr. fs. 9.108/9).</w:t>
      </w:r>
    </w:p>
    <w:p w:rsidR="00224567" w:rsidRDefault="00224567">
      <w:pPr>
        <w:tabs>
          <w:tab w:val="left" w:pos="2835"/>
        </w:tabs>
      </w:pPr>
      <w:r>
        <w:tab/>
        <w:t>Así, Rago prestó declaración testim</w:t>
      </w:r>
      <w:r>
        <w:t>o</w:t>
      </w:r>
      <w:r>
        <w:t xml:space="preserve">nial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Direcci￳n General"/>
        </w:smartTagPr>
        <w:r>
          <w:t>la Dirección General</w:t>
        </w:r>
      </w:smartTag>
      <w:r>
        <w:t xml:space="preserve"> de Asuntos Judiciales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el 25 de j</w:t>
      </w:r>
      <w:r>
        <w:t>u</w:t>
      </w:r>
      <w:r>
        <w:t>lio de 1995, oportunidad en la que se refirió a las tareas de i</w:t>
      </w:r>
      <w:r>
        <w:t>n</w:t>
      </w:r>
      <w:r>
        <w:t xml:space="preserve">teligencia y el procedimiento realizado en julio de 1994 por </w:t>
      </w:r>
      <w:smartTag w:uri="urn:schemas-microsoft-com:office:smarttags" w:element="PersonName">
        <w:smartTagPr>
          <w:attr w:name="ProductID" w:val="la Brigada"/>
        </w:smartTagPr>
        <w:r>
          <w:t>la Brigada</w:t>
        </w:r>
      </w:smartTag>
      <w:r>
        <w:t xml:space="preserve"> de Investigaci</w:t>
      </w:r>
      <w:r>
        <w:t>o</w:t>
      </w:r>
      <w:r>
        <w:t>nes de Vicente López, a la huida de Telleldín y la post</w:t>
      </w:r>
      <w:r>
        <w:t>e</w:t>
      </w:r>
      <w:r>
        <w:t>rior detención de Hugo Antonio Pérez; también fue pregu</w:t>
      </w:r>
      <w:r>
        <w:t>n</w:t>
      </w:r>
      <w:r>
        <w:t>tado por la existencia de una camioneta Renault Trafic vinculada a esa investig</w:t>
      </w:r>
      <w:r>
        <w:t>a</w:t>
      </w:r>
      <w:r>
        <w:t>ción.</w:t>
      </w:r>
    </w:p>
    <w:p w:rsidR="00224567" w:rsidRDefault="00224567">
      <w:pPr>
        <w:tabs>
          <w:tab w:val="left" w:pos="2835"/>
        </w:tabs>
      </w:pPr>
      <w:r>
        <w:tab/>
        <w:t>Por su parte, Anastasio Ireneo Leal declaró al día siguiente, en la dependencia de mención y efectúo un pormenorizado relato del procedimiento en cue</w:t>
      </w:r>
      <w:r>
        <w:t>s</w:t>
      </w:r>
      <w:r>
        <w:t>tión, detallando el nombre de los policías que particip</w:t>
      </w:r>
      <w:r>
        <w:t>a</w:t>
      </w:r>
      <w:r>
        <w:t>ron del procedimiento y los vehículos que se utilizaron. Relató, además, la persecución y fuga de Telleldín y la posterior dete</w:t>
      </w:r>
      <w:r>
        <w:t>n</w:t>
      </w:r>
      <w:r>
        <w:t>ción de Hugo Antonio Pérez por averiguación de antecede</w:t>
      </w:r>
      <w:r>
        <w:t>n</w:t>
      </w:r>
      <w:r>
        <w:t>tes.</w:t>
      </w:r>
    </w:p>
    <w:p w:rsidR="00224567" w:rsidRDefault="00224567">
      <w:pPr>
        <w:tabs>
          <w:tab w:val="left" w:pos="2835"/>
        </w:tabs>
      </w:pPr>
      <w:r>
        <w:tab/>
        <w:t>El objetivo de que Leal aportase el</w:t>
      </w:r>
      <w:r>
        <w:t>e</w:t>
      </w:r>
      <w:r>
        <w:t>mentos de cargo en su contra no se agotó en la primer te</w:t>
      </w:r>
      <w:r>
        <w:t>s</w:t>
      </w:r>
      <w:r>
        <w:t>tim</w:t>
      </w:r>
      <w:r>
        <w:t>o</w:t>
      </w:r>
      <w:r>
        <w:t>nial.</w:t>
      </w:r>
    </w:p>
    <w:p w:rsidR="00224567" w:rsidRDefault="00224567">
      <w:pPr>
        <w:tabs>
          <w:tab w:val="left" w:pos="2835"/>
        </w:tabs>
      </w:pPr>
      <w:r>
        <w:tab/>
        <w:t>Así, de la nota del 18 de septiembre de 1995 de la dirección policial referida, surge que “En conjunción con lo oportunamente recomendado por el Sr. C</w:t>
      </w:r>
      <w:r>
        <w:t>o</w:t>
      </w:r>
      <w:r>
        <w:t>mis</w:t>
      </w:r>
      <w:r>
        <w:t>a</w:t>
      </w:r>
      <w:r>
        <w:t>rio Mayor Ramón O. Verón, tal cual a su vez, le fuera hecho extensible por parte del Juzgado de i</w:t>
      </w:r>
      <w:r>
        <w:t>n</w:t>
      </w:r>
      <w:r>
        <w:t>tervención, en ocasión en que mantuviera entrevista con S.S. de lo cual se desprende la necesidad de hacer comparecer nuevamente al ... Oficial Principal Anastasio Ireneo Leal, a los f</w:t>
      </w:r>
      <w:r>
        <w:t>i</w:t>
      </w:r>
      <w:r>
        <w:t>nes de que aporten las consabidas precisiones, re</w:t>
      </w:r>
      <w:r>
        <w:t>s</w:t>
      </w:r>
      <w:r>
        <w:t>pecto de los vehículos que participaran en cada uno de los proced</w:t>
      </w:r>
      <w:r>
        <w:t>i</w:t>
      </w:r>
      <w:r>
        <w:t>mientos, que los tuvieran como partícipes, en los hechos investig</w:t>
      </w:r>
      <w:r>
        <w:t>a</w:t>
      </w:r>
      <w:r>
        <w:t>dos ...” (cfr. fs. 37.349).</w:t>
      </w:r>
    </w:p>
    <w:p w:rsidR="00224567" w:rsidRDefault="00224567">
      <w:pPr>
        <w:tabs>
          <w:tab w:val="left" w:pos="2835"/>
        </w:tabs>
      </w:pPr>
      <w:r>
        <w:tab/>
        <w:t>De tal modo</w:t>
      </w:r>
      <w:r>
        <w:rPr>
          <w:b/>
          <w:bCs/>
        </w:rPr>
        <w:t xml:space="preserve">, </w:t>
      </w:r>
      <w:r>
        <w:t>Leal prestó nuevamente declaración testimonial en sede policial en las actuaci</w:t>
      </w:r>
      <w:r>
        <w:t>o</w:t>
      </w:r>
      <w:r>
        <w:t>nes crimin</w:t>
      </w:r>
      <w:r>
        <w:t>a</w:t>
      </w:r>
      <w:r>
        <w:t>les, el 20 de septiembre de 1995, ocasión en la que se le preguntó específicamente por los vehículos que habían intervenido en el procedimiento, admitiendo haber concurr</w:t>
      </w:r>
      <w:r>
        <w:t>i</w:t>
      </w:r>
      <w:r>
        <w:t>do al lugar en un Ford Galaxy azul de su propiedad (cfr. fs. 37.349 y 37.359).</w:t>
      </w:r>
    </w:p>
    <w:p w:rsidR="00224567" w:rsidRDefault="00224567">
      <w:pPr>
        <w:tabs>
          <w:tab w:val="left" w:pos="2835"/>
        </w:tabs>
      </w:pPr>
      <w:r>
        <w:tab/>
        <w:t>Fácil resulta advertir que la dec</w:t>
      </w:r>
      <w:r>
        <w:t>i</w:t>
      </w:r>
      <w:r>
        <w:t>sión de escuchar testimonialmente a Rago y a Leal violó la g</w:t>
      </w:r>
      <w:r>
        <w:t>a</w:t>
      </w:r>
      <w:r>
        <w:t>rantía que prohíbe la autoincriminación forzada, toda vez que se escuchó bajo juramento a sujetos sobre quienes p</w:t>
      </w:r>
      <w:r>
        <w:t>e</w:t>
      </w:r>
      <w:r>
        <w:t>saba una imputación relacionada con los hechos acerca de los cuales eran interrogados. Es preciso reiterar que, nuevamente, se advierte una palmaria afectación a la g</w:t>
      </w:r>
      <w:r>
        <w:t>a</w:t>
      </w:r>
      <w:r>
        <w:t>rantía de declarar contra sí mismo, dado que con esta m</w:t>
      </w:r>
      <w:r>
        <w:t>e</w:t>
      </w:r>
      <w:r>
        <w:t>dida, el magistrado instructor, obligó a que Leal bri</w:t>
      </w:r>
      <w:r>
        <w:t>n</w:t>
      </w:r>
      <w:r>
        <w:t>dara un elemento de cargo en una declaración testimonial.</w:t>
      </w:r>
    </w:p>
    <w:p w:rsidR="00224567" w:rsidRDefault="00224567">
      <w:pPr>
        <w:tabs>
          <w:tab w:val="left" w:pos="2835"/>
        </w:tabs>
      </w:pPr>
      <w:r>
        <w:tab/>
        <w:t>El juez no podía desconocer el cará</w:t>
      </w:r>
      <w:r>
        <w:t>c</w:t>
      </w:r>
      <w:r>
        <w:t xml:space="preserve">ter incriminante del interrogatorio que ordenó efectuar a Leal. Carlos Telleldín, en su indagatoria del 6 de agosto de 1994, ya había referido que los policías de </w:t>
      </w:r>
      <w:smartTag w:uri="urn:schemas-microsoft-com:office:smarttags" w:element="PersonName">
        <w:smartTagPr>
          <w:attr w:name="ProductID" w:val="la Brigada"/>
        </w:smartTagPr>
        <w:r>
          <w:t>la Brigada</w:t>
        </w:r>
      </w:smartTag>
      <w:r>
        <w:t xml:space="preserve"> de Vicente López que lo persiguieron y apremiaron a Hugo Antonio Pérez se desplazaban en un Ford Galaxy azul. Ad</w:t>
      </w:r>
      <w:r>
        <w:t>e</w:t>
      </w:r>
      <w:r>
        <w:t>más de esta actuación, Galeano dejó asentado en la con</w:t>
      </w:r>
      <w:r>
        <w:t>s</w:t>
      </w:r>
      <w:r>
        <w:t>tancia del 5 de septiembre de 1995, que Telleldín r</w:t>
      </w:r>
      <w:r>
        <w:t>e</w:t>
      </w:r>
      <w:r>
        <w:t xml:space="preserve">firió a </w:t>
      </w:r>
      <w:smartTag w:uri="urn:schemas-microsoft-com:office:smarttags" w:element="PersonName">
        <w:smartTagPr>
          <w:attr w:name="ProductID" w:val="la Dra. Riva"/>
        </w:smartTagPr>
        <w:r>
          <w:t>la Dra. Riva</w:t>
        </w:r>
      </w:smartTag>
      <w:r>
        <w:t xml:space="preserve"> Aramayo que Ramón Martínez estuvo acompañ</w:t>
      </w:r>
      <w:r>
        <w:t>a</w:t>
      </w:r>
      <w:r>
        <w:t xml:space="preserve">do de un oficial de </w:t>
      </w:r>
      <w:smartTag w:uri="urn:schemas-microsoft-com:office:smarttags" w:element="PersonName">
        <w:smartTagPr>
          <w:attr w:name="ProductID" w:val="la Brigada"/>
        </w:smartTagPr>
        <w:r>
          <w:t>la Brigada</w:t>
        </w:r>
      </w:smartTag>
      <w:r>
        <w:t xml:space="preserve"> de Vicente López a quien le decían “Pino” y que era propietario de un Ford Galaxy azul.</w:t>
      </w:r>
    </w:p>
    <w:p w:rsidR="00224567" w:rsidRDefault="00224567">
      <w:pPr>
        <w:tabs>
          <w:tab w:val="left" w:pos="2835"/>
        </w:tabs>
      </w:pPr>
      <w:r>
        <w:tab/>
        <w:t>Nótese la gravedad del caso, ya que no solo se le preguntaba por un dato que podía incriminarlo en una extorsión sino que esa información se podía util</w:t>
      </w:r>
      <w:r>
        <w:t>i</w:t>
      </w:r>
      <w:r>
        <w:t>zar como elemento de cargo para imputarle, como luego oc</w:t>
      </w:r>
      <w:r>
        <w:t>u</w:t>
      </w:r>
      <w:r>
        <w:t xml:space="preserve">rrió, el atentado a la sede de </w:t>
      </w:r>
      <w:smartTag w:uri="urn:schemas-microsoft-com:office:smarttags" w:element="PersonName">
        <w:smartTagPr>
          <w:attr w:name="ProductID" w:val="la A.M"/>
        </w:smartTagPr>
        <w:r>
          <w:t>la A.M</w:t>
        </w:r>
      </w:smartTag>
      <w:r>
        <w:t>.I.A.</w:t>
      </w:r>
    </w:p>
    <w:p w:rsidR="00224567" w:rsidRDefault="00224567">
      <w:pPr>
        <w:tabs>
          <w:tab w:val="left" w:pos="2835"/>
        </w:tabs>
      </w:pPr>
    </w:p>
    <w:p w:rsidR="00224567" w:rsidRDefault="00224567">
      <w:pPr>
        <w:pStyle w:val="Ttulo3"/>
      </w:pPr>
      <w:r>
        <w:t>L) El invento del desvío Solari. Su empleo como prueba de cargo.</w:t>
      </w:r>
    </w:p>
    <w:p w:rsidR="00224567" w:rsidRDefault="00224567">
      <w:r>
        <w:rPr>
          <w:lang w:val="es-ES_tradnl"/>
        </w:rPr>
        <w:tab/>
      </w:r>
      <w:r>
        <w:rPr>
          <w:b/>
          <w:bCs/>
          <w:lang w:val="es-ES_tradnl"/>
        </w:rPr>
        <w:t>L.1)</w:t>
      </w:r>
      <w:r>
        <w:rPr>
          <w:lang w:val="es-ES_tradnl"/>
        </w:rPr>
        <w:t xml:space="preserve"> A juicio del tribunal, se encue</w:t>
      </w:r>
      <w:r>
        <w:rPr>
          <w:lang w:val="es-ES_tradnl"/>
        </w:rPr>
        <w:t>n</w:t>
      </w:r>
      <w:r>
        <w:rPr>
          <w:lang w:val="es-ES_tradnl"/>
        </w:rPr>
        <w:t>tra plenamente acreditado que</w:t>
      </w:r>
      <w:r>
        <w:t xml:space="preserve"> las declaraci</w:t>
      </w:r>
      <w:r>
        <w:t>o</w:t>
      </w:r>
      <w:r>
        <w:t>nes de Solari fueron utilizadas arbitrariamente por el magistrado in</w:t>
      </w:r>
      <w:r>
        <w:t>s</w:t>
      </w:r>
      <w:r>
        <w:t>tructor para fundar el supuesto desvío y, de tal modo, idear una prueba de cargo c</w:t>
      </w:r>
      <w:r>
        <w:t>o</w:t>
      </w:r>
      <w:r>
        <w:t>ntra los policías bonaerenses en relación al atent</w:t>
      </w:r>
      <w:r>
        <w:t>a</w:t>
      </w:r>
      <w:r>
        <w:t>do.</w:t>
      </w:r>
    </w:p>
    <w:p w:rsidR="00224567" w:rsidRDefault="00224567">
      <w:pPr>
        <w:widowControl w:val="0"/>
        <w:tabs>
          <w:tab w:val="left" w:pos="2835"/>
        </w:tabs>
        <w:ind w:firstLine="2880"/>
      </w:pPr>
      <w:r>
        <w:t>Solari construyó su versión de los h</w:t>
      </w:r>
      <w:r>
        <w:t>e</w:t>
      </w:r>
      <w:r>
        <w:t>chos mediante numerosas declaraciones espontáneas rend</w:t>
      </w:r>
      <w:r>
        <w:t>i</w:t>
      </w:r>
      <w:r>
        <w:t>das en el juzgado instructor entre el 20 de enero y el 20 de marzo de 1995.</w:t>
      </w:r>
    </w:p>
    <w:p w:rsidR="00224567" w:rsidRDefault="00224567">
      <w:pPr>
        <w:widowControl w:val="0"/>
        <w:tabs>
          <w:tab w:val="left" w:pos="2835"/>
        </w:tabs>
        <w:ind w:firstLine="2880"/>
        <w:rPr>
          <w:lang w:val="es-AR"/>
        </w:rPr>
      </w:pPr>
      <w:r>
        <w:rPr>
          <w:lang w:val="es-AR"/>
        </w:rPr>
        <w:t>A raíz de ellas se dispusieron med</w:t>
      </w:r>
      <w:r>
        <w:rPr>
          <w:lang w:val="es-AR"/>
        </w:rPr>
        <w:t>i</w:t>
      </w:r>
      <w:r>
        <w:rPr>
          <w:lang w:val="es-AR"/>
        </w:rPr>
        <w:t>das de investigación hasta el 31 de agosto de 1995, fecha en la que ya se había determinado que Solari mintió en esa sede sobre los hechos que decía conocer.</w:t>
      </w:r>
    </w:p>
    <w:p w:rsidR="00224567" w:rsidRDefault="00224567">
      <w:pPr>
        <w:pStyle w:val="Sangra3detindependiente"/>
        <w:widowControl w:val="0"/>
        <w:tabs>
          <w:tab w:val="left" w:pos="2835"/>
        </w:tabs>
        <w:spacing w:line="600" w:lineRule="auto"/>
        <w:ind w:firstLine="2880"/>
        <w:rPr>
          <w:lang w:val="es-AR"/>
        </w:rPr>
      </w:pPr>
      <w:r>
        <w:rPr>
          <w:lang w:val="es-AR"/>
        </w:rPr>
        <w:t>En tal sentido, cabe citar el info</w:t>
      </w:r>
      <w:r>
        <w:rPr>
          <w:lang w:val="es-AR"/>
        </w:rPr>
        <w:t>r</w:t>
      </w:r>
      <w:r>
        <w:rPr>
          <w:lang w:val="es-AR"/>
        </w:rPr>
        <w:t xml:space="preserve">me producido por </w:t>
      </w:r>
      <w:smartTag w:uri="urn:schemas-microsoft-com:office:smarttags" w:element="PersonName">
        <w:smartTagPr>
          <w:attr w:name="ProductID" w:val="la Secretar￭a"/>
        </w:smartTagPr>
        <w:r>
          <w:rPr>
            <w:lang w:val="es-AR"/>
          </w:rPr>
          <w:t>la Secretaría</w:t>
        </w:r>
      </w:smartTag>
      <w:r>
        <w:rPr>
          <w:lang w:val="es-AR"/>
        </w:rPr>
        <w:t xml:space="preserve"> de Inteligencia, del 29 de j</w:t>
      </w:r>
      <w:r>
        <w:rPr>
          <w:lang w:val="es-AR"/>
        </w:rPr>
        <w:t>u</w:t>
      </w:r>
      <w:r>
        <w:rPr>
          <w:lang w:val="es-AR"/>
        </w:rPr>
        <w:t>nio, en el que se señaló la falsedad o inexactitud de v</w:t>
      </w:r>
      <w:r>
        <w:rPr>
          <w:lang w:val="es-AR"/>
        </w:rPr>
        <w:t>a</w:t>
      </w:r>
      <w:r>
        <w:rPr>
          <w:lang w:val="es-AR"/>
        </w:rPr>
        <w:t>rios de los datos aportados por Solari (cfr. fs. 74.646/74.651).</w:t>
      </w:r>
    </w:p>
    <w:p w:rsidR="00224567" w:rsidRDefault="00224567">
      <w:pPr>
        <w:widowControl w:val="0"/>
        <w:tabs>
          <w:tab w:val="left" w:pos="2835"/>
        </w:tabs>
        <w:ind w:firstLine="2880"/>
      </w:pPr>
      <w:r>
        <w:t>También debe destacarse el testim</w:t>
      </w:r>
      <w:r>
        <w:t>o</w:t>
      </w:r>
      <w:r>
        <w:t>nio rendido en la audiencia de debate por Claudio Adrián Lifschitz, quien sostuvo que cuando se produjo el careo entre Solari y Erik Deprez, se pudo advertir claramente que el primero mentía.</w:t>
      </w:r>
    </w:p>
    <w:p w:rsidR="00224567" w:rsidRDefault="00224567">
      <w:pPr>
        <w:widowControl w:val="0"/>
        <w:tabs>
          <w:tab w:val="left" w:pos="2835"/>
        </w:tabs>
        <w:ind w:firstLine="2880"/>
      </w:pPr>
      <w:r>
        <w:t>Por último, la propia inactividad del juzgado instructor en relación a los dichos de Solari, prueba plenamente la poca credibilidad que gozaron sus m</w:t>
      </w:r>
      <w:r>
        <w:t>a</w:t>
      </w:r>
      <w:r>
        <w:t>nifestaciones para esa época.</w:t>
      </w:r>
    </w:p>
    <w:p w:rsidR="00224567" w:rsidRDefault="00224567">
      <w:pPr>
        <w:widowControl w:val="0"/>
        <w:tabs>
          <w:tab w:val="left" w:pos="2835"/>
        </w:tabs>
        <w:ind w:firstLine="2880"/>
        <w:rPr>
          <w:lang w:val="es-ES_tradnl"/>
        </w:rPr>
      </w:pPr>
      <w:r>
        <w:rPr>
          <w:lang w:val="es-ES_tradnl"/>
        </w:rPr>
        <w:t>Si bien en el legajo donde se agreg</w:t>
      </w:r>
      <w:r>
        <w:rPr>
          <w:lang w:val="es-ES_tradnl"/>
        </w:rPr>
        <w:t>a</w:t>
      </w:r>
      <w:r>
        <w:rPr>
          <w:lang w:val="es-ES_tradnl"/>
        </w:rPr>
        <w:t>ron las declaraciones comentadas no se dispuso medida a</w:t>
      </w:r>
      <w:r>
        <w:rPr>
          <w:lang w:val="es-ES_tradnl"/>
        </w:rPr>
        <w:t>l</w:t>
      </w:r>
      <w:r>
        <w:rPr>
          <w:lang w:val="es-ES_tradnl"/>
        </w:rPr>
        <w:t>guna entre el 31 de agosto de 1995 y el d</w:t>
      </w:r>
      <w:r>
        <w:rPr>
          <w:lang w:val="es-ES_tradnl"/>
        </w:rPr>
        <w:t>e</w:t>
      </w:r>
      <w:r>
        <w:rPr>
          <w:lang w:val="es-ES_tradnl"/>
        </w:rPr>
        <w:t>creto del 12 de junio de 1996, el tema de Solari ya era objeto de la neg</w:t>
      </w:r>
      <w:r>
        <w:rPr>
          <w:lang w:val="es-ES_tradnl"/>
        </w:rPr>
        <w:t>o</w:t>
      </w:r>
      <w:r>
        <w:rPr>
          <w:lang w:val="es-ES_tradnl"/>
        </w:rPr>
        <w:t>ciación que mantuvo el juez instructor con T</w:t>
      </w:r>
      <w:r>
        <w:rPr>
          <w:lang w:val="es-ES_tradnl"/>
        </w:rPr>
        <w:t>e</w:t>
      </w:r>
      <w:r>
        <w:rPr>
          <w:lang w:val="es-ES_tradnl"/>
        </w:rPr>
        <w:t>lleldín.</w:t>
      </w:r>
    </w:p>
    <w:p w:rsidR="00224567" w:rsidRDefault="00224567">
      <w:pPr>
        <w:widowControl w:val="0"/>
        <w:tabs>
          <w:tab w:val="left" w:pos="2835"/>
        </w:tabs>
        <w:ind w:firstLine="2880"/>
        <w:rPr>
          <w:lang w:val="es-ES_tradnl"/>
        </w:rPr>
      </w:pPr>
      <w:r>
        <w:rPr>
          <w:lang w:val="es-ES_tradnl"/>
        </w:rPr>
        <w:t>Recuérdese que en el juicio oral el imputado manifestó que uno de los puntos por los que el juez Galeano le pagó fue el aporte del tema Solari, i</w:t>
      </w:r>
      <w:r>
        <w:rPr>
          <w:lang w:val="es-ES_tradnl"/>
        </w:rPr>
        <w:t>n</w:t>
      </w:r>
      <w:r>
        <w:rPr>
          <w:lang w:val="es-ES_tradnl"/>
        </w:rPr>
        <w:t>cluidos los testigos, a quienes debió convencer para que declar</w:t>
      </w:r>
      <w:r>
        <w:rPr>
          <w:lang w:val="es-ES_tradnl"/>
        </w:rPr>
        <w:t>a</w:t>
      </w:r>
      <w:r>
        <w:rPr>
          <w:lang w:val="es-ES_tradnl"/>
        </w:rPr>
        <w:t xml:space="preserve">sen. </w:t>
      </w:r>
    </w:p>
    <w:p w:rsidR="00224567" w:rsidRDefault="00224567">
      <w:pPr>
        <w:widowControl w:val="0"/>
        <w:tabs>
          <w:tab w:val="left" w:pos="2835"/>
        </w:tabs>
        <w:ind w:firstLine="2880"/>
        <w:rPr>
          <w:lang w:val="es-ES_tradnl"/>
        </w:rPr>
      </w:pPr>
      <w:r>
        <w:rPr>
          <w:lang w:val="es-ES_tradnl"/>
        </w:rPr>
        <w:t>Nuevamente, aquí se advierte la exi</w:t>
      </w:r>
      <w:r>
        <w:rPr>
          <w:lang w:val="es-ES_tradnl"/>
        </w:rPr>
        <w:t>s</w:t>
      </w:r>
      <w:r>
        <w:rPr>
          <w:lang w:val="es-ES_tradnl"/>
        </w:rPr>
        <w:t>tencia de una instrucción paralela, informal y s</w:t>
      </w:r>
      <w:r>
        <w:rPr>
          <w:lang w:val="es-ES_tradnl"/>
        </w:rPr>
        <w:t>e</w:t>
      </w:r>
      <w:r>
        <w:rPr>
          <w:lang w:val="es-ES_tradnl"/>
        </w:rPr>
        <w:t>creta, en clara violación a los principios de raigambre constituci</w:t>
      </w:r>
      <w:r>
        <w:rPr>
          <w:lang w:val="es-ES_tradnl"/>
        </w:rPr>
        <w:t>o</w:t>
      </w:r>
      <w:r>
        <w:rPr>
          <w:lang w:val="es-ES_tradnl"/>
        </w:rPr>
        <w:t>nal del debido proceso y del derecho de d</w:t>
      </w:r>
      <w:r>
        <w:rPr>
          <w:lang w:val="es-ES_tradnl"/>
        </w:rPr>
        <w:t>e</w:t>
      </w:r>
      <w:r>
        <w:rPr>
          <w:lang w:val="es-ES_tradnl"/>
        </w:rPr>
        <w:t>fensa en juicio.</w:t>
      </w:r>
    </w:p>
    <w:p w:rsidR="00224567" w:rsidRDefault="00224567">
      <w:pPr>
        <w:pStyle w:val="Sangra3detindependiente"/>
        <w:widowControl w:val="0"/>
        <w:tabs>
          <w:tab w:val="left" w:pos="2835"/>
        </w:tabs>
        <w:spacing w:line="600" w:lineRule="auto"/>
        <w:ind w:firstLine="2880"/>
      </w:pPr>
      <w:r>
        <w:t>El resultado de esa oscura negoci</w:t>
      </w:r>
      <w:r>
        <w:t>a</w:t>
      </w:r>
      <w:r>
        <w:t xml:space="preserve">ción, que incluyó entrevistas del Dr. Galeano y </w:t>
      </w:r>
      <w:smartTag w:uri="urn:schemas-microsoft-com:office:smarttags" w:element="PersonName">
        <w:smartTagPr>
          <w:attr w:name="ProductID" w:val="la Dra. Riva"/>
        </w:smartTagPr>
        <w:r>
          <w:t>la Dra. Riva</w:t>
        </w:r>
      </w:smartTag>
      <w:r>
        <w:t xml:space="preserve"> Aramayo con el imputado, y de las diligencias di</w:t>
      </w:r>
      <w:r>
        <w:t>s</w:t>
      </w:r>
      <w:r>
        <w:t>puestas en consecuencia se vieron plasmadas, en primer l</w:t>
      </w:r>
      <w:r>
        <w:t>u</w:t>
      </w:r>
      <w:r>
        <w:t>gar, en las testimoniales brindadas por los hermanos Cri</w:t>
      </w:r>
      <w:r>
        <w:t>s</w:t>
      </w:r>
      <w:r>
        <w:t>taldo Brizuela, en el informe policial firmado por el of</w:t>
      </w:r>
      <w:r>
        <w:t>i</w:t>
      </w:r>
      <w:r>
        <w:t>cial Galassi y en la d</w:t>
      </w:r>
      <w:r>
        <w:t>e</w:t>
      </w:r>
      <w:r>
        <w:t>claración indagatoria prestada por Telleldín el 5 de julio de 1996.</w:t>
      </w:r>
    </w:p>
    <w:p w:rsidR="00224567" w:rsidRDefault="00224567">
      <w:pPr>
        <w:pStyle w:val="Sangra3detindependiente"/>
        <w:widowControl w:val="0"/>
        <w:tabs>
          <w:tab w:val="left" w:pos="2835"/>
        </w:tabs>
        <w:spacing w:line="600" w:lineRule="auto"/>
        <w:ind w:firstLine="2880"/>
      </w:pPr>
      <w:r w:rsidRPr="002D198F">
        <w:rPr>
          <w:highlight w:val="yellow"/>
        </w:rPr>
        <w:t>Pero, por otra parte, su concr</w:t>
      </w:r>
      <w:r w:rsidRPr="002D198F">
        <w:rPr>
          <w:highlight w:val="yellow"/>
        </w:rPr>
        <w:t>e</w:t>
      </w:r>
      <w:r w:rsidRPr="002D198F">
        <w:rPr>
          <w:highlight w:val="yellow"/>
        </w:rPr>
        <w:t>ción se advierte claramente en el auto de proces</w:t>
      </w:r>
      <w:r w:rsidRPr="002D198F">
        <w:rPr>
          <w:highlight w:val="yellow"/>
        </w:rPr>
        <w:t>a</w:t>
      </w:r>
      <w:r w:rsidRPr="002D198F">
        <w:rPr>
          <w:highlight w:val="yellow"/>
        </w:rPr>
        <w:t>miento del 31 de julio de 1996, cuando se calificó la intervención de Sol</w:t>
      </w:r>
      <w:r w:rsidRPr="002D198F">
        <w:rPr>
          <w:highlight w:val="yellow"/>
        </w:rPr>
        <w:t>a</w:t>
      </w:r>
      <w:r w:rsidRPr="002D198F">
        <w:rPr>
          <w:highlight w:val="yellow"/>
        </w:rPr>
        <w:t>ri como un desvío o entorpecimiento de la pesquisa impu</w:t>
      </w:r>
      <w:r w:rsidRPr="002D198F">
        <w:rPr>
          <w:highlight w:val="yellow"/>
        </w:rPr>
        <w:t>l</w:t>
      </w:r>
      <w:r w:rsidRPr="002D198F">
        <w:rPr>
          <w:highlight w:val="yellow"/>
        </w:rPr>
        <w:t>sado por la policía b</w:t>
      </w:r>
      <w:r w:rsidRPr="002D198F">
        <w:rPr>
          <w:highlight w:val="yellow"/>
        </w:rPr>
        <w:t>o</w:t>
      </w:r>
      <w:r w:rsidRPr="002D198F">
        <w:rPr>
          <w:highlight w:val="yellow"/>
        </w:rPr>
        <w:t>naerense para lograr su impunidad.</w:t>
      </w:r>
    </w:p>
    <w:p w:rsidR="00224567" w:rsidRDefault="00224567">
      <w:pPr>
        <w:pStyle w:val="Sangra3detindependiente"/>
        <w:widowControl w:val="0"/>
        <w:tabs>
          <w:tab w:val="left" w:pos="2835"/>
        </w:tabs>
        <w:spacing w:line="600" w:lineRule="auto"/>
        <w:ind w:firstLine="2880"/>
        <w:rPr>
          <w:lang w:val="es-AR"/>
        </w:rPr>
      </w:pPr>
      <w:r>
        <w:t>Para arribar a tal conclusión ha de tenerse en cuenta que el tema Solari fue tratado en la e</w:t>
      </w:r>
      <w:r>
        <w:t>n</w:t>
      </w:r>
      <w:r>
        <w:t xml:space="preserve">trevista que mantuvo Telleldín con la jueza Riva Aramayo el 5 de septiembre de 1995, como así también en las reuniones con el magistrado instructor que reflejan </w:t>
      </w:r>
      <w:r>
        <w:rPr>
          <w:lang w:val="es-AR"/>
        </w:rPr>
        <w:t>los vid</w:t>
      </w:r>
      <w:r>
        <w:rPr>
          <w:lang w:val="es-AR"/>
        </w:rPr>
        <w:t>e</w:t>
      </w:r>
      <w:r>
        <w:rPr>
          <w:lang w:val="es-AR"/>
        </w:rPr>
        <w:t>os del 10 de abril y 1º de julio de 1996.</w:t>
      </w:r>
    </w:p>
    <w:p w:rsidR="00224567" w:rsidRDefault="00224567">
      <w:pPr>
        <w:widowControl w:val="0"/>
        <w:tabs>
          <w:tab w:val="left" w:pos="2835"/>
        </w:tabs>
        <w:ind w:firstLine="2880"/>
        <w:rPr>
          <w:lang w:val="es-ES_tradnl"/>
        </w:rPr>
      </w:pPr>
      <w:r>
        <w:rPr>
          <w:lang w:val="es-ES_tradnl"/>
        </w:rPr>
        <w:t>En efecto, en la primera de las film</w:t>
      </w:r>
      <w:r>
        <w:rPr>
          <w:lang w:val="es-ES_tradnl"/>
        </w:rPr>
        <w:t>a</w:t>
      </w:r>
      <w:r>
        <w:rPr>
          <w:lang w:val="es-ES_tradnl"/>
        </w:rPr>
        <w:t>ciones Telleldín refirió que uno de los temas que podía aportar era el de Solari y en apoyo de ello indicó que tres hermanos paraguayos -los Cristaldo Brizuela- deten</w:t>
      </w:r>
      <w:r>
        <w:rPr>
          <w:lang w:val="es-ES_tradnl"/>
        </w:rPr>
        <w:t>i</w:t>
      </w:r>
      <w:r>
        <w:rPr>
          <w:lang w:val="es-ES_tradnl"/>
        </w:rPr>
        <w:t xml:space="preserve">dos con él en </w:t>
      </w:r>
      <w:smartTag w:uri="urn:schemas-microsoft-com:office:smarttags" w:element="PersonName">
        <w:smartTagPr>
          <w:attr w:name="ProductID" w:val="la C￡rcel"/>
        </w:smartTagPr>
        <w:r>
          <w:rPr>
            <w:lang w:val="es-ES_tradnl"/>
          </w:rPr>
          <w:t>la Cárcel</w:t>
        </w:r>
      </w:smartTag>
      <w:r>
        <w:rPr>
          <w:lang w:val="es-ES_tradnl"/>
        </w:rPr>
        <w:t xml:space="preserve"> de C</w:t>
      </w:r>
      <w:r>
        <w:rPr>
          <w:lang w:val="es-ES_tradnl"/>
        </w:rPr>
        <w:t>a</w:t>
      </w:r>
      <w:r>
        <w:rPr>
          <w:lang w:val="es-ES_tradnl"/>
        </w:rPr>
        <w:t xml:space="preserve">seros podían aportar datos en relación a la preparación de Solari en </w:t>
      </w:r>
      <w:smartTag w:uri="urn:schemas-microsoft-com:office:smarttags" w:element="PersonName">
        <w:smartTagPr>
          <w:attr w:name="ProductID" w:val="la Brigada"/>
        </w:smartTagPr>
        <w:r>
          <w:rPr>
            <w:lang w:val="es-ES_tradnl"/>
          </w:rPr>
          <w:t>la Brigada</w:t>
        </w:r>
      </w:smartTag>
      <w:r>
        <w:rPr>
          <w:lang w:val="es-ES_tradnl"/>
        </w:rPr>
        <w:t xml:space="preserve"> de V</w:t>
      </w:r>
      <w:r>
        <w:rPr>
          <w:lang w:val="es-ES_tradnl"/>
        </w:rPr>
        <w:t>i</w:t>
      </w:r>
      <w:r>
        <w:rPr>
          <w:lang w:val="es-ES_tradnl"/>
        </w:rPr>
        <w:t>cente López para declarar.</w:t>
      </w:r>
    </w:p>
    <w:p w:rsidR="00224567" w:rsidRDefault="00224567">
      <w:pPr>
        <w:widowControl w:val="0"/>
        <w:tabs>
          <w:tab w:val="left" w:pos="2835"/>
        </w:tabs>
        <w:ind w:firstLine="2880"/>
        <w:rPr>
          <w:lang w:val="es-ES_tradnl"/>
        </w:rPr>
      </w:pPr>
      <w:r>
        <w:rPr>
          <w:lang w:val="es-ES_tradnl"/>
        </w:rPr>
        <w:t>Para mayor ilustración, se transcr</w:t>
      </w:r>
      <w:r>
        <w:rPr>
          <w:lang w:val="es-ES_tradnl"/>
        </w:rPr>
        <w:t>i</w:t>
      </w:r>
      <w:r>
        <w:rPr>
          <w:lang w:val="es-ES_tradnl"/>
        </w:rPr>
        <w:t>ben los párrafos pertinentes del video en cue</w:t>
      </w:r>
      <w:r>
        <w:rPr>
          <w:lang w:val="es-ES_tradnl"/>
        </w:rPr>
        <w:t>s</w:t>
      </w:r>
      <w:r>
        <w:rPr>
          <w:lang w:val="es-ES_tradnl"/>
        </w:rPr>
        <w:t>tión:</w:t>
      </w:r>
    </w:p>
    <w:p w:rsidR="00224567" w:rsidRDefault="00224567">
      <w:pPr>
        <w:widowControl w:val="0"/>
        <w:numPr>
          <w:ilvl w:val="0"/>
          <w:numId w:val="6"/>
        </w:numPr>
        <w:tabs>
          <w:tab w:val="left" w:pos="2835"/>
        </w:tabs>
      </w:pPr>
      <w:r>
        <w:t>Telleldín: entonces la gente.. eh, yo le hice un c</w:t>
      </w:r>
      <w:r>
        <w:t>a</w:t>
      </w:r>
      <w:r>
        <w:t>pítulo donde pongo a Solari. Ese loco Solari que le ap</w:t>
      </w:r>
      <w:r>
        <w:t>a</w:t>
      </w:r>
      <w:r>
        <w:t>reció a usted.</w:t>
      </w:r>
    </w:p>
    <w:p w:rsidR="00224567" w:rsidRDefault="00224567">
      <w:pPr>
        <w:widowControl w:val="0"/>
        <w:numPr>
          <w:ilvl w:val="0"/>
          <w:numId w:val="6"/>
        </w:numPr>
        <w:tabs>
          <w:tab w:val="left" w:pos="2835"/>
        </w:tabs>
      </w:pPr>
      <w:r>
        <w:t>Galeano: el negro Solari, el indio</w:t>
      </w:r>
    </w:p>
    <w:p w:rsidR="00224567" w:rsidRDefault="00224567">
      <w:pPr>
        <w:widowControl w:val="0"/>
        <w:numPr>
          <w:ilvl w:val="0"/>
          <w:numId w:val="6"/>
        </w:numPr>
        <w:tabs>
          <w:tab w:val="left" w:pos="2835"/>
        </w:tabs>
      </w:pPr>
      <w:r>
        <w:t xml:space="preserve">Telleldín: un loco... </w:t>
      </w:r>
    </w:p>
    <w:p w:rsidR="00224567" w:rsidRDefault="00224567">
      <w:pPr>
        <w:widowControl w:val="0"/>
        <w:numPr>
          <w:ilvl w:val="0"/>
          <w:numId w:val="6"/>
        </w:numPr>
        <w:tabs>
          <w:tab w:val="left" w:pos="2835"/>
        </w:tabs>
      </w:pPr>
      <w:r>
        <w:t>Galeano: el indio Solari</w:t>
      </w:r>
    </w:p>
    <w:p w:rsidR="00224567" w:rsidRDefault="00224567">
      <w:pPr>
        <w:widowControl w:val="0"/>
        <w:numPr>
          <w:ilvl w:val="0"/>
          <w:numId w:val="6"/>
        </w:numPr>
        <w:tabs>
          <w:tab w:val="left" w:pos="2835"/>
        </w:tabs>
      </w:pPr>
      <w:r>
        <w:t>Telleldín: que me gritaba en Alcaidía reconocéme, decí que me vendiste la camioneta a mí...</w:t>
      </w:r>
    </w:p>
    <w:p w:rsidR="00224567" w:rsidRDefault="00224567">
      <w:pPr>
        <w:widowControl w:val="0"/>
        <w:tabs>
          <w:tab w:val="left" w:pos="2835"/>
        </w:tabs>
        <w:ind w:firstLine="2880"/>
      </w:pPr>
      <w:r>
        <w:t>En otro pasaje de la entrevista T</w:t>
      </w:r>
      <w:r>
        <w:t>e</w:t>
      </w:r>
      <w:r>
        <w:t>lleldín expresó que: “le mandan a usted atado a Solari p</w:t>
      </w:r>
      <w:r>
        <w:t>e</w:t>
      </w:r>
      <w:r>
        <w:t>ro aparte de todo esto a mí me manda la mujer de B</w:t>
      </w:r>
      <w:r>
        <w:t>a</w:t>
      </w:r>
      <w:r>
        <w:t>re, de Barrero, Barreda  es (I) me va a ver al P.O.C. y me dice que me quede piola porque que el jefe de la brigada estaba arreglando todo para..., eh, eh, o sea, que me quede tra</w:t>
      </w:r>
      <w:r>
        <w:t>n</w:t>
      </w:r>
      <w:r>
        <w:t>quilo que Ud. se la comía atada. Cuando me dice esto le digo: ¿qué se come atada? Lo de Martínez, que Martínez existe. A usted no (I) declaración (I), pero este pibe d</w:t>
      </w:r>
      <w:r>
        <w:t>i</w:t>
      </w:r>
      <w:r>
        <w:t>ce que conoce a Martínez que (I) inventó toda una hist</w:t>
      </w:r>
      <w:r>
        <w:t>o</w:t>
      </w:r>
      <w:r>
        <w:t xml:space="preserve">ria. (I) es loco, es un trastornado mental, que todo es todo mentira, pero yo tengo dos testigos en Caseros que estuvieron presos en </w:t>
      </w:r>
      <w:smartTag w:uri="urn:schemas-microsoft-com:office:smarttags" w:element="PersonName">
        <w:smartTagPr>
          <w:attr w:name="ProductID" w:val="la Brigada"/>
        </w:smartTagPr>
        <w:r>
          <w:t>la Brigada</w:t>
        </w:r>
      </w:smartTag>
      <w:r>
        <w:t xml:space="preserve"> de ... de Vicente López que son paraguayos, por un tema “tormenta verde” que est</w:t>
      </w:r>
      <w:r>
        <w:t>a</w:t>
      </w:r>
      <w:r>
        <w:t xml:space="preserve">ban a disposición de Marquevich, que los tipos me tenían lástima y vinieron y me dijeron: nosotros te salimos de testigos, todos los días los sacaban para entrenar, los llevaban a </w:t>
      </w:r>
      <w:smartTag w:uri="urn:schemas-microsoft-com:office:smarttags" w:element="PersonName">
        <w:smartTagPr>
          <w:attr w:name="ProductID" w:val="la Divisi￳n Operaciones"/>
        </w:smartTagPr>
        <w:r>
          <w:t>la División Operaciones</w:t>
        </w:r>
      </w:smartTag>
      <w:r>
        <w:t>, los entrenaban los j</w:t>
      </w:r>
      <w:r>
        <w:t>e</w:t>
      </w:r>
      <w:r>
        <w:t>fes (...) estos hermanos, son tres hermanos que están por “to</w:t>
      </w:r>
      <w:r>
        <w:t>r</w:t>
      </w:r>
      <w:r>
        <w:t>menta verde” (...)nos conocimos en Caseros yo lo tengo anotado como para ponerlos como testigos ...”.</w:t>
      </w:r>
    </w:p>
    <w:p w:rsidR="00224567" w:rsidRDefault="00224567">
      <w:pPr>
        <w:widowControl w:val="0"/>
        <w:tabs>
          <w:tab w:val="left" w:pos="2835"/>
        </w:tabs>
        <w:ind w:firstLine="2880"/>
      </w:pPr>
      <w:r>
        <w:t>El 7 de junio de 1996, con posterior</w:t>
      </w:r>
      <w:r>
        <w:t>i</w:t>
      </w:r>
      <w:r>
        <w:t>dad a la entrevista comentada, Telleldín compareció ante el juez instructor y sostuvo que unos hermanos que est</w:t>
      </w:r>
      <w:r>
        <w:t>u</w:t>
      </w:r>
      <w:r>
        <w:t>vieron detenidos junto con Solari sabían que éste recon</w:t>
      </w:r>
      <w:r>
        <w:t>o</w:t>
      </w:r>
      <w:r>
        <w:t>cería su participación en la compra de la camioneta util</w:t>
      </w:r>
      <w:r>
        <w:t>i</w:t>
      </w:r>
      <w:r>
        <w:t>zada en el atentado (cfr. constancia de fs. 74820).</w:t>
      </w:r>
    </w:p>
    <w:p w:rsidR="00224567" w:rsidRDefault="00224567">
      <w:pPr>
        <w:widowControl w:val="0"/>
        <w:tabs>
          <w:tab w:val="left" w:pos="2835"/>
        </w:tabs>
        <w:ind w:firstLine="2880"/>
      </w:pPr>
      <w:r>
        <w:t>Tal actuación pretendió, inequívoc</w:t>
      </w:r>
      <w:r>
        <w:t>a</w:t>
      </w:r>
      <w:r>
        <w:t>mente, formalizar algunos aspectos de la conve</w:t>
      </w:r>
      <w:r>
        <w:t>r</w:t>
      </w:r>
      <w:r>
        <w:t>sación que surge del video transcripto para fundar la convoc</w:t>
      </w:r>
      <w:r>
        <w:t>a</w:t>
      </w:r>
      <w:r>
        <w:t>toria de los hermanos Cristaldo Brizuela a prestar declaración te</w:t>
      </w:r>
      <w:r>
        <w:t>s</w:t>
      </w:r>
      <w:r>
        <w:t>tim</w:t>
      </w:r>
      <w:r>
        <w:t>o</w:t>
      </w:r>
      <w:r>
        <w:t>nial.</w:t>
      </w:r>
    </w:p>
    <w:p w:rsidR="00224567" w:rsidRDefault="00224567">
      <w:pPr>
        <w:rPr>
          <w:lang w:val="es-ES_tradnl"/>
        </w:rPr>
      </w:pPr>
      <w:r>
        <w:tab/>
      </w:r>
      <w:r>
        <w:rPr>
          <w:b/>
          <w:bCs/>
        </w:rPr>
        <w:t>L.2)</w:t>
      </w:r>
      <w:r>
        <w:t xml:space="preserve"> </w:t>
      </w:r>
      <w:r>
        <w:rPr>
          <w:lang w:val="es-ES_tradnl"/>
        </w:rPr>
        <w:t>Como parte de este arquitectón</w:t>
      </w:r>
      <w:r>
        <w:rPr>
          <w:lang w:val="es-ES_tradnl"/>
        </w:rPr>
        <w:t>i</w:t>
      </w:r>
      <w:r>
        <w:rPr>
          <w:lang w:val="es-ES_tradnl"/>
        </w:rPr>
        <w:t>co armado de la versión de Solari como un desvío de la inve</w:t>
      </w:r>
      <w:r>
        <w:rPr>
          <w:lang w:val="es-ES_tradnl"/>
        </w:rPr>
        <w:t>s</w:t>
      </w:r>
      <w:r>
        <w:rPr>
          <w:lang w:val="es-ES_tradnl"/>
        </w:rPr>
        <w:t>tigación, el 14 de junio de 1996 prestaron declaración testimonial los hermanos Francisco Alejandro y Regino Cristaldo Brizuela (cfr. fs. 74.834/74.845). Antes de h</w:t>
      </w:r>
      <w:r>
        <w:rPr>
          <w:lang w:val="es-ES_tradnl"/>
        </w:rPr>
        <w:t>a</w:t>
      </w:r>
      <w:r>
        <w:rPr>
          <w:lang w:val="es-ES_tradnl"/>
        </w:rPr>
        <w:t>cerlo solicitaron mantener una “charla informal” con T</w:t>
      </w:r>
      <w:r>
        <w:rPr>
          <w:lang w:val="es-ES_tradnl"/>
        </w:rPr>
        <w:t>e</w:t>
      </w:r>
      <w:r>
        <w:rPr>
          <w:lang w:val="es-ES_tradnl"/>
        </w:rPr>
        <w:t>lleldín, pedido que fue formalizado mediante constancia actuarial de fs. 74.830, en la que también se comentó s</w:t>
      </w:r>
      <w:r>
        <w:rPr>
          <w:lang w:val="es-ES_tradnl"/>
        </w:rPr>
        <w:t>u</w:t>
      </w:r>
      <w:r>
        <w:rPr>
          <w:lang w:val="es-ES_tradnl"/>
        </w:rPr>
        <w:t xml:space="preserve">cintamente el contenido de sus posteriores declaraciones. </w:t>
      </w:r>
    </w:p>
    <w:p w:rsidR="00224567" w:rsidRDefault="00224567">
      <w:pPr>
        <w:widowControl w:val="0"/>
        <w:tabs>
          <w:tab w:val="left" w:pos="2835"/>
        </w:tabs>
        <w:ind w:firstLine="2880"/>
        <w:rPr>
          <w:lang w:val="es-ES_tradnl"/>
        </w:rPr>
      </w:pPr>
      <w:r>
        <w:rPr>
          <w:lang w:val="es-ES_tradnl"/>
        </w:rPr>
        <w:t>Tan insólita solicitud se fundó en los siguientes términos: “toda vez que desconocen si sus te</w:t>
      </w:r>
      <w:r>
        <w:rPr>
          <w:lang w:val="es-ES_tradnl"/>
        </w:rPr>
        <w:t>s</w:t>
      </w:r>
      <w:r>
        <w:rPr>
          <w:lang w:val="es-ES_tradnl"/>
        </w:rPr>
        <w:t>timonios perjudicarían o no la situación procesal de T</w:t>
      </w:r>
      <w:r>
        <w:rPr>
          <w:lang w:val="es-ES_tradnl"/>
        </w:rPr>
        <w:t>e</w:t>
      </w:r>
      <w:r>
        <w:rPr>
          <w:lang w:val="es-ES_tradnl"/>
        </w:rPr>
        <w:t>lleldín por ignorar el curso actual de la investigación. Agregan que oportunamente le ofrecieron al nombrado sus test</w:t>
      </w:r>
      <w:r>
        <w:rPr>
          <w:lang w:val="es-ES_tradnl"/>
        </w:rPr>
        <w:t>i</w:t>
      </w:r>
      <w:r>
        <w:rPr>
          <w:lang w:val="es-ES_tradnl"/>
        </w:rPr>
        <w:t>monios, pero convinieron de hacerlo cuando Telleldín les indicara”.</w:t>
      </w:r>
    </w:p>
    <w:p w:rsidR="00224567" w:rsidRDefault="00224567">
      <w:pPr>
        <w:widowControl w:val="0"/>
        <w:tabs>
          <w:tab w:val="left" w:pos="2835"/>
        </w:tabs>
        <w:ind w:firstLine="2880"/>
        <w:rPr>
          <w:lang w:val="es-ES_tradnl"/>
        </w:rPr>
      </w:pPr>
      <w:r>
        <w:rPr>
          <w:lang w:val="es-ES_tradnl"/>
        </w:rPr>
        <w:t>El magistrado instructor concedió la peculiar audiencia, la que se realizó el mismo día en el juzgado. El secretario Javier De Gamas dejó consta</w:t>
      </w:r>
      <w:r>
        <w:rPr>
          <w:lang w:val="es-ES_tradnl"/>
        </w:rPr>
        <w:t>n</w:t>
      </w:r>
      <w:r>
        <w:rPr>
          <w:lang w:val="es-ES_tradnl"/>
        </w:rPr>
        <w:t>cia de su contenido y aclaró que en ningún momento de la reunión se discutió acerca de lo que declararían los Cristaldo Brizuela (cfr. fs. 74.830 vta. y 74.833).</w:t>
      </w:r>
    </w:p>
    <w:p w:rsidR="00224567" w:rsidRDefault="00224567">
      <w:pPr>
        <w:widowControl w:val="0"/>
        <w:tabs>
          <w:tab w:val="left" w:pos="2835"/>
        </w:tabs>
        <w:ind w:firstLine="2880"/>
        <w:rPr>
          <w:lang w:val="es-ES_tradnl"/>
        </w:rPr>
      </w:pPr>
      <w:r>
        <w:rPr>
          <w:lang w:val="es-ES_tradnl"/>
        </w:rPr>
        <w:t>En el análisis de esta insólita entr</w:t>
      </w:r>
      <w:r>
        <w:rPr>
          <w:lang w:val="es-ES_tradnl"/>
        </w:rPr>
        <w:t>e</w:t>
      </w:r>
      <w:r>
        <w:rPr>
          <w:lang w:val="es-ES_tradnl"/>
        </w:rPr>
        <w:t>vista previa, “sui generis”, no puede soslayarse lo man</w:t>
      </w:r>
      <w:r>
        <w:rPr>
          <w:lang w:val="es-ES_tradnl"/>
        </w:rPr>
        <w:t>i</w:t>
      </w:r>
      <w:r>
        <w:rPr>
          <w:lang w:val="es-ES_tradnl"/>
        </w:rPr>
        <w:t xml:space="preserve">festado por Claudio Adrián Lifschitz en la audiencia de debate. </w:t>
      </w:r>
    </w:p>
    <w:p w:rsidR="00224567" w:rsidRDefault="00224567">
      <w:pPr>
        <w:widowControl w:val="0"/>
        <w:tabs>
          <w:tab w:val="left" w:pos="2835"/>
        </w:tabs>
        <w:ind w:firstLine="2880"/>
        <w:rPr>
          <w:lang w:val="es-ES_tradnl"/>
        </w:rPr>
      </w:pPr>
      <w:r>
        <w:rPr>
          <w:lang w:val="es-ES_tradnl"/>
        </w:rPr>
        <w:t>En efecto, el ex-prosecretario del juzgado instructor sostuvo que cuando los Cristaldo Br</w:t>
      </w:r>
      <w:r>
        <w:rPr>
          <w:lang w:val="es-ES_tradnl"/>
        </w:rPr>
        <w:t>i</w:t>
      </w:r>
      <w:r>
        <w:rPr>
          <w:lang w:val="es-ES_tradnl"/>
        </w:rPr>
        <w:t>zuela fueron convocados por el tribunal para declarar de</w:t>
      </w:r>
      <w:r>
        <w:rPr>
          <w:lang w:val="es-ES_tradnl"/>
        </w:rPr>
        <w:t>s</w:t>
      </w:r>
      <w:r>
        <w:rPr>
          <w:lang w:val="es-ES_tradnl"/>
        </w:rPr>
        <w:t>conocían las circunstancias por las que eran preguntados. Por tal motivo, se trasladó de urgencia a Telleldín a in</w:t>
      </w:r>
      <w:r>
        <w:rPr>
          <w:lang w:val="es-ES_tradnl"/>
        </w:rPr>
        <w:t>s</w:t>
      </w:r>
      <w:r>
        <w:rPr>
          <w:lang w:val="es-ES_tradnl"/>
        </w:rPr>
        <w:t>tancias de De Gamas, sobre quien infirió que habría co</w:t>
      </w:r>
      <w:r>
        <w:rPr>
          <w:lang w:val="es-ES_tradnl"/>
        </w:rPr>
        <w:t>n</w:t>
      </w:r>
      <w:r>
        <w:rPr>
          <w:lang w:val="es-ES_tradnl"/>
        </w:rPr>
        <w:t>sultado con Galeano. Luego de que los hermanos nombrados se reunieron a solas con Telleldín y Víctor Stinfale, prestaron declaración testimonial, por lo que estimó que algún tipo de in</w:t>
      </w:r>
      <w:r>
        <w:rPr>
          <w:lang w:val="es-ES_tradnl"/>
        </w:rPr>
        <w:t>s</w:t>
      </w:r>
      <w:r>
        <w:rPr>
          <w:lang w:val="es-ES_tradnl"/>
        </w:rPr>
        <w:t>trucción recibieron de Telleldín. También recordó que De Gamas se reprochaba no haberse quedado d</w:t>
      </w:r>
      <w:r>
        <w:rPr>
          <w:lang w:val="es-ES_tradnl"/>
        </w:rPr>
        <w:t>u</w:t>
      </w:r>
      <w:r>
        <w:rPr>
          <w:lang w:val="es-ES_tradnl"/>
        </w:rPr>
        <w:t>rante toda la reunión que mantuvieron los no</w:t>
      </w:r>
      <w:r>
        <w:rPr>
          <w:lang w:val="es-ES_tradnl"/>
        </w:rPr>
        <w:t>m</w:t>
      </w:r>
      <w:r>
        <w:rPr>
          <w:lang w:val="es-ES_tradnl"/>
        </w:rPr>
        <w:t>brados.</w:t>
      </w:r>
    </w:p>
    <w:p w:rsidR="00224567" w:rsidRDefault="00224567">
      <w:pPr>
        <w:pStyle w:val="Sangra3detindependiente"/>
        <w:widowControl w:val="0"/>
        <w:tabs>
          <w:tab w:val="left" w:pos="2835"/>
        </w:tabs>
        <w:spacing w:line="600" w:lineRule="auto"/>
        <w:ind w:firstLine="2880"/>
      </w:pPr>
      <w:r>
        <w:t>A esto se debe agregar lo expresado por Javier De Gamas, quien, al reconocer la existencia de esta entrevista, al ser preguntado por la razón por la cual no se formó causa contra los testigos que se negaban a declarar y se optó por convocarlo a Telleldín para que los convenciera, manifestó que la intención de los Cri</w:t>
      </w:r>
      <w:r>
        <w:t>s</w:t>
      </w:r>
      <w:r>
        <w:t>taldo Brizuela era declarar, que lo que en definitiva i</w:t>
      </w:r>
      <w:r>
        <w:t>n</w:t>
      </w:r>
      <w:r>
        <w:t>teresaba eran sus dichos.</w:t>
      </w:r>
    </w:p>
    <w:p w:rsidR="00224567" w:rsidRDefault="00224567">
      <w:pPr>
        <w:widowControl w:val="0"/>
        <w:tabs>
          <w:tab w:val="left" w:pos="2835"/>
        </w:tabs>
        <w:ind w:firstLine="2880"/>
        <w:rPr>
          <w:lang w:val="es-ES_tradnl"/>
        </w:rPr>
      </w:pPr>
      <w:r>
        <w:rPr>
          <w:lang w:val="es-ES_tradnl"/>
        </w:rPr>
        <w:t>En esas particulares circunsta</w:t>
      </w:r>
      <w:r>
        <w:rPr>
          <w:lang w:val="es-ES_tradnl"/>
        </w:rPr>
        <w:t>n</w:t>
      </w:r>
      <w:r>
        <w:rPr>
          <w:lang w:val="es-ES_tradnl"/>
        </w:rPr>
        <w:t>cias se les recibió declaración testimonial a los Cristaldo Br</w:t>
      </w:r>
      <w:r>
        <w:rPr>
          <w:lang w:val="es-ES_tradnl"/>
        </w:rPr>
        <w:t>i</w:t>
      </w:r>
      <w:r>
        <w:rPr>
          <w:lang w:val="es-ES_tradnl"/>
        </w:rPr>
        <w:t>zuela, cuyo contenido será posterio</w:t>
      </w:r>
      <w:r>
        <w:rPr>
          <w:lang w:val="es-ES_tradnl"/>
        </w:rPr>
        <w:t>r</w:t>
      </w:r>
      <w:r>
        <w:rPr>
          <w:lang w:val="es-ES_tradnl"/>
        </w:rPr>
        <w:t>mente valorado.</w:t>
      </w:r>
    </w:p>
    <w:p w:rsidR="00224567" w:rsidRDefault="00224567">
      <w:r>
        <w:tab/>
      </w:r>
      <w:r>
        <w:rPr>
          <w:b/>
          <w:bCs/>
        </w:rPr>
        <w:t>L.3)</w:t>
      </w:r>
      <w:r>
        <w:t xml:space="preserve"> En este orden de cosas, debe de</w:t>
      </w:r>
      <w:r>
        <w:t>s</w:t>
      </w:r>
      <w:r>
        <w:t>tacarse la importancia del informe policial del 28 de j</w:t>
      </w:r>
      <w:r>
        <w:t>u</w:t>
      </w:r>
      <w:r>
        <w:t>nio de 1996, firmado por el principal Miguel Ángel Gala</w:t>
      </w:r>
      <w:r>
        <w:t>s</w:t>
      </w:r>
      <w:r>
        <w:t>si, que fuera encomendado por el juez a fin de realizar un exhau</w:t>
      </w:r>
      <w:r>
        <w:t>s</w:t>
      </w:r>
      <w:r>
        <w:t>tivo análisis de los dichos vertidos por Solari y de las constancias relacionadas con el t</w:t>
      </w:r>
      <w:r>
        <w:t>e</w:t>
      </w:r>
      <w:r>
        <w:t>ma; método que será mot</w:t>
      </w:r>
      <w:r>
        <w:t>i</w:t>
      </w:r>
      <w:r>
        <w:t>vo de crítica (crf. fs. 74.846 y 74.847).</w:t>
      </w:r>
    </w:p>
    <w:p w:rsidR="00224567" w:rsidRDefault="00224567">
      <w:pPr>
        <w:widowControl w:val="0"/>
        <w:tabs>
          <w:tab w:val="left" w:pos="2835"/>
        </w:tabs>
        <w:ind w:firstLine="2880"/>
        <w:rPr>
          <w:lang w:val="es-ES_tradnl"/>
        </w:rPr>
      </w:pPr>
      <w:r>
        <w:rPr>
          <w:lang w:val="es-ES_tradnl"/>
        </w:rPr>
        <w:t>Las conclusiones de ese informe apu</w:t>
      </w:r>
      <w:r>
        <w:rPr>
          <w:lang w:val="es-ES_tradnl"/>
        </w:rPr>
        <w:t>n</w:t>
      </w:r>
      <w:r>
        <w:rPr>
          <w:lang w:val="es-ES_tradnl"/>
        </w:rPr>
        <w:t>talaron la versión que presentaba a Solari como un pers</w:t>
      </w:r>
      <w:r>
        <w:rPr>
          <w:lang w:val="es-ES_tradnl"/>
        </w:rPr>
        <w:t>o</w:t>
      </w:r>
      <w:r>
        <w:rPr>
          <w:lang w:val="es-ES_tradnl"/>
        </w:rPr>
        <w:t xml:space="preserve">naje funcional a </w:t>
      </w:r>
      <w:smartTag w:uri="urn:schemas-microsoft-com:office:smarttags" w:element="PersonName">
        <w:smartTagPr>
          <w:attr w:name="ProductID" w:val="la Polic￭a Bonaerense"/>
        </w:smartTagPr>
        <w:r>
          <w:rPr>
            <w:lang w:val="es-ES_tradnl"/>
          </w:rPr>
          <w:t>la Policía Bonaerense</w:t>
        </w:r>
      </w:smartTag>
      <w:r>
        <w:rPr>
          <w:lang w:val="es-ES_tradnl"/>
        </w:rPr>
        <w:t xml:space="preserve"> y que sería plasm</w:t>
      </w:r>
      <w:r>
        <w:rPr>
          <w:lang w:val="es-ES_tradnl"/>
        </w:rPr>
        <w:t>a</w:t>
      </w:r>
      <w:r>
        <w:rPr>
          <w:lang w:val="es-ES_tradnl"/>
        </w:rPr>
        <w:t>da en el auto de procesamiento.</w:t>
      </w:r>
    </w:p>
    <w:p w:rsidR="00224567" w:rsidRDefault="00224567">
      <w:pPr>
        <w:widowControl w:val="0"/>
        <w:tabs>
          <w:tab w:val="left" w:pos="2835"/>
        </w:tabs>
        <w:ind w:firstLine="2880"/>
      </w:pPr>
      <w:r>
        <w:t>Así, en esa actuación se concluyó que Solari mintió en sus declaraciones y que el “grueso” de ellas “están apuntadas a alejar toda vinculación de la p</w:t>
      </w:r>
      <w:r>
        <w:t>o</w:t>
      </w:r>
      <w:r>
        <w:t>licía bonaerense con el hecho”. Sin embargo, esta afirm</w:t>
      </w:r>
      <w:r>
        <w:t>a</w:t>
      </w:r>
      <w:r>
        <w:t>ción es de carácter meramente dogmático, d</w:t>
      </w:r>
      <w:r>
        <w:t>a</w:t>
      </w:r>
      <w:r>
        <w:t>do que no está avalada por razon</w:t>
      </w:r>
      <w:r>
        <w:t>a</w:t>
      </w:r>
      <w:r>
        <w:t>miento alguno.</w:t>
      </w:r>
    </w:p>
    <w:p w:rsidR="00224567" w:rsidRDefault="00224567">
      <w:pPr>
        <w:pStyle w:val="Sangra3detindependiente"/>
        <w:widowControl w:val="0"/>
        <w:tabs>
          <w:tab w:val="left" w:pos="2835"/>
        </w:tabs>
        <w:spacing w:line="600" w:lineRule="auto"/>
        <w:ind w:firstLine="2880"/>
      </w:pPr>
      <w:r>
        <w:t>En efecto, si como dice el informe, Solari pretendió confirmar la operación de venta de la c</w:t>
      </w:r>
      <w:r>
        <w:t>a</w:t>
      </w:r>
      <w:r>
        <w:t>mioneta Trafic a Ramón Martínez e involucró a agentes de inteligencia militar, grupos carapintadas y fundamentali</w:t>
      </w:r>
      <w:r>
        <w:t>s</w:t>
      </w:r>
      <w:r>
        <w:t>tas iraníes, esto por sí solo no implica alejar la inve</w:t>
      </w:r>
      <w:r>
        <w:t>s</w:t>
      </w:r>
      <w:r>
        <w:t>tigación de la policía bonaerense. La concl</w:t>
      </w:r>
      <w:r>
        <w:t>u</w:t>
      </w:r>
      <w:r>
        <w:t>sión señalada resulta absolutamente arbitraria y forzada, máxime tenie</w:t>
      </w:r>
      <w:r>
        <w:t>n</w:t>
      </w:r>
      <w:r>
        <w:t>do en cuenta que cuando Solari declaró ante el juzgado instructor no existía imputación alguna contra los pol</w:t>
      </w:r>
      <w:r>
        <w:t>i</w:t>
      </w:r>
      <w:r>
        <w:t>cías bonaerenses requeridos por el ate</w:t>
      </w:r>
      <w:r>
        <w:t>n</w:t>
      </w:r>
      <w:r>
        <w:t>tado.</w:t>
      </w:r>
    </w:p>
    <w:p w:rsidR="00224567" w:rsidRDefault="00224567">
      <w:pPr>
        <w:pStyle w:val="Sangra3detindependiente"/>
        <w:widowControl w:val="0"/>
        <w:tabs>
          <w:tab w:val="left" w:pos="2835"/>
        </w:tabs>
        <w:spacing w:line="600" w:lineRule="auto"/>
        <w:ind w:firstLine="2880"/>
      </w:pPr>
      <w:r>
        <w:t>En base a las declaraciones testim</w:t>
      </w:r>
      <w:r>
        <w:t>o</w:t>
      </w:r>
      <w:r>
        <w:t>niales prestadas por los hermanos Cristaldo Brizuela, se sostuvo que a Solari se le dispensó un trato pref</w:t>
      </w:r>
      <w:r>
        <w:t>e</w:t>
      </w:r>
      <w:r>
        <w:t>rencial en la dependencia policial donde estuvo alojado, circun</w:t>
      </w:r>
      <w:r>
        <w:t>s</w:t>
      </w:r>
      <w:r>
        <w:t>tancia que, como se verá, fue refutada en el juicio por abundante prueba testim</w:t>
      </w:r>
      <w:r>
        <w:t>o</w:t>
      </w:r>
      <w:r>
        <w:t>nial y documental.</w:t>
      </w:r>
    </w:p>
    <w:p w:rsidR="00224567" w:rsidRDefault="00224567">
      <w:pPr>
        <w:pStyle w:val="Sangra3detindependiente"/>
        <w:widowControl w:val="0"/>
        <w:tabs>
          <w:tab w:val="left" w:pos="2835"/>
        </w:tabs>
        <w:spacing w:line="600" w:lineRule="auto"/>
        <w:ind w:firstLine="2880"/>
      </w:pPr>
      <w:r>
        <w:t>En la pieza procesal comentada ta</w:t>
      </w:r>
      <w:r>
        <w:t>m</w:t>
      </w:r>
      <w:r>
        <w:t>bién se afirmó que resultaba llamativo, en ate</w:t>
      </w:r>
      <w:r>
        <w:t>n</w:t>
      </w:r>
      <w:r>
        <w:t xml:space="preserve">ción al grado de participación que tendría </w:t>
      </w:r>
      <w:smartTag w:uri="urn:schemas-microsoft-com:office:smarttags" w:element="PersonName">
        <w:smartTagPr>
          <w:attr w:name="ProductID" w:val="la Brigada"/>
        </w:smartTagPr>
        <w:r>
          <w:t>la Brigada</w:t>
        </w:r>
      </w:smartTag>
      <w:r>
        <w:t xml:space="preserve"> de Vicente López en el hecho investigado, que un detenido alojado en esa d</w:t>
      </w:r>
      <w:r>
        <w:t>e</w:t>
      </w:r>
      <w:r>
        <w:t>pende</w:t>
      </w:r>
      <w:r>
        <w:t>n</w:t>
      </w:r>
      <w:r>
        <w:t>cia aportara datos dirigidos hacia ciertos sectores de la ultraderecha local y extranjera, alejando cualquier sosp</w:t>
      </w:r>
      <w:r>
        <w:t>e</w:t>
      </w:r>
      <w:r>
        <w:t>cha de otros grupos, como así también desvirtuando la posibilidad de una entrega y afirmando la operación de compr</w:t>
      </w:r>
      <w:r>
        <w:t>a</w:t>
      </w:r>
      <w:r>
        <w:t>venta.</w:t>
      </w:r>
    </w:p>
    <w:p w:rsidR="00224567" w:rsidRDefault="00224567">
      <w:pPr>
        <w:pStyle w:val="Sangra3detindependiente"/>
        <w:widowControl w:val="0"/>
        <w:tabs>
          <w:tab w:val="left" w:pos="2835"/>
        </w:tabs>
        <w:spacing w:line="600" w:lineRule="auto"/>
        <w:ind w:firstLine="2880"/>
      </w:pPr>
      <w:r>
        <w:t>La nota precisó que Mario Bareiro pa</w:t>
      </w:r>
      <w:r>
        <w:t>r</w:t>
      </w:r>
      <w:r>
        <w:t>ticipó activamente en la preparación de Solari para que declarara ante el juzgado instructor con el propósito de de</w:t>
      </w:r>
      <w:r>
        <w:t>s</w:t>
      </w:r>
      <w:r>
        <w:t>viar el rumbo de la investigación.</w:t>
      </w:r>
    </w:p>
    <w:p w:rsidR="00224567" w:rsidRDefault="00224567">
      <w:pPr>
        <w:pStyle w:val="Sangra3detindependiente"/>
        <w:widowControl w:val="0"/>
        <w:tabs>
          <w:tab w:val="left" w:pos="2835"/>
        </w:tabs>
        <w:spacing w:line="600" w:lineRule="auto"/>
        <w:ind w:firstLine="2880"/>
      </w:pPr>
      <w:r>
        <w:t>En este punto, el informe deviene francamente absurdo, ya que Solari no desvinculó a B</w:t>
      </w:r>
      <w:r>
        <w:t>a</w:t>
      </w:r>
      <w:r>
        <w:t>reiro del atentado sino que, por el contrario, lo involucró, s</w:t>
      </w:r>
      <w:r>
        <w:t>e</w:t>
      </w:r>
      <w:r>
        <w:t>ñalá</w:t>
      </w:r>
      <w:r>
        <w:t>n</w:t>
      </w:r>
      <w:r>
        <w:t>dolo como acompañante de Telleldín en la operación de compraventa de la camioneta Tr</w:t>
      </w:r>
      <w:r>
        <w:t>a</w:t>
      </w:r>
      <w:r>
        <w:t>fic.</w:t>
      </w:r>
    </w:p>
    <w:p w:rsidR="00224567" w:rsidRDefault="00224567">
      <w:pPr>
        <w:widowControl w:val="0"/>
        <w:tabs>
          <w:tab w:val="left" w:pos="2835"/>
        </w:tabs>
        <w:ind w:firstLine="2880"/>
        <w:rPr>
          <w:lang w:val="es-ES_tradnl"/>
        </w:rPr>
      </w:pPr>
      <w:r>
        <w:rPr>
          <w:lang w:val="es-ES_tradnl"/>
        </w:rPr>
        <w:t>Por otra parte, la urgencia por real</w:t>
      </w:r>
      <w:r>
        <w:rPr>
          <w:lang w:val="es-ES_tradnl"/>
        </w:rPr>
        <w:t>i</w:t>
      </w:r>
      <w:r>
        <w:rPr>
          <w:lang w:val="es-ES_tradnl"/>
        </w:rPr>
        <w:t>zar el informe solo se comprende si se lo concibe c</w:t>
      </w:r>
      <w:r>
        <w:rPr>
          <w:lang w:val="es-ES_tradnl"/>
        </w:rPr>
        <w:t>o</w:t>
      </w:r>
      <w:r>
        <w:rPr>
          <w:lang w:val="es-ES_tradnl"/>
        </w:rPr>
        <w:t>mo una de las pruebas urdidas en el entretejido de la informal instrucción para sostener la imputación contra los pol</w:t>
      </w:r>
      <w:r>
        <w:rPr>
          <w:lang w:val="es-ES_tradnl"/>
        </w:rPr>
        <w:t>i</w:t>
      </w:r>
      <w:r>
        <w:rPr>
          <w:lang w:val="es-ES_tradnl"/>
        </w:rPr>
        <w:t>cías por el atentado en el auto de procesamiento; ello, con a</w:t>
      </w:r>
      <w:r>
        <w:rPr>
          <w:lang w:val="es-ES_tradnl"/>
        </w:rPr>
        <w:t>n</w:t>
      </w:r>
      <w:r>
        <w:rPr>
          <w:lang w:val="es-ES_tradnl"/>
        </w:rPr>
        <w:t>terioridad a la remunerada indagatoria de Telleldín. En efecto, el informe fue ordenado tan solo una semana después de recibir las declaraciones de los hermanos Cri</w:t>
      </w:r>
      <w:r>
        <w:rPr>
          <w:lang w:val="es-ES_tradnl"/>
        </w:rPr>
        <w:t>s</w:t>
      </w:r>
      <w:r>
        <w:rPr>
          <w:lang w:val="es-ES_tradnl"/>
        </w:rPr>
        <w:t>taldo Brizuela y sin escuchar otros testimonios que pudi</w:t>
      </w:r>
      <w:r>
        <w:rPr>
          <w:lang w:val="es-ES_tradnl"/>
        </w:rPr>
        <w:t>e</w:t>
      </w:r>
      <w:r>
        <w:rPr>
          <w:lang w:val="es-ES_tradnl"/>
        </w:rPr>
        <w:t>ren aportar elementos de análisis.</w:t>
      </w:r>
    </w:p>
    <w:p w:rsidR="00224567" w:rsidRDefault="00224567">
      <w:pPr>
        <w:widowControl w:val="0"/>
        <w:tabs>
          <w:tab w:val="left" w:pos="2835"/>
        </w:tabs>
        <w:ind w:firstLine="2880"/>
        <w:rPr>
          <w:lang w:val="es-ES_tradnl"/>
        </w:rPr>
      </w:pPr>
      <w:r>
        <w:rPr>
          <w:lang w:val="es-ES_tradnl"/>
        </w:rPr>
        <w:t xml:space="preserve"> De esa forma se evitó evaluar las d</w:t>
      </w:r>
      <w:r>
        <w:rPr>
          <w:lang w:val="es-ES_tradnl"/>
        </w:rPr>
        <w:t>e</w:t>
      </w:r>
      <w:r>
        <w:rPr>
          <w:lang w:val="es-ES_tradnl"/>
        </w:rPr>
        <w:t>claraciones prestadas por Raúl Alfredo Benito Levaggi y Luis Carlos Derruvo, quienes también estuvieron alojados en esa dependencia policial. Los nombrados declararon un mes después que los Cristaldo Brizuela pero ninguno me</w:t>
      </w:r>
      <w:r>
        <w:rPr>
          <w:lang w:val="es-ES_tradnl"/>
        </w:rPr>
        <w:t>n</w:t>
      </w:r>
      <w:r>
        <w:rPr>
          <w:lang w:val="es-ES_tradnl"/>
        </w:rPr>
        <w:t>cionó la supuesta prep</w:t>
      </w:r>
      <w:r>
        <w:rPr>
          <w:lang w:val="es-ES_tradnl"/>
        </w:rPr>
        <w:t>a</w:t>
      </w:r>
      <w:r>
        <w:rPr>
          <w:lang w:val="es-ES_tradnl"/>
        </w:rPr>
        <w:t>ración de Solari para declarar.</w:t>
      </w:r>
    </w:p>
    <w:p w:rsidR="00224567" w:rsidRDefault="00224567">
      <w:pPr>
        <w:widowControl w:val="0"/>
        <w:tabs>
          <w:tab w:val="left" w:pos="2835"/>
        </w:tabs>
        <w:ind w:firstLine="2880"/>
        <w:rPr>
          <w:lang w:val="es-ES_tradnl"/>
        </w:rPr>
      </w:pPr>
      <w:r>
        <w:rPr>
          <w:lang w:val="es-ES_tradnl"/>
        </w:rPr>
        <w:t>Por otra parte, estos últimos fueron contestes en señalar que Solari no tuvo trato privil</w:t>
      </w:r>
      <w:r>
        <w:rPr>
          <w:lang w:val="es-ES_tradnl"/>
        </w:rPr>
        <w:t>e</w:t>
      </w:r>
      <w:r>
        <w:rPr>
          <w:lang w:val="es-ES_tradnl"/>
        </w:rPr>
        <w:t>giado y que pretendía que lo remitieran a una unidad carcelaria del Servicio Penitenciario Federal (cfr. fs. 38.733/38.735 y 39.384/39.385). Estos testigos no se entrevistaron con Telleldín antes de declarar como tampoco fueron mencion</w:t>
      </w:r>
      <w:r>
        <w:rPr>
          <w:lang w:val="es-ES_tradnl"/>
        </w:rPr>
        <w:t>a</w:t>
      </w:r>
      <w:r>
        <w:rPr>
          <w:lang w:val="es-ES_tradnl"/>
        </w:rPr>
        <w:t>dos en las reuniones secretas, d</w:t>
      </w:r>
      <w:r>
        <w:rPr>
          <w:lang w:val="es-ES_tradnl"/>
        </w:rPr>
        <w:t>o</w:t>
      </w:r>
      <w:r>
        <w:rPr>
          <w:lang w:val="es-ES_tradnl"/>
        </w:rPr>
        <w:t>cumentadas en los videos señal</w:t>
      </w:r>
      <w:r>
        <w:rPr>
          <w:lang w:val="es-ES_tradnl"/>
        </w:rPr>
        <w:t>a</w:t>
      </w:r>
      <w:r>
        <w:rPr>
          <w:lang w:val="es-ES_tradnl"/>
        </w:rPr>
        <w:t>dos, que mantuvo el juez instructor con Telleldín.</w:t>
      </w:r>
    </w:p>
    <w:p w:rsidR="00224567" w:rsidRDefault="00224567">
      <w:pPr>
        <w:widowControl w:val="0"/>
        <w:tabs>
          <w:tab w:val="left" w:pos="2835"/>
        </w:tabs>
        <w:ind w:firstLine="2880"/>
        <w:rPr>
          <w:lang w:val="es-ES_tradnl"/>
        </w:rPr>
      </w:pPr>
      <w:r>
        <w:rPr>
          <w:lang w:val="es-ES_tradnl"/>
        </w:rPr>
        <w:t>A esta altura del análisis, resulta evidente que la única razón para que el informe policial arribara a esas conclusiones fue elucubrar una prueba de cargo contra los policías.</w:t>
      </w:r>
    </w:p>
    <w:p w:rsidR="00224567" w:rsidRDefault="00224567">
      <w:pPr>
        <w:widowControl w:val="0"/>
        <w:tabs>
          <w:tab w:val="left" w:pos="2835"/>
        </w:tabs>
        <w:ind w:firstLine="2880"/>
        <w:rPr>
          <w:lang w:val="es-ES_tradnl"/>
        </w:rPr>
      </w:pPr>
      <w:r>
        <w:rPr>
          <w:lang w:val="es-ES_tradnl"/>
        </w:rPr>
        <w:t>Por todo lo expuesto, cabe concluir que este informe fue pergeñado para sostener la imput</w:t>
      </w:r>
      <w:r>
        <w:rPr>
          <w:lang w:val="es-ES_tradnl"/>
        </w:rPr>
        <w:t>a</w:t>
      </w:r>
      <w:r>
        <w:rPr>
          <w:lang w:val="es-ES_tradnl"/>
        </w:rPr>
        <w:t>ción de los policías bonaerenses en el atentado, esp</w:t>
      </w:r>
      <w:r>
        <w:rPr>
          <w:lang w:val="es-ES_tradnl"/>
        </w:rPr>
        <w:t>e</w:t>
      </w:r>
      <w:r>
        <w:rPr>
          <w:lang w:val="es-ES_tradnl"/>
        </w:rPr>
        <w:t xml:space="preserve">cialmente, de los integrantes de </w:t>
      </w:r>
      <w:smartTag w:uri="urn:schemas-microsoft-com:office:smarttags" w:element="PersonName">
        <w:smartTagPr>
          <w:attr w:name="ProductID" w:val="la Brigada"/>
        </w:smartTagPr>
        <w:r>
          <w:rPr>
            <w:lang w:val="es-ES_tradnl"/>
          </w:rPr>
          <w:t>la Brigada</w:t>
        </w:r>
      </w:smartTag>
      <w:r>
        <w:rPr>
          <w:lang w:val="es-ES_tradnl"/>
        </w:rPr>
        <w:t xml:space="preserve"> de Vicente López.</w:t>
      </w:r>
    </w:p>
    <w:p w:rsidR="00224567" w:rsidRDefault="00224567">
      <w:pPr>
        <w:widowControl w:val="0"/>
        <w:tabs>
          <w:tab w:val="left" w:pos="2835"/>
        </w:tabs>
        <w:ind w:firstLine="2880"/>
        <w:rPr>
          <w:lang w:val="es-ES_tradnl"/>
        </w:rPr>
      </w:pPr>
      <w:r>
        <w:rPr>
          <w:lang w:val="es-ES_tradnl"/>
        </w:rPr>
        <w:t>Prueba de ello, es el contenido del video del 1º de julio de 1996, en el cual, sin ambages, Telleldín le manifestó al Dr. Galeano que “con lo de Sol</w:t>
      </w:r>
      <w:r>
        <w:rPr>
          <w:lang w:val="es-ES_tradnl"/>
        </w:rPr>
        <w:t>a</w:t>
      </w:r>
      <w:r>
        <w:rPr>
          <w:lang w:val="es-ES_tradnl"/>
        </w:rPr>
        <w:t xml:space="preserve">ri tiene la participación secundaria de </w:t>
      </w:r>
      <w:smartTag w:uri="urn:schemas-microsoft-com:office:smarttags" w:element="PersonName">
        <w:smartTagPr>
          <w:attr w:name="ProductID" w:val="la Brigada"/>
        </w:smartTagPr>
        <w:r>
          <w:rPr>
            <w:lang w:val="es-ES_tradnl"/>
          </w:rPr>
          <w:t>la Brigada</w:t>
        </w:r>
      </w:smartTag>
      <w:r>
        <w:rPr>
          <w:lang w:val="es-ES_tradnl"/>
        </w:rPr>
        <w:t xml:space="preserve"> de I</w:t>
      </w:r>
      <w:r>
        <w:rPr>
          <w:lang w:val="es-ES_tradnl"/>
        </w:rPr>
        <w:t>n</w:t>
      </w:r>
      <w:r>
        <w:rPr>
          <w:lang w:val="es-ES_tradnl"/>
        </w:rPr>
        <w:t>vestigaciones de Vicente López”. En un párrafo de ese e</w:t>
      </w:r>
      <w:r>
        <w:rPr>
          <w:lang w:val="es-ES_tradnl"/>
        </w:rPr>
        <w:t>n</w:t>
      </w:r>
      <w:r>
        <w:rPr>
          <w:lang w:val="es-ES_tradnl"/>
        </w:rPr>
        <w:t>cuentro remarcó que los te</w:t>
      </w:r>
      <w:r>
        <w:rPr>
          <w:lang w:val="es-ES_tradnl"/>
        </w:rPr>
        <w:t>s</w:t>
      </w:r>
      <w:r>
        <w:rPr>
          <w:lang w:val="es-ES_tradnl"/>
        </w:rPr>
        <w:t>tigos que tiene para aportar le responden y compara la situación con los p</w:t>
      </w:r>
      <w:r>
        <w:rPr>
          <w:lang w:val="es-ES_tradnl"/>
        </w:rPr>
        <w:t>a</w:t>
      </w:r>
      <w:r>
        <w:rPr>
          <w:lang w:val="es-ES_tradnl"/>
        </w:rPr>
        <w:t>raguayos que se negaban a d</w:t>
      </w:r>
      <w:r>
        <w:rPr>
          <w:lang w:val="es-ES_tradnl"/>
        </w:rPr>
        <w:t>e</w:t>
      </w:r>
      <w:r>
        <w:rPr>
          <w:lang w:val="es-ES_tradnl"/>
        </w:rPr>
        <w:t>clarar hasta que él los convenció. Finalmente le indica cómo llevar adelante el proceso y termina co</w:t>
      </w:r>
      <w:r>
        <w:rPr>
          <w:lang w:val="es-ES_tradnl"/>
        </w:rPr>
        <w:t>n</w:t>
      </w:r>
      <w:r>
        <w:rPr>
          <w:lang w:val="es-ES_tradnl"/>
        </w:rPr>
        <w:t>cluyendo que con eso demuestra que él no tuvo particip</w:t>
      </w:r>
      <w:r>
        <w:rPr>
          <w:lang w:val="es-ES_tradnl"/>
        </w:rPr>
        <w:t>a</w:t>
      </w:r>
      <w:r>
        <w:rPr>
          <w:lang w:val="es-ES_tradnl"/>
        </w:rPr>
        <w:t>ción.</w:t>
      </w:r>
    </w:p>
    <w:p w:rsidR="00224567" w:rsidRDefault="00224567">
      <w:pPr>
        <w:pStyle w:val="Sangra3detindependiente"/>
        <w:widowControl w:val="0"/>
        <w:tabs>
          <w:tab w:val="left" w:pos="2835"/>
        </w:tabs>
        <w:spacing w:line="600" w:lineRule="auto"/>
        <w:ind w:firstLine="2880"/>
      </w:pPr>
      <w:r>
        <w:t>Para mayor ilustración se transcr</w:t>
      </w:r>
      <w:r>
        <w:t>i</w:t>
      </w:r>
      <w:r>
        <w:t>ben a continuación los párrafos más destacados:</w:t>
      </w:r>
    </w:p>
    <w:p w:rsidR="00224567" w:rsidRDefault="00224567">
      <w:pPr>
        <w:widowControl w:val="0"/>
        <w:numPr>
          <w:ilvl w:val="0"/>
          <w:numId w:val="6"/>
        </w:numPr>
        <w:tabs>
          <w:tab w:val="left" w:pos="2835"/>
        </w:tabs>
        <w:rPr>
          <w:szCs w:val="20"/>
          <w:lang w:val="es-ES_tradnl"/>
        </w:rPr>
      </w:pPr>
      <w:r>
        <w:rPr>
          <w:szCs w:val="20"/>
          <w:lang w:val="es-ES_tradnl"/>
        </w:rPr>
        <w:t>Galeano: Acá, Acá... Carlos el tema es así, a la gente le interesa el libro.</w:t>
      </w:r>
    </w:p>
    <w:p w:rsidR="00224567" w:rsidRDefault="00224567">
      <w:pPr>
        <w:widowControl w:val="0"/>
        <w:numPr>
          <w:ilvl w:val="0"/>
          <w:numId w:val="6"/>
        </w:numPr>
        <w:tabs>
          <w:tab w:val="left" w:pos="2835"/>
        </w:tabs>
        <w:rPr>
          <w:szCs w:val="20"/>
          <w:lang w:val="es-ES_tradnl"/>
        </w:rPr>
      </w:pPr>
      <w:r>
        <w:rPr>
          <w:szCs w:val="20"/>
          <w:lang w:val="es-ES_tradnl"/>
        </w:rPr>
        <w:t>Telleldín: ... Lo de Solari,... lo de Solari, a mi me importa un rábano, yo se lo dí a ustedes para d</w:t>
      </w:r>
      <w:r>
        <w:rPr>
          <w:szCs w:val="20"/>
          <w:lang w:val="es-ES_tradnl"/>
        </w:rPr>
        <w:t>e</w:t>
      </w:r>
      <w:r>
        <w:rPr>
          <w:szCs w:val="20"/>
          <w:lang w:val="es-ES_tradnl"/>
        </w:rPr>
        <w:t>mostrarle que a ustedes lo llevaban para cualquier lado, nada más. A mí no me perjudica ni me deja de perjudicar; lo que pasa es que usted con lo de Sol</w:t>
      </w:r>
      <w:r>
        <w:rPr>
          <w:szCs w:val="20"/>
          <w:lang w:val="es-ES_tradnl"/>
        </w:rPr>
        <w:t>a</w:t>
      </w:r>
      <w:r>
        <w:rPr>
          <w:szCs w:val="20"/>
          <w:lang w:val="es-ES_tradnl"/>
        </w:rPr>
        <w:t>ri tiene la participación s</w:t>
      </w:r>
      <w:r>
        <w:rPr>
          <w:szCs w:val="20"/>
          <w:lang w:val="es-ES_tradnl"/>
        </w:rPr>
        <w:t>e</w:t>
      </w:r>
      <w:r>
        <w:rPr>
          <w:szCs w:val="20"/>
          <w:lang w:val="es-ES_tradnl"/>
        </w:rPr>
        <w:t xml:space="preserve">cundaria de </w:t>
      </w:r>
      <w:smartTag w:uri="urn:schemas-microsoft-com:office:smarttags" w:element="PersonName">
        <w:smartTagPr>
          <w:attr w:name="ProductID" w:val="la Bri"/>
        </w:smartTagPr>
        <w:r>
          <w:rPr>
            <w:szCs w:val="20"/>
            <w:lang w:val="es-ES_tradnl"/>
          </w:rPr>
          <w:t>la Bri</w:t>
        </w:r>
      </w:smartTag>
      <w:r>
        <w:rPr>
          <w:szCs w:val="20"/>
          <w:lang w:val="es-ES_tradnl"/>
        </w:rPr>
        <w:softHyphen/>
        <w:t>gada, por lo menos lo de Vicente López y la gente que i</w:t>
      </w:r>
      <w:r>
        <w:rPr>
          <w:szCs w:val="20"/>
          <w:lang w:val="es-ES_tradnl"/>
        </w:rPr>
        <w:t>n</w:t>
      </w:r>
      <w:r>
        <w:rPr>
          <w:szCs w:val="20"/>
          <w:lang w:val="es-ES_tradnl"/>
        </w:rPr>
        <w:t>tervino en eso, ... pero me faltan dos te</w:t>
      </w:r>
      <w:r>
        <w:rPr>
          <w:szCs w:val="20"/>
          <w:lang w:val="es-ES_tradnl"/>
        </w:rPr>
        <w:t>s</w:t>
      </w:r>
      <w:r>
        <w:rPr>
          <w:szCs w:val="20"/>
          <w:lang w:val="es-ES_tradnl"/>
        </w:rPr>
        <w:t>tigos más. ...</w:t>
      </w:r>
    </w:p>
    <w:p w:rsidR="00224567" w:rsidRDefault="00224567">
      <w:pPr>
        <w:widowControl w:val="0"/>
        <w:tabs>
          <w:tab w:val="left" w:pos="2835"/>
        </w:tabs>
        <w:ind w:firstLine="2880"/>
        <w:rPr>
          <w:szCs w:val="20"/>
          <w:lang w:val="es-ES_tradnl"/>
        </w:rPr>
      </w:pPr>
      <w:r>
        <w:rPr>
          <w:szCs w:val="20"/>
          <w:lang w:val="es-ES_tradnl"/>
        </w:rPr>
        <w:t>El mismo interlocutor, en otro pas</w:t>
      </w:r>
      <w:r>
        <w:rPr>
          <w:szCs w:val="20"/>
          <w:lang w:val="es-ES_tradnl"/>
        </w:rPr>
        <w:t>a</w:t>
      </w:r>
      <w:r>
        <w:rPr>
          <w:szCs w:val="20"/>
          <w:lang w:val="es-ES_tradnl"/>
        </w:rPr>
        <w:t>je de la informal reunión, refirió que: “... todo lo que u</w:t>
      </w:r>
      <w:r>
        <w:rPr>
          <w:szCs w:val="20"/>
          <w:lang w:val="es-ES_tradnl"/>
        </w:rPr>
        <w:t>s</w:t>
      </w:r>
      <w:r>
        <w:rPr>
          <w:szCs w:val="20"/>
          <w:lang w:val="es-ES_tradnl"/>
        </w:rPr>
        <w:t>ted sea testigo, no logra nada, no va a llegar a nada, se lo aseguro, sin mí, se lo aseguro. Los testigos están fi</w:t>
      </w:r>
      <w:r>
        <w:rPr>
          <w:szCs w:val="20"/>
          <w:lang w:val="es-ES_tradnl"/>
        </w:rPr>
        <w:t>r</w:t>
      </w:r>
      <w:r>
        <w:rPr>
          <w:szCs w:val="20"/>
          <w:lang w:val="es-ES_tradnl"/>
        </w:rPr>
        <w:t>me a mí, más que acá en este Juzgado, le hablaron re mal de mí, que yo era esto, que yo era lo otro, le cargaron los cart</w:t>
      </w:r>
      <w:r>
        <w:rPr>
          <w:szCs w:val="20"/>
          <w:lang w:val="es-ES_tradnl"/>
        </w:rPr>
        <w:t>u</w:t>
      </w:r>
      <w:r>
        <w:rPr>
          <w:szCs w:val="20"/>
          <w:lang w:val="es-ES_tradnl"/>
        </w:rPr>
        <w:t>chos, y los testigos después por atrás me venían y me decían me enteré de todo, e</w:t>
      </w:r>
      <w:r>
        <w:rPr>
          <w:szCs w:val="20"/>
          <w:lang w:val="es-ES_tradnl"/>
        </w:rPr>
        <w:t>n</w:t>
      </w:r>
      <w:r>
        <w:rPr>
          <w:szCs w:val="20"/>
          <w:lang w:val="es-ES_tradnl"/>
        </w:rPr>
        <w:t>tonces los testigos están todos negativos; tengo que hacer yo un trabajo para que los tipos realmente decl</w:t>
      </w:r>
      <w:r>
        <w:rPr>
          <w:szCs w:val="20"/>
          <w:lang w:val="es-ES_tradnl"/>
        </w:rPr>
        <w:t>a</w:t>
      </w:r>
      <w:r>
        <w:rPr>
          <w:szCs w:val="20"/>
          <w:lang w:val="es-ES_tradnl"/>
        </w:rPr>
        <w:t>ren ¿me entendés?, y aparte darle garantías porque como me paso con los paraguayos, los p</w:t>
      </w:r>
      <w:r>
        <w:rPr>
          <w:szCs w:val="20"/>
          <w:lang w:val="es-ES_tradnl"/>
        </w:rPr>
        <w:t>a</w:t>
      </w:r>
      <w:r>
        <w:rPr>
          <w:szCs w:val="20"/>
          <w:lang w:val="es-ES_tradnl"/>
        </w:rPr>
        <w:t>raguayos (I) estaban ahí duros, no querían abrir la boca,  y les dije muchachos, digan la verdad, vayan y ... me h</w:t>
      </w:r>
      <w:r>
        <w:rPr>
          <w:szCs w:val="20"/>
          <w:lang w:val="es-ES_tradnl"/>
        </w:rPr>
        <w:t>a</w:t>
      </w:r>
      <w:r>
        <w:rPr>
          <w:szCs w:val="20"/>
          <w:lang w:val="es-ES_tradnl"/>
        </w:rPr>
        <w:t>cen un favor a mí, le tuve que preguntar delante de él, si me perjudicaban a mí o si lo perjudicaban a Solari; dijo él que no, bueno perfecto, fueron y declararon...”.</w:t>
      </w:r>
    </w:p>
    <w:p w:rsidR="00224567" w:rsidRDefault="00224567">
      <w:pPr>
        <w:widowControl w:val="0"/>
        <w:tabs>
          <w:tab w:val="left" w:pos="2835"/>
        </w:tabs>
        <w:ind w:firstLine="2880"/>
        <w:rPr>
          <w:szCs w:val="20"/>
          <w:lang w:val="es-ES_tradnl"/>
        </w:rPr>
      </w:pPr>
      <w:r>
        <w:rPr>
          <w:szCs w:val="20"/>
          <w:lang w:val="es-ES_tradnl"/>
        </w:rPr>
        <w:t>En otro tramo del encuentro su</w:t>
      </w:r>
      <w:r>
        <w:rPr>
          <w:szCs w:val="20"/>
          <w:lang w:val="es-ES_tradnl"/>
        </w:rPr>
        <w:t>r</w:t>
      </w:r>
      <w:r>
        <w:rPr>
          <w:szCs w:val="20"/>
          <w:lang w:val="es-ES_tradnl"/>
        </w:rPr>
        <w:t>gió el siguiente diálogo:</w:t>
      </w:r>
    </w:p>
    <w:p w:rsidR="00224567" w:rsidRDefault="00224567">
      <w:pPr>
        <w:widowControl w:val="0"/>
        <w:numPr>
          <w:ilvl w:val="0"/>
          <w:numId w:val="6"/>
        </w:numPr>
        <w:tabs>
          <w:tab w:val="left" w:pos="864"/>
          <w:tab w:val="left" w:pos="1296"/>
          <w:tab w:val="left" w:pos="144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lang w:val="es-ES_tradnl"/>
        </w:rPr>
        <w:t>Telleldín: usted demostró la... desviación con Sol</w:t>
      </w:r>
      <w:r>
        <w:rPr>
          <w:szCs w:val="20"/>
          <w:lang w:val="es-ES_tradnl"/>
        </w:rPr>
        <w:t>a</w:t>
      </w:r>
      <w:r>
        <w:rPr>
          <w:szCs w:val="20"/>
          <w:lang w:val="es-ES_tradnl"/>
        </w:rPr>
        <w:t>ri.... O sea, que la participación secund</w:t>
      </w:r>
      <w:r>
        <w:rPr>
          <w:szCs w:val="20"/>
          <w:lang w:val="es-ES_tradnl"/>
        </w:rPr>
        <w:t>a</w:t>
      </w:r>
      <w:r>
        <w:rPr>
          <w:szCs w:val="20"/>
          <w:lang w:val="es-ES_tradnl"/>
        </w:rPr>
        <w:t>ria, según el código dice que él que perjudique (I) después, para llegar a nada es un partícipe secu</w:t>
      </w:r>
      <w:r>
        <w:rPr>
          <w:szCs w:val="20"/>
          <w:lang w:val="es-ES_tradnl"/>
        </w:rPr>
        <w:t>n</w:t>
      </w:r>
      <w:r>
        <w:rPr>
          <w:szCs w:val="20"/>
          <w:lang w:val="es-ES_tradnl"/>
        </w:rPr>
        <w:t>dario, ¿no?</w:t>
      </w:r>
    </w:p>
    <w:p w:rsidR="00224567" w:rsidRDefault="00224567">
      <w:pPr>
        <w:widowControl w:val="0"/>
        <w:numPr>
          <w:ilvl w:val="0"/>
          <w:numId w:val="6"/>
        </w:numPr>
        <w:tabs>
          <w:tab w:val="left" w:pos="864"/>
          <w:tab w:val="left" w:pos="1296"/>
          <w:tab w:val="left" w:pos="144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lang w:val="es-ES_tradnl"/>
        </w:rPr>
        <w:t>Galeano: Sí, sí.</w:t>
      </w:r>
    </w:p>
    <w:p w:rsidR="00224567" w:rsidRDefault="00224567">
      <w:pPr>
        <w:widowControl w:val="0"/>
        <w:numPr>
          <w:ilvl w:val="0"/>
          <w:numId w:val="6"/>
        </w:numPr>
        <w:tabs>
          <w:tab w:val="left" w:pos="864"/>
          <w:tab w:val="left" w:pos="1296"/>
          <w:tab w:val="left" w:pos="144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lang w:val="es-ES_tradnl"/>
        </w:rPr>
        <w:t>Telleldín: Es necesario.</w:t>
      </w:r>
    </w:p>
    <w:p w:rsidR="00224567" w:rsidRDefault="00224567">
      <w:pPr>
        <w:widowControl w:val="0"/>
        <w:numPr>
          <w:ilvl w:val="0"/>
          <w:numId w:val="6"/>
        </w:numPr>
        <w:tabs>
          <w:tab w:val="left" w:pos="864"/>
          <w:tab w:val="left" w:pos="1296"/>
          <w:tab w:val="left" w:pos="144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lang w:val="es-ES_tradnl"/>
        </w:rPr>
        <w:t>Galeano: Sí.</w:t>
      </w:r>
    </w:p>
    <w:p w:rsidR="00224567" w:rsidRDefault="00224567">
      <w:pPr>
        <w:widowControl w:val="0"/>
        <w:numPr>
          <w:ilvl w:val="0"/>
          <w:numId w:val="6"/>
        </w:numPr>
        <w:tabs>
          <w:tab w:val="left" w:pos="864"/>
          <w:tab w:val="left" w:pos="1296"/>
          <w:tab w:val="left" w:pos="144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szCs w:val="20"/>
          <w:lang w:val="es-ES_tradnl"/>
        </w:rPr>
      </w:pPr>
      <w:r>
        <w:rPr>
          <w:szCs w:val="20"/>
          <w:lang w:val="es-ES_tradnl"/>
        </w:rPr>
        <w:t>Telleldín: Entonces usted, ya con los testigos, los par</w:t>
      </w:r>
      <w:r>
        <w:rPr>
          <w:szCs w:val="20"/>
          <w:lang w:val="es-ES_tradnl"/>
        </w:rPr>
        <w:t>a</w:t>
      </w:r>
      <w:r>
        <w:rPr>
          <w:szCs w:val="20"/>
          <w:lang w:val="es-ES_tradnl"/>
        </w:rPr>
        <w:t xml:space="preserve">guayos, más los dos testigos de Ana y el testigo mío, sobre mí declaración, sobre Vicky, Vicky, o sea, que son los dos testigos que me faltan. Usted ya tiene demostrada la participación de </w:t>
      </w:r>
      <w:smartTag w:uri="urn:schemas-microsoft-com:office:smarttags" w:element="PersonName">
        <w:smartTagPr>
          <w:attr w:name="ProductID" w:val="la Brigada"/>
        </w:smartTagPr>
        <w:r>
          <w:rPr>
            <w:szCs w:val="20"/>
            <w:lang w:val="es-ES_tradnl"/>
          </w:rPr>
          <w:t>la Brigada</w:t>
        </w:r>
      </w:smartTag>
      <w:r>
        <w:rPr>
          <w:szCs w:val="20"/>
          <w:lang w:val="es-ES_tradnl"/>
        </w:rPr>
        <w:t xml:space="preserve"> de Vicente López.</w:t>
      </w:r>
    </w:p>
    <w:p w:rsidR="00224567" w:rsidRDefault="00224567">
      <w:pPr>
        <w:widowControl w:val="0"/>
        <w:tabs>
          <w:tab w:val="left" w:pos="2835"/>
        </w:tabs>
        <w:ind w:firstLine="2880"/>
        <w:rPr>
          <w:szCs w:val="20"/>
        </w:rPr>
      </w:pPr>
      <w:r>
        <w:rPr>
          <w:lang w:val="es-ES_tradnl"/>
        </w:rPr>
        <w:t>En otro momento de la entrevista se advierte que Telleldín afirmó: “</w:t>
      </w:r>
      <w:r>
        <w:rPr>
          <w:szCs w:val="20"/>
        </w:rPr>
        <w:t>Y el único camino que hay es uno sólo, nada más. Vendo el libro y de</w:t>
      </w:r>
      <w:r>
        <w:rPr>
          <w:szCs w:val="20"/>
        </w:rPr>
        <w:t>s</w:t>
      </w:r>
      <w:r>
        <w:rPr>
          <w:szCs w:val="20"/>
        </w:rPr>
        <w:t>pués tengo que declarar durante..., darle los testigos..., tengo que h</w:t>
      </w:r>
      <w:r>
        <w:rPr>
          <w:szCs w:val="20"/>
        </w:rPr>
        <w:t>a</w:t>
      </w:r>
      <w:r>
        <w:rPr>
          <w:szCs w:val="20"/>
        </w:rPr>
        <w:t>blar con ciertos testigos que están apáticos que los t</w:t>
      </w:r>
      <w:r>
        <w:rPr>
          <w:szCs w:val="20"/>
        </w:rPr>
        <w:t>i</w:t>
      </w:r>
      <w:r>
        <w:rPr>
          <w:szCs w:val="20"/>
        </w:rPr>
        <w:t>pos están muy mal, decírles que recuerden lo que pasó y que le digan a usted la verdad, como hice con los paragu</w:t>
      </w:r>
      <w:r>
        <w:rPr>
          <w:szCs w:val="20"/>
        </w:rPr>
        <w:t>a</w:t>
      </w:r>
      <w:r>
        <w:rPr>
          <w:szCs w:val="20"/>
        </w:rPr>
        <w:t>yos. Una vez que declaren todos yo tengo que declarar..., la decl</w:t>
      </w:r>
      <w:r>
        <w:rPr>
          <w:szCs w:val="20"/>
        </w:rPr>
        <w:t>a</w:t>
      </w:r>
      <w:r>
        <w:rPr>
          <w:szCs w:val="20"/>
        </w:rPr>
        <w:t>ración mía no es muy larga porque está to</w:t>
      </w:r>
      <w:r>
        <w:rPr>
          <w:szCs w:val="20"/>
        </w:rPr>
        <w:softHyphen/>
        <w:t>da la verdad y faltan cosas nada más que no dije, tienen que d</w:t>
      </w:r>
      <w:r>
        <w:rPr>
          <w:szCs w:val="20"/>
        </w:rPr>
        <w:t>e</w:t>
      </w:r>
      <w:r>
        <w:rPr>
          <w:szCs w:val="20"/>
        </w:rPr>
        <w:t>clarar los testigos, el empresario que yo le dije, buscar esa foto ... y se te</w:t>
      </w:r>
      <w:r>
        <w:rPr>
          <w:szCs w:val="20"/>
        </w:rPr>
        <w:t>r</w:t>
      </w:r>
      <w:r>
        <w:rPr>
          <w:szCs w:val="20"/>
        </w:rPr>
        <w:t>minó todo ... 0 sea que no hay mucho, después de todo haga de cuenta que le voy a en</w:t>
      </w:r>
      <w:r>
        <w:rPr>
          <w:szCs w:val="20"/>
        </w:rPr>
        <w:softHyphen/>
        <w:t>tregar el capítulo de todo lo que ya tiene..., porque tengo un capítulo que le dediqué a Solari, San Solari yo me hago cargo... Le  entrego el capítulo de Solari y ahí está todo redactado, el tema de Solari con los paraguayos, como pr</w:t>
      </w:r>
      <w:r>
        <w:rPr>
          <w:szCs w:val="20"/>
        </w:rPr>
        <w:t>e</w:t>
      </w:r>
      <w:r>
        <w:rPr>
          <w:szCs w:val="20"/>
        </w:rPr>
        <w:t>pararon (I) la pista, para sacarlo del foco de la invest</w:t>
      </w:r>
      <w:r>
        <w:rPr>
          <w:szCs w:val="20"/>
        </w:rPr>
        <w:t>i</w:t>
      </w:r>
      <w:r>
        <w:rPr>
          <w:szCs w:val="20"/>
        </w:rPr>
        <w:t>gación...”.</w:t>
      </w:r>
    </w:p>
    <w:p w:rsidR="00224567" w:rsidRDefault="00224567">
      <w:pPr>
        <w:widowControl w:val="0"/>
        <w:tabs>
          <w:tab w:val="left" w:pos="2835"/>
        </w:tabs>
        <w:ind w:firstLine="2880"/>
        <w:rPr>
          <w:szCs w:val="20"/>
        </w:rPr>
      </w:pPr>
      <w:r>
        <w:rPr>
          <w:szCs w:val="20"/>
        </w:rPr>
        <w:t>Más adelante el imputado consideró que: “Luego con esto ¿qué demostrás?. Que yo no tuve pa</w:t>
      </w:r>
      <w:r>
        <w:rPr>
          <w:szCs w:val="20"/>
        </w:rPr>
        <w:t>r</w:t>
      </w:r>
      <w:r>
        <w:rPr>
          <w:szCs w:val="20"/>
        </w:rPr>
        <w:t>ticip</w:t>
      </w:r>
      <w:r>
        <w:rPr>
          <w:szCs w:val="20"/>
        </w:rPr>
        <w:t>a</w:t>
      </w:r>
      <w:r>
        <w:rPr>
          <w:szCs w:val="20"/>
        </w:rPr>
        <w:t>ción. (I) con lo que a mí me falta darle, yo con es, ustedes, eh, eh más los testimonios del caso Solari, ust</w:t>
      </w:r>
      <w:r>
        <w:rPr>
          <w:szCs w:val="20"/>
        </w:rPr>
        <w:t>e</w:t>
      </w:r>
      <w:r>
        <w:rPr>
          <w:szCs w:val="20"/>
        </w:rPr>
        <w:t>des tienen ahí la partic</w:t>
      </w:r>
      <w:r>
        <w:rPr>
          <w:szCs w:val="20"/>
        </w:rPr>
        <w:t>i</w:t>
      </w:r>
      <w:r>
        <w:rPr>
          <w:szCs w:val="20"/>
        </w:rPr>
        <w:t>pación”.</w:t>
      </w:r>
    </w:p>
    <w:p w:rsidR="00224567" w:rsidRDefault="00224567">
      <w:pPr>
        <w:widowControl w:val="0"/>
        <w:tabs>
          <w:tab w:val="left" w:pos="2835"/>
        </w:tabs>
        <w:ind w:firstLine="2880"/>
        <w:rPr>
          <w:lang w:val="es-ES_tradnl"/>
        </w:rPr>
      </w:pPr>
      <w:r>
        <w:rPr>
          <w:lang w:val="es-ES_tradnl"/>
        </w:rPr>
        <w:t>De las pruebas citadas surge clarame</w:t>
      </w:r>
      <w:r>
        <w:rPr>
          <w:lang w:val="es-ES_tradnl"/>
        </w:rPr>
        <w:t>n</w:t>
      </w:r>
      <w:r>
        <w:rPr>
          <w:lang w:val="es-ES_tradnl"/>
        </w:rPr>
        <w:t>te que el juez instructor aprovechó la existencia del l</w:t>
      </w:r>
      <w:r>
        <w:rPr>
          <w:lang w:val="es-ES_tradnl"/>
        </w:rPr>
        <w:t>e</w:t>
      </w:r>
      <w:r>
        <w:rPr>
          <w:lang w:val="es-ES_tradnl"/>
        </w:rPr>
        <w:t>gajo nº 13-A para fundar un supuesto desvío de la invest</w:t>
      </w:r>
      <w:r>
        <w:rPr>
          <w:lang w:val="es-ES_tradnl"/>
        </w:rPr>
        <w:t>i</w:t>
      </w:r>
      <w:r>
        <w:rPr>
          <w:lang w:val="es-ES_tradnl"/>
        </w:rPr>
        <w:t xml:space="preserve">gación por parte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Esto se comp</w:t>
      </w:r>
      <w:r>
        <w:rPr>
          <w:lang w:val="es-ES_tradnl"/>
        </w:rPr>
        <w:t>a</w:t>
      </w:r>
      <w:r>
        <w:rPr>
          <w:lang w:val="es-ES_tradnl"/>
        </w:rPr>
        <w:t>dece con el espurio acuerdo al que arribaron el magistrado instructor y Carlos Alberto Telleldín, cuya obra central fue la remunerada declaración del 5 de j</w:t>
      </w:r>
      <w:r>
        <w:rPr>
          <w:lang w:val="es-ES_tradnl"/>
        </w:rPr>
        <w:t>u</w:t>
      </w:r>
      <w:r>
        <w:rPr>
          <w:lang w:val="es-ES_tradnl"/>
        </w:rPr>
        <w:t>lio de 1996.</w:t>
      </w:r>
    </w:p>
    <w:p w:rsidR="00224567" w:rsidRDefault="00224567">
      <w:pPr>
        <w:widowControl w:val="0"/>
        <w:tabs>
          <w:tab w:val="left" w:pos="2835"/>
        </w:tabs>
        <w:ind w:firstLine="2880"/>
        <w:rPr>
          <w:lang w:val="es-ES_tradnl"/>
        </w:rPr>
      </w:pPr>
    </w:p>
    <w:p w:rsidR="00224567" w:rsidRDefault="00224567">
      <w:pPr>
        <w:pStyle w:val="Ttulo3"/>
      </w:pPr>
      <w:r>
        <w:t>M) Arbitraria valoración de informes telefónicos del pr</w:t>
      </w:r>
      <w:r>
        <w:t>o</w:t>
      </w:r>
      <w:r>
        <w:t>cesado Ribelli.</w:t>
      </w:r>
    </w:p>
    <w:p w:rsidR="00224567" w:rsidRDefault="00224567">
      <w:pPr>
        <w:pStyle w:val="Sangradetextonormal"/>
        <w:widowControl w:val="0"/>
        <w:tabs>
          <w:tab w:val="left" w:pos="2835"/>
        </w:tabs>
        <w:ind w:firstLine="2880"/>
      </w:pPr>
      <w:r>
        <w:t>También demuestra la parcialidad del magistrado instructor las valoraciones que efectuó sobre los informes elaborados por las empresas telefón</w:t>
      </w:r>
      <w:r>
        <w:t>i</w:t>
      </w:r>
      <w:r>
        <w:t>cas.</w:t>
      </w:r>
    </w:p>
    <w:p w:rsidR="00224567" w:rsidRDefault="00224567">
      <w:pPr>
        <w:widowControl w:val="0"/>
        <w:tabs>
          <w:tab w:val="left" w:pos="2835"/>
        </w:tabs>
        <w:ind w:firstLine="2880"/>
      </w:pPr>
      <w:r>
        <w:t>En efecto, en el auto de proces</w:t>
      </w:r>
      <w:r>
        <w:t>a</w:t>
      </w:r>
      <w:r>
        <w:t>miento y prisión preventiva, dictado el 31 de julio de 1996, co</w:t>
      </w:r>
      <w:r>
        <w:t>n</w:t>
      </w:r>
      <w:r>
        <w:t>signó que “...las distintas comunicaciones telefónicas c</w:t>
      </w:r>
      <w:r>
        <w:t>o</w:t>
      </w:r>
      <w:r>
        <w:t>rroboraron la presencia de pers</w:t>
      </w:r>
      <w:r>
        <w:t>o</w:t>
      </w:r>
      <w:r>
        <w:t xml:space="preserve">nal de </w:t>
      </w:r>
      <w:smartTag w:uri="urn:schemas-microsoft-com:office:smarttags" w:element="PersonName">
        <w:smartTagPr>
          <w:attr w:name="ProductID" w:val="la Brigada"/>
        </w:smartTagPr>
        <w:r>
          <w:t>la Brigada</w:t>
        </w:r>
      </w:smartTag>
      <w:r>
        <w:t xml:space="preserve"> de Lanús en las proximidades del domicilio de Carlos Alberto T</w:t>
      </w:r>
      <w:r>
        <w:t>e</w:t>
      </w:r>
      <w:r>
        <w:t>lleldín, lo que era demostrativo de la presencia de pers</w:t>
      </w:r>
      <w:r>
        <w:t>o</w:t>
      </w:r>
      <w:r>
        <w:t xml:space="preserve">nal de una brigada de la zona sur en la zona norte...”. Más adelante agregó que “...también </w:t>
      </w:r>
      <w:r>
        <w:rPr>
          <w:b/>
          <w:bCs/>
        </w:rPr>
        <w:t>Ribelli tenía conoc</w:t>
      </w:r>
      <w:r>
        <w:rPr>
          <w:b/>
          <w:bCs/>
        </w:rPr>
        <w:t>i</w:t>
      </w:r>
      <w:r>
        <w:rPr>
          <w:b/>
          <w:bCs/>
        </w:rPr>
        <w:t>miento de la existencia de la c</w:t>
      </w:r>
      <w:r>
        <w:rPr>
          <w:b/>
          <w:bCs/>
        </w:rPr>
        <w:t>a</w:t>
      </w:r>
      <w:r>
        <w:rPr>
          <w:b/>
          <w:bCs/>
        </w:rPr>
        <w:t xml:space="preserve">mioneta Trafic, </w:t>
      </w:r>
      <w:r>
        <w:t xml:space="preserve">ya que los celulares a su nombre  operaron en forma intensa </w:t>
      </w:r>
      <w:r>
        <w:rPr>
          <w:b/>
          <w:bCs/>
        </w:rPr>
        <w:t>(más de treinta llamados) durante los diez días previos; circun</w:t>
      </w:r>
      <w:r>
        <w:rPr>
          <w:b/>
          <w:bCs/>
        </w:rPr>
        <w:t>s</w:t>
      </w:r>
      <w:r>
        <w:rPr>
          <w:b/>
          <w:bCs/>
        </w:rPr>
        <w:t>tancia que c</w:t>
      </w:r>
      <w:r>
        <w:rPr>
          <w:b/>
          <w:bCs/>
        </w:rPr>
        <w:t>e</w:t>
      </w:r>
      <w:r>
        <w:rPr>
          <w:b/>
          <w:bCs/>
        </w:rPr>
        <w:t>sa el 10 de julio de 1994...</w:t>
      </w:r>
      <w:r>
        <w:t>”</w:t>
      </w:r>
    </w:p>
    <w:p w:rsidR="00224567" w:rsidRDefault="00224567">
      <w:pPr>
        <w:pStyle w:val="Sangradetextonormal"/>
        <w:widowControl w:val="0"/>
        <w:tabs>
          <w:tab w:val="left" w:pos="2835"/>
        </w:tabs>
        <w:ind w:firstLine="2880"/>
      </w:pPr>
      <w:r>
        <w:t>Esta última frase, resaltada en negr</w:t>
      </w:r>
      <w:r>
        <w:t>i</w:t>
      </w:r>
      <w:r>
        <w:t>ta por el magistrado, definitivamente, no se ajusta a la ve</w:t>
      </w:r>
      <w:r>
        <w:t>r</w:t>
      </w:r>
      <w:r>
        <w:t>dad.</w:t>
      </w:r>
    </w:p>
    <w:p w:rsidR="00224567" w:rsidRDefault="00224567">
      <w:pPr>
        <w:pStyle w:val="Sangradetextonormal"/>
        <w:widowControl w:val="0"/>
        <w:tabs>
          <w:tab w:val="left" w:pos="2835"/>
        </w:tabs>
        <w:ind w:firstLine="2880"/>
      </w:pPr>
      <w:r>
        <w:t>Ello por cuanto el informe remitido por la empresa “Movicom”, del 28 de junio de 1996 (fs. 38.578/589) da cuenta no sólo de la existencia de regi</w:t>
      </w:r>
      <w:r>
        <w:t>s</w:t>
      </w:r>
      <w:r>
        <w:t>tros telefónicos efectuados con anterioridad al 10 de j</w:t>
      </w:r>
      <w:r>
        <w:t>u</w:t>
      </w:r>
      <w:r>
        <w:t>lio de 1994, sino también con posterioridad a esa fecha.</w:t>
      </w:r>
    </w:p>
    <w:p w:rsidR="00224567" w:rsidRDefault="00224567">
      <w:pPr>
        <w:pStyle w:val="Sangradetextonormal"/>
        <w:widowControl w:val="0"/>
        <w:tabs>
          <w:tab w:val="left" w:pos="2835"/>
        </w:tabs>
        <w:ind w:firstLine="2880"/>
      </w:pPr>
      <w:r>
        <w:t>Así, el Dr. Galeano ocultó treinta y dos llamados registrados en la celda nº 13 (correspondie</w:t>
      </w:r>
      <w:r>
        <w:t>n</w:t>
      </w:r>
      <w:r>
        <w:t>te al domicilio de Carlos Alberto Telle</w:t>
      </w:r>
      <w:r>
        <w:t>l</w:t>
      </w:r>
      <w:r>
        <w:t>dín -República 107 de Villa Ballester-) durante los días 11, 12, 13, 14, 18, 19, 20, 21, 22, 23, 25, 26 y 27 y doce producidos en la celda nº 35 (lindante con la anterior) durante los días 11, 12, 19, 20, 21, 22, 25, 26 y 2; todos del mes de julio de 1994.</w:t>
      </w:r>
    </w:p>
    <w:p w:rsidR="00224567" w:rsidRDefault="00224567">
      <w:pPr>
        <w:pStyle w:val="Sangradetextonormal"/>
        <w:widowControl w:val="0"/>
        <w:tabs>
          <w:tab w:val="left" w:pos="2835"/>
        </w:tabs>
        <w:ind w:firstLine="2880"/>
      </w:pPr>
      <w:r>
        <w:t>Esta arbitraria y engañosa manera de exponer la prueba, fue utilizada especialmente para incr</w:t>
      </w:r>
      <w:r>
        <w:t>i</w:t>
      </w:r>
      <w:r>
        <w:t>minar a Ribelli.</w:t>
      </w:r>
    </w:p>
    <w:p w:rsidR="00224567" w:rsidRDefault="00224567">
      <w:pPr>
        <w:pStyle w:val="Sangradetextonormal"/>
        <w:widowControl w:val="0"/>
        <w:tabs>
          <w:tab w:val="left" w:pos="2835"/>
        </w:tabs>
        <w:ind w:firstLine="2880"/>
      </w:pPr>
      <w:r>
        <w:t>Dicho aserto encuentra apoyatura, ta</w:t>
      </w:r>
      <w:r>
        <w:t>m</w:t>
      </w:r>
      <w:r>
        <w:t>bién, en los dichos de Claudio Adrián Lifschitz, quien m</w:t>
      </w:r>
      <w:r>
        <w:t>a</w:t>
      </w:r>
      <w:r>
        <w:t>nifestó en la audiencia de debate que junto con el pros</w:t>
      </w:r>
      <w:r>
        <w:t>e</w:t>
      </w:r>
      <w:r>
        <w:t>cretario Agustín Gamboa, advirtieron, al analizar el al</w:t>
      </w:r>
      <w:r>
        <w:t>u</w:t>
      </w:r>
      <w:r>
        <w:t>dido informe de “Movicom”, que los celulares de Ribelli hab</w:t>
      </w:r>
      <w:r>
        <w:t>í</w:t>
      </w:r>
      <w:r>
        <w:t>an operado no sólo durante los diez días previos al 10 de julio de 1994, sino también durante todo ese mes. De ese modo, señaló el testigo, dejaba de tener sentido el hecho de que teléfonos que debían operar en la zona sur aparecieran en la zona norte únicamente en el transcurso de esos diez días.</w:t>
      </w:r>
    </w:p>
    <w:p w:rsidR="00224567" w:rsidRDefault="00224567">
      <w:pPr>
        <w:pStyle w:val="Sangradetextonormal"/>
        <w:widowControl w:val="0"/>
        <w:tabs>
          <w:tab w:val="left" w:pos="2835"/>
        </w:tabs>
        <w:ind w:firstLine="2880"/>
      </w:pPr>
      <w:r>
        <w:t>Agregó que comentó esta circunsta</w:t>
      </w:r>
      <w:r>
        <w:t>n</w:t>
      </w:r>
      <w:r>
        <w:t xml:space="preserve">cia a </w:t>
      </w:r>
      <w:smartTag w:uri="urn:schemas-microsoft-com:office:smarttags" w:element="PersonName">
        <w:smartTagPr>
          <w:attr w:name="ProductID" w:val="la Dra. Mar￭a"/>
        </w:smartTagPr>
        <w:r>
          <w:t>la Dra. María</w:t>
        </w:r>
      </w:smartTag>
      <w:r>
        <w:t xml:space="preserve"> Susana Spina, quien luego de co</w:t>
      </w:r>
      <w:r>
        <w:t>n</w:t>
      </w:r>
      <w:r>
        <w:t>sultar al juez federal Juan José Galeano, les ordenó que sólo volc</w:t>
      </w:r>
      <w:r>
        <w:t>a</w:t>
      </w:r>
      <w:r>
        <w:t>ran en el auto de procesamiento  los registros  telefón</w:t>
      </w:r>
      <w:r>
        <w:t>i</w:t>
      </w:r>
      <w:r>
        <w:t>cos correspondientes al 10 de julio de 1994, y que omiti</w:t>
      </w:r>
      <w:r>
        <w:t>e</w:t>
      </w:r>
      <w:r>
        <w:t>ran referirse a los registrados con posterioridad a esa data.</w:t>
      </w:r>
    </w:p>
    <w:p w:rsidR="00224567" w:rsidRDefault="00224567">
      <w:pPr>
        <w:pStyle w:val="Sangradetextonormal"/>
        <w:widowControl w:val="0"/>
        <w:tabs>
          <w:tab w:val="left" w:pos="2835"/>
        </w:tabs>
        <w:ind w:firstLine="2880"/>
      </w:pPr>
      <w:r>
        <w:t>No puede soslayarse que en su ampli</w:t>
      </w:r>
      <w:r>
        <w:t>a</w:t>
      </w:r>
      <w:r>
        <w:t>ción indagatoria, brindada el día 24 de marzo de 1997, Juan José Ribelli  resaltó puntualmente la irregularidad cometida por el juez, entregándole copias del informe de la empresa  “Movicom” obrante en la causa y detallando c</w:t>
      </w:r>
      <w:r>
        <w:t>a</w:t>
      </w:r>
      <w:r>
        <w:t>da uno de los llamados omitidos; sin e</w:t>
      </w:r>
      <w:r>
        <w:t>m</w:t>
      </w:r>
      <w:r>
        <w:t>bargo el magistrado sólo se limitó a reservar la docume</w:t>
      </w:r>
      <w:r>
        <w:t>n</w:t>
      </w:r>
      <w:r>
        <w:t>tación en Secretaría.</w:t>
      </w:r>
    </w:p>
    <w:p w:rsidR="00224567" w:rsidRDefault="00224567">
      <w:pPr>
        <w:pStyle w:val="Sangradetextonormal"/>
        <w:widowControl w:val="0"/>
        <w:tabs>
          <w:tab w:val="left" w:pos="2835"/>
        </w:tabs>
        <w:ind w:firstLine="2880"/>
      </w:pPr>
      <w:r>
        <w:t>Este sistemático proceder importa un cercenamiento del derecho de defensa y debido proceso, a la vez que demuestra que en este tema la prueba se amañó en una dirección preestablecida para imputar, en este c</w:t>
      </w:r>
      <w:r>
        <w:t>a</w:t>
      </w:r>
      <w:r>
        <w:t>so, a Juan José Ribelli.</w:t>
      </w:r>
    </w:p>
    <w:p w:rsidR="00224567" w:rsidRDefault="00224567">
      <w:pPr>
        <w:pStyle w:val="Sangradetextonormal"/>
        <w:widowControl w:val="0"/>
        <w:tabs>
          <w:tab w:val="left" w:pos="2835"/>
        </w:tabs>
        <w:ind w:firstLine="2880"/>
      </w:pPr>
    </w:p>
    <w:p w:rsidR="00224567" w:rsidRDefault="00224567">
      <w:pPr>
        <w:pStyle w:val="Ttulo3"/>
        <w:keepNext w:val="0"/>
        <w:widowControl w:val="0"/>
      </w:pPr>
      <w:r>
        <w:t>N) Caprichoso empleo de la conversación mantenida telef</w:t>
      </w:r>
      <w:r>
        <w:t>ó</w:t>
      </w:r>
      <w:r>
        <w:t>nicamente  entre Juan Carlos Nicolau y  Carmelo Juan Io</w:t>
      </w:r>
      <w:r>
        <w:t>n</w:t>
      </w:r>
      <w:r>
        <w:t>no.</w:t>
      </w:r>
    </w:p>
    <w:p w:rsidR="00224567" w:rsidRDefault="00224567">
      <w:pPr>
        <w:widowControl w:val="0"/>
        <w:tabs>
          <w:tab w:val="left" w:pos="2835"/>
        </w:tabs>
        <w:ind w:firstLine="2880"/>
      </w:pPr>
      <w:r>
        <w:t>En este orden de manejos y manipul</w:t>
      </w:r>
      <w:r>
        <w:t>a</w:t>
      </w:r>
      <w:r>
        <w:t>ciones por parte del juez y demás funcionarios polici</w:t>
      </w:r>
      <w:r>
        <w:t>a</w:t>
      </w:r>
      <w:r>
        <w:t>les, no se puede dejar de mencionar la actividad que, superv</w:t>
      </w:r>
      <w:r>
        <w:t>i</w:t>
      </w:r>
      <w:r>
        <w:t>sada por el magistrado, le cupo al entonces Director Gen</w:t>
      </w:r>
      <w:r>
        <w:t>e</w:t>
      </w:r>
      <w:r>
        <w:t xml:space="preserve">ral de </w:t>
      </w:r>
      <w:smartTag w:uri="urn:schemas-microsoft-com:office:smarttags" w:element="PersonName">
        <w:smartTagPr>
          <w:attr w:name="ProductID" w:val="la Direcci￳n General"/>
        </w:smartTagPr>
        <w:r>
          <w:t>la Dirección General</w:t>
        </w:r>
      </w:smartTag>
      <w:r>
        <w:t xml:space="preserve"> de Investigaciones de </w:t>
      </w:r>
      <w:smartTag w:uri="urn:schemas-microsoft-com:office:smarttags" w:element="PersonName">
        <w:smartTagPr>
          <w:attr w:name="ProductID" w:val="la Polic￭a Bonaerense"/>
        </w:smartTagPr>
        <w:r>
          <w:t>la Pol</w:t>
        </w:r>
        <w:r>
          <w:t>i</w:t>
        </w:r>
        <w:r>
          <w:t>cía Bonaerense</w:t>
        </w:r>
      </w:smartTag>
      <w:r>
        <w:t>, comisario general Armando Antonio C</w:t>
      </w:r>
      <w:r>
        <w:t>a</w:t>
      </w:r>
      <w:r>
        <w:t xml:space="preserve">labró, al jefe de operaciones de esa dependencia, al Oficial Principal Jorge Sebastián Menno y al jefe de </w:t>
      </w:r>
      <w:smartTag w:uri="urn:schemas-microsoft-com:office:smarttags" w:element="PersonName">
        <w:smartTagPr>
          <w:attr w:name="ProductID" w:val="la Divisi￳n Sustracci￳n"/>
        </w:smartTagPr>
        <w:r>
          <w:t>la División Sustracción</w:t>
        </w:r>
      </w:smartTag>
      <w:r>
        <w:t xml:space="preserve"> Automotores de Vicente López, comisario José Jofré. </w:t>
      </w:r>
    </w:p>
    <w:p w:rsidR="00224567" w:rsidRDefault="00224567">
      <w:pPr>
        <w:widowControl w:val="0"/>
        <w:tabs>
          <w:tab w:val="left" w:pos="2835"/>
        </w:tabs>
        <w:ind w:firstLine="2880"/>
      </w:pPr>
      <w:r>
        <w:t>Así, los procedimientos que empleó C</w:t>
      </w:r>
      <w:r>
        <w:t>a</w:t>
      </w:r>
      <w:r>
        <w:t>labró, junto a los nombrados, en la investigación que el 19 de julio de 1996 le encomendó el Dr. Galeano a fs. 40.155, con relación al contenido de la conversación tel</w:t>
      </w:r>
      <w:r>
        <w:t>e</w:t>
      </w:r>
      <w:r>
        <w:t>fónica mantenida el 18 de j</w:t>
      </w:r>
      <w:r>
        <w:t>u</w:t>
      </w:r>
      <w:r>
        <w:t>lio de 1996 entre Juan Carlos Nicolau y Carmelo Juan Ionno, a través de la línea nº 664-5988, que consta en la casete 10, lado B (fs.40.167/9), mas allá de los resultados obtenidos, resultaron reñidos con las normas legales vigentes que regulan las garantías del debido pr</w:t>
      </w:r>
      <w:r>
        <w:t>o</w:t>
      </w:r>
      <w:r>
        <w:t>ceso.</w:t>
      </w:r>
    </w:p>
    <w:p w:rsidR="00224567" w:rsidRDefault="00224567">
      <w:pPr>
        <w:widowControl w:val="0"/>
        <w:tabs>
          <w:tab w:val="left" w:pos="2835"/>
        </w:tabs>
        <w:ind w:firstLine="2880"/>
      </w:pPr>
      <w:r>
        <w:t>En efecto, al deponer Calabró dura</w:t>
      </w:r>
      <w:r>
        <w:t>n</w:t>
      </w:r>
      <w:r>
        <w:t>te la audiencia de debate refirió que luego de la detención de los policías, por intermedio del jefe de la fuerza, fue convocado por Galeano para una tarea investigativa, conc</w:t>
      </w:r>
      <w:r>
        <w:t>u</w:t>
      </w:r>
      <w:r>
        <w:t>rriendo al juzgado junto con el Dr. Alejandro Pérez Carr</w:t>
      </w:r>
      <w:r>
        <w:t>e</w:t>
      </w:r>
      <w:r>
        <w:t xml:space="preserve">ga, por entonces, Subsecretario de Seguridad de la prov. de Buenos Aires. </w:t>
      </w:r>
    </w:p>
    <w:p w:rsidR="00224567" w:rsidRDefault="00224567">
      <w:pPr>
        <w:widowControl w:val="0"/>
        <w:tabs>
          <w:tab w:val="left" w:pos="2835"/>
        </w:tabs>
        <w:ind w:firstLine="2880"/>
      </w:pPr>
      <w:r>
        <w:t>Agregó que también asistieron un com</w:t>
      </w:r>
      <w:r>
        <w:t>i</w:t>
      </w:r>
      <w:r>
        <w:t>sario general de apellido Ramírez y el fiscal Mullen. Allí, el Dr. Galeano le hizo escuchar la grabación de una conve</w:t>
      </w:r>
      <w:r>
        <w:t>r</w:t>
      </w:r>
      <w:r>
        <w:t>sación en la que se hablaba de un vehículo y de una gente de Tigre, diciéndole que una de las voces pertenecía a un suboficial de la bonaerense de apellido Nicolau y la otra a una persona de nombre Juan, que podía ser el he</w:t>
      </w:r>
      <w:r>
        <w:t>r</w:t>
      </w:r>
      <w:r>
        <w:t>mano de Ribelli, solicitándole que investigue y profundice esa situación, por entender que los interlocutores se e</w:t>
      </w:r>
      <w:r>
        <w:t>s</w:t>
      </w:r>
      <w:r>
        <w:t>taban ref</w:t>
      </w:r>
      <w:r>
        <w:t>i</w:t>
      </w:r>
      <w:r>
        <w:t>riendo a la camioneta utilizada en el atentado y que necesitaba esa información para el día lunes porque pensaba incluirla en el auto de procesamiento y prisión preventiva próximo a dicta</w:t>
      </w:r>
      <w:r>
        <w:t>r</w:t>
      </w:r>
      <w:r>
        <w:t>se.</w:t>
      </w:r>
    </w:p>
    <w:p w:rsidR="00224567" w:rsidRDefault="00224567">
      <w:pPr>
        <w:widowControl w:val="0"/>
        <w:tabs>
          <w:tab w:val="left" w:pos="2835"/>
        </w:tabs>
        <w:ind w:firstLine="2880"/>
      </w:pPr>
      <w:r>
        <w:t>Que ello ocurrió un jueves, advirtie</w:t>
      </w:r>
      <w:r>
        <w:t>n</w:t>
      </w:r>
      <w:r>
        <w:t>do que tenía escasas 72 horas para esclarecer el hecho, no contando con ningún otro elemento más que la cinta que le entregó el magistrado, pese a que le reclamó sin éxito t</w:t>
      </w:r>
      <w:r>
        <w:t>e</w:t>
      </w:r>
      <w:r>
        <w:t>ner acceso a piezas de la causa y a la intervención tel</w:t>
      </w:r>
      <w:r>
        <w:t>e</w:t>
      </w:r>
      <w:r>
        <w:t>fónica de la que surgía la conversación a i</w:t>
      </w:r>
      <w:r>
        <w:t>n</w:t>
      </w:r>
      <w:r>
        <w:t>vestigar.</w:t>
      </w:r>
    </w:p>
    <w:p w:rsidR="00224567" w:rsidRDefault="00224567">
      <w:pPr>
        <w:widowControl w:val="0"/>
        <w:tabs>
          <w:tab w:val="left" w:pos="2835"/>
        </w:tabs>
        <w:ind w:firstLine="2880"/>
      </w:pPr>
      <w:r>
        <w:t>Reconoció que por respeto al magistr</w:t>
      </w:r>
      <w:r>
        <w:t>a</w:t>
      </w:r>
      <w:r>
        <w:t>do se comprometió a hacer todo lo posible para cu</w:t>
      </w:r>
      <w:r>
        <w:t>m</w:t>
      </w:r>
      <w:r>
        <w:t>plir lo requerido, a sabiendas que no era una investigación que pudiese practicarse contando solo con una cinta de la que surgía una conversación entre dos personas que duraba m</w:t>
      </w:r>
      <w:r>
        <w:t>e</w:t>
      </w:r>
      <w:r>
        <w:t>nos de dos minutos.</w:t>
      </w:r>
    </w:p>
    <w:p w:rsidR="00224567" w:rsidRDefault="00224567">
      <w:pPr>
        <w:widowControl w:val="0"/>
        <w:tabs>
          <w:tab w:val="left" w:pos="2835"/>
        </w:tabs>
        <w:ind w:firstLine="2880"/>
      </w:pPr>
      <w:r>
        <w:t>Agregó que al retirarse del despacho del Dr. Galeano le comentó preocupado al Dr. Pérez C</w:t>
      </w:r>
      <w:r>
        <w:t>a</w:t>
      </w:r>
      <w:r>
        <w:t>rrega que eso era una "papa caliente", que necesitaba tiempo y un ordenamiento de la investig</w:t>
      </w:r>
      <w:r>
        <w:t>a</w:t>
      </w:r>
      <w:r>
        <w:t>ción; que en setenta y dos horas muy poco podía hacer dada la magnitud de lo que se estaba investigando y su desconoc</w:t>
      </w:r>
      <w:r>
        <w:t>i</w:t>
      </w:r>
      <w:r>
        <w:t>miento sobre la causa.</w:t>
      </w:r>
    </w:p>
    <w:p w:rsidR="00224567" w:rsidRDefault="00224567">
      <w:pPr>
        <w:widowControl w:val="0"/>
        <w:tabs>
          <w:tab w:val="left" w:pos="2835"/>
        </w:tabs>
        <w:ind w:firstLine="2880"/>
      </w:pPr>
      <w:r>
        <w:t>Ante tal alternativa, con los pocos elementos que le proporcionó el juez, pensó que lo único que podía hacer era determinar la identidad de la segunda voz y efectuar sobre los sospechados un interrogatorio sorpresivo, a sabiendas de que no contaba con ningún s</w:t>
      </w:r>
      <w:r>
        <w:t>o</w:t>
      </w:r>
      <w:r>
        <w:t>porte legal para ello.</w:t>
      </w:r>
    </w:p>
    <w:p w:rsidR="00224567" w:rsidRDefault="00224567">
      <w:pPr>
        <w:widowControl w:val="0"/>
        <w:tabs>
          <w:tab w:val="left" w:pos="2835"/>
        </w:tabs>
        <w:ind w:firstLine="2880"/>
      </w:pPr>
      <w:r>
        <w:t>Así fue que, ante la imposibil</w:t>
      </w:r>
      <w:r>
        <w:t>i</w:t>
      </w:r>
      <w:r>
        <w:t>dad de lograr el comparendo por medio de una citación, co</w:t>
      </w:r>
      <w:r>
        <w:t>n</w:t>
      </w:r>
      <w:r>
        <w:t xml:space="preserve">vocó al comisario José Jofre, jefe de </w:t>
      </w:r>
      <w:smartTag w:uri="urn:schemas-microsoft-com:office:smarttags" w:element="PersonName">
        <w:smartTagPr>
          <w:attr w:name="ProductID" w:val="la Divisi￳n Sustracci￳n"/>
        </w:smartTagPr>
        <w:r>
          <w:t>la División Sustracción</w:t>
        </w:r>
      </w:smartTag>
      <w:r>
        <w:t xml:space="preserve"> A</w:t>
      </w:r>
      <w:r>
        <w:t>u</w:t>
      </w:r>
      <w:r>
        <w:t>tomotores de Vicente López, donde cumplían funciones tanto Nicolau como Juan Carlos Ribelli, disponiendo para el mi</w:t>
      </w:r>
      <w:r>
        <w:t>s</w:t>
      </w:r>
      <w:r>
        <w:t>mo día -20 de julio de 1996- un operativo de control veh</w:t>
      </w:r>
      <w:r>
        <w:t>i</w:t>
      </w:r>
      <w:r>
        <w:t>cular en la vía pública del que debían participar los no</w:t>
      </w:r>
      <w:r>
        <w:t>m</w:t>
      </w:r>
      <w:r>
        <w:t>br</w:t>
      </w:r>
      <w:r>
        <w:t>a</w:t>
      </w:r>
      <w:r>
        <w:t>dos.</w:t>
      </w:r>
    </w:p>
    <w:p w:rsidR="00224567" w:rsidRDefault="00224567">
      <w:pPr>
        <w:widowControl w:val="0"/>
        <w:tabs>
          <w:tab w:val="left" w:pos="2835"/>
        </w:tabs>
        <w:ind w:firstLine="2880"/>
      </w:pPr>
      <w:r>
        <w:t>Que Jofré tenía la orden de conc</w:t>
      </w:r>
      <w:r>
        <w:t>u</w:t>
      </w:r>
      <w:r>
        <w:t>rrir al operativo, que era la excusa para convocarlos, y una vez certificada la presencia de los nombrados, sin despe</w:t>
      </w:r>
      <w:r>
        <w:t>r</w:t>
      </w:r>
      <w:r>
        <w:t xml:space="preserve">tar sospechas, trasladarlos a la sede de </w:t>
      </w:r>
      <w:smartTag w:uri="urn:schemas-microsoft-com:office:smarttags" w:element="PersonName">
        <w:smartTagPr>
          <w:attr w:name="ProductID" w:val="la Jefatura"/>
        </w:smartTagPr>
        <w:r>
          <w:t>la Jefatura</w:t>
        </w:r>
      </w:smartTag>
      <w:r>
        <w:t xml:space="preserve"> para interrogarlos en forma separada, evitando que tuviesen contacto físico o telefónico.</w:t>
      </w:r>
    </w:p>
    <w:p w:rsidR="00224567" w:rsidRDefault="00224567">
      <w:pPr>
        <w:widowControl w:val="0"/>
        <w:tabs>
          <w:tab w:val="left" w:pos="2835"/>
        </w:tabs>
        <w:ind w:firstLine="2880"/>
      </w:pPr>
      <w:r>
        <w:t>Agregó que mientras se impleme</w:t>
      </w:r>
      <w:r>
        <w:t>n</w:t>
      </w:r>
      <w:r>
        <w:t>taba el operativo, hizo escuchar la cinta al oficial principal Jorge Sebastián Menno, jefe de Operaciones de  esa Dire</w:t>
      </w:r>
      <w:r>
        <w:t>c</w:t>
      </w:r>
      <w:r>
        <w:t>ción General, quien le manifestó que la voz de quien h</w:t>
      </w:r>
      <w:r>
        <w:t>a</w:t>
      </w:r>
      <w:r>
        <w:t>blaba con Nicolau, no correspondía al hermano de Ribelli sino a un tal Juan, un civil que tenía una joyería.</w:t>
      </w:r>
    </w:p>
    <w:p w:rsidR="00224567" w:rsidRDefault="00224567">
      <w:pPr>
        <w:widowControl w:val="0"/>
        <w:tabs>
          <w:tab w:val="left" w:pos="2835"/>
        </w:tabs>
        <w:ind w:firstLine="2880"/>
      </w:pPr>
      <w:r>
        <w:t>Ante ello, se comunicó telefónic</w:t>
      </w:r>
      <w:r>
        <w:t>a</w:t>
      </w:r>
      <w:r>
        <w:t>mente con el Dr. Galeano a quien puso al tanto de la novedad e interiorizó del operativo dispuesto para, mediante un fa</w:t>
      </w:r>
      <w:r>
        <w:t>c</w:t>
      </w:r>
      <w:r>
        <w:t>tor sorpresa, poder interroga</w:t>
      </w:r>
      <w:r>
        <w:t>r</w:t>
      </w:r>
      <w:r>
        <w:t xml:space="preserve">los. </w:t>
      </w:r>
    </w:p>
    <w:p w:rsidR="00224567" w:rsidRDefault="00224567">
      <w:pPr>
        <w:widowControl w:val="0"/>
        <w:tabs>
          <w:tab w:val="left" w:pos="2835"/>
        </w:tabs>
        <w:ind w:firstLine="2880"/>
      </w:pPr>
      <w:r>
        <w:t>Recordó el testigo, con relación a la identidad del mencionado Juan, que al comentarle al magi</w:t>
      </w:r>
      <w:r>
        <w:t>s</w:t>
      </w:r>
      <w:r>
        <w:t>trado la actividad que tenía, según lo dicho por Menno, enseguida aquel le dijo que era Juan Ionno, compadre de Juan José Ribelli.</w:t>
      </w:r>
    </w:p>
    <w:p w:rsidR="00224567" w:rsidRDefault="00224567">
      <w:pPr>
        <w:widowControl w:val="0"/>
        <w:tabs>
          <w:tab w:val="left" w:pos="2835"/>
        </w:tabs>
        <w:ind w:firstLine="2880"/>
      </w:pPr>
      <w:r>
        <w:t>Agregó que ese mismo día, siendo apr</w:t>
      </w:r>
      <w:r>
        <w:t>o</w:t>
      </w:r>
      <w:r>
        <w:t>ximadamente las 14.30, recibió un llamado de Jofré quien le hizo saber que tenía a Nicolau y Juan Carlos R</w:t>
      </w:r>
      <w:r>
        <w:t>i</w:t>
      </w:r>
      <w:r>
        <w:t>belli en el lugar del operativo, ordenando ante ello que los tra</w:t>
      </w:r>
      <w:r>
        <w:t>s</w:t>
      </w:r>
      <w:r>
        <w:t>ladase a su despacho.</w:t>
      </w:r>
    </w:p>
    <w:p w:rsidR="00224567" w:rsidRDefault="00224567">
      <w:pPr>
        <w:widowControl w:val="0"/>
        <w:tabs>
          <w:tab w:val="left" w:pos="2835"/>
        </w:tabs>
        <w:ind w:firstLine="2880"/>
      </w:pPr>
      <w:r>
        <w:t>Ante tal circunstancia, inició los preparativos para documentar los interrogatorios, así c</w:t>
      </w:r>
      <w:r>
        <w:t>o</w:t>
      </w:r>
      <w:r>
        <w:t>locó en su despacho en forma encubierta, equipos de film</w:t>
      </w:r>
      <w:r>
        <w:t>a</w:t>
      </w:r>
      <w:r>
        <w:t>ción y grabación.</w:t>
      </w:r>
    </w:p>
    <w:p w:rsidR="00224567" w:rsidRDefault="00224567">
      <w:pPr>
        <w:widowControl w:val="0"/>
        <w:tabs>
          <w:tab w:val="left" w:pos="2835"/>
        </w:tabs>
        <w:ind w:firstLine="2880"/>
      </w:pPr>
      <w:r>
        <w:t>Al mismo tiempo, aprovechando el con</w:t>
      </w:r>
      <w:r>
        <w:t>o</w:t>
      </w:r>
      <w:r>
        <w:t>cimiento que Menno tenía de Ionno, le solicitó que media</w:t>
      </w:r>
      <w:r>
        <w:t>n</w:t>
      </w:r>
      <w:r>
        <w:t>te algún artilugio lo ubicara y lo hiciera comparecer, m</w:t>
      </w:r>
      <w:r>
        <w:t>a</w:t>
      </w:r>
      <w:r>
        <w:t>nifestando textualmente "... entre comillas, no se en c</w:t>
      </w:r>
      <w:r>
        <w:t>a</w:t>
      </w:r>
      <w:r>
        <w:t>lidad de que, hasta jugando un poco quien sabe, hasta que me diga usted me está privando de mi libertad.." Fue así, que aquél lo c</w:t>
      </w:r>
      <w:r>
        <w:t>i</w:t>
      </w:r>
      <w:r>
        <w:t xml:space="preserve">tó en un bar de la ciudad de </w:t>
      </w:r>
      <w:smartTag w:uri="urn:schemas-microsoft-com:office:smarttags" w:element="PersonName">
        <w:smartTagPr>
          <w:attr w:name="ProductID" w:val="La Plata"/>
        </w:smartTagPr>
        <w:r>
          <w:t>La Plata</w:t>
        </w:r>
      </w:smartTag>
      <w:r>
        <w:t xml:space="preserve"> y de allí lo condujo a la jefatura.</w:t>
      </w:r>
    </w:p>
    <w:p w:rsidR="00224567" w:rsidRDefault="00224567">
      <w:pPr>
        <w:widowControl w:val="0"/>
        <w:tabs>
          <w:tab w:val="left" w:pos="2835"/>
        </w:tabs>
        <w:ind w:firstLine="2880"/>
      </w:pPr>
      <w:r>
        <w:t xml:space="preserve">Agregó que una vez que Jofre arribó a </w:t>
      </w:r>
      <w:smartTag w:uri="urn:schemas-microsoft-com:office:smarttags" w:element="PersonName">
        <w:smartTagPr>
          <w:attr w:name="ProductID" w:val="la Direcci￳n General"/>
        </w:smartTagPr>
        <w:r>
          <w:t>la Dirección General</w:t>
        </w:r>
      </w:smartTag>
      <w:r>
        <w:t xml:space="preserve"> junto con Juan Carlos Ribelli y Juan Carlos Nicolau, se los alojó en distintas oficinas, al igual que Carmelo Juan Ionno quien fue llevado por el of</w:t>
      </w:r>
      <w:r>
        <w:t>i</w:t>
      </w:r>
      <w:r>
        <w:t>cial Menno.</w:t>
      </w:r>
    </w:p>
    <w:p w:rsidR="00224567" w:rsidRDefault="00224567">
      <w:pPr>
        <w:widowControl w:val="0"/>
        <w:tabs>
          <w:tab w:val="left" w:pos="2835"/>
        </w:tabs>
        <w:ind w:firstLine="2880"/>
      </w:pPr>
      <w:r>
        <w:t>Calabró explicó que interrogó a los tres separadamente, reconociendo tanto Ionno como Nic</w:t>
      </w:r>
      <w:r>
        <w:t>o</w:t>
      </w:r>
      <w:r>
        <w:t xml:space="preserve">lau haber mantenido esa conversación, siendo contestes al afirmar que repitieron lo que habían escuchado en </w:t>
      </w:r>
      <w:smartTag w:uri="urn:schemas-microsoft-com:office:smarttags" w:element="PersonName">
        <w:smartTagPr>
          <w:attr w:name="ProductID" w:val="la Divisi￳n Sustracci￳n"/>
        </w:smartTagPr>
        <w:r>
          <w:t>la Div</w:t>
        </w:r>
        <w:r>
          <w:t>i</w:t>
        </w:r>
        <w:r>
          <w:t>sión Sustracción</w:t>
        </w:r>
      </w:smartTag>
      <w:r>
        <w:t xml:space="preserve"> de Automotores de Vicente López.</w:t>
      </w:r>
    </w:p>
    <w:p w:rsidR="00224567" w:rsidRDefault="00224567">
      <w:pPr>
        <w:widowControl w:val="0"/>
        <w:tabs>
          <w:tab w:val="left" w:pos="2835"/>
        </w:tabs>
        <w:ind w:firstLine="2880"/>
      </w:pPr>
      <w:r>
        <w:t>Adunó el testigo que, una vez final</w:t>
      </w:r>
      <w:r>
        <w:t>i</w:t>
      </w:r>
      <w:r>
        <w:t>zados los interrogatorios, se comunicó telefónicame</w:t>
      </w:r>
      <w:r>
        <w:t>n</w:t>
      </w:r>
      <w:r>
        <w:t>te con el Dr. Galeano a quien interiorizó brevemente de los r</w:t>
      </w:r>
      <w:r>
        <w:t>e</w:t>
      </w:r>
      <w:r>
        <w:t>sultados obtenidos y consultó acerca del temperamento a seguir para con las tres personas interrogadas que se e</w:t>
      </w:r>
      <w:r>
        <w:t>n</w:t>
      </w:r>
      <w:r>
        <w:t xml:space="preserve">contraban en el asiento de </w:t>
      </w:r>
      <w:smartTag w:uri="urn:schemas-microsoft-com:office:smarttags" w:element="PersonName">
        <w:smartTagPr>
          <w:attr w:name="ProductID" w:val="la Direcci￳n"/>
        </w:smartTagPr>
        <w:r>
          <w:t>la Dirección</w:t>
        </w:r>
      </w:smartTag>
      <w:r>
        <w:t>, refiriéndole el magistrado que no adoptara medida alguna; que el material obtenido en virtud de los interrogat</w:t>
      </w:r>
      <w:r>
        <w:t>o</w:t>
      </w:r>
      <w:r>
        <w:t>rios -grabaciones de audio y filmaciones- se los llevara personalmente al tr</w:t>
      </w:r>
      <w:r>
        <w:t>i</w:t>
      </w:r>
      <w:r>
        <w:t>bunal, cosa que hizo esa misma noche; oportunidad en la que el Dr. Galeano le dijo que lo  analizaría y ante cua</w:t>
      </w:r>
      <w:r>
        <w:t>l</w:t>
      </w:r>
      <w:r>
        <w:t>quier novedad se la haría s</w:t>
      </w:r>
      <w:r>
        <w:t>a</w:t>
      </w:r>
      <w:r>
        <w:t>ber.</w:t>
      </w:r>
    </w:p>
    <w:p w:rsidR="00224567" w:rsidRDefault="00224567">
      <w:pPr>
        <w:widowControl w:val="0"/>
        <w:tabs>
          <w:tab w:val="left" w:pos="2835"/>
        </w:tabs>
        <w:ind w:firstLine="2880"/>
      </w:pPr>
      <w:r>
        <w:t>Calabró explicó que en la mencionada conversación telefónica no le comentó al juez las dificu</w:t>
      </w:r>
      <w:r>
        <w:t>l</w:t>
      </w:r>
      <w:r>
        <w:t>tades legales que se le presentaban para hacer co</w:t>
      </w:r>
      <w:r>
        <w:t>m</w:t>
      </w:r>
      <w:r>
        <w:t>parecer a un civil, en alusión a Ionno. En ese sentido, expresó: ”...No, en realidad no, fue mi interés de colaborar, de llevar a cabo algo que pudiera ser de utilidad para la i</w:t>
      </w:r>
      <w:r>
        <w:t>n</w:t>
      </w:r>
      <w:r>
        <w:t>vestigación, este me llevó, quien sabe, a poder estar ha</w:t>
      </w:r>
      <w:r>
        <w:t>s</w:t>
      </w:r>
      <w:r>
        <w:t>ta incurso en algún delito, pero medí las consecuencias y consid</w:t>
      </w:r>
      <w:r>
        <w:t>e</w:t>
      </w:r>
      <w:r>
        <w:t>ré que no podía volver con las manos vacías si bien el tiempo que me habían dado era limitadísimo, por lo m</w:t>
      </w:r>
      <w:r>
        <w:t>e</w:t>
      </w:r>
      <w:r>
        <w:t xml:space="preserve">nos establecer cuál era la otra voz y llevar por lo menos la precisión personal mía.". </w:t>
      </w:r>
    </w:p>
    <w:p w:rsidR="00224567" w:rsidRDefault="00224567">
      <w:pPr>
        <w:widowControl w:val="0"/>
        <w:tabs>
          <w:tab w:val="left" w:pos="2835"/>
        </w:tabs>
        <w:ind w:firstLine="2880"/>
      </w:pPr>
      <w:r>
        <w:t>Seguidamente, al serle preguntado si en oportunidad de entregarle al juez las filmaciones y grabaciones, éste le hizo algún reproche por haber fi</w:t>
      </w:r>
      <w:r>
        <w:t>l</w:t>
      </w:r>
      <w:r>
        <w:t>mado y grabado a Ionno, manifestó que no, agregando, "yo no p</w:t>
      </w:r>
      <w:r>
        <w:t>o</w:t>
      </w:r>
      <w:r>
        <w:t>día recibir ni una simple declaración, o sea que si no h</w:t>
      </w:r>
      <w:r>
        <w:t>u</w:t>
      </w:r>
      <w:r>
        <w:t>biese documentado de alguna manera, era simplemente ir a contarle boca a boca lo que había oc</w:t>
      </w:r>
      <w:r>
        <w:t>u</w:t>
      </w:r>
      <w:r>
        <w:t>rrido".</w:t>
      </w:r>
    </w:p>
    <w:p w:rsidR="00224567" w:rsidRDefault="00224567">
      <w:pPr>
        <w:widowControl w:val="0"/>
        <w:tabs>
          <w:tab w:val="left" w:pos="2835"/>
        </w:tabs>
        <w:ind w:firstLine="2880"/>
      </w:pPr>
      <w:r>
        <w:t>Por último, se incorporaron al deb</w:t>
      </w:r>
      <w:r>
        <w:t>a</w:t>
      </w:r>
      <w:r>
        <w:t>te los sucesivos informes que oportunamente el testigo elevó a la jefatura, en el que se detallan las diligencias pra</w:t>
      </w:r>
      <w:r>
        <w:t>c</w:t>
      </w:r>
      <w:r>
        <w:t>ticadas con relación a la investigación de este suceso (fs. 112.916/922).</w:t>
      </w:r>
    </w:p>
    <w:p w:rsidR="00224567" w:rsidRDefault="00224567">
      <w:pPr>
        <w:widowControl w:val="0"/>
        <w:tabs>
          <w:tab w:val="left" w:pos="2835"/>
        </w:tabs>
        <w:ind w:firstLine="2880"/>
      </w:pPr>
      <w:r>
        <w:t>Por otra parte, el Dr. Alejandro P</w:t>
      </w:r>
      <w:r>
        <w:t>é</w:t>
      </w:r>
      <w:r>
        <w:t>rez Carrega reconoció en el debate que con posterior</w:t>
      </w:r>
      <w:r>
        <w:t>i</w:t>
      </w:r>
      <w:r>
        <w:t>dad a la detención de los policías participó junto al comisario g</w:t>
      </w:r>
      <w:r>
        <w:t>e</w:t>
      </w:r>
      <w:r>
        <w:t>neral Calabró de una reunión en el despacho del Dr. G</w:t>
      </w:r>
      <w:r>
        <w:t>a</w:t>
      </w:r>
      <w:r>
        <w:t>leano, recordando vaga y co</w:t>
      </w:r>
      <w:r>
        <w:t>n</w:t>
      </w:r>
      <w:r>
        <w:t>fusamente que en ese encuentro el juez le pidió a dicho comisario que colaborara en un tema en Tigre, relacionado con un joyero a quien debía i</w:t>
      </w:r>
      <w:r>
        <w:t>n</w:t>
      </w:r>
      <w:r>
        <w:t>vestiga</w:t>
      </w:r>
      <w:r>
        <w:t>r</w:t>
      </w:r>
      <w:r>
        <w:t xml:space="preserve">se. </w:t>
      </w:r>
    </w:p>
    <w:p w:rsidR="00224567" w:rsidRDefault="00224567">
      <w:pPr>
        <w:widowControl w:val="0"/>
        <w:tabs>
          <w:tab w:val="left" w:pos="2835"/>
        </w:tabs>
        <w:ind w:firstLine="2880"/>
      </w:pPr>
      <w:r>
        <w:t>Adunó que sin conocer la actividad desplegada por Calabró, en una oportunidad el Dr. G</w:t>
      </w:r>
      <w:r>
        <w:t>a</w:t>
      </w:r>
      <w:r>
        <w:t>leano se quejó y le transmitió su preocupación  por la forma en que se investigó, tomando así conocimiento que se había inte</w:t>
      </w:r>
      <w:r>
        <w:t>r</w:t>
      </w:r>
      <w:r>
        <w:t xml:space="preserve">rogado y filmado a una persona.  </w:t>
      </w:r>
    </w:p>
    <w:p w:rsidR="00224567" w:rsidRDefault="00224567">
      <w:pPr>
        <w:widowControl w:val="0"/>
        <w:tabs>
          <w:tab w:val="left" w:pos="2835"/>
        </w:tabs>
        <w:ind w:firstLine="2880"/>
      </w:pPr>
      <w:r>
        <w:t>También declaró durante el debate el comisario general Ángel Ramírez, quien recordó que part</w:t>
      </w:r>
      <w:r>
        <w:t>i</w:t>
      </w:r>
      <w:r>
        <w:t>cipó de la reunión en cuestión, en la que el juez G</w:t>
      </w:r>
      <w:r>
        <w:t>a</w:t>
      </w:r>
      <w:r>
        <w:t>leano le hizo escuchar junto a Calabró y a Pérez Carrega la gr</w:t>
      </w:r>
      <w:r>
        <w:t>a</w:t>
      </w:r>
      <w:r>
        <w:t>bación de una conversación entre dos policías bonaerenses; agregó que el juez le e</w:t>
      </w:r>
      <w:r>
        <w:t>n</w:t>
      </w:r>
      <w:r>
        <w:t>comendó a Calabró, con carácter de muy urgente, que a partir de esa escucha inicie una inve</w:t>
      </w:r>
      <w:r>
        <w:t>s</w:t>
      </w:r>
      <w:r>
        <w:t xml:space="preserve">tigación. </w:t>
      </w:r>
    </w:p>
    <w:p w:rsidR="00224567" w:rsidRDefault="00224567">
      <w:pPr>
        <w:widowControl w:val="0"/>
        <w:tabs>
          <w:tab w:val="left" w:pos="2835"/>
        </w:tabs>
        <w:ind w:firstLine="2880"/>
      </w:pPr>
      <w:r>
        <w:t>Los procedimientos seguidos, consent</w:t>
      </w:r>
      <w:r>
        <w:t>i</w:t>
      </w:r>
      <w:r>
        <w:t>dos por el juez Galeano, ilustran una vez más la divers</w:t>
      </w:r>
      <w:r>
        <w:t>i</w:t>
      </w:r>
      <w:r>
        <w:t>dad de métodos empleados en la causa, d</w:t>
      </w:r>
      <w:r>
        <w:t>i</w:t>
      </w:r>
      <w:r>
        <w:t>rigidos a doblegar y manipular a testigos e imput</w:t>
      </w:r>
      <w:r>
        <w:t>a</w:t>
      </w:r>
      <w:r>
        <w:t>dos.</w:t>
      </w:r>
    </w:p>
    <w:p w:rsidR="00224567" w:rsidRDefault="00224567">
      <w:pPr>
        <w:widowControl w:val="0"/>
        <w:tabs>
          <w:tab w:val="left" w:pos="2835"/>
        </w:tabs>
        <w:ind w:firstLine="2880"/>
      </w:pPr>
      <w:r>
        <w:t>El contenido de los interrogatorios, filmados y grabados, que Calabró practicó sobre los pote</w:t>
      </w:r>
      <w:r>
        <w:t>n</w:t>
      </w:r>
      <w:r>
        <w:t>ciales testigos, muestra acabadamente cómo se expl</w:t>
      </w:r>
      <w:r>
        <w:t>o</w:t>
      </w:r>
      <w:r>
        <w:t>raba a los testigos fuera de la causa a efectos de e</w:t>
      </w:r>
      <w:r>
        <w:t>s</w:t>
      </w:r>
      <w:r>
        <w:t>tablecer si lo que sabían podía servir a la finalidad perseguida.</w:t>
      </w:r>
    </w:p>
    <w:p w:rsidR="00224567" w:rsidRDefault="00224567">
      <w:pPr>
        <w:widowControl w:val="0"/>
        <w:tabs>
          <w:tab w:val="left" w:pos="2835"/>
        </w:tabs>
        <w:ind w:firstLine="2880"/>
      </w:pPr>
      <w:r>
        <w:t>El compromiso asumido por Calabró en la reunión que da cuenta la nota de fs. 40.155, del 19 de julio de 1996, en modo alguno lo habilitaba a proc</w:t>
      </w:r>
      <w:r>
        <w:t>e</w:t>
      </w:r>
      <w:r>
        <w:t>der de la forma en que lo hizo.</w:t>
      </w:r>
    </w:p>
    <w:p w:rsidR="00224567" w:rsidRDefault="00224567">
      <w:pPr>
        <w:widowControl w:val="0"/>
        <w:tabs>
          <w:tab w:val="left" w:pos="2835"/>
        </w:tabs>
        <w:ind w:firstLine="2880"/>
      </w:pPr>
      <w:r>
        <w:t>Pese a ello, con la colaboración de los oficiales Jofre y Menno y con conocimiento del magi</w:t>
      </w:r>
      <w:r>
        <w:t>s</w:t>
      </w:r>
      <w:r>
        <w:t xml:space="preserve">trado, condujo mediante engaños a Juan Carlos Ribelli, Juan Carlos Nicolau y a Carmelo Juan Ionno a </w:t>
      </w:r>
      <w:smartTag w:uri="urn:schemas-microsoft-com:office:smarttags" w:element="PersonName">
        <w:smartTagPr>
          <w:attr w:name="ProductID" w:val="la Direcci￳n General"/>
        </w:smartTagPr>
        <w:r>
          <w:t>la Dirección General</w:t>
        </w:r>
      </w:smartTag>
      <w:r>
        <w:t xml:space="preserve"> de Investigaciones donde los alojó en oficinas s</w:t>
      </w:r>
      <w:r>
        <w:t>e</w:t>
      </w:r>
      <w:r>
        <w:t>paradas para luego interrogarlos sin dejar ninguna con</w:t>
      </w:r>
      <w:r>
        <w:t>s</w:t>
      </w:r>
      <w:r>
        <w:t>tancia escrita. Explicó también que se los filmó y grabó subrepticiamente y se los retuvo ilegít</w:t>
      </w:r>
      <w:r>
        <w:t>i</w:t>
      </w:r>
      <w:r>
        <w:t>mamente hasta que recibió la orden del juez Galeano de no adoptar temper</w:t>
      </w:r>
      <w:r>
        <w:t>a</w:t>
      </w:r>
      <w:r>
        <w:t xml:space="preserve">mento alguno. </w:t>
      </w:r>
    </w:p>
    <w:p w:rsidR="00224567" w:rsidRDefault="00224567">
      <w:pPr>
        <w:widowControl w:val="0"/>
        <w:tabs>
          <w:tab w:val="left" w:pos="2835"/>
        </w:tabs>
        <w:ind w:firstLine="2880"/>
      </w:pPr>
      <w:r>
        <w:t>Resulta inadmisible aducir como just</w:t>
      </w:r>
      <w:r>
        <w:t>i</w:t>
      </w:r>
      <w:r>
        <w:t>ficación del  proceder descripto la circunstancia de no haber contado con tiempo suficiente ni elementos, o, como dijo Calabró, por el mero hecho de “que no podía volver con las manos vacías.”.</w:t>
      </w:r>
    </w:p>
    <w:p w:rsidR="00224567" w:rsidRDefault="00224567">
      <w:pPr>
        <w:widowControl w:val="0"/>
        <w:tabs>
          <w:tab w:val="left" w:pos="2835"/>
        </w:tabs>
        <w:ind w:firstLine="2880"/>
      </w:pPr>
      <w:r>
        <w:t>Por otra parte, el tenor de los int</w:t>
      </w:r>
      <w:r>
        <w:t>e</w:t>
      </w:r>
      <w:r>
        <w:t>rrogatorios y el modo coactivo empleado en ellos, para quienes aún no habían prestado declaración testim</w:t>
      </w:r>
      <w:r>
        <w:t>o</w:t>
      </w:r>
      <w:r>
        <w:t>nial en la causa, demuestra de que forma se buscó doblegar la v</w:t>
      </w:r>
      <w:r>
        <w:t>o</w:t>
      </w:r>
      <w:r>
        <w:t>luntad del interrogado, a fin de obtener cualquier tipo de info</w:t>
      </w:r>
      <w:r>
        <w:t>r</w:t>
      </w:r>
      <w:r>
        <w:t>mación.</w:t>
      </w:r>
    </w:p>
    <w:p w:rsidR="00224567" w:rsidRDefault="00224567">
      <w:pPr>
        <w:widowControl w:val="0"/>
        <w:tabs>
          <w:tab w:val="left" w:pos="2835"/>
        </w:tabs>
        <w:ind w:firstLine="2880"/>
      </w:pPr>
      <w:r>
        <w:t>Como ejemplo, por su elocuencia, c</w:t>
      </w:r>
      <w:r>
        <w:t>o</w:t>
      </w:r>
      <w:r>
        <w:t>rresponde la cita textual de algunos tramos del interrog</w:t>
      </w:r>
      <w:r>
        <w:t>a</w:t>
      </w:r>
      <w:r>
        <w:t>torio de Calabró a Juan Carlos Ribelli, hermano del imp</w:t>
      </w:r>
      <w:r>
        <w:t>u</w:t>
      </w:r>
      <w:r>
        <w:t>tado:"...Yo voy a preguntarle un poco en confia</w:t>
      </w:r>
      <w:r>
        <w:t>n</w:t>
      </w:r>
      <w:r>
        <w:t>za.." le  hace escuchar la conversación en cuestión y le pregunta "...¿Vos qué opinas de lo que yo escucho?, porque para mi tiene una sola le</w:t>
      </w:r>
      <w:r>
        <w:t>c</w:t>
      </w:r>
      <w:r>
        <w:t>tura...¿vos sabés algo de esto?, ¿querés darme una mano?, ¿querés darle una mano a tu hermano? ..¿cómo podes colaborar?. ¿Te das cuenta?, esta es una e</w:t>
      </w:r>
      <w:r>
        <w:t>s</w:t>
      </w:r>
      <w:r>
        <w:t>cucha facilitada por el Juzgado, es que aparte de esta tiene muchísimas cosas más realmente preocupantes, pero pienso que acá tenemos que dejar de lado un poco, vos en tu caso personal, es tu hermano, lo comprendo perfectame</w:t>
      </w:r>
      <w:r>
        <w:t>n</w:t>
      </w:r>
      <w:r>
        <w:t>te bien, pero acá t</w:t>
      </w:r>
      <w:r>
        <w:t>e</w:t>
      </w:r>
      <w:r>
        <w:t>nemos que... tener la tranquilidad de decir, bueno a</w:t>
      </w:r>
      <w:r>
        <w:t>l</w:t>
      </w:r>
      <w:r>
        <w:t>guien se equivocó, si es tu hermano el que se equivocó tiene todo el derecho del mundo a callar si vos pensas que lo que podes dar... decir a mi, como para poder allanar caminos llegar a un objetivo..." (fs. 43.571).</w:t>
      </w:r>
    </w:p>
    <w:p w:rsidR="00224567" w:rsidRDefault="00224567">
      <w:pPr>
        <w:widowControl w:val="0"/>
        <w:tabs>
          <w:tab w:val="left" w:pos="2835"/>
        </w:tabs>
        <w:ind w:firstLine="2880"/>
        <w:rPr>
          <w:i/>
          <w:iCs/>
        </w:rPr>
      </w:pPr>
      <w:r>
        <w:t>Al interrogar a Carmelo Juan Ionno, Calabró le manifestó lo siguiente: "...Yo voy a ser hone</w:t>
      </w:r>
      <w:r>
        <w:t>s</w:t>
      </w:r>
      <w:r>
        <w:t>to con Ud., yo la orden que tengo es una orden de ir para adelante y todo lo que se me cruce en el cam</w:t>
      </w:r>
      <w:r>
        <w:t>i</w:t>
      </w:r>
      <w:r>
        <w:t>no, pumba... y a la lona, porque es un tema muy delic</w:t>
      </w:r>
      <w:r>
        <w:t>a</w:t>
      </w:r>
      <w:r>
        <w:t>do, cuando en una escucha que yo tengo, ahora se la voy a hacer escuchar, nos damos cuenta que es su voz... voy a dejar de cumplir la o</w:t>
      </w:r>
      <w:r>
        <w:t>r</w:t>
      </w:r>
      <w:r>
        <w:t>den que tengo, hacerlo venir, yo le hago escuchar lo que tengo, y este hombre que yo se que es amigo de mucha ge</w:t>
      </w:r>
      <w:r>
        <w:t>n</w:t>
      </w:r>
      <w:r>
        <w:t>te... Me va a hablar con sinceridad ¿okey?, yo no voy a decir Juan, voy a cambiar figuritas, este... yo a Ud. lo tengo que detener, no lo detengo. Yo le voy a hacer esc</w:t>
      </w:r>
      <w:r>
        <w:t>u</w:t>
      </w:r>
      <w:r>
        <w:t>char una grabación y Ud. me dice: Calabró, yo lo que quise decir fue esto... lo analiza bien y me lo dice bien, po</w:t>
      </w:r>
      <w:r>
        <w:t>r</w:t>
      </w:r>
      <w:r>
        <w:t>que lo que me diga a mi es de suma importancia para el conjunto... todos los amigos de Ud., ¿okey?, ¿esta cl</w:t>
      </w:r>
      <w:r>
        <w:t>a</w:t>
      </w:r>
      <w:r>
        <w:t>ro?... A Ud. lo están escuchando hace rato, como novedad para Ud., para que lo sepa...".</w:t>
      </w:r>
    </w:p>
    <w:p w:rsidR="00224567" w:rsidRDefault="00224567">
      <w:pPr>
        <w:widowControl w:val="0"/>
        <w:tabs>
          <w:tab w:val="left" w:pos="2835"/>
        </w:tabs>
        <w:ind w:firstLine="2880"/>
      </w:pPr>
      <w:r>
        <w:t>Al interrogar a  Juan Carlos Nic</w:t>
      </w:r>
      <w:r>
        <w:t>o</w:t>
      </w:r>
      <w:r>
        <w:t>lau, Calabró refiere: "...Bueno, mirá, yo con vos me conozco hace rato... quiero decirte que todo lo que e</w:t>
      </w:r>
      <w:r>
        <w:t>s</w:t>
      </w:r>
      <w:r>
        <w:t>toy haciendo es para clarificar la situación...yo se que vos sos un hombre incondicional de Juan, que siempre has trabajado con él, que creerás o no en la culpabilidad de él... yo estuve en el Juzgado del Dr. Gale</w:t>
      </w:r>
      <w:r>
        <w:t>a</w:t>
      </w:r>
      <w:r>
        <w:t>no tengo elementos sobre los cuales quiero conversar con vos, ya he conversado con otras personas también, no quiero sorprenderte en tu buena fe, yo tengo una grabación que te voy a hacer escuchar, quiero que me digas con mucha agudeza mental: yo quise d</w:t>
      </w:r>
      <w:r>
        <w:t>e</w:t>
      </w:r>
      <w:r>
        <w:t>cir esto... que a Uds. los escuchan no es novedad, se im</w:t>
      </w:r>
      <w:r>
        <w:t>a</w:t>
      </w:r>
      <w:r>
        <w:t>ginan que ante una situación tan difícil y tan complic</w:t>
      </w:r>
      <w:r>
        <w:t>a</w:t>
      </w:r>
      <w:r>
        <w:t>da... los pueden estar escuchando... Ud. sabe que soy un tipo que trabaje por derecha, siempre dándole una mano al personal, nunca les pedí que hicieran algo que fuera il</w:t>
      </w:r>
      <w:r>
        <w:t>e</w:t>
      </w:r>
      <w:r>
        <w:t>gal... cuando necesitaban una mano, Calabró siempre e</w:t>
      </w:r>
      <w:r>
        <w:t>s</w:t>
      </w:r>
      <w:r>
        <w:t>tuvo ahí. Pero ahora yo quiero que vos escuches esta cinta y vos me digas: Calabró, yo quise decir esto. Yo quiero tu explicación de ésto..."</w:t>
      </w:r>
    </w:p>
    <w:p w:rsidR="00224567" w:rsidRDefault="00224567">
      <w:pPr>
        <w:widowControl w:val="0"/>
        <w:tabs>
          <w:tab w:val="left" w:pos="2835"/>
        </w:tabs>
        <w:ind w:firstLine="2880"/>
      </w:pPr>
      <w:r>
        <w:t>Ahora bien, esta reprochable actu</w:t>
      </w:r>
      <w:r>
        <w:t>a</w:t>
      </w:r>
      <w:r>
        <w:t>ción policial, como se consignó, fue tolerada por el juez in</w:t>
      </w:r>
      <w:r>
        <w:t>s</w:t>
      </w:r>
      <w:r>
        <w:t>tructor. Resulta inaceptable, que quien debe velar por el respeto de las garantías constit</w:t>
      </w:r>
      <w:r>
        <w:t>u</w:t>
      </w:r>
      <w:r>
        <w:t>cionales permitiese tales excesos; lo que es peor aún, consintió que funcionarios policiales empleen el método descripto. En efecto, al d</w:t>
      </w:r>
      <w:r>
        <w:t>e</w:t>
      </w:r>
      <w:r>
        <w:t>poner durante el debate, Calabró afirmó que el Dr. Galeano estuvo al tanto de su actuación por cuanto lo iba interi</w:t>
      </w:r>
      <w:r>
        <w:t>o</w:t>
      </w:r>
      <w:r>
        <w:t>rizando telefónicamente de las diligencias practic</w:t>
      </w:r>
      <w:r>
        <w:t>a</w:t>
      </w:r>
      <w:r>
        <w:t xml:space="preserve">das. </w:t>
      </w:r>
    </w:p>
    <w:p w:rsidR="00224567" w:rsidRDefault="00224567">
      <w:pPr>
        <w:widowControl w:val="0"/>
        <w:tabs>
          <w:tab w:val="left" w:pos="2835"/>
        </w:tabs>
        <w:ind w:firstLine="2880"/>
      </w:pPr>
      <w:r>
        <w:t>Por otra parte, mas allá de los d</w:t>
      </w:r>
      <w:r>
        <w:t>i</w:t>
      </w:r>
      <w:r>
        <w:t>chos de Calabró, surgen en la causa numerosas constancias que ilustran, no sólo el conocimiento y consentimiento del juez Galeano sobre la actividad policial cuestionada, sino también su irregular pr</w:t>
      </w:r>
      <w:r>
        <w:t>o</w:t>
      </w:r>
      <w:r>
        <w:t>ceder.</w:t>
      </w:r>
    </w:p>
    <w:p w:rsidR="00224567" w:rsidRDefault="00224567">
      <w:pPr>
        <w:widowControl w:val="0"/>
        <w:tabs>
          <w:tab w:val="left" w:pos="2835"/>
        </w:tabs>
        <w:ind w:firstLine="2880"/>
      </w:pPr>
      <w:r>
        <w:t xml:space="preserve">Así, la nota que obra a fs. 40.156 del 23 de julio de 1996, firmada por </w:t>
      </w:r>
      <w:smartTag w:uri="urn:schemas-microsoft-com:office:smarttags" w:element="PersonName">
        <w:smartTagPr>
          <w:attr w:name="ProductID" w:val="la Dra. Spina"/>
        </w:smartTagPr>
        <w:r>
          <w:t>la Dra. Spina</w:t>
        </w:r>
      </w:smartTag>
      <w:r>
        <w:t>, da cuenta de la recepción en el Tribunal del video con las tareas investigativas que entregó Calabró. Al pie el magistrado di</w:t>
      </w:r>
      <w:r>
        <w:t>s</w:t>
      </w:r>
      <w:r>
        <w:t>puso reservarlo en Secretaría.</w:t>
      </w:r>
    </w:p>
    <w:p w:rsidR="00224567" w:rsidRDefault="00224567">
      <w:pPr>
        <w:widowControl w:val="0"/>
        <w:tabs>
          <w:tab w:val="left" w:pos="2835"/>
        </w:tabs>
        <w:ind w:firstLine="2880"/>
      </w:pPr>
      <w:r>
        <w:t>Debe repararse lo llamativo del cont</w:t>
      </w:r>
      <w:r>
        <w:t>e</w:t>
      </w:r>
      <w:r>
        <w:t>nido de la nota en cuestión, en la que se dejó con</w:t>
      </w:r>
      <w:r>
        <w:t>s</w:t>
      </w:r>
      <w:r>
        <w:t>tancia que Calabró entregó el video con las tareas de investig</w:t>
      </w:r>
      <w:r>
        <w:t>a</w:t>
      </w:r>
      <w:r>
        <w:t>ción efectuadas y que "de las mismas surge que las voces que se escuchan del casete son de Juan Carlos Nicolau y Carmelo Juan Ionno, a</w:t>
      </w:r>
      <w:r>
        <w:t>m</w:t>
      </w:r>
      <w:r>
        <w:t xml:space="preserve">bos amigos de Juan José Ribelli". </w:t>
      </w:r>
    </w:p>
    <w:p w:rsidR="00224567" w:rsidRDefault="00224567">
      <w:pPr>
        <w:widowControl w:val="0"/>
        <w:tabs>
          <w:tab w:val="left" w:pos="2835"/>
        </w:tabs>
        <w:ind w:firstLine="2880"/>
      </w:pPr>
      <w:r>
        <w:t>En ese contexto, el contenido de esa pieza fue la razón de ser para disponer al día siguie</w:t>
      </w:r>
      <w:r>
        <w:t>n</w:t>
      </w:r>
      <w:r>
        <w:t>te -24 de julio de 1996- las declaraciones testimoniales de los nombrados, citándolos por intermedio del propio com</w:t>
      </w:r>
      <w:r>
        <w:t>i</w:t>
      </w:r>
      <w:r>
        <w:t>sario Calabró (fs. 40.157).</w:t>
      </w:r>
    </w:p>
    <w:p w:rsidR="00224567" w:rsidRDefault="00224567">
      <w:pPr>
        <w:widowControl w:val="0"/>
        <w:tabs>
          <w:tab w:val="left" w:pos="2835"/>
        </w:tabs>
        <w:ind w:firstLine="2880"/>
      </w:pPr>
      <w:r>
        <w:t>Por otra parte, resulta cuando menos extraño que al prestar declaración testimonial ante el m</w:t>
      </w:r>
      <w:r>
        <w:t>a</w:t>
      </w:r>
      <w:r>
        <w:t>gistrado, el 26 de ese mes, ninguno aludiera a los int</w:t>
      </w:r>
      <w:r>
        <w:t>e</w:t>
      </w:r>
      <w:r>
        <w:t>rrogatorios a los que habían sido sometidos pocos días a</w:t>
      </w:r>
      <w:r>
        <w:t>n</w:t>
      </w:r>
      <w:r>
        <w:t>tes por Calabró.</w:t>
      </w:r>
    </w:p>
    <w:p w:rsidR="00224567" w:rsidRDefault="00224567">
      <w:pPr>
        <w:widowControl w:val="0"/>
        <w:tabs>
          <w:tab w:val="left" w:pos="2835"/>
        </w:tabs>
        <w:ind w:firstLine="2880"/>
      </w:pPr>
      <w:r>
        <w:t>En tal sentido y contrariamente a lo manifestado durante la instrucción, Nicolau negó en el d</w:t>
      </w:r>
      <w:r>
        <w:t>e</w:t>
      </w:r>
      <w:r>
        <w:t>bate haber escuchado comentarios que vinculasen a R</w:t>
      </w:r>
      <w:r>
        <w:t>i</w:t>
      </w:r>
      <w:r>
        <w:t xml:space="preserve">belli con la camioneta Trafic que explotó en la sede de </w:t>
      </w:r>
      <w:smartTag w:uri="urn:schemas-microsoft-com:office:smarttags" w:element="PersonName">
        <w:smartTagPr>
          <w:attr w:name="ProductID" w:val="la A.M"/>
        </w:smartTagPr>
        <w:r>
          <w:t>la A.M</w:t>
        </w:r>
      </w:smartTag>
      <w:r>
        <w:t>.I.A. y menos que ese vehículo hubiese pasado por las manos del grupo que el nombrado encabezaba; negó insiste</w:t>
      </w:r>
      <w:r>
        <w:t>n</w:t>
      </w:r>
      <w:r>
        <w:t xml:space="preserve">te y enfáticamente -frente a las reiteradas preguntas del acusador público- que en el diálogo telefónico con Ionno se haya referido a </w:t>
      </w:r>
      <w:smartTag w:uri="urn:schemas-microsoft-com:office:smarttags" w:element="PersonName">
        <w:smartTagPr>
          <w:attr w:name="ProductID" w:val="la Trafic"/>
        </w:smartTagPr>
        <w:r>
          <w:t>la Trafic</w:t>
        </w:r>
      </w:smartTag>
      <w:r>
        <w:t xml:space="preserve"> de Telleldín; dijo textua</w:t>
      </w:r>
      <w:r>
        <w:t>l</w:t>
      </w:r>
      <w:r>
        <w:t>mente, cuando se le marcó la co</w:t>
      </w:r>
      <w:r>
        <w:t>n</w:t>
      </w:r>
      <w:r>
        <w:t>tradicción con lo afirmado a fs. 40.161 vta. segundo renglón, "No no, yo nunca supe de ninguna Trafic de T</w:t>
      </w:r>
      <w:r>
        <w:t>e</w:t>
      </w:r>
      <w:r>
        <w:t>lleldín".</w:t>
      </w:r>
    </w:p>
    <w:p w:rsidR="00224567" w:rsidRDefault="00224567">
      <w:pPr>
        <w:widowControl w:val="0"/>
        <w:tabs>
          <w:tab w:val="left" w:pos="2835"/>
        </w:tabs>
        <w:ind w:firstLine="2880"/>
      </w:pPr>
      <w:r>
        <w:t>Afirmó desconocer de que manera Rib</w:t>
      </w:r>
      <w:r>
        <w:t>e</w:t>
      </w:r>
      <w:r>
        <w:t>lli adquiría los vehículos que vendía en sus age</w:t>
      </w:r>
      <w:r>
        <w:t>n</w:t>
      </w:r>
      <w:r>
        <w:t xml:space="preserve">cias. </w:t>
      </w:r>
    </w:p>
    <w:p w:rsidR="00224567" w:rsidRDefault="00224567">
      <w:pPr>
        <w:widowControl w:val="0"/>
        <w:tabs>
          <w:tab w:val="left" w:pos="2835"/>
        </w:tabs>
        <w:ind w:firstLine="2880"/>
      </w:pPr>
      <w:r>
        <w:t>El juez instructor, pese a que di</w:t>
      </w:r>
      <w:r>
        <w:t>s</w:t>
      </w:r>
      <w:r>
        <w:t>puso reservar en Secretaría el video aportado por Calabró, ocultó su contenido. Recién a fs. 43.038, el 8 de septie</w:t>
      </w:r>
      <w:r>
        <w:t>m</w:t>
      </w:r>
      <w:r>
        <w:t xml:space="preserve">bre de </w:t>
      </w:r>
      <w:smartTag w:uri="urn:schemas-microsoft-com:office:smarttags" w:element="metricconverter">
        <w:smartTagPr>
          <w:attr w:name="ProductID" w:val="1997, a"/>
        </w:smartTagPr>
        <w:r>
          <w:t>1997, a</w:t>
        </w:r>
      </w:smartTag>
      <w:r>
        <w:t xml:space="preserve"> más de un año de su recepción, solicitó a </w:t>
      </w:r>
      <w:smartTag w:uri="urn:schemas-microsoft-com:office:smarttags" w:element="PersonName">
        <w:smartTagPr>
          <w:attr w:name="ProductID" w:val="la Divisi￳n Pericias"/>
        </w:smartTagPr>
        <w:r>
          <w:t>la División Pericias</w:t>
        </w:r>
      </w:smartTag>
      <w:r>
        <w:t xml:space="preserve"> de Pol</w:t>
      </w:r>
      <w:r>
        <w:t>i</w:t>
      </w:r>
      <w:r>
        <w:t>cía Federal su transcripción y el 6 de noviembre de ese año ordenó agregarla a la causa, previa certif</w:t>
      </w:r>
      <w:r>
        <w:t>i</w:t>
      </w:r>
      <w:r>
        <w:t xml:space="preserve">cación actuarial (fs. 43.601 y 43.605). </w:t>
      </w:r>
    </w:p>
    <w:p w:rsidR="00224567" w:rsidRDefault="00224567">
      <w:pPr>
        <w:widowControl w:val="0"/>
        <w:tabs>
          <w:tab w:val="left" w:pos="2835"/>
        </w:tabs>
        <w:ind w:firstLine="2880"/>
      </w:pPr>
      <w:r>
        <w:t>Por otra parte, debe resaltarse que la videocinta cuestionada fue conservada por el Dr. Galeano hasta después de elevada la causa a ju</w:t>
      </w:r>
      <w:r>
        <w:t>i</w:t>
      </w:r>
      <w:r>
        <w:t>cio, la que recién remitió el 4 de diciembre de 2002 por pedido de este Tr</w:t>
      </w:r>
      <w:r>
        <w:t>i</w:t>
      </w:r>
      <w:r>
        <w:t>bunal (fs.112.429).</w:t>
      </w:r>
    </w:p>
    <w:p w:rsidR="00224567" w:rsidRDefault="00224567">
      <w:pPr>
        <w:widowControl w:val="0"/>
        <w:tabs>
          <w:tab w:val="left" w:pos="2835"/>
        </w:tabs>
        <w:ind w:firstLine="2880"/>
      </w:pPr>
      <w:r>
        <w:t>No puede soslayarse que la transcri</w:t>
      </w:r>
      <w:r>
        <w:t>p</w:t>
      </w:r>
      <w:r>
        <w:t>ción ordenada por Galeano el 8 de septiembre de 1997 ob</w:t>
      </w:r>
      <w:r>
        <w:t>e</w:t>
      </w:r>
      <w:r>
        <w:t>deció exclusivamente, como se desprende del punto II del decreto, a la presentación efectuada en esa fecha por Ca</w:t>
      </w:r>
      <w:r>
        <w:t>r</w:t>
      </w:r>
      <w:r>
        <w:t xml:space="preserve">melo Juan Ionno (fs. 43.023/43.030). </w:t>
      </w:r>
    </w:p>
    <w:p w:rsidR="00224567" w:rsidRDefault="00224567">
      <w:pPr>
        <w:widowControl w:val="0"/>
        <w:tabs>
          <w:tab w:val="left" w:pos="2835"/>
        </w:tabs>
        <w:ind w:firstLine="2880"/>
      </w:pPr>
      <w:r>
        <w:t>Allí, el testigo no sólo intentó e</w:t>
      </w:r>
      <w:r>
        <w:t>x</w:t>
      </w:r>
      <w:r>
        <w:t>plicar nuevamente el contenido de la conversación con N</w:t>
      </w:r>
      <w:r>
        <w:t>i</w:t>
      </w:r>
      <w:r>
        <w:t>colau, aduciendo "</w:t>
      </w:r>
      <w:r>
        <w:rPr>
          <w:i/>
          <w:iCs/>
        </w:rPr>
        <w:t>Sobre esa conversación ya he declarado en la presente causa, evidentemente no se ha co</w:t>
      </w:r>
      <w:r>
        <w:rPr>
          <w:i/>
          <w:iCs/>
        </w:rPr>
        <w:t>m</w:t>
      </w:r>
      <w:r>
        <w:rPr>
          <w:i/>
          <w:iCs/>
        </w:rPr>
        <w:t>prendido o querido comprender lo que he man</w:t>
      </w:r>
      <w:r>
        <w:rPr>
          <w:i/>
          <w:iCs/>
        </w:rPr>
        <w:t>i</w:t>
      </w:r>
      <w:r>
        <w:rPr>
          <w:i/>
          <w:iCs/>
        </w:rPr>
        <w:t>festado y a fin de evitar nuevamente se realicen malas, erróneas o confusas inte</w:t>
      </w:r>
      <w:r>
        <w:rPr>
          <w:i/>
          <w:iCs/>
        </w:rPr>
        <w:t>r</w:t>
      </w:r>
      <w:r>
        <w:rPr>
          <w:i/>
          <w:iCs/>
        </w:rPr>
        <w:t>pretaciones, es que efectúo esta prese</w:t>
      </w:r>
      <w:r>
        <w:rPr>
          <w:i/>
          <w:iCs/>
        </w:rPr>
        <w:t>n</w:t>
      </w:r>
      <w:r>
        <w:rPr>
          <w:i/>
          <w:iCs/>
        </w:rPr>
        <w:t>tación..</w:t>
      </w:r>
      <w:r>
        <w:t>", sino que fue más allá al poner en evidencia, por escrito, la ilegal actu</w:t>
      </w:r>
      <w:r>
        <w:t>a</w:t>
      </w:r>
      <w:r>
        <w:t>ción policial encubierta por Galeano.</w:t>
      </w:r>
    </w:p>
    <w:p w:rsidR="00224567" w:rsidRDefault="00224567">
      <w:pPr>
        <w:widowControl w:val="0"/>
        <w:tabs>
          <w:tab w:val="left" w:pos="2835"/>
        </w:tabs>
        <w:ind w:firstLine="2880"/>
      </w:pPr>
      <w:r>
        <w:t>Así, dejó constancia en la present</w:t>
      </w:r>
      <w:r>
        <w:t>a</w:t>
      </w:r>
      <w:r>
        <w:t xml:space="preserve">ción que previo a declarar ante el juez el 26 de julio de 1996, fue interrogado por Calabró en la sede de </w:t>
      </w:r>
      <w:smartTag w:uri="urn:schemas-microsoft-com:office:smarttags" w:element="PersonName">
        <w:smartTagPr>
          <w:attr w:name="ProductID" w:val="la Jefatura"/>
        </w:smartTagPr>
        <w:r>
          <w:t>la Jefat</w:t>
        </w:r>
        <w:r>
          <w:t>u</w:t>
        </w:r>
        <w:r>
          <w:t>ra</w:t>
        </w:r>
      </w:smartTag>
      <w:r>
        <w:t xml:space="preserve"> de </w:t>
      </w:r>
      <w:smartTag w:uri="urn:schemas-microsoft-com:office:smarttags" w:element="PersonName">
        <w:smartTagPr>
          <w:attr w:name="ProductID" w:val="la Polic￭a Bonaerense"/>
        </w:smartTagPr>
        <w:r>
          <w:t>la Policía Bonaerense</w:t>
        </w:r>
      </w:smartTag>
      <w:r>
        <w:t xml:space="preserve"> de la ciudad de </w:t>
      </w:r>
      <w:smartTag w:uri="urn:schemas-microsoft-com:office:smarttags" w:element="PersonName">
        <w:smartTagPr>
          <w:attr w:name="ProductID" w:val="La Plata."/>
        </w:smartTagPr>
        <w:r>
          <w:t>La Plata.</w:t>
        </w:r>
      </w:smartTag>
      <w:r>
        <w:t xml:space="preserve"> </w:t>
      </w:r>
    </w:p>
    <w:p w:rsidR="00224567" w:rsidRDefault="00224567">
      <w:pPr>
        <w:widowControl w:val="0"/>
        <w:tabs>
          <w:tab w:val="left" w:pos="2835"/>
        </w:tabs>
        <w:ind w:firstLine="2880"/>
      </w:pPr>
      <w:r>
        <w:t>Agregó que lo llamó a su teléfono c</w:t>
      </w:r>
      <w:r>
        <w:t>e</w:t>
      </w:r>
      <w:r>
        <w:t>lular nº 422-3620 un policía llamado Jorge, a quien con</w:t>
      </w:r>
      <w:r>
        <w:t>o</w:t>
      </w:r>
      <w:r>
        <w:t>cía de alguna operación comercial, manifestándole que d</w:t>
      </w:r>
      <w:r>
        <w:t>e</w:t>
      </w:r>
      <w:r>
        <w:t>bía presentarse con urgencia en la jefatura para entrevi</w:t>
      </w:r>
      <w:r>
        <w:t>s</w:t>
      </w:r>
      <w:r>
        <w:t>tarlo. Que al llegar fue atendido por Calabró quien lo i</w:t>
      </w:r>
      <w:r>
        <w:t>n</w:t>
      </w:r>
      <w:r>
        <w:t>te</w:t>
      </w:r>
      <w:r>
        <w:t>r</w:t>
      </w:r>
      <w:r>
        <w:t>rogó por más de una hora acerca de la conversación que mantuvo con Juan Carlos Nicolau; luego de ello se lo tra</w:t>
      </w:r>
      <w:r>
        <w:t>s</w:t>
      </w:r>
      <w:r>
        <w:t>lado al subsuelo de la dependencia a la espera de lo que dijera el juzgado.</w:t>
      </w:r>
    </w:p>
    <w:p w:rsidR="00224567" w:rsidRDefault="00224567">
      <w:pPr>
        <w:widowControl w:val="0"/>
        <w:tabs>
          <w:tab w:val="left" w:pos="2835"/>
        </w:tabs>
        <w:ind w:firstLine="2880"/>
      </w:pPr>
      <w:r>
        <w:t>Consignó, también, que se enteró a través de su letrado que el interrogatorio había sido fi</w:t>
      </w:r>
      <w:r>
        <w:t>l</w:t>
      </w:r>
      <w:r>
        <w:t>mado; extremo que desconocía en aquel momento y que exi</w:t>
      </w:r>
      <w:r>
        <w:t>s</w:t>
      </w:r>
      <w:r>
        <w:t>tía un video que lo documentaba. Agregó que en la oport</w:t>
      </w:r>
      <w:r>
        <w:t>u</w:t>
      </w:r>
      <w:r>
        <w:t>nidad no se labró acta que diera cuenta del i</w:t>
      </w:r>
      <w:r>
        <w:t>n</w:t>
      </w:r>
      <w:r>
        <w:t>terrogatorio y que unos días después fue llamado por el comisario Jofré, notificándolo verbalmente que el 26 debía prese</w:t>
      </w:r>
      <w:r>
        <w:t>n</w:t>
      </w:r>
      <w:r>
        <w:t>tarse a declarar como testigo en el juzgado del Dr. G</w:t>
      </w:r>
      <w:r>
        <w:t>a</w:t>
      </w:r>
      <w:r>
        <w:t>leano.</w:t>
      </w:r>
    </w:p>
    <w:p w:rsidR="00224567" w:rsidRDefault="00224567">
      <w:pPr>
        <w:widowControl w:val="0"/>
        <w:tabs>
          <w:tab w:val="left" w:pos="2835"/>
        </w:tabs>
        <w:ind w:firstLine="2880"/>
      </w:pPr>
      <w:r>
        <w:t>En el debate Carmelo Juan Ionno rat</w:t>
      </w:r>
      <w:r>
        <w:t>i</w:t>
      </w:r>
      <w:r>
        <w:t>ficó las circunstancias descriptas en el escrito de me</w:t>
      </w:r>
      <w:r>
        <w:t>n</w:t>
      </w:r>
      <w:r>
        <w:t>tas, obrante a fs. 43.023/43.030.</w:t>
      </w:r>
    </w:p>
    <w:p w:rsidR="00224567" w:rsidRDefault="00224567">
      <w:pPr>
        <w:widowControl w:val="0"/>
        <w:tabs>
          <w:tab w:val="left" w:pos="2835"/>
        </w:tabs>
        <w:ind w:firstLine="2880"/>
      </w:pPr>
      <w:r>
        <w:t>Por su parte, Juan Carlos Nicolau r</w:t>
      </w:r>
      <w:r>
        <w:t>e</w:t>
      </w:r>
      <w:r>
        <w:t>lató que mientras participaba de un procedimiento vehic</w:t>
      </w:r>
      <w:r>
        <w:t>u</w:t>
      </w:r>
      <w:r>
        <w:t xml:space="preserve">lar fue llevado por el comisario Jofré a </w:t>
      </w:r>
      <w:smartTag w:uri="urn:schemas-microsoft-com:office:smarttags" w:element="PersonName">
        <w:smartTagPr>
          <w:attr w:name="ProductID" w:val="la Jefatura"/>
        </w:smartTagPr>
        <w:r>
          <w:t>la Jefatura</w:t>
        </w:r>
      </w:smartTag>
      <w:r>
        <w:t>, a</w:t>
      </w:r>
      <w:r>
        <w:t>r</w:t>
      </w:r>
      <w:r>
        <w:t>gume</w:t>
      </w:r>
      <w:r>
        <w:t>n</w:t>
      </w:r>
      <w:r>
        <w:t>tando que Calabró quería conversar con él. Al llegar, este último le hizo escuchar una grabación y lo interrogó sobre su contenido; le dijo que no podía retirarse, ya que debía pasarle al juez una grabación; fue así que lo hici</w:t>
      </w:r>
      <w:r>
        <w:t>e</w:t>
      </w:r>
      <w:r>
        <w:t>ron aguardar en otra oficina, hasta que le dijeron que p</w:t>
      </w:r>
      <w:r>
        <w:t>o</w:t>
      </w:r>
      <w:r>
        <w:t>día retirarse. Adunó que aquel día, luego de que fue int</w:t>
      </w:r>
      <w:r>
        <w:t>e</w:t>
      </w:r>
      <w:r>
        <w:t>rrogado, se encontró con Juan Carlos Ribelli, quien ta</w:t>
      </w:r>
      <w:r>
        <w:t>m</w:t>
      </w:r>
      <w:r>
        <w:t xml:space="preserve">bién fue llevado a </w:t>
      </w:r>
      <w:smartTag w:uri="urn:schemas-microsoft-com:office:smarttags" w:element="PersonName">
        <w:smartTagPr>
          <w:attr w:name="ProductID" w:val="la Jefatura"/>
        </w:smartTagPr>
        <w:r>
          <w:t>la Jefatura</w:t>
        </w:r>
      </w:smartTag>
      <w:r>
        <w:t>, pero en otro v</w:t>
      </w:r>
      <w:r>
        <w:t>e</w:t>
      </w:r>
      <w:r>
        <w:t>hículo.</w:t>
      </w:r>
    </w:p>
    <w:p w:rsidR="00224567" w:rsidRDefault="00224567">
      <w:pPr>
        <w:widowControl w:val="0"/>
        <w:tabs>
          <w:tab w:val="left" w:pos="2835"/>
        </w:tabs>
        <w:ind w:firstLine="2880"/>
      </w:pPr>
      <w:r>
        <w:t>Por último, manifestó que ese epis</w:t>
      </w:r>
      <w:r>
        <w:t>o</w:t>
      </w:r>
      <w:r>
        <w:t>dio tuvo lugar días antes de declarar ante el juzgado del Dr. Galeano.</w:t>
      </w:r>
    </w:p>
    <w:p w:rsidR="00224567" w:rsidRDefault="00224567">
      <w:pPr>
        <w:widowControl w:val="0"/>
        <w:tabs>
          <w:tab w:val="left" w:pos="2835"/>
        </w:tabs>
        <w:ind w:firstLine="2880"/>
      </w:pPr>
      <w:r>
        <w:t>La elocuencia de las constancias cit</w:t>
      </w:r>
      <w:r>
        <w:t>a</w:t>
      </w:r>
      <w:r>
        <w:t>das eximen de mayores comentarios; no obstante, debe r</w:t>
      </w:r>
      <w:r>
        <w:t>e</w:t>
      </w:r>
      <w:r>
        <w:t>saltarse la existencia de otras piezas obrantes en la in</w:t>
      </w:r>
      <w:r>
        <w:t>s</w:t>
      </w:r>
      <w:r>
        <w:t>trucción que también ilustran lo aco</w:t>
      </w:r>
      <w:r>
        <w:t>n</w:t>
      </w:r>
      <w:r>
        <w:t>tecido.</w:t>
      </w:r>
    </w:p>
    <w:p w:rsidR="00224567" w:rsidRDefault="00224567">
      <w:pPr>
        <w:widowControl w:val="0"/>
        <w:tabs>
          <w:tab w:val="left" w:pos="2835"/>
        </w:tabs>
        <w:ind w:firstLine="2880"/>
      </w:pPr>
      <w:r>
        <w:t xml:space="preserve">En tal sentido, no puede omitirse la declaración prestada por Calabró ante </w:t>
      </w:r>
      <w:smartTag w:uri="urn:schemas-microsoft-com:office:smarttags" w:element="PersonName">
        <w:smartTagPr>
          <w:attr w:name="ProductID" w:val="la Comisi￳n Bicameral"/>
        </w:smartTagPr>
        <w:r>
          <w:t>la Comisión Bicam</w:t>
        </w:r>
        <w:r>
          <w:t>e</w:t>
        </w:r>
        <w:r>
          <w:t>ral</w:t>
        </w:r>
      </w:smartTag>
      <w:r>
        <w:t>, el 18 de diciembre de 1997. Allí relató detalladame</w:t>
      </w:r>
      <w:r>
        <w:t>n</w:t>
      </w:r>
      <w:r>
        <w:t>te su irregular actuación, reconociendo, incluso, los e</w:t>
      </w:r>
      <w:r>
        <w:t>x</w:t>
      </w:r>
      <w:r>
        <w:t>cesos cometidos. La versión taquigr</w:t>
      </w:r>
      <w:r>
        <w:t>á</w:t>
      </w:r>
      <w:r>
        <w:t>fica de esa audiencia, como la de todos los funcionarios que declararon ante d</w:t>
      </w:r>
      <w:r>
        <w:t>i</w:t>
      </w:r>
      <w:r>
        <w:t>cha comisión, si bien no se glosaron a las actuaciones principales, se e</w:t>
      </w:r>
      <w:r>
        <w:t>n</w:t>
      </w:r>
      <w:r>
        <w:t>contraban en poder del juez Galeano (ver fs. 47.447).</w:t>
      </w:r>
    </w:p>
    <w:p w:rsidR="00224567" w:rsidRDefault="00224567">
      <w:pPr>
        <w:widowControl w:val="0"/>
        <w:tabs>
          <w:tab w:val="left" w:pos="2835"/>
        </w:tabs>
        <w:ind w:firstLine="2880"/>
      </w:pPr>
      <w:r>
        <w:t>Además</w:t>
      </w:r>
      <w:r>
        <w:rPr>
          <w:b/>
          <w:bCs/>
        </w:rPr>
        <w:t xml:space="preserve">, </w:t>
      </w:r>
      <w:r>
        <w:t>el 14 de octubre de 1998</w:t>
      </w:r>
      <w:r>
        <w:rPr>
          <w:b/>
          <w:bCs/>
        </w:rPr>
        <w:t xml:space="preserve"> </w:t>
      </w:r>
      <w:r>
        <w:t>Cal</w:t>
      </w:r>
      <w:r>
        <w:t>a</w:t>
      </w:r>
      <w:r>
        <w:t>bró prestó una extensa declaración testimonial ante el juez instructor, en presencia del fiscal Eamon M</w:t>
      </w:r>
      <w:r>
        <w:t>u</w:t>
      </w:r>
      <w:r>
        <w:t xml:space="preserve">llen y </w:t>
      </w:r>
      <w:smartTag w:uri="urn:schemas-microsoft-com:office:smarttags" w:element="PersonName">
        <w:smartTagPr>
          <w:attr w:name="ProductID" w:val="la Dra. Marta"/>
        </w:smartTagPr>
        <w:r>
          <w:t>la Dra. Marta</w:t>
        </w:r>
      </w:smartTag>
      <w:r>
        <w:t xml:space="preserve"> Nercellas, apoderada de una de las querellas (fs.48.021/48.029); oportunidad en la que también reseñó minuciosamente la actuación que le cupo en este suceso, sin que ello motivara al representante del Ministerio P</w:t>
      </w:r>
      <w:r>
        <w:t>ú</w:t>
      </w:r>
      <w:r>
        <w:t>blico Fiscal a denu</w:t>
      </w:r>
      <w:r>
        <w:t>n</w:t>
      </w:r>
      <w:r>
        <w:t>ciar el irregular proceder de aquél.</w:t>
      </w:r>
    </w:p>
    <w:p w:rsidR="00224567" w:rsidRDefault="00224567">
      <w:pPr>
        <w:widowControl w:val="0"/>
        <w:tabs>
          <w:tab w:val="left" w:pos="2835"/>
        </w:tabs>
        <w:ind w:firstLine="2880"/>
      </w:pPr>
      <w:r>
        <w:t>Por otra parte, debe resaltarse la parcial y tergiversada valoración que en el auto de proc</w:t>
      </w:r>
      <w:r>
        <w:t>e</w:t>
      </w:r>
      <w:r>
        <w:t>samiento y prisión preventiva, dictado el 31 de julio de 1996, realizó el juez instructor acerca de la signific</w:t>
      </w:r>
      <w:r>
        <w:t>a</w:t>
      </w:r>
      <w:r>
        <w:t>ción de la aludida conversación tel</w:t>
      </w:r>
      <w:r>
        <w:t>e</w:t>
      </w:r>
      <w:r>
        <w:t>fónica, la que empleó caprichosamente como una prueba de cargo contra los pol</w:t>
      </w:r>
      <w:r>
        <w:t>i</w:t>
      </w:r>
      <w:r>
        <w:t>cías i</w:t>
      </w:r>
      <w:r>
        <w:t>m</w:t>
      </w:r>
      <w:r>
        <w:t xml:space="preserve">putados. </w:t>
      </w:r>
    </w:p>
    <w:p w:rsidR="00224567" w:rsidRDefault="00224567">
      <w:pPr>
        <w:widowControl w:val="0"/>
        <w:tabs>
          <w:tab w:val="left" w:pos="2835"/>
        </w:tabs>
        <w:ind w:firstLine="2880"/>
      </w:pPr>
      <w:r>
        <w:t>Así, a fs. 40.247, afirmó: "..</w:t>
      </w:r>
      <w:r>
        <w:rPr>
          <w:i/>
          <w:iCs/>
        </w:rPr>
        <w:t>Finalmente</w:t>
      </w:r>
      <w:r>
        <w:t xml:space="preserve">, </w:t>
      </w:r>
      <w:r>
        <w:rPr>
          <w:i/>
          <w:iCs/>
        </w:rPr>
        <w:t>cobra singular importancia la convers</w:t>
      </w:r>
      <w:r>
        <w:rPr>
          <w:i/>
          <w:iCs/>
        </w:rPr>
        <w:t>a</w:t>
      </w:r>
      <w:r>
        <w:rPr>
          <w:i/>
          <w:iCs/>
        </w:rPr>
        <w:t>ción mantenida entre NICOLAU e IONNO, en cuanto ambos conocen que la camioneta Trafic pasó por las manos del grupo y su eventual destino; máxime tratándose los nombrados de dos personas</w:t>
      </w:r>
      <w:r>
        <w:t xml:space="preserve"> </w:t>
      </w:r>
      <w:r>
        <w:rPr>
          <w:i/>
          <w:iCs/>
        </w:rPr>
        <w:t>del entorno de RIBELLI.."</w:t>
      </w:r>
      <w:r>
        <w:t xml:space="preserve"> </w:t>
      </w:r>
    </w:p>
    <w:p w:rsidR="00224567" w:rsidRDefault="00224567">
      <w:pPr>
        <w:widowControl w:val="0"/>
        <w:tabs>
          <w:tab w:val="left" w:pos="2835"/>
        </w:tabs>
        <w:ind w:firstLine="2880"/>
      </w:pPr>
      <w:r>
        <w:t>Sin embargo, en ningún pasaje del di</w:t>
      </w:r>
      <w:r>
        <w:t>á</w:t>
      </w:r>
      <w:r>
        <w:t>logo entre los nombrados ni en sus respectivas declaraci</w:t>
      </w:r>
      <w:r>
        <w:t>o</w:t>
      </w:r>
      <w:r>
        <w:t>nes testimoniales prestadas durante la instrucción, aqu</w:t>
      </w:r>
      <w:r>
        <w:t>e</w:t>
      </w:r>
      <w:r>
        <w:t xml:space="preserve">llos afirmaron que la camioneta Trafic "pasó por las manos del grupo". </w:t>
      </w:r>
    </w:p>
    <w:p w:rsidR="00224567" w:rsidRDefault="00224567">
      <w:pPr>
        <w:widowControl w:val="0"/>
        <w:tabs>
          <w:tab w:val="left" w:pos="2835"/>
        </w:tabs>
        <w:ind w:firstLine="2880"/>
      </w:pPr>
      <w:r>
        <w:t>Tampoco cabe soslayar que el juez en el decreto del 18 de julio de 1996 (fs. 40.154, segundo párrafo), al denotar conocimiento de la conversación de marras, obviamente antes de contar con el resultado de la investigación del comisario Calabró, afirmó que tanto N</w:t>
      </w:r>
      <w:r>
        <w:t>i</w:t>
      </w:r>
      <w:r>
        <w:t>colau como su interlocutor tendrían conocimiento del de</w:t>
      </w:r>
      <w:r>
        <w:t>s</w:t>
      </w:r>
      <w:r>
        <w:t>tino dado a la camion</w:t>
      </w:r>
      <w:r>
        <w:t>e</w:t>
      </w:r>
      <w:r>
        <w:t xml:space="preserve">ta Trafic utilizada en el atentado a la sede de </w:t>
      </w:r>
      <w:smartTag w:uri="urn:schemas-microsoft-com:office:smarttags" w:element="PersonName">
        <w:smartTagPr>
          <w:attr w:name="ProductID" w:val="la A.M"/>
        </w:smartTagPr>
        <w:r>
          <w:t>la A.M</w:t>
        </w:r>
      </w:smartTag>
      <w:r>
        <w:t>.I.A.</w:t>
      </w:r>
    </w:p>
    <w:p w:rsidR="00224567" w:rsidRDefault="00224567">
      <w:pPr>
        <w:widowControl w:val="0"/>
        <w:tabs>
          <w:tab w:val="left" w:pos="2835"/>
        </w:tabs>
        <w:ind w:firstLine="2880"/>
      </w:pPr>
      <w:r>
        <w:t>Es claro, entonces, que el magistr</w:t>
      </w:r>
      <w:r>
        <w:t>a</w:t>
      </w:r>
      <w:r>
        <w:t>do extrajo conclusiones que no era posible inf</w:t>
      </w:r>
      <w:r>
        <w:t>e</w:t>
      </w:r>
      <w:r>
        <w:t>rir del tenor de la conversación de marras. En ese sentido, vale reit</w:t>
      </w:r>
      <w:r>
        <w:t>e</w:t>
      </w:r>
      <w:r>
        <w:t>rar que en ese decreto recién se disponían medidas te</w:t>
      </w:r>
      <w:r>
        <w:t>n</w:t>
      </w:r>
      <w:r>
        <w:t>dientes a investigar y esclarecer las circunstancias en ella refer</w:t>
      </w:r>
      <w:r>
        <w:t>i</w:t>
      </w:r>
      <w:r>
        <w:t>das.</w:t>
      </w:r>
    </w:p>
    <w:p w:rsidR="00224567" w:rsidRDefault="00224567">
      <w:pPr>
        <w:widowControl w:val="0"/>
        <w:tabs>
          <w:tab w:val="left" w:pos="2835"/>
        </w:tabs>
        <w:ind w:firstLine="2880"/>
      </w:pPr>
      <w:r>
        <w:t>Corresponde también destacar en este apartado, el modo en que el juez utilizó prueba obtenida del modo descripto.</w:t>
      </w:r>
    </w:p>
    <w:p w:rsidR="00224567" w:rsidRDefault="00224567">
      <w:pPr>
        <w:widowControl w:val="0"/>
        <w:tabs>
          <w:tab w:val="left" w:pos="2835"/>
        </w:tabs>
        <w:ind w:firstLine="2880"/>
      </w:pPr>
      <w:r>
        <w:t xml:space="preserve">Prueba de ello resulta el decreto del 6 de noviembre de 1997, obrante a fs. 43.601 vta. punto V, por el que ordenó a </w:t>
      </w:r>
      <w:smartTag w:uri="urn:schemas-microsoft-com:office:smarttags" w:element="PersonName">
        <w:smartTagPr>
          <w:attr w:name="ProductID" w:val="la Direcci￳n"/>
        </w:smartTagPr>
        <w:r>
          <w:t>la Dirección</w:t>
        </w:r>
      </w:smartTag>
      <w:r>
        <w:t xml:space="preserve"> de Terrorismo Internaci</w:t>
      </w:r>
      <w:r>
        <w:t>o</w:t>
      </w:r>
      <w:r>
        <w:t xml:space="preserve">nal de </w:t>
      </w:r>
      <w:smartTag w:uri="urn:schemas-microsoft-com:office:smarttags" w:element="PersonName">
        <w:smartTagPr>
          <w:attr w:name="ProductID" w:val="la S.I"/>
        </w:smartTagPr>
        <w:r>
          <w:t>la S.I</w:t>
        </w:r>
      </w:smartTag>
      <w:r>
        <w:t>.D.E la obtención de todo el material peri</w:t>
      </w:r>
      <w:r>
        <w:t>o</w:t>
      </w:r>
      <w:r>
        <w:t xml:space="preserve">dístico de los programas de televisión del 23 de julio de </w:t>
      </w:r>
      <w:smartTag w:uri="urn:schemas-microsoft-com:office:smarttags" w:element="metricconverter">
        <w:smartTagPr>
          <w:attr w:name="ProductID" w:val="1996, a"/>
        </w:smartTagPr>
        <w:r>
          <w:t>1996, a</w:t>
        </w:r>
      </w:smartTag>
      <w:r>
        <w:t xml:space="preserve"> efectos de analizar si en alguno de ellos se efe</w:t>
      </w:r>
      <w:r>
        <w:t>c</w:t>
      </w:r>
      <w:r>
        <w:t>tuó un reportaje al abogado defensor de Anastasio Ireneo Leal vinculado con la detención de é</w:t>
      </w:r>
      <w:r>
        <w:t>s</w:t>
      </w:r>
      <w:r>
        <w:t>te y su relación con la camioneta Trafic.</w:t>
      </w:r>
    </w:p>
    <w:p w:rsidR="00224567" w:rsidRDefault="00224567">
      <w:pPr>
        <w:widowControl w:val="0"/>
        <w:tabs>
          <w:tab w:val="left" w:pos="2835"/>
        </w:tabs>
        <w:ind w:firstLine="2880"/>
      </w:pPr>
      <w:r>
        <w:t>Cabe advertir, en ese orden, que la medida en cuestión sólo encontraba apoyatura en los d</w:t>
      </w:r>
      <w:r>
        <w:t>i</w:t>
      </w:r>
      <w:r>
        <w:t>chos que furtivamente obtuvo Calabró de su interrogatorio a Juan Carlos Ribelli. Para una mayor claridad e</w:t>
      </w:r>
      <w:r>
        <w:t>x</w:t>
      </w:r>
      <w:r>
        <w:t>positiva se transcribirán parcialmente las afirmaciones del interrog</w:t>
      </w:r>
      <w:r>
        <w:t>a</w:t>
      </w:r>
      <w:r>
        <w:t>do:</w:t>
      </w:r>
    </w:p>
    <w:p w:rsidR="00224567" w:rsidRDefault="00224567">
      <w:pPr>
        <w:widowControl w:val="0"/>
        <w:tabs>
          <w:tab w:val="left" w:pos="2835"/>
        </w:tabs>
        <w:ind w:firstLine="2880"/>
      </w:pPr>
      <w:r>
        <w:t>"...la camioneta... el propio Leal m</w:t>
      </w:r>
      <w:r>
        <w:t>a</w:t>
      </w:r>
      <w:r>
        <w:t>nifiesta que si...yo ayer casualmente lo escuché por tel</w:t>
      </w:r>
      <w:r>
        <w:t>e</w:t>
      </w:r>
      <w:r>
        <w:t>visión al abogado de Leal...dice pe</w:t>
      </w:r>
      <w:r>
        <w:t>r</w:t>
      </w:r>
      <w:r>
        <w:t>fectamente que se hace responsable de haber adquirido la camioneta...lo escuché ayer, lástima que no tengo ningún video grabado.. pero ayer, casualmente, lo escuché de casualidad...Lo escuché yo, eso se lo puedo afirmar, ayer a la noche en Canal Nu</w:t>
      </w:r>
      <w:r>
        <w:t>e</w:t>
      </w:r>
      <w:r>
        <w:t>ve..." (fs. 43.571, 43.574 y 43.575)</w:t>
      </w:r>
    </w:p>
    <w:p w:rsidR="00224567" w:rsidRDefault="00224567">
      <w:pPr>
        <w:widowControl w:val="0"/>
        <w:tabs>
          <w:tab w:val="left" w:pos="2835"/>
        </w:tabs>
        <w:ind w:firstLine="2880"/>
      </w:pPr>
      <w:r>
        <w:t>Por todo lo expuesto, el Tribunal  e</w:t>
      </w:r>
      <w:r>
        <w:t>n</w:t>
      </w:r>
      <w:r>
        <w:t xml:space="preserve">tiende que corresponde extraer testimonios de las piezas pertinentes y remitirlos a </w:t>
      </w:r>
      <w:smartTag w:uri="urn:schemas-microsoft-com:office:smarttags" w:element="PersonName">
        <w:smartTagPr>
          <w:attr w:name="ProductID" w:val="la C￡mara Nacional"/>
        </w:smartTagPr>
        <w:r>
          <w:t>la Cámara Nacional</w:t>
        </w:r>
      </w:smartTag>
      <w:r>
        <w:t xml:space="preserve"> de Apelaci</w:t>
      </w:r>
      <w:r>
        <w:t>o</w:t>
      </w:r>
      <w:r>
        <w:t>nes en lo Criminal y Correccional Federal de esta ciudad, a fin de que determine el juzgado que d</w:t>
      </w:r>
      <w:r>
        <w:t>e</w:t>
      </w:r>
      <w:r>
        <w:t>berá investigar la responsabilidad que pudo caberle a Armando Antonio Cal</w:t>
      </w:r>
      <w:r>
        <w:t>a</w:t>
      </w:r>
      <w:r>
        <w:t>bró, por los delitos que resulten de las diligencias ll</w:t>
      </w:r>
      <w:r>
        <w:t>e</w:t>
      </w:r>
      <w:r>
        <w:t>vadas a cabo en virtud de la entrega que da cuenta la nota de fs. 40.155, como así también la que le cupo en tales sucesos a Jorge Sebastián Menno y José Jofré, quienes h</w:t>
      </w:r>
      <w:r>
        <w:t>a</w:t>
      </w:r>
      <w:r>
        <w:t>brían actuado junt</w:t>
      </w:r>
      <w:r>
        <w:t>a</w:t>
      </w:r>
      <w:r>
        <w:t>mente con el nombrado.</w:t>
      </w:r>
    </w:p>
    <w:p w:rsidR="00224567" w:rsidRDefault="00224567">
      <w:pPr>
        <w:widowControl w:val="0"/>
        <w:tabs>
          <w:tab w:val="left" w:pos="2835"/>
        </w:tabs>
        <w:ind w:firstLine="2880"/>
      </w:pPr>
      <w:r>
        <w:t>Asimismo, se deberá investigar la re</w:t>
      </w:r>
      <w:r>
        <w:t>s</w:t>
      </w:r>
      <w:r>
        <w:t>ponsabilidad que por los mismos hechos pudo caberles al juez Juan José Galeano y a los fiscales Eamon Gabriel M</w:t>
      </w:r>
      <w:r>
        <w:t>u</w:t>
      </w:r>
      <w:r>
        <w:t>llen y José Carlos Barbaccia.</w:t>
      </w:r>
    </w:p>
    <w:p w:rsidR="00224567" w:rsidRDefault="00224567">
      <w:pPr>
        <w:widowControl w:val="0"/>
        <w:tabs>
          <w:tab w:val="left" w:pos="2835"/>
        </w:tabs>
        <w:ind w:firstLine="2880"/>
      </w:pPr>
    </w:p>
    <w:p w:rsidR="00224567" w:rsidRDefault="00224567">
      <w:pPr>
        <w:pStyle w:val="Ttulo3"/>
      </w:pPr>
      <w:r>
        <w:t>Ñ) Informal entrevista entre el juez y el imputado Jorge Horacio Rago.</w:t>
      </w:r>
    </w:p>
    <w:p w:rsidR="00224567" w:rsidRDefault="00224567">
      <w:pPr>
        <w:pStyle w:val="Sangra3detindependiente"/>
        <w:widowControl w:val="0"/>
        <w:tabs>
          <w:tab w:val="left" w:pos="2835"/>
        </w:tabs>
        <w:spacing w:line="600" w:lineRule="auto"/>
        <w:ind w:firstLine="2880"/>
      </w:pPr>
      <w:r>
        <w:t>En la audiencia de debate Jorge Hor</w:t>
      </w:r>
      <w:r>
        <w:t>a</w:t>
      </w:r>
      <w:r>
        <w:t>cio Rago relató una entrevista que mantuvo con el Dr. G</w:t>
      </w:r>
      <w:r>
        <w:t>a</w:t>
      </w:r>
      <w:r>
        <w:t>leano en junio de 1996 en la sede del ju</w:t>
      </w:r>
      <w:r>
        <w:t>z</w:t>
      </w:r>
      <w:r>
        <w:t>gado instructor.</w:t>
      </w:r>
    </w:p>
    <w:p w:rsidR="00224567" w:rsidRDefault="00224567">
      <w:pPr>
        <w:widowControl w:val="0"/>
        <w:tabs>
          <w:tab w:val="left" w:pos="2835"/>
        </w:tabs>
        <w:ind w:firstLine="2880"/>
      </w:pPr>
      <w:r>
        <w:rPr>
          <w:lang w:val="es-ES_tradnl"/>
        </w:rPr>
        <w:t xml:space="preserve">Contó que </w:t>
      </w:r>
      <w:r>
        <w:t xml:space="preserve">Semorile lo fue a ver en dos oportunidades a </w:t>
      </w:r>
      <w:smartTag w:uri="urn:schemas-microsoft-com:office:smarttags" w:element="PersonName">
        <w:smartTagPr>
          <w:attr w:name="ProductID" w:val="la Brigada"/>
        </w:smartTagPr>
        <w:r>
          <w:t>la Brigada</w:t>
        </w:r>
      </w:smartTag>
      <w:r>
        <w:t xml:space="preserve"> de San Miguel, a mediados de junio, para conversar acerca del atentado a </w:t>
      </w:r>
      <w:smartTag w:uri="urn:schemas-microsoft-com:office:smarttags" w:element="PersonName">
        <w:smartTagPr>
          <w:attr w:name="ProductID" w:val="la A.M"/>
        </w:smartTagPr>
        <w:r>
          <w:t>la A.M</w:t>
        </w:r>
      </w:smartTag>
      <w:r>
        <w:t>.I.A., tomando un café fuera de la dependencia por cuanto el ab</w:t>
      </w:r>
      <w:r>
        <w:t>o</w:t>
      </w:r>
      <w:r>
        <w:t>gado no quería que el encuentro se conociera. En la prim</w:t>
      </w:r>
      <w:r>
        <w:t>e</w:t>
      </w:r>
      <w:r>
        <w:t>ra le comentó la posibilidad de una entrevista con el m</w:t>
      </w:r>
      <w:r>
        <w:t>a</w:t>
      </w:r>
      <w:r>
        <w:t>gistrado instructor y en la segunda arreglaron sus det</w:t>
      </w:r>
      <w:r>
        <w:t>a</w:t>
      </w:r>
      <w:r>
        <w:t xml:space="preserve">lles. </w:t>
      </w:r>
    </w:p>
    <w:p w:rsidR="00224567" w:rsidRDefault="00224567">
      <w:pPr>
        <w:widowControl w:val="0"/>
        <w:tabs>
          <w:tab w:val="left" w:pos="2835"/>
        </w:tabs>
        <w:ind w:firstLine="2880"/>
      </w:pPr>
      <w:r>
        <w:t>Expresó que Semorile le dijo que el juez se encontraba investigando a las brigadas, concret</w:t>
      </w:r>
      <w:r>
        <w:t>a</w:t>
      </w:r>
      <w:r>
        <w:t>mente, que vislumbraba como próximas las detenciones de los “rorro”, en alusión a Ribelli y a su apellido, expl</w:t>
      </w:r>
      <w:r>
        <w:t>i</w:t>
      </w:r>
      <w:r>
        <w:t>cándole cuál era el problema que había tenido en Lanús, sin otras precisiones.</w:t>
      </w:r>
    </w:p>
    <w:p w:rsidR="00224567" w:rsidRDefault="00224567">
      <w:pPr>
        <w:widowControl w:val="0"/>
        <w:tabs>
          <w:tab w:val="left" w:pos="2835"/>
        </w:tabs>
        <w:ind w:firstLine="2880"/>
      </w:pPr>
      <w:r>
        <w:t>Además, le refirió la importancia de que concurriera a la entrevista en razón de que cons</w:t>
      </w:r>
      <w:r>
        <w:t>i</w:t>
      </w:r>
      <w:r>
        <w:t>deró que podría resultar beneficiado, no habiéndole mencionado nunca qué era lo que el juez esperaba de su declaración.</w:t>
      </w:r>
    </w:p>
    <w:p w:rsidR="00224567" w:rsidRDefault="00224567">
      <w:pPr>
        <w:widowControl w:val="0"/>
        <w:tabs>
          <w:tab w:val="left" w:pos="2835"/>
        </w:tabs>
        <w:ind w:firstLine="2880"/>
      </w:pPr>
      <w:r>
        <w:t>Indicó que para ese entonces descon</w:t>
      </w:r>
      <w:r>
        <w:t>o</w:t>
      </w:r>
      <w:r>
        <w:t>cía que el Dr. Galeano lo requería, sabiendo tan sólo que la investigación se había iniciado a mediados de 1995 en la jefatura de Policía y se relaci</w:t>
      </w:r>
      <w:r>
        <w:t>o</w:t>
      </w:r>
      <w:r>
        <w:t xml:space="preserve">naba con el atentado a </w:t>
      </w:r>
      <w:smartTag w:uri="urn:schemas-microsoft-com:office:smarttags" w:element="PersonName">
        <w:smartTagPr>
          <w:attr w:name="ProductID" w:val="la A.M"/>
        </w:smartTagPr>
        <w:r>
          <w:t>la A.M</w:t>
        </w:r>
      </w:smartTag>
      <w:r>
        <w:t>.I.A.</w:t>
      </w:r>
    </w:p>
    <w:p w:rsidR="00224567" w:rsidRDefault="00224567">
      <w:pPr>
        <w:pStyle w:val="Sangra3detindependiente"/>
        <w:widowControl w:val="0"/>
        <w:tabs>
          <w:tab w:val="left" w:pos="2835"/>
        </w:tabs>
        <w:spacing w:line="600" w:lineRule="auto"/>
        <w:ind w:firstLine="2880"/>
        <w:rPr>
          <w:lang w:val="es-AR"/>
        </w:rPr>
      </w:pPr>
      <w:r>
        <w:rPr>
          <w:lang w:val="es-AR"/>
        </w:rPr>
        <w:t>Precisó que aceptó el ofrecimie</w:t>
      </w:r>
      <w:r>
        <w:rPr>
          <w:lang w:val="es-AR"/>
        </w:rPr>
        <w:t>n</w:t>
      </w:r>
      <w:r>
        <w:rPr>
          <w:lang w:val="es-AR"/>
        </w:rPr>
        <w:t>to por cuanto pretendía decirle al magistrado todo lo que conocía acerca del tema que investigaba; asimismo, refirió que c</w:t>
      </w:r>
      <w:r>
        <w:rPr>
          <w:lang w:val="es-AR"/>
        </w:rPr>
        <w:t>o</w:t>
      </w:r>
      <w:r>
        <w:rPr>
          <w:lang w:val="es-AR"/>
        </w:rPr>
        <w:t>municó a sus superiores, el comisario in</w:t>
      </w:r>
      <w:r>
        <w:rPr>
          <w:lang w:val="es-AR"/>
        </w:rPr>
        <w:t>s</w:t>
      </w:r>
      <w:r>
        <w:rPr>
          <w:lang w:val="es-AR"/>
        </w:rPr>
        <w:t>pector Miniscarco y el comisario Pérez, acerca de su concurrencia al juzg</w:t>
      </w:r>
      <w:r>
        <w:rPr>
          <w:lang w:val="es-AR"/>
        </w:rPr>
        <w:t>a</w:t>
      </w:r>
      <w:r>
        <w:rPr>
          <w:lang w:val="es-AR"/>
        </w:rPr>
        <w:t>do, la que se concretó el viernes 18 ó 25 de junio. Reco</w:t>
      </w:r>
      <w:r>
        <w:rPr>
          <w:lang w:val="es-AR"/>
        </w:rPr>
        <w:t>r</w:t>
      </w:r>
      <w:r>
        <w:rPr>
          <w:lang w:val="es-AR"/>
        </w:rPr>
        <w:t>dó que concurrió acompañado por el Dr. Semorile, con quien se encontró previamente en la localidad de San Isidro y que mientras aguardaba que el juez lo atendiera había co</w:t>
      </w:r>
      <w:r>
        <w:rPr>
          <w:lang w:val="es-AR"/>
        </w:rPr>
        <w:t>n</w:t>
      </w:r>
      <w:r>
        <w:rPr>
          <w:lang w:val="es-AR"/>
        </w:rPr>
        <w:t>versado con el secretario De Gamas y con el ex prosecret</w:t>
      </w:r>
      <w:r>
        <w:rPr>
          <w:lang w:val="es-AR"/>
        </w:rPr>
        <w:t>a</w:t>
      </w:r>
      <w:r>
        <w:rPr>
          <w:lang w:val="es-AR"/>
        </w:rPr>
        <w:t xml:space="preserve">rio </w:t>
      </w:r>
      <w:r>
        <w:t>Lifschitz</w:t>
      </w:r>
      <w:r>
        <w:rPr>
          <w:lang w:val="es-AR"/>
        </w:rPr>
        <w:t>.</w:t>
      </w:r>
    </w:p>
    <w:p w:rsidR="00224567" w:rsidRDefault="00224567">
      <w:pPr>
        <w:widowControl w:val="0"/>
        <w:tabs>
          <w:tab w:val="left" w:pos="2835"/>
        </w:tabs>
        <w:ind w:firstLine="2880"/>
      </w:pPr>
      <w:r>
        <w:t>No pudo precisar si el Dr. De Gamas participó de la entrevista, pero sí que en ella el Dr. G</w:t>
      </w:r>
      <w:r>
        <w:t>a</w:t>
      </w:r>
      <w:r>
        <w:t>leano le dijo que era su oportunidad para declarar todo lo que sabía; en particular le requirió que dep</w:t>
      </w:r>
      <w:r>
        <w:t>u</w:t>
      </w:r>
      <w:r>
        <w:t>siera contra Ribelli, dándole a entender que conocía cuál era la rel</w:t>
      </w:r>
      <w:r>
        <w:t>a</w:t>
      </w:r>
      <w:r>
        <w:t xml:space="preserve">ción del nombrado con </w:t>
      </w:r>
      <w:smartTag w:uri="urn:schemas-microsoft-com:office:smarttags" w:element="PersonName">
        <w:smartTagPr>
          <w:attr w:name="ProductID" w:val="la Trafic. Ante"/>
        </w:smartTagPr>
        <w:r>
          <w:t>la Trafic. Ante</w:t>
        </w:r>
      </w:smartTag>
      <w:r>
        <w:t xml:space="preserve"> dicho requerimiento, explicó Rago, le dijo al juez que no iba a mentir y que nada podía decirle respecto de Ribelli.</w:t>
      </w:r>
    </w:p>
    <w:p w:rsidR="00224567" w:rsidRDefault="00224567">
      <w:pPr>
        <w:widowControl w:val="0"/>
        <w:tabs>
          <w:tab w:val="left" w:pos="2835"/>
        </w:tabs>
        <w:ind w:firstLine="2880"/>
      </w:pPr>
      <w:r>
        <w:t xml:space="preserve">Refirió Rago que tras ello, el juez le manifestó que de no declarar en el sentido propuesto todas las actuaciones de </w:t>
      </w:r>
      <w:smartTag w:uri="urn:schemas-microsoft-com:office:smarttags" w:element="PersonName">
        <w:smartTagPr>
          <w:attr w:name="ProductID" w:val="la Brigada"/>
        </w:smartTagPr>
        <w:r>
          <w:t>la Brigada</w:t>
        </w:r>
      </w:smartTag>
      <w:r>
        <w:t xml:space="preserve"> de Vicente López le iban a caer en su contra, a la vez que sería expulsado de la p</w:t>
      </w:r>
      <w:r>
        <w:t>o</w:t>
      </w:r>
      <w:r>
        <w:t>licía. También le dijo que estaba en él realizar alguna averiguación por la cual pudiera acreditar que sus dichos eran veraces. Fue así como, agregó, interrogó, dentro de sus posibilidades, a Barreda y Bareiro sin poder esclar</w:t>
      </w:r>
      <w:r>
        <w:t>e</w:t>
      </w:r>
      <w:r>
        <w:t xml:space="preserve">cer nada acerca de si éstos habían cometido algún delito con motivo del procedimiento realizado por </w:t>
      </w:r>
      <w:smartTag w:uri="urn:schemas-microsoft-com:office:smarttags" w:element="PersonName">
        <w:smartTagPr>
          <w:attr w:name="ProductID" w:val="la Brigada"/>
        </w:smartTagPr>
        <w:r>
          <w:t>la Brigada</w:t>
        </w:r>
      </w:smartTag>
      <w:r>
        <w:t xml:space="preserve"> de Investigaci</w:t>
      </w:r>
      <w:r>
        <w:t>o</w:t>
      </w:r>
      <w:r>
        <w:t>nes de Vicente López.</w:t>
      </w:r>
    </w:p>
    <w:p w:rsidR="00224567" w:rsidRDefault="00224567">
      <w:pPr>
        <w:pStyle w:val="Sangra3detindependiente"/>
        <w:widowControl w:val="0"/>
        <w:tabs>
          <w:tab w:val="left" w:pos="2835"/>
        </w:tabs>
        <w:spacing w:line="600" w:lineRule="auto"/>
        <w:ind w:firstLine="2880"/>
        <w:rPr>
          <w:lang w:val="es-AR"/>
        </w:rPr>
      </w:pPr>
      <w:r>
        <w:rPr>
          <w:lang w:val="es-AR"/>
        </w:rPr>
        <w:t>Precisó Rago que en la oportun</w:t>
      </w:r>
      <w:r>
        <w:rPr>
          <w:lang w:val="es-AR"/>
        </w:rPr>
        <w:t>i</w:t>
      </w:r>
      <w:r>
        <w:rPr>
          <w:lang w:val="es-AR"/>
        </w:rPr>
        <w:t>dad no firmó acta ni constancia alguna que diera cuenta del e</w:t>
      </w:r>
      <w:r>
        <w:rPr>
          <w:lang w:val="es-AR"/>
        </w:rPr>
        <w:t>n</w:t>
      </w:r>
      <w:r>
        <w:rPr>
          <w:lang w:val="es-AR"/>
        </w:rPr>
        <w:t>cuentro relatado.</w:t>
      </w:r>
    </w:p>
    <w:p w:rsidR="00224567" w:rsidRDefault="00224567">
      <w:pPr>
        <w:widowControl w:val="0"/>
        <w:tabs>
          <w:tab w:val="left" w:pos="2835"/>
        </w:tabs>
        <w:ind w:firstLine="2880"/>
      </w:pPr>
      <w:r>
        <w:t>Explicó que luego de la reunión Sem</w:t>
      </w:r>
      <w:r>
        <w:t>o</w:t>
      </w:r>
      <w:r>
        <w:t xml:space="preserve">rile lo acercó en auto hasta la autopista Panamericana, desde dónde llamó al oficial Jiménez de </w:t>
      </w:r>
      <w:smartTag w:uri="urn:schemas-microsoft-com:office:smarttags" w:element="PersonName">
        <w:smartTagPr>
          <w:attr w:name="ProductID" w:val="la Brigada"/>
        </w:smartTagPr>
        <w:r>
          <w:t>la Brigada</w:t>
        </w:r>
      </w:smartTag>
      <w:r>
        <w:t xml:space="preserve"> de San Miguel para que lo buscara ya que viajaba a Mar del Plata esa misma noche. El result</w:t>
      </w:r>
      <w:r>
        <w:t>a</w:t>
      </w:r>
      <w:r>
        <w:t>do de la reunión con el juez se lo comentó por teléfono al comisario P</w:t>
      </w:r>
      <w:r>
        <w:t>é</w:t>
      </w:r>
      <w:r>
        <w:t>rez.</w:t>
      </w:r>
    </w:p>
    <w:p w:rsidR="00224567" w:rsidRDefault="00224567">
      <w:pPr>
        <w:widowControl w:val="0"/>
        <w:tabs>
          <w:tab w:val="left" w:pos="2835"/>
        </w:tabs>
        <w:ind w:firstLine="2880"/>
      </w:pPr>
      <w:r>
        <w:t>Acerca de la entrevista aludida por Rago otros testigos se expidieron en la audiencia de deb</w:t>
      </w:r>
      <w:r>
        <w:t>a</w:t>
      </w:r>
      <w:r>
        <w:t>te.</w:t>
      </w:r>
    </w:p>
    <w:p w:rsidR="00224567" w:rsidRDefault="00224567">
      <w:pPr>
        <w:pStyle w:val="Sangra3detindependiente"/>
        <w:widowControl w:val="0"/>
        <w:tabs>
          <w:tab w:val="left" w:pos="2835"/>
        </w:tabs>
        <w:spacing w:line="600" w:lineRule="auto"/>
        <w:ind w:firstLine="2880"/>
      </w:pPr>
      <w:r>
        <w:rPr>
          <w:lang w:val="es-AR"/>
        </w:rPr>
        <w:t>En ese orden, Gustavo Alberto Sem</w:t>
      </w:r>
      <w:r>
        <w:rPr>
          <w:lang w:val="es-AR"/>
        </w:rPr>
        <w:t>o</w:t>
      </w:r>
      <w:r>
        <w:rPr>
          <w:lang w:val="es-AR"/>
        </w:rPr>
        <w:t>rile relató que vio a Rago por cuestiones profesionales por cuanto el nombrado quería prestar declaración te</w:t>
      </w:r>
      <w:r>
        <w:rPr>
          <w:lang w:val="es-AR"/>
        </w:rPr>
        <w:t>s</w:t>
      </w:r>
      <w:r>
        <w:rPr>
          <w:lang w:val="es-AR"/>
        </w:rPr>
        <w:t>timonial en el juzgado instructor a fin de aclarar su intervención en la averiguación de a</w:t>
      </w:r>
      <w:r>
        <w:rPr>
          <w:lang w:val="es-AR"/>
        </w:rPr>
        <w:t>n</w:t>
      </w:r>
      <w:r>
        <w:rPr>
          <w:lang w:val="es-AR"/>
        </w:rPr>
        <w:t xml:space="preserve">tecedentes de Hugo Antonio Pérez y solucionar el problema derivado de ese procedimiento, ya que </w:t>
      </w:r>
      <w:r>
        <w:t>posteriormente se les había reprochado el apoderamie</w:t>
      </w:r>
      <w:r>
        <w:t>n</w:t>
      </w:r>
      <w:r>
        <w:t>to de una Trafic.</w:t>
      </w:r>
    </w:p>
    <w:p w:rsidR="00224567" w:rsidRDefault="00224567">
      <w:pPr>
        <w:widowControl w:val="0"/>
        <w:tabs>
          <w:tab w:val="left" w:pos="2835"/>
        </w:tabs>
        <w:ind w:firstLine="2880"/>
      </w:pPr>
      <w:r>
        <w:t>El testigo señaló que le transmitió esto al Dr. Galeano, quien le dijo que tenía interés en conversar con Rago o tomarle testimonial; luego arregló una entrevista. Si bien, en un principio, sostuvo que la re</w:t>
      </w:r>
      <w:r>
        <w:t>u</w:t>
      </w:r>
      <w:r>
        <w:t>nión se arregló a instancias de Rago, durante el careo efectuado con este último manifestó que ello su</w:t>
      </w:r>
      <w:r>
        <w:t>r</w:t>
      </w:r>
      <w:r>
        <w:t>gió de un acuerdo.</w:t>
      </w:r>
    </w:p>
    <w:p w:rsidR="00224567" w:rsidRDefault="00224567">
      <w:pPr>
        <w:pStyle w:val="Sangra3detindependiente"/>
        <w:widowControl w:val="0"/>
        <w:tabs>
          <w:tab w:val="left" w:pos="2835"/>
        </w:tabs>
        <w:spacing w:line="600" w:lineRule="auto"/>
        <w:ind w:firstLine="2880"/>
        <w:rPr>
          <w:lang w:val="es-AR"/>
        </w:rPr>
      </w:pPr>
      <w:r>
        <w:rPr>
          <w:lang w:val="es-AR"/>
        </w:rPr>
        <w:t>También aclaró que lo acompañó al ju</w:t>
      </w:r>
      <w:r>
        <w:rPr>
          <w:lang w:val="es-AR"/>
        </w:rPr>
        <w:t>z</w:t>
      </w:r>
      <w:r>
        <w:rPr>
          <w:lang w:val="es-AR"/>
        </w:rPr>
        <w:t>gado pero no asistió a la reunión ni supo de su co</w:t>
      </w:r>
      <w:r>
        <w:rPr>
          <w:lang w:val="es-AR"/>
        </w:rPr>
        <w:t>n</w:t>
      </w:r>
      <w:r>
        <w:rPr>
          <w:lang w:val="es-AR"/>
        </w:rPr>
        <w:t>tenido.</w:t>
      </w:r>
    </w:p>
    <w:p w:rsidR="00224567" w:rsidRDefault="00224567">
      <w:pPr>
        <w:pStyle w:val="Sangra3detindependiente"/>
        <w:widowControl w:val="0"/>
        <w:tabs>
          <w:tab w:val="left" w:pos="2835"/>
        </w:tabs>
        <w:spacing w:line="600" w:lineRule="auto"/>
        <w:ind w:firstLine="2880"/>
      </w:pPr>
      <w:r>
        <w:t>Por último Semorile aclaró que no s</w:t>
      </w:r>
      <w:r>
        <w:t>a</w:t>
      </w:r>
      <w:r>
        <w:t>bía que estuvieran investigando a Rago ni que se lo fuera a d</w:t>
      </w:r>
      <w:r>
        <w:t>e</w:t>
      </w:r>
      <w:r>
        <w:t>tener.</w:t>
      </w:r>
    </w:p>
    <w:p w:rsidR="00224567" w:rsidRDefault="00224567">
      <w:pPr>
        <w:widowControl w:val="0"/>
        <w:tabs>
          <w:tab w:val="left" w:pos="2835"/>
        </w:tabs>
        <w:ind w:firstLine="2880"/>
        <w:rPr>
          <w:lang w:val="es-ES_tradnl"/>
        </w:rPr>
      </w:pPr>
      <w:r>
        <w:rPr>
          <w:lang w:val="es-ES_tradnl"/>
        </w:rPr>
        <w:t>En el debate, Claudio Adrián Lif</w:t>
      </w:r>
      <w:r>
        <w:rPr>
          <w:lang w:val="es-ES_tradnl"/>
        </w:rPr>
        <w:t>s</w:t>
      </w:r>
      <w:r>
        <w:rPr>
          <w:lang w:val="es-ES_tradnl"/>
        </w:rPr>
        <w:t xml:space="preserve">chitz manifestó que el Dr. Galeano le solicitó a Semorile, por sus vinculaciones con </w:t>
      </w:r>
      <w:smartTag w:uri="urn:schemas-microsoft-com:office:smarttags" w:element="PersonName">
        <w:smartTagPr>
          <w:attr w:name="ProductID" w:val="la Polic￭a Bonaerense"/>
        </w:smartTagPr>
        <w:r>
          <w:rPr>
            <w:lang w:val="es-ES_tradnl"/>
          </w:rPr>
          <w:t>la Policía B</w:t>
        </w:r>
        <w:r>
          <w:rPr>
            <w:lang w:val="es-ES_tradnl"/>
          </w:rPr>
          <w:t>o</w:t>
        </w:r>
        <w:r>
          <w:rPr>
            <w:lang w:val="es-ES_tradnl"/>
          </w:rPr>
          <w:t>naerense</w:t>
        </w:r>
      </w:smartTag>
      <w:r>
        <w:rPr>
          <w:lang w:val="es-ES_tradnl"/>
        </w:rPr>
        <w:t>, que convocara a Rago por cuanto estaba i</w:t>
      </w:r>
      <w:r>
        <w:rPr>
          <w:lang w:val="es-ES_tradnl"/>
        </w:rPr>
        <w:t>n</w:t>
      </w:r>
      <w:r>
        <w:rPr>
          <w:lang w:val="es-ES_tradnl"/>
        </w:rPr>
        <w:t xml:space="preserve">teresado en saber si realmente </w:t>
      </w:r>
      <w:smartTag w:uri="urn:schemas-microsoft-com:office:smarttags" w:element="PersonName">
        <w:smartTagPr>
          <w:attr w:name="ProductID" w:val="la Brigada"/>
        </w:smartTagPr>
        <w:r>
          <w:rPr>
            <w:lang w:val="es-ES_tradnl"/>
          </w:rPr>
          <w:t>la Brigada</w:t>
        </w:r>
      </w:smartTag>
      <w:r>
        <w:rPr>
          <w:lang w:val="es-ES_tradnl"/>
        </w:rPr>
        <w:t xml:space="preserve"> de Vicente López se había llevado la camioneta Trafic el 10 de julio o si tenía alguna relación con dicho rodado, habiendo sabido luego que Rago negó tal extremo y que el juez no le creyó.</w:t>
      </w:r>
    </w:p>
    <w:p w:rsidR="00224567" w:rsidRDefault="00224567">
      <w:pPr>
        <w:widowControl w:val="0"/>
        <w:tabs>
          <w:tab w:val="left" w:pos="2835"/>
        </w:tabs>
        <w:ind w:firstLine="2880"/>
        <w:rPr>
          <w:lang w:val="es-ES_tradnl"/>
        </w:rPr>
      </w:pPr>
      <w:r>
        <w:rPr>
          <w:lang w:val="es-ES_tradnl"/>
        </w:rPr>
        <w:t>Si bien no estuvo presente en la e</w:t>
      </w:r>
      <w:r>
        <w:rPr>
          <w:lang w:val="es-ES_tradnl"/>
        </w:rPr>
        <w:t>n</w:t>
      </w:r>
      <w:r>
        <w:rPr>
          <w:lang w:val="es-ES_tradnl"/>
        </w:rPr>
        <w:t>trevista, motivo por el cual no conoció lo conversado, afirmó que dicho encuentro fue filmado.</w:t>
      </w:r>
    </w:p>
    <w:p w:rsidR="00224567" w:rsidRDefault="00224567">
      <w:pPr>
        <w:widowControl w:val="0"/>
        <w:tabs>
          <w:tab w:val="left" w:pos="2835"/>
        </w:tabs>
        <w:ind w:firstLine="2880"/>
      </w:pPr>
      <w:r>
        <w:t>También sobre el tema declaró José Fernando Mariano Pereyra, quien sostuvo que Rago se pr</w:t>
      </w:r>
      <w:r>
        <w:t>e</w:t>
      </w:r>
      <w:r>
        <w:t>sentó espontáneamente y mantuvo una entrevista con el Dr. Galeano en el ámbito de la secretaría privada, no reco</w:t>
      </w:r>
      <w:r>
        <w:t>r</w:t>
      </w:r>
      <w:r>
        <w:t>dando si e</w:t>
      </w:r>
      <w:r>
        <w:t>s</w:t>
      </w:r>
      <w:r>
        <w:t>taba solo o acompañado como tampoco si se dejó constancia de esa present</w:t>
      </w:r>
      <w:r>
        <w:t>a</w:t>
      </w:r>
      <w:r>
        <w:t>ción.</w:t>
      </w:r>
    </w:p>
    <w:p w:rsidR="00224567" w:rsidRDefault="00224567">
      <w:pPr>
        <w:widowControl w:val="0"/>
        <w:tabs>
          <w:tab w:val="left" w:pos="2835"/>
        </w:tabs>
        <w:ind w:firstLine="2880"/>
      </w:pPr>
      <w:r>
        <w:t>Por su parte, Carlos Alberto Minisca</w:t>
      </w:r>
      <w:r>
        <w:t>r</w:t>
      </w:r>
      <w:r>
        <w:t xml:space="preserve">co, quien se desempeñó como jefe de </w:t>
      </w:r>
      <w:smartTag w:uri="urn:schemas-microsoft-com:office:smarttags" w:element="PersonName">
        <w:smartTagPr>
          <w:attr w:name="ProductID" w:val="la Brigada"/>
        </w:smartTagPr>
        <w:r>
          <w:t>la Brigada</w:t>
        </w:r>
      </w:smartTag>
      <w:r>
        <w:t xml:space="preserve"> de Invest</w:t>
      </w:r>
      <w:r>
        <w:t>i</w:t>
      </w:r>
      <w:r>
        <w:t>gaciones de San Miguel durante 1996, r</w:t>
      </w:r>
      <w:r>
        <w:t>e</w:t>
      </w:r>
      <w:r>
        <w:t>cordó haber visto a Semorile en la brigada, como también que en alguna oport</w:t>
      </w:r>
      <w:r>
        <w:t>u</w:t>
      </w:r>
      <w:r>
        <w:t>nidad había hablado con Rago, ignorando acerca de qué t</w:t>
      </w:r>
      <w:r>
        <w:t>e</w:t>
      </w:r>
      <w:r>
        <w:t>ma.</w:t>
      </w:r>
    </w:p>
    <w:p w:rsidR="00224567" w:rsidRDefault="00224567">
      <w:pPr>
        <w:widowControl w:val="0"/>
        <w:tabs>
          <w:tab w:val="left" w:pos="2835"/>
        </w:tabs>
        <w:ind w:firstLine="2880"/>
      </w:pPr>
      <w:r>
        <w:t>Por último, Carlos Alberto Pérez man</w:t>
      </w:r>
      <w:r>
        <w:t>i</w:t>
      </w:r>
      <w:r>
        <w:t>festó en el debate que para junio de 1996 prestaba serv</w:t>
      </w:r>
      <w:r>
        <w:t>i</w:t>
      </w:r>
      <w:r>
        <w:t xml:space="preserve">cios en </w:t>
      </w:r>
      <w:smartTag w:uri="urn:schemas-microsoft-com:office:smarttags" w:element="PersonName">
        <w:smartTagPr>
          <w:attr w:name="ProductID" w:val="la Brigada"/>
        </w:smartTagPr>
        <w:r>
          <w:t>la Brigada</w:t>
        </w:r>
      </w:smartTag>
      <w:r>
        <w:t xml:space="preserve"> de Investigaciones de San Miguel como segundo jefe de la dependencia, precisando que en virtud que Rago debió concurrir al juzgado federal a entrevista</w:t>
      </w:r>
      <w:r>
        <w:t>r</w:t>
      </w:r>
      <w:r>
        <w:t>se con el Dr. Galeano, por cuestiones relativas a la pr</w:t>
      </w:r>
      <w:r>
        <w:t>e</w:t>
      </w:r>
      <w:r>
        <w:t>sente causa, aquél le requirió la pertinente autorización.</w:t>
      </w:r>
    </w:p>
    <w:p w:rsidR="00224567" w:rsidRDefault="00224567">
      <w:pPr>
        <w:widowControl w:val="0"/>
        <w:tabs>
          <w:tab w:val="left" w:pos="2835"/>
        </w:tabs>
        <w:ind w:firstLine="2880"/>
      </w:pPr>
      <w:r>
        <w:t>Negó conocer los motivos por los cu</w:t>
      </w:r>
      <w:r>
        <w:t>a</w:t>
      </w:r>
      <w:r>
        <w:t>les Rago hubo de concurrir al juzgado, no habié</w:t>
      </w:r>
      <w:r>
        <w:t>n</w:t>
      </w:r>
      <w:r>
        <w:t>dole hecho éste comentario alguno luego de la entr</w:t>
      </w:r>
      <w:r>
        <w:t>e</w:t>
      </w:r>
      <w:r>
        <w:t>vista con el juez.</w:t>
      </w:r>
    </w:p>
    <w:p w:rsidR="00224567" w:rsidRDefault="00224567">
      <w:pPr>
        <w:widowControl w:val="0"/>
        <w:tabs>
          <w:tab w:val="left" w:pos="2835"/>
        </w:tabs>
        <w:ind w:firstLine="2880"/>
      </w:pPr>
      <w:r>
        <w:t>Por otra parte, señaló que Semorile concurrió en numerosas oportunidades a la br</w:t>
      </w:r>
      <w:r>
        <w:t>i</w:t>
      </w:r>
      <w:r>
        <w:t>gada pero no recordó que fuera puntualmente el día de la entrevista c</w:t>
      </w:r>
      <w:r>
        <w:t>o</w:t>
      </w:r>
      <w:r>
        <w:t>mentada, aunque precisó que luego de la dete</w:t>
      </w:r>
      <w:r>
        <w:t>n</w:t>
      </w:r>
      <w:r>
        <w:t>ción de Rago no lo volvió a ver allí.</w:t>
      </w:r>
    </w:p>
    <w:p w:rsidR="00224567" w:rsidRDefault="00224567">
      <w:pPr>
        <w:widowControl w:val="0"/>
        <w:tabs>
          <w:tab w:val="left" w:pos="2835"/>
        </w:tabs>
        <w:ind w:firstLine="2880"/>
      </w:pPr>
      <w:r>
        <w:t>Acreditado, como se vio, el encue</w:t>
      </w:r>
      <w:r>
        <w:t>n</w:t>
      </w:r>
      <w:r>
        <w:t>tro entre el juez instructor y Rago, resulta necesario situa</w:t>
      </w:r>
      <w:r>
        <w:t>r</w:t>
      </w:r>
      <w:r>
        <w:t>lo en el contexto de la investigación para comprender ac</w:t>
      </w:r>
      <w:r>
        <w:t>a</w:t>
      </w:r>
      <w:r>
        <w:t>bad</w:t>
      </w:r>
      <w:r>
        <w:t>a</w:t>
      </w:r>
      <w:r>
        <w:t>mente su carácter irregular.</w:t>
      </w:r>
    </w:p>
    <w:p w:rsidR="00224567" w:rsidRDefault="00224567">
      <w:pPr>
        <w:pStyle w:val="Sangra3detindependiente"/>
        <w:widowControl w:val="0"/>
        <w:tabs>
          <w:tab w:val="left" w:pos="2835"/>
        </w:tabs>
        <w:spacing w:line="600" w:lineRule="auto"/>
        <w:ind w:firstLine="2880"/>
      </w:pPr>
      <w:r>
        <w:t>En ese cometido, deviene necesario s</w:t>
      </w:r>
      <w:r>
        <w:t>e</w:t>
      </w:r>
      <w:r>
        <w:t>ñalar que para junio de 1996 ya se habían iniciado las pertinentes actuaciones administrativas para est</w:t>
      </w:r>
      <w:r>
        <w:t>a</w:t>
      </w:r>
      <w:r>
        <w:t xml:space="preserve">blecer la responsabilidad de los efectivos de </w:t>
      </w:r>
      <w:smartTag w:uri="urn:schemas-microsoft-com:office:smarttags" w:element="PersonName">
        <w:smartTagPr>
          <w:attr w:name="ProductID" w:val="la Brigada"/>
        </w:smartTagPr>
        <w:r>
          <w:t>la Brigada</w:t>
        </w:r>
      </w:smartTag>
      <w:r>
        <w:t xml:space="preserve"> de Invest</w:t>
      </w:r>
      <w:r>
        <w:t>i</w:t>
      </w:r>
      <w:r>
        <w:t>gaciones de Vicente López en el proced</w:t>
      </w:r>
      <w:r>
        <w:t>i</w:t>
      </w:r>
      <w:r>
        <w:t>miento realizado el 14 de julio de 1994 en las inmedi</w:t>
      </w:r>
      <w:r>
        <w:t>a</w:t>
      </w:r>
      <w:r>
        <w:t>ciones del domicilio de Telleldín (cfr. fs. 14.025).</w:t>
      </w:r>
    </w:p>
    <w:p w:rsidR="00224567" w:rsidRDefault="00224567">
      <w:pPr>
        <w:pStyle w:val="Sangra3detindependiente"/>
        <w:widowControl w:val="0"/>
        <w:tabs>
          <w:tab w:val="left" w:pos="2835"/>
        </w:tabs>
        <w:spacing w:line="600" w:lineRule="auto"/>
        <w:ind w:firstLine="2880"/>
      </w:pPr>
      <w:r>
        <w:t xml:space="preserve">Además, el 25 de julio de 1995 Rago había prestado declaración testimonial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Direcci￳n General"/>
        </w:smartTagPr>
        <w:r>
          <w:t>la Dirección General</w:t>
        </w:r>
      </w:smartTag>
      <w:r>
        <w:t xml:space="preserve"> de Asuntos Judici</w:t>
      </w:r>
      <w:r>
        <w:t>a</w:t>
      </w:r>
      <w:r>
        <w:t xml:space="preserve">les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Allí se ref</w:t>
      </w:r>
      <w:r>
        <w:t>i</w:t>
      </w:r>
      <w:r>
        <w:t>rió a las tareas de inteligencia y al procedimiento real</w:t>
      </w:r>
      <w:r>
        <w:t>i</w:t>
      </w:r>
      <w:r>
        <w:t xml:space="preserve">zado en julio de 1994 por </w:t>
      </w:r>
      <w:smartTag w:uri="urn:schemas-microsoft-com:office:smarttags" w:element="PersonName">
        <w:smartTagPr>
          <w:attr w:name="ProductID" w:val="la Brigada"/>
        </w:smartTagPr>
        <w:r>
          <w:t>la Brigada</w:t>
        </w:r>
      </w:smartTag>
      <w:r>
        <w:t xml:space="preserve"> de I</w:t>
      </w:r>
      <w:r>
        <w:t>n</w:t>
      </w:r>
      <w:r>
        <w:t>vestigaciones de Vicente López, a la huida de Telleldín y a la posterior detención de Hugo Antonio Pérez, habiendo sido interrog</w:t>
      </w:r>
      <w:r>
        <w:t>a</w:t>
      </w:r>
      <w:r>
        <w:t>do, también, acerca de una camioneta Renault Trafic vinc</w:t>
      </w:r>
      <w:r>
        <w:t>u</w:t>
      </w:r>
      <w:r>
        <w:t>lada a esa i</w:t>
      </w:r>
      <w:r>
        <w:t>n</w:t>
      </w:r>
      <w:r>
        <w:t>vestigación (cfr. fs. 37.188/37.189).</w:t>
      </w:r>
    </w:p>
    <w:p w:rsidR="00224567" w:rsidRDefault="00224567">
      <w:pPr>
        <w:pStyle w:val="Sangra3detindependiente"/>
        <w:widowControl w:val="0"/>
        <w:tabs>
          <w:tab w:val="left" w:pos="2835"/>
        </w:tabs>
        <w:spacing w:line="600" w:lineRule="auto"/>
        <w:ind w:firstLine="2880"/>
      </w:pPr>
      <w:r>
        <w:t>Por otra parte, debe destacarse que el juez instructor estaba en conocimiento de que Rago estuvo de guardia el 14 y 15 de julio de 1994 (cfr. fs. 37.114 y 37.120) y que había instruido las actuaciones formadas por averiguación de antecedentes de Hugo Antonio Pérez, cuya copia obra agregada a fs. 37.125/37.140.</w:t>
      </w:r>
    </w:p>
    <w:p w:rsidR="00224567" w:rsidRDefault="00224567">
      <w:pPr>
        <w:widowControl w:val="0"/>
        <w:tabs>
          <w:tab w:val="left" w:pos="2835"/>
        </w:tabs>
        <w:ind w:firstLine="2880"/>
        <w:rPr>
          <w:lang w:val="es-ES_tradnl"/>
        </w:rPr>
      </w:pPr>
      <w:r>
        <w:rPr>
          <w:lang w:val="es-ES_tradnl"/>
        </w:rPr>
        <w:t>Asimismo, en octubre de 1995 se form</w:t>
      </w:r>
      <w:r>
        <w:rPr>
          <w:lang w:val="es-ES_tradnl"/>
        </w:rPr>
        <w:t>u</w:t>
      </w:r>
      <w:r>
        <w:rPr>
          <w:lang w:val="es-ES_tradnl"/>
        </w:rPr>
        <w:t xml:space="preserve">ló requerimiento de instrucción en la causa “Brigadas” por el mencionado procedimiento de </w:t>
      </w:r>
      <w:smartTag w:uri="urn:schemas-microsoft-com:office:smarttags" w:element="PersonName">
        <w:smartTagPr>
          <w:attr w:name="ProductID" w:val="la Brigada"/>
        </w:smartTagPr>
        <w:r>
          <w:rPr>
            <w:lang w:val="es-ES_tradnl"/>
          </w:rPr>
          <w:t>la Brigada</w:t>
        </w:r>
      </w:smartTag>
      <w:r>
        <w:rPr>
          <w:lang w:val="es-ES_tradnl"/>
        </w:rPr>
        <w:t xml:space="preserve"> de Vicente López y también por la presunta participación de personal de esa dependencia en el retiro de la camioneta Trafic (ver fs. 37.551/37.555).</w:t>
      </w:r>
    </w:p>
    <w:p w:rsidR="00224567" w:rsidRDefault="00224567">
      <w:pPr>
        <w:widowControl w:val="0"/>
        <w:tabs>
          <w:tab w:val="left" w:pos="2835"/>
        </w:tabs>
        <w:ind w:firstLine="2880"/>
        <w:rPr>
          <w:lang w:val="es-ES_tradnl"/>
        </w:rPr>
      </w:pPr>
      <w:r>
        <w:rPr>
          <w:lang w:val="es-ES_tradnl"/>
        </w:rPr>
        <w:t>Del mismo modo, corresponde señalar que el 27 de marzo de 1996 el juez instructor solicitó el listado de todos los oficiales y suboficiales que prest</w:t>
      </w:r>
      <w:r>
        <w:rPr>
          <w:lang w:val="es-ES_tradnl"/>
        </w:rPr>
        <w:t>a</w:t>
      </w:r>
      <w:r>
        <w:rPr>
          <w:lang w:val="es-ES_tradnl"/>
        </w:rPr>
        <w:t xml:space="preserve">ron servicios en </w:t>
      </w:r>
      <w:smartTag w:uri="urn:schemas-microsoft-com:office:smarttags" w:element="PersonName">
        <w:smartTagPr>
          <w:attr w:name="ProductID" w:val="la Brigada"/>
        </w:smartTagPr>
        <w:r>
          <w:rPr>
            <w:lang w:val="es-ES_tradnl"/>
          </w:rPr>
          <w:t>la Brigada</w:t>
        </w:r>
      </w:smartTag>
      <w:r>
        <w:rPr>
          <w:lang w:val="es-ES_tradnl"/>
        </w:rPr>
        <w:t xml:space="preserve"> de Investigaciones Vicente L</w:t>
      </w:r>
      <w:r>
        <w:rPr>
          <w:lang w:val="es-ES_tradnl"/>
        </w:rPr>
        <w:t>ó</w:t>
      </w:r>
      <w:r>
        <w:rPr>
          <w:lang w:val="es-ES_tradnl"/>
        </w:rPr>
        <w:t xml:space="preserve">pez entre los años </w:t>
      </w:r>
      <w:smartTag w:uri="urn:schemas-microsoft-com:office:smarttags" w:element="metricconverter">
        <w:smartTagPr>
          <w:attr w:name="ProductID" w:val="1993 a"/>
        </w:smartTagPr>
        <w:r>
          <w:rPr>
            <w:lang w:val="es-ES_tradnl"/>
          </w:rPr>
          <w:t>1993 a</w:t>
        </w:r>
      </w:smartTag>
      <w:r>
        <w:rPr>
          <w:lang w:val="es-ES_tradnl"/>
        </w:rPr>
        <w:t xml:space="preserve"> 1995, que el 6 de junio del mi</w:t>
      </w:r>
      <w:r>
        <w:rPr>
          <w:lang w:val="es-ES_tradnl"/>
        </w:rPr>
        <w:t>s</w:t>
      </w:r>
      <w:r>
        <w:rPr>
          <w:lang w:val="es-ES_tradnl"/>
        </w:rPr>
        <w:t>mo año se requirió a la “Organización Veraz” información financiera sobre Jorge Horacio Rago y que el 12 del mismo mes se peticionó a las empresas “Movicom” y “Miniphone” que informen si el nombrado figuraba como titular o aut</w:t>
      </w:r>
      <w:r>
        <w:rPr>
          <w:lang w:val="es-ES_tradnl"/>
        </w:rPr>
        <w:t>o</w:t>
      </w:r>
      <w:r>
        <w:rPr>
          <w:lang w:val="es-ES_tradnl"/>
        </w:rPr>
        <w:t>rizado a utilizar teléfonos celulares (cfr. fs. 37.950, 38.416 y 38.441).</w:t>
      </w:r>
    </w:p>
    <w:p w:rsidR="00224567" w:rsidRDefault="00224567">
      <w:pPr>
        <w:widowControl w:val="0"/>
        <w:tabs>
          <w:tab w:val="left" w:pos="2835"/>
        </w:tabs>
        <w:ind w:firstLine="2880"/>
        <w:rPr>
          <w:lang w:val="es-ES_tradnl"/>
        </w:rPr>
      </w:pPr>
      <w:r>
        <w:rPr>
          <w:lang w:val="es-ES_tradnl"/>
        </w:rPr>
        <w:t>También, en este orden de cosas, es digna de mención la declaración testimonial bri</w:t>
      </w:r>
      <w:r>
        <w:rPr>
          <w:lang w:val="es-ES_tradnl"/>
        </w:rPr>
        <w:t>n</w:t>
      </w:r>
      <w:r>
        <w:rPr>
          <w:lang w:val="es-ES_tradnl"/>
        </w:rPr>
        <w:t>dada bajo identidad reservada por Gustavo Alberto Semorile, el 6 de junio de 1996, esto es, pocos días antes de la comentada reunión.</w:t>
      </w:r>
    </w:p>
    <w:p w:rsidR="00224567" w:rsidRDefault="00224567">
      <w:pPr>
        <w:widowControl w:val="0"/>
        <w:tabs>
          <w:tab w:val="left" w:pos="2835"/>
        </w:tabs>
        <w:ind w:firstLine="2880"/>
        <w:rPr>
          <w:lang w:val="es-ES_tradnl"/>
        </w:rPr>
      </w:pPr>
      <w:r>
        <w:rPr>
          <w:lang w:val="es-ES_tradnl"/>
        </w:rPr>
        <w:t xml:space="preserve">En la ocasión, el abogado manifestó que “... al consultarle por el barco que Telleldín había entregado a </w:t>
      </w:r>
      <w:smartTag w:uri="urn:schemas-microsoft-com:office:smarttags" w:element="PersonName">
        <w:smartTagPr>
          <w:attr w:name="ProductID" w:val="la Brigada"/>
        </w:smartTagPr>
        <w:r>
          <w:rPr>
            <w:lang w:val="es-ES_tradnl"/>
          </w:rPr>
          <w:t>la Brigada</w:t>
        </w:r>
      </w:smartTag>
      <w:r>
        <w:rPr>
          <w:lang w:val="es-ES_tradnl"/>
        </w:rPr>
        <w:t xml:space="preserve"> de Vicente L</w:t>
      </w:r>
      <w:r>
        <w:rPr>
          <w:lang w:val="es-ES_tradnl"/>
        </w:rPr>
        <w:t>ó</w:t>
      </w:r>
      <w:r>
        <w:rPr>
          <w:lang w:val="es-ES_tradnl"/>
        </w:rPr>
        <w:t>pez, Pérez le comentó que bien pudo haber entregado, a más del barco en cue</w:t>
      </w:r>
      <w:r>
        <w:rPr>
          <w:lang w:val="es-ES_tradnl"/>
        </w:rPr>
        <w:t>s</w:t>
      </w:r>
      <w:r>
        <w:rPr>
          <w:lang w:val="es-ES_tradnl"/>
        </w:rPr>
        <w:t>tión, la camioneta Renault Trafic ...”; que “luego tuvo un encuentro no ocasional con Rago, el que ... le manifestó que se hallaba preocupado ya que tenía conocimiento que se le estaba siguiendo una causa por incumplimiento de los deberes de funcionario público. Que el declarante no tiene ninguna duda que en realidad Rago se estaba refiriendo a la causa que se instruye en este trib</w:t>
      </w:r>
      <w:r>
        <w:rPr>
          <w:lang w:val="es-ES_tradnl"/>
        </w:rPr>
        <w:t>u</w:t>
      </w:r>
      <w:r>
        <w:rPr>
          <w:lang w:val="es-ES_tradnl"/>
        </w:rPr>
        <w:t>nal por la detención de Hugo Antonio Pérez y la po</w:t>
      </w:r>
      <w:r>
        <w:rPr>
          <w:lang w:val="es-ES_tradnl"/>
        </w:rPr>
        <w:t>s</w:t>
      </w:r>
      <w:r>
        <w:rPr>
          <w:lang w:val="es-ES_tradnl"/>
        </w:rPr>
        <w:t>terior persecución de Carlos Telleldín por el mes de julio de 1994, por cuanto ya h</w:t>
      </w:r>
      <w:r>
        <w:rPr>
          <w:lang w:val="es-ES_tradnl"/>
        </w:rPr>
        <w:t>a</w:t>
      </w:r>
      <w:r>
        <w:rPr>
          <w:lang w:val="es-ES_tradnl"/>
        </w:rPr>
        <w:t>bían charlado sobre ese mismo tema en reiteradas oportun</w:t>
      </w:r>
      <w:r>
        <w:rPr>
          <w:lang w:val="es-ES_tradnl"/>
        </w:rPr>
        <w:t>i</w:t>
      </w:r>
      <w:r>
        <w:rPr>
          <w:lang w:val="es-ES_tradnl"/>
        </w:rPr>
        <w:t>dades”.</w:t>
      </w:r>
    </w:p>
    <w:p w:rsidR="00224567" w:rsidRDefault="00224567">
      <w:pPr>
        <w:widowControl w:val="0"/>
        <w:tabs>
          <w:tab w:val="left" w:pos="2835"/>
        </w:tabs>
        <w:ind w:firstLine="2880"/>
        <w:rPr>
          <w:lang w:val="es-ES_tradnl"/>
        </w:rPr>
      </w:pPr>
      <w:r>
        <w:rPr>
          <w:lang w:val="es-ES_tradnl"/>
        </w:rPr>
        <w:t>Por otra parte Semorile afirmó que “... Rago le indicó que según tenía entendido no había e</w:t>
      </w:r>
      <w:r>
        <w:rPr>
          <w:lang w:val="es-ES_tradnl"/>
        </w:rPr>
        <w:t>n</w:t>
      </w:r>
      <w:r>
        <w:rPr>
          <w:lang w:val="es-ES_tradnl"/>
        </w:rPr>
        <w:t>tregado dinero en efectivo sino un barco y `algo más´... refiriéndose el subcomisario Rago a ese `algo más´, me</w:t>
      </w:r>
      <w:r>
        <w:rPr>
          <w:lang w:val="es-ES_tradnl"/>
        </w:rPr>
        <w:t>n</w:t>
      </w:r>
      <w:r>
        <w:rPr>
          <w:lang w:val="es-ES_tradnl"/>
        </w:rPr>
        <w:t>cionó que bien pudo haber ido c</w:t>
      </w:r>
      <w:r>
        <w:rPr>
          <w:lang w:val="es-ES_tradnl"/>
        </w:rPr>
        <w:t>o</w:t>
      </w:r>
      <w:r>
        <w:rPr>
          <w:lang w:val="es-ES_tradnl"/>
        </w:rPr>
        <w:t xml:space="preserve">mo parte del `arreglo´ la entrega de </w:t>
      </w:r>
      <w:smartTag w:uri="urn:schemas-microsoft-com:office:smarttags" w:element="PersonName">
        <w:smartTagPr>
          <w:attr w:name="ProductID" w:val="la Trafic"/>
        </w:smartTagPr>
        <w:r>
          <w:rPr>
            <w:lang w:val="es-ES_tradnl"/>
          </w:rPr>
          <w:t>la Trafic</w:t>
        </w:r>
      </w:smartTag>
      <w:r>
        <w:rPr>
          <w:lang w:val="es-ES_tradnl"/>
        </w:rPr>
        <w:t xml:space="preserve"> que luego resultara utilizada en el atentado contra </w:t>
      </w:r>
      <w:smartTag w:uri="urn:schemas-microsoft-com:office:smarttags" w:element="PersonName">
        <w:smartTagPr>
          <w:attr w:name="ProductID" w:val="la A.M"/>
        </w:smartTagPr>
        <w:r>
          <w:rPr>
            <w:lang w:val="es-ES_tradnl"/>
          </w:rPr>
          <w:t>la A.M</w:t>
        </w:r>
      </w:smartTag>
      <w:r>
        <w:rPr>
          <w:lang w:val="es-ES_tradnl"/>
        </w:rPr>
        <w:t>.I.A., pero que tal hecho no se lo podría afirmar, ya que no le constaba. Que el dicente lo que cree es que de haber existido algo semejante, bien p</w:t>
      </w:r>
      <w:r>
        <w:rPr>
          <w:lang w:val="es-ES_tradnl"/>
        </w:rPr>
        <w:t>u</w:t>
      </w:r>
      <w:r>
        <w:rPr>
          <w:lang w:val="es-ES_tradnl"/>
        </w:rPr>
        <w:t>do el subcomisario Rago haber sido `puenteado´ en el arr</w:t>
      </w:r>
      <w:r>
        <w:rPr>
          <w:lang w:val="es-ES_tradnl"/>
        </w:rPr>
        <w:t>e</w:t>
      </w:r>
      <w:r>
        <w:rPr>
          <w:lang w:val="es-ES_tradnl"/>
        </w:rPr>
        <w:t>glo que efectuó la brigada que intervino en el `apriete´; como así también, que a su entender Rago conocería más circunstancias de las relatadas por el hecho en cuestión” (cfr. fs. 111.446/111.448).</w:t>
      </w:r>
    </w:p>
    <w:p w:rsidR="00224567" w:rsidRDefault="00224567">
      <w:pPr>
        <w:pStyle w:val="Sangra2detindependiente"/>
        <w:widowControl w:val="0"/>
        <w:tabs>
          <w:tab w:val="left" w:pos="2835"/>
        </w:tabs>
        <w:spacing w:line="600" w:lineRule="auto"/>
        <w:ind w:firstLine="2880"/>
      </w:pPr>
      <w:r>
        <w:t>Sentado lo expuesto, cabe señalar, primeramente, que en virtud de las claras so</w:t>
      </w:r>
      <w:r>
        <w:t>s</w:t>
      </w:r>
      <w:r>
        <w:t>pechas que al mes de junio de 1996 pesaban sobre Jorge Horacio Rago, r</w:t>
      </w:r>
      <w:r>
        <w:t>e</w:t>
      </w:r>
      <w:r>
        <w:t>sulta inadmisible y violatoria de la normativa procesal vigente y de inmanentes garantías constituci</w:t>
      </w:r>
      <w:r>
        <w:t>o</w:t>
      </w:r>
      <w:r>
        <w:t>nales, que el juez instructor haya mantenido una reunión a solas con quien ya revestía en autos una indudable calidad de imp</w:t>
      </w:r>
      <w:r>
        <w:t>u</w:t>
      </w:r>
      <w:r>
        <w:t xml:space="preserve">tado, sea que la haya convocado para conocer si realmente </w:t>
      </w:r>
      <w:smartTag w:uri="urn:schemas-microsoft-com:office:smarttags" w:element="PersonName">
        <w:smartTagPr>
          <w:attr w:name="ProductID" w:val="la Brigada"/>
        </w:smartTagPr>
        <w:r>
          <w:t>la Brigada</w:t>
        </w:r>
      </w:smartTag>
      <w:r>
        <w:t xml:space="preserve"> de Vicente López se había llevado </w:t>
      </w:r>
      <w:smartTag w:uri="urn:schemas-microsoft-com:office:smarttags" w:element="PersonName">
        <w:smartTagPr>
          <w:attr w:name="ProductID" w:val="la Trafic"/>
        </w:smartTagPr>
        <w:r>
          <w:t>la Tr</w:t>
        </w:r>
        <w:r>
          <w:t>a</w:t>
        </w:r>
        <w:r>
          <w:t>fic</w:t>
        </w:r>
      </w:smartTag>
      <w:r>
        <w:t xml:space="preserve"> el 10 de julio, según Lifschitz, o para aclarar la interve</w:t>
      </w:r>
      <w:r>
        <w:t>n</w:t>
      </w:r>
      <w:r>
        <w:t>ción que pudo caberle en la averiguación de antecedentes de Hugo Antonio Pérez y en el posterior apoderamiento de aquel rodado, según Semorile; máxime cuando de dicho e</w:t>
      </w:r>
      <w:r>
        <w:t>n</w:t>
      </w:r>
      <w:r>
        <w:t>cuentro no se dejó consta</w:t>
      </w:r>
      <w:r>
        <w:t>n</w:t>
      </w:r>
      <w:r>
        <w:t>cia alguna en las actuaciones.</w:t>
      </w:r>
    </w:p>
    <w:p w:rsidR="00224567" w:rsidRDefault="00224567">
      <w:pPr>
        <w:pStyle w:val="Sangra2detindependiente"/>
        <w:widowControl w:val="0"/>
        <w:tabs>
          <w:tab w:val="left" w:pos="2835"/>
        </w:tabs>
        <w:spacing w:line="600" w:lineRule="auto"/>
        <w:ind w:firstLine="2880"/>
      </w:pPr>
      <w:r>
        <w:t>Es más, la entrevista así realizada debe enmarcarse, sin margen de dudas, en esa suerte de instrucción paralela que supo enseñorearse en aspectos centr</w:t>
      </w:r>
      <w:r>
        <w:t>a</w:t>
      </w:r>
      <w:r>
        <w:t>les de este proceso, adquiriendo entonces rasgos de plena credibilidad la explicación ofrecida por Rago en cuanto a que el único cometido del magistrado fue proc</w:t>
      </w:r>
      <w:r>
        <w:t>u</w:t>
      </w:r>
      <w:r>
        <w:t>rar, incluso de forma coactiva, una versión carg</w:t>
      </w:r>
      <w:r>
        <w:t>o</w:t>
      </w:r>
      <w:r>
        <w:t>sa contra Ribelli.</w:t>
      </w:r>
    </w:p>
    <w:p w:rsidR="00224567" w:rsidRDefault="00224567">
      <w:pPr>
        <w:widowControl w:val="0"/>
        <w:tabs>
          <w:tab w:val="left" w:pos="2835"/>
        </w:tabs>
      </w:pPr>
    </w:p>
    <w:p w:rsidR="00224567" w:rsidRDefault="00224567">
      <w:pPr>
        <w:pStyle w:val="Ttulo3"/>
        <w:rPr>
          <w:lang w:val="es-AR"/>
        </w:rPr>
      </w:pPr>
      <w:r>
        <w:t>O) Intervención de funcionarios de la provincia de Bu</w:t>
      </w:r>
      <w:r>
        <w:t>e</w:t>
      </w:r>
      <w:r>
        <w:t>nos Aires en los espurios intereses del juez.</w:t>
      </w:r>
    </w:p>
    <w:p w:rsidR="00224567" w:rsidRDefault="00224567">
      <w:pPr>
        <w:pStyle w:val="Ttulo4"/>
        <w:spacing w:line="600" w:lineRule="auto"/>
      </w:pPr>
      <w:r>
        <w:rPr>
          <w:lang w:val="es-AR"/>
        </w:rPr>
        <w:tab/>
        <w:t xml:space="preserve">O.1) </w:t>
      </w:r>
      <w:r>
        <w:t>Ofrecimiento al padre del proc</w:t>
      </w:r>
      <w:r>
        <w:t>e</w:t>
      </w:r>
      <w:r>
        <w:t>sado Barreda y al propio imputado por parte del comis</w:t>
      </w:r>
      <w:r>
        <w:t>a</w:t>
      </w:r>
      <w:r>
        <w:t>rio inspector Luis Ernesto Vicat para que involucre a Juan J</w:t>
      </w:r>
      <w:r>
        <w:t>o</w:t>
      </w:r>
      <w:r>
        <w:t>sé Ribelli (legajo nº 148).</w:t>
      </w:r>
    </w:p>
    <w:p w:rsidR="00224567" w:rsidRDefault="00224567">
      <w:pPr>
        <w:widowControl w:val="0"/>
        <w:tabs>
          <w:tab w:val="center" w:pos="0"/>
          <w:tab w:val="left" w:pos="2835"/>
        </w:tabs>
        <w:ind w:firstLine="2880"/>
      </w:pPr>
      <w:r>
        <w:rPr>
          <w:lang w:val="es-AR"/>
        </w:rPr>
        <w:t>L</w:t>
      </w:r>
      <w:r>
        <w:t>a lectura del legajo formado b</w:t>
      </w:r>
      <w:r>
        <w:t>a</w:t>
      </w:r>
      <w:r>
        <w:t>jo el nº 148 ilustra también acerca de las distintas variantes empleadas en la causa tendientes a dobl</w:t>
      </w:r>
      <w:r>
        <w:t>e</w:t>
      </w:r>
      <w:r>
        <w:t xml:space="preserve">gar la voluntad de los imputados. </w:t>
      </w:r>
    </w:p>
    <w:p w:rsidR="00224567" w:rsidRDefault="00224567">
      <w:pPr>
        <w:widowControl w:val="0"/>
        <w:tabs>
          <w:tab w:val="center" w:pos="0"/>
          <w:tab w:val="left" w:pos="2835"/>
        </w:tabs>
        <w:ind w:firstLine="2880"/>
      </w:pPr>
      <w:r>
        <w:t>Surge de esa actuación que a fs. 1, el Secretario Javier De Gamas informa, con fecha 31 de enero de 1997, que durante una reunión mant</w:t>
      </w:r>
      <w:r>
        <w:t>e</w:t>
      </w:r>
      <w:r>
        <w:t xml:space="preserve">nida con agentes del grupo de Contrainteligencia del Área Exterior de </w:t>
      </w:r>
      <w:smartTag w:uri="urn:schemas-microsoft-com:office:smarttags" w:element="PersonName">
        <w:smartTagPr>
          <w:attr w:name="ProductID" w:val="la S.I"/>
        </w:smartTagPr>
        <w:r>
          <w:t>la S.I</w:t>
        </w:r>
      </w:smartTag>
      <w:r>
        <w:t>.D.E., fue informado de que terceros desconocidos t</w:t>
      </w:r>
      <w:r>
        <w:t>e</w:t>
      </w:r>
      <w:r>
        <w:t>nían interés en obtener información relativa a la invest</w:t>
      </w:r>
      <w:r>
        <w:t>i</w:t>
      </w:r>
      <w:r>
        <w:t>gación, para lo cual ofrecían dinero.</w:t>
      </w:r>
    </w:p>
    <w:p w:rsidR="00224567" w:rsidRDefault="00224567">
      <w:pPr>
        <w:widowControl w:val="0"/>
        <w:tabs>
          <w:tab w:val="center" w:pos="0"/>
          <w:tab w:val="left" w:pos="2835"/>
        </w:tabs>
        <w:ind w:firstLine="2880"/>
      </w:pPr>
      <w:r>
        <w:t>En la misma fecha, el juez instru</w:t>
      </w:r>
      <w:r>
        <w:t>c</w:t>
      </w:r>
      <w:r>
        <w:t>tor, frente a la escasez de datos, dispuso estar a la espera de mayor información, ordenando la formación del mencionado legajo.</w:t>
      </w:r>
    </w:p>
    <w:p w:rsidR="00224567" w:rsidRDefault="00224567">
      <w:pPr>
        <w:widowControl w:val="0"/>
        <w:tabs>
          <w:tab w:val="center" w:pos="0"/>
          <w:tab w:val="left" w:pos="2835"/>
        </w:tabs>
        <w:ind w:firstLine="2880"/>
      </w:pPr>
      <w:r>
        <w:t>En la foja siguiente, luce el oficio remitido el 8 del mismo mes y año por el comisario inspe</w:t>
      </w:r>
      <w:r>
        <w:t>c</w:t>
      </w:r>
      <w:r>
        <w:t xml:space="preserve">tor de </w:t>
      </w:r>
      <w:smartTag w:uri="urn:schemas-microsoft-com:office:smarttags" w:element="PersonName">
        <w:smartTagPr>
          <w:attr w:name="ProductID" w:val="la Polic￭a Bonaerense"/>
        </w:smartTagPr>
        <w:r>
          <w:t>la Policía Bonaerense</w:t>
        </w:r>
      </w:smartTag>
      <w:r>
        <w:t xml:space="preserve"> Luis Ernesto Vicat, J</w:t>
      </w:r>
      <w:r>
        <w:t>e</w:t>
      </w:r>
      <w:r>
        <w:t>fe del Área Especial, por el cual informó al Dr. Galeano que el Dr. Aldo Spicacci, of</w:t>
      </w:r>
      <w:r>
        <w:t>i</w:t>
      </w:r>
      <w:r>
        <w:t xml:space="preserve">cial inspector que presta servicios en </w:t>
      </w:r>
      <w:smartTag w:uri="urn:schemas-microsoft-com:office:smarttags" w:element="PersonName">
        <w:smartTagPr>
          <w:attr w:name="ProductID" w:val="la Direcci￳n"/>
        </w:smartTagPr>
        <w:r>
          <w:t>la Dirección</w:t>
        </w:r>
      </w:smartTag>
      <w:r>
        <w:t xml:space="preserve"> de Asuntos Judiciales, le comentó haberse contactado, días antes de ser det</w:t>
      </w:r>
      <w:r>
        <w:t>e</w:t>
      </w:r>
      <w:r>
        <w:t>nidos, por los oficiales Diego Barreda y Mario Bareiro, por ser conocido del prim</w:t>
      </w:r>
      <w:r>
        <w:t>e</w:t>
      </w:r>
      <w:r>
        <w:t>ro. Que debido a ello se acordó una reunión, para el 30 de enero en el “Hotel Kempinski” de esta ciudad, con el Sr. Alberto Enrique Barreda, padre de Diego, toda vez que s</w:t>
      </w:r>
      <w:r>
        <w:t>e</w:t>
      </w:r>
      <w:r>
        <w:t>gún lo manifestado por el Dr. Spicacci, el último podría aportar d</w:t>
      </w:r>
      <w:r>
        <w:t>a</w:t>
      </w:r>
      <w:r>
        <w:t>tos de interés para la causa.</w:t>
      </w:r>
    </w:p>
    <w:p w:rsidR="00224567" w:rsidRDefault="00224567">
      <w:pPr>
        <w:widowControl w:val="0"/>
        <w:tabs>
          <w:tab w:val="center" w:pos="0"/>
          <w:tab w:val="left" w:pos="2835"/>
        </w:tabs>
        <w:ind w:firstLine="2880"/>
      </w:pPr>
      <w:r>
        <w:t>Agregó que el día indicado a las 19:30 se llevó a cabo la reunión en un marco de cordialidad, h</w:t>
      </w:r>
      <w:r>
        <w:t>a</w:t>
      </w:r>
      <w:r>
        <w:t>biéndolo presentado Spicacci como el responsable de la i</w:t>
      </w:r>
      <w:r>
        <w:t>n</w:t>
      </w:r>
      <w:r>
        <w:t>vestigación de la causa en la jurisdicción bonaerense, “haciendo notar, al mismo tiempo, la conveniencia de una eventual colaboración por parte del hijo del asistente, aportando datos que pudieran ser de interés”. Ante ello, destacó, que el Sr. Barreda se co</w:t>
      </w:r>
      <w:r>
        <w:t>m</w:t>
      </w:r>
      <w:r>
        <w:t>prometió a conversar con su hijo y a comunicarse a la brevedad.</w:t>
      </w:r>
    </w:p>
    <w:p w:rsidR="00224567" w:rsidRDefault="00224567">
      <w:pPr>
        <w:widowControl w:val="0"/>
        <w:tabs>
          <w:tab w:val="center" w:pos="0"/>
          <w:tab w:val="left" w:pos="2835"/>
        </w:tabs>
        <w:ind w:firstLine="2880"/>
      </w:pPr>
      <w:r>
        <w:t>A ello, con  fecha 8 de febrero de 1997, se proveyó lo siguiente: “Por recibido, agréguese y estése a la ampliación de lo informado” (fs. 3).</w:t>
      </w:r>
    </w:p>
    <w:p w:rsidR="00224567" w:rsidRDefault="00224567">
      <w:pPr>
        <w:widowControl w:val="0"/>
        <w:tabs>
          <w:tab w:val="center" w:pos="0"/>
          <w:tab w:val="left" w:pos="2835"/>
        </w:tabs>
        <w:ind w:firstLine="2880"/>
      </w:pPr>
      <w:r>
        <w:t>El 7 de marzo, nuevamente el comis</w:t>
      </w:r>
      <w:r>
        <w:t>a</w:t>
      </w:r>
      <w:r>
        <w:t>rio inspector Vicat se dirige al juez instructor com</w:t>
      </w:r>
      <w:r>
        <w:t>u</w:t>
      </w:r>
      <w:r>
        <w:t xml:space="preserve">nicándole que el día anterior, a las 23, junto con el Dr. Aldo Spicacci, se constituyeron en </w:t>
      </w:r>
      <w:smartTag w:uri="urn:schemas-microsoft-com:office:smarttags" w:element="PersonName">
        <w:smartTagPr>
          <w:attr w:name="ProductID" w:val="la Jefatura"/>
        </w:smartTagPr>
        <w:r>
          <w:t>la Jefatura</w:t>
        </w:r>
      </w:smartTag>
      <w:r>
        <w:t xml:space="preserve"> de </w:t>
      </w:r>
      <w:smartTag w:uri="urn:schemas-microsoft-com:office:smarttags" w:element="PersonName">
        <w:smartTagPr>
          <w:attr w:name="ProductID" w:val="la Polic￭a Federal"/>
        </w:smartTagPr>
        <w:r>
          <w:t>la Policía Federal</w:t>
        </w:r>
      </w:smartTag>
      <w:r>
        <w:t>, en dependencias del D.P.O.C, lugar de detención de Diego Barreda, con el que tomaron contacto, interesá</w:t>
      </w:r>
      <w:r>
        <w:t>n</w:t>
      </w:r>
      <w:r>
        <w:t>dolo por las eventuales ventajas o beneficios que pudiere ap</w:t>
      </w:r>
      <w:r>
        <w:t>a</w:t>
      </w:r>
      <w:r>
        <w:t>rejarle el hecho de ampliar su declaración indagatoria, aportando datos que pudieran resultar de interés para el esclarecimiento del hecho investigado. Asimismo, Vicat también informó que se interesó en la oportunidad por la circunstancia de una eventual colaboración de parte de su compañero de d</w:t>
      </w:r>
      <w:r>
        <w:t>e</w:t>
      </w:r>
      <w:r>
        <w:t xml:space="preserve">tención Bareiro. </w:t>
      </w:r>
    </w:p>
    <w:p w:rsidR="00224567" w:rsidRDefault="00224567">
      <w:pPr>
        <w:widowControl w:val="0"/>
        <w:tabs>
          <w:tab w:val="center" w:pos="0"/>
          <w:tab w:val="left" w:pos="2835"/>
        </w:tabs>
        <w:ind w:firstLine="2880"/>
      </w:pPr>
      <w:r>
        <w:t>Explicó, finalmente, que Barreda, al no recibir propuestas concretas, quedó en que evaluaría una eventual colaboración, la que haría conocer a través de sus abogados.</w:t>
      </w:r>
    </w:p>
    <w:p w:rsidR="00224567" w:rsidRDefault="00224567">
      <w:pPr>
        <w:widowControl w:val="0"/>
        <w:tabs>
          <w:tab w:val="center" w:pos="0"/>
          <w:tab w:val="left" w:pos="2835"/>
        </w:tabs>
        <w:ind w:firstLine="2880"/>
      </w:pPr>
      <w:r>
        <w:t>A fs. 5 del legajo, consta una nota de fecha 24 de marzo de 1997, suscripta por el Secretario V</w:t>
      </w:r>
      <w:r>
        <w:t>e</w:t>
      </w:r>
      <w:r>
        <w:t xml:space="preserve">lasco, por la cual hace saber al instructor que el 21 de marzo el Dr. Luis Dobniewski le comentó que había llegado a su conocimiento, por intermedio del periodista </w:t>
      </w:r>
      <w:r>
        <w:rPr>
          <w:bCs/>
        </w:rPr>
        <w:t>Ariel S</w:t>
      </w:r>
      <w:r>
        <w:rPr>
          <w:bCs/>
        </w:rPr>
        <w:t>u</w:t>
      </w:r>
      <w:r>
        <w:rPr>
          <w:bCs/>
        </w:rPr>
        <w:t>ja</w:t>
      </w:r>
      <w:r>
        <w:rPr>
          <w:bCs/>
        </w:rPr>
        <w:t>r</w:t>
      </w:r>
      <w:r>
        <w:rPr>
          <w:bCs/>
        </w:rPr>
        <w:t xml:space="preserve">chuk, </w:t>
      </w:r>
      <w:r>
        <w:t xml:space="preserve">ex-asesor de prensa de </w:t>
      </w:r>
      <w:smartTag w:uri="urn:schemas-microsoft-com:office:smarttags" w:element="PersonName">
        <w:smartTagPr>
          <w:attr w:name="ProductID" w:val="la A.M"/>
        </w:smartTagPr>
        <w:r>
          <w:t>la A.M</w:t>
        </w:r>
      </w:smartTag>
      <w:r>
        <w:t>.I.A., “que la mujer del detenido Barreda le refirió que tanto ella y el padre de éste habrían sido contactados por una persona que, h</w:t>
      </w:r>
      <w:r>
        <w:t>a</w:t>
      </w:r>
      <w:r>
        <w:t>ciéndose llamar ‘funcionario V’, les habría ofrecido din</w:t>
      </w:r>
      <w:r>
        <w:t>e</w:t>
      </w:r>
      <w:r>
        <w:t>ro y protección a cambio que el mencionado Barreda d</w:t>
      </w:r>
      <w:r>
        <w:t>e</w:t>
      </w:r>
      <w:r>
        <w:t>clare en contra de Ribelli en la presente investigación. Pr</w:t>
      </w:r>
      <w:r>
        <w:t>o</w:t>
      </w:r>
      <w:r>
        <w:t>puesta, según el relato de esta mujer, que junto con quien se dio a conocer como ‘el funcionario V’ le hicieron con</w:t>
      </w:r>
      <w:r>
        <w:t>o</w:t>
      </w:r>
      <w:r>
        <w:t>cer a B</w:t>
      </w:r>
      <w:r>
        <w:t>a</w:t>
      </w:r>
      <w:r>
        <w:t>rreda en su lugar de detención.”.</w:t>
      </w:r>
    </w:p>
    <w:p w:rsidR="00224567" w:rsidRDefault="00224567">
      <w:pPr>
        <w:widowControl w:val="0"/>
        <w:tabs>
          <w:tab w:val="center" w:pos="0"/>
          <w:tab w:val="left" w:pos="2835"/>
        </w:tabs>
        <w:ind w:firstLine="2880"/>
      </w:pPr>
      <w:r>
        <w:t>Esa misma fecha –24 de marzo de 1997- es la que luce, justamente, la nota de fs. 7, refrendada por el comisario inspector Vicat, en la que manifiesta que el 22 de ese mes, junto con el Dr. Sp</w:t>
      </w:r>
      <w:r>
        <w:t>i</w:t>
      </w:r>
      <w:r>
        <w:t>cacci, tomó contacto con Alberto Enrique B</w:t>
      </w:r>
      <w:r>
        <w:t>a</w:t>
      </w:r>
      <w:r>
        <w:t>rreda, padre de Diego Barreda, en el Hotel Kempiski; reunión a la que se sumó el Dr. Gargano Mendoza, integrante del “E</w:t>
      </w:r>
      <w:r>
        <w:t>s</w:t>
      </w:r>
      <w:r>
        <w:t>tudio Jurídico Cicero”.</w:t>
      </w:r>
    </w:p>
    <w:p w:rsidR="00224567" w:rsidRDefault="00224567">
      <w:pPr>
        <w:widowControl w:val="0"/>
        <w:tabs>
          <w:tab w:val="center" w:pos="0"/>
          <w:tab w:val="left" w:pos="2835"/>
        </w:tabs>
        <w:ind w:firstLine="2880"/>
      </w:pPr>
      <w:r>
        <w:t>Según atribuyó Vicat era inte</w:t>
      </w:r>
      <w:r>
        <w:t>n</w:t>
      </w:r>
      <w:r>
        <w:t>ción del padre de Barreda que un letrado de dicho estudio jurídico tomara contacto personal con él, con el fin de evaluar los eventuales beneficios que podría traer la colaboración que ofrecería su hijo Diego.</w:t>
      </w:r>
    </w:p>
    <w:p w:rsidR="00224567" w:rsidRDefault="00224567">
      <w:pPr>
        <w:widowControl w:val="0"/>
        <w:tabs>
          <w:tab w:val="center" w:pos="0"/>
          <w:tab w:val="left" w:pos="2835"/>
        </w:tabs>
        <w:ind w:firstLine="2880"/>
      </w:pPr>
      <w:r>
        <w:t>Así, según Vicat, “se indicó que i</w:t>
      </w:r>
      <w:r>
        <w:t>n</w:t>
      </w:r>
      <w:r>
        <w:t>teresaba conocer los alcances de la supuesta ampliatoria y/o nuevos datos que pudieran arrimarse a la causa, y que sería el magistrado de intervención el encargado de est</w:t>
      </w:r>
      <w:r>
        <w:t>a</w:t>
      </w:r>
      <w:r>
        <w:t>blecer su real valía y en consecuencia de qué manera p</w:t>
      </w:r>
      <w:r>
        <w:t>o</w:t>
      </w:r>
      <w:r>
        <w:t>dría variar la situación del imputado”, comprometiéndose el letrado a evaluar la situación de su representado, h</w:t>
      </w:r>
      <w:r>
        <w:t>a</w:t>
      </w:r>
      <w:r>
        <w:t>ciendo saber la d</w:t>
      </w:r>
      <w:r>
        <w:t>e</w:t>
      </w:r>
      <w:r>
        <w:t>cisión que tomaría.</w:t>
      </w:r>
    </w:p>
    <w:p w:rsidR="00224567" w:rsidRDefault="00224567">
      <w:pPr>
        <w:widowControl w:val="0"/>
        <w:tabs>
          <w:tab w:val="center" w:pos="0"/>
          <w:tab w:val="left" w:pos="2835"/>
        </w:tabs>
        <w:ind w:firstLine="2880"/>
      </w:pPr>
      <w:r>
        <w:t>A fs. 8, el Dr. Galeano ordenó agr</w:t>
      </w:r>
      <w:r>
        <w:t>e</w:t>
      </w:r>
      <w:r>
        <w:t>gar las presentaciones del comisario inspector Vicat, ninguna de las cuales luce el debido cargo de secret</w:t>
      </w:r>
      <w:r>
        <w:t>a</w:t>
      </w:r>
      <w:r>
        <w:t>ría, a la vez que dispuso tener presente lo informado por el actuario y estar a la espera de mayor inform</w:t>
      </w:r>
      <w:r>
        <w:t>a</w:t>
      </w:r>
      <w:r>
        <w:t>ción.</w:t>
      </w:r>
    </w:p>
    <w:p w:rsidR="00224567" w:rsidRDefault="00224567">
      <w:pPr>
        <w:widowControl w:val="0"/>
        <w:tabs>
          <w:tab w:val="center" w:pos="0"/>
          <w:tab w:val="left" w:pos="2835"/>
        </w:tabs>
        <w:ind w:firstLine="2880"/>
      </w:pPr>
      <w:r>
        <w:t>En orden a las reuniones antes menci</w:t>
      </w:r>
      <w:r>
        <w:t>o</w:t>
      </w:r>
      <w:r>
        <w:t>nadas, Diego Enrique Barreda en ocasión de ampliar su d</w:t>
      </w:r>
      <w:r>
        <w:t>e</w:t>
      </w:r>
      <w:r>
        <w:t>claración indagatoria, el 4 de marzo de 1998, relató que para fines de 1996 o principios de 1997 su p</w:t>
      </w:r>
      <w:r>
        <w:t>a</w:t>
      </w:r>
      <w:r>
        <w:t xml:space="preserve">dre, Alberto Enrique, comisario retirado de </w:t>
      </w:r>
      <w:smartTag w:uri="urn:schemas-microsoft-com:office:smarttags" w:element="PersonName">
        <w:smartTagPr>
          <w:attr w:name="ProductID" w:val="la Polic￭a Bonaerense"/>
        </w:smartTagPr>
        <w:r>
          <w:t>la Policía Bonaerense</w:t>
        </w:r>
      </w:smartTag>
      <w:r>
        <w:t>, fue citado por el comisario inspector Vicat al “Hotel Libert</w:t>
      </w:r>
      <w:r>
        <w:t>a</w:t>
      </w:r>
      <w:r>
        <w:t>dor Kempinski”, ocasión en la que este último le efectuó un ofrecimiento económico y la modificación de su situ</w:t>
      </w:r>
      <w:r>
        <w:t>a</w:t>
      </w:r>
      <w:r>
        <w:t>ción procesal a cambio de que modifique su declaración, involucrando al comisario Rib</w:t>
      </w:r>
      <w:r>
        <w:t>e</w:t>
      </w:r>
      <w:r>
        <w:t xml:space="preserve">lli. </w:t>
      </w:r>
    </w:p>
    <w:p w:rsidR="00224567" w:rsidRDefault="00224567">
      <w:pPr>
        <w:widowControl w:val="0"/>
        <w:tabs>
          <w:tab w:val="center" w:pos="0"/>
          <w:tab w:val="left" w:pos="2835"/>
        </w:tabs>
        <w:ind w:firstLine="2880"/>
      </w:pPr>
      <w:r>
        <w:t>Agregó que luego de ello Vicat, ju</w:t>
      </w:r>
      <w:r>
        <w:t>n</w:t>
      </w:r>
      <w:r>
        <w:t>to con el oficial Spicacci, concurrieron a su lugar de dete</w:t>
      </w:r>
      <w:r>
        <w:t>n</w:t>
      </w:r>
      <w:r>
        <w:t xml:space="preserve">ción,  efectuándole idéntico ofrecimiento. </w:t>
      </w:r>
    </w:p>
    <w:p w:rsidR="00224567" w:rsidRDefault="00224567">
      <w:pPr>
        <w:widowControl w:val="0"/>
        <w:tabs>
          <w:tab w:val="center" w:pos="0"/>
          <w:tab w:val="left" w:pos="2835"/>
        </w:tabs>
        <w:ind w:firstLine="2880"/>
      </w:pPr>
      <w:r>
        <w:t>Sostuvo Diego Barrera que la negoci</w:t>
      </w:r>
      <w:r>
        <w:t>a</w:t>
      </w:r>
      <w:r>
        <w:t>ción consistía en involucrar directamente a Ribelli en el atentado, a cambio de gestionar su libertad, m</w:t>
      </w:r>
      <w:r>
        <w:t>o</w:t>
      </w:r>
      <w:r>
        <w:t>dificar su identidad y recibir un sueldo de USD 3000 en el lugar del mundo que quisiera. Además le dijo que existía un fondo de entre 200.000 y 500.000 dólares para afrontar tales ofr</w:t>
      </w:r>
      <w:r>
        <w:t>e</w:t>
      </w:r>
      <w:r>
        <w:t xml:space="preserve">cimientos. </w:t>
      </w:r>
    </w:p>
    <w:p w:rsidR="00224567" w:rsidRDefault="00224567">
      <w:pPr>
        <w:widowControl w:val="0"/>
        <w:tabs>
          <w:tab w:val="center" w:pos="0"/>
          <w:tab w:val="left" w:pos="2835"/>
        </w:tabs>
        <w:ind w:firstLine="2880"/>
      </w:pPr>
      <w:r>
        <w:t>Diego Barreda explicó que, ante su n</w:t>
      </w:r>
      <w:r>
        <w:t>e</w:t>
      </w:r>
      <w:r>
        <w:t>gativa, Vicat hizo alusión a Burguete, quien había “tra</w:t>
      </w:r>
      <w:r>
        <w:t>n</w:t>
      </w:r>
      <w:r>
        <w:t>sado” y estaba en libertad y que Huici estaba por aceptar una propuesta similar.</w:t>
      </w:r>
    </w:p>
    <w:p w:rsidR="00224567" w:rsidRDefault="00224567">
      <w:pPr>
        <w:widowControl w:val="0"/>
        <w:tabs>
          <w:tab w:val="center" w:pos="0"/>
          <w:tab w:val="left" w:pos="2835"/>
        </w:tabs>
        <w:ind w:firstLine="2880"/>
      </w:pPr>
      <w:r>
        <w:t>Asimismo, indicó que Vicat concurrió a visitarlo, nuevamente, el 3 de marzo de 1997, diciéndole “que tenía que transar sí o sí”, a lo que le re</w:t>
      </w:r>
      <w:r>
        <w:t>s</w:t>
      </w:r>
      <w:r>
        <w:t xml:space="preserve">pondió que lo arregle con su abogado, el Dr. Gargano Mendoza; añadió que, a su pedido, se registró en el libro de “Visitas de Letrados” de </w:t>
      </w:r>
      <w:smartTag w:uri="urn:schemas-microsoft-com:office:smarttags" w:element="PersonName">
        <w:smartTagPr>
          <w:attr w:name="ProductID" w:val="la Divisi￳n Alcaid￭a"/>
        </w:smartTagPr>
        <w:r>
          <w:t>la División Alcaidía</w:t>
        </w:r>
      </w:smartTag>
      <w:r>
        <w:t xml:space="preserve"> de Policía Federal el ingreso de Vicat a su lugar de d</w:t>
      </w:r>
      <w:r>
        <w:t>e</w:t>
      </w:r>
      <w:r>
        <w:t>tención.</w:t>
      </w:r>
    </w:p>
    <w:p w:rsidR="00224567" w:rsidRDefault="00224567">
      <w:pPr>
        <w:widowControl w:val="0"/>
        <w:tabs>
          <w:tab w:val="center" w:pos="0"/>
          <w:tab w:val="left" w:pos="2835"/>
        </w:tabs>
        <w:ind w:firstLine="2880"/>
      </w:pPr>
      <w:r>
        <w:t>Previo a efectuar un análisis de las declaraciones vertidas en el debate por las personas arr</w:t>
      </w:r>
      <w:r>
        <w:t>i</w:t>
      </w:r>
      <w:r>
        <w:t>ba mencionadas, el Tribunal no puede dejar de pu</w:t>
      </w:r>
      <w:r>
        <w:t>n</w:t>
      </w:r>
      <w:r>
        <w:t>tualizar el irregular proceder del magistrado instructor y del ex juez federal Gabriel Cavallo, quienes toleraron que fu</w:t>
      </w:r>
      <w:r>
        <w:t>n</w:t>
      </w:r>
      <w:r>
        <w:t>cionarios policiales, mediante proced</w:t>
      </w:r>
      <w:r>
        <w:t>i</w:t>
      </w:r>
      <w:r>
        <w:t>mientos reñidos con las normas legales vigentes que r</w:t>
      </w:r>
      <w:r>
        <w:t>e</w:t>
      </w:r>
      <w:r>
        <w:t>gulan el debido proceso, entrevistasen al padre de un imputado privado de su libe</w:t>
      </w:r>
      <w:r>
        <w:t>r</w:t>
      </w:r>
      <w:r>
        <w:t>tad -en el caso del juez Cavallo- y, además, en el caso del Dr. Galeano, al detenido y a su defensor, en procura de obtener nu</w:t>
      </w:r>
      <w:r>
        <w:t>e</w:t>
      </w:r>
      <w:r>
        <w:t>vas declaraciones.</w:t>
      </w:r>
    </w:p>
    <w:p w:rsidR="00224567" w:rsidRDefault="00224567">
      <w:pPr>
        <w:widowControl w:val="0"/>
        <w:tabs>
          <w:tab w:val="center" w:pos="0"/>
          <w:tab w:val="left" w:pos="2835"/>
        </w:tabs>
        <w:ind w:firstLine="2880"/>
      </w:pPr>
      <w:r>
        <w:t>El acercamiento al detenido Barreda se fue planteando de un modo confuso y equívoco.</w:t>
      </w:r>
    </w:p>
    <w:p w:rsidR="00224567" w:rsidRDefault="00224567">
      <w:pPr>
        <w:widowControl w:val="0"/>
        <w:tabs>
          <w:tab w:val="center" w:pos="0"/>
          <w:tab w:val="left" w:pos="2835"/>
        </w:tabs>
        <w:ind w:firstLine="2880"/>
      </w:pPr>
      <w:r>
        <w:t>Al respecto, Vicat informó que Spica</w:t>
      </w:r>
      <w:r>
        <w:t>c</w:t>
      </w:r>
      <w:r>
        <w:t>ci conversó con Barreda y Bareiro antes de que fueran d</w:t>
      </w:r>
      <w:r>
        <w:t>e</w:t>
      </w:r>
      <w:r>
        <w:t>tenidos; en consecuencia, por esa razón, se acordó una reunión en el “Hotel Kempinski” con el padre del detenido, debido a que éste podría tener datos de interés para la causa.</w:t>
      </w:r>
    </w:p>
    <w:p w:rsidR="00224567" w:rsidRDefault="00224567">
      <w:pPr>
        <w:widowControl w:val="0"/>
        <w:tabs>
          <w:tab w:val="center" w:pos="0"/>
          <w:tab w:val="left" w:pos="2835"/>
        </w:tabs>
        <w:ind w:firstLine="2880"/>
      </w:pPr>
      <w:r>
        <w:t>En el debate Vicat precisó que se ll</w:t>
      </w:r>
      <w:r>
        <w:t>e</w:t>
      </w:r>
      <w:r>
        <w:t>gó al imputado  Barreda por intermedio del oficial inspe</w:t>
      </w:r>
      <w:r>
        <w:t>c</w:t>
      </w:r>
      <w:r>
        <w:t>tor Spicacci, quien había sido su compañero, el que ent</w:t>
      </w:r>
      <w:r>
        <w:t>e</w:t>
      </w:r>
      <w:r>
        <w:t>rado de que investigaba la causa A.M.I.A. se le acercó y le hizo saber que tenía una buena relación con Barreda y, partic</w:t>
      </w:r>
      <w:r>
        <w:t>u</w:t>
      </w:r>
      <w:r>
        <w:t>larmente, con su padre, ofreciéndole contactarlos; explicó, además, que le resultó interesante el ofrecimie</w:t>
      </w:r>
      <w:r>
        <w:t>n</w:t>
      </w:r>
      <w:r>
        <w:t>to, por lo que le contestó afirmativamente, toda vez que era su intención mantener, con conocimiento del juzgado, una “pequeña entrevista ve</w:t>
      </w:r>
      <w:r>
        <w:t>r</w:t>
      </w:r>
      <w:r>
        <w:t>bal” para ver si podían lograr una cuña i</w:t>
      </w:r>
      <w:r>
        <w:t>n</w:t>
      </w:r>
      <w:r>
        <w:t>vestigativa.</w:t>
      </w:r>
    </w:p>
    <w:p w:rsidR="00224567" w:rsidRDefault="00224567">
      <w:pPr>
        <w:widowControl w:val="0"/>
        <w:tabs>
          <w:tab w:val="center" w:pos="0"/>
          <w:tab w:val="left" w:pos="2835"/>
        </w:tabs>
        <w:ind w:firstLine="2880"/>
      </w:pPr>
      <w:r>
        <w:t>A tal efecto, sostuvo, se realizó una reunión en la confitería de un hotel ubicado en Córdoba y Maipú, a la asistieron el oficial inspector Spicacci y el padre de Barreda, a quien se le explicó que tuviese co</w:t>
      </w:r>
      <w:r>
        <w:t>n</w:t>
      </w:r>
      <w:r>
        <w:t>fianza, que no se quería perjudicar a su hijo y que sólo se pretendía lograr algún tipo de col</w:t>
      </w:r>
      <w:r>
        <w:t>a</w:t>
      </w:r>
      <w:r>
        <w:t>boración de parte de éste, de recordar alguna circunstancia no declarada. De tal forma, admitió que esa noche concurrió a ver al imp</w:t>
      </w:r>
      <w:r>
        <w:t>u</w:t>
      </w:r>
      <w:r>
        <w:t>tado Barreda junto con Sp</w:t>
      </w:r>
      <w:r>
        <w:t>i</w:t>
      </w:r>
      <w:r>
        <w:t>cacci, indicándole que, al igual que Huici, tratáse de evaluar la posibilidad de c</w:t>
      </w:r>
      <w:r>
        <w:t>o</w:t>
      </w:r>
      <w:r>
        <w:t>laborar, lo que quedó en contestar.</w:t>
      </w:r>
    </w:p>
    <w:p w:rsidR="00224567" w:rsidRDefault="00224567">
      <w:pPr>
        <w:widowControl w:val="0"/>
        <w:tabs>
          <w:tab w:val="center" w:pos="0"/>
          <w:tab w:val="left" w:pos="2835"/>
        </w:tabs>
        <w:ind w:firstLine="2880"/>
      </w:pPr>
      <w:r>
        <w:t>Luego de unos días, sostuvo, volvió a visitar en su lugar de detención a Barreda, aunque en esa oportunidad contaba con la autorización de trasmitirle que, en caso de que colaborase, el juzgado iba a evaluar, pero para ello se necesitaba algún dato muy puntual que perm</w:t>
      </w:r>
      <w:r>
        <w:t>i</w:t>
      </w:r>
      <w:r>
        <w:t xml:space="preserve">tiese avanzar en la investigación. </w:t>
      </w:r>
    </w:p>
    <w:p w:rsidR="00224567" w:rsidRDefault="00224567">
      <w:pPr>
        <w:widowControl w:val="0"/>
        <w:tabs>
          <w:tab w:val="center" w:pos="0"/>
          <w:tab w:val="left" w:pos="2835"/>
        </w:tabs>
        <w:ind w:firstLine="2880"/>
      </w:pPr>
      <w:r>
        <w:t>Que en esa oportunidad Barreda le dijo “por ahora no, en fin y ni siquiera presentó a B</w:t>
      </w:r>
      <w:r>
        <w:t>a</w:t>
      </w:r>
      <w:r>
        <w:t>reiro que era su compañero de detención” (sic).</w:t>
      </w:r>
    </w:p>
    <w:p w:rsidR="00224567" w:rsidRDefault="00224567">
      <w:pPr>
        <w:widowControl w:val="0"/>
        <w:tabs>
          <w:tab w:val="center" w:pos="0"/>
          <w:tab w:val="left" w:pos="2835"/>
        </w:tabs>
        <w:ind w:firstLine="2880"/>
      </w:pPr>
      <w:r>
        <w:t>Sostuvo Vicat que luego volvió a r</w:t>
      </w:r>
      <w:r>
        <w:t>e</w:t>
      </w:r>
      <w:r>
        <w:t>unirse con el padre de Barreda y “que, bueno que estaba todo bien, que no se hiciera problema por..., él quedó de a</w:t>
      </w:r>
      <w:r>
        <w:t>l</w:t>
      </w:r>
      <w:r>
        <w:t>guna manera agradecido”.</w:t>
      </w:r>
    </w:p>
    <w:p w:rsidR="00224567" w:rsidRDefault="00224567">
      <w:pPr>
        <w:widowControl w:val="0"/>
        <w:tabs>
          <w:tab w:val="center" w:pos="0"/>
          <w:tab w:val="left" w:pos="2835"/>
        </w:tabs>
        <w:ind w:firstLine="2880"/>
      </w:pPr>
      <w:r>
        <w:t xml:space="preserve">Manifestó Vicat que no le constaba que el padre de Diego Barreda fuera policía, pero que éste sí le manifestó que pertenecía a </w:t>
      </w:r>
      <w:smartTag w:uri="urn:schemas-microsoft-com:office:smarttags" w:element="PersonName">
        <w:smartTagPr>
          <w:attr w:name="ProductID" w:val="la Polic￭a Bonaerense"/>
        </w:smartTagPr>
        <w:r>
          <w:t>la Policía Bonaerense</w:t>
        </w:r>
      </w:smartTag>
      <w:r>
        <w:t>; as</w:t>
      </w:r>
      <w:r>
        <w:t>i</w:t>
      </w:r>
      <w:r>
        <w:t xml:space="preserve">mismo, dijo no recordar al Dr. Miguel Gargano Mendoza. </w:t>
      </w:r>
    </w:p>
    <w:p w:rsidR="00224567" w:rsidRDefault="00224567">
      <w:pPr>
        <w:widowControl w:val="0"/>
        <w:tabs>
          <w:tab w:val="center" w:pos="0"/>
          <w:tab w:val="left" w:pos="2835"/>
        </w:tabs>
        <w:ind w:firstLine="2880"/>
      </w:pPr>
      <w:r>
        <w:t>Respecto de la libertad de Burguete, explicó que ello ocurrió antes de su ingreso a la invest</w:t>
      </w:r>
      <w:r>
        <w:t>i</w:t>
      </w:r>
      <w:r>
        <w:t>gación; que el nombrado había declarado ante el juez sin quedar detenido, sabiendo que había sido un muy buen col</w:t>
      </w:r>
      <w:r>
        <w:t>a</w:t>
      </w:r>
      <w:r>
        <w:t>borador y que, por ello, fue muy bien r</w:t>
      </w:r>
      <w:r>
        <w:t>e</w:t>
      </w:r>
      <w:r>
        <w:t>cepcionado por el juzgado. Según le había comentado aquél, esa era la razón de su libertad.</w:t>
      </w:r>
    </w:p>
    <w:p w:rsidR="00224567" w:rsidRDefault="00224567">
      <w:pPr>
        <w:widowControl w:val="0"/>
        <w:tabs>
          <w:tab w:val="center" w:pos="0"/>
          <w:tab w:val="left" w:pos="2835"/>
        </w:tabs>
        <w:ind w:firstLine="2880"/>
      </w:pPr>
      <w:r>
        <w:t>Indicó que no estaba dentro de sus p</w:t>
      </w:r>
      <w:r>
        <w:t>o</w:t>
      </w:r>
      <w:r>
        <w:t>sibilidades ofrecer recompensas en aquellos casos en que se colaborase con la investigación y que como Burguete h</w:t>
      </w:r>
      <w:r>
        <w:t>a</w:t>
      </w:r>
      <w:r>
        <w:t>bía colaborado con el juzgado y estaba en libertad, t</w:t>
      </w:r>
      <w:r>
        <w:t>o</w:t>
      </w:r>
      <w:r>
        <w:t>dos los demás detenidos querían lo mismo, por lo que se les decía “bueno, colaboren y serán tenidos en cuenta”, pero ello nunca sucedió.</w:t>
      </w:r>
    </w:p>
    <w:p w:rsidR="00224567" w:rsidRDefault="00224567">
      <w:pPr>
        <w:widowControl w:val="0"/>
        <w:tabs>
          <w:tab w:val="center" w:pos="0"/>
          <w:tab w:val="left" w:pos="2835"/>
        </w:tabs>
        <w:ind w:firstLine="2880"/>
      </w:pPr>
      <w:r>
        <w:t>En ese sentido, explicó que si bien no conoció el contenido de la declaración de Burguete, invocó su situación como ejemplo frente a Huici y Barreda, por una cuestión personal suya; “si querían estar como Burgu</w:t>
      </w:r>
      <w:r>
        <w:t>e</w:t>
      </w:r>
      <w:r>
        <w:t>te, afuera, tenían que proceder de igual manera”, solía deci</w:t>
      </w:r>
      <w:r>
        <w:t>r</w:t>
      </w:r>
      <w:r>
        <w:t>les.</w:t>
      </w:r>
    </w:p>
    <w:p w:rsidR="00224567" w:rsidRDefault="00224567">
      <w:pPr>
        <w:widowControl w:val="0"/>
        <w:tabs>
          <w:tab w:val="center" w:pos="0"/>
          <w:tab w:val="left" w:pos="2835"/>
        </w:tabs>
        <w:ind w:firstLine="2880"/>
      </w:pPr>
      <w:r>
        <w:t>Sostuvo Vicat que se entrevistó en una o dos oportunidades con Burguete, en dependencias de su área, de manera informal, mientras que con Huici lo hizo en cuatro o cinco ocasiones, para lo cual contó con la a</w:t>
      </w:r>
      <w:r>
        <w:t>u</w:t>
      </w:r>
      <w:r>
        <w:t>tor</w:t>
      </w:r>
      <w:r>
        <w:t>i</w:t>
      </w:r>
      <w:r>
        <w:t>zación del Dr. Galeano.</w:t>
      </w:r>
    </w:p>
    <w:p w:rsidR="00224567" w:rsidRDefault="00224567">
      <w:pPr>
        <w:widowControl w:val="0"/>
        <w:tabs>
          <w:tab w:val="center" w:pos="0"/>
          <w:tab w:val="left" w:pos="2835"/>
        </w:tabs>
        <w:ind w:firstLine="2880"/>
      </w:pPr>
      <w:r>
        <w:t>Recordó que la noche en que conc</w:t>
      </w:r>
      <w:r>
        <w:t>u</w:t>
      </w:r>
      <w:r>
        <w:t>rrió con Spicacci a visitar a Barreda a su lugar de d</w:t>
      </w:r>
      <w:r>
        <w:t>e</w:t>
      </w:r>
      <w:r>
        <w:t>tención, se le dijeron a éste las posibilidades que existían en c</w:t>
      </w:r>
      <w:r>
        <w:t>a</w:t>
      </w:r>
      <w:r>
        <w:t>so de que colaborase, respondiéndoles que lo iba a pensar y en un próximo encuentro contestaría. De la visita al l</w:t>
      </w:r>
      <w:r>
        <w:t>u</w:t>
      </w:r>
      <w:r>
        <w:t xml:space="preserve">gar de detención, acotó, se anotició al juez Galeano. </w:t>
      </w:r>
    </w:p>
    <w:p w:rsidR="00224567" w:rsidRDefault="00224567">
      <w:pPr>
        <w:widowControl w:val="0"/>
        <w:tabs>
          <w:tab w:val="center" w:pos="0"/>
          <w:tab w:val="left" w:pos="2835"/>
        </w:tabs>
        <w:ind w:firstLine="2880"/>
      </w:pPr>
      <w:r>
        <w:t>Negó Vicat haber realizado a alguno de los procesados una oferta económica, de cambio de ident</w:t>
      </w:r>
      <w:r>
        <w:t>i</w:t>
      </w:r>
      <w:r>
        <w:t>dad o de traslado al exterior, a modo de trueque por col</w:t>
      </w:r>
      <w:r>
        <w:t>a</w:t>
      </w:r>
      <w:r>
        <w:t>bor</w:t>
      </w:r>
      <w:r>
        <w:t>a</w:t>
      </w:r>
      <w:r>
        <w:t>ción.</w:t>
      </w:r>
    </w:p>
    <w:p w:rsidR="00224567" w:rsidRDefault="00224567">
      <w:pPr>
        <w:widowControl w:val="0"/>
        <w:tabs>
          <w:tab w:val="center" w:pos="0"/>
          <w:tab w:val="left" w:pos="2835"/>
        </w:tabs>
        <w:ind w:firstLine="2880"/>
      </w:pPr>
      <w:r>
        <w:rPr>
          <w:bCs/>
        </w:rPr>
        <w:t>Por su parte, Alberto Enrique Barr</w:t>
      </w:r>
      <w:r>
        <w:rPr>
          <w:bCs/>
        </w:rPr>
        <w:t>e</w:t>
      </w:r>
      <w:r>
        <w:rPr>
          <w:bCs/>
        </w:rPr>
        <w:t>da,</w:t>
      </w:r>
      <w:r>
        <w:t xml:space="preserve"> comisario retirado de </w:t>
      </w:r>
      <w:smartTag w:uri="urn:schemas-microsoft-com:office:smarttags" w:element="PersonName">
        <w:smartTagPr>
          <w:attr w:name="ProductID" w:val="la Polic￭a Bonaerense"/>
        </w:smartTagPr>
        <w:r>
          <w:t>la Policía Bonaerense</w:t>
        </w:r>
      </w:smartTag>
      <w:r>
        <w:t>, sost</w:t>
      </w:r>
      <w:r>
        <w:t>u</w:t>
      </w:r>
      <w:r>
        <w:t>vo en el debate que en febrero de 1997 fue convocado por el comis</w:t>
      </w:r>
      <w:r>
        <w:t>a</w:t>
      </w:r>
      <w:r>
        <w:t>rio Márquez, con quien tenía una antigua relación, para que concurriese a su domicilio en la localidad de Mart</w:t>
      </w:r>
      <w:r>
        <w:t>í</w:t>
      </w:r>
      <w:r>
        <w:t>nez, Provincia de Buenos Aires, a efe</w:t>
      </w:r>
      <w:r>
        <w:t>c</w:t>
      </w:r>
      <w:r>
        <w:t>tos de reunirse con otra persona con la finalidad de colocar en mejor situ</w:t>
      </w:r>
      <w:r>
        <w:t>a</w:t>
      </w:r>
      <w:r>
        <w:t>ción a su hijo Diego.</w:t>
      </w:r>
    </w:p>
    <w:p w:rsidR="00224567" w:rsidRDefault="00224567">
      <w:pPr>
        <w:widowControl w:val="0"/>
        <w:tabs>
          <w:tab w:val="center" w:pos="0"/>
          <w:tab w:val="left" w:pos="2835"/>
        </w:tabs>
        <w:ind w:firstLine="2880"/>
      </w:pPr>
      <w:r>
        <w:t>Recordó que al llegar al lugar Má</w:t>
      </w:r>
      <w:r>
        <w:t>r</w:t>
      </w:r>
      <w:r>
        <w:t>quez le presentó al Dr. Aldo Spicacci, del que luego se enteró que era policía, quien le propuso dirigirse a otro lugar a conversar con una persona que le daría instrucciones para ayudar a su hijo Diego.</w:t>
      </w:r>
    </w:p>
    <w:p w:rsidR="00224567" w:rsidRDefault="00224567">
      <w:pPr>
        <w:widowControl w:val="0"/>
        <w:tabs>
          <w:tab w:val="center" w:pos="0"/>
          <w:tab w:val="left" w:pos="2835"/>
        </w:tabs>
        <w:ind w:firstLine="2880"/>
      </w:pPr>
      <w:r>
        <w:t>Así fue que concurrió al “Hotel Ke</w:t>
      </w:r>
      <w:r>
        <w:t>m</w:t>
      </w:r>
      <w:r>
        <w:t>pinski”, sito en Córdoba y Maipú, de esta capital, do</w:t>
      </w:r>
      <w:r>
        <w:t>n</w:t>
      </w:r>
      <w:r>
        <w:t>de, rato más tarde, arribó el comisario inspector Ernesto V</w:t>
      </w:r>
      <w:r>
        <w:t>i</w:t>
      </w:r>
      <w:r>
        <w:t>cat, quien le dijo que tenía una gran oportunidad para ayudar a su hijo, que lo que hiciera habría de redundar en un beneficio muy importante para él; que lo iba a colocar en una situación muy buena, toda vez que recibiría USD 5000 mensuales, tendría identidad reservada durante el trámite de la causa, luego se le pr</w:t>
      </w:r>
      <w:r>
        <w:t>o</w:t>
      </w:r>
      <w:r>
        <w:t>porcionaría otra como así también la documentación n</w:t>
      </w:r>
      <w:r>
        <w:t>e</w:t>
      </w:r>
      <w:r>
        <w:t>cesaria para instalarse en los Estados Unidos de Norteamérica, en Miami, con su fam</w:t>
      </w:r>
      <w:r>
        <w:t>i</w:t>
      </w:r>
      <w:r>
        <w:t>lia; propuesta que co</w:t>
      </w:r>
      <w:r>
        <w:t>n</w:t>
      </w:r>
      <w:r>
        <w:t>tenía, obviamente, la posibilidad de “zafar” de la ca</w:t>
      </w:r>
      <w:r>
        <w:t>u</w:t>
      </w:r>
      <w:r>
        <w:t xml:space="preserve">sa. </w:t>
      </w:r>
    </w:p>
    <w:p w:rsidR="00224567" w:rsidRDefault="00224567">
      <w:pPr>
        <w:widowControl w:val="0"/>
        <w:tabs>
          <w:tab w:val="center" w:pos="0"/>
          <w:tab w:val="left" w:pos="2835"/>
        </w:tabs>
        <w:ind w:firstLine="2880"/>
      </w:pPr>
      <w:r>
        <w:t>Según Barreda, Vicat le explicó que debía incidir sobre el ánimo de su hijo para que éste d</w:t>
      </w:r>
      <w:r>
        <w:t>e</w:t>
      </w:r>
      <w:r>
        <w:t>clarase contra Ribelli.</w:t>
      </w:r>
    </w:p>
    <w:p w:rsidR="00224567" w:rsidRDefault="00224567">
      <w:pPr>
        <w:widowControl w:val="0"/>
        <w:tabs>
          <w:tab w:val="center" w:pos="0"/>
          <w:tab w:val="left" w:pos="2835"/>
        </w:tabs>
        <w:ind w:firstLine="2880"/>
      </w:pPr>
      <w:r>
        <w:t>Refirió que durante la reunión, que duró una hora y media o dos, hubo un acercamiento, un c</w:t>
      </w:r>
      <w:r>
        <w:t>o</w:t>
      </w:r>
      <w:r>
        <w:t>noc</w:t>
      </w:r>
      <w:r>
        <w:t>i</w:t>
      </w:r>
      <w:r>
        <w:t xml:space="preserve">miento, explicaciones y momentos ríspidos, dado que se sintió presionado por Vicat, sin poder entender cuál era su posición. </w:t>
      </w:r>
    </w:p>
    <w:p w:rsidR="00224567" w:rsidRDefault="00224567">
      <w:pPr>
        <w:widowControl w:val="0"/>
        <w:tabs>
          <w:tab w:val="center" w:pos="0"/>
          <w:tab w:val="left" w:pos="2835"/>
        </w:tabs>
        <w:ind w:firstLine="2880"/>
      </w:pPr>
      <w:r>
        <w:t>El comisario Vicat, apuntó Barreda, dijo que contaba con el respaldo del Dr. Galeano y del g</w:t>
      </w:r>
      <w:r>
        <w:t>o</w:t>
      </w:r>
      <w:r>
        <w:t>be</w:t>
      </w:r>
      <w:r>
        <w:t>r</w:t>
      </w:r>
      <w:r>
        <w:t xml:space="preserve">nador de la provincia de Buenos Aires, como así también que tenía vínculos con representantes de </w:t>
      </w:r>
      <w:smartTag w:uri="urn:schemas-microsoft-com:office:smarttags" w:element="PersonName">
        <w:smartTagPr>
          <w:attr w:name="ProductID" w:val="la A.M"/>
        </w:smartTagPr>
        <w:r>
          <w:t>la A.M</w:t>
        </w:r>
      </w:smartTag>
      <w:r>
        <w:t>.I.A., con quienes podría garantizar el efectivo cumplimiento de la propuesta. Ante tan seguro ofrecimiento aceptó concurrir al Departamento de Policía para hablar con su hijo con la f</w:t>
      </w:r>
      <w:r>
        <w:t>i</w:t>
      </w:r>
      <w:r>
        <w:t>nalidad de ponerlo al tanto de “lo que ellos querían”.</w:t>
      </w:r>
    </w:p>
    <w:p w:rsidR="00224567" w:rsidRDefault="00224567">
      <w:pPr>
        <w:widowControl w:val="0"/>
        <w:tabs>
          <w:tab w:val="center" w:pos="0"/>
          <w:tab w:val="left" w:pos="2835"/>
        </w:tabs>
        <w:ind w:firstLine="2880"/>
      </w:pPr>
      <w:r>
        <w:t>Así, comentó que, cerca de las 23,  se dirigió junto con Spicacci y Márquez al Departamento de Policía, explicándole a su hijo el motivo de su concurre</w:t>
      </w:r>
      <w:r>
        <w:t>n</w:t>
      </w:r>
      <w:r>
        <w:t>cia, el cual rechazó la propuesta que llevaban, sintiénd</w:t>
      </w:r>
      <w:r>
        <w:t>o</w:t>
      </w:r>
      <w:r>
        <w:t>se molesto con la presencia de Spicacci. Explicó que, co</w:t>
      </w:r>
      <w:r>
        <w:t>n</w:t>
      </w:r>
      <w:r>
        <w:t>vencido de estar ayudando a su hijo, le dijo a éste que la estudie y que tome una determin</w:t>
      </w:r>
      <w:r>
        <w:t>a</w:t>
      </w:r>
      <w:r>
        <w:t xml:space="preserve">ción. </w:t>
      </w:r>
    </w:p>
    <w:p w:rsidR="00224567" w:rsidRDefault="00224567">
      <w:pPr>
        <w:widowControl w:val="0"/>
        <w:tabs>
          <w:tab w:val="center" w:pos="0"/>
          <w:tab w:val="left" w:pos="2835"/>
        </w:tabs>
        <w:ind w:firstLine="2880"/>
      </w:pPr>
      <w:r>
        <w:t>Añadió que para su hijo el ofrecimie</w:t>
      </w:r>
      <w:r>
        <w:t>n</w:t>
      </w:r>
      <w:r>
        <w:t>to era una tontería, una locura o algo similar y que no pens</w:t>
      </w:r>
      <w:r>
        <w:t>a</w:t>
      </w:r>
      <w:r>
        <w:t>ba hacer nada de eso.</w:t>
      </w:r>
    </w:p>
    <w:p w:rsidR="00224567" w:rsidRDefault="00224567">
      <w:pPr>
        <w:widowControl w:val="0"/>
        <w:tabs>
          <w:tab w:val="center" w:pos="0"/>
          <w:tab w:val="left" w:pos="2835"/>
        </w:tabs>
        <w:ind w:firstLine="2880"/>
      </w:pPr>
      <w:r>
        <w:t>Asimismo, relató que le comentó lo s</w:t>
      </w:r>
      <w:r>
        <w:t>u</w:t>
      </w:r>
      <w:r>
        <w:t>cedido a su nuera, quien, a su vez, se lo comentó a varios periodistas por cuanto tenía intenciones de co</w:t>
      </w:r>
      <w:r>
        <w:t>n</w:t>
      </w:r>
      <w:r>
        <w:t>seguir una cámara oculta.</w:t>
      </w:r>
    </w:p>
    <w:p w:rsidR="00224567" w:rsidRDefault="00224567">
      <w:pPr>
        <w:widowControl w:val="0"/>
        <w:tabs>
          <w:tab w:val="center" w:pos="0"/>
          <w:tab w:val="left" w:pos="2835"/>
        </w:tabs>
        <w:ind w:firstLine="2880"/>
      </w:pPr>
      <w:r>
        <w:t>Recordó que Vicat le comentó que otro de los policías imputados había colaborado, obteniendo ventajas y “no tenía problemas”, por lo que debía lograr que su hijo declarase en contra de Ribelli. También le dio a entender que en caso de no hacerlo su hijo la pasaría mal, invocando para ello los contactos que, según él, t</w:t>
      </w:r>
      <w:r>
        <w:t>e</w:t>
      </w:r>
      <w:r>
        <w:t>nía en el Servicio Penitenciario.</w:t>
      </w:r>
    </w:p>
    <w:p w:rsidR="00224567" w:rsidRDefault="00224567">
      <w:pPr>
        <w:widowControl w:val="0"/>
        <w:tabs>
          <w:tab w:val="center" w:pos="0"/>
          <w:tab w:val="left" w:pos="2835"/>
        </w:tabs>
        <w:ind w:firstLine="2880"/>
      </w:pPr>
      <w:r>
        <w:t>Esa amenaza tan frontal y directa, r</w:t>
      </w:r>
      <w:r>
        <w:t>e</w:t>
      </w:r>
      <w:r>
        <w:t>firió Barreda, le “tocó lo más medular” que podía t</w:t>
      </w:r>
      <w:r>
        <w:t>e</w:t>
      </w:r>
      <w:r>
        <w:t>ner y que no realizó denuncia pues su hijo le dijo que él cons</w:t>
      </w:r>
      <w:r>
        <w:t>i</w:t>
      </w:r>
      <w:r>
        <w:t>deraría las medidas en ese sentido. No obstante, manife</w:t>
      </w:r>
      <w:r>
        <w:t>s</w:t>
      </w:r>
      <w:r>
        <w:t>tó, sabía que Vicat concurrió nuevamente a ver a su hijo al Departamento de Policía y le hizo una propuesta de m</w:t>
      </w:r>
      <w:r>
        <w:t>a</w:t>
      </w:r>
      <w:r>
        <w:t>nera más directa.</w:t>
      </w:r>
    </w:p>
    <w:p w:rsidR="00224567" w:rsidRDefault="00224567">
      <w:pPr>
        <w:widowControl w:val="0"/>
        <w:tabs>
          <w:tab w:val="center" w:pos="0"/>
          <w:tab w:val="left" w:pos="2835"/>
        </w:tabs>
        <w:ind w:firstLine="2880"/>
      </w:pPr>
      <w:r>
        <w:rPr>
          <w:bCs/>
        </w:rPr>
        <w:t>Miguel Ángel Gargano Mendoza,</w:t>
      </w:r>
      <w:r>
        <w:t xml:space="preserve"> quien se desempeñó como abogado defensor de Diego Barreda en la etapa anterior, recordó en el debate haber entrevistado, junto a las esposas de sus asistidos Barreda y Bareiro, a los Dres. Cichowolsky, Dobniewski, Carlos Brown y Juan P</w:t>
      </w:r>
      <w:r>
        <w:t>a</w:t>
      </w:r>
      <w:r>
        <w:t>blo Cafiero y que en otra ocasión concurrió al Hotel L</w:t>
      </w:r>
      <w:r>
        <w:t>i</w:t>
      </w:r>
      <w:r>
        <w:t>bertador, sito en Córdoba y Maipú de esta ciudad, a in</w:t>
      </w:r>
      <w:r>
        <w:t>s</w:t>
      </w:r>
      <w:r>
        <w:t>tancias de Luis Vicat, quien se pr</w:t>
      </w:r>
      <w:r>
        <w:t>e</w:t>
      </w:r>
      <w:r>
        <w:t xml:space="preserve">sentó como comisario de </w:t>
      </w:r>
      <w:smartTag w:uri="urn:schemas-microsoft-com:office:smarttags" w:element="PersonName">
        <w:smartTagPr>
          <w:attr w:name="ProductID" w:val="la Polic￭a"/>
        </w:smartTagPr>
        <w:r>
          <w:t>la Pol</w:t>
        </w:r>
        <w:r>
          <w:t>i</w:t>
        </w:r>
        <w:r>
          <w:t>cía</w:t>
        </w:r>
      </w:smartTag>
      <w:r>
        <w:t xml:space="preserve"> de </w:t>
      </w:r>
      <w:smartTag w:uri="urn:schemas-microsoft-com:office:smarttags" w:element="PersonName">
        <w:smartTagPr>
          <w:attr w:name="ProductID" w:val="la Provincia"/>
        </w:smartTagPr>
        <w:r>
          <w:t>la Provincia</w:t>
        </w:r>
      </w:smartTag>
      <w:r>
        <w:t xml:space="preserve"> de Buenos Aires e integrante de una comisión especial que investigaba el atentado a </w:t>
      </w:r>
      <w:smartTag w:uri="urn:schemas-microsoft-com:office:smarttags" w:element="PersonName">
        <w:smartTagPr>
          <w:attr w:name="ProductID" w:val="la A.M"/>
        </w:smartTagPr>
        <w:r>
          <w:t>la A.M</w:t>
        </w:r>
      </w:smartTag>
      <w:r>
        <w:t>.I.A. Precisó que en el encuentro participaron el Dr. Spicacci y el padre de Barreda, quien lo citó al lugar, indicándole que el e</w:t>
      </w:r>
      <w:r>
        <w:t>n</w:t>
      </w:r>
      <w:r>
        <w:t xml:space="preserve">cuentro era importante. </w:t>
      </w:r>
    </w:p>
    <w:p w:rsidR="00224567" w:rsidRDefault="00224567">
      <w:pPr>
        <w:widowControl w:val="0"/>
        <w:tabs>
          <w:tab w:val="center" w:pos="0"/>
          <w:tab w:val="left" w:pos="2835"/>
        </w:tabs>
        <w:ind w:firstLine="2880"/>
      </w:pPr>
      <w:r>
        <w:t>Señaló el testigo que en la reunión, que no se prolongó demasiado, el comisario Vicat le “e</w:t>
      </w:r>
      <w:r>
        <w:t>x</w:t>
      </w:r>
      <w:r>
        <w:t>tendió un ofrecimiento al padre de Barreda y obviamente con destino a su hijo; según él estaba en condiciones de ofrecerles a Barreda, ...una serie de beneficios, prob</w:t>
      </w:r>
      <w:r>
        <w:t>a</w:t>
      </w:r>
      <w:r>
        <w:t>blemente quedar desligado de la causa, salir del país” y, según creyó recordar, también algún din</w:t>
      </w:r>
      <w:r>
        <w:t>e</w:t>
      </w:r>
      <w:r>
        <w:t xml:space="preserve">ro. Recalcó que el dinero integraba el ofrecimiento del comisario. </w:t>
      </w:r>
    </w:p>
    <w:p w:rsidR="00224567" w:rsidRDefault="00224567">
      <w:pPr>
        <w:widowControl w:val="0"/>
        <w:tabs>
          <w:tab w:val="center" w:pos="0"/>
          <w:tab w:val="left" w:pos="2835"/>
        </w:tabs>
        <w:ind w:firstLine="2880"/>
      </w:pPr>
      <w:r>
        <w:t>Añadió el abogado que Vicat parecía convencido de que Barreda no había dicho todo lo que sabía y que si éste lo llegaba a decir, Ribelli y Telleldín qu</w:t>
      </w:r>
      <w:r>
        <w:t>e</w:t>
      </w:r>
      <w:r>
        <w:t>darían más comprometidos en la causa. Si bien no pudo afirmar que la propuesta estuviese dirigida a lograr la incriminación de alguna persona concr</w:t>
      </w:r>
      <w:r>
        <w:t>e</w:t>
      </w:r>
      <w:r>
        <w:t xml:space="preserve">ta, aclaró sí que en caso de aceptación le daría a Barreda </w:t>
      </w:r>
      <w:r>
        <w:rPr>
          <w:bCs/>
        </w:rPr>
        <w:t>“la letra”</w:t>
      </w:r>
      <w:r>
        <w:t xml:space="preserve"> corre</w:t>
      </w:r>
      <w:r>
        <w:t>s</w:t>
      </w:r>
      <w:r>
        <w:t>pondie</w:t>
      </w:r>
      <w:r>
        <w:t>n</w:t>
      </w:r>
      <w:r>
        <w:t>te.</w:t>
      </w:r>
    </w:p>
    <w:p w:rsidR="00224567" w:rsidRDefault="00224567">
      <w:pPr>
        <w:widowControl w:val="0"/>
        <w:tabs>
          <w:tab w:val="center" w:pos="0"/>
          <w:tab w:val="left" w:pos="2835"/>
        </w:tabs>
        <w:ind w:firstLine="2880"/>
      </w:pPr>
      <w:r>
        <w:t>Por último, expuso Gargano Mendoza que Diego Enrique Barreda le contó que Vicat lo había visitado en su lugar de alojamiento, junto con su padre, en un h</w:t>
      </w:r>
      <w:r>
        <w:t>o</w:t>
      </w:r>
      <w:r>
        <w:t>rario no habitual, que tenía temor por lo que consider</w:t>
      </w:r>
      <w:r>
        <w:t>a</w:t>
      </w:r>
      <w:r>
        <w:t>ba era una presión indebida y que no estaba dispuesto a i</w:t>
      </w:r>
      <w:r>
        <w:t>n</w:t>
      </w:r>
      <w:r>
        <w:t>criminar a alguien que no correspo</w:t>
      </w:r>
      <w:r>
        <w:t>n</w:t>
      </w:r>
      <w:r>
        <w:t>diese.</w:t>
      </w:r>
    </w:p>
    <w:p w:rsidR="00224567" w:rsidRDefault="00224567">
      <w:pPr>
        <w:widowControl w:val="0"/>
        <w:tabs>
          <w:tab w:val="center" w:pos="0"/>
          <w:tab w:val="left" w:pos="2835"/>
        </w:tabs>
        <w:ind w:firstLine="2880"/>
      </w:pPr>
      <w:r>
        <w:rPr>
          <w:bCs/>
        </w:rPr>
        <w:t>Asimismo, Aldo Andrés Spicacci</w:t>
      </w:r>
      <w:r>
        <w:t xml:space="preserve"> dijo conocer a Diego Enrique Barreda y a Mario Norberto B</w:t>
      </w:r>
      <w:r>
        <w:t>a</w:t>
      </w:r>
      <w:r>
        <w:t>reiro por haber sido compañeros en una dependencia policial y que al padre del primero y a Vicat por razones profesion</w:t>
      </w:r>
      <w:r>
        <w:t>a</w:t>
      </w:r>
      <w:r>
        <w:t>les. Acotó que, en una oportunidad conversa</w:t>
      </w:r>
      <w:r>
        <w:t>n</w:t>
      </w:r>
      <w:r>
        <w:t>do con Vicat, éste le comentó que estaba investigando el caso A.M.I.A., surgiendo durante la charla el conocimiento que el dep</w:t>
      </w:r>
      <w:r>
        <w:t>o</w:t>
      </w:r>
      <w:r>
        <w:t>nente tenía con la familia Barreda, a quienes consideraba buenas personas. Ante ello, Vicat le preguntó si tendrían interés en colaborar con la investigación, ofrecimiento que le transmitió a Alberto Barreda, quien pidió reunirse con Vicat; actitud que, a su juicio, demostraba su volu</w:t>
      </w:r>
      <w:r>
        <w:t>n</w:t>
      </w:r>
      <w:r>
        <w:t>tad de ayudar.</w:t>
      </w:r>
    </w:p>
    <w:p w:rsidR="00224567" w:rsidRDefault="00224567">
      <w:pPr>
        <w:widowControl w:val="0"/>
        <w:tabs>
          <w:tab w:val="center" w:pos="0"/>
          <w:tab w:val="left" w:pos="2835"/>
        </w:tabs>
        <w:ind w:firstLine="2880"/>
      </w:pPr>
      <w:r>
        <w:t>Explicó que luego Diego Enrique Barr</w:t>
      </w:r>
      <w:r>
        <w:t>e</w:t>
      </w:r>
      <w:r>
        <w:t>da, por intermedio de su padre, hizo saber su inte</w:t>
      </w:r>
      <w:r>
        <w:t>n</w:t>
      </w:r>
      <w:r>
        <w:t>ción de cooperar en la causa y solicitó conocer a Vicat, por lo que se dirigieron a su lugar de detención a fin de entr</w:t>
      </w:r>
      <w:r>
        <w:t>e</w:t>
      </w:r>
      <w:r>
        <w:t>vista</w:t>
      </w:r>
      <w:r>
        <w:t>r</w:t>
      </w:r>
      <w:r>
        <w:t xml:space="preserve">lo. </w:t>
      </w:r>
    </w:p>
    <w:p w:rsidR="00224567" w:rsidRDefault="00224567">
      <w:pPr>
        <w:widowControl w:val="0"/>
        <w:tabs>
          <w:tab w:val="center" w:pos="0"/>
          <w:tab w:val="left" w:pos="2835"/>
        </w:tabs>
        <w:ind w:firstLine="2880"/>
      </w:pPr>
      <w:r>
        <w:t>En orden a la primer entrevista, so</w:t>
      </w:r>
      <w:r>
        <w:t>s</w:t>
      </w:r>
      <w:r>
        <w:t>tuvo que Vicat se presentó ante Alberto Enrique Barreda, comentándole que recién “tomaba” la investigación y que quizás él, su hijo u otro podía ayudar, ya que cualquier dato que pudiera esclarecer el hecho era bienvenido. Acotó que la conversación duró poco tiempo, sin recordar si pa</w:t>
      </w:r>
      <w:r>
        <w:t>r</w:t>
      </w:r>
      <w:r>
        <w:t>ticipó otra persona, negando que se hubiese nombrado a R</w:t>
      </w:r>
      <w:r>
        <w:t>i</w:t>
      </w:r>
      <w:r>
        <w:t>belli o que se hubiese ofrecido algún beneficio o ventaja en caso de que Diego Enrique Barreda declarase.</w:t>
      </w:r>
    </w:p>
    <w:p w:rsidR="00224567" w:rsidRDefault="00224567">
      <w:pPr>
        <w:widowControl w:val="0"/>
        <w:tabs>
          <w:tab w:val="center" w:pos="0"/>
          <w:tab w:val="left" w:pos="2835"/>
        </w:tabs>
        <w:ind w:firstLine="2880"/>
      </w:pPr>
      <w:r>
        <w:t>Agregó que según recordaba charló con Márquez y el padre de Barreda en un café del “Hotel Libe</w:t>
      </w:r>
      <w:r>
        <w:t>r</w:t>
      </w:r>
      <w:r>
        <w:t>tador” y que sus acompañantes se conocían de la policía. Sostuvo que conversaron temas policiales, sin poder prec</w:t>
      </w:r>
      <w:r>
        <w:t>i</w:t>
      </w:r>
      <w:r>
        <w:t>sarlos, siendo usual ese tipo de encuentro entre efectivos policiales; indicó que Vicat “estuvo por concurrir” al l</w:t>
      </w:r>
      <w:r>
        <w:t>u</w:t>
      </w:r>
      <w:r>
        <w:t>gar, no pudiendo precisar si lo hizo.</w:t>
      </w:r>
    </w:p>
    <w:p w:rsidR="00224567" w:rsidRDefault="00224567">
      <w:pPr>
        <w:widowControl w:val="0"/>
        <w:tabs>
          <w:tab w:val="center" w:pos="0"/>
          <w:tab w:val="left" w:pos="2835"/>
        </w:tabs>
        <w:ind w:firstLine="2880"/>
      </w:pPr>
      <w:r>
        <w:t>Más adelante, Spicacci continúo su confuso y fluctuante testimonio explicando que previo a dir</w:t>
      </w:r>
      <w:r>
        <w:t>i</w:t>
      </w:r>
      <w:r>
        <w:t>girse al “Hotel Libertador” se encontraron en la casa de Márquez, para luego desdecirse y sostener que la reunión en el hotel se había realizado un par de días de</w:t>
      </w:r>
      <w:r>
        <w:t>s</w:t>
      </w:r>
      <w:r>
        <w:t>pués de que concurrieran a lo de aquél, quien fue su org</w:t>
      </w:r>
      <w:r>
        <w:t>a</w:t>
      </w:r>
      <w:r>
        <w:t>niz</w:t>
      </w:r>
      <w:r>
        <w:t>a</w:t>
      </w:r>
      <w:r>
        <w:t xml:space="preserve">dor. </w:t>
      </w:r>
    </w:p>
    <w:p w:rsidR="00224567" w:rsidRDefault="00224567">
      <w:pPr>
        <w:widowControl w:val="0"/>
        <w:tabs>
          <w:tab w:val="center" w:pos="0"/>
          <w:tab w:val="left" w:pos="2835"/>
        </w:tabs>
        <w:ind w:firstLine="2880"/>
      </w:pPr>
      <w:r>
        <w:t>Admitió también que dos o cuatro d</w:t>
      </w:r>
      <w:r>
        <w:t>í</w:t>
      </w:r>
      <w:r>
        <w:t>as más tarde del mentado encuentro concurrió junto con Vicat al lugar donde se encontraba detenido Barreda, aunque m</w:t>
      </w:r>
      <w:r>
        <w:t>a</w:t>
      </w:r>
      <w:r>
        <w:t>nifestó desconocer qué temas se conversaron, por cuanto no participó de la charla, limitándose a presentarlos.</w:t>
      </w:r>
    </w:p>
    <w:p w:rsidR="00224567" w:rsidRDefault="00224567">
      <w:pPr>
        <w:widowControl w:val="0"/>
        <w:tabs>
          <w:tab w:val="center" w:pos="0"/>
          <w:tab w:val="left" w:pos="2835"/>
        </w:tabs>
        <w:ind w:firstLine="2880"/>
      </w:pPr>
      <w:r>
        <w:t>Spicacci reconoció un cuarto encue</w:t>
      </w:r>
      <w:r>
        <w:t>n</w:t>
      </w:r>
      <w:r>
        <w:t>tro con el Dr. Gargano Mendoza y Alberto Barreda, ocasión en la que el letrado le manifestó que ya habían aportado todo lo que tenían, que no tenían ningún otro tipo de inform</w:t>
      </w:r>
      <w:r>
        <w:t>a</w:t>
      </w:r>
      <w:r>
        <w:t>ción.</w:t>
      </w:r>
    </w:p>
    <w:p w:rsidR="00224567" w:rsidRDefault="00224567">
      <w:pPr>
        <w:widowControl w:val="0"/>
        <w:tabs>
          <w:tab w:val="center" w:pos="0"/>
          <w:tab w:val="left" w:pos="2835"/>
        </w:tabs>
        <w:ind w:firstLine="2880"/>
      </w:pPr>
      <w:r>
        <w:t>Por último, señaló que en ningún m</w:t>
      </w:r>
      <w:r>
        <w:t>o</w:t>
      </w:r>
      <w:r>
        <w:t>mento se habló de que en caso de colaborar Barreda p</w:t>
      </w:r>
      <w:r>
        <w:t>o</w:t>
      </w:r>
      <w:r>
        <w:t>dría o</w:t>
      </w:r>
      <w:r>
        <w:t>b</w:t>
      </w:r>
      <w:r>
        <w:t>tener beneficios, tales como el cambio de su identidad o trasladarse a otro país, como así tampoco de Ribelli.</w:t>
      </w:r>
    </w:p>
    <w:p w:rsidR="00224567" w:rsidRDefault="00224567">
      <w:pPr>
        <w:widowControl w:val="0"/>
        <w:tabs>
          <w:tab w:val="center" w:pos="0"/>
          <w:tab w:val="left" w:pos="2835"/>
        </w:tabs>
        <w:ind w:firstLine="2880"/>
      </w:pPr>
      <w:r>
        <w:rPr>
          <w:bCs/>
        </w:rPr>
        <w:t>Miguel Ángel Márquez</w:t>
      </w:r>
      <w:r>
        <w:t xml:space="preserve"> señaló que prestó servicios con Alberto Enrique Barreda y que con éste tenía una relación de compañeros de trabajo. Indicó que el Dr. Aldo Spicacci le preguntó, a raíz del t</w:t>
      </w:r>
      <w:r>
        <w:t>e</w:t>
      </w:r>
      <w:r>
        <w:t xml:space="preserve">ma de </w:t>
      </w:r>
      <w:smartTag w:uri="urn:schemas-microsoft-com:office:smarttags" w:element="PersonName">
        <w:smartTagPr>
          <w:attr w:name="ProductID" w:val="la A.M"/>
        </w:smartTagPr>
        <w:r>
          <w:t>la A.M</w:t>
        </w:r>
      </w:smartTag>
      <w:r>
        <w:t>.I.A., si conocía al padre de Barreda, re</w:t>
      </w:r>
      <w:r>
        <w:t>s</w:t>
      </w:r>
      <w:r>
        <w:t xml:space="preserve">pondiéndole que habían sido compañeros en la escuela y en distintos destinos. </w:t>
      </w:r>
    </w:p>
    <w:p w:rsidR="00224567" w:rsidRDefault="00224567">
      <w:pPr>
        <w:widowControl w:val="0"/>
        <w:tabs>
          <w:tab w:val="center" w:pos="0"/>
          <w:tab w:val="left" w:pos="2835"/>
        </w:tabs>
        <w:ind w:firstLine="2880"/>
      </w:pPr>
      <w:r>
        <w:t>Ante ello, señaló, Spicacci le pidió que armara una reunión con Barreda, razón por la cual lo llamó y quedaron en encontrarse en su casa. Que en esa ocasión charlaron acerca de su hijo, que estaba d</w:t>
      </w:r>
      <w:r>
        <w:t>e</w:t>
      </w:r>
      <w:r>
        <w:t>tenido, señalando Spicacci que tal vez podía ayudarlo. No pudo precisar el testigo si sus visitantes se dir</w:t>
      </w:r>
      <w:r>
        <w:t>i</w:t>
      </w:r>
      <w:r>
        <w:t>gieron desde su c</w:t>
      </w:r>
      <w:r>
        <w:t>a</w:t>
      </w:r>
      <w:r>
        <w:t xml:space="preserve">sa a otro encuentro, aclarando que él no lo hizo. </w:t>
      </w:r>
    </w:p>
    <w:p w:rsidR="00224567" w:rsidRDefault="00224567">
      <w:pPr>
        <w:widowControl w:val="0"/>
        <w:tabs>
          <w:tab w:val="center" w:pos="0"/>
        </w:tabs>
        <w:ind w:firstLine="2880"/>
      </w:pPr>
      <w:r>
        <w:t>Relató que a los dos o tres días, a</w:t>
      </w:r>
      <w:r>
        <w:t>l</w:t>
      </w:r>
      <w:r>
        <w:t>rededor de las 20 ó 21, fueron con Alberto Barreda y Spicacci a la alcaidía de policía a ver a Diego Barreda, pr</w:t>
      </w:r>
      <w:r>
        <w:t>e</w:t>
      </w:r>
      <w:r>
        <w:t>cisando que una vez en el lugar, Spicacci le explicó al detenido que podían encontrar una solución p</w:t>
      </w:r>
      <w:r>
        <w:t>a</w:t>
      </w:r>
      <w:r>
        <w:t>ra mejorar su situación en la causa y que si tenía conocimiento que el comisario Ribelli era el autor o el eje de todo el probl</w:t>
      </w:r>
      <w:r>
        <w:t>e</w:t>
      </w:r>
      <w:r>
        <w:t>ma, no tuviera miedo en decirlo. No recordó si Spicacci mencionó que le podían dar g</w:t>
      </w:r>
      <w:r>
        <w:t>a</w:t>
      </w:r>
      <w:r>
        <w:t>rantías.</w:t>
      </w:r>
    </w:p>
    <w:p w:rsidR="00224567" w:rsidRDefault="00224567">
      <w:pPr>
        <w:widowControl w:val="0"/>
        <w:tabs>
          <w:tab w:val="center" w:pos="0"/>
        </w:tabs>
        <w:ind w:firstLine="2880"/>
      </w:pPr>
      <w:r>
        <w:t>Cabe señalar que tampoco fueron aj</w:t>
      </w:r>
      <w:r>
        <w:t>e</w:t>
      </w:r>
      <w:r>
        <w:t xml:space="preserve">nos a la aludida intromisión los funcionarios de </w:t>
      </w:r>
      <w:smartTag w:uri="urn:schemas-microsoft-com:office:smarttags" w:element="PersonName">
        <w:smartTagPr>
          <w:attr w:name="ProductID" w:val="la Secretar￭a"/>
        </w:smartTagPr>
        <w:r>
          <w:t>la S</w:t>
        </w:r>
        <w:r>
          <w:t>e</w:t>
        </w:r>
        <w:r>
          <w:t>cretaría</w:t>
        </w:r>
      </w:smartTag>
      <w:r>
        <w:t xml:space="preserve"> de Seguridad de </w:t>
      </w:r>
      <w:smartTag w:uri="urn:schemas-microsoft-com:office:smarttags" w:element="PersonName">
        <w:smartTagPr>
          <w:attr w:name="ProductID" w:val="la Provincia"/>
        </w:smartTagPr>
        <w:r>
          <w:t>la Provincia</w:t>
        </w:r>
      </w:smartTag>
      <w:r>
        <w:t xml:space="preserve"> de Buenos Aires.</w:t>
      </w:r>
    </w:p>
    <w:p w:rsidR="00224567" w:rsidRDefault="00224567">
      <w:pPr>
        <w:widowControl w:val="0"/>
        <w:tabs>
          <w:tab w:val="center" w:pos="0"/>
        </w:tabs>
        <w:ind w:firstLine="2880"/>
      </w:pPr>
      <w:r>
        <w:t xml:space="preserve">Uno de sus ex integrantes, el Dr. </w:t>
      </w:r>
      <w:r>
        <w:rPr>
          <w:bCs/>
        </w:rPr>
        <w:t>F</w:t>
      </w:r>
      <w:r>
        <w:rPr>
          <w:bCs/>
        </w:rPr>
        <w:t>e</w:t>
      </w:r>
      <w:r>
        <w:rPr>
          <w:bCs/>
        </w:rPr>
        <w:t>derico Guillermo Domínguez</w:t>
      </w:r>
      <w:r>
        <w:rPr>
          <w:b/>
        </w:rPr>
        <w:t xml:space="preserve">, </w:t>
      </w:r>
      <w:r>
        <w:t>sostuvo acerca de los encue</w:t>
      </w:r>
      <w:r>
        <w:t>n</w:t>
      </w:r>
      <w:r>
        <w:t>tros con Diego Barreda lo siguiente: “conocí del tema por tener un conocimiento general y semanal de las actividades del área especial que eran informadas al secretario. En real</w:t>
      </w:r>
      <w:r>
        <w:t>i</w:t>
      </w:r>
      <w:r>
        <w:t>dad, era un conocimiento global y general puesto que por cada tema específico, Vicat el</w:t>
      </w:r>
      <w:r>
        <w:t>e</w:t>
      </w:r>
      <w:r>
        <w:t>vaba al Dr. De Lazzari informes escritos, muy pormen</w:t>
      </w:r>
      <w:r>
        <w:t>o</w:t>
      </w:r>
      <w:r>
        <w:t>rizados. Por tales informes y conocimientos generales, entiendo que se trató de lograr la colaboración de los imputados Barreda y Bareiro y que la gestión fue i</w:t>
      </w:r>
      <w:r>
        <w:t>n</w:t>
      </w:r>
      <w:r>
        <w:t>fructuosa”.</w:t>
      </w:r>
    </w:p>
    <w:p w:rsidR="00224567" w:rsidRDefault="00224567">
      <w:pPr>
        <w:widowControl w:val="0"/>
        <w:tabs>
          <w:tab w:val="center" w:pos="0"/>
          <w:tab w:val="left" w:pos="2835"/>
        </w:tabs>
        <w:ind w:firstLine="2880"/>
      </w:pPr>
      <w:r>
        <w:t>El testigo agregó: “No me consta, ni creo, que se haya realizado ningún ilícito o conducta r</w:t>
      </w:r>
      <w:r>
        <w:t>e</w:t>
      </w:r>
      <w:r>
        <w:t>prochable por parte de los investigadores policiales ni tampoco que se hayan hecho ofrecimientos ilegales”.</w:t>
      </w:r>
    </w:p>
    <w:p w:rsidR="00224567" w:rsidRDefault="00224567">
      <w:pPr>
        <w:widowControl w:val="0"/>
        <w:tabs>
          <w:tab w:val="center" w:pos="0"/>
        </w:tabs>
        <w:ind w:firstLine="2880"/>
      </w:pPr>
      <w:r>
        <w:t>La reseña efectuada precedentemente acreditó una serie de maniobras llevadas a cabo por fu</w:t>
      </w:r>
      <w:r>
        <w:t>n</w:t>
      </w:r>
      <w:r>
        <w:t>cionarios del Estado encaminadas a quebrar la volu</w:t>
      </w:r>
      <w:r>
        <w:t>n</w:t>
      </w:r>
      <w:r>
        <w:t>tad del imputado Diego Enrique Barreda, quien por entonces se e</w:t>
      </w:r>
      <w:r>
        <w:t>n</w:t>
      </w:r>
      <w:r>
        <w:t>contraba privado de su libertad, a fin de obtener de éste una nueva declaración que involucre a alguno de sus co</w:t>
      </w:r>
      <w:r>
        <w:t>n</w:t>
      </w:r>
      <w:r>
        <w:t>sortes de causa; actividad de la que, como en tantos otros casos, sólo se dejó mínima con</w:t>
      </w:r>
      <w:r>
        <w:t>s</w:t>
      </w:r>
      <w:r>
        <w:t>tancia en un legajo que se mantuvo en secreto para la casi totalidad de las partes.</w:t>
      </w:r>
    </w:p>
    <w:p w:rsidR="00224567" w:rsidRDefault="00224567">
      <w:pPr>
        <w:widowControl w:val="0"/>
        <w:tabs>
          <w:tab w:val="center" w:pos="0"/>
        </w:tabs>
        <w:ind w:firstLine="2880"/>
      </w:pPr>
      <w:r>
        <w:t>No queda duda que la actividad del c</w:t>
      </w:r>
      <w:r>
        <w:t>o</w:t>
      </w:r>
      <w:r>
        <w:t>misario inspector Vicat estuvo enderezada a negociar con Barreda, recurriendo para ello a procedimientos intoler</w:t>
      </w:r>
      <w:r>
        <w:t>a</w:t>
      </w:r>
      <w:r>
        <w:t>bles en un Estado de Derecho. En ese sentido, ocioso r</w:t>
      </w:r>
      <w:r>
        <w:t>e</w:t>
      </w:r>
      <w:r>
        <w:t>sulta señalar que ni Vicat ni Spicacci tenían algo que conversar y mucho menos negociar con el proc</w:t>
      </w:r>
      <w:r>
        <w:t>e</w:t>
      </w:r>
      <w:r>
        <w:t>sado Barreda o su padre; más innecesario aún es recordar que el único que podía interrogar al detenido era el juez a cuya disp</w:t>
      </w:r>
      <w:r>
        <w:t>o</w:t>
      </w:r>
      <w:r>
        <w:t>sición se encontraba, en un acto formal de indagatoria.</w:t>
      </w:r>
    </w:p>
    <w:p w:rsidR="00224567" w:rsidRDefault="00224567">
      <w:pPr>
        <w:widowControl w:val="0"/>
        <w:tabs>
          <w:tab w:val="center" w:pos="0"/>
        </w:tabs>
        <w:ind w:firstLine="2880"/>
      </w:pPr>
      <w:r>
        <w:t>Mayor gravedad reviste la circunsta</w:t>
      </w:r>
      <w:r>
        <w:t>n</w:t>
      </w:r>
      <w:r>
        <w:t>cia de que el juez haya tolerado la concurrencia de los funcionarios policiales al lugar donde se encontraba det</w:t>
      </w:r>
      <w:r>
        <w:t>e</w:t>
      </w:r>
      <w:r>
        <w:t>nido Diego Enrique Barreda, a fin de explicar ventajas o beneficios que podría “aparejarle el hecho de ampliar su declaración indagatoria aportando datos de interés...”, por cuanto f</w:t>
      </w:r>
      <w:r>
        <w:t>á</w:t>
      </w:r>
      <w:r>
        <w:t>cilmente se colige que si esos beneficios no le habían sido explicados por el juez a Barreda, en opo</w:t>
      </w:r>
      <w:r>
        <w:t>r</w:t>
      </w:r>
      <w:r>
        <w:t>tunidad de prestar indagatoria, ello obedeció, simpleme</w:t>
      </w:r>
      <w:r>
        <w:t>n</w:t>
      </w:r>
      <w:r>
        <w:t>te, a que no se trataba de ninguno de los “favores” pr</w:t>
      </w:r>
      <w:r>
        <w:t>e</w:t>
      </w:r>
      <w:r>
        <w:t>vistos en la legislación v</w:t>
      </w:r>
      <w:r>
        <w:t>i</w:t>
      </w:r>
      <w:r>
        <w:t>gente.</w:t>
      </w:r>
    </w:p>
    <w:p w:rsidR="00224567" w:rsidRDefault="00224567">
      <w:pPr>
        <w:widowControl w:val="0"/>
        <w:tabs>
          <w:tab w:val="center" w:pos="0"/>
        </w:tabs>
        <w:ind w:firstLine="2880"/>
      </w:pPr>
      <w:r>
        <w:t xml:space="preserve">También cabe afirmar que la “visita” de los funcionarios policiales, consentida por el juez, constituyó una clara coerción al imputado que vulneró su libertad de declarar (art. 18 de </w:t>
      </w:r>
      <w:smartTag w:uri="urn:schemas-microsoft-com:office:smarttags" w:element="PersonName">
        <w:smartTagPr>
          <w:attr w:name="ProductID" w:val="la Constituci￳n Nacional"/>
        </w:smartTagPr>
        <w:r>
          <w:t>la Constitución N</w:t>
        </w:r>
        <w:r>
          <w:t>a</w:t>
        </w:r>
        <w:r>
          <w:t>cional</w:t>
        </w:r>
      </w:smartTag>
      <w:r>
        <w:t xml:space="preserve"> y 296 del Código Procesal Penal de </w:t>
      </w:r>
      <w:smartTag w:uri="urn:schemas-microsoft-com:office:smarttags" w:element="PersonName">
        <w:smartTagPr>
          <w:attr w:name="ProductID" w:val="la Naci￳n"/>
        </w:smartTagPr>
        <w:r>
          <w:t>la Nación</w:t>
        </w:r>
      </w:smartTag>
      <w:r>
        <w:t>).</w:t>
      </w:r>
    </w:p>
    <w:p w:rsidR="00224567" w:rsidRDefault="00224567">
      <w:pPr>
        <w:widowControl w:val="0"/>
        <w:tabs>
          <w:tab w:val="center" w:pos="0"/>
        </w:tabs>
        <w:ind w:firstLine="2880"/>
      </w:pPr>
      <w:r>
        <w:t>En ese sentido, el Tribunal Europeo de Derechos Humanos ha sostenido que “el derecho al s</w:t>
      </w:r>
      <w:r>
        <w:t>i</w:t>
      </w:r>
      <w:r>
        <w:t>lencio y el privilegio contra la autoincriminación están prim</w:t>
      </w:r>
      <w:r>
        <w:t>a</w:t>
      </w:r>
      <w:r>
        <w:t>riamente concebidos para proteger contra la compulsión i</w:t>
      </w:r>
      <w:r>
        <w:t>n</w:t>
      </w:r>
      <w:r>
        <w:t>debida por parte de las autoridades y la obtención de ev</w:t>
      </w:r>
      <w:r>
        <w:t>i</w:t>
      </w:r>
      <w:r>
        <w:t>dencia a través de métodos de coerción o presión a desp</w:t>
      </w:r>
      <w:r>
        <w:t>e</w:t>
      </w:r>
      <w:r>
        <w:t>cho de la voluntad del acusado” y que aquel derecho, que “se encuentra en el corazón de la noción de proceso equ</w:t>
      </w:r>
      <w:r>
        <w:t>i</w:t>
      </w:r>
      <w:r>
        <w:t>tativo, sirve en principio para proteger la libertad del sospechoso de elegir si hablar o guardar silencio frente al interrogatorio policial” (“Allan c/ Reino Unido”, se</w:t>
      </w:r>
      <w:r>
        <w:t>n</w:t>
      </w:r>
      <w:r>
        <w:t>tencia del 8 de octubre de 2002).</w:t>
      </w:r>
    </w:p>
    <w:p w:rsidR="00224567" w:rsidRDefault="00224567">
      <w:pPr>
        <w:widowControl w:val="0"/>
        <w:tabs>
          <w:tab w:val="left" w:pos="2835"/>
        </w:tabs>
        <w:rPr>
          <w:highlight w:val="red"/>
        </w:rPr>
      </w:pPr>
      <w:r>
        <w:tab/>
        <w:t>Finalmente, y como se explicita en la presente, cabe señalar que similares procedimientos se utilizaron respecto de los imputados Huici y Burguete, a</w:t>
      </w:r>
      <w:r>
        <w:t>m</w:t>
      </w:r>
      <w:r>
        <w:t xml:space="preserve">bos integrantes de </w:t>
      </w:r>
      <w:smartTag w:uri="urn:schemas-microsoft-com:office:smarttags" w:element="PersonName">
        <w:smartTagPr>
          <w:attr w:name="ProductID" w:val="la Brigada"/>
        </w:smartTagPr>
        <w:r>
          <w:t>la Brigada</w:t>
        </w:r>
      </w:smartTag>
      <w:r>
        <w:t xml:space="preserve"> de Investigaciones de Lanús.</w:t>
      </w:r>
    </w:p>
    <w:p w:rsidR="00224567" w:rsidRDefault="00224567">
      <w:pPr>
        <w:pStyle w:val="Ttulo4"/>
        <w:spacing w:line="600" w:lineRule="auto"/>
      </w:pPr>
      <w:r>
        <w:rPr>
          <w:lang w:val="es-AR"/>
        </w:rPr>
        <w:tab/>
        <w:t xml:space="preserve">O.2) </w:t>
      </w:r>
      <w:r>
        <w:t>Sumario administrativo con rel</w:t>
      </w:r>
      <w:r>
        <w:t>a</w:t>
      </w:r>
      <w:r>
        <w:t>ción a la conducta de los policías imputados. Disímil tr</w:t>
      </w:r>
      <w:r>
        <w:t>a</w:t>
      </w:r>
      <w:r>
        <w:t>tamie</w:t>
      </w:r>
      <w:r>
        <w:t>n</w:t>
      </w:r>
      <w:r>
        <w:t>to al imputado Burguete.</w:t>
      </w:r>
    </w:p>
    <w:p w:rsidR="00224567" w:rsidRDefault="00224567">
      <w:pPr>
        <w:tabs>
          <w:tab w:val="center" w:pos="0"/>
          <w:tab w:val="left" w:pos="2835"/>
        </w:tabs>
        <w:ind w:firstLine="2880"/>
      </w:pPr>
      <w:r>
        <w:t>En este orden de manejos y manipul</w:t>
      </w:r>
      <w:r>
        <w:t>a</w:t>
      </w:r>
      <w:r>
        <w:t>ciones por parte del juez y demás funcionarios interv</w:t>
      </w:r>
      <w:r>
        <w:t>i</w:t>
      </w:r>
      <w:r>
        <w:t>nientes, tanto nacionales como provinciales, no puede d</w:t>
      </w:r>
      <w:r>
        <w:t>e</w:t>
      </w:r>
      <w:r>
        <w:t>jar de mencionarse los avatares del sumario admini</w:t>
      </w:r>
      <w:r>
        <w:t>s</w:t>
      </w:r>
      <w:r>
        <w:t xml:space="preserve">trativo nº 281.945 de trámite ante </w:t>
      </w:r>
      <w:smartTag w:uri="urn:schemas-microsoft-com:office:smarttags" w:element="PersonName">
        <w:smartTagPr>
          <w:attr w:name="ProductID" w:val="la Direcci￳n"/>
        </w:smartTagPr>
        <w:r>
          <w:t>la Dirección</w:t>
        </w:r>
      </w:smartTag>
      <w:r>
        <w:t xml:space="preserve"> de S</w:t>
      </w:r>
      <w:r>
        <w:t>u</w:t>
      </w:r>
      <w:r>
        <w:t xml:space="preserve">marios de </w:t>
      </w:r>
      <w:smartTag w:uri="urn:schemas-microsoft-com:office:smarttags" w:element="PersonName">
        <w:smartTagPr>
          <w:attr w:name="ProductID" w:val="la Direcci￳n General"/>
        </w:smartTagPr>
        <w:r>
          <w:t>la Dirección General</w:t>
        </w:r>
      </w:smartTag>
      <w:r>
        <w:t xml:space="preserve"> de Asuntos Judiciales de </w:t>
      </w:r>
      <w:smartTag w:uri="urn:schemas-microsoft-com:office:smarttags" w:element="PersonName">
        <w:smartTagPr>
          <w:attr w:name="ProductID" w:val="la Secretar￭a"/>
        </w:smartTagPr>
        <w:r>
          <w:t>la Secretaría</w:t>
        </w:r>
      </w:smartTag>
      <w:r>
        <w:t xml:space="preserve"> de Seguridad de la provincia de Buenos Aires.</w:t>
      </w:r>
    </w:p>
    <w:p w:rsidR="00224567" w:rsidRDefault="00224567">
      <w:pPr>
        <w:tabs>
          <w:tab w:val="center" w:pos="0"/>
          <w:tab w:val="left" w:pos="2835"/>
        </w:tabs>
        <w:ind w:firstLine="2880"/>
      </w:pPr>
      <w:r>
        <w:t xml:space="preserve">A fs. </w:t>
      </w:r>
      <w:r>
        <w:rPr>
          <w:bCs/>
        </w:rPr>
        <w:t>2234/2235</w:t>
      </w:r>
      <w:r>
        <w:t xml:space="preserve"> de dicho sumario, c</w:t>
      </w:r>
      <w:r>
        <w:t>a</w:t>
      </w:r>
      <w:r>
        <w:t>ratulado “Infracción al art. 59 inc. 7mo. de la ley 9550/80", en el que fueron imputados el comisario Aleja</w:t>
      </w:r>
      <w:r>
        <w:t>n</w:t>
      </w:r>
      <w:r>
        <w:t>dro Burguete, el subcomisario José Miguel Arancibia, el oficial principal Oscar Eusebio Bacigalupo, el oficial subinspector Daniel Emilio Quinteros y el sargento 1º A</w:t>
      </w:r>
      <w:r>
        <w:t>r</w:t>
      </w:r>
      <w:r>
        <w:t xml:space="preserve">gentino Gabriel Lasala, luce el dictamen suscripto el </w:t>
      </w:r>
      <w:r>
        <w:rPr>
          <w:bCs/>
        </w:rPr>
        <w:t>17 de diciembre de 1996</w:t>
      </w:r>
      <w:r>
        <w:t xml:space="preserve"> por el Dr. Enzo Zornetta, jefe de </w:t>
      </w:r>
      <w:smartTag w:uri="urn:schemas-microsoft-com:office:smarttags" w:element="PersonName">
        <w:smartTagPr>
          <w:attr w:name="ProductID" w:val="la Divisi￳n Dictamen"/>
        </w:smartTagPr>
        <w:r>
          <w:t>la División Dictamen</w:t>
        </w:r>
      </w:smartTag>
      <w:r>
        <w:t xml:space="preserve"> Legal de </w:t>
      </w:r>
      <w:smartTag w:uri="urn:schemas-microsoft-com:office:smarttags" w:element="PersonName">
        <w:smartTagPr>
          <w:attr w:name="ProductID" w:val="la Direcci￳n Asesor￭a"/>
        </w:smartTagPr>
        <w:r>
          <w:t>la Dirección As</w:t>
        </w:r>
        <w:r>
          <w:t>e</w:t>
        </w:r>
        <w:r>
          <w:t>soría</w:t>
        </w:r>
      </w:smartTag>
      <w:r>
        <w:t xml:space="preserve"> Jurídica.</w:t>
      </w:r>
      <w:r>
        <w:tab/>
      </w:r>
      <w:r>
        <w:tab/>
        <w:t>Allí, tras destacar, entre otras co</w:t>
      </w:r>
      <w:r>
        <w:t>n</w:t>
      </w:r>
      <w:r>
        <w:t>sideraciones, que el comisario Burguete fue imputado en el auto de procesamiento y prisión preventiva dict</w:t>
      </w:r>
      <w:r>
        <w:t>a</w:t>
      </w:r>
      <w:r>
        <w:t>do por el Dr. Juan José Galeano, de los delitos de falsedad ideol</w:t>
      </w:r>
      <w:r>
        <w:t>ó</w:t>
      </w:r>
      <w:r>
        <w:t>gica en concurso real con el de asociación ilícita (arts. 45, 55, 210 y 293 del Código Penal), lo consideró incurso en la norma que le reprocha, “infra</w:t>
      </w:r>
      <w:r>
        <w:t>c</w:t>
      </w:r>
      <w:r>
        <w:t>ción al art. 59, inc. 7º de la ley 9550", toda vez que su accionar “a la luz de los elementos de convicción aportados y por aplicación del sistema de las libres convicciones razonadas... afectó gravemente no sólo el prestigio de la institución sino también la dignidad de funcionario, al resultar -prima f</w:t>
      </w:r>
      <w:r>
        <w:t>a</w:t>
      </w:r>
      <w:r>
        <w:t>cie- responsable en sede judicial de los delitos mencion</w:t>
      </w:r>
      <w:r>
        <w:t>a</w:t>
      </w:r>
      <w:r>
        <w:t>dos...”.</w:t>
      </w:r>
    </w:p>
    <w:p w:rsidR="00224567" w:rsidRDefault="00224567">
      <w:pPr>
        <w:tabs>
          <w:tab w:val="center" w:pos="0"/>
          <w:tab w:val="left" w:pos="2835"/>
        </w:tabs>
        <w:ind w:firstLine="2880"/>
      </w:pPr>
      <w:r>
        <w:t>Cabe aclarar que el art. 59 del decr</w:t>
      </w:r>
      <w:r>
        <w:t>e</w:t>
      </w:r>
      <w:r>
        <w:t>to-ley 9550/80, establece las transgresiones que darán l</w:t>
      </w:r>
      <w:r>
        <w:t>u</w:t>
      </w:r>
      <w:r>
        <w:t>gar a la sanción de exoneración o separación de retiro, impuesta por resolución dictada en sumario a</w:t>
      </w:r>
      <w:r>
        <w:t>d</w:t>
      </w:r>
      <w:r>
        <w:t>ministrativo, entre las cuales el inciso 7º establece: “todo otro acto que afecte gravemente el prestigio de la institución o dignidad del funcionario”.</w:t>
      </w:r>
    </w:p>
    <w:p w:rsidR="00224567" w:rsidRDefault="00224567">
      <w:pPr>
        <w:tabs>
          <w:tab w:val="center" w:pos="0"/>
          <w:tab w:val="left" w:pos="2835"/>
        </w:tabs>
        <w:ind w:firstLine="2880"/>
      </w:pPr>
      <w:r>
        <w:t xml:space="preserve">Cuatro meses más tarde, el </w:t>
      </w:r>
      <w:r>
        <w:rPr>
          <w:bCs/>
        </w:rPr>
        <w:t>2 de abril de 1997 (fs. 2234/2236), sin que mediar</w:t>
      </w:r>
      <w:r>
        <w:t xml:space="preserve">a ninguna actuación posterior al dictamen antes aludido, para lo cual basta cotejar la numeración de las fojas, el jefe de </w:t>
      </w:r>
      <w:smartTag w:uri="urn:schemas-microsoft-com:office:smarttags" w:element="PersonName">
        <w:smartTagPr>
          <w:attr w:name="ProductID" w:val="la Polic￭a Bonaerense"/>
        </w:smartTagPr>
        <w:r>
          <w:t>la Policía Bonaerense</w:t>
        </w:r>
      </w:smartTag>
      <w:r>
        <w:t>, comisario general Adolfo Hugo Vitelli, sobr</w:t>
      </w:r>
      <w:r>
        <w:t>e</w:t>
      </w:r>
      <w:r>
        <w:t>seyó al comisario Alejandro Burguete, hasta tanto se ac</w:t>
      </w:r>
      <w:r>
        <w:t>u</w:t>
      </w:r>
      <w:r>
        <w:t>mulen otros elementos probatorios, a la vez que  levantó la disponibilidad  preventiva opo</w:t>
      </w:r>
      <w:r>
        <w:t>r</w:t>
      </w:r>
      <w:r>
        <w:t>tunamente dispuesta.</w:t>
      </w:r>
    </w:p>
    <w:p w:rsidR="00224567" w:rsidRDefault="00224567">
      <w:pPr>
        <w:tabs>
          <w:tab w:val="center" w:pos="0"/>
          <w:tab w:val="left" w:pos="2835"/>
        </w:tabs>
        <w:ind w:firstLine="2880"/>
      </w:pPr>
      <w:r>
        <w:rPr>
          <w:bCs/>
        </w:rPr>
        <w:t>Adolfo Hugo Vitelli</w:t>
      </w:r>
      <w:r>
        <w:t xml:space="preserve"> prestó declar</w:t>
      </w:r>
      <w:r>
        <w:t>a</w:t>
      </w:r>
      <w:r>
        <w:t>ción en el debate. Sostuvo que el sobreseimiento de Burguete se dispuso a raíz del pedido del entonces Subsecretario de Seguridad, Dr. Federico Domínguez, quien le manifestó que la medida “era beneficiosa para la investigación”; temp</w:t>
      </w:r>
      <w:r>
        <w:t>e</w:t>
      </w:r>
      <w:r>
        <w:t>rame</w:t>
      </w:r>
      <w:r>
        <w:t>n</w:t>
      </w:r>
      <w:r>
        <w:t>to que sólo se adoptó respecto del nombrado.</w:t>
      </w:r>
    </w:p>
    <w:p w:rsidR="00224567" w:rsidRDefault="00224567">
      <w:pPr>
        <w:tabs>
          <w:tab w:val="center" w:pos="0"/>
          <w:tab w:val="left" w:pos="2835"/>
        </w:tabs>
        <w:ind w:firstLine="2880"/>
      </w:pPr>
      <w:r>
        <w:t>Aclaró el testigo que conversó en dos o tres ocasiones con el Dr. Federico Domínguez acerca del tema e incluso con el Dr. De Lazzari, Secretario de Seg</w:t>
      </w:r>
      <w:r>
        <w:t>u</w:t>
      </w:r>
      <w:r>
        <w:t>ridad provincial, quien estaba al tanto y corroboró la s</w:t>
      </w:r>
      <w:r>
        <w:t>o</w:t>
      </w:r>
      <w:r>
        <w:t>licitud; ante ello, dijo, transmitió la directiva al D</w:t>
      </w:r>
      <w:r>
        <w:t>i</w:t>
      </w:r>
      <w:r>
        <w:t>rector Gen</w:t>
      </w:r>
      <w:r>
        <w:t>e</w:t>
      </w:r>
      <w:r>
        <w:t>ral de Asuntos Judiciales, comisario mayor José Carlos Bretschneider.</w:t>
      </w:r>
    </w:p>
    <w:p w:rsidR="00224567" w:rsidRDefault="00224567">
      <w:pPr>
        <w:tabs>
          <w:tab w:val="center" w:pos="0"/>
          <w:tab w:val="left" w:pos="2835"/>
        </w:tabs>
        <w:ind w:firstLine="2880"/>
      </w:pPr>
      <w:r>
        <w:t>Indicó Vitelli que, a su juicio, la resolución adoptada había sido prematura por cuanto d</w:t>
      </w:r>
      <w:r>
        <w:t>e</w:t>
      </w:r>
      <w:r>
        <w:t>bía esperarse la resolución de la causa judicial. Admitió el testigo que también le fue pedida la exoneración de los otros policías procesados, no pudiendo precisar si la s</w:t>
      </w:r>
      <w:r>
        <w:t>o</w:t>
      </w:r>
      <w:r>
        <w:t>licitud provino de Domínguez o de De Lazzari, pues pudi</w:t>
      </w:r>
      <w:r>
        <w:t>e</w:t>
      </w:r>
      <w:r>
        <w:t>ron haber estado ambos en la reunión en que ello ocurrió.</w:t>
      </w:r>
    </w:p>
    <w:p w:rsidR="00224567" w:rsidRDefault="00224567">
      <w:pPr>
        <w:tabs>
          <w:tab w:val="center" w:pos="0"/>
          <w:tab w:val="left" w:pos="2835"/>
        </w:tabs>
        <w:ind w:firstLine="2880"/>
      </w:pPr>
      <w:r>
        <w:t>Por su parte, José Carlos Bretschne</w:t>
      </w:r>
      <w:r>
        <w:t>i</w:t>
      </w:r>
      <w:r>
        <w:t xml:space="preserve">der, Director General de Asuntos Judiciales de </w:t>
      </w:r>
      <w:smartTag w:uri="urn:schemas-microsoft-com:office:smarttags" w:element="PersonName">
        <w:smartTagPr>
          <w:attr w:name="ProductID" w:val="la Polic￭a Bonaerense"/>
        </w:smartTagPr>
        <w:r>
          <w:t>la Policía Bonaerense</w:t>
        </w:r>
      </w:smartTag>
      <w:r>
        <w:t xml:space="preserve"> en 1995, afirmó que la situación de Burguete de permanecer en actividad pese a estar procesado por fals</w:t>
      </w:r>
      <w:r>
        <w:t>e</w:t>
      </w:r>
      <w:r>
        <w:t>dad ideológica y asociación ilícita, no era normal y que la explicación debía buscarse en los “estamentos superi</w:t>
      </w:r>
      <w:r>
        <w:t>o</w:t>
      </w:r>
      <w:r>
        <w:t>res que deciden por sobre la inst</w:t>
      </w:r>
      <w:r>
        <w:t>i</w:t>
      </w:r>
      <w:r>
        <w:t>tución policial”</w:t>
      </w:r>
      <w:r>
        <w:rPr>
          <w:b/>
          <w:i/>
        </w:rPr>
        <w:t>.</w:t>
      </w:r>
    </w:p>
    <w:p w:rsidR="00224567" w:rsidRDefault="00224567">
      <w:pPr>
        <w:tabs>
          <w:tab w:val="center" w:pos="0"/>
          <w:tab w:val="left" w:pos="2835"/>
        </w:tabs>
        <w:ind w:firstLine="2880"/>
      </w:pPr>
      <w:r>
        <w:t>Luce a fs. 1239/1243 del sumario adm</w:t>
      </w:r>
      <w:r>
        <w:t>i</w:t>
      </w:r>
      <w:r>
        <w:t xml:space="preserve">nistrativo nº 266.505/96, el pedido formulado al Poder Ejecutivo provincial por el jefe de </w:t>
      </w:r>
      <w:smartTag w:uri="urn:schemas-microsoft-com:office:smarttags" w:element="PersonName">
        <w:smartTagPr>
          <w:attr w:name="ProductID" w:val="la Polic￭a Bonaerense"/>
        </w:smartTagPr>
        <w:r>
          <w:t>la Policía B</w:t>
        </w:r>
        <w:r>
          <w:t>o</w:t>
        </w:r>
        <w:r>
          <w:t>naerense</w:t>
        </w:r>
      </w:smartTag>
      <w:r>
        <w:t>, c</w:t>
      </w:r>
      <w:r>
        <w:t>o</w:t>
      </w:r>
      <w:r>
        <w:t xml:space="preserve">misario general Adolfo Hugo Vitelli, a efectos de que se disponga la baja por exoneración del comisario Juan José Ribelli, elevado el </w:t>
      </w:r>
      <w:r>
        <w:rPr>
          <w:bCs/>
        </w:rPr>
        <w:t>9 de diciembre de 1996</w:t>
      </w:r>
      <w:r>
        <w:t>. Se destaca en la presentación “que a mérito de lo actuado y de las pru</w:t>
      </w:r>
      <w:r>
        <w:t>e</w:t>
      </w:r>
      <w:r>
        <w:t>bas reunidas en autos surge acreditado que el comisario Juan José Ribelli se encuentra incurso en lo tipificado por el art. 59, inc. 7º de la ley 9550, por haberse acr</w:t>
      </w:r>
      <w:r>
        <w:t>e</w:t>
      </w:r>
      <w:r>
        <w:t>ditado que con su accionar afectó gravemente no sólo el prestigio sino también la dignidad de funcionario...”.</w:t>
      </w:r>
    </w:p>
    <w:p w:rsidR="00224567" w:rsidRDefault="00224567">
      <w:pPr>
        <w:tabs>
          <w:tab w:val="center" w:pos="0"/>
          <w:tab w:val="left" w:pos="2835"/>
        </w:tabs>
        <w:ind w:firstLine="2880"/>
      </w:pPr>
      <w:r>
        <w:t>A fs. 1249 de las referidas actuaci</w:t>
      </w:r>
      <w:r>
        <w:t>o</w:t>
      </w:r>
      <w:r>
        <w:t xml:space="preserve">nes corre agregado copia del decreto 110/97, dictado el </w:t>
      </w:r>
      <w:r>
        <w:rPr>
          <w:bCs/>
        </w:rPr>
        <w:t>10 de enero,</w:t>
      </w:r>
      <w:r>
        <w:t xml:space="preserve"> suscripto por el vicegobernador Rafael Romá, c</w:t>
      </w:r>
      <w:r>
        <w:t>u</w:t>
      </w:r>
      <w:r>
        <w:t>yo art. 1º dispone la baja por exoneración del comisario Juan José Ribelli, por haberse acreditado que incurrió en la comisión de faltas al régimen de servicio en los térm</w:t>
      </w:r>
      <w:r>
        <w:t>i</w:t>
      </w:r>
      <w:r>
        <w:t>nos del art. 59., inciso 7º, del decr</w:t>
      </w:r>
      <w:r>
        <w:t>e</w:t>
      </w:r>
      <w:r>
        <w:t>to-ley 9550/80.</w:t>
      </w:r>
    </w:p>
    <w:p w:rsidR="00224567" w:rsidRDefault="00224567">
      <w:pPr>
        <w:tabs>
          <w:tab w:val="center" w:pos="0"/>
          <w:tab w:val="left" w:pos="2835"/>
        </w:tabs>
        <w:ind w:firstLine="2880"/>
      </w:pPr>
      <w:r>
        <w:t>Mediante idéntico proceder y fundame</w:t>
      </w:r>
      <w:r>
        <w:t>n</w:t>
      </w:r>
      <w:r>
        <w:t>tos (art. 59, inc. 7º del decreto-ley 9550/80), por decr</w:t>
      </w:r>
      <w:r>
        <w:t>e</w:t>
      </w:r>
      <w:r>
        <w:t xml:space="preserve">to 113, también del </w:t>
      </w:r>
      <w:r>
        <w:rPr>
          <w:bCs/>
        </w:rPr>
        <w:t>10 de enero de 1997,</w:t>
      </w:r>
      <w:r>
        <w:t xml:space="preserve"> se dispuso la b</w:t>
      </w:r>
      <w:r>
        <w:t>a</w:t>
      </w:r>
      <w:r>
        <w:t>ja por exoneración del subcomisario Jorge Hor</w:t>
      </w:r>
      <w:r>
        <w:t>a</w:t>
      </w:r>
      <w:r>
        <w:t>cio Rago.</w:t>
      </w:r>
    </w:p>
    <w:p w:rsidR="00224567" w:rsidRDefault="00224567">
      <w:pPr>
        <w:tabs>
          <w:tab w:val="center" w:pos="0"/>
          <w:tab w:val="left" w:pos="2835"/>
        </w:tabs>
        <w:ind w:firstLine="2880"/>
      </w:pPr>
      <w:r>
        <w:t>De lo expuesto resulta con toda nit</w:t>
      </w:r>
      <w:r>
        <w:t>i</w:t>
      </w:r>
      <w:r>
        <w:t>dez el diferente trato que se dispensó al comisario Bu</w:t>
      </w:r>
      <w:r>
        <w:t>r</w:t>
      </w:r>
      <w:r>
        <w:t>guete en relación a los demás efectivos policiales imp</w:t>
      </w:r>
      <w:r>
        <w:t>u</w:t>
      </w:r>
      <w:r>
        <w:t>tados en la causa; extremo que recién fue develado expl</w:t>
      </w:r>
      <w:r>
        <w:t>í</w:t>
      </w:r>
      <w:r>
        <w:t xml:space="preserve">citamente en el debate al deponer </w:t>
      </w:r>
      <w:r>
        <w:rPr>
          <w:bCs/>
        </w:rPr>
        <w:t>Vitelli,</w:t>
      </w:r>
      <w:r>
        <w:t xml:space="preserve"> quien reconoció los motivos reales que guiaron los actos administrativos antes indicados.</w:t>
      </w:r>
    </w:p>
    <w:p w:rsidR="00224567" w:rsidRDefault="00224567">
      <w:pPr>
        <w:tabs>
          <w:tab w:val="center" w:pos="0"/>
          <w:tab w:val="left" w:pos="2835"/>
        </w:tabs>
        <w:ind w:firstLine="2880"/>
      </w:pPr>
      <w:r>
        <w:t>Más allá del reconocimiento expreso de Vitelli, la anomalía expuesta resultaba patente con solo comparar que frente a idénticas tipificaciones de las fa</w:t>
      </w:r>
      <w:r>
        <w:t>l</w:t>
      </w:r>
      <w:r>
        <w:t>tas administrativas (art. 59, inc.7º del dec-ley  9550/80) y sin que se diera, en el caso de Burguete, respuesta a</w:t>
      </w:r>
      <w:r>
        <w:t>l</w:t>
      </w:r>
      <w:r>
        <w:t>guna al dictamen que lo responsabilizaba, se precedió a su sobreseimiento.</w:t>
      </w:r>
    </w:p>
    <w:p w:rsidR="00224567" w:rsidRDefault="00224567">
      <w:pPr>
        <w:tabs>
          <w:tab w:val="center" w:pos="0"/>
          <w:tab w:val="left" w:pos="2835"/>
        </w:tabs>
        <w:ind w:firstLine="2880"/>
      </w:pPr>
      <w:r>
        <w:t>En el debate, en numerosas oportunid</w:t>
      </w:r>
      <w:r>
        <w:t>a</w:t>
      </w:r>
      <w:r>
        <w:t>des, al hablar de negociaciones con detenidos o de lograr una colaboración por parte de éstos, surgió la figura del Dr. Federico Guillermo Domínguez.</w:t>
      </w:r>
    </w:p>
    <w:p w:rsidR="00224567" w:rsidRDefault="00224567">
      <w:pPr>
        <w:tabs>
          <w:tab w:val="center" w:pos="0"/>
          <w:tab w:val="left" w:pos="2835"/>
        </w:tabs>
        <w:ind w:firstLine="2880"/>
      </w:pPr>
      <w:r>
        <w:t>Este último en oportunidad de decl</w:t>
      </w:r>
      <w:r>
        <w:t>a</w:t>
      </w:r>
      <w:r>
        <w:t xml:space="preserve">rar testimonialmente mediante oficio, fs. 117.662/117.666, sostuvo que conocía del foro a </w:t>
      </w:r>
      <w:smartTag w:uri="urn:schemas-microsoft-com:office:smarttags" w:element="PersonName">
        <w:smartTagPr>
          <w:attr w:name="ProductID" w:val="la Dra. Marta"/>
        </w:smartTagPr>
        <w:r>
          <w:t>la Dra. Marta</w:t>
        </w:r>
      </w:smartTag>
      <w:r>
        <w:t xml:space="preserve"> Parascándolo, quien concurrió en dos o tres oportunidades a </w:t>
      </w:r>
      <w:smartTag w:uri="urn:schemas-microsoft-com:office:smarttags" w:element="PersonName">
        <w:smartTagPr>
          <w:attr w:name="ProductID" w:val="la Secretar￭a"/>
        </w:smartTagPr>
        <w:r>
          <w:t>la Secret</w:t>
        </w:r>
        <w:r>
          <w:t>a</w:t>
        </w:r>
        <w:r>
          <w:t>ría</w:t>
        </w:r>
      </w:smartTag>
      <w:r>
        <w:t xml:space="preserve"> de Seguridad, a efectos de interesarse por el sumario administrativo seguido contra su cliente, Alejandro Bu</w:t>
      </w:r>
      <w:r>
        <w:t>r</w:t>
      </w:r>
      <w:r>
        <w:t>guete. Con este último, sostuvo, se reunió en varias opo</w:t>
      </w:r>
      <w:r>
        <w:t>r</w:t>
      </w:r>
      <w:r>
        <w:t>tunidades, tanto por razones profesionales, en las que a</w:t>
      </w:r>
      <w:r>
        <w:t>c</w:t>
      </w:r>
      <w:r>
        <w:t>tuaba Burguete como instructor, y en diversos eventos of</w:t>
      </w:r>
      <w:r>
        <w:t>i</w:t>
      </w:r>
      <w:r>
        <w:t>ciales de la pol</w:t>
      </w:r>
      <w:r>
        <w:t>i</w:t>
      </w:r>
      <w:r>
        <w:t>cía.</w:t>
      </w:r>
    </w:p>
    <w:p w:rsidR="00224567" w:rsidRDefault="00224567">
      <w:pPr>
        <w:tabs>
          <w:tab w:val="center" w:pos="0"/>
          <w:tab w:val="left" w:pos="2835"/>
        </w:tabs>
        <w:ind w:firstLine="2880"/>
      </w:pPr>
      <w:r>
        <w:t>Negó el letrado haber tenido conoc</w:t>
      </w:r>
      <w:r>
        <w:t>i</w:t>
      </w:r>
      <w:r>
        <w:t>miento de que se le hubiera ofrecido algo a Alejandro Bu</w:t>
      </w:r>
      <w:r>
        <w:t>r</w:t>
      </w:r>
      <w:r>
        <w:t>guete, aclarando que, según creía, la primera vez que tomó contacto con el tema, el nombrado ya se encontraba en l</w:t>
      </w:r>
      <w:r>
        <w:t>i</w:t>
      </w:r>
      <w:r>
        <w:t xml:space="preserve">bertad. </w:t>
      </w:r>
    </w:p>
    <w:p w:rsidR="00224567" w:rsidRDefault="00224567">
      <w:pPr>
        <w:tabs>
          <w:tab w:val="center" w:pos="0"/>
          <w:tab w:val="left" w:pos="2835"/>
        </w:tabs>
        <w:ind w:firstLine="2880"/>
      </w:pPr>
      <w:r>
        <w:t>Si bien el Dr. Domínguez parecería l</w:t>
      </w:r>
      <w:r>
        <w:t>i</w:t>
      </w:r>
      <w:r>
        <w:t>mitar la posibilidad de negociación al tiempo en que est</w:t>
      </w:r>
      <w:r>
        <w:t>u</w:t>
      </w:r>
      <w:r>
        <w:t>vo detenido Burguete, en razón que cuando asumió su cargo, en septiembre de 1996, aquél se encontraba en libertad, cierto es que nada dice del inexplicable l</w:t>
      </w:r>
      <w:r>
        <w:t>e</w:t>
      </w:r>
      <w:r>
        <w:t>vantamiento de la disponibilidad preventiva de Burguete, dispuesto el 2 de abril de 1997, mientras se desempeñaba como Subsecret</w:t>
      </w:r>
      <w:r>
        <w:t>a</w:t>
      </w:r>
      <w:r>
        <w:t>rio de S</w:t>
      </w:r>
      <w:r>
        <w:t>e</w:t>
      </w:r>
      <w:r>
        <w:t xml:space="preserve">guridad de la provincia de Buenos Aires. </w:t>
      </w:r>
    </w:p>
    <w:p w:rsidR="00224567" w:rsidRDefault="00224567">
      <w:pPr>
        <w:pStyle w:val="Ttulo4"/>
        <w:spacing w:line="600" w:lineRule="auto"/>
      </w:pPr>
      <w:r>
        <w:tab/>
        <w:t>O.3) Presiones al imputado  Huici.</w:t>
      </w:r>
    </w:p>
    <w:p w:rsidR="00224567" w:rsidRDefault="00224567">
      <w:pPr>
        <w:tabs>
          <w:tab w:val="center" w:pos="0"/>
          <w:tab w:val="left" w:pos="2835"/>
        </w:tabs>
        <w:ind w:firstLine="2880"/>
      </w:pPr>
      <w:r>
        <w:t>El 14 de agosto de 1996, en oportun</w:t>
      </w:r>
      <w:r>
        <w:t>i</w:t>
      </w:r>
      <w:r>
        <w:t>dad de prestar declaración indagatoria Bautista Alberto Huici, éste designó como abogado defensor al Dr. Federico Guillermo José Domínguez, quien lo asistió en el acto ju</w:t>
      </w:r>
      <w:r>
        <w:t>n</w:t>
      </w:r>
      <w:r>
        <w:t xml:space="preserve">to con el Dr. Jorge Daniel Morán. </w:t>
      </w:r>
    </w:p>
    <w:p w:rsidR="00224567" w:rsidRDefault="00224567">
      <w:pPr>
        <w:tabs>
          <w:tab w:val="center" w:pos="0"/>
          <w:tab w:val="left" w:pos="2835"/>
        </w:tabs>
        <w:ind w:firstLine="2880"/>
      </w:pPr>
      <w:r>
        <w:t>Al ampliar sus dichos, el 21 de agosto de 1996, Huici revocó la designación del Dr. Domínguez, nombrando en su reemplazo al Dr. Claudio G</w:t>
      </w:r>
      <w:r>
        <w:t>a</w:t>
      </w:r>
      <w:r>
        <w:t>briel Lupiano.</w:t>
      </w:r>
    </w:p>
    <w:p w:rsidR="00224567" w:rsidRDefault="00224567">
      <w:pPr>
        <w:tabs>
          <w:tab w:val="center" w:pos="0"/>
          <w:tab w:val="left" w:pos="2835"/>
        </w:tabs>
        <w:ind w:firstLine="2880"/>
      </w:pPr>
      <w:r>
        <w:t>Por tratarse de una llamativa coinc</w:t>
      </w:r>
      <w:r>
        <w:t>i</w:t>
      </w:r>
      <w:r>
        <w:t>dencia, vale la pena poner de resalto que en el referido acto procesal consta una fórmula muy parecida a la que T</w:t>
      </w:r>
      <w:r>
        <w:t>e</w:t>
      </w:r>
      <w:r>
        <w:t>lleldín dijo que insertaron en su descargo de julio de 1996.</w:t>
      </w:r>
    </w:p>
    <w:p w:rsidR="00224567" w:rsidRDefault="00224567">
      <w:pPr>
        <w:tabs>
          <w:tab w:val="center" w:pos="0"/>
          <w:tab w:val="left" w:pos="2835"/>
        </w:tabs>
        <w:ind w:firstLine="2880"/>
        <w:rPr>
          <w:b/>
        </w:rPr>
      </w:pPr>
      <w:r>
        <w:t xml:space="preserve">Allí se lee: </w:t>
      </w:r>
      <w:r>
        <w:rPr>
          <w:b/>
        </w:rPr>
        <w:t>“</w:t>
      </w:r>
      <w:r>
        <w:t>En este acto el depone</w:t>
      </w:r>
      <w:r>
        <w:t>n</w:t>
      </w:r>
      <w:r>
        <w:t>te desea hacer saber que volverá a referirse a s</w:t>
      </w:r>
      <w:r>
        <w:t>i</w:t>
      </w:r>
      <w:r>
        <w:t>tuaciones d</w:t>
      </w:r>
      <w:r>
        <w:t>e</w:t>
      </w:r>
      <w:r>
        <w:t xml:space="preserve">lictivas, por lo que reitera se aplique a su respecto la figura del </w:t>
      </w:r>
      <w:r>
        <w:rPr>
          <w:b/>
        </w:rPr>
        <w:t>‘</w:t>
      </w:r>
      <w:r>
        <w:t>arrepentido</w:t>
      </w:r>
      <w:r>
        <w:rPr>
          <w:b/>
        </w:rPr>
        <w:t>’</w:t>
      </w:r>
      <w:r>
        <w:t xml:space="preserve"> con el fin de no ser involucrado en otras causas, ya que así se vería ante la situación de hacer uso del derecho que le asi</w:t>
      </w:r>
      <w:r>
        <w:t>s</w:t>
      </w:r>
      <w:r>
        <w:t>te de negarse a declarar, siendo que su real intención es colaborar en la investig</w:t>
      </w:r>
      <w:r>
        <w:t>a</w:t>
      </w:r>
      <w:r>
        <w:t>ción</w:t>
      </w:r>
      <w:r>
        <w:rPr>
          <w:b/>
        </w:rPr>
        <w:t>”.</w:t>
      </w:r>
    </w:p>
    <w:p w:rsidR="00224567" w:rsidRDefault="00224567">
      <w:pPr>
        <w:tabs>
          <w:tab w:val="center" w:pos="0"/>
          <w:tab w:val="left" w:pos="2835"/>
        </w:tabs>
        <w:ind w:firstLine="2880"/>
      </w:pPr>
      <w:r>
        <w:t xml:space="preserve">El 9 de febrero de 1998, al ampliar su declaración indagatoria, Bautista Alberto </w:t>
      </w:r>
      <w:r>
        <w:rPr>
          <w:bCs/>
        </w:rPr>
        <w:t>Huici</w:t>
      </w:r>
      <w:r>
        <w:t>, asistido por el Dr. Marcelo García, afirmó que sus anteriores ve</w:t>
      </w:r>
      <w:r>
        <w:t>r</w:t>
      </w:r>
      <w:r>
        <w:t>siones fueron vertidas “presionado e inducido por su ab</w:t>
      </w:r>
      <w:r>
        <w:t>o</w:t>
      </w:r>
      <w:r>
        <w:t xml:space="preserve">gado Guillermo Federico Domínguez, en connivencia con </w:t>
      </w:r>
      <w:smartTag w:uri="urn:schemas-microsoft-com:office:smarttags" w:element="PersonName">
        <w:smartTagPr>
          <w:attr w:name="ProductID" w:val="la Dra. Marta"/>
        </w:smartTagPr>
        <w:r>
          <w:t>la Dra. Marta</w:t>
        </w:r>
      </w:smartTag>
      <w:r>
        <w:t xml:space="preserve"> Parascándalo, a declarar diferentes mentiras, como así también a incorporar cuestiones que... descon</w:t>
      </w:r>
      <w:r>
        <w:t>o</w:t>
      </w:r>
      <w:r>
        <w:t>cía” (sic) y que a continu</w:t>
      </w:r>
      <w:r>
        <w:t>a</w:t>
      </w:r>
      <w:r>
        <w:t>ción detalló.</w:t>
      </w:r>
    </w:p>
    <w:p w:rsidR="00224567" w:rsidRDefault="00224567">
      <w:pPr>
        <w:tabs>
          <w:tab w:val="center" w:pos="0"/>
          <w:tab w:val="left" w:pos="2835"/>
        </w:tabs>
        <w:ind w:firstLine="2880"/>
      </w:pPr>
      <w:r>
        <w:t>Sostuvo al respecto, que el 17 de j</w:t>
      </w:r>
      <w:r>
        <w:t>u</w:t>
      </w:r>
      <w:r>
        <w:t>lio de 1996 fue llevado al juzgado para ampliar su indag</w:t>
      </w:r>
      <w:r>
        <w:t>a</w:t>
      </w:r>
      <w:r>
        <w:t xml:space="preserve">toria a pedido de </w:t>
      </w:r>
      <w:smartTag w:uri="urn:schemas-microsoft-com:office:smarttags" w:element="PersonName">
        <w:smartTagPr>
          <w:attr w:name="ProductID" w:val="la Dra. Parasc￡ndolo"/>
        </w:smartTagPr>
        <w:r>
          <w:t>la Dra. Parascándolo</w:t>
        </w:r>
      </w:smartTag>
      <w:r>
        <w:t>, ocasión en que la letrada le dijo que Burguete y su mujer se encontraban reunidos con el juez y que aquél estaba declarando en los términos que le había indicado.</w:t>
      </w:r>
    </w:p>
    <w:p w:rsidR="00224567" w:rsidRDefault="00224567">
      <w:pPr>
        <w:tabs>
          <w:tab w:val="center" w:pos="0"/>
          <w:tab w:val="left" w:pos="2835"/>
        </w:tabs>
        <w:ind w:firstLine="2880"/>
      </w:pPr>
      <w:r>
        <w:t>Agregó Huici, que la defensora de Bu</w:t>
      </w:r>
      <w:r>
        <w:t>r</w:t>
      </w:r>
      <w:r>
        <w:t>guete también le dijo que “debía tirarle mierda a Ribelli” y manifestar que la camioneta Trafic “se la había visto a Leal y a Ribelli” en la brigada; que lo pensara y que de ello dependía su libertad.</w:t>
      </w:r>
    </w:p>
    <w:p w:rsidR="00224567" w:rsidRDefault="00224567">
      <w:pPr>
        <w:tabs>
          <w:tab w:val="center" w:pos="0"/>
          <w:tab w:val="left" w:pos="2835"/>
        </w:tabs>
        <w:ind w:firstLine="2880"/>
      </w:pPr>
      <w:r>
        <w:t>El Dr. Federico Domínguez, refirió Huici, después de dictado el auto de prisión preventiva, cuando asumió la defensa junto con el Dr. Morán, también le proporcionó datos para volcar en su declaración “que debían comprometer a Ribelli”; según le dijo Domínguez, se vería beneficiado con la libertad, como había sucedido con Burguete, en virtud de promesas que provenían del Dr. G</w:t>
      </w:r>
      <w:r>
        <w:t>a</w:t>
      </w:r>
      <w:r>
        <w:t>leano.</w:t>
      </w:r>
    </w:p>
    <w:p w:rsidR="00224567" w:rsidRDefault="00224567">
      <w:pPr>
        <w:tabs>
          <w:tab w:val="center" w:pos="0"/>
          <w:tab w:val="left" w:pos="2835"/>
        </w:tabs>
        <w:ind w:firstLine="2880"/>
      </w:pPr>
      <w:r>
        <w:t>A las presiones de los Dres. Domí</w:t>
      </w:r>
      <w:r>
        <w:t>n</w:t>
      </w:r>
      <w:r>
        <w:t>guez y Parascándolo, sostuvo Huici, se sumaron las del Dr. Luis Vicat, quien le solicitaba que leyese “dos o tres declar</w:t>
      </w:r>
      <w:r>
        <w:t>a</w:t>
      </w:r>
      <w:r>
        <w:t>ciones que le iba a dar en borrador”, s</w:t>
      </w:r>
      <w:r>
        <w:t>u</w:t>
      </w:r>
      <w:r>
        <w:t>pervisadas por el juzgado, con el fin de favorecer a Burguete; recalcó que Vicat le decía que iba a verlo de parte del juzgado.</w:t>
      </w:r>
    </w:p>
    <w:p w:rsidR="00224567" w:rsidRDefault="00224567">
      <w:pPr>
        <w:tabs>
          <w:tab w:val="center" w:pos="0"/>
          <w:tab w:val="left" w:pos="2835"/>
        </w:tabs>
        <w:ind w:firstLine="2880"/>
      </w:pPr>
      <w:r>
        <w:t>Añadió Huici que se decidió a acl</w:t>
      </w:r>
      <w:r>
        <w:t>a</w:t>
      </w:r>
      <w:r>
        <w:t>rar la situación debido a que no aguantó más las presiones psicológicas y las amenazas a sus hijos, ya que de retra</w:t>
      </w:r>
      <w:r>
        <w:t>c</w:t>
      </w:r>
      <w:r>
        <w:t>tarse de su declaración, en caso nombrar a Vicat y Domí</w:t>
      </w:r>
      <w:r>
        <w:t>n</w:t>
      </w:r>
      <w:r>
        <w:t>guez, sería trasladado a una cárcel, donde correría pel</w:t>
      </w:r>
      <w:r>
        <w:t>i</w:t>
      </w:r>
      <w:r>
        <w:t>gro su v</w:t>
      </w:r>
      <w:r>
        <w:t>i</w:t>
      </w:r>
      <w:r>
        <w:t>da.</w:t>
      </w:r>
    </w:p>
    <w:p w:rsidR="00224567" w:rsidRDefault="00224567">
      <w:pPr>
        <w:tabs>
          <w:tab w:val="center" w:pos="0"/>
          <w:tab w:val="left" w:pos="2835"/>
        </w:tabs>
        <w:ind w:firstLine="2880"/>
      </w:pPr>
      <w:r>
        <w:t>Antes, aclaró, había recibido amen</w:t>
      </w:r>
      <w:r>
        <w:t>a</w:t>
      </w:r>
      <w:r>
        <w:t xml:space="preserve">zas de Ribelli e Ibarra, razón por la cual requirió no ser alojado con ellos. </w:t>
      </w:r>
    </w:p>
    <w:p w:rsidR="00224567" w:rsidRDefault="00224567">
      <w:pPr>
        <w:tabs>
          <w:tab w:val="center" w:pos="0"/>
          <w:tab w:val="left" w:pos="2835"/>
        </w:tabs>
        <w:ind w:firstLine="2880"/>
      </w:pPr>
      <w:r>
        <w:t xml:space="preserve">Agregó, que a principios de </w:t>
      </w:r>
      <w:r>
        <w:rPr>
          <w:bCs/>
        </w:rPr>
        <w:t>1997,</w:t>
      </w:r>
      <w:r>
        <w:t xml:space="preserve"> r</w:t>
      </w:r>
      <w:r>
        <w:t>e</w:t>
      </w:r>
      <w:r>
        <w:t>cibió en su lugar de detención la visita de Domínguez, V</w:t>
      </w:r>
      <w:r>
        <w:t>i</w:t>
      </w:r>
      <w:r>
        <w:t xml:space="preserve">cat y Parascándolo, quienes </w:t>
      </w:r>
      <w:r>
        <w:rPr>
          <w:b/>
        </w:rPr>
        <w:t>“</w:t>
      </w:r>
      <w:r>
        <w:t>a grandes rasgos le pidieron que se decidiera por si iba a cambiar o no su declaración y le ponían como ejemplo que Burguete estaba en libertad y ya estaba trabajando”; diciéndole además “fijate que esto no es joda, que el juzgado cu</w:t>
      </w:r>
      <w:r>
        <w:t>m</w:t>
      </w:r>
      <w:r>
        <w:t>ple</w:t>
      </w:r>
      <w:r>
        <w:rPr>
          <w:b/>
        </w:rPr>
        <w:t xml:space="preserve">” </w:t>
      </w:r>
      <w:r>
        <w:t xml:space="preserve">(sic). </w:t>
      </w:r>
    </w:p>
    <w:p w:rsidR="00224567" w:rsidRDefault="00224567">
      <w:pPr>
        <w:tabs>
          <w:tab w:val="center" w:pos="0"/>
          <w:tab w:val="left" w:pos="2835"/>
        </w:tabs>
        <w:ind w:firstLine="2880"/>
      </w:pPr>
      <w:r>
        <w:t xml:space="preserve">Con relación a las entrevistas que mantuvo con el procesado Huici, el comisario inspector </w:t>
      </w:r>
      <w:r>
        <w:rPr>
          <w:bCs/>
        </w:rPr>
        <w:t>Luis Ernesto Vicat</w:t>
      </w:r>
      <w:r>
        <w:t xml:space="preserve"> sostuvo que lo conoció en su lugar de detención, lo trató en cuatro o cinco oportunidades, con conocimiento del juzgado; que el nombrado tenía una rel</w:t>
      </w:r>
      <w:r>
        <w:t>a</w:t>
      </w:r>
      <w:r>
        <w:t>ción con el actual presidente del Tribunal de Casación P</w:t>
      </w:r>
      <w:r>
        <w:t>e</w:t>
      </w:r>
      <w:r>
        <w:t xml:space="preserve">nal de </w:t>
      </w:r>
      <w:smartTag w:uri="urn:schemas-microsoft-com:office:smarttags" w:element="PersonName">
        <w:smartTagPr>
          <w:attr w:name="ProductID" w:val="la Provincia"/>
        </w:smartTagPr>
        <w:r>
          <w:t>la Provincia</w:t>
        </w:r>
      </w:smartTag>
      <w:r>
        <w:t xml:space="preserve"> de Buenos Aires, Dr. Federico Domí</w:t>
      </w:r>
      <w:r>
        <w:t>n</w:t>
      </w:r>
      <w:r>
        <w:t xml:space="preserve">guez, que en aquella época se desempeñaba como jefe de Asesores de Gabinete de </w:t>
      </w:r>
      <w:smartTag w:uri="urn:schemas-microsoft-com:office:smarttags" w:element="PersonName">
        <w:smartTagPr>
          <w:attr w:name="ProductID" w:val="la Secretar￭a"/>
        </w:smartTagPr>
        <w:r>
          <w:t>la Secretaría</w:t>
        </w:r>
      </w:smartTag>
      <w:r>
        <w:t xml:space="preserve"> de Seguridad y era una suerte de ve</w:t>
      </w:r>
      <w:r>
        <w:t>e</w:t>
      </w:r>
      <w:r>
        <w:t>dor político suyo</w:t>
      </w:r>
      <w:r>
        <w:rPr>
          <w:i/>
        </w:rPr>
        <w:t>.</w:t>
      </w:r>
    </w:p>
    <w:p w:rsidR="00224567" w:rsidRDefault="00224567">
      <w:pPr>
        <w:tabs>
          <w:tab w:val="center" w:pos="0"/>
          <w:tab w:val="left" w:pos="2835"/>
        </w:tabs>
        <w:ind w:firstLine="2880"/>
      </w:pPr>
      <w:r>
        <w:t>A la primer reunión, indicó, asistió acompañado por el Dr. Domínguez para que los presentase, dado que su función consistía en constatar si recordaba alguna circunstancia que pudiese ser de utilidad para avanzar en la investigación. Luego de varias entrevistas decidió cortar el contacto debido a que no iban a obtener ningún resultado.</w:t>
      </w:r>
    </w:p>
    <w:p w:rsidR="00224567" w:rsidRDefault="00224567">
      <w:pPr>
        <w:tabs>
          <w:tab w:val="center" w:pos="0"/>
          <w:tab w:val="left" w:pos="2835"/>
        </w:tabs>
        <w:ind w:firstLine="2880"/>
      </w:pPr>
      <w:r>
        <w:t>Destacó que Huici tenía con el Dr. F</w:t>
      </w:r>
      <w:r>
        <w:t>e</w:t>
      </w:r>
      <w:r>
        <w:t>derico Domínguez una relación de “abrazo y beso”, al igual que con Burguete. Refirió que a las reuniones con Huici concurrió solo, siendo llamado por éste en algunas ocasi</w:t>
      </w:r>
      <w:r>
        <w:t>o</w:t>
      </w:r>
      <w:r>
        <w:t>nes.</w:t>
      </w:r>
    </w:p>
    <w:p w:rsidR="00224567" w:rsidRDefault="00224567">
      <w:pPr>
        <w:tabs>
          <w:tab w:val="center" w:pos="0"/>
          <w:tab w:val="left" w:pos="2835"/>
        </w:tabs>
        <w:ind w:firstLine="2880"/>
      </w:pPr>
      <w:r>
        <w:t>Prestó también declaración testim</w:t>
      </w:r>
      <w:r>
        <w:t>o</w:t>
      </w:r>
      <w:r>
        <w:t xml:space="preserve">nial en el debate el Dr. </w:t>
      </w:r>
      <w:r>
        <w:rPr>
          <w:bCs/>
        </w:rPr>
        <w:t>Claudio Gabriel Lupiano,</w:t>
      </w:r>
      <w:r>
        <w:t xml:space="preserve"> quien se desempeñó como defensor de los imputados Huici y Burguete, habiendo sido relevado por el primero, en la audiencia, del secreto profesional.</w:t>
      </w:r>
    </w:p>
    <w:p w:rsidR="00224567" w:rsidRDefault="00224567">
      <w:pPr>
        <w:tabs>
          <w:tab w:val="center" w:pos="0"/>
          <w:tab w:val="left" w:pos="2835"/>
        </w:tabs>
        <w:ind w:firstLine="2880"/>
      </w:pPr>
      <w:r>
        <w:t>En la oportunidad sostuvo que descon</w:t>
      </w:r>
      <w:r>
        <w:t>o</w:t>
      </w:r>
      <w:r>
        <w:t>cía porqué Huici estaba alojado en el Departamento de P</w:t>
      </w:r>
      <w:r>
        <w:t>o</w:t>
      </w:r>
      <w:r>
        <w:t>licía; más adelante comentó que había sufrido amenazas e intimidaciones, sin recordar su origen, que hacían impos</w:t>
      </w:r>
      <w:r>
        <w:t>i</w:t>
      </w:r>
      <w:r>
        <w:t>ble su alojamiento en otro lugar. Dijo que Huici no le c</w:t>
      </w:r>
      <w:r>
        <w:t>o</w:t>
      </w:r>
      <w:r>
        <w:t>mentó que hubiese recibido alguna indic</w:t>
      </w:r>
      <w:r>
        <w:t>a</w:t>
      </w:r>
      <w:r>
        <w:t>ción o sugerencia a efe</w:t>
      </w:r>
      <w:r>
        <w:t>c</w:t>
      </w:r>
      <w:r>
        <w:t>tos de que declare en  algún sentido o modificase la decl</w:t>
      </w:r>
      <w:r>
        <w:t>a</w:t>
      </w:r>
      <w:r>
        <w:t>ración prestada a cambio de algún beneficio.</w:t>
      </w:r>
    </w:p>
    <w:p w:rsidR="00224567" w:rsidRDefault="00224567">
      <w:pPr>
        <w:tabs>
          <w:tab w:val="center" w:pos="0"/>
          <w:tab w:val="left" w:pos="2835"/>
        </w:tabs>
        <w:ind w:firstLine="2880"/>
      </w:pPr>
      <w:r>
        <w:t>Indicó, más adelante, que durante un breve lapso, compartió la defensa con el Dr. Domínguez, quien luego se retiró debido a un problema “de mayor ca</w:t>
      </w:r>
      <w:r>
        <w:t>n</w:t>
      </w:r>
      <w:r>
        <w:t xml:space="preserve">tidad de abogados nombrados” (sic). </w:t>
      </w:r>
    </w:p>
    <w:p w:rsidR="00224567" w:rsidRDefault="00224567">
      <w:pPr>
        <w:tabs>
          <w:tab w:val="center" w:pos="0"/>
          <w:tab w:val="left" w:pos="2835"/>
        </w:tabs>
        <w:ind w:firstLine="2880"/>
      </w:pPr>
      <w:r>
        <w:t>Refirió que Huici nunca le comentó que hubiese tenido alguna dificultad con Domínguez, no reco</w:t>
      </w:r>
      <w:r>
        <w:t>r</w:t>
      </w:r>
      <w:r>
        <w:t>dando Lupiano si existió un pedido de ampliación de ind</w:t>
      </w:r>
      <w:r>
        <w:t>a</w:t>
      </w:r>
      <w:r>
        <w:t xml:space="preserve">gatoria de Huici o si la audiencia estaba pedida de antes. </w:t>
      </w:r>
    </w:p>
    <w:p w:rsidR="00224567" w:rsidRDefault="00224567">
      <w:pPr>
        <w:tabs>
          <w:tab w:val="center" w:pos="0"/>
          <w:tab w:val="left" w:pos="2835"/>
        </w:tabs>
        <w:ind w:firstLine="2880"/>
      </w:pPr>
      <w:r>
        <w:t>Dijo que conoció al comisario Vicat, casualmente, al tiempo de esta causa; lo vio dos o tres veces, recordando que era abogado, experto en seguridad bancaria y que, además, ejerció un cargo en la provincia de Buenos Aires.</w:t>
      </w:r>
    </w:p>
    <w:p w:rsidR="00224567" w:rsidRDefault="00224567">
      <w:pPr>
        <w:tabs>
          <w:tab w:val="center" w:pos="0"/>
          <w:tab w:val="left" w:pos="2835"/>
        </w:tabs>
        <w:ind w:firstLine="2880"/>
      </w:pPr>
      <w:r>
        <w:t>Destacó el Dr. Lupiano que trabajó con el Dr. Domínguez en otras causas, sin poder precisar el número, compartiendo la misma cartera de clie</w:t>
      </w:r>
      <w:r>
        <w:t>n</w:t>
      </w:r>
      <w:r>
        <w:t>tes; aclaró que a la defensa de Huici llegó por el c</w:t>
      </w:r>
      <w:r>
        <w:t>i</w:t>
      </w:r>
      <w:r>
        <w:t>tado profesional.</w:t>
      </w:r>
    </w:p>
    <w:p w:rsidR="00224567" w:rsidRDefault="00224567">
      <w:pPr>
        <w:tabs>
          <w:tab w:val="center" w:pos="0"/>
          <w:tab w:val="left" w:pos="2835"/>
        </w:tabs>
        <w:ind w:firstLine="2880"/>
      </w:pPr>
      <w:r>
        <w:t>Supo que Huici, estando detenido, tuvo una reunión con Vicat de la que no participó; aclaró, de inmediato, que presenció el ingreso de Vicat, quien se presentó como doctor, hablaron, pero él se levantó y se fue “porque no era éste el tema puntual de la causa, est</w:t>
      </w:r>
      <w:r>
        <w:t>a</w:t>
      </w:r>
      <w:r>
        <w:t>ban debatiendo temas, pensando yo en otra estrategia” (sic) y como no la compartía se ret</w:t>
      </w:r>
      <w:r>
        <w:t>i</w:t>
      </w:r>
      <w:r>
        <w:t>ró. Domínguez, aludió, presenció los primeros cinco m</w:t>
      </w:r>
      <w:r>
        <w:t>i</w:t>
      </w:r>
      <w:r>
        <w:t>nutos del encuentro.</w:t>
      </w:r>
    </w:p>
    <w:p w:rsidR="00224567" w:rsidRDefault="00224567">
      <w:pPr>
        <w:tabs>
          <w:tab w:val="center" w:pos="0"/>
          <w:tab w:val="left" w:pos="2835"/>
        </w:tabs>
        <w:ind w:firstLine="2880"/>
      </w:pPr>
      <w:r>
        <w:t>Acerca del contenido de la reunión, dijo que supuso que se trataría de una estrategia con otro defensor de Huici, “o sea, como si Vicat asumiera también la defensa de Huici”; agregó que ignoraba que Vicat fuese funcionario. En cuanto al conocimiento que tenía de Vicat, recordó el testigo que alguna vez lo patrocinó en un e</w:t>
      </w:r>
      <w:r>
        <w:t>s</w:t>
      </w:r>
      <w:r>
        <w:t>crito, en otras causas que nada tenían que ver con ésta, habiendo mantenido una relación profesional. Adujo que nunca le preguntó a Domínguez cómo había llegado Vicat a la reunión; tampoco pudo recordar cómo se presentó éste último ante Huici.</w:t>
      </w:r>
    </w:p>
    <w:p w:rsidR="00224567" w:rsidRDefault="00224567">
      <w:pPr>
        <w:tabs>
          <w:tab w:val="center" w:pos="0"/>
          <w:tab w:val="left" w:pos="2835"/>
        </w:tabs>
        <w:ind w:firstLine="2880"/>
      </w:pPr>
      <w:r>
        <w:t>Agregó que, luego, su defendido lo llamó para decirle que la persona que lo había visitado era policía, a lo que le respondió que creía que no, que no tenía “la más mínima idea”; no obstante, no r</w:t>
      </w:r>
      <w:r>
        <w:t>e</w:t>
      </w:r>
      <w:r>
        <w:t>cordó si le comentó al Dr. Domínguez el llamado por el cual Huici le c</w:t>
      </w:r>
      <w:r>
        <w:t>o</w:t>
      </w:r>
      <w:r>
        <w:t>municó su fastidio por la visita.</w:t>
      </w:r>
    </w:p>
    <w:p w:rsidR="00224567" w:rsidRDefault="00224567">
      <w:pPr>
        <w:tabs>
          <w:tab w:val="center" w:pos="0"/>
          <w:tab w:val="left" w:pos="2835"/>
        </w:tabs>
        <w:ind w:firstLine="2880"/>
      </w:pPr>
      <w:r>
        <w:t xml:space="preserve">El Dr. </w:t>
      </w:r>
      <w:r>
        <w:rPr>
          <w:bCs/>
        </w:rPr>
        <w:t>Federico Guillermo Domínguez</w:t>
      </w:r>
      <w:r>
        <w:t xml:space="preserve"> prestó declaración testimonial en los términos del art. 250 del Código Procesal Penal, debido a que se desempeña como juez del Tribunal de Casación Penal de </w:t>
      </w:r>
      <w:smartTag w:uri="urn:schemas-microsoft-com:office:smarttags" w:element="PersonName">
        <w:smartTagPr>
          <w:attr w:name="ProductID" w:val="la Provincia"/>
        </w:smartTagPr>
        <w:r>
          <w:t>la Provincia</w:t>
        </w:r>
      </w:smartTag>
      <w:r>
        <w:t xml:space="preserve"> de Bu</w:t>
      </w:r>
      <w:r>
        <w:t>e</w:t>
      </w:r>
      <w:r>
        <w:t>nos Aires, a cargo de la presidencia.</w:t>
      </w:r>
    </w:p>
    <w:p w:rsidR="00224567" w:rsidRDefault="00224567">
      <w:pPr>
        <w:tabs>
          <w:tab w:val="center" w:pos="0"/>
          <w:tab w:val="left" w:pos="2835"/>
        </w:tabs>
        <w:ind w:firstLine="2880"/>
      </w:pPr>
      <w:r>
        <w:t>A fs. 117.662/117.666, corre agreg</w:t>
      </w:r>
      <w:r>
        <w:t>a</w:t>
      </w:r>
      <w:r>
        <w:t>do el escrito que remitió, en respuesta a las preguntas del pliego de fs. 117.210/117.211.</w:t>
      </w:r>
    </w:p>
    <w:p w:rsidR="00224567" w:rsidRDefault="00224567">
      <w:pPr>
        <w:tabs>
          <w:tab w:val="center" w:pos="0"/>
          <w:tab w:val="left" w:pos="2835"/>
        </w:tabs>
        <w:ind w:firstLine="2880"/>
      </w:pPr>
      <w:r>
        <w:t>Manifestó allí el Dr. Domínguez que en septiembre de 1996 fue designado por el Dr. Eduardo De Lázzari, quien estaba a cargo de la secretaría de Segur</w:t>
      </w:r>
      <w:r>
        <w:t>i</w:t>
      </w:r>
      <w:r>
        <w:t xml:space="preserve">dad de </w:t>
      </w:r>
      <w:smartTag w:uri="urn:schemas-microsoft-com:office:smarttags" w:element="PersonName">
        <w:smartTagPr>
          <w:attr w:name="ProductID" w:val="la Provincia"/>
        </w:smartTagPr>
        <w:r>
          <w:t>la Provincia</w:t>
        </w:r>
      </w:smartTag>
      <w:r>
        <w:t xml:space="preserve"> de Buenos Aires, como asesor de gab</w:t>
      </w:r>
      <w:r>
        <w:t>i</w:t>
      </w:r>
      <w:r>
        <w:t>nete, función que desempeño hasta mayo de 1997. El 19 de diciembre de ese año, fue nuevamente convocado “en el ramo seguridad” (sic) por el interventor de la policía, Dr. Luis Lugones, desempeñándose allí hasta febrero de 1998, cuando juró como juez.</w:t>
      </w:r>
    </w:p>
    <w:p w:rsidR="00224567" w:rsidRDefault="00224567">
      <w:pPr>
        <w:tabs>
          <w:tab w:val="center" w:pos="0"/>
          <w:tab w:val="left" w:pos="2835"/>
        </w:tabs>
        <w:ind w:firstLine="2880"/>
      </w:pPr>
      <w:r>
        <w:t>Recordó que a la época del primer ca</w:t>
      </w:r>
      <w:r>
        <w:t>r</w:t>
      </w:r>
      <w:r>
        <w:t>go el secretario de seguridad era De Lazzari y Ado</w:t>
      </w:r>
      <w:r>
        <w:t>l</w:t>
      </w:r>
      <w:r>
        <w:t>fo Hugo V</w:t>
      </w:r>
      <w:r>
        <w:t>i</w:t>
      </w:r>
      <w:r>
        <w:t>telli el jefe de policía.</w:t>
      </w:r>
    </w:p>
    <w:p w:rsidR="00224567" w:rsidRDefault="00224567">
      <w:pPr>
        <w:tabs>
          <w:tab w:val="center" w:pos="0"/>
          <w:tab w:val="left" w:pos="2835"/>
        </w:tabs>
        <w:ind w:firstLine="2880"/>
      </w:pPr>
      <w:r>
        <w:t>Aclaró, que en el ejercicio de las funciones reseñadas, se ocupó de gran cantidad de casos; entre otros, “Cabezas” y “A.M.I.A.”.</w:t>
      </w:r>
    </w:p>
    <w:p w:rsidR="00224567" w:rsidRDefault="00224567">
      <w:pPr>
        <w:tabs>
          <w:tab w:val="center" w:pos="0"/>
          <w:tab w:val="left" w:pos="2835"/>
        </w:tabs>
        <w:ind w:firstLine="2880"/>
      </w:pPr>
      <w:r>
        <w:t>Explicó Domínguez que en el ejerc</w:t>
      </w:r>
      <w:r>
        <w:t>i</w:t>
      </w:r>
      <w:r>
        <w:t>cio de su cargo se entrevistó en numerosas ocasiones con el juez federal Dr. Galeano, como también con el comisario Luis Ernesto Vicat, quien le fue presentado por el Dr. De Lazzari “como la persona que iba a ree</w:t>
      </w:r>
      <w:r>
        <w:t>m</w:t>
      </w:r>
      <w:r>
        <w:t>plazar al entonces encargado de la investigación, comisario inspector Vacc</w:t>
      </w:r>
      <w:r>
        <w:t>a</w:t>
      </w:r>
      <w:r>
        <w:t>rezza”.</w:t>
      </w:r>
    </w:p>
    <w:p w:rsidR="00224567" w:rsidRDefault="00224567">
      <w:pPr>
        <w:tabs>
          <w:tab w:val="center" w:pos="0"/>
          <w:tab w:val="left" w:pos="2835"/>
        </w:tabs>
        <w:ind w:firstLine="2880"/>
      </w:pPr>
      <w:r>
        <w:t>Precisó que Vicat conformó un equipo de investigación con personal policial que seleccionó, desarrollando actividades inherentes a la causa “A.M.I.A.”. En esa tarea, cumplimentó las directivas del juzgado federal.</w:t>
      </w:r>
    </w:p>
    <w:p w:rsidR="00224567" w:rsidRDefault="00224567">
      <w:pPr>
        <w:tabs>
          <w:tab w:val="center" w:pos="0"/>
          <w:tab w:val="left" w:pos="2835"/>
        </w:tabs>
        <w:ind w:firstLine="2880"/>
      </w:pPr>
      <w:r>
        <w:t>Previo a participar en la función p</w:t>
      </w:r>
      <w:r>
        <w:t>ú</w:t>
      </w:r>
      <w:r>
        <w:t xml:space="preserve">blica, dijo Domínguez, fue codefensor, durante pocos días, de Juan Bautista Huici. En cumplimiento de esa tarea lo entrevistó en </w:t>
      </w:r>
      <w:smartTag w:uri="urn:schemas-microsoft-com:office:smarttags" w:element="PersonName">
        <w:smartTagPr>
          <w:attr w:name="ProductID" w:val="la Guardia"/>
        </w:smartTagPr>
        <w:r>
          <w:t>la Guardia</w:t>
        </w:r>
      </w:smartTag>
      <w:r>
        <w:t xml:space="preserve"> de Infantería de la jefatura de </w:t>
      </w:r>
      <w:smartTag w:uri="urn:schemas-microsoft-com:office:smarttags" w:element="PersonName">
        <w:smartTagPr>
          <w:attr w:name="ProductID" w:val="la Polic￭a Federal"/>
        </w:smartTagPr>
        <w:r>
          <w:t>la Policía Federal</w:t>
        </w:r>
      </w:smartTag>
      <w:r>
        <w:t>, junto con el Dr. Claudio Lupiano, ab</w:t>
      </w:r>
      <w:r>
        <w:t>o</w:t>
      </w:r>
      <w:r>
        <w:t>gado interno de su estudio. Que hasta ese momento el Dr. Morán había ejercido la defensa de Huici.</w:t>
      </w:r>
    </w:p>
    <w:p w:rsidR="00224567" w:rsidRDefault="00224567">
      <w:pPr>
        <w:tabs>
          <w:tab w:val="center" w:pos="0"/>
          <w:tab w:val="left" w:pos="2835"/>
        </w:tabs>
        <w:ind w:firstLine="2880"/>
      </w:pPr>
      <w:r>
        <w:t>Relató que debido al lugar donde des</w:t>
      </w:r>
      <w:r>
        <w:t>a</w:t>
      </w:r>
      <w:r>
        <w:t>rrollaba sus actividades y a que el “código federal” pe</w:t>
      </w:r>
      <w:r>
        <w:t>r</w:t>
      </w:r>
      <w:r>
        <w:t>mite la cantidad de hasta dos defensores”, co</w:t>
      </w:r>
      <w:r>
        <w:t>n</w:t>
      </w:r>
      <w:r>
        <w:t>tinuaron los Dres. Morán y Lupiano.</w:t>
      </w:r>
    </w:p>
    <w:p w:rsidR="00224567" w:rsidRDefault="00224567">
      <w:pPr>
        <w:tabs>
          <w:tab w:val="center" w:pos="0"/>
          <w:tab w:val="left" w:pos="2835"/>
        </w:tabs>
        <w:ind w:firstLine="2880"/>
      </w:pPr>
      <w:r>
        <w:t>En 1997, principios de 1998, refirió que Huici pidió que lo entrevistara, habiéndolo hecho en varias oportunidades. Detalló que el nombrado quería saber como se mejoraría su situación procesal y que p</w:t>
      </w:r>
      <w:r>
        <w:t>o</w:t>
      </w:r>
      <w:r>
        <w:t>día hacer al respecto, contestándole “que en caso de colaboración efectiva ello técnicamente tendría i</w:t>
      </w:r>
      <w:r>
        <w:t>n</w:t>
      </w:r>
      <w:r>
        <w:t>fluencia, a través de los arts. 40 y 41 del C.P. en la pena a dictarse; ello sin perjuicio de lo dispuesto por medio de los decretos del Poder Ejecutivo Nacional y una eventual aplicación de r</w:t>
      </w:r>
      <w:r>
        <w:t>e</w:t>
      </w:r>
      <w:r>
        <w:t>glas de oportunidad a la causa” (sic).</w:t>
      </w:r>
    </w:p>
    <w:p w:rsidR="00224567" w:rsidRDefault="00224567">
      <w:pPr>
        <w:tabs>
          <w:tab w:val="center" w:pos="0"/>
          <w:tab w:val="left" w:pos="2835"/>
        </w:tabs>
        <w:ind w:firstLine="2880"/>
      </w:pPr>
      <w:r>
        <w:t xml:space="preserve">Acotó que se comunicó con Vicat, quien manifestó interés por entrevistar a Huici </w:t>
      </w:r>
      <w:r>
        <w:rPr>
          <w:b/>
        </w:rPr>
        <w:t>“</w:t>
      </w:r>
      <w:r>
        <w:t>para ver si p</w:t>
      </w:r>
      <w:r>
        <w:t>o</w:t>
      </w:r>
      <w:r>
        <w:t>día brindar algún elemento que permitiera avanzar en la investigación de la causa y que aún no hubiera brindado”. Seguidamente el Dr. Domínguez expresó: “El suscripto los presentó, no habiendo estado presente de las reuniones. Dejo constancia que algunas reuniones las tuve solo, otras con Vicat y una con V</w:t>
      </w:r>
      <w:r>
        <w:t>i</w:t>
      </w:r>
      <w:r>
        <w:t>cat y Lupiano” (sic).</w:t>
      </w:r>
    </w:p>
    <w:p w:rsidR="00224567" w:rsidRDefault="00224567">
      <w:pPr>
        <w:tabs>
          <w:tab w:val="center" w:pos="0"/>
          <w:tab w:val="left" w:pos="2835"/>
        </w:tabs>
        <w:ind w:firstLine="2880"/>
      </w:pPr>
      <w:r>
        <w:t>Sostuvo que tanto De Lazzarí como él, se reunían con el comisario general Vitelli para tratar diversas causas, no solo la de A.M.I.A.. No obstante, “c</w:t>
      </w:r>
      <w:r>
        <w:t>a</w:t>
      </w:r>
      <w:r>
        <w:t>recía de facultades ejecutivas sobre la toma de decisi</w:t>
      </w:r>
      <w:r>
        <w:t>o</w:t>
      </w:r>
      <w:r>
        <w:t>nes”, dado que su “cargo era el de asesor de gabinete, lo que que quita toda injerencia en la expedición de órd</w:t>
      </w:r>
      <w:r>
        <w:t>e</w:t>
      </w:r>
      <w:r>
        <w:t>nes”.</w:t>
      </w:r>
    </w:p>
    <w:p w:rsidR="00224567" w:rsidRDefault="00224567">
      <w:pPr>
        <w:tabs>
          <w:tab w:val="center" w:pos="0"/>
          <w:tab w:val="left" w:pos="2835"/>
        </w:tabs>
        <w:ind w:firstLine="2880"/>
      </w:pPr>
      <w:r>
        <w:t xml:space="preserve">El Dr. </w:t>
      </w:r>
      <w:r>
        <w:rPr>
          <w:bCs/>
        </w:rPr>
        <w:t>Marcelo Eduardo García,</w:t>
      </w:r>
      <w:r>
        <w:rPr>
          <w:b/>
        </w:rPr>
        <w:t xml:space="preserve"> </w:t>
      </w:r>
      <w:r>
        <w:t>quien se desempeñó como abogado defensor del procesado Ba</w:t>
      </w:r>
      <w:r>
        <w:t>u</w:t>
      </w:r>
      <w:r>
        <w:t xml:space="preserve">tista Alberto Huici, sostuvo en oportunidad de declarar en el debate, que radicó una denuncia en </w:t>
      </w:r>
      <w:smartTag w:uri="urn:schemas-microsoft-com:office:smarttags" w:element="PersonName">
        <w:smartTagPr>
          <w:attr w:name="ProductID" w:val="la Comisar￭a"/>
        </w:smartTagPr>
        <w:r>
          <w:t>la Comisaría</w:t>
        </w:r>
      </w:smartTag>
      <w:r>
        <w:t xml:space="preserve"> 6ta., d</w:t>
      </w:r>
      <w:r>
        <w:t>e</w:t>
      </w:r>
      <w:r>
        <w:t>bido a que su asistido le comentó que había r</w:t>
      </w:r>
      <w:r>
        <w:t>e</w:t>
      </w:r>
      <w:r>
        <w:t>cibido en su lugar de detención un sobre con fotos de sus hijos, con una amenaza relacionada con su comportamiento en la</w:t>
      </w:r>
      <w:r>
        <w:rPr>
          <w:b/>
        </w:rPr>
        <w:t xml:space="preserve"> </w:t>
      </w:r>
      <w:r>
        <w:t>ca</w:t>
      </w:r>
      <w:r>
        <w:t>u</w:t>
      </w:r>
      <w:r>
        <w:t>sa, como que le habían ofrecido algo y no lo aceptó, que el sobre había sido despachado desde el Correo Central y que podía provenir de gente que él había conocido antes, de un jefe de Seguridad de la provincia o de Vicat.</w:t>
      </w:r>
    </w:p>
    <w:p w:rsidR="00224567" w:rsidRDefault="00224567">
      <w:pPr>
        <w:tabs>
          <w:tab w:val="center" w:pos="0"/>
          <w:tab w:val="left" w:pos="2835"/>
        </w:tabs>
        <w:ind w:firstLine="2880"/>
      </w:pPr>
      <w:r>
        <w:t>Huici, aseveró el Dr. García, basó su presunción en que, mientras fue asistido por el Dr. Morán, fue llamado a ampliar su indagatoria junto con el comis</w:t>
      </w:r>
      <w:r>
        <w:t>a</w:t>
      </w:r>
      <w:r>
        <w:t>rio Burguete, pese a que no lo había pedido. Le comentó que en la oportunidad, creía que la defens</w:t>
      </w:r>
      <w:r>
        <w:t>o</w:t>
      </w:r>
      <w:r>
        <w:t>ra de Burguete, le ofreció, a cambio de su libertad,  que tenía que decl</w:t>
      </w:r>
      <w:r>
        <w:t>a</w:t>
      </w:r>
      <w:r>
        <w:t xml:space="preserve">rar que había visto una camioneta Trafic blanca en </w:t>
      </w:r>
      <w:smartTag w:uri="urn:schemas-microsoft-com:office:smarttags" w:element="PersonName">
        <w:smartTagPr>
          <w:attr w:name="ProductID" w:val="la Brigada"/>
        </w:smartTagPr>
        <w:r>
          <w:t>la Br</w:t>
        </w:r>
        <w:r>
          <w:t>i</w:t>
        </w:r>
        <w:r>
          <w:t>gada</w:t>
        </w:r>
      </w:smartTag>
      <w:r>
        <w:t xml:space="preserve"> de Lanús.</w:t>
      </w:r>
    </w:p>
    <w:p w:rsidR="00224567" w:rsidRDefault="00224567">
      <w:pPr>
        <w:tabs>
          <w:tab w:val="center" w:pos="0"/>
          <w:tab w:val="left" w:pos="2835"/>
        </w:tabs>
        <w:ind w:firstLine="2880"/>
      </w:pPr>
      <w:r>
        <w:t>Agregó que la letrada le indicó que el juez estaba en conocimiento de la propuesta. Que ante la negativa de Huici le dijeron “vas a ver las consecue</w:t>
      </w:r>
      <w:r>
        <w:t>n</w:t>
      </w:r>
      <w:r>
        <w:t>cias”.</w:t>
      </w:r>
    </w:p>
    <w:p w:rsidR="00224567" w:rsidRDefault="00224567">
      <w:pPr>
        <w:tabs>
          <w:tab w:val="center" w:pos="0"/>
          <w:tab w:val="left" w:pos="2835"/>
        </w:tabs>
        <w:ind w:firstLine="2880"/>
      </w:pPr>
      <w:r>
        <w:t>Poco tiempo después, comentó el letr</w:t>
      </w:r>
      <w:r>
        <w:t>a</w:t>
      </w:r>
      <w:r>
        <w:t xml:space="preserve">do, el comisario Burguete, que era el jefe de </w:t>
      </w:r>
      <w:smartTag w:uri="urn:schemas-microsoft-com:office:smarttags" w:element="PersonName">
        <w:smartTagPr>
          <w:attr w:name="ProductID" w:val="la Brigada"/>
        </w:smartTagPr>
        <w:r>
          <w:t>la Brigada</w:t>
        </w:r>
      </w:smartTag>
      <w:r>
        <w:t xml:space="preserve"> de Lanús, recuperó su libertad.</w:t>
      </w:r>
    </w:p>
    <w:p w:rsidR="00224567" w:rsidRDefault="00224567">
      <w:pPr>
        <w:tabs>
          <w:tab w:val="center" w:pos="0"/>
          <w:tab w:val="left" w:pos="2835"/>
        </w:tabs>
        <w:ind w:firstLine="2880"/>
      </w:pPr>
      <w:r>
        <w:t>Añadió el Dr. García que al Dr. M</w:t>
      </w:r>
      <w:r>
        <w:t>o</w:t>
      </w:r>
      <w:r>
        <w:t>rán lo sucedió el Dr. Domínguez en la defensa de Huici y que éste le comentó que había tenidos varias reuni</w:t>
      </w:r>
      <w:r>
        <w:t>o</w:t>
      </w:r>
      <w:r>
        <w:t xml:space="preserve">nes con el Dr. Domínguez y con el comisario Vicat, integrante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o de </w:t>
      </w:r>
      <w:smartTag w:uri="urn:schemas-microsoft-com:office:smarttags" w:element="PersonName">
        <w:smartTagPr>
          <w:attr w:name="ProductID" w:val="la Secretar￭a"/>
        </w:smartTagPr>
        <w:r>
          <w:t>la Secretaría</w:t>
        </w:r>
      </w:smartTag>
      <w:r>
        <w:t xml:space="preserve"> de Seguridad de esa provincia.</w:t>
      </w:r>
    </w:p>
    <w:p w:rsidR="00224567" w:rsidRDefault="00224567">
      <w:pPr>
        <w:tabs>
          <w:tab w:val="center" w:pos="0"/>
          <w:tab w:val="left" w:pos="2835"/>
        </w:tabs>
        <w:ind w:firstLine="2880"/>
      </w:pPr>
      <w:r>
        <w:t xml:space="preserve">Aclaró que éstos, según comentaban con conocimiento del juez, le llevaron a Huici tres o cuatro declaraciones, para que cambie la suya, hasta que en un momento dado se cortó la negociación; por eso su asistido presumía que la amenaza podía venir de ese lado, de Vicat y Domínguez. </w:t>
      </w:r>
    </w:p>
    <w:p w:rsidR="00224567" w:rsidRDefault="00224567">
      <w:pPr>
        <w:tabs>
          <w:tab w:val="center" w:pos="0"/>
          <w:tab w:val="left" w:pos="2835"/>
        </w:tabs>
        <w:ind w:firstLine="2880"/>
      </w:pPr>
      <w:r>
        <w:t>Recalcó el Dr. García que las reuni</w:t>
      </w:r>
      <w:r>
        <w:t>o</w:t>
      </w:r>
      <w:r>
        <w:t xml:space="preserve">nes que mantuvo Huici tendían a que involucrara a </w:t>
      </w:r>
      <w:smartTag w:uri="urn:schemas-microsoft-com:office:smarttags" w:element="PersonName">
        <w:smartTagPr>
          <w:attr w:name="ProductID" w:val="la Brigada"/>
        </w:smartTagPr>
        <w:r>
          <w:t>la Br</w:t>
        </w:r>
        <w:r>
          <w:t>i</w:t>
        </w:r>
        <w:r>
          <w:t>gada</w:t>
        </w:r>
      </w:smartTag>
      <w:r>
        <w:t xml:space="preserve"> de Lanús, a que mencione </w:t>
      </w:r>
      <w:smartTag w:uri="urn:schemas-microsoft-com:office:smarttags" w:element="PersonName">
        <w:smartTagPr>
          <w:attr w:name="ProductID" w:val="la Trafic"/>
        </w:smartTagPr>
        <w:r>
          <w:t>la Trafic</w:t>
        </w:r>
      </w:smartTag>
      <w:r>
        <w:t xml:space="preserve"> y a  responsabil</w:t>
      </w:r>
      <w:r>
        <w:t>i</w:t>
      </w:r>
      <w:r>
        <w:t>zar al c</w:t>
      </w:r>
      <w:r>
        <w:t>o</w:t>
      </w:r>
      <w:r>
        <w:t>misario Ribelli.</w:t>
      </w:r>
    </w:p>
    <w:p w:rsidR="00224567" w:rsidRDefault="00224567">
      <w:pPr>
        <w:pStyle w:val="Ttulo4"/>
        <w:spacing w:line="600" w:lineRule="auto"/>
      </w:pPr>
      <w:r>
        <w:tab/>
        <w:t>O.4) Injerencia política en el trám</w:t>
      </w:r>
      <w:r>
        <w:t>i</w:t>
      </w:r>
      <w:r>
        <w:t>te del sumario admini</w:t>
      </w:r>
      <w:r>
        <w:t>s</w:t>
      </w:r>
      <w:r>
        <w:t>trativo.</w:t>
      </w:r>
    </w:p>
    <w:p w:rsidR="00224567" w:rsidRDefault="00224567">
      <w:pPr>
        <w:tabs>
          <w:tab w:val="center" w:pos="0"/>
          <w:tab w:val="left" w:pos="2835"/>
        </w:tabs>
        <w:ind w:firstLine="2880"/>
      </w:pPr>
      <w:r>
        <w:t>De cuanto se ha expuesto en este apa</w:t>
      </w:r>
      <w:r>
        <w:t>r</w:t>
      </w:r>
      <w:r>
        <w:t>tado, surge claro que el ex Subsecretario de Seg</w:t>
      </w:r>
      <w:r>
        <w:t>u</w:t>
      </w:r>
      <w:r>
        <w:t xml:space="preserve">ridad de </w:t>
      </w:r>
      <w:smartTag w:uri="urn:schemas-microsoft-com:office:smarttags" w:element="PersonName">
        <w:smartTagPr>
          <w:attr w:name="ProductID" w:val="la Provincia"/>
        </w:smartTagPr>
        <w:r>
          <w:t>la Provincia</w:t>
        </w:r>
      </w:smartTag>
      <w:r>
        <w:t xml:space="preserve"> de Buenos Aires, Dr. Federico Domínguez, pa</w:t>
      </w:r>
      <w:r>
        <w:t>r</w:t>
      </w:r>
      <w:r>
        <w:t>ticipó en las decisiones políticas que se tomaron respecto de los policías sumariados, las que favorecieron a uno, en tanto a otros se los sancionó gravemente pese a encontra</w:t>
      </w:r>
      <w:r>
        <w:t>r</w:t>
      </w:r>
      <w:r>
        <w:t>se en idéntica situación.</w:t>
      </w:r>
    </w:p>
    <w:p w:rsidR="00224567" w:rsidRDefault="00224567">
      <w:pPr>
        <w:tabs>
          <w:tab w:val="center" w:pos="0"/>
          <w:tab w:val="left" w:pos="2835"/>
        </w:tabs>
        <w:ind w:firstLine="2880"/>
      </w:pPr>
      <w:r>
        <w:t xml:space="preserve">Sobre el particular fueron por demás contundentes los dichos del ex jefe de </w:t>
      </w:r>
      <w:smartTag w:uri="urn:schemas-microsoft-com:office:smarttags" w:element="PersonName">
        <w:smartTagPr>
          <w:attr w:name="ProductID" w:val="la Polic￭a Bonaerense"/>
        </w:smartTagPr>
        <w:r>
          <w:t>la Policía Bona</w:t>
        </w:r>
        <w:r>
          <w:t>e</w:t>
        </w:r>
        <w:r>
          <w:t>rense</w:t>
        </w:r>
      </w:smartTag>
      <w:r>
        <w:t>, comisario general Adolfo Vitelli y del comisario mayor José Carlos Breschneider.</w:t>
      </w:r>
    </w:p>
    <w:p w:rsidR="00224567" w:rsidRDefault="00224567">
      <w:pPr>
        <w:tabs>
          <w:tab w:val="center" w:pos="0"/>
          <w:tab w:val="left" w:pos="2835"/>
        </w:tabs>
        <w:ind w:firstLine="2880"/>
      </w:pPr>
      <w:r>
        <w:t>Mas la indebida injerencia del Dr. F</w:t>
      </w:r>
      <w:r>
        <w:t>e</w:t>
      </w:r>
      <w:r>
        <w:t>derico Domínguez no cesó ahí, sino que, además, como d</w:t>
      </w:r>
      <w:r>
        <w:t>e</w:t>
      </w:r>
      <w:r>
        <w:t>fensor de Huici, le presentó al comisario Vicat; éste a su vez, junto con Domínguez y su otro letrado -Lupiano- pr</w:t>
      </w:r>
      <w:r>
        <w:t>e</w:t>
      </w:r>
      <w:r>
        <w:t>sionaron a Huici para que declarase en determinado sent</w:t>
      </w:r>
      <w:r>
        <w:t>i</w:t>
      </w:r>
      <w:r>
        <w:t>do, indicándole que Burguete lo había hecho y se encontr</w:t>
      </w:r>
      <w:r>
        <w:t>a</w:t>
      </w:r>
      <w:r>
        <w:t>ba en libertad.</w:t>
      </w:r>
    </w:p>
    <w:p w:rsidR="00224567" w:rsidRDefault="00224567">
      <w:pPr>
        <w:tabs>
          <w:tab w:val="center" w:pos="0"/>
          <w:tab w:val="left" w:pos="2835"/>
        </w:tabs>
        <w:ind w:firstLine="2880"/>
      </w:pPr>
      <w:r>
        <w:t>La prueba colectada autoriza a sost</w:t>
      </w:r>
      <w:r>
        <w:t>e</w:t>
      </w:r>
      <w:r>
        <w:t>ner que medió una verdadera connivencia entre Domínguez, Vicat y Lupiano, tendiente a que Huici declarase en el sentido que más favorecía a sus espurios inter</w:t>
      </w:r>
      <w:r>
        <w:t>e</w:t>
      </w:r>
      <w:r>
        <w:t>ses, que en defin</w:t>
      </w:r>
      <w:r>
        <w:t>i</w:t>
      </w:r>
      <w:r>
        <w:t>tiva tendían a incriminar a otro de los imputados en el hecho. En otras palabras, medió, cuando menos, un qu</w:t>
      </w:r>
      <w:r>
        <w:t>e</w:t>
      </w:r>
      <w:r>
        <w:t>brantamiento del deber de lealtad por parte de los Dres. Domínguez y Lupiano hacía quien les había confiado su d</w:t>
      </w:r>
      <w:r>
        <w:t>e</w:t>
      </w:r>
      <w:r>
        <w:t xml:space="preserve">fensa. </w:t>
      </w:r>
    </w:p>
    <w:p w:rsidR="00224567" w:rsidRDefault="00224567">
      <w:pPr>
        <w:tabs>
          <w:tab w:val="center" w:pos="0"/>
          <w:tab w:val="left" w:pos="2835"/>
        </w:tabs>
        <w:ind w:firstLine="2880"/>
      </w:pPr>
      <w:r>
        <w:t>Respecto de Burguete, ningún funcion</w:t>
      </w:r>
      <w:r>
        <w:t>a</w:t>
      </w:r>
      <w:r>
        <w:t xml:space="preserve">rio de </w:t>
      </w:r>
      <w:smartTag w:uri="urn:schemas-microsoft-com:office:smarttags" w:element="PersonName">
        <w:smartTagPr>
          <w:attr w:name="ProductID" w:val="la Polic￭a Bonaerense"/>
        </w:smartTagPr>
        <w:r>
          <w:t>la Policía Bonaerense</w:t>
        </w:r>
      </w:smartTag>
      <w:r>
        <w:t xml:space="preserve"> pudo explicar las raz</w:t>
      </w:r>
      <w:r>
        <w:t>o</w:t>
      </w:r>
      <w:r>
        <w:t>nes por las cuales se encontraba en actividad pese a las graves imputaciones en su contra. El testimonio de Vitelli perm</w:t>
      </w:r>
      <w:r>
        <w:t>i</w:t>
      </w:r>
      <w:r>
        <w:t>tió despejar esa incógnita, al sostener que había sido cons</w:t>
      </w:r>
      <w:r>
        <w:t>e</w:t>
      </w:r>
      <w:r>
        <w:t>cuencia de una instrucción expresa del Secretario de Seg</w:t>
      </w:r>
      <w:r>
        <w:t>u</w:t>
      </w:r>
      <w:r>
        <w:t>ridad, Dr. De Lazzari y del Dr. Domínguez.</w:t>
      </w:r>
    </w:p>
    <w:p w:rsidR="00224567" w:rsidRDefault="00224567">
      <w:pPr>
        <w:tabs>
          <w:tab w:val="center" w:pos="0"/>
          <w:tab w:val="left" w:pos="2835"/>
        </w:tabs>
        <w:ind w:firstLine="2880"/>
      </w:pPr>
      <w:r>
        <w:t>Como puede apreciarse la figura del Dr. Federico Guillermo José Domínguez sobrevoló las dec</w:t>
      </w:r>
      <w:r>
        <w:t>i</w:t>
      </w:r>
      <w:r>
        <w:t>siones de las autoridades provinciales respecto de los efectivos policiales involucrados, a la vez que propició, desde la función pública, declaraciones de imputados en desmedro de otros, para lo cual invocó supuestos benef</w:t>
      </w:r>
      <w:r>
        <w:t>i</w:t>
      </w:r>
      <w:r>
        <w:t>cios y benef</w:t>
      </w:r>
      <w:r>
        <w:t>i</w:t>
      </w:r>
      <w:r>
        <w:t>ciados.</w:t>
      </w:r>
    </w:p>
    <w:p w:rsidR="00224567" w:rsidRDefault="00224567">
      <w:pPr>
        <w:tabs>
          <w:tab w:val="center" w:pos="0"/>
          <w:tab w:val="left" w:pos="2835"/>
        </w:tabs>
        <w:ind w:firstLine="2880"/>
      </w:pPr>
      <w:r>
        <w:t>No menos grave es que desde dicho l</w:t>
      </w:r>
      <w:r>
        <w:t>u</w:t>
      </w:r>
      <w:r>
        <w:t>gar haya tenido injerencia en el armado de temas que a</w:t>
      </w:r>
      <w:r>
        <w:t>l</w:t>
      </w:r>
      <w:r>
        <w:t>canzaban a quien, hasta poco tiempo antes, había sido su defendido.</w:t>
      </w:r>
    </w:p>
    <w:p w:rsidR="00224567" w:rsidRDefault="00224567">
      <w:pPr>
        <w:tabs>
          <w:tab w:val="center" w:pos="0"/>
          <w:tab w:val="left" w:pos="2835"/>
        </w:tabs>
        <w:ind w:firstLine="2880"/>
      </w:pPr>
      <w:r>
        <w:t>Resulta evidente, entonces, que de</w:t>
      </w:r>
      <w:r>
        <w:t>s</w:t>
      </w:r>
      <w:r>
        <w:t xml:space="preserve">de </w:t>
      </w:r>
      <w:smartTag w:uri="urn:schemas-microsoft-com:office:smarttags" w:element="PersonName">
        <w:smartTagPr>
          <w:attr w:name="ProductID" w:val="la Secretar￭a"/>
        </w:smartTagPr>
        <w:r>
          <w:t>la Secretaría</w:t>
        </w:r>
      </w:smartTag>
      <w:r>
        <w:t xml:space="preserve"> de Seguridad de </w:t>
      </w:r>
      <w:smartTag w:uri="urn:schemas-microsoft-com:office:smarttags" w:element="PersonName">
        <w:smartTagPr>
          <w:attr w:name="ProductID" w:val="la Provincia"/>
        </w:smartTagPr>
        <w:r>
          <w:t>la Provincia</w:t>
        </w:r>
      </w:smartTag>
      <w:r>
        <w:t xml:space="preserve"> de Buenos A</w:t>
      </w:r>
      <w:r>
        <w:t>i</w:t>
      </w:r>
      <w:r>
        <w:t>res, el Dr. Domínguez ajustó su intervención en la causa “A.M.I.A.” en sintonía con la desviada dirección asumida en el proceso por el juez federal Juan José G</w:t>
      </w:r>
      <w:r>
        <w:t>a</w:t>
      </w:r>
      <w:r>
        <w:t xml:space="preserve">leano. </w:t>
      </w:r>
    </w:p>
    <w:p w:rsidR="00224567" w:rsidRDefault="00224567">
      <w:pPr>
        <w:widowControl w:val="0"/>
        <w:tabs>
          <w:tab w:val="left" w:pos="2835"/>
        </w:tabs>
      </w:pPr>
    </w:p>
    <w:p w:rsidR="00224567" w:rsidRDefault="00224567">
      <w:pPr>
        <w:pStyle w:val="Ttulo3"/>
        <w:keepNext w:val="0"/>
        <w:widowControl w:val="0"/>
      </w:pPr>
      <w:r>
        <w:t>P) Actividad indebida de las querellas D.A.I.A. y A.M.I.A. autorizada por el juez.</w:t>
      </w:r>
    </w:p>
    <w:p w:rsidR="00224567" w:rsidRDefault="00224567">
      <w:pPr>
        <w:pStyle w:val="Encabezado"/>
        <w:widowControl w:val="0"/>
        <w:tabs>
          <w:tab w:val="center" w:pos="0"/>
          <w:tab w:val="left" w:pos="2835"/>
        </w:tabs>
        <w:ind w:firstLine="2880"/>
      </w:pPr>
      <w:r>
        <w:rPr>
          <w:b/>
          <w:bCs/>
        </w:rPr>
        <w:t>P.1)</w:t>
      </w:r>
      <w:r>
        <w:t xml:space="preserve"> El desbordado espíritu inquisit</w:t>
      </w:r>
      <w:r>
        <w:t>i</w:t>
      </w:r>
      <w:r>
        <w:t>vo del magistrado instructor llegó al extremo de di</w:t>
      </w:r>
      <w:r>
        <w:t>s</w:t>
      </w:r>
      <w:r>
        <w:t>poner la grabación, en complicidad con dos de los l</w:t>
      </w:r>
      <w:r>
        <w:t>e</w:t>
      </w:r>
      <w:r>
        <w:t xml:space="preserve">trados de </w:t>
      </w:r>
      <w:smartTag w:uri="urn:schemas-microsoft-com:office:smarttags" w:element="PersonName">
        <w:smartTagPr>
          <w:attr w:name="ProductID" w:val="la D.A"/>
        </w:smartTagPr>
        <w:r>
          <w:t>la D.A</w:t>
        </w:r>
      </w:smartTag>
      <w:r>
        <w:t>.I.A, de la conversación que el abogado defensor del imputado Bautista Alberto Huici mantuvo con los represe</w:t>
      </w:r>
      <w:r>
        <w:t>n</w:t>
      </w:r>
      <w:r>
        <w:t>tantes de la mencionada parte acusadora; también la entr</w:t>
      </w:r>
      <w:r>
        <w:t>e</w:t>
      </w:r>
      <w:r>
        <w:t>vista que éstos últimos mantuvieran con Huici en depende</w:t>
      </w:r>
      <w:r>
        <w:t>n</w:t>
      </w:r>
      <w:r>
        <w:t>cias p</w:t>
      </w:r>
      <w:r>
        <w:t>o</w:t>
      </w:r>
      <w:r>
        <w:t>liciales.</w:t>
      </w:r>
    </w:p>
    <w:p w:rsidR="00224567" w:rsidRDefault="00224567">
      <w:pPr>
        <w:widowControl w:val="0"/>
        <w:tabs>
          <w:tab w:val="center" w:pos="0"/>
          <w:tab w:val="left" w:pos="2835"/>
        </w:tabs>
        <w:ind w:firstLine="2880"/>
      </w:pPr>
      <w:r>
        <w:t>Corre agregado por cuerda, sin acum</w:t>
      </w:r>
      <w:r>
        <w:t>u</w:t>
      </w:r>
      <w:r>
        <w:t>lar, el legajo nº 308, bajo el rótulo “Relativo a inform</w:t>
      </w:r>
      <w:r>
        <w:t>a</w:t>
      </w:r>
      <w:r>
        <w:t>ción proporcionada por el Dr. Rogelio Cichowolski”, cuya primer actuación es el acta labrada el 18 de octubre de 1999 (fs. 1) por el comisario Jorge Alberto Palacios, a cargo del Departamento Unidad de Investigación Antiterr</w:t>
      </w:r>
      <w:r>
        <w:t>o</w:t>
      </w:r>
      <w:r>
        <w:t xml:space="preserve">rista de </w:t>
      </w:r>
      <w:smartTag w:uri="urn:schemas-microsoft-com:office:smarttags" w:element="PersonName">
        <w:smartTagPr>
          <w:attr w:name="ProductID" w:val="la Polic￭a Federal."/>
        </w:smartTagPr>
        <w:r>
          <w:t>la Policía Federal.</w:t>
        </w:r>
      </w:smartTag>
    </w:p>
    <w:p w:rsidR="00224567" w:rsidRDefault="00224567">
      <w:pPr>
        <w:widowControl w:val="0"/>
        <w:tabs>
          <w:tab w:val="center" w:pos="0"/>
          <w:tab w:val="left" w:pos="2835"/>
        </w:tabs>
        <w:ind w:firstLine="2880"/>
      </w:pPr>
      <w:r>
        <w:t>Allí, se dejó constancia de la comp</w:t>
      </w:r>
      <w:r>
        <w:t>a</w:t>
      </w:r>
      <w:r>
        <w:t xml:space="preserve">recencia del Dr. Cichowolski, quien hizo saber que recibió un llamado telefónico en las oficinas de </w:t>
      </w:r>
      <w:smartTag w:uri="urn:schemas-microsoft-com:office:smarttags" w:element="PersonName">
        <w:smartTagPr>
          <w:attr w:name="ProductID" w:val="la D.A"/>
        </w:smartTagPr>
        <w:r>
          <w:t>la D.A</w:t>
        </w:r>
      </w:smartTag>
      <w:r>
        <w:t>.I.A., del Sr. Jorge Zarriello, solicitándole “una entrevista a re</w:t>
      </w:r>
      <w:r>
        <w:t>a</w:t>
      </w:r>
      <w:r>
        <w:t xml:space="preserve">lizarse en las oficinas de </w:t>
      </w:r>
      <w:smartTag w:uri="urn:schemas-microsoft-com:office:smarttags" w:element="PersonName">
        <w:smartTagPr>
          <w:attr w:name="ProductID" w:val="la Av. Entre"/>
        </w:smartTagPr>
        <w:r>
          <w:t>la Av. Entre</w:t>
        </w:r>
      </w:smartTag>
      <w:r>
        <w:t xml:space="preserve"> Ríos nº 149 6to. M 2do. cuerpo de esta Capital..., en virtud de que el abog</w:t>
      </w:r>
      <w:r>
        <w:t>a</w:t>
      </w:r>
      <w:r>
        <w:t>do del detenido Bautista Alberto Huici, actualmente det</w:t>
      </w:r>
      <w:r>
        <w:t>e</w:t>
      </w:r>
      <w:r>
        <w:t xml:space="preserve">nido en dependencias de </w:t>
      </w:r>
      <w:smartTag w:uri="urn:schemas-microsoft-com:office:smarttags" w:element="PersonName">
        <w:smartTagPr>
          <w:attr w:name="ProductID" w:val="la Polic￭a Federal"/>
        </w:smartTagPr>
        <w:r>
          <w:t>la Policía Federal</w:t>
        </w:r>
      </w:smartTag>
      <w:r>
        <w:t xml:space="preserve"> Argentina, t</w:t>
      </w:r>
      <w:r>
        <w:t>e</w:t>
      </w:r>
      <w:r>
        <w:t>nía información que suministrar relacionado con la causa A.M.I.A., deseaba entrevistarse con él. El abogado del c</w:t>
      </w:r>
      <w:r>
        <w:t>i</w:t>
      </w:r>
      <w:r>
        <w:t>tado Huici es el Dr. Marcelo García”.</w:t>
      </w:r>
    </w:p>
    <w:p w:rsidR="00224567" w:rsidRDefault="00224567">
      <w:pPr>
        <w:widowControl w:val="0"/>
        <w:tabs>
          <w:tab w:val="center" w:pos="0"/>
          <w:tab w:val="left" w:pos="2835"/>
        </w:tabs>
        <w:ind w:firstLine="2880"/>
      </w:pPr>
      <w:r>
        <w:t>Consta también en la referida actu</w:t>
      </w:r>
      <w:r>
        <w:t>a</w:t>
      </w:r>
      <w:r>
        <w:t>ción que el Dr. Cichowolski concurrió a la oficina c</w:t>
      </w:r>
      <w:r>
        <w:t>i</w:t>
      </w:r>
      <w:r>
        <w:t>tada el sábado 9 de octubre, donde fue atendido por los doct</w:t>
      </w:r>
      <w:r>
        <w:t>o</w:t>
      </w:r>
      <w:r>
        <w:t>res Zarrielo y García, expresando el último que su defe</w:t>
      </w:r>
      <w:r>
        <w:t>n</w:t>
      </w:r>
      <w:r>
        <w:t>dido, Huici deseaba suministrar información relacionada con la causa A.M.I.A., requiriendo a cambio de la inform</w:t>
      </w:r>
      <w:r>
        <w:t>a</w:t>
      </w:r>
      <w:r>
        <w:t>ción protección para su esposa e hijos, como así también para su amante y dinero.</w:t>
      </w:r>
    </w:p>
    <w:p w:rsidR="00224567" w:rsidRDefault="00224567">
      <w:pPr>
        <w:widowControl w:val="0"/>
        <w:tabs>
          <w:tab w:val="center" w:pos="0"/>
          <w:tab w:val="left" w:pos="2835"/>
        </w:tabs>
        <w:ind w:firstLine="2880"/>
      </w:pPr>
      <w:r>
        <w:t>Añadió el Dr. Cichowolski que el Dr. García le entregó un papel con los temas que Huici trat</w:t>
      </w:r>
      <w:r>
        <w:t>a</w:t>
      </w:r>
      <w:r>
        <w:t>ría, donde no se hacía referencia a hechos puntuales del caso. Según el compareciente, el Dr. García man</w:t>
      </w:r>
      <w:r>
        <w:t>i</w:t>
      </w:r>
      <w:r>
        <w:t>festó que Huici sólo quería tener una reunión con él o algún alleg</w:t>
      </w:r>
      <w:r>
        <w:t>a</w:t>
      </w:r>
      <w:r>
        <w:t>do suyo, no con la policía o gente del juzgado. En una s</w:t>
      </w:r>
      <w:r>
        <w:t>e</w:t>
      </w:r>
      <w:r>
        <w:t>gunda reunión, añadió, el Dr. García le entregó una minuta con temas del caso A.M.I.A. que tr</w:t>
      </w:r>
      <w:r>
        <w:t>a</w:t>
      </w:r>
      <w:r>
        <w:t>taría con su defendido.</w:t>
      </w:r>
    </w:p>
    <w:p w:rsidR="00224567" w:rsidRDefault="00224567">
      <w:pPr>
        <w:widowControl w:val="0"/>
        <w:tabs>
          <w:tab w:val="center" w:pos="0"/>
          <w:tab w:val="left" w:pos="2835"/>
        </w:tabs>
        <w:ind w:firstLine="2880"/>
      </w:pPr>
      <w:r>
        <w:t>Según expuso Rogelio Cichowolski, el 17 de octubre, el Dr. García le hizo llegar un fax con el ofrecimiento de Huici, donde, además, mencionaba a disti</w:t>
      </w:r>
      <w:r>
        <w:t>n</w:t>
      </w:r>
      <w:r>
        <w:t>tos funcionarios, entre ellos a los doctores Duhalde y R</w:t>
      </w:r>
      <w:r>
        <w:t>u</w:t>
      </w:r>
      <w:r>
        <w:t>ckauf.</w:t>
      </w:r>
    </w:p>
    <w:p w:rsidR="00224567" w:rsidRDefault="00224567">
      <w:pPr>
        <w:widowControl w:val="0"/>
        <w:tabs>
          <w:tab w:val="center" w:pos="0"/>
          <w:tab w:val="left" w:pos="2835"/>
        </w:tabs>
        <w:ind w:firstLine="2880"/>
      </w:pPr>
      <w:r>
        <w:t>Con la información recibida, el com</w:t>
      </w:r>
      <w:r>
        <w:t>i</w:t>
      </w:r>
      <w:r>
        <w:t>sario Jorge Alberto Palacios dispuso iniciar actu</w:t>
      </w:r>
      <w:r>
        <w:t>a</w:t>
      </w:r>
      <w:r>
        <w:t>ciones y dar intervención al juzgado a cargo del Dr. Juan José G</w:t>
      </w:r>
      <w:r>
        <w:t>a</w:t>
      </w:r>
      <w:r>
        <w:t>leano.</w:t>
      </w:r>
    </w:p>
    <w:p w:rsidR="00224567" w:rsidRDefault="00224567">
      <w:pPr>
        <w:widowControl w:val="0"/>
        <w:tabs>
          <w:tab w:val="center" w:pos="0"/>
          <w:tab w:val="left" w:pos="2835"/>
        </w:tabs>
        <w:ind w:firstLine="2880"/>
      </w:pPr>
      <w:r>
        <w:t>A fs. 5 del legajo prestó declar</w:t>
      </w:r>
      <w:r>
        <w:t>a</w:t>
      </w:r>
      <w:r>
        <w:t>ción testimonial Rogelio Cichowolski, donde ratificó el cont</w:t>
      </w:r>
      <w:r>
        <w:t>e</w:t>
      </w:r>
      <w:r>
        <w:t>nido del acta inicial.</w:t>
      </w:r>
    </w:p>
    <w:p w:rsidR="00224567" w:rsidRDefault="00224567">
      <w:pPr>
        <w:widowControl w:val="0"/>
        <w:tabs>
          <w:tab w:val="center" w:pos="0"/>
          <w:tab w:val="left" w:pos="2835"/>
        </w:tabs>
        <w:ind w:firstLine="2880"/>
      </w:pPr>
      <w:r>
        <w:t>A fs. 6, dejó constancia la instru</w:t>
      </w:r>
      <w:r>
        <w:t>c</w:t>
      </w:r>
      <w:r>
        <w:t>ción de que se recibió un llamado del Dr. Roberto Zaide</w:t>
      </w:r>
      <w:r>
        <w:t>m</w:t>
      </w:r>
      <w:r>
        <w:t xml:space="preserve">berg, vicepresidente de </w:t>
      </w:r>
      <w:smartTag w:uri="urn:schemas-microsoft-com:office:smarttags" w:element="PersonName">
        <w:smartTagPr>
          <w:attr w:name="ProductID" w:val="la Delegaci￳n"/>
        </w:smartTagPr>
        <w:r>
          <w:t>la Delegación</w:t>
        </w:r>
      </w:smartTag>
      <w:r>
        <w:t xml:space="preserve"> de Asociaciones I</w:t>
      </w:r>
      <w:r>
        <w:t>s</w:t>
      </w:r>
      <w:r>
        <w:t>raelitas Argentinas (D.A.I.A.), haciendo saber que el Dr. Cichowolski se encontraba internado por r</w:t>
      </w:r>
      <w:r>
        <w:t>a</w:t>
      </w:r>
      <w:r>
        <w:t>zones de salud.</w:t>
      </w:r>
    </w:p>
    <w:p w:rsidR="00224567" w:rsidRDefault="00224567">
      <w:pPr>
        <w:widowControl w:val="0"/>
        <w:tabs>
          <w:tab w:val="center" w:pos="0"/>
          <w:tab w:val="left" w:pos="2835"/>
        </w:tabs>
        <w:ind w:firstLine="2880"/>
      </w:pPr>
      <w:r>
        <w:t>Luce a fs. 7 del legajo la consta</w:t>
      </w:r>
      <w:r>
        <w:t>n</w:t>
      </w:r>
      <w:r>
        <w:t>cia asentada por la instrucción que da cuenta de la compar</w:t>
      </w:r>
      <w:r>
        <w:t>e</w:t>
      </w:r>
      <w:r>
        <w:t xml:space="preserve">cencia de los Dres. Roberto Zaidemberg y Marta Nercellas, abogada de </w:t>
      </w:r>
      <w:smartTag w:uri="urn:schemas-microsoft-com:office:smarttags" w:element="PersonName">
        <w:smartTagPr>
          <w:attr w:name="ProductID" w:val="la D.A"/>
        </w:smartTagPr>
        <w:r>
          <w:t>la D.A</w:t>
        </w:r>
      </w:smartTag>
      <w:r>
        <w:t>.I.A., quienes hicieron saber que en h</w:t>
      </w:r>
      <w:r>
        <w:t>o</w:t>
      </w:r>
      <w:r>
        <w:t>ras de la tarde mantendrían una reunión, en un bar fre</w:t>
      </w:r>
      <w:r>
        <w:t>n</w:t>
      </w:r>
      <w:r>
        <w:t>te a tribunales -Tucumán y Talcahuano- con el Dr. Marcelo García, d</w:t>
      </w:r>
      <w:r>
        <w:t>e</w:t>
      </w:r>
      <w:r>
        <w:t>fensor de Bautista Alberto Huici.</w:t>
      </w:r>
    </w:p>
    <w:p w:rsidR="00224567" w:rsidRDefault="00224567">
      <w:pPr>
        <w:widowControl w:val="0"/>
        <w:tabs>
          <w:tab w:val="center" w:pos="0"/>
          <w:tab w:val="left" w:pos="2835"/>
        </w:tabs>
        <w:ind w:firstLine="2880"/>
      </w:pPr>
      <w:r>
        <w:t xml:space="preserve">Al ser consultado el juez instructor (fs. 8), dispuso se dote a los Dres. Roberto Zaidemberg y Marta Nercellas </w:t>
      </w:r>
      <w:r>
        <w:rPr>
          <w:b/>
        </w:rPr>
        <w:t>“</w:t>
      </w:r>
      <w:r>
        <w:t>de los medios técnicos del caso para r</w:t>
      </w:r>
      <w:r>
        <w:t>e</w:t>
      </w:r>
      <w:r>
        <w:t>gistrar la reunión a realizarse con el abogado Marcelo García, letrado patrocinante del detenido Bautista Alberto Huici</w:t>
      </w:r>
      <w:r>
        <w:rPr>
          <w:b/>
        </w:rPr>
        <w:t>”</w:t>
      </w:r>
      <w:r>
        <w:t>.</w:t>
      </w:r>
    </w:p>
    <w:p w:rsidR="00224567" w:rsidRDefault="00224567">
      <w:pPr>
        <w:widowControl w:val="0"/>
        <w:tabs>
          <w:tab w:val="center" w:pos="0"/>
          <w:tab w:val="left" w:pos="2835"/>
        </w:tabs>
        <w:ind w:firstLine="2880"/>
      </w:pPr>
      <w:r>
        <w:t xml:space="preserve">El principal Marcelo Amilcar de </w:t>
      </w:r>
      <w:smartTag w:uri="urn:schemas-microsoft-com:office:smarttags" w:element="PersonName">
        <w:smartTagPr>
          <w:attr w:name="ProductID" w:val="La Llave"/>
        </w:smartTagPr>
        <w:r>
          <w:t>la Llave</w:t>
        </w:r>
      </w:smartTag>
      <w:r>
        <w:t xml:space="preserve"> prestó declaración a fs. 9 del aludido legajo nº 308, donde sostuvo que luego de dotar de micrófonos inalámbricos a los Dres. Zaidemberg y Nercellas, concurrió con la ay</w:t>
      </w:r>
      <w:r>
        <w:t>u</w:t>
      </w:r>
      <w:r>
        <w:t>dante Nancy A. Acosta al bar donde se realizaría la reunión a fin de monitorear el ruido a</w:t>
      </w:r>
      <w:r>
        <w:t>m</w:t>
      </w:r>
      <w:r>
        <w:t>biente.</w:t>
      </w:r>
    </w:p>
    <w:p w:rsidR="00224567" w:rsidRDefault="00224567">
      <w:pPr>
        <w:widowControl w:val="0"/>
        <w:tabs>
          <w:tab w:val="center" w:pos="0"/>
          <w:tab w:val="left" w:pos="2835"/>
        </w:tabs>
        <w:ind w:firstLine="2880"/>
      </w:pPr>
      <w:r>
        <w:t>Sostuvo que, pese a la intensidad de las interferencias, pudo escuchar “que Huici tenía inte</w:t>
      </w:r>
      <w:r>
        <w:t>n</w:t>
      </w:r>
      <w:r>
        <w:t>ción de reunirse en persona con Zaidemberg y Nerc</w:t>
      </w:r>
      <w:r>
        <w:t>e</w:t>
      </w:r>
      <w:r>
        <w:t>llas, el próximo lunes en horas de la tarde, en el interior del Cuerpo Guardia de Infantería, donde se encuentra aloj</w:t>
      </w:r>
      <w:r>
        <w:t>a</w:t>
      </w:r>
      <w:r>
        <w:t>do...” El testigo hizo entrega a la instrucción de un v</w:t>
      </w:r>
      <w:r>
        <w:t>i</w:t>
      </w:r>
      <w:r>
        <w:t>deo casete TDK-120, con la filmación efectuada desde el ext</w:t>
      </w:r>
      <w:r>
        <w:t>e</w:t>
      </w:r>
      <w:r>
        <w:t>rior y los registros del sonido ambiente.</w:t>
      </w:r>
    </w:p>
    <w:p w:rsidR="00224567" w:rsidRDefault="00224567">
      <w:pPr>
        <w:widowControl w:val="0"/>
        <w:tabs>
          <w:tab w:val="center" w:pos="0"/>
          <w:tab w:val="left" w:pos="2835"/>
        </w:tabs>
        <w:ind w:firstLine="2880"/>
      </w:pPr>
      <w:r>
        <w:t>La ayudante Nancy Angélica Acosta d</w:t>
      </w:r>
      <w:r>
        <w:t>e</w:t>
      </w:r>
      <w:r>
        <w:t>claró a fs. 11, donde coincidió con los dichos del princ</w:t>
      </w:r>
      <w:r>
        <w:t>i</w:t>
      </w:r>
      <w:r>
        <w:t xml:space="preserve">pal De </w:t>
      </w:r>
      <w:smartTag w:uri="urn:schemas-microsoft-com:office:smarttags" w:element="PersonName">
        <w:smartTagPr>
          <w:attr w:name="ProductID" w:val="La Llave"/>
        </w:smartTagPr>
        <w:r>
          <w:t>la Llave</w:t>
        </w:r>
      </w:smartTag>
      <w:r>
        <w:t>, agregando que no pudo registrar el audio de la reunión debido al ruido ambiente.</w:t>
      </w:r>
    </w:p>
    <w:p w:rsidR="00224567" w:rsidRDefault="00224567">
      <w:pPr>
        <w:widowControl w:val="0"/>
        <w:tabs>
          <w:tab w:val="center" w:pos="0"/>
          <w:tab w:val="left" w:pos="2835"/>
        </w:tabs>
        <w:ind w:firstLine="2880"/>
      </w:pPr>
      <w:r>
        <w:t>Consta a fs. 12 del legajo, que ante la información aportada a la instrucción por el Dr. Za</w:t>
      </w:r>
      <w:r>
        <w:t>i</w:t>
      </w:r>
      <w:r>
        <w:t xml:space="preserve">demberg, en el sentido que a las 15, junto con </w:t>
      </w:r>
      <w:smartTag w:uri="urn:schemas-microsoft-com:office:smarttags" w:element="PersonName">
        <w:smartTagPr>
          <w:attr w:name="ProductID" w:val="La Dra. Nercellas"/>
        </w:smartTagPr>
        <w:r>
          <w:t>la Dra. Nercellas</w:t>
        </w:r>
      </w:smartTag>
      <w:r>
        <w:t xml:space="preserve"> y el Dr. García, se reunirían, en su lugar de detención, con Bautista Alberto Huici, el Dr. Galeano di</w:t>
      </w:r>
      <w:r>
        <w:t>s</w:t>
      </w:r>
      <w:r>
        <w:t xml:space="preserve">puso que </w:t>
      </w:r>
      <w:r>
        <w:rPr>
          <w:b/>
        </w:rPr>
        <w:t>“</w:t>
      </w:r>
      <w:r>
        <w:t>nuevamente se dote a los Dres. Zaidemberg y Ne</w:t>
      </w:r>
      <w:r>
        <w:t>r</w:t>
      </w:r>
      <w:r>
        <w:t>cellas de micrófonos inalámbricos, y se utilicen los m</w:t>
      </w:r>
      <w:r>
        <w:t>e</w:t>
      </w:r>
      <w:r>
        <w:t>dios técnicos necesarios para el regi</w:t>
      </w:r>
      <w:r>
        <w:t>s</w:t>
      </w:r>
      <w:r>
        <w:t>tro de la reunión a realizarse en el Cuerpo Guardia de Infantería</w:t>
      </w:r>
      <w:r>
        <w:rPr>
          <w:b/>
        </w:rPr>
        <w:t>”</w:t>
      </w:r>
      <w:r>
        <w:t>.</w:t>
      </w:r>
    </w:p>
    <w:p w:rsidR="00224567" w:rsidRDefault="00224567">
      <w:pPr>
        <w:widowControl w:val="0"/>
        <w:tabs>
          <w:tab w:val="center" w:pos="0"/>
          <w:tab w:val="left" w:pos="2835"/>
        </w:tabs>
        <w:ind w:firstLine="2880"/>
      </w:pPr>
      <w:r>
        <w:t xml:space="preserve">A fs. 13, el principal de </w:t>
      </w:r>
      <w:smartTag w:uri="urn:schemas-microsoft-com:office:smarttags" w:element="PersonName">
        <w:smartTagPr>
          <w:attr w:name="ProductID" w:val="La Llave"/>
        </w:smartTagPr>
        <w:r>
          <w:t>la Llave</w:t>
        </w:r>
      </w:smartTag>
      <w:r>
        <w:t xml:space="preserve"> d</w:t>
      </w:r>
      <w:r>
        <w:t>e</w:t>
      </w:r>
      <w:r>
        <w:t>claró que proveyó del equipo ordenado a los letrados de la querella, a la vez que instaló una cámara oculta en la oficina donde se desarrollaría el encuentro con el deten</w:t>
      </w:r>
      <w:r>
        <w:t>i</w:t>
      </w:r>
      <w:r>
        <w:t>do Huici; asimismo, que registró imágenes de video y audio de la entrevista.</w:t>
      </w:r>
    </w:p>
    <w:p w:rsidR="00224567" w:rsidRDefault="00224567">
      <w:pPr>
        <w:widowControl w:val="0"/>
        <w:tabs>
          <w:tab w:val="center" w:pos="0"/>
          <w:tab w:val="left" w:pos="2835"/>
        </w:tabs>
        <w:ind w:firstLine="2880"/>
      </w:pPr>
      <w:r>
        <w:t>Expuso el oficial interviniente que, durante la reunión, Huici se manifestó desconfiado, dado que presumía que se lo escuchaba; por ello argume</w:t>
      </w:r>
      <w:r>
        <w:t>n</w:t>
      </w:r>
      <w:r>
        <w:t>taba que quería conversar en la confitería del Departamento Ce</w:t>
      </w:r>
      <w:r>
        <w:t>n</w:t>
      </w:r>
      <w:r>
        <w:t>tral, área del Cuerpo Guardia de Infantería. Que frente a la desconfianza del detenido se acordó una nueva reunión para el día siguiente a las 15.</w:t>
      </w:r>
    </w:p>
    <w:p w:rsidR="00224567" w:rsidRDefault="00224567">
      <w:pPr>
        <w:widowControl w:val="0"/>
        <w:tabs>
          <w:tab w:val="center" w:pos="0"/>
          <w:tab w:val="left" w:pos="2835"/>
        </w:tabs>
        <w:ind w:firstLine="2880"/>
      </w:pPr>
      <w:r>
        <w:t>Según da cuenta la diligencia de fs. 15, al igual que en las anteriores ocasiones, el juez in</w:t>
      </w:r>
      <w:r>
        <w:t>s</w:t>
      </w:r>
      <w:r>
        <w:t>tructor autorizó la provisión de micrófonos inalá</w:t>
      </w:r>
      <w:r>
        <w:t>m</w:t>
      </w:r>
      <w:r>
        <w:t>bricos y de los medios técnicos necesarios para el registro de la nueva reunión, lo que así se hizo.</w:t>
      </w:r>
    </w:p>
    <w:p w:rsidR="00224567" w:rsidRDefault="00224567">
      <w:pPr>
        <w:widowControl w:val="0"/>
        <w:tabs>
          <w:tab w:val="center" w:pos="0"/>
          <w:tab w:val="left" w:pos="2835"/>
        </w:tabs>
        <w:ind w:firstLine="2880"/>
      </w:pPr>
      <w:r>
        <w:t>Los letrados de la querella, Dres. R</w:t>
      </w:r>
      <w:r>
        <w:t>o</w:t>
      </w:r>
      <w:r>
        <w:t>berto Zaidemberg y Marta Elsa Nercellas, prestaron decl</w:t>
      </w:r>
      <w:r>
        <w:t>a</w:t>
      </w:r>
      <w:r>
        <w:t>ración testimonial a fs. 18 y 20, respectivamente, donde relataron las entrevistas mantenidas con Huici y su defe</w:t>
      </w:r>
      <w:r>
        <w:t>n</w:t>
      </w:r>
      <w:r>
        <w:t>sor, como así también que para esos encuentros utilizaron micr</w:t>
      </w:r>
      <w:r>
        <w:t>ó</w:t>
      </w:r>
      <w:r>
        <w:t>fonos inalámbricos con autorización del Dr. Galeano.</w:t>
      </w:r>
    </w:p>
    <w:p w:rsidR="00224567" w:rsidRDefault="00224567">
      <w:pPr>
        <w:widowControl w:val="0"/>
        <w:tabs>
          <w:tab w:val="center" w:pos="0"/>
          <w:tab w:val="left" w:pos="2835"/>
        </w:tabs>
        <w:ind w:firstLine="2880"/>
      </w:pPr>
      <w:r>
        <w:t xml:space="preserve">El </w:t>
      </w:r>
      <w:r>
        <w:rPr>
          <w:bCs/>
        </w:rPr>
        <w:t>Dr. Marcelo E. García</w:t>
      </w:r>
      <w:r>
        <w:t>, letrado de Bautista Alberto Huici, señaló en la audiencia que ma</w:t>
      </w:r>
      <w:r>
        <w:t>n</w:t>
      </w:r>
      <w:r>
        <w:t xml:space="preserve">tuvo entrevistas, en dos o tres ocasiones, con </w:t>
      </w:r>
      <w:smartTag w:uri="urn:schemas-microsoft-com:office:smarttags" w:element="PersonName">
        <w:smartTagPr>
          <w:attr w:name="ProductID" w:val="La Dra. Nercellas"/>
        </w:smartTagPr>
        <w:r>
          <w:t>la Dra. Nerc</w:t>
        </w:r>
        <w:r>
          <w:t>e</w:t>
        </w:r>
        <w:r>
          <w:t>llas</w:t>
        </w:r>
      </w:smartTag>
      <w:r>
        <w:t xml:space="preserve"> y con otra persona que tenía un puesto en </w:t>
      </w:r>
      <w:smartTag w:uri="urn:schemas-microsoft-com:office:smarttags" w:element="PersonName">
        <w:smartTagPr>
          <w:attr w:name="ProductID" w:val="la A.M"/>
        </w:smartTagPr>
        <w:r>
          <w:t>la A.M</w:t>
        </w:r>
      </w:smartTag>
      <w:r>
        <w:t xml:space="preserve">.I.A. o </w:t>
      </w:r>
      <w:smartTag w:uri="urn:schemas-microsoft-com:office:smarttags" w:element="PersonName">
        <w:smartTagPr>
          <w:attr w:name="ProductID" w:val="la D.A"/>
        </w:smartTagPr>
        <w:r>
          <w:t>la D.A</w:t>
        </w:r>
      </w:smartTag>
      <w:r>
        <w:t xml:space="preserve">.I.A., las que se llevaron a cabo, una en el salón principal de lo que antes era </w:t>
      </w:r>
      <w:smartTag w:uri="urn:schemas-microsoft-com:office:smarttags" w:element="PersonName">
        <w:smartTagPr>
          <w:attr w:name="ProductID" w:val="la Guardia"/>
        </w:smartTagPr>
        <w:r>
          <w:t>la Guardia</w:t>
        </w:r>
      </w:smartTag>
      <w:r>
        <w:t xml:space="preserve"> de Infantería y otra en una oficina contigua.</w:t>
      </w:r>
    </w:p>
    <w:p w:rsidR="00224567" w:rsidRDefault="00224567">
      <w:pPr>
        <w:widowControl w:val="0"/>
        <w:tabs>
          <w:tab w:val="center" w:pos="0"/>
          <w:tab w:val="left" w:pos="2835"/>
        </w:tabs>
        <w:ind w:firstLine="2880"/>
      </w:pPr>
      <w:r>
        <w:t>El origen de estas reuniones, sost</w:t>
      </w:r>
      <w:r>
        <w:t>u</w:t>
      </w:r>
      <w:r>
        <w:t xml:space="preserve">vo, se debió a un acercamiento del Dr. Cichowolski, con quien conversó en varias ocasiones, una vez en una oficina del Congreso de </w:t>
      </w:r>
      <w:smartTag w:uri="urn:schemas-microsoft-com:office:smarttags" w:element="PersonName">
        <w:smartTagPr>
          <w:attr w:name="ProductID" w:val="la Naci￳n"/>
        </w:smartTagPr>
        <w:r>
          <w:t>la Nación</w:t>
        </w:r>
      </w:smartTag>
      <w:r>
        <w:t>, otra en el bar “Trib</w:t>
      </w:r>
      <w:r>
        <w:t>u</w:t>
      </w:r>
      <w:r>
        <w:t xml:space="preserve">nales Plaza” y otra más en la sede de </w:t>
      </w:r>
      <w:smartTag w:uri="urn:schemas-microsoft-com:office:smarttags" w:element="PersonName">
        <w:smartTagPr>
          <w:attr w:name="ProductID" w:val="la A.M"/>
        </w:smartTagPr>
        <w:r>
          <w:t>la A.M</w:t>
        </w:r>
      </w:smartTag>
      <w:r>
        <w:t>.I.A.. El Dr. Cichowolski, le comentó que “había cosas de las que le preocupaban porque no estaban claras” y que haría el esfuerzo necesario para descubrir la verdad; asimismo, le dijo que estaba inter</w:t>
      </w:r>
      <w:r>
        <w:t>e</w:t>
      </w:r>
      <w:r>
        <w:t>sado en saber si existía un pacto de silencio entre los jefes policiales.</w:t>
      </w:r>
    </w:p>
    <w:p w:rsidR="00224567" w:rsidRDefault="00224567">
      <w:pPr>
        <w:widowControl w:val="0"/>
        <w:tabs>
          <w:tab w:val="center" w:pos="0"/>
          <w:tab w:val="left" w:pos="2835"/>
        </w:tabs>
        <w:ind w:firstLine="2880"/>
      </w:pPr>
      <w:r>
        <w:t xml:space="preserve">Expresó que la primera reunión en el Departamento de Policía con </w:t>
      </w:r>
      <w:smartTag w:uri="urn:schemas-microsoft-com:office:smarttags" w:element="PersonName">
        <w:smartTagPr>
          <w:attr w:name="ProductID" w:val="La Dra. Nercellas"/>
        </w:smartTagPr>
        <w:r>
          <w:t>la Dra. Nercellas</w:t>
        </w:r>
      </w:smartTag>
      <w:r>
        <w:t xml:space="preserve"> y la otra persona, que luego identificó como Zaidemberg, se fru</w:t>
      </w:r>
      <w:r>
        <w:t>s</w:t>
      </w:r>
      <w:r>
        <w:t>tró debido a que se dieron cuenta de que los estaban grabando y filmando; por ello se programó otra, dejá</w:t>
      </w:r>
      <w:r>
        <w:t>n</w:t>
      </w:r>
      <w:r>
        <w:t>dose en claro que no querían filmación de ningún tipo.</w:t>
      </w:r>
    </w:p>
    <w:p w:rsidR="00224567" w:rsidRDefault="00224567">
      <w:pPr>
        <w:widowControl w:val="0"/>
        <w:tabs>
          <w:tab w:val="center" w:pos="0"/>
          <w:tab w:val="left" w:pos="2835"/>
        </w:tabs>
        <w:ind w:firstLine="2880"/>
      </w:pPr>
      <w:r>
        <w:t>Respecto a dicha condición el Dr. Ga</w:t>
      </w:r>
      <w:r>
        <w:t>r</w:t>
      </w:r>
      <w:r>
        <w:t xml:space="preserve">cía dijo: “bueno, yo confié en la palabra de </w:t>
      </w:r>
      <w:smartTag w:uri="urn:schemas-microsoft-com:office:smarttags" w:element="PersonName">
        <w:smartTagPr>
          <w:attr w:name="ProductID" w:val="La Dra. Nercellas"/>
        </w:smartTagPr>
        <w:r>
          <w:t>la Dra. Ne</w:t>
        </w:r>
        <w:r>
          <w:t>r</w:t>
        </w:r>
        <w:r>
          <w:t>cellas</w:t>
        </w:r>
      </w:smartTag>
      <w:r>
        <w:t xml:space="preserve"> como letrada, de que no se iba a hacer de esa man</w:t>
      </w:r>
      <w:r>
        <w:t>e</w:t>
      </w:r>
      <w:r>
        <w:t>ra”. Según lo establecido, sostuvo, no se escribió n</w:t>
      </w:r>
      <w:r>
        <w:t>a</w:t>
      </w:r>
      <w:r>
        <w:t xml:space="preserve">da y tampoco se grabó pues “eso fue lo convenido con </w:t>
      </w:r>
      <w:smartTag w:uri="urn:schemas-microsoft-com:office:smarttags" w:element="PersonName">
        <w:smartTagPr>
          <w:attr w:name="ProductID" w:val="La Dra. Nercellas"/>
        </w:smartTagPr>
        <w:r>
          <w:t>la Dra. Nercellas</w:t>
        </w:r>
      </w:smartTag>
      <w:r>
        <w:t>” y también con el Dr. Cichowolski, pues estaba en juego la vida de su defendido. Dijo desconocer que existiese un legajo nº 308.</w:t>
      </w:r>
    </w:p>
    <w:p w:rsidR="00224567" w:rsidRDefault="00224567">
      <w:pPr>
        <w:widowControl w:val="0"/>
        <w:tabs>
          <w:tab w:val="center" w:pos="0"/>
          <w:tab w:val="left" w:pos="2835"/>
        </w:tabs>
        <w:ind w:firstLine="2880"/>
      </w:pPr>
      <w:r>
        <w:t>Recalcó el Dr. García que no tuvo c</w:t>
      </w:r>
      <w:r>
        <w:t>o</w:t>
      </w:r>
      <w:r>
        <w:t>nocimiento de que se grabara la reunión y que no e</w:t>
      </w:r>
      <w:r>
        <w:t>n</w:t>
      </w:r>
      <w:r>
        <w:t>tendió como fue excarcelado el jefe de Huici, el comisario Bu</w:t>
      </w:r>
      <w:r>
        <w:t>r</w:t>
      </w:r>
      <w:r>
        <w:t>guete, cuando su asistido tenía aún menos i</w:t>
      </w:r>
      <w:r>
        <w:t>n</w:t>
      </w:r>
      <w:r>
        <w:t>jerencia.</w:t>
      </w:r>
    </w:p>
    <w:p w:rsidR="00224567" w:rsidRDefault="00224567">
      <w:pPr>
        <w:widowControl w:val="0"/>
        <w:tabs>
          <w:tab w:val="center" w:pos="0"/>
          <w:tab w:val="left" w:pos="2835"/>
        </w:tabs>
        <w:ind w:firstLine="2880"/>
      </w:pPr>
      <w:r>
        <w:t>A fs. 23 del referido legajo nº 308, luce el acta labrada por el comisario Jorge Alberto Pal</w:t>
      </w:r>
      <w:r>
        <w:t>a</w:t>
      </w:r>
      <w:r>
        <w:t>cios, jefe del Departamento Unidad de Investigación Ant</w:t>
      </w:r>
      <w:r>
        <w:t>i</w:t>
      </w:r>
      <w:r>
        <w:t>terrorista, por la que dejó constancia que se constituyó en dependencias del Cuerpo Guardia de Infant</w:t>
      </w:r>
      <w:r>
        <w:t>e</w:t>
      </w:r>
      <w:r>
        <w:t>ría, a fin de satisfacer el pedido que Bautista Huici realizara por i</w:t>
      </w:r>
      <w:r>
        <w:t>n</w:t>
      </w:r>
      <w:r>
        <w:t>termedio de su esposa. Según Palacios, Huici en la entr</w:t>
      </w:r>
      <w:r>
        <w:t>e</w:t>
      </w:r>
      <w:r>
        <w:t>vista aludió a diversas circunstancias relacionadas con la cami</w:t>
      </w:r>
      <w:r>
        <w:t>o</w:t>
      </w:r>
      <w:r>
        <w:t>neta utilizada en el hecho.</w:t>
      </w:r>
    </w:p>
    <w:p w:rsidR="00224567" w:rsidRDefault="00224567">
      <w:pPr>
        <w:widowControl w:val="0"/>
        <w:tabs>
          <w:tab w:val="center" w:pos="0"/>
          <w:tab w:val="left" w:pos="2835"/>
        </w:tabs>
        <w:ind w:firstLine="2880"/>
      </w:pPr>
      <w:r>
        <w:t>Diversas son las irregularidades que surgen de la lectura del legajo nº 308, que vulneraron no sólo garantías constitucionales del procesado Bautista Huici, sino, también, el ejercicio de la labor del defe</w:t>
      </w:r>
      <w:r>
        <w:t>n</w:t>
      </w:r>
      <w:r>
        <w:t>sor, por parte de otros profesionales del d</w:t>
      </w:r>
      <w:r>
        <w:t>e</w:t>
      </w:r>
      <w:r>
        <w:t>recho.</w:t>
      </w:r>
    </w:p>
    <w:p w:rsidR="00224567" w:rsidRDefault="00224567">
      <w:pPr>
        <w:widowControl w:val="0"/>
        <w:tabs>
          <w:tab w:val="center" w:pos="0"/>
          <w:tab w:val="left" w:pos="2835"/>
        </w:tabs>
        <w:ind w:firstLine="2880"/>
      </w:pPr>
      <w:r>
        <w:t>Nuevamente cabe señalar que la activ</w:t>
      </w:r>
      <w:r>
        <w:t>i</w:t>
      </w:r>
      <w:r>
        <w:t>dad pesquisante del Estado debe reconocer límites l</w:t>
      </w:r>
      <w:r>
        <w:t>e</w:t>
      </w:r>
      <w:r>
        <w:t>gales y éticos, no estándole permitido emplear métodos subrept</w:t>
      </w:r>
      <w:r>
        <w:t>i</w:t>
      </w:r>
      <w:r>
        <w:t>cios o engañosos, más allá de los expresamente permitidos en la legislación vigente. Aun en este últ</w:t>
      </w:r>
      <w:r>
        <w:t>i</w:t>
      </w:r>
      <w:r>
        <w:t>mo supuesto es preciso que concurran los requisitos expresamente previ</w:t>
      </w:r>
      <w:r>
        <w:t>s</w:t>
      </w:r>
      <w:r>
        <w:t>tos en la ley.</w:t>
      </w:r>
    </w:p>
    <w:p w:rsidR="00224567" w:rsidRDefault="00224567">
      <w:pPr>
        <w:widowControl w:val="0"/>
        <w:tabs>
          <w:tab w:val="center" w:pos="0"/>
          <w:tab w:val="left" w:pos="2835"/>
        </w:tabs>
        <w:ind w:firstLine="2880"/>
      </w:pPr>
      <w:r>
        <w:t>Bajo tales pautas debe examinarse la actitud del juez instructor y de los letrados de la quer</w:t>
      </w:r>
      <w:r>
        <w:t>e</w:t>
      </w:r>
      <w:r>
        <w:t xml:space="preserve">lla de </w:t>
      </w:r>
      <w:smartTag w:uri="urn:schemas-microsoft-com:office:smarttags" w:element="PersonName">
        <w:smartTagPr>
          <w:attr w:name="ProductID" w:val="la Delegaci￳n"/>
        </w:smartTagPr>
        <w:r>
          <w:t>la Delegación</w:t>
        </w:r>
      </w:smartTag>
      <w:r>
        <w:t xml:space="preserve"> de Asociaciones Israelitas Argent</w:t>
      </w:r>
      <w:r>
        <w:t>i</w:t>
      </w:r>
      <w:r>
        <w:t>nas.</w:t>
      </w:r>
    </w:p>
    <w:p w:rsidR="00224567" w:rsidRDefault="00224567">
      <w:pPr>
        <w:widowControl w:val="0"/>
        <w:tabs>
          <w:tab w:val="center" w:pos="0"/>
          <w:tab w:val="left" w:pos="2835"/>
        </w:tabs>
        <w:ind w:firstLine="2880"/>
      </w:pPr>
      <w:r>
        <w:t>Repárese, en primer término, que se encuentra controvertido quien tuvo la iniciativa para que se formalizase el encuentro.</w:t>
      </w:r>
    </w:p>
    <w:p w:rsidR="00224567" w:rsidRDefault="00224567">
      <w:pPr>
        <w:widowControl w:val="0"/>
        <w:tabs>
          <w:tab w:val="center" w:pos="0"/>
          <w:tab w:val="left" w:pos="2835"/>
        </w:tabs>
        <w:ind w:firstLine="2880"/>
      </w:pPr>
      <w:r>
        <w:t>Según el acta de fs. 1 habría sido del Dr. García, en tanto éste sostuvo que fue del Dr. Rogelio Cichowolski.</w:t>
      </w:r>
    </w:p>
    <w:p w:rsidR="00224567" w:rsidRDefault="00224567">
      <w:pPr>
        <w:widowControl w:val="0"/>
        <w:tabs>
          <w:tab w:val="center" w:pos="0"/>
          <w:tab w:val="left" w:pos="2835"/>
        </w:tabs>
        <w:ind w:firstLine="2880"/>
      </w:pPr>
      <w:r>
        <w:t>Pero, más allá de dicha circunsta</w:t>
      </w:r>
      <w:r>
        <w:t>n</w:t>
      </w:r>
      <w:r>
        <w:t>cia, dado que hubiese partido la idea de una u otra parte, ha</w:t>
      </w:r>
      <w:r>
        <w:t>s</w:t>
      </w:r>
      <w:r>
        <w:t>ta aquí ello no constituía delito ni irreg</w:t>
      </w:r>
      <w:r>
        <w:t>u</w:t>
      </w:r>
      <w:r>
        <w:t>laridad.</w:t>
      </w:r>
    </w:p>
    <w:p w:rsidR="00224567" w:rsidRDefault="00224567">
      <w:pPr>
        <w:widowControl w:val="0"/>
        <w:tabs>
          <w:tab w:val="center" w:pos="0"/>
          <w:tab w:val="left" w:pos="2835"/>
        </w:tabs>
        <w:ind w:firstLine="2880"/>
      </w:pPr>
      <w:r>
        <w:t>Mas, los querellantes, violando toda regla ética, con autorización del juez, grabaron subrept</w:t>
      </w:r>
      <w:r>
        <w:t>i</w:t>
      </w:r>
      <w:r>
        <w:t>ciamente a su colega de la defensa, en clara violación a los principios de lealtad, probidad y buena fe en  el  desempeño profesional, previstos en el inciso e) del a</w:t>
      </w:r>
      <w:r>
        <w:t>r</w:t>
      </w:r>
      <w:r>
        <w:t>tículo 6º de la ley 23.187, que regula el ejercicio de la prof</w:t>
      </w:r>
      <w:r>
        <w:t>e</w:t>
      </w:r>
      <w:r>
        <w:t>sión de abogado en esta capital.</w:t>
      </w:r>
    </w:p>
    <w:p w:rsidR="00224567" w:rsidRDefault="00224567">
      <w:pPr>
        <w:widowControl w:val="0"/>
        <w:tabs>
          <w:tab w:val="center" w:pos="0"/>
          <w:tab w:val="left" w:pos="2835"/>
        </w:tabs>
        <w:ind w:firstLine="2880"/>
      </w:pPr>
      <w:r>
        <w:t>Por ello, deberá darse intervención, a los efectos que corresponda, al Colegio Público de Abog</w:t>
      </w:r>
      <w:r>
        <w:t>a</w:t>
      </w:r>
      <w:r>
        <w:t>dos de esta ciudad.</w:t>
      </w:r>
    </w:p>
    <w:p w:rsidR="00224567" w:rsidRDefault="00224567">
      <w:pPr>
        <w:widowControl w:val="0"/>
        <w:tabs>
          <w:tab w:val="center" w:pos="0"/>
          <w:tab w:val="left" w:pos="2835"/>
        </w:tabs>
        <w:ind w:firstLine="2880"/>
      </w:pPr>
      <w:r>
        <w:t>Resulta aun más grave que el juez in</w:t>
      </w:r>
      <w:r>
        <w:t>s</w:t>
      </w:r>
      <w:r>
        <w:t>tructor, guardián de las garantías constitucionales, aut</w:t>
      </w:r>
      <w:r>
        <w:t>o</w:t>
      </w:r>
      <w:r>
        <w:t>rizara a los letrados de la querella, a entrevistar a Hu</w:t>
      </w:r>
      <w:r>
        <w:t>i</w:t>
      </w:r>
      <w:r>
        <w:t>ci en la dependencia policial donde estaba detenido, no obstante la voluntad de éste y a la vez filmarlo de manera furtiva (fs. 15).</w:t>
      </w:r>
    </w:p>
    <w:p w:rsidR="00224567" w:rsidRDefault="00224567">
      <w:pPr>
        <w:widowControl w:val="0"/>
        <w:tabs>
          <w:tab w:val="center" w:pos="0"/>
          <w:tab w:val="left" w:pos="2835"/>
        </w:tabs>
        <w:ind w:firstLine="2880"/>
      </w:pPr>
      <w:r>
        <w:t>A fin de advertir el desatino en que se incurrió basta la lectura del artículo 295 del Código Procesal Penal, que sólo autoriza la presencia del defe</w:t>
      </w:r>
      <w:r>
        <w:t>n</w:t>
      </w:r>
      <w:r>
        <w:t>sor y del fiscal en la declaración del imputado, pese a que es el juez quien dirige ese acto.</w:t>
      </w:r>
    </w:p>
    <w:p w:rsidR="00224567" w:rsidRDefault="00224567">
      <w:pPr>
        <w:widowControl w:val="0"/>
        <w:tabs>
          <w:tab w:val="center" w:pos="0"/>
          <w:tab w:val="left" w:pos="2835"/>
        </w:tabs>
        <w:ind w:firstLine="2880"/>
      </w:pPr>
      <w:r>
        <w:t xml:space="preserve">Al comentar Francisco D’Albora dicha norma (cfr. “Código Procesal Penal de </w:t>
      </w:r>
      <w:smartTag w:uri="urn:schemas-microsoft-com:office:smarttags" w:element="PersonName">
        <w:smartTagPr>
          <w:attr w:name="ProductID" w:val="la Naci￳n"/>
        </w:smartTagPr>
        <w:r>
          <w:t>la Nación</w:t>
        </w:r>
      </w:smartTag>
      <w:r>
        <w:t>”, ed. L</w:t>
      </w:r>
      <w:r>
        <w:t>e</w:t>
      </w:r>
      <w:r>
        <w:t>xis Nexis Abeledo-Perrot, pág. 618, año 2002) sostiene que “la exclusión del querellante se explica porque el cumpl</w:t>
      </w:r>
      <w:r>
        <w:t>i</w:t>
      </w:r>
      <w:r>
        <w:t>miento de la indagatoria no puede efectuarse mediante cuestionarios (CSJN, Fallos: 191:233) y a todas luces p</w:t>
      </w:r>
      <w:r>
        <w:t>a</w:t>
      </w:r>
      <w:r>
        <w:t>rece claro que su presencia conferiría al acto, más allá del control de la regularidad que podría efectuar, una suerte de decl</w:t>
      </w:r>
      <w:r>
        <w:t>a</w:t>
      </w:r>
      <w:r>
        <w:t xml:space="preserve">ración provocada contraria al art. 18 de </w:t>
      </w:r>
      <w:smartTag w:uri="urn:schemas-microsoft-com:office:smarttags" w:element="PersonName">
        <w:smartTagPr>
          <w:attr w:name="ProductID" w:val="la Constituci￳n Nacional"/>
        </w:smartTagPr>
        <w:r>
          <w:t>la Constitución Nacional</w:t>
        </w:r>
      </w:smartTag>
      <w:r>
        <w:t xml:space="preserve"> o, cuando menos, una violencia moral incompatible con su carácter de medida de defensa (CCC, Fallos, 2da s</w:t>
      </w:r>
      <w:r>
        <w:t>e</w:t>
      </w:r>
      <w:r>
        <w:t>rie, t. I, pág. 113)”.</w:t>
      </w:r>
    </w:p>
    <w:p w:rsidR="00224567" w:rsidRDefault="00224567">
      <w:pPr>
        <w:widowControl w:val="0"/>
        <w:tabs>
          <w:tab w:val="center" w:pos="0"/>
          <w:tab w:val="left" w:pos="2835"/>
        </w:tabs>
        <w:ind w:firstLine="2880"/>
      </w:pPr>
      <w:r>
        <w:t>Ahora bien, si la restricción alud</w:t>
      </w:r>
      <w:r>
        <w:t>i</w:t>
      </w:r>
      <w:r>
        <w:t>da apunta a resguardar al imputado de todo tipo de coacción en un acto regular que se realiza en presencia del juez, las entrevistas antes comentadas, grabadas de manera ocu</w:t>
      </w:r>
      <w:r>
        <w:t>l</w:t>
      </w:r>
      <w:r>
        <w:t>ta, en una dependencia policial, sin ningún tipo de co</w:t>
      </w:r>
      <w:r>
        <w:t>n</w:t>
      </w:r>
      <w:r>
        <w:t>trol judicial, constituyen un verdadero e</w:t>
      </w:r>
      <w:r>
        <w:t>x</w:t>
      </w:r>
      <w:r>
        <w:t>ceso igual o más grave que los comentados por Yesid Reyes Alvarado, en su obra “Teorías Actuales en el Derecho Penal, 75º Anivers</w:t>
      </w:r>
      <w:r>
        <w:t>a</w:t>
      </w:r>
      <w:r>
        <w:t>rio del Código Penal”, ed “Ad-Hoc”, pág. 375 y ss.</w:t>
      </w:r>
    </w:p>
    <w:p w:rsidR="00224567" w:rsidRDefault="00224567">
      <w:pPr>
        <w:widowControl w:val="0"/>
        <w:tabs>
          <w:tab w:val="center" w:pos="0"/>
          <w:tab w:val="left" w:pos="2835"/>
        </w:tabs>
        <w:ind w:firstLine="2880"/>
      </w:pPr>
      <w:r>
        <w:t>Por otra parte, no surge del legajo que las restantes querellas hayan sido notificados o hayan t</w:t>
      </w:r>
      <w:r>
        <w:t>e</w:t>
      </w:r>
      <w:r>
        <w:t>nido conocimiento de las “reuniones” que se realizarían con el detenido Huici.</w:t>
      </w:r>
    </w:p>
    <w:p w:rsidR="00224567" w:rsidRDefault="00224567">
      <w:pPr>
        <w:widowControl w:val="0"/>
        <w:tabs>
          <w:tab w:val="center" w:pos="0"/>
          <w:tab w:val="left" w:pos="2835"/>
        </w:tabs>
        <w:ind w:firstLine="2880"/>
      </w:pPr>
      <w:r>
        <w:t>En este marco de evidentes extravíos constitucionales y procesales, se anota la entrevista que el comisario Jorge A. Palacios mantuvo con Huici, según consta en el legajo, a pedido de su cónyuge (fs. 22 y 23).</w:t>
      </w:r>
    </w:p>
    <w:p w:rsidR="00224567" w:rsidRDefault="00224567">
      <w:pPr>
        <w:widowControl w:val="0"/>
        <w:tabs>
          <w:tab w:val="center" w:pos="0"/>
          <w:tab w:val="left" w:pos="2835"/>
        </w:tabs>
        <w:ind w:firstLine="2880"/>
      </w:pPr>
      <w:r>
        <w:t>Es claro el código adjetivo al proh</w:t>
      </w:r>
      <w:r>
        <w:t>i</w:t>
      </w:r>
      <w:r>
        <w:t>bir a los funcionarios policiales recibirle decl</w:t>
      </w:r>
      <w:r>
        <w:t>a</w:t>
      </w:r>
      <w:r>
        <w:t>ración al imputado (art. 184 inciso 9º y 10º), no habiendo concurr</w:t>
      </w:r>
      <w:r>
        <w:t>i</w:t>
      </w:r>
      <w:r>
        <w:t>do en la especie circunstancia extraordinaria alguna que justificase la extralimitación c</w:t>
      </w:r>
      <w:r>
        <w:t>o</w:t>
      </w:r>
      <w:r>
        <w:t>mentada.</w:t>
      </w:r>
    </w:p>
    <w:p w:rsidR="00224567" w:rsidRDefault="00224567">
      <w:pPr>
        <w:widowControl w:val="0"/>
        <w:tabs>
          <w:tab w:val="center" w:pos="0"/>
          <w:tab w:val="left" w:pos="2835"/>
        </w:tabs>
        <w:ind w:firstLine="2880"/>
      </w:pPr>
      <w:r>
        <w:rPr>
          <w:b/>
          <w:bCs/>
        </w:rPr>
        <w:t>P.2)</w:t>
      </w:r>
      <w:r>
        <w:t xml:space="preserve"> Tampoco puede soslayarse, que el juez instructor, contrariando expresamente los pri</w:t>
      </w:r>
      <w:r>
        <w:t>n</w:t>
      </w:r>
      <w:r>
        <w:t>cipios antes enunciados, relativos a la participación de la qu</w:t>
      </w:r>
      <w:r>
        <w:t>e</w:t>
      </w:r>
      <w:r>
        <w:t>rella en los actos en que interviene el imputado, toleró que se efectuasen reuniones, en la sede del juzgado, entre el imputado Telleldín, su defensor, Dr. Stinfale y los r</w:t>
      </w:r>
      <w:r>
        <w:t>e</w:t>
      </w:r>
      <w:r>
        <w:t>pr</w:t>
      </w:r>
      <w:r>
        <w:t>e</w:t>
      </w:r>
      <w:r>
        <w:t>sentantes de las querellas, Dres. Rubén Beraja, Rogelio Cichowolski, Luis Dobniew</w:t>
      </w:r>
      <w:r>
        <w:t>s</w:t>
      </w:r>
      <w:r>
        <w:t>ki y Javier Astigarraga.</w:t>
      </w:r>
    </w:p>
    <w:p w:rsidR="00224567" w:rsidRDefault="00224567">
      <w:pPr>
        <w:widowControl w:val="0"/>
        <w:tabs>
          <w:tab w:val="center" w:pos="0"/>
          <w:tab w:val="left" w:pos="2835"/>
        </w:tabs>
        <w:ind w:firstLine="2880"/>
      </w:pPr>
      <w:r>
        <w:t>El primero de dichos encuentros, s</w:t>
      </w:r>
      <w:r>
        <w:t>e</w:t>
      </w:r>
      <w:r>
        <w:t>gún admitió el testigo Rubén Beraja, se celebró en 1996, sin la presencia de funcionarios del juzgado y no se dejó consta</w:t>
      </w:r>
      <w:r>
        <w:t>n</w:t>
      </w:r>
      <w:r>
        <w:t>cia en la causa. Ello, fue previo a la declaración indag</w:t>
      </w:r>
      <w:r>
        <w:t>a</w:t>
      </w:r>
      <w:r>
        <w:t>toria de Telleldín, en momentos que se insinuaba el tema del libro.</w:t>
      </w:r>
    </w:p>
    <w:p w:rsidR="00224567" w:rsidRDefault="00224567">
      <w:pPr>
        <w:widowControl w:val="0"/>
        <w:tabs>
          <w:tab w:val="center" w:pos="0"/>
          <w:tab w:val="left" w:pos="2835"/>
        </w:tabs>
        <w:ind w:firstLine="2880"/>
      </w:pPr>
      <w:r>
        <w:t>El segundo, del que se tiene conoc</w:t>
      </w:r>
      <w:r>
        <w:t>i</w:t>
      </w:r>
      <w:r>
        <w:t>miento, según la constancia del secretario, Dr. Velasco (fs. 26.589), ocurrió el 6 de agosto de 1997; comenzó a las 17:45 y finalizó a las 19:25.</w:t>
      </w:r>
    </w:p>
    <w:p w:rsidR="00224567" w:rsidRDefault="00224567">
      <w:pPr>
        <w:widowControl w:val="0"/>
        <w:tabs>
          <w:tab w:val="center" w:pos="0"/>
          <w:tab w:val="left" w:pos="2835"/>
        </w:tabs>
        <w:ind w:firstLine="2880"/>
      </w:pPr>
      <w:r>
        <w:t>Si bien a fs. 26.461 luce el escrito por el cual la defensa de Telleldín solicita -por pedido expreso de su asistido- una audiencia con los abogados querellantes, A.M.I.A y D.A.I.A., resulta por demás extr</w:t>
      </w:r>
      <w:r>
        <w:t>a</w:t>
      </w:r>
      <w:r>
        <w:t>ño que fuese el juzgado el que gestionase esa inusual y extr</w:t>
      </w:r>
      <w:r>
        <w:t>a</w:t>
      </w:r>
      <w:r>
        <w:t>vagante medida.</w:t>
      </w:r>
    </w:p>
    <w:p w:rsidR="00224567" w:rsidRDefault="00224567">
      <w:pPr>
        <w:widowControl w:val="0"/>
        <w:tabs>
          <w:tab w:val="center" w:pos="0"/>
          <w:tab w:val="left" w:pos="2835"/>
        </w:tabs>
        <w:ind w:firstLine="2880"/>
      </w:pPr>
      <w:r>
        <w:t>En efecto, según la constancia del s</w:t>
      </w:r>
      <w:r>
        <w:t>e</w:t>
      </w:r>
      <w:r>
        <w:t>cretario, Dr. Javier De Gamas, se le informó al Dr. G</w:t>
      </w:r>
      <w:r>
        <w:t>a</w:t>
      </w:r>
      <w:r>
        <w:t xml:space="preserve">leano (fs. 26.585) que se comunicaron telefónicamente los representantes de </w:t>
      </w:r>
      <w:smartTag w:uri="urn:schemas-microsoft-com:office:smarttags" w:element="PersonName">
        <w:smartTagPr>
          <w:attr w:name="ProductID" w:val="la A.M"/>
        </w:smartTagPr>
        <w:r>
          <w:t>la A.M</w:t>
        </w:r>
      </w:smartTag>
      <w:r>
        <w:t xml:space="preserve">.I.A. y </w:t>
      </w:r>
      <w:smartTag w:uri="urn:schemas-microsoft-com:office:smarttags" w:element="PersonName">
        <w:smartTagPr>
          <w:attr w:name="ProductID" w:val="la D.A"/>
        </w:smartTagPr>
        <w:r>
          <w:t>la D.A</w:t>
        </w:r>
      </w:smartTag>
      <w:r>
        <w:t>.I.A., quienes le hicieron saber, con relación a la audiencia pedida por T</w:t>
      </w:r>
      <w:r>
        <w:t>e</w:t>
      </w:r>
      <w:r>
        <w:t>lleldín, que podía realizarse al día s</w:t>
      </w:r>
      <w:r>
        <w:t>i</w:t>
      </w:r>
      <w:r>
        <w:t>guiente.</w:t>
      </w:r>
    </w:p>
    <w:p w:rsidR="00224567" w:rsidRDefault="00224567">
      <w:pPr>
        <w:widowControl w:val="0"/>
        <w:tabs>
          <w:tab w:val="center" w:pos="0"/>
          <w:tab w:val="left" w:pos="2835"/>
        </w:tabs>
        <w:ind w:firstLine="2880"/>
      </w:pPr>
      <w:r>
        <w:t>Debajo de esa nota, el 6 de agosto de 1997, el Dr. Galeano, dispuso: “Atento el informe que a</w:t>
      </w:r>
      <w:r>
        <w:t>n</w:t>
      </w:r>
      <w:r>
        <w:t>tecede y a los efectos que Carlos Alberto Telleldín ma</w:t>
      </w:r>
      <w:r>
        <w:t>n</w:t>
      </w:r>
      <w:r>
        <w:t>tenga la entrevista que oportunamente solicitara con los repr</w:t>
      </w:r>
      <w:r>
        <w:t>e</w:t>
      </w:r>
      <w:r>
        <w:t xml:space="preserve">sentantes de </w:t>
      </w:r>
      <w:smartTag w:uri="urn:schemas-microsoft-com:office:smarttags" w:element="PersonName">
        <w:smartTagPr>
          <w:attr w:name="ProductID" w:val="la A.M"/>
        </w:smartTagPr>
        <w:r>
          <w:t>la A.M</w:t>
        </w:r>
      </w:smartTag>
      <w:r>
        <w:t xml:space="preserve">.I.A. y de </w:t>
      </w:r>
      <w:smartTag w:uri="urn:schemas-microsoft-com:office:smarttags" w:element="PersonName">
        <w:smartTagPr>
          <w:attr w:name="ProductID" w:val="la D.A"/>
        </w:smartTagPr>
        <w:r>
          <w:t>la D.A</w:t>
        </w:r>
      </w:smartTag>
      <w:r>
        <w:t>.I.A., dispónese el traslado de dicho detenido para el día de la fecha a las 15 horas”.</w:t>
      </w:r>
    </w:p>
    <w:p w:rsidR="00224567" w:rsidRDefault="00224567">
      <w:pPr>
        <w:widowControl w:val="0"/>
        <w:tabs>
          <w:tab w:val="center" w:pos="0"/>
          <w:tab w:val="left" w:pos="2835"/>
        </w:tabs>
        <w:ind w:firstLine="2880"/>
      </w:pPr>
      <w:r>
        <w:t>Como se advierte de lo expuesto, el juez instructor actuó como intermediario y facilitó la s</w:t>
      </w:r>
      <w:r>
        <w:t>e</w:t>
      </w:r>
      <w:r>
        <w:t>de del juzgado para que se efectuasen entrevistas de las que no participó, ni se dejó nota de los temas abordados.</w:t>
      </w:r>
    </w:p>
    <w:p w:rsidR="00224567" w:rsidRDefault="00224567">
      <w:pPr>
        <w:widowControl w:val="0"/>
        <w:tabs>
          <w:tab w:val="center" w:pos="0"/>
          <w:tab w:val="left" w:pos="2835"/>
        </w:tabs>
        <w:ind w:firstLine="2880"/>
      </w:pPr>
      <w:r>
        <w:t>Una vez más el Dr. Galeano facilitó la realización de negociaciones, al margen del orden proc</w:t>
      </w:r>
      <w:r>
        <w:t>e</w:t>
      </w:r>
      <w:r>
        <w:t>sal, de imposible conocimiento y control para las demás partes.</w:t>
      </w:r>
    </w:p>
    <w:p w:rsidR="00224567" w:rsidRDefault="00224567">
      <w:pPr>
        <w:widowControl w:val="0"/>
        <w:tabs>
          <w:tab w:val="center" w:pos="0"/>
          <w:tab w:val="left" w:pos="2835"/>
        </w:tabs>
        <w:ind w:firstLine="2880"/>
      </w:pPr>
      <w:r>
        <w:t>Sobre la temática de la reunión no r</w:t>
      </w:r>
      <w:r>
        <w:t>e</w:t>
      </w:r>
      <w:r>
        <w:t>sultó creíble, en atención a su extensión, más de una hora y media, la particularidad del encuentro y la s</w:t>
      </w:r>
      <w:r>
        <w:t>e</w:t>
      </w:r>
      <w:r>
        <w:t>lectividad del recuerdo, lo dicho por el Dr. Luis Dobniewski en cua</w:t>
      </w:r>
      <w:r>
        <w:t>n</w:t>
      </w:r>
      <w:r>
        <w:t xml:space="preserve">to a que Telleldín ratificó la versión sobre la entrega de la camioneta a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y de otros temas que no pudo precisar.</w:t>
      </w:r>
    </w:p>
    <w:p w:rsidR="00224567" w:rsidRDefault="00224567">
      <w:pPr>
        <w:widowControl w:val="0"/>
        <w:tabs>
          <w:tab w:val="left" w:pos="2835"/>
        </w:tabs>
        <w:rPr>
          <w:b/>
        </w:rPr>
      </w:pPr>
    </w:p>
    <w:p w:rsidR="00224567" w:rsidRPr="00F05CC0" w:rsidRDefault="00224567">
      <w:pPr>
        <w:pStyle w:val="Ttulo3"/>
        <w:keepNext w:val="0"/>
        <w:widowControl w:val="0"/>
        <w:rPr>
          <w:lang w:val="es-AR"/>
        </w:rPr>
      </w:pPr>
      <w:r>
        <w:t>Q) Abogados. Violación del secreto profesional: interve</w:t>
      </w:r>
      <w:r>
        <w:t>n</w:t>
      </w:r>
      <w:r>
        <w:t xml:space="preserve">ción de sus comunicaciones </w:t>
      </w:r>
      <w:r>
        <w:rPr>
          <w:lang w:val="es-AR"/>
        </w:rPr>
        <w:t xml:space="preserve">telefónicas. </w:t>
      </w:r>
      <w:r w:rsidRPr="00F05CC0">
        <w:rPr>
          <w:lang w:val="es-AR"/>
        </w:rPr>
        <w:t xml:space="preserve">Testigos. (art. </w:t>
      </w:r>
      <w:smartTag w:uri="urn:schemas-microsoft-com:office:smarttags" w:element="metricconverter">
        <w:smartTagPr>
          <w:attr w:name="ProductID" w:val="79 C"/>
        </w:smartTagPr>
        <w:r w:rsidRPr="00F05CC0">
          <w:rPr>
            <w:lang w:val="es-AR"/>
          </w:rPr>
          <w:t>79 C</w:t>
        </w:r>
      </w:smartTag>
      <w:r w:rsidRPr="00F05CC0">
        <w:rPr>
          <w:lang w:val="es-AR"/>
        </w:rPr>
        <w:t>.P.P.N.).</w:t>
      </w:r>
    </w:p>
    <w:p w:rsidR="00224567" w:rsidRDefault="00224567">
      <w:pPr>
        <w:widowControl w:val="0"/>
        <w:tabs>
          <w:tab w:val="center" w:pos="0"/>
          <w:tab w:val="left" w:pos="2835"/>
        </w:tabs>
        <w:ind w:firstLine="2880"/>
        <w:rPr>
          <w:lang w:val="en-US"/>
        </w:rPr>
      </w:pPr>
      <w:r>
        <w:rPr>
          <w:b/>
          <w:bCs/>
        </w:rPr>
        <w:t xml:space="preserve">Q.1) </w:t>
      </w:r>
      <w:r>
        <w:t>Sostiene Ángel Osorio y Galla</w:t>
      </w:r>
      <w:r>
        <w:t>r</w:t>
      </w:r>
      <w:r>
        <w:t>do que “el abogado debe guardar el secreto a todo trance, cueste lo cueste”. Agrega “antiguos autores franceses lo relevaban de la obligación ante la amenaza del Rey. Pero en buenas normas profesionales, no es admis</w:t>
      </w:r>
      <w:r>
        <w:t>i</w:t>
      </w:r>
      <w:r>
        <w:t>ble quebrantar el secreto ni ante la mayor amenaza ni ante el mayor pel</w:t>
      </w:r>
      <w:r>
        <w:t>i</w:t>
      </w:r>
      <w:r>
        <w:t xml:space="preserve">gro” (ver “El Alma de </w:t>
      </w:r>
      <w:smartTag w:uri="urn:schemas-microsoft-com:office:smarttags" w:element="PersonName">
        <w:smartTagPr>
          <w:attr w:name="ProductID" w:val="la Toga"/>
        </w:smartTagPr>
        <w:r>
          <w:t>la Toga</w:t>
        </w:r>
      </w:smartTag>
      <w:r>
        <w:t xml:space="preserve">”, pág.52, ed. </w:t>
      </w:r>
      <w:r>
        <w:rPr>
          <w:lang w:val="en-US"/>
        </w:rPr>
        <w:t>Valletta, Bs. As., 1997).</w:t>
      </w:r>
    </w:p>
    <w:p w:rsidR="00224567" w:rsidRDefault="00224567">
      <w:pPr>
        <w:widowControl w:val="0"/>
        <w:tabs>
          <w:tab w:val="center" w:pos="0"/>
          <w:tab w:val="left" w:pos="2835"/>
        </w:tabs>
        <w:ind w:firstLine="2880"/>
      </w:pPr>
      <w:r>
        <w:rPr>
          <w:lang w:val="es-AR"/>
        </w:rPr>
        <w:t>Ahora bien, e</w:t>
      </w:r>
      <w:r>
        <w:t>n su exacerbado afán i</w:t>
      </w:r>
      <w:r>
        <w:t>n</w:t>
      </w:r>
      <w:r>
        <w:t>vestigativo el señor juez federal tampoco respetó el s</w:t>
      </w:r>
      <w:r>
        <w:t>e</w:t>
      </w:r>
      <w:r>
        <w:t>creto profesional de los abogados, contemplado en los a</w:t>
      </w:r>
      <w:r>
        <w:t>r</w:t>
      </w:r>
      <w:r>
        <w:t>tículos 6º, inciso f), y 7º, apartado c), de la ley 23.187, ni los letrados supieron defenderlo, del modo que enseña el catedrático español antes citado.</w:t>
      </w:r>
    </w:p>
    <w:p w:rsidR="00224567" w:rsidRDefault="00224567">
      <w:pPr>
        <w:widowControl w:val="0"/>
        <w:tabs>
          <w:tab w:val="center" w:pos="0"/>
          <w:tab w:val="left" w:pos="2835"/>
        </w:tabs>
        <w:ind w:firstLine="2880"/>
      </w:pPr>
      <w:r>
        <w:t>La primera de las normas citadas est</w:t>
      </w:r>
      <w:r>
        <w:t>a</w:t>
      </w:r>
      <w:r>
        <w:t>blece, como deber de los abogados “observar con fid</w:t>
      </w:r>
      <w:r>
        <w:t>e</w:t>
      </w:r>
      <w:r>
        <w:t>lidad el secreto profesional, salvo autorización del interes</w:t>
      </w:r>
      <w:r>
        <w:t>a</w:t>
      </w:r>
      <w:r>
        <w:t>do”; la segunda, fija como derecho, “guardar el secreto prof</w:t>
      </w:r>
      <w:r>
        <w:t>e</w:t>
      </w:r>
      <w:r>
        <w:t>sional”.</w:t>
      </w:r>
    </w:p>
    <w:p w:rsidR="00224567" w:rsidRDefault="00224567">
      <w:pPr>
        <w:widowControl w:val="0"/>
        <w:tabs>
          <w:tab w:val="center" w:pos="0"/>
          <w:tab w:val="left" w:pos="2835"/>
        </w:tabs>
        <w:ind w:firstLine="2880"/>
      </w:pPr>
      <w:r>
        <w:t>En oportunidad de concurrir a pre</w:t>
      </w:r>
      <w:r>
        <w:t>s</w:t>
      </w:r>
      <w:r>
        <w:t xml:space="preserve">tar declaración testimonial el Dr. Alberto Fabián Spagnuolo, quien asistió a Telleldín cuando estuvo detenido en </w:t>
      </w:r>
      <w:smartTag w:uri="urn:schemas-microsoft-com:office:smarttags" w:element="PersonName">
        <w:smartTagPr>
          <w:attr w:name="ProductID" w:val="la Brigada"/>
        </w:smartTagPr>
        <w:r>
          <w:t>la Brigada</w:t>
        </w:r>
      </w:smartTag>
      <w:r>
        <w:t xml:space="preserve"> de Investigaciones de Lanús en abril de 1994, s</w:t>
      </w:r>
      <w:r>
        <w:t>o</w:t>
      </w:r>
      <w:r>
        <w:t>lic</w:t>
      </w:r>
      <w:r>
        <w:t>i</w:t>
      </w:r>
      <w:r>
        <w:t>tó, a efectos de poder manifestarse con tranquilidad, se lo releve de su deber de guardar secreto, a lo que el señor juez le respondió “que así lo hacía y que continúe con su relato”. Tras ello, el referido profesional narró sus conversaciones con el d</w:t>
      </w:r>
      <w:r>
        <w:t>e</w:t>
      </w:r>
      <w:r>
        <w:t>tenido (fs. 38.500/38.503).</w:t>
      </w:r>
    </w:p>
    <w:p w:rsidR="00224567" w:rsidRDefault="00224567">
      <w:pPr>
        <w:widowControl w:val="0"/>
        <w:tabs>
          <w:tab w:val="center" w:pos="0"/>
          <w:tab w:val="left" w:pos="2835"/>
        </w:tabs>
        <w:ind w:firstLine="2880"/>
      </w:pPr>
      <w:r>
        <w:t>Surge patente de lo expuesto que tanto el juez como el abogado incurrieron en excesos al margen de la legislación vigente.</w:t>
      </w:r>
    </w:p>
    <w:p w:rsidR="00224567" w:rsidRDefault="00224567">
      <w:pPr>
        <w:widowControl w:val="0"/>
        <w:tabs>
          <w:tab w:val="center" w:pos="0"/>
          <w:tab w:val="left" w:pos="2835"/>
        </w:tabs>
        <w:ind w:firstLine="2880"/>
      </w:pPr>
      <w:r>
        <w:t>El letrado por cuanto no debía ign</w:t>
      </w:r>
      <w:r>
        <w:t>o</w:t>
      </w:r>
      <w:r>
        <w:t>rar que la única persona con potestad para relevarlo de su d</w:t>
      </w:r>
      <w:r>
        <w:t>e</w:t>
      </w:r>
      <w:r>
        <w:t>ber era el imputado Telleldín.</w:t>
      </w:r>
    </w:p>
    <w:p w:rsidR="00224567" w:rsidRDefault="00224567">
      <w:pPr>
        <w:widowControl w:val="0"/>
        <w:tabs>
          <w:tab w:val="center" w:pos="0"/>
          <w:tab w:val="left" w:pos="2835"/>
        </w:tabs>
        <w:ind w:firstLine="2880"/>
      </w:pPr>
      <w:r>
        <w:t>Por su parte, el magistrado carecía de toda jurisdicción para obrar de tal forma, dado que el a</w:t>
      </w:r>
      <w:r>
        <w:t>r</w:t>
      </w:r>
      <w:r>
        <w:t>tículo 244 del Código Procesal Penal, tras reconocer el derecho de abstención de los profesionales y disponer que éstos pueden ser liberados por el inter</w:t>
      </w:r>
      <w:r>
        <w:t>e</w:t>
      </w:r>
      <w:r>
        <w:t>sado, sólo faculta al juez a proceder cuando el testigo invoque erróneamente ese deber.</w:t>
      </w:r>
    </w:p>
    <w:p w:rsidR="00224567" w:rsidRDefault="00224567">
      <w:pPr>
        <w:widowControl w:val="0"/>
        <w:tabs>
          <w:tab w:val="center" w:pos="0"/>
          <w:tab w:val="left" w:pos="2835"/>
        </w:tabs>
        <w:ind w:firstLine="2880"/>
      </w:pPr>
      <w:r>
        <w:t>De igual forma procedió el magistr</w:t>
      </w:r>
      <w:r>
        <w:t>a</w:t>
      </w:r>
      <w:r>
        <w:t>do al recibirle declaración al Dr. Jorge Hugo Serafini (fs. 72.770/72.777vta.).</w:t>
      </w:r>
    </w:p>
    <w:p w:rsidR="00224567" w:rsidRDefault="00224567">
      <w:pPr>
        <w:widowControl w:val="0"/>
        <w:tabs>
          <w:tab w:val="center" w:pos="0"/>
          <w:tab w:val="left" w:pos="2835"/>
        </w:tabs>
        <w:ind w:firstLine="2880"/>
      </w:pPr>
      <w:r>
        <w:t>En esta oportunidad el voluntarismo del magistrado llegó aún más lejos, dado que tras poner en conocimiento del testigo las manifestaciones que s</w:t>
      </w:r>
      <w:r>
        <w:t>o</w:t>
      </w:r>
      <w:r>
        <w:t>bre él realizaron dos personas, se lo relevó del secreto prof</w:t>
      </w:r>
      <w:r>
        <w:t>e</w:t>
      </w:r>
      <w:r>
        <w:t>sional y del deber de abstención.</w:t>
      </w:r>
    </w:p>
    <w:p w:rsidR="00224567" w:rsidRDefault="00224567">
      <w:pPr>
        <w:widowControl w:val="0"/>
        <w:tabs>
          <w:tab w:val="left" w:pos="2835"/>
        </w:tabs>
        <w:ind w:firstLine="2880"/>
      </w:pPr>
      <w:r>
        <w:rPr>
          <w:b/>
          <w:bCs/>
        </w:rPr>
        <w:t xml:space="preserve">Q.2) </w:t>
      </w:r>
      <w:r>
        <w:t>Las invocadas distorsiones bas</w:t>
      </w:r>
      <w:r>
        <w:t>a</w:t>
      </w:r>
      <w:r>
        <w:t>das en la emergencia, que, a su vez, dieron lugar a nuevas e</w:t>
      </w:r>
      <w:r>
        <w:t>x</w:t>
      </w:r>
      <w:r>
        <w:t>cepciones, resulta, con toda claridad, de la declaración testimonial del abogado Gustavo Alberto S</w:t>
      </w:r>
      <w:r>
        <w:t>e</w:t>
      </w:r>
      <w:r>
        <w:t>morile.</w:t>
      </w:r>
    </w:p>
    <w:p w:rsidR="00224567" w:rsidRDefault="00224567">
      <w:pPr>
        <w:widowControl w:val="0"/>
        <w:tabs>
          <w:tab w:val="center" w:pos="0"/>
          <w:tab w:val="left" w:pos="2835"/>
        </w:tabs>
        <w:ind w:firstLine="2880"/>
      </w:pPr>
      <w:r>
        <w:t>Este, según sus propios dichos, corr</w:t>
      </w:r>
      <w:r>
        <w:t>o</w:t>
      </w:r>
      <w:r>
        <w:t xml:space="preserve">borados por Telleldín y Spagnuolo, entre otros, asistió profesionalmente a Telleldín cuando permaneció detenido, junto con Sandra Petrucci, en </w:t>
      </w:r>
      <w:smartTag w:uri="urn:schemas-microsoft-com:office:smarttags" w:element="PersonName">
        <w:smartTagPr>
          <w:attr w:name="ProductID" w:val="la Brigada"/>
        </w:smartTagPr>
        <w:r>
          <w:t>la Brigada</w:t>
        </w:r>
      </w:smartTag>
      <w:r>
        <w:t xml:space="preserve"> de Investigaci</w:t>
      </w:r>
      <w:r>
        <w:t>o</w:t>
      </w:r>
      <w:r>
        <w:t>nes de Lanús. Vale resaltar que ya lo había hecho en otras oportunidades, siendo, incluso, consultado por Telleldín luego de su frustrada detención acaecida en la localidad de Olivos en marzo de 1994.</w:t>
      </w:r>
    </w:p>
    <w:p w:rsidR="00224567" w:rsidRDefault="00224567">
      <w:pPr>
        <w:widowControl w:val="0"/>
        <w:tabs>
          <w:tab w:val="center" w:pos="0"/>
          <w:tab w:val="left" w:pos="2835"/>
        </w:tabs>
        <w:ind w:firstLine="2880"/>
      </w:pPr>
      <w:r>
        <w:t>No obstante ello, Gustavo Alberto S</w:t>
      </w:r>
      <w:r>
        <w:t>e</w:t>
      </w:r>
      <w:r>
        <w:t>morile declaró en el sumario, en junio de 1996, como te</w:t>
      </w:r>
      <w:r>
        <w:t>s</w:t>
      </w:r>
      <w:r>
        <w:t>tigo de identidad reservada nº 2 -cfr. legajo re</w:t>
      </w:r>
      <w:r>
        <w:t>s</w:t>
      </w:r>
      <w:r>
        <w:t>pectivo, agregado a fs. 111.434 de los autos princip</w:t>
      </w:r>
      <w:r>
        <w:t>a</w:t>
      </w:r>
      <w:r>
        <w:t>les-, ocasión en la que se explayó, sin reparos, acerca de los hechos que le confió Telleldín.</w:t>
      </w:r>
    </w:p>
    <w:p w:rsidR="00224567" w:rsidRDefault="00224567">
      <w:pPr>
        <w:widowControl w:val="0"/>
        <w:tabs>
          <w:tab w:val="center" w:pos="0"/>
          <w:tab w:val="left" w:pos="2835"/>
        </w:tabs>
        <w:ind w:firstLine="2880"/>
      </w:pPr>
      <w:r>
        <w:t>El magistrado, por su parte, a dif</w:t>
      </w:r>
      <w:r>
        <w:t>e</w:t>
      </w:r>
      <w:r>
        <w:t>rencia de otros casos, en que -aun erróneamente- relevó de la restricción al profesional declarante, auspició la r</w:t>
      </w:r>
      <w:r>
        <w:t>e</w:t>
      </w:r>
      <w:r>
        <w:t>velación de secretos, sin que concurriesen los extremos previstos en el artículo 244, segundo párrafo del Código Procesal Penal; esto es la liberación por parte del i</w:t>
      </w:r>
      <w:r>
        <w:t>n</w:t>
      </w:r>
      <w:r>
        <w:t>teresado.</w:t>
      </w:r>
    </w:p>
    <w:p w:rsidR="00224567" w:rsidRDefault="00224567">
      <w:pPr>
        <w:widowControl w:val="0"/>
        <w:tabs>
          <w:tab w:val="center" w:pos="0"/>
          <w:tab w:val="left" w:pos="2835"/>
        </w:tabs>
        <w:ind w:firstLine="2880"/>
      </w:pPr>
      <w:r>
        <w:rPr>
          <w:b/>
          <w:bCs/>
        </w:rPr>
        <w:t xml:space="preserve">Q.3) </w:t>
      </w:r>
      <w:r>
        <w:t>El caso más emblemático de cuanto se viene diciendo lo constituye la declaración testimonial del abogado Juan Alberto Bottegal, respecto de quién el señor fiscal general, Dr. Alberto Nisman, requirió la pena de 10 años de reclusión.</w:t>
      </w:r>
    </w:p>
    <w:p w:rsidR="00224567" w:rsidRDefault="00224567">
      <w:pPr>
        <w:widowControl w:val="0"/>
        <w:tabs>
          <w:tab w:val="center" w:pos="0"/>
          <w:tab w:val="left" w:pos="2835"/>
        </w:tabs>
        <w:ind w:firstLine="2880"/>
      </w:pPr>
      <w:r>
        <w:t>En efecto, Juan Alberto Bottegal pre</w:t>
      </w:r>
      <w:r>
        <w:t>s</w:t>
      </w:r>
      <w:r>
        <w:t>tó declaración testimonial el 24 de junio de 1996, ocasión en la que solicitó, debido a que “tuvo vínculo profesional con Carlos Alberto Telleldín”, se lo releve del secreto profesional, lo que el juez Galeano así dispuso (fs. 38.551).</w:t>
      </w:r>
    </w:p>
    <w:p w:rsidR="00224567" w:rsidRDefault="00224567">
      <w:pPr>
        <w:widowControl w:val="0"/>
        <w:tabs>
          <w:tab w:val="center" w:pos="0"/>
          <w:tab w:val="left" w:pos="2835"/>
        </w:tabs>
        <w:ind w:firstLine="2880"/>
      </w:pPr>
      <w:r>
        <w:t>Hasta aquí es aplicable cuanto se ha dicho precedentemente dada que son similares las situaci</w:t>
      </w:r>
      <w:r>
        <w:t>o</w:t>
      </w:r>
      <w:r>
        <w:t>nes de los letrados que revelaron sus secretos. Pero, d</w:t>
      </w:r>
      <w:r>
        <w:t>i</w:t>
      </w:r>
      <w:r>
        <w:t>fiere la de Bottegal por cuanto debió aguardar el veredi</w:t>
      </w:r>
      <w:r>
        <w:t>c</w:t>
      </w:r>
      <w:r>
        <w:t>to sentado en el banquillo de los acusados.</w:t>
      </w:r>
    </w:p>
    <w:p w:rsidR="00224567" w:rsidRDefault="00224567">
      <w:pPr>
        <w:widowControl w:val="0"/>
        <w:tabs>
          <w:tab w:val="center" w:pos="0"/>
          <w:tab w:val="left" w:pos="2835"/>
        </w:tabs>
        <w:ind w:firstLine="2880"/>
      </w:pPr>
      <w:r>
        <w:t>Más aún, el juez Galeano hizo lugar al pedido de Bottegal en el sentido de que aquella testim</w:t>
      </w:r>
      <w:r>
        <w:t>o</w:t>
      </w:r>
      <w:r>
        <w:t>nial formase parte de su declaración indagatoria (fs. 45.155).</w:t>
      </w:r>
    </w:p>
    <w:p w:rsidR="00224567" w:rsidRDefault="00224567">
      <w:pPr>
        <w:widowControl w:val="0"/>
        <w:tabs>
          <w:tab w:val="center" w:pos="0"/>
          <w:tab w:val="left" w:pos="2835"/>
        </w:tabs>
        <w:ind w:firstLine="2880"/>
      </w:pPr>
      <w:r>
        <w:t>Es decir que el vicio señalado se trasladó a la indagatoria, donde, a su vez, en insólito procedimiento, se dispuso integrar la testimonial que  Bottegal ratificó en ese acto.</w:t>
      </w:r>
    </w:p>
    <w:p w:rsidR="00224567" w:rsidRDefault="00224567">
      <w:pPr>
        <w:widowControl w:val="0"/>
        <w:tabs>
          <w:tab w:val="center" w:pos="0"/>
          <w:tab w:val="left" w:pos="2835"/>
        </w:tabs>
        <w:ind w:firstLine="2880"/>
      </w:pPr>
      <w:r>
        <w:t>Al respecto, es imprescindible subr</w:t>
      </w:r>
      <w:r>
        <w:t>a</w:t>
      </w:r>
      <w:r>
        <w:t>yar, a fin de merituar en su justa medida el desmadre de la pesquisa, que en la testimonial de fs. 38.551/38.557, Bottegal había relatado todas las charlas de las que pa</w:t>
      </w:r>
      <w:r>
        <w:t>r</w:t>
      </w:r>
      <w:r>
        <w:t>ticipó con Telleldín, Boragni, Barr</w:t>
      </w:r>
      <w:r>
        <w:t>e</w:t>
      </w:r>
      <w:r>
        <w:t>da y Bareiro. En esas conversaciones expuso circunstancias que comprometían su respo</w:t>
      </w:r>
      <w:r>
        <w:t>n</w:t>
      </w:r>
      <w:r>
        <w:t>sabilidad.</w:t>
      </w:r>
    </w:p>
    <w:p w:rsidR="00224567" w:rsidRDefault="00224567">
      <w:pPr>
        <w:widowControl w:val="0"/>
        <w:tabs>
          <w:tab w:val="center" w:pos="0"/>
          <w:tab w:val="left" w:pos="2835"/>
        </w:tabs>
        <w:ind w:firstLine="2880"/>
      </w:pPr>
      <w:r>
        <w:t>Es decir, que por más que se lo hubi</w:t>
      </w:r>
      <w:r>
        <w:t>e</w:t>
      </w:r>
      <w:r>
        <w:t>se relevado del secreto profesional, jamás se lo debió d</w:t>
      </w:r>
      <w:r>
        <w:t>e</w:t>
      </w:r>
      <w:r>
        <w:t>jar avanzar sobre extremos que lo involucraban.</w:t>
      </w:r>
    </w:p>
    <w:p w:rsidR="00224567" w:rsidRDefault="00224567">
      <w:pPr>
        <w:widowControl w:val="0"/>
        <w:tabs>
          <w:tab w:val="center" w:pos="0"/>
          <w:tab w:val="left" w:pos="2835"/>
        </w:tabs>
        <w:ind w:firstLine="2880"/>
      </w:pPr>
      <w:r>
        <w:t>Por otra parte, basta leer ambas d</w:t>
      </w:r>
      <w:r>
        <w:t>e</w:t>
      </w:r>
      <w:r>
        <w:t>claraciones -testimonial e indagatoria- para advertir que en la segunda, Bottegal se aparta y contradice los térm</w:t>
      </w:r>
      <w:r>
        <w:t>i</w:t>
      </w:r>
      <w:r>
        <w:t>nos de lo ratificado, pasando ello desapercibido.</w:t>
      </w:r>
    </w:p>
    <w:p w:rsidR="00224567" w:rsidRDefault="00224567">
      <w:pPr>
        <w:widowControl w:val="0"/>
        <w:tabs>
          <w:tab w:val="center" w:pos="0"/>
          <w:tab w:val="left" w:pos="2835"/>
        </w:tabs>
        <w:ind w:firstLine="2880"/>
      </w:pPr>
      <w:r>
        <w:rPr>
          <w:b/>
          <w:bCs/>
        </w:rPr>
        <w:t xml:space="preserve">Q.4) </w:t>
      </w:r>
      <w:r>
        <w:t>Corresponde ahora poner de resa</w:t>
      </w:r>
      <w:r>
        <w:t>l</w:t>
      </w:r>
      <w:r>
        <w:t>to las razones que llevaron al juez a indagar a Bo</w:t>
      </w:r>
      <w:r>
        <w:t>t</w:t>
      </w:r>
      <w:r>
        <w:t>tegal.</w:t>
      </w:r>
    </w:p>
    <w:p w:rsidR="00224567" w:rsidRDefault="00224567">
      <w:pPr>
        <w:widowControl w:val="0"/>
        <w:tabs>
          <w:tab w:val="center" w:pos="0"/>
          <w:tab w:val="left" w:pos="2835"/>
        </w:tabs>
        <w:ind w:firstLine="2880"/>
      </w:pPr>
      <w:r>
        <w:t>Así, el juez instructor empleó para fundamentar el auto de procesamiento y prisión preve</w:t>
      </w:r>
      <w:r>
        <w:t>n</w:t>
      </w:r>
      <w:r>
        <w:t xml:space="preserve">tiva de los imputados, dictado el </w:t>
      </w:r>
      <w:r>
        <w:rPr>
          <w:bCs/>
        </w:rPr>
        <w:t>31 de julio de</w:t>
      </w:r>
      <w:r>
        <w:rPr>
          <w:b/>
        </w:rPr>
        <w:t xml:space="preserve"> </w:t>
      </w:r>
      <w:r>
        <w:t>1996, los d</w:t>
      </w:r>
      <w:r>
        <w:t>i</w:t>
      </w:r>
      <w:r>
        <w:t>chos de los abogados Semorile, Spagnuolo y Bottegal, rel</w:t>
      </w:r>
      <w:r>
        <w:t>e</w:t>
      </w:r>
      <w:r>
        <w:t>vados de juramento del modo ya expuesto (cfr. fs. 40.192, 40.193, 40.194vta., 40.236vta., 40.239vta., 40.244vta. y 40.245).</w:t>
      </w:r>
    </w:p>
    <w:p w:rsidR="00224567" w:rsidRDefault="00224567">
      <w:pPr>
        <w:widowControl w:val="0"/>
        <w:tabs>
          <w:tab w:val="center" w:pos="0"/>
          <w:tab w:val="left" w:pos="2835"/>
        </w:tabs>
        <w:ind w:firstLine="2880"/>
      </w:pPr>
      <w:r>
        <w:t>También fueron utilizados los testim</w:t>
      </w:r>
      <w:r>
        <w:t>o</w:t>
      </w:r>
      <w:r>
        <w:t>nios de los dos primeros letrados para sustentar el requ</w:t>
      </w:r>
      <w:r>
        <w:t>e</w:t>
      </w:r>
      <w:r>
        <w:t>rimiento fiscal de elevación a juicio, suscripto por los Dres. Eamon Mullen, José Barbaccia y Alberto Nisman, y, por el juez, en el auto de elevación a ju</w:t>
      </w:r>
      <w:r>
        <w:t>i</w:t>
      </w:r>
      <w:r>
        <w:t>cio. Respecto de Bottegal se echó mano a su declaración indagatoria recib</w:t>
      </w:r>
      <w:r>
        <w:t>i</w:t>
      </w:r>
      <w:r>
        <w:t>da del modo expuesto.</w:t>
      </w:r>
    </w:p>
    <w:p w:rsidR="00224567" w:rsidRDefault="00224567">
      <w:pPr>
        <w:widowControl w:val="0"/>
        <w:tabs>
          <w:tab w:val="center" w:pos="0"/>
          <w:tab w:val="left" w:pos="2835"/>
        </w:tabs>
        <w:ind w:firstLine="2880"/>
      </w:pPr>
      <w:r>
        <w:t xml:space="preserve">Recurrido el auto de procesamiento por las defensas,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Federal"/>
        </w:smartTagPr>
        <w:r>
          <w:t>la Cámara Federal</w:t>
        </w:r>
      </w:smartTag>
      <w:r>
        <w:t xml:space="preserve"> de Apelaci</w:t>
      </w:r>
      <w:r>
        <w:t>o</w:t>
      </w:r>
      <w:r>
        <w:t xml:space="preserve">nes, el </w:t>
      </w:r>
      <w:r>
        <w:rPr>
          <w:bCs/>
        </w:rPr>
        <w:t>19 de septiembre de 1996,</w:t>
      </w:r>
      <w:r>
        <w:t xml:space="preserve"> confirmó el pronunci</w:t>
      </w:r>
      <w:r>
        <w:t>a</w:t>
      </w:r>
      <w:r>
        <w:t>miento, a la vez que recomendó al magistrado (fs. 41.034vta.) “la necesidad de que... revise la responsab</w:t>
      </w:r>
      <w:r>
        <w:t>i</w:t>
      </w:r>
      <w:r>
        <w:t>lidad... del Doctor Juan Alberto Bottegal en la interm</w:t>
      </w:r>
      <w:r>
        <w:t>e</w:t>
      </w:r>
      <w:r>
        <w:t xml:space="preserve">diación de la ‘negociación’ de Telleldín con </w:t>
      </w:r>
      <w:smartTag w:uri="urn:schemas-microsoft-com:office:smarttags" w:element="PersonName">
        <w:smartTagPr>
          <w:attr w:name="ProductID" w:val="la Brigada"/>
        </w:smartTagPr>
        <w:r>
          <w:t>la Brigada</w:t>
        </w:r>
      </w:smartTag>
      <w:r>
        <w:t xml:space="preserve"> de V</w:t>
      </w:r>
      <w:r>
        <w:t>i</w:t>
      </w:r>
      <w:r>
        <w:t>cente López”.</w:t>
      </w:r>
    </w:p>
    <w:p w:rsidR="00224567" w:rsidRDefault="00224567">
      <w:pPr>
        <w:widowControl w:val="0"/>
        <w:tabs>
          <w:tab w:val="center" w:pos="0"/>
          <w:tab w:val="left" w:pos="2835"/>
        </w:tabs>
        <w:ind w:firstLine="2880"/>
      </w:pPr>
      <w:r>
        <w:t xml:space="preserve">Luego de un año y cuatro meses, el </w:t>
      </w:r>
      <w:r>
        <w:rPr>
          <w:bCs/>
        </w:rPr>
        <w:t>20 de enero de 1998,</w:t>
      </w:r>
      <w:r>
        <w:t xml:space="preserve"> el Dr. Galeano le recibió la ya coment</w:t>
      </w:r>
      <w:r>
        <w:t>a</w:t>
      </w:r>
      <w:r>
        <w:t xml:space="preserve">da declaración indagatoria a Bottegal, dictando </w:t>
      </w:r>
      <w:r>
        <w:rPr>
          <w:bCs/>
        </w:rPr>
        <w:t>al día s</w:t>
      </w:r>
      <w:r>
        <w:rPr>
          <w:bCs/>
        </w:rPr>
        <w:t>i</w:t>
      </w:r>
      <w:r>
        <w:rPr>
          <w:bCs/>
        </w:rPr>
        <w:t>guiente,</w:t>
      </w:r>
      <w:r>
        <w:t xml:space="preserve"> su procesamiento sin prisión preve</w:t>
      </w:r>
      <w:r>
        <w:t>n</w:t>
      </w:r>
      <w:r>
        <w:t>tiva.</w:t>
      </w:r>
    </w:p>
    <w:p w:rsidR="00224567" w:rsidRDefault="00224567">
      <w:pPr>
        <w:widowControl w:val="0"/>
        <w:tabs>
          <w:tab w:val="center" w:pos="0"/>
          <w:tab w:val="left" w:pos="2835"/>
        </w:tabs>
        <w:ind w:firstLine="2880"/>
      </w:pPr>
      <w:r>
        <w:t>En su resolución nada dice el juez acerca de las razones que lo llevaron a recibirle declar</w:t>
      </w:r>
      <w:r>
        <w:t>a</w:t>
      </w:r>
      <w:r>
        <w:t>ción testimonial a Bottegal, relevarlo de juramento, di</w:t>
      </w:r>
      <w:r>
        <w:t>s</w:t>
      </w:r>
      <w:r>
        <w:t>poner su detención y luego procesarlo (fs. 8105).</w:t>
      </w:r>
    </w:p>
    <w:p w:rsidR="00224567" w:rsidRDefault="00224567">
      <w:pPr>
        <w:widowControl w:val="0"/>
        <w:tabs>
          <w:tab w:val="center" w:pos="0"/>
          <w:tab w:val="left" w:pos="2835"/>
        </w:tabs>
        <w:ind w:firstLine="2880"/>
      </w:pPr>
      <w:r>
        <w:t xml:space="preserve">Tampoco </w:t>
      </w:r>
      <w:smartTag w:uri="urn:schemas-microsoft-com:office:smarttags" w:element="PersonName">
        <w:smartTagPr>
          <w:attr w:name="ProductID" w:val="la C￡mara"/>
        </w:smartTagPr>
        <w:r>
          <w:t>la Cámara</w:t>
        </w:r>
      </w:smartTag>
      <w:r>
        <w:t xml:space="preserve"> hizo mención alg</w:t>
      </w:r>
      <w:r>
        <w:t>u</w:t>
      </w:r>
      <w:r>
        <w:t>na respecto del procedimiento empleado con quien comenzó siendo un importante testigo de cargo.</w:t>
      </w:r>
    </w:p>
    <w:p w:rsidR="00224567" w:rsidRDefault="00224567">
      <w:pPr>
        <w:widowControl w:val="0"/>
        <w:tabs>
          <w:tab w:val="center" w:pos="0"/>
          <w:tab w:val="left" w:pos="2835"/>
        </w:tabs>
        <w:ind w:firstLine="2880"/>
      </w:pPr>
      <w:r>
        <w:t>Pero hay más sobre Bottegal.</w:t>
      </w:r>
    </w:p>
    <w:p w:rsidR="00224567" w:rsidRDefault="00224567">
      <w:pPr>
        <w:widowControl w:val="0"/>
        <w:tabs>
          <w:tab w:val="center" w:pos="0"/>
          <w:tab w:val="left" w:pos="2835"/>
        </w:tabs>
        <w:ind w:firstLine="2880"/>
      </w:pPr>
      <w:r>
        <w:t>Como bien destacó su defensa, la man</w:t>
      </w:r>
      <w:r>
        <w:t>i</w:t>
      </w:r>
      <w:r>
        <w:t>pulación de Bottegal comenzó con las primeras conversaci</w:t>
      </w:r>
      <w:r>
        <w:t>o</w:t>
      </w:r>
      <w:r>
        <w:t xml:space="preserve">nes que este mantuvo con Jorge Horacio Stiuso, agente de </w:t>
      </w:r>
      <w:smartTag w:uri="urn:schemas-microsoft-com:office:smarttags" w:element="PersonName">
        <w:smartTagPr>
          <w:attr w:name="ProductID" w:val="la S.I"/>
        </w:smartTagPr>
        <w:r>
          <w:t>la S.I</w:t>
        </w:r>
      </w:smartTag>
      <w:r>
        <w:t>.D.E.</w:t>
      </w:r>
    </w:p>
    <w:p w:rsidR="00224567" w:rsidRDefault="00224567">
      <w:pPr>
        <w:widowControl w:val="0"/>
        <w:tabs>
          <w:tab w:val="center" w:pos="0"/>
          <w:tab w:val="left" w:pos="2835"/>
        </w:tabs>
        <w:ind w:firstLine="2880"/>
      </w:pPr>
      <w:r>
        <w:t>En ocasión de prestar declaración te</w:t>
      </w:r>
      <w:r>
        <w:t>s</w:t>
      </w:r>
      <w:r>
        <w:t xml:space="preserve">timonial en el debate, sostuvo el antes nombrado que en </w:t>
      </w:r>
      <w:r>
        <w:rPr>
          <w:bCs/>
        </w:rPr>
        <w:t>1994</w:t>
      </w:r>
      <w:r>
        <w:t>, antes de diciembre, se entrevistó en un bar con  Bottegal; que se enteró de su existencia por Barreda y B</w:t>
      </w:r>
      <w:r>
        <w:t>a</w:t>
      </w:r>
      <w:r>
        <w:t>reiro, quienes aceptaban que habían hecho un “trabajito” con él. A ellos les dijo “que se lo ll</w:t>
      </w:r>
      <w:r>
        <w:t>e</w:t>
      </w:r>
      <w:r>
        <w:t>ven”.</w:t>
      </w:r>
    </w:p>
    <w:p w:rsidR="00224567" w:rsidRDefault="00224567">
      <w:pPr>
        <w:widowControl w:val="0"/>
        <w:tabs>
          <w:tab w:val="center" w:pos="0"/>
          <w:tab w:val="left" w:pos="2835"/>
        </w:tabs>
        <w:ind w:firstLine="2880"/>
      </w:pPr>
      <w:r>
        <w:t>Al reunirse, sostuvo, Bottegal le co</w:t>
      </w:r>
      <w:r>
        <w:t>n</w:t>
      </w:r>
      <w:r>
        <w:t>tó la misma versión que Barreda y Bareiro. Añadió, que t</w:t>
      </w:r>
      <w:r>
        <w:t>o</w:t>
      </w:r>
      <w:r>
        <w:t>da la información colectada a raíz de lo que conversaba con los antes nombrados lo iba informando a las autorid</w:t>
      </w:r>
      <w:r>
        <w:t>a</w:t>
      </w:r>
      <w:r>
        <w:t>des y al juzgado.</w:t>
      </w:r>
    </w:p>
    <w:p w:rsidR="00224567" w:rsidRDefault="00224567">
      <w:pPr>
        <w:widowControl w:val="0"/>
        <w:tabs>
          <w:tab w:val="center" w:pos="0"/>
          <w:tab w:val="left" w:pos="2835"/>
        </w:tabs>
        <w:ind w:firstLine="2880"/>
      </w:pPr>
      <w:r>
        <w:t>No obstante su obviedad, es neces</w:t>
      </w:r>
      <w:r>
        <w:t>a</w:t>
      </w:r>
      <w:r>
        <w:t>rio resaltar que el juez contaba con las versiones extrajud</w:t>
      </w:r>
      <w:r>
        <w:t>i</w:t>
      </w:r>
      <w:r>
        <w:t>ciales de los hechos, suministradas por Bareiro, Barreda y Bottegal.</w:t>
      </w:r>
    </w:p>
    <w:p w:rsidR="00224567" w:rsidRDefault="00224567">
      <w:pPr>
        <w:widowControl w:val="0"/>
        <w:tabs>
          <w:tab w:val="center" w:pos="0"/>
          <w:tab w:val="left" w:pos="2835"/>
        </w:tabs>
        <w:ind w:firstLine="2880"/>
      </w:pPr>
      <w:r>
        <w:t xml:space="preserve">Parece claro, entonces, que cuando el juez Galeano, el </w:t>
      </w:r>
      <w:r>
        <w:rPr>
          <w:bCs/>
        </w:rPr>
        <w:t>24 de junio de 1996</w:t>
      </w:r>
      <w:r>
        <w:rPr>
          <w:b/>
        </w:rPr>
        <w:t>,</w:t>
      </w:r>
      <w:r>
        <w:t xml:space="preserve"> le recibió declar</w:t>
      </w:r>
      <w:r>
        <w:t>a</w:t>
      </w:r>
      <w:r>
        <w:t>ción testimonial al abogado Juan Alberto Bottegal, conocía que había participado en el hecho que, finalmente, a in</w:t>
      </w:r>
      <w:r>
        <w:t>s</w:t>
      </w:r>
      <w:r>
        <w:t xml:space="preserve">tancias de </w:t>
      </w:r>
      <w:smartTag w:uri="urn:schemas-microsoft-com:office:smarttags" w:element="PersonName">
        <w:smartTagPr>
          <w:attr w:name="ProductID" w:val="la Alzada"/>
        </w:smartTagPr>
        <w:r>
          <w:t>la Alzada</w:t>
        </w:r>
      </w:smartTag>
      <w:r>
        <w:t xml:space="preserve"> le terminó imputando.</w:t>
      </w:r>
    </w:p>
    <w:p w:rsidR="00224567" w:rsidRDefault="00224567">
      <w:pPr>
        <w:widowControl w:val="0"/>
        <w:tabs>
          <w:tab w:val="center" w:pos="0"/>
          <w:tab w:val="left" w:pos="2835"/>
        </w:tabs>
        <w:ind w:firstLine="2880"/>
      </w:pPr>
      <w:r>
        <w:rPr>
          <w:b/>
          <w:bCs/>
        </w:rPr>
        <w:t xml:space="preserve">Q.5) </w:t>
      </w:r>
      <w:r>
        <w:t>Tampoco puede soslayarse en e</w:t>
      </w:r>
      <w:r>
        <w:t>s</w:t>
      </w:r>
      <w:r>
        <w:t>te apartado el modo en que el juez utilizó las declar</w:t>
      </w:r>
      <w:r>
        <w:t>a</w:t>
      </w:r>
      <w:r>
        <w:t>ciones te</w:t>
      </w:r>
      <w:r>
        <w:t>s</w:t>
      </w:r>
      <w:r>
        <w:t>timoniales del abogado Gustavo Semorile.</w:t>
      </w:r>
    </w:p>
    <w:p w:rsidR="00224567" w:rsidRDefault="00224567">
      <w:pPr>
        <w:widowControl w:val="0"/>
        <w:tabs>
          <w:tab w:val="center" w:pos="0"/>
          <w:tab w:val="left" w:pos="2835"/>
        </w:tabs>
        <w:ind w:firstLine="2880"/>
      </w:pPr>
      <w:r>
        <w:t>En el auto de procesamiento el juez federal relata los dichos del testigo de identidad rese</w:t>
      </w:r>
      <w:r>
        <w:t>r</w:t>
      </w:r>
      <w:r>
        <w:t>vada nº 2 -Gustavo Semorile- y tras ello asienta los de Spagnu</w:t>
      </w:r>
      <w:r>
        <w:t>o</w:t>
      </w:r>
      <w:r>
        <w:t>lo, quien hace referencias al nombrado, su socio.</w:t>
      </w:r>
    </w:p>
    <w:p w:rsidR="00224567" w:rsidRDefault="00224567">
      <w:pPr>
        <w:widowControl w:val="0"/>
        <w:tabs>
          <w:tab w:val="center" w:pos="0"/>
          <w:tab w:val="left" w:pos="2835"/>
        </w:tabs>
        <w:ind w:firstLine="2880"/>
      </w:pPr>
      <w:r>
        <w:t>La manera en que el juez vuelca la prueba lleva a confusión, resulta engañosa, dado que no es lo mismo reservar la identidad de un testigo, procedimie</w:t>
      </w:r>
      <w:r>
        <w:t>n</w:t>
      </w:r>
      <w:r>
        <w:t>to con el que se puede o no estar de acuerdo, que oculta</w:t>
      </w:r>
      <w:r>
        <w:t>r</w:t>
      </w:r>
      <w:r>
        <w:t>lo mediante una confusa presentación de la ev</w:t>
      </w:r>
      <w:r>
        <w:t>i</w:t>
      </w:r>
      <w:r>
        <w:t>dencia.</w:t>
      </w:r>
    </w:p>
    <w:p w:rsidR="00224567" w:rsidRDefault="00224567">
      <w:pPr>
        <w:widowControl w:val="0"/>
        <w:tabs>
          <w:tab w:val="center" w:pos="0"/>
          <w:tab w:val="left" w:pos="2835"/>
        </w:tabs>
        <w:ind w:firstLine="2880"/>
      </w:pPr>
      <w:r>
        <w:t>Ello se agrava en la especie debido a que ese testigo de identidad reservada violó su obl</w:t>
      </w:r>
      <w:r>
        <w:t>i</w:t>
      </w:r>
      <w:r>
        <w:t>gación legal de guardar el secreto profesional, a la vez que fue filmado y amenazado debido a su presunta participación en un delito.</w:t>
      </w:r>
    </w:p>
    <w:p w:rsidR="00224567" w:rsidRDefault="00224567">
      <w:pPr>
        <w:widowControl w:val="0"/>
        <w:tabs>
          <w:tab w:val="center" w:pos="0"/>
          <w:tab w:val="left" w:pos="2835"/>
        </w:tabs>
        <w:ind w:firstLine="2880"/>
      </w:pPr>
      <w:r>
        <w:t>De lo expuesto surge el porqué fue ocultado dentro del proceso el testigo nº 2, cuyos d</w:t>
      </w:r>
      <w:r>
        <w:t>i</w:t>
      </w:r>
      <w:r>
        <w:t xml:space="preserve">chos fueron utilizados, de modo especial, para incriminar al personal policial que revistaba en </w:t>
      </w:r>
      <w:smartTag w:uri="urn:schemas-microsoft-com:office:smarttags" w:element="PersonName">
        <w:smartTagPr>
          <w:attr w:name="ProductID" w:val="la Brigada"/>
        </w:smartTagPr>
        <w:r>
          <w:t>la Brigada</w:t>
        </w:r>
      </w:smartTag>
      <w:r>
        <w:t xml:space="preserve"> de Invest</w:t>
      </w:r>
      <w:r>
        <w:t>i</w:t>
      </w:r>
      <w:r>
        <w:t>gaciones de Lanús.</w:t>
      </w:r>
    </w:p>
    <w:p w:rsidR="00224567" w:rsidRDefault="00224567">
      <w:pPr>
        <w:widowControl w:val="0"/>
        <w:tabs>
          <w:tab w:val="center" w:pos="0"/>
          <w:tab w:val="left" w:pos="2835"/>
        </w:tabs>
        <w:ind w:firstLine="2880"/>
      </w:pPr>
      <w:r>
        <w:t>El proceder del juez instructor, nu</w:t>
      </w:r>
      <w:r>
        <w:t>e</w:t>
      </w:r>
      <w:r>
        <w:t>vamente, pone de resalto su avance sobre instituci</w:t>
      </w:r>
      <w:r>
        <w:t>o</w:t>
      </w:r>
      <w:r>
        <w:t>nes que hacen al resguardo del derecho de defensa y debido proc</w:t>
      </w:r>
      <w:r>
        <w:t>e</w:t>
      </w:r>
      <w:r>
        <w:t>so, al avasallar las normas que garantizan el secreto pr</w:t>
      </w:r>
      <w:r>
        <w:t>o</w:t>
      </w:r>
      <w:r>
        <w:t>fesional (art. 6º, inciso f, de la ley 23.187 y art. 244 del C</w:t>
      </w:r>
      <w:r>
        <w:t>ó</w:t>
      </w:r>
      <w:r>
        <w:t>digo Procesal Penal).</w:t>
      </w:r>
    </w:p>
    <w:p w:rsidR="00224567" w:rsidRDefault="00224567">
      <w:pPr>
        <w:widowControl w:val="0"/>
        <w:tabs>
          <w:tab w:val="center" w:pos="0"/>
          <w:tab w:val="left" w:pos="2835"/>
        </w:tabs>
        <w:ind w:firstLine="2880"/>
      </w:pPr>
      <w:r>
        <w:t>Es demostrativo, además, de que la prueba se amañó en una dirección preestablecida, conco</w:t>
      </w:r>
      <w:r>
        <w:t>r</w:t>
      </w:r>
      <w:r>
        <w:t>dante con lo manifestado por Telleldín a Vergéz, la jueza Riva Aramayo y en su indagatoria del 5 de julio de 1996.</w:t>
      </w:r>
    </w:p>
    <w:p w:rsidR="00224567" w:rsidRDefault="00224567">
      <w:pPr>
        <w:widowControl w:val="0"/>
        <w:tabs>
          <w:tab w:val="center" w:pos="0"/>
          <w:tab w:val="left" w:pos="2835"/>
        </w:tabs>
        <w:ind w:firstLine="2880"/>
      </w:pPr>
      <w:r>
        <w:rPr>
          <w:b/>
          <w:bCs/>
        </w:rPr>
        <w:t xml:space="preserve">Q.6) </w:t>
      </w:r>
      <w:r>
        <w:t>Con lo expuesto no concluyó la actividad del magistrado en el aseguramiento del resu</w:t>
      </w:r>
      <w:r>
        <w:t>l</w:t>
      </w:r>
      <w:r>
        <w:t>tado de la prueba que iba produciendo en el patético junio de 1996.</w:t>
      </w:r>
    </w:p>
    <w:p w:rsidR="00224567" w:rsidRDefault="00224567">
      <w:pPr>
        <w:widowControl w:val="0"/>
        <w:tabs>
          <w:tab w:val="center" w:pos="0"/>
          <w:tab w:val="left" w:pos="2835"/>
        </w:tabs>
        <w:ind w:firstLine="2880"/>
      </w:pPr>
      <w:r>
        <w:t>En ese mes prestaron declaración te</w:t>
      </w:r>
      <w:r>
        <w:t>s</w:t>
      </w:r>
      <w:r>
        <w:t>timonial Semorile, Spagnuolo y Bottegal, los días 4 y 6, 20 y 24, respectivamente. También en junio, previo a sus declaraciones, fueron intervenidas las líneas t</w:t>
      </w:r>
      <w:r>
        <w:t>e</w:t>
      </w:r>
      <w:r>
        <w:t>lefónicas de los dos últimos.</w:t>
      </w:r>
    </w:p>
    <w:p w:rsidR="00224567" w:rsidRDefault="00224567">
      <w:pPr>
        <w:widowControl w:val="0"/>
        <w:tabs>
          <w:tab w:val="center" w:pos="0"/>
          <w:tab w:val="left" w:pos="2835"/>
        </w:tabs>
        <w:ind w:firstLine="2880"/>
        <w:rPr>
          <w:bCs/>
        </w:rPr>
      </w:pPr>
      <w:r>
        <w:t>De las constancias del legajo de i</w:t>
      </w:r>
      <w:r>
        <w:t>n</w:t>
      </w:r>
      <w:r>
        <w:t xml:space="preserve">tervenciones telefónicas de la causa nº 1598 -numeración del juzgado instructor- surge que el </w:t>
      </w:r>
      <w:r>
        <w:rPr>
          <w:b/>
        </w:rPr>
        <w:t>12 de junio de 1996</w:t>
      </w:r>
      <w:r>
        <w:t xml:space="preserve"> el juez dispuso escuchar las líneas nº 420-0138 y 663-1019, correspondiente al “Dr. Alberto Fabian Spagnuolo” (fs. 1 y 3). Fundó la medida en que </w:t>
      </w:r>
      <w:r>
        <w:rPr>
          <w:b/>
        </w:rPr>
        <w:t>“</w:t>
      </w:r>
      <w:r>
        <w:t xml:space="preserve">De las constancias existentes resulta que el nombrado </w:t>
      </w:r>
      <w:r>
        <w:rPr>
          <w:b/>
        </w:rPr>
        <w:t>habría tenido interve</w:t>
      </w:r>
      <w:r>
        <w:rPr>
          <w:b/>
        </w:rPr>
        <w:t>n</w:t>
      </w:r>
      <w:r>
        <w:rPr>
          <w:b/>
        </w:rPr>
        <w:t>ción en uno de los hechos inve</w:t>
      </w:r>
      <w:r>
        <w:rPr>
          <w:b/>
        </w:rPr>
        <w:t>s</w:t>
      </w:r>
      <w:r>
        <w:rPr>
          <w:b/>
        </w:rPr>
        <w:t>tigados</w:t>
      </w:r>
      <w:r>
        <w:t>; razón por la cual, las conversaciones que pudiere mantener podrían resultar de interés para el e</w:t>
      </w:r>
      <w:r>
        <w:t>s</w:t>
      </w:r>
      <w:r>
        <w:t>clarecimiento del hecho</w:t>
      </w:r>
      <w:r>
        <w:rPr>
          <w:bCs/>
        </w:rPr>
        <w:t>” (la negrita pertenece al Tr</w:t>
      </w:r>
      <w:r>
        <w:rPr>
          <w:bCs/>
        </w:rPr>
        <w:t>i</w:t>
      </w:r>
      <w:r>
        <w:rPr>
          <w:bCs/>
        </w:rPr>
        <w:t>bunal).</w:t>
      </w:r>
    </w:p>
    <w:p w:rsidR="00224567" w:rsidRDefault="00224567">
      <w:pPr>
        <w:widowControl w:val="0"/>
        <w:tabs>
          <w:tab w:val="center" w:pos="0"/>
          <w:tab w:val="left" w:pos="2835"/>
        </w:tabs>
        <w:ind w:firstLine="2880"/>
      </w:pPr>
      <w:r>
        <w:t>A fs. 5 de la actuación antes cit</w:t>
      </w:r>
      <w:r>
        <w:t>a</w:t>
      </w:r>
      <w:r>
        <w:t xml:space="preserve">da, el 13 de junio de 1996, el juez Galeano dictó la siguiente providencia: </w:t>
      </w:r>
      <w:r>
        <w:rPr>
          <w:bCs/>
        </w:rPr>
        <w:t>“</w:t>
      </w:r>
      <w:r>
        <w:t xml:space="preserve">Resultando de las constancias incorporadas en la causa nº 1598 que el Dr. Juan Alberto Bottegal </w:t>
      </w:r>
      <w:r>
        <w:rPr>
          <w:b/>
        </w:rPr>
        <w:t>h</w:t>
      </w:r>
      <w:r>
        <w:rPr>
          <w:b/>
        </w:rPr>
        <w:t>a</w:t>
      </w:r>
      <w:r>
        <w:rPr>
          <w:b/>
        </w:rPr>
        <w:t xml:space="preserve">bría tenido actuación personal en los hechos materia de investigación </w:t>
      </w:r>
      <w:r>
        <w:t>y pudiendo surgir de sus conversaciones constancias de interés para el esclarecimiento de los mi</w:t>
      </w:r>
      <w:r>
        <w:t>s</w:t>
      </w:r>
      <w:r>
        <w:t>mos, dispóng</w:t>
      </w:r>
      <w:r>
        <w:t>a</w:t>
      </w:r>
      <w:r>
        <w:t>se la intervención de los números telefónicos 755-8050, 444-3947 y 752-</w:t>
      </w:r>
      <w:smartTag w:uri="urn:schemas-microsoft-com:office:smarttags" w:element="metricconverter">
        <w:smartTagPr>
          <w:attr w:name="ProductID" w:val="7828”"/>
        </w:smartTagPr>
        <w:r>
          <w:t>7828”</w:t>
        </w:r>
      </w:smartTag>
      <w:r>
        <w:rPr>
          <w:bCs/>
        </w:rPr>
        <w:t xml:space="preserve"> (la negrita pertenece al Trib</w:t>
      </w:r>
      <w:r>
        <w:rPr>
          <w:bCs/>
        </w:rPr>
        <w:t>u</w:t>
      </w:r>
      <w:r>
        <w:rPr>
          <w:bCs/>
        </w:rPr>
        <w:t>nal)</w:t>
      </w:r>
      <w:r>
        <w:t>.</w:t>
      </w:r>
    </w:p>
    <w:p w:rsidR="00224567" w:rsidRDefault="00224567">
      <w:pPr>
        <w:widowControl w:val="0"/>
        <w:tabs>
          <w:tab w:val="center" w:pos="0"/>
          <w:tab w:val="left" w:pos="2835"/>
        </w:tabs>
        <w:ind w:firstLine="2880"/>
      </w:pPr>
      <w:r>
        <w:t>Como se destaca con la negrita en los párrafos precedentes, los fundamentos de ambas d</w:t>
      </w:r>
      <w:r>
        <w:t>e</w:t>
      </w:r>
      <w:r>
        <w:t>cisiones del juez son medidas de investigación de suj</w:t>
      </w:r>
      <w:r>
        <w:t>e</w:t>
      </w:r>
      <w:r>
        <w:t>tos imputados en la causa, aunque como todos los dictados en este proc</w:t>
      </w:r>
      <w:r>
        <w:t>e</w:t>
      </w:r>
      <w:r>
        <w:t>so carecen de los fundamentos necesarios (art. 236 del C</w:t>
      </w:r>
      <w:r>
        <w:t>ó</w:t>
      </w:r>
      <w:r>
        <w:t>digo Procesal Penal).</w:t>
      </w:r>
    </w:p>
    <w:p w:rsidR="00224567" w:rsidRDefault="00224567">
      <w:pPr>
        <w:widowControl w:val="0"/>
        <w:tabs>
          <w:tab w:val="center" w:pos="0"/>
          <w:tab w:val="left" w:pos="2835"/>
        </w:tabs>
        <w:ind w:firstLine="2880"/>
      </w:pPr>
      <w:r>
        <w:t>El código citado sólo autoriza la i</w:t>
      </w:r>
      <w:r>
        <w:t>n</w:t>
      </w:r>
      <w:r>
        <w:t xml:space="preserve">tervención de cualquier medio de comunicación </w:t>
      </w:r>
      <w:r>
        <w:rPr>
          <w:b/>
        </w:rPr>
        <w:t>del imp</w:t>
      </w:r>
      <w:r>
        <w:rPr>
          <w:b/>
        </w:rPr>
        <w:t>u</w:t>
      </w:r>
      <w:r>
        <w:rPr>
          <w:b/>
        </w:rPr>
        <w:t>tado</w:t>
      </w:r>
      <w:r>
        <w:t>. Respecto de los testigos, de modo expreso, establece (art. 79) que desde el inicio del proceso hasta su culm</w:t>
      </w:r>
      <w:r>
        <w:t>i</w:t>
      </w:r>
      <w:r>
        <w:t>nación el Estado nacional les garantizará el pleno respeto de los derechos a recibir un trató digno de las autorid</w:t>
      </w:r>
      <w:r>
        <w:t>a</w:t>
      </w:r>
      <w:r>
        <w:t>des comp</w:t>
      </w:r>
      <w:r>
        <w:t>e</w:t>
      </w:r>
      <w:r>
        <w:t>tentes y a la integridad física y moral.</w:t>
      </w:r>
    </w:p>
    <w:p w:rsidR="00224567" w:rsidRDefault="00224567">
      <w:pPr>
        <w:widowControl w:val="0"/>
        <w:tabs>
          <w:tab w:val="center" w:pos="0"/>
          <w:tab w:val="left" w:pos="2835"/>
        </w:tabs>
        <w:ind w:firstLine="2880"/>
      </w:pPr>
      <w:r>
        <w:t>Nada de ello se cumplió, dado que tras inmiscuirse en sus vidas y a pesar de las sospechas les recibió declaración testimonial.</w:t>
      </w:r>
    </w:p>
    <w:p w:rsidR="00224567" w:rsidRDefault="00224567">
      <w:pPr>
        <w:widowControl w:val="0"/>
        <w:tabs>
          <w:tab w:val="center" w:pos="0"/>
          <w:tab w:val="left" w:pos="2835"/>
        </w:tabs>
        <w:ind w:firstLine="2880"/>
      </w:pPr>
      <w:r>
        <w:rPr>
          <w:b/>
          <w:bCs/>
        </w:rPr>
        <w:t xml:space="preserve">Q.7) </w:t>
      </w:r>
      <w:r>
        <w:t>Igual destrato recibieron los testigos Juan Ionno, Héctor Sobico, Juan Nicolau, Re</w:t>
      </w:r>
      <w:r>
        <w:t>y</w:t>
      </w:r>
      <w:r>
        <w:t>naldo Á</w:t>
      </w:r>
      <w:r>
        <w:t>l</w:t>
      </w:r>
      <w:r>
        <w:t>varez, Alicia Correa, Federico Caneva, Miguel Kesseler, Jorge F</w:t>
      </w:r>
      <w:r>
        <w:t>e</w:t>
      </w:r>
      <w:r>
        <w:t>rroni, Faro Camaño, Leyla Dolder (cfr. el aludido legajo).</w:t>
      </w:r>
    </w:p>
    <w:p w:rsidR="00224567" w:rsidRDefault="00224567">
      <w:pPr>
        <w:widowControl w:val="0"/>
        <w:tabs>
          <w:tab w:val="center" w:pos="0"/>
          <w:tab w:val="left" w:pos="2835"/>
        </w:tabs>
        <w:ind w:firstLine="2880"/>
      </w:pPr>
      <w:r>
        <w:rPr>
          <w:b/>
          <w:bCs/>
        </w:rPr>
        <w:t xml:space="preserve">Q.8) </w:t>
      </w:r>
      <w:r>
        <w:t>Resulta del legajo de interve</w:t>
      </w:r>
      <w:r>
        <w:t>n</w:t>
      </w:r>
      <w:r>
        <w:t xml:space="preserve">ciones telefónicas que los teléfonos de </w:t>
      </w:r>
      <w:smartTag w:uri="urn:schemas-microsoft-com:office:smarttags" w:element="PersonName">
        <w:smartTagPr>
          <w:attr w:name="ProductID" w:val="la Dra. Marta"/>
        </w:smartTagPr>
        <w:r>
          <w:t>la Dra. Marta</w:t>
        </w:r>
      </w:smartTag>
      <w:r>
        <w:t xml:space="preserve"> N</w:t>
      </w:r>
      <w:r>
        <w:t>é</w:t>
      </w:r>
      <w:r>
        <w:t>lida Parascándolo, abogada defensora del acusado Aleja</w:t>
      </w:r>
      <w:r>
        <w:t>n</w:t>
      </w:r>
      <w:r>
        <w:t>dro Burguete, designada el 15 de julio de 1996, también fueron o</w:t>
      </w:r>
      <w:r>
        <w:t>b</w:t>
      </w:r>
      <w:r>
        <w:t>servados por el juez de la causa.</w:t>
      </w:r>
    </w:p>
    <w:p w:rsidR="00224567" w:rsidRDefault="00224567">
      <w:pPr>
        <w:widowControl w:val="0"/>
        <w:tabs>
          <w:tab w:val="center" w:pos="0"/>
          <w:tab w:val="left" w:pos="2835"/>
        </w:tabs>
        <w:ind w:firstLine="2880"/>
      </w:pPr>
      <w:r>
        <w:t>El Tribunal, sobre la base de las constancias a la vista, no pudo establecer la fecha en que c</w:t>
      </w:r>
      <w:r>
        <w:t>o</w:t>
      </w:r>
      <w:r>
        <w:t>menzó esa medida.</w:t>
      </w:r>
    </w:p>
    <w:p w:rsidR="00224567" w:rsidRDefault="00224567">
      <w:pPr>
        <w:widowControl w:val="0"/>
        <w:tabs>
          <w:tab w:val="center" w:pos="0"/>
          <w:tab w:val="left" w:pos="2835"/>
        </w:tabs>
        <w:ind w:firstLine="2880"/>
      </w:pPr>
      <w:r>
        <w:t>No obstante, a fs. 129 del legajo de intervenciones luce un informe del secretario Carlos A. Velasco, del 17 de agosto de 1997, dando cuenta “que en el día de la fecha se comunicó telefónicamente con el su</w:t>
      </w:r>
      <w:r>
        <w:t>s</w:t>
      </w:r>
      <w:r>
        <w:t xml:space="preserve">cripto el licenciado Patricio Finnen, jefe de </w:t>
      </w:r>
      <w:smartTag w:uri="urn:schemas-microsoft-com:office:smarttags" w:element="PersonName">
        <w:smartTagPr>
          <w:attr w:name="ProductID" w:val="la Direcci￳n Antiterrorista"/>
        </w:smartTagPr>
        <w:r>
          <w:t>la D</w:t>
        </w:r>
        <w:r>
          <w:t>i</w:t>
        </w:r>
        <w:r>
          <w:t>rección A</w:t>
        </w:r>
        <w:r>
          <w:t>n</w:t>
        </w:r>
        <w:r>
          <w:t>titerrorista</w:t>
        </w:r>
      </w:smartTag>
      <w:r>
        <w:t xml:space="preserve"> de </w:t>
      </w:r>
      <w:smartTag w:uri="urn:schemas-microsoft-com:office:smarttags" w:element="PersonName">
        <w:smartTagPr>
          <w:attr w:name="ProductID" w:val="la S.I"/>
        </w:smartTagPr>
        <w:r>
          <w:t>la S.I</w:t>
        </w:r>
      </w:smartTag>
      <w:r>
        <w:t>.D.E., quien me hizo saber que de acuerdo a los análisis de escuchas que se vienen realiza</w:t>
      </w:r>
      <w:r>
        <w:t>n</w:t>
      </w:r>
      <w:r>
        <w:t>do surge que no resulta de interés continuar con la inte</w:t>
      </w:r>
      <w:r>
        <w:t>r</w:t>
      </w:r>
      <w:r>
        <w:t>ve</w:t>
      </w:r>
      <w:r>
        <w:t>n</w:t>
      </w:r>
      <w:r>
        <w:t>ción telefónica oportunamente dispuesta respecto de los t</w:t>
      </w:r>
      <w:r>
        <w:t>e</w:t>
      </w:r>
      <w:r>
        <w:t>léfonos: 245-9761, 292-1862 (Parascándalo) y el 668-0593 (Chiribín)”.</w:t>
      </w:r>
    </w:p>
    <w:p w:rsidR="00224567" w:rsidRDefault="00224567">
      <w:pPr>
        <w:widowControl w:val="0"/>
        <w:tabs>
          <w:tab w:val="center" w:pos="0"/>
          <w:tab w:val="left" w:pos="2835"/>
        </w:tabs>
        <w:ind w:firstLine="2880"/>
      </w:pPr>
      <w:r>
        <w:t>En la misma fecha el juez dispuso la desintervención de las líneas aludidas.</w:t>
      </w:r>
    </w:p>
    <w:p w:rsidR="00224567" w:rsidRDefault="00224567">
      <w:pPr>
        <w:widowControl w:val="0"/>
        <w:tabs>
          <w:tab w:val="center" w:pos="0"/>
          <w:tab w:val="left" w:pos="2835"/>
        </w:tabs>
        <w:ind w:firstLine="2880"/>
      </w:pPr>
      <w:r>
        <w:t>Más allá del tiempo que pudo haber d</w:t>
      </w:r>
      <w:r>
        <w:t>u</w:t>
      </w:r>
      <w:r>
        <w:t>rado la medida, lo relevante y grave es que la abogada d</w:t>
      </w:r>
      <w:r>
        <w:t>e</w:t>
      </w:r>
      <w:r>
        <w:t>fensora de Burguete fue escuchada por el instructor, sin que ninguna probanza, previa, llevara a sosp</w:t>
      </w:r>
      <w:r>
        <w:t>e</w:t>
      </w:r>
      <w:r>
        <w:t>char de ella respecto del hecho objeto de la pesquisa.</w:t>
      </w:r>
    </w:p>
    <w:p w:rsidR="00224567" w:rsidRDefault="00224567">
      <w:pPr>
        <w:widowControl w:val="0"/>
        <w:tabs>
          <w:tab w:val="center" w:pos="0"/>
          <w:tab w:val="left" w:pos="2835"/>
        </w:tabs>
        <w:ind w:firstLine="2880"/>
      </w:pPr>
      <w:r>
        <w:rPr>
          <w:b/>
          <w:bCs/>
        </w:rPr>
        <w:t xml:space="preserve">Q.9) </w:t>
      </w:r>
      <w:r>
        <w:t>A modo de colofón de este capít</w:t>
      </w:r>
      <w:r>
        <w:t>u</w:t>
      </w:r>
      <w:r>
        <w:t>lo y por ser demostrativo de la concepción que guió el a</w:t>
      </w:r>
      <w:r>
        <w:t>c</w:t>
      </w:r>
      <w:r>
        <w:t>tuar de los funcionarios del juzgado federal nº 9,</w:t>
      </w:r>
      <w:r>
        <w:rPr>
          <w:b/>
        </w:rPr>
        <w:t xml:space="preserve"> </w:t>
      </w:r>
      <w:r>
        <w:t>merece destacarse el caso del testigo de identidad reservada nº 10.</w:t>
      </w:r>
    </w:p>
    <w:p w:rsidR="00224567" w:rsidRDefault="00224567">
      <w:pPr>
        <w:widowControl w:val="0"/>
        <w:tabs>
          <w:tab w:val="center" w:pos="0"/>
          <w:tab w:val="left" w:pos="2835"/>
        </w:tabs>
        <w:ind w:firstLine="2880"/>
        <w:rPr>
          <w:b/>
        </w:rPr>
      </w:pPr>
      <w:r>
        <w:t>A fs. 311 del legajo de intervenci</w:t>
      </w:r>
      <w:r>
        <w:t>o</w:t>
      </w:r>
      <w:r>
        <w:t xml:space="preserve">nes telefónicas, consta la nota de la secretaria María Susana Spina, del 21 de octubre de 1998, que reza: </w:t>
      </w:r>
      <w:r>
        <w:rPr>
          <w:bCs/>
        </w:rPr>
        <w:t>“</w:t>
      </w:r>
      <w:r>
        <w:t>para dejar constancia que en virtud del resultado de las actuaciones provenientes del Departamento Unidad de Investigación A</w:t>
      </w:r>
      <w:r>
        <w:t>n</w:t>
      </w:r>
      <w:r>
        <w:t xml:space="preserve">titerrorista de </w:t>
      </w:r>
      <w:smartTag w:uri="urn:schemas-microsoft-com:office:smarttags" w:element="PersonName">
        <w:smartTagPr>
          <w:attr w:name="ProductID" w:val="la P.F"/>
        </w:smartTagPr>
        <w:r>
          <w:t>la P.F</w:t>
        </w:r>
      </w:smartTag>
      <w:r>
        <w:t>.A. y la incompar</w:t>
      </w:r>
      <w:r>
        <w:t>e</w:t>
      </w:r>
      <w:r>
        <w:t>cencia del testigo -conforme el compromiso asumido-, se ordenó en el día de la fecha, en el legajo relacionado con los dichos del te</w:t>
      </w:r>
      <w:r>
        <w:t>s</w:t>
      </w:r>
      <w:r>
        <w:t xml:space="preserve">tigo de identidad reservada nº 10, la intervención de su teléfono por el término de treinta días, </w:t>
      </w:r>
      <w:r>
        <w:rPr>
          <w:b/>
        </w:rPr>
        <w:t>a efectos de e</w:t>
      </w:r>
      <w:r>
        <w:rPr>
          <w:b/>
        </w:rPr>
        <w:t>s</w:t>
      </w:r>
      <w:r>
        <w:rPr>
          <w:b/>
        </w:rPr>
        <w:t>tablecer con quienes se relaciona, modo de vida y caract</w:t>
      </w:r>
      <w:r>
        <w:rPr>
          <w:b/>
        </w:rPr>
        <w:t>e</w:t>
      </w:r>
      <w:r>
        <w:rPr>
          <w:b/>
        </w:rPr>
        <w:t>rísticas de su personalidad”</w:t>
      </w:r>
      <w:r>
        <w:rPr>
          <w:bCs/>
        </w:rPr>
        <w:t xml:space="preserve"> (la negrita pertenece al Tr</w:t>
      </w:r>
      <w:r>
        <w:rPr>
          <w:bCs/>
        </w:rPr>
        <w:t>i</w:t>
      </w:r>
      <w:r>
        <w:rPr>
          <w:bCs/>
        </w:rPr>
        <w:t>bunal)</w:t>
      </w:r>
      <w:r>
        <w:rPr>
          <w:b/>
        </w:rPr>
        <w:t>.</w:t>
      </w:r>
    </w:p>
    <w:p w:rsidR="00224567" w:rsidRDefault="00224567">
      <w:pPr>
        <w:widowControl w:val="0"/>
        <w:tabs>
          <w:tab w:val="center" w:pos="0"/>
          <w:tab w:val="left" w:pos="2835"/>
        </w:tabs>
        <w:ind w:firstLine="2880"/>
      </w:pPr>
      <w:r>
        <w:t>Los términos resaltados en negrita p</w:t>
      </w:r>
      <w:r>
        <w:t>a</w:t>
      </w:r>
      <w:r>
        <w:t>tentizan la convicción que subyace toda la investig</w:t>
      </w:r>
      <w:r>
        <w:t>a</w:t>
      </w:r>
      <w:r>
        <w:t>ción; esto es la ausencia de reglas y límites, tanto morales c</w:t>
      </w:r>
      <w:r>
        <w:t>o</w:t>
      </w:r>
      <w:r>
        <w:t>mo jurídicos, por parte del juez y quienes lo secundaron. Por parte de los funcionarios del Ministerio Público Fi</w:t>
      </w:r>
      <w:r>
        <w:t>s</w:t>
      </w:r>
      <w:r>
        <w:t>cal, en algunos casos trasunta complicidad, en otros n</w:t>
      </w:r>
      <w:r>
        <w:t>e</w:t>
      </w:r>
      <w:r>
        <w:t>gligencia o inexperiencia, dado que no controlaron la l</w:t>
      </w:r>
      <w:r>
        <w:t>e</w:t>
      </w:r>
      <w:r>
        <w:t>galidad del proceso.</w:t>
      </w:r>
    </w:p>
    <w:p w:rsidR="00224567" w:rsidRDefault="00224567">
      <w:pPr>
        <w:widowControl w:val="0"/>
        <w:tabs>
          <w:tab w:val="center" w:pos="0"/>
          <w:tab w:val="left" w:pos="2835"/>
        </w:tabs>
        <w:ind w:firstLine="2880"/>
        <w:rPr>
          <w:b/>
          <w:u w:val="single"/>
        </w:rPr>
      </w:pPr>
      <w:r>
        <w:t>Por ello, sin perjuicio de la inval</w:t>
      </w:r>
      <w:r>
        <w:t>i</w:t>
      </w:r>
      <w:r>
        <w:t>dez de esos actos procesales y de los que sean pr</w:t>
      </w:r>
      <w:r>
        <w:t>o</w:t>
      </w:r>
      <w:r>
        <w:t>yección nec</w:t>
      </w:r>
      <w:r>
        <w:t>e</w:t>
      </w:r>
      <w:r>
        <w:t>saria de aquélla conculcación, pudiendo constituir las violaciones al secreto profesional delitos de acción p</w:t>
      </w:r>
      <w:r>
        <w:t>ú</w:t>
      </w:r>
      <w:r>
        <w:t>blica, corresponde extraer testimonios a efectos de que se los i</w:t>
      </w:r>
      <w:r>
        <w:t>n</w:t>
      </w:r>
      <w:r>
        <w:t>vestigue.</w:t>
      </w:r>
    </w:p>
    <w:p w:rsidR="00224567" w:rsidRDefault="00224567">
      <w:pPr>
        <w:widowControl w:val="0"/>
        <w:tabs>
          <w:tab w:val="center" w:pos="0"/>
          <w:tab w:val="left" w:pos="2835"/>
        </w:tabs>
      </w:pPr>
    </w:p>
    <w:p w:rsidR="00224567" w:rsidRDefault="00224567">
      <w:pPr>
        <w:pStyle w:val="Ttulo3"/>
        <w:keepNext w:val="0"/>
        <w:widowControl w:val="0"/>
      </w:pPr>
      <w:r>
        <w:t>R) Videos: destrucción de material probatorio.</w:t>
      </w:r>
    </w:p>
    <w:p w:rsidR="00224567" w:rsidRDefault="00224567">
      <w:pPr>
        <w:widowControl w:val="0"/>
        <w:tabs>
          <w:tab w:val="center" w:pos="0"/>
          <w:tab w:val="left" w:pos="2835"/>
        </w:tabs>
        <w:ind w:firstLine="2880"/>
      </w:pPr>
      <w:r>
        <w:t>El cúmulo de irregularidades hasta aquí descriptas, cometidas en la órbita del juzgado in</w:t>
      </w:r>
      <w:r>
        <w:t>s</w:t>
      </w:r>
      <w:r>
        <w:t>tructor y en sede administrativa, en algunos casos inst</w:t>
      </w:r>
      <w:r>
        <w:t>a</w:t>
      </w:r>
      <w:r>
        <w:t>das, en otros toleradas por quien era el director del pr</w:t>
      </w:r>
      <w:r>
        <w:t>o</w:t>
      </w:r>
      <w:r>
        <w:t>ceso, no hace más que demostrar los errores conceptuales por parte de éste último y de sus colaborad</w:t>
      </w:r>
      <w:r>
        <w:t>o</w:t>
      </w:r>
      <w:r>
        <w:t>res.</w:t>
      </w:r>
    </w:p>
    <w:p w:rsidR="00224567" w:rsidRDefault="00224567">
      <w:pPr>
        <w:widowControl w:val="0"/>
        <w:tabs>
          <w:tab w:val="center" w:pos="0"/>
          <w:tab w:val="left" w:pos="2835"/>
        </w:tabs>
        <w:ind w:firstLine="2880"/>
      </w:pPr>
      <w:r>
        <w:t>De estos últimos, Spina, Velasco, De Gamas, Pereyra -otros en menor medida- asumieron, en oc</w:t>
      </w:r>
      <w:r>
        <w:t>a</w:t>
      </w:r>
      <w:r>
        <w:t>sión de prestar declaración, una actitud hostil y des</w:t>
      </w:r>
      <w:r>
        <w:t>a</w:t>
      </w:r>
      <w:r>
        <w:t>fiante, para con el Tribunal, las defensas y la querella autodenominada “Memoria Activa”, tal vez en el infantil entendimiento de una errónea lealtad hacia el magistrado in</w:t>
      </w:r>
      <w:r>
        <w:t>s</w:t>
      </w:r>
      <w:r>
        <w:t>tructor.</w:t>
      </w:r>
    </w:p>
    <w:p w:rsidR="00224567" w:rsidRDefault="00224567">
      <w:pPr>
        <w:widowControl w:val="0"/>
        <w:tabs>
          <w:tab w:val="center" w:pos="0"/>
          <w:tab w:val="left" w:pos="2835"/>
        </w:tabs>
        <w:ind w:firstLine="2880"/>
      </w:pPr>
      <w:r>
        <w:t>Errónea, pues el principal comprom</w:t>
      </w:r>
      <w:r>
        <w:t>i</w:t>
      </w:r>
      <w:r>
        <w:t>so de los funcionarios judiciales debe ser, en igual medida, con la legalidad y la verdad.</w:t>
      </w:r>
    </w:p>
    <w:p w:rsidR="00224567" w:rsidRDefault="00224567">
      <w:pPr>
        <w:widowControl w:val="0"/>
        <w:tabs>
          <w:tab w:val="center" w:pos="0"/>
          <w:tab w:val="left" w:pos="2835"/>
        </w:tabs>
        <w:ind w:firstLine="2880"/>
      </w:pPr>
      <w:r>
        <w:t>Así, en reiteradas oportunidades se escuchó decir a los funcionarios antes nombrados, con t</w:t>
      </w:r>
      <w:r>
        <w:t>o</w:t>
      </w:r>
      <w:r>
        <w:t>tal desparpajo, que en el ámbito del juzgado se filmaron algunas declaraciones, sin conocimiento de los interrog</w:t>
      </w:r>
      <w:r>
        <w:t>a</w:t>
      </w:r>
      <w:r>
        <w:t>dos; que fueron grabadas las entrevistas i</w:t>
      </w:r>
      <w:r>
        <w:t>n</w:t>
      </w:r>
      <w:r>
        <w:t>formales con el procesado Telleldín; se filmó su declaración indagatoria de julio de 1996, que luego los v</w:t>
      </w:r>
      <w:r>
        <w:t>i</w:t>
      </w:r>
      <w:r>
        <w:t>deos fueron incinerados por orden del juez instructor.</w:t>
      </w:r>
    </w:p>
    <w:p w:rsidR="00224567" w:rsidRDefault="00224567">
      <w:pPr>
        <w:widowControl w:val="0"/>
        <w:tabs>
          <w:tab w:val="center" w:pos="0"/>
          <w:tab w:val="left" w:pos="2835"/>
        </w:tabs>
        <w:ind w:firstLine="2880"/>
      </w:pPr>
      <w:r>
        <w:t>Prueba de la modalidad operativa del juzgado, resultan los videos del 10 de abril y del 1º j</w:t>
      </w:r>
      <w:r>
        <w:t>u</w:t>
      </w:r>
      <w:r>
        <w:t>lio de 1996. En ellos se ve al procesado y al juez en una charla informal, que para todos los funcionarios y emple</w:t>
      </w:r>
      <w:r>
        <w:t>a</w:t>
      </w:r>
      <w:r>
        <w:t>dos que declararon en el debate no tuvo nada de llamativo.</w:t>
      </w:r>
    </w:p>
    <w:p w:rsidR="00224567" w:rsidRDefault="00224567">
      <w:pPr>
        <w:widowControl w:val="0"/>
        <w:tabs>
          <w:tab w:val="center" w:pos="0"/>
          <w:tab w:val="left" w:pos="2835"/>
        </w:tabs>
        <w:ind w:firstLine="2880"/>
      </w:pPr>
      <w:r>
        <w:t>Asimismo, los integrantes del juzg</w:t>
      </w:r>
      <w:r>
        <w:t>a</w:t>
      </w:r>
      <w:r>
        <w:t>do se refirieron con naturalidad a la forma en que se incin</w:t>
      </w:r>
      <w:r>
        <w:t>e</w:t>
      </w:r>
      <w:r>
        <w:t>raron las videocasetes de las declaraciones registradas, admitiendo que en la ocasión no se confeccionó acta; ta</w:t>
      </w:r>
      <w:r>
        <w:t>m</w:t>
      </w:r>
      <w:r>
        <w:t>poco pudieron precisar cuáles y cuántos quemaron.</w:t>
      </w:r>
    </w:p>
    <w:p w:rsidR="00224567" w:rsidRDefault="00224567">
      <w:pPr>
        <w:widowControl w:val="0"/>
        <w:tabs>
          <w:tab w:val="center" w:pos="0"/>
          <w:tab w:val="left" w:pos="2835"/>
        </w:tabs>
        <w:ind w:firstLine="2880"/>
      </w:pPr>
      <w:r>
        <w:t>Además, carecieron de toda lógica las explicaciones que brindaron para justificar la de</w:t>
      </w:r>
      <w:r>
        <w:t>s</w:t>
      </w:r>
      <w:r>
        <w:t>trucción de las videocintas.</w:t>
      </w:r>
    </w:p>
    <w:p w:rsidR="00224567" w:rsidRDefault="00224567">
      <w:pPr>
        <w:widowControl w:val="0"/>
        <w:tabs>
          <w:tab w:val="center" w:pos="0"/>
          <w:tab w:val="left" w:pos="2835"/>
        </w:tabs>
        <w:ind w:firstLine="2880"/>
      </w:pPr>
      <w:r>
        <w:t>A fin de ahondar sobre este tópico el Tribunal, mediante oficio del 20 de julio de 2001 (fs. 93 del legajo de instrucción suplementaria), r</w:t>
      </w:r>
      <w:r>
        <w:t>e</w:t>
      </w:r>
      <w:r>
        <w:t xml:space="preserve">quirió al juez Galeano para que informe: </w:t>
      </w:r>
      <w:r>
        <w:rPr>
          <w:b/>
        </w:rPr>
        <w:t>a</w:t>
      </w:r>
      <w:r>
        <w:t>) si fue gr</w:t>
      </w:r>
      <w:r>
        <w:t>a</w:t>
      </w:r>
      <w:r>
        <w:t>bada la declaración indagatoria brindada por Carlos A. Telleldín el 5 de julio de 1996 y, en su caso, la rem</w:t>
      </w:r>
      <w:r>
        <w:t>i</w:t>
      </w:r>
      <w:r>
        <w:t xml:space="preserve">sión de la cinta pertinente; </w:t>
      </w:r>
      <w:r>
        <w:rPr>
          <w:b/>
        </w:rPr>
        <w:t>b)</w:t>
      </w:r>
      <w:r>
        <w:t xml:space="preserve"> si las declaraciones testimoniales e indagatorias, como así también las entrevistas que se produjeron durante la tramitación del sumario fueron filmadas; impetrándose el envío en caso de que la respuesta fuese afirmativa.</w:t>
      </w:r>
    </w:p>
    <w:p w:rsidR="00224567" w:rsidRDefault="00224567">
      <w:pPr>
        <w:widowControl w:val="0"/>
        <w:tabs>
          <w:tab w:val="center" w:pos="0"/>
          <w:tab w:val="left" w:pos="2835"/>
        </w:tabs>
        <w:ind w:firstLine="2880"/>
      </w:pPr>
      <w:r>
        <w:t>A fs. 827, de las actuaciones antes referidas, luce la respuesta del señor juez instructor.</w:t>
      </w:r>
    </w:p>
    <w:p w:rsidR="00224567" w:rsidRDefault="00224567">
      <w:pPr>
        <w:widowControl w:val="0"/>
        <w:tabs>
          <w:tab w:val="center" w:pos="0"/>
          <w:tab w:val="left" w:pos="2835"/>
        </w:tabs>
        <w:ind w:firstLine="2880"/>
      </w:pPr>
      <w:r>
        <w:t>Allí, entre otras consideraciones, i</w:t>
      </w:r>
      <w:r>
        <w:t>n</w:t>
      </w:r>
      <w:r>
        <w:t>dicó que durante la tramitación de la causa se “filmaron y/o grabaron algunas entrevistas o declaraciones con el propósito de contar con un reflejo más fiel o real de lo narrado en las mismas y efectuar análisis más profundo”.</w:t>
      </w:r>
    </w:p>
    <w:p w:rsidR="00224567" w:rsidRDefault="00224567">
      <w:pPr>
        <w:widowControl w:val="0"/>
        <w:tabs>
          <w:tab w:val="center" w:pos="0"/>
          <w:tab w:val="left" w:pos="2835"/>
        </w:tabs>
        <w:ind w:firstLine="2880"/>
      </w:pPr>
      <w:r>
        <w:t>Aclaró “que no todo el personal del juzgado o de la fiscalía podía estar presente en algunas audiencias debido al intenso trabajo diario y al mínimo espacio de los despachos, mientras que la filmación perm</w:t>
      </w:r>
      <w:r>
        <w:t>i</w:t>
      </w:r>
      <w:r>
        <w:t>tía observar otros factores que un acta no refleja, como el nerviosismo, seguridad de expresión, gestos, etc.”.</w:t>
      </w:r>
    </w:p>
    <w:p w:rsidR="00224567" w:rsidRDefault="00224567">
      <w:pPr>
        <w:widowControl w:val="0"/>
        <w:tabs>
          <w:tab w:val="center" w:pos="0"/>
          <w:tab w:val="left" w:pos="2835"/>
        </w:tabs>
        <w:ind w:firstLine="2880"/>
      </w:pPr>
      <w:r>
        <w:t>Especificó “que en el caso del pers</w:t>
      </w:r>
      <w:r>
        <w:t>o</w:t>
      </w:r>
      <w:r>
        <w:t xml:space="preserve">nal policial o de </w:t>
      </w:r>
      <w:r>
        <w:rPr>
          <w:bCs/>
        </w:rPr>
        <w:t>inteligencia</w:t>
      </w:r>
      <w:r>
        <w:t xml:space="preserve"> que para esa época colab</w:t>
      </w:r>
      <w:r>
        <w:t>o</w:t>
      </w:r>
      <w:r>
        <w:t>raba con la investigación y concurría asiduamente al ju</w:t>
      </w:r>
      <w:r>
        <w:t>z</w:t>
      </w:r>
      <w:r>
        <w:t>gado, su presencia resultaba incompatible en una audiencia judicial razón por la cual y con el mismo fin, también a</w:t>
      </w:r>
      <w:r>
        <w:t>c</w:t>
      </w:r>
      <w:r>
        <w:t>cedía al contenido mediante la exhibición en la sede del tribunal”.</w:t>
      </w:r>
    </w:p>
    <w:p w:rsidR="00224567" w:rsidRDefault="00224567">
      <w:pPr>
        <w:widowControl w:val="0"/>
        <w:tabs>
          <w:tab w:val="center" w:pos="0"/>
          <w:tab w:val="left" w:pos="2835"/>
        </w:tabs>
        <w:ind w:firstLine="2880"/>
      </w:pPr>
      <w:r>
        <w:t>Así, admitió que se filmaron las e</w:t>
      </w:r>
      <w:r>
        <w:t>n</w:t>
      </w:r>
      <w:r>
        <w:t>trevistas mantenidas, en la sede del juzgado, con Carlos Alberto Telleldín los días 10 de abril y 1º de julio de 1996. Tras ello el magistrado expuso que inter</w:t>
      </w:r>
      <w:r>
        <w:t>e</w:t>
      </w:r>
      <w:r>
        <w:t>saba que el antes nombrado brindara precisiones sobre la colaboración que había ofrecido y, destacó, entre las razones por las que decidió filmar la entrevista, las siguientes:</w:t>
      </w:r>
    </w:p>
    <w:p w:rsidR="00224567" w:rsidRDefault="00224567">
      <w:pPr>
        <w:widowControl w:val="0"/>
        <w:tabs>
          <w:tab w:val="center" w:pos="0"/>
          <w:tab w:val="left" w:pos="2835"/>
        </w:tabs>
        <w:ind w:firstLine="2880"/>
      </w:pPr>
      <w:r>
        <w:t>a) su presunción de que Telleldín se referiría a temas que durante el año anterior había co</w:t>
      </w:r>
      <w:r>
        <w:t>n</w:t>
      </w:r>
      <w:r>
        <w:t xml:space="preserve">versado con los Sres. Camaristas, en particular con </w:t>
      </w:r>
      <w:smartTag w:uri="urn:schemas-microsoft-com:office:smarttags" w:element="PersonName">
        <w:smartTagPr>
          <w:attr w:name="ProductID" w:val="la Dra. Luisa"/>
        </w:smartTagPr>
        <w:r>
          <w:t>la Dra. Luisa</w:t>
        </w:r>
      </w:smartTag>
      <w:r>
        <w:t xml:space="preserve"> Riva Aramayo;</w:t>
      </w:r>
    </w:p>
    <w:p w:rsidR="00224567" w:rsidRDefault="00224567">
      <w:pPr>
        <w:widowControl w:val="0"/>
        <w:tabs>
          <w:tab w:val="center" w:pos="0"/>
          <w:tab w:val="left" w:pos="2835"/>
        </w:tabs>
        <w:ind w:firstLine="2880"/>
      </w:pPr>
      <w:r>
        <w:t xml:space="preserve">b) no limitar la conversación a lo que resultara de la memoria de una sola persona, como había pasado con </w:t>
      </w:r>
      <w:smartTag w:uri="urn:schemas-microsoft-com:office:smarttags" w:element="PersonName">
        <w:smartTagPr>
          <w:attr w:name="ProductID" w:val="la Dra. Riva"/>
        </w:smartTagPr>
        <w:r>
          <w:t>la Dra. Riva</w:t>
        </w:r>
      </w:smartTag>
      <w:r>
        <w:t xml:space="preserve"> Aramayo;</w:t>
      </w:r>
    </w:p>
    <w:p w:rsidR="00224567" w:rsidRDefault="00224567">
      <w:pPr>
        <w:widowControl w:val="0"/>
        <w:tabs>
          <w:tab w:val="center" w:pos="0"/>
          <w:tab w:val="left" w:pos="2835"/>
        </w:tabs>
        <w:ind w:firstLine="2880"/>
      </w:pPr>
      <w:r>
        <w:t>c) por desconocer en ese momento los temas a los que se referiría en la entrevista;</w:t>
      </w:r>
    </w:p>
    <w:p w:rsidR="00224567" w:rsidRDefault="00224567">
      <w:pPr>
        <w:widowControl w:val="0"/>
        <w:tabs>
          <w:tab w:val="center" w:pos="0"/>
          <w:tab w:val="left" w:pos="2835"/>
        </w:tabs>
        <w:ind w:firstLine="2880"/>
      </w:pPr>
      <w:r>
        <w:t>d) “el espíritu de resguardar de alg</w:t>
      </w:r>
      <w:r>
        <w:t>u</w:t>
      </w:r>
      <w:r>
        <w:t>na manera el contenido y la espontaneidad de la reunión, no sólo porque Telleldín se negaba a mantener las imp</w:t>
      </w:r>
      <w:r>
        <w:t>u</w:t>
      </w:r>
      <w:r>
        <w:t>taciones en el proceso judicial mediante la ampli</w:t>
      </w:r>
      <w:r>
        <w:t>a</w:t>
      </w:r>
      <w:r>
        <w:t>ción de la declaración indagatoria, sino también porque podía pr</w:t>
      </w:r>
      <w:r>
        <w:t>e</w:t>
      </w:r>
      <w:r>
        <w:t xml:space="preserve">sumir que se referiría a las exigencias a las que había aludido </w:t>
      </w:r>
      <w:smartTag w:uri="urn:schemas-microsoft-com:office:smarttags" w:element="PersonName">
        <w:smartTagPr>
          <w:attr w:name="ProductID" w:val="la Dra. Riva"/>
        </w:smartTagPr>
        <w:r>
          <w:t>la Dra. Riva</w:t>
        </w:r>
      </w:smartTag>
      <w:r>
        <w:t xml:space="preserve"> Aramayo o el Dr. Stinf</w:t>
      </w:r>
      <w:r>
        <w:t>a</w:t>
      </w:r>
      <w:r>
        <w:t>le”;</w:t>
      </w:r>
    </w:p>
    <w:p w:rsidR="00224567" w:rsidRDefault="00224567">
      <w:pPr>
        <w:widowControl w:val="0"/>
        <w:tabs>
          <w:tab w:val="center" w:pos="0"/>
          <w:tab w:val="left" w:pos="2835"/>
        </w:tabs>
        <w:ind w:firstLine="2880"/>
      </w:pPr>
      <w:r>
        <w:t>e) “por conocer la decisión política del Estado Argentino de crear un fondo permanente de pr</w:t>
      </w:r>
      <w:r>
        <w:t>o</w:t>
      </w:r>
      <w:r>
        <w:t>tección contra el terrorismo internacional mediante el cual se ofrecen compensaciones pecuniarias o reco</w:t>
      </w:r>
      <w:r>
        <w:t>m</w:t>
      </w:r>
      <w:r>
        <w:t>pensas a las personas que aporten datos, informes, testimonios, d</w:t>
      </w:r>
      <w:r>
        <w:t>o</w:t>
      </w:r>
      <w:r>
        <w:t>cumentación y todo otro elemento o referencia fehaciente que conduzcan al esclarecimiento y/o a la investigación” del hecho de la causa (decreto 2023/94), “respecto del cual era probable que Telleldín hiciera alguna refere</w:t>
      </w:r>
      <w:r>
        <w:t>n</w:t>
      </w:r>
      <w:r>
        <w:t>cia”.</w:t>
      </w:r>
    </w:p>
    <w:p w:rsidR="00224567" w:rsidRDefault="00224567">
      <w:pPr>
        <w:widowControl w:val="0"/>
        <w:tabs>
          <w:tab w:val="center" w:pos="0"/>
          <w:tab w:val="left" w:pos="2835"/>
        </w:tabs>
        <w:ind w:firstLine="2880"/>
      </w:pPr>
      <w:r>
        <w:t>Añadió el Dr. Galeano en su informe que, “en el caso de la entrevista del 1º de julio de 1996 y tal como se expuso en oportunidad de decretar la claus</w:t>
      </w:r>
      <w:r>
        <w:t>u</w:t>
      </w:r>
      <w:r>
        <w:t>ra de la instrucción, fue filmada ya que el suscripto d</w:t>
      </w:r>
      <w:r>
        <w:t>e</w:t>
      </w:r>
      <w:r>
        <w:t>bía dar una opinión sobre la viabilidad de acceder a la recompensa y con el fin de brindar mayor transparencia s</w:t>
      </w:r>
      <w:r>
        <w:t>o</w:t>
      </w:r>
      <w:r>
        <w:t>bre lo tratado en la misma”.</w:t>
      </w:r>
    </w:p>
    <w:p w:rsidR="00224567" w:rsidRDefault="00224567">
      <w:pPr>
        <w:widowControl w:val="0"/>
        <w:tabs>
          <w:tab w:val="center" w:pos="0"/>
          <w:tab w:val="left" w:pos="2835"/>
        </w:tabs>
        <w:ind w:firstLine="2880"/>
      </w:pPr>
      <w:r>
        <w:t>Agregó el juez que, luego  de  la  desaparición de la copia del video del 1º de julio de 1996, entendió “que parte del material fílmico que conse</w:t>
      </w:r>
      <w:r>
        <w:t>r</w:t>
      </w:r>
      <w:r>
        <w:t>vaba eran elementos de trabajo cuyo contenido era idéntico al de las actas; concretamente el obtenido durante las d</w:t>
      </w:r>
      <w:r>
        <w:t>e</w:t>
      </w:r>
      <w:r>
        <w:t>claraciones, por resultar equivalente a los apuntes pers</w:t>
      </w:r>
      <w:r>
        <w:t>o</w:t>
      </w:r>
      <w:r>
        <w:t>nales y papeles de trabajo que habitualmente se realizan para evaluar cursos de acción y para esa época ya se h</w:t>
      </w:r>
      <w:r>
        <w:t>a</w:t>
      </w:r>
      <w:r>
        <w:t>bían llevado a cabo”.</w:t>
      </w:r>
    </w:p>
    <w:p w:rsidR="00224567" w:rsidRDefault="00224567">
      <w:pPr>
        <w:widowControl w:val="0"/>
        <w:tabs>
          <w:tab w:val="center" w:pos="0"/>
          <w:tab w:val="left" w:pos="2835"/>
        </w:tabs>
        <w:ind w:firstLine="2880"/>
      </w:pPr>
      <w:r>
        <w:t>Precisó que, a raíz del uso indebido de uno de los videos, advirtió el riesgo que significaba mantenerlos, tanto para la investigación y para él, dado que el material constituía elementos de trabajo y su co</w:t>
      </w:r>
      <w:r>
        <w:t>n</w:t>
      </w:r>
      <w:r>
        <w:t>tenido constaba en actas. Por ello, agregó el m</w:t>
      </w:r>
      <w:r>
        <w:t>a</w:t>
      </w:r>
      <w:r>
        <w:t>gistrado, encargó a uno de los Secretarios que procediera a la de</w:t>
      </w:r>
      <w:r>
        <w:t>s</w:t>
      </w:r>
      <w:r>
        <w:t>trucción, manteniendo, aunque fuera del ámbito del juzg</w:t>
      </w:r>
      <w:r>
        <w:t>a</w:t>
      </w:r>
      <w:r>
        <w:t>do, el video del 10 de abril de 1996, “de distinto cará</w:t>
      </w:r>
      <w:r>
        <w:t>c</w:t>
      </w:r>
      <w:r>
        <w:t>ter” y compl</w:t>
      </w:r>
      <w:r>
        <w:t>e</w:t>
      </w:r>
      <w:r>
        <w:t>mentario del filmado el 1 de julio.</w:t>
      </w:r>
    </w:p>
    <w:p w:rsidR="00224567" w:rsidRDefault="00224567">
      <w:pPr>
        <w:widowControl w:val="0"/>
        <w:tabs>
          <w:tab w:val="center" w:pos="0"/>
          <w:tab w:val="left" w:pos="2835"/>
        </w:tabs>
        <w:ind w:firstLine="2880"/>
      </w:pPr>
      <w:r>
        <w:t>Como surge de lo antes expuesto, el Tribunal se limitó a requerir la remisión de videos que contuvieran declaraciones testimoniales o indagatorias, en caso de existir. Aprovechó la oportunidad el Dr. G</w:t>
      </w:r>
      <w:r>
        <w:t>a</w:t>
      </w:r>
      <w:r>
        <w:t>leano, a efectos de realizar una serie de consideraci</w:t>
      </w:r>
      <w:r>
        <w:t>o</w:t>
      </w:r>
      <w:r>
        <w:t>nes, a modo de descargo, y para enviar un video cuya existencia hasta el momento se ignoraba, dado que no media en la causa acta que diese cuenta de esa cinta.</w:t>
      </w:r>
    </w:p>
    <w:p w:rsidR="00224567" w:rsidRDefault="00224567">
      <w:pPr>
        <w:widowControl w:val="0"/>
        <w:tabs>
          <w:tab w:val="center" w:pos="0"/>
          <w:tab w:val="left" w:pos="2835"/>
        </w:tabs>
        <w:ind w:firstLine="2880"/>
      </w:pPr>
      <w:r>
        <w:t>Corresponde observar, en este est</w:t>
      </w:r>
      <w:r>
        <w:t>a</w:t>
      </w:r>
      <w:r>
        <w:t>dio que las apreciaciones del juez instructor, mediante las cuales busca justificarse, recurriendo nuevamente al rem</w:t>
      </w:r>
      <w:r>
        <w:t>a</w:t>
      </w:r>
      <w:r>
        <w:t>nido argumento de que no existe un proceso de estas cara</w:t>
      </w:r>
      <w:r>
        <w:t>c</w:t>
      </w:r>
      <w:r>
        <w:t>terísticas, contienen gruesos errores conceptuales y co</w:t>
      </w:r>
      <w:r>
        <w:t>n</w:t>
      </w:r>
      <w:r>
        <w:t>tradicciones.</w:t>
      </w:r>
    </w:p>
    <w:p w:rsidR="00224567" w:rsidRDefault="00224567">
      <w:pPr>
        <w:widowControl w:val="0"/>
        <w:tabs>
          <w:tab w:val="center" w:pos="0"/>
          <w:tab w:val="left" w:pos="2835"/>
        </w:tabs>
        <w:ind w:firstLine="2880"/>
      </w:pPr>
      <w:r>
        <w:t>A la excusa del juez fundada en la e</w:t>
      </w:r>
      <w:r>
        <w:t>x</w:t>
      </w:r>
      <w:r>
        <w:t>cepcionalidad de la causa, cabe responder que, la gravedad de los hechos investigados, justamente, ameritaba una pe</w:t>
      </w:r>
      <w:r>
        <w:t>s</w:t>
      </w:r>
      <w:r>
        <w:t>quisa realizada siguiendo los cánones pr</w:t>
      </w:r>
      <w:r>
        <w:t>o</w:t>
      </w:r>
      <w:r>
        <w:t>cesales vigentes, sin distorsiones basadas en la emergencia, que daban l</w:t>
      </w:r>
      <w:r>
        <w:t>u</w:t>
      </w:r>
      <w:r>
        <w:t>gar, a su vez, a otras excepciones, llegándose a hacer una regla de ellas; esta situación se alzó como un verdadero escollo para el descubrimie</w:t>
      </w:r>
      <w:r>
        <w:t>n</w:t>
      </w:r>
      <w:r>
        <w:t>to de la verdad.</w:t>
      </w:r>
    </w:p>
    <w:p w:rsidR="00224567" w:rsidRDefault="00224567">
      <w:pPr>
        <w:widowControl w:val="0"/>
        <w:tabs>
          <w:tab w:val="center" w:pos="0"/>
          <w:tab w:val="left" w:pos="2835"/>
        </w:tabs>
        <w:ind w:firstLine="2880"/>
      </w:pPr>
      <w:r>
        <w:t>Tan es así, que los funcionarios y e</w:t>
      </w:r>
      <w:r>
        <w:t>m</w:t>
      </w:r>
      <w:r>
        <w:t>pleados del juzgado debieron realizar ingentes esfuerzos para esconder ese tipo de medidas; extremo que resultó evidente a lo largo del debate, donde debieron suplir la ve</w:t>
      </w:r>
      <w:r>
        <w:t>r</w:t>
      </w:r>
      <w:r>
        <w:t>dad con mentiras y reticencias.</w:t>
      </w:r>
    </w:p>
    <w:p w:rsidR="00224567" w:rsidRDefault="00224567">
      <w:pPr>
        <w:widowControl w:val="0"/>
        <w:tabs>
          <w:tab w:val="center" w:pos="0"/>
          <w:tab w:val="left" w:pos="2835"/>
        </w:tabs>
        <w:ind w:firstLine="2880"/>
      </w:pPr>
      <w:r>
        <w:t>Sostiene Giuliano Vassalli en su a</w:t>
      </w:r>
      <w:r>
        <w:t>r</w:t>
      </w:r>
      <w:r>
        <w:t>tículo “Emergencia Criminal y Sistema Penal”(cfr. “El D</w:t>
      </w:r>
      <w:r>
        <w:t>e</w:t>
      </w:r>
      <w:r>
        <w:t>recho Penal Hoy, Homenaje al Prof. David Baigún”, Editores del Puerto, pág. 425) que “para muchos se impuso la co</w:t>
      </w:r>
      <w:r>
        <w:t>s</w:t>
      </w:r>
      <w:r>
        <w:t>tumbre, incluso entre los juristas, de hablar de ‘emerge</w:t>
      </w:r>
      <w:r>
        <w:t>n</w:t>
      </w:r>
      <w:r>
        <w:t>cia’ también con relación a la crim</w:t>
      </w:r>
      <w:r>
        <w:t>i</w:t>
      </w:r>
      <w:r>
        <w:t>nalidad vinculada a la mafia: a menudo se decía (y aún se dice todavía, pero se trata de rastros de retagua</w:t>
      </w:r>
      <w:r>
        <w:t>r</w:t>
      </w:r>
      <w:r>
        <w:t>dia) ‘emergencia terrorista y mafiosa’, para justificar disposiciones especiales  en  contra de e</w:t>
      </w:r>
      <w:r>
        <w:t>s</w:t>
      </w:r>
      <w:r>
        <w:t>tas formas de criminalidad”.</w:t>
      </w:r>
    </w:p>
    <w:p w:rsidR="00224567" w:rsidRDefault="00224567">
      <w:pPr>
        <w:widowControl w:val="0"/>
        <w:tabs>
          <w:tab w:val="center" w:pos="0"/>
          <w:tab w:val="left" w:pos="2835"/>
        </w:tabs>
        <w:ind w:firstLine="2880"/>
      </w:pPr>
      <w:r>
        <w:t>A modo de conclusión sostiene el cit</w:t>
      </w:r>
      <w:r>
        <w:t>a</w:t>
      </w:r>
      <w:r>
        <w:t>do autor que “seguir hablando de emergencia criminal en tiempos tan duros y difíciles como los que la sociedad atravi</w:t>
      </w:r>
      <w:r>
        <w:t>e</w:t>
      </w:r>
      <w:r>
        <w:t>sa es verdaderamente inconducente”; agrega que “en la mayoría de las situaciones referidas no se trata de emergencia, sino de emersión. Muchas normas penetraron (y seguirán penetrando) en el tejido de nuestros ordenamie</w:t>
      </w:r>
      <w:r>
        <w:t>n</w:t>
      </w:r>
      <w:r>
        <w:t>tos penales en nombre de la emerge</w:t>
      </w:r>
      <w:r>
        <w:t>n</w:t>
      </w:r>
      <w:r>
        <w:t>cia, pero allí quedaran por largo tie</w:t>
      </w:r>
      <w:r>
        <w:t>m</w:t>
      </w:r>
      <w:r>
        <w:t>po”.</w:t>
      </w:r>
    </w:p>
    <w:p w:rsidR="00224567" w:rsidRDefault="00224567">
      <w:pPr>
        <w:widowControl w:val="0"/>
        <w:tabs>
          <w:tab w:val="center" w:pos="0"/>
          <w:tab w:val="left" w:pos="2835"/>
        </w:tabs>
        <w:ind w:firstLine="2880"/>
      </w:pPr>
      <w:r>
        <w:t>Culmina Giuliano Vassalli aseverando que “no se pueden nutrir ilusiones legalistas y garanti</w:t>
      </w:r>
      <w:r>
        <w:t>s</w:t>
      </w:r>
      <w:r>
        <w:t>tas más allá de un cierto límite. Pero ello no significa que la lucha de los juristas por la legalidad y por las garantías no deba continuar día a día y en toda ocasión”.</w:t>
      </w:r>
    </w:p>
    <w:p w:rsidR="00224567" w:rsidRDefault="00224567">
      <w:pPr>
        <w:widowControl w:val="0"/>
        <w:tabs>
          <w:tab w:val="center" w:pos="0"/>
          <w:tab w:val="left" w:pos="2835"/>
        </w:tabs>
        <w:ind w:firstLine="2880"/>
      </w:pPr>
      <w:r>
        <w:t>Ahora bien, ninguna de las razones e</w:t>
      </w:r>
      <w:r>
        <w:t>m</w:t>
      </w:r>
      <w:r>
        <w:t>pleadas como justificación por el juez Galeano logra su cometido.</w:t>
      </w:r>
    </w:p>
    <w:p w:rsidR="00224567" w:rsidRDefault="00224567">
      <w:pPr>
        <w:widowControl w:val="0"/>
        <w:tabs>
          <w:tab w:val="center" w:pos="0"/>
          <w:tab w:val="left" w:pos="2835"/>
        </w:tabs>
        <w:ind w:firstLine="2880"/>
      </w:pPr>
      <w:r>
        <w:t>Así, en primer término, debe señ</w:t>
      </w:r>
      <w:r>
        <w:t>a</w:t>
      </w:r>
      <w:r>
        <w:t>larse que si las actas labradas tenían idéntico contenido que las filmaciones, no se advierte la razón para que rec</w:t>
      </w:r>
      <w:r>
        <w:t>u</w:t>
      </w:r>
      <w:r>
        <w:t>rriese a aquéllas; a los fines que comenta en su descargo, bastaba la entrega de fotocopias del acta a los empleados, fiscales, funcionarios de inteligencia y policiales, d</w:t>
      </w:r>
      <w:r>
        <w:t>e</w:t>
      </w:r>
      <w:r>
        <w:t>biendo ser él, no otro, quien debía v</w:t>
      </w:r>
      <w:r>
        <w:t>a</w:t>
      </w:r>
      <w:r>
        <w:t xml:space="preserve">lorar </w:t>
      </w:r>
      <w:r>
        <w:rPr>
          <w:bCs/>
        </w:rPr>
        <w:t>“</w:t>
      </w:r>
      <w:r>
        <w:t>los factores que un acta no refleja, como el nerviosismo, seguridad de expresión, gestos..</w:t>
      </w:r>
      <w:r>
        <w:rPr>
          <w:b/>
        </w:rPr>
        <w:t>.</w:t>
      </w:r>
      <w:r>
        <w:rPr>
          <w:bCs/>
        </w:rPr>
        <w:t>”</w:t>
      </w:r>
      <w:r>
        <w:rPr>
          <w:b/>
        </w:rPr>
        <w:t xml:space="preserve">, </w:t>
      </w:r>
      <w:r>
        <w:t>pues de eso se trata la inmedi</w:t>
      </w:r>
      <w:r>
        <w:t>a</w:t>
      </w:r>
      <w:r>
        <w:t>ción, de la percepción directa del juez, no de otra pers</w:t>
      </w:r>
      <w:r>
        <w:t>o</w:t>
      </w:r>
      <w:r>
        <w:t>na.</w:t>
      </w:r>
    </w:p>
    <w:p w:rsidR="00224567" w:rsidRDefault="00224567">
      <w:pPr>
        <w:widowControl w:val="0"/>
        <w:tabs>
          <w:tab w:val="center" w:pos="0"/>
          <w:tab w:val="left" w:pos="2835"/>
        </w:tabs>
        <w:ind w:firstLine="2880"/>
      </w:pPr>
      <w:r>
        <w:t>Las restantes excusas del magistr</w:t>
      </w:r>
      <w:r>
        <w:t>a</w:t>
      </w:r>
      <w:r>
        <w:t xml:space="preserve">do, deben ser conjugadas con los dichos brindados en el debate por quien fuera presidente y apoderado de </w:t>
      </w:r>
      <w:smartTag w:uri="urn:schemas-microsoft-com:office:smarttags" w:element="PersonName">
        <w:smartTagPr>
          <w:attr w:name="ProductID" w:val="la Delegaci￳n"/>
        </w:smartTagPr>
        <w:r>
          <w:t>la D</w:t>
        </w:r>
        <w:r>
          <w:t>e</w:t>
        </w:r>
        <w:r>
          <w:t>legación</w:t>
        </w:r>
      </w:smartTag>
      <w:r>
        <w:t xml:space="preserve"> de Asociaciones Israelitas Argentina (D.A.I.A.), Rubén Ezra Beraja, en cuanto manifestó que el juez buscaba recon</w:t>
      </w:r>
      <w:r>
        <w:t>s</w:t>
      </w:r>
      <w:r>
        <w:t>truir su relación con Telleldín y que el video era prep</w:t>
      </w:r>
      <w:r>
        <w:t>a</w:t>
      </w:r>
      <w:r>
        <w:t>ratorio de la declaración indag</w:t>
      </w:r>
      <w:r>
        <w:t>a</w:t>
      </w:r>
      <w:r>
        <w:t>toria.</w:t>
      </w:r>
    </w:p>
    <w:p w:rsidR="00224567" w:rsidRDefault="00224567">
      <w:pPr>
        <w:widowControl w:val="0"/>
        <w:tabs>
          <w:tab w:val="center" w:pos="0"/>
          <w:tab w:val="left" w:pos="2835"/>
        </w:tabs>
        <w:ind w:firstLine="2880"/>
      </w:pPr>
      <w:r>
        <w:t>En otras palabras, se trataba de ro</w:t>
      </w:r>
      <w:r>
        <w:t>m</w:t>
      </w:r>
      <w:r>
        <w:t xml:space="preserve">per el silencio del imputado, que como es sabido es una garantía prevista en el artículo 18 de </w:t>
      </w:r>
      <w:smartTag w:uri="urn:schemas-microsoft-com:office:smarttags" w:element="PersonName">
        <w:smartTagPr>
          <w:attr w:name="ProductID" w:val="la Constituci￳n Nacional."/>
        </w:smartTagPr>
        <w:r>
          <w:t>la Constitución N</w:t>
        </w:r>
        <w:r>
          <w:t>a</w:t>
        </w:r>
        <w:r>
          <w:t>cional.</w:t>
        </w:r>
      </w:smartTag>
    </w:p>
    <w:p w:rsidR="00224567" w:rsidRDefault="00224567">
      <w:pPr>
        <w:widowControl w:val="0"/>
        <w:tabs>
          <w:tab w:val="center" w:pos="0"/>
          <w:tab w:val="left" w:pos="2835"/>
        </w:tabs>
        <w:ind w:firstLine="2880"/>
      </w:pPr>
      <w:r>
        <w:t>Las presunciones del magistrado d</w:t>
      </w:r>
      <w:r>
        <w:t>e</w:t>
      </w:r>
      <w:r>
        <w:t>bían ser pesquisadas a través de otros canales.</w:t>
      </w:r>
    </w:p>
    <w:p w:rsidR="00224567" w:rsidRDefault="00224567">
      <w:pPr>
        <w:widowControl w:val="0"/>
        <w:tabs>
          <w:tab w:val="center" w:pos="0"/>
          <w:tab w:val="left" w:pos="2835"/>
        </w:tabs>
        <w:ind w:firstLine="2880"/>
      </w:pPr>
      <w:r>
        <w:t>Tampoco es admisible como justificat</w:t>
      </w:r>
      <w:r>
        <w:t>i</w:t>
      </w:r>
      <w:r>
        <w:t>vo que se trataba de que la conversación no dependi</w:t>
      </w:r>
      <w:r>
        <w:t>e</w:t>
      </w:r>
      <w:r>
        <w:t>ra de la memoria de una sola persona, como había suc</w:t>
      </w:r>
      <w:r>
        <w:t>e</w:t>
      </w:r>
      <w:r>
        <w:t xml:space="preserve">dido con </w:t>
      </w:r>
      <w:smartTag w:uri="urn:schemas-microsoft-com:office:smarttags" w:element="PersonName">
        <w:smartTagPr>
          <w:attr w:name="ProductID" w:val="la Dra. Riva"/>
        </w:smartTagPr>
        <w:r>
          <w:t>la Dra. Riva</w:t>
        </w:r>
      </w:smartTag>
      <w:r>
        <w:t xml:space="preserve"> Aramayo. Ello por cuanto a fin de evitar ese i</w:t>
      </w:r>
      <w:r>
        <w:t>n</w:t>
      </w:r>
      <w:r>
        <w:t>conveniente la ley procesal (art. 301) dispone que debe labrarse un acta con los dichos del imputado.</w:t>
      </w:r>
    </w:p>
    <w:p w:rsidR="00224567" w:rsidRDefault="00224567">
      <w:pPr>
        <w:widowControl w:val="0"/>
        <w:tabs>
          <w:tab w:val="center" w:pos="0"/>
          <w:tab w:val="left" w:pos="2835"/>
        </w:tabs>
        <w:ind w:firstLine="2880"/>
      </w:pPr>
      <w:r>
        <w:t xml:space="preserve">Por lo demás, el mal ejemplo dado por la camarista, que según dijo Beraja llamó la atención en la sede de </w:t>
      </w:r>
      <w:smartTag w:uri="urn:schemas-microsoft-com:office:smarttags" w:element="PersonName">
        <w:smartTagPr>
          <w:attr w:name="ProductID" w:val="la D.A"/>
        </w:smartTagPr>
        <w:r>
          <w:t>la D.A</w:t>
        </w:r>
      </w:smartTag>
      <w:r>
        <w:t>.I.A., no puede servir de e</w:t>
      </w:r>
      <w:r>
        <w:t>x</w:t>
      </w:r>
      <w:r>
        <w:t>cusa.</w:t>
      </w:r>
    </w:p>
    <w:p w:rsidR="00224567" w:rsidRDefault="00224567">
      <w:pPr>
        <w:widowControl w:val="0"/>
        <w:tabs>
          <w:tab w:val="center" w:pos="0"/>
          <w:tab w:val="left" w:pos="2835"/>
        </w:tabs>
        <w:ind w:firstLine="2880"/>
      </w:pPr>
      <w:r>
        <w:t>Enmascara la verdad el Dr. Galeano al sostener que Telleldín abordaría temas “que durante el año anterior había conversado con los Sres. camari</w:t>
      </w:r>
      <w:r>
        <w:t>s</w:t>
      </w:r>
      <w:r>
        <w:t xml:space="preserve">tas”, pues sólo se tiene conocimiento de las reuniones celebradas con </w:t>
      </w:r>
      <w:smartTag w:uri="urn:schemas-microsoft-com:office:smarttags" w:element="PersonName">
        <w:smartTagPr>
          <w:attr w:name="ProductID" w:val="la Dra. Riva"/>
        </w:smartTagPr>
        <w:r>
          <w:t>la Dra. Riva</w:t>
        </w:r>
      </w:smartTag>
      <w:r>
        <w:t xml:space="preserve"> Aramayo.</w:t>
      </w:r>
    </w:p>
    <w:p w:rsidR="00224567" w:rsidRDefault="00224567">
      <w:pPr>
        <w:widowControl w:val="0"/>
        <w:tabs>
          <w:tab w:val="center" w:pos="0"/>
          <w:tab w:val="left" w:pos="2835"/>
        </w:tabs>
        <w:ind w:firstLine="2880"/>
      </w:pPr>
      <w:r>
        <w:t>No obstante, cabe acotar que si part</w:t>
      </w:r>
      <w:r>
        <w:t>i</w:t>
      </w:r>
      <w:r>
        <w:t>ciparon de los encuentros otros jueces de la cámara, los recuerdos no dependían únicamente de la memoria de una persona, como había sucedido con la magistrada antes me</w:t>
      </w:r>
      <w:r>
        <w:t>n</w:t>
      </w:r>
      <w:r>
        <w:t>cion</w:t>
      </w:r>
      <w:r>
        <w:t>a</w:t>
      </w:r>
      <w:r>
        <w:t>da.</w:t>
      </w:r>
    </w:p>
    <w:p w:rsidR="00224567" w:rsidRDefault="00224567">
      <w:pPr>
        <w:widowControl w:val="0"/>
        <w:tabs>
          <w:tab w:val="center" w:pos="0"/>
          <w:tab w:val="left" w:pos="2835"/>
        </w:tabs>
        <w:ind w:firstLine="2880"/>
      </w:pPr>
      <w:r>
        <w:t>Menos aún, puede argüirse que Telle</w:t>
      </w:r>
      <w:r>
        <w:t>l</w:t>
      </w:r>
      <w:r>
        <w:t>dín se negaba a mantener las imputaciones en la causa y que, nuevamente, se presumía, que se referiría a las ex</w:t>
      </w:r>
      <w:r>
        <w:t>i</w:t>
      </w:r>
      <w:r>
        <w:t>gencias.</w:t>
      </w:r>
    </w:p>
    <w:p w:rsidR="00224567" w:rsidRDefault="00224567">
      <w:pPr>
        <w:widowControl w:val="0"/>
        <w:tabs>
          <w:tab w:val="center" w:pos="0"/>
          <w:tab w:val="left" w:pos="2835"/>
        </w:tabs>
        <w:ind w:firstLine="2880"/>
      </w:pPr>
      <w:r>
        <w:t>Dentro del contexto “granjearse el ánimo del imputado” -según Beraja-, la alusión a requer</w:t>
      </w:r>
      <w:r>
        <w:t>i</w:t>
      </w:r>
      <w:r>
        <w:t>mientos de éste, es un eufemismo de negociación, temper</w:t>
      </w:r>
      <w:r>
        <w:t>a</w:t>
      </w:r>
      <w:r>
        <w:t>mento no autorizado ni por la ley 25.241 que contempla r</w:t>
      </w:r>
      <w:r>
        <w:t>e</w:t>
      </w:r>
      <w:r>
        <w:t>ducciones de pena para quienes colaboren en la investig</w:t>
      </w:r>
      <w:r>
        <w:t>a</w:t>
      </w:r>
      <w:r>
        <w:t>ción de hechos de terrorismo.</w:t>
      </w:r>
    </w:p>
    <w:p w:rsidR="00224567" w:rsidRDefault="00224567">
      <w:pPr>
        <w:widowControl w:val="0"/>
        <w:tabs>
          <w:tab w:val="center" w:pos="0"/>
          <w:tab w:val="left" w:pos="2835"/>
        </w:tabs>
        <w:ind w:firstLine="2880"/>
      </w:pPr>
      <w:r>
        <w:t>La invocación del magistrado del d</w:t>
      </w:r>
      <w:r>
        <w:t>e</w:t>
      </w:r>
      <w:r>
        <w:t>creto 2023/94, al cual Telleldín podía hacer referencia, ta</w:t>
      </w:r>
      <w:r>
        <w:t>m</w:t>
      </w:r>
      <w:r>
        <w:t>poco justifica su obrar; ello, por cuanto el trámite de la recompensa nunca podía basarse en una declaración rec</w:t>
      </w:r>
      <w:r>
        <w:t>i</w:t>
      </w:r>
      <w:r>
        <w:t>bida al margen del Código Procesal Penal. Para demostrar, en sede administrativa, la colaboración del imputado ba</w:t>
      </w:r>
      <w:r>
        <w:t>s</w:t>
      </w:r>
      <w:r>
        <w:t>taba copia certificada de la declar</w:t>
      </w:r>
      <w:r>
        <w:t>a</w:t>
      </w:r>
      <w:r>
        <w:t>ción indagatoria.</w:t>
      </w:r>
    </w:p>
    <w:p w:rsidR="00224567" w:rsidRDefault="00224567">
      <w:pPr>
        <w:widowControl w:val="0"/>
        <w:tabs>
          <w:tab w:val="center" w:pos="0"/>
          <w:tab w:val="left" w:pos="2835"/>
        </w:tabs>
        <w:ind w:firstLine="2880"/>
      </w:pPr>
      <w:r>
        <w:t>No excusa la filmación de la entrevi</w:t>
      </w:r>
      <w:r>
        <w:t>s</w:t>
      </w:r>
      <w:r>
        <w:t>ta del 1° de julio de 1996 la circunstancia expuesta al disp</w:t>
      </w:r>
      <w:r>
        <w:t>o</w:t>
      </w:r>
      <w:r>
        <w:t>nerse la clausura de la instrucción, en cuanto a que tenía que “dar una opinión sobre la viabilidad de acceder a la recompensa y con el fin de brindar mayor transpare</w:t>
      </w:r>
      <w:r>
        <w:t>n</w:t>
      </w:r>
      <w:r>
        <w:t>cia s</w:t>
      </w:r>
      <w:r>
        <w:t>o</w:t>
      </w:r>
      <w:r>
        <w:t>bre lo tratado en la misma”.</w:t>
      </w:r>
    </w:p>
    <w:p w:rsidR="00224567" w:rsidRDefault="00224567">
      <w:pPr>
        <w:widowControl w:val="0"/>
        <w:tabs>
          <w:tab w:val="center" w:pos="0"/>
          <w:tab w:val="left" w:pos="2835"/>
        </w:tabs>
        <w:ind w:firstLine="2880"/>
      </w:pPr>
      <w:r>
        <w:t>Para evacuar la consulta a la que se refiere el art. 2 del dec. 2023/94, en modo alguno era n</w:t>
      </w:r>
      <w:r>
        <w:t>e</w:t>
      </w:r>
      <w:r>
        <w:t>cesario recurrir, dos años después de su dictado, a una filmación realizada de manera subrepticia y al margen de la ley.</w:t>
      </w:r>
    </w:p>
    <w:p w:rsidR="00224567" w:rsidRDefault="00224567">
      <w:pPr>
        <w:widowControl w:val="0"/>
        <w:tabs>
          <w:tab w:val="center" w:pos="0"/>
          <w:tab w:val="left" w:pos="2835"/>
        </w:tabs>
        <w:ind w:firstLine="2880"/>
      </w:pPr>
      <w:r>
        <w:t>A juicio del Tribunal, resulta co</w:t>
      </w:r>
      <w:r>
        <w:t>n</w:t>
      </w:r>
      <w:r>
        <w:t>fuso el discurso empleado por el señor juez para explicar la destrucción de los videos, menos de uno que guardó y rem</w:t>
      </w:r>
      <w:r>
        <w:t>i</w:t>
      </w:r>
      <w:r>
        <w:t>tió con su nota.</w:t>
      </w:r>
    </w:p>
    <w:p w:rsidR="00224567" w:rsidRDefault="00224567">
      <w:pPr>
        <w:widowControl w:val="0"/>
        <w:tabs>
          <w:tab w:val="center" w:pos="0"/>
          <w:tab w:val="left" w:pos="2835"/>
        </w:tabs>
        <w:ind w:firstLine="2880"/>
      </w:pPr>
      <w:r>
        <w:t>En efecto, dijo allí que a partir de la utilización indebida, advirtió “el riesgo que para la investigación y para el suscripto significaba mant</w:t>
      </w:r>
      <w:r>
        <w:t>e</w:t>
      </w:r>
      <w:r>
        <w:t>nerlos, considerando entonces que no resultaba conveniente conse</w:t>
      </w:r>
      <w:r>
        <w:t>r</w:t>
      </w:r>
      <w:r>
        <w:t>var determinado material fílmico, concretamente los que constituían elementos de trabajo y su contenido constaba en actas”.</w:t>
      </w:r>
    </w:p>
    <w:p w:rsidR="00224567" w:rsidRDefault="00224567">
      <w:pPr>
        <w:widowControl w:val="0"/>
        <w:tabs>
          <w:tab w:val="center" w:pos="0"/>
          <w:tab w:val="left" w:pos="2835"/>
        </w:tabs>
        <w:ind w:firstLine="2880"/>
      </w:pPr>
      <w:r>
        <w:t>La ambigüedad deriva, en primer té</w:t>
      </w:r>
      <w:r>
        <w:t>r</w:t>
      </w:r>
      <w:r>
        <w:t>mino, debido a que no explica el juez las razones que lo llevan a calificar de “</w:t>
      </w:r>
      <w:r>
        <w:rPr>
          <w:b/>
        </w:rPr>
        <w:t>indebida</w:t>
      </w:r>
      <w:r>
        <w:t>” la exhibición del grabado el 1° de julio de 1996. No explicita el magi</w:t>
      </w:r>
      <w:r>
        <w:t>s</w:t>
      </w:r>
      <w:r>
        <w:t>trado cuáles eran los riesgos para la investigación y para él, que ap</w:t>
      </w:r>
      <w:r>
        <w:t>a</w:t>
      </w:r>
      <w:r>
        <w:t>rejaba mantenerlos. Tampoco indica en qué actas constaban o cuáles daban cuenta de la existencia del material fílm</w:t>
      </w:r>
      <w:r>
        <w:t>i</w:t>
      </w:r>
      <w:r>
        <w:t>co.</w:t>
      </w:r>
    </w:p>
    <w:p w:rsidR="00224567" w:rsidRDefault="00224567">
      <w:pPr>
        <w:widowControl w:val="0"/>
        <w:tabs>
          <w:tab w:val="center" w:pos="0"/>
          <w:tab w:val="left" w:pos="2835"/>
        </w:tabs>
        <w:ind w:firstLine="2880"/>
      </w:pPr>
      <w:r>
        <w:t>Además, el Dr. Galeano contradice su propio razonamiento, dado que por un lado lo fuerza para sostener que los videos filmados constituían eleme</w:t>
      </w:r>
      <w:r>
        <w:t>n</w:t>
      </w:r>
      <w:r>
        <w:t xml:space="preserve">tos de trabajo, en tanto párrafos más adelante se refiere a un oficio que enviara a </w:t>
      </w:r>
      <w:smartTag w:uri="urn:schemas-microsoft-com:office:smarttags" w:element="PersonName">
        <w:smartTagPr>
          <w:attr w:name="ProductID" w:val="la Comisi￳n Bicameral"/>
        </w:smartTagPr>
        <w:r>
          <w:t>la Comisión Bicameral</w:t>
        </w:r>
      </w:smartTag>
      <w:r>
        <w:t xml:space="preserve"> Especial de S</w:t>
      </w:r>
      <w:r>
        <w:t>e</w:t>
      </w:r>
      <w:r>
        <w:t xml:space="preserve">guimiento de </w:t>
      </w:r>
      <w:smartTag w:uri="urn:schemas-microsoft-com:office:smarttags" w:element="PersonName">
        <w:smartTagPr>
          <w:attr w:name="ProductID" w:val="la Investigaci￳n"/>
        </w:smartTagPr>
        <w:r>
          <w:t>la Investigación</w:t>
        </w:r>
      </w:smartTag>
      <w:r>
        <w:t xml:space="preserve"> de los Atentados a </w:t>
      </w:r>
      <w:smartTag w:uri="urn:schemas-microsoft-com:office:smarttags" w:element="PersonName">
        <w:smartTagPr>
          <w:attr w:name="ProductID" w:val="la Embajada"/>
        </w:smartTagPr>
        <w:r>
          <w:t>la Emb</w:t>
        </w:r>
        <w:r>
          <w:t>a</w:t>
        </w:r>
        <w:r>
          <w:t>jada</w:t>
        </w:r>
      </w:smartTag>
      <w:r>
        <w:t xml:space="preserve"> de Israel y al Edificio de </w:t>
      </w:r>
      <w:smartTag w:uri="urn:schemas-microsoft-com:office:smarttags" w:element="PersonName">
        <w:smartTagPr>
          <w:attr w:name="ProductID" w:val="la A.M"/>
        </w:smartTagPr>
        <w:r>
          <w:t>la A.M</w:t>
        </w:r>
      </w:smartTag>
      <w:r>
        <w:t>.I.A., donde sost</w:t>
      </w:r>
      <w:r>
        <w:t>u</w:t>
      </w:r>
      <w:r>
        <w:t xml:space="preserve">vo: </w:t>
      </w:r>
      <w:r>
        <w:rPr>
          <w:b/>
        </w:rPr>
        <w:t>“Hoy una vez más, contrariamente a las afirmaciones realizadas por el ex empleado, ese video constituye la d</w:t>
      </w:r>
      <w:r>
        <w:rPr>
          <w:b/>
        </w:rPr>
        <w:t>e</w:t>
      </w:r>
      <w:r>
        <w:rPr>
          <w:b/>
        </w:rPr>
        <w:t>mostración más palmaria de que Telleldín involucró espo</w:t>
      </w:r>
      <w:r>
        <w:rPr>
          <w:b/>
        </w:rPr>
        <w:t>n</w:t>
      </w:r>
      <w:r>
        <w:rPr>
          <w:b/>
        </w:rPr>
        <w:t>táneamente a los policías bonaerenses, dando nombres y apellidos, relató con lujo de detalles los hechos que los vinculaban, señaló que Ana -su concubina- recordaba caras, que el suscripto desconocía algunas circunstancias que r</w:t>
      </w:r>
      <w:r>
        <w:rPr>
          <w:b/>
        </w:rPr>
        <w:t>e</w:t>
      </w:r>
      <w:r>
        <w:rPr>
          <w:b/>
        </w:rPr>
        <w:t xml:space="preserve">lataba y que no fue presionado ni inducido para que </w:t>
      </w:r>
      <w:r>
        <w:rPr>
          <w:b/>
          <w:bCs/>
        </w:rPr>
        <w:t>mant</w:t>
      </w:r>
      <w:r>
        <w:rPr>
          <w:b/>
          <w:bCs/>
        </w:rPr>
        <w:t>u</w:t>
      </w:r>
      <w:r>
        <w:rPr>
          <w:b/>
          <w:bCs/>
        </w:rPr>
        <w:t>viera</w:t>
      </w:r>
      <w:r>
        <w:rPr>
          <w:b/>
        </w:rPr>
        <w:t xml:space="preserve"> la co</w:t>
      </w:r>
      <w:r>
        <w:rPr>
          <w:b/>
        </w:rPr>
        <w:t>n</w:t>
      </w:r>
      <w:r>
        <w:rPr>
          <w:b/>
        </w:rPr>
        <w:t>versación ni los términos de ésta”</w:t>
      </w:r>
      <w:r>
        <w:t xml:space="preserve"> (la negrita perten</w:t>
      </w:r>
      <w:r>
        <w:t>e</w:t>
      </w:r>
      <w:r>
        <w:t>ce al Tribunal).</w:t>
      </w:r>
    </w:p>
    <w:p w:rsidR="00224567" w:rsidRDefault="00224567">
      <w:pPr>
        <w:widowControl w:val="0"/>
        <w:tabs>
          <w:tab w:val="center" w:pos="0"/>
          <w:tab w:val="left" w:pos="2835"/>
        </w:tabs>
        <w:ind w:firstLine="2880"/>
      </w:pPr>
      <w:r>
        <w:t xml:space="preserve">El oficio antes referido, data del 28 de noviembre de 2000 -acompañado a este proceso por el Dr. Juan Pablo Cafiero, tras su testimonio-, y fue remitido por el magistrado a </w:t>
      </w:r>
      <w:smartTag w:uri="urn:schemas-microsoft-com:office:smarttags" w:element="PersonName">
        <w:smartTagPr>
          <w:attr w:name="ProductID" w:val="la Comisi￳n Bicameral"/>
        </w:smartTagPr>
        <w:r>
          <w:t>la Comisión Bicameral</w:t>
        </w:r>
      </w:smartTag>
      <w:r>
        <w:t xml:space="preserve"> Especial de S</w:t>
      </w:r>
      <w:r>
        <w:t>e</w:t>
      </w:r>
      <w:r>
        <w:t xml:space="preserve">guimiento de </w:t>
      </w:r>
      <w:smartTag w:uri="urn:schemas-microsoft-com:office:smarttags" w:element="PersonName">
        <w:smartTagPr>
          <w:attr w:name="ProductID" w:val="la Investigaci￳n"/>
        </w:smartTagPr>
        <w:r>
          <w:t>la Investigación</w:t>
        </w:r>
      </w:smartTag>
      <w:r>
        <w:t xml:space="preserve"> de los Atentados a </w:t>
      </w:r>
      <w:smartTag w:uri="urn:schemas-microsoft-com:office:smarttags" w:element="PersonName">
        <w:smartTagPr>
          <w:attr w:name="ProductID" w:val="la Embajada"/>
        </w:smartTagPr>
        <w:r>
          <w:t>la Emb</w:t>
        </w:r>
        <w:r>
          <w:t>a</w:t>
        </w:r>
        <w:r>
          <w:t>jada</w:t>
        </w:r>
      </w:smartTag>
      <w:r>
        <w:t xml:space="preserve"> de Israel y al Edificio de </w:t>
      </w:r>
      <w:smartTag w:uri="urn:schemas-microsoft-com:office:smarttags" w:element="PersonName">
        <w:smartTagPr>
          <w:attr w:name="ProductID" w:val="la A.M"/>
        </w:smartTagPr>
        <w:r>
          <w:t>la A.M</w:t>
        </w:r>
      </w:smartTag>
      <w:r>
        <w:t>.I.A., en respuesta a una nota de ésta. Allí, el Sr. juez trata de rebatir d</w:t>
      </w:r>
      <w:r>
        <w:t>i</w:t>
      </w:r>
      <w:r>
        <w:t>versas afirmaciones del testigo Claudio Lifschitz (ver fs. 115.997/116.010).</w:t>
      </w:r>
    </w:p>
    <w:p w:rsidR="00224567" w:rsidRDefault="00224567">
      <w:pPr>
        <w:widowControl w:val="0"/>
        <w:tabs>
          <w:tab w:val="center" w:pos="0"/>
          <w:tab w:val="left" w:pos="2835"/>
        </w:tabs>
        <w:ind w:firstLine="2880"/>
      </w:pPr>
      <w:r>
        <w:t>Así las cosas, al echar mano el juez instructor al video grabado el 1° de julio de 1996 para sostener que esa pieza “</w:t>
      </w:r>
      <w:r>
        <w:rPr>
          <w:b/>
        </w:rPr>
        <w:t>constituye la demostración palm</w:t>
      </w:r>
      <w:r>
        <w:rPr>
          <w:b/>
        </w:rPr>
        <w:t>a</w:t>
      </w:r>
      <w:r>
        <w:rPr>
          <w:b/>
        </w:rPr>
        <w:t>ria</w:t>
      </w:r>
      <w:r>
        <w:t xml:space="preserve"> de que Telleldín involucró espontáneamente...”, es evidente que otorgó a las grabaciones obtenidas del modo ya indicado, y sin que medie acta de ningún tipo, el c</w:t>
      </w:r>
      <w:r>
        <w:t>a</w:t>
      </w:r>
      <w:r>
        <w:t xml:space="preserve">rácter de </w:t>
      </w:r>
      <w:r>
        <w:rPr>
          <w:b/>
        </w:rPr>
        <w:t>“medio de prueba”</w:t>
      </w:r>
      <w:r>
        <w:t xml:space="preserve"> capaz de dilucidar el hecho constitutivo del objeto del proceso.</w:t>
      </w:r>
    </w:p>
    <w:p w:rsidR="00224567" w:rsidRDefault="00224567">
      <w:pPr>
        <w:widowControl w:val="0"/>
        <w:tabs>
          <w:tab w:val="center" w:pos="0"/>
          <w:tab w:val="left" w:pos="2835"/>
        </w:tabs>
        <w:ind w:firstLine="2880"/>
      </w:pPr>
      <w:r>
        <w:t>Pese a que el video del 10 de abril de 1996 no les fue enunciado a los procesados como prueba de cargo (art. 298 del código de forma), ni fue citado en los autos de procesamiento y de elevación a juicio, la aludida afirmación del Dr. Galeano, conten</w:t>
      </w:r>
      <w:r>
        <w:t>i</w:t>
      </w:r>
      <w:r>
        <w:t>da en el auto del 13 de agosto de 2001 (fs. 827 del legajo de Instrucción Supl</w:t>
      </w:r>
      <w:r>
        <w:t>e</w:t>
      </w:r>
      <w:r>
        <w:t>mentaria), constituye una demostración palmaria del peso que tuvo en su ánimo la cinta de marras y de la flagrante vi</w:t>
      </w:r>
      <w:r>
        <w:t>o</w:t>
      </w:r>
      <w:r>
        <w:t>lación del derecho de defensa en juicio.</w:t>
      </w:r>
    </w:p>
    <w:p w:rsidR="00224567" w:rsidRDefault="00224567">
      <w:pPr>
        <w:widowControl w:val="0"/>
        <w:tabs>
          <w:tab w:val="center" w:pos="0"/>
          <w:tab w:val="left" w:pos="2835"/>
        </w:tabs>
        <w:ind w:firstLine="2880"/>
      </w:pPr>
      <w:r>
        <w:t>En la nota que el juez instructor r</w:t>
      </w:r>
      <w:r>
        <w:t>e</w:t>
      </w:r>
      <w:r>
        <w:t>mitiera a la comisión bicameral (fs. 115.997/116.010), que no agregara a la causa y en la que nada dice de la film</w:t>
      </w:r>
      <w:r>
        <w:t>a</w:t>
      </w:r>
      <w:r>
        <w:t>ción a Telleldín del 10 de abril de 1996, sostuvo que el video fue analizado por él y el personal del juzgado “a efectos de establecer los cursos de acción a seguir”.</w:t>
      </w:r>
    </w:p>
    <w:p w:rsidR="00224567" w:rsidRDefault="00224567">
      <w:pPr>
        <w:widowControl w:val="0"/>
        <w:tabs>
          <w:tab w:val="center" w:pos="0"/>
          <w:tab w:val="left" w:pos="2835"/>
        </w:tabs>
        <w:ind w:firstLine="2880"/>
      </w:pPr>
      <w:r>
        <w:t>En similar sentido se pronunció en el oficio que remitiera al Tribunal adjuntando el video antes individualizado.</w:t>
      </w:r>
    </w:p>
    <w:p w:rsidR="00224567" w:rsidRDefault="00224567">
      <w:pPr>
        <w:widowControl w:val="0"/>
        <w:tabs>
          <w:tab w:val="center" w:pos="0"/>
          <w:tab w:val="left" w:pos="2835"/>
        </w:tabs>
        <w:ind w:firstLine="2880"/>
      </w:pPr>
      <w:r>
        <w:t>Así, no puede soslayarse que el magi</w:t>
      </w:r>
      <w:r>
        <w:t>s</w:t>
      </w:r>
      <w:r>
        <w:t>trado admite que se establecieron cursos de acción sobre la base de elementos o constancias desconocidas para las partes y, por ende, de imposible control, dado que tra</w:t>
      </w:r>
      <w:r>
        <w:t>s</w:t>
      </w:r>
      <w:r>
        <w:t>cendieron al conocimiento público por circunstancias, t</w:t>
      </w:r>
      <w:r>
        <w:t>o</w:t>
      </w:r>
      <w:r>
        <w:t>talmente, ajenas a su voluntad.</w:t>
      </w:r>
    </w:p>
    <w:p w:rsidR="00224567" w:rsidRDefault="00224567">
      <w:pPr>
        <w:widowControl w:val="0"/>
        <w:tabs>
          <w:tab w:val="center" w:pos="0"/>
          <w:tab w:val="left" w:pos="2835"/>
        </w:tabs>
        <w:ind w:firstLine="2880"/>
      </w:pPr>
      <w:r>
        <w:t>Además, vale reiterarlo, los inge</w:t>
      </w:r>
      <w:r>
        <w:t>n</w:t>
      </w:r>
      <w:r>
        <w:t>tes esfuerzos que realizó el Dr. Galeano para negar el cará</w:t>
      </w:r>
      <w:r>
        <w:t>c</w:t>
      </w:r>
      <w:r>
        <w:t>ter de instrumento probatorio a la aludida videocinta ta</w:t>
      </w:r>
      <w:r>
        <w:t>m</w:t>
      </w:r>
      <w:r>
        <w:t>poco se compadecen con su aserción de que era analizado a efe</w:t>
      </w:r>
      <w:r>
        <w:t>c</w:t>
      </w:r>
      <w:r>
        <w:t>tos de establecer cursos de acción, pues es sabido que el proceso penal está constituido por la concatenación de actos tendientes a preparar, desarrollar y poner fin m</w:t>
      </w:r>
      <w:r>
        <w:t>e</w:t>
      </w:r>
      <w:r>
        <w:t>diante la sentencia a un pleito cuya certeza y legalidad debe resultar incontr</w:t>
      </w:r>
      <w:r>
        <w:t>o</w:t>
      </w:r>
      <w:r>
        <w:t>vertible.</w:t>
      </w:r>
    </w:p>
    <w:p w:rsidR="00224567" w:rsidRDefault="00224567">
      <w:pPr>
        <w:widowControl w:val="0"/>
        <w:tabs>
          <w:tab w:val="center" w:pos="0"/>
          <w:tab w:val="left" w:pos="2835"/>
        </w:tabs>
        <w:ind w:firstLine="2880"/>
      </w:pPr>
      <w:r>
        <w:t>Hace a la legalidad del proceso la p</w:t>
      </w:r>
      <w:r>
        <w:t>o</w:t>
      </w:r>
      <w:r>
        <w:t>sibilidad de conocer y controlar los justiciables el or</w:t>
      </w:r>
      <w:r>
        <w:t>i</w:t>
      </w:r>
      <w:r>
        <w:t>gen y la forma en que se colectaron las pruebas e inform</w:t>
      </w:r>
      <w:r>
        <w:t>a</w:t>
      </w:r>
      <w:r>
        <w:t>ciones empleadas en su perjuicio; esto es de contar con la posibilidad, cierta y amplia, de contr</w:t>
      </w:r>
      <w:r>
        <w:t>a</w:t>
      </w:r>
      <w:r>
        <w:t>decirlas.</w:t>
      </w:r>
    </w:p>
    <w:p w:rsidR="00224567" w:rsidRDefault="00224567">
      <w:pPr>
        <w:widowControl w:val="0"/>
        <w:tabs>
          <w:tab w:val="center" w:pos="0"/>
          <w:tab w:val="left" w:pos="2835"/>
        </w:tabs>
        <w:ind w:firstLine="2880"/>
      </w:pPr>
      <w:r>
        <w:t>Ahora bien, en su auto nada dice el Dr. Galeano acerca de la suerte de la videofilmación que daba cuenta de otra reunión con el imputado Telleldín c</w:t>
      </w:r>
      <w:r>
        <w:t>e</w:t>
      </w:r>
      <w:r>
        <w:t xml:space="preserve">lebrada en junio de </w:t>
      </w:r>
      <w:smartTag w:uri="urn:schemas-microsoft-com:office:smarttags" w:element="metricconverter">
        <w:smartTagPr>
          <w:attr w:name="ProductID" w:val="1996. A"/>
        </w:smartTagPr>
        <w:r>
          <w:t>1996. A</w:t>
        </w:r>
      </w:smartTag>
      <w:r>
        <w:t xml:space="preserve"> ello se refirieron en el deb</w:t>
      </w:r>
      <w:r>
        <w:t>a</w:t>
      </w:r>
      <w:r>
        <w:t>te el secretario del juzgado, Dr. Carlos Velasco y, prec</w:t>
      </w:r>
      <w:r>
        <w:t>i</w:t>
      </w:r>
      <w:r>
        <w:t>samente, Telleldín.</w:t>
      </w:r>
    </w:p>
    <w:p w:rsidR="00224567" w:rsidRDefault="00224567">
      <w:pPr>
        <w:widowControl w:val="0"/>
        <w:tabs>
          <w:tab w:val="center" w:pos="0"/>
          <w:tab w:val="left" w:pos="2835"/>
        </w:tabs>
        <w:ind w:firstLine="2880"/>
      </w:pPr>
      <w:r>
        <w:t>Frente al cuadro expuesto, no queda claro cuál fue el criterio del señor juez, dado que en un caso preservó dos videos por considerarlos elementos de prueba útiles, en tanto a otros no los consideró así y o</w:t>
      </w:r>
      <w:r>
        <w:t>r</w:t>
      </w:r>
      <w:r>
        <w:t>denó destruirlos. La pauta empleada, más allá del volunt</w:t>
      </w:r>
      <w:r>
        <w:t>a</w:t>
      </w:r>
      <w:r>
        <w:t>rismo que refleja, podría encuadrar en alguna figura del código de fondo.</w:t>
      </w:r>
    </w:p>
    <w:p w:rsidR="00224567" w:rsidRDefault="00224567">
      <w:pPr>
        <w:widowControl w:val="0"/>
        <w:tabs>
          <w:tab w:val="left" w:pos="2835"/>
        </w:tabs>
      </w:pPr>
    </w:p>
    <w:p w:rsidR="00224567" w:rsidRDefault="00224567">
      <w:pPr>
        <w:pStyle w:val="Ttulo3"/>
        <w:keepNext w:val="0"/>
        <w:widowControl w:val="0"/>
      </w:pPr>
      <w:r>
        <w:t>S) Investigación y Estado de derecho.</w:t>
      </w:r>
    </w:p>
    <w:p w:rsidR="00224567" w:rsidRDefault="00224567">
      <w:pPr>
        <w:widowControl w:val="0"/>
        <w:tabs>
          <w:tab w:val="center" w:pos="0"/>
          <w:tab w:val="left" w:pos="2835"/>
        </w:tabs>
        <w:ind w:firstLine="2880"/>
      </w:pPr>
      <w:r>
        <w:rPr>
          <w:b/>
          <w:bCs/>
        </w:rPr>
        <w:t xml:space="preserve">S.1) </w:t>
      </w:r>
      <w:r>
        <w:t>Hasta aquí el contenido de las actas y videocintas, que reflejan la actividad desarroll</w:t>
      </w:r>
      <w:r>
        <w:t>a</w:t>
      </w:r>
      <w:r>
        <w:t>da por algunos de los magistrados que intervinieron en el proceso, cuyas actuaciones, en ciertos momentos, fueron real</w:t>
      </w:r>
      <w:r>
        <w:t>i</w:t>
      </w:r>
      <w:r>
        <w:t>zadas al margen de toda normativa procesal y, lo que es peor aún, sin que hubiesen merecido reprobación y ju</w:t>
      </w:r>
      <w:r>
        <w:t>z</w:t>
      </w:r>
      <w:r>
        <w:t>gamiento por los órganos institucionales a cargo de esa tarea.</w:t>
      </w:r>
    </w:p>
    <w:p w:rsidR="00224567" w:rsidRDefault="00224567">
      <w:pPr>
        <w:widowControl w:val="0"/>
        <w:tabs>
          <w:tab w:val="center" w:pos="0"/>
          <w:tab w:val="left" w:pos="2835"/>
        </w:tabs>
        <w:ind w:firstLine="2880"/>
      </w:pPr>
      <w:r>
        <w:t>Al respecto cuadra señalar, que de la lectura de este voluminoso proceso y del desarrollo de e</w:t>
      </w:r>
      <w:r>
        <w:t>s</w:t>
      </w:r>
      <w:r>
        <w:t>te extenso debate, quedó demostrado que la actividad del magistrado instructor careció de los límites, propios de un Estado de Derecho que pretenda resguardar las formas del proceso y, por ende, las garantías con</w:t>
      </w:r>
      <w:r>
        <w:t>s</w:t>
      </w:r>
      <w:r>
        <w:t>titucionales de los ciudadanos, sin que interese a ese fin la importancia, trascendencia pública y gravedad de los hechos investig</w:t>
      </w:r>
      <w:r>
        <w:t>a</w:t>
      </w:r>
      <w:r>
        <w:t>dos.</w:t>
      </w:r>
    </w:p>
    <w:p w:rsidR="00224567" w:rsidRDefault="00224567">
      <w:pPr>
        <w:widowControl w:val="0"/>
        <w:tabs>
          <w:tab w:val="center" w:pos="0"/>
          <w:tab w:val="left" w:pos="2835"/>
        </w:tabs>
        <w:ind w:firstLine="2880"/>
      </w:pPr>
      <w:r>
        <w:t>Las bases institucionales de convive</w:t>
      </w:r>
      <w:r>
        <w:t>n</w:t>
      </w:r>
      <w:r>
        <w:t xml:space="preserve">cia establecidas en </w:t>
      </w:r>
      <w:smartTag w:uri="urn:schemas-microsoft-com:office:smarttags" w:element="PersonName">
        <w:smartTagPr>
          <w:attr w:name="ProductID" w:val="la Constituci￳n Nacional"/>
        </w:smartTagPr>
        <w:r>
          <w:t>la Constitución Nacional</w:t>
        </w:r>
      </w:smartTag>
      <w:r>
        <w:t xml:space="preserve"> no pu</w:t>
      </w:r>
      <w:r>
        <w:t>e</w:t>
      </w:r>
      <w:r>
        <w:t>den ser soslayadas frente a ningún hecho, si dentro del juego de las normas legales vigentes no media una expresa autoriz</w:t>
      </w:r>
      <w:r>
        <w:t>a</w:t>
      </w:r>
      <w:r>
        <w:t>ción que reste antijuridicidad al accionar emprendido; e</w:t>
      </w:r>
      <w:r>
        <w:t>s</w:t>
      </w:r>
      <w:r>
        <w:t>to es, que el Estado no puede tolerar mecanismos de inve</w:t>
      </w:r>
      <w:r>
        <w:t>s</w:t>
      </w:r>
      <w:r>
        <w:t>tigación al margen de la ley, sino está prevista una vía exce</w:t>
      </w:r>
      <w:r>
        <w:t>p</w:t>
      </w:r>
      <w:r>
        <w:t>cional que autorice dicho apartamiento.</w:t>
      </w:r>
    </w:p>
    <w:p w:rsidR="00224567" w:rsidRDefault="00224567">
      <w:pPr>
        <w:widowControl w:val="0"/>
        <w:tabs>
          <w:tab w:val="center" w:pos="0"/>
          <w:tab w:val="left" w:pos="2835"/>
        </w:tabs>
        <w:ind w:firstLine="2880"/>
      </w:pPr>
      <w:r>
        <w:t>Francisco Muñoz Conde sostiene que, en el proceso penal, la búsqueda de la verdad está limitada por el respeto a garantías “que tienen incluso el carácter de derechos humanos reconocidos como tales en todos los textos constitucionales y leyes procesales de todos los países de nuestra área de cultura” (ver “Búsqueda de la verdad en el proceso penal”, pág. 101 y ss., ed. “Hamur</w:t>
      </w:r>
      <w:r>
        <w:t>a</w:t>
      </w:r>
      <w:r>
        <w:t>bi”, 2000).</w:t>
      </w:r>
    </w:p>
    <w:p w:rsidR="00224567" w:rsidRDefault="00224567">
      <w:pPr>
        <w:widowControl w:val="0"/>
        <w:tabs>
          <w:tab w:val="center" w:pos="0"/>
          <w:tab w:val="left" w:pos="2835"/>
        </w:tabs>
        <w:ind w:firstLine="2880"/>
      </w:pPr>
      <w:r>
        <w:t>Agrega que “por todo ello, la afirm</w:t>
      </w:r>
      <w:r>
        <w:t>a</w:t>
      </w:r>
      <w:r>
        <w:t>ción de que el objeto del proceso penal es la búsqu</w:t>
      </w:r>
      <w:r>
        <w:t>e</w:t>
      </w:r>
      <w:r>
        <w:t>da de la verdad material debe ser relativizada, y, de</w:t>
      </w:r>
      <w:r>
        <w:t>s</w:t>
      </w:r>
      <w:r>
        <w:t xml:space="preserve">de luego, se puede decir entonces, sin temor a equivocarse, </w:t>
      </w:r>
      <w:r>
        <w:rPr>
          <w:u w:val="single"/>
        </w:rPr>
        <w:t>que en el Estado de Derecho en ningún caso se debe buscar la ve</w:t>
      </w:r>
      <w:r>
        <w:rPr>
          <w:u w:val="single"/>
        </w:rPr>
        <w:t>r</w:t>
      </w:r>
      <w:r>
        <w:rPr>
          <w:u w:val="single"/>
        </w:rPr>
        <w:t>dad a toda costa o a cualquier precio</w:t>
      </w:r>
      <w:r>
        <w:t>” (el subrayado pe</w:t>
      </w:r>
      <w:r>
        <w:t>r</w:t>
      </w:r>
      <w:r>
        <w:t>tenece al Tribunal).</w:t>
      </w:r>
    </w:p>
    <w:p w:rsidR="00224567" w:rsidRDefault="00224567">
      <w:pPr>
        <w:widowControl w:val="0"/>
        <w:tabs>
          <w:tab w:val="center" w:pos="0"/>
          <w:tab w:val="left" w:pos="2835"/>
        </w:tabs>
        <w:ind w:firstLine="2880"/>
      </w:pPr>
      <w:r>
        <w:t>Afirma el autor español que “el o</w:t>
      </w:r>
      <w:r>
        <w:t>b</w:t>
      </w:r>
      <w:r>
        <w:t>jeto del proceso penal es la obtención de la verdad sólo y en la medida en que se empleen para ello medios legalmente reconocidos”; que por ello se debe hablar de una verdad forense que no siempre coincide con la verdad material y añade “este es el precio que hay que p</w:t>
      </w:r>
      <w:r>
        <w:t>a</w:t>
      </w:r>
      <w:r>
        <w:t>gar por un proceso penal respetuoso con todas las garantías y derechos hum</w:t>
      </w:r>
      <w:r>
        <w:t>a</w:t>
      </w:r>
      <w:r>
        <w:t>nos característicos del Estado social y democrático de D</w:t>
      </w:r>
      <w:r>
        <w:t>e</w:t>
      </w:r>
      <w:r>
        <w:t>recho”.</w:t>
      </w:r>
    </w:p>
    <w:p w:rsidR="00224567" w:rsidRDefault="00224567">
      <w:pPr>
        <w:widowControl w:val="0"/>
        <w:tabs>
          <w:tab w:val="center" w:pos="0"/>
          <w:tab w:val="left" w:pos="2835"/>
        </w:tabs>
        <w:ind w:firstLine="2880"/>
      </w:pPr>
      <w:r>
        <w:t>Por su elocuencia y claridad cabe c</w:t>
      </w:r>
      <w:r>
        <w:t>i</w:t>
      </w:r>
      <w:r>
        <w:t>tar el último párrafo de Muñoz Conde en la obra consign</w:t>
      </w:r>
      <w:r>
        <w:t>a</w:t>
      </w:r>
      <w:r>
        <w:t>da, en cuanto sostiene que “en el proceso penal de un E</w:t>
      </w:r>
      <w:r>
        <w:t>s</w:t>
      </w:r>
      <w:r>
        <w:t>tado de Derecho no solamente se debe lograr el equilibrio entre la búsqueda de la verdad y la dignidad de los acus</w:t>
      </w:r>
      <w:r>
        <w:t>a</w:t>
      </w:r>
      <w:r>
        <w:t>dos, sino que debe entender la verdad misma no como una verdad absoluta, sino como el deber de ap</w:t>
      </w:r>
      <w:r>
        <w:t>o</w:t>
      </w:r>
      <w:r>
        <w:t>yar una condena sólo sobre aquello que indubitada e intersubjetivamente puede darse como probado. Lo demás es puro fascismo y la vuelta a los tiempos de la inquisición, de los que se s</w:t>
      </w:r>
      <w:r>
        <w:t>u</w:t>
      </w:r>
      <w:r>
        <w:t>pone hemos ya felizmente salido”.</w:t>
      </w:r>
    </w:p>
    <w:p w:rsidR="00224567" w:rsidRDefault="00224567">
      <w:pPr>
        <w:widowControl w:val="0"/>
        <w:tabs>
          <w:tab w:val="center" w:pos="0"/>
          <w:tab w:val="left" w:pos="2835"/>
        </w:tabs>
        <w:ind w:firstLine="2880"/>
        <w:rPr>
          <w:lang w:val="es-AR"/>
        </w:rPr>
      </w:pPr>
      <w:r>
        <w:t>Acerca de las limitaciones en la bú</w:t>
      </w:r>
      <w:r>
        <w:t>s</w:t>
      </w:r>
      <w:r>
        <w:t>queda de la verdad, indica Maier que “provienen, princ</w:t>
      </w:r>
      <w:r>
        <w:t>i</w:t>
      </w:r>
      <w:r>
        <w:t>palmente, del respeto por la dignidad del ser humano ind</w:t>
      </w:r>
      <w:r>
        <w:t>i</w:t>
      </w:r>
      <w:r>
        <w:t>vidual, propio de un Estado de Derecho” (ob. cit</w:t>
      </w:r>
      <w:r>
        <w:rPr>
          <w:lang w:val="es-AR"/>
        </w:rPr>
        <w:t>., T. I, pág. 868).</w:t>
      </w:r>
    </w:p>
    <w:p w:rsidR="00224567" w:rsidRDefault="00224567">
      <w:pPr>
        <w:widowControl w:val="0"/>
        <w:tabs>
          <w:tab w:val="center" w:pos="0"/>
          <w:tab w:val="left" w:pos="2835"/>
        </w:tabs>
        <w:ind w:firstLine="2880"/>
      </w:pPr>
      <w:r>
        <w:rPr>
          <w:lang w:val="es-AR"/>
        </w:rPr>
        <w:t xml:space="preserve"> </w:t>
      </w:r>
      <w:r>
        <w:t>La falta de límites del magistrado instructor se advierte a lo largo de toda la causa, al e</w:t>
      </w:r>
      <w:r>
        <w:t>x</w:t>
      </w:r>
      <w:r>
        <w:t>tremo de constituirse en la principal característica del proceso.</w:t>
      </w:r>
    </w:p>
    <w:p w:rsidR="00224567" w:rsidRDefault="00224567">
      <w:pPr>
        <w:widowControl w:val="0"/>
        <w:tabs>
          <w:tab w:val="center" w:pos="0"/>
          <w:tab w:val="left" w:pos="2835"/>
        </w:tabs>
        <w:ind w:firstLine="2880"/>
      </w:pPr>
      <w:r>
        <w:t>En ese andar dejó de lado los más el</w:t>
      </w:r>
      <w:r>
        <w:t>e</w:t>
      </w:r>
      <w:r>
        <w:t>mentales principios que rigen el proceso penal, que tras años de luchas e injusticias la humanidad consiguió ena</w:t>
      </w:r>
      <w:r>
        <w:t>r</w:t>
      </w:r>
      <w:r>
        <w:t>bolar frente al absolutismo del poder estatal. La historia de nuestro país da cuenta cabal de las consecuencias de abandonar los dogmas que cimientan las instituciones jur</w:t>
      </w:r>
      <w:r>
        <w:t>í</w:t>
      </w:r>
      <w:r>
        <w:t>dicas.</w:t>
      </w:r>
    </w:p>
    <w:p w:rsidR="00224567" w:rsidRDefault="00224567">
      <w:pPr>
        <w:widowControl w:val="0"/>
        <w:tabs>
          <w:tab w:val="center" w:pos="0"/>
          <w:tab w:val="left" w:pos="2835"/>
        </w:tabs>
        <w:ind w:firstLine="2880"/>
      </w:pPr>
      <w:r>
        <w:t>Acerca de ello se pregunta Von Ih</w:t>
      </w:r>
      <w:r>
        <w:t>e</w:t>
      </w:r>
      <w:r>
        <w:t xml:space="preserve">ring </w:t>
      </w:r>
      <w:r>
        <w:rPr>
          <w:b/>
        </w:rPr>
        <w:t>“</w:t>
      </w:r>
      <w:r>
        <w:t>¿quién despojará a un pueblo de sus instituciones y de sus derechos alcanzados a costa de su sangre? Bien puede afirmarse que la energía y el amor con que un pueblo d</w:t>
      </w:r>
      <w:r>
        <w:t>e</w:t>
      </w:r>
      <w:r>
        <w:t>fiende sus leyes y sus derechos, están en relación propo</w:t>
      </w:r>
      <w:r>
        <w:t>r</w:t>
      </w:r>
      <w:r>
        <w:t>cional con los esfuerzos y trabajos que les haya costado alcanza</w:t>
      </w:r>
      <w:r>
        <w:t>r</w:t>
      </w:r>
      <w:r>
        <w:t>los</w:t>
      </w:r>
      <w:r>
        <w:rPr>
          <w:b/>
        </w:rPr>
        <w:t>”</w:t>
      </w:r>
      <w:r>
        <w:t xml:space="preserve"> (cfr. “</w:t>
      </w:r>
      <w:smartTag w:uri="urn:schemas-microsoft-com:office:smarttags" w:element="PersonName">
        <w:smartTagPr>
          <w:attr w:name="ProductID" w:val="La Lucha Por"/>
        </w:smartTagPr>
        <w:r>
          <w:t>La Lucha Por</w:t>
        </w:r>
      </w:smartTag>
      <w:r>
        <w:t xml:space="preserve"> El Derecho”, pág. 69, ed. Abeledo Perrot, 1977).</w:t>
      </w:r>
    </w:p>
    <w:p w:rsidR="00224567" w:rsidRDefault="00224567">
      <w:pPr>
        <w:widowControl w:val="0"/>
        <w:tabs>
          <w:tab w:val="center" w:pos="0"/>
          <w:tab w:val="left" w:pos="2835"/>
        </w:tabs>
        <w:ind w:firstLine="2880"/>
      </w:pPr>
      <w:r>
        <w:t>Al respecto sostiene Maier, con c</w:t>
      </w:r>
      <w:r>
        <w:t>i</w:t>
      </w:r>
      <w:r>
        <w:t>tas de Goldschmidt y Roxin, que</w:t>
      </w:r>
      <w:r>
        <w:rPr>
          <w:b/>
        </w:rPr>
        <w:t xml:space="preserve"> “</w:t>
      </w:r>
      <w:r>
        <w:t xml:space="preserve">Se ha observado con razón al ‘proceso penal de una nación’ como ‘el termómetro de los elementos corporativos o autoritarios de </w:t>
      </w:r>
      <w:smartTag w:uri="urn:schemas-microsoft-com:office:smarttags" w:element="PersonName">
        <w:smartTagPr>
          <w:attr w:name="ProductID" w:val="la Constituci￳n"/>
        </w:smartTagPr>
        <w:r>
          <w:t>la Constitución</w:t>
        </w:r>
      </w:smartTag>
      <w:r>
        <w:t xml:space="preserve">’ o, con idéntico significado ‘como sismógrafo de </w:t>
      </w:r>
      <w:smartTag w:uri="urn:schemas-microsoft-com:office:smarttags" w:element="PersonName">
        <w:smartTagPr>
          <w:attr w:name="ProductID" w:val="la Constituci￳n"/>
        </w:smartTagPr>
        <w:r>
          <w:t>la Const</w:t>
        </w:r>
        <w:r>
          <w:t>i</w:t>
        </w:r>
        <w:r>
          <w:t>tución</w:t>
        </w:r>
      </w:smartTag>
      <w:r>
        <w:t xml:space="preserve"> estatal’, metáforas que, a la par de confirmar nuestra advertencia anterior, describen con propiedad la estrecha unión entre el derecho constitucional y el Der</w:t>
      </w:r>
      <w:r>
        <w:t>e</w:t>
      </w:r>
      <w:r>
        <w:t>cho pr</w:t>
      </w:r>
      <w:r>
        <w:t>o</w:t>
      </w:r>
      <w:r>
        <w:t>cesal penal</w:t>
      </w:r>
      <w:r>
        <w:rPr>
          <w:b/>
        </w:rPr>
        <w:t>”</w:t>
      </w:r>
      <w:r>
        <w:t>.</w:t>
      </w:r>
    </w:p>
    <w:p w:rsidR="00224567" w:rsidRDefault="00224567">
      <w:pPr>
        <w:widowControl w:val="0"/>
        <w:tabs>
          <w:tab w:val="center" w:pos="0"/>
          <w:tab w:val="left" w:pos="2835"/>
        </w:tabs>
        <w:ind w:firstLine="2880"/>
      </w:pPr>
      <w:r>
        <w:t xml:space="preserve">Agrega Maier que </w:t>
      </w:r>
      <w:r>
        <w:rPr>
          <w:b/>
        </w:rPr>
        <w:t>“</w:t>
      </w:r>
      <w:r>
        <w:t xml:space="preserve">Es por ello que se piensa que el derecho procesal penal de hoy en día es, desde uno de los puntos de vista principales, </w:t>
      </w:r>
      <w:r>
        <w:rPr>
          <w:i/>
        </w:rPr>
        <w:t>Derecho constitucional reformulado</w:t>
      </w:r>
      <w:r>
        <w:t xml:space="preserve"> o </w:t>
      </w:r>
      <w:r>
        <w:rPr>
          <w:i/>
        </w:rPr>
        <w:t>Derecho constitucional regl</w:t>
      </w:r>
      <w:r>
        <w:rPr>
          <w:i/>
        </w:rPr>
        <w:t>a</w:t>
      </w:r>
      <w:r>
        <w:rPr>
          <w:i/>
        </w:rPr>
        <w:t>mentado</w:t>
      </w:r>
      <w:r>
        <w:t>, en el sentido del art. 28 de nuestra Con</w:t>
      </w:r>
      <w:r>
        <w:t>s</w:t>
      </w:r>
      <w:r>
        <w:t>titución nacional</w:t>
      </w:r>
      <w:r>
        <w:rPr>
          <w:b/>
        </w:rPr>
        <w:t xml:space="preserve">” </w:t>
      </w:r>
      <w:r>
        <w:t>(ob. cit., págs. 162 y ss.).</w:t>
      </w:r>
    </w:p>
    <w:p w:rsidR="00224567" w:rsidRDefault="00224567">
      <w:pPr>
        <w:widowControl w:val="0"/>
        <w:tabs>
          <w:tab w:val="center" w:pos="0"/>
          <w:tab w:val="left" w:pos="2835"/>
        </w:tabs>
        <w:ind w:firstLine="2880"/>
      </w:pPr>
      <w:r>
        <w:t>En dicho sentido, cabe expresar que, más allá de los preceptos constitucionales, recogidos por el ordenamiento formal, el desarrollo del proceso judicial es la demostración palpable del grado de progreso alcanz</w:t>
      </w:r>
      <w:r>
        <w:t>a</w:t>
      </w:r>
      <w:r>
        <w:t>do por una sociedad, cualquiera sea la gravedad de los h</w:t>
      </w:r>
      <w:r>
        <w:t>e</w:t>
      </w:r>
      <w:r>
        <w:t>chos, pues es allí, en el caso concreto, donde deben ser aplic</w:t>
      </w:r>
      <w:r>
        <w:t>a</w:t>
      </w:r>
      <w:r>
        <w:t xml:space="preserve">dos los enunciados de </w:t>
      </w:r>
      <w:smartTag w:uri="urn:schemas-microsoft-com:office:smarttags" w:element="PersonName">
        <w:smartTagPr>
          <w:attr w:name="ProductID" w:val="la Ley Fundamental."/>
        </w:smartTagPr>
        <w:r>
          <w:t>la Ley Fundamental.</w:t>
        </w:r>
      </w:smartTag>
    </w:p>
    <w:p w:rsidR="00224567" w:rsidRDefault="00224567">
      <w:pPr>
        <w:widowControl w:val="0"/>
        <w:tabs>
          <w:tab w:val="center" w:pos="0"/>
          <w:tab w:val="left" w:pos="2835"/>
        </w:tabs>
        <w:ind w:firstLine="2880"/>
      </w:pPr>
      <w:r>
        <w:t>En caso de tolerarse desvíos al ord</w:t>
      </w:r>
      <w:r>
        <w:t>e</w:t>
      </w:r>
      <w:r>
        <w:t>namiento jurídico con fundamento en la magnitud del ilíc</w:t>
      </w:r>
      <w:r>
        <w:t>i</w:t>
      </w:r>
      <w:r>
        <w:t>to, se sentarían las bases para la inseguridad j</w:t>
      </w:r>
      <w:r>
        <w:t>u</w:t>
      </w:r>
      <w:r>
        <w:t xml:space="preserve">rídica de todos los ciudadanos, dado que frente a la imputación de un hecho de esas características se verían reducidas las garantías, siendo que </w:t>
      </w:r>
      <w:smartTag w:uri="urn:schemas-microsoft-com:office:smarttags" w:element="PersonName">
        <w:smartTagPr>
          <w:attr w:name="ProductID" w:val="la Constituci￳n Nacional"/>
        </w:smartTagPr>
        <w:r>
          <w:t>la Constitución Nacional</w:t>
        </w:r>
      </w:smartTag>
      <w:r>
        <w:t xml:space="preserve"> no prevé distingo alguno sobre el particular.</w:t>
      </w:r>
    </w:p>
    <w:p w:rsidR="00224567" w:rsidRDefault="00224567">
      <w:pPr>
        <w:widowControl w:val="0"/>
        <w:tabs>
          <w:tab w:val="center" w:pos="0"/>
          <w:tab w:val="left" w:pos="2835"/>
        </w:tabs>
        <w:ind w:firstLine="2880"/>
        <w:rPr>
          <w:lang w:val="en-US"/>
        </w:rPr>
      </w:pPr>
      <w:r>
        <w:t>La violación de aquellos principios, que se materializó en la invasión a ámbitos de intimidad legalmente protegidos -con la complicidad de una de las partes-, al tratar de sonsacar información a los imputados detenidos, grabación de conversaciones de abogados defe</w:t>
      </w:r>
      <w:r>
        <w:t>n</w:t>
      </w:r>
      <w:r>
        <w:t>sores y diputados nacionales, pago a un imputado, promesas a otros, amenazas a detenidos, filmaciones espurias de imputados y testigos, intervenciones telefónicas sin fu</w:t>
      </w:r>
      <w:r>
        <w:t>n</w:t>
      </w:r>
      <w:r>
        <w:t>damentos, legajos cuya existencia era ignorada por la m</w:t>
      </w:r>
      <w:r>
        <w:t>a</w:t>
      </w:r>
      <w:r>
        <w:t>yoría de las partes -léase secretos-, constancias actu</w:t>
      </w:r>
      <w:r>
        <w:t>a</w:t>
      </w:r>
      <w:r>
        <w:t>riales falsas, amenazas a testigos, tergiversación de sus declaraciones, facilitación de encuentros entre querella</w:t>
      </w:r>
      <w:r>
        <w:t>n</w:t>
      </w:r>
      <w:r>
        <w:t>tes y un detenido -en la sede del juzgado- sin la prese</w:t>
      </w:r>
      <w:r>
        <w:t>n</w:t>
      </w:r>
      <w:r>
        <w:t>cia del juez, reunión entre un comisario y un preso, etc., constituyen una verdadera “remembranza de la santa inqu</w:t>
      </w:r>
      <w:r>
        <w:t>i</w:t>
      </w:r>
      <w:r>
        <w:t xml:space="preserve">sición” (ver. Yesid Reyes Alvarado en “Teorías Actuales en el Derecho Penal, 75º Aniversario del Código Penal”, ed. </w:t>
      </w:r>
      <w:r>
        <w:rPr>
          <w:lang w:val="en-US"/>
        </w:rPr>
        <w:t>“Ad-Hoc”, pág. 375 y ss.).</w:t>
      </w:r>
    </w:p>
    <w:p w:rsidR="00224567" w:rsidRDefault="00224567">
      <w:pPr>
        <w:widowControl w:val="0"/>
        <w:tabs>
          <w:tab w:val="center" w:pos="0"/>
          <w:tab w:val="left" w:pos="2835"/>
        </w:tabs>
        <w:ind w:firstLine="2880"/>
      </w:pPr>
      <w:r>
        <w:t xml:space="preserve">Al respecto sostuvo </w:t>
      </w:r>
      <w:smartTag w:uri="urn:schemas-microsoft-com:office:smarttags" w:element="PersonName">
        <w:smartTagPr>
          <w:attr w:name="ProductID" w:val="la C￡mara Nacional"/>
        </w:smartTagPr>
        <w:r>
          <w:t>la Cámara Naci</w:t>
        </w:r>
        <w:r>
          <w:t>o</w:t>
        </w:r>
        <w:r>
          <w:t>nal</w:t>
        </w:r>
      </w:smartTag>
      <w:r>
        <w:t xml:space="preserve"> de Apelaciones en lo Criminal y Correccional Fed</w:t>
      </w:r>
      <w:r>
        <w:t>e</w:t>
      </w:r>
      <w:r>
        <w:t>ral en la causa nº 13, “Videla, Jorge Rafael y otros”, sentencia del 9 de diciembre de 1985, precisamente citada por la quer</w:t>
      </w:r>
      <w:r>
        <w:t>e</w:t>
      </w:r>
      <w:r>
        <w:t>lla A.M.I.A.-D.A.I.A. y Grupo de Familiares, pero apunta</w:t>
      </w:r>
      <w:r>
        <w:t>n</w:t>
      </w:r>
      <w:r>
        <w:t>do en otra dirección, que “no es posible aceptar que el fin justifique los medios ni que todos ellos sean nobles cuando el fin es noble”, para agregar a continuación, “que este Tribunal no tiene otro modo de resolver el caso som</w:t>
      </w:r>
      <w:r>
        <w:t>e</w:t>
      </w:r>
      <w:r>
        <w:t>tido a su consider</w:t>
      </w:r>
      <w:r>
        <w:t>a</w:t>
      </w:r>
      <w:r>
        <w:t>ción, que a través de la aplicación de las reglas del derecho”, añadiendo “Y ello no por negar la gravedad de la guerra revolucionaria y la situación de n</w:t>
      </w:r>
      <w:r>
        <w:t>e</w:t>
      </w:r>
      <w:r>
        <w:t>cesidad que ella acarrea, sino porque el progreso cultural de los pueblos los ha llevado a incorporar la necesidad, las situaciones de excepción, la conmoción interior, la sedición, la guerra misma, al ordenamiento jurídico en v</w:t>
      </w:r>
      <w:r>
        <w:t>i</w:t>
      </w:r>
      <w:r>
        <w:t>gor, razón por la cual esas circunstancias solamente deben ser enfrentadas dentro de sus leyes, que no pueden ser i</w:t>
      </w:r>
      <w:r>
        <w:t>g</w:t>
      </w:r>
      <w:r>
        <w:t>noradas. Ni en aras de la destrucción de un maligno enem</w:t>
      </w:r>
      <w:r>
        <w:t>i</w:t>
      </w:r>
      <w:r>
        <w:t>go. Ni por venc</w:t>
      </w:r>
      <w:r>
        <w:t>e</w:t>
      </w:r>
      <w:r>
        <w:t>dores ni vencidos, ni por nadie que quiera la vigencia de los valores permanentes de una sociedad, que es el sentido último del derecho como ordenador de la vida en común (cfr. “</w:t>
      </w:r>
      <w:smartTag w:uri="urn:schemas-microsoft-com:office:smarttags" w:element="PersonName">
        <w:smartTagPr>
          <w:attr w:name="ProductID" w:val="La Sentencia"/>
        </w:smartTagPr>
        <w:r>
          <w:t>La Sentencia</w:t>
        </w:r>
      </w:smartTag>
      <w:r>
        <w:t>”, T. II, pág. 765, ed</w:t>
      </w:r>
      <w:r>
        <w:t>i</w:t>
      </w:r>
      <w:r>
        <w:t xml:space="preserve">tada por </w:t>
      </w:r>
      <w:smartTag w:uri="urn:schemas-microsoft-com:office:smarttags" w:element="PersonName">
        <w:smartTagPr>
          <w:attr w:name="ProductID" w:val="la Imprenta"/>
        </w:smartTagPr>
        <w:r>
          <w:t>la Imprenta</w:t>
        </w:r>
      </w:smartTag>
      <w:r>
        <w:t xml:space="preserve"> del Co</w:t>
      </w:r>
      <w:r>
        <w:t>n</w:t>
      </w:r>
      <w:r>
        <w:t xml:space="preserve">greso de </w:t>
      </w:r>
      <w:smartTag w:uri="urn:schemas-microsoft-com:office:smarttags" w:element="PersonName">
        <w:smartTagPr>
          <w:attr w:name="ProductID" w:val="la Naci￳n"/>
        </w:smartTagPr>
        <w:r>
          <w:t>la Nación</w:t>
        </w:r>
      </w:smartTag>
      <w:r>
        <w:t>, año 1987; Fallos 309, T. I y II).</w:t>
      </w:r>
    </w:p>
    <w:p w:rsidR="00224567" w:rsidRDefault="00224567">
      <w:pPr>
        <w:widowControl w:val="0"/>
        <w:tabs>
          <w:tab w:val="center" w:pos="0"/>
          <w:tab w:val="left" w:pos="2835"/>
        </w:tabs>
        <w:ind w:firstLine="2880"/>
      </w:pPr>
      <w:r>
        <w:t>En ese orden de ideas vale reiterar que este Tribunal sostuvo “que el proceso penal es un pr</w:t>
      </w:r>
      <w:r>
        <w:t>o</w:t>
      </w:r>
      <w:r>
        <w:t>cedimiento de protección jurídica para los justici</w:t>
      </w:r>
      <w:r>
        <w:t>a</w:t>
      </w:r>
      <w:r>
        <w:t xml:space="preserve">bles   -reglamentario de </w:t>
      </w:r>
      <w:smartTag w:uri="urn:schemas-microsoft-com:office:smarttags" w:element="PersonName">
        <w:smartTagPr>
          <w:attr w:name="ProductID" w:val="la Constituci￳n"/>
        </w:smartTagPr>
        <w:r>
          <w:t>la Constitución</w:t>
        </w:r>
      </w:smartTag>
      <w:r>
        <w:t xml:space="preserve"> (Maier, Julio, ‘Derecho Procesal Penal Argentino’, T. 1b, pág. 251)- cuya final</w:t>
      </w:r>
      <w:r>
        <w:t>i</w:t>
      </w:r>
      <w:r>
        <w:t>dad es la investigación de la verdad mediante la concat</w:t>
      </w:r>
      <w:r>
        <w:t>e</w:t>
      </w:r>
      <w:r>
        <w:t>nación de actos válidos que permitan el dictado de una sentencia, no estando permitida pers</w:t>
      </w:r>
      <w:r>
        <w:t>e</w:t>
      </w:r>
      <w:r>
        <w:t>guirlas de cualquier manera, razón por la cual deben desecharse todas las pru</w:t>
      </w:r>
      <w:r>
        <w:t>e</w:t>
      </w:r>
      <w:r>
        <w:t>bas obtenidas mediante actos ilegales’ (cfr. causa nº 24/93 “Maldonado Balderrama, Wilson y otros s/ inf. ley 23.737", sentencia del 25 de agosto de 1994, reg. nº 9/94).</w:t>
      </w:r>
    </w:p>
    <w:p w:rsidR="00224567" w:rsidRDefault="00224567">
      <w:pPr>
        <w:widowControl w:val="0"/>
        <w:tabs>
          <w:tab w:val="center" w:pos="0"/>
          <w:tab w:val="left" w:pos="2835"/>
        </w:tabs>
        <w:ind w:firstLine="2880"/>
      </w:pPr>
      <w:r>
        <w:t>Se indicó en el precedente antes al</w:t>
      </w:r>
      <w:r>
        <w:t>u</w:t>
      </w:r>
      <w:r>
        <w:t xml:space="preserve">dido que “sobre el particular, ha dicho </w:t>
      </w:r>
      <w:smartTag w:uri="urn:schemas-microsoft-com:office:smarttags" w:element="PersonName">
        <w:smartTagPr>
          <w:attr w:name="ProductID" w:val="la Corte Suprema"/>
        </w:smartTagPr>
        <w:r>
          <w:t>la Corte Suprema</w:t>
        </w:r>
      </w:smartTag>
      <w:r>
        <w:t xml:space="preserve"> que el acatamiento por parte de los jueces de los mandatos constitucionales no puede reducirse a disponer el proces</w:t>
      </w:r>
      <w:r>
        <w:t>a</w:t>
      </w:r>
      <w:r>
        <w:t>miento y castigo de los eventuales responsables de la vi</w:t>
      </w:r>
      <w:r>
        <w:t>o</w:t>
      </w:r>
      <w:r>
        <w:t>lación constitucional, porque otorgar valor al resultado de su delito y apoyar sobre él una sentencia judicial, no sólo es contradictorio con el reproche formulado sino que compromete la buena administración de justicia al const</w:t>
      </w:r>
      <w:r>
        <w:t>i</w:t>
      </w:r>
      <w:r>
        <w:t>tuirla en beneficiaria del hecho ilícito (Fallos: 303:1938)”.</w:t>
      </w:r>
    </w:p>
    <w:p w:rsidR="00224567" w:rsidRDefault="00224567">
      <w:pPr>
        <w:widowControl w:val="0"/>
        <w:tabs>
          <w:tab w:val="center" w:pos="0"/>
          <w:tab w:val="left" w:pos="2835"/>
        </w:tabs>
        <w:ind w:firstLine="2880"/>
      </w:pPr>
      <w:r>
        <w:t xml:space="preserve">Agregó el Tribunal que ha sostenido </w:t>
      </w:r>
      <w:smartTag w:uri="urn:schemas-microsoft-com:office:smarttags" w:element="PersonName">
        <w:smartTagPr>
          <w:attr w:name="ProductID" w:val="la Corte"/>
        </w:smartTagPr>
        <w:r>
          <w:t>la Corte</w:t>
        </w:r>
      </w:smartTag>
      <w:r>
        <w:t xml:space="preserve"> que “esta función de apreciar la proyección de la ilegitimidad del procedimiento sobre cada elemento prob</w:t>
      </w:r>
      <w:r>
        <w:t>a</w:t>
      </w:r>
      <w:r>
        <w:t>torio es propia de los jueces, quienes en tal cometido d</w:t>
      </w:r>
      <w:r>
        <w:t>e</w:t>
      </w:r>
      <w:r>
        <w:t>ben valorar las particularidades del caso co</w:t>
      </w:r>
      <w:r>
        <w:t>n</w:t>
      </w:r>
      <w:r>
        <w:t>creto” y que “para dicha finalidad debe analizarse la concatenación causal de los actos, de acuerdo con la sana crítica raci</w:t>
      </w:r>
      <w:r>
        <w:t>o</w:t>
      </w:r>
      <w:r>
        <w:t>nal, que atiende a las reglas de la lógica y de la exp</w:t>
      </w:r>
      <w:r>
        <w:t>e</w:t>
      </w:r>
      <w:r>
        <w:t>riencia social; de manera que por esa vía puedan determ</w:t>
      </w:r>
      <w:r>
        <w:t>i</w:t>
      </w:r>
      <w:r>
        <w:t>narse con claridad los efectos a los que conduciría la eliminación de los eslabones v</w:t>
      </w:r>
      <w:r>
        <w:t>i</w:t>
      </w:r>
      <w:r>
        <w:t>ciados, teniendo en cuenta la posibilidad de adquis</w:t>
      </w:r>
      <w:r>
        <w:t>i</w:t>
      </w:r>
      <w:r>
        <w:t>ción de las evidencias por otras fuentes disti</w:t>
      </w:r>
      <w:r>
        <w:t>n</w:t>
      </w:r>
      <w:r>
        <w:t>tas de las que se tengan por ilegítimas. De tal modo, que deberá descartarse por ineficaz la prueba habida en la ca</w:t>
      </w:r>
      <w:r>
        <w:t>u</w:t>
      </w:r>
      <w:r>
        <w:t>sa, siempre y cuando su obtención dependa directa y necesariamente de la violación de la garantía constitucional, o bien de una consecuencia de esa viol</w:t>
      </w:r>
      <w:r>
        <w:t>a</w:t>
      </w:r>
      <w:r>
        <w:t>ción (Fallos: 310:1847).</w:t>
      </w:r>
    </w:p>
    <w:p w:rsidR="00224567" w:rsidRDefault="00224567">
      <w:pPr>
        <w:widowControl w:val="0"/>
        <w:tabs>
          <w:tab w:val="center" w:pos="0"/>
          <w:tab w:val="left" w:pos="2835"/>
        </w:tabs>
        <w:ind w:firstLine="2880"/>
      </w:pPr>
      <w:r>
        <w:t>Se recordó, además, en el caso “Mald</w:t>
      </w:r>
      <w:r>
        <w:t>o</w:t>
      </w:r>
      <w:r>
        <w:t xml:space="preserve">nado Balderrama, Wilson” que “es doctrina de </w:t>
      </w:r>
      <w:smartTag w:uri="urn:schemas-microsoft-com:office:smarttags" w:element="PersonName">
        <w:smartTagPr>
          <w:attr w:name="ProductID" w:val="la Corte"/>
        </w:smartTagPr>
        <w:r>
          <w:t>la Corte</w:t>
        </w:r>
      </w:smartTag>
      <w:r>
        <w:t xml:space="preserve"> de que la materia en examen siempre encierra un conflicto e</w:t>
      </w:r>
      <w:r>
        <w:t>n</w:t>
      </w:r>
      <w:r>
        <w:t>tre dos intereses fundamentales de la sociedad, como lo son el de una rápida y eficiente ejecución de la ley y el de prevenir el menoscabo de los derechos individuales de sus miembros a raíz de la aplicación de métodos inconst</w:t>
      </w:r>
      <w:r>
        <w:t>i</w:t>
      </w:r>
      <w:r>
        <w:t>tucionales por parte de quienes se encuentran encargados de resguardar su cumplimiento (F</w:t>
      </w:r>
      <w:r>
        <w:t>a</w:t>
      </w:r>
      <w:r>
        <w:t>llos: 303:1938; 308:733, entre muchos otros)”.</w:t>
      </w:r>
    </w:p>
    <w:p w:rsidR="00224567" w:rsidRDefault="00224567">
      <w:pPr>
        <w:widowControl w:val="0"/>
        <w:tabs>
          <w:tab w:val="center" w:pos="0"/>
          <w:tab w:val="left" w:pos="2835"/>
        </w:tabs>
        <w:ind w:firstLine="2880"/>
      </w:pPr>
      <w:r>
        <w:t>Por último, indicó el Tribunal en el precedente que se viene citando “que tampoco se puede d</w:t>
      </w:r>
      <w:r>
        <w:t>e</w:t>
      </w:r>
      <w:r>
        <w:t>jar de destacar que, contrariamente a lo que aconteciera en este proceso, el sumario criminal debe tener como pri</w:t>
      </w:r>
      <w:r>
        <w:t>n</w:t>
      </w:r>
      <w:r>
        <w:t xml:space="preserve">cipal objeto un hecho presuntamente delictivo (art. 193, inc. 1º del C.P.P.), toda vez que el art. 19 de </w:t>
      </w:r>
      <w:smartTag w:uri="urn:schemas-microsoft-com:office:smarttags" w:element="PersonName">
        <w:smartTagPr>
          <w:attr w:name="ProductID" w:val="la Constituci￳n Nacional"/>
        </w:smartTagPr>
        <w:r>
          <w:t>la Const</w:t>
        </w:r>
        <w:r>
          <w:t>i</w:t>
        </w:r>
        <w:r>
          <w:t>tución Nacional</w:t>
        </w:r>
      </w:smartTag>
      <w:r>
        <w:t xml:space="preserve"> consagra el principio de exterioridad de las acci</w:t>
      </w:r>
      <w:r>
        <w:t>o</w:t>
      </w:r>
      <w:r>
        <w:t>nes, el que armoniza con un derecho penal de acto y no de autor. A ello obedece, como bien sostiene Maurach, que ‘la reacción penal seleccionada y medida atendiendo únicamente a la peligrosidad del autor, priva al derecho penal de las posib</w:t>
      </w:r>
      <w:r>
        <w:t>i</w:t>
      </w:r>
      <w:r>
        <w:t>lidades que tan sólo a él se le ofrecen para combatir el delito desde una posición mucho más firme que la representada por el pronóstico social de la pel</w:t>
      </w:r>
      <w:r>
        <w:t>i</w:t>
      </w:r>
      <w:r>
        <w:t>gros</w:t>
      </w:r>
      <w:r>
        <w:t>i</w:t>
      </w:r>
      <w:r>
        <w:t>dad’, para agregar ‘la acción basada solamente en la peligrosidad del autor no constituye en realidad rea</w:t>
      </w:r>
      <w:r>
        <w:t>c</w:t>
      </w:r>
      <w:r>
        <w:t>ción, sino simplemente profilaxis” (ver “Tratado de Derecho P</w:t>
      </w:r>
      <w:r>
        <w:t>e</w:t>
      </w:r>
      <w:r>
        <w:t>nal”, Barcelona Airel, 1962, T. I, pág. 59; en igual se</w:t>
      </w:r>
      <w:r>
        <w:t>n</w:t>
      </w:r>
      <w:r>
        <w:t>tido ver Maurach-Zipf, “Derecho Penal, Parte General”, T. I, pág. 80 y ss., ed. Astrea 1994).</w:t>
      </w:r>
    </w:p>
    <w:p w:rsidR="00224567" w:rsidRDefault="00224567">
      <w:pPr>
        <w:widowControl w:val="0"/>
        <w:tabs>
          <w:tab w:val="center" w:pos="0"/>
          <w:tab w:val="left" w:pos="2835"/>
        </w:tabs>
      </w:pPr>
      <w:r>
        <w:tab/>
      </w:r>
      <w:r>
        <w:rPr>
          <w:b/>
          <w:bCs/>
        </w:rPr>
        <w:t xml:space="preserve">S.2) </w:t>
      </w:r>
      <w:r>
        <w:t xml:space="preserve">No cabe duda que el atentado a la sede de </w:t>
      </w:r>
      <w:smartTag w:uri="urn:schemas-microsoft-com:office:smarttags" w:element="PersonName">
        <w:smartTagPr>
          <w:attr w:name="ProductID" w:val="la A.M"/>
        </w:smartTagPr>
        <w:r>
          <w:t>la A.M</w:t>
        </w:r>
      </w:smartTag>
      <w:r>
        <w:t>.I.A. constituyó un ataque terrorista. En ese convencimiento, resulta oportuno efectuar otras cons</w:t>
      </w:r>
      <w:r>
        <w:t>i</w:t>
      </w:r>
      <w:r>
        <w:t>der</w:t>
      </w:r>
      <w:r>
        <w:t>a</w:t>
      </w:r>
      <w:r>
        <w:t>ciones complementarias.</w:t>
      </w:r>
    </w:p>
    <w:p w:rsidR="00224567" w:rsidRDefault="00224567">
      <w:pPr>
        <w:widowControl w:val="0"/>
        <w:tabs>
          <w:tab w:val="center" w:pos="0"/>
          <w:tab w:val="left" w:pos="2835"/>
        </w:tabs>
      </w:pPr>
      <w:r>
        <w:tab/>
      </w:r>
      <w:r>
        <w:tab/>
        <w:t>Previamente cabe adelantar que los aquí acusados en modo alguno son responsables del hecho terrorista y, por ende, lejos están de ser alca</w:t>
      </w:r>
      <w:r>
        <w:t>n</w:t>
      </w:r>
      <w:r>
        <w:t>zados por el calificativo que merecen quienes lo perp</w:t>
      </w:r>
      <w:r>
        <w:t>e</w:t>
      </w:r>
      <w:r>
        <w:t>traron.</w:t>
      </w:r>
    </w:p>
    <w:p w:rsidR="00224567" w:rsidRDefault="00224567">
      <w:pPr>
        <w:widowControl w:val="0"/>
        <w:tabs>
          <w:tab w:val="center" w:pos="0"/>
          <w:tab w:val="left" w:pos="2835"/>
        </w:tabs>
      </w:pPr>
      <w:r>
        <w:tab/>
      </w:r>
      <w:r>
        <w:tab/>
        <w:t xml:space="preserve">El innegable carácter aberrante y atroz del atentado a la sede de </w:t>
      </w:r>
      <w:smartTag w:uri="urn:schemas-microsoft-com:office:smarttags" w:element="PersonName">
        <w:smartTagPr>
          <w:attr w:name="ProductID" w:val="la A.M"/>
        </w:smartTagPr>
        <w:r>
          <w:t>la A.M</w:t>
        </w:r>
      </w:smartTag>
      <w:r>
        <w:t>.I.A. no aut</w:t>
      </w:r>
      <w:r>
        <w:t>o</w:t>
      </w:r>
      <w:r>
        <w:t xml:space="preserve">riza a dejar de lado el sistema de garantías, impuesto por </w:t>
      </w:r>
      <w:smartTag w:uri="urn:schemas-microsoft-com:office:smarttags" w:element="PersonName">
        <w:smartTagPr>
          <w:attr w:name="ProductID" w:val="la Constituci￳n Nacional"/>
        </w:smartTagPr>
        <w:r>
          <w:t>la Constitución Nacional</w:t>
        </w:r>
      </w:smartTag>
      <w:r>
        <w:t xml:space="preserve"> y los Tratados Internaci</w:t>
      </w:r>
      <w:r>
        <w:t>o</w:t>
      </w:r>
      <w:r>
        <w:t xml:space="preserve">nales sobre Derechos Humanos que gozan de igual jerarquía (art. 75, inc. </w:t>
      </w:r>
      <w:smartTag w:uri="urn:schemas-microsoft-com:office:smarttags" w:element="metricconverter">
        <w:smartTagPr>
          <w:attr w:name="ProductID" w:val="22, C"/>
        </w:smartTagPr>
        <w:r>
          <w:t>22, C</w:t>
        </w:r>
      </w:smartTag>
      <w:r>
        <w:t>.N.), ni libera al Estado de las restricciones a las que está sometido en su respuesta a esa forma de vi</w:t>
      </w:r>
      <w:r>
        <w:t>o</w:t>
      </w:r>
      <w:r>
        <w:t>lencia.</w:t>
      </w:r>
    </w:p>
    <w:p w:rsidR="00224567" w:rsidRDefault="00224567">
      <w:pPr>
        <w:widowControl w:val="0"/>
        <w:tabs>
          <w:tab w:val="center" w:pos="0"/>
          <w:tab w:val="left" w:pos="2835"/>
        </w:tabs>
      </w:pPr>
      <w:r>
        <w:tab/>
      </w:r>
      <w:r>
        <w:tab/>
        <w:t>En la especie, como se verá, lo e</w:t>
      </w:r>
      <w:r>
        <w:t>x</w:t>
      </w:r>
      <w:r>
        <w:t>puesto es aplicable respecto de varios procesados, pero de modo especial a Telleldín quien fue sobornado y coaccion</w:t>
      </w:r>
      <w:r>
        <w:t>a</w:t>
      </w:r>
      <w:r>
        <w:t>do a efectos de que vinculase a otros al proceso, todo ello en pos de una supuesta vinculación t</w:t>
      </w:r>
      <w:r>
        <w:t>e</w:t>
      </w:r>
      <w:r>
        <w:t>rrorista local.</w:t>
      </w:r>
    </w:p>
    <w:p w:rsidR="00224567" w:rsidRDefault="00224567">
      <w:pPr>
        <w:widowControl w:val="0"/>
        <w:tabs>
          <w:tab w:val="center" w:pos="0"/>
          <w:tab w:val="left" w:pos="2835"/>
        </w:tabs>
      </w:pPr>
      <w:r>
        <w:tab/>
      </w:r>
      <w:r>
        <w:tab/>
        <w:t xml:space="preserve">Sin perjuicio de las prescripciones que sobre el tema establece </w:t>
      </w:r>
      <w:smartTag w:uri="urn:schemas-microsoft-com:office:smarttags" w:element="PersonName">
        <w:smartTagPr>
          <w:attr w:name="ProductID" w:val="la Constituci￳n Nacional"/>
        </w:smartTagPr>
        <w:r>
          <w:t>la Constitución Nacional</w:t>
        </w:r>
      </w:smartTag>
      <w:r>
        <w:t xml:space="preserve"> al imponer el respeto a los derechos y garantías de todo h</w:t>
      </w:r>
      <w:r>
        <w:t>a</w:t>
      </w:r>
      <w:r>
        <w:t>bitante, en el orden internacional diversos instrumentos de derechos humanos fijan los requisitos mínimos e inder</w:t>
      </w:r>
      <w:r>
        <w:t>o</w:t>
      </w:r>
      <w:r>
        <w:t>gables que deben prevalecer en lo atinente al trato que merece cualquier i</w:t>
      </w:r>
      <w:r>
        <w:t>n</w:t>
      </w:r>
      <w:r>
        <w:t>dividuo.</w:t>
      </w:r>
    </w:p>
    <w:p w:rsidR="00224567" w:rsidRDefault="00224567">
      <w:pPr>
        <w:widowControl w:val="0"/>
        <w:tabs>
          <w:tab w:val="center" w:pos="0"/>
          <w:tab w:val="left" w:pos="2835"/>
        </w:tabs>
      </w:pPr>
      <w:r>
        <w:tab/>
      </w:r>
      <w:r>
        <w:tab/>
        <w:t xml:space="preserve">En el sentido indicado, </w:t>
      </w:r>
      <w:smartTag w:uri="urn:schemas-microsoft-com:office:smarttags" w:element="PersonName">
        <w:smartTagPr>
          <w:attr w:name="ProductID" w:val="La Corte Interamericana"/>
        </w:smartTagPr>
        <w:r>
          <w:t>la Corte I</w:t>
        </w:r>
        <w:r>
          <w:t>n</w:t>
        </w:r>
        <w:r>
          <w:t>teramericana</w:t>
        </w:r>
      </w:smartTag>
      <w:r>
        <w:t xml:space="preserve"> de Derechos Humanos ha establecido que si bien “un Estado tiene el derecho y el deber de g</w:t>
      </w:r>
      <w:r>
        <w:t>a</w:t>
      </w:r>
      <w:r>
        <w:t>rantizar su propia seguridad [...] debe ejercerlos dentro de los límites y conforme a los procedimientos que permitan pr</w:t>
      </w:r>
      <w:r>
        <w:t>e</w:t>
      </w:r>
      <w:r>
        <w:t>servar tanto la seguridad pública como los derechos fund</w:t>
      </w:r>
      <w:r>
        <w:t>a</w:t>
      </w:r>
      <w:r>
        <w:t>mentales de la persona humana” y que “por graves que pu</w:t>
      </w:r>
      <w:r>
        <w:t>e</w:t>
      </w:r>
      <w:r>
        <w:t>dan ser ciertas acciones [...], no cabe admitir que el p</w:t>
      </w:r>
      <w:r>
        <w:t>o</w:t>
      </w:r>
      <w:r>
        <w:t>der pueda ejercerse sin límite alguno o que el Estado pu</w:t>
      </w:r>
      <w:r>
        <w:t>e</w:t>
      </w:r>
      <w:r>
        <w:t>da valerse de cualquier procedimiento para alcanzar sus objet</w:t>
      </w:r>
      <w:r>
        <w:t>i</w:t>
      </w:r>
      <w:r>
        <w:t>vos...” (cónf. Sentencia del caso “Castillo Petruzzi y otros”, del 30 de mayo de 1999. En igual sentido se e</w:t>
      </w:r>
      <w:r>
        <w:t>x</w:t>
      </w:r>
      <w:r>
        <w:t xml:space="preserve">pidió </w:t>
      </w:r>
      <w:smartTag w:uri="urn:schemas-microsoft-com:office:smarttags" w:element="PersonName">
        <w:smartTagPr>
          <w:attr w:name="ProductID" w:val="la Comisi￳n Interamericana"/>
        </w:smartTagPr>
        <w:r>
          <w:t>la Comisión Interam</w:t>
        </w:r>
        <w:r>
          <w:t>e</w:t>
        </w:r>
        <w:r>
          <w:t>ricana</w:t>
        </w:r>
      </w:smartTag>
      <w:r>
        <w:t xml:space="preserve"> de Derechos Humanos en el info</w:t>
      </w:r>
      <w:r>
        <w:t>r</w:t>
      </w:r>
      <w:r>
        <w:t>me nº 50/00, caso 11.298).</w:t>
      </w:r>
    </w:p>
    <w:p w:rsidR="00224567" w:rsidRDefault="00224567">
      <w:pPr>
        <w:widowControl w:val="0"/>
        <w:tabs>
          <w:tab w:val="center" w:pos="0"/>
          <w:tab w:val="left" w:pos="2835"/>
        </w:tabs>
      </w:pPr>
      <w:r>
        <w:tab/>
      </w:r>
      <w:r>
        <w:tab/>
        <w:t>Recuérdese que todos los Estados mie</w:t>
      </w:r>
      <w:r>
        <w:t>m</w:t>
      </w:r>
      <w:r>
        <w:t xml:space="preserve">bros de </w:t>
      </w:r>
      <w:smartTag w:uri="urn:schemas-microsoft-com:office:smarttags" w:element="PersonName">
        <w:smartTagPr>
          <w:attr w:name="ProductID" w:val="la Organizaci￳n"/>
        </w:smartTagPr>
        <w:r>
          <w:t>la Organización</w:t>
        </w:r>
      </w:smartTag>
      <w:r>
        <w:t xml:space="preserve"> de los Estados Americanos -de la que nuestro país forma parte- están obligados por una s</w:t>
      </w:r>
      <w:r>
        <w:t>e</w:t>
      </w:r>
      <w:r>
        <w:t>rie de disposiciones sobre derechos humanos incluidos en dive</w:t>
      </w:r>
      <w:r>
        <w:t>r</w:t>
      </w:r>
      <w:r>
        <w:t>sos documentos internacionales.</w:t>
      </w:r>
    </w:p>
    <w:p w:rsidR="00224567" w:rsidRDefault="00224567">
      <w:pPr>
        <w:widowControl w:val="0"/>
        <w:tabs>
          <w:tab w:val="center" w:pos="0"/>
          <w:tab w:val="left" w:pos="2835"/>
        </w:tabs>
      </w:pPr>
      <w:r>
        <w:tab/>
      </w:r>
      <w:r>
        <w:tab/>
        <w:t>Muchos instrumentos de aquella natur</w:t>
      </w:r>
      <w:r>
        <w:t>a</w:t>
      </w:r>
      <w:r>
        <w:t>leza no sólo forman parte de nuestro derecho i</w:t>
      </w:r>
      <w:r>
        <w:t>n</w:t>
      </w:r>
      <w:r>
        <w:t>terno, sino que desde la reforma constitucional de 1994 gozan de j</w:t>
      </w:r>
      <w:r>
        <w:t>e</w:t>
      </w:r>
      <w:r>
        <w:t xml:space="preserve">rarquía constitucional. Entre ellos, se destacan </w:t>
      </w:r>
      <w:smartTag w:uri="urn:schemas-microsoft-com:office:smarttags" w:element="PersonName">
        <w:smartTagPr>
          <w:attr w:name="ProductID" w:val="la Declaraci￳n Americana"/>
        </w:smartTagPr>
        <w:r>
          <w:t>la Decl</w:t>
        </w:r>
        <w:r>
          <w:t>a</w:t>
        </w:r>
        <w:r>
          <w:t>ración Americana</w:t>
        </w:r>
      </w:smartTag>
      <w:r>
        <w:t xml:space="preserve"> de los Derechos y Deb</w:t>
      </w:r>
      <w:r>
        <w:t>e</w:t>
      </w:r>
      <w:r>
        <w:t xml:space="preserve">res del Hombre, </w:t>
      </w:r>
      <w:smartTag w:uri="urn:schemas-microsoft-com:office:smarttags" w:element="PersonName">
        <w:smartTagPr>
          <w:attr w:name="ProductID" w:val="la Declaraci￳n Universal"/>
        </w:smartTagPr>
        <w:r>
          <w:t>la Declaración Universal</w:t>
        </w:r>
      </w:smartTag>
      <w:r>
        <w:t xml:space="preserve"> de los Derechos Humanos, </w:t>
      </w:r>
      <w:smartTag w:uri="urn:schemas-microsoft-com:office:smarttags" w:element="PersonName">
        <w:smartTagPr>
          <w:attr w:name="ProductID" w:val="la Convenci￳n Americana"/>
        </w:smartTagPr>
        <w:r>
          <w:t>la Conve</w:t>
        </w:r>
        <w:r>
          <w:t>n</w:t>
        </w:r>
        <w:r>
          <w:t>ción Americana</w:t>
        </w:r>
      </w:smartTag>
      <w:r>
        <w:t xml:space="preserve"> sobre Derechos Humanos, el Pacto Intern</w:t>
      </w:r>
      <w:r>
        <w:t>a</w:t>
      </w:r>
      <w:r>
        <w:t>cional de Derechos Civiles y Políticos y su Protocolo F</w:t>
      </w:r>
      <w:r>
        <w:t>a</w:t>
      </w:r>
      <w:r>
        <w:t xml:space="preserve">cultativo, </w:t>
      </w:r>
      <w:smartTag w:uri="urn:schemas-microsoft-com:office:smarttags" w:element="PersonName">
        <w:smartTagPr>
          <w:attr w:name="ProductID" w:val="la Convenci￳n"/>
        </w:smartTagPr>
        <w:r>
          <w:t>la Convención</w:t>
        </w:r>
      </w:smartTag>
      <w:r>
        <w:t xml:space="preserve"> s</w:t>
      </w:r>
      <w:r>
        <w:t>o</w:t>
      </w:r>
      <w:r>
        <w:t xml:space="preserve">bre </w:t>
      </w:r>
      <w:smartTag w:uri="urn:schemas-microsoft-com:office:smarttags" w:element="PersonName">
        <w:smartTagPr>
          <w:attr w:name="ProductID" w:val="la Prevenci￳n"/>
        </w:smartTagPr>
        <w:r>
          <w:t>la Prevención</w:t>
        </w:r>
      </w:smartTag>
      <w:r>
        <w:t xml:space="preserve"> y </w:t>
      </w:r>
      <w:smartTag w:uri="urn:schemas-microsoft-com:office:smarttags" w:element="PersonName">
        <w:smartTagPr>
          <w:attr w:name="ProductID" w:val="la Sanci￳n"/>
        </w:smartTagPr>
        <w:r>
          <w:t>la Sanción</w:t>
        </w:r>
      </w:smartTag>
      <w:r>
        <w:t xml:space="preserve"> del Delito de Genocidio y </w:t>
      </w:r>
      <w:smartTag w:uri="urn:schemas-microsoft-com:office:smarttags" w:element="PersonName">
        <w:smartTagPr>
          <w:attr w:name="ProductID" w:val="la Convenci￳n"/>
        </w:smartTagPr>
        <w:r>
          <w:t>la Convención</w:t>
        </w:r>
      </w:smartTag>
      <w:r>
        <w:t xml:space="preserve"> contra </w:t>
      </w:r>
      <w:smartTag w:uri="urn:schemas-microsoft-com:office:smarttags" w:element="PersonName">
        <w:smartTagPr>
          <w:attr w:name="ProductID" w:val="la Tortura"/>
        </w:smartTagPr>
        <w:r>
          <w:t>la Tortura</w:t>
        </w:r>
      </w:smartTag>
      <w:r>
        <w:t xml:space="preserve"> y otros Tratos o Penas Crueles, Inhumanos o Degradantes, entre otros.</w:t>
      </w:r>
    </w:p>
    <w:p w:rsidR="00224567" w:rsidRDefault="00224567">
      <w:pPr>
        <w:widowControl w:val="0"/>
        <w:tabs>
          <w:tab w:val="center" w:pos="0"/>
          <w:tab w:val="left" w:pos="2835"/>
        </w:tabs>
      </w:pPr>
      <w:r>
        <w:tab/>
      </w:r>
      <w:r>
        <w:tab/>
        <w:t xml:space="preserve">Aquellos “...tratados modernos sobre derechos humanos, en general, y, en particular, </w:t>
      </w:r>
      <w:smartTag w:uri="urn:schemas-microsoft-com:office:smarttags" w:element="PersonName">
        <w:smartTagPr>
          <w:attr w:name="ProductID" w:val="la Convenci￳n Americana"/>
        </w:smartTagPr>
        <w:r>
          <w:t>la Conve</w:t>
        </w:r>
        <w:r>
          <w:t>n</w:t>
        </w:r>
        <w:r>
          <w:t>ción Americana</w:t>
        </w:r>
      </w:smartTag>
      <w:r>
        <w:t>, no son tratados multilaterales del tipo tradicional, concluidos en función de un intercambio rec</w:t>
      </w:r>
      <w:r>
        <w:t>í</w:t>
      </w:r>
      <w:r>
        <w:t>proco de derechos, para el beneficio m</w:t>
      </w:r>
      <w:r>
        <w:t>u</w:t>
      </w:r>
      <w:r>
        <w:t>tuo de los Estados contratantes. Su objetivo y fin son la protección de los derechos fundamentales de los seres humanos, independie</w:t>
      </w:r>
      <w:r>
        <w:t>n</w:t>
      </w:r>
      <w:r>
        <w:t>temente de su nacionalidad, tanto frente a su propio Est</w:t>
      </w:r>
      <w:r>
        <w:t>a</w:t>
      </w:r>
      <w:r>
        <w:t>do como frente a los otros Estados contratantes. Al apr</w:t>
      </w:r>
      <w:r>
        <w:t>o</w:t>
      </w:r>
      <w:r>
        <w:t>bar estos tratados sobre derechos humanos, los Estados se someten a un orden legal dentro del cual ellos, por el bien común, asumen varias obligaciones, no en relación con otros Estados, sino hacia los individuos bajo su jurisdi</w:t>
      </w:r>
      <w:r>
        <w:t>c</w:t>
      </w:r>
      <w:r>
        <w:t>ción (Corte Interamericana de Derechos Humanos, Opinión Consu</w:t>
      </w:r>
      <w:r>
        <w:t>l</w:t>
      </w:r>
      <w:r>
        <w:t>tiva OC-2/82 del 24 de septiembre de 1982).</w:t>
      </w:r>
    </w:p>
    <w:p w:rsidR="00224567" w:rsidRDefault="00224567">
      <w:pPr>
        <w:widowControl w:val="0"/>
        <w:tabs>
          <w:tab w:val="center" w:pos="0"/>
          <w:tab w:val="left" w:pos="2835"/>
        </w:tabs>
      </w:pPr>
      <w:r>
        <w:tab/>
      </w:r>
      <w:r>
        <w:tab/>
        <w:t>Ellos contemplan todo un and</w:t>
      </w:r>
      <w:r>
        <w:t>a</w:t>
      </w:r>
      <w:r>
        <w:t>miaje de derechos y garantías que deben ser reconocidos a cua</w:t>
      </w:r>
      <w:r>
        <w:t>l</w:t>
      </w:r>
      <w:r>
        <w:t>quier persona imputada de un delito, cualquiera sea su natural</w:t>
      </w:r>
      <w:r>
        <w:t>e</w:t>
      </w:r>
      <w:r>
        <w:t>za.</w:t>
      </w:r>
    </w:p>
    <w:p w:rsidR="00224567" w:rsidRDefault="00224567">
      <w:pPr>
        <w:widowControl w:val="0"/>
        <w:tabs>
          <w:tab w:val="center" w:pos="0"/>
          <w:tab w:val="left" w:pos="2835"/>
        </w:tabs>
      </w:pPr>
      <w:r>
        <w:tab/>
      </w:r>
      <w:r>
        <w:tab/>
        <w:t>Además, el pleno respeto por el rég</w:t>
      </w:r>
      <w:r>
        <w:t>i</w:t>
      </w:r>
      <w:r>
        <w:t>men de derecho y los derechos humanos fundamentales ha s</w:t>
      </w:r>
      <w:r>
        <w:t>i</w:t>
      </w:r>
      <w:r>
        <w:t xml:space="preserve">do explícitamente reconocido por los Estados miembros de </w:t>
      </w:r>
      <w:smartTag w:uri="urn:schemas-microsoft-com:office:smarttags" w:element="PersonName">
        <w:smartTagPr>
          <w:attr w:name="ProductID" w:val="la Organizaci￳n"/>
        </w:smartTagPr>
        <w:r>
          <w:t>la Organización</w:t>
        </w:r>
      </w:smartTag>
      <w:r>
        <w:t xml:space="preserve"> de los Estados Americanos como requisito necesario de los esfuerzos de lucha contra el terrorismo (cónf. Resolución AG/RES. 1043 XX-0/90, vigésimo período ordinario de sesiones de </w:t>
      </w:r>
      <w:smartTag w:uri="urn:schemas-microsoft-com:office:smarttags" w:element="PersonName">
        <w:smartTagPr>
          <w:attr w:name="ProductID" w:val="la Asamblea General"/>
        </w:smartTagPr>
        <w:r>
          <w:t>la Asamblea G</w:t>
        </w:r>
        <w:r>
          <w:t>e</w:t>
        </w:r>
        <w:r>
          <w:t>neral</w:t>
        </w:r>
      </w:smartTag>
      <w:r>
        <w:t xml:space="preserve"> de </w:t>
      </w:r>
      <w:smartTag w:uri="urn:schemas-microsoft-com:office:smarttags" w:element="PersonName">
        <w:smartTagPr>
          <w:attr w:name="ProductID" w:val="la O.E"/>
        </w:smartTagPr>
        <w:r>
          <w:t>la O.E</w:t>
        </w:r>
      </w:smartTag>
      <w:r>
        <w:t>.A., 1990).</w:t>
      </w:r>
    </w:p>
    <w:p w:rsidR="00224567" w:rsidRDefault="00224567">
      <w:pPr>
        <w:widowControl w:val="0"/>
        <w:tabs>
          <w:tab w:val="center" w:pos="0"/>
          <w:tab w:val="left" w:pos="2835"/>
        </w:tabs>
      </w:pPr>
      <w:r>
        <w:tab/>
      </w:r>
      <w:r>
        <w:tab/>
        <w:t>Incluso, en el informe sobre Terrori</w:t>
      </w:r>
      <w:r>
        <w:t>s</w:t>
      </w:r>
      <w:r>
        <w:t xml:space="preserve">mo y Derechos Humanos, elaborado en el año 2002, por </w:t>
      </w:r>
      <w:smartTag w:uri="urn:schemas-microsoft-com:office:smarttags" w:element="PersonName">
        <w:smartTagPr>
          <w:attr w:name="ProductID" w:val="la Comisi￳n Interamericana"/>
        </w:smartTagPr>
        <w:r>
          <w:t>la Comisión Interamericana</w:t>
        </w:r>
      </w:smartTag>
      <w:r>
        <w:t xml:space="preserve"> de Derechos Humanos, se reafirmó la necesidad de que los Estados, al adoptar medidas ant</w:t>
      </w:r>
      <w:r>
        <w:t>i</w:t>
      </w:r>
      <w:r>
        <w:t>terr</w:t>
      </w:r>
      <w:r>
        <w:t>o</w:t>
      </w:r>
      <w:r>
        <w:t>ristas, cumplan con sus obligaciones internacionales, incluyendo las del derecho internacional de los derechos humanos, señalando al mismo tiempo que: “Este compromiso no sólo está fundado en cuesti</w:t>
      </w:r>
      <w:r>
        <w:t>o</w:t>
      </w:r>
      <w:r>
        <w:t>nes de principios, a saber, el respeto por los valores intrínsecos de la democracia y el estado de derecho que los empeños antiterroristas pr</w:t>
      </w:r>
      <w:r>
        <w:t>o</w:t>
      </w:r>
      <w:r>
        <w:t>curan preservar, sino que también está impuesto por los instrumentos intern</w:t>
      </w:r>
      <w:r>
        <w:t>a</w:t>
      </w:r>
      <w:r>
        <w:t>cionales a los que los Estados se han obligado lega</w:t>
      </w:r>
      <w:r>
        <w:t>l</w:t>
      </w:r>
      <w:r>
        <w:t xml:space="preserve">mente, incluida </w:t>
      </w:r>
      <w:smartTag w:uri="urn:schemas-microsoft-com:office:smarttags" w:element="PersonName">
        <w:smartTagPr>
          <w:attr w:name="ProductID" w:val="la Declaraci￳n Americana"/>
        </w:smartTagPr>
        <w:r>
          <w:t>la Declaración Americana</w:t>
        </w:r>
      </w:smartTag>
      <w:r>
        <w:t xml:space="preserve"> de los Der</w:t>
      </w:r>
      <w:r>
        <w:t>e</w:t>
      </w:r>
      <w:r>
        <w:t xml:space="preserve">chos y Deberes del Hombre, </w:t>
      </w:r>
      <w:smartTag w:uri="urn:schemas-microsoft-com:office:smarttags" w:element="PersonName">
        <w:smartTagPr>
          <w:attr w:name="ProductID" w:val="la Convenci￳n Americana"/>
        </w:smartTagPr>
        <w:r>
          <w:t>la Convención Americana</w:t>
        </w:r>
      </w:smartTag>
      <w:r>
        <w:t xml:space="preserve"> sobre Derechos Humanos, el Pacto Internacional de Der</w:t>
      </w:r>
      <w:r>
        <w:t>e</w:t>
      </w:r>
      <w:r>
        <w:t>chos Civ</w:t>
      </w:r>
      <w:r>
        <w:t>i</w:t>
      </w:r>
      <w:r>
        <w:t>les y Políticos, y los Convenios de Ginebra de 1949 y sus Protocolos Adicionales de 1977, así como otros instr</w:t>
      </w:r>
      <w:r>
        <w:t>u</w:t>
      </w:r>
      <w:r>
        <w:t>mentos pertinentes del derecho humanitario internacional y las correspondientes normas y principios del derecho co</w:t>
      </w:r>
      <w:r>
        <w:t>n</w:t>
      </w:r>
      <w:r>
        <w:t>suetud</w:t>
      </w:r>
      <w:r>
        <w:t>i</w:t>
      </w:r>
      <w:r>
        <w:t>nario. Estas obligaciones internacionales no crean ninguna excepción general para el terrorismo en su aplic</w:t>
      </w:r>
      <w:r>
        <w:t>a</w:t>
      </w:r>
      <w:r>
        <w:t>ción, sino que establecen un régimen interrelacionado y mutuamente reforzado de protecciones de los derechos hum</w:t>
      </w:r>
      <w:r>
        <w:t>a</w:t>
      </w:r>
      <w:r>
        <w:t>nos a los que se deben conformar las respuestas de los E</w:t>
      </w:r>
      <w:r>
        <w:t>s</w:t>
      </w:r>
      <w:r>
        <w:t>tados al terr</w:t>
      </w:r>
      <w:r>
        <w:t>o</w:t>
      </w:r>
      <w:r>
        <w:t>rismo” (pág. 30/31).</w:t>
      </w:r>
    </w:p>
    <w:p w:rsidR="00224567" w:rsidRDefault="00224567">
      <w:pPr>
        <w:widowControl w:val="0"/>
        <w:tabs>
          <w:tab w:val="center" w:pos="0"/>
          <w:tab w:val="left" w:pos="2835"/>
        </w:tabs>
      </w:pPr>
      <w:r>
        <w:tab/>
      </w:r>
      <w:r>
        <w:tab/>
        <w:t xml:space="preserve">En la misma dirección se orienta </w:t>
      </w:r>
      <w:smartTag w:uri="urn:schemas-microsoft-com:office:smarttags" w:element="PersonName">
        <w:smartTagPr>
          <w:attr w:name="ProductID" w:val="la Convenci￳n Interamericana"/>
        </w:smartTagPr>
        <w:r>
          <w:t>la Convención Interamericana</w:t>
        </w:r>
      </w:smartTag>
      <w:r>
        <w:t xml:space="preserve"> contra el Terrorismo, adoptada en Bridgetown, Barbados, el 3 de junio de 2002, que en su artículo 15 dispone: “1. Las medidas adoptadas por los E</w:t>
      </w:r>
      <w:r>
        <w:t>s</w:t>
      </w:r>
      <w:r>
        <w:t>tados Parte de conformidad con esta Convención se llevarán a cabo con pleno respeto al estado de derecho, los der</w:t>
      </w:r>
      <w:r>
        <w:t>e</w:t>
      </w:r>
      <w:r>
        <w:t>chos humanos y las libertades fundamentales. 2. Nada de lo di</w:t>
      </w:r>
      <w:r>
        <w:t>s</w:t>
      </w:r>
      <w:r>
        <w:t>puesto en la presente Convención se interpretará en el sentido de que meno</w:t>
      </w:r>
      <w:r>
        <w:t>s</w:t>
      </w:r>
      <w:r>
        <w:t>caba otros derechos y obligaciones de los Estados y de las personas conforme al derecho intern</w:t>
      </w:r>
      <w:r>
        <w:t>a</w:t>
      </w:r>
      <w:r>
        <w:t xml:space="preserve">cional, en particular </w:t>
      </w:r>
      <w:smartTag w:uri="urn:schemas-microsoft-com:office:smarttags" w:element="PersonName">
        <w:smartTagPr>
          <w:attr w:name="ProductID" w:val="la Carta"/>
        </w:smartTagPr>
        <w:r>
          <w:t>la Carta</w:t>
        </w:r>
      </w:smartTag>
      <w:r>
        <w:t xml:space="preserve"> de las Naci</w:t>
      </w:r>
      <w:r>
        <w:t>o</w:t>
      </w:r>
      <w:r>
        <w:t xml:space="preserve">nes Unidas, </w:t>
      </w:r>
      <w:smartTag w:uri="urn:schemas-microsoft-com:office:smarttags" w:element="PersonName">
        <w:smartTagPr>
          <w:attr w:name="ProductID" w:val="la Carta"/>
        </w:smartTagPr>
        <w:r>
          <w:t>la Carta</w:t>
        </w:r>
      </w:smartTag>
      <w:r>
        <w:t xml:space="preserve"> de </w:t>
      </w:r>
      <w:smartTag w:uri="urn:schemas-microsoft-com:office:smarttags" w:element="PersonName">
        <w:smartTagPr>
          <w:attr w:name="ProductID" w:val="la Organizaci￳n"/>
        </w:smartTagPr>
        <w:r>
          <w:t>la Organización</w:t>
        </w:r>
      </w:smartTag>
      <w:r>
        <w:t xml:space="preserve"> de los Estados Americanos, el d</w:t>
      </w:r>
      <w:r>
        <w:t>e</w:t>
      </w:r>
      <w:r>
        <w:t>recho internacional humanitario, el der</w:t>
      </w:r>
      <w:r>
        <w:t>e</w:t>
      </w:r>
      <w:r>
        <w:t>cho internacional de los derechos humanos y el derecho i</w:t>
      </w:r>
      <w:r>
        <w:t>n</w:t>
      </w:r>
      <w:r>
        <w:t>ternacional de los refugi</w:t>
      </w:r>
      <w:r>
        <w:t>a</w:t>
      </w:r>
      <w:r>
        <w:t xml:space="preserve">dos. </w:t>
      </w:r>
      <w:smartTag w:uri="urn:schemas-microsoft-com:office:smarttags" w:element="metricconverter">
        <w:smartTagPr>
          <w:attr w:name="ProductID" w:val="3. A"/>
        </w:smartTagPr>
        <w:r>
          <w:t>3. A</w:t>
        </w:r>
      </w:smartTag>
      <w:r>
        <w:t xml:space="preserve"> toda persona que se encuentre detenida o respecto de la cual se adopte cualquier medida o sea e</w:t>
      </w:r>
      <w:r>
        <w:t>n</w:t>
      </w:r>
      <w:r>
        <w:t>causada con arreglo a la presente Convención se le gara</w:t>
      </w:r>
      <w:r>
        <w:t>n</w:t>
      </w:r>
      <w:r>
        <w:t>tizará un trato justo, incluido el goce de todos los der</w:t>
      </w:r>
      <w:r>
        <w:t>e</w:t>
      </w:r>
      <w:r>
        <w:t>chos y garantías de conformidad con la legislación del E</w:t>
      </w:r>
      <w:r>
        <w:t>s</w:t>
      </w:r>
      <w:r>
        <w:t>tado en cuyo territorio se encuentre y las disposiciones pertinentes del Derecho Internaci</w:t>
      </w:r>
      <w:r>
        <w:t>o</w:t>
      </w:r>
      <w:r>
        <w:t>nal”.</w:t>
      </w:r>
    </w:p>
    <w:p w:rsidR="00224567" w:rsidRDefault="00224567">
      <w:pPr>
        <w:widowControl w:val="0"/>
        <w:tabs>
          <w:tab w:val="center" w:pos="0"/>
          <w:tab w:val="left" w:pos="2835"/>
        </w:tabs>
      </w:pPr>
      <w:r>
        <w:tab/>
      </w:r>
      <w:r>
        <w:tab/>
        <w:t>Al respecto, cabe mencionar que si bien dicho documento internacional aún no fue apr</w:t>
      </w:r>
      <w:r>
        <w:t>o</w:t>
      </w:r>
      <w:r>
        <w:t xml:space="preserve">bado por una ley del Congreso de </w:t>
      </w:r>
      <w:smartTag w:uri="urn:schemas-microsoft-com:office:smarttags" w:element="PersonName">
        <w:smartTagPr>
          <w:attr w:name="ProductID" w:val="la Naci￳n"/>
        </w:smartTagPr>
        <w:r>
          <w:t>la Nación</w:t>
        </w:r>
      </w:smartTag>
      <w:r>
        <w:t>, sus disposiciones son afines a nuestra legislación nacional y a las normas co</w:t>
      </w:r>
      <w:r>
        <w:t>n</w:t>
      </w:r>
      <w:r>
        <w:t>templadas en los tratados internacionales sobre derechos Humanos adoptados por el país. Además, aquél proyecto de ley fue impulsado por el Poder Ejec</w:t>
      </w:r>
      <w:r>
        <w:t>u</w:t>
      </w:r>
      <w:r>
        <w:t>tivo Nacional el 28 de abril de 2003, recibiendo, el 1 de octubre de ese año, m</w:t>
      </w:r>
      <w:r>
        <w:t>e</w:t>
      </w:r>
      <w:r>
        <w:t xml:space="preserve">dia sanción de </w:t>
      </w:r>
      <w:smartTag w:uri="urn:schemas-microsoft-com:office:smarttags" w:element="PersonName">
        <w:smartTagPr>
          <w:attr w:name="ProductID" w:val="la C￡mara"/>
        </w:smartTagPr>
        <w:r>
          <w:t>la Cámara</w:t>
        </w:r>
      </w:smartTag>
      <w:r>
        <w:t xml:space="preserve"> de Senadores (ver expediente 0106-PE/03).</w:t>
      </w:r>
    </w:p>
    <w:p w:rsidR="00224567" w:rsidRDefault="00224567">
      <w:pPr>
        <w:widowControl w:val="0"/>
        <w:tabs>
          <w:tab w:val="center" w:pos="0"/>
          <w:tab w:val="left" w:pos="2835"/>
        </w:tabs>
        <w:ind w:firstLine="2880"/>
      </w:pPr>
      <w:r>
        <w:rPr>
          <w:b/>
          <w:bCs/>
        </w:rPr>
        <w:t>S.3)</w:t>
      </w:r>
      <w:r>
        <w:t xml:space="preserve"> Sentado lo expuesto, vale reca</w:t>
      </w:r>
      <w:r>
        <w:t>l</w:t>
      </w:r>
      <w:r>
        <w:t>car que la búsqueda de la verdad real no es absoluta, r</w:t>
      </w:r>
      <w:r>
        <w:t>e</w:t>
      </w:r>
      <w:r>
        <w:t>conoce límites, destacándose entre ellos la pr</w:t>
      </w:r>
      <w:r>
        <w:t>o</w:t>
      </w:r>
      <w:r>
        <w:t>tección de la dignidad humana (Maier, “Derecho Procesal Penal”, t. I, pág. 663).</w:t>
      </w:r>
    </w:p>
    <w:p w:rsidR="00224567" w:rsidRDefault="00224567">
      <w:pPr>
        <w:widowControl w:val="0"/>
        <w:tabs>
          <w:tab w:val="center" w:pos="0"/>
          <w:tab w:val="left" w:pos="2835"/>
        </w:tabs>
        <w:ind w:firstLine="2880"/>
      </w:pPr>
      <w:r>
        <w:t>Este principio debe ser entendido de manera amplia, es decir respecto de todos los proces</w:t>
      </w:r>
      <w:r>
        <w:t>a</w:t>
      </w:r>
      <w:r>
        <w:t>dos, no sólo de aquél cuya voluntad se buscó coaccionar de d</w:t>
      </w:r>
      <w:r>
        <w:t>i</w:t>
      </w:r>
      <w:r>
        <w:t>versas formas, dado que el ordenamiento procesal no admite negociar con los procesados de la manera en que se hizo (art. 431 bis del Código procesal Penal); esto es, con uno a espaldas de los restantes, a quienes se buscaba invol</w:t>
      </w:r>
      <w:r>
        <w:t>u</w:t>
      </w:r>
      <w:r>
        <w:t>crar.</w:t>
      </w:r>
    </w:p>
    <w:p w:rsidR="00224567" w:rsidRDefault="00224567">
      <w:pPr>
        <w:widowControl w:val="0"/>
        <w:tabs>
          <w:tab w:val="center" w:pos="0"/>
          <w:tab w:val="left" w:pos="2835"/>
        </w:tabs>
        <w:ind w:firstLine="2880"/>
      </w:pPr>
      <w:r>
        <w:t>No obstante, cabe aclarar que la ley 25.241, que prevé la reducción de penas a los imputados que colaboren con la investigación, en su artículo 2do. dispone que “podrá excepcionalmente reducirse la escala penal aplicando la de la tentativa o limitándola a la m</w:t>
      </w:r>
      <w:r>
        <w:t>i</w:t>
      </w:r>
      <w:r>
        <w:t>tad, al imputado que, antes del dictado de la sentencia definitiva, colabore eficazmente con la investig</w:t>
      </w:r>
      <w:r>
        <w:t>a</w:t>
      </w:r>
      <w:r>
        <w:t>ción”.</w:t>
      </w:r>
    </w:p>
    <w:p w:rsidR="00224567" w:rsidRDefault="00224567">
      <w:pPr>
        <w:widowControl w:val="0"/>
        <w:tabs>
          <w:tab w:val="center" w:pos="0"/>
          <w:tab w:val="left" w:pos="2835"/>
        </w:tabs>
        <w:ind w:firstLine="2880"/>
      </w:pPr>
      <w:r>
        <w:t>El artículo 4to. dispone que “la r</w:t>
      </w:r>
      <w:r>
        <w:t>e</w:t>
      </w:r>
      <w:r>
        <w:t>ducción de pena prevista precedentemente deberá ser dec</w:t>
      </w:r>
      <w:r>
        <w:t>i</w:t>
      </w:r>
      <w:r>
        <w:t>dida por el Tribunal del juicio al dictar la sentencia d</w:t>
      </w:r>
      <w:r>
        <w:t>e</w:t>
      </w:r>
      <w:r>
        <w:t>finitiva”, en tanto que el art. 5to., establece que “las declaraciones de las personas mencionadas en las dispos</w:t>
      </w:r>
      <w:r>
        <w:t>i</w:t>
      </w:r>
      <w:r>
        <w:t>ciones anteriores carecerán de valor si no se producen con el contralor fiscal, la querella y la defensa, del modo establecido en la leyes procesales”.</w:t>
      </w:r>
    </w:p>
    <w:p w:rsidR="00224567" w:rsidRDefault="00224567">
      <w:pPr>
        <w:widowControl w:val="0"/>
        <w:tabs>
          <w:tab w:val="center" w:pos="0"/>
          <w:tab w:val="left" w:pos="2835"/>
        </w:tabs>
        <w:ind w:firstLine="2880"/>
      </w:pPr>
      <w:r>
        <w:t>Resulta evidente que la ley 25.241, dictada a fin de adecuar la legislación a los hechos d</w:t>
      </w:r>
      <w:r>
        <w:t>e</w:t>
      </w:r>
      <w:r>
        <w:t>lictivos cometidos por bandas terroristas, tampoco avala los métodos y procedimientos empleados en este proceso, por quienes actuaban en representación del Estado Naci</w:t>
      </w:r>
      <w:r>
        <w:t>o</w:t>
      </w:r>
      <w:r>
        <w:t>nal, a fin de doblegar la voluntad del imputado para que manifestase cuanto sabía.</w:t>
      </w:r>
    </w:p>
    <w:p w:rsidR="00224567" w:rsidRDefault="00224567">
      <w:pPr>
        <w:widowControl w:val="0"/>
        <w:tabs>
          <w:tab w:val="center" w:pos="0"/>
          <w:tab w:val="left" w:pos="2835"/>
        </w:tabs>
        <w:ind w:firstLine="2880"/>
      </w:pPr>
      <w:r>
        <w:t>Ello por cuanto la citada ley, como el código vigente, requieren determinado marco de control a fin de otorgar valor a las declaraciones de quienes col</w:t>
      </w:r>
      <w:r>
        <w:t>a</w:t>
      </w:r>
      <w:r>
        <w:t>boren con la investigación.</w:t>
      </w:r>
    </w:p>
    <w:p w:rsidR="00224567" w:rsidRDefault="00224567">
      <w:pPr>
        <w:widowControl w:val="0"/>
        <w:tabs>
          <w:tab w:val="center" w:pos="0"/>
          <w:tab w:val="left" w:pos="2835"/>
        </w:tabs>
        <w:ind w:firstLine="2880"/>
      </w:pPr>
      <w:r>
        <w:t>En la especie, como ya se establ</w:t>
      </w:r>
      <w:r>
        <w:t>e</w:t>
      </w:r>
      <w:r>
        <w:t>ció, las declaraciones de Telleldín no fueron libres y espont</w:t>
      </w:r>
      <w:r>
        <w:t>á</w:t>
      </w:r>
      <w:r>
        <w:t>neas, sino que su indagatoria del 5 de julio de 1996 fue producto de las tareas de ablandamiento efe</w:t>
      </w:r>
      <w:r>
        <w:t>c</w:t>
      </w:r>
      <w:r>
        <w:t>tuadas por el juez instructor y la jueza de cámara Riva Aramayo.</w:t>
      </w:r>
    </w:p>
    <w:p w:rsidR="00224567" w:rsidRDefault="00224567">
      <w:pPr>
        <w:widowControl w:val="0"/>
        <w:tabs>
          <w:tab w:val="center" w:pos="0"/>
          <w:tab w:val="left" w:pos="2835"/>
        </w:tabs>
        <w:ind w:firstLine="2880"/>
      </w:pPr>
      <w:r>
        <w:t>Han quedado demostradas las circun</w:t>
      </w:r>
      <w:r>
        <w:t>s</w:t>
      </w:r>
      <w:r>
        <w:t>tancias y motivos que llevaron a Carlos Telleldín a decl</w:t>
      </w:r>
      <w:r>
        <w:t>a</w:t>
      </w:r>
      <w:r>
        <w:t>rar en determinado sentido; esos extremos la inval</w:t>
      </w:r>
      <w:r>
        <w:t>i</w:t>
      </w:r>
      <w:r>
        <w:t>dan por ser el producto de espurias negociaciones, efectuadas al margen de la ley y ocultadas a los demás procesados a quienes precisamente perjudicaban.</w:t>
      </w:r>
    </w:p>
    <w:p w:rsidR="00224567" w:rsidRDefault="00224567">
      <w:pPr>
        <w:widowControl w:val="0"/>
        <w:tabs>
          <w:tab w:val="center" w:pos="0"/>
          <w:tab w:val="left" w:pos="2835"/>
        </w:tabs>
        <w:ind w:firstLine="2880"/>
      </w:pPr>
      <w:r>
        <w:t>En oportunidad de prestar declar</w:t>
      </w:r>
      <w:r>
        <w:t>a</w:t>
      </w:r>
      <w:r>
        <w:t>ción indagatoria en el debate, Telleldín, luego de relatar la negociación que culminó con el pago de la suma de USD 400.000, tras lo cual declaró el 5 de julio, i</w:t>
      </w:r>
      <w:r>
        <w:t>n</w:t>
      </w:r>
      <w:r>
        <w:t>dicó que la parte de la declaración relativa a su arr</w:t>
      </w:r>
      <w:r>
        <w:t>e</w:t>
      </w:r>
      <w:r>
        <w:t>pentimiento fue puesta por el juez, que ya estaba en el acta.</w:t>
      </w:r>
    </w:p>
    <w:p w:rsidR="00224567" w:rsidRDefault="00224567">
      <w:pPr>
        <w:widowControl w:val="0"/>
        <w:tabs>
          <w:tab w:val="center" w:pos="0"/>
          <w:tab w:val="left" w:pos="2835"/>
        </w:tabs>
        <w:ind w:firstLine="2880"/>
      </w:pPr>
      <w:r>
        <w:t>Las violaciones aludidas, que refl</w:t>
      </w:r>
      <w:r>
        <w:t>e</w:t>
      </w:r>
      <w:r>
        <w:t>jan sus efectos sobre los restantes procesados, alteran los más elementales principios del debido proceso, desde el momento que no fueron obtenidas de un procesado libre en su voluntad.</w:t>
      </w:r>
    </w:p>
    <w:p w:rsidR="00224567" w:rsidRDefault="00224567">
      <w:pPr>
        <w:widowControl w:val="0"/>
        <w:tabs>
          <w:tab w:val="center" w:pos="0"/>
          <w:tab w:val="left" w:pos="2835"/>
        </w:tabs>
        <w:ind w:firstLine="2880"/>
      </w:pPr>
      <w:r>
        <w:t>Al respecto, señala Maier que “la l</w:t>
      </w:r>
      <w:r>
        <w:t>i</w:t>
      </w:r>
      <w:r>
        <w:t>bertad de decisión del imputado durante su declar</w:t>
      </w:r>
      <w:r>
        <w:t>a</w:t>
      </w:r>
      <w:r>
        <w:t>ción no puede ser coartada por ningún acto o situación de coa</w:t>
      </w:r>
      <w:r>
        <w:t>c</w:t>
      </w:r>
      <w:r>
        <w:t>ción, física o moral (tortura o tormento, amenaza, jur</w:t>
      </w:r>
      <w:r>
        <w:t>a</w:t>
      </w:r>
      <w:r>
        <w:t>mento, cansancio, pérdida de la serenidad, cargos o reco</w:t>
      </w:r>
      <w:r>
        <w:t>n</w:t>
      </w:r>
      <w:r>
        <w:t>venciones, respuestas instadas perentori</w:t>
      </w:r>
      <w:r>
        <w:t>a</w:t>
      </w:r>
      <w:r>
        <w:t>mente tendientes a obtener una confesión), por la pr</w:t>
      </w:r>
      <w:r>
        <w:t>o</w:t>
      </w:r>
      <w:r>
        <w:t>mesa ilegítima de una ventaja o por el engaño (preguntas capciosas o sugest</w:t>
      </w:r>
      <w:r>
        <w:t>i</w:t>
      </w:r>
      <w:r>
        <w:t>vas)...”.</w:t>
      </w:r>
    </w:p>
    <w:p w:rsidR="00224567" w:rsidRDefault="00224567">
      <w:pPr>
        <w:widowControl w:val="0"/>
        <w:tabs>
          <w:tab w:val="center" w:pos="0"/>
          <w:tab w:val="left" w:pos="2835"/>
        </w:tabs>
        <w:ind w:firstLine="2880"/>
      </w:pPr>
      <w:r>
        <w:t>Agrega que “sólo la declaración del imputado, obtenida por un procedimiento respetuoso de e</w:t>
      </w:r>
      <w:r>
        <w:t>s</w:t>
      </w:r>
      <w:r>
        <w:t>tas reglas, puede ser valorada ampliamente por los jueces para fundar sus juicios o decisiones sobre la reconstru</w:t>
      </w:r>
      <w:r>
        <w:t>c</w:t>
      </w:r>
      <w:r>
        <w:t>ción del comportamiento atribuido, objeto del proceso, si a la vez respeta las demás reglas de garantía que la r</w:t>
      </w:r>
      <w:r>
        <w:t>i</w:t>
      </w:r>
      <w:r>
        <w:t>gen... Observado el fenómeno desde el punto de vista neg</w:t>
      </w:r>
      <w:r>
        <w:t>a</w:t>
      </w:r>
      <w:r>
        <w:t>tivo se debe concluir en que la declaración del imputado prestada sin atender a estas reglas no puede ser utilizada para fundar una decisión que lo perjudique y sólo es apr</w:t>
      </w:r>
      <w:r>
        <w:t>o</w:t>
      </w:r>
      <w:r>
        <w:t>vechable en tanto lo benef</w:t>
      </w:r>
      <w:r>
        <w:t>i</w:t>
      </w:r>
      <w:r>
        <w:t>cie”.</w:t>
      </w:r>
    </w:p>
    <w:p w:rsidR="00224567" w:rsidRDefault="00224567">
      <w:pPr>
        <w:widowControl w:val="0"/>
        <w:tabs>
          <w:tab w:val="center" w:pos="0"/>
          <w:tab w:val="left" w:pos="2835"/>
        </w:tabs>
        <w:ind w:firstLine="2880"/>
      </w:pPr>
      <w:r>
        <w:t>Finaliza, sosteniendo que dicha cons</w:t>
      </w:r>
      <w:r>
        <w:t>e</w:t>
      </w:r>
      <w:r>
        <w:t>cuencia no depende de la voluntad del procesado, ni de su protesta, dado que se trata de una garantía con</w:t>
      </w:r>
      <w:r>
        <w:t>s</w:t>
      </w:r>
      <w:r>
        <w:t>titucional y un vicio de su participación, debe ser advertida de of</w:t>
      </w:r>
      <w:r>
        <w:t>i</w:t>
      </w:r>
      <w:r>
        <w:t>cio (cfr. “Derecho Procesal Penal”, T.I, págs. 666 y sigs.).</w:t>
      </w:r>
    </w:p>
    <w:p w:rsidR="00224567" w:rsidRDefault="00224567">
      <w:pPr>
        <w:widowControl w:val="0"/>
        <w:tabs>
          <w:tab w:val="center" w:pos="0"/>
          <w:tab w:val="left" w:pos="2835"/>
        </w:tabs>
        <w:ind w:firstLine="2880"/>
      </w:pPr>
      <w:r>
        <w:t>En esta dirección, sostiene Vélez M</w:t>
      </w:r>
      <w:r>
        <w:t>a</w:t>
      </w:r>
      <w:r>
        <w:t xml:space="preserve">riconde (ver “Derecho Procesal Penal”, T. II, cap. I, p. 25 y sigs., sintetizado por Maier en la obra citada, T. I, pág. 489) que “el procedimiento previo exigido por </w:t>
      </w:r>
      <w:smartTag w:uri="urn:schemas-microsoft-com:office:smarttags" w:element="PersonName">
        <w:smartTagPr>
          <w:attr w:name="ProductID" w:val="la Constituci￳n"/>
        </w:smartTagPr>
        <w:r>
          <w:t>la Constitución</w:t>
        </w:r>
      </w:smartTag>
      <w:r>
        <w:t xml:space="preserve"> no es cualquier proceso que puedan establ</w:t>
      </w:r>
      <w:r>
        <w:t>e</w:t>
      </w:r>
      <w:r>
        <w:t>cer, a su arbitrio, las autoridades públicas competentes para llevarlo a cabo, ni ellas en combinación con el imp</w:t>
      </w:r>
      <w:r>
        <w:t>u</w:t>
      </w:r>
      <w:r>
        <w:t>tado y su defensor, aun cuando se pr</w:t>
      </w:r>
      <w:r>
        <w:t>o</w:t>
      </w:r>
      <w:r>
        <w:t>pongan observar -y de hecho lo hagan- las garantías de seguridad individual pr</w:t>
      </w:r>
      <w:r>
        <w:t>e</w:t>
      </w:r>
      <w:r>
        <w:t xml:space="preserve">vistas en la ley suprema. Al contrario, se debe tratar de un </w:t>
      </w:r>
      <w:r>
        <w:rPr>
          <w:i/>
        </w:rPr>
        <w:t>procedimiento jurídico,</w:t>
      </w:r>
      <w:r>
        <w:t xml:space="preserve"> esto es, reglado por la ley, que defina los actos que lo componen y el orden en el que se lo debe llevar a cabo”.</w:t>
      </w:r>
    </w:p>
    <w:p w:rsidR="00224567" w:rsidRDefault="00224567">
      <w:pPr>
        <w:widowControl w:val="0"/>
        <w:tabs>
          <w:tab w:val="center" w:pos="0"/>
          <w:tab w:val="left" w:pos="2835"/>
        </w:tabs>
        <w:ind w:firstLine="2880"/>
      </w:pPr>
      <w:r>
        <w:t>Al respecto, sostiene Maier (ob. cit., pág. 563) que “para que las manifestaciones del imputado representen la realización práctica del derecho a ser o</w:t>
      </w:r>
      <w:r>
        <w:t>í</w:t>
      </w:r>
      <w:r>
        <w:t xml:space="preserve">do, como parte integrante del derecho a la defensa, </w:t>
      </w:r>
      <w:smartTag w:uri="urn:schemas-microsoft-com:office:smarttags" w:element="PersonName">
        <w:smartTagPr>
          <w:attr w:name="ProductID" w:val="la Constituci￳n Nacional"/>
        </w:smartTagPr>
        <w:r>
          <w:t>la Constitución Nacional</w:t>
        </w:r>
      </w:smartTag>
      <w:r>
        <w:t xml:space="preserve"> ha prohibido toda forma de coerción que elimine la voluntad del imputado o restrinja la libe</w:t>
      </w:r>
      <w:r>
        <w:t>r</w:t>
      </w:r>
      <w:r>
        <w:t>tad de decidir acerca de lo que le conviene o quiere e</w:t>
      </w:r>
      <w:r>
        <w:t>x</w:t>
      </w:r>
      <w:r>
        <w:t xml:space="preserve">presar. Esta es la verdadera ubicación sistemática de la regla que prevé que “nadie puede ser obligado a declarar contra si mismo” y suprime para siempre “toda especie de tormento” (CN. 18): constituye al imputado, como órgano eventual de información o transmisión de conocimiento, en un sujeto </w:t>
      </w:r>
      <w:r>
        <w:rPr>
          <w:b/>
          <w:i/>
        </w:rPr>
        <w:t>incoercible</w:t>
      </w:r>
      <w:r>
        <w:t xml:space="preserve"> del procedimiento, cuya libertad de decisión en este sentido debe ser respetada”.</w:t>
      </w:r>
    </w:p>
    <w:p w:rsidR="00224567" w:rsidRDefault="00224567">
      <w:pPr>
        <w:widowControl w:val="0"/>
        <w:tabs>
          <w:tab w:val="center" w:pos="0"/>
          <w:tab w:val="left" w:pos="2835"/>
        </w:tabs>
        <w:ind w:firstLine="2880"/>
      </w:pPr>
      <w:r>
        <w:t>Agrega el citado autor, que el conse</w:t>
      </w:r>
      <w:r>
        <w:t>n</w:t>
      </w:r>
      <w:r>
        <w:t>timiento del imputado carece de toda relevancia para e</w:t>
      </w:r>
      <w:r>
        <w:t>x</w:t>
      </w:r>
      <w:r>
        <w:t>cluir los vicios que lo afecten y que dicho principio es aceptado, en general, por el derecho europeo continental (ob. cit., pág 564).</w:t>
      </w:r>
    </w:p>
    <w:p w:rsidR="00224567" w:rsidRDefault="00224567">
      <w:pPr>
        <w:widowControl w:val="0"/>
        <w:tabs>
          <w:tab w:val="center" w:pos="0"/>
          <w:tab w:val="left" w:pos="2835"/>
        </w:tabs>
        <w:ind w:firstLine="2880"/>
      </w:pPr>
      <w:r>
        <w:t>Al abordar el tema el profesor Cl</w:t>
      </w:r>
      <w:r>
        <w:t>a</w:t>
      </w:r>
      <w:r>
        <w:t>riá Olmedo, enseña que “la garantía de la defensa en juicio está procesalmente asegurada por una serie de imposiciones y prohibiciones a los órganos judiciales, durante la re</w:t>
      </w:r>
      <w:r>
        <w:t>a</w:t>
      </w:r>
      <w:r>
        <w:t>lización de la justicia” y que “</w:t>
      </w:r>
      <w:smartTag w:uri="urn:schemas-microsoft-com:office:smarttags" w:element="PersonName">
        <w:smartTagPr>
          <w:attr w:name="ProductID" w:val="la Carta Magna"/>
        </w:smartTagPr>
        <w:r>
          <w:t>la Carta Magna</w:t>
        </w:r>
      </w:smartTag>
      <w:r>
        <w:t xml:space="preserve"> ha querido proporcionar algunas bases fundamentales, declarando e</w:t>
      </w:r>
      <w:r>
        <w:t>x</w:t>
      </w:r>
      <w:r>
        <w:t>presamente la prohibición de que se obligue a declarar  contra sí mismo”.</w:t>
      </w:r>
    </w:p>
    <w:p w:rsidR="00224567" w:rsidRDefault="00224567">
      <w:pPr>
        <w:widowControl w:val="0"/>
        <w:tabs>
          <w:tab w:val="center" w:pos="0"/>
          <w:tab w:val="left" w:pos="2835"/>
        </w:tabs>
        <w:ind w:firstLine="2880"/>
      </w:pPr>
      <w:r>
        <w:t>Añade que “esta garantía es más a</w:t>
      </w:r>
      <w:r>
        <w:t>m</w:t>
      </w:r>
      <w:r>
        <w:t>plia aún de lo que su texto parecería significar, y tiene su vigencia plena en materia penal”. Aclara, que ello “sign</w:t>
      </w:r>
      <w:r>
        <w:t>i</w:t>
      </w:r>
      <w:r>
        <w:t>fica la absoluta incoercibilidad del imputado y la impos</w:t>
      </w:r>
      <w:r>
        <w:t>i</w:t>
      </w:r>
      <w:r>
        <w:t>bilidad de utilizar cualquier medio intelectual, psicol</w:t>
      </w:r>
      <w:r>
        <w:t>ó</w:t>
      </w:r>
      <w:r>
        <w:t>gico, biológico o físico, aun mediando la voluntad del imputado, tendiente a obtener de él mismo un indicio o prueba en su contra (cfr. “Derecho Procesal Penal”,T. I, n° 190 y n° 362).</w:t>
      </w:r>
    </w:p>
    <w:p w:rsidR="00224567" w:rsidRDefault="00224567">
      <w:pPr>
        <w:widowControl w:val="0"/>
        <w:tabs>
          <w:tab w:val="center" w:pos="0"/>
          <w:tab w:val="left" w:pos="2835"/>
        </w:tabs>
        <w:ind w:firstLine="2880"/>
      </w:pPr>
      <w:r>
        <w:t>En esta línea de ideas sostuvo el Pr</w:t>
      </w:r>
      <w:r>
        <w:t>o</w:t>
      </w:r>
      <w:r>
        <w:t xml:space="preserve">curador General de </w:t>
      </w:r>
      <w:smartTag w:uri="urn:schemas-microsoft-com:office:smarttags" w:element="PersonName">
        <w:smartTagPr>
          <w:attr w:name="ProductID" w:val="la Naci￳n"/>
        </w:smartTagPr>
        <w:r>
          <w:t>la Nación</w:t>
        </w:r>
      </w:smartTag>
      <w:r>
        <w:t>, Dr. Oscar L. Fappiano, “...que el mismo Código de Procedimientos en Materia P</w:t>
      </w:r>
      <w:r>
        <w:t>e</w:t>
      </w:r>
      <w:r>
        <w:t>nal, en su art. 242 y sigs., establece pautas concretas sobre la forma en que el juez debe interrogar a quien d</w:t>
      </w:r>
      <w:r>
        <w:t>e</w:t>
      </w:r>
      <w:r>
        <w:t>clara a tenor de lo dispuesto en el art. 236, primera pa</w:t>
      </w:r>
      <w:r>
        <w:t>r</w:t>
      </w:r>
      <w:r>
        <w:t>te del código ritual, exigiéndole la formulación de pr</w:t>
      </w:r>
      <w:r>
        <w:t>e</w:t>
      </w:r>
      <w:r>
        <w:t>guntas claras y precisas, prohibiendo aquellas que enci</w:t>
      </w:r>
      <w:r>
        <w:t>e</w:t>
      </w:r>
      <w:r>
        <w:t>rran un modo capcioso o sugestivo. De igual forma desecha el empleo de todo tipo de coacción, amenaza o promesa para con el procesado”.</w:t>
      </w:r>
    </w:p>
    <w:p w:rsidR="00224567" w:rsidRDefault="00224567">
      <w:pPr>
        <w:widowControl w:val="0"/>
        <w:tabs>
          <w:tab w:val="center" w:pos="0"/>
          <w:tab w:val="left" w:pos="2835"/>
        </w:tabs>
        <w:ind w:firstLine="2880"/>
      </w:pPr>
      <w:r>
        <w:t>Precisó “que resulta inadmisible que tales exigencias puedan ser transgredidas por uno de los funcionarios policiales que interviene en la inve</w:t>
      </w:r>
      <w:r>
        <w:t>s</w:t>
      </w:r>
      <w:r>
        <w:t>tigación como auxiliar del juez de la causa...” (F</w:t>
      </w:r>
      <w:r>
        <w:t>a</w:t>
      </w:r>
      <w:r>
        <w:t>llos: 318:1476).</w:t>
      </w:r>
    </w:p>
    <w:p w:rsidR="00224567" w:rsidRDefault="00224567">
      <w:pPr>
        <w:widowControl w:val="0"/>
        <w:tabs>
          <w:tab w:val="center" w:pos="0"/>
          <w:tab w:val="left" w:pos="2835"/>
        </w:tabs>
        <w:ind w:firstLine="2880"/>
      </w:pPr>
      <w:r>
        <w:t xml:space="preserve">Desde antiguo ha sostenido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xml:space="preserve"> que “la declaración de quien es citado por delitos, faltas o contravenciones, d</w:t>
      </w:r>
      <w:r>
        <w:t>e</w:t>
      </w:r>
      <w:r>
        <w:t>be emanar de la libre voluntad del encausado, el que no debe siquiera verse enfrentado con un problema de concie</w:t>
      </w:r>
      <w:r>
        <w:t>n</w:t>
      </w:r>
      <w:r>
        <w:t>cia, cual sería colocarlo en la disyuntiva de faltar a su juramento de decir verdad (Fallos: 1:350; 225:18; 281:177, entre otros).</w:t>
      </w:r>
    </w:p>
    <w:p w:rsidR="00224567" w:rsidRDefault="00224567">
      <w:pPr>
        <w:widowControl w:val="0"/>
        <w:tabs>
          <w:tab w:val="center" w:pos="0"/>
          <w:tab w:val="left" w:pos="2835"/>
        </w:tabs>
        <w:ind w:firstLine="2880"/>
      </w:pPr>
      <w:r>
        <w:t>Al resolver el Alto Tribunal en F</w:t>
      </w:r>
      <w:r>
        <w:t>a</w:t>
      </w:r>
      <w:r>
        <w:t>llos: 312:2146, sostuvo “Que, por otro lado, tampoco se advierte oposición entre los términos del art. 237 y do</w:t>
      </w:r>
      <w:r>
        <w:t>c</w:t>
      </w:r>
      <w:r>
        <w:t>trina de esta Corte que emana de los precedentes registr</w:t>
      </w:r>
      <w:r>
        <w:t>a</w:t>
      </w:r>
      <w:r>
        <w:t>dos en Fallos: 1:350 y 281:177. En el último de ellos, el Tribunal sostuvo que el juramento ‘entraña, en verdad una coacción moral que invalida los dichos expuestos en esa forma. Pues no hay duda que exigir j</w:t>
      </w:r>
      <w:r>
        <w:t>u</w:t>
      </w:r>
      <w:r>
        <w:t>ramento al imputado a quien se va a interrogar, constituye una manera de obl</w:t>
      </w:r>
      <w:r>
        <w:t>i</w:t>
      </w:r>
      <w:r>
        <w:t xml:space="preserve">garle, eventualmente, a declarar en su contra. Y </w:t>
      </w:r>
      <w:smartTag w:uri="urn:schemas-microsoft-com:office:smarttags" w:element="PersonName">
        <w:smartTagPr>
          <w:attr w:name="ProductID" w:val="la Constituci￳n"/>
        </w:smartTagPr>
        <w:r>
          <w:t>la Con</w:t>
        </w:r>
        <w:r>
          <w:t>s</w:t>
        </w:r>
        <w:r>
          <w:t>titución</w:t>
        </w:r>
      </w:smartTag>
      <w:r>
        <w:t xml:space="preserve"> rechaza categóricamente cualquier intento en ese sentido’”.</w:t>
      </w:r>
    </w:p>
    <w:p w:rsidR="00224567" w:rsidRDefault="00224567">
      <w:pPr>
        <w:widowControl w:val="0"/>
        <w:tabs>
          <w:tab w:val="center" w:pos="0"/>
          <w:tab w:val="left" w:pos="2835"/>
        </w:tabs>
        <w:ind w:firstLine="2880"/>
      </w:pPr>
      <w:r>
        <w:t>Reiteró la doctrina de que “la decl</w:t>
      </w:r>
      <w:r>
        <w:t>a</w:t>
      </w:r>
      <w:r>
        <w:t>ración de quien es citado por delitos, faltas o contrave</w:t>
      </w:r>
      <w:r>
        <w:t>n</w:t>
      </w:r>
      <w:r>
        <w:t>ciones, debe emanar de la libre voluntad del e</w:t>
      </w:r>
      <w:r>
        <w:t>n</w:t>
      </w:r>
      <w:r>
        <w:t xml:space="preserve">causado, el que no debe </w:t>
      </w:r>
      <w:r>
        <w:rPr>
          <w:bCs/>
        </w:rPr>
        <w:t>siquiera</w:t>
      </w:r>
      <w:r>
        <w:t xml:space="preserve"> verse enfrentado con un problema de conciencia, cual sería colocarlo en la disyuntiva de fa</w:t>
      </w:r>
      <w:r>
        <w:t>l</w:t>
      </w:r>
      <w:r>
        <w:t>tar a su juramento de decir verdad”.</w:t>
      </w:r>
    </w:p>
    <w:p w:rsidR="00224567" w:rsidRDefault="00224567">
      <w:pPr>
        <w:widowControl w:val="0"/>
        <w:tabs>
          <w:tab w:val="center" w:pos="0"/>
          <w:tab w:val="left" w:pos="2835"/>
        </w:tabs>
        <w:ind w:firstLine="2880"/>
      </w:pPr>
      <w:r>
        <w:t>En Fallos: 320:2501, en disidencia, sostuvieron los jueces Petracchi y Boggiano, en tanto la mayoría entendió que el recurso carecía de fundame</w:t>
      </w:r>
      <w:r>
        <w:t>n</w:t>
      </w:r>
      <w:r>
        <w:t>tación, que “la garantía constitucional de no declarar contra si mismo no aparece suficientemente resguardada si el ex m</w:t>
      </w:r>
      <w:r>
        <w:t>a</w:t>
      </w:r>
      <w:r>
        <w:t>gistrado castrense negó todo tipo de coa</w:t>
      </w:r>
      <w:r>
        <w:t>c</w:t>
      </w:r>
      <w:r>
        <w:t>ción o amenaza en la recepción de las declaraciones indagatorias pero rec</w:t>
      </w:r>
      <w:r>
        <w:t>o</w:t>
      </w:r>
      <w:r>
        <w:t>noció que había exhortado al pers</w:t>
      </w:r>
      <w:r>
        <w:t>o</w:t>
      </w:r>
      <w:r>
        <w:t>nal interrogado a decir verdad, tal como prescribían las normas, ‘señalando el b</w:t>
      </w:r>
      <w:r>
        <w:t>e</w:t>
      </w:r>
      <w:r>
        <w:t>neficio que esta actitud les reportaría’”.</w:t>
      </w:r>
    </w:p>
    <w:p w:rsidR="00224567" w:rsidRDefault="00224567">
      <w:pPr>
        <w:widowControl w:val="0"/>
        <w:tabs>
          <w:tab w:val="center" w:pos="0"/>
          <w:tab w:val="left" w:pos="2835"/>
        </w:tabs>
        <w:ind w:firstLine="2880"/>
      </w:pPr>
      <w:r>
        <w:t>Cuadra señalar que los vicios o vej</w:t>
      </w:r>
      <w:r>
        <w:t>á</w:t>
      </w:r>
      <w:r>
        <w:t>menes de índole moral que puedan afectar, al momento de prestar declaración indagatoria, la voluntad de un imp</w:t>
      </w:r>
      <w:r>
        <w:t>u</w:t>
      </w:r>
      <w:r>
        <w:t>tado, se encuentran equiparados, por la ausencia de libe</w:t>
      </w:r>
      <w:r>
        <w:t>r</w:t>
      </w:r>
      <w:r>
        <w:t>tad, en cuanto a su validez y consecuencias, a aquellos en que tales manifestaciones fueron obtenidas mediante apr</w:t>
      </w:r>
      <w:r>
        <w:t>e</w:t>
      </w:r>
      <w:r>
        <w:t>mios ilegales y sobre los que nuestro más Alto Tribunal se pronunció en los precedentes registrados en Fallos: 303:1939; 310:1847.</w:t>
      </w:r>
    </w:p>
    <w:p w:rsidR="00224567" w:rsidRDefault="00224567">
      <w:pPr>
        <w:widowControl w:val="0"/>
        <w:tabs>
          <w:tab w:val="center" w:pos="0"/>
          <w:tab w:val="left" w:pos="2835"/>
        </w:tabs>
        <w:ind w:firstLine="2880"/>
        <w:rPr>
          <w:lang w:val="en-US"/>
        </w:rPr>
      </w:pPr>
      <w:r>
        <w:t>A su vez, el “Proyecto de Reglas Mín</w:t>
      </w:r>
      <w:r>
        <w:t>i</w:t>
      </w:r>
      <w:r>
        <w:t xml:space="preserve">mas de las Naciones Unidas para </w:t>
      </w:r>
      <w:smartTag w:uri="urn:schemas-microsoft-com:office:smarttags" w:element="PersonName">
        <w:smartTagPr>
          <w:attr w:name="ProductID" w:val="la Administraci￳n"/>
        </w:smartTagPr>
        <w:r>
          <w:t>la Administración</w:t>
        </w:r>
      </w:smartTag>
      <w:r>
        <w:t xml:space="preserve"> de </w:t>
      </w:r>
      <w:smartTag w:uri="urn:schemas-microsoft-com:office:smarttags" w:element="PersonName">
        <w:smartTagPr>
          <w:attr w:name="ProductID" w:val="la Justicia Penal"/>
        </w:smartTagPr>
        <w:r>
          <w:t>la Justicia Penal</w:t>
        </w:r>
      </w:smartTag>
      <w:r>
        <w:t>”, conocidas como “Reglas de Mallorca” deb</w:t>
      </w:r>
      <w:r>
        <w:t>i</w:t>
      </w:r>
      <w:r>
        <w:t>do al lugar en que sesionó la comisión de expertos, disp</w:t>
      </w:r>
      <w:r>
        <w:t>o</w:t>
      </w:r>
      <w:r>
        <w:t xml:space="preserve">ne en el apartado </w:t>
      </w:r>
      <w:r>
        <w:rPr>
          <w:b/>
        </w:rPr>
        <w:t>C</w:t>
      </w:r>
      <w:r>
        <w:rPr>
          <w:b/>
          <w:bCs/>
        </w:rPr>
        <w:t>)</w:t>
      </w:r>
      <w:r>
        <w:t xml:space="preserve">, “Derechos del Imputado”, </w:t>
      </w:r>
      <w:r>
        <w:rPr>
          <w:b/>
        </w:rPr>
        <w:t>n</w:t>
      </w:r>
      <w:r>
        <w:rPr>
          <w:b/>
        </w:rPr>
        <w:t>o</w:t>
      </w:r>
      <w:r>
        <w:rPr>
          <w:b/>
        </w:rPr>
        <w:t>veno</w:t>
      </w:r>
      <w:r>
        <w:t>: “</w:t>
      </w:r>
      <w:r>
        <w:rPr>
          <w:b/>
          <w:i/>
        </w:rPr>
        <w:t>1)</w:t>
      </w:r>
      <w:r>
        <w:t xml:space="preserve"> El imputado tiene el derecho irrenunciable a declarar l</w:t>
      </w:r>
      <w:r>
        <w:t>i</w:t>
      </w:r>
      <w:r>
        <w:t>bremente o guardar silencio sobre los hechos que se le imputan. No podrá ser constreñido o inducido a confesar mediante violencia, amenaza, engaño, recompensa o otro m</w:t>
      </w:r>
      <w:r>
        <w:t>e</w:t>
      </w:r>
      <w:r>
        <w:t xml:space="preserve">dio de efecto semejante; </w:t>
      </w:r>
      <w:r>
        <w:rPr>
          <w:b/>
          <w:i/>
        </w:rPr>
        <w:t>2)</w:t>
      </w:r>
      <w:r>
        <w:t xml:space="preserve"> Las legislaciones nacionales deberán prever sanciones penales y disciplinarias contra los funcionarios que quebranten el anterior principio”. </w:t>
      </w:r>
      <w:r>
        <w:rPr>
          <w:b/>
        </w:rPr>
        <w:t>Déc</w:t>
      </w:r>
      <w:r>
        <w:rPr>
          <w:b/>
        </w:rPr>
        <w:t>i</w:t>
      </w:r>
      <w:r>
        <w:rPr>
          <w:b/>
        </w:rPr>
        <w:t>mo</w:t>
      </w:r>
      <w:r>
        <w:t>: “Las pruebas obtenidas mediante la transgresión de los derechos consagrados en las reglas Octavo y Noveno no podrán ser utilizadas en el proceso” (cfr. E. Bacigalupo “</w:t>
      </w:r>
      <w:smartTag w:uri="urn:schemas-microsoft-com:office:smarttags" w:element="PersonName">
        <w:smartTagPr>
          <w:attr w:name="ProductID" w:val="La Impugnaci￳n"/>
        </w:smartTagPr>
        <w:r>
          <w:t>La Impugnación</w:t>
        </w:r>
      </w:smartTag>
      <w:r>
        <w:t xml:space="preserve"> de los Hechos Probados en </w:t>
      </w:r>
      <w:smartTag w:uri="urn:schemas-microsoft-com:office:smarttags" w:element="PersonName">
        <w:smartTagPr>
          <w:attr w:name="ProductID" w:val="la Casaci￳n Penal"/>
        </w:smartTagPr>
        <w:r>
          <w:t>la Casación P</w:t>
        </w:r>
        <w:r>
          <w:t>e</w:t>
        </w:r>
        <w:r>
          <w:t>nal</w:t>
        </w:r>
      </w:smartTag>
      <w:r>
        <w:t xml:space="preserve"> y Otros Estudios”, ed. </w:t>
      </w:r>
      <w:r>
        <w:rPr>
          <w:lang w:val="en-US"/>
        </w:rPr>
        <w:t>Ad-Hoc, 1994, pág. 108).</w:t>
      </w:r>
    </w:p>
    <w:p w:rsidR="00224567" w:rsidRDefault="00224567">
      <w:pPr>
        <w:widowControl w:val="0"/>
        <w:tabs>
          <w:tab w:val="center" w:pos="0"/>
          <w:tab w:val="left" w:pos="2835"/>
        </w:tabs>
        <w:ind w:firstLine="2880"/>
      </w:pPr>
      <w:r>
        <w:t>Luigi Ferrajoli afirma que “en el m</w:t>
      </w:r>
      <w:r>
        <w:t>o</w:t>
      </w:r>
      <w:r>
        <w:t>delo garantista se invierte la idea de que el fin de la verdad justifica cualquier medio, de modo que es únicame</w:t>
      </w:r>
      <w:r>
        <w:t>n</w:t>
      </w:r>
      <w:r>
        <w:t>te la naturaleza del medio lo que garantiza la obtención del fin”.</w:t>
      </w:r>
    </w:p>
    <w:p w:rsidR="00224567" w:rsidRDefault="00224567">
      <w:pPr>
        <w:widowControl w:val="0"/>
        <w:tabs>
          <w:tab w:val="center" w:pos="0"/>
          <w:tab w:val="left" w:pos="2835"/>
        </w:tabs>
        <w:ind w:firstLine="2880"/>
      </w:pPr>
      <w:r>
        <w:t>Agrega que el interrogatorio del reo, por hallarse encaminado a su defensa, debe estar sujeto a reglas de lealtad procesal, destacando “la prohibición de cualquier promesa o presión directa o indirecta sobre los imputados para inducirles al arrepentimiento o a la col</w:t>
      </w:r>
      <w:r>
        <w:t>a</w:t>
      </w:r>
      <w:r>
        <w:t>boración con la acusación”.</w:t>
      </w:r>
    </w:p>
    <w:p w:rsidR="00224567" w:rsidRDefault="00224567">
      <w:pPr>
        <w:widowControl w:val="0"/>
        <w:tabs>
          <w:tab w:val="center" w:pos="0"/>
          <w:tab w:val="left" w:pos="2835"/>
        </w:tabs>
        <w:ind w:firstLine="2880"/>
      </w:pPr>
      <w:r>
        <w:t>Añade el autor citado que, “en defin</w:t>
      </w:r>
      <w:r>
        <w:t>i</w:t>
      </w:r>
      <w:r>
        <w:t>tiva, el esquema triádico y la epistemología falsacioni</w:t>
      </w:r>
      <w:r>
        <w:t>s</w:t>
      </w:r>
      <w:r>
        <w:t>ta, propias del garantismo procesal acusatorio, excluyen cualquier colaboración del imputado con la acusación que sea fruto de sugerencias o negociaciones, tanto más si se hubiesen desarrollado en la sombra”.</w:t>
      </w:r>
    </w:p>
    <w:p w:rsidR="00224567" w:rsidRDefault="00224567">
      <w:pPr>
        <w:widowControl w:val="0"/>
        <w:tabs>
          <w:tab w:val="center" w:pos="0"/>
          <w:tab w:val="left" w:pos="2835"/>
        </w:tabs>
        <w:ind w:firstLine="2880"/>
      </w:pPr>
      <w:r>
        <w:t>Agrega Ferrajoli que “contra tales prácticas alzaron sus voces, aunque con argumentos y tonos diversos, Beccaria, Diderot, Filangieri, Pagano, Romagnosi y, con particular firmeza, Carrara, que calificó como ‘i</w:t>
      </w:r>
      <w:r>
        <w:t>n</w:t>
      </w:r>
      <w:r>
        <w:t>moralidades’ e ‘infamias’ todas las seducciones del reo que se manifiesten en promesas o halagos, calificándolas como un ‘abuso de autoridad’ pena</w:t>
      </w:r>
      <w:r>
        <w:t>l</w:t>
      </w:r>
      <w:r>
        <w:t>mente sancionable” (cfr. “Derecho y Razón. Teoría del Garantismo Penal”, Ed.   Trotta, 1989, pág. 608 y sigs.).</w:t>
      </w:r>
    </w:p>
    <w:p w:rsidR="00224567" w:rsidRDefault="00224567">
      <w:pPr>
        <w:widowControl w:val="0"/>
        <w:tabs>
          <w:tab w:val="center" w:pos="0"/>
          <w:tab w:val="left" w:pos="2835"/>
        </w:tabs>
        <w:ind w:firstLine="2880"/>
      </w:pPr>
      <w:r>
        <w:t>Así como la declaración del imputado recibida sin respetar las reglas mínimas antes enumer</w:t>
      </w:r>
      <w:r>
        <w:t>a</w:t>
      </w:r>
      <w:r>
        <w:t>das, no puede ser utilizada para fundar una solución que lo perjudique, menos aún podrá hacérselo respecto de los re</w:t>
      </w:r>
      <w:r>
        <w:t>s</w:t>
      </w:r>
      <w:r>
        <w:t>tantes procesados, cuando, como en el caso, vale reitera</w:t>
      </w:r>
      <w:r>
        <w:t>r</w:t>
      </w:r>
      <w:r>
        <w:t>lo, los términos de aquella fue negociada a sus espaldas y sin conocimiento de las partes legít</w:t>
      </w:r>
      <w:r>
        <w:t>i</w:t>
      </w:r>
      <w:r>
        <w:t>mamente constituidas.</w:t>
      </w:r>
    </w:p>
    <w:p w:rsidR="00224567" w:rsidRDefault="00224567">
      <w:pPr>
        <w:widowControl w:val="0"/>
        <w:tabs>
          <w:tab w:val="center" w:pos="0"/>
          <w:tab w:val="left" w:pos="2835"/>
        </w:tabs>
        <w:ind w:firstLine="2880"/>
      </w:pPr>
      <w:r>
        <w:t>Como puede advertirse, el procedimie</w:t>
      </w:r>
      <w:r>
        <w:t>n</w:t>
      </w:r>
      <w:r>
        <w:t>to empleado en la causa para obtener información no guarda ningún viso de legalidad, ni presenta ninguna similitud con el que implementó la ley 25.241.</w:t>
      </w:r>
    </w:p>
    <w:p w:rsidR="00224567" w:rsidRDefault="00224567">
      <w:pPr>
        <w:widowControl w:val="0"/>
        <w:tabs>
          <w:tab w:val="center" w:pos="0"/>
          <w:tab w:val="left" w:pos="2835"/>
        </w:tabs>
        <w:ind w:firstLine="2880"/>
      </w:pPr>
      <w:r>
        <w:t>No obstante, se trató de enmascarar la declaración indagatoria prestada por Carlos Telle</w:t>
      </w:r>
      <w:r>
        <w:t>l</w:t>
      </w:r>
      <w:r>
        <w:t>dín el 5 de julio de 1996, bajo la apariencia de un pseudo arrepe</w:t>
      </w:r>
      <w:r>
        <w:t>n</w:t>
      </w:r>
      <w:r>
        <w:t>tido.</w:t>
      </w:r>
    </w:p>
    <w:p w:rsidR="00224567" w:rsidRDefault="00224567">
      <w:pPr>
        <w:widowControl w:val="0"/>
        <w:tabs>
          <w:tab w:val="center" w:pos="0"/>
          <w:tab w:val="left" w:pos="2835"/>
        </w:tabs>
        <w:ind w:firstLine="2880"/>
      </w:pPr>
      <w:r>
        <w:t>En efecto, en el acta que da cuenta de ese acto procesal se lee: “Manifiesta el compar</w:t>
      </w:r>
      <w:r>
        <w:t>e</w:t>
      </w:r>
      <w:r>
        <w:t>ciente que próximamente se cumplirán dos años del atentado investig</w:t>
      </w:r>
      <w:r>
        <w:t>a</w:t>
      </w:r>
      <w:r>
        <w:t>do y por ello ha pensado y reflexionado sobre circunsta</w:t>
      </w:r>
      <w:r>
        <w:t>n</w:t>
      </w:r>
      <w:r>
        <w:t>cias que conoce y que hasta el momento no las puso de m</w:t>
      </w:r>
      <w:r>
        <w:t>a</w:t>
      </w:r>
      <w:r>
        <w:t>nifiesto por los motivos que explicará. El primero, por temor a represalias que pudieran sufrir su familia o el declarante. El segundo, es que con estas manifestaciones, personalmente se relaciona a hechos ilícitos; lo que está dispuesto a hacer con el único objeto de colaborar con la investigación pero s</w:t>
      </w:r>
      <w:r>
        <w:t>o</w:t>
      </w:r>
      <w:r>
        <w:t>licitando que no sean utilizados para ser incriminado en otras causas penales, ya que de ser así se vería obligado a continuar amparándose en el derecho que le asiste de no declarar contra si mismo. Considera que la información que aportará es de gran información p</w:t>
      </w:r>
      <w:r>
        <w:t>a</w:t>
      </w:r>
      <w:r>
        <w:t>ra la causa y en consecuencia solicita la eximición de p</w:t>
      </w:r>
      <w:r>
        <w:t>e</w:t>
      </w:r>
      <w:r>
        <w:t>na respecto de los hechos ilícitos que declare, amparánd</w:t>
      </w:r>
      <w:r>
        <w:t>o</w:t>
      </w:r>
      <w:r>
        <w:t>se en la figura del arrepentido” (sic).</w:t>
      </w:r>
    </w:p>
    <w:p w:rsidR="00224567" w:rsidRDefault="00224567">
      <w:pPr>
        <w:widowControl w:val="0"/>
        <w:tabs>
          <w:tab w:val="center" w:pos="0"/>
          <w:tab w:val="left" w:pos="2835"/>
        </w:tabs>
        <w:ind w:firstLine="2880"/>
      </w:pPr>
      <w:r>
        <w:t>Al manifestar Telleldín en dicho i</w:t>
      </w:r>
      <w:r>
        <w:t>n</w:t>
      </w:r>
      <w:r>
        <w:t>troito que en caso de ser incriminado por sus dichos se vería obligado a continuar amparándose en su derecho de negarse a declarar, demuestra uno de los extremos de la mentada negociación, disimulada bajo un pedido de exim</w:t>
      </w:r>
      <w:r>
        <w:t>i</w:t>
      </w:r>
      <w:r>
        <w:t>ción de pena por los delitos que confesaría.</w:t>
      </w:r>
    </w:p>
    <w:p w:rsidR="00224567" w:rsidRDefault="00224567">
      <w:pPr>
        <w:widowControl w:val="0"/>
        <w:tabs>
          <w:tab w:val="center" w:pos="0"/>
          <w:tab w:val="left" w:pos="2835"/>
        </w:tabs>
        <w:ind w:firstLine="2880"/>
      </w:pPr>
      <w:r>
        <w:t>La prueba colectada demostró que esa introducción ocultaba una negociación de vieja data. Es decir, que se obtuvo por precio la confesión del proc</w:t>
      </w:r>
      <w:r>
        <w:t>e</w:t>
      </w:r>
      <w:r>
        <w:t>sado como medio para llegar a los supuesto partícipes del ate</w:t>
      </w:r>
      <w:r>
        <w:t>n</w:t>
      </w:r>
      <w:r>
        <w:t>tado; así fue que Telleldín contó la modalidad de su obrar delictivo, relatando hechos concretos que lo incriminaban.</w:t>
      </w:r>
    </w:p>
    <w:p w:rsidR="00224567" w:rsidRDefault="00224567">
      <w:pPr>
        <w:widowControl w:val="0"/>
        <w:tabs>
          <w:tab w:val="center" w:pos="0"/>
          <w:tab w:val="left" w:pos="2835"/>
        </w:tabs>
        <w:ind w:firstLine="2880"/>
      </w:pPr>
      <w:r>
        <w:t>Es obvio, entonces, que la declar</w:t>
      </w:r>
      <w:r>
        <w:t>a</w:t>
      </w:r>
      <w:r>
        <w:t>ción indagatoria prestada por Telleldín el 5 de julio de 1996, por no tratase de un acto libre y espontáneo, por el co</w:t>
      </w:r>
      <w:r>
        <w:t>n</w:t>
      </w:r>
      <w:r>
        <w:t>trario, producto de una coerción prohibida de manera co</w:t>
      </w:r>
      <w:r>
        <w:t>n</w:t>
      </w:r>
      <w:r>
        <w:t xml:space="preserve">tundente por el art. 18 de </w:t>
      </w:r>
      <w:smartTag w:uri="urn:schemas-microsoft-com:office:smarttags" w:element="PersonName">
        <w:smartTagPr>
          <w:attr w:name="ProductID" w:val="la Carta Magna"/>
        </w:smartTagPr>
        <w:r>
          <w:t>la Carta Magna</w:t>
        </w:r>
      </w:smartTag>
      <w:r>
        <w:t>, car</w:t>
      </w:r>
      <w:r>
        <w:t>e</w:t>
      </w:r>
      <w:r>
        <w:t>ce de todo valor en la causa, como así también los actos que sean su directa consecuencia, aparejando grave responsabilidad a todos quienes de un modo u otro idearon o co</w:t>
      </w:r>
      <w:r>
        <w:t>n</w:t>
      </w:r>
      <w:r>
        <w:t>sintieron ese proceder. Por lo tanto, c</w:t>
      </w:r>
      <w:r>
        <w:t>o</w:t>
      </w:r>
      <w:r>
        <w:t>rresponde declarar su nulidad.</w:t>
      </w:r>
    </w:p>
    <w:p w:rsidR="00224567" w:rsidRDefault="00224567">
      <w:pPr>
        <w:widowControl w:val="0"/>
        <w:tabs>
          <w:tab w:val="center" w:pos="0"/>
          <w:tab w:val="left" w:pos="2835"/>
        </w:tabs>
        <w:ind w:firstLine="2880"/>
      </w:pPr>
      <w:r>
        <w:t>Las aseveraciones del imputado en o</w:t>
      </w:r>
      <w:r>
        <w:t>r</w:t>
      </w:r>
      <w:r>
        <w:t>den a la forma en que se realizó la negociación y a la fórmula del “arrepentido” empleada en su exposición, por coincidir con las probanzas ya enumeradas, son m</w:t>
      </w:r>
      <w:r>
        <w:t>e</w:t>
      </w:r>
      <w:r>
        <w:t>recedoras de crédito. Al respecto, no puede soslayarse que la fórm</w:t>
      </w:r>
      <w:r>
        <w:t>u</w:t>
      </w:r>
      <w:r>
        <w:t>la utilizada es similar a la que se empleara con el imp</w:t>
      </w:r>
      <w:r>
        <w:t>u</w:t>
      </w:r>
      <w:r>
        <w:t>tado Huici.</w:t>
      </w:r>
    </w:p>
    <w:p w:rsidR="00224567" w:rsidRDefault="00224567">
      <w:pPr>
        <w:widowControl w:val="0"/>
        <w:tabs>
          <w:tab w:val="center" w:pos="0"/>
          <w:tab w:val="left" w:pos="2835"/>
        </w:tabs>
        <w:ind w:firstLine="2880"/>
      </w:pPr>
      <w:r>
        <w:t>Ese proceder, como ya se indicara, también desnuda la actuación ilícita del juez de instru</w:t>
      </w:r>
      <w:r>
        <w:t>c</w:t>
      </w:r>
      <w:r>
        <w:t>ción, de la camarista Riva Aramayo y del Ministerio Públ</w:t>
      </w:r>
      <w:r>
        <w:t>i</w:t>
      </w:r>
      <w:r>
        <w:t>co Fiscal.</w:t>
      </w:r>
    </w:p>
    <w:p w:rsidR="00224567" w:rsidRDefault="00224567">
      <w:pPr>
        <w:widowControl w:val="0"/>
        <w:tabs>
          <w:tab w:val="center" w:pos="0"/>
          <w:tab w:val="left" w:pos="2835"/>
        </w:tabs>
        <w:ind w:firstLine="2880"/>
      </w:pPr>
      <w:r>
        <w:t>Es por ello que a fin de dar adecu</w:t>
      </w:r>
      <w:r>
        <w:t>a</w:t>
      </w:r>
      <w:r>
        <w:t>da respuesta a todos los interrogantes que pueden pla</w:t>
      </w:r>
      <w:r>
        <w:t>n</w:t>
      </w:r>
      <w:r>
        <w:t>tearse, extremando el nivel de análisis, cuadra exam</w:t>
      </w:r>
      <w:r>
        <w:t>i</w:t>
      </w:r>
      <w:r>
        <w:t>nar el valor de las declaraciones de Telleldín cuando se proyectan a la situación procesal de los restantes imputados a quienes éste involucró en diferentes hechos.</w:t>
      </w:r>
    </w:p>
    <w:p w:rsidR="00224567" w:rsidRDefault="00224567">
      <w:pPr>
        <w:widowControl w:val="0"/>
        <w:tabs>
          <w:tab w:val="center" w:pos="0"/>
          <w:tab w:val="left" w:pos="2835"/>
        </w:tabs>
        <w:ind w:firstLine="2880"/>
      </w:pPr>
      <w:r>
        <w:t xml:space="preserve">Para este Tribunal el caso presenta similares aristas al resuelto por </w:t>
      </w:r>
      <w:smartTag w:uri="urn:schemas-microsoft-com:office:smarttags" w:element="PersonName">
        <w:smartTagPr>
          <w:attr w:name="ProductID" w:val="la Corte Suprema"/>
        </w:smartTagPr>
        <w:r>
          <w:t>la Corte Suprema</w:t>
        </w:r>
      </w:smartTag>
      <w:r>
        <w:t xml:space="preserve"> de Ju</w:t>
      </w:r>
      <w:r>
        <w:t>s</w:t>
      </w:r>
      <w:r>
        <w:t xml:space="preserve">ticia de </w:t>
      </w:r>
      <w:smartTag w:uri="urn:schemas-microsoft-com:office:smarttags" w:element="PersonName">
        <w:smartTagPr>
          <w:attr w:name="ProductID" w:val="la Naci￳n"/>
        </w:smartTagPr>
        <w:r>
          <w:t>la Nación</w:t>
        </w:r>
      </w:smartTag>
      <w:r>
        <w:t xml:space="preserve"> en Fallos: 308:733, donde, entre otras consideraciones, sentó la doctrina de que la g</w:t>
      </w:r>
      <w:r>
        <w:t>a</w:t>
      </w:r>
      <w:r>
        <w:t>rantía del debido proceso legitima, para impugnar un acto que sólo afecta el interés del procesado protag</w:t>
      </w:r>
      <w:r>
        <w:t>o</w:t>
      </w:r>
      <w:r>
        <w:t>nista, cuando aquél por su indisolubilidad se relaciona con la situación de otro imputado.</w:t>
      </w:r>
    </w:p>
    <w:p w:rsidR="00224567" w:rsidRDefault="00224567">
      <w:pPr>
        <w:widowControl w:val="0"/>
        <w:tabs>
          <w:tab w:val="center" w:pos="0"/>
          <w:tab w:val="left" w:pos="2835"/>
        </w:tabs>
        <w:ind w:firstLine="2880"/>
      </w:pPr>
      <w:r>
        <w:t>Demostrado como quedó que agentes e</w:t>
      </w:r>
      <w:r>
        <w:t>s</w:t>
      </w:r>
      <w:r>
        <w:t>tatales coercionaron a Telleldín a fin de lograr una d</w:t>
      </w:r>
      <w:r>
        <w:t>e</w:t>
      </w:r>
      <w:r>
        <w:t>terminada declaración, parece indudable, por aplic</w:t>
      </w:r>
      <w:r>
        <w:t>a</w:t>
      </w:r>
      <w:r>
        <w:t>ción de la doctrina que emana de los precedentes “Rayford” (F</w:t>
      </w:r>
      <w:r>
        <w:t>a</w:t>
      </w:r>
      <w:r>
        <w:t>llos: 308:733) y “Francomano” (Fallos: 310:2402), que no puede emplearse esa versión para inculpar a otros imp</w:t>
      </w:r>
      <w:r>
        <w:t>u</w:t>
      </w:r>
      <w:r>
        <w:t>tados, dado que al recibirla se violentaron los más el</w:t>
      </w:r>
      <w:r>
        <w:t>e</w:t>
      </w:r>
      <w:r>
        <w:t>mentales derechos que asistían a su expositor.</w:t>
      </w:r>
    </w:p>
    <w:p w:rsidR="00224567" w:rsidRDefault="00224567">
      <w:pPr>
        <w:widowControl w:val="0"/>
        <w:tabs>
          <w:tab w:val="center" w:pos="0"/>
          <w:tab w:val="left" w:pos="2835"/>
        </w:tabs>
        <w:ind w:firstLine="2880"/>
      </w:pPr>
      <w:r>
        <w:t>En el segundo de los fallos sostuvo el Alto Tribunal que ”Deben excluirse del proceso los eleme</w:t>
      </w:r>
      <w:r>
        <w:t>n</w:t>
      </w:r>
      <w:r>
        <w:t>tos de cargo que incriminan a un tercero cuando se orig</w:t>
      </w:r>
      <w:r>
        <w:t>i</w:t>
      </w:r>
      <w:r>
        <w:t>nan en un cauce de investigación viciado de n</w:t>
      </w:r>
      <w:r>
        <w:t>u</w:t>
      </w:r>
      <w:r>
        <w:t>lidad”.</w:t>
      </w:r>
    </w:p>
    <w:p w:rsidR="00224567" w:rsidRDefault="00224567">
      <w:pPr>
        <w:widowControl w:val="0"/>
        <w:tabs>
          <w:tab w:val="center" w:pos="0"/>
          <w:tab w:val="left" w:pos="2835"/>
        </w:tabs>
        <w:ind w:firstLine="2880"/>
      </w:pPr>
      <w:r>
        <w:t>La enormidad del proceder del juez f</w:t>
      </w:r>
      <w:r>
        <w:t>e</w:t>
      </w:r>
      <w:r>
        <w:t>deral Juan José Galeano mereció el repudio de la c</w:t>
      </w:r>
      <w:r>
        <w:t>o</w:t>
      </w:r>
      <w:r>
        <w:t>munidad jurídica, prueba de lo cual es la solicitada publicada en el diario “</w:t>
      </w:r>
      <w:smartTag w:uri="urn:schemas-microsoft-com:office:smarttags" w:element="PersonName">
        <w:smartTagPr>
          <w:attr w:name="ProductID" w:val="la Naci￳n"/>
        </w:smartTagPr>
        <w:r>
          <w:t>La Nación</w:t>
        </w:r>
      </w:smartTag>
      <w:r>
        <w:t>” del 19 de abril de 1997.</w:t>
      </w:r>
    </w:p>
    <w:p w:rsidR="00224567" w:rsidRDefault="00224567">
      <w:pPr>
        <w:widowControl w:val="0"/>
        <w:tabs>
          <w:tab w:val="center" w:pos="0"/>
          <w:tab w:val="left" w:pos="2835"/>
        </w:tabs>
        <w:ind w:firstLine="2880"/>
      </w:pPr>
      <w:r>
        <w:t xml:space="preserve">Allí, bajo el epígrafe “JUSTICIA, PERO NO A CUALQUIER PRECIO”, numerosos abogados penalistas, profesores de </w:t>
      </w:r>
      <w:smartTag w:uri="urn:schemas-microsoft-com:office:smarttags" w:element="PersonName">
        <w:smartTagPr>
          <w:attr w:name="ProductID" w:val="la Facultad"/>
        </w:smartTagPr>
        <w:r>
          <w:t>la Facultad</w:t>
        </w:r>
      </w:smartTag>
      <w:r>
        <w:t xml:space="preserve"> de Derecho de </w:t>
      </w:r>
      <w:smartTag w:uri="urn:schemas-microsoft-com:office:smarttags" w:element="PersonName">
        <w:smartTagPr>
          <w:attr w:name="ProductID" w:val="la Universidad Nacional"/>
        </w:smartTagPr>
        <w:r>
          <w:t>la Universidad N</w:t>
        </w:r>
        <w:r>
          <w:t>a</w:t>
        </w:r>
        <w:r>
          <w:t>cional</w:t>
        </w:r>
      </w:smartTag>
      <w:r>
        <w:t xml:space="preserve"> de Buenos Aires, destacan: </w:t>
      </w:r>
      <w:r>
        <w:rPr>
          <w:b/>
        </w:rPr>
        <w:t>”</w:t>
      </w:r>
      <w:r>
        <w:t xml:space="preserve">Los abajo firmantes desean expresar su profunda preocupación por los recientes acontecimientos sucedidos en el ámbito de la investigación del atentado a la sede de </w:t>
      </w:r>
      <w:smartTag w:uri="urn:schemas-microsoft-com:office:smarttags" w:element="PersonName">
        <w:smartTagPr>
          <w:attr w:name="ProductID" w:val="la A.M"/>
        </w:smartTagPr>
        <w:r>
          <w:t>la A.M</w:t>
        </w:r>
      </w:smartTag>
      <w:r>
        <w:t>.I.A.. A más de mil días del terrible suceso todavía no se ha podido esclarecer el hecho ni castigar a los culpables. Este acontecimiento, así como tantos otros, ha profundizado aún más la sens</w:t>
      </w:r>
      <w:r>
        <w:t>a</w:t>
      </w:r>
      <w:r>
        <w:t>ción de impunidad instalada en nuestra sociedad. Sin e</w:t>
      </w:r>
      <w:r>
        <w:t>m</w:t>
      </w:r>
      <w:r>
        <w:t>bargo, no puede dejar de condenarse la metodología util</w:t>
      </w:r>
      <w:r>
        <w:t>i</w:t>
      </w:r>
      <w:r>
        <w:t>zada en la investigación que se ha hecho pública en los últimos días y que nos lleva a las siguientes reflexiones:</w:t>
      </w:r>
    </w:p>
    <w:p w:rsidR="00224567" w:rsidRDefault="00224567">
      <w:pPr>
        <w:widowControl w:val="0"/>
        <w:tabs>
          <w:tab w:val="center" w:pos="0"/>
          <w:tab w:val="left" w:pos="2835"/>
        </w:tabs>
        <w:ind w:firstLine="2880"/>
        <w:rPr>
          <w:b/>
        </w:rPr>
      </w:pPr>
      <w:r>
        <w:t xml:space="preserve">Nos alarma la realización de </w:t>
      </w:r>
      <w:r>
        <w:rPr>
          <w:b/>
        </w:rPr>
        <w:t>“</w:t>
      </w:r>
      <w:r>
        <w:t>entr</w:t>
      </w:r>
      <w:r>
        <w:t>e</w:t>
      </w:r>
      <w:r>
        <w:t>vistas informales</w:t>
      </w:r>
      <w:r>
        <w:rPr>
          <w:b/>
        </w:rPr>
        <w:t>”</w:t>
      </w:r>
      <w:r>
        <w:t xml:space="preserve"> entre el juez de la causa y una pe</w:t>
      </w:r>
      <w:r>
        <w:t>r</w:t>
      </w:r>
      <w:r>
        <w:t>sona que si bien es presentada como testigo, se encuentra pr</w:t>
      </w:r>
      <w:r>
        <w:t>o</w:t>
      </w:r>
      <w:r>
        <w:t>cesada y privada de su libertad y podría volver a ser co</w:t>
      </w:r>
      <w:r>
        <w:t>n</w:t>
      </w:r>
      <w:r>
        <w:t>dicionada como partícipe o encubridor del atentado en cualquier momento. Este peculiar método de comunicación es completamente desconocido para el Cód</w:t>
      </w:r>
      <w:r>
        <w:t>i</w:t>
      </w:r>
      <w:r>
        <w:t xml:space="preserve">go Procesal Penal de </w:t>
      </w:r>
      <w:smartTag w:uri="urn:schemas-microsoft-com:office:smarttags" w:element="PersonName">
        <w:smartTagPr>
          <w:attr w:name="ProductID" w:val="la Naci￳n"/>
        </w:smartTagPr>
        <w:r>
          <w:t>la Nación</w:t>
        </w:r>
      </w:smartTag>
      <w:r>
        <w:t>, que sólo admite decl</w:t>
      </w:r>
      <w:r>
        <w:t>a</w:t>
      </w:r>
      <w:r>
        <w:t>raciones testimoniales (o indagatorias) formales y transparentes, cuyo contenido d</w:t>
      </w:r>
      <w:r>
        <w:t>e</w:t>
      </w:r>
      <w:r>
        <w:t>be quedar íntegramente transcripto en un acta.</w:t>
      </w:r>
      <w:r>
        <w:rPr>
          <w:b/>
        </w:rPr>
        <w:t>”</w:t>
      </w:r>
    </w:p>
    <w:p w:rsidR="00224567" w:rsidRDefault="00224567">
      <w:pPr>
        <w:widowControl w:val="0"/>
        <w:tabs>
          <w:tab w:val="center" w:pos="0"/>
          <w:tab w:val="left" w:pos="2835"/>
        </w:tabs>
        <w:ind w:firstLine="2880"/>
      </w:pPr>
      <w:r>
        <w:t xml:space="preserve">Agregan: </w:t>
      </w:r>
      <w:r>
        <w:rPr>
          <w:b/>
        </w:rPr>
        <w:t>”</w:t>
      </w:r>
      <w:r>
        <w:t>Igualmente nos alarma el contenido de esa entrevista, y la oferta de una reco</w:t>
      </w:r>
      <w:r>
        <w:t>m</w:t>
      </w:r>
      <w:r>
        <w:t>pensa a cambio de una declaración, bajo el disfraz de una disc</w:t>
      </w:r>
      <w:r>
        <w:t>u</w:t>
      </w:r>
      <w:r>
        <w:t xml:space="preserve">sión sobre </w:t>
      </w:r>
      <w:r>
        <w:rPr>
          <w:b/>
        </w:rPr>
        <w:t>‘</w:t>
      </w:r>
      <w:r>
        <w:t>derechos de autor</w:t>
      </w:r>
      <w:r>
        <w:rPr>
          <w:b/>
        </w:rPr>
        <w:t xml:space="preserve">’. </w:t>
      </w:r>
      <w:r>
        <w:t>Un decreto del Ejecutivo (reglamentado o no) autorizando una partida de fondos para el pago de recompensas no puede, en un Estado de derecho, derogar los deberes de imparcialidad y legalidad a los que todo juez está sujeto. Ninguna ley del país autoriza, no podría autorizar, a un juez, custodia de las garantías i</w:t>
      </w:r>
      <w:r>
        <w:t>n</w:t>
      </w:r>
      <w:r>
        <w:t>dividuales de los ciudad</w:t>
      </w:r>
      <w:r>
        <w:t>a</w:t>
      </w:r>
      <w:r>
        <w:t>nos, a una práctica semejante, y, para el caso de un imputado ella está expresamente proh</w:t>
      </w:r>
      <w:r>
        <w:t>i</w:t>
      </w:r>
      <w:r>
        <w:t xml:space="preserve">bida. Que el contenido de esta </w:t>
      </w:r>
      <w:r>
        <w:rPr>
          <w:b/>
        </w:rPr>
        <w:t>‘</w:t>
      </w:r>
      <w:r>
        <w:t>entrevista</w:t>
      </w:r>
      <w:r>
        <w:rPr>
          <w:b/>
        </w:rPr>
        <w:t>’</w:t>
      </w:r>
      <w:r>
        <w:t xml:space="preserve"> no haya sido registrada en el acta agrava aún más la situación, y deja sin demasiados argumentos a quienes sostienen su legitim</w:t>
      </w:r>
      <w:r>
        <w:t>i</w:t>
      </w:r>
      <w:r>
        <w:t>dad</w:t>
      </w:r>
      <w:r>
        <w:rPr>
          <w:b/>
        </w:rPr>
        <w:t>”</w:t>
      </w:r>
      <w:r>
        <w:t>.</w:t>
      </w:r>
    </w:p>
    <w:p w:rsidR="00224567" w:rsidRDefault="00224567">
      <w:pPr>
        <w:widowControl w:val="0"/>
        <w:tabs>
          <w:tab w:val="center" w:pos="0"/>
          <w:tab w:val="left" w:pos="2835"/>
        </w:tabs>
        <w:ind w:firstLine="2880"/>
      </w:pPr>
      <w:r>
        <w:t xml:space="preserve">Enfatizan: </w:t>
      </w:r>
      <w:r>
        <w:rPr>
          <w:b/>
        </w:rPr>
        <w:t>“</w:t>
      </w:r>
      <w:r>
        <w:t>Finalmente nos alarma la utilización de intervenciones telefónicas indiscrimin</w:t>
      </w:r>
      <w:r>
        <w:t>a</w:t>
      </w:r>
      <w:r>
        <w:t>das del estudio jurídico de abogados, práctica que ya tiene antecedentes en nuestro medio igualmente censurables, i</w:t>
      </w:r>
      <w:r>
        <w:t>g</w:t>
      </w:r>
      <w:r>
        <w:t>norando que, en cualquier país civilizado, estas convers</w:t>
      </w:r>
      <w:r>
        <w:t>a</w:t>
      </w:r>
      <w:r>
        <w:t xml:space="preserve">ciones son privilegiadas y esenciales para el adecuado ejercicio del derecho de defensa en juicio consagrado en </w:t>
      </w:r>
      <w:smartTag w:uri="urn:schemas-microsoft-com:office:smarttags" w:element="PersonName">
        <w:smartTagPr>
          <w:attr w:name="ProductID" w:val="la Constituci￳n Nacional."/>
        </w:smartTagPr>
        <w:r>
          <w:t>la Constitución Nacional.</w:t>
        </w:r>
      </w:smartTag>
      <w:r>
        <w:t xml:space="preserve"> Del mismo modo, la inédita met</w:t>
      </w:r>
      <w:r>
        <w:t>o</w:t>
      </w:r>
      <w:r>
        <w:t>dología desplegada por la justicia para la aprehensión de este abogado, resulta también inquietante, con total pre</w:t>
      </w:r>
      <w:r>
        <w:t>s</w:t>
      </w:r>
      <w:r>
        <w:t>cindencia de la opinión que la actividad desplegada por este abogado nos merezca. Se ha ofrecido, en definitiva, el mismo triste espectáculo que se censuraba al abogado detenido</w:t>
      </w:r>
      <w:r>
        <w:rPr>
          <w:b/>
        </w:rPr>
        <w:t>”</w:t>
      </w:r>
      <w:r>
        <w:t>.</w:t>
      </w:r>
    </w:p>
    <w:p w:rsidR="00224567" w:rsidRDefault="00224567">
      <w:pPr>
        <w:widowControl w:val="0"/>
        <w:tabs>
          <w:tab w:val="center" w:pos="0"/>
          <w:tab w:val="left" w:pos="2835"/>
        </w:tabs>
        <w:ind w:firstLine="2880"/>
      </w:pPr>
      <w:r>
        <w:t>Finalmente, destacan:</w:t>
      </w:r>
      <w:r>
        <w:rPr>
          <w:b/>
        </w:rPr>
        <w:t xml:space="preserve"> “</w:t>
      </w:r>
      <w:r>
        <w:t>Legitimar las acciones recién expuestas en aras de una supuesta ‘ef</w:t>
      </w:r>
      <w:r>
        <w:t>i</w:t>
      </w:r>
      <w:r>
        <w:t>ciencia’ en la investigación es, como la trágica hist</w:t>
      </w:r>
      <w:r>
        <w:t>o</w:t>
      </w:r>
      <w:r>
        <w:t>ria reciente de nuestro país lo demuestra, el primer paso h</w:t>
      </w:r>
      <w:r>
        <w:t>a</w:t>
      </w:r>
      <w:r>
        <w:t>cia la convalidación de métodos degradantes y autorit</w:t>
      </w:r>
      <w:r>
        <w:t>a</w:t>
      </w:r>
      <w:r>
        <w:t>rios, pero seguramente también</w:t>
      </w:r>
      <w:r>
        <w:rPr>
          <w:b/>
        </w:rPr>
        <w:t xml:space="preserve"> ‘</w:t>
      </w:r>
      <w:r>
        <w:t>efectivos</w:t>
      </w:r>
      <w:r>
        <w:rPr>
          <w:b/>
        </w:rPr>
        <w:t>’</w:t>
      </w:r>
      <w:r>
        <w:t>, en la invest</w:t>
      </w:r>
      <w:r>
        <w:t>i</w:t>
      </w:r>
      <w:r>
        <w:t xml:space="preserve">gación y represión de los delitos. Tengamos el coraje de responder a la barbarie firmemente atados a </w:t>
      </w:r>
      <w:smartTag w:uri="urn:schemas-microsoft-com:office:smarttags" w:element="PersonName">
        <w:smartTagPr>
          <w:attr w:name="ProductID" w:val="la Constituci￳n Nacional"/>
        </w:smartTagPr>
        <w:r>
          <w:t>la Constit</w:t>
        </w:r>
        <w:r>
          <w:t>u</w:t>
        </w:r>
        <w:r>
          <w:t>ción Nacional</w:t>
        </w:r>
      </w:smartTag>
      <w:r>
        <w:t xml:space="preserve"> y al respeto irrestricto a los derechos h</w:t>
      </w:r>
      <w:r>
        <w:t>u</w:t>
      </w:r>
      <w:r>
        <w:t>manos, en vez de ceder a los cantos de sirena del pens</w:t>
      </w:r>
      <w:r>
        <w:t>a</w:t>
      </w:r>
      <w:r>
        <w:t>miento autoritario</w:t>
      </w:r>
      <w:r>
        <w:rPr>
          <w:b/>
        </w:rPr>
        <w:t>”.</w:t>
      </w:r>
      <w:r>
        <w:t xml:space="preserve"> Firman el documento: </w:t>
      </w:r>
      <w:r>
        <w:rPr>
          <w:bCs/>
        </w:rPr>
        <w:t>Abramovich, Ví</w:t>
      </w:r>
      <w:r>
        <w:rPr>
          <w:bCs/>
        </w:rPr>
        <w:t>c</w:t>
      </w:r>
      <w:r>
        <w:rPr>
          <w:bCs/>
        </w:rPr>
        <w:t>tor; Abregú, Martín; Alonso, Juan Pablo; Ayuso, Adriana; Baigún, David; Barbitta, Mariana; Bertoni, Eduardo; Bert</w:t>
      </w:r>
      <w:r>
        <w:rPr>
          <w:bCs/>
        </w:rPr>
        <w:t>o</w:t>
      </w:r>
      <w:r>
        <w:rPr>
          <w:bCs/>
        </w:rPr>
        <w:t>lino, Pedro; Bielsa, Rafael; Binder, Alberto; Bovino, A</w:t>
      </w:r>
      <w:r>
        <w:rPr>
          <w:bCs/>
        </w:rPr>
        <w:t>l</w:t>
      </w:r>
      <w:r>
        <w:rPr>
          <w:bCs/>
        </w:rPr>
        <w:t>berto; Castelló, Alejandro; Castex, Francisco; Castex, M</w:t>
      </w:r>
      <w:r>
        <w:rPr>
          <w:bCs/>
        </w:rPr>
        <w:t>a</w:t>
      </w:r>
      <w:r>
        <w:rPr>
          <w:bCs/>
        </w:rPr>
        <w:t>riano; Colalongo, Mabel; Conti, Diana; Corvo, Carlos; Courtis, Cristian; Ch</w:t>
      </w:r>
      <w:r>
        <w:rPr>
          <w:bCs/>
        </w:rPr>
        <w:t>i</w:t>
      </w:r>
      <w:r>
        <w:rPr>
          <w:bCs/>
        </w:rPr>
        <w:t>lier, Gastón; D’Alessio, Andrés; Da Rocha, Joaquín; De Michele, Roberto; Díaz Cantón, Ferna</w:t>
      </w:r>
      <w:r>
        <w:rPr>
          <w:bCs/>
        </w:rPr>
        <w:t>n</w:t>
      </w:r>
      <w:r>
        <w:rPr>
          <w:bCs/>
        </w:rPr>
        <w:t>do; Favelukes, Salvador; Fernández Blanco, Carolina; G</w:t>
      </w:r>
      <w:r>
        <w:rPr>
          <w:bCs/>
        </w:rPr>
        <w:t>a</w:t>
      </w:r>
      <w:r>
        <w:rPr>
          <w:bCs/>
        </w:rPr>
        <w:t>rrido, Ariel; Gené, Gustavo; Goransky, Mirna; Guariglia, Fabricio; Gullco, Hernán; Isola, Alicia; Jorge, Guillermo; Kabusaki, Leticia; Lagos, Daniel; Langer, Máximo; López Puleio, Fernanda; Maier, Julio; Malamud Goti, Jaime; Mal</w:t>
      </w:r>
      <w:r>
        <w:rPr>
          <w:bCs/>
        </w:rPr>
        <w:t>o</w:t>
      </w:r>
      <w:r>
        <w:rPr>
          <w:bCs/>
        </w:rPr>
        <w:t>neay, Adrián; Mariezcurrena, Javier; Marino, Esteban; M</w:t>
      </w:r>
      <w:r>
        <w:rPr>
          <w:bCs/>
        </w:rPr>
        <w:t>o</w:t>
      </w:r>
      <w:r>
        <w:rPr>
          <w:bCs/>
        </w:rPr>
        <w:t>reno Ocampo, Luis; Osler, Luis; Pastor, Daniel; Plat, Gu</w:t>
      </w:r>
      <w:r>
        <w:rPr>
          <w:bCs/>
        </w:rPr>
        <w:t>s</w:t>
      </w:r>
      <w:r>
        <w:rPr>
          <w:bCs/>
        </w:rPr>
        <w:t>tavo; Román, Mónica; Rusconi, Maximiliano; Saba, R</w:t>
      </w:r>
      <w:r>
        <w:rPr>
          <w:bCs/>
        </w:rPr>
        <w:t>o</w:t>
      </w:r>
      <w:r>
        <w:rPr>
          <w:bCs/>
        </w:rPr>
        <w:t>berto; Salt, Marcos; Sancinetti, Marcelo; Sgro, Marcelo; Silve</w:t>
      </w:r>
      <w:r>
        <w:rPr>
          <w:bCs/>
        </w:rPr>
        <w:t>s</w:t>
      </w:r>
      <w:r>
        <w:rPr>
          <w:bCs/>
        </w:rPr>
        <w:t>troni, Mariano; Solá, Bernardo; Sosa, Roberto; Suriz, Gu</w:t>
      </w:r>
      <w:r>
        <w:rPr>
          <w:bCs/>
        </w:rPr>
        <w:t>s</w:t>
      </w:r>
      <w:r>
        <w:rPr>
          <w:bCs/>
        </w:rPr>
        <w:t>tavo; Tarrió, Mario; Valdes, Patricia; Virgolini, Julio; Ziffer, Patricia.</w:t>
      </w:r>
    </w:p>
    <w:p w:rsidR="00224567" w:rsidRDefault="00224567">
      <w:pPr>
        <w:widowControl w:val="0"/>
        <w:tabs>
          <w:tab w:val="center" w:pos="0"/>
          <w:tab w:val="left" w:pos="2835"/>
        </w:tabs>
        <w:ind w:firstLine="2880"/>
      </w:pPr>
      <w:r>
        <w:t>Las expresiones de condena de los pr</w:t>
      </w:r>
      <w:r>
        <w:t>o</w:t>
      </w:r>
      <w:r>
        <w:t>fesionales del derecho, que datan de 1997, cobraron plena vigencia</w:t>
      </w:r>
      <w:r>
        <w:rPr>
          <w:b/>
        </w:rPr>
        <w:t xml:space="preserve"> </w:t>
      </w:r>
      <w:r>
        <w:t>a lo largo del debate, en ocasión de prestar d</w:t>
      </w:r>
      <w:r>
        <w:t>e</w:t>
      </w:r>
      <w:r>
        <w:t>claración testimonial los funcionarios y empleados del Juzgado en lo Criminal y Correccional Federal nº 9. En efecto, llamó la atención del Tribunal, la naturalidad con que los secretarios -Dres. Susana Spina, Juan De Gamas, Carlos Velasco y José Pereyra- hicieron referencia a las reuniones informales de las que participaron, al igual que el juez, con el procesado Telleldín, explicando, sin el menor atisbo de pudor, ese tipo de “charlas”.</w:t>
      </w:r>
    </w:p>
    <w:p w:rsidR="00224567" w:rsidRDefault="00224567">
      <w:pPr>
        <w:widowControl w:val="0"/>
        <w:tabs>
          <w:tab w:val="center" w:pos="0"/>
          <w:tab w:val="left" w:pos="2835"/>
        </w:tabs>
        <w:ind w:firstLine="2880"/>
      </w:pPr>
      <w:r>
        <w:t>En este contexto, pese a la aberr</w:t>
      </w:r>
      <w:r>
        <w:t>a</w:t>
      </w:r>
      <w:r>
        <w:t>ción cometida, explicaron el video del 10 de abril de 1996, c</w:t>
      </w:r>
      <w:r>
        <w:t>u</w:t>
      </w:r>
      <w:r>
        <w:t>yas imágenes dan cuenta de que se exhibió a Telleldín, también informalmente, álbumes con las fotos de los imp</w:t>
      </w:r>
      <w:r>
        <w:t>u</w:t>
      </w:r>
      <w:r>
        <w:t>tados, sin que esa “diligencia” se asentase en un acta. Esos reconocimientos se materializaron lu</w:t>
      </w:r>
      <w:r>
        <w:t>e</w:t>
      </w:r>
      <w:r>
        <w:t>go, formalmente, en la declaración indagatoria del 5 de julio de 1996.</w:t>
      </w:r>
    </w:p>
    <w:p w:rsidR="00224567" w:rsidRDefault="00224567">
      <w:pPr>
        <w:widowControl w:val="0"/>
        <w:tabs>
          <w:tab w:val="center" w:pos="0"/>
          <w:tab w:val="left" w:pos="2835"/>
        </w:tabs>
        <w:ind w:firstLine="2880"/>
      </w:pPr>
      <w:r>
        <w:t>Los funcionarios del juzgado instru</w:t>
      </w:r>
      <w:r>
        <w:t>c</w:t>
      </w:r>
      <w:r>
        <w:t>tor que concurrieron al debate parecían desconocer las disposiciones del Código Procesal Penal acerca de la forma de interrogar a los detenidos; vale reiterar, que al ser preguntados respecto de esas charlas o reuniones inform</w:t>
      </w:r>
      <w:r>
        <w:t>a</w:t>
      </w:r>
      <w:r>
        <w:t>les, se mostraron molestos y agresivos, no supieron di</w:t>
      </w:r>
      <w:r>
        <w:t>s</w:t>
      </w:r>
      <w:r>
        <w:t>tinguir entre solemnidades procesales y garantías const</w:t>
      </w:r>
      <w:r>
        <w:t>i</w:t>
      </w:r>
      <w:r>
        <w:t>tucionales.</w:t>
      </w:r>
    </w:p>
    <w:p w:rsidR="00224567" w:rsidRDefault="00224567">
      <w:pPr>
        <w:widowControl w:val="0"/>
        <w:tabs>
          <w:tab w:val="center" w:pos="0"/>
          <w:tab w:val="left" w:pos="2835"/>
        </w:tabs>
        <w:ind w:firstLine="2880"/>
      </w:pPr>
      <w:r>
        <w:t xml:space="preserve">A modo de ejemplo, </w:t>
      </w:r>
      <w:smartTag w:uri="urn:schemas-microsoft-com:office:smarttags" w:element="PersonName">
        <w:smartTagPr>
          <w:attr w:name="ProductID" w:val="la Dra. Spina"/>
        </w:smartTagPr>
        <w:r>
          <w:t>la Dra. Spina</w:t>
        </w:r>
      </w:smartTag>
      <w:r>
        <w:t>, c</w:t>
      </w:r>
      <w:r>
        <w:t>u</w:t>
      </w:r>
      <w:r>
        <w:t>briéndose de eventuales cuestionamientos, luego de narrar las desgarradoras escenas que le tocaron vivir en el lugar de los hechos el 18 de julio de 1994, acotó que no le c</w:t>
      </w:r>
      <w:r>
        <w:t>a</w:t>
      </w:r>
      <w:r>
        <w:t>bía en ese momento pensar en las actas que requiere el c</w:t>
      </w:r>
      <w:r>
        <w:t>ó</w:t>
      </w:r>
      <w:r>
        <w:t>digo procesal. Mas, ese tipo de reparos no fueron ten</w:t>
      </w:r>
      <w:r>
        <w:t>i</w:t>
      </w:r>
      <w:r>
        <w:t>dos en cuenta cuando se quemaron los videocasetes que docume</w:t>
      </w:r>
      <w:r>
        <w:t>n</w:t>
      </w:r>
      <w:r>
        <w:t>taban las entrevistas “informales” con Telleldín, ocasión en la que tampoco labraron actuación alguna.</w:t>
      </w:r>
    </w:p>
    <w:p w:rsidR="00224567" w:rsidRDefault="00224567">
      <w:pPr>
        <w:widowControl w:val="0"/>
        <w:tabs>
          <w:tab w:val="center" w:pos="0"/>
          <w:tab w:val="left" w:pos="2835"/>
        </w:tabs>
        <w:ind w:firstLine="2880"/>
      </w:pPr>
      <w:r>
        <w:t>Entre las piezas quemadas, hasta donde pudo indagar el Tribunal, había una entrevista del mes de junio y la grabación de la declaración indagatoria del 5 de julio de 1994.</w:t>
      </w:r>
    </w:p>
    <w:p w:rsidR="00224567" w:rsidRDefault="00224567">
      <w:pPr>
        <w:widowControl w:val="0"/>
        <w:tabs>
          <w:tab w:val="center" w:pos="0"/>
          <w:tab w:val="left" w:pos="2835"/>
        </w:tabs>
        <w:ind w:firstLine="2880"/>
      </w:pPr>
      <w:r>
        <w:t>En el video del mes de julio, según expresó Telleldín, se registraban las primeras convers</w:t>
      </w:r>
      <w:r>
        <w:t>a</w:t>
      </w:r>
      <w:r>
        <w:t>ciones acerca del pago que luego recibió; la film</w:t>
      </w:r>
      <w:r>
        <w:t>a</w:t>
      </w:r>
      <w:r>
        <w:t>ción de este video, como ya se dijo, fue reconocida por el Dr. V</w:t>
      </w:r>
      <w:r>
        <w:t>e</w:t>
      </w:r>
      <w:r>
        <w:t>lasco.</w:t>
      </w:r>
    </w:p>
    <w:p w:rsidR="00224567" w:rsidRDefault="00224567">
      <w:pPr>
        <w:widowControl w:val="0"/>
        <w:tabs>
          <w:tab w:val="center" w:pos="0"/>
          <w:tab w:val="left" w:pos="2835"/>
        </w:tabs>
        <w:ind w:firstLine="2880"/>
      </w:pPr>
      <w:r>
        <w:t>Por otro lado, resulta inexplicable que se incinerase la cinta que registraba la indagatoria de Telleldín, pues ese documento hubiese despejado todas las dudas generadas acerca de las viciosas co</w:t>
      </w:r>
      <w:r>
        <w:t>n</w:t>
      </w:r>
      <w:r>
        <w:t>versaciones informales.</w:t>
      </w:r>
    </w:p>
    <w:p w:rsidR="00224567" w:rsidRDefault="00224567">
      <w:pPr>
        <w:widowControl w:val="0"/>
        <w:tabs>
          <w:tab w:val="center" w:pos="0"/>
          <w:tab w:val="left" w:pos="2835"/>
        </w:tabs>
      </w:pPr>
    </w:p>
    <w:p w:rsidR="00224567" w:rsidRDefault="00224567">
      <w:pPr>
        <w:pStyle w:val="Ttulo3"/>
        <w:keepNext w:val="0"/>
        <w:widowControl w:val="0"/>
      </w:pPr>
      <w:r>
        <w:t>T) Parcialidad: efectos.</w:t>
      </w:r>
    </w:p>
    <w:p w:rsidR="00224567" w:rsidRDefault="00224567">
      <w:pPr>
        <w:widowControl w:val="0"/>
        <w:tabs>
          <w:tab w:val="center" w:pos="0"/>
          <w:tab w:val="left" w:pos="2835"/>
        </w:tabs>
        <w:ind w:firstLine="2880"/>
      </w:pPr>
      <w:r>
        <w:rPr>
          <w:b/>
          <w:bCs/>
        </w:rPr>
        <w:t xml:space="preserve">T.1) </w:t>
      </w:r>
      <w:r>
        <w:t>Establecida la parcialidad del juez de instrucción, Dr. Galeano, cuadra determinar las consecuencias en la causa de esa falta de neutralidad o designio anticipado.</w:t>
      </w:r>
    </w:p>
    <w:p w:rsidR="00224567" w:rsidRDefault="00224567">
      <w:pPr>
        <w:widowControl w:val="0"/>
        <w:tabs>
          <w:tab w:val="center" w:pos="0"/>
          <w:tab w:val="left" w:pos="2835"/>
        </w:tabs>
        <w:ind w:firstLine="2880"/>
      </w:pPr>
      <w:r>
        <w:t>El art. 166 del Código Procesal P</w:t>
      </w:r>
      <w:r>
        <w:t>e</w:t>
      </w:r>
      <w:r>
        <w:t>nal establece, como regla general, que “los actos procesales serán nulos sólo cuando no se hubieran observado las di</w:t>
      </w:r>
      <w:r>
        <w:t>s</w:t>
      </w:r>
      <w:r>
        <w:t>posiciones expresamente prescriptas bajo pena de nulidad”.</w:t>
      </w:r>
    </w:p>
    <w:p w:rsidR="00224567" w:rsidRDefault="00224567">
      <w:pPr>
        <w:widowControl w:val="0"/>
        <w:tabs>
          <w:tab w:val="center" w:pos="0"/>
          <w:tab w:val="left" w:pos="2835"/>
        </w:tabs>
        <w:ind w:firstLine="2880"/>
      </w:pPr>
      <w:r>
        <w:t>No obstante, como bien observa A</w:t>
      </w:r>
      <w:r>
        <w:t>l</w:t>
      </w:r>
      <w:r>
        <w:t xml:space="preserve">berto M. Binder (“El Incumplimiento de las Formas Procesales”, ed. </w:t>
      </w:r>
      <w:r>
        <w:rPr>
          <w:lang w:val="en-US"/>
        </w:rPr>
        <w:t xml:space="preserve">Ad-Hoc, Bs. </w:t>
      </w:r>
      <w:r>
        <w:t>As, 2000, págs. 23 -nota nº 17- y 23), la norma general es otra, por más que esté redactada como aquello que el juez debe hacer de of</w:t>
      </w:r>
      <w:r>
        <w:t>i</w:t>
      </w:r>
      <w:r>
        <w:t>cio.</w:t>
      </w:r>
    </w:p>
    <w:p w:rsidR="00224567" w:rsidRDefault="00224567">
      <w:pPr>
        <w:widowControl w:val="0"/>
        <w:tabs>
          <w:tab w:val="center" w:pos="0"/>
          <w:tab w:val="left" w:pos="2835"/>
        </w:tabs>
        <w:ind w:firstLine="2880"/>
      </w:pPr>
      <w:r>
        <w:t>La fórmula general de las nulidades, como sostiene el citado autor, es más estrecha; está co</w:t>
      </w:r>
      <w:r>
        <w:t>n</w:t>
      </w:r>
      <w:r>
        <w:t>tenida el art. 168, segundo párrafo, que reza: “deberán ser declaradas de oficio las nulidades previstas en el a</w:t>
      </w:r>
      <w:r>
        <w:t>r</w:t>
      </w:r>
      <w:r>
        <w:t>tículo anterior que impliquen violación de normas const</w:t>
      </w:r>
      <w:r>
        <w:t>i</w:t>
      </w:r>
      <w:r>
        <w:t>tucionales, o cuando así se establezca expr</w:t>
      </w:r>
      <w:r>
        <w:t>e</w:t>
      </w:r>
      <w:r>
        <w:t>samente”.</w:t>
      </w:r>
    </w:p>
    <w:p w:rsidR="00224567" w:rsidRDefault="00224567">
      <w:pPr>
        <w:widowControl w:val="0"/>
        <w:tabs>
          <w:tab w:val="center" w:pos="0"/>
          <w:tab w:val="left" w:pos="2835"/>
        </w:tabs>
        <w:ind w:firstLine="2880"/>
      </w:pPr>
      <w:r>
        <w:t>Como señala Binder (ob. cit., pág. 28) “la fórmula es imperfecta ya que el principio general (afectación de normas constitucionales y pactos de der</w:t>
      </w:r>
      <w:r>
        <w:t>e</w:t>
      </w:r>
      <w:r>
        <w:t>chos humanos) queda escondido”.</w:t>
      </w:r>
    </w:p>
    <w:p w:rsidR="00224567" w:rsidRDefault="00224567">
      <w:pPr>
        <w:widowControl w:val="0"/>
        <w:tabs>
          <w:tab w:val="center" w:pos="0"/>
          <w:tab w:val="left" w:pos="2835"/>
        </w:tabs>
        <w:ind w:firstLine="2880"/>
      </w:pPr>
      <w:r>
        <w:t>Agrega, “que la norma general no puede ser otra que una cláusula abierta de base constitucional sin vínculo alguno con una interpretación restrictiva, idea de legalidad o tipicidad de las nulid</w:t>
      </w:r>
      <w:r>
        <w:t>a</w:t>
      </w:r>
      <w:r>
        <w:t>des. Todos esos conceptos son inaplicables a una interpretación amplia y progresiva de los derechos fundame</w:t>
      </w:r>
      <w:r>
        <w:t>n</w:t>
      </w:r>
      <w:r>
        <w:t>tales”.</w:t>
      </w:r>
    </w:p>
    <w:p w:rsidR="00224567" w:rsidRDefault="00224567">
      <w:pPr>
        <w:widowControl w:val="0"/>
        <w:tabs>
          <w:tab w:val="center" w:pos="0"/>
          <w:tab w:val="left" w:pos="2835"/>
        </w:tabs>
        <w:ind w:firstLine="2880"/>
      </w:pPr>
      <w:r>
        <w:t>En el sentido expuesto sostiene D’Albora (ob. cit., pág. 157) que la nulidad se vincula íntimamente con la idea de defensa prevista en el art</w:t>
      </w:r>
      <w:r>
        <w:t>í</w:t>
      </w:r>
      <w:r>
        <w:t xml:space="preserve">culo 18 de </w:t>
      </w:r>
      <w:smartTag w:uri="urn:schemas-microsoft-com:office:smarttags" w:element="PersonName">
        <w:smartTagPr>
          <w:attr w:name="ProductID" w:val="la Constituci￳n Nacional"/>
        </w:smartTagPr>
        <w:r>
          <w:t>la Constitución Nacional</w:t>
        </w:r>
      </w:smartTag>
      <w:r>
        <w:t xml:space="preserve">; cita un fallo de </w:t>
      </w:r>
      <w:smartTag w:uri="urn:schemas-microsoft-com:office:smarttags" w:element="PersonName">
        <w:smartTagPr>
          <w:attr w:name="ProductID" w:val="la Corte"/>
        </w:smartTagPr>
        <w:r>
          <w:t>la Corte</w:t>
        </w:r>
      </w:smartTag>
      <w:r>
        <w:t xml:space="preserve"> de Justicia de San Juan en el sentido de que sólo cuando surge algún vicio, defecto u omisión que haya privado a quien lo invoca del ejercicio de alguna facultad, afecta</w:t>
      </w:r>
      <w:r>
        <w:t>n</w:t>
      </w:r>
      <w:r>
        <w:t>do la garantía en cuestión, se produce una indefensión configurativa de nulidad.</w:t>
      </w:r>
    </w:p>
    <w:p w:rsidR="00224567" w:rsidRDefault="00224567">
      <w:pPr>
        <w:widowControl w:val="0"/>
        <w:tabs>
          <w:tab w:val="center" w:pos="0"/>
          <w:tab w:val="left" w:pos="2835"/>
        </w:tabs>
        <w:ind w:firstLine="2880"/>
      </w:pPr>
      <w:r>
        <w:t>Sin perjuicio del expreso reconoc</w:t>
      </w:r>
      <w:r>
        <w:t>i</w:t>
      </w:r>
      <w:r>
        <w:t>miento que la garantía de la imparcialidad del juzgador ha recibido en diferentes tratados internacionales que su</w:t>
      </w:r>
      <w:r>
        <w:t>s</w:t>
      </w:r>
      <w:r>
        <w:t xml:space="preserve">cribiera nuestro país, y por ende en el derecho interno (art. 75, inc. 22, de </w:t>
      </w:r>
      <w:smartTag w:uri="urn:schemas-microsoft-com:office:smarttags" w:element="PersonName">
        <w:smartTagPr>
          <w:attr w:name="ProductID" w:val="la C.N"/>
        </w:smartTagPr>
        <w:r>
          <w:t>la C.N</w:t>
        </w:r>
      </w:smartTag>
      <w:r>
        <w:t xml:space="preserve">.), como se vio, </w:t>
      </w:r>
      <w:smartTag w:uri="urn:schemas-microsoft-com:office:smarttags" w:element="PersonName">
        <w:smartTagPr>
          <w:attr w:name="ProductID" w:val="la Corte Suprema"/>
        </w:smartTagPr>
        <w:r>
          <w:t>la Corte S</w:t>
        </w:r>
        <w:r>
          <w:t>u</w:t>
        </w:r>
        <w:r>
          <w:t>prema</w:t>
        </w:r>
      </w:smartTag>
      <w:r>
        <w:t xml:space="preserve"> de Justicia de </w:t>
      </w:r>
      <w:smartTag w:uri="urn:schemas-microsoft-com:office:smarttags" w:element="PersonName">
        <w:smartTagPr>
          <w:attr w:name="ProductID" w:val="la Naci￳n"/>
        </w:smartTagPr>
        <w:r>
          <w:t>la Nación</w:t>
        </w:r>
      </w:smartTag>
      <w:r>
        <w:t xml:space="preserve"> estableció que el ejercicio imparcial de la administración de justicia es uno de los elementos de la defensa en juicio (Fallos: 198:78; 257:132; 306:1392 y 316:826).</w:t>
      </w:r>
    </w:p>
    <w:p w:rsidR="00224567" w:rsidRDefault="00224567">
      <w:pPr>
        <w:widowControl w:val="0"/>
        <w:tabs>
          <w:tab w:val="center" w:pos="0"/>
          <w:tab w:val="left" w:pos="2835"/>
        </w:tabs>
        <w:ind w:firstLine="2880"/>
      </w:pPr>
      <w:r>
        <w:t>En tales condiciones, resulta indud</w:t>
      </w:r>
      <w:r>
        <w:t>a</w:t>
      </w:r>
      <w:r>
        <w:t>ble que la afectación del derecho de defensa de los proc</w:t>
      </w:r>
      <w:r>
        <w:t>e</w:t>
      </w:r>
      <w:r>
        <w:t>sados, por parcialidad del juez, configura el pr</w:t>
      </w:r>
      <w:r>
        <w:t>e</w:t>
      </w:r>
      <w:r>
        <w:t>supuesto previsto en el art. 168, segundo párrafo, del código de forma, y, por tanto, por imperativo legal, así debe ser declarada.</w:t>
      </w:r>
    </w:p>
    <w:p w:rsidR="00224567" w:rsidRDefault="00224567">
      <w:pPr>
        <w:widowControl w:val="0"/>
        <w:tabs>
          <w:tab w:val="center" w:pos="0"/>
          <w:tab w:val="left" w:pos="2835"/>
        </w:tabs>
        <w:ind w:firstLine="2880"/>
      </w:pPr>
      <w:r>
        <w:t>No otra puede ser la consecuencia, en un Estado de derecho, frente a un magistrado que obró de modo subrepticio, falseó documentos, amañó las pruebas, celebró espurios acuerdos a fin de imputar a los hoy ac</w:t>
      </w:r>
      <w:r>
        <w:t>u</w:t>
      </w:r>
      <w:r>
        <w:t>sados, dejando de lado la máxima constitucional de afia</w:t>
      </w:r>
      <w:r>
        <w:t>n</w:t>
      </w:r>
      <w:r>
        <w:t>zar la justicia.</w:t>
      </w:r>
    </w:p>
    <w:p w:rsidR="00224567" w:rsidRDefault="00224567">
      <w:pPr>
        <w:widowControl w:val="0"/>
        <w:tabs>
          <w:tab w:val="center" w:pos="0"/>
          <w:tab w:val="left" w:pos="2835"/>
        </w:tabs>
        <w:ind w:firstLine="2880"/>
      </w:pPr>
      <w:r>
        <w:t xml:space="preserve">Al votar el Dr. Ricardo Gil Lavedra en los autos “Monticelli de Prozillio, Teresa Beatriz” (ver Boletín de Jurisprudencia de </w:t>
      </w:r>
      <w:smartTag w:uri="urn:schemas-microsoft-com:office:smarttags" w:element="PersonName">
        <w:smartTagPr>
          <w:attr w:name="ProductID" w:val="la C￡mara Nacional"/>
        </w:smartTagPr>
        <w:r>
          <w:t>la Cámara Nacional</w:t>
        </w:r>
      </w:smartTag>
      <w:r>
        <w:t xml:space="preserve"> de Apel</w:t>
      </w:r>
      <w:r>
        <w:t>a</w:t>
      </w:r>
      <w:r>
        <w:t xml:space="preserve">ciones en lo Criminal y Correccional Federal de </w:t>
      </w:r>
      <w:smartTag w:uri="urn:schemas-microsoft-com:office:smarttags" w:element="PersonName">
        <w:smartTagPr>
          <w:attr w:name="ProductID" w:val="la Capital Federal"/>
        </w:smartTagPr>
        <w:r>
          <w:t>la Capital Federal</w:t>
        </w:r>
      </w:smartTag>
      <w:r>
        <w:t>, año 1984, nº 2, pág. 438 y sigs.) tras pronu</w:t>
      </w:r>
      <w:r>
        <w:t>n</w:t>
      </w:r>
      <w:r>
        <w:t>ciarse acerca de la nulidad del allanamiento cuestionado, se preguntó “¿qué debe hacerse con la prueba obtenida a través de dicho procedimiento?”, tras una serie de prof</w:t>
      </w:r>
      <w:r>
        <w:t>u</w:t>
      </w:r>
      <w:r>
        <w:t>sas consideraciones respondió: “en mi opinión, sin dejar de reconocer el peso de los argumentos expuestos y el i</w:t>
      </w:r>
      <w:r>
        <w:t>n</w:t>
      </w:r>
      <w:r>
        <w:t>negable interés de la sociedad en la persecución y sanción de los delitos, considero que no debe admitirse la validez probatoria de los eleme</w:t>
      </w:r>
      <w:r>
        <w:t>n</w:t>
      </w:r>
      <w:r>
        <w:t>tos allegados al proceso merced a una actividad viol</w:t>
      </w:r>
      <w:r>
        <w:t>a</w:t>
      </w:r>
      <w:r>
        <w:t>toria de garantías constitucionales”.</w:t>
      </w:r>
    </w:p>
    <w:p w:rsidR="00224567" w:rsidRDefault="00224567">
      <w:pPr>
        <w:widowControl w:val="0"/>
        <w:tabs>
          <w:tab w:val="center" w:pos="0"/>
          <w:tab w:val="left" w:pos="2835"/>
        </w:tabs>
        <w:ind w:firstLine="2880"/>
      </w:pPr>
      <w:r>
        <w:t>Agrego el Dr. Gil Lavedra “el delito es una conducta que afecta de modo grave la convivencia social, por ello el Estado debe tratar de prevenirlo, o cuando ocurra, esclarecer lo sucedido e imponer pena a su autor para que éste no vuelva a delinquir. De esta manera proveerá a la seguridad jurídica disipando la alarma s</w:t>
      </w:r>
      <w:r>
        <w:t>o</w:t>
      </w:r>
      <w:r>
        <w:t>cial que todo delito acarrea”.</w:t>
      </w:r>
    </w:p>
    <w:p w:rsidR="00224567" w:rsidRDefault="00224567">
      <w:pPr>
        <w:widowControl w:val="0"/>
        <w:tabs>
          <w:tab w:val="center" w:pos="0"/>
          <w:tab w:val="left" w:pos="2835"/>
        </w:tabs>
        <w:ind w:firstLine="2880"/>
      </w:pPr>
      <w:r>
        <w:t>Sin embargo, sostuvo “existen lím</w:t>
      </w:r>
      <w:r>
        <w:t>i</w:t>
      </w:r>
      <w:r>
        <w:t>tes en la persecución penal. El descubrimiento de la verdad debe ser efectuado en forma lícita, no sólo po</w:t>
      </w:r>
      <w:r>
        <w:t>r</w:t>
      </w:r>
      <w:r>
        <w:t>que hay de por medio un principio ético en la represión del delito (dictamen del doctor Gauna en la citada causa ‘Fiore</w:t>
      </w:r>
      <w:r>
        <w:t>n</w:t>
      </w:r>
      <w:r>
        <w:t>tino’) sino porque la tutela de los derechos del individuo es un valor más importante para la soci</w:t>
      </w:r>
      <w:r>
        <w:t>e</w:t>
      </w:r>
      <w:r>
        <w:t>dad que el castigo del autor del delito. El respeto a la dignidad del hombre y a los derechos esenciales que derivan de esa calidad, constituyen el vértice fund</w:t>
      </w:r>
      <w:r>
        <w:t>a</w:t>
      </w:r>
      <w:r>
        <w:t>mental sobre el que reposa la existencia misma del E</w:t>
      </w:r>
      <w:r>
        <w:t>s</w:t>
      </w:r>
      <w:r>
        <w:t>tado de Derecho”.</w:t>
      </w:r>
    </w:p>
    <w:p w:rsidR="00224567" w:rsidRDefault="00224567">
      <w:pPr>
        <w:widowControl w:val="0"/>
        <w:tabs>
          <w:tab w:val="center" w:pos="0"/>
          <w:tab w:val="left" w:pos="2835"/>
        </w:tabs>
        <w:ind w:firstLine="2880"/>
      </w:pPr>
      <w:r>
        <w:t>Es por ello que resultan desatinadas las referencias del fiscal Dr. Mullen y de la querella unificada A.M.I.A.-D.A.I.A. y Grupo de Familiares, en el sentido de que aquí se debe dictar una sentencia y que c</w:t>
      </w:r>
      <w:r>
        <w:t>o</w:t>
      </w:r>
      <w:r>
        <w:t>rresponde a otras instancias juzgar a quienes a</w:t>
      </w:r>
      <w:r>
        <w:t>c</w:t>
      </w:r>
      <w:r>
        <w:t>tuaron de manera incorrecta, debido a que se examina la responsab</w:t>
      </w:r>
      <w:r>
        <w:t>i</w:t>
      </w:r>
      <w:r>
        <w:t xml:space="preserve">lidad de los acusados por la explosión a </w:t>
      </w:r>
      <w:smartTag w:uri="urn:schemas-microsoft-com:office:smarttags" w:element="PersonName">
        <w:smartTagPr>
          <w:attr w:name="ProductID" w:val="la A.M"/>
        </w:smartTagPr>
        <w:r>
          <w:t>la A.M</w:t>
        </w:r>
      </w:smartTag>
      <w:r>
        <w:t>.I.A.</w:t>
      </w:r>
    </w:p>
    <w:p w:rsidR="00224567" w:rsidRDefault="00224567">
      <w:pPr>
        <w:widowControl w:val="0"/>
        <w:tabs>
          <w:tab w:val="center" w:pos="0"/>
          <w:tab w:val="left" w:pos="2835"/>
        </w:tabs>
        <w:ind w:firstLine="2880"/>
      </w:pPr>
      <w:r>
        <w:t>Frente al intento de los acusadores, cabe destacar que los vicios que hacen a la intervención del juez, es decir a la desviación de su voluntad, no pu</w:t>
      </w:r>
      <w:r>
        <w:t>e</w:t>
      </w:r>
      <w:r>
        <w:t>den abordarse aisladamente. O sea, que el magistrado sea juzgado por un lado y que los actos procesales que prod</w:t>
      </w:r>
      <w:r>
        <w:t>u</w:t>
      </w:r>
      <w:r>
        <w:t>jo, no sufran las consecuencias de ese ilegal desempeño.</w:t>
      </w:r>
    </w:p>
    <w:p w:rsidR="00224567" w:rsidRDefault="00224567">
      <w:pPr>
        <w:widowControl w:val="0"/>
        <w:tabs>
          <w:tab w:val="center" w:pos="0"/>
          <w:tab w:val="left" w:pos="2835"/>
        </w:tabs>
        <w:ind w:firstLine="2880"/>
      </w:pPr>
      <w:r>
        <w:t>Ello no es posible dado que, precis</w:t>
      </w:r>
      <w:r>
        <w:t>a</w:t>
      </w:r>
      <w:r>
        <w:t>mente, ese desvío de su voluntad afecta la garantía de la imparcialidad y, por consecuencia directa, la g</w:t>
      </w:r>
      <w:r>
        <w:t>a</w:t>
      </w:r>
      <w:r>
        <w:t>rantía de defensa en juicio de los procesados.</w:t>
      </w:r>
    </w:p>
    <w:p w:rsidR="00224567" w:rsidRDefault="00224567">
      <w:pPr>
        <w:widowControl w:val="0"/>
        <w:tabs>
          <w:tab w:val="center" w:pos="0"/>
          <w:tab w:val="left" w:pos="2835"/>
        </w:tabs>
        <w:ind w:firstLine="2880"/>
      </w:pPr>
      <w:r>
        <w:t>En otras palabras, los actos y la v</w:t>
      </w:r>
      <w:r>
        <w:t>o</w:t>
      </w:r>
      <w:r>
        <w:t>luntad del juez, advertida su parcialidad, resultan un t</w:t>
      </w:r>
      <w:r>
        <w:t>o</w:t>
      </w:r>
      <w:r>
        <w:t>do inescindible. En caso de examinárselos a los primeros en forma separada, se corre el riesgo de dejar fuera del microscopio el virus que los afecta.</w:t>
      </w:r>
    </w:p>
    <w:p w:rsidR="00224567" w:rsidRDefault="00224567">
      <w:pPr>
        <w:widowControl w:val="0"/>
        <w:tabs>
          <w:tab w:val="center" w:pos="0"/>
          <w:tab w:val="left" w:pos="2835"/>
        </w:tabs>
        <w:ind w:firstLine="2880"/>
      </w:pPr>
      <w:r>
        <w:t>Aparejaría, además, como consecue</w:t>
      </w:r>
      <w:r>
        <w:t>n</w:t>
      </w:r>
      <w:r>
        <w:t>cia, la parcialización del examen de las probanzas, m</w:t>
      </w:r>
      <w:r>
        <w:t>é</w:t>
      </w:r>
      <w:r>
        <w:t>todo que emplearon el Ministerio Público Fiscal, la querella unif</w:t>
      </w:r>
      <w:r>
        <w:t>i</w:t>
      </w:r>
      <w:r>
        <w:t>cada A.M.I.A.-D.A.I.A. y Grupo de Fam</w:t>
      </w:r>
      <w:r>
        <w:t>i</w:t>
      </w:r>
      <w:r>
        <w:t>liares para sostener la responsabilidad de los sujetos imputados por los hom</w:t>
      </w:r>
      <w:r>
        <w:t>i</w:t>
      </w:r>
      <w:r>
        <w:t>cidios y la querella “Memoria Activa” para acusar a T</w:t>
      </w:r>
      <w:r>
        <w:t>e</w:t>
      </w:r>
      <w:r>
        <w:t>lleldín.</w:t>
      </w:r>
    </w:p>
    <w:p w:rsidR="00224567" w:rsidRDefault="00224567">
      <w:pPr>
        <w:widowControl w:val="0"/>
        <w:tabs>
          <w:tab w:val="center" w:pos="0"/>
          <w:tab w:val="left" w:pos="2835"/>
        </w:tabs>
        <w:ind w:firstLine="2880"/>
      </w:pPr>
      <w:r>
        <w:rPr>
          <w:b/>
          <w:bCs/>
        </w:rPr>
        <w:t xml:space="preserve">T.2) </w:t>
      </w:r>
      <w:r>
        <w:t>Tanto la querella unificada A.M.I.A.-D.A.I.A. y Grupo de Familiares como el Mini</w:t>
      </w:r>
      <w:r>
        <w:t>s</w:t>
      </w:r>
      <w:r>
        <w:t>terio Público Fiscal, indicaron que a lo largo del debate el Tribunal había reproducido la totalidad de la prueba obt</w:t>
      </w:r>
      <w:r>
        <w:t>e</w:t>
      </w:r>
      <w:r>
        <w:t>nida en la instrucción.</w:t>
      </w:r>
    </w:p>
    <w:p w:rsidR="00224567" w:rsidRDefault="00224567">
      <w:pPr>
        <w:widowControl w:val="0"/>
        <w:tabs>
          <w:tab w:val="center" w:pos="0"/>
          <w:tab w:val="left" w:pos="2835"/>
        </w:tabs>
        <w:ind w:firstLine="2880"/>
      </w:pPr>
      <w:r>
        <w:t>Es preciso hacer aquí una salvedad, pues si bien es cierto que el Tribunal, con la diside</w:t>
      </w:r>
      <w:r>
        <w:t>n</w:t>
      </w:r>
      <w:r>
        <w:t>cia del Dr. Gordo, ordenó medidas probatorias en fu</w:t>
      </w:r>
      <w:r>
        <w:t>n</w:t>
      </w:r>
      <w:r>
        <w:t>ción de lo dispuesto por los arts. 357 y 388 del código de forma, no puede soslayase que en su gran mayoría fueron requeridas por las partes.</w:t>
      </w:r>
    </w:p>
    <w:p w:rsidR="00224567" w:rsidRDefault="00224567">
      <w:pPr>
        <w:widowControl w:val="0"/>
        <w:tabs>
          <w:tab w:val="center" w:pos="0"/>
          <w:tab w:val="left" w:pos="2835"/>
        </w:tabs>
        <w:ind w:firstLine="2880"/>
      </w:pPr>
      <w:r>
        <w:t>Ahora bien, corresponde examinar si la “reproducción de la totalidad de la prueba” en el debate, resulta suficiente para sanear aquellas actuaciones vici</w:t>
      </w:r>
      <w:r>
        <w:t>a</w:t>
      </w:r>
      <w:r>
        <w:t>das, en su raíz, por la falta de imparcialidad del juez instructor con la consecuente afectación del derecho de defensa.</w:t>
      </w:r>
    </w:p>
    <w:p w:rsidR="00224567" w:rsidRDefault="00224567">
      <w:pPr>
        <w:widowControl w:val="0"/>
        <w:tabs>
          <w:tab w:val="left" w:pos="2835"/>
        </w:tabs>
        <w:ind w:firstLine="2880"/>
      </w:pPr>
      <w:r>
        <w:t>A dicho efecto cabe traer a colación que en el precedente del Tribunal Constitucional español antes citado (Sala: Pleno, Sentencia del 17/3/01, refere</w:t>
      </w:r>
      <w:r>
        <w:t>n</w:t>
      </w:r>
      <w:r>
        <w:t>cia 69/2001, ponente don Guillermo Jiménez Sánchez, publ</w:t>
      </w:r>
      <w:r>
        <w:t>i</w:t>
      </w:r>
      <w:r>
        <w:t>cación BOE: 20010406 [BOE NÚM. 83]), ante el planteo de parcialidad del juez de instrucción, recordó que el Trib</w:t>
      </w:r>
      <w:r>
        <w:t>u</w:t>
      </w:r>
      <w:r>
        <w:t>nal Supremo designó a un magistrado de su sala penal, para que realizara una nueva instrucción. Que el juez designado continuó la instrucción e hizo repetir ante él todas las declaraciones prestadas y volvió a practicar la mayor pa</w:t>
      </w:r>
      <w:r>
        <w:t>r</w:t>
      </w:r>
      <w:r>
        <w:t>te de las diligencias sumariales encaminadas a averiguar y hacer constar la perpetración de los delitos, la culpab</w:t>
      </w:r>
      <w:r>
        <w:t>i</w:t>
      </w:r>
      <w:r>
        <w:t xml:space="preserve">lidad de los partícipes y a preparar el juicio que se iba a desarrollar ante el pleno de </w:t>
      </w:r>
      <w:smartTag w:uri="urn:schemas-microsoft-com:office:smarttags" w:element="PersonName">
        <w:smartTagPr>
          <w:attr w:name="ProductID" w:val="la Sala"/>
        </w:smartTagPr>
        <w:r>
          <w:t>la Sala</w:t>
        </w:r>
      </w:smartTag>
      <w:r>
        <w:t xml:space="preserve"> de lo Penal del Tribunal Supremo. Por ello sostuvo el Tribunal Constit</w:t>
      </w:r>
      <w:r>
        <w:t>u</w:t>
      </w:r>
      <w:r>
        <w:t>cional que “conforme al orden normal del proceder, todas las diligencias probatorias obrantes en el sumario fueron reproducidas y sometidas a contradicción en el acto de juicio oral”.</w:t>
      </w:r>
    </w:p>
    <w:p w:rsidR="00224567" w:rsidRDefault="00224567">
      <w:pPr>
        <w:widowControl w:val="0"/>
        <w:tabs>
          <w:tab w:val="left" w:pos="2835"/>
        </w:tabs>
        <w:ind w:firstLine="2880"/>
      </w:pPr>
      <w:r>
        <w:t>No por obvio debe resaltarse que los vicios de la instrucción, en el caso que se juzga, no fu</w:t>
      </w:r>
      <w:r>
        <w:t>e</w:t>
      </w:r>
      <w:r>
        <w:t xml:space="preserve">ron saneados, dado que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Nacional"/>
        </w:smartTagPr>
        <w:r>
          <w:t>la Cámara Naci</w:t>
        </w:r>
        <w:r>
          <w:t>o</w:t>
        </w:r>
        <w:r>
          <w:t>nal</w:t>
        </w:r>
      </w:smartTag>
      <w:r>
        <w:t xml:space="preserve"> en lo Criminal y Correccional Federal, hizo lugar a la rec</w:t>
      </w:r>
      <w:r>
        <w:t>u</w:t>
      </w:r>
      <w:r>
        <w:t>sación del juez federal Galeano, avanzado ya el juicio oral.</w:t>
      </w:r>
    </w:p>
    <w:p w:rsidR="00224567" w:rsidRDefault="00224567">
      <w:pPr>
        <w:widowControl w:val="0"/>
        <w:tabs>
          <w:tab w:val="center" w:pos="0"/>
          <w:tab w:val="left" w:pos="2835"/>
        </w:tabs>
        <w:ind w:firstLine="2880"/>
      </w:pPr>
      <w:r>
        <w:t>A ese fin debe quedar en claro que no todos los actos del proceso son reproducibles, sólo alg</w:t>
      </w:r>
      <w:r>
        <w:t>u</w:t>
      </w:r>
      <w:r>
        <w:t>nos pueden renovarse, es decir, cumplidos nuevamente (D’Albora, ob. cit., pág. 326).</w:t>
      </w:r>
    </w:p>
    <w:p w:rsidR="00224567" w:rsidRDefault="00224567">
      <w:pPr>
        <w:widowControl w:val="0"/>
        <w:tabs>
          <w:tab w:val="center" w:pos="0"/>
          <w:tab w:val="left" w:pos="2835"/>
        </w:tabs>
        <w:ind w:firstLine="2880"/>
      </w:pPr>
      <w:r>
        <w:t>Asimismo, que no es lo mismo la nul</w:t>
      </w:r>
      <w:r>
        <w:t>i</w:t>
      </w:r>
      <w:r>
        <w:t>dad de un acto concreto que establecer esa sanción proc</w:t>
      </w:r>
      <w:r>
        <w:t>e</w:t>
      </w:r>
      <w:r>
        <w:t>sal a partir de la parcialidad del juez, dado que la d</w:t>
      </w:r>
      <w:r>
        <w:t>e</w:t>
      </w:r>
      <w:r>
        <w:t>mostración de ese vicio de la voluntad, no surge de una actuación particular, sino, por el contrario, de un cúmulo de medidas o de omisiones, que permitan ver</w:t>
      </w:r>
      <w:r>
        <w:t>i</w:t>
      </w:r>
      <w:r>
        <w:t>ficarla.</w:t>
      </w:r>
    </w:p>
    <w:p w:rsidR="00224567" w:rsidRDefault="00224567">
      <w:pPr>
        <w:widowControl w:val="0"/>
        <w:tabs>
          <w:tab w:val="center" w:pos="0"/>
          <w:tab w:val="left" w:pos="2835"/>
        </w:tabs>
        <w:ind w:firstLine="2880"/>
      </w:pPr>
      <w:r>
        <w:t>Al abordar el Tribunal constituci</w:t>
      </w:r>
      <w:r>
        <w:t>o</w:t>
      </w:r>
      <w:r>
        <w:t>nal español, en el precedente de referencia, la validez de las actuaciones, sostuvo: “el principio de conserv</w:t>
      </w:r>
      <w:r>
        <w:t>a</w:t>
      </w:r>
      <w:r>
        <w:t>ción de las actuaciones (art. 242 LOPJ), fundado, no sólo en razones de economía procesal sino en el derecho a un proceso sin dilaciones indebidas, sólo permite considerar viciadas de nulidad aquellas decisiones en que la intervención del r</w:t>
      </w:r>
      <w:r>
        <w:t>e</w:t>
      </w:r>
      <w:r>
        <w:t>cusado hubiese sido decisiva, que hubiesen causado un pe</w:t>
      </w:r>
      <w:r>
        <w:t>r</w:t>
      </w:r>
      <w:r>
        <w:t>juicio en los intereses l</w:t>
      </w:r>
      <w:r>
        <w:t>e</w:t>
      </w:r>
      <w:r>
        <w:t>gítimos de la parte recusante o que hubieran podido ser influidas por la causa determina</w:t>
      </w:r>
      <w:r>
        <w:t>n</w:t>
      </w:r>
      <w:r>
        <w:t>te de la recusación, pero no aquellas que aparecen pract</w:t>
      </w:r>
      <w:r>
        <w:t>i</w:t>
      </w:r>
      <w:r>
        <w:t>cadas ante un órgano judicial revestido de la necesaria imparcialidad”.</w:t>
      </w:r>
    </w:p>
    <w:p w:rsidR="00224567" w:rsidRDefault="00224567">
      <w:pPr>
        <w:widowControl w:val="0"/>
        <w:tabs>
          <w:tab w:val="center" w:pos="0"/>
          <w:tab w:val="left" w:pos="2835"/>
        </w:tabs>
        <w:ind w:firstLine="2880"/>
      </w:pPr>
      <w:r>
        <w:t>Por tanto, lo que se debe determinar es a partir de qué momento de la pesquisa puede establ</w:t>
      </w:r>
      <w:r>
        <w:t>e</w:t>
      </w:r>
      <w:r>
        <w:t>cerse, de manera fehaciente, que el magistrado obró de m</w:t>
      </w:r>
      <w:r>
        <w:t>o</w:t>
      </w:r>
      <w:r>
        <w:t>do tendencioso, dado que en la especie un solo juez estuvo a cargo de la pesquisa.</w:t>
      </w:r>
    </w:p>
    <w:p w:rsidR="00224567" w:rsidRDefault="00224567">
      <w:pPr>
        <w:widowControl w:val="0"/>
        <w:tabs>
          <w:tab w:val="center" w:pos="0"/>
          <w:tab w:val="left" w:pos="2835"/>
        </w:tabs>
        <w:ind w:firstLine="2880"/>
      </w:pPr>
      <w:r>
        <w:t>Sobre el particular, sostiene Binder que “existen principios propios del Estado de derecho y hoy plasmados con generosidad en todas las constituci</w:t>
      </w:r>
      <w:r>
        <w:t>o</w:t>
      </w:r>
      <w:r>
        <w:t xml:space="preserve">nes y pactos internacionales de derechos humanos que protegen a todo ciudadano que es sometido a juicio </w:t>
      </w:r>
      <w:r>
        <w:rPr>
          <w:b/>
        </w:rPr>
        <w:t>de</w:t>
      </w:r>
      <w:r>
        <w:rPr>
          <w:b/>
        </w:rPr>
        <w:t>s</w:t>
      </w:r>
      <w:r>
        <w:rPr>
          <w:b/>
        </w:rPr>
        <w:t>de el inicio de la preparación</w:t>
      </w:r>
      <w:r>
        <w:t xml:space="preserve"> hasta el final de los actos de control y ejecución de la decisión tomada en ese juicio” (ob. cit., pág. 72).</w:t>
      </w:r>
    </w:p>
    <w:p w:rsidR="00224567" w:rsidRDefault="00224567">
      <w:pPr>
        <w:widowControl w:val="0"/>
        <w:tabs>
          <w:tab w:val="center" w:pos="0"/>
          <w:tab w:val="left" w:pos="2835"/>
        </w:tabs>
        <w:ind w:firstLine="2880"/>
      </w:pPr>
      <w:r>
        <w:t>Es por ello, que la mera renovación de actos procesales no tiene la virtualidad de sanear el pr</w:t>
      </w:r>
      <w:r>
        <w:t>o</w:t>
      </w:r>
      <w:r>
        <w:t>ceso. Sostiene Binder que “lo principal es la restauración del principio afectado y no el restablecimiento de la fo</w:t>
      </w:r>
      <w:r>
        <w:t>r</w:t>
      </w:r>
      <w:r>
        <w:t>ma. Si ese principio no puede ser re</w:t>
      </w:r>
      <w:r>
        <w:t>s</w:t>
      </w:r>
      <w:r>
        <w:t>taurado de inmediato, se busca una declaración clara de la inutilidad de ese a</w:t>
      </w:r>
      <w:r>
        <w:t>c</w:t>
      </w:r>
      <w:r>
        <w:t xml:space="preserve">to. </w:t>
      </w:r>
      <w:r>
        <w:rPr>
          <w:i/>
        </w:rPr>
        <w:t>Mediante este mecanismo se ha “garantizado” la vige</w:t>
      </w:r>
      <w:r>
        <w:rPr>
          <w:i/>
        </w:rPr>
        <w:t>n</w:t>
      </w:r>
      <w:r>
        <w:rPr>
          <w:i/>
        </w:rPr>
        <w:t xml:space="preserve">cia del principio” </w:t>
      </w:r>
      <w:r>
        <w:t>(ob. cit., pág. 172).</w:t>
      </w:r>
    </w:p>
    <w:p w:rsidR="00224567" w:rsidRDefault="00224567">
      <w:pPr>
        <w:widowControl w:val="0"/>
        <w:tabs>
          <w:tab w:val="center" w:pos="0"/>
          <w:tab w:val="left" w:pos="2835"/>
        </w:tabs>
        <w:ind w:firstLine="2880"/>
      </w:pPr>
      <w:r>
        <w:t>Está fuera de discusión que no pu</w:t>
      </w:r>
      <w:r>
        <w:t>e</w:t>
      </w:r>
      <w:r>
        <w:t>den ser saneadas o subsanadas las nulidades de carácter abs</w:t>
      </w:r>
      <w:r>
        <w:t>o</w:t>
      </w:r>
      <w:r>
        <w:t>luto (cfr. Clariá Olmedo, ob. cit., T. IV, pág. 241), m</w:t>
      </w:r>
      <w:r>
        <w:t>á</w:t>
      </w:r>
      <w:r>
        <w:t>xime cuando afecta el derecho de defensa del imputado. Asimismo, que resulta imposible restaurar o sanear la v</w:t>
      </w:r>
      <w:r>
        <w:t>o</w:t>
      </w:r>
      <w:r>
        <w:t>luntad viciada del juez; es decir restablecer su imparci</w:t>
      </w:r>
      <w:r>
        <w:t>a</w:t>
      </w:r>
      <w:r>
        <w:t>lidad.</w:t>
      </w:r>
    </w:p>
    <w:p w:rsidR="00224567" w:rsidRDefault="00224567">
      <w:pPr>
        <w:widowControl w:val="0"/>
        <w:tabs>
          <w:tab w:val="center" w:pos="0"/>
          <w:tab w:val="left" w:pos="2835"/>
        </w:tabs>
        <w:ind w:firstLine="2880"/>
      </w:pPr>
      <w:r>
        <w:t>Por su íntima relación con el tema cuadra citar nuevamente al Tribunal Constitucional esp</w:t>
      </w:r>
      <w:r>
        <w:t>a</w:t>
      </w:r>
      <w:r>
        <w:t>ñol, en cuanto sostuvo que “con arreglo a nuestra reiter</w:t>
      </w:r>
      <w:r>
        <w:t>a</w:t>
      </w:r>
      <w:r>
        <w:t>da doctrina, la presunción de inocencia se viola cuando la prueba de cargo se ha obtenido con vulner</w:t>
      </w:r>
      <w:r>
        <w:t>a</w:t>
      </w:r>
      <w:r>
        <w:t>ción de derechos fundamentales sustantivos. En nuestra STC94/1999 (fund</w:t>
      </w:r>
      <w:r>
        <w:t>a</w:t>
      </w:r>
      <w:r>
        <w:t>mento jurídico 6º), donde abordamos un asunto similar al que ahora nos ocupa, recordamos el fundamento de la proh</w:t>
      </w:r>
      <w:r>
        <w:t>i</w:t>
      </w:r>
      <w:r>
        <w:t>bición constitucional de la adm</w:t>
      </w:r>
      <w:r>
        <w:t>i</w:t>
      </w:r>
      <w:r>
        <w:t>sión como prueba de cargo de toda aquella obtenida con infracción de un derecho fu</w:t>
      </w:r>
      <w:r>
        <w:t>n</w:t>
      </w:r>
      <w:r>
        <w:t>damental. Decíamos allí que esa prohibición es una regla jurídica objetiva, que si bien no está recogida en prece</w:t>
      </w:r>
      <w:r>
        <w:t>p</w:t>
      </w:r>
      <w:r>
        <w:t xml:space="preserve">to constitucional alguno (aunque sí legal, art. </w:t>
      </w:r>
      <w:smartTag w:uri="urn:schemas-microsoft-com:office:smarttags" w:element="metricconverter">
        <w:smartTagPr>
          <w:attr w:name="ProductID" w:val="11.1 L"/>
        </w:smartTagPr>
        <w:r>
          <w:t>11.1 L</w:t>
        </w:r>
      </w:smartTag>
      <w:r>
        <w:t>.O.P.J.), ni en rigor d</w:t>
      </w:r>
      <w:r>
        <w:t>e</w:t>
      </w:r>
      <w:r>
        <w:t xml:space="preserve">riva del derecho a la presunción de inocencia (art. </w:t>
      </w:r>
      <w:smartTag w:uri="urn:schemas-microsoft-com:office:smarttags" w:element="metricconverter">
        <w:smartTagPr>
          <w:attr w:name="ProductID" w:val="242 C"/>
        </w:smartTagPr>
        <w:r>
          <w:t>242 C</w:t>
        </w:r>
      </w:smartTag>
      <w:r>
        <w:t>.E.), se desprende ineluctableme</w:t>
      </w:r>
      <w:r>
        <w:t>n</w:t>
      </w:r>
      <w:r>
        <w:t>te de la dimensión objetiva de todos y cada uno de los d</w:t>
      </w:r>
      <w:r>
        <w:t>e</w:t>
      </w:r>
      <w:r>
        <w:t>rechos fundamentales, que, en cuanto reglas objetivas b</w:t>
      </w:r>
      <w:r>
        <w:t>á</w:t>
      </w:r>
      <w:r>
        <w:t>sicas de todos los procedimientos seguidos por el Poder Público en el Estado democrático de Derecho y en partic</w:t>
      </w:r>
      <w:r>
        <w:t>u</w:t>
      </w:r>
      <w:r>
        <w:t>lar de los judiciales, les impone su debida observancia, de forma que esos procedimientos, bien de creación de no</w:t>
      </w:r>
      <w:r>
        <w:t>r</w:t>
      </w:r>
      <w:r>
        <w:t>mas o de su aplicación, quedan privados de toda legitim</w:t>
      </w:r>
      <w:r>
        <w:t>i</w:t>
      </w:r>
      <w:r>
        <w:t>dad constitucional se transcurren al margen o sin respetar los derechos fundamentales, o si amparan sus menosc</w:t>
      </w:r>
      <w:r>
        <w:t>a</w:t>
      </w:r>
      <w:r>
        <w:t>bos. Y esta exigencia derivada de la dimensión objetiva de los derechos fundamentales posee una particular i</w:t>
      </w:r>
      <w:r>
        <w:t>n</w:t>
      </w:r>
      <w:r>
        <w:t>cidencia en los procesos penales donde su observancia debe ser aún más rigurosa y severa, si cabe, que en lo restantes, ya que dicho proceso es el cauce formal a través del cual se ap</w:t>
      </w:r>
      <w:r>
        <w:t>e</w:t>
      </w:r>
      <w:r>
        <w:t>la y, según el caso, se somete al individuo al uso más i</w:t>
      </w:r>
      <w:r>
        <w:t>n</w:t>
      </w:r>
      <w:r>
        <w:t xml:space="preserve">tenso y extremo del </w:t>
      </w:r>
      <w:r>
        <w:rPr>
          <w:u w:val="single"/>
        </w:rPr>
        <w:t>ius puniendi</w:t>
      </w:r>
      <w:r>
        <w:t xml:space="preserve"> del Estado (STC81/1998, fundamento jurídico 2.º)” (ver Sala Primera STC 239/1999, del 20 de diciembre de 1999, Recurso de amparo 352/95, BOE nº 17).</w:t>
      </w:r>
    </w:p>
    <w:p w:rsidR="00224567" w:rsidRDefault="00224567">
      <w:pPr>
        <w:widowControl w:val="0"/>
        <w:tabs>
          <w:tab w:val="center" w:pos="0"/>
          <w:tab w:val="left" w:pos="2835"/>
        </w:tabs>
        <w:ind w:firstLine="2880"/>
      </w:pPr>
      <w:r>
        <w:t>Agregó el máximo Tribunal español que “ese fundamento de la prohibición de valorar en juicio pruebas obtenidas con vulneración de derechos fundament</w:t>
      </w:r>
      <w:r>
        <w:t>a</w:t>
      </w:r>
      <w:r>
        <w:t>les, dada su posición preferente en el Estado democrático y social de Derecho y su cualidad de der</w:t>
      </w:r>
      <w:r>
        <w:t>e</w:t>
      </w:r>
      <w:r>
        <w:t xml:space="preserve">chos inviolables inherentes a la persona (art. </w:t>
      </w:r>
      <w:smartTag w:uri="urn:schemas-microsoft-com:office:smarttags" w:element="metricconverter">
        <w:smartTagPr>
          <w:attr w:name="ProductID" w:val="10.1 C"/>
        </w:smartTagPr>
        <w:r>
          <w:t>10.1 C</w:t>
        </w:r>
      </w:smartTag>
      <w:r>
        <w:t>.E.), que impone la inexcusable necesidad de tutela</w:t>
      </w:r>
      <w:r>
        <w:t>r</w:t>
      </w:r>
      <w:r>
        <w:t>los en todo caso, provoca la radical nulidad de todo acto jurídico contrario a los mismos. Por ello, y en la medida que los órganos judici</w:t>
      </w:r>
      <w:r>
        <w:t>a</w:t>
      </w:r>
      <w:r>
        <w:t xml:space="preserve">les son los llamados por </w:t>
      </w:r>
      <w:smartTag w:uri="urn:schemas-microsoft-com:office:smarttags" w:element="PersonName">
        <w:smartTagPr>
          <w:attr w:name="ProductID" w:val="la Constituci￳n"/>
        </w:smartTagPr>
        <w:r>
          <w:t>la Constitución</w:t>
        </w:r>
      </w:smartTag>
      <w:r>
        <w:t xml:space="preserve"> para regular y ordinaria protección de los derechos fundamentales (art. </w:t>
      </w:r>
      <w:smartTag w:uri="urn:schemas-microsoft-com:office:smarttags" w:element="metricconverter">
        <w:smartTagPr>
          <w:attr w:name="ProductID" w:val="53.2 C"/>
        </w:smartTagPr>
        <w:r>
          <w:t>53.2 C</w:t>
        </w:r>
      </w:smartTag>
      <w:r>
        <w:t>.E.), deben rechazar en empleo de pruebas en los procesos de los que conozcan, obtenidas en infracción de derechos fundamentales, y muy en particular si dichas pruebas lo son de cargo en los proceso penales; lo que también podrá hacer valer el interesado aunque el derecho fundamental menoscabado sea el de un tercero, siempre que esa l</w:t>
      </w:r>
      <w:r>
        <w:t>e</w:t>
      </w:r>
      <w:r>
        <w:t>sión suponga también una singular restricción o una vulneración sin más de los suyos (SSTC 11$/1984, 81/1998/, 49/1999, 94/1999; STEDH, caso Schenk, de 12 de julio de 1988)”.</w:t>
      </w:r>
    </w:p>
    <w:p w:rsidR="00224567" w:rsidRDefault="00224567">
      <w:pPr>
        <w:pStyle w:val="Sangradetextonormal"/>
        <w:widowControl w:val="0"/>
        <w:tabs>
          <w:tab w:val="center" w:pos="0"/>
          <w:tab w:val="left" w:pos="2835"/>
        </w:tabs>
        <w:ind w:firstLine="2880"/>
      </w:pPr>
      <w:r>
        <w:rPr>
          <w:b/>
          <w:bCs/>
        </w:rPr>
        <w:t xml:space="preserve">T.3) </w:t>
      </w:r>
      <w:r>
        <w:t>Sólo resta establecer el mome</w:t>
      </w:r>
      <w:r>
        <w:t>n</w:t>
      </w:r>
      <w:r>
        <w:t>to a partir del cual se manifestó el desvío en la voluntad del juez.</w:t>
      </w:r>
    </w:p>
    <w:p w:rsidR="00224567" w:rsidRDefault="00224567">
      <w:pPr>
        <w:pStyle w:val="Sangradetextonormal"/>
        <w:widowControl w:val="0"/>
        <w:tabs>
          <w:tab w:val="center" w:pos="0"/>
          <w:tab w:val="left" w:pos="2835"/>
        </w:tabs>
        <w:ind w:firstLine="2880"/>
      </w:pPr>
      <w:r>
        <w:t xml:space="preserve">En ese sentido, advierte el Tribunal que los actos que constituyen la génesis de la pesquisa encaminada a incriminar a los integrantes de </w:t>
      </w:r>
      <w:smartTag w:uri="urn:schemas-microsoft-com:office:smarttags" w:element="PersonName">
        <w:smartTagPr>
          <w:attr w:name="ProductID" w:val="la Polic￭a Bonaerense"/>
        </w:smartTagPr>
        <w:r>
          <w:t>la Policía Bonaerense</w:t>
        </w:r>
      </w:smartTag>
      <w:r>
        <w:t xml:space="preserve"> y a Carlos Alberto Telleldín se encuentran v</w:t>
      </w:r>
      <w:r>
        <w:t>i</w:t>
      </w:r>
      <w:r>
        <w:t>ciados en su totalidad, pues resulta de ellos la parcial</w:t>
      </w:r>
      <w:r>
        <w:t>i</w:t>
      </w:r>
      <w:r>
        <w:t>dad del juez, dado que éste realizó espurias m</w:t>
      </w:r>
      <w:r>
        <w:t>a</w:t>
      </w:r>
      <w:r>
        <w:t>niobras, a espaldas de casi todas las partes, a efectos de arribar a la meta preconcebida.</w:t>
      </w:r>
    </w:p>
    <w:p w:rsidR="00224567" w:rsidRDefault="00224567">
      <w:pPr>
        <w:pStyle w:val="Sangradetextonormal"/>
        <w:widowControl w:val="0"/>
        <w:tabs>
          <w:tab w:val="center" w:pos="0"/>
          <w:tab w:val="left" w:pos="2835"/>
        </w:tabs>
        <w:ind w:firstLine="2880"/>
      </w:pPr>
      <w:r>
        <w:t>No es tarea fácil establecer con exa</w:t>
      </w:r>
      <w:r>
        <w:t>c</w:t>
      </w:r>
      <w:r>
        <w:t>titud cuándo, en qué momento, a partir de qué acto proc</w:t>
      </w:r>
      <w:r>
        <w:t>e</w:t>
      </w:r>
      <w:r>
        <w:t>sal concreto, se manifestó en el proceso que el juez in</w:t>
      </w:r>
      <w:r>
        <w:t>s</w:t>
      </w:r>
      <w:r>
        <w:t>tructor torció su voluntad en el sentido antes expuesto.</w:t>
      </w:r>
    </w:p>
    <w:p w:rsidR="00224567" w:rsidRDefault="00224567">
      <w:pPr>
        <w:pStyle w:val="Sangradetextonormal"/>
        <w:widowControl w:val="0"/>
        <w:tabs>
          <w:tab w:val="center" w:pos="0"/>
          <w:tab w:val="left" w:pos="2835"/>
        </w:tabs>
        <w:ind w:firstLine="2880"/>
      </w:pPr>
      <w:r>
        <w:t>A tal fin resulta imprescindible r</w:t>
      </w:r>
      <w:r>
        <w:t>e</w:t>
      </w:r>
      <w:r>
        <w:t>cordar las tareas ilegales que éste permitió realizar al capitán Vergéz y al agente de inteligencia Daniel Romero, quienes conversaron con Telleldín acerca del hecho, gr</w:t>
      </w:r>
      <w:r>
        <w:t>a</w:t>
      </w:r>
      <w:r>
        <w:t>bando esas charlas.</w:t>
      </w:r>
    </w:p>
    <w:p w:rsidR="00224567" w:rsidRDefault="00224567">
      <w:pPr>
        <w:pStyle w:val="Sangradetextonormal"/>
        <w:widowControl w:val="0"/>
        <w:tabs>
          <w:tab w:val="center" w:pos="0"/>
          <w:tab w:val="left" w:pos="2835"/>
        </w:tabs>
        <w:ind w:firstLine="2880"/>
      </w:pPr>
      <w:r>
        <w:t>En sintonía con las actividades “e</w:t>
      </w:r>
      <w:r>
        <w:t>x</w:t>
      </w:r>
      <w:r>
        <w:t>tra procesales” de los funcionarios de inteligencia, consent</w:t>
      </w:r>
      <w:r>
        <w:t>i</w:t>
      </w:r>
      <w:r>
        <w:t>das por el juez, no documentadas en la causa, se encue</w:t>
      </w:r>
      <w:r>
        <w:t>n</w:t>
      </w:r>
      <w:r>
        <w:t>tran las reuniones de Telleldín con la jueza Riva Aramayo. El producto de estos “encuentros” fue informado verbalme</w:t>
      </w:r>
      <w:r>
        <w:t>n</w:t>
      </w:r>
      <w:r>
        <w:t>te por la magistrada al Dr. Galeano y éste lo volcó en a</w:t>
      </w:r>
      <w:r>
        <w:t>c</w:t>
      </w:r>
      <w:r>
        <w:t xml:space="preserve">tas que agregó a lo que caratuló “Legajo relacionado con informes suministrados por </w:t>
      </w:r>
      <w:smartTag w:uri="urn:schemas-microsoft-com:office:smarttags" w:element="PersonName">
        <w:smartTagPr>
          <w:attr w:name="ProductID" w:val="la Dra. Luisa"/>
        </w:smartTagPr>
        <w:r>
          <w:t>la Dra. Luisa</w:t>
        </w:r>
      </w:smartTag>
      <w:r>
        <w:t xml:space="preserve"> Riva Aramayo en base a manifestaciones de Carlos Telleldín”.</w:t>
      </w:r>
    </w:p>
    <w:p w:rsidR="00224567" w:rsidRDefault="00224567">
      <w:pPr>
        <w:widowControl w:val="0"/>
        <w:tabs>
          <w:tab w:val="left" w:pos="0"/>
          <w:tab w:val="left" w:pos="2835"/>
        </w:tabs>
        <w:ind w:firstLine="2880"/>
      </w:pPr>
      <w:r>
        <w:t>El juez mediante la providencia de fs. 37.375, del 4 de octubre de 1995, ordenó formar nueva ca</w:t>
      </w:r>
      <w:r>
        <w:t>u</w:t>
      </w:r>
      <w:r>
        <w:t>sa, registrada bajo el nº 1598, darle entrada por Secret</w:t>
      </w:r>
      <w:r>
        <w:t>a</w:t>
      </w:r>
      <w:r>
        <w:t>ría y acumular “el legajo formado con motivo de lo info</w:t>
      </w:r>
      <w:r>
        <w:t>r</w:t>
      </w:r>
      <w:r>
        <w:t xml:space="preserve">mado oportunamente por </w:t>
      </w:r>
      <w:smartTag w:uri="urn:schemas-microsoft-com:office:smarttags" w:element="PersonName">
        <w:smartTagPr>
          <w:attr w:name="ProductID" w:val="la Sra. Juez"/>
        </w:smartTagPr>
        <w:r>
          <w:t>la Sra. Juez</w:t>
        </w:r>
      </w:smartTag>
      <w:r>
        <w:t xml:space="preserve"> de </w:t>
      </w:r>
      <w:smartTag w:uri="urn:schemas-microsoft-com:office:smarttags" w:element="PersonName">
        <w:smartTagPr>
          <w:attr w:name="ProductID" w:val="la Excma. C￡mara"/>
        </w:smartTagPr>
        <w:r>
          <w:t>la Excma. Cámara</w:t>
        </w:r>
      </w:smartTag>
      <w:r>
        <w:t xml:space="preserve"> Nacional de Apelaciones en lo Criminal y Correccional F</w:t>
      </w:r>
      <w:r>
        <w:t>e</w:t>
      </w:r>
      <w:r>
        <w:t>deral, Dra. Marta Luisa Riva Aramayo”.</w:t>
      </w:r>
    </w:p>
    <w:p w:rsidR="00224567" w:rsidRDefault="00224567">
      <w:pPr>
        <w:widowControl w:val="0"/>
        <w:tabs>
          <w:tab w:val="left" w:pos="0"/>
          <w:tab w:val="left" w:pos="2835"/>
        </w:tabs>
        <w:ind w:firstLine="2880"/>
      </w:pPr>
      <w:r>
        <w:t>Vale recordar que de esta última a</w:t>
      </w:r>
      <w:r>
        <w:t>c</w:t>
      </w:r>
      <w:r>
        <w:t>tuación, carente de número de registro, no se dejó con</w:t>
      </w:r>
      <w:r>
        <w:t>s</w:t>
      </w:r>
      <w:r>
        <w:t>tancia en la causa nº 1156, conocida como “A.M.I.A.”.</w:t>
      </w:r>
    </w:p>
    <w:p w:rsidR="00224567" w:rsidRDefault="00224567">
      <w:pPr>
        <w:widowControl w:val="0"/>
        <w:tabs>
          <w:tab w:val="left" w:pos="0"/>
          <w:tab w:val="left" w:pos="2835"/>
        </w:tabs>
        <w:ind w:firstLine="2880"/>
      </w:pPr>
      <w:r>
        <w:t>En el mismo auto el Dr. Galeano v</w:t>
      </w:r>
      <w:r>
        <w:t>a</w:t>
      </w:r>
      <w:r>
        <w:t xml:space="preserve">lora los informes que contiene ese legajo fantasma, al señalar de manera asertiva que de ellos “resulta que la camioneta Traffic utilizada para perpetrar el atentado a la sede de </w:t>
      </w:r>
      <w:smartTag w:uri="urn:schemas-microsoft-com:office:smarttags" w:element="PersonName">
        <w:smartTagPr>
          <w:attr w:name="ProductID" w:val="la A.M"/>
        </w:smartTagPr>
        <w:r>
          <w:t>la A.M</w:t>
        </w:r>
      </w:smartTag>
      <w:r>
        <w:t>.I.A. fue entregada por el procesado Carlos Alberto Telleldín a personal policial con motivo de los proced</w:t>
      </w:r>
      <w:r>
        <w:t>i</w:t>
      </w:r>
      <w:r>
        <w:t>mientos cuya investigación corresponde realizar en la pr</w:t>
      </w:r>
      <w:r>
        <w:t>e</w:t>
      </w:r>
      <w:r>
        <w:t>sente causa, por lo que entre estas actuaciones y el sum</w:t>
      </w:r>
      <w:r>
        <w:t>a</w:t>
      </w:r>
      <w:r>
        <w:t>rio  nº  1156  caratulado:  ‘Ate</w:t>
      </w:r>
      <w:r>
        <w:t>n</w:t>
      </w:r>
      <w:r>
        <w:t>tado  en  Pasteur  633   -homicidio e infr. ley 23.592- Damnificados: A.M.I.A., D.A.I.A., etc.’ existe la relación de conexidad prevista en el art. 41 inc. 2º del C.P.P.”.</w:t>
      </w:r>
    </w:p>
    <w:p w:rsidR="00224567" w:rsidRDefault="00224567">
      <w:pPr>
        <w:widowControl w:val="0"/>
        <w:tabs>
          <w:tab w:val="left" w:pos="0"/>
          <w:tab w:val="left" w:pos="2835"/>
        </w:tabs>
        <w:ind w:firstLine="2880"/>
      </w:pPr>
      <w:r>
        <w:t>A continuación dispone: “Con el fin de no retardar la tramitación de ambas y obtener una mejor y más pronta administración de justicia, el pr</w:t>
      </w:r>
      <w:r>
        <w:t>e</w:t>
      </w:r>
      <w:r>
        <w:t>sente sumario deberá correr por cuerda con la causa nº 1156 (arts. 42 y 43 del C.P.P.)” y, que “previo a correr el traslado pr</w:t>
      </w:r>
      <w:r>
        <w:t>e</w:t>
      </w:r>
      <w:r>
        <w:t>visto en el art. 180 del C.P.P., informe la actuaria las constancias de interés para la presente que se hubieran incorporado en el sumario nº 1156 y en los legajos que c</w:t>
      </w:r>
      <w:r>
        <w:t>o</w:t>
      </w:r>
      <w:r>
        <w:t>rren por cuerda”.</w:t>
      </w:r>
    </w:p>
    <w:p w:rsidR="00224567" w:rsidRDefault="00224567">
      <w:pPr>
        <w:widowControl w:val="0"/>
        <w:tabs>
          <w:tab w:val="left" w:pos="0"/>
          <w:tab w:val="left" w:pos="2835"/>
        </w:tabs>
        <w:ind w:firstLine="2880"/>
      </w:pPr>
      <w:r>
        <w:t>Las mencionadas precedentemente con</w:t>
      </w:r>
      <w:r>
        <w:t>s</w:t>
      </w:r>
      <w:r>
        <w:t>tituyen, entre otras, lo que con agudeza denominó el Dr. Moreno la causa “virtual”, donde se lograba información, cuyo contenido no se conoce íntegramente, que luego se utilizaba en la dirección que los funci</w:t>
      </w:r>
      <w:r>
        <w:t>o</w:t>
      </w:r>
      <w:r>
        <w:t>narios deseaban.</w:t>
      </w:r>
    </w:p>
    <w:p w:rsidR="00224567" w:rsidRDefault="00224567">
      <w:pPr>
        <w:widowControl w:val="0"/>
        <w:tabs>
          <w:tab w:val="left" w:pos="0"/>
          <w:tab w:val="left" w:pos="2835"/>
        </w:tabs>
        <w:ind w:firstLine="2880"/>
      </w:pPr>
      <w:r>
        <w:t>Sobre la base de esos antecedentes, se corrió vista al Ministerio Público Fiscal a los f</w:t>
      </w:r>
      <w:r>
        <w:t>i</w:t>
      </w:r>
      <w:r>
        <w:t>nes del art. 180 del código de forma, que fue evacuada, prontame</w:t>
      </w:r>
      <w:r>
        <w:t>n</w:t>
      </w:r>
      <w:r>
        <w:t>te, por el Dr. Barbaccia a fs. 37.551/555. Sobre el part</w:t>
      </w:r>
      <w:r>
        <w:t>i</w:t>
      </w:r>
      <w:r>
        <w:t xml:space="preserve">cular corresponde remitirse a los puntos </w:t>
      </w:r>
      <w:r>
        <w:rPr>
          <w:b/>
        </w:rPr>
        <w:t>C)</w:t>
      </w:r>
      <w:r>
        <w:rPr>
          <w:bCs/>
        </w:rPr>
        <w:t>,</w:t>
      </w:r>
      <w:r>
        <w:rPr>
          <w:b/>
        </w:rPr>
        <w:t xml:space="preserve"> D) </w:t>
      </w:r>
      <w:r>
        <w:rPr>
          <w:bCs/>
        </w:rPr>
        <w:t>y</w:t>
      </w:r>
      <w:r>
        <w:rPr>
          <w:b/>
        </w:rPr>
        <w:t xml:space="preserve"> E)</w:t>
      </w:r>
      <w:r>
        <w:t xml:space="preserve"> de este capítulo.</w:t>
      </w:r>
    </w:p>
    <w:p w:rsidR="00224567" w:rsidRDefault="00224567">
      <w:pPr>
        <w:widowControl w:val="0"/>
        <w:tabs>
          <w:tab w:val="left" w:pos="0"/>
          <w:tab w:val="left" w:pos="2835"/>
        </w:tabs>
        <w:ind w:firstLine="2880"/>
      </w:pPr>
      <w:r>
        <w:t xml:space="preserve">Tras el dictamen, el juez Galeano a fs. 37.557/37.559, el 31 de </w:t>
      </w:r>
      <w:r>
        <w:rPr>
          <w:b/>
        </w:rPr>
        <w:t>octubre de 1995</w:t>
      </w:r>
      <w:r>
        <w:t>, dispuso in</w:t>
      </w:r>
      <w:r>
        <w:t>s</w:t>
      </w:r>
      <w:r>
        <w:t>truir “sumario conforme requerimiento fiscal” (sic).</w:t>
      </w:r>
    </w:p>
    <w:p w:rsidR="00224567" w:rsidRDefault="00224567">
      <w:pPr>
        <w:widowControl w:val="0"/>
        <w:tabs>
          <w:tab w:val="left" w:pos="0"/>
          <w:tab w:val="left" w:pos="2835"/>
        </w:tabs>
        <w:ind w:firstLine="2880"/>
      </w:pPr>
      <w:r>
        <w:t>En esa dirección, entre otras med</w:t>
      </w:r>
      <w:r>
        <w:t>i</w:t>
      </w:r>
      <w:r>
        <w:t>das, profundizó la investigación de los hechos denu</w:t>
      </w:r>
      <w:r>
        <w:t>n</w:t>
      </w:r>
      <w:r>
        <w:t xml:space="preserve">ciados por Telleldín en </w:t>
      </w:r>
      <w:r>
        <w:rPr>
          <w:b/>
        </w:rPr>
        <w:t xml:space="preserve">agosto de </w:t>
      </w:r>
      <w:smartTag w:uri="urn:schemas-microsoft-com:office:smarttags" w:element="metricconverter">
        <w:smartTagPr>
          <w:attr w:name="ProductID" w:val="1994, a"/>
        </w:smartTagPr>
        <w:r>
          <w:rPr>
            <w:b/>
          </w:rPr>
          <w:t>1994</w:t>
        </w:r>
        <w:r>
          <w:t>, a</w:t>
        </w:r>
      </w:smartTag>
      <w:r>
        <w:t xml:space="preserve"> la vez que encaminó la pe</w:t>
      </w:r>
      <w:r>
        <w:t>s</w:t>
      </w:r>
      <w:r>
        <w:t xml:space="preserve">quisa en dirección a los funcionarios de </w:t>
      </w:r>
      <w:smartTag w:uri="urn:schemas-microsoft-com:office:smarttags" w:element="PersonName">
        <w:smartTagPr>
          <w:attr w:name="ProductID" w:val="la Brigada"/>
        </w:smartTagPr>
        <w:r>
          <w:t>la Brigada</w:t>
        </w:r>
      </w:smartTag>
      <w:r>
        <w:t xml:space="preserve"> de I</w:t>
      </w:r>
      <w:r>
        <w:t>n</w:t>
      </w:r>
      <w:r>
        <w:t>vestigaciones de Lanús, Marcelo G. A</w:t>
      </w:r>
      <w:r>
        <w:t>l</w:t>
      </w:r>
      <w:r>
        <w:t>barracín, Raúl Edilio Ibarra, Claudio Walter Araya, Víctor Carlos Cruz, Eduardo Diego Toledo, Walter Alejandro Castro y Marcelo Darío C</w:t>
      </w:r>
      <w:r>
        <w:t>a</w:t>
      </w:r>
      <w:r>
        <w:t>sas.</w:t>
      </w:r>
    </w:p>
    <w:p w:rsidR="00224567" w:rsidRDefault="00224567">
      <w:pPr>
        <w:widowControl w:val="0"/>
        <w:tabs>
          <w:tab w:val="left" w:pos="0"/>
          <w:tab w:val="left" w:pos="2835"/>
        </w:tabs>
        <w:ind w:firstLine="2880"/>
      </w:pPr>
      <w:r>
        <w:t>Es allí donde cabe establecer la pr</w:t>
      </w:r>
      <w:r>
        <w:t>i</w:t>
      </w:r>
      <w:r>
        <w:t>mera manifestación en el proceso del designio ant</w:t>
      </w:r>
      <w:r>
        <w:t>i</w:t>
      </w:r>
      <w:r>
        <w:t>cipado o falta de neutralidad del juez.</w:t>
      </w:r>
    </w:p>
    <w:p w:rsidR="00224567" w:rsidRDefault="00224567">
      <w:pPr>
        <w:widowControl w:val="0"/>
        <w:tabs>
          <w:tab w:val="left" w:pos="0"/>
          <w:tab w:val="left" w:pos="2835"/>
        </w:tabs>
        <w:ind w:firstLine="2880"/>
      </w:pPr>
      <w:r>
        <w:t>Al dictar el auto ordenando la in</w:t>
      </w:r>
      <w:r>
        <w:t>s</w:t>
      </w:r>
      <w:r>
        <w:t>trucción del sumario, individualizando a los futuros pr</w:t>
      </w:r>
      <w:r>
        <w:t>o</w:t>
      </w:r>
      <w:r>
        <w:t>cesados, conocía el magistrado de qué manera se habían c</w:t>
      </w:r>
      <w:r>
        <w:t>o</w:t>
      </w:r>
      <w:r>
        <w:t>lectado los elementos que el fiscal invocó p</w:t>
      </w:r>
      <w:r>
        <w:t>a</w:t>
      </w:r>
      <w:r>
        <w:t>ra fundar el requerimiento de instrucción de fs. 37.551/555. Es más, fue el artífice de todas las maniobras más arriba coment</w:t>
      </w:r>
      <w:r>
        <w:t>a</w:t>
      </w:r>
      <w:r>
        <w:t>das, tendientes a involucrar al personal policial de la brigada de Lanús y a Anastasio Ireneo Leal (cfr. declar</w:t>
      </w:r>
      <w:r>
        <w:t>a</w:t>
      </w:r>
      <w:r>
        <w:t>ción del sargento Manuel Enr</w:t>
      </w:r>
      <w:r>
        <w:t>i</w:t>
      </w:r>
      <w:r>
        <w:t>que García de fs. 37.759).</w:t>
      </w:r>
    </w:p>
    <w:p w:rsidR="00224567" w:rsidRDefault="00224567">
      <w:pPr>
        <w:widowControl w:val="0"/>
        <w:tabs>
          <w:tab w:val="left" w:pos="0"/>
          <w:tab w:val="left" w:pos="2835"/>
        </w:tabs>
        <w:ind w:firstLine="2880"/>
      </w:pPr>
      <w:r>
        <w:t>Es preciso aclarar aquí, que la decl</w:t>
      </w:r>
      <w:r>
        <w:t>a</w:t>
      </w:r>
      <w:r>
        <w:t>ración indagatoria recibida a Carlos Telleldín el 5 de j</w:t>
      </w:r>
      <w:r>
        <w:t>u</w:t>
      </w:r>
      <w:r>
        <w:t xml:space="preserve">lio de </w:t>
      </w:r>
      <w:smartTag w:uri="urn:schemas-microsoft-com:office:smarttags" w:element="metricconverter">
        <w:smartTagPr>
          <w:attr w:name="ProductID" w:val="1996, a"/>
        </w:smartTagPr>
        <w:r>
          <w:t>1996, a</w:t>
        </w:r>
      </w:smartTag>
      <w:r>
        <w:t xml:space="preserve"> cambio de una importante suma de dinero, no constituye el primer acto irregular; casi podría decirse que fue la culminación de una cuidadosa trama pergeñada para dar una respuesta al incansable y justificado reclamo de la sociedad.</w:t>
      </w:r>
    </w:p>
    <w:p w:rsidR="00224567" w:rsidRDefault="00224567">
      <w:pPr>
        <w:widowControl w:val="0"/>
        <w:tabs>
          <w:tab w:val="left" w:pos="0"/>
          <w:tab w:val="left" w:pos="2835"/>
        </w:tabs>
      </w:pPr>
      <w:r>
        <w:tab/>
        <w:t xml:space="preserve">En definitiva, la nulidad que habrá de decretarse alcanza no sólo a las actuaciones en las que fueron investigados los efectivos de </w:t>
      </w:r>
      <w:smartTag w:uri="urn:schemas-microsoft-com:office:smarttags" w:element="PersonName">
        <w:smartTagPr>
          <w:attr w:name="ProductID" w:val="la Polic￭a Bonaerense"/>
        </w:smartTagPr>
        <w:r>
          <w:t>la Policía B</w:t>
        </w:r>
        <w:r>
          <w:t>o</w:t>
        </w:r>
        <w:r>
          <w:t>naerense</w:t>
        </w:r>
      </w:smartTag>
      <w:r>
        <w:t xml:space="preserve"> traídos a juicio y Juan Alberto Bottegal (ca</w:t>
      </w:r>
      <w:r>
        <w:t>u</w:t>
      </w:r>
      <w:r>
        <w:t>sas nº 1598 y sus conexas nº 501/01 y 502/03, según registro de este Tribunal), sino también a las relativas a Carlos Alberto Telleldín, en o</w:t>
      </w:r>
      <w:r>
        <w:t>r</w:t>
      </w:r>
      <w:r>
        <w:t>den a la participación que se le achacó en el atentado, toda vez que respecto de éste, al dictarse su procesamiento por tal suceso y al confirmarse dicho dec</w:t>
      </w:r>
      <w:r>
        <w:t>i</w:t>
      </w:r>
      <w:r>
        <w:t xml:space="preserve">sorio por </w:t>
      </w:r>
      <w:smartTag w:uri="urn:schemas-microsoft-com:office:smarttags" w:element="PersonName">
        <w:smartTagPr>
          <w:attr w:name="ProductID" w:val="la C￡mara"/>
        </w:smartTagPr>
        <w:r>
          <w:t>la Cámara</w:t>
        </w:r>
      </w:smartTag>
      <w:r>
        <w:t xml:space="preserve"> del fuero, se utilizaron relaciones y probanzas obtenidas a partir de la formación de la causa nº 1598, llamada “Brigadas” (cónf. resolución del juez de fs. 33.675/33.699 y de </w:t>
      </w:r>
      <w:smartTag w:uri="urn:schemas-microsoft-com:office:smarttags" w:element="PersonName">
        <w:smartTagPr>
          <w:attr w:name="ProductID" w:val="la C￡mara"/>
        </w:smartTagPr>
        <w:r>
          <w:t>la Cámara</w:t>
        </w:r>
      </w:smartTag>
      <w:r>
        <w:t xml:space="preserve"> de fs. 64.116/64.121 y requerimiento fiscal de elevación a juicio de fs. 64.550/64.683).</w:t>
      </w:r>
    </w:p>
    <w:p w:rsidR="00224567" w:rsidRDefault="00224567">
      <w:pPr>
        <w:widowControl w:val="0"/>
        <w:tabs>
          <w:tab w:val="left" w:pos="0"/>
          <w:tab w:val="left" w:pos="2835"/>
        </w:tabs>
      </w:pPr>
    </w:p>
    <w:p w:rsidR="00224567" w:rsidRDefault="00224567">
      <w:pPr>
        <w:pStyle w:val="Ttulo3"/>
        <w:keepNext w:val="0"/>
        <w:widowControl w:val="0"/>
      </w:pPr>
      <w:r>
        <w:t>U) Otras irregularidades.</w:t>
      </w:r>
    </w:p>
    <w:p w:rsidR="00224567" w:rsidRDefault="00224567">
      <w:pPr>
        <w:widowControl w:val="0"/>
        <w:tabs>
          <w:tab w:val="center" w:pos="0"/>
          <w:tab w:val="left" w:pos="2835"/>
        </w:tabs>
        <w:ind w:firstLine="2880"/>
      </w:pPr>
      <w:r>
        <w:rPr>
          <w:b/>
          <w:bCs/>
        </w:rPr>
        <w:t xml:space="preserve">U.1) </w:t>
      </w:r>
      <w:r>
        <w:t>No menos original resulta en este proceso la forma en que fueron tratados los test</w:t>
      </w:r>
      <w:r>
        <w:t>i</w:t>
      </w:r>
      <w:r>
        <w:t>gos, como ya se vio, contraviniendo expresas disposiciones legales (art. 79 del código adjetivo).</w:t>
      </w:r>
    </w:p>
    <w:p w:rsidR="00224567" w:rsidRDefault="00224567">
      <w:pPr>
        <w:widowControl w:val="0"/>
        <w:tabs>
          <w:tab w:val="center" w:pos="0"/>
          <w:tab w:val="left" w:pos="2835"/>
        </w:tabs>
        <w:ind w:firstLine="2880"/>
      </w:pPr>
      <w:r>
        <w:t>Ya no se trata de la sigilosa e ind</w:t>
      </w:r>
      <w:r>
        <w:t>e</w:t>
      </w:r>
      <w:r>
        <w:t>bida intromisión en los ámbitos de intimidad de las pers</w:t>
      </w:r>
      <w:r>
        <w:t>o</w:t>
      </w:r>
      <w:r>
        <w:t>nas llamadas a declarar bajo juramento, sino del allan</w:t>
      </w:r>
      <w:r>
        <w:t>a</w:t>
      </w:r>
      <w:r>
        <w:t>miento de sus viviendas, detenciones y comparecencia esp</w:t>
      </w:r>
      <w:r>
        <w:t>o</w:t>
      </w:r>
      <w:r>
        <w:t>sados a la sede del juzgado; en algunos c</w:t>
      </w:r>
      <w:r>
        <w:t>a</w:t>
      </w:r>
      <w:r>
        <w:t xml:space="preserve">sos previo paso por la alcaidía de este edificio, en otros por </w:t>
      </w:r>
      <w:smartTag w:uri="urn:schemas-microsoft-com:office:smarttags" w:element="PersonName">
        <w:smartTagPr>
          <w:attr w:name="ProductID" w:val="la Unidad Antiterrorista."/>
        </w:smartTagPr>
        <w:r>
          <w:t>la Unidad Antiterrorista.</w:t>
        </w:r>
      </w:smartTag>
    </w:p>
    <w:p w:rsidR="00224567" w:rsidRDefault="00224567">
      <w:pPr>
        <w:widowControl w:val="0"/>
        <w:tabs>
          <w:tab w:val="center" w:pos="0"/>
          <w:tab w:val="left" w:pos="2835"/>
        </w:tabs>
        <w:ind w:firstLine="2880"/>
      </w:pPr>
      <w:r>
        <w:t>Tal lo ocurrido con Sandra Karina Ca</w:t>
      </w:r>
      <w:r>
        <w:t>r</w:t>
      </w:r>
      <w:r>
        <w:t>deal y Carlos Álvarez Matus. Los nombrados mantuvi</w:t>
      </w:r>
      <w:r>
        <w:t>e</w:t>
      </w:r>
      <w:r>
        <w:t xml:space="preserve">ron, el </w:t>
      </w:r>
      <w:r>
        <w:rPr>
          <w:b/>
        </w:rPr>
        <w:t>21 de agosto de 1997</w:t>
      </w:r>
      <w:r>
        <w:t>, una conversación telef</w:t>
      </w:r>
      <w:r>
        <w:t>ó</w:t>
      </w:r>
      <w:r>
        <w:t>nica a través de la línea nº 242-9048, ubicada en una agencia de autom</w:t>
      </w:r>
      <w:r>
        <w:t>o</w:t>
      </w:r>
      <w:r>
        <w:t>tores, cuya propiedad se atribuía a Juan José Ribelli.</w:t>
      </w:r>
    </w:p>
    <w:p w:rsidR="00224567" w:rsidRDefault="00224567">
      <w:pPr>
        <w:widowControl w:val="0"/>
        <w:tabs>
          <w:tab w:val="center" w:pos="0"/>
          <w:tab w:val="left" w:pos="2835"/>
        </w:tabs>
        <w:ind w:firstLine="2880"/>
      </w:pPr>
      <w:r>
        <w:t xml:space="preserve">El Sr. juez federal el </w:t>
      </w:r>
      <w:r>
        <w:rPr>
          <w:b/>
        </w:rPr>
        <w:t xml:space="preserve">28 de octubre de 1997, </w:t>
      </w:r>
      <w:r>
        <w:t>en atención al contenido de la conversación ma</w:t>
      </w:r>
      <w:r>
        <w:t>n</w:t>
      </w:r>
      <w:r>
        <w:t>tenida entre los antes nombrados, consideró que se daban los supuestos del art. 281 del código de forma, por lo que dispuso el arresto de Cardeal y Álvarez Matus (fs. 43.442).</w:t>
      </w:r>
    </w:p>
    <w:p w:rsidR="00224567" w:rsidRDefault="00224567">
      <w:pPr>
        <w:widowControl w:val="0"/>
        <w:tabs>
          <w:tab w:val="center" w:pos="0"/>
          <w:tab w:val="left" w:pos="2835"/>
        </w:tabs>
        <w:ind w:firstLine="2880"/>
      </w:pPr>
      <w:r>
        <w:t>A ese fin libró exhorto al juez fed</w:t>
      </w:r>
      <w:r>
        <w:t>e</w:t>
      </w:r>
      <w:r>
        <w:t>ral de Lomas de Zamora a efectos de que dispusiera las c</w:t>
      </w:r>
      <w:r>
        <w:t>o</w:t>
      </w:r>
      <w:r>
        <w:t>rrespondientes órdenes de allanamientos contra el domic</w:t>
      </w:r>
      <w:r>
        <w:t>i</w:t>
      </w:r>
      <w:r>
        <w:t>lio de Cardeal y al lugar donde trabajaba Álvarez Matus, quienes, previo a ser conducidos antes sus estrados, d</w:t>
      </w:r>
      <w:r>
        <w:t>e</w:t>
      </w:r>
      <w:r>
        <w:t>bían ser identificados en los términos del art. 281 del Código Procesal Penal. Facultó al personal policial a h</w:t>
      </w:r>
      <w:r>
        <w:t>a</w:t>
      </w:r>
      <w:r>
        <w:t>bilitar días y horas, “previa consulta con el tribunal” (sic).</w:t>
      </w:r>
    </w:p>
    <w:p w:rsidR="00224567" w:rsidRDefault="00224567">
      <w:pPr>
        <w:widowControl w:val="0"/>
        <w:tabs>
          <w:tab w:val="center" w:pos="0"/>
          <w:tab w:val="left" w:pos="2835"/>
        </w:tabs>
        <w:ind w:firstLine="2880"/>
        <w:rPr>
          <w:b/>
        </w:rPr>
      </w:pPr>
      <w:r>
        <w:t>A fs. 43.461, luce el auto dictado por el juez el 29 de octubre de 1997, que reza: “Habiendo c</w:t>
      </w:r>
      <w:r>
        <w:t>o</w:t>
      </w:r>
      <w:r>
        <w:t xml:space="preserve">municado el Sr. jefe de </w:t>
      </w:r>
      <w:smartTag w:uri="urn:schemas-microsoft-com:office:smarttags" w:element="PersonName">
        <w:smartTagPr>
          <w:attr w:name="ProductID" w:val="la D.U"/>
        </w:smartTagPr>
        <w:r>
          <w:t>la D.U</w:t>
        </w:r>
      </w:smartTag>
      <w:r>
        <w:t>.I.A., comisario Jorge Pal</w:t>
      </w:r>
      <w:r>
        <w:t>a</w:t>
      </w:r>
      <w:r>
        <w:t>cios, que se hizo efectivo el arresto de Luis Claudio Á</w:t>
      </w:r>
      <w:r>
        <w:t>l</w:t>
      </w:r>
      <w:r>
        <w:t xml:space="preserve">varez Matus y Sandra Karina Cardeal, conforme dispusiera el juzgado, como también que los mismos ingresaron a la dependencia a las </w:t>
      </w:r>
      <w:r>
        <w:rPr>
          <w:b/>
        </w:rPr>
        <w:t>19.00 hs</w:t>
      </w:r>
      <w:r>
        <w:t>., hágasele saber que luego de procederse a su correcta identificación deberán ser tra</w:t>
      </w:r>
      <w:r>
        <w:t>s</w:t>
      </w:r>
      <w:r>
        <w:t xml:space="preserve">ladados a la sede del juzgado a las </w:t>
      </w:r>
      <w:r>
        <w:rPr>
          <w:b/>
        </w:rPr>
        <w:t>22.30 hs.”.</w:t>
      </w:r>
    </w:p>
    <w:p w:rsidR="00224567" w:rsidRDefault="00224567">
      <w:pPr>
        <w:widowControl w:val="0"/>
        <w:tabs>
          <w:tab w:val="center" w:pos="0"/>
          <w:tab w:val="left" w:pos="2835"/>
        </w:tabs>
        <w:ind w:firstLine="2880"/>
      </w:pPr>
      <w:r>
        <w:t xml:space="preserve">Luce a fs. 43.469 el acta labrada el 29 de octubre de </w:t>
      </w:r>
      <w:smartTag w:uri="urn:schemas-microsoft-com:office:smarttags" w:element="metricconverter">
        <w:smartTagPr>
          <w:attr w:name="ProductID" w:val="1997, a"/>
        </w:smartTagPr>
        <w:r>
          <w:t>1997, a</w:t>
        </w:r>
      </w:smartTag>
      <w:r>
        <w:t xml:space="preserve"> las 18 hs., que da cuenta del allanamiento a la agencia de automotores “Autoprix”, donde fue detenido Alvarez Matus, comunicándosele sus derechos.</w:t>
      </w:r>
    </w:p>
    <w:p w:rsidR="00224567" w:rsidRDefault="00224567">
      <w:pPr>
        <w:widowControl w:val="0"/>
        <w:tabs>
          <w:tab w:val="center" w:pos="0"/>
          <w:tab w:val="left" w:pos="2835"/>
        </w:tabs>
        <w:ind w:firstLine="2880"/>
      </w:pPr>
      <w:r>
        <w:t>Según surge de la actuación agregada a fs. 43.477 y vta., que Sandra Karina Cardeal fue d</w:t>
      </w:r>
      <w:r>
        <w:t>e</w:t>
      </w:r>
      <w:r>
        <w:t>tenida en el interior del domicilio de sus padres, en la misma fecha, a las 17.50, oportunidad en que también le fueron leídos sus derechos.</w:t>
      </w:r>
    </w:p>
    <w:p w:rsidR="00224567" w:rsidRDefault="00224567">
      <w:pPr>
        <w:widowControl w:val="0"/>
        <w:tabs>
          <w:tab w:val="center" w:pos="0"/>
          <w:tab w:val="left" w:pos="2835"/>
        </w:tabs>
        <w:ind w:firstLine="2880"/>
      </w:pPr>
      <w:r>
        <w:t>A fs. 43.481 y 43.482, lucen los i</w:t>
      </w:r>
      <w:r>
        <w:t>n</w:t>
      </w:r>
      <w:r>
        <w:t>formes del médico legista Héctor Oscar Koffmann, que dan cuenta que Sandra Karina Cardeal y Jorge Luis Álvarez M</w:t>
      </w:r>
      <w:r>
        <w:t>a</w:t>
      </w:r>
      <w:r>
        <w:t>tus. respectivamente, no presentan lesiones traumáticas recientes.</w:t>
      </w:r>
    </w:p>
    <w:p w:rsidR="00224567" w:rsidRDefault="00224567">
      <w:pPr>
        <w:widowControl w:val="0"/>
        <w:tabs>
          <w:tab w:val="center" w:pos="0"/>
          <w:tab w:val="left" w:pos="2835"/>
        </w:tabs>
        <w:ind w:firstLine="2880"/>
      </w:pPr>
      <w:r>
        <w:t>Corren agregadas a fs. 43.470 y fs. 43.476, en el mismo orden, las constancias de la lectura “de los derechos del imputado” a Álvarez Matus y Cardeal.</w:t>
      </w:r>
    </w:p>
    <w:p w:rsidR="00224567" w:rsidRDefault="00224567">
      <w:pPr>
        <w:widowControl w:val="0"/>
        <w:tabs>
          <w:tab w:val="center" w:pos="0"/>
          <w:tab w:val="left" w:pos="2835"/>
        </w:tabs>
        <w:ind w:firstLine="2880"/>
      </w:pPr>
      <w:r>
        <w:t>Tras esas diligencias, el 29 de oct</w:t>
      </w:r>
      <w:r>
        <w:t>u</w:t>
      </w:r>
      <w:r>
        <w:t>bre de 1997, Jorge Luis Alvarez y Sandra Karina Cardeal prestaron declaración testimonial ante el juez Galeano a fs. 43.485/43.489 y fs. 43.501/43.506, respe</w:t>
      </w:r>
      <w:r>
        <w:t>c</w:t>
      </w:r>
      <w:r>
        <w:t>tivamente.</w:t>
      </w:r>
    </w:p>
    <w:p w:rsidR="00224567" w:rsidRDefault="00224567">
      <w:pPr>
        <w:widowControl w:val="0"/>
        <w:tabs>
          <w:tab w:val="center" w:pos="0"/>
          <w:tab w:val="left" w:pos="2835"/>
        </w:tabs>
        <w:ind w:firstLine="2880"/>
      </w:pPr>
      <w:r>
        <w:t>Los nombrados también dieron su test</w:t>
      </w:r>
      <w:r>
        <w:t>i</w:t>
      </w:r>
      <w:r>
        <w:t>monio antes estos estrados.</w:t>
      </w:r>
    </w:p>
    <w:p w:rsidR="00224567" w:rsidRDefault="00224567">
      <w:pPr>
        <w:widowControl w:val="0"/>
        <w:tabs>
          <w:tab w:val="center" w:pos="0"/>
          <w:tab w:val="left" w:pos="2835"/>
        </w:tabs>
        <w:ind w:firstLine="2880"/>
      </w:pPr>
      <w:r>
        <w:t>Acerca de convocatoria Álvarez dijo, en esta sede, “me trajeron preso”, relatando a continu</w:t>
      </w:r>
      <w:r>
        <w:t>a</w:t>
      </w:r>
      <w:r>
        <w:t>ción “me pusieron las esposas de atrás y me hicieron subir a un coche particular”, “me agarraron a la tarde, a las cinco y media de la mañana me largaron”.</w:t>
      </w:r>
    </w:p>
    <w:p w:rsidR="00224567" w:rsidRDefault="00224567">
      <w:pPr>
        <w:widowControl w:val="0"/>
        <w:tabs>
          <w:tab w:val="center" w:pos="0"/>
          <w:tab w:val="left" w:pos="2835"/>
        </w:tabs>
        <w:ind w:firstLine="2880"/>
      </w:pPr>
      <w:r>
        <w:t>Al pronunciarse Sandra Cardeal sobre el particular, relató que no la dejaron hablar por tel</w:t>
      </w:r>
      <w:r>
        <w:t>é</w:t>
      </w:r>
      <w:r>
        <w:t>fono cuando ingresaron a la casa. Por la elocuencia del relato de la testigo cabe transcribir algunos párrafos de modo textual; dijo: “no entendía nada y se meten en la c</w:t>
      </w:r>
      <w:r>
        <w:t>a</w:t>
      </w:r>
      <w:r>
        <w:t>sa me sacan el teléfono y entran más oficiales..., fue t</w:t>
      </w:r>
      <w:r>
        <w:t>o</w:t>
      </w:r>
      <w:r>
        <w:t>do como..., muy traumático para mi mamá..., también para mí, porque entraron o sea la manera.... Hace un rato en que fui traída para declarar o sea yo no vine a declarar como estoy en este momento, me trae mi marido, salgo de la facultad, me fue a buscar vengo tranquila me siento acá, me llevaron como si yo fuera una presidiaria porque me trataron de esa m</w:t>
      </w:r>
      <w:r>
        <w:t>a</w:t>
      </w:r>
      <w:r>
        <w:t>nera o sea me sacan de mi casa me llevan detenida..., no me dicen nada..., me han tomado las hu</w:t>
      </w:r>
      <w:r>
        <w:t>e</w:t>
      </w:r>
      <w:r>
        <w:t>llas dactilares..., me dejan aislada, siempre acompañada por una mujer policía..., después me dicen..., ir a decl</w:t>
      </w:r>
      <w:r>
        <w:t>a</w:t>
      </w:r>
      <w:r>
        <w:t xml:space="preserve">rar, primero hablo con un señor que si mal no me acuerdo el apellido es el señor Palacios..., después me toman una indagatoria creo que dos oficiales que estaban vestidos de civil, creo que son de </w:t>
      </w:r>
      <w:smartTag w:uri="urn:schemas-microsoft-com:office:smarttags" w:element="PersonName">
        <w:smartTagPr>
          <w:attr w:name="ProductID" w:val="la S.I"/>
        </w:smartTagPr>
        <w:r>
          <w:t>la S.I</w:t>
        </w:r>
      </w:smartTag>
      <w:r>
        <w:t>.D.E.”.</w:t>
      </w:r>
    </w:p>
    <w:p w:rsidR="00224567" w:rsidRDefault="00224567">
      <w:pPr>
        <w:widowControl w:val="0"/>
        <w:tabs>
          <w:tab w:val="center" w:pos="0"/>
          <w:tab w:val="left" w:pos="2835"/>
        </w:tabs>
        <w:ind w:firstLine="2880"/>
      </w:pPr>
      <w:r>
        <w:t>Acerca de su conversación con Pal</w:t>
      </w:r>
      <w:r>
        <w:t>a</w:t>
      </w:r>
      <w:r>
        <w:t>cios, preciso: “este señor me recibe, me dice buenas n</w:t>
      </w:r>
      <w:r>
        <w:t>o</w:t>
      </w:r>
      <w:r>
        <w:t>ches..., y lo único que me acuerdo, porque son cosas que quedan, fue que me dijo `bueno Sandra, esto depende de u</w:t>
      </w:r>
      <w:r>
        <w:t>s</w:t>
      </w:r>
      <w:r>
        <w:t>ted, irse o quedarse, según lo que usted diga´. Imagínese como me sentí yo..., estaba totalmente asustada yo lo ún</w:t>
      </w:r>
      <w:r>
        <w:t>i</w:t>
      </w:r>
      <w:r>
        <w:t>co que decía es que yo no sabía nada, o sea que no sabía que le iba a decir yo salía con un chico, me hizo un par de preguntas, después me deriv</w:t>
      </w:r>
      <w:r>
        <w:t>a</w:t>
      </w:r>
      <w:r>
        <w:t>ron a los dos oficiales de siempre..., y después de ahí me comunicaron que me iban a llevar frente al juez G</w:t>
      </w:r>
      <w:r>
        <w:t>a</w:t>
      </w:r>
      <w:r>
        <w:t>leano.... De ahí me llevan primero al médico forense, donde obviamente me hacen desnudar que para mi también fue otra cosa traumática, por que es lóg</w:t>
      </w:r>
      <w:r>
        <w:t>i</w:t>
      </w:r>
      <w:r>
        <w:t>co estoy en mi casa bordando una cortina porque me voy a casar dentro de veintisiete días y tener que llegar a esta situ</w:t>
      </w:r>
      <w:r>
        <w:t>a</w:t>
      </w:r>
      <w:r>
        <w:t>ción”.</w:t>
      </w:r>
    </w:p>
    <w:p w:rsidR="00224567" w:rsidRDefault="00224567">
      <w:pPr>
        <w:widowControl w:val="0"/>
        <w:tabs>
          <w:tab w:val="center" w:pos="0"/>
          <w:tab w:val="left" w:pos="2835"/>
        </w:tabs>
        <w:ind w:firstLine="2880"/>
      </w:pPr>
      <w:r>
        <w:t>En un comienzo, dijo Cardeal, rec</w:t>
      </w:r>
      <w:r>
        <w:t>i</w:t>
      </w:r>
      <w:r>
        <w:t>bió trato de “preso”, pero una mujer policía la contenía. Añ</w:t>
      </w:r>
      <w:r>
        <w:t>a</w:t>
      </w:r>
      <w:r>
        <w:t>dió que la detuvieron antes de las siete de la tarde y que la llevaron a su casa a las cuatro o cinco de la mañana.</w:t>
      </w:r>
    </w:p>
    <w:p w:rsidR="00224567" w:rsidRDefault="00224567">
      <w:pPr>
        <w:widowControl w:val="0"/>
        <w:tabs>
          <w:tab w:val="center" w:pos="0"/>
          <w:tab w:val="left" w:pos="2835"/>
        </w:tabs>
        <w:ind w:firstLine="2880"/>
      </w:pPr>
      <w:r>
        <w:t>Al ser preguntada la testigo sobre su llegada a tribunales, refirió: “Me bajan, subo por las e</w:t>
      </w:r>
      <w:r>
        <w:t>s</w:t>
      </w:r>
      <w:r>
        <w:t xml:space="preserve">caleritas, </w:t>
      </w:r>
      <w:r>
        <w:rPr>
          <w:b/>
        </w:rPr>
        <w:t>esposada,</w:t>
      </w:r>
      <w:r>
        <w:t xml:space="preserve"> porque me dijeron que no podía e</w:t>
      </w:r>
      <w:r>
        <w:t>n</w:t>
      </w:r>
      <w:r>
        <w:t xml:space="preserve">trar..., que no podía estar sin esposas, tenía que entrar </w:t>
      </w:r>
      <w:r>
        <w:rPr>
          <w:b/>
        </w:rPr>
        <w:t>esposada</w:t>
      </w:r>
      <w:r>
        <w:t>, que ello me llamó la atención porque si soy te</w:t>
      </w:r>
      <w:r>
        <w:t>s</w:t>
      </w:r>
      <w:r>
        <w:t>tigo obviamente con decirme mirá que tenés que ir a decl</w:t>
      </w:r>
      <w:r>
        <w:t>a</w:t>
      </w:r>
      <w:r>
        <w:t>rar o cómo llegó en este caso una cédula de notificación que me tengo que presentar en tal día a tal hora y en tal lugar y me presentó, pero bueno..., no me sentí como una testigo, porque..., yo creo que los testigos no van esp</w:t>
      </w:r>
      <w:r>
        <w:t>o</w:t>
      </w:r>
      <w:r>
        <w:t>sados a ningún lado a d</w:t>
      </w:r>
      <w:r>
        <w:t>e</w:t>
      </w:r>
      <w:r>
        <w:t xml:space="preserve">clarar.... Cuando ingreso y no me acuerdo en qué piso, me acuerdo que tomamos el ascensor pero no me acuerdo en qué piso me tomaron la declaración, antes de ingresar a una oficina muy chiquita </w:t>
      </w:r>
      <w:r>
        <w:rPr>
          <w:b/>
        </w:rPr>
        <w:t>ahí sí me s</w:t>
      </w:r>
      <w:r>
        <w:rPr>
          <w:b/>
        </w:rPr>
        <w:t>a</w:t>
      </w:r>
      <w:r>
        <w:rPr>
          <w:b/>
        </w:rPr>
        <w:t>can las esposas, previamente antes me habían sacado cord</w:t>
      </w:r>
      <w:r>
        <w:rPr>
          <w:b/>
        </w:rPr>
        <w:t>o</w:t>
      </w:r>
      <w:r>
        <w:rPr>
          <w:b/>
        </w:rPr>
        <w:t>nes y aritos,</w:t>
      </w:r>
      <w:r>
        <w:t xml:space="preserve"> todo este tipo de cosa que yo entendía por qué, y lo que me decían era lo que pasa que te podes aho</w:t>
      </w:r>
      <w:r>
        <w:t>r</w:t>
      </w:r>
      <w:r>
        <w:t>car...”.</w:t>
      </w:r>
    </w:p>
    <w:p w:rsidR="00224567" w:rsidRDefault="00224567">
      <w:pPr>
        <w:widowControl w:val="0"/>
        <w:tabs>
          <w:tab w:val="center" w:pos="0"/>
          <w:tab w:val="left" w:pos="2835"/>
        </w:tabs>
        <w:ind w:firstLine="2880"/>
      </w:pPr>
      <w:r>
        <w:t>Las escenas relatados por la testigo recuerdan a las vividamente relatadas por  Alexander  Solzhenitsyn en su libro “El Archipiélago de Gulag”, cit</w:t>
      </w:r>
      <w:r>
        <w:t>a</w:t>
      </w:r>
      <w:r>
        <w:t>do de modo magistral por el fiscal general Ernesto Eduardo Rizzi en ocasión de formular su alegato en la causa nº 330 “Diamante, Daniel G. Y otros”, que tramitara por ante el Tr</w:t>
      </w:r>
      <w:r>
        <w:t>i</w:t>
      </w:r>
      <w:r>
        <w:t>bunal Oral en lo Criminal Federal nº 5 de esta ciudad.</w:t>
      </w:r>
    </w:p>
    <w:p w:rsidR="00224567" w:rsidRDefault="00224567">
      <w:pPr>
        <w:widowControl w:val="0"/>
        <w:tabs>
          <w:tab w:val="center" w:pos="0"/>
          <w:tab w:val="left" w:pos="2835"/>
        </w:tabs>
        <w:ind w:firstLine="2880"/>
      </w:pPr>
      <w:r>
        <w:t>La elocuencia de los relatos de Álv</w:t>
      </w:r>
      <w:r>
        <w:t>a</w:t>
      </w:r>
      <w:r>
        <w:t>rez Matus y Cardeal, de modo especial ésta última en cua</w:t>
      </w:r>
      <w:r>
        <w:t>n</w:t>
      </w:r>
      <w:r>
        <w:t>to relata, con total sentido común, la vejación que s</w:t>
      </w:r>
      <w:r>
        <w:t>u</w:t>
      </w:r>
      <w:r>
        <w:t>frió, ponen en evidencia, nuevamente, el empleo abusivo, voluntarista, por parte del juez federal de las herramie</w:t>
      </w:r>
      <w:r>
        <w:t>n</w:t>
      </w:r>
      <w:r>
        <w:t>tas que la ley establece para investigar del</w:t>
      </w:r>
      <w:r>
        <w:t>i</w:t>
      </w:r>
      <w:r>
        <w:t>tos.</w:t>
      </w:r>
    </w:p>
    <w:p w:rsidR="00224567" w:rsidRDefault="00224567">
      <w:pPr>
        <w:widowControl w:val="0"/>
        <w:tabs>
          <w:tab w:val="center" w:pos="0"/>
          <w:tab w:val="left" w:pos="2835"/>
        </w:tabs>
        <w:ind w:firstLine="2880"/>
      </w:pPr>
      <w:r>
        <w:t>Enseña Clariá Olmedo (ob. cit., T. V, pág. 299) que “al igual que todas las formas de d</w:t>
      </w:r>
      <w:r>
        <w:t>e</w:t>
      </w:r>
      <w:r>
        <w:t>tención en general, el arresto debe ser ejecutado de modo que pe</w:t>
      </w:r>
      <w:r>
        <w:t>r</w:t>
      </w:r>
      <w:r>
        <w:t>judique lo menos posible la persona y la reputación de los afectados”. Añade “aquí es donde la autoridad debe tomar mayor cautela para cumplir con e</w:t>
      </w:r>
      <w:r>
        <w:t>s</w:t>
      </w:r>
      <w:r>
        <w:t>ta exigencia legal si se tiene en cuenta que no se dirige contra imputados, o por lo menos contra quienes aún no existe formulada una co</w:t>
      </w:r>
      <w:r>
        <w:t>n</w:t>
      </w:r>
      <w:r>
        <w:t>creta imputación”.</w:t>
      </w:r>
    </w:p>
    <w:p w:rsidR="00224567" w:rsidRDefault="00224567">
      <w:pPr>
        <w:widowControl w:val="0"/>
        <w:tabs>
          <w:tab w:val="center" w:pos="0"/>
          <w:tab w:val="left" w:pos="2835"/>
        </w:tabs>
        <w:ind w:firstLine="2880"/>
      </w:pPr>
      <w:r>
        <w:t>El modo en que procedió el señor juez importó una clara violación a las garantías y normas de trato previstas en el art. 79 del Código Procesal Penal, entre las cuales se encuentran “la protección de la int</w:t>
      </w:r>
      <w:r>
        <w:t>e</w:t>
      </w:r>
      <w:r>
        <w:t>gridad física y moral” del testigo.</w:t>
      </w:r>
    </w:p>
    <w:p w:rsidR="00224567" w:rsidRDefault="00224567">
      <w:pPr>
        <w:widowControl w:val="0"/>
        <w:tabs>
          <w:tab w:val="center" w:pos="0"/>
          <w:tab w:val="left" w:pos="2835"/>
        </w:tabs>
        <w:ind w:firstLine="2880"/>
      </w:pPr>
      <w:r>
        <w:t>En efecto, el art. 281 del código de forma, norma en la que el juez fundó el vejatorio tra</w:t>
      </w:r>
      <w:r>
        <w:t>s</w:t>
      </w:r>
      <w:r>
        <w:t xml:space="preserve">lado de los testigos, autoriza el arresto “cuando en el primer momento de la investigación de un hecho en el que hubiese participado varias personas no sea posible individualizar a los responsables y a los testigos, y no pueda dejarse de proceder sin peligro para la instrucción, el juez podrá disponer que los presentes no se alejen del lugar ni se comuniquen entre sí antes de prestar declaración y, </w:t>
      </w:r>
      <w:r>
        <w:rPr>
          <w:b/>
        </w:rPr>
        <w:t>aun ordenar el arresto si fuere indispensable</w:t>
      </w:r>
      <w:r>
        <w:t>”.</w:t>
      </w:r>
    </w:p>
    <w:p w:rsidR="00224567" w:rsidRDefault="00224567">
      <w:pPr>
        <w:widowControl w:val="0"/>
        <w:tabs>
          <w:tab w:val="center" w:pos="0"/>
          <w:tab w:val="left" w:pos="2835"/>
        </w:tabs>
        <w:ind w:firstLine="2880"/>
      </w:pPr>
      <w:r>
        <w:t>Frente al cuadro de excepcionalidad fáctica que estable la norma, cabe recordar que a la época</w:t>
      </w:r>
      <w:r>
        <w:rPr>
          <w:b/>
        </w:rPr>
        <w:t xml:space="preserve"> </w:t>
      </w:r>
      <w:r>
        <w:t>del arresto de Álvarez Matus y Cardeal</w:t>
      </w:r>
      <w:r>
        <w:rPr>
          <w:b/>
        </w:rPr>
        <w:t xml:space="preserve">, </w:t>
      </w:r>
      <w:r>
        <w:t>había</w:t>
      </w:r>
      <w:r>
        <w:rPr>
          <w:b/>
        </w:rPr>
        <w:t xml:space="preserve"> </w:t>
      </w:r>
      <w:r>
        <w:t>transcurrido más de un año desde que la cámara de apelaciones confirm</w:t>
      </w:r>
      <w:r>
        <w:t>a</w:t>
      </w:r>
      <w:r>
        <w:t>ra el procesamiento de prisión preventiva de Juan José R</w:t>
      </w:r>
      <w:r>
        <w:t>i</w:t>
      </w:r>
      <w:r>
        <w:t>belli y los demás caucionados (fs. 41.026/41.036vta.).</w:t>
      </w:r>
    </w:p>
    <w:p w:rsidR="00224567" w:rsidRDefault="00224567">
      <w:pPr>
        <w:widowControl w:val="0"/>
        <w:tabs>
          <w:tab w:val="center" w:pos="0"/>
          <w:tab w:val="left" w:pos="2835"/>
        </w:tabs>
        <w:ind w:firstLine="2880"/>
      </w:pPr>
      <w:r>
        <w:t>Vale recordar que la conversación que motivara el arresto de Cardeal y Álvarez Matus data del 21 de agosto de 1997.</w:t>
      </w:r>
    </w:p>
    <w:p w:rsidR="00224567" w:rsidRDefault="00224567">
      <w:pPr>
        <w:widowControl w:val="0"/>
        <w:tabs>
          <w:tab w:val="center" w:pos="0"/>
          <w:tab w:val="left" w:pos="2835"/>
        </w:tabs>
        <w:ind w:firstLine="2880"/>
        <w:rPr>
          <w:lang w:val="en-US"/>
        </w:rPr>
      </w:pPr>
      <w:r>
        <w:t>Parece claro, entonces, que no conc</w:t>
      </w:r>
      <w:r>
        <w:t>u</w:t>
      </w:r>
      <w:r>
        <w:t>rrió en la especie el requisito objetivo que requiere la norma invocada por el juez, dado que no se trataba del primer momento de la investigación; de un hecho en el que hubieran participado varias personas, ni urgencia en ind</w:t>
      </w:r>
      <w:r>
        <w:t>i</w:t>
      </w:r>
      <w:r>
        <w:t>vidualizar a los responsables (cfr. Vélez Mariconde, “D</w:t>
      </w:r>
      <w:r>
        <w:t>e</w:t>
      </w:r>
      <w:r>
        <w:t xml:space="preserve">recho Procesal Penal”, ed. Lerner, Córdoba, T. II, pág. 493, ed Lerner, Córdoba, 1982; Clariá Olmedo, ob. cit., T. V, pág. 274; Creus, “Derecho Procesal Penal”, pág. 295, ed. </w:t>
      </w:r>
      <w:r>
        <w:rPr>
          <w:lang w:val="en-US"/>
        </w:rPr>
        <w:t>Astrea, Bs. As. 1996).</w:t>
      </w:r>
    </w:p>
    <w:p w:rsidR="00224567" w:rsidRDefault="00224567">
      <w:pPr>
        <w:widowControl w:val="0"/>
        <w:tabs>
          <w:tab w:val="center" w:pos="0"/>
          <w:tab w:val="left" w:pos="2835"/>
        </w:tabs>
        <w:ind w:firstLine="2880"/>
      </w:pPr>
      <w:r>
        <w:t xml:space="preserve">El arresto, sostiene el primero de los autores citados, “se trata de una </w:t>
      </w:r>
      <w:r>
        <w:rPr>
          <w:i/>
        </w:rPr>
        <w:t>medida inicial</w:t>
      </w:r>
      <w:r>
        <w:t xml:space="preserve"> que </w:t>
      </w:r>
      <w:r>
        <w:rPr>
          <w:i/>
        </w:rPr>
        <w:t xml:space="preserve">no se dirige contra una persona, </w:t>
      </w:r>
      <w:r>
        <w:t>por no existir indicios de cu</w:t>
      </w:r>
      <w:r>
        <w:t>l</w:t>
      </w:r>
      <w:r>
        <w:t xml:space="preserve">pabilidad, </w:t>
      </w:r>
      <w:r>
        <w:rPr>
          <w:i/>
        </w:rPr>
        <w:t>sino contra varias</w:t>
      </w:r>
      <w:r>
        <w:t>, entre las que probablemente se encuentre el autor del delito, debido que se reposa s</w:t>
      </w:r>
      <w:r>
        <w:t>o</w:t>
      </w:r>
      <w:r>
        <w:t>bre una base deficiente de información” (ob. cit, T.II, pág. 493/2).</w:t>
      </w:r>
    </w:p>
    <w:p w:rsidR="00224567" w:rsidRDefault="00224567">
      <w:pPr>
        <w:widowControl w:val="0"/>
        <w:tabs>
          <w:tab w:val="center" w:pos="0"/>
          <w:tab w:val="left" w:pos="2835"/>
        </w:tabs>
        <w:ind w:firstLine="2880"/>
      </w:pPr>
      <w:r>
        <w:t>El arresto adquiere carácter subsidi</w:t>
      </w:r>
      <w:r>
        <w:t>a</w:t>
      </w:r>
      <w:r>
        <w:t>rio cuando no se ordena inicialmente, sino al momento en que es desobedecido el mandato de incomunicación o de que no se alejen del lugar. Se trata de una medida supletoria tendiente a evitar que se perturbe el comienzo de una i</w:t>
      </w:r>
      <w:r>
        <w:t>n</w:t>
      </w:r>
      <w:r>
        <w:t>vestigación (cfr. Clariá Olmedo, T. V, pág. 272; Raúl T</w:t>
      </w:r>
      <w:r>
        <w:t>o</w:t>
      </w:r>
      <w:r>
        <w:t xml:space="preserve">rres Bas, “Código Procesal Penal de </w:t>
      </w:r>
      <w:smartTag w:uri="urn:schemas-microsoft-com:office:smarttags" w:element="PersonName">
        <w:smartTagPr>
          <w:attr w:name="ProductID" w:val="la Naci￳n"/>
        </w:smartTagPr>
        <w:r>
          <w:t>la Nación</w:t>
        </w:r>
      </w:smartTag>
      <w:r>
        <w:t>”, T. II, pág. 277; ed. Lerner, Córdoba, 1996).</w:t>
      </w:r>
    </w:p>
    <w:p w:rsidR="00224567" w:rsidRDefault="00224567">
      <w:pPr>
        <w:widowControl w:val="0"/>
        <w:tabs>
          <w:tab w:val="center" w:pos="0"/>
          <w:tab w:val="left" w:pos="2835"/>
        </w:tabs>
        <w:ind w:firstLine="2880"/>
      </w:pPr>
      <w:r>
        <w:t>Tampoco se compadece con la calidad de testigos de Álvarez Matus y Cardeal la lectura de los d</w:t>
      </w:r>
      <w:r>
        <w:t>e</w:t>
      </w:r>
      <w:r>
        <w:t>rechos del imputado que se les efectuara (fs.43.470 y fs. 43.475, en el mismo orden) pues, desde el momento en que se dispuso el arresto el 28 de oct</w:t>
      </w:r>
      <w:r>
        <w:t>u</w:t>
      </w:r>
      <w:r>
        <w:t>bre (fs. 43.442) hasta el día siguiente, en que el juez dispuso que prestaran d</w:t>
      </w:r>
      <w:r>
        <w:t>e</w:t>
      </w:r>
      <w:r>
        <w:t>claración testimonial (fs. 43.461), no se agregó al proc</w:t>
      </w:r>
      <w:r>
        <w:t>e</w:t>
      </w:r>
      <w:r>
        <w:t>so ninguna constancia que hiciera pensar que aquél varió su criterio.</w:t>
      </w:r>
    </w:p>
    <w:p w:rsidR="00224567" w:rsidRDefault="00224567">
      <w:pPr>
        <w:widowControl w:val="0"/>
        <w:tabs>
          <w:tab w:val="center" w:pos="0"/>
          <w:tab w:val="left" w:pos="2835"/>
        </w:tabs>
        <w:ind w:firstLine="2880"/>
      </w:pPr>
      <w:r>
        <w:t>Desde un principio se sabía que los nombrados prestarían declaración testimonial y se empleo para ello un procedimiento por demás abusivo.</w:t>
      </w:r>
    </w:p>
    <w:p w:rsidR="00224567" w:rsidRDefault="00224567">
      <w:pPr>
        <w:widowControl w:val="0"/>
        <w:tabs>
          <w:tab w:val="center" w:pos="0"/>
          <w:tab w:val="left" w:pos="2835"/>
        </w:tabs>
        <w:ind w:firstLine="2880"/>
      </w:pPr>
      <w:r>
        <w:t>Reafirma lo expuesto el tiempo que permanecieron privados de su libertad Alvarez y Cardeal, que excedió de las primeras ocho horas previstas en el art. 281 del código procesal para recibir las declaraci</w:t>
      </w:r>
      <w:r>
        <w:t>o</w:t>
      </w:r>
      <w:r>
        <w:t>nes en los casos que sí quedan abarcados por la norma.</w:t>
      </w:r>
    </w:p>
    <w:p w:rsidR="00224567" w:rsidRDefault="00224567">
      <w:pPr>
        <w:widowControl w:val="0"/>
        <w:tabs>
          <w:tab w:val="center" w:pos="0"/>
          <w:tab w:val="left" w:pos="2835"/>
        </w:tabs>
        <w:ind w:firstLine="2880"/>
      </w:pPr>
      <w:r>
        <w:t>Queda claro, entonces, que el magi</w:t>
      </w:r>
      <w:r>
        <w:t>s</w:t>
      </w:r>
      <w:r>
        <w:t>trado instructor aplicó de modo inadecuado, con total a</w:t>
      </w:r>
      <w:r>
        <w:t>r</w:t>
      </w:r>
      <w:r>
        <w:t>bitrariedad, el instituto de marras. A ello se suma la i</w:t>
      </w:r>
      <w:r>
        <w:t>n</w:t>
      </w:r>
      <w:r>
        <w:t>timidación deslizada, según surge del relato de Sandra Cardeal, previo a su declaración testimonial, por el com</w:t>
      </w:r>
      <w:r>
        <w:t>i</w:t>
      </w:r>
      <w:r>
        <w:t>sario Palacios, por entonces a cargo de la jefatura del Departamento Unidad de Investigación Ant</w:t>
      </w:r>
      <w:r>
        <w:t>i</w:t>
      </w:r>
      <w:r>
        <w:t>terrorista.</w:t>
      </w:r>
    </w:p>
    <w:p w:rsidR="00224567" w:rsidRDefault="00224567">
      <w:pPr>
        <w:widowControl w:val="0"/>
        <w:tabs>
          <w:tab w:val="center" w:pos="0"/>
          <w:tab w:val="left" w:pos="2835"/>
        </w:tabs>
        <w:ind w:firstLine="2880"/>
      </w:pPr>
      <w:r>
        <w:rPr>
          <w:b/>
          <w:bCs/>
        </w:rPr>
        <w:t xml:space="preserve">U.2) </w:t>
      </w:r>
      <w:r>
        <w:t>En situación similar a Cardeal y Alvarez se encuentran el subcomisario José Aurelio Ferr</w:t>
      </w:r>
      <w:r>
        <w:t>a</w:t>
      </w:r>
      <w:r>
        <w:t>ri, los sargentos Argentino Gabriel Lasala, Edua</w:t>
      </w:r>
      <w:r>
        <w:t>r</w:t>
      </w:r>
      <w:r>
        <w:t>do Diego Toledo y Manuel Enrique García; los cabos Marcelo Darío Casas y Walter Alejandro Castro, a quienes los fiscales Mullen y Barbaccia, el 11 de julio de 1996 (fs. 38.718), solicitaron se les reciba declaración testimonial.</w:t>
      </w:r>
    </w:p>
    <w:p w:rsidR="00224567" w:rsidRDefault="00224567">
      <w:pPr>
        <w:widowControl w:val="0"/>
        <w:tabs>
          <w:tab w:val="center" w:pos="0"/>
          <w:tab w:val="left" w:pos="2835"/>
        </w:tabs>
        <w:ind w:firstLine="2880"/>
      </w:pPr>
      <w:r>
        <w:t>Al día siguiente, el Señor juez fed</w:t>
      </w:r>
      <w:r>
        <w:t>e</w:t>
      </w:r>
      <w:r>
        <w:t>ral ordenó arrestar e incomunicar a las personas cuyo te</w:t>
      </w:r>
      <w:r>
        <w:t>s</w:t>
      </w:r>
      <w:r>
        <w:t>timonio se solicitaba, en los términos del art. 281 del Código Procesal Penal (fs. 38.720/38.722), en tanto que a fs. 38.781 prorrogó esa medida debido a que entendió co</w:t>
      </w:r>
      <w:r>
        <w:t>n</w:t>
      </w:r>
      <w:r>
        <w:t>veniente concluir con las declaraciones indagatorias di</w:t>
      </w:r>
      <w:r>
        <w:t>s</w:t>
      </w:r>
      <w:r>
        <w:t>puestas y el análisis de la documentación secuestrada, “para determinar si los arrestados tienen responsabilidad en los hechos o son testigos de los mismos, tal como pre</w:t>
      </w:r>
      <w:r>
        <w:t>s</w:t>
      </w:r>
      <w:r>
        <w:t>cr</w:t>
      </w:r>
      <w:r>
        <w:t>i</w:t>
      </w:r>
      <w:r>
        <w:t>be el art. 281 del C.P.P.”.</w:t>
      </w:r>
    </w:p>
    <w:p w:rsidR="00224567" w:rsidRDefault="00224567">
      <w:pPr>
        <w:widowControl w:val="0"/>
        <w:tabs>
          <w:tab w:val="center" w:pos="0"/>
          <w:tab w:val="left" w:pos="2835"/>
        </w:tabs>
        <w:ind w:firstLine="2880"/>
      </w:pPr>
      <w:r>
        <w:t>Todos los principios antes enumer</w:t>
      </w:r>
      <w:r>
        <w:t>a</w:t>
      </w:r>
      <w:r>
        <w:t>dos, son también aplicables respecto de los policías nombrados en este apartado. Sólo cabe agregar que durante la ejec</w:t>
      </w:r>
      <w:r>
        <w:t>u</w:t>
      </w:r>
      <w:r>
        <w:t>ción del arresto el alcance de la incomunicación no es igual que para el caso de los detenidos. Sostiene Clariá Olmedo que “simplemente puede ordenarse que los arrestados no se comuniquen entre ellos o con terceros en cuanto se pretenda entorpecer el procedimiento”, dado “que no se trata de personas imputadas por el hecho que se investiga, aunque pueda recaer sospecha sobre algunos de los afect</w:t>
      </w:r>
      <w:r>
        <w:t>a</w:t>
      </w:r>
      <w:r>
        <w:t>dos” (ob. cit., T. V, pág. 280).</w:t>
      </w:r>
    </w:p>
    <w:p w:rsidR="00224567" w:rsidRDefault="00224567">
      <w:pPr>
        <w:widowControl w:val="0"/>
        <w:tabs>
          <w:tab w:val="center" w:pos="0"/>
          <w:tab w:val="left" w:pos="2835"/>
        </w:tabs>
        <w:ind w:firstLine="2880"/>
      </w:pPr>
      <w:r>
        <w:t>Fue sumamente expresivo el sargento ayudante Manuel Enrique García, al declarar antes estos estrados, cuando expuso acerca del trato y presiones que recibió en oportunidad de comparecer detenido al juzgado instructor. Fue por demás gráfico en varios tramos de su testimonio al referirse a la “</w:t>
      </w:r>
      <w:r>
        <w:rPr>
          <w:b/>
        </w:rPr>
        <w:t>calaboceada que se había c</w:t>
      </w:r>
      <w:r>
        <w:rPr>
          <w:b/>
        </w:rPr>
        <w:t>o</w:t>
      </w:r>
      <w:r>
        <w:rPr>
          <w:b/>
        </w:rPr>
        <w:t>mido</w:t>
      </w:r>
      <w:r>
        <w:t>” (sic).</w:t>
      </w:r>
    </w:p>
    <w:p w:rsidR="00224567" w:rsidRDefault="00224567">
      <w:pPr>
        <w:widowControl w:val="0"/>
        <w:tabs>
          <w:tab w:val="center" w:pos="0"/>
          <w:tab w:val="left" w:pos="2835"/>
        </w:tabs>
        <w:ind w:firstLine="2880"/>
      </w:pPr>
      <w:r>
        <w:t>Acerca del momento en que una e</w:t>
      </w:r>
      <w:r>
        <w:t>m</w:t>
      </w:r>
      <w:r>
        <w:t>pleada del juzgado lo interrogaba sobre el uso de un teléfono c</w:t>
      </w:r>
      <w:r>
        <w:t>e</w:t>
      </w:r>
      <w:r>
        <w:t>lular, extremo que negaba, textualmente indicó: “me dice García déjese de pelotudeces porque acá está su libertad, entonces lo que yo estaba un poco era la primera vez en mi vida y en mi carrera policial que me comía una calaboceada como la que me comí, encima estaba mal, no me había bañado casi por cuarenta y ocho horas, y una chica, que podía ser me hija, me utilizó ese término, que yo me acuerdo que me enojé...”.</w:t>
      </w:r>
    </w:p>
    <w:p w:rsidR="00224567" w:rsidRDefault="00224567">
      <w:pPr>
        <w:widowControl w:val="0"/>
        <w:tabs>
          <w:tab w:val="center" w:pos="0"/>
          <w:tab w:val="left" w:pos="2835"/>
        </w:tabs>
        <w:ind w:firstLine="2880"/>
      </w:pPr>
      <w:r>
        <w:t>Le pareció extraño, sostuvo, que en todo momento le querían hacer decir que tenía más que una relación laboral con el oficial Leal, que eran amigos o algo así. Añadió que el Dr. Galeano le dijo que trabajaba para una mafia, agregando: “o sea desde mi punto de vista lo que querían hacerme decir, como que..., el comisario Ribelli era una especie de capo mafia, que nos tenía a n</w:t>
      </w:r>
      <w:r>
        <w:t>o</w:t>
      </w:r>
      <w:r>
        <w:t>sotros como utilizándonos, esas cosas..., me hacía ver nuevamente el tema del t</w:t>
      </w:r>
      <w:r>
        <w:t>e</w:t>
      </w:r>
      <w:r>
        <w:t>léfono y cuántos otras cosas que ustedes ni deben saber y fíjense él como se mueve, como se viste, como se maneja y ustedes estos y ustedes lo otro...”.</w:t>
      </w:r>
    </w:p>
    <w:p w:rsidR="00224567" w:rsidRDefault="00224567">
      <w:pPr>
        <w:widowControl w:val="0"/>
        <w:tabs>
          <w:tab w:val="center" w:pos="0"/>
          <w:tab w:val="left" w:pos="2835"/>
        </w:tabs>
        <w:ind w:firstLine="2880"/>
      </w:pPr>
      <w:r>
        <w:t>Recordó García en la audiencia que le preguntó al juez Galeano por qué motivo, si tenía un co</w:t>
      </w:r>
      <w:r>
        <w:t>m</w:t>
      </w:r>
      <w:r>
        <w:t>parendo compulsivo, le “había pegado semejante calaboce</w:t>
      </w:r>
      <w:r>
        <w:t>a</w:t>
      </w:r>
      <w:r>
        <w:t>da” (sic), contestándole el juez: “que lo autorizaba la ley, por cuanto la cosa era nueva, para preservar al te</w:t>
      </w:r>
      <w:r>
        <w:t>s</w:t>
      </w:r>
      <w:r>
        <w:t>tigo”, agregando García: “o sea yo venía como un testigo y estuve en un calabozo, entonces eso es lo que le recriminé al juez, y le digo, pero doctor, usted me está hablando cuando la causa es nueva le digo, esto lleva dos años de investigación y yo en la causa investigué, yo le digo, c</w:t>
      </w:r>
      <w:r>
        <w:t>ó</w:t>
      </w:r>
      <w:r>
        <w:t>mo me pega semejante calaboceada”.</w:t>
      </w:r>
    </w:p>
    <w:p w:rsidR="00224567" w:rsidRDefault="00224567">
      <w:pPr>
        <w:widowControl w:val="0"/>
        <w:tabs>
          <w:tab w:val="center" w:pos="0"/>
          <w:tab w:val="left" w:pos="2835"/>
        </w:tabs>
        <w:ind w:firstLine="2880"/>
      </w:pPr>
      <w:r>
        <w:t>En el mismo sentido, Walter Alejando Castro refirió, en la audiencia de debate del 17 de se</w:t>
      </w:r>
      <w:r>
        <w:t>p</w:t>
      </w:r>
      <w:r>
        <w:t xml:space="preserve">tiembre de 2002, que se presentó a su lugar de trabajo, donde le informaron que sería conducido a </w:t>
      </w:r>
      <w:smartTag w:uri="urn:schemas-microsoft-com:office:smarttags" w:element="PersonName">
        <w:smartTagPr>
          <w:attr w:name="ProductID" w:val="La Plata"/>
        </w:smartTagPr>
        <w:r>
          <w:t>La Plata</w:t>
        </w:r>
      </w:smartTag>
      <w:r>
        <w:t xml:space="preserve"> a fin de ser notificado de un exhorto. Una vez allí, sostuvo, le retuvieron su arma, las credenciales, añadiendo: “me not</w:t>
      </w:r>
      <w:r>
        <w:t>i</w:t>
      </w:r>
      <w:r>
        <w:t>ficaron que iba a comparecer acá y bueno ahí vine para e</w:t>
      </w:r>
      <w:r>
        <w:t>s</w:t>
      </w:r>
      <w:r>
        <w:t>te tribunal, teóricamente en calidad de testigo. Digo te</w:t>
      </w:r>
      <w:r>
        <w:t>ó</w:t>
      </w:r>
      <w:r>
        <w:t>ricamente porque en ese entonces me ficharon, me tuvieron esposado a la espalda en un calabozo, o sea sufrí un mal trato físico y síquico. Sí porque en el momento de mi d</w:t>
      </w:r>
      <w:r>
        <w:t>e</w:t>
      </w:r>
      <w:r>
        <w:t>claración, constantemente, se me prometieron quince, vei</w:t>
      </w:r>
      <w:r>
        <w:t>n</w:t>
      </w:r>
      <w:r>
        <w:t>te años de prisión si no decía algo que se ajustaba a la verdad, por eso no lo declaré en su momento...” (sic).</w:t>
      </w:r>
    </w:p>
    <w:p w:rsidR="00224567" w:rsidRDefault="00224567">
      <w:pPr>
        <w:widowControl w:val="0"/>
        <w:tabs>
          <w:tab w:val="center" w:pos="0"/>
          <w:tab w:val="left" w:pos="2835"/>
        </w:tabs>
        <w:ind w:firstLine="2880"/>
      </w:pPr>
      <w:r>
        <w:t>Agregó, que sobre el final de su d</w:t>
      </w:r>
      <w:r>
        <w:t>e</w:t>
      </w:r>
      <w:r>
        <w:t>claración, el juez Galeano se sentó delante suyo, espetá</w:t>
      </w:r>
      <w:r>
        <w:t>n</w:t>
      </w:r>
      <w:r>
        <w:t>dome que “yo estaba protegiendo una banda de deli</w:t>
      </w:r>
      <w:r>
        <w:t>n</w:t>
      </w:r>
      <w:r>
        <w:t>cuentes, que no entendía porque lo hacía y que me iba a mandar quince años a la cárcel. Que él hacía lo que quería, que la cámara hacía lo que él quería y que él estaba golpeá</w:t>
      </w:r>
      <w:r>
        <w:t>n</w:t>
      </w:r>
      <w:r>
        <w:t>dolos para dormirnos, que él no cachete</w:t>
      </w:r>
      <w:r>
        <w:t>a</w:t>
      </w:r>
      <w:r>
        <w:t>ba a la gente, que el no estaba perdiendo el tiempo...” (sic).</w:t>
      </w:r>
    </w:p>
    <w:p w:rsidR="00224567" w:rsidRDefault="00224567">
      <w:pPr>
        <w:widowControl w:val="0"/>
        <w:tabs>
          <w:tab w:val="center" w:pos="0"/>
          <w:tab w:val="left" w:pos="2835"/>
        </w:tabs>
        <w:ind w:firstLine="2880"/>
      </w:pPr>
      <w:r>
        <w:t>Prosiguió diciendo, que “...era todo muy así, todo muy o decí esto o te mando a la cárcel o d</w:t>
      </w:r>
      <w:r>
        <w:t>e</w:t>
      </w:r>
      <w:r>
        <w:t>cí esto y te mando a la cárcel. Y bueno, en definitiva después del peloteo ése me llevaron nuevamente al calab</w:t>
      </w:r>
      <w:r>
        <w:t>o</w:t>
      </w:r>
      <w:r>
        <w:t>zo, aquí mismo en la alcaidía, esposado, obviamente al e</w:t>
      </w:r>
      <w:r>
        <w:t>s</w:t>
      </w:r>
      <w:r>
        <w:t>palda, y me tuvieron ahí no se hasta, serían como las ocho de la noche que me dieron la libertad. Eso consta porque inclusive tuve que venir al otro día a buscar mis pert</w:t>
      </w:r>
      <w:r>
        <w:t>e</w:t>
      </w:r>
      <w:r>
        <w:t>nencias, porque me sacaron las pertenencias, o sea el tr</w:t>
      </w:r>
      <w:r>
        <w:t>a</w:t>
      </w:r>
      <w:r>
        <w:t>to digno de cualquier preso...” (sic).</w:t>
      </w:r>
    </w:p>
    <w:p w:rsidR="00224567" w:rsidRDefault="00224567">
      <w:pPr>
        <w:widowControl w:val="0"/>
        <w:tabs>
          <w:tab w:val="center" w:pos="0"/>
          <w:tab w:val="left" w:pos="2835"/>
        </w:tabs>
        <w:ind w:firstLine="2880"/>
      </w:pPr>
      <w:r>
        <w:t>Recordó, que durante el desarrollo de su declaración testimonial en el juzgado instructor, le hicieron referencia a hechos sobre los cuales no tenía c</w:t>
      </w:r>
      <w:r>
        <w:t>o</w:t>
      </w:r>
      <w:r>
        <w:t>nocimiento.</w:t>
      </w:r>
    </w:p>
    <w:p w:rsidR="00224567" w:rsidRDefault="00224567">
      <w:pPr>
        <w:widowControl w:val="0"/>
        <w:tabs>
          <w:tab w:val="center" w:pos="0"/>
          <w:tab w:val="left" w:pos="2835"/>
        </w:tabs>
        <w:ind w:firstLine="2880"/>
      </w:pPr>
      <w:r>
        <w:t>Por último, al ser preguntado sobre si en ese momento sintió miedo, dijo que “lo que pensé es que este señor tenía el poder de si el quería mandarme a la cárcel” (sic).</w:t>
      </w:r>
    </w:p>
    <w:p w:rsidR="00224567" w:rsidRDefault="00224567">
      <w:pPr>
        <w:widowControl w:val="0"/>
        <w:tabs>
          <w:tab w:val="center" w:pos="0"/>
          <w:tab w:val="left" w:pos="2835"/>
        </w:tabs>
        <w:ind w:firstLine="2880"/>
      </w:pPr>
      <w:r>
        <w:t>Se desprende de lo expuesto el modo en que se trataron de guiar las respuestas de los testigos García y Castro, tras sometérselos, también, a un trato vejatorio.</w:t>
      </w:r>
    </w:p>
    <w:p w:rsidR="00224567" w:rsidRDefault="00224567">
      <w:pPr>
        <w:widowControl w:val="0"/>
        <w:tabs>
          <w:tab w:val="center" w:pos="0"/>
          <w:tab w:val="left" w:pos="2835"/>
        </w:tabs>
        <w:ind w:firstLine="2880"/>
      </w:pPr>
      <w:r>
        <w:t>Similar es la situación del sargento Argentino Gabriel Lasala, respecto de quien el señor fi</w:t>
      </w:r>
      <w:r>
        <w:t>s</w:t>
      </w:r>
      <w:r>
        <w:t>cal general, en la oportunidad prevista en el art. 393 del Código Procesal, solicitó su absolución.</w:t>
      </w:r>
    </w:p>
    <w:p w:rsidR="00224567" w:rsidRDefault="00224567">
      <w:pPr>
        <w:widowControl w:val="0"/>
        <w:tabs>
          <w:tab w:val="left" w:pos="2835"/>
        </w:tabs>
        <w:ind w:firstLine="2880"/>
      </w:pPr>
      <w:r>
        <w:t>Lasala prestó testimonio, el 26 de j</w:t>
      </w:r>
      <w:r>
        <w:t>u</w:t>
      </w:r>
      <w:r>
        <w:t xml:space="preserve">lio de 1995,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Bonaerense"/>
        </w:smartTagPr>
        <w:r>
          <w:t>la Policía B</w:t>
        </w:r>
        <w:r>
          <w:t>o</w:t>
        </w:r>
        <w:r>
          <w:t>naerense</w:t>
        </w:r>
      </w:smartTag>
      <w:r>
        <w:t>, ante el comisario mayor José C. Bretschneider (fs. 37.196/97vta.). En la oportunidad se pronunció sobre la vigilancia realizada sobre el dom</w:t>
      </w:r>
      <w:r>
        <w:t>i</w:t>
      </w:r>
      <w:r>
        <w:t>cilio de Telleldín en julio de 1994, la fuga de éste y la detención de Hugo P</w:t>
      </w:r>
      <w:r>
        <w:t>é</w:t>
      </w:r>
      <w:r>
        <w:t>rez.</w:t>
      </w:r>
    </w:p>
    <w:p w:rsidR="00224567" w:rsidRDefault="00224567">
      <w:pPr>
        <w:widowControl w:val="0"/>
        <w:tabs>
          <w:tab w:val="left" w:pos="2835"/>
        </w:tabs>
        <w:ind w:firstLine="2880"/>
      </w:pPr>
      <w:r>
        <w:t>Es decir, Lasala, sin que mediara ni</w:t>
      </w:r>
      <w:r>
        <w:t>n</w:t>
      </w:r>
      <w:r>
        <w:t>guna advertencia por parte del oficial instructor del s</w:t>
      </w:r>
      <w:r>
        <w:t>u</w:t>
      </w:r>
      <w:r>
        <w:t>mario, expuso de manera abierta su intervención sobre aquellos hechos, al igual que lo había hecho el sargento Manuel Enrique García.</w:t>
      </w:r>
    </w:p>
    <w:p w:rsidR="00224567" w:rsidRDefault="00224567">
      <w:pPr>
        <w:widowControl w:val="0"/>
        <w:tabs>
          <w:tab w:val="left" w:pos="2835"/>
        </w:tabs>
        <w:ind w:firstLine="2880"/>
      </w:pPr>
      <w:r>
        <w:t>Queda claro entonces que cuando L</w:t>
      </w:r>
      <w:r>
        <w:t>a</w:t>
      </w:r>
      <w:r>
        <w:t>sala prestó testimonio ante el juez federal Galeano (fs. 38.876/38.883), en relación a los hechos por los que ya había sido interrogado, el juez ya investigaba, precis</w:t>
      </w:r>
      <w:r>
        <w:t>a</w:t>
      </w:r>
      <w:r>
        <w:t xml:space="preserve">mente, por esos delitos a integrantes de </w:t>
      </w:r>
      <w:smartTag w:uri="urn:schemas-microsoft-com:office:smarttags" w:element="PersonName">
        <w:smartTagPr>
          <w:attr w:name="ProductID" w:val="la Brigada"/>
        </w:smartTagPr>
        <w:r>
          <w:t>la Brigada</w:t>
        </w:r>
      </w:smartTag>
      <w:r>
        <w:t xml:space="preserve"> de I</w:t>
      </w:r>
      <w:r>
        <w:t>n</w:t>
      </w:r>
      <w:r>
        <w:t>vestigaciones XVI de Vicente López. Es decir, que jamás debió ser convocado a prestar declaración testimonial por hechos en los que habría intervenido y que el juez cons</w:t>
      </w:r>
      <w:r>
        <w:t>i</w:t>
      </w:r>
      <w:r>
        <w:t>deraba ilícitos.</w:t>
      </w:r>
    </w:p>
    <w:p w:rsidR="00224567" w:rsidRDefault="00224567">
      <w:pPr>
        <w:widowControl w:val="0"/>
        <w:tabs>
          <w:tab w:val="left" w:pos="2835"/>
        </w:tabs>
        <w:ind w:firstLine="2880"/>
      </w:pPr>
      <w:r>
        <w:t>Pero, no sólo se le recibió testim</w:t>
      </w:r>
      <w:r>
        <w:t>o</w:t>
      </w:r>
      <w:r>
        <w:t>nio, sino que, además, fue profusamente interrogado, hasta el detalle. Una vez que el juez agotó el interrogatorio, dispuso: “En este acto y atento las contradi</w:t>
      </w:r>
      <w:r>
        <w:t>c</w:t>
      </w:r>
      <w:r>
        <w:t>ciones en que ha incurrido el compareciente a lo largo de esta declar</w:t>
      </w:r>
      <w:r>
        <w:t>a</w:t>
      </w:r>
      <w:r>
        <w:t>ción, S.Sa. considera que existe el estadio de sospecha previsto en el art. 294 del C.P.P. como para recibirle d</w:t>
      </w:r>
      <w:r>
        <w:t>e</w:t>
      </w:r>
      <w:r>
        <w:t>claración indagatoria al compar</w:t>
      </w:r>
      <w:r>
        <w:t>e</w:t>
      </w:r>
      <w:r>
        <w:t>ciente, quedando detenido e incomunicado...”.</w:t>
      </w:r>
    </w:p>
    <w:p w:rsidR="00224567" w:rsidRDefault="00224567">
      <w:pPr>
        <w:widowControl w:val="0"/>
        <w:tabs>
          <w:tab w:val="left" w:pos="2835"/>
        </w:tabs>
        <w:ind w:firstLine="2880"/>
      </w:pPr>
      <w:r>
        <w:t xml:space="preserve">El irregular manejo no finaliza allí, dado que cuando el juez le hace saber a Lasala el hecho que le imputa, asienta en el acta, “haber participado y prestado colaboración en </w:t>
      </w:r>
      <w:smartTag w:uri="urn:schemas-microsoft-com:office:smarttags" w:element="PersonName">
        <w:smartTagPr>
          <w:attr w:name="ProductID" w:val="la Brigada"/>
        </w:smartTagPr>
        <w:r>
          <w:t>la Brigada</w:t>
        </w:r>
      </w:smartTag>
      <w:r>
        <w:t xml:space="preserve"> de Vicente López, en la que prestaba servicios, en la privación ilegítima de la libertad a personas con el objeto de obtener una suma de dinero o bienes a cambio de la l</w:t>
      </w:r>
      <w:r>
        <w:t>i</w:t>
      </w:r>
      <w:r>
        <w:t>bertad de las mismas, del que debía responder en ese sentido Carlos Alberto Telle</w:t>
      </w:r>
      <w:r>
        <w:t>l</w:t>
      </w:r>
      <w:r>
        <w:t xml:space="preserve">dín. De tal manera detuvo el 15 de julio de </w:t>
      </w:r>
      <w:smartTag w:uri="urn:schemas-microsoft-com:office:smarttags" w:element="metricconverter">
        <w:smartTagPr>
          <w:attr w:name="ProductID" w:val="1994 a"/>
        </w:smartTagPr>
        <w:r>
          <w:t>1994 a</w:t>
        </w:r>
      </w:smartTag>
      <w:r>
        <w:t xml:space="preserve"> Hugo Antonio Pérez habiéndose obtenido en forma concreta el rescate que al menos motivo la libertad del nombrado P</w:t>
      </w:r>
      <w:r>
        <w:t>é</w:t>
      </w:r>
      <w:r>
        <w:t>rez” (fs. 38.883).</w:t>
      </w:r>
    </w:p>
    <w:p w:rsidR="00224567" w:rsidRDefault="00224567">
      <w:pPr>
        <w:widowControl w:val="0"/>
        <w:tabs>
          <w:tab w:val="center" w:pos="0"/>
          <w:tab w:val="left" w:pos="2835"/>
        </w:tabs>
        <w:ind w:firstLine="2880"/>
      </w:pPr>
      <w:r>
        <w:t>Es casi innecesario destacar, por o</w:t>
      </w:r>
      <w:r>
        <w:t>b</w:t>
      </w:r>
      <w:r>
        <w:t>vio, que Lasala fue interrogado bajo juramento, de manera exhaustiva, por los hechos que, en la misma a</w:t>
      </w:r>
      <w:r>
        <w:t>c</w:t>
      </w:r>
      <w:r>
        <w:t>ta, luego se le hace saber que son los que se le imputan y por los cu</w:t>
      </w:r>
      <w:r>
        <w:t>a</w:t>
      </w:r>
      <w:r>
        <w:t>les queda detenido.</w:t>
      </w:r>
    </w:p>
    <w:p w:rsidR="00224567" w:rsidRDefault="00224567">
      <w:pPr>
        <w:widowControl w:val="0"/>
        <w:tabs>
          <w:tab w:val="left" w:pos="2835"/>
        </w:tabs>
        <w:ind w:firstLine="2880"/>
      </w:pPr>
      <w:r>
        <w:rPr>
          <w:b/>
          <w:bCs/>
        </w:rPr>
        <w:t xml:space="preserve">U.3) </w:t>
      </w:r>
      <w:r>
        <w:t>Otra muestra de las numerosas irregularidades que caracterizaron el trámite de las a</w:t>
      </w:r>
      <w:r>
        <w:t>c</w:t>
      </w:r>
      <w:r>
        <w:t>tuaciones, guarda relación con lo sucedido con fam</w:t>
      </w:r>
      <w:r>
        <w:t>i</w:t>
      </w:r>
      <w:r>
        <w:t>liares del imputado Araya.</w:t>
      </w:r>
    </w:p>
    <w:p w:rsidR="00224567" w:rsidRDefault="00224567">
      <w:pPr>
        <w:widowControl w:val="0"/>
        <w:tabs>
          <w:tab w:val="left" w:pos="2835"/>
        </w:tabs>
        <w:ind w:firstLine="2880"/>
      </w:pPr>
      <w:r>
        <w:t xml:space="preserve">Conforme surge del acta obrante a fs. 41.289, el 18 de octubre de 1996, Jaquelina Gisela Araya y Gabriela Alexandra De Leone, hermana y esposa del imputado Claudio Walter Araya, respectivamente, comparecieron ante el juzgado a cargo del Dr. Galeano a efectos de solicitar el traslado del imputado Araya a otro centro de detención, alegando como fundamento “las presiones que siente por parte de Ribelli en </w:t>
      </w:r>
      <w:smartTag w:uri="urn:schemas-microsoft-com:office:smarttags" w:element="PersonName">
        <w:smartTagPr>
          <w:attr w:name="ProductID" w:val="la Unidad"/>
        </w:smartTagPr>
        <w:r>
          <w:t>la Unidad</w:t>
        </w:r>
      </w:smartTag>
      <w:r>
        <w:t xml:space="preserve"> 16 del Servicio Penitenci</w:t>
      </w:r>
      <w:r>
        <w:t>a</w:t>
      </w:r>
      <w:r>
        <w:t>rio Federal”.</w:t>
      </w:r>
    </w:p>
    <w:p w:rsidR="00224567" w:rsidRDefault="00224567">
      <w:pPr>
        <w:widowControl w:val="0"/>
        <w:tabs>
          <w:tab w:val="left" w:pos="2835"/>
        </w:tabs>
        <w:ind w:firstLine="2880"/>
      </w:pPr>
      <w:r>
        <w:t>En dicha oportunidad, afi</w:t>
      </w:r>
      <w:r>
        <w:t>r</w:t>
      </w:r>
      <w:r>
        <w:t>maron haber tomado conocimiento que “el propio Ribelli es el que afronta los gastos de honorarios del Dr. Gustavo Fra</w:t>
      </w:r>
      <w:r>
        <w:t>s</w:t>
      </w:r>
      <w:r>
        <w:t>quet”, advirtiendo que el defensor de Araya “atiende más las cuestiones inherentes a Ribelli”. Por ese motivo, co</w:t>
      </w:r>
      <w:r>
        <w:t>n</w:t>
      </w:r>
      <w:r>
        <w:t>sideraron que tal proceder obedecía a una maniobra de R</w:t>
      </w:r>
      <w:r>
        <w:t>i</w:t>
      </w:r>
      <w:r>
        <w:t>belli “para poder tener controlados a todos los demás d</w:t>
      </w:r>
      <w:r>
        <w:t>e</w:t>
      </w:r>
      <w:r>
        <w:t>tenidos”.</w:t>
      </w:r>
    </w:p>
    <w:p w:rsidR="00224567" w:rsidRDefault="00224567">
      <w:pPr>
        <w:widowControl w:val="0"/>
        <w:tabs>
          <w:tab w:val="left" w:pos="2835"/>
        </w:tabs>
        <w:ind w:firstLine="2880"/>
      </w:pPr>
      <w:r>
        <w:t>Por último, luego de describir las d</w:t>
      </w:r>
      <w:r>
        <w:t>o</w:t>
      </w:r>
      <w:r>
        <w:t xml:space="preserve">lencias físicas y psíquicas padecidas por Claudio Walter Araya, requirieron, para el caso de hacerse lugar a su traslado, que el nombrado no fuese visitado por personal de </w:t>
      </w:r>
      <w:smartTag w:uri="urn:schemas-microsoft-com:office:smarttags" w:element="PersonName">
        <w:smartTagPr>
          <w:attr w:name="ProductID" w:val="la Polic￭a Bonaerense"/>
        </w:smartTagPr>
        <w:r>
          <w:t>la Policía Bonaerense</w:t>
        </w:r>
      </w:smartTag>
      <w:r>
        <w:t>, “ya que Ribelli usa continuame</w:t>
      </w:r>
      <w:r>
        <w:t>n</w:t>
      </w:r>
      <w:r>
        <w:t>te emisarios para transmitir sus ordenes y tener control</w:t>
      </w:r>
      <w:r>
        <w:t>a</w:t>
      </w:r>
      <w:r>
        <w:t>dos a los detenidos”.</w:t>
      </w:r>
    </w:p>
    <w:p w:rsidR="00224567" w:rsidRDefault="00224567">
      <w:pPr>
        <w:widowControl w:val="0"/>
        <w:tabs>
          <w:tab w:val="left" w:pos="2835"/>
        </w:tabs>
        <w:ind w:firstLine="2880"/>
      </w:pPr>
      <w:r>
        <w:t>Sin embargo, al momento de prestar d</w:t>
      </w:r>
      <w:r>
        <w:t>e</w:t>
      </w:r>
      <w:r>
        <w:t>claración testimonial durante el debate, Gisela J</w:t>
      </w:r>
      <w:r>
        <w:t>a</w:t>
      </w:r>
      <w:r>
        <w:t>quelina Araya y Alexandra Gabriela De Leone fueron contestes al relatar que, a raíz de la detención de Claudio Walter Ar</w:t>
      </w:r>
      <w:r>
        <w:t>a</w:t>
      </w:r>
      <w:r>
        <w:t>ya, temían por su integridad física, en virtud de los pr</w:t>
      </w:r>
      <w:r>
        <w:t>o</w:t>
      </w:r>
      <w:r>
        <w:t>blemas de salud que padecía, ya que en la unidad donde se hallaba alojado no le proveían los medicamentos; razón por la cual deseaban que fuera trasladado a otro l</w:t>
      </w:r>
      <w:r>
        <w:t>u</w:t>
      </w:r>
      <w:r>
        <w:t>gar.</w:t>
      </w:r>
    </w:p>
    <w:p w:rsidR="00224567" w:rsidRDefault="00224567">
      <w:pPr>
        <w:widowControl w:val="0"/>
        <w:tabs>
          <w:tab w:val="left" w:pos="2835"/>
        </w:tabs>
        <w:ind w:firstLine="2880"/>
      </w:pPr>
      <w:r>
        <w:t>Por ese motivo, explicaron, un am</w:t>
      </w:r>
      <w:r>
        <w:t>i</w:t>
      </w:r>
      <w:r>
        <w:t>go, de nombre Javier Smurro, las contactó con la abog</w:t>
      </w:r>
      <w:r>
        <w:t>a</w:t>
      </w:r>
      <w:r>
        <w:t>da Marta Parascándolo, con quien conversaron en su estudio juríd</w:t>
      </w:r>
      <w:r>
        <w:t>i</w:t>
      </w:r>
      <w:r>
        <w:t>co, refiriéndoles la letrado que intentaría hablar con personal del juzgado a fin de posibilitar el traslado de Araya, pero éste, a cambio, tendría que c</w:t>
      </w:r>
      <w:r>
        <w:t>o</w:t>
      </w:r>
      <w:r>
        <w:t>laborar de algún modo.</w:t>
      </w:r>
    </w:p>
    <w:p w:rsidR="00224567" w:rsidRDefault="00224567">
      <w:pPr>
        <w:widowControl w:val="0"/>
        <w:tabs>
          <w:tab w:val="left" w:pos="2835"/>
        </w:tabs>
        <w:ind w:firstLine="2880"/>
      </w:pPr>
      <w:r>
        <w:t>Manifestaron que la citada profesi</w:t>
      </w:r>
      <w:r>
        <w:t>o</w:t>
      </w:r>
      <w:r>
        <w:t>nal les pidió que dijeran en el juzgado que “Ribelli control</w:t>
      </w:r>
      <w:r>
        <w:t>a</w:t>
      </w:r>
      <w:r>
        <w:t>ba las cosas”, “manejaba a los detenidos por intermedio de los abogados” y “ejercía cierta presión”, que ello ya lo había mencionado Burguete –a quien la letrada defendía- y serían demostrados. Mencionaron las testigos que descon</w:t>
      </w:r>
      <w:r>
        <w:t>o</w:t>
      </w:r>
      <w:r>
        <w:t>cían toda circunstancia porque Claudio Walter Araya nunca les formuló comentario alg</w:t>
      </w:r>
      <w:r>
        <w:t>u</w:t>
      </w:r>
      <w:r>
        <w:t>no al respecto.</w:t>
      </w:r>
    </w:p>
    <w:p w:rsidR="00224567" w:rsidRDefault="00224567">
      <w:pPr>
        <w:widowControl w:val="0"/>
        <w:tabs>
          <w:tab w:val="left" w:pos="2835"/>
        </w:tabs>
        <w:ind w:firstLine="2880"/>
      </w:pPr>
      <w:r>
        <w:t xml:space="preserve">Además, dijeron, </w:t>
      </w:r>
      <w:smartTag w:uri="urn:schemas-microsoft-com:office:smarttags" w:element="PersonName">
        <w:smartTagPr>
          <w:attr w:name="ProductID" w:val="la Dra. Parasc￡ndolo"/>
        </w:smartTagPr>
        <w:r>
          <w:t>la Dra. Parascánd</w:t>
        </w:r>
        <w:r>
          <w:t>o</w:t>
        </w:r>
        <w:r>
          <w:t>lo</w:t>
        </w:r>
      </w:smartTag>
      <w:r>
        <w:t xml:space="preserve"> les pidió que agregaran que, en caso de efectivizarse el traslado, el imputado no debía recibir visitas de parte de personal policial.</w:t>
      </w:r>
    </w:p>
    <w:p w:rsidR="00224567" w:rsidRDefault="00224567">
      <w:pPr>
        <w:widowControl w:val="0"/>
        <w:tabs>
          <w:tab w:val="left" w:pos="2835"/>
        </w:tabs>
        <w:ind w:firstLine="2880"/>
      </w:pPr>
      <w:r>
        <w:t>Finalmente, las testigos s</w:t>
      </w:r>
      <w:r>
        <w:t>e</w:t>
      </w:r>
      <w:r>
        <w:t>ñalaron que la letrada les aconsejó que no le comunicaran a Claudio Araya lo hablado.</w:t>
      </w:r>
    </w:p>
    <w:p w:rsidR="00224567" w:rsidRDefault="00224567">
      <w:pPr>
        <w:widowControl w:val="0"/>
        <w:tabs>
          <w:tab w:val="left" w:pos="2835"/>
        </w:tabs>
        <w:ind w:firstLine="2880"/>
      </w:pPr>
      <w:r>
        <w:t>De los dichos vertidos en la audie</w:t>
      </w:r>
      <w:r>
        <w:t>n</w:t>
      </w:r>
      <w:r>
        <w:t>cia por Jaquelina Gisela Araya y Gabriela Alexandra De Leone, también se desprende que, al día siguiente, ambas conc</w:t>
      </w:r>
      <w:r>
        <w:t>u</w:t>
      </w:r>
      <w:r>
        <w:t xml:space="preserve">rrieron nuevamente al estudio jurídico de </w:t>
      </w:r>
      <w:smartTag w:uri="urn:schemas-microsoft-com:office:smarttags" w:element="PersonName">
        <w:smartTagPr>
          <w:attr w:name="ProductID" w:val="la Dra. Marta"/>
        </w:smartTagPr>
        <w:r>
          <w:t>la Dra. Marta</w:t>
        </w:r>
      </w:smartTag>
      <w:r>
        <w:t xml:space="preserve"> Parascándolo, quien les informó que tenían “las puertas abiertas”, que “había preparado todo” y que concurrieran al juzgado sin miedo, en virtud de que iban a ser atend</w:t>
      </w:r>
      <w:r>
        <w:t>i</w:t>
      </w:r>
      <w:r>
        <w:t>das y lograrían el traslado.</w:t>
      </w:r>
    </w:p>
    <w:p w:rsidR="00224567" w:rsidRDefault="00224567">
      <w:pPr>
        <w:widowControl w:val="0"/>
        <w:tabs>
          <w:tab w:val="left" w:pos="2835"/>
        </w:tabs>
        <w:ind w:firstLine="2880"/>
      </w:pPr>
      <w:r>
        <w:t>Una vez en el juzgado, las testigos relataron que fueron atendidas por el secretario Javier Ignacio De Gamas Soler, a quien le narraron lo acordado con Dra. Parascándolo, manifestándole su preoc</w:t>
      </w:r>
      <w:r>
        <w:t>u</w:t>
      </w:r>
      <w:r>
        <w:t>pación por la situación de Claudio Araya y por los probl</w:t>
      </w:r>
      <w:r>
        <w:t>e</w:t>
      </w:r>
      <w:r>
        <w:t>mas de salud que tenían sus hijas a raíz de la detención de su padre; ésta última circunstancia no se asentó en el acta.</w:t>
      </w:r>
    </w:p>
    <w:p w:rsidR="00224567" w:rsidRDefault="00224567">
      <w:pPr>
        <w:widowControl w:val="0"/>
        <w:tabs>
          <w:tab w:val="left" w:pos="2835"/>
        </w:tabs>
        <w:ind w:firstLine="2880"/>
      </w:pPr>
      <w:r>
        <w:t>Asimismo, destacaron que el funcion</w:t>
      </w:r>
      <w:r>
        <w:t>a</w:t>
      </w:r>
      <w:r>
        <w:t>rio judicial sugirió que Claudio Walter Araya declarara nuevamente, pero sobre cuestiones relacionadas con Rib</w:t>
      </w:r>
      <w:r>
        <w:t>e</w:t>
      </w:r>
      <w:r>
        <w:t>lli, acerca de la causa de “Wilde” o de las estrategias que estaba planeando.</w:t>
      </w:r>
    </w:p>
    <w:p w:rsidR="00224567" w:rsidRDefault="00224567">
      <w:pPr>
        <w:widowControl w:val="0"/>
        <w:tabs>
          <w:tab w:val="left" w:pos="2835"/>
        </w:tabs>
        <w:ind w:firstLine="2880"/>
      </w:pPr>
      <w:r>
        <w:t>También, precisaron que en aquella oportunidad le aclararon al Dr. De Gamas Soler lo oc</w:t>
      </w:r>
      <w:r>
        <w:t>u</w:t>
      </w:r>
      <w:r>
        <w:t>rrido en el procedimiento del 4 de abril. Al respecto, Jaquelina Gisela Araya le preguntó por qué razón Castro no se hall</w:t>
      </w:r>
      <w:r>
        <w:t>a</w:t>
      </w:r>
      <w:r>
        <w:t>ba detenido, cuando había sido el nombrado quien había e</w:t>
      </w:r>
      <w:r>
        <w:t>s</w:t>
      </w:r>
      <w:r>
        <w:t xml:space="preserve">tado a bordo del automóvil Renault 12, respondiéndole el funcionario que Castro era familiar del Jefe de </w:t>
      </w:r>
      <w:smartTag w:uri="urn:schemas-microsoft-com:office:smarttags" w:element="PersonName">
        <w:smartTagPr>
          <w:attr w:name="ProductID" w:val="la Polic￭a."/>
        </w:smartTagPr>
        <w:r>
          <w:t>la Pol</w:t>
        </w:r>
        <w:r>
          <w:t>i</w:t>
        </w:r>
        <w:r>
          <w:t>cía.</w:t>
        </w:r>
      </w:smartTag>
    </w:p>
    <w:p w:rsidR="00224567" w:rsidRDefault="00224567">
      <w:pPr>
        <w:widowControl w:val="0"/>
        <w:tabs>
          <w:tab w:val="center" w:pos="0"/>
          <w:tab w:val="left" w:pos="2835"/>
        </w:tabs>
        <w:ind w:firstLine="2880"/>
      </w:pPr>
      <w:r>
        <w:t>Por otra parte, las testigos hici</w:t>
      </w:r>
      <w:r>
        <w:t>e</w:t>
      </w:r>
      <w:r>
        <w:t>ron referencia al enojo exteriorizado por Claudio Araya, al enterarse cómo se había logrado su traslado; exasperación que Jaqueline Gisela Araya describió al señalar que su hermano les dijo “ustedes fueron a tr</w:t>
      </w:r>
      <w:r>
        <w:t>a</w:t>
      </w:r>
      <w:r>
        <w:t>tar con el diablo”, apuntando, seguidamente: “casi nos mata, nos dijo de t</w:t>
      </w:r>
      <w:r>
        <w:t>o</w:t>
      </w:r>
      <w:r>
        <w:t>do”.</w:t>
      </w:r>
    </w:p>
    <w:p w:rsidR="00224567" w:rsidRDefault="00224567">
      <w:pPr>
        <w:widowControl w:val="0"/>
        <w:tabs>
          <w:tab w:val="center" w:pos="0"/>
          <w:tab w:val="left" w:pos="2835"/>
        </w:tabs>
        <w:ind w:firstLine="2880"/>
      </w:pPr>
      <w:r>
        <w:rPr>
          <w:b/>
          <w:bCs/>
        </w:rPr>
        <w:t xml:space="preserve">U.4) </w:t>
      </w:r>
      <w:r>
        <w:t>No puede dejar de señalar el Tr</w:t>
      </w:r>
      <w:r>
        <w:t>i</w:t>
      </w:r>
      <w:r>
        <w:t>bunal que el juez de instrucción concedió a los funcion</w:t>
      </w:r>
      <w:r>
        <w:t>a</w:t>
      </w:r>
      <w:r>
        <w:t>rios preventores facultades que eran propias e i</w:t>
      </w:r>
      <w:r>
        <w:t>n</w:t>
      </w:r>
      <w:r>
        <w:t>herentes a su función, como es realizar “análisis” de la consta</w:t>
      </w:r>
      <w:r>
        <w:t>n</w:t>
      </w:r>
      <w:r>
        <w:t>cias de la instrucción (ver fs. 66 y 79 del legajo nº 308; fs. 634/638 del legajo 11-A, 875/876 del legajo 8-A, entre otros), actividad que se reitera a lo largo de toda la causa y los legajos.</w:t>
      </w:r>
    </w:p>
    <w:p w:rsidR="00224567" w:rsidRDefault="00224567">
      <w:pPr>
        <w:widowControl w:val="0"/>
        <w:tabs>
          <w:tab w:val="center" w:pos="0"/>
          <w:tab w:val="left" w:pos="2835"/>
        </w:tabs>
        <w:ind w:firstLine="2880"/>
        <w:rPr>
          <w:b/>
          <w:iCs/>
        </w:rPr>
      </w:pPr>
      <w:r>
        <w:t xml:space="preserve">Respecto de los </w:t>
      </w:r>
      <w:r>
        <w:rPr>
          <w:b/>
        </w:rPr>
        <w:t>“análisis de la in</w:t>
      </w:r>
      <w:r>
        <w:rPr>
          <w:b/>
        </w:rPr>
        <w:t>s</w:t>
      </w:r>
      <w:r>
        <w:rPr>
          <w:b/>
        </w:rPr>
        <w:t>trucción”</w:t>
      </w:r>
      <w:r>
        <w:t xml:space="preserve"> y de determinadas declaraciones testimoniales, llamó la atención del Tribunal que quienes habían confe</w:t>
      </w:r>
      <w:r>
        <w:t>c</w:t>
      </w:r>
      <w:r>
        <w:t>cionado los informes o depuesto bajo juramento acerca de diligencias realizadas, nada recordaran sobre tales tóp</w:t>
      </w:r>
      <w:r>
        <w:t>i</w:t>
      </w:r>
      <w:r>
        <w:t xml:space="preserve">cos, al extremo de no poder ensayar respuesta alguna, tal el caso de los oficiales </w:t>
      </w:r>
      <w:r>
        <w:rPr>
          <w:b/>
          <w:iCs/>
        </w:rPr>
        <w:t xml:space="preserve">Salomone, de </w:t>
      </w:r>
      <w:smartTag w:uri="urn:schemas-microsoft-com:office:smarttags" w:element="PersonName">
        <w:smartTagPr>
          <w:attr w:name="ProductID" w:val="La Llave"/>
        </w:smartTagPr>
        <w:r>
          <w:rPr>
            <w:b/>
            <w:iCs/>
          </w:rPr>
          <w:t>la Llave</w:t>
        </w:r>
      </w:smartTag>
      <w:r>
        <w:rPr>
          <w:b/>
          <w:iCs/>
        </w:rPr>
        <w:t>, De Lucía y Corvalán entre otros.</w:t>
      </w:r>
    </w:p>
    <w:p w:rsidR="00224567" w:rsidRDefault="00224567">
      <w:pPr>
        <w:widowControl w:val="0"/>
        <w:tabs>
          <w:tab w:val="center" w:pos="0"/>
          <w:tab w:val="left" w:pos="2835"/>
        </w:tabs>
        <w:ind w:firstLine="2880"/>
      </w:pPr>
      <w:r>
        <w:t>Aportó un poco de luz sobre el tema el comisario Portaluri, al sostener que tiempo atrás los i</w:t>
      </w:r>
      <w:r>
        <w:t>n</w:t>
      </w:r>
      <w:r>
        <w:t xml:space="preserve">tegrantes del Cuerpo de Informaciones de </w:t>
      </w:r>
      <w:smartTag w:uri="urn:schemas-microsoft-com:office:smarttags" w:element="PersonName">
        <w:smartTagPr>
          <w:attr w:name="ProductID" w:val="la Polic￭a Federal"/>
        </w:smartTagPr>
        <w:r>
          <w:t>la Policía Fed</w:t>
        </w:r>
        <w:r>
          <w:t>e</w:t>
        </w:r>
        <w:r>
          <w:t>ral</w:t>
        </w:r>
      </w:smartTag>
      <w:r>
        <w:t>, no podían prestar declaración testimonial, lo cual actualmente hacían. Preguntado Portaluri acerca de si los oficiales del cuerpo de seguridad eran qui</w:t>
      </w:r>
      <w:r>
        <w:t>e</w:t>
      </w:r>
      <w:r>
        <w:t>nes volcaban en declaraciones testimoniales los info</w:t>
      </w:r>
      <w:r>
        <w:t>r</w:t>
      </w:r>
      <w:r>
        <w:t>mes de los agentes de inteligencia, respondió que no le constaba.</w:t>
      </w:r>
    </w:p>
    <w:p w:rsidR="00224567" w:rsidRDefault="00224567">
      <w:pPr>
        <w:widowControl w:val="0"/>
        <w:tabs>
          <w:tab w:val="center" w:pos="0"/>
          <w:tab w:val="left" w:pos="2835"/>
        </w:tabs>
        <w:ind w:firstLine="2880"/>
      </w:pPr>
      <w:r>
        <w:t>Convocado nuevamente Portaluri, sost</w:t>
      </w:r>
      <w:r>
        <w:t>u</w:t>
      </w:r>
      <w:r>
        <w:t>vo que a las diligencias concurrían dos oficiales, uno de seguridad y otro de inteligencia, estos últimos conocidos como “plumas” en la jerga policial, prestando declaración el primero en el sumario.</w:t>
      </w:r>
    </w:p>
    <w:p w:rsidR="00224567" w:rsidRDefault="00224567">
      <w:pPr>
        <w:widowControl w:val="0"/>
        <w:tabs>
          <w:tab w:val="center" w:pos="0"/>
          <w:tab w:val="left" w:pos="2835"/>
        </w:tabs>
        <w:ind w:firstLine="2880"/>
      </w:pPr>
      <w:r>
        <w:t>Obviamente, la explicación de Portal</w:t>
      </w:r>
      <w:r>
        <w:t>u</w:t>
      </w:r>
      <w:r>
        <w:t>ri no aclaró el tema, pues si se modificó la costumbre y podían declarar, como sostuvo en su primera ve</w:t>
      </w:r>
      <w:r>
        <w:t>r</w:t>
      </w:r>
      <w:r>
        <w:t>sión, no se advertía porqué razón debía hacerlo el oficial de segur</w:t>
      </w:r>
      <w:r>
        <w:t>i</w:t>
      </w:r>
      <w:r>
        <w:t>dad. Por otra parte, si éste era el que lo hacía, no se entendió la razón de que actuase acompañado por un aux</w:t>
      </w:r>
      <w:r>
        <w:t>i</w:t>
      </w:r>
      <w:r>
        <w:t>liar de inteligencia.</w:t>
      </w:r>
    </w:p>
    <w:p w:rsidR="00224567" w:rsidRDefault="00224567">
      <w:pPr>
        <w:widowControl w:val="0"/>
        <w:tabs>
          <w:tab w:val="center" w:pos="0"/>
          <w:tab w:val="left" w:pos="2835"/>
        </w:tabs>
        <w:ind w:firstLine="2880"/>
      </w:pPr>
      <w:r>
        <w:t>La incógnita de que oficiales int</w:t>
      </w:r>
      <w:r>
        <w:t>e</w:t>
      </w:r>
      <w:r>
        <w:t>grantes del Departamento Unidad de Investigación Antit</w:t>
      </w:r>
      <w:r>
        <w:t>e</w:t>
      </w:r>
      <w:r>
        <w:t>rrorista no recordasen las comisiones cumplidas s</w:t>
      </w:r>
      <w:r>
        <w:t>i</w:t>
      </w:r>
      <w:r>
        <w:t>guiendo órdenes superiores, quedó develada al ampliar su testim</w:t>
      </w:r>
      <w:r>
        <w:t>o</w:t>
      </w:r>
      <w:r>
        <w:t>nio el auxiliar del Cuerpo Federal de Informaciones Aldo Alfredo Álvarez.</w:t>
      </w:r>
    </w:p>
    <w:p w:rsidR="00224567" w:rsidRDefault="00224567">
      <w:pPr>
        <w:widowControl w:val="0"/>
        <w:tabs>
          <w:tab w:val="center" w:pos="0"/>
          <w:tab w:val="left" w:pos="2835"/>
        </w:tabs>
        <w:ind w:firstLine="2880"/>
      </w:pPr>
      <w:r>
        <w:t>Sostuvo el nombrado que hasta la in</w:t>
      </w:r>
      <w:r>
        <w:t>s</w:t>
      </w:r>
      <w:r>
        <w:t>tauración del juicio oral, el personal de seguridad volc</w:t>
      </w:r>
      <w:r>
        <w:t>a</w:t>
      </w:r>
      <w:r>
        <w:t>ba al sumario la información obtenida por los auxiliares de inteligencia, que ya la habían expuesto en una nota i</w:t>
      </w:r>
      <w:r>
        <w:t>n</w:t>
      </w:r>
      <w:r>
        <w:t>terna. Aclaró, que los agentes de intel</w:t>
      </w:r>
      <w:r>
        <w:t>i</w:t>
      </w:r>
      <w:r>
        <w:t>gencia realizaban las comisiones solos y que los de s</w:t>
      </w:r>
      <w:r>
        <w:t>e</w:t>
      </w:r>
      <w:r>
        <w:t>guridad, simplemente, recibían el informe.</w:t>
      </w:r>
    </w:p>
    <w:p w:rsidR="00224567" w:rsidRDefault="00224567">
      <w:pPr>
        <w:widowControl w:val="0"/>
        <w:tabs>
          <w:tab w:val="center" w:pos="0"/>
          <w:tab w:val="left" w:pos="2835"/>
        </w:tabs>
        <w:ind w:firstLine="2880"/>
      </w:pPr>
      <w:r>
        <w:t>Claudio Lifschitz, quien previo a su ingreso al juzgado instructor prestó servicios en dicho Cuerpo, confirmó los dichos de Aldo Alfredo Álvarez en cuanto a que los integrantes del citado organismo de int</w:t>
      </w:r>
      <w:r>
        <w:t>e</w:t>
      </w:r>
      <w:r>
        <w:t>ligencia, debido a que tenían una identidad secreta, no podían firmar informes; que los oficiales de seguridad eran los que declaraban, dado que los otros no estaban a</w:t>
      </w:r>
      <w:r>
        <w:t>u</w:t>
      </w:r>
      <w:r>
        <w:t>torizados a firmar.</w:t>
      </w:r>
    </w:p>
    <w:p w:rsidR="00224567" w:rsidRDefault="00224567">
      <w:pPr>
        <w:widowControl w:val="0"/>
        <w:tabs>
          <w:tab w:val="center" w:pos="0"/>
          <w:tab w:val="left" w:pos="2835"/>
        </w:tabs>
        <w:ind w:firstLine="2880"/>
        <w:rPr>
          <w:b/>
        </w:rPr>
      </w:pPr>
      <w:r>
        <w:t>El proceder de los funcionarios pol</w:t>
      </w:r>
      <w:r>
        <w:t>i</w:t>
      </w:r>
      <w:r>
        <w:t>ciales, precedentemente descripto, parece redundante señ</w:t>
      </w:r>
      <w:r>
        <w:t>a</w:t>
      </w:r>
      <w:r>
        <w:t>larlo, contrapone las mínimas exigencias de seriedad que la actividad le impone guardar como representantes del E</w:t>
      </w:r>
      <w:r>
        <w:t>s</w:t>
      </w:r>
      <w:r>
        <w:t>tado; máxime cuando, como en el caso de autos, ese proc</w:t>
      </w:r>
      <w:r>
        <w:t>e</w:t>
      </w:r>
      <w:r>
        <w:t>der pone en crisis la seriedad y credibilidad de los age</w:t>
      </w:r>
      <w:r>
        <w:t>n</w:t>
      </w:r>
      <w:r>
        <w:t>tes públicos a cargo de la investigación de tan graves h</w:t>
      </w:r>
      <w:r>
        <w:t>e</w:t>
      </w:r>
      <w:r>
        <w:t>chos.</w:t>
      </w:r>
    </w:p>
    <w:p w:rsidR="00224567" w:rsidRDefault="00224567">
      <w:pPr>
        <w:widowControl w:val="0"/>
        <w:tabs>
          <w:tab w:val="center" w:pos="0"/>
          <w:tab w:val="left" w:pos="2835"/>
        </w:tabs>
        <w:ind w:firstLine="2880"/>
      </w:pPr>
      <w:r>
        <w:rPr>
          <w:b/>
          <w:bCs/>
        </w:rPr>
        <w:t xml:space="preserve">U.5) </w:t>
      </w:r>
      <w:r>
        <w:t>El inconsecuente y mañoso acci</w:t>
      </w:r>
      <w:r>
        <w:t>o</w:t>
      </w:r>
      <w:r>
        <w:t>nar del juez instructor al que más arriba se aludió, nu</w:t>
      </w:r>
      <w:r>
        <w:t>e</w:t>
      </w:r>
      <w:r>
        <w:t>vamente quedó evidenciado en la causa nº 1643, “Lovera, Miguel A. y otros s/ infr. Art. 210, 1er. párrafo y art. 189 bis del Código Penal” -causa “Armas”-, que tramitara en su juzgado.</w:t>
      </w:r>
    </w:p>
    <w:p w:rsidR="00224567" w:rsidRDefault="00224567">
      <w:pPr>
        <w:widowControl w:val="0"/>
        <w:tabs>
          <w:tab w:val="center" w:pos="0"/>
          <w:tab w:val="left" w:pos="2835"/>
        </w:tabs>
        <w:ind w:firstLine="2880"/>
      </w:pPr>
      <w:r>
        <w:t>En el proceso de marras el juez fed</w:t>
      </w:r>
      <w:r>
        <w:t>e</w:t>
      </w:r>
      <w:r>
        <w:t>ral Juan José Galeano, requirió a su par en turno de la ciudad bonaerense de San Martín, el allanamiento de la finca sita en Río Atuel nº 379 de la localidad de Bella Vista y el arresto de Emilio Morello (fs. 51.854).</w:t>
      </w:r>
    </w:p>
    <w:p w:rsidR="00224567" w:rsidRDefault="00224567">
      <w:pPr>
        <w:widowControl w:val="0"/>
        <w:tabs>
          <w:tab w:val="center" w:pos="0"/>
          <w:tab w:val="left" w:pos="2835"/>
        </w:tabs>
        <w:ind w:firstLine="2880"/>
      </w:pPr>
      <w:r>
        <w:t xml:space="preserve">Librada la orden solicitada el </w:t>
      </w:r>
      <w:r>
        <w:rPr>
          <w:b/>
        </w:rPr>
        <w:t>6 de diciembre de 1995</w:t>
      </w:r>
      <w:r>
        <w:t xml:space="preserve"> (fs. 51.561), luce a fs. 51.562 el acta labrada, en la misma fecha, por el oficial inspector Se</w:t>
      </w:r>
      <w:r>
        <w:t>r</w:t>
      </w:r>
      <w:r>
        <w:t>gio Javier Ostrowsky con motivo de la diligencia. Consta allí, que al presentarse en el inmueble fueron atendidos por Vilma Mónica Edith González, quien, tras la lectura de la orden, manifestó que no autorizaría el ingreso a la v</w:t>
      </w:r>
      <w:r>
        <w:t>i</w:t>
      </w:r>
      <w:r>
        <w:t>vienda hasta tanto pudiera comunicarse con su esposo, el diputado nacional, Emilio Pedro Morello.</w:t>
      </w:r>
    </w:p>
    <w:p w:rsidR="00224567" w:rsidRDefault="00224567">
      <w:pPr>
        <w:widowControl w:val="0"/>
        <w:tabs>
          <w:tab w:val="center" w:pos="0"/>
          <w:tab w:val="left" w:pos="2835"/>
        </w:tabs>
        <w:ind w:firstLine="2880"/>
      </w:pPr>
      <w:r>
        <w:t xml:space="preserve">Ante ello, conforme surge del acta, se consultó con el Juzgado Federal nº 9 de </w:t>
      </w:r>
      <w:smartTag w:uri="urn:schemas-microsoft-com:office:smarttags" w:element="PersonName">
        <w:smartTagPr>
          <w:attr w:name="ProductID" w:val="la Capital Federal"/>
        </w:smartTagPr>
        <w:r>
          <w:t>la Capital Fed</w:t>
        </w:r>
        <w:r>
          <w:t>e</w:t>
        </w:r>
        <w:r>
          <w:t>ral</w:t>
        </w:r>
      </w:smartTag>
      <w:r>
        <w:t>, disponiendo el magistrado que se presente en el lugar el secretario a efectos de verificar la condición de l</w:t>
      </w:r>
      <w:r>
        <w:t>e</w:t>
      </w:r>
      <w:r>
        <w:t>gislador del señor Emilio Pedro Morello, sin que se adopte ninguna medida hasta tanto.</w:t>
      </w:r>
    </w:p>
    <w:p w:rsidR="00224567" w:rsidRDefault="00224567">
      <w:pPr>
        <w:widowControl w:val="0"/>
        <w:tabs>
          <w:tab w:val="center" w:pos="0"/>
          <w:tab w:val="left" w:pos="2835"/>
        </w:tabs>
        <w:ind w:firstLine="2880"/>
      </w:pPr>
      <w:r>
        <w:t>Consta que a las 21:10 arribó el s</w:t>
      </w:r>
      <w:r>
        <w:t>e</w:t>
      </w:r>
      <w:r>
        <w:t>cretario del juzgado exhortante, Dr. Carlos Alfredo Vela</w:t>
      </w:r>
      <w:r>
        <w:t>s</w:t>
      </w:r>
      <w:r>
        <w:t>co, y la prosecretaria, a quienes el diputado Mor</w:t>
      </w:r>
      <w:r>
        <w:t>e</w:t>
      </w:r>
      <w:r>
        <w:t>llo les exhibió su credencial. Que ante ello, el Dr. Velasco se comunicó con el juez a fin de recibir directivas, habié</w:t>
      </w:r>
      <w:r>
        <w:t>n</w:t>
      </w:r>
      <w:r>
        <w:t>dose dispuesto dejar sin efecto el proc</w:t>
      </w:r>
      <w:r>
        <w:t>e</w:t>
      </w:r>
      <w:r>
        <w:t>dimiento.</w:t>
      </w:r>
    </w:p>
    <w:p w:rsidR="00224567" w:rsidRDefault="00224567">
      <w:pPr>
        <w:widowControl w:val="0"/>
        <w:tabs>
          <w:tab w:val="center" w:pos="0"/>
          <w:tab w:val="left" w:pos="2835"/>
        </w:tabs>
        <w:ind w:firstLine="2880"/>
      </w:pPr>
      <w:r>
        <w:t>A fs. 51.525 de las actuaciones de r</w:t>
      </w:r>
      <w:r>
        <w:t>e</w:t>
      </w:r>
      <w:r>
        <w:t>ferencia obra el informe del secretario Dr. Carlos A. V</w:t>
      </w:r>
      <w:r>
        <w:t>e</w:t>
      </w:r>
      <w:r>
        <w:t>lasco, del 6 de diciembre de 1995, donde hace saber, entre otras cosas, que una vez que el diputado Morello exhibió su credencial, se comunicó con el juez, disponiendo éste que a efectos de resguardar los fueros personales del diputado se proceda a suspender el allan</w:t>
      </w:r>
      <w:r>
        <w:t>a</w:t>
      </w:r>
      <w:r>
        <w:t>miento ordenado.</w:t>
      </w:r>
    </w:p>
    <w:p w:rsidR="00224567" w:rsidRDefault="00224567">
      <w:pPr>
        <w:widowControl w:val="0"/>
        <w:tabs>
          <w:tab w:val="center" w:pos="0"/>
          <w:tab w:val="left" w:pos="2835"/>
        </w:tabs>
        <w:ind w:firstLine="2880"/>
      </w:pPr>
      <w:r>
        <w:t>Ahora bien, el respeto de los fueros personales del legislador, que llevó a suspender la requ</w:t>
      </w:r>
      <w:r>
        <w:t>i</w:t>
      </w:r>
      <w:r>
        <w:t>sa domiciliaria, fue parcial e inconsecuente, dado que las conversaciones de dicho funcionario habían sido interven</w:t>
      </w:r>
      <w:r>
        <w:t>i</w:t>
      </w:r>
      <w:r>
        <w:t>das por orden del magistrado desde el</w:t>
      </w:r>
      <w:r>
        <w:rPr>
          <w:b/>
        </w:rPr>
        <w:t xml:space="preserve"> 5 de diciembre de 1995</w:t>
      </w:r>
      <w:r>
        <w:t xml:space="preserve"> hasta </w:t>
      </w:r>
      <w:r>
        <w:rPr>
          <w:b/>
        </w:rPr>
        <w:t>abril de 2000</w:t>
      </w:r>
      <w:r>
        <w:t>.</w:t>
      </w:r>
    </w:p>
    <w:p w:rsidR="00224567" w:rsidRDefault="00224567">
      <w:pPr>
        <w:widowControl w:val="0"/>
        <w:tabs>
          <w:tab w:val="center" w:pos="0"/>
          <w:tab w:val="left" w:pos="2835"/>
        </w:tabs>
        <w:ind w:firstLine="2880"/>
      </w:pPr>
      <w:r>
        <w:t>En efecto, el 5 de diciembre de 1995 se intervino la línea 666-6871, ubicada en el domicilio del diputado nacional y luego, ante el cambio de la ce</w:t>
      </w:r>
      <w:r>
        <w:t>n</w:t>
      </w:r>
      <w:r>
        <w:t>tral, su continuadora, la 4468-1571 (ver fs. 130, 1891, 1892 del legajo de intervenciones de la causa nº 1156).</w:t>
      </w:r>
    </w:p>
    <w:p w:rsidR="00224567" w:rsidRDefault="00224567">
      <w:pPr>
        <w:widowControl w:val="0"/>
        <w:tabs>
          <w:tab w:val="center" w:pos="0"/>
          <w:tab w:val="left" w:pos="2835"/>
        </w:tabs>
        <w:ind w:firstLine="2880"/>
      </w:pPr>
      <w:r>
        <w:t>Asimismo, el 18 de abril de 1996, se dispuso la intervención de la línea 402-1519, correspo</w:t>
      </w:r>
      <w:r>
        <w:t>n</w:t>
      </w:r>
      <w:r>
        <w:t>diente al teléfono celular de Morello (ver fs. 260vta. del legajo citado).</w:t>
      </w:r>
    </w:p>
    <w:p w:rsidR="00224567" w:rsidRDefault="00224567">
      <w:pPr>
        <w:widowControl w:val="0"/>
        <w:tabs>
          <w:tab w:val="center" w:pos="0"/>
          <w:tab w:val="left" w:pos="2835"/>
        </w:tabs>
        <w:ind w:firstLine="2880"/>
      </w:pPr>
      <w:r>
        <w:t>Por último, cabe recordar que Mor</w:t>
      </w:r>
      <w:r>
        <w:t>e</w:t>
      </w:r>
      <w:r>
        <w:t>llo se desempeñó como diputado nacional desde 1993 ha</w:t>
      </w:r>
      <w:r>
        <w:t>s</w:t>
      </w:r>
      <w:r>
        <w:t>ta 1997.</w:t>
      </w:r>
    </w:p>
    <w:p w:rsidR="00224567" w:rsidRDefault="00224567">
      <w:pPr>
        <w:widowControl w:val="0"/>
        <w:tabs>
          <w:tab w:val="center" w:pos="0"/>
          <w:tab w:val="left" w:pos="2835"/>
        </w:tabs>
        <w:ind w:firstLine="2880"/>
      </w:pPr>
      <w:r>
        <w:t>De lo expuesto, resulta que el re</w:t>
      </w:r>
      <w:r>
        <w:t>s</w:t>
      </w:r>
      <w:r>
        <w:t>peto a los fueros legislativos invocados por el magistrado lo fue en tanto y en cuanto las medidas procesales pudiesen ser objeto de control. Ello debido a que si en su criterio el domicilio de un legislador no p</w:t>
      </w:r>
      <w:r>
        <w:t>o</w:t>
      </w:r>
      <w:r>
        <w:t>día ser inspeccionado, no se advierte qué razón lo autorizaba a disponer otro t</w:t>
      </w:r>
      <w:r>
        <w:t>i</w:t>
      </w:r>
      <w:r>
        <w:t>po de medidas que importaban una igual o mayor intromisión en su esfera de intimidad y que continuaron luego durante años, pese a saber con certeza que las líneas pertenecían a un legislador n</w:t>
      </w:r>
      <w:r>
        <w:t>a</w:t>
      </w:r>
      <w:r>
        <w:t>cional.</w:t>
      </w:r>
    </w:p>
    <w:p w:rsidR="00224567" w:rsidRDefault="00224567">
      <w:pPr>
        <w:widowControl w:val="0"/>
        <w:tabs>
          <w:tab w:val="center" w:pos="0"/>
          <w:tab w:val="left" w:pos="2835"/>
        </w:tabs>
        <w:ind w:firstLine="2880"/>
      </w:pPr>
      <w:r>
        <w:rPr>
          <w:b/>
          <w:bCs/>
        </w:rPr>
        <w:t xml:space="preserve">U.6) </w:t>
      </w:r>
      <w:r>
        <w:t>Corre agregado a la causa, sin acumular, el “Incidente de autorización de entrevista con Telleldín”, solicitada por la fiscal general del Estado de Israel Dorit Beinish.</w:t>
      </w:r>
    </w:p>
    <w:p w:rsidR="00224567" w:rsidRDefault="00224567">
      <w:pPr>
        <w:widowControl w:val="0"/>
        <w:tabs>
          <w:tab w:val="center" w:pos="0"/>
          <w:tab w:val="left" w:pos="2835"/>
        </w:tabs>
        <w:ind w:firstLine="2880"/>
      </w:pPr>
      <w:r>
        <w:t>A fs. 1/7 luce la nota en inglés, d</w:t>
      </w:r>
      <w:r>
        <w:t>i</w:t>
      </w:r>
      <w:r>
        <w:t>rigida al juez Galeano, suscripta por la fiscal general, en tanto a fs. 3/4 consta la redactada en español, también suscripta por la fiscal Beinish.</w:t>
      </w:r>
    </w:p>
    <w:p w:rsidR="00224567" w:rsidRDefault="00224567">
      <w:pPr>
        <w:widowControl w:val="0"/>
        <w:tabs>
          <w:tab w:val="center" w:pos="0"/>
          <w:tab w:val="left" w:pos="2835"/>
        </w:tabs>
        <w:ind w:firstLine="2880"/>
      </w:pPr>
      <w:r>
        <w:t>Allí la funcionaria, tras destacar el interés común en la lucha contra el terrorismo, m</w:t>
      </w:r>
      <w:r>
        <w:t>a</w:t>
      </w:r>
      <w:r>
        <w:t xml:space="preserve">nifestó que </w:t>
      </w:r>
      <w:smartTag w:uri="urn:schemas-microsoft-com:office:smarttags" w:element="PersonName">
        <w:smartTagPr>
          <w:attr w:name="ProductID" w:val="la Fiscal￭a General"/>
        </w:smartTagPr>
        <w:r>
          <w:t>la Fiscalía General</w:t>
        </w:r>
      </w:smartTag>
      <w:r>
        <w:t xml:space="preserve"> del Estado de Israel y las autor</w:t>
      </w:r>
      <w:r>
        <w:t>i</w:t>
      </w:r>
      <w:r>
        <w:t>dades judiciales competentes investigaban los atentados terroristas cometidos en el territorio nacional, para d</w:t>
      </w:r>
      <w:r>
        <w:t>e</w:t>
      </w:r>
      <w:r>
        <w:t>terminar la identidad de los autores y las organizaciones responsables, a fin de obtener su captura y llevarlos a juicio.</w:t>
      </w:r>
    </w:p>
    <w:p w:rsidR="00224567" w:rsidRDefault="00224567">
      <w:pPr>
        <w:widowControl w:val="0"/>
        <w:tabs>
          <w:tab w:val="center" w:pos="0"/>
          <w:tab w:val="left" w:pos="2835"/>
        </w:tabs>
        <w:ind w:firstLine="2880"/>
      </w:pPr>
      <w:r>
        <w:t>Por ello solicitaron autorización para mantener entrevistas informativa con el detenido.</w:t>
      </w:r>
    </w:p>
    <w:p w:rsidR="00224567" w:rsidRDefault="00224567">
      <w:pPr>
        <w:widowControl w:val="0"/>
        <w:tabs>
          <w:tab w:val="center" w:pos="0"/>
          <w:tab w:val="left" w:pos="2835"/>
        </w:tabs>
        <w:ind w:firstLine="2880"/>
      </w:pPr>
      <w:r>
        <w:t>La nota de referencia fue remitida al Ministerio de Relaciones Exteriores, Comercio Internaci</w:t>
      </w:r>
      <w:r>
        <w:t>o</w:t>
      </w:r>
      <w:r>
        <w:t>nal y Culto, por el embajador Itzhak Aviran, junto con una carta enviada por el canciller de Israel, Simón Peres.</w:t>
      </w:r>
    </w:p>
    <w:p w:rsidR="00224567" w:rsidRDefault="00224567">
      <w:pPr>
        <w:widowControl w:val="0"/>
        <w:tabs>
          <w:tab w:val="center" w:pos="0"/>
          <w:tab w:val="left" w:pos="2835"/>
        </w:tabs>
        <w:ind w:firstLine="2880"/>
      </w:pPr>
      <w:r>
        <w:t>Recibidas las actuaciones en el juzg</w:t>
      </w:r>
      <w:r>
        <w:t>a</w:t>
      </w:r>
      <w:r>
        <w:t>do, se corrió vista al fiscal (fs. 8).</w:t>
      </w:r>
    </w:p>
    <w:p w:rsidR="00224567" w:rsidRDefault="00224567">
      <w:pPr>
        <w:widowControl w:val="0"/>
        <w:tabs>
          <w:tab w:val="center" w:pos="0"/>
          <w:tab w:val="left" w:pos="2835"/>
        </w:tabs>
        <w:ind w:firstLine="2880"/>
      </w:pPr>
      <w:r>
        <w:t>En oportunidad de expedirse los doct</w:t>
      </w:r>
      <w:r>
        <w:t>o</w:t>
      </w:r>
      <w:r>
        <w:t>res Mullen y Barbaccia (fs. 9 y vta.), consideraron “acr</w:t>
      </w:r>
      <w:r>
        <w:t>e</w:t>
      </w:r>
      <w:r>
        <w:t>ditadas... las condiciones formales de procedib</w:t>
      </w:r>
      <w:r>
        <w:t>i</w:t>
      </w:r>
      <w:r>
        <w:t>lidad del pedido” y, por tanto, entendieron que “tratándose de una solicitud de entrevista de un interno alojado a dispos</w:t>
      </w:r>
      <w:r>
        <w:t>i</w:t>
      </w:r>
      <w:r>
        <w:t>ción de V.S. no existen impedimentos que obsten tal sol</w:t>
      </w:r>
      <w:r>
        <w:t>i</w:t>
      </w:r>
      <w:r>
        <w:t>citud, atendiendo a las normas pr</w:t>
      </w:r>
      <w:r>
        <w:t>e</w:t>
      </w:r>
      <w:r>
        <w:t>vistas por el reglamento del Servicio Penitenciario”.</w:t>
      </w:r>
    </w:p>
    <w:p w:rsidR="00224567" w:rsidRDefault="00224567">
      <w:pPr>
        <w:widowControl w:val="0"/>
        <w:tabs>
          <w:tab w:val="center" w:pos="0"/>
          <w:tab w:val="left" w:pos="2835"/>
        </w:tabs>
        <w:ind w:firstLine="2880"/>
      </w:pPr>
      <w:r>
        <w:t>Tras citar el artículo 113 del orden</w:t>
      </w:r>
      <w:r>
        <w:t>a</w:t>
      </w:r>
      <w:r>
        <w:t>miento mencionado, consideraron necesario, “atendiendo a las particularidades características del caso que nos oc</w:t>
      </w:r>
      <w:r>
        <w:t>u</w:t>
      </w:r>
      <w:r>
        <w:t>pa y con el fin de no violentar la voluntad del interno y eventualmente vulnerar sus derechos”, contar con el co</w:t>
      </w:r>
      <w:r>
        <w:t>n</w:t>
      </w:r>
      <w:r>
        <w:t>sentimiento del detenido.</w:t>
      </w:r>
    </w:p>
    <w:p w:rsidR="00224567" w:rsidRDefault="00224567">
      <w:pPr>
        <w:widowControl w:val="0"/>
        <w:tabs>
          <w:tab w:val="center" w:pos="0"/>
          <w:tab w:val="left" w:pos="2835"/>
        </w:tabs>
        <w:ind w:firstLine="2880"/>
      </w:pPr>
      <w:r>
        <w:t>A fs. 10 el Dr. Galeano hizo lugar a la entrevista solicitada, previo consentimiento del det</w:t>
      </w:r>
      <w:r>
        <w:t>e</w:t>
      </w:r>
      <w:r>
        <w:t>nido Carlos Alberto Telleldín.</w:t>
      </w:r>
    </w:p>
    <w:p w:rsidR="00224567" w:rsidRDefault="00224567">
      <w:pPr>
        <w:widowControl w:val="0"/>
        <w:tabs>
          <w:tab w:val="center" w:pos="0"/>
          <w:tab w:val="left" w:pos="2835"/>
        </w:tabs>
        <w:ind w:firstLine="2880"/>
      </w:pPr>
      <w:r>
        <w:t>En la misma fecha -3 de abril de 1995- Telleldín prestó su consentimiento (fs. 13).</w:t>
      </w:r>
    </w:p>
    <w:p w:rsidR="00224567" w:rsidRDefault="00224567">
      <w:pPr>
        <w:widowControl w:val="0"/>
        <w:tabs>
          <w:tab w:val="center" w:pos="0"/>
          <w:tab w:val="left" w:pos="2835"/>
        </w:tabs>
        <w:ind w:firstLine="2880"/>
      </w:pPr>
      <w:r>
        <w:t xml:space="preserve">A fs. 14 del incidente luce el acta labrado por el Dr. Velasco, también del 3 de abril, la que da cuenta de la entrevista celebrada entre Carlos Alberto Telleldín y el representante de </w:t>
      </w:r>
      <w:smartTag w:uri="urn:schemas-microsoft-com:office:smarttags" w:element="PersonName">
        <w:smartTagPr>
          <w:attr w:name="ProductID" w:val="la Fiscal￭a General"/>
        </w:smartTagPr>
        <w:r>
          <w:t>la Fiscalía General</w:t>
        </w:r>
      </w:smartTag>
      <w:r>
        <w:t xml:space="preserve"> del Estado de Israel, Eldad Gafner.</w:t>
      </w:r>
    </w:p>
    <w:p w:rsidR="00224567" w:rsidRDefault="00224567">
      <w:pPr>
        <w:widowControl w:val="0"/>
        <w:tabs>
          <w:tab w:val="center" w:pos="0"/>
          <w:tab w:val="left" w:pos="2835"/>
        </w:tabs>
        <w:ind w:firstLine="2880"/>
      </w:pPr>
      <w:r>
        <w:t>A fs. 17vta., corre agregada la con</w:t>
      </w:r>
      <w:r>
        <w:t>s</w:t>
      </w:r>
      <w:r>
        <w:t>tancia del Actuario que informa acerca de la segunda reunión entre el detenido y el fiscal extranjero.</w:t>
      </w:r>
    </w:p>
    <w:p w:rsidR="00224567" w:rsidRDefault="00224567">
      <w:pPr>
        <w:widowControl w:val="0"/>
        <w:tabs>
          <w:tab w:val="center" w:pos="0"/>
          <w:tab w:val="left" w:pos="2835"/>
        </w:tabs>
        <w:ind w:firstLine="2880"/>
      </w:pPr>
      <w:r>
        <w:t>Obran a fs. 18vta. y 27vta. las a</w:t>
      </w:r>
      <w:r>
        <w:t>c</w:t>
      </w:r>
      <w:r>
        <w:t>tas que se labraron con motivo de la tercera y la cuarta reunión con el fiscal Eldad Gafner, respectivamente.</w:t>
      </w:r>
    </w:p>
    <w:p w:rsidR="00224567" w:rsidRDefault="00224567">
      <w:pPr>
        <w:widowControl w:val="0"/>
        <w:tabs>
          <w:tab w:val="center" w:pos="0"/>
          <w:tab w:val="left" w:pos="2835"/>
        </w:tabs>
        <w:ind w:firstLine="2880"/>
      </w:pPr>
      <w:r>
        <w:t>Varias consideraciones pueden efe</w:t>
      </w:r>
      <w:r>
        <w:t>c</w:t>
      </w:r>
      <w:r>
        <w:t>tuarse acerca de este incidente.</w:t>
      </w:r>
    </w:p>
    <w:p w:rsidR="00224567" w:rsidRDefault="00224567">
      <w:pPr>
        <w:widowControl w:val="0"/>
        <w:tabs>
          <w:tab w:val="center" w:pos="0"/>
          <w:tab w:val="left" w:pos="2835"/>
        </w:tabs>
        <w:ind w:firstLine="2880"/>
      </w:pPr>
      <w:r>
        <w:t>Así, pese a que los señores fiscales mencionaron que concurrían en la especie “las formales condiciones de procedibilidad”, no mencionaron a cuales se referían. Ello no era un dato menor, dado que no media tratado de cooperación internacional con el Estado de I</w:t>
      </w:r>
      <w:r>
        <w:t>s</w:t>
      </w:r>
      <w:r>
        <w:t>rael; se trataba de un trámite novedoso, no previsto en nuestra legislación procesal.</w:t>
      </w:r>
    </w:p>
    <w:p w:rsidR="00224567" w:rsidRDefault="00224567">
      <w:pPr>
        <w:widowControl w:val="0"/>
        <w:tabs>
          <w:tab w:val="center" w:pos="0"/>
          <w:tab w:val="left" w:pos="2835"/>
        </w:tabs>
        <w:ind w:firstLine="2880"/>
      </w:pPr>
      <w:r>
        <w:t>Pero amén de lo expuesto, la irregul</w:t>
      </w:r>
      <w:r>
        <w:t>a</w:t>
      </w:r>
      <w:r>
        <w:t>ridad mayor está dada por el sometimiento del detenido a varios interrogatorios por parte de un fiscal e</w:t>
      </w:r>
      <w:r>
        <w:t>x</w:t>
      </w:r>
      <w:r>
        <w:t>tranjero, en un acto rodeado de total informalidad.</w:t>
      </w:r>
    </w:p>
    <w:p w:rsidR="00224567" w:rsidRDefault="00224567">
      <w:pPr>
        <w:widowControl w:val="0"/>
        <w:tabs>
          <w:tab w:val="center" w:pos="0"/>
          <w:tab w:val="left" w:pos="2835"/>
        </w:tabs>
        <w:ind w:firstLine="2880"/>
      </w:pPr>
      <w:r>
        <w:t>Adviértase que de ninguna de las “e</w:t>
      </w:r>
      <w:r>
        <w:t>n</w:t>
      </w:r>
      <w:r>
        <w:t>trevistas” fue notificada la defensa de Telleldín, ni obra constancia alguna que ilustre del tenor de los interrog</w:t>
      </w:r>
      <w:r>
        <w:t>a</w:t>
      </w:r>
      <w:r>
        <w:t>torios, ni de las respuestas.</w:t>
      </w:r>
    </w:p>
    <w:p w:rsidR="00224567" w:rsidRDefault="00224567">
      <w:pPr>
        <w:widowControl w:val="0"/>
        <w:tabs>
          <w:tab w:val="center" w:pos="0"/>
          <w:tab w:val="left" w:pos="2835"/>
        </w:tabs>
        <w:ind w:firstLine="2880"/>
      </w:pPr>
      <w:r>
        <w:t xml:space="preserve">El Código Procesal Penal rodea a la declaración indagatoria de una serie de formalidades que tienden a proteger al imputado de todo tipo de coacción, como así también a garantizar su espontaneidad (arts. </w:t>
      </w:r>
      <w:smartTag w:uri="urn:schemas-microsoft-com:office:smarttags" w:element="metricconverter">
        <w:smartTagPr>
          <w:attr w:name="ProductID" w:val="294 a"/>
        </w:smartTagPr>
        <w:r>
          <w:t>294 a</w:t>
        </w:r>
      </w:smartTag>
      <w:r>
        <w:t xml:space="preserve"> 305).</w:t>
      </w:r>
    </w:p>
    <w:p w:rsidR="00224567" w:rsidRDefault="00224567">
      <w:pPr>
        <w:widowControl w:val="0"/>
        <w:tabs>
          <w:tab w:val="center" w:pos="0"/>
          <w:tab w:val="left" w:pos="2835"/>
        </w:tabs>
        <w:ind w:firstLine="2880"/>
      </w:pPr>
      <w:r>
        <w:t>Para la época de las reuniones, la l</w:t>
      </w:r>
      <w:r>
        <w:t>e</w:t>
      </w:r>
      <w:r>
        <w:t>gislación procesal, sin excepción, contemplaba la declar</w:t>
      </w:r>
      <w:r>
        <w:t>a</w:t>
      </w:r>
      <w:r>
        <w:t>ción indagatoria como un acto que sólo podía ser recibido por el juez, limitándose los funcionarios del Ministerio Público Fiscal a formular las preguntas que autorice el juez (art. 203).</w:t>
      </w:r>
    </w:p>
    <w:p w:rsidR="00224567" w:rsidRDefault="00224567">
      <w:pPr>
        <w:widowControl w:val="0"/>
        <w:tabs>
          <w:tab w:val="center" w:pos="0"/>
          <w:tab w:val="left" w:pos="2835"/>
        </w:tabs>
        <w:ind w:firstLine="2880"/>
      </w:pPr>
      <w:r>
        <w:t>Se colige de lo expuesto que, en la especie, el fiscal extranjero fue autorizado a interr</w:t>
      </w:r>
      <w:r>
        <w:t>o</w:t>
      </w:r>
      <w:r>
        <w:t>gar a un detenido, confiriéndosele atribuciones que el código de rito no concedía para esa época, en ningún caso, a los funcionarios del Ministerio Público Fiscal intervinientes en el proceso.</w:t>
      </w:r>
    </w:p>
    <w:p w:rsidR="00224567" w:rsidRDefault="00224567">
      <w:pPr>
        <w:widowControl w:val="0"/>
        <w:tabs>
          <w:tab w:val="center" w:pos="0"/>
          <w:tab w:val="left" w:pos="2835"/>
        </w:tabs>
        <w:ind w:firstLine="2880"/>
      </w:pPr>
      <w:r>
        <w:t>Debido a la informalidad de los int</w:t>
      </w:r>
      <w:r>
        <w:t>e</w:t>
      </w:r>
      <w:r>
        <w:t>rrogatorios, no se acompañó pliego de preguntas, por lo que resulta imposible conocer los temas acerca de los cu</w:t>
      </w:r>
      <w:r>
        <w:t>a</w:t>
      </w:r>
      <w:r>
        <w:t>les fue interrogado; también se desconoce la modalidad e</w:t>
      </w:r>
      <w:r>
        <w:t>m</w:t>
      </w:r>
      <w:r>
        <w:t>ple</w:t>
      </w:r>
      <w:r>
        <w:t>a</w:t>
      </w:r>
      <w:r>
        <w:t>da para ello, en otras palabras, si el marco legal de pr</w:t>
      </w:r>
      <w:r>
        <w:t>o</w:t>
      </w:r>
      <w:r>
        <w:t>tección que prevé el código de forma fue respetado.</w:t>
      </w:r>
    </w:p>
    <w:p w:rsidR="00224567" w:rsidRDefault="00224567">
      <w:pPr>
        <w:widowControl w:val="0"/>
        <w:tabs>
          <w:tab w:val="center" w:pos="0"/>
          <w:tab w:val="left" w:pos="2835"/>
        </w:tabs>
        <w:ind w:firstLine="2880"/>
      </w:pPr>
      <w:r>
        <w:t>Al ser ello así, cabe afirmar que la aludida entrevista estuvo muy lejos de adecuarse a las costumbres internacionales de ayuda mutua, como sostuvo el juez en su resolución, puesto que se desconoce en que co</w:t>
      </w:r>
      <w:r>
        <w:t>n</w:t>
      </w:r>
      <w:r>
        <w:t>sistió el auxilio, como también en qué calidad declaró T</w:t>
      </w:r>
      <w:r>
        <w:t>e</w:t>
      </w:r>
      <w:r>
        <w:t>lleldín.</w:t>
      </w:r>
    </w:p>
    <w:p w:rsidR="00224567" w:rsidRDefault="00224567">
      <w:pPr>
        <w:widowControl w:val="0"/>
      </w:pPr>
      <w:r>
        <w:tab/>
      </w:r>
      <w:r>
        <w:rPr>
          <w:b/>
          <w:bCs/>
        </w:rPr>
        <w:t xml:space="preserve">U.7) </w:t>
      </w:r>
      <w:r>
        <w:t>Uno de los métodos utilizados por el juez Galeano en la tramitación de la causa fue la cre</w:t>
      </w:r>
      <w:r>
        <w:t>a</w:t>
      </w:r>
      <w:r>
        <w:t>ción de legajos de investigación, cuya implementación fu</w:t>
      </w:r>
      <w:r>
        <w:t>n</w:t>
      </w:r>
      <w:r>
        <w:t>damentó en la necesidad de una mejor organ</w:t>
      </w:r>
      <w:r>
        <w:t>i</w:t>
      </w:r>
      <w:r>
        <w:t>zación.</w:t>
      </w:r>
    </w:p>
    <w:p w:rsidR="00224567" w:rsidRDefault="00224567">
      <w:pPr>
        <w:widowControl w:val="0"/>
      </w:pPr>
      <w:r>
        <w:tab/>
      </w:r>
      <w:r>
        <w:tab/>
        <w:t>Así, el magistrado lo explicó a fs. 10.465, al disponer que “</w:t>
      </w:r>
      <w:r>
        <w:rPr>
          <w:b/>
          <w:bCs/>
        </w:rPr>
        <w:t>con el solo objeto de e</w:t>
      </w:r>
      <w:r>
        <w:rPr>
          <w:b/>
          <w:bCs/>
        </w:rPr>
        <w:t>n</w:t>
      </w:r>
      <w:r>
        <w:rPr>
          <w:b/>
          <w:bCs/>
        </w:rPr>
        <w:t>carar la presente pesquisa hacia la pista que determine su diluc</w:t>
      </w:r>
      <w:r>
        <w:rPr>
          <w:b/>
          <w:bCs/>
        </w:rPr>
        <w:t>i</w:t>
      </w:r>
      <w:r>
        <w:rPr>
          <w:b/>
          <w:bCs/>
        </w:rPr>
        <w:t>dación</w:t>
      </w:r>
      <w:r>
        <w:t>” (la negrita pertenece a este Tribunal), correspo</w:t>
      </w:r>
      <w:r>
        <w:t>n</w:t>
      </w:r>
      <w:r>
        <w:t>día realizar determinadas diligencias, y a los efe</w:t>
      </w:r>
      <w:r>
        <w:t>c</w:t>
      </w:r>
      <w:r>
        <w:t>tos de una mejor organización, tramitar cada una de ellas en l</w:t>
      </w:r>
      <w:r>
        <w:t>e</w:t>
      </w:r>
      <w:r>
        <w:t>gajos por separado.</w:t>
      </w:r>
    </w:p>
    <w:p w:rsidR="00224567" w:rsidRDefault="00224567">
      <w:pPr>
        <w:widowControl w:val="0"/>
      </w:pPr>
      <w:r>
        <w:tab/>
      </w:r>
      <w:r>
        <w:tab/>
        <w:t>Más allá de lo señalado en el punto A) del presente capítulo, con relación al manejo antojadizo de estos legajos, debe ponerse de resalto que durante el trámite de la instrucción, mediante este proceder, el Dr. Galeano se apropió anómalamente de competencia para inve</w:t>
      </w:r>
      <w:r>
        <w:t>s</w:t>
      </w:r>
      <w:r>
        <w:t>tigar delitos para los que no estaba habilitado; de los que a continuación se detallarán algunos a modo de eje</w:t>
      </w:r>
      <w:r>
        <w:t>m</w:t>
      </w:r>
      <w:r>
        <w:t>plo.</w:t>
      </w:r>
    </w:p>
    <w:p w:rsidR="00224567" w:rsidRDefault="00224567">
      <w:pPr>
        <w:widowControl w:val="0"/>
      </w:pPr>
      <w:r>
        <w:tab/>
        <w:t>El primer grupo de estas irregularid</w:t>
      </w:r>
      <w:r>
        <w:t>a</w:t>
      </w:r>
      <w:r>
        <w:t>des consistió en la investigación de delitos no sólo vi</w:t>
      </w:r>
      <w:r>
        <w:t>n</w:t>
      </w:r>
      <w:r>
        <w:t>culados con su propia actuación, sino nacidos también de ella.</w:t>
      </w:r>
    </w:p>
    <w:p w:rsidR="00224567" w:rsidRDefault="00224567">
      <w:pPr>
        <w:widowControl w:val="0"/>
      </w:pPr>
      <w:r>
        <w:tab/>
        <w:t>Otro caso, en los que el juez despl</w:t>
      </w:r>
      <w:r>
        <w:t>e</w:t>
      </w:r>
      <w:r>
        <w:t>gó su irregular y oficiosa prórroga de competencia, e</w:t>
      </w:r>
      <w:r>
        <w:t>s</w:t>
      </w:r>
      <w:r>
        <w:t>tá dado por la gran cantidad de hechos que llegaban d</w:t>
      </w:r>
      <w:r>
        <w:t>e</w:t>
      </w:r>
      <w:r>
        <w:t>nunciados a sus estrados, y que tramitó aunque no guardaban ninguna vinculación con el objeto procesal de la pesquisa a su cargo.</w:t>
      </w:r>
    </w:p>
    <w:p w:rsidR="00224567" w:rsidRDefault="00224567">
      <w:pPr>
        <w:widowControl w:val="0"/>
      </w:pPr>
      <w:r>
        <w:tab/>
        <w:t>De igual forma, el magistrado retomó investigaciones ya cerradas por delitos investigados en otras sedes jurisdiccionales, reeditando su trámite sin que dicho proceder fuese motivado por la aparición de nu</w:t>
      </w:r>
      <w:r>
        <w:t>e</w:t>
      </w:r>
      <w:r>
        <w:t>vos elementos de juicio que justificaran la profu</w:t>
      </w:r>
      <w:r>
        <w:t>n</w:t>
      </w:r>
      <w:r>
        <w:t>dización de la pesquisa.</w:t>
      </w:r>
    </w:p>
    <w:p w:rsidR="00224567" w:rsidRDefault="00224567">
      <w:pPr>
        <w:widowControl w:val="0"/>
      </w:pPr>
      <w:r>
        <w:tab/>
        <w:t>Todo esto fue instrumentado a través de incidentes, legajos y actuaciones incorporadas al exp</w:t>
      </w:r>
      <w:r>
        <w:t>e</w:t>
      </w:r>
      <w:r>
        <w:t>diente principal de manera arbitraria y en clara violación de las normas del ordenamiento formal que rigen la comp</w:t>
      </w:r>
      <w:r>
        <w:t>e</w:t>
      </w:r>
      <w:r>
        <w:t>tencia.</w:t>
      </w:r>
    </w:p>
    <w:p w:rsidR="00224567" w:rsidRDefault="00224567">
      <w:pPr>
        <w:widowControl w:val="0"/>
      </w:pPr>
      <w:r>
        <w:tab/>
        <w:t>Cabe destacar que estas graves irreg</w:t>
      </w:r>
      <w:r>
        <w:t>u</w:t>
      </w:r>
      <w:r>
        <w:t>laridades fueron consentidas en todo momento por los fi</w:t>
      </w:r>
      <w:r>
        <w:t>s</w:t>
      </w:r>
      <w:r>
        <w:t>cales f</w:t>
      </w:r>
      <w:r>
        <w:t>e</w:t>
      </w:r>
      <w:r>
        <w:t>derales Eamon Mullen y José Barbaccia.</w:t>
      </w:r>
    </w:p>
    <w:p w:rsidR="00224567" w:rsidRDefault="00224567">
      <w:pPr>
        <w:widowControl w:val="0"/>
      </w:pPr>
      <w:r>
        <w:tab/>
        <w:t>En el primer grupo se ubica la acept</w:t>
      </w:r>
      <w:r>
        <w:t>a</w:t>
      </w:r>
      <w:r>
        <w:t>ción irregular de competencia para investigar tanto la d</w:t>
      </w:r>
      <w:r>
        <w:t>e</w:t>
      </w:r>
      <w:r>
        <w:t>tención de César Fernández, como los hechos relacionados con la desaparición de los casetes correspo</w:t>
      </w:r>
      <w:r>
        <w:t>n</w:t>
      </w:r>
      <w:r>
        <w:t>dientes a las escuchas telefónicas del abonado 768-0902 de Carlos Albe</w:t>
      </w:r>
      <w:r>
        <w:t>r</w:t>
      </w:r>
      <w:r>
        <w:t>to Telleldín.</w:t>
      </w:r>
    </w:p>
    <w:p w:rsidR="00224567" w:rsidRDefault="00224567">
      <w:pPr>
        <w:widowControl w:val="0"/>
      </w:pPr>
      <w:r>
        <w:tab/>
        <w:t>Esos hechos serán puntualizados acab</w:t>
      </w:r>
      <w:r>
        <w:t>a</w:t>
      </w:r>
      <w:r>
        <w:t>damente en otro punto del presente decisorio; sin perju</w:t>
      </w:r>
      <w:r>
        <w:t>i</w:t>
      </w:r>
      <w:r>
        <w:t>cio de ello, cabe señalar aquí que en el caso de Ferná</w:t>
      </w:r>
      <w:r>
        <w:t>n</w:t>
      </w:r>
      <w:r>
        <w:t>dez, el</w:t>
      </w:r>
      <w:r>
        <w:rPr>
          <w:b/>
          <w:bCs/>
        </w:rPr>
        <w:t xml:space="preserve"> </w:t>
      </w:r>
      <w:r>
        <w:t>juez Galeano –acompañado por los fiscales Mullen y Barbaccia-, omitió denunciar el delito de apremios ileg</w:t>
      </w:r>
      <w:r>
        <w:t>a</w:t>
      </w:r>
      <w:r>
        <w:t>les, del que tuvo con</w:t>
      </w:r>
      <w:r>
        <w:t>o</w:t>
      </w:r>
      <w:r>
        <w:t>cimiento de boca del nombrado el 25 de octubre de 1995 (fs. 18.917/925).</w:t>
      </w:r>
    </w:p>
    <w:p w:rsidR="00224567" w:rsidRDefault="00224567">
      <w:pPr>
        <w:widowControl w:val="0"/>
      </w:pPr>
      <w:r>
        <w:tab/>
        <w:t>De similar manera obró en la confe</w:t>
      </w:r>
      <w:r>
        <w:t>c</w:t>
      </w:r>
      <w:r>
        <w:t>ción del Legajo nº 191 relacionado con la desaparición de casetes correspondiente a la intervención del abonado nº 768-0902, el cual fue agregado en su totalidad entre fs. 30.941 y fs. 31.403.</w:t>
      </w:r>
    </w:p>
    <w:p w:rsidR="00224567" w:rsidRDefault="00224567">
      <w:pPr>
        <w:widowControl w:val="0"/>
      </w:pPr>
      <w:r>
        <w:tab/>
        <w:t>En otros casos, el magistrado, inve</w:t>
      </w:r>
      <w:r>
        <w:t>s</w:t>
      </w:r>
      <w:r>
        <w:t>tigó delitos en los que era claramente incompetente. Entre ellos cabe me</w:t>
      </w:r>
      <w:r>
        <w:t>n</w:t>
      </w:r>
      <w:r>
        <w:t>cionar a:</w:t>
      </w:r>
    </w:p>
    <w:p w:rsidR="00224567" w:rsidRDefault="00224567">
      <w:pPr>
        <w:widowControl w:val="0"/>
      </w:pPr>
      <w:r>
        <w:tab/>
        <w:t>a) “Incidente relativo a una present</w:t>
      </w:r>
      <w:r>
        <w:t>a</w:t>
      </w:r>
      <w:r>
        <w:t>ción del Dr. Víctor Stinfale”, que fuera acumulado con posterioridad a los autos principales (fs. 26.695/26.710).</w:t>
      </w:r>
    </w:p>
    <w:p w:rsidR="00224567" w:rsidRDefault="00224567">
      <w:pPr>
        <w:widowControl w:val="0"/>
      </w:pPr>
      <w:r>
        <w:tab/>
      </w:r>
      <w:r>
        <w:tab/>
        <w:t>Esta anómala incidencia, pues propi</w:t>
      </w:r>
      <w:r>
        <w:t>a</w:t>
      </w:r>
      <w:r>
        <w:t>mente se trata de una denuncia ajena al expediente, fue iniciada el 20 de junio de 1997 ante una pr</w:t>
      </w:r>
      <w:r>
        <w:t>e</w:t>
      </w:r>
      <w:r>
        <w:t>sentación del abogado defensor de Carlos Alberto Telleldín, en la que denunciaba haber recibido amenazas a través de su línea telef</w:t>
      </w:r>
      <w:r>
        <w:t>ó</w:t>
      </w:r>
      <w:r>
        <w:t>nica.</w:t>
      </w:r>
    </w:p>
    <w:p w:rsidR="00224567" w:rsidRDefault="00224567">
      <w:pPr>
        <w:widowControl w:val="0"/>
      </w:pPr>
      <w:r>
        <w:tab/>
        <w:t>Ante estos hechos, el Dr. Galeano, p</w:t>
      </w:r>
      <w:r>
        <w:t>i</w:t>
      </w:r>
      <w:r>
        <w:t xml:space="preserve">dió a </w:t>
      </w:r>
      <w:smartTag w:uri="urn:schemas-microsoft-com:office:smarttags" w:element="PersonName">
        <w:smartTagPr>
          <w:attr w:name="ProductID" w:val="la Direcci￳n"/>
        </w:smartTagPr>
        <w:r>
          <w:t>la Dirección</w:t>
        </w:r>
      </w:smartTag>
      <w:r>
        <w:t xml:space="preserve"> de Observaciones Judiciales de </w:t>
      </w:r>
      <w:smartTag w:uri="urn:schemas-microsoft-com:office:smarttags" w:element="PersonName">
        <w:smartTagPr>
          <w:attr w:name="ProductID" w:val="la Secretar￭a"/>
        </w:smartTagPr>
        <w:r>
          <w:t>la S</w:t>
        </w:r>
        <w:r>
          <w:t>e</w:t>
        </w:r>
        <w:r>
          <w:t>cretaría</w:t>
        </w:r>
      </w:smartTag>
      <w:r>
        <w:t xml:space="preserve"> de Inteligencia de Estado que informe la titul</w:t>
      </w:r>
      <w:r>
        <w:t>a</w:t>
      </w:r>
      <w:r>
        <w:t>ridad del abonado telefónico desde el cual se efectuaran los llamados intimidantes. Todo ello, otra vez, con la anue</w:t>
      </w:r>
      <w:r>
        <w:t>n</w:t>
      </w:r>
      <w:r>
        <w:t>cia del fiscal Mullen, quien formuló, por dos hechos diferentes, sendos requerimientos de in</w:t>
      </w:r>
      <w:r>
        <w:t>s</w:t>
      </w:r>
      <w:r>
        <w:t>trucción.</w:t>
      </w:r>
    </w:p>
    <w:p w:rsidR="00224567" w:rsidRDefault="00224567">
      <w:pPr>
        <w:widowControl w:val="0"/>
      </w:pPr>
      <w:r>
        <w:tab/>
        <w:t>Luego de determinar la titularidad del abonado y constatar que ya existía una investigación por delitos conexos, en un juzgado correccional, el juez d</w:t>
      </w:r>
      <w:r>
        <w:t>e</w:t>
      </w:r>
      <w:r>
        <w:t>clinó su competencia, pasado un mes de la denuncia in</w:t>
      </w:r>
      <w:r>
        <w:t>i</w:t>
      </w:r>
      <w:r>
        <w:t>cial, que jamás debió tramitar.</w:t>
      </w:r>
    </w:p>
    <w:p w:rsidR="00224567" w:rsidRDefault="00224567">
      <w:pPr>
        <w:widowControl w:val="0"/>
      </w:pPr>
      <w:r>
        <w:tab/>
      </w:r>
      <w:r>
        <w:tab/>
        <w:t>b) Tal como en el caso anteriormente reseñado, aunque mediante otra mecánica, el magistrado instructor ordenó la formación del Legajo nº 220 “Relativo a amenazas telefónicas recibidas por el diputado Carlos Soria”, a raíz de un llamado de su s</w:t>
      </w:r>
      <w:r>
        <w:t>e</w:t>
      </w:r>
      <w:r>
        <w:t>cretaria privada el 5 de diciembre de 1997 por el que puso en conocimiento del juez que el diputado había recibido llamados telefónicos anónimos, en los cuales le profirieron amenazas de muerte debido a su tarea legi</w:t>
      </w:r>
      <w:r>
        <w:t>s</w:t>
      </w:r>
      <w:r>
        <w:t xml:space="preserve">lativa relacionada con el atentado a la sede de </w:t>
      </w:r>
      <w:smartTag w:uri="urn:schemas-microsoft-com:office:smarttags" w:element="PersonName">
        <w:smartTagPr>
          <w:attr w:name="ProductID" w:val="la A.M"/>
        </w:smartTagPr>
        <w:r>
          <w:t>la A.M</w:t>
        </w:r>
      </w:smartTag>
      <w:r>
        <w:t>.I.A.</w:t>
      </w:r>
    </w:p>
    <w:p w:rsidR="00224567" w:rsidRDefault="00224567">
      <w:pPr>
        <w:widowControl w:val="0"/>
      </w:pPr>
      <w:r>
        <w:tab/>
      </w:r>
      <w:r>
        <w:tab/>
        <w:t>Por ello ordenó una serie de medidas tendientes a esclarecer el hecho denunciado y luego cu</w:t>
      </w:r>
      <w:r>
        <w:t>m</w:t>
      </w:r>
      <w:r>
        <w:t>plió con lo dispuesto por el art. 180 del C</w:t>
      </w:r>
      <w:r>
        <w:t>ó</w:t>
      </w:r>
      <w:r>
        <w:t xml:space="preserve">digo Procesal Penal de </w:t>
      </w:r>
      <w:smartTag w:uri="urn:schemas-microsoft-com:office:smarttags" w:element="PersonName">
        <w:smartTagPr>
          <w:attr w:name="ProductID" w:val="la Naci￳n. Al"/>
        </w:smartTagPr>
        <w:r>
          <w:t>la Nación. Al</w:t>
        </w:r>
      </w:smartTag>
      <w:r>
        <w:t xml:space="preserve"> formular requerimiento de instru</w:t>
      </w:r>
      <w:r>
        <w:t>c</w:t>
      </w:r>
      <w:r>
        <w:t>ción, los fi</w:t>
      </w:r>
      <w:r>
        <w:t>s</w:t>
      </w:r>
      <w:r>
        <w:t>cales consideraron que debía continuarse con la investigación, disponiendo todas aquellas medidas co</w:t>
      </w:r>
      <w:r>
        <w:t>n</w:t>
      </w:r>
      <w:r>
        <w:t>ducentes a la individualización de los autores de las am</w:t>
      </w:r>
      <w:r>
        <w:t>e</w:t>
      </w:r>
      <w:r>
        <w:t>nazas denunci</w:t>
      </w:r>
      <w:r>
        <w:t>a</w:t>
      </w:r>
      <w:r>
        <w:t>das.</w:t>
      </w:r>
    </w:p>
    <w:p w:rsidR="00224567" w:rsidRDefault="00224567">
      <w:pPr>
        <w:widowControl w:val="0"/>
      </w:pPr>
      <w:r>
        <w:tab/>
      </w:r>
      <w:r>
        <w:tab/>
        <w:t>Así fue que el legajo mantuvo vivo su trámite durante tres años y, ante la imposibilidad de e</w:t>
      </w:r>
      <w:r>
        <w:t>s</w:t>
      </w:r>
      <w:r>
        <w:t>tablecer el origen de las llamadas amenazantes, fue arch</w:t>
      </w:r>
      <w:r>
        <w:t>i</w:t>
      </w:r>
      <w:r>
        <w:t>vado el 4 de febrero de 2000.</w:t>
      </w:r>
    </w:p>
    <w:p w:rsidR="00224567" w:rsidRDefault="00224567">
      <w:pPr>
        <w:widowControl w:val="0"/>
      </w:pPr>
      <w:r>
        <w:tab/>
      </w:r>
      <w:r>
        <w:tab/>
        <w:t>c) De similar manera procedió en el Legajo nº 161 “relativo a llamados telefónicos recibidos por personal del Tribunal”, originado por un informe que efectuó el 14 de mayo de 1997 el entonces prosecretario Claudio Adrián Lifschitz, donde denunció la recepción de llamados telef</w:t>
      </w:r>
      <w:r>
        <w:t>ó</w:t>
      </w:r>
      <w:r>
        <w:t>nicos amenazantes.</w:t>
      </w:r>
    </w:p>
    <w:p w:rsidR="00224567" w:rsidRDefault="00224567">
      <w:pPr>
        <w:widowControl w:val="0"/>
      </w:pPr>
      <w:r>
        <w:tab/>
      </w:r>
      <w:r>
        <w:tab/>
        <w:t>El 23 de octubre de 2002, cinco años después y luego de cuatro cuerpos de actuaciones, el juez reso</w:t>
      </w:r>
      <w:r>
        <w:t>l</w:t>
      </w:r>
      <w:r>
        <w:t>vió archivar el legajo.</w:t>
      </w:r>
    </w:p>
    <w:p w:rsidR="00224567" w:rsidRDefault="00224567">
      <w:pPr>
        <w:widowControl w:val="0"/>
      </w:pPr>
      <w:r>
        <w:tab/>
        <w:t>Durante su tramitación, además del m</w:t>
      </w:r>
      <w:r>
        <w:t>o</w:t>
      </w:r>
      <w:r>
        <w:t>tivo inicial, se encargó también de investigar a Lifschitz, analizando tanto las llamadas entrantes como las salientes de su teléfono, haciendo un juicio de valor al respecto. Así fue que, en la resolución final, dedicó cinco carillas para calificar y opinar sobre la conducta del prosecretario; trayendo a c</w:t>
      </w:r>
      <w:r>
        <w:t>o</w:t>
      </w:r>
      <w:r>
        <w:t>lación, entre otras cosas, las sospechas que recayeron sobre el fu</w:t>
      </w:r>
      <w:r>
        <w:t>n</w:t>
      </w:r>
      <w:r>
        <w:t>cionario a raíz de la desaparición del video del 1º de julio de 1996.</w:t>
      </w:r>
    </w:p>
    <w:p w:rsidR="00224567" w:rsidRDefault="00224567">
      <w:pPr>
        <w:widowControl w:val="0"/>
      </w:pPr>
      <w:r>
        <w:tab/>
      </w:r>
      <w:r>
        <w:tab/>
        <w:t>Esta circunstancia resulta sorprende</w:t>
      </w:r>
      <w:r>
        <w:t>n</w:t>
      </w:r>
      <w:r>
        <w:t>te, toda vez que, si como dijo el magistrado los rumores de sospecha circularon entre marzo y abril de 1997, no se entiende por qué no aportó ese dato a la causa que con m</w:t>
      </w:r>
      <w:r>
        <w:t>o</w:t>
      </w:r>
      <w:r>
        <w:t>tivo de la de</w:t>
      </w:r>
      <w:r>
        <w:t>s</w:t>
      </w:r>
      <w:r>
        <w:t>aparición del video se inició el 30 de marzo de 1997 ante el juzgado del Dr. Oyarbide.</w:t>
      </w:r>
    </w:p>
    <w:p w:rsidR="00224567" w:rsidRDefault="00224567">
      <w:pPr>
        <w:widowControl w:val="0"/>
      </w:pPr>
      <w:r>
        <w:tab/>
      </w:r>
      <w:r>
        <w:tab/>
        <w:t xml:space="preserve">d) Otro de los casos paradigmáticos que no pueden dejar de señalarse lo constituye el Legajo nº 238 “Relativo a dichos de Ana María Boragni y Carlos Esteban Irazabal s/ posibilidad de un tercer atentado”, que fue iniciado el 26 de febrero de </w:t>
      </w:r>
      <w:smartTag w:uri="urn:schemas-microsoft-com:office:smarttags" w:element="metricconverter">
        <w:smartTagPr>
          <w:attr w:name="ProductID" w:val="1998 a"/>
        </w:smartTagPr>
        <w:r>
          <w:t>1998 a</w:t>
        </w:r>
      </w:smartTag>
      <w:r>
        <w:t xml:space="preserve"> raíz de la d</w:t>
      </w:r>
      <w:r>
        <w:t>e</w:t>
      </w:r>
      <w:r>
        <w:t>nuncia formulada por los nombrados ante la posibilidad de un tercer atentado terrorista en nuestro país. El Dr. G</w:t>
      </w:r>
      <w:r>
        <w:t>a</w:t>
      </w:r>
      <w:r>
        <w:t xml:space="preserve">leano ordenó diferentes medidas instructorias, entre las cuales dio intervención a </w:t>
      </w:r>
      <w:smartTag w:uri="urn:schemas-microsoft-com:office:smarttags" w:element="PersonName">
        <w:smartTagPr>
          <w:attr w:name="ProductID" w:val="la Secretar￭a"/>
        </w:smartTagPr>
        <w:r>
          <w:t>la Secretaría</w:t>
        </w:r>
      </w:smartTag>
      <w:r>
        <w:t xml:space="preserve"> de Intel</w:t>
      </w:r>
      <w:r>
        <w:t>i</w:t>
      </w:r>
      <w:r>
        <w:t>gencia de Estado.</w:t>
      </w:r>
    </w:p>
    <w:p w:rsidR="00224567" w:rsidRDefault="00224567">
      <w:pPr>
        <w:widowControl w:val="0"/>
      </w:pPr>
      <w:r>
        <w:tab/>
      </w:r>
      <w:r>
        <w:tab/>
        <w:t>Cuatro meses después, el 26 de junio de 1998, corrió vista al fiscal y, ante la imposibilidad de confirmar la hipótesis, resolvió reservar las actuaci</w:t>
      </w:r>
      <w:r>
        <w:t>o</w:t>
      </w:r>
      <w:r>
        <w:t>nes en s</w:t>
      </w:r>
      <w:r>
        <w:t>e</w:t>
      </w:r>
      <w:r>
        <w:t>cretaría.</w:t>
      </w:r>
    </w:p>
    <w:p w:rsidR="00224567" w:rsidRDefault="00224567">
      <w:pPr>
        <w:widowControl w:val="0"/>
      </w:pPr>
      <w:r>
        <w:tab/>
      </w:r>
      <w:r>
        <w:tab/>
        <w:t>Sin perjuicio de la dudosa credibil</w:t>
      </w:r>
      <w:r>
        <w:t>i</w:t>
      </w:r>
      <w:r>
        <w:t>dad de la denuncia, en la que no se aportaban datos feh</w:t>
      </w:r>
      <w:r>
        <w:t>a</w:t>
      </w:r>
      <w:r>
        <w:t>cientes sino sólo dichos de terceros, el juez, en una gr</w:t>
      </w:r>
      <w:r>
        <w:t>o</w:t>
      </w:r>
      <w:r>
        <w:t>tesca actividad preventiva nuevamente se adjudicó comp</w:t>
      </w:r>
      <w:r>
        <w:t>e</w:t>
      </w:r>
      <w:r>
        <w:t>tencia para entender en hechos que nada tenían que ver con su función.</w:t>
      </w:r>
    </w:p>
    <w:p w:rsidR="00224567" w:rsidRDefault="00224567">
      <w:pPr>
        <w:widowControl w:val="0"/>
      </w:pPr>
      <w:r>
        <w:tab/>
      </w:r>
      <w:r>
        <w:tab/>
        <w:t>e) Legajo nº 256 “anónimo relativo a grupos naci</w:t>
      </w:r>
      <w:r>
        <w:t>o</w:t>
      </w:r>
      <w:r>
        <w:t xml:space="preserve">nalistas neo-nazis” iniciado el 14 de mayo de </w:t>
      </w:r>
      <w:smartTag w:uri="urn:schemas-microsoft-com:office:smarttags" w:element="metricconverter">
        <w:smartTagPr>
          <w:attr w:name="ProductID" w:val="1998 a"/>
        </w:smartTagPr>
        <w:r>
          <w:t>1998 a</w:t>
        </w:r>
      </w:smartTag>
      <w:r>
        <w:t xml:space="preserve"> raíz de unas publicaciones de Internet que fueron dejadas en forma anónima en la mesa de entradas del juzg</w:t>
      </w:r>
      <w:r>
        <w:t>a</w:t>
      </w:r>
      <w:r>
        <w:t>do.</w:t>
      </w:r>
    </w:p>
    <w:p w:rsidR="00224567" w:rsidRDefault="00224567">
      <w:pPr>
        <w:widowControl w:val="0"/>
      </w:pPr>
      <w:r>
        <w:tab/>
      </w:r>
      <w:r>
        <w:tab/>
        <w:t>En atención a dicho hallazgo, y antes de correr vista al fiscal en los términos del art. 180 del C.P.P.N., el juez dispuso una serie de medidas entre las que ordenó librar oficio al Jefe del Departamento Unidad de Investigación Antiterrorista y al área de contraintel</w:t>
      </w:r>
      <w:r>
        <w:t>i</w:t>
      </w:r>
      <w:r>
        <w:t xml:space="preserve">gencia interior de </w:t>
      </w:r>
      <w:smartTag w:uri="urn:schemas-microsoft-com:office:smarttags" w:element="PersonName">
        <w:smartTagPr>
          <w:attr w:name="ProductID" w:val="la S.I"/>
        </w:smartTagPr>
        <w:r>
          <w:t>la S.I</w:t>
        </w:r>
      </w:smartTag>
      <w:r>
        <w:t>.D.E. para que intenten determ</w:t>
      </w:r>
      <w:r>
        <w:t>i</w:t>
      </w:r>
      <w:r>
        <w:t>nar el origen de las publicaciones y si los grupos y pe</w:t>
      </w:r>
      <w:r>
        <w:t>r</w:t>
      </w:r>
      <w:r>
        <w:t>sonas allí mencionados t</w:t>
      </w:r>
      <w:r>
        <w:t>e</w:t>
      </w:r>
      <w:r>
        <w:t xml:space="preserve">nían algo que ver en el atentado a </w:t>
      </w:r>
      <w:smartTag w:uri="urn:schemas-microsoft-com:office:smarttags" w:element="PersonName">
        <w:smartTagPr>
          <w:attr w:name="ProductID" w:val="la A.M"/>
        </w:smartTagPr>
        <w:r>
          <w:t>la A.M</w:t>
        </w:r>
      </w:smartTag>
      <w:r>
        <w:t>.I.A.</w:t>
      </w:r>
    </w:p>
    <w:p w:rsidR="00224567" w:rsidRDefault="00224567">
      <w:pPr>
        <w:widowControl w:val="0"/>
      </w:pPr>
      <w:r>
        <w:tab/>
      </w:r>
      <w:r>
        <w:tab/>
        <w:t>Al contestar la vista establec</w:t>
      </w:r>
      <w:r>
        <w:t>i</w:t>
      </w:r>
      <w:r>
        <w:t>da por el art. 180 del C.P.P.N. el fiscal José Barbaccia consid</w:t>
      </w:r>
      <w:r>
        <w:t>e</w:t>
      </w:r>
      <w:r>
        <w:t>ró que el magistrado debía declarar su incompetencia p</w:t>
      </w:r>
      <w:r>
        <w:t>a</w:t>
      </w:r>
      <w:r>
        <w:t>ra continuar investigando toda vez que, el material apo</w:t>
      </w:r>
      <w:r>
        <w:t>r</w:t>
      </w:r>
      <w:r>
        <w:t>tado en forma anónima, no guardaba relación alguna con el ate</w:t>
      </w:r>
      <w:r>
        <w:t>n</w:t>
      </w:r>
      <w:r>
        <w:t>tado terrorista perpetrado contra la mutual judía. Sin perjuicio de ello, postuló la extracción de testimonios de la totalidad del legajo a fin de proseguir con el cumpl</w:t>
      </w:r>
      <w:r>
        <w:t>i</w:t>
      </w:r>
      <w:r>
        <w:t>miento de lo dispuesto en el decreto antes ref</w:t>
      </w:r>
      <w:r>
        <w:t>e</w:t>
      </w:r>
      <w:r>
        <w:t>rido.</w:t>
      </w:r>
    </w:p>
    <w:p w:rsidR="00224567" w:rsidRDefault="00224567">
      <w:pPr>
        <w:widowControl w:val="0"/>
      </w:pPr>
      <w:r>
        <w:tab/>
        <w:t>Así fue que, con esa salvedad, el 20 de mayo de 1998, el Dr. Galeano, por una parte se d</w:t>
      </w:r>
      <w:r>
        <w:t>e</w:t>
      </w:r>
      <w:r>
        <w:t>claró incompetente para entender en el evento de marras, sin perjuicio de continuar investigándolo al disponer que d</w:t>
      </w:r>
      <w:r>
        <w:t>e</w:t>
      </w:r>
      <w:r>
        <w:t>bía aguardarse el resultado de las medidas ya ordenadas.</w:t>
      </w:r>
    </w:p>
    <w:p w:rsidR="00224567" w:rsidRDefault="00224567">
      <w:pPr>
        <w:widowControl w:val="0"/>
      </w:pPr>
      <w:r>
        <w:tab/>
      </w:r>
      <w:r>
        <w:tab/>
        <w:t>Paradójicamente, el 24 de febrero de 2000 y en virtud de la inexistencia de elementos que h</w:t>
      </w:r>
      <w:r>
        <w:t>i</w:t>
      </w:r>
      <w:r>
        <w:t>ciesen suponer la participación de los investig</w:t>
      </w:r>
      <w:r>
        <w:t>a</w:t>
      </w:r>
      <w:r>
        <w:t xml:space="preserve">dos, en el atentado contra la sede de </w:t>
      </w:r>
      <w:smartTag w:uri="urn:schemas-microsoft-com:office:smarttags" w:element="PersonName">
        <w:smartTagPr>
          <w:attr w:name="ProductID" w:val="la A.M"/>
        </w:smartTagPr>
        <w:r>
          <w:t>la A.M</w:t>
        </w:r>
      </w:smartTag>
      <w:r>
        <w:t>.I.A. el juez Galeano r</w:t>
      </w:r>
      <w:r>
        <w:t>e</w:t>
      </w:r>
      <w:r>
        <w:t>solvió reservarlo en secretaría. Igual fundamento val</w:t>
      </w:r>
      <w:r>
        <w:t>o</w:t>
      </w:r>
      <w:r>
        <w:t>ró a la hora de declarar su incompete</w:t>
      </w:r>
      <w:r>
        <w:t>n</w:t>
      </w:r>
      <w:r>
        <w:t>cia.</w:t>
      </w:r>
    </w:p>
    <w:p w:rsidR="00224567" w:rsidRDefault="00224567">
      <w:pPr>
        <w:widowControl w:val="0"/>
      </w:pPr>
      <w:r>
        <w:tab/>
      </w:r>
      <w:r>
        <w:tab/>
        <w:t>Así se advierte que, el temperamento adoptado, tanto por el juez como por el Minist</w:t>
      </w:r>
      <w:r>
        <w:t>e</w:t>
      </w:r>
      <w:r>
        <w:t>rio Público Fiscal fue francamente contradictorio puesto que la decl</w:t>
      </w:r>
      <w:r>
        <w:t>a</w:t>
      </w:r>
      <w:r>
        <w:t>ración de incompetencia fundamentada en la ajenidad del hecho denunciado, es incongruente con la medida di</w:t>
      </w:r>
      <w:r>
        <w:t>s</w:t>
      </w:r>
      <w:r>
        <w:t>puesta por el juez y consentida por el fiscal en el decreto ref</w:t>
      </w:r>
      <w:r>
        <w:t>e</w:t>
      </w:r>
      <w:r>
        <w:t xml:space="preserve">rido </w:t>
      </w:r>
      <w:r>
        <w:rPr>
          <w:u w:val="single"/>
        </w:rPr>
        <w:t>ut supra</w:t>
      </w:r>
      <w:r>
        <w:t>.</w:t>
      </w:r>
    </w:p>
    <w:p w:rsidR="00224567" w:rsidRDefault="00224567">
      <w:pPr>
        <w:widowControl w:val="0"/>
      </w:pPr>
      <w:r>
        <w:tab/>
        <w:t>f) Legajo nº 230 “relativo al trasl</w:t>
      </w:r>
      <w:r>
        <w:t>a</w:t>
      </w:r>
      <w:r>
        <w:t xml:space="preserve">do de explosivos en imágenes religiosas”, iniciado el 20 de enero de </w:t>
      </w:r>
      <w:smartTag w:uri="urn:schemas-microsoft-com:office:smarttags" w:element="metricconverter">
        <w:smartTagPr>
          <w:attr w:name="ProductID" w:val="1998, a"/>
        </w:smartTagPr>
        <w:r>
          <w:t>1998, a</w:t>
        </w:r>
      </w:smartTag>
      <w:r>
        <w:t xml:space="preserve"> raíz de un fax remitido por </w:t>
      </w:r>
      <w:smartTag w:uri="urn:schemas-microsoft-com:office:smarttags" w:element="PersonName">
        <w:smartTagPr>
          <w:attr w:name="ProductID" w:val="la Direcci￳n"/>
        </w:smartTagPr>
        <w:r>
          <w:t>la Dirección</w:t>
        </w:r>
      </w:smartTag>
      <w:r>
        <w:t xml:space="preserve"> de Inteligencia de </w:t>
      </w:r>
      <w:smartTag w:uri="urn:schemas-microsoft-com:office:smarttags" w:element="PersonName">
        <w:smartTagPr>
          <w:attr w:name="ProductID" w:val="la Polic￭a Bonaerense"/>
        </w:smartTagPr>
        <w:r>
          <w:t>la Policía Bonaerense</w:t>
        </w:r>
      </w:smartTag>
      <w:r>
        <w:t>, en el que se i</w:t>
      </w:r>
      <w:r>
        <w:t>n</w:t>
      </w:r>
      <w:r>
        <w:t xml:space="preserve">dicó que de </w:t>
      </w:r>
      <w:r>
        <w:rPr>
          <w:i/>
          <w:iCs/>
        </w:rPr>
        <w:t>“una fuente dudosa”</w:t>
      </w:r>
      <w:r>
        <w:t>, se había obtenido info</w:t>
      </w:r>
      <w:r>
        <w:t>r</w:t>
      </w:r>
      <w:r>
        <w:t xml:space="preserve">mación acerca de la posibilidad que ingresaran al país desde Bolivia, entre el 4 y el 12 de febrero de 1998, aproximadamente </w:t>
      </w:r>
      <w:smartTag w:uri="urn:schemas-microsoft-com:office:smarttags" w:element="metricconverter">
        <w:smartTagPr>
          <w:attr w:name="ProductID" w:val="500 kg"/>
        </w:smartTagPr>
        <w:r>
          <w:t>500 kg</w:t>
        </w:r>
      </w:smartTag>
      <w:r>
        <w:t xml:space="preserve"> de explosivos tipo C-4, oculto en el interior de imágenes religiosas.</w:t>
      </w:r>
    </w:p>
    <w:p w:rsidR="00224567" w:rsidRDefault="00224567">
      <w:pPr>
        <w:widowControl w:val="0"/>
      </w:pPr>
      <w:r>
        <w:tab/>
      </w:r>
      <w:r>
        <w:tab/>
        <w:t>Luego de ordenar diversas medidas in</w:t>
      </w:r>
      <w:r>
        <w:t>s</w:t>
      </w:r>
      <w:r>
        <w:t>tructorias, que arrojaron resultado negativo, el juez G</w:t>
      </w:r>
      <w:r>
        <w:t>a</w:t>
      </w:r>
      <w:r>
        <w:t>leano r</w:t>
      </w:r>
      <w:r>
        <w:t>e</w:t>
      </w:r>
      <w:r>
        <w:t>solvió reservar las actuaciones.</w:t>
      </w:r>
    </w:p>
    <w:p w:rsidR="00224567" w:rsidRDefault="00224567">
      <w:pPr>
        <w:widowControl w:val="0"/>
      </w:pPr>
      <w:r>
        <w:tab/>
      </w:r>
      <w:r>
        <w:tab/>
        <w:t>A partir de la aparición de nuevos elementos de investigación, reanudó la instrucción del l</w:t>
      </w:r>
      <w:r>
        <w:t>e</w:t>
      </w:r>
      <w:r>
        <w:t>gajo, disponiendo la realización de algunas diligencias notif</w:t>
      </w:r>
      <w:r>
        <w:t>i</w:t>
      </w:r>
      <w:r>
        <w:t>cando de ello al fiscal.</w:t>
      </w:r>
    </w:p>
    <w:p w:rsidR="00224567" w:rsidRDefault="00224567">
      <w:pPr>
        <w:widowControl w:val="0"/>
      </w:pPr>
      <w:r>
        <w:tab/>
      </w:r>
      <w:r>
        <w:tab/>
        <w:t>Se advierte una vez más que el magi</w:t>
      </w:r>
      <w:r>
        <w:t>s</w:t>
      </w:r>
      <w:r>
        <w:t xml:space="preserve">trado se adjudicó una actividad </w:t>
      </w:r>
      <w:r>
        <w:rPr>
          <w:u w:val="single"/>
        </w:rPr>
        <w:t>sui generis</w:t>
      </w:r>
      <w:r>
        <w:t>, entre preve</w:t>
      </w:r>
      <w:r>
        <w:t>n</w:t>
      </w:r>
      <w:r>
        <w:t>tiva e instructora, absolutamente ajena a su j</w:t>
      </w:r>
      <w:r>
        <w:t>u</w:t>
      </w:r>
      <w:r>
        <w:t>risdicción y al objeto procesal de la causa, desplegando gran cant</w:t>
      </w:r>
      <w:r>
        <w:t>i</w:t>
      </w:r>
      <w:r>
        <w:t>dad de medidas tales como: una testimonial con reserva de identidad, diversas diligencias en el interior del país, allanamientos en cinco domicilios e intervención de cinco líneas telefónicas y la detención de una persona, entre muchas otras.</w:t>
      </w:r>
    </w:p>
    <w:p w:rsidR="00224567" w:rsidRDefault="00224567">
      <w:pPr>
        <w:widowControl w:val="0"/>
      </w:pPr>
      <w:r>
        <w:tab/>
        <w:t>Cabe destacar que el juez, para ocu</w:t>
      </w:r>
      <w:r>
        <w:t>l</w:t>
      </w:r>
      <w:r>
        <w:t>tar las falencias sustanciales de su anómala prórroga j</w:t>
      </w:r>
      <w:r>
        <w:t>u</w:t>
      </w:r>
      <w:r>
        <w:t>risdiccional, pretendió otorgar un ropaje formal a su a</w:t>
      </w:r>
      <w:r>
        <w:t>c</w:t>
      </w:r>
      <w:r>
        <w:t>tividad dando intervención al Ministerio Público Fi</w:t>
      </w:r>
      <w:r>
        <w:t>s</w:t>
      </w:r>
      <w:r>
        <w:t>cal a los fines del art. 180 del ordenamiento procesal, prec</w:t>
      </w:r>
      <w:r>
        <w:t>i</w:t>
      </w:r>
      <w:r>
        <w:t>sando en el correspondiente decreto, que: “A efectos de evitar posibles planteos de nulidad y sin perjuicio de h</w:t>
      </w:r>
      <w:r>
        <w:t>a</w:t>
      </w:r>
      <w:r>
        <w:t>berse notificado al Ministerio Público tanto la existe</w:t>
      </w:r>
      <w:r>
        <w:t>n</w:t>
      </w:r>
      <w:r>
        <w:t xml:space="preserve">cia del presente legajo como la reanudación del mismo, córrase vista al Sr. Agente Fiscal en los términos del artículo 180 del Código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pPr>
      <w:r>
        <w:tab/>
      </w:r>
      <w:r>
        <w:tab/>
        <w:t>g) Legajo nº 149 “relativo a inform</w:t>
      </w:r>
      <w:r>
        <w:t>a</w:t>
      </w:r>
      <w:r>
        <w:t>ción propo</w:t>
      </w:r>
      <w:r>
        <w:t>r</w:t>
      </w:r>
      <w:r>
        <w:t xml:space="preserve">cionada por la querella (D.A.I.A.)” iniciado el 10 de febrero de </w:t>
      </w:r>
      <w:smartTag w:uri="urn:schemas-microsoft-com:office:smarttags" w:element="metricconverter">
        <w:smartTagPr>
          <w:attr w:name="ProductID" w:val="1997 a"/>
        </w:smartTagPr>
        <w:r>
          <w:t>1997 a</w:t>
        </w:r>
      </w:smartTag>
      <w:r>
        <w:t xml:space="preserve"> raíz de una prese</w:t>
      </w:r>
      <w:r>
        <w:t>n</w:t>
      </w:r>
      <w:r>
        <w:t>tación realizada por el Dr. Rogelio Cichowolski, quien denunció la rece</w:t>
      </w:r>
      <w:r>
        <w:t>p</w:t>
      </w:r>
      <w:r>
        <w:t>ción de dos llamadas telefónicas anónimas en el contest</w:t>
      </w:r>
      <w:r>
        <w:t>a</w:t>
      </w:r>
      <w:r>
        <w:t>dor automático del estudio jurídico de los Dres. Bacigal</w:t>
      </w:r>
      <w:r>
        <w:t>u</w:t>
      </w:r>
      <w:r>
        <w:t>po, Crespín y Hoszowski, en los meses de enero y febrero de 1997 donde, en el primero, se vertían am</w:t>
      </w:r>
      <w:r>
        <w:t>e</w:t>
      </w:r>
      <w:r>
        <w:t>nazas hacia el pueblo judío y, en el segundo, se mencionaba que Pedro Cesconetto y el subcom</w:t>
      </w:r>
      <w:r>
        <w:t>i</w:t>
      </w:r>
      <w:r>
        <w:t xml:space="preserve">sario Farías, estaban involucrados en el atentado a la sede de </w:t>
      </w:r>
      <w:smartTag w:uri="urn:schemas-microsoft-com:office:smarttags" w:element="PersonName">
        <w:smartTagPr>
          <w:attr w:name="ProductID" w:val="la A.M"/>
        </w:smartTagPr>
        <w:r>
          <w:t>la A.M</w:t>
        </w:r>
      </w:smartTag>
      <w:r>
        <w:t>.I.A.</w:t>
      </w:r>
    </w:p>
    <w:p w:rsidR="00224567" w:rsidRDefault="00224567">
      <w:pPr>
        <w:widowControl w:val="0"/>
      </w:pPr>
      <w:r>
        <w:tab/>
      </w:r>
      <w:r>
        <w:tab/>
        <w:t>Sin más trámite, ordenó una serie de medidas tendientes a esclarecer el hecho denunciado, not</w:t>
      </w:r>
      <w:r>
        <w:t>i</w:t>
      </w:r>
      <w:r>
        <w:t>ficando al Ministerio Público Fiscal luego de transcurr</w:t>
      </w:r>
      <w:r>
        <w:t>i</w:t>
      </w:r>
      <w:r>
        <w:t>dos más de dos años de iniciado el trámite del legajo.</w:t>
      </w:r>
    </w:p>
    <w:p w:rsidR="00224567" w:rsidRDefault="00224567">
      <w:pPr>
        <w:widowControl w:val="0"/>
      </w:pPr>
      <w:r>
        <w:tab/>
        <w:t>Así, el 24 de mayo de 1999, luego de acumular dos cuerpos de actuaciones, el Dr. Galeano c</w:t>
      </w:r>
      <w:r>
        <w:t>o</w:t>
      </w:r>
      <w:r>
        <w:t>rrió vista al agente fiscal que fue contestada por el Dr. M</w:t>
      </w:r>
      <w:r>
        <w:t>u</w:t>
      </w:r>
      <w:r>
        <w:t>llen con la solicitud de algunas medidas de pru</w:t>
      </w:r>
      <w:r>
        <w:t>e</w:t>
      </w:r>
      <w:r>
        <w:t>ba.</w:t>
      </w:r>
    </w:p>
    <w:p w:rsidR="00224567" w:rsidRDefault="00224567">
      <w:pPr>
        <w:widowControl w:val="0"/>
      </w:pPr>
      <w:r>
        <w:tab/>
      </w:r>
      <w:r>
        <w:tab/>
        <w:t>Finalmente, el 25 de octubre de 1999, el magistrado resolvió reservar el legajo en s</w:t>
      </w:r>
      <w:r>
        <w:t>e</w:t>
      </w:r>
      <w:r>
        <w:t>cretaría en virtud de que no había sido posible incriminar a Cescone</w:t>
      </w:r>
      <w:r>
        <w:t>t</w:t>
      </w:r>
      <w:r>
        <w:t>to y Farías ni vincularlos al atentado. En cuanto a las llamadas anónimas de carácter amenazante, señaló que no fue factible identificar a su autor a pesar de las dil</w:t>
      </w:r>
      <w:r>
        <w:t>i</w:t>
      </w:r>
      <w:r>
        <w:t>gencias realizadas.</w:t>
      </w:r>
    </w:p>
    <w:p w:rsidR="00224567" w:rsidRDefault="00224567">
      <w:pPr>
        <w:widowControl w:val="0"/>
      </w:pPr>
      <w:r>
        <w:tab/>
        <w:t>h) Legajo nº 82 Relativo a dichos de Octavio Severo Cuello.</w:t>
      </w:r>
    </w:p>
    <w:p w:rsidR="00224567" w:rsidRDefault="00224567">
      <w:pPr>
        <w:widowControl w:val="0"/>
      </w:pPr>
      <w:r>
        <w:tab/>
        <w:t>En agosto de 1995, el juez Galeano d</w:t>
      </w:r>
      <w:r>
        <w:t>e</w:t>
      </w:r>
      <w:r>
        <w:t>cidió formar este legajo a partir de una nota publ</w:t>
      </w:r>
      <w:r>
        <w:t>i</w:t>
      </w:r>
      <w:r>
        <w:t>cada en el diario “</w:t>
      </w:r>
      <w:smartTag w:uri="urn:schemas-microsoft-com:office:smarttags" w:element="PersonName">
        <w:smartTagPr>
          <w:attr w:name="ProductID" w:val="la Naci￳n"/>
        </w:smartTagPr>
        <w:r>
          <w:t>La Nación</w:t>
        </w:r>
      </w:smartTag>
      <w:r>
        <w:t>” en la que Octavio Severo Cuello, afirmaba la posibilidad de que el padre de Ca</w:t>
      </w:r>
      <w:r>
        <w:t>r</w:t>
      </w:r>
      <w:r>
        <w:t>los Alberto T</w:t>
      </w:r>
      <w:r>
        <w:t>e</w:t>
      </w:r>
      <w:r>
        <w:t>lleldín no hubiese fallecido.</w:t>
      </w:r>
    </w:p>
    <w:p w:rsidR="00224567" w:rsidRDefault="00224567">
      <w:pPr>
        <w:widowControl w:val="0"/>
      </w:pPr>
      <w:r>
        <w:tab/>
        <w:t>Ante ello, ordenó recibirle declar</w:t>
      </w:r>
      <w:r>
        <w:t>a</w:t>
      </w:r>
      <w:r>
        <w:t>ción testimonial a Severo Cuello y a Gariboglio, a la s</w:t>
      </w:r>
      <w:r>
        <w:t>a</w:t>
      </w:r>
      <w:r>
        <w:t>zón causante de otro de los extravagantes legajos desarr</w:t>
      </w:r>
      <w:r>
        <w:t>o</w:t>
      </w:r>
      <w:r>
        <w:t>llados por el juez bajo el nº 79.</w:t>
      </w:r>
    </w:p>
    <w:p w:rsidR="00224567" w:rsidRDefault="00224567">
      <w:pPr>
        <w:widowControl w:val="0"/>
      </w:pPr>
      <w:r>
        <w:tab/>
        <w:t xml:space="preserve">En su testimonial, Severo Cuello, afirma que tomó conocimiento a través de Ramón Arcángel Gerban que Héctor Gugiana participó directamente en el atentado a </w:t>
      </w:r>
      <w:smartTag w:uri="urn:schemas-microsoft-com:office:smarttags" w:element="PersonName">
        <w:smartTagPr>
          <w:attr w:name="ProductID" w:val="la AMIA"/>
        </w:smartTagPr>
        <w:r>
          <w:t>la AMIA</w:t>
        </w:r>
      </w:smartTag>
      <w:r>
        <w:t xml:space="preserve"> y que viajaba continuamente a la ciudad de Buenos Aires a reunirse con Telleldín.</w:t>
      </w:r>
    </w:p>
    <w:p w:rsidR="00224567" w:rsidRDefault="00224567">
      <w:pPr>
        <w:widowControl w:val="0"/>
      </w:pPr>
      <w:r>
        <w:tab/>
        <w:t>Gerban, por su parte, precisó que en el año 1994, se encontró con Gugiana en el festival de J</w:t>
      </w:r>
      <w:r>
        <w:t>e</w:t>
      </w:r>
      <w:r>
        <w:t xml:space="preserve">sús María y que éste le comentó que se estaba yendo a </w:t>
      </w:r>
      <w:smartTag w:uri="urn:schemas-microsoft-com:office:smarttags" w:element="PersonName">
        <w:smartTagPr>
          <w:attr w:name="ProductID" w:val="la Capital Federal"/>
        </w:smartTagPr>
        <w:r>
          <w:t>la Capital Federal</w:t>
        </w:r>
      </w:smartTag>
      <w:r>
        <w:t xml:space="preserve"> a ver a Carlos. Que luego de ello se dio cuenta que dicho Carlos era Telleldín ya que estos dos eran muy amigos y afirmó no tener prueba alguna respecto que Gugiana y Telleldín tuviesen participación en el ate</w:t>
      </w:r>
      <w:r>
        <w:t>n</w:t>
      </w:r>
      <w:r>
        <w:t xml:space="preserve">tado a </w:t>
      </w:r>
      <w:smartTag w:uri="urn:schemas-microsoft-com:office:smarttags" w:element="PersonName">
        <w:smartTagPr>
          <w:attr w:name="ProductID" w:val="la A.M"/>
        </w:smartTagPr>
        <w:r>
          <w:t>la A.M</w:t>
        </w:r>
      </w:smartTag>
      <w:r>
        <w:t>.I.A.</w:t>
      </w:r>
    </w:p>
    <w:p w:rsidR="00224567" w:rsidRDefault="00224567">
      <w:pPr>
        <w:widowControl w:val="0"/>
      </w:pPr>
      <w:r>
        <w:tab/>
        <w:t>Sin perjuicio de ello, el Dr. Gale</w:t>
      </w:r>
      <w:r>
        <w:t>a</w:t>
      </w:r>
      <w:r>
        <w:t xml:space="preserve">no, pidió a </w:t>
      </w:r>
      <w:smartTag w:uri="urn:schemas-microsoft-com:office:smarttags" w:element="PersonName">
        <w:smartTagPr>
          <w:attr w:name="ProductID" w:val="la Polic￭a"/>
        </w:smartTagPr>
        <w:r>
          <w:t>la Policía</w:t>
        </w:r>
      </w:smartTag>
      <w:r>
        <w:t xml:space="preserve"> de la provincia de Córdoba que se rem</w:t>
      </w:r>
      <w:r>
        <w:t>i</w:t>
      </w:r>
      <w:r>
        <w:t xml:space="preserve">ta el legajo personal de Gugiana requiriendo a </w:t>
      </w:r>
      <w:smartTag w:uri="urn:schemas-microsoft-com:office:smarttags" w:element="PersonName">
        <w:smartTagPr>
          <w:attr w:name="ProductID" w:val="la Secretar￭a"/>
        </w:smartTagPr>
        <w:r>
          <w:t>la Secret</w:t>
        </w:r>
        <w:r>
          <w:t>a</w:t>
        </w:r>
        <w:r>
          <w:t>ría</w:t>
        </w:r>
      </w:smartTag>
      <w:r>
        <w:t xml:space="preserve"> de Inteligencia del Estado, que realice un profundo anál</w:t>
      </w:r>
      <w:r>
        <w:t>i</w:t>
      </w:r>
      <w:r>
        <w:t>sis sobre dicho legajo.</w:t>
      </w:r>
    </w:p>
    <w:p w:rsidR="00224567" w:rsidRDefault="00224567">
      <w:pPr>
        <w:widowControl w:val="0"/>
      </w:pPr>
      <w:r>
        <w:tab/>
        <w:t>A fs. 117 del legajo los fiscales M</w:t>
      </w:r>
      <w:r>
        <w:t>u</w:t>
      </w:r>
      <w:r>
        <w:t>llen y Barbaccia, afirmaron que de los dichos de Severo Cuello, Ge</w:t>
      </w:r>
      <w:r>
        <w:t>r</w:t>
      </w:r>
      <w:r>
        <w:t>ban y Gugiana no era posible relacionar a este último con el objeto procesal originario. Ante ello, el 7 de mayo de 1997 el juez Galeano decidió r</w:t>
      </w:r>
      <w:r>
        <w:t>e</w:t>
      </w:r>
      <w:r>
        <w:t>servar el legajo en secretaría hasta que surjan nuevos elementos.</w:t>
      </w:r>
    </w:p>
    <w:p w:rsidR="00224567" w:rsidRDefault="00224567">
      <w:pPr>
        <w:widowControl w:val="0"/>
      </w:pPr>
      <w:r>
        <w:tab/>
        <w:t>El 25 de septiembre de 2000, invoca</w:t>
      </w:r>
      <w:r>
        <w:t>n</w:t>
      </w:r>
      <w:r>
        <w:t>do una “profundización investigativa que se viene desarr</w:t>
      </w:r>
      <w:r>
        <w:t>o</w:t>
      </w:r>
      <w:r>
        <w:t>llando en diferentes hipótesis de trabajo”, dio interve</w:t>
      </w:r>
      <w:r>
        <w:t>n</w:t>
      </w:r>
      <w:r>
        <w:t xml:space="preserve">ción a </w:t>
      </w:r>
      <w:smartTag w:uri="urn:schemas-microsoft-com:office:smarttags" w:element="PersonName">
        <w:smartTagPr>
          <w:attr w:name="ProductID" w:val="la Superintendencia"/>
        </w:smartTagPr>
        <w:r>
          <w:t>la Superintendencia</w:t>
        </w:r>
      </w:smartTag>
      <w:r>
        <w:t xml:space="preserve"> de Interior de </w:t>
      </w:r>
      <w:smartTag w:uri="urn:schemas-microsoft-com:office:smarttags" w:element="PersonName">
        <w:smartTagPr>
          <w:attr w:name="ProductID" w:val="la PFA"/>
        </w:smartTagPr>
        <w:r>
          <w:t>la PFA</w:t>
        </w:r>
      </w:smartTag>
      <w:r>
        <w:t xml:space="preserve"> para que efectúen las medidas necesarias para ahondar esta pista (fs. 120); ordenó investigar si los números de teléfono que surgen de las agendas de Eduardo Telleldín, que s</w:t>
      </w:r>
      <w:r>
        <w:t>u</w:t>
      </w:r>
      <w:r>
        <w:t>puestamente pertenecen a miembros de la policía de Córd</w:t>
      </w:r>
      <w:r>
        <w:t>o</w:t>
      </w:r>
      <w:r>
        <w:t>ba, tienen relación con la línea inve</w:t>
      </w:r>
      <w:r>
        <w:t>s</w:t>
      </w:r>
      <w:r>
        <w:t xml:space="preserve">tigativa del legajo; requirió, además, al Departamento de Seguridad de Estado de </w:t>
      </w:r>
      <w:smartTag w:uri="urn:schemas-microsoft-com:office:smarttags" w:element="PersonName">
        <w:smartTagPr>
          <w:attr w:name="ProductID" w:val="la Polic￭a Federal"/>
        </w:smartTagPr>
        <w:r>
          <w:t>la Policía Federal</w:t>
        </w:r>
      </w:smartTag>
      <w:r>
        <w:t xml:space="preserve"> los legajos personales de Ricardo Tapia, Ricardo Luis Hierling, Ianicelli, Murua, Marcelo Cabeza e Italo Bocina. Además, que se informe acerca de los procedimientos donde constaba el secuestro de explos</w:t>
      </w:r>
      <w:r>
        <w:t>i</w:t>
      </w:r>
      <w:r>
        <w:t>vos entre los años 1990 y 1995; también solicitó inform</w:t>
      </w:r>
      <w:r>
        <w:t>a</w:t>
      </w:r>
      <w:r>
        <w:t>ción sobre grupos isl</w:t>
      </w:r>
      <w:r>
        <w:t>á</w:t>
      </w:r>
      <w:r>
        <w:t>micos fundamentalistas que hubiesen operado en la provincia de Córdoba entre 1990 y 1994; e informes respecto de todas las propiedades inmuebles y a</w:t>
      </w:r>
      <w:r>
        <w:t>u</w:t>
      </w:r>
      <w:r>
        <w:t>tomotores que poseyeran los nombrados, sus informes banc</w:t>
      </w:r>
      <w:r>
        <w:t>a</w:t>
      </w:r>
      <w:r>
        <w:t>rios y de estado patrimonial.</w:t>
      </w:r>
    </w:p>
    <w:p w:rsidR="00224567" w:rsidRDefault="00224567">
      <w:pPr>
        <w:widowControl w:val="0"/>
      </w:pPr>
      <w:r>
        <w:tab/>
      </w:r>
      <w:r>
        <w:tab/>
        <w:t>Asimismo ordenó analizar un l</w:t>
      </w:r>
      <w:r>
        <w:t>e</w:t>
      </w:r>
      <w:r>
        <w:t xml:space="preserve">gajo de </w:t>
      </w:r>
      <w:smartTag w:uri="urn:schemas-microsoft-com:office:smarttags" w:element="PersonName">
        <w:smartTagPr>
          <w:attr w:name="ProductID" w:val="la CONADEP"/>
        </w:smartTagPr>
        <w:r>
          <w:t>la CONADEP</w:t>
        </w:r>
      </w:smartTag>
      <w:r>
        <w:t>, perteneciente a Carlos Raimundo Moore en vi</w:t>
      </w:r>
      <w:r>
        <w:t>r</w:t>
      </w:r>
      <w:r>
        <w:t>tud de que permaneció detenido en el Departamento de I</w:t>
      </w:r>
      <w:r>
        <w:t>n</w:t>
      </w:r>
      <w:r>
        <w:t>formaciones Policiales D2 de la policía provincial cord</w:t>
      </w:r>
      <w:r>
        <w:t>o</w:t>
      </w:r>
      <w:r>
        <w:t>besa.</w:t>
      </w:r>
    </w:p>
    <w:p w:rsidR="00224567" w:rsidRDefault="00224567">
      <w:pPr>
        <w:widowControl w:val="0"/>
      </w:pPr>
      <w:r>
        <w:tab/>
        <w:t>El 1 de abril de 2003 el Dr. Galeano, por considerar que no se demostró que la hipótesis del l</w:t>
      </w:r>
      <w:r>
        <w:t>e</w:t>
      </w:r>
      <w:r>
        <w:t>gajo guardara relación con los hechos principales, decidió archivar las actuaciones hasta tanto surjan nuevos eleme</w:t>
      </w:r>
      <w:r>
        <w:t>n</w:t>
      </w:r>
      <w:r>
        <w:t>tos de importancia.</w:t>
      </w:r>
    </w:p>
    <w:p w:rsidR="00224567" w:rsidRDefault="00224567">
      <w:pPr>
        <w:widowControl w:val="0"/>
      </w:pPr>
      <w:r>
        <w:tab/>
        <w:t>Otros casos que deben mencionarse c</w:t>
      </w:r>
      <w:r>
        <w:t>o</w:t>
      </w:r>
      <w:r>
        <w:t>mo irregulares son aquellos en los que el magistrado retomó pesquisas sobre de delitos ya investigados en otra juri</w:t>
      </w:r>
      <w:r>
        <w:t>s</w:t>
      </w:r>
      <w:r>
        <w:t>dicción reproduciendo casi por completo su trámite sin que hubieran elementos que lo justificaran. Así cabe menci</w:t>
      </w:r>
      <w:r>
        <w:t>o</w:t>
      </w:r>
      <w:r>
        <w:t>nar:</w:t>
      </w:r>
    </w:p>
    <w:p w:rsidR="00224567" w:rsidRDefault="00224567">
      <w:pPr>
        <w:widowControl w:val="0"/>
      </w:pPr>
      <w:r>
        <w:tab/>
        <w:t xml:space="preserve">a) Legajo nº 42 “relacionado con la causa nº 36.498 del Juzgado Nacional en lo Criminal de Instrucción nº </w:t>
      </w:r>
      <w:smartTag w:uri="urn:schemas-microsoft-com:office:smarttags" w:element="metricconverter">
        <w:smartTagPr>
          <w:attr w:name="ProductID" w:val="14, a"/>
        </w:smartTagPr>
        <w:r>
          <w:t>14, a</w:t>
        </w:r>
      </w:smartTag>
      <w:r>
        <w:t xml:space="preserve"> cargo del Dr. Ricardo Luis Farías, secretaría nº 143, caratulado Hospital Israelita s/ int</w:t>
      </w:r>
      <w:r>
        <w:t>i</w:t>
      </w:r>
      <w:r>
        <w:t xml:space="preserve">midación pública”, iniciado el 9 de mayo de </w:t>
      </w:r>
      <w:smartTag w:uri="urn:schemas-microsoft-com:office:smarttags" w:element="metricconverter">
        <w:smartTagPr>
          <w:attr w:name="ProductID" w:val="1995, a"/>
        </w:smartTagPr>
        <w:r>
          <w:t>1995, a</w:t>
        </w:r>
      </w:smartTag>
      <w:r>
        <w:t xml:space="preserve"> raíz de un oficio r</w:t>
      </w:r>
      <w:r>
        <w:t>e</w:t>
      </w:r>
      <w:r>
        <w:t>mitido por el mencionado juez, por el cual puso en conocimiento que, ante su tribunal, había tramit</w:t>
      </w:r>
      <w:r>
        <w:t>a</w:t>
      </w:r>
      <w:r>
        <w:t xml:space="preserve">do la causa iniciada el 11 de julio de </w:t>
      </w:r>
      <w:smartTag w:uri="urn:schemas-microsoft-com:office:smarttags" w:element="metricconverter">
        <w:smartTagPr>
          <w:attr w:name="ProductID" w:val="1994, a"/>
        </w:smartTagPr>
        <w:r>
          <w:t>1994, a</w:t>
        </w:r>
      </w:smartTag>
      <w:r>
        <w:t xml:space="preserve"> raíz de un llamado telefónico recibido en el Hospital Israelita que denunciaba la existencia de una bomba en el nosocomio y en </w:t>
      </w:r>
      <w:smartTag w:uri="urn:schemas-microsoft-com:office:smarttags" w:element="PersonName">
        <w:smartTagPr>
          <w:attr w:name="ProductID" w:val="la Embajada"/>
        </w:smartTagPr>
        <w:r>
          <w:t>la Embajada</w:t>
        </w:r>
      </w:smartTag>
      <w:r>
        <w:t xml:space="preserve"> de Israel. Informó también que el expediente se encontraba archivado a la espera de la individualiz</w:t>
      </w:r>
      <w:r>
        <w:t>a</w:t>
      </w:r>
      <w:r>
        <w:t>ción y/o detención del autor o autores del hecho.</w:t>
      </w:r>
    </w:p>
    <w:p w:rsidR="00224567" w:rsidRDefault="00224567">
      <w:pPr>
        <w:widowControl w:val="0"/>
      </w:pPr>
      <w:r>
        <w:tab/>
      </w:r>
      <w:r>
        <w:tab/>
        <w:t>El juez Galeano solicitó fotoc</w:t>
      </w:r>
      <w:r>
        <w:t>o</w:t>
      </w:r>
      <w:r>
        <w:t>pias y, una vez recibidas requirió la remisión de listados de ll</w:t>
      </w:r>
      <w:r>
        <w:t>a</w:t>
      </w:r>
      <w:r>
        <w:t xml:space="preserve">madas, determinó la titularidad de la línea telefónica desde donde se realizó, dándole intervención a </w:t>
      </w:r>
      <w:smartTag w:uri="urn:schemas-microsoft-com:office:smarttags" w:element="PersonName">
        <w:smartTagPr>
          <w:attr w:name="ProductID" w:val="la S.I"/>
        </w:smartTagPr>
        <w:r>
          <w:t>la S.I</w:t>
        </w:r>
      </w:smartTag>
      <w:r>
        <w:t>.D.E. para que investigue a “De Bien”, a cuyo nombre estaba la línea.</w:t>
      </w:r>
    </w:p>
    <w:p w:rsidR="00224567" w:rsidRDefault="00224567">
      <w:pPr>
        <w:widowControl w:val="0"/>
      </w:pPr>
      <w:r>
        <w:tab/>
        <w:t>Luego de varias tareas de intelige</w:t>
      </w:r>
      <w:r>
        <w:t>n</w:t>
      </w:r>
      <w:r>
        <w:t>cia, la secr</w:t>
      </w:r>
      <w:r>
        <w:t>e</w:t>
      </w:r>
      <w:r>
        <w:t xml:space="preserve">taría respectiva elevó un informe –en el que se incluye un fotografía de De Bien y otra de la camioneta Trafic de su propiedad-, e hizo saber, entre otras cosas, que el nombrado se desempeñó en </w:t>
      </w:r>
      <w:smartTag w:uri="urn:schemas-microsoft-com:office:smarttags" w:element="PersonName">
        <w:smartTagPr>
          <w:attr w:name="ProductID" w:val="la Marina. Ante"/>
        </w:smartTagPr>
        <w:r>
          <w:t>la Marina. Ante</w:t>
        </w:r>
      </w:smartTag>
      <w:r>
        <w:t xml:space="preserve"> ello el Dr. Galeano solicitó información a </w:t>
      </w:r>
      <w:smartTag w:uri="urn:schemas-microsoft-com:office:smarttags" w:element="PersonName">
        <w:smartTagPr>
          <w:attr w:name="ProductID" w:val="la Armada Argentina"/>
        </w:smartTagPr>
        <w:r>
          <w:t>la Armada Argentina</w:t>
        </w:r>
      </w:smartTag>
      <w:r>
        <w:t xml:space="preserve"> y la remisión del legajo personal del nombrado. También di</w:t>
      </w:r>
      <w:r>
        <w:t>s</w:t>
      </w:r>
      <w:r>
        <w:t>puso, el 8 de mayo de 1997, la intervención del abonado perteneciente a De Bien.</w:t>
      </w:r>
    </w:p>
    <w:p w:rsidR="00224567" w:rsidRDefault="00224567">
      <w:pPr>
        <w:widowControl w:val="0"/>
      </w:pPr>
      <w:r>
        <w:tab/>
        <w:t xml:space="preserve">Una vez recibidos todos los informes y el producido de las escuchas telefónicas, el juez ordenó que el grupo de contrainteligencia de </w:t>
      </w:r>
      <w:smartTag w:uri="urn:schemas-microsoft-com:office:smarttags" w:element="PersonName">
        <w:smartTagPr>
          <w:attr w:name="ProductID" w:val="la S.I"/>
        </w:smartTagPr>
        <w:r>
          <w:t>la S.I</w:t>
        </w:r>
      </w:smartTag>
      <w:r>
        <w:t>.D.E. efectu</w:t>
      </w:r>
      <w:r>
        <w:t>a</w:t>
      </w:r>
      <w:r>
        <w:t>ra un análisis de la interceptación del abonado en cue</w:t>
      </w:r>
      <w:r>
        <w:t>s</w:t>
      </w:r>
      <w:r>
        <w:t>tión e insistió en la profundización de tareas de intel</w:t>
      </w:r>
      <w:r>
        <w:t>i</w:t>
      </w:r>
      <w:r>
        <w:t>gencia tendientes a establecer la posible vinculación e</w:t>
      </w:r>
      <w:r>
        <w:t>n</w:t>
      </w:r>
      <w:r>
        <w:t>tre la persona investigada y la amenaza realizada al Ho</w:t>
      </w:r>
      <w:r>
        <w:t>s</w:t>
      </w:r>
      <w:r>
        <w:t>pital Israelita.</w:t>
      </w:r>
    </w:p>
    <w:p w:rsidR="00224567" w:rsidRDefault="00224567">
      <w:pPr>
        <w:widowControl w:val="0"/>
      </w:pPr>
      <w:r>
        <w:tab/>
        <w:t>Además de ello remitió copia del leg</w:t>
      </w:r>
      <w:r>
        <w:t>a</w:t>
      </w:r>
      <w:r>
        <w:t>jo personal de De Bien y de todo lo actuado a su re</w:t>
      </w:r>
      <w:r>
        <w:t>s</w:t>
      </w:r>
      <w:r>
        <w:t>pecto, a fin de que el mencionado sector de inteligencia, real</w:t>
      </w:r>
      <w:r>
        <w:t>i</w:t>
      </w:r>
      <w:r>
        <w:t>zaran un informe “de la especialidad con carácter valor</w:t>
      </w:r>
      <w:r>
        <w:t>a</w:t>
      </w:r>
      <w:r>
        <w:t xml:space="preserve">tivo” (sic) relacionado con el atentado a la sede de </w:t>
      </w:r>
      <w:smartTag w:uri="urn:schemas-microsoft-com:office:smarttags" w:element="PersonName">
        <w:smartTagPr>
          <w:attr w:name="ProductID" w:val="la AMIA. A"/>
        </w:smartTagPr>
        <w:r>
          <w:t>la AMIA. A</w:t>
        </w:r>
      </w:smartTag>
      <w:r>
        <w:t xml:space="preserve"> esa solicitud </w:t>
      </w:r>
      <w:smartTag w:uri="urn:schemas-microsoft-com:office:smarttags" w:element="PersonName">
        <w:smartTagPr>
          <w:attr w:name="ProductID" w:val="la SIDE"/>
        </w:smartTagPr>
        <w:r>
          <w:t>la SIDE</w:t>
        </w:r>
      </w:smartTag>
      <w:r>
        <w:t xml:space="preserve"> informó que de los indicios r</w:t>
      </w:r>
      <w:r>
        <w:t>e</w:t>
      </w:r>
      <w:r>
        <w:t>unidos no surgía ninguna vinculación del nombrado con el llamado anónimo al hospital.</w:t>
      </w:r>
    </w:p>
    <w:p w:rsidR="00224567" w:rsidRDefault="00224567">
      <w:pPr>
        <w:widowControl w:val="0"/>
      </w:pPr>
      <w:r>
        <w:tab/>
        <w:t>Sin perjuicio de ello, el juez disp</w:t>
      </w:r>
      <w:r>
        <w:t>u</w:t>
      </w:r>
      <w:r>
        <w:t xml:space="preserve">so la </w:t>
      </w:r>
      <w:r>
        <w:rPr>
          <w:b/>
          <w:bCs/>
        </w:rPr>
        <w:t>declar</w:t>
      </w:r>
      <w:r>
        <w:rPr>
          <w:b/>
          <w:bCs/>
        </w:rPr>
        <w:t>a</w:t>
      </w:r>
      <w:r>
        <w:rPr>
          <w:b/>
          <w:bCs/>
        </w:rPr>
        <w:t>ción testimonial</w:t>
      </w:r>
      <w:r>
        <w:t xml:space="preserve"> de De Bien para, luego de ello, correr vista a la fiscalía antes de reservar el legajo “hasta tanto se arrimen nuevos elementos de ju</w:t>
      </w:r>
      <w:r>
        <w:t>i</w:t>
      </w:r>
      <w:r>
        <w:t>cio”.</w:t>
      </w:r>
    </w:p>
    <w:p w:rsidR="00224567" w:rsidRDefault="00224567">
      <w:pPr>
        <w:widowControl w:val="0"/>
      </w:pPr>
      <w:r>
        <w:tab/>
      </w:r>
      <w:r>
        <w:tab/>
        <w:t>Cabe resaltar que ésta fue la única vez, a lo largo de toda la tramitación del leg</w:t>
      </w:r>
      <w:r>
        <w:t>a</w:t>
      </w:r>
      <w:r>
        <w:t>jo, que el magistrado dio intervención al fiscal.</w:t>
      </w:r>
    </w:p>
    <w:p w:rsidR="00224567" w:rsidRDefault="00224567">
      <w:pPr>
        <w:widowControl w:val="0"/>
      </w:pPr>
      <w:r>
        <w:tab/>
      </w:r>
      <w:r>
        <w:tab/>
        <w:t>b) Legajo nº 78 “relativo a f</w:t>
      </w:r>
      <w:r>
        <w:t>o</w:t>
      </w:r>
      <w:r>
        <w:t>tocopias de la causa correccional vinculada a amenazas con armas de tres N.N. a un custodia del colegio Bu</w:t>
      </w:r>
      <w:r>
        <w:t>b</w:t>
      </w:r>
      <w:r>
        <w:t>ber”; iniciado con motivo de las copias de la causa “Trillo, Alberto Fabián s/ dcia. atentado a la autoridad”, remitidas por el tit</w:t>
      </w:r>
      <w:r>
        <w:t>u</w:t>
      </w:r>
      <w:r>
        <w:t>lar del Juzgado Nacional en lo Correccional Nº 10.</w:t>
      </w:r>
    </w:p>
    <w:p w:rsidR="00224567" w:rsidRDefault="00224567">
      <w:pPr>
        <w:widowControl w:val="0"/>
      </w:pPr>
      <w:r>
        <w:tab/>
      </w:r>
      <w:r>
        <w:tab/>
        <w:t>En dicha causa, el 17 de junio de 1995, Trillo denunció que mientras cumplía su función de custodia en el colegio judío, se detuvo un rodado Ford Falcon color blanco tiza, con tres personas en su int</w:t>
      </w:r>
      <w:r>
        <w:t>e</w:t>
      </w:r>
      <w:r>
        <w:t>rior. Que la persona que se encontraba ubic</w:t>
      </w:r>
      <w:r>
        <w:t>a</w:t>
      </w:r>
      <w:r>
        <w:t>da en la parte trasera del automóvil lo apuntó con un revólver y le dijo “pibe perdiste”. Ante ello, desenfundó su arma reglament</w:t>
      </w:r>
      <w:r>
        <w:t>a</w:t>
      </w:r>
      <w:r>
        <w:t>ria y el vehículo huyó a gran velocidad.</w:t>
      </w:r>
    </w:p>
    <w:p w:rsidR="00224567" w:rsidRDefault="00224567">
      <w:pPr>
        <w:widowControl w:val="0"/>
      </w:pPr>
      <w:r>
        <w:tab/>
      </w:r>
      <w:r>
        <w:tab/>
        <w:t>A raíz de lo obrado en la causa de mención, el Dr. Galeano le recibió declaración te</w:t>
      </w:r>
      <w:r>
        <w:t>s</w:t>
      </w:r>
      <w:r>
        <w:t>timonial a Trillo. Corrió vista al fiscal y resolvió reservar el legajo hasta tanto surgieran elementos de interés, medidas que ya habían sido cumplimentada por el juez natural de la causa.</w:t>
      </w:r>
    </w:p>
    <w:p w:rsidR="00224567" w:rsidRDefault="00224567">
      <w:pPr>
        <w:widowControl w:val="0"/>
      </w:pPr>
      <w:r>
        <w:tab/>
      </w:r>
      <w:r>
        <w:tab/>
        <w:t>c) Legajo nº 174 “relativo a las am</w:t>
      </w:r>
      <w:r>
        <w:t>e</w:t>
      </w:r>
      <w:r>
        <w:t>nazas recibidas por el cabo Miguel Ángel Catalino”, in</w:t>
      </w:r>
      <w:r>
        <w:t>i</w:t>
      </w:r>
      <w:r>
        <w:t xml:space="preserve">ciado el 5 de agosto de </w:t>
      </w:r>
      <w:smartTag w:uri="urn:schemas-microsoft-com:office:smarttags" w:element="metricconverter">
        <w:smartTagPr>
          <w:attr w:name="ProductID" w:val="1997, a"/>
        </w:smartTagPr>
        <w:r>
          <w:t>1997, a</w:t>
        </w:r>
      </w:smartTag>
      <w:r>
        <w:t xml:space="preserve"> raíz del oficio enviado por el juez Claudio Bonadío, a cargo del Juzgado Nacional en lo Criminal y Correccional Federal Nº 11, por el cual hizo saber que por ante el tribunal a su cargo tramitaba una causa iniciada con motivo de la denuncia que efectuó Miguel Ángel Catalino por el delito de amenazas con armas, quien tenía asignado el servicio de custodia en el objet</w:t>
      </w:r>
      <w:r>
        <w:t>i</w:t>
      </w:r>
      <w:r>
        <w:t>vo israelita sito en la calle Antezana 145 de esta ciudad.</w:t>
      </w:r>
    </w:p>
    <w:p w:rsidR="00224567" w:rsidRDefault="00224567">
      <w:pPr>
        <w:widowControl w:val="0"/>
      </w:pPr>
      <w:r>
        <w:tab/>
      </w:r>
      <w:r>
        <w:tab/>
        <w:t xml:space="preserve">El Dr. Galeano solicitó al juez la causa </w:t>
      </w:r>
      <w:r>
        <w:rPr>
          <w:u w:val="single"/>
        </w:rPr>
        <w:t>ad effectum videndi</w:t>
      </w:r>
      <w:r>
        <w:t xml:space="preserve">, y le dio intervención a </w:t>
      </w:r>
      <w:smartTag w:uri="urn:schemas-microsoft-com:office:smarttags" w:element="PersonName">
        <w:smartTagPr>
          <w:attr w:name="ProductID" w:val="la Divisi￳n Unidad"/>
        </w:smartTagPr>
        <w:r>
          <w:t>la D</w:t>
        </w:r>
        <w:r>
          <w:t>i</w:t>
        </w:r>
        <w:r>
          <w:t>visión Unidad</w:t>
        </w:r>
      </w:smartTag>
      <w:r>
        <w:t xml:space="preserve"> de Investigación Antiterrorista, para que realizara todas las medidas conducentes a fin de indiv</w:t>
      </w:r>
      <w:r>
        <w:t>i</w:t>
      </w:r>
      <w:r>
        <w:t>dualizar a las personas que se encontraban en la camioneta Trafic que mencionara Miguel Ángel Catalino, en su denu</w:t>
      </w:r>
      <w:r>
        <w:t>n</w:t>
      </w:r>
      <w:r>
        <w:t>cia.</w:t>
      </w:r>
    </w:p>
    <w:p w:rsidR="00224567" w:rsidRDefault="00224567">
      <w:pPr>
        <w:widowControl w:val="0"/>
      </w:pPr>
      <w:r>
        <w:tab/>
      </w:r>
      <w:r>
        <w:tab/>
        <w:t>El 26 de septiembre de 1997, tuvo pr</w:t>
      </w:r>
      <w:r>
        <w:t>e</w:t>
      </w:r>
      <w:r>
        <w:t>sente las actuaciones remitidas por el Depart</w:t>
      </w:r>
      <w:r>
        <w:t>a</w:t>
      </w:r>
      <w:r>
        <w:t xml:space="preserve">mento Unidad de Investigación Antiterrorista de </w:t>
      </w:r>
      <w:smartTag w:uri="urn:schemas-microsoft-com:office:smarttags" w:element="PersonName">
        <w:smartTagPr>
          <w:attr w:name="ProductID" w:val="la P.F"/>
        </w:smartTagPr>
        <w:r>
          <w:t>la P.F</w:t>
        </w:r>
      </w:smartTag>
      <w:r>
        <w:t>.A. y corrió vi</w:t>
      </w:r>
      <w:r>
        <w:t>s</w:t>
      </w:r>
      <w:r>
        <w:t>ta al fiscal. Éste dictaminó que no tenía medidas de pru</w:t>
      </w:r>
      <w:r>
        <w:t>e</w:t>
      </w:r>
      <w:r>
        <w:t>ba para sugerir y que lo actuado hasta el momento no pe</w:t>
      </w:r>
      <w:r>
        <w:t>r</w:t>
      </w:r>
      <w:r>
        <w:t>mitía relacionar dicha hipótesis de trabajo con el objeto procesal originario. Ante ello, el 2 de octubre de 1997 Galeano resolvió reservar el legajo en secret</w:t>
      </w:r>
      <w:r>
        <w:t>a</w:t>
      </w:r>
      <w:r>
        <w:t>ría.</w:t>
      </w:r>
    </w:p>
    <w:p w:rsidR="00224567" w:rsidRDefault="00224567">
      <w:pPr>
        <w:widowControl w:val="0"/>
      </w:pPr>
      <w:r>
        <w:tab/>
        <w:t>Para finalizar este recuento de anom</w:t>
      </w:r>
      <w:r>
        <w:t>a</w:t>
      </w:r>
      <w:r>
        <w:t>lías del magistrado instructor, a la hora de adjudicarse la inve</w:t>
      </w:r>
      <w:r>
        <w:t>s</w:t>
      </w:r>
      <w:r>
        <w:t>tigación de las mas variadas “pistas”, corresponde traer a colación la pesquisa, por él practicada, re</w:t>
      </w:r>
      <w:r>
        <w:t>s</w:t>
      </w:r>
      <w:r>
        <w:t>pecto de los delitos denunciados por Eduardo Telleldín y Liliana Beatriz Fernández.</w:t>
      </w:r>
    </w:p>
    <w:p w:rsidR="00224567" w:rsidRDefault="00224567">
      <w:pPr>
        <w:widowControl w:val="0"/>
      </w:pPr>
      <w:r>
        <w:tab/>
        <w:t>Estos hechos fueron denunciados por los nombrados en sus declaraciones testimoniales del 10 y 18 de julio de 1996, obrantes a fs. 38.682/90, 39.524/25 y 39.526/27.</w:t>
      </w:r>
    </w:p>
    <w:p w:rsidR="00224567" w:rsidRDefault="00224567">
      <w:pPr>
        <w:widowControl w:val="0"/>
      </w:pPr>
      <w:r>
        <w:tab/>
        <w:t xml:space="preserve">Allí manifestaron que fueron privados ilegalmente de la libertad, apremiados y extorsionados por personal de </w:t>
      </w:r>
      <w:smartTag w:uri="urn:schemas-microsoft-com:office:smarttags" w:element="PersonName">
        <w:smartTagPr>
          <w:attr w:name="ProductID" w:val="la Brigada"/>
        </w:smartTagPr>
        <w:r>
          <w:t>la Brigada</w:t>
        </w:r>
      </w:smartTag>
      <w:r>
        <w:t xml:space="preserve"> de Investigaciones de Villa Mart</w:t>
      </w:r>
      <w:r>
        <w:t>e</w:t>
      </w:r>
      <w:r>
        <w:t>lli, precisando Eduardo Telleldín que dicha dete</w:t>
      </w:r>
      <w:r>
        <w:t>n</w:t>
      </w:r>
      <w:r>
        <w:t>ción fue motivada por haber sido confundido con su hermano Ca</w:t>
      </w:r>
      <w:r>
        <w:t>r</w:t>
      </w:r>
      <w:r>
        <w:t>los.</w:t>
      </w:r>
    </w:p>
    <w:p w:rsidR="00224567" w:rsidRDefault="00224567">
      <w:pPr>
        <w:widowControl w:val="0"/>
      </w:pPr>
      <w:r>
        <w:tab/>
      </w:r>
      <w:r>
        <w:tab/>
        <w:t>Sin perjuicio de ello, el juez G</w:t>
      </w:r>
      <w:r>
        <w:t>a</w:t>
      </w:r>
      <w:r>
        <w:t>leano, sólo desplegó algún tipo de actividad al respecto luego de que el por entonces letrado de Memoria Activa, Dr. Zuppi, presentara un escrito sugiriendo numerosas m</w:t>
      </w:r>
      <w:r>
        <w:t>e</w:t>
      </w:r>
      <w:r>
        <w:t>didas investigativas. Las mismas fueron dispuestas media</w:t>
      </w:r>
      <w:r>
        <w:t>n</w:t>
      </w:r>
      <w:r>
        <w:t>te los decretos de fecha 30 de enero y 2 de marzo de 1998 (fs. 45.253/54 y 45.909/911).</w:t>
      </w:r>
    </w:p>
    <w:p w:rsidR="00224567" w:rsidRDefault="00224567">
      <w:pPr>
        <w:widowControl w:val="0"/>
      </w:pPr>
      <w:r>
        <w:tab/>
      </w:r>
      <w:r>
        <w:tab/>
        <w:t>Luego de casi dos años, el 16 de abril de 1998, dispuso que “...teniendo en cuenta los hechos r</w:t>
      </w:r>
      <w:r>
        <w:t>e</w:t>
      </w:r>
      <w:r>
        <w:t>latados por Eduardo Telleldín y Liliana Be</w:t>
      </w:r>
      <w:r>
        <w:t>a</w:t>
      </w:r>
      <w:r>
        <w:t>triz Fernández, el resultado de las medidas hasta el momento realizadas, y pudiendo tales circunstancias constituir delitos de a</w:t>
      </w:r>
      <w:r>
        <w:t>c</w:t>
      </w:r>
      <w:r>
        <w:t>ción pública –v. g. privación ilegítima de la libertad, exto</w:t>
      </w:r>
      <w:r>
        <w:t>r</w:t>
      </w:r>
      <w:r>
        <w:t>sión, apremios ilegales-, ordenar la extracción de test</w:t>
      </w:r>
      <w:r>
        <w:t>i</w:t>
      </w:r>
      <w:r>
        <w:t>monios de las partes pertinentes y remitirlas al Juzgado en lo Criminal y Correccional en turno del Departamento Judicial de San Isidro, con jurisdicción en Villa Mart</w:t>
      </w:r>
      <w:r>
        <w:t>e</w:t>
      </w:r>
      <w:r>
        <w:t>lli, Partido de Vicente López, provincia de Buenos Aires, con el objeto de que intervenga en la i</w:t>
      </w:r>
      <w:r>
        <w:t>n</w:t>
      </w:r>
      <w:r>
        <w:t>vestigación”.</w:t>
      </w:r>
    </w:p>
    <w:p w:rsidR="00224567" w:rsidRDefault="00224567">
      <w:pPr>
        <w:widowControl w:val="0"/>
      </w:pPr>
      <w:r>
        <w:tab/>
      </w:r>
      <w:r>
        <w:tab/>
        <w:t>Lleva razón la defensa de Ibarra cua</w:t>
      </w:r>
      <w:r>
        <w:t>n</w:t>
      </w:r>
      <w:r>
        <w:t>do en su al</w:t>
      </w:r>
      <w:r>
        <w:t>e</w:t>
      </w:r>
      <w:r>
        <w:t>gato destacó que la inactividad del juez sobre el punto resulta inexplicable, pues se trataba de una nu</w:t>
      </w:r>
      <w:r>
        <w:t>e</w:t>
      </w:r>
      <w:r>
        <w:t>va extorsión –esta vez contra su hermano Eduardo- denu</w:t>
      </w:r>
      <w:r>
        <w:t>n</w:t>
      </w:r>
      <w:r>
        <w:t xml:space="preserve">ciada por el propio Telleldín, a manos de otra dependencia de la policía bonaerense, tan sólo a una semana después de ser perseguido por quienes, según la versión oficial, se apropiaron de </w:t>
      </w:r>
      <w:smartTag w:uri="urn:schemas-microsoft-com:office:smarttags" w:element="PersonName">
        <w:smartTagPr>
          <w:attr w:name="ProductID" w:val="la Trafic."/>
        </w:smartTagPr>
        <w:r>
          <w:t>la Trafic.</w:t>
        </w:r>
      </w:smartTag>
    </w:p>
    <w:p w:rsidR="00224567" w:rsidRDefault="00224567">
      <w:pPr>
        <w:widowControl w:val="0"/>
      </w:pPr>
      <w:r>
        <w:tab/>
        <w:t>Máxime cuando Carlos Telleldín, al r</w:t>
      </w:r>
      <w:r>
        <w:t>e</w:t>
      </w:r>
      <w:r>
        <w:t>ferirse a lo sucedido el 10 de julio de 1994, menci</w:t>
      </w:r>
      <w:r>
        <w:t>o</w:t>
      </w:r>
      <w:r>
        <w:t>nó que había policías de otras brigadas, distintas a Lanús y V</w:t>
      </w:r>
      <w:r>
        <w:t>i</w:t>
      </w:r>
      <w:r>
        <w:t>cente López merodeando los alrededores de su domicilio de Villa Ballester, antes, durante, y después de esa fecha por lo que se debió descartar o corroborar que Ramón Ma</w:t>
      </w:r>
      <w:r>
        <w:t>r</w:t>
      </w:r>
      <w:r>
        <w:t>tínez, o el anónimo oficial canoso, que estuvo en Republ</w:t>
      </w:r>
      <w:r>
        <w:t>i</w:t>
      </w:r>
      <w:r>
        <w:t>ca, prestaban funciones en la comisaría de Villa Mart</w:t>
      </w:r>
      <w:r>
        <w:t>e</w:t>
      </w:r>
      <w:r>
        <w:t>lli.</w:t>
      </w:r>
    </w:p>
    <w:p w:rsidR="00224567" w:rsidRDefault="00224567">
      <w:pPr>
        <w:widowControl w:val="0"/>
      </w:pPr>
      <w:r>
        <w:tab/>
        <w:t>Además de ello, Eduardo Telleldín en su declaración testimonial del 10 de julio de 1996, denu</w:t>
      </w:r>
      <w:r>
        <w:t>n</w:t>
      </w:r>
      <w:r>
        <w:t>ció que en esa oportunidad, para recuperar su libertad, debió entregar en la dependencia policial dieciocho mil dólares y que para ello contó con la activa mediación de Gustavo Semorile, quien, al momento de la declaración, ya se contaba entre los colaboradores del juez Galeano en la investigación.</w:t>
      </w:r>
    </w:p>
    <w:p w:rsidR="00224567" w:rsidRDefault="00224567">
      <w:pPr>
        <w:pStyle w:val="Textoindependiente"/>
        <w:spacing w:line="600" w:lineRule="auto"/>
        <w:rPr>
          <w:lang w:val="es-ES"/>
        </w:rPr>
      </w:pPr>
    </w:p>
    <w:p w:rsidR="00224567" w:rsidRDefault="00224567">
      <w:pPr>
        <w:pStyle w:val="Ttulo3"/>
        <w:keepNext w:val="0"/>
        <w:widowControl w:val="0"/>
      </w:pPr>
      <w:r>
        <w:t>V) Protección estatal de la actividad irregular del juez.</w:t>
      </w:r>
    </w:p>
    <w:p w:rsidR="00224567" w:rsidRDefault="00224567">
      <w:pPr>
        <w:pStyle w:val="Encabezado"/>
        <w:widowControl w:val="0"/>
        <w:tabs>
          <w:tab w:val="center" w:pos="0"/>
          <w:tab w:val="left" w:pos="2835"/>
        </w:tabs>
        <w:ind w:firstLine="2880"/>
      </w:pPr>
      <w:r>
        <w:tab/>
      </w:r>
      <w:r>
        <w:rPr>
          <w:b/>
          <w:bCs/>
        </w:rPr>
        <w:t>V.1)</w:t>
      </w:r>
      <w:r>
        <w:t xml:space="preserve"> Demostradas las numerosísimas irregularidades en que incurrió el señor juez instru</w:t>
      </w:r>
      <w:r>
        <w:t>c</w:t>
      </w:r>
      <w:r>
        <w:t>tor, se advierte con meridiana claridad que su posición frente a la causa lejos estuvo de perseguir el desc</w:t>
      </w:r>
      <w:r>
        <w:t>u</w:t>
      </w:r>
      <w:r>
        <w:t>brimiento de la verdad real y de resolver justa y legalmente. Por el contrario, al aceptar las intromisiones más arriba indic</w:t>
      </w:r>
      <w:r>
        <w:t>a</w:t>
      </w:r>
      <w:r>
        <w:t>das, el señor juez demostró que su finalidad era llegar a un resultado cualquiera fuese el camino a transitar para ello.</w:t>
      </w:r>
    </w:p>
    <w:p w:rsidR="00224567" w:rsidRDefault="00224567">
      <w:pPr>
        <w:widowControl w:val="0"/>
        <w:tabs>
          <w:tab w:val="center" w:pos="0"/>
          <w:tab w:val="left" w:pos="2835"/>
        </w:tabs>
        <w:ind w:firstLine="2880"/>
      </w:pPr>
      <w:r>
        <w:t>El término resultado no quiere sign</w:t>
      </w:r>
      <w:r>
        <w:t>i</w:t>
      </w:r>
      <w:r>
        <w:t>ficar un accionar enderezado a la verdad, sino a pr</w:t>
      </w:r>
      <w:r>
        <w:t>o</w:t>
      </w:r>
      <w:r>
        <w:t>curar la satisfacción de la sociedad toda y en partic</w:t>
      </w:r>
      <w:r>
        <w:t>u</w:t>
      </w:r>
      <w:r>
        <w:t>lar de la comunidad judía, como también de los gobe</w:t>
      </w:r>
      <w:r>
        <w:t>r</w:t>
      </w:r>
      <w:r>
        <w:t>nantes de turno urgidos de respuestas frente a diversos tipos de reclamos.</w:t>
      </w:r>
    </w:p>
    <w:p w:rsidR="00224567" w:rsidRDefault="00224567">
      <w:pPr>
        <w:widowControl w:val="0"/>
        <w:tabs>
          <w:tab w:val="center" w:pos="0"/>
          <w:tab w:val="left" w:pos="2835"/>
        </w:tabs>
        <w:ind w:firstLine="2880"/>
      </w:pPr>
      <w:r>
        <w:t>Así, se observa que diversos estame</w:t>
      </w:r>
      <w:r>
        <w:t>n</w:t>
      </w:r>
      <w:r>
        <w:t>tos del Estado Nacional y de la provincia de Buenos Aires, se interesaron en alcanzar un resultado.</w:t>
      </w:r>
    </w:p>
    <w:p w:rsidR="00224567" w:rsidRDefault="00224567">
      <w:pPr>
        <w:widowControl w:val="0"/>
        <w:tabs>
          <w:tab w:val="center" w:pos="0"/>
          <w:tab w:val="left" w:pos="2835"/>
        </w:tabs>
        <w:ind w:firstLine="2880"/>
      </w:pPr>
      <w:r>
        <w:t xml:space="preserve">A modo de ejemplo, dentro del Poder Judicial de </w:t>
      </w:r>
      <w:smartTag w:uri="urn:schemas-microsoft-com:office:smarttags" w:element="PersonName">
        <w:smartTagPr>
          <w:attr w:name="ProductID" w:val="la Naci￳n"/>
        </w:smartTagPr>
        <w:r>
          <w:t>la Nación</w:t>
        </w:r>
      </w:smartTag>
      <w:r>
        <w:t xml:space="preserve"> basta remitirse a las entrevistas que mantuviera la camarista Riva Aramayo con el imputado Telleldín, en un proceder que no registra precedente, po</w:t>
      </w:r>
      <w:r>
        <w:t>s</w:t>
      </w:r>
      <w:r>
        <w:t xml:space="preserve">teriormente tolerado por los otros integrantes de </w:t>
      </w:r>
      <w:smartTag w:uri="urn:schemas-microsoft-com:office:smarttags" w:element="PersonName">
        <w:smartTagPr>
          <w:attr w:name="ProductID" w:val="la Sala"/>
        </w:smartTagPr>
        <w:r>
          <w:t>la Sala</w:t>
        </w:r>
      </w:smartTag>
      <w:r>
        <w:t>, por el magistrado instructor, los fiscales y por quienes, en esos momentos, estaban encargados de juzgar el desemp</w:t>
      </w:r>
      <w:r>
        <w:t>e</w:t>
      </w:r>
      <w:r>
        <w:t>ño de los magistrados.</w:t>
      </w:r>
    </w:p>
    <w:p w:rsidR="00224567" w:rsidRDefault="00224567">
      <w:pPr>
        <w:widowControl w:val="0"/>
        <w:tabs>
          <w:tab w:val="center" w:pos="0"/>
          <w:tab w:val="left" w:pos="2835"/>
        </w:tabs>
        <w:ind w:firstLine="2880"/>
      </w:pPr>
      <w:r>
        <w:rPr>
          <w:b/>
          <w:bCs/>
        </w:rPr>
        <w:t xml:space="preserve">V.2) </w:t>
      </w:r>
      <w:r>
        <w:t xml:space="preserve">La actitud de </w:t>
      </w:r>
      <w:smartTag w:uri="urn:schemas-microsoft-com:office:smarttags" w:element="PersonName">
        <w:smartTagPr>
          <w:attr w:name="ProductID" w:val="la Dra. Mar￭a"/>
        </w:smartTagPr>
        <w:r>
          <w:t>la Dra. María</w:t>
        </w:r>
      </w:smartTag>
      <w:r>
        <w:t xml:space="preserve"> Luisa Riva Aramayo, por entonces presidenta de </w:t>
      </w:r>
      <w:smartTag w:uri="urn:schemas-microsoft-com:office:smarttags" w:element="PersonName">
        <w:smartTagPr>
          <w:attr w:name="ProductID" w:val="la C￡mara Nacional"/>
        </w:smartTagPr>
        <w:r>
          <w:t>la Cámara Naci</w:t>
        </w:r>
        <w:r>
          <w:t>o</w:t>
        </w:r>
        <w:r>
          <w:t>nal</w:t>
        </w:r>
      </w:smartTag>
      <w:r>
        <w:t xml:space="preserve"> de Apelaciones en lo Criminal y Correcci</w:t>
      </w:r>
      <w:r>
        <w:t>o</w:t>
      </w:r>
      <w:r>
        <w:t>nal Federal, vulneró elementales principios procesales, dado que a e</w:t>
      </w:r>
      <w:r>
        <w:t>s</w:t>
      </w:r>
      <w:r>
        <w:t>paldas de todos los operadores del proceso mantuvo reuni</w:t>
      </w:r>
      <w:r>
        <w:t>o</w:t>
      </w:r>
      <w:r>
        <w:t>nes con el imputado Carlos Alberto Telleldín, cuyos resu</w:t>
      </w:r>
      <w:r>
        <w:t>l</w:t>
      </w:r>
      <w:r>
        <w:t>tados iba transmitiendo al juez instructor.</w:t>
      </w:r>
    </w:p>
    <w:p w:rsidR="00224567" w:rsidRDefault="00224567">
      <w:pPr>
        <w:widowControl w:val="0"/>
        <w:tabs>
          <w:tab w:val="center" w:pos="0"/>
          <w:tab w:val="left" w:pos="2835"/>
        </w:tabs>
        <w:ind w:firstLine="2880"/>
      </w:pPr>
      <w:r>
        <w:t>Con motivo de esas entrevistas, cuyo lugar de celebración se ignora, no se labró actuación a</w:t>
      </w:r>
      <w:r>
        <w:t>l</w:t>
      </w:r>
      <w:r>
        <w:t>guna y por tanto se desconocen los temas abordados.</w:t>
      </w:r>
    </w:p>
    <w:p w:rsidR="00224567" w:rsidRDefault="00224567">
      <w:pPr>
        <w:widowControl w:val="0"/>
        <w:tabs>
          <w:tab w:val="center" w:pos="0"/>
          <w:tab w:val="left" w:pos="2835"/>
        </w:tabs>
        <w:ind w:firstLine="2880"/>
      </w:pPr>
      <w:r>
        <w:t xml:space="preserve">Las circunstancias apuntadas, así como la no participación en esos eventos de los demás jueces integrantes de la sala, para ese entonces, Dres. Vigliani y Cortelezzi, demuestra la clandestinidad del actuar de </w:t>
      </w:r>
      <w:smartTag w:uri="urn:schemas-microsoft-com:office:smarttags" w:element="PersonName">
        <w:smartTagPr>
          <w:attr w:name="ProductID" w:val="la Dra. Riva"/>
        </w:smartTagPr>
        <w:r>
          <w:t>la Dra. Riva</w:t>
        </w:r>
      </w:smartTag>
      <w:r>
        <w:t xml:space="preserve"> Aramayo; por otra parte, sólo consta en el leg</w:t>
      </w:r>
      <w:r>
        <w:t>a</w:t>
      </w:r>
      <w:r>
        <w:t>jo un pedido de audiencia por parte de Telleldín y su ab</w:t>
      </w:r>
      <w:r>
        <w:t>o</w:t>
      </w:r>
      <w:r>
        <w:t>gado defensor.</w:t>
      </w:r>
    </w:p>
    <w:p w:rsidR="00224567" w:rsidRDefault="00224567">
      <w:pPr>
        <w:widowControl w:val="0"/>
        <w:tabs>
          <w:tab w:val="center" w:pos="0"/>
          <w:tab w:val="left" w:pos="2835"/>
        </w:tabs>
        <w:ind w:firstLine="2880"/>
      </w:pPr>
      <w:r>
        <w:t xml:space="preserve">El inaudito proceder de </w:t>
      </w:r>
      <w:smartTag w:uri="urn:schemas-microsoft-com:office:smarttags" w:element="PersonName">
        <w:smartTagPr>
          <w:attr w:name="ProductID" w:val="la Dra. Luisa"/>
        </w:smartTagPr>
        <w:r>
          <w:t>la Dra. Lu</w:t>
        </w:r>
        <w:r>
          <w:t>i</w:t>
        </w:r>
        <w:r>
          <w:t>sa</w:t>
        </w:r>
      </w:smartTag>
      <w:r>
        <w:t xml:space="preserve"> Riva Aramayo, ya descripto, alcanza una inconmensurable dimensión no bien se advierte que debió apartarse del c</w:t>
      </w:r>
      <w:r>
        <w:t>o</w:t>
      </w:r>
      <w:r>
        <w:t>nocimiento de la causa ante la recusación de las defensas. Para apreciar la magnitud de las referidas anomalías, nada mejor que repasar lo sucedido sobre el particular.</w:t>
      </w:r>
    </w:p>
    <w:p w:rsidR="00224567" w:rsidRDefault="00224567">
      <w:pPr>
        <w:widowControl w:val="0"/>
        <w:tabs>
          <w:tab w:val="center" w:pos="0"/>
          <w:tab w:val="left" w:pos="2835"/>
        </w:tabs>
        <w:ind w:firstLine="2880"/>
      </w:pPr>
      <w:r>
        <w:t>A raíz de las notas publicadas en el diario “Página 12", en las ediciones del 27 y 29 de se</w:t>
      </w:r>
      <w:r>
        <w:t>p</w:t>
      </w:r>
      <w:r>
        <w:t xml:space="preserve">tiembre de 1995, dando cuenta de las negociaciones entre Carlos Alberto Telleldín y </w:t>
      </w:r>
      <w:smartTag w:uri="urn:schemas-microsoft-com:office:smarttags" w:element="PersonName">
        <w:smartTagPr>
          <w:attr w:name="ProductID" w:val="la Dra. Riva"/>
        </w:smartTagPr>
        <w:r>
          <w:t>la Dra. Riva</w:t>
        </w:r>
      </w:smartTag>
      <w:r>
        <w:t xml:space="preserve"> Aramayo, los do</w:t>
      </w:r>
      <w:r>
        <w:t>c</w:t>
      </w:r>
      <w:r>
        <w:t xml:space="preserve">tores Luis Dobniewski y Natalio Czarny, por la querella en representación de </w:t>
      </w:r>
      <w:smartTag w:uri="urn:schemas-microsoft-com:office:smarttags" w:element="PersonName">
        <w:smartTagPr>
          <w:attr w:name="ProductID" w:val="la Asociaci￳n Mutual"/>
        </w:smartTagPr>
        <w:r>
          <w:t>la Asociación Mutual</w:t>
        </w:r>
      </w:smartTag>
      <w:r>
        <w:t xml:space="preserve"> I</w:t>
      </w:r>
      <w:r>
        <w:t>s</w:t>
      </w:r>
      <w:r>
        <w:t xml:space="preserve">raelita Argentina (A.M.I.A.) y </w:t>
      </w:r>
      <w:smartTag w:uri="urn:schemas-microsoft-com:office:smarttags" w:element="PersonName">
        <w:smartTagPr>
          <w:attr w:name="ProductID" w:val="la Delegaci￳n"/>
        </w:smartTagPr>
        <w:r>
          <w:t>la Delegación</w:t>
        </w:r>
      </w:smartTag>
      <w:r>
        <w:t xml:space="preserve"> de Asociaciones Israelitas A</w:t>
      </w:r>
      <w:r>
        <w:t>r</w:t>
      </w:r>
      <w:r>
        <w:t>gentinas (D.A.I.A.), respectivamente, realizaron una pr</w:t>
      </w:r>
      <w:r>
        <w:t>e</w:t>
      </w:r>
      <w:r>
        <w:t>sentación ante el juzgado in</w:t>
      </w:r>
      <w:r>
        <w:t>s</w:t>
      </w:r>
      <w:r>
        <w:t>tructor.</w:t>
      </w:r>
    </w:p>
    <w:p w:rsidR="00224567" w:rsidRDefault="00224567">
      <w:pPr>
        <w:widowControl w:val="0"/>
        <w:tabs>
          <w:tab w:val="center" w:pos="0"/>
          <w:tab w:val="left" w:pos="2835"/>
        </w:tabs>
        <w:ind w:firstLine="2880"/>
      </w:pPr>
      <w:r>
        <w:t>Allí, tras indicar que constituye una ardua tarea adjetivar adecuadamente la gravedad que te</w:t>
      </w:r>
      <w:r>
        <w:t>n</w:t>
      </w:r>
      <w:r>
        <w:t>drían los hechos a los que se refiere la noticia periodí</w:t>
      </w:r>
      <w:r>
        <w:t>s</w:t>
      </w:r>
      <w:r>
        <w:t xml:space="preserve">tica, en resguardo del sistema republicano de gobierno, solicitaron que se libre oficio a </w:t>
      </w:r>
      <w:smartTag w:uri="urn:schemas-microsoft-com:office:smarttags" w:element="PersonName">
        <w:smartTagPr>
          <w:attr w:name="ProductID" w:val="la C￡mara"/>
        </w:smartTagPr>
        <w:r>
          <w:t>la Cámara</w:t>
        </w:r>
      </w:smartTag>
      <w:r>
        <w:t xml:space="preserve"> a fin de que informe si existieron encuentros entre alguno de sus mie</w:t>
      </w:r>
      <w:r>
        <w:t>m</w:t>
      </w:r>
      <w:r>
        <w:t>bros y Carlos Alberto Telleldín; en su caso, si tuvieron por objeto obtener información acerca de los hechos de la causa y, mediante qué resolución fue adoptada esa conducta (ver fs. 16.045/46).</w:t>
      </w:r>
    </w:p>
    <w:p w:rsidR="00224567" w:rsidRDefault="00224567">
      <w:pPr>
        <w:widowControl w:val="0"/>
        <w:tabs>
          <w:tab w:val="center" w:pos="0"/>
          <w:tab w:val="left" w:pos="2835"/>
        </w:tabs>
        <w:ind w:firstLine="2880"/>
      </w:pPr>
      <w:r>
        <w:t>Parecería, que en ese entonces los l</w:t>
      </w:r>
      <w:r>
        <w:t>e</w:t>
      </w:r>
      <w:r>
        <w:t xml:space="preserve">trados de </w:t>
      </w:r>
      <w:smartTag w:uri="urn:schemas-microsoft-com:office:smarttags" w:element="PersonName">
        <w:smartTagPr>
          <w:attr w:name="ProductID" w:val="la A.M"/>
        </w:smartTagPr>
        <w:r>
          <w:t>la A.M</w:t>
        </w:r>
      </w:smartTag>
      <w:r>
        <w:t xml:space="preserve">.I.A. y </w:t>
      </w:r>
      <w:smartTag w:uri="urn:schemas-microsoft-com:office:smarttags" w:element="PersonName">
        <w:smartTagPr>
          <w:attr w:name="ProductID" w:val="la D.A"/>
        </w:smartTagPr>
        <w:r>
          <w:t>la D.A</w:t>
        </w:r>
      </w:smartTag>
      <w:r>
        <w:t>.I.A. advirtieron la grav</w:t>
      </w:r>
      <w:r>
        <w:t>e</w:t>
      </w:r>
      <w:r>
        <w:t>dad del hecho. Pero ello no era así, lo conocían de antes como surge de los dichos de Beraja. Además, poco podía llamarles la atención pues, luego, participaron de “reuniones informales” con Telleldín en la sede del juzg</w:t>
      </w:r>
      <w:r>
        <w:t>a</w:t>
      </w:r>
      <w:r>
        <w:t>do.</w:t>
      </w:r>
    </w:p>
    <w:p w:rsidR="00224567" w:rsidRDefault="00224567">
      <w:pPr>
        <w:widowControl w:val="0"/>
        <w:tabs>
          <w:tab w:val="center" w:pos="0"/>
          <w:tab w:val="left" w:pos="2835"/>
        </w:tabs>
        <w:ind w:firstLine="2880"/>
      </w:pPr>
      <w:r>
        <w:t>A fs. 16.047 luce un auto suscripto por el Dr. Galeano, del 29 de septiembre de 1995, m</w:t>
      </w:r>
      <w:r>
        <w:t>e</w:t>
      </w:r>
      <w:r>
        <w:t>diante el cual hace “saber al presentante que oportunamente el suscripto fue puesto en conocimiento de la e</w:t>
      </w:r>
      <w:r>
        <w:t>n</w:t>
      </w:r>
      <w:r>
        <w:t xml:space="preserve">trevista que habría mantenido un integrante de </w:t>
      </w:r>
      <w:smartTag w:uri="urn:schemas-microsoft-com:office:smarttags" w:element="PersonName">
        <w:smartTagPr>
          <w:attr w:name="ProductID" w:val="la Excelent￭sima C￡mara"/>
        </w:smartTagPr>
        <w:r>
          <w:t>la Exc</w:t>
        </w:r>
        <w:r>
          <w:t>e</w:t>
        </w:r>
        <w:r>
          <w:t>lentísima Cámara</w:t>
        </w:r>
      </w:smartTag>
      <w:r>
        <w:t xml:space="preserve"> Criminal y Correccional Federal con el procesado Carlos Alberto Telleldín. Asimismo, que los hechos relativos a tal circunstancia están siendo debidamente analizados en el legajo formado en consecuencia”. No obstante, dispuso librar oficio a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w:smartTagPr>
        <w:r>
          <w:t>la Cámara</w:t>
        </w:r>
      </w:smartTag>
      <w:r>
        <w:t>, acompañando fot</w:t>
      </w:r>
      <w:r>
        <w:t>o</w:t>
      </w:r>
      <w:r>
        <w:t>copias del escrito y del r</w:t>
      </w:r>
      <w:r>
        <w:t>e</w:t>
      </w:r>
      <w:r>
        <w:t>corte periodístico presentado.</w:t>
      </w:r>
    </w:p>
    <w:p w:rsidR="00224567" w:rsidRDefault="00224567">
      <w:pPr>
        <w:widowControl w:val="0"/>
        <w:tabs>
          <w:tab w:val="center" w:pos="0"/>
          <w:tab w:val="left" w:pos="2835"/>
        </w:tabs>
        <w:ind w:firstLine="2880"/>
      </w:pPr>
      <w:r>
        <w:t xml:space="preserve">La presidente de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Nacional"/>
        </w:smartTagPr>
        <w:r>
          <w:t>la Cám</w:t>
        </w:r>
        <w:r>
          <w:t>a</w:t>
        </w:r>
        <w:r>
          <w:t>ra Nacional</w:t>
        </w:r>
      </w:smartTag>
      <w:r>
        <w:t xml:space="preserve"> de Apelaciones en lo Criminal y Correccional Federal contestó el requerimiento a fs. 19.843, donde a</w:t>
      </w:r>
      <w:r>
        <w:t>d</w:t>
      </w:r>
      <w:r>
        <w:t>mitió que fue ella quien se entrevistó con Ca</w:t>
      </w:r>
      <w:r>
        <w:t>r</w:t>
      </w:r>
      <w:r>
        <w:t>los Alberto Telleldín en la unidad de detención. Que, a raíz de ello, el juez oficiante dispuso la formación de un legajo, cuyo contenido no conocía de manera directa. Indicó que las e</w:t>
      </w:r>
      <w:r>
        <w:t>n</w:t>
      </w:r>
      <w:r>
        <w:t>trevistas se realizaron a pedido del imputado y su defe</w:t>
      </w:r>
      <w:r>
        <w:t>n</w:t>
      </w:r>
      <w:r>
        <w:t>sor, dejando debida constancia de su realización mediante constancia actuarial.</w:t>
      </w:r>
    </w:p>
    <w:p w:rsidR="00224567" w:rsidRDefault="00224567">
      <w:pPr>
        <w:widowControl w:val="0"/>
        <w:tabs>
          <w:tab w:val="center" w:pos="0"/>
          <w:tab w:val="left" w:pos="2835"/>
        </w:tabs>
        <w:ind w:firstLine="2880"/>
      </w:pPr>
      <w:r>
        <w:t xml:space="preserve">Precisó </w:t>
      </w:r>
      <w:smartTag w:uri="urn:schemas-microsoft-com:office:smarttags" w:element="PersonName">
        <w:smartTagPr>
          <w:attr w:name="ProductID" w:val="la Dra. Riva"/>
        </w:smartTagPr>
        <w:r>
          <w:t>la Dra. Riva</w:t>
        </w:r>
      </w:smartTag>
      <w:r>
        <w:t xml:space="preserve"> Aramayo que las entrevistas no se inscribieron en el marco de negoci</w:t>
      </w:r>
      <w:r>
        <w:t>a</w:t>
      </w:r>
      <w:r>
        <w:t>ción alguna, sino “en el que habitualmente lleva a cabo la su</w:t>
      </w:r>
      <w:r>
        <w:t>s</w:t>
      </w:r>
      <w:r>
        <w:t>cripta en su carácter de Presidente de esta Sala con todos aquellos individuos privados de la libertad imputados en causas en trámite ante esta Sala y que así lo solicitan”.</w:t>
      </w:r>
    </w:p>
    <w:p w:rsidR="00224567" w:rsidRDefault="00224567">
      <w:pPr>
        <w:widowControl w:val="0"/>
        <w:tabs>
          <w:tab w:val="center" w:pos="0"/>
          <w:tab w:val="left" w:pos="2835"/>
        </w:tabs>
        <w:ind w:firstLine="2880"/>
      </w:pPr>
      <w:r>
        <w:t>El 30 de agosto de 1996, el Dr. Ca</w:t>
      </w:r>
      <w:r>
        <w:t>r</w:t>
      </w:r>
      <w:r>
        <w:t>los G. Frasquet, defensor de Raúl Edilio Ibarra, José Miguel Arancibia, Marcelo Gustavo Albarracín, Oscar Eusebio Bac</w:t>
      </w:r>
      <w:r>
        <w:t>i</w:t>
      </w:r>
      <w:r>
        <w:t xml:space="preserve">galupo, Claudio Walter Araya y Víctor Carlos Cruz, recusó a </w:t>
      </w:r>
      <w:smartTag w:uri="urn:schemas-microsoft-com:office:smarttags" w:element="PersonName">
        <w:smartTagPr>
          <w:attr w:name="ProductID" w:val="la Dra. Riva"/>
        </w:smartTagPr>
        <w:r>
          <w:t>la Dra. Riva</w:t>
        </w:r>
      </w:smartTag>
      <w:r>
        <w:t xml:space="preserve"> Aramayo.</w:t>
      </w:r>
    </w:p>
    <w:p w:rsidR="00224567" w:rsidRDefault="00224567">
      <w:pPr>
        <w:widowControl w:val="0"/>
        <w:tabs>
          <w:tab w:val="center" w:pos="0"/>
          <w:tab w:val="left" w:pos="2835"/>
        </w:tabs>
        <w:ind w:firstLine="2880"/>
      </w:pPr>
      <w:r>
        <w:t>Argumentó el letrado que en el auto de procesamiento recurrido, dictado el 31 de julio de 1996, en la causa n° 1598, surge de los puntos 3 y 4 la inte</w:t>
      </w:r>
      <w:r>
        <w:t>r</w:t>
      </w:r>
      <w:r>
        <w:t xml:space="preserve">vención que tuvo </w:t>
      </w:r>
      <w:smartTag w:uri="urn:schemas-microsoft-com:office:smarttags" w:element="PersonName">
        <w:smartTagPr>
          <w:attr w:name="ProductID" w:val="la Dra. Luisa"/>
        </w:smartTagPr>
        <w:r>
          <w:t>la Dra. Luisa</w:t>
        </w:r>
      </w:smartTag>
      <w:r>
        <w:t xml:space="preserve"> Riva Aramayo en r</w:t>
      </w:r>
      <w:r>
        <w:t>e</w:t>
      </w:r>
      <w:r>
        <w:t>lación a las posteriores manifestaciones del imputado Telleldín y de cómo se conformó la prueba en esta causa para el proc</w:t>
      </w:r>
      <w:r>
        <w:t>e</w:t>
      </w:r>
      <w:r>
        <w:t>samiento de sus defendidos (ver fs. 363/364 vta., del i</w:t>
      </w:r>
      <w:r>
        <w:t>n</w:t>
      </w:r>
      <w:r>
        <w:t>cidente de apelación de los procesamientos dictados el 31/7/96).</w:t>
      </w:r>
    </w:p>
    <w:p w:rsidR="00224567" w:rsidRDefault="00224567">
      <w:pPr>
        <w:widowControl w:val="0"/>
        <w:tabs>
          <w:tab w:val="center" w:pos="0"/>
          <w:tab w:val="left" w:pos="2835"/>
        </w:tabs>
        <w:ind w:firstLine="2880"/>
      </w:pPr>
      <w:r>
        <w:t>El defensor de Anastasio Ireneo Leal, Dr. Héctor H. Zarate, el 3 de septiembre de 1996, también recusó a la jueza nombrada, por considerar que la activ</w:t>
      </w:r>
      <w:r>
        <w:t>i</w:t>
      </w:r>
      <w:r>
        <w:t>dad desarrollada por la magistrada constituyó un acto de denuncia; advirtió que la magistrada reunía las condici</w:t>
      </w:r>
      <w:r>
        <w:t>o</w:t>
      </w:r>
      <w:r>
        <w:t>nes de denunciante y testigo (cfr. fs. 366/370 vta. del incidente más arriba citado).</w:t>
      </w:r>
    </w:p>
    <w:p w:rsidR="00224567" w:rsidRDefault="00224567">
      <w:pPr>
        <w:widowControl w:val="0"/>
        <w:tabs>
          <w:tab w:val="center" w:pos="0"/>
          <w:tab w:val="left" w:pos="2835"/>
        </w:tabs>
        <w:ind w:firstLine="2880"/>
      </w:pPr>
      <w:r>
        <w:t xml:space="preserve">Ante dichas presentaciones, </w:t>
      </w:r>
      <w:smartTag w:uri="urn:schemas-microsoft-com:office:smarttags" w:element="PersonName">
        <w:smartTagPr>
          <w:attr w:name="ProductID" w:val="la Dra. Riva"/>
        </w:smartTagPr>
        <w:r>
          <w:t>la Dra. Riva</w:t>
        </w:r>
      </w:smartTag>
      <w:r>
        <w:t xml:space="preserve"> Aramayo produjo su informe a fs. 373/375, el 4 de septiembre de 1996, donde solicitó que se haga lugar al planteo de recusación formulado por los Dres. Frasquet y Zárate.</w:t>
      </w:r>
    </w:p>
    <w:p w:rsidR="00224567" w:rsidRDefault="00224567">
      <w:pPr>
        <w:widowControl w:val="0"/>
        <w:tabs>
          <w:tab w:val="center" w:pos="0"/>
          <w:tab w:val="left" w:pos="2835"/>
        </w:tabs>
        <w:ind w:firstLine="2880"/>
      </w:pPr>
      <w:r>
        <w:t>Allí nuevamente reconoció que, en su condición de juez de la causa, se entrevistó con Carlos Alberto Telleldín, quien “en el marco de esa entrevista personal donde comúnmente se reciben inquietudes de í</w:t>
      </w:r>
      <w:r>
        <w:t>n</w:t>
      </w:r>
      <w:r>
        <w:t>dole distinta a lo perteneciente a la actuación procesal pr</w:t>
      </w:r>
      <w:r>
        <w:t>o</w:t>
      </w:r>
      <w:r>
        <w:t>piamente dicha, me puso al tanto de aspectos que no había querido expresar en sus indagatorias ante el señor juez a quo, señalando que dispusiera de la información en la fo</w:t>
      </w:r>
      <w:r>
        <w:t>r</w:t>
      </w:r>
      <w:r>
        <w:t>ma que me pareciera corresponder”.</w:t>
      </w:r>
    </w:p>
    <w:p w:rsidR="00224567" w:rsidRDefault="00224567">
      <w:pPr>
        <w:widowControl w:val="0"/>
        <w:tabs>
          <w:tab w:val="center" w:pos="0"/>
          <w:tab w:val="left" w:pos="2835"/>
        </w:tabs>
        <w:ind w:firstLine="2880"/>
      </w:pPr>
      <w:r>
        <w:t>Sostiene, “que medité cuidadosamente sobre lo que me estaba dado hacer, pues no se me escapó la posibilidad de que alguien entendiera que ello i</w:t>
      </w:r>
      <w:r>
        <w:t>n</w:t>
      </w:r>
      <w:r>
        <w:t>hibía mi desempeño ulterior por tal o cual pretexto. No obstante, consciente de la importancia de la investig</w:t>
      </w:r>
      <w:r>
        <w:t>a</w:t>
      </w:r>
      <w:r>
        <w:t>ción en curso, sin saber por supuesto si los datos recibidos tendrían o no alguna virtualidad para el esclarecimiento de la cue</w:t>
      </w:r>
      <w:r>
        <w:t>s</w:t>
      </w:r>
      <w:r>
        <w:t>tión y preocupada fundamentalmente por la finalidad pri</w:t>
      </w:r>
      <w:r>
        <w:t>n</w:t>
      </w:r>
      <w:r>
        <w:t>cipal de que el sumario lograra esclarecer la verdad, pr</w:t>
      </w:r>
      <w:r>
        <w:t>e</w:t>
      </w:r>
      <w:r>
        <w:t>ferí obrar según lo que a mi juicio debía hacer facilita</w:t>
      </w:r>
      <w:r>
        <w:t>n</w:t>
      </w:r>
      <w:r>
        <w:t>do la información, tal y como la recibí, a quien como in</w:t>
      </w:r>
      <w:r>
        <w:t>s</w:t>
      </w:r>
      <w:r>
        <w:t>tructor de la causa e</w:t>
      </w:r>
      <w:r>
        <w:t>s</w:t>
      </w:r>
      <w:r>
        <w:t>taba en mejor aptitud de evaluar las pistas, decidir de su confiabilidad y realizar las dil</w:t>
      </w:r>
      <w:r>
        <w:t>i</w:t>
      </w:r>
      <w:r>
        <w:t>gencias que fueran menester para su debida verificación”.</w:t>
      </w:r>
    </w:p>
    <w:p w:rsidR="00224567" w:rsidRDefault="00224567">
      <w:pPr>
        <w:widowControl w:val="0"/>
        <w:tabs>
          <w:tab w:val="center" w:pos="0"/>
          <w:tab w:val="left" w:pos="2835"/>
        </w:tabs>
        <w:ind w:firstLine="2880"/>
      </w:pPr>
      <w:r>
        <w:t>Agregó “que tal su intervención, lim</w:t>
      </w:r>
      <w:r>
        <w:t>i</w:t>
      </w:r>
      <w:r>
        <w:t>tada como digo a recibir en audiencia al detenido nombrado por la sola circunstancia de haber expuesto éste su deseo de entrevistarse conmigo”; que se limitó a escuchar y a transmitir al juez instructor.</w:t>
      </w:r>
    </w:p>
    <w:p w:rsidR="00224567" w:rsidRDefault="00224567">
      <w:pPr>
        <w:widowControl w:val="0"/>
        <w:tabs>
          <w:tab w:val="center" w:pos="0"/>
          <w:tab w:val="left" w:pos="2835"/>
        </w:tabs>
        <w:ind w:firstLine="2880"/>
      </w:pPr>
      <w:r>
        <w:t>Sostuvo que “tanto me impresionó inapropiado dejar de hacer lo explicado cuanto, además, juzgué que en tal caso la omisión sólo habría servido para frustrar lo que pueda haber querido aportar T</w:t>
      </w:r>
      <w:r>
        <w:t>e</w:t>
      </w:r>
      <w:r>
        <w:t>lleldín. Si la entrevista fue a instancia del nombrado, si en ella e</w:t>
      </w:r>
      <w:r>
        <w:t>x</w:t>
      </w:r>
      <w:r>
        <w:t>plicó que la había pedido al solo efecto de manifestarme lo que me manifestó y si, por más que no se aviniera a instrumentar una forma escrita a su término tampoco exenta de reparos, tampoco surgió su intención de guardar reserva -que por lo demás tampoco le debía-, obligado entender que las eventuales pistas que pudieran surgir de la inform</w:t>
      </w:r>
      <w:r>
        <w:t>a</w:t>
      </w:r>
      <w:r>
        <w:t>ción habían sido fac</w:t>
      </w:r>
      <w:r>
        <w:t>i</w:t>
      </w:r>
      <w:r>
        <w:t>litadas para servir a ese fin”.</w:t>
      </w:r>
    </w:p>
    <w:p w:rsidR="00224567" w:rsidRDefault="00224567">
      <w:pPr>
        <w:widowControl w:val="0"/>
        <w:tabs>
          <w:tab w:val="center" w:pos="0"/>
          <w:tab w:val="left" w:pos="2835"/>
        </w:tabs>
        <w:ind w:firstLine="2880"/>
      </w:pPr>
      <w:r>
        <w:t>Dijo, “que en su momento aprecié la posibilidad de que pudiera plantearse mi apartamiento, conforme quedó ahora en consideración” y que “si bien no me excusé al instante, convencida que la intervención r</w:t>
      </w:r>
      <w:r>
        <w:t>e</w:t>
      </w:r>
      <w:r>
        <w:t>ferida no cohibía de ningún modo el juicio que eventua</w:t>
      </w:r>
      <w:r>
        <w:t>l</w:t>
      </w:r>
      <w:r>
        <w:t>mente fuera llamada a expedir, ante el planteo de los i</w:t>
      </w:r>
      <w:r>
        <w:t>n</w:t>
      </w:r>
      <w:r>
        <w:t>cidentistas aprecio conveniente acoger favorablemente mi separación. No porque me parezcan estrictamente del caso las causales invocadas por las defensas, ya que ni dí op</w:t>
      </w:r>
      <w:r>
        <w:t>i</w:t>
      </w:r>
      <w:r>
        <w:t>nión ni recomendé nada en absoluto ni sugerí al señor juez de la causa lo que tenía que hacer ni sufro violencia pe</w:t>
      </w:r>
      <w:r>
        <w:t>r</w:t>
      </w:r>
      <w:r>
        <w:t>sonal de ningún tipo”.</w:t>
      </w:r>
    </w:p>
    <w:p w:rsidR="00224567" w:rsidRDefault="00224567">
      <w:pPr>
        <w:widowControl w:val="0"/>
        <w:tabs>
          <w:tab w:val="center" w:pos="0"/>
          <w:tab w:val="left" w:pos="2835"/>
        </w:tabs>
        <w:ind w:firstLine="2880"/>
      </w:pPr>
      <w:r>
        <w:t>Adujo, que comparte el planteo, dado que “en un sentido podría entenderse aplicable el s</w:t>
      </w:r>
      <w:r>
        <w:t>u</w:t>
      </w:r>
      <w:r>
        <w:t>puesto contemplado por el artículo 55 inciso 8, del Código Proc</w:t>
      </w:r>
      <w:r>
        <w:t>e</w:t>
      </w:r>
      <w:r>
        <w:t>sal Penal”.</w:t>
      </w:r>
    </w:p>
    <w:p w:rsidR="00224567" w:rsidRDefault="00224567">
      <w:pPr>
        <w:widowControl w:val="0"/>
        <w:tabs>
          <w:tab w:val="center" w:pos="0"/>
          <w:tab w:val="left" w:pos="2835"/>
        </w:tabs>
        <w:ind w:firstLine="2880"/>
      </w:pPr>
      <w:r>
        <w:t>Aclaró que en un sentido técnico no podía considerársela denunciante; que, “de cualquier fo</w:t>
      </w:r>
      <w:r>
        <w:t>r</w:t>
      </w:r>
      <w:r>
        <w:t>ma, más allá que la opinión personal del magistrado co</w:t>
      </w:r>
      <w:r>
        <w:t>n</w:t>
      </w:r>
      <w:r>
        <w:t>cretamente cuestionado pesa a mi ver el marco particular</w:t>
      </w:r>
      <w:r>
        <w:t>í</w:t>
      </w:r>
      <w:r>
        <w:t>simo en que sobreviene la cuestión, de por medio un proc</w:t>
      </w:r>
      <w:r>
        <w:t>e</w:t>
      </w:r>
      <w:r>
        <w:t>so judicial de suma trascendencia, donde se afecta el se</w:t>
      </w:r>
      <w:r>
        <w:t>n</w:t>
      </w:r>
      <w:r>
        <w:t>timiento de pertenencia de toda una comunidad y se trata de esclarecer un episodio de caract</w:t>
      </w:r>
      <w:r>
        <w:t>e</w:t>
      </w:r>
      <w:r>
        <w:t>rísticas por completo extraordinarias, cuya violencia incomprensible, el daño incomparable en vidas humanas y la gravísima afectación padecida por la seguridad c</w:t>
      </w:r>
      <w:r>
        <w:t>o</w:t>
      </w:r>
      <w:r>
        <w:t>mún, así exigen y comprometen la eficaz respuesta del servicio de justicia como piden que esa aspiración de eficacia no vaya en desmedro de una de las mayores y más estrictas garantías del justiciable”.</w:t>
      </w:r>
    </w:p>
    <w:p w:rsidR="00224567" w:rsidRDefault="00224567">
      <w:pPr>
        <w:widowControl w:val="0"/>
        <w:tabs>
          <w:tab w:val="center" w:pos="0"/>
          <w:tab w:val="left" w:pos="2835"/>
        </w:tabs>
        <w:ind w:firstLine="2880"/>
      </w:pPr>
      <w:r>
        <w:t>Varios reparos merece la actuación del magistrado instructor y de la jueza de Cámara.</w:t>
      </w:r>
    </w:p>
    <w:p w:rsidR="00224567" w:rsidRDefault="00224567">
      <w:pPr>
        <w:widowControl w:val="0"/>
        <w:tabs>
          <w:tab w:val="center" w:pos="0"/>
          <w:tab w:val="left" w:pos="2835"/>
        </w:tabs>
        <w:ind w:firstLine="2880"/>
      </w:pPr>
      <w:r>
        <w:t xml:space="preserve">Respecto del primero debe destacarse que resulta inadmisible, desde todo punto de vista, que tolerase las reiteradas intromisiones de </w:t>
      </w:r>
      <w:smartTag w:uri="urn:schemas-microsoft-com:office:smarttags" w:element="PersonName">
        <w:smartTagPr>
          <w:attr w:name="ProductID" w:val="la Dra. Riva"/>
        </w:smartTagPr>
        <w:r>
          <w:t>la Dra. Riva</w:t>
        </w:r>
      </w:smartTag>
      <w:r>
        <w:t xml:space="preserve"> Ar</w:t>
      </w:r>
      <w:r>
        <w:t>a</w:t>
      </w:r>
      <w:r>
        <w:t>mayo en la investigación de la causa, limitando su papel al de mero amanuense frente a lo que la jueza le transm</w:t>
      </w:r>
      <w:r>
        <w:t>i</w:t>
      </w:r>
      <w:r>
        <w:t>tía.</w:t>
      </w:r>
    </w:p>
    <w:p w:rsidR="00224567" w:rsidRDefault="00224567">
      <w:pPr>
        <w:widowControl w:val="0"/>
        <w:tabs>
          <w:tab w:val="center" w:pos="0"/>
          <w:tab w:val="left" w:pos="2835"/>
        </w:tabs>
        <w:ind w:firstLine="2880"/>
      </w:pPr>
      <w:r>
        <w:t>Dicho proceder importó una clara d</w:t>
      </w:r>
      <w:r>
        <w:t>e</w:t>
      </w:r>
      <w:r>
        <w:t>clinación de sus potestades jurisdiccionales, dado que es el único autorizado a instruir en relación a los delitos de competencia del fuero federal (art. 33 del Código Pr</w:t>
      </w:r>
      <w:r>
        <w:t>o</w:t>
      </w:r>
      <w:r>
        <w:t xml:space="preserve">cesal Penal de </w:t>
      </w:r>
      <w:smartTag w:uri="urn:schemas-microsoft-com:office:smarttags" w:element="PersonName">
        <w:smartTagPr>
          <w:attr w:name="ProductID" w:val="la Naci￳n"/>
        </w:smartTagPr>
        <w:r>
          <w:t>la Nación</w:t>
        </w:r>
      </w:smartTag>
      <w:r>
        <w:t>).</w:t>
      </w:r>
    </w:p>
    <w:p w:rsidR="00224567" w:rsidRDefault="00224567">
      <w:pPr>
        <w:widowControl w:val="0"/>
        <w:tabs>
          <w:tab w:val="center" w:pos="0"/>
          <w:tab w:val="left" w:pos="2835"/>
        </w:tabs>
        <w:ind w:firstLine="2880"/>
      </w:pPr>
      <w:r>
        <w:t>Por el lado de la camarista, las co</w:t>
      </w:r>
      <w:r>
        <w:t>n</w:t>
      </w:r>
      <w:r>
        <w:t xml:space="preserve">ductas descriptas constituyeron un ilegítimo avocamiento en el proceso, sin que mediara recurso ante su tribunal, único supuesto en el que el código de forma autoriza a </w:t>
      </w:r>
      <w:smartTag w:uri="urn:schemas-microsoft-com:office:smarttags" w:element="PersonName">
        <w:smartTagPr>
          <w:attr w:name="ProductID" w:val="la C￡mara Federal"/>
        </w:smartTagPr>
        <w:r>
          <w:t>la Cámara Federal</w:t>
        </w:r>
      </w:smartTag>
      <w:r>
        <w:t xml:space="preserve"> de Apelaciones a interv</w:t>
      </w:r>
      <w:r>
        <w:t>e</w:t>
      </w:r>
      <w:r>
        <w:t>nir (artículo 31).</w:t>
      </w:r>
    </w:p>
    <w:p w:rsidR="00224567" w:rsidRDefault="00224567">
      <w:pPr>
        <w:widowControl w:val="0"/>
        <w:tabs>
          <w:tab w:val="center" w:pos="0"/>
          <w:tab w:val="left" w:pos="2835"/>
        </w:tabs>
        <w:ind w:firstLine="2880"/>
      </w:pPr>
      <w:r>
        <w:t>La falta de transparencia del proc</w:t>
      </w:r>
      <w:r>
        <w:t>e</w:t>
      </w:r>
      <w:r>
        <w:t>der de la magistrada resulta palpable del incidente de recus</w:t>
      </w:r>
      <w:r>
        <w:t>a</w:t>
      </w:r>
      <w:r>
        <w:t>ción del Dr. Galeano, deducido por Telleldín.</w:t>
      </w:r>
    </w:p>
    <w:p w:rsidR="00224567" w:rsidRDefault="00224567">
      <w:pPr>
        <w:widowControl w:val="0"/>
        <w:tabs>
          <w:tab w:val="center" w:pos="0"/>
          <w:tab w:val="left" w:pos="2835"/>
        </w:tabs>
        <w:ind w:firstLine="2880"/>
      </w:pPr>
      <w:r>
        <w:t>Allí, el nombrado desistió de su i</w:t>
      </w:r>
      <w:r>
        <w:t>n</w:t>
      </w:r>
      <w:r>
        <w:t>tento y requirió una audiencia con los camaristas, oc</w:t>
      </w:r>
      <w:r>
        <w:t>a</w:t>
      </w:r>
      <w:r>
        <w:t xml:space="preserve">sión en la que se refirió a sus condiciones de detención y a las visitas del capitán Vergéz; de ello se labró un acta circunstanciada, suscripta por los tres jueces presentes, uno de ellos </w:t>
      </w:r>
      <w:smartTag w:uri="urn:schemas-microsoft-com:office:smarttags" w:element="PersonName">
        <w:smartTagPr>
          <w:attr w:name="ProductID" w:val="la Dra. Riva"/>
        </w:smartTagPr>
        <w:r>
          <w:t>la Dra. Riva</w:t>
        </w:r>
      </w:smartTag>
      <w:r>
        <w:t xml:space="preserve"> Aramayo, Telleldín, su abogado defensor y el secretario de la cámara.</w:t>
      </w:r>
    </w:p>
    <w:p w:rsidR="00224567" w:rsidRDefault="00224567">
      <w:pPr>
        <w:widowControl w:val="0"/>
        <w:tabs>
          <w:tab w:val="center" w:pos="0"/>
          <w:tab w:val="left" w:pos="2835"/>
        </w:tabs>
        <w:ind w:firstLine="2880"/>
      </w:pPr>
      <w:r>
        <w:t>De ahí en más la jueza Riva Aramayo habría comenzado a reunirse con el procesado, mediando en la causa una sola constancia de ello.</w:t>
      </w:r>
    </w:p>
    <w:p w:rsidR="00224567" w:rsidRDefault="00224567">
      <w:pPr>
        <w:widowControl w:val="0"/>
        <w:tabs>
          <w:tab w:val="center" w:pos="0"/>
          <w:tab w:val="left" w:pos="2835"/>
        </w:tabs>
        <w:ind w:firstLine="2880"/>
      </w:pPr>
      <w:r>
        <w:t>Ahora bien, no puede dejar de señ</w:t>
      </w:r>
      <w:r>
        <w:t>a</w:t>
      </w:r>
      <w:r>
        <w:t>lar el Tribunal, por encontrarse comprometido el servicio de justicia, que los descargos ensayados por la c</w:t>
      </w:r>
      <w:r>
        <w:t>a</w:t>
      </w:r>
      <w:r>
        <w:t>marista al ser recusada, no se corresponden con las circunstancias que resultan del proceso.</w:t>
      </w:r>
    </w:p>
    <w:p w:rsidR="00224567" w:rsidRDefault="00224567">
      <w:pPr>
        <w:widowControl w:val="0"/>
        <w:tabs>
          <w:tab w:val="center" w:pos="0"/>
          <w:tab w:val="left" w:pos="2835"/>
        </w:tabs>
        <w:ind w:firstLine="2880"/>
      </w:pPr>
      <w:r>
        <w:t>En efecto, sólo consta en la causa un pedido de audiencia formulado por escrito por T</w:t>
      </w:r>
      <w:r>
        <w:t>e</w:t>
      </w:r>
      <w:r>
        <w:t xml:space="preserve">lleldín y su defensor; a raíz de ello es que fue recibido por los integrantes de </w:t>
      </w:r>
      <w:smartTag w:uri="urn:schemas-microsoft-com:office:smarttags" w:element="PersonName">
        <w:smartTagPr>
          <w:attr w:name="ProductID" w:val="la Sala I"/>
        </w:smartTagPr>
        <w:r>
          <w:t>la Sala I</w:t>
        </w:r>
      </w:smartTag>
      <w:r>
        <w:t>, labrándose el acta pertinente (fs. 14.564).</w:t>
      </w:r>
    </w:p>
    <w:p w:rsidR="00224567" w:rsidRDefault="00224567">
      <w:pPr>
        <w:widowControl w:val="0"/>
        <w:tabs>
          <w:tab w:val="center" w:pos="0"/>
          <w:tab w:val="left" w:pos="2835"/>
        </w:tabs>
        <w:ind w:firstLine="2880"/>
      </w:pPr>
      <w:r>
        <w:t>La única entrevista que consta de m</w:t>
      </w:r>
      <w:r>
        <w:t>a</w:t>
      </w:r>
      <w:r>
        <w:t>nera fehaciente (fs. 14.574), fue pedida por la d</w:t>
      </w:r>
      <w:r>
        <w:t>e</w:t>
      </w:r>
      <w:r>
        <w:t>fensa de Telleldín, concedida en el día y concretada en la misma jornada en el lugar de detención para evitar “eventuales problemas inherentes al traslado del inte</w:t>
      </w:r>
      <w:r>
        <w:t>r</w:t>
      </w:r>
      <w:r>
        <w:t>no Telleldín”.</w:t>
      </w:r>
    </w:p>
    <w:p w:rsidR="00224567" w:rsidRDefault="00224567">
      <w:pPr>
        <w:widowControl w:val="0"/>
        <w:tabs>
          <w:tab w:val="center" w:pos="0"/>
          <w:tab w:val="left" w:pos="2835"/>
        </w:tabs>
        <w:ind w:firstLine="2880"/>
      </w:pPr>
      <w:r>
        <w:t>La diligente actitud de la juez se torna más que sospechosa, pues no se llega a comprender las razones por las cuales se adelanta a solucionar inco</w:t>
      </w:r>
      <w:r>
        <w:t>n</w:t>
      </w:r>
      <w:r>
        <w:t>venientes que aún no se vislumbraban.</w:t>
      </w:r>
    </w:p>
    <w:p w:rsidR="00224567" w:rsidRDefault="00224567">
      <w:pPr>
        <w:widowControl w:val="0"/>
        <w:tabs>
          <w:tab w:val="center" w:pos="0"/>
          <w:tab w:val="left" w:pos="2835"/>
        </w:tabs>
        <w:ind w:firstLine="2880"/>
      </w:pPr>
      <w:r>
        <w:t>No es cierto entonces que las entr</w:t>
      </w:r>
      <w:r>
        <w:t>e</w:t>
      </w:r>
      <w:r>
        <w:t>vistas respondieran a los pedidos del procesado y su d</w:t>
      </w:r>
      <w:r>
        <w:t>e</w:t>
      </w:r>
      <w:r>
        <w:t>fensor, como así tampoco que se dejara debida constancia de ellas.</w:t>
      </w:r>
    </w:p>
    <w:p w:rsidR="00224567" w:rsidRDefault="00224567">
      <w:pPr>
        <w:widowControl w:val="0"/>
        <w:tabs>
          <w:tab w:val="center" w:pos="0"/>
          <w:tab w:val="left" w:pos="2835"/>
        </w:tabs>
        <w:ind w:firstLine="2880"/>
      </w:pPr>
      <w:r>
        <w:t xml:space="preserve">Los restantes argumentos de </w:t>
      </w:r>
      <w:smartTag w:uri="urn:schemas-microsoft-com:office:smarttags" w:element="PersonName">
        <w:smartTagPr>
          <w:attr w:name="ProductID" w:val="la Dra. Riva"/>
        </w:smartTagPr>
        <w:r>
          <w:t>la Dra. Riva</w:t>
        </w:r>
      </w:smartTag>
      <w:r>
        <w:t xml:space="preserve"> Aramayo -que le pareció que podía ser mal interpret</w:t>
      </w:r>
      <w:r>
        <w:t>a</w:t>
      </w:r>
      <w:r>
        <w:t>da, que podría ser aplicable en algún sentido el inciso 8° del artículo 55 y que cabía la posibilidad de que la co</w:t>
      </w:r>
      <w:r>
        <w:t>n</w:t>
      </w:r>
      <w:r>
        <w:t>siderasen denunciante-, no hacen más que demostrar la pl</w:t>
      </w:r>
      <w:r>
        <w:t>e</w:t>
      </w:r>
      <w:r>
        <w:t>na conciencia que tenía de la violación funcional en que había incurrido.</w:t>
      </w:r>
    </w:p>
    <w:p w:rsidR="00224567" w:rsidRDefault="00224567">
      <w:pPr>
        <w:widowControl w:val="0"/>
        <w:tabs>
          <w:tab w:val="center" w:pos="0"/>
          <w:tab w:val="left" w:pos="2835"/>
        </w:tabs>
        <w:ind w:firstLine="2880"/>
      </w:pPr>
      <w:r>
        <w:t>No obstante ello, continuó interv</w:t>
      </w:r>
      <w:r>
        <w:t>i</w:t>
      </w:r>
      <w:r>
        <w:t>niendo en la causa y en los procesos a ella vinculados.</w:t>
      </w:r>
    </w:p>
    <w:p w:rsidR="00224567" w:rsidRDefault="00224567">
      <w:pPr>
        <w:widowControl w:val="0"/>
        <w:tabs>
          <w:tab w:val="center" w:pos="0"/>
          <w:tab w:val="left" w:pos="2835"/>
        </w:tabs>
        <w:ind w:firstLine="2880"/>
      </w:pPr>
      <w:r>
        <w:t>Así, entre la fecha de la primera e</w:t>
      </w:r>
      <w:r>
        <w:t>n</w:t>
      </w:r>
      <w:r>
        <w:t xml:space="preserve">trevista con Telleldín, </w:t>
      </w:r>
      <w:r>
        <w:rPr>
          <w:b/>
        </w:rPr>
        <w:t>3 de agosto de 1995</w:t>
      </w:r>
      <w:r>
        <w:t xml:space="preserve"> -según con</w:t>
      </w:r>
      <w:r>
        <w:t>s</w:t>
      </w:r>
      <w:r>
        <w:t xml:space="preserve">tancia del Actuario de 14.574- y la que aceptó la causal, </w:t>
      </w:r>
      <w:r>
        <w:rPr>
          <w:b/>
        </w:rPr>
        <w:t>4 de septiembre de 1996</w:t>
      </w:r>
      <w:r>
        <w:t xml:space="preserve">, </w:t>
      </w:r>
      <w:smartTag w:uri="urn:schemas-microsoft-com:office:smarttags" w:element="PersonName">
        <w:smartTagPr>
          <w:attr w:name="ProductID" w:val="la Dra. Riva"/>
        </w:smartTagPr>
        <w:r>
          <w:t>la Dra. Riva</w:t>
        </w:r>
      </w:smartTag>
      <w:r>
        <w:t xml:space="preserve"> Aramayo suscribió, entre otras, los autos y resoluciones de fecha 1º de n</w:t>
      </w:r>
      <w:r>
        <w:t>o</w:t>
      </w:r>
      <w:r>
        <w:t>viembre de 1995 -causa n° 1156-, 1º de n</w:t>
      </w:r>
      <w:r>
        <w:t>o</w:t>
      </w:r>
      <w:r>
        <w:t>viembre de 1995 -causa n° 26.487, “Incidente de Testimonios del Auto Proc</w:t>
      </w:r>
      <w:r>
        <w:t>e</w:t>
      </w:r>
      <w:r>
        <w:t>samiento de Miguel Gustavo Jaimes”-, 29 de diciembre de 1995 y 30 de enero de 1996 -causa n° 27.333-, 25 de enero de 1996 -causa n° 27.376- y 2 de mayo de 1996 –causa n° 1156-.</w:t>
      </w:r>
    </w:p>
    <w:p w:rsidR="00224567" w:rsidRDefault="00224567">
      <w:pPr>
        <w:widowControl w:val="0"/>
        <w:tabs>
          <w:tab w:val="center" w:pos="0"/>
          <w:tab w:val="left" w:pos="2835"/>
        </w:tabs>
        <w:ind w:firstLine="2880"/>
      </w:pPr>
      <w:r>
        <w:t>Asimismo, no media explicación alg</w:t>
      </w:r>
      <w:r>
        <w:t>u</w:t>
      </w:r>
      <w:r>
        <w:t>na respecto del lapso que medió entre la reunión de la jueza con Telleldín -</w:t>
      </w:r>
      <w:r>
        <w:rPr>
          <w:b/>
        </w:rPr>
        <w:t>3 de agosto de 1995</w:t>
      </w:r>
      <w:r>
        <w:t xml:space="preserve">- y la fecha en que aquélla comunicó al Dr. Galeano la información obtenida; esto es el </w:t>
      </w:r>
      <w:r>
        <w:rPr>
          <w:b/>
        </w:rPr>
        <w:t>15</w:t>
      </w:r>
      <w:r>
        <w:t xml:space="preserve"> de ese mes y año.</w:t>
      </w:r>
    </w:p>
    <w:p w:rsidR="00224567" w:rsidRDefault="00224567">
      <w:pPr>
        <w:widowControl w:val="0"/>
        <w:tabs>
          <w:tab w:val="center" w:pos="0"/>
          <w:tab w:val="left" w:pos="2835"/>
        </w:tabs>
        <w:ind w:firstLine="2880"/>
      </w:pPr>
      <w:r>
        <w:t xml:space="preserve">Si, como dijo </w:t>
      </w:r>
      <w:smartTag w:uri="urn:schemas-microsoft-com:office:smarttags" w:element="PersonName">
        <w:smartTagPr>
          <w:attr w:name="ProductID" w:val="la Dra. Riva"/>
        </w:smartTagPr>
        <w:r>
          <w:t>la Dra. Riva</w:t>
        </w:r>
      </w:smartTag>
      <w:r>
        <w:t xml:space="preserve"> Aramayo, su intervención se limitó a recibir en audiencia al d</w:t>
      </w:r>
      <w:r>
        <w:t>e</w:t>
      </w:r>
      <w:r>
        <w:t>tenido por la sola circunstancia de haber éste expuesto su deseo de entrevistarse con ella y que juzgó correcto transmitir lo escuchado al instructor, no se logra advertir qué ci</w:t>
      </w:r>
      <w:r>
        <w:t>r</w:t>
      </w:r>
      <w:r>
        <w:t>cunstancia, por importante que fuese, la llevó a demorar casi dos semanas su cometido.</w:t>
      </w:r>
    </w:p>
    <w:p w:rsidR="00224567" w:rsidRDefault="00224567">
      <w:pPr>
        <w:widowControl w:val="0"/>
        <w:tabs>
          <w:tab w:val="center" w:pos="0"/>
          <w:tab w:val="left" w:pos="2835"/>
        </w:tabs>
        <w:ind w:firstLine="2880"/>
      </w:pPr>
      <w:r>
        <w:t>Tampoco consta en el legajo que en a</w:t>
      </w:r>
      <w:r>
        <w:t>l</w:t>
      </w:r>
      <w:r>
        <w:t>gún momento, previo al trámite de la recusación, hubiese advertido formalmente a sus colegas acerca de lo acontec</w:t>
      </w:r>
      <w:r>
        <w:t>i</w:t>
      </w:r>
      <w:r>
        <w:t>do.</w:t>
      </w:r>
    </w:p>
    <w:p w:rsidR="00224567" w:rsidRDefault="00224567">
      <w:pPr>
        <w:widowControl w:val="0"/>
        <w:tabs>
          <w:tab w:val="center" w:pos="0"/>
          <w:tab w:val="left" w:pos="2835"/>
        </w:tabs>
        <w:ind w:firstLine="2880"/>
      </w:pPr>
      <w:r>
        <w:t>Parece innecesario destacar que el C</w:t>
      </w:r>
      <w:r>
        <w:t>ó</w:t>
      </w:r>
      <w:r>
        <w:t>digo Procesal Penal sólo admite la conversación del juez con el imputado, sobre los hechos de la causa, al prestar éste declaración indagatoria que, es justamente, uno de los actos del proceso revestido de mayores formalidades (arts. 296 y sigs. del código citado), precisamente, en resguardo de toda coerción, dado que se trata de un acto de prestación voluntaria y facultativa (ver D’Albora, “C</w:t>
      </w:r>
      <w:r>
        <w:t>ó</w:t>
      </w:r>
      <w:r>
        <w:t xml:space="preserve">digo Procesal Penal de </w:t>
      </w:r>
      <w:smartTag w:uri="urn:schemas-microsoft-com:office:smarttags" w:element="PersonName">
        <w:smartTagPr>
          <w:attr w:name="ProductID" w:val="la Naci￳n"/>
        </w:smartTagPr>
        <w:r>
          <w:t>la Nación</w:t>
        </w:r>
      </w:smartTag>
      <w:r>
        <w:t>”, pág 615, 5ta. ed</w:t>
      </w:r>
      <w:r>
        <w:t>i</w:t>
      </w:r>
      <w:r>
        <w:t>ción).</w:t>
      </w:r>
    </w:p>
    <w:p w:rsidR="00224567" w:rsidRDefault="00224567">
      <w:pPr>
        <w:widowControl w:val="0"/>
        <w:tabs>
          <w:tab w:val="left" w:pos="0"/>
          <w:tab w:val="left" w:pos="2835"/>
        </w:tabs>
        <w:ind w:firstLine="2880"/>
      </w:pPr>
      <w:r>
        <w:rPr>
          <w:b/>
          <w:bCs/>
        </w:rPr>
        <w:t xml:space="preserve">V.3) </w:t>
      </w:r>
      <w:r>
        <w:t>Dentro del marco de protección brindado al juez instructor, Dr. Galeano, caben encu</w:t>
      </w:r>
      <w:r>
        <w:t>a</w:t>
      </w:r>
      <w:r>
        <w:t xml:space="preserve">drar las alternativas procesales de la causa instruida en el Juzgado en lo Criminal y Correccional Federal nº </w:t>
      </w:r>
      <w:smartTag w:uri="urn:schemas-microsoft-com:office:smarttags" w:element="metricconverter">
        <w:smartTagPr>
          <w:attr w:name="ProductID" w:val="4, a"/>
        </w:smartTagPr>
        <w:r>
          <w:t>4, a</w:t>
        </w:r>
      </w:smartTag>
      <w:r>
        <w:t xml:space="preserve"> ca</w:t>
      </w:r>
      <w:r>
        <w:t>r</w:t>
      </w:r>
      <w:r>
        <w:t>go del Dr. Gabriel Cavallo, donde resultó sobreseído por inexistencia de delito, al igual que el secretario Dr. J</w:t>
      </w:r>
      <w:r>
        <w:t>a</w:t>
      </w:r>
      <w:r>
        <w:t xml:space="preserve">vier De Gamas, </w:t>
      </w:r>
      <w:r>
        <w:rPr>
          <w:b/>
        </w:rPr>
        <w:t>el 12 de septiembre de 1997</w:t>
      </w:r>
      <w:r>
        <w:t>.</w:t>
      </w:r>
    </w:p>
    <w:p w:rsidR="00224567" w:rsidRDefault="00224567">
      <w:pPr>
        <w:widowControl w:val="0"/>
        <w:tabs>
          <w:tab w:val="left" w:pos="0"/>
          <w:tab w:val="left" w:pos="2835"/>
        </w:tabs>
        <w:ind w:firstLine="2880"/>
      </w:pPr>
      <w:r>
        <w:t>Dio inicio a dicho proceso la prese</w:t>
      </w:r>
      <w:r>
        <w:t>n</w:t>
      </w:r>
      <w:r>
        <w:t>tación efectuada por el Dr. Mariano Cúneo Libarona (h) a</w:t>
      </w:r>
      <w:r>
        <w:t>n</w:t>
      </w:r>
      <w:r>
        <w:t>te el Juzgado Nacional en lo Criminal de Instru</w:t>
      </w:r>
      <w:r>
        <w:t>c</w:t>
      </w:r>
      <w:r>
        <w:t xml:space="preserve">ción nº 4, Secretaría nº </w:t>
      </w:r>
      <w:smartTag w:uri="urn:schemas-microsoft-com:office:smarttags" w:element="metricconverter">
        <w:smartTagPr>
          <w:attr w:name="ProductID" w:val="113, a"/>
        </w:smartTagPr>
        <w:r>
          <w:t>113, a</w:t>
        </w:r>
      </w:smartTag>
      <w:r>
        <w:t xml:space="preserve"> cargo del Dr. Mariano Bergés (fs. 24/25 de la causa nº 4689/97, “N.N. sobre extorsión. D</w:t>
      </w:r>
      <w:r>
        <w:t>e</w:t>
      </w:r>
      <w:r>
        <w:t>nunciante: Ballestero, Julio César”) donde, entre otras consideraciones, hizo referencia al v</w:t>
      </w:r>
      <w:r>
        <w:t>i</w:t>
      </w:r>
      <w:r>
        <w:t>deo del 1º de julio de 1996, en el cual se ve al juez federal Juan José G</w:t>
      </w:r>
      <w:r>
        <w:t>a</w:t>
      </w:r>
      <w:r>
        <w:t>leano y al secretario Javier De Gamas conversando con el imputado Telleldín.</w:t>
      </w:r>
    </w:p>
    <w:p w:rsidR="00224567" w:rsidRDefault="00224567">
      <w:pPr>
        <w:widowControl w:val="0"/>
        <w:tabs>
          <w:tab w:val="left" w:pos="0"/>
          <w:tab w:val="left" w:pos="2835"/>
        </w:tabs>
        <w:ind w:firstLine="2880"/>
      </w:pPr>
      <w:r>
        <w:t>Sostuvo el presentante que “en el ma</w:t>
      </w:r>
      <w:r>
        <w:t>r</w:t>
      </w:r>
      <w:r>
        <w:t>co de esa entrevista, entre otras graves circunstancias, se acuerda la declaración de Telleldín, a un específico tenor consensuado por las partes que intervienen de la misma, a cambio de una suma de dinero que se especifica, como así también los mecanismos de pago” (sic).</w:t>
      </w:r>
    </w:p>
    <w:p w:rsidR="00224567" w:rsidRDefault="00224567">
      <w:pPr>
        <w:widowControl w:val="0"/>
        <w:tabs>
          <w:tab w:val="left" w:pos="0"/>
          <w:tab w:val="left" w:pos="2835"/>
        </w:tabs>
        <w:ind w:firstLine="2880"/>
      </w:pPr>
      <w:r>
        <w:t>Frente a ello, a fs. 29 el Sr. juez de instrucción ordenó la obtención de fotocopias y, previa certificación actuarial, remitirlas, a los fines que c</w:t>
      </w:r>
      <w:r>
        <w:t>o</w:t>
      </w:r>
      <w:r>
        <w:t xml:space="preserve">rrespondiese, a </w:t>
      </w:r>
      <w:smartTag w:uri="urn:schemas-microsoft-com:office:smarttags" w:element="PersonName">
        <w:smartTagPr>
          <w:attr w:name="ProductID" w:val="la Sala"/>
        </w:smartTagPr>
        <w:r>
          <w:t>la Sala</w:t>
        </w:r>
      </w:smartTag>
      <w:r>
        <w:t xml:space="preserve"> de Sorteos de </w:t>
      </w:r>
      <w:smartTag w:uri="urn:schemas-microsoft-com:office:smarttags" w:element="PersonName">
        <w:smartTagPr>
          <w:attr w:name="ProductID" w:val="la C￡mara Nacional"/>
        </w:smartTagPr>
        <w:r>
          <w:t>la Cámara Nacional</w:t>
        </w:r>
      </w:smartTag>
      <w:r>
        <w:t xml:space="preserve"> de Apelaciones en lo Criminal y Correccional Federal de esta capital, de acuerdo a lo dispuesto en el artículo 177 del Código Procesal Penal.</w:t>
      </w:r>
    </w:p>
    <w:p w:rsidR="00224567" w:rsidRDefault="00224567">
      <w:pPr>
        <w:widowControl w:val="0"/>
        <w:tabs>
          <w:tab w:val="left" w:pos="0"/>
          <w:tab w:val="left" w:pos="2835"/>
        </w:tabs>
        <w:ind w:firstLine="2880"/>
      </w:pPr>
      <w:r>
        <w:t>Así, resultó desinsaculado el Juzg</w:t>
      </w:r>
      <w:r>
        <w:t>a</w:t>
      </w:r>
      <w:r>
        <w:t xml:space="preserve">do Nacional en lo Criminal y Correccional Federal nº </w:t>
      </w:r>
      <w:smartTag w:uri="urn:schemas-microsoft-com:office:smarttags" w:element="metricconverter">
        <w:smartTagPr>
          <w:attr w:name="ProductID" w:val="4, a"/>
        </w:smartTagPr>
        <w:r>
          <w:t>4, a</w:t>
        </w:r>
      </w:smartTag>
      <w:r>
        <w:t xml:space="preserve"> cargo del Dr. Gabriel R. Cavallo, quien, como primera pr</w:t>
      </w:r>
      <w:r>
        <w:t>o</w:t>
      </w:r>
      <w:r>
        <w:t xml:space="preserve">videncia, dispuso el </w:t>
      </w:r>
      <w:r>
        <w:rPr>
          <w:b/>
        </w:rPr>
        <w:t>9 de abril de 1997,</w:t>
      </w:r>
      <w:r>
        <w:t xml:space="preserve"> se certif</w:t>
      </w:r>
      <w:r>
        <w:t>i</w:t>
      </w:r>
      <w:r>
        <w:t>cara la causa de trámite ante el Juzgado Nacional en lo Criminal y Correccional Federal nº 12, cuyo objeto procesal se rel</w:t>
      </w:r>
      <w:r>
        <w:t>a</w:t>
      </w:r>
      <w:r>
        <w:t>cionaba con las manifestaciones del Dr. Cúneo Libarona (fs. 5).</w:t>
      </w:r>
    </w:p>
    <w:p w:rsidR="00224567" w:rsidRDefault="00224567">
      <w:pPr>
        <w:widowControl w:val="0"/>
        <w:tabs>
          <w:tab w:val="left" w:pos="0"/>
          <w:tab w:val="left" w:pos="2835"/>
        </w:tabs>
        <w:ind w:firstLine="2880"/>
      </w:pPr>
      <w:r>
        <w:t>Cumplida dicha diligencia (fs. 5 y vta.), el Dr. Cavallo, por considerar que los objetos pr</w:t>
      </w:r>
      <w:r>
        <w:t>o</w:t>
      </w:r>
      <w:r>
        <w:t>cesales de ambos procesos se hallaban íntimamente vincul</w:t>
      </w:r>
      <w:r>
        <w:t>a</w:t>
      </w:r>
      <w:r>
        <w:t>dos, decidió remitir la causa al juzgado federal nº 12.</w:t>
      </w:r>
    </w:p>
    <w:p w:rsidR="00224567" w:rsidRDefault="00224567">
      <w:pPr>
        <w:widowControl w:val="0"/>
        <w:tabs>
          <w:tab w:val="left" w:pos="0"/>
          <w:tab w:val="left" w:pos="2835"/>
        </w:tabs>
        <w:ind w:firstLine="2880"/>
      </w:pPr>
      <w:r>
        <w:t>Devueltas las actuaciones por el m</w:t>
      </w:r>
      <w:r>
        <w:t>a</w:t>
      </w:r>
      <w:r>
        <w:t>gistrado interinamente a cargo del Juzgado Nacional en lo Criminal y Correccional Federal nº 12, Dr. Norberto M. Oyarbide, debido a que no mediaba una formal declaración de incompetencia (fs. 9), el Dr. Cavallo corrió vista al fiscal a los fines del art. 180 del código de forma.</w:t>
      </w:r>
    </w:p>
    <w:p w:rsidR="00224567" w:rsidRDefault="00224567">
      <w:pPr>
        <w:widowControl w:val="0"/>
        <w:tabs>
          <w:tab w:val="left" w:pos="0"/>
          <w:tab w:val="left" w:pos="2835"/>
        </w:tabs>
        <w:ind w:firstLine="2880"/>
      </w:pPr>
      <w:r>
        <w:t>A fs. 12, el Sr. fiscal intervinie</w:t>
      </w:r>
      <w:r>
        <w:t>n</w:t>
      </w:r>
      <w:r>
        <w:t>te solicitó, previo a formular el requerimiento de instru</w:t>
      </w:r>
      <w:r>
        <w:t>c</w:t>
      </w:r>
      <w:r>
        <w:t>ción, se pida copia del videocasete aludido en la denuncia de fs. 1/2 y de la correspondiente transcripción de su contenido. En la foja siguiente el Dr. Cav</w:t>
      </w:r>
      <w:r>
        <w:t>a</w:t>
      </w:r>
      <w:r>
        <w:t>llo hizo lugar a la medida.</w:t>
      </w:r>
    </w:p>
    <w:p w:rsidR="00224567" w:rsidRDefault="00224567">
      <w:pPr>
        <w:widowControl w:val="0"/>
        <w:tabs>
          <w:tab w:val="left" w:pos="0"/>
          <w:tab w:val="left" w:pos="2835"/>
        </w:tabs>
        <w:ind w:firstLine="2880"/>
      </w:pPr>
      <w:r>
        <w:t>Corrida nueva vista, el representa</w:t>
      </w:r>
      <w:r>
        <w:t>n</w:t>
      </w:r>
      <w:r>
        <w:t>te del Ministerio Público, Dr. Stornelli, tras ident</w:t>
      </w:r>
      <w:r>
        <w:t>i</w:t>
      </w:r>
      <w:r>
        <w:t>ficar a los imputados –</w:t>
      </w:r>
      <w:r>
        <w:rPr>
          <w:b/>
        </w:rPr>
        <w:t>Dres. Juan José Galeano y Javier De Gamas</w:t>
      </w:r>
      <w:r>
        <w:t>- y describir el hecho, solicitó la realización de diversas medidas (fs. 42/45vta.).</w:t>
      </w:r>
    </w:p>
    <w:p w:rsidR="00224567" w:rsidRDefault="00224567">
      <w:pPr>
        <w:widowControl w:val="0"/>
        <w:tabs>
          <w:tab w:val="left" w:pos="0"/>
          <w:tab w:val="left" w:pos="2835"/>
        </w:tabs>
        <w:ind w:firstLine="2880"/>
      </w:pPr>
      <w:r>
        <w:t xml:space="preserve">El juez federal a fs. 46 ordenó la instrucción de sumario, a la vez que requirió a </w:t>
      </w:r>
      <w:smartTag w:uri="urn:schemas-microsoft-com:office:smarttags" w:element="PersonName">
        <w:smartTagPr>
          <w:attr w:name="ProductID" w:val="la Divisi￳n Pericias"/>
        </w:smartTagPr>
        <w:r>
          <w:t>la Div</w:t>
        </w:r>
        <w:r>
          <w:t>i</w:t>
        </w:r>
        <w:r>
          <w:t>sión Pericias</w:t>
        </w:r>
      </w:smartTag>
      <w:r>
        <w:t xml:space="preserve"> de </w:t>
      </w:r>
      <w:smartTag w:uri="urn:schemas-microsoft-com:office:smarttags" w:element="PersonName">
        <w:smartTagPr>
          <w:attr w:name="ProductID" w:val="la Superintendecia"/>
        </w:smartTagPr>
        <w:r>
          <w:t>la Superintendecia</w:t>
        </w:r>
      </w:smartTag>
      <w:r>
        <w:t xml:space="preserve"> de Comunicaciones de </w:t>
      </w:r>
      <w:smartTag w:uri="urn:schemas-microsoft-com:office:smarttags" w:element="PersonName">
        <w:smartTagPr>
          <w:attr w:name="ProductID" w:val="la Polic￭a Federal"/>
        </w:smartTagPr>
        <w:r>
          <w:t>la Policía Federal</w:t>
        </w:r>
      </w:smartTag>
      <w:r>
        <w:t>, la transcripción en versión e</w:t>
      </w:r>
      <w:r>
        <w:t>s</w:t>
      </w:r>
      <w:r>
        <w:t>crita de lo actuado en el videocasete aportado por el Dr. Juan José Galeano. A dichos fines, a fs. 52 tuvo por designados los peritos propuestos por la policía.</w:t>
      </w:r>
    </w:p>
    <w:p w:rsidR="00224567" w:rsidRDefault="00224567">
      <w:pPr>
        <w:widowControl w:val="0"/>
        <w:tabs>
          <w:tab w:val="left" w:pos="0"/>
          <w:tab w:val="left" w:pos="2835"/>
        </w:tabs>
        <w:ind w:firstLine="2880"/>
      </w:pPr>
      <w:r>
        <w:t xml:space="preserve">El </w:t>
      </w:r>
      <w:r>
        <w:rPr>
          <w:b/>
        </w:rPr>
        <w:t>12 de mayo de 1997</w:t>
      </w:r>
      <w:r>
        <w:t xml:space="preserve"> (fs. 60), el juez federal Dr. Cavallo se excusó de continuar entendie</w:t>
      </w:r>
      <w:r>
        <w:t>n</w:t>
      </w:r>
      <w:r>
        <w:t>do en las actuaciones, en virtud de los dispuesto en el art. 55, inc. 11 del Código Procesal Penal; esto es ami</w:t>
      </w:r>
      <w:r>
        <w:t>s</w:t>
      </w:r>
      <w:r>
        <w:t>tad íntima con “la parte” (sic).</w:t>
      </w:r>
    </w:p>
    <w:p w:rsidR="00224567" w:rsidRDefault="00224567">
      <w:pPr>
        <w:widowControl w:val="0"/>
        <w:tabs>
          <w:tab w:val="left" w:pos="0"/>
          <w:tab w:val="left" w:pos="2835"/>
        </w:tabs>
        <w:ind w:firstLine="2880"/>
      </w:pPr>
      <w:r>
        <w:t>Sostuvo en su resolución el Dr. Cav</w:t>
      </w:r>
      <w:r>
        <w:t>a</w:t>
      </w:r>
      <w:r>
        <w:t>llo que a partir del requerimiento de instrucción formul</w:t>
      </w:r>
      <w:r>
        <w:t>a</w:t>
      </w:r>
      <w:r>
        <w:t>do por el fiscal Stornelli “comenzó a analizar la oblig</w:t>
      </w:r>
      <w:r>
        <w:t>a</w:t>
      </w:r>
      <w:r>
        <w:t>ción de inhibirse en las presentes actuaciones de confo</w:t>
      </w:r>
      <w:r>
        <w:t>r</w:t>
      </w:r>
      <w:r>
        <w:t>midad con lo normado por el art. 55 inciso ‘11’ del C.P.P. y hasta tanto arribara a la íntima convicción de ello, a efectos de no retrasar la presente investigación es que ordené la transcripción en versión escrita de lo actuado en el video casete aportado por el Dr. Juan José Galeano, toda vez que tal medida por demás imprescindible y objet</w:t>
      </w:r>
      <w:r>
        <w:t>i</w:t>
      </w:r>
      <w:r>
        <w:t>va, sin comprometer juicio alguno del suscripto, logrando de éste modo contar con el tiempo suficiente para ajustar mi proceder a un obrar prudente y del todo conforme a d</w:t>
      </w:r>
      <w:r>
        <w:t>e</w:t>
      </w:r>
      <w:r>
        <w:t>recho” (sic).</w:t>
      </w:r>
    </w:p>
    <w:p w:rsidR="00224567" w:rsidRDefault="00224567">
      <w:pPr>
        <w:widowControl w:val="0"/>
        <w:tabs>
          <w:tab w:val="left" w:pos="0"/>
          <w:tab w:val="left" w:pos="2835"/>
        </w:tabs>
        <w:ind w:firstLine="2880"/>
      </w:pPr>
      <w:r>
        <w:t>Agregó el Dr. Cavallo: “Así las c</w:t>
      </w:r>
      <w:r>
        <w:t>o</w:t>
      </w:r>
      <w:r>
        <w:t>sas, es que en el día de la fecha luego de un profundo y min</w:t>
      </w:r>
      <w:r>
        <w:t>u</w:t>
      </w:r>
      <w:r>
        <w:t>cioso análisis, he llegado a la conclusión que me veo en la obligación de proceder conforme lo establecido por la norma antes citada, que prevé el supuesto de amistad man</w:t>
      </w:r>
      <w:r>
        <w:t>i</w:t>
      </w:r>
      <w:r>
        <w:t>fiesta con la parte, ello con el objeto de salvaguardar para las personas que de alguna manera tienen interés en el resultado de esta causa la imparcialidad e independe</w:t>
      </w:r>
      <w:r>
        <w:t>n</w:t>
      </w:r>
      <w:r>
        <w:t>cia que debe tener el magistrado que la juzgue” (sic).</w:t>
      </w:r>
    </w:p>
    <w:p w:rsidR="00224567" w:rsidRDefault="00224567">
      <w:pPr>
        <w:widowControl w:val="0"/>
        <w:tabs>
          <w:tab w:val="left" w:pos="0"/>
          <w:tab w:val="left" w:pos="2835"/>
        </w:tabs>
        <w:ind w:firstLine="2880"/>
      </w:pPr>
      <w:r>
        <w:t>Si bien este Tribunal no está llam</w:t>
      </w:r>
      <w:r>
        <w:t>a</w:t>
      </w:r>
      <w:r>
        <w:t>do a revisar las decisiones del juez Cavallo, como ya se ad</w:t>
      </w:r>
      <w:r>
        <w:t>e</w:t>
      </w:r>
      <w:r>
        <w:t>lantara, la resolución de la causa de marras se inscribe en la lista de actos complacientes, de dudosa validez, que permitieron al titular del Juzgado Naci</w:t>
      </w:r>
      <w:r>
        <w:t>o</w:t>
      </w:r>
      <w:r>
        <w:t>nal en lo Criminal y Correccional Federal n° 9 continuar a cargo de la pe</w:t>
      </w:r>
      <w:r>
        <w:t>s</w:t>
      </w:r>
      <w:r>
        <w:t>quisa, no obstante las gravísimas irregularidades en que había incurrido.</w:t>
      </w:r>
    </w:p>
    <w:p w:rsidR="00224567" w:rsidRDefault="00224567">
      <w:pPr>
        <w:widowControl w:val="0"/>
        <w:tabs>
          <w:tab w:val="left" w:pos="0"/>
          <w:tab w:val="left" w:pos="2835"/>
        </w:tabs>
        <w:ind w:firstLine="2880"/>
      </w:pPr>
      <w:r>
        <w:t>Así, el primer reparo que merece la excusación del juez es su inespecificidad, dado que no aclara con cual de los dos imputados tenía la relación de amistad invocada.</w:t>
      </w:r>
    </w:p>
    <w:p w:rsidR="00224567" w:rsidRDefault="00224567">
      <w:pPr>
        <w:widowControl w:val="0"/>
        <w:tabs>
          <w:tab w:val="left" w:pos="0"/>
          <w:tab w:val="left" w:pos="2835"/>
        </w:tabs>
        <w:ind w:firstLine="2880"/>
      </w:pPr>
      <w:r>
        <w:t>Además, constituye un principio ét</w:t>
      </w:r>
      <w:r>
        <w:t>i</w:t>
      </w:r>
      <w:r>
        <w:t>co, más allá del jurídico, que en las causas en que pueden r</w:t>
      </w:r>
      <w:r>
        <w:t>e</w:t>
      </w:r>
      <w:r>
        <w:t>sultar afectados o beneficiados amigos, corresponde la e</w:t>
      </w:r>
      <w:r>
        <w:t>x</w:t>
      </w:r>
      <w:r>
        <w:t>cusación en la primera oportunidad. Dicho imperativo no amerita ningún tipo de “análisis”, menos aún minucioso.</w:t>
      </w:r>
    </w:p>
    <w:p w:rsidR="00224567" w:rsidRDefault="00224567">
      <w:pPr>
        <w:widowControl w:val="0"/>
        <w:tabs>
          <w:tab w:val="left" w:pos="0"/>
          <w:tab w:val="left" w:pos="2835"/>
        </w:tabs>
        <w:ind w:firstLine="2880"/>
      </w:pPr>
      <w:r>
        <w:t xml:space="preserve">En el caso </w:t>
      </w:r>
      <w:r>
        <w:rPr>
          <w:u w:val="single"/>
        </w:rPr>
        <w:t>sub examine</w:t>
      </w:r>
      <w:r>
        <w:t>, el juez Cav</w:t>
      </w:r>
      <w:r>
        <w:t>a</w:t>
      </w:r>
      <w:r>
        <w:t>llo, corrió vistas, ordenó la instrucción del sumario, dispuso medidas de investigación, en tanto, tuvo presente otras.</w:t>
      </w:r>
    </w:p>
    <w:p w:rsidR="00224567" w:rsidRDefault="00224567">
      <w:pPr>
        <w:widowControl w:val="0"/>
        <w:tabs>
          <w:tab w:val="left" w:pos="0"/>
          <w:tab w:val="left" w:pos="2835"/>
        </w:tabs>
        <w:ind w:firstLine="2880"/>
      </w:pPr>
      <w:r>
        <w:t>Esa forma de proceder da lugar a so</w:t>
      </w:r>
      <w:r>
        <w:t>s</w:t>
      </w:r>
      <w:r>
        <w:t>pechas que ponen en duda la imparcialidad del magi</w:t>
      </w:r>
      <w:r>
        <w:t>s</w:t>
      </w:r>
      <w:r>
        <w:t>trado y en crisis a todo el servicio de justicia.</w:t>
      </w:r>
    </w:p>
    <w:p w:rsidR="00224567" w:rsidRDefault="00224567">
      <w:pPr>
        <w:widowControl w:val="0"/>
        <w:tabs>
          <w:tab w:val="left" w:pos="0"/>
          <w:tab w:val="left" w:pos="2835"/>
        </w:tabs>
        <w:ind w:firstLine="2880"/>
      </w:pPr>
      <w:r>
        <w:t>A raíz de la mentada excusación, r</w:t>
      </w:r>
      <w:r>
        <w:t>e</w:t>
      </w:r>
      <w:r>
        <w:t>sultó sorteado el Juzgado Nacional en lo Criminal y C</w:t>
      </w:r>
      <w:r>
        <w:t>o</w:t>
      </w:r>
      <w:r>
        <w:t>rreccional Federal nº 1, cuya titular no aceptó la recus</w:t>
      </w:r>
      <w:r>
        <w:t>a</w:t>
      </w:r>
      <w:r>
        <w:t>ción del Dr. Cavallo, entre otras razones, debido a que, en su escueto pronunciamiento, no invoca con pr</w:t>
      </w:r>
      <w:r>
        <w:t>e</w:t>
      </w:r>
      <w:r>
        <w:t>cisión la causal invocada, ni tampoco respecto de quien la considera aplicable.</w:t>
      </w:r>
    </w:p>
    <w:p w:rsidR="00224567" w:rsidRDefault="00224567">
      <w:pPr>
        <w:widowControl w:val="0"/>
        <w:tabs>
          <w:tab w:val="left" w:pos="0"/>
          <w:tab w:val="left" w:pos="2835"/>
        </w:tabs>
        <w:ind w:firstLine="2880"/>
      </w:pPr>
      <w:r>
        <w:t xml:space="preserve">Frente a ello,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Nacional"/>
        </w:smartTagPr>
        <w:r>
          <w:t>la Cám</w:t>
        </w:r>
        <w:r>
          <w:t>a</w:t>
        </w:r>
        <w:r>
          <w:t>ra Nacional</w:t>
        </w:r>
      </w:smartTag>
      <w:r>
        <w:t xml:space="preserve"> de Apelaciones en lo Criminal y Correccional F</w:t>
      </w:r>
      <w:r>
        <w:t>e</w:t>
      </w:r>
      <w:r>
        <w:t xml:space="preserve">deral, resolvió el </w:t>
      </w:r>
      <w:r>
        <w:rPr>
          <w:b/>
        </w:rPr>
        <w:t>22 de mayo de 1997</w:t>
      </w:r>
      <w:r>
        <w:t xml:space="preserve"> (fs. 87), que debía seguir interviniendo el titular del Juzgado en lo Criminal y Correccional Federal nº 4, Dr. Gabriel Rubén Cavallo, debido a que la genérica invocación de la causal de inh</w:t>
      </w:r>
      <w:r>
        <w:t>i</w:t>
      </w:r>
      <w:r>
        <w:t>bición prevista en el artículo 55, inciso 11, del Código Procesal Penal no constituye motivo suficiente para apa</w:t>
      </w:r>
      <w:r>
        <w:t>r</w:t>
      </w:r>
      <w:r>
        <w:t>tarlo, máxime que el magistrado no alegó que podría enco</w:t>
      </w:r>
      <w:r>
        <w:t>n</w:t>
      </w:r>
      <w:r>
        <w:t>trarse afectada su imparcialidad frente a los sucesos y personas a investigar.</w:t>
      </w:r>
    </w:p>
    <w:p w:rsidR="00224567" w:rsidRDefault="00224567">
      <w:pPr>
        <w:widowControl w:val="0"/>
        <w:tabs>
          <w:tab w:val="left" w:pos="0"/>
          <w:tab w:val="left" w:pos="2835"/>
        </w:tabs>
        <w:ind w:firstLine="2880"/>
      </w:pPr>
      <w:r>
        <w:t xml:space="preserve">Dicho decisorio fue suscripto por los Dres. Horacio Raúl Vigliani, </w:t>
      </w:r>
      <w:r>
        <w:rPr>
          <w:b/>
        </w:rPr>
        <w:t>Luisa M. Riva Aramayo</w:t>
      </w:r>
      <w:r>
        <w:t xml:space="preserve"> y Juan Pedro Cortelezzi.</w:t>
      </w:r>
    </w:p>
    <w:p w:rsidR="00224567" w:rsidRDefault="00224567">
      <w:pPr>
        <w:widowControl w:val="0"/>
        <w:tabs>
          <w:tab w:val="left" w:pos="0"/>
          <w:tab w:val="left" w:pos="2835"/>
        </w:tabs>
        <w:ind w:firstLine="2880"/>
      </w:pPr>
      <w:r>
        <w:t>A fs. 177/187 luce la resolución di</w:t>
      </w:r>
      <w:r>
        <w:t>c</w:t>
      </w:r>
      <w:r>
        <w:t xml:space="preserve">tada por el Dr. Gabriel Cavallo, el </w:t>
      </w:r>
      <w:r>
        <w:rPr>
          <w:b/>
        </w:rPr>
        <w:t>12 de septiembre de 1997,</w:t>
      </w:r>
      <w:r>
        <w:t xml:space="preserve"> por la cual sobreseyó, por inexistencia de d</w:t>
      </w:r>
      <w:r>
        <w:t>e</w:t>
      </w:r>
      <w:r>
        <w:t>lito, a Juan José Galeano y Javier de Gamas.</w:t>
      </w:r>
    </w:p>
    <w:p w:rsidR="00224567" w:rsidRDefault="00224567">
      <w:pPr>
        <w:widowControl w:val="0"/>
        <w:tabs>
          <w:tab w:val="left" w:pos="0"/>
          <w:tab w:val="left" w:pos="2835"/>
        </w:tabs>
        <w:ind w:firstLine="2880"/>
      </w:pPr>
      <w:r>
        <w:t>Hasta aquí queda claro que el Dr. C</w:t>
      </w:r>
      <w:r>
        <w:t>a</w:t>
      </w:r>
      <w:r>
        <w:t>vallo sobreseyó a un amigo, no se sabe a cuál, casi podría decirse autorizado por su Alzada, uno de cuyos jueces -</w:t>
      </w:r>
      <w:smartTag w:uri="urn:schemas-microsoft-com:office:smarttags" w:element="PersonName">
        <w:smartTagPr>
          <w:attr w:name="ProductID" w:val="la Dra. Riva"/>
        </w:smartTagPr>
        <w:r>
          <w:t xml:space="preserve">la </w:t>
        </w:r>
        <w:r>
          <w:rPr>
            <w:b/>
          </w:rPr>
          <w:t>Dra. Riva</w:t>
        </w:r>
      </w:smartTag>
      <w:r>
        <w:rPr>
          <w:b/>
        </w:rPr>
        <w:t xml:space="preserve"> Aramayo</w:t>
      </w:r>
      <w:r>
        <w:t>- tras la escandalosa recusación que ap</w:t>
      </w:r>
      <w:r>
        <w:t>a</w:t>
      </w:r>
      <w:r>
        <w:t>rejó su apartamiento, continuó resolviendo temas estrech</w:t>
      </w:r>
      <w:r>
        <w:t>a</w:t>
      </w:r>
      <w:r>
        <w:t>mente relacionados al proceso del que tuviera que aleja</w:t>
      </w:r>
      <w:r>
        <w:t>r</w:t>
      </w:r>
      <w:r>
        <w:t>se.</w:t>
      </w:r>
    </w:p>
    <w:p w:rsidR="00224567" w:rsidRDefault="00224567">
      <w:pPr>
        <w:widowControl w:val="0"/>
        <w:tabs>
          <w:tab w:val="left" w:pos="0"/>
          <w:tab w:val="left" w:pos="2835"/>
        </w:tabs>
        <w:ind w:firstLine="2880"/>
      </w:pPr>
      <w:r>
        <w:t>Más allá de las apreciaciones subjet</w:t>
      </w:r>
      <w:r>
        <w:t>i</w:t>
      </w:r>
      <w:r>
        <w:t xml:space="preserve">vas que el contenido de la resolución del </w:t>
      </w:r>
      <w:r>
        <w:rPr>
          <w:b/>
        </w:rPr>
        <w:t>12 de se</w:t>
      </w:r>
      <w:r>
        <w:rPr>
          <w:b/>
        </w:rPr>
        <w:t>p</w:t>
      </w:r>
      <w:r>
        <w:rPr>
          <w:b/>
        </w:rPr>
        <w:t xml:space="preserve">tiembre de 1997 </w:t>
      </w:r>
      <w:r>
        <w:t xml:space="preserve">pueda generar, no puede dejarse de apuntar que el Dr. Gabriel Cavallo </w:t>
      </w:r>
      <w:r>
        <w:rPr>
          <w:b/>
        </w:rPr>
        <w:t>el 18 de noviembre de 1998</w:t>
      </w:r>
      <w:r>
        <w:t>, en la ca</w:t>
      </w:r>
      <w:r>
        <w:t>u</w:t>
      </w:r>
      <w:r>
        <w:t>sa nº 10.036 (expediente nº 11.066/98) del registro de la secretaría nº 8 del juzgado a su cargo, se inhibió de e</w:t>
      </w:r>
      <w:r>
        <w:t>n</w:t>
      </w:r>
      <w:r>
        <w:t>tender en una denuncia en la que se le imputaba al Dr. Juan José Galeano la comisión de diversos delitos, inv</w:t>
      </w:r>
      <w:r>
        <w:t>o</w:t>
      </w:r>
      <w:r>
        <w:t>cando para ello la causal prevista en el inciso 11 del a</w:t>
      </w:r>
      <w:r>
        <w:t>r</w:t>
      </w:r>
      <w:r>
        <w:t xml:space="preserve">tículo 55 del código de forma; esto es </w:t>
      </w:r>
      <w:r>
        <w:rPr>
          <w:b/>
        </w:rPr>
        <w:t>amistad íntima</w:t>
      </w:r>
      <w:r>
        <w:t xml:space="preserve"> (ver fs. 48.870/48.871 del principal).</w:t>
      </w:r>
    </w:p>
    <w:p w:rsidR="00224567" w:rsidRDefault="00224567">
      <w:pPr>
        <w:widowControl w:val="0"/>
        <w:tabs>
          <w:tab w:val="left" w:pos="0"/>
          <w:tab w:val="left" w:pos="2835"/>
        </w:tabs>
        <w:ind w:firstLine="2880"/>
      </w:pPr>
      <w:r>
        <w:t>Allí el Dr. Cavallo tras destacar el grado de amistad que los une y el respeto que le merece el denunciado, sostuvo “por ejemplo, conozco a su fam</w:t>
      </w:r>
      <w:r>
        <w:t>i</w:t>
      </w:r>
      <w:r>
        <w:t>lia al igual que él conoce a la mía, nos visitamos as</w:t>
      </w:r>
      <w:r>
        <w:t>i</w:t>
      </w:r>
      <w:r>
        <w:t>duamente a nuestros domicilios particulares para compartir alguna c</w:t>
      </w:r>
      <w:r>
        <w:t>e</w:t>
      </w:r>
      <w:r>
        <w:t xml:space="preserve">na o almuerzo, realizamos ambos un viaje a </w:t>
      </w:r>
      <w:smartTag w:uri="urn:schemas-microsoft-com:office:smarttags" w:element="PersonName">
        <w:smartTagPr>
          <w:attr w:name="ProductID" w:val="la Rep￺blica"/>
        </w:smartTagPr>
        <w:r>
          <w:t>la República</w:t>
        </w:r>
      </w:smartTag>
      <w:r>
        <w:t xml:space="preserve"> del Perú en el marco de un curso de capacitación oportun</w:t>
      </w:r>
      <w:r>
        <w:t>i</w:t>
      </w:r>
      <w:r>
        <w:t>dad esta que aprovechamos para v</w:t>
      </w:r>
      <w:r>
        <w:t>i</w:t>
      </w:r>
      <w:r>
        <w:t>sitar juntos la localidad de Cuzco de dicho país, el Dr. Galeano me ha invitado a mi y a mi esposa a pasar unos días con su familia en la ci</w:t>
      </w:r>
      <w:r>
        <w:t>u</w:t>
      </w:r>
      <w:r>
        <w:t>dad balnearia de Punta del Este (República Oriental del Uruguay) en el mes</w:t>
      </w:r>
      <w:r>
        <w:rPr>
          <w:b/>
        </w:rPr>
        <w:t xml:space="preserve"> de febrero de 1997</w:t>
      </w:r>
      <w:r>
        <w:t>, así podría seguir enumerando muchas otras actividades que sirvieran como d</w:t>
      </w:r>
      <w:r>
        <w:t>e</w:t>
      </w:r>
      <w:r>
        <w:t>mostrativas de que me hallo incurso en la causal de inh</w:t>
      </w:r>
      <w:r>
        <w:t>i</w:t>
      </w:r>
      <w:r>
        <w:t>bición que alego”.</w:t>
      </w:r>
    </w:p>
    <w:p w:rsidR="00224567" w:rsidRDefault="00224567">
      <w:pPr>
        <w:widowControl w:val="0"/>
        <w:tabs>
          <w:tab w:val="left" w:pos="0"/>
          <w:tab w:val="left" w:pos="2835"/>
        </w:tabs>
        <w:ind w:firstLine="2880"/>
      </w:pPr>
      <w:r>
        <w:t>Basta el cotejo de fechas para est</w:t>
      </w:r>
      <w:r>
        <w:t>a</w:t>
      </w:r>
      <w:r>
        <w:t>blecer que a la época del sobreseimiento del Dr. Gale</w:t>
      </w:r>
      <w:r>
        <w:t>a</w:t>
      </w:r>
      <w:r>
        <w:t xml:space="preserve">no </w:t>
      </w:r>
      <w:r>
        <w:rPr>
          <w:b/>
        </w:rPr>
        <w:t>-12 de septiembre de 1997-</w:t>
      </w:r>
      <w:r>
        <w:t>, ya existía una estrecha rel</w:t>
      </w:r>
      <w:r>
        <w:t>a</w:t>
      </w:r>
      <w:r>
        <w:t>ción entre ambos magistrados, extremo que le impidió al Dr. Cavallo intervenir en un proceso, mas no en otro en que también su amigo estaba imputado.</w:t>
      </w:r>
    </w:p>
    <w:p w:rsidR="00224567" w:rsidRDefault="00224567">
      <w:pPr>
        <w:widowControl w:val="0"/>
        <w:tabs>
          <w:tab w:val="left" w:pos="0"/>
          <w:tab w:val="left" w:pos="2835"/>
        </w:tabs>
        <w:ind w:firstLine="2880"/>
      </w:pPr>
      <w:r>
        <w:t>La circunstancia apuntada debe ser d</w:t>
      </w:r>
      <w:r>
        <w:t>e</w:t>
      </w:r>
      <w:r>
        <w:t xml:space="preserve">nunciada ante </w:t>
      </w:r>
      <w:smartTag w:uri="urn:schemas-microsoft-com:office:smarttags" w:element="PersonName">
        <w:smartTagPr>
          <w:attr w:name="ProductID" w:val="la C￡mara Nacional"/>
        </w:smartTagPr>
        <w:r>
          <w:t>la Cámara Nacional</w:t>
        </w:r>
      </w:smartTag>
      <w:r>
        <w:t xml:space="preserve"> de Apelaciones en lo Cr</w:t>
      </w:r>
      <w:r>
        <w:t>i</w:t>
      </w:r>
      <w:r>
        <w:t>minal y Correccional Federal a fin de que desinsacule el juzgado que deberá intervenir ante la posible c</w:t>
      </w:r>
      <w:r>
        <w:t>o</w:t>
      </w:r>
      <w:r>
        <w:t>misión de un delito de acción pública y, pudiendo a su vez const</w:t>
      </w:r>
      <w:r>
        <w:t>i</w:t>
      </w:r>
      <w:r>
        <w:t>tuir causal de mal desempeño, corresponde remitir los a</w:t>
      </w:r>
      <w:r>
        <w:t>n</w:t>
      </w:r>
      <w:r>
        <w:t xml:space="preserve">tecedentes al Consejo de </w:t>
      </w:r>
      <w:smartTag w:uri="urn:schemas-microsoft-com:office:smarttags" w:element="PersonName">
        <w:smartTagPr>
          <w:attr w:name="ProductID" w:val="la Magistratura"/>
        </w:smartTagPr>
        <w:r>
          <w:t>la Magistratura</w:t>
        </w:r>
      </w:smartTag>
      <w:r>
        <w:t xml:space="preserve"> (arts. 53 y 115 de </w:t>
      </w:r>
      <w:smartTag w:uri="urn:schemas-microsoft-com:office:smarttags" w:element="PersonName">
        <w:smartTagPr>
          <w:attr w:name="ProductID" w:val="la Constituci￳n Nacional"/>
        </w:smartTagPr>
        <w:r>
          <w:t>la Constitución Nacional</w:t>
        </w:r>
      </w:smartTag>
      <w:r>
        <w:t>).</w:t>
      </w:r>
    </w:p>
    <w:p w:rsidR="00224567" w:rsidRDefault="00224567">
      <w:pPr>
        <w:widowControl w:val="0"/>
        <w:tabs>
          <w:tab w:val="left" w:pos="0"/>
          <w:tab w:val="left" w:pos="2835"/>
        </w:tabs>
        <w:ind w:firstLine="2880"/>
      </w:pPr>
      <w:r>
        <w:t>Dentro de este cuadro de protección cabe situar, pese a la gravedad del contenido de la esc</w:t>
      </w:r>
      <w:r>
        <w:t>u</w:t>
      </w:r>
      <w:r>
        <w:t>cha del prosecretario José Pereyra -más arriba transcri</w:t>
      </w:r>
      <w:r>
        <w:t>p</w:t>
      </w:r>
      <w:r>
        <w:t>ta, donde reconoce el pago a Telleldín-, la actitud de los funcionarios del Juzgado Nacional en lo Criminal y Corre</w:t>
      </w:r>
      <w:r>
        <w:t>c</w:t>
      </w:r>
      <w:r>
        <w:t>cional nº 12, Secretaría nº 24 del Dr. Pablo D. Bertuzzi, dado que no dieron cuenta de la existencia de esa comun</w:t>
      </w:r>
      <w:r>
        <w:t>i</w:t>
      </w:r>
      <w:r>
        <w:t>cación ni dispusieron ninguna medida sobre el particular.</w:t>
      </w:r>
    </w:p>
    <w:p w:rsidR="00224567" w:rsidRDefault="00224567">
      <w:pPr>
        <w:widowControl w:val="0"/>
        <w:tabs>
          <w:tab w:val="center" w:pos="0"/>
          <w:tab w:val="left" w:pos="2835"/>
        </w:tabs>
        <w:ind w:firstLine="2880"/>
      </w:pPr>
      <w:r>
        <w:rPr>
          <w:b/>
          <w:bCs/>
        </w:rPr>
        <w:t xml:space="preserve">V.4.a) </w:t>
      </w:r>
      <w:r>
        <w:t xml:space="preserve">En este desenfrenado andar, el magistrado instructor ocultó a las defensas, a su Alzada y a </w:t>
      </w:r>
      <w:smartTag w:uri="urn:schemas-microsoft-com:office:smarttags" w:element="PersonName">
        <w:smartTagPr>
          <w:attr w:name="ProductID" w:val="la Comisi￳n Bicameral"/>
        </w:smartTagPr>
        <w:r>
          <w:t>la Comisión Bicameral</w:t>
        </w:r>
      </w:smartTag>
      <w:r>
        <w:t xml:space="preserve"> de Seguimiento de </w:t>
      </w:r>
      <w:smartTag w:uri="urn:schemas-microsoft-com:office:smarttags" w:element="PersonName">
        <w:smartTagPr>
          <w:attr w:name="ProductID" w:val="la Investigaci￳n"/>
        </w:smartTagPr>
        <w:r>
          <w:t>la Investigación</w:t>
        </w:r>
      </w:smartTag>
      <w:r>
        <w:t xml:space="preserve"> de los Atentados a </w:t>
      </w:r>
      <w:smartTag w:uri="urn:schemas-microsoft-com:office:smarttags" w:element="PersonName">
        <w:smartTagPr>
          <w:attr w:name="ProductID" w:val="la Embajada"/>
        </w:smartTagPr>
        <w:r>
          <w:t>la Embajada</w:t>
        </w:r>
      </w:smartTag>
      <w:r>
        <w:t xml:space="preserve"> de Israel y al Edificio de </w:t>
      </w:r>
      <w:smartTag w:uri="urn:schemas-microsoft-com:office:smarttags" w:element="PersonName">
        <w:smartTagPr>
          <w:attr w:name="ProductID" w:val="la A.M"/>
        </w:smartTagPr>
        <w:r>
          <w:t>la A.M</w:t>
        </w:r>
      </w:smartTag>
      <w:r>
        <w:t>.I.A. la existencia de la vide</w:t>
      </w:r>
      <w:r>
        <w:t>o</w:t>
      </w:r>
      <w:r>
        <w:t>cinta que refleja la reunión que mantuvo con Carlos T</w:t>
      </w:r>
      <w:r>
        <w:t>e</w:t>
      </w:r>
      <w:r>
        <w:t>lleldín el 10 de abril de 1996.</w:t>
      </w:r>
    </w:p>
    <w:p w:rsidR="00224567" w:rsidRDefault="00224567">
      <w:pPr>
        <w:widowControl w:val="0"/>
        <w:tabs>
          <w:tab w:val="center" w:pos="0"/>
          <w:tab w:val="left" w:pos="2835"/>
        </w:tabs>
        <w:ind w:firstLine="2880"/>
      </w:pPr>
      <w:r>
        <w:t>Dicho extremo fue expresamente recon</w:t>
      </w:r>
      <w:r>
        <w:t>o</w:t>
      </w:r>
      <w:r>
        <w:t>cido por el Dr. Galeano en el oficio del 13 de agosto de 2001, que remitió a requerimiento de este Tribunal, donde informó que durante la tramitación de la causa “se film</w:t>
      </w:r>
      <w:r>
        <w:t>a</w:t>
      </w:r>
      <w:r>
        <w:t>ron y/o grabaron algunas entrevistas o declaraciones con el propósito de contar con un reflejo más fiel o real de lo narrado en las mismas y efectuar análisis más profu</w:t>
      </w:r>
      <w:r>
        <w:t>n</w:t>
      </w:r>
      <w:r>
        <w:t>do”.</w:t>
      </w:r>
    </w:p>
    <w:p w:rsidR="00224567" w:rsidRDefault="00224567">
      <w:pPr>
        <w:widowControl w:val="0"/>
        <w:tabs>
          <w:tab w:val="center" w:pos="0"/>
          <w:tab w:val="left" w:pos="2835"/>
        </w:tabs>
        <w:ind w:firstLine="2880"/>
      </w:pPr>
      <w:r>
        <w:t>Agregó más adelante: “como se pide, se aportan ambos videos”, señalando -a los efectos que pudi</w:t>
      </w:r>
      <w:r>
        <w:t>e</w:t>
      </w:r>
      <w:r>
        <w:t xml:space="preserve">ran corresponder- que en el primero se hace referencia a personas respecto de las cuales el suscripto dispuso la protección de su identidad y que teniendo en cuenta las razones de temor que esgrimieron, no lo presenté en la `Comisión Bicameral de Seguimiento de </w:t>
      </w:r>
      <w:smartTag w:uri="urn:schemas-microsoft-com:office:smarttags" w:element="PersonName">
        <w:smartTagPr>
          <w:attr w:name="ProductID" w:val="la Investigaci￳n"/>
        </w:smartTagPr>
        <w:r>
          <w:t>la Investigación</w:t>
        </w:r>
      </w:smartTag>
      <w:r>
        <w:t xml:space="preserve"> de los atentados a </w:t>
      </w:r>
      <w:smartTag w:uri="urn:schemas-microsoft-com:office:smarttags" w:element="PersonName">
        <w:smartTagPr>
          <w:attr w:name="ProductID" w:val="la Embajada"/>
        </w:smartTagPr>
        <w:r>
          <w:t>la Embajada</w:t>
        </w:r>
      </w:smartTag>
      <w:r>
        <w:t xml:space="preserve"> de Israel y al Edificio de </w:t>
      </w:r>
      <w:smartTag w:uri="urn:schemas-microsoft-com:office:smarttags" w:element="PersonName">
        <w:smartTagPr>
          <w:attr w:name="ProductID" w:val="la A.M"/>
        </w:smartTagPr>
        <w:r>
          <w:t>la A.M</w:t>
        </w:r>
      </w:smartTag>
      <w:r>
        <w:t>.I.A`, al contestar -mediante oficio de noviembre ppdo.-, un pedido de explicaciones sobre las manifestaci</w:t>
      </w:r>
      <w:r>
        <w:t>o</w:t>
      </w:r>
      <w:r>
        <w:t>nes efectuadas por el ex pros</w:t>
      </w:r>
      <w:r>
        <w:t>e</w:t>
      </w:r>
      <w:r>
        <w:t>cretario Claudio Lifschitz” (sic).</w:t>
      </w:r>
    </w:p>
    <w:p w:rsidR="00224567" w:rsidRDefault="00224567">
      <w:pPr>
        <w:widowControl w:val="0"/>
        <w:tabs>
          <w:tab w:val="center" w:pos="0"/>
          <w:tab w:val="left" w:pos="2835"/>
        </w:tabs>
        <w:ind w:firstLine="2880"/>
      </w:pPr>
      <w:r>
        <w:t>La excusa que brinda el magistrado a fin de justificar el ocultamiento de la videofilmación, no concuerda con sus propios actos, dado que según de de</w:t>
      </w:r>
      <w:r>
        <w:t>s</w:t>
      </w:r>
      <w:r>
        <w:t xml:space="preserve">prende del primer informe de </w:t>
      </w:r>
      <w:smartTag w:uri="urn:schemas-microsoft-com:office:smarttags" w:element="PersonName">
        <w:smartTagPr>
          <w:attr w:name="ProductID" w:val="la Comisi￳n Bicameral"/>
        </w:smartTagPr>
        <w:r>
          <w:t>la Comisión Bicameral</w:t>
        </w:r>
      </w:smartTag>
      <w:r>
        <w:t xml:space="preserve"> Esp</w:t>
      </w:r>
      <w:r>
        <w:t>e</w:t>
      </w:r>
      <w:r>
        <w:t xml:space="preserve">cial de Seguimiento de </w:t>
      </w:r>
      <w:smartTag w:uri="urn:schemas-microsoft-com:office:smarttags" w:element="PersonName">
        <w:smartTagPr>
          <w:attr w:name="ProductID" w:val="la Investigaci￳n"/>
        </w:smartTagPr>
        <w:r>
          <w:t>la Investigación</w:t>
        </w:r>
      </w:smartTag>
      <w:r>
        <w:t xml:space="preserve"> de los Atentados a </w:t>
      </w:r>
      <w:smartTag w:uri="urn:schemas-microsoft-com:office:smarttags" w:element="PersonName">
        <w:smartTagPr>
          <w:attr w:name="ProductID" w:val="la Embajada"/>
        </w:smartTagPr>
        <w:r>
          <w:t>la Embajada</w:t>
        </w:r>
      </w:smartTag>
      <w:r>
        <w:t xml:space="preserve"> de Israel y al Edificio de </w:t>
      </w:r>
      <w:smartTag w:uri="urn:schemas-microsoft-com:office:smarttags" w:element="PersonName">
        <w:smartTagPr>
          <w:attr w:name="ProductID" w:val="la A.M"/>
        </w:smartTagPr>
        <w:r>
          <w:t>la A.M</w:t>
        </w:r>
      </w:smartTag>
      <w:r>
        <w:t>.I.A., dicho organismo estableció con el juez de la causa un canal de comunicación que posibilitó la realización de sucesivas reuniones.</w:t>
      </w:r>
    </w:p>
    <w:p w:rsidR="00224567" w:rsidRDefault="00224567">
      <w:pPr>
        <w:widowControl w:val="0"/>
        <w:tabs>
          <w:tab w:val="center" w:pos="0"/>
          <w:tab w:val="left" w:pos="2835"/>
        </w:tabs>
        <w:ind w:firstLine="2880"/>
      </w:pPr>
      <w:r>
        <w:t>Allí los legisladores resaltan el fluido contacto con el magistrado que se trasuntó en las reuniones celebradas a iniciativo de uno u otros.</w:t>
      </w:r>
    </w:p>
    <w:p w:rsidR="00224567" w:rsidRDefault="00224567">
      <w:pPr>
        <w:widowControl w:val="0"/>
        <w:tabs>
          <w:tab w:val="center" w:pos="0"/>
          <w:tab w:val="left" w:pos="2835"/>
        </w:tabs>
        <w:ind w:firstLine="2880"/>
      </w:pPr>
      <w:r>
        <w:t>Se destaca en la crónica legislativa que “a la hora de hacer un balance y teniendo en cuenta los resultados obtenidos, sin duda alguna, estos co</w:t>
      </w:r>
      <w:r>
        <w:t>n</w:t>
      </w:r>
      <w:r>
        <w:t>tactos entre el juez de la causa y los miembros int</w:t>
      </w:r>
      <w:r>
        <w:t>e</w:t>
      </w:r>
      <w:r>
        <w:t xml:space="preserve">grantes de </w:t>
      </w:r>
      <w:smartTag w:uri="urn:schemas-microsoft-com:office:smarttags" w:element="PersonName">
        <w:smartTagPr>
          <w:attr w:name="ProductID" w:val="la Comisi￳n"/>
        </w:smartTagPr>
        <w:r>
          <w:t>la Comisión</w:t>
        </w:r>
      </w:smartTag>
      <w:r>
        <w:t xml:space="preserve"> han sido de suma importancia, nos permitieron c</w:t>
      </w:r>
      <w:r>
        <w:t>o</w:t>
      </w:r>
      <w:r>
        <w:t xml:space="preserve">nocer el estado de la causa al momento de creación de </w:t>
      </w:r>
      <w:smartTag w:uri="urn:schemas-microsoft-com:office:smarttags" w:element="PersonName">
        <w:smartTagPr>
          <w:attr w:name="ProductID" w:val="la Comisi￳n"/>
        </w:smartTagPr>
        <w:r>
          <w:t>la Comisión</w:t>
        </w:r>
      </w:smartTag>
      <w:r>
        <w:t xml:space="preserve"> y su evolución a partir de allí...” (cfr. Pág. 88/89).</w:t>
      </w:r>
    </w:p>
    <w:p w:rsidR="00224567" w:rsidRDefault="00224567">
      <w:pPr>
        <w:widowControl w:val="0"/>
        <w:tabs>
          <w:tab w:val="center" w:pos="0"/>
          <w:tab w:val="left" w:pos="2835"/>
        </w:tabs>
        <w:ind w:firstLine="2880"/>
      </w:pPr>
      <w:r>
        <w:t>En el segundo informe de la menci</w:t>
      </w:r>
      <w:r>
        <w:t>o</w:t>
      </w:r>
      <w:r>
        <w:t>nada comisión bicameral, el diputado Soria, al referi</w:t>
      </w:r>
      <w:r>
        <w:t>r</w:t>
      </w:r>
      <w:r>
        <w:t>se a los escollos de la investigación, sostuvo “cuando yo estaba en mi provincia, recibí un llamado del Dr. Galeano quien me dio una noticia verdaderamente grave, casi espectacular: en un tribunal en el que se suponía debía existir la máx</w:t>
      </w:r>
      <w:r>
        <w:t>i</w:t>
      </w:r>
      <w:r>
        <w:t>ma seguridad y el mayor control -sobre todo por la magn</w:t>
      </w:r>
      <w:r>
        <w:t>i</w:t>
      </w:r>
      <w:r>
        <w:t>tud de la causa que tramitaba- se produjo el famoso robo de un video” (ver pág. 30).</w:t>
      </w:r>
    </w:p>
    <w:p w:rsidR="00224567" w:rsidRDefault="00224567">
      <w:pPr>
        <w:widowControl w:val="0"/>
        <w:tabs>
          <w:tab w:val="center" w:pos="0"/>
          <w:tab w:val="left" w:pos="2835"/>
        </w:tabs>
        <w:ind w:firstLine="2880"/>
      </w:pPr>
      <w:r>
        <w:t>Sobre la base de la fluida comunic</w:t>
      </w:r>
      <w:r>
        <w:t>a</w:t>
      </w:r>
      <w:r>
        <w:t>ción que existía entre juez y los integrantes de la com</w:t>
      </w:r>
      <w:r>
        <w:t>i</w:t>
      </w:r>
      <w:r>
        <w:t>sión bicameral, entiende el Tribunal que la videoci</w:t>
      </w:r>
      <w:r>
        <w:t>n</w:t>
      </w:r>
      <w:r>
        <w:t>ta del 10 de abril de 1996 no fue informada a la comisión por r</w:t>
      </w:r>
      <w:r>
        <w:t>a</w:t>
      </w:r>
      <w:r>
        <w:t>zones diferentes a las brindadas por el juez Galeano; de la misma forma se procedió respecto de la del 1º de julio del mismo año, que recién trascendió al conocimiento de la mayoría de las partes al ser difundida el 6 de abril de 1997 en el programa televisivo del periodista Jorge Erne</w:t>
      </w:r>
      <w:r>
        <w:t>s</w:t>
      </w:r>
      <w:r>
        <w:t>to Lanata.</w:t>
      </w:r>
    </w:p>
    <w:p w:rsidR="00224567" w:rsidRDefault="00224567">
      <w:pPr>
        <w:widowControl w:val="0"/>
        <w:tabs>
          <w:tab w:val="center" w:pos="0"/>
          <w:tab w:val="left" w:pos="2835"/>
        </w:tabs>
        <w:ind w:firstLine="2880"/>
      </w:pPr>
      <w:r>
        <w:t>Este último video, vale reiterar, sólo da cuenta de la negociación de Telleldín con el juez, por lo que no eran aplicables “las razones de t</w:t>
      </w:r>
      <w:r>
        <w:t>e</w:t>
      </w:r>
      <w:r>
        <w:t>mor” que según el juez esgrimieran los sujetos a los cuales “dispuso la protección de su identidad”.</w:t>
      </w:r>
    </w:p>
    <w:p w:rsidR="00224567" w:rsidRDefault="00224567">
      <w:pPr>
        <w:widowControl w:val="0"/>
        <w:tabs>
          <w:tab w:val="center" w:pos="0"/>
          <w:tab w:val="left" w:pos="2835"/>
        </w:tabs>
        <w:ind w:firstLine="2880"/>
      </w:pPr>
      <w:r>
        <w:t>De otra forma no se explica el ll</w:t>
      </w:r>
      <w:r>
        <w:t>a</w:t>
      </w:r>
      <w:r>
        <w:t>mado del juez al diputado Soria dándole cuenta de la falta del video, extremo que demuestra la relación existente entre ambos.</w:t>
      </w:r>
    </w:p>
    <w:p w:rsidR="00224567" w:rsidRDefault="00224567">
      <w:pPr>
        <w:widowControl w:val="0"/>
        <w:tabs>
          <w:tab w:val="center" w:pos="0"/>
          <w:tab w:val="left" w:pos="2835"/>
        </w:tabs>
        <w:ind w:firstLine="2880"/>
      </w:pPr>
      <w:r>
        <w:t>También queda claro que el juez re</w:t>
      </w:r>
      <w:r>
        <w:t>n</w:t>
      </w:r>
      <w:r>
        <w:t>día cuentas al diputado acerca de la sustracción de prueba no conocida por la mayoría de las partes constituidas en el proceso.</w:t>
      </w:r>
    </w:p>
    <w:p w:rsidR="00224567" w:rsidRDefault="00224567">
      <w:pPr>
        <w:widowControl w:val="0"/>
        <w:tabs>
          <w:tab w:val="center" w:pos="0"/>
          <w:tab w:val="left" w:pos="2835"/>
        </w:tabs>
        <w:ind w:firstLine="2880"/>
      </w:pPr>
      <w:r>
        <w:t>Justamente, a fin de evitar esa subo</w:t>
      </w:r>
      <w:r>
        <w:t>r</w:t>
      </w:r>
      <w:r>
        <w:t xml:space="preserve">dinación y en resguardo de la independencia de los jueces,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al tomar con</w:t>
      </w:r>
      <w:r>
        <w:t>o</w:t>
      </w:r>
      <w:r>
        <w:t>cimiento de los alcances del reglamento interno de la “C</w:t>
      </w:r>
      <w:r>
        <w:t>o</w:t>
      </w:r>
      <w:r>
        <w:t xml:space="preserve">misión Bicameral Especial de Seguimiento de </w:t>
      </w:r>
      <w:smartTag w:uri="urn:schemas-microsoft-com:office:smarttags" w:element="PersonName">
        <w:smartTagPr>
          <w:attr w:name="ProductID" w:val="la Investigaci￳n"/>
        </w:smartTagPr>
        <w:r>
          <w:t>la Investig</w:t>
        </w:r>
        <w:r>
          <w:t>a</w:t>
        </w:r>
        <w:r>
          <w:t>ción</w:t>
        </w:r>
      </w:smartTag>
      <w:r>
        <w:t xml:space="preserve"> de los Atentados a </w:t>
      </w:r>
      <w:smartTag w:uri="urn:schemas-microsoft-com:office:smarttags" w:element="PersonName">
        <w:smartTagPr>
          <w:attr w:name="ProductID" w:val="la Embajada"/>
        </w:smartTagPr>
        <w:r>
          <w:t>la Embajada</w:t>
        </w:r>
      </w:smartTag>
      <w:r>
        <w:t xml:space="preserve"> de Israel y el Edif</w:t>
      </w:r>
      <w:r>
        <w:t>i</w:t>
      </w:r>
      <w:r>
        <w:t xml:space="preserve">cio de </w:t>
      </w:r>
      <w:smartTag w:uri="urn:schemas-microsoft-com:office:smarttags" w:element="PersonName">
        <w:smartTagPr>
          <w:attr w:name="ProductID" w:val="la A.M"/>
        </w:smartTagPr>
        <w:r>
          <w:t>la A.M</w:t>
        </w:r>
      </w:smartTag>
      <w:r>
        <w:t xml:space="preserve">.I.A”, dictó </w:t>
      </w:r>
      <w:smartTag w:uri="urn:schemas-microsoft-com:office:smarttags" w:element="PersonName">
        <w:smartTagPr>
          <w:attr w:name="ProductID" w:val="la Acordada"/>
        </w:smartTagPr>
        <w:r>
          <w:t>la Acordada</w:t>
        </w:r>
      </w:smartTag>
      <w:r>
        <w:t xml:space="preserve"> nº 84 del 26 de d</w:t>
      </w:r>
      <w:r>
        <w:t>i</w:t>
      </w:r>
      <w:r>
        <w:t>ciembre de 1996.</w:t>
      </w:r>
    </w:p>
    <w:p w:rsidR="00224567" w:rsidRDefault="00224567">
      <w:pPr>
        <w:widowControl w:val="0"/>
        <w:tabs>
          <w:tab w:val="center" w:pos="0"/>
          <w:tab w:val="left" w:pos="2835"/>
        </w:tabs>
        <w:ind w:firstLine="2880"/>
      </w:pPr>
      <w:r>
        <w:t>Allí destacó que “los jueces nacion</w:t>
      </w:r>
      <w:r>
        <w:t>a</w:t>
      </w:r>
      <w:r>
        <w:t>les se encuentran sometidos a un severo régimen de re</w:t>
      </w:r>
      <w:r>
        <w:t>s</w:t>
      </w:r>
      <w:r>
        <w:t>tricciones e incompatibilidades, destinadas a refo</w:t>
      </w:r>
      <w:r>
        <w:t>r</w:t>
      </w:r>
      <w:r>
        <w:t>zar la independencia del poder que integran y la plenitud del d</w:t>
      </w:r>
      <w:r>
        <w:t>e</w:t>
      </w:r>
      <w:r>
        <w:t>recho de defensa de los justiciables. El ejercicio espec</w:t>
      </w:r>
      <w:r>
        <w:t>í</w:t>
      </w:r>
      <w:r>
        <w:t>fico de su función jurisdiccional les impone los deberes de ‘guardar absoluta reserva con respecto a los asuntos vinculados con las funciones de los respectivos tribun</w:t>
      </w:r>
      <w:r>
        <w:t>a</w:t>
      </w:r>
      <w:r>
        <w:t xml:space="preserve">les’ y ‘no evacuar consultas ni dar asesoramiento en los casos de contienda judicial actual o posible’ (Reglamento para </w:t>
      </w:r>
      <w:smartTag w:uri="urn:schemas-microsoft-com:office:smarttags" w:element="PersonName">
        <w:smartTagPr>
          <w:attr w:name="ProductID" w:val="la Justicia Nacional"/>
        </w:smartTagPr>
        <w:r>
          <w:t>la Justicia Nacional</w:t>
        </w:r>
      </w:smartTag>
      <w:r>
        <w:t>, art. 8, inc. B y c). A esas disposiciones se suman las que regulan en forma específica el procedimiento en las causas criminales, donde aseguran la eficacia de la garantía constitucional del debido pr</w:t>
      </w:r>
      <w:r>
        <w:t>o</w:t>
      </w:r>
      <w:r>
        <w:t>ceso, como lo ha expresado en forma reiterada este Trib</w:t>
      </w:r>
      <w:r>
        <w:t>u</w:t>
      </w:r>
      <w:r>
        <w:t>nal”.</w:t>
      </w:r>
    </w:p>
    <w:p w:rsidR="00224567" w:rsidRDefault="00224567">
      <w:pPr>
        <w:widowControl w:val="0"/>
        <w:tabs>
          <w:tab w:val="center" w:pos="0"/>
          <w:tab w:val="left" w:pos="2835"/>
        </w:tabs>
        <w:ind w:firstLine="2880"/>
      </w:pPr>
      <w:r>
        <w:t>Agregó el Alto Tribunal que “por ello resulta incompatible con el debido ejercicio de las atr</w:t>
      </w:r>
      <w:r>
        <w:t>i</w:t>
      </w:r>
      <w:r>
        <w:t>buciones constitucionales asignadas al Poder Judicial, que en el Reglamento interno de la comisión Bicameral se r</w:t>
      </w:r>
      <w:r>
        <w:t>e</w:t>
      </w:r>
      <w:r>
        <w:t>quiera ‘a cada uno de los juzgados abocados a la invest</w:t>
      </w:r>
      <w:r>
        <w:t>i</w:t>
      </w:r>
      <w:r>
        <w:t>gación de las causas la realización de una exposición tr</w:t>
      </w:r>
      <w:r>
        <w:t>i</w:t>
      </w:r>
      <w:r>
        <w:t>mestral del carácter reservado, ante la comisión, que ve</w:t>
      </w:r>
      <w:r>
        <w:t>r</w:t>
      </w:r>
      <w:r>
        <w:t>sará sobre las actividades realizadas por el mismo”.</w:t>
      </w:r>
    </w:p>
    <w:p w:rsidR="00224567" w:rsidRDefault="00224567">
      <w:pPr>
        <w:widowControl w:val="0"/>
        <w:tabs>
          <w:tab w:val="center" w:pos="0"/>
          <w:tab w:val="left" w:pos="2835"/>
        </w:tabs>
        <w:ind w:firstLine="2880"/>
      </w:pPr>
      <w:r>
        <w:t xml:space="preserve">En tal sentido indicó </w:t>
      </w:r>
      <w:smartTag w:uri="urn:schemas-microsoft-com:office:smarttags" w:element="PersonName">
        <w:smartTagPr>
          <w:attr w:name="ProductID" w:val="la Corte"/>
        </w:smartTagPr>
        <w:r>
          <w:t>la Corte</w:t>
        </w:r>
      </w:smartTag>
      <w:r>
        <w:t xml:space="preserve"> que “una exposición de tal índole importa la trasgresión del deber de reserva impuesto a los magistrados nacionales, del cual no pueden ser relevados por pedido de otro poder, por tratarse de una obligación inherente al buen desempeño de la función jurisdiccional que compete a </w:t>
      </w:r>
      <w:smartTag w:uri="urn:schemas-microsoft-com:office:smarttags" w:element="PersonName">
        <w:smartTagPr>
          <w:attr w:name="ProductID" w:val="la Corte"/>
        </w:smartTagPr>
        <w:r>
          <w:t>la Corte</w:t>
        </w:r>
      </w:smartTag>
      <w:r>
        <w:t xml:space="preserve"> pr</w:t>
      </w:r>
      <w:r>
        <w:t>e</w:t>
      </w:r>
      <w:r>
        <w:t>servar. Cabe añadir que los actos jurisdiccionales se tr</w:t>
      </w:r>
      <w:r>
        <w:t>a</w:t>
      </w:r>
      <w:r>
        <w:t>ducen en el expediente respectivo, sin que corresponda que los jueces den cuenta de su desempeño fuera del juzgamie</w:t>
      </w:r>
      <w:r>
        <w:t>n</w:t>
      </w:r>
      <w:r>
        <w:t>to de su responsabilidad política”.</w:t>
      </w:r>
    </w:p>
    <w:p w:rsidR="00224567" w:rsidRDefault="00224567">
      <w:pPr>
        <w:widowControl w:val="0"/>
        <w:tabs>
          <w:tab w:val="center" w:pos="0"/>
          <w:tab w:val="left" w:pos="2835"/>
        </w:tabs>
        <w:ind w:firstLine="2880"/>
      </w:pPr>
      <w:r>
        <w:t xml:space="preserve">Al aludir al artículo 13 del citado reglamento interno, sostuvo el Máximo Tribunal que “la disposición </w:t>
      </w:r>
      <w:r>
        <w:rPr>
          <w:i/>
        </w:rPr>
        <w:t>sub examine</w:t>
      </w:r>
      <w:r>
        <w:t xml:space="preserve"> debe ser rechazada en cuanto sup</w:t>
      </w:r>
      <w:r>
        <w:t>o</w:t>
      </w:r>
      <w:r>
        <w:t>ne la existencia de una relación de subordinación de los jueces hacia una comisión perteneciente a otro poder del Estado, lo que es incompatible con el principio de separ</w:t>
      </w:r>
      <w:r>
        <w:t>a</w:t>
      </w:r>
      <w:r>
        <w:t xml:space="preserve">ción de poderes establecido en </w:t>
      </w:r>
      <w:smartTag w:uri="urn:schemas-microsoft-com:office:smarttags" w:element="PersonName">
        <w:smartTagPr>
          <w:attr w:name="ProductID" w:val="la Constituci￳n Nacional"/>
        </w:smartTagPr>
        <w:r>
          <w:t>la Const</w:t>
        </w:r>
        <w:r>
          <w:t>i</w:t>
        </w:r>
        <w:r>
          <w:t>tución Nacional</w:t>
        </w:r>
      </w:smartTag>
      <w:r>
        <w:t xml:space="preserve"> y -por ende- con los propósitos de respetar estrictamente ese régimen, expresados por </w:t>
      </w:r>
      <w:smartTag w:uri="urn:schemas-microsoft-com:office:smarttags" w:element="PersonName">
        <w:smartTagPr>
          <w:attr w:name="ProductID" w:val="la Comisi￳n Bicameral"/>
        </w:smartTagPr>
        <w:r>
          <w:t>la Comisión Bicameral</w:t>
        </w:r>
      </w:smartTag>
      <w:r>
        <w:t>” (F</w:t>
      </w:r>
      <w:r>
        <w:t>a</w:t>
      </w:r>
      <w:r>
        <w:t>llos: 319:2097).</w:t>
      </w:r>
    </w:p>
    <w:p w:rsidR="00224567" w:rsidRDefault="00224567">
      <w:pPr>
        <w:widowControl w:val="0"/>
        <w:tabs>
          <w:tab w:val="center" w:pos="0"/>
          <w:tab w:val="left" w:pos="2835"/>
        </w:tabs>
        <w:ind w:firstLine="2880"/>
      </w:pPr>
      <w:r>
        <w:t>Respecto del pretexto esgrimido por el juez Galeano al justificar su actitud, el supuesto temor invocado por los testigos, cuadra señalar que bajo esa e</w:t>
      </w:r>
      <w:r>
        <w:t>x</w:t>
      </w:r>
      <w:r>
        <w:t>cusa, sólo empleada para justificar el primer video, se ocultó a las defensas la posibilidad de controlar la pru</w:t>
      </w:r>
      <w:r>
        <w:t>e</w:t>
      </w:r>
      <w:r>
        <w:t>ba rendida. Tal es el caso de Semorile, obligado a decl</w:t>
      </w:r>
      <w:r>
        <w:t>a</w:t>
      </w:r>
      <w:r>
        <w:t>rar a fin de no resultar imputado en la causa.</w:t>
      </w:r>
    </w:p>
    <w:p w:rsidR="00224567" w:rsidRDefault="00224567">
      <w:pPr>
        <w:widowControl w:val="0"/>
        <w:tabs>
          <w:tab w:val="center" w:pos="0"/>
          <w:tab w:val="left" w:pos="2835"/>
        </w:tabs>
        <w:ind w:firstLine="2880"/>
      </w:pPr>
      <w:r>
        <w:rPr>
          <w:b/>
          <w:bCs/>
        </w:rPr>
        <w:t xml:space="preserve">V.4.b) </w:t>
      </w:r>
      <w:r>
        <w:t xml:space="preserve">No escapa a dicha crítica la actitud adoptada por </w:t>
      </w:r>
      <w:smartTag w:uri="urn:schemas-microsoft-com:office:smarttags" w:element="PersonName">
        <w:smartTagPr>
          <w:attr w:name="ProductID" w:val="la Comisi￳n Bicameral"/>
        </w:smartTagPr>
        <w:r>
          <w:t>la Comisión Bicameral</w:t>
        </w:r>
      </w:smartTag>
      <w:r>
        <w:t xml:space="preserve"> de Segu</w:t>
      </w:r>
      <w:r>
        <w:t>i</w:t>
      </w:r>
      <w:r>
        <w:t xml:space="preserve">miento de los Atentados a </w:t>
      </w:r>
      <w:smartTag w:uri="urn:schemas-microsoft-com:office:smarttags" w:element="PersonName">
        <w:smartTagPr>
          <w:attr w:name="ProductID" w:val="la Embajada"/>
        </w:smartTagPr>
        <w:r>
          <w:t>la Embajada</w:t>
        </w:r>
      </w:smartTag>
      <w:r>
        <w:t xml:space="preserve"> de Israel y a </w:t>
      </w:r>
      <w:smartTag w:uri="urn:schemas-microsoft-com:office:smarttags" w:element="PersonName">
        <w:smartTagPr>
          <w:attr w:name="ProductID" w:val="la A.M"/>
        </w:smartTagPr>
        <w:r>
          <w:t>la A.M</w:t>
        </w:r>
      </w:smartTag>
      <w:r>
        <w:t>.I.A., algunos de cuyos integrantes -Soria, Arias, Cruchaga, A</w:t>
      </w:r>
      <w:r>
        <w:t>l</w:t>
      </w:r>
      <w:r>
        <w:t>varez, Storani, Romero Feris y Galván- recibieron a su p</w:t>
      </w:r>
      <w:r>
        <w:t>e</w:t>
      </w:r>
      <w:r>
        <w:t>dido al juez instructor y a los fiscales, en reunión s</w:t>
      </w:r>
      <w:r>
        <w:t>e</w:t>
      </w:r>
      <w:r>
        <w:t xml:space="preserve">creta, debido “al robo de un video obrante en la causa que se investiga el atentado al edificio de </w:t>
      </w:r>
      <w:smartTag w:uri="urn:schemas-microsoft-com:office:smarttags" w:element="PersonName">
        <w:smartTagPr>
          <w:attr w:name="ProductID" w:val="la A.M"/>
        </w:smartTagPr>
        <w:r>
          <w:t>la A.M</w:t>
        </w:r>
      </w:smartTag>
      <w:r>
        <w:t>.I.A.” (sic).</w:t>
      </w:r>
    </w:p>
    <w:p w:rsidR="00224567" w:rsidRDefault="00224567">
      <w:pPr>
        <w:widowControl w:val="0"/>
        <w:tabs>
          <w:tab w:val="center" w:pos="0"/>
          <w:tab w:val="left" w:pos="2835"/>
        </w:tabs>
        <w:ind w:firstLine="2880"/>
      </w:pPr>
      <w:r>
        <w:t>Según reza también el acta labrada por la secretaria de la comisión, Dra. Osella Muñoz, los l</w:t>
      </w:r>
      <w:r>
        <w:t>e</w:t>
      </w:r>
      <w:r>
        <w:t>gisladores procedieron a la vista del video.</w:t>
      </w:r>
    </w:p>
    <w:p w:rsidR="00224567" w:rsidRDefault="00224567">
      <w:pPr>
        <w:widowControl w:val="0"/>
        <w:tabs>
          <w:tab w:val="center" w:pos="0"/>
          <w:tab w:val="left" w:pos="2835"/>
        </w:tabs>
        <w:ind w:firstLine="2880"/>
      </w:pPr>
      <w:r>
        <w:t>Caben aquí dos consideraciones; la primera, para aclarar que la videocinta no obraba en la causa, ni allí mediaba constancia alguna que diera cuenta de su existencia. La otra, que hasta ese momento la may</w:t>
      </w:r>
      <w:r>
        <w:t>o</w:t>
      </w:r>
      <w:r>
        <w:t>ría de los imputados desconocía la existencia de esa fi</w:t>
      </w:r>
      <w:r>
        <w:t>l</w:t>
      </w:r>
      <w:r>
        <w:t>mación.</w:t>
      </w:r>
    </w:p>
    <w:p w:rsidR="00224567" w:rsidRDefault="00224567">
      <w:pPr>
        <w:widowControl w:val="0"/>
        <w:tabs>
          <w:tab w:val="center" w:pos="0"/>
          <w:tab w:val="left" w:pos="2835"/>
        </w:tabs>
        <w:ind w:firstLine="2880"/>
      </w:pPr>
      <w:r>
        <w:t>No obstante, los miembros de la com</w:t>
      </w:r>
      <w:r>
        <w:t>i</w:t>
      </w:r>
      <w:r>
        <w:t>sión parlamentaria se conformaron con las explicaciones del juez instructor y le brindaron su apoyo, pese a la irregularidad de la evidencia que les fuera exhib</w:t>
      </w:r>
      <w:r>
        <w:t>i</w:t>
      </w:r>
      <w:r>
        <w:t>da.</w:t>
      </w:r>
    </w:p>
    <w:p w:rsidR="00224567" w:rsidRDefault="00224567">
      <w:pPr>
        <w:widowControl w:val="0"/>
        <w:tabs>
          <w:tab w:val="center" w:pos="0"/>
          <w:tab w:val="left" w:pos="2835"/>
        </w:tabs>
        <w:ind w:firstLine="2880"/>
      </w:pPr>
      <w:r>
        <w:t>Al respecto, cabe repetir y compl</w:t>
      </w:r>
      <w:r>
        <w:t>e</w:t>
      </w:r>
      <w:r>
        <w:t>tar las manifestaciones del diputado Carlos Soria, parcialme</w:t>
      </w:r>
      <w:r>
        <w:t>n</w:t>
      </w:r>
      <w:r>
        <w:t xml:space="preserve">te transcripta más arriba; sostuvo el entonces presidente de la aludida comisión: </w:t>
      </w:r>
      <w:r>
        <w:rPr>
          <w:b/>
        </w:rPr>
        <w:t>”</w:t>
      </w:r>
      <w:r>
        <w:t>De cualquier man</w:t>
      </w:r>
      <w:r>
        <w:t>e</w:t>
      </w:r>
      <w:r>
        <w:t xml:space="preserve">ra, no iba a ser el último porque se produjo un tercer escollo. Nuevamente, recuerdo que un viernes por la tarde, cuando yo estaba en mi provincia, recibí un llamado del Dr. Galeano quien me dio una noticia verdaderamente grave, casi espectacular: en un tribunal en el que se suponía que debía existir la máxima seguridad y el mayor control -sobre todo, por la magnitud de la causa que tramitaba- se produjo el famoso robo de un video. Se trataba de un video que operaba </w:t>
      </w:r>
      <w:r>
        <w:rPr>
          <w:b/>
        </w:rPr>
        <w:t xml:space="preserve">como una prueba más dentro del expediente </w:t>
      </w:r>
      <w:r>
        <w:t>y que consistía en una conversación entre el juez de la causa y uno de los detenidos, el señor Telleldín. Este video había sido ut</w:t>
      </w:r>
      <w:r>
        <w:t>i</w:t>
      </w:r>
      <w:r>
        <w:t>lizado por otro detenido, el comisario Ribelli, en una m</w:t>
      </w:r>
      <w:r>
        <w:t>a</w:t>
      </w:r>
      <w:r>
        <w:t>niobra coactiva. Anunciaba que daría a publicidad el co</w:t>
      </w:r>
      <w:r>
        <w:t>n</w:t>
      </w:r>
      <w:r>
        <w:t xml:space="preserve">tenido de ese video, que </w:t>
      </w:r>
      <w:r>
        <w:rPr>
          <w:b/>
        </w:rPr>
        <w:t>comprometía seriamente la respo</w:t>
      </w:r>
      <w:r>
        <w:rPr>
          <w:b/>
        </w:rPr>
        <w:t>n</w:t>
      </w:r>
      <w:r>
        <w:rPr>
          <w:b/>
        </w:rPr>
        <w:t xml:space="preserve">sabilidad del juez que investigaba la causa. </w:t>
      </w:r>
      <w:r>
        <w:t xml:space="preserve">Esto también ocurrió durante un fin de semana y en ese sentido debo destacar la colaboración de mi amigo y vicepresidente de la comisión, senador Galván, y de los demás integrantes, quienes concurrieron prestos a solucionar los problemas que se iban presentando...” (ver el Segundo Informe de </w:t>
      </w:r>
      <w:smartTag w:uri="urn:schemas-microsoft-com:office:smarttags" w:element="PersonName">
        <w:smartTagPr>
          <w:attr w:name="ProductID" w:val="la Comisi￳n Bicameral"/>
        </w:smartTagPr>
        <w:r>
          <w:t>la Comisión Bicameral</w:t>
        </w:r>
      </w:smartTag>
      <w:r>
        <w:t xml:space="preserve"> Especial de Seguimiento de </w:t>
      </w:r>
      <w:smartTag w:uri="urn:schemas-microsoft-com:office:smarttags" w:element="PersonName">
        <w:smartTagPr>
          <w:attr w:name="ProductID" w:val="la Investigaci￳n"/>
        </w:smartTagPr>
        <w:r>
          <w:t>la Invest</w:t>
        </w:r>
        <w:r>
          <w:t>i</w:t>
        </w:r>
        <w:r>
          <w:t>gación</w:t>
        </w:r>
      </w:smartTag>
      <w:r>
        <w:t xml:space="preserve"> de los Atentados a </w:t>
      </w:r>
      <w:smartTag w:uri="urn:schemas-microsoft-com:office:smarttags" w:element="PersonName">
        <w:smartTagPr>
          <w:attr w:name="ProductID" w:val="la Embajada"/>
        </w:smartTagPr>
        <w:r>
          <w:t>la Embajada</w:t>
        </w:r>
      </w:smartTag>
      <w:r>
        <w:t xml:space="preserve"> de Israel y al Ed</w:t>
      </w:r>
      <w:r>
        <w:t>i</w:t>
      </w:r>
      <w:r>
        <w:t xml:space="preserve">ficio de </w:t>
      </w:r>
      <w:smartTag w:uri="urn:schemas-microsoft-com:office:smarttags" w:element="PersonName">
        <w:smartTagPr>
          <w:attr w:name="ProductID" w:val="la A.M"/>
        </w:smartTagPr>
        <w:r>
          <w:t>la A.M</w:t>
        </w:r>
      </w:smartTag>
      <w:r>
        <w:t>.I.A.”,</w:t>
      </w:r>
      <w:r>
        <w:rPr>
          <w:b/>
        </w:rPr>
        <w:t xml:space="preserve"> </w:t>
      </w:r>
      <w:r>
        <w:t xml:space="preserve">pág. 30, ed. Congreso de </w:t>
      </w:r>
      <w:smartTag w:uri="urn:schemas-microsoft-com:office:smarttags" w:element="PersonName">
        <w:smartTagPr>
          <w:attr w:name="ProductID" w:val="la Naci￳n"/>
        </w:smartTagPr>
        <w:r>
          <w:t>la Nación</w:t>
        </w:r>
      </w:smartTag>
      <w:r>
        <w:t>, Bs. As. 1998).</w:t>
      </w:r>
    </w:p>
    <w:p w:rsidR="00224567" w:rsidRDefault="00224567">
      <w:pPr>
        <w:widowControl w:val="0"/>
        <w:tabs>
          <w:tab w:val="center" w:pos="0"/>
          <w:tab w:val="left" w:pos="2835"/>
        </w:tabs>
        <w:ind w:firstLine="2880"/>
      </w:pPr>
      <w:r>
        <w:t>Varios son los comentarios que mer</w:t>
      </w:r>
      <w:r>
        <w:t>e</w:t>
      </w:r>
      <w:r>
        <w:t>cen esas desafortunadas expresiones del ex diputado S</w:t>
      </w:r>
      <w:r>
        <w:t>o</w:t>
      </w:r>
      <w:r>
        <w:t>ria.</w:t>
      </w:r>
    </w:p>
    <w:p w:rsidR="00224567" w:rsidRDefault="00224567">
      <w:pPr>
        <w:widowControl w:val="0"/>
        <w:tabs>
          <w:tab w:val="center" w:pos="0"/>
          <w:tab w:val="left" w:pos="2835"/>
        </w:tabs>
        <w:ind w:firstLine="2880"/>
      </w:pPr>
      <w:r>
        <w:t>En primer lugar, permiten deducir que el juez Galeano lo llamó antes de radicar la denuncia p</w:t>
      </w:r>
      <w:r>
        <w:t>e</w:t>
      </w:r>
      <w:r>
        <w:t>nal que recayó en el juzgado a cargo del Dr. Oyarbide; ese llamado, no encuentra explicación razon</w:t>
      </w:r>
      <w:r>
        <w:t>a</w:t>
      </w:r>
      <w:r>
        <w:t>ble bajo un prisma de ortodoxia constitucional.</w:t>
      </w:r>
    </w:p>
    <w:p w:rsidR="00224567" w:rsidRDefault="00224567">
      <w:pPr>
        <w:widowControl w:val="0"/>
        <w:tabs>
          <w:tab w:val="center" w:pos="0"/>
          <w:tab w:val="left" w:pos="2835"/>
        </w:tabs>
        <w:ind w:firstLine="2880"/>
      </w:pPr>
      <w:r>
        <w:t>Adviértase que en este caso -a dif</w:t>
      </w:r>
      <w:r>
        <w:t>e</w:t>
      </w:r>
      <w:r>
        <w:t>rencia de lo que sucedió con el Dr. Oyarbide, como se v</w:t>
      </w:r>
      <w:r>
        <w:t>e</w:t>
      </w:r>
      <w:r>
        <w:t>rá- la noticia parte del magistrado, dando cuentas de lo sucedido a integrantes de otro poder del Estado.</w:t>
      </w:r>
    </w:p>
    <w:p w:rsidR="00224567" w:rsidRDefault="00224567">
      <w:pPr>
        <w:widowControl w:val="0"/>
        <w:tabs>
          <w:tab w:val="center" w:pos="0"/>
          <w:tab w:val="left" w:pos="2835"/>
        </w:tabs>
        <w:ind w:firstLine="2880"/>
      </w:pPr>
      <w:r>
        <w:t>No corresponde a este Tribunal inf</w:t>
      </w:r>
      <w:r>
        <w:t>e</w:t>
      </w:r>
      <w:r>
        <w:t>rir las razones de la llamada del 28 de marzo de 1997, como así tampoco establecer porqué se reunieron el juez y los fiscales con  integrantes  de  la bicameral  el día antes -sábado 5 de abril- de la exhibición telev</w:t>
      </w:r>
      <w:r>
        <w:t>i</w:t>
      </w:r>
      <w:r>
        <w:t>siva del video filmado el 1º de julio de 1996, cuando tenían conocimiento de lo sucedido desde aquélla prim</w:t>
      </w:r>
      <w:r>
        <w:t>e</w:t>
      </w:r>
      <w:r>
        <w:t>ra fecha.</w:t>
      </w:r>
    </w:p>
    <w:p w:rsidR="00224567" w:rsidRDefault="00224567">
      <w:pPr>
        <w:widowControl w:val="0"/>
        <w:tabs>
          <w:tab w:val="center" w:pos="0"/>
          <w:tab w:val="left" w:pos="2835"/>
        </w:tabs>
        <w:ind w:firstLine="2880"/>
      </w:pPr>
      <w:r>
        <w:t>Tampoco logra comprenderse el cará</w:t>
      </w:r>
      <w:r>
        <w:t>c</w:t>
      </w:r>
      <w:r>
        <w:t xml:space="preserve">ter de secreta que se otorgó a la reunión celebrada con el juez y los fiscales (cfr. acta labrada por </w:t>
      </w:r>
      <w:smartTag w:uri="urn:schemas-microsoft-com:office:smarttags" w:element="PersonName">
        <w:smartTagPr>
          <w:attr w:name="ProductID" w:val="la Dra. Osella"/>
        </w:smartTagPr>
        <w:r>
          <w:t>la Dra. Osella</w:t>
        </w:r>
      </w:smartTag>
      <w:r>
        <w:t xml:space="preserve"> Muñoz).</w:t>
      </w:r>
    </w:p>
    <w:p w:rsidR="00224567" w:rsidRDefault="00224567">
      <w:pPr>
        <w:widowControl w:val="0"/>
        <w:tabs>
          <w:tab w:val="center" w:pos="0"/>
          <w:tab w:val="left" w:pos="2835"/>
        </w:tabs>
        <w:ind w:firstLine="2880"/>
      </w:pPr>
      <w:r>
        <w:t>El comentario del ex diputado Soria, arriba transcripto, encierra una contradicción que nadie cuestionó o, al menos, trató de aclarar.</w:t>
      </w:r>
    </w:p>
    <w:p w:rsidR="00224567" w:rsidRDefault="00224567">
      <w:pPr>
        <w:widowControl w:val="0"/>
        <w:tabs>
          <w:tab w:val="center" w:pos="0"/>
          <w:tab w:val="left" w:pos="2835"/>
        </w:tabs>
        <w:ind w:firstLine="2880"/>
      </w:pPr>
      <w:r>
        <w:t>Por un lado afirma el legislador que el video sustraído “operaba como una prueba más dentro del expediente” (sic), en tanto más adelante sostiene que R</w:t>
      </w:r>
      <w:r>
        <w:t>i</w:t>
      </w:r>
      <w:r>
        <w:t>belli anunciaba que daría a publicidad el video que “co</w:t>
      </w:r>
      <w:r>
        <w:t>m</w:t>
      </w:r>
      <w:r>
        <w:t>prometía seriamente la responsabilidad del juez que inve</w:t>
      </w:r>
      <w:r>
        <w:t>s</w:t>
      </w:r>
      <w:r>
        <w:t>tigaba la causa” (sic).</w:t>
      </w:r>
    </w:p>
    <w:p w:rsidR="00224567" w:rsidRDefault="00224567">
      <w:pPr>
        <w:widowControl w:val="0"/>
        <w:tabs>
          <w:tab w:val="center" w:pos="0"/>
          <w:tab w:val="left" w:pos="2835"/>
        </w:tabs>
        <w:ind w:firstLine="2880"/>
      </w:pPr>
      <w:r>
        <w:t>No se requiere de una imaginación d</w:t>
      </w:r>
      <w:r>
        <w:t>e</w:t>
      </w:r>
      <w:r>
        <w:t>masiado aguda para preguntarse cómo una prueba más podía comprometer la responsabilidad del magistrado; o de otro modo, porqué la publicidad de una prueba podía perjudicar al instructor.</w:t>
      </w:r>
    </w:p>
    <w:p w:rsidR="00224567" w:rsidRDefault="00224567">
      <w:pPr>
        <w:widowControl w:val="0"/>
        <w:tabs>
          <w:tab w:val="center" w:pos="0"/>
          <w:tab w:val="left" w:pos="2835"/>
        </w:tabs>
        <w:ind w:firstLine="2880"/>
      </w:pPr>
      <w:r>
        <w:t>Las expresiones volcadas por Soria en el informe son la respuesta al por qué del llamado que le hiciera el Dr. Galeano a su provincia y a la calidad de secreta de la reunión con los integrantes de la bicameral, celebrada el día antes a que el periodista Jorge Lanata difundiera por televisión el aludido video.</w:t>
      </w:r>
    </w:p>
    <w:p w:rsidR="00224567" w:rsidRDefault="00224567">
      <w:pPr>
        <w:widowControl w:val="0"/>
        <w:tabs>
          <w:tab w:val="center" w:pos="0"/>
          <w:tab w:val="left" w:pos="2835"/>
        </w:tabs>
        <w:ind w:firstLine="2880"/>
      </w:pPr>
      <w:r>
        <w:t>No de otra forma puede entenderse el conocimiento que tenía Soria acerca de la responsabil</w:t>
      </w:r>
      <w:r>
        <w:t>i</w:t>
      </w:r>
      <w:r>
        <w:t>dad del magistrado.</w:t>
      </w:r>
    </w:p>
    <w:p w:rsidR="00224567" w:rsidRDefault="00224567">
      <w:pPr>
        <w:widowControl w:val="0"/>
        <w:tabs>
          <w:tab w:val="center" w:pos="0"/>
          <w:tab w:val="left" w:pos="2835"/>
        </w:tabs>
        <w:ind w:firstLine="2880"/>
      </w:pPr>
      <w:r>
        <w:t>Frente a ello, revistiendo los dip</w:t>
      </w:r>
      <w:r>
        <w:t>u</w:t>
      </w:r>
      <w:r>
        <w:t>tados y senadores, como es obvio, la calidad de funcion</w:t>
      </w:r>
      <w:r>
        <w:t>a</w:t>
      </w:r>
      <w:r>
        <w:t>rios públicos no se logran advertir las razones de por que no denunciaron (art. 177, inc. 1°, del Código Procesal P</w:t>
      </w:r>
      <w:r>
        <w:t>e</w:t>
      </w:r>
      <w:r>
        <w:t xml:space="preserve">nal de </w:t>
      </w:r>
      <w:smartTag w:uri="urn:schemas-microsoft-com:office:smarttags" w:element="PersonName">
        <w:smartTagPr>
          <w:attr w:name="ProductID" w:val="la Naci￳n"/>
        </w:smartTagPr>
        <w:r>
          <w:t>la Nación</w:t>
        </w:r>
      </w:smartTag>
      <w:r>
        <w:t xml:space="preserve"> y art. 277 del Código Penal) las circun</w:t>
      </w:r>
      <w:r>
        <w:t>s</w:t>
      </w:r>
      <w:r>
        <w:t>tancias que podr</w:t>
      </w:r>
      <w:r>
        <w:t>í</w:t>
      </w:r>
      <w:r>
        <w:t>an responsabilizar al magistrado en caso de difundirse, pues, en definitiva, dicho video tomó est</w:t>
      </w:r>
      <w:r>
        <w:t>a</w:t>
      </w:r>
      <w:r>
        <w:t>do público.</w:t>
      </w:r>
    </w:p>
    <w:p w:rsidR="00224567" w:rsidRDefault="00224567">
      <w:pPr>
        <w:widowControl w:val="0"/>
        <w:tabs>
          <w:tab w:val="center" w:pos="0"/>
          <w:tab w:val="left" w:pos="2835"/>
        </w:tabs>
        <w:ind w:firstLine="2880"/>
      </w:pPr>
      <w:r>
        <w:t>La elocuencia de Soria constituye un resumen de cuanto se viene diciendo; vale reiterar sus e</w:t>
      </w:r>
      <w:r>
        <w:t>x</w:t>
      </w:r>
      <w:r>
        <w:t xml:space="preserve">presiones: </w:t>
      </w:r>
      <w:r>
        <w:rPr>
          <w:b/>
        </w:rPr>
        <w:t>“</w:t>
      </w:r>
      <w:r>
        <w:t>Esto también ocurrió durante un fin de semana y en ese sentido debo destacar la colaboración de mi amigo y vicepresidente de la comisión, senador Galván, y de los demás integrantes, quienes concurrieron prestos a soluci</w:t>
      </w:r>
      <w:r>
        <w:t>o</w:t>
      </w:r>
      <w:r>
        <w:t>nar los problemas que se iban pr</w:t>
      </w:r>
      <w:r>
        <w:t>e</w:t>
      </w:r>
      <w:r>
        <w:t>sentando...”.</w:t>
      </w:r>
    </w:p>
    <w:p w:rsidR="00224567" w:rsidRDefault="00224567">
      <w:pPr>
        <w:widowControl w:val="0"/>
        <w:tabs>
          <w:tab w:val="center" w:pos="0"/>
          <w:tab w:val="left" w:pos="2835"/>
        </w:tabs>
        <w:ind w:firstLine="2880"/>
      </w:pPr>
      <w:r>
        <w:t>Para el diputado se fueron soluciona</w:t>
      </w:r>
      <w:r>
        <w:t>n</w:t>
      </w:r>
      <w:r>
        <w:t>do los problemas que se iban presentando. La lectura debe ser otra: se taparon gravísimas irregularidades de una i</w:t>
      </w:r>
      <w:r>
        <w:t>n</w:t>
      </w:r>
      <w:r>
        <w:t>vestigación que creció con cimientos de barro.</w:t>
      </w:r>
    </w:p>
    <w:p w:rsidR="00224567" w:rsidRDefault="00224567">
      <w:pPr>
        <w:widowControl w:val="0"/>
        <w:tabs>
          <w:tab w:val="center" w:pos="0"/>
          <w:tab w:val="left" w:pos="2835"/>
        </w:tabs>
        <w:ind w:firstLine="2880"/>
      </w:pPr>
      <w:r>
        <w:t>El espíritu que guió el accionar de la comisión bicameral quedó evidenciado con claridad en su último informe.</w:t>
      </w:r>
    </w:p>
    <w:p w:rsidR="00224567" w:rsidRDefault="00224567">
      <w:pPr>
        <w:widowControl w:val="0"/>
        <w:tabs>
          <w:tab w:val="center" w:pos="0"/>
          <w:tab w:val="left" w:pos="2835"/>
        </w:tabs>
        <w:ind w:firstLine="2880"/>
      </w:pPr>
      <w:r>
        <w:t>Allí se expresa, previo a destacar que la comisión ayudo a remover los múltiples factores que desde siempre obstaculizaron el curso de la inve</w:t>
      </w:r>
      <w:r>
        <w:t>s</w:t>
      </w:r>
      <w:r>
        <w:t xml:space="preserve">tigación, que: “A mediados de 2001 existen expectativas fundadas acerca de la inminencia de un juicio oral, que permitirá ventilar </w:t>
      </w:r>
      <w:r>
        <w:rPr>
          <w:b/>
        </w:rPr>
        <w:t>la conducta reprochable de un grupo de ex int</w:t>
      </w:r>
      <w:r>
        <w:rPr>
          <w:b/>
        </w:rPr>
        <w:t>e</w:t>
      </w:r>
      <w:r>
        <w:rPr>
          <w:b/>
        </w:rPr>
        <w:t>grantes de una fuerza de seguridad, quienes en combinación con un reducidor de autos robados, fueron partícipes nec</w:t>
      </w:r>
      <w:r>
        <w:rPr>
          <w:b/>
        </w:rPr>
        <w:t>e</w:t>
      </w:r>
      <w:r>
        <w:rPr>
          <w:b/>
        </w:rPr>
        <w:t xml:space="preserve">sarios de la voladura de </w:t>
      </w:r>
      <w:smartTag w:uri="urn:schemas-microsoft-com:office:smarttags" w:element="PersonName">
        <w:smartTagPr>
          <w:attr w:name="ProductID" w:val="la A.M"/>
        </w:smartTagPr>
        <w:r>
          <w:rPr>
            <w:b/>
          </w:rPr>
          <w:t>la A.M</w:t>
        </w:r>
      </w:smartTag>
      <w:r>
        <w:rPr>
          <w:b/>
        </w:rPr>
        <w:t xml:space="preserve">.I.A.” </w:t>
      </w:r>
      <w:r>
        <w:t>(la negrita perten</w:t>
      </w:r>
      <w:r>
        <w:t>e</w:t>
      </w:r>
      <w:r>
        <w:t>ce al Tribunal).</w:t>
      </w:r>
    </w:p>
    <w:p w:rsidR="00224567" w:rsidRDefault="00224567">
      <w:pPr>
        <w:widowControl w:val="0"/>
        <w:tabs>
          <w:tab w:val="center" w:pos="0"/>
          <w:tab w:val="left" w:pos="2835"/>
        </w:tabs>
        <w:ind w:firstLine="2880"/>
      </w:pPr>
      <w:r>
        <w:t>Según se desprende del párrafo tran</w:t>
      </w:r>
      <w:r>
        <w:t>s</w:t>
      </w:r>
      <w:r>
        <w:t>cripto la comisión bicameral no albergaba dudas acerca de las responsabilidades de los imputados, pese a que excedía a su función, por ser inherente del poder judicial, exp</w:t>
      </w:r>
      <w:r>
        <w:t>e</w:t>
      </w:r>
      <w:r>
        <w:t>dirse en el sentido que lo hizo.</w:t>
      </w:r>
    </w:p>
    <w:p w:rsidR="00224567" w:rsidRDefault="00224567">
      <w:pPr>
        <w:widowControl w:val="0"/>
        <w:tabs>
          <w:tab w:val="center" w:pos="0"/>
          <w:tab w:val="left" w:pos="2835"/>
        </w:tabs>
        <w:ind w:firstLine="2880"/>
      </w:pPr>
      <w:r>
        <w:t>Distinta resultó la postura minorit</w:t>
      </w:r>
      <w:r>
        <w:t>a</w:t>
      </w:r>
      <w:r>
        <w:t>ria, representada por la diputada Cristina Fernández de Kirchner, quien en ese mismo pronunciamiento sost</w:t>
      </w:r>
      <w:r>
        <w:t>u</w:t>
      </w:r>
      <w:r>
        <w:t>vo: “que resulta oportuno recordar que el rol de esta comisión es el seguimiento para su evaluación -</w:t>
      </w:r>
      <w:r>
        <w:rPr>
          <w:b/>
        </w:rPr>
        <w:t>no su convalidación-</w:t>
      </w:r>
      <w:r>
        <w:t xml:space="preserve"> de la investigación y actuación judicial en los atentados a </w:t>
      </w:r>
      <w:smartTag w:uri="urn:schemas-microsoft-com:office:smarttags" w:element="PersonName">
        <w:smartTagPr>
          <w:attr w:name="ProductID" w:val="la Embajada"/>
        </w:smartTagPr>
        <w:r>
          <w:t>la Embajada</w:t>
        </w:r>
      </w:smartTag>
      <w:r>
        <w:t xml:space="preserve"> de Israel y del edificio de </w:t>
      </w:r>
      <w:smartTag w:uri="urn:schemas-microsoft-com:office:smarttags" w:element="PersonName">
        <w:smartTagPr>
          <w:attr w:name="ProductID" w:val="la A.M"/>
        </w:smartTagPr>
        <w:r>
          <w:t>la A.M</w:t>
        </w:r>
      </w:smartTag>
      <w:r>
        <w:t>.I.A.” (la negrita también es del Tribunal).</w:t>
      </w:r>
    </w:p>
    <w:p w:rsidR="00224567" w:rsidRDefault="00224567">
      <w:pPr>
        <w:widowControl w:val="0"/>
        <w:tabs>
          <w:tab w:val="center" w:pos="0"/>
          <w:tab w:val="left" w:pos="2835"/>
        </w:tabs>
        <w:ind w:firstLine="2880"/>
      </w:pPr>
      <w:r>
        <w:t>En permitir y tolerar una pesquisa no ajustada a la verdad y a derecho, reside la responsabil</w:t>
      </w:r>
      <w:r>
        <w:t>i</w:t>
      </w:r>
      <w:r>
        <w:t>dad de los funcionarios de los tres poderes del Estado N</w:t>
      </w:r>
      <w:r>
        <w:t>a</w:t>
      </w:r>
      <w:r>
        <w:t>cional que de un modo u otro, intervinieron en la diluc</w:t>
      </w:r>
      <w:r>
        <w:t>i</w:t>
      </w:r>
      <w:r>
        <w:t>dación de los hechos.</w:t>
      </w:r>
    </w:p>
    <w:p w:rsidR="00224567" w:rsidRDefault="00224567">
      <w:pPr>
        <w:widowControl w:val="0"/>
        <w:tabs>
          <w:tab w:val="center" w:pos="0"/>
          <w:tab w:val="left" w:pos="2835"/>
        </w:tabs>
        <w:ind w:firstLine="2880"/>
      </w:pPr>
      <w:r>
        <w:t>El broche final de esta larga cadena de encubrimientos lo ponen los integrantes del Minist</w:t>
      </w:r>
      <w:r>
        <w:t>e</w:t>
      </w:r>
      <w:r>
        <w:t>rio Público Fiscal, los doctores Eamon Mullen y José Barba</w:t>
      </w:r>
      <w:r>
        <w:t>c</w:t>
      </w:r>
      <w:r>
        <w:t>cia, quienes cuales epígonos del juez Galeano lo acompañ</w:t>
      </w:r>
      <w:r>
        <w:t>a</w:t>
      </w:r>
      <w:r>
        <w:t xml:space="preserve">ron a la reunión secreta en el Congreso de </w:t>
      </w:r>
      <w:smartTag w:uri="urn:schemas-microsoft-com:office:smarttags" w:element="PersonName">
        <w:smartTagPr>
          <w:attr w:name="ProductID" w:val="la Naci￳n"/>
        </w:smartTagPr>
        <w:r>
          <w:t>la Nación</w:t>
        </w:r>
      </w:smartTag>
      <w:r>
        <w:t>, do</w:t>
      </w:r>
      <w:r>
        <w:t>n</w:t>
      </w:r>
      <w:r>
        <w:t>de, necesariamente, debieron tomar conocimiento del cont</w:t>
      </w:r>
      <w:r>
        <w:t>e</w:t>
      </w:r>
      <w:r>
        <w:t>nido del video previo a su difusión pública, pero, no ob</w:t>
      </w:r>
      <w:r>
        <w:t>s</w:t>
      </w:r>
      <w:r>
        <w:t>tante, no obraron en consecuencia.</w:t>
      </w:r>
    </w:p>
    <w:p w:rsidR="00224567" w:rsidRDefault="00224567">
      <w:pPr>
        <w:widowControl w:val="0"/>
        <w:tabs>
          <w:tab w:val="center" w:pos="0"/>
          <w:tab w:val="left" w:pos="2835"/>
        </w:tabs>
        <w:ind w:firstLine="2880"/>
      </w:pPr>
      <w:r>
        <w:t>Olvidaron los fiscales que el art. 177 del Código Procesal Penal les imponía la obligación de d</w:t>
      </w:r>
      <w:r>
        <w:t>e</w:t>
      </w:r>
      <w:r>
        <w:t>nunciar los delitos perseguibles de oficio que c</w:t>
      </w:r>
      <w:r>
        <w:t>o</w:t>
      </w:r>
      <w:r>
        <w:t>nocieran en el ejercicio de sus funciones; que el art. 277 del C</w:t>
      </w:r>
      <w:r>
        <w:t>ó</w:t>
      </w:r>
      <w:r>
        <w:t>digo Penal reprime esa omisión con pena de prisión, en tanto el art. 274 del este último cuerpo legal, prevé la de inhabilitación para el funcionario público que “falta</w:t>
      </w:r>
      <w:r>
        <w:t>n</w:t>
      </w:r>
      <w:r>
        <w:t>do a la obligación de su cargo, dejare de promover la pe</w:t>
      </w:r>
      <w:r>
        <w:t>r</w:t>
      </w:r>
      <w:r>
        <w:t>secución y represión de los d</w:t>
      </w:r>
      <w:r>
        <w:t>e</w:t>
      </w:r>
      <w:r>
        <w:t>lincuentes”.</w:t>
      </w:r>
    </w:p>
    <w:p w:rsidR="00224567" w:rsidRDefault="00224567">
      <w:pPr>
        <w:widowControl w:val="0"/>
        <w:tabs>
          <w:tab w:val="center" w:pos="0"/>
          <w:tab w:val="left" w:pos="2835"/>
        </w:tabs>
        <w:ind w:firstLine="2880"/>
      </w:pPr>
      <w:r>
        <w:t>No puede soslayarse aquí, que según el art. 25, inciso c), de la ley 24.946 - Ley Orgánica del Ministerio Público- es función de ese organismo “promover y ejercer la acción pública en las causas criminales”.</w:t>
      </w:r>
    </w:p>
    <w:p w:rsidR="00224567" w:rsidRDefault="00224567">
      <w:pPr>
        <w:widowControl w:val="0"/>
        <w:tabs>
          <w:tab w:val="center" w:pos="0"/>
          <w:tab w:val="left" w:pos="2835"/>
        </w:tabs>
        <w:ind w:firstLine="2880"/>
      </w:pPr>
      <w:r>
        <w:t>Siendo ello así, difícil resulta e</w:t>
      </w:r>
      <w:r>
        <w:t>n</w:t>
      </w:r>
      <w:r>
        <w:t>tender la posición del Dr. Barbaccia dado que al momento de prestar declaración indagatoria Telleldín el 5 de julio de 1996, participó de dicho acto procesal en su integridad (cfr. fs. 24.223/24.245 vta.).</w:t>
      </w:r>
    </w:p>
    <w:p w:rsidR="00224567" w:rsidRDefault="00224567">
      <w:pPr>
        <w:widowControl w:val="0"/>
        <w:tabs>
          <w:tab w:val="center" w:pos="0"/>
          <w:tab w:val="left" w:pos="2835"/>
        </w:tabs>
        <w:ind w:firstLine="2880"/>
      </w:pPr>
      <w:r>
        <w:t>Es decir, que si en esta ocasión el aludido fiscal no se enteró de lo que sucedía en el acto que presenciaba, al hacerlo en oportunidad de aco</w:t>
      </w:r>
      <w:r>
        <w:t>m</w:t>
      </w:r>
      <w:r>
        <w:t>pañar al juez a la comisión bicameral, al año siguiente, previo a la difusión pública del video, al igual que el Dr. Mullen, guardó silencio respecto de lo que allí escucharon.</w:t>
      </w:r>
    </w:p>
    <w:p w:rsidR="00224567" w:rsidRDefault="00224567">
      <w:pPr>
        <w:widowControl w:val="0"/>
        <w:tabs>
          <w:tab w:val="center" w:pos="0"/>
          <w:tab w:val="left" w:pos="2835"/>
        </w:tabs>
        <w:ind w:firstLine="2880"/>
      </w:pPr>
      <w:r>
        <w:t>Luego de la emisión de las imágenes en el programa televisivo del periodista Lanata, en abril de 1997, los señores fiscales tampoco parecieron advertir cuanto aconteciera en la causa en la que intervenían, ni alguna circunstancia o situación que m</w:t>
      </w:r>
      <w:r>
        <w:t>e</w:t>
      </w:r>
      <w:r>
        <w:t>reciera algún tipo de reparo como para promover la a</w:t>
      </w:r>
      <w:r>
        <w:t>c</w:t>
      </w:r>
      <w:r>
        <w:t>ción penal o, en última instancia, efectuar un planteo de índole procesal a efe</w:t>
      </w:r>
      <w:r>
        <w:t>c</w:t>
      </w:r>
      <w:r>
        <w:t xml:space="preserve">tos de velar por la defensa de la legalidad (art. 120 de </w:t>
      </w:r>
      <w:smartTag w:uri="urn:schemas-microsoft-com:office:smarttags" w:element="PersonName">
        <w:smartTagPr>
          <w:attr w:name="ProductID" w:val="la Constituci￳n Nacional"/>
        </w:smartTagPr>
        <w:r>
          <w:t>la Constitución Nacional</w:t>
        </w:r>
      </w:smartTag>
      <w:r>
        <w:t>).</w:t>
      </w:r>
    </w:p>
    <w:p w:rsidR="00224567" w:rsidRDefault="00224567">
      <w:pPr>
        <w:widowControl w:val="0"/>
        <w:tabs>
          <w:tab w:val="center" w:pos="0"/>
          <w:tab w:val="left" w:pos="2835"/>
        </w:tabs>
        <w:ind w:firstLine="2880"/>
      </w:pPr>
      <w:r>
        <w:t>Tanto en un caso como en otro, ambos funcionarios del Ministerio Público Fiscal, en la tesis más benigna demostraron ineptitud funcional.</w:t>
      </w:r>
    </w:p>
    <w:p w:rsidR="00224567" w:rsidRDefault="00224567">
      <w:pPr>
        <w:widowControl w:val="0"/>
        <w:tabs>
          <w:tab w:val="center" w:pos="0"/>
          <w:tab w:val="left" w:pos="2835"/>
        </w:tabs>
        <w:ind w:firstLine="2880"/>
      </w:pPr>
      <w:r>
        <w:rPr>
          <w:b/>
          <w:bCs/>
        </w:rPr>
        <w:t xml:space="preserve">V.4.c) </w:t>
      </w:r>
      <w:r>
        <w:t>Tampoco puede soslayarse, que tras recibir la comisión bicameral al juez Oyarbide, a cargo de la investigación del video faltante, el magistr</w:t>
      </w:r>
      <w:r>
        <w:t>a</w:t>
      </w:r>
      <w:r>
        <w:t>do, el 8 de abril de 1997, ordenó la detención de Mariano Cúneo Libarona, Juan Pablo Vigliero y Julio César Balle</w:t>
      </w:r>
      <w:r>
        <w:t>s</w:t>
      </w:r>
      <w:r>
        <w:t>tero (fs. 310, causa 496), las que fueron efectuadas en un espectacular procedimiento realizado en la vía pública, transmitido por televisión.</w:t>
      </w:r>
    </w:p>
    <w:p w:rsidR="00224567" w:rsidRDefault="00224567">
      <w:pPr>
        <w:widowControl w:val="0"/>
        <w:tabs>
          <w:tab w:val="center" w:pos="0"/>
          <w:tab w:val="left" w:pos="2835"/>
        </w:tabs>
        <w:ind w:firstLine="2880"/>
      </w:pPr>
      <w:r>
        <w:t>La visita a la comisión por parte del juez Oyarbide resulta del primer informe de la comisión bicameral que data del año 1997 (cfr. pág. 97).</w:t>
      </w:r>
    </w:p>
    <w:p w:rsidR="00224567" w:rsidRDefault="00224567">
      <w:pPr>
        <w:widowControl w:val="0"/>
        <w:tabs>
          <w:tab w:val="center" w:pos="0"/>
          <w:tab w:val="left" w:pos="2835"/>
        </w:tabs>
        <w:ind w:firstLine="2880"/>
      </w:pPr>
      <w:r>
        <w:t>Dicho extremo fue reconocido en el d</w:t>
      </w:r>
      <w:r>
        <w:t>e</w:t>
      </w:r>
      <w:r>
        <w:t>bate por el diputado Soria, en cuanto sostuvo que el m</w:t>
      </w:r>
      <w:r>
        <w:t>a</w:t>
      </w:r>
      <w:r>
        <w:t>gistrado antes nombrado fue invitado y aceptó conc</w:t>
      </w:r>
      <w:r>
        <w:t>u</w:t>
      </w:r>
      <w:r>
        <w:t>rrir a la sede de la comisión.</w:t>
      </w:r>
    </w:p>
    <w:p w:rsidR="00224567" w:rsidRDefault="00224567">
      <w:pPr>
        <w:widowControl w:val="0"/>
        <w:tabs>
          <w:tab w:val="center" w:pos="0"/>
          <w:tab w:val="left" w:pos="2835"/>
        </w:tabs>
        <w:ind w:firstLine="2880"/>
      </w:pPr>
      <w:r>
        <w:t>Allí le manifestaron al juez la “tr</w:t>
      </w:r>
      <w:r>
        <w:t>e</w:t>
      </w:r>
      <w:r>
        <w:t>menda preocupación” (sic) de los parlamentarios por que se avanzara rápidamente y se encontrara a los cu</w:t>
      </w:r>
      <w:r>
        <w:t>l</w:t>
      </w:r>
      <w:r>
        <w:t>pables, a la vez que le ofrecieron todo tipo de ayuda política “si h</w:t>
      </w:r>
      <w:r>
        <w:t>u</w:t>
      </w:r>
      <w:r>
        <w:t>biese alguna complicación que él no podía destrabar para tratar de ayudarlo pero no nos correspondía a nosotros i</w:t>
      </w:r>
      <w:r>
        <w:t>n</w:t>
      </w:r>
      <w:r>
        <w:t>dicarle el camino” (sic).</w:t>
      </w:r>
    </w:p>
    <w:p w:rsidR="00224567" w:rsidRDefault="00224567">
      <w:pPr>
        <w:widowControl w:val="0"/>
        <w:tabs>
          <w:tab w:val="center" w:pos="0"/>
          <w:tab w:val="left" w:pos="2835"/>
        </w:tabs>
        <w:ind w:firstLine="2880"/>
      </w:pPr>
      <w:r>
        <w:t>Añadió Soria, “creo que horas de</w:t>
      </w:r>
      <w:r>
        <w:t>s</w:t>
      </w:r>
      <w:r>
        <w:t>pués de haber tenido la reunión con nosotros, yo al menos me enteré por televisión, provocó un allanamiento en un est</w:t>
      </w:r>
      <w:r>
        <w:t>u</w:t>
      </w:r>
      <w:r>
        <w:t>dio jurídico, creo que inclusive ordenó una detención” (sic).</w:t>
      </w:r>
    </w:p>
    <w:p w:rsidR="00224567" w:rsidRDefault="00224567">
      <w:pPr>
        <w:widowControl w:val="0"/>
        <w:tabs>
          <w:tab w:val="center" w:pos="0"/>
          <w:tab w:val="left" w:pos="2835"/>
        </w:tabs>
        <w:ind w:firstLine="2880"/>
      </w:pPr>
      <w:r>
        <w:t>Las manifestaciones de apoyo formul</w:t>
      </w:r>
      <w:r>
        <w:t>a</w:t>
      </w:r>
      <w:r>
        <w:t>das por los miembros de la bicameral, al menos así lo r</w:t>
      </w:r>
      <w:r>
        <w:t>e</w:t>
      </w:r>
      <w:r>
        <w:t>lató Soria, no pueden considerarse más que como una ind</w:t>
      </w:r>
      <w:r>
        <w:t>e</w:t>
      </w:r>
      <w:r>
        <w:t>bida intromisión en la labor propia del juez instructor, tolerada por el magistrado receptor.</w:t>
      </w:r>
    </w:p>
    <w:p w:rsidR="00224567" w:rsidRDefault="00224567">
      <w:pPr>
        <w:widowControl w:val="0"/>
        <w:tabs>
          <w:tab w:val="center" w:pos="0"/>
          <w:tab w:val="left" w:pos="2835"/>
        </w:tabs>
        <w:ind w:firstLine="2880"/>
      </w:pPr>
      <w:r>
        <w:t>Éste para cumplir con su deber no n</w:t>
      </w:r>
      <w:r>
        <w:t>e</w:t>
      </w:r>
      <w:r>
        <w:t>cesita de apoyo político alguno, sino tan sólo de su co</w:t>
      </w:r>
      <w:r>
        <w:t>n</w:t>
      </w:r>
      <w:r>
        <w:t>vicción personal e independencia que el cargo le brindaba.</w:t>
      </w:r>
    </w:p>
    <w:p w:rsidR="00224567" w:rsidRDefault="00224567">
      <w:pPr>
        <w:widowControl w:val="0"/>
        <w:tabs>
          <w:tab w:val="center" w:pos="0"/>
          <w:tab w:val="left" w:pos="2835"/>
        </w:tabs>
        <w:ind w:firstLine="2880"/>
      </w:pPr>
      <w:r>
        <w:t>A la par de ello, resulta sorprende</w:t>
      </w:r>
      <w:r>
        <w:t>n</w:t>
      </w:r>
      <w:r>
        <w:t>te, vale reiterar, que los integrantes de la comisión b</w:t>
      </w:r>
      <w:r>
        <w:t>i</w:t>
      </w:r>
      <w:r>
        <w:t>cameral no adoptaran temperamento alguno luego de observar las imágenes en las que se puede ver al juez Galeano neg</w:t>
      </w:r>
      <w:r>
        <w:t>o</w:t>
      </w:r>
      <w:r>
        <w:t>ciando con el detenido Telleldín</w:t>
      </w:r>
    </w:p>
    <w:p w:rsidR="00224567" w:rsidRDefault="00224567">
      <w:pPr>
        <w:widowControl w:val="0"/>
        <w:tabs>
          <w:tab w:val="center" w:pos="0"/>
          <w:tab w:val="left" w:pos="2835"/>
        </w:tabs>
        <w:ind w:firstLine="2880"/>
      </w:pPr>
      <w:r>
        <w:t>La extrañeza obedece a que, precis</w:t>
      </w:r>
      <w:r>
        <w:t>a</w:t>
      </w:r>
      <w:r>
        <w:t>mente, quienes estaban interesados en el seguimiento de la investigación del atentado, tras ver el video, quedaron satisfechos, según comentaron Galván, Soria, y Cruchaga, con la palabra del juez en cuanto a que no se había pag</w:t>
      </w:r>
      <w:r>
        <w:t>a</w:t>
      </w:r>
      <w:r>
        <w:t>do.</w:t>
      </w:r>
    </w:p>
    <w:p w:rsidR="00224567" w:rsidRDefault="00224567">
      <w:pPr>
        <w:widowControl w:val="0"/>
        <w:tabs>
          <w:tab w:val="center" w:pos="0"/>
          <w:tab w:val="left" w:pos="2835"/>
        </w:tabs>
        <w:ind w:firstLine="2880"/>
      </w:pPr>
      <w:r>
        <w:t>Más realista y creíble resulta la ve</w:t>
      </w:r>
      <w:r>
        <w:t>r</w:t>
      </w:r>
      <w:r>
        <w:t>sión del periodista Jorge Lanata, acerca de que existía un gran temor de que se cayera la causa.</w:t>
      </w:r>
    </w:p>
    <w:p w:rsidR="00224567" w:rsidRDefault="00224567">
      <w:pPr>
        <w:widowControl w:val="0"/>
        <w:tabs>
          <w:tab w:val="center" w:pos="0"/>
          <w:tab w:val="left" w:pos="2835"/>
        </w:tabs>
        <w:ind w:firstLine="2880"/>
      </w:pPr>
      <w:r>
        <w:t>La parcialidad de algunos integra</w:t>
      </w:r>
      <w:r>
        <w:t>n</w:t>
      </w:r>
      <w:r>
        <w:t>tes de la comisión bicameral, en el sentido de que tenía por finalidad avalar lo actuado por el juez Galeano, resulta con nitidez de la versión taquigráfica de la entrevista celebrada con Claudio Adrián Lifschitz.</w:t>
      </w:r>
    </w:p>
    <w:p w:rsidR="00224567" w:rsidRDefault="00224567">
      <w:pPr>
        <w:widowControl w:val="0"/>
        <w:tabs>
          <w:tab w:val="center" w:pos="0"/>
          <w:tab w:val="left" w:pos="2835"/>
        </w:tabs>
        <w:ind w:firstLine="2880"/>
      </w:pPr>
      <w:r>
        <w:t>Basta la lectura de esa pieza para a</w:t>
      </w:r>
      <w:r>
        <w:t>d</w:t>
      </w:r>
      <w:r>
        <w:t>vertir del desagrado del diputado Soria, a la sazón pres</w:t>
      </w:r>
      <w:r>
        <w:t>i</w:t>
      </w:r>
      <w:r>
        <w:t>dente de la comisión, frente a los relatos del deponente que comprometían la labor del juzgado.</w:t>
      </w:r>
    </w:p>
    <w:p w:rsidR="00224567" w:rsidRDefault="00224567">
      <w:pPr>
        <w:widowControl w:val="0"/>
        <w:tabs>
          <w:tab w:val="center" w:pos="0"/>
          <w:tab w:val="left" w:pos="2835"/>
        </w:tabs>
        <w:ind w:firstLine="2880"/>
      </w:pPr>
      <w:r>
        <w:t>Respecto de este tópico vale dest</w:t>
      </w:r>
      <w:r>
        <w:t>a</w:t>
      </w:r>
      <w:r>
        <w:t>car que el destino del Dr. Mariano Cúneo Libarona fue vatic</w:t>
      </w:r>
      <w:r>
        <w:t>i</w:t>
      </w:r>
      <w:r>
        <w:t>nado por José Pereyra (“Pepo”) -prosecretario del Juzgado Nacional en lo Criminal y Correccional Federal nº 9- a su interlocutor el 6 de abril de 1997, es decir dos días a</w:t>
      </w:r>
      <w:r>
        <w:t>n</w:t>
      </w:r>
      <w:r>
        <w:t>tes de su detención.</w:t>
      </w:r>
    </w:p>
    <w:p w:rsidR="00224567" w:rsidRDefault="00224567">
      <w:pPr>
        <w:widowControl w:val="0"/>
        <w:tabs>
          <w:tab w:val="center" w:pos="0"/>
          <w:tab w:val="left" w:pos="2835"/>
        </w:tabs>
        <w:ind w:firstLine="2880"/>
      </w:pPr>
      <w:r>
        <w:t>En la conversación antes transcri</w:t>
      </w:r>
      <w:r>
        <w:t>p</w:t>
      </w:r>
      <w:r>
        <w:t>ta, donde ya advertía, refiriendo al letrado antes nombrado, “no, va a perder Cúneo, como en la guerra”, “lo más prob</w:t>
      </w:r>
      <w:r>
        <w:t>a</w:t>
      </w:r>
      <w:r>
        <w:t>ble es que quede preso”.</w:t>
      </w:r>
    </w:p>
    <w:p w:rsidR="00224567" w:rsidRDefault="00224567">
      <w:pPr>
        <w:widowControl w:val="0"/>
        <w:tabs>
          <w:tab w:val="left" w:pos="2835"/>
        </w:tabs>
        <w:ind w:firstLine="2880"/>
        <w:rPr>
          <w:lang w:val="es-ES_tradnl"/>
        </w:rPr>
      </w:pPr>
      <w:r>
        <w:rPr>
          <w:b/>
          <w:bCs/>
        </w:rPr>
        <w:t>V.5) Sumario S.I.D.E.</w:t>
      </w:r>
    </w:p>
    <w:p w:rsidR="00224567" w:rsidRDefault="00224567">
      <w:pPr>
        <w:pStyle w:val="Textoindependiente"/>
        <w:tabs>
          <w:tab w:val="left" w:pos="2835"/>
        </w:tabs>
        <w:spacing w:line="600" w:lineRule="auto"/>
        <w:ind w:firstLine="2880"/>
      </w:pPr>
      <w:r>
        <w:rPr>
          <w:b/>
          <w:bCs/>
          <w:lang w:val="es-ES"/>
        </w:rPr>
        <w:t>V</w:t>
      </w:r>
      <w:r>
        <w:rPr>
          <w:b/>
          <w:bCs/>
        </w:rPr>
        <w:t>.5.a</w:t>
      </w:r>
      <w:r>
        <w:rPr>
          <w:b/>
          <w:bCs/>
          <w:lang w:val="es-ES"/>
        </w:rPr>
        <w:t>)</w:t>
      </w:r>
      <w:r>
        <w:t xml:space="preserve"> Sin perjuicio de las activ</w:t>
      </w:r>
      <w:r>
        <w:t>i</w:t>
      </w:r>
      <w:r>
        <w:t>dades del poder administrador que confluyeron en el p</w:t>
      </w:r>
      <w:r>
        <w:t>a</w:t>
      </w:r>
      <w:r>
        <w:t xml:space="preserve">go a Carlos Alberto Telleldín, cabe abordar en este apartado las de los integrantes de </w:t>
      </w:r>
      <w:smartTag w:uri="urn:schemas-microsoft-com:office:smarttags" w:element="PersonName">
        <w:smartTagPr>
          <w:attr w:name="ProductID" w:val="la Secretar￭a"/>
        </w:smartTagPr>
        <w:r>
          <w:t>la Secretaría</w:t>
        </w:r>
      </w:smartTag>
      <w:r>
        <w:t xml:space="preserve"> de I</w:t>
      </w:r>
      <w:r>
        <w:t>n</w:t>
      </w:r>
      <w:r>
        <w:t>teligencia.</w:t>
      </w:r>
    </w:p>
    <w:p w:rsidR="00224567" w:rsidRDefault="00224567">
      <w:pPr>
        <w:pStyle w:val="Textoindependiente"/>
        <w:tabs>
          <w:tab w:val="left" w:pos="2835"/>
        </w:tabs>
        <w:spacing w:line="600" w:lineRule="auto"/>
        <w:ind w:firstLine="2880"/>
      </w:pPr>
      <w:r>
        <w:t>Que el 2 de noviembre de 2000, el e</w:t>
      </w:r>
      <w:r>
        <w:t>n</w:t>
      </w:r>
      <w:r>
        <w:t>tonces Secretario de Inteligencia de Estado, Dr. Carlos A</w:t>
      </w:r>
      <w:r>
        <w:t>r</w:t>
      </w:r>
      <w:r>
        <w:t>mando Becerra, dictó la resolución nº 540/00 ordenando la instrucción de un sumario administrativo para que fueran aclarados los hechos y se determinen las responsabilidades con motivo de la intervención de funcionarios de ese org</w:t>
      </w:r>
      <w:r>
        <w:t>a</w:t>
      </w:r>
      <w:r>
        <w:t>nismo en el trámite de la investigación de la presente ca</w:t>
      </w:r>
      <w:r>
        <w:t>u</w:t>
      </w:r>
      <w:r>
        <w:t>sa.</w:t>
      </w:r>
    </w:p>
    <w:p w:rsidR="00224567" w:rsidRDefault="00224567">
      <w:pPr>
        <w:pStyle w:val="Textoindependiente"/>
        <w:tabs>
          <w:tab w:val="left" w:pos="2835"/>
        </w:tabs>
        <w:spacing w:line="600" w:lineRule="auto"/>
        <w:ind w:firstLine="2880"/>
      </w:pPr>
      <w:r>
        <w:t>Esta decisión tuvo origen en un p</w:t>
      </w:r>
      <w:r>
        <w:t>e</w:t>
      </w:r>
      <w:r>
        <w:t>dido suscripto por el senador nacional Luis Molinari Romero, a fin de que se arbitraran las medidas neces</w:t>
      </w:r>
      <w:r>
        <w:t>a</w:t>
      </w:r>
      <w:r>
        <w:t xml:space="preserve">rias para que </w:t>
      </w:r>
      <w:smartTag w:uri="urn:schemas-microsoft-com:office:smarttags" w:element="PersonName">
        <w:smartTagPr>
          <w:attr w:name="ProductID" w:val="la Comisi￳n Bicameral"/>
        </w:smartTagPr>
        <w:r>
          <w:t>la Comisión Bicameral</w:t>
        </w:r>
      </w:smartTag>
      <w:r>
        <w:t xml:space="preserve"> Especial de Seguimiento de </w:t>
      </w:r>
      <w:smartTag w:uri="urn:schemas-microsoft-com:office:smarttags" w:element="PersonName">
        <w:smartTagPr>
          <w:attr w:name="ProductID" w:val="la Investigaci￳n"/>
        </w:smartTagPr>
        <w:r>
          <w:t>la Investig</w:t>
        </w:r>
        <w:r>
          <w:t>a</w:t>
        </w:r>
        <w:r>
          <w:t>ción</w:t>
        </w:r>
      </w:smartTag>
      <w:r>
        <w:t xml:space="preserve"> de los Atentados a </w:t>
      </w:r>
      <w:smartTag w:uri="urn:schemas-microsoft-com:office:smarttags" w:element="PersonName">
        <w:smartTagPr>
          <w:attr w:name="ProductID" w:val="la Embajada"/>
        </w:smartTagPr>
        <w:r>
          <w:t>la Emb</w:t>
        </w:r>
        <w:r>
          <w:t>a</w:t>
        </w:r>
        <w:r>
          <w:t>jada</w:t>
        </w:r>
      </w:smartTag>
      <w:r>
        <w:t xml:space="preserve"> de Israel y al Edificio de </w:t>
      </w:r>
      <w:smartTag w:uri="urn:schemas-microsoft-com:office:smarttags" w:element="PersonName">
        <w:smartTagPr>
          <w:attr w:name="ProductID" w:val="la A.M"/>
        </w:smartTagPr>
        <w:r>
          <w:t>la A.M</w:t>
        </w:r>
      </w:smartTag>
      <w:r>
        <w:t>.I.A. fuera informada sobre la veracidad de los hechos que Claudio Lifschitz relató a los integrantes de ese cuerpo.</w:t>
      </w:r>
    </w:p>
    <w:p w:rsidR="00224567" w:rsidRDefault="00224567">
      <w:pPr>
        <w:widowControl w:val="0"/>
        <w:tabs>
          <w:tab w:val="left" w:pos="2835"/>
        </w:tabs>
        <w:ind w:firstLine="2880"/>
      </w:pPr>
      <w:r>
        <w:t>Entre los fundamentos de la resol</w:t>
      </w:r>
      <w:r>
        <w:t>u</w:t>
      </w:r>
      <w:r>
        <w:t xml:space="preserve">ción de referencia, se expuso: “Que en el seno de </w:t>
      </w:r>
      <w:smartTag w:uri="urn:schemas-microsoft-com:office:smarttags" w:element="PersonName">
        <w:smartTagPr>
          <w:attr w:name="ProductID" w:val="la Comisi￳n"/>
        </w:smartTagPr>
        <w:r>
          <w:t>la Comisión</w:t>
        </w:r>
      </w:smartTag>
      <w:r>
        <w:t xml:space="preserve"> el aludido efectuó diversas manifestaciones relacionadas con aspectos de las investigaciones de los referidos ate</w:t>
      </w:r>
      <w:r>
        <w:t>n</w:t>
      </w:r>
      <w:r>
        <w:t>tados, surgiendo de las mismas y del manuscrito de su a</w:t>
      </w:r>
      <w:r>
        <w:t>u</w:t>
      </w:r>
      <w:r>
        <w:t xml:space="preserve">toría la mención a dependencias de </w:t>
      </w:r>
      <w:smartTag w:uri="urn:schemas-microsoft-com:office:smarttags" w:element="PersonName">
        <w:smartTagPr>
          <w:attr w:name="ProductID" w:val="la Secretaria"/>
        </w:smartTagPr>
        <w:r>
          <w:t>la Secretaria</w:t>
        </w:r>
      </w:smartTag>
      <w:r>
        <w:t xml:space="preserve"> de Int</w:t>
      </w:r>
      <w:r>
        <w:t>e</w:t>
      </w:r>
      <w:r>
        <w:t>ligencia de Estado y de su personal, involucrándolos en presuntas irregularidades”.</w:t>
      </w:r>
    </w:p>
    <w:p w:rsidR="00224567" w:rsidRDefault="00224567">
      <w:pPr>
        <w:widowControl w:val="0"/>
        <w:tabs>
          <w:tab w:val="left" w:pos="2835"/>
        </w:tabs>
        <w:ind w:firstLine="2880"/>
        <w:rPr>
          <w:b/>
        </w:rPr>
      </w:pPr>
      <w:r>
        <w:t>Se señaló además: “Que en la medida que eventualmente podría encontrarse en juego la respons</w:t>
      </w:r>
      <w:r>
        <w:t>a</w:t>
      </w:r>
      <w:r>
        <w:t xml:space="preserve">bilidad de personal de </w:t>
      </w:r>
      <w:smartTag w:uri="urn:schemas-microsoft-com:office:smarttags" w:element="PersonName">
        <w:smartTagPr>
          <w:attr w:name="ProductID" w:val="la Instituci￳n"/>
        </w:smartTagPr>
        <w:r>
          <w:t>la Institución</w:t>
        </w:r>
      </w:smartTag>
      <w:r>
        <w:t>, y afecta por lo d</w:t>
      </w:r>
      <w:r>
        <w:t>e</w:t>
      </w:r>
      <w:r>
        <w:t>más la imagen y el prestigio de esta Secretaria de Intel</w:t>
      </w:r>
      <w:r>
        <w:t>i</w:t>
      </w:r>
      <w:r>
        <w:t>gencia de Estado, de acuerdo con la regl</w:t>
      </w:r>
      <w:r>
        <w:t>a</w:t>
      </w:r>
      <w:r>
        <w:t>mentación vigente se amerita conveniente y necesario la promoción de la c</w:t>
      </w:r>
      <w:r>
        <w:t>o</w:t>
      </w:r>
      <w:r>
        <w:t>rrespondiente investigación interna, a fin del debido e</w:t>
      </w:r>
      <w:r>
        <w:t>s</w:t>
      </w:r>
      <w:r>
        <w:t>clarecimiento de los hechos y el deslinde de responsabil</w:t>
      </w:r>
      <w:r>
        <w:t>i</w:t>
      </w:r>
      <w:r>
        <w:t>dad”.</w:t>
      </w:r>
    </w:p>
    <w:p w:rsidR="00224567" w:rsidRDefault="00224567">
      <w:pPr>
        <w:pStyle w:val="Textoindependiente"/>
        <w:tabs>
          <w:tab w:val="left" w:pos="2835"/>
        </w:tabs>
        <w:spacing w:line="600" w:lineRule="auto"/>
        <w:ind w:firstLine="2880"/>
      </w:pPr>
      <w:r>
        <w:rPr>
          <w:b/>
          <w:bCs/>
          <w:lang w:val="es-ES"/>
        </w:rPr>
        <w:t>V</w:t>
      </w:r>
      <w:r>
        <w:rPr>
          <w:b/>
          <w:bCs/>
        </w:rPr>
        <w:t>.5.b</w:t>
      </w:r>
      <w:r>
        <w:rPr>
          <w:b/>
          <w:bCs/>
          <w:lang w:val="es-ES"/>
        </w:rPr>
        <w:t>)</w:t>
      </w:r>
      <w:r>
        <w:t xml:space="preserve"> El 31 de agosto de 2001, habie</w:t>
      </w:r>
      <w:r>
        <w:t>n</w:t>
      </w:r>
      <w:r>
        <w:t>do transcurrido aproximadamente diez meses desde el inicio de las actuaciones administrativas, el Dr. Santiago Vilas, instructor sumariante, dictó y firmó las conclusiones a las que se arribó en relación a los diferentes temas que fueran objeto de cuestionamiento por parte de Lifschitz, siendo uno ellos el supuesto pago de USD 400.000 al imputado T</w:t>
      </w:r>
      <w:r>
        <w:t>e</w:t>
      </w:r>
      <w:r>
        <w:t xml:space="preserve">lleldín, por parte de </w:t>
      </w:r>
      <w:smartTag w:uri="urn:schemas-microsoft-com:office:smarttags" w:element="PersonName">
        <w:smartTagPr>
          <w:attr w:name="ProductID" w:val="la Secretar￭a"/>
        </w:smartTagPr>
        <w:r>
          <w:t>la Secretaría</w:t>
        </w:r>
      </w:smartTag>
      <w:r>
        <w:t xml:space="preserve"> de Inteligencia a ca</w:t>
      </w:r>
      <w:r>
        <w:t>m</w:t>
      </w:r>
      <w:r>
        <w:t>bio de información que aquél brindó al juez Galeano en la declaración del 5 de julio de 1996.</w:t>
      </w:r>
    </w:p>
    <w:p w:rsidR="00224567" w:rsidRDefault="00224567">
      <w:pPr>
        <w:widowControl w:val="0"/>
        <w:tabs>
          <w:tab w:val="left" w:pos="2835"/>
        </w:tabs>
        <w:ind w:firstLine="2880"/>
      </w:pPr>
      <w:r>
        <w:t>En concreto, se determinó que no había surgido “la efectivización de un pago que pudiera tener relación con el episodio señalado, tal como surge del i</w:t>
      </w:r>
      <w:r>
        <w:t>n</w:t>
      </w:r>
      <w:r>
        <w:t>forme brindado por el Área de Finanzas del Org</w:t>
      </w:r>
      <w:r>
        <w:t>a</w:t>
      </w:r>
      <w:r>
        <w:t xml:space="preserve">nismo a fs. </w:t>
      </w:r>
      <w:smartTag w:uri="urn:schemas-microsoft-com:office:smarttags" w:element="metricconverter">
        <w:smartTagPr>
          <w:attr w:name="ProductID" w:val="900”"/>
        </w:smartTagPr>
        <w:r>
          <w:t>900”</w:t>
        </w:r>
      </w:smartTag>
      <w:r>
        <w:t>. Se valoró además, en el mismo sentido, la falta de conocimiento sobre esta situación que alegaron de manera coincidente durante el trámite del sumario, jefes y age</w:t>
      </w:r>
      <w:r>
        <w:t>n</w:t>
      </w:r>
      <w:r>
        <w:t>tes del organismo en informes y declaraciones testimoni</w:t>
      </w:r>
      <w:r>
        <w:t>a</w:t>
      </w:r>
      <w:r>
        <w:t>les.</w:t>
      </w:r>
    </w:p>
    <w:p w:rsidR="00224567" w:rsidRDefault="00224567">
      <w:pPr>
        <w:pStyle w:val="Textoindependiente"/>
        <w:tabs>
          <w:tab w:val="left" w:pos="2835"/>
        </w:tabs>
        <w:spacing w:line="600" w:lineRule="auto"/>
        <w:ind w:firstLine="2880"/>
      </w:pPr>
      <w:r>
        <w:t xml:space="preserve">Posteriormente tomó intervención </w:t>
      </w:r>
      <w:smartTag w:uri="urn:schemas-microsoft-com:office:smarttags" w:element="PersonName">
        <w:smartTagPr>
          <w:attr w:name="ProductID" w:val="la Direcci￳n"/>
        </w:smartTagPr>
        <w:r>
          <w:t>la D</w:t>
        </w:r>
        <w:r>
          <w:t>i</w:t>
        </w:r>
        <w:r>
          <w:t>rección</w:t>
        </w:r>
      </w:smartTag>
      <w:r>
        <w:t xml:space="preserve"> de Asuntos Jurídicos y el Consejo de Disc</w:t>
      </w:r>
      <w:r>
        <w:t>i</w:t>
      </w:r>
      <w:r>
        <w:t>plina del organismo; finalmente el 20 de noviembre de 2001, el Dr. Becerra resolvió clausurar el sumario y declaró que no c</w:t>
      </w:r>
      <w:r>
        <w:t>o</w:t>
      </w:r>
      <w:r>
        <w:t>rrespondía atribuir responsabilidades administrativas en el contexto del esclarecimiento de los hechos “sin perjuicio de hacer reserva de las pe</w:t>
      </w:r>
      <w:r>
        <w:t>r</w:t>
      </w:r>
      <w:r>
        <w:t>tinentes facultades tendientes a ordenar las investigaciones internas a las que eventualme</w:t>
      </w:r>
      <w:r>
        <w:t>n</w:t>
      </w:r>
      <w:r>
        <w:t>te hubiere lugar, para la hipótesis de que en el futuro se configuren circunstancias de cargo que pudieran emanar de las causas judiciales vinculadas con el presente decis</w:t>
      </w:r>
      <w:r>
        <w:t>o</w:t>
      </w:r>
      <w:r>
        <w:t>rio”.</w:t>
      </w:r>
    </w:p>
    <w:p w:rsidR="00224567" w:rsidRDefault="00224567">
      <w:pPr>
        <w:pStyle w:val="Textoindependiente"/>
        <w:tabs>
          <w:tab w:val="left" w:pos="2835"/>
        </w:tabs>
        <w:spacing w:line="600" w:lineRule="auto"/>
        <w:ind w:firstLine="2880"/>
      </w:pPr>
      <w:r w:rsidRPr="0020123C">
        <w:rPr>
          <w:highlight w:val="yellow"/>
        </w:rPr>
        <w:t>Dispuso, además, que se adoptaran los recaudos correspondientes para que promoviera una denuncia criminal contra Claudio Lifschitz; la apertura de un sum</w:t>
      </w:r>
      <w:r w:rsidRPr="0020123C">
        <w:rPr>
          <w:highlight w:val="yellow"/>
        </w:rPr>
        <w:t>a</w:t>
      </w:r>
      <w:r w:rsidRPr="0020123C">
        <w:rPr>
          <w:highlight w:val="yellow"/>
        </w:rPr>
        <w:t xml:space="preserve">rio interno a algunos agentes civiles de inteligencia que ocupaban posiciones jerarquizadas en </w:t>
      </w:r>
      <w:smartTag w:uri="urn:schemas-microsoft-com:office:smarttags" w:element="PersonName">
        <w:smartTagPr>
          <w:attr w:name="ProductID" w:val="la Direcci￳n"/>
        </w:smartTagPr>
        <w:r w:rsidRPr="0020123C">
          <w:rPr>
            <w:highlight w:val="yellow"/>
          </w:rPr>
          <w:t>la Dirección</w:t>
        </w:r>
      </w:smartTag>
      <w:r w:rsidRPr="0020123C">
        <w:rPr>
          <w:highlight w:val="yellow"/>
        </w:rPr>
        <w:t xml:space="preserve"> de Terr</w:t>
      </w:r>
      <w:r w:rsidRPr="0020123C">
        <w:rPr>
          <w:highlight w:val="yellow"/>
        </w:rPr>
        <w:t>o</w:t>
      </w:r>
      <w:r w:rsidRPr="0020123C">
        <w:rPr>
          <w:highlight w:val="yellow"/>
        </w:rPr>
        <w:t>rismo</w:t>
      </w:r>
      <w:r>
        <w:t xml:space="preserve"> Internacional del Área Exterior y, que se evaluara sus conductas en el ejercicio de sus funciones.</w:t>
      </w:r>
    </w:p>
    <w:p w:rsidR="00224567" w:rsidRDefault="00224567">
      <w:pPr>
        <w:pStyle w:val="Textoindependiente"/>
        <w:tabs>
          <w:tab w:val="left" w:pos="2835"/>
        </w:tabs>
        <w:spacing w:line="600" w:lineRule="auto"/>
        <w:ind w:firstLine="2880"/>
      </w:pPr>
      <w:r>
        <w:rPr>
          <w:b/>
          <w:bCs/>
          <w:lang w:val="es-ES"/>
        </w:rPr>
        <w:t>V</w:t>
      </w:r>
      <w:r>
        <w:rPr>
          <w:b/>
          <w:bCs/>
        </w:rPr>
        <w:t>.5.c</w:t>
      </w:r>
      <w:r>
        <w:rPr>
          <w:b/>
          <w:bCs/>
          <w:lang w:val="es-ES"/>
        </w:rPr>
        <w:t>)</w:t>
      </w:r>
      <w:r>
        <w:t xml:space="preserve"> No puede soslayarse al término de este relato, en concordancia con los cuestionamientos que se vienen efectuando acerca de una cierta complicidad estatal con la conducta del magistrado de la causa, que r</w:t>
      </w:r>
      <w:r>
        <w:t>e</w:t>
      </w:r>
      <w:r>
        <w:t>sulta inexplicable e inaceptable que la voluntad invocada por el Dr. Becerra en el acto administrativo en el que o</w:t>
      </w:r>
      <w:r>
        <w:t>r</w:t>
      </w:r>
      <w:r>
        <w:t>denó la formación de un sumario dirigido, en principio, al esclarecimiento de los hechos, no estuviera acompañada de la adopción de las medidas legales y reglamentarias, nec</w:t>
      </w:r>
      <w:r>
        <w:t>e</w:t>
      </w:r>
      <w:r>
        <w:t>sarias e indi</w:t>
      </w:r>
      <w:r>
        <w:t>s</w:t>
      </w:r>
      <w:r>
        <w:t>pensables para el logro de la finalidad y el resultado que decía pretenderse.</w:t>
      </w:r>
    </w:p>
    <w:p w:rsidR="00224567" w:rsidRDefault="00224567">
      <w:pPr>
        <w:widowControl w:val="0"/>
        <w:tabs>
          <w:tab w:val="left" w:pos="2835"/>
        </w:tabs>
        <w:ind w:firstLine="2880"/>
      </w:pPr>
      <w:r>
        <w:t>Basta reparar, en esta línea de raz</w:t>
      </w:r>
      <w:r>
        <w:t>o</w:t>
      </w:r>
      <w:r>
        <w:t>namiento, que frente a las denuncias efectuadas en el á</w:t>
      </w:r>
      <w:r>
        <w:t>m</w:t>
      </w:r>
      <w:r>
        <w:t xml:space="preserve">bito del Congreso de </w:t>
      </w:r>
      <w:smartTag w:uri="urn:schemas-microsoft-com:office:smarttags" w:element="PersonName">
        <w:smartTagPr>
          <w:attr w:name="ProductID" w:val="la Naci￳n"/>
        </w:smartTagPr>
        <w:r>
          <w:t>la Nación</w:t>
        </w:r>
      </w:smartTag>
      <w:r>
        <w:t>, que generaron un p</w:t>
      </w:r>
      <w:r>
        <w:t>e</w:t>
      </w:r>
      <w:r>
        <w:t>dido de informes de otro poder del estado y una profunda preocup</w:t>
      </w:r>
      <w:r>
        <w:t>a</w:t>
      </w:r>
      <w:r>
        <w:t>ción en el seno de la sociedad por la gravedad de las irregularidades que trascendieron, el tit</w:t>
      </w:r>
      <w:r>
        <w:t>u</w:t>
      </w:r>
      <w:r>
        <w:t>lar del área de inteligencia del Estado Nacional, que dependía directame</w:t>
      </w:r>
      <w:r>
        <w:t>n</w:t>
      </w:r>
      <w:r>
        <w:t xml:space="preserve">te del Presidente de </w:t>
      </w:r>
      <w:smartTag w:uri="urn:schemas-microsoft-com:office:smarttags" w:element="PersonName">
        <w:smartTagPr>
          <w:attr w:name="ProductID" w:val="la Naci￳n"/>
        </w:smartTagPr>
        <w:r>
          <w:t>la Nación</w:t>
        </w:r>
      </w:smartTag>
      <w:r>
        <w:t>, decidió encarar una inve</w:t>
      </w:r>
      <w:r>
        <w:t>s</w:t>
      </w:r>
      <w:r>
        <w:t>tigación sobre las actividades del organismo en cuyo transcurso sus funcionarios negaron el suceso que, supue</w:t>
      </w:r>
      <w:r>
        <w:t>s</w:t>
      </w:r>
      <w:r>
        <w:t>tamente, pretendía ser escl</w:t>
      </w:r>
      <w:r>
        <w:t>a</w:t>
      </w:r>
      <w:r>
        <w:t>recido y sin embargo, después de que se los relevó de la obligación de guardar secreto surgió la verdad sobre lo que aconteció.</w:t>
      </w:r>
    </w:p>
    <w:p w:rsidR="00224567" w:rsidRDefault="00224567">
      <w:pPr>
        <w:widowControl w:val="0"/>
        <w:tabs>
          <w:tab w:val="left" w:pos="2835"/>
        </w:tabs>
        <w:ind w:firstLine="2880"/>
      </w:pPr>
      <w:r>
        <w:t>Idéntico cuestionamiento merece la justificación de que no pudo ser acreditada la existe</w:t>
      </w:r>
      <w:r>
        <w:t>n</w:t>
      </w:r>
      <w:r>
        <w:t>cia del pago, con la sola consideración de una contestación formal y genérica del departamento financiero, de una c</w:t>
      </w:r>
      <w:r>
        <w:t>a</w:t>
      </w:r>
      <w:r>
        <w:t>rilla de extensión, que en modo alguno reflejaba ni expl</w:t>
      </w:r>
      <w:r>
        <w:t>i</w:t>
      </w:r>
      <w:r>
        <w:t>caba el sistema de la disposición discrecional y directa de fondos por parte del propio secr</w:t>
      </w:r>
      <w:r>
        <w:t>e</w:t>
      </w:r>
      <w:r>
        <w:t>tario de inteligencia y la forma en que podía quedar registrado.</w:t>
      </w:r>
    </w:p>
    <w:p w:rsidR="00224567" w:rsidRDefault="00224567">
      <w:pPr>
        <w:widowControl w:val="0"/>
        <w:tabs>
          <w:tab w:val="left" w:pos="2835"/>
        </w:tabs>
        <w:ind w:firstLine="2880"/>
      </w:pPr>
      <w:r>
        <w:t>Ninguna otra circunstancia genera ta</w:t>
      </w:r>
      <w:r>
        <w:t>n</w:t>
      </w:r>
      <w:r>
        <w:t>to descrédito para un organismo del estado, de la natur</w:t>
      </w:r>
      <w:r>
        <w:t>a</w:t>
      </w:r>
      <w:r>
        <w:t xml:space="preserve">leza e importancia de </w:t>
      </w:r>
      <w:smartTag w:uri="urn:schemas-microsoft-com:office:smarttags" w:element="PersonName">
        <w:smartTagPr>
          <w:attr w:name="ProductID" w:val="la Secretaria"/>
        </w:smartTagPr>
        <w:r>
          <w:t>la Secretaria</w:t>
        </w:r>
      </w:smartTag>
      <w:r>
        <w:t xml:space="preserve"> de Inteligencia, en atención a su delicada función institucional, que haber asumido la tarea de investigar una actividad realizada sin control alguno de la sociedad y, a pesar de lo cual, te</w:t>
      </w:r>
      <w:r>
        <w:t>r</w:t>
      </w:r>
      <w:r>
        <w:t>minó favoreciendo a que se mantuviera la mentira sobre un hecho que, es justo recordar, se e</w:t>
      </w:r>
      <w:r>
        <w:t>n</w:t>
      </w:r>
      <w:r>
        <w:t>contraba estrechamente vinculado con la situación procesal de personas encarcel</w:t>
      </w:r>
      <w:r>
        <w:t>a</w:t>
      </w:r>
      <w:r>
        <w:t xml:space="preserve">das, sometidas a proceso, y que, como pudo observarse, era completamente ajeno a la seguridad de </w:t>
      </w:r>
      <w:smartTag w:uri="urn:schemas-microsoft-com:office:smarttags" w:element="PersonName">
        <w:smartTagPr>
          <w:attr w:name="ProductID" w:val="la Naci￳n"/>
        </w:smartTagPr>
        <w:r>
          <w:t>la Nación</w:t>
        </w:r>
      </w:smartTag>
      <w:r>
        <w:t xml:space="preserve"> y de sus habitantes.</w:t>
      </w:r>
    </w:p>
    <w:p w:rsidR="00224567" w:rsidRDefault="00224567">
      <w:pPr>
        <w:widowControl w:val="0"/>
        <w:tabs>
          <w:tab w:val="left" w:pos="2835"/>
        </w:tabs>
        <w:ind w:firstLine="2880"/>
      </w:pPr>
      <w:r>
        <w:rPr>
          <w:b/>
          <w:bCs/>
        </w:rPr>
        <w:t>V.5.d)</w:t>
      </w:r>
      <w:r>
        <w:t xml:space="preserve"> Que como fruto de lo expue</w:t>
      </w:r>
      <w:r>
        <w:t>s</w:t>
      </w:r>
      <w:r>
        <w:t>to, durante el transcurso del mes de septiembre de 2001 y a poco de que comenzara el juicio oral y público en las pr</w:t>
      </w:r>
      <w:r>
        <w:t>e</w:t>
      </w:r>
      <w:r>
        <w:t xml:space="preserve">sente causa, </w:t>
      </w:r>
      <w:smartTag w:uri="urn:schemas-microsoft-com:office:smarttags" w:element="PersonName">
        <w:smartTagPr>
          <w:attr w:name="ProductID" w:val="la Secretaria"/>
        </w:smartTagPr>
        <w:r>
          <w:t>la Secretaria</w:t>
        </w:r>
      </w:smartTag>
      <w:r>
        <w:t xml:space="preserve"> de Inteligencia negó conocer de ese pago, aún quienes tuvieron participación decisiva en esa operación.</w:t>
      </w:r>
    </w:p>
    <w:p w:rsidR="00224567" w:rsidRDefault="00224567">
      <w:pPr>
        <w:pStyle w:val="Textoindependiente"/>
        <w:tabs>
          <w:tab w:val="left" w:pos="2835"/>
        </w:tabs>
        <w:spacing w:line="600" w:lineRule="auto"/>
        <w:ind w:firstLine="2880"/>
      </w:pPr>
      <w:r>
        <w:t>Esta fue la respuesta de un organismo del Poder Ejecutivo Nacional a requerimientos de los pod</w:t>
      </w:r>
      <w:r>
        <w:t>e</w:t>
      </w:r>
      <w:r>
        <w:t>res legislativo y judicial, que, como se dijo, en ese andar contó con la colaboración de legisladores y magistrados.</w:t>
      </w:r>
    </w:p>
    <w:p w:rsidR="00224567" w:rsidRDefault="00224567">
      <w:pPr>
        <w:widowControl w:val="0"/>
        <w:tabs>
          <w:tab w:val="left" w:pos="2835"/>
        </w:tabs>
        <w:ind w:firstLine="2880"/>
      </w:pPr>
      <w:r>
        <w:t>Resulta evidente que en algún lugar recóndito, donde todo secreto queda envuelto en otro, se advirtió de la gravísima situación que originaría el con</w:t>
      </w:r>
      <w:r>
        <w:t>o</w:t>
      </w:r>
      <w:r>
        <w:t>cimiento de la verdad y se pactó mantener el engaño, su</w:t>
      </w:r>
      <w:r>
        <w:t>b</w:t>
      </w:r>
      <w:r>
        <w:t>estimando la vinculación que existe entre el d</w:t>
      </w:r>
      <w:r>
        <w:t>e</w:t>
      </w:r>
      <w:r>
        <w:t>recho y el valor justicia.</w:t>
      </w:r>
    </w:p>
    <w:p w:rsidR="00224567" w:rsidRDefault="00224567">
      <w:pPr>
        <w:pStyle w:val="Textoindependiente"/>
        <w:tabs>
          <w:tab w:val="left" w:pos="2835"/>
        </w:tabs>
        <w:spacing w:line="600" w:lineRule="auto"/>
        <w:ind w:firstLine="2880"/>
      </w:pPr>
      <w:r w:rsidRPr="00005D70">
        <w:rPr>
          <w:highlight w:val="yellow"/>
        </w:rPr>
        <w:t>Debieron transcurrir mas de dos años para que luego de una incesante actividad jurisdiccional del Tribunal, tras sucesivos cambios en la administración nacional quedara expresada una voluntad polít</w:t>
      </w:r>
      <w:r w:rsidRPr="00005D70">
        <w:rPr>
          <w:highlight w:val="yellow"/>
        </w:rPr>
        <w:t>i</w:t>
      </w:r>
      <w:r w:rsidRPr="00005D70">
        <w:rPr>
          <w:highlight w:val="yellow"/>
        </w:rPr>
        <w:t>ca de máximo nivel que aceptó que la realidad sobre la existencia del pago debía ser conocida, sin limitaci</w:t>
      </w:r>
      <w:r w:rsidRPr="00005D70">
        <w:rPr>
          <w:highlight w:val="yellow"/>
        </w:rPr>
        <w:t>o</w:t>
      </w:r>
      <w:r w:rsidRPr="00005D70">
        <w:rPr>
          <w:highlight w:val="yellow"/>
        </w:rPr>
        <w:t>nes, como finalmente sucedió en el juicio oral.</w:t>
      </w:r>
    </w:p>
    <w:p w:rsidR="00224567" w:rsidRDefault="00224567">
      <w:pPr>
        <w:pStyle w:val="Textoindependiente"/>
        <w:tabs>
          <w:tab w:val="left" w:pos="2835"/>
        </w:tabs>
        <w:spacing w:line="600" w:lineRule="auto"/>
        <w:ind w:firstLine="2880"/>
      </w:pPr>
      <w:r>
        <w:t>La prueba producida en el debate re</w:t>
      </w:r>
      <w:r>
        <w:t>s</w:t>
      </w:r>
      <w:r>
        <w:t>pecto de este hecho y su trama, permitió que pudiera efe</w:t>
      </w:r>
      <w:r>
        <w:t>c</w:t>
      </w:r>
      <w:r>
        <w:t>tuarse una oportuna valoración jurídica en orden a las gr</w:t>
      </w:r>
      <w:r>
        <w:t>a</w:t>
      </w:r>
      <w:r>
        <w:t>vísimas acusaciones sobre la presunta participación de los imputados en el atentado; también incidió en la decisión que apartó al juez del trámite de la causa, y aportó ev</w:t>
      </w:r>
      <w:r>
        <w:t>i</w:t>
      </w:r>
      <w:r>
        <w:t>dencias al proceso iniciado contra los responsables de esa maniobra.</w:t>
      </w:r>
    </w:p>
    <w:p w:rsidR="00224567" w:rsidRDefault="00224567">
      <w:pPr>
        <w:pStyle w:val="Textoindependiente"/>
        <w:tabs>
          <w:tab w:val="left" w:pos="2835"/>
        </w:tabs>
        <w:spacing w:line="600" w:lineRule="auto"/>
        <w:ind w:firstLine="2880"/>
      </w:pPr>
      <w:r>
        <w:t>Debe destacarse que muchas resiste</w:t>
      </w:r>
      <w:r>
        <w:t>n</w:t>
      </w:r>
      <w:r>
        <w:t>cias y obstáculos debieron superarse para vencer la desnatural</w:t>
      </w:r>
      <w:r>
        <w:t>i</w:t>
      </w:r>
      <w:r>
        <w:t>zada utilización del secreto de estado, y la reserva que solo amparó la distorsión de la verdad.</w:t>
      </w:r>
    </w:p>
    <w:p w:rsidR="00224567" w:rsidRDefault="00224567">
      <w:pPr>
        <w:pStyle w:val="Textoindependiente"/>
        <w:tabs>
          <w:tab w:val="left" w:pos="2835"/>
        </w:tabs>
        <w:spacing w:line="600" w:lineRule="auto"/>
        <w:ind w:firstLine="2880"/>
      </w:pPr>
      <w:r>
        <w:t>El 15 de agosto de 2002 se requirió al secretario de inteligencia la desclasificación del sumario administrativo, recibido con anterioridad, para que las partes pudieran tener acceso (cónf. resolución registrada con el nº. 856, que luce a fs. 7458/7459 del legajo de in</w:t>
      </w:r>
      <w:r>
        <w:t>s</w:t>
      </w:r>
      <w:r>
        <w:t>trucción suplementaria).</w:t>
      </w:r>
    </w:p>
    <w:p w:rsidR="00224567" w:rsidRPr="00005D70" w:rsidRDefault="00224567">
      <w:pPr>
        <w:pStyle w:val="Textoindependiente"/>
        <w:tabs>
          <w:tab w:val="left" w:pos="2835"/>
        </w:tabs>
        <w:spacing w:line="600" w:lineRule="auto"/>
        <w:ind w:firstLine="2880"/>
        <w:rPr>
          <w:highlight w:val="yellow"/>
        </w:rPr>
      </w:pPr>
      <w:r w:rsidRPr="00005D70">
        <w:rPr>
          <w:highlight w:val="yellow"/>
        </w:rPr>
        <w:t>El 19 de septiembre de ese año, su t</w:t>
      </w:r>
      <w:r w:rsidRPr="00005D70">
        <w:rPr>
          <w:highlight w:val="yellow"/>
        </w:rPr>
        <w:t>i</w:t>
      </w:r>
      <w:r w:rsidRPr="00005D70">
        <w:rPr>
          <w:highlight w:val="yellow"/>
        </w:rPr>
        <w:t>tular, Miguel Ángel Toma, resolvió que no resultaba fact</w:t>
      </w:r>
      <w:r w:rsidRPr="00005D70">
        <w:rPr>
          <w:highlight w:val="yellow"/>
        </w:rPr>
        <w:t>i</w:t>
      </w:r>
      <w:r w:rsidRPr="00005D70">
        <w:rPr>
          <w:highlight w:val="yellow"/>
        </w:rPr>
        <w:t>ble modificar la clasificación de seguridad –de “Estrict</w:t>
      </w:r>
      <w:r w:rsidRPr="00005D70">
        <w:rPr>
          <w:highlight w:val="yellow"/>
        </w:rPr>
        <w:t>a</w:t>
      </w:r>
      <w:r w:rsidRPr="00005D70">
        <w:rPr>
          <w:highlight w:val="yellow"/>
        </w:rPr>
        <w:t>mente Secreto y Confidencial”- ni los recaudos tutelares señalados en la oportunidad en que remitió las actuaciones administrativas, invocando lo que a su criterio constituía una razón de Estado imperativa.</w:t>
      </w:r>
    </w:p>
    <w:p w:rsidR="00224567" w:rsidRDefault="00224567">
      <w:pPr>
        <w:pStyle w:val="Textoindependiente"/>
        <w:tabs>
          <w:tab w:val="left" w:pos="2835"/>
        </w:tabs>
        <w:spacing w:line="600" w:lineRule="auto"/>
        <w:ind w:firstLine="2880"/>
      </w:pPr>
      <w:r w:rsidRPr="00005D70">
        <w:rPr>
          <w:highlight w:val="yellow"/>
        </w:rPr>
        <w:t>Sostu</w:t>
      </w:r>
      <w:r>
        <w:t>vo, en esa ocasión, que: “Esta Institución ya ha cumplido con la carga procesal i</w:t>
      </w:r>
      <w:r>
        <w:t>m</w:t>
      </w:r>
      <w:r>
        <w:t>puesta, aunque se haya restringido su conocimiento en forma excl</w:t>
      </w:r>
      <w:r>
        <w:t>u</w:t>
      </w:r>
      <w:r>
        <w:t>siva y excluyente a los miembros del Tribunal, intentando con ello conjugar la máxima colabor</w:t>
      </w:r>
      <w:r>
        <w:t>a</w:t>
      </w:r>
      <w:r>
        <w:t>ción con la justicia y el debido resguardo del marco legal que la ley especial i</w:t>
      </w:r>
      <w:r>
        <w:t>m</w:t>
      </w:r>
      <w:r>
        <w:t>pone.”</w:t>
      </w:r>
    </w:p>
    <w:p w:rsidR="00224567" w:rsidRDefault="00224567">
      <w:pPr>
        <w:pStyle w:val="Textoindependiente"/>
        <w:tabs>
          <w:tab w:val="left" w:pos="2835"/>
        </w:tabs>
        <w:spacing w:line="600" w:lineRule="auto"/>
        <w:ind w:firstLine="2880"/>
      </w:pPr>
      <w:r>
        <w:t>Con ese criterio, se estableció una restricción absoluta a las partes, impidiéndoles toda pos</w:t>
      </w:r>
      <w:r>
        <w:t>i</w:t>
      </w:r>
      <w:r>
        <w:t>bilidad de acceder al conocimiento de las actuaciones adm</w:t>
      </w:r>
      <w:r>
        <w:t>i</w:t>
      </w:r>
      <w:r>
        <w:t>nistrativas, descartándose algún modo que no afectara la reserva con que se desarrollan las tareas de inteligencia del Estado.</w:t>
      </w:r>
    </w:p>
    <w:p w:rsidR="00224567" w:rsidRDefault="00224567">
      <w:pPr>
        <w:pStyle w:val="Textoindependiente"/>
        <w:tabs>
          <w:tab w:val="left" w:pos="2835"/>
        </w:tabs>
        <w:spacing w:line="600" w:lineRule="auto"/>
        <w:ind w:firstLine="2880"/>
      </w:pPr>
      <w:r>
        <w:t>Cabe detenerse en dos de los fundame</w:t>
      </w:r>
      <w:r>
        <w:t>n</w:t>
      </w:r>
      <w:r>
        <w:t>tos señalados por el funcionario en la respuesta de ref</w:t>
      </w:r>
      <w:r>
        <w:t>e</w:t>
      </w:r>
      <w:r>
        <w:t>rencia. Afirmó, por un lado, que no existían en el sumario “cuestiones que puedan ser novedosas para el conocimiento judicial ni el de las partes en el proceso..” y mas adela</w:t>
      </w:r>
      <w:r>
        <w:t>n</w:t>
      </w:r>
      <w:r>
        <w:t>te, agregó, que resultaba “..de la mayor importancia en e</w:t>
      </w:r>
      <w:r>
        <w:t>s</w:t>
      </w:r>
      <w:r>
        <w:t>ta etapa la máxima preservación de las líneas investigat</w:t>
      </w:r>
      <w:r>
        <w:t>i</w:t>
      </w:r>
      <w:r>
        <w:t>vas en trámite y, por ende, la de los agentes que al segu</w:t>
      </w:r>
      <w:r>
        <w:t>i</w:t>
      </w:r>
      <w:r>
        <w:t>miento de las mismas se e</w:t>
      </w:r>
      <w:r>
        <w:t>n</w:t>
      </w:r>
      <w:r>
        <w:t>cuentran dedicados, habida cuenta que lo contrario importa divulgar metodologías de labor operativa”.</w:t>
      </w:r>
    </w:p>
    <w:p w:rsidR="00224567" w:rsidRDefault="00224567">
      <w:pPr>
        <w:pStyle w:val="Textoindependiente"/>
        <w:tabs>
          <w:tab w:val="left" w:pos="2835"/>
        </w:tabs>
        <w:spacing w:line="600" w:lineRule="auto"/>
        <w:ind w:firstLine="2880"/>
      </w:pPr>
      <w:r>
        <w:t xml:space="preserve">Como puede observarse, el reemplazo del funcionario a cargo de </w:t>
      </w:r>
      <w:smartTag w:uri="urn:schemas-microsoft-com:office:smarttags" w:element="PersonName">
        <w:smartTagPr>
          <w:attr w:name="ProductID" w:val="la Secretar￭a"/>
        </w:smartTagPr>
        <w:r>
          <w:t>la Secretaría</w:t>
        </w:r>
      </w:smartTag>
      <w:r>
        <w:t xml:space="preserve"> de Inteligencia de E</w:t>
      </w:r>
      <w:r>
        <w:t>s</w:t>
      </w:r>
      <w:r>
        <w:t>tado no se tradujo en la modificación del cr</w:t>
      </w:r>
      <w:r>
        <w:t>i</w:t>
      </w:r>
      <w:r>
        <w:t>terio adoptado con relación al hecho del pago, ya que mientras el Dr. B</w:t>
      </w:r>
      <w:r>
        <w:t>e</w:t>
      </w:r>
      <w:r>
        <w:t>cerra no tuvo vocación de esclarece</w:t>
      </w:r>
      <w:r>
        <w:t>r</w:t>
      </w:r>
      <w:r>
        <w:t>lo, el secretario Toma no vaciló en recurrir a una ingeniosa argumentación para impedir el acceso a las actuaciones en las que supuestame</w:t>
      </w:r>
      <w:r>
        <w:t>n</w:t>
      </w:r>
      <w:r>
        <w:t>te había sido invest</w:t>
      </w:r>
      <w:r>
        <w:t>i</w:t>
      </w:r>
      <w:r>
        <w:t>gado.</w:t>
      </w:r>
    </w:p>
    <w:p w:rsidR="00224567" w:rsidRDefault="00224567">
      <w:pPr>
        <w:pStyle w:val="Textoindependiente"/>
        <w:tabs>
          <w:tab w:val="left" w:pos="2835"/>
        </w:tabs>
        <w:spacing w:line="600" w:lineRule="auto"/>
        <w:ind w:firstLine="2880"/>
      </w:pPr>
      <w:r>
        <w:t>El nombrado no podía desconocer que la sospecha de un pago a Telleldín, efectuado con din</w:t>
      </w:r>
      <w:r>
        <w:t>e</w:t>
      </w:r>
      <w:r>
        <w:t xml:space="preserve">ro y la intervención de funcionarios de </w:t>
      </w:r>
      <w:smartTag w:uri="urn:schemas-microsoft-com:office:smarttags" w:element="PersonName">
        <w:smartTagPr>
          <w:attr w:name="ProductID" w:val="la Secretaria"/>
        </w:smartTagPr>
        <w:r>
          <w:t>la Secretaria</w:t>
        </w:r>
      </w:smartTag>
      <w:r>
        <w:t xml:space="preserve"> de Intelige</w:t>
      </w:r>
      <w:r>
        <w:t>n</w:t>
      </w:r>
      <w:r>
        <w:t>cia, como así también el desconocimiento oficial invocado y mantenido por el organismo que en ese momento dirigía, cl</w:t>
      </w:r>
      <w:r>
        <w:t>a</w:t>
      </w:r>
      <w:r>
        <w:t>ramente constituían hechos de una relevancia sustancial en el trámite de la presente causa, por lo que en modo alguno podían ser relativizados bajo el parámetro de que no se trataba de una cue</w:t>
      </w:r>
      <w:r>
        <w:t>s</w:t>
      </w:r>
      <w:r>
        <w:t>tión novedosa.</w:t>
      </w:r>
    </w:p>
    <w:p w:rsidR="00224567" w:rsidRDefault="00224567">
      <w:pPr>
        <w:pStyle w:val="Textoindependiente"/>
        <w:tabs>
          <w:tab w:val="left" w:pos="2835"/>
        </w:tabs>
        <w:spacing w:line="600" w:lineRule="auto"/>
        <w:ind w:firstLine="2880"/>
      </w:pPr>
      <w:r>
        <w:t>Si bien era notorio que el organismo no admitía el pago, comportamiento que como se señalo en v</w:t>
      </w:r>
      <w:r>
        <w:t>a</w:t>
      </w:r>
      <w:r>
        <w:t>rias oportunidades se repitió en otros ámbitos, constituía toda una novedad saber quienes y cómo lo negaban, debiénd</w:t>
      </w:r>
      <w:r>
        <w:t>o</w:t>
      </w:r>
      <w:r>
        <w:t>se recordar que para esa época la cuestión era controvert</w:t>
      </w:r>
      <w:r>
        <w:t>i</w:t>
      </w:r>
      <w:r>
        <w:t>da en este proceso por la defensa de uno de los acusados con motivo de la declaración de Telleldín, y que, por otra parte, era objeto de indagación de otra investigación jud</w:t>
      </w:r>
      <w:r>
        <w:t>i</w:t>
      </w:r>
      <w:r>
        <w:t>cial.</w:t>
      </w:r>
    </w:p>
    <w:p w:rsidR="00224567" w:rsidRDefault="00224567">
      <w:pPr>
        <w:pStyle w:val="Textoindependiente"/>
        <w:tabs>
          <w:tab w:val="left" w:pos="2835"/>
        </w:tabs>
        <w:spacing w:line="600" w:lineRule="auto"/>
        <w:ind w:firstLine="2880"/>
      </w:pPr>
      <w:r>
        <w:t>Corresponde señalar también, que el c</w:t>
      </w:r>
      <w:r>
        <w:t>o</w:t>
      </w:r>
      <w:r>
        <w:t>nocimiento puntual de las actuaciones del sumario, en orden a la negación de la existencia del pago, no afectaba ni p</w:t>
      </w:r>
      <w:r>
        <w:t>o</w:t>
      </w:r>
      <w:r>
        <w:t>nía en riesgo ninguna línea investigativa en trámite –se aludió indirectamente a la conexión internacional-, a e</w:t>
      </w:r>
      <w:r>
        <w:t>x</w:t>
      </w:r>
      <w:r>
        <w:t>cepción de la que se había originado con la propia retrib</w:t>
      </w:r>
      <w:r>
        <w:t>u</w:t>
      </w:r>
      <w:r>
        <w:t>ción económica a Telleldín; dicho pago tampoco podía rel</w:t>
      </w:r>
      <w:r>
        <w:t>a</w:t>
      </w:r>
      <w:r>
        <w:t>cionarse con la divulgación de una metodología de labor operativa, a excepción de que se estuviera partiendo de un juicio no explicitado por el funcionario acerca de que c</w:t>
      </w:r>
      <w:r>
        <w:t>o</w:t>
      </w:r>
      <w:r>
        <w:t>nocía la verdadera situación pero que no le asignaba un contenido de ilicitud.</w:t>
      </w:r>
    </w:p>
    <w:p w:rsidR="00224567" w:rsidRDefault="00224567">
      <w:pPr>
        <w:pStyle w:val="Textoindependiente2"/>
        <w:widowControl w:val="0"/>
        <w:tabs>
          <w:tab w:val="left" w:pos="2835"/>
        </w:tabs>
        <w:ind w:firstLine="2880"/>
        <w:rPr>
          <w:rFonts w:ascii="Courier New" w:hAnsi="Courier New"/>
          <w:bCs/>
        </w:rPr>
      </w:pPr>
      <w:r>
        <w:rPr>
          <w:rFonts w:ascii="Courier New" w:hAnsi="Courier New"/>
          <w:bCs/>
        </w:rPr>
        <w:t>Pero no fue esta la única desafortun</w:t>
      </w:r>
      <w:r>
        <w:rPr>
          <w:rFonts w:ascii="Courier New" w:hAnsi="Courier New"/>
          <w:bCs/>
        </w:rPr>
        <w:t>a</w:t>
      </w:r>
      <w:r>
        <w:rPr>
          <w:rFonts w:ascii="Courier New" w:hAnsi="Courier New"/>
          <w:bCs/>
        </w:rPr>
        <w:t>da intervención del Secretario Toma. En la oportun</w:t>
      </w:r>
      <w:r>
        <w:rPr>
          <w:rFonts w:ascii="Courier New" w:hAnsi="Courier New"/>
          <w:bCs/>
        </w:rPr>
        <w:t>i</w:t>
      </w:r>
      <w:r>
        <w:rPr>
          <w:rFonts w:ascii="Courier New" w:hAnsi="Courier New"/>
          <w:bCs/>
        </w:rPr>
        <w:t>dad en que el Tribunal citó a prestar declaración te</w:t>
      </w:r>
      <w:r>
        <w:rPr>
          <w:rFonts w:ascii="Courier New" w:hAnsi="Courier New"/>
          <w:bCs/>
        </w:rPr>
        <w:t>s</w:t>
      </w:r>
      <w:r>
        <w:rPr>
          <w:rFonts w:ascii="Courier New" w:hAnsi="Courier New"/>
          <w:bCs/>
        </w:rPr>
        <w:t>timonial al agente Salvador Maiolo, aquel hizo saber -mediante resol</w:t>
      </w:r>
      <w:r>
        <w:rPr>
          <w:rFonts w:ascii="Courier New" w:hAnsi="Courier New"/>
          <w:bCs/>
        </w:rPr>
        <w:t>u</w:t>
      </w:r>
      <w:r>
        <w:rPr>
          <w:rFonts w:ascii="Courier New" w:hAnsi="Courier New"/>
          <w:bCs/>
        </w:rPr>
        <w:t>ciones nros. 35 y 43 del 21 y el 29 de enero de 2003, re</w:t>
      </w:r>
      <w:r>
        <w:rPr>
          <w:rFonts w:ascii="Courier New" w:hAnsi="Courier New"/>
          <w:bCs/>
        </w:rPr>
        <w:t>s</w:t>
      </w:r>
      <w:r>
        <w:rPr>
          <w:rFonts w:ascii="Courier New" w:hAnsi="Courier New"/>
          <w:bCs/>
        </w:rPr>
        <w:t>pectivamente- que no se verificaban los presupuestos no</w:t>
      </w:r>
      <w:r>
        <w:rPr>
          <w:rFonts w:ascii="Courier New" w:hAnsi="Courier New"/>
          <w:bCs/>
        </w:rPr>
        <w:t>r</w:t>
      </w:r>
      <w:r>
        <w:rPr>
          <w:rFonts w:ascii="Courier New" w:hAnsi="Courier New"/>
          <w:bCs/>
        </w:rPr>
        <w:t>mativos del decreto 41/2003 para que el testigo fuera r</w:t>
      </w:r>
      <w:r>
        <w:rPr>
          <w:rFonts w:ascii="Courier New" w:hAnsi="Courier New"/>
          <w:bCs/>
        </w:rPr>
        <w:t>e</w:t>
      </w:r>
      <w:r>
        <w:rPr>
          <w:rFonts w:ascii="Courier New" w:hAnsi="Courier New"/>
          <w:bCs/>
        </w:rPr>
        <w:t>levado del secreto, ya que no se desempeñaba en cargos j</w:t>
      </w:r>
      <w:r>
        <w:rPr>
          <w:rFonts w:ascii="Courier New" w:hAnsi="Courier New"/>
          <w:bCs/>
        </w:rPr>
        <w:t>e</w:t>
      </w:r>
      <w:r>
        <w:rPr>
          <w:rFonts w:ascii="Courier New" w:hAnsi="Courier New"/>
          <w:bCs/>
        </w:rPr>
        <w:t>rárquicos y solo había realizado tareas administrativas desde su designación.</w:t>
      </w:r>
    </w:p>
    <w:p w:rsidR="00224567" w:rsidRDefault="00224567">
      <w:pPr>
        <w:widowControl w:val="0"/>
        <w:tabs>
          <w:tab w:val="left" w:pos="2835"/>
        </w:tabs>
        <w:ind w:firstLine="2880"/>
      </w:pPr>
      <w:r>
        <w:t>Si bien se amparó en la  interpret</w:t>
      </w:r>
      <w:r>
        <w:t>a</w:t>
      </w:r>
      <w:r>
        <w:t>ción del  decreto que regía  la  materia a  ese momento -posteriormente anulado por el Tribunal, por último derog</w:t>
      </w:r>
      <w:r>
        <w:t>a</w:t>
      </w:r>
      <w:r>
        <w:t>do- lo cierto es que Maiolo, conforme a lo que d</w:t>
      </w:r>
      <w:r>
        <w:t>e</w:t>
      </w:r>
      <w:r>
        <w:t>claró en la audiencia, cumplió una importante función operativa en la maniobra del pago que excedía su caracterización como empleado administrativo, al punto que fue interrogado co</w:t>
      </w:r>
      <w:r>
        <w:t>n</w:t>
      </w:r>
      <w:r>
        <w:t>cretamente por ese tema en el sumario interno que a esa fecha continuaba siendo clasif</w:t>
      </w:r>
      <w:r>
        <w:t>i</w:t>
      </w:r>
      <w:r>
        <w:t xml:space="preserve">cado, circunstancias estas que el ex titular de </w:t>
      </w:r>
      <w:smartTag w:uri="urn:schemas-microsoft-com:office:smarttags" w:element="PersonName">
        <w:smartTagPr>
          <w:attr w:name="ProductID" w:val="la Secretaria"/>
        </w:smartTagPr>
        <w:r>
          <w:t>la Secretaria</w:t>
        </w:r>
      </w:smartTag>
      <w:r>
        <w:t xml:space="preserve"> de Inteligencia no p</w:t>
      </w:r>
      <w:r>
        <w:t>o</w:t>
      </w:r>
      <w:r>
        <w:t>día desconocer y dejar de ponderar frente a un requer</w:t>
      </w:r>
      <w:r>
        <w:t>i</w:t>
      </w:r>
      <w:r>
        <w:t>miento judicial fundado.</w:t>
      </w:r>
    </w:p>
    <w:p w:rsidR="00224567" w:rsidRDefault="00224567">
      <w:pPr>
        <w:pStyle w:val="Textoindependiente2"/>
        <w:widowControl w:val="0"/>
        <w:tabs>
          <w:tab w:val="left" w:pos="2835"/>
        </w:tabs>
        <w:ind w:firstLine="2880"/>
        <w:rPr>
          <w:rFonts w:ascii="Courier New" w:hAnsi="Courier New"/>
          <w:bCs/>
        </w:rPr>
      </w:pPr>
      <w:r>
        <w:rPr>
          <w:rFonts w:ascii="Courier New" w:hAnsi="Courier New" w:cs="Courier New"/>
          <w:b/>
          <w:bCs/>
        </w:rPr>
        <w:t>V.5.e)</w:t>
      </w:r>
      <w:r>
        <w:rPr>
          <w:rFonts w:ascii="Courier New" w:hAnsi="Courier New" w:cs="Courier New"/>
          <w:bCs/>
        </w:rPr>
        <w:t xml:space="preserve"> </w:t>
      </w:r>
      <w:r>
        <w:rPr>
          <w:rFonts w:ascii="Courier New" w:hAnsi="Courier New"/>
          <w:bCs/>
        </w:rPr>
        <w:t>A continuación se expondrá en forma general las distintas etapas e incidencias del pr</w:t>
      </w:r>
      <w:r>
        <w:rPr>
          <w:rFonts w:ascii="Courier New" w:hAnsi="Courier New"/>
          <w:bCs/>
        </w:rPr>
        <w:t>o</w:t>
      </w:r>
      <w:r>
        <w:rPr>
          <w:rFonts w:ascii="Courier New" w:hAnsi="Courier New"/>
          <w:bCs/>
        </w:rPr>
        <w:t>ceso que demandó la desclasificación del sumario admini</w:t>
      </w:r>
      <w:r>
        <w:rPr>
          <w:rFonts w:ascii="Courier New" w:hAnsi="Courier New"/>
          <w:bCs/>
        </w:rPr>
        <w:t>s</w:t>
      </w:r>
      <w:r>
        <w:rPr>
          <w:rFonts w:ascii="Courier New" w:hAnsi="Courier New"/>
          <w:bCs/>
        </w:rPr>
        <w:t>trativo nº 540/00 y la concurrencia al debate de funcion</w:t>
      </w:r>
      <w:r>
        <w:rPr>
          <w:rFonts w:ascii="Courier New" w:hAnsi="Courier New"/>
          <w:bCs/>
        </w:rPr>
        <w:t>a</w:t>
      </w:r>
      <w:r>
        <w:rPr>
          <w:rFonts w:ascii="Courier New" w:hAnsi="Courier New"/>
          <w:bCs/>
        </w:rPr>
        <w:t xml:space="preserve">rios y ex funcionarios de </w:t>
      </w:r>
      <w:smartTag w:uri="urn:schemas-microsoft-com:office:smarttags" w:element="PersonName">
        <w:smartTagPr>
          <w:attr w:name="ProductID" w:val="la Secretaria"/>
        </w:smartTagPr>
        <w:r>
          <w:rPr>
            <w:rFonts w:ascii="Courier New" w:hAnsi="Courier New"/>
            <w:bCs/>
          </w:rPr>
          <w:t>la Secretaria</w:t>
        </w:r>
      </w:smartTag>
      <w:r>
        <w:rPr>
          <w:rFonts w:ascii="Courier New" w:hAnsi="Courier New"/>
          <w:bCs/>
        </w:rPr>
        <w:t xml:space="preserve"> de I</w:t>
      </w:r>
      <w:r>
        <w:rPr>
          <w:rFonts w:ascii="Courier New" w:hAnsi="Courier New"/>
          <w:bCs/>
        </w:rPr>
        <w:t>n</w:t>
      </w:r>
      <w:r>
        <w:rPr>
          <w:rFonts w:ascii="Courier New" w:hAnsi="Courier New"/>
          <w:bCs/>
        </w:rPr>
        <w:t>teligencia.</w:t>
      </w:r>
    </w:p>
    <w:p w:rsidR="00224567" w:rsidRDefault="00224567">
      <w:pPr>
        <w:pStyle w:val="Textoindependiente2"/>
        <w:ind w:firstLine="2880"/>
        <w:rPr>
          <w:rFonts w:ascii="Courier New" w:hAnsi="Courier New"/>
          <w:bCs/>
        </w:rPr>
      </w:pPr>
      <w:r>
        <w:rPr>
          <w:rFonts w:ascii="Courier New" w:hAnsi="Courier New"/>
          <w:bCs/>
        </w:rPr>
        <w:t>El contenido de todo ese extenso y controvertido trámite pone de manifiesto el riesgo y la responsabilidad que encierra para el Estado sustraer del conocimiento del Poder Judicial información sobre asuntos que pueden afectar, gravemente, derechos ind</w:t>
      </w:r>
      <w:r>
        <w:rPr>
          <w:rFonts w:ascii="Courier New" w:hAnsi="Courier New"/>
          <w:bCs/>
        </w:rPr>
        <w:t>i</w:t>
      </w:r>
      <w:r>
        <w:rPr>
          <w:rFonts w:ascii="Courier New" w:hAnsi="Courier New"/>
          <w:bCs/>
        </w:rPr>
        <w:t>viduales, aun frente a reales razones de orden publico que pudieran t</w:t>
      </w:r>
      <w:r>
        <w:rPr>
          <w:rFonts w:ascii="Courier New" w:hAnsi="Courier New"/>
          <w:bCs/>
        </w:rPr>
        <w:t>e</w:t>
      </w:r>
      <w:r>
        <w:rPr>
          <w:rFonts w:ascii="Courier New" w:hAnsi="Courier New"/>
          <w:bCs/>
        </w:rPr>
        <w:t>ner vinculación con su seguridad y la de sus habitantes. Todo acto de la administración debe ajustarse a la const</w:t>
      </w:r>
      <w:r>
        <w:rPr>
          <w:rFonts w:ascii="Courier New" w:hAnsi="Courier New"/>
          <w:bCs/>
        </w:rPr>
        <w:t>i</w:t>
      </w:r>
      <w:r>
        <w:rPr>
          <w:rFonts w:ascii="Courier New" w:hAnsi="Courier New"/>
          <w:bCs/>
        </w:rPr>
        <w:t>tución y a las leyes, de lo co</w:t>
      </w:r>
      <w:r>
        <w:rPr>
          <w:rFonts w:ascii="Courier New" w:hAnsi="Courier New"/>
          <w:bCs/>
        </w:rPr>
        <w:t>n</w:t>
      </w:r>
      <w:r>
        <w:rPr>
          <w:rFonts w:ascii="Courier New" w:hAnsi="Courier New"/>
          <w:bCs/>
        </w:rPr>
        <w:t>trario se corre el riesgo, como parece sucedió en la especie, que se invoque la r</w:t>
      </w:r>
      <w:r>
        <w:rPr>
          <w:rFonts w:ascii="Courier New" w:hAnsi="Courier New"/>
          <w:bCs/>
        </w:rPr>
        <w:t>e</w:t>
      </w:r>
      <w:r>
        <w:rPr>
          <w:rFonts w:ascii="Courier New" w:hAnsi="Courier New"/>
          <w:bCs/>
        </w:rPr>
        <w:t>serva para poner a re</w:t>
      </w:r>
      <w:r>
        <w:rPr>
          <w:rFonts w:ascii="Courier New" w:hAnsi="Courier New"/>
          <w:bCs/>
        </w:rPr>
        <w:t>s</w:t>
      </w:r>
      <w:r>
        <w:rPr>
          <w:rFonts w:ascii="Courier New" w:hAnsi="Courier New"/>
          <w:bCs/>
        </w:rPr>
        <w:t>guardo una actuación ilegal.</w:t>
      </w:r>
    </w:p>
    <w:p w:rsidR="00224567" w:rsidRDefault="00224567">
      <w:pPr>
        <w:pStyle w:val="Sangradetextonormal"/>
        <w:ind w:firstLine="2880"/>
      </w:pPr>
      <w:r>
        <w:t>Las resoluciones y normas que se me</w:t>
      </w:r>
      <w:r>
        <w:t>n</w:t>
      </w:r>
      <w:r>
        <w:t>cionarán son públicas y las medidas ordenadas han cumplido su efecto durante la etapa de recepción de la prueba. En consecuencia, solo habrá de efectuarse una exposición cr</w:t>
      </w:r>
      <w:r>
        <w:t>o</w:t>
      </w:r>
      <w:r>
        <w:t>nológica acompañada de explicaciones suficientes para un correcto entendimiento del juicio que acaba de formularse.</w:t>
      </w:r>
    </w:p>
    <w:p w:rsidR="00224567" w:rsidRDefault="00224567">
      <w:pPr>
        <w:pStyle w:val="Sangradetextonormal"/>
        <w:ind w:firstLine="2880"/>
      </w:pPr>
      <w:r>
        <w:rPr>
          <w:b/>
          <w:bCs/>
        </w:rPr>
        <w:t>V.5.e.i)</w:t>
      </w:r>
      <w:r>
        <w:rPr>
          <w:bCs/>
        </w:rPr>
        <w:t xml:space="preserve"> </w:t>
      </w:r>
      <w:r>
        <w:t>El 16 de julio de 2001 se proveyó, a fs. 94.825/94.898, la prueba testimonial ofr</w:t>
      </w:r>
      <w:r>
        <w:t>e</w:t>
      </w:r>
      <w:r>
        <w:t xml:space="preserve">cida por las partes y se hizo lugar a </w:t>
      </w:r>
      <w:r w:rsidRPr="007859CB">
        <w:rPr>
          <w:highlight w:val="yellow"/>
        </w:rPr>
        <w:t>las declar</w:t>
      </w:r>
      <w:r w:rsidRPr="007859CB">
        <w:rPr>
          <w:highlight w:val="yellow"/>
        </w:rPr>
        <w:t>a</w:t>
      </w:r>
      <w:r w:rsidRPr="007859CB">
        <w:rPr>
          <w:highlight w:val="yellow"/>
        </w:rPr>
        <w:t>ciones de Hugo Alfredo Anzorreguy, Carlos María Pablo Lavie, Jorge Norberto Igounet, Juan Carlos Gervasoni, Jorge Nicanor Bouzas, Néstor Ricardo Hernández, Juan Carlos Anchézar, Rodrigo Toranzo, Daniel Ricardo Romero, José Tomás Alba Posse, Jorge Lucas, Patricio Fi</w:t>
      </w:r>
      <w:r w:rsidRPr="007859CB">
        <w:rPr>
          <w:highlight w:val="yellow"/>
        </w:rPr>
        <w:t>n</w:t>
      </w:r>
      <w:r w:rsidRPr="007859CB">
        <w:rPr>
          <w:highlight w:val="yellow"/>
        </w:rPr>
        <w:t>nen, Alejandro Brousson y Horacio Ant</w:t>
      </w:r>
      <w:r w:rsidRPr="007859CB">
        <w:rPr>
          <w:highlight w:val="yellow"/>
        </w:rPr>
        <w:t>o</w:t>
      </w:r>
      <w:r w:rsidRPr="007859CB">
        <w:rPr>
          <w:highlight w:val="yellow"/>
        </w:rPr>
        <w:t>nio Stiuso (cónf. resolución registrada</w:t>
      </w:r>
      <w:r>
        <w:t xml:space="preserve"> con el nº. 788).</w:t>
      </w:r>
    </w:p>
    <w:p w:rsidR="00224567" w:rsidRDefault="00224567">
      <w:pPr>
        <w:ind w:firstLine="2880"/>
      </w:pPr>
      <w:r>
        <w:rPr>
          <w:b/>
          <w:bCs/>
        </w:rPr>
        <w:t>V.5.e.ii</w:t>
      </w:r>
      <w:r>
        <w:rPr>
          <w:b/>
        </w:rPr>
        <w:t>)</w:t>
      </w:r>
      <w:r>
        <w:t xml:space="preserve"> El 17 de octubre de 2001 se requirió a fs. 95.621/95.622 al señor Presidente de </w:t>
      </w:r>
      <w:smartTag w:uri="urn:schemas-microsoft-com:office:smarttags" w:element="PersonName">
        <w:smartTagPr>
          <w:attr w:name="ProductID" w:val="la Naci￳n"/>
        </w:smartTagPr>
        <w:r>
          <w:t>la N</w:t>
        </w:r>
        <w:r>
          <w:t>a</w:t>
        </w:r>
        <w:r>
          <w:t>ción</w:t>
        </w:r>
      </w:smartTag>
      <w:r>
        <w:t xml:space="preserve"> que releve de la obligación de guardar secr</w:t>
      </w:r>
      <w:r>
        <w:t>e</w:t>
      </w:r>
      <w:r>
        <w:t xml:space="preserve">to a los funcionarios y ex funcionarios de </w:t>
      </w:r>
      <w:smartTag w:uri="urn:schemas-microsoft-com:office:smarttags" w:element="PersonName">
        <w:smartTagPr>
          <w:attr w:name="ProductID" w:val="la S.I"/>
        </w:smartTagPr>
        <w:r>
          <w:t>la S.I</w:t>
        </w:r>
      </w:smartTag>
      <w:r>
        <w:t>.D.E. que fueron admitidos como testigos del debate (cónf. resolución r</w:t>
      </w:r>
      <w:r>
        <w:t>e</w:t>
      </w:r>
      <w:r>
        <w:t>gistr</w:t>
      </w:r>
      <w:r>
        <w:t>a</w:t>
      </w:r>
      <w:r>
        <w:t>da con nº 809).</w:t>
      </w:r>
    </w:p>
    <w:p w:rsidR="00224567" w:rsidRDefault="00224567">
      <w:pPr>
        <w:ind w:firstLine="2880"/>
      </w:pPr>
      <w:r>
        <w:rPr>
          <w:b/>
          <w:bCs/>
        </w:rPr>
        <w:t>V.5.e.iii)</w:t>
      </w:r>
      <w:r>
        <w:t xml:space="preserve"> Mediante decreto nº 490/2002</w:t>
      </w:r>
      <w:r>
        <w:rPr>
          <w:b/>
        </w:rPr>
        <w:t xml:space="preserve"> </w:t>
      </w:r>
      <w:r>
        <w:t>de fecha 12 de marzo de 2002, el ex titular del Poder Ejecutivo Nacional, el Dr. Eduardo Alberto Duhalde, relevó al ex s</w:t>
      </w:r>
      <w:r>
        <w:t>e</w:t>
      </w:r>
      <w:r>
        <w:t>cretario de inteligencia Hugo Anzorreguy de la obligación de guardar secreto, y autorizó a que se h</w:t>
      </w:r>
      <w:r>
        <w:t>i</w:t>
      </w:r>
      <w:r>
        <w:t>ciera lo propio respecto de los funcionarios y ex funci</w:t>
      </w:r>
      <w:r>
        <w:t>o</w:t>
      </w:r>
      <w:r>
        <w:t>narios mencionados en la resolución del Tribunal, a fin de que pudieran declarar como testigos respecto de las act</w:t>
      </w:r>
      <w:r>
        <w:t>i</w:t>
      </w:r>
      <w:r>
        <w:t>vidades desarrolladas por ese organismo en la investig</w:t>
      </w:r>
      <w:r>
        <w:t>a</w:t>
      </w:r>
      <w:r>
        <w:t>ción judicial del atentado.</w:t>
      </w:r>
    </w:p>
    <w:p w:rsidR="00224567" w:rsidRDefault="00224567">
      <w:pPr>
        <w:ind w:firstLine="2880"/>
      </w:pPr>
      <w:r>
        <w:t>El artículo 3º de la norma establ</w:t>
      </w:r>
      <w:r>
        <w:t>e</w:t>
      </w:r>
      <w:r>
        <w:t>cía que las autorizaciones conferidas no alcanzaban a los a</w:t>
      </w:r>
      <w:r>
        <w:t>c</w:t>
      </w:r>
      <w:r>
        <w:t>tos o hechos que involucraran a ciudadanos de terceros E</w:t>
      </w:r>
      <w:r>
        <w:t>s</w:t>
      </w:r>
      <w:r>
        <w:t>tados o que tuvieran relación con los servicios de intel</w:t>
      </w:r>
      <w:r>
        <w:t>i</w:t>
      </w:r>
      <w:r>
        <w:t>gencia extranjeros.</w:t>
      </w:r>
    </w:p>
    <w:p w:rsidR="00224567" w:rsidRDefault="00224567">
      <w:pPr>
        <w:ind w:firstLine="2880"/>
      </w:pPr>
      <w:r>
        <w:rPr>
          <w:b/>
          <w:bCs/>
        </w:rPr>
        <w:t>V.5.e.iv)</w:t>
      </w:r>
      <w:r>
        <w:t xml:space="preserve"> El 08 de agosto de 2002 se solicitó, a fs. 111.110/111.111, al titular del Poder Ej</w:t>
      </w:r>
      <w:r>
        <w:t>e</w:t>
      </w:r>
      <w:r>
        <w:t>cutivo Nacional reviera la limitación dispuesta en el art. 3º del decreto 490/2002, explicada en el párr</w:t>
      </w:r>
      <w:r>
        <w:t>a</w:t>
      </w:r>
      <w:r>
        <w:t>fo anterior, debido a que se obstruía, de manera ev</w:t>
      </w:r>
      <w:r>
        <w:t>i</w:t>
      </w:r>
      <w:r>
        <w:t>dente, el accionar de la justicia, toda vez que comprometía el debido escl</w:t>
      </w:r>
      <w:r>
        <w:t>a</w:t>
      </w:r>
      <w:r>
        <w:t>recimiento de los hechos materia de juzgamiento, al ac</w:t>
      </w:r>
      <w:r>
        <w:t>o</w:t>
      </w:r>
      <w:r>
        <w:t>tarse, la posibilidad de que se pudiera interrogar sobre circunstancias que fueron o</w:t>
      </w:r>
      <w:r>
        <w:t>b</w:t>
      </w:r>
      <w:r>
        <w:t>jeto de la investigación de la causa (cónf. resolución registrada con nº 854).</w:t>
      </w:r>
    </w:p>
    <w:p w:rsidR="00224567" w:rsidRDefault="00224567">
      <w:pPr>
        <w:ind w:firstLine="2880"/>
      </w:pPr>
      <w:r>
        <w:rPr>
          <w:b/>
          <w:bCs/>
        </w:rPr>
        <w:t>V.5.e.v</w:t>
      </w:r>
      <w:r>
        <w:rPr>
          <w:b/>
        </w:rPr>
        <w:t>)</w:t>
      </w:r>
      <w:r>
        <w:t xml:space="preserve"> El 15 de octubre de ese año (ver fs. 7633/7637 del legajo de instrucción suplement</w:t>
      </w:r>
      <w:r>
        <w:t>a</w:t>
      </w:r>
      <w:r>
        <w:t xml:space="preserve">ria), se instó al señor Presidente de </w:t>
      </w:r>
      <w:smartTag w:uri="urn:schemas-microsoft-com:office:smarttags" w:element="PersonName">
        <w:smartTagPr>
          <w:attr w:name="ProductID" w:val="la Naci￳n"/>
        </w:smartTagPr>
        <w:r>
          <w:t>la Nación</w:t>
        </w:r>
      </w:smartTag>
      <w:r>
        <w:t>, Dr. Eduardo Alberto Duhalde, a efectos que reconsiderase –en atención a la negativa del secretario de inteligencia T</w:t>
      </w:r>
      <w:r>
        <w:t>o</w:t>
      </w:r>
      <w:r>
        <w:t>ma, tratada en el capítulo anterior- la solicitud de de</w:t>
      </w:r>
      <w:r>
        <w:t>s</w:t>
      </w:r>
      <w:r>
        <w:t>clasificación del sumario administrativo, preservándose previo testado, aquellas circunstancias que reflejen el modo de operar del organismo y la identidad de sus agentes (cónf. resolución registrada con el nº 863).</w:t>
      </w:r>
    </w:p>
    <w:p w:rsidR="00224567" w:rsidRDefault="00224567">
      <w:pPr>
        <w:ind w:firstLine="2880"/>
      </w:pPr>
      <w:r>
        <w:rPr>
          <w:b/>
          <w:bCs/>
        </w:rPr>
        <w:t>V.5.e.vi</w:t>
      </w:r>
      <w:r>
        <w:rPr>
          <w:b/>
        </w:rPr>
        <w:t>)</w:t>
      </w:r>
      <w:r>
        <w:t xml:space="preserve"> El 27 de diciembre de 2002 se dio lectura en la audiencia de debate, a la resol</w:t>
      </w:r>
      <w:r>
        <w:t>u</w:t>
      </w:r>
      <w:r>
        <w:t>ción del Tribunal que dispuso citar a Salvador Maiolo a prestar d</w:t>
      </w:r>
      <w:r>
        <w:t>e</w:t>
      </w:r>
      <w:r>
        <w:t>claración testimonial.</w:t>
      </w:r>
    </w:p>
    <w:p w:rsidR="00224567" w:rsidRDefault="00224567">
      <w:pPr>
        <w:ind w:firstLine="2880"/>
      </w:pPr>
      <w:r>
        <w:rPr>
          <w:b/>
          <w:bCs/>
        </w:rPr>
        <w:t>V.5.e.vii</w:t>
      </w:r>
      <w:r>
        <w:rPr>
          <w:b/>
        </w:rPr>
        <w:t>)</w:t>
      </w:r>
      <w:r>
        <w:t xml:space="preserve"> Fue publicado en la ed</w:t>
      </w:r>
      <w:r>
        <w:t>i</w:t>
      </w:r>
      <w:r>
        <w:t>ción del 9 de enero de 2003 del Boletín Oficial el decreto nº 41/2003, que autorizó al secretario de inteligencia a r</w:t>
      </w:r>
      <w:r>
        <w:t>e</w:t>
      </w:r>
      <w:r>
        <w:t>levar, exclusivamente, de la obligación de guardar secr</w:t>
      </w:r>
      <w:r>
        <w:t>e</w:t>
      </w:r>
      <w:r>
        <w:t>to, a los directores de dependencias y a sus correspo</w:t>
      </w:r>
      <w:r>
        <w:t>n</w:t>
      </w:r>
      <w:r>
        <w:t>dientes jefes de operaciones que se avocaron al cumpl</w:t>
      </w:r>
      <w:r>
        <w:t>i</w:t>
      </w:r>
      <w:r>
        <w:t>miento de ordenes judiciales impartidas en la investig</w:t>
      </w:r>
      <w:r>
        <w:t>a</w:t>
      </w:r>
      <w:r>
        <w:t>ción judicial,  argumentándose que en la práctica se había ampliado los temas del interrogatorio de los testigos e</w:t>
      </w:r>
      <w:r>
        <w:t>x</w:t>
      </w:r>
      <w:r>
        <w:t>ceptuados.</w:t>
      </w:r>
    </w:p>
    <w:p w:rsidR="00224567" w:rsidRDefault="00224567">
      <w:pPr>
        <w:ind w:firstLine="2880"/>
      </w:pPr>
      <w:r>
        <w:t>El articulo 2º de la norma establ</w:t>
      </w:r>
      <w:r>
        <w:t>e</w:t>
      </w:r>
      <w:r>
        <w:t>ció que las autorizaciones conferidas respecto de Hugo Anz</w:t>
      </w:r>
      <w:r>
        <w:t>o</w:t>
      </w:r>
      <w:r>
        <w:t>rreguy y los funcionarios jerárquicos anteriormente señ</w:t>
      </w:r>
      <w:r>
        <w:t>a</w:t>
      </w:r>
      <w:r>
        <w:t>lados, directores y jefes, no alcanzaban a los actos o h</w:t>
      </w:r>
      <w:r>
        <w:t>e</w:t>
      </w:r>
      <w:r>
        <w:t>chos que involucraran a ciudadanos de terceros Estados r</w:t>
      </w:r>
      <w:r>
        <w:t>e</w:t>
      </w:r>
      <w:r>
        <w:t>lacionados con servicios de inteligencia extranjeros que hubieran cooperado con la investigación judicial y tamp</w:t>
      </w:r>
      <w:r>
        <w:t>o</w:t>
      </w:r>
      <w:r>
        <w:t>co comprendía la divulgación de secretos que pudieran compr</w:t>
      </w:r>
      <w:r>
        <w:t>o</w:t>
      </w:r>
      <w:r>
        <w:t>meter la seguridad del Estado o datos que pudieran poner en peligro líneas investigat</w:t>
      </w:r>
      <w:r>
        <w:t>i</w:t>
      </w:r>
      <w:r>
        <w:t>vas en trámite.</w:t>
      </w:r>
    </w:p>
    <w:p w:rsidR="00224567" w:rsidRDefault="00224567">
      <w:pPr>
        <w:ind w:firstLine="2880"/>
      </w:pPr>
      <w:r>
        <w:rPr>
          <w:b/>
          <w:bCs/>
        </w:rPr>
        <w:t>V.5.e.viii</w:t>
      </w:r>
      <w:r>
        <w:rPr>
          <w:b/>
        </w:rPr>
        <w:t xml:space="preserve">) </w:t>
      </w:r>
      <w:r>
        <w:t>Mediante decreto nº 116/2003</w:t>
      </w:r>
      <w:r>
        <w:rPr>
          <w:b/>
        </w:rPr>
        <w:t xml:space="preserve">, </w:t>
      </w:r>
      <w:r>
        <w:t>publicado en el Boletín Oficial el</w:t>
      </w:r>
      <w:r>
        <w:rPr>
          <w:b/>
        </w:rPr>
        <w:t xml:space="preserve"> </w:t>
      </w:r>
      <w:r>
        <w:t>23 de enero de 2003, el ex titular del Poder Ejecutivo Nacional disp</w:t>
      </w:r>
      <w:r>
        <w:t>u</w:t>
      </w:r>
      <w:r>
        <w:t>so ratificar el criterio del  secretario  de int</w:t>
      </w:r>
      <w:r>
        <w:t>e</w:t>
      </w:r>
      <w:r>
        <w:t>ligencia –Sr. Toma-, manteniendo la clasificación de seguridad oportunamente asignada a la totalidad de las actuaciones en las que se tramitó el sumario admini</w:t>
      </w:r>
      <w:r>
        <w:t>s</w:t>
      </w:r>
      <w:r>
        <w:t>trativo nº 540/00.</w:t>
      </w:r>
    </w:p>
    <w:p w:rsidR="00224567" w:rsidRDefault="00224567">
      <w:pPr>
        <w:ind w:firstLine="2880"/>
      </w:pPr>
      <w:r>
        <w:rPr>
          <w:b/>
          <w:bCs/>
        </w:rPr>
        <w:t>V.5.e.ix</w:t>
      </w:r>
      <w:r>
        <w:rPr>
          <w:b/>
        </w:rPr>
        <w:t>)</w:t>
      </w:r>
      <w:r>
        <w:t xml:space="preserve"> El 21 y 29 de enero de 2003 mediante resoluciones nº 35 y 48, respectivamente, el s</w:t>
      </w:r>
      <w:r>
        <w:t>e</w:t>
      </w:r>
      <w:r>
        <w:t>cretario de inteligencia Toma comunicó que respecto del agente Héctor Salvador Maiolo, citado como te</w:t>
      </w:r>
      <w:r>
        <w:t>s</w:t>
      </w:r>
      <w:r>
        <w:t>tigo, no se verificaban los presupuestos normativos del decreto 41/2003 por lo que correspondía mantener a su respecto la obligación de guardar secreto sobre su i</w:t>
      </w:r>
      <w:r>
        <w:t>n</w:t>
      </w:r>
      <w:r>
        <w:t>tervención y las circunstancias de la causa.</w:t>
      </w:r>
    </w:p>
    <w:p w:rsidR="00224567" w:rsidRDefault="00224567">
      <w:pPr>
        <w:ind w:firstLine="2880"/>
      </w:pPr>
      <w:r>
        <w:rPr>
          <w:b/>
          <w:bCs/>
        </w:rPr>
        <w:t>V.5.e.x</w:t>
      </w:r>
      <w:r>
        <w:rPr>
          <w:b/>
        </w:rPr>
        <w:t>)</w:t>
      </w:r>
      <w:r>
        <w:t xml:space="preserve"> El 20 de febrero de 2003 el Tribunal resolvió, a fs. 113.044/113.067: </w:t>
      </w:r>
      <w:r>
        <w:rPr>
          <w:b/>
        </w:rPr>
        <w:t>a)</w:t>
      </w:r>
      <w:r>
        <w:t xml:space="preserve"> no hacer l</w:t>
      </w:r>
      <w:r>
        <w:t>u</w:t>
      </w:r>
      <w:r>
        <w:t>gar a los planteos de inconstitucionalidad del art</w:t>
      </w:r>
      <w:r>
        <w:t>í</w:t>
      </w:r>
      <w:r>
        <w:t xml:space="preserve">culo 16 de </w:t>
      </w:r>
      <w:smartTag w:uri="urn:schemas-microsoft-com:office:smarttags" w:element="PersonName">
        <w:smartTagPr>
          <w:attr w:name="ProductID" w:val="La Ley"/>
        </w:smartTagPr>
        <w:r>
          <w:t>la Ley</w:t>
        </w:r>
      </w:smartTag>
      <w:r>
        <w:t xml:space="preserve"> de Inteligencia Nacional nro. 25.520 y de los decretos del Poder Ejecutivo Nacional nos. 950/02 -que aprobó la reglamentación de la esa ley- y 490/02;  </w:t>
      </w:r>
      <w:r>
        <w:rPr>
          <w:b/>
        </w:rPr>
        <w:t>b)</w:t>
      </w:r>
      <w:r>
        <w:t xml:space="preserve"> </w:t>
      </w:r>
      <w:r>
        <w:rPr>
          <w:u w:val="single"/>
        </w:rPr>
        <w:t>d</w:t>
      </w:r>
      <w:r>
        <w:rPr>
          <w:u w:val="single"/>
        </w:rPr>
        <w:t>e</w:t>
      </w:r>
      <w:r>
        <w:rPr>
          <w:u w:val="single"/>
        </w:rPr>
        <w:t>claró la n</w:t>
      </w:r>
      <w:r>
        <w:rPr>
          <w:u w:val="single"/>
        </w:rPr>
        <w:t>u</w:t>
      </w:r>
      <w:r>
        <w:rPr>
          <w:u w:val="single"/>
        </w:rPr>
        <w:t>lidad</w:t>
      </w:r>
      <w:r>
        <w:t xml:space="preserve"> de los arts. 1º, 3º, 4º y 5º del decreto 41/03 y consecuentemente de la resol</w:t>
      </w:r>
      <w:r>
        <w:t>u</w:t>
      </w:r>
      <w:r>
        <w:t xml:space="preserve">ción nro. 2/03 de </w:t>
      </w:r>
      <w:smartTag w:uri="urn:schemas-microsoft-com:office:smarttags" w:element="PersonName">
        <w:smartTagPr>
          <w:attr w:name="ProductID" w:val="la Secretaria"/>
        </w:smartTagPr>
        <w:r>
          <w:t>la Secret</w:t>
        </w:r>
        <w:r>
          <w:t>a</w:t>
        </w:r>
        <w:r>
          <w:t>ria</w:t>
        </w:r>
      </w:smartTag>
      <w:r>
        <w:t xml:space="preserve"> de Inteligencia, y </w:t>
      </w:r>
      <w:r>
        <w:rPr>
          <w:b/>
        </w:rPr>
        <w:t>c)</w:t>
      </w:r>
      <w:r>
        <w:t xml:space="preserve"> ordenó citar a todos los funcionarios y ex funcionarios mencionados en el requer</w:t>
      </w:r>
      <w:r>
        <w:t>i</w:t>
      </w:r>
      <w:r>
        <w:t>miento original a efectos de que presten declaración te</w:t>
      </w:r>
      <w:r>
        <w:t>s</w:t>
      </w:r>
      <w:r>
        <w:t>timonial en los términos del decreto 490/02 y del artículo 2º del decreto 41/03 (cónf. resolución registrada con el nº 869).</w:t>
      </w:r>
    </w:p>
    <w:p w:rsidR="00224567" w:rsidRDefault="00224567">
      <w:pPr>
        <w:ind w:firstLine="2880"/>
      </w:pPr>
      <w:r>
        <w:rPr>
          <w:b/>
          <w:bCs/>
        </w:rPr>
        <w:t>V.5.e.xi)</w:t>
      </w:r>
      <w:r>
        <w:t xml:space="preserve"> El 27 de mayo de 2003 (fs. 8579/8587 del legajo de instrucción suplementaria), el Tribunal </w:t>
      </w:r>
      <w:r>
        <w:rPr>
          <w:u w:val="single"/>
        </w:rPr>
        <w:t>declaró la nulidad</w:t>
      </w:r>
      <w:r>
        <w:t>, por inconstitucional, del d</w:t>
      </w:r>
      <w:r>
        <w:t>e</w:t>
      </w:r>
      <w:r>
        <w:t>creto del Poder Ejecutivo Nacional nº 116/2003 y cons</w:t>
      </w:r>
      <w:r>
        <w:t>e</w:t>
      </w:r>
      <w:r>
        <w:t xml:space="preserve">cuentemente la decisión del secretario de inteligencia adoptada al respecto, e hizo saber al Presidente de </w:t>
      </w:r>
      <w:smartTag w:uri="urn:schemas-microsoft-com:office:smarttags" w:element="PersonName">
        <w:smartTagPr>
          <w:attr w:name="ProductID" w:val="la Naci￳n"/>
        </w:smartTagPr>
        <w:r>
          <w:t>la N</w:t>
        </w:r>
        <w:r>
          <w:t>a</w:t>
        </w:r>
        <w:r>
          <w:t>ción</w:t>
        </w:r>
      </w:smartTag>
      <w:r>
        <w:t>, Dr. Néstor Carlos Kirchner que debía proceder a la desclasificación de la totalidad de las actu</w:t>
      </w:r>
      <w:r>
        <w:t>a</w:t>
      </w:r>
      <w:r>
        <w:t>ciones en las que tramitó el sumario administrativo nº 540/00, debie</w:t>
      </w:r>
      <w:r>
        <w:t>n</w:t>
      </w:r>
      <w:r>
        <w:t>do preservarse, mediante testado, aqu</w:t>
      </w:r>
      <w:r>
        <w:t>e</w:t>
      </w:r>
      <w:r>
        <w:t>llas circunstancias que reflejen el modo de operar del organismo y la ident</w:t>
      </w:r>
      <w:r>
        <w:t>i</w:t>
      </w:r>
      <w:r>
        <w:t>dad de sus agentes (cónf. resol</w:t>
      </w:r>
      <w:r>
        <w:t>u</w:t>
      </w:r>
      <w:r>
        <w:t>ción registrada con el nº 883).</w:t>
      </w:r>
    </w:p>
    <w:p w:rsidR="00224567" w:rsidRDefault="00224567">
      <w:pPr>
        <w:ind w:firstLine="2880"/>
      </w:pPr>
      <w:r>
        <w:rPr>
          <w:b/>
          <w:bCs/>
        </w:rPr>
        <w:t>V.5.e.xii</w:t>
      </w:r>
      <w:r>
        <w:rPr>
          <w:b/>
        </w:rPr>
        <w:t>)</w:t>
      </w:r>
      <w:r>
        <w:t xml:space="preserve"> El 5 de junio de 2003 el Sr. Presidente de Nación dictó el decreto nº 146/2003, a</w:t>
      </w:r>
      <w:r>
        <w:t>u</w:t>
      </w:r>
      <w:r>
        <w:t>torizando al Tribunal a otorgar vista de la totalidad de las actuaciones del sumario SIDE 540/00 a las personas i</w:t>
      </w:r>
      <w:r>
        <w:t>n</w:t>
      </w:r>
      <w:r>
        <w:t xml:space="preserve">tervinientes en la causa; instruyó a </w:t>
      </w:r>
      <w:smartTag w:uri="urn:schemas-microsoft-com:office:smarttags" w:element="PersonName">
        <w:smartTagPr>
          <w:attr w:name="ProductID" w:val="la Secretaria"/>
        </w:smartTagPr>
        <w:r>
          <w:t>la Secretaria</w:t>
        </w:r>
      </w:smartTag>
      <w:r>
        <w:t xml:space="preserve"> de I</w:t>
      </w:r>
      <w:r>
        <w:t>n</w:t>
      </w:r>
      <w:r>
        <w:t>teligencia para que preservara, mediante te</w:t>
      </w:r>
      <w:r>
        <w:t>s</w:t>
      </w:r>
      <w:r>
        <w:t>tado, aquellas circunstancias que reflejaran el modo de operar del ref</w:t>
      </w:r>
      <w:r>
        <w:t>e</w:t>
      </w:r>
      <w:r>
        <w:t>rido organismo y la identidad de sus agentes, y derogó el decreto nº 116/03.</w:t>
      </w:r>
    </w:p>
    <w:p w:rsidR="00224567" w:rsidRDefault="00224567">
      <w:pPr>
        <w:ind w:firstLine="2880"/>
      </w:pPr>
      <w:r>
        <w:rPr>
          <w:b/>
          <w:bCs/>
        </w:rPr>
        <w:t>V.5.e.xiii</w:t>
      </w:r>
      <w:r>
        <w:rPr>
          <w:b/>
        </w:rPr>
        <w:t>)</w:t>
      </w:r>
      <w:r>
        <w:t xml:space="preserve"> El 10 de junio de 2003 (fs. 114.376/114.377) se requirió al presidente de </w:t>
      </w:r>
      <w:smartTag w:uri="urn:schemas-microsoft-com:office:smarttags" w:element="PersonName">
        <w:smartTagPr>
          <w:attr w:name="ProductID" w:val="la Naci￳n"/>
        </w:smartTagPr>
        <w:r>
          <w:t>la N</w:t>
        </w:r>
        <w:r>
          <w:t>a</w:t>
        </w:r>
        <w:r>
          <w:t>ción</w:t>
        </w:r>
      </w:smartTag>
      <w:r>
        <w:t xml:space="preserve"> que por intermedio del secretario de inteligencia r</w:t>
      </w:r>
      <w:r>
        <w:t>e</w:t>
      </w:r>
      <w:r>
        <w:t>considerase la decisión adoptada por el ex titular del o</w:t>
      </w:r>
      <w:r>
        <w:t>r</w:t>
      </w:r>
      <w:r>
        <w:t>ganismo y relevara a Héctor Salvador Maiolo de la oblig</w:t>
      </w:r>
      <w:r>
        <w:t>a</w:t>
      </w:r>
      <w:r>
        <w:t>ción de guardar secreto en los términos del decreto 490/02 y el  artículo 2º del decreto 41/03 (cónf. resolución r</w:t>
      </w:r>
      <w:r>
        <w:t>e</w:t>
      </w:r>
      <w:r>
        <w:t>gistrada con el nº 886).</w:t>
      </w:r>
    </w:p>
    <w:p w:rsidR="00224567" w:rsidRDefault="00224567">
      <w:pPr>
        <w:ind w:firstLine="2880"/>
      </w:pPr>
      <w:r>
        <w:rPr>
          <w:b/>
          <w:bCs/>
        </w:rPr>
        <w:t>V.5.e.xiv</w:t>
      </w:r>
      <w:r>
        <w:rPr>
          <w:b/>
        </w:rPr>
        <w:t>)</w:t>
      </w:r>
      <w:r>
        <w:t xml:space="preserve"> El 30 de junio de 2003 el titular del Poder Ejecutivo Nacional dictó el decreto nº 291/2003, relevando al ex titular de la secretaria de i</w:t>
      </w:r>
      <w:r>
        <w:t>n</w:t>
      </w:r>
      <w:r>
        <w:t>teligencia, Hugo Anzorreguy, de la obligación de guardar secreto al solo efecto de que declare como testigo en la presente causa, respecto de las actividades desarrolladas por el organismo del que fuera titular en la investigación judicial del atentado. No lo autorizó a revelar aquellos actos o hechos que involucren a ciudadanos de terceros E</w:t>
      </w:r>
      <w:r>
        <w:t>s</w:t>
      </w:r>
      <w:r>
        <w:t>tados relacionados con servicios de inteligencia extranj</w:t>
      </w:r>
      <w:r>
        <w:t>e</w:t>
      </w:r>
      <w:r>
        <w:t>ros que hubieran cooperado con la mencionada pesquisa j</w:t>
      </w:r>
      <w:r>
        <w:t>u</w:t>
      </w:r>
      <w:r>
        <w:t>dicial o que signifiquen la divulgación de secretos que pudiesen comprometer la s</w:t>
      </w:r>
      <w:r>
        <w:t>e</w:t>
      </w:r>
      <w:r>
        <w:t>guridad del Estado.</w:t>
      </w:r>
    </w:p>
    <w:p w:rsidR="00224567" w:rsidRDefault="00224567">
      <w:pPr>
        <w:pStyle w:val="Textoindependiente2"/>
        <w:ind w:firstLine="2880"/>
        <w:rPr>
          <w:rFonts w:ascii="Courier New" w:hAnsi="Courier New"/>
        </w:rPr>
      </w:pPr>
      <w:r>
        <w:rPr>
          <w:rFonts w:ascii="Courier New" w:hAnsi="Courier New"/>
        </w:rPr>
        <w:t>Asimismo, instruyó al secretario de inteligencia a que hiciera lo propio respecto de los fu</w:t>
      </w:r>
      <w:r>
        <w:rPr>
          <w:rFonts w:ascii="Courier New" w:hAnsi="Courier New"/>
        </w:rPr>
        <w:t>n</w:t>
      </w:r>
      <w:r>
        <w:rPr>
          <w:rFonts w:ascii="Courier New" w:hAnsi="Courier New"/>
        </w:rPr>
        <w:t>cionarios y ex funcionarios mencionados en la resolución del Tribunal del 17 de Octubre de 2001 y del 10 de Junio de 2003.</w:t>
      </w:r>
    </w:p>
    <w:p w:rsidR="00224567" w:rsidRDefault="00224567">
      <w:pPr>
        <w:ind w:firstLine="2880"/>
      </w:pPr>
      <w:r>
        <w:t>Estableció, en el artículo 3º, que el relevamiento no comprendía la dispensa para que los dep</w:t>
      </w:r>
      <w:r>
        <w:t>o</w:t>
      </w:r>
      <w:r>
        <w:t>nentes se pronuncien sobre la metodología de labor oper</w:t>
      </w:r>
      <w:r>
        <w:t>a</w:t>
      </w:r>
      <w:r>
        <w:t>tiva desplegada en las actividades de inteligencia, la identidad del personal del organismo a excepción de los funcionarios y ex funcionarios alcanzados por la norma, la documentación que no sea aquella vinculada a los hechos por los que se encuentran autorizados para deponer y cua</w:t>
      </w:r>
      <w:r>
        <w:t>l</w:t>
      </w:r>
      <w:r>
        <w:t>quier otra circunstancia relacionada con las cuestiones señaladas que pudiera vuln</w:t>
      </w:r>
      <w:r>
        <w:t>e</w:t>
      </w:r>
      <w:r>
        <w:t>rar las previsiones del art. 16 y concordantes de la ley nº 25.520 y su reglamentación.</w:t>
      </w:r>
    </w:p>
    <w:p w:rsidR="00224567" w:rsidRDefault="00224567">
      <w:pPr>
        <w:ind w:firstLine="2880"/>
      </w:pPr>
      <w:r>
        <w:t>Dispuso, en el artículo 5º, que el s</w:t>
      </w:r>
      <w:r>
        <w:t>e</w:t>
      </w:r>
      <w:r>
        <w:t>cretario de inteligencia hiciera saber al tribunal “que lo decido en los artículos precedentes, en orden a lo di</w:t>
      </w:r>
      <w:r>
        <w:t>s</w:t>
      </w:r>
      <w:r>
        <w:t>puesto en el artículo 17 de la ley nro. 25.520, requiere que se dispongan en dicha sede judicial las medidas nec</w:t>
      </w:r>
      <w:r>
        <w:t>e</w:t>
      </w:r>
      <w:r>
        <w:t>sarias en orden a las declaraciones que habrán de prestar en los asuntos de referencia los funcionarios y ex funci</w:t>
      </w:r>
      <w:r>
        <w:t>o</w:t>
      </w:r>
      <w:r>
        <w:t>narios relevados del secreto, de modo que tales actos pr</w:t>
      </w:r>
      <w:r>
        <w:t>o</w:t>
      </w:r>
      <w:r>
        <w:t>cesales no trasciendan a terc</w:t>
      </w:r>
      <w:r>
        <w:t>e</w:t>
      </w:r>
      <w:r>
        <w:t>ras personas más allá de los miembros de dicha judic</w:t>
      </w:r>
      <w:r>
        <w:t>a</w:t>
      </w:r>
      <w:r>
        <w:t>tura y las partes en el proceso”.</w:t>
      </w:r>
    </w:p>
    <w:p w:rsidR="00224567" w:rsidRDefault="00224567">
      <w:pPr>
        <w:pStyle w:val="Textoindependiente"/>
        <w:spacing w:line="600" w:lineRule="auto"/>
        <w:ind w:firstLine="2880"/>
      </w:pPr>
      <w:r>
        <w:t>Finalmente, derogó el decreto 490/2002 y el 41/2003.</w:t>
      </w:r>
    </w:p>
    <w:p w:rsidR="00224567" w:rsidRDefault="00224567">
      <w:pPr>
        <w:pStyle w:val="Textoindependiente"/>
        <w:spacing w:line="600" w:lineRule="auto"/>
        <w:ind w:firstLine="2880"/>
      </w:pPr>
      <w:r>
        <w:rPr>
          <w:b/>
          <w:bCs/>
        </w:rPr>
        <w:t>V.5.e.xv</w:t>
      </w:r>
      <w:r>
        <w:rPr>
          <w:b/>
        </w:rPr>
        <w:t>)</w:t>
      </w:r>
      <w:r>
        <w:t xml:space="preserve"> El 21 de agosto de 2003 se hizo saber en la audiencia que se habían recibido  actu</w:t>
      </w:r>
      <w:r>
        <w:t>a</w:t>
      </w:r>
      <w:r>
        <w:t xml:space="preserve">ciones provenientes de </w:t>
      </w:r>
      <w:smartTag w:uri="urn:schemas-microsoft-com:office:smarttags" w:element="PersonName">
        <w:smartTagPr>
          <w:attr w:name="ProductID" w:val="la Secretar￭a"/>
        </w:smartTagPr>
        <w:r>
          <w:t>la Secretaría</w:t>
        </w:r>
      </w:smartTag>
      <w:r>
        <w:t xml:space="preserve"> de Inteligencia que contenían el testimonio del agente Isaac Eduardo García y que el Tribunal entendía que era de suma relevancia que fuera esc</w:t>
      </w:r>
      <w:r>
        <w:t>u</w:t>
      </w:r>
      <w:r>
        <w:t>chado en el debate.</w:t>
      </w:r>
    </w:p>
    <w:p w:rsidR="00224567" w:rsidRDefault="00224567">
      <w:pPr>
        <w:pStyle w:val="Textoindependiente"/>
        <w:spacing w:line="600" w:lineRule="auto"/>
        <w:ind w:firstLine="2880"/>
      </w:pPr>
      <w:r>
        <w:t>Que, con motivo de ello, se convocó al Sr. secretario de inteligencia, Dr. Sergio Acevedo, quien relevó a Isaac Eduardo García de la obligación de guardar secreto, con la limitación vinculada con los agentes de servicios colaterales, prestando declaración el testigo ese mismo día.</w:t>
      </w:r>
    </w:p>
    <w:p w:rsidR="00224567" w:rsidRDefault="00224567">
      <w:pPr>
        <w:ind w:firstLine="2880"/>
      </w:pPr>
      <w:r>
        <w:rPr>
          <w:b/>
          <w:bCs/>
        </w:rPr>
        <w:t>V.5.e.xvi</w:t>
      </w:r>
      <w:r>
        <w:rPr>
          <w:b/>
        </w:rPr>
        <w:t>)</w:t>
      </w:r>
      <w:r>
        <w:t xml:space="preserve"> El 15 de septiembre de 2003 se hizo lugar a fs. </w:t>
      </w:r>
      <w:smartTag w:uri="urn:schemas-microsoft-com:office:smarttags" w:element="metricconverter">
        <w:smartTagPr>
          <w:attr w:name="ProductID" w:val="116.103, a"/>
        </w:smartTagPr>
        <w:r>
          <w:t>116.103, a</w:t>
        </w:r>
      </w:smartTag>
      <w:r>
        <w:t xml:space="preserve"> la declaración te</w:t>
      </w:r>
      <w:r>
        <w:t>s</w:t>
      </w:r>
      <w:r>
        <w:t>timonial de Juan Carlos Legascue, mencionado por Isaac Eduardo Ga</w:t>
      </w:r>
      <w:r>
        <w:t>r</w:t>
      </w:r>
      <w:r>
        <w:t>cía como un agente inorgánico de la secretaría de intel</w:t>
      </w:r>
      <w:r>
        <w:t>i</w:t>
      </w:r>
      <w:r>
        <w:t>gencia, que participó en la operación de pago.</w:t>
      </w:r>
    </w:p>
    <w:p w:rsidR="00224567" w:rsidRDefault="00224567">
      <w:pPr>
        <w:ind w:firstLine="2880"/>
      </w:pPr>
      <w:r>
        <w:rPr>
          <w:b/>
          <w:bCs/>
        </w:rPr>
        <w:t>V.5.e.xvii</w:t>
      </w:r>
      <w:r>
        <w:rPr>
          <w:b/>
        </w:rPr>
        <w:t>)</w:t>
      </w:r>
      <w:r>
        <w:t xml:space="preserve"> El 17 de Septiembre del año 2003 el señor presidente de </w:t>
      </w:r>
      <w:smartTag w:uri="urn:schemas-microsoft-com:office:smarttags" w:element="PersonName">
        <w:smartTagPr>
          <w:attr w:name="ProductID" w:val="la Naci￳n"/>
        </w:smartTagPr>
        <w:r>
          <w:t>la Nación</w:t>
        </w:r>
      </w:smartTag>
      <w:r>
        <w:t>, Dr. Néstor Ca</w:t>
      </w:r>
      <w:r>
        <w:t>r</w:t>
      </w:r>
      <w:r>
        <w:t>los Kirchner, dictó el decreto nº 785/2003 que est</w:t>
      </w:r>
      <w:r>
        <w:t>a</w:t>
      </w:r>
      <w:r>
        <w:t>bleció medidas complementarias para corregir y precisar algunos aspectos del marco normativo oportunamente dispuesto con relación a las declaraciones de los funcionarios y ex fu</w:t>
      </w:r>
      <w:r>
        <w:t>n</w:t>
      </w:r>
      <w:r>
        <w:t xml:space="preserve">cionarios de </w:t>
      </w:r>
      <w:smartTag w:uri="urn:schemas-microsoft-com:office:smarttags" w:element="PersonName">
        <w:smartTagPr>
          <w:attr w:name="ProductID" w:val="la Secretar￭a"/>
        </w:smartTagPr>
        <w:r>
          <w:t>la Secretaría</w:t>
        </w:r>
      </w:smartTag>
      <w:r>
        <w:t xml:space="preserve"> de Intelige</w:t>
      </w:r>
      <w:r>
        <w:t>n</w:t>
      </w:r>
      <w:r>
        <w:t>cia.</w:t>
      </w:r>
    </w:p>
    <w:p w:rsidR="00224567" w:rsidRDefault="00224567">
      <w:pPr>
        <w:ind w:firstLine="2880"/>
      </w:pPr>
      <w:r>
        <w:t>Dispuso que la relevación de la obl</w:t>
      </w:r>
      <w:r>
        <w:t>i</w:t>
      </w:r>
      <w:r>
        <w:t>gación de guardar secreto a la que hacían refere</w:t>
      </w:r>
      <w:r>
        <w:t>n</w:t>
      </w:r>
      <w:r>
        <w:t>cias los artículos 1º y 2º del decreto 291/2003, era a efectos que los convocados pudieran declarar en la causa respecto de todas las investigaciones, diligencias o reuniones que i</w:t>
      </w:r>
      <w:r>
        <w:t>n</w:t>
      </w:r>
      <w:r>
        <w:t>formación de las que hubieran participado o tomado conoc</w:t>
      </w:r>
      <w:r>
        <w:t>i</w:t>
      </w:r>
      <w:r>
        <w:t>miento de manera previa, concomitante o posterior al ate</w:t>
      </w:r>
      <w:r>
        <w:t>n</w:t>
      </w:r>
      <w:r>
        <w:t>tado o que se vinculara dir</w:t>
      </w:r>
      <w:r>
        <w:t>e</w:t>
      </w:r>
      <w:r>
        <w:t>cta o indirectamente con éste, como de cualquier otra información que conocieran sobre la materia, con la sola excepción de aquella relativa a la identidad de los agentes de inteligencia extranjeros que hubieran col</w:t>
      </w:r>
      <w:r>
        <w:t>a</w:t>
      </w:r>
      <w:r>
        <w:t>borado en la investigación judicial o lo que a juicio del tribunal implique la divulgación de secretos que pudieran comprometer la seguridad del Estado.</w:t>
      </w:r>
    </w:p>
    <w:p w:rsidR="00224567" w:rsidRDefault="00224567">
      <w:pPr>
        <w:ind w:firstLine="2880"/>
      </w:pPr>
      <w:r>
        <w:t>Instruyó, al secretario de intelige</w:t>
      </w:r>
      <w:r>
        <w:t>n</w:t>
      </w:r>
      <w:r>
        <w:t>cia (art. 3°) para que en el caso de que otros funcion</w:t>
      </w:r>
      <w:r>
        <w:t>a</w:t>
      </w:r>
      <w:r>
        <w:t>rios o ex funcionarios del organismo fueran citados a d</w:t>
      </w:r>
      <w:r>
        <w:t>e</w:t>
      </w:r>
      <w:r>
        <w:t>clarar en la presente causa o de alguna de las pesquisas desprendidas de esos expedientes principales o que de cualquier manera se le vinculen, los releve de la oblig</w:t>
      </w:r>
      <w:r>
        <w:t>a</w:t>
      </w:r>
      <w:r>
        <w:t>ción de guardar secreto en las condiciones descriptas.</w:t>
      </w:r>
    </w:p>
    <w:p w:rsidR="00224567" w:rsidRDefault="00224567">
      <w:pPr>
        <w:ind w:firstLine="2880"/>
      </w:pPr>
      <w:r>
        <w:t>Se dejó sin efecto lo dispuesto en los arts. 3º y 5º del decreto nº 291 del 30 de Junio de 2003.</w:t>
      </w:r>
    </w:p>
    <w:p w:rsidR="00224567" w:rsidRDefault="00224567">
      <w:pPr>
        <w:ind w:firstLine="2880"/>
      </w:pPr>
      <w:r>
        <w:rPr>
          <w:b/>
          <w:bCs/>
        </w:rPr>
        <w:t>V.5.e.xviii</w:t>
      </w:r>
      <w:r>
        <w:rPr>
          <w:b/>
        </w:rPr>
        <w:t>)</w:t>
      </w:r>
      <w:r>
        <w:t xml:space="preserve"> El 3 de octubre del 2003, se hizo lugar a fs. </w:t>
      </w:r>
      <w:smartTag w:uri="urn:schemas-microsoft-com:office:smarttags" w:element="metricconverter">
        <w:smartTagPr>
          <w:attr w:name="ProductID" w:val="116.518, a"/>
        </w:smartTagPr>
        <w:r>
          <w:t>116.518, a</w:t>
        </w:r>
      </w:smartTag>
      <w:r>
        <w:t xml:space="preserve"> las declaraciones testim</w:t>
      </w:r>
      <w:r>
        <w:t>o</w:t>
      </w:r>
      <w:r>
        <w:t>niales -solicitada por diferentes partes- de los agentes y/o ex agentes Luis González, alias "Pinocho"; Molina Qu</w:t>
      </w:r>
      <w:r>
        <w:t>i</w:t>
      </w:r>
      <w:r>
        <w:t>roga; Roberto Silo o Cilo; Daniel Ferro ó Fernández y Ga</w:t>
      </w:r>
      <w:r>
        <w:t>s</w:t>
      </w:r>
      <w:r>
        <w:t>tón Achával ó Luís Dilarian ó Delicia alias "Calculín", y se requirió en los términos del decreto 785/2003 del P</w:t>
      </w:r>
      <w:r>
        <w:t>o</w:t>
      </w:r>
      <w:r>
        <w:t>der Ejecutivo Nacional que, por quien corresponda, se los r</w:t>
      </w:r>
      <w:r>
        <w:t>e</w:t>
      </w:r>
      <w:r>
        <w:t>levara  de la obligación de guardar secreto.</w:t>
      </w:r>
    </w:p>
    <w:p w:rsidR="00224567" w:rsidRDefault="00224567">
      <w:pPr>
        <w:ind w:firstLine="2880"/>
      </w:pPr>
      <w:r>
        <w:rPr>
          <w:b/>
          <w:bCs/>
        </w:rPr>
        <w:t>V.5.e.ixx</w:t>
      </w:r>
      <w:r>
        <w:rPr>
          <w:b/>
        </w:rPr>
        <w:t>)</w:t>
      </w:r>
      <w:r>
        <w:t xml:space="preserve"> El 19 de octubre de 2003, el entonces secretario de inteligencia, Dr. Sergio Acev</w:t>
      </w:r>
      <w:r>
        <w:t>e</w:t>
      </w:r>
      <w:r>
        <w:t>do, dispuso relevar de la obligación de guardar secreto, en los términos solicitados, a las personas me</w:t>
      </w:r>
      <w:r>
        <w:t>n</w:t>
      </w:r>
      <w:r>
        <w:t>cionadas en la requisitoria: Nelson González, Carlos Aníbal Molina Quiroga, Roberto Jorge Saller, Daniel A</w:t>
      </w:r>
      <w:r>
        <w:t>l</w:t>
      </w:r>
      <w:r>
        <w:t>berto Fernández y Luis Domingo Delicia.</w:t>
      </w:r>
    </w:p>
    <w:p w:rsidR="00224567" w:rsidRDefault="00224567">
      <w:pPr>
        <w:pStyle w:val="Sangradetextonormal"/>
        <w:widowControl w:val="0"/>
        <w:tabs>
          <w:tab w:val="left" w:pos="2835"/>
        </w:tabs>
        <w:ind w:firstLine="2880"/>
      </w:pPr>
      <w:r>
        <w:rPr>
          <w:b/>
          <w:bCs/>
          <w:lang w:val="es-ES"/>
        </w:rPr>
        <w:t>V</w:t>
      </w:r>
      <w:r>
        <w:rPr>
          <w:b/>
          <w:bCs/>
        </w:rPr>
        <w:t>.5.f</w:t>
      </w:r>
      <w:r>
        <w:rPr>
          <w:b/>
          <w:bCs/>
          <w:lang w:val="es-ES"/>
        </w:rPr>
        <w:t>)</w:t>
      </w:r>
      <w:r>
        <w:t xml:space="preserve"> Que, en definitiva, entre el 21 de agosto y el 11 de noviembre del pasado año, prestaron declaración testimonial en la audiencia -además del agente inorgánico Juan Carlos Legascue y de Daniel Romero- los siguientes funcionarios y ex funcionarios de </w:t>
      </w:r>
      <w:smartTag w:uri="urn:schemas-microsoft-com:office:smarttags" w:element="PersonName">
        <w:smartTagPr>
          <w:attr w:name="ProductID" w:val="la Secretar￭a"/>
        </w:smartTagPr>
        <w:r>
          <w:t>la Secretaría</w:t>
        </w:r>
      </w:smartTag>
      <w:r>
        <w:t xml:space="preserve"> de Inteligencia: Isaac Eduardo García, Héctor Salvador Maiolo, Alejandro Brousson, Patricio Finnen, Néstor Rica</w:t>
      </w:r>
      <w:r>
        <w:t>r</w:t>
      </w:r>
      <w:r>
        <w:t>do Hernández, Hugo Anzorreguy, Horacio Antonio Stiuso, Jorge Luis Lucas, Rodrigo Toranzo, Carlos María Pablo L</w:t>
      </w:r>
      <w:r>
        <w:t>a</w:t>
      </w:r>
      <w:r>
        <w:t>vie, José Tomás Alba Posse, Jorge Bouzas, Juan Carlos Ge</w:t>
      </w:r>
      <w:r>
        <w:t>r</w:t>
      </w:r>
      <w:r>
        <w:t>vasoni, Roberto Jorge S</w:t>
      </w:r>
      <w:r>
        <w:t>a</w:t>
      </w:r>
      <w:r>
        <w:t>ller, Luis Domingo Delicia, Daniel Alberto Fernández, Carlos Aníbal Molina Quiroga, Luis Ne</w:t>
      </w:r>
      <w:r>
        <w:t>l</w:t>
      </w:r>
      <w:r>
        <w:t>son González, Jorge Igounet y Juan Carlos Anchézar.</w:t>
      </w:r>
    </w:p>
    <w:p w:rsidR="00224567" w:rsidRDefault="00224567">
      <w:pPr>
        <w:widowControl w:val="0"/>
        <w:tabs>
          <w:tab w:val="left" w:pos="2835"/>
        </w:tabs>
        <w:ind w:firstLine="2880"/>
      </w:pPr>
      <w:r>
        <w:t>Como colorario de la revisión efectu</w:t>
      </w:r>
      <w:r>
        <w:t>a</w:t>
      </w:r>
      <w:r>
        <w:t xml:space="preserve">da en tal delicada materia, el Tribunal considera que una debida, mesurada y razonable ponderación de los intereses en juego, por el camino del respeto de los principios y garantías consagradas en </w:t>
      </w:r>
      <w:smartTag w:uri="urn:schemas-microsoft-com:office:smarttags" w:element="PersonName">
        <w:smartTagPr>
          <w:attr w:name="ProductID" w:val="la Ley Fundamental"/>
        </w:smartTagPr>
        <w:r>
          <w:t>la Ley Fundamental</w:t>
        </w:r>
      </w:smartTag>
      <w:r>
        <w:t>, pudieron co</w:t>
      </w:r>
      <w:r>
        <w:t>n</w:t>
      </w:r>
      <w:r>
        <w:t>jugarse los principios a los cuales responde la intelige</w:t>
      </w:r>
      <w:r>
        <w:t>n</w:t>
      </w:r>
      <w:r>
        <w:t>cia nacional y las características principales que debe garantizar el enjuiciamiento criminal: oralidad, public</w:t>
      </w:r>
      <w:r>
        <w:t>i</w:t>
      </w:r>
      <w:r>
        <w:t>dad, inmediación y contradi</w:t>
      </w:r>
      <w:r>
        <w:t>c</w:t>
      </w:r>
      <w:r>
        <w:t>ción.</w:t>
      </w:r>
    </w:p>
    <w:p w:rsidR="00224567" w:rsidRDefault="00224567">
      <w:pPr>
        <w:pStyle w:val="Textoindependiente"/>
        <w:spacing w:line="600" w:lineRule="auto"/>
        <w:rPr>
          <w:lang w:val="es-ES"/>
        </w:rPr>
      </w:pPr>
    </w:p>
    <w:p w:rsidR="00224567" w:rsidRDefault="00224567">
      <w:pPr>
        <w:pStyle w:val="Ttulo3"/>
        <w:keepNext w:val="0"/>
        <w:widowControl w:val="0"/>
      </w:pPr>
      <w:r>
        <w:t>W) Lo actuado con relación a César Antonio Fernández.</w:t>
      </w:r>
    </w:p>
    <w:p w:rsidR="00224567" w:rsidRDefault="00224567">
      <w:pPr>
        <w:widowControl w:val="0"/>
        <w:tabs>
          <w:tab w:val="left" w:pos="2835"/>
        </w:tabs>
        <w:ind w:firstLine="2880"/>
        <w:rPr>
          <w:lang w:val="es-MX"/>
        </w:rPr>
      </w:pPr>
      <w:r>
        <w:rPr>
          <w:b/>
          <w:bCs/>
          <w:lang w:val="es-ES_tradnl"/>
        </w:rPr>
        <w:t>W.1)</w:t>
      </w:r>
      <w:r>
        <w:rPr>
          <w:lang w:val="es-ES_tradnl"/>
        </w:rPr>
        <w:t xml:space="preserve"> La defensa de Carlos Alberto T</w:t>
      </w:r>
      <w:r>
        <w:rPr>
          <w:lang w:val="es-ES_tradnl"/>
        </w:rPr>
        <w:t>e</w:t>
      </w:r>
      <w:r>
        <w:rPr>
          <w:lang w:val="es-ES_tradnl"/>
        </w:rPr>
        <w:t xml:space="preserve">lleldín solicitó que se investigue la participación que cupo a los funcionarios de </w:t>
      </w:r>
      <w:smartTag w:uri="urn:schemas-microsoft-com:office:smarttags" w:element="PersonName">
        <w:smartTagPr>
          <w:attr w:name="ProductID" w:val="la Secretar￭a"/>
        </w:smartTagPr>
        <w:r>
          <w:rPr>
            <w:lang w:val="es-ES_tradnl"/>
          </w:rPr>
          <w:t>la Secretaría</w:t>
        </w:r>
      </w:smartTag>
      <w:r>
        <w:rPr>
          <w:lang w:val="es-ES_tradnl"/>
        </w:rPr>
        <w:t xml:space="preserve"> de Inteligencia de Estado,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y del titular del ju</w:t>
      </w:r>
      <w:r>
        <w:rPr>
          <w:lang w:val="es-ES_tradnl"/>
        </w:rPr>
        <w:t>z</w:t>
      </w:r>
      <w:r>
        <w:rPr>
          <w:lang w:val="es-ES_tradnl"/>
        </w:rPr>
        <w:t xml:space="preserve">gado de instrucción </w:t>
      </w:r>
      <w:r>
        <w:t xml:space="preserve">en orden a los delitos de </w:t>
      </w:r>
      <w:r>
        <w:rPr>
          <w:lang w:val="es-MX"/>
        </w:rPr>
        <w:t>secuestro y tortura, cometidos en oportunidad de la detención de César Antonio Fernández, quien vendió a su asistido la camioneta robada a Pedro Sarapura.</w:t>
      </w:r>
    </w:p>
    <w:p w:rsidR="00224567" w:rsidRDefault="00224567">
      <w:pPr>
        <w:widowControl w:val="0"/>
        <w:tabs>
          <w:tab w:val="left" w:pos="2835"/>
        </w:tabs>
        <w:ind w:firstLine="2880"/>
      </w:pPr>
      <w:r>
        <w:rPr>
          <w:lang w:val="es-MX"/>
        </w:rPr>
        <w:t xml:space="preserve">Por su parte, la fiscalía requirió que se investigue la </w:t>
      </w:r>
      <w:r>
        <w:t>posible comisión de delitos de acción p</w:t>
      </w:r>
      <w:r>
        <w:t>ú</w:t>
      </w:r>
      <w:r>
        <w:t>blica por parte de Ángel Roberto Salguero en atención a sus manifestaciones en el debate acerca del contenido del acta instrume</w:t>
      </w:r>
      <w:r>
        <w:t>n</w:t>
      </w:r>
      <w:r>
        <w:t>tada a fs. 18.800, entre otras.</w:t>
      </w:r>
    </w:p>
    <w:p w:rsidR="00224567" w:rsidRDefault="00224567">
      <w:pPr>
        <w:widowControl w:val="0"/>
        <w:tabs>
          <w:tab w:val="left" w:pos="2835"/>
        </w:tabs>
        <w:ind w:firstLine="2880"/>
        <w:rPr>
          <w:lang w:val="es-MX"/>
        </w:rPr>
      </w:pPr>
      <w:r>
        <w:rPr>
          <w:b/>
          <w:bCs/>
        </w:rPr>
        <w:t>W</w:t>
      </w:r>
      <w:r>
        <w:rPr>
          <w:b/>
          <w:bCs/>
          <w:lang w:val="es-ES_tradnl"/>
        </w:rPr>
        <w:t>.2)</w:t>
      </w:r>
      <w:r>
        <w:rPr>
          <w:lang w:val="es-ES_tradnl"/>
        </w:rPr>
        <w:t xml:space="preserve"> </w:t>
      </w:r>
      <w:r>
        <w:rPr>
          <w:lang w:val="es-MX"/>
        </w:rPr>
        <w:t>De lo actuado en la causa se de</w:t>
      </w:r>
      <w:r>
        <w:rPr>
          <w:lang w:val="es-MX"/>
        </w:rPr>
        <w:t>s</w:t>
      </w:r>
      <w:r>
        <w:rPr>
          <w:lang w:val="es-MX"/>
        </w:rPr>
        <w:t>pre</w:t>
      </w:r>
      <w:r>
        <w:rPr>
          <w:lang w:val="es-MX"/>
        </w:rPr>
        <w:t>n</w:t>
      </w:r>
      <w:r>
        <w:rPr>
          <w:lang w:val="es-MX"/>
        </w:rPr>
        <w:t>den los siguientes extremos:</w:t>
      </w:r>
    </w:p>
    <w:p w:rsidR="00224567" w:rsidRDefault="00224567">
      <w:pPr>
        <w:widowControl w:val="0"/>
        <w:tabs>
          <w:tab w:val="left" w:pos="2835"/>
        </w:tabs>
        <w:ind w:firstLine="2880"/>
      </w:pPr>
      <w:r>
        <w:t>Que a fs. 2217/2223 Carlos Alberto T</w:t>
      </w:r>
      <w:r>
        <w:t>e</w:t>
      </w:r>
      <w:r>
        <w:t>lleldín manifestó que César Fernández era un amigo suyo y que utilizaba el teléfono celular nº 471-8022.</w:t>
      </w:r>
    </w:p>
    <w:p w:rsidR="00224567" w:rsidRDefault="00224567">
      <w:pPr>
        <w:widowControl w:val="0"/>
        <w:tabs>
          <w:tab w:val="left" w:pos="2835"/>
        </w:tabs>
        <w:ind w:firstLine="2880"/>
        <w:rPr>
          <w:lang w:val="es-MX"/>
        </w:rPr>
      </w:pPr>
      <w:r>
        <w:rPr>
          <w:lang w:val="es-MX"/>
        </w:rPr>
        <w:t>Que a fs. 8958/9006 la empresa prest</w:t>
      </w:r>
      <w:r>
        <w:rPr>
          <w:lang w:val="es-MX"/>
        </w:rPr>
        <w:t>a</w:t>
      </w:r>
      <w:r>
        <w:rPr>
          <w:lang w:val="es-MX"/>
        </w:rPr>
        <w:t>taria del referido servicio telefónico remitió un listado de llamados recibidos en esa línea, haciendo saber que su titular era Isabel Rodríguez, con domicilio en Del Cañón 2581, partido de Moreno, provincia de Buenos Aires. As</w:t>
      </w:r>
      <w:r>
        <w:rPr>
          <w:lang w:val="es-MX"/>
        </w:rPr>
        <w:t>i</w:t>
      </w:r>
      <w:r>
        <w:rPr>
          <w:lang w:val="es-MX"/>
        </w:rPr>
        <w:t>mismo, que el servicio se había suspendido por falta de pago.</w:t>
      </w:r>
    </w:p>
    <w:p w:rsidR="00224567" w:rsidRDefault="00224567">
      <w:pPr>
        <w:widowControl w:val="0"/>
        <w:tabs>
          <w:tab w:val="left" w:pos="2835"/>
        </w:tabs>
        <w:ind w:firstLine="2880"/>
        <w:rPr>
          <w:lang w:val="es-MX"/>
        </w:rPr>
      </w:pPr>
      <w:r>
        <w:rPr>
          <w:lang w:val="es-MX"/>
        </w:rPr>
        <w:t>Que el 2 de enero de 1995 el juez in</w:t>
      </w:r>
      <w:r>
        <w:rPr>
          <w:lang w:val="es-MX"/>
        </w:rPr>
        <w:t>s</w:t>
      </w:r>
      <w:r>
        <w:rPr>
          <w:lang w:val="es-MX"/>
        </w:rPr>
        <w:t xml:space="preserve">tructor, por requerimiento de </w:t>
      </w:r>
      <w:smartTag w:uri="urn:schemas-microsoft-com:office:smarttags" w:element="PersonName">
        <w:smartTagPr>
          <w:attr w:name="ProductID" w:val="la S.I"/>
        </w:smartTagPr>
        <w:r>
          <w:rPr>
            <w:lang w:val="es-MX"/>
          </w:rPr>
          <w:t>la S.I</w:t>
        </w:r>
      </w:smartTag>
      <w:r>
        <w:rPr>
          <w:lang w:val="es-MX"/>
        </w:rPr>
        <w:t>.D.E., ordenó la i</w:t>
      </w:r>
      <w:r>
        <w:rPr>
          <w:lang w:val="es-MX"/>
        </w:rPr>
        <w:t>n</w:t>
      </w:r>
      <w:r>
        <w:rPr>
          <w:lang w:val="es-MX"/>
        </w:rPr>
        <w:t>tervención de los abonados nros. 0228-28876 y 0446-25950, con escucha directa y por tiempo indeterminado (ver auto de fs. 7230). A fs. 7253 el Director de Observaciones J</w:t>
      </w:r>
      <w:r>
        <w:rPr>
          <w:lang w:val="es-MX"/>
        </w:rPr>
        <w:t>u</w:t>
      </w:r>
      <w:r>
        <w:rPr>
          <w:lang w:val="es-MX"/>
        </w:rPr>
        <w:t>diciales del organismo de inteligencia informó que las l</w:t>
      </w:r>
      <w:r>
        <w:rPr>
          <w:lang w:val="es-MX"/>
        </w:rPr>
        <w:t>í</w:t>
      </w:r>
      <w:r>
        <w:rPr>
          <w:lang w:val="es-MX"/>
        </w:rPr>
        <w:t>neas pertenecían a Isabel Rodríguez y a Etelvina Irigo</w:t>
      </w:r>
      <w:r>
        <w:rPr>
          <w:lang w:val="es-MX"/>
        </w:rPr>
        <w:t>i</w:t>
      </w:r>
      <w:r>
        <w:rPr>
          <w:lang w:val="es-MX"/>
        </w:rPr>
        <w:t>tía.</w:t>
      </w:r>
    </w:p>
    <w:p w:rsidR="00224567" w:rsidRDefault="00224567">
      <w:pPr>
        <w:widowControl w:val="0"/>
        <w:tabs>
          <w:tab w:val="left" w:pos="2835"/>
        </w:tabs>
        <w:ind w:firstLine="2880"/>
        <w:rPr>
          <w:lang w:val="es-MX"/>
        </w:rPr>
      </w:pPr>
      <w:r>
        <w:rPr>
          <w:lang w:val="es-MX"/>
        </w:rPr>
        <w:t xml:space="preserve">Que a fs. 8088/8089, 8177/8178, </w:t>
      </w:r>
      <w:r>
        <w:rPr>
          <w:lang w:val="es-AR"/>
        </w:rPr>
        <w:t xml:space="preserve">8220, </w:t>
      </w:r>
      <w:r>
        <w:rPr>
          <w:lang w:val="es-MX"/>
        </w:rPr>
        <w:t xml:space="preserve">8288/8289, </w:t>
      </w:r>
      <w:r>
        <w:rPr>
          <w:lang w:val="es-AR"/>
        </w:rPr>
        <w:t xml:space="preserve">8584/8585, 8650/8651, 8664, 8677, </w:t>
      </w:r>
      <w:r>
        <w:rPr>
          <w:lang w:val="es-MX"/>
        </w:rPr>
        <w:t xml:space="preserve">8818/8819, </w:t>
      </w:r>
      <w:r>
        <w:rPr>
          <w:lang w:val="es-AR"/>
        </w:rPr>
        <w:t xml:space="preserve">8850, 9011, 9127, 9166, 9184, </w:t>
      </w:r>
      <w:r>
        <w:rPr>
          <w:lang w:val="es-MX"/>
        </w:rPr>
        <w:t xml:space="preserve">9310, 9477, </w:t>
      </w:r>
      <w:r>
        <w:rPr>
          <w:lang w:val="es-AR"/>
        </w:rPr>
        <w:t xml:space="preserve">9694, 9793, 9958, 9989, 10.003/10.004, 10.057 y 11.583 se remitieron las transcripciones y las casetes correspondientes a las conversaciones mantenidas a través del abonado </w:t>
      </w:r>
      <w:r>
        <w:rPr>
          <w:lang w:val="es-MX"/>
        </w:rPr>
        <w:t xml:space="preserve">0228-28876 entre el 20 de enero y el </w:t>
      </w:r>
      <w:r>
        <w:rPr>
          <w:lang w:val="es-AR"/>
        </w:rPr>
        <w:t>12 de mayo de 1995. El cese de dicha interceptación telefónica fue ordenado por el magi</w:t>
      </w:r>
      <w:r>
        <w:rPr>
          <w:lang w:val="es-AR"/>
        </w:rPr>
        <w:t>s</w:t>
      </w:r>
      <w:r>
        <w:rPr>
          <w:lang w:val="es-AR"/>
        </w:rPr>
        <w:t>trado instructor el 11 de marzo de 1996 (fs. 203 del leg</w:t>
      </w:r>
      <w:r>
        <w:rPr>
          <w:lang w:val="es-AR"/>
        </w:rPr>
        <w:t>a</w:t>
      </w:r>
      <w:r>
        <w:rPr>
          <w:lang w:val="es-AR"/>
        </w:rPr>
        <w:t>jo de intervenciones telefón</w:t>
      </w:r>
      <w:r>
        <w:rPr>
          <w:lang w:val="es-AR"/>
        </w:rPr>
        <w:t>i</w:t>
      </w:r>
      <w:r>
        <w:rPr>
          <w:lang w:val="es-AR"/>
        </w:rPr>
        <w:t>cas).</w:t>
      </w:r>
    </w:p>
    <w:p w:rsidR="00224567" w:rsidRDefault="00224567">
      <w:pPr>
        <w:widowControl w:val="0"/>
        <w:tabs>
          <w:tab w:val="left" w:pos="2835"/>
        </w:tabs>
        <w:ind w:firstLine="2880"/>
      </w:pPr>
      <w:r>
        <w:t>Que el 20 de marzo de 1995 el juez p</w:t>
      </w:r>
      <w:r>
        <w:t>i</w:t>
      </w:r>
      <w:r>
        <w:t xml:space="preserve">dió a </w:t>
      </w:r>
      <w:smartTag w:uri="urn:schemas-microsoft-com:office:smarttags" w:element="PersonName">
        <w:smartTagPr>
          <w:attr w:name="ProductID" w:val="la Secretar￭a"/>
        </w:smartTagPr>
        <w:r>
          <w:t>la Secretaría</w:t>
        </w:r>
      </w:smartTag>
      <w:r>
        <w:t xml:space="preserve"> de Inteligencia de Estado que invest</w:t>
      </w:r>
      <w:r>
        <w:t>i</w:t>
      </w:r>
      <w:r>
        <w:t>gue la posible vinculación de un tal César Fernández con Carlos Alberto Telleldín y personas de su entorno (fs. 10.067/10.069).</w:t>
      </w:r>
    </w:p>
    <w:p w:rsidR="00224567" w:rsidRDefault="00224567">
      <w:pPr>
        <w:widowControl w:val="0"/>
        <w:tabs>
          <w:tab w:val="left" w:pos="2835"/>
        </w:tabs>
        <w:ind w:firstLine="2880"/>
        <w:rPr>
          <w:lang w:val="es-MX"/>
        </w:rPr>
      </w:pPr>
      <w:r>
        <w:t xml:space="preserve">Que a fs. 13.723 obra una constancia del 19 de julio de 1995, que da cuenta que el Sr. Jaime, de </w:t>
      </w:r>
      <w:smartTag w:uri="urn:schemas-microsoft-com:office:smarttags" w:element="PersonName">
        <w:smartTagPr>
          <w:attr w:name="ProductID" w:val="la Secretar￭a"/>
        </w:smartTagPr>
        <w:r>
          <w:t>la Secretaría</w:t>
        </w:r>
      </w:smartTag>
      <w:r>
        <w:t xml:space="preserve"> de Inteligencia de Estado, informó que César Fernández poseería la línea telefónica 0228-28876, cuyo titular sería Isabel Rodríguez y que ta</w:t>
      </w:r>
      <w:r>
        <w:t>m</w:t>
      </w:r>
      <w:r>
        <w:t xml:space="preserve">bién utilizó el teléfono celular nº 471-8022. En virtud de ello, el juez instructor ordenó que personal de </w:t>
      </w:r>
      <w:smartTag w:uri="urn:schemas-microsoft-com:office:smarttags" w:element="PersonName">
        <w:smartTagPr>
          <w:attr w:name="ProductID" w:val="la Divisi￳n Sustracci￳n"/>
        </w:smartTagPr>
        <w:r>
          <w:t>la División Su</w:t>
        </w:r>
        <w:r>
          <w:t>s</w:t>
        </w:r>
        <w:r>
          <w:t>tracción</w:t>
        </w:r>
      </w:smartTag>
      <w:r>
        <w:t xml:space="preserve"> de Automotores de </w:t>
      </w:r>
      <w:smartTag w:uri="urn:schemas-microsoft-com:office:smarttags" w:element="PersonName">
        <w:smartTagPr>
          <w:attr w:name="ProductID" w:val="la P.F"/>
        </w:smartTagPr>
        <w:r>
          <w:t>la P.F</w:t>
        </w:r>
      </w:smartTag>
      <w:r>
        <w:t>.A. tomara conocimiento de dicha información.</w:t>
      </w:r>
    </w:p>
    <w:p w:rsidR="00224567" w:rsidRDefault="00224567">
      <w:pPr>
        <w:widowControl w:val="0"/>
        <w:tabs>
          <w:tab w:val="left" w:pos="2835"/>
        </w:tabs>
        <w:ind w:firstLine="2880"/>
        <w:rPr>
          <w:lang w:val="es-MX"/>
        </w:rPr>
      </w:pPr>
      <w:r>
        <w:rPr>
          <w:lang w:val="es-MX"/>
        </w:rPr>
        <w:t>Que el 20 de julio de 1995 el princ</w:t>
      </w:r>
      <w:r>
        <w:rPr>
          <w:lang w:val="es-MX"/>
        </w:rPr>
        <w:t>i</w:t>
      </w:r>
      <w:r>
        <w:rPr>
          <w:lang w:val="es-MX"/>
        </w:rPr>
        <w:t>pal Britez, de la mencionada división, informó vía telef</w:t>
      </w:r>
      <w:r>
        <w:rPr>
          <w:lang w:val="es-MX"/>
        </w:rPr>
        <w:t>ó</w:t>
      </w:r>
      <w:r>
        <w:rPr>
          <w:lang w:val="es-MX"/>
        </w:rPr>
        <w:t>nica que el nombrado poseía un pedido de captura (fs. 13.806).</w:t>
      </w:r>
    </w:p>
    <w:p w:rsidR="00224567" w:rsidRDefault="00224567">
      <w:pPr>
        <w:widowControl w:val="0"/>
        <w:tabs>
          <w:tab w:val="left" w:pos="2835"/>
        </w:tabs>
        <w:ind w:firstLine="2880"/>
        <w:rPr>
          <w:lang w:val="es-MX"/>
        </w:rPr>
      </w:pPr>
      <w:r>
        <w:rPr>
          <w:lang w:val="es-MX"/>
        </w:rPr>
        <w:t>Que el 13 de octubre de 1995 el juez instructor resolvió la detención del citado “atento que de diversas diligencias efectuadas en autos, resulta que una persona de nombre César Fernández se encontr</w:t>
      </w:r>
      <w:r>
        <w:rPr>
          <w:lang w:val="es-MX"/>
        </w:rPr>
        <w:t>a</w:t>
      </w:r>
      <w:r>
        <w:rPr>
          <w:lang w:val="es-MX"/>
        </w:rPr>
        <w:t>ría vinculado con la presente investigación, siendo é</w:t>
      </w:r>
      <w:r>
        <w:rPr>
          <w:lang w:val="es-MX"/>
        </w:rPr>
        <w:t>s</w:t>
      </w:r>
      <w:r>
        <w:rPr>
          <w:lang w:val="es-MX"/>
        </w:rPr>
        <w:t>te de interés para la pesquisa” (fs. 18.348). A tal efecto, libró oficio a la mencionada División Sustra</w:t>
      </w:r>
      <w:r>
        <w:rPr>
          <w:lang w:val="es-MX"/>
        </w:rPr>
        <w:t>c</w:t>
      </w:r>
      <w:r>
        <w:rPr>
          <w:lang w:val="es-MX"/>
        </w:rPr>
        <w:t>ción de Automotores.</w:t>
      </w:r>
    </w:p>
    <w:p w:rsidR="00224567" w:rsidRDefault="00224567">
      <w:pPr>
        <w:widowControl w:val="0"/>
        <w:tabs>
          <w:tab w:val="left" w:pos="2835"/>
        </w:tabs>
        <w:ind w:firstLine="2880"/>
        <w:rPr>
          <w:lang w:val="es-MX"/>
        </w:rPr>
      </w:pPr>
      <w:r>
        <w:rPr>
          <w:lang w:val="es-MX"/>
        </w:rPr>
        <w:t>Que el 16 de octubre de 1995 el Subs</w:t>
      </w:r>
      <w:r>
        <w:rPr>
          <w:lang w:val="es-MX"/>
        </w:rPr>
        <w:t>e</w:t>
      </w:r>
      <w:r>
        <w:rPr>
          <w:lang w:val="es-MX"/>
        </w:rPr>
        <w:t>cretario de Inteligencia de Estado, Juan Carlos A</w:t>
      </w:r>
      <w:r>
        <w:rPr>
          <w:lang w:val="es-MX"/>
        </w:rPr>
        <w:t>n</w:t>
      </w:r>
      <w:r>
        <w:rPr>
          <w:lang w:val="es-MX"/>
        </w:rPr>
        <w:t>chézar, elevó al juez instructor un informe vinculado al “análisis de las intervenciones telefónicas sobre los abonados rel</w:t>
      </w:r>
      <w:r>
        <w:rPr>
          <w:lang w:val="es-MX"/>
        </w:rPr>
        <w:t>a</w:t>
      </w:r>
      <w:r>
        <w:rPr>
          <w:lang w:val="es-MX"/>
        </w:rPr>
        <w:t>cionados a César Antonio Fernández”. Al día siguiente, presentó un nuevo informe relacionado con las comunicaci</w:t>
      </w:r>
      <w:r>
        <w:rPr>
          <w:lang w:val="es-MX"/>
        </w:rPr>
        <w:t>o</w:t>
      </w:r>
      <w:r>
        <w:rPr>
          <w:lang w:val="es-MX"/>
        </w:rPr>
        <w:t>nes telefónicas que habría efectuado el nombrado (fs. 18.383/18.384 y 18.413/18.414). As</w:t>
      </w:r>
      <w:r>
        <w:rPr>
          <w:lang w:val="es-MX"/>
        </w:rPr>
        <w:t>i</w:t>
      </w:r>
      <w:r>
        <w:rPr>
          <w:lang w:val="es-MX"/>
        </w:rPr>
        <w:t>mismo, el 18 de octubre de 1995 el juez instructor r</w:t>
      </w:r>
      <w:r>
        <w:rPr>
          <w:lang w:val="es-MX"/>
        </w:rPr>
        <w:t>e</w:t>
      </w:r>
      <w:r>
        <w:rPr>
          <w:lang w:val="es-MX"/>
        </w:rPr>
        <w:t>quirió a distintas entidades bancarias información vinculada a las operaciones fina</w:t>
      </w:r>
      <w:r>
        <w:rPr>
          <w:lang w:val="es-MX"/>
        </w:rPr>
        <w:t>n</w:t>
      </w:r>
      <w:r>
        <w:rPr>
          <w:lang w:val="es-MX"/>
        </w:rPr>
        <w:t>cieras realizadas por diversas personas investigadas, e</w:t>
      </w:r>
      <w:r>
        <w:rPr>
          <w:lang w:val="es-MX"/>
        </w:rPr>
        <w:t>n</w:t>
      </w:r>
      <w:r>
        <w:rPr>
          <w:lang w:val="es-MX"/>
        </w:rPr>
        <w:t>tre ellos, César Fe</w:t>
      </w:r>
      <w:r>
        <w:rPr>
          <w:lang w:val="es-MX"/>
        </w:rPr>
        <w:t>r</w:t>
      </w:r>
      <w:r>
        <w:rPr>
          <w:lang w:val="es-MX"/>
        </w:rPr>
        <w:t>nández (fs. 18.524/18.525vta.).</w:t>
      </w:r>
    </w:p>
    <w:p w:rsidR="00224567" w:rsidRDefault="00224567">
      <w:pPr>
        <w:widowControl w:val="0"/>
        <w:tabs>
          <w:tab w:val="left" w:pos="2835"/>
        </w:tabs>
        <w:ind w:firstLine="2880"/>
        <w:rPr>
          <w:lang w:val="es-MX"/>
        </w:rPr>
      </w:pPr>
      <w:r>
        <w:rPr>
          <w:lang w:val="es-MX"/>
        </w:rPr>
        <w:t>Que el 22 de octubre de 1995 el juez instructor dejó constancia que “en el día de la fecha y siendo aproximadamente las 04:00 horas, y mientras regr</w:t>
      </w:r>
      <w:r>
        <w:rPr>
          <w:lang w:val="es-MX"/>
        </w:rPr>
        <w:t>e</w:t>
      </w:r>
      <w:r>
        <w:rPr>
          <w:lang w:val="es-MX"/>
        </w:rPr>
        <w:t>saba a mi domicilio recibí un llamado por mi teléfono c</w:t>
      </w:r>
      <w:r>
        <w:rPr>
          <w:lang w:val="es-MX"/>
        </w:rPr>
        <w:t>e</w:t>
      </w:r>
      <w:r>
        <w:rPr>
          <w:lang w:val="es-MX"/>
        </w:rPr>
        <w:t>lular el que no pude contestar en virtud de encontrarme conduciendo mi automóvil particular. Es así que al llegar a mi departamento consulté el contestador a</w:t>
      </w:r>
      <w:r>
        <w:rPr>
          <w:lang w:val="es-MX"/>
        </w:rPr>
        <w:t>u</w:t>
      </w:r>
      <w:r>
        <w:rPr>
          <w:lang w:val="es-MX"/>
        </w:rPr>
        <w:t>tomático de mi Movicom, oportunidad en la que escuché un llamado de muy corta duración en la que una persona de sexo masculino se limitó a referir ‘</w:t>
      </w:r>
      <w:r>
        <w:rPr>
          <w:b/>
          <w:lang w:val="es-MX"/>
        </w:rPr>
        <w:t>hemos localizado a César Fernández, ve</w:t>
      </w:r>
      <w:r>
        <w:rPr>
          <w:b/>
          <w:lang w:val="es-MX"/>
        </w:rPr>
        <w:t>n</w:t>
      </w:r>
      <w:r>
        <w:rPr>
          <w:b/>
          <w:lang w:val="es-MX"/>
        </w:rPr>
        <w:t>gan a buscarlo a Bella Vista en Gaspar Campos entre Rica</w:t>
      </w:r>
      <w:r>
        <w:rPr>
          <w:b/>
          <w:lang w:val="es-MX"/>
        </w:rPr>
        <w:t>r</w:t>
      </w:r>
      <w:r>
        <w:rPr>
          <w:b/>
          <w:lang w:val="es-MX"/>
        </w:rPr>
        <w:t>do Bourel y Senador Morón’</w:t>
      </w:r>
      <w:r>
        <w:rPr>
          <w:lang w:val="es-MX"/>
        </w:rPr>
        <w:t>. Ante esta circunstancia me c</w:t>
      </w:r>
      <w:r>
        <w:rPr>
          <w:lang w:val="es-MX"/>
        </w:rPr>
        <w:t>o</w:t>
      </w:r>
      <w:r>
        <w:rPr>
          <w:lang w:val="es-MX"/>
        </w:rPr>
        <w:t xml:space="preserve">muniqué telefónicamente con el Comisario Inspector Ángel Roberto Salguero, de </w:t>
      </w:r>
      <w:smartTag w:uri="urn:schemas-microsoft-com:office:smarttags" w:element="PersonName">
        <w:smartTagPr>
          <w:attr w:name="ProductID" w:val="la Brigada"/>
        </w:smartTagPr>
        <w:r>
          <w:rPr>
            <w:lang w:val="es-MX"/>
          </w:rPr>
          <w:t>la Brigada</w:t>
        </w:r>
      </w:smartTag>
      <w:r>
        <w:rPr>
          <w:lang w:val="es-MX"/>
        </w:rPr>
        <w:t xml:space="preserve"> de Investigaciones General Sarmiento, a quien le hice saber lo acontecido como así también que el mencionado César Fernández registraba un pedido de captura en este Tribunal –de fecha 13 de octubre del corriente año-, por lo que solicité se constituye en dicho lugar a verificar la realidad del anónimo recib</w:t>
      </w:r>
      <w:r>
        <w:rPr>
          <w:lang w:val="es-MX"/>
        </w:rPr>
        <w:t>i</w:t>
      </w:r>
      <w:r>
        <w:rPr>
          <w:lang w:val="es-MX"/>
        </w:rPr>
        <w:t>do, y de ser así, constatada la identidad del sujeto que pos</w:t>
      </w:r>
      <w:r>
        <w:rPr>
          <w:lang w:val="es-MX"/>
        </w:rPr>
        <w:t>i</w:t>
      </w:r>
      <w:r>
        <w:rPr>
          <w:lang w:val="es-MX"/>
        </w:rPr>
        <w:t>blemente allí se encuentre proceda a su dete</w:t>
      </w:r>
      <w:r>
        <w:rPr>
          <w:lang w:val="es-MX"/>
        </w:rPr>
        <w:t>n</w:t>
      </w:r>
      <w:r>
        <w:rPr>
          <w:lang w:val="es-MX"/>
        </w:rPr>
        <w:t>ción debiendo promover las consultas pertinentes” (fs. 18.704).</w:t>
      </w:r>
    </w:p>
    <w:p w:rsidR="00224567" w:rsidRDefault="00224567">
      <w:pPr>
        <w:widowControl w:val="0"/>
        <w:tabs>
          <w:tab w:val="left" w:pos="2835"/>
        </w:tabs>
        <w:ind w:firstLine="2880"/>
        <w:rPr>
          <w:lang w:val="es-MX"/>
        </w:rPr>
      </w:pPr>
      <w:r>
        <w:rPr>
          <w:lang w:val="es-MX"/>
        </w:rPr>
        <w:t>Que, consecuentemente, el comisario Ángel Roberto Salguero, secundado por el subcomisario Ca</w:t>
      </w:r>
      <w:r>
        <w:rPr>
          <w:lang w:val="es-MX"/>
        </w:rPr>
        <w:t>r</w:t>
      </w:r>
      <w:r>
        <w:rPr>
          <w:lang w:val="es-MX"/>
        </w:rPr>
        <w:t>los Alberto Vassena, hicieron constar a fs. 18.800 que el día indicado “habiendo recepcionado llamado t</w:t>
      </w:r>
      <w:r>
        <w:rPr>
          <w:lang w:val="es-MX"/>
        </w:rPr>
        <w:t>e</w:t>
      </w:r>
      <w:r>
        <w:rPr>
          <w:lang w:val="es-MX"/>
        </w:rPr>
        <w:t>lefónico por parte del señor Juez Nacional en lo Criminal y Correcci</w:t>
      </w:r>
      <w:r>
        <w:rPr>
          <w:lang w:val="es-MX"/>
        </w:rPr>
        <w:t>o</w:t>
      </w:r>
      <w:r>
        <w:rPr>
          <w:lang w:val="es-MX"/>
        </w:rPr>
        <w:t>nal Federal Dr. Juan José Galeano, quien refiere haber r</w:t>
      </w:r>
      <w:r>
        <w:rPr>
          <w:lang w:val="es-MX"/>
        </w:rPr>
        <w:t>e</w:t>
      </w:r>
      <w:r>
        <w:rPr>
          <w:lang w:val="es-MX"/>
        </w:rPr>
        <w:t>cibido una comunicación telefónica de interlocutor anón</w:t>
      </w:r>
      <w:r>
        <w:rPr>
          <w:lang w:val="es-MX"/>
        </w:rPr>
        <w:t>i</w:t>
      </w:r>
      <w:r>
        <w:rPr>
          <w:lang w:val="es-MX"/>
        </w:rPr>
        <w:t>mo, que le daba cuenta que en inm</w:t>
      </w:r>
      <w:r>
        <w:rPr>
          <w:lang w:val="es-MX"/>
        </w:rPr>
        <w:t>e</w:t>
      </w:r>
      <w:r>
        <w:rPr>
          <w:lang w:val="es-MX"/>
        </w:rPr>
        <w:t>diaciones de las calles Gaspar Campos entre Ricardo Bourel y Senador Morón de B</w:t>
      </w:r>
      <w:r>
        <w:rPr>
          <w:lang w:val="es-MX"/>
        </w:rPr>
        <w:t>e</w:t>
      </w:r>
      <w:r>
        <w:rPr>
          <w:lang w:val="es-MX"/>
        </w:rPr>
        <w:t>lla Vista habría sido abandonada una persona del sexo ma</w:t>
      </w:r>
      <w:r>
        <w:rPr>
          <w:lang w:val="es-MX"/>
        </w:rPr>
        <w:t>s</w:t>
      </w:r>
      <w:r>
        <w:rPr>
          <w:lang w:val="es-MX"/>
        </w:rPr>
        <w:t>culino de apellido Fernández con pedido de captura en ca</w:t>
      </w:r>
      <w:r>
        <w:rPr>
          <w:lang w:val="es-MX"/>
        </w:rPr>
        <w:t>u</w:t>
      </w:r>
      <w:r>
        <w:rPr>
          <w:lang w:val="es-MX"/>
        </w:rPr>
        <w:t xml:space="preserve">sa judicial que investiga el atentado al edificio de </w:t>
      </w:r>
      <w:smartTag w:uri="urn:schemas-microsoft-com:office:smarttags" w:element="PersonName">
        <w:smartTagPr>
          <w:attr w:name="ProductID" w:val="la A.M"/>
        </w:smartTagPr>
        <w:r>
          <w:rPr>
            <w:lang w:val="es-MX"/>
          </w:rPr>
          <w:t>la A.M</w:t>
        </w:r>
      </w:smartTag>
      <w:r>
        <w:rPr>
          <w:lang w:val="es-MX"/>
        </w:rPr>
        <w:t>.I.A. y por lo cual ordenara siendo las 04:15 horas que me constituyera en el lugar sindicado, donde al llegar y siendo las 05:15 horas, se observa que se trata de una z</w:t>
      </w:r>
      <w:r>
        <w:rPr>
          <w:lang w:val="es-MX"/>
        </w:rPr>
        <w:t>o</w:t>
      </w:r>
      <w:r>
        <w:rPr>
          <w:lang w:val="es-MX"/>
        </w:rPr>
        <w:t>na residencial..., nos apersonamos a identificar a una persona de sexo masculino de aproximadamente sesenta y cinco kilogramos de peso, de 1,65 mts. de estatura, cuerpo mediano, tez blanca, cabellos negros en estado de somn</w:t>
      </w:r>
      <w:r>
        <w:rPr>
          <w:lang w:val="es-MX"/>
        </w:rPr>
        <w:t>o</w:t>
      </w:r>
      <w:r>
        <w:rPr>
          <w:lang w:val="es-MX"/>
        </w:rPr>
        <w:t>liencia vistiendo remera de color verde y pantalones de tela de jean y que responde con incoherencia con un aspe</w:t>
      </w:r>
      <w:r>
        <w:rPr>
          <w:lang w:val="es-MX"/>
        </w:rPr>
        <w:t>c</w:t>
      </w:r>
      <w:r>
        <w:rPr>
          <w:lang w:val="es-MX"/>
        </w:rPr>
        <w:t>to general de pulcritud por las ropas que usa, corte de cabello, lo que no condice con la barba inc</w:t>
      </w:r>
      <w:r>
        <w:rPr>
          <w:lang w:val="es-MX"/>
        </w:rPr>
        <w:t>i</w:t>
      </w:r>
      <w:r>
        <w:rPr>
          <w:lang w:val="es-MX"/>
        </w:rPr>
        <w:t>piente, olores corporales, y manchas en las vestimentas siendo identif</w:t>
      </w:r>
      <w:r>
        <w:rPr>
          <w:lang w:val="es-MX"/>
        </w:rPr>
        <w:t>i</w:t>
      </w:r>
      <w:r>
        <w:rPr>
          <w:lang w:val="es-MX"/>
        </w:rPr>
        <w:t>cado con documento a la vista como el llamado: César Ant</w:t>
      </w:r>
      <w:r>
        <w:rPr>
          <w:lang w:val="es-MX"/>
        </w:rPr>
        <w:t>o</w:t>
      </w:r>
      <w:r>
        <w:rPr>
          <w:lang w:val="es-MX"/>
        </w:rPr>
        <w:t>nio Fernández, D.N.I. 24.848.136 quien interrogado sobre los motivos que diera origen a nuestra presencia en el l</w:t>
      </w:r>
      <w:r>
        <w:rPr>
          <w:lang w:val="es-MX"/>
        </w:rPr>
        <w:t>u</w:t>
      </w:r>
      <w:r>
        <w:rPr>
          <w:lang w:val="es-MX"/>
        </w:rPr>
        <w:t xml:space="preserve">gar dice que se halla buscado en </w:t>
      </w:r>
      <w:smartTag w:uri="urn:schemas-microsoft-com:office:smarttags" w:element="PersonName">
        <w:smartTagPr>
          <w:attr w:name="ProductID" w:val="la Causa"/>
        </w:smartTagPr>
        <w:r>
          <w:rPr>
            <w:lang w:val="es-MX"/>
          </w:rPr>
          <w:t>la Causa</w:t>
        </w:r>
      </w:smartTag>
      <w:r>
        <w:rPr>
          <w:lang w:val="es-MX"/>
        </w:rPr>
        <w:t xml:space="preserve"> de A.M.I.A. y que los pormenores del porqué se encontrara en dichas ci</w:t>
      </w:r>
      <w:r>
        <w:rPr>
          <w:lang w:val="es-MX"/>
        </w:rPr>
        <w:t>r</w:t>
      </w:r>
      <w:r>
        <w:rPr>
          <w:lang w:val="es-MX"/>
        </w:rPr>
        <w:t>cunstancias solo se los hará saber si así se lo solicita al Juez Galeano... siendo trasladado al asiento de esta Dependencia Policial en Averiguación de Antecedentes, co</w:t>
      </w:r>
      <w:r>
        <w:rPr>
          <w:lang w:val="es-MX"/>
        </w:rPr>
        <w:t>m</w:t>
      </w:r>
      <w:r>
        <w:rPr>
          <w:lang w:val="es-MX"/>
        </w:rPr>
        <w:t>pletar distintas no</w:t>
      </w:r>
      <w:r>
        <w:rPr>
          <w:lang w:val="es-MX"/>
        </w:rPr>
        <w:t>r</w:t>
      </w:r>
      <w:r>
        <w:rPr>
          <w:lang w:val="es-MX"/>
        </w:rPr>
        <w:t xml:space="preserve">mas de rigor y a tal efecto, convocar en forma inmediata al Señor Médico de </w:t>
      </w:r>
      <w:smartTag w:uri="urn:schemas-microsoft-com:office:smarttags" w:element="PersonName">
        <w:smartTagPr>
          <w:attr w:name="ProductID" w:val="la Polic￭a..."/>
        </w:smartTagPr>
        <w:r>
          <w:rPr>
            <w:lang w:val="es-MX"/>
          </w:rPr>
          <w:t>la Policía...</w:t>
        </w:r>
      </w:smartTag>
      <w:r>
        <w:rPr>
          <w:lang w:val="es-MX"/>
        </w:rPr>
        <w:t xml:space="preserve"> el cual se deberá expedir sobre el estado psicofísico de Fe</w:t>
      </w:r>
      <w:r>
        <w:rPr>
          <w:lang w:val="es-MX"/>
        </w:rPr>
        <w:t>r</w:t>
      </w:r>
      <w:r>
        <w:rPr>
          <w:lang w:val="es-MX"/>
        </w:rPr>
        <w:t>nández en virtud de presentar signos visibles de marcas en sus muñecas...”.</w:t>
      </w:r>
    </w:p>
    <w:p w:rsidR="00224567" w:rsidRDefault="00224567">
      <w:pPr>
        <w:widowControl w:val="0"/>
        <w:tabs>
          <w:tab w:val="left" w:pos="2835"/>
        </w:tabs>
        <w:ind w:firstLine="2880"/>
        <w:rPr>
          <w:lang w:val="es-MX"/>
        </w:rPr>
      </w:pPr>
      <w:r>
        <w:rPr>
          <w:lang w:val="es-MX"/>
        </w:rPr>
        <w:t>Que entre fs. 18.801 y fs. 18.848 se agregaron las actuaciones vinculadas al trámite de la d</w:t>
      </w:r>
      <w:r>
        <w:rPr>
          <w:lang w:val="es-MX"/>
        </w:rPr>
        <w:t>e</w:t>
      </w:r>
      <w:r>
        <w:rPr>
          <w:lang w:val="es-MX"/>
        </w:rPr>
        <w:t>tención y los allanamientos ordenados en virtud de las m</w:t>
      </w:r>
      <w:r>
        <w:rPr>
          <w:lang w:val="es-MX"/>
        </w:rPr>
        <w:t>a</w:t>
      </w:r>
      <w:r>
        <w:rPr>
          <w:lang w:val="es-MX"/>
        </w:rPr>
        <w:t>nifestaciones del imputado ante la prevención. Se destacan la declaración testimonial del subcomisario Carlos Alberto Vassena, que confirmó las circunstancias detalladas en el acta de detención de César Fernández, agregando que éste le refirió que se dedicaba a la co</w:t>
      </w:r>
      <w:r>
        <w:rPr>
          <w:lang w:val="es-MX"/>
        </w:rPr>
        <w:t>m</w:t>
      </w:r>
      <w:r>
        <w:rPr>
          <w:lang w:val="es-MX"/>
        </w:rPr>
        <w:t>pra venta de vehículos, indicando cuatro domicilios donde se encontraría docume</w:t>
      </w:r>
      <w:r>
        <w:rPr>
          <w:lang w:val="es-MX"/>
        </w:rPr>
        <w:t>n</w:t>
      </w:r>
      <w:r>
        <w:rPr>
          <w:lang w:val="es-MX"/>
        </w:rPr>
        <w:t>tación que lo avalaría; la del subcomisario Emir Armando Nasser, que trasladó al sospechoso a la dependencia pol</w:t>
      </w:r>
      <w:r>
        <w:rPr>
          <w:lang w:val="es-MX"/>
        </w:rPr>
        <w:t>i</w:t>
      </w:r>
      <w:r>
        <w:rPr>
          <w:lang w:val="es-MX"/>
        </w:rPr>
        <w:t xml:space="preserve">cial en una camioneta Trafic de </w:t>
      </w:r>
      <w:smartTag w:uri="urn:schemas-microsoft-com:office:smarttags" w:element="PersonName">
        <w:smartTagPr>
          <w:attr w:name="ProductID" w:val="la Brigada"/>
        </w:smartTagPr>
        <w:r>
          <w:rPr>
            <w:lang w:val="es-MX"/>
          </w:rPr>
          <w:t>la Brigada</w:t>
        </w:r>
      </w:smartTag>
      <w:r>
        <w:rPr>
          <w:lang w:val="es-MX"/>
        </w:rPr>
        <w:t xml:space="preserve"> e interrogó a los empleados de la estación de servicio “Las Palmeras”, ubicada en las cercanías del lugar donde fue detenido el nombrado, con el objeto de determinar si era una persona conocida, con resultado negativo; la de los playeros José León Gómez y Alberto Rodas, que ratificaron esta última circunstancia y el informe médico de fs. 18.807vta. que determinó que César Fernández presentaba funciones psíqu</w:t>
      </w:r>
      <w:r>
        <w:rPr>
          <w:lang w:val="es-MX"/>
        </w:rPr>
        <w:t>i</w:t>
      </w:r>
      <w:r>
        <w:rPr>
          <w:lang w:val="es-MX"/>
        </w:rPr>
        <w:t>cas conservadas, orientado en tiempo y espacio, re</w:t>
      </w:r>
      <w:r>
        <w:rPr>
          <w:lang w:val="es-MX"/>
        </w:rPr>
        <w:t>s</w:t>
      </w:r>
      <w:r>
        <w:rPr>
          <w:lang w:val="es-MX"/>
        </w:rPr>
        <w:t>pondía a las preguntas que se le formulaban, con coherencia y cierta lentitud, refiriendo que se encuentra muy cansado, somnoliento y casi sin ingerir alimentos en las últimas 24 horas; se constató, además, congestión lineal a nivel de la piel de ambas muñecas, característica del uso de esp</w:t>
      </w:r>
      <w:r>
        <w:rPr>
          <w:lang w:val="es-MX"/>
        </w:rPr>
        <w:t>o</w:t>
      </w:r>
      <w:r>
        <w:rPr>
          <w:lang w:val="es-MX"/>
        </w:rPr>
        <w:t>sas, no presentando otros si</w:t>
      </w:r>
      <w:r>
        <w:rPr>
          <w:lang w:val="es-MX"/>
        </w:rPr>
        <w:t>g</w:t>
      </w:r>
      <w:r>
        <w:rPr>
          <w:lang w:val="es-MX"/>
        </w:rPr>
        <w:t>nos de lesiones clínicamente evidenciables.</w:t>
      </w:r>
    </w:p>
    <w:p w:rsidR="00224567" w:rsidRDefault="00224567">
      <w:pPr>
        <w:widowControl w:val="0"/>
        <w:tabs>
          <w:tab w:val="left" w:pos="2835"/>
        </w:tabs>
        <w:ind w:firstLine="2880"/>
        <w:rPr>
          <w:lang w:val="es-MX"/>
        </w:rPr>
      </w:pPr>
      <w:r>
        <w:rPr>
          <w:lang w:val="es-MX"/>
        </w:rPr>
        <w:t>Que tras hacerle saber los cargos que pesaban en su contra, consistentes en formar parte de una organización delictiva, haber colaborado con Carlos Albe</w:t>
      </w:r>
      <w:r>
        <w:rPr>
          <w:lang w:val="es-MX"/>
        </w:rPr>
        <w:t>r</w:t>
      </w:r>
      <w:r>
        <w:rPr>
          <w:lang w:val="es-MX"/>
        </w:rPr>
        <w:t xml:space="preserve">to Telleldín en la obtención y acondicionamiento del vehículo utilizado para cometer el atentado contra </w:t>
      </w:r>
      <w:smartTag w:uri="urn:schemas-microsoft-com:office:smarttags" w:element="PersonName">
        <w:smartTagPr>
          <w:attr w:name="ProductID" w:val="la A.M"/>
        </w:smartTagPr>
        <w:r>
          <w:rPr>
            <w:lang w:val="es-MX"/>
          </w:rPr>
          <w:t>la A.M</w:t>
        </w:r>
      </w:smartTag>
      <w:r>
        <w:rPr>
          <w:lang w:val="es-MX"/>
        </w:rPr>
        <w:t>.I.A. y sustraído la camioneta Renault Trafic dominio C 1.519.275, César Antonio Fernández se negó a prestar d</w:t>
      </w:r>
      <w:r>
        <w:rPr>
          <w:lang w:val="es-MX"/>
        </w:rPr>
        <w:t>e</w:t>
      </w:r>
      <w:r>
        <w:rPr>
          <w:lang w:val="es-MX"/>
        </w:rPr>
        <w:t>claración indagatoria ante el juez instructor (fs. 18.853/6).</w:t>
      </w:r>
    </w:p>
    <w:p w:rsidR="00224567" w:rsidRDefault="00224567">
      <w:pPr>
        <w:widowControl w:val="0"/>
        <w:tabs>
          <w:tab w:val="left" w:pos="2835"/>
        </w:tabs>
        <w:ind w:firstLine="2880"/>
        <w:rPr>
          <w:lang w:val="es-MX"/>
        </w:rPr>
      </w:pPr>
      <w:r>
        <w:rPr>
          <w:lang w:val="es-MX"/>
        </w:rPr>
        <w:t>Que, al ampliarse su declaración a fs. 18.917/25, el nombrado refirió ser ajeno al hecho materia de investigación.</w:t>
      </w:r>
    </w:p>
    <w:p w:rsidR="00224567" w:rsidRDefault="00224567">
      <w:pPr>
        <w:widowControl w:val="0"/>
        <w:tabs>
          <w:tab w:val="left" w:pos="2835"/>
        </w:tabs>
        <w:ind w:firstLine="2880"/>
        <w:rPr>
          <w:lang w:val="es-MX"/>
        </w:rPr>
      </w:pPr>
      <w:r>
        <w:rPr>
          <w:lang w:val="es-MX"/>
        </w:rPr>
        <w:t>En cuanto a las circunstancias de su detención, manifestó que ella se realizó en la ciudad de Gualeguaychú, provincia de Entre Ríos, a las 16:30 del 21 de octubre de 1995. Afirmó que mientras acompañaba a Hor</w:t>
      </w:r>
      <w:r>
        <w:rPr>
          <w:lang w:val="es-MX"/>
        </w:rPr>
        <w:t>a</w:t>
      </w:r>
      <w:r>
        <w:rPr>
          <w:lang w:val="es-MX"/>
        </w:rPr>
        <w:t>cio Manzanares a bordo de un utilitario Rastrojero, cond</w:t>
      </w:r>
      <w:r>
        <w:rPr>
          <w:lang w:val="es-MX"/>
        </w:rPr>
        <w:t>u</w:t>
      </w:r>
      <w:r>
        <w:rPr>
          <w:lang w:val="es-MX"/>
        </w:rPr>
        <w:t>cido por éste, al estacionar frente a una casa de un fam</w:t>
      </w:r>
      <w:r>
        <w:rPr>
          <w:lang w:val="es-MX"/>
        </w:rPr>
        <w:t>i</w:t>
      </w:r>
      <w:r>
        <w:rPr>
          <w:lang w:val="es-MX"/>
        </w:rPr>
        <w:t>liar del nombrado, se cruzó una camioneta color blanca, con vidrios polarizados, de dónde descendieron dos pers</w:t>
      </w:r>
      <w:r>
        <w:rPr>
          <w:lang w:val="es-MX"/>
        </w:rPr>
        <w:t>o</w:t>
      </w:r>
      <w:r>
        <w:rPr>
          <w:lang w:val="es-MX"/>
        </w:rPr>
        <w:t>nas con armas de fuego y lo obligaron a subir a la parte de la cabina. Allí fue esposado y tirado boca abajo en el piso, recordando que en el interior había un asiento gir</w:t>
      </w:r>
      <w:r>
        <w:rPr>
          <w:lang w:val="es-MX"/>
        </w:rPr>
        <w:t>a</w:t>
      </w:r>
      <w:r>
        <w:rPr>
          <w:lang w:val="es-MX"/>
        </w:rPr>
        <w:t>torio, otro más para dos o tres personas en la parte lat</w:t>
      </w:r>
      <w:r>
        <w:rPr>
          <w:lang w:val="es-MX"/>
        </w:rPr>
        <w:t>e</w:t>
      </w:r>
      <w:r>
        <w:rPr>
          <w:lang w:val="es-MX"/>
        </w:rPr>
        <w:t>ral y una radio Motorola. En la parte trasera había dos personas y creía que adelante iba otro par.</w:t>
      </w:r>
    </w:p>
    <w:p w:rsidR="00224567" w:rsidRDefault="00224567">
      <w:pPr>
        <w:widowControl w:val="0"/>
        <w:tabs>
          <w:tab w:val="left" w:pos="2835"/>
        </w:tabs>
        <w:ind w:firstLine="2880"/>
        <w:rPr>
          <w:lang w:val="es-MX"/>
        </w:rPr>
      </w:pPr>
      <w:r>
        <w:rPr>
          <w:lang w:val="es-MX"/>
        </w:rPr>
        <w:t>Expuso, que durante el trayecto de Gualeguaychú a Buenos Aires, al menos, iba un automóvil de apoyo “ya que en algunas oportunidades detuvieron la ma</w:t>
      </w:r>
      <w:r>
        <w:rPr>
          <w:lang w:val="es-MX"/>
        </w:rPr>
        <w:t>r</w:t>
      </w:r>
      <w:r>
        <w:rPr>
          <w:lang w:val="es-MX"/>
        </w:rPr>
        <w:t>cha y le dio la impresión que gente de la camioneta bajaba a conversar con otros que iban en el auto”. Al detener la marcha, se cerraban totalmente las cortinas de la camion</w:t>
      </w:r>
      <w:r>
        <w:rPr>
          <w:lang w:val="es-MX"/>
        </w:rPr>
        <w:t>e</w:t>
      </w:r>
      <w:r>
        <w:rPr>
          <w:lang w:val="es-MX"/>
        </w:rPr>
        <w:t>ta y, en algunas oportunidades, se abría una escotilla del techo, por donde uno de sus secuestradores miraba los a</w:t>
      </w:r>
      <w:r>
        <w:rPr>
          <w:lang w:val="es-MX"/>
        </w:rPr>
        <w:t>l</w:t>
      </w:r>
      <w:r>
        <w:rPr>
          <w:lang w:val="es-MX"/>
        </w:rPr>
        <w:t>rededores. Además, dijo, se com</w:t>
      </w:r>
      <w:r>
        <w:rPr>
          <w:lang w:val="es-MX"/>
        </w:rPr>
        <w:t>u</w:t>
      </w:r>
      <w:r>
        <w:rPr>
          <w:lang w:val="es-MX"/>
        </w:rPr>
        <w:t>nicaban mediante telefonía celular.</w:t>
      </w:r>
    </w:p>
    <w:p w:rsidR="00224567" w:rsidRDefault="00224567">
      <w:pPr>
        <w:widowControl w:val="0"/>
        <w:tabs>
          <w:tab w:val="left" w:pos="2835"/>
        </w:tabs>
        <w:ind w:firstLine="2880"/>
        <w:rPr>
          <w:lang w:val="es-MX"/>
        </w:rPr>
      </w:pPr>
      <w:r>
        <w:rPr>
          <w:lang w:val="es-MX"/>
        </w:rPr>
        <w:t>En el tiempo que estuvo en el int</w:t>
      </w:r>
      <w:r>
        <w:rPr>
          <w:lang w:val="es-MX"/>
        </w:rPr>
        <w:t>e</w:t>
      </w:r>
      <w:r>
        <w:rPr>
          <w:lang w:val="es-MX"/>
        </w:rPr>
        <w:t>rior, no fue golpeado, ni interrogado, todo se limitó a una charla informal y le ofrecieron un sandwich y una g</w:t>
      </w:r>
      <w:r>
        <w:rPr>
          <w:lang w:val="es-MX"/>
        </w:rPr>
        <w:t>a</w:t>
      </w:r>
      <w:r>
        <w:rPr>
          <w:lang w:val="es-MX"/>
        </w:rPr>
        <w:t>seosa. Preguntó a sus captores si lo habían secue</w:t>
      </w:r>
      <w:r>
        <w:rPr>
          <w:lang w:val="es-MX"/>
        </w:rPr>
        <w:t>s</w:t>
      </w:r>
      <w:r>
        <w:rPr>
          <w:lang w:val="es-MX"/>
        </w:rPr>
        <w:t>trado o si eran policías, a lo que contestaron que no podían decir nada. Los sujetos, dijo, daban la impresión de ser gente culta y no aparentaban ser policías ya que “no tenían a</w:t>
      </w:r>
      <w:r>
        <w:rPr>
          <w:lang w:val="es-MX"/>
        </w:rPr>
        <w:t>s</w:t>
      </w:r>
      <w:r>
        <w:rPr>
          <w:lang w:val="es-MX"/>
        </w:rPr>
        <w:t>pecto de tales, ni hablaban como aquellos”. Asimismo, dijo que los podría reconocer si los veía personalmente o en fotografías, describiénd</w:t>
      </w:r>
      <w:r>
        <w:rPr>
          <w:lang w:val="es-MX"/>
        </w:rPr>
        <w:t>o</w:t>
      </w:r>
      <w:r>
        <w:rPr>
          <w:lang w:val="es-MX"/>
        </w:rPr>
        <w:t>los.</w:t>
      </w:r>
    </w:p>
    <w:p w:rsidR="00224567" w:rsidRDefault="00224567">
      <w:pPr>
        <w:widowControl w:val="0"/>
        <w:tabs>
          <w:tab w:val="left" w:pos="2835"/>
        </w:tabs>
        <w:ind w:firstLine="2880"/>
        <w:rPr>
          <w:lang w:val="es-MX"/>
        </w:rPr>
      </w:pPr>
      <w:r>
        <w:rPr>
          <w:lang w:val="es-MX"/>
        </w:rPr>
        <w:t>Luego de aproximadamente seis horas de transitar a bordo de la camioneta y media hora antes de llegar a destino, le vendaron los ojos con “30 o 40 vue</w:t>
      </w:r>
      <w:r>
        <w:rPr>
          <w:lang w:val="es-MX"/>
        </w:rPr>
        <w:t>l</w:t>
      </w:r>
      <w:r>
        <w:rPr>
          <w:lang w:val="es-MX"/>
        </w:rPr>
        <w:t>tas con cinta de tela adhesiva” y lo hicieron de</w:t>
      </w:r>
      <w:r>
        <w:rPr>
          <w:lang w:val="es-MX"/>
        </w:rPr>
        <w:t>s</w:t>
      </w:r>
      <w:r>
        <w:rPr>
          <w:lang w:val="es-MX"/>
        </w:rPr>
        <w:t>cender en un parque, porque percató que pisaba pasto. De allí, lo obligaron a ingresar a un inmueble, del cual no pudo dar mayores datos pues tenía los ojos vendados, siendo trasl</w:t>
      </w:r>
      <w:r>
        <w:rPr>
          <w:lang w:val="es-MX"/>
        </w:rPr>
        <w:t>a</w:t>
      </w:r>
      <w:r>
        <w:rPr>
          <w:lang w:val="es-MX"/>
        </w:rPr>
        <w:t>dado a una habitación.</w:t>
      </w:r>
    </w:p>
    <w:p w:rsidR="00224567" w:rsidRDefault="00224567">
      <w:pPr>
        <w:widowControl w:val="0"/>
        <w:tabs>
          <w:tab w:val="left" w:pos="2835"/>
        </w:tabs>
        <w:ind w:firstLine="2880"/>
        <w:rPr>
          <w:lang w:val="es-MX"/>
        </w:rPr>
      </w:pPr>
      <w:r>
        <w:rPr>
          <w:lang w:val="es-MX"/>
        </w:rPr>
        <w:t>Desde que llegó a ese lugar hasta las 5:00 horas del día domingo 22 de octubre lo tort</w:t>
      </w:r>
      <w:r>
        <w:rPr>
          <w:lang w:val="es-MX"/>
        </w:rPr>
        <w:t>u</w:t>
      </w:r>
      <w:r>
        <w:rPr>
          <w:lang w:val="es-MX"/>
        </w:rPr>
        <w:t>raron.</w:t>
      </w:r>
    </w:p>
    <w:p w:rsidR="00224567" w:rsidRDefault="00224567">
      <w:pPr>
        <w:widowControl w:val="0"/>
        <w:tabs>
          <w:tab w:val="left" w:pos="2835"/>
        </w:tabs>
        <w:ind w:firstLine="2880"/>
        <w:rPr>
          <w:lang w:val="es-MX"/>
        </w:rPr>
      </w:pPr>
      <w:r>
        <w:rPr>
          <w:lang w:val="es-MX"/>
        </w:rPr>
        <w:t>Expresó que lo sentaron en un almoh</w:t>
      </w:r>
      <w:r>
        <w:rPr>
          <w:lang w:val="es-MX"/>
        </w:rPr>
        <w:t>a</w:t>
      </w:r>
      <w:r>
        <w:rPr>
          <w:lang w:val="es-MX"/>
        </w:rPr>
        <w:t>dón y comenzaron a interrogarlo; luego, le pusieron bo</w:t>
      </w:r>
      <w:r>
        <w:rPr>
          <w:lang w:val="es-MX"/>
        </w:rPr>
        <w:t>l</w:t>
      </w:r>
      <w:r>
        <w:rPr>
          <w:lang w:val="es-MX"/>
        </w:rPr>
        <w:t>sas en la cabeza al tiempo que le pegaban en el estómago. Ta</w:t>
      </w:r>
      <w:r>
        <w:rPr>
          <w:lang w:val="es-MX"/>
        </w:rPr>
        <w:t>m</w:t>
      </w:r>
      <w:r>
        <w:rPr>
          <w:lang w:val="es-MX"/>
        </w:rPr>
        <w:t>bién pasaron corriente eléctrica por su cuerpo –en la e</w:t>
      </w:r>
      <w:r>
        <w:rPr>
          <w:lang w:val="es-MX"/>
        </w:rPr>
        <w:t>s</w:t>
      </w:r>
      <w:r>
        <w:rPr>
          <w:lang w:val="es-MX"/>
        </w:rPr>
        <w:t>palda por los omóplatos, en la parte interna de los mu</w:t>
      </w:r>
      <w:r>
        <w:rPr>
          <w:lang w:val="es-MX"/>
        </w:rPr>
        <w:t>s</w:t>
      </w:r>
      <w:r>
        <w:rPr>
          <w:lang w:val="es-MX"/>
        </w:rPr>
        <w:t>los, a lo largo de los dos brazos, en las axilas y en el abdomen-, utilizando un cable. Al mismo tiempo, con una botella, tiraban agua por su cuerpo y uno de los presentes sugería que lo conectaran a 220.</w:t>
      </w:r>
    </w:p>
    <w:p w:rsidR="00224567" w:rsidRDefault="00224567">
      <w:pPr>
        <w:widowControl w:val="0"/>
        <w:tabs>
          <w:tab w:val="left" w:pos="2835"/>
        </w:tabs>
        <w:ind w:firstLine="2880"/>
        <w:rPr>
          <w:lang w:val="es-MX"/>
        </w:rPr>
      </w:pPr>
      <w:r>
        <w:rPr>
          <w:lang w:val="es-MX"/>
        </w:rPr>
        <w:t>Los castigos corporales fueron aplic</w:t>
      </w:r>
      <w:r>
        <w:rPr>
          <w:lang w:val="es-MX"/>
        </w:rPr>
        <w:t>a</w:t>
      </w:r>
      <w:r>
        <w:rPr>
          <w:lang w:val="es-MX"/>
        </w:rPr>
        <w:t>dos en forma reiterada, recibiendo además golpes en el e</w:t>
      </w:r>
      <w:r>
        <w:rPr>
          <w:lang w:val="es-MX"/>
        </w:rPr>
        <w:t>s</w:t>
      </w:r>
      <w:r>
        <w:rPr>
          <w:lang w:val="es-MX"/>
        </w:rPr>
        <w:t>tómago a la vez que colocaban una bolsa en su cabeza con el fin de que no pudiera respirar. También fue golpeado en sus orejas y le decían que su padre estaba en una habit</w:t>
      </w:r>
      <w:r>
        <w:rPr>
          <w:lang w:val="es-MX"/>
        </w:rPr>
        <w:t>a</w:t>
      </w:r>
      <w:r>
        <w:rPr>
          <w:lang w:val="es-MX"/>
        </w:rPr>
        <w:t>ción contigua, recibiendo idéntico tratamiento. En esas condiciones estuvo aproximadamente unas seis horas, expl</w:t>
      </w:r>
      <w:r>
        <w:rPr>
          <w:lang w:val="es-MX"/>
        </w:rPr>
        <w:t>i</w:t>
      </w:r>
      <w:r>
        <w:rPr>
          <w:lang w:val="es-MX"/>
        </w:rPr>
        <w:t>cando que lo sometían a torturas durante media hora y, tras descansar unos veinte minutos, reiteraban los torme</w:t>
      </w:r>
      <w:r>
        <w:rPr>
          <w:lang w:val="es-MX"/>
        </w:rPr>
        <w:t>n</w:t>
      </w:r>
      <w:r>
        <w:rPr>
          <w:lang w:val="es-MX"/>
        </w:rPr>
        <w:t>tos.</w:t>
      </w:r>
    </w:p>
    <w:p w:rsidR="00224567" w:rsidRDefault="00224567">
      <w:pPr>
        <w:widowControl w:val="0"/>
        <w:tabs>
          <w:tab w:val="left" w:pos="2835"/>
        </w:tabs>
        <w:ind w:firstLine="2880"/>
        <w:rPr>
          <w:lang w:val="es-MX"/>
        </w:rPr>
      </w:pPr>
      <w:r>
        <w:rPr>
          <w:lang w:val="es-MX"/>
        </w:rPr>
        <w:t>Dijo que en todo momento estuvo con esposas y que únicamente se las aflojaron para colocar un trapo mojado en sus muñecas porque aquellas le apretaban mucho. Creyó que en el lugar había entre tres y cinco s</w:t>
      </w:r>
      <w:r>
        <w:rPr>
          <w:lang w:val="es-MX"/>
        </w:rPr>
        <w:t>u</w:t>
      </w:r>
      <w:r>
        <w:rPr>
          <w:lang w:val="es-MX"/>
        </w:rPr>
        <w:t>jetos, reconociendo la voz de uno solo, quién a su vez h</w:t>
      </w:r>
      <w:r>
        <w:rPr>
          <w:lang w:val="es-MX"/>
        </w:rPr>
        <w:t>a</w:t>
      </w:r>
      <w:r>
        <w:rPr>
          <w:lang w:val="es-MX"/>
        </w:rPr>
        <w:t>bía participado al momento de ser detenido.</w:t>
      </w:r>
    </w:p>
    <w:p w:rsidR="00224567" w:rsidRDefault="00224567">
      <w:pPr>
        <w:widowControl w:val="0"/>
        <w:tabs>
          <w:tab w:val="left" w:pos="2835"/>
        </w:tabs>
        <w:ind w:firstLine="2880"/>
        <w:rPr>
          <w:lang w:val="es-MX"/>
        </w:rPr>
      </w:pPr>
      <w:r>
        <w:rPr>
          <w:lang w:val="es-MX"/>
        </w:rPr>
        <w:t xml:space="preserve">Explicó que mientras era torturado lo interrogaron insistentemente para que contestara quién sustrajo la camioneta Trafic utilizada en </w:t>
      </w:r>
      <w:smartTag w:uri="urn:schemas-microsoft-com:office:smarttags" w:element="PersonName">
        <w:smartTagPr>
          <w:attr w:name="ProductID" w:val="la A.M"/>
        </w:smartTagPr>
        <w:r>
          <w:rPr>
            <w:lang w:val="es-MX"/>
          </w:rPr>
          <w:t>la A.M</w:t>
        </w:r>
      </w:smartTag>
      <w:r>
        <w:rPr>
          <w:lang w:val="es-MX"/>
        </w:rPr>
        <w:t>.I.A.; quién se la encargó o a quién se la había entregado. Agr</w:t>
      </w:r>
      <w:r>
        <w:rPr>
          <w:lang w:val="es-MX"/>
        </w:rPr>
        <w:t>e</w:t>
      </w:r>
      <w:r>
        <w:rPr>
          <w:lang w:val="es-MX"/>
        </w:rPr>
        <w:t>gó que pudo advertir que el interrogatorio era grabado ya que escuchaba cómo daban vuelta el casete cuando finaliz</w:t>
      </w:r>
      <w:r>
        <w:rPr>
          <w:lang w:val="es-MX"/>
        </w:rPr>
        <w:t>a</w:t>
      </w:r>
      <w:r>
        <w:rPr>
          <w:lang w:val="es-MX"/>
        </w:rPr>
        <w:t>ba uno de sus lados.</w:t>
      </w:r>
    </w:p>
    <w:p w:rsidR="00224567" w:rsidRDefault="00224567">
      <w:pPr>
        <w:widowControl w:val="0"/>
        <w:tabs>
          <w:tab w:val="left" w:pos="2835"/>
        </w:tabs>
        <w:ind w:firstLine="2880"/>
        <w:rPr>
          <w:lang w:val="es-MX"/>
        </w:rPr>
      </w:pPr>
      <w:r>
        <w:rPr>
          <w:lang w:val="es-MX"/>
        </w:rPr>
        <w:t>Tras ello, fue nuevamente introduc</w:t>
      </w:r>
      <w:r>
        <w:rPr>
          <w:lang w:val="es-MX"/>
        </w:rPr>
        <w:t>i</w:t>
      </w:r>
      <w:r>
        <w:rPr>
          <w:lang w:val="es-MX"/>
        </w:rPr>
        <w:t>do, con los ojos vendados, en la camioneta, circuló con rumbo desconocido y fue dejado por sus secuestradores en un l</w:t>
      </w:r>
      <w:r>
        <w:rPr>
          <w:lang w:val="es-MX"/>
        </w:rPr>
        <w:t>u</w:t>
      </w:r>
      <w:r>
        <w:rPr>
          <w:lang w:val="es-MX"/>
        </w:rPr>
        <w:t xml:space="preserve">gar de la provincia de Buenos Aires, en la calle Gaspar Campos, no pudiendo dar mayores detalles. Desde ese lugar, después de poco tiempo, lo subieron a otra camioneta –ésta vez, de </w:t>
      </w:r>
      <w:smartTag w:uri="urn:schemas-microsoft-com:office:smarttags" w:element="PersonName">
        <w:smartTagPr>
          <w:attr w:name="ProductID" w:val="la Brigada"/>
        </w:smartTagPr>
        <w:r>
          <w:rPr>
            <w:lang w:val="es-MX"/>
          </w:rPr>
          <w:t>la Brigada</w:t>
        </w:r>
      </w:smartTag>
      <w:r>
        <w:rPr>
          <w:lang w:val="es-MX"/>
        </w:rPr>
        <w:t xml:space="preserve"> de General Sarmiento de </w:t>
      </w:r>
      <w:smartTag w:uri="urn:schemas-microsoft-com:office:smarttags" w:element="PersonName">
        <w:smartTagPr>
          <w:attr w:name="ProductID" w:val="la Polic￭a Bonaerense-"/>
        </w:smartTagPr>
        <w:r>
          <w:rPr>
            <w:lang w:val="es-MX"/>
          </w:rPr>
          <w:t>la Policía B</w:t>
        </w:r>
        <w:r>
          <w:rPr>
            <w:lang w:val="es-MX"/>
          </w:rPr>
          <w:t>o</w:t>
        </w:r>
        <w:r>
          <w:rPr>
            <w:lang w:val="es-MX"/>
          </w:rPr>
          <w:t>naerense-</w:t>
        </w:r>
      </w:smartTag>
      <w:r>
        <w:rPr>
          <w:lang w:val="es-MX"/>
        </w:rPr>
        <w:t xml:space="preserve"> donde le quitaron las vendas y fue trasladado a esa dependencia policial por averiguación de antecedentes. Aclaró que sus secuestradores, sin soltarle los brazos y en forma esposada, lo hicieron descender de una camioneta para ingresarlo en la otra.</w:t>
      </w:r>
    </w:p>
    <w:p w:rsidR="00224567" w:rsidRDefault="00224567">
      <w:pPr>
        <w:widowControl w:val="0"/>
        <w:tabs>
          <w:tab w:val="left" w:pos="2835"/>
        </w:tabs>
        <w:ind w:firstLine="2880"/>
        <w:rPr>
          <w:lang w:val="es-MX"/>
        </w:rPr>
      </w:pPr>
      <w:r>
        <w:rPr>
          <w:lang w:val="es-MX"/>
        </w:rPr>
        <w:t>A partir de allí, cambió su situ</w:t>
      </w:r>
      <w:r>
        <w:rPr>
          <w:lang w:val="es-MX"/>
        </w:rPr>
        <w:t>a</w:t>
      </w:r>
      <w:r>
        <w:rPr>
          <w:lang w:val="es-MX"/>
        </w:rPr>
        <w:t>ción puesto que no recibió maltratos por parte del personal p</w:t>
      </w:r>
      <w:r>
        <w:rPr>
          <w:lang w:val="es-MX"/>
        </w:rPr>
        <w:t>o</w:t>
      </w:r>
      <w:r>
        <w:rPr>
          <w:lang w:val="es-MX"/>
        </w:rPr>
        <w:t>licial. Agregó que circuló a bordo de ese rod</w:t>
      </w:r>
      <w:r>
        <w:rPr>
          <w:lang w:val="es-MX"/>
        </w:rPr>
        <w:t>a</w:t>
      </w:r>
      <w:r>
        <w:rPr>
          <w:lang w:val="es-MX"/>
        </w:rPr>
        <w:t>do hasta la dependencia, parando únicamente en una estación de serv</w:t>
      </w:r>
      <w:r>
        <w:rPr>
          <w:lang w:val="es-MX"/>
        </w:rPr>
        <w:t>i</w:t>
      </w:r>
      <w:r>
        <w:rPr>
          <w:lang w:val="es-MX"/>
        </w:rPr>
        <w:t>cio “Shell”, donde los policías abrieron las puertas de la camioneta y un empleado de la playa pudo observarlo en su interior.</w:t>
      </w:r>
    </w:p>
    <w:p w:rsidR="00224567" w:rsidRDefault="00224567">
      <w:pPr>
        <w:widowControl w:val="0"/>
        <w:tabs>
          <w:tab w:val="left" w:pos="2835"/>
        </w:tabs>
        <w:ind w:firstLine="2880"/>
        <w:rPr>
          <w:lang w:val="es-MX"/>
        </w:rPr>
      </w:pPr>
      <w:r>
        <w:rPr>
          <w:lang w:val="es-MX"/>
        </w:rPr>
        <w:t>Que el 26 de octubre de 1995 el m</w:t>
      </w:r>
      <w:r>
        <w:rPr>
          <w:lang w:val="es-MX"/>
        </w:rPr>
        <w:t>é</w:t>
      </w:r>
      <w:r>
        <w:rPr>
          <w:lang w:val="es-MX"/>
        </w:rPr>
        <w:t>dico forense Roberto Domingo Alfaro informó que César Antonio Fernández presentó al momento del examen lesi</w:t>
      </w:r>
      <w:r>
        <w:rPr>
          <w:lang w:val="es-MX"/>
        </w:rPr>
        <w:t>o</w:t>
      </w:r>
      <w:r>
        <w:rPr>
          <w:lang w:val="es-MX"/>
        </w:rPr>
        <w:t>nes contusas en ambos miembros inferiores, región anterior infrarot</w:t>
      </w:r>
      <w:r>
        <w:rPr>
          <w:lang w:val="es-MX"/>
        </w:rPr>
        <w:t>u</w:t>
      </w:r>
      <w:r>
        <w:rPr>
          <w:lang w:val="es-MX"/>
        </w:rPr>
        <w:t>liana y excoriaciones en evolución, co</w:t>
      </w:r>
      <w:r>
        <w:rPr>
          <w:lang w:val="es-MX"/>
        </w:rPr>
        <w:t>m</w:t>
      </w:r>
      <w:r>
        <w:rPr>
          <w:lang w:val="es-MX"/>
        </w:rPr>
        <w:t>patibles con choque o golpe con o contra elemento o superficie dura, cuya a</w:t>
      </w:r>
      <w:r>
        <w:rPr>
          <w:lang w:val="es-MX"/>
        </w:rPr>
        <w:t>n</w:t>
      </w:r>
      <w:r>
        <w:rPr>
          <w:lang w:val="es-MX"/>
        </w:rPr>
        <w:t>tigüedad se estimó en 72 horas aproximadamente, anterior a la fecha del examen. Asimismo, que ante la ausencia de signos externos de l</w:t>
      </w:r>
      <w:r>
        <w:rPr>
          <w:lang w:val="es-MX"/>
        </w:rPr>
        <w:t>e</w:t>
      </w:r>
      <w:r>
        <w:rPr>
          <w:lang w:val="es-MX"/>
        </w:rPr>
        <w:t>siones por paso de electricidad o de lugares que permitan precisar el sitio de la biopsia r</w:t>
      </w:r>
      <w:r>
        <w:rPr>
          <w:lang w:val="es-MX"/>
        </w:rPr>
        <w:t>e</w:t>
      </w:r>
      <w:r>
        <w:rPr>
          <w:lang w:val="es-MX"/>
        </w:rPr>
        <w:t>querida, el examinado indicará el lugar donde habría suc</w:t>
      </w:r>
      <w:r>
        <w:rPr>
          <w:lang w:val="es-MX"/>
        </w:rPr>
        <w:t>e</w:t>
      </w:r>
      <w:r>
        <w:rPr>
          <w:lang w:val="es-MX"/>
        </w:rPr>
        <w:t>dido el il</w:t>
      </w:r>
      <w:r>
        <w:rPr>
          <w:lang w:val="es-MX"/>
        </w:rPr>
        <w:t>í</w:t>
      </w:r>
      <w:r>
        <w:rPr>
          <w:lang w:val="es-MX"/>
        </w:rPr>
        <w:t>cito (fs. 19.051/19.054).</w:t>
      </w:r>
    </w:p>
    <w:p w:rsidR="00224567" w:rsidRDefault="00224567">
      <w:pPr>
        <w:widowControl w:val="0"/>
        <w:tabs>
          <w:tab w:val="left" w:pos="2835"/>
        </w:tabs>
        <w:ind w:firstLine="2880"/>
        <w:rPr>
          <w:lang w:val="es-MX"/>
        </w:rPr>
      </w:pPr>
      <w:r>
        <w:rPr>
          <w:lang w:val="es-MX"/>
        </w:rPr>
        <w:t>Se informó a fs. 20.333/20.334 que en los elementos de piel de César Antonio Fernández no hay evidencias de pasaje de corriente eléctrica.</w:t>
      </w:r>
    </w:p>
    <w:p w:rsidR="00224567" w:rsidRDefault="00224567">
      <w:pPr>
        <w:widowControl w:val="0"/>
        <w:tabs>
          <w:tab w:val="left" w:pos="2835"/>
        </w:tabs>
        <w:ind w:firstLine="2880"/>
        <w:rPr>
          <w:lang w:val="es-MX"/>
        </w:rPr>
      </w:pPr>
      <w:r>
        <w:rPr>
          <w:lang w:val="es-MX"/>
        </w:rPr>
        <w:t>Que a fs. 19.069/19.138 obra un info</w:t>
      </w:r>
      <w:r>
        <w:rPr>
          <w:lang w:val="es-MX"/>
        </w:rPr>
        <w:t>r</w:t>
      </w:r>
      <w:r>
        <w:rPr>
          <w:lang w:val="es-MX"/>
        </w:rPr>
        <w:t>me del Subsecretario de Inteligencia de Estado, Juan Ca</w:t>
      </w:r>
      <w:r>
        <w:rPr>
          <w:lang w:val="es-MX"/>
        </w:rPr>
        <w:t>r</w:t>
      </w:r>
      <w:r>
        <w:rPr>
          <w:lang w:val="es-MX"/>
        </w:rPr>
        <w:t>los Anchézar, en el que se da cuenta del resultado de las observaciones telefónicas del abonado de César Antonio Fernández y de las tareas de inteligencia que se llevaron a cabo en Gualeguaychú, provincia de Entre R</w:t>
      </w:r>
      <w:r>
        <w:rPr>
          <w:lang w:val="es-MX"/>
        </w:rPr>
        <w:t>í</w:t>
      </w:r>
      <w:r>
        <w:rPr>
          <w:lang w:val="es-MX"/>
        </w:rPr>
        <w:t>os, como así también fotografías del nombrado junto con personas de su entorno, entre ellas, Horacio Manzanares, a quién se lo sindica como “contacto” y Carlos Irigoytía.</w:t>
      </w:r>
    </w:p>
    <w:p w:rsidR="00224567" w:rsidRDefault="00224567">
      <w:pPr>
        <w:pStyle w:val="Textoindependiente"/>
        <w:tabs>
          <w:tab w:val="left" w:pos="2835"/>
        </w:tabs>
        <w:spacing w:line="600" w:lineRule="auto"/>
        <w:ind w:firstLine="2880"/>
      </w:pPr>
      <w:r>
        <w:t>El análisis de inteligencia de me</w:t>
      </w:r>
      <w:r>
        <w:t>n</w:t>
      </w:r>
      <w:r>
        <w:t>ción se agregó, según el cargo que obra a fs. 19.138vta., el 27 de octubre de 1995. Cabe destacar que la fecha allí consi</w:t>
      </w:r>
      <w:r>
        <w:t>g</w:t>
      </w:r>
      <w:r>
        <w:t>nada fue enmendada con líquido corrector y que el informe no consignó qué día del mes de octubre de 1995 fue elabor</w:t>
      </w:r>
      <w:r>
        <w:t>a</w:t>
      </w:r>
      <w:r>
        <w:t>do.</w:t>
      </w:r>
    </w:p>
    <w:p w:rsidR="00224567" w:rsidRDefault="00224567">
      <w:pPr>
        <w:pStyle w:val="Textoindependiente"/>
        <w:tabs>
          <w:tab w:val="left" w:pos="2835"/>
        </w:tabs>
        <w:spacing w:line="600" w:lineRule="auto"/>
        <w:ind w:firstLine="2880"/>
      </w:pPr>
      <w:r>
        <w:t>Hasta aquí, las constancias de la ca</w:t>
      </w:r>
      <w:r>
        <w:t>u</w:t>
      </w:r>
      <w:r>
        <w:t>sa.</w:t>
      </w:r>
    </w:p>
    <w:p w:rsidR="00224567" w:rsidRDefault="00224567">
      <w:pPr>
        <w:pStyle w:val="Textoindependiente"/>
        <w:tabs>
          <w:tab w:val="left" w:pos="2835"/>
        </w:tabs>
        <w:spacing w:line="600" w:lineRule="auto"/>
        <w:ind w:firstLine="2880"/>
      </w:pPr>
      <w:r>
        <w:rPr>
          <w:b/>
          <w:bCs/>
        </w:rPr>
        <w:t>W.3)</w:t>
      </w:r>
      <w:r>
        <w:t xml:space="preserve"> La prueba producida en el debate recreó circunstancias absolutamente disímiles acerca de la dete</w:t>
      </w:r>
      <w:r>
        <w:t>n</w:t>
      </w:r>
      <w:r>
        <w:t>ción de César Antonio Fernández.</w:t>
      </w:r>
    </w:p>
    <w:p w:rsidR="00224567" w:rsidRDefault="00224567">
      <w:pPr>
        <w:pStyle w:val="Textoindependiente"/>
        <w:tabs>
          <w:tab w:val="left" w:pos="2835"/>
        </w:tabs>
        <w:spacing w:line="600" w:lineRule="auto"/>
        <w:ind w:firstLine="2880"/>
      </w:pPr>
      <w:r>
        <w:t>En efecto, el ex comisario Ángel Robe</w:t>
      </w:r>
      <w:r>
        <w:t>r</w:t>
      </w:r>
      <w:r>
        <w:t>to Salguero afirmó que luego de permanecer internado en t</w:t>
      </w:r>
      <w:r>
        <w:t>e</w:t>
      </w:r>
      <w:r>
        <w:t>rapia intensiva, mientras se encontraba conval</w:t>
      </w:r>
      <w:r>
        <w:t>e</w:t>
      </w:r>
      <w:r>
        <w:t>ciente en su casa, recibió una llamada telefónica, en su domicilio, del juez Juan José Galeano, quién lo anotició que había recib</w:t>
      </w:r>
      <w:r>
        <w:t>i</w:t>
      </w:r>
      <w:r>
        <w:t>do información de que había en Bella Vista una persona r</w:t>
      </w:r>
      <w:r>
        <w:t>e</w:t>
      </w:r>
      <w:r>
        <w:t>querida o que registraba p</w:t>
      </w:r>
      <w:r>
        <w:t>e</w:t>
      </w:r>
      <w:r>
        <w:t>dido de captura. El juez ordenó que personal de su dependencia procediera a la detención del sujeto, quién debía permanecer a disposición del juzg</w:t>
      </w:r>
      <w:r>
        <w:t>a</w:t>
      </w:r>
      <w:r>
        <w:t>do a su cargo.</w:t>
      </w:r>
    </w:p>
    <w:p w:rsidR="00224567" w:rsidRDefault="00224567">
      <w:pPr>
        <w:pStyle w:val="Textoindependiente"/>
        <w:tabs>
          <w:tab w:val="left" w:pos="2835"/>
        </w:tabs>
        <w:spacing w:line="600" w:lineRule="auto"/>
        <w:ind w:firstLine="2880"/>
      </w:pPr>
      <w:r>
        <w:t>Refirió que por su delicado estado de salud no concurrió personalmente al lugar, pero pe</w:t>
      </w:r>
      <w:r>
        <w:t>r</w:t>
      </w:r>
      <w:r>
        <w:t>sonal a su cargo, en base a los datos aportados por el magistrado, ubicó a César Fernández en inmediaciones de una estación de servicio de Bella Vista. Posteriormente, dijo, tomó conoc</w:t>
      </w:r>
      <w:r>
        <w:t>i</w:t>
      </w:r>
      <w:r>
        <w:t>miento que dicha persona había sido detenida en la provi</w:t>
      </w:r>
      <w:r>
        <w:t>n</w:t>
      </w:r>
      <w:r>
        <w:t xml:space="preserve">cia de Entre Ríos por personal de </w:t>
      </w:r>
      <w:smartTag w:uri="urn:schemas-microsoft-com:office:smarttags" w:element="PersonName">
        <w:smartTagPr>
          <w:attr w:name="ProductID" w:val="la Secretar￭a"/>
        </w:smartTagPr>
        <w:r>
          <w:t>la Secretaría</w:t>
        </w:r>
      </w:smartTag>
      <w:r>
        <w:t xml:space="preserve"> de Intel</w:t>
      </w:r>
      <w:r>
        <w:t>i</w:t>
      </w:r>
      <w:r>
        <w:t>gencia de Estado.</w:t>
      </w:r>
    </w:p>
    <w:p w:rsidR="00224567" w:rsidRDefault="00224567">
      <w:pPr>
        <w:pStyle w:val="Textoindependiente"/>
        <w:tabs>
          <w:tab w:val="left" w:pos="2835"/>
        </w:tabs>
        <w:spacing w:line="600" w:lineRule="auto"/>
        <w:ind w:firstLine="2880"/>
      </w:pPr>
      <w:r>
        <w:t xml:space="preserve">Aclaró que “supuestamente esa persona fue entregada por </w:t>
      </w:r>
      <w:smartTag w:uri="urn:schemas-microsoft-com:office:smarttags" w:element="PersonName">
        <w:smartTagPr>
          <w:attr w:name="ProductID" w:val="la S.I"/>
        </w:smartTagPr>
        <w:r>
          <w:t>la S.I</w:t>
        </w:r>
      </w:smartTag>
      <w:r>
        <w:t>.D.E. al personal que fue a busca</w:t>
      </w:r>
      <w:r>
        <w:t>r</w:t>
      </w:r>
      <w:r>
        <w:t>lo” y que sobre el modo en que se materializó la entrega del nombrado “habría que preguntar al personal que lo det</w:t>
      </w:r>
      <w:r>
        <w:t>u</w:t>
      </w:r>
      <w:r>
        <w:t>vo”.</w:t>
      </w:r>
    </w:p>
    <w:p w:rsidR="00224567" w:rsidRDefault="00224567">
      <w:pPr>
        <w:pStyle w:val="Textoindependiente"/>
        <w:tabs>
          <w:tab w:val="left" w:pos="2835"/>
        </w:tabs>
        <w:spacing w:line="600" w:lineRule="auto"/>
        <w:ind w:firstLine="2880"/>
      </w:pPr>
      <w:r>
        <w:t>Además, señaló que este tema fue man</w:t>
      </w:r>
      <w:r>
        <w:t>e</w:t>
      </w:r>
      <w:r>
        <w:t>jado por el doctor Galeano, quien “me llama a mi d</w:t>
      </w:r>
      <w:r>
        <w:t>o</w:t>
      </w:r>
      <w:r>
        <w:t>micilio y me dijo textual: que había una persona que a él le i</w:t>
      </w:r>
      <w:r>
        <w:t>n</w:t>
      </w:r>
      <w:r>
        <w:t>teresaba en la causa, que personal mío se debía contactar con un tal Jaime, que estaba ubicado en jurisdicción de Martín Fierro, no se dónde fue la jurisdicción; fue el pe</w:t>
      </w:r>
      <w:r>
        <w:t>r</w:t>
      </w:r>
      <w:r>
        <w:t>sonal mío, se hizo cargo de este señor, lo pone a dispos</w:t>
      </w:r>
      <w:r>
        <w:t>i</w:t>
      </w:r>
      <w:r>
        <w:t>ción, le da entrada como corresponde en el libro. Después nos enteramos por el abogado que había sido detenido en E</w:t>
      </w:r>
      <w:r>
        <w:t>n</w:t>
      </w:r>
      <w:r>
        <w:t>tre Ríos; esa fue toda la realidad”.</w:t>
      </w:r>
    </w:p>
    <w:p w:rsidR="00224567" w:rsidRDefault="00224567">
      <w:pPr>
        <w:pStyle w:val="Textoindependiente"/>
        <w:tabs>
          <w:tab w:val="left" w:pos="2835"/>
        </w:tabs>
        <w:spacing w:line="600" w:lineRule="auto"/>
        <w:ind w:firstLine="2880"/>
      </w:pPr>
      <w:r>
        <w:t>Por último, expresó que el juez Juan José Galeano le indicó que se debía contactar con pe</w:t>
      </w:r>
      <w:r>
        <w:t>r</w:t>
      </w:r>
      <w:r>
        <w:t>sonal del servicio de informaciones que se hallaba en el lugar donde se habría de materializar la detención, para lo cual aportó un número de celular. Le dijo, además, que éste h</w:t>
      </w:r>
      <w:r>
        <w:t>a</w:t>
      </w:r>
      <w:r>
        <w:t>bía procedido a la detención de una persona que era inte</w:t>
      </w:r>
      <w:r>
        <w:t>n</w:t>
      </w:r>
      <w:r>
        <w:t>samente buscada en la causa y, por ser un organismo de s</w:t>
      </w:r>
      <w:r>
        <w:t>e</w:t>
      </w:r>
      <w:r>
        <w:t>guridad del estado, no podían “blanquear” su calidad de tal.</w:t>
      </w:r>
    </w:p>
    <w:p w:rsidR="00224567" w:rsidRDefault="00224567">
      <w:pPr>
        <w:pStyle w:val="Textoindependiente"/>
        <w:tabs>
          <w:tab w:val="left" w:pos="2835"/>
        </w:tabs>
        <w:spacing w:line="600" w:lineRule="auto"/>
        <w:ind w:firstLine="2880"/>
      </w:pPr>
      <w:r>
        <w:t>Por su parte, Carlos Alberto Vassena y Emir Armando Nasser, personal policial que según las actu</w:t>
      </w:r>
      <w:r>
        <w:t>a</w:t>
      </w:r>
      <w:r>
        <w:t>ciones antes mencionadas habrían participado en la dete</w:t>
      </w:r>
      <w:r>
        <w:t>n</w:t>
      </w:r>
      <w:r>
        <w:t>ción de Fernández en la localidad de Bella Vista, manife</w:t>
      </w:r>
      <w:r>
        <w:t>s</w:t>
      </w:r>
      <w:r>
        <w:t>taron no recordar las circunstancias del proc</w:t>
      </w:r>
      <w:r>
        <w:t>e</w:t>
      </w:r>
      <w:r>
        <w:t>dimiento.</w:t>
      </w:r>
    </w:p>
    <w:p w:rsidR="00224567" w:rsidRPr="00795CCE" w:rsidRDefault="00224567">
      <w:pPr>
        <w:pStyle w:val="Textoindependiente"/>
        <w:tabs>
          <w:tab w:val="left" w:pos="2835"/>
        </w:tabs>
        <w:spacing w:line="600" w:lineRule="auto"/>
        <w:ind w:firstLine="2880"/>
        <w:rPr>
          <w:highlight w:val="yellow"/>
        </w:rPr>
      </w:pPr>
      <w:r>
        <w:t xml:space="preserve">El agente de </w:t>
      </w:r>
      <w:smartTag w:uri="urn:schemas-microsoft-com:office:smarttags" w:element="PersonName">
        <w:smartTagPr>
          <w:attr w:name="ProductID" w:val="la S.I"/>
        </w:smartTagPr>
        <w:r>
          <w:t>la S.I</w:t>
        </w:r>
      </w:smartTag>
      <w:r>
        <w:t xml:space="preserve">.D.E. </w:t>
      </w:r>
      <w:r w:rsidRPr="00795CCE">
        <w:rPr>
          <w:highlight w:val="yellow"/>
        </w:rPr>
        <w:t>Horacio Ant</w:t>
      </w:r>
      <w:r w:rsidRPr="00795CCE">
        <w:rPr>
          <w:highlight w:val="yellow"/>
        </w:rPr>
        <w:t>o</w:t>
      </w:r>
      <w:r w:rsidRPr="00795CCE">
        <w:rPr>
          <w:highlight w:val="yellow"/>
        </w:rPr>
        <w:t>nio Stiuso manifestó que el citado organismo intervino en la individualización e investigación de César Antonio Fe</w:t>
      </w:r>
      <w:r w:rsidRPr="00795CCE">
        <w:rPr>
          <w:highlight w:val="yellow"/>
        </w:rPr>
        <w:t>r</w:t>
      </w:r>
      <w:r w:rsidRPr="00795CCE">
        <w:rPr>
          <w:highlight w:val="yellow"/>
        </w:rPr>
        <w:t>nández en la ciudad de Gualeguaychú, puesto que se había determinado vínculos entre el nombrado y el entorno de Ca</w:t>
      </w:r>
      <w:r w:rsidRPr="00795CCE">
        <w:rPr>
          <w:highlight w:val="yellow"/>
        </w:rPr>
        <w:t>r</w:t>
      </w:r>
      <w:r w:rsidRPr="00795CCE">
        <w:rPr>
          <w:highlight w:val="yellow"/>
        </w:rPr>
        <w:t>los Alberto Telleldín –Carlos Irigoytía, Miguel Jaimes, M</w:t>
      </w:r>
      <w:r w:rsidRPr="00795CCE">
        <w:rPr>
          <w:highlight w:val="yellow"/>
        </w:rPr>
        <w:t>i</w:t>
      </w:r>
      <w:r w:rsidRPr="00795CCE">
        <w:rPr>
          <w:highlight w:val="yellow"/>
        </w:rPr>
        <w:t>guel Caña, entre otros-, en la actividad de compra venta de vehículos robados empre</w:t>
      </w:r>
      <w:r w:rsidRPr="00795CCE">
        <w:rPr>
          <w:highlight w:val="yellow"/>
        </w:rPr>
        <w:t>n</w:t>
      </w:r>
      <w:r w:rsidRPr="00795CCE">
        <w:rPr>
          <w:highlight w:val="yellow"/>
        </w:rPr>
        <w:t>dida por Alejandro Monjo.</w:t>
      </w:r>
    </w:p>
    <w:p w:rsidR="00224567" w:rsidRPr="00795CCE" w:rsidRDefault="00224567">
      <w:pPr>
        <w:pStyle w:val="Textoindependiente"/>
        <w:tabs>
          <w:tab w:val="left" w:pos="2835"/>
        </w:tabs>
        <w:spacing w:line="600" w:lineRule="auto"/>
        <w:ind w:firstLine="2880"/>
        <w:rPr>
          <w:highlight w:val="yellow"/>
        </w:rPr>
      </w:pPr>
      <w:r w:rsidRPr="00795CCE">
        <w:rPr>
          <w:highlight w:val="yellow"/>
        </w:rPr>
        <w:t>Dijo que “no se lo puede separar a Mo</w:t>
      </w:r>
      <w:r w:rsidRPr="00795CCE">
        <w:rPr>
          <w:highlight w:val="yellow"/>
        </w:rPr>
        <w:t>n</w:t>
      </w:r>
      <w:r w:rsidRPr="00795CCE">
        <w:rPr>
          <w:highlight w:val="yellow"/>
        </w:rPr>
        <w:t>jo de Telleldín, son una sola cosa, Monjo era una terminal automotriz y estos eran todos brazos”.</w:t>
      </w:r>
    </w:p>
    <w:p w:rsidR="00224567" w:rsidRDefault="00224567">
      <w:pPr>
        <w:pStyle w:val="Textoindependiente"/>
        <w:tabs>
          <w:tab w:val="left" w:pos="2835"/>
        </w:tabs>
        <w:spacing w:line="600" w:lineRule="auto"/>
        <w:ind w:firstLine="2880"/>
      </w:pPr>
      <w:r w:rsidRPr="00795CCE">
        <w:rPr>
          <w:highlight w:val="yellow"/>
        </w:rPr>
        <w:t>Explicó que para ello se utilizó una fuente, de nombre Horacio Manzanares, que suministró el j</w:t>
      </w:r>
      <w:r w:rsidRPr="00795CCE">
        <w:rPr>
          <w:highlight w:val="yellow"/>
        </w:rPr>
        <w:t>e</w:t>
      </w:r>
      <w:r w:rsidRPr="00795CCE">
        <w:rPr>
          <w:highlight w:val="yellow"/>
        </w:rPr>
        <w:t>fe del servicio de inteligencia.</w:t>
      </w:r>
      <w:r>
        <w:t xml:space="preserve"> Al respecto, señaló que el encargado del campo que poseía Hugo Anzorreguy en la loc</w:t>
      </w:r>
      <w:r>
        <w:t>a</w:t>
      </w:r>
      <w:r>
        <w:t>lidad de Gualeguaychú se contactó con el c</w:t>
      </w:r>
      <w:r>
        <w:t>i</w:t>
      </w:r>
      <w:r>
        <w:t>tado Manzanares y éste le comentó que conocía a gente que tenía contacto con Telleldín y su entorno. Con dicha información, el s</w:t>
      </w:r>
      <w:r>
        <w:t>e</w:t>
      </w:r>
      <w:r>
        <w:t>cretario de inteligencia ordenó que junto con el director Jorge Luis Lucas se dirigieran a esa ciudad para entrevi</w:t>
      </w:r>
      <w:r>
        <w:t>s</w:t>
      </w:r>
      <w:r>
        <w:t>tar al nombrado. Luego, dijo, el informante “quedó trab</w:t>
      </w:r>
      <w:r>
        <w:t>a</w:t>
      </w:r>
      <w:r>
        <w:t>jando para nosotros”.</w:t>
      </w:r>
    </w:p>
    <w:p w:rsidR="00224567" w:rsidRDefault="00224567">
      <w:pPr>
        <w:pStyle w:val="Textoindependiente"/>
        <w:tabs>
          <w:tab w:val="left" w:pos="2835"/>
        </w:tabs>
        <w:spacing w:line="600" w:lineRule="auto"/>
        <w:ind w:firstLine="2880"/>
      </w:pPr>
      <w:r>
        <w:t>Así, investigaron el mecanismo de d</w:t>
      </w:r>
      <w:r>
        <w:t>u</w:t>
      </w:r>
      <w:r>
        <w:t xml:space="preserve">plicación de autos que realizaban los nombrados. En punto a Carlos Irigoytía y César Fernández, </w:t>
      </w:r>
      <w:r w:rsidRPr="00795CCE">
        <w:rPr>
          <w:highlight w:val="yellow"/>
        </w:rPr>
        <w:t>intervenía como policía Ángel Roberto Salguero, que también estuvo presente en la ciudad de Gualeguaychú. Afirmó que una vez que fueron loc</w:t>
      </w:r>
      <w:r w:rsidRPr="00795CCE">
        <w:rPr>
          <w:highlight w:val="yellow"/>
        </w:rPr>
        <w:t>a</w:t>
      </w:r>
      <w:r w:rsidRPr="00795CCE">
        <w:rPr>
          <w:highlight w:val="yellow"/>
        </w:rPr>
        <w:t>lizados los nombrados, “estuvo Sa</w:t>
      </w:r>
      <w:r w:rsidRPr="00795CCE">
        <w:rPr>
          <w:highlight w:val="yellow"/>
        </w:rPr>
        <w:t>l</w:t>
      </w:r>
      <w:r w:rsidRPr="00795CCE">
        <w:rPr>
          <w:highlight w:val="yellow"/>
        </w:rPr>
        <w:t>guero”.</w:t>
      </w:r>
    </w:p>
    <w:p w:rsidR="00224567" w:rsidRDefault="00224567">
      <w:pPr>
        <w:pStyle w:val="Textoindependiente"/>
        <w:tabs>
          <w:tab w:val="left" w:pos="2835"/>
        </w:tabs>
        <w:spacing w:line="600" w:lineRule="auto"/>
        <w:ind w:firstLine="2880"/>
      </w:pPr>
      <w:r>
        <w:t>No obstante, señaló que la estrategia utilizada se consultaba en forma verbal con las autorid</w:t>
      </w:r>
      <w:r>
        <w:t>a</w:t>
      </w:r>
      <w:r>
        <w:t>des, el juez y los secretarios del juzgado en las reuniones que se efectuaban en la base del organismo de inteligencia; en algunas de ellas, también participaron los fiscales. T</w:t>
      </w:r>
      <w:r>
        <w:t>o</w:t>
      </w:r>
      <w:r>
        <w:t>do este trabajo, dijo, se hizo hasta principios de 1996.</w:t>
      </w:r>
    </w:p>
    <w:p w:rsidR="00224567" w:rsidRDefault="00224567">
      <w:pPr>
        <w:pStyle w:val="Textoindependiente"/>
        <w:tabs>
          <w:tab w:val="left" w:pos="2835"/>
        </w:tabs>
        <w:spacing w:line="600" w:lineRule="auto"/>
        <w:ind w:firstLine="2880"/>
      </w:pPr>
      <w:r w:rsidRPr="00795CCE">
        <w:rPr>
          <w:highlight w:val="yellow"/>
        </w:rPr>
        <w:t>Señaló que “la gente mía operó mucho en Gualeguaychú porque fue un trabajo muy grande, lo que tr</w:t>
      </w:r>
      <w:r w:rsidRPr="00795CCE">
        <w:rPr>
          <w:highlight w:val="yellow"/>
        </w:rPr>
        <w:t>a</w:t>
      </w:r>
      <w:r w:rsidRPr="00795CCE">
        <w:rPr>
          <w:highlight w:val="yellow"/>
        </w:rPr>
        <w:t xml:space="preserve">tábamos de buscar era el chasis” de la camioneta que había explotado en la sede de </w:t>
      </w:r>
      <w:smartTag w:uri="urn:schemas-microsoft-com:office:smarttags" w:element="PersonName">
        <w:smartTagPr>
          <w:attr w:name="ProductID" w:val="la A.M"/>
        </w:smartTagPr>
        <w:r w:rsidRPr="00795CCE">
          <w:rPr>
            <w:highlight w:val="yellow"/>
          </w:rPr>
          <w:t>la A.M</w:t>
        </w:r>
      </w:smartTag>
      <w:r w:rsidRPr="00795CCE">
        <w:rPr>
          <w:highlight w:val="yellow"/>
        </w:rPr>
        <w:t>.I.A. Añadió que “le dimos a Salguero algunos datos por teléfono” y el nombrado “hizo las detenciones en Entre Ríos sin intervención nue</w:t>
      </w:r>
      <w:r w:rsidRPr="00795CCE">
        <w:rPr>
          <w:highlight w:val="yellow"/>
        </w:rPr>
        <w:t>s</w:t>
      </w:r>
      <w:r w:rsidRPr="00795CCE">
        <w:rPr>
          <w:highlight w:val="yellow"/>
        </w:rPr>
        <w:t>tra”.</w:t>
      </w:r>
    </w:p>
    <w:p w:rsidR="00224567" w:rsidRDefault="00224567">
      <w:pPr>
        <w:pStyle w:val="Textoindependiente"/>
        <w:tabs>
          <w:tab w:val="left" w:pos="2835"/>
        </w:tabs>
        <w:spacing w:line="600" w:lineRule="auto"/>
        <w:ind w:firstLine="2880"/>
      </w:pPr>
      <w:r>
        <w:t>Al ser interrogado acerca de si Manz</w:t>
      </w:r>
      <w:r>
        <w:t>a</w:t>
      </w:r>
      <w:r>
        <w:t>nares intervino en la detención de César Fernández, el te</w:t>
      </w:r>
      <w:r>
        <w:t>s</w:t>
      </w:r>
      <w:r>
        <w:t>tigo, en oposición a lo antedicho en punto al lugar donde se produjo la interceptación del nombrado, refirió que no “porque Manzanares estaba en Gualeguaychú y la detención fue acá”, aludiendo a Buenos Aires.</w:t>
      </w:r>
    </w:p>
    <w:p w:rsidR="00224567" w:rsidRDefault="00224567">
      <w:pPr>
        <w:pStyle w:val="Textoindependiente"/>
        <w:tabs>
          <w:tab w:val="left" w:pos="2835"/>
        </w:tabs>
        <w:spacing w:line="600" w:lineRule="auto"/>
        <w:ind w:firstLine="2880"/>
      </w:pPr>
      <w:r>
        <w:t xml:space="preserve">Por su parte, el entonces director de Contrainteligencia de </w:t>
      </w:r>
      <w:smartTag w:uri="urn:schemas-microsoft-com:office:smarttags" w:element="PersonName">
        <w:smartTagPr>
          <w:attr w:name="ProductID" w:val="la S.I"/>
        </w:smartTagPr>
        <w:r>
          <w:t>la S.I</w:t>
        </w:r>
      </w:smartTag>
      <w:r>
        <w:t>.D.E., Jorge Luis Lucas y el agente Roberto Jorge Saller, testimoniaron que efectuaron tareas de inteligencia en Gualeguaychú junto con Stiuso, para investigar la vinculación de César Antonio Fernández con Alejandro Monjo y Carlos Alberto Telleldín. También r</w:t>
      </w:r>
      <w:r>
        <w:t>e</w:t>
      </w:r>
      <w:r>
        <w:t>cordaron haberse servido de la información que aportaba Luis Horacio Manzanares. Por último, Saller mencionó que había efectuado seguimientos a Fernández y que lo fotogr</w:t>
      </w:r>
      <w:r>
        <w:t>a</w:t>
      </w:r>
      <w:r>
        <w:t>fió junto a las personas de su entorno.</w:t>
      </w:r>
    </w:p>
    <w:p w:rsidR="00224567" w:rsidRDefault="00224567">
      <w:pPr>
        <w:widowControl w:val="0"/>
        <w:tabs>
          <w:tab w:val="center" w:pos="0"/>
          <w:tab w:val="left" w:pos="2835"/>
        </w:tabs>
        <w:ind w:firstLine="2880"/>
      </w:pPr>
      <w:r>
        <w:rPr>
          <w:b/>
          <w:bCs/>
          <w:lang w:val="es-ES_tradnl"/>
        </w:rPr>
        <w:t>W.4)</w:t>
      </w:r>
      <w:r>
        <w:rPr>
          <w:lang w:val="es-ES_tradnl"/>
        </w:rPr>
        <w:t xml:space="preserve"> </w:t>
      </w:r>
      <w:r>
        <w:t>Es menester señalar lo expuesto por Luis Horacio Manzanares y Claudio Adrián Lifschitz, en el debate.</w:t>
      </w:r>
    </w:p>
    <w:p w:rsidR="00224567" w:rsidRDefault="00224567">
      <w:pPr>
        <w:widowControl w:val="0"/>
        <w:tabs>
          <w:tab w:val="center" w:pos="0"/>
          <w:tab w:val="left" w:pos="2835"/>
        </w:tabs>
        <w:ind w:firstLine="2880"/>
      </w:pPr>
      <w:r>
        <w:t>Previo a ello, es preciso destacar que a fs. 18.935 luce un acta labrada por el Secretario Carlos A. Velasco, el 26 de octubre de 1995, que reza, en lo pe</w:t>
      </w:r>
      <w:r>
        <w:t>r</w:t>
      </w:r>
      <w:r>
        <w:t>tinente: “compareció ante mí, el Sr. JOSE LUIS MANZANARES, quien acredita su identidad con D.N.I. nº 5.882.625, con domicilio en la calle Urquiza nº 437, de la ciudad de Gu</w:t>
      </w:r>
      <w:r>
        <w:t>a</w:t>
      </w:r>
      <w:r>
        <w:t>leguaychú, provincia de entre Ríos, a efectos de interi</w:t>
      </w:r>
      <w:r>
        <w:t>o</w:t>
      </w:r>
      <w:r>
        <w:t>rizarse de la situación procesal del detenido CESAR FE</w:t>
      </w:r>
      <w:r>
        <w:t>R</w:t>
      </w:r>
      <w:r>
        <w:t>NÁNDEZ, respecto del cual manifestó ser conocido</w:t>
      </w:r>
      <w:r>
        <w:rPr>
          <w:b/>
        </w:rPr>
        <w:t xml:space="preserve">. </w:t>
      </w:r>
      <w:r>
        <w:t>Agregó que respecto de los hechos que motivarán su detención d</w:t>
      </w:r>
      <w:r>
        <w:t>e</w:t>
      </w:r>
      <w:r>
        <w:t>claró ante los Tribunales de esa localidad. Por lo que no siendo para más, se dió por finalizado este acto, previa lectura que se dió de la presente en alta voz, firmando por ante mí de lo que doy fe”.</w:t>
      </w:r>
    </w:p>
    <w:p w:rsidR="00224567" w:rsidRDefault="00224567">
      <w:pPr>
        <w:widowControl w:val="0"/>
        <w:tabs>
          <w:tab w:val="center" w:pos="0"/>
          <w:tab w:val="left" w:pos="2835"/>
        </w:tabs>
        <w:ind w:firstLine="2880"/>
      </w:pPr>
      <w:r>
        <w:t>En oportunidad de prestar declar</w:t>
      </w:r>
      <w:r>
        <w:t>a</w:t>
      </w:r>
      <w:r>
        <w:t>ción</w:t>
      </w:r>
      <w:r>
        <w:rPr>
          <w:b/>
        </w:rPr>
        <w:t xml:space="preserve"> </w:t>
      </w:r>
      <w:r>
        <w:t>testimonial Claudio Adrián Lifschitz ante el fiscal Ce</w:t>
      </w:r>
      <w:r>
        <w:t>a</w:t>
      </w:r>
      <w:r>
        <w:t>rras, en la causa nº 9789, de trámite por ante el Juzgado Nacional en lo Criminal y Correccional Federal n° 11, S</w:t>
      </w:r>
      <w:r>
        <w:t>e</w:t>
      </w:r>
      <w:r>
        <w:t>cretaría nº 22, sostuvo, sin poder prec</w:t>
      </w:r>
      <w:r>
        <w:t>i</w:t>
      </w:r>
      <w:r>
        <w:t>sar la fecha, que en la causa se produjeron distintas detenciones, entre ellas la de César Fernández, quien supuestamente había r</w:t>
      </w:r>
      <w:r>
        <w:t>e</w:t>
      </w:r>
      <w:r>
        <w:t>cibido tormentos.</w:t>
      </w:r>
    </w:p>
    <w:p w:rsidR="00224567" w:rsidRDefault="00224567">
      <w:pPr>
        <w:widowControl w:val="0"/>
        <w:tabs>
          <w:tab w:val="center" w:pos="0"/>
          <w:tab w:val="left" w:pos="2835"/>
        </w:tabs>
        <w:ind w:firstLine="2880"/>
      </w:pPr>
      <w:r>
        <w:t>Fue para esa época, comentó, que el Dr. Velasco le dijo que tenía que tomar declaración a un testigo, que resultó ser Manzanares; al interrogarlo sobre qué, aquél le respondió que sólo lo hiciera. Durante la audiencia, agregó, advirtió que el testigo dudaba y esp</w:t>
      </w:r>
      <w:r>
        <w:t>e</w:t>
      </w:r>
      <w:r>
        <w:t xml:space="preserve">raba ayuda para exponer su relato, llegando a manifestarle </w:t>
      </w:r>
      <w:r>
        <w:rPr>
          <w:b/>
        </w:rPr>
        <w:t>“</w:t>
      </w:r>
      <w:r>
        <w:t>escúcheme, en el oral qué tengo que d</w:t>
      </w:r>
      <w:r>
        <w:t>e</w:t>
      </w:r>
      <w:r>
        <w:t>cir?</w:t>
      </w:r>
      <w:r>
        <w:rPr>
          <w:b/>
        </w:rPr>
        <w:t>”</w:t>
      </w:r>
      <w:r>
        <w:t xml:space="preserve">. Así fue, que advirtió que el compareciente había sido preparado por el “sector </w:t>
      </w:r>
      <w:smartTag w:uri="urn:schemas-microsoft-com:office:smarttags" w:element="metricconverter">
        <w:smartTagPr>
          <w:attr w:name="ProductID" w:val="85”"/>
        </w:smartTagPr>
        <w:r>
          <w:t>85”</w:t>
        </w:r>
      </w:smartTag>
      <w:r>
        <w:t xml:space="preserve"> de </w:t>
      </w:r>
      <w:smartTag w:uri="urn:schemas-microsoft-com:office:smarttags" w:element="PersonName">
        <w:smartTagPr>
          <w:attr w:name="ProductID" w:val="la SIDE"/>
        </w:smartTagPr>
        <w:r>
          <w:t>la SIDE</w:t>
        </w:r>
      </w:smartTag>
      <w:r>
        <w:t>, más precisamente por el jefe op</w:t>
      </w:r>
      <w:r>
        <w:t>e</w:t>
      </w:r>
      <w:r>
        <w:t>rativo y subdirector de la dirección, Jaime Stiuso o St</w:t>
      </w:r>
      <w:r>
        <w:t>i</w:t>
      </w:r>
      <w:r>
        <w:t>ller.</w:t>
      </w:r>
    </w:p>
    <w:p w:rsidR="00224567" w:rsidRDefault="00224567">
      <w:pPr>
        <w:widowControl w:val="0"/>
        <w:tabs>
          <w:tab w:val="center" w:pos="0"/>
          <w:tab w:val="left" w:pos="2835"/>
        </w:tabs>
        <w:ind w:firstLine="2880"/>
      </w:pPr>
      <w:r>
        <w:t>Ante ello, sostuvo, imprimió dos d</w:t>
      </w:r>
      <w:r>
        <w:t>e</w:t>
      </w:r>
      <w:r>
        <w:t>claraciones; una donde decía que le habían dicho que tenía que declarar sin involucrar a “85" y otra en la que me</w:t>
      </w:r>
      <w:r>
        <w:t>n</w:t>
      </w:r>
      <w:r>
        <w:t>cionaba a “</w:t>
      </w:r>
      <w:smartTag w:uri="urn:schemas-microsoft-com:office:smarttags" w:element="metricconverter">
        <w:smartTagPr>
          <w:attr w:name="ProductID" w:val="85”"/>
        </w:smartTagPr>
        <w:r>
          <w:t>85”</w:t>
        </w:r>
      </w:smartTag>
      <w:r>
        <w:t>, específicamente a Jaime Stiuso. Al imp</w:t>
      </w:r>
      <w:r>
        <w:t>o</w:t>
      </w:r>
      <w:r>
        <w:t>nerlo de la situación al Dr. Velasco, en prese</w:t>
      </w:r>
      <w:r>
        <w:t>n</w:t>
      </w:r>
      <w:r>
        <w:t>cia del Dr. De Gamas, el primero le indicó que, efect</w:t>
      </w:r>
      <w:r>
        <w:t>i</w:t>
      </w:r>
      <w:r>
        <w:t>vamente, “había venido mandado por 85 y del riesgo que era tener una pe</w:t>
      </w:r>
      <w:r>
        <w:t>r</w:t>
      </w:r>
      <w:r>
        <w:t xml:space="preserve">sona fácilmente quebrable y el Dr. De Gamas toma las dos declaraciones, va hacía el despacho de </w:t>
      </w:r>
      <w:smartTag w:uri="urn:schemas-microsoft-com:office:smarttags" w:element="PersonName">
        <w:smartTagPr>
          <w:attr w:name="ProductID" w:val="la Dra. Spina"/>
        </w:smartTagPr>
        <w:r>
          <w:t>la Dra. Spina</w:t>
        </w:r>
      </w:smartTag>
      <w:r>
        <w:t>, que era donde yo estaba tomando la declaración, y le hace fi</w:t>
      </w:r>
      <w:r>
        <w:t>r</w:t>
      </w:r>
      <w:r>
        <w:t>mar las dos declaraciones” (sic).</w:t>
      </w:r>
    </w:p>
    <w:p w:rsidR="00224567" w:rsidRDefault="00224567">
      <w:pPr>
        <w:widowControl w:val="0"/>
        <w:tabs>
          <w:tab w:val="center" w:pos="0"/>
          <w:tab w:val="left" w:pos="2835"/>
        </w:tabs>
        <w:ind w:firstLine="2880"/>
      </w:pPr>
      <w:r>
        <w:t>Luego, indicó, habló con el juez G</w:t>
      </w:r>
      <w:r>
        <w:t>a</w:t>
      </w:r>
      <w:r>
        <w:t xml:space="preserve">leano, le explicó lo sucedido y éste se comunicó con el contralmirante Anchézar -subsecretario de </w:t>
      </w:r>
      <w:smartTag w:uri="urn:schemas-microsoft-com:office:smarttags" w:element="PersonName">
        <w:smartTagPr>
          <w:attr w:name="ProductID" w:val="la S.I"/>
        </w:smartTagPr>
        <w:r>
          <w:t>la S.I</w:t>
        </w:r>
      </w:smartTag>
      <w:r>
        <w:t>.D.E.- a quien le pidió que fuese al juzgado.</w:t>
      </w:r>
    </w:p>
    <w:p w:rsidR="00224567" w:rsidRDefault="00224567">
      <w:pPr>
        <w:widowControl w:val="0"/>
        <w:tabs>
          <w:tab w:val="center" w:pos="0"/>
          <w:tab w:val="left" w:pos="2835"/>
        </w:tabs>
        <w:ind w:firstLine="2880"/>
      </w:pPr>
      <w:r>
        <w:t>Cerca de las 20 y 30 el Dr. Galeano lo llamó a su despacho, donde estaba Anchézar, y le p</w:t>
      </w:r>
      <w:r>
        <w:t>i</w:t>
      </w:r>
      <w:r>
        <w:t>dió que le explique lo sucedido con el testigo; luego de hacerlo se retiro. Precisó, que el juez decidió no incorporar a la causa ninguna de las dos declaraciones, haciéndole firmar al testigo una simple comparecencia (fs. 18.935).</w:t>
      </w:r>
    </w:p>
    <w:p w:rsidR="00224567" w:rsidRDefault="00224567">
      <w:pPr>
        <w:widowControl w:val="0"/>
        <w:tabs>
          <w:tab w:val="center" w:pos="0"/>
          <w:tab w:val="left" w:pos="2835"/>
        </w:tabs>
        <w:ind w:firstLine="2880"/>
      </w:pPr>
      <w:r w:rsidRPr="00DF6543">
        <w:rPr>
          <w:highlight w:val="yellow"/>
        </w:rPr>
        <w:t>Interrogado Lifschitz</w:t>
      </w:r>
      <w:r w:rsidRPr="00DF6543">
        <w:rPr>
          <w:b/>
          <w:highlight w:val="yellow"/>
        </w:rPr>
        <w:t xml:space="preserve"> </w:t>
      </w:r>
      <w:r w:rsidRPr="00DF6543">
        <w:rPr>
          <w:highlight w:val="yellow"/>
        </w:rPr>
        <w:t>acerca de la i</w:t>
      </w:r>
      <w:r w:rsidRPr="00DF6543">
        <w:rPr>
          <w:highlight w:val="yellow"/>
        </w:rPr>
        <w:t>m</w:t>
      </w:r>
      <w:r w:rsidRPr="00DF6543">
        <w:rPr>
          <w:highlight w:val="yellow"/>
        </w:rPr>
        <w:t>portancia del testigo Manzanares, respondió que, según r</w:t>
      </w:r>
      <w:r w:rsidRPr="00DF6543">
        <w:rPr>
          <w:highlight w:val="yellow"/>
        </w:rPr>
        <w:t>e</w:t>
      </w:r>
      <w:r w:rsidRPr="00DF6543">
        <w:rPr>
          <w:highlight w:val="yellow"/>
        </w:rPr>
        <w:t xml:space="preserve">cordaba, “venía a despegar a </w:t>
      </w:r>
      <w:smartTag w:uri="urn:schemas-microsoft-com:office:smarttags" w:element="PersonName">
        <w:smartTagPr>
          <w:attr w:name="ProductID" w:val="la SIDE"/>
        </w:smartTagPr>
        <w:r w:rsidRPr="00DF6543">
          <w:rPr>
            <w:highlight w:val="yellow"/>
          </w:rPr>
          <w:t>la SIDE</w:t>
        </w:r>
      </w:smartTag>
      <w:r w:rsidRPr="00DF6543">
        <w:rPr>
          <w:highlight w:val="yellow"/>
        </w:rPr>
        <w:t xml:space="preserve"> de los apremios de César Fernández” (sic).</w:t>
      </w:r>
    </w:p>
    <w:p w:rsidR="00224567" w:rsidRDefault="00224567">
      <w:pPr>
        <w:widowControl w:val="0"/>
        <w:tabs>
          <w:tab w:val="center" w:pos="0"/>
          <w:tab w:val="left" w:pos="2835"/>
        </w:tabs>
        <w:ind w:firstLine="2880"/>
      </w:pPr>
      <w:r w:rsidRPr="00DF6543">
        <w:rPr>
          <w:highlight w:val="yellow"/>
        </w:rPr>
        <w:t>En ocasión de prestar declaración Claudio Adrián Lifschitz ante estos estrados el 10 y 11 de septiembre de 2003,</w:t>
      </w:r>
      <w:r>
        <w:t xml:space="preserve"> de modo expreso se refirió a la decl</w:t>
      </w:r>
      <w:r>
        <w:t>a</w:t>
      </w:r>
      <w:r>
        <w:t>ración del testigo José Luis Manzanares, coinc</w:t>
      </w:r>
      <w:r>
        <w:t>i</w:t>
      </w:r>
      <w:r>
        <w:t>diendo sus dichos, en un todo, con los que diera ante el fiscal Ce</w:t>
      </w:r>
      <w:r>
        <w:t>a</w:t>
      </w:r>
      <w:r>
        <w:t>rras.</w:t>
      </w:r>
    </w:p>
    <w:p w:rsidR="00224567" w:rsidRDefault="00224567">
      <w:pPr>
        <w:widowControl w:val="0"/>
        <w:tabs>
          <w:tab w:val="center" w:pos="0"/>
          <w:tab w:val="left" w:pos="2835"/>
        </w:tabs>
        <w:ind w:firstLine="2880"/>
      </w:pPr>
      <w:r>
        <w:t xml:space="preserve">Así sostuvo que por indicación del Dr. Velasco, </w:t>
      </w:r>
      <w:r w:rsidRPr="00DF6543">
        <w:rPr>
          <w:highlight w:val="yellow"/>
        </w:rPr>
        <w:t>le recibió declaración testimonial a Luis Manz</w:t>
      </w:r>
      <w:r w:rsidRPr="00DF6543">
        <w:rPr>
          <w:highlight w:val="yellow"/>
        </w:rPr>
        <w:t>a</w:t>
      </w:r>
      <w:r w:rsidRPr="00DF6543">
        <w:rPr>
          <w:highlight w:val="yellow"/>
        </w:rPr>
        <w:t>nares, quien en medio del interrogatorio comenzó a tit</w:t>
      </w:r>
      <w:r w:rsidRPr="00DF6543">
        <w:rPr>
          <w:highlight w:val="yellow"/>
        </w:rPr>
        <w:t>u</w:t>
      </w:r>
      <w:r w:rsidRPr="00DF6543">
        <w:rPr>
          <w:highlight w:val="yellow"/>
        </w:rPr>
        <w:t xml:space="preserve">bear y preguntó qué debía decir el día de mañana si era citado a un juicio. Ante ello, indicó que “le siguió la corriente” al testigo y obtuvo dos declaraciones; una de ellas se refería a un episodio vivido por César Fernández, quién fue “levantado” por gente de Stiuso del grupo “85", y en la otra se omitía la intervención de gente de </w:t>
      </w:r>
      <w:smartTag w:uri="urn:schemas-microsoft-com:office:smarttags" w:element="PersonName">
        <w:smartTagPr>
          <w:attr w:name="ProductID" w:val="la S.I"/>
        </w:smartTagPr>
        <w:r w:rsidRPr="00DF6543">
          <w:rPr>
            <w:highlight w:val="yellow"/>
          </w:rPr>
          <w:t>la S.I</w:t>
        </w:r>
      </w:smartTag>
      <w:r w:rsidRPr="00DF6543">
        <w:rPr>
          <w:highlight w:val="yellow"/>
        </w:rPr>
        <w:t>.D.E. en esos hechos.</w:t>
      </w:r>
    </w:p>
    <w:p w:rsidR="00224567" w:rsidRDefault="00224567">
      <w:pPr>
        <w:widowControl w:val="0"/>
        <w:tabs>
          <w:tab w:val="center" w:pos="0"/>
          <w:tab w:val="left" w:pos="2835"/>
        </w:tabs>
        <w:ind w:firstLine="2880"/>
      </w:pPr>
      <w:r>
        <w:t>Añadió, que después se dirigió ado</w:t>
      </w:r>
      <w:r>
        <w:t>n</w:t>
      </w:r>
      <w:r>
        <w:t xml:space="preserve">de se encontraba el Dr. Velasco, quien, junto con el Dr. De Gamas, le explicaron, ante preguntas suyas, que </w:t>
      </w:r>
      <w:smartTag w:uri="urn:schemas-microsoft-com:office:smarttags" w:element="PersonName">
        <w:smartTagPr>
          <w:attr w:name="ProductID" w:val="la S.I"/>
        </w:smartTagPr>
        <w:r>
          <w:t>la S.I</w:t>
        </w:r>
      </w:smartTag>
      <w:r>
        <w:t>.D.E. envió a Manzanares para que prestara decl</w:t>
      </w:r>
      <w:r>
        <w:t>a</w:t>
      </w:r>
      <w:r>
        <w:t xml:space="preserve">ración testimonial y no involucrara a </w:t>
      </w:r>
      <w:smartTag w:uri="urn:schemas-microsoft-com:office:smarttags" w:element="PersonName">
        <w:smartTagPr>
          <w:attr w:name="ProductID" w:val="la Secretar￭a. Indic￳"/>
        </w:smartTagPr>
        <w:r>
          <w:t xml:space="preserve">la Secretaría. </w:t>
        </w:r>
        <w:r w:rsidRPr="00DF6543">
          <w:rPr>
            <w:highlight w:val="yellow"/>
          </w:rPr>
          <w:t>Indicó</w:t>
        </w:r>
      </w:smartTag>
      <w:r w:rsidRPr="00DF6543">
        <w:rPr>
          <w:highlight w:val="yellow"/>
        </w:rPr>
        <w:t xml:space="preserve"> que les a</w:t>
      </w:r>
      <w:r w:rsidRPr="00DF6543">
        <w:rPr>
          <w:highlight w:val="yellow"/>
        </w:rPr>
        <w:t>d</w:t>
      </w:r>
      <w:r w:rsidRPr="00DF6543">
        <w:rPr>
          <w:highlight w:val="yellow"/>
        </w:rPr>
        <w:t>virtió a los secretarios que tenían un problema, ya que en sólo minutos declaró dos versiones diferentes. E</w:t>
      </w:r>
      <w:r w:rsidRPr="00DF6543">
        <w:rPr>
          <w:highlight w:val="yellow"/>
        </w:rPr>
        <w:t>s</w:t>
      </w:r>
      <w:r w:rsidRPr="00DF6543">
        <w:rPr>
          <w:highlight w:val="yellow"/>
        </w:rPr>
        <w:t>tos le comentaron lo sucedido al juez, quien resolvió i</w:t>
      </w:r>
      <w:r w:rsidRPr="00DF6543">
        <w:rPr>
          <w:highlight w:val="yellow"/>
        </w:rPr>
        <w:t>m</w:t>
      </w:r>
      <w:r w:rsidRPr="00DF6543">
        <w:rPr>
          <w:highlight w:val="yellow"/>
        </w:rPr>
        <w:t>primir las dos versiones y que el te</w:t>
      </w:r>
      <w:r w:rsidRPr="00DF6543">
        <w:rPr>
          <w:highlight w:val="yellow"/>
        </w:rPr>
        <w:t>s</w:t>
      </w:r>
      <w:r w:rsidRPr="00DF6543">
        <w:rPr>
          <w:highlight w:val="yellow"/>
        </w:rPr>
        <w:t>tigo firmara ambas.</w:t>
      </w:r>
    </w:p>
    <w:p w:rsidR="00224567" w:rsidRDefault="00224567">
      <w:pPr>
        <w:widowControl w:val="0"/>
        <w:tabs>
          <w:tab w:val="center" w:pos="0"/>
          <w:tab w:val="left" w:pos="2835"/>
        </w:tabs>
        <w:ind w:firstLine="2880"/>
      </w:pPr>
      <w:r>
        <w:t xml:space="preserve">Posteriormente el Dr. Galeano llamó al contralmirante Anchézar, funcionario de </w:t>
      </w:r>
      <w:smartTag w:uri="urn:schemas-microsoft-com:office:smarttags" w:element="PersonName">
        <w:smartTagPr>
          <w:attr w:name="ProductID" w:val="la S.I"/>
        </w:smartTagPr>
        <w:r>
          <w:t>la S.I</w:t>
        </w:r>
      </w:smartTag>
      <w:r>
        <w:t>.D.E., quien concurrió al juzgado ese mismo día, y se le a</w:t>
      </w:r>
      <w:r>
        <w:t>d</w:t>
      </w:r>
      <w:r>
        <w:t>virtió sobre lo sucedido.</w:t>
      </w:r>
    </w:p>
    <w:p w:rsidR="00224567" w:rsidRDefault="00224567">
      <w:pPr>
        <w:widowControl w:val="0"/>
        <w:tabs>
          <w:tab w:val="center" w:pos="0"/>
          <w:tab w:val="left" w:pos="2835"/>
        </w:tabs>
        <w:ind w:firstLine="2880"/>
      </w:pPr>
      <w:r>
        <w:t>Finalmente, sostuvo, que el juez gua</w:t>
      </w:r>
      <w:r>
        <w:t>r</w:t>
      </w:r>
      <w:r>
        <w:t>dó las dos declaraciones y que no sabe si las conservó o las rompió para evitar riesgos personales; tiene ente</w:t>
      </w:r>
      <w:r>
        <w:t>n</w:t>
      </w:r>
      <w:r>
        <w:t>dido que en el expediente sólo se dejó constancia de la comp</w:t>
      </w:r>
      <w:r>
        <w:t>a</w:t>
      </w:r>
      <w:r>
        <w:t>recencia de Manzanares interesándose por la causa.</w:t>
      </w:r>
    </w:p>
    <w:p w:rsidR="00224567" w:rsidRPr="00DF6543" w:rsidRDefault="00224567">
      <w:pPr>
        <w:widowControl w:val="0"/>
        <w:tabs>
          <w:tab w:val="center" w:pos="0"/>
          <w:tab w:val="left" w:pos="2835"/>
        </w:tabs>
        <w:ind w:firstLine="2880"/>
        <w:rPr>
          <w:highlight w:val="yellow"/>
        </w:rPr>
      </w:pPr>
      <w:r w:rsidRPr="00DF6543">
        <w:rPr>
          <w:highlight w:val="yellow"/>
        </w:rPr>
        <w:t>Manzanares, en ocasión de comparecer al debate, se mostró poco claro y reticente, no obstante refirió que concurrió a la sede del juzgado debido a que fue citado; lo atendieron dos abogados que luego rompieron la hoja de su declaración, se fueron “para adentro”, ll</w:t>
      </w:r>
      <w:r w:rsidRPr="00DF6543">
        <w:rPr>
          <w:highlight w:val="yellow"/>
        </w:rPr>
        <w:t>e</w:t>
      </w:r>
      <w:r w:rsidRPr="00DF6543">
        <w:rPr>
          <w:highlight w:val="yellow"/>
        </w:rPr>
        <w:t>vándolo a otro cuarto, donde debió esperar como una hora. Agregó, que cuando nombró a Stiuso y a Saller los del ju</w:t>
      </w:r>
      <w:r w:rsidRPr="00DF6543">
        <w:rPr>
          <w:highlight w:val="yellow"/>
        </w:rPr>
        <w:t>z</w:t>
      </w:r>
      <w:r w:rsidRPr="00DF6543">
        <w:rPr>
          <w:highlight w:val="yellow"/>
        </w:rPr>
        <w:t>gado se molestaron, charlaron entre ellos y rompieron la hoja delante suyo.</w:t>
      </w:r>
    </w:p>
    <w:p w:rsidR="00224567" w:rsidRDefault="00224567">
      <w:pPr>
        <w:widowControl w:val="0"/>
        <w:tabs>
          <w:tab w:val="center" w:pos="0"/>
          <w:tab w:val="left" w:pos="2835"/>
        </w:tabs>
        <w:ind w:firstLine="2880"/>
      </w:pPr>
      <w:r w:rsidRPr="00DF6543">
        <w:rPr>
          <w:highlight w:val="yellow"/>
        </w:rPr>
        <w:t xml:space="preserve">Reconoció Manzanares que recibió de </w:t>
      </w:r>
      <w:smartTag w:uri="urn:schemas-microsoft-com:office:smarttags" w:element="PersonName">
        <w:smartTagPr>
          <w:attr w:name="ProductID" w:val="la S.I"/>
        </w:smartTagPr>
        <w:r w:rsidRPr="00DF6543">
          <w:rPr>
            <w:highlight w:val="yellow"/>
          </w:rPr>
          <w:t>la S.I</w:t>
        </w:r>
      </w:smartTag>
      <w:r w:rsidRPr="00DF6543">
        <w:rPr>
          <w:highlight w:val="yellow"/>
        </w:rPr>
        <w:t>.D.E. entre $150 y $200 por mes durante un año y m</w:t>
      </w:r>
      <w:r w:rsidRPr="00DF6543">
        <w:rPr>
          <w:highlight w:val="yellow"/>
        </w:rPr>
        <w:t>e</w:t>
      </w:r>
      <w:r w:rsidRPr="00DF6543">
        <w:rPr>
          <w:highlight w:val="yellow"/>
        </w:rPr>
        <w:t>dio; que el dinero le era entregado por Stiuso. Respecto del acta de fs. 19.835, reconoció su firma y dijo que “firmó al final”.</w:t>
      </w:r>
    </w:p>
    <w:p w:rsidR="00224567" w:rsidRDefault="00224567">
      <w:pPr>
        <w:widowControl w:val="0"/>
        <w:tabs>
          <w:tab w:val="center" w:pos="0"/>
          <w:tab w:val="left" w:pos="2835"/>
        </w:tabs>
        <w:ind w:firstLine="2880"/>
      </w:pPr>
      <w:r>
        <w:t>Poco se puede agregar frente a la el</w:t>
      </w:r>
      <w:r>
        <w:t>o</w:t>
      </w:r>
      <w:r>
        <w:t>cuencia de los testimonios precedentemente expue</w:t>
      </w:r>
      <w:r>
        <w:t>s</w:t>
      </w:r>
      <w:r>
        <w:t>tos; sólo caben dos consideraciones.</w:t>
      </w:r>
    </w:p>
    <w:p w:rsidR="00224567" w:rsidRDefault="00224567">
      <w:pPr>
        <w:widowControl w:val="0"/>
        <w:tabs>
          <w:tab w:val="center" w:pos="0"/>
          <w:tab w:val="left" w:pos="2835"/>
        </w:tabs>
        <w:ind w:firstLine="2880"/>
      </w:pPr>
      <w:r w:rsidRPr="00DF6543">
        <w:rPr>
          <w:highlight w:val="yellow"/>
        </w:rPr>
        <w:t>La primera, para destacar la solidez del testigo Claudio Adrián Lifschitz, dado que todo cuanto sostuvo fue corroborado a lo largo del debate, no obstante los reiterados embates que recibió de las querellas A.M.I.A.-D.A.I.A. y de los funcionarios y empleados del juzgado instructor que depusieron en autos.</w:t>
      </w:r>
    </w:p>
    <w:p w:rsidR="00224567" w:rsidRDefault="00224567">
      <w:pPr>
        <w:widowControl w:val="0"/>
        <w:tabs>
          <w:tab w:val="center" w:pos="0"/>
          <w:tab w:val="left" w:pos="2835"/>
        </w:tabs>
        <w:ind w:firstLine="2880"/>
      </w:pPr>
      <w:r>
        <w:t>Los últimos, de manera coincidente, no dudaron en levantar sospechas sobre sus actos y hasta i</w:t>
      </w:r>
      <w:r>
        <w:t>n</w:t>
      </w:r>
      <w:r>
        <w:t>sinuar que fue el responsable o sobre quien recaían las sospechas por la desaparición del video grabado el 1º de julio de 1996.</w:t>
      </w:r>
    </w:p>
    <w:p w:rsidR="00224567" w:rsidRDefault="00224567">
      <w:pPr>
        <w:pStyle w:val="Textoindependiente"/>
        <w:tabs>
          <w:tab w:val="left" w:pos="2835"/>
        </w:tabs>
        <w:spacing w:line="600" w:lineRule="auto"/>
        <w:ind w:firstLine="2880"/>
      </w:pPr>
      <w:r>
        <w:t>Nuevamente queda en relieve la alarma</w:t>
      </w:r>
      <w:r>
        <w:t>n</w:t>
      </w:r>
      <w:r>
        <w:t>te manera en que se manipuló la prueba en este proceso, que, además de poner en evidencia procederes delictuales, restan credibilidad, por su reiteración, a todo lo actuado.</w:t>
      </w:r>
    </w:p>
    <w:p w:rsidR="00224567" w:rsidRDefault="00224567">
      <w:pPr>
        <w:pStyle w:val="Textoindependiente"/>
        <w:tabs>
          <w:tab w:val="left" w:pos="2835"/>
        </w:tabs>
        <w:spacing w:line="600" w:lineRule="auto"/>
        <w:ind w:firstLine="2880"/>
      </w:pPr>
      <w:r>
        <w:rPr>
          <w:b/>
          <w:bCs/>
        </w:rPr>
        <w:t>W.5)</w:t>
      </w:r>
      <w:r>
        <w:t xml:space="preserve"> Del cotejo de la prueba prod</w:t>
      </w:r>
      <w:r>
        <w:t>u</w:t>
      </w:r>
      <w:r>
        <w:t>cida en el contradictorio con lo asentado en el expediente, su</w:t>
      </w:r>
      <w:r>
        <w:t>r</w:t>
      </w:r>
      <w:r>
        <w:t>gen notorias diferencias en torno a las circunstancias de la d</w:t>
      </w:r>
      <w:r>
        <w:t>e</w:t>
      </w:r>
      <w:r>
        <w:t>tención de César Antonio Fernández.</w:t>
      </w:r>
    </w:p>
    <w:p w:rsidR="00224567" w:rsidRDefault="00224567">
      <w:pPr>
        <w:pStyle w:val="Textoindependiente"/>
        <w:tabs>
          <w:tab w:val="left" w:pos="2835"/>
        </w:tabs>
        <w:spacing w:line="600" w:lineRule="auto"/>
        <w:ind w:firstLine="2880"/>
      </w:pPr>
      <w:r>
        <w:t>Así, como se vio, el juez instructor justificó su individualización y localización mediante un llamado anónimo en su teléfono celular, extremo que el te</w:t>
      </w:r>
      <w:r>
        <w:t>s</w:t>
      </w:r>
      <w:r>
        <w:t>timonio de Ángel Roberto Salguero dio por tierra.</w:t>
      </w:r>
    </w:p>
    <w:p w:rsidR="00224567" w:rsidRDefault="00224567">
      <w:pPr>
        <w:pStyle w:val="Textoindependiente"/>
        <w:tabs>
          <w:tab w:val="left" w:pos="2835"/>
        </w:tabs>
        <w:spacing w:line="600" w:lineRule="auto"/>
        <w:ind w:firstLine="2880"/>
      </w:pPr>
      <w:r>
        <w:t>Tal incongruencia en los hechos, de por sí grave, cobra aún mayor relevancia a poco que se advierta las graves denuncias por privación ilegal de la libertad y torturas que César Antonio Fernández e</w:t>
      </w:r>
      <w:r>
        <w:t>x</w:t>
      </w:r>
      <w:r>
        <w:t>presó al momento de su declaración indagatoria.</w:t>
      </w:r>
    </w:p>
    <w:p w:rsidR="00224567" w:rsidRDefault="00224567">
      <w:pPr>
        <w:pStyle w:val="Textoindependiente"/>
        <w:tabs>
          <w:tab w:val="left" w:pos="2835"/>
        </w:tabs>
        <w:spacing w:line="600" w:lineRule="auto"/>
        <w:ind w:firstLine="2880"/>
      </w:pPr>
      <w:r>
        <w:t>Además, se tiene particularmente en cuenta que el magistrado ordenó a Salguero, según los d</w:t>
      </w:r>
      <w:r>
        <w:t>i</w:t>
      </w:r>
      <w:r>
        <w:t xml:space="preserve">chos de éste último, contactar a un agente de </w:t>
      </w:r>
      <w:smartTag w:uri="urn:schemas-microsoft-com:office:smarttags" w:element="PersonName">
        <w:smartTagPr>
          <w:attr w:name="ProductID" w:val="la S.I"/>
        </w:smartTagPr>
        <w:r>
          <w:t>la S.I</w:t>
        </w:r>
      </w:smartTag>
      <w:r>
        <w:t>.D.E. llamado Jaime para la entrega de César Fernández en la l</w:t>
      </w:r>
      <w:r>
        <w:t>o</w:t>
      </w:r>
      <w:r>
        <w:t>calidad Bella Vista; circunstancia ésta que se compadece con el nombre de cobertura utilizado por Horacio Antonio Stiuso.</w:t>
      </w:r>
    </w:p>
    <w:p w:rsidR="00224567" w:rsidRDefault="00224567">
      <w:pPr>
        <w:pStyle w:val="Textoindependiente"/>
        <w:tabs>
          <w:tab w:val="left" w:pos="2835"/>
        </w:tabs>
        <w:spacing w:line="600" w:lineRule="auto"/>
        <w:ind w:firstLine="2880"/>
      </w:pPr>
      <w:r>
        <w:t>Concuerda, además, con la interve</w:t>
      </w:r>
      <w:r>
        <w:t>n</w:t>
      </w:r>
      <w:r>
        <w:t xml:space="preserve">ción que cupo a éste último que, junto con personal de </w:t>
      </w:r>
      <w:smartTag w:uri="urn:schemas-microsoft-com:office:smarttags" w:element="PersonName">
        <w:smartTagPr>
          <w:attr w:name="ProductID" w:val="la S.I"/>
        </w:smartTagPr>
        <w:r>
          <w:t>la S.I</w:t>
        </w:r>
      </w:smartTag>
      <w:r>
        <w:t>.D.E. –Jorge Luis Lucas y Roberto Jorge Saller-, local</w:t>
      </w:r>
      <w:r>
        <w:t>i</w:t>
      </w:r>
      <w:r>
        <w:t>zó al nombrado Fernández en Gualeguaychú, según surge de sus testimonios y de las constancias donde informaron ace</w:t>
      </w:r>
      <w:r>
        <w:t>r</w:t>
      </w:r>
      <w:r>
        <w:t>ca de las tareas de inteligencia que se llevaron a cabo a su respecto (fs. 18.383/4, 18.413/4 y fs. 19.069/138).</w:t>
      </w:r>
    </w:p>
    <w:p w:rsidR="00224567" w:rsidRDefault="00224567">
      <w:pPr>
        <w:pStyle w:val="Textoindependiente"/>
        <w:tabs>
          <w:tab w:val="left" w:pos="2835"/>
        </w:tabs>
        <w:spacing w:line="600" w:lineRule="auto"/>
        <w:ind w:firstLine="2880"/>
      </w:pPr>
      <w:r>
        <w:t>Pese al conocimiento que de dicha labor tenía el magistrado instructor, ningún reparo le mereció en orden al pedido de captura de César Antonio Fernández que, tiempo atrás, había dispuesto.</w:t>
      </w:r>
    </w:p>
    <w:p w:rsidR="00224567" w:rsidRDefault="00224567">
      <w:pPr>
        <w:pStyle w:val="Textoindependiente"/>
        <w:tabs>
          <w:tab w:val="left" w:pos="2835"/>
        </w:tabs>
        <w:spacing w:line="600" w:lineRule="auto"/>
        <w:ind w:firstLine="2880"/>
      </w:pPr>
      <w:r>
        <w:t>Por otro lado, la versión que sobre los hechos dio Salguero en el debate se compadece con lo afi</w:t>
      </w:r>
      <w:r>
        <w:t>r</w:t>
      </w:r>
      <w:r>
        <w:t xml:space="preserve">mado por César Antonio Fernández en lo relativo al modo en que fue ingresado a la camioneta de </w:t>
      </w:r>
      <w:smartTag w:uri="urn:schemas-microsoft-com:office:smarttags" w:element="PersonName">
        <w:smartTagPr>
          <w:attr w:name="ProductID" w:val="la Brigada"/>
        </w:smartTagPr>
        <w:r>
          <w:t>la Brigada</w:t>
        </w:r>
      </w:smartTag>
      <w:r>
        <w:t xml:space="preserve"> de General Sarmiento, esto es, inmediatamente después de que fue lib</w:t>
      </w:r>
      <w:r>
        <w:t>e</w:t>
      </w:r>
      <w:r>
        <w:t>rado por sus captores y tomado del brazo por uno de ellos.</w:t>
      </w:r>
    </w:p>
    <w:p w:rsidR="00224567" w:rsidRDefault="00224567">
      <w:pPr>
        <w:pStyle w:val="Textoindependiente"/>
        <w:tabs>
          <w:tab w:val="left" w:pos="2835"/>
        </w:tabs>
        <w:spacing w:line="600" w:lineRule="auto"/>
        <w:ind w:firstLine="2880"/>
      </w:pPr>
      <w:r>
        <w:t xml:space="preserve">También se considera que Manzanares era un informante de </w:t>
      </w:r>
      <w:smartTag w:uri="urn:schemas-microsoft-com:office:smarttags" w:element="PersonName">
        <w:smartTagPr>
          <w:attr w:name="ProductID" w:val="la S.I"/>
        </w:smartTagPr>
        <w:r>
          <w:t>la S.I</w:t>
        </w:r>
      </w:smartTag>
      <w:r>
        <w:t>.D.E. en la investigación que el o</w:t>
      </w:r>
      <w:r>
        <w:t>r</w:t>
      </w:r>
      <w:r>
        <w:t>ganismo desarrolló en procura de establecer las actividades de César Fernández en Gualeguaychú y que el nombrado reco</w:t>
      </w:r>
      <w:r>
        <w:t>r</w:t>
      </w:r>
      <w:r>
        <w:t>dó, al igual que lo declaró aquél, que manejaba la camion</w:t>
      </w:r>
      <w:r>
        <w:t>e</w:t>
      </w:r>
      <w:r>
        <w:t>ta Rastrojero al momento en que Fernández fue privado de su libertad. También coinciden ambos en el resto de las ci</w:t>
      </w:r>
      <w:r>
        <w:t>r</w:t>
      </w:r>
      <w:r>
        <w:t>cunstancias de tiempo, modo y lugar en que se llevó a cabo la maniobra ilícita.</w:t>
      </w:r>
    </w:p>
    <w:p w:rsidR="00224567" w:rsidRDefault="00224567">
      <w:pPr>
        <w:pStyle w:val="Textoindependiente"/>
        <w:tabs>
          <w:tab w:val="left" w:pos="2835"/>
        </w:tabs>
        <w:spacing w:line="600" w:lineRule="auto"/>
        <w:ind w:firstLine="2880"/>
      </w:pPr>
      <w:r>
        <w:t>Finalmente, la declaración de Horacio Manzanares ya analizada y los dichos que en igual sentido expresó Claudio Lifschitz, pusieron al desc</w:t>
      </w:r>
      <w:r>
        <w:t>u</w:t>
      </w:r>
      <w:r>
        <w:t xml:space="preserve">bierto el modo en que varios funcionarios del juzgado instructor y de </w:t>
      </w:r>
      <w:smartTag w:uri="urn:schemas-microsoft-com:office:smarttags" w:element="PersonName">
        <w:smartTagPr>
          <w:attr w:name="ProductID" w:val="la Secretar￭a"/>
        </w:smartTagPr>
        <w:r>
          <w:t>la Secretaría</w:t>
        </w:r>
      </w:smartTag>
      <w:r>
        <w:t xml:space="preserve"> de Inteligencia de Estado pretendieron ocultar los graves ilícitos cometidos en perjuicio de César Antonio Fernández.</w:t>
      </w:r>
    </w:p>
    <w:p w:rsidR="00224567" w:rsidRDefault="00224567">
      <w:pPr>
        <w:pStyle w:val="Textoindependiente"/>
        <w:tabs>
          <w:tab w:val="left" w:pos="2835"/>
        </w:tabs>
        <w:spacing w:line="600" w:lineRule="auto"/>
        <w:ind w:firstLine="2880"/>
      </w:pPr>
      <w:r>
        <w:rPr>
          <w:b/>
          <w:bCs/>
        </w:rPr>
        <w:t>W.6)</w:t>
      </w:r>
      <w:r>
        <w:t xml:space="preserve"> Los episodios antes denunciados cobran aún mayor gravedad a poco que se repare en la lect</w:t>
      </w:r>
      <w:r>
        <w:t>u</w:t>
      </w:r>
      <w:r>
        <w:t>ra de la causa nº 1601, caratulada: “Irigoytía, Carlos Francisco s/denuncia”, del registro del Juzgado Nacional en lo Crim</w:t>
      </w:r>
      <w:r>
        <w:t>i</w:t>
      </w:r>
      <w:r>
        <w:t>nal y Correccional Federal nº 9 de esta ciudad.</w:t>
      </w:r>
    </w:p>
    <w:p w:rsidR="00224567" w:rsidRDefault="00224567">
      <w:pPr>
        <w:pStyle w:val="Textoindependiente"/>
        <w:tabs>
          <w:tab w:val="left" w:pos="2835"/>
        </w:tabs>
        <w:spacing w:line="600" w:lineRule="auto"/>
        <w:ind w:firstLine="2880"/>
      </w:pPr>
      <w:r>
        <w:t>De dichas actuaciones se despenden las siguientes circunstancias:</w:t>
      </w:r>
    </w:p>
    <w:p w:rsidR="00224567" w:rsidRDefault="00224567">
      <w:pPr>
        <w:pStyle w:val="Textoindependiente"/>
        <w:tabs>
          <w:tab w:val="left" w:pos="2835"/>
        </w:tabs>
        <w:spacing w:line="600" w:lineRule="auto"/>
        <w:ind w:firstLine="2880"/>
      </w:pPr>
      <w:r>
        <w:t xml:space="preserve">Que el 21 de octubre de 1995 Carlos Francisco Irigoytía se presentó en </w:t>
      </w:r>
      <w:smartTag w:uri="urn:schemas-microsoft-com:office:smarttags" w:element="PersonName">
        <w:smartTagPr>
          <w:attr w:name="ProductID" w:val="la Jefatura Departamental"/>
        </w:smartTagPr>
        <w:r>
          <w:t>la Jefatura Departame</w:t>
        </w:r>
        <w:r>
          <w:t>n</w:t>
        </w:r>
        <w:r>
          <w:t>tal</w:t>
        </w:r>
      </w:smartTag>
      <w:r>
        <w:t xml:space="preserve"> de Gualeguaychú a fin de denunciar, conforme le hizo saber el ciudadano Manzanares, que individuos armados se llevaron en una camioneta Renault Trafic a su amigo César Antonio Fernández (fs. 3).</w:t>
      </w:r>
    </w:p>
    <w:p w:rsidR="00224567" w:rsidRDefault="00224567">
      <w:pPr>
        <w:pStyle w:val="Textoindependiente"/>
        <w:tabs>
          <w:tab w:val="left" w:pos="2835"/>
        </w:tabs>
        <w:spacing w:line="600" w:lineRule="auto"/>
        <w:ind w:firstLine="2880"/>
      </w:pPr>
      <w:r>
        <w:t>Que Carlos Alberto Punti y Luis Horacio Manzanares prestaron declaración testimonial, poniendo en conocimiento de la autoridad policial los detalles de dicho suceso (fs. 9/10 y 15/6, respectiv</w:t>
      </w:r>
      <w:r>
        <w:t>a</w:t>
      </w:r>
      <w:r>
        <w:t>mente).</w:t>
      </w:r>
    </w:p>
    <w:p w:rsidR="00224567" w:rsidRDefault="00224567">
      <w:pPr>
        <w:pStyle w:val="Textoindependiente"/>
        <w:tabs>
          <w:tab w:val="left" w:pos="2835"/>
        </w:tabs>
        <w:spacing w:line="600" w:lineRule="auto"/>
        <w:ind w:firstLine="2880"/>
      </w:pPr>
      <w:r>
        <w:t>Que a fs. 16vta., sin ningún otro ant</w:t>
      </w:r>
      <w:r>
        <w:t>e</w:t>
      </w:r>
      <w:r>
        <w:t>cedente en la causa que informara acerca del paradero del damnificado, obra una nota policial de fecha 23 de octubre de 1995, haciendo constar que se solicitó información re</w:t>
      </w:r>
      <w:r>
        <w:t>s</w:t>
      </w:r>
      <w:r>
        <w:t xml:space="preserve">pecto de César Antonio Fernández al jefe de </w:t>
      </w:r>
      <w:smartTag w:uri="urn:schemas-microsoft-com:office:smarttags" w:element="PersonName">
        <w:smartTagPr>
          <w:attr w:name="ProductID" w:val="la Brigada"/>
        </w:smartTagPr>
        <w:r>
          <w:t>la Brigada</w:t>
        </w:r>
      </w:smartTag>
      <w:r>
        <w:t xml:space="preserve"> de General Sarmiento de </w:t>
      </w:r>
      <w:smartTag w:uri="urn:schemas-microsoft-com:office:smarttags" w:element="PersonName">
        <w:smartTagPr>
          <w:attr w:name="ProductID" w:val="la Polic￭a Bonaerense."/>
        </w:smartTagPr>
        <w:r>
          <w:t>la Policía Bona</w:t>
        </w:r>
        <w:r>
          <w:t>e</w:t>
        </w:r>
        <w:r>
          <w:t>rense.</w:t>
        </w:r>
      </w:smartTag>
    </w:p>
    <w:p w:rsidR="00224567" w:rsidRDefault="00224567">
      <w:pPr>
        <w:pStyle w:val="Textoindependiente"/>
        <w:tabs>
          <w:tab w:val="left" w:pos="2835"/>
        </w:tabs>
        <w:spacing w:line="600" w:lineRule="auto"/>
        <w:ind w:firstLine="2880"/>
      </w:pPr>
      <w:r>
        <w:t xml:space="preserve">Que a fs. 18, Ángel Roberto Salguero, comisario de dicha brigada, hizo saber que el nombrado se encontraba detenido e incomunicado a disposición del Juez Nacional en lo Criminal y Correccional Federal nº 9 Juan José Galeano, por ser imputado en la causa 1156, caratulada “atentado edificio Pasteur </w:t>
      </w:r>
      <w:smartTag w:uri="urn:schemas-microsoft-com:office:smarttags" w:element="metricconverter">
        <w:smartTagPr>
          <w:attr w:name="ProductID" w:val="633”"/>
        </w:smartTagPr>
        <w:r>
          <w:t>633”</w:t>
        </w:r>
      </w:smartTag>
      <w:r>
        <w:t>.</w:t>
      </w:r>
    </w:p>
    <w:p w:rsidR="00224567" w:rsidRDefault="00224567">
      <w:pPr>
        <w:pStyle w:val="Textoindependiente"/>
        <w:tabs>
          <w:tab w:val="left" w:pos="2835"/>
        </w:tabs>
        <w:spacing w:line="600" w:lineRule="auto"/>
        <w:ind w:firstLine="2880"/>
      </w:pPr>
      <w:r>
        <w:t>Que a fs. 21, el Juez de Instrucción nº 3 con asiento en la ciudad Gualeguaychú, Dr. Sergio Ricardo Carboni, previo a cualquier otra diligencia, corrió vista al Ministerio Fiscal para que se expidiera sobre la comp</w:t>
      </w:r>
      <w:r>
        <w:t>e</w:t>
      </w:r>
      <w:r>
        <w:t>tencia o incompetencia de ese tribunal para intervenir en el caso.</w:t>
      </w:r>
    </w:p>
    <w:p w:rsidR="00224567" w:rsidRDefault="00224567">
      <w:pPr>
        <w:pStyle w:val="Textoindependiente"/>
        <w:tabs>
          <w:tab w:val="left" w:pos="2835"/>
        </w:tabs>
        <w:spacing w:line="600" w:lineRule="auto"/>
        <w:ind w:firstLine="2880"/>
      </w:pPr>
      <w:r>
        <w:t>Tras la vista y de conformidad con lo dictaminado por el agente fiscal Guillermo Biré, d</w:t>
      </w:r>
      <w:r>
        <w:t>e</w:t>
      </w:r>
      <w:r>
        <w:t>clinó la competencia a favor del juzgado a cargo del Dr. Juan José Galeano por considerar que “se trataría de un delito cont</w:t>
      </w:r>
      <w:r>
        <w:t>i</w:t>
      </w:r>
      <w:r>
        <w:t>nuado, que cesó de perpetrarse al haberse colocado a Fe</w:t>
      </w:r>
      <w:r>
        <w:t>r</w:t>
      </w:r>
      <w:r>
        <w:t>nández a disposición del tribunal que dispusiera las med</w:t>
      </w:r>
      <w:r>
        <w:t>i</w:t>
      </w:r>
      <w:r>
        <w:t>das de coerción personal a las que se encuentra somet</w:t>
      </w:r>
      <w:r>
        <w:t>i</w:t>
      </w:r>
      <w:r>
        <w:t>do”.</w:t>
      </w:r>
    </w:p>
    <w:p w:rsidR="00224567" w:rsidRDefault="00224567">
      <w:pPr>
        <w:pStyle w:val="Textoindependiente"/>
        <w:tabs>
          <w:tab w:val="left" w:pos="2835"/>
        </w:tabs>
        <w:spacing w:line="600" w:lineRule="auto"/>
        <w:ind w:firstLine="2880"/>
      </w:pPr>
      <w:r>
        <w:t>Que a fs. 29, tras ingresar la causa al juzgado de referencia, el Ministerio Público Fiscal, en una presentación suscripta por los fiscales Eamon Mullen y José Barbaccia, requirió la instrucción del caso, solicitando la certificación de los antecedentes que obraran en la causa nº 1156, relacionados “a la orden de detención de César A</w:t>
      </w:r>
      <w:r>
        <w:t>n</w:t>
      </w:r>
      <w:r>
        <w:t>tonio Fernández”.</w:t>
      </w:r>
    </w:p>
    <w:p w:rsidR="00224567" w:rsidRDefault="00224567">
      <w:pPr>
        <w:pStyle w:val="Textoindependiente"/>
        <w:tabs>
          <w:tab w:val="left" w:pos="2835"/>
        </w:tabs>
        <w:spacing w:line="600" w:lineRule="auto"/>
        <w:ind w:firstLine="2880"/>
      </w:pPr>
      <w:r>
        <w:t>Que tras hacer lugar a lo peticion</w:t>
      </w:r>
      <w:r>
        <w:t>a</w:t>
      </w:r>
      <w:r>
        <w:t>do, el juez instructor adjuntó copias de los actuados en la causa de mención (fs. 31/107). Así conformada las actuaci</w:t>
      </w:r>
      <w:r>
        <w:t>o</w:t>
      </w:r>
      <w:r>
        <w:t>nes, el 22 de diciembre de 1995 el juez instructor reso</w:t>
      </w:r>
      <w:r>
        <w:t>l</w:t>
      </w:r>
      <w:r>
        <w:t>vió, con noticia de la fiscalía, archivarlas hasta tanto nuevos elementos permitan la prosecución de la investig</w:t>
      </w:r>
      <w:r>
        <w:t>a</w:t>
      </w:r>
      <w:r>
        <w:t>ción.</w:t>
      </w:r>
    </w:p>
    <w:p w:rsidR="00224567" w:rsidRDefault="00224567">
      <w:pPr>
        <w:pStyle w:val="Textoindependiente"/>
        <w:tabs>
          <w:tab w:val="left" w:pos="2835"/>
        </w:tabs>
        <w:spacing w:line="600" w:lineRule="auto"/>
        <w:ind w:firstLine="2880"/>
      </w:pPr>
      <w:r>
        <w:t>En el decisorio, el magistrado restó credibilidad a la denuncia efectuada por César Antonio Fe</w:t>
      </w:r>
      <w:r>
        <w:t>r</w:t>
      </w:r>
      <w:r>
        <w:t>nández, entre otras cosas, por “la diferencia existente e</w:t>
      </w:r>
      <w:r>
        <w:t>n</w:t>
      </w:r>
      <w:r>
        <w:t>tre las expresiones de los dos anteriormente mencionados [Luis Horacio Manzanares y César Antonio Fernández] en lo que a la cantidad de individuos que aluden los intercept</w:t>
      </w:r>
      <w:r>
        <w:t>a</w:t>
      </w:r>
      <w:r>
        <w:t>ran se refiere”. Y destacó que “mientras el mentado MANZ</w:t>
      </w:r>
      <w:r>
        <w:t>A</w:t>
      </w:r>
      <w:r>
        <w:t>NARES menciona que fueron varias las personas que desce</w:t>
      </w:r>
      <w:r>
        <w:t>n</w:t>
      </w:r>
      <w:r>
        <w:t>dieran de la camioneta, apuntando que se trataban de más de cuatro; quien se dice lesionado afirmó con seguridad que fueron dos los que aparecieran en el interior de la misma. Notoria diferencia nótese del número de sujetos de refere</w:t>
      </w:r>
      <w:r>
        <w:t>n</w:t>
      </w:r>
      <w:r>
        <w:t>cia, la que sin dudas resulta llamativa no solo a nivel cualitativo, sino habida cuenta la entidad del suceso que se pretende denunciar”.</w:t>
      </w:r>
    </w:p>
    <w:p w:rsidR="00224567" w:rsidRDefault="00224567">
      <w:pPr>
        <w:pStyle w:val="Textoindependiente"/>
        <w:tabs>
          <w:tab w:val="left" w:pos="2835"/>
        </w:tabs>
        <w:spacing w:line="600" w:lineRule="auto"/>
        <w:ind w:firstLine="2880"/>
      </w:pPr>
      <w:r>
        <w:t>Agregó que “no existen elementos de prueba suficientes que permitan avanzar en la invest</w:t>
      </w:r>
      <w:r>
        <w:t>i</w:t>
      </w:r>
      <w:r>
        <w:t>gación del injusto sometido a estudio, y mucho menos que conlleven a la individualización de los autores del ilícito que se denuncia como cometido” y que “sólo se cuenta en autos, con las expresiones de este último, y de quien dice ser único testigo del hecho, el mentado MANZANARES, no contándose con otros elementos probatorios que corroboren la versión por ellos brindada, y que permitan continuar con el cumplimento de las c</w:t>
      </w:r>
      <w:r>
        <w:t>o</w:t>
      </w:r>
      <w:r>
        <w:t>rrespondientes diligencias del caso”.</w:t>
      </w:r>
    </w:p>
    <w:p w:rsidR="00224567" w:rsidRDefault="00224567">
      <w:pPr>
        <w:pStyle w:val="Textoindependiente"/>
        <w:tabs>
          <w:tab w:val="left" w:pos="2835"/>
        </w:tabs>
        <w:spacing w:line="600" w:lineRule="auto"/>
        <w:ind w:firstLine="2880"/>
      </w:pPr>
      <w:r>
        <w:t>Como se vio en el capítulo IV, el juez instructor contó con los dichos de Luis Horacio Manzanares, quien había relatado el 25 de octubre de 1994, cuatro días después del secuestro de César Antonio Fernández, la part</w:t>
      </w:r>
      <w:r>
        <w:t>i</w:t>
      </w:r>
      <w:r>
        <w:t xml:space="preserve">cipación que en el suceso cupo al personal de </w:t>
      </w:r>
      <w:smartTag w:uri="urn:schemas-microsoft-com:office:smarttags" w:element="PersonName">
        <w:smartTagPr>
          <w:attr w:name="ProductID" w:val="la Secretar￭a"/>
        </w:smartTagPr>
        <w:r>
          <w:t>la Secretaría</w:t>
        </w:r>
      </w:smartTag>
      <w:r>
        <w:t xml:space="preserve"> de Inteligencia de Estado, individualizando a Jaime Stiller –el nombre de cobert</w:t>
      </w:r>
      <w:r>
        <w:t>u</w:t>
      </w:r>
      <w:r>
        <w:t>ra del agente Horacio Antonio Stiuso- y a Roberto Jorge Saller y que, por esa misma razón, fueron dejados de lado del expediente, con la conformidad del juez y del Subsecretario de Inteligencia de Estado, Juan Carlos Anchézar.</w:t>
      </w:r>
    </w:p>
    <w:p w:rsidR="00224567" w:rsidRDefault="00224567">
      <w:pPr>
        <w:pStyle w:val="Textoindependiente"/>
        <w:tabs>
          <w:tab w:val="left" w:pos="2835"/>
        </w:tabs>
        <w:spacing w:line="600" w:lineRule="auto"/>
        <w:ind w:firstLine="2880"/>
      </w:pPr>
      <w:r>
        <w:t>Tal circunstancia se compatibiliza, además, con la versión que de los hechos aportó Ángel R</w:t>
      </w:r>
      <w:r>
        <w:t>o</w:t>
      </w:r>
      <w:r>
        <w:t>berto Salguero en el debate, de la cual ya se ha dada cue</w:t>
      </w:r>
      <w:r>
        <w:t>n</w:t>
      </w:r>
      <w:r>
        <w:t>ta.</w:t>
      </w:r>
    </w:p>
    <w:p w:rsidR="00224567" w:rsidRDefault="00224567">
      <w:pPr>
        <w:pStyle w:val="Textoindependiente"/>
        <w:tabs>
          <w:tab w:val="left" w:pos="2835"/>
        </w:tabs>
        <w:spacing w:line="600" w:lineRule="auto"/>
        <w:ind w:firstLine="2880"/>
      </w:pPr>
      <w:r>
        <w:t>Por otra parte, no se puede dejar de señalar la circunstancia que surge de fs. 16vta. de la ca</w:t>
      </w:r>
      <w:r>
        <w:t>u</w:t>
      </w:r>
      <w:r>
        <w:t>sa de mención, en la que se desprende, sin ningún antec</w:t>
      </w:r>
      <w:r>
        <w:t>e</w:t>
      </w:r>
      <w:r>
        <w:t>dente que lo explique, el paradero de quien hasta esa f</w:t>
      </w:r>
      <w:r>
        <w:t>e</w:t>
      </w:r>
      <w:r>
        <w:t>cha –23 de octubre de 1994- era ignorado en esas actuaci</w:t>
      </w:r>
      <w:r>
        <w:t>o</w:t>
      </w:r>
      <w:r>
        <w:t>nes.</w:t>
      </w:r>
    </w:p>
    <w:p w:rsidR="00224567" w:rsidRDefault="00224567">
      <w:pPr>
        <w:pStyle w:val="Textoindependiente"/>
        <w:tabs>
          <w:tab w:val="left" w:pos="2835"/>
        </w:tabs>
        <w:spacing w:line="600" w:lineRule="auto"/>
        <w:ind w:firstLine="2880"/>
      </w:pPr>
      <w:r>
        <w:t>Sobre la base de la información e</w:t>
      </w:r>
      <w:r>
        <w:t>n</w:t>
      </w:r>
      <w:r>
        <w:t xml:space="preserve">viada por </w:t>
      </w:r>
      <w:smartTag w:uri="urn:schemas-microsoft-com:office:smarttags" w:element="PersonName">
        <w:smartTagPr>
          <w:attr w:name="ProductID" w:val="la Brigada"/>
        </w:smartTagPr>
        <w:r>
          <w:t>la Brigada</w:t>
        </w:r>
      </w:smartTag>
      <w:r>
        <w:t xml:space="preserve"> de Investigaciones de General Sarmiento de </w:t>
      </w:r>
      <w:smartTag w:uri="urn:schemas-microsoft-com:office:smarttags" w:element="PersonName">
        <w:smartTagPr>
          <w:attr w:name="ProductID" w:val="la Polic￭a Bonaerense"/>
        </w:smartTagPr>
        <w:r>
          <w:t>la Policía Bonaerense</w:t>
        </w:r>
      </w:smartTag>
      <w:r>
        <w:t>, el juez instructor de la ciudad de Gualeguaychú, de manera arbitraria, decl</w:t>
      </w:r>
      <w:r>
        <w:t>i</w:t>
      </w:r>
      <w:r>
        <w:t>nó su competencia en favor del juzgado a cargo del Dr. Galeano. El objeto a investigar en esas actuaciones, según los dichos de Manz</w:t>
      </w:r>
      <w:r>
        <w:t>a</w:t>
      </w:r>
      <w:r>
        <w:t>nares, había acaecido en la ciudad de Gualeguaychú y, hasta ese momento, ninguna vinculación guardaba con “las medidas de coerción pe</w:t>
      </w:r>
      <w:r>
        <w:t>r</w:t>
      </w:r>
      <w:r>
        <w:t>sonal” dispuestas contra Fernández.</w:t>
      </w:r>
    </w:p>
    <w:p w:rsidR="00224567" w:rsidRDefault="00224567">
      <w:pPr>
        <w:pStyle w:val="Textoindependiente"/>
        <w:tabs>
          <w:tab w:val="left" w:pos="2835"/>
        </w:tabs>
        <w:spacing w:line="600" w:lineRule="auto"/>
        <w:ind w:firstLine="2880"/>
      </w:pPr>
      <w:r>
        <w:t>En ese sentido, a fs. 15/16 Manzan</w:t>
      </w:r>
      <w:r>
        <w:t>a</w:t>
      </w:r>
      <w:r>
        <w:t>res manifestó que fue interceptado por una camioneta, tipo Tr</w:t>
      </w:r>
      <w:r>
        <w:t>a</w:t>
      </w:r>
      <w:r>
        <w:t>fic, color blanco, que podría llegar a tener vidrios pol</w:t>
      </w:r>
      <w:r>
        <w:t>a</w:t>
      </w:r>
      <w:r>
        <w:t>rizados; que descendieron varias personas, más de cuatro, quienes portaban armas de fuego; que uno de estos indiv</w:t>
      </w:r>
      <w:r>
        <w:t>i</w:t>
      </w:r>
      <w:r>
        <w:t>duos se dirigió al testigo y le puso el arma a la altura del cuello, diciendo “con vos no es y te mandás a mudar a la mierda” o algo así. Otra pers</w:t>
      </w:r>
      <w:r>
        <w:t>o</w:t>
      </w:r>
      <w:r>
        <w:t>na, relató Manzanares, se puso delante del capó y los apuntaba con el arma. Las pe</w:t>
      </w:r>
      <w:r>
        <w:t>r</w:t>
      </w:r>
      <w:r>
        <w:t>sonas se dirigieron hacia el lado del acompañante, lugar donde estaba César Fe</w:t>
      </w:r>
      <w:r>
        <w:t>r</w:t>
      </w:r>
      <w:r>
        <w:t>nández y le dijeron “a vos te andamos buscando” o “a vos te andamos siguiendo” y luego sacaron a Fernández, lo introdujeron dentro de la camioneta y sali</w:t>
      </w:r>
      <w:r>
        <w:t>e</w:t>
      </w:r>
      <w:r>
        <w:t>ron a gran velocidad.</w:t>
      </w:r>
    </w:p>
    <w:p w:rsidR="00224567" w:rsidRDefault="00224567">
      <w:pPr>
        <w:pStyle w:val="Textoindependiente"/>
        <w:tabs>
          <w:tab w:val="left" w:pos="2835"/>
        </w:tabs>
        <w:spacing w:line="600" w:lineRule="auto"/>
        <w:ind w:firstLine="2880"/>
      </w:pPr>
      <w:r>
        <w:t>En todo caso, de aplicarse la regla de asignación de competencia para el caso de delitos continu</w:t>
      </w:r>
      <w:r>
        <w:t>a</w:t>
      </w:r>
      <w:r>
        <w:t>dos, la causa debió tramitar ante el juez con jurisdicción en el lugar donde Fernández fue abandon</w:t>
      </w:r>
      <w:r>
        <w:t>a</w:t>
      </w:r>
      <w:r>
        <w:t>do.</w:t>
      </w:r>
    </w:p>
    <w:p w:rsidR="00224567" w:rsidRDefault="00224567">
      <w:pPr>
        <w:pStyle w:val="Textoindependiente"/>
        <w:tabs>
          <w:tab w:val="left" w:pos="2835"/>
        </w:tabs>
        <w:spacing w:line="600" w:lineRule="auto"/>
        <w:ind w:firstLine="2880"/>
        <w:rPr>
          <w:rFonts w:eastAsia="PMingLiU"/>
        </w:rPr>
      </w:pPr>
      <w:r>
        <w:t>Como se vio, una vez más el juez Juan José Galeano -con intervención de los fiscales E</w:t>
      </w:r>
      <w:r>
        <w:t>a</w:t>
      </w:r>
      <w:r>
        <w:t>mon Mullen y José Barbaccia- se arrogó una competencia que no le c</w:t>
      </w:r>
      <w:r>
        <w:t>o</w:t>
      </w:r>
      <w:r>
        <w:t>rrespondía con la finalidad antedicha; ello, más allá de haber omitido denunciar el delito al momento de tomar con</w:t>
      </w:r>
      <w:r>
        <w:t>o</w:t>
      </w:r>
      <w:r>
        <w:t xml:space="preserve">cimiento de los hechos de boca de César Antonio Fernández el 25 de octubre de 1995 (fs. </w:t>
      </w:r>
      <w:r>
        <w:rPr>
          <w:rFonts w:eastAsia="PMingLiU"/>
        </w:rPr>
        <w:t>18.917/925).</w:t>
      </w:r>
    </w:p>
    <w:p w:rsidR="00224567" w:rsidRDefault="00224567">
      <w:pPr>
        <w:widowControl w:val="0"/>
        <w:tabs>
          <w:tab w:val="center" w:pos="0"/>
          <w:tab w:val="left" w:pos="2835"/>
        </w:tabs>
        <w:ind w:firstLine="2880"/>
      </w:pPr>
      <w:r>
        <w:rPr>
          <w:rFonts w:eastAsia="PMingLiU"/>
          <w:lang w:val="es-ES_tradnl"/>
        </w:rPr>
        <w:t xml:space="preserve">Por todo ello, corresponde extraer testimonios de las partes pertinentes y remitirlos a </w:t>
      </w:r>
      <w:smartTag w:uri="urn:schemas-microsoft-com:office:smarttags" w:element="PersonName">
        <w:smartTagPr>
          <w:attr w:name="ProductID" w:val="la C￡mara Nacional"/>
        </w:smartTagPr>
        <w:r>
          <w:rPr>
            <w:rFonts w:eastAsia="PMingLiU"/>
            <w:lang w:val="es-ES_tradnl"/>
          </w:rPr>
          <w:t>la Cámara Nacional</w:t>
        </w:r>
      </w:smartTag>
      <w:r>
        <w:rPr>
          <w:rFonts w:eastAsia="PMingLiU"/>
          <w:lang w:val="es-ES_tradnl"/>
        </w:rPr>
        <w:t xml:space="preserve"> en lo Criminal y Correccional Federal a fin que desinsacule el juzgado que deberá intervenir en los delitos de acción pública que resultan de las circun</w:t>
      </w:r>
      <w:r>
        <w:rPr>
          <w:rFonts w:eastAsia="PMingLiU"/>
          <w:lang w:val="es-ES_tradnl"/>
        </w:rPr>
        <w:t>s</w:t>
      </w:r>
      <w:r>
        <w:rPr>
          <w:rFonts w:eastAsia="PMingLiU"/>
          <w:lang w:val="es-ES_tradnl"/>
        </w:rPr>
        <w:t>tancias referidas por César Antonio Fernández y de los h</w:t>
      </w:r>
      <w:r>
        <w:rPr>
          <w:rFonts w:eastAsia="PMingLiU"/>
          <w:lang w:val="es-ES_tradnl"/>
        </w:rPr>
        <w:t>e</w:t>
      </w:r>
      <w:r>
        <w:rPr>
          <w:rFonts w:eastAsia="PMingLiU"/>
          <w:lang w:val="es-ES_tradnl"/>
        </w:rPr>
        <w:t>chos detallados en el presente apartado.</w:t>
      </w:r>
    </w:p>
    <w:p w:rsidR="00224567" w:rsidRDefault="00224567">
      <w:pPr>
        <w:widowControl w:val="0"/>
        <w:tabs>
          <w:tab w:val="center" w:pos="0"/>
          <w:tab w:val="left" w:pos="2835"/>
        </w:tabs>
        <w:rPr>
          <w:b/>
          <w:bCs/>
        </w:rPr>
      </w:pPr>
    </w:p>
    <w:p w:rsidR="00224567" w:rsidRDefault="00224567">
      <w:pPr>
        <w:pStyle w:val="Ttulo3"/>
        <w:keepNext w:val="0"/>
        <w:widowControl w:val="0"/>
      </w:pPr>
      <w:r>
        <w:t>X) Escrito de A.M.I.A.-D.A.I.A.-“Grupo de Familiares”. R</w:t>
      </w:r>
      <w:r>
        <w:t>e</w:t>
      </w:r>
      <w:r>
        <w:t>tiro de los representantes de las instituciones.</w:t>
      </w:r>
    </w:p>
    <w:p w:rsidR="00224567" w:rsidRDefault="00224567">
      <w:pPr>
        <w:widowControl w:val="0"/>
        <w:tabs>
          <w:tab w:val="left" w:pos="0"/>
          <w:tab w:val="left" w:pos="2835"/>
        </w:tabs>
        <w:ind w:firstLine="2880"/>
      </w:pPr>
      <w:r>
        <w:rPr>
          <w:b/>
          <w:bCs/>
        </w:rPr>
        <w:t xml:space="preserve">X.1) </w:t>
      </w:r>
      <w:r>
        <w:t>A fs. 118.402/118.405 de las a</w:t>
      </w:r>
      <w:r>
        <w:t>c</w:t>
      </w:r>
      <w:r>
        <w:t>tuaciones principales luce agregado el escrito pr</w:t>
      </w:r>
      <w:r>
        <w:t>e</w:t>
      </w:r>
      <w:r>
        <w:t xml:space="preserve">sentado por los señores Abraham Kaul y Bejamín Katzaf, presidente y vicepresidente de </w:t>
      </w:r>
      <w:smartTag w:uri="urn:schemas-microsoft-com:office:smarttags" w:element="PersonName">
        <w:smartTagPr>
          <w:attr w:name="ProductID" w:val="la A.M"/>
        </w:smartTagPr>
        <w:r>
          <w:t>la A.M</w:t>
        </w:r>
      </w:smartTag>
      <w:r>
        <w:t>.I.A., respectivamente; Jorge Kirszembaum y Leo Cohen Bello, vicepresidente e.e. y vic</w:t>
      </w:r>
      <w:r>
        <w:t>e</w:t>
      </w:r>
      <w:r>
        <w:t xml:space="preserve">presidente 2º de </w:t>
      </w:r>
      <w:smartTag w:uri="urn:schemas-microsoft-com:office:smarttags" w:element="PersonName">
        <w:smartTagPr>
          <w:attr w:name="ProductID" w:val="la D.A"/>
        </w:smartTagPr>
        <w:r>
          <w:t>la D.A</w:t>
        </w:r>
      </w:smartTag>
      <w:r>
        <w:t>.I.A., en el mismo orden, y los i</w:t>
      </w:r>
      <w:r>
        <w:t>n</w:t>
      </w:r>
      <w:r>
        <w:t>tegrantes del Grupo de Familiares y Amigos de las Víctimas del Atentado del 18 de julio de 1994.</w:t>
      </w:r>
    </w:p>
    <w:p w:rsidR="00224567" w:rsidRDefault="00224567">
      <w:pPr>
        <w:widowControl w:val="0"/>
        <w:tabs>
          <w:tab w:val="left" w:pos="0"/>
          <w:tab w:val="left" w:pos="2835"/>
        </w:tabs>
        <w:ind w:firstLine="2880"/>
      </w:pPr>
      <w:r>
        <w:t>Allí, tras relatar la actividad que desempeñaron en el proceso como querellantes, precisan que en el momento de alegar formularon severas críticas al Tribunal, que reiteran, debido al trato que recibi</w:t>
      </w:r>
      <w:r>
        <w:t>e</w:t>
      </w:r>
      <w:r>
        <w:t>ron las víctimas cuando declararon, extremo que se agrava, según entienden, frente al que se dispensó a funcionarios pol</w:t>
      </w:r>
      <w:r>
        <w:t>í</w:t>
      </w:r>
      <w:r>
        <w:t>ticos y policiales de alta jerarquía en iguales circun</w:t>
      </w:r>
      <w:r>
        <w:t>s</w:t>
      </w:r>
      <w:r>
        <w:t>tancias.</w:t>
      </w:r>
    </w:p>
    <w:p w:rsidR="00224567" w:rsidRDefault="00224567">
      <w:pPr>
        <w:widowControl w:val="0"/>
        <w:tabs>
          <w:tab w:val="left" w:pos="0"/>
          <w:tab w:val="left" w:pos="2835"/>
        </w:tabs>
        <w:ind w:firstLine="2880"/>
      </w:pPr>
      <w:r>
        <w:t>Manifestaron disgusto por lo que co</w:t>
      </w:r>
      <w:r>
        <w:t>n</w:t>
      </w:r>
      <w:r>
        <w:t>sideraron oscilaciones de los criterios del Tribunal a la hora de formular preguntas en relación con el objeto pr</w:t>
      </w:r>
      <w:r>
        <w:t>o</w:t>
      </w:r>
      <w:r>
        <w:t>cesal, el que a veces resultaba sumamente a</w:t>
      </w:r>
      <w:r>
        <w:t>m</w:t>
      </w:r>
      <w:r>
        <w:t>plio y otras, opuestamente, estrecho.</w:t>
      </w:r>
    </w:p>
    <w:p w:rsidR="00224567" w:rsidRDefault="00224567">
      <w:pPr>
        <w:widowControl w:val="0"/>
        <w:tabs>
          <w:tab w:val="left" w:pos="0"/>
          <w:tab w:val="left" w:pos="2835"/>
        </w:tabs>
        <w:ind w:firstLine="2880"/>
      </w:pPr>
      <w:r>
        <w:t>Destacaron, que se enteraron por una vía circunstancial, que la declaración del Abolghasem Me</w:t>
      </w:r>
      <w:r>
        <w:t>s</w:t>
      </w:r>
      <w:r>
        <w:t xml:space="preserve">bahi fue presenciada por el agente de </w:t>
      </w:r>
      <w:smartTag w:uri="urn:schemas-microsoft-com:office:smarttags" w:element="PersonName">
        <w:smartTagPr>
          <w:attr w:name="ProductID" w:val="la S.I"/>
        </w:smartTagPr>
        <w:r>
          <w:t>la S.I</w:t>
        </w:r>
      </w:smartTag>
      <w:r>
        <w:t>.D.E. Antonio Stiuso. Esta situación, sostuvieron, no la informó el Tr</w:t>
      </w:r>
      <w:r>
        <w:t>i</w:t>
      </w:r>
      <w:r>
        <w:t>bunal a las partes, a lo que se suma que el nombrado d</w:t>
      </w:r>
      <w:r>
        <w:t>e</w:t>
      </w:r>
      <w:r>
        <w:t>claró como testigo en el debate semanas a</w:t>
      </w:r>
      <w:r>
        <w:t>n</w:t>
      </w:r>
      <w:r>
        <w:t>tes. Enfatizaron las coincidencias entre las declaraciones de los antes nombrados.</w:t>
      </w:r>
    </w:p>
    <w:p w:rsidR="00224567" w:rsidRDefault="00224567">
      <w:pPr>
        <w:widowControl w:val="0"/>
        <w:tabs>
          <w:tab w:val="left" w:pos="0"/>
          <w:tab w:val="left" w:pos="2835"/>
        </w:tabs>
        <w:ind w:firstLine="2880"/>
      </w:pPr>
      <w:r>
        <w:t>En orden a la separación de los fisc</w:t>
      </w:r>
      <w:r>
        <w:t>a</w:t>
      </w:r>
      <w:r>
        <w:t>les Mullen y Barbaccia, medida que calificaron de inneg</w:t>
      </w:r>
      <w:r>
        <w:t>a</w:t>
      </w:r>
      <w:r>
        <w:t xml:space="preserve">ble gravedad, sostienen que fue tomada “contrariando la jurisprudencia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w:t>
        </w:r>
        <w:r>
          <w:t>a</w:t>
        </w:r>
        <w:r>
          <w:t>ción</w:t>
        </w:r>
      </w:smartTag>
      <w:r>
        <w:t xml:space="preserve">, de </w:t>
      </w:r>
      <w:smartTag w:uri="urn:schemas-microsoft-com:office:smarttags" w:element="PersonName">
        <w:smartTagPr>
          <w:attr w:name="ProductID" w:val="la C￡mara Nacional"/>
        </w:smartTagPr>
        <w:r>
          <w:t>la Cámara Nacional</w:t>
        </w:r>
      </w:smartTag>
      <w:r>
        <w:t xml:space="preserve"> de Casación Penal, de </w:t>
      </w:r>
      <w:smartTag w:uri="urn:schemas-microsoft-com:office:smarttags" w:element="PersonName">
        <w:smartTagPr>
          <w:attr w:name="ProductID" w:val="la C￡mara Federal"/>
        </w:smartTagPr>
        <w:r>
          <w:t>la Cám</w:t>
        </w:r>
        <w:r>
          <w:t>a</w:t>
        </w:r>
        <w:r>
          <w:t>ra Federal</w:t>
        </w:r>
      </w:smartTag>
      <w:r>
        <w:t xml:space="preserve"> y del propio Tribunal”.</w:t>
      </w:r>
    </w:p>
    <w:p w:rsidR="00224567" w:rsidRDefault="00224567">
      <w:pPr>
        <w:widowControl w:val="0"/>
        <w:tabs>
          <w:tab w:val="left" w:pos="0"/>
          <w:tab w:val="left" w:pos="2835"/>
        </w:tabs>
        <w:ind w:firstLine="2880"/>
      </w:pPr>
      <w:r>
        <w:t>Arguyeron que “afirmar que debe apa</w:t>
      </w:r>
      <w:r>
        <w:t>r</w:t>
      </w:r>
      <w:r>
        <w:t>tarse a los fiscales porque podrían hacer uso ind</w:t>
      </w:r>
      <w:r>
        <w:t>e</w:t>
      </w:r>
      <w:r>
        <w:t xml:space="preserve">bido de esa instancia -la de la réplica- es, en definitiva, </w:t>
      </w:r>
      <w:r>
        <w:rPr>
          <w:b/>
        </w:rPr>
        <w:t>inv</w:t>
      </w:r>
      <w:r>
        <w:rPr>
          <w:b/>
        </w:rPr>
        <w:t>o</w:t>
      </w:r>
      <w:r>
        <w:rPr>
          <w:b/>
        </w:rPr>
        <w:t>car una razón falsa que sólo puede estar encubriendo alg</w:t>
      </w:r>
      <w:r>
        <w:rPr>
          <w:b/>
        </w:rPr>
        <w:t>u</w:t>
      </w:r>
      <w:r>
        <w:rPr>
          <w:b/>
        </w:rPr>
        <w:t>na otra motivación que permanece oculta</w:t>
      </w:r>
      <w:r>
        <w:t>” (sic).</w:t>
      </w:r>
    </w:p>
    <w:p w:rsidR="00224567" w:rsidRDefault="00224567">
      <w:pPr>
        <w:widowControl w:val="0"/>
        <w:tabs>
          <w:tab w:val="left" w:pos="0"/>
          <w:tab w:val="left" w:pos="2835"/>
        </w:tabs>
        <w:ind w:firstLine="2880"/>
      </w:pPr>
      <w:r>
        <w:t>Tras criticar dicha decisión, afirm</w:t>
      </w:r>
      <w:r>
        <w:t>a</w:t>
      </w:r>
      <w:r>
        <w:t>ron que el Tribunal dejó de ser imparcial.</w:t>
      </w:r>
    </w:p>
    <w:p w:rsidR="00224567" w:rsidRDefault="00224567">
      <w:pPr>
        <w:widowControl w:val="0"/>
        <w:tabs>
          <w:tab w:val="left" w:pos="0"/>
          <w:tab w:val="left" w:pos="2835"/>
        </w:tabs>
        <w:ind w:firstLine="2880"/>
      </w:pPr>
      <w:r>
        <w:t>Sostuvieron que “el código procesal no prevé un recurso explícito que permita discutir la resol</w:t>
      </w:r>
      <w:r>
        <w:t>u</w:t>
      </w:r>
      <w:r>
        <w:t>ción en otra instancia; ante ello, no queda otra solución que someterse a sus términos o recusar a los jueces”, c</w:t>
      </w:r>
      <w:r>
        <w:t>a</w:t>
      </w:r>
      <w:r>
        <w:t>mino que desecharon, “pues aún con las graves irregular</w:t>
      </w:r>
      <w:r>
        <w:t>i</w:t>
      </w:r>
      <w:r>
        <w:t>dades, entienden que no están dadas las condiciones leg</w:t>
      </w:r>
      <w:r>
        <w:t>a</w:t>
      </w:r>
      <w:r>
        <w:t xml:space="preserve">les para un planteo de tamaña gravedad: </w:t>
      </w:r>
      <w:r>
        <w:rPr>
          <w:b/>
        </w:rPr>
        <w:t>hacer lo contr</w:t>
      </w:r>
      <w:r>
        <w:rPr>
          <w:b/>
        </w:rPr>
        <w:t>a</w:t>
      </w:r>
      <w:r>
        <w:rPr>
          <w:b/>
        </w:rPr>
        <w:t>rio, importaría propiciar la misma arb</w:t>
      </w:r>
      <w:r>
        <w:rPr>
          <w:b/>
        </w:rPr>
        <w:t>i</w:t>
      </w:r>
      <w:r>
        <w:rPr>
          <w:b/>
        </w:rPr>
        <w:t>trariedad que aquí se rechaza”</w:t>
      </w:r>
      <w:r>
        <w:t xml:space="preserve"> (sic).</w:t>
      </w:r>
    </w:p>
    <w:p w:rsidR="00224567" w:rsidRDefault="00224567">
      <w:pPr>
        <w:widowControl w:val="0"/>
        <w:tabs>
          <w:tab w:val="left" w:pos="0"/>
          <w:tab w:val="left" w:pos="2835"/>
        </w:tabs>
        <w:ind w:firstLine="2880"/>
      </w:pPr>
      <w:r>
        <w:t>Es por ello, acotaron, que los fam</w:t>
      </w:r>
      <w:r>
        <w:t>i</w:t>
      </w:r>
      <w:r>
        <w:t>liares y las instituciones que componen la querella unif</w:t>
      </w:r>
      <w:r>
        <w:t>i</w:t>
      </w:r>
      <w:r>
        <w:t>cada decidieron dejar un lugar vació en la sala de audie</w:t>
      </w:r>
      <w:r>
        <w:t>n</w:t>
      </w:r>
      <w:r>
        <w:t xml:space="preserve">cias desde el día en que se conoció la resolución, como expresión de que </w:t>
      </w:r>
      <w:r>
        <w:rPr>
          <w:b/>
        </w:rPr>
        <w:t>“no ha de ceder a la arb</w:t>
      </w:r>
      <w:r>
        <w:rPr>
          <w:b/>
        </w:rPr>
        <w:t>i</w:t>
      </w:r>
      <w:r>
        <w:rPr>
          <w:b/>
        </w:rPr>
        <w:t>trariedad</w:t>
      </w:r>
      <w:r>
        <w:t xml:space="preserve"> y que mucho menos ha de convalidarla con su presencia en la s</w:t>
      </w:r>
      <w:r>
        <w:t>a</w:t>
      </w:r>
      <w:r>
        <w:t>la” (sic).</w:t>
      </w:r>
    </w:p>
    <w:p w:rsidR="00224567" w:rsidRDefault="00224567">
      <w:pPr>
        <w:widowControl w:val="0"/>
        <w:tabs>
          <w:tab w:val="left" w:pos="0"/>
          <w:tab w:val="left" w:pos="2835"/>
        </w:tabs>
        <w:ind w:firstLine="2880"/>
      </w:pPr>
      <w:r>
        <w:rPr>
          <w:b/>
          <w:bCs/>
        </w:rPr>
        <w:t xml:space="preserve">X.2) </w:t>
      </w:r>
      <w:r>
        <w:t>Sabido es que dentro de un sist</w:t>
      </w:r>
      <w:r>
        <w:t>e</w:t>
      </w:r>
      <w:r>
        <w:t>ma republicano, todos los actos de gobierno -las resol</w:t>
      </w:r>
      <w:r>
        <w:t>u</w:t>
      </w:r>
      <w:r>
        <w:t>ciones de los jueces lo son- están sujetos a crítica, pr</w:t>
      </w:r>
      <w:r>
        <w:t>e</w:t>
      </w:r>
      <w:r>
        <w:t>viendo las leyes diversos modos de atacar, a las partes legitimadas, las decisiones que les son adve</w:t>
      </w:r>
      <w:r>
        <w:t>r</w:t>
      </w:r>
      <w:r>
        <w:t>sas.</w:t>
      </w:r>
    </w:p>
    <w:p w:rsidR="00224567" w:rsidRDefault="00224567">
      <w:pPr>
        <w:widowControl w:val="0"/>
        <w:tabs>
          <w:tab w:val="left" w:pos="0"/>
          <w:tab w:val="left" w:pos="2835"/>
        </w:tabs>
        <w:ind w:firstLine="2880"/>
      </w:pPr>
      <w:r>
        <w:t>Para ello, es imprescindible que exi</w:t>
      </w:r>
      <w:r>
        <w:t>s</w:t>
      </w:r>
      <w:r>
        <w:t>ta un perjuicio para el recurrente, que la decisión del superior, en caso de prosperar la impugnación, r</w:t>
      </w:r>
      <w:r>
        <w:t>e</w:t>
      </w:r>
      <w:r>
        <w:t>parará.</w:t>
      </w:r>
    </w:p>
    <w:p w:rsidR="00224567" w:rsidRDefault="00224567">
      <w:pPr>
        <w:widowControl w:val="0"/>
        <w:tabs>
          <w:tab w:val="left" w:pos="0"/>
          <w:tab w:val="left" w:pos="2835"/>
        </w:tabs>
        <w:ind w:firstLine="2880"/>
      </w:pPr>
      <w:r>
        <w:t>Ahora bien, la querella A.M.I.A.-D.A.I.A. y “Grupo de Familiares”, en forma más que exte</w:t>
      </w:r>
      <w:r>
        <w:t>m</w:t>
      </w:r>
      <w:r>
        <w:t>poránea, realizaron críticas al desenvolvimiento del Tr</w:t>
      </w:r>
      <w:r>
        <w:t>i</w:t>
      </w:r>
      <w:r>
        <w:t>bunal, fundadas en el desagrado que les causó dete</w:t>
      </w:r>
      <w:r>
        <w:t>r</w:t>
      </w:r>
      <w:r>
        <w:t>minadas decisiones, que nunca fueron materia de recurso, ni lo p</w:t>
      </w:r>
      <w:r>
        <w:t>o</w:t>
      </w:r>
      <w:r>
        <w:t>drían haber sido, ante la ausencia de perjuicio; es d</w:t>
      </w:r>
      <w:r>
        <w:t>e</w:t>
      </w:r>
      <w:r>
        <w:t>cir de legitimidad para recurrir o impu</w:t>
      </w:r>
      <w:r>
        <w:t>g</w:t>
      </w:r>
      <w:r>
        <w:t>nar.</w:t>
      </w:r>
    </w:p>
    <w:p w:rsidR="00224567" w:rsidRDefault="00224567">
      <w:pPr>
        <w:widowControl w:val="0"/>
        <w:tabs>
          <w:tab w:val="left" w:pos="0"/>
          <w:tab w:val="left" w:pos="2835"/>
        </w:tabs>
        <w:ind w:firstLine="2880"/>
      </w:pPr>
      <w:r>
        <w:t>En ese camino los querellantes actu</w:t>
      </w:r>
      <w:r>
        <w:t>a</w:t>
      </w:r>
      <w:r>
        <w:t>ron durante casi todo el debate, tal vez por costumbre, como si debiesen ser consultados o tenido en cuenta sus pareceres, llegando al extremo de retirarse del debate frente al dictado de una resolución que en modo alguno les causó agravio.</w:t>
      </w:r>
    </w:p>
    <w:p w:rsidR="00224567" w:rsidRDefault="00224567">
      <w:pPr>
        <w:widowControl w:val="0"/>
        <w:tabs>
          <w:tab w:val="left" w:pos="0"/>
          <w:tab w:val="left" w:pos="2835"/>
        </w:tabs>
        <w:ind w:firstLine="2880"/>
      </w:pPr>
      <w:r>
        <w:t>Dicha conducta, entendible en los f</w:t>
      </w:r>
      <w:r>
        <w:t>a</w:t>
      </w:r>
      <w:r>
        <w:t>miliares de las víctimas, resulta incomprensible en cabeza de sus dirigentes y más aún en la de los letrados, dado que frente a tantas irregularidades deberían haberse esm</w:t>
      </w:r>
      <w:r>
        <w:t>e</w:t>
      </w:r>
      <w:r>
        <w:t>rado en pos de los intereses de sus repr</w:t>
      </w:r>
      <w:r>
        <w:t>e</w:t>
      </w:r>
      <w:r>
        <w:t>sentados.</w:t>
      </w:r>
    </w:p>
    <w:p w:rsidR="00224567" w:rsidRDefault="00224567">
      <w:pPr>
        <w:widowControl w:val="0"/>
        <w:tabs>
          <w:tab w:val="left" w:pos="0"/>
          <w:tab w:val="left" w:pos="2835"/>
        </w:tabs>
        <w:ind w:firstLine="2880"/>
      </w:pPr>
      <w:r>
        <w:t>Tal vez, vale reiterar, debido a que en la anterior instancia se les permitió, casi de manera exclusiva, participar de actos procesales y hasta en lo que podría denominarse tareas de espionaje a detenidos y sus letrados, consideraron que en esta etapa d</w:t>
      </w:r>
      <w:r>
        <w:t>i</w:t>
      </w:r>
      <w:r>
        <w:t>cha suerte continuaría y al frustrarse tales expectativas asumieron la actitud, imbuidos no se sabe por quién, de censores del Tribunal, cuestionando todos aquellos actos que no fuese de su gusto, pese a que no los perjudicara y no los rec</w:t>
      </w:r>
      <w:r>
        <w:t>u</w:t>
      </w:r>
      <w:r>
        <w:t>rriesen.</w:t>
      </w:r>
    </w:p>
    <w:p w:rsidR="00224567" w:rsidRDefault="00224567">
      <w:pPr>
        <w:widowControl w:val="0"/>
        <w:tabs>
          <w:tab w:val="left" w:pos="0"/>
          <w:tab w:val="left" w:pos="2835"/>
        </w:tabs>
        <w:ind w:firstLine="2880"/>
      </w:pPr>
      <w:r>
        <w:t>Por esa vía cuestionan el diferente trato que recibieron las víctimas y familiares frente al brindado a funcionarios políticos y policías de alta j</w:t>
      </w:r>
      <w:r>
        <w:t>e</w:t>
      </w:r>
      <w:r>
        <w:t>rarquía.</w:t>
      </w:r>
    </w:p>
    <w:p w:rsidR="00224567" w:rsidRDefault="00224567">
      <w:pPr>
        <w:widowControl w:val="0"/>
        <w:tabs>
          <w:tab w:val="left" w:pos="0"/>
          <w:tab w:val="left" w:pos="2835"/>
        </w:tabs>
        <w:ind w:firstLine="2880"/>
      </w:pPr>
      <w:r>
        <w:t>Más allá de la forma en que se e</w:t>
      </w:r>
      <w:r>
        <w:t>x</w:t>
      </w:r>
      <w:r>
        <w:t>presa la crítica da lugar a que se piense que el destrato a la víctimas fue la regla de conducta del Tribunal, llama la atención que ella se realice transcurr</w:t>
      </w:r>
      <w:r>
        <w:t>i</w:t>
      </w:r>
      <w:r>
        <w:t>dos tantos meses de aquellas declaraciones. También, que se hubiese tolerado, calladamente, semejante i</w:t>
      </w:r>
      <w:r>
        <w:t>n</w:t>
      </w:r>
      <w:r>
        <w:t>equidad.</w:t>
      </w:r>
    </w:p>
    <w:p w:rsidR="00224567" w:rsidRDefault="00224567">
      <w:pPr>
        <w:widowControl w:val="0"/>
        <w:tabs>
          <w:tab w:val="left" w:pos="0"/>
          <w:tab w:val="left" w:pos="2835"/>
        </w:tabs>
        <w:ind w:firstLine="2880"/>
      </w:pPr>
      <w:r>
        <w:t>La apuntada generalización, además de infundada, es demostrativa de una equívoca visión de la razón de ser de la querella en el proceso, pues de haber ello sucedido debieron abogar para que cesara esa situ</w:t>
      </w:r>
      <w:r>
        <w:t>a</w:t>
      </w:r>
      <w:r>
        <w:t>ción o, en el otro supuesto, interrogar de manera más pr</w:t>
      </w:r>
      <w:r>
        <w:t>o</w:t>
      </w:r>
      <w:r>
        <w:t>funda, si es a eso a lo que se refieren.</w:t>
      </w:r>
    </w:p>
    <w:p w:rsidR="00224567" w:rsidRDefault="00224567">
      <w:pPr>
        <w:widowControl w:val="0"/>
        <w:tabs>
          <w:tab w:val="left" w:pos="0"/>
          <w:tab w:val="left" w:pos="2835"/>
        </w:tabs>
        <w:ind w:firstLine="2880"/>
      </w:pPr>
      <w:r>
        <w:t>La lectura de la extensa acta de deb</w:t>
      </w:r>
      <w:r>
        <w:t>a</w:t>
      </w:r>
      <w:r>
        <w:t>te no refleja, en modo alguno, la apuntada crítica, dado que las incidencias que allí constan no difieren de las suscitadas respecto de otros testimonios. Por lo demás, ese documento da cuenta también de numerosísimas litigios suscitados con los señores defensores en la tarea de d</w:t>
      </w:r>
      <w:r>
        <w:t>i</w:t>
      </w:r>
      <w:r>
        <w:t>rección del debate.</w:t>
      </w:r>
    </w:p>
    <w:p w:rsidR="00224567" w:rsidRDefault="00224567">
      <w:pPr>
        <w:widowControl w:val="0"/>
        <w:tabs>
          <w:tab w:val="left" w:pos="0"/>
          <w:tab w:val="left" w:pos="2835"/>
        </w:tabs>
        <w:ind w:firstLine="2880"/>
      </w:pPr>
      <w:r>
        <w:t>En lo que sí pudiera revestir grav</w:t>
      </w:r>
      <w:r>
        <w:t>e</w:t>
      </w:r>
      <w:r>
        <w:t>dad, esto es que se hubiese impedido o coartado inte</w:t>
      </w:r>
      <w:r>
        <w:t>r</w:t>
      </w:r>
      <w:r>
        <w:t>rogar a algún funcionario, no se efectúa ninguna crítica. Par</w:t>
      </w:r>
      <w:r>
        <w:t>e</w:t>
      </w:r>
      <w:r>
        <w:t>cería, entonces, que aquella esta dirigida, exclusivame</w:t>
      </w:r>
      <w:r>
        <w:t>n</w:t>
      </w:r>
      <w:r>
        <w:t>te, al trato protocolar dispensado, que fue igual para t</w:t>
      </w:r>
      <w:r>
        <w:t>o</w:t>
      </w:r>
      <w:r>
        <w:t>dos cuanto depusieron en el debate.</w:t>
      </w:r>
    </w:p>
    <w:p w:rsidR="00224567" w:rsidRDefault="00224567">
      <w:pPr>
        <w:widowControl w:val="0"/>
        <w:tabs>
          <w:tab w:val="left" w:pos="0"/>
          <w:tab w:val="left" w:pos="2835"/>
        </w:tabs>
        <w:ind w:firstLine="2880"/>
      </w:pPr>
      <w:r>
        <w:t>Finalmente, debieron, en su momento, denunciar ante el organismo correspondiente esa inju</w:t>
      </w:r>
      <w:r>
        <w:t>s</w:t>
      </w:r>
      <w:r>
        <w:t>ticia y, además, como lo hicieron habitualmente, frente a cada situación del debate, darla a conocer a la opinión públ</w:t>
      </w:r>
      <w:r>
        <w:t>i</w:t>
      </w:r>
      <w:r>
        <w:t>ca.</w:t>
      </w:r>
    </w:p>
    <w:p w:rsidR="00224567" w:rsidRDefault="00224567">
      <w:pPr>
        <w:widowControl w:val="0"/>
        <w:tabs>
          <w:tab w:val="left" w:pos="0"/>
          <w:tab w:val="left" w:pos="2835"/>
        </w:tabs>
        <w:ind w:firstLine="2880"/>
      </w:pPr>
      <w:r>
        <w:t>Cabe aquí recordar que el Tribunal a fin de lograr la contención y asistencia de las víct</w:t>
      </w:r>
      <w:r>
        <w:t>i</w:t>
      </w:r>
      <w:r>
        <w:t>mas, como también de los demás testigos del trágico hecho, di</w:t>
      </w:r>
      <w:r>
        <w:t>s</w:t>
      </w:r>
      <w:r>
        <w:t>puso la asistencia al juicio, de modo permanente, de ps</w:t>
      </w:r>
      <w:r>
        <w:t>i</w:t>
      </w:r>
      <w:r>
        <w:t>cólogos del Cuerpo Médico Forense.</w:t>
      </w:r>
    </w:p>
    <w:p w:rsidR="00224567" w:rsidRDefault="00224567">
      <w:pPr>
        <w:widowControl w:val="0"/>
        <w:tabs>
          <w:tab w:val="left" w:pos="0"/>
          <w:tab w:val="left" w:pos="2835"/>
        </w:tabs>
        <w:ind w:firstLine="2880"/>
      </w:pPr>
      <w:r>
        <w:t>Acerca del fastidio que expresan por las oscilaciones de los criterios de los jueces, sólo cabe comentar que en la actividad jurisdiccional no siempre se puede complacer las expectativas de las partes, extremo que, en modo alguno, autoriza a erigirse en censor, sino, tan sólo, a recurrir en los términos de la ley procesal, cuando ello procediese debido al perjuicio sufrido.</w:t>
      </w:r>
    </w:p>
    <w:p w:rsidR="00224567" w:rsidRDefault="00224567">
      <w:pPr>
        <w:widowControl w:val="0"/>
        <w:tabs>
          <w:tab w:val="left" w:pos="0"/>
          <w:tab w:val="left" w:pos="2835"/>
        </w:tabs>
        <w:ind w:firstLine="2880"/>
      </w:pPr>
      <w:r>
        <w:t>Por lo demás los cambios de criterio a los que aluden los querellantes, en modo alguno puede ser considerado como negativo o desdoroso para el Tribunal; por el contrario, en general, esa actitud d</w:t>
      </w:r>
      <w:r>
        <w:t>e</w:t>
      </w:r>
      <w:r>
        <w:t>muestra falta de ataduras o amplitud para decidir.</w:t>
      </w:r>
    </w:p>
    <w:p w:rsidR="00224567" w:rsidRDefault="00224567">
      <w:pPr>
        <w:widowControl w:val="0"/>
        <w:tabs>
          <w:tab w:val="left" w:pos="0"/>
          <w:tab w:val="left" w:pos="2835"/>
        </w:tabs>
        <w:ind w:firstLine="2880"/>
      </w:pPr>
      <w:r>
        <w:t>Parece claro que lo que para unos pu</w:t>
      </w:r>
      <w:r>
        <w:t>e</w:t>
      </w:r>
      <w:r>
        <w:t>de constituir una crítica para otros puede ser una vi</w:t>
      </w:r>
      <w:r>
        <w:t>r</w:t>
      </w:r>
      <w:r>
        <w:t>tud. Así, a esta altura defender a ultranza a los funci</w:t>
      </w:r>
      <w:r>
        <w:t>o</w:t>
      </w:r>
      <w:r>
        <w:t>narios judiciales y del Ministerio Público Fiscal a cuyo cargo estuvo la peor investigación de la que hemos tenido con</w:t>
      </w:r>
      <w:r>
        <w:t>o</w:t>
      </w:r>
      <w:r>
        <w:t>cimiento, sin modificar, mínimamente, la perspectiva en esa incansable tarea, ni demostrar alguna duda o al m</w:t>
      </w:r>
      <w:r>
        <w:t>e</w:t>
      </w:r>
      <w:r>
        <w:t>nos una oscilación en el pensamiento, tampoco puede e</w:t>
      </w:r>
      <w:r>
        <w:t>x</w:t>
      </w:r>
      <w:r>
        <w:t>hibirse como una virtud, sino, más bien, por parte de los prof</w:t>
      </w:r>
      <w:r>
        <w:t>e</w:t>
      </w:r>
      <w:r>
        <w:t>sionales, como una visión sólo apegada a la constancias escritas de la instrucción y no a la verdad que su</w:t>
      </w:r>
      <w:r>
        <w:t>r</w:t>
      </w:r>
      <w:r>
        <w:t>gió del debate.</w:t>
      </w:r>
    </w:p>
    <w:p w:rsidR="00224567" w:rsidRDefault="00224567">
      <w:pPr>
        <w:widowControl w:val="0"/>
        <w:tabs>
          <w:tab w:val="left" w:pos="0"/>
          <w:tab w:val="left" w:pos="2835"/>
        </w:tabs>
        <w:ind w:firstLine="2880"/>
      </w:pPr>
      <w:r>
        <w:t>Recién en oportunidad de las répl</w:t>
      </w:r>
      <w:r>
        <w:t>i</w:t>
      </w:r>
      <w:r>
        <w:t>cas el Dr. Ávila descalificó la persona del juez instructor, mas nada dijo sobre el producto de su trabajo.</w:t>
      </w:r>
    </w:p>
    <w:p w:rsidR="00224567" w:rsidRDefault="00224567">
      <w:pPr>
        <w:widowControl w:val="0"/>
        <w:tabs>
          <w:tab w:val="left" w:pos="0"/>
          <w:tab w:val="left" w:pos="2835"/>
        </w:tabs>
        <w:ind w:firstLine="2880"/>
      </w:pPr>
      <w:r>
        <w:t>El Dr. Ávila como los firmantes del escrito de fs. 118.402/405, formularon reparos e insinu</w:t>
      </w:r>
      <w:r>
        <w:t>a</w:t>
      </w:r>
      <w:r>
        <w:t xml:space="preserve">ciones debido a que no se informó a las partes acerca de la presencia de un agente de </w:t>
      </w:r>
      <w:smartTag w:uri="urn:schemas-microsoft-com:office:smarttags" w:element="PersonName">
        <w:smartTagPr>
          <w:attr w:name="ProductID" w:val="la Secretar￭a"/>
        </w:smartTagPr>
        <w:r>
          <w:t>la Secretaría</w:t>
        </w:r>
      </w:smartTag>
      <w:r>
        <w:t xml:space="preserve"> de I</w:t>
      </w:r>
      <w:r>
        <w:t>n</w:t>
      </w:r>
      <w:r>
        <w:t>teligencia de Estado, ingeniero Horacio Antonio Stiuso, en oportun</w:t>
      </w:r>
      <w:r>
        <w:t>i</w:t>
      </w:r>
      <w:r>
        <w:t>dad de que prestara declaración testimonial, vía teleco</w:t>
      </w:r>
      <w:r>
        <w:t>n</w:t>
      </w:r>
      <w:r>
        <w:t>ferencia, Abolghasem Mesbahi.</w:t>
      </w:r>
    </w:p>
    <w:p w:rsidR="00224567" w:rsidRDefault="00224567">
      <w:pPr>
        <w:widowControl w:val="0"/>
        <w:tabs>
          <w:tab w:val="left" w:pos="0"/>
          <w:tab w:val="left" w:pos="2835"/>
        </w:tabs>
        <w:ind w:firstLine="2880"/>
      </w:pPr>
      <w:r>
        <w:t>Destacaron que Stiuso había declar</w:t>
      </w:r>
      <w:r>
        <w:t>a</w:t>
      </w:r>
      <w:r>
        <w:t>do como testigo en el debate “unas pocas semanas a</w:t>
      </w:r>
      <w:r>
        <w:t>n</w:t>
      </w:r>
      <w:r>
        <w:t>tes”, como así también las más que llamativas coincidencias entre a</w:t>
      </w:r>
      <w:r>
        <w:t>m</w:t>
      </w:r>
      <w:r>
        <w:t>bas declaraciones.</w:t>
      </w:r>
    </w:p>
    <w:p w:rsidR="00224567" w:rsidRDefault="00224567">
      <w:pPr>
        <w:widowControl w:val="0"/>
        <w:tabs>
          <w:tab w:val="left" w:pos="0"/>
          <w:tab w:val="left" w:pos="2835"/>
        </w:tabs>
        <w:ind w:firstLine="2880"/>
      </w:pPr>
      <w:r>
        <w:t>Resaltaron, que tomaran conocimiento de ello de modo casual, sino nunca se hubiesen enter</w:t>
      </w:r>
      <w:r>
        <w:t>a</w:t>
      </w:r>
      <w:r>
        <w:t>do.</w:t>
      </w:r>
    </w:p>
    <w:p w:rsidR="00224567" w:rsidRDefault="00224567">
      <w:pPr>
        <w:widowControl w:val="0"/>
        <w:tabs>
          <w:tab w:val="left" w:pos="0"/>
          <w:tab w:val="left" w:pos="2835"/>
        </w:tabs>
        <w:ind w:firstLine="2880"/>
      </w:pPr>
      <w:r>
        <w:t>Parece ser una característica de e</w:t>
      </w:r>
      <w:r>
        <w:t>s</w:t>
      </w:r>
      <w:r>
        <w:t>te proceso el conocimiento casual de cantidad de circunsta</w:t>
      </w:r>
      <w:r>
        <w:t>n</w:t>
      </w:r>
      <w:r>
        <w:t>cias, en extremo más relevantes que las que destacan los quejosos, sobre las que se guardó silencio, de modo inte</w:t>
      </w:r>
      <w:r>
        <w:t>n</w:t>
      </w:r>
      <w:r>
        <w:t>cional, por quienes las conocían, pese a que podían ser encuadradas en diversos tipos penales, como de hecho lo hizo el señor fiscal de juicio.</w:t>
      </w:r>
    </w:p>
    <w:p w:rsidR="00224567" w:rsidRDefault="00224567">
      <w:pPr>
        <w:widowControl w:val="0"/>
        <w:tabs>
          <w:tab w:val="left" w:pos="0"/>
          <w:tab w:val="left" w:pos="2835"/>
        </w:tabs>
        <w:ind w:firstLine="2880"/>
      </w:pPr>
      <w:r>
        <w:t>Más grave resulta todo ello, no bien se repare que quienes ahora cuestionan al Tribunal, sosl</w:t>
      </w:r>
      <w:r>
        <w:t>a</w:t>
      </w:r>
      <w:r>
        <w:t>yaron, tanto ante el instructor como en el debate, toda crítica sobre la actividad perquirente pese a la evidencia de que en esa etapa se cometieron diversos ilícitos y tr</w:t>
      </w:r>
      <w:r>
        <w:t>o</w:t>
      </w:r>
      <w:r>
        <w:t>pelías.</w:t>
      </w:r>
    </w:p>
    <w:p w:rsidR="00224567" w:rsidRDefault="00224567">
      <w:pPr>
        <w:widowControl w:val="0"/>
        <w:tabs>
          <w:tab w:val="left" w:pos="0"/>
          <w:tab w:val="left" w:pos="2835"/>
        </w:tabs>
        <w:ind w:firstLine="2880"/>
      </w:pPr>
      <w:r>
        <w:t>Nada se dijo del oscilante criterio del Dr. Galeano que, en causas paralelas  y  simult</w:t>
      </w:r>
      <w:r>
        <w:t>á</w:t>
      </w:r>
      <w:r>
        <w:t>neas  –“A.M.I.A.” y “Brigadas”-, íntimamente vinculadas, a un sujeto le recibía declaración testimonial en una e indag</w:t>
      </w:r>
      <w:r>
        <w:t>a</w:t>
      </w:r>
      <w:r>
        <w:t>toria en la otra, empleando luego la parte que le conv</w:t>
      </w:r>
      <w:r>
        <w:t>e</w:t>
      </w:r>
      <w:r>
        <w:t>nía.</w:t>
      </w:r>
    </w:p>
    <w:p w:rsidR="00224567" w:rsidRDefault="00224567">
      <w:pPr>
        <w:widowControl w:val="0"/>
        <w:tabs>
          <w:tab w:val="left" w:pos="0"/>
          <w:tab w:val="left" w:pos="2835"/>
        </w:tabs>
        <w:ind w:firstLine="2880"/>
      </w:pPr>
      <w:r>
        <w:t>Guardaron silencio, también, frente al oscilante criterio del magistrado instructor que, con t</w:t>
      </w:r>
      <w:r>
        <w:t>o</w:t>
      </w:r>
      <w:r>
        <w:t>tal arbitrariedad, adoptó disímiles temperamentos respecto de quienes se encontraban en idéntica situación, extremo que llevo a que unos fuesen detenidos en tanto los otros sólo declararon como testigos, v. g. lo acontecido con de los suboficiales García y Lasala.</w:t>
      </w:r>
    </w:p>
    <w:p w:rsidR="00224567" w:rsidRDefault="00224567">
      <w:pPr>
        <w:widowControl w:val="0"/>
        <w:tabs>
          <w:tab w:val="left" w:pos="0"/>
          <w:tab w:val="left" w:pos="2835"/>
        </w:tabs>
        <w:ind w:firstLine="2880"/>
      </w:pPr>
      <w:r>
        <w:t>Respecto de éste último ninguno de los cuatro representantes del Ministerio Público Fiscal, p</w:t>
      </w:r>
      <w:r>
        <w:t>u</w:t>
      </w:r>
      <w:r>
        <w:t>dieron mencionar qué prueba se desdibujó a lo largo del juicio que los llevara a impetrar su absolución. Otro ta</w:t>
      </w:r>
      <w:r>
        <w:t>n</w:t>
      </w:r>
      <w:r>
        <w:t>to sucedió con los casos de Araya, Cruz y Quinteros; los dos primeros permanecieron encerrados durante largo tie</w:t>
      </w:r>
      <w:r>
        <w:t>m</w:t>
      </w:r>
      <w:r>
        <w:t>po.</w:t>
      </w:r>
    </w:p>
    <w:p w:rsidR="00224567" w:rsidRDefault="00224567">
      <w:pPr>
        <w:widowControl w:val="0"/>
        <w:tabs>
          <w:tab w:val="left" w:pos="0"/>
          <w:tab w:val="left" w:pos="2835"/>
        </w:tabs>
        <w:ind w:firstLine="2880"/>
      </w:pPr>
      <w:r>
        <w:t>Pareciera que se agudiza la crítica respecto de quienes se empeñaron en la búsqueda de la ve</w:t>
      </w:r>
      <w:r>
        <w:t>r</w:t>
      </w:r>
      <w:r>
        <w:t>dad real, en tanto se apañó y protegió a los funci</w:t>
      </w:r>
      <w:r>
        <w:t>o</w:t>
      </w:r>
      <w:r>
        <w:t>narios que resguardaron una versión espuriamente co</w:t>
      </w:r>
      <w:r>
        <w:t>n</w:t>
      </w:r>
      <w:r>
        <w:t>certada.</w:t>
      </w:r>
    </w:p>
    <w:p w:rsidR="00224567" w:rsidRDefault="00224567">
      <w:pPr>
        <w:widowControl w:val="0"/>
        <w:tabs>
          <w:tab w:val="left" w:pos="0"/>
          <w:tab w:val="left" w:pos="2835"/>
        </w:tabs>
        <w:ind w:firstLine="2880"/>
      </w:pPr>
      <w:r>
        <w:t>Retomando el tema relativo a la pr</w:t>
      </w:r>
      <w:r>
        <w:t>e</w:t>
      </w:r>
      <w:r>
        <w:t>sencia de Stiuso en la declaración del testigo Mesbahi, reparo también expuesto al alegar, cabe destacar que el argumento empleado -coincidencia entre ambas declaraci</w:t>
      </w:r>
      <w:r>
        <w:t>o</w:t>
      </w:r>
      <w:r>
        <w:t>nes- a efectos de crear sospechas o atribuir al Tribunal un proceder irregular, resulta cuanto menos infundado e infantil, dado que se busca sembrar dudas sin argumentos.</w:t>
      </w:r>
    </w:p>
    <w:p w:rsidR="00224567" w:rsidRDefault="00224567">
      <w:pPr>
        <w:widowControl w:val="0"/>
        <w:tabs>
          <w:tab w:val="left" w:pos="0"/>
          <w:tab w:val="left" w:pos="2835"/>
        </w:tabs>
        <w:ind w:firstLine="2880"/>
      </w:pPr>
      <w:r>
        <w:t>La sola circunstancia de que fuesen coincidentes los dichos de Mesbahi y Stiuso en modo a</w:t>
      </w:r>
      <w:r>
        <w:t>l</w:t>
      </w:r>
      <w:r>
        <w:t>guno puede dar cabida a ningún tipo de sospecha; por el contr</w:t>
      </w:r>
      <w:r>
        <w:t>a</w:t>
      </w:r>
      <w:r>
        <w:t>rio la espontánea concordancia de los testigos ahuyenta todo tipo de suspicacias.</w:t>
      </w:r>
    </w:p>
    <w:p w:rsidR="00224567" w:rsidRDefault="00224567">
      <w:pPr>
        <w:widowControl w:val="0"/>
        <w:tabs>
          <w:tab w:val="left" w:pos="0"/>
          <w:tab w:val="left" w:pos="2835"/>
        </w:tabs>
        <w:ind w:firstLine="2880"/>
      </w:pPr>
      <w:r>
        <w:t>Parece que hace excepción a regla de la coincidencia por acuerdo, ensayada por los quejosos, el caso de los funcionarios y empleados del juzgado f</w:t>
      </w:r>
      <w:r>
        <w:t>e</w:t>
      </w:r>
      <w:r>
        <w:t>deral a cargo del Dr. Galeano. Esas concordancias y silencios no merecieron ningún tipo de reparos, pese a que mintieron sobre extremos relevantes de la pesquisa.</w:t>
      </w:r>
    </w:p>
    <w:p w:rsidR="00224567" w:rsidRDefault="00224567">
      <w:pPr>
        <w:widowControl w:val="0"/>
        <w:tabs>
          <w:tab w:val="left" w:pos="0"/>
          <w:tab w:val="left" w:pos="2835"/>
        </w:tabs>
        <w:ind w:firstLine="2880"/>
        <w:rPr>
          <w:b/>
        </w:rPr>
      </w:pPr>
      <w:r>
        <w:t>Tampoco llamó la atención de los act</w:t>
      </w:r>
      <w:r>
        <w:t>o</w:t>
      </w:r>
      <w:r>
        <w:t>res el extraño e inusual proceder de la camarista Riva Aramayo, como así también los métodos de filmaciones ocu</w:t>
      </w:r>
      <w:r>
        <w:t>l</w:t>
      </w:r>
      <w:r>
        <w:t>tas empleados por el juez instructor sobre un imputado, que el Dr. Ávila, a fin de emplearlos como evidencia, d</w:t>
      </w:r>
      <w:r>
        <w:t>e</w:t>
      </w:r>
      <w:r>
        <w:t xml:space="preserve">nominó </w:t>
      </w:r>
      <w:r>
        <w:rPr>
          <w:b/>
        </w:rPr>
        <w:t>“hecho procesal”.</w:t>
      </w:r>
    </w:p>
    <w:p w:rsidR="00224567" w:rsidRDefault="00224567">
      <w:pPr>
        <w:widowControl w:val="0"/>
        <w:tabs>
          <w:tab w:val="left" w:pos="0"/>
          <w:tab w:val="left" w:pos="2835"/>
        </w:tabs>
        <w:ind w:firstLine="2880"/>
      </w:pPr>
      <w:r>
        <w:t>Ningún receló causó en los querella</w:t>
      </w:r>
      <w:r>
        <w:t>n</w:t>
      </w:r>
      <w:r>
        <w:t>tes, exceptuada la denominada “Memoria Activa”, la apar</w:t>
      </w:r>
      <w:r>
        <w:t>i</w:t>
      </w:r>
      <w:r>
        <w:t>ción, una vez elevada la causa a juicio y a punto de co</w:t>
      </w:r>
      <w:r>
        <w:t>n</w:t>
      </w:r>
      <w:r>
        <w:t xml:space="preserve">cluir la recepción de la prueba, de otros videos. Uno de éstos, el último -grabado en dependencia de </w:t>
      </w:r>
      <w:smartTag w:uri="urn:schemas-microsoft-com:office:smarttags" w:element="PersonName">
        <w:smartTagPr>
          <w:attr w:name="ProductID" w:val="la Secretar￭a"/>
        </w:smartTagPr>
        <w:r>
          <w:t>la Secretaría</w:t>
        </w:r>
      </w:smartTag>
      <w:r>
        <w:t xml:space="preserve"> de Inteligencia de Estado-, apuntalaba la línea del  int</w:t>
      </w:r>
      <w:r>
        <w:t>e</w:t>
      </w:r>
      <w:r>
        <w:t>rrogatorio de la querella, que hasta entonces era descon</w:t>
      </w:r>
      <w:r>
        <w:t>o</w:t>
      </w:r>
      <w:r>
        <w:t>cida a todas las demás partes, incluido el Tribunal (cfr. auto del juez Galeano que luce a fs. 117.103).</w:t>
      </w:r>
    </w:p>
    <w:p w:rsidR="00224567" w:rsidRDefault="00224567">
      <w:pPr>
        <w:widowControl w:val="0"/>
        <w:tabs>
          <w:tab w:val="left" w:pos="0"/>
          <w:tab w:val="left" w:pos="2835"/>
        </w:tabs>
        <w:ind w:firstLine="2880"/>
      </w:pPr>
      <w:r>
        <w:t>Frente a todo ello, sólo se menci</w:t>
      </w:r>
      <w:r>
        <w:t>o</w:t>
      </w:r>
      <w:r>
        <w:t>nan aquí algunas de las iniquidades cometidas de modo organ</w:t>
      </w:r>
      <w:r>
        <w:t>i</w:t>
      </w:r>
      <w:r>
        <w:t>zado, es de plena aplicación la enseñanza evangélica ace</w:t>
      </w:r>
      <w:r>
        <w:t>r</w:t>
      </w:r>
      <w:r>
        <w:t>ca de quien ve la paja en el ojo ajeno pero no la viga en el propio (Mateo, 7, 3).</w:t>
      </w:r>
    </w:p>
    <w:p w:rsidR="00224567" w:rsidRDefault="00224567">
      <w:pPr>
        <w:widowControl w:val="0"/>
        <w:tabs>
          <w:tab w:val="left" w:pos="0"/>
          <w:tab w:val="left" w:pos="2835"/>
        </w:tabs>
        <w:ind w:firstLine="2880"/>
      </w:pPr>
      <w:r>
        <w:t>A fin de despejar la duda que pr</w:t>
      </w:r>
      <w:r>
        <w:t>e</w:t>
      </w:r>
      <w:r>
        <w:t>tende sembrar la querella de referencia, corresponde destacar que el Tribunal a fs. 114.092 dispuso, “en consideración a la prueba solicitada oportunamente por el Ministerio P</w:t>
      </w:r>
      <w:r>
        <w:t>ú</w:t>
      </w:r>
      <w:r>
        <w:t xml:space="preserve">blico Fiscal, la querella D.A.I.A., A.M.I.A. y “Grupo de Familiares”, y los señores defensores, Dres. José Manuel Ubeira y José Eduardo García, y teniendo en cuenta lo que surge de las actuaciones acompañadas por el Secretario de Inteligencia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Nación</w:t>
        </w:r>
      </w:smartTag>
      <w:r>
        <w:t>, agregadas a fs. 112.840/112.853, se dispone la declaración testimonial de Ablghasem Mesbahi” (sic).</w:t>
      </w:r>
    </w:p>
    <w:p w:rsidR="00224567" w:rsidRDefault="00224567">
      <w:pPr>
        <w:widowControl w:val="0"/>
        <w:tabs>
          <w:tab w:val="left" w:pos="0"/>
          <w:tab w:val="left" w:pos="2835"/>
        </w:tabs>
        <w:ind w:firstLine="2880"/>
      </w:pPr>
      <w:r>
        <w:t>A ese fin se libró oficio al citado organismo a efectos de que arbitren los medios neces</w:t>
      </w:r>
      <w:r>
        <w:t>a</w:t>
      </w:r>
      <w:r>
        <w:t>rios para que se garantice la concurrencia del testigo y se atienda todo lo relativo a su traslado y segur</w:t>
      </w:r>
      <w:r>
        <w:t>i</w:t>
      </w:r>
      <w:r>
        <w:t>dad.</w:t>
      </w:r>
    </w:p>
    <w:p w:rsidR="00224567" w:rsidRDefault="00224567">
      <w:pPr>
        <w:widowControl w:val="0"/>
        <w:tabs>
          <w:tab w:val="left" w:pos="0"/>
          <w:tab w:val="left" w:pos="2835"/>
        </w:tabs>
        <w:ind w:firstLine="2880"/>
      </w:pPr>
      <w:r>
        <w:t>A fs. 114.171 el Secretario de Intel</w:t>
      </w:r>
      <w:r>
        <w:t>i</w:t>
      </w:r>
      <w:r>
        <w:t>gencia, Miguel Ángel Toma, hizo saber a las áreas respe</w:t>
      </w:r>
      <w:r>
        <w:t>c</w:t>
      </w:r>
      <w:r>
        <w:t>tivas a efectos de imprimirle a la requisitoria del Trib</w:t>
      </w:r>
      <w:r>
        <w:t>u</w:t>
      </w:r>
      <w:r>
        <w:t>nal el trámite interno correspondiente.</w:t>
      </w:r>
    </w:p>
    <w:p w:rsidR="00224567" w:rsidRDefault="00224567">
      <w:pPr>
        <w:widowControl w:val="0"/>
        <w:tabs>
          <w:tab w:val="left" w:pos="0"/>
          <w:tab w:val="left" w:pos="2835"/>
        </w:tabs>
        <w:ind w:firstLine="2880"/>
      </w:pPr>
      <w:r>
        <w:t xml:space="preserve">Luce a fs. 114.607 la nota del Dr. Sergio Edgardo Acevedo, Secretario de Inteligencia, por la cual hace saber acerca de la imposibilidad de garantizar la concurrencia del testigo Mesbahi, sugiriendo se evalúe la posibilidad de requerir a la autoridad judicial de </w:t>
      </w:r>
      <w:smartTag w:uri="urn:schemas-microsoft-com:office:smarttags" w:element="PersonName">
        <w:smartTagPr>
          <w:attr w:name="ProductID" w:val="la Rep￺blica Federal"/>
        </w:smartTagPr>
        <w:r>
          <w:t>la República Federal</w:t>
        </w:r>
      </w:smartTag>
      <w:r>
        <w:t xml:space="preserve"> de Alemania competente preste su conse</w:t>
      </w:r>
      <w:r>
        <w:t>n</w:t>
      </w:r>
      <w:r>
        <w:t>timiento para que los jueces de este Tribunal y/o personal que designe se trasladen a ese país y, en su caso, el acto procesal se transmita a las partes a través de los medios técnicos pertinentes.</w:t>
      </w:r>
    </w:p>
    <w:p w:rsidR="00224567" w:rsidRDefault="00224567">
      <w:pPr>
        <w:widowControl w:val="0"/>
        <w:tabs>
          <w:tab w:val="left" w:pos="0"/>
          <w:tab w:val="left" w:pos="2835"/>
        </w:tabs>
        <w:ind w:firstLine="2880"/>
      </w:pPr>
      <w:r>
        <w:t>Amén de ello, dejó sentado el Trib</w:t>
      </w:r>
      <w:r>
        <w:t>u</w:t>
      </w:r>
      <w:r>
        <w:t>nal el 11 de noviembre de 2003 (fs. 117.065), “la i</w:t>
      </w:r>
      <w:r>
        <w:t>n</w:t>
      </w:r>
      <w:r>
        <w:t xml:space="preserve">tervención de </w:t>
      </w:r>
      <w:smartTag w:uri="urn:schemas-microsoft-com:office:smarttags" w:element="PersonName">
        <w:smartTagPr>
          <w:attr w:name="ProductID" w:val="la Secretar￭a Inteligencia"/>
        </w:smartTagPr>
        <w:r>
          <w:t>la Secretaría Inteligencia</w:t>
        </w:r>
      </w:smartTag>
      <w:r>
        <w:t xml:space="preserve">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w:t>
        </w:r>
        <w:r>
          <w:t>a</w:t>
        </w:r>
        <w:r>
          <w:t>ción</w:t>
        </w:r>
      </w:smartTag>
      <w:r>
        <w:t>, en lo atinente a la diligencia llevada a cabo en la ciudad de Berlín, República federal de Alemania, no era novedosa para las partes, conforme se desprende de las providencias de fs. 114.092, segundo párrafo, 116.820, primer párrafo, y de la nota del actuario de fs. 116.881/882, los interrogantes fo</w:t>
      </w:r>
      <w:r>
        <w:t>r</w:t>
      </w:r>
      <w:r>
        <w:t>mulados por la querella ‘A.M.I.A., D.A.I.A. y Grupo de Familiares’, de ser pert</w:t>
      </w:r>
      <w:r>
        <w:t>i</w:t>
      </w:r>
      <w:r>
        <w:t>nente, bien pudieron ser satisfechos al prestar declar</w:t>
      </w:r>
      <w:r>
        <w:t>a</w:t>
      </w:r>
      <w:r>
        <w:t>ción el testigo Albogahsem Mesbahi”.</w:t>
      </w:r>
    </w:p>
    <w:p w:rsidR="00224567" w:rsidRDefault="00224567">
      <w:pPr>
        <w:widowControl w:val="0"/>
        <w:tabs>
          <w:tab w:val="left" w:pos="0"/>
          <w:tab w:val="left" w:pos="2835"/>
        </w:tabs>
        <w:ind w:firstLine="2880"/>
      </w:pPr>
      <w:r>
        <w:t>Parece claro, que la intervención del organismo de inteligencia en ningún momento fue ocultada a las partes, por el contrario, constan los informes del a</w:t>
      </w:r>
      <w:r>
        <w:t>c</w:t>
      </w:r>
      <w:r>
        <w:t>tuario acerca de conversaciones telefónicas que mantuvo con los agentes de ese servicio. Es por ello que, si los quejosos albergaban dudas sobre el desempeño de algún agente en particular, previamente, a modo de colaboración, debieron hacerlo saber, dado que los reclamos posteriores podrían interpretarse que ob</w:t>
      </w:r>
      <w:r>
        <w:t>e</w:t>
      </w:r>
      <w:r>
        <w:t>decen a la insatisfacción por el resultado de la dil</w:t>
      </w:r>
      <w:r>
        <w:t>i</w:t>
      </w:r>
      <w:r>
        <w:t>gencia.</w:t>
      </w:r>
    </w:p>
    <w:p w:rsidR="00224567" w:rsidRDefault="00224567">
      <w:pPr>
        <w:widowControl w:val="0"/>
        <w:tabs>
          <w:tab w:val="left" w:pos="0"/>
          <w:tab w:val="left" w:pos="2835"/>
        </w:tabs>
        <w:ind w:firstLine="2880"/>
      </w:pPr>
      <w:r>
        <w:t>Por otro lado, la circunstancia de que Stiuso hubiese declarado como testigo en el debate en modo alguno lo inhabilitada a organizar y coordinar la declar</w:t>
      </w:r>
      <w:r>
        <w:t>a</w:t>
      </w:r>
      <w:r>
        <w:t>ción de Mesbahi en el exterior, actividad que no mereció reparos por parte de los restantes letrados ni del Trib</w:t>
      </w:r>
      <w:r>
        <w:t>u</w:t>
      </w:r>
      <w:r>
        <w:t>nal.</w:t>
      </w:r>
    </w:p>
    <w:p w:rsidR="00224567" w:rsidRDefault="00224567">
      <w:pPr>
        <w:widowControl w:val="0"/>
        <w:tabs>
          <w:tab w:val="left" w:pos="0"/>
          <w:tab w:val="left" w:pos="2835"/>
        </w:tabs>
        <w:ind w:firstLine="2880"/>
      </w:pPr>
      <w:r>
        <w:t>Pero, acerca del tema traído a col</w:t>
      </w:r>
      <w:r>
        <w:t>a</w:t>
      </w:r>
      <w:r>
        <w:t>ción por los titulares de las instituciones accionantes, familiares y sus letrados, cabe recordar que el testimonio de Mesbahi, cuya identidad por un compromiso asumido por el Estado era confidencial y por tanto se procedió a r</w:t>
      </w:r>
      <w:r>
        <w:t>e</w:t>
      </w:r>
      <w:r>
        <w:t>serva su identidad, identificándoselo como testigo “c”, fue secreta para todos excepto para los apoderados de esa querella unificada, doctores Javier H. Astigarraga y Marta Nercellas.</w:t>
      </w:r>
    </w:p>
    <w:p w:rsidR="00224567" w:rsidRDefault="00224567">
      <w:pPr>
        <w:widowControl w:val="0"/>
        <w:tabs>
          <w:tab w:val="left" w:pos="0"/>
          <w:tab w:val="left" w:pos="2835"/>
        </w:tabs>
        <w:ind w:firstLine="2880"/>
      </w:pPr>
      <w:r>
        <w:t>En efecto, el Dr. Astigarraga partic</w:t>
      </w:r>
      <w:r>
        <w:t>i</w:t>
      </w:r>
      <w:r>
        <w:t>pó en la audiencia en la que se recibió declaración por primera vez a Mesbahi, el 21 de abril de 1998, en la ci</w:t>
      </w:r>
      <w:r>
        <w:t>u</w:t>
      </w:r>
      <w:r>
        <w:t>dad de Karlsrue, República de Alemania, autoriz</w:t>
      </w:r>
      <w:r>
        <w:t>a</w:t>
      </w:r>
      <w:r>
        <w:t>do por el juez Galeano, allí presente, junto con la s</w:t>
      </w:r>
      <w:r>
        <w:t>e</w:t>
      </w:r>
      <w:r>
        <w:t>cretaria Spina y los fiscales Mullen y Barbaccia.</w:t>
      </w:r>
    </w:p>
    <w:p w:rsidR="00224567" w:rsidRDefault="00224567">
      <w:pPr>
        <w:widowControl w:val="0"/>
        <w:tabs>
          <w:tab w:val="left" w:pos="0"/>
          <w:tab w:val="left" w:pos="2835"/>
        </w:tabs>
        <w:ind w:firstLine="2880"/>
      </w:pPr>
      <w:r>
        <w:t xml:space="preserve">A su vez </w:t>
      </w:r>
      <w:smartTag w:uri="urn:schemas-microsoft-com:office:smarttags" w:element="PersonName">
        <w:smartTagPr>
          <w:attr w:name="ProductID" w:val="la Dra. Marta"/>
        </w:smartTagPr>
        <w:r>
          <w:t>la Dra. Marta</w:t>
        </w:r>
      </w:smartTag>
      <w:r>
        <w:t xml:space="preserve"> Nercellas pr</w:t>
      </w:r>
      <w:r>
        <w:t>e</w:t>
      </w:r>
      <w:r>
        <w:t>senció la exposición de Abolghasem Mesbahi efectuada en la sede de la embajada Argentina en la ciudad de México D.F., Estado Unidos Mexicanos, el 22 y 24 de m</w:t>
      </w:r>
      <w:r>
        <w:t>a</w:t>
      </w:r>
      <w:r>
        <w:t>yo de 2000, en la que estuvieron presentes los fiscales Mullen y Barbaccia, los secretarios Susana Spina y José F. Pereyra y el juez Juan José Galeano.</w:t>
      </w:r>
    </w:p>
    <w:p w:rsidR="00224567" w:rsidRDefault="00224567">
      <w:pPr>
        <w:widowControl w:val="0"/>
        <w:tabs>
          <w:tab w:val="left" w:pos="0"/>
          <w:tab w:val="left" w:pos="2835"/>
        </w:tabs>
        <w:ind w:firstLine="2880"/>
      </w:pPr>
      <w:r>
        <w:t xml:space="preserve">También participó </w:t>
      </w:r>
      <w:smartTag w:uri="urn:schemas-microsoft-com:office:smarttags" w:element="PersonName">
        <w:smartTagPr>
          <w:attr w:name="ProductID" w:val="La Dra. Nercellas"/>
        </w:smartTagPr>
        <w:r>
          <w:t>la Dra. Nercellas</w:t>
        </w:r>
      </w:smartTag>
      <w:r>
        <w:t>, junto los doctores Galeano, Barbaccia y Pereyra de la te</w:t>
      </w:r>
      <w:r>
        <w:t>s</w:t>
      </w:r>
      <w:r>
        <w:t>timonial que se le recibiera a Mesbahi el 3 de diciembre de 2002, en la ciudad Karlsruhe, República de Alemania.</w:t>
      </w:r>
    </w:p>
    <w:p w:rsidR="00224567" w:rsidRDefault="00224567">
      <w:pPr>
        <w:widowControl w:val="0"/>
        <w:tabs>
          <w:tab w:val="left" w:pos="0"/>
          <w:tab w:val="left" w:pos="2835"/>
        </w:tabs>
        <w:ind w:firstLine="2880"/>
      </w:pPr>
      <w:r>
        <w:t>La participación de los antes nombr</w:t>
      </w:r>
      <w:r>
        <w:t>a</w:t>
      </w:r>
      <w:r>
        <w:t>dos en la diligencia de auxilio internacional culminó de manera insólita y vergonzosa, al revocar el juez del Tr</w:t>
      </w:r>
      <w:r>
        <w:t>i</w:t>
      </w:r>
      <w:r>
        <w:t>bunal Federal local, Hebenstreit, “el permiso de partic</w:t>
      </w:r>
      <w:r>
        <w:t>i</w:t>
      </w:r>
      <w:r>
        <w:t>pación en la declaración testimonial para los siguientes: Sr. Juez Federal Juan José Galeano, Sr. Secretario de Ju</w:t>
      </w:r>
      <w:r>
        <w:t>s</w:t>
      </w:r>
      <w:r>
        <w:t>ticia Dr. José Pereira, Sr. Fiscal Federal Dr. José Barb</w:t>
      </w:r>
      <w:r>
        <w:t>a</w:t>
      </w:r>
      <w:r>
        <w:t>ccia, y Sra. Abogada Marta D.A.I.A.” (cfr. actuación de fs. 3627 (?)”.</w:t>
      </w:r>
    </w:p>
    <w:p w:rsidR="00224567" w:rsidRDefault="00224567">
      <w:pPr>
        <w:widowControl w:val="0"/>
        <w:tabs>
          <w:tab w:val="left" w:pos="0"/>
          <w:tab w:val="left" w:pos="2835"/>
        </w:tabs>
        <w:ind w:firstLine="2880"/>
      </w:pPr>
      <w:r>
        <w:t>Para así resolver el juez Heben</w:t>
      </w:r>
      <w:r>
        <w:t>s</w:t>
      </w:r>
      <w:r>
        <w:t>treit consideró: “como aquí evidentemente se ha violado la co</w:t>
      </w:r>
      <w:r>
        <w:t>n</w:t>
      </w:r>
      <w:r>
        <w:t>fidencialidad, y el contenido de lo declarado fue transm</w:t>
      </w:r>
      <w:r>
        <w:t>i</w:t>
      </w:r>
      <w:r>
        <w:t xml:space="preserve">tido a terceros ya antes de finalizar </w:t>
      </w:r>
      <w:smartTag w:uri="urn:schemas-microsoft-com:office:smarttags" w:element="PersonName">
        <w:smartTagPr>
          <w:attr w:name="ProductID" w:val="la Declaraci￳n"/>
        </w:smartTagPr>
        <w:r>
          <w:t>la Declaración</w:t>
        </w:r>
      </w:smartTag>
      <w:r>
        <w:t>, y antes de la ratificación de lo actuado por el testigo, y que el contenido del artículo periodístico -según el r</w:t>
      </w:r>
      <w:r>
        <w:t>e</w:t>
      </w:r>
      <w:r>
        <w:t xml:space="preserve">sultado de </w:t>
      </w:r>
      <w:smartTag w:uri="urn:schemas-microsoft-com:office:smarttags" w:element="PersonName">
        <w:smartTagPr>
          <w:attr w:name="ProductID" w:val="la Declaraci￳n"/>
        </w:smartTagPr>
        <w:r>
          <w:t>la Declaración</w:t>
        </w:r>
      </w:smartTag>
      <w:r>
        <w:t xml:space="preserve"> hasta el momento- también fue transmitido en forma tendenciosa” (sic).</w:t>
      </w:r>
    </w:p>
    <w:p w:rsidR="00224567" w:rsidRDefault="00224567">
      <w:pPr>
        <w:widowControl w:val="0"/>
        <w:tabs>
          <w:tab w:val="left" w:pos="0"/>
          <w:tab w:val="left" w:pos="2835"/>
        </w:tabs>
        <w:ind w:firstLine="2880"/>
      </w:pPr>
      <w:r>
        <w:t>Igualmente guardaron silencio los qu</w:t>
      </w:r>
      <w:r>
        <w:t>e</w:t>
      </w:r>
      <w:r>
        <w:t>josos acerca del irregular tratamiento que se le brindó a la testigo Miriam Salinas, relatado en el acápite H) de este capítulo.</w:t>
      </w:r>
    </w:p>
    <w:p w:rsidR="00224567" w:rsidRDefault="00224567">
      <w:pPr>
        <w:widowControl w:val="0"/>
        <w:tabs>
          <w:tab w:val="left" w:pos="0"/>
          <w:tab w:val="left" w:pos="2835"/>
        </w:tabs>
        <w:ind w:firstLine="2880"/>
      </w:pPr>
      <w:r>
        <w:t>También lo hicieron respecto de la destrucción de pruebas por parte del magistrado y su pe</w:t>
      </w:r>
      <w:r>
        <w:t>r</w:t>
      </w:r>
      <w:r>
        <w:t>sonal, a la vez que toleraron, calladamente que fuesen apareciendo, durante el juicio, espurias videogr</w:t>
      </w:r>
      <w:r>
        <w:t>a</w:t>
      </w:r>
      <w:r>
        <w:t>baciones que emplearon como elementos de cargo.</w:t>
      </w:r>
    </w:p>
    <w:p w:rsidR="00224567" w:rsidRDefault="00224567">
      <w:pPr>
        <w:widowControl w:val="0"/>
        <w:tabs>
          <w:tab w:val="left" w:pos="0"/>
          <w:tab w:val="left" w:pos="2835"/>
        </w:tabs>
        <w:ind w:firstLine="2880"/>
      </w:pPr>
      <w:r>
        <w:t>Tampoco puede soslayarse que al e</w:t>
      </w:r>
      <w:r>
        <w:t>x</w:t>
      </w:r>
      <w:r>
        <w:t>tractar los secretario del juzgado las declaraciones de los testigos de identidad reservada, omitieron consignar aquellas circunstancia que podían favorecer a los imp</w:t>
      </w:r>
      <w:r>
        <w:t>u</w:t>
      </w:r>
      <w:r>
        <w:t>tados, tal el de las llamadas registradas en la celda 13, posteriores al 10 de junio de 1994.</w:t>
      </w:r>
    </w:p>
    <w:p w:rsidR="00224567" w:rsidRDefault="00224567">
      <w:pPr>
        <w:widowControl w:val="0"/>
        <w:tabs>
          <w:tab w:val="left" w:pos="0"/>
          <w:tab w:val="left" w:pos="2835"/>
        </w:tabs>
        <w:ind w:firstLine="2880"/>
      </w:pPr>
      <w:r>
        <w:t>En otro acápite del libelo de fs. 11.402/405, se cuestiona la resolución del Tribunal que dispuso el apartamiento de los fiscales  Mullen  y  Barb</w:t>
      </w:r>
      <w:r>
        <w:t>a</w:t>
      </w:r>
      <w:r>
        <w:t xml:space="preserve">ccia, que, según ellos, contraria la jurisprudencia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xml:space="preserve">, de </w:t>
      </w:r>
      <w:smartTag w:uri="urn:schemas-microsoft-com:office:smarttags" w:element="PersonName">
        <w:smartTagPr>
          <w:attr w:name="ProductID" w:val="la C￡mara Nacional"/>
        </w:smartTagPr>
        <w:r>
          <w:t>la Cámara N</w:t>
        </w:r>
        <w:r>
          <w:t>a</w:t>
        </w:r>
        <w:r>
          <w:t>cional</w:t>
        </w:r>
      </w:smartTag>
      <w:r>
        <w:t xml:space="preserve"> Penal, de </w:t>
      </w:r>
      <w:smartTag w:uri="urn:schemas-microsoft-com:office:smarttags" w:element="PersonName">
        <w:smartTagPr>
          <w:attr w:name="ProductID" w:val="la C￡mara Federal"/>
        </w:smartTagPr>
        <w:r>
          <w:t>la Cámara Federal</w:t>
        </w:r>
      </w:smartTag>
      <w:r>
        <w:t xml:space="preserve"> y del propio Trib</w:t>
      </w:r>
      <w:r>
        <w:t>u</w:t>
      </w:r>
      <w:r>
        <w:t>nal.</w:t>
      </w:r>
    </w:p>
    <w:p w:rsidR="00224567" w:rsidRDefault="00224567">
      <w:pPr>
        <w:widowControl w:val="0"/>
        <w:tabs>
          <w:tab w:val="left" w:pos="0"/>
          <w:tab w:val="left" w:pos="2835"/>
        </w:tabs>
        <w:ind w:firstLine="2880"/>
      </w:pPr>
      <w:r>
        <w:t>Acerca de la mentada resolución, que provocó el inaudito alejamiento del debate de los quer</w:t>
      </w:r>
      <w:r>
        <w:t>e</w:t>
      </w:r>
      <w:r>
        <w:t>llantes y sus abogados -actitud que en experimentados ab</w:t>
      </w:r>
      <w:r>
        <w:t>o</w:t>
      </w:r>
      <w:r>
        <w:t>gados resulta incomprensible, sin perjuicio de otras co</w:t>
      </w:r>
      <w:r>
        <w:t>n</w:t>
      </w:r>
      <w:r>
        <w:t>notaciones profesionales que pudiese tener-, cabe destacar que no se advierte qué perjuicio les causó. Tampoco el i</w:t>
      </w:r>
      <w:r>
        <w:t>n</w:t>
      </w:r>
      <w:r>
        <w:t>terés que los alentaba para mantener en el debate a fu</w:t>
      </w:r>
      <w:r>
        <w:t>n</w:t>
      </w:r>
      <w:r>
        <w:t>cionarios rozados de manera muy cercana por cuantiosas irregularidades, como son las que se enumeran a lo largo de esta sentencia, máxime teniendo en cuenta que una de las funciones del Ministerio Público Fiscal es el control de legalidad.</w:t>
      </w:r>
    </w:p>
    <w:p w:rsidR="00224567" w:rsidRDefault="00224567">
      <w:pPr>
        <w:widowControl w:val="0"/>
        <w:tabs>
          <w:tab w:val="left" w:pos="0"/>
          <w:tab w:val="left" w:pos="2835"/>
        </w:tabs>
        <w:ind w:firstLine="2880"/>
      </w:pPr>
      <w:r>
        <w:t>Tampoco puede pasarse por alto, que resulta inadmisible y poco serio la referencia a que se contrarió jurisprudencia de diversos tribunales, sin efe</w:t>
      </w:r>
      <w:r>
        <w:t>c</w:t>
      </w:r>
      <w:r>
        <w:t>tuar una sola cita que avale esa afirmación. Por lo demás, el Tribunal precisó las razones que avalaron el cambio de criterio.</w:t>
      </w:r>
    </w:p>
    <w:p w:rsidR="00224567" w:rsidRDefault="00224567">
      <w:pPr>
        <w:widowControl w:val="0"/>
        <w:tabs>
          <w:tab w:val="left" w:pos="0"/>
          <w:tab w:val="left" w:pos="2835"/>
        </w:tabs>
        <w:ind w:firstLine="2880"/>
      </w:pPr>
      <w:r>
        <w:t>La referencia efectuada, en el se</w:t>
      </w:r>
      <w:r>
        <w:t>n</w:t>
      </w:r>
      <w:r>
        <w:t>tido de que se invocó una razón falsa “que sólo puede estar e</w:t>
      </w:r>
      <w:r>
        <w:t>n</w:t>
      </w:r>
      <w:r>
        <w:t>cubriendo alguna otra motivación que permanece oculta”, solo puede interpretarse, frente a lo sucedido en el deb</w:t>
      </w:r>
      <w:r>
        <w:t>a</w:t>
      </w:r>
      <w:r>
        <w:t>te oral y público al que los quejosos y sus letrados asi</w:t>
      </w:r>
      <w:r>
        <w:t>s</w:t>
      </w:r>
      <w:r>
        <w:t>tieron, como un intento de atribuir a otros la propia m</w:t>
      </w:r>
      <w:r>
        <w:t>a</w:t>
      </w:r>
      <w:r>
        <w:t>nera de obrar.</w:t>
      </w:r>
    </w:p>
    <w:p w:rsidR="00224567" w:rsidRDefault="00224567">
      <w:pPr>
        <w:widowControl w:val="0"/>
        <w:tabs>
          <w:tab w:val="left" w:pos="0"/>
          <w:tab w:val="left" w:pos="2835"/>
        </w:tabs>
        <w:ind w:firstLine="2880"/>
      </w:pPr>
      <w:r>
        <w:rPr>
          <w:b/>
          <w:bCs/>
        </w:rPr>
        <w:t xml:space="preserve">X.3) </w:t>
      </w:r>
      <w:r>
        <w:t>En oportunidad de regresar al d</w:t>
      </w:r>
      <w:r>
        <w:t>e</w:t>
      </w:r>
      <w:r>
        <w:t xml:space="preserve">bate </w:t>
      </w:r>
      <w:smartTag w:uri="urn:schemas-microsoft-com:office:smarttags" w:element="PersonName">
        <w:smartTagPr>
          <w:attr w:name="ProductID" w:val="la Dra. Marta"/>
        </w:smartTagPr>
        <w:r>
          <w:t>la Dra. Marta</w:t>
        </w:r>
      </w:smartTag>
      <w:r>
        <w:t xml:space="preserve"> Elsa Nercellas, apoderada de </w:t>
      </w:r>
      <w:smartTag w:uri="urn:schemas-microsoft-com:office:smarttags" w:element="PersonName">
        <w:smartTagPr>
          <w:attr w:name="ProductID" w:val="la Delegaci￳n"/>
        </w:smartTagPr>
        <w:r>
          <w:t>la Deleg</w:t>
        </w:r>
        <w:r>
          <w:t>a</w:t>
        </w:r>
        <w:r>
          <w:t>ción</w:t>
        </w:r>
      </w:smartTag>
      <w:r>
        <w:t xml:space="preserve"> de Asociaciones Israelitas Argentinas (D.A.I.A.), p</w:t>
      </w:r>
      <w:r>
        <w:t>i</w:t>
      </w:r>
      <w:r>
        <w:t>dió disculpas a los colegas cuyos alegatos no escuchó “cumpliendo una orden estricta” de sus mandantes.</w:t>
      </w:r>
    </w:p>
    <w:p w:rsidR="00224567" w:rsidRDefault="00224567">
      <w:pPr>
        <w:widowControl w:val="0"/>
        <w:tabs>
          <w:tab w:val="left" w:pos="0"/>
          <w:tab w:val="left" w:pos="2835"/>
        </w:tabs>
        <w:ind w:firstLine="2880"/>
      </w:pPr>
      <w:r>
        <w:t>Por su parte el Dr. Juan Ávila, apod</w:t>
      </w:r>
      <w:r>
        <w:t>e</w:t>
      </w:r>
      <w:r>
        <w:t xml:space="preserve">rado de </w:t>
      </w:r>
      <w:smartTag w:uri="urn:schemas-microsoft-com:office:smarttags" w:element="PersonName">
        <w:smartTagPr>
          <w:attr w:name="ProductID" w:val="la Asociaci￳n Mutual"/>
        </w:smartTagPr>
        <w:r>
          <w:t>la Asociación Mutual</w:t>
        </w:r>
      </w:smartTag>
      <w:r>
        <w:t xml:space="preserve"> Israelita Argentina (A.M.I.A.), también se disculpó frente a los abogados d</w:t>
      </w:r>
      <w:r>
        <w:t>e</w:t>
      </w:r>
      <w:r>
        <w:t>fensores cuyos alegatos no presenció.</w:t>
      </w:r>
    </w:p>
    <w:p w:rsidR="00224567" w:rsidRDefault="00224567">
      <w:pPr>
        <w:widowControl w:val="0"/>
        <w:tabs>
          <w:tab w:val="left" w:pos="0"/>
          <w:tab w:val="left" w:pos="2835"/>
        </w:tabs>
        <w:ind w:firstLine="2880"/>
      </w:pPr>
      <w:r>
        <w:t>Cabe reiterar aquí la crítica e</w:t>
      </w:r>
      <w:r>
        <w:t>x</w:t>
      </w:r>
      <w:r>
        <w:t xml:space="preserve">puesta en el punto </w:t>
      </w:r>
      <w:r>
        <w:rPr>
          <w:b/>
        </w:rPr>
        <w:t>II</w:t>
      </w:r>
      <w:r>
        <w:t xml:space="preserve"> de este apartado respecto de la actitud de dirigentes y abogados de abandonar, como signo de prote</w:t>
      </w:r>
      <w:r>
        <w:t>s</w:t>
      </w:r>
      <w:r>
        <w:t>ta, el proceso frente a resoluciones que no estaban leg</w:t>
      </w:r>
      <w:r>
        <w:t>i</w:t>
      </w:r>
      <w:r>
        <w:t>timados para recurrir; concretamente al apartamiento de los fiscales Eamon Mullen y José Ba</w:t>
      </w:r>
      <w:r>
        <w:t>r</w:t>
      </w:r>
      <w:r>
        <w:t>baccia.</w:t>
      </w:r>
    </w:p>
    <w:p w:rsidR="00224567" w:rsidRDefault="00224567">
      <w:pPr>
        <w:widowControl w:val="0"/>
        <w:tabs>
          <w:tab w:val="left" w:pos="0"/>
          <w:tab w:val="left" w:pos="2835"/>
        </w:tabs>
        <w:ind w:firstLine="2880"/>
      </w:pPr>
      <w:r>
        <w:t>Dicho episodio trae al recuerdo a Á</w:t>
      </w:r>
      <w:r>
        <w:t>n</w:t>
      </w:r>
      <w:r>
        <w:t>gel Osorio y Gallardo, quien al abordar el tema rel</w:t>
      </w:r>
      <w:r>
        <w:t>a</w:t>
      </w:r>
      <w:r>
        <w:t>tivo a la naturaleza jurídica de la relación entre el abogado y cliente, descarta que se trate de un contrato de mandato, por dos razones. La primera debido a que “el mandato es una función de representación mientras que el abogado, por regla general, no representa o no debe representar a su cliente sino que lo asesora y ampara, quedando la repr</w:t>
      </w:r>
      <w:r>
        <w:t>e</w:t>
      </w:r>
      <w:r>
        <w:t>sentación del propio litigante o de procurador”.</w:t>
      </w:r>
    </w:p>
    <w:p w:rsidR="00224567" w:rsidRDefault="00224567">
      <w:pPr>
        <w:widowControl w:val="0"/>
        <w:tabs>
          <w:tab w:val="left" w:pos="0"/>
          <w:tab w:val="left" w:pos="2835"/>
        </w:tabs>
        <w:ind w:firstLine="2880"/>
      </w:pPr>
      <w:r>
        <w:t>La otra, puesto “que es esencial del mandato la obligación en el mandatario de obedecer al ma</w:t>
      </w:r>
      <w:r>
        <w:t>n</w:t>
      </w:r>
      <w:r>
        <w:t>dante, en tanto que el abogado se deshonraría si aceptase el deber de obedecer a su cliente, pues en su especialís</w:t>
      </w:r>
      <w:r>
        <w:t>i</w:t>
      </w:r>
      <w:r>
        <w:t xml:space="preserve">ma relación ocurre todo lo contrario: que el cliente le obedece a él o que él abandona la defensa” (cfr. “El Alma de </w:t>
      </w:r>
      <w:smartTag w:uri="urn:schemas-microsoft-com:office:smarttags" w:element="PersonName">
        <w:smartTagPr>
          <w:attr w:name="ProductID" w:val="la Toga"/>
        </w:smartTagPr>
        <w:r>
          <w:t>la Toga</w:t>
        </w:r>
      </w:smartTag>
      <w:r>
        <w:t>”, pág. 47, ya citada).</w:t>
      </w:r>
    </w:p>
    <w:p w:rsidR="00224567" w:rsidRDefault="00224567">
      <w:pPr>
        <w:widowControl w:val="0"/>
        <w:tabs>
          <w:tab w:val="left" w:pos="0"/>
          <w:tab w:val="left" w:pos="2835"/>
        </w:tabs>
        <w:ind w:firstLine="2880"/>
      </w:pPr>
      <w:r>
        <w:rPr>
          <w:b/>
          <w:bCs/>
        </w:rPr>
        <w:t xml:space="preserve">X.4) </w:t>
      </w:r>
      <w:r>
        <w:t>Resulta paradójico que los repr</w:t>
      </w:r>
      <w:r>
        <w:t>e</w:t>
      </w:r>
      <w:r>
        <w:t>se</w:t>
      </w:r>
      <w:r>
        <w:t>n</w:t>
      </w:r>
      <w:r>
        <w:t>tantes de la querella A.M.I.A.-D.A.I.A-Familiares en su acusación, imitados en el punto por los fiscales, echaran mano al dictamen elaborado por los doctores Arslanián, D’Alessio, Gil Lavedra y Zaffaroni, intentando demostrar la existencia de prueba de cargo contra los imputados. De ese parcial estudio, por el contrario, surge el trato pr</w:t>
      </w:r>
      <w:r>
        <w:t>e</w:t>
      </w:r>
      <w:r>
        <w:t>ferencial y discriminatorio del que gozaba esa parte ac</w:t>
      </w:r>
      <w:r>
        <w:t>u</w:t>
      </w:r>
      <w:r>
        <w:t>sadora en el juzgado instru</w:t>
      </w:r>
      <w:r>
        <w:t>c</w:t>
      </w:r>
      <w:r>
        <w:t>tor, que se viene poniendo de manifiesto.</w:t>
      </w:r>
    </w:p>
    <w:p w:rsidR="00224567" w:rsidRDefault="00224567">
      <w:pPr>
        <w:widowControl w:val="0"/>
        <w:tabs>
          <w:tab w:val="left" w:pos="0"/>
          <w:tab w:val="left" w:pos="2835"/>
        </w:tabs>
        <w:ind w:firstLine="2880"/>
      </w:pPr>
      <w:r>
        <w:t>Se deduce claramente del dictamen que los profesionales opinantes accedieron a la información agregada únicamente en el legajo 59, más concr</w:t>
      </w:r>
      <w:r>
        <w:t>e</w:t>
      </w:r>
      <w:r>
        <w:t xml:space="preserve">tamente al decreto del juez obrante a fs. </w:t>
      </w:r>
      <w:smartTag w:uri="urn:schemas-microsoft-com:office:smarttags" w:element="metricconverter">
        <w:smartTagPr>
          <w:attr w:name="ProductID" w:val="27. A"/>
        </w:smartTagPr>
        <w:r>
          <w:t>27. A</w:t>
        </w:r>
      </w:smartTag>
      <w:r>
        <w:t xml:space="preserve"> dicho expediente no tenían acceso el resto de los protagonistas del proceso, con excepción, por supuesto, de los fiscales. Máxime, cuando el legajo se encontraba reservado y, en las actu</w:t>
      </w:r>
      <w:r>
        <w:t>a</w:t>
      </w:r>
      <w:r>
        <w:t>ciones principales, no existía constancia alguna sobre su formación ni de su conten</w:t>
      </w:r>
      <w:r>
        <w:t>i</w:t>
      </w:r>
      <w:r>
        <w:t>do.</w:t>
      </w:r>
    </w:p>
    <w:p w:rsidR="00224567" w:rsidRDefault="00224567">
      <w:pPr>
        <w:widowControl w:val="0"/>
        <w:tabs>
          <w:tab w:val="left" w:pos="0"/>
          <w:tab w:val="left" w:pos="2835"/>
        </w:tabs>
        <w:ind w:firstLine="2880"/>
      </w:pPr>
      <w:r>
        <w:t>Ello resulta patente a raíz de la i</w:t>
      </w:r>
      <w:r>
        <w:t>n</w:t>
      </w:r>
      <w:r>
        <w:t>vocación que los críticos convocados efectúan respe</w:t>
      </w:r>
      <w:r>
        <w:t>c</w:t>
      </w:r>
      <w:r>
        <w:t>to de una absoluta ineficacia del órgano de control migratorio que llevó al juez de la causa, en el auto mencionado pr</w:t>
      </w:r>
      <w:r>
        <w:t>e</w:t>
      </w:r>
      <w:r>
        <w:t>cedentemente, expresar que carecía de todo sentido efe</w:t>
      </w:r>
      <w:r>
        <w:t>c</w:t>
      </w:r>
      <w:r>
        <w:t>tuar nuevas solicitudes de informes. (cfr. fs 26.886 del principal).</w:t>
      </w:r>
    </w:p>
    <w:p w:rsidR="00224567" w:rsidRDefault="00224567">
      <w:pPr>
        <w:widowControl w:val="0"/>
        <w:tabs>
          <w:tab w:val="left" w:pos="0"/>
          <w:tab w:val="left" w:pos="2835"/>
        </w:tabs>
        <w:ind w:firstLine="2880"/>
      </w:pPr>
      <w:r>
        <w:t>No puede soslayarse que a lo largo de la instrucción se observó por parte del juez y de algunos de sus colaboradores cercanos, una excesiva familiaridad de trato con los referentes de la querella representante de una de las asociaciones especialmente damnificadas por el cruento hecho. Ello, sumado a la ocurrencia de impr</w:t>
      </w:r>
      <w:r>
        <w:t>o</w:t>
      </w:r>
      <w:r>
        <w:t>pias peticiones efectuadas a una de las partes, afecta claramente el principio de imparci</w:t>
      </w:r>
      <w:r>
        <w:t>a</w:t>
      </w:r>
      <w:r>
        <w:t>lidad.</w:t>
      </w:r>
    </w:p>
    <w:p w:rsidR="00224567" w:rsidRDefault="00224567">
      <w:pPr>
        <w:widowControl w:val="0"/>
        <w:tabs>
          <w:tab w:val="left" w:pos="0"/>
          <w:tab w:val="left" w:pos="2835"/>
        </w:tabs>
        <w:ind w:firstLine="2880"/>
      </w:pPr>
      <w:r>
        <w:t>Cabe reproducir, para ilustrar esta aseveración, el diálogo que mantuvieron el juez con R</w:t>
      </w:r>
      <w:r>
        <w:t>u</w:t>
      </w:r>
      <w:r>
        <w:t xml:space="preserve">bén Ezra Beraja, ex presidente de </w:t>
      </w:r>
      <w:smartTag w:uri="urn:schemas-microsoft-com:office:smarttags" w:element="PersonName">
        <w:smartTagPr>
          <w:attr w:name="ProductID" w:val="la D.A"/>
        </w:smartTagPr>
        <w:r>
          <w:t>la D.A</w:t>
        </w:r>
      </w:smartTag>
      <w:r>
        <w:t>.I.A., obtenida en el marco de la causa nº 10.247 del Juzgado Federal nº 5, s</w:t>
      </w:r>
      <w:r>
        <w:t>e</w:t>
      </w:r>
      <w:r>
        <w:t>cretaría nº 10, “Beraja, Rubén Ezra y otros s/defraudación c/administración pública”, cuyo contenido es por demás d</w:t>
      </w:r>
      <w:r>
        <w:t>e</w:t>
      </w:r>
      <w:r>
        <w:t>mostrativo de lo afirmado precedent</w:t>
      </w:r>
      <w:r>
        <w:t>e</w:t>
      </w:r>
      <w:r>
        <w:t>mente.</w:t>
      </w:r>
    </w:p>
    <w:p w:rsidR="00224567" w:rsidRDefault="00224567">
      <w:pPr>
        <w:widowControl w:val="0"/>
        <w:tabs>
          <w:tab w:val="left" w:pos="0"/>
          <w:tab w:val="left" w:pos="2835"/>
        </w:tabs>
        <w:ind w:firstLine="2880"/>
      </w:pPr>
      <w:r>
        <w:t>Casete nº 8, del abonado 375-1100. Llama una mujer (M), de parte del Dr. Beraja, y solic</w:t>
      </w:r>
      <w:r>
        <w:t>i</w:t>
      </w:r>
      <w:r>
        <w:t>ta a su interlocutor (A), hablar con el Dr. Galeano (G):</w:t>
      </w:r>
    </w:p>
    <w:p w:rsidR="00224567" w:rsidRDefault="00224567">
      <w:pPr>
        <w:widowControl w:val="0"/>
        <w:numPr>
          <w:ilvl w:val="0"/>
          <w:numId w:val="6"/>
        </w:numPr>
        <w:tabs>
          <w:tab w:val="left" w:pos="0"/>
          <w:tab w:val="left" w:pos="2835"/>
        </w:tabs>
      </w:pPr>
      <w:r>
        <w:rPr>
          <w:b/>
        </w:rPr>
        <w:t>A</w:t>
      </w:r>
      <w:r>
        <w:t>: Juzgado, Buenas tardes.</w:t>
      </w:r>
    </w:p>
    <w:p w:rsidR="00224567" w:rsidRDefault="00224567">
      <w:pPr>
        <w:widowControl w:val="0"/>
        <w:numPr>
          <w:ilvl w:val="0"/>
          <w:numId w:val="6"/>
        </w:numPr>
        <w:tabs>
          <w:tab w:val="left" w:pos="0"/>
          <w:tab w:val="left" w:pos="2835"/>
        </w:tabs>
      </w:pPr>
      <w:r>
        <w:rPr>
          <w:b/>
        </w:rPr>
        <w:t>M</w:t>
      </w:r>
      <w:r>
        <w:t>: Si, buenas tardes, ¿el doctor Galeano se encue</w:t>
      </w:r>
      <w:r>
        <w:t>n</w:t>
      </w:r>
      <w:r>
        <w:t>tra?</w:t>
      </w:r>
    </w:p>
    <w:p w:rsidR="00224567" w:rsidRDefault="00224567">
      <w:pPr>
        <w:widowControl w:val="0"/>
        <w:numPr>
          <w:ilvl w:val="0"/>
          <w:numId w:val="6"/>
        </w:numPr>
        <w:tabs>
          <w:tab w:val="left" w:pos="0"/>
          <w:tab w:val="left" w:pos="2835"/>
        </w:tabs>
      </w:pPr>
      <w:r>
        <w:rPr>
          <w:b/>
        </w:rPr>
        <w:t>A</w:t>
      </w:r>
      <w:r>
        <w:t>: Quién le habla?</w:t>
      </w:r>
    </w:p>
    <w:p w:rsidR="00224567" w:rsidRDefault="00224567">
      <w:pPr>
        <w:widowControl w:val="0"/>
        <w:numPr>
          <w:ilvl w:val="0"/>
          <w:numId w:val="6"/>
        </w:numPr>
        <w:tabs>
          <w:tab w:val="left" w:pos="0"/>
          <w:tab w:val="left" w:pos="2835"/>
        </w:tabs>
      </w:pPr>
      <w:r>
        <w:rPr>
          <w:b/>
        </w:rPr>
        <w:t>M</w:t>
      </w:r>
      <w:r>
        <w:t>: El Dr. Beraja</w:t>
      </w:r>
    </w:p>
    <w:p w:rsidR="00224567" w:rsidRDefault="00224567">
      <w:pPr>
        <w:widowControl w:val="0"/>
        <w:numPr>
          <w:ilvl w:val="0"/>
          <w:numId w:val="6"/>
        </w:numPr>
        <w:tabs>
          <w:tab w:val="left" w:pos="0"/>
          <w:tab w:val="left" w:pos="2835"/>
        </w:tabs>
        <w:rPr>
          <w:b/>
        </w:rPr>
      </w:pPr>
      <w:r>
        <w:rPr>
          <w:b/>
        </w:rPr>
        <w:t>A</w:t>
      </w:r>
      <w:r>
        <w:t>: ¿El Dr. Beraja quiere hablar?</w:t>
      </w:r>
    </w:p>
    <w:p w:rsidR="00224567" w:rsidRDefault="00224567">
      <w:pPr>
        <w:widowControl w:val="0"/>
        <w:numPr>
          <w:ilvl w:val="0"/>
          <w:numId w:val="6"/>
        </w:numPr>
        <w:tabs>
          <w:tab w:val="left" w:pos="0"/>
          <w:tab w:val="left" w:pos="2835"/>
        </w:tabs>
      </w:pPr>
      <w:r>
        <w:rPr>
          <w:b/>
        </w:rPr>
        <w:t>M</w:t>
      </w:r>
      <w:r>
        <w:t>: Si</w:t>
      </w:r>
    </w:p>
    <w:p w:rsidR="00224567" w:rsidRDefault="00224567">
      <w:pPr>
        <w:widowControl w:val="0"/>
        <w:numPr>
          <w:ilvl w:val="0"/>
          <w:numId w:val="6"/>
        </w:numPr>
        <w:tabs>
          <w:tab w:val="left" w:pos="0"/>
          <w:tab w:val="left" w:pos="2835"/>
        </w:tabs>
      </w:pPr>
      <w:r>
        <w:rPr>
          <w:b/>
        </w:rPr>
        <w:t>A</w:t>
      </w:r>
      <w:r>
        <w:t>: No me corte por favor</w:t>
      </w:r>
    </w:p>
    <w:p w:rsidR="00224567" w:rsidRDefault="00224567">
      <w:pPr>
        <w:widowControl w:val="0"/>
        <w:numPr>
          <w:ilvl w:val="0"/>
          <w:numId w:val="6"/>
        </w:numPr>
        <w:tabs>
          <w:tab w:val="left" w:pos="0"/>
          <w:tab w:val="left" w:pos="2835"/>
        </w:tabs>
      </w:pPr>
      <w:r>
        <w:rPr>
          <w:b/>
        </w:rPr>
        <w:t>M</w:t>
      </w:r>
      <w:r>
        <w:t>: No corto...</w:t>
      </w:r>
    </w:p>
    <w:p w:rsidR="00224567" w:rsidRDefault="00224567">
      <w:pPr>
        <w:widowControl w:val="0"/>
        <w:numPr>
          <w:ilvl w:val="0"/>
          <w:numId w:val="6"/>
        </w:numPr>
        <w:tabs>
          <w:tab w:val="left" w:pos="0"/>
          <w:tab w:val="left" w:pos="2835"/>
        </w:tabs>
      </w:pPr>
      <w:r>
        <w:rPr>
          <w:b/>
        </w:rPr>
        <w:t>G:</w:t>
      </w:r>
      <w:r>
        <w:t xml:space="preserve"> Hola</w:t>
      </w:r>
    </w:p>
    <w:p w:rsidR="00224567" w:rsidRDefault="00224567">
      <w:pPr>
        <w:widowControl w:val="0"/>
        <w:numPr>
          <w:ilvl w:val="0"/>
          <w:numId w:val="6"/>
        </w:numPr>
        <w:tabs>
          <w:tab w:val="left" w:pos="0"/>
          <w:tab w:val="left" w:pos="2835"/>
        </w:tabs>
      </w:pPr>
      <w:r>
        <w:rPr>
          <w:b/>
        </w:rPr>
        <w:t>M:</w:t>
      </w:r>
      <w:r>
        <w:t xml:space="preserve"> Si, Doctor?</w:t>
      </w:r>
    </w:p>
    <w:p w:rsidR="00224567" w:rsidRDefault="00224567">
      <w:pPr>
        <w:widowControl w:val="0"/>
        <w:numPr>
          <w:ilvl w:val="0"/>
          <w:numId w:val="6"/>
        </w:numPr>
        <w:tabs>
          <w:tab w:val="left" w:pos="0"/>
          <w:tab w:val="left" w:pos="2835"/>
        </w:tabs>
      </w:pPr>
      <w:r>
        <w:rPr>
          <w:b/>
        </w:rPr>
        <w:t>G:</w:t>
      </w:r>
      <w:r>
        <w:t xml:space="preserve"> Que tal ...</w:t>
      </w:r>
    </w:p>
    <w:p w:rsidR="00224567" w:rsidRDefault="00224567">
      <w:pPr>
        <w:widowControl w:val="0"/>
        <w:numPr>
          <w:ilvl w:val="0"/>
          <w:numId w:val="6"/>
        </w:numPr>
        <w:tabs>
          <w:tab w:val="left" w:pos="0"/>
          <w:tab w:val="left" w:pos="2835"/>
        </w:tabs>
      </w:pPr>
      <w:r>
        <w:rPr>
          <w:b/>
        </w:rPr>
        <w:t>M</w:t>
      </w:r>
      <w:r>
        <w:t>: Buenas tardes ¿cómo le va?. Bien y Ud.?, Le p</w:t>
      </w:r>
      <w:r>
        <w:t>a</w:t>
      </w:r>
      <w:r>
        <w:t>so con el Doctor Beraja.</w:t>
      </w:r>
    </w:p>
    <w:p w:rsidR="00224567" w:rsidRDefault="00224567">
      <w:pPr>
        <w:widowControl w:val="0"/>
        <w:numPr>
          <w:ilvl w:val="0"/>
          <w:numId w:val="6"/>
        </w:numPr>
        <w:tabs>
          <w:tab w:val="left" w:pos="0"/>
          <w:tab w:val="left" w:pos="2835"/>
        </w:tabs>
      </w:pPr>
      <w:r>
        <w:rPr>
          <w:b/>
        </w:rPr>
        <w:t>G:</w:t>
      </w:r>
      <w:r>
        <w:t xml:space="preserve"> Bueno</w:t>
      </w:r>
    </w:p>
    <w:p w:rsidR="00224567" w:rsidRDefault="00224567">
      <w:pPr>
        <w:widowControl w:val="0"/>
        <w:numPr>
          <w:ilvl w:val="0"/>
          <w:numId w:val="6"/>
        </w:numPr>
        <w:tabs>
          <w:tab w:val="left" w:pos="0"/>
          <w:tab w:val="left" w:pos="2835"/>
        </w:tabs>
      </w:pPr>
      <w:r>
        <w:t>...</w:t>
      </w:r>
    </w:p>
    <w:p w:rsidR="00224567" w:rsidRDefault="00224567">
      <w:pPr>
        <w:widowControl w:val="0"/>
        <w:numPr>
          <w:ilvl w:val="0"/>
          <w:numId w:val="6"/>
        </w:numPr>
        <w:tabs>
          <w:tab w:val="left" w:pos="0"/>
          <w:tab w:val="left" w:pos="2835"/>
        </w:tabs>
      </w:pPr>
      <w:r>
        <w:rPr>
          <w:b/>
        </w:rPr>
        <w:t>B:</w:t>
      </w:r>
      <w:r>
        <w:t xml:space="preserve"> La verdad es que yo creí que iba a ser otra c</w:t>
      </w:r>
      <w:r>
        <w:t>o</w:t>
      </w:r>
      <w:r>
        <w:t>sa.</w:t>
      </w:r>
    </w:p>
    <w:p w:rsidR="00224567" w:rsidRDefault="00224567">
      <w:pPr>
        <w:widowControl w:val="0"/>
        <w:numPr>
          <w:ilvl w:val="0"/>
          <w:numId w:val="6"/>
        </w:numPr>
        <w:tabs>
          <w:tab w:val="left" w:pos="0"/>
          <w:tab w:val="left" w:pos="2835"/>
        </w:tabs>
      </w:pPr>
      <w:r>
        <w:rPr>
          <w:b/>
        </w:rPr>
        <w:t>G:</w:t>
      </w:r>
      <w:r>
        <w:t xml:space="preserve"> Claro</w:t>
      </w:r>
    </w:p>
    <w:p w:rsidR="00224567" w:rsidRDefault="00224567">
      <w:pPr>
        <w:widowControl w:val="0"/>
        <w:numPr>
          <w:ilvl w:val="0"/>
          <w:numId w:val="6"/>
        </w:numPr>
        <w:tabs>
          <w:tab w:val="left" w:pos="0"/>
          <w:tab w:val="left" w:pos="2835"/>
        </w:tabs>
      </w:pPr>
      <w:r>
        <w:rPr>
          <w:b/>
        </w:rPr>
        <w:t>B:</w:t>
      </w:r>
      <w:r>
        <w:t xml:space="preserve"> Y además se me malquistó con el Tribunal, ayer el ho</w:t>
      </w:r>
      <w:r>
        <w:t>m</w:t>
      </w:r>
      <w:r>
        <w:t>bre</w:t>
      </w:r>
    </w:p>
    <w:p w:rsidR="00224567" w:rsidRDefault="00224567">
      <w:pPr>
        <w:widowControl w:val="0"/>
        <w:numPr>
          <w:ilvl w:val="0"/>
          <w:numId w:val="6"/>
        </w:numPr>
        <w:tabs>
          <w:tab w:val="left" w:pos="0"/>
          <w:tab w:val="left" w:pos="2835"/>
        </w:tabs>
      </w:pPr>
      <w:r>
        <w:rPr>
          <w:b/>
        </w:rPr>
        <w:t>G:</w:t>
      </w:r>
      <w:r>
        <w:t xml:space="preserve"> Ah, no sabía eso.</w:t>
      </w:r>
    </w:p>
    <w:p w:rsidR="00224567" w:rsidRDefault="00224567">
      <w:pPr>
        <w:widowControl w:val="0"/>
        <w:numPr>
          <w:ilvl w:val="0"/>
          <w:numId w:val="6"/>
        </w:numPr>
        <w:tabs>
          <w:tab w:val="left" w:pos="0"/>
          <w:tab w:val="left" w:pos="2835"/>
        </w:tabs>
      </w:pPr>
      <w:r>
        <w:rPr>
          <w:b/>
        </w:rPr>
        <w:t>B:</w:t>
      </w:r>
      <w:r>
        <w:t xml:space="preserve"> Y dice que...</w:t>
      </w:r>
    </w:p>
    <w:p w:rsidR="00224567" w:rsidRDefault="00224567">
      <w:pPr>
        <w:widowControl w:val="0"/>
        <w:numPr>
          <w:ilvl w:val="0"/>
          <w:numId w:val="6"/>
        </w:numPr>
        <w:tabs>
          <w:tab w:val="left" w:pos="0"/>
          <w:tab w:val="left" w:pos="2835"/>
        </w:tabs>
      </w:pPr>
      <w:r>
        <w:rPr>
          <w:b/>
        </w:rPr>
        <w:t>G:</w:t>
      </w:r>
      <w:r>
        <w:t xml:space="preserve"> ...yo no hablé con Marta...</w:t>
      </w:r>
    </w:p>
    <w:p w:rsidR="00224567" w:rsidRDefault="00224567">
      <w:pPr>
        <w:widowControl w:val="0"/>
        <w:numPr>
          <w:ilvl w:val="0"/>
          <w:numId w:val="6"/>
        </w:numPr>
        <w:tabs>
          <w:tab w:val="left" w:pos="0"/>
          <w:tab w:val="left" w:pos="2835"/>
        </w:tabs>
      </w:pPr>
      <w:r>
        <w:rPr>
          <w:b/>
        </w:rPr>
        <w:t>B:</w:t>
      </w:r>
      <w:r>
        <w:t xml:space="preserve"> dice que fueron poniendo caras que iban ca</w:t>
      </w:r>
      <w:r>
        <w:t>m</w:t>
      </w:r>
      <w:r>
        <w:t>biando po</w:t>
      </w:r>
      <w:r>
        <w:t>r</w:t>
      </w:r>
      <w:r>
        <w:t>que lo veían actuar como patrón de unaa...</w:t>
      </w:r>
    </w:p>
    <w:p w:rsidR="00224567" w:rsidRDefault="00224567">
      <w:pPr>
        <w:widowControl w:val="0"/>
        <w:numPr>
          <w:ilvl w:val="0"/>
          <w:numId w:val="6"/>
        </w:numPr>
        <w:tabs>
          <w:tab w:val="left" w:pos="0"/>
          <w:tab w:val="left" w:pos="2835"/>
        </w:tabs>
      </w:pPr>
      <w:r>
        <w:rPr>
          <w:b/>
        </w:rPr>
        <w:t>G:</w:t>
      </w:r>
      <w:r>
        <w:t xml:space="preserve"> eee... patrón de estancia,</w:t>
      </w:r>
    </w:p>
    <w:p w:rsidR="00224567" w:rsidRDefault="00224567">
      <w:pPr>
        <w:widowControl w:val="0"/>
        <w:numPr>
          <w:ilvl w:val="0"/>
          <w:numId w:val="6"/>
        </w:numPr>
        <w:tabs>
          <w:tab w:val="left" w:pos="0"/>
          <w:tab w:val="left" w:pos="2835"/>
        </w:tabs>
      </w:pPr>
      <w:r>
        <w:rPr>
          <w:b/>
        </w:rPr>
        <w:t>B:</w:t>
      </w:r>
      <w:r>
        <w:t>...claro, eee, yyy.</w:t>
      </w:r>
    </w:p>
    <w:p w:rsidR="00224567" w:rsidRDefault="00224567">
      <w:pPr>
        <w:widowControl w:val="0"/>
        <w:numPr>
          <w:ilvl w:val="0"/>
          <w:numId w:val="6"/>
        </w:numPr>
        <w:tabs>
          <w:tab w:val="left" w:pos="0"/>
          <w:tab w:val="left" w:pos="2835"/>
        </w:tabs>
      </w:pPr>
      <w:r>
        <w:rPr>
          <w:b/>
        </w:rPr>
        <w:t>G:</w:t>
      </w:r>
      <w:r>
        <w:t xml:space="preserve"> Y además, fue corrigiendo a un tipo que había d</w:t>
      </w:r>
      <w:r>
        <w:t>e</w:t>
      </w:r>
      <w:r>
        <w:t>clarado, que decía que él lo conocía, o sea fue ay</w:t>
      </w:r>
      <w:r>
        <w:t>u</w:t>
      </w:r>
      <w:r>
        <w:t>dando a un tipo que él lo conocía.</w:t>
      </w:r>
    </w:p>
    <w:p w:rsidR="00224567" w:rsidRDefault="00224567">
      <w:pPr>
        <w:widowControl w:val="0"/>
        <w:numPr>
          <w:ilvl w:val="0"/>
          <w:numId w:val="6"/>
        </w:numPr>
        <w:tabs>
          <w:tab w:val="left" w:pos="0"/>
          <w:tab w:val="left" w:pos="2835"/>
        </w:tabs>
      </w:pPr>
      <w:r>
        <w:rPr>
          <w:b/>
        </w:rPr>
        <w:t>B:</w:t>
      </w:r>
      <w:r>
        <w:t xml:space="preserve"> Si, si, si, un alarde, como un verdadero jefe.</w:t>
      </w:r>
    </w:p>
    <w:p w:rsidR="00224567" w:rsidRDefault="00224567">
      <w:pPr>
        <w:widowControl w:val="0"/>
        <w:numPr>
          <w:ilvl w:val="0"/>
          <w:numId w:val="6"/>
        </w:numPr>
        <w:tabs>
          <w:tab w:val="left" w:pos="0"/>
          <w:tab w:val="left" w:pos="2835"/>
        </w:tabs>
      </w:pPr>
      <w:r>
        <w:rPr>
          <w:b/>
        </w:rPr>
        <w:t>G:</w:t>
      </w:r>
      <w:r>
        <w:t xml:space="preserve"> Igualmente yo creo, que tenemos que generar, de vuelta, lazos con... con... con otra gente, como p</w:t>
      </w:r>
      <w:r>
        <w:t>a</w:t>
      </w:r>
      <w:r>
        <w:t>ra,... yo me estoy yendo –te hablo esto... para que vos lo manejes, o lo sugieras o veas...-, yo me e</w:t>
      </w:r>
      <w:r>
        <w:t>s</w:t>
      </w:r>
      <w:r>
        <w:t>toy yendo a Washington el 20.</w:t>
      </w:r>
    </w:p>
    <w:p w:rsidR="00224567" w:rsidRDefault="00224567">
      <w:pPr>
        <w:widowControl w:val="0"/>
        <w:numPr>
          <w:ilvl w:val="0"/>
          <w:numId w:val="6"/>
        </w:numPr>
        <w:tabs>
          <w:tab w:val="left" w:pos="0"/>
          <w:tab w:val="left" w:pos="2835"/>
        </w:tabs>
      </w:pPr>
      <w:r>
        <w:rPr>
          <w:b/>
        </w:rPr>
        <w:t>B:</w:t>
      </w:r>
      <w:r>
        <w:t xml:space="preserve"> Perfecto</w:t>
      </w:r>
    </w:p>
    <w:p w:rsidR="00224567" w:rsidRDefault="00224567">
      <w:pPr>
        <w:widowControl w:val="0"/>
        <w:numPr>
          <w:ilvl w:val="0"/>
          <w:numId w:val="6"/>
        </w:numPr>
        <w:tabs>
          <w:tab w:val="left" w:pos="0"/>
          <w:tab w:val="left" w:pos="2835"/>
        </w:tabs>
      </w:pPr>
      <w:r>
        <w:rPr>
          <w:b/>
        </w:rPr>
        <w:t>G:</w:t>
      </w:r>
      <w:r>
        <w:t xml:space="preserve"> ¿Me entendés?</w:t>
      </w:r>
    </w:p>
    <w:p w:rsidR="00224567" w:rsidRDefault="00224567">
      <w:pPr>
        <w:widowControl w:val="0"/>
        <w:numPr>
          <w:ilvl w:val="0"/>
          <w:numId w:val="6"/>
        </w:numPr>
        <w:tabs>
          <w:tab w:val="left" w:pos="0"/>
          <w:tab w:val="left" w:pos="2835"/>
        </w:tabs>
      </w:pPr>
      <w:r>
        <w:rPr>
          <w:b/>
        </w:rPr>
        <w:t>B:</w:t>
      </w:r>
      <w:r>
        <w:t xml:space="preserve"> Si</w:t>
      </w:r>
    </w:p>
    <w:p w:rsidR="00224567" w:rsidRDefault="00224567">
      <w:pPr>
        <w:widowControl w:val="0"/>
        <w:numPr>
          <w:ilvl w:val="0"/>
          <w:numId w:val="6"/>
        </w:numPr>
        <w:tabs>
          <w:tab w:val="left" w:pos="0"/>
          <w:tab w:val="left" w:pos="2835"/>
        </w:tabs>
      </w:pPr>
      <w:r>
        <w:rPr>
          <w:b/>
        </w:rPr>
        <w:t>G:</w:t>
      </w:r>
      <w:r>
        <w:t xml:space="preserve"> Todo el mundo quiere volver de Washington y yo me estoy yendo</w:t>
      </w:r>
    </w:p>
    <w:p w:rsidR="00224567" w:rsidRDefault="00224567">
      <w:pPr>
        <w:widowControl w:val="0"/>
        <w:numPr>
          <w:ilvl w:val="0"/>
          <w:numId w:val="6"/>
        </w:numPr>
        <w:tabs>
          <w:tab w:val="left" w:pos="0"/>
          <w:tab w:val="left" w:pos="2835"/>
        </w:tabs>
      </w:pPr>
      <w:r>
        <w:rPr>
          <w:b/>
        </w:rPr>
        <w:t>B:</w:t>
      </w:r>
      <w:r>
        <w:t xml:space="preserve"> Y... porque sos una persona abnegada</w:t>
      </w:r>
    </w:p>
    <w:p w:rsidR="00224567" w:rsidRDefault="00224567">
      <w:pPr>
        <w:widowControl w:val="0"/>
        <w:numPr>
          <w:ilvl w:val="0"/>
          <w:numId w:val="6"/>
        </w:numPr>
        <w:tabs>
          <w:tab w:val="left" w:pos="0"/>
          <w:tab w:val="left" w:pos="2835"/>
        </w:tabs>
      </w:pPr>
      <w:r>
        <w:rPr>
          <w:b/>
        </w:rPr>
        <w:t>G:</w:t>
      </w:r>
      <w:r>
        <w:t xml:space="preserve"> Eeeh?</w:t>
      </w:r>
    </w:p>
    <w:p w:rsidR="00224567" w:rsidRDefault="00224567">
      <w:pPr>
        <w:widowControl w:val="0"/>
        <w:numPr>
          <w:ilvl w:val="0"/>
          <w:numId w:val="6"/>
        </w:numPr>
        <w:tabs>
          <w:tab w:val="left" w:pos="0"/>
          <w:tab w:val="left" w:pos="2835"/>
        </w:tabs>
      </w:pPr>
      <w:r>
        <w:rPr>
          <w:b/>
        </w:rPr>
        <w:t>B:</w:t>
      </w:r>
      <w:r>
        <w:t xml:space="preserve"> sos una persona abnegada</w:t>
      </w:r>
    </w:p>
    <w:p w:rsidR="00224567" w:rsidRDefault="00224567">
      <w:pPr>
        <w:widowControl w:val="0"/>
        <w:numPr>
          <w:ilvl w:val="0"/>
          <w:numId w:val="6"/>
        </w:numPr>
        <w:tabs>
          <w:tab w:val="left" w:pos="0"/>
          <w:tab w:val="left" w:pos="2835"/>
        </w:tabs>
      </w:pPr>
      <w:r>
        <w:rPr>
          <w:b/>
        </w:rPr>
        <w:t>G:</w:t>
      </w:r>
      <w:r>
        <w:t xml:space="preserve"> Exacto</w:t>
      </w:r>
    </w:p>
    <w:p w:rsidR="00224567" w:rsidRDefault="00224567">
      <w:pPr>
        <w:widowControl w:val="0"/>
        <w:numPr>
          <w:ilvl w:val="0"/>
          <w:numId w:val="6"/>
        </w:numPr>
        <w:tabs>
          <w:tab w:val="left" w:pos="0"/>
          <w:tab w:val="left" w:pos="2835"/>
        </w:tabs>
      </w:pPr>
      <w:r>
        <w:rPr>
          <w:b/>
        </w:rPr>
        <w:t>B:</w:t>
      </w:r>
      <w:r>
        <w:t xml:space="preserve"> Y tenés coraje</w:t>
      </w:r>
    </w:p>
    <w:p w:rsidR="00224567" w:rsidRDefault="00224567">
      <w:pPr>
        <w:widowControl w:val="0"/>
        <w:numPr>
          <w:ilvl w:val="0"/>
          <w:numId w:val="6"/>
        </w:numPr>
        <w:tabs>
          <w:tab w:val="left" w:pos="0"/>
          <w:tab w:val="left" w:pos="2835"/>
        </w:tabs>
      </w:pPr>
      <w:r>
        <w:rPr>
          <w:b/>
        </w:rPr>
        <w:t>G:</w:t>
      </w:r>
      <w:r>
        <w:t xml:space="preserve"> Exactamente, me entendés</w:t>
      </w:r>
    </w:p>
    <w:p w:rsidR="00224567" w:rsidRDefault="00224567">
      <w:pPr>
        <w:widowControl w:val="0"/>
        <w:numPr>
          <w:ilvl w:val="0"/>
          <w:numId w:val="6"/>
        </w:numPr>
        <w:tabs>
          <w:tab w:val="left" w:pos="0"/>
          <w:tab w:val="left" w:pos="2835"/>
        </w:tabs>
      </w:pPr>
      <w:r>
        <w:rPr>
          <w:b/>
        </w:rPr>
        <w:t>B:</w:t>
      </w:r>
      <w:r>
        <w:t xml:space="preserve"> Siee</w:t>
      </w:r>
    </w:p>
    <w:p w:rsidR="00224567" w:rsidRDefault="00224567">
      <w:pPr>
        <w:widowControl w:val="0"/>
        <w:numPr>
          <w:ilvl w:val="0"/>
          <w:numId w:val="6"/>
        </w:numPr>
        <w:tabs>
          <w:tab w:val="left" w:pos="0"/>
          <w:tab w:val="left" w:pos="2835"/>
        </w:tabs>
      </w:pPr>
      <w:r>
        <w:rPr>
          <w:b/>
        </w:rPr>
        <w:t>G:</w:t>
      </w:r>
      <w:r>
        <w:t xml:space="preserve"> Entonces, bueno... y estoy yendo para Washin</w:t>
      </w:r>
      <w:r>
        <w:t>g</w:t>
      </w:r>
      <w:r>
        <w:t>ton, para decirles qué hacer a los tipos para e</w:t>
      </w:r>
      <w:r>
        <w:t>s</w:t>
      </w:r>
      <w:r>
        <w:t>clarecer el atent</w:t>
      </w:r>
      <w:r>
        <w:t>a</w:t>
      </w:r>
      <w:r>
        <w:t>do, ¿Sí?</w:t>
      </w:r>
    </w:p>
    <w:p w:rsidR="00224567" w:rsidRDefault="00224567">
      <w:pPr>
        <w:widowControl w:val="0"/>
        <w:numPr>
          <w:ilvl w:val="0"/>
          <w:numId w:val="6"/>
        </w:numPr>
        <w:tabs>
          <w:tab w:val="left" w:pos="0"/>
          <w:tab w:val="left" w:pos="2835"/>
        </w:tabs>
      </w:pPr>
      <w:r>
        <w:rPr>
          <w:b/>
        </w:rPr>
        <w:t>B:</w:t>
      </w:r>
      <w:r>
        <w:t xml:space="preserve"> Sieee</w:t>
      </w:r>
    </w:p>
    <w:p w:rsidR="00224567" w:rsidRDefault="00224567">
      <w:pPr>
        <w:widowControl w:val="0"/>
        <w:numPr>
          <w:ilvl w:val="0"/>
          <w:numId w:val="6"/>
        </w:numPr>
        <w:tabs>
          <w:tab w:val="left" w:pos="0"/>
          <w:tab w:val="left" w:pos="2835"/>
        </w:tabs>
      </w:pPr>
      <w:r>
        <w:rPr>
          <w:b/>
        </w:rPr>
        <w:t>G:</w:t>
      </w:r>
      <w:r>
        <w:t xml:space="preserve"> ...Y para demostrarle a Washington, también, que nosotros estamos ahí, también, ¿No?. Que hemos </w:t>
      </w:r>
      <w:r>
        <w:rPr>
          <w:i/>
        </w:rPr>
        <w:t>s</w:t>
      </w:r>
      <w:r>
        <w:rPr>
          <w:i/>
        </w:rPr>
        <w:t>u</w:t>
      </w:r>
      <w:r>
        <w:rPr>
          <w:i/>
        </w:rPr>
        <w:t xml:space="preserve">frido </w:t>
      </w:r>
      <w:r>
        <w:t>lo mi</w:t>
      </w:r>
      <w:r>
        <w:t>s</w:t>
      </w:r>
      <w:r>
        <w:t>mo,...</w:t>
      </w:r>
    </w:p>
    <w:p w:rsidR="00224567" w:rsidRDefault="00224567">
      <w:pPr>
        <w:widowControl w:val="0"/>
        <w:numPr>
          <w:ilvl w:val="0"/>
          <w:numId w:val="6"/>
        </w:numPr>
        <w:tabs>
          <w:tab w:val="left" w:pos="0"/>
          <w:tab w:val="left" w:pos="2835"/>
        </w:tabs>
      </w:pPr>
      <w:r>
        <w:rPr>
          <w:b/>
        </w:rPr>
        <w:t>B:</w:t>
      </w:r>
      <w:r>
        <w:t xml:space="preserve"> Claro</w:t>
      </w:r>
    </w:p>
    <w:p w:rsidR="00224567" w:rsidRDefault="00224567">
      <w:pPr>
        <w:widowControl w:val="0"/>
        <w:numPr>
          <w:ilvl w:val="0"/>
          <w:numId w:val="6"/>
        </w:numPr>
        <w:tabs>
          <w:tab w:val="left" w:pos="0"/>
          <w:tab w:val="left" w:pos="2835"/>
        </w:tabs>
      </w:pPr>
      <w:r>
        <w:rPr>
          <w:b/>
        </w:rPr>
        <w:t>G:</w:t>
      </w:r>
      <w:r>
        <w:t xml:space="preserve"> Me parece que haría falta un poco de apoyo de u</w:t>
      </w:r>
      <w:r>
        <w:t>s</w:t>
      </w:r>
      <w:r>
        <w:t>tedes</w:t>
      </w:r>
    </w:p>
    <w:p w:rsidR="00224567" w:rsidRDefault="00224567">
      <w:pPr>
        <w:widowControl w:val="0"/>
        <w:numPr>
          <w:ilvl w:val="0"/>
          <w:numId w:val="6"/>
        </w:numPr>
        <w:tabs>
          <w:tab w:val="left" w:pos="0"/>
          <w:tab w:val="left" w:pos="2835"/>
        </w:tabs>
      </w:pPr>
      <w:r>
        <w:rPr>
          <w:b/>
        </w:rPr>
        <w:t>B:</w:t>
      </w:r>
      <w:r>
        <w:t xml:space="preserve"> Voy a buscarte el contacto. ¿El 20 me dijiste?</w:t>
      </w:r>
    </w:p>
    <w:p w:rsidR="00224567" w:rsidRDefault="00224567">
      <w:pPr>
        <w:widowControl w:val="0"/>
        <w:numPr>
          <w:ilvl w:val="0"/>
          <w:numId w:val="6"/>
        </w:numPr>
        <w:tabs>
          <w:tab w:val="left" w:pos="0"/>
          <w:tab w:val="left" w:pos="2835"/>
        </w:tabs>
      </w:pPr>
      <w:r>
        <w:rPr>
          <w:b/>
        </w:rPr>
        <w:t>G:</w:t>
      </w:r>
      <w:r>
        <w:t xml:space="preserve"> Yo estoy viajando el 20 creo, luego el fin de s</w:t>
      </w:r>
      <w:r>
        <w:t>e</w:t>
      </w:r>
      <w:r>
        <w:t>mana, pero, me da la impresión de que es impo</w:t>
      </w:r>
      <w:r>
        <w:t>r</w:t>
      </w:r>
      <w:r>
        <w:t>tante de que esto no quede en el aire</w:t>
      </w:r>
    </w:p>
    <w:p w:rsidR="00224567" w:rsidRDefault="00224567">
      <w:pPr>
        <w:widowControl w:val="0"/>
        <w:numPr>
          <w:ilvl w:val="0"/>
          <w:numId w:val="6"/>
        </w:numPr>
        <w:tabs>
          <w:tab w:val="left" w:pos="0"/>
          <w:tab w:val="left" w:pos="2835"/>
        </w:tabs>
      </w:pPr>
      <w:r>
        <w:rPr>
          <w:b/>
        </w:rPr>
        <w:t>B:</w:t>
      </w:r>
      <w:r>
        <w:t xml:space="preserve"> no, no, yo me pongo en campaña, ya.</w:t>
      </w:r>
    </w:p>
    <w:p w:rsidR="00224567" w:rsidRDefault="00224567">
      <w:pPr>
        <w:widowControl w:val="0"/>
        <w:numPr>
          <w:ilvl w:val="0"/>
          <w:numId w:val="6"/>
        </w:numPr>
        <w:tabs>
          <w:tab w:val="left" w:pos="0"/>
          <w:tab w:val="left" w:pos="2835"/>
        </w:tabs>
      </w:pPr>
      <w:r>
        <w:rPr>
          <w:b/>
        </w:rPr>
        <w:t>G:</w:t>
      </w:r>
      <w:r>
        <w:t xml:space="preserve"> Porque yo voy a jugar, la ficha la voy jugar; contra el ántrax, viste, contra toda la huevada yo voy, me entendés</w:t>
      </w:r>
    </w:p>
    <w:p w:rsidR="00224567" w:rsidRDefault="00224567">
      <w:pPr>
        <w:widowControl w:val="0"/>
        <w:numPr>
          <w:ilvl w:val="0"/>
          <w:numId w:val="6"/>
        </w:numPr>
        <w:tabs>
          <w:tab w:val="left" w:pos="0"/>
          <w:tab w:val="left" w:pos="2835"/>
        </w:tabs>
      </w:pPr>
      <w:r>
        <w:rPr>
          <w:b/>
        </w:rPr>
        <w:t>B:</w:t>
      </w:r>
      <w:r>
        <w:t xml:space="preserve"> Muy bien</w:t>
      </w:r>
    </w:p>
    <w:p w:rsidR="00224567" w:rsidRDefault="00224567">
      <w:pPr>
        <w:widowControl w:val="0"/>
        <w:numPr>
          <w:ilvl w:val="0"/>
          <w:numId w:val="6"/>
        </w:numPr>
        <w:tabs>
          <w:tab w:val="left" w:pos="0"/>
          <w:tab w:val="left" w:pos="2835"/>
        </w:tabs>
      </w:pPr>
      <w:r>
        <w:rPr>
          <w:b/>
        </w:rPr>
        <w:t>G:</w:t>
      </w:r>
      <w:r>
        <w:t xml:space="preserve"> Mientras están bombardeando los aviones, y (o)..., Juan se sube</w:t>
      </w:r>
    </w:p>
    <w:p w:rsidR="00224567" w:rsidRDefault="00224567">
      <w:pPr>
        <w:widowControl w:val="0"/>
        <w:numPr>
          <w:ilvl w:val="0"/>
          <w:numId w:val="6"/>
        </w:numPr>
        <w:tabs>
          <w:tab w:val="left" w:pos="0"/>
          <w:tab w:val="left" w:pos="2835"/>
        </w:tabs>
      </w:pPr>
      <w:r>
        <w:rPr>
          <w:b/>
        </w:rPr>
        <w:t>B:</w:t>
      </w:r>
      <w:r>
        <w:t xml:space="preserve"> Muy bien, y...</w:t>
      </w:r>
    </w:p>
    <w:p w:rsidR="00224567" w:rsidRDefault="00224567">
      <w:pPr>
        <w:widowControl w:val="0"/>
        <w:numPr>
          <w:ilvl w:val="0"/>
          <w:numId w:val="6"/>
        </w:numPr>
        <w:tabs>
          <w:tab w:val="left" w:pos="0"/>
          <w:tab w:val="left" w:pos="2835"/>
        </w:tabs>
      </w:pPr>
      <w:r>
        <w:rPr>
          <w:b/>
        </w:rPr>
        <w:t>G:</w:t>
      </w:r>
      <w:r>
        <w:t xml:space="preserve"> ¿Vos lo ves mal?</w:t>
      </w:r>
    </w:p>
    <w:p w:rsidR="00224567" w:rsidRDefault="00224567">
      <w:pPr>
        <w:widowControl w:val="0"/>
        <w:numPr>
          <w:ilvl w:val="0"/>
          <w:numId w:val="6"/>
        </w:numPr>
        <w:tabs>
          <w:tab w:val="left" w:pos="0"/>
          <w:tab w:val="left" w:pos="2835"/>
        </w:tabs>
      </w:pPr>
      <w:r>
        <w:rPr>
          <w:b/>
        </w:rPr>
        <w:t>B:</w:t>
      </w:r>
      <w:r>
        <w:t xml:space="preserve"> Nooo, me parece bien</w:t>
      </w:r>
    </w:p>
    <w:p w:rsidR="00224567" w:rsidRDefault="00224567">
      <w:pPr>
        <w:widowControl w:val="0"/>
        <w:numPr>
          <w:ilvl w:val="0"/>
          <w:numId w:val="6"/>
        </w:numPr>
        <w:tabs>
          <w:tab w:val="left" w:pos="0"/>
          <w:tab w:val="left" w:pos="2835"/>
        </w:tabs>
      </w:pPr>
      <w:r>
        <w:rPr>
          <w:b/>
        </w:rPr>
        <w:t>G:</w:t>
      </w:r>
      <w:r>
        <w:t xml:space="preserve"> Y sigo eh, y sigo de ahí a París</w:t>
      </w:r>
    </w:p>
    <w:p w:rsidR="00224567" w:rsidRDefault="00224567">
      <w:pPr>
        <w:widowControl w:val="0"/>
        <w:numPr>
          <w:ilvl w:val="0"/>
          <w:numId w:val="6"/>
        </w:numPr>
        <w:tabs>
          <w:tab w:val="left" w:pos="0"/>
          <w:tab w:val="left" w:pos="2835"/>
        </w:tabs>
      </w:pPr>
      <w:r>
        <w:rPr>
          <w:b/>
        </w:rPr>
        <w:t>B:</w:t>
      </w:r>
      <w:r>
        <w:t xml:space="preserve"> Me parece muuuy bien, me parece muy bien que e</w:t>
      </w:r>
      <w:r>
        <w:t>s</w:t>
      </w:r>
      <w:r>
        <w:t>tés en la ofensiva.</w:t>
      </w:r>
    </w:p>
    <w:p w:rsidR="00224567" w:rsidRDefault="00224567">
      <w:pPr>
        <w:widowControl w:val="0"/>
        <w:numPr>
          <w:ilvl w:val="0"/>
          <w:numId w:val="6"/>
        </w:numPr>
        <w:tabs>
          <w:tab w:val="left" w:pos="0"/>
          <w:tab w:val="left" w:pos="2835"/>
        </w:tabs>
      </w:pPr>
      <w:r>
        <w:rPr>
          <w:b/>
        </w:rPr>
        <w:t>G:</w:t>
      </w:r>
      <w:r>
        <w:t xml:space="preserve"> Me entendés... como que quiero marcar un cam</w:t>
      </w:r>
      <w:r>
        <w:t>i</w:t>
      </w:r>
      <w:r>
        <w:t xml:space="preserve">no, ¡no?, y dar un marco, diciendo “Chee, que esto no es de acá, esto tiene origen,... el 80 por ciento del origen de esto es de </w:t>
      </w:r>
      <w:r>
        <w:rPr>
          <w:i/>
        </w:rPr>
        <w:t>origen extranjero”</w:t>
      </w:r>
    </w:p>
    <w:p w:rsidR="00224567" w:rsidRDefault="00224567">
      <w:pPr>
        <w:widowControl w:val="0"/>
        <w:numPr>
          <w:ilvl w:val="0"/>
          <w:numId w:val="6"/>
        </w:numPr>
        <w:tabs>
          <w:tab w:val="left" w:pos="0"/>
          <w:tab w:val="left" w:pos="2835"/>
        </w:tabs>
      </w:pPr>
      <w:r>
        <w:rPr>
          <w:b/>
        </w:rPr>
        <w:t>B:</w:t>
      </w:r>
      <w:r>
        <w:t xml:space="preserve"> Yo tengo el artículo sobre la guerra asimétrica</w:t>
      </w:r>
    </w:p>
    <w:p w:rsidR="00224567" w:rsidRDefault="00224567">
      <w:pPr>
        <w:widowControl w:val="0"/>
        <w:numPr>
          <w:ilvl w:val="0"/>
          <w:numId w:val="6"/>
        </w:numPr>
        <w:tabs>
          <w:tab w:val="left" w:pos="0"/>
          <w:tab w:val="left" w:pos="2835"/>
        </w:tabs>
      </w:pPr>
      <w:r>
        <w:rPr>
          <w:b/>
        </w:rPr>
        <w:t>G:</w:t>
      </w:r>
      <w:r>
        <w:t xml:space="preserve"> Aha</w:t>
      </w:r>
    </w:p>
    <w:p w:rsidR="00224567" w:rsidRDefault="00224567">
      <w:pPr>
        <w:widowControl w:val="0"/>
        <w:numPr>
          <w:ilvl w:val="0"/>
          <w:numId w:val="6"/>
        </w:numPr>
        <w:tabs>
          <w:tab w:val="left" w:pos="0"/>
          <w:tab w:val="left" w:pos="2835"/>
        </w:tabs>
      </w:pPr>
      <w:r>
        <w:rPr>
          <w:b/>
        </w:rPr>
        <w:t>B:</w:t>
      </w:r>
      <w:r>
        <w:t xml:space="preserve"> Está en inglés, ¿Vos lees algo de inglés?</w:t>
      </w:r>
    </w:p>
    <w:p w:rsidR="00224567" w:rsidRDefault="00224567">
      <w:pPr>
        <w:widowControl w:val="0"/>
        <w:numPr>
          <w:ilvl w:val="0"/>
          <w:numId w:val="6"/>
        </w:numPr>
        <w:tabs>
          <w:tab w:val="left" w:pos="0"/>
          <w:tab w:val="left" w:pos="2835"/>
        </w:tabs>
      </w:pPr>
      <w:r>
        <w:rPr>
          <w:b/>
        </w:rPr>
        <w:t>G:</w:t>
      </w:r>
      <w:r>
        <w:t xml:space="preserve"> Algo entiendo y sino me lo traduzco</w:t>
      </w:r>
    </w:p>
    <w:p w:rsidR="00224567" w:rsidRDefault="00224567">
      <w:pPr>
        <w:widowControl w:val="0"/>
        <w:numPr>
          <w:ilvl w:val="0"/>
          <w:numId w:val="6"/>
        </w:numPr>
        <w:tabs>
          <w:tab w:val="left" w:pos="0"/>
          <w:tab w:val="left" w:pos="2835"/>
        </w:tabs>
      </w:pPr>
      <w:r>
        <w:rPr>
          <w:b/>
        </w:rPr>
        <w:t>B:</w:t>
      </w:r>
      <w:r>
        <w:t xml:space="preserve"> El lunes te lo mando y... lo otro, que te había hecho llegar esta gente, ¿pudiste trabajar algo?</w:t>
      </w:r>
    </w:p>
    <w:p w:rsidR="00224567" w:rsidRDefault="00224567">
      <w:pPr>
        <w:widowControl w:val="0"/>
        <w:numPr>
          <w:ilvl w:val="0"/>
          <w:numId w:val="6"/>
        </w:numPr>
        <w:tabs>
          <w:tab w:val="left" w:pos="0"/>
          <w:tab w:val="left" w:pos="2835"/>
        </w:tabs>
      </w:pPr>
      <w:r>
        <w:rPr>
          <w:b/>
        </w:rPr>
        <w:t>G:</w:t>
      </w:r>
      <w:r>
        <w:t xml:space="preserve"> Perdoname? Perdoname que estoy sin frecuencia de radio, no te entiendo.</w:t>
      </w:r>
    </w:p>
    <w:p w:rsidR="00224567" w:rsidRDefault="00224567">
      <w:pPr>
        <w:widowControl w:val="0"/>
        <w:numPr>
          <w:ilvl w:val="0"/>
          <w:numId w:val="6"/>
        </w:numPr>
        <w:tabs>
          <w:tab w:val="left" w:pos="0"/>
          <w:tab w:val="left" w:pos="2835"/>
        </w:tabs>
      </w:pPr>
      <w:r>
        <w:rPr>
          <w:b/>
        </w:rPr>
        <w:t>B:</w:t>
      </w:r>
      <w:r>
        <w:t xml:space="preserve"> El mail</w:t>
      </w:r>
    </w:p>
    <w:p w:rsidR="00224567" w:rsidRDefault="00224567">
      <w:pPr>
        <w:widowControl w:val="0"/>
        <w:numPr>
          <w:ilvl w:val="0"/>
          <w:numId w:val="6"/>
        </w:numPr>
        <w:tabs>
          <w:tab w:val="left" w:pos="0"/>
          <w:tab w:val="left" w:pos="2835"/>
        </w:tabs>
      </w:pPr>
      <w:r>
        <w:rPr>
          <w:b/>
        </w:rPr>
        <w:t>G:</w:t>
      </w:r>
      <w:r>
        <w:t xml:space="preserve"> Si, bueno si, se mandó a hacer.</w:t>
      </w:r>
    </w:p>
    <w:p w:rsidR="00224567" w:rsidRDefault="00224567">
      <w:pPr>
        <w:widowControl w:val="0"/>
        <w:numPr>
          <w:ilvl w:val="0"/>
          <w:numId w:val="6"/>
        </w:numPr>
        <w:tabs>
          <w:tab w:val="left" w:pos="0"/>
          <w:tab w:val="left" w:pos="2835"/>
        </w:tabs>
      </w:pPr>
      <w:r>
        <w:rPr>
          <w:b/>
        </w:rPr>
        <w:t>B:</w:t>
      </w:r>
      <w:r>
        <w:t xml:space="preserve"> Ah</w:t>
      </w:r>
    </w:p>
    <w:p w:rsidR="00224567" w:rsidRDefault="00224567">
      <w:pPr>
        <w:widowControl w:val="0"/>
        <w:numPr>
          <w:ilvl w:val="0"/>
          <w:numId w:val="6"/>
        </w:numPr>
        <w:tabs>
          <w:tab w:val="left" w:pos="0"/>
          <w:tab w:val="left" w:pos="2835"/>
        </w:tabs>
      </w:pPr>
      <w:r>
        <w:rPr>
          <w:b/>
        </w:rPr>
        <w:t>G:</w:t>
      </w:r>
      <w:r>
        <w:t xml:space="preserve"> Todo lo que hay que hacer, se mandó a hacer.</w:t>
      </w:r>
    </w:p>
    <w:p w:rsidR="00224567" w:rsidRDefault="00224567">
      <w:pPr>
        <w:widowControl w:val="0"/>
        <w:numPr>
          <w:ilvl w:val="0"/>
          <w:numId w:val="6"/>
        </w:numPr>
        <w:tabs>
          <w:tab w:val="left" w:pos="0"/>
          <w:tab w:val="left" w:pos="2835"/>
        </w:tabs>
      </w:pPr>
      <w:r>
        <w:rPr>
          <w:b/>
        </w:rPr>
        <w:t>B:</w:t>
      </w:r>
      <w:r>
        <w:t xml:space="preserve"> Esta bien</w:t>
      </w:r>
    </w:p>
    <w:p w:rsidR="00224567" w:rsidRDefault="00224567">
      <w:pPr>
        <w:widowControl w:val="0"/>
        <w:numPr>
          <w:ilvl w:val="0"/>
          <w:numId w:val="6"/>
        </w:numPr>
        <w:tabs>
          <w:tab w:val="left" w:pos="0"/>
          <w:tab w:val="left" w:pos="2835"/>
        </w:tabs>
      </w:pPr>
      <w:r>
        <w:rPr>
          <w:b/>
        </w:rPr>
        <w:t>G:</w:t>
      </w:r>
      <w:r>
        <w:t xml:space="preserve"> Lo puse al “Fino” a trabajar</w:t>
      </w:r>
    </w:p>
    <w:p w:rsidR="00224567" w:rsidRDefault="00224567">
      <w:pPr>
        <w:widowControl w:val="0"/>
        <w:numPr>
          <w:ilvl w:val="0"/>
          <w:numId w:val="6"/>
        </w:numPr>
        <w:tabs>
          <w:tab w:val="left" w:pos="0"/>
          <w:tab w:val="left" w:pos="2835"/>
        </w:tabs>
      </w:pPr>
      <w:r>
        <w:rPr>
          <w:b/>
        </w:rPr>
        <w:t>B:</w:t>
      </w:r>
      <w:r>
        <w:t xml:space="preserve"> Esta bien... ¿Él le dio importancia? ¿o le par</w:t>
      </w:r>
      <w:r>
        <w:t>e</w:t>
      </w:r>
      <w:r>
        <w:t>ció...?</w:t>
      </w:r>
    </w:p>
    <w:p w:rsidR="00224567" w:rsidRDefault="00224567">
      <w:pPr>
        <w:widowControl w:val="0"/>
        <w:numPr>
          <w:ilvl w:val="0"/>
          <w:numId w:val="6"/>
        </w:numPr>
        <w:tabs>
          <w:tab w:val="left" w:pos="0"/>
          <w:tab w:val="left" w:pos="2835"/>
        </w:tabs>
      </w:pPr>
      <w:r>
        <w:rPr>
          <w:b/>
        </w:rPr>
        <w:t>G:</w:t>
      </w:r>
      <w:r>
        <w:t xml:space="preserve"> no, no, no; yo le dije que era importante, le p</w:t>
      </w:r>
      <w:r>
        <w:t>e</w:t>
      </w:r>
      <w:r>
        <w:t>dí que se ocupe.</w:t>
      </w:r>
    </w:p>
    <w:p w:rsidR="00224567" w:rsidRDefault="00224567">
      <w:pPr>
        <w:widowControl w:val="0"/>
        <w:numPr>
          <w:ilvl w:val="0"/>
          <w:numId w:val="6"/>
        </w:numPr>
        <w:tabs>
          <w:tab w:val="left" w:pos="0"/>
          <w:tab w:val="left" w:pos="2835"/>
        </w:tabs>
      </w:pPr>
      <w:r>
        <w:rPr>
          <w:b/>
        </w:rPr>
        <w:t>B:</w:t>
      </w:r>
      <w:r>
        <w:t xml:space="preserve"> Bueno</w:t>
      </w:r>
    </w:p>
    <w:p w:rsidR="00224567" w:rsidRDefault="00224567">
      <w:pPr>
        <w:widowControl w:val="0"/>
        <w:numPr>
          <w:ilvl w:val="0"/>
          <w:numId w:val="6"/>
        </w:numPr>
        <w:tabs>
          <w:tab w:val="left" w:pos="0"/>
          <w:tab w:val="left" w:pos="2835"/>
        </w:tabs>
      </w:pPr>
      <w:r>
        <w:rPr>
          <w:b/>
        </w:rPr>
        <w:t>G:</w:t>
      </w:r>
      <w:r>
        <w:t xml:space="preserve"> Me vino a ver Jorge y me dijo que tenía mas i</w:t>
      </w:r>
      <w:r>
        <w:t>n</w:t>
      </w:r>
      <w:r>
        <w:t>formación</w:t>
      </w:r>
    </w:p>
    <w:p w:rsidR="00224567" w:rsidRDefault="00224567">
      <w:pPr>
        <w:widowControl w:val="0"/>
        <w:numPr>
          <w:ilvl w:val="0"/>
          <w:numId w:val="6"/>
        </w:numPr>
        <w:tabs>
          <w:tab w:val="left" w:pos="0"/>
          <w:tab w:val="left" w:pos="2835"/>
        </w:tabs>
      </w:pPr>
      <w:r>
        <w:rPr>
          <w:b/>
        </w:rPr>
        <w:t>B:</w:t>
      </w:r>
      <w:r>
        <w:t xml:space="preserve"> Aquí está conmigo y me dice que va a ir el l</w:t>
      </w:r>
      <w:r>
        <w:t>u</w:t>
      </w:r>
      <w:r>
        <w:t>nes</w:t>
      </w:r>
    </w:p>
    <w:p w:rsidR="00224567" w:rsidRDefault="00224567">
      <w:pPr>
        <w:widowControl w:val="0"/>
        <w:numPr>
          <w:ilvl w:val="0"/>
          <w:numId w:val="6"/>
        </w:numPr>
        <w:tabs>
          <w:tab w:val="left" w:pos="0"/>
          <w:tab w:val="left" w:pos="2835"/>
        </w:tabs>
      </w:pPr>
      <w:r>
        <w:rPr>
          <w:b/>
        </w:rPr>
        <w:t>G:</w:t>
      </w:r>
      <w:r>
        <w:t xml:space="preserve"> Pero, pero yo no quiero que venga, yo quiero que siga el mismo sistema</w:t>
      </w:r>
    </w:p>
    <w:p w:rsidR="00224567" w:rsidRDefault="00224567">
      <w:pPr>
        <w:widowControl w:val="0"/>
        <w:numPr>
          <w:ilvl w:val="0"/>
          <w:numId w:val="6"/>
        </w:numPr>
        <w:tabs>
          <w:tab w:val="left" w:pos="0"/>
          <w:tab w:val="left" w:pos="2835"/>
        </w:tabs>
      </w:pPr>
      <w:r>
        <w:rPr>
          <w:b/>
        </w:rPr>
        <w:t>B:</w:t>
      </w:r>
      <w:r>
        <w:t xml:space="preserve"> Ahhh, bueno, ahora le digo</w:t>
      </w:r>
    </w:p>
    <w:p w:rsidR="00224567" w:rsidRDefault="00224567">
      <w:pPr>
        <w:widowControl w:val="0"/>
        <w:numPr>
          <w:ilvl w:val="0"/>
          <w:numId w:val="6"/>
        </w:numPr>
        <w:tabs>
          <w:tab w:val="left" w:pos="0"/>
          <w:tab w:val="left" w:pos="2835"/>
        </w:tabs>
      </w:pPr>
      <w:r>
        <w:rPr>
          <w:b/>
        </w:rPr>
        <w:t>G:</w:t>
      </w:r>
      <w:r>
        <w:t xml:space="preserve"> Me entendés?</w:t>
      </w:r>
    </w:p>
    <w:p w:rsidR="00224567" w:rsidRDefault="00224567">
      <w:pPr>
        <w:widowControl w:val="0"/>
        <w:numPr>
          <w:ilvl w:val="0"/>
          <w:numId w:val="6"/>
        </w:numPr>
        <w:tabs>
          <w:tab w:val="left" w:pos="0"/>
          <w:tab w:val="left" w:pos="2835"/>
        </w:tabs>
      </w:pPr>
      <w:r>
        <w:rPr>
          <w:b/>
        </w:rPr>
        <w:t>B:</w:t>
      </w:r>
      <w:r>
        <w:t xml:space="preserve"> OK</w:t>
      </w:r>
    </w:p>
    <w:p w:rsidR="00224567" w:rsidRDefault="00224567">
      <w:pPr>
        <w:widowControl w:val="0"/>
        <w:numPr>
          <w:ilvl w:val="0"/>
          <w:numId w:val="6"/>
        </w:numPr>
        <w:tabs>
          <w:tab w:val="left" w:pos="0"/>
          <w:tab w:val="left" w:pos="2835"/>
        </w:tabs>
      </w:pPr>
      <w:r>
        <w:rPr>
          <w:b/>
        </w:rPr>
        <w:t>G:</w:t>
      </w:r>
      <w:r>
        <w:t xml:space="preserve"> y que no lo haga desde un lugar donde se pueda ubicar</w:t>
      </w:r>
    </w:p>
    <w:p w:rsidR="00224567" w:rsidRDefault="00224567">
      <w:pPr>
        <w:widowControl w:val="0"/>
        <w:numPr>
          <w:ilvl w:val="0"/>
          <w:numId w:val="6"/>
        </w:numPr>
        <w:tabs>
          <w:tab w:val="left" w:pos="0"/>
          <w:tab w:val="left" w:pos="2835"/>
        </w:tabs>
      </w:pPr>
      <w:r>
        <w:rPr>
          <w:b/>
        </w:rPr>
        <w:t>B:</w:t>
      </w:r>
      <w:r>
        <w:t xml:space="preserve"> entendí, entendí, entendí. Una cosa prolija, e</w:t>
      </w:r>
      <w:r>
        <w:t>n</w:t>
      </w:r>
      <w:r>
        <w:t>tendí</w:t>
      </w:r>
    </w:p>
    <w:p w:rsidR="00224567" w:rsidRDefault="00224567">
      <w:pPr>
        <w:widowControl w:val="0"/>
        <w:numPr>
          <w:ilvl w:val="0"/>
          <w:numId w:val="6"/>
        </w:numPr>
        <w:tabs>
          <w:tab w:val="left" w:pos="0"/>
          <w:tab w:val="left" w:pos="2835"/>
        </w:tabs>
      </w:pPr>
      <w:r>
        <w:rPr>
          <w:b/>
        </w:rPr>
        <w:t>G:</w:t>
      </w:r>
      <w:r>
        <w:t xml:space="preserve"> Hay tantos bares, y tantos.. donde si el tipo quiere mandar un “i”..., lo que quiera mandar que lo mande de la misma manera, con los mismos cód</w:t>
      </w:r>
      <w:r>
        <w:t>i</w:t>
      </w:r>
      <w:r>
        <w:t>gos,</w:t>
      </w:r>
    </w:p>
    <w:p w:rsidR="00224567" w:rsidRDefault="00224567">
      <w:pPr>
        <w:widowControl w:val="0"/>
        <w:numPr>
          <w:ilvl w:val="0"/>
          <w:numId w:val="6"/>
        </w:numPr>
        <w:tabs>
          <w:tab w:val="left" w:pos="0"/>
          <w:tab w:val="left" w:pos="2835"/>
        </w:tabs>
      </w:pPr>
      <w:r>
        <w:rPr>
          <w:b/>
        </w:rPr>
        <w:t>B:</w:t>
      </w:r>
      <w:r>
        <w:t xml:space="preserve"> Entendido</w:t>
      </w:r>
    </w:p>
    <w:p w:rsidR="00224567" w:rsidRDefault="00224567">
      <w:pPr>
        <w:widowControl w:val="0"/>
        <w:numPr>
          <w:ilvl w:val="0"/>
          <w:numId w:val="6"/>
        </w:numPr>
        <w:tabs>
          <w:tab w:val="left" w:pos="0"/>
          <w:tab w:val="left" w:pos="2835"/>
        </w:tabs>
      </w:pPr>
      <w:r>
        <w:rPr>
          <w:b/>
        </w:rPr>
        <w:t>G:</w:t>
      </w:r>
      <w:r>
        <w:t xml:space="preserve"> eh, sino, pierde sustancia</w:t>
      </w:r>
    </w:p>
    <w:p w:rsidR="00224567" w:rsidRDefault="00224567">
      <w:pPr>
        <w:widowControl w:val="0"/>
        <w:numPr>
          <w:ilvl w:val="0"/>
          <w:numId w:val="6"/>
        </w:numPr>
        <w:tabs>
          <w:tab w:val="left" w:pos="0"/>
          <w:tab w:val="left" w:pos="2835"/>
        </w:tabs>
      </w:pPr>
      <w:r>
        <w:rPr>
          <w:b/>
        </w:rPr>
        <w:t>B:</w:t>
      </w:r>
      <w:r>
        <w:t xml:space="preserve"> Claro, claro, “hay poca”¿? distracción ahí</w:t>
      </w:r>
    </w:p>
    <w:p w:rsidR="00224567" w:rsidRDefault="00224567">
      <w:pPr>
        <w:widowControl w:val="0"/>
        <w:numPr>
          <w:ilvl w:val="0"/>
          <w:numId w:val="6"/>
        </w:numPr>
        <w:tabs>
          <w:tab w:val="left" w:pos="0"/>
          <w:tab w:val="left" w:pos="2835"/>
        </w:tabs>
      </w:pPr>
      <w:r>
        <w:rPr>
          <w:b/>
        </w:rPr>
        <w:t>G:</w:t>
      </w:r>
      <w:r>
        <w:t xml:space="preserve"> Me da la impresión a mí?</w:t>
      </w:r>
    </w:p>
    <w:p w:rsidR="00224567" w:rsidRDefault="00224567">
      <w:pPr>
        <w:widowControl w:val="0"/>
        <w:numPr>
          <w:ilvl w:val="0"/>
          <w:numId w:val="6"/>
        </w:numPr>
        <w:tabs>
          <w:tab w:val="left" w:pos="0"/>
          <w:tab w:val="left" w:pos="2835"/>
        </w:tabs>
      </w:pPr>
      <w:r>
        <w:rPr>
          <w:b/>
        </w:rPr>
        <w:t>B:</w:t>
      </w:r>
      <w:r>
        <w:t xml:space="preserve"> Estoy de acuerdo, estoy de acuerdo Me parece muy prolijo. Te mando un abrazo y buen fin de s</w:t>
      </w:r>
      <w:r>
        <w:t>e</w:t>
      </w:r>
      <w:r>
        <w:t>mana</w:t>
      </w:r>
    </w:p>
    <w:p w:rsidR="00224567" w:rsidRDefault="00224567">
      <w:pPr>
        <w:widowControl w:val="0"/>
        <w:numPr>
          <w:ilvl w:val="0"/>
          <w:numId w:val="6"/>
        </w:numPr>
        <w:tabs>
          <w:tab w:val="left" w:pos="0"/>
          <w:tab w:val="left" w:pos="2835"/>
        </w:tabs>
      </w:pPr>
      <w:r>
        <w:rPr>
          <w:b/>
        </w:rPr>
        <w:t>G:</w:t>
      </w:r>
      <w:r>
        <w:t xml:space="preserve"> Igualmente para vos y... (Superposición de v</w:t>
      </w:r>
      <w:r>
        <w:t>o</w:t>
      </w:r>
      <w:r>
        <w:t>ces imp</w:t>
      </w:r>
      <w:r>
        <w:t>o</w:t>
      </w:r>
      <w:r>
        <w:t>sible de escuchar)... porque me gustaría que vos hagas los contactos allá, para hablar con la gente adecuada</w:t>
      </w:r>
    </w:p>
    <w:p w:rsidR="00224567" w:rsidRDefault="00224567">
      <w:pPr>
        <w:widowControl w:val="0"/>
        <w:numPr>
          <w:ilvl w:val="0"/>
          <w:numId w:val="6"/>
        </w:numPr>
        <w:tabs>
          <w:tab w:val="left" w:pos="0"/>
          <w:tab w:val="left" w:pos="2835"/>
        </w:tabs>
      </w:pPr>
      <w:r>
        <w:rPr>
          <w:b/>
        </w:rPr>
        <w:t>B:</w:t>
      </w:r>
      <w:r>
        <w:t xml:space="preserve"> De acuerdo</w:t>
      </w:r>
    </w:p>
    <w:p w:rsidR="00224567" w:rsidRDefault="00224567">
      <w:pPr>
        <w:widowControl w:val="0"/>
        <w:numPr>
          <w:ilvl w:val="0"/>
          <w:numId w:val="6"/>
        </w:numPr>
        <w:tabs>
          <w:tab w:val="left" w:pos="0"/>
          <w:tab w:val="left" w:pos="2835"/>
        </w:tabs>
      </w:pPr>
      <w:r>
        <w:rPr>
          <w:b/>
        </w:rPr>
        <w:t>G:</w:t>
      </w:r>
      <w:r>
        <w:t xml:space="preserve"> Ok.</w:t>
      </w:r>
    </w:p>
    <w:p w:rsidR="00224567" w:rsidRDefault="00224567">
      <w:pPr>
        <w:widowControl w:val="0"/>
        <w:tabs>
          <w:tab w:val="left" w:pos="0"/>
          <w:tab w:val="left" w:pos="2835"/>
        </w:tabs>
        <w:ind w:firstLine="2880"/>
      </w:pPr>
      <w:r>
        <w:t>Se despiden con un abrazo.</w:t>
      </w:r>
    </w:p>
    <w:p w:rsidR="00224567" w:rsidRDefault="00224567">
      <w:pPr>
        <w:widowControl w:val="0"/>
        <w:tabs>
          <w:tab w:val="left" w:pos="0"/>
          <w:tab w:val="left" w:pos="2835"/>
        </w:tabs>
      </w:pPr>
    </w:p>
    <w:p w:rsidR="00224567" w:rsidRDefault="00224567">
      <w:pPr>
        <w:pStyle w:val="Ttulo2"/>
      </w:pPr>
      <w:r>
        <w:t>CAPÍTULO IX</w:t>
      </w:r>
    </w:p>
    <w:p w:rsidR="00224567" w:rsidRDefault="00224567">
      <w:pPr>
        <w:pStyle w:val="Textoindependiente"/>
        <w:spacing w:line="600" w:lineRule="auto"/>
        <w:rPr>
          <w:lang w:val="es-ES"/>
        </w:rPr>
      </w:pPr>
    </w:p>
    <w:p w:rsidR="00224567" w:rsidRDefault="00224567">
      <w:pPr>
        <w:widowControl w:val="0"/>
        <w:tabs>
          <w:tab w:val="left" w:pos="2835"/>
        </w:tabs>
        <w:rPr>
          <w:lang w:val="es-MX"/>
        </w:rPr>
      </w:pPr>
      <w:r>
        <w:rPr>
          <w:lang w:val="es-ES_tradnl"/>
        </w:rPr>
        <w:tab/>
      </w:r>
      <w:r>
        <w:rPr>
          <w:b/>
          <w:bCs/>
          <w:lang w:val="es-ES_tradnl"/>
        </w:rPr>
        <w:t>A)</w:t>
      </w:r>
      <w:r>
        <w:rPr>
          <w:lang w:val="es-ES_tradnl"/>
        </w:rPr>
        <w:t xml:space="preserve"> La defensa de Carlos Alberto T</w:t>
      </w:r>
      <w:r>
        <w:rPr>
          <w:lang w:val="es-ES_tradnl"/>
        </w:rPr>
        <w:t>e</w:t>
      </w:r>
      <w:r>
        <w:rPr>
          <w:lang w:val="es-ES_tradnl"/>
        </w:rPr>
        <w:t xml:space="preserve">lleldín impetró la nulidad del allanamiento de República 107 de Villa Ballester, realizado a fs. </w:t>
      </w:r>
      <w:r>
        <w:rPr>
          <w:rFonts w:eastAsia="Arial Unicode MS"/>
          <w:spacing w:val="-3"/>
          <w:lang w:val="es-ES_tradnl"/>
        </w:rPr>
        <w:t>417/418, por co</w:t>
      </w:r>
      <w:r>
        <w:rPr>
          <w:rFonts w:eastAsia="Arial Unicode MS"/>
          <w:spacing w:val="-3"/>
          <w:lang w:val="es-ES_tradnl"/>
        </w:rPr>
        <w:t>n</w:t>
      </w:r>
      <w:r>
        <w:rPr>
          <w:rFonts w:eastAsia="Arial Unicode MS"/>
          <w:spacing w:val="-3"/>
          <w:lang w:val="es-ES_tradnl"/>
        </w:rPr>
        <w:t xml:space="preserve">siderar que el auto que lo dispuso </w:t>
      </w:r>
      <w:r>
        <w:rPr>
          <w:lang w:val="es-MX"/>
        </w:rPr>
        <w:t>carece de fundament</w:t>
      </w:r>
      <w:r>
        <w:rPr>
          <w:lang w:val="es-MX"/>
        </w:rPr>
        <w:t>a</w:t>
      </w:r>
      <w:r>
        <w:rPr>
          <w:lang w:val="es-MX"/>
        </w:rPr>
        <w:t>ción y ni siquiera se remite a las constancia de la causa. Además, porque el ingreso del personal policial en la v</w:t>
      </w:r>
      <w:r>
        <w:rPr>
          <w:lang w:val="es-MX"/>
        </w:rPr>
        <w:t>i</w:t>
      </w:r>
      <w:r>
        <w:rPr>
          <w:lang w:val="es-MX"/>
        </w:rPr>
        <w:t>vienda se produjo cuando aún no había sido librado el e</w:t>
      </w:r>
      <w:r>
        <w:rPr>
          <w:lang w:val="es-MX"/>
        </w:rPr>
        <w:t>x</w:t>
      </w:r>
      <w:r>
        <w:rPr>
          <w:lang w:val="es-MX"/>
        </w:rPr>
        <w:t>horto al juez del lugar para realizar el cateo. Amplió, en ese sentido, que la orden de allanar la vivienda de Rep</w:t>
      </w:r>
      <w:r>
        <w:rPr>
          <w:lang w:val="es-MX"/>
        </w:rPr>
        <w:t>ú</w:t>
      </w:r>
      <w:r>
        <w:rPr>
          <w:lang w:val="es-MX"/>
        </w:rPr>
        <w:t>blica 107 fue emitida por el juez exhortado con anterior</w:t>
      </w:r>
      <w:r>
        <w:rPr>
          <w:lang w:val="es-MX"/>
        </w:rPr>
        <w:t>i</w:t>
      </w:r>
      <w:r>
        <w:rPr>
          <w:lang w:val="es-MX"/>
        </w:rPr>
        <w:t>dad a rec</w:t>
      </w:r>
      <w:r>
        <w:rPr>
          <w:lang w:val="es-MX"/>
        </w:rPr>
        <w:t>i</w:t>
      </w:r>
      <w:r>
        <w:rPr>
          <w:lang w:val="es-MX"/>
        </w:rPr>
        <w:t>bir la solicitud por parte del instructor.</w:t>
      </w:r>
    </w:p>
    <w:p w:rsidR="00224567" w:rsidRDefault="00224567">
      <w:pPr>
        <w:widowControl w:val="0"/>
        <w:tabs>
          <w:tab w:val="left" w:pos="2835"/>
        </w:tabs>
        <w:rPr>
          <w:lang w:val="es-MX"/>
        </w:rPr>
      </w:pPr>
      <w:r>
        <w:rPr>
          <w:lang w:val="es-MX"/>
        </w:rPr>
        <w:tab/>
        <w:t>Corresponde decir que el primer extr</w:t>
      </w:r>
      <w:r>
        <w:rPr>
          <w:lang w:val="es-MX"/>
        </w:rPr>
        <w:t>e</w:t>
      </w:r>
      <w:r>
        <w:rPr>
          <w:lang w:val="es-MX"/>
        </w:rPr>
        <w:t>mo señalado es cierto, en razón que de la compulsa de las constancias agregadas a la causa, entre las fs. 215 y 1029, correspondientes a lo actuado entre el 25 y el 28 de julio de 1994 -fechas del hallazgo del motor y del allan</w:t>
      </w:r>
      <w:r>
        <w:rPr>
          <w:lang w:val="es-MX"/>
        </w:rPr>
        <w:t>a</w:t>
      </w:r>
      <w:r>
        <w:rPr>
          <w:lang w:val="es-MX"/>
        </w:rPr>
        <w:t>miento de República 107- no existe ningún auto del juez que ordene la medida atacada, en oposición a lo establec</w:t>
      </w:r>
      <w:r>
        <w:rPr>
          <w:lang w:val="es-MX"/>
        </w:rPr>
        <w:t>i</w:t>
      </w:r>
      <w:r>
        <w:rPr>
          <w:lang w:val="es-MX"/>
        </w:rPr>
        <w:t>do en el art. 224 del C.P.P.N.</w:t>
      </w:r>
    </w:p>
    <w:p w:rsidR="00224567" w:rsidRDefault="00224567">
      <w:pPr>
        <w:widowControl w:val="0"/>
        <w:tabs>
          <w:tab w:val="left" w:pos="2835"/>
        </w:tabs>
      </w:pPr>
      <w:r>
        <w:rPr>
          <w:lang w:val="es-MX"/>
        </w:rPr>
        <w:tab/>
      </w:r>
      <w:r>
        <w:t>Además, la irregularidad verificada en punto a la ausencia del auto que dispuso el allanamiento se torna aún más grave a poco que se repare que el juez, refrendado por su secretaria, transcribió “como recaudo legal” en el exhorto de fs. 2095/2096 un decreto con una fecha y contenido que no pudo ser hall</w:t>
      </w:r>
      <w:r>
        <w:t>a</w:t>
      </w:r>
      <w:r>
        <w:t>do.</w:t>
      </w:r>
    </w:p>
    <w:p w:rsidR="00224567" w:rsidRDefault="00224567">
      <w:pPr>
        <w:widowControl w:val="0"/>
        <w:tabs>
          <w:tab w:val="left" w:pos="2835"/>
        </w:tabs>
      </w:pPr>
      <w:r>
        <w:tab/>
        <w:t>No obstante ello, el tribunal advie</w:t>
      </w:r>
      <w:r>
        <w:t>r</w:t>
      </w:r>
      <w:r>
        <w:t>te otras circunstancias que se conjugan para resolver en fo</w:t>
      </w:r>
      <w:r>
        <w:t>r</w:t>
      </w:r>
      <w:r>
        <w:t>ma afirmativa, si bien por un motivo diferente al alegado, la nulidad impetrada.</w:t>
      </w:r>
    </w:p>
    <w:p w:rsidR="00224567" w:rsidRDefault="00224567">
      <w:pPr>
        <w:widowControl w:val="0"/>
        <w:tabs>
          <w:tab w:val="left" w:pos="2835"/>
        </w:tabs>
      </w:pPr>
      <w:r>
        <w:tab/>
        <w:t>En efecto, la prueba producida en el debate permitió echar luz acerca de actos de investig</w:t>
      </w:r>
      <w:r>
        <w:t>a</w:t>
      </w:r>
      <w:r>
        <w:t>ción realizados el 26 y 27 de julio de 1994 por el pe</w:t>
      </w:r>
      <w:r>
        <w:t>r</w:t>
      </w:r>
      <w:r>
        <w:t xml:space="preserve">sonal de </w:t>
      </w:r>
      <w:smartTag w:uri="urn:schemas-microsoft-com:office:smarttags" w:element="PersonName">
        <w:smartTagPr>
          <w:attr w:name="ProductID" w:val="la Secretar￭a"/>
        </w:smartTagPr>
        <w:r>
          <w:t>la Secretaría</w:t>
        </w:r>
      </w:smartTag>
      <w:r>
        <w:t xml:space="preserve"> de Inteligencia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w:t>
        </w:r>
        <w:r>
          <w:t>a</w:t>
        </w:r>
        <w:r>
          <w:t>ción</w:t>
        </w:r>
      </w:smartTag>
      <w:r>
        <w:t xml:space="preserve"> y del Departamento Protección del Orden Constituci</w:t>
      </w:r>
      <w:r>
        <w:t>o</w:t>
      </w:r>
      <w:r>
        <w:t xml:space="preserve">nal (D.P.O.C.) de </w:t>
      </w:r>
      <w:smartTag w:uri="urn:schemas-microsoft-com:office:smarttags" w:element="PersonName">
        <w:smartTagPr>
          <w:attr w:name="ProductID" w:val="la Polic￭a Federal"/>
        </w:smartTagPr>
        <w:r>
          <w:t>la Policía Federal</w:t>
        </w:r>
      </w:smartTag>
      <w:r>
        <w:t xml:space="preserve"> Argentina en el dom</w:t>
      </w:r>
      <w:r>
        <w:t>i</w:t>
      </w:r>
      <w:r>
        <w:t>cilio de Carlos Alberto Telleldín, previo a realizar el allanamiento cuestionado; diligencias éstas que, en las actuaciones de la instrucción, se mantuvieron ocultas.</w:t>
      </w:r>
    </w:p>
    <w:p w:rsidR="00224567" w:rsidRDefault="00224567">
      <w:pPr>
        <w:widowControl w:val="0"/>
        <w:tabs>
          <w:tab w:val="left" w:pos="2835"/>
        </w:tabs>
      </w:pPr>
      <w:r>
        <w:tab/>
        <w:t>Así, corresponde repasar los testim</w:t>
      </w:r>
      <w:r>
        <w:t>o</w:t>
      </w:r>
      <w:r>
        <w:t>nios que, al respecto, se produjeron en el juicio oral y público.</w:t>
      </w:r>
    </w:p>
    <w:p w:rsidR="00224567" w:rsidRDefault="00224567">
      <w:pPr>
        <w:widowControl w:val="0"/>
        <w:tabs>
          <w:tab w:val="left" w:pos="2835"/>
        </w:tabs>
      </w:pPr>
      <w:r>
        <w:tab/>
        <w:t>Horacio Antonio Stiuso manifestó que, aproximadamente a las 19.00 del 25 de julio, el personal del ejército israelí le avisó por teléfono que un bloque de motor había sido hallado entre los escombros del edif</w:t>
      </w:r>
      <w:r>
        <w:t>i</w:t>
      </w:r>
      <w:r>
        <w:t>cio y le aportó su número identificatorio.</w:t>
      </w:r>
    </w:p>
    <w:p w:rsidR="00224567" w:rsidRDefault="00224567">
      <w:pPr>
        <w:widowControl w:val="0"/>
        <w:tabs>
          <w:tab w:val="left" w:pos="2835"/>
        </w:tabs>
      </w:pPr>
      <w:r>
        <w:tab/>
        <w:t>La búsqueda en los listados de las c</w:t>
      </w:r>
      <w:r>
        <w:t>a</w:t>
      </w:r>
      <w:r>
        <w:t xml:space="preserve">mionetas modelo Trafic por el número de motor fue casi instantánea. Así fue que se determinó que su titular era una persona de apellido Messin, domiciliado en la calle Paraná, donde se constituyó personal de </w:t>
      </w:r>
      <w:smartTag w:uri="urn:schemas-microsoft-com:office:smarttags" w:element="PersonName">
        <w:smartTagPr>
          <w:attr w:name="ProductID" w:val="la S.I"/>
        </w:smartTagPr>
        <w:r>
          <w:t>la S.I</w:t>
        </w:r>
      </w:smartTag>
      <w:r>
        <w:t>.D.E.; sup</w:t>
      </w:r>
      <w:r>
        <w:t>u</w:t>
      </w:r>
      <w:r>
        <w:t>so el testigo que la diligencia se real</w:t>
      </w:r>
      <w:r>
        <w:t>i</w:t>
      </w:r>
      <w:r>
        <w:t>zó a las 19.30 de ese mismo día.</w:t>
      </w:r>
    </w:p>
    <w:p w:rsidR="00224567" w:rsidRDefault="00224567">
      <w:pPr>
        <w:widowControl w:val="0"/>
        <w:tabs>
          <w:tab w:val="left" w:pos="2835"/>
        </w:tabs>
      </w:pPr>
      <w:r>
        <w:tab/>
        <w:t>Prosiguió relatando que en ese lugar les indicaron que el titular del rodado se encontraba a la vuelta, por la avenida Santa Fe, donde se obtuvo el dato de que la camioneta había sufrido un incendio a principios de año. Esa misma noche, también se convocó a los emple</w:t>
      </w:r>
      <w:r>
        <w:t>a</w:t>
      </w:r>
      <w:r>
        <w:t xml:space="preserve">dos de </w:t>
      </w:r>
      <w:smartTag w:uri="urn:schemas-microsoft-com:office:smarttags" w:element="PersonName">
        <w:smartTagPr>
          <w:attr w:name="ProductID" w:val="la Compa￱￭a Aseguradora"/>
        </w:smartTagPr>
        <w:r>
          <w:t>la Compañía Aseguradora</w:t>
        </w:r>
      </w:smartTag>
      <w:r>
        <w:t xml:space="preserve"> “Juncal”, quienes inform</w:t>
      </w:r>
      <w:r>
        <w:t>a</w:t>
      </w:r>
      <w:r>
        <w:t>ron que la camioneta había sido vendida a “Alejandro Aut</w:t>
      </w:r>
      <w:r>
        <w:t>o</w:t>
      </w:r>
      <w:r>
        <w:t>motores”. Por tal motivo, ordenó que concurriera una com</w:t>
      </w:r>
      <w:r>
        <w:t>i</w:t>
      </w:r>
      <w:r>
        <w:t>sión a la agencia de automóviles y, debido a que solamente estaban presentes los serenos del lugar, regresaron sin obtener información.</w:t>
      </w:r>
    </w:p>
    <w:p w:rsidR="00224567" w:rsidRDefault="00224567">
      <w:pPr>
        <w:widowControl w:val="0"/>
        <w:tabs>
          <w:tab w:val="left" w:pos="2835"/>
        </w:tabs>
      </w:pPr>
      <w:r>
        <w:tab/>
        <w:t>A la madrugada o a la mañana siguie</w:t>
      </w:r>
      <w:r>
        <w:t>n</w:t>
      </w:r>
      <w:r>
        <w:t xml:space="preserve">te se allanó la agencia con personal del D.P.O.C. y de </w:t>
      </w:r>
      <w:smartTag w:uri="urn:schemas-microsoft-com:office:smarttags" w:element="PersonName">
        <w:smartTagPr>
          <w:attr w:name="ProductID" w:val="la S.I"/>
        </w:smartTagPr>
        <w:r>
          <w:t>la S.I</w:t>
        </w:r>
      </w:smartTag>
      <w:r>
        <w:t>.D.E., donde se obtuvo la factura de venta de la cami</w:t>
      </w:r>
      <w:r>
        <w:t>o</w:t>
      </w:r>
      <w:r>
        <w:t xml:space="preserve">neta, fechada el 4 de julio de </w:t>
      </w:r>
      <w:smartTag w:uri="urn:schemas-microsoft-com:office:smarttags" w:element="metricconverter">
        <w:smartTagPr>
          <w:attr w:name="ProductID" w:val="1994, a"/>
        </w:smartTagPr>
        <w:r>
          <w:t>1994, a</w:t>
        </w:r>
      </w:smartTag>
      <w:r>
        <w:t xml:space="preserve"> una persona que f</w:t>
      </w:r>
      <w:r>
        <w:t>i</w:t>
      </w:r>
      <w:r>
        <w:t>guraba como “Teccedin”. A su vez, figuraba una dirección en la calle Jonas Salk, con un número de catastro que no era el que correspondía al domicilio donde residía Telle</w:t>
      </w:r>
      <w:r>
        <w:t>l</w:t>
      </w:r>
      <w:r>
        <w:t>dín.</w:t>
      </w:r>
    </w:p>
    <w:p w:rsidR="00224567" w:rsidRDefault="00224567">
      <w:pPr>
        <w:widowControl w:val="0"/>
        <w:tabs>
          <w:tab w:val="left" w:pos="2835"/>
        </w:tabs>
      </w:pPr>
      <w:r>
        <w:tab/>
        <w:t>Según creía, en el allanamiento se o</w:t>
      </w:r>
      <w:r>
        <w:t>b</w:t>
      </w:r>
      <w:r>
        <w:t>tuvo el número de teléfono de Telleldín, aunque después aclaró que esa información se la pasó su jefe. Por aver</w:t>
      </w:r>
      <w:r>
        <w:t>i</w:t>
      </w:r>
      <w:r>
        <w:t>guaciones posteriores se determinó que la línea estaba instalada en el domicilio de la calle República 107 de V</w:t>
      </w:r>
      <w:r>
        <w:t>i</w:t>
      </w:r>
      <w:r>
        <w:t>lla Ballester, donde se envió pasado el mediodía una com</w:t>
      </w:r>
      <w:r>
        <w:t>i</w:t>
      </w:r>
      <w:r>
        <w:t xml:space="preserve">sión de </w:t>
      </w:r>
      <w:smartTag w:uri="urn:schemas-microsoft-com:office:smarttags" w:element="PersonName">
        <w:smartTagPr>
          <w:attr w:name="ProductID" w:val="la S.I"/>
        </w:smartTagPr>
        <w:r>
          <w:t>la S.I</w:t>
        </w:r>
      </w:smartTag>
      <w:r>
        <w:t>.D.E. El personal del D.P.O.C. también hizo lo propio.</w:t>
      </w:r>
    </w:p>
    <w:p w:rsidR="00224567" w:rsidRDefault="00224567">
      <w:pPr>
        <w:widowControl w:val="0"/>
        <w:tabs>
          <w:tab w:val="left" w:pos="2835"/>
        </w:tabs>
      </w:pPr>
      <w:r>
        <w:tab/>
        <w:t>La consigna consistía en realizar una vigilancia externa y controlar el objetivo “a ver lo que pasaba” (sic). Al ser informado que en horas de la tarde se hizo presente un automóvil con dos personas que ingr</w:t>
      </w:r>
      <w:r>
        <w:t>e</w:t>
      </w:r>
      <w:r>
        <w:t>saron a la vivienda, les ordenó que los detuvieran e ide</w:t>
      </w:r>
      <w:r>
        <w:t>n</w:t>
      </w:r>
      <w:r>
        <w:t>tificaran cuando salieran de la casa.</w:t>
      </w:r>
    </w:p>
    <w:p w:rsidR="00224567" w:rsidRDefault="00224567">
      <w:pPr>
        <w:widowControl w:val="0"/>
        <w:tabs>
          <w:tab w:val="left" w:pos="2835"/>
        </w:tabs>
      </w:pPr>
      <w:r>
        <w:tab/>
        <w:t>Efectivamente, los interceptaron y d</w:t>
      </w:r>
      <w:r>
        <w:t>e</w:t>
      </w:r>
      <w:r>
        <w:t>terminaron que se trataban de policías de la provi</w:t>
      </w:r>
      <w:r>
        <w:t>n</w:t>
      </w:r>
      <w:r>
        <w:t>cia de Buenos Aires en actividad. Dichas personas dijeron que eran amigos de la familia Telleldín y al dársele las e</w:t>
      </w:r>
      <w:r>
        <w:t>x</w:t>
      </w:r>
      <w:r>
        <w:t>plicaciones del caso, aquellos los invitaron a entrar a la casa para hablar con la esposa de la pers</w:t>
      </w:r>
      <w:r>
        <w:t>o</w:t>
      </w:r>
      <w:r>
        <w:t>na buscada. Esos datos le fueron reportados por sus agentes.</w:t>
      </w:r>
    </w:p>
    <w:p w:rsidR="00224567" w:rsidRDefault="00224567">
      <w:pPr>
        <w:widowControl w:val="0"/>
        <w:tabs>
          <w:tab w:val="left" w:pos="2835"/>
        </w:tabs>
      </w:pPr>
      <w:r>
        <w:tab/>
        <w:t xml:space="preserve">Ni bien envió a la comisión de </w:t>
      </w:r>
      <w:smartTag w:uri="urn:schemas-microsoft-com:office:smarttags" w:element="PersonName">
        <w:smartTagPr>
          <w:attr w:name="ProductID" w:val="la S.I"/>
        </w:smartTagPr>
        <w:r>
          <w:t>la S.I</w:t>
        </w:r>
      </w:smartTag>
      <w:r>
        <w:t>.D.E., solicitó a la superioridad la intervención de la línea telefónica -el 26 de julio de 1994- y, según creía, recién se conectó el 27, en horas de la mañana.</w:t>
      </w:r>
    </w:p>
    <w:p w:rsidR="00224567" w:rsidRDefault="00224567">
      <w:pPr>
        <w:widowControl w:val="0"/>
        <w:tabs>
          <w:tab w:val="left" w:pos="2835"/>
        </w:tabs>
      </w:pPr>
      <w:r>
        <w:tab/>
        <w:t xml:space="preserve">En la casa permanecieron los agentes de </w:t>
      </w:r>
      <w:smartTag w:uri="urn:schemas-microsoft-com:office:smarttags" w:element="PersonName">
        <w:smartTagPr>
          <w:attr w:name="ProductID" w:val="la S.I"/>
        </w:smartTagPr>
        <w:r>
          <w:t>la S.I</w:t>
        </w:r>
      </w:smartTag>
      <w:r>
        <w:t>.D.E. y el personal del D.P.O.C., como así ta</w:t>
      </w:r>
      <w:r>
        <w:t>m</w:t>
      </w:r>
      <w:r>
        <w:t>bién los policías de la provincia de Buenos Aires. Explicó que no había impartido ninguna indicación de que se qued</w:t>
      </w:r>
      <w:r>
        <w:t>a</w:t>
      </w:r>
      <w:r>
        <w:t>ran dentro de la casa porque no tenía ni</w:t>
      </w:r>
      <w:r>
        <w:t>n</w:t>
      </w:r>
      <w:r>
        <w:t>gún sentido.</w:t>
      </w:r>
    </w:p>
    <w:p w:rsidR="00224567" w:rsidRDefault="00224567">
      <w:pPr>
        <w:widowControl w:val="0"/>
        <w:tabs>
          <w:tab w:val="left" w:pos="2835"/>
        </w:tabs>
      </w:pPr>
      <w:r>
        <w:tab/>
        <w:t>Sus agentes retornaron al día siguie</w:t>
      </w:r>
      <w:r>
        <w:t>n</w:t>
      </w:r>
      <w:r>
        <w:t>te –27 de julio- al domicilio de la calle Repúbl</w:t>
      </w:r>
      <w:r>
        <w:t>i</w:t>
      </w:r>
      <w:r>
        <w:t>ca con la instrucción de averiguar dónde se encontraba Carlos T</w:t>
      </w:r>
      <w:r>
        <w:t>e</w:t>
      </w:r>
      <w:r>
        <w:t xml:space="preserve">lleldín, procurando convencerlo para que se presentara. Fue así que, mientras estaba reunido en la base con el juez, los fiscales, la jefatura de </w:t>
      </w:r>
      <w:smartTag w:uri="urn:schemas-microsoft-com:office:smarttags" w:element="PersonName">
        <w:smartTagPr>
          <w:attr w:name="ProductID" w:val="la Polic￭a Federal"/>
        </w:smartTagPr>
        <w:r>
          <w:t>la Pol</w:t>
        </w:r>
        <w:r>
          <w:t>i</w:t>
        </w:r>
        <w:r>
          <w:t>cía Federal</w:t>
        </w:r>
      </w:smartTag>
      <w:r>
        <w:t xml:space="preserve"> y un servicio colateral, en horas de la tarde, recibió un ll</w:t>
      </w:r>
      <w:r>
        <w:t>a</w:t>
      </w:r>
      <w:r>
        <w:t>mado de uno de sus agentes que lo anotició que Telleldín se había comunicado por teléfono y que tenía la intención de presentarse en el aeroparque metropolitano. Inmediat</w:t>
      </w:r>
      <w:r>
        <w:t>a</w:t>
      </w:r>
      <w:r>
        <w:t>mente, ordenó que el pers</w:t>
      </w:r>
      <w:r>
        <w:t>o</w:t>
      </w:r>
      <w:r>
        <w:t xml:space="preserve">nal de </w:t>
      </w:r>
      <w:smartTag w:uri="urn:schemas-microsoft-com:office:smarttags" w:element="PersonName">
        <w:smartTagPr>
          <w:attr w:name="ProductID" w:val="la S.I"/>
        </w:smartTagPr>
        <w:r>
          <w:t>la S.I</w:t>
        </w:r>
      </w:smartTag>
      <w:r>
        <w:t xml:space="preserve">.D.E. se constituya junto con Barreda en ese lugar para detenerlo, al tiempo que el juez indicó que los policías de Drogas Peligrosas de </w:t>
      </w:r>
      <w:smartTag w:uri="urn:schemas-microsoft-com:office:smarttags" w:element="PersonName">
        <w:smartTagPr>
          <w:attr w:name="ProductID" w:val="la P.F"/>
        </w:smartTagPr>
        <w:r>
          <w:t>la P.F</w:t>
        </w:r>
      </w:smartTag>
      <w:r>
        <w:t>.A. hicieran lo propio, juntándose ambas comisi</w:t>
      </w:r>
      <w:r>
        <w:t>o</w:t>
      </w:r>
      <w:r>
        <w:t>nes en un lugar acordado en el camino hacia el aeropuerto.</w:t>
      </w:r>
    </w:p>
    <w:p w:rsidR="00224567" w:rsidRDefault="00224567">
      <w:pPr>
        <w:widowControl w:val="0"/>
        <w:tabs>
          <w:tab w:val="left" w:pos="2835"/>
        </w:tabs>
      </w:pPr>
      <w:r>
        <w:tab/>
      </w:r>
      <w:r>
        <w:rPr>
          <w:lang w:val="es-ES_tradnl"/>
        </w:rPr>
        <w:t xml:space="preserve">El </w:t>
      </w:r>
      <w:r>
        <w:t>jefe de investigaciones del Depa</w:t>
      </w:r>
      <w:r>
        <w:t>r</w:t>
      </w:r>
      <w:r>
        <w:t xml:space="preserve">tamento de Operaciones de </w:t>
      </w:r>
      <w:smartTag w:uri="urn:schemas-microsoft-com:office:smarttags" w:element="PersonName">
        <w:smartTagPr>
          <w:attr w:name="ProductID" w:val="la Direcci￳n"/>
        </w:smartTagPr>
        <w:r>
          <w:t>la Dirección</w:t>
        </w:r>
      </w:smartTag>
      <w:r>
        <w:t xml:space="preserve"> de Contraintelige</w:t>
      </w:r>
      <w:r>
        <w:t>n</w:t>
      </w:r>
      <w:r>
        <w:t xml:space="preserve">cia de </w:t>
      </w:r>
      <w:smartTag w:uri="urn:schemas-microsoft-com:office:smarttags" w:element="PersonName">
        <w:smartTagPr>
          <w:attr w:name="ProductID" w:val="la Secretar￭a"/>
        </w:smartTagPr>
        <w:r>
          <w:t>la Secretaría</w:t>
        </w:r>
      </w:smartTag>
      <w:r>
        <w:t xml:space="preserve"> de Inteligencia de Estado,</w:t>
      </w:r>
      <w:r>
        <w:rPr>
          <w:lang w:val="es-ES_tradnl"/>
        </w:rPr>
        <w:t xml:space="preserve"> Néstor R</w:t>
      </w:r>
      <w:r>
        <w:rPr>
          <w:lang w:val="es-ES_tradnl"/>
        </w:rPr>
        <w:t>i</w:t>
      </w:r>
      <w:r>
        <w:rPr>
          <w:lang w:val="es-ES_tradnl"/>
        </w:rPr>
        <w:t xml:space="preserve">cardo Hernández, </w:t>
      </w:r>
      <w:r>
        <w:t xml:space="preserve">manifestó que a partir del hallazgo del motor entre los escombros, su jefe, Horacio Antonio Stiuso, le ordenó dirigirse al domicilio del titular del vehículo; ello aconteció el 25 de julio de </w:t>
      </w:r>
      <w:smartTag w:uri="urn:schemas-microsoft-com:office:smarttags" w:element="metricconverter">
        <w:smartTagPr>
          <w:attr w:name="ProductID" w:val="1994, a"/>
        </w:smartTagPr>
        <w:r>
          <w:t>1994, a</w:t>
        </w:r>
      </w:smartTag>
      <w:r>
        <w:t xml:space="preserve"> las 19.00, aproximadamente.</w:t>
      </w:r>
    </w:p>
    <w:p w:rsidR="00224567" w:rsidRDefault="00224567">
      <w:pPr>
        <w:widowControl w:val="0"/>
        <w:tabs>
          <w:tab w:val="left" w:pos="2835"/>
        </w:tabs>
      </w:pPr>
      <w:r>
        <w:tab/>
        <w:t>Refirió que en un primer momento se presentó en un negocio ubicado en la calle Paraná, donde se le hizo saber que, en realidad, la persona buscada e</w:t>
      </w:r>
      <w:r>
        <w:t>s</w:t>
      </w:r>
      <w:r>
        <w:t xml:space="preserve">taba en otro local, sito en </w:t>
      </w:r>
      <w:smartTag w:uri="urn:schemas-microsoft-com:office:smarttags" w:element="PersonName">
        <w:smartTagPr>
          <w:attr w:name="ProductID" w:val="la Av. Santa"/>
        </w:smartTagPr>
        <w:r>
          <w:t>la Av. Santa</w:t>
        </w:r>
      </w:smartTag>
      <w:r>
        <w:t xml:space="preserve"> Fe. Allí, tomó contacto con el titular de la camioneta, de apellido   Cassin y, tras conversar con esa persona, se dirigieron al D.P.O.C. a fin de que el nombrado declarase testimonia</w:t>
      </w:r>
      <w:r>
        <w:t>l</w:t>
      </w:r>
      <w:r>
        <w:t>mente.</w:t>
      </w:r>
    </w:p>
    <w:p w:rsidR="00224567" w:rsidRDefault="00224567">
      <w:pPr>
        <w:widowControl w:val="0"/>
        <w:tabs>
          <w:tab w:val="left" w:pos="2835"/>
        </w:tabs>
      </w:pPr>
      <w:r>
        <w:tab/>
        <w:t>Este señaló que la camioneta se había quemado, haciéndose cargo del siniestro la compañía de s</w:t>
      </w:r>
      <w:r>
        <w:t>e</w:t>
      </w:r>
      <w:r>
        <w:t>guros; circunstancia que luego fue ratificada, en horas de la noche, por el representante de la empresa aseguradora, agregando que la camioneta fue vendida a la agencia “Monjo Automotores”.</w:t>
      </w:r>
    </w:p>
    <w:p w:rsidR="00224567" w:rsidRDefault="00224567">
      <w:pPr>
        <w:widowControl w:val="0"/>
        <w:tabs>
          <w:tab w:val="left" w:pos="2835"/>
        </w:tabs>
      </w:pPr>
      <w:r>
        <w:tab/>
        <w:t>A la medianoche, añadió, realizó una visita a la agencia sin obtener ningún resultado dado que sólo estaba el sereno, quien no tenía posibilidad de abrir el negocio. Así las cosas, se aguardó la orden de allan</w:t>
      </w:r>
      <w:r>
        <w:t>a</w:t>
      </w:r>
      <w:r>
        <w:t>miento, procediéndose a la inspección del lugar en la m</w:t>
      </w:r>
      <w:r>
        <w:t>a</w:t>
      </w:r>
      <w:r>
        <w:t>ñana del día siguiente, participando en la diligencia pe</w:t>
      </w:r>
      <w:r>
        <w:t>r</w:t>
      </w:r>
      <w:r>
        <w:t xml:space="preserve">sonal del D.P.O.C. y de </w:t>
      </w:r>
      <w:smartTag w:uri="urn:schemas-microsoft-com:office:smarttags" w:element="PersonName">
        <w:smartTagPr>
          <w:attr w:name="ProductID" w:val="la S.I"/>
        </w:smartTagPr>
        <w:r>
          <w:t>la S.I</w:t>
        </w:r>
      </w:smartTag>
      <w:r>
        <w:t>.D.E.</w:t>
      </w:r>
    </w:p>
    <w:p w:rsidR="00224567" w:rsidRDefault="00224567">
      <w:pPr>
        <w:widowControl w:val="0"/>
        <w:tabs>
          <w:tab w:val="left" w:pos="2835"/>
        </w:tabs>
      </w:pPr>
      <w:r>
        <w:tab/>
        <w:t>Durante el registro, señaló el test</w:t>
      </w:r>
      <w:r>
        <w:t>i</w:t>
      </w:r>
      <w:r>
        <w:t>go, se hallaron varias facturas o boletas, en las que f</w:t>
      </w:r>
      <w:r>
        <w:t>i</w:t>
      </w:r>
      <w:r>
        <w:t>guraba que Carlos Telleldín había comprado la cami</w:t>
      </w:r>
      <w:r>
        <w:t>o</w:t>
      </w:r>
      <w:r>
        <w:t>neta en cuestión y surgían, además, dos lugares donde residiría el nombrado; uno era un taller de una persona de nombre Ariel, ubicado en la localidad bonaerense de San Martín, mientras que el otro estaba ubicado en la calle Jonas Salk, de Villa Ballester. A lo largo de su exposición, r</w:t>
      </w:r>
      <w:r>
        <w:t>e</w:t>
      </w:r>
      <w:r>
        <w:t>cordó que también se realizaron pesquisas en un lavadero de autos, ubicado en la calle Pelliza, de la localidad de Olivos.</w:t>
      </w:r>
    </w:p>
    <w:p w:rsidR="00224567" w:rsidRDefault="00224567">
      <w:pPr>
        <w:widowControl w:val="0"/>
        <w:tabs>
          <w:tab w:val="left" w:pos="2835"/>
        </w:tabs>
      </w:pPr>
      <w:r>
        <w:tab/>
        <w:t>Inmediatamente, personal de investig</w:t>
      </w:r>
      <w:r>
        <w:t>a</w:t>
      </w:r>
      <w:r>
        <w:t xml:space="preserve">ciones de </w:t>
      </w:r>
      <w:smartTag w:uri="urn:schemas-microsoft-com:office:smarttags" w:element="PersonName">
        <w:smartTagPr>
          <w:attr w:name="ProductID" w:val="la S.I"/>
        </w:smartTagPr>
        <w:r>
          <w:t>la S.I</w:t>
        </w:r>
      </w:smartTag>
      <w:r>
        <w:t>.D.E. y del D.P.O.C. concurrió a esos s</w:t>
      </w:r>
      <w:r>
        <w:t>i</w:t>
      </w:r>
      <w:r>
        <w:t>tios, donde se consiguió en uno de ellos -no pudo precisar en cuál- el teléfono de la casa de Telleldín. Al ser int</w:t>
      </w:r>
      <w:r>
        <w:t>e</w:t>
      </w:r>
      <w:r>
        <w:t>rrogado acerca del modo en que se obtuvo esa inform</w:t>
      </w:r>
      <w:r>
        <w:t>a</w:t>
      </w:r>
      <w:r>
        <w:t>ción, Hernández señaló que lo desconocía en razón de que no h</w:t>
      </w:r>
      <w:r>
        <w:t>a</w:t>
      </w:r>
      <w:r>
        <w:t>bía participado en esas diligencias.</w:t>
      </w:r>
    </w:p>
    <w:p w:rsidR="00224567" w:rsidRDefault="00224567">
      <w:pPr>
        <w:widowControl w:val="0"/>
        <w:tabs>
          <w:tab w:val="left" w:pos="2835"/>
        </w:tabs>
      </w:pPr>
      <w:r>
        <w:tab/>
        <w:t>Una vez que se determinó que esa l</w:t>
      </w:r>
      <w:r>
        <w:t>í</w:t>
      </w:r>
      <w:r>
        <w:t>nea telefónica estaba instalada en el domicilio de la calle República 107 de Villa Ballester, sostuvo, le fue ordenado por su jefe concurrir al lugar juntamente con personal del D.P.O.C., hecho que aconteció pasado el mediodía. La pe</w:t>
      </w:r>
      <w:r>
        <w:t>s</w:t>
      </w:r>
      <w:r>
        <w:t>quisa consistía en realizar una vigilancia sobre el dom</w:t>
      </w:r>
      <w:r>
        <w:t>i</w:t>
      </w:r>
      <w:r>
        <w:t>cilio para “ver qué pasaba” (sic).</w:t>
      </w:r>
    </w:p>
    <w:p w:rsidR="00224567" w:rsidRDefault="00224567">
      <w:pPr>
        <w:widowControl w:val="0"/>
        <w:tabs>
          <w:tab w:val="left" w:pos="2835"/>
        </w:tabs>
      </w:pPr>
      <w:r>
        <w:tab/>
        <w:t>Transcurridas unas tres horas, señ</w:t>
      </w:r>
      <w:r>
        <w:t>a</w:t>
      </w:r>
      <w:r>
        <w:t>ló, arribó un vehículo con dos personas, una de ellas con ba</w:t>
      </w:r>
      <w:r>
        <w:t>r</w:t>
      </w:r>
      <w:r>
        <w:t>ba, circunstancia que los llevó a pensar de que se trat</w:t>
      </w:r>
      <w:r>
        <w:t>a</w:t>
      </w:r>
      <w:r>
        <w:t>ban de musulmanes, quienes ingresaron a la casa en cue</w:t>
      </w:r>
      <w:r>
        <w:t>s</w:t>
      </w:r>
      <w:r>
        <w:t>tión. Ante ello, solicitó instrucciones a la jefatura, i</w:t>
      </w:r>
      <w:r>
        <w:t>n</w:t>
      </w:r>
      <w:r>
        <w:t>dicándosele que debían detener a dichos sujetos. Aclaró, sin embargo, que “obviamente los que los iban a detener son los del D.P.O.C. porque nosotros no tenemos armame</w:t>
      </w:r>
      <w:r>
        <w:t>n</w:t>
      </w:r>
      <w:r>
        <w:t>to”.</w:t>
      </w:r>
    </w:p>
    <w:p w:rsidR="00224567" w:rsidRDefault="00224567">
      <w:pPr>
        <w:widowControl w:val="0"/>
        <w:tabs>
          <w:tab w:val="left" w:pos="2835"/>
        </w:tabs>
      </w:pPr>
      <w:r>
        <w:tab/>
        <w:t>Media hora después, los dos indiv</w:t>
      </w:r>
      <w:r>
        <w:t>i</w:t>
      </w:r>
      <w:r>
        <w:t>duos egresaron de la vivienda y previo a que abordaran el vehículo, se los detuvo, al tiempo que se hicieron conocer c</w:t>
      </w:r>
      <w:r>
        <w:t>o</w:t>
      </w:r>
      <w:r>
        <w:t>mo policías de la provincia de Buenos Aires, apellidados Bareiro y Barreda. Explicaron que eran amigos de Carlos Telleldín y que “sabían de este tema” (sic). Seguidamente, los invitaron a pasar adentro de la casa a fin de aclarar la situación.</w:t>
      </w:r>
    </w:p>
    <w:p w:rsidR="00224567" w:rsidRDefault="00224567">
      <w:pPr>
        <w:widowControl w:val="0"/>
        <w:tabs>
          <w:tab w:val="left" w:pos="2835"/>
        </w:tabs>
      </w:pPr>
      <w:r>
        <w:tab/>
        <w:t>Una vez en la vivienda –también ingr</w:t>
      </w:r>
      <w:r>
        <w:t>e</w:t>
      </w:r>
      <w:r>
        <w:t>só Silo y el personal del D.P.O.C.- la señora de Telle</w:t>
      </w:r>
      <w:r>
        <w:t>l</w:t>
      </w:r>
      <w:r>
        <w:t>dín, a preguntas formuladas, comentó que su marido se h</w:t>
      </w:r>
      <w:r>
        <w:t>a</w:t>
      </w:r>
      <w:r>
        <w:t>bía ido de viaje y, en relación a la camioneta objeto de investigación, refirió que había sido vendida el 9 ó el 10 de julio de ese año, a una persona con acento centroamer</w:t>
      </w:r>
      <w:r>
        <w:t>i</w:t>
      </w:r>
      <w:r>
        <w:t>cano, de tez color trigueña, que ll</w:t>
      </w:r>
      <w:r>
        <w:t>e</w:t>
      </w:r>
      <w:r>
        <w:t>vaba puesta una gorra y vestía una camisa de colores, pagando por el rodado casi USD 10.000.</w:t>
      </w:r>
    </w:p>
    <w:p w:rsidR="00224567" w:rsidRDefault="00224567">
      <w:pPr>
        <w:widowControl w:val="0"/>
        <w:tabs>
          <w:tab w:val="left" w:pos="2835"/>
        </w:tabs>
      </w:pPr>
      <w:r>
        <w:tab/>
        <w:t>Prosiguió relatando que previo a c</w:t>
      </w:r>
      <w:r>
        <w:t>e</w:t>
      </w:r>
      <w:r>
        <w:t>rrar la operación, probó el vehículo y que se lo llevó ese mismo día. Boragni también comentó que dicha persona se presentó con el nombre de Ramón Martínez, dio una dire</w:t>
      </w:r>
      <w:r>
        <w:t>c</w:t>
      </w:r>
      <w:r>
        <w:t>ción en la calle San José, omitió llevarse los p</w:t>
      </w:r>
      <w:r>
        <w:t>a</w:t>
      </w:r>
      <w:r>
        <w:t>peles del rodado y que había algunos documentos en su casa que d</w:t>
      </w:r>
      <w:r>
        <w:t>e</w:t>
      </w:r>
      <w:r>
        <w:t>mostraban la aludida operación. En tal sentido, dijo He</w:t>
      </w:r>
      <w:r>
        <w:t>r</w:t>
      </w:r>
      <w:r>
        <w:t>nández, Boragni mostró un boleto de compra venta donde f</w:t>
      </w:r>
      <w:r>
        <w:t>i</w:t>
      </w:r>
      <w:r>
        <w:t>guraba como comprador el nombre de esta persona.</w:t>
      </w:r>
    </w:p>
    <w:p w:rsidR="00224567" w:rsidRDefault="00224567">
      <w:pPr>
        <w:widowControl w:val="0"/>
        <w:tabs>
          <w:tab w:val="left" w:pos="2835"/>
        </w:tabs>
      </w:pPr>
      <w:r>
        <w:tab/>
        <w:t>Por último, la nombrada comentó que la camioneta fue publicada para su venta y que previo a la visita de quien resultó el comprador, se presentaron otras personas, de aspecto oriental, en un automóvil de color negro, interesadas por la compra del vehículo, pero no se arribó a ningún arreglo.</w:t>
      </w:r>
    </w:p>
    <w:p w:rsidR="00224567" w:rsidRDefault="00224567">
      <w:pPr>
        <w:widowControl w:val="0"/>
        <w:tabs>
          <w:tab w:val="left" w:pos="2835"/>
        </w:tabs>
      </w:pPr>
      <w:r>
        <w:tab/>
        <w:t>Al ser inquirido acerca del motivo por el cual Boragni supo que la camioneta objeto de pesquisa se trataba de aquella que había vendido a R</w:t>
      </w:r>
      <w:r>
        <w:t>a</w:t>
      </w:r>
      <w:r>
        <w:t>món Martínez, el testigo explicó que ésta le dijo que cuando se enteró, pasados dos días del atentado, que se utilizó una camion</w:t>
      </w:r>
      <w:r>
        <w:t>e</w:t>
      </w:r>
      <w:r>
        <w:t>ta Renault Trafic, se imaginó o tuvo el presentimiento que era misma que habían vendido en las circunstancias antes referidas.</w:t>
      </w:r>
    </w:p>
    <w:p w:rsidR="00224567" w:rsidRDefault="00224567">
      <w:pPr>
        <w:widowControl w:val="0"/>
        <w:tabs>
          <w:tab w:val="left" w:pos="2835"/>
        </w:tabs>
      </w:pPr>
      <w:r>
        <w:tab/>
        <w:t>Relató Hernández que se le impartió la instrucción de llevar detenida a la nombrada. Por ello, una comisión policial se presentó en el lugar para trasl</w:t>
      </w:r>
      <w:r>
        <w:t>a</w:t>
      </w:r>
      <w:r>
        <w:t>darla ante la prevención con el objeto de que prestase d</w:t>
      </w:r>
      <w:r>
        <w:t>e</w:t>
      </w:r>
      <w:r>
        <w:t xml:space="preserve">claración,  acompañándolos en su vehículo.  En  la  casa  -aclaró el testigo- permanecieron dos funcionarios del D.P.O.C., dos agentes de </w:t>
      </w:r>
      <w:smartTag w:uri="urn:schemas-microsoft-com:office:smarttags" w:element="PersonName">
        <w:smartTagPr>
          <w:attr w:name="ProductID" w:val="la S.I"/>
        </w:smartTagPr>
        <w:r>
          <w:t>la S.I</w:t>
        </w:r>
      </w:smartTag>
      <w:r>
        <w:t>.D.E. –Daniel Fernández, alias, Daniel Ferro y Luis Delizia, alias, Gastón- y los policías Bareiro y Barreda.</w:t>
      </w:r>
    </w:p>
    <w:p w:rsidR="00224567" w:rsidRDefault="00224567">
      <w:pPr>
        <w:widowControl w:val="0"/>
        <w:tabs>
          <w:tab w:val="left" w:pos="2835"/>
        </w:tabs>
      </w:pPr>
      <w:r>
        <w:tab/>
        <w:t xml:space="preserve">Precisó que los agentes regresaron a la base de </w:t>
      </w:r>
      <w:smartTag w:uri="urn:schemas-microsoft-com:office:smarttags" w:element="PersonName">
        <w:smartTagPr>
          <w:attr w:name="ProductID" w:val="la S.I"/>
        </w:smartTagPr>
        <w:r>
          <w:t>la S.I</w:t>
        </w:r>
      </w:smartTag>
      <w:r>
        <w:t>.D.E. en horas de la madrugada, una vez que hubo regresado Ana María Boragni. La consigna que t</w:t>
      </w:r>
      <w:r>
        <w:t>e</w:t>
      </w:r>
      <w:r>
        <w:t>nían era la de permanecer en la vivienda en observación, para “ver lo que pasaba” (sic).</w:t>
      </w:r>
    </w:p>
    <w:p w:rsidR="00224567" w:rsidRDefault="00224567">
      <w:pPr>
        <w:widowControl w:val="0"/>
        <w:tabs>
          <w:tab w:val="left" w:pos="2835"/>
        </w:tabs>
      </w:pPr>
      <w:r>
        <w:tab/>
        <w:t>Aclaró que no se revisó la morada d</w:t>
      </w:r>
      <w:r>
        <w:t>a</w:t>
      </w:r>
      <w:r>
        <w:t>do que no se contaba con una orden de allanamiento y que se limitó a ingresar para hablar con la ocupante de la v</w:t>
      </w:r>
      <w:r>
        <w:t>i</w:t>
      </w:r>
      <w:r>
        <w:t>vienda, en razón de haber sido invitados por ella.</w:t>
      </w:r>
    </w:p>
    <w:p w:rsidR="00224567" w:rsidRDefault="00224567">
      <w:pPr>
        <w:widowControl w:val="0"/>
        <w:tabs>
          <w:tab w:val="left" w:pos="2835"/>
        </w:tabs>
      </w:pPr>
      <w:r>
        <w:tab/>
        <w:t xml:space="preserve">A  primera  hora  del  día  siguiente –miércoles 27 de julio de 1994-, tras una reunión en las dependencia de </w:t>
      </w:r>
      <w:smartTag w:uri="urn:schemas-microsoft-com:office:smarttags" w:element="PersonName">
        <w:smartTagPr>
          <w:attr w:name="ProductID" w:val="la S.I"/>
        </w:smartTagPr>
        <w:r>
          <w:t>la S.I</w:t>
        </w:r>
      </w:smartTag>
      <w:r>
        <w:t xml:space="preserve">.D.E., su jefe, Stiuso, le requirió que detenga a Carlos Alberto Telleldín. Literalmente le dijo “andá a buscarlo y traélo, sea como sea ... porque está en juego el prestigio de </w:t>
      </w:r>
      <w:smartTag w:uri="urn:schemas-microsoft-com:office:smarttags" w:element="PersonName">
        <w:smartTagPr>
          <w:attr w:name="ProductID" w:val="la Secretar￭a"/>
        </w:smartTagPr>
        <w:r>
          <w:t>la Secret</w:t>
        </w:r>
        <w:r>
          <w:t>a</w:t>
        </w:r>
        <w:r>
          <w:t>ría</w:t>
        </w:r>
      </w:smartTag>
      <w:r>
        <w:t>”.</w:t>
      </w:r>
    </w:p>
    <w:p w:rsidR="00224567" w:rsidRDefault="00224567">
      <w:pPr>
        <w:widowControl w:val="0"/>
        <w:tabs>
          <w:tab w:val="left" w:pos="2835"/>
        </w:tabs>
      </w:pPr>
      <w:r>
        <w:tab/>
        <w:t>Con esa finalidad, comentó Hernández, regresó al domicilio de la calle República junto con un grupo conformado por tres o cuatro agentes, siendo atend</w:t>
      </w:r>
      <w:r>
        <w:t>i</w:t>
      </w:r>
      <w:r>
        <w:t>dos por Boragni, Barreda y Bareiro. El testigo dijo que estaba sólo con su grupo, con toda la presión y la respo</w:t>
      </w:r>
      <w:r>
        <w:t>n</w:t>
      </w:r>
      <w:r>
        <w:t>sabilidad de encontrar a Telleldín sobre sus espaldas, en una casa ajena, con personas que no conocía y que bien p</w:t>
      </w:r>
      <w:r>
        <w:t>o</w:t>
      </w:r>
      <w:r>
        <w:t>dían tratarse de los terroristas. En esas condiciones, puntualizó, lo único que podía hacer era convencer o d</w:t>
      </w:r>
      <w:r>
        <w:t>i</w:t>
      </w:r>
      <w:r>
        <w:t>suadir a Boragni para que su marido se entregara mediante la utilización de “artilugios”, consistentes en advertirle que de no hacerlo, “podía sufrir alguna situación no esp</w:t>
      </w:r>
      <w:r>
        <w:t>e</w:t>
      </w:r>
      <w:r>
        <w:t xml:space="preserve">rada, pero no por parte de </w:t>
      </w:r>
      <w:smartTag w:uri="urn:schemas-microsoft-com:office:smarttags" w:element="PersonName">
        <w:smartTagPr>
          <w:attr w:name="ProductID" w:val="la Secretar￭a"/>
        </w:smartTagPr>
        <w:r>
          <w:t>la Secretaría</w:t>
        </w:r>
      </w:smartTag>
      <w:r>
        <w:t>, sino por otro lado”.</w:t>
      </w:r>
    </w:p>
    <w:p w:rsidR="00224567" w:rsidRDefault="00224567">
      <w:pPr>
        <w:widowControl w:val="0"/>
        <w:tabs>
          <w:tab w:val="left" w:pos="2835"/>
        </w:tabs>
      </w:pPr>
      <w:r>
        <w:tab/>
        <w:t>Previo a ello, Boragni lo había anot</w:t>
      </w:r>
      <w:r>
        <w:t>i</w:t>
      </w:r>
      <w:r>
        <w:t>ciado que Telleldín llamó en horas de la mañana y que lo volvería a hacer un poco más tarde. El segundo ll</w:t>
      </w:r>
      <w:r>
        <w:t>a</w:t>
      </w:r>
      <w:r>
        <w:t xml:space="preserve">mado se produjo a las 15.00, aproximadamente, oportunidad en que tanto ésta como Barreda, lo convencieron de presentarse ante el personal de </w:t>
      </w:r>
      <w:smartTag w:uri="urn:schemas-microsoft-com:office:smarttags" w:element="PersonName">
        <w:smartTagPr>
          <w:attr w:name="ProductID" w:val="la Secretar￭a. Telleld￭n"/>
        </w:smartTagPr>
        <w:r>
          <w:t>la Secretaría. Telleldín</w:t>
        </w:r>
      </w:smartTag>
      <w:r>
        <w:t xml:space="preserve"> dijo, según lo narrado por aquellos, que estaría aguardando en el a</w:t>
      </w:r>
      <w:r>
        <w:t>e</w:t>
      </w:r>
      <w:r>
        <w:t>roparque Jorge Newbery.</w:t>
      </w:r>
    </w:p>
    <w:p w:rsidR="00224567" w:rsidRDefault="00224567">
      <w:pPr>
        <w:widowControl w:val="0"/>
        <w:tabs>
          <w:tab w:val="left" w:pos="2835"/>
        </w:tabs>
      </w:pPr>
      <w:r>
        <w:tab/>
        <w:t>En ese ínterin, precisó, puso al ta</w:t>
      </w:r>
      <w:r>
        <w:t>n</w:t>
      </w:r>
      <w:r>
        <w:t>to a Stiuso de la novedades, a la vez que éste le ord</w:t>
      </w:r>
      <w:r>
        <w:t>e</w:t>
      </w:r>
      <w:r>
        <w:t>nó que fuese de inmediato a buscarlo. Luego, cuando ya estaba en camino hacia el lugar acordado, le indicó que debía det</w:t>
      </w:r>
      <w:r>
        <w:t>e</w:t>
      </w:r>
      <w:r>
        <w:t xml:space="preserve">nerlo junto con personal policial que estaría esperándolo en </w:t>
      </w:r>
      <w:smartTag w:uri="urn:schemas-microsoft-com:office:smarttags" w:element="PersonName">
        <w:smartTagPr>
          <w:attr w:name="ProductID" w:val="la Av. Gral."/>
        </w:smartTagPr>
        <w:r>
          <w:t>la Av. Gral.</w:t>
        </w:r>
      </w:smartTag>
      <w:r>
        <w:t xml:space="preserve"> Paz y del Tejar. Una vez que contactó a dichos policías -uno de ellos era el principal Salomone, recordó-, se dirigieron hacia el aeroparque. El testigo destacó que en la ocasión se e</w:t>
      </w:r>
      <w:r>
        <w:t>n</w:t>
      </w:r>
      <w:r>
        <w:t>contraba con Barreda, quien habría de individualizar a Telleldín, dado que ignoraban sus rasgos fisonómicos.</w:t>
      </w:r>
    </w:p>
    <w:p w:rsidR="00224567" w:rsidRDefault="00224567">
      <w:pPr>
        <w:widowControl w:val="0"/>
        <w:tabs>
          <w:tab w:val="left" w:pos="2835"/>
        </w:tabs>
      </w:pPr>
      <w:r>
        <w:tab/>
        <w:t xml:space="preserve">Al llegar a la aerostación, prosiguió Hernández, Barreda le indicó “allá está el petiso” (sic), el que estaba ubicado en el entonces hall de Aerolíneas Argentinas, al lado de un funcionario de </w:t>
      </w:r>
      <w:smartTag w:uri="urn:schemas-microsoft-com:office:smarttags" w:element="PersonName">
        <w:smartTagPr>
          <w:attr w:name="ProductID" w:val="la Polic￭a Aeron￡utica."/>
        </w:smartTagPr>
        <w:r>
          <w:t>la Policía Aer</w:t>
        </w:r>
        <w:r>
          <w:t>o</w:t>
        </w:r>
        <w:r>
          <w:t>náutica.</w:t>
        </w:r>
      </w:smartTag>
      <w:r>
        <w:t xml:space="preserve"> Presurosamente, se acercó a Telleldín y lo “bo</w:t>
      </w:r>
      <w:r>
        <w:t>m</w:t>
      </w:r>
      <w:r>
        <w:t>bardeó” a preguntas durante unos cinco minutos con el o</w:t>
      </w:r>
      <w:r>
        <w:t>b</w:t>
      </w:r>
      <w:r>
        <w:t>jeto de cotejar su versión de los hechos con la que había recibido de su esposa Boragni. Hernández afirmó que ambos relatos eran idénticos y que parecían programados en ate</w:t>
      </w:r>
      <w:r>
        <w:t>n</w:t>
      </w:r>
      <w:r>
        <w:t>ción a la similitud de los detalles, algunos nimios, tales como el gorro, la camisa o la cadenita que llevaba el s</w:t>
      </w:r>
      <w:r>
        <w:t>u</w:t>
      </w:r>
      <w:r>
        <w:t>puesto comprador de la camioneta. Durante el breve int</w:t>
      </w:r>
      <w:r>
        <w:t>e</w:t>
      </w:r>
      <w:r>
        <w:t>rrogatorio, añadió Hernández, Telleldín le preguntó a Di</w:t>
      </w:r>
      <w:r>
        <w:t>e</w:t>
      </w:r>
      <w:r>
        <w:t>go Barreda si su mujer había dicho algo acerca de la ap</w:t>
      </w:r>
      <w:r>
        <w:t>a</w:t>
      </w:r>
      <w:r>
        <w:t>rición de los orientales en un coche negro porque ello r</w:t>
      </w:r>
      <w:r>
        <w:t>e</w:t>
      </w:r>
      <w:r>
        <w:t>sultaba d</w:t>
      </w:r>
      <w:r>
        <w:t>e</w:t>
      </w:r>
      <w:r>
        <w:t>mostrativo que hubo otros interesados en comprar el v</w:t>
      </w:r>
      <w:r>
        <w:t>e</w:t>
      </w:r>
      <w:r>
        <w:t>hículo.</w:t>
      </w:r>
    </w:p>
    <w:p w:rsidR="00224567" w:rsidRDefault="00224567">
      <w:pPr>
        <w:widowControl w:val="0"/>
        <w:tabs>
          <w:tab w:val="left" w:pos="2835"/>
        </w:tabs>
      </w:pPr>
      <w:r>
        <w:tab/>
        <w:t>El interrogatorio, dijo, se interru</w:t>
      </w:r>
      <w:r>
        <w:t>m</w:t>
      </w:r>
      <w:r>
        <w:t>pió bruscamente debido a que el principal Salomone dio un empellón en el pecho a Telleldín, al tiempo que le dijo “¡callate la boca, no hables más que estás incom</w:t>
      </w:r>
      <w:r>
        <w:t>u</w:t>
      </w:r>
      <w:r>
        <w:t>nicado!”.</w:t>
      </w:r>
    </w:p>
    <w:p w:rsidR="00224567" w:rsidRDefault="00224567">
      <w:pPr>
        <w:widowControl w:val="0"/>
        <w:tabs>
          <w:tab w:val="left" w:pos="2835"/>
        </w:tabs>
      </w:pPr>
      <w:r>
        <w:tab/>
        <w:t xml:space="preserve">Posteriormente, refirió, el policía trasladó a Telleldín a la oficina de </w:t>
      </w:r>
      <w:smartTag w:uri="urn:schemas-microsoft-com:office:smarttags" w:element="PersonName">
        <w:smartTagPr>
          <w:attr w:name="ProductID" w:val="la Polic￭a Aeron￡utica"/>
        </w:smartTagPr>
        <w:r>
          <w:t>la Policía Aeronáut</w:t>
        </w:r>
        <w:r>
          <w:t>i</w:t>
        </w:r>
        <w:r>
          <w:t>ca</w:t>
        </w:r>
      </w:smartTag>
      <w:r>
        <w:t xml:space="preserve"> a los efectos de labrar el acta de detención, habiénd</w:t>
      </w:r>
      <w:r>
        <w:t>o</w:t>
      </w:r>
      <w:r>
        <w:t>sele denegado el acceso. Ante ello, se comunicó nuevamente con su jefe, quién luego de acordar con la superioridad policial, se le permitió participar del acto de detención de Telleldín. Según creyó recordar Hernández, el detenido portaba un bolso pequeño. Al serle exhibida el acta de fs. 348, el testigo reconoció su firma y explicó que no hizo constar la existencia del aludido bolso pues en ese mome</w:t>
      </w:r>
      <w:r>
        <w:t>n</w:t>
      </w:r>
      <w:r>
        <w:t>to no lo tuvo pr</w:t>
      </w:r>
      <w:r>
        <w:t>e</w:t>
      </w:r>
      <w:r>
        <w:t>sente.</w:t>
      </w:r>
    </w:p>
    <w:p w:rsidR="00224567" w:rsidRDefault="00224567">
      <w:pPr>
        <w:widowControl w:val="0"/>
        <w:tabs>
          <w:tab w:val="left" w:pos="2835"/>
        </w:tabs>
      </w:pPr>
      <w:r>
        <w:tab/>
        <w:t>Hernández destacó que tuvo otro “round” con el personal policial, cuando intentó tra</w:t>
      </w:r>
      <w:r>
        <w:t>s</w:t>
      </w:r>
      <w:r>
        <w:t>ladar a Telleldín al Departamento Central de Policía en su vehículo, ocasión que aprovecharía para recabar más info</w:t>
      </w:r>
      <w:r>
        <w:t>r</w:t>
      </w:r>
      <w:r>
        <w:t>mación. Ante la oposición de los policías, los acompañó en otro vehículo.</w:t>
      </w:r>
    </w:p>
    <w:p w:rsidR="00224567" w:rsidRDefault="00224567">
      <w:pPr>
        <w:widowControl w:val="0"/>
        <w:tabs>
          <w:tab w:val="left" w:pos="2835"/>
        </w:tabs>
      </w:pPr>
      <w:r>
        <w:tab/>
        <w:t>En el camino, expresó el testigo, el automóvil que conducía a Carlos Telleldín realizó mani</w:t>
      </w:r>
      <w:r>
        <w:t>o</w:t>
      </w:r>
      <w:r>
        <w:t>bras de distracción para evitar que los siguiera, razón por la cual llegó antes al departamento central. Aclaró, que eran las 19.30 ó 20.00.</w:t>
      </w:r>
    </w:p>
    <w:p w:rsidR="00224567" w:rsidRDefault="00224567">
      <w:pPr>
        <w:widowControl w:val="0"/>
        <w:tabs>
          <w:tab w:val="left" w:pos="2835"/>
        </w:tabs>
      </w:pPr>
      <w:r>
        <w:tab/>
        <w:t xml:space="preserve">Añadió Hernández que permaneció hasta la medianoche en las oficinas de </w:t>
      </w:r>
      <w:smartTag w:uri="urn:schemas-microsoft-com:office:smarttags" w:element="PersonName">
        <w:smartTagPr>
          <w:attr w:name="ProductID" w:val="la Polic￭a Federal"/>
        </w:smartTagPr>
        <w:r>
          <w:t>la Policía Federal</w:t>
        </w:r>
      </w:smartTag>
      <w:r>
        <w:t>, pr</w:t>
      </w:r>
      <w:r>
        <w:t>o</w:t>
      </w:r>
      <w:r>
        <w:t>curando tomar contacto con Carlos Telleldín y al no lograr el objetivo, se retiró hacia la base. En ese ínterin, le llamó poderosamente la atención una persona, que en un principio le pareció un importante funcion</w:t>
      </w:r>
      <w:r>
        <w:t>a</w:t>
      </w:r>
      <w:r>
        <w:t>rio de policía, debido al modo en que se movía en el lugar y que hablaba con los preventores; luego se enteró que era Alejandro Monjo.</w:t>
      </w:r>
    </w:p>
    <w:p w:rsidR="00224567" w:rsidRDefault="00224567">
      <w:pPr>
        <w:widowControl w:val="0"/>
        <w:tabs>
          <w:tab w:val="left" w:pos="2835"/>
        </w:tabs>
      </w:pPr>
      <w:r>
        <w:tab/>
        <w:t xml:space="preserve">Por su parte, Luis Domingo Delizia, en ese entonces, agente de </w:t>
      </w:r>
      <w:smartTag w:uri="urn:schemas-microsoft-com:office:smarttags" w:element="PersonName">
        <w:smartTagPr>
          <w:attr w:name="ProductID" w:val="la Secci￳n Investigaciones"/>
        </w:smartTagPr>
        <w:r>
          <w:t>la Sección Investigaciones</w:t>
        </w:r>
      </w:smartTag>
      <w:r>
        <w:t xml:space="preserve"> de </w:t>
      </w:r>
      <w:smartTag w:uri="urn:schemas-microsoft-com:office:smarttags" w:element="PersonName">
        <w:smartTagPr>
          <w:attr w:name="ProductID" w:val="la Direcci￳n"/>
        </w:smartTagPr>
        <w:r>
          <w:t>la Dirección</w:t>
        </w:r>
      </w:smartTag>
      <w:r>
        <w:t xml:space="preserve"> de Contrainteligencia de </w:t>
      </w:r>
      <w:smartTag w:uri="urn:schemas-microsoft-com:office:smarttags" w:element="PersonName">
        <w:smartTagPr>
          <w:attr w:name="ProductID" w:val="la S.I"/>
        </w:smartTagPr>
        <w:r>
          <w:t>la S.I</w:t>
        </w:r>
      </w:smartTag>
      <w:r>
        <w:t>.D.E., señaló que integraba un grupo de investigación a cargo de Néstor R</w:t>
      </w:r>
      <w:r>
        <w:t>i</w:t>
      </w:r>
      <w:r>
        <w:t>cardo Hernández y que, con motivo del atentado, se le e</w:t>
      </w:r>
      <w:r>
        <w:t>n</w:t>
      </w:r>
      <w:r>
        <w:t>comendó realizar diversas tareas, entre las que mencionó las diligencias realizadas en procura de localizar a Ca</w:t>
      </w:r>
      <w:r>
        <w:t>r</w:t>
      </w:r>
      <w:r>
        <w:t>los Alberto Telleldín.</w:t>
      </w:r>
    </w:p>
    <w:p w:rsidR="00224567" w:rsidRDefault="00224567">
      <w:pPr>
        <w:widowControl w:val="0"/>
        <w:tabs>
          <w:tab w:val="left" w:pos="2835"/>
        </w:tabs>
      </w:pPr>
      <w:r>
        <w:tab/>
        <w:t>Al respecto, relató que el 26 de j</w:t>
      </w:r>
      <w:r>
        <w:t>u</w:t>
      </w:r>
      <w:r>
        <w:t>lio de 1994, en horas de la mañana, concurrió al all</w:t>
      </w:r>
      <w:r>
        <w:t>a</w:t>
      </w:r>
      <w:r>
        <w:t>namiento realizado en la agencia “Alejandro Automot</w:t>
      </w:r>
      <w:r>
        <w:t>o</w:t>
      </w:r>
      <w:r>
        <w:t>res”, donde su jefe le exhibió una factura de venta de una camioneta m</w:t>
      </w:r>
      <w:r>
        <w:t>o</w:t>
      </w:r>
      <w:r>
        <w:t>delo Trafic a nombre de “Teccedin” y un papelito con el número telefónico de la casa del sind</w:t>
      </w:r>
      <w:r>
        <w:t>i</w:t>
      </w:r>
      <w:r>
        <w:t>cado. El testigo no dio precisiones del lugar y del modo en que las consta</w:t>
      </w:r>
      <w:r>
        <w:t>n</w:t>
      </w:r>
      <w:r>
        <w:t>cias fueron incautadas, dado que, según explicó, perman</w:t>
      </w:r>
      <w:r>
        <w:t>e</w:t>
      </w:r>
      <w:r>
        <w:t>ció en todo momento en las inm</w:t>
      </w:r>
      <w:r>
        <w:t>e</w:t>
      </w:r>
      <w:r>
        <w:t>diaciones del local.</w:t>
      </w:r>
    </w:p>
    <w:p w:rsidR="00224567" w:rsidRDefault="00224567">
      <w:pPr>
        <w:widowControl w:val="0"/>
        <w:tabs>
          <w:tab w:val="left" w:pos="2835"/>
        </w:tabs>
      </w:pPr>
      <w:r>
        <w:tab/>
        <w:t xml:space="preserve">Comentó que aproximadamente a las 10.30 se trasladaron juntamente con el personal del D.P.O.C. al domicilio de la calle República </w:t>
      </w:r>
      <w:smartTag w:uri="urn:schemas-microsoft-com:office:smarttags" w:element="metricconverter">
        <w:smartTagPr>
          <w:attr w:name="ProductID" w:val="107, a"/>
        </w:smartTagPr>
        <w:r>
          <w:t>107, a</w:t>
        </w:r>
      </w:smartTag>
      <w:r>
        <w:t xml:space="preserve"> efectos de realizar una observación del lugar. Según comentarios de los policías, se estaba a la espera de una orden de allanamiento para la vivienda.</w:t>
      </w:r>
    </w:p>
    <w:p w:rsidR="00224567" w:rsidRDefault="00224567">
      <w:pPr>
        <w:widowControl w:val="0"/>
        <w:tabs>
          <w:tab w:val="left" w:pos="2835"/>
        </w:tabs>
      </w:pPr>
      <w:r>
        <w:tab/>
        <w:t>Relató que entre las 14.00 y las 15.00 salió una mujer de cabellos rubios –luego supo que se tr</w:t>
      </w:r>
      <w:r>
        <w:t>a</w:t>
      </w:r>
      <w:r>
        <w:t>taba de Ana María Boragni- hacia un kiosco a unas dos cu</w:t>
      </w:r>
      <w:r>
        <w:t>a</w:t>
      </w:r>
      <w:r>
        <w:t>dras de su casa, retornando luego de hacer algunas co</w:t>
      </w:r>
      <w:r>
        <w:t>m</w:t>
      </w:r>
      <w:r>
        <w:t>pras.</w:t>
      </w:r>
    </w:p>
    <w:p w:rsidR="00224567" w:rsidRDefault="00224567">
      <w:pPr>
        <w:widowControl w:val="0"/>
        <w:tabs>
          <w:tab w:val="left" w:pos="2835"/>
        </w:tabs>
      </w:pPr>
      <w:r>
        <w:tab/>
        <w:t>Cerca de las 16.00, recordó Delizia, estacionó en la puerta de la casa un Ford Falcón, color bordó y descendieron dos hombres que ingresaron al domic</w:t>
      </w:r>
      <w:r>
        <w:t>i</w:t>
      </w:r>
      <w:r>
        <w:t>lio vigilado.</w:t>
      </w:r>
    </w:p>
    <w:p w:rsidR="00224567" w:rsidRDefault="00224567">
      <w:pPr>
        <w:widowControl w:val="0"/>
        <w:tabs>
          <w:tab w:val="left" w:pos="2835"/>
        </w:tabs>
      </w:pPr>
      <w:r>
        <w:tab/>
        <w:t>Seguidamente, el jefe de la comisión del D.P.O.C. de nombre Aldo, tomó contacto con Herná</w:t>
      </w:r>
      <w:r>
        <w:t>n</w:t>
      </w:r>
      <w:r>
        <w:t>dez y luego de realizar las consultas pertinentes, se ordenó i</w:t>
      </w:r>
      <w:r>
        <w:t>n</w:t>
      </w:r>
      <w:r>
        <w:t>terceptar el vehículo cuando ambos sujetos s</w:t>
      </w:r>
      <w:r>
        <w:t>a</w:t>
      </w:r>
      <w:r>
        <w:t>lieran de la casa. Fue así que, al cabo de quince o veinte minutos, los individuos subieron al rodado, oportunidad en la cual cr</w:t>
      </w:r>
      <w:r>
        <w:t>u</w:t>
      </w:r>
      <w:r>
        <w:t>zó el paso el vehículo del personal policial. Al de</w:t>
      </w:r>
      <w:r>
        <w:t>s</w:t>
      </w:r>
      <w:r>
        <w:t>cender aquellos del rodado, palpó sobre las ropas a uno de los individuos, quien estaba lastimado por una herida de bala, según refiriera. Los sujetos se identificaron como Diego Barreda y Mario Bareiro a la vez que refirieron ser pol</w:t>
      </w:r>
      <w:r>
        <w:t>i</w:t>
      </w:r>
      <w:r>
        <w:t>cías de la provincia de Buenos Aires. Estos invitaron a los investigadores a ingresar a la vivienda para aclarar la situación. En ese momento, Ana María Boragni se enco</w:t>
      </w:r>
      <w:r>
        <w:t>n</w:t>
      </w:r>
      <w:r>
        <w:t>traba en la puerta de la casa.</w:t>
      </w:r>
    </w:p>
    <w:p w:rsidR="00224567" w:rsidRDefault="00224567">
      <w:pPr>
        <w:widowControl w:val="0"/>
        <w:tabs>
          <w:tab w:val="left" w:pos="2835"/>
        </w:tabs>
      </w:pPr>
      <w:r>
        <w:tab/>
        <w:t>Declaró que Boragni, visiblemente ne</w:t>
      </w:r>
      <w:r>
        <w:t>r</w:t>
      </w:r>
      <w:r>
        <w:t>viosa, estuvo de acuerdo en que ingresaran a la v</w:t>
      </w:r>
      <w:r>
        <w:t>i</w:t>
      </w:r>
      <w:r>
        <w:t>vienda. Una vez en el interior, tras un pequeño inte</w:t>
      </w:r>
      <w:r>
        <w:t>r</w:t>
      </w:r>
      <w:r>
        <w:t>rogatorio, la nombrada comentó que su marido no se encontraba en el l</w:t>
      </w:r>
      <w:r>
        <w:t>u</w:t>
      </w:r>
      <w:r>
        <w:t>gar y que desconocía su paradero, al tiempo que explicó las circunstancias en que se de</w:t>
      </w:r>
      <w:r>
        <w:t>s</w:t>
      </w:r>
      <w:r>
        <w:t>prendieron de la camioneta objeto de investigación que coinciden, sustancialmente, con lo relatado por su jefe Hernández.</w:t>
      </w:r>
    </w:p>
    <w:p w:rsidR="00224567" w:rsidRDefault="00224567">
      <w:pPr>
        <w:widowControl w:val="0"/>
        <w:tabs>
          <w:tab w:val="left" w:pos="2835"/>
        </w:tabs>
      </w:pPr>
      <w:r>
        <w:tab/>
        <w:t>Apreció Delizia que Boragni “era como que ya sabía” que la camioneta vendida había sido utiliz</w:t>
      </w:r>
      <w:r>
        <w:t>a</w:t>
      </w:r>
      <w:r>
        <w:t>da para cometer el atentado y, en algún momento, hizo ese comentario, según su parecer.</w:t>
      </w:r>
    </w:p>
    <w:p w:rsidR="00224567" w:rsidRDefault="00224567">
      <w:pPr>
        <w:widowControl w:val="0"/>
        <w:tabs>
          <w:tab w:val="left" w:pos="2835"/>
        </w:tabs>
      </w:pPr>
      <w:r>
        <w:tab/>
        <w:t>Continuó relatando el testigo que por orden de su jefe, permaneció dentro de la casa con la f</w:t>
      </w:r>
      <w:r>
        <w:t>i</w:t>
      </w:r>
      <w:r>
        <w:t>nalidad de observar los movimientos que pudieran produci</w:t>
      </w:r>
      <w:r>
        <w:t>r</w:t>
      </w:r>
      <w:r>
        <w:t>se. También hicieron lo propio el policía de no</w:t>
      </w:r>
      <w:r>
        <w:t>m</w:t>
      </w:r>
      <w:r>
        <w:t>bre Aldo  –integrante del D.P.O.C.-, los aludidos B</w:t>
      </w:r>
      <w:r>
        <w:t>a</w:t>
      </w:r>
      <w:r>
        <w:t xml:space="preserve">rreda y Bareiro y un agente de </w:t>
      </w:r>
      <w:smartTag w:uri="urn:schemas-microsoft-com:office:smarttags" w:element="PersonName">
        <w:smartTagPr>
          <w:attr w:name="ProductID" w:val="la S.I"/>
        </w:smartTagPr>
        <w:r>
          <w:t>la S.I</w:t>
        </w:r>
      </w:smartTag>
      <w:r>
        <w:t>.D.E., que quedó en el exterior para vigilar la zona.</w:t>
      </w:r>
    </w:p>
    <w:p w:rsidR="00224567" w:rsidRDefault="00224567">
      <w:pPr>
        <w:widowControl w:val="0"/>
        <w:tabs>
          <w:tab w:val="left" w:pos="2835"/>
        </w:tabs>
      </w:pPr>
      <w:r>
        <w:tab/>
        <w:t>No obstante, indicó que en ningún m</w:t>
      </w:r>
      <w:r>
        <w:t>o</w:t>
      </w:r>
      <w:r>
        <w:t>mento revisó la vivienda debido a que no contaban con la orden de allanamiento, ni tampoco verificó si T</w:t>
      </w:r>
      <w:r>
        <w:t>e</w:t>
      </w:r>
      <w:r>
        <w:t>lleldín u otras persona pudieran estar en el interior. Sólo una vez, apuntó, se movió del comedor para acompañar al nombrado Aldo a la planta alta, quién, a su vez, tenía intención de observar la vivienda. Añadió, que se controlaban mutuame</w:t>
      </w:r>
      <w:r>
        <w:t>n</w:t>
      </w:r>
      <w:r>
        <w:t xml:space="preserve">te entre los funcionarios del D.P.O.C. y de </w:t>
      </w:r>
      <w:smartTag w:uri="urn:schemas-microsoft-com:office:smarttags" w:element="PersonName">
        <w:smartTagPr>
          <w:attr w:name="ProductID" w:val="la S.I"/>
        </w:smartTagPr>
        <w:r>
          <w:t>la S.I</w:t>
        </w:r>
      </w:smartTag>
      <w:r>
        <w:t>.D.E.</w:t>
      </w:r>
    </w:p>
    <w:p w:rsidR="00224567" w:rsidRDefault="00224567">
      <w:pPr>
        <w:widowControl w:val="0"/>
        <w:tabs>
          <w:tab w:val="left" w:pos="2835"/>
        </w:tabs>
      </w:pPr>
      <w:r>
        <w:tab/>
        <w:t>Explicó Delizia que la situación era bastante tensa, dado que los dos policías bonaerenses c</w:t>
      </w:r>
      <w:r>
        <w:t>o</w:t>
      </w:r>
      <w:r>
        <w:t>mentaban que “por culpa de Telleldín se iban a ver invol</w:t>
      </w:r>
      <w:r>
        <w:t>u</w:t>
      </w:r>
      <w:r>
        <w:t>crados en todo este problema del atentado”. Además, ind</w:t>
      </w:r>
      <w:r>
        <w:t>i</w:t>
      </w:r>
      <w:r>
        <w:t>caron que Telleldín era un “pillo de baja monta”, que ellos tenían conocimiento de las actividades de venta de autos truchos o mellizos y que “de tanto en tanto se las permitían porque no era nada peligroso”, recibiendo algo a cambio. Sin perjuicio de ello, Delizia dijo que  no  int</w:t>
      </w:r>
      <w:r>
        <w:t>e</w:t>
      </w:r>
      <w:r>
        <w:t>rrogó a los nombrados dado que “no tenía ordenes en ese sentido”.</w:t>
      </w:r>
    </w:p>
    <w:p w:rsidR="00224567" w:rsidRDefault="00224567">
      <w:pPr>
        <w:widowControl w:val="0"/>
        <w:tabs>
          <w:tab w:val="left" w:pos="2835"/>
        </w:tabs>
      </w:pPr>
      <w:r>
        <w:tab/>
        <w:t>Refirió que entre las 20.00 y las 20.30 llegó una persona joven, robusta y de pelo corto, que luego se enteró que se trataba de Eduardo Telleldín, el hermano de Carlos, quien visiblemente exaltado y prof</w:t>
      </w:r>
      <w:r>
        <w:t>i</w:t>
      </w:r>
      <w:r>
        <w:t>riendo insultos increpó a Barreda y Bareiro diciendo que “hacía una semana había hecho un pago de $ 25.000 para que lo dejaran de molestar” a Carlos; se retiró mencionando que hablaría con su abogado.</w:t>
      </w:r>
    </w:p>
    <w:p w:rsidR="00224567" w:rsidRDefault="00224567">
      <w:pPr>
        <w:widowControl w:val="0"/>
        <w:tabs>
          <w:tab w:val="left" w:pos="2835"/>
        </w:tabs>
      </w:pPr>
      <w:r>
        <w:tab/>
        <w:t>Al ser interrogado por el temperame</w:t>
      </w:r>
      <w:r>
        <w:t>n</w:t>
      </w:r>
      <w:r>
        <w:t>to adoptado frente a esa situación, Delizia señaló que no le preguntó dónde estaba su hermano, ni tampoco a qué se d</w:t>
      </w:r>
      <w:r>
        <w:t>e</w:t>
      </w:r>
      <w:r>
        <w:t>bía el comentario; justificó su pasividad en que “no había ninguna orden de detener, ni de interr</w:t>
      </w:r>
      <w:r>
        <w:t>o</w:t>
      </w:r>
      <w:r>
        <w:t>gar a nadie” y “que lo único que tenía que hacer era observar el movimiento en el lugar”. Tampoco requirió a los policías bonaerenses e</w:t>
      </w:r>
      <w:r>
        <w:t>x</w:t>
      </w:r>
      <w:r>
        <w:t>plicación alguna al respe</w:t>
      </w:r>
      <w:r>
        <w:t>c</w:t>
      </w:r>
      <w:r>
        <w:t>to.</w:t>
      </w:r>
    </w:p>
    <w:p w:rsidR="00224567" w:rsidRDefault="00224567">
      <w:pPr>
        <w:widowControl w:val="0"/>
        <w:tabs>
          <w:tab w:val="left" w:pos="2835"/>
        </w:tabs>
      </w:pPr>
      <w:r>
        <w:tab/>
        <w:t>Se le preguntó, además, si había o</w:t>
      </w:r>
      <w:r>
        <w:t>b</w:t>
      </w:r>
      <w:r>
        <w:t>servado el vehículo en que se trasladó Eduardo Telle</w:t>
      </w:r>
      <w:r>
        <w:t>l</w:t>
      </w:r>
      <w:r>
        <w:t>dín, respondiendo que no lo sabía porque era imposible divisa</w:t>
      </w:r>
      <w:r>
        <w:t>r</w:t>
      </w:r>
      <w:r>
        <w:t>lo desde el interior de la casa.</w:t>
      </w:r>
    </w:p>
    <w:p w:rsidR="00224567" w:rsidRDefault="00224567">
      <w:pPr>
        <w:widowControl w:val="0"/>
        <w:tabs>
          <w:tab w:val="left" w:pos="2835"/>
        </w:tabs>
      </w:pPr>
      <w:r>
        <w:tab/>
        <w:t>Alrededor de las 21.00 ingresaron dos personas vestidas de civil, identificándose una de ellas como el subcomisario Leal, que comentó que “venía a ver qué era lo que estaba pasando con su gente”, en alusión a Barreda y Bareiro. Tras ello, se apartaron a un costado y conversaron con los nombrados por un lapso de diez min</w:t>
      </w:r>
      <w:r>
        <w:t>u</w:t>
      </w:r>
      <w:r>
        <w:t>tos, sumándose el policía Aldo.</w:t>
      </w:r>
    </w:p>
    <w:p w:rsidR="00224567" w:rsidRDefault="00224567">
      <w:pPr>
        <w:pStyle w:val="Sangradetextonormal"/>
        <w:widowControl w:val="0"/>
        <w:tabs>
          <w:tab w:val="left" w:pos="2835"/>
        </w:tabs>
        <w:ind w:firstLine="0"/>
      </w:pPr>
      <w:r>
        <w:tab/>
        <w:t>Dijo Delizia que no escuchó la conve</w:t>
      </w:r>
      <w:r>
        <w:t>r</w:t>
      </w:r>
      <w:r>
        <w:t>sación. Además, que no se acercó porque pensó que si lo hacía y tenían algo que decirse entre ellos, no lo harían. Tampoco interrogó a Barreda y Bareiro sobre el punto una vez que los visitantes se retiraron. La noticia, fue transmitida inmediatamente a su jefe Herná</w:t>
      </w:r>
      <w:r>
        <w:t>n</w:t>
      </w:r>
      <w:r>
        <w:t>dez.</w:t>
      </w:r>
    </w:p>
    <w:p w:rsidR="00224567" w:rsidRDefault="00224567">
      <w:pPr>
        <w:widowControl w:val="0"/>
        <w:tabs>
          <w:tab w:val="left" w:pos="2835"/>
        </w:tabs>
      </w:pPr>
      <w:r>
        <w:tab/>
        <w:t>Poco antes de sentarse a comer unas pizzas y empanadas con Barreda, Bareiro, Aldo y su comp</w:t>
      </w:r>
      <w:r>
        <w:t>a</w:t>
      </w:r>
      <w:r>
        <w:t>ñero de la secretaría, se hizo presente una persona más. Este dijo ser el abogado de Telleldín. Permaneció sólo cinco minutos y dijo a los dos policías bonaerenses que “se quedaran tranquilos, que todo se iba a solucionar”. Luego, se retiró.</w:t>
      </w:r>
    </w:p>
    <w:p w:rsidR="00224567" w:rsidRDefault="00224567">
      <w:pPr>
        <w:widowControl w:val="0"/>
        <w:tabs>
          <w:tab w:val="left" w:pos="2835"/>
        </w:tabs>
      </w:pPr>
      <w:r>
        <w:tab/>
        <w:t>En este caso, al igual que en los a</w:t>
      </w:r>
      <w:r>
        <w:t>n</w:t>
      </w:r>
      <w:r>
        <w:t>teriores, explicó Delizia, no se le pidió ningún tipo de explicación al visitante, ni se le preguntó acerca de su identidad, ni de los motivos de su concurrencia; tampoco supo qué rodados utilizaron para llegar al lugar. Al re</w:t>
      </w:r>
      <w:r>
        <w:t>s</w:t>
      </w:r>
      <w:r>
        <w:t>pecto, refirió que no tenía orden de proh</w:t>
      </w:r>
      <w:r>
        <w:t>i</w:t>
      </w:r>
      <w:r>
        <w:t>birle la entrada a nadie, ni de identificarlos.</w:t>
      </w:r>
    </w:p>
    <w:p w:rsidR="00224567" w:rsidRDefault="00224567">
      <w:pPr>
        <w:widowControl w:val="0"/>
        <w:tabs>
          <w:tab w:val="left" w:pos="2835"/>
        </w:tabs>
      </w:pPr>
      <w:r>
        <w:tab/>
        <w:t xml:space="preserve">Prosiguió relatando que se retiró del domicilio en cuestión entre las 5.00 ó 6.00, dado que no habían más novedades que informar y que en el interior permanecieron las restantes personas. Regresó a la base de </w:t>
      </w:r>
      <w:smartTag w:uri="urn:schemas-microsoft-com:office:smarttags" w:element="PersonName">
        <w:smartTagPr>
          <w:attr w:name="ProductID" w:val="la S.I"/>
        </w:smartTagPr>
        <w:r>
          <w:t>la S.I</w:t>
        </w:r>
      </w:smartTag>
      <w:r>
        <w:t>.D.E. y no habló con nadie porque a esa hora “prob</w:t>
      </w:r>
      <w:r>
        <w:t>a</w:t>
      </w:r>
      <w:r>
        <w:t>blemente estuviera nada más que la gente de guardia”. Lu</w:t>
      </w:r>
      <w:r>
        <w:t>e</w:t>
      </w:r>
      <w:r>
        <w:t>go, regresó a su casa.</w:t>
      </w:r>
    </w:p>
    <w:p w:rsidR="00224567" w:rsidRDefault="00224567">
      <w:pPr>
        <w:widowControl w:val="0"/>
        <w:tabs>
          <w:tab w:val="left" w:pos="2835"/>
        </w:tabs>
      </w:pPr>
      <w:r>
        <w:tab/>
        <w:t>Horas más tarde, narró el testigo, se trasladó nuevamente al domicilio de la calle República 107, donde se encontró con Hernández, Boragni, Barreda, Bareiro y otro agente de inteligencia. Aproximadamente a las 14.00, Carlos Alberto Telleldín se comunicó telefón</w:t>
      </w:r>
      <w:r>
        <w:t>i</w:t>
      </w:r>
      <w:r>
        <w:t xml:space="preserve">camente, oportunidad en que su esposa lo convenció para que se presentara ante el personal de </w:t>
      </w:r>
      <w:smartTag w:uri="urn:schemas-microsoft-com:office:smarttags" w:element="PersonName">
        <w:smartTagPr>
          <w:attr w:name="ProductID" w:val="la S.I"/>
        </w:smartTagPr>
        <w:r>
          <w:t>la S.I</w:t>
        </w:r>
      </w:smartTag>
      <w:r>
        <w:t>.D.E. En ese momento, Hernández lo mandó a que hablara con el nombr</w:t>
      </w:r>
      <w:r>
        <w:t>a</w:t>
      </w:r>
      <w:r>
        <w:t>do, cosa que hizo.</w:t>
      </w:r>
    </w:p>
    <w:p w:rsidR="00224567" w:rsidRDefault="00224567">
      <w:pPr>
        <w:widowControl w:val="0"/>
        <w:tabs>
          <w:tab w:val="left" w:pos="2835"/>
        </w:tabs>
      </w:pPr>
      <w:r>
        <w:tab/>
        <w:t>Durante la conversación, explicó el testigo, intentó tranquilizar a Telleldín, diciéndole que “estaba todo bien, que él sabía como era la hist</w:t>
      </w:r>
      <w:r>
        <w:t>o</w:t>
      </w:r>
      <w:r>
        <w:t>ria, que él sabía que el tema era que había vendido la camioneta, y que él estaba nada más que en la venta”, combinando en que se entregaría en el hall de Aerolíneas Argentinas a las 16.00. Luego, tomó el teléfono Diego Barreda.</w:t>
      </w:r>
    </w:p>
    <w:p w:rsidR="00224567" w:rsidRDefault="00224567">
      <w:pPr>
        <w:widowControl w:val="0"/>
        <w:tabs>
          <w:tab w:val="left" w:pos="2835"/>
        </w:tabs>
      </w:pPr>
      <w:r>
        <w:tab/>
        <w:t xml:space="preserve">Con dicha información, se dirigieron al aeroparque metropolitano junto con personal policial que se sumó en un punto prefijado de </w:t>
      </w:r>
      <w:smartTag w:uri="urn:schemas-microsoft-com:office:smarttags" w:element="PersonName">
        <w:smartTagPr>
          <w:attr w:name="ProductID" w:val="la Av. Gral."/>
        </w:smartTagPr>
        <w:r>
          <w:t>la Av. Gral.</w:t>
        </w:r>
      </w:smartTag>
      <w:r>
        <w:t xml:space="preserve"> Paz. Allí ubicaron a Carlos Telleldín, lo detuvieron y trasl</w:t>
      </w:r>
      <w:r>
        <w:t>a</w:t>
      </w:r>
      <w:r>
        <w:t>daron al departamento policial. Durante el trayecto, c</w:t>
      </w:r>
      <w:r>
        <w:t>o</w:t>
      </w:r>
      <w:r>
        <w:t>mentó, el vehículo policial realizó maniobras a fin de evitarlos, consiguiéndolo. No obstante, al cabo de unos minutos, se reencontraron en la sede policial.</w:t>
      </w:r>
    </w:p>
    <w:p w:rsidR="00224567" w:rsidRDefault="00224567">
      <w:pPr>
        <w:widowControl w:val="0"/>
        <w:tabs>
          <w:tab w:val="left" w:pos="2835"/>
        </w:tabs>
      </w:pPr>
      <w:r>
        <w:tab/>
        <w:t>Delizia, al igual que Hernández, al</w:t>
      </w:r>
      <w:r>
        <w:t>u</w:t>
      </w:r>
      <w:r>
        <w:t>dió a la extraña actitud de Alejandro Monjo en las ofic</w:t>
      </w:r>
      <w:r>
        <w:t>i</w:t>
      </w:r>
      <w:r>
        <w:t>nas del D.P.O.C. y añadió que éste se entrevistó con el comisario De León, oportunidad en la cual le exhibió doc</w:t>
      </w:r>
      <w:r>
        <w:t>u</w:t>
      </w:r>
      <w:r>
        <w:t>mentación que llevaba en un portafolio.</w:t>
      </w:r>
    </w:p>
    <w:p w:rsidR="00224567" w:rsidRDefault="00224567">
      <w:pPr>
        <w:widowControl w:val="0"/>
        <w:tabs>
          <w:tab w:val="left" w:pos="2835"/>
        </w:tabs>
      </w:pPr>
      <w:r>
        <w:tab/>
        <w:t xml:space="preserve">Daniel Alberto Fernández, también agente de </w:t>
      </w:r>
      <w:smartTag w:uri="urn:schemas-microsoft-com:office:smarttags" w:element="PersonName">
        <w:smartTagPr>
          <w:attr w:name="ProductID" w:val="la Direcci￳n"/>
        </w:smartTagPr>
        <w:r>
          <w:t>la Dirección</w:t>
        </w:r>
      </w:smartTag>
      <w:r>
        <w:t xml:space="preserve"> de Contrainteligencia, señaló que a partir del hallazgo del motor participó de los proced</w:t>
      </w:r>
      <w:r>
        <w:t>i</w:t>
      </w:r>
      <w:r>
        <w:t>mientos que se realizaron para establecer el último tit</w:t>
      </w:r>
      <w:r>
        <w:t>u</w:t>
      </w:r>
      <w:r>
        <w:t>lar del rodado en cuestión.</w:t>
      </w:r>
    </w:p>
    <w:p w:rsidR="00224567" w:rsidRDefault="00224567">
      <w:pPr>
        <w:widowControl w:val="0"/>
        <w:tabs>
          <w:tab w:val="left" w:pos="2835"/>
        </w:tabs>
      </w:pPr>
      <w:r>
        <w:tab/>
        <w:t xml:space="preserve">En ese sentido, afirmó que en horas de la noche del 25 de julio de 1994 se presentó junto con una comisión de </w:t>
      </w:r>
      <w:smartTag w:uri="urn:schemas-microsoft-com:office:smarttags" w:element="PersonName">
        <w:smartTagPr>
          <w:attr w:name="ProductID" w:val="la S.I"/>
        </w:smartTagPr>
        <w:r>
          <w:t>la S.I</w:t>
        </w:r>
      </w:smartTag>
      <w:r>
        <w:t>.D.E. en la agencia “Alejandro Automot</w:t>
      </w:r>
      <w:r>
        <w:t>o</w:t>
      </w:r>
      <w:r>
        <w:t>res”, pero como el local estaba cerrado, la operación se postergó para las primeras horas del día siguiente, por cuanto se requería una orden de allanamiento. También pa</w:t>
      </w:r>
      <w:r>
        <w:t>r</w:t>
      </w:r>
      <w:r>
        <w:t>ticipó en el cateo en cuestión, pe</w:t>
      </w:r>
      <w:r>
        <w:t>r</w:t>
      </w:r>
      <w:r>
        <w:t>maneciendo en el playón de la agencia.</w:t>
      </w:r>
    </w:p>
    <w:p w:rsidR="00224567" w:rsidRDefault="00224567">
      <w:pPr>
        <w:widowControl w:val="0"/>
        <w:tabs>
          <w:tab w:val="left" w:pos="2835"/>
        </w:tabs>
      </w:pPr>
      <w:r>
        <w:tab/>
        <w:t>Recordó que en horas del mediodía se instaló un servicio en las inmediaciones de la casa de Carlos Alberto Telleldín, en procura de vigilar el l</w:t>
      </w:r>
      <w:r>
        <w:t>u</w:t>
      </w:r>
      <w:r>
        <w:t>gar, a la espera de una orden de registro de la vivie</w:t>
      </w:r>
      <w:r>
        <w:t>n</w:t>
      </w:r>
      <w:r>
        <w:t>da.</w:t>
      </w:r>
    </w:p>
    <w:p w:rsidR="00224567" w:rsidRDefault="00224567">
      <w:pPr>
        <w:widowControl w:val="0"/>
        <w:tabs>
          <w:tab w:val="left" w:pos="2835"/>
        </w:tabs>
      </w:pPr>
      <w:r>
        <w:tab/>
        <w:t>En la oportunidad, relató, eran cu</w:t>
      </w:r>
      <w:r>
        <w:t>a</w:t>
      </w:r>
      <w:r>
        <w:t xml:space="preserve">tro los funcionarios de </w:t>
      </w:r>
      <w:smartTag w:uri="urn:schemas-microsoft-com:office:smarttags" w:element="PersonName">
        <w:smartTagPr>
          <w:attr w:name="ProductID" w:val="la S.I"/>
        </w:smartTagPr>
        <w:r>
          <w:t>la S.I</w:t>
        </w:r>
      </w:smartTag>
      <w:r>
        <w:t>.D.E. y dos los del D.P.O.C. Al cabo de tres o cuatro horas una señora s</w:t>
      </w:r>
      <w:r>
        <w:t>a</w:t>
      </w:r>
      <w:r>
        <w:t>lió de la casa y realizó algunas compras en la zona, regresando poco de</w:t>
      </w:r>
      <w:r>
        <w:t>s</w:t>
      </w:r>
      <w:r>
        <w:t>pués. Seguidamente, concurrieron dos personas a bordo de un automóvil que ingresaron en el domicilio. Al dar la n</w:t>
      </w:r>
      <w:r>
        <w:t>o</w:t>
      </w:r>
      <w:r>
        <w:t>ticia a la jefatura de la secr</w:t>
      </w:r>
      <w:r>
        <w:t>e</w:t>
      </w:r>
      <w:r>
        <w:t>taría, les fue ordenado su identificación. Luego de unos cuarenta minutos, los ind</w:t>
      </w:r>
      <w:r>
        <w:t>i</w:t>
      </w:r>
      <w:r>
        <w:t>viduos salieron de la casa y, cuando subieron al rodado y emprendieron la marcha, fueron interceptados al llegar a la esquina. Descendieron del vehículo y se dieron a con</w:t>
      </w:r>
      <w:r>
        <w:t>o</w:t>
      </w:r>
      <w:r>
        <w:t>cer como Diego Barreda y Mario Bareiro, señalando que eran int</w:t>
      </w:r>
      <w:r>
        <w:t>e</w:t>
      </w:r>
      <w:r>
        <w:t xml:space="preserve">grantes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y que conocían a Carlos Telleldín y a su esposa Ana María Boragni.</w:t>
      </w:r>
    </w:p>
    <w:p w:rsidR="00224567" w:rsidRDefault="00224567">
      <w:pPr>
        <w:widowControl w:val="0"/>
        <w:tabs>
          <w:tab w:val="left" w:pos="2835"/>
        </w:tabs>
      </w:pPr>
      <w:r>
        <w:tab/>
        <w:t>Posteriormente, expuso, se dirigieron hacia el domicilio en cuestión a los efectos de obtener algún tipo de información sobre el nombrado Telleldín. En la puerta, fueron recibidos por Boragni, quien los invitó a pasar.</w:t>
      </w:r>
    </w:p>
    <w:p w:rsidR="00224567" w:rsidRDefault="00224567">
      <w:pPr>
        <w:widowControl w:val="0"/>
        <w:tabs>
          <w:tab w:val="left" w:pos="2835"/>
        </w:tabs>
      </w:pPr>
      <w:r>
        <w:tab/>
        <w:t>Expresó que se interrogó a la nombr</w:t>
      </w:r>
      <w:r>
        <w:t>a</w:t>
      </w:r>
      <w:r>
        <w:t>da acerca de la camioneta que había sido de su marido, expl</w:t>
      </w:r>
      <w:r>
        <w:t>i</w:t>
      </w:r>
      <w:r>
        <w:t>cando que un domingo al mediodía la vendió a una persona con acento centroamericano, que utilizaba pelo largo suj</w:t>
      </w:r>
      <w:r>
        <w:t>e</w:t>
      </w:r>
      <w:r>
        <w:t>tado con una colita y una gorra con visera. Además, que el sujeto probó la camioneta antes de retirarla y que la op</w:t>
      </w:r>
      <w:r>
        <w:t>e</w:t>
      </w:r>
      <w:r>
        <w:t>ración fue rápida. Acotó que no era muy ducho en el manejo de ese tipo de vehículos, ayudándolo su marido para arra</w:t>
      </w:r>
      <w:r>
        <w:t>n</w:t>
      </w:r>
      <w:r>
        <w:t>carlo.</w:t>
      </w:r>
    </w:p>
    <w:p w:rsidR="00224567" w:rsidRDefault="00224567">
      <w:pPr>
        <w:widowControl w:val="0"/>
        <w:tabs>
          <w:tab w:val="left" w:pos="2835"/>
        </w:tabs>
      </w:pPr>
      <w:r>
        <w:tab/>
        <w:t>Señaló el testigo que su jefe Herná</w:t>
      </w:r>
      <w:r>
        <w:t>n</w:t>
      </w:r>
      <w:r>
        <w:t>dez le impartió la directiva de permanecer en el veh</w:t>
      </w:r>
      <w:r>
        <w:t>í</w:t>
      </w:r>
      <w:r>
        <w:t>culo estacionado a unos sesenta metros de la casa, con la fin</w:t>
      </w:r>
      <w:r>
        <w:t>a</w:t>
      </w:r>
      <w:r>
        <w:t>lidad de mantener una cobertura externa, en tanto que D</w:t>
      </w:r>
      <w:r>
        <w:t>e</w:t>
      </w:r>
      <w:r>
        <w:t>lizia realizaba la vigilancia en el interior del inmueble. Que Hernández y Silo abandonaron el lugar junto con Ana María Boragni y una comisión policial que la trasladó.</w:t>
      </w:r>
    </w:p>
    <w:p w:rsidR="00224567" w:rsidRDefault="00224567">
      <w:pPr>
        <w:widowControl w:val="0"/>
        <w:tabs>
          <w:tab w:val="left" w:pos="2835"/>
        </w:tabs>
      </w:pPr>
      <w:r>
        <w:tab/>
        <w:t>En el transcurso de la noche, refirió Fernández, concurrió al domicilio una persona joven. Pese a afirmar que estaba completamente abocado a re</w:t>
      </w:r>
      <w:r>
        <w:t>a</w:t>
      </w:r>
      <w:r>
        <w:t>lizar una vigilancia en el exterior de la vivienda, que el barrio era muy tranquilo, que no había tránsito y que tampoco h</w:t>
      </w:r>
      <w:r>
        <w:t>a</w:t>
      </w:r>
      <w:r>
        <w:t>bía peatones, el testigo, al ser interrogado, no supo d</w:t>
      </w:r>
      <w:r>
        <w:t>e</w:t>
      </w:r>
      <w:r>
        <w:t>cir en qué vehículo llegó la persona.</w:t>
      </w:r>
    </w:p>
    <w:p w:rsidR="00224567" w:rsidRDefault="00224567">
      <w:pPr>
        <w:widowControl w:val="0"/>
        <w:tabs>
          <w:tab w:val="left" w:pos="2835"/>
        </w:tabs>
      </w:pPr>
      <w:r>
        <w:tab/>
        <w:t>Tiempo después, dijo Fernández, se presentaron otros dos individuos; en el caso, tampoco pr</w:t>
      </w:r>
      <w:r>
        <w:t>e</w:t>
      </w:r>
      <w:r>
        <w:t>cisó los vehículos en que arribaron.</w:t>
      </w:r>
    </w:p>
    <w:p w:rsidR="00224567" w:rsidRDefault="00224567">
      <w:pPr>
        <w:widowControl w:val="0"/>
        <w:tabs>
          <w:tab w:val="left" w:pos="2835"/>
        </w:tabs>
        <w:ind w:firstLine="708"/>
      </w:pPr>
      <w:r>
        <w:tab/>
        <w:t>Posteriormente, su compañero le com</w:t>
      </w:r>
      <w:r>
        <w:t>u</w:t>
      </w:r>
      <w:r>
        <w:t xml:space="preserve">nicó que el primero se había presentado como el hermano de Telleldín, mientras que de los otros dos, uno dijo que era un subcomisario de </w:t>
      </w:r>
      <w:smartTag w:uri="urn:schemas-microsoft-com:office:smarttags" w:element="PersonName">
        <w:smartTagPr>
          <w:attr w:name="ProductID" w:val="la Polic￭a Bonaerense"/>
        </w:smartTagPr>
        <w:r>
          <w:t>la Policía Bonaerense</w:t>
        </w:r>
      </w:smartTag>
      <w:r>
        <w:t xml:space="preserve"> y que estaban preocupados por la situación de sus colegas Barreda y B</w:t>
      </w:r>
      <w:r>
        <w:t>a</w:t>
      </w:r>
      <w:r>
        <w:t xml:space="preserve">reiro. A pesar de ello, indicó Fernández, no moduló a </w:t>
      </w:r>
      <w:smartTag w:uri="urn:schemas-microsoft-com:office:smarttags" w:element="PersonName">
        <w:smartTagPr>
          <w:attr w:name="ProductID" w:val="la S.I"/>
        </w:smartTagPr>
        <w:r>
          <w:t>la S.I</w:t>
        </w:r>
      </w:smartTag>
      <w:r>
        <w:t>.D.E. para poner a la superioridad al tanto de tales circunstancias.</w:t>
      </w:r>
    </w:p>
    <w:p w:rsidR="00224567" w:rsidRDefault="00224567">
      <w:pPr>
        <w:widowControl w:val="0"/>
        <w:tabs>
          <w:tab w:val="left" w:pos="2835"/>
        </w:tabs>
      </w:pPr>
      <w:r>
        <w:tab/>
        <w:t>Continuó relatando que al momento de la cena, fue invitado a ingresar a la vivienda para c</w:t>
      </w:r>
      <w:r>
        <w:t>o</w:t>
      </w:r>
      <w:r>
        <w:t>mer algo rápido con quienes estaban en su interior, r</w:t>
      </w:r>
      <w:r>
        <w:t>e</w:t>
      </w:r>
      <w:r>
        <w:t>firiendo que “la cuestión estaba en ese momento más distendida” y que en la charla surgió que la actividad de Telleldín e</w:t>
      </w:r>
      <w:r>
        <w:t>s</w:t>
      </w:r>
      <w:r>
        <w:t>taba vinculada con la venta de automóviles. Tras ello, r</w:t>
      </w:r>
      <w:r>
        <w:t>e</w:t>
      </w:r>
      <w:r>
        <w:t>tornó a su puesto de vigilancia.</w:t>
      </w:r>
    </w:p>
    <w:p w:rsidR="00224567" w:rsidRDefault="00224567">
      <w:pPr>
        <w:widowControl w:val="0"/>
        <w:tabs>
          <w:tab w:val="left" w:pos="2835"/>
        </w:tabs>
      </w:pPr>
      <w:r>
        <w:tab/>
        <w:t>En el lapso que estuvo adentro de la casa, dijo que no escuchó ni vio que alguien se comun</w:t>
      </w:r>
      <w:r>
        <w:t>i</w:t>
      </w:r>
      <w:r>
        <w:t>cara por teléfono porque “tal vez no presté atención”.</w:t>
      </w:r>
    </w:p>
    <w:p w:rsidR="00224567" w:rsidRDefault="00224567">
      <w:pPr>
        <w:widowControl w:val="0"/>
        <w:tabs>
          <w:tab w:val="left" w:pos="2835"/>
        </w:tabs>
      </w:pPr>
      <w:r>
        <w:tab/>
        <w:t>Al amanecer, concluyó el testigo, r</w:t>
      </w:r>
      <w:r>
        <w:t>e</w:t>
      </w:r>
      <w:r>
        <w:t xml:space="preserve">tornó Ana María Boragni en un vehículo policial, razón por la cual la comisión se replegó a la base de </w:t>
      </w:r>
      <w:smartTag w:uri="urn:schemas-microsoft-com:office:smarttags" w:element="PersonName">
        <w:smartTagPr>
          <w:attr w:name="ProductID" w:val="la S.I"/>
        </w:smartTagPr>
        <w:r>
          <w:t>la S.I</w:t>
        </w:r>
      </w:smartTag>
      <w:r>
        <w:t>.D.E.</w:t>
      </w:r>
    </w:p>
    <w:p w:rsidR="00224567" w:rsidRDefault="00224567">
      <w:pPr>
        <w:widowControl w:val="0"/>
        <w:tabs>
          <w:tab w:val="left" w:pos="2835"/>
        </w:tabs>
      </w:pPr>
      <w:r>
        <w:tab/>
        <w:t xml:space="preserve">Sobre las tareas realizadas también se explayó el personal de Departamento Protección del Orden Constitucional de </w:t>
      </w:r>
      <w:smartTag w:uri="urn:schemas-microsoft-com:office:smarttags" w:element="PersonName">
        <w:smartTagPr>
          <w:attr w:name="ProductID" w:val="la P.F"/>
        </w:smartTagPr>
        <w:r>
          <w:t>la P.F</w:t>
        </w:r>
      </w:smartTag>
      <w:r>
        <w:t>.A.</w:t>
      </w:r>
    </w:p>
    <w:p w:rsidR="00224567" w:rsidRDefault="00224567">
      <w:pPr>
        <w:widowControl w:val="0"/>
        <w:tabs>
          <w:tab w:val="left" w:pos="2835"/>
        </w:tabs>
        <w:ind w:firstLine="708"/>
        <w:rPr>
          <w:lang w:val="es-ES_tradnl"/>
        </w:rPr>
      </w:pPr>
      <w:r>
        <w:tab/>
        <w:t>Aldo Alfredo Álvarez, oficial segundo de inteligencia del mencionado departamento policial, m</w:t>
      </w:r>
      <w:r>
        <w:t>a</w:t>
      </w:r>
      <w:r>
        <w:t xml:space="preserve">nifestó que </w:t>
      </w:r>
      <w:r>
        <w:rPr>
          <w:lang w:val="es-ES_tradnl"/>
        </w:rPr>
        <w:t>el día anterior a la detención de Telle</w:t>
      </w:r>
      <w:r>
        <w:rPr>
          <w:lang w:val="es-ES_tradnl"/>
        </w:rPr>
        <w:t>l</w:t>
      </w:r>
      <w:r>
        <w:rPr>
          <w:lang w:val="es-ES_tradnl"/>
        </w:rPr>
        <w:t>dín, a primera hora de la mañana, le fue encomendado apostarse en el domicilio de la calle República 107 de Villa Ballester, con la finalidad de observar los movimientos de personas en esa vivienda. En esa ocasión, concurrió con otros fu</w:t>
      </w:r>
      <w:r>
        <w:rPr>
          <w:lang w:val="es-ES_tradnl"/>
        </w:rPr>
        <w:t>n</w:t>
      </w:r>
      <w:r>
        <w:rPr>
          <w:lang w:val="es-ES_tradnl"/>
        </w:rPr>
        <w:t xml:space="preserve">cionarios policiales -de quienes sólo recordó el nombre de Strancar- y el personal de </w:t>
      </w:r>
      <w:smartTag w:uri="urn:schemas-microsoft-com:office:smarttags" w:element="PersonName">
        <w:smartTagPr>
          <w:attr w:name="ProductID" w:val="la S.I"/>
        </w:smartTagPr>
        <w:r>
          <w:rPr>
            <w:lang w:val="es-ES_tradnl"/>
          </w:rPr>
          <w:t>la S.I</w:t>
        </w:r>
      </w:smartTag>
      <w:r>
        <w:rPr>
          <w:lang w:val="es-ES_tradnl"/>
        </w:rPr>
        <w:t>.D.E., formado por unas tres o cuatro personas que se movilizaron en otro autom</w:t>
      </w:r>
      <w:r>
        <w:rPr>
          <w:lang w:val="es-ES_tradnl"/>
        </w:rPr>
        <w:t>ó</w:t>
      </w:r>
      <w:r>
        <w:rPr>
          <w:lang w:val="es-ES_tradnl"/>
        </w:rPr>
        <w:t>vil.</w:t>
      </w:r>
    </w:p>
    <w:p w:rsidR="00224567" w:rsidRDefault="00224567">
      <w:pPr>
        <w:pStyle w:val="Textoindependiente3"/>
        <w:widowControl w:val="0"/>
        <w:tabs>
          <w:tab w:val="left" w:pos="2835"/>
        </w:tabs>
        <w:rPr>
          <w:rFonts w:ascii="Courier New" w:hAnsi="Courier New" w:cs="Courier New"/>
          <w:b w:val="0"/>
          <w:bCs/>
          <w:sz w:val="24"/>
          <w:lang w:val="es-ES_tradnl"/>
        </w:rPr>
      </w:pPr>
      <w:r>
        <w:rPr>
          <w:rFonts w:ascii="Courier New" w:hAnsi="Courier New" w:cs="Courier New"/>
          <w:b w:val="0"/>
          <w:bCs/>
          <w:sz w:val="24"/>
          <w:lang w:val="es-ES_tradnl"/>
        </w:rPr>
        <w:tab/>
        <w:t>Así fue, pues, que permaneció en la cuadra de la casa hasta la tarde, oportunidad en que vio ingresar a la vivienda a dos personas que llegaron a bordo de un Ford Falcón, una de las cuales llevaba barba, de acuerdo a la descripción que se le había dado del sosp</w:t>
      </w:r>
      <w:r>
        <w:rPr>
          <w:rFonts w:ascii="Courier New" w:hAnsi="Courier New" w:cs="Courier New"/>
          <w:b w:val="0"/>
          <w:bCs/>
          <w:sz w:val="24"/>
          <w:lang w:val="es-ES_tradnl"/>
        </w:rPr>
        <w:t>e</w:t>
      </w:r>
      <w:r>
        <w:rPr>
          <w:rFonts w:ascii="Courier New" w:hAnsi="Courier New" w:cs="Courier New"/>
          <w:b w:val="0"/>
          <w:bCs/>
          <w:sz w:val="24"/>
          <w:lang w:val="es-ES_tradnl"/>
        </w:rPr>
        <w:t>choso Telleldín. Una vez que transmitió la novedad al D</w:t>
      </w:r>
      <w:r>
        <w:rPr>
          <w:rFonts w:ascii="Courier New" w:hAnsi="Courier New" w:cs="Courier New"/>
          <w:b w:val="0"/>
          <w:bCs/>
          <w:sz w:val="24"/>
          <w:lang w:val="es-ES_tradnl"/>
        </w:rPr>
        <w:t>e</w:t>
      </w:r>
      <w:r>
        <w:rPr>
          <w:rFonts w:ascii="Courier New" w:hAnsi="Courier New" w:cs="Courier New"/>
          <w:b w:val="0"/>
          <w:bCs/>
          <w:sz w:val="24"/>
          <w:lang w:val="es-ES_tradnl"/>
        </w:rPr>
        <w:t>partamento de Policía, se le dio la orden de interceptar a ambos sujetos para identificarlos.</w:t>
      </w:r>
    </w:p>
    <w:p w:rsidR="00224567" w:rsidRDefault="00224567">
      <w:pPr>
        <w:widowControl w:val="0"/>
        <w:tabs>
          <w:tab w:val="left" w:pos="2835"/>
        </w:tabs>
        <w:rPr>
          <w:lang w:val="es-ES_tradnl"/>
        </w:rPr>
      </w:pPr>
      <w:r>
        <w:rPr>
          <w:lang w:val="es-ES_tradnl"/>
        </w:rPr>
        <w:tab/>
        <w:t>Al cabo de unos minutos, relató el testigo, los individuos egresaron de la casa al tiempo que cumplió con la directiva impartida. Determinó, entonces, que se trataban de dos oficiales de la policía de la pr</w:t>
      </w:r>
      <w:r>
        <w:rPr>
          <w:lang w:val="es-ES_tradnl"/>
        </w:rPr>
        <w:t>o</w:t>
      </w:r>
      <w:r>
        <w:rPr>
          <w:lang w:val="es-ES_tradnl"/>
        </w:rPr>
        <w:t>vincia de Buenos Aires apellidados Barreda y Bareiro, quienes refirieron ser amigos de la familia Telleldín.</w:t>
      </w:r>
    </w:p>
    <w:p w:rsidR="00224567" w:rsidRDefault="00224567">
      <w:pPr>
        <w:widowControl w:val="0"/>
        <w:tabs>
          <w:tab w:val="left" w:pos="2835"/>
        </w:tabs>
        <w:ind w:firstLine="708"/>
        <w:rPr>
          <w:lang w:val="es-ES_tradnl"/>
        </w:rPr>
      </w:pPr>
      <w:r>
        <w:rPr>
          <w:lang w:val="es-ES_tradnl"/>
        </w:rPr>
        <w:tab/>
        <w:t>Entretanto, salió la esposa del inve</w:t>
      </w:r>
      <w:r>
        <w:rPr>
          <w:lang w:val="es-ES_tradnl"/>
        </w:rPr>
        <w:t>s</w:t>
      </w:r>
      <w:r>
        <w:rPr>
          <w:lang w:val="es-ES_tradnl"/>
        </w:rPr>
        <w:t>tigado, de nombre Ana Boragni, a quien se la invitó a co</w:t>
      </w:r>
      <w:r>
        <w:rPr>
          <w:lang w:val="es-ES_tradnl"/>
        </w:rPr>
        <w:t>n</w:t>
      </w:r>
      <w:r>
        <w:rPr>
          <w:lang w:val="es-ES_tradnl"/>
        </w:rPr>
        <w:t>currir a la dependencia policial para que prestara decl</w:t>
      </w:r>
      <w:r>
        <w:rPr>
          <w:lang w:val="es-ES_tradnl"/>
        </w:rPr>
        <w:t>a</w:t>
      </w:r>
      <w:r>
        <w:rPr>
          <w:lang w:val="es-ES_tradnl"/>
        </w:rPr>
        <w:t>ración, tal cual le había sido ordenado por sus superi</w:t>
      </w:r>
      <w:r>
        <w:rPr>
          <w:lang w:val="es-ES_tradnl"/>
        </w:rPr>
        <w:t>o</w:t>
      </w:r>
      <w:r>
        <w:rPr>
          <w:lang w:val="es-ES_tradnl"/>
        </w:rPr>
        <w:t>res. Previo a ello, entabló un diálogo con la mujer p</w:t>
      </w:r>
      <w:r>
        <w:rPr>
          <w:lang w:val="es-ES_tradnl"/>
        </w:rPr>
        <w:t>o</w:t>
      </w:r>
      <w:r>
        <w:rPr>
          <w:lang w:val="es-ES_tradnl"/>
        </w:rPr>
        <w:t>niéndola al tanto de las actividades que est</w:t>
      </w:r>
      <w:r>
        <w:rPr>
          <w:lang w:val="es-ES_tradnl"/>
        </w:rPr>
        <w:t>a</w:t>
      </w:r>
      <w:r>
        <w:rPr>
          <w:lang w:val="es-ES_tradnl"/>
        </w:rPr>
        <w:t>ban llevando a cabo, demostrando Boragni cierta preoc</w:t>
      </w:r>
      <w:r>
        <w:rPr>
          <w:lang w:val="es-ES_tradnl"/>
        </w:rPr>
        <w:t>u</w:t>
      </w:r>
      <w:r>
        <w:rPr>
          <w:lang w:val="es-ES_tradnl"/>
        </w:rPr>
        <w:t>pación –estaba un poco nerviosa, dijo- puesto que creía que se trataba del personal del Mossad.</w:t>
      </w:r>
    </w:p>
    <w:p w:rsidR="00224567" w:rsidRDefault="00224567">
      <w:pPr>
        <w:widowControl w:val="0"/>
        <w:tabs>
          <w:tab w:val="left" w:pos="2835"/>
        </w:tabs>
        <w:ind w:firstLine="708"/>
        <w:rPr>
          <w:lang w:val="es-ES_tradnl"/>
        </w:rPr>
      </w:pPr>
      <w:r>
        <w:rPr>
          <w:lang w:val="es-ES_tradnl"/>
        </w:rPr>
        <w:tab/>
        <w:t>Al serle preguntado el motivo por el cual los confundió con ese servicio de inteligencia, dado que aún no se tenía público conocimiento del s</w:t>
      </w:r>
      <w:r>
        <w:rPr>
          <w:lang w:val="es-ES_tradnl"/>
        </w:rPr>
        <w:t>e</w:t>
      </w:r>
      <w:r>
        <w:rPr>
          <w:lang w:val="es-ES_tradnl"/>
        </w:rPr>
        <w:t>cuestro del motor, el testigo respondió que “teóricamente no tendría que saber nada”.</w:t>
      </w:r>
    </w:p>
    <w:p w:rsidR="00224567" w:rsidRDefault="00224567">
      <w:pPr>
        <w:widowControl w:val="0"/>
        <w:tabs>
          <w:tab w:val="left" w:pos="2835"/>
        </w:tabs>
        <w:rPr>
          <w:lang w:val="es-ES_tradnl"/>
        </w:rPr>
      </w:pPr>
      <w:r>
        <w:rPr>
          <w:lang w:val="es-ES_tradnl"/>
        </w:rPr>
        <w:tab/>
        <w:t>Añadió que la brigada al mando del principal Salomone se hizo cargo del traslado de la no</w:t>
      </w:r>
      <w:r>
        <w:rPr>
          <w:lang w:val="es-ES_tradnl"/>
        </w:rPr>
        <w:t>m</w:t>
      </w:r>
      <w:r>
        <w:rPr>
          <w:lang w:val="es-ES_tradnl"/>
        </w:rPr>
        <w:t>brada.</w:t>
      </w:r>
    </w:p>
    <w:p w:rsidR="00224567" w:rsidRDefault="00224567">
      <w:pPr>
        <w:widowControl w:val="0"/>
        <w:tabs>
          <w:tab w:val="left" w:pos="2835"/>
        </w:tabs>
        <w:ind w:firstLine="708"/>
        <w:rPr>
          <w:lang w:val="es-ES_tradnl"/>
        </w:rPr>
      </w:pPr>
      <w:r>
        <w:rPr>
          <w:lang w:val="es-ES_tradnl"/>
        </w:rPr>
        <w:tab/>
        <w:t>Aclaró, por otra parte, que el citado funcionario se presentó en el lugar al momento en que ap</w:t>
      </w:r>
      <w:r>
        <w:rPr>
          <w:lang w:val="es-ES_tradnl"/>
        </w:rPr>
        <w:t>a</w:t>
      </w:r>
      <w:r>
        <w:rPr>
          <w:lang w:val="es-ES_tradnl"/>
        </w:rPr>
        <w:t>recieron los oficiales Barreda y Bareiro. En punto al m</w:t>
      </w:r>
      <w:r>
        <w:rPr>
          <w:lang w:val="es-ES_tradnl"/>
        </w:rPr>
        <w:t>o</w:t>
      </w:r>
      <w:r>
        <w:rPr>
          <w:lang w:val="es-ES_tradnl"/>
        </w:rPr>
        <w:t>tivo que determinó la convocatoria de Salomone, el testigo no pudo aportar mayores detalle; dijo, “no sé si había s</w:t>
      </w:r>
      <w:r>
        <w:rPr>
          <w:lang w:val="es-ES_tradnl"/>
        </w:rPr>
        <w:t>i</w:t>
      </w:r>
      <w:r>
        <w:rPr>
          <w:lang w:val="es-ES_tradnl"/>
        </w:rPr>
        <w:t>do enviada de apoyo, de refuerzo...por el tema del vehíc</w:t>
      </w:r>
      <w:r>
        <w:rPr>
          <w:lang w:val="es-ES_tradnl"/>
        </w:rPr>
        <w:t>u</w:t>
      </w:r>
      <w:r>
        <w:rPr>
          <w:lang w:val="es-ES_tradnl"/>
        </w:rPr>
        <w:t>lo [de Barreda y Bareiro], no creo, po</w:t>
      </w:r>
      <w:r>
        <w:rPr>
          <w:lang w:val="es-ES_tradnl"/>
        </w:rPr>
        <w:t>r</w:t>
      </w:r>
      <w:r>
        <w:rPr>
          <w:lang w:val="es-ES_tradnl"/>
        </w:rPr>
        <w:t>que no podría haber llegado tan rápido”.</w:t>
      </w:r>
    </w:p>
    <w:p w:rsidR="00224567" w:rsidRDefault="00224567">
      <w:pPr>
        <w:widowControl w:val="0"/>
        <w:tabs>
          <w:tab w:val="left" w:pos="2835"/>
        </w:tabs>
        <w:rPr>
          <w:lang w:val="es-ES_tradnl"/>
        </w:rPr>
      </w:pPr>
      <w:r>
        <w:rPr>
          <w:lang w:val="es-ES_tradnl"/>
        </w:rPr>
        <w:tab/>
        <w:t>El testigo aclaró que Boragni les s</w:t>
      </w:r>
      <w:r>
        <w:rPr>
          <w:lang w:val="es-ES_tradnl"/>
        </w:rPr>
        <w:t>o</w:t>
      </w:r>
      <w:r>
        <w:rPr>
          <w:lang w:val="es-ES_tradnl"/>
        </w:rPr>
        <w:t>licitó que permanecieran en el interior de la casa hasta su regreso, para que cuidaran a sus tres hijos, dos ad</w:t>
      </w:r>
      <w:r>
        <w:rPr>
          <w:lang w:val="es-ES_tradnl"/>
        </w:rPr>
        <w:t>o</w:t>
      </w:r>
      <w:r>
        <w:rPr>
          <w:lang w:val="es-ES_tradnl"/>
        </w:rPr>
        <w:t xml:space="preserve">lescentes y un niño de dos años. Por ese motivo, dijo el funcionario de inteligencia, ingresó a la casa junto con el jefe de la comisión de </w:t>
      </w:r>
      <w:smartTag w:uri="urn:schemas-microsoft-com:office:smarttags" w:element="PersonName">
        <w:smartTagPr>
          <w:attr w:name="ProductID" w:val="la S.I"/>
        </w:smartTagPr>
        <w:r>
          <w:rPr>
            <w:lang w:val="es-ES_tradnl"/>
          </w:rPr>
          <w:t>la S.I</w:t>
        </w:r>
      </w:smartTag>
      <w:r>
        <w:rPr>
          <w:lang w:val="es-ES_tradnl"/>
        </w:rPr>
        <w:t xml:space="preserve">.D.E. y los dos oficiales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Allí permanecieron hasta aprox</w:t>
      </w:r>
      <w:r>
        <w:rPr>
          <w:lang w:val="es-ES_tradnl"/>
        </w:rPr>
        <w:t>i</w:t>
      </w:r>
      <w:r>
        <w:rPr>
          <w:lang w:val="es-ES_tradnl"/>
        </w:rPr>
        <w:t>madamente las 3.00 de la mañana del día siguiente, hora en que regresó Boragni.</w:t>
      </w:r>
    </w:p>
    <w:p w:rsidR="00224567" w:rsidRDefault="00224567">
      <w:pPr>
        <w:widowControl w:val="0"/>
        <w:tabs>
          <w:tab w:val="left" w:pos="2835"/>
        </w:tabs>
        <w:rPr>
          <w:lang w:val="es-ES_tradnl"/>
        </w:rPr>
      </w:pPr>
      <w:r>
        <w:rPr>
          <w:lang w:val="es-ES_tradnl"/>
        </w:rPr>
        <w:tab/>
        <w:t>Durante ese lapso, dijo Álvarez, no se revisó la propiedad, ni se interrogó a los oficiales de policía, ni a los familiares del sospechoso. Sólo recordó que comió unas empanadas y se comunicó en forma telefónica con su dependencia, utilizando la línea instalada en el domicilio. Aclaró que no se trató de un allanamiento sino que, la razón del ingreso de la comisión estatal, estaba dado, reiteró varias veces, a que debían cuidar de los n</w:t>
      </w:r>
      <w:r>
        <w:rPr>
          <w:lang w:val="es-ES_tradnl"/>
        </w:rPr>
        <w:t>i</w:t>
      </w:r>
      <w:r>
        <w:rPr>
          <w:lang w:val="es-ES_tradnl"/>
        </w:rPr>
        <w:t>ños del matrimonio Telleldín.</w:t>
      </w:r>
    </w:p>
    <w:p w:rsidR="00224567" w:rsidRDefault="00224567">
      <w:pPr>
        <w:widowControl w:val="0"/>
        <w:tabs>
          <w:tab w:val="left" w:pos="2835"/>
        </w:tabs>
        <w:rPr>
          <w:lang w:val="es-ES_tradnl"/>
        </w:rPr>
      </w:pPr>
      <w:r>
        <w:rPr>
          <w:lang w:val="es-ES_tradnl"/>
        </w:rPr>
        <w:tab/>
        <w:t>En punto a la situación de Barreda y Bareiro en esas circunstancias, el funcionario explicó que en modo alguno estaban detenidos sino que, por el contr</w:t>
      </w:r>
      <w:r>
        <w:rPr>
          <w:lang w:val="es-ES_tradnl"/>
        </w:rPr>
        <w:t>a</w:t>
      </w:r>
      <w:r>
        <w:rPr>
          <w:lang w:val="es-ES_tradnl"/>
        </w:rPr>
        <w:t>rio, podían moverse libremente. Sin embargo, comentó, “n</w:t>
      </w:r>
      <w:r>
        <w:rPr>
          <w:lang w:val="es-ES_tradnl"/>
        </w:rPr>
        <w:t>o</w:t>
      </w:r>
      <w:r>
        <w:rPr>
          <w:lang w:val="es-ES_tradnl"/>
        </w:rPr>
        <w:t>sotros los teníamos un poco retenidos, esa es la orden que se nos da..., que no nos despeguemos” (sic).</w:t>
      </w:r>
    </w:p>
    <w:p w:rsidR="00224567" w:rsidRDefault="00224567">
      <w:pPr>
        <w:widowControl w:val="0"/>
        <w:tabs>
          <w:tab w:val="left" w:pos="2835"/>
        </w:tabs>
        <w:rPr>
          <w:lang w:val="es-ES_tradnl"/>
        </w:rPr>
      </w:pPr>
      <w:r>
        <w:rPr>
          <w:lang w:val="es-ES_tradnl"/>
        </w:rPr>
        <w:tab/>
        <w:t>Comentó el funcionario que éstos col</w:t>
      </w:r>
      <w:r>
        <w:rPr>
          <w:lang w:val="es-ES_tradnl"/>
        </w:rPr>
        <w:t>a</w:t>
      </w:r>
      <w:r>
        <w:rPr>
          <w:lang w:val="es-ES_tradnl"/>
        </w:rPr>
        <w:t>boraron con la investigación y que, posteriormente, est</w:t>
      </w:r>
      <w:r>
        <w:rPr>
          <w:lang w:val="es-ES_tradnl"/>
        </w:rPr>
        <w:t>u</w:t>
      </w:r>
      <w:r>
        <w:rPr>
          <w:lang w:val="es-ES_tradnl"/>
        </w:rPr>
        <w:t xml:space="preserve">vieron varias veces en la dependencia policial; incluso, añadió, la jefatura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los había a</w:t>
      </w:r>
      <w:r>
        <w:rPr>
          <w:lang w:val="es-ES_tradnl"/>
        </w:rPr>
        <w:t>u</w:t>
      </w:r>
      <w:r>
        <w:rPr>
          <w:lang w:val="es-ES_tradnl"/>
        </w:rPr>
        <w:t>torizado a participar en la investigación.</w:t>
      </w:r>
    </w:p>
    <w:p w:rsidR="00224567" w:rsidRDefault="00224567">
      <w:pPr>
        <w:widowControl w:val="0"/>
        <w:tabs>
          <w:tab w:val="left" w:pos="2835"/>
        </w:tabs>
        <w:ind w:firstLine="708"/>
        <w:rPr>
          <w:lang w:val="es-ES_tradnl"/>
        </w:rPr>
      </w:pPr>
      <w:r>
        <w:rPr>
          <w:lang w:val="es-ES_tradnl"/>
        </w:rPr>
        <w:tab/>
        <w:t>Dentro de la casa de la familia T</w:t>
      </w:r>
      <w:r>
        <w:rPr>
          <w:lang w:val="es-ES_tradnl"/>
        </w:rPr>
        <w:t>e</w:t>
      </w:r>
      <w:r>
        <w:rPr>
          <w:lang w:val="es-ES_tradnl"/>
        </w:rPr>
        <w:t>lleldín, dijo Álvarez, charlaron con los oficiales bona</w:t>
      </w:r>
      <w:r>
        <w:rPr>
          <w:lang w:val="es-ES_tradnl"/>
        </w:rPr>
        <w:t>e</w:t>
      </w:r>
      <w:r>
        <w:rPr>
          <w:lang w:val="es-ES_tradnl"/>
        </w:rPr>
        <w:t>renses acerca de la camioneta Trafic. Creía que fue Barr</w:t>
      </w:r>
      <w:r>
        <w:rPr>
          <w:lang w:val="es-ES_tradnl"/>
        </w:rPr>
        <w:t>e</w:t>
      </w:r>
      <w:r>
        <w:rPr>
          <w:lang w:val="es-ES_tradnl"/>
        </w:rPr>
        <w:t>da quien le comentó que Carlos Telleldín le había dicho, en oportunidad en que éste lo visitó por haber tenido f</w:t>
      </w:r>
      <w:r>
        <w:rPr>
          <w:lang w:val="es-ES_tradnl"/>
        </w:rPr>
        <w:t>a</w:t>
      </w:r>
      <w:r>
        <w:rPr>
          <w:lang w:val="es-ES_tradnl"/>
        </w:rPr>
        <w:t>milia, que la había vendido y que “la había vendido muy bien” (sic). Además, ambos refirieron que el nombrado se dedicaba a la compra y venta de vehíc</w:t>
      </w:r>
      <w:r>
        <w:rPr>
          <w:lang w:val="es-ES_tradnl"/>
        </w:rPr>
        <w:t>u</w:t>
      </w:r>
      <w:r>
        <w:rPr>
          <w:lang w:val="es-ES_tradnl"/>
        </w:rPr>
        <w:t>los robados.</w:t>
      </w:r>
    </w:p>
    <w:p w:rsidR="00224567" w:rsidRDefault="00224567">
      <w:pPr>
        <w:widowControl w:val="0"/>
        <w:tabs>
          <w:tab w:val="left" w:pos="2835"/>
        </w:tabs>
        <w:ind w:firstLine="708"/>
        <w:rPr>
          <w:lang w:val="es-ES_tradnl"/>
        </w:rPr>
      </w:pPr>
      <w:r>
        <w:rPr>
          <w:lang w:val="es-ES_tradnl"/>
        </w:rPr>
        <w:tab/>
        <w:t>Acotó, por otra parte, que a la medi</w:t>
      </w:r>
      <w:r>
        <w:rPr>
          <w:lang w:val="es-ES_tradnl"/>
        </w:rPr>
        <w:t>a</w:t>
      </w:r>
      <w:r>
        <w:rPr>
          <w:lang w:val="es-ES_tradnl"/>
        </w:rPr>
        <w:t>noche se hizo presente el hermano del investigado, Eduardo Telleldín, quien concurrió –especuló el testigo- porque uno de los oficiales de la provincia lo habría llamado por teléfono.</w:t>
      </w:r>
    </w:p>
    <w:p w:rsidR="00224567" w:rsidRDefault="00224567">
      <w:pPr>
        <w:widowControl w:val="0"/>
        <w:tabs>
          <w:tab w:val="left" w:pos="2835"/>
        </w:tabs>
        <w:ind w:firstLine="708"/>
        <w:rPr>
          <w:bCs/>
          <w:lang w:val="es-ES_tradnl"/>
        </w:rPr>
      </w:pPr>
      <w:r>
        <w:rPr>
          <w:lang w:val="es-ES_tradnl"/>
        </w:rPr>
        <w:tab/>
      </w:r>
      <w:r>
        <w:rPr>
          <w:bCs/>
          <w:lang w:val="es-ES_tradnl"/>
        </w:rPr>
        <w:t>Por último, Álvarez recordó que al m</w:t>
      </w:r>
      <w:r>
        <w:rPr>
          <w:bCs/>
          <w:lang w:val="es-ES_tradnl"/>
        </w:rPr>
        <w:t>e</w:t>
      </w:r>
      <w:r>
        <w:rPr>
          <w:bCs/>
          <w:lang w:val="es-ES_tradnl"/>
        </w:rPr>
        <w:t>diodía, mientras efectuaban las tareas de vigilancia, se hizo presente un móvil de la policía de la provi</w:t>
      </w:r>
      <w:r>
        <w:rPr>
          <w:bCs/>
          <w:lang w:val="es-ES_tradnl"/>
        </w:rPr>
        <w:t>n</w:t>
      </w:r>
      <w:r>
        <w:rPr>
          <w:bCs/>
          <w:lang w:val="es-ES_tradnl"/>
        </w:rPr>
        <w:t>cia, dado que la presencia de la comisión había despe</w:t>
      </w:r>
      <w:r>
        <w:rPr>
          <w:bCs/>
          <w:lang w:val="es-ES_tradnl"/>
        </w:rPr>
        <w:t>r</w:t>
      </w:r>
      <w:r>
        <w:rPr>
          <w:bCs/>
          <w:lang w:val="es-ES_tradnl"/>
        </w:rPr>
        <w:t>tado sospechas por la existencia de dos entidades bancarias en las inm</w:t>
      </w:r>
      <w:r>
        <w:rPr>
          <w:bCs/>
          <w:lang w:val="es-ES_tradnl"/>
        </w:rPr>
        <w:t>e</w:t>
      </w:r>
      <w:r>
        <w:rPr>
          <w:bCs/>
          <w:lang w:val="es-ES_tradnl"/>
        </w:rPr>
        <w:t>diaciones. Una vez que le fue explicado al subcomisario que estaba a cargo del móvil el motivo de su permanencia en el lugar, éste se retiró sin mayores complicaciones.</w:t>
      </w:r>
    </w:p>
    <w:p w:rsidR="00224567" w:rsidRDefault="00224567">
      <w:pPr>
        <w:widowControl w:val="0"/>
        <w:tabs>
          <w:tab w:val="left" w:pos="2835"/>
        </w:tabs>
        <w:ind w:firstLine="708"/>
      </w:pPr>
      <w:r>
        <w:tab/>
        <w:t>Fabián Oscar Strancar, también numer</w:t>
      </w:r>
      <w:r>
        <w:t>a</w:t>
      </w:r>
      <w:r>
        <w:t xml:space="preserve">rio de </w:t>
      </w:r>
      <w:smartTag w:uri="urn:schemas-microsoft-com:office:smarttags" w:element="PersonName">
        <w:smartTagPr>
          <w:attr w:name="ProductID" w:val="la Secci￳n Inteligencia"/>
        </w:smartTagPr>
        <w:r>
          <w:t>la Sección Inteligencia</w:t>
        </w:r>
      </w:smartTag>
      <w:r>
        <w:t xml:space="preserve"> del D.P.O.C., afirmó en el debate que se trasladó con Aldo Álvarez al dom</w:t>
      </w:r>
      <w:r>
        <w:t>i</w:t>
      </w:r>
      <w:r>
        <w:t>cilio de la calle República 107 en horas de la mañana, donde perman</w:t>
      </w:r>
      <w:r>
        <w:t>e</w:t>
      </w:r>
      <w:r>
        <w:t>cieron durante todo el día, a unos pocos metros antes de llegar a la vivienda en cuestión. El objetivo de la dil</w:t>
      </w:r>
      <w:r>
        <w:t>i</w:t>
      </w:r>
      <w:r>
        <w:t>gencia consistía en identificar el domicilio de la persona que habría vendido la camioneta Trafic que se utilizó para perpetrar el atentado a la mutual israelita, siendo conv</w:t>
      </w:r>
      <w:r>
        <w:t>o</w:t>
      </w:r>
      <w:r>
        <w:t>cado al efecto por Álvarez puesto que conocía bien esa z</w:t>
      </w:r>
      <w:r>
        <w:t>o</w:t>
      </w:r>
      <w:r>
        <w:t>na.</w:t>
      </w:r>
    </w:p>
    <w:p w:rsidR="00224567" w:rsidRDefault="00224567">
      <w:pPr>
        <w:widowControl w:val="0"/>
        <w:tabs>
          <w:tab w:val="left" w:pos="2835"/>
        </w:tabs>
        <w:ind w:firstLine="708"/>
      </w:pPr>
      <w:r>
        <w:tab/>
        <w:t>Junto a ellos, se desplazaron dos m</w:t>
      </w:r>
      <w:r>
        <w:t>ó</w:t>
      </w:r>
      <w:r>
        <w:t>viles con, por lo menos, tres funcionarios cada uno, int</w:t>
      </w:r>
      <w:r>
        <w:t>e</w:t>
      </w:r>
      <w:r>
        <w:t xml:space="preserve">grantes de </w:t>
      </w:r>
      <w:smartTag w:uri="urn:schemas-microsoft-com:office:smarttags" w:element="PersonName">
        <w:smartTagPr>
          <w:attr w:name="ProductID" w:val="la S.I"/>
        </w:smartTagPr>
        <w:r>
          <w:t>la S.I</w:t>
        </w:r>
      </w:smartTag>
      <w:r>
        <w:t>.D.E. Aclaró que no los conocía y que tampoco tuvieron contacto con ellos, a excepción de una breve charla que mantuvo el responsable de esa comisión con el oficial Álvarez.</w:t>
      </w:r>
    </w:p>
    <w:p w:rsidR="00224567" w:rsidRDefault="00224567">
      <w:pPr>
        <w:widowControl w:val="0"/>
        <w:tabs>
          <w:tab w:val="left" w:pos="2835"/>
        </w:tabs>
        <w:ind w:firstLine="708"/>
      </w:pPr>
      <w:r>
        <w:tab/>
        <w:t xml:space="preserve">En un determinado momento, indicó Strancar, se acercó un móvil de </w:t>
      </w:r>
      <w:smartTag w:uri="urn:schemas-microsoft-com:office:smarttags" w:element="PersonName">
        <w:smartTagPr>
          <w:attr w:name="ProductID" w:val="la Polic￭a Bonaerense"/>
        </w:smartTagPr>
        <w:r>
          <w:t>la Policía Bonaerense</w:t>
        </w:r>
      </w:smartTag>
      <w:r>
        <w:t xml:space="preserve"> d</w:t>
      </w:r>
      <w:r>
        <w:t>e</w:t>
      </w:r>
      <w:r>
        <w:t>bido a que la vigilancia había provocado sospechas pero, al identificarse como policías de inteligencia, los un</w:t>
      </w:r>
      <w:r>
        <w:t>i</w:t>
      </w:r>
      <w:r>
        <w:t>formados se retiraron.</w:t>
      </w:r>
    </w:p>
    <w:p w:rsidR="00224567" w:rsidRDefault="00224567">
      <w:pPr>
        <w:pStyle w:val="Sangradetextonormal"/>
        <w:widowControl w:val="0"/>
        <w:tabs>
          <w:tab w:val="left" w:pos="2835"/>
        </w:tabs>
      </w:pPr>
      <w:r>
        <w:tab/>
        <w:t>Al atardecer, relató el testigo, egr</w:t>
      </w:r>
      <w:r>
        <w:t>e</w:t>
      </w:r>
      <w:r>
        <w:t>saron de la vivienda vigilada dos individuos que, al ser interceptados, se identificaron como personal policial b</w:t>
      </w:r>
      <w:r>
        <w:t>o</w:t>
      </w:r>
      <w:r>
        <w:t>naerense de apellidos Barreda y Bareiro. El testigo no p</w:t>
      </w:r>
      <w:r>
        <w:t>u</w:t>
      </w:r>
      <w:r>
        <w:t>do precisar si los sujetos se encontraban ya en  el  int</w:t>
      </w:r>
      <w:r>
        <w:t>e</w:t>
      </w:r>
      <w:r>
        <w:t>rior de la casa o si arribaron al lugar a pie o en un vehículo. No obstante, recordó que al ser detenidos, co</w:t>
      </w:r>
      <w:r>
        <w:t>n</w:t>
      </w:r>
      <w:r>
        <w:t>ducían un rodado.</w:t>
      </w:r>
    </w:p>
    <w:p w:rsidR="00224567" w:rsidRDefault="00224567">
      <w:pPr>
        <w:widowControl w:val="0"/>
        <w:tabs>
          <w:tab w:val="left" w:pos="2835"/>
        </w:tabs>
      </w:pPr>
      <w:r>
        <w:tab/>
        <w:t>Strancar afirmó que no ingresó a la finca de la calle República y que luego del proced</w:t>
      </w:r>
      <w:r>
        <w:t>i</w:t>
      </w:r>
      <w:r>
        <w:t>miento, permaneció a unos cincuenta metros, al tiempo que el of</w:t>
      </w:r>
      <w:r>
        <w:t>i</w:t>
      </w:r>
      <w:r>
        <w:t xml:space="preserve">cial Álvarez, junto con los funcionarios de </w:t>
      </w:r>
      <w:smartTag w:uri="urn:schemas-microsoft-com:office:smarttags" w:element="PersonName">
        <w:smartTagPr>
          <w:attr w:name="ProductID" w:val="la S.I"/>
        </w:smartTagPr>
        <w:r>
          <w:t>la S.I</w:t>
        </w:r>
      </w:smartTag>
      <w:r>
        <w:t>.D.E., estaba dentro de la vivienda.  Al  cabo  de  unas  horas  –estimó que serían las 22.00 ó 23.00-, se retiró a su c</w:t>
      </w:r>
      <w:r>
        <w:t>a</w:t>
      </w:r>
      <w:r>
        <w:t>sa.</w:t>
      </w:r>
    </w:p>
    <w:p w:rsidR="00224567" w:rsidRDefault="00224567">
      <w:pPr>
        <w:widowControl w:val="0"/>
        <w:tabs>
          <w:tab w:val="left" w:pos="2835"/>
        </w:tabs>
      </w:pPr>
      <w:r>
        <w:tab/>
        <w:t>Dijo el testigo que desconocía el m</w:t>
      </w:r>
      <w:r>
        <w:t>o</w:t>
      </w:r>
      <w:r>
        <w:t>tivo por el cual su compañero ingresó a la casa, aunque ello ocurrió, según su parecer, por invitación de los oc</w:t>
      </w:r>
      <w:r>
        <w:t>u</w:t>
      </w:r>
      <w:r>
        <w:t>pantes.</w:t>
      </w:r>
    </w:p>
    <w:p w:rsidR="00224567" w:rsidRDefault="00224567">
      <w:pPr>
        <w:widowControl w:val="0"/>
        <w:tabs>
          <w:tab w:val="left" w:pos="2835"/>
        </w:tabs>
        <w:ind w:firstLine="708"/>
      </w:pPr>
      <w:r>
        <w:tab/>
        <w:t>Luego recordó que fue Álvarez quién le indicó, al salir de la casa, que se fuese de franco dado que él debía quedarse en la casa “por los chicos” (sic), aludiendo a los hijos del matrimonio Telleldín.</w:t>
      </w:r>
    </w:p>
    <w:p w:rsidR="00224567" w:rsidRDefault="00224567">
      <w:pPr>
        <w:widowControl w:val="0"/>
        <w:tabs>
          <w:tab w:val="left" w:pos="2835"/>
        </w:tabs>
      </w:pPr>
      <w:r>
        <w:tab/>
        <w:t>Al ser inquirido para que ajuste su memoria, el testigo dijo que no participó en forma pers</w:t>
      </w:r>
      <w:r>
        <w:t>o</w:t>
      </w:r>
      <w:r>
        <w:t>nal en el procedimiento de detención de Barreda y B</w:t>
      </w:r>
      <w:r>
        <w:t>a</w:t>
      </w:r>
      <w:r>
        <w:t>reiro, razón por la cual no podía dar mayores detalles sobre el punto; que no recordaba qué automóvil participó en ese procedimiento; que no fue relevado por ningún funcionario al dejar la casa, pero que seguramente –aunque no le con</w:t>
      </w:r>
      <w:r>
        <w:t>s</w:t>
      </w:r>
      <w:r>
        <w:t>tara personalmente- Álvarez estaba acompañado por algún otro policía; que “dada la circunstancia de las detenci</w:t>
      </w:r>
      <w:r>
        <w:t>o</w:t>
      </w:r>
      <w:r>
        <w:t>nes, del domicilio y demás” (sic), debió haber contado con el apoyo de oficiales de seguridad que hubieran labrado las actuaciones respectivas y que no recordaba ningún of</w:t>
      </w:r>
      <w:r>
        <w:t>i</w:t>
      </w:r>
      <w:r>
        <w:t>cial de apellido Salomone que hubiese participado del pr</w:t>
      </w:r>
      <w:r>
        <w:t>o</w:t>
      </w:r>
      <w:r>
        <w:t>cedimiento.</w:t>
      </w:r>
    </w:p>
    <w:p w:rsidR="00224567" w:rsidRDefault="00224567">
      <w:pPr>
        <w:widowControl w:val="0"/>
        <w:tabs>
          <w:tab w:val="left" w:pos="2835"/>
        </w:tabs>
        <w:ind w:firstLine="708"/>
      </w:pPr>
      <w:r>
        <w:tab/>
        <w:t xml:space="preserve">Carlos Alberto Salomone refirió que en 1994 se desempeñaba como oficial principal en </w:t>
      </w:r>
      <w:smartTag w:uri="urn:schemas-microsoft-com:office:smarttags" w:element="PersonName">
        <w:smartTagPr>
          <w:attr w:name="ProductID" w:val="la Divisi￳n"/>
        </w:smartTagPr>
        <w:r>
          <w:t>la D</w:t>
        </w:r>
        <w:r>
          <w:t>i</w:t>
        </w:r>
        <w:r>
          <w:t>visión</w:t>
        </w:r>
      </w:smartTag>
      <w:r>
        <w:t xml:space="preserve"> de Operaciones Federales de </w:t>
      </w:r>
      <w:smartTag w:uri="urn:schemas-microsoft-com:office:smarttags" w:element="PersonName">
        <w:smartTagPr>
          <w:attr w:name="ProductID" w:val="la Superintendencia"/>
        </w:smartTagPr>
        <w:r>
          <w:t>la Superintendencia</w:t>
        </w:r>
      </w:smartTag>
      <w:r>
        <w:t xml:space="preserve"> de Drogas Peligrosas, entonces a cargo del comisario Jorge Palacios y que, con motivo del atentado, fue convocado para colab</w:t>
      </w:r>
      <w:r>
        <w:t>o</w:t>
      </w:r>
      <w:r>
        <w:t>rar en la investigación que llevaba a cabo el D.P.O.C.</w:t>
      </w:r>
    </w:p>
    <w:p w:rsidR="00224567" w:rsidRDefault="00224567">
      <w:pPr>
        <w:widowControl w:val="0"/>
        <w:tabs>
          <w:tab w:val="left" w:pos="2835"/>
        </w:tabs>
        <w:ind w:firstLine="708"/>
      </w:pPr>
      <w:r>
        <w:tab/>
        <w:t>En particular, recordó que efectuó t</w:t>
      </w:r>
      <w:r>
        <w:t>a</w:t>
      </w:r>
      <w:r>
        <w:t>reas de vigilancia en una casa ubicada en Villa B</w:t>
      </w:r>
      <w:r>
        <w:t>a</w:t>
      </w:r>
      <w:r>
        <w:t>llester, para lo cual se apostó con personal a su cargo –aclaró que se trataba del chofer del móvil, el subof</w:t>
      </w:r>
      <w:r>
        <w:t>i</w:t>
      </w:r>
      <w:r>
        <w:t>cial Morano- en la esquina de la calle, a unos cien m</w:t>
      </w:r>
      <w:r>
        <w:t>e</w:t>
      </w:r>
      <w:r>
        <w:t xml:space="preserve">tros del objetivo y otro vehículo con personal de </w:t>
      </w:r>
      <w:smartTag w:uri="urn:schemas-microsoft-com:office:smarttags" w:element="PersonName">
        <w:smartTagPr>
          <w:attr w:name="ProductID" w:val="la S.I"/>
        </w:smartTagPr>
        <w:r>
          <w:t>la S.I</w:t>
        </w:r>
      </w:smartTag>
      <w:r>
        <w:t>.D.E., a una cuadra de distancia. Afirmó que no había ningún agente de intelige</w:t>
      </w:r>
      <w:r>
        <w:t>n</w:t>
      </w:r>
      <w:r>
        <w:t>cia del D.P.O.C. en esas circunstancias y que nunca trab</w:t>
      </w:r>
      <w:r>
        <w:t>a</w:t>
      </w:r>
      <w:r>
        <w:t>jó con ellos.</w:t>
      </w:r>
    </w:p>
    <w:p w:rsidR="00224567" w:rsidRDefault="00224567">
      <w:pPr>
        <w:widowControl w:val="0"/>
        <w:tabs>
          <w:tab w:val="left" w:pos="2835"/>
        </w:tabs>
        <w:ind w:firstLine="708"/>
      </w:pPr>
      <w:r>
        <w:tab/>
        <w:t>El objeto del operativo, en un primer momento, era permanecer allí observando, hasta que fue i</w:t>
      </w:r>
      <w:r>
        <w:t>n</w:t>
      </w:r>
      <w:r>
        <w:t>formado, por medio del teléfono celular, que habrían de concurrir dos personas, una de ellas, con evidentes signos de renguera en una de sus piernas.</w:t>
      </w:r>
    </w:p>
    <w:p w:rsidR="00224567" w:rsidRDefault="00224567">
      <w:pPr>
        <w:widowControl w:val="0"/>
        <w:tabs>
          <w:tab w:val="left" w:pos="2835"/>
        </w:tabs>
        <w:ind w:firstLine="708"/>
      </w:pPr>
      <w:r>
        <w:tab/>
        <w:t>Al cabo de media hora, indicó Salom</w:t>
      </w:r>
      <w:r>
        <w:t>o</w:t>
      </w:r>
      <w:r>
        <w:t>ne, dos sujetos se presentaron en el lugar, luego ingres</w:t>
      </w:r>
      <w:r>
        <w:t>a</w:t>
      </w:r>
      <w:r>
        <w:t>ron en la vivienda y, tras salir de allí, los interceptó cuando estaban por llegar, a bordo de un vehículo, a la esquina. Para realizar la maniobra, se e</w:t>
      </w:r>
      <w:r>
        <w:t>x</w:t>
      </w:r>
      <w:r>
        <w:t xml:space="preserve">hibieron armas de fuego y se interpuso en la marcha de los nombrados el vehículo conducido por Morano. El personal de </w:t>
      </w:r>
      <w:smartTag w:uri="urn:schemas-microsoft-com:office:smarttags" w:element="PersonName">
        <w:smartTagPr>
          <w:attr w:name="ProductID" w:val="la S.I"/>
        </w:smartTagPr>
        <w:r>
          <w:t>la S.I</w:t>
        </w:r>
      </w:smartTag>
      <w:r>
        <w:t>.D.E., que se encontraba a una cuadra de la casa, no participó en ese procedimiento.</w:t>
      </w:r>
    </w:p>
    <w:p w:rsidR="00224567" w:rsidRDefault="00224567">
      <w:pPr>
        <w:widowControl w:val="0"/>
        <w:tabs>
          <w:tab w:val="left" w:pos="2835"/>
        </w:tabs>
        <w:ind w:firstLine="708"/>
      </w:pPr>
      <w:r>
        <w:tab/>
        <w:t>Señaló que los sospechosos se ident</w:t>
      </w:r>
      <w:r>
        <w:t>i</w:t>
      </w:r>
      <w:r>
        <w:t xml:space="preserve">ficaron como personal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Provincia</w:t>
        </w:r>
      </w:smartTag>
      <w:r>
        <w:t xml:space="preserve"> de Buenos Aires. Inmediatamente, le fue ordenado que se los trasladara a </w:t>
      </w:r>
      <w:smartTag w:uri="urn:schemas-microsoft-com:office:smarttags" w:element="PersonName">
        <w:smartTagPr>
          <w:attr w:name="ProductID" w:val="la Delegaci￳n"/>
        </w:smartTagPr>
        <w:r>
          <w:t>la Delegación</w:t>
        </w:r>
      </w:smartTag>
      <w:r>
        <w:t xml:space="preserve"> de San Martín de </w:t>
      </w:r>
      <w:smartTag w:uri="urn:schemas-microsoft-com:office:smarttags" w:element="PersonName">
        <w:smartTagPr>
          <w:attr w:name="ProductID" w:val="la Polic￭a Federal"/>
        </w:smartTagPr>
        <w:r>
          <w:t>la Policía F</w:t>
        </w:r>
        <w:r>
          <w:t>e</w:t>
        </w:r>
        <w:r>
          <w:t>deral</w:t>
        </w:r>
      </w:smartTag>
      <w:r>
        <w:t xml:space="preserve"> y mientras lo hacía, le hicieron saber que debía r</w:t>
      </w:r>
      <w:r>
        <w:t>e</w:t>
      </w:r>
      <w:r>
        <w:t>mitirlos directamente al D.P.O.C.</w:t>
      </w:r>
    </w:p>
    <w:p w:rsidR="00224567" w:rsidRDefault="00224567">
      <w:pPr>
        <w:widowControl w:val="0"/>
        <w:tabs>
          <w:tab w:val="left" w:pos="2835"/>
        </w:tabs>
        <w:ind w:firstLine="708"/>
      </w:pPr>
      <w:r>
        <w:tab/>
        <w:t>El testigo no pudo precisar la ident</w:t>
      </w:r>
      <w:r>
        <w:t>i</w:t>
      </w:r>
      <w:r>
        <w:t>dad de los sujetos ni la de la esposa del imputado Telle</w:t>
      </w:r>
      <w:r>
        <w:t>l</w:t>
      </w:r>
      <w:r>
        <w:t>dín. Al hacérsele saber los nombres Mario Norberto Bare</w:t>
      </w:r>
      <w:r>
        <w:t>i</w:t>
      </w:r>
      <w:r>
        <w:t>ro, Diego Enrique Barreda y Ana María Boragni, Salomone respondió que los desconocía.</w:t>
      </w:r>
    </w:p>
    <w:p w:rsidR="00224567" w:rsidRDefault="00224567">
      <w:pPr>
        <w:widowControl w:val="0"/>
        <w:tabs>
          <w:tab w:val="left" w:pos="2835"/>
        </w:tabs>
        <w:ind w:firstLine="708"/>
      </w:pPr>
      <w:r>
        <w:tab/>
        <w:t>Con relación a la presencia de una m</w:t>
      </w:r>
      <w:r>
        <w:t>u</w:t>
      </w:r>
      <w:r>
        <w:t>jer en esas circunstancias, el testigo dijo, en primer l</w:t>
      </w:r>
      <w:r>
        <w:t>u</w:t>
      </w:r>
      <w:r>
        <w:t>gar, que pudo haber hablado con ella pero que, en real</w:t>
      </w:r>
      <w:r>
        <w:t>i</w:t>
      </w:r>
      <w:r>
        <w:t>dad, no recordaba el contenido de la conversación. Al i</w:t>
      </w:r>
      <w:r>
        <w:t>n</w:t>
      </w:r>
      <w:r>
        <w:t>sistirse con preguntas sobre el punto, Salomone señaló que llamó a la puerta de la casa para conversar con la mujer, con el objeto de corroborar la información que le habían brindado los policías interceptados, en el sentido de que eran conocidos de ella y que la habían ido a visitar.</w:t>
      </w:r>
    </w:p>
    <w:p w:rsidR="00224567" w:rsidRDefault="00224567">
      <w:pPr>
        <w:widowControl w:val="0"/>
        <w:tabs>
          <w:tab w:val="left" w:pos="2835"/>
        </w:tabs>
        <w:ind w:firstLine="708"/>
      </w:pPr>
      <w:r>
        <w:tab/>
        <w:t xml:space="preserve">Agregó, en el marco de esta última versión, que en ese momento la gente de </w:t>
      </w:r>
      <w:smartTag w:uri="urn:schemas-microsoft-com:office:smarttags" w:element="PersonName">
        <w:smartTagPr>
          <w:attr w:name="ProductID" w:val="la S.I"/>
        </w:smartTagPr>
        <w:r>
          <w:t>la S.I</w:t>
        </w:r>
      </w:smartTag>
      <w:r>
        <w:t>.D.E. se acercó al advertir el movimiento, sin decir palabra, ni hacer preguntas acerca de los sujetos interceptados, de las razones de su detención o del contenido de la charla que mantenía con la nombrada. Sólo permanecieron junto al testigo, escucharon lo que ellos decían y se marcharon p</w:t>
      </w:r>
      <w:r>
        <w:t>a</w:t>
      </w:r>
      <w:r>
        <w:t>ra continuar la vigilancia desde su autom</w:t>
      </w:r>
      <w:r>
        <w:t>ó</w:t>
      </w:r>
      <w:r>
        <w:t>vil apostado en el lugar.</w:t>
      </w:r>
    </w:p>
    <w:p w:rsidR="00224567" w:rsidRDefault="00224567">
      <w:pPr>
        <w:widowControl w:val="0"/>
        <w:tabs>
          <w:tab w:val="left" w:pos="2835"/>
        </w:tabs>
        <w:ind w:firstLine="708"/>
      </w:pPr>
      <w:r>
        <w:tab/>
        <w:t>Interrogado acerca de los motivos por los cuales no detuvieron a los sujetos previo a su i</w:t>
      </w:r>
      <w:r>
        <w:t>n</w:t>
      </w:r>
      <w:r>
        <w:t>greso en la vivienda, dado que previamente habían sido anotici</w:t>
      </w:r>
      <w:r>
        <w:t>a</w:t>
      </w:r>
      <w:r>
        <w:t>dos de que se presentarían en el lugar, dijo que ello no fue posible debido a que la distancia se lo impedía. Esa fue la razón, explicó, que lo determinó a aguardar a que salieran.</w:t>
      </w:r>
    </w:p>
    <w:p w:rsidR="00224567" w:rsidRDefault="00224567">
      <w:pPr>
        <w:widowControl w:val="0"/>
        <w:tabs>
          <w:tab w:val="left" w:pos="2835"/>
        </w:tabs>
        <w:ind w:firstLine="708"/>
      </w:pPr>
      <w:r>
        <w:tab/>
        <w:t xml:space="preserve">Respecto de la coordinación entre las fuerzas de </w:t>
      </w:r>
      <w:smartTag w:uri="urn:schemas-microsoft-com:office:smarttags" w:element="PersonName">
        <w:smartTagPr>
          <w:attr w:name="ProductID" w:val="la Polic￭a Federal"/>
        </w:smartTagPr>
        <w:r>
          <w:t>la Policía Federal</w:t>
        </w:r>
      </w:smartTag>
      <w:r>
        <w:t xml:space="preserve"> y </w:t>
      </w:r>
      <w:smartTag w:uri="urn:schemas-microsoft-com:office:smarttags" w:element="PersonName">
        <w:smartTagPr>
          <w:attr w:name="ProductID" w:val="la S.I"/>
        </w:smartTagPr>
        <w:r>
          <w:t>la S.I</w:t>
        </w:r>
      </w:smartTag>
      <w:r>
        <w:t>.D.E. durante la pesquisa en cuestión, Salomone señaló que en ningún mome</w:t>
      </w:r>
      <w:r>
        <w:t>n</w:t>
      </w:r>
      <w:r>
        <w:t>to, previo a la detención de estos sujetos, inte</w:t>
      </w:r>
      <w:r>
        <w:t>r</w:t>
      </w:r>
      <w:r>
        <w:t>cambiaron palabras. Solamente sabía de su existencia por haberlos visto en el lugar, circunstancia que le había sido antic</w:t>
      </w:r>
      <w:r>
        <w:t>i</w:t>
      </w:r>
      <w:r>
        <w:t>pada antes de cumplir el operativo.</w:t>
      </w:r>
    </w:p>
    <w:p w:rsidR="00224567" w:rsidRDefault="00224567">
      <w:pPr>
        <w:widowControl w:val="0"/>
        <w:tabs>
          <w:tab w:val="left" w:pos="2835"/>
        </w:tabs>
        <w:ind w:firstLine="708"/>
      </w:pPr>
      <w:r>
        <w:tab/>
        <w:t>Al ser confrontado con su declaración del 26 de julio de 1994 (fs. 300), oportunidad en que el testigo puntualizó que cuando se produjo la detención de Barreda y Bareiro “se hizo presente una mujer de cabellos rubios, la cual salía de la casa vigilada, quien manifestó ser la esposa del buscado”, Salomone afirmó que en ningún momento supo a quién se debía bu</w:t>
      </w:r>
      <w:r>
        <w:t>s</w:t>
      </w:r>
      <w:r>
        <w:t>car.</w:t>
      </w:r>
    </w:p>
    <w:p w:rsidR="00224567" w:rsidRDefault="00224567">
      <w:pPr>
        <w:widowControl w:val="0"/>
        <w:tabs>
          <w:tab w:val="left" w:pos="2835"/>
        </w:tabs>
        <w:ind w:firstLine="708"/>
      </w:pPr>
      <w:r>
        <w:tab/>
        <w:t>Tampoco recordó que comunicara a Bor</w:t>
      </w:r>
      <w:r>
        <w:t>a</w:t>
      </w:r>
      <w:r>
        <w:t>gni los motivos de la presencia policial en las inmedi</w:t>
      </w:r>
      <w:r>
        <w:t>a</w:t>
      </w:r>
      <w:r>
        <w:t>ciones de su domicilio, ni que la nombrada le hubiera c</w:t>
      </w:r>
      <w:r>
        <w:t>o</w:t>
      </w:r>
      <w:r>
        <w:t>mentado que su esposo vendió un utilitario Renault Trafic, ni que ella hubiese presenciado la transacción.</w:t>
      </w:r>
    </w:p>
    <w:p w:rsidR="00224567" w:rsidRDefault="00224567">
      <w:pPr>
        <w:widowControl w:val="0"/>
        <w:tabs>
          <w:tab w:val="left" w:pos="2835"/>
        </w:tabs>
        <w:ind w:firstLine="708"/>
      </w:pPr>
      <w:r>
        <w:tab/>
        <w:t>El testigo no pudo precisar en el d</w:t>
      </w:r>
      <w:r>
        <w:t>e</w:t>
      </w:r>
      <w:r>
        <w:t>bate, dijo que no lo recordaba, si solicitó a Boragni que lo acompañara a la dependencia policial, ni que se le h</w:t>
      </w:r>
      <w:r>
        <w:t>u</w:t>
      </w:r>
      <w:r>
        <w:t>biera requerido que aportara documentación. Afirmó, ad</w:t>
      </w:r>
      <w:r>
        <w:t>e</w:t>
      </w:r>
      <w:r>
        <w:t>más, que no conocía los motivos de su cometido en el l</w:t>
      </w:r>
      <w:r>
        <w:t>u</w:t>
      </w:r>
      <w:r>
        <w:t>gar, ni qué vinculación guardaba el domicilio con la i</w:t>
      </w:r>
      <w:r>
        <w:t>n</w:t>
      </w:r>
      <w:r>
        <w:t xml:space="preserve">vestigación por el atentado a </w:t>
      </w:r>
      <w:smartTag w:uri="urn:schemas-microsoft-com:office:smarttags" w:element="PersonName">
        <w:smartTagPr>
          <w:attr w:name="ProductID" w:val="la A.M"/>
        </w:smartTagPr>
        <w:r>
          <w:t>la A.M</w:t>
        </w:r>
      </w:smartTag>
      <w:r>
        <w:t>.I.A. Sólo le habían ordenado observar el lugar.</w:t>
      </w:r>
    </w:p>
    <w:p w:rsidR="00224567" w:rsidRDefault="00224567">
      <w:pPr>
        <w:widowControl w:val="0"/>
        <w:tabs>
          <w:tab w:val="left" w:pos="2835"/>
        </w:tabs>
        <w:ind w:firstLine="708"/>
      </w:pPr>
      <w:r>
        <w:tab/>
        <w:t>Nuevamente se dio lectura a su ant</w:t>
      </w:r>
      <w:r>
        <w:t>e</w:t>
      </w:r>
      <w:r>
        <w:t>rior declaración, donde el testigo expresó que cuando se le informó a Boragni acerca “de los motivos de la prese</w:t>
      </w:r>
      <w:r>
        <w:t>n</w:t>
      </w:r>
      <w:r>
        <w:t>cia policial en las inmediaciones de su domic</w:t>
      </w:r>
      <w:r>
        <w:t>i</w:t>
      </w:r>
      <w:r>
        <w:t>lio, refirió tener conocimiento de la venta que efe</w:t>
      </w:r>
      <w:r>
        <w:t>c</w:t>
      </w:r>
      <w:r>
        <w:t>tuara su esposo de una camioneta Renault Trafic, en razón de haber estado presente al momento de haber ocurrido dicha transacción comercial”; que por esa razón, “le indicó que podría co</w:t>
      </w:r>
      <w:r>
        <w:t>n</w:t>
      </w:r>
      <w:r>
        <w:t xml:space="preserve">currir, munida de toda la documentación, a la sede de </w:t>
      </w:r>
      <w:smartTag w:uri="urn:schemas-microsoft-com:office:smarttags" w:element="PersonName">
        <w:smartTagPr>
          <w:attr w:name="ProductID" w:val="la Superintendencia"/>
        </w:smartTagPr>
        <w:r>
          <w:t>la Superintendencia</w:t>
        </w:r>
      </w:smartTag>
      <w:r>
        <w:t xml:space="preserve"> de Interior, accediendo de plena confo</w:t>
      </w:r>
      <w:r>
        <w:t>r</w:t>
      </w:r>
      <w:r>
        <w:t>midad” y que “procedió a su traslado e hizo entrega de la mujer en el departamento de referencia, como así también de toda la documentación correspondiente a la venta del vehículo citado”. Ante ello, el testigo reiteró que no r</w:t>
      </w:r>
      <w:r>
        <w:t>e</w:t>
      </w:r>
      <w:r>
        <w:t>cordaba tales extremos, ni tampoco pudo explicar por qué los había volcado en esa oportunidad.</w:t>
      </w:r>
    </w:p>
    <w:p w:rsidR="00224567" w:rsidRDefault="00224567">
      <w:pPr>
        <w:widowControl w:val="0"/>
        <w:tabs>
          <w:tab w:val="left" w:pos="2835"/>
        </w:tabs>
        <w:ind w:firstLine="708"/>
      </w:pPr>
      <w:r>
        <w:tab/>
        <w:t>Se requirió al declarante que brind</w:t>
      </w:r>
      <w:r>
        <w:t>a</w:t>
      </w:r>
      <w:r>
        <w:t>ra detalles acerca del domicilio vigilado. Al respecto, Sal</w:t>
      </w:r>
      <w:r>
        <w:t>o</w:t>
      </w:r>
      <w:r>
        <w:t>mone no recordó si la vivienda tenía una o dos plantas, ni el sentido de circulación de la calle, ni los negocios que había en sus adyacencias.</w:t>
      </w:r>
    </w:p>
    <w:p w:rsidR="00224567" w:rsidRDefault="00224567">
      <w:pPr>
        <w:widowControl w:val="0"/>
        <w:tabs>
          <w:tab w:val="left" w:pos="2835"/>
        </w:tabs>
        <w:ind w:firstLine="708"/>
      </w:pPr>
      <w:r>
        <w:tab/>
        <w:t>Manifestó Salomone, por otra parte, que días después –al ser interpelado para que brinde mayor precisión de tiempo, dijo que habría pasado una semana, aproximadamente- participó en la detención de Carlos A</w:t>
      </w:r>
      <w:r>
        <w:t>l</w:t>
      </w:r>
      <w:r>
        <w:t>berto Telleldín en el Aeroparque Jorge Newb</w:t>
      </w:r>
      <w:r>
        <w:t>e</w:t>
      </w:r>
      <w:r>
        <w:t>ry.</w:t>
      </w:r>
    </w:p>
    <w:p w:rsidR="00224567" w:rsidRDefault="00224567">
      <w:pPr>
        <w:widowControl w:val="0"/>
        <w:tabs>
          <w:tab w:val="left" w:pos="2835"/>
        </w:tabs>
        <w:ind w:firstLine="708"/>
      </w:pPr>
      <w:r>
        <w:tab/>
        <w:t xml:space="preserve">En punto a este procedimiento, relató que en horas del mediodía, mientras estaba estacionado en San Martín y Av. Gral. Paz junto con personal de </w:t>
      </w:r>
      <w:smartTag w:uri="urn:schemas-microsoft-com:office:smarttags" w:element="PersonName">
        <w:smartTagPr>
          <w:attr w:name="ProductID" w:val="la S.I"/>
        </w:smartTagPr>
        <w:r>
          <w:t>la S.I</w:t>
        </w:r>
      </w:smartTag>
      <w:r>
        <w:t>.D.E. –primero dijo que estaba haciendo una vigila</w:t>
      </w:r>
      <w:r>
        <w:t>n</w:t>
      </w:r>
      <w:r>
        <w:t>cia en ese lugar, para luego retractarse y afirmar que perm</w:t>
      </w:r>
      <w:r>
        <w:t>a</w:t>
      </w:r>
      <w:r>
        <w:t>necía allí aguardando directivas dado que era como un “punto prefijado de operaciones”-, recibió a través de su celular la orden de trasladarse al aeroparque metropol</w:t>
      </w:r>
      <w:r>
        <w:t>i</w:t>
      </w:r>
      <w:r>
        <w:t>tano, donde debía detener a una persona que, según le h</w:t>
      </w:r>
      <w:r>
        <w:t>a</w:t>
      </w:r>
      <w:r>
        <w:t xml:space="preserve">bían indicado, se encontraría junto a un efectivo de </w:t>
      </w:r>
      <w:smartTag w:uri="urn:schemas-microsoft-com:office:smarttags" w:element="PersonName">
        <w:smartTagPr>
          <w:attr w:name="ProductID" w:val="la Polic￭a Aeron￡utica"/>
        </w:smartTagPr>
        <w:r>
          <w:t>la Policía Aeronáutica</w:t>
        </w:r>
      </w:smartTag>
      <w:r>
        <w:t xml:space="preserve"> Nacional. También le informaron que concurriría personal de </w:t>
      </w:r>
      <w:smartTag w:uri="urn:schemas-microsoft-com:office:smarttags" w:element="PersonName">
        <w:smartTagPr>
          <w:attr w:name="ProductID" w:val="la S.I"/>
        </w:smartTagPr>
        <w:r>
          <w:t>la S.I</w:t>
        </w:r>
      </w:smartTag>
      <w:r>
        <w:t>.D.E. a la terminal aérea. En la oportunidad, según dijo Salomone, lo acompañaron el suboficial Morano y el oficial Gig</w:t>
      </w:r>
      <w:r>
        <w:t>e</w:t>
      </w:r>
      <w:r>
        <w:t>na.</w:t>
      </w:r>
    </w:p>
    <w:p w:rsidR="00224567" w:rsidRDefault="00224567">
      <w:pPr>
        <w:widowControl w:val="0"/>
        <w:tabs>
          <w:tab w:val="left" w:pos="2835"/>
        </w:tabs>
      </w:pPr>
      <w:r>
        <w:tab/>
        <w:t>Al llegar al aeródromo, constató la presencia de la persona buscada en el sector de arribo de los vuelos. Se identificó ante el personal aeroná</w:t>
      </w:r>
      <w:r>
        <w:t>u</w:t>
      </w:r>
      <w:r>
        <w:t>tico, a cuyo lado se encontraba Telleldín, labrando en una depe</w:t>
      </w:r>
      <w:r>
        <w:t>n</w:t>
      </w:r>
      <w:r>
        <w:t>dencia del lugar el acta de detención. Luego trasladó al imputado al D.P.O.C., donde lo entregó a un agente de la oficina judicial.</w:t>
      </w:r>
    </w:p>
    <w:p w:rsidR="00224567" w:rsidRDefault="00224567">
      <w:pPr>
        <w:widowControl w:val="0"/>
        <w:tabs>
          <w:tab w:val="left" w:pos="2835"/>
        </w:tabs>
        <w:ind w:firstLine="708"/>
      </w:pPr>
      <w:r>
        <w:tab/>
        <w:t>Una vez en la dependencia policial, creyó recordar el testigo, se incautó al detenido los efectos que llevaba consigo, a saber, el documento de identidad, tarjetas de crédito, una agenda electrónica y dinero en efectivo, entre USD 600 y 900.</w:t>
      </w:r>
    </w:p>
    <w:p w:rsidR="00224567" w:rsidRDefault="00224567">
      <w:pPr>
        <w:widowControl w:val="0"/>
        <w:tabs>
          <w:tab w:val="left" w:pos="2835"/>
        </w:tabs>
        <w:ind w:firstLine="708"/>
      </w:pPr>
      <w:r>
        <w:tab/>
        <w:t>Salomone afirmó que al momento de la detención de Telleldín, no secuestró tales efectos po</w:t>
      </w:r>
      <w:r>
        <w:t>r</w:t>
      </w:r>
      <w:r>
        <w:t>que no había recibido ninguna orden de requisa. Tampoco lo consideró necesario puesto que no conocía el motivo de su detención, ni el grado de vinculación que tenía el sosp</w:t>
      </w:r>
      <w:r>
        <w:t>e</w:t>
      </w:r>
      <w:r>
        <w:t>choso con el hecho investigado, sólo “había e</w:t>
      </w:r>
      <w:r>
        <w:t>s</w:t>
      </w:r>
      <w:r>
        <w:t>cuchado que era una persona que había tenido algo con una camioneta”, dijo.</w:t>
      </w:r>
    </w:p>
    <w:p w:rsidR="00224567" w:rsidRDefault="00224567">
      <w:pPr>
        <w:widowControl w:val="0"/>
        <w:tabs>
          <w:tab w:val="left" w:pos="2835"/>
        </w:tabs>
        <w:ind w:firstLine="708"/>
      </w:pPr>
      <w:r>
        <w:tab/>
        <w:t>Se le hizo saber al declarante que en su anterior declaración rendida en la causa (fs. 33.611), expresó, en oposición a lo ya afirmado, que no recordaba si el detenido tenía una agenda electrónica. Ante ello, Salomone no logró zanjar la diferentes ve</w:t>
      </w:r>
      <w:r>
        <w:t>r</w:t>
      </w:r>
      <w:r>
        <w:t>siones.</w:t>
      </w:r>
    </w:p>
    <w:p w:rsidR="00224567" w:rsidRDefault="00224567">
      <w:pPr>
        <w:widowControl w:val="0"/>
        <w:tabs>
          <w:tab w:val="left" w:pos="2835"/>
        </w:tabs>
        <w:ind w:firstLine="708"/>
      </w:pPr>
      <w:r>
        <w:tab/>
        <w:t>Explicó que mientras se redactó el a</w:t>
      </w:r>
      <w:r>
        <w:t>c</w:t>
      </w:r>
      <w:r>
        <w:t>ta de detención, estuvieron presentes el jefe de serv</w:t>
      </w:r>
      <w:r>
        <w:t>i</w:t>
      </w:r>
      <w:r>
        <w:t xml:space="preserve">cio de </w:t>
      </w:r>
      <w:smartTag w:uri="urn:schemas-microsoft-com:office:smarttags" w:element="PersonName">
        <w:smartTagPr>
          <w:attr w:name="ProductID" w:val="la Polic￭a Aeron￡utica"/>
        </w:smartTagPr>
        <w:r>
          <w:t>la Policía Aeronáutica</w:t>
        </w:r>
      </w:smartTag>
      <w:r>
        <w:t xml:space="preserve"> y un grupo de </w:t>
      </w:r>
      <w:smartTag w:uri="urn:schemas-microsoft-com:office:smarttags" w:element="PersonName">
        <w:smartTagPr>
          <w:attr w:name="ProductID" w:val="la S.I"/>
        </w:smartTagPr>
        <w:r>
          <w:t>la S.I</w:t>
        </w:r>
      </w:smartTag>
      <w:r>
        <w:t>.D.E. Re</w:t>
      </w:r>
      <w:r>
        <w:t>s</w:t>
      </w:r>
      <w:r>
        <w:t>pecto a éstos últimos, el testigo recordó que se trat</w:t>
      </w:r>
      <w:r>
        <w:t>a</w:t>
      </w:r>
      <w:r>
        <w:t>ban de tres personas y que mantuvo un altercado con el j</w:t>
      </w:r>
      <w:r>
        <w:t>e</w:t>
      </w:r>
      <w:r>
        <w:t>fe de la comisión, dado que tenía la intención de llevar a T</w:t>
      </w:r>
      <w:r>
        <w:t>e</w:t>
      </w:r>
      <w:r>
        <w:t>lleldín en su auto. Afirmó que uno de los espías había participado en la observación de la vivienda de la calle República.</w:t>
      </w:r>
    </w:p>
    <w:p w:rsidR="00224567" w:rsidRDefault="00224567">
      <w:pPr>
        <w:pStyle w:val="Sangradetextonormal"/>
        <w:widowControl w:val="0"/>
        <w:tabs>
          <w:tab w:val="left" w:pos="2835"/>
        </w:tabs>
      </w:pPr>
      <w:r>
        <w:tab/>
        <w:t>Ricardo Morano, por entonces, numer</w:t>
      </w:r>
      <w:r>
        <w:t>a</w:t>
      </w:r>
      <w:r>
        <w:t>rio de la misma división policial, refirió que fue com</w:t>
      </w:r>
      <w:r>
        <w:t>i</w:t>
      </w:r>
      <w:r>
        <w:t>sionado para colaborar en algunas tareas operativas en el D.P.O.C., por ese entonces a cargo del comisario inspector Carlos Antonio Castañeda.</w:t>
      </w:r>
    </w:p>
    <w:p w:rsidR="00224567" w:rsidRDefault="00224567">
      <w:pPr>
        <w:widowControl w:val="0"/>
        <w:tabs>
          <w:tab w:val="left" w:pos="2835"/>
        </w:tabs>
      </w:pPr>
      <w:r>
        <w:tab/>
        <w:t>En su relato, el funcionario afirmó que concurrió en los primeros días de la investigación a la localidad de Villa Ballester, secundando al, por ento</w:t>
      </w:r>
      <w:r>
        <w:t>n</w:t>
      </w:r>
      <w:r>
        <w:t>ces, principal Salomone, a efectos de “montar una discreta vigilancia” frente a un domicilio.</w:t>
      </w:r>
    </w:p>
    <w:p w:rsidR="00224567" w:rsidRDefault="00224567">
      <w:pPr>
        <w:widowControl w:val="0"/>
        <w:tabs>
          <w:tab w:val="left" w:pos="2835"/>
        </w:tabs>
        <w:ind w:firstLine="708"/>
      </w:pPr>
      <w:r>
        <w:tab/>
        <w:t xml:space="preserve">En el trayecto, Salomone le comunicó que en el lugar se encontraba un móvil con personal de </w:t>
      </w:r>
      <w:smartTag w:uri="urn:schemas-microsoft-com:office:smarttags" w:element="PersonName">
        <w:smartTagPr>
          <w:attr w:name="ProductID" w:val="la S.I"/>
        </w:smartTagPr>
        <w:r>
          <w:t>la S.I</w:t>
        </w:r>
      </w:smartTag>
      <w:r>
        <w:t>.D.E.. Empero, nada le dijo acerca de los motivos ni del objeto de la observación que habrían de realizar. No supo en ningún momento que la vivienda tuviese alguna vi</w:t>
      </w:r>
      <w:r>
        <w:t>n</w:t>
      </w:r>
      <w:r>
        <w:t>cul</w:t>
      </w:r>
      <w:r>
        <w:t>a</w:t>
      </w:r>
      <w:r>
        <w:t>ción con un sujeto investigado con motivo del atentado a la mutual judía.</w:t>
      </w:r>
    </w:p>
    <w:p w:rsidR="00224567" w:rsidRDefault="00224567">
      <w:pPr>
        <w:widowControl w:val="0"/>
        <w:tabs>
          <w:tab w:val="left" w:pos="2835"/>
        </w:tabs>
        <w:ind w:firstLine="708"/>
      </w:pPr>
      <w:r>
        <w:tab/>
        <w:t>Al llegar al lugar, refirió, detuvi</w:t>
      </w:r>
      <w:r>
        <w:t>e</w:t>
      </w:r>
      <w:r>
        <w:t xml:space="preserve">ron el auto a unos cien metros de la casa; luego de un tiempo, interceptaron a dos personas que resultaron ser funcionarios de </w:t>
      </w:r>
      <w:smartTag w:uri="urn:schemas-microsoft-com:office:smarttags" w:element="PersonName">
        <w:smartTagPr>
          <w:attr w:name="ProductID" w:val="la Polic￭a Bonaerense"/>
        </w:smartTagPr>
        <w:r>
          <w:t>la Policía Bonaerense</w:t>
        </w:r>
      </w:smartTag>
      <w:r>
        <w:t>, quienes se despl</w:t>
      </w:r>
      <w:r>
        <w:t>a</w:t>
      </w:r>
      <w:r>
        <w:t>zaban en un vehículo. Luego de ello, llamaron a la puerta de la casa, siendo atendidos por una mujer que conversó con el oficial Salomone, y luego se invitó a las dos pe</w:t>
      </w:r>
      <w:r>
        <w:t>r</w:t>
      </w:r>
      <w:r>
        <w:t>sonas “interceptadas” a concurrir a la dependencia pol</w:t>
      </w:r>
      <w:r>
        <w:t>i</w:t>
      </w:r>
      <w:r>
        <w:t>cial, de acuerdo a lo ordenado por la s</w:t>
      </w:r>
      <w:r>
        <w:t>u</w:t>
      </w:r>
      <w:r>
        <w:t>perioridad.</w:t>
      </w:r>
    </w:p>
    <w:p w:rsidR="00224567" w:rsidRDefault="00224567">
      <w:pPr>
        <w:widowControl w:val="0"/>
        <w:tabs>
          <w:tab w:val="left" w:pos="2835"/>
        </w:tabs>
        <w:ind w:firstLine="708"/>
      </w:pPr>
      <w:r>
        <w:tab/>
        <w:t>Al requerírsele mayores precisiones sobre lo sucedido, Morano no pudo indicar, aunque sea r</w:t>
      </w:r>
      <w:r>
        <w:t>e</w:t>
      </w:r>
      <w:r>
        <w:t>motamente, las características de la casa vigilada, su ubicación en la cuadra, los negocios del lugar, el sentido de circulación de la calle; tampoco precisó el lugar donde efectuaron la vigilancia, la cantidad de personas que i</w:t>
      </w:r>
      <w:r>
        <w:t>n</w:t>
      </w:r>
      <w:r>
        <w:t xml:space="preserve">tegraban la comisión de </w:t>
      </w:r>
      <w:smartTag w:uri="urn:schemas-microsoft-com:office:smarttags" w:element="PersonName">
        <w:smartTagPr>
          <w:attr w:name="ProductID" w:val="la S.I"/>
        </w:smartTagPr>
        <w:r>
          <w:t>la S.I</w:t>
        </w:r>
      </w:smartTag>
      <w:r>
        <w:t>.D.E., la marca, color, o característica alguna del auto que é</w:t>
      </w:r>
      <w:r>
        <w:t>s</w:t>
      </w:r>
      <w:r>
        <w:t>tos ocupaban.</w:t>
      </w:r>
    </w:p>
    <w:p w:rsidR="00224567" w:rsidRDefault="00224567">
      <w:pPr>
        <w:widowControl w:val="0"/>
        <w:tabs>
          <w:tab w:val="left" w:pos="2835"/>
        </w:tabs>
        <w:ind w:firstLine="708"/>
      </w:pPr>
      <w:r>
        <w:tab/>
        <w:t>Tampoco recordó las particularidades del vehículo interceptado, ni dónde se llevó a cabo esa maniobra. No dio precisiones acerca del contenido de la charla que mantuvieron con los detenidos, ni el de la co</w:t>
      </w:r>
      <w:r>
        <w:t>n</w:t>
      </w:r>
      <w:r>
        <w:t>versación con la mujer que ocupaba la casa vigilada. Ad</w:t>
      </w:r>
      <w:r>
        <w:t>u</w:t>
      </w:r>
      <w:r>
        <w:t>jo, respecto de estos casos, que no escuchó porque debía custodiar el lugar, por si algo sucedía.</w:t>
      </w:r>
    </w:p>
    <w:p w:rsidR="00224567" w:rsidRDefault="00224567">
      <w:pPr>
        <w:widowControl w:val="0"/>
        <w:tabs>
          <w:tab w:val="left" w:pos="2835"/>
        </w:tabs>
        <w:ind w:firstLine="708"/>
      </w:pPr>
      <w:r>
        <w:tab/>
        <w:t xml:space="preserve">En punto a la actividad del personal de </w:t>
      </w:r>
      <w:smartTag w:uri="urn:schemas-microsoft-com:office:smarttags" w:element="PersonName">
        <w:smartTagPr>
          <w:attr w:name="ProductID" w:val="la S.I"/>
        </w:smartTagPr>
        <w:r>
          <w:t>la S.I</w:t>
        </w:r>
      </w:smartTag>
      <w:r>
        <w:t>.D.E., dijo que nunca descendieron del vehíc</w:t>
      </w:r>
      <w:r>
        <w:t>u</w:t>
      </w:r>
      <w:r>
        <w:t>lo y que no tuvieron ningún tipo de contacto con ellos.</w:t>
      </w:r>
    </w:p>
    <w:p w:rsidR="00224567" w:rsidRDefault="00224567">
      <w:pPr>
        <w:widowControl w:val="0"/>
        <w:tabs>
          <w:tab w:val="left" w:pos="2835"/>
        </w:tabs>
        <w:ind w:firstLine="708"/>
      </w:pPr>
      <w:r>
        <w:tab/>
        <w:t xml:space="preserve">Morano señaló, además, que no trabajó ni prestó colaboración con el personal de inteligencia de </w:t>
      </w:r>
      <w:smartTag w:uri="urn:schemas-microsoft-com:office:smarttags" w:element="PersonName">
        <w:smartTagPr>
          <w:attr w:name="ProductID" w:val="la P.F"/>
        </w:smartTagPr>
        <w:r>
          <w:t>la P.F</w:t>
        </w:r>
      </w:smartTag>
      <w:r>
        <w:t>.A., conocidos en el jerga policial con el apodo de “plumas”, ni se percató que éstos hubieran estado prese</w:t>
      </w:r>
      <w:r>
        <w:t>n</w:t>
      </w:r>
      <w:r>
        <w:t>tes en la diligencia en cuestión.</w:t>
      </w:r>
    </w:p>
    <w:p w:rsidR="00224567" w:rsidRDefault="00224567">
      <w:pPr>
        <w:widowControl w:val="0"/>
        <w:tabs>
          <w:tab w:val="left" w:pos="2835"/>
        </w:tabs>
      </w:pPr>
      <w:r>
        <w:tab/>
        <w:t>Al ser preguntado, conforme los d</w:t>
      </w:r>
      <w:r>
        <w:t>i</w:t>
      </w:r>
      <w:r>
        <w:t>chos de Salomone, si participó en algún procedimiento en el a</w:t>
      </w:r>
      <w:r>
        <w:t>e</w:t>
      </w:r>
      <w:r>
        <w:t>roparque metropolitano, Morano dijo que no.</w:t>
      </w:r>
    </w:p>
    <w:p w:rsidR="00224567" w:rsidRDefault="00224567">
      <w:pPr>
        <w:widowControl w:val="0"/>
        <w:tabs>
          <w:tab w:val="left" w:pos="2835"/>
        </w:tabs>
      </w:pPr>
      <w:r>
        <w:tab/>
        <w:t>Debido a las sustanciales diferencias entre las versiones de los hechos dadas por el oficial de inteligencia Aldo Álvarez y por el entonces principal Ca</w:t>
      </w:r>
      <w:r>
        <w:t>r</w:t>
      </w:r>
      <w:r>
        <w:t>los Alberto Salomone, el Tribunal dispuso la realización de un careo a fin de dilucidar los siguientes puntos: 1) si las tareas de observación del domicilio de la calle R</w:t>
      </w:r>
      <w:r>
        <w:t>e</w:t>
      </w:r>
      <w:r>
        <w:t>pública 107 el 26 de julio de 1994 fue realizada por la comisión a cargo del oficial de inteligencia Aldo Álvarez o si, por el contrario, fue comandada por el entonces principal Carlos Salomone; 2) si la interceptación de Di</w:t>
      </w:r>
      <w:r>
        <w:t>e</w:t>
      </w:r>
      <w:r>
        <w:t>go Barreda y Mario Bareiro en dichas circunstancias, la realizó el primero de los nombrados o si, de adverso, el segundo; 3) si los dos policías bonaerenses permanecieron en la casa de la c</w:t>
      </w:r>
      <w:r>
        <w:t>a</w:t>
      </w:r>
      <w:r>
        <w:t>lle República o si fueron trasladados a la dependencia policial, luego de su interceptación y, 4) si Ana María Boragni permaneció en su domicilio tras la incursión del personal policial o si fue trasladada al d</w:t>
      </w:r>
      <w:r>
        <w:t>e</w:t>
      </w:r>
      <w:r>
        <w:t>partamento central, munida de la documentación correspo</w:t>
      </w:r>
      <w:r>
        <w:t>n</w:t>
      </w:r>
      <w:r>
        <w:t>diente a la camioneta Renault Trafic investigada en a</w:t>
      </w:r>
      <w:r>
        <w:t>u</w:t>
      </w:r>
      <w:r>
        <w:t>tos.</w:t>
      </w:r>
    </w:p>
    <w:p w:rsidR="00224567" w:rsidRDefault="00224567">
      <w:pPr>
        <w:widowControl w:val="0"/>
        <w:tabs>
          <w:tab w:val="left" w:pos="2835"/>
        </w:tabs>
      </w:pPr>
      <w:r>
        <w:tab/>
        <w:t>Así las cosas, tanto el oficial de i</w:t>
      </w:r>
      <w:r>
        <w:t>n</w:t>
      </w:r>
      <w:r>
        <w:t>teligencia Álvarez como el principal Salomone se mantuvi</w:t>
      </w:r>
      <w:r>
        <w:t>e</w:t>
      </w:r>
      <w:r>
        <w:t>ron en sus dichos, profundizándose el antagonismo de las versiones.</w:t>
      </w:r>
    </w:p>
    <w:p w:rsidR="00224567" w:rsidRDefault="00224567">
      <w:pPr>
        <w:widowControl w:val="0"/>
        <w:tabs>
          <w:tab w:val="left" w:pos="2835"/>
        </w:tabs>
        <w:ind w:firstLine="708"/>
      </w:pPr>
      <w:r>
        <w:tab/>
        <w:t>En efecto, el segundo dijo que el pr</w:t>
      </w:r>
      <w:r>
        <w:t>o</w:t>
      </w:r>
      <w:r>
        <w:t>cedimiento estuvo a su cargo y que en ningún momento vio al oficial Álvarez, ni a ningún otro personal pol</w:t>
      </w:r>
      <w:r>
        <w:t>i</w:t>
      </w:r>
      <w:r>
        <w:t xml:space="preserve">cial en ese lugar. Posteriormente, trasladó a los dos uniformados de </w:t>
      </w:r>
      <w:smartTag w:uri="urn:schemas-microsoft-com:office:smarttags" w:element="PersonName">
        <w:smartTagPr>
          <w:attr w:name="ProductID" w:val="la Polic￭a Bonaerense"/>
        </w:smartTagPr>
        <w:r>
          <w:t>la Policía Bonaerense</w:t>
        </w:r>
      </w:smartTag>
      <w:r>
        <w:t xml:space="preserve"> a las dependencias del D.P.O.C. y la mujer permaneció en el domicilio v</w:t>
      </w:r>
      <w:r>
        <w:t>i</w:t>
      </w:r>
      <w:r>
        <w:t>gilado.</w:t>
      </w:r>
    </w:p>
    <w:p w:rsidR="00224567" w:rsidRDefault="00224567">
      <w:pPr>
        <w:widowControl w:val="0"/>
        <w:tabs>
          <w:tab w:val="left" w:pos="2835"/>
        </w:tabs>
        <w:ind w:firstLine="708"/>
      </w:pPr>
      <w:r>
        <w:tab/>
        <w:t>Álvarez, por el contrario, afirmó que estuvo en ese lugar desde la mañana del día anterior a la detención de Telleldín y luego de la interceptación de los dos agentes policiales, episodio que ocurrió en horas de la tarde, permaneció en la casa hasta las 3 de la madrug</w:t>
      </w:r>
      <w:r>
        <w:t>a</w:t>
      </w:r>
      <w:r>
        <w:t xml:space="preserve">da junto con Barreda, Bareiro y el personal de </w:t>
      </w:r>
      <w:smartTag w:uri="urn:schemas-microsoft-com:office:smarttags" w:element="PersonName">
        <w:smartTagPr>
          <w:attr w:name="ProductID" w:val="la S.I"/>
        </w:smartTagPr>
        <w:r>
          <w:t>la S.I</w:t>
        </w:r>
      </w:smartTag>
      <w:r>
        <w:t>.D.E. Asimismo, que Ana María Boragni fue trasladada por pers</w:t>
      </w:r>
      <w:r>
        <w:t>o</w:t>
      </w:r>
      <w:r>
        <w:t>nal de seguridad al D.P.O.C., sup</w:t>
      </w:r>
      <w:r>
        <w:t>o</w:t>
      </w:r>
      <w:r>
        <w:t>niendo que esa comisión estaba a cargo del principal Salomone.</w:t>
      </w:r>
    </w:p>
    <w:p w:rsidR="00224567" w:rsidRDefault="00224567">
      <w:pPr>
        <w:widowControl w:val="0"/>
        <w:tabs>
          <w:tab w:val="left" w:pos="2835"/>
        </w:tabs>
      </w:pPr>
      <w:r>
        <w:tab/>
        <w:t>En punto a la modalidad que se emple</w:t>
      </w:r>
      <w:r>
        <w:t>a</w:t>
      </w:r>
      <w:r>
        <w:t>ba para volcar a la causa la actividad que desarr</w:t>
      </w:r>
      <w:r>
        <w:t>o</w:t>
      </w:r>
      <w:r>
        <w:t xml:space="preserve">llaba el cuerpo de inteligencia de </w:t>
      </w:r>
      <w:smartTag w:uri="urn:schemas-microsoft-com:office:smarttags" w:element="PersonName">
        <w:smartTagPr>
          <w:attr w:name="ProductID" w:val="la P.F"/>
        </w:smartTagPr>
        <w:r>
          <w:t>la P.F</w:t>
        </w:r>
      </w:smartTag>
      <w:r>
        <w:t>.A., el oficial Álvarez manifestó que, generalmente, realizaban informes internos de su actuación, que eran elevados al jefe del D.P.O.C.; luego se ingresaba la información al expediente a través de declaraciones testimoniales re</w:t>
      </w:r>
      <w:r>
        <w:t>n</w:t>
      </w:r>
      <w:r>
        <w:t>didas por el personal de seguridad. No obstante ello, no recordó haber labrado ni</w:t>
      </w:r>
      <w:r>
        <w:t>n</w:t>
      </w:r>
      <w:r>
        <w:t>gún informe ni haber conversado con Salomone acerca del procedimiento de m</w:t>
      </w:r>
      <w:r>
        <w:t>a</w:t>
      </w:r>
      <w:r>
        <w:t>rras.</w:t>
      </w:r>
    </w:p>
    <w:p w:rsidR="00224567" w:rsidRDefault="00224567">
      <w:pPr>
        <w:widowControl w:val="0"/>
        <w:tabs>
          <w:tab w:val="left" w:pos="2835"/>
        </w:tabs>
        <w:ind w:firstLine="708"/>
      </w:pPr>
      <w:r>
        <w:tab/>
        <w:t>Por su parte, el principal Salomone señaló que efectuó una declaración testimonial en la d</w:t>
      </w:r>
      <w:r>
        <w:t>e</w:t>
      </w:r>
      <w:r>
        <w:t>pendencia policial acerca de lo sucedido en la dil</w:t>
      </w:r>
      <w:r>
        <w:t>i</w:t>
      </w:r>
      <w:r>
        <w:t>gencia y explicó que “no se la recibió nadie, porque generalmente uno escribe la declaración”; que “habitualmente se hace así” y que “en este caso, debe haber sucedido igual, es decir yo la debo haber escrito”.</w:t>
      </w:r>
    </w:p>
    <w:p w:rsidR="00224567" w:rsidRDefault="00224567">
      <w:pPr>
        <w:pStyle w:val="Sangradetextonormal"/>
        <w:widowControl w:val="0"/>
        <w:tabs>
          <w:tab w:val="left" w:pos="2835"/>
        </w:tabs>
      </w:pPr>
      <w:r>
        <w:tab/>
        <w:t>Fabián Oscar Strancar, al ser careado con el testigo Salomone, afirmó que no recordaba si hubo personal de seguridad durante la citada dilige</w:t>
      </w:r>
      <w:r>
        <w:t>n</w:t>
      </w:r>
      <w:r>
        <w:t>cia.</w:t>
      </w:r>
    </w:p>
    <w:p w:rsidR="00224567" w:rsidRDefault="00224567">
      <w:pPr>
        <w:widowControl w:val="0"/>
        <w:tabs>
          <w:tab w:val="left" w:pos="2835"/>
        </w:tabs>
        <w:ind w:firstLine="708"/>
      </w:pPr>
      <w:r>
        <w:tab/>
        <w:t xml:space="preserve">En primer orden, corresponde señalar que en las actuaciones de la instrucción no obra ninguna constancia acerca de la incursión de agentes de </w:t>
      </w:r>
      <w:smartTag w:uri="urn:schemas-microsoft-com:office:smarttags" w:element="PersonName">
        <w:smartTagPr>
          <w:attr w:name="ProductID" w:val="la S.I"/>
        </w:smartTagPr>
        <w:r>
          <w:t>la S.I</w:t>
        </w:r>
      </w:smartTag>
      <w:r>
        <w:t xml:space="preserve">.D.E. y de funcionarios de </w:t>
      </w:r>
      <w:smartTag w:uri="urn:schemas-microsoft-com:office:smarttags" w:element="PersonName">
        <w:smartTagPr>
          <w:attr w:name="ProductID" w:val="la Polic￭a Federal"/>
        </w:smartTagPr>
        <w:r>
          <w:t>la Policía Federal</w:t>
        </w:r>
      </w:smartTag>
      <w:r>
        <w:t xml:space="preserve"> Arge</w:t>
      </w:r>
      <w:r>
        <w:t>n</w:t>
      </w:r>
      <w:r>
        <w:t>tina en el domicilio de Carlos Alberto Telleldín los días 26 y 27 de julio de 1994.</w:t>
      </w:r>
    </w:p>
    <w:p w:rsidR="00224567" w:rsidRDefault="00224567">
      <w:pPr>
        <w:widowControl w:val="0"/>
        <w:tabs>
          <w:tab w:val="left" w:pos="2835"/>
        </w:tabs>
      </w:pPr>
      <w:r>
        <w:tab/>
        <w:t>Sobre los sucesos acontecidos, sólo se cuenta con la declaración testimonial de Carlos Alberto Salomone de fs. 300, versión que no pudo mantener al ser interrogado en el debate.</w:t>
      </w:r>
    </w:p>
    <w:p w:rsidR="00224567" w:rsidRDefault="00224567">
      <w:pPr>
        <w:widowControl w:val="0"/>
        <w:tabs>
          <w:tab w:val="left" w:pos="2835"/>
        </w:tabs>
        <w:ind w:firstLine="708"/>
      </w:pPr>
      <w:r>
        <w:tab/>
        <w:t>Además, resultó desconcertante que se vertieran sobre un mismo acontecimiento dos versiones tan disímiles y opuestas por parte de funcionarios de una mi</w:t>
      </w:r>
      <w:r>
        <w:t>s</w:t>
      </w:r>
      <w:r>
        <w:t>ma institución –Policía Federal-, máxime tratá</w:t>
      </w:r>
      <w:r>
        <w:t>n</w:t>
      </w:r>
      <w:r>
        <w:t>dose de un hecho de las características del investigado. Además, la discordancia es en torno a la actividad en el domicilio de la persona sospechada, en los primeros momentos de la pe</w:t>
      </w:r>
      <w:r>
        <w:t>s</w:t>
      </w:r>
      <w:r>
        <w:t>quisa.</w:t>
      </w:r>
    </w:p>
    <w:p w:rsidR="00224567" w:rsidRDefault="00224567">
      <w:pPr>
        <w:widowControl w:val="0"/>
        <w:tabs>
          <w:tab w:val="left" w:pos="2835"/>
        </w:tabs>
      </w:pPr>
      <w:r>
        <w:tab/>
        <w:t>No obstante ello, el tribunal consid</w:t>
      </w:r>
      <w:r>
        <w:t>e</w:t>
      </w:r>
      <w:r>
        <w:t>ra verosímiles los sucesos relatados tanto por el oficial de inteligencia Aldo Álvarez como por su subordinado F</w:t>
      </w:r>
      <w:r>
        <w:t>a</w:t>
      </w:r>
      <w:r>
        <w:t>bián Oscar Strancar –más allá de la exigua evocación de los hechos manifestada por éste último- y, consecuenteme</w:t>
      </w:r>
      <w:r>
        <w:t>n</w:t>
      </w:r>
      <w:r>
        <w:t>te, se impone desechar, por mendaces, las versiones que acerca de ellos dieron Carlos Alberto Salomone y Ricardo Morano.</w:t>
      </w:r>
    </w:p>
    <w:p w:rsidR="00224567" w:rsidRDefault="00224567">
      <w:pPr>
        <w:widowControl w:val="0"/>
        <w:tabs>
          <w:tab w:val="left" w:pos="2835"/>
        </w:tabs>
      </w:pPr>
      <w:r>
        <w:tab/>
        <w:t>En efecto, Salomone y Morano relat</w:t>
      </w:r>
      <w:r>
        <w:t>a</w:t>
      </w:r>
      <w:r>
        <w:t>ron en el debate circunstancias que, valoradas en conjunto, resultan por demás inadmisibles; entre otras se enumeran las siguientes:</w:t>
      </w:r>
    </w:p>
    <w:p w:rsidR="00224567" w:rsidRDefault="00224567">
      <w:pPr>
        <w:widowControl w:val="0"/>
        <w:tabs>
          <w:tab w:val="left" w:pos="2835"/>
        </w:tabs>
        <w:ind w:firstLine="708"/>
      </w:pPr>
      <w:r>
        <w:tab/>
        <w:t>1) Que no sabían, al momento de real</w:t>
      </w:r>
      <w:r>
        <w:t>i</w:t>
      </w:r>
      <w:r>
        <w:t>zar la vigilancia de la vivienda, el vínculo de sus oc</w:t>
      </w:r>
      <w:r>
        <w:t>u</w:t>
      </w:r>
      <w:r>
        <w:t>pantes con la investigación.</w:t>
      </w:r>
    </w:p>
    <w:p w:rsidR="00224567" w:rsidRDefault="00224567">
      <w:pPr>
        <w:widowControl w:val="0"/>
        <w:tabs>
          <w:tab w:val="left" w:pos="2835"/>
        </w:tabs>
        <w:ind w:firstLine="708"/>
      </w:pPr>
      <w:r>
        <w:tab/>
        <w:t>2) Que les transmitieron por radio el dato de que se aproximarían al domicilio dos policías b</w:t>
      </w:r>
      <w:r>
        <w:t>o</w:t>
      </w:r>
      <w:r>
        <w:t>naerenses, cuando, en realidad, no había forma de c</w:t>
      </w:r>
      <w:r>
        <w:t>o</w:t>
      </w:r>
      <w:r>
        <w:t>nocer esa circunstancia, dado que, a esa altura de la pesquisa, no se había materializado la intervención dispuesta sobre el abonado instalado en la finca.</w:t>
      </w:r>
    </w:p>
    <w:p w:rsidR="00224567" w:rsidRDefault="00224567">
      <w:pPr>
        <w:widowControl w:val="0"/>
        <w:tabs>
          <w:tab w:val="left" w:pos="2835"/>
        </w:tabs>
        <w:ind w:firstLine="708"/>
      </w:pPr>
      <w:r>
        <w:tab/>
        <w:t>3) Que procedieron a la intercept</w:t>
      </w:r>
      <w:r>
        <w:t>a</w:t>
      </w:r>
      <w:r>
        <w:t>ción de tales individuos una vez que salieron de la casa, e</w:t>
      </w:r>
      <w:r>
        <w:t>x</w:t>
      </w:r>
      <w:r>
        <w:t>plicando que no lo hicieron al ingresar por cua</w:t>
      </w:r>
      <w:r>
        <w:t>n</w:t>
      </w:r>
      <w:r>
        <w:t>to estaban a una distancia que lo impedía.  Argumento inverosímil  dentro de la versión de los testigos, por cuanto, según afirmaron, sabían media hora antes que dichas personas h</w:t>
      </w:r>
      <w:r>
        <w:t>a</w:t>
      </w:r>
      <w:r>
        <w:t>brían de concurrir. Explicación que demuestra que tuvi</w:t>
      </w:r>
      <w:r>
        <w:t>e</w:t>
      </w:r>
      <w:r>
        <w:t>ron tiempo suficiente para concretar la supuesta “intercept</w:t>
      </w:r>
      <w:r>
        <w:t>a</w:t>
      </w:r>
      <w:r>
        <w:t>ción”.</w:t>
      </w:r>
    </w:p>
    <w:p w:rsidR="00224567" w:rsidRDefault="00224567">
      <w:pPr>
        <w:widowControl w:val="0"/>
        <w:tabs>
          <w:tab w:val="left" w:pos="2835"/>
        </w:tabs>
        <w:ind w:firstLine="708"/>
      </w:pPr>
      <w:r>
        <w:tab/>
        <w:t>4) Que sabían de la existencia del personal de S.I.D.E. por cuanto al salir de la depe</w:t>
      </w:r>
      <w:r>
        <w:t>n</w:t>
      </w:r>
      <w:r>
        <w:t>dencia policial les habían anticipado las características del a</w:t>
      </w:r>
      <w:r>
        <w:t>u</w:t>
      </w:r>
      <w:r>
        <w:t>tomóvil que utilizarían. Pese a ello, ni Salomone ni M</w:t>
      </w:r>
      <w:r>
        <w:t>o</w:t>
      </w:r>
      <w:r>
        <w:t>rano recordaron las particularidades del vehículo, tales como su marca, color o tamaño.</w:t>
      </w:r>
    </w:p>
    <w:p w:rsidR="00224567" w:rsidRDefault="00224567">
      <w:pPr>
        <w:widowControl w:val="0"/>
        <w:tabs>
          <w:tab w:val="left" w:pos="2835"/>
        </w:tabs>
        <w:ind w:firstLine="708"/>
      </w:pPr>
      <w:r>
        <w:tab/>
        <w:t>5) Que no mantuvieron ningún tipo de contacto con los agentes de inteligencia y que, una vez que “interceptaron” a los policías bonaerenses, mientras dialogaba Salomone con Ana Boragni, aquellos se hicieron presente sin hacer ningún tipo de preguntas. Lo extrav</w:t>
      </w:r>
      <w:r>
        <w:t>a</w:t>
      </w:r>
      <w:r>
        <w:t>gante de la situación exime hacer mayores c</w:t>
      </w:r>
      <w:r>
        <w:t>o</w:t>
      </w:r>
      <w:r>
        <w:t>mentarios.</w:t>
      </w:r>
    </w:p>
    <w:p w:rsidR="00224567" w:rsidRDefault="00224567">
      <w:pPr>
        <w:widowControl w:val="0"/>
        <w:tabs>
          <w:tab w:val="left" w:pos="2835"/>
        </w:tabs>
        <w:ind w:firstLine="708"/>
      </w:pPr>
      <w:r>
        <w:tab/>
        <w:t>Además, Salomone y Morano no pudieron dar detalles acerca de la casa observada, de su ubic</w:t>
      </w:r>
      <w:r>
        <w:t>a</w:t>
      </w:r>
      <w:r>
        <w:t>ción en la manzana, del sentido de circulación de la calle R</w:t>
      </w:r>
      <w:r>
        <w:t>e</w:t>
      </w:r>
      <w:r>
        <w:t>pública, ni de los negocios de las cercanías del lugar.</w:t>
      </w:r>
    </w:p>
    <w:p w:rsidR="00224567" w:rsidRDefault="00224567">
      <w:pPr>
        <w:widowControl w:val="0"/>
        <w:tabs>
          <w:tab w:val="left" w:pos="2835"/>
        </w:tabs>
        <w:ind w:firstLine="708"/>
      </w:pPr>
      <w:r>
        <w:tab/>
        <w:t>Cabe señalar, asimismo, que en el c</w:t>
      </w:r>
      <w:r>
        <w:t>a</w:t>
      </w:r>
      <w:r>
        <w:t>reo efectuado entre Salomone y Álvarez, el primero no pudo más que mantener silencio frente a la versión del segundo, limitándose a negar, sin dar mayores razones, lo dicho por su cocareado.</w:t>
      </w:r>
    </w:p>
    <w:p w:rsidR="00224567" w:rsidRDefault="00224567">
      <w:pPr>
        <w:widowControl w:val="0"/>
        <w:tabs>
          <w:tab w:val="left" w:pos="2835"/>
        </w:tabs>
        <w:ind w:firstLine="708"/>
      </w:pPr>
      <w:r>
        <w:tab/>
        <w:t>Finalmente, también se habrá de resa</w:t>
      </w:r>
      <w:r>
        <w:t>l</w:t>
      </w:r>
      <w:r>
        <w:t>tar la grave irregularidad referida por Salomone, en punto a que nadie le recibió declaración y que fue él quien la redactó y firmó. Dicho proceder desconoce por completo las normas procesales que regulan la forma en que deben ser prestadas las declaraciones testimoniales, sobre todo lo relativo al juramento de decir ve</w:t>
      </w:r>
      <w:r>
        <w:t>r</w:t>
      </w:r>
      <w:r>
        <w:t>dad.</w:t>
      </w:r>
    </w:p>
    <w:p w:rsidR="00224567" w:rsidRDefault="00224567">
      <w:pPr>
        <w:widowControl w:val="0"/>
        <w:tabs>
          <w:tab w:val="left" w:pos="2835"/>
        </w:tabs>
        <w:ind w:firstLine="708"/>
      </w:pPr>
      <w:r>
        <w:tab/>
        <w:t xml:space="preserve">Por todo ello, corresponde extraer testimonios de las partes pertinentes, como así también copias de las cintas de audio de la audiencia de debate y remitirlas a </w:t>
      </w:r>
      <w:smartTag w:uri="urn:schemas-microsoft-com:office:smarttags" w:element="PersonName">
        <w:smartTagPr>
          <w:attr w:name="ProductID" w:val="la C￡mara Nacional"/>
        </w:smartTagPr>
        <w:r>
          <w:t>la Cámara Nacional</w:t>
        </w:r>
      </w:smartTag>
      <w:r>
        <w:t xml:space="preserve"> de Apelaciones en lo Cr</w:t>
      </w:r>
      <w:r>
        <w:t>i</w:t>
      </w:r>
      <w:r>
        <w:t>minal y Correccional Federal, a fin de que, por sorteo, desinsacule el juzgado que deberá intervenir en la inve</w:t>
      </w:r>
      <w:r>
        <w:t>s</w:t>
      </w:r>
      <w:r>
        <w:t>tigación por la presunta comisión del delito de falso te</w:t>
      </w:r>
      <w:r>
        <w:t>s</w:t>
      </w:r>
      <w:r>
        <w:t>timonio en que habrían incurrido Carlos Albe</w:t>
      </w:r>
      <w:r>
        <w:t>r</w:t>
      </w:r>
      <w:r>
        <w:t>to Salomone y Ricardo Morano.</w:t>
      </w:r>
    </w:p>
    <w:p w:rsidR="00224567" w:rsidRDefault="00224567">
      <w:pPr>
        <w:widowControl w:val="0"/>
        <w:tabs>
          <w:tab w:val="left" w:pos="2835"/>
        </w:tabs>
        <w:ind w:firstLine="708"/>
      </w:pPr>
      <w:r>
        <w:tab/>
        <w:t>Ello, sin dejar de señalar, que situ</w:t>
      </w:r>
      <w:r>
        <w:t>a</w:t>
      </w:r>
      <w:r>
        <w:t>ciones como la descripta constituyen un manifiesto despr</w:t>
      </w:r>
      <w:r>
        <w:t>e</w:t>
      </w:r>
      <w:r>
        <w:t>cio a la acción de la justicia, máxime cuando se trata de funcionarios policiales en una causa que afectó a la com</w:t>
      </w:r>
      <w:r>
        <w:t>u</w:t>
      </w:r>
      <w:r>
        <w:t>nidad en su conjunto.</w:t>
      </w:r>
    </w:p>
    <w:p w:rsidR="00224567" w:rsidRDefault="00224567">
      <w:pPr>
        <w:widowControl w:val="0"/>
        <w:tabs>
          <w:tab w:val="left" w:pos="2835"/>
        </w:tabs>
      </w:pPr>
      <w:r>
        <w:tab/>
        <w:t>Resta decir que los sucesos narrados por Aldo Álvarez y Fabián Oscar Strancar se conjugan con la versión que aportaron Néstor Ricardo Hernández, Luis Domingo Delizia, Daniel Alberto Fernández y Robe</w:t>
      </w:r>
      <w:r>
        <w:t>r</w:t>
      </w:r>
      <w:r>
        <w:t>to Jorge Saller.</w:t>
      </w:r>
    </w:p>
    <w:p w:rsidR="00224567" w:rsidRDefault="00224567">
      <w:pPr>
        <w:widowControl w:val="0"/>
        <w:tabs>
          <w:tab w:val="left" w:pos="2835"/>
        </w:tabs>
        <w:ind w:firstLine="708"/>
      </w:pPr>
      <w:r>
        <w:tab/>
        <w:t>Sus testimonios pusieron a la luz una serie de diligencias ignoradas en el expediente, encamin</w:t>
      </w:r>
      <w:r>
        <w:t>a</w:t>
      </w:r>
      <w:r>
        <w:t>das a individualizar a Carlos Alberto Telleldín y a obt</w:t>
      </w:r>
      <w:r>
        <w:t>e</w:t>
      </w:r>
      <w:r>
        <w:t>ner, de modo subrepticio, información acerca de sus mov</w:t>
      </w:r>
      <w:r>
        <w:t>i</w:t>
      </w:r>
      <w:r>
        <w:t>mientos y entorno; todo ello en el marco de una anómala negociación entre los órganos investigadores -</w:t>
      </w:r>
      <w:smartTag w:uri="urn:schemas-microsoft-com:office:smarttags" w:element="PersonName">
        <w:smartTagPr>
          <w:attr w:name="ProductID" w:val="la Secretar￭a"/>
        </w:smartTagPr>
        <w:r>
          <w:t>la Secret</w:t>
        </w:r>
        <w:r>
          <w:t>a</w:t>
        </w:r>
        <w:r>
          <w:t>ría</w:t>
        </w:r>
      </w:smartTag>
      <w:r>
        <w:t xml:space="preserve"> de inteligencia de Estado y </w:t>
      </w:r>
      <w:smartTag w:uri="urn:schemas-microsoft-com:office:smarttags" w:element="PersonName">
        <w:smartTagPr>
          <w:attr w:name="ProductID" w:val="la Polic￭a Federal"/>
        </w:smartTagPr>
        <w:r>
          <w:t>la Policía Federal</w:t>
        </w:r>
      </w:smartTag>
      <w:r>
        <w:t xml:space="preserve"> Arge</w:t>
      </w:r>
      <w:r>
        <w:t>n</w:t>
      </w:r>
      <w:r>
        <w:t>tina- con los allegados de quien aparecía como el princ</w:t>
      </w:r>
      <w:r>
        <w:t>i</w:t>
      </w:r>
      <w:r>
        <w:t>pal sospechoso de tan grave hecho.</w:t>
      </w:r>
    </w:p>
    <w:p w:rsidR="00224567" w:rsidRDefault="00224567">
      <w:pPr>
        <w:widowControl w:val="0"/>
        <w:tabs>
          <w:tab w:val="left" w:pos="2835"/>
        </w:tabs>
        <w:ind w:firstLine="708"/>
      </w:pPr>
      <w:r>
        <w:tab/>
        <w:t>Sin entrar a considerar la validez o no de las incursiones a la vivienda por parte de funcion</w:t>
      </w:r>
      <w:r>
        <w:t>a</w:t>
      </w:r>
      <w:r>
        <w:t>rios estatales los días 26 y 27 de julio de 1994 sin orden judicial que así lo autorizara, en virtud del alegado co</w:t>
      </w:r>
      <w:r>
        <w:t>n</w:t>
      </w:r>
      <w:r>
        <w:t>sentimiento prestado por su ocupante Ana M</w:t>
      </w:r>
      <w:r>
        <w:t>a</w:t>
      </w:r>
      <w:r>
        <w:t>ría Boragni, es a todas luces evidente que el allanamiento dispuesto, h</w:t>
      </w:r>
      <w:r>
        <w:t>o</w:t>
      </w:r>
      <w:r>
        <w:t>ras más tarde, resultó sólo aparente y carente de re</w:t>
      </w:r>
      <w:r>
        <w:t>s</w:t>
      </w:r>
      <w:r>
        <w:t>paldo legal.</w:t>
      </w:r>
    </w:p>
    <w:p w:rsidR="00224567" w:rsidRDefault="00224567">
      <w:pPr>
        <w:widowControl w:val="0"/>
        <w:tabs>
          <w:tab w:val="left" w:pos="2835"/>
        </w:tabs>
        <w:ind w:firstLine="708"/>
      </w:pPr>
      <w:r>
        <w:tab/>
        <w:t>Ello es así, por cuanto la permane</w:t>
      </w:r>
      <w:r>
        <w:t>n</w:t>
      </w:r>
      <w:r>
        <w:t>cia, por casi dos días consecutivos en el domicilio en cuestión, incluso durante algunos lapsos en ausencia de sus titulares, despoja de certeza cualquier posible ind</w:t>
      </w:r>
      <w:r>
        <w:t>i</w:t>
      </w:r>
      <w:r>
        <w:t>cio emanado de los elementos posteriormente secuestrados en el allanamiento, quitándole validez a la diligencia practicada en esas condiciones.</w:t>
      </w:r>
    </w:p>
    <w:p w:rsidR="00224567" w:rsidRDefault="00224567">
      <w:pPr>
        <w:widowControl w:val="0"/>
        <w:tabs>
          <w:tab w:val="left" w:pos="2835"/>
        </w:tabs>
        <w:ind w:firstLine="708"/>
      </w:pPr>
      <w:r>
        <w:tab/>
      </w:r>
      <w:r>
        <w:tab/>
        <w:t>También debe tenerse en cuenta que las normas que regulan el registro domiciliario, mas allá de garantizar la privacidad, tienden a re</w:t>
      </w:r>
      <w:r>
        <w:t>s</w:t>
      </w:r>
      <w:r>
        <w:t>guardar los rastros que puedan hallarse en el lugar donde el sospechoso des</w:t>
      </w:r>
      <w:r>
        <w:t>a</w:t>
      </w:r>
      <w:r>
        <w:t>rrolla sus actividades.</w:t>
      </w:r>
    </w:p>
    <w:p w:rsidR="00224567" w:rsidRDefault="00224567">
      <w:pPr>
        <w:widowControl w:val="0"/>
        <w:tabs>
          <w:tab w:val="left" w:pos="2835"/>
        </w:tabs>
        <w:ind w:firstLine="708"/>
      </w:pPr>
      <w:r>
        <w:tab/>
      </w:r>
      <w:r>
        <w:tab/>
        <w:t>La incursión informal efectuada por los funcionarios de inteligencia en el domicilio del imp</w:t>
      </w:r>
      <w:r>
        <w:t>u</w:t>
      </w:r>
      <w:r>
        <w:t>tado, vulneró la incolumidad que poseían los el</w:t>
      </w:r>
      <w:r>
        <w:t>e</w:t>
      </w:r>
      <w:r>
        <w:t>mentos de prueba allí existentes privando así de validez a la dil</w:t>
      </w:r>
      <w:r>
        <w:t>i</w:t>
      </w:r>
      <w:r>
        <w:t>gencia posteriormente realizada convi</w:t>
      </w:r>
      <w:r>
        <w:t>r</w:t>
      </w:r>
      <w:r>
        <w:t>tiéndola en una mera ficción. En definitiva, transformó el ulterior allanamie</w:t>
      </w:r>
      <w:r>
        <w:t>n</w:t>
      </w:r>
      <w:r>
        <w:t>to en un nuevo recorrido del camino ya andado por las fuerzas del Estado.</w:t>
      </w:r>
    </w:p>
    <w:p w:rsidR="00224567" w:rsidRDefault="00224567">
      <w:pPr>
        <w:widowControl w:val="0"/>
        <w:tabs>
          <w:tab w:val="left" w:pos="2835"/>
        </w:tabs>
        <w:ind w:firstLine="708"/>
      </w:pPr>
      <w:r>
        <w:tab/>
      </w:r>
      <w:r>
        <w:tab/>
        <w:t>A esto debe sumarse que esa primig</w:t>
      </w:r>
      <w:r>
        <w:t>e</w:t>
      </w:r>
      <w:r>
        <w:t>nia incursión, no fue documentada dentro del expediente, pe</w:t>
      </w:r>
      <w:r>
        <w:t>r</w:t>
      </w:r>
      <w:r>
        <w:t>maneciendo todo lo allí sucedido en un cono de sombras, no elucidado suficientemente durante el deb</w:t>
      </w:r>
      <w:r>
        <w:t>a</w:t>
      </w:r>
      <w:r>
        <w:t>te.</w:t>
      </w:r>
    </w:p>
    <w:p w:rsidR="00224567" w:rsidRDefault="00224567">
      <w:pPr>
        <w:widowControl w:val="0"/>
        <w:tabs>
          <w:tab w:val="left" w:pos="2835"/>
        </w:tabs>
        <w:ind w:firstLine="708"/>
      </w:pPr>
      <w:r>
        <w:tab/>
      </w:r>
      <w:r>
        <w:tab/>
        <w:t>En esa inteligencia, es que se regulan una serie de recaudos en los procedimiento re</w:t>
      </w:r>
      <w:r>
        <w:t>a</w:t>
      </w:r>
      <w:r>
        <w:t>lizados por las fuerzas de seguridad destinados al adecuado control, por las partes, de las pruebas incorporadas al proceso. Así, los arts. 138, 139 y 224 exigen la presencia de dos test</w:t>
      </w:r>
      <w:r>
        <w:t>i</w:t>
      </w:r>
      <w:r>
        <w:t>gos para asistir a los actos llevados a cabo por los funcionarios policiales, debiéndose dejar constancia e</w:t>
      </w:r>
      <w:r>
        <w:t>x</w:t>
      </w:r>
      <w:r>
        <w:t>plicativa, bajo pena de nulidad, cuando por existir ev</w:t>
      </w:r>
      <w:r>
        <w:t>i</w:t>
      </w:r>
      <w:r>
        <w:t>dente riesgo para la seguridad de los testigos fuese nec</w:t>
      </w:r>
      <w:r>
        <w:t>e</w:t>
      </w:r>
      <w:r>
        <w:t>sario que la autoridad preventora ingrese al lugar prim</w:t>
      </w:r>
      <w:r>
        <w:t>e</w:t>
      </w:r>
      <w:r>
        <w:t>ramente y el art. 228 obliga notificar la orden de allan</w:t>
      </w:r>
      <w:r>
        <w:t>a</w:t>
      </w:r>
      <w:r>
        <w:t>miento a la persona que habite o posea el lugar donde deba efectuarse, a quién se lo invitará a presenciar el regi</w:t>
      </w:r>
      <w:r>
        <w:t>s</w:t>
      </w:r>
      <w:r>
        <w:t>tro.</w:t>
      </w:r>
    </w:p>
    <w:p w:rsidR="00224567" w:rsidRDefault="00224567">
      <w:pPr>
        <w:widowControl w:val="0"/>
        <w:tabs>
          <w:tab w:val="left" w:pos="2835"/>
        </w:tabs>
        <w:ind w:firstLine="708"/>
      </w:pPr>
      <w:r>
        <w:tab/>
        <w:t>Por lo demás, no es razonable que se omitiera practicar el cateo inmediatamente de haber con</w:t>
      </w:r>
      <w:r>
        <w:t>s</w:t>
      </w:r>
      <w:r>
        <w:t>tatado que allí residía Carlos Alberto Telleldín; máxime cuando las sospechas que se dirigieron contra el habitante de dicho inmueble motivaron tareas de observación por pa</w:t>
      </w:r>
      <w:r>
        <w:t>r</w:t>
      </w:r>
      <w:r>
        <w:t>te de los preventores y la interceptación de su línea t</w:t>
      </w:r>
      <w:r>
        <w:t>e</w:t>
      </w:r>
      <w:r>
        <w:t>lefónica.</w:t>
      </w:r>
    </w:p>
    <w:p w:rsidR="00224567" w:rsidRDefault="00224567">
      <w:pPr>
        <w:widowControl w:val="0"/>
        <w:tabs>
          <w:tab w:val="left" w:pos="2835"/>
        </w:tabs>
        <w:ind w:firstLine="708"/>
      </w:pPr>
      <w:r>
        <w:tab/>
        <w:t>Por el contrario, a pesar de haber d</w:t>
      </w:r>
      <w:r>
        <w:t>e</w:t>
      </w:r>
      <w:r>
        <w:t>clarado todos los intervinientes de esa irregular incu</w:t>
      </w:r>
      <w:r>
        <w:t>r</w:t>
      </w:r>
      <w:r>
        <w:t>sión que estaban a la espera de la correspondiente orden judicial, aquellos ingresaron a la vivienda, ofreciendo distintos justificativos.</w:t>
      </w:r>
    </w:p>
    <w:p w:rsidR="00224567" w:rsidRDefault="00224567">
      <w:pPr>
        <w:widowControl w:val="0"/>
        <w:tabs>
          <w:tab w:val="left" w:pos="2835"/>
        </w:tabs>
        <w:ind w:firstLine="708"/>
      </w:pPr>
      <w:r>
        <w:tab/>
        <w:t xml:space="preserve">Por una parte, los agentes de </w:t>
      </w:r>
      <w:smartTag w:uri="urn:schemas-microsoft-com:office:smarttags" w:element="PersonName">
        <w:smartTagPr>
          <w:attr w:name="ProductID" w:val="la S.I"/>
        </w:smartTagPr>
        <w:r>
          <w:t>la S.I</w:t>
        </w:r>
      </w:smartTag>
      <w:r>
        <w:t>.D.E. dijeron que la finalidad era corroborar con la esposa del imputado la versión ofrecida por los policías Barreda y Bareiro, mientras que el funcionario Álvarez adujo que aquélla les solicitó que ingresaran para cuidar a sus hijos, puesto que iba a ser trasladada a la sede p</w:t>
      </w:r>
      <w:r>
        <w:t>o</w:t>
      </w:r>
      <w:r>
        <w:t>licial para prestar declaración testimonial.</w:t>
      </w:r>
    </w:p>
    <w:p w:rsidR="00224567" w:rsidRDefault="00224567">
      <w:pPr>
        <w:widowControl w:val="0"/>
        <w:tabs>
          <w:tab w:val="left" w:pos="2835"/>
        </w:tabs>
      </w:pPr>
      <w:r>
        <w:tab/>
        <w:t>Otro tanto sucedió una vez que persi</w:t>
      </w:r>
      <w:r>
        <w:t>s</w:t>
      </w:r>
      <w:r>
        <w:t>tieron dentro la casa en ausencia de sus habitantes; Álv</w:t>
      </w:r>
      <w:r>
        <w:t>a</w:t>
      </w:r>
      <w:r>
        <w:t>rez insistió en el cuidado de los niños, agregando que r</w:t>
      </w:r>
      <w:r>
        <w:t>e</w:t>
      </w:r>
      <w:r>
        <w:t>cibió la orden de no “despegarse” de los policías bona</w:t>
      </w:r>
      <w:r>
        <w:t>e</w:t>
      </w:r>
      <w:r>
        <w:t>renses Barreda y Bareiro, mientras que los funci</w:t>
      </w:r>
      <w:r>
        <w:t>o</w:t>
      </w:r>
      <w:r>
        <w:t xml:space="preserve">narios de </w:t>
      </w:r>
      <w:smartTag w:uri="urn:schemas-microsoft-com:office:smarttags" w:element="PersonName">
        <w:smartTagPr>
          <w:attr w:name="ProductID" w:val="la S.I"/>
        </w:smartTagPr>
        <w:r>
          <w:t>la S.I</w:t>
        </w:r>
      </w:smartTag>
      <w:r>
        <w:t>.D.E. alegaron que cumplían un mandato de su jefe, negado por Stiuso, de permanecer en la vivienda en obse</w:t>
      </w:r>
      <w:r>
        <w:t>r</w:t>
      </w:r>
      <w:r>
        <w:t>vación para “ver lo que pasaba”, a la vez que, según dij</w:t>
      </w:r>
      <w:r>
        <w:t>e</w:t>
      </w:r>
      <w:r>
        <w:t>ron, se controlaban mutuamente con los policías fed</w:t>
      </w:r>
      <w:r>
        <w:t>e</w:t>
      </w:r>
      <w:r>
        <w:t>rales.</w:t>
      </w:r>
    </w:p>
    <w:p w:rsidR="00224567" w:rsidRDefault="00224567">
      <w:pPr>
        <w:widowControl w:val="0"/>
        <w:tabs>
          <w:tab w:val="left" w:pos="2835"/>
        </w:tabs>
      </w:pPr>
      <w:r>
        <w:tab/>
        <w:t>Es claro, entonces, que las pueriles razones argüidas por dichos funcionarios desdibujan la t</w:t>
      </w:r>
      <w:r>
        <w:t>o</w:t>
      </w:r>
      <w:r>
        <w:t>talidad de las circunstancias que sucedieron durante la noche del 26 de julio en la calle República 107.</w:t>
      </w:r>
    </w:p>
    <w:p w:rsidR="00224567" w:rsidRDefault="00224567">
      <w:pPr>
        <w:widowControl w:val="0"/>
        <w:tabs>
          <w:tab w:val="left" w:pos="2835"/>
        </w:tabs>
        <w:ind w:firstLine="708"/>
      </w:pPr>
      <w:r>
        <w:tab/>
        <w:t>También cabe cuestionar los ilegales interrogatorios a los que fueron sometidos Diego Enrique Barreda y Mario Norberto Bareiro, a quienes se los hizo fluctuar de la condición de testigos, allegados al princ</w:t>
      </w:r>
      <w:r>
        <w:t>i</w:t>
      </w:r>
      <w:r>
        <w:t xml:space="preserve">pal sospechoso, a la de colaboradores de </w:t>
      </w:r>
      <w:smartTag w:uri="urn:schemas-microsoft-com:office:smarttags" w:element="PersonName">
        <w:smartTagPr>
          <w:attr w:name="ProductID" w:val="la S.I"/>
        </w:smartTagPr>
        <w:r>
          <w:t>la S.I</w:t>
        </w:r>
      </w:smartTag>
      <w:r>
        <w:t>.D.E., r</w:t>
      </w:r>
      <w:r>
        <w:t>e</w:t>
      </w:r>
      <w:r>
        <w:t>clutados por el entonces jefe del sector 85 Horacio Ant</w:t>
      </w:r>
      <w:r>
        <w:t>o</w:t>
      </w:r>
      <w:r>
        <w:t>nio Stiuso, para, finalmente, terminar apuntados por la acusación como colaboradores del terrible atentado o de los demás delitos vinculados con su actuación en la causa; hechos éstos últimos que, s</w:t>
      </w:r>
      <w:r>
        <w:t>e</w:t>
      </w:r>
      <w:r>
        <w:t>gún la reseña antes efectuada, confiaron en esa ocasión a los funcionarios pesquisantes.</w:t>
      </w:r>
    </w:p>
    <w:p w:rsidR="00224567" w:rsidRDefault="00224567">
      <w:pPr>
        <w:widowControl w:val="0"/>
        <w:tabs>
          <w:tab w:val="left" w:pos="2835"/>
        </w:tabs>
        <w:ind w:firstLine="708"/>
      </w:pPr>
      <w:r>
        <w:tab/>
        <w:t>No debe pasar desapercibido que, horas antes, la sola concurrencia al domicilio investigado mot</w:t>
      </w:r>
      <w:r>
        <w:t>i</w:t>
      </w:r>
      <w:r>
        <w:t>vó que Barreda y Bareiro fueran “interceptados”, euf</w:t>
      </w:r>
      <w:r>
        <w:t>e</w:t>
      </w:r>
      <w:r>
        <w:t>mismo utilizado por los investigadores para referirse a la d</w:t>
      </w:r>
      <w:r>
        <w:t>e</w:t>
      </w:r>
      <w:r>
        <w:t>tención, luego requisados e interrog</w:t>
      </w:r>
      <w:r>
        <w:t>a</w:t>
      </w:r>
      <w:r>
        <w:t>dos; situación que no cesó con el tiempo puesto que, a estar por los dichos de Aldo Álvarez, “los teníamos un poco retenidos” y debían permanecer a su lado.</w:t>
      </w:r>
    </w:p>
    <w:p w:rsidR="00224567" w:rsidRDefault="00224567">
      <w:pPr>
        <w:widowControl w:val="0"/>
        <w:tabs>
          <w:tab w:val="left" w:pos="2835"/>
        </w:tabs>
        <w:ind w:firstLine="708"/>
      </w:pPr>
      <w:r>
        <w:tab/>
        <w:t>Tales procederes constituyen una in</w:t>
      </w:r>
      <w:r>
        <w:t>é</w:t>
      </w:r>
      <w:r>
        <w:t>dita subversión de las normas procesales que rigen la fo</w:t>
      </w:r>
      <w:r>
        <w:t>r</w:t>
      </w:r>
      <w:r>
        <w:t>ma en que deben actuar las fuerzas de seguridad y no pu</w:t>
      </w:r>
      <w:r>
        <w:t>e</w:t>
      </w:r>
      <w:r>
        <w:t>den pasar desapercibidos en tanto violan elementales g</w:t>
      </w:r>
      <w:r>
        <w:t>a</w:t>
      </w:r>
      <w:r>
        <w:t xml:space="preserve">rantías constitucionales (art. 18 de </w:t>
      </w:r>
      <w:smartTag w:uri="urn:schemas-microsoft-com:office:smarttags" w:element="PersonName">
        <w:smartTagPr>
          <w:attr w:name="ProductID" w:val="la C.N"/>
        </w:smartTagPr>
        <w:r>
          <w:t>la C.N</w:t>
        </w:r>
      </w:smartTag>
      <w:r>
        <w:t>.), a la vez que tiñen de sombras todo lo sucedido esa n</w:t>
      </w:r>
      <w:r>
        <w:t>o</w:t>
      </w:r>
      <w:r>
        <w:t>che.</w:t>
      </w:r>
    </w:p>
    <w:p w:rsidR="00224567" w:rsidRDefault="00224567">
      <w:pPr>
        <w:widowControl w:val="0"/>
        <w:tabs>
          <w:tab w:val="left" w:pos="2835"/>
        </w:tabs>
        <w:ind w:firstLine="708"/>
      </w:pPr>
      <w:r>
        <w:tab/>
        <w:t>De igual modo, cabe referirse al int</w:t>
      </w:r>
      <w:r>
        <w:t>e</w:t>
      </w:r>
      <w:r>
        <w:t>rrogatorio al cual fue sometido Carlos Alberto Telleldín en oportunidad de su detención, por parte del agente Né</w:t>
      </w:r>
      <w:r>
        <w:t>s</w:t>
      </w:r>
      <w:r>
        <w:t>tor Ricardo Hernández.</w:t>
      </w:r>
    </w:p>
    <w:p w:rsidR="00224567" w:rsidRDefault="00224567">
      <w:pPr>
        <w:widowControl w:val="0"/>
        <w:tabs>
          <w:tab w:val="left" w:pos="2835"/>
        </w:tabs>
        <w:ind w:firstLine="708"/>
      </w:pPr>
      <w:r>
        <w:tab/>
        <w:t>A ello cabe sumar las irrazonables e</w:t>
      </w:r>
      <w:r>
        <w:t>x</w:t>
      </w:r>
      <w:r>
        <w:t>plicaciones tendientes a justificar una insostenible pas</w:t>
      </w:r>
      <w:r>
        <w:t>i</w:t>
      </w:r>
      <w:r>
        <w:t>vidad de los funcionarios, incompatible con la actividad desarrollada con respecto a Telleldín, Boragni y los me</w:t>
      </w:r>
      <w:r>
        <w:t>n</w:t>
      </w:r>
      <w:r>
        <w:t>cionados policías bonaerenses, al omitir av</w:t>
      </w:r>
      <w:r>
        <w:t>e</w:t>
      </w:r>
      <w:r>
        <w:t>riguar cuanto menos los datos de los vehículos que utilizaron quienes concurrieron a la vivienda y que, en un primer momento, aparecían como ligadas a la persona sospechada de realizar una actividad terrorista.</w:t>
      </w:r>
    </w:p>
    <w:p w:rsidR="00224567" w:rsidRDefault="00224567">
      <w:pPr>
        <w:widowControl w:val="0"/>
        <w:tabs>
          <w:tab w:val="left" w:pos="2835"/>
        </w:tabs>
        <w:ind w:firstLine="708"/>
      </w:pPr>
      <w:r>
        <w:tab/>
        <w:t>Es que no resulta creíble que exper</w:t>
      </w:r>
      <w:r>
        <w:t>i</w:t>
      </w:r>
      <w:r>
        <w:t>mentados funcionarios de investigaciones, en vez de sol</w:t>
      </w:r>
      <w:r>
        <w:t>i</w:t>
      </w:r>
      <w:r>
        <w:t>citar una orden de allanamiento a fin de incautar los el</w:t>
      </w:r>
      <w:r>
        <w:t>e</w:t>
      </w:r>
      <w:r>
        <w:t>mentos que podían echar luz sobre la pesquisa o las med</w:t>
      </w:r>
      <w:r>
        <w:t>i</w:t>
      </w:r>
      <w:r>
        <w:t>das de coerción personal, permanecieran inactivos, compa</w:t>
      </w:r>
      <w:r>
        <w:t>r</w:t>
      </w:r>
      <w:r>
        <w:t>tiendo pizzas y cervezas con sujetos que luego fueron imputados por el atentado terrorista, en un rol de niñeros de los hijos del principal sospechoso.</w:t>
      </w:r>
    </w:p>
    <w:p w:rsidR="00224567" w:rsidRDefault="00224567">
      <w:pPr>
        <w:widowControl w:val="0"/>
        <w:tabs>
          <w:tab w:val="left" w:pos="2835"/>
        </w:tabs>
        <w:ind w:firstLine="708"/>
      </w:pPr>
      <w:r>
        <w:tab/>
        <w:t>Por otra parte resulta inadmisible que tanto el director del proceso cuanto los fiscales –al m</w:t>
      </w:r>
      <w:r>
        <w:t>e</w:t>
      </w:r>
      <w:r>
        <w:t>nos, desde el 27 de julio en que, según Stiuso, fueron i</w:t>
      </w:r>
      <w:r>
        <w:t>n</w:t>
      </w:r>
      <w:r>
        <w:t xml:space="preserve">formados en la base de </w:t>
      </w:r>
      <w:smartTag w:uri="urn:schemas-microsoft-com:office:smarttags" w:element="PersonName">
        <w:smartTagPr>
          <w:attr w:name="ProductID" w:val="la S.I"/>
        </w:smartTagPr>
        <w:r>
          <w:t>la S.I</w:t>
        </w:r>
      </w:smartTag>
      <w:r>
        <w:t>.D.E. de todos los acontec</w:t>
      </w:r>
      <w:r>
        <w:t>i</w:t>
      </w:r>
      <w:r>
        <w:t>mientos- se mantuvieran ajenos de lo que allí ocurría e inaceptable su pasividad al no dirigir, conforme a der</w:t>
      </w:r>
      <w:r>
        <w:t>e</w:t>
      </w:r>
      <w:r>
        <w:t>cho, los procedimientos de rigor, tales como ordenar el registro domiciliario, la detención de aquellos que apar</w:t>
      </w:r>
      <w:r>
        <w:t>e</w:t>
      </w:r>
      <w:r>
        <w:t>cían como sospechosos, su incomunicación e interrogat</w:t>
      </w:r>
      <w:r>
        <w:t>o</w:t>
      </w:r>
      <w:r>
        <w:t>rio; proceder claramente irregular e inexplicable.</w:t>
      </w:r>
    </w:p>
    <w:p w:rsidR="00224567" w:rsidRDefault="00224567">
      <w:pPr>
        <w:pStyle w:val="Sangradetextonormal"/>
        <w:widowControl w:val="0"/>
        <w:tabs>
          <w:tab w:val="left" w:pos="2835"/>
        </w:tabs>
      </w:pPr>
      <w:r>
        <w:tab/>
        <w:t>Por todo ello, corresponde declarar nulo el allanamiento practicado en el entonces domicilio de Carlos Alberto T</w:t>
      </w:r>
      <w:r>
        <w:t>e</w:t>
      </w:r>
      <w:r>
        <w:t>lleldín, ubicado en la calle República 107 de la localidad de Villa Ballester, partido de San Martín, provincia de Buenos Aires, del que da cuenta el acta de fs. 417/418 (arts. 166, 224 y concordantes del C</w:t>
      </w:r>
      <w:r>
        <w:t>ó</w:t>
      </w:r>
      <w:r>
        <w:t xml:space="preserve">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tabs>
          <w:tab w:val="left" w:pos="-1440"/>
        </w:tabs>
        <w:rPr>
          <w:lang w:val="es-MX"/>
        </w:rPr>
      </w:pPr>
      <w:r>
        <w:tab/>
      </w:r>
      <w:r>
        <w:rPr>
          <w:b/>
          <w:bCs/>
          <w:lang w:val="es-MX"/>
        </w:rPr>
        <w:t>B)</w:t>
      </w:r>
      <w:r>
        <w:rPr>
          <w:lang w:val="es-MX"/>
        </w:rPr>
        <w:t xml:space="preserve"> La defensa de Carlos Alberto T</w:t>
      </w:r>
      <w:r>
        <w:rPr>
          <w:lang w:val="es-MX"/>
        </w:rPr>
        <w:t>e</w:t>
      </w:r>
      <w:r>
        <w:rPr>
          <w:lang w:val="es-MX"/>
        </w:rPr>
        <w:t>lleldín solicitó la nulidad de la incorporación del p</w:t>
      </w:r>
      <w:r>
        <w:rPr>
          <w:lang w:val="es-MX"/>
        </w:rPr>
        <w:t>a</w:t>
      </w:r>
      <w:r>
        <w:rPr>
          <w:lang w:val="es-MX"/>
        </w:rPr>
        <w:t>pel en el que se lee “Embajada Islámica de Irán”, un domicilio y dos números de teléfono, supuestamente s</w:t>
      </w:r>
      <w:r>
        <w:rPr>
          <w:lang w:val="es-MX"/>
        </w:rPr>
        <w:t>e</w:t>
      </w:r>
      <w:r>
        <w:rPr>
          <w:lang w:val="es-MX"/>
        </w:rPr>
        <w:t>cuestrado en el allanamiento del domicilio de su asi</w:t>
      </w:r>
      <w:r>
        <w:rPr>
          <w:lang w:val="es-MX"/>
        </w:rPr>
        <w:t>s</w:t>
      </w:r>
      <w:r>
        <w:rPr>
          <w:lang w:val="es-MX"/>
        </w:rPr>
        <w:t>tido, por considerar que en el acta que instrumentó la diligencia no se dejó constancia de su secuestro y porque los funcionarios pol</w:t>
      </w:r>
      <w:r>
        <w:rPr>
          <w:lang w:val="es-MX"/>
        </w:rPr>
        <w:t>i</w:t>
      </w:r>
      <w:r>
        <w:rPr>
          <w:lang w:val="es-MX"/>
        </w:rPr>
        <w:t>ciales y de la fiscalía fed</w:t>
      </w:r>
      <w:r>
        <w:rPr>
          <w:lang w:val="es-MX"/>
        </w:rPr>
        <w:t>e</w:t>
      </w:r>
      <w:r>
        <w:rPr>
          <w:lang w:val="es-MX"/>
        </w:rPr>
        <w:t>ral negaron haberlo incautado.</w:t>
      </w:r>
    </w:p>
    <w:p w:rsidR="00224567" w:rsidRDefault="00224567">
      <w:pPr>
        <w:widowControl w:val="0"/>
        <w:tabs>
          <w:tab w:val="left" w:pos="-1440"/>
        </w:tabs>
        <w:rPr>
          <w:lang w:val="es-MX"/>
        </w:rPr>
      </w:pPr>
      <w:r>
        <w:rPr>
          <w:lang w:val="es-MX"/>
        </w:rPr>
        <w:tab/>
        <w:t xml:space="preserve">Sostuvo, además, que los testigos </w:t>
      </w:r>
      <w:r>
        <w:t>Claudio Eduardo Gotta y Miguel Ángel Vázquez</w:t>
      </w:r>
      <w:r>
        <w:rPr>
          <w:lang w:val="es-MX"/>
        </w:rPr>
        <w:t xml:space="preserve"> se pronunci</w:t>
      </w:r>
      <w:r>
        <w:rPr>
          <w:lang w:val="es-MX"/>
        </w:rPr>
        <w:t>a</w:t>
      </w:r>
      <w:r>
        <w:rPr>
          <w:lang w:val="es-MX"/>
        </w:rPr>
        <w:t>ron con falsedad cuando declararon en el debate, al sost</w:t>
      </w:r>
      <w:r>
        <w:rPr>
          <w:lang w:val="es-MX"/>
        </w:rPr>
        <w:t>e</w:t>
      </w:r>
      <w:r>
        <w:rPr>
          <w:lang w:val="es-MX"/>
        </w:rPr>
        <w:t>ner su efectivo secuestro durante el allanamiento, razón por la cual reiteró su requerimiento formulado con ant</w:t>
      </w:r>
      <w:r>
        <w:rPr>
          <w:lang w:val="es-MX"/>
        </w:rPr>
        <w:t>e</w:t>
      </w:r>
      <w:r>
        <w:rPr>
          <w:lang w:val="es-MX"/>
        </w:rPr>
        <w:t>rioridad, para que se investigue sus conductas por la pr</w:t>
      </w:r>
      <w:r>
        <w:rPr>
          <w:lang w:val="es-MX"/>
        </w:rPr>
        <w:t>e</w:t>
      </w:r>
      <w:r>
        <w:rPr>
          <w:lang w:val="es-MX"/>
        </w:rPr>
        <w:t>sunta comisión del delito de falso testim</w:t>
      </w:r>
      <w:r>
        <w:rPr>
          <w:lang w:val="es-MX"/>
        </w:rPr>
        <w:t>o</w:t>
      </w:r>
      <w:r>
        <w:rPr>
          <w:lang w:val="es-MX"/>
        </w:rPr>
        <w:t>nio.</w:t>
      </w:r>
    </w:p>
    <w:p w:rsidR="00224567" w:rsidRDefault="00224567">
      <w:pPr>
        <w:widowControl w:val="0"/>
        <w:tabs>
          <w:tab w:val="left" w:pos="-1440"/>
        </w:tabs>
        <w:rPr>
          <w:lang w:val="es-MX"/>
        </w:rPr>
      </w:pPr>
      <w:r>
        <w:rPr>
          <w:lang w:val="es-MX"/>
        </w:rPr>
        <w:tab/>
        <w:t>Corresponde señalar que los cuestion</w:t>
      </w:r>
      <w:r>
        <w:rPr>
          <w:lang w:val="es-MX"/>
        </w:rPr>
        <w:t>a</w:t>
      </w:r>
      <w:r>
        <w:rPr>
          <w:lang w:val="es-MX"/>
        </w:rPr>
        <w:t>mientos formulados por la defensa se enderezan, más bien, a cuestionar el valor probatorio que habrán de merecer los dichos de los testigos que, en el debate, afirmaron que vieron la evidencia en cuestión en oportunidad del allan</w:t>
      </w:r>
      <w:r>
        <w:rPr>
          <w:lang w:val="es-MX"/>
        </w:rPr>
        <w:t>a</w:t>
      </w:r>
      <w:r>
        <w:rPr>
          <w:lang w:val="es-MX"/>
        </w:rPr>
        <w:t>miento de República 107; esto es, los testimonios de Gotta y Vázquez. Por tal razón, corre</w:t>
      </w:r>
      <w:r>
        <w:rPr>
          <w:lang w:val="es-MX"/>
        </w:rPr>
        <w:t>s</w:t>
      </w:r>
      <w:r>
        <w:rPr>
          <w:lang w:val="es-MX"/>
        </w:rPr>
        <w:t>ponde rechazar el planteo de nulidad que, sobre esa b</w:t>
      </w:r>
      <w:r>
        <w:rPr>
          <w:lang w:val="es-MX"/>
        </w:rPr>
        <w:t>a</w:t>
      </w:r>
      <w:r>
        <w:rPr>
          <w:lang w:val="es-MX"/>
        </w:rPr>
        <w:t>se, impetró la defensa.</w:t>
      </w:r>
    </w:p>
    <w:p w:rsidR="00224567" w:rsidRDefault="00224567">
      <w:pPr>
        <w:widowControl w:val="0"/>
        <w:tabs>
          <w:tab w:val="left" w:pos="-1440"/>
        </w:tabs>
      </w:pPr>
      <w:r>
        <w:rPr>
          <w:lang w:val="es-MX"/>
        </w:rPr>
        <w:tab/>
        <w:t xml:space="preserve">No obstante, </w:t>
      </w:r>
      <w:r>
        <w:t>corresponde dar adecuada respuesta al cuestionamiento formulado, en tanto que la prueba puesta en tela de juicio fue esgrimida por la fi</w:t>
      </w:r>
      <w:r>
        <w:t>s</w:t>
      </w:r>
      <w:r>
        <w:t>calía y las querellas al formular reproche penal c</w:t>
      </w:r>
      <w:r>
        <w:t>o</w:t>
      </w:r>
      <w:r>
        <w:t>ntra el imputado.</w:t>
      </w:r>
    </w:p>
    <w:p w:rsidR="00224567" w:rsidRDefault="00224567">
      <w:pPr>
        <w:widowControl w:val="0"/>
        <w:tabs>
          <w:tab w:val="left" w:pos="-1440"/>
        </w:tabs>
      </w:pPr>
      <w:r>
        <w:tab/>
      </w:r>
      <w:r>
        <w:rPr>
          <w:lang w:val="es-MX"/>
        </w:rPr>
        <w:tab/>
        <w:t>Así, con</w:t>
      </w:r>
      <w:r>
        <w:t xml:space="preserve"> relación al supuesto secue</w:t>
      </w:r>
      <w:r>
        <w:t>s</w:t>
      </w:r>
      <w:r>
        <w:t>tro de un papel con la inscripción “Embajada Islámica de Irán - Av. Figueroa Alcorta 3229 802-1470 805-</w:t>
      </w:r>
      <w:smartTag w:uri="urn:schemas-microsoft-com:office:smarttags" w:element="metricconverter">
        <w:smartTagPr>
          <w:attr w:name="ProductID" w:val="4409”"/>
        </w:smartTagPr>
        <w:r>
          <w:t>4409”</w:t>
        </w:r>
      </w:smartTag>
      <w:r>
        <w:t xml:space="preserve"> en el allanamiento protocolizado a fs. </w:t>
      </w:r>
      <w:r>
        <w:rPr>
          <w:rFonts w:eastAsia="Arial Unicode MS"/>
        </w:rPr>
        <w:t>417/418</w:t>
      </w:r>
      <w:r>
        <w:t>, los policías que intervinieron en la diligencia, Luis María Nolasco y Gu</w:t>
      </w:r>
      <w:r>
        <w:t>s</w:t>
      </w:r>
      <w:r>
        <w:t>tavo Daniel To</w:t>
      </w:r>
      <w:r>
        <w:t>s</w:t>
      </w:r>
      <w:r>
        <w:t xml:space="preserve">cano, como así también el prosecretario de </w:t>
      </w:r>
      <w:smartTag w:uri="urn:schemas-microsoft-com:office:smarttags" w:element="PersonName">
        <w:smartTagPr>
          <w:attr w:name="ProductID" w:val="la Fiscal￭a Federal"/>
        </w:smartTagPr>
        <w:r>
          <w:t>la Fiscalía F</w:t>
        </w:r>
        <w:r>
          <w:t>e</w:t>
        </w:r>
        <w:r>
          <w:t>deral</w:t>
        </w:r>
      </w:smartTag>
      <w:r>
        <w:t xml:space="preserve"> nº 9, Carlos Alberto Vasser, afirmaron que lo vieron por primera vez cuando les fue exhibido en el juzgado, no recordando que se hubiera recogido en oc</w:t>
      </w:r>
      <w:r>
        <w:t>a</w:t>
      </w:r>
      <w:r>
        <w:t>sión del all</w:t>
      </w:r>
      <w:r>
        <w:t>a</w:t>
      </w:r>
      <w:r>
        <w:t>namiento. Conjeturaron los dos primeros que, posiblemente, podría haber estado dentro de una de las agendas incaut</w:t>
      </w:r>
      <w:r>
        <w:t>a</w:t>
      </w:r>
      <w:r>
        <w:t>das, mientras que el último afirmó que las revisó para v</w:t>
      </w:r>
      <w:r>
        <w:t>e</w:t>
      </w:r>
      <w:r>
        <w:t>rificar su contenido, no hallándolo.</w:t>
      </w:r>
    </w:p>
    <w:p w:rsidR="00224567" w:rsidRDefault="00224567">
      <w:pPr>
        <w:widowControl w:val="0"/>
        <w:tabs>
          <w:tab w:val="left" w:pos="-1440"/>
        </w:tabs>
      </w:pPr>
      <w:r>
        <w:tab/>
      </w:r>
      <w:r>
        <w:tab/>
        <w:t>Por su parte, los testigos Miguel Á</w:t>
      </w:r>
      <w:r>
        <w:t>n</w:t>
      </w:r>
      <w:r>
        <w:t>gel Vázquez y Claudio Eduardo Gotta dijeron que ese p</w:t>
      </w:r>
      <w:r>
        <w:t>a</w:t>
      </w:r>
      <w:r>
        <w:t>pel les fue entregado por el personal policial durante el r</w:t>
      </w:r>
      <w:r>
        <w:t>e</w:t>
      </w:r>
      <w:r>
        <w:t>gistro domiciliario y precisaron que lo firmaron en esa oportunidad.</w:t>
      </w:r>
    </w:p>
    <w:p w:rsidR="00224567" w:rsidRDefault="00224567">
      <w:pPr>
        <w:widowControl w:val="0"/>
        <w:tabs>
          <w:tab w:val="left" w:pos="-1440"/>
        </w:tabs>
      </w:pPr>
      <w:r>
        <w:tab/>
      </w:r>
      <w:r>
        <w:tab/>
        <w:t>El extremo referido por ambos test</w:t>
      </w:r>
      <w:r>
        <w:t>i</w:t>
      </w:r>
      <w:r>
        <w:t>gos, rel</w:t>
      </w:r>
      <w:r>
        <w:t>a</w:t>
      </w:r>
      <w:r>
        <w:t>tivo al secuestro de esa prueba, no habrá de ser considerado por distintas razones. En primer orden, como bien lo sostuvo la defensa, porque no se dejó constancia de su s</w:t>
      </w:r>
      <w:r>
        <w:t>e</w:t>
      </w:r>
      <w:r>
        <w:t>cuestro en el acta de fs. 417/418.</w:t>
      </w:r>
    </w:p>
    <w:p w:rsidR="00224567" w:rsidRDefault="00224567">
      <w:pPr>
        <w:widowControl w:val="0"/>
        <w:tabs>
          <w:tab w:val="left" w:pos="-1440"/>
        </w:tabs>
      </w:pPr>
      <w:r>
        <w:tab/>
      </w:r>
      <w:r>
        <w:tab/>
        <w:t>En segundo lugar, porque de los dichos de los preventores y del funcionario de la fiscalía fed</w:t>
      </w:r>
      <w:r>
        <w:t>e</w:t>
      </w:r>
      <w:r>
        <w:t>ral que participaron en la diligencia, no surge dicho s</w:t>
      </w:r>
      <w:r>
        <w:t>e</w:t>
      </w:r>
      <w:r>
        <w:t>cuestro. Más bien, por el contrario, ni</w:t>
      </w:r>
      <w:r>
        <w:t>n</w:t>
      </w:r>
      <w:r>
        <w:t>guno lo recordó a pesar de la importancia que podía revestir para la inve</w:t>
      </w:r>
      <w:r>
        <w:t>s</w:t>
      </w:r>
      <w:r>
        <w:t>tigación. En ese sentido, el auxiliar de inteligencia To</w:t>
      </w:r>
      <w:r>
        <w:t>s</w:t>
      </w:r>
      <w:r>
        <w:t>cano afirmó que, de haberse secuestrado, se habría consi</w:t>
      </w:r>
      <w:r>
        <w:t>g</w:t>
      </w:r>
      <w:r>
        <w:t>nado en el a</w:t>
      </w:r>
      <w:r>
        <w:t>c</w:t>
      </w:r>
      <w:r>
        <w:t>ta.</w:t>
      </w:r>
    </w:p>
    <w:p w:rsidR="00224567" w:rsidRDefault="00224567">
      <w:pPr>
        <w:widowControl w:val="0"/>
        <w:tabs>
          <w:tab w:val="left" w:pos="-1440"/>
        </w:tabs>
      </w:pPr>
      <w:r>
        <w:tab/>
      </w:r>
      <w:r>
        <w:tab/>
        <w:t>Por otro lado, los dichos de Gotta se contradicen con lo afirmado por éste ante el juez instru</w:t>
      </w:r>
      <w:r>
        <w:t>c</w:t>
      </w:r>
      <w:r>
        <w:t>tor, en cuanto señaló a fs. 6528/6531 que no recordaba que se hubiese secuestrado el papel durante el allanamiento, al decir que había gran cantidad de papeles sueltos con direcciones y teléfonos, razón por la cual no pudo prec</w:t>
      </w:r>
      <w:r>
        <w:t>i</w:t>
      </w:r>
      <w:r>
        <w:t>sar si el papel que se le exhibe estaba entre todos los que fueran secuestrados.</w:t>
      </w:r>
    </w:p>
    <w:p w:rsidR="00224567" w:rsidRDefault="00224567">
      <w:pPr>
        <w:widowControl w:val="0"/>
        <w:tabs>
          <w:tab w:val="left" w:pos="-1440"/>
        </w:tabs>
      </w:pPr>
      <w:r>
        <w:tab/>
      </w:r>
      <w:r>
        <w:tab/>
        <w:t>De igual modo, Vázquez fue impreciso sobre el punto al declarar en el debate. Al inicio de su deposición no mencionó el manuscrito entre los elementos que, según recordaba, encontraron en el lugar. Al ser i</w:t>
      </w:r>
      <w:r>
        <w:t>n</w:t>
      </w:r>
      <w:r>
        <w:t>terpelado al respecto, dijo que no lo recordaba aunque r</w:t>
      </w:r>
      <w:r>
        <w:t>e</w:t>
      </w:r>
      <w:r>
        <w:t>conoció que “había un papel con una dirección anotada... creo que tenía un número de tel</w:t>
      </w:r>
      <w:r>
        <w:t>é</w:t>
      </w:r>
      <w:r>
        <w:t>fono”. Luego, al insistir el fiscal sobre la cuestión, sostuvo que el papel le fue entregado en oc</w:t>
      </w:r>
      <w:r>
        <w:t>a</w:t>
      </w:r>
      <w:r>
        <w:t>sión del allanamiento.</w:t>
      </w:r>
    </w:p>
    <w:p w:rsidR="00224567" w:rsidRDefault="00224567">
      <w:pPr>
        <w:widowControl w:val="0"/>
        <w:tabs>
          <w:tab w:val="left" w:pos="-1440"/>
        </w:tabs>
      </w:pPr>
      <w:r>
        <w:tab/>
      </w:r>
      <w:r>
        <w:tab/>
        <w:t>Además, Vázquez y Gotta, al co</w:t>
      </w:r>
      <w:r>
        <w:t>m</w:t>
      </w:r>
      <w:r>
        <w:t>parecer ante la instrucción, firmaron el elemento como constancia de su exhibición; ésta última circunstancia, echa por ti</w:t>
      </w:r>
      <w:r>
        <w:t>e</w:t>
      </w:r>
      <w:r>
        <w:t>rra los dichos de ambos, en el sentido que suscribieron el papel como prueba de su incautación, al momento del all</w:t>
      </w:r>
      <w:r>
        <w:t>a</w:t>
      </w:r>
      <w:r>
        <w:t>namiento.</w:t>
      </w:r>
    </w:p>
    <w:p w:rsidR="00224567" w:rsidRDefault="00224567">
      <w:pPr>
        <w:widowControl w:val="0"/>
        <w:tabs>
          <w:tab w:val="left" w:pos="-1440"/>
        </w:tabs>
      </w:pPr>
      <w:r>
        <w:tab/>
      </w:r>
      <w:r>
        <w:tab/>
        <w:t>También entraron en colisión los d</w:t>
      </w:r>
      <w:r>
        <w:t>i</w:t>
      </w:r>
      <w:r>
        <w:t>chos de Gotta y Vázquez con los funcionarios que interv</w:t>
      </w:r>
      <w:r>
        <w:t>i</w:t>
      </w:r>
      <w:r>
        <w:t>nieron en el allanamiento, puesto que a pesar que éstos ignoraron el secuestro de esa evidencia, aquellos sost</w:t>
      </w:r>
      <w:r>
        <w:t>u</w:t>
      </w:r>
      <w:r>
        <w:t>vieron que se la entregaron en la mano los polic</w:t>
      </w:r>
      <w:r>
        <w:t>í</w:t>
      </w:r>
      <w:r>
        <w:t>as.</w:t>
      </w:r>
    </w:p>
    <w:p w:rsidR="00224567" w:rsidRDefault="00224567">
      <w:pPr>
        <w:widowControl w:val="0"/>
        <w:tabs>
          <w:tab w:val="left" w:pos="-1440"/>
        </w:tabs>
      </w:pPr>
      <w:r>
        <w:tab/>
      </w:r>
      <w:r>
        <w:tab/>
        <w:t>A todo ello se agregan los peritajes caligr</w:t>
      </w:r>
      <w:r>
        <w:t>á</w:t>
      </w:r>
      <w:r>
        <w:t>ficos de fs. 11.197/11.200 y 30.256/30.258vta. que descartaron la autoría de Carlos Alberto Telleldín en el trazado de las grafías “Embajada Islámica de Irán Avda. Figueroa Alcorta 3229 802-1470 805-</w:t>
      </w:r>
      <w:smartTag w:uri="urn:schemas-microsoft-com:office:smarttags" w:element="metricconverter">
        <w:smartTagPr>
          <w:attr w:name="ProductID" w:val="4409”"/>
        </w:smartTagPr>
        <w:r>
          <w:t>4409”</w:t>
        </w:r>
      </w:smartTag>
      <w:r>
        <w:t>, estampadas en el trozo de papel, como así también la de las personas de su entorno, a saber José Ramón Martínez Rodríguez, Claudio Guillermo Miguel Cotoras, Marcelo Fabián Jouce, Hugo Ant</w:t>
      </w:r>
      <w:r>
        <w:t>o</w:t>
      </w:r>
      <w:r>
        <w:t>nio Pérez, Ariel Adolfo Nitzcaner, Ana María Boragni, M</w:t>
      </w:r>
      <w:r>
        <w:t>i</w:t>
      </w:r>
      <w:r>
        <w:t>guel Gu</w:t>
      </w:r>
      <w:r>
        <w:t>s</w:t>
      </w:r>
      <w:r>
        <w:t>tavo Jaimes y Eduardo Daniel Telleldín.</w:t>
      </w:r>
    </w:p>
    <w:p w:rsidR="00224567" w:rsidRDefault="00224567">
      <w:pPr>
        <w:widowControl w:val="0"/>
        <w:tabs>
          <w:tab w:val="left" w:pos="-1440"/>
        </w:tabs>
      </w:pPr>
      <w:r>
        <w:tab/>
      </w:r>
      <w:r>
        <w:tab/>
        <w:t>Es menester destacar que la existencia del referido papel surge por primera vez en la causa el día 26 de septiembre de 1994, esto es, casi dos meses de</w:t>
      </w:r>
      <w:r>
        <w:t>s</w:t>
      </w:r>
      <w:r>
        <w:t>pués de realizado, según se desprende del certificado a</w:t>
      </w:r>
      <w:r>
        <w:t>c</w:t>
      </w:r>
      <w:r>
        <w:t>tuarial de fs. 4248/4254vta., que da cuenta de los eleme</w:t>
      </w:r>
      <w:r>
        <w:t>n</w:t>
      </w:r>
      <w:r>
        <w:t>tos recibidos en el juzgado, remitidos por el entonces D</w:t>
      </w:r>
      <w:r>
        <w:t>e</w:t>
      </w:r>
      <w:r>
        <w:t xml:space="preserve">partamento Protección del Orden Constitucional de </w:t>
      </w:r>
      <w:smartTag w:uri="urn:schemas-microsoft-com:office:smarttags" w:element="PersonName">
        <w:smartTagPr>
          <w:attr w:name="ProductID" w:val="la P.F"/>
        </w:smartTagPr>
        <w:r>
          <w:t>la P.F</w:t>
        </w:r>
      </w:smartTag>
      <w:r>
        <w:t>.A. (ver, en particular, punto G “respecto del allan</w:t>
      </w:r>
      <w:r>
        <w:t>a</w:t>
      </w:r>
      <w:r>
        <w:t>miento del domic</w:t>
      </w:r>
      <w:r>
        <w:t>i</w:t>
      </w:r>
      <w:r>
        <w:t xml:space="preserve">lio de República </w:t>
      </w:r>
      <w:smartTag w:uri="urn:schemas-microsoft-com:office:smarttags" w:element="metricconverter">
        <w:smartTagPr>
          <w:attr w:name="ProductID" w:val="107”"/>
        </w:smartTagPr>
        <w:r>
          <w:t>107”</w:t>
        </w:r>
      </w:smartTag>
      <w:r>
        <w:t>).</w:t>
      </w:r>
    </w:p>
    <w:p w:rsidR="00224567" w:rsidRDefault="00224567">
      <w:pPr>
        <w:widowControl w:val="0"/>
        <w:tabs>
          <w:tab w:val="left" w:pos="-1440"/>
        </w:tabs>
      </w:pPr>
      <w:r>
        <w:tab/>
      </w:r>
      <w:r>
        <w:tab/>
        <w:t>El prolongado lapso transcurrido desde el allanamiento y la referida constancia, los sucesivos traslados de los efectos secuestrados a distintas depe</w:t>
      </w:r>
      <w:r>
        <w:t>n</w:t>
      </w:r>
      <w:r>
        <w:t>dencias policiales (ver notas de fs. 425vta., 443, 1770, 1942, 2093 y detalle de fs. 4242), el hecho que en la me</w:t>
      </w:r>
      <w:r>
        <w:t>n</w:t>
      </w:r>
      <w:r>
        <w:t>cionada actuación de fs. 4248/4254vta. se certificaran, además de los efectos secuestrados en R</w:t>
      </w:r>
      <w:r>
        <w:t>e</w:t>
      </w:r>
      <w:r>
        <w:t>pública 107, otros cuantiosos elementos en los regi</w:t>
      </w:r>
      <w:r>
        <w:t>s</w:t>
      </w:r>
      <w:r>
        <w:t>tros practicados en ocho lugares distintos y, finalmente, la circunstancia de que los elementos descriptos no fuesen resguardados mediante alguna medida asegurativa de su integridad, excepción h</w:t>
      </w:r>
      <w:r>
        <w:t>e</w:t>
      </w:r>
      <w:r>
        <w:t xml:space="preserve">cha de “un paquete lacrado con varias firmas” (cónf. punto D, </w:t>
      </w:r>
      <w:r>
        <w:rPr>
          <w:u w:val="single"/>
        </w:rPr>
        <w:t>in fine</w:t>
      </w:r>
      <w:r>
        <w:t>, cuya acta de apertura y certificación luce a fs. 4256/4257vta.), constituyen motivos suficientes que permiten abrigar serias dudas acerca de la verdadera c</w:t>
      </w:r>
      <w:r>
        <w:t>o</w:t>
      </w:r>
      <w:r>
        <w:t>rrespondencia de la documentación detallada en esas cond</w:t>
      </w:r>
      <w:r>
        <w:t>i</w:t>
      </w:r>
      <w:r>
        <w:t>ciones.</w:t>
      </w:r>
    </w:p>
    <w:p w:rsidR="00224567" w:rsidRDefault="00224567">
      <w:pPr>
        <w:widowControl w:val="0"/>
        <w:tabs>
          <w:tab w:val="left" w:pos="-1440"/>
        </w:tabs>
      </w:pPr>
      <w:r>
        <w:tab/>
      </w:r>
      <w:r>
        <w:tab/>
        <w:t>A ello se suma que la disparidad exi</w:t>
      </w:r>
      <w:r>
        <w:t>s</w:t>
      </w:r>
      <w:r>
        <w:t>tente entre el contenido del certificado en cue</w:t>
      </w:r>
      <w:r>
        <w:t>s</w:t>
      </w:r>
      <w:r>
        <w:t>tión y el del a</w:t>
      </w:r>
      <w:r>
        <w:t>c</w:t>
      </w:r>
      <w:r>
        <w:t>ta de allanamiento de República 107 dio origen a la causa nº 3572/98 (5624/96), caratulada “Castañeda s/ su</w:t>
      </w:r>
      <w:r>
        <w:t>s</w:t>
      </w:r>
      <w:r>
        <w:t>tracción de medios de prueba”, por la presunta desapar</w:t>
      </w:r>
      <w:r>
        <w:t>i</w:t>
      </w:r>
      <w:r>
        <w:t>ción de cuatro disquetes de computación marca “Nashua”, una caja con otros ocho disquetes marca “Basf”, un rollo de 24 fotos marca “Kodak” (sin revelar), dos casetes de vídeo marca “TDK” y una marca “Panasonic”. Ello ilustra, además, acerca de que habían omitido adoptar medidas as</w:t>
      </w:r>
      <w:r>
        <w:t>e</w:t>
      </w:r>
      <w:r>
        <w:t>gurativas de la prueba para resguardar su integridad.</w:t>
      </w:r>
    </w:p>
    <w:p w:rsidR="00224567" w:rsidRDefault="00224567">
      <w:pPr>
        <w:widowControl w:val="0"/>
        <w:tabs>
          <w:tab w:val="left" w:pos="-1440"/>
        </w:tabs>
      </w:pPr>
      <w:r>
        <w:tab/>
      </w:r>
      <w:r>
        <w:tab/>
        <w:t>Finalmente, se consignó en el certif</w:t>
      </w:r>
      <w:r>
        <w:t>i</w:t>
      </w:r>
      <w:r>
        <w:t>cado de mención, en forma errónea, que se recibió numer</w:t>
      </w:r>
      <w:r>
        <w:t>o</w:t>
      </w:r>
      <w:r>
        <w:t>sísima documentación del “allanamiento realizado en la c</w:t>
      </w:r>
      <w:r>
        <w:t>a</w:t>
      </w:r>
      <w:r>
        <w:t xml:space="preserve">lle Constitución </w:t>
      </w:r>
      <w:smartTag w:uri="urn:schemas-microsoft-com:office:smarttags" w:element="metricconverter">
        <w:smartTagPr>
          <w:attr w:name="ProductID" w:val="2745”"/>
        </w:smartTagPr>
        <w:r>
          <w:t>2745”</w:t>
        </w:r>
      </w:smartTag>
      <w:r>
        <w:t xml:space="preserve"> (puntos “I” y “J”), cuando en realidad, en el acta que instrumenta esa diligencia se e</w:t>
      </w:r>
      <w:r>
        <w:t>x</w:t>
      </w:r>
      <w:r>
        <w:t>pr</w:t>
      </w:r>
      <w:r>
        <w:t>e</w:t>
      </w:r>
      <w:r>
        <w:t>só que “no se secuestró elemento alguno, ni dinero,  ni alhajas” (cónf. acta de fs. 1890).</w:t>
      </w:r>
    </w:p>
    <w:p w:rsidR="00224567" w:rsidRDefault="00224567">
      <w:pPr>
        <w:widowControl w:val="0"/>
        <w:tabs>
          <w:tab w:val="left" w:pos="-1440"/>
        </w:tabs>
      </w:pPr>
      <w:r>
        <w:tab/>
      </w:r>
      <w:r>
        <w:tab/>
        <w:t>En rigor, cotejo mediante, surge con claridad que dichos efectos fueron los que se e</w:t>
      </w:r>
      <w:r>
        <w:t>n</w:t>
      </w:r>
      <w:r>
        <w:t>contraron en el c</w:t>
      </w:r>
      <w:r>
        <w:t>a</w:t>
      </w:r>
      <w:r>
        <w:t>teo efectuado a fs. 1896. Mas tales imprecisiones se suman para respaldar las consideraci</w:t>
      </w:r>
      <w:r>
        <w:t>o</w:t>
      </w:r>
      <w:r>
        <w:t>nes expuestas.</w:t>
      </w:r>
    </w:p>
    <w:p w:rsidR="00224567" w:rsidRDefault="00224567">
      <w:pPr>
        <w:widowControl w:val="0"/>
        <w:tabs>
          <w:tab w:val="left" w:pos="-1440"/>
        </w:tabs>
      </w:pPr>
      <w:r>
        <w:tab/>
      </w:r>
      <w:r>
        <w:tab/>
        <w:t>Con relación a la denuncia que efectuó la defensa de Telleldín por considerar que los testigos Claudio Eduardo Gotta y Miguel Ángel Vázquez incurrieron en el delito de falso testimonio, corre</w:t>
      </w:r>
      <w:r>
        <w:t>s</w:t>
      </w:r>
      <w:r>
        <w:t>ponde señalar que no se advirtió que los nombrados, a sabiendas de su fals</w:t>
      </w:r>
      <w:r>
        <w:t>e</w:t>
      </w:r>
      <w:r>
        <w:t>dad, hubieran vertido las manife</w:t>
      </w:r>
      <w:r>
        <w:t>s</w:t>
      </w:r>
      <w:r>
        <w:t>tación que, como se dijo, se consideran inverosímiles.</w:t>
      </w:r>
    </w:p>
    <w:p w:rsidR="00224567" w:rsidRDefault="00224567">
      <w:pPr>
        <w:widowControl w:val="0"/>
        <w:tabs>
          <w:tab w:val="left" w:pos="-1440"/>
        </w:tabs>
      </w:pPr>
      <w:r>
        <w:tab/>
      </w:r>
      <w:r>
        <w:tab/>
        <w:t>Para ello se tiene en cuenta, fund</w:t>
      </w:r>
      <w:r>
        <w:t>a</w:t>
      </w:r>
      <w:r>
        <w:t>mentalme</w:t>
      </w:r>
      <w:r>
        <w:t>n</w:t>
      </w:r>
      <w:r>
        <w:t>te, que los testigos de mención fueron obligados a abandonar en horas de la madrugada el velatorio de un ser querido –hermano de Gotta y sobrino de Vázquez-, afe</w:t>
      </w:r>
      <w:r>
        <w:t>c</w:t>
      </w:r>
      <w:r>
        <w:t>tando, consecuentemente, de manera indudable su atención durante el procedimiento realizado, como lo admiti</w:t>
      </w:r>
      <w:r>
        <w:t>e</w:t>
      </w:r>
      <w:r>
        <w:t>ron en el debate.</w:t>
      </w:r>
    </w:p>
    <w:p w:rsidR="00224567" w:rsidRDefault="00224567">
      <w:pPr>
        <w:widowControl w:val="0"/>
        <w:tabs>
          <w:tab w:val="left" w:pos="-1440"/>
        </w:tabs>
      </w:pPr>
      <w:r>
        <w:tab/>
        <w:t>Además, el papel con la inscripción “Embajada de Irán” fue exhibido y suscripto por ambos en sus respectivas declaraciones testimoniales en la etapa anterior, por ello entiende el tribunal que ob</w:t>
      </w:r>
      <w:r>
        <w:t>e</w:t>
      </w:r>
      <w:r>
        <w:t>deció a una equivocación que sostuvieran, en el debate, que lo hici</w:t>
      </w:r>
      <w:r>
        <w:t>e</w:t>
      </w:r>
      <w:r>
        <w:t>ron en oportun</w:t>
      </w:r>
      <w:r>
        <w:t>i</w:t>
      </w:r>
      <w:r>
        <w:t>dad del allanamiento.</w:t>
      </w:r>
    </w:p>
    <w:p w:rsidR="00224567" w:rsidRDefault="00224567">
      <w:pPr>
        <w:widowControl w:val="0"/>
        <w:tabs>
          <w:tab w:val="left" w:pos="-1440"/>
        </w:tabs>
      </w:pPr>
      <w:r>
        <w:tab/>
        <w:t>Ello, por cuanto parece lógico sup</w:t>
      </w:r>
      <w:r>
        <w:t>o</w:t>
      </w:r>
      <w:r>
        <w:t>ner que las inscripciones de una evidencia –exhibida en la etapa anterior del proceso- que hacían referencia a una embajada de un país del medio oriente, llevó a los test</w:t>
      </w:r>
      <w:r>
        <w:t>i</w:t>
      </w:r>
      <w:r>
        <w:t>gos de escaso nivel cultural a vincularla, mediante mec</w:t>
      </w:r>
      <w:r>
        <w:t>a</w:t>
      </w:r>
      <w:r>
        <w:t>nismos mentales asociativos, con la investigación de un acto terrorista (ver, en ese sentido, Françoise Gorphe, “</w:t>
      </w:r>
      <w:smartTag w:uri="urn:schemas-microsoft-com:office:smarttags" w:element="PersonName">
        <w:smartTagPr>
          <w:attr w:name="ProductID" w:val="La Apreciaci￳n Judicial"/>
        </w:smartTagPr>
        <w:r>
          <w:t>La Apreciación Judicial</w:t>
        </w:r>
      </w:smartTag>
      <w:r>
        <w:t xml:space="preserve"> de Las Pruebas”, ed. </w:t>
      </w:r>
      <w:smartTag w:uri="urn:schemas-microsoft-com:office:smarttags" w:element="PersonName">
        <w:smartTagPr>
          <w:attr w:name="ProductID" w:val="La Ley"/>
        </w:smartTagPr>
        <w:r>
          <w:t>La Ley</w:t>
        </w:r>
      </w:smartTag>
      <w:r>
        <w:t>, 1967, Capítulo V, en particular, págs. 381 y sigs.).</w:t>
      </w:r>
    </w:p>
    <w:p w:rsidR="00224567" w:rsidRDefault="00224567">
      <w:pPr>
        <w:widowControl w:val="0"/>
      </w:pPr>
      <w:r>
        <w:tab/>
      </w:r>
      <w:r>
        <w:rPr>
          <w:b/>
          <w:bCs/>
        </w:rPr>
        <w:t>C)</w:t>
      </w:r>
      <w:r>
        <w:t xml:space="preserve"> La defensa de Carlos Alberto T</w:t>
      </w:r>
      <w:r>
        <w:t>e</w:t>
      </w:r>
      <w:r>
        <w:t>lleldín requirió que se declare la nulidad del proced</w:t>
      </w:r>
      <w:r>
        <w:t>i</w:t>
      </w:r>
      <w:r>
        <w:t xml:space="preserve">miento de detención de su asistido por considerar que la medida fue llevada a cabo sin orden del juez competente, en violación a lo estipulado en los arts. 283 del C.P.P.N., 18 de </w:t>
      </w:r>
      <w:smartTag w:uri="urn:schemas-microsoft-com:office:smarttags" w:element="PersonName">
        <w:smartTagPr>
          <w:attr w:name="ProductID" w:val="la C.N."/>
        </w:smartTagPr>
        <w:r>
          <w:t>la C.N.</w:t>
        </w:r>
      </w:smartTag>
      <w:r>
        <w:t xml:space="preserve"> y sus concordantes de los tratados internacionales. Agregó, además, que no se verificó ni</w:t>
      </w:r>
      <w:r>
        <w:t>n</w:t>
      </w:r>
      <w:r>
        <w:t>guno de los supuestos del art. 284 del C.P.P.N.</w:t>
      </w:r>
    </w:p>
    <w:p w:rsidR="00224567" w:rsidRDefault="00224567">
      <w:pPr>
        <w:widowControl w:val="0"/>
        <w:rPr>
          <w:lang w:val="es-MX"/>
        </w:rPr>
      </w:pPr>
      <w:r>
        <w:tab/>
        <w:t>También argumentó que al momento en que se llevó a cabo la medida no existían motivos fu</w:t>
      </w:r>
      <w:r>
        <w:t>n</w:t>
      </w:r>
      <w:r>
        <w:t xml:space="preserve">dados </w:t>
      </w:r>
      <w:r>
        <w:rPr>
          <w:lang w:val="es-MX"/>
        </w:rPr>
        <w:t>ni indicios de culpabilidad que hicieran presumir la pa</w:t>
      </w:r>
      <w:r>
        <w:rPr>
          <w:lang w:val="es-MX"/>
        </w:rPr>
        <w:t>r</w:t>
      </w:r>
      <w:r>
        <w:rPr>
          <w:lang w:val="es-MX"/>
        </w:rPr>
        <w:t>ticipación de Telleldín en el hecho, teniendo en cuenta que su asistido se encontraba en la misma situ</w:t>
      </w:r>
      <w:r>
        <w:rPr>
          <w:lang w:val="es-MX"/>
        </w:rPr>
        <w:t>a</w:t>
      </w:r>
      <w:r>
        <w:rPr>
          <w:lang w:val="es-MX"/>
        </w:rPr>
        <w:t>ción que el titular o posteriores poseedores de la c</w:t>
      </w:r>
      <w:r>
        <w:rPr>
          <w:lang w:val="es-MX"/>
        </w:rPr>
        <w:t>a</w:t>
      </w:r>
      <w:r>
        <w:rPr>
          <w:lang w:val="es-MX"/>
        </w:rPr>
        <w:t>mioneta objeto de pesquisa (Messin, Monjo y sus emple</w:t>
      </w:r>
      <w:r>
        <w:rPr>
          <w:lang w:val="es-MX"/>
        </w:rPr>
        <w:t>a</w:t>
      </w:r>
      <w:r>
        <w:rPr>
          <w:lang w:val="es-MX"/>
        </w:rPr>
        <w:t>dos).</w:t>
      </w:r>
    </w:p>
    <w:p w:rsidR="00224567" w:rsidRDefault="00224567">
      <w:pPr>
        <w:widowControl w:val="0"/>
        <w:rPr>
          <w:lang w:val="es-MX"/>
        </w:rPr>
      </w:pPr>
      <w:r>
        <w:rPr>
          <w:lang w:val="es-MX"/>
        </w:rPr>
        <w:tab/>
        <w:t xml:space="preserve">Finalmente, la defensa sostuvo que tampoco concurrieron en la especie razones de urgencia, en tanto que, cinco horas antes de la efectiva detención de Telleldín, el juez estuvo reunido con las autoridades de </w:t>
      </w:r>
      <w:smartTag w:uri="urn:schemas-microsoft-com:office:smarttags" w:element="PersonName">
        <w:smartTagPr>
          <w:attr w:name="ProductID" w:val="la S.I"/>
        </w:smartTagPr>
        <w:r>
          <w:rPr>
            <w:lang w:val="es-MX"/>
          </w:rPr>
          <w:t>la S.I</w:t>
        </w:r>
      </w:smartTag>
      <w:r>
        <w:rPr>
          <w:lang w:val="es-MX"/>
        </w:rPr>
        <w:t xml:space="preserve">.D.E., de </w:t>
      </w:r>
      <w:smartTag w:uri="urn:schemas-microsoft-com:office:smarttags" w:element="PersonName">
        <w:smartTagPr>
          <w:attr w:name="ProductID" w:val="la Polic￭a Federal"/>
        </w:smartTagPr>
        <w:r>
          <w:rPr>
            <w:lang w:val="es-MX"/>
          </w:rPr>
          <w:t>la Policía Federal</w:t>
        </w:r>
      </w:smartTag>
      <w:r>
        <w:rPr>
          <w:lang w:val="es-MX"/>
        </w:rPr>
        <w:t xml:space="preserve"> y los fiscales en las dependencias del primer organismo cit</w:t>
      </w:r>
      <w:r>
        <w:rPr>
          <w:lang w:val="es-MX"/>
        </w:rPr>
        <w:t>a</w:t>
      </w:r>
      <w:r>
        <w:rPr>
          <w:lang w:val="es-MX"/>
        </w:rPr>
        <w:t>do.</w:t>
      </w:r>
    </w:p>
    <w:p w:rsidR="00224567" w:rsidRDefault="00224567">
      <w:pPr>
        <w:widowControl w:val="0"/>
      </w:pPr>
      <w:r>
        <w:tab/>
        <w:t>El planteo formulado no habrá de t</w:t>
      </w:r>
      <w:r>
        <w:t>e</w:t>
      </w:r>
      <w:r>
        <w:t>ner acogida. Ello, por cuanto al momento en que se re</w:t>
      </w:r>
      <w:r>
        <w:t>a</w:t>
      </w:r>
      <w:r>
        <w:t>lizó la medida cuestionada se verificaron las exige</w:t>
      </w:r>
      <w:r>
        <w:t>n</w:t>
      </w:r>
      <w:r>
        <w:t>cias previstas en el supuesto de excepción contemplado en el inc. 3º del art. 284 del C.P.P.N., que autoriza la detención sin orden judicial.</w:t>
      </w:r>
    </w:p>
    <w:p w:rsidR="00224567" w:rsidRDefault="00224567">
      <w:pPr>
        <w:widowControl w:val="0"/>
      </w:pPr>
      <w:r>
        <w:tab/>
        <w:t>En efecto, a esa altura de la invest</w:t>
      </w:r>
      <w:r>
        <w:t>i</w:t>
      </w:r>
      <w:r>
        <w:t xml:space="preserve">gación estaba acreditado que la camioneta que llevaba el motor hallado entre los escombros del edificio de </w:t>
      </w:r>
      <w:smartTag w:uri="urn:schemas-microsoft-com:office:smarttags" w:element="PersonName">
        <w:smartTagPr>
          <w:attr w:name="ProductID" w:val="la A.M"/>
        </w:smartTagPr>
        <w:r>
          <w:t>la A.M</w:t>
        </w:r>
      </w:smartTag>
      <w:r>
        <w:t>.I.A. había sido adquirida por Carlos Alberto T</w:t>
      </w:r>
      <w:r>
        <w:t>e</w:t>
      </w:r>
      <w:r>
        <w:t>lleldín (ver constancias copiadas a fs. 276 y vta.); que el no</w:t>
      </w:r>
      <w:r>
        <w:t>m</w:t>
      </w:r>
      <w:r>
        <w:t>brado no se encontraba en su domicilio, debido a que en forma intempestiva se trasladó a la ciudad de Posadas y que su concubina presentó en procura de acreditar el de</w:t>
      </w:r>
      <w:r>
        <w:t>s</w:t>
      </w:r>
      <w:r>
        <w:t>prend</w:t>
      </w:r>
      <w:r>
        <w:t>i</w:t>
      </w:r>
      <w:r>
        <w:t>miento del vehículo, un boleto de compraventa donde figuraba un Documento Nacional de Identidad del supuesto comprador, cuya numeración era inexistente, y un domicilio que, antes de practicarse la detención de Telleldín, se determinó que no existía (ver, en particular, constancia de fs. 313).</w:t>
      </w:r>
    </w:p>
    <w:p w:rsidR="00224567" w:rsidRDefault="00224567">
      <w:pPr>
        <w:widowControl w:val="0"/>
      </w:pPr>
      <w:r>
        <w:tab/>
        <w:t>Tales extremos permitían, en el in</w:t>
      </w:r>
      <w:r>
        <w:t>i</w:t>
      </w:r>
      <w:r>
        <w:t>cio de la pesquisa, abrigar sospechas acerca de la culpabil</w:t>
      </w:r>
      <w:r>
        <w:t>i</w:t>
      </w:r>
      <w:r>
        <w:t>dad de Telleldín, como así también temer por su fuga o el entorpecimiento de la investigación.</w:t>
      </w:r>
    </w:p>
    <w:p w:rsidR="00224567" w:rsidRDefault="00224567">
      <w:pPr>
        <w:widowControl w:val="0"/>
      </w:pPr>
      <w:r>
        <w:tab/>
        <w:t>La circunstancia de que fue el propio Telleldín quién anotició a los investigadores acerca del lugar dónde se encontraba y de su voluntad de aclarar la situación, no  desmerece  los  extremos  antes  aludidos  –peligro de fuga y entorpecimiento- puesto que bien podría temerse que desistiera de su propósito y huyera del lugar acordado para su presentación; máxime cuando, como se d</w:t>
      </w:r>
      <w:r>
        <w:t>i</w:t>
      </w:r>
      <w:r>
        <w:t>jo, un día antes el nombrado había realizado un repentino viaje a una provincia fronter</w:t>
      </w:r>
      <w:r>
        <w:t>i</w:t>
      </w:r>
      <w:r>
        <w:t>za.</w:t>
      </w:r>
    </w:p>
    <w:p w:rsidR="00224567" w:rsidRDefault="00224567">
      <w:pPr>
        <w:widowControl w:val="0"/>
      </w:pPr>
      <w:r>
        <w:tab/>
        <w:t>Asimismo, el hecho de que el juez de instrucción se encontrase reunido, tal como lo sostuvo en el debate el agente Horacio Antonio Stiuso, con las aut</w:t>
      </w:r>
      <w:r>
        <w:t>o</w:t>
      </w:r>
      <w:r>
        <w:t>ridades prevencionales y de inteligencia al momento de la detención del imputado no modifica lo expuesto, en tanto que las razones de urgencia para detenerlo se verificaron cuando éste decidió presentarse ante la instrucción, dando aviso desde el aeroparque metropolitano a los investigad</w:t>
      </w:r>
      <w:r>
        <w:t>o</w:t>
      </w:r>
      <w:r>
        <w:t>res que se encontraban en el d</w:t>
      </w:r>
      <w:r>
        <w:t>o</w:t>
      </w:r>
      <w:r>
        <w:t>micilio de República 107 y por la necesidad de contar con Diego Barreda para que lo identificara, en razón que se desconocían sus rasgos fis</w:t>
      </w:r>
      <w:r>
        <w:t>o</w:t>
      </w:r>
      <w:r>
        <w:t>nómicos.</w:t>
      </w:r>
    </w:p>
    <w:p w:rsidR="00224567" w:rsidRDefault="00224567">
      <w:pPr>
        <w:widowControl w:val="0"/>
      </w:pPr>
      <w:r>
        <w:tab/>
        <w:t>Siendo ello así, resultaba a todas l</w:t>
      </w:r>
      <w:r>
        <w:t>u</w:t>
      </w:r>
      <w:r>
        <w:t>ces impráctico tramitar la orden de detención, con la co</w:t>
      </w:r>
      <w:r>
        <w:t>n</w:t>
      </w:r>
      <w:r>
        <w:t>secuente demora que ello aparejaba en esas acuciantes ci</w:t>
      </w:r>
      <w:r>
        <w:t>r</w:t>
      </w:r>
      <w:r>
        <w:t>cunstancias. Más aún, si se tiene en cuenta que el juez conocía que se había enviado una comisión de S.I.D.E. para detener al imputado y que ordenó que ta</w:t>
      </w:r>
      <w:r>
        <w:t>m</w:t>
      </w:r>
      <w:r>
        <w:t xml:space="preserve">bién intervenga en la diligencia personal de seguridad de </w:t>
      </w:r>
      <w:smartTag w:uri="urn:schemas-microsoft-com:office:smarttags" w:element="PersonName">
        <w:smartTagPr>
          <w:attr w:name="ProductID" w:val="la Polic￭a Federal"/>
        </w:smartTagPr>
        <w:r>
          <w:t>la Policía Federal</w:t>
        </w:r>
      </w:smartTag>
      <w:r>
        <w:t xml:space="preserve"> Argentina que se encontraba en camino hacia el aeroparque metropolitano (cónf., en ese sentido, los dichos de Ca</w:t>
      </w:r>
      <w:r>
        <w:t>r</w:t>
      </w:r>
      <w:r>
        <w:t xml:space="preserve">los Alberto Salomone, Ricardo Néstor Hernández y </w:t>
      </w:r>
      <w:r>
        <w:rPr>
          <w:lang w:val="es-ES_tradnl"/>
        </w:rPr>
        <w:t>Horacio Stiuso)</w:t>
      </w:r>
      <w:r>
        <w:t>.</w:t>
      </w:r>
    </w:p>
    <w:p w:rsidR="00224567" w:rsidRDefault="00224567">
      <w:pPr>
        <w:widowControl w:val="0"/>
        <w:ind w:firstLine="708"/>
      </w:pPr>
      <w:r>
        <w:tab/>
        <w:t>Por todo lo expuesto, corresponde r</w:t>
      </w:r>
      <w:r>
        <w:t>e</w:t>
      </w:r>
      <w:r>
        <w:t>chazar el planteo de nulidad formulado por la defensa de Carlos Alberto Telleldín.</w:t>
      </w:r>
    </w:p>
    <w:p w:rsidR="00224567" w:rsidRDefault="00224567">
      <w:pPr>
        <w:widowControl w:val="0"/>
      </w:pPr>
      <w:r>
        <w:tab/>
      </w:r>
      <w:r>
        <w:rPr>
          <w:b/>
          <w:bCs/>
        </w:rPr>
        <w:t>D)</w:t>
      </w:r>
      <w:r>
        <w:t xml:space="preserve"> La solución a la que arribó el tr</w:t>
      </w:r>
      <w:r>
        <w:t>i</w:t>
      </w:r>
      <w:r>
        <w:t>bunal y el examen sobre la responsabilidad de los imp</w:t>
      </w:r>
      <w:r>
        <w:t>u</w:t>
      </w:r>
      <w:r>
        <w:t>tados por el hecho del 18 del julio de 1994 que se des</w:t>
      </w:r>
      <w:r>
        <w:t>a</w:t>
      </w:r>
      <w:r>
        <w:t>rrolla en el capítulo siguiente, tornan insustanciales los otros planteos de nulidad deducidos por las partes, como así también los de inconstitucionalidad y extinción de la acción penal impetrados por las defe</w:t>
      </w:r>
      <w:r>
        <w:t>n</w:t>
      </w:r>
      <w:r>
        <w:t>sas.</w:t>
      </w:r>
    </w:p>
    <w:p w:rsidR="00224567" w:rsidRDefault="00224567">
      <w:pPr>
        <w:widowControl w:val="0"/>
        <w:rPr>
          <w:rFonts w:eastAsia="Arial Unicode MS"/>
        </w:rPr>
      </w:pPr>
    </w:p>
    <w:p w:rsidR="00224567" w:rsidRDefault="00224567">
      <w:pPr>
        <w:pStyle w:val="Ttulo2"/>
        <w:keepNext w:val="0"/>
        <w:widowControl w:val="0"/>
      </w:pPr>
      <w:r>
        <w:t>CAPÍTULO X</w:t>
      </w:r>
    </w:p>
    <w:p w:rsidR="00224567" w:rsidRDefault="00224567">
      <w:pPr>
        <w:widowControl w:val="0"/>
        <w:rPr>
          <w:rFonts w:eastAsia="Arial Unicode MS"/>
        </w:rPr>
      </w:pPr>
    </w:p>
    <w:p w:rsidR="00224567" w:rsidRDefault="00224567">
      <w:pPr>
        <w:pStyle w:val="Ttulo3"/>
        <w:keepNext w:val="0"/>
        <w:widowControl w:val="0"/>
        <w:rPr>
          <w:rFonts w:eastAsia="Arial Unicode MS"/>
        </w:rPr>
      </w:pPr>
      <w:r>
        <w:rPr>
          <w:rFonts w:eastAsia="Arial Unicode MS"/>
        </w:rPr>
        <w:t>A) Derecho a la verdad.</w:t>
      </w:r>
    </w:p>
    <w:p w:rsidR="00224567" w:rsidRDefault="00224567">
      <w:pPr>
        <w:widowControl w:val="0"/>
      </w:pPr>
      <w:r>
        <w:rPr>
          <w:rFonts w:eastAsia="Arial Unicode MS"/>
        </w:rPr>
        <w:tab/>
      </w:r>
      <w:r>
        <w:t>Conforme surge de lo expuesto, el Tr</w:t>
      </w:r>
      <w:r>
        <w:t>i</w:t>
      </w:r>
      <w:r>
        <w:t>bunal decidió declarar la nulidad de todo lo actuado en la ca</w:t>
      </w:r>
      <w:r>
        <w:t>u</w:t>
      </w:r>
      <w:r>
        <w:t>sa a partir del decreto de fs. 37.557/37.559, a la vez que descartó la existencia de una vía investigativa ind</w:t>
      </w:r>
      <w:r>
        <w:t>e</w:t>
      </w:r>
      <w:r>
        <w:t>pendiente que permitiese sortear las piezas invalidadas.</w:t>
      </w:r>
    </w:p>
    <w:p w:rsidR="00224567" w:rsidRDefault="00224567">
      <w:pPr>
        <w:widowControl w:val="0"/>
      </w:pPr>
      <w:r>
        <w:tab/>
        <w:t>Consecuencia necesaria de la solución alcanzada es la absolución de los imputados, extremo que torna innecesario el examen de la acusación form</w:t>
      </w:r>
      <w:r>
        <w:t>u</w:t>
      </w:r>
      <w:r>
        <w:t>lada por las qu</w:t>
      </w:r>
      <w:r>
        <w:t>e</w:t>
      </w:r>
      <w:r>
        <w:t>rellas y el Ministerio Público Fiscal.</w:t>
      </w:r>
    </w:p>
    <w:p w:rsidR="00224567" w:rsidRDefault="00224567">
      <w:pPr>
        <w:widowControl w:val="0"/>
      </w:pPr>
      <w:r>
        <w:tab/>
      </w:r>
      <w:r>
        <w:tab/>
        <w:t>No obstante, considera el Trib</w:t>
      </w:r>
      <w:r>
        <w:t>u</w:t>
      </w:r>
      <w:r>
        <w:t>nal que frente a un hecho terrorista como el traído a juicio c</w:t>
      </w:r>
      <w:r>
        <w:t>o</w:t>
      </w:r>
      <w:r>
        <w:t>rresponde dar acabada respuesta a las legítimas expectat</w:t>
      </w:r>
      <w:r>
        <w:t>i</w:t>
      </w:r>
      <w:r>
        <w:t>vas de conocer la verdad de lo acontecido, puestas sobre este debate por las víctimas del hecho y la sociedad, dado que ella inc</w:t>
      </w:r>
      <w:r>
        <w:t>i</w:t>
      </w:r>
      <w:r>
        <w:t>dirá sobre el ejercicio de los futuros cursos de acción.</w:t>
      </w:r>
    </w:p>
    <w:p w:rsidR="00224567" w:rsidRDefault="00224567">
      <w:pPr>
        <w:widowControl w:val="0"/>
      </w:pPr>
      <w:r>
        <w:tab/>
        <w:t>De otro modo, es decir que sólo se sustente la decisión en las graves violaciones a las r</w:t>
      </w:r>
      <w:r>
        <w:t>e</w:t>
      </w:r>
      <w:r>
        <w:t>glas del debido proceso que afectaron a los acusados, por obra de los órganos a cargo de la investigación, import</w:t>
      </w:r>
      <w:r>
        <w:t>a</w:t>
      </w:r>
      <w:r>
        <w:t>ría consagrar una verdad formal que frustraría las expe</w:t>
      </w:r>
      <w:r>
        <w:t>c</w:t>
      </w:r>
      <w:r>
        <w:t>tativas de quienes durante años clamaron por conocerla sin restricciones.</w:t>
      </w:r>
    </w:p>
    <w:p w:rsidR="00224567" w:rsidRDefault="00224567">
      <w:pPr>
        <w:widowControl w:val="0"/>
      </w:pPr>
      <w:r>
        <w:tab/>
        <w:t>Al respecto cabe recordar que en el campo del derecho internacional de los derechos humanos, hace mucho tiempo comenzó a desarrollarse el llamado “d</w:t>
      </w:r>
      <w:r>
        <w:t>e</w:t>
      </w:r>
      <w:r>
        <w:t>recho a la verdad”, interpretado no siempre con la misma amplitud.</w:t>
      </w:r>
    </w:p>
    <w:p w:rsidR="00224567" w:rsidRDefault="00224567">
      <w:pPr>
        <w:widowControl w:val="0"/>
      </w:pPr>
      <w:r>
        <w:tab/>
        <w:t xml:space="preserve">Este derecho se estudió y elaboró a partir del pronunciamiento de </w:t>
      </w:r>
      <w:smartTag w:uri="urn:schemas-microsoft-com:office:smarttags" w:element="PersonName">
        <w:smartTagPr>
          <w:attr w:name="ProductID" w:val="La Corte Interamericana"/>
        </w:smartTagPr>
        <w:r>
          <w:t>la Corte Interamericana</w:t>
        </w:r>
      </w:smartTag>
      <w:r>
        <w:t xml:space="preserve"> de Derechos Humanos, recaído en un caso de desaparición fo</w:t>
      </w:r>
      <w:r>
        <w:t>r</w:t>
      </w:r>
      <w:r>
        <w:t>zada de personas en el cual se sostuvo que “El deber de investigar hechos de este género subsiste mientras se ma</w:t>
      </w:r>
      <w:r>
        <w:t>n</w:t>
      </w:r>
      <w:r>
        <w:t>tenga la ince</w:t>
      </w:r>
      <w:r>
        <w:t>r</w:t>
      </w:r>
      <w:r>
        <w:t>tidumbre sobre la suerte final de la persona desaparecida. Incluso en el supuesto de que circunstancias legítimas del orden jurídico interno no permitieran apl</w:t>
      </w:r>
      <w:r>
        <w:t>i</w:t>
      </w:r>
      <w:r>
        <w:t>car las sanciones correspondientes a quienes sean indiv</w:t>
      </w:r>
      <w:r>
        <w:t>i</w:t>
      </w:r>
      <w:r>
        <w:t>dualmente responsables de delitos de esta naturaleza el derecho de los familiares de la víctima de conocer cual fue el destino de ésta, y, en su caso, donde se encuentran sus restos, representa una justa expectativa que el Estado debe satisfacer con los medios a su alcance”  (Corte I</w:t>
      </w:r>
      <w:r>
        <w:t>n</w:t>
      </w:r>
      <w:r>
        <w:t>teramericana de Derechos Humanos, caso Velásquez Rodr</w:t>
      </w:r>
      <w:r>
        <w:t>í</w:t>
      </w:r>
      <w:r>
        <w:t>guez, sentencia del 29 de julio de 1988, serie C, n° 4, párrafo 181).</w:t>
      </w:r>
    </w:p>
    <w:p w:rsidR="00224567" w:rsidRDefault="00224567">
      <w:pPr>
        <w:widowControl w:val="0"/>
      </w:pPr>
      <w:r>
        <w:tab/>
        <w:t>En base a este concepto la doctrina ha sostenido que “El Derecho a la verdad es parte, e</w:t>
      </w:r>
      <w:r>
        <w:t>n</w:t>
      </w:r>
      <w:r>
        <w:t>tonces, de un más amplio derecho a la justicia que tienen las ví</w:t>
      </w:r>
      <w:r>
        <w:t>c</w:t>
      </w:r>
      <w:r>
        <w:t>timas de este tipo de crímenes. Para ser más específ</w:t>
      </w:r>
      <w:r>
        <w:t>i</w:t>
      </w:r>
      <w:r>
        <w:t xml:space="preserve">cos, las obligaciones del Estado que nacen de estos crímenes son cuádruples: obligación de investigar y </w:t>
      </w:r>
      <w:r>
        <w:rPr>
          <w:b/>
        </w:rPr>
        <w:t>dar a conocer los hechos que se puedan establecer fehacientemente (ve</w:t>
      </w:r>
      <w:r>
        <w:rPr>
          <w:b/>
        </w:rPr>
        <w:t>r</w:t>
      </w:r>
      <w:r>
        <w:rPr>
          <w:b/>
        </w:rPr>
        <w:t>dad)</w:t>
      </w:r>
      <w:r>
        <w:t>; obligación de procesar y castigar a los respo</w:t>
      </w:r>
      <w:r>
        <w:t>n</w:t>
      </w:r>
      <w:r>
        <w:t>sables (justicia); obligación de rep</w:t>
      </w:r>
      <w:r>
        <w:t>a</w:t>
      </w:r>
      <w:r>
        <w:t>rar integralmente los daños morales y materiales ocasionados (reparación); y oblig</w:t>
      </w:r>
      <w:r>
        <w:t>a</w:t>
      </w:r>
      <w:r>
        <w:t>ción de extirpar de los cuerpos de seguridad a qui</w:t>
      </w:r>
      <w:r>
        <w:t>e</w:t>
      </w:r>
      <w:r>
        <w:t>nes se sepa han cometido, ordenado o tolerado estos abusos (cre</w:t>
      </w:r>
      <w:r>
        <w:t>a</w:t>
      </w:r>
      <w:r>
        <w:t>ción de fuerzas de seguridad dignas de un estado democr</w:t>
      </w:r>
      <w:r>
        <w:t>á</w:t>
      </w:r>
      <w:r>
        <w:t>tico)....Si bien estas cuatro obligaciones son interdepe</w:t>
      </w:r>
      <w:r>
        <w:t>n</w:t>
      </w:r>
      <w:r>
        <w:t>dientes, debe destacarse que cada una admite un cumpl</w:t>
      </w:r>
      <w:r>
        <w:t>i</w:t>
      </w:r>
      <w:r>
        <w:t xml:space="preserve">miento separado....el Estado sigue obligado a </w:t>
      </w:r>
      <w:r>
        <w:rPr>
          <w:b/>
        </w:rPr>
        <w:t>indagar la verdad</w:t>
      </w:r>
      <w:r>
        <w:t xml:space="preserve"> allí donde todavía impere el secreto y el ocult</w:t>
      </w:r>
      <w:r>
        <w:t>a</w:t>
      </w:r>
      <w:r>
        <w:t xml:space="preserve">miento, </w:t>
      </w:r>
      <w:r>
        <w:rPr>
          <w:b/>
        </w:rPr>
        <w:t>y a revelar esa verdad a los familiares de las víctimas y a la sociedad</w:t>
      </w:r>
      <w:r>
        <w:t xml:space="preserve">” (Méndez, Juan E., “Derecho a </w:t>
      </w:r>
      <w:smartTag w:uri="urn:schemas-microsoft-com:office:smarttags" w:element="PersonName">
        <w:smartTagPr>
          <w:attr w:name="ProductID" w:val="la Verdad"/>
        </w:smartTagPr>
        <w:r>
          <w:t>la Verdad</w:t>
        </w:r>
      </w:smartTag>
      <w:r>
        <w:t xml:space="preserve"> frente a las Graves Violaciones a los Derechos H</w:t>
      </w:r>
      <w:r>
        <w:t>u</w:t>
      </w:r>
      <w:r>
        <w:t>manos”, en “</w:t>
      </w:r>
      <w:smartTag w:uri="urn:schemas-microsoft-com:office:smarttags" w:element="PersonName">
        <w:smartTagPr>
          <w:attr w:name="ProductID" w:val="La Aplicaci￳n"/>
        </w:smartTagPr>
        <w:r>
          <w:t>La Aplicación</w:t>
        </w:r>
      </w:smartTag>
      <w:r>
        <w:t xml:space="preserve"> de los Tratados sobre Derechos Humanos por los Tribunales Locales”, compiladores Martín Abregú y Christian Courtis, pág. 526).</w:t>
      </w:r>
    </w:p>
    <w:p w:rsidR="00224567" w:rsidRDefault="00224567">
      <w:pPr>
        <w:widowControl w:val="0"/>
      </w:pPr>
      <w:r>
        <w:tab/>
        <w:t>En consonancia con tal interpretación se afirmó asimismo que “El derecho a la verdad, ento</w:t>
      </w:r>
      <w:r>
        <w:t>n</w:t>
      </w:r>
      <w:r>
        <w:t>ces, es el derecho a obtener respuestas del Estado. Todo ind</w:t>
      </w:r>
      <w:r>
        <w:t>i</w:t>
      </w:r>
      <w:r>
        <w:t>viduo puede exigirle al Estado que lo informe acerca de aquello que le corresponde saber. El derecho a la verdad es, por ello, un elemento del derecho a la justicia.</w:t>
      </w:r>
    </w:p>
    <w:p w:rsidR="00224567" w:rsidRDefault="00224567">
      <w:pPr>
        <w:widowControl w:val="0"/>
      </w:pPr>
      <w:r>
        <w:tab/>
        <w:t>“Existe una perspectiva no individual del derecho a la verdad que se asienta en el derecho de la comunidad a conocer su pasado...Es el derecho de la soci</w:t>
      </w:r>
      <w:r>
        <w:t>e</w:t>
      </w:r>
      <w:r>
        <w:t>dad a conocer sus instituciones, sus actores, los hechos acaecidos, para poder saber, desde el conoc</w:t>
      </w:r>
      <w:r>
        <w:t>i</w:t>
      </w:r>
      <w:r>
        <w:t>miento de sus aciertos o de sus falencias, cual es el camino a seguir para consolidad la democracia” (Olive</w:t>
      </w:r>
      <w:r>
        <w:t>i</w:t>
      </w:r>
      <w:r>
        <w:t>ra, Alicia y Guembe, María José; “</w:t>
      </w:r>
      <w:smartTag w:uri="urn:schemas-microsoft-com:office:smarttags" w:element="PersonName">
        <w:smartTagPr>
          <w:attr w:name="ProductID" w:val="la Verdad"/>
        </w:smartTagPr>
        <w:r>
          <w:t>La Verdad</w:t>
        </w:r>
      </w:smartTag>
      <w:r>
        <w:t xml:space="preserve">, Derecho de </w:t>
      </w:r>
      <w:smartTag w:uri="urn:schemas-microsoft-com:office:smarttags" w:element="PersonName">
        <w:smartTagPr>
          <w:attr w:name="ProductID" w:val="la Sociedad"/>
        </w:smartTagPr>
        <w:r>
          <w:t>la Sociedad</w:t>
        </w:r>
      </w:smartTag>
      <w:r>
        <w:t>”, “</w:t>
      </w:r>
      <w:smartTag w:uri="urn:schemas-microsoft-com:office:smarttags" w:element="PersonName">
        <w:smartTagPr>
          <w:attr w:name="ProductID" w:val="La Aplicaci￳n"/>
        </w:smartTagPr>
        <w:r>
          <w:t>La Apl</w:t>
        </w:r>
        <w:r>
          <w:t>i</w:t>
        </w:r>
        <w:r>
          <w:t>cación</w:t>
        </w:r>
      </w:smartTag>
      <w:r>
        <w:t xml:space="preserve"> de los Tratados Intern</w:t>
      </w:r>
      <w:r>
        <w:t>a</w:t>
      </w:r>
      <w:r>
        <w:t>cionales...”, ob. cit. pág. 549).</w:t>
      </w:r>
    </w:p>
    <w:p w:rsidR="00224567" w:rsidRDefault="00224567">
      <w:pPr>
        <w:widowControl w:val="0"/>
      </w:pPr>
      <w:r>
        <w:tab/>
        <w:t xml:space="preserve">Tales conceptos han sido receptados también por </w:t>
      </w:r>
      <w:smartTag w:uri="urn:schemas-microsoft-com:office:smarttags" w:element="PersonName">
        <w:smartTagPr>
          <w:attr w:name="ProductID" w:val="la Comisi￳n Interamericana"/>
        </w:smartTagPr>
        <w:r>
          <w:t>la Comisión Interamericana</w:t>
        </w:r>
      </w:smartTag>
      <w:r>
        <w:t xml:space="preserve"> de Derechos Humanos al señalar que “El derecho a saber la verdad sobre los h</w:t>
      </w:r>
      <w:r>
        <w:t>e</w:t>
      </w:r>
      <w:r>
        <w:t>chos… así como también la identidad de quienes particip</w:t>
      </w:r>
      <w:r>
        <w:t>a</w:t>
      </w:r>
      <w:r>
        <w:t>ron en ellos, constituye una obligación que el Estado ti</w:t>
      </w:r>
      <w:r>
        <w:t>e</w:t>
      </w:r>
      <w:r>
        <w:t>ne con los familiares de las víctimas y con la sociedad como consecuencia de las obl</w:t>
      </w:r>
      <w:r>
        <w:t>i</w:t>
      </w:r>
      <w:r>
        <w:t xml:space="preserve">gaciones y deberes asumidos… como Estado Parte de </w:t>
      </w:r>
      <w:smartTag w:uri="urn:schemas-microsoft-com:office:smarttags" w:element="PersonName">
        <w:smartTagPr>
          <w:attr w:name="ProductID" w:val="la Convenci￳n. Tales"/>
        </w:smartTagPr>
        <w:r>
          <w:t>la Convención. Tales</w:t>
        </w:r>
      </w:smartTag>
      <w:r>
        <w:t xml:space="preserve"> obligaciones surgen fundamentalmente de lo dispuesto en los arts. 1.1, 8, 25 y 13 de </w:t>
      </w:r>
      <w:smartTag w:uri="urn:schemas-microsoft-com:office:smarttags" w:element="PersonName">
        <w:smartTagPr>
          <w:attr w:name="ProductID" w:val="la Convenci￳n"/>
        </w:smartTagPr>
        <w:r>
          <w:t>la Conve</w:t>
        </w:r>
        <w:r>
          <w:t>n</w:t>
        </w:r>
        <w:r>
          <w:t>ción</w:t>
        </w:r>
      </w:smartTag>
      <w:r>
        <w:t>”.</w:t>
      </w:r>
    </w:p>
    <w:p w:rsidR="00224567" w:rsidRDefault="00224567">
      <w:pPr>
        <w:widowControl w:val="0"/>
      </w:pPr>
      <w:r>
        <w:tab/>
        <w:t>Y más adelante agrega “Por su parte, el Comité de Derechos Humanos de Naciones Unidas ha est</w:t>
      </w:r>
      <w:r>
        <w:t>a</w:t>
      </w:r>
      <w:r>
        <w:t>blecido en diversas ocasiones, y específicamente en rel</w:t>
      </w:r>
      <w:r>
        <w:t>a</w:t>
      </w:r>
      <w:r>
        <w:t>ción al derecho a la vida, que los familiares de las ví</w:t>
      </w:r>
      <w:r>
        <w:t>c</w:t>
      </w:r>
      <w:r>
        <w:t>timas tienen derecho a ser compensados por las viol</w:t>
      </w:r>
      <w:r>
        <w:t>a</w:t>
      </w:r>
      <w:r>
        <w:t>ciones cometidas a tal derecho… debido, entre otras cosas, al desconocimiento de las circunstancias de su muerte y de los responsables del delito… El primer paso de una repar</w:t>
      </w:r>
      <w:r>
        <w:t>a</w:t>
      </w:r>
      <w:r>
        <w:t>ción para los familiares de las víctimas consiste en poner fin al estado de incertidumbre e ignorancia en que se e</w:t>
      </w:r>
      <w:r>
        <w:t>n</w:t>
      </w:r>
      <w:r>
        <w:t>cuentran, es decir, otorgar conocimiento completo y públ</w:t>
      </w:r>
      <w:r>
        <w:t>i</w:t>
      </w:r>
      <w:r>
        <w:t>co de la verdad” (C.I.D.H., informe n° 25/98, casos 11.505, 11.532, 11.541, 11.546, 11.549, 11.569, 11.572, 11.573, 11.583, 11.585, 11.595, 11.652, 11.657, 11.675 y 11.705 Chile, 7 de abril de 1998).</w:t>
      </w:r>
    </w:p>
    <w:p w:rsidR="00224567" w:rsidRDefault="00224567">
      <w:pPr>
        <w:widowControl w:val="0"/>
      </w:pPr>
      <w:r>
        <w:tab/>
        <w:t>También dicho organismo ha puntualiz</w:t>
      </w:r>
      <w:r>
        <w:t>a</w:t>
      </w:r>
      <w:r>
        <w:t>do al respecto que “El derecho a la verdad es un derecho de carácter colectivo que permite a la sociedad tener a</w:t>
      </w:r>
      <w:r>
        <w:t>c</w:t>
      </w:r>
      <w:r>
        <w:t>ceso a información esencial para el desarrollo de los si</w:t>
      </w:r>
      <w:r>
        <w:t>s</w:t>
      </w:r>
      <w:r>
        <w:t xml:space="preserve">temas democráticos y a la vez un derecho particular para los familiares de las víctimas, que permite una forma de reparación… </w:t>
      </w:r>
      <w:smartTag w:uri="urn:schemas-microsoft-com:office:smarttags" w:element="PersonName">
        <w:smartTagPr>
          <w:attr w:name="ProductID" w:val="la Convenci￳n Americana"/>
        </w:smartTagPr>
        <w:r>
          <w:t>La Convención Americana</w:t>
        </w:r>
      </w:smartTag>
      <w:r>
        <w:t xml:space="preserve"> protege el derecho a acceder y a recibir información en su artículo 13… toda la sociedad tiene el irrenunciable derecho de conocer la ve</w:t>
      </w:r>
      <w:r>
        <w:t>r</w:t>
      </w:r>
      <w:r>
        <w:t>dad de lo ocurrido, así como las razones y circunstancias en las que aberrantes delitos llegaron a cometerse… A la vez, nada puede impedir a los familiares de las víctimas conocer lo que aconteció con sus seres más cercanos” (C.I.D.H., info</w:t>
      </w:r>
      <w:r>
        <w:t>r</w:t>
      </w:r>
      <w:r>
        <w:t xml:space="preserve">me 136/99, caso 10.488 Ignacio Ellacuria, S.J. y otros – El Salvador, 22/12/99, párr. 224 y 226; ver en igual sentido informe n° 37/00, caso 11.481, Monseñor Oscar Arnulfo Romero y Galdámez – El Salvador, 13/4/00, párr. </w:t>
      </w:r>
      <w:smartTag w:uri="urn:schemas-microsoft-com:office:smarttags" w:element="metricconverter">
        <w:smartTagPr>
          <w:attr w:name="ProductID" w:val="142 a"/>
        </w:smartTagPr>
        <w:r>
          <w:t>142 a</w:t>
        </w:r>
      </w:smartTag>
      <w:r>
        <w:t xml:space="preserve"> 150).</w:t>
      </w:r>
    </w:p>
    <w:p w:rsidR="00224567" w:rsidRDefault="00224567">
      <w:pPr>
        <w:widowControl w:val="0"/>
      </w:pPr>
      <w:r>
        <w:tab/>
        <w:t xml:space="preserve">Estos principios fueron pacíficamente aceptados por la jurisprudencia (ver al respecto C.S.J.N., Fallos:321:2767 y C.N.C.P., Sala IV, </w:t>
      </w:r>
      <w:r>
        <w:rPr>
          <w:u w:val="single"/>
        </w:rPr>
        <w:t>in re</w:t>
      </w:r>
      <w:r>
        <w:t xml:space="preserve"> “Corres, Julián O.”, del 13/9/2000); y aún por el Gobierno Nacional en r</w:t>
      </w:r>
      <w:r>
        <w:t>e</w:t>
      </w:r>
      <w:r>
        <w:t>presentación del Estado, ante o</w:t>
      </w:r>
      <w:r>
        <w:t>r</w:t>
      </w:r>
      <w:r>
        <w:t>ganismos internacionales. Así, al suscribirse el acue</w:t>
      </w:r>
      <w:r>
        <w:t>r</w:t>
      </w:r>
      <w:r>
        <w:t>do de solución amistosa entre el Est</w:t>
      </w:r>
      <w:r>
        <w:t>a</w:t>
      </w:r>
      <w:r>
        <w:t>do Argentino y la señora Carmen Aguiar de Lapacó y como punto primero se señaló que “El Gobierno Argentino acepta y gara</w:t>
      </w:r>
      <w:r>
        <w:t>n</w:t>
      </w:r>
      <w:r>
        <w:t>tiza el derecho a la verdad que consiste en el agotamiento de todos los medios para alcanzar el escl</w:t>
      </w:r>
      <w:r>
        <w:t>a</w:t>
      </w:r>
      <w:r>
        <w:t>recimiento acerca de lo sucedido… Es una obligación de m</w:t>
      </w:r>
      <w:r>
        <w:t>e</w:t>
      </w:r>
      <w:r>
        <w:t>dios, no de resultados que se mantiene en tanto no se a</w:t>
      </w:r>
      <w:r>
        <w:t>l</w:t>
      </w:r>
      <w:r>
        <w:t>cancen los resultados” (C.I.D.H. informe n° 21/00, caso 12.059, Carmen Aguiar de Lapacó – Argentina, del 29 de f</w:t>
      </w:r>
      <w:r>
        <w:t>e</w:t>
      </w:r>
      <w:r>
        <w:t>brero de 2000).</w:t>
      </w:r>
    </w:p>
    <w:p w:rsidR="00224567" w:rsidRDefault="00224567">
      <w:pPr>
        <w:widowControl w:val="0"/>
      </w:pPr>
      <w:r>
        <w:tab/>
        <w:t>Es que “Desde el punto de vista del derecho, el “derecho a la verdad” constituye el fin inm</w:t>
      </w:r>
      <w:r>
        <w:t>e</w:t>
      </w:r>
      <w:r>
        <w:t>diato del proceso penal; es el interés público el que r</w:t>
      </w:r>
      <w:r>
        <w:t>e</w:t>
      </w:r>
      <w:r>
        <w:t>clama la determinación de la verdad en el juicio, es el medio para alcanzar el valor más alto, es decir, la just</w:t>
      </w:r>
      <w:r>
        <w:t>i</w:t>
      </w:r>
      <w:r>
        <w:t>cia” (Oliveira y Guembe, ob. cit., pág. 553).</w:t>
      </w:r>
    </w:p>
    <w:p w:rsidR="00224567" w:rsidRDefault="00224567">
      <w:pPr>
        <w:widowControl w:val="0"/>
      </w:pPr>
      <w:r>
        <w:tab/>
        <w:t>Este alcance del derecho a la verdad a causas en las que se ventilan actos de terrorismo no r</w:t>
      </w:r>
      <w:r>
        <w:t>e</w:t>
      </w:r>
      <w:r>
        <w:t xml:space="preserve">sulta de una interpretación antojadiza del Tribunal sino que </w:t>
      </w:r>
      <w:smartTag w:uri="urn:schemas-microsoft-com:office:smarttags" w:element="PersonName">
        <w:smartTagPr>
          <w:attr w:name="ProductID" w:val="la Comisi￳n Interamericana"/>
        </w:smartTagPr>
        <w:r>
          <w:t>la Comisión Interamericana</w:t>
        </w:r>
      </w:smartTag>
      <w:r>
        <w:t xml:space="preserve"> de Derechos Humanos ha r</w:t>
      </w:r>
      <w:r>
        <w:t>e</w:t>
      </w:r>
      <w:r>
        <w:t>conocido la aplicación a estos sucesos de idénticos pri</w:t>
      </w:r>
      <w:r>
        <w:t>n</w:t>
      </w:r>
      <w:r>
        <w:t>cipios al reconocer “el deber largamente rec</w:t>
      </w:r>
      <w:r>
        <w:t>o</w:t>
      </w:r>
      <w:r>
        <w:t>nocido de los Estados de adoptar las medidas necesarias para evitar los actos de terrorismo y violencia y g</w:t>
      </w:r>
      <w:r>
        <w:t>a</w:t>
      </w:r>
      <w:r>
        <w:t xml:space="preserve">rantizar la seguridad de sus poblaciones, que incluye la obligación de </w:t>
      </w:r>
      <w:r>
        <w:rPr>
          <w:b/>
          <w:i/>
        </w:rPr>
        <w:t>invest</w:t>
      </w:r>
      <w:r>
        <w:rPr>
          <w:b/>
          <w:i/>
        </w:rPr>
        <w:t>i</w:t>
      </w:r>
      <w:r>
        <w:rPr>
          <w:b/>
          <w:i/>
        </w:rPr>
        <w:t>gar</w:t>
      </w:r>
      <w:r>
        <w:t>, procesar y sancionar los actos de violencia o terr</w:t>
      </w:r>
      <w:r>
        <w:t>o</w:t>
      </w:r>
      <w:r>
        <w:t>rismo” (C.I.D.H., Informe sobre terrorismo y derechos h</w:t>
      </w:r>
      <w:r>
        <w:t>u</w:t>
      </w:r>
      <w:r>
        <w:t>manos, aprobado en su 116° período ordinario de sesi</w:t>
      </w:r>
      <w:r>
        <w:t>o</w:t>
      </w:r>
      <w:r>
        <w:t>nes, Washington, 2002, párr. 22; lo resaltado es nuestro).</w:t>
      </w:r>
    </w:p>
    <w:p w:rsidR="00224567" w:rsidRDefault="00224567">
      <w:pPr>
        <w:widowControl w:val="0"/>
      </w:pPr>
      <w:r>
        <w:tab/>
        <w:t>Demás está decir que si bien es cie</w:t>
      </w:r>
      <w:r>
        <w:t>r</w:t>
      </w:r>
      <w:r>
        <w:t>to que el deber de investigar es una obligación de m</w:t>
      </w:r>
      <w:r>
        <w:t>e</w:t>
      </w:r>
      <w:r>
        <w:t>dio, no lo es menos que quien averigua está compelido a hacer s</w:t>
      </w:r>
      <w:r>
        <w:t>a</w:t>
      </w:r>
      <w:r>
        <w:t>ber sus conclusiones y las razones en las que las asienta.</w:t>
      </w:r>
    </w:p>
    <w:p w:rsidR="00224567" w:rsidRDefault="00224567">
      <w:pPr>
        <w:widowControl w:val="0"/>
      </w:pPr>
      <w:r>
        <w:tab/>
        <w:t>Por otra parte, el análisis de las acusaciones formuladas por las querellas y la fiscalía con ref</w:t>
      </w:r>
      <w:r>
        <w:t>e</w:t>
      </w:r>
      <w:r>
        <w:t>rencia al atentado, no resultan una concesión graciosa del Estado hacia las mismas sino verdaderos derechos, como se viera.</w:t>
      </w:r>
    </w:p>
    <w:p w:rsidR="00224567" w:rsidRDefault="00224567">
      <w:pPr>
        <w:widowControl w:val="0"/>
      </w:pPr>
      <w:r>
        <w:tab/>
        <w:t xml:space="preserve">Ello es así desde que conforme surge de </w:t>
      </w:r>
      <w:smartTag w:uri="urn:schemas-microsoft-com:office:smarttags" w:element="PersonName">
        <w:smartTagPr>
          <w:attr w:name="ProductID" w:val="la Declaraci￳n"/>
        </w:smartTagPr>
        <w:r>
          <w:t>la Declaración</w:t>
        </w:r>
      </w:smartTag>
      <w:r>
        <w:t xml:space="preserve"> sobre los Principios Fundamentales de Justicia para las Víctimas de Delitos y del Abuso del P</w:t>
      </w:r>
      <w:r>
        <w:t>o</w:t>
      </w:r>
      <w:r>
        <w:t xml:space="preserve">der, adoptada por </w:t>
      </w:r>
      <w:smartTag w:uri="urn:schemas-microsoft-com:office:smarttags" w:element="PersonName">
        <w:smartTagPr>
          <w:attr w:name="ProductID" w:val="la Asamblea General"/>
        </w:smartTagPr>
        <w:r>
          <w:t>la Asamblea General</w:t>
        </w:r>
      </w:smartTag>
      <w:r>
        <w:t xml:space="preserve"> de las Naciones Un</w:t>
      </w:r>
      <w:r>
        <w:t>i</w:t>
      </w:r>
      <w:r>
        <w:t>das en su resolución nº 40/34 de fecha 29 de novie</w:t>
      </w:r>
      <w:r>
        <w:t>m</w:t>
      </w:r>
      <w:r>
        <w:t>bre de 1985 “Se facilitará la adecuación de los procedimientos judiciales… a las necesidades de las víctimas: a) Info</w:t>
      </w:r>
      <w:r>
        <w:t>r</w:t>
      </w:r>
      <w:r>
        <w:t xml:space="preserve">mando a las víctimas de su papel y </w:t>
      </w:r>
      <w:r>
        <w:rPr>
          <w:b/>
          <w:i/>
        </w:rPr>
        <w:t>de la decisión de sus causas, especialmente cuando se trate de delitos graves y cuando hayan solicitado esa información</w:t>
      </w:r>
      <w:r>
        <w:t xml:space="preserve">; b) </w:t>
      </w:r>
      <w:r>
        <w:rPr>
          <w:b/>
          <w:i/>
        </w:rPr>
        <w:t>Permitiendo que las opiniones y preocupaciones de las víctimas</w:t>
      </w:r>
      <w:r>
        <w:t xml:space="preserve"> sean presentadas y </w:t>
      </w:r>
      <w:r>
        <w:rPr>
          <w:b/>
          <w:i/>
        </w:rPr>
        <w:t>examinadas en etapas apropiadas de las a</w:t>
      </w:r>
      <w:r>
        <w:rPr>
          <w:b/>
          <w:i/>
        </w:rPr>
        <w:t>c</w:t>
      </w:r>
      <w:r>
        <w:rPr>
          <w:b/>
          <w:i/>
        </w:rPr>
        <w:t>tuaciones</w:t>
      </w:r>
      <w:r>
        <w:t xml:space="preserve"> siempre que esté en juego sus intereses, sin perjuicio del acusado y de acuerdo con el sistema nacional de justicia penal correspondiente” (artículo 6, lo resa</w:t>
      </w:r>
      <w:r>
        <w:t>l</w:t>
      </w:r>
      <w:r>
        <w:t>tado es nuestro).</w:t>
      </w:r>
    </w:p>
    <w:p w:rsidR="00224567" w:rsidRDefault="00224567">
      <w:pPr>
        <w:widowControl w:val="0"/>
      </w:pPr>
      <w:r>
        <w:tab/>
        <w:t>Resulta claro entonces que, concluido el debate en que se ha escuchado la totalidad de la pru</w:t>
      </w:r>
      <w:r>
        <w:t>e</w:t>
      </w:r>
      <w:r>
        <w:t>ba, y los argumentos de las víctimas y el ministerio p</w:t>
      </w:r>
      <w:r>
        <w:t>ú</w:t>
      </w:r>
      <w:r>
        <w:t>blico, se impone como legítimo corolario que el Tribunal examine las argumentaciones que los llevan a imputar el cruel atentado que nos convoca a algunos de los encaus</w:t>
      </w:r>
      <w:r>
        <w:t>a</w:t>
      </w:r>
      <w:r>
        <w:t>dos. Esta es la manera de satisfacer el legítimo derecho de las víctimas y de la sociedad, de llegar a la verdad de lo acontecido.</w:t>
      </w:r>
    </w:p>
    <w:p w:rsidR="00224567" w:rsidRDefault="00224567">
      <w:pPr>
        <w:widowControl w:val="0"/>
      </w:pPr>
      <w:r>
        <w:tab/>
        <w:t>Es que “para llegar a la verdad, no se ha encontrado hasta ahora forma más eficiente que la co</w:t>
      </w:r>
      <w:r>
        <w:t>n</w:t>
      </w:r>
      <w:r>
        <w:t>frontación sistemática del procedimiento contencioso. Ad</w:t>
      </w:r>
      <w:r>
        <w:t>e</w:t>
      </w:r>
      <w:r>
        <w:t>más, la verdad obtenida en juicio en que los acusados g</w:t>
      </w:r>
      <w:r>
        <w:t>o</w:t>
      </w:r>
      <w:r>
        <w:t>zan de igualdad de armas para confrontar la prueba de ca</w:t>
      </w:r>
      <w:r>
        <w:t>r</w:t>
      </w:r>
      <w:r>
        <w:t>go, ofrecer la propia e invocar causales de justific</w:t>
      </w:r>
      <w:r>
        <w:t>a</w:t>
      </w:r>
      <w:r>
        <w:t>ción de todo tipo tiene un poder persuasivo y una calidad esp</w:t>
      </w:r>
      <w:r>
        <w:t>e</w:t>
      </w:r>
      <w:r>
        <w:t>cial que la hace innegable. Ese carácter de innegable de los hechos en disputa es al que debe aspirar el Estado que quiera cumplir de buena fe con su obligación de hacer re</w:t>
      </w:r>
      <w:r>
        <w:t>s</w:t>
      </w:r>
      <w:r>
        <w:t>petar y garantizar el ejercicio del derecho a la verdad” (Méndez, ob. cit. pág. 540).</w:t>
      </w:r>
    </w:p>
    <w:p w:rsidR="00224567" w:rsidRDefault="00224567">
      <w:pPr>
        <w:widowControl w:val="0"/>
      </w:pPr>
      <w:r>
        <w:tab/>
        <w:t xml:space="preserve">Por otra parte, como ha sostenido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xml:space="preserve"> al resolver </w:t>
      </w:r>
      <w:r>
        <w:rPr>
          <w:u w:val="single"/>
        </w:rPr>
        <w:t>in re</w:t>
      </w:r>
      <w:r>
        <w:t xml:space="preserve"> “Arancibia Clavel, Enrique I.”, el 24 de agosto del c</w:t>
      </w:r>
      <w:r>
        <w:t>o</w:t>
      </w:r>
      <w:r>
        <w:t>rriente año (ver L.L., Suplemento de Derecho Constituci</w:t>
      </w:r>
      <w:r>
        <w:t>o</w:t>
      </w:r>
      <w:r>
        <w:t>nal, 13/10/04, pág. 7 y sigs.), “...‘un hecho ilícito vi</w:t>
      </w:r>
      <w:r>
        <w:t>o</w:t>
      </w:r>
      <w:r>
        <w:t>latorio de los derechos humanos que inicialmente no resu</w:t>
      </w:r>
      <w:r>
        <w:t>l</w:t>
      </w:r>
      <w:r>
        <w:t>te imputable directamente a un Estado, por ejemplo, por ser obra de un particular o por no haberse identificado al autor de la trasgresión, puede ac</w:t>
      </w:r>
      <w:r>
        <w:t>a</w:t>
      </w:r>
      <w:r>
        <w:t xml:space="preserve">rrear la responsabilidad internacional del Estado, no por ese hecho en sí mismo, sino por falta de la debida diligencia para prevenir la violación o para tratarla en los términos requeridos por </w:t>
      </w:r>
      <w:smartTag w:uri="urn:schemas-microsoft-com:office:smarttags" w:element="PersonName">
        <w:smartTagPr>
          <w:attr w:name="ProductID" w:val="la Convenci￳n"/>
        </w:smartTagPr>
        <w:r>
          <w:t>la Convención</w:t>
        </w:r>
      </w:smartTag>
      <w:r>
        <w:t>’ (CIDH, caso ‘Velázquez Rodríguez’, sente</w:t>
      </w:r>
      <w:r>
        <w:t>n</w:t>
      </w:r>
      <w:r>
        <w:t>cia del 29 de julio de 1988, considerando 172, serie C Nº 4)”. Resulta claro, ento</w:t>
      </w:r>
      <w:r>
        <w:t>n</w:t>
      </w:r>
      <w:r>
        <w:t>ces, que la omisión de considerar las imputaciones formuladas a los acusados por el hecho terrorista podría comprometer la responsabilidad del Est</w:t>
      </w:r>
      <w:r>
        <w:t>a</w:t>
      </w:r>
      <w:r>
        <w:t>do a</w:t>
      </w:r>
      <w:r>
        <w:t>r</w:t>
      </w:r>
      <w:r>
        <w:t>gentino.</w:t>
      </w:r>
    </w:p>
    <w:p w:rsidR="00224567" w:rsidRDefault="00224567">
      <w:pPr>
        <w:widowControl w:val="0"/>
      </w:pPr>
      <w:r>
        <w:tab/>
        <w:t>Con base en tales consideraciones es que el Tribunal, a continuación, pasará a examinar las acusaci</w:t>
      </w:r>
      <w:r>
        <w:t>o</w:t>
      </w:r>
      <w:r>
        <w:t>nes formuladas con relación al atentado, tanto por los quer</w:t>
      </w:r>
      <w:r>
        <w:t>e</w:t>
      </w:r>
      <w:r>
        <w:t>llantes como por el Ministerio Público Fiscal.</w:t>
      </w:r>
    </w:p>
    <w:p w:rsidR="00224567" w:rsidRDefault="00224567">
      <w:pPr>
        <w:widowControl w:val="0"/>
        <w:rPr>
          <w:rFonts w:eastAsia="Arial Unicode MS"/>
        </w:rPr>
      </w:pPr>
    </w:p>
    <w:p w:rsidR="00224567" w:rsidRDefault="00224567">
      <w:pPr>
        <w:pStyle w:val="Ttulo3"/>
        <w:keepNext w:val="0"/>
        <w:widowControl w:val="0"/>
      </w:pPr>
      <w:bookmarkStart w:id="21" w:name="_Toc86676537"/>
      <w:r>
        <w:t>B) Análisis de la responsabilidad de Carlos Alberto T</w:t>
      </w:r>
      <w:r>
        <w:t>e</w:t>
      </w:r>
      <w:r>
        <w:t>lleldín en el ate</w:t>
      </w:r>
      <w:r>
        <w:t>n</w:t>
      </w:r>
      <w:r>
        <w:t>tado.</w:t>
      </w:r>
      <w:bookmarkEnd w:id="21"/>
    </w:p>
    <w:p w:rsidR="00224567" w:rsidRDefault="00224567">
      <w:pPr>
        <w:pStyle w:val="Ttulo4"/>
        <w:widowControl w:val="0"/>
      </w:pPr>
      <w:r>
        <w:tab/>
      </w:r>
      <w:bookmarkStart w:id="22" w:name="_Toc86676538"/>
      <w:r>
        <w:t>B.1) Introducción.</w:t>
      </w:r>
      <w:bookmarkEnd w:id="22"/>
    </w:p>
    <w:p w:rsidR="00224567" w:rsidRDefault="00224567">
      <w:pPr>
        <w:widowControl w:val="0"/>
      </w:pPr>
      <w:r>
        <w:tab/>
      </w:r>
      <w:r>
        <w:rPr>
          <w:b/>
          <w:bCs/>
        </w:rPr>
        <w:t>B.1.a.i)</w:t>
      </w:r>
      <w:r>
        <w:t xml:space="preserve"> En oportunidad de alegar, los fiscales consideraron a Carlos Alberto Telleldín partícipe necesario de los delitos de homicidio calif</w:t>
      </w:r>
      <w:r>
        <w:t>i</w:t>
      </w:r>
      <w:r>
        <w:t>cado por haber sido cometido por un medio idóneo para causar un peligro común, en perjuicio de 85 personas, lesiones leves en pe</w:t>
      </w:r>
      <w:r>
        <w:t>r</w:t>
      </w:r>
      <w:r>
        <w:t>juicio de 40 personas y graves en perjuicio de 31, ambas agravadas y daños múltiples, todos ellos en co</w:t>
      </w:r>
      <w:r>
        <w:t>n</w:t>
      </w:r>
      <w:r>
        <w:t>curso ideal (arts. 45, 54, 80, inc. 5°, 89 y 90, en función del art. 92 y 183, todos del Código Penal). Asimismo, solicitaron su libre absolución en orden al delito de lesiones grav</w:t>
      </w:r>
      <w:r>
        <w:t>í</w:t>
      </w:r>
      <w:r>
        <w:t>simas reiteradas y agravadas por la ley 23.592, por el cual fue requerida su elev</w:t>
      </w:r>
      <w:r>
        <w:t>a</w:t>
      </w:r>
      <w:r>
        <w:t>ción a juicio.</w:t>
      </w:r>
    </w:p>
    <w:p w:rsidR="00224567" w:rsidRDefault="00224567">
      <w:pPr>
        <w:widowControl w:val="0"/>
        <w:ind w:firstLine="2835"/>
      </w:pPr>
      <w:r>
        <w:t>Sustentaron la imputación en que T</w:t>
      </w:r>
      <w:r>
        <w:t>e</w:t>
      </w:r>
      <w:r>
        <w:t>lleldín entregó una camioneta a sabie</w:t>
      </w:r>
      <w:r>
        <w:t>n</w:t>
      </w:r>
      <w:r>
        <w:t>das de lo que habría de cargarse en ella y, por ende, se representó el destino final del vehículo.</w:t>
      </w:r>
    </w:p>
    <w:p w:rsidR="00224567" w:rsidRDefault="00224567">
      <w:pPr>
        <w:widowControl w:val="0"/>
      </w:pPr>
      <w:r>
        <w:tab/>
        <w:t>Explicaron, en tal sentido, que su t</w:t>
      </w:r>
      <w:r>
        <w:t>a</w:t>
      </w:r>
      <w:r>
        <w:t>rea consistió en vincular, como eslabones de una cadena, los distintos indicios que acreditan la participación de Telleldín en el atentado.</w:t>
      </w:r>
    </w:p>
    <w:p w:rsidR="00224567" w:rsidRDefault="00224567">
      <w:pPr>
        <w:widowControl w:val="0"/>
      </w:pPr>
      <w:r>
        <w:tab/>
      </w:r>
      <w:r>
        <w:rPr>
          <w:b/>
          <w:bCs/>
        </w:rPr>
        <w:t>B.1.a.ii)</w:t>
      </w:r>
      <w:r>
        <w:t xml:space="preserve"> A su turno, los representa</w:t>
      </w:r>
      <w:r>
        <w:t>n</w:t>
      </w:r>
      <w:r>
        <w:t>tes de la querella unificada D.A.I.A., A.M.I.A. y “Grupo de Familiares” entendieron que Telleldín debía ser cond</w:t>
      </w:r>
      <w:r>
        <w:t>e</w:t>
      </w:r>
      <w:r>
        <w:t>nado como partícipe necesario de los delitos de homicidio, lesiones gravísimas, graves y leves, doblemente calific</w:t>
      </w:r>
      <w:r>
        <w:t>a</w:t>
      </w:r>
      <w:r>
        <w:t>dos por odio racial y rel</w:t>
      </w:r>
      <w:r>
        <w:t>i</w:t>
      </w:r>
      <w:r>
        <w:t>gioso y por uso de medio idóneo para crear un peligro común y daño, todos ellos en concu</w:t>
      </w:r>
      <w:r>
        <w:t>r</w:t>
      </w:r>
      <w:r>
        <w:t>so real (arts. 45, 48, 55, 80, incs. 4° y 5°, 89, 90, 91, 92 y 183 del Código Penal).</w:t>
      </w:r>
    </w:p>
    <w:p w:rsidR="00224567" w:rsidRDefault="00224567">
      <w:pPr>
        <w:widowControl w:val="0"/>
      </w:pPr>
      <w:r>
        <w:tab/>
        <w:t>A tales efectos, consideraron que existían indicios suficientes para acusar a Carlos A</w:t>
      </w:r>
      <w:r>
        <w:t>l</w:t>
      </w:r>
      <w:r>
        <w:t>berto Telleldín por haber entregado al eslabón siguiente de la cadena delictiva, junto con Raúl Edilio Ib</w:t>
      </w:r>
      <w:r>
        <w:t>a</w:t>
      </w:r>
      <w:r>
        <w:t>rra, Juan José Ribelli, Anastasio Ireneo Leal y Mario Norberto Bareiro, el arma que transportó el explosivo.</w:t>
      </w:r>
    </w:p>
    <w:p w:rsidR="00224567" w:rsidRDefault="00224567">
      <w:pPr>
        <w:widowControl w:val="0"/>
      </w:pPr>
      <w:r>
        <w:tab/>
      </w:r>
      <w:r>
        <w:rPr>
          <w:b/>
          <w:bCs/>
        </w:rPr>
        <w:t>B.1.a.iii)</w:t>
      </w:r>
      <w:r>
        <w:t xml:space="preserve"> Por su parte, la querella “Memoria Activa” consideró que existían indicios de que Telleldín tuvo conocimiento de que habría de part</w:t>
      </w:r>
      <w:r>
        <w:t>i</w:t>
      </w:r>
      <w:r>
        <w:t xml:space="preserve">cipar en un atentado, aunque ignorando que el destino final de </w:t>
      </w:r>
      <w:smartTag w:uri="urn:schemas-microsoft-com:office:smarttags" w:element="PersonName">
        <w:smartTagPr>
          <w:attr w:name="ProductID" w:val="la Trafic"/>
        </w:smartTagPr>
        <w:r>
          <w:t>la Trafic</w:t>
        </w:r>
      </w:smartTag>
      <w:r>
        <w:t xml:space="preserve"> que entregó sería la sede de </w:t>
      </w:r>
      <w:smartTag w:uri="urn:schemas-microsoft-com:office:smarttags" w:element="PersonName">
        <w:smartTagPr>
          <w:attr w:name="ProductID" w:val="la A.M"/>
        </w:smartTagPr>
        <w:r>
          <w:t>la A.M</w:t>
        </w:r>
      </w:smartTag>
      <w:r>
        <w:t>.I.A.</w:t>
      </w:r>
    </w:p>
    <w:p w:rsidR="00224567" w:rsidRDefault="00224567">
      <w:pPr>
        <w:widowControl w:val="0"/>
      </w:pPr>
      <w:r>
        <w:tab/>
        <w:t>Por ello, acusó al nombrado como pa</w:t>
      </w:r>
      <w:r>
        <w:t>r</w:t>
      </w:r>
      <w:r>
        <w:t>tícipe necesario de los delitos de homicidio calificado, reiterado en cuatro oportunidades –fallecimientos de No</w:t>
      </w:r>
      <w:r>
        <w:t>e</w:t>
      </w:r>
      <w:r>
        <w:t>mí Graciela Reisfeld, Agustín Diego Lew, Andrés Gustavo Mal</w:t>
      </w:r>
      <w:r>
        <w:t>a</w:t>
      </w:r>
      <w:r>
        <w:t>mud y Gabriel Buttini-, lesiones agravadas y daño en la persona y en el automóvil Renault 20 de Daniel Eduardo Joffe, todos en concurso real (arts. 45, 55, 80, inc. 5°, 92 y 183 del Código Penal).</w:t>
      </w:r>
    </w:p>
    <w:p w:rsidR="00224567" w:rsidRDefault="00224567">
      <w:pPr>
        <w:widowControl w:val="0"/>
      </w:pPr>
      <w:r>
        <w:tab/>
      </w:r>
      <w:r>
        <w:rPr>
          <w:b/>
          <w:bCs/>
        </w:rPr>
        <w:t>B.1.a.iv)</w:t>
      </w:r>
      <w:r>
        <w:t xml:space="preserve"> La defensa de Carlos Albe</w:t>
      </w:r>
      <w:r>
        <w:t>r</w:t>
      </w:r>
      <w:r>
        <w:t>to Telleldín peticionó su libre absolución, en base a dive</w:t>
      </w:r>
      <w:r>
        <w:t>r</w:t>
      </w:r>
      <w:r>
        <w:t>sos pla</w:t>
      </w:r>
      <w:r>
        <w:t>n</w:t>
      </w:r>
      <w:r>
        <w:t>teos de nulidad que expuso. No obstante, luego de analizarlos, descartó los indicios sobre los cuales los acusadores fundaron las imputaciones en contra de su asi</w:t>
      </w:r>
      <w:r>
        <w:t>s</w:t>
      </w:r>
      <w:r>
        <w:t>tido, considerando que ellos, examinados aisl</w:t>
      </w:r>
      <w:r>
        <w:t>a</w:t>
      </w:r>
      <w:r>
        <w:t>damente o de manera conjunta, carecían de sustento l</w:t>
      </w:r>
      <w:r>
        <w:t>ó</w:t>
      </w:r>
      <w:r>
        <w:t>gico y jurídico.</w:t>
      </w:r>
    </w:p>
    <w:p w:rsidR="00224567" w:rsidRDefault="00224567">
      <w:pPr>
        <w:widowControl w:val="0"/>
      </w:pPr>
      <w:r>
        <w:tab/>
      </w:r>
      <w:r>
        <w:rPr>
          <w:b/>
          <w:bCs/>
        </w:rPr>
        <w:t>B.1.b)</w:t>
      </w:r>
      <w:r>
        <w:t xml:space="preserve"> A continuación, el Tribunal e</w:t>
      </w:r>
      <w:r>
        <w:t>x</w:t>
      </w:r>
      <w:r>
        <w:t>pondrá cada uno de los argumentos esgrimidos por las pa</w:t>
      </w:r>
      <w:r>
        <w:t>r</w:t>
      </w:r>
      <w:r>
        <w:t>tes y los desarrollará por temas, seguidos de la valor</w:t>
      </w:r>
      <w:r>
        <w:t>a</w:t>
      </w:r>
      <w:r>
        <w:t>ción que corresponda otorgarles. En último término, se h</w:t>
      </w:r>
      <w:r>
        <w:t>a</w:t>
      </w:r>
      <w:r>
        <w:t>rá una evaluación global, sin perjuicio de señalar que los planteos de nulidad articulados por la defensa fueron o</w:t>
      </w:r>
      <w:r>
        <w:t>b</w:t>
      </w:r>
      <w:r>
        <w:t>jeto de tratamiento en otros acápites de la presente se</w:t>
      </w:r>
      <w:r>
        <w:t>n</w:t>
      </w:r>
      <w:r>
        <w:t>tencia.</w:t>
      </w:r>
    </w:p>
    <w:p w:rsidR="00224567" w:rsidRDefault="00224567">
      <w:pPr>
        <w:widowControl w:val="0"/>
      </w:pPr>
      <w:r>
        <w:tab/>
      </w:r>
      <w:r>
        <w:rPr>
          <w:b/>
          <w:bCs/>
        </w:rPr>
        <w:t>B.1.c)</w:t>
      </w:r>
      <w:r>
        <w:t xml:space="preserve"> La acusación  formulada  en  contra de Carlos Alberto Telleldín, tanto por los fi</w:t>
      </w:r>
      <w:r>
        <w:t>s</w:t>
      </w:r>
      <w:r>
        <w:t>cales como por los querellantes, se basó esencialmente en lo que entendieron configuraban indicios cargosos para el imp</w:t>
      </w:r>
      <w:r>
        <w:t>u</w:t>
      </w:r>
      <w:r>
        <w:t>tado.</w:t>
      </w:r>
    </w:p>
    <w:p w:rsidR="00224567" w:rsidRDefault="00224567">
      <w:pPr>
        <w:widowControl w:val="0"/>
      </w:pPr>
      <w:r>
        <w:tab/>
        <w:t>Sobre el particular, cabe tener en cuenta que para que una sentencia condenatoria pueda fu</w:t>
      </w:r>
      <w:r>
        <w:t>n</w:t>
      </w:r>
      <w:r>
        <w:t>darse sobre indicios, éstos deben reunir ciertos requis</w:t>
      </w:r>
      <w:r>
        <w:t>i</w:t>
      </w:r>
      <w:r>
        <w:t>tos, que se expondrán a lo largo de este acápite.</w:t>
      </w:r>
    </w:p>
    <w:p w:rsidR="00224567" w:rsidRDefault="00224567">
      <w:pPr>
        <w:widowControl w:val="0"/>
        <w:rPr>
          <w:spacing w:val="-2"/>
        </w:rPr>
      </w:pPr>
      <w:r>
        <w:tab/>
        <w:t xml:space="preserve">En efecto, </w:t>
      </w:r>
      <w:r>
        <w:rPr>
          <w:spacing w:val="-2"/>
        </w:rPr>
        <w:t>la circunstancia de que no se cuente en el proceso con prueba directa, en modo a</w:t>
      </w:r>
      <w:r>
        <w:rPr>
          <w:spacing w:val="-2"/>
        </w:rPr>
        <w:t>l</w:t>
      </w:r>
      <w:r>
        <w:rPr>
          <w:spacing w:val="-2"/>
        </w:rPr>
        <w:t>guno se alza como impedimento para acreditar la respo</w:t>
      </w:r>
      <w:r>
        <w:rPr>
          <w:spacing w:val="-2"/>
        </w:rPr>
        <w:t>n</w:t>
      </w:r>
      <w:r>
        <w:rPr>
          <w:spacing w:val="-2"/>
        </w:rPr>
        <w:t xml:space="preserve">sabilidad del imputado (cónf. este Tribunal </w:t>
      </w:r>
      <w:r>
        <w:rPr>
          <w:spacing w:val="-2"/>
          <w:u w:val="single"/>
        </w:rPr>
        <w:t>in re</w:t>
      </w:r>
      <w:r>
        <w:rPr>
          <w:spacing w:val="-2"/>
        </w:rPr>
        <w:t xml:space="preserve"> “Rolón, Roberto I</w:t>
      </w:r>
      <w:r>
        <w:rPr>
          <w:spacing w:val="-2"/>
        </w:rPr>
        <w:t>s</w:t>
      </w:r>
      <w:r>
        <w:rPr>
          <w:spacing w:val="-2"/>
        </w:rPr>
        <w:t>mael s/ falsificación de moneda”, reg. nº 14/97, rta. el 14/5/97).</w:t>
      </w:r>
    </w:p>
    <w:p w:rsidR="00224567" w:rsidRDefault="00224567">
      <w:pPr>
        <w:widowControl w:val="0"/>
      </w:pPr>
      <w:r>
        <w:rPr>
          <w:spacing w:val="-2"/>
        </w:rPr>
        <w:tab/>
        <w:t>Al respecto, sostiene Nicolás Fram</w:t>
      </w:r>
      <w:r>
        <w:rPr>
          <w:spacing w:val="-2"/>
        </w:rPr>
        <w:t>a</w:t>
      </w:r>
      <w:r>
        <w:rPr>
          <w:spacing w:val="-2"/>
        </w:rPr>
        <w:t>rino que “si el hombre no p</w:t>
      </w:r>
      <w:r>
        <w:rPr>
          <w:spacing w:val="-2"/>
        </w:rPr>
        <w:t>u</w:t>
      </w:r>
      <w:r>
        <w:rPr>
          <w:spacing w:val="-2"/>
        </w:rPr>
        <w:t>diese conocer más que por su propia percepción directa, pobre y escaso sería el campo de sus conocimientos; p</w:t>
      </w:r>
      <w:r>
        <w:rPr>
          <w:spacing w:val="-2"/>
        </w:rPr>
        <w:t>o</w:t>
      </w:r>
      <w:r>
        <w:rPr>
          <w:spacing w:val="-2"/>
        </w:rPr>
        <w:t>bre en el mundo de las ideas y pobre en el mundo de los hechos”; se pregunta a cont</w:t>
      </w:r>
      <w:r>
        <w:rPr>
          <w:spacing w:val="-2"/>
        </w:rPr>
        <w:t>i</w:t>
      </w:r>
      <w:r>
        <w:rPr>
          <w:spacing w:val="-2"/>
        </w:rPr>
        <w:t>nua</w:t>
      </w:r>
      <w:r>
        <w:rPr>
          <w:spacing w:val="-2"/>
        </w:rPr>
        <w:softHyphen/>
        <w:t>ción el citado autor si se deberá renunciar al conocimiento de las cosas cuando nadie las haya percibido, respondiendo en forma n</w:t>
      </w:r>
      <w:r>
        <w:rPr>
          <w:spacing w:val="-2"/>
        </w:rPr>
        <w:t>e</w:t>
      </w:r>
      <w:r>
        <w:rPr>
          <w:spacing w:val="-2"/>
        </w:rPr>
        <w:t>gativa, para agregar: “entre cosas y cosas hay hilos secr</w:t>
      </w:r>
      <w:r>
        <w:rPr>
          <w:spacing w:val="-2"/>
        </w:rPr>
        <w:t>e</w:t>
      </w:r>
      <w:r>
        <w:rPr>
          <w:spacing w:val="-2"/>
        </w:rPr>
        <w:t>tos e invisibles a los ojos del cuerpo, pero visibles a los de la mente; hilos providenciales, por los cuales el esp</w:t>
      </w:r>
      <w:r>
        <w:rPr>
          <w:spacing w:val="-2"/>
        </w:rPr>
        <w:t>í</w:t>
      </w:r>
      <w:r>
        <w:rPr>
          <w:spacing w:val="-2"/>
        </w:rPr>
        <w:t>ritu va de lo que c</w:t>
      </w:r>
      <w:r>
        <w:rPr>
          <w:spacing w:val="-2"/>
        </w:rPr>
        <w:t>o</w:t>
      </w:r>
      <w:r>
        <w:rPr>
          <w:spacing w:val="-2"/>
        </w:rPr>
        <w:t>noce directamente a lo que directamente no puede perc</w:t>
      </w:r>
      <w:r>
        <w:rPr>
          <w:spacing w:val="-2"/>
        </w:rPr>
        <w:t>i</w:t>
      </w:r>
      <w:r>
        <w:rPr>
          <w:spacing w:val="-2"/>
        </w:rPr>
        <w:t>bir”, y añade: “por tales vías, invisibles a los ojos del cuerpo, es por donde el esp</w:t>
      </w:r>
      <w:r>
        <w:rPr>
          <w:spacing w:val="-2"/>
        </w:rPr>
        <w:t>í</w:t>
      </w:r>
      <w:r>
        <w:rPr>
          <w:spacing w:val="-2"/>
        </w:rPr>
        <w:t>ritu humano, ante las causas pasa a pensar en los efectos, y ante éstos se eleva a pensar en las causas” (cónf.</w:t>
      </w:r>
      <w:r>
        <w:t xml:space="preserve"> “Lógica de las Pru</w:t>
      </w:r>
      <w:r>
        <w:t>e</w:t>
      </w:r>
      <w:r>
        <w:t>bas en Materia Criminal”, Librería Editorial General Lav</w:t>
      </w:r>
      <w:r>
        <w:t>a</w:t>
      </w:r>
      <w:r>
        <w:t>lle, Santa Fe, 1945, pág. 149)</w:t>
      </w:r>
      <w:r>
        <w:rPr>
          <w:spacing w:val="-2"/>
        </w:rPr>
        <w:t>.</w:t>
      </w:r>
    </w:p>
    <w:p w:rsidR="00224567" w:rsidRDefault="00224567">
      <w:pPr>
        <w:widowControl w:val="0"/>
      </w:pPr>
      <w:r>
        <w:tab/>
        <w:t>Ahora bien, como primera medida, el Tribunal debe delimitar el concepto de indicio, para así determinar si en el caso se puede llegar a una sentencia condenatoria sobre esa base.</w:t>
      </w:r>
    </w:p>
    <w:p w:rsidR="00224567" w:rsidRDefault="00224567">
      <w:pPr>
        <w:widowControl w:val="0"/>
      </w:pPr>
      <w:r>
        <w:tab/>
        <w:t xml:space="preserve">El Diccionario de </w:t>
      </w:r>
      <w:smartTag w:uri="urn:schemas-microsoft-com:office:smarttags" w:element="PersonName">
        <w:smartTagPr>
          <w:attr w:name="ProductID" w:val="la Real Academia"/>
        </w:smartTagPr>
        <w:r>
          <w:t>la Real Academia</w:t>
        </w:r>
      </w:smartTag>
      <w:r>
        <w:t xml:space="preserve"> E</w:t>
      </w:r>
      <w:r>
        <w:t>s</w:t>
      </w:r>
      <w:r>
        <w:t>pañola define el término indicio como el fenómeno que pe</w:t>
      </w:r>
      <w:r>
        <w:t>r</w:t>
      </w:r>
      <w:r>
        <w:t>mite conocer o inferir la existencia de otro no pe</w:t>
      </w:r>
      <w:r>
        <w:t>r</w:t>
      </w:r>
      <w:r>
        <w:t>cibido.</w:t>
      </w:r>
    </w:p>
    <w:p w:rsidR="00224567" w:rsidRDefault="00224567">
      <w:pPr>
        <w:widowControl w:val="0"/>
      </w:pPr>
      <w:r>
        <w:tab/>
        <w:t>Desde el punto de vista jurídico, se entiende por indicio un hecho o circun</w:t>
      </w:r>
      <w:r>
        <w:t>s</w:t>
      </w:r>
      <w:r>
        <w:t>tancia del cual se puede, mediante una operación lógica, inferir la existe</w:t>
      </w:r>
      <w:r>
        <w:t>n</w:t>
      </w:r>
      <w:r>
        <w:t>cia de otro (</w:t>
      </w:r>
      <w:r>
        <w:rPr>
          <w:spacing w:val="-2"/>
        </w:rPr>
        <w:t>cónf.</w:t>
      </w:r>
      <w:r>
        <w:t xml:space="preserve"> Cafferata Nores, José I., “</w:t>
      </w:r>
      <w:smartTag w:uri="urn:schemas-microsoft-com:office:smarttags" w:element="PersonName">
        <w:smartTagPr>
          <w:attr w:name="ProductID" w:val="La Prueba"/>
        </w:smartTagPr>
        <w:r>
          <w:t>La Prueba</w:t>
        </w:r>
      </w:smartTag>
      <w:r>
        <w:t xml:space="preserve"> en el Proceso Penal”, Depa</w:t>
      </w:r>
      <w:r>
        <w:t>l</w:t>
      </w:r>
      <w:r>
        <w:t>ma, Buenos Aires, 1998, pág. 192).</w:t>
      </w:r>
    </w:p>
    <w:p w:rsidR="00224567" w:rsidRDefault="00224567">
      <w:pPr>
        <w:widowControl w:val="0"/>
      </w:pPr>
      <w:r>
        <w:tab/>
        <w:t>Para que un hecho sea considerado i</w:t>
      </w:r>
      <w:r>
        <w:t>n</w:t>
      </w:r>
      <w:r>
        <w:t>dicio es necesario que se encuentre fehacientemente demo</w:t>
      </w:r>
      <w:r>
        <w:t>s</w:t>
      </w:r>
      <w:r>
        <w:t>tr</w:t>
      </w:r>
      <w:r>
        <w:t>a</w:t>
      </w:r>
      <w:r>
        <w:t>do. Esta acreditación, por sí sola, no alcanza para su utilización en un proceso penal, toda vez que es neces</w:t>
      </w:r>
      <w:r>
        <w:t>a</w:t>
      </w:r>
      <w:r>
        <w:t>rio, ante todo, que esa evidencia material sea examinada por el entendimiento. Con este último término se alude a la existencia de conclusiones razonadas, fruto de una i</w:t>
      </w:r>
      <w:r>
        <w:t>n</w:t>
      </w:r>
      <w:r>
        <w:t>ferencia a partir de lo que se tiene y no de lo que se pretende probar.</w:t>
      </w:r>
    </w:p>
    <w:p w:rsidR="00224567" w:rsidRDefault="00224567">
      <w:pPr>
        <w:widowControl w:val="0"/>
      </w:pPr>
      <w:r>
        <w:tab/>
        <w:t>En este sentido, Cafferata Nores div</w:t>
      </w:r>
      <w:r>
        <w:t>i</w:t>
      </w:r>
      <w:r>
        <w:t>de el hecho indiciario del indicado, siendo el prim</w:t>
      </w:r>
      <w:r>
        <w:t>e</w:t>
      </w:r>
      <w:r>
        <w:t>ro el conocido –acreditado- y el segundo el que se pretende d</w:t>
      </w:r>
      <w:r>
        <w:t>e</w:t>
      </w:r>
      <w:r>
        <w:t>mostrar, explicando que la rel</w:t>
      </w:r>
      <w:r>
        <w:t>a</w:t>
      </w:r>
      <w:r>
        <w:t>ción entre ambos puede ser unívoca o anfibológica. En el primer caso –unívoca- el s</w:t>
      </w:r>
      <w:r>
        <w:t>u</w:t>
      </w:r>
      <w:r>
        <w:t>ceso indiciario no puede ser relacionado con otro hecho distinto  al  indicado,  mientras  que  en  el  segundo   -anfibológica- el indiciario sí puede relacionarse con otros hechos, además del indicado.</w:t>
      </w:r>
    </w:p>
    <w:p w:rsidR="00224567" w:rsidRDefault="00224567">
      <w:pPr>
        <w:widowControl w:val="0"/>
      </w:pPr>
      <w:r>
        <w:tab/>
        <w:t>Concluye el autor que la sentencia condenatoria en modo alguno puede ser fundada sobre un i</w:t>
      </w:r>
      <w:r>
        <w:t>n</w:t>
      </w:r>
      <w:r>
        <w:t>dicio anfibológico; este último justificaría, a lo sumo, basar un auto de procesamiento, pero sólo el unívoco p</w:t>
      </w:r>
      <w:r>
        <w:t>o</w:t>
      </w:r>
      <w:r>
        <w:t>drá producir certeza (</w:t>
      </w:r>
      <w:r>
        <w:rPr>
          <w:spacing w:val="-2"/>
        </w:rPr>
        <w:t>cónf.</w:t>
      </w:r>
      <w:r>
        <w:t xml:space="preserve"> ob. cit., pág. 192 y sigs.).</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Así, se sostuvo que “si los eleme</w:t>
      </w:r>
      <w:r>
        <w:rPr>
          <w:rFonts w:ascii="Courier New" w:hAnsi="Courier New" w:cs="Courier New"/>
          <w:szCs w:val="24"/>
          <w:lang w:val="es-AR"/>
        </w:rPr>
        <w:t>n</w:t>
      </w:r>
      <w:r>
        <w:rPr>
          <w:rFonts w:ascii="Courier New" w:hAnsi="Courier New" w:cs="Courier New"/>
          <w:szCs w:val="24"/>
          <w:lang w:val="es-AR"/>
        </w:rPr>
        <w:t>tos de juicio de los que dispone el sentenciante para el</w:t>
      </w:r>
      <w:r>
        <w:rPr>
          <w:rFonts w:ascii="Courier New" w:hAnsi="Courier New" w:cs="Courier New"/>
          <w:szCs w:val="24"/>
          <w:lang w:val="es-AR"/>
        </w:rPr>
        <w:t>u</w:t>
      </w:r>
      <w:r>
        <w:rPr>
          <w:rFonts w:ascii="Courier New" w:hAnsi="Courier New" w:cs="Courier New"/>
          <w:szCs w:val="24"/>
          <w:lang w:val="es-AR"/>
        </w:rPr>
        <w:t>cidar la participación de los imputados en el hecho son de valor indiciario, ello no constituye ‘per se’ óbice a</w:t>
      </w:r>
      <w:r>
        <w:rPr>
          <w:rFonts w:ascii="Courier New" w:hAnsi="Courier New" w:cs="Courier New"/>
          <w:szCs w:val="24"/>
          <w:lang w:val="es-AR"/>
        </w:rPr>
        <w:t>l</w:t>
      </w:r>
      <w:r>
        <w:rPr>
          <w:rFonts w:ascii="Courier New" w:hAnsi="Courier New" w:cs="Courier New"/>
          <w:szCs w:val="24"/>
          <w:lang w:val="es-AR"/>
        </w:rPr>
        <w:t>guno a la posibilidad de alcanzar la certeza, toda vez que hoy en día ya no se discute que los ind</w:t>
      </w:r>
      <w:r>
        <w:rPr>
          <w:rFonts w:ascii="Courier New" w:hAnsi="Courier New" w:cs="Courier New"/>
          <w:szCs w:val="24"/>
          <w:lang w:val="es-AR"/>
        </w:rPr>
        <w:t>i</w:t>
      </w:r>
      <w:r>
        <w:rPr>
          <w:rFonts w:ascii="Courier New" w:hAnsi="Courier New" w:cs="Courier New"/>
          <w:szCs w:val="24"/>
          <w:lang w:val="es-AR"/>
        </w:rPr>
        <w:t>cios tengan tal aptitud, con la condición que sean unívocos y no anfibológicos” (</w:t>
      </w:r>
      <w:r>
        <w:rPr>
          <w:rFonts w:ascii="Courier New" w:hAnsi="Courier New" w:cs="Courier New"/>
          <w:spacing w:val="-2"/>
        </w:rPr>
        <w:t>cónf.</w:t>
      </w:r>
      <w:r>
        <w:rPr>
          <w:rFonts w:ascii="Courier New" w:hAnsi="Courier New" w:cs="Courier New"/>
          <w:szCs w:val="24"/>
          <w:lang w:val="es-AR"/>
        </w:rPr>
        <w:t xml:space="preserve"> T.S.J. de Córdoba, en autos “Paglione, M. A.” y sus citas, publicado en J.P.B.A., tomo 122, pág. 73 y </w:t>
      </w:r>
      <w:r>
        <w:rPr>
          <w:rFonts w:ascii="Courier New" w:hAnsi="Courier New" w:cs="Courier New"/>
        </w:rPr>
        <w:t>sig</w:t>
      </w:r>
      <w:r>
        <w:rPr>
          <w:rFonts w:ascii="Courier New" w:hAnsi="Courier New" w:cs="Courier New"/>
          <w:szCs w:val="24"/>
          <w:lang w:val="es-AR"/>
        </w:rPr>
        <w:t>.).</w:t>
      </w:r>
    </w:p>
    <w:p w:rsidR="00224567" w:rsidRDefault="00224567">
      <w:pPr>
        <w:widowControl w:val="0"/>
      </w:pPr>
      <w:r>
        <w:tab/>
        <w:t>A su vez, Pietro Ellero sostiene, c</w:t>
      </w:r>
      <w:r>
        <w:t>i</w:t>
      </w:r>
      <w:r>
        <w:t>tando a Pagano, que “cuando un efecto debió ser prod</w:t>
      </w:r>
      <w:r>
        <w:t>u</w:t>
      </w:r>
      <w:r>
        <w:t>cido por una sola causa, constituye un indicio necesario. Por el contrario, si el efecto pudo ser producido por varias causas, surge el indicio probable, siendo entonces pr</w:t>
      </w:r>
      <w:r>
        <w:t>e</w:t>
      </w:r>
      <w:r>
        <w:t>ciso averiguar la causa verdadera entre tantas posibles”. Agr</w:t>
      </w:r>
      <w:r>
        <w:t>e</w:t>
      </w:r>
      <w:r>
        <w:t>ga Ellero que “la prueba indiciaria es pe</w:t>
      </w:r>
      <w:r>
        <w:t>r</w:t>
      </w:r>
      <w:r>
        <w:t>fecta cuando el hecho que se quiere probar resulta necesariamente como causa de su efecto, de uno o de varios indicios consider</w:t>
      </w:r>
      <w:r>
        <w:t>a</w:t>
      </w:r>
      <w:r>
        <w:t>dos en su conjunto” (</w:t>
      </w:r>
      <w:r>
        <w:rPr>
          <w:spacing w:val="-2"/>
        </w:rPr>
        <w:t>cónf.</w:t>
      </w:r>
      <w:r>
        <w:t xml:space="preserve"> “De </w:t>
      </w:r>
      <w:smartTag w:uri="urn:schemas-microsoft-com:office:smarttags" w:element="PersonName">
        <w:smartTagPr>
          <w:attr w:name="ProductID" w:val="la Certidumbre"/>
        </w:smartTagPr>
        <w:r>
          <w:t>la Certidumbre</w:t>
        </w:r>
      </w:smartTag>
      <w:r>
        <w:t xml:space="preserve"> en los Ju</w:t>
      </w:r>
      <w:r>
        <w:t>i</w:t>
      </w:r>
      <w:r>
        <w:t xml:space="preserve">cios Criminales o Tratado de </w:t>
      </w:r>
      <w:smartTag w:uri="urn:schemas-microsoft-com:office:smarttags" w:element="PersonName">
        <w:smartTagPr>
          <w:attr w:name="ProductID" w:val="La Prueba"/>
        </w:smartTagPr>
        <w:r>
          <w:t>la Prueba</w:t>
        </w:r>
      </w:smartTag>
      <w:r>
        <w:t xml:space="preserve"> en Materia Penal”, Editorial Di Plácido, Bu</w:t>
      </w:r>
      <w:r>
        <w:t>e</w:t>
      </w:r>
      <w:r>
        <w:t>nos Aires, 1998, págs. 99 y 156).</w:t>
      </w:r>
    </w:p>
    <w:p w:rsidR="00224567" w:rsidRDefault="00224567">
      <w:pPr>
        <w:widowControl w:val="0"/>
      </w:pPr>
      <w:r>
        <w:tab/>
        <w:t>Sentado ello, corresponde delimitar el alcance de los elementos invocados por las partes acusad</w:t>
      </w:r>
      <w:r>
        <w:t>o</w:t>
      </w:r>
      <w:r>
        <w:t>ras como material cargoso, a los fines de establecer si constituyen indicios en los términos expue</w:t>
      </w:r>
      <w:r>
        <w:t>s</w:t>
      </w:r>
      <w:r>
        <w:t>tos.</w:t>
      </w:r>
    </w:p>
    <w:p w:rsidR="00224567" w:rsidRDefault="00224567">
      <w:pPr>
        <w:widowControl w:val="0"/>
      </w:pPr>
      <w:r>
        <w:tab/>
        <w:t>Se adelanta que, como habrá de expl</w:t>
      </w:r>
      <w:r>
        <w:t>i</w:t>
      </w:r>
      <w:r>
        <w:t>carse en el tratamiento de cada punto en particular, el Tribunal considera que los sucesos que los acusadores pr</w:t>
      </w:r>
      <w:r>
        <w:t>e</w:t>
      </w:r>
      <w:r>
        <w:t>tendieron erigir como indicios no son tales, sea por no hallarse probados o por no poder inferirse de ellos, un</w:t>
      </w:r>
      <w:r>
        <w:t>í</w:t>
      </w:r>
      <w:r>
        <w:t>vocamente, que Telleldín tuvo alguna participación en el atentado.</w:t>
      </w:r>
    </w:p>
    <w:p w:rsidR="00224567" w:rsidRDefault="00224567">
      <w:pPr>
        <w:widowControl w:val="0"/>
      </w:pPr>
      <w:r>
        <w:tab/>
        <w:t>Con relación al primer supuesto, la falta de acreditación de los extremos alegados por las partes impide que sean considerados como indicios y, en cons</w:t>
      </w:r>
      <w:r>
        <w:t>e</w:t>
      </w:r>
      <w:r>
        <w:t>cuencia, no habilitan a su valoración como tales, por cuanto no superan el plano de lo hipotético.</w:t>
      </w:r>
    </w:p>
    <w:p w:rsidR="00224567" w:rsidRDefault="00224567">
      <w:pPr>
        <w:widowControl w:val="0"/>
      </w:pPr>
      <w:r>
        <w:tab/>
        <w:t>En este sentido, se debe recordar que para que un hecho sea considerado indicio debe hallarse probado; extremo que, de no verificarse, imp</w:t>
      </w:r>
      <w:r>
        <w:t>i</w:t>
      </w:r>
      <w:r>
        <w:t>de pasar a la segunda etapa del análisis, consistente en vincula</w:t>
      </w:r>
      <w:r>
        <w:t>r</w:t>
      </w:r>
      <w:r>
        <w:t>lo con la conclusión a la que se pr</w:t>
      </w:r>
      <w:r>
        <w:t>e</w:t>
      </w:r>
      <w:r>
        <w:t>tende arribar.</w:t>
      </w:r>
    </w:p>
    <w:p w:rsidR="00224567" w:rsidRDefault="00224567">
      <w:pPr>
        <w:pStyle w:val="Textoindependiente2"/>
        <w:widowControl w:val="0"/>
        <w:rPr>
          <w:rFonts w:ascii="Courier New" w:hAnsi="Courier New" w:cs="Courier New"/>
        </w:rPr>
      </w:pPr>
      <w:r>
        <w:rPr>
          <w:rFonts w:ascii="Courier New" w:hAnsi="Courier New" w:cs="Courier New"/>
        </w:rPr>
        <w:tab/>
        <w:t>El indicio atañe al mundo de lo fáct</w:t>
      </w:r>
      <w:r>
        <w:rPr>
          <w:rFonts w:ascii="Courier New" w:hAnsi="Courier New" w:cs="Courier New"/>
        </w:rPr>
        <w:t>i</w:t>
      </w:r>
      <w:r>
        <w:rPr>
          <w:rFonts w:ascii="Courier New" w:hAnsi="Courier New" w:cs="Courier New"/>
        </w:rPr>
        <w:t>co, no de lo hipotético, pues se refiere a hechos o actos pasados que, una vez conocidos y probados, pueden servir para inferir o presumir la verdad o falsedad de otros s</w:t>
      </w:r>
      <w:r>
        <w:rPr>
          <w:rFonts w:ascii="Courier New" w:hAnsi="Courier New" w:cs="Courier New"/>
        </w:rPr>
        <w:t>u</w:t>
      </w:r>
      <w:r>
        <w:rPr>
          <w:rFonts w:ascii="Courier New" w:hAnsi="Courier New" w:cs="Courier New"/>
        </w:rPr>
        <w:t>cesos. En este sentido, indica Marco Antonio Díaz de León que el indicio equivale a la idea de rastro, hu</w:t>
      </w:r>
      <w:r>
        <w:rPr>
          <w:rFonts w:ascii="Courier New" w:hAnsi="Courier New" w:cs="Courier New"/>
        </w:rPr>
        <w:t>e</w:t>
      </w:r>
      <w:r>
        <w:rPr>
          <w:rFonts w:ascii="Courier New" w:hAnsi="Courier New" w:cs="Courier New"/>
        </w:rPr>
        <w:t>lla, signo o señal; es la cosa, el suceso, que para ser útil al pr</w:t>
      </w:r>
      <w:r>
        <w:rPr>
          <w:rFonts w:ascii="Courier New" w:hAnsi="Courier New" w:cs="Courier New"/>
        </w:rPr>
        <w:t>o</w:t>
      </w:r>
      <w:r>
        <w:rPr>
          <w:rFonts w:ascii="Courier New" w:hAnsi="Courier New" w:cs="Courier New"/>
        </w:rPr>
        <w:t>ceso, se debe probar. Es uno de los ta</w:t>
      </w:r>
      <w:r>
        <w:rPr>
          <w:rFonts w:ascii="Courier New" w:hAnsi="Courier New" w:cs="Courier New"/>
        </w:rPr>
        <w:t>n</w:t>
      </w:r>
      <w:r>
        <w:rPr>
          <w:rFonts w:ascii="Courier New" w:hAnsi="Courier New" w:cs="Courier New"/>
        </w:rPr>
        <w:t>tos datos o hechos demostrados que puede servir al juez como medio de probar a su vez, para formar su convenc</w:t>
      </w:r>
      <w:r>
        <w:rPr>
          <w:rFonts w:ascii="Courier New" w:hAnsi="Courier New" w:cs="Courier New"/>
        </w:rPr>
        <w:t>i</w:t>
      </w:r>
      <w:r>
        <w:rPr>
          <w:rFonts w:ascii="Courier New" w:hAnsi="Courier New" w:cs="Courier New"/>
        </w:rPr>
        <w:t>miento sobre el hecho que se pretende demostrar o que se investiga. Es la represe</w:t>
      </w:r>
      <w:r>
        <w:rPr>
          <w:rFonts w:ascii="Courier New" w:hAnsi="Courier New" w:cs="Courier New"/>
        </w:rPr>
        <w:t>n</w:t>
      </w:r>
      <w:r>
        <w:rPr>
          <w:rFonts w:ascii="Courier New" w:hAnsi="Courier New" w:cs="Courier New"/>
        </w:rPr>
        <w:t>tación probada de un hecho pasado o de algo que sucedió, que se incorpora al proceso para ser valorado como medio para probar el hecho que se indaga (</w:t>
      </w:r>
      <w:r>
        <w:rPr>
          <w:rFonts w:ascii="Courier New" w:hAnsi="Courier New" w:cs="Courier New"/>
          <w:spacing w:val="-2"/>
        </w:rPr>
        <w:t>cónf.</w:t>
      </w:r>
      <w:r>
        <w:rPr>
          <w:rFonts w:ascii="Courier New" w:hAnsi="Courier New" w:cs="Courier New"/>
        </w:rPr>
        <w:t xml:space="preserve"> “Tratado sobre las Pruebas Penales”, Edit</w:t>
      </w:r>
      <w:r>
        <w:rPr>
          <w:rFonts w:ascii="Courier New" w:hAnsi="Courier New" w:cs="Courier New"/>
        </w:rPr>
        <w:t>o</w:t>
      </w:r>
      <w:r>
        <w:rPr>
          <w:rFonts w:ascii="Courier New" w:hAnsi="Courier New" w:cs="Courier New"/>
        </w:rPr>
        <w:t>rial Porrua S.A., México D.F., 1991, pág. 466 y sigs.).</w:t>
      </w:r>
    </w:p>
    <w:p w:rsidR="00224567" w:rsidRDefault="00224567">
      <w:pPr>
        <w:widowControl w:val="0"/>
      </w:pPr>
      <w:r>
        <w:tab/>
        <w:t>En cuanto a esa necesidad de acredit</w:t>
      </w:r>
      <w:r>
        <w:t>a</w:t>
      </w:r>
      <w:r>
        <w:t>ción del hecho que se pretende tener como indiciario, ta</w:t>
      </w:r>
      <w:r>
        <w:t>m</w:t>
      </w:r>
      <w:r>
        <w:t>bién se expidió Erich Döhring, quien entendió que la base fáctica para la prueba indiciaria debe estar probada; a partir de allí, el averiguador debe ex</w:t>
      </w:r>
      <w:r>
        <w:t>a</w:t>
      </w:r>
      <w:r>
        <w:t>minar cuán estrecha es, según la experiencia, la conexión entre el hecho ind</w:t>
      </w:r>
      <w:r>
        <w:t>i</w:t>
      </w:r>
      <w:r>
        <w:t>ciario y el hecho a determinar (</w:t>
      </w:r>
      <w:r>
        <w:rPr>
          <w:spacing w:val="-2"/>
        </w:rPr>
        <w:t>cónf.</w:t>
      </w:r>
      <w:r>
        <w:t xml:space="preserve"> “</w:t>
      </w:r>
      <w:smartTag w:uri="urn:schemas-microsoft-com:office:smarttags" w:element="PersonName">
        <w:smartTagPr>
          <w:attr w:name="ProductID" w:val="la Investigaci￳n"/>
        </w:smartTagPr>
        <w:r>
          <w:t>La Investigación</w:t>
        </w:r>
      </w:smartTag>
      <w:r>
        <w:t xml:space="preserve"> del Estado de los Hechos en el Proceso. </w:t>
      </w:r>
      <w:smartTag w:uri="urn:schemas-microsoft-com:office:smarttags" w:element="PersonName">
        <w:smartTagPr>
          <w:attr w:name="ProductID" w:val="La Prueba. Su"/>
        </w:smartTagPr>
        <w:r>
          <w:t>La Prueba. Su</w:t>
        </w:r>
      </w:smartTag>
      <w:r>
        <w:t xml:space="preserve"> Práctica y Apreciación”, Ediciones Jurídicas Europa-América, Buenos Aires, 1972, págs. 322 y 345).</w:t>
      </w:r>
    </w:p>
    <w:p w:rsidR="00224567" w:rsidRDefault="00224567">
      <w:pPr>
        <w:widowControl w:val="0"/>
      </w:pPr>
      <w:r>
        <w:tab/>
        <w:t>Según Vicenzo Manzini es requisito primordial de la prueba indiciaria la certeza de la ci</w:t>
      </w:r>
      <w:r>
        <w:t>r</w:t>
      </w:r>
      <w:r>
        <w:t>cunstancia indiciante. Si ésta no es cierta, se le debe ante todo comprobar mediante otros medios de prueba (ver “Tratado de Derecho Procesal Penal”, tomo III, El Foro, Buenos Aires, 1996, pág. 483).</w:t>
      </w:r>
    </w:p>
    <w:p w:rsidR="00224567" w:rsidRDefault="00224567">
      <w:pPr>
        <w:widowControl w:val="0"/>
      </w:pPr>
      <w:r>
        <w:tab/>
        <w:t>Por su parte, Manuel Jaén Vallejo e</w:t>
      </w:r>
      <w:r>
        <w:t>n</w:t>
      </w:r>
      <w:r>
        <w:t>tiende que uno de requisitos para la prueba indici</w:t>
      </w:r>
      <w:r>
        <w:t>a</w:t>
      </w:r>
      <w:r>
        <w:t>ria es que parta de hechos plenamente probados (</w:t>
      </w:r>
      <w:r>
        <w:rPr>
          <w:spacing w:val="-2"/>
        </w:rPr>
        <w:t>cónf.</w:t>
      </w:r>
      <w:r>
        <w:t xml:space="preserve"> “</w:t>
      </w:r>
      <w:smartTag w:uri="urn:schemas-microsoft-com:office:smarttags" w:element="PersonName">
        <w:smartTagPr>
          <w:attr w:name="ProductID" w:val="La Presunci￳n"/>
        </w:smartTagPr>
        <w:r>
          <w:t>La Presu</w:t>
        </w:r>
        <w:r>
          <w:t>n</w:t>
        </w:r>
        <w:r>
          <w:t>ción</w:t>
        </w:r>
      </w:smartTag>
      <w:r>
        <w:t xml:space="preserve"> de Inocencia en </w:t>
      </w:r>
      <w:smartTag w:uri="urn:schemas-microsoft-com:office:smarttags" w:element="PersonName">
        <w:smartTagPr>
          <w:attr w:name="ProductID" w:val="la Jurisprudencia Constitucional"/>
        </w:smartTagPr>
        <w:r>
          <w:t>la Jurisprudencia Constitucional</w:t>
        </w:r>
      </w:smartTag>
      <w:r>
        <w:t>”, Ediciones Akal, Madrid, 1987, pág. 55).</w:t>
      </w:r>
    </w:p>
    <w:p w:rsidR="00224567" w:rsidRDefault="00224567">
      <w:pPr>
        <w:widowControl w:val="0"/>
      </w:pPr>
      <w:r>
        <w:tab/>
        <w:t>A su vez, Eduardo Jauchen estima que lo que tradicionalmente se denominó como indicio no es un medio de prueba, sino un elemento de prueba como cua</w:t>
      </w:r>
      <w:r>
        <w:t>l</w:t>
      </w:r>
      <w:r>
        <w:t>quier otro. Agrega que el indicio “constituye una ci</w:t>
      </w:r>
      <w:r>
        <w:t>r</w:t>
      </w:r>
      <w:r>
        <w:t>cunstancia o hecho que, probado, permite mediante un razonamiento l</w:t>
      </w:r>
      <w:r>
        <w:t>ó</w:t>
      </w:r>
      <w:r>
        <w:t>gico, inferir la existencia o inexistencia de otros” (</w:t>
      </w:r>
      <w:r>
        <w:rPr>
          <w:spacing w:val="-2"/>
        </w:rPr>
        <w:t>cónf.</w:t>
      </w:r>
      <w:r>
        <w:t xml:space="preserve"> “Tratado de </w:t>
      </w:r>
      <w:smartTag w:uri="urn:schemas-microsoft-com:office:smarttags" w:element="PersonName">
        <w:smartTagPr>
          <w:attr w:name="ProductID" w:val="La Prueba"/>
        </w:smartTagPr>
        <w:r>
          <w:t>la Prueba</w:t>
        </w:r>
      </w:smartTag>
      <w:r>
        <w:t xml:space="preserve"> en Materia Penal”, Rubinzal-Culzoni, Sa</w:t>
      </w:r>
      <w:r>
        <w:t>n</w:t>
      </w:r>
      <w:r>
        <w:t>ta Fe, 2002, pág. 30).</w:t>
      </w:r>
    </w:p>
    <w:p w:rsidR="00224567" w:rsidRDefault="00224567">
      <w:pPr>
        <w:widowControl w:val="0"/>
      </w:pPr>
      <w:r>
        <w:tab/>
        <w:t>José María Asencio Mellado sostiene que el indicio no es la misma presunción sino el hecho b</w:t>
      </w:r>
      <w:r>
        <w:t>a</w:t>
      </w:r>
      <w:r>
        <w:t>se de ésta; no es un medio de prueba en tanto no es otra cosa que un hecho que por sí solo no prueba nada. Aduna que para que el indicio sirva de base a la cons</w:t>
      </w:r>
      <w:r>
        <w:t>e</w:t>
      </w:r>
      <w:r>
        <w:t>cuencia de él extraída debe estar plenamente probado; es un obj</w:t>
      </w:r>
      <w:r>
        <w:t>e</w:t>
      </w:r>
      <w:r>
        <w:t>to de prueba, es decir, un hecho a demostrar por cualquier medio de prueba admisible. Señala que debe estar acreditado po</w:t>
      </w:r>
      <w:r>
        <w:t>r</w:t>
      </w:r>
      <w:r>
        <w:t>que no pueden construirse certezas partiendo de simples probabilidades; de esta manera, la falta de prueba del i</w:t>
      </w:r>
      <w:r>
        <w:t>n</w:t>
      </w:r>
      <w:r>
        <w:t>dicio, la duda a su respecto, veda la pr</w:t>
      </w:r>
      <w:r>
        <w:t>e</w:t>
      </w:r>
      <w:r>
        <w:t>sunción.</w:t>
      </w:r>
    </w:p>
    <w:p w:rsidR="00224567" w:rsidRDefault="00224567">
      <w:pPr>
        <w:widowControl w:val="0"/>
      </w:pPr>
      <w:r>
        <w:tab/>
        <w:t>Asimismo, el autor indica que r</w:t>
      </w:r>
      <w:r>
        <w:t>e</w:t>
      </w:r>
      <w:r>
        <w:t>sulta aplicable el derecho a la presunción de inocencia a cada uno de los indicios, entendiendo que si no resultan plen</w:t>
      </w:r>
      <w:r>
        <w:t>a</w:t>
      </w:r>
      <w:r>
        <w:t>mente probados y surge alguna duda respecto de su real</w:t>
      </w:r>
      <w:r>
        <w:t>i</w:t>
      </w:r>
      <w:r>
        <w:t>dad, no se pueden utilizar para extraer la conclusión de la afirmación del hecho presunto (</w:t>
      </w:r>
      <w:r>
        <w:rPr>
          <w:spacing w:val="-2"/>
        </w:rPr>
        <w:t>cónf.</w:t>
      </w:r>
      <w:r>
        <w:t xml:space="preserve"> “Prueba Proh</w:t>
      </w:r>
      <w:r>
        <w:t>i</w:t>
      </w:r>
      <w:r>
        <w:t>bida y Prueba Preconstituida”, Editorial Trivium, Esp</w:t>
      </w:r>
      <w:r>
        <w:t>a</w:t>
      </w:r>
      <w:r>
        <w:t>ña, 1989, pág. 61 y sig.).</w:t>
      </w:r>
    </w:p>
    <w:p w:rsidR="00224567" w:rsidRDefault="00224567">
      <w:pPr>
        <w:widowControl w:val="0"/>
        <w:ind w:firstLine="2835"/>
      </w:pPr>
      <w:r>
        <w:t xml:space="preserve">Con relación a la segunda categoría de sucesos aludidos </w:t>
      </w:r>
      <w:r>
        <w:rPr>
          <w:u w:val="single"/>
        </w:rPr>
        <w:t>ut supra</w:t>
      </w:r>
      <w:r>
        <w:t>, de ellos no se infiere, unív</w:t>
      </w:r>
      <w:r>
        <w:t>o</w:t>
      </w:r>
      <w:r>
        <w:t>camente, la responsabilidad de Telleldín, por cuanto de un análisis razonado de cada uno de ellos se concluye que a</w:t>
      </w:r>
      <w:r>
        <w:t>l</w:t>
      </w:r>
      <w:r>
        <w:t>gunos dan lugar a más de una inferencia, en tanto otros perdieron eficacia probatoria al ser neutralizados por la acreditación de la versión justificante brindada por el imputado. Los restantes fueron presentados como presunci</w:t>
      </w:r>
      <w:r>
        <w:t>o</w:t>
      </w:r>
      <w:r>
        <w:t>nes que no responden a un razonamiento concienzudo y pr</w:t>
      </w:r>
      <w:r>
        <w:t>u</w:t>
      </w:r>
      <w:r>
        <w:t>dente, acorde a los parámetros de análisis que deben re</w:t>
      </w:r>
      <w:r>
        <w:t>s</w:t>
      </w:r>
      <w:r>
        <w:t>petarse para llevar a adelante una valoración seria y ju</w:t>
      </w:r>
      <w:r>
        <w:t>s</w:t>
      </w:r>
      <w:r>
        <w:t>ta de la cuestión.</w:t>
      </w:r>
    </w:p>
    <w:p w:rsidR="00224567" w:rsidRDefault="00224567">
      <w:pPr>
        <w:widowControl w:val="0"/>
      </w:pPr>
      <w:r>
        <w:tab/>
        <w:t>Además, hay que poner especial ate</w:t>
      </w:r>
      <w:r>
        <w:t>n</w:t>
      </w:r>
      <w:r>
        <w:t>ción en que cada elemento indiciario debe ser estudiado, primariamente, en forma separada, correspondiendo luego hacer una valoración grupal.</w:t>
      </w:r>
    </w:p>
    <w:p w:rsidR="00224567" w:rsidRDefault="00224567">
      <w:pPr>
        <w:pStyle w:val="Textoindependiente2"/>
        <w:widowControl w:val="0"/>
        <w:rPr>
          <w:rFonts w:ascii="Courier New" w:hAnsi="Courier New" w:cs="Courier New"/>
          <w:szCs w:val="24"/>
        </w:rPr>
      </w:pPr>
      <w:r>
        <w:rPr>
          <w:rFonts w:ascii="Courier New" w:hAnsi="Courier New" w:cs="Courier New"/>
          <w:szCs w:val="24"/>
        </w:rPr>
        <w:tab/>
        <w:t>Cabe aclarar que no se trata de anal</w:t>
      </w:r>
      <w:r>
        <w:rPr>
          <w:rFonts w:ascii="Courier New" w:hAnsi="Courier New" w:cs="Courier New"/>
          <w:szCs w:val="24"/>
        </w:rPr>
        <w:t>i</w:t>
      </w:r>
      <w:r>
        <w:rPr>
          <w:rFonts w:ascii="Courier New" w:hAnsi="Courier New" w:cs="Courier New"/>
          <w:szCs w:val="24"/>
        </w:rPr>
        <w:t>zar los pretensos indicios invocados por los acusad</w:t>
      </w:r>
      <w:r>
        <w:rPr>
          <w:rFonts w:ascii="Courier New" w:hAnsi="Courier New" w:cs="Courier New"/>
          <w:szCs w:val="24"/>
        </w:rPr>
        <w:t>o</w:t>
      </w:r>
      <w:r>
        <w:rPr>
          <w:rFonts w:ascii="Courier New" w:hAnsi="Courier New" w:cs="Courier New"/>
          <w:szCs w:val="24"/>
        </w:rPr>
        <w:t>res de modo aislado, cada uno en particular, sino tan sólo de exam</w:t>
      </w:r>
      <w:r>
        <w:rPr>
          <w:rFonts w:ascii="Courier New" w:hAnsi="Courier New" w:cs="Courier New"/>
          <w:szCs w:val="24"/>
        </w:rPr>
        <w:t>i</w:t>
      </w:r>
      <w:r>
        <w:rPr>
          <w:rFonts w:ascii="Courier New" w:hAnsi="Courier New" w:cs="Courier New"/>
          <w:szCs w:val="24"/>
        </w:rPr>
        <w:t>nar, previo a su estudio en conjunto, si, a la luz de las reglas de la sana crítica, pueden ser considerados c</w:t>
      </w:r>
      <w:r>
        <w:rPr>
          <w:rFonts w:ascii="Courier New" w:hAnsi="Courier New" w:cs="Courier New"/>
          <w:szCs w:val="24"/>
        </w:rPr>
        <w:t>o</w:t>
      </w:r>
      <w:r>
        <w:rPr>
          <w:rFonts w:ascii="Courier New" w:hAnsi="Courier New" w:cs="Courier New"/>
          <w:szCs w:val="24"/>
        </w:rPr>
        <w:t>mo hechos que avalen un proceso l</w:t>
      </w:r>
      <w:r>
        <w:rPr>
          <w:rFonts w:ascii="Courier New" w:hAnsi="Courier New" w:cs="Courier New"/>
          <w:szCs w:val="24"/>
        </w:rPr>
        <w:t>ó</w:t>
      </w:r>
      <w:r>
        <w:rPr>
          <w:rFonts w:ascii="Courier New" w:hAnsi="Courier New" w:cs="Courier New"/>
          <w:szCs w:val="24"/>
        </w:rPr>
        <w:t>gico de inferencia, para acc</w:t>
      </w:r>
      <w:r>
        <w:rPr>
          <w:rFonts w:ascii="Courier New" w:hAnsi="Courier New" w:cs="Courier New"/>
          <w:szCs w:val="24"/>
        </w:rPr>
        <w:t>e</w:t>
      </w:r>
      <w:r>
        <w:rPr>
          <w:rFonts w:ascii="Courier New" w:hAnsi="Courier New" w:cs="Courier New"/>
          <w:szCs w:val="24"/>
        </w:rPr>
        <w:t>der a un hecho desconocido (</w:t>
      </w:r>
      <w:r>
        <w:rPr>
          <w:rFonts w:ascii="Courier New" w:hAnsi="Courier New" w:cs="Courier New"/>
          <w:spacing w:val="-2"/>
        </w:rPr>
        <w:t>cónf.</w:t>
      </w:r>
      <w:r>
        <w:rPr>
          <w:rFonts w:ascii="Courier New" w:hAnsi="Courier New" w:cs="Courier New"/>
          <w:szCs w:val="24"/>
        </w:rPr>
        <w:t xml:space="preserve"> D’Albora, Francisco J., “Curso de Derecho Procesal Penal”, Abeledo-Perrot, Buenos Aires, 1982, T. I, pág. 232).</w:t>
      </w:r>
    </w:p>
    <w:p w:rsidR="00224567" w:rsidRDefault="00224567">
      <w:pPr>
        <w:widowControl w:val="0"/>
        <w:ind w:firstLine="2835"/>
      </w:pPr>
      <w:r>
        <w:t>Ahora bien, sentado ello y como se v</w:t>
      </w:r>
      <w:r>
        <w:t>e</w:t>
      </w:r>
      <w:r>
        <w:t>rá más adelante, ni un análisis individual o global de los indicios referidos permite arribar a la conclusión prete</w:t>
      </w:r>
      <w:r>
        <w:t>n</w:t>
      </w:r>
      <w:r>
        <w:t>dida por los acusadores, por cuanto se presentan como i</w:t>
      </w:r>
      <w:r>
        <w:t>n</w:t>
      </w:r>
      <w:r>
        <w:t>suficientes, dan lugar a variadas interpretaciones y, en ciertos casos, hasta aparecen como contradict</w:t>
      </w:r>
      <w:r>
        <w:t>o</w:t>
      </w:r>
      <w:r>
        <w:t>rios.</w:t>
      </w:r>
    </w:p>
    <w:p w:rsidR="00224567" w:rsidRDefault="00224567">
      <w:pPr>
        <w:widowControl w:val="0"/>
      </w:pPr>
      <w:r>
        <w:tab/>
        <w:t>En este sentido, se debe recordar siempre que el indicio debe llevar, inequívocamente, a la concl</w:t>
      </w:r>
      <w:r>
        <w:t>u</w:t>
      </w:r>
      <w:r>
        <w:t>sión que se pretende probar.</w:t>
      </w:r>
    </w:p>
    <w:p w:rsidR="00224567" w:rsidRDefault="00224567">
      <w:pPr>
        <w:widowControl w:val="0"/>
        <w:ind w:firstLine="2835"/>
      </w:pPr>
      <w:r>
        <w:t>En efecto, no sólo es necesario que esté acreditado, sino que, además, de él debe deducirse una única conclusión. En caso de que esa co</w:t>
      </w:r>
      <w:r>
        <w:t>n</w:t>
      </w:r>
      <w:r>
        <w:t>clusión no sea cargosa para el imputado o no sea la única a la que se pueda arribar a partir de un indicio dado, éste, despr</w:t>
      </w:r>
      <w:r>
        <w:t>o</w:t>
      </w:r>
      <w:r>
        <w:t>visto de otros elementos que lo respalden, debe ser de</w:t>
      </w:r>
      <w:r>
        <w:t>s</w:t>
      </w:r>
      <w:r>
        <w:t>cartado a los efectos de fundar una sentencia condenat</w:t>
      </w:r>
      <w:r>
        <w:t>o</w:t>
      </w:r>
      <w:r>
        <w:t>ria.</w:t>
      </w:r>
    </w:p>
    <w:p w:rsidR="00224567" w:rsidRDefault="00224567">
      <w:pPr>
        <w:widowControl w:val="0"/>
      </w:pPr>
      <w:r>
        <w:tab/>
        <w:t xml:space="preserve">Jauchen, con  relación  al  tema  </w:t>
      </w:r>
      <w:r>
        <w:rPr>
          <w:u w:val="single"/>
        </w:rPr>
        <w:t>sub examine</w:t>
      </w:r>
      <w:r>
        <w:t>, entiende que la prueba indiciaria siempre se ap</w:t>
      </w:r>
      <w:r>
        <w:t>o</w:t>
      </w:r>
      <w:r>
        <w:t>ya sobre los datos suministrados por otros medios de pru</w:t>
      </w:r>
      <w:r>
        <w:t>e</w:t>
      </w:r>
      <w:r>
        <w:t>ba. En cuanto a su fuerza probatoria, se los clas</w:t>
      </w:r>
      <w:r>
        <w:t>i</w:t>
      </w:r>
      <w:r>
        <w:t>fica en manifiestos –aquellos indicios que tuvieran con el hecho sujeto a prueba una relación directa y necesaria-, próx</w:t>
      </w:r>
      <w:r>
        <w:t>i</w:t>
      </w:r>
      <w:r>
        <w:t>mos –a los que tienen con aquél una vinculación no neces</w:t>
      </w:r>
      <w:r>
        <w:t>a</w:t>
      </w:r>
      <w:r>
        <w:t>ria- y remotos –a los que de ellos se pueda inferir re</w:t>
      </w:r>
      <w:r>
        <w:t>s</w:t>
      </w:r>
      <w:r>
        <w:t>pecto al hecho sujeto a prueba sólo un vínculo continge</w:t>
      </w:r>
      <w:r>
        <w:t>n</w:t>
      </w:r>
      <w:r>
        <w:t>te-.</w:t>
      </w:r>
    </w:p>
    <w:p w:rsidR="00224567" w:rsidRDefault="00224567">
      <w:pPr>
        <w:widowControl w:val="0"/>
      </w:pPr>
      <w:r>
        <w:tab/>
        <w:t>Continúa diciendo el autor que lo i</w:t>
      </w:r>
      <w:r>
        <w:t>m</w:t>
      </w:r>
      <w:r>
        <w:t>porta</w:t>
      </w:r>
      <w:r>
        <w:t>n</w:t>
      </w:r>
      <w:r>
        <w:t>te es que el resultado de la inferencia sea lo menos equívoco posible, vale decir, que no permita inferir al mismo tiempo que los hechos puedan haber acontecido de otra manera. Cuando del efecto del indicio se muestre como factible la existencia de varias causas igualmente pos</w:t>
      </w:r>
      <w:r>
        <w:t>i</w:t>
      </w:r>
      <w:r>
        <w:t>bles, el indicio será sólo probable. El método correcto de análisis implica una operación mental que se expresa m</w:t>
      </w:r>
      <w:r>
        <w:t>e</w:t>
      </w:r>
      <w:r>
        <w:t>diante inferencias y razonamie</w:t>
      </w:r>
      <w:r>
        <w:t>n</w:t>
      </w:r>
      <w:r>
        <w:t>tos. Si las inferencias son prudentemente guiadas por la lógica y la experiencia, pe</w:t>
      </w:r>
      <w:r>
        <w:t>r</w:t>
      </w:r>
      <w:r>
        <w:t>mitirán obtener la rel</w:t>
      </w:r>
      <w:r>
        <w:t>a</w:t>
      </w:r>
      <w:r>
        <w:t>ción entre los hechos indiciarios y el objeto de prueba. Recién ahí el resultado obtenido p</w:t>
      </w:r>
      <w:r>
        <w:t>o</w:t>
      </w:r>
      <w:r>
        <w:t>drá ser que éstos resulten necesarios, concordantes y co</w:t>
      </w:r>
      <w:r>
        <w:t>n</w:t>
      </w:r>
      <w:r>
        <w:t>cluyentes o, por el contrario, ambiguos o engañosos (</w:t>
      </w:r>
      <w:r>
        <w:rPr>
          <w:spacing w:val="-2"/>
        </w:rPr>
        <w:t>cónf.</w:t>
      </w:r>
      <w:r>
        <w:t xml:space="preserve"> ob. cit., pág. 585 y sigs.).</w:t>
      </w:r>
    </w:p>
    <w:p w:rsidR="00224567" w:rsidRDefault="00224567">
      <w:pPr>
        <w:widowControl w:val="0"/>
      </w:pPr>
      <w:r>
        <w:tab/>
        <w:t>Por su parte, Döhring explica que e</w:t>
      </w:r>
      <w:r>
        <w:t>n</w:t>
      </w:r>
      <w:r>
        <w:t>tre el hecho indiciario y el hecho a determinar, el inve</w:t>
      </w:r>
      <w:r>
        <w:t>s</w:t>
      </w:r>
      <w:r>
        <w:t>tigador debe sop</w:t>
      </w:r>
      <w:r>
        <w:t>e</w:t>
      </w:r>
      <w:r>
        <w:t>sar si los liga una conexión tan duradera que, en el caso que se investiga, pueda deducirse del i</w:t>
      </w:r>
      <w:r>
        <w:t>n</w:t>
      </w:r>
      <w:r>
        <w:t>dicio la existencia del hecho a probar. Siempre hay que pensar si, pese a los signos existentes, quizá muy fue</w:t>
      </w:r>
      <w:r>
        <w:t>r</w:t>
      </w:r>
      <w:r>
        <w:t>tes, que sugieren una determinada configuración de las c</w:t>
      </w:r>
      <w:r>
        <w:t>o</w:t>
      </w:r>
      <w:r>
        <w:t>sas, éstas no pueden haber sido distintas (</w:t>
      </w:r>
      <w:r>
        <w:rPr>
          <w:spacing w:val="-2"/>
        </w:rPr>
        <w:t>cónf.</w:t>
      </w:r>
      <w:r>
        <w:t xml:space="preserve"> ob. cit., pág. 345).</w:t>
      </w:r>
    </w:p>
    <w:p w:rsidR="00224567" w:rsidRDefault="00224567">
      <w:pPr>
        <w:widowControl w:val="0"/>
      </w:pPr>
      <w:r>
        <w:tab/>
        <w:t>Para Díaz de León no se puede confu</w:t>
      </w:r>
      <w:r>
        <w:t>n</w:t>
      </w:r>
      <w:r>
        <w:t>dir el dato indiciario, que es exterior e inmóvil, con su v</w:t>
      </w:r>
      <w:r>
        <w:t>a</w:t>
      </w:r>
      <w:r>
        <w:t>loración, que es movimiento intelectual, que se produce en el fuero interno del juez y equivale prec</w:t>
      </w:r>
      <w:r>
        <w:t>i</w:t>
      </w:r>
      <w:r>
        <w:t>samente a la presunción; ésta es la acción de valorar y r</w:t>
      </w:r>
      <w:r>
        <w:t>a</w:t>
      </w:r>
      <w:r>
        <w:t>zonar (</w:t>
      </w:r>
      <w:r>
        <w:rPr>
          <w:spacing w:val="-2"/>
        </w:rPr>
        <w:t>cónf.</w:t>
      </w:r>
      <w:r>
        <w:t xml:space="preserve"> ob. cit., pág. 468).</w:t>
      </w:r>
    </w:p>
    <w:p w:rsidR="00224567" w:rsidRDefault="00224567">
      <w:pPr>
        <w:widowControl w:val="0"/>
      </w:pPr>
      <w:r>
        <w:tab/>
        <w:t>A su vez, Manuel Jaén Vallejo entie</w:t>
      </w:r>
      <w:r>
        <w:t>n</w:t>
      </w:r>
      <w:r>
        <w:t>de que las pruebas indiciarias son aquellas que se d</w:t>
      </w:r>
      <w:r>
        <w:t>i</w:t>
      </w:r>
      <w:r>
        <w:t>rigen a mostrar la certeza de unos hechos –indicios- que no son los constitutivos de delito, sino de los que puede inf</w:t>
      </w:r>
      <w:r>
        <w:t>e</w:t>
      </w:r>
      <w:r>
        <w:t>rirse éste y la participación del procesado por medio de un razonamiento basado en el nexo causal y lógico, exi</w:t>
      </w:r>
      <w:r>
        <w:t>s</w:t>
      </w:r>
      <w:r>
        <w:t>tente entre los hechos probados y los que se trata de pr</w:t>
      </w:r>
      <w:r>
        <w:t>o</w:t>
      </w:r>
      <w:r>
        <w:t>bar. Aclara que los hechos constitutivos del d</w:t>
      </w:r>
      <w:r>
        <w:t>e</w:t>
      </w:r>
      <w:r>
        <w:t>lito deben deducirse de esos hechos a través de un proceso mental r</w:t>
      </w:r>
      <w:r>
        <w:t>a</w:t>
      </w:r>
      <w:r>
        <w:t>zonado y acorde con las reglas del criterio humano y que si los hechos probados permiten diversas conclusiones o interpretaciones, el Tribunal debe razonar por qué elige la que estima probada (</w:t>
      </w:r>
      <w:r>
        <w:rPr>
          <w:spacing w:val="-2"/>
        </w:rPr>
        <w:t>cónf.</w:t>
      </w:r>
      <w:r>
        <w:t xml:space="preserve"> ob. cit., pág. 53 y sigs.).</w:t>
      </w:r>
    </w:p>
    <w:p w:rsidR="00224567" w:rsidRDefault="00224567">
      <w:pPr>
        <w:widowControl w:val="0"/>
      </w:pPr>
      <w:r>
        <w:tab/>
        <w:t>Al respecto, Asencio Mellado cita a Prieto Castro, para quien la prueba indiciaria es aqu</w:t>
      </w:r>
      <w:r>
        <w:t>e</w:t>
      </w:r>
      <w:r>
        <w:t>lla que no tiene por objeto el mismo hecho que se pretende probar sino otro que sirve para demostrar aquél por vía de inducción; lo que se hace es probar directamente hechos mediatos para deducir de éstos aquellos que tienen una significación i</w:t>
      </w:r>
      <w:r>
        <w:t>n</w:t>
      </w:r>
      <w:r>
        <w:t>mediata para la causa.</w:t>
      </w:r>
    </w:p>
    <w:p w:rsidR="00224567" w:rsidRDefault="00224567">
      <w:pPr>
        <w:widowControl w:val="0"/>
      </w:pPr>
      <w:r>
        <w:tab/>
        <w:t>El primero, a su vez, distingue e</w:t>
      </w:r>
      <w:r>
        <w:t>n</w:t>
      </w:r>
      <w:r>
        <w:t>tre prueba indiciaria en general e indicio en partic</w:t>
      </w:r>
      <w:r>
        <w:t>u</w:t>
      </w:r>
      <w:r>
        <w:t>lar, toda vez que este último elemento no constituye la presunción en sí misma, sino tan solo una parte del conjunto de la prueba. Puntualiza que la prueba indiciaria comporta la presencia de tres elementos, a saber, el indicio o hecho base de la presunción, el hecho presunto o deducido del indicio y la relación causal o nexo que liga el indicio con el hecho presunto o conclusión. Con respecto al nexo causal, aclara que se trata de un proceso mental razonado y coherente que permite afirmar una conclusión inmediata partiendo de un hecho mediato probado (</w:t>
      </w:r>
      <w:r>
        <w:rPr>
          <w:spacing w:val="-2"/>
        </w:rPr>
        <w:t>cónf.</w:t>
      </w:r>
      <w:r>
        <w:t xml:space="preserve"> ob. cit., pág. 60 y sigs.).</w:t>
      </w:r>
    </w:p>
    <w:p w:rsidR="00224567" w:rsidRDefault="00224567">
      <w:pPr>
        <w:widowControl w:val="0"/>
      </w:pPr>
      <w:r>
        <w:tab/>
        <w:t xml:space="preserve">Finalmente, </w:t>
      </w:r>
      <w:smartTag w:uri="urn:schemas-microsoft-com:office:smarttags" w:element="PersonName">
        <w:smartTagPr>
          <w:attr w:name="ProductID" w:val="La Corte Interamericana"/>
        </w:smartTagPr>
        <w:r>
          <w:t>la Corte Interamericana</w:t>
        </w:r>
      </w:smartTag>
      <w:r>
        <w:t xml:space="preserve"> de D</w:t>
      </w:r>
      <w:r>
        <w:t>e</w:t>
      </w:r>
      <w:r>
        <w:t>rechos Humanos sostuvo que, además de la prueba directa -testimonial, pericial o documental-, los tribunales i</w:t>
      </w:r>
      <w:r>
        <w:t>n</w:t>
      </w:r>
      <w:r>
        <w:t>ternos e internacionales pueden fundar sus sentencias en la prueba circunstancial, los indicios y presunciones, siempre que de éstos puedan inferirse conclusiones sólidas s</w:t>
      </w:r>
      <w:r>
        <w:t>o</w:t>
      </w:r>
      <w:r>
        <w:t>bre los hechos.</w:t>
      </w:r>
    </w:p>
    <w:p w:rsidR="00224567" w:rsidRDefault="00224567">
      <w:pPr>
        <w:widowControl w:val="0"/>
      </w:pPr>
      <w:r>
        <w:tab/>
        <w:t xml:space="preserve">Resaltó </w:t>
      </w:r>
      <w:smartTag w:uri="urn:schemas-microsoft-com:office:smarttags" w:element="PersonName">
        <w:smartTagPr>
          <w:attr w:name="ProductID" w:val="la Corte"/>
        </w:smartTagPr>
        <w:r>
          <w:t>la Corte</w:t>
        </w:r>
      </w:smartTag>
      <w:r>
        <w:t xml:space="preserve"> que “en ejercicio de su función jurisdiccional, tratándose de la obtención y valoración de las pruebas necesarias para la decisión de los casos que conoce, puede, en determinadas circunsta</w:t>
      </w:r>
      <w:r>
        <w:t>n</w:t>
      </w:r>
      <w:r>
        <w:t>cias, utilizar tanto las pruebas circunstanci</w:t>
      </w:r>
      <w:r>
        <w:t>a</w:t>
      </w:r>
      <w:r>
        <w:t>les como los indicios o las presunciones como base de sus pronunci</w:t>
      </w:r>
      <w:r>
        <w:t>a</w:t>
      </w:r>
      <w:r>
        <w:t>mientos, cuando de aquéllas puedan inf</w:t>
      </w:r>
      <w:r>
        <w:t>e</w:t>
      </w:r>
      <w:r>
        <w:t>rirse conclusiones consistentes sobre los hechos”.</w:t>
      </w:r>
    </w:p>
    <w:p w:rsidR="00224567" w:rsidRDefault="00224567">
      <w:pPr>
        <w:widowControl w:val="0"/>
        <w:ind w:firstLine="2835"/>
      </w:pPr>
      <w:r>
        <w:t>Concluyó que “todo tribunal interno o internacional debe estar conciente de que una adecuada v</w:t>
      </w:r>
      <w:r>
        <w:t>a</w:t>
      </w:r>
      <w:r>
        <w:t>loración de la prueba según la regla de la ‘sana cr</w:t>
      </w:r>
      <w:r>
        <w:t>í</w:t>
      </w:r>
      <w:r>
        <w:t>tica’ permitirá a los jueces llegar a la convicción sobre la verdad de los hechos alegados” (</w:t>
      </w:r>
      <w:r>
        <w:rPr>
          <w:spacing w:val="-2"/>
        </w:rPr>
        <w:t>cónf.</w:t>
      </w:r>
      <w:r>
        <w:t xml:space="preserve"> casos “Paniagua M</w:t>
      </w:r>
      <w:r>
        <w:t>o</w:t>
      </w:r>
      <w:r>
        <w:t>rales y otros”, sentencia del 8/3/1998, y “Gangaram Pa</w:t>
      </w:r>
      <w:r>
        <w:t>n</w:t>
      </w:r>
      <w:r>
        <w:t>day”, sentencia del 21/1/1994, entre otros).</w:t>
      </w:r>
    </w:p>
    <w:p w:rsidR="00224567" w:rsidRDefault="00224567">
      <w:pPr>
        <w:widowControl w:val="0"/>
      </w:pPr>
      <w:r>
        <w:tab/>
        <w:t>En el marco referido el Tribunal pr</w:t>
      </w:r>
      <w:r>
        <w:t>o</w:t>
      </w:r>
      <w:r>
        <w:t>cederá al análisis de las circunstancias invocadas por las partes acusadoras, a fin de determinar si la conducta atribuida a Carlos Alberto Telleldín se conf</w:t>
      </w:r>
      <w:r>
        <w:t>i</w:t>
      </w:r>
      <w:r>
        <w:t>guró y, en su caso, si es objeto de reproche penal.</w:t>
      </w:r>
    </w:p>
    <w:p w:rsidR="00224567" w:rsidRDefault="00224567">
      <w:pPr>
        <w:pStyle w:val="Ttulo4"/>
        <w:widowControl w:val="0"/>
        <w:spacing w:line="600" w:lineRule="auto"/>
      </w:pPr>
      <w:r>
        <w:tab/>
      </w:r>
      <w:bookmarkStart w:id="23" w:name="_Toc86676539"/>
      <w:r>
        <w:t xml:space="preserve">B.2) Acondicionamiento de </w:t>
      </w:r>
      <w:smartTag w:uri="urn:schemas-microsoft-com:office:smarttags" w:element="PersonName">
        <w:smartTagPr>
          <w:attr w:name="ProductID" w:val="la Trafic."/>
        </w:smartTagPr>
        <w:r>
          <w:t>la Trafic.</w:t>
        </w:r>
      </w:smartTag>
      <w:bookmarkEnd w:id="23"/>
    </w:p>
    <w:p w:rsidR="00224567" w:rsidRDefault="00224567">
      <w:pPr>
        <w:pStyle w:val="Ttulo5"/>
        <w:keepNext w:val="0"/>
        <w:widowControl w:val="0"/>
        <w:spacing w:line="600" w:lineRule="auto"/>
      </w:pPr>
      <w:bookmarkStart w:id="24" w:name="_Toc86676540"/>
      <w:r>
        <w:t>B.2.a)</w:t>
      </w:r>
      <w:r>
        <w:rPr>
          <w:b w:val="0"/>
          <w:bCs w:val="0"/>
        </w:rPr>
        <w:t xml:space="preserve"> Consideraciones de las partes.</w:t>
      </w:r>
      <w:bookmarkEnd w:id="24"/>
    </w:p>
    <w:p w:rsidR="00224567" w:rsidRDefault="00224567">
      <w:pPr>
        <w:widowControl w:val="0"/>
      </w:pPr>
      <w:r>
        <w:tab/>
      </w:r>
      <w:r>
        <w:rPr>
          <w:b/>
          <w:bCs/>
        </w:rPr>
        <w:t>B.2.a.i)</w:t>
      </w:r>
      <w:r>
        <w:t xml:space="preserve"> Los representantes del Mini</w:t>
      </w:r>
      <w:r>
        <w:t>s</w:t>
      </w:r>
      <w:r>
        <w:t>terio Público Fiscal, en oportunidad de alegar, sostuvi</w:t>
      </w:r>
      <w:r>
        <w:t>e</w:t>
      </w:r>
      <w:r>
        <w:t>ron que Carlos Alberto Telleldín no fue elegido al azar por los terroristas, toda vez que se trataba de un sujeto que sabía “manejar perfectamente la impunidad en el sub-mundo de la corrupción policial”.</w:t>
      </w:r>
    </w:p>
    <w:p w:rsidR="00224567" w:rsidRDefault="00224567">
      <w:pPr>
        <w:widowControl w:val="0"/>
      </w:pPr>
      <w:r>
        <w:tab/>
        <w:t>Asimismo, consideraron acreditado que la camioneta estuvo debidamente acondicionada para sopo</w:t>
      </w:r>
      <w:r>
        <w:t>r</w:t>
      </w:r>
      <w:r>
        <w:t>tar una carga explosiva, reforzada en sus amortiguadores traseros o elásticos, tal como le había sido e</w:t>
      </w:r>
      <w:r>
        <w:t>n</w:t>
      </w:r>
      <w:r>
        <w:t>cargada, a sabiendas del de</w:t>
      </w:r>
      <w:r>
        <w:t>s</w:t>
      </w:r>
      <w:r>
        <w:t>tino final que se le iba a dar.</w:t>
      </w:r>
    </w:p>
    <w:p w:rsidR="00224567" w:rsidRDefault="00224567">
      <w:pPr>
        <w:widowControl w:val="0"/>
      </w:pPr>
      <w:r>
        <w:tab/>
        <w:t>También dedujeron que la omisión de borrar el número de motor pudo obedecer a una coartada p</w:t>
      </w:r>
      <w:r>
        <w:t>a</w:t>
      </w:r>
      <w:r>
        <w:t xml:space="preserve">ra demostrar buena fe en la venta de </w:t>
      </w:r>
      <w:smartTag w:uri="urn:schemas-microsoft-com:office:smarttags" w:element="PersonName">
        <w:smartTagPr>
          <w:attr w:name="ProductID" w:val="la Trafic."/>
        </w:smartTagPr>
        <w:r>
          <w:t>la Trafic.</w:t>
        </w:r>
      </w:smartTag>
    </w:p>
    <w:p w:rsidR="00224567" w:rsidRDefault="00224567">
      <w:pPr>
        <w:widowControl w:val="0"/>
      </w:pPr>
      <w:r>
        <w:tab/>
        <w:t>El Dr. Nisman, al efectuar su réplica, entendió que el refuerzo de los elásticos pudo ob</w:t>
      </w:r>
      <w:r>
        <w:t>e</w:t>
      </w:r>
      <w:r>
        <w:t>decer no sólo al propósito de que la camioneta soport</w:t>
      </w:r>
      <w:r>
        <w:t>a</w:t>
      </w:r>
      <w:r>
        <w:t>se una carga extra, sino también a que pudiese conservar la estabil</w:t>
      </w:r>
      <w:r>
        <w:t>i</w:t>
      </w:r>
      <w:r>
        <w:t>dad, tener un mejor andar y, principalmente, que no se produjese un descenso de la parte trasera de la camioneta, llamando la atención de terceras personas u ocasionales trans</w:t>
      </w:r>
      <w:r>
        <w:t>e</w:t>
      </w:r>
      <w:r>
        <w:t>úntes.</w:t>
      </w:r>
    </w:p>
    <w:p w:rsidR="00224567" w:rsidRDefault="00224567">
      <w:pPr>
        <w:widowControl w:val="0"/>
      </w:pPr>
      <w:r>
        <w:tab/>
      </w:r>
      <w:r>
        <w:rPr>
          <w:b/>
          <w:bCs/>
        </w:rPr>
        <w:t>B.2.a.ii)</w:t>
      </w:r>
      <w:r>
        <w:t xml:space="preserve"> La querella unificada D.A.I.A., A.M.I.A. y “Grupo de Familiares” sostuvo que la cami</w:t>
      </w:r>
      <w:r>
        <w:t>o</w:t>
      </w:r>
      <w:r>
        <w:t>neta fue acondicionada de manera especial, por cuanto contaba con un elástico reforzado.</w:t>
      </w:r>
    </w:p>
    <w:p w:rsidR="00224567" w:rsidRDefault="00224567">
      <w:pPr>
        <w:widowControl w:val="0"/>
        <w:ind w:firstLine="2835"/>
      </w:pPr>
      <w:r>
        <w:t>Asimismo, consideró que para confu</w:t>
      </w:r>
      <w:r>
        <w:t>n</w:t>
      </w:r>
      <w:r>
        <w:t>dir se armaron dos Trafic, agregando que quien encargó la c</w:t>
      </w:r>
      <w:r>
        <w:t>a</w:t>
      </w:r>
      <w:r>
        <w:t>mioneta eligió a Telleldín a sabiendas de su capacidad p</w:t>
      </w:r>
      <w:r>
        <w:t>a</w:t>
      </w:r>
      <w:r>
        <w:t>ra mentir y dar diferentes versiones para desviar la pe</w:t>
      </w:r>
      <w:r>
        <w:t>s</w:t>
      </w:r>
      <w:r>
        <w:t>quisa. Estimó que se desconocía el dest</w:t>
      </w:r>
      <w:r>
        <w:t>i</w:t>
      </w:r>
      <w:r>
        <w:t>no de la camioneta que Telleldín encargó armar a Nitzcaner, para luego publ</w:t>
      </w:r>
      <w:r>
        <w:t>i</w:t>
      </w:r>
      <w:r>
        <w:t>carla, toda vez que no fue la que expl</w:t>
      </w:r>
      <w:r>
        <w:t>o</w:t>
      </w:r>
      <w:r>
        <w:t>tó.</w:t>
      </w:r>
    </w:p>
    <w:p w:rsidR="00224567" w:rsidRDefault="00224567">
      <w:pPr>
        <w:widowControl w:val="0"/>
      </w:pPr>
      <w:r>
        <w:tab/>
        <w:t>Aseguró que el imputado mentía en cuanto a la camioneta que armó y sobre quién lo hizo, ocultando qué vehículo estalló.</w:t>
      </w:r>
    </w:p>
    <w:p w:rsidR="00224567" w:rsidRDefault="00224567">
      <w:pPr>
        <w:widowControl w:val="0"/>
      </w:pPr>
      <w:r>
        <w:tab/>
        <w:t xml:space="preserve">Además, entendió que no era casual que el motor hallado entre los escombros de </w:t>
      </w:r>
      <w:smartTag w:uri="urn:schemas-microsoft-com:office:smarttags" w:element="PersonName">
        <w:smartTagPr>
          <w:attr w:name="ProductID" w:val="la A.M"/>
        </w:smartTagPr>
        <w:r>
          <w:t>la A.M</w:t>
        </w:r>
      </w:smartTag>
      <w:r>
        <w:t>.I.A. tuvi</w:t>
      </w:r>
      <w:r>
        <w:t>e</w:t>
      </w:r>
      <w:r>
        <w:t>se la numeración original; ello, por cuanto los policías que retiraron la camioneta no querían tener probl</w:t>
      </w:r>
      <w:r>
        <w:t>e</w:t>
      </w:r>
      <w:r>
        <w:t>mas ante un eventual control. También indicó, sustentado en los d</w:t>
      </w:r>
      <w:r>
        <w:t>i</w:t>
      </w:r>
      <w:r>
        <w:t>chos de Granja, Macchi y del propio imput</w:t>
      </w:r>
      <w:r>
        <w:t>a</w:t>
      </w:r>
      <w:r>
        <w:t xml:space="preserve">do en su primer </w:t>
      </w:r>
      <w:r>
        <w:rPr>
          <w:bCs/>
        </w:rPr>
        <w:t>declaración indagatoria ante este Tr</w:t>
      </w:r>
      <w:r>
        <w:rPr>
          <w:bCs/>
        </w:rPr>
        <w:t>i</w:t>
      </w:r>
      <w:r>
        <w:rPr>
          <w:bCs/>
        </w:rPr>
        <w:t xml:space="preserve">bunal, </w:t>
      </w:r>
      <w:r>
        <w:t>que ese motor era de hierro fundido y por más alteraciones que tuviese, finalmente se llegaría al número original, circunstancia que imposibilitaría a Telleldín presentarse como un vend</w:t>
      </w:r>
      <w:r>
        <w:t>e</w:t>
      </w:r>
      <w:r>
        <w:t>dor de bu</w:t>
      </w:r>
      <w:r>
        <w:t>e</w:t>
      </w:r>
      <w:r>
        <w:t>na fe.</w:t>
      </w:r>
    </w:p>
    <w:p w:rsidR="00224567" w:rsidRDefault="00224567">
      <w:pPr>
        <w:widowControl w:val="0"/>
      </w:pPr>
      <w:r>
        <w:tab/>
        <w:t xml:space="preserve">Al efectuar la réplica, </w:t>
      </w:r>
      <w:smartTag w:uri="urn:schemas-microsoft-com:office:smarttags" w:element="PersonName">
        <w:smartTagPr>
          <w:attr w:name="ProductID" w:val="La Dra. Nercellas"/>
        </w:smartTagPr>
        <w:r>
          <w:t>la Dra. Nerc</w:t>
        </w:r>
        <w:r>
          <w:t>e</w:t>
        </w:r>
        <w:r>
          <w:t>llas</w:t>
        </w:r>
      </w:smartTag>
      <w:r>
        <w:t xml:space="preserve"> argumentó que todos los actos que Telleldín realizó antes, durante y después de la entrega de </w:t>
      </w:r>
      <w:smartTag w:uri="urn:schemas-microsoft-com:office:smarttags" w:element="PersonName">
        <w:smartTagPr>
          <w:attr w:name="ProductID" w:val="la Trafic"/>
        </w:smartTagPr>
        <w:r>
          <w:t>la Trafic</w:t>
        </w:r>
      </w:smartTag>
      <w:r>
        <w:t xml:space="preserve"> demo</w:t>
      </w:r>
      <w:r>
        <w:t>s</w:t>
      </w:r>
      <w:r>
        <w:t>traban su voluntariedad e interés en participar, e</w:t>
      </w:r>
      <w:r>
        <w:t>s</w:t>
      </w:r>
      <w:r>
        <w:t>timando que el nombrado había preparado otra camioneta melliza p</w:t>
      </w:r>
      <w:r>
        <w:t>a</w:t>
      </w:r>
      <w:r>
        <w:t>ra desviar la investigación.</w:t>
      </w:r>
    </w:p>
    <w:p w:rsidR="00224567" w:rsidRDefault="00224567">
      <w:pPr>
        <w:widowControl w:val="0"/>
        <w:ind w:firstLine="2835"/>
      </w:pPr>
      <w:r>
        <w:t>En cuanto al tema del borrado del n</w:t>
      </w:r>
      <w:r>
        <w:t>ú</w:t>
      </w:r>
      <w:r>
        <w:t>mero de motor, señaló que, según las manifestaciones del propio Telleldín, éste nunca llevaba a cabo dicha tarea, por cuanto el número siempre se identificaba; sólo modif</w:t>
      </w:r>
      <w:r>
        <w:t>i</w:t>
      </w:r>
      <w:r>
        <w:t>caba la numeración de la carrocería. Al re</w:t>
      </w:r>
      <w:r>
        <w:t>s</w:t>
      </w:r>
      <w:r>
        <w:t>pecto, trajo a colación que, ante la posibilidad de un allanamiento en su domicilio, el imputado perforó el motor de un vehículo R</w:t>
      </w:r>
      <w:r>
        <w:t>e</w:t>
      </w:r>
      <w:r>
        <w:t>nault 9 que allí se encontraba, a efectos de que su número no pudiera ser identificado, entendiendo que, si hubiera podido borrarlo, lo habría hecho para evitar inutilizar dicho aut</w:t>
      </w:r>
      <w:r>
        <w:t>o</w:t>
      </w:r>
      <w:r>
        <w:t>móvil.</w:t>
      </w:r>
    </w:p>
    <w:p w:rsidR="00224567" w:rsidRDefault="00224567">
      <w:pPr>
        <w:widowControl w:val="0"/>
      </w:pPr>
      <w:r>
        <w:tab/>
      </w:r>
      <w:r>
        <w:rPr>
          <w:b/>
          <w:bCs/>
        </w:rPr>
        <w:t>B.2.a.iii)</w:t>
      </w:r>
      <w:r>
        <w:t xml:space="preserve"> Por su parte, la querella “Memoria Activa” sostuvo que Telleldín acondicionó y e</w:t>
      </w:r>
      <w:r>
        <w:t>n</w:t>
      </w:r>
      <w:r>
        <w:t>tregó una camioneta sobre la que instaló el motor nº 2.831.467, con conocimiento de que sería utilizada en un hecho ilícito gr</w:t>
      </w:r>
      <w:r>
        <w:t>a</w:t>
      </w:r>
      <w:r>
        <w:t>ve.</w:t>
      </w:r>
    </w:p>
    <w:p w:rsidR="00224567" w:rsidRDefault="00224567">
      <w:pPr>
        <w:widowControl w:val="0"/>
      </w:pPr>
      <w:r>
        <w:tab/>
        <w:t>Consideró que el acondicionamiento i</w:t>
      </w:r>
      <w:r>
        <w:t>n</w:t>
      </w:r>
      <w:r>
        <w:t>cluyó el refuerzo del sistema de amortiguación tra</w:t>
      </w:r>
      <w:r>
        <w:t>s</w:t>
      </w:r>
      <w:r>
        <w:t>era, es decir, una modificación de los elásticos, a fin de perm</w:t>
      </w:r>
      <w:r>
        <w:t>i</w:t>
      </w:r>
      <w:r>
        <w:t>tirle al rodado soportar un peso mayor al habitual. Ad</w:t>
      </w:r>
      <w:r>
        <w:t>e</w:t>
      </w:r>
      <w:r>
        <w:t>más, indicó que tal refuerzo obedecía a que la estru</w:t>
      </w:r>
      <w:r>
        <w:t>c</w:t>
      </w:r>
      <w:r>
        <w:t>tura debía mantenerse firme para que los accidentes del terreno no provocaran la detonación del expl</w:t>
      </w:r>
      <w:r>
        <w:t>o</w:t>
      </w:r>
      <w:r>
        <w:t>sivo.</w:t>
      </w:r>
    </w:p>
    <w:p w:rsidR="00224567" w:rsidRDefault="00224567">
      <w:pPr>
        <w:widowControl w:val="0"/>
      </w:pPr>
      <w:r>
        <w:tab/>
        <w:t>También señaló que utilizó una carr</w:t>
      </w:r>
      <w:r>
        <w:t>o</w:t>
      </w:r>
      <w:r>
        <w:t>cería cerrada, que impedía que la carga transportada fuera vista de</w:t>
      </w:r>
      <w:r>
        <w:t>s</w:t>
      </w:r>
      <w:r>
        <w:t>de el exterior.</w:t>
      </w:r>
    </w:p>
    <w:p w:rsidR="00224567" w:rsidRDefault="00224567">
      <w:pPr>
        <w:widowControl w:val="0"/>
      </w:pPr>
      <w:r>
        <w:tab/>
        <w:t xml:space="preserve">El letrado comentó que no creía que el motor hallado en </w:t>
      </w:r>
      <w:smartTag w:uri="urn:schemas-microsoft-com:office:smarttags" w:element="PersonName">
        <w:smartTagPr>
          <w:attr w:name="ProductID" w:val="la A.M"/>
        </w:smartTagPr>
        <w:r>
          <w:t>la A.M</w:t>
        </w:r>
      </w:smartTag>
      <w:r>
        <w:t>.I.A. fuese el que se trasl</w:t>
      </w:r>
      <w:r>
        <w:t>a</w:t>
      </w:r>
      <w:r>
        <w:t>dó del taller de Cotoras al de Nitzcaner, como pretendió hacer creer Telleldín. Al respecto, señaló que éste mintió para confundir, pues si bien pasó por sus manos, se desconocía en qué carrocería fue colocado; desestimó que se tratara de la del utilitario de Sar</w:t>
      </w:r>
      <w:r>
        <w:t>a</w:t>
      </w:r>
      <w:r>
        <w:t>pura.</w:t>
      </w:r>
    </w:p>
    <w:p w:rsidR="00224567" w:rsidRDefault="00224567">
      <w:pPr>
        <w:widowControl w:val="0"/>
      </w:pPr>
      <w:r>
        <w:tab/>
        <w:t>Añadió que ese vehículo, que el 2 de julio ingresó al taller de Nitzcaner, estaba dest</w:t>
      </w:r>
      <w:r>
        <w:t>i</w:t>
      </w:r>
      <w:r>
        <w:t>nado al doblaje, circunstancia que le brindaba a Telleldín una coartada perfecta, aunque la investigación demostró la existencia de dos carrocerías distintas. Así, acotó, el único elemento que ligaba al acusado con el atentado era el m</w:t>
      </w:r>
      <w:r>
        <w:t>o</w:t>
      </w:r>
      <w:r>
        <w:t>tor y no la carrocería.</w:t>
      </w:r>
    </w:p>
    <w:p w:rsidR="00224567" w:rsidRDefault="00224567">
      <w:pPr>
        <w:pStyle w:val="Sangradetextonormal"/>
        <w:widowControl w:val="0"/>
        <w:ind w:firstLine="2835"/>
      </w:pPr>
      <w:r>
        <w:t xml:space="preserve">Señaló que todo indicaba que Cotoras armó </w:t>
      </w:r>
      <w:smartTag w:uri="urn:schemas-microsoft-com:office:smarttags" w:element="PersonName">
        <w:smartTagPr>
          <w:attr w:name="ProductID" w:val="la Trafic"/>
        </w:smartTagPr>
        <w:r>
          <w:t>la Trafic</w:t>
        </w:r>
      </w:smartTag>
      <w:r>
        <w:t xml:space="preserve"> que explotó, porque fue a quien Telleldín llevó el motor de “Messin”. No obstante, en otro tramo e</w:t>
      </w:r>
      <w:r>
        <w:t>s</w:t>
      </w:r>
      <w:r>
        <w:t>timó que había una alta probabilidad de que Telleldín no hubiera llevado el motor a lo de Nitzcaner, sino a un l</w:t>
      </w:r>
      <w:r>
        <w:t>u</w:t>
      </w:r>
      <w:r>
        <w:t>gar distinto, donde se habría colocado en otra c</w:t>
      </w:r>
      <w:r>
        <w:t>a</w:t>
      </w:r>
      <w:r>
        <w:t>rrocería. Agregó que Telleldín acomodó su ve</w:t>
      </w:r>
      <w:r>
        <w:t>r</w:t>
      </w:r>
      <w:r>
        <w:t>sión de la entrega del motor de “Messin” al armado de otra de las Trafic que d</w:t>
      </w:r>
      <w:r>
        <w:t>o</w:t>
      </w:r>
      <w:r>
        <w:t>bló, esta vez sí en lo de Nitzcaner.</w:t>
      </w:r>
    </w:p>
    <w:p w:rsidR="00224567" w:rsidRDefault="00224567">
      <w:pPr>
        <w:widowControl w:val="0"/>
      </w:pPr>
      <w:r>
        <w:tab/>
        <w:t>Asimismo, consideró que la camioneta que estuvo estacionada en República 107 el 10 de j</w:t>
      </w:r>
      <w:r>
        <w:t>u</w:t>
      </w:r>
      <w:r>
        <w:t xml:space="preserve">lio no portaba el motor encontrado en </w:t>
      </w:r>
      <w:smartTag w:uri="urn:schemas-microsoft-com:office:smarttags" w:element="PersonName">
        <w:smartTagPr>
          <w:attr w:name="ProductID" w:val="la A.M"/>
        </w:smartTagPr>
        <w:r>
          <w:t>la A.M</w:t>
        </w:r>
      </w:smartTag>
      <w:r>
        <w:t>.I.A.</w:t>
      </w:r>
    </w:p>
    <w:p w:rsidR="00224567" w:rsidRDefault="00224567">
      <w:pPr>
        <w:widowControl w:val="0"/>
      </w:pPr>
      <w:r>
        <w:tab/>
        <w:t>Sostuvo que Telleldín planteó como a</w:t>
      </w:r>
      <w:r>
        <w:t>b</w:t>
      </w:r>
      <w:r>
        <w:t>surdo que, conociendo el destino de la camioneta, dejara un rastro que lo pudiera alcanzar, como el número de m</w:t>
      </w:r>
      <w:r>
        <w:t>o</w:t>
      </w:r>
      <w:r>
        <w:t>tor. Interpretó el Dr. Jacoby que no lo modificó por cua</w:t>
      </w:r>
      <w:r>
        <w:t>n</w:t>
      </w:r>
      <w:r>
        <w:t xml:space="preserve">to ese era su </w:t>
      </w:r>
      <w:r>
        <w:rPr>
          <w:u w:val="single"/>
        </w:rPr>
        <w:t>modus operandi</w:t>
      </w:r>
      <w:r>
        <w:t xml:space="preserve"> y porque creía probable que se destruiría con la explosión. Adunó que para el hipot</w:t>
      </w:r>
      <w:r>
        <w:t>é</w:t>
      </w:r>
      <w:r>
        <w:t>tico e improbable caso de que algo del motor quedase como pista, prefabricó una coartada para no ser imputado, es decir, a modo de doble garantía de impun</w:t>
      </w:r>
      <w:r>
        <w:t>i</w:t>
      </w:r>
      <w:r>
        <w:t>dad.</w:t>
      </w:r>
    </w:p>
    <w:p w:rsidR="00224567" w:rsidRDefault="00224567">
      <w:pPr>
        <w:widowControl w:val="0"/>
      </w:pPr>
      <w:r>
        <w:tab/>
        <w:t>En cuanto al refuerzo de los elást</w:t>
      </w:r>
      <w:r>
        <w:t>i</w:t>
      </w:r>
      <w:r>
        <w:t>cos, en su réplica señaló que Telleldín desconocía cuántos kilogramos debía soportar la camioneta –tal vez por el sistema tabicado de las células terroristas-, habiendo r</w:t>
      </w:r>
      <w:r>
        <w:t>e</w:t>
      </w:r>
      <w:r>
        <w:t>cibido la instrucción de preparar un vehículo que aguant</w:t>
      </w:r>
      <w:r>
        <w:t>a</w:t>
      </w:r>
      <w:r>
        <w:t>se un peso mayor al del vehículo estándar, lo que, a su vez, le concedía una estabilidad superlativa para evitar una explosión anticipada, causada por alguna irregul</w:t>
      </w:r>
      <w:r>
        <w:t>a</w:t>
      </w:r>
      <w:r>
        <w:t>ridad del terreno.</w:t>
      </w:r>
    </w:p>
    <w:p w:rsidR="00224567" w:rsidRDefault="00224567">
      <w:pPr>
        <w:widowControl w:val="0"/>
      </w:pPr>
      <w:r>
        <w:tab/>
      </w:r>
      <w:r>
        <w:rPr>
          <w:b/>
          <w:bCs/>
        </w:rPr>
        <w:t>B.2.a.iv)</w:t>
      </w:r>
      <w:r>
        <w:t xml:space="preserve"> A su turno, la defensa del acusado sostuvo que éste armó una sola camioneta, con la carrocería de la camioneta robada a Sarapura y el motor  de la de “Me</w:t>
      </w:r>
      <w:r>
        <w:t>s</w:t>
      </w:r>
      <w:r>
        <w:t>sin”.</w:t>
      </w:r>
    </w:p>
    <w:p w:rsidR="00224567" w:rsidRDefault="00224567">
      <w:pPr>
        <w:widowControl w:val="0"/>
      </w:pPr>
      <w:r>
        <w:tab/>
        <w:t>En tal sentido, consideró que quienes ente</w:t>
      </w:r>
      <w:r>
        <w:t>n</w:t>
      </w:r>
      <w:r>
        <w:t>dieron que Telleldín había armado dos camionetas para desviar la investigación o encubrir a los terroristas d</w:t>
      </w:r>
      <w:r>
        <w:t>e</w:t>
      </w:r>
      <w:r>
        <w:t>bieron acreditar la existencia de tres carr</w:t>
      </w:r>
      <w:r>
        <w:t>o</w:t>
      </w:r>
      <w:r>
        <w:t>cerías –la de “Messin”, la de Sarapura y la que habría explotado-, lo que no sucedió, toda vez que sólo preparó un vehíc</w:t>
      </w:r>
      <w:r>
        <w:t>u</w:t>
      </w:r>
      <w:r>
        <w:t>lo.</w:t>
      </w:r>
    </w:p>
    <w:p w:rsidR="00224567" w:rsidRDefault="00224567">
      <w:pPr>
        <w:widowControl w:val="0"/>
      </w:pPr>
      <w:r>
        <w:tab/>
        <w:t>Resaltó que los arreglos que notó Schonbrod en la camioneta que estaba frente al domicilio de Telleldín el 9 de julio se compadecían con los del r</w:t>
      </w:r>
      <w:r>
        <w:t>o</w:t>
      </w:r>
      <w:r>
        <w:t>dado de Sarapura, añadiendo que ni el nombrado en primer término, ni quienes declararon en torno a lo sucedido en “Jet Parking” –Alderete, Giser, Glusman y Di Fonzo- dij</w:t>
      </w:r>
      <w:r>
        <w:t>e</w:t>
      </w:r>
      <w:r>
        <w:t>ron haber visto una Trafic con puerta lateral, como se sostiene que poseía el cochebomba.</w:t>
      </w:r>
    </w:p>
    <w:p w:rsidR="00224567" w:rsidRDefault="00224567">
      <w:pPr>
        <w:widowControl w:val="0"/>
      </w:pPr>
      <w:r>
        <w:tab/>
        <w:t>En otro orden, desestimó, por no e</w:t>
      </w:r>
      <w:r>
        <w:t>n</w:t>
      </w:r>
      <w:r>
        <w:t>contrarse probada, la acusación esgrimida contra su p</w:t>
      </w:r>
      <w:r>
        <w:t>u</w:t>
      </w:r>
      <w:r>
        <w:t>pilo en el sentido de que reforzó una camioneta para que carg</w:t>
      </w:r>
      <w:r>
        <w:t>a</w:t>
      </w:r>
      <w:r>
        <w:t>se más peso, logrando un andar liviano, de m</w:t>
      </w:r>
      <w:r>
        <w:t>o</w:t>
      </w:r>
      <w:r>
        <w:t>do tal que no explotase con algún bache.</w:t>
      </w:r>
    </w:p>
    <w:p w:rsidR="00224567" w:rsidRDefault="00224567">
      <w:pPr>
        <w:widowControl w:val="0"/>
      </w:pPr>
      <w:r>
        <w:tab/>
        <w:t>En este punto, remarcó que no existía neces</w:t>
      </w:r>
      <w:r>
        <w:t>i</w:t>
      </w:r>
      <w:r>
        <w:t>dad de hacerlo por cuanto la capacidad de carga del vehículo vendido por Telleldín –1000 kg- superaba la ca</w:t>
      </w:r>
      <w:r>
        <w:t>n</w:t>
      </w:r>
      <w:r>
        <w:t>tidad de explosivo utilizado para la det</w:t>
      </w:r>
      <w:r>
        <w:t>o</w:t>
      </w:r>
      <w:r>
        <w:t>nación. Adunó que si bien fue desvirtuado en el juicio el supuesto atraque con ti</w:t>
      </w:r>
      <w:r>
        <w:t>e</w:t>
      </w:r>
      <w:r>
        <w:t>rra, aún en ese caso el peso máximo –entre atraque y expl</w:t>
      </w:r>
      <w:r>
        <w:t>o</w:t>
      </w:r>
      <w:r>
        <w:t xml:space="preserve">sivo- hubiera sido de </w:t>
      </w:r>
      <w:smartTag w:uri="urn:schemas-microsoft-com:office:smarttags" w:element="metricconverter">
        <w:smartTagPr>
          <w:attr w:name="ProductID" w:val="900 kg"/>
        </w:smartTagPr>
        <w:r>
          <w:t>900 kg</w:t>
        </w:r>
      </w:smartTag>
      <w:r>
        <w:t>.</w:t>
      </w:r>
    </w:p>
    <w:p w:rsidR="00224567" w:rsidRDefault="00224567">
      <w:pPr>
        <w:widowControl w:val="0"/>
      </w:pPr>
      <w:r>
        <w:tab/>
        <w:t>Asimismo, puso de manifiesto que el supue</w:t>
      </w:r>
      <w:r>
        <w:t>s</w:t>
      </w:r>
      <w:r>
        <w:t>to indicio del refuerzo surgió a partir del hallazgo de una hoja de elástico que no coincidía con el resto de las piezas, de lo que los acusadores concluyeron que T</w:t>
      </w:r>
      <w:r>
        <w:t>e</w:t>
      </w:r>
      <w:r>
        <w:t>lleldín armó una camioneta con un elá</w:t>
      </w:r>
      <w:r>
        <w:t>s</w:t>
      </w:r>
      <w:r>
        <w:t>tico de larga y otro de corta, sin importarle que se fuerce el motor, por cua</w:t>
      </w:r>
      <w:r>
        <w:t>n</w:t>
      </w:r>
      <w:r>
        <w:t>to sabía que explotaría.</w:t>
      </w:r>
    </w:p>
    <w:p w:rsidR="00224567" w:rsidRDefault="00224567">
      <w:pPr>
        <w:widowControl w:val="0"/>
      </w:pPr>
      <w:r>
        <w:tab/>
        <w:t>Sin embargo, indicó, no resulta pos</w:t>
      </w:r>
      <w:r>
        <w:t>i</w:t>
      </w:r>
      <w:r>
        <w:t>ble armar un utilitario con un paquete de elásticos de siete hojas y otro de nueve, porque además de forzar el motor, la camioneta quedaría ladeada, conforme las decl</w:t>
      </w:r>
      <w:r>
        <w:t>a</w:t>
      </w:r>
      <w:r>
        <w:t>raciones de Cingolani y Fraga. No consideró lógico que T</w:t>
      </w:r>
      <w:r>
        <w:t>e</w:t>
      </w:r>
      <w:r>
        <w:t>lleldín hubiera armado un vehículo que a simple vista ll</w:t>
      </w:r>
      <w:r>
        <w:t>a</w:t>
      </w:r>
      <w:r>
        <w:t>mara la atención, máxime sin necesidad alguna de r</w:t>
      </w:r>
      <w:r>
        <w:t>e</w:t>
      </w:r>
      <w:r>
        <w:t>fuerzo.</w:t>
      </w:r>
    </w:p>
    <w:p w:rsidR="00224567" w:rsidRDefault="00224567">
      <w:pPr>
        <w:widowControl w:val="0"/>
      </w:pPr>
      <w:r>
        <w:tab/>
        <w:t>Estimó desacertado considerar que el refuerzo tuvo como finalidad lograr un andar que dis</w:t>
      </w:r>
      <w:r>
        <w:t>i</w:t>
      </w:r>
      <w:r>
        <w:t>mule su carga, siendo que dicho andar se mejora reduciendo la curvatura de una o dos hojas de cada paquete de elásticos y no agr</w:t>
      </w:r>
      <w:r>
        <w:t>e</w:t>
      </w:r>
      <w:r>
        <w:t>gando hojas.</w:t>
      </w:r>
    </w:p>
    <w:p w:rsidR="00224567" w:rsidRDefault="00224567">
      <w:pPr>
        <w:widowControl w:val="0"/>
      </w:pPr>
      <w:r>
        <w:tab/>
        <w:t>De igual manera, desechó que así se evitaría su estallido a causa de un bache en el camino, toda vez que se trataba de un explosivo insensible, que precisaba de un detonador.</w:t>
      </w:r>
    </w:p>
    <w:p w:rsidR="00224567" w:rsidRDefault="00224567">
      <w:pPr>
        <w:widowControl w:val="0"/>
      </w:pPr>
      <w:r>
        <w:tab/>
        <w:t>A lo expuesto adunó que no existía ninguna prueba demostrativa de que el encartado hubiera llevado a cabo un trabajo semejante, toda vez que Nit</w:t>
      </w:r>
      <w:r>
        <w:t>z</w:t>
      </w:r>
      <w:r>
        <w:t>caner no poseía las herramientas requeridas a tal efecto y en el taller de Cotoras era imposible llevar a cabo la t</w:t>
      </w:r>
      <w:r>
        <w:t>a</w:t>
      </w:r>
      <w:r>
        <w:t>rea.</w:t>
      </w:r>
    </w:p>
    <w:p w:rsidR="00224567" w:rsidRDefault="00224567">
      <w:pPr>
        <w:widowControl w:val="0"/>
      </w:pPr>
      <w:r>
        <w:tab/>
        <w:t>Además, consideró que un refuerzo de elásticos no podía llevar a concluir, por sí solo, que la camioneta sería utilizada para un atentado, por cuanto p</w:t>
      </w:r>
      <w:r>
        <w:t>o</w:t>
      </w:r>
      <w:r>
        <w:t>día obedecer a innumerables razones.</w:t>
      </w:r>
    </w:p>
    <w:p w:rsidR="00224567" w:rsidRDefault="00224567">
      <w:pPr>
        <w:widowControl w:val="0"/>
      </w:pPr>
      <w:r>
        <w:rPr>
          <w:lang w:val="es-MX"/>
        </w:rPr>
        <w:tab/>
        <w:t xml:space="preserve">En otro orden, resaltó que </w:t>
      </w:r>
      <w:r>
        <w:t>Telleldín</w:t>
      </w:r>
      <w:r>
        <w:rPr>
          <w:lang w:val="es-MX"/>
        </w:rPr>
        <w:t xml:space="preserve"> </w:t>
      </w:r>
      <w:r>
        <w:t xml:space="preserve">pudo haber erradicado el número de motor de </w:t>
      </w:r>
      <w:smartTag w:uri="urn:schemas-microsoft-com:office:smarttags" w:element="PersonName">
        <w:smartTagPr>
          <w:attr w:name="ProductID" w:val="la Trafic"/>
        </w:smartTagPr>
        <w:r>
          <w:t>la Trafic</w:t>
        </w:r>
      </w:smartTag>
      <w:r>
        <w:t xml:space="preserve"> de “Messin”, elim</w:t>
      </w:r>
      <w:r>
        <w:t>i</w:t>
      </w:r>
      <w:r>
        <w:t>nando de esa manera el dato que, en caso de aparecer, llevaría la investigación directamente a su pe</w:t>
      </w:r>
      <w:r>
        <w:t>r</w:t>
      </w:r>
      <w:r>
        <w:t>sona, conforme los dichos de los peritos Gra</w:t>
      </w:r>
      <w:r>
        <w:t>n</w:t>
      </w:r>
      <w:r>
        <w:t>ja y Macchi.</w:t>
      </w:r>
    </w:p>
    <w:p w:rsidR="00224567" w:rsidRDefault="00224567">
      <w:pPr>
        <w:widowControl w:val="0"/>
      </w:pPr>
      <w:r>
        <w:tab/>
        <w:t>No se explicó la defensa los térm</w:t>
      </w:r>
      <w:r>
        <w:t>i</w:t>
      </w:r>
      <w:r>
        <w:t>nos de la acusación de la querella “Memoria Activa”, en el sentido de que su asistido no borró la numeración porque confió que el motor se destruiría con la expl</w:t>
      </w:r>
      <w:r>
        <w:t>o</w:t>
      </w:r>
      <w:r>
        <w:t>sión y, para el caso de que ello no sucediese, precon</w:t>
      </w:r>
      <w:r>
        <w:t>s</w:t>
      </w:r>
      <w:r>
        <w:t>tituyó prueba de una supuesta venta. Ello, por cuanto entendió que en caso de no resultar destruido, lo más razonable hubiera sido borrarle la numer</w:t>
      </w:r>
      <w:r>
        <w:t>a</w:t>
      </w:r>
      <w:r>
        <w:t>ción.</w:t>
      </w:r>
    </w:p>
    <w:p w:rsidR="00224567" w:rsidRDefault="00224567">
      <w:pPr>
        <w:pStyle w:val="Ttulo5"/>
        <w:keepNext w:val="0"/>
        <w:widowControl w:val="0"/>
        <w:spacing w:line="600" w:lineRule="auto"/>
        <w:rPr>
          <w:b w:val="0"/>
          <w:bCs w:val="0"/>
        </w:rPr>
      </w:pPr>
      <w:bookmarkStart w:id="25" w:name="_Toc86676541"/>
      <w:r>
        <w:t>B.2.b)</w:t>
      </w:r>
      <w:r>
        <w:rPr>
          <w:b w:val="0"/>
          <w:bCs w:val="0"/>
        </w:rPr>
        <w:t xml:space="preserve"> Elásticos.</w:t>
      </w:r>
      <w:bookmarkEnd w:id="25"/>
    </w:p>
    <w:p w:rsidR="00224567" w:rsidRDefault="00224567">
      <w:pPr>
        <w:widowControl w:val="0"/>
      </w:pPr>
      <w:r>
        <w:rPr>
          <w:bCs/>
        </w:rPr>
        <w:tab/>
        <w:t xml:space="preserve">Carlos Alberto Telleldín </w:t>
      </w:r>
      <w:r>
        <w:t>negó haber modificado los elásticos de alguna de las camionetas que armó.</w:t>
      </w:r>
    </w:p>
    <w:p w:rsidR="00224567" w:rsidRDefault="00224567">
      <w:pPr>
        <w:widowControl w:val="0"/>
        <w:rPr>
          <w:bCs/>
        </w:rPr>
      </w:pPr>
      <w:r>
        <w:tab/>
        <w:t>L</w:t>
      </w:r>
      <w:r>
        <w:rPr>
          <w:bCs/>
        </w:rPr>
        <w:t>a alegación de las partes acusad</w:t>
      </w:r>
      <w:r>
        <w:rPr>
          <w:bCs/>
        </w:rPr>
        <w:t>o</w:t>
      </w:r>
      <w:r>
        <w:rPr>
          <w:bCs/>
        </w:rPr>
        <w:t xml:space="preserve">ras en el sentido de que el refuerzo de los elásticos de </w:t>
      </w:r>
      <w:smartTag w:uri="urn:schemas-microsoft-com:office:smarttags" w:element="PersonName">
        <w:smartTagPr>
          <w:attr w:name="ProductID" w:val="la Trafic"/>
        </w:smartTagPr>
        <w:r>
          <w:rPr>
            <w:bCs/>
          </w:rPr>
          <w:t>la Trafic</w:t>
        </w:r>
      </w:smartTag>
      <w:r>
        <w:rPr>
          <w:bCs/>
        </w:rPr>
        <w:t xml:space="preserve"> respondió a un encargue especial efectuado al imp</w:t>
      </w:r>
      <w:r>
        <w:rPr>
          <w:bCs/>
        </w:rPr>
        <w:t>u</w:t>
      </w:r>
      <w:r>
        <w:rPr>
          <w:bCs/>
        </w:rPr>
        <w:t>tado, que éste llevó a cabo con conocimiento del destino que habría de darse al rodado, deviene antojadiza e infu</w:t>
      </w:r>
      <w:r>
        <w:rPr>
          <w:bCs/>
        </w:rPr>
        <w:t>n</w:t>
      </w:r>
      <w:r>
        <w:rPr>
          <w:bCs/>
        </w:rPr>
        <w:t>dada y, en consecuencia, deberá descartarse como elemento ca</w:t>
      </w:r>
      <w:r>
        <w:rPr>
          <w:bCs/>
        </w:rPr>
        <w:t>r</w:t>
      </w:r>
      <w:r>
        <w:rPr>
          <w:bCs/>
        </w:rPr>
        <w:t>goso.</w:t>
      </w:r>
    </w:p>
    <w:p w:rsidR="00224567" w:rsidRDefault="00224567">
      <w:pPr>
        <w:widowControl w:val="0"/>
      </w:pPr>
      <w:r>
        <w:tab/>
        <w:t>Ello es así en razón de que no se acreditó en autos que Telleldín hubiera realizado tal r</w:t>
      </w:r>
      <w:r>
        <w:t>e</w:t>
      </w:r>
      <w:r>
        <w:t>fuerzo. Dos circunstancias avalan tal aserto: la pr</w:t>
      </w:r>
      <w:r>
        <w:t>i</w:t>
      </w:r>
      <w:r>
        <w:t>mera, es que al no haberse establecido qué carrocería se empleó como cochebomba, mal puede recrearse su historial y, co</w:t>
      </w:r>
      <w:r>
        <w:t>n</w:t>
      </w:r>
      <w:r>
        <w:t>secuentemente, si sus anteriores propietarios habían re</w:t>
      </w:r>
      <w:r>
        <w:t>a</w:t>
      </w:r>
      <w:r>
        <w:t>lizado alguna modificación en el sistema de suspe</w:t>
      </w:r>
      <w:r>
        <w:t>n</w:t>
      </w:r>
      <w:r>
        <w:t>sión.</w:t>
      </w:r>
    </w:p>
    <w:p w:rsidR="00224567" w:rsidRDefault="00224567">
      <w:pPr>
        <w:widowControl w:val="0"/>
      </w:pPr>
      <w:r>
        <w:tab/>
        <w:t>La segunda, que para reforzar los elásticos de un vehículo, según el especialista en suspe</w:t>
      </w:r>
      <w:r>
        <w:t>n</w:t>
      </w:r>
      <w:r>
        <w:t>sión Sergio Daniel Fraga, se requerían conocimientos y h</w:t>
      </w:r>
      <w:r>
        <w:t>e</w:t>
      </w:r>
      <w:r>
        <w:t>rramientas especiales, como ser máquinas para curvar las hojas o, según lo explicó su colega Roberto Eduardo Ruiz, herramientas neumáticas, incluso fraguas, morsas y máqu</w:t>
      </w:r>
      <w:r>
        <w:t>i</w:t>
      </w:r>
      <w:r>
        <w:t>nas de curvar.</w:t>
      </w:r>
    </w:p>
    <w:p w:rsidR="00224567" w:rsidRDefault="00224567">
      <w:pPr>
        <w:widowControl w:val="0"/>
      </w:pPr>
      <w:r>
        <w:tab/>
        <w:t>En esa inteligencia, cabe poner de r</w:t>
      </w:r>
      <w:r>
        <w:t>e</w:t>
      </w:r>
      <w:r>
        <w:t>salto que no se secuestraron en poder de Telleldín ni en los talleres con los que trabajaba –el de Cotoras o el de Nitzcaner- ninguno de esos elementos, sumado a que no h</w:t>
      </w:r>
      <w:r>
        <w:t>i</w:t>
      </w:r>
      <w:r>
        <w:t>cieron mención de ellos los preventores o testigos que participaron en los respectivos allanamientos (</w:t>
      </w:r>
      <w:r>
        <w:rPr>
          <w:spacing w:val="-2"/>
        </w:rPr>
        <w:t>cónf.</w:t>
      </w:r>
      <w:r>
        <w:t xml:space="preserve"> actas de fs. 379, 409vta./410, 417/418, 6952/6956 y 10.561/10.562 y declaraciones de Gabriel Eduardo Pittal</w:t>
      </w:r>
      <w:r>
        <w:t>u</w:t>
      </w:r>
      <w:r>
        <w:t>ga, Héctor Carlos Pellegrini, Jorge Omar González, Oscar Mario Beitía, Ramón Weiss, Héctor Alberto Spelta, Franci</w:t>
      </w:r>
      <w:r>
        <w:t>s</w:t>
      </w:r>
      <w:r>
        <w:t>co Tomás Bruno, Guillermo Raúl L</w:t>
      </w:r>
      <w:r>
        <w:t>a</w:t>
      </w:r>
      <w:r>
        <w:t>tino, Carlos Mario Vispo, Pedro Ancona, Augusto Carlos Curel, Rolando Guillermo Go</w:t>
      </w:r>
      <w:r>
        <w:t>i</w:t>
      </w:r>
      <w:r>
        <w:t>cochea, Martín Daniel Ivaldi, Juan Antonio Salguero y P</w:t>
      </w:r>
      <w:r>
        <w:t>e</w:t>
      </w:r>
      <w:r>
        <w:t>dro Alejandro Sarapura).</w:t>
      </w:r>
    </w:p>
    <w:p w:rsidR="00224567" w:rsidRDefault="00224567">
      <w:pPr>
        <w:widowControl w:val="0"/>
      </w:pPr>
      <w:r>
        <w:tab/>
        <w:t>Tampoco los testigos que relataron las actividades de Telleldín o aquellas desplegadas en los t</w:t>
      </w:r>
      <w:r>
        <w:t>a</w:t>
      </w:r>
      <w:r>
        <w:t>lleres arriba mencionados, incluidos los empleados, al</w:t>
      </w:r>
      <w:r>
        <w:t>u</w:t>
      </w:r>
      <w:r>
        <w:t>dieron a que se hubieran realizado trabajos de esa índole (</w:t>
      </w:r>
      <w:r>
        <w:rPr>
          <w:spacing w:val="-2"/>
        </w:rPr>
        <w:t>cónf.</w:t>
      </w:r>
      <w:r>
        <w:t xml:space="preserve"> declaraciones de Laura Marcela Scillone, Walter Gregorio Fernández, Marcelo Fabián Jouce, Francisco Bo</w:t>
      </w:r>
      <w:r>
        <w:t>n</w:t>
      </w:r>
      <w:r>
        <w:t xml:space="preserve">nefon, Pablo Mario De </w:t>
      </w:r>
      <w:smartTag w:uri="urn:schemas-microsoft-com:office:smarttags" w:element="PersonName">
        <w:smartTagPr>
          <w:attr w:name="ProductID" w:val="La Cruz Ar￩valo"/>
        </w:smartTagPr>
        <w:r>
          <w:t>la Cruz Arévalo</w:t>
        </w:r>
      </w:smartTag>
      <w:r>
        <w:t xml:space="preserve"> y Alicia Noemí Tr</w:t>
      </w:r>
      <w:r>
        <w:t>o</w:t>
      </w:r>
      <w:r>
        <w:t>tonda).</w:t>
      </w:r>
    </w:p>
    <w:p w:rsidR="00224567" w:rsidRDefault="00224567">
      <w:pPr>
        <w:pStyle w:val="Textoindependiente2"/>
        <w:widowControl w:val="0"/>
        <w:rPr>
          <w:rFonts w:ascii="Courier New" w:hAnsi="Courier New" w:cs="Courier New"/>
          <w:bCs/>
          <w:szCs w:val="24"/>
          <w:lang w:val="es-AR"/>
        </w:rPr>
      </w:pPr>
      <w:r>
        <w:rPr>
          <w:rFonts w:ascii="Courier New" w:hAnsi="Courier New" w:cs="Courier New"/>
          <w:bCs/>
          <w:szCs w:val="24"/>
          <w:lang w:val="es-AR"/>
        </w:rPr>
        <w:tab/>
        <w:t>Pero aún admitiendo como cierta la h</w:t>
      </w:r>
      <w:r>
        <w:rPr>
          <w:rFonts w:ascii="Courier New" w:hAnsi="Courier New" w:cs="Courier New"/>
          <w:bCs/>
          <w:szCs w:val="24"/>
          <w:lang w:val="es-AR"/>
        </w:rPr>
        <w:t>i</w:t>
      </w:r>
      <w:r>
        <w:rPr>
          <w:rFonts w:ascii="Courier New" w:hAnsi="Courier New" w:cs="Courier New"/>
          <w:bCs/>
          <w:szCs w:val="24"/>
          <w:lang w:val="es-AR"/>
        </w:rPr>
        <w:t>pótesis de que a Telleldín se le encargó el refuerzo del sistema de suspensión y éste lo llevó a c</w:t>
      </w:r>
      <w:r>
        <w:rPr>
          <w:rFonts w:ascii="Courier New" w:hAnsi="Courier New" w:cs="Courier New"/>
          <w:bCs/>
          <w:szCs w:val="24"/>
          <w:lang w:val="es-AR"/>
        </w:rPr>
        <w:t>a</w:t>
      </w:r>
      <w:r>
        <w:rPr>
          <w:rFonts w:ascii="Courier New" w:hAnsi="Courier New" w:cs="Courier New"/>
          <w:bCs/>
          <w:szCs w:val="24"/>
          <w:lang w:val="es-AR"/>
        </w:rPr>
        <w:t>bo por sí o por terceros, no se acreditó ni existe el menor ind</w:t>
      </w:r>
      <w:r>
        <w:rPr>
          <w:rFonts w:ascii="Courier New" w:hAnsi="Courier New" w:cs="Courier New"/>
          <w:bCs/>
          <w:szCs w:val="24"/>
          <w:lang w:val="es-AR"/>
        </w:rPr>
        <w:t>i</w:t>
      </w:r>
      <w:r>
        <w:rPr>
          <w:rFonts w:ascii="Courier New" w:hAnsi="Courier New" w:cs="Courier New"/>
          <w:bCs/>
          <w:szCs w:val="24"/>
          <w:lang w:val="es-AR"/>
        </w:rPr>
        <w:t>cio de que el nombrado conociera que dicho refuerzo tenía como obj</w:t>
      </w:r>
      <w:r>
        <w:rPr>
          <w:rFonts w:ascii="Courier New" w:hAnsi="Courier New" w:cs="Courier New"/>
          <w:bCs/>
          <w:szCs w:val="24"/>
          <w:lang w:val="es-AR"/>
        </w:rPr>
        <w:t>e</w:t>
      </w:r>
      <w:r>
        <w:rPr>
          <w:rFonts w:ascii="Courier New" w:hAnsi="Courier New" w:cs="Courier New"/>
          <w:bCs/>
          <w:szCs w:val="24"/>
          <w:lang w:val="es-AR"/>
        </w:rPr>
        <w:t>tivo final transportar, sin inconvenientes, una carga e</w:t>
      </w:r>
      <w:r>
        <w:rPr>
          <w:rFonts w:ascii="Courier New" w:hAnsi="Courier New" w:cs="Courier New"/>
          <w:bCs/>
          <w:szCs w:val="24"/>
          <w:lang w:val="es-AR"/>
        </w:rPr>
        <w:t>x</w:t>
      </w:r>
      <w:r>
        <w:rPr>
          <w:rFonts w:ascii="Courier New" w:hAnsi="Courier New" w:cs="Courier New"/>
          <w:bCs/>
          <w:szCs w:val="24"/>
          <w:lang w:val="es-AR"/>
        </w:rPr>
        <w:t>plosiva.</w:t>
      </w:r>
    </w:p>
    <w:p w:rsidR="00224567" w:rsidRDefault="00224567">
      <w:pPr>
        <w:widowControl w:val="0"/>
      </w:pPr>
      <w:r>
        <w:tab/>
        <w:t>En ese entendimiento, el refuerzo que los acusadores pretendieron sostener como indicio válido no se acreditó en autos, eximiendo al Tribunal de todo análisis relacionado con la existencia de un s</w:t>
      </w:r>
      <w:r>
        <w:t>u</w:t>
      </w:r>
      <w:r>
        <w:t>puesto nexo causal entre dicho refuerzo y lo que se pretende probar; esto es, a partir de la presunción –no demostrada- del r</w:t>
      </w:r>
      <w:r>
        <w:t>e</w:t>
      </w:r>
      <w:r>
        <w:t>fuerzo de los elásticos, concluir unívocamente que Telle</w:t>
      </w:r>
      <w:r>
        <w:t>l</w:t>
      </w:r>
      <w:r>
        <w:t xml:space="preserve">dín conocía el destino final de </w:t>
      </w:r>
      <w:smartTag w:uri="urn:schemas-microsoft-com:office:smarttags" w:element="PersonName">
        <w:smartTagPr>
          <w:attr w:name="ProductID" w:val="la Trafic."/>
        </w:smartTagPr>
        <w:r>
          <w:t>la Tr</w:t>
        </w:r>
        <w:r>
          <w:t>a</w:t>
        </w:r>
        <w:r>
          <w:t>fic.</w:t>
        </w:r>
      </w:smartTag>
    </w:p>
    <w:p w:rsidR="00224567" w:rsidRDefault="00224567">
      <w:pPr>
        <w:pStyle w:val="Ttulo5"/>
        <w:keepNext w:val="0"/>
        <w:widowControl w:val="0"/>
        <w:spacing w:line="600" w:lineRule="auto"/>
        <w:rPr>
          <w:b w:val="0"/>
          <w:bCs w:val="0"/>
        </w:rPr>
      </w:pPr>
      <w:bookmarkStart w:id="26" w:name="_Toc86676542"/>
      <w:r>
        <w:t>B.2.c)</w:t>
      </w:r>
      <w:r>
        <w:rPr>
          <w:b w:val="0"/>
          <w:bCs w:val="0"/>
        </w:rPr>
        <w:t xml:space="preserve"> Número de motor.</w:t>
      </w:r>
      <w:bookmarkEnd w:id="26"/>
    </w:p>
    <w:p w:rsidR="00224567" w:rsidRDefault="00224567">
      <w:pPr>
        <w:widowControl w:val="0"/>
      </w:pPr>
      <w:r>
        <w:tab/>
        <w:t>De lo actuado en el debate surge que el motor colocado en la carrocería que transportó el e</w:t>
      </w:r>
      <w:r>
        <w:t>x</w:t>
      </w:r>
      <w:r>
        <w:t>plosivo presentaba su numeración original, habiéndose d</w:t>
      </w:r>
      <w:r>
        <w:t>e</w:t>
      </w:r>
      <w:r>
        <w:t>terminado que correspondía a la camioneta Trafic sinie</w:t>
      </w:r>
      <w:r>
        <w:t>s</w:t>
      </w:r>
      <w:r>
        <w:t>trada que perteneció a la empresa “Me</w:t>
      </w:r>
      <w:r>
        <w:t>s</w:t>
      </w:r>
      <w:r>
        <w:t>sin”.</w:t>
      </w:r>
    </w:p>
    <w:p w:rsidR="00224567" w:rsidRDefault="00224567">
      <w:pPr>
        <w:widowControl w:val="0"/>
      </w:pPr>
      <w:r>
        <w:tab/>
        <w:t>En tal sentido, el per</w:t>
      </w:r>
      <w:r>
        <w:t>i</w:t>
      </w:r>
      <w:r>
        <w:t>taje obrante a fs. 63 del Informe Preliminar da cuenta de que corre</w:t>
      </w:r>
      <w:r>
        <w:t>s</w:t>
      </w:r>
      <w:r>
        <w:t>ponde a un bloque de fundición marca Renault que llevaba esta</w:t>
      </w:r>
      <w:r>
        <w:t>m</w:t>
      </w:r>
      <w:r>
        <w:t>pado de fábrica el número 2.831.467; en los mismos térm</w:t>
      </w:r>
      <w:r>
        <w:t>i</w:t>
      </w:r>
      <w:r>
        <w:t>nos se pronunciaron los peritos Jorge Roberto Granja y Jorge A</w:t>
      </w:r>
      <w:r>
        <w:t>l</w:t>
      </w:r>
      <w:r>
        <w:t>berto Macchi.</w:t>
      </w:r>
    </w:p>
    <w:p w:rsidR="00224567" w:rsidRDefault="00224567">
      <w:pPr>
        <w:widowControl w:val="0"/>
      </w:pPr>
      <w:r>
        <w:tab/>
        <w:t>Si bien los acusadores pretendieron encontrar en la no alteración o supresión del número or</w:t>
      </w:r>
      <w:r>
        <w:t>i</w:t>
      </w:r>
      <w:r>
        <w:t>ginal una maniobra de Telleldín para presentarse, en caso de que la explosión no destruyera el motor, como un vend</w:t>
      </w:r>
      <w:r>
        <w:t>e</w:t>
      </w:r>
      <w:r>
        <w:t>dor de buena fe o como una práctica habitual en sus oper</w:t>
      </w:r>
      <w:r>
        <w:t>a</w:t>
      </w:r>
      <w:r>
        <w:t>ciones de venta de coches “doblados”, cierto es que aquel extremo permite sostener, en principio, su desconocimiento acerca del destino que habría de dársele al vehículo. Es que resulta fuera de toda lógica y de la experiencia cot</w:t>
      </w:r>
      <w:r>
        <w:t>i</w:t>
      </w:r>
      <w:r>
        <w:t>diana sostener que Telleldín no llevó a cabo la maniobra erradicatoria al sólo efecto de intentar un descargo bas</w:t>
      </w:r>
      <w:r>
        <w:t>a</w:t>
      </w:r>
      <w:r>
        <w:t>do en la buena fe, para el caso de que la investigación diera con su persona.</w:t>
      </w:r>
    </w:p>
    <w:p w:rsidR="00224567" w:rsidRDefault="00224567">
      <w:pPr>
        <w:widowControl w:val="0"/>
      </w:pPr>
      <w:r>
        <w:tab/>
        <w:t>En especial, no se vislumbra qué int</w:t>
      </w:r>
      <w:r>
        <w:t>e</w:t>
      </w:r>
      <w:r>
        <w:t>rés podía tener Telleldín para involucrarse en un proc</w:t>
      </w:r>
      <w:r>
        <w:t>e</w:t>
      </w:r>
      <w:r>
        <w:t>so judicial; máxime cuando sobre él pesaban órdenes de dete</w:t>
      </w:r>
      <w:r>
        <w:t>n</w:t>
      </w:r>
      <w:r>
        <w:t>ción –</w:t>
      </w:r>
      <w:r>
        <w:rPr>
          <w:spacing w:val="-2"/>
        </w:rPr>
        <w:t>cónf.</w:t>
      </w:r>
      <w:r>
        <w:t xml:space="preserve"> certificado actuarial de fs. 13 de su incide</w:t>
      </w:r>
      <w:r>
        <w:t>n</w:t>
      </w:r>
      <w:r>
        <w:t>te de personalidad- y el motor hallado entre los esco</w:t>
      </w:r>
      <w:r>
        <w:t>m</w:t>
      </w:r>
      <w:r>
        <w:t>bros había sido objeto de una maniobra de doblaje de automot</w:t>
      </w:r>
      <w:r>
        <w:t>o</w:t>
      </w:r>
      <w:r>
        <w:t>res.</w:t>
      </w:r>
    </w:p>
    <w:p w:rsidR="00224567" w:rsidRDefault="00224567">
      <w:pPr>
        <w:widowControl w:val="0"/>
      </w:pPr>
      <w:r>
        <w:tab/>
        <w:t>En suma, no se alcanza a comprender de qué manera podría Telleldín invocar su buena fe si desde el inicio se vería constreñido a confesar un delito rel</w:t>
      </w:r>
      <w:r>
        <w:t>a</w:t>
      </w:r>
      <w:r>
        <w:t>cionado con la colocación de ese motor en una carrocería su</w:t>
      </w:r>
      <w:r>
        <w:t>s</w:t>
      </w:r>
      <w:r>
        <w:t>traída.</w:t>
      </w:r>
    </w:p>
    <w:p w:rsidR="00224567" w:rsidRDefault="00224567">
      <w:pPr>
        <w:widowControl w:val="0"/>
      </w:pPr>
      <w:r>
        <w:tab/>
        <w:t>Todo cuanto se pueda decir acerca de lo que podría haber hecho Telleldín o de lo que dejó de hacer a fin de erradicar el número de motor es meramente conjetural e hipotético, más aún teniendo en cons</w:t>
      </w:r>
      <w:r>
        <w:t>i</w:t>
      </w:r>
      <w:r>
        <w:t xml:space="preserve">deración los dichos de los peritos de </w:t>
      </w:r>
      <w:smartTag w:uri="urn:schemas-microsoft-com:office:smarttags" w:element="PersonName">
        <w:smartTagPr>
          <w:attr w:name="ProductID" w:val="la Divisi￳n Laboratorio"/>
        </w:smartTagPr>
        <w:r>
          <w:t>la División Laboratorio</w:t>
        </w:r>
      </w:smartTag>
      <w:r>
        <w:t xml:space="preserve"> Qu</w:t>
      </w:r>
      <w:r>
        <w:t>í</w:t>
      </w:r>
      <w:r>
        <w:t xml:space="preserve">mico de </w:t>
      </w:r>
      <w:smartTag w:uri="urn:schemas-microsoft-com:office:smarttags" w:element="PersonName">
        <w:smartTagPr>
          <w:attr w:name="ProductID" w:val="la Polic￭a Federal"/>
        </w:smartTagPr>
        <w:r>
          <w:t>la Policía Federal</w:t>
        </w:r>
      </w:smartTag>
      <w:r>
        <w:t>, quienes explic</w:t>
      </w:r>
      <w:r>
        <w:t>a</w:t>
      </w:r>
      <w:r>
        <w:t>ron que existen métodos para eliminar de manera definitiva el número de motor.</w:t>
      </w:r>
    </w:p>
    <w:p w:rsidR="00224567" w:rsidRDefault="00224567">
      <w:pPr>
        <w:widowControl w:val="0"/>
      </w:pPr>
      <w:r>
        <w:tab/>
        <w:t>En tales condiciones, los argumentos de los acusadores resultan inconsistentes y voluntari</w:t>
      </w:r>
      <w:r>
        <w:t>s</w:t>
      </w:r>
      <w:r>
        <w:t>tas, sobre todo cuando ningún elemento del proceso permite d</w:t>
      </w:r>
      <w:r>
        <w:t>e</w:t>
      </w:r>
      <w:r>
        <w:t>mostrar que el imputado obró en el sentido expuesto por aquellos.</w:t>
      </w:r>
    </w:p>
    <w:p w:rsidR="00224567" w:rsidRDefault="00224567">
      <w:pPr>
        <w:widowControl w:val="0"/>
      </w:pPr>
      <w:r>
        <w:tab/>
        <w:t>Vale reiterar, en ese orden, que las opiniones de los acusadores no trascienden el mero plano de lo hipotético, toda vez que ningún elemento permite r</w:t>
      </w:r>
      <w:r>
        <w:t>e</w:t>
      </w:r>
      <w:r>
        <w:t>crear si el imputado tuvo en mente alguna finalidad en particular al dejar la numeración original; darles algún valor implicaría transformar sus deducciones en eleme</w:t>
      </w:r>
      <w:r>
        <w:t>n</w:t>
      </w:r>
      <w:r>
        <w:t>tos de cargo, además de invertir la carga de la prueba en pe</w:t>
      </w:r>
      <w:r>
        <w:t>r</w:t>
      </w:r>
      <w:r>
        <w:t>juicio de aquél.</w:t>
      </w:r>
    </w:p>
    <w:p w:rsidR="00224567" w:rsidRDefault="00224567">
      <w:pPr>
        <w:widowControl w:val="0"/>
      </w:pPr>
      <w:r>
        <w:tab/>
        <w:t>Al respecto, cabe poner de resalto la contradicción que se advierte en el discurso de los acus</w:t>
      </w:r>
      <w:r>
        <w:t>a</w:t>
      </w:r>
      <w:r>
        <w:t>dores, quienes, por un lado, afirman que Telleldín prete</w:t>
      </w:r>
      <w:r>
        <w:t>n</w:t>
      </w:r>
      <w:r>
        <w:t>dió mostrarse como un vendedor de buena fe, mientras que por otro, sostienen que huyó para que no p</w:t>
      </w:r>
      <w:r>
        <w:t>u</w:t>
      </w:r>
      <w:r>
        <w:t>dieran dar con él.</w:t>
      </w:r>
    </w:p>
    <w:p w:rsidR="00224567" w:rsidRDefault="00224567">
      <w:pPr>
        <w:widowControl w:val="0"/>
      </w:pPr>
      <w:r>
        <w:tab/>
        <w:t xml:space="preserve">Por último, corresponde desechar la comparación que </w:t>
      </w:r>
      <w:smartTag w:uri="urn:schemas-microsoft-com:office:smarttags" w:element="PersonName">
        <w:smartTagPr>
          <w:attr w:name="ProductID" w:val="La Dra. Nercellas"/>
        </w:smartTagPr>
        <w:r>
          <w:t>la Dra. Nercellas</w:t>
        </w:r>
      </w:smartTag>
      <w:r>
        <w:t xml:space="preserve"> efectuó entre el motor del cochebomba y el del Renault 9 hallado en la vivienda de República </w:t>
      </w:r>
      <w:smartTag w:uri="urn:schemas-microsoft-com:office:smarttags" w:element="metricconverter">
        <w:smartTagPr>
          <w:attr w:name="ProductID" w:val="107, a"/>
        </w:smartTagPr>
        <w:r>
          <w:t>107, a</w:t>
        </w:r>
      </w:smartTag>
      <w:r>
        <w:t xml:space="preserve"> partir de la cual sostuvo que no se podía borrar un número de motor pues, en su caso, Telle</w:t>
      </w:r>
      <w:r>
        <w:t>l</w:t>
      </w:r>
      <w:r>
        <w:t>dín hubiera intentado hacerlo con la numeración del motor del Renault 9, en lugar de  perforarlo y, de  ese modo, inutilizarlo.</w:t>
      </w:r>
    </w:p>
    <w:p w:rsidR="00224567" w:rsidRDefault="00224567">
      <w:pPr>
        <w:widowControl w:val="0"/>
      </w:pPr>
      <w:r>
        <w:tab/>
        <w:t>Sin embargo, la abogada parece olv</w:t>
      </w:r>
      <w:r>
        <w:t>i</w:t>
      </w:r>
      <w:r>
        <w:t>dar que ese motor correspondía a un automóvil su</w:t>
      </w:r>
      <w:r>
        <w:t>s</w:t>
      </w:r>
      <w:r>
        <w:t>traído (</w:t>
      </w:r>
      <w:r>
        <w:rPr>
          <w:spacing w:val="-2"/>
        </w:rPr>
        <w:t>cónf.</w:t>
      </w:r>
      <w:r>
        <w:t xml:space="preserve"> actuaciones de fs. 6149 y 6750/6754) que, de acuerdo a la operatoria desplegada habitualmente por Telleldín para “doblar” vehículos, carecía de utilidad alguna y debía eliminarse, toda vez que sobre las carrocerías de los vehículos robados montaba los motores de los siniestrados que adquiría.</w:t>
      </w:r>
    </w:p>
    <w:p w:rsidR="00224567" w:rsidRDefault="00224567">
      <w:pPr>
        <w:pStyle w:val="Ttulo5"/>
        <w:keepNext w:val="0"/>
        <w:widowControl w:val="0"/>
        <w:spacing w:line="600" w:lineRule="auto"/>
        <w:rPr>
          <w:b w:val="0"/>
          <w:bCs w:val="0"/>
        </w:rPr>
      </w:pPr>
      <w:bookmarkStart w:id="27" w:name="_Toc86676543"/>
      <w:r>
        <w:t>B.2.d)</w:t>
      </w:r>
      <w:r>
        <w:rPr>
          <w:b w:val="0"/>
          <w:bCs w:val="0"/>
        </w:rPr>
        <w:t xml:space="preserve"> Armado de más de una Trafic.</w:t>
      </w:r>
      <w:bookmarkEnd w:id="27"/>
    </w:p>
    <w:p w:rsidR="00224567" w:rsidRDefault="00224567">
      <w:pPr>
        <w:widowControl w:val="0"/>
      </w:pPr>
      <w:r>
        <w:tab/>
        <w:t>Resulta primordial reiterar, a la hora de responder a los planteos formulados por los querella</w:t>
      </w:r>
      <w:r>
        <w:t>n</w:t>
      </w:r>
      <w:r>
        <w:t>tes, las conclusiones a las que se arribó en oportunidad de tratar el tema de la extracción del motor de la cami</w:t>
      </w:r>
      <w:r>
        <w:t>o</w:t>
      </w:r>
      <w:r>
        <w:t>neta de “Messin” y el armado de la de Sarapura.</w:t>
      </w:r>
    </w:p>
    <w:p w:rsidR="00224567" w:rsidRDefault="00224567">
      <w:pPr>
        <w:widowControl w:val="0"/>
      </w:pPr>
      <w:r>
        <w:tab/>
        <w:t>Allí se sostuvo que la prueba colect</w:t>
      </w:r>
      <w:r>
        <w:t>a</w:t>
      </w:r>
      <w:r>
        <w:t xml:space="preserve">da no permitió determinar qué motor fue montado sobre la carrocería de </w:t>
      </w:r>
      <w:smartTag w:uri="urn:schemas-microsoft-com:office:smarttags" w:element="PersonName">
        <w:smartTagPr>
          <w:attr w:name="ProductID" w:val="la Trafic"/>
        </w:smartTagPr>
        <w:r>
          <w:t>la Trafic</w:t>
        </w:r>
      </w:smartTag>
      <w:r>
        <w:t xml:space="preserve"> de Sarapura, es decir, si fue el de “Messin” u otro, concluyéndose que la última con</w:t>
      </w:r>
      <w:r>
        <w:t>s</w:t>
      </w:r>
      <w:r>
        <w:t xml:space="preserve">tancia cierta acerca del derrotero del motor del utilitario de “Messin”, previo a su hallazgo entre los escombros de </w:t>
      </w:r>
      <w:smartTag w:uri="urn:schemas-microsoft-com:office:smarttags" w:element="PersonName">
        <w:smartTagPr>
          <w:attr w:name="ProductID" w:val="la A.M"/>
        </w:smartTagPr>
        <w:r>
          <w:t>la A.M</w:t>
        </w:r>
      </w:smartTag>
      <w:r>
        <w:t>.I.A., se ubicaba en el domicilio de Cotoras, la n</w:t>
      </w:r>
      <w:r>
        <w:t>o</w:t>
      </w:r>
      <w:r>
        <w:t>che del 4 de julio de 1994.</w:t>
      </w:r>
    </w:p>
    <w:p w:rsidR="00224567" w:rsidRDefault="00224567">
      <w:pPr>
        <w:widowControl w:val="0"/>
      </w:pPr>
      <w:r>
        <w:tab/>
        <w:t>Así las cosas, no se demostró que Ca</w:t>
      </w:r>
      <w:r>
        <w:t>r</w:t>
      </w:r>
      <w:r>
        <w:t>los Alberto Telleldín haya armado más de una cami</w:t>
      </w:r>
      <w:r>
        <w:t>o</w:t>
      </w:r>
      <w:r>
        <w:t>neta ni cuál fue el utilit</w:t>
      </w:r>
      <w:r>
        <w:t>a</w:t>
      </w:r>
      <w:r>
        <w:t>rio que estuvo estacionado frente a su domicilio el fin de semana del 9 y 10 de julio de 1994, como tampoco si éste poseía el motor de “Messin” u otro.</w:t>
      </w:r>
    </w:p>
    <w:p w:rsidR="00224567" w:rsidRDefault="00224567">
      <w:pPr>
        <w:widowControl w:val="0"/>
      </w:pPr>
      <w:r>
        <w:tab/>
        <w:t>En definitiva, la prueba de cargo i</w:t>
      </w:r>
      <w:r>
        <w:t>n</w:t>
      </w:r>
      <w:r>
        <w:t>vocada no alcanza la calidad de indicio, toda vez que no se acreditó el armado de dos utilitarios. Consecuenteme</w:t>
      </w:r>
      <w:r>
        <w:t>n</w:t>
      </w:r>
      <w:r>
        <w:t>te, al no encontrarse probado el hecho del que los acus</w:t>
      </w:r>
      <w:r>
        <w:t>a</w:t>
      </w:r>
      <w:r>
        <w:t>dores intentan partir, el Tribunal se encuentra ex</w:t>
      </w:r>
      <w:r>
        <w:t>i</w:t>
      </w:r>
      <w:r>
        <w:t>mido de avanzar en su análisis.</w:t>
      </w:r>
    </w:p>
    <w:p w:rsidR="00224567" w:rsidRDefault="00224567">
      <w:pPr>
        <w:widowControl w:val="0"/>
      </w:pPr>
      <w:r>
        <w:tab/>
        <w:t>Sin perjuicio de ello, se advierte que la querella unificada D.A.I.A., A.M.I.A. y “Grupo de Fam</w:t>
      </w:r>
      <w:r>
        <w:t>i</w:t>
      </w:r>
      <w:r>
        <w:t>liares” fundó el reproche a Telleldín a partir de po</w:t>
      </w:r>
      <w:r>
        <w:t>n</w:t>
      </w:r>
      <w:r>
        <w:t>derar como mentirosa la versión de los hechos ofrecida por éste y por considerar carentes de explicación algunas circun</w:t>
      </w:r>
      <w:r>
        <w:t>s</w:t>
      </w:r>
      <w:r>
        <w:t>tancias.</w:t>
      </w:r>
    </w:p>
    <w:p w:rsidR="00224567" w:rsidRDefault="00224567">
      <w:pPr>
        <w:pStyle w:val="Sangradetextonormal"/>
        <w:widowControl w:val="0"/>
        <w:ind w:firstLine="0"/>
      </w:pPr>
      <w:r>
        <w:tab/>
        <w:t>Sin perjuicio de que tales cuesti</w:t>
      </w:r>
      <w:r>
        <w:t>o</w:t>
      </w:r>
      <w:r>
        <w:t>nes habrán de tratarse en otro acápite, corresponde señalar que la circunstancia de que en algunos casos las explic</w:t>
      </w:r>
      <w:r>
        <w:t>a</w:t>
      </w:r>
      <w:r>
        <w:t>ciones de Telleldín no hayan encontrado respaldo en el proceso o que en otros no hayan sido desvirtuadas, mal puede erigirse como demostrativa de su culpabilidad, en razón que resulta inadmisible endilgarle al acusado cue</w:t>
      </w:r>
      <w:r>
        <w:t>s</w:t>
      </w:r>
      <w:r>
        <w:t>tiones de orfandad probatoria derivadas de la incertidu</w:t>
      </w:r>
      <w:r>
        <w:t>m</w:t>
      </w:r>
      <w:r>
        <w:t>bre acerca de cómo sucedieron determinados acontecimie</w:t>
      </w:r>
      <w:r>
        <w:t>n</w:t>
      </w:r>
      <w:r>
        <w:t>tos.</w:t>
      </w:r>
    </w:p>
    <w:p w:rsidR="00224567" w:rsidRDefault="00224567">
      <w:pPr>
        <w:widowControl w:val="0"/>
      </w:pPr>
      <w:r>
        <w:tab/>
        <w:t>Por lo demás, claro resulta que la carga de la prueba reside en cabeza de quienes acusan y que su inversión implica vulnerar la garantía constituci</w:t>
      </w:r>
      <w:r>
        <w:t>o</w:t>
      </w:r>
      <w:r>
        <w:t>nal del debido proceso. Al respecto, puntualiza Aleja</w:t>
      </w:r>
      <w:r>
        <w:t>n</w:t>
      </w:r>
      <w:r>
        <w:t>dro Carrió, que el principio por el cual es la parte acus</w:t>
      </w:r>
      <w:r>
        <w:t>a</w:t>
      </w:r>
      <w:r>
        <w:t>dora la que tiene a su cargo la demostración de la culpabilidad del imputado, y no éste la de su inocencia, es una deriv</w:t>
      </w:r>
      <w:r>
        <w:t>a</w:t>
      </w:r>
      <w:r>
        <w:t xml:space="preserve">ción de la garantía de la defensa en juicio, contenida en el art. 18 de </w:t>
      </w:r>
      <w:smartTag w:uri="urn:schemas-microsoft-com:office:smarttags" w:element="PersonName">
        <w:smartTagPr>
          <w:attr w:name="ProductID" w:val="la Constituci￳n Nacional"/>
        </w:smartTagPr>
        <w:r>
          <w:t>la Constitución Nacional</w:t>
        </w:r>
      </w:smartTag>
      <w:r>
        <w:t xml:space="preserve"> (</w:t>
      </w:r>
      <w:r>
        <w:rPr>
          <w:spacing w:val="-2"/>
        </w:rPr>
        <w:t>cónf.</w:t>
      </w:r>
      <w:r>
        <w:t xml:space="preserve"> “Garantías Constitucionales en el Proceso Penal”, Hammurabi, Buenos Aires, 2003, pág. 511).</w:t>
      </w:r>
    </w:p>
    <w:p w:rsidR="00224567" w:rsidRDefault="00224567">
      <w:pPr>
        <w:pStyle w:val="Ttulo5"/>
        <w:keepNext w:val="0"/>
        <w:widowControl w:val="0"/>
        <w:spacing w:line="600" w:lineRule="auto"/>
        <w:rPr>
          <w:b w:val="0"/>
          <w:bCs w:val="0"/>
        </w:rPr>
      </w:pPr>
      <w:bookmarkStart w:id="28" w:name="_Toc86676544"/>
      <w:r>
        <w:t xml:space="preserve">B.2.e) </w:t>
      </w:r>
      <w:r>
        <w:rPr>
          <w:b w:val="0"/>
          <w:bCs w:val="0"/>
        </w:rPr>
        <w:t>Carrocería cerrada.</w:t>
      </w:r>
      <w:bookmarkEnd w:id="28"/>
    </w:p>
    <w:p w:rsidR="00224567" w:rsidRDefault="00224567">
      <w:pPr>
        <w:widowControl w:val="0"/>
      </w:pPr>
      <w:r>
        <w:tab/>
        <w:t>Una vez más el Tribunal se ve fo</w:t>
      </w:r>
      <w:r>
        <w:t>r</w:t>
      </w:r>
      <w:r>
        <w:t>zado a responder planteos no sólo hipotéticos, sino también i</w:t>
      </w:r>
      <w:r>
        <w:t>n</w:t>
      </w:r>
      <w:r>
        <w:t>consistentes y hasta caprichosos.</w:t>
      </w:r>
    </w:p>
    <w:p w:rsidR="00224567" w:rsidRDefault="00224567">
      <w:pPr>
        <w:widowControl w:val="0"/>
      </w:pPr>
      <w:r>
        <w:tab/>
        <w:t>Este es el caso del argumento ve</w:t>
      </w:r>
      <w:r>
        <w:t>r</w:t>
      </w:r>
      <w:r>
        <w:t>tido por el representante de “Memoria Activa”, quien sostuvo que Telleldín empleó una carrocería cerrada para que la carga transportada no fuera vista desde el ext</w:t>
      </w:r>
      <w:r>
        <w:t>e</w:t>
      </w:r>
      <w:r>
        <w:t>rior.</w:t>
      </w:r>
    </w:p>
    <w:p w:rsidR="00224567" w:rsidRDefault="00224567">
      <w:pPr>
        <w:widowControl w:val="0"/>
      </w:pPr>
      <w:r>
        <w:tab/>
        <w:t>Como se precisó en el acápite corre</w:t>
      </w:r>
      <w:r>
        <w:t>s</w:t>
      </w:r>
      <w:r>
        <w:t>pondiente, no fue posible establecer a qué modelo de Tr</w:t>
      </w:r>
      <w:r>
        <w:t>a</w:t>
      </w:r>
      <w:r>
        <w:t>fic correspondían los restos hallados entre los esco</w:t>
      </w:r>
      <w:r>
        <w:t>m</w:t>
      </w:r>
      <w:r>
        <w:t>bros</w:t>
      </w:r>
      <w:r>
        <w:rPr>
          <w:b/>
          <w:bCs/>
        </w:rPr>
        <w:t>,</w:t>
      </w:r>
      <w:r>
        <w:t xml:space="preserve"> por lo que mal puede afirmarse que la que explotó tenía una carrocería cerrada; por ende, la fa</w:t>
      </w:r>
      <w:r>
        <w:t>l</w:t>
      </w:r>
      <w:r>
        <w:t>ta de acreditación de tal extremo obsta su consideración como indicio y el</w:t>
      </w:r>
      <w:r>
        <w:t>i</w:t>
      </w:r>
      <w:r>
        <w:t>mina el carácter cargoso que se pr</w:t>
      </w:r>
      <w:r>
        <w:t>e</w:t>
      </w:r>
      <w:r>
        <w:t>tende asignarle.</w:t>
      </w:r>
    </w:p>
    <w:p w:rsidR="00224567" w:rsidRDefault="00224567">
      <w:pPr>
        <w:widowControl w:val="0"/>
      </w:pPr>
      <w:r>
        <w:tab/>
        <w:t>Por lo demás, la circunstancia de que hubiera entregado una camioneta de furgón cerrado nada permite extraer, so riesgo de caer en razonamientos puer</w:t>
      </w:r>
      <w:r>
        <w:t>i</w:t>
      </w:r>
      <w:r>
        <w:t>les, al momento de acreditar un presunto conoc</w:t>
      </w:r>
      <w:r>
        <w:t>i</w:t>
      </w:r>
      <w:r>
        <w:t>miento del destino que habría de dársele, toda vez que esa caract</w:t>
      </w:r>
      <w:r>
        <w:t>e</w:t>
      </w:r>
      <w:r>
        <w:t>rística no es privativa de los cochebo</w:t>
      </w:r>
      <w:r>
        <w:t>m</w:t>
      </w:r>
      <w:r>
        <w:t>ba.</w:t>
      </w:r>
    </w:p>
    <w:p w:rsidR="00224567" w:rsidRDefault="00224567">
      <w:pPr>
        <w:pStyle w:val="Ttulo4"/>
        <w:widowControl w:val="0"/>
        <w:spacing w:line="600" w:lineRule="auto"/>
      </w:pPr>
      <w:r>
        <w:tab/>
      </w:r>
      <w:bookmarkStart w:id="29" w:name="_Toc86676545"/>
      <w:r>
        <w:t>B.3) Preconstitución de prueba.</w:t>
      </w:r>
      <w:bookmarkEnd w:id="29"/>
    </w:p>
    <w:p w:rsidR="00224567" w:rsidRDefault="00224567">
      <w:pPr>
        <w:pStyle w:val="Ttulo5"/>
        <w:keepNext w:val="0"/>
        <w:widowControl w:val="0"/>
        <w:spacing w:line="600" w:lineRule="auto"/>
        <w:rPr>
          <w:b w:val="0"/>
          <w:bCs w:val="0"/>
        </w:rPr>
      </w:pPr>
      <w:bookmarkStart w:id="30" w:name="_Toc86676546"/>
      <w:r>
        <w:t xml:space="preserve">B.3.a) </w:t>
      </w:r>
      <w:r>
        <w:rPr>
          <w:b w:val="0"/>
          <w:bCs w:val="0"/>
        </w:rPr>
        <w:t>Consideraciones de las partes.</w:t>
      </w:r>
      <w:bookmarkEnd w:id="30"/>
    </w:p>
    <w:p w:rsidR="00224567" w:rsidRDefault="00224567">
      <w:pPr>
        <w:widowControl w:val="0"/>
      </w:pPr>
      <w:r>
        <w:tab/>
      </w:r>
      <w:r>
        <w:rPr>
          <w:b/>
          <w:bCs/>
        </w:rPr>
        <w:t>B.3.a.i)</w:t>
      </w:r>
      <w:r>
        <w:t xml:space="preserve"> Los representantes de la fi</w:t>
      </w:r>
      <w:r>
        <w:t>s</w:t>
      </w:r>
      <w:r>
        <w:t>calía consideraron que Telleldín preconstituyó pru</w:t>
      </w:r>
      <w:r>
        <w:t>e</w:t>
      </w:r>
      <w:r>
        <w:t>ba para el caso de que fuera aprehendido, en las siguientes oc</w:t>
      </w:r>
      <w:r>
        <w:t>a</w:t>
      </w:r>
      <w:r>
        <w:t>siones: al publicar un aviso de venta en el diario “Cl</w:t>
      </w:r>
      <w:r>
        <w:t>a</w:t>
      </w:r>
      <w:r>
        <w:t>rín”, al involucrar a Nitzcaner, al firmar un boleto de compraventa con datos de una persona que conocía, al ll</w:t>
      </w:r>
      <w:r>
        <w:t>e</w:t>
      </w:r>
      <w:r>
        <w:t>var a Hugo Pérez a la calle San José y al montar una esc</w:t>
      </w:r>
      <w:r>
        <w:t>e</w:t>
      </w:r>
      <w:r>
        <w:t>na en su casa y relatar la supuesta venta del 10 de julio. Asimismo, señalaron que preparó testigos, como en el caso relatado por su vecina Mirta Giménez, a quien de</w:t>
      </w:r>
      <w:r>
        <w:t>s</w:t>
      </w:r>
      <w:r>
        <w:t xml:space="preserve">pués del atentado su tío le refirió “que el hombre de la casa de enfrente le pidió que dijera que </w:t>
      </w:r>
      <w:smartTag w:uri="urn:schemas-microsoft-com:office:smarttags" w:element="PersonName">
        <w:smartTagPr>
          <w:attr w:name="ProductID" w:val="la Trafic"/>
        </w:smartTagPr>
        <w:r>
          <w:t>la Trafic</w:t>
        </w:r>
      </w:smartTag>
      <w:r>
        <w:t xml:space="preserve"> que estaba en su casa se había ve</w:t>
      </w:r>
      <w:r>
        <w:t>n</w:t>
      </w:r>
      <w:r>
        <w:t>dido”.</w:t>
      </w:r>
    </w:p>
    <w:p w:rsidR="00224567" w:rsidRDefault="00224567">
      <w:pPr>
        <w:widowControl w:val="0"/>
      </w:pPr>
      <w:r>
        <w:tab/>
        <w:t>De lo expuesto concluyeron que Telle</w:t>
      </w:r>
      <w:r>
        <w:t>l</w:t>
      </w:r>
      <w:r>
        <w:t>dín, con la intención de grabar en la memoria de quienes lo escuchaban, habló de una venta y brindó d</w:t>
      </w:r>
      <w:r>
        <w:t>e</w:t>
      </w:r>
      <w:r>
        <w:t>talles de la operación que, en otros casos, no solía dar; todo ello a efectos de dejar rastros que lo mostraran como vend</w:t>
      </w:r>
      <w:r>
        <w:t>e</w:t>
      </w:r>
      <w:r>
        <w:t>dor de buena fe, preconstituyendo prueba para que terceros luego avalen su descargo y así colocarse en una posición idént</w:t>
      </w:r>
      <w:r>
        <w:t>i</w:t>
      </w:r>
      <w:r>
        <w:t>ca a la de quien enajenó el vehículo empleado en el ate</w:t>
      </w:r>
      <w:r>
        <w:t>n</w:t>
      </w:r>
      <w:r>
        <w:t xml:space="preserve">tado a </w:t>
      </w:r>
      <w:smartTag w:uri="urn:schemas-microsoft-com:office:smarttags" w:element="PersonName">
        <w:smartTagPr>
          <w:attr w:name="ProductID" w:val="la Embajada"/>
        </w:smartTagPr>
        <w:r>
          <w:t>la Embajada</w:t>
        </w:r>
      </w:smartTag>
      <w:r>
        <w:t xml:space="preserve"> de Israel.</w:t>
      </w:r>
    </w:p>
    <w:p w:rsidR="00224567" w:rsidRDefault="00224567">
      <w:pPr>
        <w:widowControl w:val="0"/>
      </w:pPr>
      <w:r>
        <w:tab/>
        <w:t>Por otra parte, los fiscales no se e</w:t>
      </w:r>
      <w:r>
        <w:t>x</w:t>
      </w:r>
      <w:r>
        <w:t xml:space="preserve">plicaron el pedido que Telleldín le habría hecho a Monjo para que le sustituya el recibo de venta de </w:t>
      </w:r>
      <w:smartTag w:uri="urn:schemas-microsoft-com:office:smarttags" w:element="PersonName">
        <w:smartTagPr>
          <w:attr w:name="ProductID" w:val="la Renault Trafic"/>
        </w:smartTagPr>
        <w:r>
          <w:t>la Renault Trafic</w:t>
        </w:r>
      </w:smartTag>
      <w:r>
        <w:t xml:space="preserve"> de “Messin”, en el sentido de modificar el nombre del adquirente por el de Pérez, para no fig</w:t>
      </w:r>
      <w:r>
        <w:t>u</w:t>
      </w:r>
      <w:r>
        <w:t>rar.</w:t>
      </w:r>
    </w:p>
    <w:p w:rsidR="00224567" w:rsidRDefault="00224567">
      <w:pPr>
        <w:widowControl w:val="0"/>
      </w:pPr>
      <w:r>
        <w:tab/>
        <w:t>Con relación a la concurrencia del imputado al domicilio consignado en el boleto de compr</w:t>
      </w:r>
      <w:r>
        <w:t>a</w:t>
      </w:r>
      <w:r>
        <w:t>venta, consideraron que no resistía el menor análisis el argumento esgrimido por Telleldín, en el sentido de que solía llevar los formularios “</w:t>
      </w:r>
      <w:smartTag w:uri="urn:schemas-microsoft-com:office:smarttags" w:element="metricconverter">
        <w:smartTagPr>
          <w:attr w:name="ProductID" w:val="08”"/>
        </w:smartTagPr>
        <w:r>
          <w:t>08”</w:t>
        </w:r>
      </w:smartTag>
      <w:r>
        <w:t xml:space="preserve"> aún cuando le sacaban los vehículos en contra de su voluntad. Adun</w:t>
      </w:r>
      <w:r>
        <w:t>a</w:t>
      </w:r>
      <w:r>
        <w:t>ron que Pérez le refirió a Miriam Salinas que no fueron a buscar a ni</w:t>
      </w:r>
      <w:r>
        <w:t>n</w:t>
      </w:r>
      <w:r>
        <w:t>gún comprador a la calle San José, sino tan sólo a dar una vuelta porque sabían que no existía tal dirección.</w:t>
      </w:r>
    </w:p>
    <w:p w:rsidR="00224567" w:rsidRDefault="00224567">
      <w:pPr>
        <w:widowControl w:val="0"/>
      </w:pPr>
      <w:r>
        <w:tab/>
        <w:t>En otro orden, los fiscales relat</w:t>
      </w:r>
      <w:r>
        <w:t>a</w:t>
      </w:r>
      <w:r>
        <w:t>ron que Telleldín huyó para asegurar las condiciones de su e</w:t>
      </w:r>
      <w:r>
        <w:t>n</w:t>
      </w:r>
      <w:r>
        <w:t>trega, confirmar que la versión previamente concert</w:t>
      </w:r>
      <w:r>
        <w:t>a</w:t>
      </w:r>
      <w:r>
        <w:t>da con su mujer fuera volcada, ajustar su coartada y asegurarse que quienes le habían encargado este trabajo respetarían su silencio y no lo dejarían c</w:t>
      </w:r>
      <w:r>
        <w:t>o</w:t>
      </w:r>
      <w:r>
        <w:t>mo el único responsable.</w:t>
      </w:r>
    </w:p>
    <w:p w:rsidR="00224567" w:rsidRDefault="00224567">
      <w:pPr>
        <w:widowControl w:val="0"/>
        <w:ind w:firstLine="2835"/>
      </w:pPr>
      <w:r>
        <w:t>Así entendieron los llamados que, f</w:t>
      </w:r>
      <w:r>
        <w:t>u</w:t>
      </w:r>
      <w:r>
        <w:t>gado, realizó a República 107, interiorizándose ace</w:t>
      </w:r>
      <w:r>
        <w:t>r</w:t>
      </w:r>
      <w:r>
        <w:t>ca de la declaración de Boragni ante el D.P.O.C. y si ella había contado que su vecino había visto la entrega de la cami</w:t>
      </w:r>
      <w:r>
        <w:t>o</w:t>
      </w:r>
      <w:r>
        <w:t>neta; en igual cometido consideraron las llamadas que efectuó a Bareiro inquiriendo si Boragni había mencionado a los coreanos.</w:t>
      </w:r>
    </w:p>
    <w:p w:rsidR="00224567" w:rsidRDefault="00224567">
      <w:pPr>
        <w:widowControl w:val="0"/>
      </w:pPr>
      <w:r>
        <w:tab/>
        <w:t>Asimismo, los fiscales se manifest</w:t>
      </w:r>
      <w:r>
        <w:t>a</w:t>
      </w:r>
      <w:r>
        <w:t>ron convencidos acerca de que, con las garantías que se le h</w:t>
      </w:r>
      <w:r>
        <w:t>a</w:t>
      </w:r>
      <w:r>
        <w:t>bían dado, Telleldín dio a la justicia una primera ve</w:t>
      </w:r>
      <w:r>
        <w:t>r</w:t>
      </w:r>
      <w:r>
        <w:t>sión previamente acordada. Al respecto, resaltaron que su e</w:t>
      </w:r>
      <w:r>
        <w:t>x</w:t>
      </w:r>
      <w:r>
        <w:t>plicación y la de Boragni, en ese</w:t>
      </w:r>
      <w:r>
        <w:t>n</w:t>
      </w:r>
      <w:r>
        <w:t>cia, fueron idénticas en cuanto a la venta, pero, por haber sido acordadas, dif</w:t>
      </w:r>
      <w:r>
        <w:t>e</w:t>
      </w:r>
      <w:r>
        <w:t>rían en los detalles, como ser el tipo de moneda con que les habían pagado o la descripción del comprador de la c</w:t>
      </w:r>
      <w:r>
        <w:t>a</w:t>
      </w:r>
      <w:r>
        <w:t xml:space="preserve">mioneta. En apoyo a su postura, citaron los dichos en la audiencia de los agentes de </w:t>
      </w:r>
      <w:smartTag w:uri="urn:schemas-microsoft-com:office:smarttags" w:element="PersonName">
        <w:smartTagPr>
          <w:attr w:name="ProductID" w:val="la S.I"/>
        </w:smartTagPr>
        <w:r>
          <w:t>la S.I</w:t>
        </w:r>
      </w:smartTag>
      <w:r>
        <w:t>.D.E. Stiuso y Herná</w:t>
      </w:r>
      <w:r>
        <w:t>n</w:t>
      </w:r>
      <w:r>
        <w:t>dez.</w:t>
      </w:r>
    </w:p>
    <w:p w:rsidR="00224567" w:rsidRDefault="00224567">
      <w:pPr>
        <w:widowControl w:val="0"/>
      </w:pPr>
      <w:r>
        <w:tab/>
        <w:t>Indicaron que Telleldín cumplió su rol, siendo funcional al plan terrorista, en tanto habló de la venta del domingo 10 de julio, de los cor</w:t>
      </w:r>
      <w:r>
        <w:t>e</w:t>
      </w:r>
      <w:r>
        <w:t>anos y de su participación en los delitos vinculados con el armado de autos “mellizos”, omitiendo mencionar a la brigada de Ribelli o al oficial “Pino”.</w:t>
      </w:r>
    </w:p>
    <w:p w:rsidR="00224567" w:rsidRDefault="00224567">
      <w:pPr>
        <w:widowControl w:val="0"/>
      </w:pPr>
      <w:r>
        <w:tab/>
        <w:t>Asimismo, los fiscales aseguraron que Telleldín mintió por cuanto sabía que había armado un c</w:t>
      </w:r>
      <w:r>
        <w:t>o</w:t>
      </w:r>
      <w:r>
        <w:t>chebomba y que reconocer la verdad implicaba invol</w:t>
      </w:r>
      <w:r>
        <w:t>u</w:t>
      </w:r>
      <w:r>
        <w:t>crarse directamente como partícipe de la masacre; circunstancia que lo llevó a ofrecer diversas versiones de los hechos con el claro propósito de entorpecer el curso de la inve</w:t>
      </w:r>
      <w:r>
        <w:t>s</w:t>
      </w:r>
      <w:r>
        <w:t>tig</w:t>
      </w:r>
      <w:r>
        <w:t>a</w:t>
      </w:r>
      <w:r>
        <w:t>ción.</w:t>
      </w:r>
    </w:p>
    <w:p w:rsidR="00224567" w:rsidRDefault="00224567">
      <w:pPr>
        <w:widowControl w:val="0"/>
      </w:pPr>
      <w:r>
        <w:tab/>
        <w:t>Así, señalaron los acusadores, Telle</w:t>
      </w:r>
      <w:r>
        <w:t>l</w:t>
      </w:r>
      <w:r>
        <w:t>dín mencionó a los orientales, obligando a la bú</w:t>
      </w:r>
      <w:r>
        <w:t>s</w:t>
      </w:r>
      <w:r>
        <w:t>queda de un rodado Mitsubishi Galant con un conductor de esas c</w:t>
      </w:r>
      <w:r>
        <w:t>a</w:t>
      </w:r>
      <w:r>
        <w:t xml:space="preserve">racterísticas; refirió que su vecino y su mujer vieron al comprador de </w:t>
      </w:r>
      <w:smartTag w:uri="urn:schemas-microsoft-com:office:smarttags" w:element="PersonName">
        <w:smartTagPr>
          <w:attr w:name="ProductID" w:val="la Trafic"/>
        </w:smartTagPr>
        <w:r>
          <w:t>la Trafic</w:t>
        </w:r>
      </w:smartTag>
      <w:r>
        <w:t xml:space="preserve"> cuando Malacchia lo negó; afirmó que los únicos que vieron al comprador de la camioneta fueron su hija Jesica y su amigo Pérez Mejía, es decir, su entorno, al que obviamente preparó; insistió en lo extraño que era el adquirente del veh</w:t>
      </w:r>
      <w:r>
        <w:t>í</w:t>
      </w:r>
      <w:r>
        <w:t xml:space="preserve">culo; indicó que entregó </w:t>
      </w:r>
      <w:smartTag w:uri="urn:schemas-microsoft-com:office:smarttags" w:element="PersonName">
        <w:smartTagPr>
          <w:attr w:name="ProductID" w:val="la Trafic"/>
        </w:smartTagPr>
        <w:r>
          <w:t>la Trafic</w:t>
        </w:r>
      </w:smartTag>
      <w:r>
        <w:t xml:space="preserve"> a policías bonaerenses sin explicar cómo quedaba Ramón Martínez en esta versión; explicó que fue a la inm</w:t>
      </w:r>
      <w:r>
        <w:t>o</w:t>
      </w:r>
      <w:r>
        <w:t>biliaria “Lauría” para alquilar una vivienda en Ramos M</w:t>
      </w:r>
      <w:r>
        <w:t>e</w:t>
      </w:r>
      <w:r>
        <w:t xml:space="preserve">jía, no entendiéndose por qué si tenía problemas con </w:t>
      </w:r>
      <w:smartTag w:uri="urn:schemas-microsoft-com:office:smarttags" w:element="PersonName">
        <w:smartTagPr>
          <w:attr w:name="ProductID" w:val="la Polic￭a Bonaerense"/>
        </w:smartTagPr>
        <w:r>
          <w:t>la Policía Bonaerense</w:t>
        </w:r>
      </w:smartTag>
      <w:r>
        <w:t xml:space="preserve"> se quedaba en esa provincia; alegó que estaba de viaje, cuando en realidad había huido; sostuvo no conocer a gente de </w:t>
      </w:r>
      <w:smartTag w:uri="urn:schemas-microsoft-com:office:smarttags" w:element="PersonName">
        <w:smartTagPr>
          <w:attr w:name="ProductID" w:val="la Embajada"/>
        </w:smartTagPr>
        <w:r>
          <w:t>la Embajada</w:t>
        </w:r>
      </w:smartTag>
      <w:r>
        <w:t xml:space="preserve"> de Irán, pese al papel secuestrado el 28 de julio de 1994 y dijo que los fisc</w:t>
      </w:r>
      <w:r>
        <w:t>a</w:t>
      </w:r>
      <w:r>
        <w:t>les le ofrecieron a Cotoras USD 100.000 para que robara su c</w:t>
      </w:r>
      <w:r>
        <w:t>a</w:t>
      </w:r>
      <w:r>
        <w:t>sa, cuando la denuncia estaba archivada por inexistencia de delito.</w:t>
      </w:r>
    </w:p>
    <w:p w:rsidR="00224567" w:rsidRDefault="00224567">
      <w:pPr>
        <w:widowControl w:val="0"/>
        <w:ind w:firstLine="2835"/>
      </w:pPr>
      <w:r>
        <w:t>Finalmente los representantes del M</w:t>
      </w:r>
      <w:r>
        <w:t>i</w:t>
      </w:r>
      <w:r>
        <w:t>nisterio Público Fiscal se preguntaron por qué Telleldín estaba tan nervioso, a poco de ocurrido el atentado, ll</w:t>
      </w:r>
      <w:r>
        <w:t>e</w:t>
      </w:r>
      <w:r>
        <w:t>vándolo a exclamar “me cagaron la vida estos hijos de p</w:t>
      </w:r>
      <w:r>
        <w:t>u</w:t>
      </w:r>
      <w:r>
        <w:t xml:space="preserve">ta”, si aún no se sabía qué Trafic había explotado en </w:t>
      </w:r>
      <w:smartTag w:uri="urn:schemas-microsoft-com:office:smarttags" w:element="PersonName">
        <w:smartTagPr>
          <w:attr w:name="ProductID" w:val="la A.M"/>
        </w:smartTagPr>
        <w:r>
          <w:t>la A.M</w:t>
        </w:r>
      </w:smartTag>
      <w:r>
        <w:t>.I.A.</w:t>
      </w:r>
    </w:p>
    <w:p w:rsidR="00224567" w:rsidRDefault="00224567">
      <w:pPr>
        <w:widowControl w:val="0"/>
      </w:pPr>
      <w:r>
        <w:tab/>
      </w:r>
      <w:r>
        <w:rPr>
          <w:b/>
          <w:bCs/>
        </w:rPr>
        <w:t xml:space="preserve">B.3.a.ii) </w:t>
      </w:r>
      <w:r>
        <w:t>Mientras por un lado los abogados de la querella unificada D.A.I.A., A.M.I.A. y “Grupo de Familiares” sostuvieron desconocer en qué mome</w:t>
      </w:r>
      <w:r>
        <w:t>n</w:t>
      </w:r>
      <w:r>
        <w:t>to se confeccionó el boleto de compraventa que exhibió B</w:t>
      </w:r>
      <w:r>
        <w:t>o</w:t>
      </w:r>
      <w:r>
        <w:t>ra</w:t>
      </w:r>
      <w:r>
        <w:t>g</w:t>
      </w:r>
      <w:r>
        <w:t>ni en el D.P.O.C., por otro afirmaron que Telleldín lo realizó el primer miércoles después del atentado, p</w:t>
      </w:r>
      <w:r>
        <w:t>o</w:t>
      </w:r>
      <w:r>
        <w:t>niendo de resalto que no se encontraba en blanco, como solía e</w:t>
      </w:r>
      <w:r>
        <w:t>n</w:t>
      </w:r>
      <w:r>
        <w:t>tregarlos, sino que hizo constar un nombre, un número de documento y un domicilio.</w:t>
      </w:r>
    </w:p>
    <w:p w:rsidR="00224567" w:rsidRDefault="00224567">
      <w:pPr>
        <w:widowControl w:val="0"/>
      </w:pPr>
      <w:r>
        <w:tab/>
        <w:t>Entendieron que no existían dudas de que el boleto fue ideado por Telleldín puesto que colocó como comprador a un conocido suyo –José Ramón Martínez R</w:t>
      </w:r>
      <w:r>
        <w:t>o</w:t>
      </w:r>
      <w:r>
        <w:t>dríguez- que era extranjero y cuyo domicilio coincidía en cuanto a la calle, difiriendo la numeración por una cu</w:t>
      </w:r>
      <w:r>
        <w:t>a</w:t>
      </w:r>
      <w:r>
        <w:t>dra, a la vez que inventó un número de doc</w:t>
      </w:r>
      <w:r>
        <w:t>u</w:t>
      </w:r>
      <w:r>
        <w:t>mento.</w:t>
      </w:r>
    </w:p>
    <w:p w:rsidR="00224567" w:rsidRDefault="00224567">
      <w:pPr>
        <w:widowControl w:val="0"/>
      </w:pPr>
      <w:r>
        <w:tab/>
        <w:t>Sostuvieron que la confección del b</w:t>
      </w:r>
      <w:r>
        <w:t>o</w:t>
      </w:r>
      <w:r>
        <w:t>leto en esas condiciones constituía uno de los princ</w:t>
      </w:r>
      <w:r>
        <w:t>i</w:t>
      </w:r>
      <w:r>
        <w:t>pales indicios de cómo Telleldín, aún antes de ocurrida la e</w:t>
      </w:r>
      <w:r>
        <w:t>x</w:t>
      </w:r>
      <w:r>
        <w:t>plosión, preconstituyó prueba para desviar la pe</w:t>
      </w:r>
      <w:r>
        <w:t>s</w:t>
      </w:r>
      <w:r>
        <w:t>quisa, a la vez que demostraba su mala fe en la entrega de la c</w:t>
      </w:r>
      <w:r>
        <w:t>a</w:t>
      </w:r>
      <w:r>
        <w:t>mioneta. En ese sentido, aludieron a los dichos de Miriam Salinas, quien declaró que el boleto era falso y que se reían con Boragni porque le había puesto el nombre de un conoc</w:t>
      </w:r>
      <w:r>
        <w:t>i</w:t>
      </w:r>
      <w:r>
        <w:t>do.</w:t>
      </w:r>
    </w:p>
    <w:p w:rsidR="00224567" w:rsidRDefault="00224567">
      <w:pPr>
        <w:widowControl w:val="0"/>
      </w:pPr>
      <w:r>
        <w:tab/>
        <w:t>Entendieron también, en base a los d</w:t>
      </w:r>
      <w:r>
        <w:t>i</w:t>
      </w:r>
      <w:r>
        <w:t>chos de Hugo Pérez y del testigo Schonbrod, que la cami</w:t>
      </w:r>
      <w:r>
        <w:t>o</w:t>
      </w:r>
      <w:r>
        <w:t>neta no había sido preparada para la venta, dado que ambos hicieron referencia al estado desprolijo en que se enco</w:t>
      </w:r>
      <w:r>
        <w:t>n</w:t>
      </w:r>
      <w:r>
        <w:t>traba.</w:t>
      </w:r>
    </w:p>
    <w:p w:rsidR="00224567" w:rsidRDefault="00224567">
      <w:pPr>
        <w:widowControl w:val="0"/>
      </w:pPr>
      <w:r>
        <w:tab/>
        <w:t>Asimismo, consideraron que Telleldín carecía de la documentación necesaria para enajenar la c</w:t>
      </w:r>
      <w:r>
        <w:t>a</w:t>
      </w:r>
      <w:r>
        <w:t>mioneta y para que su comprador pudiese circular, tales como el formulario “</w:t>
      </w:r>
      <w:smartTag w:uri="urn:schemas-microsoft-com:office:smarttags" w:element="metricconverter">
        <w:smartTagPr>
          <w:attr w:name="ProductID" w:val="08”"/>
        </w:smartTagPr>
        <w:r>
          <w:t>08”</w:t>
        </w:r>
      </w:smartTag>
      <w:r>
        <w:t xml:space="preserve"> y la cédula de identific</w:t>
      </w:r>
      <w:r>
        <w:t>a</w:t>
      </w:r>
      <w:r>
        <w:t>ción del automotor, amén de no haberse confeccionado un acta rel</w:t>
      </w:r>
      <w:r>
        <w:t>a</w:t>
      </w:r>
      <w:r>
        <w:t>tiva a la responsabilidad civil emergente, apr</w:t>
      </w:r>
      <w:r>
        <w:t>e</w:t>
      </w:r>
      <w:r>
        <w:t>ciando como ilógico publicarla a la venta en esas condiciones. Ente</w:t>
      </w:r>
      <w:r>
        <w:t>n</w:t>
      </w:r>
      <w:r>
        <w:t>dieron que un adquirente de buena fe no pagaría a un de</w:t>
      </w:r>
      <w:r>
        <w:t>s</w:t>
      </w:r>
      <w:r>
        <w:t>conocido el precio total de un rodado si éste no le entr</w:t>
      </w:r>
      <w:r>
        <w:t>e</w:t>
      </w:r>
      <w:r>
        <w:t>ga el instrumento necesario -formulario “08”- para su p</w:t>
      </w:r>
      <w:r>
        <w:t>a</w:t>
      </w:r>
      <w:r>
        <w:t>tentamiento, como también que nadie aceptaría recibir un vehículo en tales condici</w:t>
      </w:r>
      <w:r>
        <w:t>o</w:t>
      </w:r>
      <w:r>
        <w:t>nes.</w:t>
      </w:r>
    </w:p>
    <w:p w:rsidR="00224567" w:rsidRDefault="00224567">
      <w:pPr>
        <w:widowControl w:val="0"/>
      </w:pPr>
      <w:r>
        <w:tab/>
        <w:t>También sostuvieron que el encartado confeccionó en presencia de los policías bonaerenses o luego de entregarles la camioneta un boleto de compr</w:t>
      </w:r>
      <w:r>
        <w:t>a</w:t>
      </w:r>
      <w:r>
        <w:t>venta falso para encubrir dicha entrega, de modo tal que aqu</w:t>
      </w:r>
      <w:r>
        <w:t>e</w:t>
      </w:r>
      <w:r>
        <w:t>llos, protegidos por el falso relato de Telleldín y su e</w:t>
      </w:r>
      <w:r>
        <w:t>s</w:t>
      </w:r>
      <w:r>
        <w:t>posa, quedaran fuera del problema, a la vez que Telleldín jugaba una carta más para ser tenido como vendedor de bu</w:t>
      </w:r>
      <w:r>
        <w:t>e</w:t>
      </w:r>
      <w:r>
        <w:t>na fe.</w:t>
      </w:r>
    </w:p>
    <w:p w:rsidR="00224567" w:rsidRDefault="00224567">
      <w:pPr>
        <w:widowControl w:val="0"/>
      </w:pPr>
      <w:r>
        <w:tab/>
        <w:t>Refirieron que, después de la e</w:t>
      </w:r>
      <w:r>
        <w:t>n</w:t>
      </w:r>
      <w:r>
        <w:t>trega del utilitario, Telleldín preconstituyó prueba para que cuadre con su versión de la venta, comentando a diversas personas, al igual que Boragni, detalles de una supuesta transacción; conducta inusitada para quien vendía un aut</w:t>
      </w:r>
      <w:r>
        <w:t>o</w:t>
      </w:r>
      <w:r>
        <w:t>motor por semana y por la cual coligieron que ello no era más que la ej</w:t>
      </w:r>
      <w:r>
        <w:t>e</w:t>
      </w:r>
      <w:r>
        <w:t>cución de la decisión previa de esconder la entrega y cooperar con el atent</w:t>
      </w:r>
      <w:r>
        <w:t>a</w:t>
      </w:r>
      <w:r>
        <w:t>do.</w:t>
      </w:r>
    </w:p>
    <w:p w:rsidR="00224567" w:rsidRDefault="00224567">
      <w:pPr>
        <w:widowControl w:val="0"/>
      </w:pPr>
      <w:r>
        <w:tab/>
        <w:t>También señalaron como un intento p</w:t>
      </w:r>
      <w:r>
        <w:t>a</w:t>
      </w:r>
      <w:r>
        <w:t>ra pasar como vendedor de buena fe que Telleldín haya conc</w:t>
      </w:r>
      <w:r>
        <w:t>u</w:t>
      </w:r>
      <w:r>
        <w:t>rrido a la calle San José acompañado por Hugo Pérez y d</w:t>
      </w:r>
      <w:r>
        <w:t>e</w:t>
      </w:r>
      <w:r>
        <w:t xml:space="preserve">dujeron que quien se llevó </w:t>
      </w:r>
      <w:smartTag w:uri="urn:schemas-microsoft-com:office:smarttags" w:element="PersonName">
        <w:smartTagPr>
          <w:attr w:name="ProductID" w:val="la Trafic"/>
        </w:smartTagPr>
        <w:r>
          <w:t>la Trafic</w:t>
        </w:r>
      </w:smartTag>
      <w:r>
        <w:t xml:space="preserve"> conocía la d</w:t>
      </w:r>
      <w:r>
        <w:t>i</w:t>
      </w:r>
      <w:r>
        <w:t>rección por cuanto en el aviso publicado por Boragni sólo figuraba el teléfono, no surgiendo del listado de llamados los que, según el nombrado, habrían efectuado los cor</w:t>
      </w:r>
      <w:r>
        <w:t>e</w:t>
      </w:r>
      <w:r>
        <w:t>anos.</w:t>
      </w:r>
    </w:p>
    <w:p w:rsidR="00224567" w:rsidRDefault="00224567">
      <w:pPr>
        <w:widowControl w:val="0"/>
      </w:pPr>
      <w:r>
        <w:tab/>
        <w:t>Apuntaron que de las transcripciones de las escuchas telefónicas no surgía que Boragni y T</w:t>
      </w:r>
      <w:r>
        <w:t>e</w:t>
      </w:r>
      <w:r>
        <w:t>lleldín se hubieran puesto de acuerdo, pero sí que este último intentó conocer lo que ella había declarado en el D.P.O.C. y si en su e</w:t>
      </w:r>
      <w:r>
        <w:t>x</w:t>
      </w:r>
      <w:r>
        <w:t>posición había mencionado al vecino de enfrente, quien observó la entrega de la camioneta; también, en otra conversación con Bareiro, interrogó a é</w:t>
      </w:r>
      <w:r>
        <w:t>s</w:t>
      </w:r>
      <w:r>
        <w:t>te acerca de si Ana había declarado algo relacionado con los cor</w:t>
      </w:r>
      <w:r>
        <w:t>e</w:t>
      </w:r>
      <w:r>
        <w:t>anos.</w:t>
      </w:r>
    </w:p>
    <w:p w:rsidR="00224567" w:rsidRDefault="00224567">
      <w:pPr>
        <w:pStyle w:val="Textoindependiente"/>
        <w:spacing w:line="600" w:lineRule="auto"/>
        <w:ind w:firstLine="2835"/>
      </w:pPr>
      <w:r>
        <w:t>Para los letrados resultó de toda ev</w:t>
      </w:r>
      <w:r>
        <w:t>i</w:t>
      </w:r>
      <w:r>
        <w:t>dencia que Telleldín y Boragni se pusieron de acuerdo pr</w:t>
      </w:r>
      <w:r>
        <w:t>e</w:t>
      </w:r>
      <w:r>
        <w:t>viamente y que el primero supo que habría de ser investig</w:t>
      </w:r>
      <w:r>
        <w:t>a</w:t>
      </w:r>
      <w:r>
        <w:t>do por la camioneta mucho antes de aparecer el motor, aco</w:t>
      </w:r>
      <w:r>
        <w:t>r</w:t>
      </w:r>
      <w:r>
        <w:t>dando, antes de la huida, la versión ment</w:t>
      </w:r>
      <w:r>
        <w:t>i</w:t>
      </w:r>
      <w:r>
        <w:t>rosa que habrían de ofrecer a efectos de presentarse como vendedores de bu</w:t>
      </w:r>
      <w:r>
        <w:t>e</w:t>
      </w:r>
      <w:r>
        <w:t>na fe. Así en su primera versión ambos señalaron, a modo de coartada, la venta de la camioneta a un extranjero, como también la suma obtenida y el de</w:t>
      </w:r>
      <w:r>
        <w:t>s</w:t>
      </w:r>
      <w:r>
        <w:t>tino que a ella le dieron; versión de los hechos que también para el agente Hernández reflejaba aquel co</w:t>
      </w:r>
      <w:r>
        <w:t>n</w:t>
      </w:r>
      <w:r>
        <w:t>cierto de voluntades.</w:t>
      </w:r>
    </w:p>
    <w:p w:rsidR="00224567" w:rsidRDefault="00224567">
      <w:pPr>
        <w:widowControl w:val="0"/>
      </w:pPr>
      <w:r>
        <w:tab/>
        <w:t>En tal sentido, los letrados evalu</w:t>
      </w:r>
      <w:r>
        <w:t>a</w:t>
      </w:r>
      <w:r>
        <w:t>ron el comportamiento del encartado durante el trámite de la causa, destacando lo que consideraron sus mentiras inici</w:t>
      </w:r>
      <w:r>
        <w:t>a</w:t>
      </w:r>
      <w:r>
        <w:t>les, acordadas con Boragni previo a su fuga, sus i</w:t>
      </w:r>
      <w:r>
        <w:t>n</w:t>
      </w:r>
      <w:r>
        <w:t>tentos de modificar las declaraciones de Nitzcaner y Jouce, los continuos cambios de su versión y la mezcla en su relato de datos reales y falsos.</w:t>
      </w:r>
    </w:p>
    <w:p w:rsidR="00224567" w:rsidRDefault="00224567">
      <w:pPr>
        <w:widowControl w:val="0"/>
        <w:ind w:firstLine="2835"/>
      </w:pPr>
      <w:r>
        <w:t>Por sobre todo, los querellantes so</w:t>
      </w:r>
      <w:r>
        <w:t>s</w:t>
      </w:r>
      <w:r>
        <w:t>tuvieron que Telleldín mentía al aseverar que la cami</w:t>
      </w:r>
      <w:r>
        <w:t>o</w:t>
      </w:r>
      <w:r>
        <w:t xml:space="preserve">neta que detonó en </w:t>
      </w:r>
      <w:smartTag w:uri="urn:schemas-microsoft-com:office:smarttags" w:element="PersonName">
        <w:smartTagPr>
          <w:attr w:name="ProductID" w:val="la A.M"/>
        </w:smartTagPr>
        <w:r>
          <w:t>la A.M</w:t>
        </w:r>
      </w:smartTag>
      <w:r>
        <w:t>.I.A. estaba conformada por el motor de la de “Messin” y la carrocería de la de Sarapura, ocu</w:t>
      </w:r>
      <w:r>
        <w:t>l</w:t>
      </w:r>
      <w:r>
        <w:t>tando con ello dó</w:t>
      </w:r>
      <w:r>
        <w:t>n</w:t>
      </w:r>
      <w:r>
        <w:t>de se hallaban el motor y la carrocería de esta últ</w:t>
      </w:r>
      <w:r>
        <w:t>i</w:t>
      </w:r>
      <w:r>
        <w:t>ma.</w:t>
      </w:r>
    </w:p>
    <w:p w:rsidR="00224567" w:rsidRDefault="00224567">
      <w:pPr>
        <w:widowControl w:val="0"/>
      </w:pPr>
      <w:r>
        <w:tab/>
        <w:t>En otro orden, sostuvieron que para esa época Telleldín se encontraba nervioso y que Bora</w:t>
      </w:r>
      <w:r>
        <w:t>g</w:t>
      </w:r>
      <w:r>
        <w:t>ni, dos días después del atentado, ya sabía que éste se había llevado a cabo con la camioneta de ellos, razón por la cual aquél escapó. En ese sentido, aludieron a una conve</w:t>
      </w:r>
      <w:r>
        <w:t>r</w:t>
      </w:r>
      <w:r>
        <w:t>sación entre la nombrada y Nitzcaner, en la que ésta man</w:t>
      </w:r>
      <w:r>
        <w:t>i</w:t>
      </w:r>
      <w:r>
        <w:t>festó que Telleldín se asustó y maldecía que le habían arruinado la vida y a lo relatado por Miriam Salinas en cuanto a que, según Boragni, Telleldín permanecía histér</w:t>
      </w:r>
      <w:r>
        <w:t>i</w:t>
      </w:r>
      <w:r>
        <w:t>co, frente al televisor, encerrado en su casa.</w:t>
      </w:r>
    </w:p>
    <w:p w:rsidR="00224567" w:rsidRDefault="00224567">
      <w:pPr>
        <w:widowControl w:val="0"/>
      </w:pPr>
      <w:r>
        <w:tab/>
        <w:t>Asimismo, añadieron que, conforme los dichos de Stiuso, Bareiro relató que si bien el 22 de j</w:t>
      </w:r>
      <w:r>
        <w:t>u</w:t>
      </w:r>
      <w:r>
        <w:t>lio Telleldín organizó su coartada, desde el miércoles e</w:t>
      </w:r>
      <w:r>
        <w:t>s</w:t>
      </w:r>
      <w:r>
        <w:t>taba inquieto, sumamente nervioso y suponía que la cami</w:t>
      </w:r>
      <w:r>
        <w:t>o</w:t>
      </w:r>
      <w:r>
        <w:t>neta era la suya.</w:t>
      </w:r>
    </w:p>
    <w:p w:rsidR="00224567" w:rsidRDefault="00224567">
      <w:pPr>
        <w:widowControl w:val="0"/>
      </w:pPr>
      <w:r>
        <w:tab/>
        <w:t>Además, entendieron inexplicable el interés de Boragni en conocer si quienes concurrieron a su domicilio el 26 de julio eran del Mossad, cuando la pre</w:t>
      </w:r>
      <w:r>
        <w:t>o</w:t>
      </w:r>
      <w:r>
        <w:t>cupación de Telleldín radicaba en la persecución que ve</w:t>
      </w:r>
      <w:r>
        <w:t>n</w:t>
      </w:r>
      <w:r>
        <w:t xml:space="preserve">ía sufriendo por parte de las brigadas de </w:t>
      </w:r>
      <w:smartTag w:uri="urn:schemas-microsoft-com:office:smarttags" w:element="PersonName">
        <w:smartTagPr>
          <w:attr w:name="ProductID" w:val="la Polic￭a Bonaerense."/>
        </w:smartTagPr>
        <w:r>
          <w:t>la Policía Bona</w:t>
        </w:r>
        <w:r>
          <w:t>e</w:t>
        </w:r>
        <w:r>
          <w:t>rense.</w:t>
        </w:r>
      </w:smartTag>
      <w:r>
        <w:t xml:space="preserve"> Por ello, desecharon su explicación en el sentido de que su estado de ánimo obedecía a los “aprietes” de la policía y a la entrega del crucero con el motor fundido; estado de ánimo que se concatenaba con </w:t>
      </w:r>
      <w:r>
        <w:rPr>
          <w:bCs/>
        </w:rPr>
        <w:t>la preconstit</w:t>
      </w:r>
      <w:r>
        <w:rPr>
          <w:bCs/>
        </w:rPr>
        <w:t>u</w:t>
      </w:r>
      <w:r>
        <w:rPr>
          <w:bCs/>
        </w:rPr>
        <w:t>ción de prueba que hizo al concurrir con un testigo a la calle San José y con sus huidas a las ciudades de Córdoba y P</w:t>
      </w:r>
      <w:r>
        <w:rPr>
          <w:bCs/>
        </w:rPr>
        <w:t>o</w:t>
      </w:r>
      <w:r>
        <w:rPr>
          <w:bCs/>
        </w:rPr>
        <w:t>sadas.</w:t>
      </w:r>
    </w:p>
    <w:p w:rsidR="00224567" w:rsidRDefault="00224567">
      <w:pPr>
        <w:widowControl w:val="0"/>
      </w:pPr>
      <w:r>
        <w:tab/>
      </w:r>
      <w:r>
        <w:rPr>
          <w:b/>
          <w:bCs/>
        </w:rPr>
        <w:t xml:space="preserve">B.3.a.iii) </w:t>
      </w:r>
      <w:r>
        <w:t>A su turno, la querella “Memoria Activa” señaló que no era habitual que Telle</w:t>
      </w:r>
      <w:r>
        <w:t>l</w:t>
      </w:r>
      <w:r>
        <w:t>dín comentara los detalles de sus operaciones, habiéndolo h</w:t>
      </w:r>
      <w:r>
        <w:t>e</w:t>
      </w:r>
      <w:r>
        <w:t>cho en esta ocasión porque no se trataba de una simple e</w:t>
      </w:r>
      <w:r>
        <w:t>s</w:t>
      </w:r>
      <w:r>
        <w:t>tafa, sino de algo más grave. Agregó que también inventó un boleto de compraventa en el que el adquirente se c</w:t>
      </w:r>
      <w:r>
        <w:t>o</w:t>
      </w:r>
      <w:r>
        <w:t xml:space="preserve">rrespondía con el nombre de un amigo suyo, el domicilio difería en sólo </w:t>
      </w:r>
      <w:smartTag w:uri="urn:schemas-microsoft-com:office:smarttags" w:element="metricconverter">
        <w:smartTagPr>
          <w:attr w:name="ProductID" w:val="200 metros"/>
        </w:smartTagPr>
        <w:r>
          <w:t>200 metros</w:t>
        </w:r>
      </w:smartTag>
      <w:r>
        <w:t xml:space="preserve"> con el de éste y el número del Docume</w:t>
      </w:r>
      <w:r>
        <w:t>n</w:t>
      </w:r>
      <w:r>
        <w:t>to Nacional de Identidad asentado era inexistente, por lo que mal pudo haber visto dicho documento, tal como lo declaró; advirtió que el apellido consignado en el b</w:t>
      </w:r>
      <w:r>
        <w:t>o</w:t>
      </w:r>
      <w:r>
        <w:t>leto coincidía con el colocado en la ficha de estadía en “Jet Parking”.</w:t>
      </w:r>
    </w:p>
    <w:p w:rsidR="00224567" w:rsidRDefault="00224567">
      <w:pPr>
        <w:widowControl w:val="0"/>
        <w:ind w:firstLine="2835"/>
      </w:pPr>
      <w:r>
        <w:t>Además, observó que el apellido del encartado está corregido en la copia del boleto, deducie</w:t>
      </w:r>
      <w:r>
        <w:t>n</w:t>
      </w:r>
      <w:r>
        <w:t>do que la firma sería la auténtica de quien se llevó la camioneta, pues de lo contrario Telleldín lo hubiera de</w:t>
      </w:r>
      <w:r>
        <w:t>s</w:t>
      </w:r>
      <w:r>
        <w:t>truido y confeccionado uno nuevo para presentarlo en e</w:t>
      </w:r>
      <w:r>
        <w:t>s</w:t>
      </w:r>
      <w:r>
        <w:t>ta causa.</w:t>
      </w:r>
    </w:p>
    <w:p w:rsidR="00224567" w:rsidRDefault="00224567">
      <w:pPr>
        <w:widowControl w:val="0"/>
      </w:pPr>
      <w:r>
        <w:tab/>
        <w:t>Sostuvo que a los fines de preconst</w:t>
      </w:r>
      <w:r>
        <w:t>i</w:t>
      </w:r>
      <w:r>
        <w:t>tuir prueba útil a su coartada, colocándolo en pos</w:t>
      </w:r>
      <w:r>
        <w:t>i</w:t>
      </w:r>
      <w:r>
        <w:t>ción de damnificado respecto del comprador, se procuró un te</w:t>
      </w:r>
      <w:r>
        <w:t>s</w:t>
      </w:r>
      <w:r>
        <w:t>tigo -Hugo Pérez- para que, luego de la entrega de la camioneta y previo al atentado, lo acompañara a entr</w:t>
      </w:r>
      <w:r>
        <w:t>e</w:t>
      </w:r>
      <w:r>
        <w:t>gar los papeles al domicilio que constaba en el b</w:t>
      </w:r>
      <w:r>
        <w:t>o</w:t>
      </w:r>
      <w:r>
        <w:t>leto, preguntando a los vecinos por Ramón Martínez, con la intención de que éstos recordaran el episodio. Interpretó que de esa forma T</w:t>
      </w:r>
      <w:r>
        <w:t>e</w:t>
      </w:r>
      <w:r>
        <w:t>lleldín desvió la ate</w:t>
      </w:r>
      <w:r>
        <w:t>n</w:t>
      </w:r>
      <w:r>
        <w:t>ción para encubrir a los verdaderos receptores del vehículo, cuya identidad conocía a la pe</w:t>
      </w:r>
      <w:r>
        <w:t>r</w:t>
      </w:r>
      <w:r>
        <w:t>fección.</w:t>
      </w:r>
    </w:p>
    <w:p w:rsidR="00224567" w:rsidRDefault="00224567">
      <w:pPr>
        <w:widowControl w:val="0"/>
      </w:pPr>
      <w:r>
        <w:tab/>
        <w:t>Acotó que no resultaba creíble que un doblador de autos se preocupara porque el comprador tuvi</w:t>
      </w:r>
      <w:r>
        <w:t>e</w:t>
      </w:r>
      <w:r>
        <w:t>ra toda la documentación, al punto de llevársela a su d</w:t>
      </w:r>
      <w:r>
        <w:t>o</w:t>
      </w:r>
      <w:r>
        <w:t>micilio; máxime cuando en el boleto consignó el apellido “Teccedin”, que era el que empleaba para realizar sus e</w:t>
      </w:r>
      <w:r>
        <w:t>s</w:t>
      </w:r>
      <w:r>
        <w:t>tafas.</w:t>
      </w:r>
    </w:p>
    <w:p w:rsidR="00224567" w:rsidRDefault="00224567">
      <w:pPr>
        <w:widowControl w:val="0"/>
        <w:ind w:firstLine="2835"/>
      </w:pPr>
      <w:r>
        <w:t>Otra forma de desvío, puntualizó, fue la publicación de un aviso en un diario, cuando en real</w:t>
      </w:r>
      <w:r>
        <w:t>i</w:t>
      </w:r>
      <w:r>
        <w:t>dad no planeaba realizar ninguna venta; maniobra que co</w:t>
      </w:r>
      <w:r>
        <w:t>n</w:t>
      </w:r>
      <w:r>
        <w:t>sideró de evidente cobertura ya que hasta sus supuestos compradores conocían de ella, efectuando llamados por la camioneta cuando aún el aviso no estaba publicado, según lo expresó J</w:t>
      </w:r>
      <w:r>
        <w:t>a</w:t>
      </w:r>
      <w:r>
        <w:t>cinto Cayetano Cruz en la instrucción.</w:t>
      </w:r>
    </w:p>
    <w:p w:rsidR="00224567" w:rsidRDefault="00224567">
      <w:pPr>
        <w:widowControl w:val="0"/>
      </w:pPr>
      <w:r>
        <w:tab/>
        <w:t>Asimismo, refirió que, según lo decl</w:t>
      </w:r>
      <w:r>
        <w:t>a</w:t>
      </w:r>
      <w:r>
        <w:t>rado por Stiuso, Telleldín sabía, antes de la aparición del m</w:t>
      </w:r>
      <w:r>
        <w:t>o</w:t>
      </w:r>
      <w:r>
        <w:t>tor, que la camioneta utilizada para el atentado era la que él había vendido, por lo que, además de organizar su fuga, comenzó a pergeñar una coa</w:t>
      </w:r>
      <w:r>
        <w:t>r</w:t>
      </w:r>
      <w:r>
        <w:t>tada; en tal sentido, mencionó una reunión entre el imputado, Bora</w:t>
      </w:r>
      <w:r>
        <w:t>g</w:t>
      </w:r>
      <w:r>
        <w:t>ni, Nitzcaner y el hermano de éste, en la que se habrían puesto de acuerdo acerca de lo que dirían en caso de ser deten</w:t>
      </w:r>
      <w:r>
        <w:t>i</w:t>
      </w:r>
      <w:r>
        <w:t>dos.</w:t>
      </w:r>
    </w:p>
    <w:p w:rsidR="00224567" w:rsidRDefault="00224567">
      <w:pPr>
        <w:widowControl w:val="0"/>
      </w:pPr>
      <w:r>
        <w:tab/>
        <w:t>Por otra parte, aseveró que Telle</w:t>
      </w:r>
      <w:r>
        <w:t>l</w:t>
      </w:r>
      <w:r>
        <w:t>dín adornaba sus mentiras con muchas partes de verdad para h</w:t>
      </w:r>
      <w:r>
        <w:t>a</w:t>
      </w:r>
      <w:r>
        <w:t>cerlas creíbles, pero siempre deslizando en el relato ve</w:t>
      </w:r>
      <w:r>
        <w:t>r</w:t>
      </w:r>
      <w:r>
        <w:t>dadero una mentira dirimente que cambiaba el rumbo de la investigación. Adunó que lo grave no sólo radicaba en sus versiones confusas y contradictorias, sino, peor aún, en que dio pistas falsas para lograr su imp</w:t>
      </w:r>
      <w:r>
        <w:t>u</w:t>
      </w:r>
      <w:r>
        <w:t>nidad.</w:t>
      </w:r>
    </w:p>
    <w:p w:rsidR="00224567" w:rsidRDefault="00224567">
      <w:pPr>
        <w:widowControl w:val="0"/>
      </w:pPr>
      <w:r>
        <w:tab/>
        <w:t xml:space="preserve">En base a lo expuesto, señaló que el imputado llevó el motor de </w:t>
      </w:r>
      <w:smartTag w:uri="urn:schemas-microsoft-com:office:smarttags" w:element="PersonName">
        <w:smartTagPr>
          <w:attr w:name="ProductID" w:val="la Trafic"/>
        </w:smartTagPr>
        <w:r>
          <w:t>la Trafic</w:t>
        </w:r>
      </w:smartTag>
      <w:r>
        <w:t xml:space="preserve"> de “Messin” a un l</w:t>
      </w:r>
      <w:r>
        <w:t>u</w:t>
      </w:r>
      <w:r>
        <w:t>gar distinto al que manifestó, ocultando dónde se preparó la camioneta con ese motor.</w:t>
      </w:r>
    </w:p>
    <w:p w:rsidR="00224567" w:rsidRDefault="00224567">
      <w:pPr>
        <w:widowControl w:val="0"/>
      </w:pPr>
      <w:r>
        <w:tab/>
        <w:t>Interpretó que Telleldín nunca contó qué hizo con el motor, toda vez que la verdad implicaba confesar su participación en el hecho. Enfatizó que e</w:t>
      </w:r>
      <w:r>
        <w:t>s</w:t>
      </w:r>
      <w:r>
        <w:t>taba probado que bajo su dominio se armó la camioneta cuyo m</w:t>
      </w:r>
      <w:r>
        <w:t>o</w:t>
      </w:r>
      <w:r>
        <w:t>tor apareció entre los escombros, resultando último ten</w:t>
      </w:r>
      <w:r>
        <w:t>e</w:t>
      </w:r>
      <w:r>
        <w:t>dor; hipótesis cargosa a la que se llegaba aún presci</w:t>
      </w:r>
      <w:r>
        <w:t>n</w:t>
      </w:r>
      <w:r>
        <w:t>diendo de sus diferentes versiones.</w:t>
      </w:r>
    </w:p>
    <w:p w:rsidR="00224567" w:rsidRDefault="00224567">
      <w:pPr>
        <w:widowControl w:val="0"/>
      </w:pPr>
      <w:r>
        <w:tab/>
        <w:t>En otro orden, consideró que Telle</w:t>
      </w:r>
      <w:r>
        <w:t>l</w:t>
      </w:r>
      <w:r>
        <w:t>dín, una vez ocurrido el atentado y ante la evidencia de que la camioneta que suministró fue la que explotó, inte</w:t>
      </w:r>
      <w:r>
        <w:t>n</w:t>
      </w:r>
      <w:r>
        <w:t>tó mudar su domicilio por temor a ser descubierto. En su respaldo citó la declaración testimonial de Miriam Sal</w:t>
      </w:r>
      <w:r>
        <w:t>i</w:t>
      </w:r>
      <w:r>
        <w:t>nas, quien sostuvo que en el taller de Nitzcaner, Bora</w:t>
      </w:r>
      <w:r>
        <w:t>g</w:t>
      </w:r>
      <w:r>
        <w:t>ni comentó, entre risas, que Telleldín había vendido la c</w:t>
      </w:r>
      <w:r>
        <w:t>a</w:t>
      </w:r>
      <w:r>
        <w:t xml:space="preserve">mioneta que explotó en </w:t>
      </w:r>
      <w:smartTag w:uri="urn:schemas-microsoft-com:office:smarttags" w:element="PersonName">
        <w:smartTagPr>
          <w:attr w:name="ProductID" w:val="la A.M"/>
        </w:smartTagPr>
        <w:r>
          <w:t>la A.M</w:t>
        </w:r>
      </w:smartTag>
      <w:r>
        <w:t>.I.A. por lo que estaba con un ataque de histeria y se la pasaba frente al televisor gritando “estos hijos de puta me cagaron la v</w:t>
      </w:r>
      <w:r>
        <w:t>i</w:t>
      </w:r>
      <w:r>
        <w:t>da”. Agregó que también dijo que se escapó al norte y que una vez d</w:t>
      </w:r>
      <w:r>
        <w:t>e</w:t>
      </w:r>
      <w:r>
        <w:t>tenido estaba “mareado” e iba cambiando de op</w:t>
      </w:r>
      <w:r>
        <w:t>i</w:t>
      </w:r>
      <w:r>
        <w:t>nión.</w:t>
      </w:r>
    </w:p>
    <w:p w:rsidR="00224567" w:rsidRDefault="00224567">
      <w:pPr>
        <w:pStyle w:val="Textoindependiente2"/>
        <w:widowControl w:val="0"/>
        <w:rPr>
          <w:rFonts w:ascii="Courier New" w:hAnsi="Courier New" w:cs="Courier New"/>
        </w:rPr>
      </w:pPr>
      <w:r>
        <w:rPr>
          <w:rFonts w:ascii="Courier New" w:hAnsi="Courier New" w:cs="Courier New"/>
          <w:szCs w:val="24"/>
          <w:lang w:val="es-AR"/>
        </w:rPr>
        <w:tab/>
        <w:t xml:space="preserve">El Dr. Jacoby concluyó que el 18 de julio de 1994 Telleldín, a través de la televisión, supo </w:t>
      </w:r>
      <w:r>
        <w:rPr>
          <w:rFonts w:ascii="Courier New" w:hAnsi="Courier New" w:cs="Courier New"/>
        </w:rPr>
        <w:t>con detalle la magnitud del suceso en el que había part</w:t>
      </w:r>
      <w:r>
        <w:rPr>
          <w:rFonts w:ascii="Courier New" w:hAnsi="Courier New" w:cs="Courier New"/>
        </w:rPr>
        <w:t>i</w:t>
      </w:r>
      <w:r>
        <w:rPr>
          <w:rFonts w:ascii="Courier New" w:hAnsi="Courier New" w:cs="Courier New"/>
        </w:rPr>
        <w:t>cipado</w:t>
      </w:r>
      <w:r>
        <w:rPr>
          <w:rFonts w:ascii="Courier New" w:hAnsi="Courier New" w:cs="Courier New"/>
          <w:szCs w:val="24"/>
          <w:lang w:val="es-AR"/>
        </w:rPr>
        <w:t xml:space="preserve">, </w:t>
      </w:r>
      <w:r>
        <w:rPr>
          <w:rFonts w:ascii="Courier New" w:hAnsi="Courier New" w:cs="Courier New"/>
        </w:rPr>
        <w:t>mientras que el hallazgo del motor, en condici</w:t>
      </w:r>
      <w:r>
        <w:rPr>
          <w:rFonts w:ascii="Courier New" w:hAnsi="Courier New" w:cs="Courier New"/>
        </w:rPr>
        <w:t>o</w:t>
      </w:r>
      <w:r>
        <w:rPr>
          <w:rFonts w:ascii="Courier New" w:hAnsi="Courier New" w:cs="Courier New"/>
        </w:rPr>
        <w:t>nes tales que llevarían a su identificación, confirmó su pr</w:t>
      </w:r>
      <w:r>
        <w:rPr>
          <w:rFonts w:ascii="Courier New" w:hAnsi="Courier New" w:cs="Courier New"/>
        </w:rPr>
        <w:t>e</w:t>
      </w:r>
      <w:r>
        <w:rPr>
          <w:rFonts w:ascii="Courier New" w:hAnsi="Courier New" w:cs="Courier New"/>
        </w:rPr>
        <w:t>sagio de que sería involucrado.</w:t>
      </w:r>
    </w:p>
    <w:p w:rsidR="00224567" w:rsidRDefault="00224567">
      <w:pPr>
        <w:widowControl w:val="0"/>
      </w:pPr>
      <w:r>
        <w:tab/>
      </w:r>
      <w:r>
        <w:rPr>
          <w:b/>
          <w:bCs/>
        </w:rPr>
        <w:t xml:space="preserve">B.3.a.iv) </w:t>
      </w:r>
      <w:r>
        <w:t>La asistencia técnica de T</w:t>
      </w:r>
      <w:r>
        <w:t>e</w:t>
      </w:r>
      <w:r>
        <w:t>lleldín desestimó que su pupilo hubiera comprado en “Aut</w:t>
      </w:r>
      <w:r>
        <w:t>o</w:t>
      </w:r>
      <w:r>
        <w:t>motores Alejandro”, a nombre de “Teccedin” y con el prop</w:t>
      </w:r>
      <w:r>
        <w:t>ó</w:t>
      </w:r>
      <w:r>
        <w:t xml:space="preserve">sito de desviar la investigación, </w:t>
      </w:r>
      <w:smartTag w:uri="urn:schemas-microsoft-com:office:smarttags" w:element="PersonName">
        <w:smartTagPr>
          <w:attr w:name="ProductID" w:val="la Trafic"/>
        </w:smartTagPr>
        <w:r>
          <w:t>la Trafic</w:t>
        </w:r>
      </w:smartTag>
      <w:r>
        <w:t xml:space="preserve"> de “Messin”, en razón que el documento con dicha identidad también lo había utiliz</w:t>
      </w:r>
      <w:r>
        <w:t>a</w:t>
      </w:r>
      <w:r>
        <w:t>do en otros actos de su vida.</w:t>
      </w:r>
    </w:p>
    <w:p w:rsidR="00224567" w:rsidRDefault="00224567">
      <w:pPr>
        <w:widowControl w:val="0"/>
      </w:pPr>
      <w:r>
        <w:tab/>
        <w:t>Además, consideró caprichoso por pa</w:t>
      </w:r>
      <w:r>
        <w:t>r</w:t>
      </w:r>
      <w:r>
        <w:t>te de los acusadores ponderar como indicio que la bol</w:t>
      </w:r>
      <w:r>
        <w:t>e</w:t>
      </w:r>
      <w:r>
        <w:t>ta que le confeccionaron en la agencia estuviera a nombre de “Teccedin”, toda vez que si hubiera estado a nombre de P</w:t>
      </w:r>
      <w:r>
        <w:t>é</w:t>
      </w:r>
      <w:r>
        <w:t>rez, como usualmente solía consignarse en la facturas por cuanto éste tenía número de C.U.I.T., aquellos habrían sostenido que su intención era desviar la i</w:t>
      </w:r>
      <w:r>
        <w:t>n</w:t>
      </w:r>
      <w:r>
        <w:t>vestigación.</w:t>
      </w:r>
    </w:p>
    <w:p w:rsidR="00224567" w:rsidRDefault="00224567">
      <w:pPr>
        <w:widowControl w:val="0"/>
      </w:pPr>
      <w:r>
        <w:tab/>
        <w:t>Con relación a la camioneta señaló que tanto Telleldín como Boragni man</w:t>
      </w:r>
      <w:r>
        <w:t>i</w:t>
      </w:r>
      <w:r>
        <w:t xml:space="preserve">festaron, desde el primer momento, que </w:t>
      </w:r>
      <w:smartTag w:uri="urn:schemas-microsoft-com:office:smarttags" w:element="PersonName">
        <w:smartTagPr>
          <w:attr w:name="ProductID" w:val="la Trafic"/>
        </w:smartTagPr>
        <w:r>
          <w:t>la Trafic</w:t>
        </w:r>
      </w:smartTag>
      <w:r>
        <w:t xml:space="preserve"> reparada se ofreció a la venta m</w:t>
      </w:r>
      <w:r>
        <w:t>e</w:t>
      </w:r>
      <w:r>
        <w:t>diante una publicación en el diario “Clarín” del 9 y 10 de julio de 1994, incluyendo, como era habitual, teléfono, características y pr</w:t>
      </w:r>
      <w:r>
        <w:t>e</w:t>
      </w:r>
      <w:r>
        <w:t>cio.</w:t>
      </w:r>
    </w:p>
    <w:p w:rsidR="00224567" w:rsidRDefault="00224567">
      <w:pPr>
        <w:widowControl w:val="0"/>
      </w:pPr>
      <w:r>
        <w:tab/>
        <w:t>Relató que el 10 de julio recibió tres ll</w:t>
      </w:r>
      <w:r>
        <w:t>a</w:t>
      </w:r>
      <w:r>
        <w:t>mados del comprador, que se encontraba perdido, aunque dichas comunicaciones, al igual que las efectuadas por Schonbrod, no surgían del listado de llamadas entrantes del abonado 768-0902, debido a que la central telefónica era por pulso y no registraba todos los llam</w:t>
      </w:r>
      <w:r>
        <w:t>a</w:t>
      </w:r>
      <w:r>
        <w:t>dos.</w:t>
      </w:r>
    </w:p>
    <w:p w:rsidR="00224567" w:rsidRDefault="00224567">
      <w:pPr>
        <w:widowControl w:val="0"/>
      </w:pPr>
      <w:r>
        <w:tab/>
        <w:t>Asimismo, refirió que no entregó los form</w:t>
      </w:r>
      <w:r>
        <w:t>u</w:t>
      </w:r>
      <w:r>
        <w:t>larios “</w:t>
      </w:r>
      <w:smartTag w:uri="urn:schemas-microsoft-com:office:smarttags" w:element="metricconverter">
        <w:smartTagPr>
          <w:attr w:name="ProductID" w:val="08”"/>
        </w:smartTagPr>
        <w:r>
          <w:t>08”</w:t>
        </w:r>
      </w:smartTag>
      <w:r>
        <w:t xml:space="preserve"> al comprador porque habían quedado en lo de Monjo, en virtud de un saldo de precio, al igual que sucedió en el caso del vehículo vendido a un tal Videla. Además, entendió que no había impedimento para que el vehículo circulara sin cédula verde, puesto que ésta se había quemado al incendiarse la camioneta, encontrándose la denuncia efectuada entre la documentación que entregó la empresa “Messin” a Monjo y éste a T</w:t>
      </w:r>
      <w:r>
        <w:t>e</w:t>
      </w:r>
      <w:r>
        <w:t>lleldín.</w:t>
      </w:r>
    </w:p>
    <w:p w:rsidR="00224567" w:rsidRDefault="00224567">
      <w:pPr>
        <w:widowControl w:val="0"/>
      </w:pPr>
      <w:r>
        <w:tab/>
        <w:t>Por otra parte, estimó que a Telle</w:t>
      </w:r>
      <w:r>
        <w:t>l</w:t>
      </w:r>
      <w:r>
        <w:t>dín sólo le interesaba vender la camioneta, por ser ese su m</w:t>
      </w:r>
      <w:r>
        <w:t>e</w:t>
      </w:r>
      <w:r>
        <w:t>dio de vida; razón por la cual, temeroso de que desistiera de la operación, omitió interrogar al co</w:t>
      </w:r>
      <w:r>
        <w:t>m</w:t>
      </w:r>
      <w:r>
        <w:t>prador acerca de la numeración del Documento Nacional de Identidad que le exhibió.</w:t>
      </w:r>
    </w:p>
    <w:p w:rsidR="00224567" w:rsidRDefault="00224567">
      <w:pPr>
        <w:widowControl w:val="0"/>
      </w:pPr>
      <w:r>
        <w:tab/>
        <w:t>Afirmó la existencia de Ramón Mart</w:t>
      </w:r>
      <w:r>
        <w:t>í</w:t>
      </w:r>
      <w:r>
        <w:t xml:space="preserve">nez y, por ende, que el boleto de compraventa de </w:t>
      </w:r>
      <w:smartTag w:uri="urn:schemas-microsoft-com:office:smarttags" w:element="PersonName">
        <w:smartTagPr>
          <w:attr w:name="ProductID" w:val="la Trafic"/>
        </w:smartTagPr>
        <w:r>
          <w:t>la Trafic</w:t>
        </w:r>
      </w:smartTag>
      <w:r>
        <w:t xml:space="preserve"> respondió a una operación real, sin explicarse qué sentido tendría, en caso de que fuera falso, haberlo completado mal para luego corregirlo con carbónico, como sucedió con el nombre. En ese orden también consideró carente de se</w:t>
      </w:r>
      <w:r>
        <w:t>n</w:t>
      </w:r>
      <w:r>
        <w:t>tido simular una venta en su domic</w:t>
      </w:r>
      <w:r>
        <w:t>i</w:t>
      </w:r>
      <w:r>
        <w:t>lio con el terrorista, cuando más lógico hubiera sido hacer la entrega en otro lugar.</w:t>
      </w:r>
    </w:p>
    <w:p w:rsidR="00224567" w:rsidRDefault="00224567">
      <w:pPr>
        <w:widowControl w:val="0"/>
      </w:pPr>
      <w:r>
        <w:tab/>
        <w:t>En definitiva, la defensa entendió que la venta de la camioneta el 10 de julio se encontraba acreditada por los avisos clasificados, el boleto de co</w:t>
      </w:r>
      <w:r>
        <w:t>m</w:t>
      </w:r>
      <w:r>
        <w:t>praventa, las declaraciones de Pérez, Nitzcaner y Boragni, las escuchas telefónicas del 768-0902 y porque esa era la actividad habitual o medio de vida de Telleldín, negando que éste o Boragni hayan intentado presentarse como vend</w:t>
      </w:r>
      <w:r>
        <w:t>e</w:t>
      </w:r>
      <w:r>
        <w:t>dores de buena fe.</w:t>
      </w:r>
    </w:p>
    <w:p w:rsidR="00224567" w:rsidRDefault="00224567">
      <w:pPr>
        <w:widowControl w:val="0"/>
      </w:pPr>
      <w:r>
        <w:tab/>
        <w:t>Por otra parte, advirtió que no exi</w:t>
      </w:r>
      <w:r>
        <w:t>s</w:t>
      </w:r>
      <w:r>
        <w:t>tía ninguna similitud fisonómica entre la fotografía de José Juan Ramón Martínez Rodríguez y el ident</w:t>
      </w:r>
      <w:r>
        <w:t>i</w:t>
      </w:r>
      <w:r>
        <w:t xml:space="preserve">kit que del comprador de </w:t>
      </w:r>
      <w:smartTag w:uri="urn:schemas-microsoft-com:office:smarttags" w:element="PersonName">
        <w:smartTagPr>
          <w:attr w:name="ProductID" w:val="la Trafic"/>
        </w:smartTagPr>
        <w:r>
          <w:t>la Trafic</w:t>
        </w:r>
      </w:smartTag>
      <w:r>
        <w:t xml:space="preserve"> confeccionó Telleldín, concl</w:t>
      </w:r>
      <w:r>
        <w:t>u</w:t>
      </w:r>
      <w:r>
        <w:t>yendo que era ilógico pretender involucrar a una persona por su nombre y describirlo de manera absolutamente diferente; máxime sabiendo que el peritaje caligráfico resultaría n</w:t>
      </w:r>
      <w:r>
        <w:t>e</w:t>
      </w:r>
      <w:r>
        <w:t>gativo.</w:t>
      </w:r>
    </w:p>
    <w:p w:rsidR="00224567" w:rsidRDefault="00224567">
      <w:pPr>
        <w:widowControl w:val="0"/>
      </w:pPr>
      <w:r>
        <w:tab/>
        <w:t>Consideró que no era inusual que T</w:t>
      </w:r>
      <w:r>
        <w:t>e</w:t>
      </w:r>
      <w:r>
        <w:t xml:space="preserve">lleldín haya concurrido a la calle San José, toda vez que en oportunidad de venderle un Renault </w:t>
      </w:r>
      <w:smartTag w:uri="urn:schemas-microsoft-com:office:smarttags" w:element="metricconverter">
        <w:smartTagPr>
          <w:attr w:name="ProductID" w:val="12 a"/>
        </w:smartTagPr>
        <w:r>
          <w:t>12 a</w:t>
        </w:r>
      </w:smartTag>
      <w:r>
        <w:t xml:space="preserve"> Casimiro Villar aquél concurrió a su domicilio, junto con Boragni, para entregarle la doc</w:t>
      </w:r>
      <w:r>
        <w:t>u</w:t>
      </w:r>
      <w:r>
        <w:t>mentación.</w:t>
      </w:r>
    </w:p>
    <w:p w:rsidR="00224567" w:rsidRDefault="00224567">
      <w:pPr>
        <w:widowControl w:val="0"/>
        <w:ind w:firstLine="2835"/>
      </w:pPr>
      <w:r>
        <w:t>Desechó que hubiera existido un acue</w:t>
      </w:r>
      <w:r>
        <w:t>r</w:t>
      </w:r>
      <w:r>
        <w:t>do previo entre Telleldín y Boragni acerca de lo que d</w:t>
      </w:r>
      <w:r>
        <w:t>e</w:t>
      </w:r>
      <w:r>
        <w:t>bían declarar, restándole entidad a las conversaciones t</w:t>
      </w:r>
      <w:r>
        <w:t>e</w:t>
      </w:r>
      <w:r>
        <w:t>lefónicas entre aquellos y entre Telleldín y Bareiro que, en ese sentido, señalaron los acusadores.</w:t>
      </w:r>
    </w:p>
    <w:p w:rsidR="00224567" w:rsidRDefault="00224567">
      <w:pPr>
        <w:widowControl w:val="0"/>
      </w:pPr>
      <w:r>
        <w:tab/>
        <w:t>Explicó que al inquirir el imputado acerca de los coreanos, lo hizo porque su preocupación r</w:t>
      </w:r>
      <w:r>
        <w:t>a</w:t>
      </w:r>
      <w:r>
        <w:t>dicaba en una eventual vinculación con Semorile y el Mi</w:t>
      </w:r>
      <w:r>
        <w:t>t</w:t>
      </w:r>
      <w:r>
        <w:t>subishi Galant; ello por cuanto pensó que ese letr</w:t>
      </w:r>
      <w:r>
        <w:t>a</w:t>
      </w:r>
      <w:r>
        <w:t>do pudo haber mandado a los terroristas a comprarle la camioneta, entregándolo como “ca</w:t>
      </w:r>
      <w:r>
        <w:t>r</w:t>
      </w:r>
      <w:r>
        <w:t>nada”.</w:t>
      </w:r>
    </w:p>
    <w:p w:rsidR="00224567" w:rsidRDefault="00224567">
      <w:pPr>
        <w:widowControl w:val="0"/>
      </w:pPr>
      <w:r>
        <w:tab/>
        <w:t>En cuanto al estado de ánimo que pr</w:t>
      </w:r>
      <w:r>
        <w:t>e</w:t>
      </w:r>
      <w:r>
        <w:t>sentaba Telleldín para la época del atentado, reco</w:t>
      </w:r>
      <w:r>
        <w:t>r</w:t>
      </w:r>
      <w:r>
        <w:t xml:space="preserve">dó que éste declaró que luego del episodio con </w:t>
      </w:r>
      <w:smartTag w:uri="urn:schemas-microsoft-com:office:smarttags" w:element="PersonName">
        <w:smartTagPr>
          <w:attr w:name="ProductID" w:val="la Brigada"/>
        </w:smartTagPr>
        <w:r>
          <w:t>la Brigada</w:t>
        </w:r>
      </w:smartTag>
      <w:r>
        <w:t xml:space="preserve"> de L</w:t>
      </w:r>
      <w:r>
        <w:t>a</w:t>
      </w:r>
      <w:r>
        <w:t>nús se sentía perseguido, conforme lo confirmaron Sandra Petrucci y Ana Boragni, como también por la vigilancia s</w:t>
      </w:r>
      <w:r>
        <w:t>o</w:t>
      </w:r>
      <w:r>
        <w:t>bre su domicilio y por el disparo que los efectivos pol</w:t>
      </w:r>
      <w:r>
        <w:t>i</w:t>
      </w:r>
      <w:r>
        <w:t>ciales le efectuaron el 14 de julio de 1994.</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Sin perjuicio de lo expuesto y a co</w:t>
      </w:r>
      <w:r>
        <w:rPr>
          <w:rFonts w:ascii="Courier New" w:hAnsi="Courier New" w:cs="Courier New"/>
          <w:lang w:val="es-AR"/>
        </w:rPr>
        <w:t>n</w:t>
      </w:r>
      <w:r>
        <w:rPr>
          <w:rFonts w:ascii="Courier New" w:hAnsi="Courier New" w:cs="Courier New"/>
          <w:lang w:val="es-AR"/>
        </w:rPr>
        <w:t>trario de los acusadores, las defensoras consider</w:t>
      </w:r>
      <w:r>
        <w:rPr>
          <w:rFonts w:ascii="Courier New" w:hAnsi="Courier New" w:cs="Courier New"/>
          <w:lang w:val="es-AR"/>
        </w:rPr>
        <w:t>a</w:t>
      </w:r>
      <w:r>
        <w:rPr>
          <w:rFonts w:ascii="Courier New" w:hAnsi="Courier New" w:cs="Courier New"/>
          <w:lang w:val="es-AR"/>
        </w:rPr>
        <w:t>ron como una prueba de que era ajeno al atentado y de su desconoc</w:t>
      </w:r>
      <w:r>
        <w:rPr>
          <w:rFonts w:ascii="Courier New" w:hAnsi="Courier New" w:cs="Courier New"/>
          <w:lang w:val="es-AR"/>
        </w:rPr>
        <w:t>i</w:t>
      </w:r>
      <w:r>
        <w:rPr>
          <w:rFonts w:ascii="Courier New" w:hAnsi="Courier New" w:cs="Courier New"/>
          <w:lang w:val="es-AR"/>
        </w:rPr>
        <w:t>miento del destino dado a la camioneta, el hecho de que, desde el 18 de julio, su asistido estuviera preocupado mientras vociferaba que le habían arruinado la vida. Al respecto, explicaron que si hubiera intervenido en el atentado resultaría irrazonable que se quedara perplejo, en estado de shock o con un ataque de histeria ante el t</w:t>
      </w:r>
      <w:r>
        <w:rPr>
          <w:rFonts w:ascii="Courier New" w:hAnsi="Courier New" w:cs="Courier New"/>
          <w:lang w:val="es-AR"/>
        </w:rPr>
        <w:t>e</w:t>
      </w:r>
      <w:r>
        <w:rPr>
          <w:rFonts w:ascii="Courier New" w:hAnsi="Courier New" w:cs="Courier New"/>
          <w:lang w:val="es-AR"/>
        </w:rPr>
        <w:t>levisor, ll</w:t>
      </w:r>
      <w:r>
        <w:rPr>
          <w:rFonts w:ascii="Courier New" w:hAnsi="Courier New" w:cs="Courier New"/>
          <w:lang w:val="es-AR"/>
        </w:rPr>
        <w:t>a</w:t>
      </w:r>
      <w:r>
        <w:rPr>
          <w:rFonts w:ascii="Courier New" w:hAnsi="Courier New" w:cs="Courier New"/>
          <w:lang w:val="es-AR"/>
        </w:rPr>
        <w:t>mando la atención de terceros, de modo que no quedaran dudas de que c</w:t>
      </w:r>
      <w:r>
        <w:rPr>
          <w:rFonts w:ascii="Courier New" w:hAnsi="Courier New" w:cs="Courier New"/>
          <w:lang w:val="es-AR"/>
        </w:rPr>
        <w:t>o</w:t>
      </w:r>
      <w:r>
        <w:rPr>
          <w:rFonts w:ascii="Courier New" w:hAnsi="Courier New" w:cs="Courier New"/>
          <w:lang w:val="es-AR"/>
        </w:rPr>
        <w:t xml:space="preserve">nocía el destino que iba a darse a </w:t>
      </w:r>
      <w:smartTag w:uri="urn:schemas-microsoft-com:office:smarttags" w:element="PersonName">
        <w:smartTagPr>
          <w:attr w:name="ProductID" w:val="la Trafic."/>
        </w:smartTagPr>
        <w:r>
          <w:rPr>
            <w:rFonts w:ascii="Courier New" w:hAnsi="Courier New" w:cs="Courier New"/>
            <w:lang w:val="es-AR"/>
          </w:rPr>
          <w:t>la Trafic.</w:t>
        </w:r>
      </w:smartTag>
    </w:p>
    <w:p w:rsidR="00224567" w:rsidRDefault="00224567">
      <w:pPr>
        <w:pStyle w:val="Textoindependiente2"/>
        <w:widowControl w:val="0"/>
        <w:rPr>
          <w:rFonts w:ascii="Courier New" w:hAnsi="Courier New" w:cs="Courier New"/>
        </w:rPr>
      </w:pPr>
      <w:r>
        <w:rPr>
          <w:rFonts w:ascii="Courier New" w:hAnsi="Courier New" w:cs="Courier New"/>
          <w:lang w:val="es-AR"/>
        </w:rPr>
        <w:tab/>
      </w:r>
      <w:r>
        <w:rPr>
          <w:rFonts w:ascii="Courier New" w:hAnsi="Courier New" w:cs="Courier New"/>
        </w:rPr>
        <w:t>Asimismo, destacaron que los acusad</w:t>
      </w:r>
      <w:r>
        <w:rPr>
          <w:rFonts w:ascii="Courier New" w:hAnsi="Courier New" w:cs="Courier New"/>
        </w:rPr>
        <w:t>o</w:t>
      </w:r>
      <w:r>
        <w:rPr>
          <w:rFonts w:ascii="Courier New" w:hAnsi="Courier New" w:cs="Courier New"/>
        </w:rPr>
        <w:t>res sostuvieron que Miriam Salinas, el 18 de julio, oyó decir a Telleldín “estos hijos de puta me cagaron la v</w:t>
      </w:r>
      <w:r>
        <w:rPr>
          <w:rFonts w:ascii="Courier New" w:hAnsi="Courier New" w:cs="Courier New"/>
        </w:rPr>
        <w:t>i</w:t>
      </w:r>
      <w:r>
        <w:rPr>
          <w:rFonts w:ascii="Courier New" w:hAnsi="Courier New" w:cs="Courier New"/>
        </w:rPr>
        <w:t>da”, cuando en realidad la testigo ubicó el encuentro un día antes del allanamiento del taller de Nitzcaner. La asistencia técnica consideró que aún en el caso de que su defendido hubiera estado preocupado desde el día del ate</w:t>
      </w:r>
      <w:r>
        <w:rPr>
          <w:rFonts w:ascii="Courier New" w:hAnsi="Courier New" w:cs="Courier New"/>
        </w:rPr>
        <w:t>n</w:t>
      </w:r>
      <w:r>
        <w:rPr>
          <w:rFonts w:ascii="Courier New" w:hAnsi="Courier New" w:cs="Courier New"/>
        </w:rPr>
        <w:t>tado, esa actitud no podía tilda</w:t>
      </w:r>
      <w:r>
        <w:rPr>
          <w:rFonts w:ascii="Courier New" w:hAnsi="Courier New" w:cs="Courier New"/>
        </w:rPr>
        <w:t>r</w:t>
      </w:r>
      <w:r>
        <w:rPr>
          <w:rFonts w:ascii="Courier New" w:hAnsi="Courier New" w:cs="Courier New"/>
        </w:rPr>
        <w:t>se de extraña por cuanto, desde el momento de la venta, tanto el co</w:t>
      </w:r>
      <w:r>
        <w:rPr>
          <w:rFonts w:ascii="Courier New" w:hAnsi="Courier New" w:cs="Courier New"/>
        </w:rPr>
        <w:t>m</w:t>
      </w:r>
      <w:r>
        <w:rPr>
          <w:rFonts w:ascii="Courier New" w:hAnsi="Courier New" w:cs="Courier New"/>
        </w:rPr>
        <w:t>prador como los coreanos le resultaron sospechosos.</w:t>
      </w:r>
    </w:p>
    <w:p w:rsidR="00224567" w:rsidRDefault="00224567">
      <w:pPr>
        <w:pStyle w:val="Textoindependiente2"/>
        <w:widowControl w:val="0"/>
        <w:rPr>
          <w:rFonts w:ascii="Courier New" w:hAnsi="Courier New" w:cs="Courier New"/>
        </w:rPr>
      </w:pPr>
      <w:r>
        <w:rPr>
          <w:rFonts w:ascii="Courier New" w:hAnsi="Courier New" w:cs="Courier New"/>
        </w:rPr>
        <w:tab/>
        <w:t>Además, entendieron que esa frase d</w:t>
      </w:r>
      <w:r>
        <w:rPr>
          <w:rFonts w:ascii="Courier New" w:hAnsi="Courier New" w:cs="Courier New"/>
        </w:rPr>
        <w:t>e</w:t>
      </w:r>
      <w:r>
        <w:rPr>
          <w:rFonts w:ascii="Courier New" w:hAnsi="Courier New" w:cs="Courier New"/>
        </w:rPr>
        <w:t>mostraba una sorpresa e indignación que resultaba incomp</w:t>
      </w:r>
      <w:r>
        <w:rPr>
          <w:rFonts w:ascii="Courier New" w:hAnsi="Courier New" w:cs="Courier New"/>
        </w:rPr>
        <w:t>a</w:t>
      </w:r>
      <w:r>
        <w:rPr>
          <w:rFonts w:ascii="Courier New" w:hAnsi="Courier New" w:cs="Courier New"/>
        </w:rPr>
        <w:t>tible con cualquier tipo de conocimiento previo y, por e</w:t>
      </w:r>
      <w:r>
        <w:rPr>
          <w:rFonts w:ascii="Courier New" w:hAnsi="Courier New" w:cs="Courier New"/>
        </w:rPr>
        <w:t>n</w:t>
      </w:r>
      <w:r>
        <w:rPr>
          <w:rFonts w:ascii="Courier New" w:hAnsi="Courier New" w:cs="Courier New"/>
        </w:rPr>
        <w:t>de, descartaba el dolo.</w:t>
      </w:r>
      <w:bookmarkStart w:id="31" w:name="_Toc86676547"/>
    </w:p>
    <w:p w:rsidR="00224567" w:rsidRDefault="00224567">
      <w:pPr>
        <w:pStyle w:val="Textoindependiente2"/>
        <w:widowControl w:val="0"/>
        <w:rPr>
          <w:rFonts w:ascii="Courier New" w:hAnsi="Courier New" w:cs="Courier New"/>
        </w:rPr>
      </w:pPr>
      <w:r>
        <w:rPr>
          <w:rFonts w:ascii="Courier New" w:hAnsi="Courier New" w:cs="Courier New"/>
        </w:rPr>
        <w:tab/>
      </w:r>
      <w:r>
        <w:rPr>
          <w:rFonts w:ascii="Courier New" w:hAnsi="Courier New" w:cs="Courier New"/>
          <w:b/>
          <w:bCs/>
        </w:rPr>
        <w:t>B.3.b)</w:t>
      </w:r>
      <w:r>
        <w:rPr>
          <w:rFonts w:ascii="Courier New" w:hAnsi="Courier New" w:cs="Courier New"/>
        </w:rPr>
        <w:t xml:space="preserve"> Preparación de una coartada.</w:t>
      </w:r>
      <w:bookmarkEnd w:id="31"/>
    </w:p>
    <w:p w:rsidR="00224567" w:rsidRDefault="00224567">
      <w:pPr>
        <w:widowControl w:val="0"/>
      </w:pPr>
      <w:r>
        <w:tab/>
      </w:r>
      <w:r>
        <w:rPr>
          <w:b/>
          <w:bCs/>
        </w:rPr>
        <w:t>B.3.b.i)</w:t>
      </w:r>
      <w:r>
        <w:t xml:space="preserve"> Ambas querellas consider</w:t>
      </w:r>
      <w:r>
        <w:t>a</w:t>
      </w:r>
      <w:r>
        <w:t>ron, con sustento en los dichos del testigo Stiuso, que Carlos Alberto Telleldín organizó una coa</w:t>
      </w:r>
      <w:r>
        <w:t>r</w:t>
      </w:r>
      <w:r>
        <w:t>tada.</w:t>
      </w:r>
    </w:p>
    <w:p w:rsidR="00224567" w:rsidRDefault="00224567">
      <w:pPr>
        <w:widowControl w:val="0"/>
      </w:pPr>
      <w:r>
        <w:tab/>
        <w:t>Horacio Antonio Stiuso narró que supo por Bareiro que el viernes 22 de julio de 1994 Telleldín organizó una coartada y que desde el miércoles posterior al atentado estaba inquieto y sumamente nervioso por cua</w:t>
      </w:r>
      <w:r>
        <w:t>n</w:t>
      </w:r>
      <w:r>
        <w:t xml:space="preserve">to suponía que </w:t>
      </w:r>
      <w:smartTag w:uri="urn:schemas-microsoft-com:office:smarttags" w:element="PersonName">
        <w:smartTagPr>
          <w:attr w:name="ProductID" w:val="la Trafic"/>
        </w:smartTagPr>
        <w:r>
          <w:t>la Tr</w:t>
        </w:r>
        <w:r>
          <w:t>a</w:t>
        </w:r>
        <w:r>
          <w:t>fic</w:t>
        </w:r>
      </w:smartTag>
      <w:r>
        <w:t xml:space="preserve"> era la suya. Mencionó que Barreda y Bareiro estuvieron con Telleldín ese viernes e incluso bromeaban preguntándole si no habría sido su Trafic. As</w:t>
      </w:r>
      <w:r>
        <w:t>e</w:t>
      </w:r>
      <w:r>
        <w:t>guró que ese mismo día Telleldín fabricó el boleto de co</w:t>
      </w:r>
      <w:r>
        <w:t>m</w:t>
      </w:r>
      <w:r>
        <w:t>praventa y concurrió con Hugo P</w:t>
      </w:r>
      <w:r>
        <w:t>é</w:t>
      </w:r>
      <w:r>
        <w:t>rez a la calle San José.</w:t>
      </w:r>
    </w:p>
    <w:p w:rsidR="00224567" w:rsidRDefault="00224567">
      <w:pPr>
        <w:widowControl w:val="0"/>
      </w:pPr>
      <w:r>
        <w:tab/>
        <w:t>Relató que al día siguiente se ll</w:t>
      </w:r>
      <w:r>
        <w:t>e</w:t>
      </w:r>
      <w:r>
        <w:t>vó a cabo una reunión en la casa de Telleldín, a la que asi</w:t>
      </w:r>
      <w:r>
        <w:t>s</w:t>
      </w:r>
      <w:r>
        <w:t>tieron Boragni, Nitzcaner y un hermano suyo abog</w:t>
      </w:r>
      <w:r>
        <w:t>a</w:t>
      </w:r>
      <w:r>
        <w:t>do, en la que armaron todas las historias que tendrían que narrar cuando fueran localizados. También en esa ocasión, expr</w:t>
      </w:r>
      <w:r>
        <w:t>e</w:t>
      </w:r>
      <w:r>
        <w:t>só, Telleldín decidió huir, aparentemente, primero a Luján y a Córdoba –donde no se pudo verificar su estadía- y lu</w:t>
      </w:r>
      <w:r>
        <w:t>e</w:t>
      </w:r>
      <w:r>
        <w:t>go a la frontera, concretamente a Posadas; Nitzcaner esc</w:t>
      </w:r>
      <w:r>
        <w:t>o</w:t>
      </w:r>
      <w:r>
        <w:t>gió quedarse, adoptando cada uno su e</w:t>
      </w:r>
      <w:r>
        <w:t>s</w:t>
      </w:r>
      <w:r>
        <w:t>trategia.</w:t>
      </w:r>
    </w:p>
    <w:p w:rsidR="00224567" w:rsidRDefault="00224567">
      <w:pPr>
        <w:widowControl w:val="0"/>
      </w:pPr>
      <w:r>
        <w:tab/>
        <w:t>Señaló que del análisis de las tran</w:t>
      </w:r>
      <w:r>
        <w:t>s</w:t>
      </w:r>
      <w:r>
        <w:t>cripciones surgía que el hermano de Telleldín buscó otro abogado, pero la esposa le indicó que estaba todo arregl</w:t>
      </w:r>
      <w:r>
        <w:t>a</w:t>
      </w:r>
      <w:r>
        <w:t>do con el hermano de Ariel o algo similar. Aclaró que t</w:t>
      </w:r>
      <w:r>
        <w:t>a</w:t>
      </w:r>
      <w:r>
        <w:t>les datos los obtuvo por Hugo Pérez y los polic</w:t>
      </w:r>
      <w:r>
        <w:t>í</w:t>
      </w:r>
      <w:r>
        <w:t>as Barreda y Bareiro, creyendo que el primero había asistido a la reunión, en tanto los últimos lo supieron a través de c</w:t>
      </w:r>
      <w:r>
        <w:t>o</w:t>
      </w:r>
      <w:r>
        <w:t>mentarios de Boragni o Nitzc</w:t>
      </w:r>
      <w:r>
        <w:t>a</w:t>
      </w:r>
      <w:r>
        <w:t>ner.</w:t>
      </w:r>
    </w:p>
    <w:p w:rsidR="00224567" w:rsidRDefault="00224567">
      <w:pPr>
        <w:widowControl w:val="0"/>
      </w:pPr>
      <w:r>
        <w:tab/>
      </w:r>
      <w:r>
        <w:rPr>
          <w:b/>
          <w:bCs/>
        </w:rPr>
        <w:t>B.3.b.ii)</w:t>
      </w:r>
      <w:r>
        <w:t xml:space="preserve"> Con respecto al tema en tr</w:t>
      </w:r>
      <w:r>
        <w:t>a</w:t>
      </w:r>
      <w:r>
        <w:t>tamiento, cabe destacar que la única prueba invocada por las partes para sostener la preparación de una coartada fue la d</w:t>
      </w:r>
      <w:r>
        <w:t>e</w:t>
      </w:r>
      <w:r>
        <w:t>claración testimonial de un agente de la entonces S</w:t>
      </w:r>
      <w:r>
        <w:t>e</w:t>
      </w:r>
      <w:r>
        <w:t>cretaría de Inteligencia de Estado.</w:t>
      </w:r>
    </w:p>
    <w:p w:rsidR="00224567" w:rsidRDefault="00224567">
      <w:pPr>
        <w:widowControl w:val="0"/>
      </w:pPr>
      <w:r>
        <w:tab/>
        <w:t>Al respecto, es criterio del Trib</w:t>
      </w:r>
      <w:r>
        <w:t>u</w:t>
      </w:r>
      <w:r>
        <w:t>nal que “si bien en el régimen probatorio de la libre convi</w:t>
      </w:r>
      <w:r>
        <w:t>c</w:t>
      </w:r>
      <w:r>
        <w:t>ción o sana crítica racional, el carácter de ún</w:t>
      </w:r>
      <w:r>
        <w:t>i</w:t>
      </w:r>
      <w:r>
        <w:t>co testigo no impide la plenitud probatoria, ello sie</w:t>
      </w:r>
      <w:r>
        <w:t>m</w:t>
      </w:r>
      <w:r>
        <w:t>pre que el juez adquiera certeza sobre la existencia de determinadas ci</w:t>
      </w:r>
      <w:r>
        <w:t>r</w:t>
      </w:r>
      <w:r>
        <w:t>cunstancias de hecho” (</w:t>
      </w:r>
      <w:r>
        <w:rPr>
          <w:spacing w:val="-2"/>
        </w:rPr>
        <w:t>cónf.</w:t>
      </w:r>
      <w:r>
        <w:t xml:space="preserve"> este Tribunal </w:t>
      </w:r>
      <w:r>
        <w:rPr>
          <w:u w:val="single"/>
        </w:rPr>
        <w:t>in re</w:t>
      </w:r>
      <w:r>
        <w:t xml:space="preserve"> “Sant</w:t>
      </w:r>
      <w:r>
        <w:t>i</w:t>
      </w:r>
      <w:r>
        <w:t>llán, Francisco Agustín s/abandono de persona”, reg. n° 47/99, rta. el 22/11/99; en igual sentido, C.N.C.P., Sala I, "González, J</w:t>
      </w:r>
      <w:r>
        <w:t>u</w:t>
      </w:r>
      <w:r>
        <w:t>lio G.", rta. el 25/11/97).</w:t>
      </w:r>
    </w:p>
    <w:p w:rsidR="00224567" w:rsidRDefault="00224567">
      <w:pPr>
        <w:widowControl w:val="0"/>
        <w:tabs>
          <w:tab w:val="left" w:pos="0"/>
        </w:tabs>
        <w:rPr>
          <w:spacing w:val="-2"/>
        </w:rPr>
      </w:pPr>
      <w:r>
        <w:rPr>
          <w:spacing w:val="-2"/>
        </w:rPr>
        <w:tab/>
        <w:t>Al comentar José Severo Caballero las diferencias existentes entre el código procesal vigente con el anterior, que establecía un sistema de prueba legal o tasada, destaca “que el art. 241 actual establece que el juez valorará individualmente a cada te</w:t>
      </w:r>
      <w:r>
        <w:rPr>
          <w:spacing w:val="-2"/>
        </w:rPr>
        <w:t>s</w:t>
      </w:r>
      <w:r>
        <w:rPr>
          <w:spacing w:val="-2"/>
        </w:rPr>
        <w:t>tigo y aún [podrá] fundar en uno solo la imputación de un hecho hacia un te</w:t>
      </w:r>
      <w:r>
        <w:rPr>
          <w:spacing w:val="-2"/>
        </w:rPr>
        <w:t>r</w:t>
      </w:r>
      <w:r>
        <w:rPr>
          <w:spacing w:val="-2"/>
        </w:rPr>
        <w:t xml:space="preserve">cero si sus dichos satisfacen las exigencias de la </w:t>
      </w:r>
      <w:r>
        <w:rPr>
          <w:bCs/>
          <w:spacing w:val="-2"/>
        </w:rPr>
        <w:t>sana crítica</w:t>
      </w:r>
      <w:r>
        <w:rPr>
          <w:spacing w:val="-2"/>
        </w:rPr>
        <w:t xml:space="preserve"> con relación a los principios lógicos corrientes del entendimiento humano aplicables en lo subjetivo-individual y a la valoración social razonable” (ver Diario </w:t>
      </w:r>
      <w:smartTag w:uri="urn:schemas-microsoft-com:office:smarttags" w:element="PersonName">
        <w:smartTagPr>
          <w:attr w:name="ProductID" w:val="La Ley"/>
        </w:smartTagPr>
        <w:r>
          <w:rPr>
            <w:spacing w:val="-2"/>
          </w:rPr>
          <w:t>La Ley</w:t>
        </w:r>
      </w:smartTag>
      <w:r>
        <w:rPr>
          <w:spacing w:val="-2"/>
        </w:rPr>
        <w:t xml:space="preserve"> del 23/10/95, “</w:t>
      </w:r>
      <w:smartTag w:uri="urn:schemas-microsoft-com:office:smarttags" w:element="PersonName">
        <w:smartTagPr>
          <w:attr w:name="ProductID" w:val="La Sana Cr￭tica"/>
        </w:smartTagPr>
        <w:r>
          <w:rPr>
            <w:spacing w:val="-2"/>
          </w:rPr>
          <w:t>La Sana Crítica</w:t>
        </w:r>
      </w:smartTag>
      <w:r>
        <w:rPr>
          <w:spacing w:val="-2"/>
        </w:rPr>
        <w:t xml:space="preserve"> en </w:t>
      </w:r>
      <w:smartTag w:uri="urn:schemas-microsoft-com:office:smarttags" w:element="PersonName">
        <w:smartTagPr>
          <w:attr w:name="ProductID" w:val="la Legislaci￳n Penal"/>
        </w:smartTagPr>
        <w:r>
          <w:rPr>
            <w:spacing w:val="-2"/>
          </w:rPr>
          <w:t>la Legislación P</w:t>
        </w:r>
        <w:r>
          <w:rPr>
            <w:spacing w:val="-2"/>
          </w:rPr>
          <w:t>e</w:t>
        </w:r>
        <w:r>
          <w:rPr>
            <w:spacing w:val="-2"/>
          </w:rPr>
          <w:t>nal</w:t>
        </w:r>
      </w:smartTag>
      <w:r>
        <w:rPr>
          <w:spacing w:val="-2"/>
        </w:rPr>
        <w:t xml:space="preserve"> Argentina”).</w:t>
      </w:r>
    </w:p>
    <w:p w:rsidR="00224567" w:rsidRDefault="00224567">
      <w:pPr>
        <w:widowControl w:val="0"/>
        <w:tabs>
          <w:tab w:val="left" w:pos="0"/>
        </w:tabs>
      </w:pPr>
      <w:r>
        <w:rPr>
          <w:spacing w:val="-2"/>
        </w:rPr>
        <w:tab/>
        <w:t xml:space="preserve">A su vez, </w:t>
      </w:r>
      <w:smartTag w:uri="urn:schemas-microsoft-com:office:smarttags" w:element="PersonName">
        <w:smartTagPr>
          <w:attr w:name="ProductID" w:val="la Sala V"/>
        </w:smartTagPr>
        <w:r>
          <w:rPr>
            <w:spacing w:val="-2"/>
          </w:rPr>
          <w:t>la Sala V</w:t>
        </w:r>
      </w:smartTag>
      <w:r>
        <w:rPr>
          <w:spacing w:val="-2"/>
        </w:rPr>
        <w:t xml:space="preserve"> de </w:t>
      </w:r>
      <w:smartTag w:uri="urn:schemas-microsoft-com:office:smarttags" w:element="PersonName">
        <w:smartTagPr>
          <w:attr w:name="ProductID" w:val="la C￡mara Nacional"/>
        </w:smartTagPr>
        <w:r>
          <w:rPr>
            <w:spacing w:val="-2"/>
          </w:rPr>
          <w:t>la Cámara Naci</w:t>
        </w:r>
        <w:r>
          <w:rPr>
            <w:spacing w:val="-2"/>
          </w:rPr>
          <w:t>o</w:t>
        </w:r>
        <w:r>
          <w:rPr>
            <w:spacing w:val="-2"/>
          </w:rPr>
          <w:t>nal</w:t>
        </w:r>
      </w:smartTag>
      <w:r>
        <w:rPr>
          <w:spacing w:val="-2"/>
        </w:rPr>
        <w:t xml:space="preserve"> de Apelaciones en lo Criminal y Correccio</w:t>
      </w:r>
      <w:r>
        <w:rPr>
          <w:spacing w:val="-2"/>
        </w:rPr>
        <w:softHyphen/>
        <w:t>nal de esta ciudad entendió que “al testigo único se lo debe valorar severamente y con rigor crítico” (</w:t>
      </w:r>
      <w:r>
        <w:rPr>
          <w:spacing w:val="-2"/>
          <w:u w:val="single"/>
        </w:rPr>
        <w:t>in re</w:t>
      </w:r>
      <w:r>
        <w:rPr>
          <w:spacing w:val="-2"/>
        </w:rPr>
        <w:t xml:space="preserve"> “Costi</w:t>
      </w:r>
      <w:r>
        <w:rPr>
          <w:spacing w:val="-2"/>
        </w:rPr>
        <w:softHyphen/>
        <w:t xml:space="preserve">lla, Carlos” del 4/6/96, publicado en </w:t>
      </w:r>
      <w:smartTag w:uri="urn:schemas-microsoft-com:office:smarttags" w:element="PersonName">
        <w:smartTagPr>
          <w:attr w:name="ProductID" w:val="La Ley"/>
        </w:smartTagPr>
        <w:r>
          <w:rPr>
            <w:spacing w:val="-2"/>
          </w:rPr>
          <w:t>La Ley</w:t>
        </w:r>
      </w:smartTag>
      <w:r>
        <w:rPr>
          <w:spacing w:val="-2"/>
        </w:rPr>
        <w:t xml:space="preserve"> del 30/6/97).</w:t>
      </w:r>
    </w:p>
    <w:p w:rsidR="00224567" w:rsidRDefault="00224567">
      <w:pPr>
        <w:widowControl w:val="0"/>
      </w:pPr>
      <w:r>
        <w:tab/>
        <w:t>Ahora bien, en el caso, al rigor nec</w:t>
      </w:r>
      <w:r>
        <w:t>e</w:t>
      </w:r>
      <w:r>
        <w:t>sario para valorar los dichos de Stiuso se le d</w:t>
      </w:r>
      <w:r>
        <w:t>e</w:t>
      </w:r>
      <w:r>
        <w:t>be agregar un elemento adicional, cual es que el nombrado no aprehe</w:t>
      </w:r>
      <w:r>
        <w:t>n</w:t>
      </w:r>
      <w:r>
        <w:t>dió por sus sentidos, en forma directa, los sucesos que relató, sino que, según dijo, los supo a través de d</w:t>
      </w:r>
      <w:r>
        <w:t>i</w:t>
      </w:r>
      <w:r>
        <w:t>chos de terceras personas. De este modo no sólo reviste la c</w:t>
      </w:r>
      <w:r>
        <w:t>a</w:t>
      </w:r>
      <w:r>
        <w:t>lidad de testigo único, sino que, además, se trata de un testigo de oídas.</w:t>
      </w:r>
    </w:p>
    <w:p w:rsidR="00224567" w:rsidRDefault="00224567">
      <w:pPr>
        <w:widowControl w:val="0"/>
      </w:pPr>
      <w:r>
        <w:tab/>
        <w:t>En ese contexto, corresponde delim</w:t>
      </w:r>
      <w:r>
        <w:t>i</w:t>
      </w:r>
      <w:r>
        <w:t>tar el alcance con que se deberán valorar sus dichos.</w:t>
      </w:r>
    </w:p>
    <w:p w:rsidR="00224567" w:rsidRDefault="00224567">
      <w:pPr>
        <w:widowControl w:val="0"/>
      </w:pPr>
      <w:r>
        <w:tab/>
        <w:t>Al respecto, cabe recordar que el te</w:t>
      </w:r>
      <w:r>
        <w:t>s</w:t>
      </w:r>
      <w:r>
        <w:t>timonio es la declaración recibida a una persona f</w:t>
      </w:r>
      <w:r>
        <w:t>í</w:t>
      </w:r>
      <w:r>
        <w:t>sica en el curso del proceso penal, acerca de lo que pueda c</w:t>
      </w:r>
      <w:r>
        <w:t>o</w:t>
      </w:r>
      <w:r>
        <w:t>nocer por percepción de sus sentidos, sobre los hechos invest</w:t>
      </w:r>
      <w:r>
        <w:t>i</w:t>
      </w:r>
      <w:r>
        <w:t>gados, con el propósito de contribuir a la reconstrucción conceptual de estos. El conocimiento que pueda tener el testigo deberá haberlo adquirido antes de ser llamado y por percepción sensorial; expres</w:t>
      </w:r>
      <w:r>
        <w:t>a</w:t>
      </w:r>
      <w:r>
        <w:t>rá lo que vio, olió, oyó, gustó o tocó (</w:t>
      </w:r>
      <w:r>
        <w:rPr>
          <w:spacing w:val="-2"/>
        </w:rPr>
        <w:t>cónf.</w:t>
      </w:r>
      <w:r>
        <w:t xml:space="preserve"> Cafferata Nores, ob. cit., pág. 94 y sigs.).</w:t>
      </w:r>
    </w:p>
    <w:p w:rsidR="00224567" w:rsidRDefault="00224567">
      <w:pPr>
        <w:widowControl w:val="0"/>
      </w:pPr>
      <w:r>
        <w:tab/>
        <w:t>El autor citado continúa diciendo que el llam</w:t>
      </w:r>
      <w:r>
        <w:t>a</w:t>
      </w:r>
      <w:r>
        <w:t>do testigo de oídas declarará lo que oyó sobre el hecho y no sobre el hecho mismo. Sin embargo, enseña que Manzini le negó a sus dichos la calidad de testimonio, pues “escapa a la responsabilidad de lo que dijo si el otro no lo revela y se sustrae también a la val</w:t>
      </w:r>
      <w:r>
        <w:t>o</w:t>
      </w:r>
      <w:r>
        <w:t>ración de su credibil</w:t>
      </w:r>
      <w:r>
        <w:t>i</w:t>
      </w:r>
      <w:r>
        <w:t>dad, aparte de que lo que se cuente de boca en boca se altera y se desforma progresivamente”, agregando que tales reflexiones son de utilidad para una correcta valoración del testimonio “de o</w:t>
      </w:r>
      <w:r>
        <w:t>í</w:t>
      </w:r>
      <w:r>
        <w:t>das” (</w:t>
      </w:r>
      <w:r>
        <w:rPr>
          <w:spacing w:val="-2"/>
        </w:rPr>
        <w:t>cónf.</w:t>
      </w:r>
      <w:r>
        <w:t xml:space="preserve"> ob. cit., pág. 96).</w:t>
      </w:r>
    </w:p>
    <w:p w:rsidR="00224567" w:rsidRDefault="00224567">
      <w:pPr>
        <w:widowControl w:val="0"/>
      </w:pPr>
      <w:r>
        <w:tab/>
        <w:t>Al respecto, Eduardo Jauchen indica que “el te</w:t>
      </w:r>
      <w:r>
        <w:t>s</w:t>
      </w:r>
      <w:r>
        <w:t>tigo debe haber percibido en forma directa los hechos sobre los cuales declara. En este sentido carece de todo valor el relato de un narrador indire</w:t>
      </w:r>
      <w:r>
        <w:t>c</w:t>
      </w:r>
      <w:r>
        <w:t>to, un testigo de ‘oídas’, o de segundo grado, cuyo peso probatorio se desvanece debido a lo indirecto de la percepción” (</w:t>
      </w:r>
      <w:r>
        <w:rPr>
          <w:spacing w:val="-2"/>
        </w:rPr>
        <w:t>cónf.</w:t>
      </w:r>
      <w:r>
        <w:t xml:space="preserve"> ob. cit., pág. 289).</w:t>
      </w:r>
    </w:p>
    <w:p w:rsidR="00224567" w:rsidRDefault="00224567">
      <w:pPr>
        <w:widowControl w:val="0"/>
        <w:rPr>
          <w:szCs w:val="28"/>
        </w:rPr>
      </w:pPr>
      <w:r>
        <w:tab/>
        <w:t xml:space="preserve">En definitiva, </w:t>
      </w:r>
      <w:r>
        <w:rPr>
          <w:szCs w:val="28"/>
        </w:rPr>
        <w:t xml:space="preserve">el testigo de oídas </w:t>
      </w:r>
      <w:r>
        <w:t>r</w:t>
      </w:r>
      <w:r>
        <w:t>e</w:t>
      </w:r>
      <w:r>
        <w:t xml:space="preserve">sulta insuficiente para acreditar el hecho sobre el que declara, </w:t>
      </w:r>
      <w:r>
        <w:rPr>
          <w:szCs w:val="28"/>
        </w:rPr>
        <w:t>porque en él la relación de conocimiento no es directa y se limita a manifestar que aprehendió los hechos por narraciones de terceras personas.</w:t>
      </w:r>
    </w:p>
    <w:p w:rsidR="00224567" w:rsidRDefault="00224567">
      <w:pPr>
        <w:widowControl w:val="0"/>
      </w:pPr>
      <w:r>
        <w:tab/>
        <w:t>En el caso, las consideraciones prec</w:t>
      </w:r>
      <w:r>
        <w:t>e</w:t>
      </w:r>
      <w:r>
        <w:t>dentes hallan un obstáculo adicional, cual es la calidad de los interlocutores que Stiuso mencionó para sustentar sus dichos. En efecto, basó sus afirmaciones en lo que le habrían transmitido Hugo Antonio Pérez, Diego Enrique B</w:t>
      </w:r>
      <w:r>
        <w:t>a</w:t>
      </w:r>
      <w:r>
        <w:t>rreda y Mario Norberto Bareiro, quienes terminaron imp</w:t>
      </w:r>
      <w:r>
        <w:t>u</w:t>
      </w:r>
      <w:r>
        <w:t>tados en la causa y, por ende, podrían haber tenido algún interés personal. A ello se aduna que en el caso de Barr</w:t>
      </w:r>
      <w:r>
        <w:t>e</w:t>
      </w:r>
      <w:r>
        <w:t>da y Bareiro, Stiuso ni siquiera refirió que se hubieran hallado presentes en la reunión, sino que, a su vez, h</w:t>
      </w:r>
      <w:r>
        <w:t>a</w:t>
      </w:r>
      <w:r>
        <w:t>brían tomado conocimiento de ella a través de Boragni o Nitzcaner.</w:t>
      </w:r>
    </w:p>
    <w:p w:rsidR="00224567" w:rsidRDefault="00224567">
      <w:pPr>
        <w:widowControl w:val="0"/>
        <w:rPr>
          <w:lang w:val="es-AR"/>
        </w:rPr>
      </w:pPr>
      <w:r>
        <w:tab/>
        <w:t>Tampoco</w:t>
      </w:r>
      <w:r>
        <w:rPr>
          <w:lang w:val="es-AR"/>
        </w:rPr>
        <w:t xml:space="preserve"> se debe soslayar que ninguno de ellos, al pre</w:t>
      </w:r>
      <w:r>
        <w:rPr>
          <w:lang w:val="es-AR"/>
        </w:rPr>
        <w:t>s</w:t>
      </w:r>
      <w:r>
        <w:rPr>
          <w:lang w:val="es-AR"/>
        </w:rPr>
        <w:t>tar declaración indagatoria en el caso de los imputados o testimonial en el de Boragni, hicieron r</w:t>
      </w:r>
      <w:r>
        <w:rPr>
          <w:lang w:val="es-AR"/>
        </w:rPr>
        <w:t>e</w:t>
      </w:r>
      <w:r>
        <w:rPr>
          <w:lang w:val="es-AR"/>
        </w:rPr>
        <w:t>ferencia al presunto encuentro en que se habría co</w:t>
      </w:r>
      <w:r>
        <w:rPr>
          <w:lang w:val="es-AR"/>
        </w:rPr>
        <w:t>n</w:t>
      </w:r>
      <w:r>
        <w:rPr>
          <w:lang w:val="es-AR"/>
        </w:rPr>
        <w:t>certado el plan referido por Stiuso, ni obran en autos otras con</w:t>
      </w:r>
      <w:r>
        <w:rPr>
          <w:lang w:val="es-AR"/>
        </w:rPr>
        <w:t>s</w:t>
      </w:r>
      <w:r>
        <w:rPr>
          <w:lang w:val="es-AR"/>
        </w:rPr>
        <w:t>tancias indicativas de que tal re</w:t>
      </w:r>
      <w:r>
        <w:rPr>
          <w:lang w:val="es-AR"/>
        </w:rPr>
        <w:t>u</w:t>
      </w:r>
      <w:r>
        <w:rPr>
          <w:lang w:val="es-AR"/>
        </w:rPr>
        <w:t>nión se hubiera llevado a c</w:t>
      </w:r>
      <w:r>
        <w:rPr>
          <w:lang w:val="es-AR"/>
        </w:rPr>
        <w:t>a</w:t>
      </w:r>
      <w:r>
        <w:rPr>
          <w:lang w:val="es-AR"/>
        </w:rPr>
        <w:t>bo.</w:t>
      </w:r>
    </w:p>
    <w:p w:rsidR="00224567" w:rsidRDefault="00224567">
      <w:pPr>
        <w:widowControl w:val="0"/>
        <w:rPr>
          <w:lang w:val="es-AR"/>
        </w:rPr>
      </w:pPr>
      <w:r>
        <w:rPr>
          <w:lang w:val="es-AR"/>
        </w:rPr>
        <w:tab/>
        <w:t>Con relación a la escucha invocada por Stiuso, ésta surge de la intervención del abonado 757-4193, casete nº 3 del 28 de julio de 1994, en que, confo</w:t>
      </w:r>
      <w:r>
        <w:rPr>
          <w:lang w:val="es-AR"/>
        </w:rPr>
        <w:t>r</w:t>
      </w:r>
      <w:r>
        <w:rPr>
          <w:lang w:val="es-AR"/>
        </w:rPr>
        <w:t>me las trascripciones, se registró la siguiente convers</w:t>
      </w:r>
      <w:r>
        <w:rPr>
          <w:lang w:val="es-AR"/>
        </w:rPr>
        <w:t>a</w:t>
      </w:r>
      <w:r>
        <w:rPr>
          <w:lang w:val="es-AR"/>
        </w:rPr>
        <w:t>ción entre Eduardo Telleldín y Ana Boragni:</w:t>
      </w:r>
    </w:p>
    <w:p w:rsidR="00224567" w:rsidRDefault="00224567">
      <w:pPr>
        <w:widowControl w:val="0"/>
        <w:numPr>
          <w:ilvl w:val="0"/>
          <w:numId w:val="6"/>
        </w:numPr>
        <w:rPr>
          <w:lang w:val="es-AR"/>
        </w:rPr>
      </w:pPr>
      <w:r>
        <w:rPr>
          <w:lang w:val="es-AR"/>
        </w:rPr>
        <w:t>“A: Si, estoy con un abogado, que él se va a oc</w:t>
      </w:r>
      <w:r>
        <w:rPr>
          <w:lang w:val="es-AR"/>
        </w:rPr>
        <w:t>u</w:t>
      </w:r>
      <w:r>
        <w:rPr>
          <w:lang w:val="es-AR"/>
        </w:rPr>
        <w:t>par de t</w:t>
      </w:r>
      <w:r>
        <w:rPr>
          <w:lang w:val="es-AR"/>
        </w:rPr>
        <w:t>o</w:t>
      </w:r>
      <w:r>
        <w:rPr>
          <w:lang w:val="es-AR"/>
        </w:rPr>
        <w:t>do.</w:t>
      </w:r>
    </w:p>
    <w:p w:rsidR="00224567" w:rsidRDefault="00224567">
      <w:pPr>
        <w:widowControl w:val="0"/>
        <w:numPr>
          <w:ilvl w:val="0"/>
          <w:numId w:val="6"/>
        </w:numPr>
        <w:rPr>
          <w:lang w:val="es-AR"/>
        </w:rPr>
      </w:pPr>
      <w:r>
        <w:rPr>
          <w:lang w:val="es-AR"/>
        </w:rPr>
        <w:t>E: Pero, mirá que yo ya arreglé con Pérez Cerro.</w:t>
      </w:r>
    </w:p>
    <w:p w:rsidR="00224567" w:rsidRDefault="00224567">
      <w:pPr>
        <w:widowControl w:val="0"/>
        <w:numPr>
          <w:ilvl w:val="0"/>
          <w:numId w:val="6"/>
        </w:numPr>
        <w:rPr>
          <w:lang w:val="es-AR"/>
        </w:rPr>
      </w:pPr>
      <w:r>
        <w:rPr>
          <w:lang w:val="es-AR"/>
        </w:rPr>
        <w:t>A: Si, pero decile que no, que no haga nada, po</w:t>
      </w:r>
      <w:r>
        <w:rPr>
          <w:lang w:val="es-AR"/>
        </w:rPr>
        <w:t>r</w:t>
      </w:r>
      <w:r>
        <w:rPr>
          <w:lang w:val="es-AR"/>
        </w:rPr>
        <w:t>que este abogado es el hermano de Ariel y está muy pre</w:t>
      </w:r>
      <w:r>
        <w:rPr>
          <w:lang w:val="es-AR"/>
        </w:rPr>
        <w:t>o</w:t>
      </w:r>
      <w:r>
        <w:rPr>
          <w:lang w:val="es-AR"/>
        </w:rPr>
        <w:t>cupado.</w:t>
      </w:r>
    </w:p>
    <w:p w:rsidR="00224567" w:rsidRDefault="00224567">
      <w:pPr>
        <w:widowControl w:val="0"/>
        <w:numPr>
          <w:ilvl w:val="0"/>
          <w:numId w:val="6"/>
        </w:numPr>
        <w:rPr>
          <w:lang w:val="es-AR"/>
        </w:rPr>
      </w:pPr>
      <w:r>
        <w:rPr>
          <w:lang w:val="es-AR"/>
        </w:rPr>
        <w:t>E: Bueno, entonces lo llamo y le digo que no.</w:t>
      </w:r>
    </w:p>
    <w:p w:rsidR="00224567" w:rsidRDefault="00224567">
      <w:pPr>
        <w:widowControl w:val="0"/>
        <w:numPr>
          <w:ilvl w:val="0"/>
          <w:numId w:val="6"/>
        </w:numPr>
        <w:rPr>
          <w:lang w:val="es-AR"/>
        </w:rPr>
      </w:pPr>
      <w:r>
        <w:rPr>
          <w:lang w:val="es-AR"/>
        </w:rPr>
        <w:t>A: Si, después te llamo.”</w:t>
      </w:r>
    </w:p>
    <w:p w:rsidR="00224567" w:rsidRDefault="00224567">
      <w:pPr>
        <w:widowControl w:val="0"/>
      </w:pPr>
      <w:r>
        <w:rPr>
          <w:lang w:val="es-AR"/>
        </w:rPr>
        <w:tab/>
        <w:t>De este diálogo no se deriva, en modo alguno, la organización de una coartada por parte de T</w:t>
      </w:r>
      <w:r>
        <w:rPr>
          <w:lang w:val="es-AR"/>
        </w:rPr>
        <w:t>e</w:t>
      </w:r>
      <w:r>
        <w:rPr>
          <w:lang w:val="es-AR"/>
        </w:rPr>
        <w:t>lleldín o las personas de su entorno, sino que refleja, simplemente, una charla entre el hermano y la concubina del detenido acerca de la defensa que le brindarían.</w:t>
      </w:r>
      <w:r>
        <w:t xml:space="preserve"> De esta manera, las consideraciones de Stiuso al respecto aparecen huérfanas de sustento y no pueden ser valoradas en contra del imputado.</w:t>
      </w:r>
    </w:p>
    <w:p w:rsidR="00224567" w:rsidRDefault="00224567">
      <w:pPr>
        <w:widowControl w:val="0"/>
      </w:pPr>
      <w:r>
        <w:tab/>
        <w:t>A ello se aduna que, conforme Sti</w:t>
      </w:r>
      <w:r>
        <w:t>u</w:t>
      </w:r>
      <w:r>
        <w:t>so, en la reunión previa a la huida de Telleldín habrían pa</w:t>
      </w:r>
      <w:r>
        <w:t>r</w:t>
      </w:r>
      <w:r>
        <w:t>ticipado Boragni, Nitzcaner y el hermano de éste. Sin e</w:t>
      </w:r>
      <w:r>
        <w:t>m</w:t>
      </w:r>
      <w:r>
        <w:t>bargo, según las constancias del legajo de tran</w:t>
      </w:r>
      <w:r>
        <w:t>s</w:t>
      </w:r>
      <w:r>
        <w:t xml:space="preserve">cripciones del abonado 768-0902, confeccionado por </w:t>
      </w:r>
      <w:smartTag w:uri="urn:schemas-microsoft-com:office:smarttags" w:element="PersonName">
        <w:smartTagPr>
          <w:attr w:name="ProductID" w:val="la Secretar￭a"/>
        </w:smartTagPr>
        <w:r>
          <w:t>la Secretaría</w:t>
        </w:r>
      </w:smartTag>
      <w:r>
        <w:t xml:space="preserve"> de Inteligencia de Estado, el 28 de julio de 1994 “el Dr. Claudio”, hermano de Ariel, habría llamado a Ana Boragni para interiorizarse de la causa, a resu</w:t>
      </w:r>
      <w:r>
        <w:t>l</w:t>
      </w:r>
      <w:r>
        <w:t>tas de lo cual la nombrada lo citó a su domicilio, informándole que era en República 107 de Villa Balle</w:t>
      </w:r>
      <w:r>
        <w:t>s</w:t>
      </w:r>
      <w:r>
        <w:t>ter.</w:t>
      </w:r>
    </w:p>
    <w:p w:rsidR="00224567" w:rsidRDefault="00224567">
      <w:pPr>
        <w:pStyle w:val="Textoindependiente2"/>
        <w:widowControl w:val="0"/>
        <w:rPr>
          <w:rFonts w:ascii="Courier New" w:hAnsi="Courier New" w:cs="Courier New"/>
        </w:rPr>
      </w:pPr>
      <w:r>
        <w:rPr>
          <w:rFonts w:ascii="Courier New" w:hAnsi="Courier New" w:cs="Courier New"/>
        </w:rPr>
        <w:tab/>
        <w:t>De lo expuesto se colige que si, como sostuvo Stiuso, la semana anterior el hermano de Nit</w:t>
      </w:r>
      <w:r>
        <w:rPr>
          <w:rFonts w:ascii="Courier New" w:hAnsi="Courier New" w:cs="Courier New"/>
        </w:rPr>
        <w:t>z</w:t>
      </w:r>
      <w:r>
        <w:rPr>
          <w:rFonts w:ascii="Courier New" w:hAnsi="Courier New" w:cs="Courier New"/>
        </w:rPr>
        <w:t>caner había estado en ese domicilio, Boragni no t</w:t>
      </w:r>
      <w:r>
        <w:rPr>
          <w:rFonts w:ascii="Courier New" w:hAnsi="Courier New" w:cs="Courier New"/>
        </w:rPr>
        <w:t>e</w:t>
      </w:r>
      <w:r>
        <w:rPr>
          <w:rFonts w:ascii="Courier New" w:hAnsi="Courier New" w:cs="Courier New"/>
        </w:rPr>
        <w:t>nía necesidad a</w:t>
      </w:r>
      <w:r>
        <w:rPr>
          <w:rFonts w:ascii="Courier New" w:hAnsi="Courier New" w:cs="Courier New"/>
        </w:rPr>
        <w:t>l</w:t>
      </w:r>
      <w:r>
        <w:rPr>
          <w:rFonts w:ascii="Courier New" w:hAnsi="Courier New" w:cs="Courier New"/>
        </w:rPr>
        <w:t>guna de transmitírselo nuevamente.</w:t>
      </w:r>
    </w:p>
    <w:p w:rsidR="00224567" w:rsidRDefault="00224567">
      <w:pPr>
        <w:widowControl w:val="0"/>
      </w:pPr>
      <w:r>
        <w:tab/>
        <w:t>En base a lo expuesto, con relación a la supuesta reunión en la que Telleldín y su entorno h</w:t>
      </w:r>
      <w:r>
        <w:t>a</w:t>
      </w:r>
      <w:r>
        <w:t>brían preparado una coartada, el Tribunal considera que no existen elementos suficientes que acrediten tal extremo. Ello, por cuanto sólo se cuenta con los dichos de Stiuso, quien se limitó a reproducir manifestaciones de terceros, luego imputados en esta causa, que no fueron c</w:t>
      </w:r>
      <w:r>
        <w:t>o</w:t>
      </w:r>
      <w:r>
        <w:t>rroboradas p</w:t>
      </w:r>
      <w:bookmarkStart w:id="32" w:name="_Toc86676548"/>
      <w:r>
        <w:t>or otros elementos.</w:t>
      </w:r>
    </w:p>
    <w:p w:rsidR="00224567" w:rsidRDefault="00224567">
      <w:pPr>
        <w:widowControl w:val="0"/>
      </w:pPr>
      <w:r>
        <w:tab/>
      </w:r>
      <w:r>
        <w:rPr>
          <w:b/>
          <w:bCs/>
        </w:rPr>
        <w:t>B.3.c)</w:t>
      </w:r>
      <w:r>
        <w:t xml:space="preserve"> Compra de </w:t>
      </w:r>
      <w:smartTag w:uri="urn:schemas-microsoft-com:office:smarttags" w:element="PersonName">
        <w:smartTagPr>
          <w:attr w:name="ProductID" w:val="la Trafic."/>
        </w:smartTagPr>
        <w:r>
          <w:t>la Trafic.</w:t>
        </w:r>
      </w:smartTag>
      <w:bookmarkEnd w:id="32"/>
    </w:p>
    <w:p w:rsidR="00224567" w:rsidRDefault="00224567">
      <w:pPr>
        <w:widowControl w:val="0"/>
      </w:pPr>
      <w:r>
        <w:tab/>
        <w:t>Con relación a la solicitud que, s</w:t>
      </w:r>
      <w:r>
        <w:t>e</w:t>
      </w:r>
      <w:r>
        <w:t>gún los fiscales, Telleldín habría hecho a Monjo para que m</w:t>
      </w:r>
      <w:r>
        <w:t>o</w:t>
      </w:r>
      <w:r>
        <w:t xml:space="preserve">dificara la factura de venta de </w:t>
      </w:r>
      <w:smartTag w:uri="urn:schemas-microsoft-com:office:smarttags" w:element="PersonName">
        <w:smartTagPr>
          <w:attr w:name="ProductID" w:val="la Trafic"/>
        </w:smartTagPr>
        <w:r>
          <w:t>la Trafic</w:t>
        </w:r>
      </w:smartTag>
      <w:r>
        <w:t xml:space="preserve"> a efe</w:t>
      </w:r>
      <w:r>
        <w:t>c</w:t>
      </w:r>
      <w:r>
        <w:t>tos de que figurase a nombre de Pérez, sólo obran en autos los dichos de Miriam Raquel Salinas.</w:t>
      </w:r>
    </w:p>
    <w:p w:rsidR="00224567" w:rsidRDefault="00224567">
      <w:pPr>
        <w:widowControl w:val="0"/>
      </w:pPr>
      <w:r>
        <w:tab/>
        <w:t>La nombrada manifestó que Hugo Pérez le comentó que Telleldín le había pedido o le iba a p</w:t>
      </w:r>
      <w:r>
        <w:t>e</w:t>
      </w:r>
      <w:r>
        <w:t>dir a Monjo que modificara el boleto de venta de la c</w:t>
      </w:r>
      <w:r>
        <w:t>a</w:t>
      </w:r>
      <w:r>
        <w:t>mioneta de “Messin” y lo pusiera a nombre de Pérez, p</w:t>
      </w:r>
      <w:r>
        <w:t>e</w:t>
      </w:r>
      <w:r>
        <w:t>ro aquél se negó.</w:t>
      </w:r>
    </w:p>
    <w:p w:rsidR="00224567" w:rsidRDefault="00224567">
      <w:pPr>
        <w:pStyle w:val="Textoindependiente3"/>
        <w:widowControl w:val="0"/>
        <w:rPr>
          <w:rFonts w:ascii="Courier New" w:hAnsi="Courier New" w:cs="Courier New"/>
          <w:b w:val="0"/>
          <w:bCs/>
          <w:sz w:val="24"/>
        </w:rPr>
      </w:pPr>
      <w:r>
        <w:rPr>
          <w:rFonts w:ascii="Courier New" w:hAnsi="Courier New" w:cs="Courier New"/>
          <w:b w:val="0"/>
          <w:bCs/>
          <w:sz w:val="24"/>
        </w:rPr>
        <w:tab/>
        <w:t>Sin perjuicio de que, como se consi</w:t>
      </w:r>
      <w:r>
        <w:rPr>
          <w:rFonts w:ascii="Courier New" w:hAnsi="Courier New" w:cs="Courier New"/>
          <w:b w:val="0"/>
          <w:bCs/>
          <w:sz w:val="24"/>
        </w:rPr>
        <w:t>g</w:t>
      </w:r>
      <w:r>
        <w:rPr>
          <w:rFonts w:ascii="Courier New" w:hAnsi="Courier New" w:cs="Courier New"/>
          <w:b w:val="0"/>
          <w:bCs/>
          <w:sz w:val="24"/>
        </w:rPr>
        <w:t>na en otro apartado, la declaración testimonial de Miriam R</w:t>
      </w:r>
      <w:r>
        <w:rPr>
          <w:rFonts w:ascii="Courier New" w:hAnsi="Courier New" w:cs="Courier New"/>
          <w:b w:val="0"/>
          <w:bCs/>
          <w:sz w:val="24"/>
        </w:rPr>
        <w:t>a</w:t>
      </w:r>
      <w:r>
        <w:rPr>
          <w:rFonts w:ascii="Courier New" w:hAnsi="Courier New" w:cs="Courier New"/>
          <w:b w:val="0"/>
          <w:bCs/>
          <w:sz w:val="24"/>
        </w:rPr>
        <w:t>quel Salinas presenta particularidades, se debe destacar que se trata de un supuesto comentario que uno de los imputados le habría efectuado acerca de un diálogo entre otras dos personas, coligiéndose, ento</w:t>
      </w:r>
      <w:r>
        <w:rPr>
          <w:rFonts w:ascii="Courier New" w:hAnsi="Courier New" w:cs="Courier New"/>
          <w:b w:val="0"/>
          <w:bCs/>
          <w:sz w:val="24"/>
        </w:rPr>
        <w:t>n</w:t>
      </w:r>
      <w:r>
        <w:rPr>
          <w:rFonts w:ascii="Courier New" w:hAnsi="Courier New" w:cs="Courier New"/>
          <w:b w:val="0"/>
          <w:bCs/>
          <w:sz w:val="24"/>
        </w:rPr>
        <w:t>ces, que sería una testigo de oídas cuyo interlocutor ni siquiera pudo prec</w:t>
      </w:r>
      <w:r>
        <w:rPr>
          <w:rFonts w:ascii="Courier New" w:hAnsi="Courier New" w:cs="Courier New"/>
          <w:b w:val="0"/>
          <w:bCs/>
          <w:sz w:val="24"/>
        </w:rPr>
        <w:t>i</w:t>
      </w:r>
      <w:r>
        <w:rPr>
          <w:rFonts w:ascii="Courier New" w:hAnsi="Courier New" w:cs="Courier New"/>
          <w:b w:val="0"/>
          <w:bCs/>
          <w:sz w:val="24"/>
        </w:rPr>
        <w:t>sar si el suceso relatado efectivamente tuvo lugar (“le había pedido o iba a pedir a Mo</w:t>
      </w:r>
      <w:r>
        <w:rPr>
          <w:rFonts w:ascii="Courier New" w:hAnsi="Courier New" w:cs="Courier New"/>
          <w:b w:val="0"/>
          <w:bCs/>
          <w:sz w:val="24"/>
        </w:rPr>
        <w:t>n</w:t>
      </w:r>
      <w:r>
        <w:rPr>
          <w:rFonts w:ascii="Courier New" w:hAnsi="Courier New" w:cs="Courier New"/>
          <w:b w:val="0"/>
          <w:bCs/>
          <w:sz w:val="24"/>
        </w:rPr>
        <w:t>jo”).</w:t>
      </w:r>
    </w:p>
    <w:p w:rsidR="00224567" w:rsidRDefault="00224567">
      <w:pPr>
        <w:widowControl w:val="0"/>
      </w:pPr>
      <w:r>
        <w:tab/>
        <w:t>Además, sus dichos no encuentran as</w:t>
      </w:r>
      <w:r>
        <w:t>i</w:t>
      </w:r>
      <w:r>
        <w:t>dero en ninguna otra declaración o consta</w:t>
      </w:r>
      <w:r>
        <w:t>n</w:t>
      </w:r>
      <w:r>
        <w:t>cia de la causa, pues ninguno de los empleados de la agencia de Alejandro Monjo mencionaron en el debate semejante circunstancia, como así tampoco el propio Pérez en sus indagatorias, a pesar de que sería el principal perjudicado por la supue</w:t>
      </w:r>
      <w:r>
        <w:t>s</w:t>
      </w:r>
      <w:r>
        <w:t>ta maniobra.</w:t>
      </w:r>
    </w:p>
    <w:p w:rsidR="00224567" w:rsidRDefault="00224567">
      <w:pPr>
        <w:widowControl w:val="0"/>
        <w:ind w:firstLine="2835"/>
      </w:pPr>
      <w:r>
        <w:t>Al respecto, cabe estar a lo sosten</w:t>
      </w:r>
      <w:r>
        <w:t>i</w:t>
      </w:r>
      <w:r>
        <w:t xml:space="preserve">do </w:t>
      </w:r>
      <w:r>
        <w:rPr>
          <w:u w:val="single"/>
        </w:rPr>
        <w:t>ut supra</w:t>
      </w:r>
      <w:r>
        <w:t xml:space="preserve"> en cuanto a la manera en que deben pond</w:t>
      </w:r>
      <w:r>
        <w:t>e</w:t>
      </w:r>
      <w:r>
        <w:t>rarse los dichos de un testigo de oídas; máxime cuando, como en el caso, se trata de manifestaciones vertidas por terceros sobre hechos que no aprehendieron personalmente y acerca de las cuales no existen otras constancias que los corr</w:t>
      </w:r>
      <w:r>
        <w:t>o</w:t>
      </w:r>
      <w:r>
        <w:t>boren. Por lo expuesto, el suceso alegado queda huérfano de sustento probatorio, debiendo descalificarse como ind</w:t>
      </w:r>
      <w:r>
        <w:t>i</w:t>
      </w:r>
      <w:r>
        <w:t>cio.</w:t>
      </w:r>
    </w:p>
    <w:p w:rsidR="00224567" w:rsidRDefault="00224567">
      <w:pPr>
        <w:pStyle w:val="Ttulo5"/>
        <w:keepNext w:val="0"/>
        <w:widowControl w:val="0"/>
        <w:spacing w:line="600" w:lineRule="auto"/>
        <w:rPr>
          <w:b w:val="0"/>
          <w:bCs w:val="0"/>
        </w:rPr>
      </w:pPr>
      <w:bookmarkStart w:id="33" w:name="_Toc86676549"/>
      <w:r>
        <w:t xml:space="preserve">B.3.d) </w:t>
      </w:r>
      <w:smartTag w:uri="urn:schemas-microsoft-com:office:smarttags" w:element="PersonName">
        <w:smartTagPr>
          <w:attr w:name="ProductID" w:val="la Trafic"/>
        </w:smartTagPr>
        <w:r>
          <w:rPr>
            <w:b w:val="0"/>
            <w:bCs w:val="0"/>
          </w:rPr>
          <w:t>La Trafic</w:t>
        </w:r>
      </w:smartTag>
      <w:r>
        <w:rPr>
          <w:b w:val="0"/>
          <w:bCs w:val="0"/>
        </w:rPr>
        <w:t xml:space="preserve"> del 9 y 10 de julio de 1994.</w:t>
      </w:r>
      <w:bookmarkEnd w:id="33"/>
    </w:p>
    <w:p w:rsidR="00224567" w:rsidRDefault="00224567">
      <w:pPr>
        <w:pStyle w:val="Ttulo6"/>
        <w:keepNext w:val="0"/>
        <w:widowControl w:val="0"/>
        <w:spacing w:line="600" w:lineRule="auto"/>
        <w:rPr>
          <w:rFonts w:cs="Courier New"/>
          <w:b w:val="0"/>
          <w:bCs/>
          <w:u w:val="none"/>
        </w:rPr>
      </w:pPr>
      <w:r>
        <w:rPr>
          <w:rFonts w:cs="Courier New"/>
          <w:u w:val="none"/>
        </w:rPr>
        <w:tab/>
      </w:r>
      <w:bookmarkStart w:id="34" w:name="_Toc86676550"/>
      <w:r>
        <w:rPr>
          <w:rFonts w:cs="Courier New"/>
          <w:u w:val="none"/>
        </w:rPr>
        <w:t xml:space="preserve">B.3.d.i) </w:t>
      </w:r>
      <w:r>
        <w:rPr>
          <w:rFonts w:cs="Courier New"/>
          <w:b w:val="0"/>
          <w:bCs/>
          <w:u w:val="none"/>
        </w:rPr>
        <w:t>Introducción.</w:t>
      </w:r>
      <w:bookmarkEnd w:id="34"/>
    </w:p>
    <w:p w:rsidR="00224567" w:rsidRDefault="00224567">
      <w:pPr>
        <w:widowControl w:val="0"/>
      </w:pPr>
      <w:r>
        <w:tab/>
        <w:t>Durante el trámite de la causa Ca</w:t>
      </w:r>
      <w:r>
        <w:t>r</w:t>
      </w:r>
      <w:r>
        <w:t xml:space="preserve">los Alberto Telleldín sostuvo que armó una única camioneta, con el motor de </w:t>
      </w:r>
      <w:smartTag w:uri="urn:schemas-microsoft-com:office:smarttags" w:element="PersonName">
        <w:smartTagPr>
          <w:attr w:name="ProductID" w:val="la Trafic"/>
        </w:smartTagPr>
        <w:r>
          <w:t>la Trafic</w:t>
        </w:r>
      </w:smartTag>
      <w:r>
        <w:t xml:space="preserve"> de “Messin” y la carrocería de la de Sarapura. Con relación al de</w:t>
      </w:r>
      <w:r>
        <w:t>s</w:t>
      </w:r>
      <w:r>
        <w:t>tino que habría dado al vehículo así conformado, brindó dos versiones, una, co</w:t>
      </w:r>
      <w:r>
        <w:t>n</w:t>
      </w:r>
      <w:r>
        <w:t xml:space="preserve">sistente en que lo vendió y la otra, en que lo entregó a efectivos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w:t>
        </w:r>
        <w:r>
          <w:t>n</w:t>
        </w:r>
        <w:r>
          <w:t>cia</w:t>
        </w:r>
      </w:smartTag>
      <w:r>
        <w:t xml:space="preserve"> de Buenos Aires.</w:t>
      </w:r>
    </w:p>
    <w:p w:rsidR="00224567" w:rsidRDefault="00224567">
      <w:pPr>
        <w:widowControl w:val="0"/>
      </w:pPr>
      <w:r>
        <w:tab/>
        <w:t>Esta última la expuso en su declar</w:t>
      </w:r>
      <w:r>
        <w:t>a</w:t>
      </w:r>
      <w:r>
        <w:t>ción indagatoria del 5 de julio de 1996 que el Tribunal considera insanablemente nula; si bien la hipótesis allí volcada resulta materia de tratamiento en otro tramo de esta sentencia, aquí sólo se analizará el aspecto ref</w:t>
      </w:r>
      <w:r>
        <w:t>e</w:t>
      </w:r>
      <w:r>
        <w:t>rido a la venta, sin perder de vista, como se dijo, que no fue posible demostrar si el  m</w:t>
      </w:r>
      <w:r>
        <w:t>o</w:t>
      </w:r>
      <w:r>
        <w:t xml:space="preserve">tor de </w:t>
      </w:r>
      <w:smartTag w:uri="urn:schemas-microsoft-com:office:smarttags" w:element="PersonName">
        <w:smartTagPr>
          <w:attr w:name="ProductID" w:val="la  Trafic"/>
        </w:smartTagPr>
        <w:r>
          <w:t>la  Trafic</w:t>
        </w:r>
      </w:smartTag>
      <w:r>
        <w:t xml:space="preserve"> de “Messin”, -cuyo último dato fehaciente acerca de su existencia se registra el 4 de julio de 1994 en el d</w:t>
      </w:r>
      <w:r>
        <w:t>o</w:t>
      </w:r>
      <w:r>
        <w:t>micilio de Cotoras- fue efectivamente montado en la carrocería de la de Sar</w:t>
      </w:r>
      <w:r>
        <w:t>a</w:t>
      </w:r>
      <w:r>
        <w:t>pura.</w:t>
      </w:r>
    </w:p>
    <w:p w:rsidR="00224567" w:rsidRDefault="00224567">
      <w:pPr>
        <w:pStyle w:val="Ttulo6"/>
        <w:keepNext w:val="0"/>
        <w:widowControl w:val="0"/>
        <w:spacing w:line="600" w:lineRule="auto"/>
        <w:rPr>
          <w:rFonts w:cs="Courier New"/>
          <w:b w:val="0"/>
          <w:bCs/>
          <w:u w:val="none"/>
        </w:rPr>
      </w:pPr>
      <w:r>
        <w:rPr>
          <w:rFonts w:cs="Courier New"/>
          <w:u w:val="none"/>
        </w:rPr>
        <w:tab/>
      </w:r>
      <w:bookmarkStart w:id="35" w:name="_Toc86676551"/>
      <w:r>
        <w:rPr>
          <w:rFonts w:cs="Courier New"/>
          <w:u w:val="none"/>
        </w:rPr>
        <w:t xml:space="preserve">B.3.d.ii) </w:t>
      </w:r>
      <w:r>
        <w:rPr>
          <w:rFonts w:cs="Courier New"/>
          <w:b w:val="0"/>
          <w:bCs/>
          <w:u w:val="none"/>
        </w:rPr>
        <w:t>Declaraciones indagatorias.</w:t>
      </w:r>
      <w:bookmarkEnd w:id="35"/>
    </w:p>
    <w:p w:rsidR="00224567" w:rsidRDefault="00224567">
      <w:pPr>
        <w:widowControl w:val="0"/>
      </w:pPr>
      <w:r>
        <w:tab/>
        <w:t>En su indagatoria del 30 de julio de 1994 Carlos Alberto Telleldín sostuvo que adquirió una Trafic incendiada en “Automotores Alejandro”, cuyo motor hizo colocar en otra carrocería que presumió robada y en esas condiciones la vendió.</w:t>
      </w:r>
    </w:p>
    <w:p w:rsidR="00224567" w:rsidRDefault="00224567">
      <w:pPr>
        <w:widowControl w:val="0"/>
      </w:pPr>
      <w:r>
        <w:tab/>
        <w:t>Así, indicó, fue publicada a la venta en el diario “Clarín” del 9 y 10 de julio de 1994, habie</w:t>
      </w:r>
      <w:r>
        <w:t>n</w:t>
      </w:r>
      <w:r>
        <w:t>do concurrido a su domicilio, el primer día, tres pers</w:t>
      </w:r>
      <w:r>
        <w:t>o</w:t>
      </w:r>
      <w:r>
        <w:t>nas con rasgos orientales que arribaron en un automóvil Mits</w:t>
      </w:r>
      <w:r>
        <w:t>u</w:t>
      </w:r>
      <w:r>
        <w:t>bishi Galant negro.</w:t>
      </w:r>
    </w:p>
    <w:p w:rsidR="00224567" w:rsidRDefault="00224567">
      <w:pPr>
        <w:widowControl w:val="0"/>
      </w:pPr>
      <w:r>
        <w:tab/>
        <w:t>El 10 de julio, explicó, lo llamó en tres oportunidades una persona que se había comun</w:t>
      </w:r>
      <w:r>
        <w:t>i</w:t>
      </w:r>
      <w:r>
        <w:t>cado el día anterior y que arribó a su domicilio previo al almue</w:t>
      </w:r>
      <w:r>
        <w:t>r</w:t>
      </w:r>
      <w:r>
        <w:t>zo, refiriendo que Asghari Ammad Reza resultaba muy par</w:t>
      </w:r>
      <w:r>
        <w:t>e</w:t>
      </w:r>
      <w:r>
        <w:t>cido al sujeto en cuestión. Indicó el imputado que parte de la documentación del vehículo -la c</w:t>
      </w:r>
      <w:r>
        <w:t>é</w:t>
      </w:r>
      <w:r>
        <w:t>dula verde se había quemado- estaba en “Automotores Alejandro”, por lo que s</w:t>
      </w:r>
      <w:r>
        <w:t>ó</w:t>
      </w:r>
      <w:r>
        <w:t>lo entregó al comprador el título del automotor, pate</w:t>
      </w:r>
      <w:r>
        <w:t>n</w:t>
      </w:r>
      <w:r>
        <w:t>tes y el libre deuda, recibiendo en concepto de pago USD 11.500, confeccionando, en consecuencia, un boleto de co</w:t>
      </w:r>
      <w:r>
        <w:t>m</w:t>
      </w:r>
      <w:r>
        <w:t>praventa.</w:t>
      </w:r>
    </w:p>
    <w:p w:rsidR="00224567" w:rsidRDefault="00224567">
      <w:pPr>
        <w:widowControl w:val="0"/>
      </w:pPr>
      <w:r>
        <w:tab/>
        <w:t>En su relato del 6 y 7 de agosto de 1994 se pronunció en similares términos. Al declarar el 29 de diciembre de 1994 aclaró que la reparación de la cami</w:t>
      </w:r>
      <w:r>
        <w:t>o</w:t>
      </w:r>
      <w:r>
        <w:t>neta se efectuó en el taller de Nitzcaner, habiendo adqu</w:t>
      </w:r>
      <w:r>
        <w:t>i</w:t>
      </w:r>
      <w:r>
        <w:t>rido la carrocería a un tal Miguel. Puntualizó que el m</w:t>
      </w:r>
      <w:r>
        <w:t>o</w:t>
      </w:r>
      <w:r>
        <w:t xml:space="preserve">tor de </w:t>
      </w:r>
      <w:smartTag w:uri="urn:schemas-microsoft-com:office:smarttags" w:element="PersonName">
        <w:smartTagPr>
          <w:attr w:name="ProductID" w:val="la Trafic"/>
        </w:smartTagPr>
        <w:r>
          <w:t>la Trafic</w:t>
        </w:r>
      </w:smartTag>
      <w:r>
        <w:t xml:space="preserve"> quemada se montó en esa c</w:t>
      </w:r>
      <w:r>
        <w:t>a</w:t>
      </w:r>
      <w:r>
        <w:t>rrocería, cuya numeración se modificó, colocándole las chapas p</w:t>
      </w:r>
      <w:r>
        <w:t>a</w:t>
      </w:r>
      <w:r>
        <w:t>tentes de aquélla.</w:t>
      </w:r>
    </w:p>
    <w:p w:rsidR="00224567" w:rsidRDefault="00224567">
      <w:pPr>
        <w:widowControl w:val="0"/>
      </w:pPr>
      <w:r>
        <w:tab/>
        <w:t>En la audiencia de debate, el encart</w:t>
      </w:r>
      <w:r>
        <w:t>a</w:t>
      </w:r>
      <w:r>
        <w:t>do manifestó que en el domicilio de Cotoras se extr</w:t>
      </w:r>
      <w:r>
        <w:t>a</w:t>
      </w:r>
      <w:r>
        <w:t>jo el motor del utilitario de “Messin”, el que luego, en el t</w:t>
      </w:r>
      <w:r>
        <w:t>a</w:t>
      </w:r>
      <w:r>
        <w:t>ller de Nitzcaner, fue colocado en la carrocería del de Sarapura. Afirmó que vendió la camioneta c</w:t>
      </w:r>
      <w:r>
        <w:t>o</w:t>
      </w:r>
      <w:r>
        <w:t>mo lo hacía con todos sus vehículos, sin preguntar qué destino les darían, a la vez que negó conocer a Ramón Mart</w:t>
      </w:r>
      <w:r>
        <w:t>í</w:t>
      </w:r>
      <w:r>
        <w:t>nez.</w:t>
      </w:r>
    </w:p>
    <w:p w:rsidR="00224567" w:rsidRDefault="00224567">
      <w:pPr>
        <w:widowControl w:val="0"/>
      </w:pPr>
      <w:r>
        <w:tab/>
        <w:t>Por su parte, al prestar declaración indagatoria el 11 de enero de 1995, Hugo Antonio Pérez s</w:t>
      </w:r>
      <w:r>
        <w:t>e</w:t>
      </w:r>
      <w:r>
        <w:t>ñaló que Telleldín adquirió una camioneta Trafic sinie</w:t>
      </w:r>
      <w:r>
        <w:t>s</w:t>
      </w:r>
      <w:r>
        <w:t>trada en “Automotores Alejandro”, comentándole que la h</w:t>
      </w:r>
      <w:r>
        <w:t>a</w:t>
      </w:r>
      <w:r>
        <w:t>bía puesto en venta. Recordó que la vio por primera vez dos o tres días antes de su venta, estacionada en la pue</w:t>
      </w:r>
      <w:r>
        <w:t>r</w:t>
      </w:r>
      <w:r>
        <w:t>ta del domicilio de su coimputado. Indicó que un domingo se encontraba en la casa de Telleldín y éste y su mujer le comentaron que la habían vendido a una persona de origen extranj</w:t>
      </w:r>
      <w:r>
        <w:t>e</w:t>
      </w:r>
      <w:r>
        <w:t>ro.</w:t>
      </w:r>
    </w:p>
    <w:p w:rsidR="00224567" w:rsidRDefault="00224567">
      <w:pPr>
        <w:widowControl w:val="0"/>
      </w:pPr>
      <w:r>
        <w:tab/>
        <w:t>En su indagatoria del 24 de julio de 1995, Pérez recordó que escuchó, el 10 de julio de 1994, una conversación telefónica por la venta de la camioneta, en la que Carlos Telleldín explicaba el camino para arr</w:t>
      </w:r>
      <w:r>
        <w:t>i</w:t>
      </w:r>
      <w:r>
        <w:t>bar a su domicilio.</w:t>
      </w:r>
    </w:p>
    <w:p w:rsidR="00224567" w:rsidRDefault="00224567">
      <w:pPr>
        <w:widowControl w:val="0"/>
      </w:pPr>
      <w:r>
        <w:tab/>
        <w:t>A su turno, Miguel Gustavo Jaimes, en su indagatoria del 23 de enero de 1995, manifestó que en junio o julio de 1994 Telleldín le solicitó que remo</w:t>
      </w:r>
      <w:r>
        <w:t>l</w:t>
      </w:r>
      <w:r>
        <w:t>cara una camioneta Trafic de color blanco hasta un taller mec</w:t>
      </w:r>
      <w:r>
        <w:t>á</w:t>
      </w:r>
      <w:r>
        <w:t>nico, que luego supo era de un tal Ariel.</w:t>
      </w:r>
    </w:p>
    <w:p w:rsidR="00224567" w:rsidRDefault="00224567">
      <w:pPr>
        <w:widowControl w:val="0"/>
      </w:pPr>
      <w:r>
        <w:tab/>
        <w:t>Al respecto, Ariel Rodolfo Nitzc</w:t>
      </w:r>
      <w:r>
        <w:t>a</w:t>
      </w:r>
      <w:r>
        <w:t>ner, al prestar decl</w:t>
      </w:r>
      <w:r>
        <w:t>a</w:t>
      </w:r>
      <w:r>
        <w:t>ración indagatoria el 30 de julio de 1994, refirió que el primer sábado de julio de ese año T</w:t>
      </w:r>
      <w:r>
        <w:t>e</w:t>
      </w:r>
      <w:r>
        <w:t>lleldín llevó una Renault Trafic a remolque para cambiarle el m</w:t>
      </w:r>
      <w:r>
        <w:t>o</w:t>
      </w:r>
      <w:r>
        <w:t>tor y “disfrazarla” para la venta. Adunó que el nombrado le comentó que había contratado la publicación del aviso de venta de la camioneta para el sábado 9 y el d</w:t>
      </w:r>
      <w:r>
        <w:t>o</w:t>
      </w:r>
      <w:r>
        <w:t>mingo 10 de julio.</w:t>
      </w:r>
    </w:p>
    <w:p w:rsidR="00224567" w:rsidRDefault="00224567">
      <w:pPr>
        <w:widowControl w:val="0"/>
      </w:pPr>
      <w:r>
        <w:tab/>
        <w:t xml:space="preserve">Por otra parte, Nitzcaner admitió en su declaración del 17 de enero de 1995 haber extraído el motor de </w:t>
      </w:r>
      <w:smartTag w:uri="urn:schemas-microsoft-com:office:smarttags" w:element="PersonName">
        <w:smartTagPr>
          <w:attr w:name="ProductID" w:val="la Trafic"/>
        </w:smartTagPr>
        <w:r>
          <w:t>la Trafic</w:t>
        </w:r>
      </w:smartTag>
      <w:r>
        <w:t xml:space="preserve"> llevada por Telleldín, colocándole otro, aportado por Hugo Antonio Pérez. Asimismo, indicó que sobre aquella carrocería efectuaron tr</w:t>
      </w:r>
      <w:r>
        <w:t>a</w:t>
      </w:r>
      <w:r>
        <w:t>bajos de chapa y pintura.</w:t>
      </w:r>
    </w:p>
    <w:p w:rsidR="00224567" w:rsidRDefault="00224567">
      <w:pPr>
        <w:widowControl w:val="0"/>
      </w:pPr>
      <w:r>
        <w:tab/>
        <w:t>En su declaración del 3 de julio de 1995 reconoció la camioneta aludida en la fotografía apo</w:t>
      </w:r>
      <w:r>
        <w:t>r</w:t>
      </w:r>
      <w:r>
        <w:t>tada por Sarapura.</w:t>
      </w:r>
    </w:p>
    <w:p w:rsidR="00224567" w:rsidRDefault="00224567">
      <w:pPr>
        <w:pStyle w:val="Ttulo6"/>
        <w:keepNext w:val="0"/>
        <w:widowControl w:val="0"/>
        <w:spacing w:line="600" w:lineRule="auto"/>
        <w:rPr>
          <w:rFonts w:cs="Courier New"/>
          <w:b w:val="0"/>
          <w:bCs/>
          <w:u w:val="none"/>
        </w:rPr>
      </w:pPr>
      <w:r>
        <w:rPr>
          <w:rFonts w:cs="Courier New"/>
          <w:u w:val="none"/>
        </w:rPr>
        <w:tab/>
      </w:r>
      <w:bookmarkStart w:id="36" w:name="_Toc86676552"/>
      <w:r>
        <w:rPr>
          <w:rFonts w:cs="Courier New"/>
          <w:u w:val="none"/>
        </w:rPr>
        <w:t xml:space="preserve">B.3.d.iii) </w:t>
      </w:r>
      <w:r>
        <w:rPr>
          <w:rFonts w:cs="Courier New"/>
          <w:b w:val="0"/>
          <w:bCs/>
          <w:u w:val="none"/>
        </w:rPr>
        <w:t>Trafic frente al domicilio de Telle</w:t>
      </w:r>
      <w:r>
        <w:rPr>
          <w:rFonts w:cs="Courier New"/>
          <w:b w:val="0"/>
          <w:bCs/>
          <w:u w:val="none"/>
        </w:rPr>
        <w:t>l</w:t>
      </w:r>
      <w:r>
        <w:rPr>
          <w:rFonts w:cs="Courier New"/>
          <w:b w:val="0"/>
          <w:bCs/>
          <w:u w:val="none"/>
        </w:rPr>
        <w:t>dín el 9 y 10 de julio de 1994.</w:t>
      </w:r>
      <w:bookmarkEnd w:id="36"/>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r>
      <w:r>
        <w:rPr>
          <w:rFonts w:ascii="Courier New" w:hAnsi="Courier New" w:cs="Courier New"/>
          <w:b/>
          <w:bCs/>
        </w:rPr>
        <w:t>B.3.d.iii.A</w:t>
      </w:r>
      <w:r>
        <w:rPr>
          <w:rFonts w:ascii="Courier New" w:hAnsi="Courier New" w:cs="Courier New"/>
          <w:b/>
          <w:bCs/>
          <w:szCs w:val="24"/>
          <w:lang w:val="es-AR"/>
        </w:rPr>
        <w:t xml:space="preserve">) </w:t>
      </w:r>
      <w:r>
        <w:rPr>
          <w:rFonts w:ascii="Courier New" w:hAnsi="Courier New" w:cs="Courier New"/>
          <w:szCs w:val="24"/>
          <w:lang w:val="es-AR"/>
        </w:rPr>
        <w:t>En base a la prueba re</w:t>
      </w:r>
      <w:r>
        <w:rPr>
          <w:rFonts w:ascii="Courier New" w:hAnsi="Courier New" w:cs="Courier New"/>
          <w:szCs w:val="24"/>
          <w:lang w:val="es-AR"/>
        </w:rPr>
        <w:t>n</w:t>
      </w:r>
      <w:r>
        <w:rPr>
          <w:rFonts w:ascii="Courier New" w:hAnsi="Courier New" w:cs="Courier New"/>
          <w:szCs w:val="24"/>
          <w:lang w:val="es-AR"/>
        </w:rPr>
        <w:t>dida en el debate se determinó que el fin de semana del 9 y 10 de julio de 1994 hubo una camioneta Trafic estacion</w:t>
      </w:r>
      <w:r>
        <w:rPr>
          <w:rFonts w:ascii="Courier New" w:hAnsi="Courier New" w:cs="Courier New"/>
          <w:szCs w:val="24"/>
          <w:lang w:val="es-AR"/>
        </w:rPr>
        <w:t>a</w:t>
      </w:r>
      <w:r>
        <w:rPr>
          <w:rFonts w:ascii="Courier New" w:hAnsi="Courier New" w:cs="Courier New"/>
          <w:szCs w:val="24"/>
          <w:lang w:val="es-AR"/>
        </w:rPr>
        <w:t>da frente al dom</w:t>
      </w:r>
      <w:r>
        <w:rPr>
          <w:rFonts w:ascii="Courier New" w:hAnsi="Courier New" w:cs="Courier New"/>
          <w:szCs w:val="24"/>
          <w:lang w:val="es-AR"/>
        </w:rPr>
        <w:t>i</w:t>
      </w:r>
      <w:r>
        <w:rPr>
          <w:rFonts w:ascii="Courier New" w:hAnsi="Courier New" w:cs="Courier New"/>
          <w:szCs w:val="24"/>
          <w:lang w:val="es-AR"/>
        </w:rPr>
        <w:t>cilio de Telleldín.</w:t>
      </w:r>
    </w:p>
    <w:p w:rsidR="00224567" w:rsidRDefault="00224567">
      <w:pPr>
        <w:widowControl w:val="0"/>
      </w:pPr>
      <w:r>
        <w:tab/>
      </w:r>
      <w:r>
        <w:rPr>
          <w:b/>
          <w:bCs/>
          <w:lang w:val="es-AR"/>
        </w:rPr>
        <w:t>B.3.d.iii.B)</w:t>
      </w:r>
      <w:r>
        <w:rPr>
          <w:lang w:val="es-AR"/>
        </w:rPr>
        <w:t xml:space="preserve"> </w:t>
      </w:r>
      <w:r>
        <w:t>Corrobora lo expuesto la declar</w:t>
      </w:r>
      <w:r>
        <w:t>a</w:t>
      </w:r>
      <w:r>
        <w:t>ción de Carlos Enrique Schonbrod, quien relató que a mediados de 1994, según creía un sábado o un domingo, concurrió a un domicilio de Villa Ballester a ver un aut</w:t>
      </w:r>
      <w:r>
        <w:t>o</w:t>
      </w:r>
      <w:r>
        <w:t>móvil Renault 19 para comprar, siendo atendido por un s</w:t>
      </w:r>
      <w:r>
        <w:t>u</w:t>
      </w:r>
      <w:r>
        <w:t>jeto robusto y de baja estatura. Expresó que en esa oc</w:t>
      </w:r>
      <w:r>
        <w:t>a</w:t>
      </w:r>
      <w:r>
        <w:t>sión, en la calle, observó un vehículo alto, de color cl</w:t>
      </w:r>
      <w:r>
        <w:t>a</w:t>
      </w:r>
      <w:r>
        <w:t>ro –blanco o celeste-, con un choque en la zona superior del parabrisas, como si hubiera querido entrar a un g</w:t>
      </w:r>
      <w:r>
        <w:t>a</w:t>
      </w:r>
      <w:r>
        <w:t>raje para el que no le daba la altura; no pudo precisar si era una Tr</w:t>
      </w:r>
      <w:r>
        <w:t>a</w:t>
      </w:r>
      <w:r>
        <w:t>fic, ni siquiera si era una camioneta. Narró que el domingo 10 de julio, en horas de la tarde, retornó al l</w:t>
      </w:r>
      <w:r>
        <w:t>u</w:t>
      </w:r>
      <w:r>
        <w:t>gar, sin e</w:t>
      </w:r>
      <w:r>
        <w:t>n</w:t>
      </w:r>
      <w:r>
        <w:t>contrar a persona alguna.</w:t>
      </w:r>
    </w:p>
    <w:p w:rsidR="00224567" w:rsidRDefault="00224567">
      <w:pPr>
        <w:widowControl w:val="0"/>
        <w:rPr>
          <w:bCs/>
        </w:rPr>
      </w:pPr>
      <w:r>
        <w:tab/>
        <w:t xml:space="preserve">Asimismo, Antonio Malacchia refirió que hacia </w:t>
      </w:r>
      <w:r>
        <w:rPr>
          <w:bCs/>
        </w:rPr>
        <w:t>1994 ó 1995 terminó una construcción sobre un terreno que tenía en Alvear y República de Villa Balle</w:t>
      </w:r>
      <w:r>
        <w:rPr>
          <w:bCs/>
        </w:rPr>
        <w:t>s</w:t>
      </w:r>
      <w:r>
        <w:rPr>
          <w:bCs/>
        </w:rPr>
        <w:t>ter, frente a la casa de Carlos Telleldín. Expresó que en los locales trabajaban tres albañiles, pero nu</w:t>
      </w:r>
      <w:r>
        <w:rPr>
          <w:bCs/>
        </w:rPr>
        <w:t>n</w:t>
      </w:r>
      <w:r>
        <w:rPr>
          <w:bCs/>
        </w:rPr>
        <w:t>ca iban los domingos. Asimismo, indicó que para esa época poseía un Ford Falcon amar</w:t>
      </w:r>
      <w:r>
        <w:rPr>
          <w:bCs/>
        </w:rPr>
        <w:t>i</w:t>
      </w:r>
      <w:r>
        <w:rPr>
          <w:bCs/>
        </w:rPr>
        <w:t>llo, pero negó que en alguna oportunidad su vecino o la señora de éste le hubieran solicitado que lo corriera para estacionar o retirar algún v</w:t>
      </w:r>
      <w:r>
        <w:rPr>
          <w:bCs/>
        </w:rPr>
        <w:t>e</w:t>
      </w:r>
      <w:r>
        <w:rPr>
          <w:bCs/>
        </w:rPr>
        <w:t>hículo.</w:t>
      </w:r>
    </w:p>
    <w:p w:rsidR="00224567" w:rsidRDefault="00224567">
      <w:pPr>
        <w:widowControl w:val="0"/>
      </w:pPr>
      <w:r>
        <w:rPr>
          <w:bCs/>
        </w:rPr>
        <w:tab/>
        <w:t>Mencionó que Telleldín solía estaci</w:t>
      </w:r>
      <w:r>
        <w:rPr>
          <w:bCs/>
        </w:rPr>
        <w:t>o</w:t>
      </w:r>
      <w:r>
        <w:rPr>
          <w:bCs/>
        </w:rPr>
        <w:t>nar automóviles, la mayoría viejos, sobre la calle Rep</w:t>
      </w:r>
      <w:r>
        <w:rPr>
          <w:bCs/>
        </w:rPr>
        <w:t>ú</w:t>
      </w:r>
      <w:r>
        <w:rPr>
          <w:bCs/>
        </w:rPr>
        <w:t>blica y que en una oportunidad vio una Trafic, cuyo c</w:t>
      </w:r>
      <w:r>
        <w:rPr>
          <w:bCs/>
        </w:rPr>
        <w:t>o</w:t>
      </w:r>
      <w:r>
        <w:rPr>
          <w:bCs/>
        </w:rPr>
        <w:t>lor no recordó, pero sí que tenía un tubo del equipo de gas. No pudo precisar si tenía puerta lateral, por cuanto la vio del lado izquierdo. Señaló que ello ocurrió para la fecha del aniversario del fallec</w:t>
      </w:r>
      <w:r>
        <w:rPr>
          <w:bCs/>
        </w:rPr>
        <w:t>i</w:t>
      </w:r>
      <w:r>
        <w:rPr>
          <w:bCs/>
        </w:rPr>
        <w:t>miento de su padre, el 9 de julio, habiendo pasado el domingo alrededor de las 17.00, ocasión en que la camioneta ya no estaba en el l</w:t>
      </w:r>
      <w:r>
        <w:rPr>
          <w:bCs/>
        </w:rPr>
        <w:t>u</w:t>
      </w:r>
      <w:r>
        <w:rPr>
          <w:bCs/>
        </w:rPr>
        <w:t>gar. No recordó si alguna vez vio a alguien en el utilit</w:t>
      </w:r>
      <w:r>
        <w:rPr>
          <w:bCs/>
        </w:rPr>
        <w:t>a</w:t>
      </w:r>
      <w:r>
        <w:rPr>
          <w:bCs/>
        </w:rPr>
        <w:t>rio.</w:t>
      </w:r>
    </w:p>
    <w:p w:rsidR="00224567" w:rsidRDefault="00224567">
      <w:pPr>
        <w:widowControl w:val="0"/>
      </w:pPr>
      <w:r>
        <w:tab/>
        <w:t>Al respecto, María Manuela Santillo de Malacchia, esposa del anterior, refirió que el d</w:t>
      </w:r>
      <w:r>
        <w:t>o</w:t>
      </w:r>
      <w:r>
        <w:t>mingo 10 de julio de 1994 concurrió con su marido a la obra de A</w:t>
      </w:r>
      <w:r>
        <w:t>l</w:t>
      </w:r>
      <w:r>
        <w:t>vear y República, Villa Ballester, no advirtiendo nada r</w:t>
      </w:r>
      <w:r>
        <w:t>a</w:t>
      </w:r>
      <w:r>
        <w:t>ro. Si bien admitió que tenían un Ford Falcon amarillo, negó que su vecino les hubiera requerido que lo movieran para estacionar una Trafic o haber visto un vehículo de ese modelo en el lugar.</w:t>
      </w:r>
    </w:p>
    <w:p w:rsidR="00224567" w:rsidRDefault="00224567">
      <w:pPr>
        <w:widowControl w:val="0"/>
      </w:pPr>
      <w:r>
        <w:tab/>
        <w:t>A su turno, Mirta Alicia Giménez, d</w:t>
      </w:r>
      <w:r>
        <w:t>o</w:t>
      </w:r>
      <w:r>
        <w:t>miciliada a metros de la casa de Telleldín, manife</w:t>
      </w:r>
      <w:r>
        <w:t>s</w:t>
      </w:r>
      <w:r>
        <w:t>tó, sin precisar fechas, que antes del atentado y durante un par de meses, vio una camioneta Trafic blanca, prácticamente nueva, sin logotipos, que solía estar estacionada en la vereda de los vecinos de República 107.</w:t>
      </w:r>
    </w:p>
    <w:p w:rsidR="00224567" w:rsidRDefault="00224567">
      <w:pPr>
        <w:pStyle w:val="Textoindependiente2"/>
        <w:widowControl w:val="0"/>
        <w:rPr>
          <w:rFonts w:ascii="Courier New" w:hAnsi="Courier New" w:cs="Courier New"/>
          <w:b/>
          <w:bCs/>
        </w:rPr>
      </w:pPr>
      <w:r>
        <w:rPr>
          <w:rFonts w:ascii="Courier New" w:hAnsi="Courier New" w:cs="Courier New"/>
          <w:szCs w:val="24"/>
          <w:lang w:val="es-AR"/>
        </w:rPr>
        <w:tab/>
        <w:t xml:space="preserve">Además, señaló que su </w:t>
      </w:r>
      <w:r>
        <w:rPr>
          <w:rFonts w:ascii="Courier New" w:hAnsi="Courier New" w:cs="Courier New"/>
        </w:rPr>
        <w:t>tío Héctor Gim</w:t>
      </w:r>
      <w:r>
        <w:rPr>
          <w:rFonts w:ascii="Courier New" w:hAnsi="Courier New" w:cs="Courier New"/>
        </w:rPr>
        <w:t>é</w:t>
      </w:r>
      <w:r>
        <w:rPr>
          <w:rFonts w:ascii="Courier New" w:hAnsi="Courier New" w:cs="Courier New"/>
        </w:rPr>
        <w:t>nez le comentó que, poco después del atentado, su v</w:t>
      </w:r>
      <w:r>
        <w:rPr>
          <w:rFonts w:ascii="Courier New" w:hAnsi="Courier New" w:cs="Courier New"/>
        </w:rPr>
        <w:t>e</w:t>
      </w:r>
      <w:r>
        <w:rPr>
          <w:rFonts w:ascii="Courier New" w:hAnsi="Courier New" w:cs="Courier New"/>
        </w:rPr>
        <w:t>cino, tras afirmar que había vendido la camioneta, le preguntó si vio cuando lo hizo;</w:t>
      </w:r>
      <w:r>
        <w:rPr>
          <w:rFonts w:ascii="Courier New" w:hAnsi="Courier New" w:cs="Courier New"/>
          <w:b/>
          <w:bCs/>
        </w:rPr>
        <w:t xml:space="preserve"> </w:t>
      </w:r>
      <w:r>
        <w:rPr>
          <w:rFonts w:ascii="Courier New" w:hAnsi="Courier New" w:cs="Courier New"/>
        </w:rPr>
        <w:t>aclaró que su familiar dijo que no había observado nada.</w:t>
      </w:r>
    </w:p>
    <w:p w:rsidR="00224567" w:rsidRDefault="00224567">
      <w:pPr>
        <w:pStyle w:val="Textoindependiente2"/>
        <w:widowControl w:val="0"/>
        <w:rPr>
          <w:rFonts w:ascii="Courier New" w:hAnsi="Courier New" w:cs="Courier New"/>
        </w:rPr>
      </w:pPr>
      <w:r>
        <w:rPr>
          <w:rFonts w:ascii="Courier New" w:hAnsi="Courier New" w:cs="Courier New"/>
        </w:rPr>
        <w:tab/>
        <w:t>Natalia Belusic de Giménez, domicili</w:t>
      </w:r>
      <w:r>
        <w:rPr>
          <w:rFonts w:ascii="Courier New" w:hAnsi="Courier New" w:cs="Courier New"/>
        </w:rPr>
        <w:t>a</w:t>
      </w:r>
      <w:r>
        <w:rPr>
          <w:rFonts w:ascii="Courier New" w:hAnsi="Courier New" w:cs="Courier New"/>
        </w:rPr>
        <w:t>da con la anterior, indicó que frente a su casa estuvo p</w:t>
      </w:r>
      <w:r>
        <w:rPr>
          <w:rFonts w:ascii="Courier New" w:hAnsi="Courier New" w:cs="Courier New"/>
        </w:rPr>
        <w:t>a</w:t>
      </w:r>
      <w:r>
        <w:rPr>
          <w:rFonts w:ascii="Courier New" w:hAnsi="Courier New" w:cs="Courier New"/>
        </w:rPr>
        <w:t>rada una camioneta Trafic blanca, según creía sin puerta lat</w:t>
      </w:r>
      <w:r>
        <w:rPr>
          <w:rFonts w:ascii="Courier New" w:hAnsi="Courier New" w:cs="Courier New"/>
        </w:rPr>
        <w:t>e</w:t>
      </w:r>
      <w:r>
        <w:rPr>
          <w:rFonts w:ascii="Courier New" w:hAnsi="Courier New" w:cs="Courier New"/>
        </w:rPr>
        <w:t>ral. Precisó que la vio por primera vez el 8 de junio de 1994 y permaneció allí quince días, por lo que pensaron que era robada; estaba con la pue</w:t>
      </w:r>
      <w:r>
        <w:rPr>
          <w:rFonts w:ascii="Courier New" w:hAnsi="Courier New" w:cs="Courier New"/>
        </w:rPr>
        <w:t>r</w:t>
      </w:r>
      <w:r>
        <w:rPr>
          <w:rFonts w:ascii="Courier New" w:hAnsi="Courier New" w:cs="Courier New"/>
        </w:rPr>
        <w:t>ta abierta o le faltaba una puerta.</w:t>
      </w:r>
    </w:p>
    <w:p w:rsidR="00224567" w:rsidRDefault="00224567">
      <w:pPr>
        <w:pStyle w:val="Textoindependiente2"/>
        <w:widowControl w:val="0"/>
        <w:ind w:firstLine="2835"/>
        <w:rPr>
          <w:rFonts w:ascii="Courier New" w:hAnsi="Courier New" w:cs="Courier New"/>
        </w:rPr>
      </w:pPr>
      <w:r>
        <w:rPr>
          <w:rFonts w:ascii="Courier New" w:hAnsi="Courier New" w:cs="Courier New"/>
        </w:rPr>
        <w:t>A lo expuesto adunó que no la vio d</w:t>
      </w:r>
      <w:r>
        <w:rPr>
          <w:rFonts w:ascii="Courier New" w:hAnsi="Courier New" w:cs="Courier New"/>
        </w:rPr>
        <w:t>u</w:t>
      </w:r>
      <w:r>
        <w:rPr>
          <w:rFonts w:ascii="Courier New" w:hAnsi="Courier New" w:cs="Courier New"/>
        </w:rPr>
        <w:t>rante unos días, hasta que apareció nuevamente el 9 de j</w:t>
      </w:r>
      <w:r>
        <w:rPr>
          <w:rFonts w:ascii="Courier New" w:hAnsi="Courier New" w:cs="Courier New"/>
        </w:rPr>
        <w:t>u</w:t>
      </w:r>
      <w:r>
        <w:rPr>
          <w:rFonts w:ascii="Courier New" w:hAnsi="Courier New" w:cs="Courier New"/>
        </w:rPr>
        <w:t>lio –según creía fue domingo- al mediodía, frente al gar</w:t>
      </w:r>
      <w:r>
        <w:rPr>
          <w:rFonts w:ascii="Courier New" w:hAnsi="Courier New" w:cs="Courier New"/>
        </w:rPr>
        <w:t>a</w:t>
      </w:r>
      <w:r>
        <w:rPr>
          <w:rFonts w:ascii="Courier New" w:hAnsi="Courier New" w:cs="Courier New"/>
        </w:rPr>
        <w:t>je de sus vecinos, aclarando que, si bien le pareció que se trataba del mismo vehículo, no podía aseg</w:t>
      </w:r>
      <w:r>
        <w:rPr>
          <w:rFonts w:ascii="Courier New" w:hAnsi="Courier New" w:cs="Courier New"/>
        </w:rPr>
        <w:t>u</w:t>
      </w:r>
      <w:r>
        <w:rPr>
          <w:rFonts w:ascii="Courier New" w:hAnsi="Courier New" w:cs="Courier New"/>
        </w:rPr>
        <w:t>rarlo.</w:t>
      </w:r>
    </w:p>
    <w:p w:rsidR="00224567" w:rsidRDefault="00224567">
      <w:pPr>
        <w:widowControl w:val="0"/>
      </w:pPr>
      <w:r>
        <w:tab/>
        <w:t>Por su parte, Zulema Beatriz Fil</w:t>
      </w:r>
      <w:r>
        <w:t>o</w:t>
      </w:r>
      <w:r>
        <w:t>mena Leoni de Vicente, vecina de Telleldín, declaró que la s</w:t>
      </w:r>
      <w:r>
        <w:t>e</w:t>
      </w:r>
      <w:r>
        <w:t>ñora Ana María le comentó, antes del 9 de julio de 1994, que había puesto a la venta una Trafic quemada en USD 13.000. La testigo señaló que no llegó a ver el utilitario referido, pero como también tenía una Trafic, d</w:t>
      </w:r>
      <w:r>
        <w:t>u</w:t>
      </w:r>
      <w:r>
        <w:t>rante dos o tres días, en la semana, concurrió gente a verla, cr</w:t>
      </w:r>
      <w:r>
        <w:t>e</w:t>
      </w:r>
      <w:r>
        <w:t>yendo que se trataba de la que estaba en venta, porque h</w:t>
      </w:r>
      <w:r>
        <w:t>a</w:t>
      </w:r>
      <w:r>
        <w:t>bían puesto como dirección Alvear y Rep</w:t>
      </w:r>
      <w:r>
        <w:t>ú</w:t>
      </w:r>
      <w:r>
        <w:t>blica.</w:t>
      </w:r>
    </w:p>
    <w:p w:rsidR="00224567" w:rsidRDefault="00224567">
      <w:pPr>
        <w:pStyle w:val="Sangradetextonormal"/>
        <w:widowControl w:val="0"/>
        <w:ind w:firstLine="2835"/>
        <w:rPr>
          <w:lang w:val="es-ES"/>
        </w:rPr>
      </w:pPr>
      <w:r>
        <w:rPr>
          <w:lang w:val="es-ES"/>
        </w:rPr>
        <w:t>En otro orden, mencionó que previo al atentado, sin poder precisar cuánto tiempo antes, vio frente a la casa de Telleldín, durante un solo día, una Trafic blanca, cuya patente terminaba en 88, no reco</w:t>
      </w:r>
      <w:r>
        <w:rPr>
          <w:lang w:val="es-ES"/>
        </w:rPr>
        <w:t>r</w:t>
      </w:r>
      <w:r>
        <w:rPr>
          <w:lang w:val="es-ES"/>
        </w:rPr>
        <w:t>dando si tenía puerta lat</w:t>
      </w:r>
      <w:r>
        <w:rPr>
          <w:lang w:val="es-ES"/>
        </w:rPr>
        <w:t>e</w:t>
      </w:r>
      <w:r>
        <w:rPr>
          <w:lang w:val="es-ES"/>
        </w:rPr>
        <w:t>ral.</w:t>
      </w:r>
    </w:p>
    <w:p w:rsidR="00224567" w:rsidRDefault="00224567">
      <w:pPr>
        <w:widowControl w:val="0"/>
      </w:pPr>
      <w:r>
        <w:tab/>
      </w:r>
      <w:r>
        <w:rPr>
          <w:b/>
          <w:bCs/>
        </w:rPr>
        <w:t>B.3.d.iii.C)</w:t>
      </w:r>
      <w:r>
        <w:t xml:space="preserve"> Sentado lo expuesto, si bien los testimonios reseñados acreditan la presencia de una camioneta frente al domicilio de Telleldín el fin de semana del 9 y 10 de julio de 1994, no se puede afirmar que dicho vehículo haya estado conformado con la carroc</w:t>
      </w:r>
      <w:r>
        <w:t>e</w:t>
      </w:r>
      <w:r>
        <w:t xml:space="preserve">ría de </w:t>
      </w:r>
      <w:smartTag w:uri="urn:schemas-microsoft-com:office:smarttags" w:element="PersonName">
        <w:smartTagPr>
          <w:attr w:name="ProductID" w:val="la Trafic"/>
        </w:smartTagPr>
        <w:r>
          <w:t>la Trafic</w:t>
        </w:r>
      </w:smartTag>
      <w:r>
        <w:t xml:space="preserve"> de Sarapura, que Telleldín dijo haber puesto en venta ese mismo fin de semana; hipótesis que el Tribunal no ha podido confirmar ni desechar por carecer de elementos suficientes que av</w:t>
      </w:r>
      <w:r>
        <w:t>a</w:t>
      </w:r>
      <w:r>
        <w:t>len una u otra postura.</w:t>
      </w:r>
    </w:p>
    <w:p w:rsidR="00224567" w:rsidRDefault="00224567">
      <w:pPr>
        <w:widowControl w:val="0"/>
      </w:pPr>
      <w:r>
        <w:tab/>
        <w:t>En efecto, el testigo Schonbrod no p</w:t>
      </w:r>
      <w:r>
        <w:t>u</w:t>
      </w:r>
      <w:r>
        <w:t>do precisar si era una Trafic, ni siquiera si era una c</w:t>
      </w:r>
      <w:r>
        <w:t>a</w:t>
      </w:r>
      <w:r>
        <w:t>mioneta, como así tampoco su color, limitándose a descr</w:t>
      </w:r>
      <w:r>
        <w:t>i</w:t>
      </w:r>
      <w:r>
        <w:t>bir unos daños en la zona superior del parabrisas, único detalle que podría coincidir con las cara</w:t>
      </w:r>
      <w:r>
        <w:t>c</w:t>
      </w:r>
      <w:r>
        <w:t>terísticas de la carrocería de Sarapura (</w:t>
      </w:r>
      <w:r>
        <w:rPr>
          <w:spacing w:val="-2"/>
        </w:rPr>
        <w:t>cónf.</w:t>
      </w:r>
      <w:r>
        <w:t xml:space="preserve"> declar</w:t>
      </w:r>
      <w:r>
        <w:t>a</w:t>
      </w:r>
      <w:r>
        <w:t>ciones testimoniales de María Magdalena Dalbagni, Marcelo F</w:t>
      </w:r>
      <w:r>
        <w:t>a</w:t>
      </w:r>
      <w:r>
        <w:t xml:space="preserve">bián Jouce y Pablo Mario De </w:t>
      </w:r>
      <w:smartTag w:uri="urn:schemas-microsoft-com:office:smarttags" w:element="PersonName">
        <w:smartTagPr>
          <w:attr w:name="ProductID" w:val="La Cruz Ar￩valo"/>
        </w:smartTagPr>
        <w:r>
          <w:t>la Cruz Arévalo</w:t>
        </w:r>
      </w:smartTag>
      <w:r>
        <w:t xml:space="preserve"> e indagatorias de Ariel Rodolfo Nitzcaner y Carlos Alberto Telleldín), por lo que no se podría afirmar que se estuviera refiriendo a ésta.</w:t>
      </w:r>
    </w:p>
    <w:p w:rsidR="00224567" w:rsidRDefault="00224567">
      <w:pPr>
        <w:widowControl w:val="0"/>
      </w:pPr>
      <w:r>
        <w:tab/>
        <w:t>El relato de Antonio Malacchia tamp</w:t>
      </w:r>
      <w:r>
        <w:t>o</w:t>
      </w:r>
      <w:r>
        <w:t>co ofrece demasiadas precisiones, pues dijo que vio una Tr</w:t>
      </w:r>
      <w:r>
        <w:t>a</w:t>
      </w:r>
      <w:r>
        <w:t>fic el 9 de julio, sin recordar el color o si tenía puerta lateral, limitándose a afirmar que tenía equipo de gas. Esta última circunstancia da cuenta de que no se trataría de la carrocería de la camioneta de Sarapura. En efecto, según los dichos del propio Telleldín, sumados a los de Sarapura, este utilitario no contaba con equipo de gas, sin que Nitzcaner o Jouce hubieran mencionado haber inst</w:t>
      </w:r>
      <w:r>
        <w:t>a</w:t>
      </w:r>
      <w:r>
        <w:t>lado en ella ese sist</w:t>
      </w:r>
      <w:r>
        <w:t>e</w:t>
      </w:r>
      <w:r>
        <w:t>ma.</w:t>
      </w:r>
    </w:p>
    <w:p w:rsidR="00224567" w:rsidRDefault="00224567">
      <w:pPr>
        <w:widowControl w:val="0"/>
      </w:pPr>
      <w:r>
        <w:tab/>
        <w:t>Mirta Alicia Giménez hizo refere</w:t>
      </w:r>
      <w:r>
        <w:t>n</w:t>
      </w:r>
      <w:r>
        <w:t>cia a una Trafic blanca, nueva, sin logotipos, que vio durante un par de meses. La pauta temporal aludida por la testigo no permite arribar a una conclusión en cuanto a qué vehículo aludiría, por cuanto cabe recordar que Telleldín refirió haber tenido, en la primer mitad de 1994, tres Trafic en venta, a la que debe añadirse la perteneciente a Zulema Beatriz Filomena Leoni, vec</w:t>
      </w:r>
      <w:r>
        <w:t>i</w:t>
      </w:r>
      <w:r>
        <w:t>na del lugar, que solía dejarla est</w:t>
      </w:r>
      <w:r>
        <w:t>a</w:t>
      </w:r>
      <w:r>
        <w:t>cionada en la zona.</w:t>
      </w:r>
    </w:p>
    <w:p w:rsidR="00224567" w:rsidRDefault="00224567">
      <w:pPr>
        <w:widowControl w:val="0"/>
      </w:pPr>
      <w:r>
        <w:tab/>
        <w:t>A lo expuesto se agrega que la descr</w:t>
      </w:r>
      <w:r>
        <w:t>i</w:t>
      </w:r>
      <w:r>
        <w:t>bió como nueva; si bien se trata de una valoración subj</w:t>
      </w:r>
      <w:r>
        <w:t>e</w:t>
      </w:r>
      <w:r>
        <w:t>tiva de la declarante, difícilmente podría atr</w:t>
      </w:r>
      <w:r>
        <w:t>i</w:t>
      </w:r>
      <w:r>
        <w:t>buirse esa característica a la carrocería de Sarapura, que había sido repintada y tenía algunos años en circul</w:t>
      </w:r>
      <w:r>
        <w:t>a</w:t>
      </w:r>
      <w:r>
        <w:t>ción.</w:t>
      </w:r>
    </w:p>
    <w:p w:rsidR="00224567" w:rsidRDefault="00224567">
      <w:pPr>
        <w:widowControl w:val="0"/>
      </w:pPr>
      <w:r>
        <w:tab/>
        <w:t>El testimonio de Belusic tampoco arr</w:t>
      </w:r>
      <w:r>
        <w:t>o</w:t>
      </w:r>
      <w:r>
        <w:t>ja luz al análisis que se viene desarrollando. Al respe</w:t>
      </w:r>
      <w:r>
        <w:t>c</w:t>
      </w:r>
      <w:r>
        <w:t>to, sostuvo que en junio vio una Trafic blanca, con una puerta abierta o faltante, según creía, sin puerta lat</w:t>
      </w:r>
      <w:r>
        <w:t>e</w:t>
      </w:r>
      <w:r>
        <w:t>ral. La fecha aportada permite desecharla como la que el 9 y 10 de julio se encontraba estacion</w:t>
      </w:r>
      <w:r>
        <w:t>a</w:t>
      </w:r>
      <w:r>
        <w:t>da frente a República 107. En lo que respecta a la que volvió a ver el 9 de j</w:t>
      </w:r>
      <w:r>
        <w:t>u</w:t>
      </w:r>
      <w:r>
        <w:t>lio, su falta de certeza acerca de su identidad con la a</w:t>
      </w:r>
      <w:r>
        <w:t>n</w:t>
      </w:r>
      <w:r>
        <w:t>terior exime de otras consid</w:t>
      </w:r>
      <w:r>
        <w:t>e</w:t>
      </w:r>
      <w:r>
        <w:t>raciones.</w:t>
      </w:r>
    </w:p>
    <w:p w:rsidR="00224567" w:rsidRDefault="00224567">
      <w:pPr>
        <w:widowControl w:val="0"/>
      </w:pPr>
      <w:r>
        <w:tab/>
        <w:t>Por último, Leoni aludió a una Tr</w:t>
      </w:r>
      <w:r>
        <w:t>a</w:t>
      </w:r>
      <w:r>
        <w:t>fic blanca, con patente finalizada en 88. Conforme el relato de Telleldín, a la carrocería de Sarapura se le c</w:t>
      </w:r>
      <w:r>
        <w:t>o</w:t>
      </w:r>
      <w:r>
        <w:t>locó la patente de “Messin”, que, según las constancias de a</w:t>
      </w:r>
      <w:r>
        <w:t>u</w:t>
      </w:r>
      <w:r>
        <w:t>tos, terminaba con los dígitos 06. Tampoco podría tratarse de la carrocería de Sarapura, previo a la su</w:t>
      </w:r>
      <w:r>
        <w:t>s</w:t>
      </w:r>
      <w:r>
        <w:t>titución de las chapas, por cuanto el dominio de ésta f</w:t>
      </w:r>
      <w:r>
        <w:t>i</w:t>
      </w:r>
      <w:r>
        <w:t>nalizaba en 75.</w:t>
      </w:r>
    </w:p>
    <w:p w:rsidR="00224567" w:rsidRDefault="00224567">
      <w:pPr>
        <w:widowControl w:val="0"/>
      </w:pPr>
      <w:r>
        <w:tab/>
        <w:t>En definitiva, las imprecisiones en que incurrieron los testigos a la hora de describir los vehículos que observaron, sumadas a las distintas circun</w:t>
      </w:r>
      <w:r>
        <w:t>s</w:t>
      </w:r>
      <w:r>
        <w:t>tancias de tiempo aportadas, impiden establecer con cert</w:t>
      </w:r>
      <w:r>
        <w:t>e</w:t>
      </w:r>
      <w:r>
        <w:t xml:space="preserve">za que se estuvieran refiriendo a la carrocería de </w:t>
      </w:r>
      <w:smartTag w:uri="urn:schemas-microsoft-com:office:smarttags" w:element="PersonName">
        <w:smartTagPr>
          <w:attr w:name="ProductID" w:val="la Trafic"/>
        </w:smartTagPr>
        <w:r>
          <w:t>la Tr</w:t>
        </w:r>
        <w:r>
          <w:t>a</w:t>
        </w:r>
        <w:r>
          <w:t>fic</w:t>
        </w:r>
      </w:smartTag>
      <w:r>
        <w:t xml:space="preserve"> de Sarapura.</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Así, se advierte que resulta dificu</w:t>
      </w:r>
      <w:r>
        <w:rPr>
          <w:rFonts w:ascii="Courier New" w:hAnsi="Courier New" w:cs="Courier New"/>
          <w:szCs w:val="24"/>
          <w:lang w:val="es-AR"/>
        </w:rPr>
        <w:t>l</w:t>
      </w:r>
      <w:r>
        <w:rPr>
          <w:rFonts w:ascii="Courier New" w:hAnsi="Courier New" w:cs="Courier New"/>
          <w:szCs w:val="24"/>
          <w:lang w:val="es-AR"/>
        </w:rPr>
        <w:t>toso determinar qué automóviles estaban estacionados en las inmediaciones del domicilio de Telleldín. En efecto, la experiencia demuestra que, en caso de que ninguna c</w:t>
      </w:r>
      <w:r>
        <w:rPr>
          <w:rFonts w:ascii="Courier New" w:hAnsi="Courier New" w:cs="Courier New"/>
          <w:szCs w:val="24"/>
          <w:lang w:val="es-AR"/>
        </w:rPr>
        <w:t>a</w:t>
      </w:r>
      <w:r>
        <w:rPr>
          <w:rFonts w:ascii="Courier New" w:hAnsi="Courier New" w:cs="Courier New"/>
          <w:szCs w:val="24"/>
          <w:lang w:val="es-AR"/>
        </w:rPr>
        <w:t>racterística sobresalga o llame la atención, la mayoría de los individuos no recuerdan detalles de la vida cotidiana, como ser los vehículos que ven estacionados frente a sus viviendas, lugares de trabajo u otros sitios a los que concurren. A esa dificultad natural, en el caso de autos debe añadirse que Leoni también poseía una camioneta Tr</w:t>
      </w:r>
      <w:r>
        <w:rPr>
          <w:rFonts w:ascii="Courier New" w:hAnsi="Courier New" w:cs="Courier New"/>
          <w:szCs w:val="24"/>
          <w:lang w:val="es-AR"/>
        </w:rPr>
        <w:t>a</w:t>
      </w:r>
      <w:r>
        <w:rPr>
          <w:rFonts w:ascii="Courier New" w:hAnsi="Courier New" w:cs="Courier New"/>
          <w:szCs w:val="24"/>
          <w:lang w:val="es-AR"/>
        </w:rPr>
        <w:t>fic que solía estacionar a corta distancia de la reside</w:t>
      </w:r>
      <w:r>
        <w:rPr>
          <w:rFonts w:ascii="Courier New" w:hAnsi="Courier New" w:cs="Courier New"/>
          <w:szCs w:val="24"/>
          <w:lang w:val="es-AR"/>
        </w:rPr>
        <w:t>n</w:t>
      </w:r>
      <w:r>
        <w:rPr>
          <w:rFonts w:ascii="Courier New" w:hAnsi="Courier New" w:cs="Courier New"/>
          <w:szCs w:val="24"/>
          <w:lang w:val="es-AR"/>
        </w:rPr>
        <w:t>cia del imputado.</w:t>
      </w:r>
    </w:p>
    <w:p w:rsidR="00224567" w:rsidRDefault="00224567">
      <w:pPr>
        <w:widowControl w:val="0"/>
      </w:pPr>
      <w:r>
        <w:tab/>
        <w:t>En base a lo expuesto corresponde co</w:t>
      </w:r>
      <w:r>
        <w:t>n</w:t>
      </w:r>
      <w:r>
        <w:t>cluir que si bien hubo una camioneta estacionada frente al domicilio de Telleldín el 9 y 10 de julio de 1994, no es posible determinar fehacientemente si se trataba de aqu</w:t>
      </w:r>
      <w:r>
        <w:t>e</w:t>
      </w:r>
      <w:r>
        <w:t>lla que, como aseveró el encartado, e</w:t>
      </w:r>
      <w:r>
        <w:t>s</w:t>
      </w:r>
      <w:r>
        <w:t xml:space="preserve">taba conformada con la carrocería de </w:t>
      </w:r>
      <w:smartTag w:uri="urn:schemas-microsoft-com:office:smarttags" w:element="PersonName">
        <w:smartTagPr>
          <w:attr w:name="ProductID" w:val="la Trafic"/>
        </w:smartTagPr>
        <w:r>
          <w:t>la Trafic</w:t>
        </w:r>
      </w:smartTag>
      <w:r>
        <w:t xml:space="preserve"> de Sar</w:t>
      </w:r>
      <w:r>
        <w:t>a</w:t>
      </w:r>
      <w:r>
        <w:t>pura.</w:t>
      </w:r>
    </w:p>
    <w:p w:rsidR="00224567" w:rsidRDefault="00224567">
      <w:pPr>
        <w:widowControl w:val="0"/>
      </w:pPr>
      <w:r>
        <w:tab/>
        <w:t>Tampoco se pudo establecer si el vehículo visto por los testigos poseía el motor correspo</w:t>
      </w:r>
      <w:r>
        <w:t>n</w:t>
      </w:r>
      <w:r>
        <w:t>die</w:t>
      </w:r>
      <w:r>
        <w:t>n</w:t>
      </w:r>
      <w:r>
        <w:t>te a la camioneta de “Messin”, puesto que ninguno tuvo acceso a esa pieza y, como reiteradamente se sostuvo, no existe certeza acerca de la carrocería en que fue coloc</w:t>
      </w:r>
      <w:r>
        <w:t>a</w:t>
      </w:r>
      <w:r>
        <w:t>do.</w:t>
      </w:r>
    </w:p>
    <w:p w:rsidR="00224567" w:rsidRDefault="00224567">
      <w:pPr>
        <w:pStyle w:val="Sangradetextonormal"/>
        <w:widowControl w:val="0"/>
        <w:ind w:firstLine="0"/>
      </w:pPr>
      <w:r>
        <w:tab/>
        <w:t>A modo de colofón, se debe resaltar que dichas imprecisiones obstan establecer si la cami</w:t>
      </w:r>
      <w:r>
        <w:t>o</w:t>
      </w:r>
      <w:r>
        <w:t xml:space="preserve">neta o al menos la carrocería vista por los testigos fue la que se empleó como cochebomba en el atentado a la sede de </w:t>
      </w:r>
      <w:smartTag w:uri="urn:schemas-microsoft-com:office:smarttags" w:element="PersonName">
        <w:smartTagPr>
          <w:attr w:name="ProductID" w:val="la A.M"/>
        </w:smartTagPr>
        <w:r>
          <w:t>la A.M</w:t>
        </w:r>
      </w:smartTag>
      <w:r>
        <w:t>.I.A.</w:t>
      </w:r>
    </w:p>
    <w:p w:rsidR="00224567" w:rsidRDefault="00224567">
      <w:pPr>
        <w:pStyle w:val="Ttulo6"/>
        <w:keepNext w:val="0"/>
        <w:widowControl w:val="0"/>
        <w:spacing w:line="600" w:lineRule="auto"/>
        <w:rPr>
          <w:rFonts w:cs="Courier New"/>
          <w:b w:val="0"/>
          <w:bCs/>
          <w:u w:val="none"/>
        </w:rPr>
      </w:pPr>
      <w:r>
        <w:rPr>
          <w:rFonts w:cs="Courier New"/>
          <w:u w:val="none"/>
        </w:rPr>
        <w:tab/>
      </w:r>
      <w:bookmarkStart w:id="37" w:name="_Toc86676553"/>
      <w:r>
        <w:rPr>
          <w:rFonts w:cs="Courier New"/>
          <w:u w:val="none"/>
        </w:rPr>
        <w:t xml:space="preserve">B.3.d.iv) </w:t>
      </w:r>
      <w:r>
        <w:rPr>
          <w:rFonts w:cs="Courier New"/>
          <w:b w:val="0"/>
          <w:bCs/>
          <w:u w:val="none"/>
        </w:rPr>
        <w:t xml:space="preserve">Operación relativa a </w:t>
      </w:r>
      <w:smartTag w:uri="urn:schemas-microsoft-com:office:smarttags" w:element="PersonName">
        <w:smartTagPr>
          <w:attr w:name="ProductID" w:val="la Trafic."/>
        </w:smartTagPr>
        <w:r>
          <w:rPr>
            <w:rFonts w:cs="Courier New"/>
            <w:b w:val="0"/>
            <w:bCs/>
            <w:u w:val="none"/>
          </w:rPr>
          <w:t>la Tr</w:t>
        </w:r>
        <w:r>
          <w:rPr>
            <w:rFonts w:cs="Courier New"/>
            <w:b w:val="0"/>
            <w:bCs/>
            <w:u w:val="none"/>
          </w:rPr>
          <w:t>a</w:t>
        </w:r>
        <w:r>
          <w:rPr>
            <w:rFonts w:cs="Courier New"/>
            <w:b w:val="0"/>
            <w:bCs/>
            <w:u w:val="none"/>
          </w:rPr>
          <w:t>fic.</w:t>
        </w:r>
      </w:smartTag>
      <w:bookmarkEnd w:id="37"/>
    </w:p>
    <w:p w:rsidR="00224567" w:rsidRDefault="00224567">
      <w:pPr>
        <w:widowControl w:val="0"/>
      </w:pPr>
      <w:r>
        <w:tab/>
        <w:t>En base a la prueba rendida en el d</w:t>
      </w:r>
      <w:r>
        <w:t>e</w:t>
      </w:r>
      <w:r>
        <w:t>bate, el Tribunal entiende que no se pudo establecer, de manera fehaciente, si lo sucedido con la camioneta que e</w:t>
      </w:r>
      <w:r>
        <w:t>s</w:t>
      </w:r>
      <w:r>
        <w:t>tuvo estacionada frente al domicilio de República 107, el fin de semana del 9 y 10 de julio de 1994, se tr</w:t>
      </w:r>
      <w:r>
        <w:t>a</w:t>
      </w:r>
      <w:r>
        <w:t>tó de una venta.</w:t>
      </w:r>
    </w:p>
    <w:p w:rsidR="00224567" w:rsidRDefault="00224567">
      <w:pPr>
        <w:widowControl w:val="0"/>
      </w:pPr>
      <w:r>
        <w:tab/>
        <w:t>Tampoco quedó demostrado que Telle</w:t>
      </w:r>
      <w:r>
        <w:t>l</w:t>
      </w:r>
      <w:r>
        <w:t>dín haya entregado el vehículo a efectos de que fuera utiliz</w:t>
      </w:r>
      <w:r>
        <w:t>a</w:t>
      </w:r>
      <w:r>
        <w:t>do en el hecho por el que aquí se lo ju</w:t>
      </w:r>
      <w:r>
        <w:t>z</w:t>
      </w:r>
      <w:r>
        <w:t>ga.</w:t>
      </w:r>
    </w:p>
    <w:p w:rsidR="00224567" w:rsidRDefault="00224567">
      <w:pPr>
        <w:widowControl w:val="0"/>
      </w:pPr>
      <w:r>
        <w:tab/>
        <w:t>Dicha conclusión deriva del análisis de las circunstancias que rodearon los sucesos que tuvi</w:t>
      </w:r>
      <w:r>
        <w:t>e</w:t>
      </w:r>
      <w:r>
        <w:t>ron lugar ese fin de semana; vale decir, las con</w:t>
      </w:r>
      <w:r>
        <w:t>s</w:t>
      </w:r>
      <w:r>
        <w:t>tancias y declaraciones concernientes al aviso de venta publicado en un periódico, las personas que dijeron haber visto al s</w:t>
      </w:r>
      <w:r>
        <w:t>u</w:t>
      </w:r>
      <w:r>
        <w:t>puesto comprador, el boleto de compraventa aportado por Boragni, el destino que el imputado habría dado al dinero percibido y los comentarios que él y su compañera hicieron a diversos interl</w:t>
      </w:r>
      <w:r>
        <w:t>o</w:t>
      </w:r>
      <w:r>
        <w:t>cutores.</w:t>
      </w:r>
    </w:p>
    <w:p w:rsidR="00224567" w:rsidRDefault="00224567">
      <w:pPr>
        <w:pStyle w:val="Ttulo7"/>
        <w:widowControl w:val="0"/>
      </w:pPr>
      <w:r>
        <w:rPr>
          <w:b/>
          <w:bCs/>
        </w:rPr>
        <w:tab/>
      </w:r>
      <w:bookmarkStart w:id="38" w:name="_Toc86676554"/>
      <w:r>
        <w:rPr>
          <w:b/>
          <w:bCs/>
        </w:rPr>
        <w:t>B.3.d.iv.A)</w:t>
      </w:r>
      <w:r>
        <w:t xml:space="preserve"> Aviso de venta y llamados telefónicos.</w:t>
      </w:r>
      <w:bookmarkEnd w:id="38"/>
    </w:p>
    <w:p w:rsidR="00224567" w:rsidRDefault="00224567">
      <w:pPr>
        <w:widowControl w:val="0"/>
      </w:pPr>
      <w:r>
        <w:tab/>
        <w:t>A fs. 311 obra la página 63 de la se</w:t>
      </w:r>
      <w:r>
        <w:t>c</w:t>
      </w:r>
      <w:r>
        <w:t>ción “Clasificados” del diario “Clarín” del domingo 10 de julio de 1994, en la que se publicó un aviso que reza: “Trafic 90 corta excelente / estado liq ctdo $ 12.900 768-</w:t>
      </w:r>
      <w:smartTag w:uri="urn:schemas-microsoft-com:office:smarttags" w:element="metricconverter">
        <w:smartTagPr>
          <w:attr w:name="ProductID" w:val="0902”"/>
        </w:smartTagPr>
        <w:r>
          <w:t>0902”</w:t>
        </w:r>
      </w:smartTag>
      <w:r>
        <w:t>. A fs. 14.179/14.180 obran fotocopias de una publ</w:t>
      </w:r>
      <w:r>
        <w:t>i</w:t>
      </w:r>
      <w:r>
        <w:t>cación de igual tenor en el mismo periódico, del 9 de j</w:t>
      </w:r>
      <w:r>
        <w:t>u</w:t>
      </w:r>
      <w:r>
        <w:t>lio de ese año, en la página 47 de los “Clasific</w:t>
      </w:r>
      <w:r>
        <w:t>a</w:t>
      </w:r>
      <w:r>
        <w:t>dos”.</w:t>
      </w:r>
    </w:p>
    <w:p w:rsidR="00224567" w:rsidRDefault="00224567">
      <w:pPr>
        <w:widowControl w:val="0"/>
      </w:pPr>
      <w:r>
        <w:tab/>
        <w:t>Un cotejo de tales avisos con otros publicados con anterioridad por Telleldín en el aludido matutino (</w:t>
      </w:r>
      <w:r>
        <w:rPr>
          <w:spacing w:val="-2"/>
        </w:rPr>
        <w:t>cónf.</w:t>
      </w:r>
      <w:r>
        <w:t xml:space="preserve"> fs. 14.167/14.170, 14.173/14.174 y 14.177/14.178), no permite sostener ninguna particul</w:t>
      </w:r>
      <w:r>
        <w:t>a</w:t>
      </w:r>
      <w:r>
        <w:t>ridad que autorice a presumir que Telleldín, en el caso de a</w:t>
      </w:r>
      <w:r>
        <w:t>u</w:t>
      </w:r>
      <w:r>
        <w:t>tos, adoptó una modalidad distinta a la hora de anunciar la camioneta.</w:t>
      </w:r>
    </w:p>
    <w:p w:rsidR="00224567" w:rsidRDefault="00224567">
      <w:pPr>
        <w:widowControl w:val="0"/>
      </w:pPr>
      <w:r>
        <w:tab/>
        <w:t>Así, acreditada</w:t>
      </w:r>
      <w:r>
        <w:rPr>
          <w:lang w:val="es-ES_tradnl"/>
        </w:rPr>
        <w:t xml:space="preserve"> dicha publicación, r</w:t>
      </w:r>
      <w:r>
        <w:rPr>
          <w:lang w:val="es-ES_tradnl"/>
        </w:rPr>
        <w:t>e</w:t>
      </w:r>
      <w:r>
        <w:rPr>
          <w:lang w:val="es-ES_tradnl"/>
        </w:rPr>
        <w:t>sulta una interpretación forzada y antojadiza co</w:t>
      </w:r>
      <w:r>
        <w:rPr>
          <w:lang w:val="es-ES_tradnl"/>
        </w:rPr>
        <w:t>n</w:t>
      </w:r>
      <w:r>
        <w:rPr>
          <w:lang w:val="es-ES_tradnl"/>
        </w:rPr>
        <w:t>cluir que ese hecho tuvo por finalidad simular una ve</w:t>
      </w:r>
      <w:r>
        <w:rPr>
          <w:lang w:val="es-ES_tradnl"/>
        </w:rPr>
        <w:t>n</w:t>
      </w:r>
      <w:r>
        <w:rPr>
          <w:lang w:val="es-ES_tradnl"/>
        </w:rPr>
        <w:t>ta.</w:t>
      </w:r>
    </w:p>
    <w:p w:rsidR="00224567" w:rsidRDefault="00224567">
      <w:pPr>
        <w:widowControl w:val="0"/>
      </w:pPr>
      <w:r>
        <w:tab/>
        <w:t>Por lo demás, se observa que, a resu</w:t>
      </w:r>
      <w:r>
        <w:t>l</w:t>
      </w:r>
      <w:r>
        <w:t>tas del aviso, llamaron al teléfono de Telleldín d</w:t>
      </w:r>
      <w:r>
        <w:t>i</w:t>
      </w:r>
      <w:r>
        <w:t xml:space="preserve">versos interesados en </w:t>
      </w:r>
      <w:smartTag w:uri="urn:schemas-microsoft-com:office:smarttags" w:element="PersonName">
        <w:smartTagPr>
          <w:attr w:name="ProductID" w:val="la Trafic"/>
        </w:smartTagPr>
        <w:r>
          <w:t>la Trafic</w:t>
        </w:r>
      </w:smartTag>
      <w:r>
        <w:t>, como ser Gabriel R</w:t>
      </w:r>
      <w:r>
        <w:t>i</w:t>
      </w:r>
      <w:r>
        <w:t>cardo Conti, Rodolfo Vicente y Horacio Tombolato, quienes así lo rec</w:t>
      </w:r>
      <w:r>
        <w:t>o</w:t>
      </w:r>
      <w:r>
        <w:t>nocieron al declarar en la audiencia de debate, hallándose corroboradas dichas comunicaciones por lo que surge del listado de llamados entrantes del 768-0902, remitido por “Telecom Argentina” a fs. 1758/1759.</w:t>
      </w:r>
    </w:p>
    <w:p w:rsidR="00224567" w:rsidRDefault="00224567">
      <w:pPr>
        <w:pStyle w:val="Ttulo7"/>
        <w:widowControl w:val="0"/>
      </w:pPr>
      <w:r>
        <w:tab/>
      </w:r>
      <w:bookmarkStart w:id="39" w:name="_Toc86676555"/>
      <w:r>
        <w:rPr>
          <w:b/>
          <w:bCs/>
        </w:rPr>
        <w:t>B.3.d.iv.B)</w:t>
      </w:r>
      <w:r>
        <w:t xml:space="preserve"> Operación del 10 de julio de 1994.</w:t>
      </w:r>
      <w:bookmarkEnd w:id="39"/>
    </w:p>
    <w:p w:rsidR="00224567" w:rsidRDefault="00224567">
      <w:pPr>
        <w:pStyle w:val="Textoindependiente2"/>
        <w:widowControl w:val="0"/>
        <w:rPr>
          <w:rFonts w:ascii="Courier New" w:hAnsi="Courier New" w:cs="Courier New"/>
          <w:szCs w:val="24"/>
          <w:lang w:val="es-AR"/>
        </w:rPr>
      </w:pPr>
      <w:r>
        <w:rPr>
          <w:rFonts w:ascii="Courier New" w:hAnsi="Courier New" w:cs="Courier New"/>
          <w:lang w:val="es-ES_tradnl"/>
        </w:rPr>
        <w:tab/>
        <w:t>La prueba reunida en el debate acred</w:t>
      </w:r>
      <w:r>
        <w:rPr>
          <w:rFonts w:ascii="Courier New" w:hAnsi="Courier New" w:cs="Courier New"/>
          <w:lang w:val="es-ES_tradnl"/>
        </w:rPr>
        <w:t>i</w:t>
      </w:r>
      <w:r>
        <w:rPr>
          <w:rFonts w:ascii="Courier New" w:hAnsi="Courier New" w:cs="Courier New"/>
          <w:lang w:val="es-ES_tradnl"/>
        </w:rPr>
        <w:t xml:space="preserve">tó que </w:t>
      </w:r>
      <w:r>
        <w:rPr>
          <w:rFonts w:ascii="Courier New" w:hAnsi="Courier New" w:cs="Courier New"/>
          <w:szCs w:val="24"/>
          <w:lang w:val="es-AR"/>
        </w:rPr>
        <w:t>el 10 de julio de 1994 Carlos Alberto Telleldín e</w:t>
      </w:r>
      <w:r>
        <w:rPr>
          <w:rFonts w:ascii="Courier New" w:hAnsi="Courier New" w:cs="Courier New"/>
          <w:szCs w:val="24"/>
          <w:lang w:val="es-AR"/>
        </w:rPr>
        <w:t>n</w:t>
      </w:r>
      <w:r>
        <w:rPr>
          <w:rFonts w:ascii="Courier New" w:hAnsi="Courier New" w:cs="Courier New"/>
          <w:szCs w:val="24"/>
          <w:lang w:val="es-AR"/>
        </w:rPr>
        <w:t>tregó, mediante una operación de contenido oneroso, una camioneta Renault Trafic a uno o más individuos cuyas identidades no se determinaron. Sin embargo, no fue pos</w:t>
      </w:r>
      <w:r>
        <w:rPr>
          <w:rFonts w:ascii="Courier New" w:hAnsi="Courier New" w:cs="Courier New"/>
          <w:szCs w:val="24"/>
          <w:lang w:val="es-AR"/>
        </w:rPr>
        <w:t>i</w:t>
      </w:r>
      <w:r>
        <w:rPr>
          <w:rFonts w:ascii="Courier New" w:hAnsi="Courier New" w:cs="Courier New"/>
          <w:szCs w:val="24"/>
          <w:lang w:val="es-AR"/>
        </w:rPr>
        <w:t>ble reconstruir las circunstancias en las que se desarr</w:t>
      </w:r>
      <w:r>
        <w:rPr>
          <w:rFonts w:ascii="Courier New" w:hAnsi="Courier New" w:cs="Courier New"/>
          <w:szCs w:val="24"/>
          <w:lang w:val="es-AR"/>
        </w:rPr>
        <w:t>o</w:t>
      </w:r>
      <w:r>
        <w:rPr>
          <w:rFonts w:ascii="Courier New" w:hAnsi="Courier New" w:cs="Courier New"/>
          <w:szCs w:val="24"/>
          <w:lang w:val="es-AR"/>
        </w:rPr>
        <w:t>lló la transacción aludida.</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 xml:space="preserve">Al respecto, </w:t>
      </w:r>
      <w:r>
        <w:rPr>
          <w:rFonts w:ascii="Courier New" w:hAnsi="Courier New" w:cs="Courier New"/>
          <w:lang w:val="es-ES_tradnl"/>
        </w:rPr>
        <w:t xml:space="preserve">prestaron declaración testimonial Ana María Boragni y </w:t>
      </w:r>
      <w:r>
        <w:rPr>
          <w:rFonts w:ascii="Courier New" w:hAnsi="Courier New" w:cs="Courier New"/>
        </w:rPr>
        <w:t>Jesica Cinthia Schiav</w:t>
      </w:r>
      <w:r>
        <w:rPr>
          <w:rFonts w:ascii="Courier New" w:hAnsi="Courier New" w:cs="Courier New"/>
        </w:rPr>
        <w:t>o</w:t>
      </w:r>
      <w:r>
        <w:rPr>
          <w:rFonts w:ascii="Courier New" w:hAnsi="Courier New" w:cs="Courier New"/>
        </w:rPr>
        <w:t xml:space="preserve">ne, a las que cabe añadir los dichos vertidos por </w:t>
      </w:r>
      <w:r>
        <w:rPr>
          <w:rFonts w:ascii="Courier New" w:hAnsi="Courier New" w:cs="Courier New"/>
          <w:lang w:val="es-ES_tradnl"/>
        </w:rPr>
        <w:t>Hugo Antonio P</w:t>
      </w:r>
      <w:r>
        <w:rPr>
          <w:rFonts w:ascii="Courier New" w:hAnsi="Courier New" w:cs="Courier New"/>
          <w:lang w:val="es-ES_tradnl"/>
        </w:rPr>
        <w:t>é</w:t>
      </w:r>
      <w:r>
        <w:rPr>
          <w:rFonts w:ascii="Courier New" w:hAnsi="Courier New" w:cs="Courier New"/>
          <w:lang w:val="es-ES_tradnl"/>
        </w:rPr>
        <w:t>rez en sus declaraciones indagatorias.</w:t>
      </w:r>
    </w:p>
    <w:p w:rsidR="00224567" w:rsidRDefault="00224567">
      <w:pPr>
        <w:pStyle w:val="Textoindependiente2"/>
        <w:widowControl w:val="0"/>
        <w:rPr>
          <w:rFonts w:ascii="Courier New" w:hAnsi="Courier New" w:cs="Courier New"/>
          <w:szCs w:val="24"/>
          <w:lang w:val="es-AR"/>
        </w:rPr>
      </w:pPr>
      <w:r>
        <w:rPr>
          <w:rFonts w:ascii="Courier New" w:hAnsi="Courier New" w:cs="Courier New"/>
          <w:lang w:val="es-ES_tradnl"/>
        </w:rPr>
        <w:tab/>
        <w:t>En este punto, la versión de Boragni fue sumamente confusa y contradictoria, pues en un pr</w:t>
      </w:r>
      <w:r>
        <w:rPr>
          <w:rFonts w:ascii="Courier New" w:hAnsi="Courier New" w:cs="Courier New"/>
          <w:lang w:val="es-ES_tradnl"/>
        </w:rPr>
        <w:t>i</w:t>
      </w:r>
      <w:r>
        <w:rPr>
          <w:rFonts w:ascii="Courier New" w:hAnsi="Courier New" w:cs="Courier New"/>
          <w:lang w:val="es-ES_tradnl"/>
        </w:rPr>
        <w:t xml:space="preserve">mer momento aseguró que publicó </w:t>
      </w:r>
      <w:r>
        <w:rPr>
          <w:rFonts w:ascii="Courier New" w:hAnsi="Courier New" w:cs="Courier New"/>
          <w:szCs w:val="24"/>
          <w:lang w:val="es-AR"/>
        </w:rPr>
        <w:t>la camioneta para ve</w:t>
      </w:r>
      <w:r>
        <w:rPr>
          <w:rFonts w:ascii="Courier New" w:hAnsi="Courier New" w:cs="Courier New"/>
          <w:szCs w:val="24"/>
          <w:lang w:val="es-AR"/>
        </w:rPr>
        <w:t>n</w:t>
      </w:r>
      <w:r>
        <w:rPr>
          <w:rFonts w:ascii="Courier New" w:hAnsi="Courier New" w:cs="Courier New"/>
          <w:szCs w:val="24"/>
          <w:lang w:val="es-AR"/>
        </w:rPr>
        <w:t>derla, lo que sucedió el 10 de julio, en tanto que en otro p</w:t>
      </w:r>
      <w:r>
        <w:rPr>
          <w:rFonts w:ascii="Courier New" w:hAnsi="Courier New" w:cs="Courier New"/>
          <w:szCs w:val="24"/>
          <w:lang w:val="es-AR"/>
        </w:rPr>
        <w:t>a</w:t>
      </w:r>
      <w:r>
        <w:rPr>
          <w:rFonts w:ascii="Courier New" w:hAnsi="Courier New" w:cs="Courier New"/>
          <w:szCs w:val="24"/>
          <w:lang w:val="es-AR"/>
        </w:rPr>
        <w:t>saje de su exposición</w:t>
      </w:r>
      <w:r>
        <w:rPr>
          <w:rFonts w:ascii="Courier New" w:hAnsi="Courier New" w:cs="Courier New"/>
          <w:lang w:val="es-ES_tradnl"/>
        </w:rPr>
        <w:t xml:space="preserve"> sostuvo </w:t>
      </w:r>
      <w:r>
        <w:rPr>
          <w:rFonts w:ascii="Courier New" w:hAnsi="Courier New" w:cs="Courier New"/>
          <w:szCs w:val="24"/>
          <w:lang w:val="es-AR"/>
        </w:rPr>
        <w:t>que Telleldín le dijo que el compr</w:t>
      </w:r>
      <w:r>
        <w:rPr>
          <w:rFonts w:ascii="Courier New" w:hAnsi="Courier New" w:cs="Courier New"/>
          <w:szCs w:val="24"/>
          <w:lang w:val="es-AR"/>
        </w:rPr>
        <w:t>a</w:t>
      </w:r>
      <w:r>
        <w:rPr>
          <w:rFonts w:ascii="Courier New" w:hAnsi="Courier New" w:cs="Courier New"/>
          <w:szCs w:val="24"/>
          <w:lang w:val="es-AR"/>
        </w:rPr>
        <w:t>dor era un “buche” de la policía, no pudiendo precisar cuándo supo que no se trató de una venta, sino de un “apriete”.</w:t>
      </w:r>
    </w:p>
    <w:p w:rsidR="00224567" w:rsidRDefault="00224567">
      <w:pPr>
        <w:widowControl w:val="0"/>
      </w:pPr>
      <w:r>
        <w:tab/>
        <w:t>A su turno, Jesica Cinthia Schiav</w:t>
      </w:r>
      <w:r>
        <w:t>o</w:t>
      </w:r>
      <w:r>
        <w:t>ne, hija de la anterior, dio cuenta de que antes de la dete</w:t>
      </w:r>
      <w:r>
        <w:t>n</w:t>
      </w:r>
      <w:r>
        <w:t>ción de Telleldín, éste y su madre tuvieron una Trafic, habiéndosela llevado un mediodía un sujeto con a</w:t>
      </w:r>
      <w:r>
        <w:t>n</w:t>
      </w:r>
      <w:r>
        <w:t>teojos y gorra, que presumió sería el comprador.</w:t>
      </w:r>
    </w:p>
    <w:p w:rsidR="00224567" w:rsidRDefault="00224567">
      <w:pPr>
        <w:widowControl w:val="0"/>
      </w:pPr>
      <w:r>
        <w:tab/>
        <w:t>Como se observa, la prueba testim</w:t>
      </w:r>
      <w:r>
        <w:t>o</w:t>
      </w:r>
      <w:r>
        <w:t>nial no resulta esclarecedora, pues las contrapuestas versiones que Boragni brindó a lo largo de su declar</w:t>
      </w:r>
      <w:r>
        <w:t>a</w:t>
      </w:r>
      <w:r>
        <w:t>ción –entrega o venta de la camioneta- no arrojan luz sobre lo suced</w:t>
      </w:r>
      <w:r>
        <w:t>i</w:t>
      </w:r>
      <w:r>
        <w:t>do en la ocasión.</w:t>
      </w:r>
    </w:p>
    <w:p w:rsidR="00224567" w:rsidRDefault="00224567">
      <w:pPr>
        <w:widowControl w:val="0"/>
      </w:pPr>
      <w:r>
        <w:tab/>
        <w:t>Tampoco Jesica Cinthia Schiavone apo</w:t>
      </w:r>
      <w:r>
        <w:t>r</w:t>
      </w:r>
      <w:r>
        <w:t>tó datos concretos a los fines de determinar, con ce</w:t>
      </w:r>
      <w:r>
        <w:t>r</w:t>
      </w:r>
      <w:r>
        <w:t>teza, que se estuviera refiriendo a un comprador, por cuanto s</w:t>
      </w:r>
      <w:r>
        <w:t>ó</w:t>
      </w:r>
      <w:r>
        <w:t>lo presumió que revestía tal cal</w:t>
      </w:r>
      <w:r>
        <w:t>i</w:t>
      </w:r>
      <w:r>
        <w:t>dad.</w:t>
      </w:r>
    </w:p>
    <w:p w:rsidR="00224567" w:rsidRDefault="00224567">
      <w:pPr>
        <w:widowControl w:val="0"/>
      </w:pPr>
      <w:r>
        <w:tab/>
        <w:t>Las indagatorias de Hugo Antonio P</w:t>
      </w:r>
      <w:r>
        <w:t>é</w:t>
      </w:r>
      <w:r>
        <w:t>rez tampoco brindan detalles esclarecedores al respecto, en razón que no permiten extraer mayor información que la hasta aquí referida, al no haber presenciado la oper</w:t>
      </w:r>
      <w:r>
        <w:t>a</w:t>
      </w:r>
      <w:r>
        <w:t>ción que, según dijo, le fue relatada por Telleldín y su par</w:t>
      </w:r>
      <w:r>
        <w:t>e</w:t>
      </w:r>
      <w:r>
        <w:t>ja. En este sentido, señaló que el 10 de julio de 1994 e</w:t>
      </w:r>
      <w:r>
        <w:t>s</w:t>
      </w:r>
      <w:r>
        <w:t>cuchó una conversación telefónica por la venta de una c</w:t>
      </w:r>
      <w:r>
        <w:t>a</w:t>
      </w:r>
      <w:r>
        <w:t>mioneta, en cuyo transcurso T</w:t>
      </w:r>
      <w:r>
        <w:t>e</w:t>
      </w:r>
      <w:r>
        <w:t xml:space="preserve">lleldín explicaba el camino para arribar a su domicilio, agregando que en ocasión de encontrarse en la casa de su coimputado, éste y su mujer le comentaron que habían vendido </w:t>
      </w:r>
      <w:smartTag w:uri="urn:schemas-microsoft-com:office:smarttags" w:element="PersonName">
        <w:smartTagPr>
          <w:attr w:name="ProductID" w:val="la Trafic"/>
        </w:smartTagPr>
        <w:r>
          <w:t>la Trafic</w:t>
        </w:r>
      </w:smartTag>
      <w:r>
        <w:t xml:space="preserve"> a una persona de origen extranj</w:t>
      </w:r>
      <w:r>
        <w:t>e</w:t>
      </w:r>
      <w:r>
        <w:t>ro.</w:t>
      </w:r>
    </w:p>
    <w:p w:rsidR="00224567" w:rsidRDefault="00224567">
      <w:pPr>
        <w:widowControl w:val="0"/>
      </w:pPr>
      <w:r>
        <w:tab/>
        <w:t>Tampoco se corroboraron las refere</w:t>
      </w:r>
      <w:r>
        <w:t>n</w:t>
      </w:r>
      <w:r>
        <w:t>cias efectuadas por Telleldín acerca de la presencia de Humberto Pérez Mejía, el matrimonio Malacchia y un a</w:t>
      </w:r>
      <w:r>
        <w:t>l</w:t>
      </w:r>
      <w:r>
        <w:t>bañil que trabajaba para éstos, pues los cuatro desmi</w:t>
      </w:r>
      <w:r>
        <w:t>n</w:t>
      </w:r>
      <w:r>
        <w:t>tieron el rol que aquél les atribuyó en los hechos.</w:t>
      </w:r>
    </w:p>
    <w:p w:rsidR="00224567" w:rsidRDefault="00224567">
      <w:pPr>
        <w:widowControl w:val="0"/>
      </w:pPr>
      <w:r>
        <w:tab/>
        <w:t xml:space="preserve">En sus indagatorias prestadas en 1994, Telleldín sostuvo que Humberto Pérez Mejía se encontraba en su domicilio el día de la venta de </w:t>
      </w:r>
      <w:smartTag w:uri="urn:schemas-microsoft-com:office:smarttags" w:element="PersonName">
        <w:smartTagPr>
          <w:attr w:name="ProductID" w:val="la Trafic"/>
        </w:smartTagPr>
        <w:r>
          <w:t>la Trafic</w:t>
        </w:r>
      </w:smartTag>
      <w:r>
        <w:t>; empero, al prestar declaración testimonial a fs. 3058/3060, este último negó tal circunstancia, explicando que desde pri</w:t>
      </w:r>
      <w:r>
        <w:t>n</w:t>
      </w:r>
      <w:r>
        <w:t>cipios de julio de ese año no vio ni se contactó con T</w:t>
      </w:r>
      <w:r>
        <w:t>e</w:t>
      </w:r>
      <w:r>
        <w:t>lleldín y, en consecuencia, el 10 de julio no comió en su domicilio.</w:t>
      </w:r>
    </w:p>
    <w:p w:rsidR="00224567" w:rsidRDefault="00224567">
      <w:pPr>
        <w:widowControl w:val="0"/>
      </w:pPr>
      <w:r>
        <w:tab/>
        <w:t>El imputado también sostuvo que el m</w:t>
      </w:r>
      <w:r>
        <w:t>a</w:t>
      </w:r>
      <w:r>
        <w:t>trimonio Malacchia y el albañil que los acompañaba prese</w:t>
      </w:r>
      <w:r>
        <w:t>n</w:t>
      </w:r>
      <w:r>
        <w:t>ciaron parte de la transacción, preguntándole el señor M</w:t>
      </w:r>
      <w:r>
        <w:t>a</w:t>
      </w:r>
      <w:r>
        <w:t>lacchia, al sujeto que se presentó como Ramón Martínez, si para retirar la camioneta que estaba estacionada necesit</w:t>
      </w:r>
      <w:r>
        <w:t>a</w:t>
      </w:r>
      <w:r>
        <w:t>ba que moviera su automóvil Falcon amarillo, a lo que le respondió que no.</w:t>
      </w:r>
    </w:p>
    <w:p w:rsidR="00224567" w:rsidRDefault="00224567">
      <w:pPr>
        <w:widowControl w:val="0"/>
      </w:pPr>
      <w:r>
        <w:tab/>
        <w:t>Sin embargo, al prestar declaración en el debate, tanto Antonio Malacchia como María Manuela Sa</w:t>
      </w:r>
      <w:r>
        <w:t>n</w:t>
      </w:r>
      <w:r>
        <w:t>tillo de Malacchia negaron que tal acontecimie</w:t>
      </w:r>
      <w:r>
        <w:t>n</w:t>
      </w:r>
      <w:r>
        <w:t>to hubiera tenido lugar, a la vez que el albañil Luis Rey Cabral negó haber estado presente el 10 de julio, toda vez que, según dijo, los domingos no trab</w:t>
      </w:r>
      <w:r>
        <w:t>a</w:t>
      </w:r>
      <w:r>
        <w:t>jaba.</w:t>
      </w:r>
    </w:p>
    <w:p w:rsidR="00224567" w:rsidRDefault="00224567">
      <w:pPr>
        <w:widowControl w:val="0"/>
      </w:pPr>
      <w:r>
        <w:tab/>
        <w:t>A su vez, la información que surge de los listados de llamados del abonado 768-0902, instalado en República 107, relativa al 10 de julio de 1994, no pe</w:t>
      </w:r>
      <w:r>
        <w:t>r</w:t>
      </w:r>
      <w:r>
        <w:t>mite saber con certeza cuántas comunicaciones se recibi</w:t>
      </w:r>
      <w:r>
        <w:t>e</w:t>
      </w:r>
      <w:r>
        <w:t>ron en esa línea y, por ende, imposibilita su ra</w:t>
      </w:r>
      <w:r>
        <w:t>s</w:t>
      </w:r>
      <w:r>
        <w:t>treo.</w:t>
      </w:r>
    </w:p>
    <w:p w:rsidR="00224567" w:rsidRDefault="00224567">
      <w:pPr>
        <w:widowControl w:val="0"/>
      </w:pPr>
      <w:r>
        <w:tab/>
        <w:t>En efecto, el informe de “Telecom A</w:t>
      </w:r>
      <w:r>
        <w:t>r</w:t>
      </w:r>
      <w:r>
        <w:t>gentina” glosado a fs. 1758/1759 dio cuenta de los llam</w:t>
      </w:r>
      <w:r>
        <w:t>a</w:t>
      </w:r>
      <w:r>
        <w:t>dos entrantes del 768-0902 entre los días 9 y 12 de julio de 1994, registrándose uno solo el día 10, desde el abon</w:t>
      </w:r>
      <w:r>
        <w:t>a</w:t>
      </w:r>
      <w:r>
        <w:t>do 757-4193, perteneciente a Eduardo Telleldín. No obsta</w:t>
      </w:r>
      <w:r>
        <w:t>n</w:t>
      </w:r>
      <w:r>
        <w:t>te, hizo saber que sólo se podían verificar aquellas com</w:t>
      </w:r>
      <w:r>
        <w:t>u</w:t>
      </w:r>
      <w:r>
        <w:t>nicaciones correspondientes a las centrales que tecnológ</w:t>
      </w:r>
      <w:r>
        <w:t>i</w:t>
      </w:r>
      <w:r>
        <w:t>camente tenían incluido los sistemas “Fa</w:t>
      </w:r>
      <w:r>
        <w:t>c</w:t>
      </w:r>
      <w:r>
        <w:t>tel” y “Panel de Abonados”.</w:t>
      </w:r>
    </w:p>
    <w:p w:rsidR="00224567" w:rsidRDefault="00224567">
      <w:pPr>
        <w:widowControl w:val="0"/>
      </w:pPr>
      <w:r>
        <w:tab/>
        <w:t>En el mismo sentido, a fs. 2768/2769 obra una planilla de la misma empresa de telecomunicaci</w:t>
      </w:r>
      <w:r>
        <w:t>o</w:t>
      </w:r>
      <w:r>
        <w:t>nes, con el listado de llamados locales de la línea 768-0902 del 9 y 10 de julio de 1994, de la que surge que “no hay datos al momento”, aclarándose que ello significa que por la tecnología de dicha central no es posible obtener el detalle de llam</w:t>
      </w:r>
      <w:r>
        <w:t>a</w:t>
      </w:r>
      <w:r>
        <w:t>das.</w:t>
      </w:r>
    </w:p>
    <w:p w:rsidR="00224567" w:rsidRDefault="00224567">
      <w:pPr>
        <w:widowControl w:val="0"/>
      </w:pPr>
      <w:r>
        <w:tab/>
        <w:t>Por otra parte, a fs. 80.098/80.100 obra el detalle de las comunicaciones efectuadas por clientes de “Movicom” al 768-0902, según el cual el 10 de julio de 1994 se produjo una llamada desde el 449-</w:t>
      </w:r>
      <w:smartTag w:uri="urn:schemas-microsoft-com:office:smarttags" w:element="metricconverter">
        <w:smartTagPr>
          <w:attr w:name="ProductID" w:val="4706, a"/>
        </w:smartTagPr>
        <w:r>
          <w:t>4706, a</w:t>
        </w:r>
      </w:smartTag>
      <w:r>
        <w:t xml:space="preserve"> nombre de la</w:t>
      </w:r>
      <w:r>
        <w:rPr>
          <w:rFonts w:eastAsia="Arial Unicode MS"/>
          <w:spacing w:val="-3"/>
          <w:lang w:val="es-ES_tradnl"/>
        </w:rPr>
        <w:t xml:space="preserve"> empresa “Aliantex S.R.L.” (</w:t>
      </w:r>
      <w:r>
        <w:rPr>
          <w:spacing w:val="-2"/>
        </w:rPr>
        <w:t>cónf.</w:t>
      </w:r>
      <w:r>
        <w:rPr>
          <w:rFonts w:eastAsia="Arial Unicode MS"/>
          <w:spacing w:val="-3"/>
          <w:lang w:val="es-ES_tradnl"/>
        </w:rPr>
        <w:t xml:space="preserve"> fs. 1356)</w:t>
      </w:r>
      <w:r>
        <w:t>.</w:t>
      </w:r>
    </w:p>
    <w:p w:rsidR="00224567" w:rsidRDefault="00224567">
      <w:pPr>
        <w:widowControl w:val="0"/>
      </w:pPr>
      <w:r>
        <w:tab/>
        <w:t>De lo expuesto se colige que existe la posibilidad de que se hubieran efectuado otras llamadas, aparte de las dos referidas, que no se encuentren plasm</w:t>
      </w:r>
      <w:r>
        <w:t>a</w:t>
      </w:r>
      <w:r>
        <w:t>das en el listado remitido por “Telecom A</w:t>
      </w:r>
      <w:r>
        <w:t>r</w:t>
      </w:r>
      <w:r>
        <w:t>gentina” por los motivos expuestos por dicha empresa y, en consecuencia, desconocidas para este Tribunal; defecto que deviene i</w:t>
      </w:r>
      <w:r>
        <w:t>n</w:t>
      </w:r>
      <w:r>
        <w:t>salvable a la hora de intentar acreditar, mediante los llamados telefónicos, lo ocurrido en la me</w:t>
      </w:r>
      <w:r>
        <w:t>n</w:t>
      </w:r>
      <w:r>
        <w:t>tada jornada.</w:t>
      </w:r>
    </w:p>
    <w:p w:rsidR="00224567" w:rsidRDefault="00224567">
      <w:pPr>
        <w:pStyle w:val="Ttulo7"/>
        <w:widowControl w:val="0"/>
      </w:pPr>
      <w:r>
        <w:tab/>
      </w:r>
      <w:bookmarkStart w:id="40" w:name="_Toc86676556"/>
      <w:r>
        <w:rPr>
          <w:b/>
          <w:bCs/>
        </w:rPr>
        <w:t>B.3.d.iv.C)</w:t>
      </w:r>
      <w:r>
        <w:t xml:space="preserve"> Destino del dinero.</w:t>
      </w:r>
      <w:bookmarkEnd w:id="40"/>
    </w:p>
    <w:p w:rsidR="00224567" w:rsidRDefault="00224567">
      <w:pPr>
        <w:widowControl w:val="0"/>
      </w:pPr>
      <w:r>
        <w:tab/>
        <w:t>A su vez, como se afirmó en el apart</w:t>
      </w:r>
      <w:r>
        <w:t>a</w:t>
      </w:r>
      <w:r>
        <w:t>do anterior, la operación por la que Carlos Alberto T</w:t>
      </w:r>
      <w:r>
        <w:t>e</w:t>
      </w:r>
      <w:r>
        <w:t>lleldín se desprendió de la camioneta Trafic fue de cont</w:t>
      </w:r>
      <w:r>
        <w:t>e</w:t>
      </w:r>
      <w:r>
        <w:t>nido oneroso, dado que los gastos realiz</w:t>
      </w:r>
      <w:r>
        <w:t>a</w:t>
      </w:r>
      <w:r>
        <w:t>dos por esos días por el nombrado y Boragni reflejan un evidente i</w:t>
      </w:r>
      <w:r>
        <w:t>n</w:t>
      </w:r>
      <w:r>
        <w:t>greso de dinero.</w:t>
      </w:r>
    </w:p>
    <w:p w:rsidR="00224567" w:rsidRDefault="00224567">
      <w:pPr>
        <w:widowControl w:val="0"/>
        <w:ind w:firstLine="2835"/>
      </w:pPr>
      <w:r>
        <w:t>Dichas erogaciones fueron reconoc</w:t>
      </w:r>
      <w:r>
        <w:t>i</w:t>
      </w:r>
      <w:r>
        <w:t>das por el propio imputado y, en ciertos casos, confirmadas por aquellos que recibieron dinero de él en determinado concepto o por la docume</w:t>
      </w:r>
      <w:r>
        <w:t>n</w:t>
      </w:r>
      <w:r>
        <w:t>tal pertinente.</w:t>
      </w:r>
    </w:p>
    <w:p w:rsidR="00224567" w:rsidRDefault="00224567">
      <w:pPr>
        <w:widowControl w:val="0"/>
      </w:pPr>
      <w:r>
        <w:tab/>
        <w:t>En sus dos primeras indagatorias Ca</w:t>
      </w:r>
      <w:r>
        <w:t>r</w:t>
      </w:r>
      <w:r>
        <w:t xml:space="preserve">los Alberto Telleldín brindó detalles acerca de los USD 11.500 que percibió por </w:t>
      </w:r>
      <w:smartTag w:uri="urn:schemas-microsoft-com:office:smarttags" w:element="PersonName">
        <w:smartTagPr>
          <w:attr w:name="ProductID" w:val="la Trafic"/>
        </w:smartTagPr>
        <w:r>
          <w:t>la Trafic</w:t>
        </w:r>
      </w:smartTag>
      <w:r>
        <w:t>, explicando en la prim</w:t>
      </w:r>
      <w:r>
        <w:t>e</w:t>
      </w:r>
      <w:r>
        <w:t>ra de esas oportunidades que entregó aproximad</w:t>
      </w:r>
      <w:r>
        <w:t>a</w:t>
      </w:r>
      <w:r>
        <w:t xml:space="preserve">mente </w:t>
      </w:r>
      <w:smartTag w:uri="urn:schemas-microsoft-com:office:smarttags" w:element="metricconverter">
        <w:smartTagPr>
          <w:attr w:name="ProductID" w:val="7500 a"/>
        </w:smartTagPr>
        <w:r>
          <w:t>7500 a</w:t>
        </w:r>
      </w:smartTag>
      <w:r>
        <w:t xml:space="preserve"> la firma “Automotores Alejandro”, pagó 1300 por un mes de alquiler atrasado de su vivienda y utilizó 1500 para pagar a un mecánico llamado Miguel, gastando el resto en dos viajes a Córdoba.</w:t>
      </w:r>
    </w:p>
    <w:p w:rsidR="00224567" w:rsidRDefault="00224567">
      <w:pPr>
        <w:widowControl w:val="0"/>
      </w:pPr>
      <w:r>
        <w:tab/>
        <w:t>En la segunda declaración, relató que el 11 de julio concurrió a “Automotores Alejandro” para pagar USD 7500 –6500 por la compra de un R</w:t>
      </w:r>
      <w:r>
        <w:t>e</w:t>
      </w:r>
      <w:r>
        <w:t xml:space="preserve">nault 9 y 1000 por </w:t>
      </w:r>
      <w:smartTag w:uri="urn:schemas-microsoft-com:office:smarttags" w:element="PersonName">
        <w:smartTagPr>
          <w:attr w:name="ProductID" w:val="la Trafic"/>
        </w:smartTagPr>
        <w:r>
          <w:t>la Trafic</w:t>
        </w:r>
      </w:smartTag>
      <w:r>
        <w:t xml:space="preserve"> de “Messin” o una anterior- mie</w:t>
      </w:r>
      <w:r>
        <w:t>n</w:t>
      </w:r>
      <w:r>
        <w:t>tras que el 22 de julio entregó 1000 en concepto de seña por el alqu</w:t>
      </w:r>
      <w:r>
        <w:t>i</w:t>
      </w:r>
      <w:r>
        <w:t>ler de una vivienda, además de pagar 1350 por alquileres atrasados de su casa; finalmente, gastó 800 en la repar</w:t>
      </w:r>
      <w:r>
        <w:t>a</w:t>
      </w:r>
      <w:r>
        <w:t>ción del Renault 9, 250 en la compra de vidrios para ese rodado y 200 le entregó a Ariel Nitzcaner como parte de pago de una deuda, ign</w:t>
      </w:r>
      <w:r>
        <w:t>o</w:t>
      </w:r>
      <w:r>
        <w:t>rando en qué pudo haber gastado los restantes 400.</w:t>
      </w:r>
    </w:p>
    <w:p w:rsidR="00224567" w:rsidRDefault="00224567">
      <w:pPr>
        <w:widowControl w:val="0"/>
      </w:pPr>
      <w:r>
        <w:tab/>
        <w:t>Al respecto, Ana María Boragni man</w:t>
      </w:r>
      <w:r>
        <w:t>i</w:t>
      </w:r>
      <w:r>
        <w:t xml:space="preserve">festó que al día siguiente de la venta de </w:t>
      </w:r>
      <w:smartTag w:uri="urn:schemas-microsoft-com:office:smarttags" w:element="PersonName">
        <w:smartTagPr>
          <w:attr w:name="ProductID" w:val="la Trafic"/>
        </w:smartTagPr>
        <w:r>
          <w:t>la Trafic</w:t>
        </w:r>
      </w:smartTag>
      <w:r>
        <w:t xml:space="preserve"> d</w:t>
      </w:r>
      <w:r>
        <w:t>e</w:t>
      </w:r>
      <w:r>
        <w:t>bían pagar $ 1500 por el alquiler de la propiedad que habit</w:t>
      </w:r>
      <w:r>
        <w:t>a</w:t>
      </w:r>
      <w:r>
        <w:t>ban, a cuyos efectos Telleldín le indicó que buscara din</w:t>
      </w:r>
      <w:r>
        <w:t>e</w:t>
      </w:r>
      <w:r>
        <w:t>ro en la caja de seguridad que tenían en la habit</w:t>
      </w:r>
      <w:r>
        <w:t>a</w:t>
      </w:r>
      <w:r>
        <w:t>ción.</w:t>
      </w:r>
    </w:p>
    <w:p w:rsidR="00224567" w:rsidRDefault="00224567">
      <w:pPr>
        <w:widowControl w:val="0"/>
        <w:ind w:firstLine="2835"/>
      </w:pPr>
      <w:r>
        <w:t>En otro tramo de su declaración, Bor</w:t>
      </w:r>
      <w:r>
        <w:t>a</w:t>
      </w:r>
      <w:r>
        <w:t>gni sostuvo que entre el 10 y el 20 ó 21 de julio de 1994 debió realizar movimientos de dinero, como el pago del a</w:t>
      </w:r>
      <w:r>
        <w:t>l</w:t>
      </w:r>
      <w:r>
        <w:t>quiler, gastos generales y, posiblemente, la seña de una casa en la inmobiliaria “Lauría”; no recordó si en ese lapso se le abonó a Nitzcaner la reparación de la camion</w:t>
      </w:r>
      <w:r>
        <w:t>e</w:t>
      </w:r>
      <w:r>
        <w:t>ta, pero mencionó que el 10 de julio Telle</w:t>
      </w:r>
      <w:r>
        <w:t>l</w:t>
      </w:r>
      <w:r>
        <w:t>dín le comentó que “le tiró unos mangos a Gu</w:t>
      </w:r>
      <w:r>
        <w:t>i</w:t>
      </w:r>
      <w:r>
        <w:t>lle”, en alusión a Cotoras, quien conc</w:t>
      </w:r>
      <w:r>
        <w:t>u</w:t>
      </w:r>
      <w:r>
        <w:t>rrió a su casa.</w:t>
      </w:r>
    </w:p>
    <w:p w:rsidR="00224567" w:rsidRDefault="00224567">
      <w:pPr>
        <w:widowControl w:val="0"/>
      </w:pPr>
      <w:r>
        <w:tab/>
        <w:t>A su vez, Nélida Virginia Morri ind</w:t>
      </w:r>
      <w:r>
        <w:t>i</w:t>
      </w:r>
      <w:r>
        <w:t xml:space="preserve">có que Boragni dijo que con la venta de </w:t>
      </w:r>
      <w:smartTag w:uri="urn:schemas-microsoft-com:office:smarttags" w:element="PersonName">
        <w:smartTagPr>
          <w:attr w:name="ProductID" w:val="la Trafic"/>
        </w:smartTagPr>
        <w:r>
          <w:t>la Trafic</w:t>
        </w:r>
      </w:smartTag>
      <w:r>
        <w:t xml:space="preserve"> habían p</w:t>
      </w:r>
      <w:r>
        <w:t>a</w:t>
      </w:r>
      <w:r>
        <w:t>gado unos alquileres que tenían atras</w:t>
      </w:r>
      <w:r>
        <w:t>a</w:t>
      </w:r>
      <w:r>
        <w:t>dos.</w:t>
      </w:r>
    </w:p>
    <w:p w:rsidR="00224567" w:rsidRDefault="00224567">
      <w:pPr>
        <w:widowControl w:val="0"/>
      </w:pPr>
      <w:r>
        <w:tab/>
        <w:t>Sobre el particular, Olga Richter, propietaria de la inmobiliaria que arrendó la casa de R</w:t>
      </w:r>
      <w:r>
        <w:t>e</w:t>
      </w:r>
      <w:r>
        <w:t xml:space="preserve">pública </w:t>
      </w:r>
      <w:smartTag w:uri="urn:schemas-microsoft-com:office:smarttags" w:element="metricconverter">
        <w:smartTagPr>
          <w:attr w:name="ProductID" w:val="107 a"/>
        </w:smartTagPr>
        <w:r>
          <w:t>107 a</w:t>
        </w:r>
      </w:smartTag>
      <w:r>
        <w:t xml:space="preserve"> Boragni, manifestó que el 7 de julio de 1994 le envió a la nombrada una carta documento recl</w:t>
      </w:r>
      <w:r>
        <w:t>a</w:t>
      </w:r>
      <w:r>
        <w:t>mándole el pago de los alquileres de junio y julio, más los servicios de “Aguas Argentinas” y los impuestos inmobiliario y mun</w:t>
      </w:r>
      <w:r>
        <w:t>i</w:t>
      </w:r>
      <w:r>
        <w:t>cipal. Estimó que habría pagado un mes, porque el 8 de agosto le requirió el pago de julio y agosto, más los se</w:t>
      </w:r>
      <w:r>
        <w:t>r</w:t>
      </w:r>
      <w:r>
        <w:t>vicios. La testigo aportó las cartas documento r</w:t>
      </w:r>
      <w:r>
        <w:t>e</w:t>
      </w:r>
      <w:r>
        <w:t>feridas.</w:t>
      </w:r>
    </w:p>
    <w:p w:rsidR="00224567" w:rsidRDefault="00224567">
      <w:pPr>
        <w:widowControl w:val="0"/>
      </w:pPr>
      <w:r>
        <w:tab/>
        <w:t>Asimismo, del recibo nº 0000-2958 de esa inmobiliaria, surge que el 12 de julio de 1994 B</w:t>
      </w:r>
      <w:r>
        <w:t>o</w:t>
      </w:r>
      <w:r>
        <w:t>ragni hizo un pago de USD 1281.</w:t>
      </w:r>
    </w:p>
    <w:p w:rsidR="00224567" w:rsidRDefault="00224567">
      <w:pPr>
        <w:widowControl w:val="0"/>
      </w:pPr>
      <w:r>
        <w:tab/>
        <w:t>Por su parte, Antonio Lauría, quien en 1994 se desempeñaba como martillero público, expresó que una pareja dejó una seña en dólares por una casa que tenía en alquiler, pero a los dos días la señora le explicó que el marido había tenido un accidente, resultando ser que estaba detenido. Puntualizó que la fecha en que habían concurrido era la que surgía del recibo, cuya copia obra a fs. 3028 y en la que reconoció su firma y letra.</w:t>
      </w:r>
    </w:p>
    <w:p w:rsidR="00224567" w:rsidRDefault="00224567">
      <w:pPr>
        <w:widowControl w:val="0"/>
        <w:ind w:firstLine="2835"/>
      </w:pPr>
      <w:r>
        <w:t>De tal instrumento surge que el 21 de julio de 1994 Carlos Alberto “Teccedin” abonó USD 1000 en co</w:t>
      </w:r>
      <w:r>
        <w:t>n</w:t>
      </w:r>
      <w:r>
        <w:t>cepto de seña y reserva.</w:t>
      </w:r>
    </w:p>
    <w:p w:rsidR="00224567" w:rsidRDefault="00224567">
      <w:pPr>
        <w:pStyle w:val="Textoindependiente2"/>
        <w:widowControl w:val="0"/>
        <w:rPr>
          <w:rFonts w:ascii="Courier New" w:hAnsi="Courier New" w:cs="Courier New"/>
        </w:rPr>
      </w:pPr>
      <w:r>
        <w:rPr>
          <w:rFonts w:ascii="Courier New" w:hAnsi="Courier New" w:cs="Courier New"/>
          <w:b/>
        </w:rPr>
        <w:tab/>
      </w:r>
      <w:r>
        <w:rPr>
          <w:rFonts w:ascii="Courier New" w:hAnsi="Courier New" w:cs="Courier New"/>
          <w:bCs/>
        </w:rPr>
        <w:t>A su vez, en el allanamiento del i</w:t>
      </w:r>
      <w:r>
        <w:rPr>
          <w:rFonts w:ascii="Courier New" w:hAnsi="Courier New" w:cs="Courier New"/>
          <w:bCs/>
        </w:rPr>
        <w:t>n</w:t>
      </w:r>
      <w:r>
        <w:rPr>
          <w:rFonts w:ascii="Courier New" w:hAnsi="Courier New" w:cs="Courier New"/>
          <w:bCs/>
        </w:rPr>
        <w:t>mueble sito en la calle Roosevelt 2462, piso 3º, depto. “A” de C</w:t>
      </w:r>
      <w:r>
        <w:rPr>
          <w:rFonts w:ascii="Courier New" w:hAnsi="Courier New" w:cs="Courier New"/>
          <w:bCs/>
        </w:rPr>
        <w:t>a</w:t>
      </w:r>
      <w:r>
        <w:rPr>
          <w:rFonts w:ascii="Courier New" w:hAnsi="Courier New" w:cs="Courier New"/>
          <w:bCs/>
        </w:rPr>
        <w:t xml:space="preserve">pital Federal se secuestró la factura nº 0000-00001141 de “Automotores Alejandro S.R.L.”, a nombre de Hugo Antonio Pérez, del 11 de julio de 1994, por la que se instrumentó la venta del Renault 9, dominio C 1.587.554, en </w:t>
      </w:r>
      <w:r>
        <w:rPr>
          <w:rFonts w:ascii="Courier New" w:hAnsi="Courier New" w:cs="Courier New"/>
        </w:rPr>
        <w:t xml:space="preserve">$ </w:t>
      </w:r>
      <w:r>
        <w:rPr>
          <w:rFonts w:ascii="Courier New" w:hAnsi="Courier New" w:cs="Courier New"/>
          <w:bCs/>
        </w:rPr>
        <w:t>5000. Es preciso recalcar que el documento fue hall</w:t>
      </w:r>
      <w:r>
        <w:rPr>
          <w:rFonts w:ascii="Courier New" w:hAnsi="Courier New" w:cs="Courier New"/>
          <w:bCs/>
        </w:rPr>
        <w:t>a</w:t>
      </w:r>
      <w:r>
        <w:rPr>
          <w:rFonts w:ascii="Courier New" w:hAnsi="Courier New" w:cs="Courier New"/>
          <w:bCs/>
        </w:rPr>
        <w:t>do donde vivió Telleldín y que éste en algunas ocasiones para adquirir vehículos empleaba el nombre de Pérez, como aconteció con el que vendió a Ana María Toretta y Hernán del Carmen Murillo Zuñiga. Así lo decl</w:t>
      </w:r>
      <w:r>
        <w:rPr>
          <w:rFonts w:ascii="Courier New" w:hAnsi="Courier New" w:cs="Courier New"/>
        </w:rPr>
        <w:t>aró también en sus indagatorias del 6 de agosto y 29 de d</w:t>
      </w:r>
      <w:r>
        <w:rPr>
          <w:rFonts w:ascii="Courier New" w:hAnsi="Courier New" w:cs="Courier New"/>
        </w:rPr>
        <w:t>i</w:t>
      </w:r>
      <w:r>
        <w:rPr>
          <w:rFonts w:ascii="Courier New" w:hAnsi="Courier New" w:cs="Courier New"/>
        </w:rPr>
        <w:t>ciembre de 1994, en la audiencia de debate y al ser careado con Hugo Antonio Pérez.</w:t>
      </w:r>
    </w:p>
    <w:p w:rsidR="00224567" w:rsidRDefault="00224567">
      <w:pPr>
        <w:widowControl w:val="0"/>
      </w:pPr>
      <w:r>
        <w:tab/>
        <w:t>Ariel Rodolfo Nitzcaner, al prestar declaración indagatoria, manifestó que por el arreglo de la camioneta Trafic cobró $ 850, percibiendo 650 el vie</w:t>
      </w:r>
      <w:r>
        <w:t>r</w:t>
      </w:r>
      <w:r>
        <w:t>nes 8 de julio y el saldo el lunes 11 en el domicilio de Telleldín, ocasión en que éste mencionó que la había ve</w:t>
      </w:r>
      <w:r>
        <w:t>n</w:t>
      </w:r>
      <w:r>
        <w:t>dido en $ 11.500.</w:t>
      </w:r>
    </w:p>
    <w:p w:rsidR="00224567" w:rsidRDefault="00224567">
      <w:pPr>
        <w:widowControl w:val="0"/>
        <w:ind w:firstLine="2835"/>
      </w:pPr>
      <w:r>
        <w:t>Al respecto, Marcelo Fabián Jouce d</w:t>
      </w:r>
      <w:r>
        <w:t>e</w:t>
      </w:r>
      <w:r>
        <w:t xml:space="preserve">claró que después del trabajo de </w:t>
      </w:r>
      <w:smartTag w:uri="urn:schemas-microsoft-com:office:smarttags" w:element="PersonName">
        <w:smartTagPr>
          <w:attr w:name="ProductID" w:val="la Trafic"/>
        </w:smartTagPr>
        <w:r>
          <w:t>la Trafic</w:t>
        </w:r>
      </w:smartTag>
      <w:r>
        <w:t>, el domi</w:t>
      </w:r>
      <w:r>
        <w:t>n</w:t>
      </w:r>
      <w:r>
        <w:t>go 10 ó el lunes 11, fue a la casa de Telleldín junto con su m</w:t>
      </w:r>
      <w:r>
        <w:t>u</w:t>
      </w:r>
      <w:r>
        <w:t>jer, Nitzcaner y su novia, permaneciendo en el auto mie</w:t>
      </w:r>
      <w:r>
        <w:t>n</w:t>
      </w:r>
      <w:r>
        <w:t>tras su socio fue a cobrar lo que aquél le adeudaba, au</w:t>
      </w:r>
      <w:r>
        <w:t>n</w:t>
      </w:r>
      <w:r>
        <w:t>que, según creía, no se lo abonó.</w:t>
      </w:r>
    </w:p>
    <w:p w:rsidR="00224567" w:rsidRDefault="00224567">
      <w:pPr>
        <w:widowControl w:val="0"/>
      </w:pPr>
      <w:r>
        <w:tab/>
        <w:t>En otro orden, Aldo Alfredo Álvarez, oficial de inteligencia del D.P.O.C., manifestó que se c</w:t>
      </w:r>
      <w:r>
        <w:t>o</w:t>
      </w:r>
      <w:r>
        <w:t>municó telefónicamente con la esposa de Telleldín, a efe</w:t>
      </w:r>
      <w:r>
        <w:t>c</w:t>
      </w:r>
      <w:r>
        <w:t>tos de interrogarla acerca de cómo gastó el dinero de la venta de la camioneta, creyendo reco</w:t>
      </w:r>
      <w:r>
        <w:t>r</w:t>
      </w:r>
      <w:r>
        <w:t>dar que le respondió que una parte lo habían utilizado para pagar el alquiler de una propiedad y otra la había usado Telleldín en un viaje para visitar a sus hijos.</w:t>
      </w:r>
    </w:p>
    <w:p w:rsidR="00224567" w:rsidRDefault="00224567">
      <w:pPr>
        <w:widowControl w:val="0"/>
      </w:pPr>
      <w:r>
        <w:tab/>
        <w:t>A su turno, Néstor Ricardo Herná</w:t>
      </w:r>
      <w:r>
        <w:t>n</w:t>
      </w:r>
      <w:r>
        <w:t xml:space="preserve">dez, de </w:t>
      </w:r>
      <w:smartTag w:uri="urn:schemas-microsoft-com:office:smarttags" w:element="PersonName">
        <w:smartTagPr>
          <w:attr w:name="ProductID" w:val="la Direcci￳n"/>
        </w:smartTagPr>
        <w:r>
          <w:t>la Dirección</w:t>
        </w:r>
      </w:smartTag>
      <w:r>
        <w:t xml:space="preserve"> de Contrainteligencia de </w:t>
      </w:r>
      <w:smartTag w:uri="urn:schemas-microsoft-com:office:smarttags" w:element="PersonName">
        <w:smartTagPr>
          <w:attr w:name="ProductID" w:val="la S.I"/>
        </w:smartTagPr>
        <w:r>
          <w:t>la S.I</w:t>
        </w:r>
      </w:smartTag>
      <w:r>
        <w:t>.D.E., m</w:t>
      </w:r>
      <w:r>
        <w:t>a</w:t>
      </w:r>
      <w:r>
        <w:t>nifestó que según los dichos de Boragni, la camioneta fue vendida en casi USD 11.000, desconociendo la nombrada dó</w:t>
      </w:r>
      <w:r>
        <w:t>n</w:t>
      </w:r>
      <w:r>
        <w:t>de se encontraba el dinero porque se lo había llevado T</w:t>
      </w:r>
      <w:r>
        <w:t>e</w:t>
      </w:r>
      <w:r>
        <w:t>lle</w:t>
      </w:r>
      <w:r>
        <w:t>l</w:t>
      </w:r>
      <w:r>
        <w:t>dín.</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También del legajo de transcripci</w:t>
      </w:r>
      <w:r>
        <w:rPr>
          <w:rFonts w:ascii="Courier New" w:hAnsi="Courier New" w:cs="Courier New"/>
          <w:szCs w:val="24"/>
          <w:lang w:val="es-AR"/>
        </w:rPr>
        <w:t>o</w:t>
      </w:r>
      <w:r>
        <w:rPr>
          <w:rFonts w:ascii="Courier New" w:hAnsi="Courier New" w:cs="Courier New"/>
          <w:szCs w:val="24"/>
          <w:lang w:val="es-AR"/>
        </w:rPr>
        <w:t>nes del abonado 768-0902 -carente de respaldo magnetofónico- surge que el 27 de julio de 1994 Ana Boragni habría info</w:t>
      </w:r>
      <w:r>
        <w:rPr>
          <w:rFonts w:ascii="Courier New" w:hAnsi="Courier New" w:cs="Courier New"/>
          <w:szCs w:val="24"/>
          <w:lang w:val="es-AR"/>
        </w:rPr>
        <w:t>r</w:t>
      </w:r>
      <w:r>
        <w:rPr>
          <w:rFonts w:ascii="Courier New" w:hAnsi="Courier New" w:cs="Courier New"/>
          <w:szCs w:val="24"/>
          <w:lang w:val="es-AR"/>
        </w:rPr>
        <w:t>mado a personal del Departamento Protección del Orden Constitucional acerca del destino del dinero perc</w:t>
      </w:r>
      <w:r>
        <w:rPr>
          <w:rFonts w:ascii="Courier New" w:hAnsi="Courier New" w:cs="Courier New"/>
          <w:szCs w:val="24"/>
          <w:lang w:val="es-AR"/>
        </w:rPr>
        <w:t>i</w:t>
      </w:r>
      <w:r>
        <w:rPr>
          <w:rFonts w:ascii="Courier New" w:hAnsi="Courier New" w:cs="Courier New"/>
          <w:szCs w:val="24"/>
          <w:lang w:val="es-AR"/>
        </w:rPr>
        <w:t xml:space="preserve">bido por la venta de </w:t>
      </w:r>
      <w:smartTag w:uri="urn:schemas-microsoft-com:office:smarttags" w:element="PersonName">
        <w:smartTagPr>
          <w:attr w:name="ProductID" w:val="la Trafic"/>
        </w:smartTagPr>
        <w:r>
          <w:rPr>
            <w:rFonts w:ascii="Courier New" w:hAnsi="Courier New" w:cs="Courier New"/>
            <w:szCs w:val="24"/>
            <w:lang w:val="es-AR"/>
          </w:rPr>
          <w:t>la Trafic</w:t>
        </w:r>
      </w:smartTag>
      <w:r>
        <w:rPr>
          <w:rFonts w:ascii="Courier New" w:hAnsi="Courier New" w:cs="Courier New"/>
          <w:szCs w:val="24"/>
          <w:lang w:val="es-AR"/>
        </w:rPr>
        <w:t>, indicando que fue empleado para a</w:t>
      </w:r>
      <w:r>
        <w:rPr>
          <w:rFonts w:ascii="Courier New" w:hAnsi="Courier New" w:cs="Courier New"/>
          <w:szCs w:val="24"/>
          <w:lang w:val="es-AR"/>
        </w:rPr>
        <w:t>d</w:t>
      </w:r>
      <w:r>
        <w:rPr>
          <w:rFonts w:ascii="Courier New" w:hAnsi="Courier New" w:cs="Courier New"/>
          <w:szCs w:val="24"/>
          <w:lang w:val="es-AR"/>
        </w:rPr>
        <w:t>quirir un rodado y abonar deudas en lo de “Automotores Alejandro”, solventar un viaje a Córdoba de Telleldín y pagar el alquiler, los arreglos de un Renault 9 y a los mecánicos Guillermo y Ariel (</w:t>
      </w:r>
      <w:r>
        <w:rPr>
          <w:rFonts w:ascii="Courier New" w:hAnsi="Courier New" w:cs="Courier New"/>
          <w:spacing w:val="-2"/>
        </w:rPr>
        <w:t>cónf.</w:t>
      </w:r>
      <w:r>
        <w:rPr>
          <w:rFonts w:ascii="Courier New" w:hAnsi="Courier New" w:cs="Courier New"/>
          <w:szCs w:val="24"/>
          <w:lang w:val="es-AR"/>
        </w:rPr>
        <w:t xml:space="preserve"> fs. 8/10).</w:t>
      </w:r>
    </w:p>
    <w:p w:rsidR="00224567" w:rsidRDefault="00224567">
      <w:pPr>
        <w:widowControl w:val="0"/>
      </w:pPr>
      <w:r>
        <w:tab/>
        <w:t>En definitiva, de las declaraciones y demás constancias mencionadas, surge que en los días po</w:t>
      </w:r>
      <w:r>
        <w:t>s</w:t>
      </w:r>
      <w:r>
        <w:t>teriores al 10 de julio de 1994 Telleldín realizó una s</w:t>
      </w:r>
      <w:r>
        <w:t>e</w:t>
      </w:r>
      <w:r>
        <w:t>rie de erogaciones por un monto total acorde al valor de un rodado. Así, saldó parte de la deuda que mantenía con la inmobiliaria que administraba su vivienda, e</w:t>
      </w:r>
      <w:r>
        <w:t>n</w:t>
      </w:r>
      <w:r>
        <w:t>tregó una seña por la locación de una nueva e hizo un pago a “Aut</w:t>
      </w:r>
      <w:r>
        <w:t>o</w:t>
      </w:r>
      <w:r>
        <w:t>motores Alejandro”. Asimismo, coincidieron Telleldín y N</w:t>
      </w:r>
      <w:r>
        <w:t>i</w:t>
      </w:r>
      <w:r>
        <w:t>tzcaner en cuanto a que el primero le p</w:t>
      </w:r>
      <w:r>
        <w:t>a</w:t>
      </w:r>
      <w:r>
        <w:t>gó $ 200.</w:t>
      </w:r>
    </w:p>
    <w:p w:rsidR="00224567" w:rsidRDefault="00224567">
      <w:pPr>
        <w:widowControl w:val="0"/>
      </w:pPr>
      <w:r>
        <w:tab/>
        <w:t>También deben incluirse entre esos gastos los viajes que, según quedó probado, Telleldín efectuó a las provincias de Córdoba y Misiones.</w:t>
      </w:r>
    </w:p>
    <w:p w:rsidR="00224567" w:rsidRDefault="00224567">
      <w:pPr>
        <w:pStyle w:val="Ttulo7"/>
        <w:widowControl w:val="0"/>
      </w:pPr>
      <w:r>
        <w:tab/>
      </w:r>
      <w:bookmarkStart w:id="41" w:name="_Toc86676557"/>
      <w:r>
        <w:rPr>
          <w:b/>
          <w:bCs/>
        </w:rPr>
        <w:t>B.3.d.iv.D)</w:t>
      </w:r>
      <w:r>
        <w:t xml:space="preserve"> Comentarios de Telleldín y Bora</w:t>
      </w:r>
      <w:r>
        <w:t>g</w:t>
      </w:r>
      <w:r>
        <w:t>ni.</w:t>
      </w:r>
      <w:bookmarkEnd w:id="41"/>
    </w:p>
    <w:p w:rsidR="00224567" w:rsidRDefault="00224567">
      <w:pPr>
        <w:widowControl w:val="0"/>
      </w:pPr>
      <w:r>
        <w:tab/>
      </w:r>
      <w:r>
        <w:rPr>
          <w:b/>
          <w:bCs/>
        </w:rPr>
        <w:t>B.3.d.iv.D.1)</w:t>
      </w:r>
      <w:r>
        <w:t xml:space="preserve"> En el debate, algunos testigos dieron cuenta de comentarios que les habrían efectuado Carlos Alberto Telleldín o Ana María Boragni acerca de la venta de una camioneta Trafic.</w:t>
      </w:r>
    </w:p>
    <w:p w:rsidR="00224567" w:rsidRDefault="00224567">
      <w:pPr>
        <w:widowControl w:val="0"/>
      </w:pPr>
      <w:r>
        <w:tab/>
      </w:r>
      <w:r>
        <w:rPr>
          <w:b/>
          <w:bCs/>
        </w:rPr>
        <w:t>B.3.d.iv.D.2)</w:t>
      </w:r>
      <w:r>
        <w:t xml:space="preserve"> Gabriela Rosana Schirr</w:t>
      </w:r>
      <w:r>
        <w:t>i</w:t>
      </w:r>
      <w:r>
        <w:t>pa, esposa de Diego Enrique Barreda, relató que el 10 de julio de 1994 n</w:t>
      </w:r>
      <w:r>
        <w:t>a</w:t>
      </w:r>
      <w:r>
        <w:t>ció uno de sus hijos, siendo que ese día, a las 12, aproximadamente, atendió a Telleldín, quien ll</w:t>
      </w:r>
      <w:r>
        <w:t>a</w:t>
      </w:r>
      <w:r>
        <w:t>mó al celular de su marido para excusarse de que no la v</w:t>
      </w:r>
      <w:r>
        <w:t>i</w:t>
      </w:r>
      <w:r>
        <w:t>sitaría por cuanto había publicado una camioneta y est</w:t>
      </w:r>
      <w:r>
        <w:t>a</w:t>
      </w:r>
      <w:r>
        <w:t>ba a la espera del compr</w:t>
      </w:r>
      <w:r>
        <w:t>a</w:t>
      </w:r>
      <w:r>
        <w:t>dor.</w:t>
      </w:r>
    </w:p>
    <w:p w:rsidR="00224567" w:rsidRDefault="00224567">
      <w:pPr>
        <w:widowControl w:val="0"/>
      </w:pPr>
      <w:r>
        <w:tab/>
        <w:t>Asimismo, indicó que a la semana s</w:t>
      </w:r>
      <w:r>
        <w:t>i</w:t>
      </w:r>
      <w:r>
        <w:t xml:space="preserve">guiente Telleldín le comentó que el comprador de </w:t>
      </w:r>
      <w:smartTag w:uri="urn:schemas-microsoft-com:office:smarttags" w:element="PersonName">
        <w:smartTagPr>
          <w:attr w:name="ProductID" w:val="la Trafic"/>
        </w:smartTagPr>
        <w:r>
          <w:t>la Trafic</w:t>
        </w:r>
      </w:smartTag>
      <w:r>
        <w:t xml:space="preserve"> no había ido a buscar la documentación, temiendo que la usara para narcotráfico. Mencionó que el nombr</w:t>
      </w:r>
      <w:r>
        <w:t>a</w:t>
      </w:r>
      <w:r>
        <w:t>do le dijo a su esposo que el domingo publicó la camioneta, comprá</w:t>
      </w:r>
      <w:r>
        <w:t>n</w:t>
      </w:r>
      <w:r>
        <w:t>dola un hombre con acento extranjero, que pagó al contado y que tenía en un maletín “como cuarenta lucas” (sic), r</w:t>
      </w:r>
      <w:r>
        <w:t>e</w:t>
      </w:r>
      <w:r>
        <w:t>cordando que Telleldín le comentó sus g</w:t>
      </w:r>
      <w:r>
        <w:t>a</w:t>
      </w:r>
      <w:r>
        <w:t>nas de “currarlo” (sic), lo que no pudo hacer porque había publicado el pr</w:t>
      </w:r>
      <w:r>
        <w:t>e</w:t>
      </w:r>
      <w:r>
        <w:t>cio, y que había advertido que el documento que le exhibió e</w:t>
      </w:r>
      <w:r>
        <w:t>m</w:t>
      </w:r>
      <w:r>
        <w:t>pezaba con un número alto, cuarenta millones o algo por el estilo.</w:t>
      </w:r>
    </w:p>
    <w:p w:rsidR="00224567" w:rsidRDefault="00224567">
      <w:pPr>
        <w:widowControl w:val="0"/>
      </w:pPr>
      <w:r>
        <w:tab/>
        <w:t>Al respecto, Ana María Boragni ref</w:t>
      </w:r>
      <w:r>
        <w:t>i</w:t>
      </w:r>
      <w:r>
        <w:t>rió que la noche de la venta de la camioneta o al día siguie</w:t>
      </w:r>
      <w:r>
        <w:t>n</w:t>
      </w:r>
      <w:r>
        <w:t>te –luego dijo que el 11 ó 12- Telleldín habló con Barr</w:t>
      </w:r>
      <w:r>
        <w:t>e</w:t>
      </w:r>
      <w:r>
        <w:t>da, le comentó la operación y que veía gente extraña en las cercanías de su domicilio. En otro tramo de su decl</w:t>
      </w:r>
      <w:r>
        <w:t>a</w:t>
      </w:r>
      <w:r>
        <w:t>ración indicó que en la noche del domingo 10 de julio T</w:t>
      </w:r>
      <w:r>
        <w:t>e</w:t>
      </w:r>
      <w:r>
        <w:t>lleldín llamó al nombrado, que estaba en la cl</w:t>
      </w:r>
      <w:r>
        <w:t>í</w:t>
      </w:r>
      <w:r>
        <w:t>nica con su mujer, comentándole, según creía, la venta y que el co</w:t>
      </w:r>
      <w:r>
        <w:t>m</w:t>
      </w:r>
      <w:r>
        <w:t>prador era “un personaje”; no pudo precisar si en ese m</w:t>
      </w:r>
      <w:r>
        <w:t>o</w:t>
      </w:r>
      <w:r>
        <w:t xml:space="preserve">mento o </w:t>
      </w:r>
      <w:r>
        <w:rPr>
          <w:u w:val="single"/>
        </w:rPr>
        <w:t>a posteriori</w:t>
      </w:r>
      <w:r>
        <w:t xml:space="preserve"> fue que le mencionó que advirtió a</w:t>
      </w:r>
      <w:r>
        <w:t>u</w:t>
      </w:r>
      <w:r>
        <w:t>tomóviles en las inmediaciones.</w:t>
      </w:r>
    </w:p>
    <w:p w:rsidR="00224567" w:rsidRDefault="00224567">
      <w:pPr>
        <w:widowControl w:val="0"/>
      </w:pPr>
      <w:r>
        <w:tab/>
        <w:t>En sus indagatorias, Carlos Alberto Telleldín adm</w:t>
      </w:r>
      <w:r>
        <w:t>i</w:t>
      </w:r>
      <w:r>
        <w:t xml:space="preserve">tió haberle contado a Barreda la venta de </w:t>
      </w:r>
      <w:smartTag w:uri="urn:schemas-microsoft-com:office:smarttags" w:element="PersonName">
        <w:smartTagPr>
          <w:attr w:name="ProductID" w:val="la Trafic"/>
        </w:smartTagPr>
        <w:r>
          <w:t>la Trafic</w:t>
        </w:r>
      </w:smartTag>
      <w:r>
        <w:t xml:space="preserve"> con ant</w:t>
      </w:r>
      <w:r>
        <w:t>e</w:t>
      </w:r>
      <w:r>
        <w:t>rioridad al atentado, mencionándole que el co</w:t>
      </w:r>
      <w:r>
        <w:t>m</w:t>
      </w:r>
      <w:r>
        <w:t>prador le había parecido extraño.</w:t>
      </w:r>
    </w:p>
    <w:p w:rsidR="00224567" w:rsidRDefault="00224567">
      <w:pPr>
        <w:widowControl w:val="0"/>
      </w:pPr>
      <w:r>
        <w:tab/>
        <w:t>Por su parte, Antonio Miguel Schiav</w:t>
      </w:r>
      <w:r>
        <w:t>o</w:t>
      </w:r>
      <w:r>
        <w:t>ne, ex marido de Ana Boragni, refirió que ésta mencionó que realizó una operación con una camioneta por la cual le pagaron buen dinero y que su hija Jesica le comentó acerca de un problema que tuvieron con una camioneta que vendi</w:t>
      </w:r>
      <w:r>
        <w:t>e</w:t>
      </w:r>
      <w:r>
        <w:t>ron, que fue util</w:t>
      </w:r>
      <w:r>
        <w:t>i</w:t>
      </w:r>
      <w:r>
        <w:t xml:space="preserve">zada en el hecho de </w:t>
      </w:r>
      <w:smartTag w:uri="urn:schemas-microsoft-com:office:smarttags" w:element="PersonName">
        <w:smartTagPr>
          <w:attr w:name="ProductID" w:val="la A.M"/>
        </w:smartTagPr>
        <w:r>
          <w:t>la A.M</w:t>
        </w:r>
      </w:smartTag>
      <w:r>
        <w:t>.I.A.</w:t>
      </w:r>
    </w:p>
    <w:p w:rsidR="00224567" w:rsidRDefault="00224567">
      <w:pPr>
        <w:pStyle w:val="Textoindependiente2"/>
        <w:widowControl w:val="0"/>
        <w:rPr>
          <w:rFonts w:ascii="Courier New" w:hAnsi="Courier New" w:cs="Courier New"/>
        </w:rPr>
      </w:pPr>
      <w:r>
        <w:rPr>
          <w:rFonts w:ascii="Courier New" w:hAnsi="Courier New" w:cs="Courier New"/>
        </w:rPr>
        <w:tab/>
        <w:t>También declaró Mirta Alicia Gim</w:t>
      </w:r>
      <w:r>
        <w:rPr>
          <w:rFonts w:ascii="Courier New" w:hAnsi="Courier New" w:cs="Courier New"/>
        </w:rPr>
        <w:t>é</w:t>
      </w:r>
      <w:r>
        <w:rPr>
          <w:rFonts w:ascii="Courier New" w:hAnsi="Courier New" w:cs="Courier New"/>
        </w:rPr>
        <w:t>nez, vecina de la vivienda de Telleldín, quien recordó que</w:t>
      </w:r>
      <w:r>
        <w:rPr>
          <w:rFonts w:ascii="Courier New" w:hAnsi="Courier New" w:cs="Courier New"/>
          <w:szCs w:val="24"/>
          <w:lang w:val="es-AR"/>
        </w:rPr>
        <w:t xml:space="preserve"> su </w:t>
      </w:r>
      <w:r>
        <w:rPr>
          <w:rFonts w:ascii="Courier New" w:hAnsi="Courier New" w:cs="Courier New"/>
        </w:rPr>
        <w:t>tío Héctor Giménez le comentó que aquél había vend</w:t>
      </w:r>
      <w:r>
        <w:rPr>
          <w:rFonts w:ascii="Courier New" w:hAnsi="Courier New" w:cs="Courier New"/>
        </w:rPr>
        <w:t>i</w:t>
      </w:r>
      <w:r>
        <w:rPr>
          <w:rFonts w:ascii="Courier New" w:hAnsi="Courier New" w:cs="Courier New"/>
        </w:rPr>
        <w:t>do una camioneta y que, poco después del atentado, un ho</w:t>
      </w:r>
      <w:r>
        <w:rPr>
          <w:rFonts w:ascii="Courier New" w:hAnsi="Courier New" w:cs="Courier New"/>
        </w:rPr>
        <w:t>m</w:t>
      </w:r>
      <w:r>
        <w:rPr>
          <w:rFonts w:ascii="Courier New" w:hAnsi="Courier New" w:cs="Courier New"/>
        </w:rPr>
        <w:t>bre que habitaba esa casa le dijo que seguramente él había visto cuando la vendió; operación que su tío negó haber prese</w:t>
      </w:r>
      <w:r>
        <w:rPr>
          <w:rFonts w:ascii="Courier New" w:hAnsi="Courier New" w:cs="Courier New"/>
        </w:rPr>
        <w:t>n</w:t>
      </w:r>
      <w:r>
        <w:rPr>
          <w:rFonts w:ascii="Courier New" w:hAnsi="Courier New" w:cs="Courier New"/>
        </w:rPr>
        <w:t>ciado, por cuanto, según le dijo, nu</w:t>
      </w:r>
      <w:r>
        <w:rPr>
          <w:rFonts w:ascii="Courier New" w:hAnsi="Courier New" w:cs="Courier New"/>
        </w:rPr>
        <w:t>n</w:t>
      </w:r>
      <w:r>
        <w:rPr>
          <w:rFonts w:ascii="Courier New" w:hAnsi="Courier New" w:cs="Courier New"/>
        </w:rPr>
        <w:t>ca vio una entrega de dinero.</w:t>
      </w:r>
    </w:p>
    <w:p w:rsidR="00224567" w:rsidRDefault="00224567">
      <w:pPr>
        <w:widowControl w:val="0"/>
      </w:pPr>
      <w:r>
        <w:tab/>
        <w:t>A lo expuesto se adunan los dichos de Carlos Alberto Casimiro Villar, comprador de un Renault 12, quien concurrió al domicilio de Telleldín para recl</w:t>
      </w:r>
      <w:r>
        <w:t>a</w:t>
      </w:r>
      <w:r>
        <w:t>mar unas patentes, justo el día –según creyó un l</w:t>
      </w:r>
      <w:r>
        <w:t>u</w:t>
      </w:r>
      <w:r>
        <w:t>nes- en que se efectuó un allanamiento en horas de la mañana; para esa época, Telleldín ya estaba detenido.</w:t>
      </w:r>
    </w:p>
    <w:p w:rsidR="00224567" w:rsidRDefault="00224567">
      <w:pPr>
        <w:widowControl w:val="0"/>
        <w:ind w:firstLine="2835"/>
      </w:pPr>
      <w:r>
        <w:t>Expresó que lo atendió una mujer, s</w:t>
      </w:r>
      <w:r>
        <w:t>u</w:t>
      </w:r>
      <w:r>
        <w:t>puestamente la esposa de Telleldín, quien le contó, e</w:t>
      </w:r>
      <w:r>
        <w:t>n</w:t>
      </w:r>
      <w:r>
        <w:t>tre llantos, que habían vendido una camioneta y acus</w:t>
      </w:r>
      <w:r>
        <w:t>a</w:t>
      </w:r>
      <w:r>
        <w:t>ban a su marido por el tema A.M.I.A., agregando que éste no tenía nada contra los judíos y que incluso su mecán</w:t>
      </w:r>
      <w:r>
        <w:t>i</w:t>
      </w:r>
      <w:r>
        <w:t>co, del que era muy amigo, era de esa religión.</w:t>
      </w:r>
    </w:p>
    <w:p w:rsidR="00224567" w:rsidRDefault="00224567">
      <w:pPr>
        <w:widowControl w:val="0"/>
      </w:pPr>
      <w:r>
        <w:tab/>
        <w:t>El testigo señaló que, según los c</w:t>
      </w:r>
      <w:r>
        <w:t>o</w:t>
      </w:r>
      <w:r>
        <w:t>mentarios de la mujer, vendieron la camioneta a un señor de unos 30 años, de tez aceitunada, al que invitaron a c</w:t>
      </w:r>
      <w:r>
        <w:t>o</w:t>
      </w:r>
      <w:r>
        <w:t>mer puchero, pero no aceptó debido a que estaba muy apur</w:t>
      </w:r>
      <w:r>
        <w:t>a</w:t>
      </w:r>
      <w:r>
        <w:t>do.</w:t>
      </w:r>
    </w:p>
    <w:p w:rsidR="00224567" w:rsidRDefault="00224567">
      <w:pPr>
        <w:widowControl w:val="0"/>
      </w:pPr>
      <w:r>
        <w:tab/>
        <w:t>A su turno, Nélida Virginia Morri r</w:t>
      </w:r>
      <w:r>
        <w:t>e</w:t>
      </w:r>
      <w:r>
        <w:t>firió que Bareiro le pidió que acompañara a la esposa de Telleldín porque éste había e</w:t>
      </w:r>
      <w:r>
        <w:t>s</w:t>
      </w:r>
      <w:r>
        <w:t>capado y lo buscaban por una Trafic que había vendido y se utilizó en el atentado. Pu</w:t>
      </w:r>
      <w:r>
        <w:t>n</w:t>
      </w:r>
      <w:r>
        <w:t>tualizó que Boragni le dijo que vendieron la cami</w:t>
      </w:r>
      <w:r>
        <w:t>o</w:t>
      </w:r>
      <w:r>
        <w:t>neta, en efectivo, a un centroamericano o con rasgos centroameric</w:t>
      </w:r>
      <w:r>
        <w:t>a</w:t>
      </w:r>
      <w:r>
        <w:t>nos, de apellido Martínez, que se presentó por el aviso del di</w:t>
      </w:r>
      <w:r>
        <w:t>a</w:t>
      </w:r>
      <w:r>
        <w:t>rio.</w:t>
      </w:r>
    </w:p>
    <w:p w:rsidR="00224567" w:rsidRDefault="00224567">
      <w:pPr>
        <w:widowControl w:val="0"/>
      </w:pPr>
      <w:r>
        <w:tab/>
        <w:t>Por su parte, Miriam Raquel Salinas dio cuenta de la venta de la camioneta por dichos de Ana Boragni quien, luego de la detención de Telleldín, le co</w:t>
      </w:r>
      <w:r>
        <w:t>n</w:t>
      </w:r>
      <w:r>
        <w:t>tó los pormenores de la operación.</w:t>
      </w:r>
    </w:p>
    <w:p w:rsidR="00224567" w:rsidRDefault="00224567">
      <w:pPr>
        <w:widowControl w:val="0"/>
      </w:pPr>
      <w:r>
        <w:tab/>
        <w:t>A su vez, Gustavo Alberto Semorile d</w:t>
      </w:r>
      <w:r>
        <w:t>e</w:t>
      </w:r>
      <w:r>
        <w:t>claró que por dichos de Ibáñez tomó conocimiento de la venta o entrega de una camioneta por parte de T</w:t>
      </w:r>
      <w:r>
        <w:t>e</w:t>
      </w:r>
      <w:r>
        <w:t>lleldín.</w:t>
      </w:r>
    </w:p>
    <w:p w:rsidR="00224567" w:rsidRDefault="00224567">
      <w:pPr>
        <w:widowControl w:val="0"/>
      </w:pPr>
      <w:r>
        <w:tab/>
        <w:t>Además de las testimoniales antes r</w:t>
      </w:r>
      <w:r>
        <w:t>e</w:t>
      </w:r>
      <w:r>
        <w:t>señadas, obran en autos las indagatorias de Ariel R</w:t>
      </w:r>
      <w:r>
        <w:t>o</w:t>
      </w:r>
      <w:r>
        <w:t>dolfo Nitzcaner, quien relató que el lunes 11 de julio conc</w:t>
      </w:r>
      <w:r>
        <w:t>u</w:t>
      </w:r>
      <w:r>
        <w:t>rrió al domicilio de Telleldín a efectos de cobrar el saldo del arreglo de la camioneta Trafic, oportunidad en la que su consorte de causa le comentó que había vendido el utilit</w:t>
      </w:r>
      <w:r>
        <w:t>a</w:t>
      </w:r>
      <w:r>
        <w:t>rio, detallando que primero lo llamaron por teléfono y luego concurrieron dos personas de habla japonesa u otro idioma que desconocía, quienes discutieron el precio, m</w:t>
      </w:r>
      <w:r>
        <w:t>a</w:t>
      </w:r>
      <w:r>
        <w:t>nifestando que iría a compra</w:t>
      </w:r>
      <w:r>
        <w:t>r</w:t>
      </w:r>
      <w:r>
        <w:t>lo quien llamó.</w:t>
      </w:r>
    </w:p>
    <w:p w:rsidR="00224567" w:rsidRDefault="00224567">
      <w:pPr>
        <w:widowControl w:val="0"/>
      </w:pPr>
      <w:r>
        <w:tab/>
        <w:t>Recordó que Telleldín le comentó que la persona que adquirió la camioneta era extraña, estaba disfrazada, suponiendo que la quería para “algo raro” y que, según dijo, la vendió en $ 11.500; suma que llevó a la casa de su hermano por temor a que se la r</w:t>
      </w:r>
      <w:r>
        <w:t>o</w:t>
      </w:r>
      <w:r>
        <w:t>ben.</w:t>
      </w:r>
    </w:p>
    <w:p w:rsidR="00224567" w:rsidRDefault="00224567">
      <w:pPr>
        <w:widowControl w:val="0"/>
      </w:pPr>
      <w:r>
        <w:tab/>
        <w:t>También mencionó que, según Boragni, los compradores querían la camioneta para “algo raro”, t</w:t>
      </w:r>
      <w:r>
        <w:t>o</w:t>
      </w:r>
      <w:r>
        <w:t>da vez que no la verificaron, limitándose a revisa</w:t>
      </w:r>
      <w:r>
        <w:t>r</w:t>
      </w:r>
      <w:r>
        <w:t>la; que la nombrada conjeturó que podría tratarse de algún asunto vinculado con “falopa” (sic).</w:t>
      </w:r>
    </w:p>
    <w:p w:rsidR="00224567" w:rsidRDefault="00224567">
      <w:pPr>
        <w:widowControl w:val="0"/>
        <w:ind w:firstLine="2835"/>
      </w:pPr>
      <w:r>
        <w:t>Finalmente, Nitzcaner precisó que esa fue la primera ocasión en que Telleldín le efectuó come</w:t>
      </w:r>
      <w:r>
        <w:t>n</w:t>
      </w:r>
      <w:r>
        <w:t>tarios acerca de las ci</w:t>
      </w:r>
      <w:r>
        <w:t>r</w:t>
      </w:r>
      <w:r>
        <w:t>cunstancias que rodearon la venta de un vehículo cuya reparación le encargó, ded</w:t>
      </w:r>
      <w:r>
        <w:t>u</w:t>
      </w:r>
      <w:r>
        <w:t>ciendo que esas referencias tenían como finalidad que las record</w:t>
      </w:r>
      <w:r>
        <w:t>a</w:t>
      </w:r>
      <w:r>
        <w:t>ra.</w:t>
      </w:r>
    </w:p>
    <w:p w:rsidR="00224567" w:rsidRDefault="00224567">
      <w:pPr>
        <w:widowControl w:val="0"/>
      </w:pPr>
      <w:r>
        <w:tab/>
        <w:t>A su vez, Marcelo Fabián Jouce s</w:t>
      </w:r>
      <w:r>
        <w:t>e</w:t>
      </w:r>
      <w:r>
        <w:t>ñaló que durante su detención escuchó a Telleldín de</w:t>
      </w:r>
      <w:r>
        <w:t>s</w:t>
      </w:r>
      <w:r>
        <w:t>cribir al comprador de la camioneta.</w:t>
      </w:r>
    </w:p>
    <w:p w:rsidR="00224567" w:rsidRDefault="00224567">
      <w:pPr>
        <w:widowControl w:val="0"/>
      </w:pPr>
      <w:r>
        <w:tab/>
        <w:t>Al prestar declaración indagatoria, Juan Alberto Bottegal recreó su encuentro con Telleldín en julio de 1994, ocasión en la que, sostuvo, lo inquirió acerca de cuánto demoraría en obtener el dinero que le era requerido, respondiéndole que, si vendía unos aut</w:t>
      </w:r>
      <w:r>
        <w:t>o</w:t>
      </w:r>
      <w:r>
        <w:t>móviles en el mismo tiempo en que había vendido el domingo ant</w:t>
      </w:r>
      <w:r>
        <w:t>e</w:t>
      </w:r>
      <w:r>
        <w:t>rior una camioneta Trafic, sería enseguida.</w:t>
      </w:r>
    </w:p>
    <w:p w:rsidR="00224567" w:rsidRDefault="00224567">
      <w:pPr>
        <w:widowControl w:val="0"/>
        <w:ind w:firstLine="2835"/>
      </w:pPr>
      <w:r>
        <w:t>Agregó que, además, Telleldín le c</w:t>
      </w:r>
      <w:r>
        <w:t>o</w:t>
      </w:r>
      <w:r>
        <w:t>mentó que la camioneta se la adquirió, sin constatar su estado, un sujeto que concurrió a su domicilio, el que, por el número de su documento de identidad, se trataba de un extranjero, admitiendo que si bien constató una irreg</w:t>
      </w:r>
      <w:r>
        <w:t>u</w:t>
      </w:r>
      <w:r>
        <w:t>laridad en ese instrumento no le impo</w:t>
      </w:r>
      <w:r>
        <w:t>r</w:t>
      </w:r>
      <w:r>
        <w:t>tó, por cuanto tenía interés en concretar la venta.</w:t>
      </w:r>
    </w:p>
    <w:p w:rsidR="00224567" w:rsidRDefault="00224567">
      <w:pPr>
        <w:widowControl w:val="0"/>
      </w:pPr>
      <w:r>
        <w:tab/>
        <w:t>A su vez, de las declaraciones test</w:t>
      </w:r>
      <w:r>
        <w:t>i</w:t>
      </w:r>
      <w:r>
        <w:t xml:space="preserve">moniales prestadas por los agentes de </w:t>
      </w:r>
      <w:smartTag w:uri="urn:schemas-microsoft-com:office:smarttags" w:element="PersonName">
        <w:smartTagPr>
          <w:attr w:name="ProductID" w:val="la Secretar￭a"/>
        </w:smartTagPr>
        <w:r>
          <w:t>la Secretaría</w:t>
        </w:r>
      </w:smartTag>
      <w:r>
        <w:t xml:space="preserve"> de I</w:t>
      </w:r>
      <w:r>
        <w:t>n</w:t>
      </w:r>
      <w:r>
        <w:t>teligencia de Estado, surge que Boragni, una vez que se determinó que el motor hallado entre los escombros había pasado por sus manos, les efectuó una serie de coment</w:t>
      </w:r>
      <w:r>
        <w:t>a</w:t>
      </w:r>
      <w:r>
        <w:t>rios. En ese sentido, Néstor Ricardo Hernández, Roberto Jorge Saller, Luis Domingo Delizia y Daniel Alberto Fe</w:t>
      </w:r>
      <w:r>
        <w:t>r</w:t>
      </w:r>
      <w:r>
        <w:t>nández recordaron que la nombrada rel</w:t>
      </w:r>
      <w:r>
        <w:t>a</w:t>
      </w:r>
      <w:r>
        <w:t xml:space="preserve">tó que vendieron </w:t>
      </w:r>
      <w:smartTag w:uri="urn:schemas-microsoft-com:office:smarttags" w:element="PersonName">
        <w:smartTagPr>
          <w:attr w:name="ProductID" w:val="la Trafic"/>
        </w:smartTagPr>
        <w:r>
          <w:t>la Trafic</w:t>
        </w:r>
      </w:smartTag>
      <w:r>
        <w:t xml:space="preserve"> a un sujeto de apariencia o con acento centroamer</w:t>
      </w:r>
      <w:r>
        <w:t>i</w:t>
      </w:r>
      <w:r>
        <w:t>cano.</w:t>
      </w:r>
    </w:p>
    <w:p w:rsidR="00224567" w:rsidRDefault="00224567">
      <w:pPr>
        <w:widowControl w:val="0"/>
      </w:pPr>
      <w:r>
        <w:tab/>
        <w:t>Hernández también aludió a la ve</w:t>
      </w:r>
      <w:r>
        <w:t>r</w:t>
      </w:r>
      <w:r>
        <w:t xml:space="preserve">sión que, acerca de la venta de </w:t>
      </w:r>
      <w:smartTag w:uri="urn:schemas-microsoft-com:office:smarttags" w:element="PersonName">
        <w:smartTagPr>
          <w:attr w:name="ProductID" w:val="la Trafic"/>
        </w:smartTagPr>
        <w:r>
          <w:t>la Trafic</w:t>
        </w:r>
      </w:smartTag>
      <w:r>
        <w:t>, brindó T</w:t>
      </w:r>
      <w:r>
        <w:t>e</w:t>
      </w:r>
      <w:r>
        <w:t>lleldín al interrogarlo brevemente en ocasión de ser detenido en el aeroparque metropolitano. El testigo concluyó que las m</w:t>
      </w:r>
      <w:r>
        <w:t>a</w:t>
      </w:r>
      <w:r>
        <w:t>nifestaciones del imputado eran muy similares a las de B</w:t>
      </w:r>
      <w:r>
        <w:t>o</w:t>
      </w:r>
      <w:r>
        <w:t>ragni, llamándole en particular la atención ciertas coi</w:t>
      </w:r>
      <w:r>
        <w:t>n</w:t>
      </w:r>
      <w:r>
        <w:t>cidencias relativas a la vestimenta –gorro, cadenita, c</w:t>
      </w:r>
      <w:r>
        <w:t>a</w:t>
      </w:r>
      <w:r>
        <w:t>misa- del supuesto comprador.</w:t>
      </w:r>
    </w:p>
    <w:p w:rsidR="00224567" w:rsidRDefault="00224567">
      <w:pPr>
        <w:widowControl w:val="0"/>
      </w:pPr>
      <w:r>
        <w:tab/>
        <w:t>Hernández aclaró que, según los d</w:t>
      </w:r>
      <w:r>
        <w:t>i</w:t>
      </w:r>
      <w:r>
        <w:t>chos de Telleldín, un domingo se presentó un tal Martínez, de tez trigueña, con acento centroamericano y gorra, que ab</w:t>
      </w:r>
      <w:r>
        <w:t>o</w:t>
      </w:r>
      <w:r>
        <w:t>nó $ 10.500 por la camioneta, tras lo cual le confe</w:t>
      </w:r>
      <w:r>
        <w:t>c</w:t>
      </w:r>
      <w:r>
        <w:t>cionó el boleto, debiéndole una documentación que faltaba y t</w:t>
      </w:r>
      <w:r>
        <w:t>e</w:t>
      </w:r>
      <w:r>
        <w:t>nía que ir a buscar.</w:t>
      </w:r>
    </w:p>
    <w:p w:rsidR="00224567" w:rsidRDefault="00224567">
      <w:pPr>
        <w:widowControl w:val="0"/>
      </w:pPr>
      <w:r>
        <w:tab/>
      </w:r>
      <w:r>
        <w:rPr>
          <w:b/>
          <w:bCs/>
        </w:rPr>
        <w:t>B.3.d.iv.D.3)</w:t>
      </w:r>
      <w:r>
        <w:t xml:space="preserve"> El examen de las decl</w:t>
      </w:r>
      <w:r>
        <w:t>a</w:t>
      </w:r>
      <w:r>
        <w:t>raciones precedentes no permite aseverar, como pretendi</w:t>
      </w:r>
      <w:r>
        <w:t>e</w:t>
      </w:r>
      <w:r>
        <w:t>ron los acusadores, que Carlos Alberto Telleldín hubiese preparado testigos a modo de preconstitución de prueba, brindando detalles que habitualmente no solía dar acerca de las operaciones que realizaba, con el objetivo de que declaren que efectivamente vendió una c</w:t>
      </w:r>
      <w:r>
        <w:t>a</w:t>
      </w:r>
      <w:r>
        <w:t>mioneta el fin de semana del 9 y 10 de j</w:t>
      </w:r>
      <w:r>
        <w:t>u</w:t>
      </w:r>
      <w:r>
        <w:t>lio de 1994.</w:t>
      </w:r>
    </w:p>
    <w:p w:rsidR="00224567" w:rsidRDefault="00224567">
      <w:pPr>
        <w:widowControl w:val="0"/>
      </w:pPr>
      <w:r>
        <w:tab/>
        <w:t>En efecto, muchos de los comentarios vertidos por Telleldín o por Boragni tuvieron lugar de</w:t>
      </w:r>
      <w:r>
        <w:t>s</w:t>
      </w:r>
      <w:r>
        <w:t>pués de enterarse que la camioneta que pasó por sus m</w:t>
      </w:r>
      <w:r>
        <w:t>a</w:t>
      </w:r>
      <w:r>
        <w:t>nos estaba vinculada a esta investigación, lo que, de acuerdo a la prueba colectada, sucedió el 26 de julio de 1994.</w:t>
      </w:r>
    </w:p>
    <w:p w:rsidR="00224567" w:rsidRDefault="00224567">
      <w:pPr>
        <w:pStyle w:val="Sangradetextonormal"/>
        <w:widowControl w:val="0"/>
        <w:ind w:firstLine="2835"/>
        <w:rPr>
          <w:lang w:val="es-ES"/>
        </w:rPr>
      </w:pPr>
      <w:r>
        <w:rPr>
          <w:lang w:val="es-ES"/>
        </w:rPr>
        <w:t>Así, los comentarios efectuados a pe</w:t>
      </w:r>
      <w:r>
        <w:rPr>
          <w:lang w:val="es-ES"/>
        </w:rPr>
        <w:t>r</w:t>
      </w:r>
      <w:r>
        <w:rPr>
          <w:lang w:val="es-ES"/>
        </w:rPr>
        <w:t>sonas de su entorno a partir de esa fecha, como también los vertidos a los funci</w:t>
      </w:r>
      <w:r>
        <w:rPr>
          <w:lang w:val="es-ES"/>
        </w:rPr>
        <w:t>o</w:t>
      </w:r>
      <w:r>
        <w:rPr>
          <w:lang w:val="es-ES"/>
        </w:rPr>
        <w:t>narios encargados de la pesquisa, no resultan llamativos y menos aún sospechosos, dado que sólo reflejan preocupación, sin que nada avale la inte</w:t>
      </w:r>
      <w:r>
        <w:rPr>
          <w:lang w:val="es-ES"/>
        </w:rPr>
        <w:t>r</w:t>
      </w:r>
      <w:r>
        <w:rPr>
          <w:lang w:val="es-ES"/>
        </w:rPr>
        <w:t>pretación que de esos comentarios efectuaron los acusad</w:t>
      </w:r>
      <w:r>
        <w:rPr>
          <w:lang w:val="es-ES"/>
        </w:rPr>
        <w:t>o</w:t>
      </w:r>
      <w:r>
        <w:rPr>
          <w:lang w:val="es-ES"/>
        </w:rPr>
        <w:t>res.</w:t>
      </w:r>
    </w:p>
    <w:p w:rsidR="00224567" w:rsidRDefault="00224567">
      <w:pPr>
        <w:widowControl w:val="0"/>
      </w:pPr>
      <w:r>
        <w:tab/>
        <w:t>Párrafo aparte merecen las manifest</w:t>
      </w:r>
      <w:r>
        <w:t>a</w:t>
      </w:r>
      <w:r>
        <w:t>ciones que Carlos Alberto Telleldín habría brindado al agente de inteligencia Néstor Ricardo Hernández, t</w:t>
      </w:r>
      <w:r>
        <w:t>o</w:t>
      </w:r>
      <w:r>
        <w:t>da vez que el interrogatorio al que fue sometido violó las disp</w:t>
      </w:r>
      <w:r>
        <w:t>o</w:t>
      </w:r>
      <w:r>
        <w:t xml:space="preserve">siciones del art. 184 del Código Procesal Penal de </w:t>
      </w:r>
      <w:smartTag w:uri="urn:schemas-microsoft-com:office:smarttags" w:element="PersonName">
        <w:smartTagPr>
          <w:attr w:name="ProductID" w:val="la Naci￳n"/>
        </w:smartTagPr>
        <w:r>
          <w:t>la N</w:t>
        </w:r>
        <w:r>
          <w:t>a</w:t>
        </w:r>
        <w:r>
          <w:t>ción</w:t>
        </w:r>
      </w:smartTag>
      <w:r>
        <w:t>, que veda a los funcionarios de la p</w:t>
      </w:r>
      <w:r>
        <w:t>o</w:t>
      </w:r>
      <w:r>
        <w:t>licía o fuerzas de seguridad recibir declaración al i</w:t>
      </w:r>
      <w:r>
        <w:t>m</w:t>
      </w:r>
      <w:r>
        <w:t>putado, al que sólo podrán dirigirle pr</w:t>
      </w:r>
      <w:r>
        <w:t>e</w:t>
      </w:r>
      <w:r>
        <w:t>guntas para constatar su identidad.</w:t>
      </w:r>
    </w:p>
    <w:p w:rsidR="00224567" w:rsidRDefault="00224567">
      <w:pPr>
        <w:widowControl w:val="0"/>
      </w:pPr>
      <w:r>
        <w:tab/>
        <w:t>Si bien Hernández era un int</w:t>
      </w:r>
      <w:r>
        <w:t>e</w:t>
      </w:r>
      <w:r>
        <w:t>grante de un organismo de inteligencia y no de una fuerza de segur</w:t>
      </w:r>
      <w:r>
        <w:t>i</w:t>
      </w:r>
      <w:r>
        <w:t>dad, es aplicable a su respecto la restricción aludida, por cuanto la finalidad de la norma es asegurarle al imp</w:t>
      </w:r>
      <w:r>
        <w:t>u</w:t>
      </w:r>
      <w:r>
        <w:t>tado, con conocimiento de los derechos y garantías que lo asisten, su declaración ante un juez.</w:t>
      </w:r>
    </w:p>
    <w:p w:rsidR="00224567" w:rsidRDefault="00224567">
      <w:pPr>
        <w:pStyle w:val="Sangradetextonormal"/>
        <w:widowControl w:val="0"/>
        <w:ind w:firstLine="0"/>
        <w:rPr>
          <w:lang w:val="es-ES"/>
        </w:rPr>
      </w:pPr>
      <w:r>
        <w:rPr>
          <w:lang w:val="es-ES"/>
        </w:rPr>
        <w:tab/>
        <w:t>El legislador consideró que una de las formas de tutelar dichos derechos era vedar a los int</w:t>
      </w:r>
      <w:r>
        <w:rPr>
          <w:lang w:val="es-ES"/>
        </w:rPr>
        <w:t>e</w:t>
      </w:r>
      <w:r>
        <w:rPr>
          <w:lang w:val="es-ES"/>
        </w:rPr>
        <w:t>grantes de la policía y las fuerzas de seguridad la pos</w:t>
      </w:r>
      <w:r>
        <w:rPr>
          <w:lang w:val="es-ES"/>
        </w:rPr>
        <w:t>i</w:t>
      </w:r>
      <w:r>
        <w:rPr>
          <w:lang w:val="es-ES"/>
        </w:rPr>
        <w:t>bilidad de interrogar al acusado, concibiendo a la decl</w:t>
      </w:r>
      <w:r>
        <w:rPr>
          <w:lang w:val="es-ES"/>
        </w:rPr>
        <w:t>a</w:t>
      </w:r>
      <w:r>
        <w:rPr>
          <w:lang w:val="es-ES"/>
        </w:rPr>
        <w:t>ración indagatoria como un acto de defensa, que debe ll</w:t>
      </w:r>
      <w:r>
        <w:rPr>
          <w:lang w:val="es-ES"/>
        </w:rPr>
        <w:t>e</w:t>
      </w:r>
      <w:r>
        <w:rPr>
          <w:lang w:val="es-ES"/>
        </w:rPr>
        <w:t>varse a cabo ante un m</w:t>
      </w:r>
      <w:r>
        <w:rPr>
          <w:lang w:val="es-ES"/>
        </w:rPr>
        <w:t>a</w:t>
      </w:r>
      <w:r>
        <w:rPr>
          <w:lang w:val="es-ES"/>
        </w:rPr>
        <w:t>gistrado.</w:t>
      </w:r>
    </w:p>
    <w:p w:rsidR="00224567" w:rsidRDefault="00224567">
      <w:pPr>
        <w:widowControl w:val="0"/>
      </w:pPr>
      <w:r>
        <w:tab/>
        <w:t>Por otra parte, es indudable que al momento del interrogatorio efectuado por Hernández a Ca</w:t>
      </w:r>
      <w:r>
        <w:t>r</w:t>
      </w:r>
      <w:r>
        <w:t>los Alberto Telleldín, éste revestía la calidad de imp</w:t>
      </w:r>
      <w:r>
        <w:t>u</w:t>
      </w:r>
      <w:r>
        <w:t xml:space="preserve">tado y no de testigo, en razón que la presencia del agente de </w:t>
      </w:r>
      <w:smartTag w:uri="urn:schemas-microsoft-com:office:smarttags" w:element="PersonName">
        <w:smartTagPr>
          <w:attr w:name="ProductID" w:val="la S.I"/>
        </w:smartTagPr>
        <w:r>
          <w:t>la S.I</w:t>
        </w:r>
      </w:smartTag>
      <w:r>
        <w:t xml:space="preserve">.D.E. y de </w:t>
      </w:r>
      <w:smartTag w:uri="urn:schemas-microsoft-com:office:smarttags" w:element="PersonName">
        <w:smartTagPr>
          <w:attr w:name="ProductID" w:val="la Polic￭a Federal"/>
        </w:smartTagPr>
        <w:r>
          <w:t>la Policía Federal</w:t>
        </w:r>
      </w:smartTag>
      <w:r>
        <w:t xml:space="preserve"> Argentina en el A</w:t>
      </w:r>
      <w:r>
        <w:t>e</w:t>
      </w:r>
      <w:r>
        <w:t>roparque “Jorge Newbery” tenía como finalidad su dete</w:t>
      </w:r>
      <w:r>
        <w:t>n</w:t>
      </w:r>
      <w:r>
        <w:t>ción.</w:t>
      </w:r>
    </w:p>
    <w:p w:rsidR="00224567" w:rsidRDefault="00224567">
      <w:pPr>
        <w:pStyle w:val="Textoindependiente2"/>
        <w:widowControl w:val="0"/>
        <w:rPr>
          <w:rFonts w:ascii="Courier New" w:hAnsi="Courier New" w:cs="Courier New"/>
          <w:lang w:val="es-AR"/>
        </w:rPr>
      </w:pPr>
      <w:r>
        <w:rPr>
          <w:rFonts w:ascii="Courier New" w:hAnsi="Courier New" w:cs="Courier New"/>
          <w:szCs w:val="24"/>
          <w:lang w:val="es-AR"/>
        </w:rPr>
        <w:tab/>
        <w:t>Por lo demás, las manifestaciones de Telleldín en esa ocasión no fueron espontáneas, sino que obedecieron al interrogatorio al que lo sometió Herná</w:t>
      </w:r>
      <w:r>
        <w:rPr>
          <w:rFonts w:ascii="Courier New" w:hAnsi="Courier New" w:cs="Courier New"/>
          <w:szCs w:val="24"/>
          <w:lang w:val="es-AR"/>
        </w:rPr>
        <w:t>n</w:t>
      </w:r>
      <w:r>
        <w:rPr>
          <w:rFonts w:ascii="Courier New" w:hAnsi="Courier New" w:cs="Courier New"/>
          <w:szCs w:val="24"/>
          <w:lang w:val="es-AR"/>
        </w:rPr>
        <w:t>dez, quien admitió en su declaración haber sido el primero en tomar contacto con el encartado, tras lo cual comenzó a efectuarle preguntas acerca del hecho inve</w:t>
      </w:r>
      <w:r>
        <w:rPr>
          <w:rFonts w:ascii="Courier New" w:hAnsi="Courier New" w:cs="Courier New"/>
          <w:szCs w:val="24"/>
          <w:lang w:val="es-AR"/>
        </w:rPr>
        <w:t>s</w:t>
      </w:r>
      <w:r>
        <w:rPr>
          <w:rFonts w:ascii="Courier New" w:hAnsi="Courier New" w:cs="Courier New"/>
          <w:szCs w:val="24"/>
          <w:lang w:val="es-AR"/>
        </w:rPr>
        <w:t>tigado.</w:t>
      </w:r>
    </w:p>
    <w:p w:rsidR="00224567" w:rsidRDefault="00224567">
      <w:pPr>
        <w:pStyle w:val="Textoindependiente2"/>
        <w:widowControl w:val="0"/>
        <w:rPr>
          <w:rFonts w:ascii="Courier New" w:hAnsi="Courier New" w:cs="Courier New"/>
        </w:rPr>
      </w:pPr>
      <w:r>
        <w:rPr>
          <w:rFonts w:ascii="Courier New" w:hAnsi="Courier New" w:cs="Courier New"/>
          <w:lang w:val="es-AR"/>
        </w:rPr>
        <w:tab/>
      </w:r>
      <w:r>
        <w:rPr>
          <w:rFonts w:ascii="Courier New" w:hAnsi="Courier New" w:cs="Courier New"/>
        </w:rPr>
        <w:t>En efecto, Hernández fue claro al r</w:t>
      </w:r>
      <w:r>
        <w:rPr>
          <w:rFonts w:ascii="Courier New" w:hAnsi="Courier New" w:cs="Courier New"/>
        </w:rPr>
        <w:t>e</w:t>
      </w:r>
      <w:r>
        <w:rPr>
          <w:rFonts w:ascii="Courier New" w:hAnsi="Courier New" w:cs="Courier New"/>
        </w:rPr>
        <w:t>latar que al llegar al aeroparque interrogó a Telleldín durante cuatro o cinco minutos, luego de que Barr</w:t>
      </w:r>
      <w:r>
        <w:rPr>
          <w:rFonts w:ascii="Courier New" w:hAnsi="Courier New" w:cs="Courier New"/>
        </w:rPr>
        <w:t>e</w:t>
      </w:r>
      <w:r>
        <w:rPr>
          <w:rFonts w:ascii="Courier New" w:hAnsi="Courier New" w:cs="Courier New"/>
        </w:rPr>
        <w:t>da se lo “marcara”. Describió su proceder de la siguiente manera: “lo bombardeo a que me diga cómo era la cosa, porque yo quería cotejar si lo que me dijo la señora era lo mismo que me decía él”, agregando “yo pregunto y sigo pregunta</w:t>
      </w:r>
      <w:r>
        <w:rPr>
          <w:rFonts w:ascii="Courier New" w:hAnsi="Courier New" w:cs="Courier New"/>
        </w:rPr>
        <w:t>n</w:t>
      </w:r>
      <w:r>
        <w:rPr>
          <w:rFonts w:ascii="Courier New" w:hAnsi="Courier New" w:cs="Courier New"/>
        </w:rPr>
        <w:t>do y sigo preguntando y sigo pr</w:t>
      </w:r>
      <w:r>
        <w:rPr>
          <w:rFonts w:ascii="Courier New" w:hAnsi="Courier New" w:cs="Courier New"/>
        </w:rPr>
        <w:t>e</w:t>
      </w:r>
      <w:r>
        <w:rPr>
          <w:rFonts w:ascii="Courier New" w:hAnsi="Courier New" w:cs="Courier New"/>
        </w:rPr>
        <w:t>guntando, hasta que lo que me cuenta es muy similar a lo que me cuenta la esposa” (sic); explicó que para ello debió adelantarse a un pol</w:t>
      </w:r>
      <w:r>
        <w:rPr>
          <w:rFonts w:ascii="Courier New" w:hAnsi="Courier New" w:cs="Courier New"/>
        </w:rPr>
        <w:t>i</w:t>
      </w:r>
      <w:r>
        <w:rPr>
          <w:rFonts w:ascii="Courier New" w:hAnsi="Courier New" w:cs="Courier New"/>
        </w:rPr>
        <w:t>cía que iba a detener a Telleldín.</w:t>
      </w:r>
    </w:p>
    <w:p w:rsidR="00224567" w:rsidRDefault="00224567">
      <w:pPr>
        <w:pStyle w:val="Textoindependiente2"/>
        <w:widowControl w:val="0"/>
        <w:rPr>
          <w:rFonts w:ascii="Courier New" w:hAnsi="Courier New" w:cs="Courier New"/>
        </w:rPr>
      </w:pPr>
      <w:r>
        <w:rPr>
          <w:rFonts w:ascii="Courier New" w:hAnsi="Courier New" w:cs="Courier New"/>
        </w:rPr>
        <w:tab/>
        <w:t>Asimismo, Hernández manifestó que pe</w:t>
      </w:r>
      <w:r>
        <w:rPr>
          <w:rFonts w:ascii="Courier New" w:hAnsi="Courier New" w:cs="Courier New"/>
        </w:rPr>
        <w:t>r</w:t>
      </w:r>
      <w:r>
        <w:rPr>
          <w:rFonts w:ascii="Courier New" w:hAnsi="Courier New" w:cs="Courier New"/>
        </w:rPr>
        <w:t xml:space="preserve">sonal de </w:t>
      </w:r>
      <w:smartTag w:uri="urn:schemas-microsoft-com:office:smarttags" w:element="PersonName">
        <w:smartTagPr>
          <w:attr w:name="ProductID" w:val="la Polic￭a Federal"/>
        </w:smartTagPr>
        <w:r>
          <w:rPr>
            <w:rFonts w:ascii="Courier New" w:hAnsi="Courier New" w:cs="Courier New"/>
          </w:rPr>
          <w:t>la Policía Federal</w:t>
        </w:r>
      </w:smartTag>
      <w:r>
        <w:rPr>
          <w:rFonts w:ascii="Courier New" w:hAnsi="Courier New" w:cs="Courier New"/>
        </w:rPr>
        <w:t xml:space="preserve"> Argentina impidió que cont</w:t>
      </w:r>
      <w:r>
        <w:rPr>
          <w:rFonts w:ascii="Courier New" w:hAnsi="Courier New" w:cs="Courier New"/>
        </w:rPr>
        <w:t>i</w:t>
      </w:r>
      <w:r>
        <w:rPr>
          <w:rFonts w:ascii="Courier New" w:hAnsi="Courier New" w:cs="Courier New"/>
        </w:rPr>
        <w:t>núe con su interrogatorio, indicándole a Telleldín que e</w:t>
      </w:r>
      <w:r>
        <w:rPr>
          <w:rFonts w:ascii="Courier New" w:hAnsi="Courier New" w:cs="Courier New"/>
        </w:rPr>
        <w:t>s</w:t>
      </w:r>
      <w:r>
        <w:rPr>
          <w:rFonts w:ascii="Courier New" w:hAnsi="Courier New" w:cs="Courier New"/>
        </w:rPr>
        <w:t xml:space="preserve">taba incomunicado y debía guardar silencio; acto seguido fueron a una oficina de </w:t>
      </w:r>
      <w:smartTag w:uri="urn:schemas-microsoft-com:office:smarttags" w:element="PersonName">
        <w:smartTagPr>
          <w:attr w:name="ProductID" w:val="la Polic￭a Aeron￡utica"/>
        </w:smartTagPr>
        <w:r>
          <w:rPr>
            <w:rFonts w:ascii="Courier New" w:hAnsi="Courier New" w:cs="Courier New"/>
          </w:rPr>
          <w:t>la Policía Aer</w:t>
        </w:r>
        <w:r>
          <w:rPr>
            <w:rFonts w:ascii="Courier New" w:hAnsi="Courier New" w:cs="Courier New"/>
          </w:rPr>
          <w:t>o</w:t>
        </w:r>
        <w:r>
          <w:rPr>
            <w:rFonts w:ascii="Courier New" w:hAnsi="Courier New" w:cs="Courier New"/>
          </w:rPr>
          <w:t>náutica</w:t>
        </w:r>
      </w:smartTag>
      <w:r>
        <w:rPr>
          <w:rFonts w:ascii="Courier New" w:hAnsi="Courier New" w:cs="Courier New"/>
        </w:rPr>
        <w:t xml:space="preserve"> para confeccionar el acta de detención, lamentando que dicho impedimento no le permitiera continuar, por cuanto “tenía para pregunta</w:t>
      </w:r>
      <w:r>
        <w:rPr>
          <w:rFonts w:ascii="Courier New" w:hAnsi="Courier New" w:cs="Courier New"/>
        </w:rPr>
        <w:t>r</w:t>
      </w:r>
      <w:r>
        <w:rPr>
          <w:rFonts w:ascii="Courier New" w:hAnsi="Courier New" w:cs="Courier New"/>
        </w:rPr>
        <w:t>le cincuenta cosas más, pero no tuve tiempo [...] todas las preguntas que yo le quería hacer eran infinitas”.</w:t>
      </w:r>
    </w:p>
    <w:p w:rsidR="00224567" w:rsidRDefault="00224567">
      <w:pPr>
        <w:widowControl w:val="0"/>
      </w:pPr>
      <w:r>
        <w:tab/>
        <w:t>De lo expuesto surge, de manera pate</w:t>
      </w:r>
      <w:r>
        <w:t>n</w:t>
      </w:r>
      <w:r>
        <w:t>te, que los dichos de Telleldín a Hernández no constituy</w:t>
      </w:r>
      <w:r>
        <w:t>e</w:t>
      </w:r>
      <w:r>
        <w:t>ron manifestaciones espontáneas, sino un interrogatorio deliberado, en violación a la normativa procesal vige</w:t>
      </w:r>
      <w:r>
        <w:t>n</w:t>
      </w:r>
      <w:r>
        <w:t>te.</w:t>
      </w:r>
    </w:p>
    <w:p w:rsidR="00224567" w:rsidRDefault="00224567">
      <w:pPr>
        <w:widowControl w:val="0"/>
      </w:pPr>
      <w:r>
        <w:tab/>
        <w:t>No obstante, cabe aclarar que si bien Hernández interrogó indebidamente a Telleldín, sus d</w:t>
      </w:r>
      <w:r>
        <w:t>i</w:t>
      </w:r>
      <w:r>
        <w:t xml:space="preserve">chos serán tomados en cuenta en la medida en que, más allá de la intención de su interrogador y de las conclusiones a las que arribó, benefician al imputado. En efecto, éste desde el primer momento sostuvo que el traspaso de </w:t>
      </w:r>
      <w:smartTag w:uri="urn:schemas-microsoft-com:office:smarttags" w:element="PersonName">
        <w:smartTagPr>
          <w:attr w:name="ProductID" w:val="la Trafic"/>
        </w:smartTagPr>
        <w:r>
          <w:t>la Tr</w:t>
        </w:r>
        <w:r>
          <w:t>a</w:t>
        </w:r>
        <w:r>
          <w:t>fic</w:t>
        </w:r>
      </w:smartTag>
      <w:r>
        <w:t xml:space="preserve"> obedeció a una operación de compraventa, sin que de las manifestaciones traídas a colación por Hernández su</w:t>
      </w:r>
      <w:r>
        <w:t>r</w:t>
      </w:r>
      <w:r>
        <w:t>giera elemento alguno que lo autoi</w:t>
      </w:r>
      <w:r>
        <w:t>n</w:t>
      </w:r>
      <w:r>
        <w:t>crimine.</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Corresponde ahora analizar la situ</w:t>
      </w:r>
      <w:r>
        <w:rPr>
          <w:rFonts w:ascii="Courier New" w:hAnsi="Courier New" w:cs="Courier New"/>
          <w:szCs w:val="24"/>
          <w:lang w:val="es-AR"/>
        </w:rPr>
        <w:t>a</w:t>
      </w:r>
      <w:r>
        <w:rPr>
          <w:rFonts w:ascii="Courier New" w:hAnsi="Courier New" w:cs="Courier New"/>
          <w:szCs w:val="24"/>
          <w:lang w:val="es-AR"/>
        </w:rPr>
        <w:t>ción de quienes recibieron comentarios por parte de T</w:t>
      </w:r>
      <w:r>
        <w:rPr>
          <w:rFonts w:ascii="Courier New" w:hAnsi="Courier New" w:cs="Courier New"/>
          <w:szCs w:val="24"/>
          <w:lang w:val="es-AR"/>
        </w:rPr>
        <w:t>e</w:t>
      </w:r>
      <w:r>
        <w:rPr>
          <w:rFonts w:ascii="Courier New" w:hAnsi="Courier New" w:cs="Courier New"/>
          <w:szCs w:val="24"/>
          <w:lang w:val="es-AR"/>
        </w:rPr>
        <w:t>lleldín previo a que éste fuera vinculado a la causa. En esta categoría se encuentra Gabriela Rosana Schirripa y los coimputados Juan Alberto Bottegal y Ariel Rodolfo N</w:t>
      </w:r>
      <w:r>
        <w:rPr>
          <w:rFonts w:ascii="Courier New" w:hAnsi="Courier New" w:cs="Courier New"/>
          <w:szCs w:val="24"/>
          <w:lang w:val="es-AR"/>
        </w:rPr>
        <w:t>i</w:t>
      </w:r>
      <w:r>
        <w:rPr>
          <w:rFonts w:ascii="Courier New" w:hAnsi="Courier New" w:cs="Courier New"/>
          <w:szCs w:val="24"/>
          <w:lang w:val="es-AR"/>
        </w:rPr>
        <w:t>tzcaner.</w:t>
      </w:r>
    </w:p>
    <w:p w:rsidR="00224567" w:rsidRDefault="00224567">
      <w:pPr>
        <w:widowControl w:val="0"/>
      </w:pPr>
      <w:r>
        <w:tab/>
        <w:t>Con respecto a Nitzcaner, quien afi</w:t>
      </w:r>
      <w:r>
        <w:t>r</w:t>
      </w:r>
      <w:r>
        <w:t>mó haber tenido la clara sensación de que los coment</w:t>
      </w:r>
      <w:r>
        <w:t>a</w:t>
      </w:r>
      <w:r>
        <w:t>rios de Telleldín tenían como finalidad que los recordara, sus e</w:t>
      </w:r>
      <w:r>
        <w:t>x</w:t>
      </w:r>
      <w:r>
        <w:t>presiones habrán de analizarse con cautela, en atención de tratarse de un coimputado con intereses contrapuestos.</w:t>
      </w:r>
    </w:p>
    <w:p w:rsidR="00224567" w:rsidRDefault="00224567">
      <w:pPr>
        <w:widowControl w:val="0"/>
      </w:pPr>
      <w:r>
        <w:tab/>
        <w:t>En ese sentido, no se puede soslayar que Nitzcaner se limitó a relatar una mera apreciación personal y que el supuesto comentario mal puede tildarse de inusual en razón que tuvo lugar al día s</w:t>
      </w:r>
      <w:r>
        <w:t>i</w:t>
      </w:r>
      <w:r>
        <w:t>guiente de que Telleldín se desprendiera de la camioneta, en ocasión en que aquél concurrió a cobrarle una suma que le adeudaba por las reparaciones que la semana anterior había efectu</w:t>
      </w:r>
      <w:r>
        <w:t>a</w:t>
      </w:r>
      <w:r>
        <w:t>do sobre una Trafic; ello sin perjuicio de no haberse acreditado que se tratara del mismo utilit</w:t>
      </w:r>
      <w:r>
        <w:t>a</w:t>
      </w:r>
      <w:r>
        <w:t>rio.</w:t>
      </w:r>
    </w:p>
    <w:p w:rsidR="00224567" w:rsidRDefault="00224567">
      <w:pPr>
        <w:widowControl w:val="0"/>
      </w:pPr>
      <w:r>
        <w:tab/>
        <w:t>Respecto de los comentarios que T</w:t>
      </w:r>
      <w:r>
        <w:t>e</w:t>
      </w:r>
      <w:r>
        <w:t>lleldín les formuló a Schirripa y Bottegal, resulta poco creíble que aquél haya “preparado” testigos que, en pri</w:t>
      </w:r>
      <w:r>
        <w:t>n</w:t>
      </w:r>
      <w:r>
        <w:t>cipio, no podía prever que terminarían involucrados en e</w:t>
      </w:r>
      <w:r>
        <w:t>s</w:t>
      </w:r>
      <w:r>
        <w:t xml:space="preserve">ta investigación, toda vez que resultaban extraños a las maniobras en torno al armado de </w:t>
      </w:r>
      <w:smartTag w:uri="urn:schemas-microsoft-com:office:smarttags" w:element="PersonName">
        <w:smartTagPr>
          <w:attr w:name="ProductID" w:val="la Trafic"/>
        </w:smartTagPr>
        <w:r>
          <w:t>la Trafic</w:t>
        </w:r>
      </w:smartTag>
      <w:r>
        <w:t xml:space="preserve"> o a la operación por la que se desprendió de ella; circunstancia que desd</w:t>
      </w:r>
      <w:r>
        <w:t>i</w:t>
      </w:r>
      <w:r>
        <w:t>buja el alcance que la acusación pretendió dar a la act</w:t>
      </w:r>
      <w:r>
        <w:t>i</w:t>
      </w:r>
      <w:r>
        <w:t>tud de Telleldín.</w:t>
      </w:r>
    </w:p>
    <w:p w:rsidR="00224567" w:rsidRDefault="00224567">
      <w:pPr>
        <w:pStyle w:val="Sangradetextonormal"/>
        <w:widowControl w:val="0"/>
        <w:ind w:firstLine="0"/>
        <w:rPr>
          <w:lang w:val="es-ES"/>
        </w:rPr>
      </w:pPr>
      <w:r>
        <w:rPr>
          <w:lang w:val="es-ES"/>
        </w:rPr>
        <w:tab/>
        <w:t>En cuanto a lo relatado por Mirta Al</w:t>
      </w:r>
      <w:r>
        <w:rPr>
          <w:lang w:val="es-ES"/>
        </w:rPr>
        <w:t>i</w:t>
      </w:r>
      <w:r>
        <w:rPr>
          <w:lang w:val="es-ES"/>
        </w:rPr>
        <w:t>cia Giménez y más allá de tratarse de una testigo de o</w:t>
      </w:r>
      <w:r>
        <w:rPr>
          <w:lang w:val="es-ES"/>
        </w:rPr>
        <w:t>í</w:t>
      </w:r>
      <w:r>
        <w:rPr>
          <w:lang w:val="es-ES"/>
        </w:rPr>
        <w:t>das, el Tribunal considera insuficiente para sostener que el comportamiento atribuido a Telleldín respondió a un i</w:t>
      </w:r>
      <w:r>
        <w:rPr>
          <w:lang w:val="es-ES"/>
        </w:rPr>
        <w:t>n</w:t>
      </w:r>
      <w:r>
        <w:rPr>
          <w:lang w:val="es-ES"/>
        </w:rPr>
        <w:t>tento de preconstituir prueba, la circunstancia de que el nombrado hubiese inquirido a su vecino acerca de si había visto cuando re</w:t>
      </w:r>
      <w:r>
        <w:rPr>
          <w:lang w:val="es-ES"/>
        </w:rPr>
        <w:t>a</w:t>
      </w:r>
      <w:r>
        <w:rPr>
          <w:lang w:val="es-ES"/>
        </w:rPr>
        <w:t>lizó la venta de un vehículo.</w:t>
      </w:r>
    </w:p>
    <w:p w:rsidR="00224567" w:rsidRDefault="00224567">
      <w:pPr>
        <w:pStyle w:val="Ttulo7"/>
        <w:widowControl w:val="0"/>
      </w:pPr>
      <w:r>
        <w:tab/>
      </w:r>
      <w:bookmarkStart w:id="42" w:name="_Toc86676558"/>
      <w:r>
        <w:rPr>
          <w:b/>
          <w:bCs/>
        </w:rPr>
        <w:t>B.3.d.iv.E)</w:t>
      </w:r>
      <w:r>
        <w:t xml:space="preserve"> Boleto de compraventa.</w:t>
      </w:r>
      <w:bookmarkEnd w:id="42"/>
    </w:p>
    <w:p w:rsidR="00224567" w:rsidRDefault="00224567">
      <w:pPr>
        <w:widowControl w:val="0"/>
      </w:pPr>
      <w:r>
        <w:tab/>
      </w:r>
      <w:r>
        <w:rPr>
          <w:b/>
          <w:bCs/>
        </w:rPr>
        <w:t>B.3.d.iv.E.1)</w:t>
      </w:r>
      <w:r>
        <w:t xml:space="preserve"> A efectos de continuar con el análisis de la operación que involucró a </w:t>
      </w:r>
      <w:smartTag w:uri="urn:schemas-microsoft-com:office:smarttags" w:element="PersonName">
        <w:smartTagPr>
          <w:attr w:name="ProductID" w:val="la Trafic"/>
        </w:smartTagPr>
        <w:r>
          <w:t>la Tr</w:t>
        </w:r>
        <w:r>
          <w:t>a</w:t>
        </w:r>
        <w:r>
          <w:t>fic</w:t>
        </w:r>
      </w:smartTag>
      <w:r>
        <w:t>, corresponde adentrarse al estudio del boleto de comprave</w:t>
      </w:r>
      <w:r>
        <w:t>n</w:t>
      </w:r>
      <w:r>
        <w:t>ta obrante a fs. 308 que, conforme la versión brindada por Telle</w:t>
      </w:r>
      <w:r>
        <w:t>l</w:t>
      </w:r>
      <w:r>
        <w:t>dín, documentaría la transacción.</w:t>
      </w:r>
    </w:p>
    <w:p w:rsidR="00224567" w:rsidRDefault="00224567">
      <w:pPr>
        <w:widowControl w:val="0"/>
      </w:pPr>
      <w:r>
        <w:tab/>
        <w:t>En ese sentido, cabe recordar que T</w:t>
      </w:r>
      <w:r>
        <w:t>e</w:t>
      </w:r>
      <w:r>
        <w:t>lleldín reconoció su firma en el documento, como también haberlo completado, asegurando haber presenciado cuando Ramón Martínez lo suscribió.</w:t>
      </w:r>
    </w:p>
    <w:p w:rsidR="00224567" w:rsidRDefault="00224567">
      <w:pPr>
        <w:widowControl w:val="0"/>
      </w:pPr>
      <w:r>
        <w:tab/>
      </w:r>
      <w:r>
        <w:rPr>
          <w:b/>
          <w:bCs/>
        </w:rPr>
        <w:t>B.3.d.iv.E.2)</w:t>
      </w:r>
      <w:r>
        <w:t xml:space="preserve"> Del instrumento citado surge que el 10 de julio de 1994 Carlos Alberto Telle</w:t>
      </w:r>
      <w:r>
        <w:t>l</w:t>
      </w:r>
      <w:r>
        <w:t>dín le vendió a Ramón Martínez, titular del D.N.I. 47.372.118, domiciliado en San José 972 de Capital F</w:t>
      </w:r>
      <w:r>
        <w:t>e</w:t>
      </w:r>
      <w:r>
        <w:t>deral, un furgón R</w:t>
      </w:r>
      <w:r>
        <w:t>e</w:t>
      </w:r>
      <w:r>
        <w:t>nault Trafic, modelo 1990, motor nº 2.631.467, chasis nº T310-003325, patente C 1.498.506, en la suma de $ 11.500.</w:t>
      </w:r>
    </w:p>
    <w:p w:rsidR="00224567" w:rsidRDefault="00224567">
      <w:pPr>
        <w:widowControl w:val="0"/>
      </w:pPr>
      <w:r>
        <w:tab/>
        <w:t>Conforme el peritaje caligráfico de fs. 11.189/11.200, el texto del boleto de compraventa, c</w:t>
      </w:r>
      <w:r>
        <w:t>o</w:t>
      </w:r>
      <w:r>
        <w:t>mo así también la firma, la sigla “DNI” y el número que obran en el lugar del vendedor, corresponden a Carlos A</w:t>
      </w:r>
      <w:r>
        <w:t>l</w:t>
      </w:r>
      <w:r>
        <w:t>berto Telleldín y fueron realizados mediante la interpos</w:t>
      </w:r>
      <w:r>
        <w:t>i</w:t>
      </w:r>
      <w:r>
        <w:t>ción de una hoja de papel carbónico.</w:t>
      </w:r>
    </w:p>
    <w:p w:rsidR="00224567" w:rsidRDefault="00224567">
      <w:pPr>
        <w:widowControl w:val="0"/>
        <w:ind w:firstLine="2835"/>
      </w:pPr>
      <w:r>
        <w:t>En orden a la firma y a la cifra ase</w:t>
      </w:r>
      <w:r>
        <w:t>n</w:t>
      </w:r>
      <w:r>
        <w:t>tadas en el lugar del comprador no se pudo establecer la intervención del nombrado, ni de José Ramón Juan Martínez Rodríguez, Claudio Guillermo Miguel Cotoras, Marcelo F</w:t>
      </w:r>
      <w:r>
        <w:t>a</w:t>
      </w:r>
      <w:r>
        <w:t>bián Jouce, Hugo Antonio Pérez, Ariel Rodolfo Nitzcaner, Claudia Liliana Ávila, Bautista Juan Barbieri, T</w:t>
      </w:r>
      <w:r>
        <w:t>o</w:t>
      </w:r>
      <w:r>
        <w:t>más David Lorenz, Mario Alejandro Lorenz, Carlos Alejandro Martínez, Susana Inés Froener, Ana María Boragni, Miguel Gustavo Jaimes o Eduardo Daniel Telle</w:t>
      </w:r>
      <w:r>
        <w:t>l</w:t>
      </w:r>
      <w:r>
        <w:t>dín. Tampoco se determinó si la firma fue confeccionada por un mismo elemento escritor, ni su antigüedad.</w:t>
      </w:r>
    </w:p>
    <w:p w:rsidR="00224567" w:rsidRDefault="00224567">
      <w:pPr>
        <w:widowControl w:val="0"/>
      </w:pPr>
      <w:r>
        <w:tab/>
        <w:t>En igual sentido, el peritaje caligr</w:t>
      </w:r>
      <w:r>
        <w:t>á</w:t>
      </w:r>
      <w:r>
        <w:t>fico cuyas copias se hallan glosadas a fs. 98.239/98.242 arrojó resultado negativo respecto a la intervención de otros sujetos en la confección de la firma y número del comprador.</w:t>
      </w:r>
    </w:p>
    <w:p w:rsidR="00224567" w:rsidRDefault="00224567">
      <w:pPr>
        <w:widowControl w:val="0"/>
      </w:pPr>
      <w:r>
        <w:tab/>
        <w:t>A fs. 23.346/23.372 obra un peritaje grafológico, ordenado por el juez instructor, donde se analizó, entre otros, el estado de ánimo de Carlos A</w:t>
      </w:r>
      <w:r>
        <w:t>l</w:t>
      </w:r>
      <w:r>
        <w:t>berto Telleldín al llenar el boleto de compraventa. Los grafól</w:t>
      </w:r>
      <w:r>
        <w:t>o</w:t>
      </w:r>
      <w:r>
        <w:t>gos entendieron que tenía su atención fija en lo que re</w:t>
      </w:r>
      <w:r>
        <w:t>a</w:t>
      </w:r>
      <w:r>
        <w:t>lizaba, estaba tenso, pero alerta, fue efectuado con el ritmo natural del autor y la escritura conserv</w:t>
      </w:r>
      <w:r>
        <w:t>a</w:t>
      </w:r>
      <w:r>
        <w:t>ba su nivel de forma habitual, no develando apremios u otra situación que lo descontrolase.</w:t>
      </w:r>
    </w:p>
    <w:p w:rsidR="00224567" w:rsidRDefault="00224567">
      <w:pPr>
        <w:widowControl w:val="0"/>
      </w:pPr>
      <w:r>
        <w:tab/>
        <w:t>Con relación a la firma de Ramón Ma</w:t>
      </w:r>
      <w:r>
        <w:t>r</w:t>
      </w:r>
      <w:r>
        <w:t>tínez, consideraron que no correspondía, ni era habitual en el escribiente, no siendo natural o espontánea, sino artificial o dibujada. Asimismo, hallaron similitudes de personalidad expresadas a través del grafismo entre Edua</w:t>
      </w:r>
      <w:r>
        <w:t>r</w:t>
      </w:r>
      <w:r>
        <w:t>do Daniel Telleldín y el autor de aquella signat</w:t>
      </w:r>
      <w:r>
        <w:t>u</w:t>
      </w:r>
      <w:r>
        <w:t>ra.</w:t>
      </w:r>
    </w:p>
    <w:p w:rsidR="00224567" w:rsidRDefault="00224567">
      <w:pPr>
        <w:widowControl w:val="0"/>
      </w:pPr>
      <w:r>
        <w:tab/>
        <w:t xml:space="preserve">Sin embargo, el peritaje </w:t>
      </w:r>
      <w:r>
        <w:rPr>
          <w:bCs/>
        </w:rPr>
        <w:t>caligráfico de fs. 30.253/30.258 concluyó que no correspondían a la autoría de Eduardo Daniel Telleldín los números obrantes debajo de la firma del comprador, ni se estableció su i</w:t>
      </w:r>
      <w:r>
        <w:rPr>
          <w:bCs/>
        </w:rPr>
        <w:t>n</w:t>
      </w:r>
      <w:r>
        <w:rPr>
          <w:bCs/>
        </w:rPr>
        <w:t>tervención en la confección de esa r</w:t>
      </w:r>
      <w:r>
        <w:rPr>
          <w:bCs/>
        </w:rPr>
        <w:t>ú</w:t>
      </w:r>
      <w:r>
        <w:rPr>
          <w:bCs/>
        </w:rPr>
        <w:t>brica.</w:t>
      </w:r>
    </w:p>
    <w:p w:rsidR="00224567" w:rsidRDefault="00224567">
      <w:pPr>
        <w:widowControl w:val="0"/>
      </w:pPr>
      <w:r>
        <w:tab/>
        <w:t xml:space="preserve">Horacio Antonio Stiuso afirmó que el boleto de compraventa de </w:t>
      </w:r>
      <w:smartTag w:uri="urn:schemas-microsoft-com:office:smarttags" w:element="PersonName">
        <w:smartTagPr>
          <w:attr w:name="ProductID" w:val="la Trafic"/>
        </w:smartTagPr>
        <w:r>
          <w:t>la Trafic</w:t>
        </w:r>
      </w:smartTag>
      <w:r>
        <w:t xml:space="preserve"> estaba fraguado. Su</w:t>
      </w:r>
      <w:r>
        <w:t>s</w:t>
      </w:r>
      <w:r>
        <w:t>tentó su convicción en que se advertía que cuando se e</w:t>
      </w:r>
      <w:r>
        <w:t>s</w:t>
      </w:r>
      <w:r>
        <w:t>cribió el nombre se dudó en colocar “Teccedin” o T</w:t>
      </w:r>
      <w:r>
        <w:t>e</w:t>
      </w:r>
      <w:r>
        <w:t>lleldín y que, además, el número de documento del comprador era inexistente.</w:t>
      </w:r>
    </w:p>
    <w:p w:rsidR="00224567" w:rsidRDefault="00224567">
      <w:pPr>
        <w:widowControl w:val="0"/>
        <w:ind w:firstLine="2835"/>
      </w:pPr>
      <w:r>
        <w:t>Por otra parte, aseveró que el ident</w:t>
      </w:r>
      <w:r>
        <w:t>i</w:t>
      </w:r>
      <w:r>
        <w:t>kit de Ramón Martínez confeccionado por Boragni y Telle</w:t>
      </w:r>
      <w:r>
        <w:t>l</w:t>
      </w:r>
      <w:r>
        <w:t>dín se correspondía con los rasgos de Miguel Jaimes, señ</w:t>
      </w:r>
      <w:r>
        <w:t>a</w:t>
      </w:r>
      <w:r>
        <w:t>lando también que se llegó a José Ramón Martínez, un esp</w:t>
      </w:r>
      <w:r>
        <w:t>a</w:t>
      </w:r>
      <w:r>
        <w:t>ñol que fue socio de Telleldín y que vivía cerca del dom</w:t>
      </w:r>
      <w:r>
        <w:t>i</w:t>
      </w:r>
      <w:r>
        <w:t>cilio consignado; es decir, el nombre inserto en el boleto correspondía a un extranjero, al que el imputado conocía.</w:t>
      </w:r>
    </w:p>
    <w:p w:rsidR="00224567" w:rsidRDefault="00224567">
      <w:pPr>
        <w:widowControl w:val="0"/>
      </w:pPr>
      <w:r>
        <w:tab/>
        <w:t>A su turno, Hugo Antonio Pérez, al prestar declaración indagatoria, señaló que el viernes s</w:t>
      </w:r>
      <w:r>
        <w:t>i</w:t>
      </w:r>
      <w:r>
        <w:t>guiente al atentado Telleldín le solicitó que lo acompañ</w:t>
      </w:r>
      <w:r>
        <w:t>a</w:t>
      </w:r>
      <w:r>
        <w:t>ra a e</w:t>
      </w:r>
      <w:r>
        <w:t>n</w:t>
      </w:r>
      <w:r>
        <w:t xml:space="preserve">tregar la documentación de </w:t>
      </w:r>
      <w:smartTag w:uri="urn:schemas-microsoft-com:office:smarttags" w:element="PersonName">
        <w:smartTagPr>
          <w:attr w:name="ProductID" w:val="la Trafic"/>
        </w:smartTagPr>
        <w:r>
          <w:t>la Trafic</w:t>
        </w:r>
      </w:smartTag>
      <w:r>
        <w:t xml:space="preserve"> o a verificar la existencia del domicilio del adquire</w:t>
      </w:r>
      <w:r>
        <w:t>n</w:t>
      </w:r>
      <w:r>
        <w:t>te, oportunidad en la que observó el boleto de compraventa de la cami</w:t>
      </w:r>
      <w:r>
        <w:t>o</w:t>
      </w:r>
      <w:r>
        <w:t>neta.</w:t>
      </w:r>
    </w:p>
    <w:p w:rsidR="00224567" w:rsidRDefault="00224567">
      <w:pPr>
        <w:widowControl w:val="0"/>
      </w:pPr>
      <w:r>
        <w:tab/>
      </w:r>
      <w:r>
        <w:rPr>
          <w:b/>
          <w:bCs/>
        </w:rPr>
        <w:t>B.3.d.iv.E.3)</w:t>
      </w:r>
      <w:r>
        <w:t xml:space="preserve"> En el instrumento en e</w:t>
      </w:r>
      <w:r>
        <w:t>s</w:t>
      </w:r>
      <w:r>
        <w:t>tudio se observa que, como documento del adquirente, se consignó el nº 47.372.118. La circunstancia de que no obre en la causa un informe puntual acerca del titular de esa matrícula, obedeció, sin duda, a que para ese entonces r</w:t>
      </w:r>
      <w:r>
        <w:t>e</w:t>
      </w:r>
      <w:r>
        <w:t>sultaba evidente que el Registro Nacional de las Pe</w:t>
      </w:r>
      <w:r>
        <w:t>r</w:t>
      </w:r>
      <w:r>
        <w:t>sonas no había asignado esa numeración a ningún individuo; sea porque era una numeración muy a</w:t>
      </w:r>
      <w:r>
        <w:t>l</w:t>
      </w:r>
      <w:r>
        <w:t>ta para ser un nacional o demasiado baja para un e</w:t>
      </w:r>
      <w:r>
        <w:t>x</w:t>
      </w:r>
      <w:r>
        <w:t>tranjero.</w:t>
      </w:r>
    </w:p>
    <w:p w:rsidR="00224567" w:rsidRDefault="00224567">
      <w:pPr>
        <w:widowControl w:val="0"/>
        <w:ind w:firstLine="2835"/>
      </w:pPr>
      <w:r>
        <w:t>Asimismo, surge del boleto que los d</w:t>
      </w:r>
      <w:r>
        <w:t>a</w:t>
      </w:r>
      <w:r>
        <w:t>tos del vehículo se corresponden con los de la camioneta Trafic de “Messin”, con excepción del n</w:t>
      </w:r>
      <w:r>
        <w:t>ú</w:t>
      </w:r>
      <w:r>
        <w:t>mero de motor, que difiere en un dígito. El imputado, en una de sus indagat</w:t>
      </w:r>
      <w:r>
        <w:t>o</w:t>
      </w:r>
      <w:r>
        <w:t>rias, explicó que lo copió del título del automotor y atribuyó la diferencia a un error de impresión del doc</w:t>
      </w:r>
      <w:r>
        <w:t>u</w:t>
      </w:r>
      <w:r>
        <w:t>mento o de él al efectuar la trascripción.</w:t>
      </w:r>
    </w:p>
    <w:p w:rsidR="00224567" w:rsidRDefault="00224567">
      <w:pPr>
        <w:widowControl w:val="0"/>
      </w:pPr>
      <w:r>
        <w:tab/>
        <w:t>Se debe mencionar que el apellido del encartado, contrariamente a lo sostenido en su al</w:t>
      </w:r>
      <w:r>
        <w:t>e</w:t>
      </w:r>
      <w:r>
        <w:t>gato por la querella “Memoria Activa”, figura como Telleldín y no como “Teccedin”.</w:t>
      </w:r>
    </w:p>
    <w:p w:rsidR="00224567" w:rsidRDefault="00224567">
      <w:pPr>
        <w:widowControl w:val="0"/>
      </w:pPr>
      <w:r>
        <w:tab/>
        <w:t>En cuanto al apellido del comprador, por ser muy corriente, no es posible inferir, sin otros elementos que lo respalden, que el imputado lo hubiera i</w:t>
      </w:r>
      <w:r>
        <w:t>n</w:t>
      </w:r>
      <w:r>
        <w:t>sertado con la intención de aludir a una persona de su c</w:t>
      </w:r>
      <w:r>
        <w:t>o</w:t>
      </w:r>
      <w:r>
        <w:t>nocimiento, con idéntico nombre; conclusión a la que ta</w:t>
      </w:r>
      <w:r>
        <w:t>m</w:t>
      </w:r>
      <w:r>
        <w:t>poco se puede arribar por el hecho de que esa persona, en determinado momento, se hubiera d</w:t>
      </w:r>
      <w:r>
        <w:t>o</w:t>
      </w:r>
      <w:r>
        <w:t>miciliado sobre la calle que figura en el boleto. Por lo demás, el instrumento no presenta otras particular</w:t>
      </w:r>
      <w:r>
        <w:t>i</w:t>
      </w:r>
      <w:r>
        <w:t>dades.</w:t>
      </w:r>
    </w:p>
    <w:p w:rsidR="00224567" w:rsidRDefault="00224567">
      <w:pPr>
        <w:widowControl w:val="0"/>
      </w:pPr>
      <w:r>
        <w:tab/>
        <w:t>A esta altura, es menester remarcar que no se comprende la imputación formulada por el Dr. J</w:t>
      </w:r>
      <w:r>
        <w:t>a</w:t>
      </w:r>
      <w:r>
        <w:t>coby, en el sentido de que Telleldín habría intentado acreditar la venta a nombre de un sujeto cuyo apellido r</w:t>
      </w:r>
      <w:r>
        <w:t>e</w:t>
      </w:r>
      <w:r>
        <w:t>sulta coincidente con el obrante en la ficha del estaci</w:t>
      </w:r>
      <w:r>
        <w:t>o</w:t>
      </w:r>
      <w:r>
        <w:t>namiento “Jet Parking”, como si el imputado hubiera t</w:t>
      </w:r>
      <w:r>
        <w:t>e</w:t>
      </w:r>
      <w:r>
        <w:t>nido acceso a dicha información al confeccionar el boleto de compraventa. Al no obrar ninguna constancia en autos que dé cuenta de un vínculo entre el encartado y el episodio que tuvo lugar en esa playa de estacionamiento, aparece totalmente infundado efectuar un repr</w:t>
      </w:r>
      <w:r>
        <w:t>o</w:t>
      </w:r>
      <w:r>
        <w:t>che sobre esa base.</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A la hora de determinar si el boleto de compraventa en cuestión documenta una operación que el imputado habría llevado a cabo el 10 de julio de 1994, el Tribunal se ve imposibilitado de arribar a una co</w:t>
      </w:r>
      <w:r>
        <w:rPr>
          <w:rFonts w:ascii="Courier New" w:hAnsi="Courier New" w:cs="Courier New"/>
          <w:szCs w:val="24"/>
          <w:lang w:val="es-AR"/>
        </w:rPr>
        <w:t>n</w:t>
      </w:r>
      <w:r>
        <w:rPr>
          <w:rFonts w:ascii="Courier New" w:hAnsi="Courier New" w:cs="Courier New"/>
          <w:szCs w:val="24"/>
          <w:lang w:val="es-AR"/>
        </w:rPr>
        <w:t>clusión en ese sentido, por cuanto, como se dijo, la prueba cole</w:t>
      </w:r>
      <w:r>
        <w:rPr>
          <w:rFonts w:ascii="Courier New" w:hAnsi="Courier New" w:cs="Courier New"/>
          <w:szCs w:val="24"/>
          <w:lang w:val="es-AR"/>
        </w:rPr>
        <w:t>c</w:t>
      </w:r>
      <w:r>
        <w:rPr>
          <w:rFonts w:ascii="Courier New" w:hAnsi="Courier New" w:cs="Courier New"/>
          <w:szCs w:val="24"/>
          <w:lang w:val="es-AR"/>
        </w:rPr>
        <w:t>tada en el debate no resultó suficiente para esclarecer las circunstancias que rodearon la transacción realizada ese día, como tampoco para determinar, con certeza, qué camioneta estuvo estacionada frente a República 107.</w:t>
      </w:r>
    </w:p>
    <w:p w:rsidR="00224567" w:rsidRDefault="00224567">
      <w:pPr>
        <w:widowControl w:val="0"/>
      </w:pPr>
      <w:r>
        <w:tab/>
        <w:t>Así, ante la falta de otras proba</w:t>
      </w:r>
      <w:r>
        <w:t>n</w:t>
      </w:r>
      <w:r>
        <w:t>zas y al tratarse el boleto de compraventa de un documento privado sin fecha cierta, no resulta posible establecer concretamente si este instrumento responde a la realidad de lo acontec</w:t>
      </w:r>
      <w:r>
        <w:t>i</w:t>
      </w:r>
      <w:r>
        <w:t>do.</w:t>
      </w:r>
    </w:p>
    <w:p w:rsidR="00224567" w:rsidRDefault="00224567">
      <w:pPr>
        <w:widowControl w:val="0"/>
      </w:pPr>
      <w:r>
        <w:tab/>
        <w:t>En este sentido Erich Döhring señala que las convenciones contractuales pertenecen al grupo de los documentos intencionales, respecto de los cuales no puede afirmarse que reproduzcan siempre la verdad pura (</w:t>
      </w:r>
      <w:r>
        <w:rPr>
          <w:spacing w:val="-2"/>
        </w:rPr>
        <w:t>cónf.</w:t>
      </w:r>
      <w:r>
        <w:t xml:space="preserve"> ob. cit., pág. 281).</w:t>
      </w:r>
    </w:p>
    <w:p w:rsidR="00224567" w:rsidRDefault="00224567">
      <w:pPr>
        <w:widowControl w:val="0"/>
      </w:pPr>
      <w:r>
        <w:tab/>
        <w:t>Ello, sin perjuicio de que tampoco puede afirmarse que el boleto haya sido “armado” por T</w:t>
      </w:r>
      <w:r>
        <w:t>e</w:t>
      </w:r>
      <w:r>
        <w:t>lleldín; postura sólo sustentada en inferencias efe</w:t>
      </w:r>
      <w:r>
        <w:t>c</w:t>
      </w:r>
      <w:r>
        <w:t>tuadas por las partes y en deducciones del testigo Stiuso, cuyo testimonio invadió campos propios de las técnicas perici</w:t>
      </w:r>
      <w:r>
        <w:t>a</w:t>
      </w:r>
      <w:r>
        <w:t>les.</w:t>
      </w:r>
    </w:p>
    <w:p w:rsidR="00224567" w:rsidRDefault="00224567">
      <w:pPr>
        <w:widowControl w:val="0"/>
      </w:pPr>
      <w:r>
        <w:tab/>
        <w:t>Finalmente, no deja de llamar la ate</w:t>
      </w:r>
      <w:r>
        <w:t>n</w:t>
      </w:r>
      <w:r>
        <w:t>ción la contradicción en que incurrió la querella unific</w:t>
      </w:r>
      <w:r>
        <w:t>a</w:t>
      </w:r>
      <w:r>
        <w:t>da D.A.I.A., A.M.I.A. y “Grupo de Familiares”, al abordar este tema, evidenciando la carencia de un discurso único; mientras por un lado señalaron desconocer cuándo fue co</w:t>
      </w:r>
      <w:r>
        <w:t>n</w:t>
      </w:r>
      <w:r>
        <w:t>feccionado el boleto de compraventa, por otro afirmaron que Telleldín lo fabricó el primer miércoles después del atentado.</w:t>
      </w:r>
    </w:p>
    <w:p w:rsidR="00224567" w:rsidRDefault="00224567">
      <w:pPr>
        <w:pStyle w:val="Ttulo6"/>
        <w:keepNext w:val="0"/>
        <w:widowControl w:val="0"/>
        <w:spacing w:line="600" w:lineRule="auto"/>
        <w:rPr>
          <w:rFonts w:cs="Courier New"/>
          <w:b w:val="0"/>
          <w:bCs/>
          <w:u w:val="none"/>
        </w:rPr>
      </w:pPr>
      <w:r>
        <w:rPr>
          <w:rFonts w:cs="Courier New"/>
          <w:u w:val="none"/>
        </w:rPr>
        <w:tab/>
      </w:r>
      <w:bookmarkStart w:id="43" w:name="_Toc86676559"/>
      <w:r>
        <w:rPr>
          <w:rFonts w:cs="Courier New"/>
          <w:u w:val="none"/>
        </w:rPr>
        <w:t xml:space="preserve">B.3.d.v) </w:t>
      </w:r>
      <w:r>
        <w:rPr>
          <w:rFonts w:cs="Courier New"/>
          <w:b w:val="0"/>
          <w:bCs/>
          <w:u w:val="none"/>
        </w:rPr>
        <w:t>Ventas sin formulario “</w:t>
      </w:r>
      <w:smartTag w:uri="urn:schemas-microsoft-com:office:smarttags" w:element="metricconverter">
        <w:smartTagPr>
          <w:attr w:name="ProductID" w:val="08”"/>
        </w:smartTagPr>
        <w:r>
          <w:rPr>
            <w:rFonts w:cs="Courier New"/>
            <w:b w:val="0"/>
            <w:bCs/>
            <w:u w:val="none"/>
          </w:rPr>
          <w:t>08”</w:t>
        </w:r>
      </w:smartTag>
      <w:r>
        <w:rPr>
          <w:rFonts w:cs="Courier New"/>
          <w:b w:val="0"/>
          <w:bCs/>
          <w:u w:val="none"/>
        </w:rPr>
        <w:t>.</w:t>
      </w:r>
      <w:bookmarkEnd w:id="43"/>
    </w:p>
    <w:p w:rsidR="00224567" w:rsidRDefault="00224567">
      <w:pPr>
        <w:widowControl w:val="0"/>
      </w:pPr>
      <w:r>
        <w:tab/>
        <w:t>Por otra parte, también se desvirtúa la consideración efectuada por la querella unificada D.A.I.A., A.M.I.A. y “Grupo de Familiares”, al entender que resultaba ilógico que Telleldín publicara a la venta una  camioneta careciendo  de la documentación  n</w:t>
      </w:r>
      <w:r>
        <w:t>e</w:t>
      </w:r>
      <w:r>
        <w:t>cesaria –formulario “</w:t>
      </w:r>
      <w:smartTag w:uri="urn:schemas-microsoft-com:office:smarttags" w:element="metricconverter">
        <w:smartTagPr>
          <w:attr w:name="ProductID" w:val="08”"/>
        </w:smartTagPr>
        <w:r>
          <w:t>08”</w:t>
        </w:r>
      </w:smartTag>
      <w:r>
        <w:t xml:space="preserve"> y cédula verde- para enajenarla, por cuanto, a su entender, ningún comprador de buena fe ace</w:t>
      </w:r>
      <w:r>
        <w:t>p</w:t>
      </w:r>
      <w:r>
        <w:t>taría un veh</w:t>
      </w:r>
      <w:r>
        <w:t>í</w:t>
      </w:r>
      <w:r>
        <w:t>culo en esas condiciones.</w:t>
      </w:r>
    </w:p>
    <w:p w:rsidR="00224567" w:rsidRDefault="00224567">
      <w:pPr>
        <w:widowControl w:val="0"/>
      </w:pPr>
      <w:r>
        <w:tab/>
        <w:t>La prueba rendida en el debate demo</w:t>
      </w:r>
      <w:r>
        <w:t>s</w:t>
      </w:r>
      <w:r>
        <w:t xml:space="preserve">tró que no era inusual que el imputado ofreciera rodados sin contar con la totalidad de la documentación, por lo que no puede deducirse, como pretendió la acusación, que el caso de </w:t>
      </w:r>
      <w:smartTag w:uri="urn:schemas-microsoft-com:office:smarttags" w:element="PersonName">
        <w:smartTagPr>
          <w:attr w:name="ProductID" w:val="la Trafic"/>
        </w:smartTagPr>
        <w:r>
          <w:t>la Trafic</w:t>
        </w:r>
      </w:smartTag>
      <w:r>
        <w:t xml:space="preserve"> revistiera características esp</w:t>
      </w:r>
      <w:r>
        <w:t>e</w:t>
      </w:r>
      <w:r>
        <w:t>ciales por ser su verdadera intención entregar el vehículo al próximo eslabón de la cadena terrorista, en lugar de p</w:t>
      </w:r>
      <w:r>
        <w:t>o</w:t>
      </w:r>
      <w:r>
        <w:t>nerlo a la venta.</w:t>
      </w:r>
    </w:p>
    <w:p w:rsidR="00224567" w:rsidRDefault="00224567">
      <w:pPr>
        <w:widowControl w:val="0"/>
      </w:pPr>
      <w:r>
        <w:tab/>
        <w:t xml:space="preserve">En este sentido, Luis Fabián Videla relató que meses antes del atentado a </w:t>
      </w:r>
      <w:smartTag w:uri="urn:schemas-microsoft-com:office:smarttags" w:element="PersonName">
        <w:smartTagPr>
          <w:attr w:name="ProductID" w:val="la A.M"/>
        </w:smartTagPr>
        <w:r>
          <w:t>la A.M</w:t>
        </w:r>
      </w:smartTag>
      <w:r>
        <w:t>.I.A. a</w:t>
      </w:r>
      <w:r>
        <w:t>d</w:t>
      </w:r>
      <w:r>
        <w:t>quirió un Renault Fuego a Telleldín, operación por la que entregó un vehículo en parte de pago y dinero en efectivo, acl</w:t>
      </w:r>
      <w:r>
        <w:t>a</w:t>
      </w:r>
      <w:r>
        <w:t>rando que al momento de la compra Telle</w:t>
      </w:r>
      <w:r>
        <w:t>l</w:t>
      </w:r>
      <w:r>
        <w:t>dín no contaba con el formulario “</w:t>
      </w:r>
      <w:smartTag w:uri="urn:schemas-microsoft-com:office:smarttags" w:element="metricconverter">
        <w:smartTagPr>
          <w:attr w:name="ProductID" w:val="08”"/>
        </w:smartTagPr>
        <w:r>
          <w:t>08”</w:t>
        </w:r>
      </w:smartTag>
      <w:r>
        <w:t xml:space="preserve"> del rodado, por lo que posteriormente concurrió a reclamárselo, informándole la esposa que est</w:t>
      </w:r>
      <w:r>
        <w:t>a</w:t>
      </w:r>
      <w:r>
        <w:t>ba detenido. De la fotocopia del boleto de compraventa obrante a fs. 15.179 surge que dicha transacción -Renault Fuego GTX, dominio S 594.870- se concretó el 16 de junio de 1994.</w:t>
      </w:r>
    </w:p>
    <w:p w:rsidR="00224567" w:rsidRDefault="00224567">
      <w:pPr>
        <w:widowControl w:val="0"/>
      </w:pPr>
      <w:r>
        <w:tab/>
        <w:t>La misma particularidad se observa en el caso de Carlos Alberto Casimiro Villar, quien refirió haber entregado una seña a Telleldín por la compra de un Renault 12, haciendo efectivo el saldo contra la verific</w:t>
      </w:r>
      <w:r>
        <w:t>a</w:t>
      </w:r>
      <w:r>
        <w:t>ción del automotor y la entrega de la docume</w:t>
      </w:r>
      <w:r>
        <w:t>n</w:t>
      </w:r>
      <w:r>
        <w:t>tación. A fs. 15.155 obra una fotocopia del boleto de compraventa del Renault 12 TL, dominio B 2.335.520, su</w:t>
      </w:r>
      <w:r>
        <w:t>s</w:t>
      </w:r>
      <w:r>
        <w:t>cripto en junio de 1994.</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Por su parte, Ana María Boragni reco</w:t>
      </w:r>
      <w:r>
        <w:rPr>
          <w:rFonts w:ascii="Courier New" w:hAnsi="Courier New" w:cs="Courier New"/>
          <w:szCs w:val="24"/>
          <w:lang w:val="es-AR"/>
        </w:rPr>
        <w:t>r</w:t>
      </w:r>
      <w:r>
        <w:rPr>
          <w:rFonts w:ascii="Courier New" w:hAnsi="Courier New" w:cs="Courier New"/>
          <w:szCs w:val="24"/>
          <w:lang w:val="es-AR"/>
        </w:rPr>
        <w:t>dó que en otras ocasiones, en las que faltaba la docume</w:t>
      </w:r>
      <w:r>
        <w:rPr>
          <w:rFonts w:ascii="Courier New" w:hAnsi="Courier New" w:cs="Courier New"/>
          <w:szCs w:val="24"/>
          <w:lang w:val="es-AR"/>
        </w:rPr>
        <w:t>n</w:t>
      </w:r>
      <w:r>
        <w:rPr>
          <w:rFonts w:ascii="Courier New" w:hAnsi="Courier New" w:cs="Courier New"/>
          <w:szCs w:val="24"/>
          <w:lang w:val="es-AR"/>
        </w:rPr>
        <w:t>tación, los compradores sólo dejaron una seña hasta tanto se completara la operación.</w:t>
      </w:r>
    </w:p>
    <w:p w:rsidR="00224567" w:rsidRDefault="00224567">
      <w:pPr>
        <w:widowControl w:val="0"/>
      </w:pPr>
      <w:r>
        <w:tab/>
        <w:t>En definitiva, se observa que para la época investigada era frecuente que Telleldín publicara vehículos para la venta sin tener en su poder la tot</w:t>
      </w:r>
      <w:r>
        <w:t>a</w:t>
      </w:r>
      <w:r>
        <w:t>lidad de la documentación, dependiendo de cada compr</w:t>
      </w:r>
      <w:r>
        <w:t>a</w:t>
      </w:r>
      <w:r>
        <w:t>dor aceptar o no las condiciones propuestas por el nombr</w:t>
      </w:r>
      <w:r>
        <w:t>a</w:t>
      </w:r>
      <w:r>
        <w:t>do.</w:t>
      </w:r>
    </w:p>
    <w:p w:rsidR="00224567" w:rsidRDefault="00224567">
      <w:pPr>
        <w:widowControl w:val="0"/>
      </w:pPr>
      <w:r>
        <w:tab/>
        <w:t xml:space="preserve">De ello se colige, entonces, que la publicación de </w:t>
      </w:r>
      <w:smartTag w:uri="urn:schemas-microsoft-com:office:smarttags" w:element="PersonName">
        <w:smartTagPr>
          <w:attr w:name="ProductID" w:val="la Trafic"/>
        </w:smartTagPr>
        <w:r>
          <w:t>la Trafic</w:t>
        </w:r>
      </w:smartTag>
      <w:r>
        <w:t xml:space="preserve"> investigada en autos no revi</w:t>
      </w:r>
      <w:r>
        <w:t>s</w:t>
      </w:r>
      <w:r>
        <w:t>tió ninguna particularidad, ni se apartó de la práctica hab</w:t>
      </w:r>
      <w:r>
        <w:t>i</w:t>
      </w:r>
      <w:r>
        <w:t>tual con que el encartado llevaba a cabo sus lucrativas transacciones.</w:t>
      </w:r>
    </w:p>
    <w:p w:rsidR="00224567" w:rsidRDefault="00224567">
      <w:pPr>
        <w:pStyle w:val="Ttulo6"/>
        <w:keepNext w:val="0"/>
        <w:widowControl w:val="0"/>
        <w:spacing w:line="600" w:lineRule="auto"/>
        <w:rPr>
          <w:rFonts w:cs="Courier New"/>
          <w:b w:val="0"/>
          <w:bCs/>
          <w:u w:val="none"/>
        </w:rPr>
      </w:pPr>
      <w:r>
        <w:rPr>
          <w:rFonts w:cs="Courier New"/>
          <w:u w:val="none"/>
        </w:rPr>
        <w:tab/>
      </w:r>
      <w:bookmarkStart w:id="44" w:name="_Toc86676560"/>
      <w:r>
        <w:rPr>
          <w:rFonts w:cs="Courier New"/>
          <w:u w:val="none"/>
        </w:rPr>
        <w:t xml:space="preserve">B.3.d.vi) </w:t>
      </w:r>
      <w:r>
        <w:rPr>
          <w:rFonts w:cs="Courier New"/>
          <w:b w:val="0"/>
          <w:bCs/>
          <w:u w:val="none"/>
        </w:rPr>
        <w:t>Llamados telefónicos pr</w:t>
      </w:r>
      <w:r>
        <w:rPr>
          <w:rFonts w:cs="Courier New"/>
          <w:b w:val="0"/>
          <w:bCs/>
          <w:u w:val="none"/>
        </w:rPr>
        <w:t>e</w:t>
      </w:r>
      <w:r>
        <w:rPr>
          <w:rFonts w:cs="Courier New"/>
          <w:b w:val="0"/>
          <w:bCs/>
          <w:u w:val="none"/>
        </w:rPr>
        <w:t>vios.</w:t>
      </w:r>
      <w:bookmarkEnd w:id="44"/>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Con relación a los supuestos llam</w:t>
      </w:r>
      <w:r>
        <w:rPr>
          <w:rFonts w:ascii="Courier New" w:hAnsi="Courier New" w:cs="Courier New"/>
          <w:szCs w:val="24"/>
          <w:lang w:val="es-AR"/>
        </w:rPr>
        <w:t>a</w:t>
      </w:r>
      <w:r>
        <w:rPr>
          <w:rFonts w:ascii="Courier New" w:hAnsi="Courier New" w:cs="Courier New"/>
          <w:szCs w:val="24"/>
          <w:lang w:val="es-AR"/>
        </w:rPr>
        <w:t>dos telefónicos que, con sustento en los dichos ante la in</w:t>
      </w:r>
      <w:r>
        <w:rPr>
          <w:rFonts w:ascii="Courier New" w:hAnsi="Courier New" w:cs="Courier New"/>
          <w:szCs w:val="24"/>
          <w:lang w:val="es-AR"/>
        </w:rPr>
        <w:t>s</w:t>
      </w:r>
      <w:r>
        <w:rPr>
          <w:rFonts w:ascii="Courier New" w:hAnsi="Courier New" w:cs="Courier New"/>
          <w:szCs w:val="24"/>
          <w:lang w:val="es-AR"/>
        </w:rPr>
        <w:t>trucción de Jacinto Cayetano Cruz, el letrado de “Memoria Activa” afirmó que se habrían efectuado previo a que T</w:t>
      </w:r>
      <w:r>
        <w:rPr>
          <w:rFonts w:ascii="Courier New" w:hAnsi="Courier New" w:cs="Courier New"/>
          <w:szCs w:val="24"/>
          <w:lang w:val="es-AR"/>
        </w:rPr>
        <w:t>e</w:t>
      </w:r>
      <w:r>
        <w:rPr>
          <w:rFonts w:ascii="Courier New" w:hAnsi="Courier New" w:cs="Courier New"/>
          <w:szCs w:val="24"/>
          <w:lang w:val="es-AR"/>
        </w:rPr>
        <w:t xml:space="preserve">lleldín publicara </w:t>
      </w:r>
      <w:smartTag w:uri="urn:schemas-microsoft-com:office:smarttags" w:element="PersonName">
        <w:smartTagPr>
          <w:attr w:name="ProductID" w:val="la Trafic"/>
        </w:smartTagPr>
        <w:r>
          <w:rPr>
            <w:rFonts w:ascii="Courier New" w:hAnsi="Courier New" w:cs="Courier New"/>
            <w:szCs w:val="24"/>
            <w:lang w:val="es-AR"/>
          </w:rPr>
          <w:t>la Trafic</w:t>
        </w:r>
      </w:smartTag>
      <w:r>
        <w:rPr>
          <w:rFonts w:ascii="Courier New" w:hAnsi="Courier New" w:cs="Courier New"/>
          <w:szCs w:val="24"/>
          <w:lang w:val="es-AR"/>
        </w:rPr>
        <w:t xml:space="preserve"> a la venta, cabe señalar que el Tribunal se ve impedido de realizar consideración alg</w:t>
      </w:r>
      <w:r>
        <w:rPr>
          <w:rFonts w:ascii="Courier New" w:hAnsi="Courier New" w:cs="Courier New"/>
          <w:szCs w:val="24"/>
          <w:lang w:val="es-AR"/>
        </w:rPr>
        <w:t>u</w:t>
      </w:r>
      <w:r>
        <w:rPr>
          <w:rFonts w:ascii="Courier New" w:hAnsi="Courier New" w:cs="Courier New"/>
          <w:szCs w:val="24"/>
          <w:lang w:val="es-AR"/>
        </w:rPr>
        <w:t>na al respecto, por cuanto, según lo resuelto en la a</w:t>
      </w:r>
      <w:r>
        <w:rPr>
          <w:rFonts w:ascii="Courier New" w:hAnsi="Courier New" w:cs="Courier New"/>
          <w:szCs w:val="24"/>
          <w:lang w:val="es-AR"/>
        </w:rPr>
        <w:t>u</w:t>
      </w:r>
      <w:r>
        <w:rPr>
          <w:rFonts w:ascii="Courier New" w:hAnsi="Courier New" w:cs="Courier New"/>
          <w:szCs w:val="24"/>
          <w:lang w:val="es-AR"/>
        </w:rPr>
        <w:t>diencia del 29 de diciembre de 2003 (ver acta de debate de fs. 117.717vta./117.718), aquellas manifestaciones del imputado no fueron incorporadas al debate; máxime, cuando ellas pretenden utiliza</w:t>
      </w:r>
      <w:r>
        <w:rPr>
          <w:rFonts w:ascii="Courier New" w:hAnsi="Courier New" w:cs="Courier New"/>
          <w:szCs w:val="24"/>
          <w:lang w:val="es-AR"/>
        </w:rPr>
        <w:t>r</w:t>
      </w:r>
      <w:r>
        <w:rPr>
          <w:rFonts w:ascii="Courier New" w:hAnsi="Courier New" w:cs="Courier New"/>
          <w:szCs w:val="24"/>
          <w:lang w:val="es-AR"/>
        </w:rPr>
        <w:t>se en perjuicio del imputado.</w:t>
      </w:r>
    </w:p>
    <w:p w:rsidR="00224567" w:rsidRDefault="00224567">
      <w:pPr>
        <w:pStyle w:val="Ttulo6"/>
        <w:keepNext w:val="0"/>
        <w:widowControl w:val="0"/>
        <w:spacing w:line="600" w:lineRule="auto"/>
        <w:rPr>
          <w:rFonts w:cs="Courier New"/>
          <w:b w:val="0"/>
          <w:bCs/>
          <w:u w:val="none"/>
        </w:rPr>
      </w:pPr>
      <w:r>
        <w:rPr>
          <w:rFonts w:cs="Courier New"/>
          <w:u w:val="none"/>
        </w:rPr>
        <w:tab/>
      </w:r>
      <w:bookmarkStart w:id="45" w:name="_Toc86676561"/>
      <w:r>
        <w:rPr>
          <w:rFonts w:cs="Courier New"/>
          <w:u w:val="none"/>
        </w:rPr>
        <w:t xml:space="preserve">B.3.d.vii) </w:t>
      </w:r>
      <w:r>
        <w:rPr>
          <w:rFonts w:cs="Courier New"/>
          <w:b w:val="0"/>
          <w:bCs/>
          <w:u w:val="none"/>
        </w:rPr>
        <w:t>Conclusión.</w:t>
      </w:r>
      <w:bookmarkEnd w:id="45"/>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Corresponde ahora realizar el anál</w:t>
      </w:r>
      <w:r>
        <w:rPr>
          <w:rFonts w:ascii="Courier New" w:hAnsi="Courier New" w:cs="Courier New"/>
          <w:szCs w:val="24"/>
          <w:lang w:val="es-AR"/>
        </w:rPr>
        <w:t>i</w:t>
      </w:r>
      <w:r>
        <w:rPr>
          <w:rFonts w:ascii="Courier New" w:hAnsi="Courier New" w:cs="Courier New"/>
          <w:szCs w:val="24"/>
          <w:lang w:val="es-AR"/>
        </w:rPr>
        <w:t>sis global de los temas tratados en este apartado. Para ello no se debe perder de vista que los acusadores intentaron demostrar que Telleldín entregó una camion</w:t>
      </w:r>
      <w:r>
        <w:rPr>
          <w:rFonts w:ascii="Courier New" w:hAnsi="Courier New" w:cs="Courier New"/>
          <w:szCs w:val="24"/>
          <w:lang w:val="es-AR"/>
        </w:rPr>
        <w:t>e</w:t>
      </w:r>
      <w:r>
        <w:rPr>
          <w:rFonts w:ascii="Courier New" w:hAnsi="Courier New" w:cs="Courier New"/>
          <w:szCs w:val="24"/>
          <w:lang w:val="es-AR"/>
        </w:rPr>
        <w:t>ta, a sabiendas de su destino, al eslabón siguiente de la cadena terrori</w:t>
      </w:r>
      <w:r>
        <w:rPr>
          <w:rFonts w:ascii="Courier New" w:hAnsi="Courier New" w:cs="Courier New"/>
          <w:szCs w:val="24"/>
          <w:lang w:val="es-AR"/>
        </w:rPr>
        <w:t>s</w:t>
      </w:r>
      <w:r>
        <w:rPr>
          <w:rFonts w:ascii="Courier New" w:hAnsi="Courier New" w:cs="Courier New"/>
          <w:szCs w:val="24"/>
          <w:lang w:val="es-AR"/>
        </w:rPr>
        <w:t>ta, a la vez que, para ocultar su co</w:t>
      </w:r>
      <w:r>
        <w:rPr>
          <w:rFonts w:ascii="Courier New" w:hAnsi="Courier New" w:cs="Courier New"/>
          <w:szCs w:val="24"/>
          <w:lang w:val="es-AR"/>
        </w:rPr>
        <w:t>n</w:t>
      </w:r>
      <w:r>
        <w:rPr>
          <w:rFonts w:ascii="Courier New" w:hAnsi="Courier New" w:cs="Courier New"/>
          <w:szCs w:val="24"/>
          <w:lang w:val="es-AR"/>
        </w:rPr>
        <w:t>ducta, preconstituyó prueba ace</w:t>
      </w:r>
      <w:r>
        <w:rPr>
          <w:rFonts w:ascii="Courier New" w:hAnsi="Courier New" w:cs="Courier New"/>
          <w:szCs w:val="24"/>
          <w:lang w:val="es-AR"/>
        </w:rPr>
        <w:t>r</w:t>
      </w:r>
      <w:r>
        <w:rPr>
          <w:rFonts w:ascii="Courier New" w:hAnsi="Courier New" w:cs="Courier New"/>
          <w:szCs w:val="24"/>
          <w:lang w:val="es-AR"/>
        </w:rPr>
        <w:t>ca de la supuesta venta del utilitario.</w:t>
      </w:r>
    </w:p>
    <w:p w:rsidR="00224567" w:rsidRDefault="00224567">
      <w:pPr>
        <w:widowControl w:val="0"/>
      </w:pPr>
      <w:r>
        <w:tab/>
        <w:t>El hecho de que las probanzas reun</w:t>
      </w:r>
      <w:r>
        <w:t>i</w:t>
      </w:r>
      <w:r>
        <w:t>das no hayan permitido esclarecer las circunstancias que r</w:t>
      </w:r>
      <w:r>
        <w:t>o</w:t>
      </w:r>
      <w:r>
        <w:t>dearon la transacción que se llevó a cabo el 10 de julio de 1994, ni qué camioneta fue objeto de ella, determina que los acusadores partan de una base fáctica incie</w:t>
      </w:r>
      <w:r>
        <w:t>r</w:t>
      </w:r>
      <w:r>
        <w:t>ta.</w:t>
      </w:r>
    </w:p>
    <w:p w:rsidR="00224567" w:rsidRDefault="00224567">
      <w:pPr>
        <w:widowControl w:val="0"/>
      </w:pPr>
      <w:r>
        <w:tab/>
        <w:t>La preconstitución de prueba por pa</w:t>
      </w:r>
      <w:r>
        <w:t>r</w:t>
      </w:r>
      <w:r>
        <w:t>te de Telleldín, a los fines de asegurar su impunidad, co</w:t>
      </w:r>
      <w:r>
        <w:t>n</w:t>
      </w:r>
      <w:r>
        <w:t>sistió, para los acusadores, en una serie de actividades que, interpretadas en su conjunto, llevaron a aquellos a sostener su participación necesaria en el ate</w:t>
      </w:r>
      <w:r>
        <w:t>n</w:t>
      </w:r>
      <w:r>
        <w:t>tado.</w:t>
      </w:r>
    </w:p>
    <w:p w:rsidR="00224567" w:rsidRDefault="00224567">
      <w:pPr>
        <w:widowControl w:val="0"/>
      </w:pPr>
      <w:r>
        <w:tab/>
        <w:t>Señalaron que para ese cometido T</w:t>
      </w:r>
      <w:r>
        <w:t>e</w:t>
      </w:r>
      <w:r>
        <w:t>lleldín publicó, el fin de semana del 9 y 10 de julio de 1994, un aviso de venta en un diario, inventó un b</w:t>
      </w:r>
      <w:r>
        <w:t>o</w:t>
      </w:r>
      <w:r>
        <w:t>leto de compraventa para continuar con la simulación, insertando datos falsos y preparó la versión mentirosa de la venta para que sus allegados la recordasen a la hora en que fu</w:t>
      </w:r>
      <w:r>
        <w:t>e</w:t>
      </w:r>
      <w:r>
        <w:t>ran interrogados por los investigadores; cerraron su co</w:t>
      </w:r>
      <w:r>
        <w:t>n</w:t>
      </w:r>
      <w:r>
        <w:t>clusión aseverando que no tenía sentido publicar la cami</w:t>
      </w:r>
      <w:r>
        <w:t>o</w:t>
      </w:r>
      <w:r>
        <w:t>neta a la venta sin la totalidad de la documentación, puesto que ningún comprador de buena fe se la adquiriría en esas condiciones.</w:t>
      </w:r>
    </w:p>
    <w:p w:rsidR="00224567" w:rsidRDefault="00224567">
      <w:pPr>
        <w:widowControl w:val="0"/>
      </w:pPr>
      <w:r>
        <w:tab/>
        <w:t>En primer término, el Tribunal entie</w:t>
      </w:r>
      <w:r>
        <w:t>n</w:t>
      </w:r>
      <w:r>
        <w:t>de que, acreditada como está la publicación en el diario “Clarín” (fs. 311), resulta necio, forzado y antojadizo sostener, como única interpretación posible, que ella tuvo por finalidad simular una venta; mas aún cuando no obran en autos otras probanzas que refuercen esa hipótesis ac</w:t>
      </w:r>
      <w:r>
        <w:t>u</w:t>
      </w:r>
      <w:r>
        <w:t>sadora o desvirtúen la intención de venta alegada por el imputado. Por el contrario, el aviso no presenta partic</w:t>
      </w:r>
      <w:r>
        <w:t>u</w:t>
      </w:r>
      <w:r>
        <w:t>laridades ni difiere de otros publicados por Telleldín p</w:t>
      </w:r>
      <w:r>
        <w:t>a</w:t>
      </w:r>
      <w:r>
        <w:t>ra otros vehículos (</w:t>
      </w:r>
      <w:r>
        <w:rPr>
          <w:spacing w:val="-2"/>
        </w:rPr>
        <w:t>cónf.</w:t>
      </w:r>
      <w:r>
        <w:t xml:space="preserve"> fs. 14.167/14.170, 14.173/14.174 y 14.177/14.178).</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En segundo lugar, ya se expuso el e</w:t>
      </w:r>
      <w:r>
        <w:rPr>
          <w:rFonts w:ascii="Courier New" w:hAnsi="Courier New" w:cs="Courier New"/>
          <w:szCs w:val="24"/>
          <w:lang w:val="es-AR"/>
        </w:rPr>
        <w:t>s</w:t>
      </w:r>
      <w:r>
        <w:rPr>
          <w:rFonts w:ascii="Courier New" w:hAnsi="Courier New" w:cs="Courier New"/>
          <w:szCs w:val="24"/>
          <w:lang w:val="es-AR"/>
        </w:rPr>
        <w:t>tado de incertidumbre que se suscitó a partir del an</w:t>
      </w:r>
      <w:r>
        <w:rPr>
          <w:rFonts w:ascii="Courier New" w:hAnsi="Courier New" w:cs="Courier New"/>
          <w:szCs w:val="24"/>
          <w:lang w:val="es-AR"/>
        </w:rPr>
        <w:t>á</w:t>
      </w:r>
      <w:r>
        <w:rPr>
          <w:rFonts w:ascii="Courier New" w:hAnsi="Courier New" w:cs="Courier New"/>
          <w:szCs w:val="24"/>
          <w:lang w:val="es-AR"/>
        </w:rPr>
        <w:t>lisis del boleto de compraventa cuestionado. De ello se co</w:t>
      </w:r>
      <w:r>
        <w:rPr>
          <w:rFonts w:ascii="Courier New" w:hAnsi="Courier New" w:cs="Courier New"/>
          <w:szCs w:val="24"/>
          <w:lang w:val="es-AR"/>
        </w:rPr>
        <w:t>n</w:t>
      </w:r>
      <w:r>
        <w:rPr>
          <w:rFonts w:ascii="Courier New" w:hAnsi="Courier New" w:cs="Courier New"/>
          <w:szCs w:val="24"/>
          <w:lang w:val="es-AR"/>
        </w:rPr>
        <w:t>cluyó que no se pudo determinar si acreditaba la operación de la que daba cuenta, si respondía a la realidad o si fue arm</w:t>
      </w:r>
      <w:r>
        <w:rPr>
          <w:rFonts w:ascii="Courier New" w:hAnsi="Courier New" w:cs="Courier New"/>
          <w:szCs w:val="24"/>
          <w:lang w:val="es-AR"/>
        </w:rPr>
        <w:t>a</w:t>
      </w:r>
      <w:r>
        <w:rPr>
          <w:rFonts w:ascii="Courier New" w:hAnsi="Courier New" w:cs="Courier New"/>
          <w:szCs w:val="24"/>
          <w:lang w:val="es-AR"/>
        </w:rPr>
        <w:t>do.</w:t>
      </w:r>
    </w:p>
    <w:p w:rsidR="00224567" w:rsidRDefault="00224567">
      <w:pPr>
        <w:pStyle w:val="Textoindependiente2"/>
        <w:widowControl w:val="0"/>
        <w:ind w:firstLine="2835"/>
        <w:rPr>
          <w:rFonts w:ascii="Courier New" w:hAnsi="Courier New" w:cs="Courier New"/>
          <w:szCs w:val="24"/>
          <w:lang w:val="es-AR"/>
        </w:rPr>
      </w:pPr>
      <w:r>
        <w:rPr>
          <w:rFonts w:ascii="Courier New" w:hAnsi="Courier New" w:cs="Courier New"/>
          <w:szCs w:val="24"/>
          <w:lang w:val="es-AR"/>
        </w:rPr>
        <w:t>Tal carencia de elementos probat</w:t>
      </w:r>
      <w:r>
        <w:rPr>
          <w:rFonts w:ascii="Courier New" w:hAnsi="Courier New" w:cs="Courier New"/>
          <w:szCs w:val="24"/>
          <w:lang w:val="es-AR"/>
        </w:rPr>
        <w:t>o</w:t>
      </w:r>
      <w:r>
        <w:rPr>
          <w:rFonts w:ascii="Courier New" w:hAnsi="Courier New" w:cs="Courier New"/>
          <w:szCs w:val="24"/>
          <w:lang w:val="es-AR"/>
        </w:rPr>
        <w:t>rios obsta a que se lo catalogue como indicio y, por ende, de utilidad para acreditar lo sostenido por los acus</w:t>
      </w:r>
      <w:r>
        <w:rPr>
          <w:rFonts w:ascii="Courier New" w:hAnsi="Courier New" w:cs="Courier New"/>
          <w:szCs w:val="24"/>
          <w:lang w:val="es-AR"/>
        </w:rPr>
        <w:t>a</w:t>
      </w:r>
      <w:r>
        <w:rPr>
          <w:rFonts w:ascii="Courier New" w:hAnsi="Courier New" w:cs="Courier New"/>
          <w:szCs w:val="24"/>
          <w:lang w:val="es-AR"/>
        </w:rPr>
        <w:t>dores.</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En tercer orden, en cuanto a la “pr</w:t>
      </w:r>
      <w:r>
        <w:rPr>
          <w:rFonts w:ascii="Courier New" w:hAnsi="Courier New" w:cs="Courier New"/>
          <w:szCs w:val="24"/>
          <w:lang w:val="es-AR"/>
        </w:rPr>
        <w:t>e</w:t>
      </w:r>
      <w:r>
        <w:rPr>
          <w:rFonts w:ascii="Courier New" w:hAnsi="Courier New" w:cs="Courier New"/>
          <w:szCs w:val="24"/>
          <w:lang w:val="es-AR"/>
        </w:rPr>
        <w:t>paración” de testigos, han de desecharse, como se explic</w:t>
      </w:r>
      <w:r>
        <w:rPr>
          <w:rFonts w:ascii="Courier New" w:hAnsi="Courier New" w:cs="Courier New"/>
          <w:szCs w:val="24"/>
          <w:lang w:val="es-AR"/>
        </w:rPr>
        <w:t>i</w:t>
      </w:r>
      <w:r>
        <w:rPr>
          <w:rFonts w:ascii="Courier New" w:hAnsi="Courier New" w:cs="Courier New"/>
          <w:szCs w:val="24"/>
          <w:lang w:val="es-AR"/>
        </w:rPr>
        <w:t>tó, aquellos que accedieron a comentarios de Telleldín o Boragni con posterioridad a que éstos supieran que la c</w:t>
      </w:r>
      <w:r>
        <w:rPr>
          <w:rFonts w:ascii="Courier New" w:hAnsi="Courier New" w:cs="Courier New"/>
          <w:szCs w:val="24"/>
          <w:lang w:val="es-AR"/>
        </w:rPr>
        <w:t>a</w:t>
      </w:r>
      <w:r>
        <w:rPr>
          <w:rFonts w:ascii="Courier New" w:hAnsi="Courier New" w:cs="Courier New"/>
          <w:szCs w:val="24"/>
          <w:lang w:val="es-AR"/>
        </w:rPr>
        <w:t>mioneta estaba siendo materia de invest</w:t>
      </w:r>
      <w:r>
        <w:rPr>
          <w:rFonts w:ascii="Courier New" w:hAnsi="Courier New" w:cs="Courier New"/>
          <w:szCs w:val="24"/>
          <w:lang w:val="es-AR"/>
        </w:rPr>
        <w:t>i</w:t>
      </w:r>
      <w:r>
        <w:rPr>
          <w:rFonts w:ascii="Courier New" w:hAnsi="Courier New" w:cs="Courier New"/>
          <w:szCs w:val="24"/>
          <w:lang w:val="es-AR"/>
        </w:rPr>
        <w:t>gación.</w:t>
      </w:r>
    </w:p>
    <w:p w:rsidR="00224567" w:rsidRDefault="00224567">
      <w:pPr>
        <w:widowControl w:val="0"/>
        <w:ind w:firstLine="2835"/>
      </w:pPr>
      <w:r>
        <w:t>Con relación a quienes refirieron c</w:t>
      </w:r>
      <w:r>
        <w:t>o</w:t>
      </w:r>
      <w:r>
        <w:t>mentarios producidos con anterioridad a aquel mome</w:t>
      </w:r>
      <w:r>
        <w:t>n</w:t>
      </w:r>
      <w:r>
        <w:t>to, se observa que se trata de unas pocas personas, dos de ellas coimputadas con intereses contrapuestos, razón por lo que sus dichos habrán de valorarse restrictiv</w:t>
      </w:r>
      <w:r>
        <w:t>a</w:t>
      </w:r>
      <w:r>
        <w:t>mente.</w:t>
      </w:r>
    </w:p>
    <w:p w:rsidR="00224567" w:rsidRDefault="00224567">
      <w:pPr>
        <w:widowControl w:val="0"/>
      </w:pPr>
      <w:r>
        <w:tab/>
        <w:t>Por sobre todo, los acusadores par</w:t>
      </w:r>
      <w:r>
        <w:t>e</w:t>
      </w:r>
      <w:r>
        <w:t>cen soslayar un dato importante: Telleldín no podía vislu</w:t>
      </w:r>
      <w:r>
        <w:t>m</w:t>
      </w:r>
      <w:r>
        <w:t>brar, en un principio, que algunos de  los interlocut</w:t>
      </w:r>
      <w:r>
        <w:t>o</w:t>
      </w:r>
      <w:r>
        <w:t>res a los que le habría  comentado la venta  de la  cami</w:t>
      </w:r>
      <w:r>
        <w:t>o</w:t>
      </w:r>
      <w:r>
        <w:t>neta –Schirripa y Bottegal- fueran convocados en un futuro a declarar en la causa judicial que se in</w:t>
      </w:r>
      <w:r>
        <w:t>i</w:t>
      </w:r>
      <w:r>
        <w:t>ciaría a raíz del atentado; situación en la que sólo podría encontrarse N</w:t>
      </w:r>
      <w:r>
        <w:t>i</w:t>
      </w:r>
      <w:r>
        <w:t>tzcaner, dueño de uno de los talleres con los que trabaj</w:t>
      </w:r>
      <w:r>
        <w:t>a</w:t>
      </w:r>
      <w:r>
        <w:t xml:space="preserve">ba Telleldín y en el que, eventualmente, podría haberse armado </w:t>
      </w:r>
      <w:smartTag w:uri="urn:schemas-microsoft-com:office:smarttags" w:element="PersonName">
        <w:smartTagPr>
          <w:attr w:name="ProductID" w:val="la Trafic."/>
        </w:smartTagPr>
        <w:r>
          <w:t>la Trafic.</w:t>
        </w:r>
      </w:smartTag>
    </w:p>
    <w:p w:rsidR="00224567" w:rsidRDefault="00224567">
      <w:pPr>
        <w:pStyle w:val="Textoindependiente2"/>
        <w:widowControl w:val="0"/>
        <w:rPr>
          <w:rFonts w:ascii="Courier New" w:hAnsi="Courier New" w:cs="Courier New"/>
          <w:szCs w:val="24"/>
        </w:rPr>
      </w:pPr>
      <w:r>
        <w:rPr>
          <w:rFonts w:ascii="Courier New" w:hAnsi="Courier New" w:cs="Courier New"/>
          <w:szCs w:val="24"/>
        </w:rPr>
        <w:tab/>
        <w:t>En virtud de las consideraciones ve</w:t>
      </w:r>
      <w:r>
        <w:rPr>
          <w:rFonts w:ascii="Courier New" w:hAnsi="Courier New" w:cs="Courier New"/>
          <w:szCs w:val="24"/>
        </w:rPr>
        <w:t>r</w:t>
      </w:r>
      <w:r>
        <w:rPr>
          <w:rFonts w:ascii="Courier New" w:hAnsi="Courier New" w:cs="Courier New"/>
          <w:szCs w:val="24"/>
        </w:rPr>
        <w:t>tidas, el Tribunal entiende que las menciones efectuadas por Telleldín a terceras personas no constituyen indicios que puedan valorarse en su contra.</w:t>
      </w:r>
    </w:p>
    <w:p w:rsidR="00224567" w:rsidRDefault="00224567">
      <w:pPr>
        <w:pStyle w:val="Textoindependiente2"/>
        <w:widowControl w:val="0"/>
        <w:rPr>
          <w:rFonts w:ascii="Courier New" w:hAnsi="Courier New" w:cs="Courier New"/>
          <w:szCs w:val="24"/>
        </w:rPr>
      </w:pPr>
      <w:r>
        <w:rPr>
          <w:rFonts w:ascii="Courier New" w:hAnsi="Courier New" w:cs="Courier New"/>
          <w:szCs w:val="24"/>
        </w:rPr>
        <w:tab/>
        <w:t>Por último, la oferta de un rodado sin contar con la totalidad de la docume</w:t>
      </w:r>
      <w:r>
        <w:rPr>
          <w:rFonts w:ascii="Courier New" w:hAnsi="Courier New" w:cs="Courier New"/>
          <w:szCs w:val="24"/>
        </w:rPr>
        <w:t>n</w:t>
      </w:r>
      <w:r>
        <w:rPr>
          <w:rFonts w:ascii="Courier New" w:hAnsi="Courier New" w:cs="Courier New"/>
          <w:szCs w:val="24"/>
        </w:rPr>
        <w:t>tación en su poder no constituía, como se dijo, una modalidad ajena a la forma en que Telleldín llevaba a cabo sus particulares n</w:t>
      </w:r>
      <w:r>
        <w:rPr>
          <w:rFonts w:ascii="Courier New" w:hAnsi="Courier New" w:cs="Courier New"/>
          <w:szCs w:val="24"/>
        </w:rPr>
        <w:t>e</w:t>
      </w:r>
      <w:r>
        <w:rPr>
          <w:rFonts w:ascii="Courier New" w:hAnsi="Courier New" w:cs="Courier New"/>
          <w:szCs w:val="24"/>
        </w:rPr>
        <w:t>gocios. Por lo tanto, de haber entregado el nombrado, en esas co</w:t>
      </w:r>
      <w:r>
        <w:rPr>
          <w:rFonts w:ascii="Courier New" w:hAnsi="Courier New" w:cs="Courier New"/>
          <w:szCs w:val="24"/>
        </w:rPr>
        <w:t>n</w:t>
      </w:r>
      <w:r>
        <w:rPr>
          <w:rFonts w:ascii="Courier New" w:hAnsi="Courier New" w:cs="Courier New"/>
          <w:szCs w:val="24"/>
        </w:rPr>
        <w:t>diciones, una camioneta Renault Trafic armada con el motor de “Messin”, ello no autoriza a arribar a la conclusión pretendida por la acus</w:t>
      </w:r>
      <w:r>
        <w:rPr>
          <w:rFonts w:ascii="Courier New" w:hAnsi="Courier New" w:cs="Courier New"/>
          <w:szCs w:val="24"/>
        </w:rPr>
        <w:t>a</w:t>
      </w:r>
      <w:r>
        <w:rPr>
          <w:rFonts w:ascii="Courier New" w:hAnsi="Courier New" w:cs="Courier New"/>
          <w:szCs w:val="24"/>
        </w:rPr>
        <w:t>ción.</w:t>
      </w:r>
    </w:p>
    <w:p w:rsidR="00224567" w:rsidRDefault="00224567">
      <w:pPr>
        <w:pStyle w:val="Ttulo5"/>
        <w:keepNext w:val="0"/>
        <w:widowControl w:val="0"/>
        <w:spacing w:line="600" w:lineRule="auto"/>
        <w:rPr>
          <w:b w:val="0"/>
          <w:bCs w:val="0"/>
        </w:rPr>
      </w:pPr>
      <w:bookmarkStart w:id="46" w:name="_Toc86676562"/>
      <w:r>
        <w:t xml:space="preserve">B.3.e) </w:t>
      </w:r>
      <w:r>
        <w:rPr>
          <w:b w:val="0"/>
          <w:bCs w:val="0"/>
        </w:rPr>
        <w:t>San José 972.</w:t>
      </w:r>
      <w:bookmarkEnd w:id="46"/>
    </w:p>
    <w:p w:rsidR="00224567" w:rsidRDefault="00224567">
      <w:pPr>
        <w:widowControl w:val="0"/>
      </w:pPr>
      <w:r>
        <w:tab/>
      </w:r>
      <w:r>
        <w:rPr>
          <w:b/>
          <w:bCs/>
        </w:rPr>
        <w:t>B.3.e.i)</w:t>
      </w:r>
      <w:r>
        <w:t xml:space="preserve"> A lo largo del trámite de la causa, Carlos Alberto Telleldín sostuvo que, en compañía de Hugo Antonio Pérez, concurrió al domicilio que surgía del boleto de compraventa de </w:t>
      </w:r>
      <w:smartTag w:uri="urn:schemas-microsoft-com:office:smarttags" w:element="PersonName">
        <w:smartTagPr>
          <w:attr w:name="ProductID" w:val="la Trafic"/>
        </w:smartTagPr>
        <w:r>
          <w:t>la Trafic</w:t>
        </w:r>
      </w:smartTag>
      <w:r>
        <w:t xml:space="preserve"> a fin de entregar los formularios “</w:t>
      </w:r>
      <w:smartTag w:uri="urn:schemas-microsoft-com:office:smarttags" w:element="metricconverter">
        <w:smartTagPr>
          <w:attr w:name="ProductID" w:val="08”"/>
        </w:smartTagPr>
        <w:r>
          <w:t>08”</w:t>
        </w:r>
      </w:smartTag>
      <w:r>
        <w:t xml:space="preserve"> pendientes, comprobando que la num</w:t>
      </w:r>
      <w:r>
        <w:t>e</w:t>
      </w:r>
      <w:r>
        <w:t>ración era inexistente.</w:t>
      </w:r>
    </w:p>
    <w:p w:rsidR="00224567" w:rsidRDefault="00224567">
      <w:pPr>
        <w:widowControl w:val="0"/>
      </w:pPr>
      <w:r>
        <w:tab/>
        <w:t>No obstante, de las diversas indagat</w:t>
      </w:r>
      <w:r>
        <w:t>o</w:t>
      </w:r>
      <w:r>
        <w:t>rias prestadas por Telleldín no surge, en forma precisa, en qué fecha concurrió a la calle San José. En su primer declaración indicó que el lunes 11 de j</w:t>
      </w:r>
      <w:r>
        <w:t>u</w:t>
      </w:r>
      <w:r>
        <w:t>lio de 1994, en la sede de “Automotores Alejandro”, le entregaron los form</w:t>
      </w:r>
      <w:r>
        <w:t>u</w:t>
      </w:r>
      <w:r>
        <w:t>larios “</w:t>
      </w:r>
      <w:smartTag w:uri="urn:schemas-microsoft-com:office:smarttags" w:element="metricconverter">
        <w:smartTagPr>
          <w:attr w:name="ProductID" w:val="08”"/>
        </w:smartTagPr>
        <w:r>
          <w:t>08”</w:t>
        </w:r>
      </w:smartTag>
      <w:r>
        <w:t xml:space="preserve"> de </w:t>
      </w:r>
      <w:smartTag w:uri="urn:schemas-microsoft-com:office:smarttags" w:element="PersonName">
        <w:smartTagPr>
          <w:attr w:name="ProductID" w:val="la Trafic"/>
        </w:smartTagPr>
        <w:r>
          <w:t>la Trafic</w:t>
        </w:r>
      </w:smartTag>
      <w:r>
        <w:t xml:space="preserve"> de “Messin”, concurrie</w:t>
      </w:r>
      <w:r>
        <w:t>n</w:t>
      </w:r>
      <w:r>
        <w:t>do, según creyó recordar, en la noche del 14 ó 15 de julio al dom</w:t>
      </w:r>
      <w:r>
        <w:t>i</w:t>
      </w:r>
      <w:r>
        <w:t>cilio aportado por quien se la adquiriera para entregárs</w:t>
      </w:r>
      <w:r>
        <w:t>e</w:t>
      </w:r>
      <w:r>
        <w:t>los. Recordó que conversó con varios vecinos, negando t</w:t>
      </w:r>
      <w:r>
        <w:t>o</w:t>
      </w:r>
      <w:r>
        <w:t>dos ellos conocer a un tal Ramón Martínez, aunque un e</w:t>
      </w:r>
      <w:r>
        <w:t>m</w:t>
      </w:r>
      <w:r>
        <w:t>pleado de un garaje refirió que conocía a una persona del “edificio denunci</w:t>
      </w:r>
      <w:r>
        <w:t>a</w:t>
      </w:r>
      <w:r>
        <w:t>do” (sic) que tenía una Trafic.</w:t>
      </w:r>
    </w:p>
    <w:p w:rsidR="00224567" w:rsidRDefault="00224567">
      <w:pPr>
        <w:widowControl w:val="0"/>
      </w:pPr>
      <w:r>
        <w:tab/>
        <w:t>Sin embargo, en su segunda indagat</w:t>
      </w:r>
      <w:r>
        <w:t>o</w:t>
      </w:r>
      <w:r>
        <w:t>ria no pudo precisar si llevó los formularios al co</w:t>
      </w:r>
      <w:r>
        <w:t>m</w:t>
      </w:r>
      <w:r>
        <w:t xml:space="preserve">prador de </w:t>
      </w:r>
      <w:smartTag w:uri="urn:schemas-microsoft-com:office:smarttags" w:element="PersonName">
        <w:smartTagPr>
          <w:attr w:name="ProductID" w:val="la Trafic"/>
        </w:smartTagPr>
        <w:r>
          <w:t>la Trafic</w:t>
        </w:r>
      </w:smartTag>
      <w:r>
        <w:t xml:space="preserve"> antes del atentado, pero aseguró que lo hizo acompañado por Hugo Pérez; ocasión en la que verificó que el domicilio consignado no existía, aclarando que acostu</w:t>
      </w:r>
      <w:r>
        <w:t>m</w:t>
      </w:r>
      <w:r>
        <w:t>braba a llevar la documentación a los compradores a fin de evitar problemas.</w:t>
      </w:r>
    </w:p>
    <w:p w:rsidR="00224567" w:rsidRDefault="00224567">
      <w:pPr>
        <w:widowControl w:val="0"/>
      </w:pPr>
      <w:r>
        <w:tab/>
        <w:t>A fs. 7022/7037 Telleldín e</w:t>
      </w:r>
      <w:r>
        <w:t>x</w:t>
      </w:r>
      <w:r>
        <w:t>plicó que en “Automotores Alejandro” le entregaron el formulario “</w:t>
      </w:r>
      <w:smartTag w:uri="urn:schemas-microsoft-com:office:smarttags" w:element="metricconverter">
        <w:smartTagPr>
          <w:attr w:name="ProductID" w:val="08”"/>
        </w:smartTagPr>
        <w:r>
          <w:t>08”</w:t>
        </w:r>
      </w:smartTag>
      <w:r>
        <w:t xml:space="preserve"> el 11 de julio, una vez que abonó la suma que adeud</w:t>
      </w:r>
      <w:r>
        <w:t>a</w:t>
      </w:r>
      <w:r>
        <w:t>ba y que, al momento de la venta, Ramón Ma</w:t>
      </w:r>
      <w:r>
        <w:t>r</w:t>
      </w:r>
      <w:r>
        <w:t>tínez quedó en retornar a los quince días, cuando regresara “el Viejo”; añadió que, transcurrido un lapso que no pudo precisar, concurrió hasta el domicilio que aquél le suministró a fin de entregar el trámite “</w:t>
      </w:r>
      <w:smartTag w:uri="urn:schemas-microsoft-com:office:smarttags" w:element="metricconverter">
        <w:smartTagPr>
          <w:attr w:name="ProductID" w:val="08”"/>
        </w:smartTagPr>
        <w:r>
          <w:t>08”</w:t>
        </w:r>
      </w:smartTag>
      <w:r>
        <w:t>, dado que le interesaba que el comprador hiciera la transferencia para terminar la oper</w:t>
      </w:r>
      <w:r>
        <w:t>a</w:t>
      </w:r>
      <w:r>
        <w:t>ción.</w:t>
      </w:r>
    </w:p>
    <w:p w:rsidR="00224567" w:rsidRDefault="00224567">
      <w:pPr>
        <w:widowControl w:val="0"/>
        <w:ind w:firstLine="2835"/>
      </w:pPr>
      <w:r>
        <w:t>Aclaró que no frecuentaba ni tenía amigos en la zona de San José al 800; sólo mencionó a un tal Fabio, domiciliado sobre esa calle, aunque no recordó la numeración, quien en el año 1990 le vendía televis</w:t>
      </w:r>
      <w:r>
        <w:t>o</w:t>
      </w:r>
      <w:r>
        <w:t>res.</w:t>
      </w:r>
    </w:p>
    <w:p w:rsidR="00224567" w:rsidRDefault="00224567">
      <w:pPr>
        <w:widowControl w:val="0"/>
        <w:rPr>
          <w:bCs/>
        </w:rPr>
      </w:pPr>
      <w:r>
        <w:tab/>
        <w:t>En la audiencia de debate, el encart</w:t>
      </w:r>
      <w:r>
        <w:t>a</w:t>
      </w:r>
      <w:r>
        <w:t>do no pudo precisar en qué fecha acudió a la calle San J</w:t>
      </w:r>
      <w:r>
        <w:t>o</w:t>
      </w:r>
      <w:r>
        <w:t>sé para llevar los formularios “</w:t>
      </w:r>
      <w:smartTag w:uri="urn:schemas-microsoft-com:office:smarttags" w:element="metricconverter">
        <w:smartTagPr>
          <w:attr w:name="ProductID" w:val="08”"/>
        </w:smartTagPr>
        <w:r>
          <w:t>08”</w:t>
        </w:r>
      </w:smartTag>
      <w:r>
        <w:t xml:space="preserve"> de la camioneta, no recordando si fue antes o después del 14 de julio, au</w:t>
      </w:r>
      <w:r>
        <w:t>n</w:t>
      </w:r>
      <w:r>
        <w:t xml:space="preserve">que luego refirió que concurrió </w:t>
      </w:r>
      <w:r>
        <w:rPr>
          <w:u w:val="single"/>
        </w:rPr>
        <w:t>a posteriori</w:t>
      </w:r>
      <w:r>
        <w:t xml:space="preserve"> del incidente acaecido en esa fecha. Señaló que una noche le pidió a H</w:t>
      </w:r>
      <w:r>
        <w:t>u</w:t>
      </w:r>
      <w:r>
        <w:t>go Pérez que lo acompañe, oportunidad en la que el ser</w:t>
      </w:r>
      <w:r>
        <w:t>e</w:t>
      </w:r>
      <w:r>
        <w:t xml:space="preserve">no de un garaje de la calle San José le manifestó que </w:t>
      </w:r>
      <w:r>
        <w:rPr>
          <w:bCs/>
        </w:rPr>
        <w:t>había una Trafic, pero que desconocía a un tal Martínez.</w:t>
      </w:r>
    </w:p>
    <w:p w:rsidR="00224567" w:rsidRDefault="00224567">
      <w:pPr>
        <w:widowControl w:val="0"/>
      </w:pPr>
      <w:r>
        <w:rPr>
          <w:bCs/>
        </w:rPr>
        <w:tab/>
        <w:t>Asimismo</w:t>
      </w:r>
      <w:r>
        <w:t>, admitió conocer a tres ind</w:t>
      </w:r>
      <w:r>
        <w:t>i</w:t>
      </w:r>
      <w:r>
        <w:t>viduos apellidados Martínez, uno de los cuales se llamaba José Juan Ramón Martínez Rodríguez, pero le decían J</w:t>
      </w:r>
      <w:r>
        <w:t>o</w:t>
      </w:r>
      <w:r>
        <w:t>sé.</w:t>
      </w:r>
    </w:p>
    <w:p w:rsidR="00224567" w:rsidRDefault="00224567">
      <w:pPr>
        <w:widowControl w:val="0"/>
      </w:pPr>
      <w:r>
        <w:tab/>
        <w:t>Por su parte, Hugo Antonio Pérez man</w:t>
      </w:r>
      <w:r>
        <w:t>i</w:t>
      </w:r>
      <w:r>
        <w:t>festó que el viernes siguiente al atentado Telleldín le solicitó que lo acompañara a entregar una document</w:t>
      </w:r>
      <w:r>
        <w:t>a</w:t>
      </w:r>
      <w:r>
        <w:t xml:space="preserve">ción de </w:t>
      </w:r>
      <w:smartTag w:uri="urn:schemas-microsoft-com:office:smarttags" w:element="PersonName">
        <w:smartTagPr>
          <w:attr w:name="ProductID" w:val="la Trafic"/>
        </w:smartTagPr>
        <w:r>
          <w:t>la Trafic</w:t>
        </w:r>
      </w:smartTag>
      <w:r>
        <w:t xml:space="preserve"> o a verificar la existencia del domicilio del adquire</w:t>
      </w:r>
      <w:r>
        <w:t>n</w:t>
      </w:r>
      <w:r>
        <w:t>te.</w:t>
      </w:r>
    </w:p>
    <w:p w:rsidR="00224567" w:rsidRDefault="00224567">
      <w:pPr>
        <w:widowControl w:val="0"/>
        <w:ind w:firstLine="2835"/>
      </w:pPr>
      <w:r>
        <w:t>Indicó que a las 22 llegaron a la d</w:t>
      </w:r>
      <w:r>
        <w:t>i</w:t>
      </w:r>
      <w:r>
        <w:t>rección consignada en el boleto de compraventa, que c</w:t>
      </w:r>
      <w:r>
        <w:t>o</w:t>
      </w:r>
      <w:r>
        <w:t>rrespondía a un baldío, preguntando al encargado de un g</w:t>
      </w:r>
      <w:r>
        <w:t>a</w:t>
      </w:r>
      <w:r>
        <w:t>raje ubicado en la vereda de enfrente si conocía a la pe</w:t>
      </w:r>
      <w:r>
        <w:t>r</w:t>
      </w:r>
      <w:r>
        <w:t>sona que buscaban, sugiriéndole</w:t>
      </w:r>
      <w:r>
        <w:rPr>
          <w:b/>
          <w:bCs/>
        </w:rPr>
        <w:t xml:space="preserve"> </w:t>
      </w:r>
      <w:r>
        <w:t>que como en las semanas anteriores había visto ingresar al terreno aludido una Trafic blanca, averiguase por esa persona en el edificio contiguo al baldío. Explicó que, tras ello, inqu</w:t>
      </w:r>
      <w:r>
        <w:t>i</w:t>
      </w:r>
      <w:r>
        <w:t>rieron en el edificio sin resultados positivos.</w:t>
      </w:r>
    </w:p>
    <w:p w:rsidR="00224567" w:rsidRDefault="00224567">
      <w:pPr>
        <w:widowControl w:val="0"/>
      </w:pPr>
      <w:r>
        <w:tab/>
      </w:r>
      <w:r>
        <w:rPr>
          <w:b/>
          <w:bCs/>
        </w:rPr>
        <w:t>B.3.e.ii)</w:t>
      </w:r>
      <w:r>
        <w:t xml:space="preserve"> De la copia del boleto de compr</w:t>
      </w:r>
      <w:r>
        <w:t>a</w:t>
      </w:r>
      <w:r>
        <w:t>venta de la camioneta, obrante a fs. 308, surge como domicilio del comprador el de San José 972 de esta ci</w:t>
      </w:r>
      <w:r>
        <w:t>u</w:t>
      </w:r>
      <w:r>
        <w:t>dad.</w:t>
      </w:r>
    </w:p>
    <w:p w:rsidR="00224567" w:rsidRDefault="00224567">
      <w:pPr>
        <w:widowControl w:val="0"/>
      </w:pPr>
      <w:r>
        <w:tab/>
        <w:t xml:space="preserve">Al respecto, el agente de </w:t>
      </w:r>
      <w:smartTag w:uri="urn:schemas-microsoft-com:office:smarttags" w:element="PersonName">
        <w:smartTagPr>
          <w:attr w:name="ProductID" w:val="la S.I"/>
        </w:smartTagPr>
        <w:r>
          <w:t>la S.I</w:t>
        </w:r>
      </w:smartTag>
      <w:r>
        <w:t>.D.E. Néstor Ricardo Hernández relató que mandó un equipo a i</w:t>
      </w:r>
      <w:r>
        <w:t>n</w:t>
      </w:r>
      <w:r>
        <w:t xml:space="preserve">vestigar la dirección que surgía del boleto de venta de </w:t>
      </w:r>
      <w:smartTag w:uri="urn:schemas-microsoft-com:office:smarttags" w:element="PersonName">
        <w:smartTagPr>
          <w:attr w:name="ProductID" w:val="la Trafic"/>
        </w:smartTagPr>
        <w:r>
          <w:t>la Trafic</w:t>
        </w:r>
      </w:smartTag>
      <w:r>
        <w:t>, con resultado negativo, debido a que se tr</w:t>
      </w:r>
      <w:r>
        <w:t>a</w:t>
      </w:r>
      <w:r>
        <w:t>taba de una playa de estacionamiento contigua a un edificio, en el que nadie conocía a Ramón Mart</w:t>
      </w:r>
      <w:r>
        <w:t>í</w:t>
      </w:r>
      <w:r>
        <w:t>nez.</w:t>
      </w:r>
    </w:p>
    <w:p w:rsidR="00224567" w:rsidRDefault="00224567">
      <w:pPr>
        <w:widowControl w:val="0"/>
        <w:rPr>
          <w:rFonts w:eastAsia="Arial Unicode MS"/>
          <w:spacing w:val="-3"/>
          <w:lang w:val="es-ES_tradnl"/>
        </w:rPr>
      </w:pPr>
      <w:r>
        <w:tab/>
        <w:t xml:space="preserve">A su vez, a </w:t>
      </w:r>
      <w:r>
        <w:rPr>
          <w:rFonts w:eastAsia="Arial Unicode MS"/>
          <w:spacing w:val="-3"/>
          <w:lang w:val="es-ES_tradnl"/>
        </w:rPr>
        <w:t>fs. 2238/2243 obra un i</w:t>
      </w:r>
      <w:r>
        <w:rPr>
          <w:rFonts w:eastAsia="Arial Unicode MS"/>
          <w:spacing w:val="-3"/>
          <w:lang w:val="es-ES_tradnl"/>
        </w:rPr>
        <w:t>n</w:t>
      </w:r>
      <w:r>
        <w:rPr>
          <w:rFonts w:eastAsia="Arial Unicode MS"/>
          <w:spacing w:val="-3"/>
          <w:lang w:val="es-ES_tradnl"/>
        </w:rPr>
        <w:t>forme del 8 de agosto de 1994, elaborado por el Departame</w:t>
      </w:r>
      <w:r>
        <w:rPr>
          <w:rFonts w:eastAsia="Arial Unicode MS"/>
          <w:spacing w:val="-3"/>
          <w:lang w:val="es-ES_tradnl"/>
        </w:rPr>
        <w:t>n</w:t>
      </w:r>
      <w:r>
        <w:rPr>
          <w:rFonts w:eastAsia="Arial Unicode MS"/>
          <w:spacing w:val="-3"/>
          <w:lang w:val="es-ES_tradnl"/>
        </w:rPr>
        <w:t xml:space="preserve">to Protección del Orden Constitucional de </w:t>
      </w:r>
      <w:smartTag w:uri="urn:schemas-microsoft-com:office:smarttags" w:element="PersonName">
        <w:smartTagPr>
          <w:attr w:name="ProductID" w:val="la Polic￭a Federal"/>
        </w:smartTagPr>
        <w:r>
          <w:rPr>
            <w:rFonts w:eastAsia="Arial Unicode MS"/>
            <w:spacing w:val="-3"/>
            <w:lang w:val="es-ES_tradnl"/>
          </w:rPr>
          <w:t>la Policía Fed</w:t>
        </w:r>
        <w:r>
          <w:rPr>
            <w:rFonts w:eastAsia="Arial Unicode MS"/>
            <w:spacing w:val="-3"/>
            <w:lang w:val="es-ES_tradnl"/>
          </w:rPr>
          <w:t>e</w:t>
        </w:r>
        <w:r>
          <w:rPr>
            <w:rFonts w:eastAsia="Arial Unicode MS"/>
            <w:spacing w:val="-3"/>
            <w:lang w:val="es-ES_tradnl"/>
          </w:rPr>
          <w:t>ral</w:t>
        </w:r>
      </w:smartTag>
      <w:r>
        <w:rPr>
          <w:rFonts w:eastAsia="Arial Unicode MS"/>
          <w:spacing w:val="-3"/>
          <w:lang w:val="es-ES_tradnl"/>
        </w:rPr>
        <w:t xml:space="preserve"> Argentina, en el que se consigna que se practicaron averiguaciones en torno al domicilio que figuraba en aquel instrumento.</w:t>
      </w:r>
    </w:p>
    <w:p w:rsidR="00224567" w:rsidRDefault="00224567">
      <w:pPr>
        <w:widowControl w:val="0"/>
        <w:ind w:firstLine="2835"/>
        <w:rPr>
          <w:rFonts w:eastAsia="Arial Unicode MS"/>
          <w:spacing w:val="-3"/>
          <w:lang w:val="es-ES_tradnl"/>
        </w:rPr>
      </w:pPr>
      <w:r>
        <w:rPr>
          <w:rFonts w:eastAsia="Arial Unicode MS"/>
          <w:spacing w:val="-3"/>
          <w:lang w:val="es-ES_tradnl"/>
        </w:rPr>
        <w:t>A resultas de ello, se llegó al “G</w:t>
      </w:r>
      <w:r>
        <w:rPr>
          <w:rFonts w:eastAsia="Arial Unicode MS"/>
          <w:spacing w:val="-3"/>
          <w:lang w:val="es-ES_tradnl"/>
        </w:rPr>
        <w:t>a</w:t>
      </w:r>
      <w:r>
        <w:rPr>
          <w:rFonts w:eastAsia="Arial Unicode MS"/>
          <w:spacing w:val="-3"/>
          <w:lang w:val="es-ES_tradnl"/>
        </w:rPr>
        <w:t>raje San José”, sito en San José 947, constatándose, además, que Hugo Loaiza era el único portero o encarg</w:t>
      </w:r>
      <w:r>
        <w:rPr>
          <w:rFonts w:eastAsia="Arial Unicode MS"/>
          <w:spacing w:val="-3"/>
          <w:lang w:val="es-ES_tradnl"/>
        </w:rPr>
        <w:t>a</w:t>
      </w:r>
      <w:r>
        <w:rPr>
          <w:rFonts w:eastAsia="Arial Unicode MS"/>
          <w:spacing w:val="-3"/>
          <w:lang w:val="es-ES_tradnl"/>
        </w:rPr>
        <w:t>do masculino que existía sobre las dos veredas de San José al 900, quien n</w:t>
      </w:r>
      <w:r>
        <w:rPr>
          <w:rFonts w:eastAsia="Arial Unicode MS"/>
          <w:spacing w:val="-3"/>
          <w:lang w:val="es-ES_tradnl"/>
        </w:rPr>
        <w:t>e</w:t>
      </w:r>
      <w:r>
        <w:rPr>
          <w:rFonts w:eastAsia="Arial Unicode MS"/>
          <w:spacing w:val="-3"/>
          <w:lang w:val="es-ES_tradnl"/>
        </w:rPr>
        <w:t>gó haber sido interrogado acerca de un tal Ramón Martínez o de una Trafic; respuesta similar a la que obtuvieron al e</w:t>
      </w:r>
      <w:r>
        <w:rPr>
          <w:rFonts w:eastAsia="Arial Unicode MS"/>
          <w:spacing w:val="-3"/>
          <w:lang w:val="es-ES_tradnl"/>
        </w:rPr>
        <w:t>n</w:t>
      </w:r>
      <w:r>
        <w:rPr>
          <w:rFonts w:eastAsia="Arial Unicode MS"/>
          <w:spacing w:val="-3"/>
          <w:lang w:val="es-ES_tradnl"/>
        </w:rPr>
        <w:t>trevistar a otros vecinos del l</w:t>
      </w:r>
      <w:r>
        <w:rPr>
          <w:rFonts w:eastAsia="Arial Unicode MS"/>
          <w:spacing w:val="-3"/>
          <w:lang w:val="es-ES_tradnl"/>
        </w:rPr>
        <w:t>u</w:t>
      </w:r>
      <w:r>
        <w:rPr>
          <w:rFonts w:eastAsia="Arial Unicode MS"/>
          <w:spacing w:val="-3"/>
          <w:lang w:val="es-ES_tradnl"/>
        </w:rPr>
        <w:t>gar.</w:t>
      </w:r>
    </w:p>
    <w:p w:rsidR="00224567" w:rsidRDefault="00224567">
      <w:pPr>
        <w:widowControl w:val="0"/>
      </w:pPr>
      <w:r>
        <w:tab/>
        <w:t>En el debate prestaron declaración B</w:t>
      </w:r>
      <w:r>
        <w:t>e</w:t>
      </w:r>
      <w:r>
        <w:t>nito Arnaldo Barletta y</w:t>
      </w:r>
      <w:r>
        <w:rPr>
          <w:b/>
          <w:bCs/>
        </w:rPr>
        <w:t xml:space="preserve"> </w:t>
      </w:r>
      <w:r>
        <w:t>Salvador Sixto Vecchio, propiet</w:t>
      </w:r>
      <w:r>
        <w:t>a</w:t>
      </w:r>
      <w:r>
        <w:t>rios de dicho garaje y los empleados Bonifacio Gigena, H</w:t>
      </w:r>
      <w:r>
        <w:t>u</w:t>
      </w:r>
      <w:r>
        <w:t>go Daniel Borsalino y José Á</w:t>
      </w:r>
      <w:r>
        <w:t>n</w:t>
      </w:r>
      <w:r>
        <w:t>gel Chávez.</w:t>
      </w:r>
    </w:p>
    <w:p w:rsidR="00224567" w:rsidRDefault="00224567">
      <w:pPr>
        <w:widowControl w:val="0"/>
      </w:pPr>
      <w:r>
        <w:tab/>
        <w:t>Vecchio dijo que desconocía si en j</w:t>
      </w:r>
      <w:r>
        <w:t>u</w:t>
      </w:r>
      <w:r>
        <w:t>lio de 1994 alguien concurrió a preguntar por una pe</w:t>
      </w:r>
      <w:r>
        <w:t>r</w:t>
      </w:r>
      <w:r>
        <w:t>sona o vehículo, a la vez que aclaró que no atendía persona</w:t>
      </w:r>
      <w:r>
        <w:t>l</w:t>
      </w:r>
      <w:r>
        <w:t>mente el garaje; Barletta negó haber recibido a unas pe</w:t>
      </w:r>
      <w:r>
        <w:t>r</w:t>
      </w:r>
      <w:r>
        <w:t>sonas averiguando por un tal Ramón Martínez o por una R</w:t>
      </w:r>
      <w:r>
        <w:t>e</w:t>
      </w:r>
      <w:r>
        <w:t xml:space="preserve">nault Trafic; Chávez señaló que trabajaba de </w:t>
      </w:r>
      <w:smartTag w:uri="urn:schemas-microsoft-com:office:smarttags" w:element="metricconverter">
        <w:smartTagPr>
          <w:attr w:name="ProductID" w:val="6 a"/>
        </w:smartTagPr>
        <w:r>
          <w:t>6 a</w:t>
        </w:r>
      </w:smartTag>
      <w:r>
        <w:t xml:space="preserve"> 14 y Bo</w:t>
      </w:r>
      <w:r>
        <w:t>r</w:t>
      </w:r>
      <w:r>
        <w:t xml:space="preserve">salino que lo hacía en el turno de </w:t>
      </w:r>
      <w:smartTag w:uri="urn:schemas-microsoft-com:office:smarttags" w:element="metricconverter">
        <w:smartTagPr>
          <w:attr w:name="ProductID" w:val="14 a"/>
        </w:smartTagPr>
        <w:r>
          <w:t>14 a</w:t>
        </w:r>
      </w:smartTag>
      <w:r>
        <w:t xml:space="preserve"> 22. Tampoco estos últimos recordaron que les hubieran planteado tales int</w:t>
      </w:r>
      <w:r>
        <w:t>e</w:t>
      </w:r>
      <w:r>
        <w:t>rrogantes.</w:t>
      </w:r>
    </w:p>
    <w:p w:rsidR="00224567" w:rsidRDefault="00224567">
      <w:pPr>
        <w:widowControl w:val="0"/>
      </w:pPr>
      <w:r>
        <w:tab/>
        <w:t>Bonifacio Gigena indicó que se dese</w:t>
      </w:r>
      <w:r>
        <w:t>m</w:t>
      </w:r>
      <w:r>
        <w:t xml:space="preserve">peñaba como encargado nocturno, de </w:t>
      </w:r>
      <w:smartTag w:uri="urn:schemas-microsoft-com:office:smarttags" w:element="metricconverter">
        <w:smartTagPr>
          <w:attr w:name="ProductID" w:val="22 a"/>
        </w:smartTagPr>
        <w:r>
          <w:t>22 a</w:t>
        </w:r>
      </w:smartTag>
      <w:r>
        <w:t xml:space="preserve"> 6, con excepción de los lunes, que tenía franco. Relató que en una ocasión, a las 21.30 aproximadamente, dos personas, a una de las cuales describió como bajo y regordete, le pregu</w:t>
      </w:r>
      <w:r>
        <w:t>n</w:t>
      </w:r>
      <w:r>
        <w:t>taron si había lugar para llevar una Trafic la noche siguie</w:t>
      </w:r>
      <w:r>
        <w:t>n</w:t>
      </w:r>
      <w:r>
        <w:t>te.</w:t>
      </w:r>
    </w:p>
    <w:p w:rsidR="00224567" w:rsidRDefault="00224567">
      <w:pPr>
        <w:widowControl w:val="0"/>
      </w:pPr>
      <w:r>
        <w:tab/>
        <w:t>Agregó que al otro día, al retornar a su trabajo, advirtió que estaba estacionada una Trafic blanca, suponiendo que se trataba de aquella sobre la que fue consultado. Al retirarse, añadió, seguía allí, desc</w:t>
      </w:r>
      <w:r>
        <w:t>o</w:t>
      </w:r>
      <w:r>
        <w:t>nociendo cuándo la sacaron, no volviéndola a ver. Aclaró que al día siguiente acaeció el atentado y a los cuatro o cinco días se presentó un oficial de pol</w:t>
      </w:r>
      <w:r>
        <w:t>i</w:t>
      </w:r>
      <w:r>
        <w:t>cía.</w:t>
      </w:r>
    </w:p>
    <w:p w:rsidR="00224567" w:rsidRDefault="00224567">
      <w:pPr>
        <w:widowControl w:val="0"/>
      </w:pPr>
      <w:r>
        <w:tab/>
        <w:t>En otro orden, Miriam Raquel Salinas expresó que, según los comentarios de Ana Boragni y Hugo Pérez, Telleldín presentía algo porque, en compañía de é</w:t>
      </w:r>
      <w:r>
        <w:t>s</w:t>
      </w:r>
      <w:r>
        <w:t xml:space="preserve">te, fue a verificar el domicilio que surgía del boleto. Agregó que la primera le dijo que ello sucedió previo al atentado a </w:t>
      </w:r>
      <w:smartTag w:uri="urn:schemas-microsoft-com:office:smarttags" w:element="PersonName">
        <w:smartTagPr>
          <w:attr w:name="ProductID" w:val="la A.M"/>
        </w:smartTagPr>
        <w:r>
          <w:t>la A.M</w:t>
        </w:r>
      </w:smartTag>
      <w:r>
        <w:t>.I.A., descubriendo así Telle</w:t>
      </w:r>
      <w:r>
        <w:t>l</w:t>
      </w:r>
      <w:r>
        <w:t>dín que la dirección no correspondía.</w:t>
      </w:r>
    </w:p>
    <w:p w:rsidR="00224567" w:rsidRDefault="00224567">
      <w:pPr>
        <w:widowControl w:val="0"/>
        <w:ind w:firstLine="2835"/>
      </w:pPr>
      <w:r>
        <w:t>La testigo estimó que el boleto era falso en virtud del nombre que allí figuraba, habiendo concurrido Telleldín con Pérez a buscar una dire</w:t>
      </w:r>
      <w:r>
        <w:t>c</w:t>
      </w:r>
      <w:r>
        <w:t>ción que sabía inexistente. Explicó que con Boragni se reían porque había puesto el nombre de Martínez, un con</w:t>
      </w:r>
      <w:r>
        <w:t>o</w:t>
      </w:r>
      <w:r>
        <w:t>cido del Barrio River, que le compraba televisores. Aclaró, no obstante, que en ningún momento Boragni le comentó que lo relativo a la venta fuera falso.</w:t>
      </w:r>
    </w:p>
    <w:p w:rsidR="00224567" w:rsidRDefault="00224567">
      <w:pPr>
        <w:widowControl w:val="0"/>
      </w:pPr>
      <w:r>
        <w:tab/>
        <w:t>Por su parte, José Ramón Juan Mart</w:t>
      </w:r>
      <w:r>
        <w:t>í</w:t>
      </w:r>
      <w:r>
        <w:t>nez Rodríguez señaló que conocía a Carlos Alberto T</w:t>
      </w:r>
      <w:r>
        <w:t>e</w:t>
      </w:r>
      <w:r>
        <w:t>lleldín en virtud de negocios relacionados con la compraventa de t</w:t>
      </w:r>
      <w:r>
        <w:t>e</w:t>
      </w:r>
      <w:r>
        <w:t>levisores. Aseguró que lo llamaban por su primer nombre y que vivió en la calle San José 1086, piso 1º, departamento “B”, hasta fines de 1993, siendo que en ocasiones Telle</w:t>
      </w:r>
      <w:r>
        <w:t>l</w:t>
      </w:r>
      <w:r>
        <w:t>dín insertaba ese domicilio en las facturas y, en otras, el de sus padres, en Valentín Gómez 3779. Asimismo, prec</w:t>
      </w:r>
      <w:r>
        <w:t>i</w:t>
      </w:r>
      <w:r>
        <w:t>só que su documento era el nº 93.460.646, habiéndolo obt</w:t>
      </w:r>
      <w:r>
        <w:t>e</w:t>
      </w:r>
      <w:r>
        <w:t>nido en 1995.</w:t>
      </w:r>
    </w:p>
    <w:p w:rsidR="00224567" w:rsidRDefault="00224567">
      <w:pPr>
        <w:widowControl w:val="0"/>
      </w:pPr>
      <w:r>
        <w:tab/>
        <w:t>En cuanto a las circunstancias aquí analizadas, Ana María Boragni refirió que Telleldín le c</w:t>
      </w:r>
      <w:r>
        <w:t>o</w:t>
      </w:r>
      <w:r>
        <w:t xml:space="preserve">mentó que el comprador de </w:t>
      </w:r>
      <w:smartTag w:uri="urn:schemas-microsoft-com:office:smarttags" w:element="PersonName">
        <w:smartTagPr>
          <w:attr w:name="ProductID" w:val="la Trafic"/>
        </w:smartTagPr>
        <w:r>
          <w:t>la Trafic</w:t>
        </w:r>
      </w:smartTag>
      <w:r>
        <w:t xml:space="preserve"> no llamaba ni se pr</w:t>
      </w:r>
      <w:r>
        <w:t>e</w:t>
      </w:r>
      <w:r>
        <w:t>sentaba a retirar los formularios “</w:t>
      </w:r>
      <w:smartTag w:uri="urn:schemas-microsoft-com:office:smarttags" w:element="metricconverter">
        <w:smartTagPr>
          <w:attr w:name="ProductID" w:val="08”"/>
        </w:smartTagPr>
        <w:r>
          <w:t>08”</w:t>
        </w:r>
      </w:smartTag>
      <w:r>
        <w:t>, por lo que una n</w:t>
      </w:r>
      <w:r>
        <w:t>o</w:t>
      </w:r>
      <w:r>
        <w:t>che, a eso de las 19 ó 20, en comp</w:t>
      </w:r>
      <w:r>
        <w:t>a</w:t>
      </w:r>
      <w:r>
        <w:t>ñía de Hugo Pérez, fue a la dirección que surgía del boleto de compraventa. Añ</w:t>
      </w:r>
      <w:r>
        <w:t>a</w:t>
      </w:r>
      <w:r>
        <w:t>dió que a su regreso le contó que no halló la dirección ni a la persona, pese a preguntar a varios encargados de ed</w:t>
      </w:r>
      <w:r>
        <w:t>i</w:t>
      </w:r>
      <w:r>
        <w:t>ficio, quedándose preocupado por tener documentación de un vehículo que ya no tenía en su p</w:t>
      </w:r>
      <w:r>
        <w:t>o</w:t>
      </w:r>
      <w:r>
        <w:t>der. No pudo precisar si Telleldín obtuvo los “</w:t>
      </w:r>
      <w:smartTag w:uri="urn:schemas-microsoft-com:office:smarttags" w:element="metricconverter">
        <w:smartTagPr>
          <w:attr w:name="ProductID" w:val="08”"/>
        </w:smartTagPr>
        <w:r>
          <w:t>08”</w:t>
        </w:r>
      </w:smartTag>
      <w:r>
        <w:t xml:space="preserve"> antes o después del incidente con </w:t>
      </w:r>
      <w:smartTag w:uri="urn:schemas-microsoft-com:office:smarttags" w:element="PersonName">
        <w:smartTagPr>
          <w:attr w:name="ProductID" w:val="la Brigada"/>
        </w:smartTagPr>
        <w:r>
          <w:t>la Brigada</w:t>
        </w:r>
      </w:smartTag>
      <w:r>
        <w:t xml:space="preserve"> de Vicente López, pero estimó que habría sido a los dos o tres d</w:t>
      </w:r>
      <w:r>
        <w:t>í</w:t>
      </w:r>
      <w:r>
        <w:t xml:space="preserve">as de la venta de </w:t>
      </w:r>
      <w:smartTag w:uri="urn:schemas-microsoft-com:office:smarttags" w:element="PersonName">
        <w:smartTagPr>
          <w:attr w:name="ProductID" w:val="la Trafic."/>
        </w:smartTagPr>
        <w:r>
          <w:t>la Trafic.</w:t>
        </w:r>
      </w:smartTag>
    </w:p>
    <w:p w:rsidR="00224567" w:rsidRDefault="00224567">
      <w:pPr>
        <w:widowControl w:val="0"/>
        <w:ind w:firstLine="2835"/>
      </w:pPr>
      <w:r>
        <w:t>Por último, Horacio Antonio Stiuso i</w:t>
      </w:r>
      <w:r>
        <w:t>n</w:t>
      </w:r>
      <w:r>
        <w:t>dicó que el 22 de julio Telleldín preparó su coartada, a cuyos efectos fue con Hugo Pérez a la calle San José. R</w:t>
      </w:r>
      <w:r>
        <w:t>e</w:t>
      </w:r>
      <w:r>
        <w:t>lató una serie de circunstancias vinculadas a este epis</w:t>
      </w:r>
      <w:r>
        <w:t>o</w:t>
      </w:r>
      <w:r>
        <w:t>dio que, según dijo, le transmitió Hugo Antonio Pérez, quien también habría referido que Telleldín lo hizo tocar timbre en la dirección que figuraba en el boleto, para h</w:t>
      </w:r>
      <w:r>
        <w:t>a</w:t>
      </w:r>
      <w:r>
        <w:t>cer ver que deseaba entregar la documentación; circunsta</w:t>
      </w:r>
      <w:r>
        <w:t>n</w:t>
      </w:r>
      <w:r>
        <w:t>cia a toda luces inexacta por cuanto se constató que el domicilio no existía.</w:t>
      </w:r>
    </w:p>
    <w:p w:rsidR="00224567" w:rsidRDefault="00224567">
      <w:pPr>
        <w:widowControl w:val="0"/>
      </w:pPr>
      <w:r>
        <w:tab/>
      </w:r>
      <w:r>
        <w:rPr>
          <w:b/>
          <w:bCs/>
        </w:rPr>
        <w:t>B.3.e.iii)</w:t>
      </w:r>
      <w:r>
        <w:t xml:space="preserve"> De lo expuesto surge que si bien Telleldín y Pérez aseguraron haber concurrido a la calle San José, sólo Boragni confirmó esa circunstancia, toda vez que los dichos de Salinas consistieron en conj</w:t>
      </w:r>
      <w:r>
        <w:t>e</w:t>
      </w:r>
      <w:r>
        <w:t>turas personales o se limitaron a reproducir supuestos c</w:t>
      </w:r>
      <w:r>
        <w:t>o</w:t>
      </w:r>
      <w:r>
        <w:t>me</w:t>
      </w:r>
      <w:r>
        <w:t>n</w:t>
      </w:r>
      <w:r>
        <w:t>tarios de aquellos.</w:t>
      </w:r>
    </w:p>
    <w:p w:rsidR="00224567" w:rsidRDefault="00224567">
      <w:pPr>
        <w:widowControl w:val="0"/>
        <w:ind w:firstLine="2835"/>
      </w:pPr>
      <w:r>
        <w:t>En cuanto a las manifestaciones de Stiuso, en parte se tratan de deducciones efectuadas por el testigo y en parte versan sobre comentarios r</w:t>
      </w:r>
      <w:r>
        <w:t>e</w:t>
      </w:r>
      <w:r>
        <w:t>cogidos a partir de charlas informales con quien resu</w:t>
      </w:r>
      <w:r>
        <w:t>l</w:t>
      </w:r>
      <w:r>
        <w:t>tó imputado en la causa, quien al prestar declaración indagatoria, si bien admitió haber concurrido a la calle San José, no se pronunció en los mismos términos de los que dio cuenta el agente de inteligencia.</w:t>
      </w:r>
    </w:p>
    <w:p w:rsidR="00224567" w:rsidRDefault="00224567">
      <w:pPr>
        <w:widowControl w:val="0"/>
      </w:pPr>
      <w:r>
        <w:tab/>
        <w:t>Este cuadro contrasta con el e</w:t>
      </w:r>
      <w:r>
        <w:t>x</w:t>
      </w:r>
      <w:r>
        <w:t>puesto por los dueños y empleados del garaje de San José 947, quienes no confirmaron los sucesos relatados por el imp</w:t>
      </w:r>
      <w:r>
        <w:t>u</w:t>
      </w:r>
      <w:r>
        <w:t>tado. Sólo Gigena recordó un episodio concerniente a una camioneta Trafic, pero de características totalmente dis</w:t>
      </w:r>
      <w:r>
        <w:t>í</w:t>
      </w:r>
      <w:r>
        <w:t>miles al narrado por Telleldín. Tampoco se hallaron otros vecinos del lugar que recordaran la supuesta visita de T</w:t>
      </w:r>
      <w:r>
        <w:t>e</w:t>
      </w:r>
      <w:r>
        <w:t>lleldín y Pérez.</w:t>
      </w:r>
    </w:p>
    <w:p w:rsidR="00224567" w:rsidRDefault="00224567">
      <w:pPr>
        <w:widowControl w:val="0"/>
      </w:pPr>
      <w:r>
        <w:tab/>
        <w:t>En definitiva, si bien la prueba c</w:t>
      </w:r>
      <w:r>
        <w:t>o</w:t>
      </w:r>
      <w:r>
        <w:t>lectada sobre el punto resulta confusa, la eventual conc</w:t>
      </w:r>
      <w:r>
        <w:t>u</w:t>
      </w:r>
      <w:r>
        <w:t>rrencia de Telleldín al lugar tampoco permite c</w:t>
      </w:r>
      <w:r>
        <w:t>o</w:t>
      </w:r>
      <w:r>
        <w:t>legir que su visita haya tenido un propósito particular vinculado con el acaecimiento del atentado, por lo que debe desecharse como indicio cargoso</w:t>
      </w:r>
      <w:r>
        <w:rPr>
          <w:b/>
          <w:bCs/>
        </w:rPr>
        <w:t>.</w:t>
      </w:r>
    </w:p>
    <w:p w:rsidR="00224567" w:rsidRDefault="00224567">
      <w:pPr>
        <w:pStyle w:val="Ttulo5"/>
        <w:keepNext w:val="0"/>
        <w:widowControl w:val="0"/>
        <w:spacing w:line="600" w:lineRule="auto"/>
        <w:rPr>
          <w:b w:val="0"/>
          <w:bCs w:val="0"/>
        </w:rPr>
      </w:pPr>
      <w:bookmarkStart w:id="47" w:name="_Toc86676563"/>
      <w:r>
        <w:t xml:space="preserve">B.3.f) </w:t>
      </w:r>
      <w:r>
        <w:rPr>
          <w:b w:val="0"/>
          <w:bCs w:val="0"/>
        </w:rPr>
        <w:t>Acuerdo previo.</w:t>
      </w:r>
      <w:bookmarkEnd w:id="47"/>
    </w:p>
    <w:p w:rsidR="00224567" w:rsidRDefault="00224567">
      <w:pPr>
        <w:widowControl w:val="0"/>
      </w:pPr>
      <w:r>
        <w:tab/>
        <w:t xml:space="preserve">Los acusadores, con sustento en los dichos de los agentes de </w:t>
      </w:r>
      <w:smartTag w:uri="urn:schemas-microsoft-com:office:smarttags" w:element="PersonName">
        <w:smartTagPr>
          <w:attr w:name="ProductID" w:val="la S.I"/>
        </w:smartTagPr>
        <w:r>
          <w:t>la S.I</w:t>
        </w:r>
      </w:smartTag>
      <w:r>
        <w:t>.D.E. Horacio Antonio Stiuso y Néstor Ricardo Hernández y en las conversaciones resultantes de la escucha del abonado 768-0902, consider</w:t>
      </w:r>
      <w:r>
        <w:t>a</w:t>
      </w:r>
      <w:r>
        <w:t>ron que Carlos Alberto Telleldín y Ana María Boragni preacordaron una versión para el caso de que la investig</w:t>
      </w:r>
      <w:r>
        <w:t>a</w:t>
      </w:r>
      <w:r>
        <w:t>ción d</w:t>
      </w:r>
      <w:r>
        <w:t>i</w:t>
      </w:r>
      <w:r>
        <w:t>era con ellos.</w:t>
      </w:r>
    </w:p>
    <w:p w:rsidR="00224567" w:rsidRDefault="00224567">
      <w:pPr>
        <w:widowControl w:val="0"/>
      </w:pPr>
      <w:r>
        <w:tab/>
        <w:t>Al respecto, se debe poner de r</w:t>
      </w:r>
      <w:r>
        <w:t>e</w:t>
      </w:r>
      <w:r>
        <w:t>salto que más allá de la irregularidad procesal en que inc</w:t>
      </w:r>
      <w:r>
        <w:t>u</w:t>
      </w:r>
      <w:r>
        <w:t>rrió Hernández al interrogar al imputado, el test</w:t>
      </w:r>
      <w:r>
        <w:t>i</w:t>
      </w:r>
      <w:r>
        <w:t>go se limitó a transmitir una impresión personal, relativa a las coi</w:t>
      </w:r>
      <w:r>
        <w:t>n</w:t>
      </w:r>
      <w:r>
        <w:t>cidencias que observó entre los relatos de Boragni y T</w:t>
      </w:r>
      <w:r>
        <w:t>e</w:t>
      </w:r>
      <w:r>
        <w:t xml:space="preserve">lleldín acerca de la venta de </w:t>
      </w:r>
      <w:smartTag w:uri="urn:schemas-microsoft-com:office:smarttags" w:element="PersonName">
        <w:smartTagPr>
          <w:attr w:name="ProductID" w:val="la Trafic."/>
        </w:smartTagPr>
        <w:r>
          <w:t>la Trafic.</w:t>
        </w:r>
      </w:smartTag>
    </w:p>
    <w:p w:rsidR="00224567" w:rsidRDefault="00224567">
      <w:pPr>
        <w:widowControl w:val="0"/>
      </w:pPr>
      <w:r>
        <w:tab/>
        <w:t>Por su parte, Stiuso indicó que del análisis del producido de la intervención telefónica su</w:t>
      </w:r>
      <w:r>
        <w:t>r</w:t>
      </w:r>
      <w:r>
        <w:t>gía que T</w:t>
      </w:r>
      <w:r>
        <w:t>e</w:t>
      </w:r>
      <w:r>
        <w:t>lleldín verificaba con uno de los policías y con Boragni su versión, preguntándole a ésta si había n</w:t>
      </w:r>
      <w:r>
        <w:t>a</w:t>
      </w:r>
      <w:r>
        <w:t>rrado el episodio de los coreanos. Concluyó que ello obedecía a que se trataba de una historia armada y e</w:t>
      </w:r>
      <w:r>
        <w:t>s</w:t>
      </w:r>
      <w:r>
        <w:t>taba haciendo un chequeo f</w:t>
      </w:r>
      <w:r>
        <w:t>i</w:t>
      </w:r>
      <w:r>
        <w:t>nal antes de entregarse.</w:t>
      </w:r>
    </w:p>
    <w:p w:rsidR="00224567" w:rsidRDefault="00224567">
      <w:pPr>
        <w:widowControl w:val="0"/>
      </w:pPr>
      <w:r>
        <w:tab/>
        <w:t>Así, se observa que los dichos de Stiuso versan sobre las conclusiones a las que arribó en vi</w:t>
      </w:r>
      <w:r>
        <w:t>r</w:t>
      </w:r>
      <w:r>
        <w:t>tud del estudio de las escuchas telefónicas del abonado 768-0902, que a continuación se analizarán; no se debe perder de vi</w:t>
      </w:r>
      <w:r>
        <w:t>s</w:t>
      </w:r>
      <w:r>
        <w:t>ta que se desconoce el destino de los casetes que las co</w:t>
      </w:r>
      <w:r>
        <w:t>n</w:t>
      </w:r>
      <w:r>
        <w:t>tenían.</w:t>
      </w:r>
    </w:p>
    <w:p w:rsidR="00224567" w:rsidRDefault="00224567">
      <w:pPr>
        <w:widowControl w:val="0"/>
      </w:pPr>
      <w:r>
        <w:tab/>
        <w:t>Previamente, cabe señalar que se a</w:t>
      </w:r>
      <w:r>
        <w:t>d</w:t>
      </w:r>
      <w:r>
        <w:t>vierte un error en la fecha de la transcripción gl</w:t>
      </w:r>
      <w:r>
        <w:t>o</w:t>
      </w:r>
      <w:r>
        <w:t xml:space="preserve">sada a fs. 5 del legajo de transcripciones de </w:t>
      </w:r>
      <w:smartTag w:uri="urn:schemas-microsoft-com:office:smarttags" w:element="PersonName">
        <w:smartTagPr>
          <w:attr w:name="ProductID" w:val="la S.I"/>
        </w:smartTagPr>
        <w:r>
          <w:t>la S.I</w:t>
        </w:r>
      </w:smartTag>
      <w:r>
        <w:t>.D.E. de la línea referida, que corre por cuerda, toda vez que el 23 de julio de 1994, aún no estaba intervenida. Ad</w:t>
      </w:r>
      <w:r>
        <w:t>e</w:t>
      </w:r>
      <w:r>
        <w:t>más, como surge del contexto de las transcripciones atribu</w:t>
      </w:r>
      <w:r>
        <w:t>i</w:t>
      </w:r>
      <w:r>
        <w:t>das a ese día, se alude a la presencia de pers</w:t>
      </w:r>
      <w:r>
        <w:t>o</w:t>
      </w:r>
      <w:r>
        <w:t xml:space="preserve">nal de </w:t>
      </w:r>
      <w:smartTag w:uri="urn:schemas-microsoft-com:office:smarttags" w:element="PersonName">
        <w:smartTagPr>
          <w:attr w:name="ProductID" w:val="la S.I"/>
        </w:smartTagPr>
        <w:r>
          <w:t>la S.I</w:t>
        </w:r>
      </w:smartTag>
      <w:r>
        <w:t>.D.E. en el domicilio del encausado, lo que suc</w:t>
      </w:r>
      <w:r>
        <w:t>e</w:t>
      </w:r>
      <w:r>
        <w:t>dió recién a partir del día 26 de ese mes.</w:t>
      </w:r>
    </w:p>
    <w:p w:rsidR="00224567" w:rsidRDefault="00224567">
      <w:pPr>
        <w:widowControl w:val="0"/>
      </w:pPr>
      <w:r>
        <w:tab/>
        <w:t>En punto a lo que aquí se investiga, los transcriptores dieron cuenta del siguiente diálogo e</w:t>
      </w:r>
      <w:r>
        <w:t>n</w:t>
      </w:r>
      <w:r>
        <w:t>tre Carlos Alberto Telleldín y Ana María Bora</w:t>
      </w:r>
      <w:r>
        <w:t>g</w:t>
      </w:r>
      <w:r>
        <w:t>ni:</w:t>
      </w:r>
    </w:p>
    <w:p w:rsidR="00224567" w:rsidRDefault="00224567">
      <w:pPr>
        <w:widowControl w:val="0"/>
        <w:numPr>
          <w:ilvl w:val="0"/>
          <w:numId w:val="7"/>
        </w:numPr>
      </w:pPr>
      <w:r>
        <w:t>- “Telleldín: les dijiste que el vecino de la con</w:t>
      </w:r>
      <w:r>
        <w:t>s</w:t>
      </w:r>
      <w:r>
        <w:t>trucción de enfrente nos vio cuando entregábamos la camioneta.</w:t>
      </w:r>
    </w:p>
    <w:p w:rsidR="00224567" w:rsidRDefault="00224567">
      <w:pPr>
        <w:widowControl w:val="0"/>
        <w:numPr>
          <w:ilvl w:val="0"/>
          <w:numId w:val="7"/>
        </w:numPr>
      </w:pPr>
      <w:r>
        <w:t>- Boragni: si, mirá Carlos esta gente la tiene recl</w:t>
      </w:r>
      <w:r>
        <w:t>a</w:t>
      </w:r>
      <w:r>
        <w:t>ra las cosas, saben que no tenemos nada que ver...”.</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Ahora bien, no advierte el Tr</w:t>
      </w:r>
      <w:r>
        <w:t>i</w:t>
      </w:r>
      <w:r>
        <w:t>bunal que del diálogo pueda inferirse unívocamente que la pregunta del encausado a B</w:t>
      </w:r>
      <w:r>
        <w:t>o</w:t>
      </w:r>
      <w:r>
        <w:t>ragni estuviera dirigida a asegurarse el resultado de algo ya pactado, esto es, haber dicho lo ya concertado.</w:t>
      </w:r>
    </w:p>
    <w:p w:rsidR="00224567" w:rsidRDefault="00224567">
      <w:pPr>
        <w:pStyle w:val="Textoindependiente"/>
        <w:tabs>
          <w:tab w:val="clear" w:pos="0"/>
          <w:tab w:val="clear" w:pos="2040"/>
          <w:tab w:val="clear" w:pos="2835"/>
          <w:tab w:val="clear" w:pos="4080"/>
          <w:tab w:val="clear" w:pos="6120"/>
          <w:tab w:val="clear" w:pos="8160"/>
          <w:tab w:val="left" w:pos="2800"/>
        </w:tabs>
        <w:spacing w:line="600" w:lineRule="auto"/>
      </w:pPr>
      <w:r>
        <w:tab/>
        <w:t>Otro tanto sucede con la transcri</w:t>
      </w:r>
      <w:r>
        <w:t>p</w:t>
      </w:r>
      <w:r>
        <w:t>ción del 27 de julio de 1994 entre Telleldín y Mario Bareiro, obrante a fs. 16 de dicho legajo, que reza:</w:t>
      </w:r>
    </w:p>
    <w:p w:rsidR="00224567" w:rsidRDefault="00224567">
      <w:pPr>
        <w:widowControl w:val="0"/>
        <w:numPr>
          <w:ilvl w:val="0"/>
          <w:numId w:val="7"/>
        </w:numPr>
        <w:ind w:left="600" w:hanging="400"/>
      </w:pPr>
      <w:r>
        <w:t>- “Telleldín (desde el aeroparque metropolitano): ...después preguntale a Ana si declaró algo de los c</w:t>
      </w:r>
      <w:r>
        <w:t>o</w:t>
      </w:r>
      <w:r>
        <w:t>reanos</w:t>
      </w:r>
    </w:p>
    <w:p w:rsidR="00224567" w:rsidRDefault="00224567">
      <w:pPr>
        <w:widowControl w:val="0"/>
        <w:numPr>
          <w:ilvl w:val="0"/>
          <w:numId w:val="7"/>
        </w:numPr>
        <w:ind w:left="600" w:hanging="400"/>
      </w:pPr>
      <w:r>
        <w:t>- Bareiro: bueno, eso no lo sé, pero quedate tranqu</w:t>
      </w:r>
      <w:r>
        <w:t>i</w:t>
      </w:r>
      <w:r>
        <w:t>lo, porque lo otro tuyo ya se sabe, pero eso no les inte</w:t>
      </w:r>
      <w:r>
        <w:t>r</w:t>
      </w:r>
      <w:r>
        <w:t>esa, me entendés?</w:t>
      </w:r>
    </w:p>
    <w:p w:rsidR="00224567" w:rsidRDefault="00224567">
      <w:pPr>
        <w:widowControl w:val="0"/>
        <w:numPr>
          <w:ilvl w:val="0"/>
          <w:numId w:val="7"/>
        </w:numPr>
        <w:ind w:left="600" w:hanging="400"/>
      </w:pPr>
      <w:r>
        <w:t>- Telleldín: Bueno, está bien, hasta luego”.</w:t>
      </w:r>
    </w:p>
    <w:p w:rsidR="00224567" w:rsidRDefault="00224567">
      <w:pPr>
        <w:pStyle w:val="Textoindependiente"/>
        <w:tabs>
          <w:tab w:val="clear" w:pos="0"/>
          <w:tab w:val="clear" w:pos="2040"/>
          <w:tab w:val="clear" w:pos="4080"/>
          <w:tab w:val="clear" w:pos="6120"/>
          <w:tab w:val="clear" w:pos="8160"/>
          <w:tab w:val="left" w:pos="2800"/>
          <w:tab w:val="left" w:pos="2835"/>
        </w:tabs>
        <w:spacing w:line="600" w:lineRule="auto"/>
      </w:pPr>
      <w:r>
        <w:tab/>
        <w:t>Sólo una imaginativa lectura podría i</w:t>
      </w:r>
      <w:r>
        <w:t>n</w:t>
      </w:r>
      <w:r>
        <w:t>ferir de esas conversaciones que Telleldín estaba verif</w:t>
      </w:r>
      <w:r>
        <w:t>i</w:t>
      </w:r>
      <w:r>
        <w:t>cando los términos acordados previamente con su pareja acerca de lo que declararían. Sus preguntas no g</w:t>
      </w:r>
      <w:r>
        <w:t>e</w:t>
      </w:r>
      <w:r>
        <w:t>neran esa sospecha, sino que, por el contrario, parecen limitarse a tratar de r</w:t>
      </w:r>
      <w:r>
        <w:t>e</w:t>
      </w:r>
      <w:r>
        <w:t>cordar a sus interlocutores circunstancias que consideraba de interés para la i</w:t>
      </w:r>
      <w:r>
        <w:t>n</w:t>
      </w:r>
      <w:r>
        <w:t>vestigación.</w:t>
      </w:r>
    </w:p>
    <w:p w:rsidR="00224567" w:rsidRDefault="00224567">
      <w:pPr>
        <w:pStyle w:val="Textoindependiente"/>
        <w:tabs>
          <w:tab w:val="clear" w:pos="0"/>
          <w:tab w:val="clear" w:pos="2040"/>
          <w:tab w:val="clear" w:pos="4080"/>
          <w:tab w:val="clear" w:pos="6120"/>
          <w:tab w:val="clear" w:pos="8160"/>
          <w:tab w:val="left" w:pos="2800"/>
          <w:tab w:val="left" w:pos="2835"/>
        </w:tabs>
        <w:spacing w:line="600" w:lineRule="auto"/>
      </w:pPr>
      <w:r>
        <w:tab/>
        <w:t>Así, el Tribunal considera que el acuerdo invocado por los acusadores no surge de la prueba producida en el debate, sino que se desprende de una inte</w:t>
      </w:r>
      <w:r>
        <w:t>r</w:t>
      </w:r>
      <w:r>
        <w:t>pretación forzada que esgrimieron, sin producir ninguna prueba que la respalde; simplemente lo dedujeron a partir de los escuetos diálogos transcriptos, que en modo alguno traslucen un chequeo de versiones entre Telleldín y Bora</w:t>
      </w:r>
      <w:r>
        <w:t>g</w:t>
      </w:r>
      <w:r>
        <w:t>ni.</w:t>
      </w:r>
    </w:p>
    <w:p w:rsidR="00224567" w:rsidRDefault="00224567">
      <w:pPr>
        <w:pStyle w:val="Textoindependiente"/>
        <w:tabs>
          <w:tab w:val="clear" w:pos="0"/>
          <w:tab w:val="clear" w:pos="2040"/>
          <w:tab w:val="clear" w:pos="4080"/>
          <w:tab w:val="clear" w:pos="6120"/>
          <w:tab w:val="clear" w:pos="8160"/>
          <w:tab w:val="left" w:pos="2800"/>
          <w:tab w:val="left" w:pos="2835"/>
        </w:tabs>
        <w:spacing w:line="600" w:lineRule="auto"/>
      </w:pPr>
      <w:r>
        <w:tab/>
        <w:t>Ese hipotético chequeo no constituye un indicio, sino tan sólo una inferencia a partir de la cual se intentó crear un hecho base, para darle un sentido d</w:t>
      </w:r>
      <w:r>
        <w:t>e</w:t>
      </w:r>
      <w:r>
        <w:t>terminado a conversaciones telefónicas que ni siquiera co</w:t>
      </w:r>
      <w:r>
        <w:t>n</w:t>
      </w:r>
      <w:r>
        <w:t>ducían a la conclusión pretendida. Así, las escuchas tel</w:t>
      </w:r>
      <w:r>
        <w:t>e</w:t>
      </w:r>
      <w:r>
        <w:t>fónicas serían el soporte del acuerdo pr</w:t>
      </w:r>
      <w:r>
        <w:t>e</w:t>
      </w:r>
      <w:r>
        <w:t>vio, constituyendo éste el indicio demostrativo de la participación de Telle</w:t>
      </w:r>
      <w:r>
        <w:t>l</w:t>
      </w:r>
      <w:r>
        <w:t>dín en el atent</w:t>
      </w:r>
      <w:r>
        <w:t>a</w:t>
      </w:r>
      <w:r>
        <w:t>do.</w:t>
      </w:r>
    </w:p>
    <w:p w:rsidR="00224567" w:rsidRDefault="00224567">
      <w:pPr>
        <w:pStyle w:val="Textoindependiente"/>
        <w:tabs>
          <w:tab w:val="clear" w:pos="0"/>
          <w:tab w:val="clear" w:pos="2040"/>
          <w:tab w:val="clear" w:pos="4080"/>
          <w:tab w:val="clear" w:pos="6120"/>
          <w:tab w:val="clear" w:pos="8160"/>
          <w:tab w:val="left" w:pos="2800"/>
          <w:tab w:val="left" w:pos="2835"/>
        </w:tabs>
        <w:spacing w:line="600" w:lineRule="auto"/>
      </w:pPr>
      <w:r>
        <w:tab/>
      </w:r>
      <w:r>
        <w:tab/>
        <w:t>Sin embargo, ese argumento se desm</w:t>
      </w:r>
      <w:r>
        <w:t>o</w:t>
      </w:r>
      <w:r>
        <w:t>rona al advertirse que la construcción de los acusadores no pa</w:t>
      </w:r>
      <w:r>
        <w:t>r</w:t>
      </w:r>
      <w:r>
        <w:t>te de un suceso probado, sino de una conjet</w:t>
      </w:r>
      <w:r>
        <w:t>u</w:t>
      </w:r>
      <w:r>
        <w:t>ra -como es el caso del acuerdo previo-, debiéndose r</w:t>
      </w:r>
      <w:r>
        <w:t>e</w:t>
      </w:r>
      <w:r>
        <w:t>cordar que para que un hecho revista el carácter de i</w:t>
      </w:r>
      <w:r>
        <w:t>n</w:t>
      </w:r>
      <w:r>
        <w:t>dicio, como primer medida debe encontrarse acredit</w:t>
      </w:r>
      <w:r>
        <w:t>a</w:t>
      </w:r>
      <w:r>
        <w:t>do.</w:t>
      </w:r>
    </w:p>
    <w:p w:rsidR="00224567" w:rsidRDefault="00224567">
      <w:pPr>
        <w:pStyle w:val="Textoindependiente"/>
        <w:tabs>
          <w:tab w:val="clear" w:pos="0"/>
          <w:tab w:val="clear" w:pos="2040"/>
          <w:tab w:val="clear" w:pos="4080"/>
          <w:tab w:val="clear" w:pos="6120"/>
          <w:tab w:val="clear" w:pos="8160"/>
          <w:tab w:val="left" w:pos="2800"/>
          <w:tab w:val="left" w:pos="2835"/>
        </w:tabs>
        <w:spacing w:line="600" w:lineRule="auto"/>
      </w:pPr>
      <w:r>
        <w:tab/>
      </w:r>
      <w:r>
        <w:tab/>
        <w:t>En virtud de lo expuesto, se desecha la existencia de un acuerdo previo entre Telleldín y Boragni como indicio de culpabilidad del encartado.</w:t>
      </w:r>
    </w:p>
    <w:p w:rsidR="00224567" w:rsidRDefault="00224567">
      <w:pPr>
        <w:pStyle w:val="Ttulo5"/>
        <w:keepNext w:val="0"/>
        <w:widowControl w:val="0"/>
        <w:spacing w:line="600" w:lineRule="auto"/>
        <w:rPr>
          <w:b w:val="0"/>
          <w:bCs w:val="0"/>
        </w:rPr>
      </w:pPr>
      <w:bookmarkStart w:id="48" w:name="_Toc86676564"/>
      <w:r>
        <w:t xml:space="preserve">B.3.g) </w:t>
      </w:r>
      <w:r>
        <w:rPr>
          <w:b w:val="0"/>
          <w:bCs w:val="0"/>
        </w:rPr>
        <w:t>Mentiras y silencio.</w:t>
      </w:r>
      <w:bookmarkEnd w:id="48"/>
    </w:p>
    <w:p w:rsidR="00224567" w:rsidRDefault="00224567">
      <w:pPr>
        <w:widowControl w:val="0"/>
      </w:pPr>
      <w:r>
        <w:tab/>
        <w:t>Los acusadores, a la hora de fundar sus pretensiones punitivas, consideraron que las ment</w:t>
      </w:r>
      <w:r>
        <w:t>i</w:t>
      </w:r>
      <w:r>
        <w:t>ras de Telleldín a lo largo del proceso, así como también lo que entendieron eran respuestas evasivas respecto a dete</w:t>
      </w:r>
      <w:r>
        <w:t>r</w:t>
      </w:r>
      <w:r>
        <w:t>minados acontecimientos que r</w:t>
      </w:r>
      <w:r>
        <w:t>o</w:t>
      </w:r>
      <w:r>
        <w:t>dearon el armado y traspaso de la camioneta Renault Trafic, eran indicios de cargo. Así, formularon un doble planteo, basado en la presunta mendacidad y silencio del imput</w:t>
      </w:r>
      <w:r>
        <w:t>a</w:t>
      </w:r>
      <w:r>
        <w:t>do.</w:t>
      </w:r>
    </w:p>
    <w:p w:rsidR="00224567" w:rsidRDefault="00224567">
      <w:pPr>
        <w:widowControl w:val="0"/>
      </w:pPr>
      <w:r>
        <w:tab/>
        <w:t>Al respecto, el Tribunal advierte que se empleó un razonamiento circular o envolvente, al vale</w:t>
      </w:r>
      <w:r>
        <w:t>r</w:t>
      </w:r>
      <w:r>
        <w:t>se de los d</w:t>
      </w:r>
      <w:r>
        <w:t>i</w:t>
      </w:r>
      <w:r>
        <w:t>chos de Carlos Alberto Telleldín para tomar en favor de la postura que sustentaban tanto las circunsta</w:t>
      </w:r>
      <w:r>
        <w:t>n</w:t>
      </w:r>
      <w:r>
        <w:t>cias que fueron acreditadas como las que no, interpretando las primeras como coartadas o pruebas preconstituidas y las segundas como me</w:t>
      </w:r>
      <w:r>
        <w:t>n</w:t>
      </w:r>
      <w:r>
        <w:t>tiras. Frente a ello, colocaron a la defensa en una posición que torna imposible rebatir las argumentaciones formuladas en contra de su asist</w:t>
      </w:r>
      <w:r>
        <w:t>i</w:t>
      </w:r>
      <w:r>
        <w:t>do.</w:t>
      </w:r>
    </w:p>
    <w:p w:rsidR="00224567" w:rsidRDefault="00224567">
      <w:pPr>
        <w:widowControl w:val="0"/>
      </w:pPr>
      <w:r>
        <w:tab/>
        <w:t>Sentado ello, se debe recordar que, conforme lo expuesto precedentemente, no se terminó de e</w:t>
      </w:r>
      <w:r>
        <w:t>s</w:t>
      </w:r>
      <w:r>
        <w:t xml:space="preserve">clarecer la forma en que se llevó a cabo el armado de </w:t>
      </w:r>
      <w:smartTag w:uri="urn:schemas-microsoft-com:office:smarttags" w:element="PersonName">
        <w:smartTagPr>
          <w:attr w:name="ProductID" w:val="la Trafic"/>
        </w:smartTagPr>
        <w:r>
          <w:t>la Trafic</w:t>
        </w:r>
      </w:smartTag>
      <w:r>
        <w:t>, ni la operación por la cual Telleldín se despre</w:t>
      </w:r>
      <w:r>
        <w:t>n</w:t>
      </w:r>
      <w:r>
        <w:t>dió de ella, sin que obre certeza, siquiera, respecto de cuál fue la camioneta objeto de la transa</w:t>
      </w:r>
      <w:r>
        <w:t>c</w:t>
      </w:r>
      <w:r>
        <w:t>ción ocurrida el 10 de j</w:t>
      </w:r>
      <w:r>
        <w:t>u</w:t>
      </w:r>
      <w:r>
        <w:t>lio de 1994.</w:t>
      </w:r>
    </w:p>
    <w:p w:rsidR="00224567" w:rsidRDefault="00224567">
      <w:pPr>
        <w:widowControl w:val="0"/>
        <w:ind w:firstLine="2835"/>
      </w:pPr>
      <w:r>
        <w:t>A resultas de ello, no pudieron ser acreditadas ni desvirtuadas las versiones brindadas por Telleldín concernientes a los temas antes apuntados, por lo que tampoco pueden valorarse en su contra. A quienes las invocaron correspondía el deber procesal de aportar las pruebas –</w:t>
      </w:r>
      <w:r>
        <w:rPr>
          <w:u w:val="single"/>
        </w:rPr>
        <w:t>onus probandi</w:t>
      </w:r>
      <w:r>
        <w:t>- para desvirtuarlas, dado que es obligación del acusador acreditar los extremos en que se funda, sin que el imputado esté constreñido a col</w:t>
      </w:r>
      <w:r>
        <w:t>a</w:t>
      </w:r>
      <w:r>
        <w:t>borar con ellos, coadyuvando en su propia cond</w:t>
      </w:r>
      <w:r>
        <w:t>e</w:t>
      </w:r>
      <w:r>
        <w:t>na.</w:t>
      </w:r>
    </w:p>
    <w:p w:rsidR="00224567" w:rsidRDefault="00224567">
      <w:pPr>
        <w:widowControl w:val="0"/>
      </w:pPr>
      <w:r>
        <w:tab/>
        <w:t>La actitud asumida por los acusad</w:t>
      </w:r>
      <w:r>
        <w:t>o</w:t>
      </w:r>
      <w:r>
        <w:t>res contraría la prohibición de exigir prueba de descargo al imputado para acreditar su inocencia o alivianar su re</w:t>
      </w:r>
      <w:r>
        <w:t>s</w:t>
      </w:r>
      <w:r>
        <w:t>ponsabilidad. En su caso, la pru</w:t>
      </w:r>
      <w:r>
        <w:t>e</w:t>
      </w:r>
      <w:r>
        <w:t>ba no es una carga, sino un derecho (</w:t>
      </w:r>
      <w:r>
        <w:rPr>
          <w:spacing w:val="-2"/>
        </w:rPr>
        <w:t>cónf.</w:t>
      </w:r>
      <w:r>
        <w:t xml:space="preserve"> Clariá Olmedo, Jorge A., “Derecho Proc</w:t>
      </w:r>
      <w:r>
        <w:t>e</w:t>
      </w:r>
      <w:r>
        <w:t>sal Penal”, tomo I, Rubi</w:t>
      </w:r>
      <w:r>
        <w:t>n</w:t>
      </w:r>
      <w:r>
        <w:t>zal-Culzoni, Santa Fe, 2001, pág. 240 y sigs.).</w:t>
      </w:r>
    </w:p>
    <w:p w:rsidR="00224567" w:rsidRDefault="00224567">
      <w:pPr>
        <w:widowControl w:val="0"/>
      </w:pPr>
      <w:r>
        <w:tab/>
        <w:t>Sin perjuicio de lo expuesto, no se puede soslayar que Telleldín incurrió en contradicci</w:t>
      </w:r>
      <w:r>
        <w:t>o</w:t>
      </w:r>
      <w:r>
        <w:t>nes e incluso modificó su versión de lo acontecido el 10 de j</w:t>
      </w:r>
      <w:r>
        <w:t>u</w:t>
      </w:r>
      <w:r>
        <w:t>lio de 1994 en su domicilio. Esta última postura fue la adoptada en su declaración indagatoria del 5 de julio de 1996, analizada en otro acápite de esta sentencia y fulm</w:t>
      </w:r>
      <w:r>
        <w:t>i</w:t>
      </w:r>
      <w:r>
        <w:t>nada de nul</w:t>
      </w:r>
      <w:r>
        <w:t>i</w:t>
      </w:r>
      <w:r>
        <w:t>dad.</w:t>
      </w:r>
    </w:p>
    <w:p w:rsidR="00224567" w:rsidRDefault="00224567">
      <w:pPr>
        <w:widowControl w:val="0"/>
      </w:pPr>
      <w:r>
        <w:tab/>
        <w:t>En cuanto a las restantes contradi</w:t>
      </w:r>
      <w:r>
        <w:t>c</w:t>
      </w:r>
      <w:r>
        <w:t>ciones, se debe tener en cuenta que la mentira del enca</w:t>
      </w:r>
      <w:r>
        <w:t>u</w:t>
      </w:r>
      <w:r>
        <w:t>sado sólo puede constituir un indicio de su culpabilidad si se suma a otros elementos, es decir, debe estar acomp</w:t>
      </w:r>
      <w:r>
        <w:t>a</w:t>
      </w:r>
      <w:r>
        <w:t>ñada de sólida pru</w:t>
      </w:r>
      <w:r>
        <w:t>e</w:t>
      </w:r>
      <w:r>
        <w:t>ba de cargo.</w:t>
      </w:r>
    </w:p>
    <w:p w:rsidR="00224567" w:rsidRDefault="00224567">
      <w:pPr>
        <w:pStyle w:val="Textoindependiente2"/>
        <w:widowControl w:val="0"/>
        <w:tabs>
          <w:tab w:val="left" w:pos="0"/>
        </w:tabs>
        <w:rPr>
          <w:rFonts w:ascii="Courier New" w:hAnsi="Courier New" w:cs="Courier New"/>
          <w:szCs w:val="24"/>
        </w:rPr>
      </w:pPr>
      <w:r>
        <w:rPr>
          <w:rFonts w:ascii="Courier New" w:hAnsi="Courier New" w:cs="Courier New"/>
          <w:szCs w:val="24"/>
          <w:lang w:val="es-AR"/>
        </w:rPr>
        <w:tab/>
        <w:t>Ante la carencia de otras evidencias demostrativas de la participación de Telleldín en el h</w:t>
      </w:r>
      <w:r>
        <w:rPr>
          <w:rFonts w:ascii="Courier New" w:hAnsi="Courier New" w:cs="Courier New"/>
          <w:szCs w:val="24"/>
          <w:lang w:val="es-AR"/>
        </w:rPr>
        <w:t>e</w:t>
      </w:r>
      <w:r>
        <w:rPr>
          <w:rFonts w:ascii="Courier New" w:hAnsi="Courier New" w:cs="Courier New"/>
          <w:szCs w:val="24"/>
          <w:lang w:val="es-AR"/>
        </w:rPr>
        <w:t xml:space="preserve">cho, no resultan aplicables a este caso los antecedentes de este Tribunal que computaron como indicio cargoso, por su mendacidad, los dichos exculpatorios del imputado que no se correspondían </w:t>
      </w:r>
      <w:r>
        <w:rPr>
          <w:rFonts w:ascii="Courier New" w:hAnsi="Courier New" w:cs="Courier New"/>
          <w:szCs w:val="24"/>
        </w:rPr>
        <w:t>con lo realmente acontecido en el pr</w:t>
      </w:r>
      <w:r>
        <w:rPr>
          <w:rFonts w:ascii="Courier New" w:hAnsi="Courier New" w:cs="Courier New"/>
          <w:szCs w:val="24"/>
        </w:rPr>
        <w:t>o</w:t>
      </w:r>
      <w:r>
        <w:rPr>
          <w:rFonts w:ascii="Courier New" w:hAnsi="Courier New" w:cs="Courier New"/>
          <w:szCs w:val="24"/>
        </w:rPr>
        <w:t>ceso (</w:t>
      </w:r>
      <w:r>
        <w:rPr>
          <w:rFonts w:ascii="Courier New" w:hAnsi="Courier New" w:cs="Courier New"/>
          <w:szCs w:val="24"/>
          <w:u w:val="single"/>
        </w:rPr>
        <w:t>in re</w:t>
      </w:r>
      <w:r>
        <w:rPr>
          <w:rFonts w:ascii="Courier New" w:hAnsi="Courier New" w:cs="Courier New"/>
          <w:szCs w:val="24"/>
        </w:rPr>
        <w:t xml:space="preserve"> “</w:t>
      </w:r>
      <w:r>
        <w:rPr>
          <w:rFonts w:ascii="Courier New" w:hAnsi="Courier New" w:cs="Courier New"/>
          <w:spacing w:val="-2"/>
          <w:lang w:val="es-AR"/>
        </w:rPr>
        <w:t>Tatanchelo, Magdalena y otros” -reg. nº 11/98- y</w:t>
      </w:r>
      <w:r>
        <w:rPr>
          <w:rFonts w:ascii="Courier New" w:hAnsi="Courier New" w:cs="Courier New"/>
          <w:szCs w:val="24"/>
        </w:rPr>
        <w:t xml:space="preserve"> “Barrera, Víctor y otros” -reg. nº 10/99-, ambos con cita del precedente de </w:t>
      </w:r>
      <w:smartTag w:uri="urn:schemas-microsoft-com:office:smarttags" w:element="PersonName">
        <w:smartTagPr>
          <w:attr w:name="ProductID" w:val="la Corte Suprema"/>
        </w:smartTagPr>
        <w:r>
          <w:rPr>
            <w:rFonts w:ascii="Courier New" w:hAnsi="Courier New" w:cs="Courier New"/>
            <w:szCs w:val="24"/>
          </w:rPr>
          <w:t>la Corte Suprema</w:t>
        </w:r>
      </w:smartTag>
      <w:r>
        <w:rPr>
          <w:rFonts w:ascii="Courier New" w:hAnsi="Courier New" w:cs="Courier New"/>
          <w:szCs w:val="24"/>
        </w:rPr>
        <w:t xml:space="preserve"> de Justicia de </w:t>
      </w:r>
      <w:smartTag w:uri="urn:schemas-microsoft-com:office:smarttags" w:element="PersonName">
        <w:smartTagPr>
          <w:attr w:name="ProductID" w:val="la Naci￳n"/>
        </w:smartTagPr>
        <w:r>
          <w:rPr>
            <w:rFonts w:ascii="Courier New" w:hAnsi="Courier New" w:cs="Courier New"/>
            <w:szCs w:val="24"/>
          </w:rPr>
          <w:t>la Nación</w:t>
        </w:r>
      </w:smartTag>
      <w:r>
        <w:rPr>
          <w:rFonts w:ascii="Courier New" w:hAnsi="Courier New" w:cs="Courier New"/>
          <w:szCs w:val="24"/>
        </w:rPr>
        <w:t xml:space="preserve"> que se registra en Fallos: 210:414).</w:t>
      </w:r>
    </w:p>
    <w:p w:rsidR="00224567" w:rsidRDefault="00224567">
      <w:pPr>
        <w:pStyle w:val="Textoindependiente2"/>
        <w:widowControl w:val="0"/>
        <w:tabs>
          <w:tab w:val="left" w:pos="0"/>
        </w:tabs>
        <w:rPr>
          <w:rFonts w:ascii="Courier New" w:hAnsi="Courier New" w:cs="Courier New"/>
          <w:bCs/>
        </w:rPr>
      </w:pPr>
      <w:r>
        <w:rPr>
          <w:rFonts w:ascii="Courier New" w:hAnsi="Courier New" w:cs="Courier New"/>
          <w:szCs w:val="24"/>
        </w:rPr>
        <w:tab/>
        <w:t xml:space="preserve">En efecto, en tales pronunciamientos </w:t>
      </w:r>
      <w:r>
        <w:rPr>
          <w:rFonts w:ascii="Courier New" w:hAnsi="Courier New" w:cs="Courier New"/>
          <w:bCs/>
        </w:rPr>
        <w:t>el Tribunal consideró acreditada de manera efectiva la m</w:t>
      </w:r>
      <w:r>
        <w:rPr>
          <w:rFonts w:ascii="Courier New" w:hAnsi="Courier New" w:cs="Courier New"/>
          <w:bCs/>
        </w:rPr>
        <w:t>a</w:t>
      </w:r>
      <w:r>
        <w:rPr>
          <w:rFonts w:ascii="Courier New" w:hAnsi="Courier New" w:cs="Courier New"/>
          <w:bCs/>
        </w:rPr>
        <w:t xml:space="preserve">terialidad del hecho, el </w:t>
      </w:r>
      <w:r>
        <w:rPr>
          <w:rFonts w:ascii="Courier New" w:hAnsi="Courier New" w:cs="Courier New"/>
          <w:bCs/>
          <w:u w:val="single"/>
        </w:rPr>
        <w:t>corpus criminis</w:t>
      </w:r>
      <w:r>
        <w:rPr>
          <w:rFonts w:ascii="Courier New" w:hAnsi="Courier New" w:cs="Courier New"/>
          <w:bCs/>
        </w:rPr>
        <w:t>, en tanto que en la especie, como ya se adelantó, los acusadores no pudi</w:t>
      </w:r>
      <w:r>
        <w:rPr>
          <w:rFonts w:ascii="Courier New" w:hAnsi="Courier New" w:cs="Courier New"/>
          <w:bCs/>
        </w:rPr>
        <w:t>e</w:t>
      </w:r>
      <w:r>
        <w:rPr>
          <w:rFonts w:ascii="Courier New" w:hAnsi="Courier New" w:cs="Courier New"/>
          <w:bCs/>
        </w:rPr>
        <w:t>ron acreditar qué sucedió el 10 de julio en el domicilio de Carlos Alberto Telleldín, intentando convertir en ind</w:t>
      </w:r>
      <w:r>
        <w:rPr>
          <w:rFonts w:ascii="Courier New" w:hAnsi="Courier New" w:cs="Courier New"/>
          <w:bCs/>
        </w:rPr>
        <w:t>i</w:t>
      </w:r>
      <w:r>
        <w:rPr>
          <w:rFonts w:ascii="Courier New" w:hAnsi="Courier New" w:cs="Courier New"/>
          <w:bCs/>
        </w:rPr>
        <w:t>cios de cargo todo lo hecho por el no</w:t>
      </w:r>
      <w:r>
        <w:rPr>
          <w:rFonts w:ascii="Courier New" w:hAnsi="Courier New" w:cs="Courier New"/>
          <w:bCs/>
        </w:rPr>
        <w:t>m</w:t>
      </w:r>
      <w:r>
        <w:rPr>
          <w:rFonts w:ascii="Courier New" w:hAnsi="Courier New" w:cs="Courier New"/>
          <w:bCs/>
        </w:rPr>
        <w:t>brado entre el 4 de julio de 1994 y el día de su dete</w:t>
      </w:r>
      <w:r>
        <w:rPr>
          <w:rFonts w:ascii="Courier New" w:hAnsi="Courier New" w:cs="Courier New"/>
          <w:bCs/>
        </w:rPr>
        <w:t>n</w:t>
      </w:r>
      <w:r>
        <w:rPr>
          <w:rFonts w:ascii="Courier New" w:hAnsi="Courier New" w:cs="Courier New"/>
          <w:bCs/>
        </w:rPr>
        <w:t>ción; demostrativo ello de un cuadro probatorio insuficiente para avalar sus pr</w:t>
      </w:r>
      <w:r>
        <w:rPr>
          <w:rFonts w:ascii="Courier New" w:hAnsi="Courier New" w:cs="Courier New"/>
          <w:bCs/>
        </w:rPr>
        <w:t>e</w:t>
      </w:r>
      <w:r>
        <w:rPr>
          <w:rFonts w:ascii="Courier New" w:hAnsi="Courier New" w:cs="Courier New"/>
          <w:bCs/>
        </w:rPr>
        <w:t>tensiones.</w:t>
      </w:r>
    </w:p>
    <w:p w:rsidR="00224567" w:rsidRDefault="00224567">
      <w:pPr>
        <w:pStyle w:val="Textoindependiente2"/>
        <w:widowControl w:val="0"/>
        <w:tabs>
          <w:tab w:val="left" w:pos="0"/>
        </w:tabs>
        <w:rPr>
          <w:rFonts w:ascii="Courier New" w:hAnsi="Courier New" w:cs="Courier New"/>
        </w:rPr>
      </w:pPr>
      <w:r>
        <w:rPr>
          <w:rFonts w:ascii="Courier New" w:hAnsi="Courier New" w:cs="Courier New"/>
          <w:bCs/>
        </w:rPr>
        <w:tab/>
        <w:t xml:space="preserve">Por otra parte, </w:t>
      </w:r>
      <w:r>
        <w:rPr>
          <w:rFonts w:ascii="Courier New" w:hAnsi="Courier New" w:cs="Courier New"/>
        </w:rPr>
        <w:t>tampoco puede inte</w:t>
      </w:r>
      <w:r>
        <w:rPr>
          <w:rFonts w:ascii="Courier New" w:hAnsi="Courier New" w:cs="Courier New"/>
        </w:rPr>
        <w:t>r</w:t>
      </w:r>
      <w:r>
        <w:rPr>
          <w:rFonts w:ascii="Courier New" w:hAnsi="Courier New" w:cs="Courier New"/>
        </w:rPr>
        <w:t>pretarse ni ser usado en contra del procesado su sile</w:t>
      </w:r>
      <w:r>
        <w:rPr>
          <w:rFonts w:ascii="Courier New" w:hAnsi="Courier New" w:cs="Courier New"/>
        </w:rPr>
        <w:t>n</w:t>
      </w:r>
      <w:r>
        <w:rPr>
          <w:rFonts w:ascii="Courier New" w:hAnsi="Courier New" w:cs="Courier New"/>
        </w:rPr>
        <w:t>cio acerca de determinadas circunstancias que, según los ac</w:t>
      </w:r>
      <w:r>
        <w:rPr>
          <w:rFonts w:ascii="Courier New" w:hAnsi="Courier New" w:cs="Courier New"/>
        </w:rPr>
        <w:t>u</w:t>
      </w:r>
      <w:r>
        <w:rPr>
          <w:rFonts w:ascii="Courier New" w:hAnsi="Courier New" w:cs="Courier New"/>
        </w:rPr>
        <w:t>sadores, omitió relatar, por cuanto ello importaría vi</w:t>
      </w:r>
      <w:r>
        <w:rPr>
          <w:rFonts w:ascii="Courier New" w:hAnsi="Courier New" w:cs="Courier New"/>
        </w:rPr>
        <w:t>o</w:t>
      </w:r>
      <w:r>
        <w:rPr>
          <w:rFonts w:ascii="Courier New" w:hAnsi="Courier New" w:cs="Courier New"/>
        </w:rPr>
        <w:t>lar, de manera flagrante, la previsión contenida en el art. 298 del C.P.P.N., que cristaliza el precepto const</w:t>
      </w:r>
      <w:r>
        <w:rPr>
          <w:rFonts w:ascii="Courier New" w:hAnsi="Courier New" w:cs="Courier New"/>
        </w:rPr>
        <w:t>i</w:t>
      </w:r>
      <w:r>
        <w:rPr>
          <w:rFonts w:ascii="Courier New" w:hAnsi="Courier New" w:cs="Courier New"/>
        </w:rPr>
        <w:t>tucional que impide obligar al imputado a declarar en su contra.</w:t>
      </w:r>
    </w:p>
    <w:p w:rsidR="00224567" w:rsidRDefault="00224567">
      <w:pPr>
        <w:pStyle w:val="Textoindependiente2"/>
        <w:widowControl w:val="0"/>
        <w:tabs>
          <w:tab w:val="left" w:pos="0"/>
        </w:tabs>
        <w:rPr>
          <w:rFonts w:ascii="Courier New" w:hAnsi="Courier New" w:cs="Courier New"/>
        </w:rPr>
      </w:pPr>
      <w:r>
        <w:rPr>
          <w:rFonts w:ascii="Courier New" w:hAnsi="Courier New" w:cs="Courier New"/>
        </w:rPr>
        <w:tab/>
        <w:t>En ese sentido, Asencio Mellado so</w:t>
      </w:r>
      <w:r>
        <w:rPr>
          <w:rFonts w:ascii="Courier New" w:hAnsi="Courier New" w:cs="Courier New"/>
        </w:rPr>
        <w:t>s</w:t>
      </w:r>
      <w:r>
        <w:rPr>
          <w:rFonts w:ascii="Courier New" w:hAnsi="Courier New" w:cs="Courier New"/>
        </w:rPr>
        <w:t>tiene que del silencio es imposible extraer conclusi</w:t>
      </w:r>
      <w:r>
        <w:rPr>
          <w:rFonts w:ascii="Courier New" w:hAnsi="Courier New" w:cs="Courier New"/>
        </w:rPr>
        <w:t>o</w:t>
      </w:r>
      <w:r>
        <w:rPr>
          <w:rFonts w:ascii="Courier New" w:hAnsi="Courier New" w:cs="Courier New"/>
        </w:rPr>
        <w:t>nes, sean favorables o adversas para el imputado y que el ac</w:t>
      </w:r>
      <w:r>
        <w:rPr>
          <w:rFonts w:ascii="Courier New" w:hAnsi="Courier New" w:cs="Courier New"/>
        </w:rPr>
        <w:t>u</w:t>
      </w:r>
      <w:r>
        <w:rPr>
          <w:rFonts w:ascii="Courier New" w:hAnsi="Courier New" w:cs="Courier New"/>
        </w:rPr>
        <w:t>sado tiene derecho a defenderse de la imputación penal “tanto moviéndose en forma activa, esto es, co</w:t>
      </w:r>
      <w:r>
        <w:rPr>
          <w:rFonts w:ascii="Courier New" w:hAnsi="Courier New" w:cs="Courier New"/>
        </w:rPr>
        <w:t>n</w:t>
      </w:r>
      <w:r>
        <w:rPr>
          <w:rFonts w:ascii="Courier New" w:hAnsi="Courier New" w:cs="Courier New"/>
        </w:rPr>
        <w:t>testando a la acusación negando los hechos o alegando otros nuevos, como pasivamente o, lo que es lo mismo, manteniéndose en silencio, sin que en ningún caso de su conducta no colab</w:t>
      </w:r>
      <w:r>
        <w:rPr>
          <w:rFonts w:ascii="Courier New" w:hAnsi="Courier New" w:cs="Courier New"/>
        </w:rPr>
        <w:t>o</w:t>
      </w:r>
      <w:r>
        <w:rPr>
          <w:rFonts w:ascii="Courier New" w:hAnsi="Courier New" w:cs="Courier New"/>
        </w:rPr>
        <w:t>racionista pueda extraerse conclusión alguna de culpabil</w:t>
      </w:r>
      <w:r>
        <w:rPr>
          <w:rFonts w:ascii="Courier New" w:hAnsi="Courier New" w:cs="Courier New"/>
        </w:rPr>
        <w:t>i</w:t>
      </w:r>
      <w:r>
        <w:rPr>
          <w:rFonts w:ascii="Courier New" w:hAnsi="Courier New" w:cs="Courier New"/>
        </w:rPr>
        <w:t>dad” (</w:t>
      </w:r>
      <w:r>
        <w:rPr>
          <w:rFonts w:ascii="Courier New" w:hAnsi="Courier New" w:cs="Courier New"/>
          <w:spacing w:val="-2"/>
        </w:rPr>
        <w:t>cónf.</w:t>
      </w:r>
      <w:r>
        <w:rPr>
          <w:rFonts w:ascii="Courier New" w:hAnsi="Courier New" w:cs="Courier New"/>
        </w:rPr>
        <w:t xml:space="preserve"> ob. cit., págs. 45 y 124).</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A su vez, Cafferata Nores enseña que “para asegurar la vigencia de garantías constitucion</w:t>
      </w:r>
      <w:r>
        <w:rPr>
          <w:rFonts w:ascii="Courier New" w:hAnsi="Courier New" w:cs="Courier New"/>
          <w:szCs w:val="24"/>
          <w:lang w:val="es-AR"/>
        </w:rPr>
        <w:t>a</w:t>
      </w:r>
      <w:r>
        <w:rPr>
          <w:rFonts w:ascii="Courier New" w:hAnsi="Courier New" w:cs="Courier New"/>
          <w:szCs w:val="24"/>
          <w:lang w:val="es-AR"/>
        </w:rPr>
        <w:t>les, hay disposiciones que impiden dar un particular sentido indiciario a ciertos hechos, como ocurre con la prohib</w:t>
      </w:r>
      <w:r>
        <w:rPr>
          <w:rFonts w:ascii="Courier New" w:hAnsi="Courier New" w:cs="Courier New"/>
          <w:szCs w:val="24"/>
          <w:lang w:val="es-AR"/>
        </w:rPr>
        <w:t>i</w:t>
      </w:r>
      <w:r>
        <w:rPr>
          <w:rFonts w:ascii="Courier New" w:hAnsi="Courier New" w:cs="Courier New"/>
          <w:szCs w:val="24"/>
          <w:lang w:val="es-AR"/>
        </w:rPr>
        <w:t xml:space="preserve">ción de fundar en el </w:t>
      </w:r>
      <w:r>
        <w:rPr>
          <w:rFonts w:ascii="Courier New" w:hAnsi="Courier New" w:cs="Courier New"/>
          <w:i/>
          <w:iCs/>
          <w:szCs w:val="24"/>
          <w:lang w:val="es-AR"/>
        </w:rPr>
        <w:t>silencio</w:t>
      </w:r>
      <w:r>
        <w:rPr>
          <w:rFonts w:ascii="Courier New" w:hAnsi="Courier New" w:cs="Courier New"/>
          <w:szCs w:val="24"/>
          <w:lang w:val="es-AR"/>
        </w:rPr>
        <w:t xml:space="preserve"> del imputado una presu</w:t>
      </w:r>
      <w:r>
        <w:rPr>
          <w:rFonts w:ascii="Courier New" w:hAnsi="Courier New" w:cs="Courier New"/>
          <w:szCs w:val="24"/>
          <w:lang w:val="es-AR"/>
        </w:rPr>
        <w:t>n</w:t>
      </w:r>
      <w:r>
        <w:rPr>
          <w:rFonts w:ascii="Courier New" w:hAnsi="Courier New" w:cs="Courier New"/>
          <w:szCs w:val="24"/>
          <w:lang w:val="es-AR"/>
        </w:rPr>
        <w:t xml:space="preserve">ción de culpabilidad (arg. arts. </w:t>
      </w:r>
      <w:smartTag w:uri="urn:schemas-microsoft-com:office:smarttags" w:element="metricconverter">
        <w:smartTagPr>
          <w:attr w:name="ProductID" w:val="18, C"/>
        </w:smartTagPr>
        <w:r>
          <w:rPr>
            <w:rFonts w:ascii="Courier New" w:hAnsi="Courier New" w:cs="Courier New"/>
            <w:szCs w:val="24"/>
            <w:lang w:val="es-AR"/>
          </w:rPr>
          <w:t>18, C</w:t>
        </w:r>
      </w:smartTag>
      <w:r>
        <w:rPr>
          <w:rFonts w:ascii="Courier New" w:hAnsi="Courier New" w:cs="Courier New"/>
          <w:szCs w:val="24"/>
          <w:lang w:val="es-AR"/>
        </w:rPr>
        <w:t xml:space="preserve">.N., y </w:t>
      </w:r>
      <w:smartTag w:uri="urn:schemas-microsoft-com:office:smarttags" w:element="metricconverter">
        <w:smartTagPr>
          <w:attr w:name="ProductID" w:val="298, C"/>
        </w:smartTagPr>
        <w:r>
          <w:rPr>
            <w:rFonts w:ascii="Courier New" w:hAnsi="Courier New" w:cs="Courier New"/>
            <w:szCs w:val="24"/>
            <w:lang w:val="es-AR"/>
          </w:rPr>
          <w:t>298, C</w:t>
        </w:r>
      </w:smartTag>
      <w:r>
        <w:rPr>
          <w:rFonts w:ascii="Courier New" w:hAnsi="Courier New" w:cs="Courier New"/>
          <w:szCs w:val="24"/>
          <w:lang w:val="es-AR"/>
        </w:rPr>
        <w:t>.P.P.)” (</w:t>
      </w:r>
      <w:r>
        <w:rPr>
          <w:rFonts w:ascii="Courier New" w:hAnsi="Courier New" w:cs="Courier New"/>
          <w:spacing w:val="-2"/>
        </w:rPr>
        <w:t>cónf.</w:t>
      </w:r>
      <w:r>
        <w:rPr>
          <w:rFonts w:ascii="Courier New" w:hAnsi="Courier New" w:cs="Courier New"/>
          <w:szCs w:val="24"/>
          <w:lang w:val="es-AR"/>
        </w:rPr>
        <w:t xml:space="preserve"> op. cit, pág. 194).</w:t>
      </w:r>
    </w:p>
    <w:p w:rsidR="00224567" w:rsidRDefault="00224567">
      <w:pPr>
        <w:widowControl w:val="0"/>
      </w:pPr>
      <w:r>
        <w:tab/>
        <w:t>Por último, corresponde hacer una me</w:t>
      </w:r>
      <w:r>
        <w:t>n</w:t>
      </w:r>
      <w:r>
        <w:t xml:space="preserve">ción especial a la imputación formulada por la fiscalía, en cuanto a que Telleldín negó conocer a gente de </w:t>
      </w:r>
      <w:smartTag w:uri="urn:schemas-microsoft-com:office:smarttags" w:element="PersonName">
        <w:smartTagPr>
          <w:attr w:name="ProductID" w:val="la Embajada"/>
        </w:smartTagPr>
        <w:r>
          <w:t>la Emb</w:t>
        </w:r>
        <w:r>
          <w:t>a</w:t>
        </w:r>
        <w:r>
          <w:t>jada</w:t>
        </w:r>
      </w:smartTag>
      <w:r>
        <w:t xml:space="preserve"> de Irán, pese al papel secuestrado el 28 de julio de 1994, que reza: “Embajada Islámica de Irán. Av. Figueroa Alcorta 3229 802-1470 805-</w:t>
      </w:r>
      <w:smartTag w:uri="urn:schemas-microsoft-com:office:smarttags" w:element="metricconverter">
        <w:smartTagPr>
          <w:attr w:name="ProductID" w:val="4409”"/>
        </w:smartTagPr>
        <w:r>
          <w:t>4409”</w:t>
        </w:r>
      </w:smartTag>
      <w:r>
        <w:t>.</w:t>
      </w:r>
    </w:p>
    <w:p w:rsidR="00224567" w:rsidRDefault="00224567">
      <w:pPr>
        <w:widowControl w:val="0"/>
      </w:pPr>
      <w:r>
        <w:tab/>
        <w:t>Se debe señalar, en primer lugar, que a lo largo de la causa se sostuvo que ese papel provino del allanamiento al domicilio de República 107, que este Tribunal considera nulo. En segundo término, tal como se desarrolló en otro tramo de este pronunciamiento, su s</w:t>
      </w:r>
      <w:r>
        <w:t>e</w:t>
      </w:r>
      <w:r>
        <w:t>cuestro no se desprende del acta de all</w:t>
      </w:r>
      <w:r>
        <w:t>a</w:t>
      </w:r>
      <w:r>
        <w:t>namiento ni de las declaraciones prestadas por los te</w:t>
      </w:r>
      <w:r>
        <w:t>s</w:t>
      </w:r>
      <w:r>
        <w:t xml:space="preserve">tigos, el prosecretario de </w:t>
      </w:r>
      <w:smartTag w:uri="urn:schemas-microsoft-com:office:smarttags" w:element="PersonName">
        <w:smartTagPr>
          <w:attr w:name="ProductID" w:val="la Fiscal￭a Federal"/>
        </w:smartTagPr>
        <w:r>
          <w:t>la Fiscalía Federal</w:t>
        </w:r>
      </w:smartTag>
      <w:r>
        <w:t xml:space="preserve"> nº 9 -presente en la diligencia- o los policías que interv</w:t>
      </w:r>
      <w:r>
        <w:t>i</w:t>
      </w:r>
      <w:r>
        <w:t>nieron en ella.</w:t>
      </w:r>
    </w:p>
    <w:p w:rsidR="00224567" w:rsidRDefault="00224567">
      <w:pPr>
        <w:widowControl w:val="0"/>
        <w:ind w:firstLine="2835"/>
      </w:pPr>
      <w:r>
        <w:t>Finalmente, los peritajes caligráf</w:t>
      </w:r>
      <w:r>
        <w:t>i</w:t>
      </w:r>
      <w:r>
        <w:t>cos glosados a fs. 11.197/11.200 y 30.253/30.258 descartaron la inte</w:t>
      </w:r>
      <w:r>
        <w:t>r</w:t>
      </w:r>
      <w:r>
        <w:t>vención de Carlos Alberto Telleldín en el trazado de las grafías allí insertas, como así ta</w:t>
      </w:r>
      <w:r>
        <w:t>m</w:t>
      </w:r>
      <w:r>
        <w:t>bién la de José Ramón Juan Martínez Rodríguez, Claudio Guillermo Miguel Cotoras, Marcelo Fabián Jouce, Hugo Antonio Pérez, Ariel Nitzcaner, Ana María Boragni, Miguel Gustavo Jaimes y Eduardo Daniel Telle</w:t>
      </w:r>
      <w:r>
        <w:t>l</w:t>
      </w:r>
      <w:r>
        <w:t>dín, entre otros.</w:t>
      </w:r>
    </w:p>
    <w:p w:rsidR="00224567" w:rsidRDefault="00224567">
      <w:pPr>
        <w:widowControl w:val="0"/>
      </w:pPr>
      <w:r>
        <w:tab/>
        <w:t>En virtud de lo expuesto, tampoco se puede afirmar, con base en el secuestro del mentado p</w:t>
      </w:r>
      <w:r>
        <w:t>a</w:t>
      </w:r>
      <w:r>
        <w:t>pel, que Telleldín haya mentido en cuanto a su conoc</w:t>
      </w:r>
      <w:r>
        <w:t>i</w:t>
      </w:r>
      <w:r>
        <w:t>miento de miembros de la legación diplomática iraní, no obrando en autos otras probanzas demostrativas del vínculo que se pretende endilgarle.</w:t>
      </w:r>
    </w:p>
    <w:p w:rsidR="00224567" w:rsidRDefault="00224567">
      <w:pPr>
        <w:pStyle w:val="Ttulo5"/>
        <w:keepNext w:val="0"/>
        <w:widowControl w:val="0"/>
        <w:spacing w:line="600" w:lineRule="auto"/>
        <w:rPr>
          <w:b w:val="0"/>
          <w:bCs w:val="0"/>
        </w:rPr>
      </w:pPr>
      <w:bookmarkStart w:id="49" w:name="_Toc86676565"/>
      <w:r>
        <w:t xml:space="preserve">B.3.h) </w:t>
      </w:r>
      <w:r>
        <w:rPr>
          <w:b w:val="0"/>
          <w:bCs w:val="0"/>
        </w:rPr>
        <w:t>Estado de ánimo.</w:t>
      </w:r>
      <w:bookmarkEnd w:id="49"/>
    </w:p>
    <w:p w:rsidR="00224567" w:rsidRDefault="00224567">
      <w:pPr>
        <w:pStyle w:val="Ttulo6"/>
        <w:keepNext w:val="0"/>
        <w:widowControl w:val="0"/>
        <w:spacing w:line="600" w:lineRule="auto"/>
        <w:rPr>
          <w:rFonts w:cs="Courier New"/>
          <w:b w:val="0"/>
          <w:bCs/>
          <w:u w:val="none"/>
        </w:rPr>
      </w:pPr>
      <w:r>
        <w:rPr>
          <w:rFonts w:cs="Courier New"/>
          <w:u w:val="none"/>
        </w:rPr>
        <w:tab/>
      </w:r>
      <w:bookmarkStart w:id="50" w:name="_Toc86676566"/>
      <w:r>
        <w:rPr>
          <w:rFonts w:cs="Courier New"/>
          <w:u w:val="none"/>
        </w:rPr>
        <w:t xml:space="preserve">B.3.h.i) </w:t>
      </w:r>
      <w:r>
        <w:rPr>
          <w:rFonts w:cs="Courier New"/>
          <w:b w:val="0"/>
          <w:bCs/>
          <w:u w:val="none"/>
        </w:rPr>
        <w:t>Actitud previa de Telleldín.</w:t>
      </w:r>
      <w:bookmarkEnd w:id="50"/>
    </w:p>
    <w:p w:rsidR="00224567" w:rsidRDefault="00224567">
      <w:pPr>
        <w:widowControl w:val="0"/>
      </w:pPr>
      <w:r>
        <w:tab/>
        <w:t>Los acusadores hicieron hincapié en el estado de ánimo que presentó Carlos Alberto Telle</w:t>
      </w:r>
      <w:r>
        <w:t>l</w:t>
      </w:r>
      <w:r>
        <w:t>dín con posterioridad a la supuesta entrega de la camioneta Tr</w:t>
      </w:r>
      <w:r>
        <w:t>a</w:t>
      </w:r>
      <w:r>
        <w:t>fic, como así también luego de la comisión del atentado, tomándolo como un indicio más de su cu</w:t>
      </w:r>
      <w:r>
        <w:t>l</w:t>
      </w:r>
      <w:r>
        <w:t>pabilidad.</w:t>
      </w:r>
    </w:p>
    <w:p w:rsidR="00224567" w:rsidRDefault="00224567">
      <w:pPr>
        <w:widowControl w:val="0"/>
      </w:pPr>
      <w:r>
        <w:tab/>
        <w:t>Previo a cualquier otra consider</w:t>
      </w:r>
      <w:r>
        <w:t>a</w:t>
      </w:r>
      <w:r>
        <w:t>ción, bueno es resaltar que los indicios relativos a actitudes sospechosas, anteriores o posteriores al hecho, entran en la categoría de los que Jauchen denomina remotos, por lo que deben ponderarse con partic</w:t>
      </w:r>
      <w:r>
        <w:t>u</w:t>
      </w:r>
      <w:r>
        <w:t>lar prudencia, debido a su equivoc</w:t>
      </w:r>
      <w:r>
        <w:t>i</w:t>
      </w:r>
      <w:r>
        <w:t>dad (</w:t>
      </w:r>
      <w:r>
        <w:rPr>
          <w:spacing w:val="-2"/>
        </w:rPr>
        <w:t>cónf.</w:t>
      </w:r>
      <w:r>
        <w:t xml:space="preserve"> ob. cit., pág. 603).</w:t>
      </w:r>
    </w:p>
    <w:p w:rsidR="00224567" w:rsidRDefault="00224567">
      <w:pPr>
        <w:widowControl w:val="0"/>
      </w:pPr>
      <w:r>
        <w:tab/>
        <w:t>Con relación al tema en estudio, T</w:t>
      </w:r>
      <w:r>
        <w:t>e</w:t>
      </w:r>
      <w:r>
        <w:t>lleldín manifestó en sus indagatorias que a raíz del inc</w:t>
      </w:r>
      <w:r>
        <w:t>i</w:t>
      </w:r>
      <w:r>
        <w:t xml:space="preserve">dente con </w:t>
      </w:r>
      <w:smartTag w:uri="urn:schemas-microsoft-com:office:smarttags" w:element="PersonName">
        <w:smartTagPr>
          <w:attr w:name="ProductID" w:val="la Brigada"/>
        </w:smartTagPr>
        <w:r>
          <w:t>la Brigada</w:t>
        </w:r>
      </w:smartTag>
      <w:r>
        <w:t xml:space="preserve"> de Vicente López estuvo, por esos días, nervioso e intentó mudarse, toda vez que el motor del barco que entregó no funcionaba.</w:t>
      </w:r>
    </w:p>
    <w:p w:rsidR="00224567" w:rsidRDefault="00224567">
      <w:pPr>
        <w:widowControl w:val="0"/>
      </w:pPr>
      <w:r>
        <w:tab/>
        <w:t>Por su parte, Ana María Boragni ref</w:t>
      </w:r>
      <w:r>
        <w:t>i</w:t>
      </w:r>
      <w:r>
        <w:t>rió que desde que Telleldín dejó de alquilar la qui</w:t>
      </w:r>
      <w:r>
        <w:t>n</w:t>
      </w:r>
      <w:r>
        <w:t>ta de Tortuguitas y volvió a la casa, no estaba bien; que incl</w:t>
      </w:r>
      <w:r>
        <w:t>u</w:t>
      </w:r>
      <w:r>
        <w:t>so le sugirió que consultara a un médico para que le rec</w:t>
      </w:r>
      <w:r>
        <w:t>e</w:t>
      </w:r>
      <w:r>
        <w:t>tara tranquilizantes, por cuanto era usual que estuviera ne</w:t>
      </w:r>
      <w:r>
        <w:t>r</w:t>
      </w:r>
      <w:r>
        <w:t>vioso.</w:t>
      </w:r>
    </w:p>
    <w:p w:rsidR="00224567" w:rsidRDefault="00224567">
      <w:pPr>
        <w:widowControl w:val="0"/>
      </w:pPr>
      <w:r>
        <w:tab/>
        <w:t>Mencionó que su compañero notaba que lo vigilaban desde automóviles, decidiendo, para tranqu</w:t>
      </w:r>
      <w:r>
        <w:t>i</w:t>
      </w:r>
      <w:r>
        <w:t>lidad de la familia y un nuevo comienzo de la par</w:t>
      </w:r>
      <w:r>
        <w:t>e</w:t>
      </w:r>
      <w:r>
        <w:t>ja, que se mud</w:t>
      </w:r>
      <w:r>
        <w:t>a</w:t>
      </w:r>
      <w:r>
        <w:t>rían.</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A su vez, Sandra Marisa Petrucci man</w:t>
      </w:r>
      <w:r>
        <w:rPr>
          <w:rFonts w:ascii="Courier New" w:hAnsi="Courier New" w:cs="Courier New"/>
          <w:szCs w:val="24"/>
          <w:lang w:val="es-AR"/>
        </w:rPr>
        <w:t>i</w:t>
      </w:r>
      <w:r>
        <w:rPr>
          <w:rFonts w:ascii="Courier New" w:hAnsi="Courier New" w:cs="Courier New"/>
          <w:szCs w:val="24"/>
          <w:lang w:val="es-AR"/>
        </w:rPr>
        <w:t xml:space="preserve">festó que luego del </w:t>
      </w:r>
      <w:r>
        <w:rPr>
          <w:rFonts w:ascii="Courier New" w:hAnsi="Courier New" w:cs="Courier New"/>
        </w:rPr>
        <w:t>episodio del 4 de abril de 1994 T</w:t>
      </w:r>
      <w:r>
        <w:rPr>
          <w:rFonts w:ascii="Courier New" w:hAnsi="Courier New" w:cs="Courier New"/>
        </w:rPr>
        <w:t>e</w:t>
      </w:r>
      <w:r>
        <w:rPr>
          <w:rFonts w:ascii="Courier New" w:hAnsi="Courier New" w:cs="Courier New"/>
        </w:rPr>
        <w:t>lleldín estuvo muy mal, deprimido y angustiado.</w:t>
      </w:r>
    </w:p>
    <w:p w:rsidR="00224567" w:rsidRDefault="00224567">
      <w:pPr>
        <w:pStyle w:val="Textoindependiente2"/>
        <w:widowControl w:val="0"/>
        <w:rPr>
          <w:rFonts w:ascii="Courier New" w:hAnsi="Courier New" w:cs="Courier New"/>
          <w:bCs/>
        </w:rPr>
      </w:pPr>
      <w:r>
        <w:rPr>
          <w:rFonts w:ascii="Courier New" w:hAnsi="Courier New" w:cs="Courier New"/>
          <w:bCs/>
        </w:rPr>
        <w:tab/>
        <w:t>Los testimonios precedentes, conte</w:t>
      </w:r>
      <w:r>
        <w:rPr>
          <w:rFonts w:ascii="Courier New" w:hAnsi="Courier New" w:cs="Courier New"/>
          <w:bCs/>
        </w:rPr>
        <w:t>s</w:t>
      </w:r>
      <w:r>
        <w:rPr>
          <w:rFonts w:ascii="Courier New" w:hAnsi="Courier New" w:cs="Courier New"/>
          <w:bCs/>
        </w:rPr>
        <w:t>tes a la hora de relatar el nerviosismo observado en Telle</w:t>
      </w:r>
      <w:r>
        <w:rPr>
          <w:rFonts w:ascii="Courier New" w:hAnsi="Courier New" w:cs="Courier New"/>
          <w:bCs/>
        </w:rPr>
        <w:t>l</w:t>
      </w:r>
      <w:r>
        <w:rPr>
          <w:rFonts w:ascii="Courier New" w:hAnsi="Courier New" w:cs="Courier New"/>
          <w:bCs/>
        </w:rPr>
        <w:t xml:space="preserve">dín, acreditan que, efectivamente, su estado de ánimo en los meses previos al atentado a la sede de </w:t>
      </w:r>
      <w:smartTag w:uri="urn:schemas-microsoft-com:office:smarttags" w:element="PersonName">
        <w:smartTagPr>
          <w:attr w:name="ProductID" w:val="la A.M"/>
        </w:smartTagPr>
        <w:r>
          <w:rPr>
            <w:rFonts w:ascii="Courier New" w:hAnsi="Courier New" w:cs="Courier New"/>
            <w:bCs/>
          </w:rPr>
          <w:t>la A.M</w:t>
        </w:r>
      </w:smartTag>
      <w:r>
        <w:rPr>
          <w:rFonts w:ascii="Courier New" w:hAnsi="Courier New" w:cs="Courier New"/>
          <w:bCs/>
        </w:rPr>
        <w:t>.I.A. e</w:t>
      </w:r>
      <w:r>
        <w:rPr>
          <w:rFonts w:ascii="Courier New" w:hAnsi="Courier New" w:cs="Courier New"/>
          <w:bCs/>
        </w:rPr>
        <w:t>s</w:t>
      </w:r>
      <w:r>
        <w:rPr>
          <w:rFonts w:ascii="Courier New" w:hAnsi="Courier New" w:cs="Courier New"/>
          <w:bCs/>
        </w:rPr>
        <w:t>taba afectado.</w:t>
      </w:r>
    </w:p>
    <w:p w:rsidR="00224567" w:rsidRDefault="00224567">
      <w:pPr>
        <w:pStyle w:val="Textoindependiente2"/>
        <w:widowControl w:val="0"/>
        <w:rPr>
          <w:rFonts w:ascii="Courier New" w:hAnsi="Courier New" w:cs="Courier New"/>
          <w:bCs/>
        </w:rPr>
      </w:pPr>
      <w:r>
        <w:rPr>
          <w:rFonts w:ascii="Courier New" w:hAnsi="Courier New" w:cs="Courier New"/>
          <w:bCs/>
        </w:rPr>
        <w:tab/>
        <w:t>Sin embargo, dicho estado de ánimo en modo alguno puede constituir un indicio de culpabilidad, en tanto se demostró, contrariamente a lo sostenido por los acusadores, que el humor de Telleldín se encontraba afectado bastante antes de la preparación y entrega de la camioneta que le achacan.</w:t>
      </w:r>
    </w:p>
    <w:p w:rsidR="00224567" w:rsidRDefault="00224567">
      <w:pPr>
        <w:pStyle w:val="Textoindependiente2"/>
        <w:widowControl w:val="0"/>
        <w:rPr>
          <w:rFonts w:ascii="Courier New" w:hAnsi="Courier New" w:cs="Courier New"/>
          <w:bCs/>
        </w:rPr>
      </w:pPr>
      <w:r>
        <w:rPr>
          <w:rFonts w:ascii="Courier New" w:hAnsi="Courier New" w:cs="Courier New"/>
          <w:bCs/>
        </w:rPr>
        <w:tab/>
        <w:t xml:space="preserve">En efecto, la adquisición de </w:t>
      </w:r>
      <w:smartTag w:uri="urn:schemas-microsoft-com:office:smarttags" w:element="PersonName">
        <w:smartTagPr>
          <w:attr w:name="ProductID" w:val="la Trafic"/>
        </w:smartTagPr>
        <w:r>
          <w:rPr>
            <w:rFonts w:ascii="Courier New" w:hAnsi="Courier New" w:cs="Courier New"/>
            <w:bCs/>
          </w:rPr>
          <w:t>la Tr</w:t>
        </w:r>
        <w:r>
          <w:rPr>
            <w:rFonts w:ascii="Courier New" w:hAnsi="Courier New" w:cs="Courier New"/>
            <w:bCs/>
          </w:rPr>
          <w:t>a</w:t>
        </w:r>
        <w:r>
          <w:rPr>
            <w:rFonts w:ascii="Courier New" w:hAnsi="Courier New" w:cs="Courier New"/>
            <w:bCs/>
          </w:rPr>
          <w:t>fic</w:t>
        </w:r>
      </w:smartTag>
      <w:r>
        <w:rPr>
          <w:rFonts w:ascii="Courier New" w:hAnsi="Courier New" w:cs="Courier New"/>
          <w:bCs/>
        </w:rPr>
        <w:t xml:space="preserve"> con el motor de “Messin” por parte del encartado data de la primer semana de julio de 1994 y, de acuerdo a lo d</w:t>
      </w:r>
      <w:r>
        <w:rPr>
          <w:rFonts w:ascii="Courier New" w:hAnsi="Courier New" w:cs="Courier New"/>
          <w:bCs/>
        </w:rPr>
        <w:t>e</w:t>
      </w:r>
      <w:r>
        <w:rPr>
          <w:rFonts w:ascii="Courier New" w:hAnsi="Courier New" w:cs="Courier New"/>
          <w:bCs/>
        </w:rPr>
        <w:t>clarado por Petrucci, el humor del acusado varió, negat</w:t>
      </w:r>
      <w:r>
        <w:rPr>
          <w:rFonts w:ascii="Courier New" w:hAnsi="Courier New" w:cs="Courier New"/>
          <w:bCs/>
        </w:rPr>
        <w:t>i</w:t>
      </w:r>
      <w:r>
        <w:rPr>
          <w:rFonts w:ascii="Courier New" w:hAnsi="Courier New" w:cs="Courier New"/>
          <w:bCs/>
        </w:rPr>
        <w:t>vamente, a partir del ep</w:t>
      </w:r>
      <w:r>
        <w:rPr>
          <w:rFonts w:ascii="Courier New" w:hAnsi="Courier New" w:cs="Courier New"/>
          <w:bCs/>
        </w:rPr>
        <w:t>i</w:t>
      </w:r>
      <w:r>
        <w:rPr>
          <w:rFonts w:ascii="Courier New" w:hAnsi="Courier New" w:cs="Courier New"/>
          <w:bCs/>
        </w:rPr>
        <w:t>sodio del 4 de abril de ese año, en el que fue víctima de una persecución policial; vale decir, tres meses a</w:t>
      </w:r>
      <w:r>
        <w:rPr>
          <w:rFonts w:ascii="Courier New" w:hAnsi="Courier New" w:cs="Courier New"/>
          <w:bCs/>
        </w:rPr>
        <w:t>n</w:t>
      </w:r>
      <w:r>
        <w:rPr>
          <w:rFonts w:ascii="Courier New" w:hAnsi="Courier New" w:cs="Courier New"/>
          <w:bCs/>
        </w:rPr>
        <w:t>tes.</w:t>
      </w:r>
    </w:p>
    <w:p w:rsidR="00224567" w:rsidRDefault="00224567">
      <w:pPr>
        <w:pStyle w:val="Textoindependiente2"/>
        <w:widowControl w:val="0"/>
        <w:rPr>
          <w:rFonts w:ascii="Courier New" w:hAnsi="Courier New" w:cs="Courier New"/>
          <w:bCs/>
        </w:rPr>
      </w:pPr>
      <w:r>
        <w:rPr>
          <w:rFonts w:ascii="Courier New" w:hAnsi="Courier New" w:cs="Courier New"/>
          <w:bCs/>
        </w:rPr>
        <w:tab/>
        <w:t>Así, ese comportamiento del inca</w:t>
      </w:r>
      <w:r>
        <w:rPr>
          <w:rFonts w:ascii="Courier New" w:hAnsi="Courier New" w:cs="Courier New"/>
          <w:bCs/>
        </w:rPr>
        <w:t>u</w:t>
      </w:r>
      <w:r>
        <w:rPr>
          <w:rFonts w:ascii="Courier New" w:hAnsi="Courier New" w:cs="Courier New"/>
          <w:bCs/>
        </w:rPr>
        <w:t>sado encuentra debida respuesta en la prueba colectada, por lo que una deducción diversa resulta antojadiza, sin perju</w:t>
      </w:r>
      <w:r>
        <w:rPr>
          <w:rFonts w:ascii="Courier New" w:hAnsi="Courier New" w:cs="Courier New"/>
          <w:bCs/>
        </w:rPr>
        <w:t>i</w:t>
      </w:r>
      <w:r>
        <w:rPr>
          <w:rFonts w:ascii="Courier New" w:hAnsi="Courier New" w:cs="Courier New"/>
          <w:bCs/>
        </w:rPr>
        <w:t>cio de destacarse que carecería de la exigencia de univ</w:t>
      </w:r>
      <w:r>
        <w:rPr>
          <w:rFonts w:ascii="Courier New" w:hAnsi="Courier New" w:cs="Courier New"/>
          <w:bCs/>
        </w:rPr>
        <w:t>o</w:t>
      </w:r>
      <w:r>
        <w:rPr>
          <w:rFonts w:ascii="Courier New" w:hAnsi="Courier New" w:cs="Courier New"/>
          <w:bCs/>
        </w:rPr>
        <w:t>cidad.</w:t>
      </w:r>
    </w:p>
    <w:p w:rsidR="00224567" w:rsidRDefault="00224567">
      <w:pPr>
        <w:pStyle w:val="Ttulo6"/>
        <w:keepNext w:val="0"/>
        <w:widowControl w:val="0"/>
        <w:spacing w:line="600" w:lineRule="auto"/>
        <w:rPr>
          <w:rFonts w:cs="Courier New"/>
          <w:b w:val="0"/>
          <w:bCs/>
          <w:u w:val="none"/>
        </w:rPr>
      </w:pPr>
      <w:r>
        <w:rPr>
          <w:rFonts w:cs="Courier New"/>
          <w:u w:val="none"/>
        </w:rPr>
        <w:tab/>
      </w:r>
      <w:bookmarkStart w:id="51" w:name="_Toc86676567"/>
      <w:r>
        <w:rPr>
          <w:rFonts w:cs="Courier New"/>
          <w:u w:val="none"/>
        </w:rPr>
        <w:t xml:space="preserve">B.3.h.ii) </w:t>
      </w:r>
      <w:r>
        <w:rPr>
          <w:rFonts w:cs="Courier New"/>
          <w:b w:val="0"/>
          <w:bCs/>
          <w:u w:val="none"/>
        </w:rPr>
        <w:t>Noticias del atentado - C</w:t>
      </w:r>
      <w:r>
        <w:rPr>
          <w:rFonts w:cs="Courier New"/>
          <w:b w:val="0"/>
          <w:bCs/>
          <w:u w:val="none"/>
        </w:rPr>
        <w:t>o</w:t>
      </w:r>
      <w:r>
        <w:rPr>
          <w:rFonts w:cs="Courier New"/>
          <w:b w:val="0"/>
          <w:bCs/>
          <w:u w:val="none"/>
        </w:rPr>
        <w:t>mentarios.</w:t>
      </w:r>
      <w:bookmarkEnd w:id="51"/>
    </w:p>
    <w:p w:rsidR="00224567" w:rsidRDefault="00224567">
      <w:pPr>
        <w:widowControl w:val="0"/>
      </w:pPr>
      <w:r>
        <w:tab/>
        <w:t>Al igual que en el caso anterior, los acusadores remarcaron la actitud que habría adoptado Ca</w:t>
      </w:r>
      <w:r>
        <w:t>r</w:t>
      </w:r>
      <w:r>
        <w:t>los Alberto Telleldín al enterarse del atentado por los medios de comunicación.</w:t>
      </w:r>
    </w:p>
    <w:p w:rsidR="00224567" w:rsidRDefault="00224567">
      <w:pPr>
        <w:widowControl w:val="0"/>
      </w:pPr>
      <w:r>
        <w:tab/>
        <w:t>Este tema se encuentra íntimamente e</w:t>
      </w:r>
      <w:r>
        <w:t>m</w:t>
      </w:r>
      <w:r>
        <w:t>parentado con el relativo al conocimiento que habría ten</w:t>
      </w:r>
      <w:r>
        <w:t>i</w:t>
      </w:r>
      <w:r>
        <w:t>do acerca del destino de la camioneta, cuestión que será tratada en otro acápite, limitándose el presente al est</w:t>
      </w:r>
      <w:r>
        <w:t>u</w:t>
      </w:r>
      <w:r>
        <w:t>dio del tema del epígrafe.</w:t>
      </w:r>
    </w:p>
    <w:p w:rsidR="00224567" w:rsidRDefault="00224567">
      <w:pPr>
        <w:widowControl w:val="0"/>
      </w:pPr>
      <w:r>
        <w:tab/>
        <w:t>En lo que aquí concierne, en sus d</w:t>
      </w:r>
      <w:r>
        <w:t>e</w:t>
      </w:r>
      <w:r>
        <w:t>claraciones indagatorias, Carlos Alberto Telleldín creyó recordar que s</w:t>
      </w:r>
      <w:r>
        <w:t>u</w:t>
      </w:r>
      <w:r>
        <w:t>po que se empleó una camioneta Trafic en el atentado a los cuatro o cinco días de acaecido, enteránd</w:t>
      </w:r>
      <w:r>
        <w:t>o</w:t>
      </w:r>
      <w:r>
        <w:t xml:space="preserve">se con certeza que se trataba de la suya cuando el 27 de julio, desde Posadas, habló por teléfono con personal de </w:t>
      </w:r>
      <w:smartTag w:uri="urn:schemas-microsoft-com:office:smarttags" w:element="PersonName">
        <w:smartTagPr>
          <w:attr w:name="ProductID" w:val="la S.I"/>
        </w:smartTagPr>
        <w:r>
          <w:t>la S.I</w:t>
        </w:r>
      </w:smartTag>
      <w:r>
        <w:t>.D.E.</w:t>
      </w:r>
    </w:p>
    <w:p w:rsidR="00224567" w:rsidRDefault="00224567">
      <w:pPr>
        <w:widowControl w:val="0"/>
      </w:pPr>
      <w:r>
        <w:tab/>
        <w:t>Asimismo, indicó que aproximadamente una semana después de la explosión, una vez que se dete</w:t>
      </w:r>
      <w:r>
        <w:t>r</w:t>
      </w:r>
      <w:r>
        <w:t>minó que se había utilizado una Trafic, Barreda le pregu</w:t>
      </w:r>
      <w:r>
        <w:t>n</w:t>
      </w:r>
      <w:r>
        <w:t>tó si no sería la suya, respondiéndole que no podía t</w:t>
      </w:r>
      <w:r>
        <w:t>e</w:t>
      </w:r>
      <w:r>
        <w:t>ner tanta mala suerte, en alusión a que ello se sumaba al pr</w:t>
      </w:r>
      <w:r>
        <w:t>o</w:t>
      </w:r>
      <w:r>
        <w:t xml:space="preserve">blema que tuvo con </w:t>
      </w:r>
      <w:smartTag w:uri="urn:schemas-microsoft-com:office:smarttags" w:element="PersonName">
        <w:smartTagPr>
          <w:attr w:name="ProductID" w:val="la Brigada"/>
        </w:smartTagPr>
        <w:r>
          <w:t>la Brigada</w:t>
        </w:r>
      </w:smartTag>
      <w:r>
        <w:t xml:space="preserve"> de Vicente López y a un robo que sufrió.</w:t>
      </w:r>
    </w:p>
    <w:p w:rsidR="00224567" w:rsidRDefault="00224567">
      <w:pPr>
        <w:widowControl w:val="0"/>
        <w:ind w:firstLine="2835"/>
      </w:pPr>
      <w:r>
        <w:t>También señaló que Hugo Pérez lo oyó preguntarse frente al televisor si no sería su Tr</w:t>
      </w:r>
      <w:r>
        <w:t>a</w:t>
      </w:r>
      <w:r>
        <w:t>fic, lo que obedeció a que en esos meses tuvo tres utilit</w:t>
      </w:r>
      <w:r>
        <w:t>a</w:t>
      </w:r>
      <w:r>
        <w:t>rios de ese modelo.</w:t>
      </w:r>
    </w:p>
    <w:p w:rsidR="00224567" w:rsidRDefault="00224567">
      <w:pPr>
        <w:widowControl w:val="0"/>
      </w:pPr>
      <w:r>
        <w:tab/>
        <w:t>Al respecto, Pérez manifestó que apr</w:t>
      </w:r>
      <w:r>
        <w:t>o</w:t>
      </w:r>
      <w:r>
        <w:t>ximadamente dos o tres días de</w:t>
      </w:r>
      <w:r>
        <w:t>s</w:t>
      </w:r>
      <w:r>
        <w:t>pués del atentado, tal vez el miércoles, en horas de la noche, tras las noticias em</w:t>
      </w:r>
      <w:r>
        <w:t>i</w:t>
      </w:r>
      <w:r>
        <w:t>tidas por televisión relativas al hecho, ante la posibil</w:t>
      </w:r>
      <w:r>
        <w:t>i</w:t>
      </w:r>
      <w:r>
        <w:t>dad de que el cochebomba hubiera sido una Trafic, B</w:t>
      </w:r>
      <w:r>
        <w:t>o</w:t>
      </w:r>
      <w:r>
        <w:t>ragni y Telleldín comentaron que no les había gustado el compr</w:t>
      </w:r>
      <w:r>
        <w:t>a</w:t>
      </w:r>
      <w:r>
        <w:t>dor de la camioneta. Recordó que a partir del día siguie</w:t>
      </w:r>
      <w:r>
        <w:t>n</w:t>
      </w:r>
      <w:r>
        <w:t>te ambos comenzaron a denotar un estado de nervi</w:t>
      </w:r>
      <w:r>
        <w:t>o</w:t>
      </w:r>
      <w:r>
        <w:t xml:space="preserve">sismo, a la vez que hacían acotaciones tales como “mirá si </w:t>
      </w:r>
      <w:smartTag w:uri="urn:schemas-microsoft-com:office:smarttags" w:element="PersonName">
        <w:smartTagPr>
          <w:attr w:name="ProductID" w:val="la Trafic"/>
        </w:smartTagPr>
        <w:r>
          <w:t>la Tr</w:t>
        </w:r>
        <w:r>
          <w:t>a</w:t>
        </w:r>
        <w:r>
          <w:t>fic</w:t>
        </w:r>
      </w:smartTag>
      <w:r>
        <w:t xml:space="preserve"> que vendimos es la camioneta del atentado” (sic).</w:t>
      </w:r>
    </w:p>
    <w:p w:rsidR="00224567" w:rsidRDefault="00224567">
      <w:pPr>
        <w:widowControl w:val="0"/>
      </w:pPr>
      <w:r>
        <w:tab/>
        <w:t>Sobre el particular, Ana María Bora</w:t>
      </w:r>
      <w:r>
        <w:t>g</w:t>
      </w:r>
      <w:r>
        <w:t>ni señaló que cuando por televisión comenzaron a d</w:t>
      </w:r>
      <w:r>
        <w:t>e</w:t>
      </w:r>
      <w:r>
        <w:t>cir que el atentado se había cometido con una camioneta, Telleldín, un poco en broma, acotó que lo único que faltaba era que fuera su camioneta e incluso le hizo un chiste a Hugo P</w:t>
      </w:r>
      <w:r>
        <w:t>é</w:t>
      </w:r>
      <w:r>
        <w:t>rez, diciéndole “¿vos sabés que es mi camion</w:t>
      </w:r>
      <w:r>
        <w:t>e</w:t>
      </w:r>
      <w:r>
        <w:t>ta?”.</w:t>
      </w:r>
    </w:p>
    <w:p w:rsidR="00224567" w:rsidRDefault="00224567">
      <w:pPr>
        <w:widowControl w:val="0"/>
      </w:pPr>
      <w:r>
        <w:tab/>
        <w:t>Añadió la nombrada que Telleldín co</w:t>
      </w:r>
      <w:r>
        <w:t>m</w:t>
      </w:r>
      <w:r>
        <w:t>pró una edición especial de la revista “Noticias”, que i</w:t>
      </w:r>
      <w:r>
        <w:t>n</w:t>
      </w:r>
      <w:r>
        <w:t>formaba que en la explosión se había empleado una camion</w:t>
      </w:r>
      <w:r>
        <w:t>e</w:t>
      </w:r>
      <w:r>
        <w:t>ta Trafic; que “estaba medio mal”, aunque en un princ</w:t>
      </w:r>
      <w:r>
        <w:t>i</w:t>
      </w:r>
      <w:r>
        <w:t>pio no le dio mucha trascende</w:t>
      </w:r>
      <w:r>
        <w:t>n</w:t>
      </w:r>
      <w:r>
        <w:t>cia.</w:t>
      </w:r>
    </w:p>
    <w:p w:rsidR="00224567" w:rsidRDefault="00224567">
      <w:pPr>
        <w:widowControl w:val="0"/>
      </w:pPr>
      <w:r>
        <w:tab/>
        <w:t>Negó que su marido hubiera dicho, al hacerse público el atentado, “hijos de puta, me c</w:t>
      </w:r>
      <w:r>
        <w:t>a</w:t>
      </w:r>
      <w:r>
        <w:t>garon la vida” o que ella relatara algo similar a Miriam S</w:t>
      </w:r>
      <w:r>
        <w:t>a</w:t>
      </w:r>
      <w:r>
        <w:t>linas.</w:t>
      </w:r>
    </w:p>
    <w:p w:rsidR="00224567" w:rsidRDefault="00224567">
      <w:pPr>
        <w:pStyle w:val="Textoindependiente2"/>
        <w:widowControl w:val="0"/>
        <w:ind w:firstLine="2835"/>
        <w:rPr>
          <w:rFonts w:ascii="Courier New" w:hAnsi="Courier New" w:cs="Courier New"/>
        </w:rPr>
      </w:pPr>
      <w:r>
        <w:rPr>
          <w:rFonts w:ascii="Courier New" w:hAnsi="Courier New" w:cs="Courier New"/>
        </w:rPr>
        <w:t>Por su parte, Salinas refirió que el día del atentado, al mediodía, vio a Boragni en el t</w:t>
      </w:r>
      <w:r>
        <w:rPr>
          <w:rFonts w:ascii="Courier New" w:hAnsi="Courier New" w:cs="Courier New"/>
        </w:rPr>
        <w:t>a</w:t>
      </w:r>
      <w:r>
        <w:rPr>
          <w:rFonts w:ascii="Courier New" w:hAnsi="Courier New" w:cs="Courier New"/>
        </w:rPr>
        <w:t>ller de Nitzcaner. En el lugar, puntualizó, también se enco</w:t>
      </w:r>
      <w:r>
        <w:rPr>
          <w:rFonts w:ascii="Courier New" w:hAnsi="Courier New" w:cs="Courier New"/>
        </w:rPr>
        <w:t>n</w:t>
      </w:r>
      <w:r>
        <w:rPr>
          <w:rFonts w:ascii="Courier New" w:hAnsi="Courier New" w:cs="Courier New"/>
        </w:rPr>
        <w:t>traban su marido, Nitzcaner, el socio y un muchacho gord</w:t>
      </w:r>
      <w:r>
        <w:rPr>
          <w:rFonts w:ascii="Courier New" w:hAnsi="Courier New" w:cs="Courier New"/>
        </w:rPr>
        <w:t>i</w:t>
      </w:r>
      <w:r>
        <w:rPr>
          <w:rFonts w:ascii="Courier New" w:hAnsi="Courier New" w:cs="Courier New"/>
        </w:rPr>
        <w:t>to con la novia. Acotó que Boragni comentó, riéndose, “e</w:t>
      </w:r>
      <w:r>
        <w:rPr>
          <w:rFonts w:ascii="Courier New" w:hAnsi="Courier New" w:cs="Courier New"/>
        </w:rPr>
        <w:t>s</w:t>
      </w:r>
      <w:r>
        <w:rPr>
          <w:rFonts w:ascii="Courier New" w:hAnsi="Courier New" w:cs="Courier New"/>
        </w:rPr>
        <w:t>te Enano se pasó, ya se pasó de mentiroso”, ante lo cual Nitzcaner le hizo saber a su marido que Telleldín decía que había vendido la camioneta que expl</w:t>
      </w:r>
      <w:r>
        <w:rPr>
          <w:rFonts w:ascii="Courier New" w:hAnsi="Courier New" w:cs="Courier New"/>
        </w:rPr>
        <w:t>o</w:t>
      </w:r>
      <w:r>
        <w:rPr>
          <w:rFonts w:ascii="Courier New" w:hAnsi="Courier New" w:cs="Courier New"/>
        </w:rPr>
        <w:t xml:space="preserve">tó en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.I.A.</w:t>
      </w:r>
    </w:p>
    <w:p w:rsidR="00224567" w:rsidRDefault="00224567">
      <w:pPr>
        <w:pStyle w:val="Textoindependiente2"/>
        <w:widowControl w:val="0"/>
        <w:rPr>
          <w:rFonts w:ascii="Courier New" w:hAnsi="Courier New" w:cs="Courier New"/>
          <w:bCs/>
        </w:rPr>
      </w:pPr>
      <w:r>
        <w:rPr>
          <w:rFonts w:ascii="Courier New" w:hAnsi="Courier New" w:cs="Courier New"/>
        </w:rPr>
        <w:tab/>
        <w:t>Aclaró que si bien a Boragni le caus</w:t>
      </w:r>
      <w:r>
        <w:rPr>
          <w:rFonts w:ascii="Courier New" w:hAnsi="Courier New" w:cs="Courier New"/>
        </w:rPr>
        <w:t>a</w:t>
      </w:r>
      <w:r>
        <w:rPr>
          <w:rFonts w:ascii="Courier New" w:hAnsi="Courier New" w:cs="Courier New"/>
        </w:rPr>
        <w:t xml:space="preserve">ba gracia, después le transmitió su preocupación porque, según decía, Telleldín estaba con un “ataque de histeria”, </w:t>
      </w:r>
      <w:r>
        <w:rPr>
          <w:rFonts w:ascii="Courier New" w:hAnsi="Courier New" w:cs="Courier New"/>
          <w:bCs/>
        </w:rPr>
        <w:t>encerrado en la habitación frente al televisor, gritando “me cagaron la vida estos hijos de puta”. Agregó que se trataba de la camioneta que estuvo en ese taller y que vendiera el fin de semana a</w:t>
      </w:r>
      <w:r>
        <w:rPr>
          <w:rFonts w:ascii="Courier New" w:hAnsi="Courier New" w:cs="Courier New"/>
          <w:bCs/>
        </w:rPr>
        <w:t>n</w:t>
      </w:r>
      <w:r>
        <w:rPr>
          <w:rFonts w:ascii="Courier New" w:hAnsi="Courier New" w:cs="Courier New"/>
          <w:bCs/>
        </w:rPr>
        <w:t>terior. En ese momento, acotó, aún no se mencionaba en los medios periodísticos que se trataba de una c</w:t>
      </w:r>
      <w:r>
        <w:rPr>
          <w:rFonts w:ascii="Courier New" w:hAnsi="Courier New" w:cs="Courier New"/>
          <w:bCs/>
        </w:rPr>
        <w:t>a</w:t>
      </w:r>
      <w:r>
        <w:rPr>
          <w:rFonts w:ascii="Courier New" w:hAnsi="Courier New" w:cs="Courier New"/>
          <w:bCs/>
        </w:rPr>
        <w:t>mioneta.</w:t>
      </w:r>
    </w:p>
    <w:p w:rsidR="00224567" w:rsidRDefault="00224567">
      <w:pPr>
        <w:pStyle w:val="Textoindependiente2"/>
        <w:widowControl w:val="0"/>
        <w:rPr>
          <w:rFonts w:ascii="Courier New" w:hAnsi="Courier New" w:cs="Courier New"/>
          <w:bCs/>
        </w:rPr>
      </w:pPr>
      <w:r>
        <w:rPr>
          <w:rFonts w:ascii="Courier New" w:hAnsi="Courier New" w:cs="Courier New"/>
          <w:bCs/>
        </w:rPr>
        <w:tab/>
        <w:t>Manifestó Salinas que al día siguiente pasó nuevamente con su marido por el taller de Nit</w:t>
      </w:r>
      <w:r>
        <w:rPr>
          <w:rFonts w:ascii="Courier New" w:hAnsi="Courier New" w:cs="Courier New"/>
          <w:bCs/>
        </w:rPr>
        <w:t>z</w:t>
      </w:r>
      <w:r>
        <w:rPr>
          <w:rFonts w:ascii="Courier New" w:hAnsi="Courier New" w:cs="Courier New"/>
          <w:bCs/>
        </w:rPr>
        <w:t>caner, quien refirió que, según Boragni, Telleldín había huido. Al otro día, señaló, un muchacho del kiosco de enfrente les informó que “reventaron a Nitzcaner”, secuestraron t</w:t>
      </w:r>
      <w:r>
        <w:rPr>
          <w:rFonts w:ascii="Courier New" w:hAnsi="Courier New" w:cs="Courier New"/>
          <w:bCs/>
        </w:rPr>
        <w:t>o</w:t>
      </w:r>
      <w:r>
        <w:rPr>
          <w:rFonts w:ascii="Courier New" w:hAnsi="Courier New" w:cs="Courier New"/>
          <w:bCs/>
        </w:rPr>
        <w:t>do y lo detuvieron.</w:t>
      </w:r>
    </w:p>
    <w:p w:rsidR="00224567" w:rsidRDefault="00224567">
      <w:pPr>
        <w:pStyle w:val="Textoindependiente2"/>
        <w:widowControl w:val="0"/>
        <w:rPr>
          <w:rFonts w:ascii="Courier New" w:hAnsi="Courier New" w:cs="Courier New"/>
          <w:szCs w:val="24"/>
          <w:lang w:val="es-AR"/>
        </w:rPr>
      </w:pPr>
      <w:r>
        <w:rPr>
          <w:rFonts w:ascii="Courier New" w:hAnsi="Courier New" w:cs="Courier New"/>
        </w:rPr>
        <w:tab/>
        <w:t xml:space="preserve">Al respecto, </w:t>
      </w:r>
      <w:r>
        <w:rPr>
          <w:rFonts w:ascii="Courier New" w:hAnsi="Courier New" w:cs="Courier New"/>
          <w:szCs w:val="24"/>
          <w:lang w:val="es-AR"/>
        </w:rPr>
        <w:t>Néstor Ricardo Herná</w:t>
      </w:r>
      <w:r>
        <w:rPr>
          <w:rFonts w:ascii="Courier New" w:hAnsi="Courier New" w:cs="Courier New"/>
          <w:szCs w:val="24"/>
          <w:lang w:val="es-AR"/>
        </w:rPr>
        <w:t>n</w:t>
      </w:r>
      <w:r>
        <w:rPr>
          <w:rFonts w:ascii="Courier New" w:hAnsi="Courier New" w:cs="Courier New"/>
          <w:szCs w:val="24"/>
          <w:lang w:val="es-AR"/>
        </w:rPr>
        <w:t xml:space="preserve">dez contó que en su domicilio, luego del hallazgo del motor, Boragni comentó que se había imaginado que la camioneta que vendieron fue la utilizada en la explosión de </w:t>
      </w:r>
      <w:smartTag w:uri="urn:schemas-microsoft-com:office:smarttags" w:element="PersonName">
        <w:smartTagPr>
          <w:attr w:name="ProductID" w:val="la A.M"/>
        </w:smartTagPr>
        <w:r>
          <w:rPr>
            <w:rFonts w:ascii="Courier New" w:hAnsi="Courier New" w:cs="Courier New"/>
            <w:szCs w:val="24"/>
            <w:lang w:val="es-AR"/>
          </w:rPr>
          <w:t>la A.M</w:t>
        </w:r>
      </w:smartTag>
      <w:r>
        <w:rPr>
          <w:rFonts w:ascii="Courier New" w:hAnsi="Courier New" w:cs="Courier New"/>
          <w:szCs w:val="24"/>
          <w:lang w:val="es-AR"/>
        </w:rPr>
        <w:t>.I.A.; que tenía ese presentimiento después de las n</w:t>
      </w:r>
      <w:r>
        <w:rPr>
          <w:rFonts w:ascii="Courier New" w:hAnsi="Courier New" w:cs="Courier New"/>
          <w:szCs w:val="24"/>
          <w:lang w:val="es-AR"/>
        </w:rPr>
        <w:t>o</w:t>
      </w:r>
      <w:r>
        <w:rPr>
          <w:rFonts w:ascii="Courier New" w:hAnsi="Courier New" w:cs="Courier New"/>
          <w:szCs w:val="24"/>
          <w:lang w:val="es-AR"/>
        </w:rPr>
        <w:t>ticias televisivas y por eso, aparentemente, Telleldín h</w:t>
      </w:r>
      <w:r>
        <w:rPr>
          <w:rFonts w:ascii="Courier New" w:hAnsi="Courier New" w:cs="Courier New"/>
          <w:szCs w:val="24"/>
          <w:lang w:val="es-AR"/>
        </w:rPr>
        <w:t>a</w:t>
      </w:r>
      <w:r>
        <w:rPr>
          <w:rFonts w:ascii="Courier New" w:hAnsi="Courier New" w:cs="Courier New"/>
          <w:szCs w:val="24"/>
          <w:lang w:val="es-AR"/>
        </w:rPr>
        <w:t>bía huido.</w:t>
      </w:r>
    </w:p>
    <w:p w:rsidR="00224567" w:rsidRDefault="00224567">
      <w:pPr>
        <w:widowControl w:val="0"/>
        <w:ind w:firstLine="2835"/>
      </w:pPr>
      <w:r>
        <w:t>En tal sentido, según lo declarado por Roberto Jorge Saller, Boragni mencionó que a raíz del at</w:t>
      </w:r>
      <w:r>
        <w:t>a</w:t>
      </w:r>
      <w:r>
        <w:t>que, la difusión en los periódicos y otros medios de com</w:t>
      </w:r>
      <w:r>
        <w:t>u</w:t>
      </w:r>
      <w:r>
        <w:t>nicación, le dijo al marido, en alusión a la camion</w:t>
      </w:r>
      <w:r>
        <w:t>e</w:t>
      </w:r>
      <w:r>
        <w:t>ta, “a ver si es la que vendiste vos”, a lo que le respondió que lo desconocía, pero estaba muy preocup</w:t>
      </w:r>
      <w:r>
        <w:t>a</w:t>
      </w:r>
      <w:r>
        <w:t>do.</w:t>
      </w:r>
    </w:p>
    <w:p w:rsidR="00224567" w:rsidRDefault="00224567">
      <w:pPr>
        <w:widowControl w:val="0"/>
      </w:pPr>
      <w:r>
        <w:tab/>
        <w:t>De los testimonios reseñados surge que, una vez que por los medios de comunicación se dio a conocer que el atentado se había cometido con una camion</w:t>
      </w:r>
      <w:r>
        <w:t>e</w:t>
      </w:r>
      <w:r>
        <w:t>ta Trafic como cochebomba, Telleldín se preoc</w:t>
      </w:r>
      <w:r>
        <w:t>u</w:t>
      </w:r>
      <w:r>
        <w:t>pó y comenzó a sospechar que podría tratarse de la s</w:t>
      </w:r>
      <w:r>
        <w:t>u</w:t>
      </w:r>
      <w:r>
        <w:t>ya.</w:t>
      </w:r>
    </w:p>
    <w:p w:rsidR="00224567" w:rsidRDefault="00224567">
      <w:pPr>
        <w:widowControl w:val="0"/>
      </w:pPr>
      <w:r>
        <w:tab/>
        <w:t>Sin embargo, esta circunstancia, más que un indicio de culpabilidad, constituye una confirm</w:t>
      </w:r>
      <w:r>
        <w:t>a</w:t>
      </w:r>
      <w:r>
        <w:t>ción de que era ajeno al hecho, por cuanto su sorpresa r</w:t>
      </w:r>
      <w:r>
        <w:t>e</w:t>
      </w:r>
      <w:r>
        <w:t>sulta incompatible con el conocimiento previo que se le ach</w:t>
      </w:r>
      <w:r>
        <w:t>a</w:t>
      </w:r>
      <w:r>
        <w:t>ca.</w:t>
      </w:r>
    </w:p>
    <w:p w:rsidR="00224567" w:rsidRDefault="00224567">
      <w:pPr>
        <w:widowControl w:val="0"/>
      </w:pPr>
      <w:r>
        <w:tab/>
        <w:t>La participación necesaria en el il</w:t>
      </w:r>
      <w:r>
        <w:t>í</w:t>
      </w:r>
      <w:r>
        <w:t>cito que se le enrostra se configura, en el caso, con un aporte previo, doloso, con conocimiento y voluntad de c</w:t>
      </w:r>
      <w:r>
        <w:t>o</w:t>
      </w:r>
      <w:r>
        <w:t>laborar en la comisión del suceso.</w:t>
      </w:r>
    </w:p>
    <w:p w:rsidR="00224567" w:rsidRDefault="00224567">
      <w:pPr>
        <w:widowControl w:val="0"/>
        <w:ind w:firstLine="2835"/>
      </w:pPr>
      <w:r>
        <w:t>Según l</w:t>
      </w:r>
      <w:r>
        <w:t>a</w:t>
      </w:r>
      <w:r>
        <w:t xml:space="preserve"> querella unificada D.A.I.A., A.M.I.A. y “Grupo de Familiares”, con cita en los dichos de Stiuso, desde el miércoles posterior al atentado T</w:t>
      </w:r>
      <w:r>
        <w:t>e</w:t>
      </w:r>
      <w:r>
        <w:t>lleldín suponía que la camioneta utilizada era la suya; en tales condiciones, partiendo de la premisa de los requ</w:t>
      </w:r>
      <w:r>
        <w:t>i</w:t>
      </w:r>
      <w:r>
        <w:t>rentes, la relación temporal conduce a la conclusión co</w:t>
      </w:r>
      <w:r>
        <w:t>n</w:t>
      </w:r>
      <w:r>
        <w:t>traria a la que pretenden, toda vez que, en definitiva, afirman que no conocía el destino del vehículo al despre</w:t>
      </w:r>
      <w:r>
        <w:t>n</w:t>
      </w:r>
      <w:r>
        <w:t>derse de éste.</w:t>
      </w:r>
    </w:p>
    <w:p w:rsidR="00224567" w:rsidRDefault="00224567">
      <w:pPr>
        <w:widowControl w:val="0"/>
      </w:pPr>
      <w:r>
        <w:tab/>
        <w:t>Resulta claro que el análisis de la responsabilidad penal debe retrotraerse al momento del s</w:t>
      </w:r>
      <w:r>
        <w:t>u</w:t>
      </w:r>
      <w:r>
        <w:t>puesto aporte. A tales efectos, es irrelevante que luego de producido el hecho el acusado a</w:t>
      </w:r>
      <w:r>
        <w:t>d</w:t>
      </w:r>
      <w:r>
        <w:t>vierta que un elemento entregado por él se hubiese empleado para su com</w:t>
      </w:r>
      <w:r>
        <w:t>i</w:t>
      </w:r>
      <w:r>
        <w:t>sión.</w:t>
      </w:r>
    </w:p>
    <w:p w:rsidR="00224567" w:rsidRDefault="00224567">
      <w:pPr>
        <w:widowControl w:val="0"/>
      </w:pPr>
      <w:r>
        <w:tab/>
        <w:t>En el caso, Carlos Alberto Telleldín refirió que se enteró que el atentado se perpetró con una Trafic a los cuatro o cinco días de acaecido; dato que se compadece con lo declarado por Pérez, en el se</w:t>
      </w:r>
      <w:r>
        <w:t>n</w:t>
      </w:r>
      <w:r>
        <w:t>tido de que al cuarto día el matrimonio Telleldín sabía que posibl</w:t>
      </w:r>
      <w:r>
        <w:t>e</w:t>
      </w:r>
      <w:r>
        <w:t>mente el cochebomba fuera una Trafic, advirtiendo un est</w:t>
      </w:r>
      <w:r>
        <w:t>a</w:t>
      </w:r>
      <w:r>
        <w:t>do de nerviosismo en ellos.</w:t>
      </w:r>
    </w:p>
    <w:p w:rsidR="00224567" w:rsidRDefault="00224567">
      <w:pPr>
        <w:widowControl w:val="0"/>
      </w:pPr>
      <w:r>
        <w:tab/>
        <w:t>Además, lo expuesto acerca de las n</w:t>
      </w:r>
      <w:r>
        <w:t>o</w:t>
      </w:r>
      <w:r>
        <w:t>ticias periodísticas concuerda con lo publicado en el di</w:t>
      </w:r>
      <w:r>
        <w:t>a</w:t>
      </w:r>
      <w:r>
        <w:t>rio “Clarín” del 22 de julio, que da cuenta del hallazgo de restos de una cami</w:t>
      </w:r>
      <w:r>
        <w:t>o</w:t>
      </w:r>
      <w:r>
        <w:t>neta de ese modelo.</w:t>
      </w:r>
    </w:p>
    <w:p w:rsidR="00224567" w:rsidRDefault="00224567">
      <w:pPr>
        <w:widowControl w:val="0"/>
      </w:pPr>
      <w:r>
        <w:tab/>
        <w:t>Párrafo aparte merecen los dichos de Miriam Raquel Salinas, que, como se especificó, prese</w:t>
      </w:r>
      <w:r>
        <w:t>n</w:t>
      </w:r>
      <w:r>
        <w:t>tan aristas particulares. Sin perjuicio de ello, se debe r</w:t>
      </w:r>
      <w:r>
        <w:t>e</w:t>
      </w:r>
      <w:r>
        <w:t>saltar que la nombrada, en su exposición, por lo menos erró al referir las fechas en que habrían tenido lugar los acontecimientos que narrara. En efecto, sostuvo que e</w:t>
      </w:r>
      <w:r>
        <w:t>s</w:t>
      </w:r>
      <w:r>
        <w:t>tuvo con Boragni el día del atentado, pero ubicó el allanamie</w:t>
      </w:r>
      <w:r>
        <w:t>n</w:t>
      </w:r>
      <w:r>
        <w:t>to al taller de Nitzcaner dos días después, es decir, el 20 de julio de 1994, cuando en realidad se produjo el 28 de ese mes y año (</w:t>
      </w:r>
      <w:r>
        <w:rPr>
          <w:spacing w:val="-2"/>
        </w:rPr>
        <w:t>cónf.</w:t>
      </w:r>
      <w:r>
        <w:t xml:space="preserve"> acta de fs. 409vta./410).</w:t>
      </w:r>
    </w:p>
    <w:p w:rsidR="00224567" w:rsidRDefault="00224567">
      <w:pPr>
        <w:widowControl w:val="0"/>
      </w:pPr>
      <w:r>
        <w:tab/>
        <w:t>A ello se aduna que Boragni negó esos comentarios, en tanto Nitzcaner en ningún momento al</w:t>
      </w:r>
      <w:r>
        <w:t>u</w:t>
      </w:r>
      <w:r>
        <w:t>dió a una reunión en su taller el día del atentado, ocasión en que Boragni, en su presencia, la de Salinas y los demás nombrados por ésta, hubiera mencionado la actitud de T</w:t>
      </w:r>
      <w:r>
        <w:t>e</w:t>
      </w:r>
      <w:r>
        <w:t>lleldín. Así, las apreciaciones de Salinas resultan, cua</w:t>
      </w:r>
      <w:r>
        <w:t>n</w:t>
      </w:r>
      <w:r>
        <w:t>to menos, dud</w:t>
      </w:r>
      <w:r>
        <w:t>o</w:t>
      </w:r>
      <w:r>
        <w:t>sas.</w:t>
      </w:r>
    </w:p>
    <w:p w:rsidR="00224567" w:rsidRDefault="00224567">
      <w:pPr>
        <w:widowControl w:val="0"/>
      </w:pPr>
      <w:r>
        <w:tab/>
        <w:t>En definitiva, la actitud posterior de Telleldín, frente a la posibilidad de que el cochebomba utilizado fuera su camioneta, no constituye un indicio de cargo, pues de ella no puede inferirse, razonabl</w:t>
      </w:r>
      <w:r>
        <w:t>e</w:t>
      </w:r>
      <w:r>
        <w:t xml:space="preserve">mente, el conocimiento del destino de </w:t>
      </w:r>
      <w:smartTag w:uri="urn:schemas-microsoft-com:office:smarttags" w:element="PersonName">
        <w:smartTagPr>
          <w:attr w:name="ProductID" w:val="la Trafic"/>
        </w:smartTagPr>
        <w:r>
          <w:t>la Trafic</w:t>
        </w:r>
      </w:smartTag>
      <w:r>
        <w:t>, que debió tener al momento de la entrega de la camioneta. Por el contrario, la aludida sorpresa resulta incompatible con el saber pr</w:t>
      </w:r>
      <w:r>
        <w:t>e</w:t>
      </w:r>
      <w:r>
        <w:t>vio requerido al partíc</w:t>
      </w:r>
      <w:r>
        <w:t>i</w:t>
      </w:r>
      <w:r>
        <w:t>pe.</w:t>
      </w:r>
    </w:p>
    <w:p w:rsidR="00224567" w:rsidRDefault="00224567">
      <w:pPr>
        <w:pStyle w:val="Ttulo6"/>
        <w:keepNext w:val="0"/>
        <w:widowControl w:val="0"/>
        <w:spacing w:line="600" w:lineRule="auto"/>
        <w:rPr>
          <w:rFonts w:cs="Courier New"/>
          <w:b w:val="0"/>
          <w:bCs/>
          <w:u w:val="none"/>
        </w:rPr>
      </w:pPr>
      <w:r>
        <w:rPr>
          <w:rFonts w:cs="Courier New"/>
          <w:u w:val="none"/>
        </w:rPr>
        <w:tab/>
      </w:r>
      <w:bookmarkStart w:id="52" w:name="_Toc86676568"/>
      <w:r>
        <w:rPr>
          <w:rFonts w:cs="Courier New"/>
          <w:u w:val="none"/>
        </w:rPr>
        <w:t xml:space="preserve">B.3.h.iii) </w:t>
      </w:r>
      <w:r>
        <w:rPr>
          <w:rFonts w:cs="Courier New"/>
          <w:b w:val="0"/>
          <w:bCs/>
          <w:u w:val="none"/>
        </w:rPr>
        <w:t>Otros comentarios.</w:t>
      </w:r>
      <w:bookmarkEnd w:id="52"/>
    </w:p>
    <w:p w:rsidR="00224567" w:rsidRDefault="00224567">
      <w:pPr>
        <w:widowControl w:val="0"/>
      </w:pPr>
      <w:r>
        <w:tab/>
        <w:t xml:space="preserve">Por último, restan considerar otros comentarios relacionados con </w:t>
      </w:r>
      <w:smartTag w:uri="urn:schemas-microsoft-com:office:smarttags" w:element="PersonName">
        <w:smartTagPr>
          <w:attr w:name="ProductID" w:val="la Trafic"/>
        </w:smartTagPr>
        <w:r>
          <w:t>la Trafic</w:t>
        </w:r>
      </w:smartTag>
      <w:r>
        <w:t xml:space="preserve"> supuestamente e</w:t>
      </w:r>
      <w:r>
        <w:t>m</w:t>
      </w:r>
      <w:r>
        <w:t>pleada en el atentado, que Telleldín o Boragni habrían efectuado a personas de su conocimie</w:t>
      </w:r>
      <w:r>
        <w:t>n</w:t>
      </w:r>
      <w:r>
        <w:t>to.</w:t>
      </w:r>
    </w:p>
    <w:p w:rsidR="00224567" w:rsidRDefault="00224567">
      <w:pPr>
        <w:widowControl w:val="0"/>
      </w:pPr>
      <w:r>
        <w:tab/>
        <w:t>En tal sentido, Ariel Rodolfo Nit</w:t>
      </w:r>
      <w:r>
        <w:t>z</w:t>
      </w:r>
      <w:r>
        <w:t>caner afirmó, al prestar declaración indagatoria, que lu</w:t>
      </w:r>
      <w:r>
        <w:t>e</w:t>
      </w:r>
      <w:r>
        <w:t>go de ocurrido el atentado, Telleldín y Boragni risueñ</w:t>
      </w:r>
      <w:r>
        <w:t>a</w:t>
      </w:r>
      <w:r>
        <w:t>mente comentaron la posibilidad de que la camioneta util</w:t>
      </w:r>
      <w:r>
        <w:t>i</w:t>
      </w:r>
      <w:r>
        <w:t>zada fuese la que vendieran; que cuando Boragni recuperó su libertad le comentó, telefónicamente, que el vehículo empleado en el hecho efectivamente fue el arreglado en su taller.</w:t>
      </w:r>
    </w:p>
    <w:p w:rsidR="00224567" w:rsidRDefault="00224567">
      <w:pPr>
        <w:widowControl w:val="0"/>
      </w:pPr>
      <w:r>
        <w:tab/>
        <w:t>Sin embargo, Ana María Boragni no r</w:t>
      </w:r>
      <w:r>
        <w:t>e</w:t>
      </w:r>
      <w:r>
        <w:t>cordó haber comentado a Nitzcaner, antes de la detención de Telleldín, que la camioneta que explotó sería la vend</w:t>
      </w:r>
      <w:r>
        <w:t>i</w:t>
      </w:r>
      <w:r>
        <w:t>da por éste. Ello sin perjuicio de que al leérsele la transcripción de la escucha telef</w:t>
      </w:r>
      <w:r>
        <w:t>ó</w:t>
      </w:r>
      <w:r>
        <w:t xml:space="preserve">nica del 27 de julio de 1994, según la cual le habría dicho a Nitzcaner que </w:t>
      </w:r>
      <w:smartTag w:uri="urn:schemas-microsoft-com:office:smarttags" w:element="PersonName">
        <w:smartTagPr>
          <w:attr w:name="ProductID" w:val="la Trafic"/>
        </w:smartTagPr>
        <w:r>
          <w:t>la Trafic</w:t>
        </w:r>
      </w:smartTag>
      <w:r>
        <w:t xml:space="preserve"> fue a lo de “dije”, explicó que, si bien no reco</w:t>
      </w:r>
      <w:r>
        <w:t>r</w:t>
      </w:r>
      <w:r>
        <w:t>daba la conversación, de haber existido suponía que se h</w:t>
      </w:r>
      <w:r>
        <w:t>a</w:t>
      </w:r>
      <w:r>
        <w:t>bría referido a que fue a lo de Guillermo C</w:t>
      </w:r>
      <w:r>
        <w:t>o</w:t>
      </w:r>
      <w:r>
        <w:t>toras.</w:t>
      </w:r>
    </w:p>
    <w:p w:rsidR="00224567" w:rsidRDefault="00224567">
      <w:pPr>
        <w:widowControl w:val="0"/>
      </w:pPr>
      <w:r>
        <w:tab/>
        <w:t>A su turno, Marcelo Fabián Jouce d</w:t>
      </w:r>
      <w:r>
        <w:t>e</w:t>
      </w:r>
      <w:r>
        <w:t>claró que después del atentado, Nitzcaner habló con la m</w:t>
      </w:r>
      <w:r>
        <w:t>u</w:t>
      </w:r>
      <w:r>
        <w:t>jer de Telleldín, quien hizo una acotación como “mirá si era la camioneta, la nuestra” o “mirá si era la c</w:t>
      </w:r>
      <w:r>
        <w:t>a</w:t>
      </w:r>
      <w:r>
        <w:t>mioneta, justo la que estuvo en el t</w:t>
      </w:r>
      <w:r>
        <w:t>a</w:t>
      </w:r>
      <w:r>
        <w:t>ller”.</w:t>
      </w:r>
    </w:p>
    <w:p w:rsidR="00224567" w:rsidRDefault="00224567">
      <w:pPr>
        <w:widowControl w:val="0"/>
      </w:pPr>
      <w:r>
        <w:tab/>
        <w:t>Por otra parte, Zulema Beatriz Filom</w:t>
      </w:r>
      <w:r>
        <w:t>e</w:t>
      </w:r>
      <w:r>
        <w:t>na Leoni de Vicente, vecina de Telleldín en la calle Rep</w:t>
      </w:r>
      <w:r>
        <w:t>ú</w:t>
      </w:r>
      <w:r>
        <w:t>blica, declaró que la señora Ana María le dijo que el m</w:t>
      </w:r>
      <w:r>
        <w:t>a</w:t>
      </w:r>
      <w:r>
        <w:t>rido no estaba porque había hecho una estafa de $ 500.000. Adunó que los hijos de Ana concurrían al Col</w:t>
      </w:r>
      <w:r>
        <w:t>e</w:t>
      </w:r>
      <w:r>
        <w:t>gio nº 27 y, según le parecía, uno de ellos hizo una manife</w:t>
      </w:r>
      <w:r>
        <w:t>s</w:t>
      </w:r>
      <w:r>
        <w:t xml:space="preserve">tación a su maestra vinculada con </w:t>
      </w:r>
      <w:smartTag w:uri="urn:schemas-microsoft-com:office:smarttags" w:element="PersonName">
        <w:smartTagPr>
          <w:attr w:name="ProductID" w:val="la Trafic"/>
        </w:smartTagPr>
        <w:r>
          <w:t>la Trafic</w:t>
        </w:r>
      </w:smartTag>
      <w:r>
        <w:t xml:space="preserve"> del atentado, aunque de</w:t>
      </w:r>
      <w:r>
        <w:t>s</w:t>
      </w:r>
      <w:r>
        <w:t>conocía en qué momento tuvo l</w:t>
      </w:r>
      <w:r>
        <w:t>u</w:t>
      </w:r>
      <w:r>
        <w:t>gar el comentario.</w:t>
      </w:r>
    </w:p>
    <w:p w:rsidR="00224567" w:rsidRDefault="00224567">
      <w:pPr>
        <w:widowControl w:val="0"/>
      </w:pPr>
      <w:r>
        <w:tab/>
        <w:t>Al respecto, supuso Boragni que de</w:t>
      </w:r>
      <w:r>
        <w:t>s</w:t>
      </w:r>
      <w:r>
        <w:t>pués de la detención de Telleldín, sus hijos algo coment</w:t>
      </w:r>
      <w:r>
        <w:t>a</w:t>
      </w:r>
      <w:r>
        <w:t xml:space="preserve">ron en el colegio sobre la venta de </w:t>
      </w:r>
      <w:smartTag w:uri="urn:schemas-microsoft-com:office:smarttags" w:element="PersonName">
        <w:smartTagPr>
          <w:attr w:name="ProductID" w:val="la Trafic"/>
        </w:smartTagPr>
        <w:r>
          <w:t>la Trafic</w:t>
        </w:r>
      </w:smartTag>
      <w:r>
        <w:t>, pero no a</w:t>
      </w:r>
      <w:r>
        <w:t>n</w:t>
      </w:r>
      <w:r>
        <w:t>tes de ese m</w:t>
      </w:r>
      <w:r>
        <w:t>o</w:t>
      </w:r>
      <w:r>
        <w:t>mento.</w:t>
      </w:r>
    </w:p>
    <w:p w:rsidR="00224567" w:rsidRDefault="00224567">
      <w:pPr>
        <w:widowControl w:val="0"/>
      </w:pPr>
      <w:r>
        <w:tab/>
        <w:t>Asimismo, la nombrada indicó que ll</w:t>
      </w:r>
      <w:r>
        <w:t>a</w:t>
      </w:r>
      <w:r>
        <w:t>mó a la inmobiliaria “Richter”, debido a que no t</w:t>
      </w:r>
      <w:r>
        <w:t>e</w:t>
      </w:r>
      <w:r>
        <w:t>nía dinero para afrontar la renta, comentando que su marido estaba detenido porque había vendido la camioneta que e</w:t>
      </w:r>
      <w:r>
        <w:t>x</w:t>
      </w:r>
      <w:r>
        <w:t xml:space="preserve">plotó en </w:t>
      </w:r>
      <w:smartTag w:uri="urn:schemas-microsoft-com:office:smarttags" w:element="PersonName">
        <w:smartTagPr>
          <w:attr w:name="ProductID" w:val="la A.M"/>
        </w:smartTagPr>
        <w:r>
          <w:t>la A.M</w:t>
        </w:r>
      </w:smartTag>
      <w:r>
        <w:t>.I.A.. No recordó si lo hizo el día del ate</w:t>
      </w:r>
      <w:r>
        <w:t>n</w:t>
      </w:r>
      <w:r>
        <w:t>tado.</w:t>
      </w:r>
    </w:p>
    <w:p w:rsidR="00224567" w:rsidRDefault="00224567">
      <w:pPr>
        <w:widowControl w:val="0"/>
      </w:pPr>
      <w:r>
        <w:tab/>
        <w:t>En este sentido, Olga Richter e</w:t>
      </w:r>
      <w:r>
        <w:t>x</w:t>
      </w:r>
      <w:r>
        <w:t>presó que el día de la detención de Telleldín llamó a Boragni, quien comentó que al marido lo habían det</w:t>
      </w:r>
      <w:r>
        <w:t>e</w:t>
      </w:r>
      <w:r>
        <w:t>nido por el caso A.M.I.A., porque lo vinculaban con la venta de una cami</w:t>
      </w:r>
      <w:r>
        <w:t>o</w:t>
      </w:r>
      <w:r>
        <w:t>neta Trafic que intervino en el atentado, pero no tenía nada que ver. Luego recordó que su empleado la fue a bu</w:t>
      </w:r>
      <w:r>
        <w:t>s</w:t>
      </w:r>
      <w:r>
        <w:t>car a su casa alrededor a las 10, informándole que había llamado Boragni, por cuanto el marido había tenido un pr</w:t>
      </w:r>
      <w:r>
        <w:t>o</w:t>
      </w:r>
      <w:r>
        <w:t>blema con el caso A.M.I.A..</w:t>
      </w:r>
      <w:r>
        <w:rPr>
          <w:bCs/>
        </w:rPr>
        <w:t xml:space="preserve"> Si bien no recordó si cuando habló con la nombrada ésta también le indicó que tenía m</w:t>
      </w:r>
      <w:r>
        <w:rPr>
          <w:bCs/>
        </w:rPr>
        <w:t>u</w:t>
      </w:r>
      <w:r>
        <w:rPr>
          <w:bCs/>
        </w:rPr>
        <w:t>chos problemas en virtud de que d</w:t>
      </w:r>
      <w:r>
        <w:rPr>
          <w:bCs/>
        </w:rPr>
        <w:t>e</w:t>
      </w:r>
      <w:r>
        <w:rPr>
          <w:bCs/>
        </w:rPr>
        <w:t xml:space="preserve">bía pagar </w:t>
      </w:r>
      <w:r>
        <w:t>USD</w:t>
      </w:r>
      <w:r>
        <w:rPr>
          <w:bCs/>
        </w:rPr>
        <w:t xml:space="preserve"> </w:t>
      </w:r>
      <w:smartTag w:uri="urn:schemas-microsoft-com:office:smarttags" w:element="metricconverter">
        <w:smartTagPr>
          <w:attr w:name="ProductID" w:val="4000 a"/>
        </w:smartTagPr>
        <w:r>
          <w:rPr>
            <w:bCs/>
          </w:rPr>
          <w:t>4000 a</w:t>
        </w:r>
      </w:smartTag>
      <w:r>
        <w:rPr>
          <w:bCs/>
        </w:rPr>
        <w:t xml:space="preserve"> un abogado penalista, no lo de</w:t>
      </w:r>
      <w:r>
        <w:rPr>
          <w:bCs/>
        </w:rPr>
        <w:t>s</w:t>
      </w:r>
      <w:r>
        <w:rPr>
          <w:bCs/>
        </w:rPr>
        <w:t>cartó.</w:t>
      </w:r>
    </w:p>
    <w:p w:rsidR="00224567" w:rsidRDefault="00224567">
      <w:pPr>
        <w:pStyle w:val="Textoindependiente2"/>
        <w:widowControl w:val="0"/>
        <w:rPr>
          <w:rFonts w:ascii="Courier New" w:hAnsi="Courier New" w:cs="Courier New"/>
        </w:rPr>
      </w:pPr>
      <w:r>
        <w:rPr>
          <w:rFonts w:ascii="Courier New" w:hAnsi="Courier New" w:cs="Courier New"/>
        </w:rPr>
        <w:tab/>
        <w:t>Ángel Leonardo Rusman, empleado de la inmobiliaria “Richter”, indicó que en una ocasión ate</w:t>
      </w:r>
      <w:r>
        <w:rPr>
          <w:rFonts w:ascii="Courier New" w:hAnsi="Courier New" w:cs="Courier New"/>
        </w:rPr>
        <w:t>n</w:t>
      </w:r>
      <w:r>
        <w:rPr>
          <w:rFonts w:ascii="Courier New" w:hAnsi="Courier New" w:cs="Courier New"/>
        </w:rPr>
        <w:t>dió un llamado telefónico de Boragni para Richter; la primera comentó que a causa de la detención de Telle</w:t>
      </w:r>
      <w:r>
        <w:rPr>
          <w:rFonts w:ascii="Courier New" w:hAnsi="Courier New" w:cs="Courier New"/>
        </w:rPr>
        <w:t>l</w:t>
      </w:r>
      <w:r>
        <w:rPr>
          <w:rFonts w:ascii="Courier New" w:hAnsi="Courier New" w:cs="Courier New"/>
        </w:rPr>
        <w:t>dín se tenía que ir del b</w:t>
      </w:r>
      <w:r>
        <w:rPr>
          <w:rFonts w:ascii="Courier New" w:hAnsi="Courier New" w:cs="Courier New"/>
        </w:rPr>
        <w:t>a</w:t>
      </w:r>
      <w:r>
        <w:rPr>
          <w:rFonts w:ascii="Courier New" w:hAnsi="Courier New" w:cs="Courier New"/>
        </w:rPr>
        <w:t>rrio.</w:t>
      </w:r>
    </w:p>
    <w:p w:rsidR="00224567" w:rsidRDefault="00224567">
      <w:pPr>
        <w:widowControl w:val="0"/>
      </w:pPr>
      <w:r>
        <w:tab/>
        <w:t>En otro orden, Nélida Virginia M</w:t>
      </w:r>
      <w:r>
        <w:t>o</w:t>
      </w:r>
      <w:r>
        <w:t>rri, novia de Bareiro, señaló que fue al domicilio de T</w:t>
      </w:r>
      <w:r>
        <w:t>e</w:t>
      </w:r>
      <w:r>
        <w:t>lleldín luego que éste escapó por miedo a que lo relaci</w:t>
      </w:r>
      <w:r>
        <w:t>o</w:t>
      </w:r>
      <w:r>
        <w:t>naran con el atentado; añadió que Boragni abrazaba a los hijos, ll</w:t>
      </w:r>
      <w:r>
        <w:t>o</w:t>
      </w:r>
      <w:r>
        <w:t>raba y d</w:t>
      </w:r>
      <w:r>
        <w:t>e</w:t>
      </w:r>
      <w:r>
        <w:t>cía que eso le había arruinado la vida.</w:t>
      </w:r>
    </w:p>
    <w:p w:rsidR="00224567" w:rsidRDefault="00224567">
      <w:pPr>
        <w:widowControl w:val="0"/>
      </w:pPr>
      <w:r>
        <w:tab/>
        <w:t>Por su parte, Aldo Alfredo Álvarez, oficial de inteligencia del D.P.O.C., refirió que el día antes de la detención de Telleldín concurrió al d</w:t>
      </w:r>
      <w:r>
        <w:t>o</w:t>
      </w:r>
      <w:r>
        <w:t>micilio de éste, siendo atendido por Boragni, quien hizo un come</w:t>
      </w:r>
      <w:r>
        <w:t>n</w:t>
      </w:r>
      <w:r>
        <w:t>tario sobre personal del Mossad, como que habían estado vigilando la casa; incluso, añadió, se confundió al pensar que ellos eran de ese organismo.</w:t>
      </w:r>
    </w:p>
    <w:p w:rsidR="00224567" w:rsidRDefault="00224567">
      <w:pPr>
        <w:widowControl w:val="0"/>
      </w:pPr>
      <w:r>
        <w:tab/>
        <w:t>Indicó que Boragni estaba un poco ne</w:t>
      </w:r>
      <w:r>
        <w:t>r</w:t>
      </w:r>
      <w:r>
        <w:t>viosa por la situación, pero cuando se le explicó el mot</w:t>
      </w:r>
      <w:r>
        <w:t>i</w:t>
      </w:r>
      <w:r>
        <w:t>vo de su presencia, no opuso reparos para concurrir al D</w:t>
      </w:r>
      <w:r>
        <w:t>e</w:t>
      </w:r>
      <w:r>
        <w:t>partamento Protección del Orden Constituci</w:t>
      </w:r>
      <w:r>
        <w:t>o</w:t>
      </w:r>
      <w:r>
        <w:t>nal.</w:t>
      </w:r>
    </w:p>
    <w:p w:rsidR="00224567" w:rsidRDefault="00224567">
      <w:pPr>
        <w:widowControl w:val="0"/>
      </w:pPr>
      <w:r>
        <w:tab/>
        <w:t xml:space="preserve">A su vez, Néstor Ricardo Hernández, de </w:t>
      </w:r>
      <w:smartTag w:uri="urn:schemas-microsoft-com:office:smarttags" w:element="PersonName">
        <w:smartTagPr>
          <w:attr w:name="ProductID" w:val="la S.I"/>
        </w:smartTagPr>
        <w:r>
          <w:t>la S.I</w:t>
        </w:r>
      </w:smartTag>
      <w:r>
        <w:t>.D.E., manifestó que el martes 26 de julio de 1994 fue al domicilio de Telleldín, donde los policías Barreda y Bareiro le presentaron a la señora del imp</w:t>
      </w:r>
      <w:r>
        <w:t>u</w:t>
      </w:r>
      <w:r>
        <w:t>tado, a quien en un principio se vio nerviosa y asust</w:t>
      </w:r>
      <w:r>
        <w:t>a</w:t>
      </w:r>
      <w:r>
        <w:t>da.</w:t>
      </w:r>
    </w:p>
    <w:p w:rsidR="00224567" w:rsidRDefault="00224567">
      <w:pPr>
        <w:widowControl w:val="0"/>
      </w:pPr>
      <w:r>
        <w:tab/>
        <w:t>Por su parte, Roberto Jorge Saller, de la misma repartición, relató que el 26 de julio de 1994 concurrió a un domicilio en República y Alvear, Villa B</w:t>
      </w:r>
      <w:r>
        <w:t>a</w:t>
      </w:r>
      <w:r>
        <w:t>llester, junto con sus colegas Hernández, Ferro y Del</w:t>
      </w:r>
      <w:r>
        <w:t>i</w:t>
      </w:r>
      <w:r>
        <w:t>zia. Allí, expresó, Boragni se mostró sorprendida y preguntó qué había pasado, aunque ya sabía por qué tema estaban ahí; cuando habló lo hizo delante de sus dos hijos de co</w:t>
      </w:r>
      <w:r>
        <w:t>r</w:t>
      </w:r>
      <w:r>
        <w:t>ta edad.</w:t>
      </w:r>
    </w:p>
    <w:p w:rsidR="00224567" w:rsidRDefault="00224567">
      <w:pPr>
        <w:pStyle w:val="Sangradetextonormal"/>
        <w:widowControl w:val="0"/>
        <w:ind w:firstLine="0"/>
      </w:pPr>
      <w:r>
        <w:rPr>
          <w:lang w:val="es-ES"/>
        </w:rPr>
        <w:tab/>
        <w:t>A su turno, Luis Domingo Delizia, quien también prestaba funciones en esa dependencia, señ</w:t>
      </w:r>
      <w:r>
        <w:rPr>
          <w:lang w:val="es-ES"/>
        </w:rPr>
        <w:t>a</w:t>
      </w:r>
      <w:r>
        <w:rPr>
          <w:lang w:val="es-ES"/>
        </w:rPr>
        <w:t xml:space="preserve">ló que el 26 de julio, cuando ingresaron al domicilio de Telleldín, notó a Boragni </w:t>
      </w:r>
      <w:r>
        <w:t>visibl</w:t>
      </w:r>
      <w:r>
        <w:t>e</w:t>
      </w:r>
      <w:r>
        <w:t>mente nerviosa; le dio la impresión de que sabía a qué obedecía la visita. Añadió que, según creyó recordar, en el lugar escuchó un coment</w:t>
      </w:r>
      <w:r>
        <w:t>a</w:t>
      </w:r>
      <w:r>
        <w:t>rio de la nombrada en el sentido de que su marido vendió la camioneta implicada en el ate</w:t>
      </w:r>
      <w:r>
        <w:t>n</w:t>
      </w:r>
      <w:r>
        <w:t>tado.</w:t>
      </w:r>
    </w:p>
    <w:p w:rsidR="00224567" w:rsidRDefault="00224567">
      <w:pPr>
        <w:pStyle w:val="Sangradetextonormal"/>
        <w:widowControl w:val="0"/>
        <w:ind w:firstLine="0"/>
      </w:pPr>
      <w:r>
        <w:tab/>
        <w:t xml:space="preserve">Su colega </w:t>
      </w:r>
      <w:r>
        <w:rPr>
          <w:lang w:val="es-ES"/>
        </w:rPr>
        <w:t>Daniel Alberto Fernández r</w:t>
      </w:r>
      <w:r>
        <w:rPr>
          <w:lang w:val="es-ES"/>
        </w:rPr>
        <w:t>e</w:t>
      </w:r>
      <w:r>
        <w:rPr>
          <w:lang w:val="es-ES"/>
        </w:rPr>
        <w:t>cordó que ese día, en la vivienda de Telleldín fueron r</w:t>
      </w:r>
      <w:r>
        <w:rPr>
          <w:lang w:val="es-ES"/>
        </w:rPr>
        <w:t>e</w:t>
      </w:r>
      <w:r>
        <w:rPr>
          <w:lang w:val="es-ES"/>
        </w:rPr>
        <w:t>cibidos por Ana María Boragni, a quien Barreda y Bareiro le comunicaron el motivo de la concurrencia</w:t>
      </w:r>
      <w:r>
        <w:t>. Apuntó que la vio asombrada, sintiéndose mal por la venta de la camion</w:t>
      </w:r>
      <w:r>
        <w:t>e</w:t>
      </w:r>
      <w:r>
        <w:t>ta; según creyó, enseguida entendió de qué tema estaban hablando.</w:t>
      </w:r>
    </w:p>
    <w:p w:rsidR="00224567" w:rsidRDefault="00224567">
      <w:pPr>
        <w:pStyle w:val="Sangradetextonormal"/>
        <w:widowControl w:val="0"/>
        <w:ind w:firstLine="0"/>
      </w:pPr>
      <w:r>
        <w:tab/>
        <w:t>Hernández, Saller y Fernández coinc</w:t>
      </w:r>
      <w:r>
        <w:t>i</w:t>
      </w:r>
      <w:r>
        <w:t xml:space="preserve">dieron en que en esa ocasión, en el lugar no vieron </w:t>
      </w:r>
      <w:r>
        <w:rPr>
          <w:lang w:val="es-ES"/>
        </w:rPr>
        <w:t>pers</w:t>
      </w:r>
      <w:r>
        <w:rPr>
          <w:lang w:val="es-ES"/>
        </w:rPr>
        <w:t>o</w:t>
      </w:r>
      <w:r>
        <w:rPr>
          <w:lang w:val="es-ES"/>
        </w:rPr>
        <w:t>nal de servicios colaterales, agregando, los dos primeros, que tampoco escucharon versiones en ese se</w:t>
      </w:r>
      <w:r>
        <w:rPr>
          <w:lang w:val="es-ES"/>
        </w:rPr>
        <w:t>n</w:t>
      </w:r>
      <w:r>
        <w:rPr>
          <w:lang w:val="es-ES"/>
        </w:rPr>
        <w:t>tido.</w:t>
      </w:r>
    </w:p>
    <w:p w:rsidR="00224567" w:rsidRDefault="00224567">
      <w:pPr>
        <w:pStyle w:val="Sangradetextonormal"/>
        <w:widowControl w:val="0"/>
        <w:ind w:firstLine="0"/>
        <w:rPr>
          <w:lang w:val="es-ES"/>
        </w:rPr>
      </w:pPr>
      <w:r>
        <w:rPr>
          <w:lang w:val="es-ES"/>
        </w:rPr>
        <w:tab/>
        <w:t>Los comentarios aludidos no revisten objetivamente el carácter de indicios, contrari</w:t>
      </w:r>
      <w:r>
        <w:rPr>
          <w:lang w:val="es-ES"/>
        </w:rPr>
        <w:t>a</w:t>
      </w:r>
      <w:r>
        <w:rPr>
          <w:lang w:val="es-ES"/>
        </w:rPr>
        <w:t>mente a lo pretendido por los acusadores.</w:t>
      </w:r>
    </w:p>
    <w:p w:rsidR="00224567" w:rsidRDefault="00224567">
      <w:pPr>
        <w:pStyle w:val="Sangradetextonormal"/>
        <w:widowControl w:val="0"/>
        <w:ind w:firstLine="0"/>
        <w:rPr>
          <w:lang w:val="es-ES"/>
        </w:rPr>
      </w:pPr>
      <w:r>
        <w:rPr>
          <w:lang w:val="es-ES"/>
        </w:rPr>
        <w:tab/>
        <w:t>Al respecto, cabe resaltar que esas alusiones sólo reflejan las vivencias de la pareja Telle</w:t>
      </w:r>
      <w:r>
        <w:rPr>
          <w:lang w:val="es-ES"/>
        </w:rPr>
        <w:t>l</w:t>
      </w:r>
      <w:r>
        <w:rPr>
          <w:lang w:val="es-ES"/>
        </w:rPr>
        <w:t>dín-Boragni con posterioridad a que el imputado con</w:t>
      </w:r>
      <w:r>
        <w:rPr>
          <w:lang w:val="es-ES"/>
        </w:rPr>
        <w:t>o</w:t>
      </w:r>
      <w:r>
        <w:rPr>
          <w:lang w:val="es-ES"/>
        </w:rPr>
        <w:t>ciera –o por lo menos sospechara- que la camioneta que había t</w:t>
      </w:r>
      <w:r>
        <w:rPr>
          <w:lang w:val="es-ES"/>
        </w:rPr>
        <w:t>e</w:t>
      </w:r>
      <w:r>
        <w:rPr>
          <w:lang w:val="es-ES"/>
        </w:rPr>
        <w:t>nido en su poder se encontraba involucrada en el ate</w:t>
      </w:r>
      <w:r>
        <w:rPr>
          <w:lang w:val="es-ES"/>
        </w:rPr>
        <w:t>n</w:t>
      </w:r>
      <w:r>
        <w:rPr>
          <w:lang w:val="es-ES"/>
        </w:rPr>
        <w:t>tado.</w:t>
      </w:r>
    </w:p>
    <w:p w:rsidR="00224567" w:rsidRDefault="00224567">
      <w:pPr>
        <w:pStyle w:val="Sangradetextonormal"/>
        <w:widowControl w:val="0"/>
        <w:ind w:firstLine="0"/>
        <w:rPr>
          <w:lang w:val="es-ES"/>
        </w:rPr>
      </w:pPr>
      <w:r>
        <w:rPr>
          <w:lang w:val="es-ES"/>
        </w:rPr>
        <w:tab/>
        <w:t>Resultan de plena aplicación en la e</w:t>
      </w:r>
      <w:r>
        <w:rPr>
          <w:lang w:val="es-ES"/>
        </w:rPr>
        <w:t>s</w:t>
      </w:r>
      <w:r>
        <w:rPr>
          <w:lang w:val="es-ES"/>
        </w:rPr>
        <w:t>pecie las consideraciones más arriba vertidas respe</w:t>
      </w:r>
      <w:r>
        <w:rPr>
          <w:lang w:val="es-ES"/>
        </w:rPr>
        <w:t>c</w:t>
      </w:r>
      <w:r>
        <w:rPr>
          <w:lang w:val="es-ES"/>
        </w:rPr>
        <w:t>to de los indicios anfibológicos, por cuanto las glosas de T</w:t>
      </w:r>
      <w:r>
        <w:rPr>
          <w:lang w:val="es-ES"/>
        </w:rPr>
        <w:t>e</w:t>
      </w:r>
      <w:r>
        <w:rPr>
          <w:lang w:val="es-ES"/>
        </w:rPr>
        <w:t>lleldín y su pareja no llevan, necesariamente, a concluir que el primero estaba al tanto del destino que habría de dársele a la camioneta, sino que admiten otras interpret</w:t>
      </w:r>
      <w:r>
        <w:rPr>
          <w:lang w:val="es-ES"/>
        </w:rPr>
        <w:t>a</w:t>
      </w:r>
      <w:r>
        <w:rPr>
          <w:lang w:val="es-ES"/>
        </w:rPr>
        <w:t>ciones.</w:t>
      </w:r>
    </w:p>
    <w:p w:rsidR="00224567" w:rsidRDefault="00224567">
      <w:pPr>
        <w:pStyle w:val="Sangradetextonormal"/>
        <w:widowControl w:val="0"/>
        <w:ind w:firstLine="2835"/>
        <w:rPr>
          <w:lang w:val="es-ES"/>
        </w:rPr>
      </w:pPr>
      <w:r>
        <w:rPr>
          <w:lang w:val="es-ES"/>
        </w:rPr>
        <w:t>Los comentarios a personas de su e</w:t>
      </w:r>
      <w:r>
        <w:rPr>
          <w:lang w:val="es-ES"/>
        </w:rPr>
        <w:t>n</w:t>
      </w:r>
      <w:r>
        <w:rPr>
          <w:lang w:val="es-ES"/>
        </w:rPr>
        <w:t>torno o a los investigadores de la situación que los pre</w:t>
      </w:r>
      <w:r>
        <w:rPr>
          <w:lang w:val="es-ES"/>
        </w:rPr>
        <w:t>o</w:t>
      </w:r>
      <w:r>
        <w:rPr>
          <w:lang w:val="es-ES"/>
        </w:rPr>
        <w:t>cupaba no pueden considerarse demostrativos de la partic</w:t>
      </w:r>
      <w:r>
        <w:rPr>
          <w:lang w:val="es-ES"/>
        </w:rPr>
        <w:t>i</w:t>
      </w:r>
      <w:r>
        <w:rPr>
          <w:lang w:val="es-ES"/>
        </w:rPr>
        <w:t>pación del imputado en el hecho.</w:t>
      </w:r>
    </w:p>
    <w:p w:rsidR="00224567" w:rsidRDefault="00224567">
      <w:pPr>
        <w:pStyle w:val="Ttulo4"/>
        <w:keepNext w:val="0"/>
        <w:widowControl w:val="0"/>
        <w:spacing w:line="600" w:lineRule="auto"/>
      </w:pPr>
      <w:r>
        <w:tab/>
      </w:r>
      <w:bookmarkStart w:id="53" w:name="_Toc86676569"/>
      <w:r>
        <w:t>B.4) Mudanza.</w:t>
      </w:r>
      <w:bookmarkEnd w:id="53"/>
    </w:p>
    <w:p w:rsidR="00224567" w:rsidRDefault="00224567">
      <w:pPr>
        <w:widowControl w:val="0"/>
      </w:pPr>
      <w:r>
        <w:tab/>
      </w:r>
      <w:r>
        <w:rPr>
          <w:b/>
          <w:bCs/>
        </w:rPr>
        <w:t>B.4.a.i)</w:t>
      </w:r>
      <w:r>
        <w:t xml:space="preserve"> Los fiscales resaltaron la circunstancia de que, contemporáneamente con el atent</w:t>
      </w:r>
      <w:r>
        <w:t>a</w:t>
      </w:r>
      <w:r>
        <w:t>do, Carlos Telle</w:t>
      </w:r>
      <w:r>
        <w:t>l</w:t>
      </w:r>
      <w:r>
        <w:t>dín trató de mudarse, pese a que aún faltaba un año para que venciera el contrato de locación de la v</w:t>
      </w:r>
      <w:r>
        <w:t>i</w:t>
      </w:r>
      <w:r>
        <w:t>vienda de la calle Rep</w:t>
      </w:r>
      <w:r>
        <w:t>ú</w:t>
      </w:r>
      <w:r>
        <w:t>blica 107.</w:t>
      </w:r>
    </w:p>
    <w:p w:rsidR="00224567" w:rsidRDefault="00224567">
      <w:pPr>
        <w:widowControl w:val="0"/>
      </w:pPr>
      <w:r>
        <w:tab/>
        <w:t>No se explicaron por qué el domic</w:t>
      </w:r>
      <w:r>
        <w:t>i</w:t>
      </w:r>
      <w:r>
        <w:t>lio al que había decidido mudarse –en Ramos Mejía- se enco</w:t>
      </w:r>
      <w:r>
        <w:t>n</w:t>
      </w:r>
      <w:r>
        <w:t>traba en el mismo radio jurisdiccional de la br</w:t>
      </w:r>
      <w:r>
        <w:t>i</w:t>
      </w:r>
      <w:r>
        <w:t>gada de la cual el imp</w:t>
      </w:r>
      <w:r>
        <w:t>u</w:t>
      </w:r>
      <w:r>
        <w:t>tado decía que venía escapando.</w:t>
      </w:r>
    </w:p>
    <w:p w:rsidR="00224567" w:rsidRDefault="00224567">
      <w:pPr>
        <w:widowControl w:val="0"/>
      </w:pPr>
      <w:r>
        <w:tab/>
        <w:t>Asimismo, razonaron que si en 1994 el encartado percibía $ 20.000 mensuales, no tenía neces</w:t>
      </w:r>
      <w:r>
        <w:t>i</w:t>
      </w:r>
      <w:r>
        <w:t>dad de mudarse.</w:t>
      </w:r>
    </w:p>
    <w:p w:rsidR="00224567" w:rsidRDefault="00224567">
      <w:pPr>
        <w:widowControl w:val="0"/>
      </w:pPr>
      <w:r>
        <w:tab/>
      </w:r>
      <w:r>
        <w:rPr>
          <w:b/>
          <w:bCs/>
        </w:rPr>
        <w:t>B.4.a.ii)</w:t>
      </w:r>
      <w:r>
        <w:t xml:space="preserve"> A su turno, los letrados de la querella unificada D.A.I.A., A.M.I.A. y “Grupo de Fam</w:t>
      </w:r>
      <w:r>
        <w:t>i</w:t>
      </w:r>
      <w:r>
        <w:t>liares” explicaron que no les resultaron satisfactorias las razones brindadas por Telleldín –temor a las brig</w:t>
      </w:r>
      <w:r>
        <w:t>a</w:t>
      </w:r>
      <w:r>
        <w:t>das- para justificar su intento de mudanza a Ramos M</w:t>
      </w:r>
      <w:r>
        <w:t>e</w:t>
      </w:r>
      <w:r>
        <w:t>jía el 18 ó 19 de julio.</w:t>
      </w:r>
    </w:p>
    <w:p w:rsidR="00224567" w:rsidRDefault="00224567">
      <w:pPr>
        <w:widowControl w:val="0"/>
        <w:rPr>
          <w:bCs/>
        </w:rPr>
      </w:pPr>
      <w:r>
        <w:tab/>
        <w:t>En tal sentido, entendieron que inte</w:t>
      </w:r>
      <w:r>
        <w:t>n</w:t>
      </w:r>
      <w:r>
        <w:t>tó mudarse</w:t>
      </w:r>
      <w:r>
        <w:rPr>
          <w:bCs/>
        </w:rPr>
        <w:t xml:space="preserve"> sin rescindir formalmente el contrato de loc</w:t>
      </w:r>
      <w:r>
        <w:rPr>
          <w:bCs/>
        </w:rPr>
        <w:t>a</w:t>
      </w:r>
      <w:r>
        <w:rPr>
          <w:bCs/>
        </w:rPr>
        <w:t>ción de la casa de República 107. Destacaron que la act</w:t>
      </w:r>
      <w:r>
        <w:rPr>
          <w:bCs/>
        </w:rPr>
        <w:t>i</w:t>
      </w:r>
      <w:r>
        <w:rPr>
          <w:bCs/>
        </w:rPr>
        <w:t>tud de los policías bonaerenses no era novedosa, por lo que no just</w:t>
      </w:r>
      <w:r>
        <w:rPr>
          <w:bCs/>
        </w:rPr>
        <w:t>i</w:t>
      </w:r>
      <w:r>
        <w:rPr>
          <w:bCs/>
        </w:rPr>
        <w:t>ficaba la urgencia con que eligieron una casa, la reservaron y consiguieron los garantes. Adunaron que toda vez que las brigadas no poseían límites jurisdicci</w:t>
      </w:r>
      <w:r>
        <w:rPr>
          <w:bCs/>
        </w:rPr>
        <w:t>o</w:t>
      </w:r>
      <w:r>
        <w:rPr>
          <w:bCs/>
        </w:rPr>
        <w:t>nales para obrar ilegalmente, no advertían el sentido de quedarse en el territorio de la pr</w:t>
      </w:r>
      <w:r>
        <w:rPr>
          <w:bCs/>
        </w:rPr>
        <w:t>o</w:t>
      </w:r>
      <w:r>
        <w:rPr>
          <w:bCs/>
        </w:rPr>
        <w:t>vincia de Buenos Aires para evita</w:t>
      </w:r>
      <w:r>
        <w:rPr>
          <w:bCs/>
        </w:rPr>
        <w:t>r</w:t>
      </w:r>
      <w:r>
        <w:rPr>
          <w:bCs/>
        </w:rPr>
        <w:t>las.</w:t>
      </w:r>
    </w:p>
    <w:p w:rsidR="00224567" w:rsidRDefault="00224567">
      <w:pPr>
        <w:widowControl w:val="0"/>
      </w:pPr>
      <w:r>
        <w:tab/>
      </w:r>
      <w:r>
        <w:rPr>
          <w:b/>
          <w:bCs/>
        </w:rPr>
        <w:t>B.4.a.iii)</w:t>
      </w:r>
      <w:r>
        <w:t xml:space="preserve"> A su vez, el letrado de “Memoria Activa” sostuvo que, ocurrido el atentado y a efectos de no ser aprehendido, Telleldín decidió mudar su domicilio, en un clima de gran nerviosismo ante la evide</w:t>
      </w:r>
      <w:r>
        <w:t>n</w:t>
      </w:r>
      <w:r>
        <w:t>cia de que la camioneta que suministró fue la que e</w:t>
      </w:r>
      <w:r>
        <w:t>x</w:t>
      </w:r>
      <w:r>
        <w:t>plotó.</w:t>
      </w:r>
    </w:p>
    <w:p w:rsidR="00224567" w:rsidRDefault="00224567">
      <w:pPr>
        <w:widowControl w:val="0"/>
      </w:pPr>
      <w:r>
        <w:tab/>
      </w:r>
      <w:r>
        <w:rPr>
          <w:b/>
          <w:bCs/>
        </w:rPr>
        <w:t>B.4.a.iv)</w:t>
      </w:r>
      <w:r>
        <w:t xml:space="preserve"> Por su parte, la defensa de Carlos Alberto Telleldín expresó que entre 1987 y 1994 el nombrado cambió de domicilio en diez oportun</w:t>
      </w:r>
      <w:r>
        <w:t>i</w:t>
      </w:r>
      <w:r>
        <w:t>dades, siendo que muchos de ellos eran alquilados y en ninguno finalizó el contr</w:t>
      </w:r>
      <w:r>
        <w:t>a</w:t>
      </w:r>
      <w:r>
        <w:t>to.</w:t>
      </w:r>
    </w:p>
    <w:p w:rsidR="00224567" w:rsidRDefault="00224567">
      <w:pPr>
        <w:widowControl w:val="0"/>
      </w:pPr>
      <w:r>
        <w:tab/>
        <w:t>En ese contexto, sostuvo que la muda</w:t>
      </w:r>
      <w:r>
        <w:t>n</w:t>
      </w:r>
      <w:r>
        <w:t>za que pretendió realizar para la época del atentado no fue so</w:t>
      </w:r>
      <w:r>
        <w:t>r</w:t>
      </w:r>
      <w:r>
        <w:t>presiva ni obedeció a ese suceso.</w:t>
      </w:r>
    </w:p>
    <w:p w:rsidR="00224567" w:rsidRDefault="00224567">
      <w:pPr>
        <w:widowControl w:val="0"/>
      </w:pPr>
      <w:r>
        <w:tab/>
        <w:t>Así, citó los dichos de Olga Ric</w:t>
      </w:r>
      <w:r>
        <w:t>h</w:t>
      </w:r>
      <w:r>
        <w:t>ter, quien mencionó retrasos en el pago del alquiler y que, además, había un interesado en la compra del i</w:t>
      </w:r>
      <w:r>
        <w:t>n</w:t>
      </w:r>
      <w:r>
        <w:t>mueble, por lo que insistió en que abonaran y se fueran. Apuntó la d</w:t>
      </w:r>
      <w:r>
        <w:t>e</w:t>
      </w:r>
      <w:r>
        <w:t>fensa que, por ello, antes del atentado, Boragni se co</w:t>
      </w:r>
      <w:r>
        <w:t>m</w:t>
      </w:r>
      <w:r>
        <w:t>prometió a dejar la casa el 1º de agosto, fecha que fijó para iniciar el alquiler de otra con la inmobiliaria “La</w:t>
      </w:r>
      <w:r>
        <w:t>u</w:t>
      </w:r>
      <w:r>
        <w:t>ría”.</w:t>
      </w:r>
    </w:p>
    <w:p w:rsidR="00224567" w:rsidRDefault="00224567">
      <w:pPr>
        <w:widowControl w:val="0"/>
      </w:pPr>
      <w:r>
        <w:tab/>
        <w:t>Resaltó que Richter aclaró que de</w:t>
      </w:r>
      <w:r>
        <w:t>s</w:t>
      </w:r>
      <w:r>
        <w:t>pués del 25 de julio Boragni le comentó que el marido había vendido la camioneta del atentado –no antes de esa fecha- y no podía afrontar el alquiler porque debía pagar al ab</w:t>
      </w:r>
      <w:r>
        <w:t>o</w:t>
      </w:r>
      <w:r>
        <w:t>gado.</w:t>
      </w:r>
    </w:p>
    <w:p w:rsidR="00224567" w:rsidRDefault="00224567">
      <w:pPr>
        <w:widowControl w:val="0"/>
      </w:pPr>
      <w:r>
        <w:tab/>
      </w:r>
      <w:r>
        <w:rPr>
          <w:b/>
          <w:bCs/>
        </w:rPr>
        <w:t>B.4.b)</w:t>
      </w:r>
      <w:r>
        <w:t xml:space="preserve"> Las constancias colectadas en el debate acreditaron que en julio de 1994 Carlos A</w:t>
      </w:r>
      <w:r>
        <w:t>l</w:t>
      </w:r>
      <w:r>
        <w:t>berto Telleldín decidió mudarse de su domicilio de R</w:t>
      </w:r>
      <w:r>
        <w:t>e</w:t>
      </w:r>
      <w:r>
        <w:t>pública 107 de Villa Ballester, circunstancia que espontáneamente r</w:t>
      </w:r>
      <w:r>
        <w:t>e</w:t>
      </w:r>
      <w:r>
        <w:t>conoció.</w:t>
      </w:r>
    </w:p>
    <w:p w:rsidR="00224567" w:rsidRDefault="00224567">
      <w:pPr>
        <w:pStyle w:val="Textoindependiente2"/>
        <w:widowControl w:val="0"/>
        <w:rPr>
          <w:rFonts w:ascii="Courier New" w:hAnsi="Courier New" w:cs="Courier New"/>
        </w:rPr>
      </w:pPr>
      <w:r>
        <w:rPr>
          <w:rFonts w:ascii="Courier New" w:hAnsi="Courier New" w:cs="Courier New"/>
        </w:rPr>
        <w:tab/>
        <w:t>En este sentido, a lo largo de sus d</w:t>
      </w:r>
      <w:r>
        <w:rPr>
          <w:rFonts w:ascii="Courier New" w:hAnsi="Courier New" w:cs="Courier New"/>
        </w:rPr>
        <w:t>e</w:t>
      </w:r>
      <w:r>
        <w:rPr>
          <w:rFonts w:ascii="Courier New" w:hAnsi="Courier New" w:cs="Courier New"/>
        </w:rPr>
        <w:t>claraciones indagatorias, el imputado sostuvo que p</w:t>
      </w:r>
      <w:r>
        <w:rPr>
          <w:rFonts w:ascii="Courier New" w:hAnsi="Courier New" w:cs="Courier New"/>
        </w:rPr>
        <w:t>a</w:t>
      </w:r>
      <w:r>
        <w:rPr>
          <w:rFonts w:ascii="Courier New" w:hAnsi="Courier New" w:cs="Courier New"/>
        </w:rPr>
        <w:t>ra la época en que se cometió el atentado planeó mudarse de v</w:t>
      </w:r>
      <w:r>
        <w:rPr>
          <w:rFonts w:ascii="Courier New" w:hAnsi="Courier New" w:cs="Courier New"/>
        </w:rPr>
        <w:t>i</w:t>
      </w:r>
      <w:r>
        <w:rPr>
          <w:rFonts w:ascii="Courier New" w:hAnsi="Courier New" w:cs="Courier New"/>
        </w:rPr>
        <w:t>vienda, en razón de los problemas que tenía con integra</w:t>
      </w:r>
      <w:r>
        <w:rPr>
          <w:rFonts w:ascii="Courier New" w:hAnsi="Courier New" w:cs="Courier New"/>
        </w:rPr>
        <w:t>n</w:t>
      </w:r>
      <w:r>
        <w:rPr>
          <w:rFonts w:ascii="Courier New" w:hAnsi="Courier New" w:cs="Courier New"/>
        </w:rPr>
        <w:t xml:space="preserve">tes de </w:t>
      </w:r>
      <w:smartTag w:uri="urn:schemas-microsoft-com:office:smarttags" w:element="PersonName">
        <w:smartTagPr>
          <w:attr w:name="ProductID" w:val="la Polic￭a Bonaerense."/>
        </w:smartTagPr>
        <w:r>
          <w:rPr>
            <w:rFonts w:ascii="Courier New" w:hAnsi="Courier New" w:cs="Courier New"/>
          </w:rPr>
          <w:t>la Policía Bonaerense.</w:t>
        </w:r>
      </w:smartTag>
      <w:r>
        <w:rPr>
          <w:rFonts w:ascii="Courier New" w:hAnsi="Courier New" w:cs="Courier New"/>
        </w:rPr>
        <w:t xml:space="preserve"> Agregó que el 22 de julio concretó una operación de alquiler de una vivie</w:t>
      </w:r>
      <w:r>
        <w:rPr>
          <w:rFonts w:ascii="Courier New" w:hAnsi="Courier New" w:cs="Courier New"/>
        </w:rPr>
        <w:t>n</w:t>
      </w:r>
      <w:r>
        <w:rPr>
          <w:rFonts w:ascii="Courier New" w:hAnsi="Courier New" w:cs="Courier New"/>
        </w:rPr>
        <w:t xml:space="preserve">da ubicada en </w:t>
      </w:r>
      <w:smartTag w:uri="urn:schemas-microsoft-com:office:smarttags" w:element="PersonName">
        <w:smartTagPr>
          <w:attr w:name="ProductID" w:val="la Av. San"/>
        </w:smartTagPr>
        <w:r>
          <w:rPr>
            <w:rFonts w:ascii="Courier New" w:hAnsi="Courier New" w:cs="Courier New"/>
          </w:rPr>
          <w:t>la Av. San</w:t>
        </w:r>
      </w:smartTag>
      <w:r>
        <w:rPr>
          <w:rFonts w:ascii="Courier New" w:hAnsi="Courier New" w:cs="Courier New"/>
        </w:rPr>
        <w:t xml:space="preserve"> Martín al 1600, por la que entregó USD 1000 en concepto de seña, dinero que rec</w:t>
      </w:r>
      <w:r>
        <w:rPr>
          <w:rFonts w:ascii="Courier New" w:hAnsi="Courier New" w:cs="Courier New"/>
        </w:rPr>
        <w:t>i</w:t>
      </w:r>
      <w:r>
        <w:rPr>
          <w:rFonts w:ascii="Courier New" w:hAnsi="Courier New" w:cs="Courier New"/>
        </w:rPr>
        <w:t xml:space="preserve">biera como pago por </w:t>
      </w:r>
      <w:smartTag w:uri="urn:schemas-microsoft-com:office:smarttags" w:element="PersonName">
        <w:smartTagPr>
          <w:attr w:name="ProductID" w:val="la Trafic"/>
        </w:smartTagPr>
        <w:r>
          <w:rPr>
            <w:rFonts w:ascii="Courier New" w:hAnsi="Courier New" w:cs="Courier New"/>
          </w:rPr>
          <w:t>la Trafic</w:t>
        </w:r>
      </w:smartTag>
      <w:r>
        <w:rPr>
          <w:rFonts w:ascii="Courier New" w:hAnsi="Courier New" w:cs="Courier New"/>
        </w:rPr>
        <w:t xml:space="preserve"> vendida a la persona con acento centroamericano.</w:t>
      </w:r>
    </w:p>
    <w:p w:rsidR="00224567" w:rsidRDefault="00224567">
      <w:pPr>
        <w:pStyle w:val="Sangradetextonormal"/>
        <w:widowControl w:val="0"/>
        <w:ind w:firstLine="0"/>
      </w:pPr>
      <w:r>
        <w:rPr>
          <w:lang w:val="es-ES"/>
        </w:rPr>
        <w:tab/>
      </w:r>
      <w:r>
        <w:t>Los acusadores entendieron que esa a</w:t>
      </w:r>
      <w:r>
        <w:t>c</w:t>
      </w:r>
      <w:r>
        <w:t>titud constituía un indicio más de su partic</w:t>
      </w:r>
      <w:r>
        <w:t>i</w:t>
      </w:r>
      <w:r>
        <w:t>pación en el atentado.</w:t>
      </w:r>
    </w:p>
    <w:p w:rsidR="00224567" w:rsidRDefault="00224567">
      <w:pPr>
        <w:widowControl w:val="0"/>
      </w:pPr>
      <w:r>
        <w:tab/>
        <w:t>Sin embargo, el Tribunal entiende que la inferencia que se efectuó en torno a la intención de Telleldín y Boragni de cambiar de domicilio es capr</w:t>
      </w:r>
      <w:r>
        <w:t>i</w:t>
      </w:r>
      <w:r>
        <w:t>chosa y antojadiza, pues fueron acreditados en el deb</w:t>
      </w:r>
      <w:r>
        <w:t>a</w:t>
      </w:r>
      <w:r>
        <w:t>te motivos que justificaban, plenamente, dicho propósito. De tal m</w:t>
      </w:r>
      <w:r>
        <w:t>o</w:t>
      </w:r>
      <w:r>
        <w:t>do, no puede afirmarse, livianamente, que tuvo por final</w:t>
      </w:r>
      <w:r>
        <w:t>i</w:t>
      </w:r>
      <w:r>
        <w:t>dad eludir la acción de la justicia por su participación en el atentado.</w:t>
      </w:r>
    </w:p>
    <w:p w:rsidR="00224567" w:rsidRDefault="00224567">
      <w:pPr>
        <w:widowControl w:val="0"/>
      </w:pPr>
      <w:r>
        <w:tab/>
        <w:t>Avala tal aserto la intimación para que abone lo adeudado que le efectuó la titular de la i</w:t>
      </w:r>
      <w:r>
        <w:t>n</w:t>
      </w:r>
      <w:r>
        <w:t>mobiliaria “Richter”, encargada de cobrar el alquiler a Telleldín, antes de que decidiera mudarse, seguida por un ofrecimiento de desocupación del inmueble, en virtud de haberse presentado un comprador.</w:t>
      </w:r>
    </w:p>
    <w:p w:rsidR="00224567" w:rsidRDefault="00224567">
      <w:pPr>
        <w:widowControl w:val="0"/>
      </w:pPr>
      <w:r>
        <w:tab/>
        <w:t>En efecto, a partir del 7 de julio de 1994 se le comenzó a reclamar el pago de la deuda, e</w:t>
      </w:r>
      <w:r>
        <w:t>x</w:t>
      </w:r>
      <w:r>
        <w:t>tremo que evidencia los problemas que Telleldín tenía con la i</w:t>
      </w:r>
      <w:r>
        <w:t>n</w:t>
      </w:r>
      <w:r>
        <w:t>mobiliaria desde antes de la comisión del atentado, incl</w:t>
      </w:r>
      <w:r>
        <w:t>u</w:t>
      </w:r>
      <w:r>
        <w:t xml:space="preserve">so de la operación realizada el 10 de julio con </w:t>
      </w:r>
      <w:smartTag w:uri="urn:schemas-microsoft-com:office:smarttags" w:element="PersonName">
        <w:smartTagPr>
          <w:attr w:name="ProductID" w:val="la Trafic."/>
        </w:smartTagPr>
        <w:r>
          <w:t>la Tr</w:t>
        </w:r>
        <w:r>
          <w:t>a</w:t>
        </w:r>
        <w:r>
          <w:t>fic.</w:t>
        </w:r>
      </w:smartTag>
    </w:p>
    <w:p w:rsidR="00224567" w:rsidRDefault="00224567">
      <w:pPr>
        <w:widowControl w:val="0"/>
      </w:pPr>
      <w:r>
        <w:tab/>
        <w:t>Olga Richter, a cargo de la inmobili</w:t>
      </w:r>
      <w:r>
        <w:t>a</w:t>
      </w:r>
      <w:r>
        <w:t>ria que llevaba su apellido, declaró que el 26 de agosto de 1993 alquiló una propiedad a Ana María Boragni en la calle República, casi Alvear, en Villa Balle</w:t>
      </w:r>
      <w:r>
        <w:t>s</w:t>
      </w:r>
      <w:r>
        <w:t>ter, por USD 1200 mensuales. Refirió que la nombrada pagaba regularme</w:t>
      </w:r>
      <w:r>
        <w:t>n</w:t>
      </w:r>
      <w:r>
        <w:t>te el alquiler, pero en una ocasión pla</w:t>
      </w:r>
      <w:r>
        <w:t>n</w:t>
      </w:r>
      <w:r>
        <w:t>teó la posibilidad de dejar la casa porque se había separ</w:t>
      </w:r>
      <w:r>
        <w:t>a</w:t>
      </w:r>
      <w:r>
        <w:t>do del marido.</w:t>
      </w:r>
    </w:p>
    <w:p w:rsidR="00224567" w:rsidRDefault="00224567">
      <w:pPr>
        <w:widowControl w:val="0"/>
      </w:pPr>
      <w:r>
        <w:tab/>
        <w:t>Señaló que el 7 de julio de 1994 le envió una carta documento reclamándole el pago del alqu</w:t>
      </w:r>
      <w:r>
        <w:t>i</w:t>
      </w:r>
      <w:r>
        <w:t>ler de junio y julio, más los servicios, impuesto inmob</w:t>
      </w:r>
      <w:r>
        <w:t>i</w:t>
      </w:r>
      <w:r>
        <w:t>liario, municipal y “Aguas Argentinas”. E</w:t>
      </w:r>
      <w:r>
        <w:t>s</w:t>
      </w:r>
      <w:r>
        <w:t>timó que habría pagado un mes, porque el 8 de agosto le d</w:t>
      </w:r>
      <w:r>
        <w:t>e</w:t>
      </w:r>
      <w:r>
        <w:t>mandó el pago de julio y agosto, más los servicios.</w:t>
      </w:r>
    </w:p>
    <w:p w:rsidR="00224567" w:rsidRDefault="00224567">
      <w:pPr>
        <w:widowControl w:val="0"/>
      </w:pPr>
      <w:r>
        <w:tab/>
        <w:t>Asimismo, indicó que conversó con un sujeto que estaba interesado en comprar esa propi</w:t>
      </w:r>
      <w:r>
        <w:t>e</w:t>
      </w:r>
      <w:r>
        <w:t>dad, por cuanto Boragni tenía problemas para cumplir con la renta, ofreciéndole a la nombrada un dinero para que no tuviera que pagar la indemnización. Puntualizó que, a efectos de proponerle rescindir el contrato, el día de la detención de Telleldín habló con B</w:t>
      </w:r>
      <w:r>
        <w:t>o</w:t>
      </w:r>
      <w:r>
        <w:t>ragni.</w:t>
      </w:r>
    </w:p>
    <w:p w:rsidR="00224567" w:rsidRDefault="00224567">
      <w:pPr>
        <w:widowControl w:val="0"/>
        <w:rPr>
          <w:bCs/>
        </w:rPr>
      </w:pPr>
      <w:r>
        <w:rPr>
          <w:bCs/>
        </w:rPr>
        <w:tab/>
        <w:t xml:space="preserve">Por último, mencionó Olga Richter que Boragni desocupó la propiedad el 31 de agosto de 1994, firmando unos pagarés por la deuda pendiente, de </w:t>
      </w:r>
      <w:r>
        <w:t>USD</w:t>
      </w:r>
      <w:r>
        <w:rPr>
          <w:bCs/>
        </w:rPr>
        <w:t xml:space="preserve"> 100 mensuales, lo que le valió la pérdida de su cliente. Ad</w:t>
      </w:r>
      <w:r>
        <w:rPr>
          <w:bCs/>
        </w:rPr>
        <w:t>e</w:t>
      </w:r>
      <w:r>
        <w:rPr>
          <w:bCs/>
        </w:rPr>
        <w:t>más, señaló que a los pocos días del allanamiento de la vivienda, funcionarios del D.P.O.C. le preguntaron, tel</w:t>
      </w:r>
      <w:r>
        <w:rPr>
          <w:bCs/>
        </w:rPr>
        <w:t>e</w:t>
      </w:r>
      <w:r>
        <w:rPr>
          <w:bCs/>
        </w:rPr>
        <w:t>fónicamente, si conservaba la numeración de los dólares que Boragni le entregara, a lo que respondió negativame</w:t>
      </w:r>
      <w:r>
        <w:rPr>
          <w:bCs/>
        </w:rPr>
        <w:t>n</w:t>
      </w:r>
      <w:r>
        <w:rPr>
          <w:bCs/>
        </w:rPr>
        <w:t>te, toda vez que no acostumbraba a registra</w:t>
      </w:r>
      <w:r>
        <w:rPr>
          <w:bCs/>
        </w:rPr>
        <w:t>r</w:t>
      </w:r>
      <w:r>
        <w:rPr>
          <w:bCs/>
        </w:rPr>
        <w:t>los.</w:t>
      </w:r>
    </w:p>
    <w:p w:rsidR="00224567" w:rsidRDefault="00224567">
      <w:pPr>
        <w:pStyle w:val="Textoindependiente2"/>
        <w:widowControl w:val="0"/>
        <w:rPr>
          <w:rFonts w:ascii="Courier New" w:hAnsi="Courier New" w:cs="Courier New"/>
          <w:bCs/>
          <w:szCs w:val="24"/>
          <w:lang w:val="es-AR"/>
        </w:rPr>
      </w:pPr>
      <w:r>
        <w:rPr>
          <w:rFonts w:ascii="Courier New" w:hAnsi="Courier New" w:cs="Courier New"/>
          <w:bCs/>
          <w:szCs w:val="24"/>
          <w:lang w:val="es-AR"/>
        </w:rPr>
        <w:tab/>
        <w:t>En secretaría se encuentra reservada la documentación aportada por Richter (</w:t>
      </w:r>
      <w:r>
        <w:rPr>
          <w:rFonts w:ascii="Courier New" w:hAnsi="Courier New" w:cs="Courier New"/>
          <w:spacing w:val="-2"/>
        </w:rPr>
        <w:t>cónf.</w:t>
      </w:r>
      <w:r>
        <w:rPr>
          <w:rFonts w:ascii="Courier New" w:hAnsi="Courier New" w:cs="Courier New"/>
          <w:bCs/>
          <w:szCs w:val="24"/>
          <w:lang w:val="es-AR"/>
        </w:rPr>
        <w:t xml:space="preserve"> acta de deb</w:t>
      </w:r>
      <w:r>
        <w:rPr>
          <w:rFonts w:ascii="Courier New" w:hAnsi="Courier New" w:cs="Courier New"/>
          <w:bCs/>
          <w:szCs w:val="24"/>
          <w:lang w:val="es-AR"/>
        </w:rPr>
        <w:t>a</w:t>
      </w:r>
      <w:r>
        <w:rPr>
          <w:rFonts w:ascii="Courier New" w:hAnsi="Courier New" w:cs="Courier New"/>
          <w:bCs/>
          <w:szCs w:val="24"/>
          <w:lang w:val="es-AR"/>
        </w:rPr>
        <w:t>te glosada a fs. 112.361/112.385 y certificado actuarial de fs. 112.561/112.562), entre la que obra una copia del contrato de locación del inmueble sito en Rep</w:t>
      </w:r>
      <w:r>
        <w:rPr>
          <w:rFonts w:ascii="Courier New" w:hAnsi="Courier New" w:cs="Courier New"/>
          <w:bCs/>
          <w:szCs w:val="24"/>
          <w:lang w:val="es-AR"/>
        </w:rPr>
        <w:t>ú</w:t>
      </w:r>
      <w:r>
        <w:rPr>
          <w:rFonts w:ascii="Courier New" w:hAnsi="Courier New" w:cs="Courier New"/>
          <w:bCs/>
          <w:szCs w:val="24"/>
          <w:lang w:val="es-AR"/>
        </w:rPr>
        <w:t>blica 107 de Villa Ballester, celebrado el 26 de agosto de 1993, por dos años a partir del 1º de septiembre de ese año, entre Claudio Dal  Santo  y  María Luisa  Cavalli de  Dal Santo –parte locadora, representados por sus apoderados, Greg</w:t>
      </w:r>
      <w:r>
        <w:rPr>
          <w:rFonts w:ascii="Courier New" w:hAnsi="Courier New" w:cs="Courier New"/>
          <w:bCs/>
          <w:szCs w:val="24"/>
          <w:lang w:val="es-AR"/>
        </w:rPr>
        <w:t>o</w:t>
      </w:r>
      <w:r>
        <w:rPr>
          <w:rFonts w:ascii="Courier New" w:hAnsi="Courier New" w:cs="Courier New"/>
          <w:bCs/>
          <w:szCs w:val="24"/>
          <w:lang w:val="es-AR"/>
        </w:rPr>
        <w:t>rio Stapaj y María Ter</w:t>
      </w:r>
      <w:r>
        <w:rPr>
          <w:rFonts w:ascii="Courier New" w:hAnsi="Courier New" w:cs="Courier New"/>
          <w:bCs/>
          <w:szCs w:val="24"/>
          <w:lang w:val="es-AR"/>
        </w:rPr>
        <w:t>e</w:t>
      </w:r>
      <w:r>
        <w:rPr>
          <w:rFonts w:ascii="Courier New" w:hAnsi="Courier New" w:cs="Courier New"/>
          <w:bCs/>
          <w:szCs w:val="24"/>
          <w:lang w:val="es-AR"/>
        </w:rPr>
        <w:t>sa Baldasso de Stapaj- y Ana María Boragni –parte locat</w:t>
      </w:r>
      <w:r>
        <w:rPr>
          <w:rFonts w:ascii="Courier New" w:hAnsi="Courier New" w:cs="Courier New"/>
          <w:bCs/>
          <w:szCs w:val="24"/>
          <w:lang w:val="es-AR"/>
        </w:rPr>
        <w:t>a</w:t>
      </w:r>
      <w:r>
        <w:rPr>
          <w:rFonts w:ascii="Courier New" w:hAnsi="Courier New" w:cs="Courier New"/>
          <w:bCs/>
          <w:szCs w:val="24"/>
          <w:lang w:val="es-AR"/>
        </w:rPr>
        <w:t>ria-.</w:t>
      </w:r>
    </w:p>
    <w:p w:rsidR="00224567" w:rsidRDefault="00224567">
      <w:pPr>
        <w:pStyle w:val="Textoindependiente2"/>
        <w:widowControl w:val="0"/>
        <w:rPr>
          <w:rFonts w:ascii="Courier New" w:hAnsi="Courier New" w:cs="Courier New"/>
          <w:bCs/>
        </w:rPr>
      </w:pPr>
      <w:r>
        <w:rPr>
          <w:rFonts w:ascii="Courier New" w:hAnsi="Courier New" w:cs="Courier New"/>
          <w:bCs/>
          <w:szCs w:val="24"/>
          <w:lang w:val="es-AR"/>
        </w:rPr>
        <w:tab/>
        <w:t>De esa documentación también surge que el 7 de julio de 1994 la “Inmobiliaria Richter” e</w:t>
      </w:r>
      <w:r>
        <w:rPr>
          <w:rFonts w:ascii="Courier New" w:hAnsi="Courier New" w:cs="Courier New"/>
          <w:bCs/>
          <w:szCs w:val="24"/>
          <w:lang w:val="es-AR"/>
        </w:rPr>
        <w:t>n</w:t>
      </w:r>
      <w:r>
        <w:rPr>
          <w:rFonts w:ascii="Courier New" w:hAnsi="Courier New" w:cs="Courier New"/>
          <w:bCs/>
          <w:szCs w:val="24"/>
          <w:lang w:val="es-AR"/>
        </w:rPr>
        <w:t xml:space="preserve">vió una carta </w:t>
      </w:r>
      <w:r>
        <w:rPr>
          <w:rFonts w:ascii="Courier New" w:hAnsi="Courier New" w:cs="Courier New"/>
          <w:bCs/>
        </w:rPr>
        <w:t>documento a Ana Boragni, intimando al pago de los alquileres del inmueble de República 107 de Villa Balle</w:t>
      </w:r>
      <w:r>
        <w:rPr>
          <w:rFonts w:ascii="Courier New" w:hAnsi="Courier New" w:cs="Courier New"/>
          <w:bCs/>
        </w:rPr>
        <w:t>s</w:t>
      </w:r>
      <w:r>
        <w:rPr>
          <w:rFonts w:ascii="Courier New" w:hAnsi="Courier New" w:cs="Courier New"/>
          <w:bCs/>
        </w:rPr>
        <w:t xml:space="preserve">ter, correspondientes a los meses de junio y julio de 1994, por </w:t>
      </w:r>
      <w:r>
        <w:rPr>
          <w:rFonts w:ascii="Courier New" w:hAnsi="Courier New" w:cs="Courier New"/>
        </w:rPr>
        <w:t xml:space="preserve">$ </w:t>
      </w:r>
      <w:r>
        <w:rPr>
          <w:rFonts w:ascii="Courier New" w:hAnsi="Courier New" w:cs="Courier New"/>
          <w:bCs/>
        </w:rPr>
        <w:t>1200 mensuales, con más sus intereses punit</w:t>
      </w:r>
      <w:r>
        <w:rPr>
          <w:rFonts w:ascii="Courier New" w:hAnsi="Courier New" w:cs="Courier New"/>
          <w:bCs/>
        </w:rPr>
        <w:t>o</w:t>
      </w:r>
      <w:r>
        <w:rPr>
          <w:rFonts w:ascii="Courier New" w:hAnsi="Courier New" w:cs="Courier New"/>
          <w:bCs/>
        </w:rPr>
        <w:t>rios y legales y los gastos por dicha comunicación. As</w:t>
      </w:r>
      <w:r>
        <w:rPr>
          <w:rFonts w:ascii="Courier New" w:hAnsi="Courier New" w:cs="Courier New"/>
          <w:bCs/>
        </w:rPr>
        <w:t>i</w:t>
      </w:r>
      <w:r>
        <w:rPr>
          <w:rFonts w:ascii="Courier New" w:hAnsi="Courier New" w:cs="Courier New"/>
          <w:bCs/>
        </w:rPr>
        <w:t>mismo, reclamó la entrega de la póliza de seguro contra incendio y diversas facturas de “Aguas Argentinas” e i</w:t>
      </w:r>
      <w:r>
        <w:rPr>
          <w:rFonts w:ascii="Courier New" w:hAnsi="Courier New" w:cs="Courier New"/>
          <w:bCs/>
        </w:rPr>
        <w:t>m</w:t>
      </w:r>
      <w:r>
        <w:rPr>
          <w:rFonts w:ascii="Courier New" w:hAnsi="Courier New" w:cs="Courier New"/>
          <w:bCs/>
        </w:rPr>
        <w:t>puesto municipal e inmobiliario.</w:t>
      </w:r>
    </w:p>
    <w:p w:rsidR="00224567" w:rsidRDefault="00224567">
      <w:pPr>
        <w:pStyle w:val="Textoindependiente2"/>
        <w:widowControl w:val="0"/>
        <w:rPr>
          <w:rFonts w:ascii="Courier New" w:hAnsi="Courier New" w:cs="Courier New"/>
        </w:rPr>
      </w:pPr>
      <w:r>
        <w:rPr>
          <w:rFonts w:ascii="Courier New" w:hAnsi="Courier New" w:cs="Courier New"/>
          <w:bCs/>
        </w:rPr>
        <w:tab/>
        <w:t xml:space="preserve">El 8 de agosto de ese año remitió otra carta documento, en igual sentido, pero relativa al pago de los meses de julio y agosto. A su vez, </w:t>
      </w:r>
      <w:r>
        <w:rPr>
          <w:rFonts w:ascii="Courier New" w:hAnsi="Courier New" w:cs="Courier New"/>
        </w:rPr>
        <w:t>del recibo nº 0000-2958 de esa inmobiliaria se desprende que el 12 de julio de 1994 B</w:t>
      </w:r>
      <w:r>
        <w:rPr>
          <w:rFonts w:ascii="Courier New" w:hAnsi="Courier New" w:cs="Courier New"/>
        </w:rPr>
        <w:t>o</w:t>
      </w:r>
      <w:r>
        <w:rPr>
          <w:rFonts w:ascii="Courier New" w:hAnsi="Courier New" w:cs="Courier New"/>
        </w:rPr>
        <w:t>ragni hizo un pago de USD 1281.</w:t>
      </w:r>
    </w:p>
    <w:p w:rsidR="00224567" w:rsidRDefault="00224567">
      <w:pPr>
        <w:pStyle w:val="Textoindependiente2"/>
        <w:widowControl w:val="0"/>
        <w:rPr>
          <w:rFonts w:ascii="Courier New" w:hAnsi="Courier New" w:cs="Courier New"/>
          <w:bCs/>
        </w:rPr>
      </w:pPr>
      <w:r>
        <w:rPr>
          <w:rFonts w:ascii="Courier New" w:hAnsi="Courier New" w:cs="Courier New"/>
          <w:bCs/>
        </w:rPr>
        <w:tab/>
        <w:t>Finalmente, obra un acta de posesión por rescisión anticipada del contr</w:t>
      </w:r>
      <w:r>
        <w:rPr>
          <w:rFonts w:ascii="Courier New" w:hAnsi="Courier New" w:cs="Courier New"/>
          <w:bCs/>
        </w:rPr>
        <w:t>a</w:t>
      </w:r>
      <w:r>
        <w:rPr>
          <w:rFonts w:ascii="Courier New" w:hAnsi="Courier New" w:cs="Courier New"/>
          <w:bCs/>
        </w:rPr>
        <w:t>to de locación con Ana Boragni, del 31 de agosto de 1994, ocasión en la que se saldó la deuda de</w:t>
      </w:r>
      <w:r>
        <w:rPr>
          <w:rFonts w:ascii="Courier New" w:hAnsi="Courier New" w:cs="Courier New"/>
        </w:rPr>
        <w:t xml:space="preserve"> USD</w:t>
      </w:r>
      <w:r>
        <w:rPr>
          <w:rFonts w:ascii="Courier New" w:hAnsi="Courier New" w:cs="Courier New"/>
          <w:bCs/>
        </w:rPr>
        <w:t xml:space="preserve"> 2400, correspondiente a los dos ú</w:t>
      </w:r>
      <w:r>
        <w:rPr>
          <w:rFonts w:ascii="Courier New" w:hAnsi="Courier New" w:cs="Courier New"/>
          <w:bCs/>
        </w:rPr>
        <w:t>l</w:t>
      </w:r>
      <w:r>
        <w:rPr>
          <w:rFonts w:ascii="Courier New" w:hAnsi="Courier New" w:cs="Courier New"/>
          <w:bCs/>
        </w:rPr>
        <w:t>timos meses. La copia de ese instr</w:t>
      </w:r>
      <w:r>
        <w:rPr>
          <w:rFonts w:ascii="Courier New" w:hAnsi="Courier New" w:cs="Courier New"/>
          <w:bCs/>
        </w:rPr>
        <w:t>u</w:t>
      </w:r>
      <w:r>
        <w:rPr>
          <w:rFonts w:ascii="Courier New" w:hAnsi="Courier New" w:cs="Courier New"/>
          <w:bCs/>
        </w:rPr>
        <w:t xml:space="preserve">mento fue encontrada en el allanamiento del inmueble sito en la calle </w:t>
      </w:r>
      <w:r>
        <w:rPr>
          <w:rFonts w:ascii="Courier New" w:hAnsi="Courier New" w:cs="Courier New"/>
        </w:rPr>
        <w:t>Roosevelt 2462, piso 3º, depto. “A”, de Capital Federal.</w:t>
      </w:r>
      <w:r>
        <w:rPr>
          <w:rFonts w:ascii="Courier New" w:hAnsi="Courier New" w:cs="Courier New"/>
          <w:bCs/>
        </w:rPr>
        <w:t xml:space="preserve"> En igual sentido, consta en el </w:t>
      </w:r>
      <w:r>
        <w:rPr>
          <w:rFonts w:ascii="Courier New" w:hAnsi="Courier New" w:cs="Courier New"/>
        </w:rPr>
        <w:t>r</w:t>
      </w:r>
      <w:r>
        <w:rPr>
          <w:rFonts w:ascii="Courier New" w:hAnsi="Courier New" w:cs="Courier New"/>
        </w:rPr>
        <w:t>e</w:t>
      </w:r>
      <w:r>
        <w:rPr>
          <w:rFonts w:ascii="Courier New" w:hAnsi="Courier New" w:cs="Courier New"/>
        </w:rPr>
        <w:t>cibo nº 0000-3082 –secuestrado en ese mismo procedimiento-, expedido por la inmobili</w:t>
      </w:r>
      <w:r>
        <w:rPr>
          <w:rFonts w:ascii="Courier New" w:hAnsi="Courier New" w:cs="Courier New"/>
        </w:rPr>
        <w:t>a</w:t>
      </w:r>
      <w:r>
        <w:rPr>
          <w:rFonts w:ascii="Courier New" w:hAnsi="Courier New" w:cs="Courier New"/>
        </w:rPr>
        <w:t>ria en la fecha antes citada, que esa deuda fue abonada con el depósito efectuado al celebrarse el co</w:t>
      </w:r>
      <w:r>
        <w:rPr>
          <w:rFonts w:ascii="Courier New" w:hAnsi="Courier New" w:cs="Courier New"/>
        </w:rPr>
        <w:t>n</w:t>
      </w:r>
      <w:r>
        <w:rPr>
          <w:rFonts w:ascii="Courier New" w:hAnsi="Courier New" w:cs="Courier New"/>
        </w:rPr>
        <w:t>trato de alquiler.</w:t>
      </w:r>
    </w:p>
    <w:p w:rsidR="00224567" w:rsidRDefault="00224567">
      <w:pPr>
        <w:pStyle w:val="Textoindependiente2"/>
        <w:widowControl w:val="0"/>
        <w:rPr>
          <w:rFonts w:ascii="Courier New" w:hAnsi="Courier New" w:cs="Courier New"/>
          <w:bCs/>
        </w:rPr>
      </w:pPr>
      <w:r>
        <w:rPr>
          <w:rFonts w:ascii="Courier New" w:hAnsi="Courier New" w:cs="Courier New"/>
          <w:bCs/>
        </w:rPr>
        <w:tab/>
        <w:t>Contemporáneamente a los sucesos rel</w:t>
      </w:r>
      <w:r>
        <w:rPr>
          <w:rFonts w:ascii="Courier New" w:hAnsi="Courier New" w:cs="Courier New"/>
          <w:bCs/>
        </w:rPr>
        <w:t>a</w:t>
      </w:r>
      <w:r>
        <w:rPr>
          <w:rFonts w:ascii="Courier New" w:hAnsi="Courier New" w:cs="Courier New"/>
          <w:bCs/>
        </w:rPr>
        <w:t>tados, Telleldín y Boragni señaron en la inmobiliaria “Lauría”, una propiedad en Cisneros 580, Ramos Mejía, pr</w:t>
      </w:r>
      <w:r>
        <w:rPr>
          <w:rFonts w:ascii="Courier New" w:hAnsi="Courier New" w:cs="Courier New"/>
          <w:bCs/>
        </w:rPr>
        <w:t>o</w:t>
      </w:r>
      <w:r>
        <w:rPr>
          <w:rFonts w:ascii="Courier New" w:hAnsi="Courier New" w:cs="Courier New"/>
          <w:bCs/>
        </w:rPr>
        <w:t>vincia de Buenos Aires, con miras a su alqu</w:t>
      </w:r>
      <w:r>
        <w:rPr>
          <w:rFonts w:ascii="Courier New" w:hAnsi="Courier New" w:cs="Courier New"/>
          <w:bCs/>
        </w:rPr>
        <w:t>i</w:t>
      </w:r>
      <w:r>
        <w:rPr>
          <w:rFonts w:ascii="Courier New" w:hAnsi="Courier New" w:cs="Courier New"/>
          <w:bCs/>
        </w:rPr>
        <w:t>ler.</w:t>
      </w:r>
    </w:p>
    <w:p w:rsidR="00224567" w:rsidRDefault="00224567">
      <w:pPr>
        <w:widowControl w:val="0"/>
      </w:pPr>
      <w:r>
        <w:rPr>
          <w:bCs/>
        </w:rPr>
        <w:tab/>
      </w:r>
      <w:r>
        <w:t>Antonio Lauría, quien en 1994 se de-sempeñaba como martillero público, expresó que rec</w:t>
      </w:r>
      <w:r>
        <w:t>i</w:t>
      </w:r>
      <w:r>
        <w:t>bió una seña en dólares por una casa que tenía en alquiler, d</w:t>
      </w:r>
      <w:r>
        <w:t>e</w:t>
      </w:r>
      <w:r>
        <w:t>biendo el garante presentarse a las 24 ó 48 horas. Señaló que luego de dos días llamó por teléfono a la señora que iba a alquilar, explicando ésta que el mar</w:t>
      </w:r>
      <w:r>
        <w:t>i</w:t>
      </w:r>
      <w:r>
        <w:t>do había tenido un accidente, resultando ser que estaba deten</w:t>
      </w:r>
      <w:r>
        <w:t>i</w:t>
      </w:r>
      <w:r>
        <w:t>do.</w:t>
      </w:r>
    </w:p>
    <w:p w:rsidR="00224567" w:rsidRDefault="00224567">
      <w:pPr>
        <w:widowControl w:val="0"/>
        <w:ind w:firstLine="2835"/>
      </w:pPr>
      <w:r>
        <w:t>Al tercer día, señaló, la señora fue o mandó una persona a retirar el dinero porque no podía a</w:t>
      </w:r>
      <w:r>
        <w:t>l</w:t>
      </w:r>
      <w:r>
        <w:t>quilar y se lo reintegraron sin restar ga</w:t>
      </w:r>
      <w:r>
        <w:t>s</w:t>
      </w:r>
      <w:r>
        <w:t>tos. Agregó que habían ido por primera vez en la fecha que surgía del r</w:t>
      </w:r>
      <w:r>
        <w:t>e</w:t>
      </w:r>
      <w:r>
        <w:t>cibo; recordó que era de noche y estaban por c</w:t>
      </w:r>
      <w:r>
        <w:t>e</w:t>
      </w:r>
      <w:r>
        <w:t>rrar, pero de todos modos el señor quiso dejar una s</w:t>
      </w:r>
      <w:r>
        <w:t>e</w:t>
      </w:r>
      <w:r>
        <w:t>ña.</w:t>
      </w:r>
    </w:p>
    <w:p w:rsidR="00224567" w:rsidRDefault="00224567">
      <w:pPr>
        <w:widowControl w:val="0"/>
      </w:pPr>
      <w:r>
        <w:tab/>
        <w:t>A fs. 3028 se encuentra glosado un r</w:t>
      </w:r>
      <w:r>
        <w:t>e</w:t>
      </w:r>
      <w:r>
        <w:t>cibo de seña y reserva del 21 de julio de 1994, expedido por la inmobiliaria “A. Lauría” a Carlos Alberto “Tecc</w:t>
      </w:r>
      <w:r>
        <w:t>e</w:t>
      </w:r>
      <w:r>
        <w:t xml:space="preserve">din”, por USD </w:t>
      </w:r>
      <w:smartTag w:uri="urn:schemas-microsoft-com:office:smarttags" w:element="metricconverter">
        <w:smartTagPr>
          <w:attr w:name="ProductID" w:val="1000. A"/>
        </w:smartTagPr>
        <w:r>
          <w:t>1000. A</w:t>
        </w:r>
      </w:smartTag>
      <w:r>
        <w:t xml:space="preserve"> fs. 3114 luce un recibo del 10 de agosto de ese año, por $ 500, en concepto de restitución de seña por la operación no concretada.</w:t>
      </w:r>
    </w:p>
    <w:p w:rsidR="00224567" w:rsidRDefault="00224567">
      <w:pPr>
        <w:widowControl w:val="0"/>
      </w:pPr>
      <w:r>
        <w:tab/>
        <w:t>A su vez, el radio-llamado nº 40.165.284, código 25.328, que el imputado reconoció como propio, registra mensajes procedentes de la inmobiliaria “Lauría” (</w:t>
      </w:r>
      <w:r>
        <w:rPr>
          <w:spacing w:val="-2"/>
        </w:rPr>
        <w:t>cónf.</w:t>
      </w:r>
      <w:r>
        <w:t xml:space="preserve"> mensajes nº 80 y 83), según surge de la certif</w:t>
      </w:r>
      <w:r>
        <w:t>i</w:t>
      </w:r>
      <w:r>
        <w:t>cación actuarial de fs. 2193/2195 y del informe de la empresa “Radio Llamada S.A.C.I.” de fs. 3041/3048.</w:t>
      </w:r>
    </w:p>
    <w:p w:rsidR="00224567" w:rsidRDefault="00224567">
      <w:pPr>
        <w:widowControl w:val="0"/>
      </w:pPr>
      <w:r>
        <w:tab/>
        <w:t>A ello se añade que a fs. 1 del leg</w:t>
      </w:r>
      <w:r>
        <w:t>a</w:t>
      </w:r>
      <w:r>
        <w:t xml:space="preserve">jo de transcripciones de </w:t>
      </w:r>
      <w:smartTag w:uri="urn:schemas-microsoft-com:office:smarttags" w:element="PersonName">
        <w:smartTagPr>
          <w:attr w:name="ProductID" w:val="la Secretar￭a"/>
        </w:smartTagPr>
        <w:r>
          <w:t>la Secretaría</w:t>
        </w:r>
      </w:smartTag>
      <w:r>
        <w:t xml:space="preserve"> de Inteligencia del abonado 768-0902, se da cuenta de un llamado del 27 de j</w:t>
      </w:r>
      <w:r>
        <w:t>u</w:t>
      </w:r>
      <w:r>
        <w:t>lio de 1994, según el cual “MD del 768-0902 le explica a otra MD, que el marido tuvo un accidente automovilístico por el cual se encuentra internado, no siendo de gravedad las heridas del mismo, que por lo tanto ella habló con la inmobiliaria y les explicó la complicación que había ten</w:t>
      </w:r>
      <w:r>
        <w:t>i</w:t>
      </w:r>
      <w:r>
        <w:t>do y les solicitó firmar ella el contrato de alquiler. La otra MD sería la dueña de la casa o dpto. que estarían por alquilar...”.</w:t>
      </w:r>
    </w:p>
    <w:p w:rsidR="00224567" w:rsidRDefault="00224567">
      <w:pPr>
        <w:widowControl w:val="0"/>
      </w:pPr>
      <w:r>
        <w:tab/>
        <w:t>Con respecto a este tema, Aldo Alfr</w:t>
      </w:r>
      <w:r>
        <w:t>e</w:t>
      </w:r>
      <w:r>
        <w:t>do Álvarez, oficial de inteligencia del D.P.O.C., creyó r</w:t>
      </w:r>
      <w:r>
        <w:t>e</w:t>
      </w:r>
      <w:r>
        <w:t>cordar que en la dependencia en la que prestaba se</w:t>
      </w:r>
      <w:r>
        <w:t>r</w:t>
      </w:r>
      <w:r>
        <w:t>vicios se hicieron investigaciones en dos inmobili</w:t>
      </w:r>
      <w:r>
        <w:t>a</w:t>
      </w:r>
      <w:r>
        <w:t>rias de Ramos Mejía, resultando que Telleldín había alquilado una pr</w:t>
      </w:r>
      <w:r>
        <w:t>o</w:t>
      </w:r>
      <w:r>
        <w:t>piedad.</w:t>
      </w:r>
    </w:p>
    <w:p w:rsidR="00224567" w:rsidRDefault="00224567">
      <w:pPr>
        <w:pStyle w:val="Textoindependiente2"/>
        <w:widowControl w:val="0"/>
        <w:rPr>
          <w:rFonts w:ascii="Courier New" w:hAnsi="Courier New" w:cs="Courier New"/>
        </w:rPr>
      </w:pPr>
      <w:r>
        <w:rPr>
          <w:rFonts w:ascii="Courier New" w:hAnsi="Courier New" w:cs="Courier New"/>
          <w:bCs/>
        </w:rPr>
        <w:tab/>
        <w:t>Por su parte,</w:t>
      </w:r>
      <w:r>
        <w:rPr>
          <w:rFonts w:ascii="Courier New" w:hAnsi="Courier New" w:cs="Courier New"/>
        </w:rPr>
        <w:t xml:space="preserve"> Ana María Boragni rel</w:t>
      </w:r>
      <w:r>
        <w:rPr>
          <w:rFonts w:ascii="Courier New" w:hAnsi="Courier New" w:cs="Courier New"/>
        </w:rPr>
        <w:t>a</w:t>
      </w:r>
      <w:r>
        <w:rPr>
          <w:rFonts w:ascii="Courier New" w:hAnsi="Courier New" w:cs="Courier New"/>
        </w:rPr>
        <w:t>tó que la casa de la calle República fue alquilada en la “I</w:t>
      </w:r>
      <w:r>
        <w:rPr>
          <w:rFonts w:ascii="Courier New" w:hAnsi="Courier New" w:cs="Courier New"/>
        </w:rPr>
        <w:t>n</w:t>
      </w:r>
      <w:r>
        <w:rPr>
          <w:rFonts w:ascii="Courier New" w:hAnsi="Courier New" w:cs="Courier New"/>
        </w:rPr>
        <w:t>mobiliaria Richter”, donde trató con la dueña y con quien creyó que era el marido. Si bien no recordó si el día del atentado llamó por teléfono a esa inmobiliaria, aseveró que en algún momento lo hizo y comentó que su marido est</w:t>
      </w:r>
      <w:r>
        <w:rPr>
          <w:rFonts w:ascii="Courier New" w:hAnsi="Courier New" w:cs="Courier New"/>
        </w:rPr>
        <w:t>a</w:t>
      </w:r>
      <w:r>
        <w:rPr>
          <w:rFonts w:ascii="Courier New" w:hAnsi="Courier New" w:cs="Courier New"/>
        </w:rPr>
        <w:t>ba detenido por haber vendido la c</w:t>
      </w:r>
      <w:r>
        <w:rPr>
          <w:rFonts w:ascii="Courier New" w:hAnsi="Courier New" w:cs="Courier New"/>
        </w:rPr>
        <w:t>a</w:t>
      </w:r>
      <w:r>
        <w:rPr>
          <w:rFonts w:ascii="Courier New" w:hAnsi="Courier New" w:cs="Courier New"/>
        </w:rPr>
        <w:t xml:space="preserve">mioneta que explotó en </w:t>
      </w:r>
      <w:smartTag w:uri="urn:schemas-microsoft-com:office:smarttags" w:element="PersonName">
        <w:smartTagPr>
          <w:attr w:name="ProductID" w:val="la A.M"/>
        </w:smartTagPr>
        <w:r>
          <w:rPr>
            <w:rFonts w:ascii="Courier New" w:hAnsi="Courier New" w:cs="Courier New"/>
          </w:rPr>
          <w:t>la A.M</w:t>
        </w:r>
      </w:smartTag>
      <w:r>
        <w:rPr>
          <w:rFonts w:ascii="Courier New" w:hAnsi="Courier New" w:cs="Courier New"/>
        </w:rPr>
        <w:t>.I.A.; supuso que esa co</w:t>
      </w:r>
      <w:r>
        <w:rPr>
          <w:rFonts w:ascii="Courier New" w:hAnsi="Courier New" w:cs="Courier New"/>
        </w:rPr>
        <w:t>n</w:t>
      </w:r>
      <w:r>
        <w:rPr>
          <w:rFonts w:ascii="Courier New" w:hAnsi="Courier New" w:cs="Courier New"/>
        </w:rPr>
        <w:t>versación tuvo lugar a días de la detención de Telle</w:t>
      </w:r>
      <w:r>
        <w:rPr>
          <w:rFonts w:ascii="Courier New" w:hAnsi="Courier New" w:cs="Courier New"/>
        </w:rPr>
        <w:t>l</w:t>
      </w:r>
      <w:r>
        <w:rPr>
          <w:rFonts w:ascii="Courier New" w:hAnsi="Courier New" w:cs="Courier New"/>
        </w:rPr>
        <w:t>dín y que hizo el comentario por carecer de dinero para pagar el a</w:t>
      </w:r>
      <w:r>
        <w:rPr>
          <w:rFonts w:ascii="Courier New" w:hAnsi="Courier New" w:cs="Courier New"/>
        </w:rPr>
        <w:t>l</w:t>
      </w:r>
      <w:r>
        <w:rPr>
          <w:rFonts w:ascii="Courier New" w:hAnsi="Courier New" w:cs="Courier New"/>
        </w:rPr>
        <w:t>quiler.</w:t>
      </w:r>
    </w:p>
    <w:p w:rsidR="00224567" w:rsidRDefault="00224567">
      <w:pPr>
        <w:widowControl w:val="0"/>
      </w:pPr>
      <w:r>
        <w:tab/>
        <w:t>En otro tramo de su declaración ref</w:t>
      </w:r>
      <w:r>
        <w:t>i</w:t>
      </w:r>
      <w:r>
        <w:t xml:space="preserve">rió que al día siguiente de la venta de </w:t>
      </w:r>
      <w:smartTag w:uri="urn:schemas-microsoft-com:office:smarttags" w:element="PersonName">
        <w:smartTagPr>
          <w:attr w:name="ProductID" w:val="la Trafic"/>
        </w:smartTagPr>
        <w:r>
          <w:t>la Trafic</w:t>
        </w:r>
      </w:smartTag>
      <w:r>
        <w:t xml:space="preserve"> debían pagar el alquiler, que ascendía a $ 1500, indicándole T</w:t>
      </w:r>
      <w:r>
        <w:t>e</w:t>
      </w:r>
      <w:r>
        <w:t>lleldín que retirara el dinero de la caja de segur</w:t>
      </w:r>
      <w:r>
        <w:t>i</w:t>
      </w:r>
      <w:r>
        <w:t>dad que tenían en la habitación.</w:t>
      </w:r>
    </w:p>
    <w:p w:rsidR="00224567" w:rsidRDefault="00224567">
      <w:pPr>
        <w:pStyle w:val="Textoindependiente2"/>
        <w:widowControl w:val="0"/>
        <w:rPr>
          <w:rFonts w:ascii="Courier New" w:hAnsi="Courier New" w:cs="Courier New"/>
        </w:rPr>
      </w:pPr>
      <w:r>
        <w:rPr>
          <w:rFonts w:ascii="Courier New" w:hAnsi="Courier New" w:cs="Courier New"/>
        </w:rPr>
        <w:tab/>
        <w:t>En cuanto a la inmobiliaria “La</w:t>
      </w:r>
      <w:r>
        <w:rPr>
          <w:rFonts w:ascii="Courier New" w:hAnsi="Courier New" w:cs="Courier New"/>
        </w:rPr>
        <w:t>u</w:t>
      </w:r>
      <w:r>
        <w:rPr>
          <w:rFonts w:ascii="Courier New" w:hAnsi="Courier New" w:cs="Courier New"/>
        </w:rPr>
        <w:t>ría”, Boragni refirió que era aquella donde dej</w:t>
      </w:r>
      <w:r>
        <w:rPr>
          <w:rFonts w:ascii="Courier New" w:hAnsi="Courier New" w:cs="Courier New"/>
        </w:rPr>
        <w:t>a</w:t>
      </w:r>
      <w:r>
        <w:rPr>
          <w:rFonts w:ascii="Courier New" w:hAnsi="Courier New" w:cs="Courier New"/>
        </w:rPr>
        <w:t>ron la seña por la casa de Ramos Mejía, según creía en el barrio Don Bo</w:t>
      </w:r>
      <w:r>
        <w:rPr>
          <w:rFonts w:ascii="Courier New" w:hAnsi="Courier New" w:cs="Courier New"/>
        </w:rPr>
        <w:t>s</w:t>
      </w:r>
      <w:r>
        <w:rPr>
          <w:rFonts w:ascii="Courier New" w:hAnsi="Courier New" w:cs="Courier New"/>
        </w:rPr>
        <w:t>co, sin recordar la fecha de la seña o si fue antes o de</w:t>
      </w:r>
      <w:r>
        <w:rPr>
          <w:rFonts w:ascii="Courier New" w:hAnsi="Courier New" w:cs="Courier New"/>
        </w:rPr>
        <w:t>s</w:t>
      </w:r>
      <w:r>
        <w:rPr>
          <w:rFonts w:ascii="Courier New" w:hAnsi="Courier New" w:cs="Courier New"/>
        </w:rPr>
        <w:t>pués del atentado o ese día, aunque aseguró que no lleg</w:t>
      </w:r>
      <w:r>
        <w:rPr>
          <w:rFonts w:ascii="Courier New" w:hAnsi="Courier New" w:cs="Courier New"/>
        </w:rPr>
        <w:t>a</w:t>
      </w:r>
      <w:r>
        <w:rPr>
          <w:rFonts w:ascii="Courier New" w:hAnsi="Courier New" w:cs="Courier New"/>
        </w:rPr>
        <w:t>ron a firmar el co</w:t>
      </w:r>
      <w:r>
        <w:rPr>
          <w:rFonts w:ascii="Courier New" w:hAnsi="Courier New" w:cs="Courier New"/>
        </w:rPr>
        <w:t>n</w:t>
      </w:r>
      <w:r>
        <w:rPr>
          <w:rFonts w:ascii="Courier New" w:hAnsi="Courier New" w:cs="Courier New"/>
        </w:rPr>
        <w:t>trato.</w:t>
      </w:r>
    </w:p>
    <w:p w:rsidR="00224567" w:rsidRDefault="00224567">
      <w:pPr>
        <w:pStyle w:val="Textoindependiente2"/>
        <w:widowControl w:val="0"/>
        <w:rPr>
          <w:rFonts w:ascii="Courier New" w:hAnsi="Courier New" w:cs="Courier New"/>
        </w:rPr>
      </w:pPr>
      <w:r>
        <w:rPr>
          <w:rFonts w:ascii="Courier New" w:hAnsi="Courier New" w:cs="Courier New"/>
        </w:rPr>
        <w:tab/>
        <w:t>Todo lo hasta aquí expuesto aventa las sospechas de los acusadores, planteadas en orden a la d</w:t>
      </w:r>
      <w:r>
        <w:rPr>
          <w:rFonts w:ascii="Courier New" w:hAnsi="Courier New" w:cs="Courier New"/>
        </w:rPr>
        <w:t>e</w:t>
      </w:r>
      <w:r>
        <w:rPr>
          <w:rFonts w:ascii="Courier New" w:hAnsi="Courier New" w:cs="Courier New"/>
        </w:rPr>
        <w:t>cisión de Telleldín de mudarse faltánd</w:t>
      </w:r>
      <w:r>
        <w:rPr>
          <w:rFonts w:ascii="Courier New" w:hAnsi="Courier New" w:cs="Courier New"/>
        </w:rPr>
        <w:t>o</w:t>
      </w:r>
      <w:r>
        <w:rPr>
          <w:rFonts w:ascii="Courier New" w:hAnsi="Courier New" w:cs="Courier New"/>
        </w:rPr>
        <w:t>le un año para que venciera el contrato de locación de la vivienda de la c</w:t>
      </w:r>
      <w:r>
        <w:rPr>
          <w:rFonts w:ascii="Courier New" w:hAnsi="Courier New" w:cs="Courier New"/>
        </w:rPr>
        <w:t>a</w:t>
      </w:r>
      <w:r>
        <w:rPr>
          <w:rFonts w:ascii="Courier New" w:hAnsi="Courier New" w:cs="Courier New"/>
        </w:rPr>
        <w:t>lle República 107.</w:t>
      </w:r>
    </w:p>
    <w:p w:rsidR="00224567" w:rsidRDefault="00224567">
      <w:pPr>
        <w:widowControl w:val="0"/>
        <w:rPr>
          <w:rFonts w:eastAsia="Arial Unicode MS"/>
          <w:spacing w:val="-3"/>
        </w:rPr>
      </w:pPr>
      <w:r>
        <w:rPr>
          <w:rFonts w:eastAsia="Arial Unicode MS"/>
          <w:spacing w:val="-3"/>
        </w:rPr>
        <w:tab/>
        <w:t>Con relación a los ingresos de Telle</w:t>
      </w:r>
      <w:r>
        <w:rPr>
          <w:rFonts w:eastAsia="Arial Unicode MS"/>
          <w:spacing w:val="-3"/>
        </w:rPr>
        <w:t>l</w:t>
      </w:r>
      <w:r>
        <w:rPr>
          <w:rFonts w:eastAsia="Arial Unicode MS"/>
          <w:spacing w:val="-3"/>
        </w:rPr>
        <w:t>dín invocados por la fiscalía como dato a tener en cuenta a la hora de evaluar su necesidad de mudarse, se d</w:t>
      </w:r>
      <w:r>
        <w:rPr>
          <w:rFonts w:eastAsia="Arial Unicode MS"/>
          <w:spacing w:val="-3"/>
        </w:rPr>
        <w:t>e</w:t>
      </w:r>
      <w:r>
        <w:rPr>
          <w:rFonts w:eastAsia="Arial Unicode MS"/>
          <w:spacing w:val="-3"/>
        </w:rPr>
        <w:t>be señalar que tal aseveración sólo halla sustento en los dichos del propio imputado y no se encuentra respaldada por ninguna otra constancia de autos. Más aún, el desenlace que tuvo el contrato de alquiler de la vivienda de República 107 la contradice abiertamente.</w:t>
      </w:r>
    </w:p>
    <w:p w:rsidR="00224567" w:rsidRDefault="00224567">
      <w:pPr>
        <w:widowControl w:val="0"/>
      </w:pPr>
      <w:r>
        <w:rPr>
          <w:rFonts w:eastAsia="Arial Unicode MS"/>
          <w:spacing w:val="-3"/>
        </w:rPr>
        <w:tab/>
        <w:t>Ninguna conjetura puede alimentar la circunstancia de que el encartado intentara mudar su dom</w:t>
      </w:r>
      <w:r>
        <w:rPr>
          <w:rFonts w:eastAsia="Arial Unicode MS"/>
          <w:spacing w:val="-3"/>
        </w:rPr>
        <w:t>i</w:t>
      </w:r>
      <w:r>
        <w:rPr>
          <w:rFonts w:eastAsia="Arial Unicode MS"/>
          <w:spacing w:val="-3"/>
        </w:rPr>
        <w:t>cilio, dado que, sin perjuicio de lo expuesto sobre sus i</w:t>
      </w:r>
      <w:r>
        <w:rPr>
          <w:rFonts w:eastAsia="Arial Unicode MS"/>
          <w:spacing w:val="-3"/>
        </w:rPr>
        <w:t>n</w:t>
      </w:r>
      <w:r>
        <w:rPr>
          <w:rFonts w:eastAsia="Arial Unicode MS"/>
          <w:spacing w:val="-3"/>
        </w:rPr>
        <w:t>cumplimientos,</w:t>
      </w:r>
      <w:r>
        <w:t xml:space="preserve"> surge del informe –legajo de ide</w:t>
      </w:r>
      <w:r>
        <w:t>n</w:t>
      </w:r>
      <w:r>
        <w:t>tidad del imputado- del Departamento Protección del Orden Constit</w:t>
      </w:r>
      <w:r>
        <w:t>u</w:t>
      </w:r>
      <w:r>
        <w:t>cional agregado a fs. 315/317, que en marzo de 1988 su d</w:t>
      </w:r>
      <w:r>
        <w:t>o</w:t>
      </w:r>
      <w:r>
        <w:t>micilio era en Mariano Moreno 5615 de Wi</w:t>
      </w:r>
      <w:r>
        <w:t>l</w:t>
      </w:r>
      <w:r>
        <w:t>de; en ese mismo año, también registró domicilio en Roos</w:t>
      </w:r>
      <w:r>
        <w:t>e</w:t>
      </w:r>
      <w:r>
        <w:t>velt 2462, 3º “A”, Capital Federal; en 1991 se le con</w:t>
      </w:r>
      <w:r>
        <w:t>o</w:t>
      </w:r>
      <w:r>
        <w:t>cieron los de Betbeder 1444 y Congreso 1516, 6º “A”, ambos de Capital Federal, y Rodríguez Peña 1484, Santos Lugares, partido de 3 de F</w:t>
      </w:r>
      <w:r>
        <w:t>e</w:t>
      </w:r>
      <w:r>
        <w:t>brero, provi</w:t>
      </w:r>
      <w:r>
        <w:t>n</w:t>
      </w:r>
      <w:r>
        <w:t>cia de Buenos Aires.</w:t>
      </w:r>
    </w:p>
    <w:p w:rsidR="00224567" w:rsidRDefault="00224567">
      <w:pPr>
        <w:widowControl w:val="0"/>
      </w:pPr>
      <w:r>
        <w:tab/>
        <w:t>Complementan el anterior, los info</w:t>
      </w:r>
      <w:r>
        <w:t>r</w:t>
      </w:r>
      <w:r>
        <w:t xml:space="preserve">mes de </w:t>
      </w:r>
      <w:smartTag w:uri="urn:schemas-microsoft-com:office:smarttags" w:element="PersonName">
        <w:smartTagPr>
          <w:attr w:name="ProductID" w:val="la Secretar￭a"/>
        </w:smartTagPr>
        <w:r>
          <w:t>la Secretaría</w:t>
        </w:r>
      </w:smartTag>
      <w:r>
        <w:t xml:space="preserve"> de Inteligencia de Estado de fs. 4283/4284 y 4415bis, que indican que desde 1990 hasta 1991 Telleldín y Boragni habitaron el inmueble sito en Congreso 1516, 6º “A”; durante algunos meses –febrero a julio apr</w:t>
      </w:r>
      <w:r>
        <w:t>o</w:t>
      </w:r>
      <w:r>
        <w:t xml:space="preserve">ximadamente- de 1991, el de Almirante Onofre Betbeder 1444; y desde fines de </w:t>
      </w:r>
      <w:smartTag w:uri="urn:schemas-microsoft-com:office:smarttags" w:element="metricconverter">
        <w:smartTagPr>
          <w:attr w:name="ProductID" w:val="1991 a"/>
        </w:smartTagPr>
        <w:r>
          <w:t>1991 a</w:t>
        </w:r>
      </w:smartTag>
      <w:r>
        <w:t xml:space="preserve"> septiembre de 1993, el de Jonas Salk 2798 de Ol</w:t>
      </w:r>
      <w:r>
        <w:t>i</w:t>
      </w:r>
      <w:r>
        <w:t>vos.</w:t>
      </w:r>
    </w:p>
    <w:p w:rsidR="00224567" w:rsidRDefault="00224567">
      <w:pPr>
        <w:widowControl w:val="0"/>
      </w:pPr>
      <w:r>
        <w:tab/>
        <w:t>De este modo, se comprobó, por la fr</w:t>
      </w:r>
      <w:r>
        <w:t>e</w:t>
      </w:r>
      <w:r>
        <w:t>cuencia en los cambios de domicilio registrados, que m</w:t>
      </w:r>
      <w:r>
        <w:t>u</w:t>
      </w:r>
      <w:r>
        <w:t>darse era una actividad habitual del encartado. En cons</w:t>
      </w:r>
      <w:r>
        <w:t>e</w:t>
      </w:r>
      <w:r>
        <w:t>cuencia, desde este punto de vista no llama la atención que una vez más quisiera hacerlo, máxime cuando estaba t</w:t>
      </w:r>
      <w:r>
        <w:t>e</w:t>
      </w:r>
      <w:r>
        <w:t>niendo problemas para afrontar el pago mensual del alqu</w:t>
      </w:r>
      <w:r>
        <w:t>i</w:t>
      </w:r>
      <w:r>
        <w:t>ler.</w:t>
      </w:r>
    </w:p>
    <w:p w:rsidR="00224567" w:rsidRDefault="00224567">
      <w:pPr>
        <w:widowControl w:val="0"/>
        <w:rPr>
          <w:rFonts w:eastAsia="Arial Unicode MS"/>
          <w:spacing w:val="-3"/>
        </w:rPr>
      </w:pPr>
      <w:r>
        <w:tab/>
        <w:t>Por último, s</w:t>
      </w:r>
      <w:r>
        <w:rPr>
          <w:rFonts w:eastAsia="Arial Unicode MS"/>
          <w:spacing w:val="-3"/>
        </w:rPr>
        <w:t>i bien la fiscalía y la querella unificada no se explicaron la decisión de Telle</w:t>
      </w:r>
      <w:r>
        <w:rPr>
          <w:rFonts w:eastAsia="Arial Unicode MS"/>
          <w:spacing w:val="-3"/>
        </w:rPr>
        <w:t>l</w:t>
      </w:r>
      <w:r>
        <w:rPr>
          <w:rFonts w:eastAsia="Arial Unicode MS"/>
          <w:spacing w:val="-3"/>
        </w:rPr>
        <w:t>dín de mudarse a Ramos Mejía, no corresponde al nombrado despejar o dar respuesta a esos interrogantes, s</w:t>
      </w:r>
      <w:r>
        <w:rPr>
          <w:rFonts w:eastAsia="Arial Unicode MS"/>
          <w:spacing w:val="-3"/>
        </w:rPr>
        <w:t>i</w:t>
      </w:r>
      <w:r>
        <w:rPr>
          <w:rFonts w:eastAsia="Arial Unicode MS"/>
          <w:spacing w:val="-3"/>
        </w:rPr>
        <w:t>no por el contrario, a ellos corresponde demostrar su culpabilidad. Para ello debieron destruir el sólido cuadro que demostró los motivos de la mudanza.</w:t>
      </w:r>
    </w:p>
    <w:p w:rsidR="00224567" w:rsidRDefault="00224567">
      <w:pPr>
        <w:widowControl w:val="0"/>
      </w:pPr>
      <w:r>
        <w:tab/>
        <w:t>Vale reiterar que las probanzas cit</w:t>
      </w:r>
      <w:r>
        <w:t>a</w:t>
      </w:r>
      <w:r>
        <w:t>das se alzan en contra de las inferencias que prete</w:t>
      </w:r>
      <w:r>
        <w:t>n</w:t>
      </w:r>
      <w:r>
        <w:t>dieron probar los acusadores, en el sentido de una actividad re</w:t>
      </w:r>
      <w:r>
        <w:t>a</w:t>
      </w:r>
      <w:r>
        <w:t>lizada por el imputado para evitar ser localizado por la justicia.</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Sostiene Jauchen que el indicio pie</w:t>
      </w:r>
      <w:r>
        <w:rPr>
          <w:rFonts w:ascii="Courier New" w:hAnsi="Courier New" w:cs="Courier New"/>
          <w:szCs w:val="24"/>
          <w:lang w:val="es-AR"/>
        </w:rPr>
        <w:t>r</w:t>
      </w:r>
      <w:r>
        <w:rPr>
          <w:rFonts w:ascii="Courier New" w:hAnsi="Courier New" w:cs="Courier New"/>
          <w:szCs w:val="24"/>
          <w:lang w:val="es-AR"/>
        </w:rPr>
        <w:t>de su valor probatorio cuando la justificación dada por el imputado es investigada y finalmente comprobada su conco</w:t>
      </w:r>
      <w:r>
        <w:rPr>
          <w:rFonts w:ascii="Courier New" w:hAnsi="Courier New" w:cs="Courier New"/>
          <w:szCs w:val="24"/>
          <w:lang w:val="es-AR"/>
        </w:rPr>
        <w:t>r</w:t>
      </w:r>
      <w:r>
        <w:rPr>
          <w:rFonts w:ascii="Courier New" w:hAnsi="Courier New" w:cs="Courier New"/>
          <w:szCs w:val="24"/>
          <w:lang w:val="es-AR"/>
        </w:rPr>
        <w:t>dancia con sus explicaciones. Así, si el acusado sumini</w:t>
      </w:r>
      <w:r>
        <w:rPr>
          <w:rFonts w:ascii="Courier New" w:hAnsi="Courier New" w:cs="Courier New"/>
          <w:szCs w:val="24"/>
          <w:lang w:val="es-AR"/>
        </w:rPr>
        <w:t>s</w:t>
      </w:r>
      <w:r>
        <w:rPr>
          <w:rFonts w:ascii="Courier New" w:hAnsi="Courier New" w:cs="Courier New"/>
          <w:szCs w:val="24"/>
          <w:lang w:val="es-AR"/>
        </w:rPr>
        <w:t>tra explicaciones satisfactorias, que además se compru</w:t>
      </w:r>
      <w:r>
        <w:rPr>
          <w:rFonts w:ascii="Courier New" w:hAnsi="Courier New" w:cs="Courier New"/>
          <w:szCs w:val="24"/>
          <w:lang w:val="es-AR"/>
        </w:rPr>
        <w:t>e</w:t>
      </w:r>
      <w:r>
        <w:rPr>
          <w:rFonts w:ascii="Courier New" w:hAnsi="Courier New" w:cs="Courier New"/>
          <w:szCs w:val="24"/>
          <w:lang w:val="es-AR"/>
        </w:rPr>
        <w:t>ban, los elementos indiciarios existentes pierden su ef</w:t>
      </w:r>
      <w:r>
        <w:rPr>
          <w:rFonts w:ascii="Courier New" w:hAnsi="Courier New" w:cs="Courier New"/>
          <w:szCs w:val="24"/>
          <w:lang w:val="es-AR"/>
        </w:rPr>
        <w:t>i</w:t>
      </w:r>
      <w:r>
        <w:rPr>
          <w:rFonts w:ascii="Courier New" w:hAnsi="Courier New" w:cs="Courier New"/>
          <w:szCs w:val="24"/>
          <w:lang w:val="es-AR"/>
        </w:rPr>
        <w:t>cacia (</w:t>
      </w:r>
      <w:r>
        <w:rPr>
          <w:rFonts w:ascii="Courier New" w:hAnsi="Courier New" w:cs="Courier New"/>
          <w:spacing w:val="-2"/>
        </w:rPr>
        <w:t>cónf.</w:t>
      </w:r>
      <w:r>
        <w:rPr>
          <w:rFonts w:ascii="Courier New" w:hAnsi="Courier New" w:cs="Courier New"/>
          <w:szCs w:val="24"/>
          <w:lang w:val="es-AR"/>
        </w:rPr>
        <w:t xml:space="preserve"> </w:t>
      </w:r>
      <w:r>
        <w:rPr>
          <w:rFonts w:ascii="Courier New" w:hAnsi="Courier New" w:cs="Courier New"/>
        </w:rPr>
        <w:t>ob. cit.</w:t>
      </w:r>
      <w:r>
        <w:rPr>
          <w:rFonts w:ascii="Courier New" w:hAnsi="Courier New" w:cs="Courier New"/>
          <w:szCs w:val="24"/>
          <w:lang w:val="es-AR"/>
        </w:rPr>
        <w:t>, pág. 605).</w:t>
      </w:r>
    </w:p>
    <w:p w:rsidR="00224567" w:rsidRDefault="00224567">
      <w:pPr>
        <w:widowControl w:val="0"/>
      </w:pPr>
      <w:r>
        <w:tab/>
        <w:t>Al respecto, entiende Hugo Rocha D</w:t>
      </w:r>
      <w:r>
        <w:t>e</w:t>
      </w:r>
      <w:r>
        <w:t>greef que la fuerza probatoria de los indicios crece o d</w:t>
      </w:r>
      <w:r>
        <w:t>e</w:t>
      </w:r>
      <w:r>
        <w:t>crece en razón de las circunstancias accesorias esp</w:t>
      </w:r>
      <w:r>
        <w:t>e</w:t>
      </w:r>
      <w:r>
        <w:t>ciales y del descargo que acerca de éstos intente presentar el acusado. Esa defensa, señala, representa t</w:t>
      </w:r>
      <w:r>
        <w:t>o</w:t>
      </w:r>
      <w:r>
        <w:t>do, pues cuando el reo demuestra, de modo positivo, que una serie de ind</w:t>
      </w:r>
      <w:r>
        <w:t>i</w:t>
      </w:r>
      <w:r>
        <w:t>cios, aunque sean gravísimos y de los que los autores ll</w:t>
      </w:r>
      <w:r>
        <w:t>a</w:t>
      </w:r>
      <w:r>
        <w:t>man próximos, se refiere a una causa inocente, la fuerza probatoria deja de ser unívoca y ya nada obsta para la presunción de inocencia. Añade que el juez se alejará de la justicia y de la lógica si a esta relación de verdad positiva concreta, prefiere una relación de verdad conj</w:t>
      </w:r>
      <w:r>
        <w:t>e</w:t>
      </w:r>
      <w:r>
        <w:t>turable y abstracta, por obedecer, como súbdito, a una simple reglilla especulativa (</w:t>
      </w:r>
      <w:r>
        <w:rPr>
          <w:spacing w:val="-2"/>
        </w:rPr>
        <w:t>cónf.</w:t>
      </w:r>
      <w:r>
        <w:t xml:space="preserve"> “Presunciones e Ind</w:t>
      </w:r>
      <w:r>
        <w:t>i</w:t>
      </w:r>
      <w:r>
        <w:t>cios en Juicio P</w:t>
      </w:r>
      <w:r>
        <w:t>e</w:t>
      </w:r>
      <w:r>
        <w:t>nal”, Ediar, Buenos Aires, 1989, pág. 175 y sig.).</w:t>
      </w:r>
    </w:p>
    <w:p w:rsidR="00224567" w:rsidRDefault="00224567">
      <w:pPr>
        <w:pStyle w:val="Ttulo4"/>
        <w:keepNext w:val="0"/>
        <w:widowControl w:val="0"/>
        <w:spacing w:line="600" w:lineRule="auto"/>
      </w:pPr>
      <w:r>
        <w:tab/>
      </w:r>
      <w:bookmarkStart w:id="54" w:name="_Toc86676570"/>
      <w:r>
        <w:t>B.5) Huida de Telleldín.</w:t>
      </w:r>
      <w:bookmarkEnd w:id="54"/>
    </w:p>
    <w:p w:rsidR="00224567" w:rsidRDefault="00224567">
      <w:pPr>
        <w:pStyle w:val="Ttulo5"/>
        <w:keepNext w:val="0"/>
        <w:widowControl w:val="0"/>
        <w:spacing w:line="600" w:lineRule="auto"/>
        <w:rPr>
          <w:b w:val="0"/>
          <w:bCs w:val="0"/>
        </w:rPr>
      </w:pPr>
      <w:bookmarkStart w:id="55" w:name="_Toc86676571"/>
      <w:r>
        <w:t xml:space="preserve">B.5.a) </w:t>
      </w:r>
      <w:r>
        <w:rPr>
          <w:b w:val="0"/>
          <w:bCs w:val="0"/>
        </w:rPr>
        <w:t>Consideraciones de las partes.</w:t>
      </w:r>
      <w:bookmarkEnd w:id="55"/>
    </w:p>
    <w:p w:rsidR="00224567" w:rsidRDefault="00224567">
      <w:pPr>
        <w:widowControl w:val="0"/>
      </w:pPr>
      <w:r>
        <w:tab/>
      </w:r>
      <w:r>
        <w:rPr>
          <w:b/>
          <w:bCs/>
        </w:rPr>
        <w:t>B.5.a.i)</w:t>
      </w:r>
      <w:r>
        <w:t xml:space="preserve"> Los fiscales sostuvieron que, una vez ale</w:t>
      </w:r>
      <w:r>
        <w:t>r</w:t>
      </w:r>
      <w:r>
        <w:t>tado de la magnitud de lo sucedido, Telleldín desapar</w:t>
      </w:r>
      <w:r>
        <w:t>e</w:t>
      </w:r>
      <w:r>
        <w:t>ció de la escena, escapando a Córdoba antes de que se supiera qué Trafic había explotado; luego, el día en que apareció el motor, huyó a Par</w:t>
      </w:r>
      <w:r>
        <w:t>a</w:t>
      </w:r>
      <w:r>
        <w:t>guay, vía Posadas. Ello por cuanto, alegaron, sabía que en cuestión de horas d</w:t>
      </w:r>
      <w:r>
        <w:t>a</w:t>
      </w:r>
      <w:r>
        <w:t>rían con él.</w:t>
      </w:r>
    </w:p>
    <w:p w:rsidR="00224567" w:rsidRDefault="00224567">
      <w:pPr>
        <w:widowControl w:val="0"/>
      </w:pPr>
      <w:r>
        <w:tab/>
        <w:t>Rehusaron que hubiera huido por t</w:t>
      </w:r>
      <w:r>
        <w:t>e</w:t>
      </w:r>
      <w:r>
        <w:t>mor, toda vez que “nadie se va casualmente a Paraguay porque está asustado” (sic). En cambio, afirmaron que se fugó p</w:t>
      </w:r>
      <w:r>
        <w:t>a</w:t>
      </w:r>
      <w:r>
        <w:t>ra asegurar las condiciones de su entrega y porque neces</w:t>
      </w:r>
      <w:r>
        <w:t>i</w:t>
      </w:r>
      <w:r>
        <w:t>taba algunas horas para cerciorarse que no le pasaría n</w:t>
      </w:r>
      <w:r>
        <w:t>a</w:t>
      </w:r>
      <w:r>
        <w:t>da.</w:t>
      </w:r>
    </w:p>
    <w:p w:rsidR="00224567" w:rsidRDefault="00224567">
      <w:pPr>
        <w:widowControl w:val="0"/>
      </w:pPr>
      <w:r>
        <w:tab/>
        <w:t>Aseveraron que se demostró que e</w:t>
      </w:r>
      <w:r>
        <w:t>s</w:t>
      </w:r>
      <w:r>
        <w:t>tuvo en Paraguay a raíz de conversaciones mantenidas por J</w:t>
      </w:r>
      <w:r>
        <w:t>e</w:t>
      </w:r>
      <w:r>
        <w:t>sica y Damián, conforme surgía de las escuchas del abonado de República 107; en tanto, su pase por Posadas quedaba ev</w:t>
      </w:r>
      <w:r>
        <w:t>i</w:t>
      </w:r>
      <w:r>
        <w:t>denciado por los cruces t</w:t>
      </w:r>
      <w:r>
        <w:t>e</w:t>
      </w:r>
      <w:r>
        <w:t>lefónicos.</w:t>
      </w:r>
    </w:p>
    <w:p w:rsidR="00224567" w:rsidRDefault="00224567">
      <w:pPr>
        <w:widowControl w:val="0"/>
      </w:pPr>
      <w:r>
        <w:tab/>
        <w:t>Asimismo, expresaron que era neces</w:t>
      </w:r>
      <w:r>
        <w:t>a</w:t>
      </w:r>
      <w:r>
        <w:t>rio persuadir a Telleldín para que se presentase, t</w:t>
      </w:r>
      <w:r>
        <w:t>o</w:t>
      </w:r>
      <w:r>
        <w:t>da vez que debía “aparecer” y cumplir con el rol que se le había asignado para “desviar y confundir a los investigadores” (sic). En definitiva, relataron que f</w:t>
      </w:r>
      <w:r>
        <w:t>i</w:t>
      </w:r>
      <w:r>
        <w:t>nalmente se entregó, pero nunca precisó dónde o con quién había estado, aunque se comprobó que pasó por Paraguay y Posadas, así como ta</w:t>
      </w:r>
      <w:r>
        <w:t>m</w:t>
      </w:r>
      <w:r>
        <w:t xml:space="preserve">bién que viajó con el nombre de Pérez, llamando recién desde aeroparque para decir que se entregaría a </w:t>
      </w:r>
      <w:smartTag w:uri="urn:schemas-microsoft-com:office:smarttags" w:element="PersonName">
        <w:smartTagPr>
          <w:attr w:name="ProductID" w:val="la Polic￭a Aeron￡utica."/>
        </w:smartTagPr>
        <w:r>
          <w:t>la Policía Aeroná</w:t>
        </w:r>
        <w:r>
          <w:t>u</w:t>
        </w:r>
        <w:r>
          <w:t>tica.</w:t>
        </w:r>
      </w:smartTag>
    </w:p>
    <w:p w:rsidR="00224567" w:rsidRDefault="00224567">
      <w:pPr>
        <w:widowControl w:val="0"/>
      </w:pPr>
      <w:r>
        <w:tab/>
      </w:r>
      <w:r>
        <w:rPr>
          <w:b/>
          <w:bCs/>
        </w:rPr>
        <w:t>B.5.a.ii)</w:t>
      </w:r>
      <w:r>
        <w:t xml:space="preserve"> Por su parte, los letrados de la querella unificada D.A.I.A., A.M.I.A. y “Grupo de Familiares” consideraron que la fuga de Telleldín c</w:t>
      </w:r>
      <w:r>
        <w:t>o</w:t>
      </w:r>
      <w:r>
        <w:t>menzó antes del 26 de julio, viajando a Córdoba y Pos</w:t>
      </w:r>
      <w:r>
        <w:t>a</w:t>
      </w:r>
      <w:r>
        <w:t>das.</w:t>
      </w:r>
    </w:p>
    <w:p w:rsidR="00224567" w:rsidRDefault="00224567">
      <w:pPr>
        <w:widowControl w:val="0"/>
      </w:pPr>
      <w:r>
        <w:tab/>
        <w:t>Rechazaron la versión del imputado, en el sentido de que huyó a Posadas por temor, debido a que la embarcación –“Gonzalo”- que entregó el 14 de julio t</w:t>
      </w:r>
      <w:r>
        <w:t>e</w:t>
      </w:r>
      <w:r>
        <w:t>nía el motor clavado. En cambio, entendieron que su co</w:t>
      </w:r>
      <w:r>
        <w:t>n</w:t>
      </w:r>
      <w:r>
        <w:t>ducta obedeció a que supo del hallazgo del motor de la c</w:t>
      </w:r>
      <w:r>
        <w:t>a</w:t>
      </w:r>
      <w:r>
        <w:t>mioneta y, por tanto, que llegarían a él; se asustó y h</w:t>
      </w:r>
      <w:r>
        <w:t>u</w:t>
      </w:r>
      <w:r>
        <w:t>yó, pese a haberse preparado para aparentar ser un vend</w:t>
      </w:r>
      <w:r>
        <w:t>e</w:t>
      </w:r>
      <w:r>
        <w:t>dor de buena fe.</w:t>
      </w:r>
    </w:p>
    <w:p w:rsidR="00224567" w:rsidRDefault="00224567">
      <w:pPr>
        <w:widowControl w:val="0"/>
      </w:pPr>
      <w:r>
        <w:tab/>
        <w:t>Asimismo, señalaron que les result</w:t>
      </w:r>
      <w:r>
        <w:t>a</w:t>
      </w:r>
      <w:r>
        <w:t>ban sospechosos dos llamados telefónicos efectuados desde el locutorio de Posadas a Eldorado, “que no pudieron ser h</w:t>
      </w:r>
      <w:r>
        <w:t>e</w:t>
      </w:r>
      <w:r>
        <w:t>chos por otra persona que no sea el imputado o alguien que entró en la cabina con él” (sic).</w:t>
      </w:r>
    </w:p>
    <w:p w:rsidR="00224567" w:rsidRDefault="00224567">
      <w:pPr>
        <w:widowControl w:val="0"/>
      </w:pPr>
      <w:r>
        <w:tab/>
        <w:t>También mencionaron que, en la dec</w:t>
      </w:r>
      <w:r>
        <w:t>i</w:t>
      </w:r>
      <w:r>
        <w:t>sión de Telleldín de entregarse, influyeron Barreda y “Gastón” –Hernández-, habiéndole dicho éste que lo bu</w:t>
      </w:r>
      <w:r>
        <w:t>s</w:t>
      </w:r>
      <w:r>
        <w:t>caba personal del Mossad. Adunaron que el imputado compró un boleto a nombre de Hugo P</w:t>
      </w:r>
      <w:r>
        <w:t>é</w:t>
      </w:r>
      <w:r>
        <w:t>rez, aunque, al subir al avión, lo hizo como “Teccedin”.</w:t>
      </w:r>
    </w:p>
    <w:p w:rsidR="00224567" w:rsidRDefault="00224567">
      <w:pPr>
        <w:widowControl w:val="0"/>
      </w:pPr>
      <w:r>
        <w:tab/>
      </w:r>
      <w:r>
        <w:rPr>
          <w:b/>
          <w:bCs/>
        </w:rPr>
        <w:t>B.5.a.iii)</w:t>
      </w:r>
      <w:r>
        <w:t xml:space="preserve"> A su vez, el abogado de “Memoria Activa” entendió que Telleldín escapó hacia Par</w:t>
      </w:r>
      <w:r>
        <w:t>a</w:t>
      </w:r>
      <w:r>
        <w:t>guay, deteniéndose en Posadas. Sustentó su afirmación en las llamadas emitidas desde un locutorio de esta última ciudad, el pasaje aéreo a nombre de Hugo Pérez y el list</w:t>
      </w:r>
      <w:r>
        <w:t>a</w:t>
      </w:r>
      <w:r>
        <w:t>do de pasajeros donde figura como “Tecc</w:t>
      </w:r>
      <w:r>
        <w:t>e</w:t>
      </w:r>
      <w:r>
        <w:t>din”.</w:t>
      </w:r>
    </w:p>
    <w:p w:rsidR="00224567" w:rsidRDefault="00224567">
      <w:pPr>
        <w:widowControl w:val="0"/>
      </w:pPr>
      <w:r>
        <w:tab/>
        <w:t xml:space="preserve">Además, indicó que </w:t>
      </w:r>
      <w:smartTag w:uri="urn:schemas-microsoft-com:office:smarttags" w:element="PersonName">
        <w:smartTagPr>
          <w:attr w:name="ProductID" w:val="la S.I"/>
        </w:smartTagPr>
        <w:r>
          <w:t>la S.I</w:t>
        </w:r>
      </w:smartTag>
      <w:r>
        <w:t>.D.E. trató de convencer a Telleldín para que se entregase, neg</w:t>
      </w:r>
      <w:r>
        <w:t>o</w:t>
      </w:r>
      <w:r>
        <w:t>ciando a su llegada –el 27 de julio- con las fuerzas de seg</w:t>
      </w:r>
      <w:r>
        <w:t>u</w:t>
      </w:r>
      <w:r>
        <w:t>ridad e inteligencia la versión que daría. En tal se</w:t>
      </w:r>
      <w:r>
        <w:t>n</w:t>
      </w:r>
      <w:r>
        <w:t>tido, citó una conversación con “Gastón”.</w:t>
      </w:r>
    </w:p>
    <w:p w:rsidR="00224567" w:rsidRDefault="00224567">
      <w:pPr>
        <w:widowControl w:val="0"/>
      </w:pPr>
      <w:r>
        <w:tab/>
      </w:r>
      <w:r>
        <w:rPr>
          <w:b/>
          <w:bCs/>
        </w:rPr>
        <w:t>B.5.a.iv)</w:t>
      </w:r>
      <w:r>
        <w:t xml:space="preserve"> La defensa de Carlos Albe</w:t>
      </w:r>
      <w:r>
        <w:t>r</w:t>
      </w:r>
      <w:r>
        <w:t>to Telleldín expresó que éste se encontraba intranquilo lu</w:t>
      </w:r>
      <w:r>
        <w:t>e</w:t>
      </w:r>
      <w:r>
        <w:t>go de lo sucedido el 14 de julio de 1994, dado que a raíz de ello debió entregar la embarcación “Go</w:t>
      </w:r>
      <w:r>
        <w:t>n</w:t>
      </w:r>
      <w:r>
        <w:t>zalo”, que tenía el motor roto y una deuda con la guardería. Adunó que al r</w:t>
      </w:r>
      <w:r>
        <w:t>e</w:t>
      </w:r>
      <w:r>
        <w:t>gresar de Córdoba detectó, en las inmediaciones de su d</w:t>
      </w:r>
      <w:r>
        <w:t>o</w:t>
      </w:r>
      <w:r>
        <w:t>micilio, la presencia de autom</w:t>
      </w:r>
      <w:r>
        <w:t>ó</w:t>
      </w:r>
      <w:r>
        <w:t xml:space="preserve">viles que podían pertenecer a </w:t>
      </w:r>
      <w:smartTag w:uri="urn:schemas-microsoft-com:office:smarttags" w:element="PersonName">
        <w:smartTagPr>
          <w:attr w:name="ProductID" w:val="la Polic￭a Bonaerense"/>
        </w:smartTagPr>
        <w:r>
          <w:t>la Policía Bonaerense</w:t>
        </w:r>
      </w:smartTag>
      <w:r>
        <w:t xml:space="preserve">, por lo que llamó a la comisaría local; los sujetos resultaron ser de </w:t>
      </w:r>
      <w:smartTag w:uri="urn:schemas-microsoft-com:office:smarttags" w:element="PersonName">
        <w:smartTagPr>
          <w:attr w:name="ProductID" w:val="la S.I"/>
        </w:smartTagPr>
        <w:r>
          <w:t>la S.I</w:t>
        </w:r>
      </w:smartTag>
      <w:r>
        <w:t>.D.E. y el D.P.O.C..</w:t>
      </w:r>
    </w:p>
    <w:p w:rsidR="00224567" w:rsidRDefault="00224567">
      <w:pPr>
        <w:widowControl w:val="0"/>
      </w:pPr>
      <w:r>
        <w:tab/>
        <w:t>Relató que ante esos movimientos dec</w:t>
      </w:r>
      <w:r>
        <w:t>i</w:t>
      </w:r>
      <w:r>
        <w:t>dió ir a la casa de su hermano, Eduardo Telleldín, a raíz de lo cual en la mañana del 26 de julio se registraron n</w:t>
      </w:r>
      <w:r>
        <w:t>u</w:t>
      </w:r>
      <w:r>
        <w:t>merosas llamadas desde ese lugar al 768-0902, por cuanto llamó a su mujer.</w:t>
      </w:r>
    </w:p>
    <w:p w:rsidR="00224567" w:rsidRDefault="00224567">
      <w:pPr>
        <w:widowControl w:val="0"/>
      </w:pPr>
      <w:r>
        <w:tab/>
        <w:t>Además, indicó la defensa, llamó a “Automotores Alejandro” y, como resultado de esa convers</w:t>
      </w:r>
      <w:r>
        <w:t>a</w:t>
      </w:r>
      <w:r>
        <w:t>ción, pensó que se había descubierto el tema del doblado de vehículos. Ante ello, sostuvo, fue a Luján y tomó el primer micro que salía, que lo condujo a Pos</w:t>
      </w:r>
      <w:r>
        <w:t>a</w:t>
      </w:r>
      <w:r>
        <w:t xml:space="preserve">das; negó que hubiese ido a Paraguay o a </w:t>
      </w:r>
      <w:smartTag w:uri="urn:schemas-microsoft-com:office:smarttags" w:element="PersonName">
        <w:smartTagPr>
          <w:attr w:name="ProductID" w:val="la Triple Frontera."/>
        </w:smartTagPr>
        <w:r>
          <w:t>la Triple Fro</w:t>
        </w:r>
        <w:r>
          <w:t>n</w:t>
        </w:r>
        <w:r>
          <w:t>tera.</w:t>
        </w:r>
      </w:smartTag>
    </w:p>
    <w:p w:rsidR="00224567" w:rsidRDefault="00224567">
      <w:pPr>
        <w:widowControl w:val="0"/>
      </w:pPr>
      <w:r>
        <w:tab/>
        <w:t>Concluyó que no estaba probado que h</w:t>
      </w:r>
      <w:r>
        <w:t>u</w:t>
      </w:r>
      <w:r>
        <w:t>biera intentado escapar; por el contrario, entendió que su presentación espontánea resultaba incompatible con la idea de fuga, que, por lo demás, sólo hubiera resultado lógica si la hacía acompañado por su familia y al momento de la entrega del vehículo o antes del atentado.</w:t>
      </w:r>
    </w:p>
    <w:p w:rsidR="00224567" w:rsidRDefault="00224567">
      <w:pPr>
        <w:pStyle w:val="Ttulo5"/>
        <w:keepNext w:val="0"/>
        <w:widowControl w:val="0"/>
        <w:spacing w:line="600" w:lineRule="auto"/>
        <w:rPr>
          <w:b w:val="0"/>
          <w:bCs w:val="0"/>
        </w:rPr>
      </w:pPr>
      <w:bookmarkStart w:id="56" w:name="_Toc86676572"/>
      <w:r>
        <w:t xml:space="preserve">B.5.b) </w:t>
      </w:r>
      <w:r>
        <w:rPr>
          <w:b w:val="0"/>
          <w:bCs w:val="0"/>
        </w:rPr>
        <w:t>Introducción.</w:t>
      </w:r>
      <w:bookmarkEnd w:id="56"/>
    </w:p>
    <w:p w:rsidR="00224567" w:rsidRDefault="00224567">
      <w:pPr>
        <w:widowControl w:val="0"/>
      </w:pPr>
      <w:r>
        <w:tab/>
        <w:t>Respecto de la fuga de Carlos Alberto Telleldín, el Tribunal entiende que los elementos de ju</w:t>
      </w:r>
      <w:r>
        <w:t>i</w:t>
      </w:r>
      <w:r>
        <w:t>cio reunidos no autorizan a concluir, de manera asertiva, que pueda considerarse un indicio de su participación en el hecho.</w:t>
      </w:r>
    </w:p>
    <w:p w:rsidR="00224567" w:rsidRDefault="00224567">
      <w:pPr>
        <w:widowControl w:val="0"/>
      </w:pPr>
      <w:r>
        <w:tab/>
        <w:t>Tampoco puede sostenerse, con fund</w:t>
      </w:r>
      <w:r>
        <w:t>a</w:t>
      </w:r>
      <w:r>
        <w:t>mentos, que hubiese viajado a la ciudad de Córdoba, pr</w:t>
      </w:r>
      <w:r>
        <w:t>o</w:t>
      </w:r>
      <w:r>
        <w:t xml:space="preserve">vincia homónima, ni a </w:t>
      </w:r>
      <w:smartTag w:uri="urn:schemas-microsoft-com:office:smarttags" w:element="PersonName">
        <w:smartTagPr>
          <w:attr w:name="ProductID" w:val="la Rep￺blica"/>
        </w:smartTagPr>
        <w:r>
          <w:t>la República</w:t>
        </w:r>
      </w:smartTag>
      <w:r>
        <w:t xml:space="preserve"> del Paraguay, con la fin</w:t>
      </w:r>
      <w:r>
        <w:t>a</w:t>
      </w:r>
      <w:r>
        <w:t>lidad de huir de los investigadores.</w:t>
      </w:r>
    </w:p>
    <w:p w:rsidR="00224567" w:rsidRDefault="00224567">
      <w:pPr>
        <w:widowControl w:val="0"/>
      </w:pPr>
      <w:r>
        <w:tab/>
        <w:t>No está en duda que Telleldín esc</w:t>
      </w:r>
      <w:r>
        <w:t>a</w:t>
      </w:r>
      <w:r>
        <w:t>pó, así lo reconoció; tampoco que estuvo en la ciudad de Pos</w:t>
      </w:r>
      <w:r>
        <w:t>a</w:t>
      </w:r>
      <w:r>
        <w:t>das, provincia de Misiones y antes en Córdoba.</w:t>
      </w:r>
    </w:p>
    <w:p w:rsidR="00224567" w:rsidRDefault="00224567">
      <w:pPr>
        <w:widowControl w:val="0"/>
      </w:pPr>
      <w:r>
        <w:tab/>
        <w:t>En cambio, no se acreditó que su vi</w:t>
      </w:r>
      <w:r>
        <w:t>a</w:t>
      </w:r>
      <w:r>
        <w:t xml:space="preserve">je a Córdoba formara parte de su plan de fuga y tampoco que hubiese estado en </w:t>
      </w:r>
      <w:smartTag w:uri="urn:schemas-microsoft-com:office:smarttags" w:element="PersonName">
        <w:smartTagPr>
          <w:attr w:name="ProductID" w:val="la Rep￺blica"/>
        </w:smartTagPr>
        <w:r>
          <w:t>la República</w:t>
        </w:r>
      </w:smartTag>
      <w:r>
        <w:t xml:space="preserve"> del Paraguay. Todo cuanto se dijo sobre estos dos temas son meras especulaci</w:t>
      </w:r>
      <w:r>
        <w:t>o</w:t>
      </w:r>
      <w:r>
        <w:t>nes sin fundamento. Al respecto, el encartado, que no negó su hu</w:t>
      </w:r>
      <w:r>
        <w:t>i</w:t>
      </w:r>
      <w:r>
        <w:t>da -aunque sí haber visitado el país vecino- explicó el motivo de su viaje a Córdoba.</w:t>
      </w:r>
    </w:p>
    <w:p w:rsidR="00224567" w:rsidRDefault="00224567">
      <w:pPr>
        <w:pStyle w:val="Ttulo5"/>
        <w:keepNext w:val="0"/>
        <w:widowControl w:val="0"/>
        <w:spacing w:line="600" w:lineRule="auto"/>
        <w:rPr>
          <w:b w:val="0"/>
          <w:bCs w:val="0"/>
        </w:rPr>
      </w:pPr>
      <w:bookmarkStart w:id="57" w:name="_Toc86676573"/>
      <w:r>
        <w:t xml:space="preserve">B.5.c) </w:t>
      </w:r>
      <w:r>
        <w:rPr>
          <w:b w:val="0"/>
          <w:bCs w:val="0"/>
        </w:rPr>
        <w:t>Viaje a Córdoba.</w:t>
      </w:r>
      <w:bookmarkEnd w:id="57"/>
    </w:p>
    <w:p w:rsidR="00224567" w:rsidRDefault="00224567">
      <w:pPr>
        <w:widowControl w:val="0"/>
      </w:pPr>
      <w:r>
        <w:tab/>
        <w:t>En cuanto al viaje a la ciudad de Có</w:t>
      </w:r>
      <w:r>
        <w:t>r</w:t>
      </w:r>
      <w:r>
        <w:t>doba, desde un primer momento Telleldín so</w:t>
      </w:r>
      <w:r>
        <w:t>s</w:t>
      </w:r>
      <w:r>
        <w:t>tuvo que fue a buscar a sus hijos, no acreditando los acusadores que su trasl</w:t>
      </w:r>
      <w:r>
        <w:t>a</w:t>
      </w:r>
      <w:r>
        <w:t>do obedeciera a otro motivo.</w:t>
      </w:r>
    </w:p>
    <w:p w:rsidR="00224567" w:rsidRDefault="00224567">
      <w:pPr>
        <w:widowControl w:val="0"/>
      </w:pPr>
      <w:r>
        <w:tab/>
        <w:t>La versión del imputado respecto de su vi</w:t>
      </w:r>
      <w:r>
        <w:t>a</w:t>
      </w:r>
      <w:r>
        <w:t>je a Córdoba fue corroborada por Juan Alberto Bottegal, quien sostuvo que en oportunidad de reunirse con el no</w:t>
      </w:r>
      <w:r>
        <w:t>m</w:t>
      </w:r>
      <w:r>
        <w:t>brado, el 15 de julio de 1994, éste le comentó que debía viajar a la citada provincia. En igual sentido se pronu</w:t>
      </w:r>
      <w:r>
        <w:t>n</w:t>
      </w:r>
      <w:r>
        <w:t>ció Ana María Boragni.</w:t>
      </w:r>
    </w:p>
    <w:p w:rsidR="00224567" w:rsidRDefault="00224567">
      <w:pPr>
        <w:widowControl w:val="0"/>
      </w:pPr>
      <w:r>
        <w:tab/>
        <w:t>Toda vez que el encuentro con Bott</w:t>
      </w:r>
      <w:r>
        <w:t>e</w:t>
      </w:r>
      <w:r>
        <w:t>gal tuvo lugar antes de la fecha del atentado, se evidencia que ese viaje se encontraba programado, no fo</w:t>
      </w:r>
      <w:r>
        <w:t>r</w:t>
      </w:r>
      <w:r>
        <w:t>mando parte de una huida de esta ciudad a raíz del conoc</w:t>
      </w:r>
      <w:r>
        <w:t>i</w:t>
      </w:r>
      <w:r>
        <w:t xml:space="preserve">miento de lo sucedido en </w:t>
      </w:r>
      <w:smartTag w:uri="urn:schemas-microsoft-com:office:smarttags" w:element="PersonName">
        <w:smartTagPr>
          <w:attr w:name="ProductID" w:val="la A.M"/>
        </w:smartTagPr>
        <w:r>
          <w:t>la A.M</w:t>
        </w:r>
      </w:smartTag>
      <w:r>
        <w:t>.I.A..</w:t>
      </w:r>
    </w:p>
    <w:p w:rsidR="00224567" w:rsidRDefault="00224567">
      <w:pPr>
        <w:widowControl w:val="0"/>
      </w:pPr>
      <w:r>
        <w:tab/>
        <w:t>Cabe aclarar que Bottegal aludió a e</w:t>
      </w:r>
      <w:r>
        <w:t>s</w:t>
      </w:r>
      <w:r>
        <w:t>te comentario de Telleldín en su declaración testim</w:t>
      </w:r>
      <w:r>
        <w:t>o</w:t>
      </w:r>
      <w:r>
        <w:t>nial, luego i</w:t>
      </w:r>
      <w:r>
        <w:t>n</w:t>
      </w:r>
      <w:r>
        <w:t>corporada a la indagatoria, procedimiento que fue criticado por este Tribunal en otro tramo de la presente, tanto como la forma en que se lo “relevó” del secreto pr</w:t>
      </w:r>
      <w:r>
        <w:t>o</w:t>
      </w:r>
      <w:r>
        <w:t>fesional y se le permitió deponer, bajo j</w:t>
      </w:r>
      <w:r>
        <w:t>u</w:t>
      </w:r>
      <w:r>
        <w:t>ramento, acerca de circunstancias que comprometían su propia responsabil</w:t>
      </w:r>
      <w:r>
        <w:t>i</w:t>
      </w:r>
      <w:r>
        <w:t>dad.</w:t>
      </w:r>
    </w:p>
    <w:p w:rsidR="00224567" w:rsidRDefault="00224567">
      <w:pPr>
        <w:widowControl w:val="0"/>
      </w:pPr>
      <w:r>
        <w:tab/>
        <w:t>No obstante, a los efectos que en e</w:t>
      </w:r>
      <w:r>
        <w:t>s</w:t>
      </w:r>
      <w:r>
        <w:t>te apartado se analizan, corresponde tomar en cuenta los d</w:t>
      </w:r>
      <w:r>
        <w:t>i</w:t>
      </w:r>
      <w:r>
        <w:t>chos de Bottegal referidos al viaje de Telleldín a Córd</w:t>
      </w:r>
      <w:r>
        <w:t>o</w:t>
      </w:r>
      <w:r>
        <w:t>ba, pese a haber sido vertidos en su irregular declaración testimonial, por cuanto, lejos de perjudicar a alguno de los nombrados, resultan beneficiosos para el último.</w:t>
      </w:r>
    </w:p>
    <w:p w:rsidR="00224567" w:rsidRDefault="00224567">
      <w:pPr>
        <w:pStyle w:val="Ttulo5"/>
        <w:keepNext w:val="0"/>
        <w:widowControl w:val="0"/>
        <w:spacing w:line="600" w:lineRule="auto"/>
        <w:rPr>
          <w:b w:val="0"/>
          <w:bCs w:val="0"/>
        </w:rPr>
      </w:pPr>
      <w:bookmarkStart w:id="58" w:name="_Toc86676574"/>
      <w:r>
        <w:t xml:space="preserve">B.5.d) </w:t>
      </w:r>
      <w:r>
        <w:rPr>
          <w:b w:val="0"/>
          <w:bCs w:val="0"/>
        </w:rPr>
        <w:t>Viaje a Posadas.</w:t>
      </w:r>
      <w:bookmarkEnd w:id="58"/>
    </w:p>
    <w:p w:rsidR="00224567" w:rsidRDefault="00224567">
      <w:pPr>
        <w:widowControl w:val="0"/>
      </w:pPr>
      <w:r>
        <w:tab/>
        <w:t>Carlos Alberto Telleldín admitió que huyó a Posadas al notar movimientos extraños en las inm</w:t>
      </w:r>
      <w:r>
        <w:t>e</w:t>
      </w:r>
      <w:r>
        <w:t>diaciones de su domicilio. Asimismo, indicó que, lu</w:t>
      </w:r>
      <w:r>
        <w:t>e</w:t>
      </w:r>
      <w:r>
        <w:t xml:space="preserve">go de conversar con Barreda, Bareiro y personal de </w:t>
      </w:r>
      <w:smartTag w:uri="urn:schemas-microsoft-com:office:smarttags" w:element="PersonName">
        <w:smartTagPr>
          <w:attr w:name="ProductID" w:val="la Secretar￭a"/>
        </w:smartTagPr>
        <w:r>
          <w:t>la Secretaría</w:t>
        </w:r>
      </w:smartTag>
      <w:r>
        <w:t xml:space="preserve"> de Inteligencia, abordó un avión y regr</w:t>
      </w:r>
      <w:r>
        <w:t>e</w:t>
      </w:r>
      <w:r>
        <w:t xml:space="preserve">só a Buenos Aires, presentándose ante las autoridades de </w:t>
      </w:r>
      <w:smartTag w:uri="urn:schemas-microsoft-com:office:smarttags" w:element="PersonName">
        <w:smartTagPr>
          <w:attr w:name="ProductID" w:val="la Polic￭a Aeron￡utica"/>
        </w:smartTagPr>
        <w:r>
          <w:t>la Policía Aeroná</w:t>
        </w:r>
        <w:r>
          <w:t>u</w:t>
        </w:r>
        <w:r>
          <w:t>tica</w:t>
        </w:r>
      </w:smartTag>
      <w:r>
        <w:t xml:space="preserve"> del aeroparque, a quienes i</w:t>
      </w:r>
      <w:r>
        <w:t>n</w:t>
      </w:r>
      <w:r>
        <w:t xml:space="preserve">dicó que había vendido la camioneta Trafic vinculada al atentado a la sede de </w:t>
      </w:r>
      <w:smartTag w:uri="urn:schemas-microsoft-com:office:smarttags" w:element="PersonName">
        <w:smartTagPr>
          <w:attr w:name="ProductID" w:val="la A.M"/>
        </w:smartTagPr>
        <w:r>
          <w:t>la A.M</w:t>
        </w:r>
      </w:smartTag>
      <w:r>
        <w:t>.I.A.; después arribó pe</w:t>
      </w:r>
      <w:r>
        <w:t>r</w:t>
      </w:r>
      <w:r>
        <w:t xml:space="preserve">sonal de </w:t>
      </w:r>
      <w:smartTag w:uri="urn:schemas-microsoft-com:office:smarttags" w:element="PersonName">
        <w:smartTagPr>
          <w:attr w:name="ProductID" w:val="la Polic￭a Federal"/>
        </w:smartTagPr>
        <w:r>
          <w:t>la Policía Federal</w:t>
        </w:r>
      </w:smartTag>
      <w:r>
        <w:t xml:space="preserve"> y </w:t>
      </w:r>
      <w:smartTag w:uri="urn:schemas-microsoft-com:office:smarttags" w:element="PersonName">
        <w:smartTagPr>
          <w:attr w:name="ProductID" w:val="la S.I"/>
        </w:smartTagPr>
        <w:r>
          <w:t>la S.I</w:t>
        </w:r>
      </w:smartTag>
      <w:r>
        <w:t>.D.E., siendo tra</w:t>
      </w:r>
      <w:r>
        <w:t>s</w:t>
      </w:r>
      <w:r>
        <w:t>ladado al Departamento Protección del Orden Constit</w:t>
      </w:r>
      <w:r>
        <w:t>u</w:t>
      </w:r>
      <w:r>
        <w:t>cional.</w:t>
      </w:r>
    </w:p>
    <w:p w:rsidR="00224567" w:rsidRDefault="00224567">
      <w:pPr>
        <w:widowControl w:val="0"/>
      </w:pPr>
      <w:r>
        <w:tab/>
        <w:t>De las constancias obrantes en autos surge que el imputado viajó a Posadas en un micro de la empresa “Expreso Tigre Iguazú S.R.L.”, saliendo desde L</w:t>
      </w:r>
      <w:r>
        <w:t>u</w:t>
      </w:r>
      <w:r>
        <w:t xml:space="preserve">ján el 26 de julio de </w:t>
      </w:r>
      <w:smartTag w:uri="urn:schemas-microsoft-com:office:smarttags" w:element="metricconverter">
        <w:smartTagPr>
          <w:attr w:name="ProductID" w:val="1994 a"/>
        </w:smartTagPr>
        <w:r>
          <w:t>1994 a</w:t>
        </w:r>
      </w:smartTag>
      <w:r>
        <w:t xml:space="preserve"> las 17.00, arribando a su destino a las 7.30 del día siguiente. Así lo info</w:t>
      </w:r>
      <w:r>
        <w:t>r</w:t>
      </w:r>
      <w:r>
        <w:t>mó dicha compañía a fs. 12.314, dando cuenta de los horarios y la frecuencia del servicio que unía ambas ciud</w:t>
      </w:r>
      <w:r>
        <w:t>a</w:t>
      </w:r>
      <w:r>
        <w:t>des.</w:t>
      </w:r>
    </w:p>
    <w:p w:rsidR="00224567" w:rsidRDefault="00224567">
      <w:pPr>
        <w:widowControl w:val="0"/>
      </w:pPr>
      <w:r>
        <w:tab/>
        <w:t>Asimismo, se comprobó que durante su estadía en Posadas, el encartado llamó por teléfono a su domicilio y que, el mismo día de su arribo, regresó a la ciudad de Buenos Aires, donde se entregó a las autorid</w:t>
      </w:r>
      <w:r>
        <w:t>a</w:t>
      </w:r>
      <w:r>
        <w:t>des.</w:t>
      </w:r>
    </w:p>
    <w:p w:rsidR="00224567" w:rsidRDefault="00224567">
      <w:pPr>
        <w:widowControl w:val="0"/>
      </w:pPr>
      <w:r>
        <w:tab/>
        <w:t>En cuanto a las comunicaciones telef</w:t>
      </w:r>
      <w:r>
        <w:t>ó</w:t>
      </w:r>
      <w:r>
        <w:t xml:space="preserve">nicas desde Posadas al abonado 768-0902, Alberto Molina, comisario retirado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Provi</w:t>
        </w:r>
        <w:r>
          <w:t>n</w:t>
        </w:r>
        <w:r>
          <w:t>cia</w:t>
        </w:r>
      </w:smartTag>
      <w:r>
        <w:t xml:space="preserve"> de Buenos Aires, indicó que investigó en los locutorios de esa ci</w:t>
      </w:r>
      <w:r>
        <w:t>u</w:t>
      </w:r>
      <w:r>
        <w:t>dad, hallando la cabina desde la cual Telleldín efectuó una llamada a su domicilio el 27 de julio de 1994; dil</w:t>
      </w:r>
      <w:r>
        <w:t>i</w:t>
      </w:r>
      <w:r>
        <w:t>gencias que plasmó en el informe obrante a fs. 14.779/14.785.</w:t>
      </w:r>
    </w:p>
    <w:p w:rsidR="00224567" w:rsidRDefault="00224567">
      <w:pPr>
        <w:widowControl w:val="0"/>
        <w:rPr>
          <w:bCs/>
          <w:lang w:val="es-ES_tradnl"/>
        </w:rPr>
      </w:pPr>
      <w:r>
        <w:tab/>
        <w:t>Así se verificó que el acusado se c</w:t>
      </w:r>
      <w:r>
        <w:t>o</w:t>
      </w:r>
      <w:r>
        <w:t>municó con su domicilio desde la cabina nº 10 del locut</w:t>
      </w:r>
      <w:r>
        <w:t>o</w:t>
      </w:r>
      <w:r>
        <w:t>rio ubicado en la calle Colón 1515 de Posadas, a ca</w:t>
      </w:r>
      <w:r>
        <w:t>r</w:t>
      </w:r>
      <w:r>
        <w:t>go de Jorge Otero. Complementa lo expuesto el informe del Depa</w:t>
      </w:r>
      <w:r>
        <w:t>r</w:t>
      </w:r>
      <w:r>
        <w:t>tamento Unidad de Investigación Antiterrori</w:t>
      </w:r>
      <w:r>
        <w:t>s</w:t>
      </w:r>
      <w:r>
        <w:t xml:space="preserve">ta, que luce a fs. </w:t>
      </w:r>
      <w:r>
        <w:rPr>
          <w:bCs/>
          <w:lang w:val="es-ES_tradnl"/>
        </w:rPr>
        <w:t>8452 del legajo de instrucción s</w:t>
      </w:r>
      <w:r>
        <w:rPr>
          <w:bCs/>
          <w:lang w:val="es-ES_tradnl"/>
        </w:rPr>
        <w:t>u</w:t>
      </w:r>
      <w:r>
        <w:rPr>
          <w:bCs/>
          <w:lang w:val="es-ES_tradnl"/>
        </w:rPr>
        <w:t>plementaria, del que surge que la llamada se produjo desde la línea nº 7522-9605 (Otero). En el mismo sent</w:t>
      </w:r>
      <w:r>
        <w:rPr>
          <w:bCs/>
          <w:lang w:val="es-ES_tradnl"/>
        </w:rPr>
        <w:t>i</w:t>
      </w:r>
      <w:r>
        <w:rPr>
          <w:bCs/>
          <w:lang w:val="es-ES_tradnl"/>
        </w:rPr>
        <w:t>do, la copia del informe de “Telecom” glosada a fs. 102.702/102.74 da cuenta de que Jorge Rafael Otero era el titular de la línea referida.</w:t>
      </w:r>
    </w:p>
    <w:p w:rsidR="00224567" w:rsidRDefault="00224567">
      <w:pPr>
        <w:widowControl w:val="0"/>
        <w:rPr>
          <w:bCs/>
          <w:lang w:val="es-ES_tradnl"/>
        </w:rPr>
      </w:pPr>
      <w:r>
        <w:rPr>
          <w:bCs/>
          <w:lang w:val="es-ES_tradnl"/>
        </w:rPr>
        <w:tab/>
        <w:t>Con relación al entrecruzamiento de llamados entre el citado número y el abonado 768-</w:t>
      </w:r>
      <w:smartTag w:uri="urn:schemas-microsoft-com:office:smarttags" w:element="metricconverter">
        <w:smartTagPr>
          <w:attr w:name="ProductID" w:val="0902, a"/>
        </w:smartTagPr>
        <w:r>
          <w:rPr>
            <w:bCs/>
            <w:lang w:val="es-ES_tradnl"/>
          </w:rPr>
          <w:t>0902, a</w:t>
        </w:r>
      </w:smartTag>
      <w:r>
        <w:rPr>
          <w:bCs/>
          <w:lang w:val="es-ES_tradnl"/>
        </w:rPr>
        <w:t xml:space="preserve"> fs. 8306 del mencionado legajo consta la realización de tres llamados del 27 de julio de </w:t>
      </w:r>
      <w:smartTag w:uri="urn:schemas-microsoft-com:office:smarttags" w:element="metricconverter">
        <w:smartTagPr>
          <w:attr w:name="ProductID" w:val="1994, a"/>
        </w:smartTagPr>
        <w:r>
          <w:rPr>
            <w:bCs/>
            <w:lang w:val="es-ES_tradnl"/>
          </w:rPr>
          <w:t>1994, a</w:t>
        </w:r>
      </w:smartTag>
      <w:r>
        <w:rPr>
          <w:bCs/>
          <w:lang w:val="es-ES_tradnl"/>
        </w:rPr>
        <w:t xml:space="preserve"> las 8:45:49, 8:50:29 y 8:58:00.</w:t>
      </w:r>
    </w:p>
    <w:p w:rsidR="00224567" w:rsidRDefault="00224567">
      <w:pPr>
        <w:widowControl w:val="0"/>
        <w:rPr>
          <w:bCs/>
        </w:rPr>
      </w:pPr>
      <w:r>
        <w:rPr>
          <w:lang w:val="es-ES_tradnl"/>
        </w:rPr>
        <w:tab/>
      </w:r>
      <w:r>
        <w:t xml:space="preserve">Con respecto a las dos llamadas desde la cabina nº 10 del locutorio de Posadas al abonado nº </w:t>
      </w:r>
      <w:r>
        <w:rPr>
          <w:bCs/>
        </w:rPr>
        <w:t>0751-70036 de la localidad de Eldorado, cuyo titular era Rubén Domanski, el Tribunal entiende que de la causa no surgen constancias que permitan asegurar que las hubiera efectuado Telleldín, luego de llamar al 768-0902. No ob</w:t>
      </w:r>
      <w:r>
        <w:rPr>
          <w:bCs/>
        </w:rPr>
        <w:t>s</w:t>
      </w:r>
      <w:r>
        <w:rPr>
          <w:bCs/>
        </w:rPr>
        <w:t>tante los errores que presenta el li</w:t>
      </w:r>
      <w:r>
        <w:rPr>
          <w:bCs/>
        </w:rPr>
        <w:t>s</w:t>
      </w:r>
      <w:r>
        <w:rPr>
          <w:bCs/>
        </w:rPr>
        <w:t>tado de llamadas del locutorio de Posadas (fs. 15.863) en cuanto a los horarios de las comunicaciones telefónicas, lo cierto es que allí consta que el último fue facturado con ticket nº 00121922, en tanto los dos primeros figuran ambos en el ticket nº 00121929.</w:t>
      </w:r>
    </w:p>
    <w:p w:rsidR="00224567" w:rsidRDefault="00224567">
      <w:pPr>
        <w:widowControl w:val="0"/>
        <w:rPr>
          <w:bCs/>
        </w:rPr>
      </w:pPr>
      <w:r>
        <w:rPr>
          <w:bCs/>
        </w:rPr>
        <w:tab/>
        <w:t xml:space="preserve">A ello se aduna que </w:t>
      </w:r>
      <w:r>
        <w:t>Irma Nilda Pani</w:t>
      </w:r>
      <w:r>
        <w:t>a</w:t>
      </w:r>
      <w:r>
        <w:t xml:space="preserve">gua de Molina, quien en 1994 se desempeñaba como </w:t>
      </w:r>
      <w:r>
        <w:rPr>
          <w:bCs/>
        </w:rPr>
        <w:t>jefa de personal del locutorio de “Telecom” de Posadas, refirió que a los clientes se les entregaba un ticket, en el que figuraban el número al que llamaban, la duración y el i</w:t>
      </w:r>
      <w:r>
        <w:rPr>
          <w:bCs/>
        </w:rPr>
        <w:t>m</w:t>
      </w:r>
      <w:r>
        <w:rPr>
          <w:bCs/>
        </w:rPr>
        <w:t>porte, pudiendo las cabinas ser ocupadas por un cliente inmediatamente después de otro, previo pago por parte de éste del servicio.</w:t>
      </w:r>
    </w:p>
    <w:p w:rsidR="00224567" w:rsidRDefault="00224567">
      <w:pPr>
        <w:widowControl w:val="0"/>
        <w:rPr>
          <w:bCs/>
        </w:rPr>
      </w:pPr>
      <w:r>
        <w:rPr>
          <w:bCs/>
        </w:rPr>
        <w:tab/>
        <w:t>En tales condiciones, no existe cert</w:t>
      </w:r>
      <w:r>
        <w:rPr>
          <w:bCs/>
        </w:rPr>
        <w:t>e</w:t>
      </w:r>
      <w:r>
        <w:rPr>
          <w:bCs/>
        </w:rPr>
        <w:t>za acerca de que un mismo usuario hubiera efectuado las tres llamadas o que otro hubiera ingresado a la cabina i</w:t>
      </w:r>
      <w:r>
        <w:rPr>
          <w:bCs/>
        </w:rPr>
        <w:t>n</w:t>
      </w:r>
      <w:r>
        <w:rPr>
          <w:bCs/>
        </w:rPr>
        <w:t>mediatamente de</w:t>
      </w:r>
      <w:r>
        <w:rPr>
          <w:bCs/>
        </w:rPr>
        <w:t>s</w:t>
      </w:r>
      <w:r>
        <w:rPr>
          <w:bCs/>
        </w:rPr>
        <w:t>pués que el imputado.</w:t>
      </w:r>
    </w:p>
    <w:p w:rsidR="00224567" w:rsidRDefault="00224567">
      <w:pPr>
        <w:widowControl w:val="0"/>
      </w:pPr>
      <w:r>
        <w:rPr>
          <w:bCs/>
        </w:rPr>
        <w:tab/>
        <w:t>Ello sin perjuicio de notar que, aún en el hipotético caso de que Telleldín hubiese efectuado las comunicaciones a Domanski, ninguna prueba arrimada a la causa permitió vincular a éste al atent</w:t>
      </w:r>
      <w:r>
        <w:rPr>
          <w:bCs/>
        </w:rPr>
        <w:t>a</w:t>
      </w:r>
      <w:r>
        <w:rPr>
          <w:bCs/>
        </w:rPr>
        <w:t xml:space="preserve">do a la sede de </w:t>
      </w:r>
      <w:smartTag w:uri="urn:schemas-microsoft-com:office:smarttags" w:element="PersonName">
        <w:smartTagPr>
          <w:attr w:name="ProductID" w:val="la A.M"/>
        </w:smartTagPr>
        <w:r>
          <w:rPr>
            <w:bCs/>
          </w:rPr>
          <w:t>la A.M</w:t>
        </w:r>
      </w:smartTag>
      <w:r>
        <w:rPr>
          <w:bCs/>
        </w:rPr>
        <w:t>.I.A., por lo que se desvanecen las sospechas pla</w:t>
      </w:r>
      <w:r>
        <w:rPr>
          <w:bCs/>
        </w:rPr>
        <w:t>n</w:t>
      </w:r>
      <w:r>
        <w:rPr>
          <w:bCs/>
        </w:rPr>
        <w:t>teadas por la querella.</w:t>
      </w:r>
    </w:p>
    <w:p w:rsidR="00224567" w:rsidRDefault="00224567">
      <w:pPr>
        <w:widowControl w:val="0"/>
        <w:rPr>
          <w:bCs/>
        </w:rPr>
      </w:pPr>
      <w:r>
        <w:rPr>
          <w:bCs/>
        </w:rPr>
        <w:tab/>
      </w:r>
      <w:r>
        <w:t>En cuanto al viaje de regreso de T</w:t>
      </w:r>
      <w:r>
        <w:t>e</w:t>
      </w:r>
      <w:r>
        <w:t>lleldín a esta ciudad, se acreditó que el 27 de julio o</w:t>
      </w:r>
      <w:r>
        <w:t>b</w:t>
      </w:r>
      <w:r>
        <w:t>tuvo en la empresa “Austral” un pasaje aéreo, a no</w:t>
      </w:r>
      <w:r>
        <w:t>m</w:t>
      </w:r>
      <w:r>
        <w:t>bre de Hugo Pérez, para cubrir el trayecto Posadas-Buenos Aires, embarcándose con el nombre de “Teccedin” en el vuelo AU 1082, de esa fecha, que partió de Posadas a las 14.20 y arribó al Aeroparque “Jorge Newbery” a las 14.59.</w:t>
      </w:r>
    </w:p>
    <w:p w:rsidR="00224567" w:rsidRDefault="00224567">
      <w:pPr>
        <w:widowControl w:val="0"/>
      </w:pPr>
      <w:r>
        <w:tab/>
        <w:t>En este sentido, obran a fs. 3069/3107 actuaciones de la empresa “Cielos del Sur S.A.”, remitie</w:t>
      </w:r>
      <w:r>
        <w:t>n</w:t>
      </w:r>
      <w:r>
        <w:t>do copias de los billetes de pasajes aéreos del 27 de j</w:t>
      </w:r>
      <w:r>
        <w:t>u</w:t>
      </w:r>
      <w:r>
        <w:t>lio de 1994, relativos al tramo Posadas-Buenos Aires, aclarando que sólo se encontraban en condiciones de ref</w:t>
      </w:r>
      <w:r>
        <w:t>e</w:t>
      </w:r>
      <w:r>
        <w:t>rirse a favor de quién se emitió el billete y no acerca de quién utilizó el servicio (en igual sentido, informes de “Austral” de fs. 23.959 y 24.032). A fs. 3093 obra la c</w:t>
      </w:r>
      <w:r>
        <w:t>o</w:t>
      </w:r>
      <w:r>
        <w:t>pia de un pasaje a nombre de Hugo P</w:t>
      </w:r>
      <w:r>
        <w:t>é</w:t>
      </w:r>
      <w:r>
        <w:t>rez.</w:t>
      </w:r>
    </w:p>
    <w:p w:rsidR="00224567" w:rsidRDefault="00224567">
      <w:pPr>
        <w:widowControl w:val="0"/>
      </w:pPr>
      <w:r>
        <w:tab/>
        <w:t xml:space="preserve">A fs. 24.027 informó </w:t>
      </w:r>
      <w:smartTag w:uri="urn:schemas-microsoft-com:office:smarttags" w:element="PersonName">
        <w:smartTagPr>
          <w:attr w:name="ProductID" w:val="la Polic￭a Aeron￡utica"/>
        </w:smartTagPr>
        <w:r>
          <w:t>la Policía Aer</w:t>
        </w:r>
        <w:r>
          <w:t>o</w:t>
        </w:r>
        <w:r>
          <w:t>náutica</w:t>
        </w:r>
      </w:smartTag>
      <w:r>
        <w:t xml:space="preserve"> Nacional que Carlos Alberto “Teccedin”, D.N.I. nº 14.536.215, embarcó en el vuelo AU 1082 del 27 de julio de 1994; datos que constan en el listado de pas</w:t>
      </w:r>
      <w:r>
        <w:t>a</w:t>
      </w:r>
      <w:r>
        <w:t>jeros de ese vuelo, agr</w:t>
      </w:r>
      <w:r>
        <w:t>e</w:t>
      </w:r>
      <w:r>
        <w:t>gado a fs. 24.014/24.015.</w:t>
      </w:r>
    </w:p>
    <w:p w:rsidR="00224567" w:rsidRDefault="00224567">
      <w:pPr>
        <w:widowControl w:val="0"/>
        <w:rPr>
          <w:rFonts w:eastAsia="PMingLiU"/>
          <w:spacing w:val="-3"/>
          <w:lang w:val="es-ES_tradnl"/>
        </w:rPr>
      </w:pPr>
      <w:r>
        <w:tab/>
        <w:t xml:space="preserve">Dan cuenta de la identificación de la sigla “AU”, asignada a la empresa “Austral – Cielos del Sur”, de la fecha y del número de vuelo, las constancias glosadas a fs. 23.810/23.813, remitidas por el jefe del Escuadrón </w:t>
      </w:r>
      <w:r>
        <w:rPr>
          <w:rFonts w:eastAsia="PMingLiU"/>
          <w:spacing w:val="-3"/>
          <w:lang w:val="es-ES_tradnl"/>
        </w:rPr>
        <w:t>Jorge New</w:t>
      </w:r>
      <w:r>
        <w:rPr>
          <w:rFonts w:eastAsia="PMingLiU"/>
          <w:spacing w:val="-3"/>
          <w:lang w:val="es-ES_tradnl"/>
        </w:rPr>
        <w:softHyphen/>
        <w:t xml:space="preserve">bery de </w:t>
      </w:r>
      <w:smartTag w:uri="urn:schemas-microsoft-com:office:smarttags" w:element="PersonName">
        <w:smartTagPr>
          <w:attr w:name="ProductID" w:val="la Polic￭a Aeron￡utica."/>
        </w:smartTagPr>
        <w:r>
          <w:rPr>
            <w:rFonts w:eastAsia="PMingLiU"/>
            <w:spacing w:val="-3"/>
            <w:lang w:val="es-ES_tradnl"/>
          </w:rPr>
          <w:t>la Policía Aeronáut</w:t>
        </w:r>
        <w:r>
          <w:rPr>
            <w:rFonts w:eastAsia="PMingLiU"/>
            <w:spacing w:val="-3"/>
            <w:lang w:val="es-ES_tradnl"/>
          </w:rPr>
          <w:t>i</w:t>
        </w:r>
        <w:r>
          <w:rPr>
            <w:rFonts w:eastAsia="PMingLiU"/>
            <w:spacing w:val="-3"/>
            <w:lang w:val="es-ES_tradnl"/>
          </w:rPr>
          <w:t>ca.</w:t>
        </w:r>
      </w:smartTag>
    </w:p>
    <w:p w:rsidR="00224567" w:rsidRDefault="00224567">
      <w:pPr>
        <w:widowControl w:val="0"/>
      </w:pPr>
      <w:r>
        <w:tab/>
        <w:t>Además, conforme el cuadro enviado por el Escuadrón Posadas de esa fuerza (fs. 23.939/23.941), el vuelo 1082 partió de esa ciudad a las 14.20 y arribó a e</w:t>
      </w:r>
      <w:r>
        <w:t>s</w:t>
      </w:r>
      <w:r>
        <w:t>ta a las 14.59.</w:t>
      </w:r>
    </w:p>
    <w:p w:rsidR="00224567" w:rsidRDefault="00224567">
      <w:pPr>
        <w:widowControl w:val="0"/>
      </w:pPr>
      <w:r>
        <w:tab/>
        <w:t>Por último, está acreditado que al arribar al Aeroparque “Jorge Newbery”, el imputado e</w:t>
      </w:r>
      <w:r>
        <w:t>s</w:t>
      </w:r>
      <w:r>
        <w:t xml:space="preserve">peró junto a personal de </w:t>
      </w:r>
      <w:smartTag w:uri="urn:schemas-microsoft-com:office:smarttags" w:element="PersonName">
        <w:smartTagPr>
          <w:attr w:name="ProductID" w:val="la Polic￭a Aeron￡utica"/>
        </w:smartTagPr>
        <w:r>
          <w:t>la Policía Aeronáutica</w:t>
        </w:r>
      </w:smartTag>
      <w:r>
        <w:t xml:space="preserve"> Nacional el arribo de las autoridades de prevención y del servicio de inteligencia, que procedieron a su dete</w:t>
      </w:r>
      <w:r>
        <w:t>n</w:t>
      </w:r>
      <w:r>
        <w:t>ción.</w:t>
      </w:r>
    </w:p>
    <w:p w:rsidR="00224567" w:rsidRDefault="00224567">
      <w:pPr>
        <w:widowControl w:val="0"/>
      </w:pPr>
      <w:r>
        <w:tab/>
        <w:t xml:space="preserve">Así surge del acta de fs. </w:t>
      </w:r>
      <w:r>
        <w:rPr>
          <w:lang w:val="es-ES_tradnl"/>
        </w:rPr>
        <w:t>348</w:t>
      </w:r>
      <w:r>
        <w:t xml:space="preserve"> y de las declaraciones de Carlos Alberto Salomone, Luis Abel Gig</w:t>
      </w:r>
      <w:r>
        <w:t>e</w:t>
      </w:r>
      <w:r>
        <w:t>na, Néstor Ricardo Hernández, Roberto Jorge Saller, Luis Domingo Delizia,</w:t>
      </w:r>
      <w:r>
        <w:rPr>
          <w:b/>
          <w:bCs/>
        </w:rPr>
        <w:t xml:space="preserve"> </w:t>
      </w:r>
      <w:r>
        <w:t>como así también de las de los testigos de actuación Rubén Piñeiro y Ricardo Patricio E</w:t>
      </w:r>
      <w:r>
        <w:t>s</w:t>
      </w:r>
      <w:r>
        <w:t>piño.</w:t>
      </w:r>
    </w:p>
    <w:p w:rsidR="00224567" w:rsidRDefault="00224567">
      <w:pPr>
        <w:widowControl w:val="0"/>
      </w:pPr>
      <w:r>
        <w:tab/>
        <w:t>Diversas fueron las versiones que se dieron acerca de las razones que llevaron a huir a Ca</w:t>
      </w:r>
      <w:r>
        <w:t>r</w:t>
      </w:r>
      <w:r>
        <w:t>los Alberto Telleldín; temor a la policía que lo pers</w:t>
      </w:r>
      <w:r>
        <w:t>e</w:t>
      </w:r>
      <w:r>
        <w:t>guía o a que lo relaci</w:t>
      </w:r>
      <w:r>
        <w:t>o</w:t>
      </w:r>
      <w:r>
        <w:t>naran con el motor hallado entre los restos del edif</w:t>
      </w:r>
      <w:r>
        <w:t>i</w:t>
      </w:r>
      <w:r>
        <w:t xml:space="preserve">cio de </w:t>
      </w:r>
      <w:smartTag w:uri="urn:schemas-microsoft-com:office:smarttags" w:element="PersonName">
        <w:smartTagPr>
          <w:attr w:name="ProductID" w:val="la A.M"/>
        </w:smartTagPr>
        <w:r>
          <w:t>la A.M</w:t>
        </w:r>
      </w:smartTag>
      <w:r>
        <w:t>.I.A.</w:t>
      </w:r>
    </w:p>
    <w:p w:rsidR="00224567" w:rsidRDefault="00224567">
      <w:pPr>
        <w:widowControl w:val="0"/>
      </w:pPr>
      <w:r>
        <w:tab/>
        <w:t>Empero, fuese una u otra la hipótesis correcta, lo cierto es que regresó en avión desde la ci</w:t>
      </w:r>
      <w:r>
        <w:t>u</w:t>
      </w:r>
      <w:r>
        <w:t>dad de Posadas, luego de conversar telefónicame</w:t>
      </w:r>
      <w:r>
        <w:t>n</w:t>
      </w:r>
      <w:r>
        <w:t xml:space="preserve">te con los funcionarios estatales que lo requerían, presentándose, espontáneamente, ante las autoridades de </w:t>
      </w:r>
      <w:smartTag w:uri="urn:schemas-microsoft-com:office:smarttags" w:element="PersonName">
        <w:smartTagPr>
          <w:attr w:name="ProductID" w:val="la Polic￭a Aeron￡utica"/>
        </w:smartTagPr>
        <w:r>
          <w:t>la Policía Aer</w:t>
        </w:r>
        <w:r>
          <w:t>o</w:t>
        </w:r>
        <w:r>
          <w:t>náutica</w:t>
        </w:r>
      </w:smartTag>
      <w:r>
        <w:t xml:space="preserve"> Nacional en el Aeroparque “Jorge Newbery” de esta ciudad, donde sabía que lo aguardaban.</w:t>
      </w:r>
    </w:p>
    <w:p w:rsidR="00224567" w:rsidRDefault="00224567">
      <w:pPr>
        <w:widowControl w:val="0"/>
      </w:pPr>
      <w:r>
        <w:tab/>
        <w:t>Al respecto, sostuvo Luis Domingo D</w:t>
      </w:r>
      <w:r>
        <w:t>e</w:t>
      </w:r>
      <w:r>
        <w:t xml:space="preserve">lizia, alias “Gastón Achával”, agente de </w:t>
      </w:r>
      <w:smartTag w:uri="urn:schemas-microsoft-com:office:smarttags" w:element="PersonName">
        <w:smartTagPr>
          <w:attr w:name="ProductID" w:val="la Secretar￭a"/>
        </w:smartTagPr>
        <w:r>
          <w:t>la Secret</w:t>
        </w:r>
        <w:r>
          <w:t>a</w:t>
        </w:r>
        <w:r>
          <w:t>ría</w:t>
        </w:r>
      </w:smartTag>
      <w:r>
        <w:t xml:space="preserve"> de Inteligencia de Estado, que el 26 de julio Ana B</w:t>
      </w:r>
      <w:r>
        <w:t>o</w:t>
      </w:r>
      <w:r>
        <w:t>ragni les dijo que su marido se había ido, desconociendo adónde. Agregó que pasó la noche en la casa de Telle</w:t>
      </w:r>
      <w:r>
        <w:t>l</w:t>
      </w:r>
      <w:r>
        <w:t>dín y al otro día conversó con él cuando llamó, combinando que se entr</w:t>
      </w:r>
      <w:r>
        <w:t>e</w:t>
      </w:r>
      <w:r>
        <w:t>garía en el hall de “Aerolíneas Argentinas” en aeropa</w:t>
      </w:r>
      <w:r>
        <w:t>r</w:t>
      </w:r>
      <w:r>
        <w:t>que.</w:t>
      </w:r>
    </w:p>
    <w:p w:rsidR="00224567" w:rsidRDefault="00224567">
      <w:pPr>
        <w:widowControl w:val="0"/>
      </w:pPr>
      <w:r>
        <w:tab/>
        <w:t>La conversación referida por Delizia estaría reflejada a fs. 15/16 del legajo de transcripci</w:t>
      </w:r>
      <w:r>
        <w:t>o</w:t>
      </w:r>
      <w:r>
        <w:t xml:space="preserve">nes de </w:t>
      </w:r>
      <w:smartTag w:uri="urn:schemas-microsoft-com:office:smarttags" w:element="PersonName">
        <w:smartTagPr>
          <w:attr w:name="ProductID" w:val="la Secretar￭a"/>
        </w:smartTagPr>
        <w:r>
          <w:t>la Secretaría</w:t>
        </w:r>
      </w:smartTag>
      <w:r>
        <w:t xml:space="preserve"> de Inteligencia del abonado nº 768-0902, según el cual el 27 de julio de 1994 se habría r</w:t>
      </w:r>
      <w:r>
        <w:t>e</w:t>
      </w:r>
      <w:r>
        <w:t>gistrado el siguiente diálogo entre Carlos –Telleldín- y su esposa Ana:</w:t>
      </w:r>
    </w:p>
    <w:p w:rsidR="00224567" w:rsidRDefault="00224567">
      <w:pPr>
        <w:widowControl w:val="0"/>
        <w:ind w:left="360"/>
      </w:pPr>
      <w:r>
        <w:t>- “C: Hola.</w:t>
      </w:r>
    </w:p>
    <w:p w:rsidR="00224567" w:rsidRDefault="00224567">
      <w:pPr>
        <w:widowControl w:val="0"/>
        <w:ind w:left="360"/>
      </w:pPr>
      <w:r>
        <w:t>- A: Hola, mi amor, cómo estás? Escuchame, está todo bien encaminado quedate tranquilo.</w:t>
      </w:r>
    </w:p>
    <w:p w:rsidR="00224567" w:rsidRDefault="00224567">
      <w:pPr>
        <w:widowControl w:val="0"/>
        <w:ind w:left="360"/>
      </w:pPr>
      <w:r>
        <w:t>- C: Si?</w:t>
      </w:r>
    </w:p>
    <w:p w:rsidR="00224567" w:rsidRDefault="00224567">
      <w:pPr>
        <w:widowControl w:val="0"/>
        <w:ind w:left="360"/>
      </w:pPr>
      <w:r>
        <w:t xml:space="preserve">- A: Escuchame, querés hablar con un personal de </w:t>
      </w:r>
      <w:smartTag w:uri="urn:schemas-microsoft-com:office:smarttags" w:element="PersonName">
        <w:smartTagPr>
          <w:attr w:name="ProductID" w:val="la SIDE"/>
        </w:smartTagPr>
        <w:r>
          <w:t>la S</w:t>
        </w:r>
        <w:r>
          <w:t>I</w:t>
        </w:r>
        <w:r>
          <w:t>DE</w:t>
        </w:r>
      </w:smartTag>
      <w:r>
        <w:t>, que está acá vigilando la casa.</w:t>
      </w:r>
    </w:p>
    <w:p w:rsidR="00224567" w:rsidRDefault="00224567">
      <w:pPr>
        <w:widowControl w:val="0"/>
        <w:ind w:left="360"/>
      </w:pPr>
      <w:r>
        <w:t>- C: No, no, porque, que estás preocupada?</w:t>
      </w:r>
    </w:p>
    <w:p w:rsidR="00224567" w:rsidRDefault="00224567">
      <w:pPr>
        <w:widowControl w:val="0"/>
        <w:ind w:left="360"/>
      </w:pPr>
      <w:r>
        <w:t>- A: No, lo que pasa es que me están explicando de nu</w:t>
      </w:r>
      <w:r>
        <w:t>e</w:t>
      </w:r>
      <w:r>
        <w:t>vo, porque como vos no venís.</w:t>
      </w:r>
    </w:p>
    <w:p w:rsidR="00224567" w:rsidRDefault="00224567">
      <w:pPr>
        <w:widowControl w:val="0"/>
        <w:ind w:left="360"/>
      </w:pPr>
      <w:r>
        <w:t>- C: Estoy acá en el aeroparque, recién llego.</w:t>
      </w:r>
    </w:p>
    <w:p w:rsidR="00224567" w:rsidRDefault="00224567">
      <w:pPr>
        <w:widowControl w:val="0"/>
        <w:ind w:left="360"/>
      </w:pPr>
      <w:r>
        <w:t xml:space="preserve">- A: Está acá el jefe de </w:t>
      </w:r>
      <w:smartTag w:uri="urn:schemas-microsoft-com:office:smarttags" w:element="PersonName">
        <w:smartTagPr>
          <w:attr w:name="ProductID" w:val="la SIDE"/>
        </w:smartTagPr>
        <w:r>
          <w:t>la SIDE</w:t>
        </w:r>
      </w:smartTag>
      <w:r>
        <w:t>, por qué no hablás con él?</w:t>
      </w:r>
    </w:p>
    <w:p w:rsidR="00224567" w:rsidRDefault="00224567">
      <w:pPr>
        <w:widowControl w:val="0"/>
        <w:ind w:left="360"/>
      </w:pPr>
      <w:r>
        <w:t>- C: No quedamos en que me iban a venir a buscar, d</w:t>
      </w:r>
      <w:r>
        <w:t>a</w:t>
      </w:r>
      <w:r>
        <w:t>me con Mario.</w:t>
      </w:r>
    </w:p>
    <w:p w:rsidR="00224567" w:rsidRDefault="00224567">
      <w:pPr>
        <w:widowControl w:val="0"/>
        <w:ind w:left="360"/>
      </w:pPr>
      <w:r>
        <w:t>- A: Bueno, pero por favor, quedate tranquilo, que lo único que quieren es tu declaración, después por f</w:t>
      </w:r>
      <w:r>
        <w:t>a</w:t>
      </w:r>
      <w:r>
        <w:t xml:space="preserve">vor hablá con el jefe de </w:t>
      </w:r>
      <w:smartTag w:uri="urn:schemas-microsoft-com:office:smarttags" w:element="PersonName">
        <w:smartTagPr>
          <w:attr w:name="ProductID" w:val="la SIDE."/>
        </w:smartTagPr>
        <w:r>
          <w:t>la SIDE.</w:t>
        </w:r>
      </w:smartTag>
    </w:p>
    <w:p w:rsidR="00224567" w:rsidRDefault="00224567">
      <w:pPr>
        <w:widowControl w:val="0"/>
        <w:ind w:left="360"/>
      </w:pPr>
      <w:r>
        <w:t>- C: Bueno, está bien, no hay drama.</w:t>
      </w:r>
    </w:p>
    <w:p w:rsidR="00224567" w:rsidRDefault="00224567">
      <w:pPr>
        <w:widowControl w:val="0"/>
        <w:ind w:left="360"/>
      </w:pPr>
      <w:r>
        <w:t>- D: Hola, habla Diego, cómo estás?</w:t>
      </w:r>
    </w:p>
    <w:p w:rsidR="00224567" w:rsidRDefault="00224567">
      <w:pPr>
        <w:widowControl w:val="0"/>
        <w:ind w:left="360"/>
      </w:pPr>
      <w:r>
        <w:t xml:space="preserve">- C: Bien, recién llego, estoy acá en el aeroparque, mirá voy a estar al lado de </w:t>
      </w:r>
      <w:smartTag w:uri="urn:schemas-microsoft-com:office:smarttags" w:element="PersonName">
        <w:smartTagPr>
          <w:attr w:name="ProductID" w:val="la Polic￭a Aeron￡utica"/>
        </w:smartTagPr>
        <w:r>
          <w:t>la Policía Aeronáutica</w:t>
        </w:r>
      </w:smartTag>
      <w:r>
        <w:t>, por cua</w:t>
      </w:r>
      <w:r>
        <w:t>l</w:t>
      </w:r>
      <w:r>
        <w:t>quier cosa.</w:t>
      </w:r>
    </w:p>
    <w:p w:rsidR="00224567" w:rsidRDefault="00224567">
      <w:pPr>
        <w:widowControl w:val="0"/>
        <w:ind w:left="360"/>
      </w:pPr>
      <w:r>
        <w:t>- D: Perfecto, quedate ahí y no te movás.</w:t>
      </w:r>
    </w:p>
    <w:p w:rsidR="00224567" w:rsidRDefault="00224567">
      <w:pPr>
        <w:widowControl w:val="0"/>
        <w:ind w:left="360"/>
      </w:pPr>
      <w:r>
        <w:t>- C: Estoy en Aerolíneas, en arribos, en la sala nu</w:t>
      </w:r>
      <w:r>
        <w:t>e</w:t>
      </w:r>
      <w:r>
        <w:t>va.</w:t>
      </w:r>
    </w:p>
    <w:p w:rsidR="00224567" w:rsidRDefault="00224567">
      <w:pPr>
        <w:widowControl w:val="0"/>
        <w:ind w:left="360"/>
      </w:pPr>
      <w:r>
        <w:t>- D: Bueno, perfecto, esperá un poco que te doy con un amigo.</w:t>
      </w:r>
    </w:p>
    <w:p w:rsidR="00224567" w:rsidRDefault="00224567">
      <w:pPr>
        <w:widowControl w:val="0"/>
        <w:ind w:left="360"/>
      </w:pPr>
      <w:r>
        <w:t>- G: Hola, Carlos, te habla Gastón, así no nos trat</w:t>
      </w:r>
      <w:r>
        <w:t>a</w:t>
      </w:r>
      <w:r>
        <w:t>mos por el nombre, mirá vos ya sabés de dónde soy, yo e</w:t>
      </w:r>
      <w:r>
        <w:t>s</w:t>
      </w:r>
      <w:r>
        <w:t>toy acá con estos chicos que son amigos tuyos, lo único que te pido es que te quedes tranqui, manso, este, vos h</w:t>
      </w:r>
      <w:r>
        <w:t>a</w:t>
      </w:r>
      <w:r>
        <w:t>blaste con tu señora, sabés que la mano está bien, acá hay una sola historia, no hay otra, así que lo único que te pido es que nos esp</w:t>
      </w:r>
      <w:r>
        <w:t>e</w:t>
      </w:r>
      <w:r>
        <w:t>res, yo voy a ir con uno de tus amigos y te repito, quedate tranqui, que está todo bien.</w:t>
      </w:r>
    </w:p>
    <w:p w:rsidR="00224567" w:rsidRDefault="00224567">
      <w:pPr>
        <w:widowControl w:val="0"/>
        <w:ind w:left="360"/>
      </w:pPr>
      <w:r>
        <w:t>- C: Bueno, ya está decidido, los espero.</w:t>
      </w:r>
    </w:p>
    <w:p w:rsidR="00224567" w:rsidRDefault="00224567">
      <w:pPr>
        <w:widowControl w:val="0"/>
        <w:ind w:left="360"/>
      </w:pPr>
      <w:r>
        <w:t>- G: Bueno, yo ya salgo para allá, ahora esperá que te voy a dar con Mario.</w:t>
      </w:r>
    </w:p>
    <w:p w:rsidR="00224567" w:rsidRDefault="00224567">
      <w:pPr>
        <w:widowControl w:val="0"/>
        <w:ind w:left="360"/>
      </w:pPr>
      <w:r>
        <w:t>- C: Bueno.</w:t>
      </w:r>
    </w:p>
    <w:p w:rsidR="00224567" w:rsidRDefault="00224567">
      <w:pPr>
        <w:widowControl w:val="0"/>
        <w:ind w:left="360"/>
      </w:pPr>
      <w:r>
        <w:t>- M: Hola, quedate tranqui, Ana se va a quedar acá con los chicos, y va Diego para allá, ahora decime, qu</w:t>
      </w:r>
      <w:r>
        <w:t>e</w:t>
      </w:r>
      <w:r>
        <w:t>rés que te mande al abogado?</w:t>
      </w:r>
    </w:p>
    <w:p w:rsidR="00224567" w:rsidRDefault="00224567">
      <w:pPr>
        <w:widowControl w:val="0"/>
        <w:ind w:left="360"/>
      </w:pPr>
      <w:r>
        <w:t>- C: Y... yo diría, yo muy tranquilo no voy a estar, vistes. Después preguntale a Ana si declaró algo de los cor</w:t>
      </w:r>
      <w:r>
        <w:t>e</w:t>
      </w:r>
      <w:r>
        <w:t>anos.</w:t>
      </w:r>
    </w:p>
    <w:p w:rsidR="00224567" w:rsidRDefault="00224567">
      <w:pPr>
        <w:widowControl w:val="0"/>
        <w:ind w:left="360"/>
      </w:pPr>
      <w:r>
        <w:t>- M: Bueno, eso no lo sé, pero quedate tranquilo, po</w:t>
      </w:r>
      <w:r>
        <w:t>r</w:t>
      </w:r>
      <w:r>
        <w:t>que lo  otro  tuyo  ya  se sabe, pero  eso no les i</w:t>
      </w:r>
      <w:r>
        <w:t>n</w:t>
      </w:r>
      <w:r>
        <w:t>teresa, me entendés?</w:t>
      </w:r>
    </w:p>
    <w:p w:rsidR="00224567" w:rsidRDefault="00224567">
      <w:pPr>
        <w:widowControl w:val="0"/>
        <w:ind w:left="360"/>
      </w:pPr>
      <w:r>
        <w:t>- C: Bueno, está bien, hasta luego.”</w:t>
      </w:r>
    </w:p>
    <w:p w:rsidR="00224567" w:rsidRDefault="00224567">
      <w:pPr>
        <w:widowControl w:val="0"/>
      </w:pPr>
      <w:r>
        <w:tab/>
        <w:t>En igual sentido, Néstor Ricardo He</w:t>
      </w:r>
      <w:r>
        <w:t>r</w:t>
      </w:r>
      <w:r>
        <w:t>nández, del mismo organismo, manifestó que el 27 de j</w:t>
      </w:r>
      <w:r>
        <w:t>u</w:t>
      </w:r>
      <w:r>
        <w:t>lio, Boragni, Barreda y posiblemente algún agente de su grupo hablaron con Telleldín, indicando éste que iría al aer</w:t>
      </w:r>
      <w:r>
        <w:t>o</w:t>
      </w:r>
      <w:r>
        <w:t xml:space="preserve">parque. Allí, relató, Barreda le señaló a Telleldín, que estaba con personal de </w:t>
      </w:r>
      <w:smartTag w:uri="urn:schemas-microsoft-com:office:smarttags" w:element="PersonName">
        <w:smartTagPr>
          <w:attr w:name="ProductID" w:val="la Polic￭a Aeron￡utica"/>
        </w:smartTagPr>
        <w:r>
          <w:t>la Policía Aeronáutica</w:t>
        </w:r>
      </w:smartTag>
      <w:r>
        <w:t>, procedié</w:t>
      </w:r>
      <w:r>
        <w:t>n</w:t>
      </w:r>
      <w:r>
        <w:t>dose luego a su detención.</w:t>
      </w:r>
    </w:p>
    <w:p w:rsidR="00224567" w:rsidRDefault="00224567">
      <w:pPr>
        <w:widowControl w:val="0"/>
        <w:ind w:firstLine="2835"/>
        <w:rPr>
          <w:highlight w:val="yellow"/>
        </w:rPr>
      </w:pPr>
      <w:r>
        <w:t>También Roberto Jorge Saller, quien se desempeñaba en la misma dependencia que los anteriores, recordó que en la fecha mencionada concurrieron al domic</w:t>
      </w:r>
      <w:r>
        <w:t>i</w:t>
      </w:r>
      <w:r>
        <w:t>lio de República con la directiva de tratar de convencer a Telleldín para que regresase. Añadió que fu</w:t>
      </w:r>
      <w:r>
        <w:t>e</w:t>
      </w:r>
      <w:r>
        <w:t>ron a buscarlo al aeroparque, donde lo hallaron en uno de los salones de “Aerolíneas Argentinas”, según creía al lado de una pers</w:t>
      </w:r>
      <w:r>
        <w:t>o</w:t>
      </w:r>
      <w:r>
        <w:t>na de la fuerza aérea.</w:t>
      </w:r>
    </w:p>
    <w:p w:rsidR="00224567" w:rsidRDefault="00224567">
      <w:pPr>
        <w:widowControl w:val="0"/>
      </w:pPr>
      <w:r>
        <w:tab/>
        <w:t>Con relación al tema en estudio, Ana María Boragni señaló que Telleldín se fue por la persec</w:t>
      </w:r>
      <w:r>
        <w:t>u</w:t>
      </w:r>
      <w:r>
        <w:t>ción policial, pero, al día siguiente de que ella declar</w:t>
      </w:r>
      <w:r>
        <w:t>a</w:t>
      </w:r>
      <w:r>
        <w:t xml:space="preserve">se en el P.O.C., le contó al nombrado lo sucedido cuando llamó por teléfono, creyendo recordar que también habló con personal de </w:t>
      </w:r>
      <w:smartTag w:uri="urn:schemas-microsoft-com:office:smarttags" w:element="PersonName">
        <w:smartTagPr>
          <w:attr w:name="ProductID" w:val="la S.I"/>
        </w:smartTagPr>
        <w:r>
          <w:t>la S.I</w:t>
        </w:r>
      </w:smartTag>
      <w:r>
        <w:t>.D.E. que se encontr</w:t>
      </w:r>
      <w:r>
        <w:t>a</w:t>
      </w:r>
      <w:r>
        <w:t>ba en su casa. Agregó que se comunicó nuevamente cuando consiguió vuelo y, a su arribo al aeropa</w:t>
      </w:r>
      <w:r>
        <w:t>r</w:t>
      </w:r>
      <w:r>
        <w:t>que, lo fueron a buscar.</w:t>
      </w:r>
    </w:p>
    <w:p w:rsidR="00224567" w:rsidRDefault="00224567">
      <w:pPr>
        <w:widowControl w:val="0"/>
      </w:pPr>
      <w:r>
        <w:tab/>
        <w:t>Frente a todo lo expuesto -en esp</w:t>
      </w:r>
      <w:r>
        <w:t>e</w:t>
      </w:r>
      <w:r>
        <w:t>cial, su presentación voluntaria ante las autoridades- a juicio del Trib</w:t>
      </w:r>
      <w:r>
        <w:t>u</w:t>
      </w:r>
      <w:r>
        <w:t>nal se desvanece toda especulación cargosa que quiera hacerse sobre la fuga de Telleldín, dado que no se probó que persiguiera una finalidad especial, ni s</w:t>
      </w:r>
      <w:r>
        <w:t>i</w:t>
      </w:r>
      <w:r>
        <w:t>quiera que hubiese tratado de manipular evidencia que lo comprom</w:t>
      </w:r>
      <w:r>
        <w:t>e</w:t>
      </w:r>
      <w:r>
        <w:t>tía.</w:t>
      </w:r>
    </w:p>
    <w:p w:rsidR="00224567" w:rsidRDefault="00224567">
      <w:pPr>
        <w:pStyle w:val="Ttulo5"/>
        <w:keepNext w:val="0"/>
        <w:widowControl w:val="0"/>
        <w:spacing w:line="600" w:lineRule="auto"/>
        <w:rPr>
          <w:b w:val="0"/>
          <w:bCs w:val="0"/>
        </w:rPr>
      </w:pPr>
      <w:bookmarkStart w:id="59" w:name="_Toc86676575"/>
      <w:r>
        <w:t xml:space="preserve">B.5.e) </w:t>
      </w:r>
      <w:r>
        <w:rPr>
          <w:b w:val="0"/>
          <w:bCs w:val="0"/>
        </w:rPr>
        <w:t>Viaje a Paraguay.</w:t>
      </w:r>
      <w:bookmarkEnd w:id="59"/>
    </w:p>
    <w:p w:rsidR="00224567" w:rsidRDefault="00224567">
      <w:pPr>
        <w:widowControl w:val="0"/>
      </w:pPr>
      <w:r>
        <w:tab/>
        <w:t>El único elemento que existe en el proceso, empleado por los acusadores para sustentar que Telleldín estuvo en Paraguay, es por demás endeble. En efecto, los integrantes del Ministerio Públ</w:t>
      </w:r>
      <w:r>
        <w:t>i</w:t>
      </w:r>
      <w:r>
        <w:t>co Fiscal y la querella “Memoria Activa” basaron su afirmación en una e</w:t>
      </w:r>
      <w:r>
        <w:t>s</w:t>
      </w:r>
      <w:r>
        <w:t>cucha telefónica del abonado 768-0902, del 9 de ago</w:t>
      </w:r>
      <w:r>
        <w:t>s</w:t>
      </w:r>
      <w:r>
        <w:t>to de 1994.</w:t>
      </w:r>
    </w:p>
    <w:p w:rsidR="00224567" w:rsidRDefault="00224567">
      <w:pPr>
        <w:widowControl w:val="0"/>
      </w:pPr>
      <w:r>
        <w:tab/>
        <w:t>Conforme los legajos de transcripci</w:t>
      </w:r>
      <w:r>
        <w:t>o</w:t>
      </w:r>
      <w:r>
        <w:t xml:space="preserve">nes del Departamento Protección del Orden Constitucional de </w:t>
      </w:r>
      <w:smartTag w:uri="urn:schemas-microsoft-com:office:smarttags" w:element="PersonName">
        <w:smartTagPr>
          <w:attr w:name="ProductID" w:val="la Polic￭a Federal"/>
        </w:smartTagPr>
        <w:r>
          <w:t>la Policía Federal</w:t>
        </w:r>
      </w:smartTag>
      <w:r>
        <w:t xml:space="preserve"> (fs. 48/53) y de </w:t>
      </w:r>
      <w:smartTag w:uri="urn:schemas-microsoft-com:office:smarttags" w:element="PersonName">
        <w:smartTagPr>
          <w:attr w:name="ProductID" w:val="la Secretar￭a"/>
        </w:smartTagPr>
        <w:r>
          <w:t>la Secretaría</w:t>
        </w:r>
      </w:smartTag>
      <w:r>
        <w:t xml:space="preserve"> de Inteligencia (fs. 152/156), en la aludida conversación D</w:t>
      </w:r>
      <w:r>
        <w:t>a</w:t>
      </w:r>
      <w:r>
        <w:t>mián Schiavone, hijo de Ana María Boragni, le cuenta a su interlocutora, Marta, que “Carlos se borró se fue al Par</w:t>
      </w:r>
      <w:r>
        <w:t>a</w:t>
      </w:r>
      <w:r>
        <w:t xml:space="preserve">guay”, según la versión del D.P.O.C., o “Carlos estaría borrado, se fue a Paraguay”, de acuerdo a </w:t>
      </w:r>
      <w:smartTag w:uri="urn:schemas-microsoft-com:office:smarttags" w:element="PersonName">
        <w:smartTagPr>
          <w:attr w:name="ProductID" w:val="la S.I"/>
        </w:smartTagPr>
        <w:r>
          <w:t>la S.I</w:t>
        </w:r>
      </w:smartTag>
      <w:r>
        <w:t>.D.E.</w:t>
      </w:r>
    </w:p>
    <w:p w:rsidR="00224567" w:rsidRDefault="00224567">
      <w:pPr>
        <w:widowControl w:val="0"/>
      </w:pPr>
      <w:r>
        <w:tab/>
        <w:t>El comentario atribuido en las tran</w:t>
      </w:r>
      <w:r>
        <w:t>s</w:t>
      </w:r>
      <w:r>
        <w:t>cripciones a Damián Schiavone, más allá de que se descon</w:t>
      </w:r>
      <w:r>
        <w:t>o</w:t>
      </w:r>
      <w:r>
        <w:t>ce la suerte que corrieron las cintas que lo avalan, car</w:t>
      </w:r>
      <w:r>
        <w:t>e</w:t>
      </w:r>
      <w:r>
        <w:t>ce de entidad para construir una sospecha.</w:t>
      </w:r>
    </w:p>
    <w:p w:rsidR="00224567" w:rsidRDefault="00224567">
      <w:pPr>
        <w:widowControl w:val="0"/>
      </w:pPr>
      <w:r>
        <w:tab/>
        <w:t>En especial, debido a que Damián Schiavone momentos antes había indicado a Marta su e</w:t>
      </w:r>
      <w:r>
        <w:t>n</w:t>
      </w:r>
      <w:r>
        <w:t>fado con Telleldín. Dicho estado de ánimo surge a lo largo de la conversación, quedando patentizado al re</w:t>
      </w:r>
      <w:r>
        <w:t>s</w:t>
      </w:r>
      <w:r>
        <w:t>ponder acerca de qué fue interrogado por los investigadores; dijo: “yo le mandaba todo lo peor. Y si puede quedarse adentro soy capaz de... no sé... de inventar”.</w:t>
      </w:r>
    </w:p>
    <w:p w:rsidR="00224567" w:rsidRDefault="00224567">
      <w:pPr>
        <w:widowControl w:val="0"/>
      </w:pPr>
      <w:r>
        <w:tab/>
        <w:t>Por otra parte, no surge de las tran</w:t>
      </w:r>
      <w:r>
        <w:t>s</w:t>
      </w:r>
      <w:r>
        <w:t xml:space="preserve">cripciones entregadas por el D.P.O.C. o </w:t>
      </w:r>
      <w:smartTag w:uri="urn:schemas-microsoft-com:office:smarttags" w:element="PersonName">
        <w:smartTagPr>
          <w:attr w:name="ProductID" w:val="la S.I"/>
        </w:smartTagPr>
        <w:r>
          <w:t>la S.I</w:t>
        </w:r>
      </w:smartTag>
      <w:r>
        <w:t>.D.E., la invocada escucha telefónica en la que Jesica Schiavone h</w:t>
      </w:r>
      <w:r>
        <w:t>a</w:t>
      </w:r>
      <w:r>
        <w:t>bría hecho una referencia al país v</w:t>
      </w:r>
      <w:r>
        <w:t>e</w:t>
      </w:r>
      <w:r>
        <w:t>cino.</w:t>
      </w:r>
    </w:p>
    <w:p w:rsidR="00224567" w:rsidRDefault="00224567">
      <w:pPr>
        <w:widowControl w:val="0"/>
      </w:pPr>
      <w:r>
        <w:tab/>
        <w:t>Además, aún en el hipotético caso de que Telleldín hubiese estado en Paraguay, ello no aut</w:t>
      </w:r>
      <w:r>
        <w:t>o</w:t>
      </w:r>
      <w:r>
        <w:t>riza a conjeturar que tuviese vínculos con elementos terrori</w:t>
      </w:r>
      <w:r>
        <w:t>s</w:t>
      </w:r>
      <w:r>
        <w:t>tas, como parece inferirse de las afirmaciones de los ac</w:t>
      </w:r>
      <w:r>
        <w:t>u</w:t>
      </w:r>
      <w:r>
        <w:t>sadores antes aludidas. Debieron acreditar, de modo feh</w:t>
      </w:r>
      <w:r>
        <w:t>a</w:t>
      </w:r>
      <w:r>
        <w:t>ciente, que estuvo en el país limítrofe y las activid</w:t>
      </w:r>
      <w:r>
        <w:t>a</w:t>
      </w:r>
      <w:r>
        <w:t>des que allí realizó.</w:t>
      </w:r>
    </w:p>
    <w:p w:rsidR="00224567" w:rsidRDefault="00224567">
      <w:pPr>
        <w:pStyle w:val="Ttulo4"/>
        <w:keepNext w:val="0"/>
        <w:widowControl w:val="0"/>
        <w:spacing w:line="600" w:lineRule="auto"/>
      </w:pPr>
      <w:r>
        <w:tab/>
      </w:r>
      <w:bookmarkStart w:id="60" w:name="_Toc86676576"/>
      <w:r>
        <w:t>B.6) Pedido u ofrecimiento de Telle</w:t>
      </w:r>
      <w:r>
        <w:t>l</w:t>
      </w:r>
      <w:r>
        <w:t>dín a Nitzcaner y Jo</w:t>
      </w:r>
      <w:r>
        <w:t>u</w:t>
      </w:r>
      <w:r>
        <w:t>ce.</w:t>
      </w:r>
      <w:bookmarkEnd w:id="60"/>
    </w:p>
    <w:p w:rsidR="00224567" w:rsidRDefault="00224567">
      <w:pPr>
        <w:widowControl w:val="0"/>
      </w:pPr>
      <w:r>
        <w:tab/>
      </w:r>
      <w:r>
        <w:rPr>
          <w:b/>
          <w:bCs/>
        </w:rPr>
        <w:t>B.6.a.i)</w:t>
      </w:r>
      <w:r>
        <w:t xml:space="preserve"> La fiscalía se preguntó por qué, si Telleldín se decía inocente, intentó, m</w:t>
      </w:r>
      <w:r>
        <w:t>e</w:t>
      </w:r>
      <w:r>
        <w:t xml:space="preserve">diante el ofrecimiento de un Renault 12, cambiar las declaraciones de Nitzcaner y Jouce, para que dijeran que </w:t>
      </w:r>
      <w:smartTag w:uri="urn:schemas-microsoft-com:office:smarttags" w:element="PersonName">
        <w:smartTagPr>
          <w:attr w:name="ProductID" w:val="la Trafic"/>
        </w:smartTagPr>
        <w:r>
          <w:t>la Trafic</w:t>
        </w:r>
      </w:smartTag>
      <w:r>
        <w:t xml:space="preserve"> que arreglaron era la que se incendió. En abono de su po</w:t>
      </w:r>
      <w:r>
        <w:t>s</w:t>
      </w:r>
      <w:r>
        <w:t>tura citó los dichos de De Nápoli, en cuanto a que Telleldín le habría ofrecido a Nitzcaner dos vehículos para que decl</w:t>
      </w:r>
      <w:r>
        <w:t>a</w:t>
      </w:r>
      <w:r>
        <w:t>rase en ese sentido.</w:t>
      </w:r>
    </w:p>
    <w:p w:rsidR="00224567" w:rsidRDefault="00224567">
      <w:pPr>
        <w:widowControl w:val="0"/>
      </w:pPr>
      <w:r>
        <w:tab/>
      </w:r>
      <w:r>
        <w:rPr>
          <w:b/>
          <w:bCs/>
        </w:rPr>
        <w:t>B.6.a.ii)</w:t>
      </w:r>
      <w:r>
        <w:t xml:space="preserve"> Al respecto, los abogados de la querella unificada D.A.I.A., A.M.I.A. y “Grupo de Fam</w:t>
      </w:r>
      <w:r>
        <w:t>i</w:t>
      </w:r>
      <w:r>
        <w:t>liares” mencionaron que Nitzcaner dijo que Telleldín le habría hecho un ofrecimiento a él y a Jouce para que d</w:t>
      </w:r>
      <w:r>
        <w:t>e</w:t>
      </w:r>
      <w:r>
        <w:t>clararan que habían reparado la camioneta quem</w:t>
      </w:r>
      <w:r>
        <w:t>a</w:t>
      </w:r>
      <w:r>
        <w:t>da.</w:t>
      </w:r>
    </w:p>
    <w:p w:rsidR="00224567" w:rsidRDefault="00224567">
      <w:pPr>
        <w:widowControl w:val="0"/>
      </w:pPr>
      <w:r>
        <w:tab/>
      </w:r>
      <w:r>
        <w:rPr>
          <w:b/>
          <w:bCs/>
        </w:rPr>
        <w:t>B.6.b)</w:t>
      </w:r>
      <w:r>
        <w:t xml:space="preserve"> Con relación al tema en est</w:t>
      </w:r>
      <w:r>
        <w:t>u</w:t>
      </w:r>
      <w:r>
        <w:t>dio, tanto el imputado Ariel Rodolfo Nitzcaner como el testigo Marcelo Fabián Jouce, refirieron que cuando T</w:t>
      </w:r>
      <w:r>
        <w:t>e</w:t>
      </w:r>
      <w:r>
        <w:t>lleldín e</w:t>
      </w:r>
      <w:r>
        <w:t>s</w:t>
      </w:r>
      <w:r>
        <w:t>tuvo detenido en el Departamento Protección del Orden Constitucional les solicitó que declaren que en el taller de Ituzaingó 2335 de Villa Maipú se reparó una Tr</w:t>
      </w:r>
      <w:r>
        <w:t>a</w:t>
      </w:r>
      <w:r>
        <w:t>fic incendiada.</w:t>
      </w:r>
    </w:p>
    <w:p w:rsidR="00224567" w:rsidRDefault="00224567">
      <w:pPr>
        <w:widowControl w:val="0"/>
      </w:pPr>
      <w:r>
        <w:tab/>
        <w:t>En tal sentido, Jouce manifestó que durante su estancia en la dependencia aludida, Telleldín le requirió que dijera que la camioneta que llevó al t</w:t>
      </w:r>
      <w:r>
        <w:t>a</w:t>
      </w:r>
      <w:r>
        <w:t xml:space="preserve">ller estaba quemada y que </w:t>
      </w:r>
      <w:r>
        <w:rPr>
          <w:bCs/>
        </w:rPr>
        <w:t>se reemplazaron las chapas i</w:t>
      </w:r>
      <w:r>
        <w:rPr>
          <w:bCs/>
        </w:rPr>
        <w:t>n</w:t>
      </w:r>
      <w:r>
        <w:rPr>
          <w:bCs/>
        </w:rPr>
        <w:t>cendiadas por otras que se rem</w:t>
      </w:r>
      <w:r>
        <w:rPr>
          <w:bCs/>
        </w:rPr>
        <w:t>a</w:t>
      </w:r>
      <w:r>
        <w:rPr>
          <w:bCs/>
        </w:rPr>
        <w:t>charon.</w:t>
      </w:r>
    </w:p>
    <w:p w:rsidR="00224567" w:rsidRDefault="00224567">
      <w:pPr>
        <w:widowControl w:val="0"/>
      </w:pPr>
      <w:r>
        <w:tab/>
        <w:t xml:space="preserve">Al prestar declaración indagatoria, Nitzcaner refirió que mientras se hallaba detenido en el Departamento Protección del Orden Constitucional, Carlos Telleldín le ofreció un automóvil Renault 12, modelo </w:t>
      </w:r>
      <w:smartTag w:uri="urn:schemas-microsoft-com:office:smarttags" w:element="metricconverter">
        <w:smartTagPr>
          <w:attr w:name="ProductID" w:val="1984, a"/>
        </w:smartTagPr>
        <w:r>
          <w:t>1984, a</w:t>
        </w:r>
      </w:smartTag>
      <w:r>
        <w:t xml:space="preserve"> ca</w:t>
      </w:r>
      <w:r>
        <w:t>m</w:t>
      </w:r>
      <w:r>
        <w:t>bio de que dijera que la camioneta Trafic que reparó era la quemada.</w:t>
      </w:r>
    </w:p>
    <w:p w:rsidR="00224567" w:rsidRDefault="00224567">
      <w:pPr>
        <w:widowControl w:val="0"/>
        <w:ind w:firstLine="2835"/>
      </w:pPr>
      <w:r>
        <w:t>En el careo con su consorte de ca</w:t>
      </w:r>
      <w:r>
        <w:t>u</w:t>
      </w:r>
      <w:r>
        <w:t>sa, as</w:t>
      </w:r>
      <w:r>
        <w:t>e</w:t>
      </w:r>
      <w:r>
        <w:t>veró que Telleldín les hizo saber a él y a Jouce que al magistrado instructor no le interesaban los autom</w:t>
      </w:r>
      <w:r>
        <w:t>o</w:t>
      </w:r>
      <w:r>
        <w:t>tores y que cuando salieran los iban a “chupar”. Añadió que su c</w:t>
      </w:r>
      <w:r>
        <w:t>o</w:t>
      </w:r>
      <w:r>
        <w:t>careado le indicó que declare que habían arreglado la c</w:t>
      </w:r>
      <w:r>
        <w:t>a</w:t>
      </w:r>
      <w:r>
        <w:t>mioneta Trafic quemada y le dio a entender que si se pr</w:t>
      </w:r>
      <w:r>
        <w:t>o</w:t>
      </w:r>
      <w:r>
        <w:t>nunciaba de esa manera le entreg</w:t>
      </w:r>
      <w:r>
        <w:t>a</w:t>
      </w:r>
      <w:r>
        <w:t>ría un Renault 12 con el motor desarmado y un jeep a medio armar que tenía en el taller de Cotoras.</w:t>
      </w:r>
    </w:p>
    <w:p w:rsidR="00224567" w:rsidRDefault="00224567">
      <w:pPr>
        <w:pStyle w:val="Textoindependiente2"/>
        <w:widowControl w:val="0"/>
        <w:rPr>
          <w:rFonts w:ascii="Courier New" w:hAnsi="Courier New" w:cs="Courier New"/>
          <w:bCs/>
        </w:rPr>
      </w:pPr>
      <w:r>
        <w:rPr>
          <w:rFonts w:ascii="Courier New" w:hAnsi="Courier New" w:cs="Courier New"/>
          <w:szCs w:val="24"/>
          <w:lang w:val="es-AR"/>
        </w:rPr>
        <w:tab/>
        <w:t>En concordancia con los dichos de N</w:t>
      </w:r>
      <w:r>
        <w:rPr>
          <w:rFonts w:ascii="Courier New" w:hAnsi="Courier New" w:cs="Courier New"/>
          <w:szCs w:val="24"/>
          <w:lang w:val="es-AR"/>
        </w:rPr>
        <w:t>i</w:t>
      </w:r>
      <w:r>
        <w:rPr>
          <w:rFonts w:ascii="Courier New" w:hAnsi="Courier New" w:cs="Courier New"/>
          <w:szCs w:val="24"/>
          <w:lang w:val="es-AR"/>
        </w:rPr>
        <w:t xml:space="preserve">tzcaner, Carlos Osvaldo De Nápoli señaló que el nombrado le comentó que Telleldín le había ofrecido </w:t>
      </w:r>
      <w:r>
        <w:rPr>
          <w:rFonts w:ascii="Courier New" w:hAnsi="Courier New" w:cs="Courier New"/>
          <w:bCs/>
        </w:rPr>
        <w:t>dos vehículos para que dijera lo ya expresado.</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Telleldín negó ese ofrecimiento, a la vez que argumentó que nunca tuvo un jeep. Enfatizó que cuando estuvo detenido en el Departamento Protección del Orden Constitucional les indicó a todos los mecán</w:t>
      </w:r>
      <w:r>
        <w:rPr>
          <w:rFonts w:ascii="Courier New" w:hAnsi="Courier New" w:cs="Courier New"/>
          <w:szCs w:val="24"/>
          <w:lang w:val="es-AR"/>
        </w:rPr>
        <w:t>i</w:t>
      </w:r>
      <w:r>
        <w:rPr>
          <w:rFonts w:ascii="Courier New" w:hAnsi="Courier New" w:cs="Courier New"/>
          <w:szCs w:val="24"/>
          <w:lang w:val="es-AR"/>
        </w:rPr>
        <w:t>cos que dijeran la verdad, porque pensaba reconocer el tema aut</w:t>
      </w:r>
      <w:r>
        <w:rPr>
          <w:rFonts w:ascii="Courier New" w:hAnsi="Courier New" w:cs="Courier New"/>
          <w:szCs w:val="24"/>
          <w:lang w:val="es-AR"/>
        </w:rPr>
        <w:t>o</w:t>
      </w:r>
      <w:r>
        <w:rPr>
          <w:rFonts w:ascii="Courier New" w:hAnsi="Courier New" w:cs="Courier New"/>
          <w:szCs w:val="24"/>
          <w:lang w:val="es-AR"/>
        </w:rPr>
        <w:t>motor.</w:t>
      </w:r>
    </w:p>
    <w:p w:rsidR="00224567" w:rsidRDefault="00224567">
      <w:pPr>
        <w:widowControl w:val="0"/>
      </w:pPr>
      <w:r>
        <w:tab/>
        <w:t>Los acusadores, a efectos de suste</w:t>
      </w:r>
      <w:r>
        <w:t>n</w:t>
      </w:r>
      <w:r>
        <w:t>tar su pretensión, citan como elementos de cargo meras subj</w:t>
      </w:r>
      <w:r>
        <w:t>e</w:t>
      </w:r>
      <w:r>
        <w:t>tividades, las que, según afirman, demuestran la partic</w:t>
      </w:r>
      <w:r>
        <w:t>i</w:t>
      </w:r>
      <w:r>
        <w:t>pación de Telleldín en el hecho.</w:t>
      </w:r>
    </w:p>
    <w:p w:rsidR="00224567" w:rsidRDefault="00224567">
      <w:pPr>
        <w:widowControl w:val="0"/>
      </w:pPr>
      <w:r>
        <w:tab/>
        <w:t>No es misión del Tribunal la de reb</w:t>
      </w:r>
      <w:r>
        <w:t>a</w:t>
      </w:r>
      <w:r>
        <w:t>tir o encontrar explicación a cada uno de sus forzados r</w:t>
      </w:r>
      <w:r>
        <w:t>a</w:t>
      </w:r>
      <w:r>
        <w:t>zonamientos. Ello, por cuanto ese confuso modo de argume</w:t>
      </w:r>
      <w:r>
        <w:t>n</w:t>
      </w:r>
      <w:r>
        <w:t>tar de los acusadores, dentro del cual toda infere</w:t>
      </w:r>
      <w:r>
        <w:t>n</w:t>
      </w:r>
      <w:r>
        <w:t>cia es una prueba, obliga a rebatir circunstancias que nada d</w:t>
      </w:r>
      <w:r>
        <w:t>e</w:t>
      </w:r>
      <w:r>
        <w:t xml:space="preserve">muestran, invirtiendo, de tal modo, el </w:t>
      </w:r>
      <w:r>
        <w:rPr>
          <w:u w:val="single"/>
        </w:rPr>
        <w:t>onus pr</w:t>
      </w:r>
      <w:r>
        <w:rPr>
          <w:u w:val="single"/>
        </w:rPr>
        <w:t>o</w:t>
      </w:r>
      <w:r>
        <w:rPr>
          <w:u w:val="single"/>
        </w:rPr>
        <w:t>bandi</w:t>
      </w:r>
      <w:r>
        <w:t>.</w:t>
      </w:r>
    </w:p>
    <w:p w:rsidR="00224567" w:rsidRDefault="00224567">
      <w:pPr>
        <w:widowControl w:val="0"/>
      </w:pPr>
      <w:r>
        <w:tab/>
        <w:t>En efecto, el ofrecimiento que, s</w:t>
      </w:r>
      <w:r>
        <w:t>e</w:t>
      </w:r>
      <w:r>
        <w:t>gún refirieron, realizó Telleldín a Jouce y Nitzcaner, pudo obedecer a un sinnúmero de razones.</w:t>
      </w:r>
    </w:p>
    <w:p w:rsidR="00224567" w:rsidRDefault="00224567">
      <w:pPr>
        <w:widowControl w:val="0"/>
      </w:pPr>
      <w:r>
        <w:tab/>
        <w:t>Pero esa promesa no autoriza a con</w:t>
      </w:r>
      <w:r>
        <w:t>s</w:t>
      </w:r>
      <w:r>
        <w:t>truir un cuadro que demuestre la participación del ac</w:t>
      </w:r>
      <w:r>
        <w:t>u</w:t>
      </w:r>
      <w:r>
        <w:t>sado en el hecho, ni siquiera junto a los antes examinados, pues no convergen de manera unívoca en aquel sentido.</w:t>
      </w:r>
    </w:p>
    <w:p w:rsidR="00224567" w:rsidRDefault="00224567">
      <w:pPr>
        <w:widowControl w:val="0"/>
      </w:pPr>
      <w:r>
        <w:tab/>
        <w:t xml:space="preserve">Adviértase que, cualquiera fuera </w:t>
      </w:r>
      <w:smartTag w:uri="urn:schemas-microsoft-com:office:smarttags" w:element="PersonName">
        <w:smartTagPr>
          <w:attr w:name="ProductID" w:val="la Trafic"/>
        </w:smartTagPr>
        <w:r>
          <w:t>la Trafic</w:t>
        </w:r>
      </w:smartTag>
      <w:r>
        <w:t xml:space="preserve"> que estalló en la mutual, Telleldín igualmente s</w:t>
      </w:r>
      <w:r>
        <w:t>e</w:t>
      </w:r>
      <w:r>
        <w:t>guía vinculado por el número que lucía el motor e</w:t>
      </w:r>
      <w:r>
        <w:t>n</w:t>
      </w:r>
      <w:r>
        <w:t xml:space="preserve">contrado entre los escombros, que no era otro que el de </w:t>
      </w:r>
      <w:smartTag w:uri="urn:schemas-microsoft-com:office:smarttags" w:element="PersonName">
        <w:smartTagPr>
          <w:attr w:name="ProductID" w:val="la Trafic"/>
        </w:smartTagPr>
        <w:r>
          <w:t>la Trafic</w:t>
        </w:r>
      </w:smartTag>
      <w:r>
        <w:t xml:space="preserve"> incendiada de “Messin”. Más aún, en este pronunciamiento no se pudo establecer con certeza cuál fue la carrocería empleada, como tampoco lo hicieron los fiscales en el r</w:t>
      </w:r>
      <w:r>
        <w:t>e</w:t>
      </w:r>
      <w:r>
        <w:t>querimiento de elevación a juicio, ni las partes acusad</w:t>
      </w:r>
      <w:r>
        <w:t>o</w:t>
      </w:r>
      <w:r>
        <w:t>ras en el juicio oral.</w:t>
      </w:r>
    </w:p>
    <w:p w:rsidR="00224567" w:rsidRDefault="00224567">
      <w:pPr>
        <w:widowControl w:val="0"/>
      </w:pPr>
      <w:r>
        <w:tab/>
        <w:t>Resulta un vicio del razonamiento, c</w:t>
      </w:r>
      <w:r>
        <w:t>o</w:t>
      </w:r>
      <w:r>
        <w:t>mo bien lo ejemplificó el Dr. Poblete, atribuir una única dirección a todas las circunstancias que concurren en un caso, sin efectuar un juicio crítico de ellas, tal como aconteció en la especie, en la que qu</w:t>
      </w:r>
      <w:r>
        <w:t>e</w:t>
      </w:r>
      <w:r>
        <w:t>rellantes y fiscales las interpretaron en un solo sentido, obviando todas aqu</w:t>
      </w:r>
      <w:r>
        <w:t>e</w:t>
      </w:r>
      <w:r>
        <w:t>llas interpretaciones que no confirmaran la premisa a la que aspiraban llegar.</w:t>
      </w:r>
    </w:p>
    <w:p w:rsidR="00224567" w:rsidRDefault="00224567">
      <w:pPr>
        <w:pStyle w:val="Ttulo4"/>
        <w:keepNext w:val="0"/>
        <w:widowControl w:val="0"/>
        <w:spacing w:line="600" w:lineRule="auto"/>
      </w:pPr>
      <w:r>
        <w:tab/>
      </w:r>
      <w:bookmarkStart w:id="61" w:name="_Toc86676577"/>
      <w:r>
        <w:t>B.7) Relación Rabbani – Telleldín.</w:t>
      </w:r>
      <w:bookmarkEnd w:id="61"/>
    </w:p>
    <w:p w:rsidR="00224567" w:rsidRDefault="00224567">
      <w:pPr>
        <w:widowControl w:val="0"/>
      </w:pPr>
      <w:r>
        <w:tab/>
      </w:r>
      <w:r>
        <w:rPr>
          <w:b/>
          <w:bCs/>
        </w:rPr>
        <w:t xml:space="preserve">B.7.a) </w:t>
      </w:r>
      <w:r>
        <w:t>En su alegato, la fiscalía tr</w:t>
      </w:r>
      <w:r>
        <w:t>a</w:t>
      </w:r>
      <w:r>
        <w:t>jo a colación, a efectos de dar basamento a la particip</w:t>
      </w:r>
      <w:r>
        <w:t>a</w:t>
      </w:r>
      <w:r>
        <w:t>ción de Telleldín en el atentado, los dichos de Alfredo Roberto Perona, quien relató que en una oportunidad, e</w:t>
      </w:r>
      <w:r>
        <w:t>s</w:t>
      </w:r>
      <w:r>
        <w:t>tando en la mezquita donde Rabbani era sheik, escuchó una conversación entre tres personas, en la que una mujer r</w:t>
      </w:r>
      <w:r>
        <w:t>e</w:t>
      </w:r>
      <w:r>
        <w:t>prochaba a Rabbani lo sucedido “por manejar caprichosame</w:t>
      </w:r>
      <w:r>
        <w:t>n</w:t>
      </w:r>
      <w:r>
        <w:t>te las cosas” y que él se había mandado “la macana con ese T</w:t>
      </w:r>
      <w:r>
        <w:t>e</w:t>
      </w:r>
      <w:r>
        <w:t>lleldín y con los Haddad”.</w:t>
      </w:r>
    </w:p>
    <w:p w:rsidR="00224567" w:rsidRDefault="00224567">
      <w:pPr>
        <w:widowControl w:val="0"/>
      </w:pPr>
      <w:r>
        <w:tab/>
      </w:r>
      <w:r>
        <w:rPr>
          <w:b/>
          <w:bCs/>
        </w:rPr>
        <w:t xml:space="preserve">B.7.b) </w:t>
      </w:r>
      <w:r>
        <w:t>Al respecto, el Tribunal e</w:t>
      </w:r>
      <w:r>
        <w:t>n</w:t>
      </w:r>
      <w:r>
        <w:t>tiende que no cabe hacer consideración alguna con rel</w:t>
      </w:r>
      <w:r>
        <w:t>a</w:t>
      </w:r>
      <w:r>
        <w:t>ción a tales manifestaciones, por cua</w:t>
      </w:r>
      <w:r>
        <w:t>n</w:t>
      </w:r>
      <w:r>
        <w:t>to ellas carecen de todo valor convictivo; máxime cuando, como se explica en otro apartado de la presente, sus dichos determinaron que sea denunciado por el presunto delito de falso testim</w:t>
      </w:r>
      <w:r>
        <w:t>o</w:t>
      </w:r>
      <w:r>
        <w:t>nio.</w:t>
      </w:r>
    </w:p>
    <w:p w:rsidR="00224567" w:rsidRDefault="00224567">
      <w:pPr>
        <w:pStyle w:val="Ttulo4"/>
        <w:keepNext w:val="0"/>
        <w:widowControl w:val="0"/>
        <w:spacing w:line="600" w:lineRule="auto"/>
      </w:pPr>
      <w:r>
        <w:tab/>
      </w:r>
      <w:bookmarkStart w:id="62" w:name="_Toc86676578"/>
      <w:r>
        <w:t>B.8) Consideraciones generales de las partes.</w:t>
      </w:r>
      <w:bookmarkEnd w:id="62"/>
    </w:p>
    <w:p w:rsidR="00224567" w:rsidRDefault="00224567">
      <w:pPr>
        <w:widowControl w:val="0"/>
      </w:pPr>
      <w:r>
        <w:tab/>
      </w:r>
      <w:r>
        <w:rPr>
          <w:b/>
          <w:bCs/>
        </w:rPr>
        <w:t>B.8.a)</w:t>
      </w:r>
      <w:r>
        <w:t xml:space="preserve"> El Ministerio Público Fiscal entendió que el compromiso de Telleldín con el atentado se limitó al aporte de sus conocimientos técnicos y que éste debió evaluar cuál era su cometido y cuál la fin</w:t>
      </w:r>
      <w:r>
        <w:t>a</w:t>
      </w:r>
      <w:r>
        <w:t>lidad del comitente, no pudiendo un individuo de su experiencia de</w:t>
      </w:r>
      <w:r>
        <w:t>s</w:t>
      </w:r>
      <w:r>
        <w:t>conocer que no se trataba de un mero e</w:t>
      </w:r>
      <w:r>
        <w:t>n</w:t>
      </w:r>
      <w:r>
        <w:t>cargue para obtener un vehículo, sino que éste debía poseer características especiales, que tornara probable su utilización en un il</w:t>
      </w:r>
      <w:r>
        <w:t>í</w:t>
      </w:r>
      <w:r>
        <w:t>cito.</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Los fiscales consideraron que se in</w:t>
      </w:r>
      <w:r>
        <w:rPr>
          <w:rFonts w:ascii="Courier New" w:hAnsi="Courier New" w:cs="Courier New"/>
          <w:szCs w:val="24"/>
          <w:lang w:val="es-AR"/>
        </w:rPr>
        <w:t>s</w:t>
      </w:r>
      <w:r>
        <w:rPr>
          <w:rFonts w:ascii="Courier New" w:hAnsi="Courier New" w:cs="Courier New"/>
          <w:szCs w:val="24"/>
          <w:lang w:val="es-AR"/>
        </w:rPr>
        <w:t>truyó al encartado acerca de las características gen</w:t>
      </w:r>
      <w:r>
        <w:rPr>
          <w:rFonts w:ascii="Courier New" w:hAnsi="Courier New" w:cs="Courier New"/>
          <w:szCs w:val="24"/>
          <w:lang w:val="es-AR"/>
        </w:rPr>
        <w:t>e</w:t>
      </w:r>
      <w:r>
        <w:rPr>
          <w:rFonts w:ascii="Courier New" w:hAnsi="Courier New" w:cs="Courier New"/>
          <w:szCs w:val="24"/>
          <w:lang w:val="es-AR"/>
        </w:rPr>
        <w:t>rales del acondicionamiento de la camioneta y que, por las pa</w:t>
      </w:r>
      <w:r>
        <w:rPr>
          <w:rFonts w:ascii="Courier New" w:hAnsi="Courier New" w:cs="Courier New"/>
          <w:szCs w:val="24"/>
          <w:lang w:val="es-AR"/>
        </w:rPr>
        <w:t>r</w:t>
      </w:r>
      <w:r>
        <w:rPr>
          <w:rFonts w:ascii="Courier New" w:hAnsi="Courier New" w:cs="Courier New"/>
          <w:szCs w:val="24"/>
          <w:lang w:val="es-AR"/>
        </w:rPr>
        <w:t>ticularidades propias del explosivo a transportar, se le debieron precisar las cualidades del eleme</w:t>
      </w:r>
      <w:r>
        <w:rPr>
          <w:rFonts w:ascii="Courier New" w:hAnsi="Courier New" w:cs="Courier New"/>
          <w:szCs w:val="24"/>
          <w:lang w:val="es-AR"/>
        </w:rPr>
        <w:t>n</w:t>
      </w:r>
      <w:r>
        <w:rPr>
          <w:rFonts w:ascii="Courier New" w:hAnsi="Courier New" w:cs="Courier New"/>
          <w:szCs w:val="24"/>
          <w:lang w:val="es-AR"/>
        </w:rPr>
        <w:t>to a utilizar. En definitiva, sostuvieron que Telleldín sabía qué habría de transportarse en el rodado, repr</w:t>
      </w:r>
      <w:r>
        <w:rPr>
          <w:rFonts w:ascii="Courier New" w:hAnsi="Courier New" w:cs="Courier New"/>
          <w:szCs w:val="24"/>
          <w:lang w:val="es-AR"/>
        </w:rPr>
        <w:t>e</w:t>
      </w:r>
      <w:r>
        <w:rPr>
          <w:rFonts w:ascii="Courier New" w:hAnsi="Courier New" w:cs="Courier New"/>
          <w:szCs w:val="24"/>
          <w:lang w:val="es-AR"/>
        </w:rPr>
        <w:t>sentándose así que su destino final era ocasionar mue</w:t>
      </w:r>
      <w:r>
        <w:rPr>
          <w:rFonts w:ascii="Courier New" w:hAnsi="Courier New" w:cs="Courier New"/>
          <w:szCs w:val="24"/>
          <w:lang w:val="es-AR"/>
        </w:rPr>
        <w:t>r</w:t>
      </w:r>
      <w:r>
        <w:rPr>
          <w:rFonts w:ascii="Courier New" w:hAnsi="Courier New" w:cs="Courier New"/>
          <w:szCs w:val="24"/>
          <w:lang w:val="es-AR"/>
        </w:rPr>
        <w:t>tes.</w:t>
      </w:r>
    </w:p>
    <w:p w:rsidR="00224567" w:rsidRDefault="00224567">
      <w:pPr>
        <w:widowControl w:val="0"/>
      </w:pPr>
      <w:r>
        <w:tab/>
        <w:t>Concluyeron que los elementos colect</w:t>
      </w:r>
      <w:r>
        <w:t>a</w:t>
      </w:r>
      <w:r>
        <w:t>dos en autos resultaban suficientemente idóneos para acr</w:t>
      </w:r>
      <w:r>
        <w:t>e</w:t>
      </w:r>
      <w:r>
        <w:t>ditar el dolo.</w:t>
      </w:r>
    </w:p>
    <w:p w:rsidR="00224567" w:rsidRDefault="00224567">
      <w:pPr>
        <w:widowControl w:val="0"/>
        <w:ind w:firstLine="2835"/>
        <w:rPr>
          <w:bCs/>
        </w:rPr>
      </w:pPr>
      <w:r>
        <w:rPr>
          <w:b/>
          <w:bCs/>
        </w:rPr>
        <w:t>B.8.b)</w:t>
      </w:r>
      <w:r>
        <w:t xml:space="preserve"> Al respecto, los representa</w:t>
      </w:r>
      <w:r>
        <w:t>n</w:t>
      </w:r>
      <w:r>
        <w:t xml:space="preserve">tes de la querella unificada D.A.I.A., A.M.I.A. y “Grupo de Familiares” señalaron, al </w:t>
      </w:r>
      <w:r>
        <w:rPr>
          <w:bCs/>
        </w:rPr>
        <w:t>analizar la exigencia subj</w:t>
      </w:r>
      <w:r>
        <w:rPr>
          <w:bCs/>
        </w:rPr>
        <w:t>e</w:t>
      </w:r>
      <w:r>
        <w:rPr>
          <w:bCs/>
        </w:rPr>
        <w:t>tiva del tipo penal imputado, que resultaba elemental determ</w:t>
      </w:r>
      <w:r>
        <w:rPr>
          <w:bCs/>
        </w:rPr>
        <w:t>i</w:t>
      </w:r>
      <w:r>
        <w:rPr>
          <w:bCs/>
        </w:rPr>
        <w:t>nar que un hecho terrorista se ejecutaba con una estruct</w:t>
      </w:r>
      <w:r>
        <w:rPr>
          <w:bCs/>
        </w:rPr>
        <w:t>u</w:t>
      </w:r>
      <w:r>
        <w:rPr>
          <w:bCs/>
        </w:rPr>
        <w:t>ra celular en la que los partícipes que no apo</w:t>
      </w:r>
      <w:r>
        <w:rPr>
          <w:bCs/>
        </w:rPr>
        <w:t>r</w:t>
      </w:r>
      <w:r>
        <w:rPr>
          <w:bCs/>
        </w:rPr>
        <w:t>taban a la ejecución final tenían una suerte de “visión bulto”, i</w:t>
      </w:r>
      <w:r>
        <w:rPr>
          <w:bCs/>
        </w:rPr>
        <w:t>m</w:t>
      </w:r>
      <w:r>
        <w:rPr>
          <w:bCs/>
        </w:rPr>
        <w:t>precisa, de lo que sería el objetivo final.</w:t>
      </w:r>
    </w:p>
    <w:p w:rsidR="00224567" w:rsidRDefault="00224567">
      <w:pPr>
        <w:pStyle w:val="Textoindependiente2"/>
        <w:widowControl w:val="0"/>
        <w:rPr>
          <w:rFonts w:ascii="Courier New" w:hAnsi="Courier New" w:cs="Courier New"/>
          <w:bCs/>
          <w:szCs w:val="24"/>
          <w:lang w:val="es-AR"/>
        </w:rPr>
      </w:pPr>
      <w:r>
        <w:rPr>
          <w:rFonts w:ascii="Courier New" w:hAnsi="Courier New" w:cs="Courier New"/>
          <w:bCs/>
          <w:szCs w:val="24"/>
          <w:lang w:val="es-AR"/>
        </w:rPr>
        <w:tab/>
        <w:t>Sostuvieron que, de aceptarse que no era casual lo acreditado en esta causa, Ribelli fue esc</w:t>
      </w:r>
      <w:r>
        <w:rPr>
          <w:rFonts w:ascii="Courier New" w:hAnsi="Courier New" w:cs="Courier New"/>
          <w:bCs/>
          <w:szCs w:val="24"/>
          <w:lang w:val="es-AR"/>
        </w:rPr>
        <w:t>o</w:t>
      </w:r>
      <w:r>
        <w:rPr>
          <w:rFonts w:ascii="Courier New" w:hAnsi="Courier New" w:cs="Courier New"/>
          <w:bCs/>
          <w:szCs w:val="24"/>
          <w:lang w:val="es-AR"/>
        </w:rPr>
        <w:t>gido por su perfil y éste, a su vez, eligió a Telleldín por el mismo motivo, siendo ambos funcionales al plan, por lo que no podían ignorar a qué estaban contribuyendo; el primero, por los contactos que debió tener con los ejec</w:t>
      </w:r>
      <w:r>
        <w:rPr>
          <w:rFonts w:ascii="Courier New" w:hAnsi="Courier New" w:cs="Courier New"/>
          <w:bCs/>
          <w:szCs w:val="24"/>
          <w:lang w:val="es-AR"/>
        </w:rPr>
        <w:t>u</w:t>
      </w:r>
      <w:r>
        <w:rPr>
          <w:rFonts w:ascii="Courier New" w:hAnsi="Courier New" w:cs="Courier New"/>
          <w:bCs/>
          <w:szCs w:val="24"/>
          <w:lang w:val="es-AR"/>
        </w:rPr>
        <w:t>tores y, el segundo, porque alguna e</w:t>
      </w:r>
      <w:r>
        <w:rPr>
          <w:rFonts w:ascii="Courier New" w:hAnsi="Courier New" w:cs="Courier New"/>
          <w:bCs/>
          <w:szCs w:val="24"/>
          <w:lang w:val="es-AR"/>
        </w:rPr>
        <w:t>x</w:t>
      </w:r>
      <w:r>
        <w:rPr>
          <w:rFonts w:ascii="Courier New" w:hAnsi="Courier New" w:cs="Courier New"/>
          <w:bCs/>
          <w:szCs w:val="24"/>
          <w:lang w:val="es-AR"/>
        </w:rPr>
        <w:t>plicación debió haber recibido, así como también por su experiencia con rodados. Concluyeron que la camioneta que Telleldín “anunció” no fue la que entregó o, por lo menos, no fue la que e</w:t>
      </w:r>
      <w:r>
        <w:rPr>
          <w:rFonts w:ascii="Courier New" w:hAnsi="Courier New" w:cs="Courier New"/>
          <w:bCs/>
          <w:szCs w:val="24"/>
          <w:lang w:val="es-AR"/>
        </w:rPr>
        <w:t>x</w:t>
      </w:r>
      <w:r>
        <w:rPr>
          <w:rFonts w:ascii="Courier New" w:hAnsi="Courier New" w:cs="Courier New"/>
          <w:bCs/>
          <w:szCs w:val="24"/>
          <w:lang w:val="es-AR"/>
        </w:rPr>
        <w:t xml:space="preserve">plotó en la sede de </w:t>
      </w:r>
      <w:smartTag w:uri="urn:schemas-microsoft-com:office:smarttags" w:element="PersonName">
        <w:smartTagPr>
          <w:attr w:name="ProductID" w:val="la A.M"/>
        </w:smartTagPr>
        <w:r>
          <w:rPr>
            <w:rFonts w:ascii="Courier New" w:hAnsi="Courier New" w:cs="Courier New"/>
            <w:bCs/>
            <w:szCs w:val="24"/>
            <w:lang w:val="es-AR"/>
          </w:rPr>
          <w:t>la A.M</w:t>
        </w:r>
      </w:smartTag>
      <w:r>
        <w:rPr>
          <w:rFonts w:ascii="Courier New" w:hAnsi="Courier New" w:cs="Courier New"/>
          <w:bCs/>
          <w:szCs w:val="24"/>
          <w:lang w:val="es-AR"/>
        </w:rPr>
        <w:t>.I.A.</w:t>
      </w:r>
    </w:p>
    <w:p w:rsidR="00224567" w:rsidRDefault="00224567">
      <w:pPr>
        <w:widowControl w:val="0"/>
        <w:rPr>
          <w:bCs/>
        </w:rPr>
      </w:pPr>
      <w:r>
        <w:rPr>
          <w:bCs/>
        </w:rPr>
        <w:tab/>
        <w:t>Asimismo, entendieron que el comport</w:t>
      </w:r>
      <w:r>
        <w:rPr>
          <w:bCs/>
        </w:rPr>
        <w:t>a</w:t>
      </w:r>
      <w:r>
        <w:rPr>
          <w:bCs/>
        </w:rPr>
        <w:t>miento de Telleldín y los policías bonaerenses acusados como partícipes del atentado, antes, durante y de</w:t>
      </w:r>
      <w:r>
        <w:rPr>
          <w:bCs/>
        </w:rPr>
        <w:t>s</w:t>
      </w:r>
      <w:r>
        <w:rPr>
          <w:bCs/>
        </w:rPr>
        <w:t>pués del hecho, constituía la expresión de su criminal decisión, agregando que, acreditado el conocimie</w:t>
      </w:r>
      <w:r>
        <w:rPr>
          <w:bCs/>
        </w:rPr>
        <w:t>n</w:t>
      </w:r>
      <w:r>
        <w:rPr>
          <w:bCs/>
        </w:rPr>
        <w:t>to, aparecía claro el dolo eventual.</w:t>
      </w:r>
    </w:p>
    <w:p w:rsidR="00224567" w:rsidRDefault="00224567">
      <w:pPr>
        <w:widowControl w:val="0"/>
      </w:pPr>
      <w:r>
        <w:tab/>
      </w:r>
      <w:r>
        <w:rPr>
          <w:b/>
          <w:bCs/>
        </w:rPr>
        <w:t>B.8.c)</w:t>
      </w:r>
      <w:r>
        <w:t xml:space="preserve"> Por su parte, el represe</w:t>
      </w:r>
      <w:r>
        <w:t>n</w:t>
      </w:r>
      <w:r>
        <w:t>tante de la querella “Memoria Activa” consideró que Telleldín sabía que entregaba una camioneta especialmente prep</w:t>
      </w:r>
      <w:r>
        <w:t>a</w:t>
      </w:r>
      <w:r>
        <w:t>rada para contener el explosivo y detonar, pero no que su de</w:t>
      </w:r>
      <w:r>
        <w:t>s</w:t>
      </w:r>
      <w:r>
        <w:t xml:space="preserve">tino final era la sede de </w:t>
      </w:r>
      <w:smartTag w:uri="urn:schemas-microsoft-com:office:smarttags" w:element="PersonName">
        <w:smartTagPr>
          <w:attr w:name="ProductID" w:val="la A.M"/>
        </w:smartTagPr>
        <w:r>
          <w:t>la A.M</w:t>
        </w:r>
      </w:smartTag>
      <w:r>
        <w:t>.I.A. En tal sentido, e</w:t>
      </w:r>
      <w:r>
        <w:t>s</w:t>
      </w:r>
      <w:r>
        <w:t>timó que el día del hecho, a través de la tel</w:t>
      </w:r>
      <w:r>
        <w:t>e</w:t>
      </w:r>
      <w:r>
        <w:t>visión, supo con detalle en qué había participado, su magnitud y tuvo la certeza de encontrarse involucr</w:t>
      </w:r>
      <w:r>
        <w:t>a</w:t>
      </w:r>
      <w:r>
        <w:t>do.</w:t>
      </w:r>
    </w:p>
    <w:p w:rsidR="00224567" w:rsidRDefault="00224567">
      <w:pPr>
        <w:widowControl w:val="0"/>
      </w:pPr>
      <w:r>
        <w:tab/>
        <w:t>Entendió que el hecho de que Telle</w:t>
      </w:r>
      <w:r>
        <w:t>l</w:t>
      </w:r>
      <w:r>
        <w:t>dín hubiera colocado un motor de otro vehículo para que, eve</w:t>
      </w:r>
      <w:r>
        <w:t>n</w:t>
      </w:r>
      <w:r>
        <w:t>tualmente, no pudiera ser identificado, resultaba suf</w:t>
      </w:r>
      <w:r>
        <w:t>i</w:t>
      </w:r>
      <w:r>
        <w:t>ciente para demostrar que tuvo la idea de que sería e</w:t>
      </w:r>
      <w:r>
        <w:t>m</w:t>
      </w:r>
      <w:r>
        <w:t>pleado en un hecho delictivo, en tanto que el acondicion</w:t>
      </w:r>
      <w:r>
        <w:t>a</w:t>
      </w:r>
      <w:r>
        <w:t>miento de la camioneta -refuerzo de la estructura y ele</w:t>
      </w:r>
      <w:r>
        <w:t>c</w:t>
      </w:r>
      <w:r>
        <w:t>ción de una carrocería cerrada- evide</w:t>
      </w:r>
      <w:r>
        <w:t>n</w:t>
      </w:r>
      <w:r>
        <w:t>ciaba que la entregó para transportar explos</w:t>
      </w:r>
      <w:r>
        <w:t>i</w:t>
      </w:r>
      <w:r>
        <w:t>vos.</w:t>
      </w:r>
    </w:p>
    <w:p w:rsidR="00224567" w:rsidRDefault="00224567">
      <w:pPr>
        <w:widowControl w:val="0"/>
      </w:pPr>
      <w:r>
        <w:tab/>
        <w:t>En consecuencia, el apoderado de la querella “Memoria Activa” afirmó que a Telleldín el resu</w:t>
      </w:r>
      <w:r>
        <w:t>l</w:t>
      </w:r>
      <w:r>
        <w:t>tado no le era ajeno, al menos en cuanto a representarse que estaba participando en un atentado por medio de una explosión que, por su magnitud, necesariamente debía pr</w:t>
      </w:r>
      <w:r>
        <w:t>o</w:t>
      </w:r>
      <w:r>
        <w:t>ducir las muertes y daños que ocasionó.</w:t>
      </w:r>
    </w:p>
    <w:p w:rsidR="00224567" w:rsidRDefault="00224567">
      <w:pPr>
        <w:widowControl w:val="0"/>
        <w:ind w:firstLine="2835"/>
      </w:pPr>
      <w:r>
        <w:t>Acotó que, si pese a lo expuesto, e</w:t>
      </w:r>
      <w:r>
        <w:t>n</w:t>
      </w:r>
      <w:r>
        <w:t>tregó la camioneta, no le importó lo que pudiese suceder con ella, aceptando los resultados directos y col</w:t>
      </w:r>
      <w:r>
        <w:t>a</w:t>
      </w:r>
      <w:r>
        <w:t>terales. Restó relevancia al conocimiento que Telleldín pudiera t</w:t>
      </w:r>
      <w:r>
        <w:t>e</w:t>
      </w:r>
      <w:r>
        <w:t>ner de la dirección a la que el utilitario se dirigía o quién lo conducía, a la vez que indicó que su finalidad era la obtención de un lucro o provecho ec</w:t>
      </w:r>
      <w:r>
        <w:t>o</w:t>
      </w:r>
      <w:r>
        <w:t>nómico.</w:t>
      </w:r>
    </w:p>
    <w:p w:rsidR="00224567" w:rsidRDefault="00224567">
      <w:pPr>
        <w:widowControl w:val="0"/>
      </w:pPr>
      <w:r>
        <w:tab/>
        <w:t>Estimó el letrado que Telleldín obró con dolo eventual, por cuando conocía los factores de riesgo, pero se condujo con indiferencia y desprecio hacia bienes jurídicos ajenos. A tales efectos, explicó que existían dos reglas para la prueba del dolo eventual con el que Telle</w:t>
      </w:r>
      <w:r>
        <w:t>l</w:t>
      </w:r>
      <w:r>
        <w:t>dín actuó; la primera, aquella según la cual “si en un sujeto concurren determinadas características personales y ocupa determinada posición social, esto lleva a imputarle todos aquellos conocimientos cuya ausencia h</w:t>
      </w:r>
      <w:r>
        <w:t>a</w:t>
      </w:r>
      <w:r>
        <w:t>ría impensable socialmente que reuniera en su persona t</w:t>
      </w:r>
      <w:r>
        <w:t>a</w:t>
      </w:r>
      <w:r>
        <w:t>les características o que ocupara tales posiciones” (sic).</w:t>
      </w:r>
    </w:p>
    <w:p w:rsidR="00224567" w:rsidRDefault="00224567">
      <w:pPr>
        <w:widowControl w:val="0"/>
      </w:pPr>
      <w:r>
        <w:tab/>
        <w:t>La segunda, expresó, indica que “si con anterioridad a la realización de un comportamiento p</w:t>
      </w:r>
      <w:r>
        <w:t>e</w:t>
      </w:r>
      <w:r>
        <w:t>nalmente relevante, a su autor se le han transmitido d</w:t>
      </w:r>
      <w:r>
        <w:t>e</w:t>
      </w:r>
      <w:r>
        <w:t>terminados conocimientos, él cuenta con ellos al momento posterior en que efectivamente lleva a cabo esa condu</w:t>
      </w:r>
      <w:r>
        <w:t>c</w:t>
      </w:r>
      <w:r>
        <w:t>ta” (sic).</w:t>
      </w:r>
    </w:p>
    <w:p w:rsidR="00224567" w:rsidRDefault="00224567">
      <w:pPr>
        <w:widowControl w:val="0"/>
      </w:pPr>
      <w:r>
        <w:tab/>
        <w:t>Añadió el Dr. Jacoby que para la ép</w:t>
      </w:r>
      <w:r>
        <w:t>o</w:t>
      </w:r>
      <w:r>
        <w:t xml:space="preserve">ca del atentado a </w:t>
      </w:r>
      <w:smartTag w:uri="urn:schemas-microsoft-com:office:smarttags" w:element="PersonName">
        <w:smartTagPr>
          <w:attr w:name="ProductID" w:val="la A.M"/>
        </w:smartTagPr>
        <w:r>
          <w:t>la A.M</w:t>
        </w:r>
      </w:smartTag>
      <w:r>
        <w:t>.I.A. aún estaba muy fresco el r</w:t>
      </w:r>
      <w:r>
        <w:t>e</w:t>
      </w:r>
      <w:r>
        <w:t>cuerdo de lo suc</w:t>
      </w:r>
      <w:r>
        <w:t>e</w:t>
      </w:r>
      <w:r>
        <w:t xml:space="preserve">dido en </w:t>
      </w:r>
      <w:smartTag w:uri="urn:schemas-microsoft-com:office:smarttags" w:element="PersonName">
        <w:smartTagPr>
          <w:attr w:name="ProductID" w:val="la Embajada"/>
        </w:smartTagPr>
        <w:r>
          <w:t>la Embajada</w:t>
        </w:r>
      </w:smartTag>
      <w:r>
        <w:t xml:space="preserve"> de Israel, en el que también se utilizó una camioneta, por lo que co</w:t>
      </w:r>
      <w:r>
        <w:t>n</w:t>
      </w:r>
      <w:r>
        <w:t>cluyó que la solicitud de un vehículo con cobertura p</w:t>
      </w:r>
      <w:r>
        <w:t>a</w:t>
      </w:r>
      <w:r>
        <w:t>ra transportar una carga de explosivos debió</w:t>
      </w:r>
      <w:r>
        <w:rPr>
          <w:b/>
          <w:bCs/>
        </w:rPr>
        <w:t xml:space="preserve"> </w:t>
      </w:r>
      <w:r>
        <w:t>despertar en Telleldín un alerta acerca de la posibilidad de un segundo atentado, siendo ese el dolo con el que a</w:t>
      </w:r>
      <w:r>
        <w:t>c</w:t>
      </w:r>
      <w:r>
        <w:t>tuó al momento de efectuar su contr</w:t>
      </w:r>
      <w:r>
        <w:t>i</w:t>
      </w:r>
      <w:r>
        <w:t>bución.</w:t>
      </w:r>
    </w:p>
    <w:p w:rsidR="00224567" w:rsidRDefault="00224567">
      <w:pPr>
        <w:widowControl w:val="0"/>
        <w:ind w:firstLine="2835"/>
      </w:pPr>
      <w:r>
        <w:t>Por último, aseguró que el imputado tuvo dominio de su aporte, pero no del hecho. Adunó que “debe valorarse la intensidad objetiva del aporte y bajo ese prisma surge con nitidez la trascendencia de una c</w:t>
      </w:r>
      <w:r>
        <w:t>a</w:t>
      </w:r>
      <w:r>
        <w:t>mioneta cargada con explosivos para derrumbar, explosión mediante, un edificio; hablamos de la camioneta utilizada, obtenida, acondicionada y suministrada por Telleldín. Lu</w:t>
      </w:r>
      <w:r>
        <w:t>e</w:t>
      </w:r>
      <w:r>
        <w:t>go, la contribución de Telleldín fue indispensable, prim</w:t>
      </w:r>
      <w:r>
        <w:t>a</w:t>
      </w:r>
      <w:r>
        <w:t>ria, en el acontecimie</w:t>
      </w:r>
      <w:r>
        <w:t>n</w:t>
      </w:r>
      <w:r>
        <w:t>to” (sic).</w:t>
      </w:r>
    </w:p>
    <w:p w:rsidR="00224567" w:rsidRDefault="00224567">
      <w:pPr>
        <w:widowControl w:val="0"/>
      </w:pPr>
      <w:r>
        <w:tab/>
        <w:t>Con relación al ánimo de lucro aleg</w:t>
      </w:r>
      <w:r>
        <w:t>a</w:t>
      </w:r>
      <w:r>
        <w:t>do, en su réplica, el Dr. Jacoby sostuvo que del b</w:t>
      </w:r>
      <w:r>
        <w:t>o</w:t>
      </w:r>
      <w:r>
        <w:t xml:space="preserve">leto de compraventa de </w:t>
      </w:r>
      <w:smartTag w:uri="urn:schemas-microsoft-com:office:smarttags" w:element="PersonName">
        <w:smartTagPr>
          <w:attr w:name="ProductID" w:val="la Trafic"/>
        </w:smartTagPr>
        <w:r>
          <w:t>la Trafic</w:t>
        </w:r>
      </w:smartTag>
      <w:r>
        <w:t xml:space="preserve"> surgía que la operación fue a t</w:t>
      </w:r>
      <w:r>
        <w:t>í</w:t>
      </w:r>
      <w:r>
        <w:t>tulo oneroso, habiendo aceptado Telleldín dinero sin pe</w:t>
      </w:r>
      <w:r>
        <w:t>n</w:t>
      </w:r>
      <w:r>
        <w:t>sar o desinteresándose de las consecuencias de su obrar. Agregó que el beneficio económico estaba dado, au</w:t>
      </w:r>
      <w:r>
        <w:t>n</w:t>
      </w:r>
      <w:r>
        <w:t>que más no fuera, por los USD 11.000 que la fraudulenta operación le r</w:t>
      </w:r>
      <w:r>
        <w:t>e</w:t>
      </w:r>
      <w:r>
        <w:t>portó.</w:t>
      </w:r>
    </w:p>
    <w:p w:rsidR="00224567" w:rsidRDefault="00224567">
      <w:pPr>
        <w:widowControl w:val="0"/>
      </w:pPr>
      <w:r>
        <w:tab/>
      </w:r>
      <w:r>
        <w:rPr>
          <w:b/>
          <w:bCs/>
        </w:rPr>
        <w:t>B.8.d)</w:t>
      </w:r>
      <w:r>
        <w:t xml:space="preserve"> A la hora de alegar, la defe</w:t>
      </w:r>
      <w:r>
        <w:t>n</w:t>
      </w:r>
      <w:r>
        <w:t>sa de Carlos Alberto Telleldín entendió que no existía ning</w:t>
      </w:r>
      <w:r>
        <w:t>u</w:t>
      </w:r>
      <w:r>
        <w:t>na prueba para acreditar que el nombrado conocía el de</w:t>
      </w:r>
      <w:r>
        <w:t>s</w:t>
      </w:r>
      <w:r>
        <w:t>tino de la camioneta  que vendió ni que  quería o conse</w:t>
      </w:r>
      <w:r>
        <w:t>n</w:t>
      </w:r>
      <w:r>
        <w:t>tía –ni s</w:t>
      </w:r>
      <w:r>
        <w:t>i</w:t>
      </w:r>
      <w:r>
        <w:t>quiera que le era indiferente- que con esa venta se produjera la muerte de 85 personas, lesiones y d</w:t>
      </w:r>
      <w:r>
        <w:t>a</w:t>
      </w:r>
      <w:r>
        <w:t>ños.</w:t>
      </w:r>
    </w:p>
    <w:p w:rsidR="00224567" w:rsidRDefault="00224567">
      <w:pPr>
        <w:widowControl w:val="0"/>
      </w:pPr>
      <w:r>
        <w:tab/>
        <w:t>Consideró que ni la fiscalía ni las querellas pudieron definir el hecho imputado, esbozá</w:t>
      </w:r>
      <w:r>
        <w:t>n</w:t>
      </w:r>
      <w:r>
        <w:t>dose así tres hipótesis que impedían arribar a una certeza acerca de la forma en que ocurrieron los hechos. Estimó que ante la carencia de una acusación uniforme acerca de las circunstancias de tiempo, modo y lugar que r</w:t>
      </w:r>
      <w:r>
        <w:t>o</w:t>
      </w:r>
      <w:r>
        <w:t>dearon lo acontecido el 10 de julio de 1994 y, desde esa fecha, ha</w:t>
      </w:r>
      <w:r>
        <w:t>s</w:t>
      </w:r>
      <w:r>
        <w:t>ta el 18 de ese mes, resultaba imposible concluir que existió una co</w:t>
      </w:r>
      <w:r>
        <w:t>n</w:t>
      </w:r>
      <w:r>
        <w:t>ducta dolosa.</w:t>
      </w:r>
    </w:p>
    <w:p w:rsidR="00224567" w:rsidRDefault="00224567">
      <w:pPr>
        <w:widowControl w:val="0"/>
      </w:pPr>
      <w:r>
        <w:tab/>
        <w:t>Además, sostuvo que no se podía adj</w:t>
      </w:r>
      <w:r>
        <w:t>u</w:t>
      </w:r>
      <w:r>
        <w:t>dicar algún grado de participación mediante dolo eve</w:t>
      </w:r>
      <w:r>
        <w:t>n</w:t>
      </w:r>
      <w:r>
        <w:t>tual, sustentado en una suerte de obligación del imputado de r</w:t>
      </w:r>
      <w:r>
        <w:t>e</w:t>
      </w:r>
      <w:r>
        <w:t>presentarse un resultado, aún menos de dolo directo. Pu</w:t>
      </w:r>
      <w:r>
        <w:t>n</w:t>
      </w:r>
      <w:r>
        <w:t>tualizó que el refuerzo de elásticos no podía llevar a concluir que la camioneta sería utilizada para un atent</w:t>
      </w:r>
      <w:r>
        <w:t>a</w:t>
      </w:r>
      <w:r>
        <w:t>do, así como tampoco el hecho de que el vehículo fuera “doblado”, puesto que vendió otros rodados mediante esa modalidad, tratándose de una operación más de las realiz</w:t>
      </w:r>
      <w:r>
        <w:t>a</w:t>
      </w:r>
      <w:r>
        <w:t>das en su actividad de compra y venta de automot</w:t>
      </w:r>
      <w:r>
        <w:t>o</w:t>
      </w:r>
      <w:r>
        <w:t>res.</w:t>
      </w:r>
    </w:p>
    <w:p w:rsidR="00224567" w:rsidRDefault="00224567">
      <w:pPr>
        <w:widowControl w:val="0"/>
      </w:pPr>
      <w:r>
        <w:tab/>
        <w:t>Asimismo, aseveró que se probó en a</w:t>
      </w:r>
      <w:r>
        <w:t>u</w:t>
      </w:r>
      <w:r>
        <w:t>tos que el 10 de julio Telleldín vendió la camioneta a un sujeto que se identificó como Ramón Martínez, desconocie</w:t>
      </w:r>
      <w:r>
        <w:t>n</w:t>
      </w:r>
      <w:r>
        <w:t>do los motivos de la compra o el destino final que habría de dársele al utilitario. Sin embargo, so</w:t>
      </w:r>
      <w:r>
        <w:t>s</w:t>
      </w:r>
      <w:r>
        <w:t>tuvo que, en el supuesto de que hubiese entregado a R</w:t>
      </w:r>
      <w:r>
        <w:t>i</w:t>
      </w:r>
      <w:r>
        <w:t>belli dicho vehículo en pago de una deuda por una e</w:t>
      </w:r>
      <w:r>
        <w:t>x</w:t>
      </w:r>
      <w:r>
        <w:t>torsión, ello no constituía una co</w:t>
      </w:r>
      <w:r>
        <w:t>n</w:t>
      </w:r>
      <w:r>
        <w:t>ducta voluntaria susceptible de quedar atrapada por las normas penales.</w:t>
      </w:r>
    </w:p>
    <w:p w:rsidR="00224567" w:rsidRDefault="00224567">
      <w:pPr>
        <w:widowControl w:val="0"/>
      </w:pPr>
      <w:r>
        <w:tab/>
        <w:t>Por otra parte, remarcó que los acus</w:t>
      </w:r>
      <w:r>
        <w:t>a</w:t>
      </w:r>
      <w:r>
        <w:t>dores negaron ciertos hechos declarados por Telleldín so</w:t>
      </w:r>
      <w:r>
        <w:t>s</w:t>
      </w:r>
      <w:r>
        <w:t>teniendo que eran mentiras de éste; sucesos que una vez acreditados omitieron valorar a su favor, tildánd</w:t>
      </w:r>
      <w:r>
        <w:t>o</w:t>
      </w:r>
      <w:r>
        <w:t>los como preconstitución de prueba o desvío. Tal el caso de la v</w:t>
      </w:r>
      <w:r>
        <w:t>i</w:t>
      </w:r>
      <w:r>
        <w:t>sita a la calle San José.</w:t>
      </w:r>
    </w:p>
    <w:p w:rsidR="00224567" w:rsidRDefault="00224567">
      <w:pPr>
        <w:widowControl w:val="0"/>
      </w:pPr>
      <w:r>
        <w:tab/>
        <w:t>En orden al ánimo de lucro invocado por la querella “Memoria Activa”, refirió que en la causa no había constancias del supuesto beneficio económ</w:t>
      </w:r>
      <w:r>
        <w:t>i</w:t>
      </w:r>
      <w:r>
        <w:t>co, sin perjuicio de señalar que las actividades comerciales, l</w:t>
      </w:r>
      <w:r>
        <w:t>í</w:t>
      </w:r>
      <w:r>
        <w:t>citas o ilícitas, llevadas a cabo por el imputado le r</w:t>
      </w:r>
      <w:r>
        <w:t>e</w:t>
      </w:r>
      <w:r>
        <w:t>port</w:t>
      </w:r>
      <w:r>
        <w:t>a</w:t>
      </w:r>
      <w:r>
        <w:t>ban hasta $ 20.000 mensuales.</w:t>
      </w:r>
    </w:p>
    <w:p w:rsidR="00224567" w:rsidRDefault="00224567">
      <w:pPr>
        <w:widowControl w:val="0"/>
      </w:pPr>
      <w:r>
        <w:tab/>
        <w:t>Concluyó que ninguno de los acusad</w:t>
      </w:r>
      <w:r>
        <w:t>o</w:t>
      </w:r>
      <w:r>
        <w:t>res pudo destruir el estado de inocencia del encart</w:t>
      </w:r>
      <w:r>
        <w:t>a</w:t>
      </w:r>
      <w:r>
        <w:t>do.</w:t>
      </w:r>
    </w:p>
    <w:p w:rsidR="00224567" w:rsidRDefault="00224567">
      <w:pPr>
        <w:pStyle w:val="Ttulo4"/>
        <w:keepNext w:val="0"/>
        <w:widowControl w:val="0"/>
        <w:spacing w:line="600" w:lineRule="auto"/>
      </w:pPr>
      <w:r>
        <w:tab/>
      </w:r>
      <w:bookmarkStart w:id="63" w:name="_Toc86676579"/>
      <w:r>
        <w:t>B.9) Conclusiones.</w:t>
      </w:r>
      <w:bookmarkEnd w:id="63"/>
    </w:p>
    <w:p w:rsidR="00224567" w:rsidRDefault="00224567">
      <w:pPr>
        <w:pStyle w:val="Ttulo5"/>
        <w:keepNext w:val="0"/>
        <w:widowControl w:val="0"/>
        <w:spacing w:line="600" w:lineRule="auto"/>
        <w:rPr>
          <w:b w:val="0"/>
          <w:bCs w:val="0"/>
        </w:rPr>
      </w:pPr>
      <w:bookmarkStart w:id="64" w:name="_Toc86676580"/>
      <w:r>
        <w:t xml:space="preserve">B.9.a) </w:t>
      </w:r>
      <w:r>
        <w:rPr>
          <w:b w:val="0"/>
          <w:bCs w:val="0"/>
        </w:rPr>
        <w:t>Comprobación de actividad hab</w:t>
      </w:r>
      <w:r>
        <w:rPr>
          <w:b w:val="0"/>
          <w:bCs w:val="0"/>
        </w:rPr>
        <w:t>i</w:t>
      </w:r>
      <w:r>
        <w:rPr>
          <w:b w:val="0"/>
          <w:bCs w:val="0"/>
        </w:rPr>
        <w:t>tual.</w:t>
      </w:r>
      <w:bookmarkEnd w:id="64"/>
    </w:p>
    <w:p w:rsidR="00224567" w:rsidRDefault="00224567">
      <w:pPr>
        <w:widowControl w:val="0"/>
      </w:pPr>
      <w:r>
        <w:tab/>
        <w:t>A lo largo del debate quedó demostr</w:t>
      </w:r>
      <w:r>
        <w:t>a</w:t>
      </w:r>
      <w:r>
        <w:t>do que, hacia 1994, la compra y venta de vehículos era la a</w:t>
      </w:r>
      <w:r>
        <w:t>c</w:t>
      </w:r>
      <w:r>
        <w:t>tividad desplegada por Telleldín como medio de vida. En efecto, el imputado se dedicaba al “doblado” de automóv</w:t>
      </w:r>
      <w:r>
        <w:t>i</w:t>
      </w:r>
      <w:r>
        <w:t>les mediante el montaje de motores prov</w:t>
      </w:r>
      <w:r>
        <w:t>e</w:t>
      </w:r>
      <w:r>
        <w:t>nientes de rodados siniestrados en carrocerías de otros sustraídos, los que lu</w:t>
      </w:r>
      <w:r>
        <w:t>e</w:t>
      </w:r>
      <w:r>
        <w:t>go enajenaba a terceros de buena fe.</w:t>
      </w:r>
    </w:p>
    <w:p w:rsidR="00224567" w:rsidRDefault="00224567">
      <w:pPr>
        <w:widowControl w:val="0"/>
      </w:pPr>
      <w:r>
        <w:tab/>
        <w:t>Esos negocios ilícitos constituían la actividad habitual del encartado y tales operaciones las llevaba a cabo con su verdadero nombre o como “Teccedin” y, en algunas ocasiones, hacía figurar a terceras pers</w:t>
      </w:r>
      <w:r>
        <w:t>o</w:t>
      </w:r>
      <w:r>
        <w:t>nas, como ser Hugo Antonio Pérez y Verónica Lorena Torr</w:t>
      </w:r>
      <w:r>
        <w:t>i</w:t>
      </w:r>
      <w:r>
        <w:t>si.</w:t>
      </w:r>
    </w:p>
    <w:p w:rsidR="00224567" w:rsidRDefault="00224567">
      <w:pPr>
        <w:widowControl w:val="0"/>
      </w:pPr>
      <w:r>
        <w:tab/>
        <w:t>Es en este contexto de manipulación habitual de motores y carrocerías en el que deberá anal</w:t>
      </w:r>
      <w:r>
        <w:t>i</w:t>
      </w:r>
      <w:r>
        <w:t>zarse la conducta de Telleldín con relación a la transa</w:t>
      </w:r>
      <w:r>
        <w:t>c</w:t>
      </w:r>
      <w:r>
        <w:t>ción realizada el 10 de julio de 1994; ello sin pe</w:t>
      </w:r>
      <w:r>
        <w:t>r</w:t>
      </w:r>
      <w:r>
        <w:t>juicio de reiterar que se desconoce si se trató del vehículo lu</w:t>
      </w:r>
      <w:r>
        <w:t>e</w:t>
      </w:r>
      <w:r>
        <w:t>go empleado como cochebomba.</w:t>
      </w:r>
    </w:p>
    <w:p w:rsidR="00224567" w:rsidRDefault="00224567">
      <w:pPr>
        <w:widowControl w:val="0"/>
      </w:pPr>
      <w:r>
        <w:tab/>
        <w:t>Telleldín manifestó que desde los 17 años se dedicó a la compra y venta de vehículos; act</w:t>
      </w:r>
      <w:r>
        <w:t>i</w:t>
      </w:r>
      <w:r>
        <w:t>vidad que complementó a lo largo de su vida con otros neg</w:t>
      </w:r>
      <w:r>
        <w:t>o</w:t>
      </w:r>
      <w:r>
        <w:t>cios.</w:t>
      </w:r>
    </w:p>
    <w:p w:rsidR="00224567" w:rsidRDefault="00224567">
      <w:pPr>
        <w:widowControl w:val="0"/>
      </w:pPr>
      <w:r>
        <w:tab/>
        <w:t>Explicó que por mes adquiría, genera</w:t>
      </w:r>
      <w:r>
        <w:t>l</w:t>
      </w:r>
      <w:r>
        <w:t>mente en la firma “Automotores Alejandro”, alrededor de tres o cuatro rodados, en su mayoría siniestrados o con faltantes, a los que les reemplazaba la carrocería por otra de procedencia ilícita, cuya numeración regrababa, manteniendo el motor con su numeración original; tras ello, valiéndose de la documentación que obtenía en oc</w:t>
      </w:r>
      <w:r>
        <w:t>a</w:t>
      </w:r>
      <w:r>
        <w:t>sión de a</w:t>
      </w:r>
      <w:r>
        <w:t>d</w:t>
      </w:r>
      <w:r>
        <w:t>quirir aquellos vehículos, procedía a su venta, para lo cual efectuaba publicaciones los sábados y domi</w:t>
      </w:r>
      <w:r>
        <w:t>n</w:t>
      </w:r>
      <w:r>
        <w:t>gos en el diario “Clarín”.</w:t>
      </w:r>
    </w:p>
    <w:p w:rsidR="00224567" w:rsidRDefault="00224567">
      <w:pPr>
        <w:widowControl w:val="0"/>
      </w:pPr>
      <w:r>
        <w:tab/>
        <w:t>Reveló que a raíz de su actividad c</w:t>
      </w:r>
      <w:r>
        <w:t>o</w:t>
      </w:r>
      <w:r>
        <w:t>mercial vendió, entre otros rodados, cinco camionetas R</w:t>
      </w:r>
      <w:r>
        <w:t>e</w:t>
      </w:r>
      <w:r>
        <w:t>nault Trafic, incluido el utilitario que admitió haber traspasado el 10 de julio.</w:t>
      </w:r>
    </w:p>
    <w:p w:rsidR="00224567" w:rsidRDefault="00224567">
      <w:pPr>
        <w:widowControl w:val="0"/>
      </w:pPr>
      <w:r>
        <w:tab/>
        <w:t>La actividad desplegada por Telle</w:t>
      </w:r>
      <w:r>
        <w:t>l</w:t>
      </w:r>
      <w:r>
        <w:t>dín se ve corroborada por los dichos de los testigos Ana María Boragni, Marcelo Fabián Jouce, Augusto Carlos C</w:t>
      </w:r>
      <w:r>
        <w:t>u</w:t>
      </w:r>
      <w:r>
        <w:t>rel, Laura Marcela Scillone, Sandra Marisa Petrucci, José Luis Lo Preiato, Antonio Miguel Schiavone, Gabriela Rosana Sch</w:t>
      </w:r>
      <w:r>
        <w:t>i</w:t>
      </w:r>
      <w:r>
        <w:t>rripa, Eusebio San</w:t>
      </w:r>
      <w:r>
        <w:t>a</w:t>
      </w:r>
      <w:r>
        <w:t>bria, Luis Alberto González, Gualberto Quintín Rocha Siles, Alberto Mario Chueco, Roberto Jorge Saller, Daniel Alberto Fernández, Ana María Toretta, He</w:t>
      </w:r>
      <w:r>
        <w:t>r</w:t>
      </w:r>
      <w:r>
        <w:t>nán del Carmen Murillo Zuñiga, Carlos Alberto Casimiro V</w:t>
      </w:r>
      <w:r>
        <w:t>i</w:t>
      </w:r>
      <w:r>
        <w:t>llar, Sergio Alejandro Rodríguez, Luis Fabián Videla, José Antonio Abastante, Ricardo Omar Pistone y Carlos Antonio Mauceri, como también por la documentación agregada a la causa, que da cuenta de las diversas transacciones que llevó a c</w:t>
      </w:r>
      <w:r>
        <w:t>a</w:t>
      </w:r>
      <w:r>
        <w:t>bo.</w:t>
      </w:r>
    </w:p>
    <w:p w:rsidR="00224567" w:rsidRDefault="00224567">
      <w:pPr>
        <w:widowControl w:val="0"/>
        <w:ind w:firstLine="2835"/>
      </w:pPr>
      <w:r>
        <w:t>Así, Ana María Boragni aseguró que T</w:t>
      </w:r>
      <w:r>
        <w:t>e</w:t>
      </w:r>
      <w:r>
        <w:t>lleldín compraba y vendía automotores, habiendo de</w:t>
      </w:r>
      <w:r>
        <w:t>s</w:t>
      </w:r>
      <w:r>
        <w:t>plegado tal actividad pr</w:t>
      </w:r>
      <w:r>
        <w:t>i</w:t>
      </w:r>
      <w:r>
        <w:t>mero en su casa, luego en un lavadero de autos y taller que construyó en Olivos, creyendo que ta</w:t>
      </w:r>
      <w:r>
        <w:t>m</w:t>
      </w:r>
      <w:r>
        <w:t>bién en una quinta de Tortuguitas. Agregó que los repue</w:t>
      </w:r>
      <w:r>
        <w:t>s</w:t>
      </w:r>
      <w:r>
        <w:t>tos los conseguía César Fernández, adquiriendo Telleldín algunos rodados con dinero propio, pero a nombre de Hugo Pérez.</w:t>
      </w:r>
    </w:p>
    <w:p w:rsidR="00224567" w:rsidRDefault="00224567">
      <w:pPr>
        <w:widowControl w:val="0"/>
      </w:pPr>
      <w:r>
        <w:tab/>
        <w:t>Señaló que en esa actividad trab</w:t>
      </w:r>
      <w:r>
        <w:t>a</w:t>
      </w:r>
      <w:r>
        <w:t>jaba con el mecánico Guillermo C</w:t>
      </w:r>
      <w:r>
        <w:t>o</w:t>
      </w:r>
      <w:r>
        <w:t>toras y luego con Ariel, quien tenía un taller en Villa Maipú.</w:t>
      </w:r>
    </w:p>
    <w:p w:rsidR="00224567" w:rsidRDefault="00224567">
      <w:pPr>
        <w:widowControl w:val="0"/>
      </w:pPr>
      <w:r>
        <w:tab/>
        <w:t>Al respecto, Marcelo Fabián Jouce, s</w:t>
      </w:r>
      <w:r>
        <w:t>o</w:t>
      </w:r>
      <w:r>
        <w:t>cio de Nitzcaner, relató que, aproximadamente tres meses antes del atentado, Carlos Telleldín llevó al taller dos Tr</w:t>
      </w:r>
      <w:r>
        <w:t>a</w:t>
      </w:r>
      <w:r>
        <w:t>fic y repuestos usados, comentándole que trabajaba con autos para la reventa y que tenía repuestos en otro t</w:t>
      </w:r>
      <w:r>
        <w:t>a</w:t>
      </w:r>
      <w:r>
        <w:t>ller, con cuyo titular se había peleado.</w:t>
      </w:r>
    </w:p>
    <w:p w:rsidR="00224567" w:rsidRDefault="00224567">
      <w:pPr>
        <w:widowControl w:val="0"/>
      </w:pPr>
      <w:r>
        <w:tab/>
        <w:t>En el mismo sentido, Augusto Carlos Curel declaró que vio varias v</w:t>
      </w:r>
      <w:r>
        <w:t>e</w:t>
      </w:r>
      <w:r>
        <w:t>ces a Carlos Telleldín y a su señora en el taller de Nitzcaner, adonde “llevaba y traía” vehículos.</w:t>
      </w:r>
    </w:p>
    <w:p w:rsidR="00224567" w:rsidRDefault="00224567">
      <w:pPr>
        <w:widowControl w:val="0"/>
      </w:pPr>
      <w:r>
        <w:tab/>
        <w:t>Por su parte, Laura Marcela Scill</w:t>
      </w:r>
      <w:r>
        <w:t>o</w:t>
      </w:r>
      <w:r>
        <w:t>ne, ex concubina de Cotoras, manifestó que su pareja trab</w:t>
      </w:r>
      <w:r>
        <w:t>a</w:t>
      </w:r>
      <w:r>
        <w:t>jaba como mecánico para Carlos Telleldín, quien frecuent</w:t>
      </w:r>
      <w:r>
        <w:t>e</w:t>
      </w:r>
      <w:r>
        <w:t>mente le llevaba automóviles y cuya presencia le disgustaba, t</w:t>
      </w:r>
      <w:r>
        <w:t>o</w:t>
      </w:r>
      <w:r>
        <w:t>da vez que advirtió que armaba autos g</w:t>
      </w:r>
      <w:r>
        <w:t>e</w:t>
      </w:r>
      <w:r>
        <w:t>melos.</w:t>
      </w:r>
    </w:p>
    <w:p w:rsidR="00224567" w:rsidRDefault="00224567">
      <w:pPr>
        <w:widowControl w:val="0"/>
      </w:pPr>
      <w:r>
        <w:tab/>
        <w:t>Sandra Marisa Petrucci, con quien T</w:t>
      </w:r>
      <w:r>
        <w:t>e</w:t>
      </w:r>
      <w:r>
        <w:t>lleldín mantuvo una relación sentimental, indicó que, en el lavadero de autos, el nombrado vendía automotores que reparaba, creyendo recordar que se los adquiría a Aleja</w:t>
      </w:r>
      <w:r>
        <w:t>n</w:t>
      </w:r>
      <w:r>
        <w:t>dro Monjo.</w:t>
      </w:r>
    </w:p>
    <w:p w:rsidR="00224567" w:rsidRDefault="00224567">
      <w:pPr>
        <w:pStyle w:val="Textoindependiente2"/>
        <w:widowControl w:val="0"/>
        <w:rPr>
          <w:rFonts w:ascii="Courier New" w:hAnsi="Courier New" w:cs="Courier New"/>
        </w:rPr>
      </w:pPr>
      <w:r>
        <w:rPr>
          <w:rFonts w:ascii="Courier New" w:hAnsi="Courier New" w:cs="Courier New"/>
          <w:szCs w:val="24"/>
          <w:lang w:val="es-AR"/>
        </w:rPr>
        <w:tab/>
        <w:t>A su turno, José Luis Lo Preiato, s</w:t>
      </w:r>
      <w:r>
        <w:rPr>
          <w:rFonts w:ascii="Courier New" w:hAnsi="Courier New" w:cs="Courier New"/>
          <w:szCs w:val="24"/>
          <w:lang w:val="es-AR"/>
        </w:rPr>
        <w:t>o</w:t>
      </w:r>
      <w:r>
        <w:rPr>
          <w:rFonts w:ascii="Courier New" w:hAnsi="Courier New" w:cs="Courier New"/>
          <w:szCs w:val="24"/>
          <w:lang w:val="es-AR"/>
        </w:rPr>
        <w:t>cio de Telleldín en dicho lavadero, mencionó que el no</w:t>
      </w:r>
      <w:r>
        <w:rPr>
          <w:rFonts w:ascii="Courier New" w:hAnsi="Courier New" w:cs="Courier New"/>
          <w:szCs w:val="24"/>
          <w:lang w:val="es-AR"/>
        </w:rPr>
        <w:t>m</w:t>
      </w:r>
      <w:r>
        <w:rPr>
          <w:rFonts w:ascii="Courier New" w:hAnsi="Courier New" w:cs="Courier New"/>
          <w:szCs w:val="24"/>
          <w:lang w:val="es-AR"/>
        </w:rPr>
        <w:t xml:space="preserve">brado </w:t>
      </w:r>
      <w:r>
        <w:rPr>
          <w:rFonts w:ascii="Courier New" w:hAnsi="Courier New" w:cs="Courier New"/>
        </w:rPr>
        <w:t>comercial</w:t>
      </w:r>
      <w:r>
        <w:rPr>
          <w:rFonts w:ascii="Courier New" w:hAnsi="Courier New" w:cs="Courier New"/>
        </w:rPr>
        <w:t>i</w:t>
      </w:r>
      <w:r>
        <w:rPr>
          <w:rFonts w:ascii="Courier New" w:hAnsi="Courier New" w:cs="Courier New"/>
        </w:rPr>
        <w:t>zaba automotores.</w:t>
      </w:r>
    </w:p>
    <w:p w:rsidR="00224567" w:rsidRDefault="00224567">
      <w:pPr>
        <w:pStyle w:val="Textoindependiente2"/>
        <w:widowControl w:val="0"/>
        <w:rPr>
          <w:rFonts w:ascii="Courier New" w:hAnsi="Courier New" w:cs="Courier New"/>
        </w:rPr>
      </w:pPr>
      <w:r>
        <w:rPr>
          <w:rFonts w:ascii="Courier New" w:hAnsi="Courier New" w:cs="Courier New"/>
        </w:rPr>
        <w:tab/>
        <w:t>También Antonio Miguel Schiavone, ex marido de Boragni, expresó que Telleldín se dedicaba a la co</w:t>
      </w:r>
      <w:r>
        <w:rPr>
          <w:rFonts w:ascii="Courier New" w:hAnsi="Courier New" w:cs="Courier New"/>
        </w:rPr>
        <w:t>m</w:t>
      </w:r>
      <w:r>
        <w:rPr>
          <w:rFonts w:ascii="Courier New" w:hAnsi="Courier New" w:cs="Courier New"/>
        </w:rPr>
        <w:t>pra y venta de rodados.</w:t>
      </w:r>
    </w:p>
    <w:p w:rsidR="00224567" w:rsidRDefault="00224567">
      <w:pPr>
        <w:pStyle w:val="Textoindependiente2"/>
        <w:widowControl w:val="0"/>
        <w:rPr>
          <w:rFonts w:ascii="Courier New" w:hAnsi="Courier New" w:cs="Courier New"/>
          <w:lang w:val="es-AR"/>
        </w:rPr>
      </w:pPr>
      <w:r>
        <w:rPr>
          <w:rFonts w:ascii="Courier New" w:hAnsi="Courier New" w:cs="Courier New"/>
          <w:lang w:val="es-AR"/>
        </w:rPr>
        <w:tab/>
        <w:t xml:space="preserve">A su vez, </w:t>
      </w:r>
      <w:r>
        <w:rPr>
          <w:rFonts w:ascii="Courier New" w:hAnsi="Courier New" w:cs="Courier New"/>
        </w:rPr>
        <w:t>Gabriela Rosana Schirripa, esposa del imputado Barreda, relató que Telleldín c</w:t>
      </w:r>
      <w:r>
        <w:rPr>
          <w:rFonts w:ascii="Courier New" w:hAnsi="Courier New" w:cs="Courier New"/>
        </w:rPr>
        <w:t>o</w:t>
      </w:r>
      <w:r>
        <w:rPr>
          <w:rFonts w:ascii="Courier New" w:hAnsi="Courier New" w:cs="Courier New"/>
        </w:rPr>
        <w:t>mentó que trabajaba autos chocados con Alejandro Mo</w:t>
      </w:r>
      <w:r>
        <w:rPr>
          <w:rFonts w:ascii="Courier New" w:hAnsi="Courier New" w:cs="Courier New"/>
        </w:rPr>
        <w:t>n</w:t>
      </w:r>
      <w:r>
        <w:rPr>
          <w:rFonts w:ascii="Courier New" w:hAnsi="Courier New" w:cs="Courier New"/>
        </w:rPr>
        <w:t>jo, trayendo carrocerías desde Córdoba, pareciéndole a su marido que and</w:t>
      </w:r>
      <w:r>
        <w:rPr>
          <w:rFonts w:ascii="Courier New" w:hAnsi="Courier New" w:cs="Courier New"/>
        </w:rPr>
        <w:t>a</w:t>
      </w:r>
      <w:r>
        <w:rPr>
          <w:rFonts w:ascii="Courier New" w:hAnsi="Courier New" w:cs="Courier New"/>
        </w:rPr>
        <w:t>ba en el “truchaje” de vehículos.</w:t>
      </w:r>
    </w:p>
    <w:p w:rsidR="00224567" w:rsidRDefault="00224567">
      <w:pPr>
        <w:pStyle w:val="Textoindependiente2"/>
        <w:widowControl w:val="0"/>
        <w:rPr>
          <w:rFonts w:ascii="Courier New" w:hAnsi="Courier New" w:cs="Courier New"/>
        </w:rPr>
      </w:pPr>
      <w:r>
        <w:rPr>
          <w:rFonts w:ascii="Courier New" w:hAnsi="Courier New" w:cs="Courier New"/>
          <w:szCs w:val="24"/>
          <w:lang w:val="es-AR"/>
        </w:rPr>
        <w:tab/>
        <w:t>Por su parte, Eusebio Sanabria, gru</w:t>
      </w:r>
      <w:r>
        <w:rPr>
          <w:rFonts w:ascii="Courier New" w:hAnsi="Courier New" w:cs="Courier New"/>
          <w:szCs w:val="24"/>
          <w:lang w:val="es-AR"/>
        </w:rPr>
        <w:t>e</w:t>
      </w:r>
      <w:r>
        <w:rPr>
          <w:rFonts w:ascii="Courier New" w:hAnsi="Courier New" w:cs="Courier New"/>
          <w:szCs w:val="24"/>
          <w:lang w:val="es-AR"/>
        </w:rPr>
        <w:t xml:space="preserve">ro de “Automotores Alejandro”, indicó que transportó </w:t>
      </w:r>
      <w:r>
        <w:rPr>
          <w:rFonts w:ascii="Courier New" w:hAnsi="Courier New" w:cs="Courier New"/>
        </w:rPr>
        <w:t>para T</w:t>
      </w:r>
      <w:r>
        <w:rPr>
          <w:rFonts w:ascii="Courier New" w:hAnsi="Courier New" w:cs="Courier New"/>
        </w:rPr>
        <w:t>e</w:t>
      </w:r>
      <w:r>
        <w:rPr>
          <w:rFonts w:ascii="Courier New" w:hAnsi="Courier New" w:cs="Courier New"/>
        </w:rPr>
        <w:t>lleldín varios vehículos a un lavadero en la c</w:t>
      </w:r>
      <w:r>
        <w:rPr>
          <w:rFonts w:ascii="Courier New" w:hAnsi="Courier New" w:cs="Courier New"/>
        </w:rPr>
        <w:t>a</w:t>
      </w:r>
      <w:r>
        <w:rPr>
          <w:rFonts w:ascii="Courier New" w:hAnsi="Courier New" w:cs="Courier New"/>
        </w:rPr>
        <w:t>lle Pelliza y uno a la calle Ituzaingó.</w:t>
      </w:r>
    </w:p>
    <w:p w:rsidR="00224567" w:rsidRDefault="00224567">
      <w:pPr>
        <w:pStyle w:val="Textoindependiente2"/>
        <w:widowControl w:val="0"/>
        <w:rPr>
          <w:rFonts w:ascii="Courier New" w:hAnsi="Courier New" w:cs="Courier New"/>
          <w:lang w:val="es-AR"/>
        </w:rPr>
      </w:pPr>
      <w:r>
        <w:rPr>
          <w:rFonts w:ascii="Courier New" w:hAnsi="Courier New" w:cs="Courier New"/>
        </w:rPr>
        <w:tab/>
        <w:t>En igual sentido, Luis Alberto Gonz</w:t>
      </w:r>
      <w:r>
        <w:rPr>
          <w:rFonts w:ascii="Courier New" w:hAnsi="Courier New" w:cs="Courier New"/>
        </w:rPr>
        <w:t>á</w:t>
      </w:r>
      <w:r>
        <w:rPr>
          <w:rFonts w:ascii="Courier New" w:hAnsi="Courier New" w:cs="Courier New"/>
        </w:rPr>
        <w:t>lez, también gruero, aseveró que, entre otros lugares, trasladó rodados para el imputado a la localidad de Ol</w:t>
      </w:r>
      <w:r>
        <w:rPr>
          <w:rFonts w:ascii="Courier New" w:hAnsi="Courier New" w:cs="Courier New"/>
        </w:rPr>
        <w:t>i</w:t>
      </w:r>
      <w:r>
        <w:rPr>
          <w:rFonts w:ascii="Courier New" w:hAnsi="Courier New" w:cs="Courier New"/>
        </w:rPr>
        <w:t>vos, según creía a un lavadero en la calle Pell</w:t>
      </w:r>
      <w:r>
        <w:rPr>
          <w:rFonts w:ascii="Courier New" w:hAnsi="Courier New" w:cs="Courier New"/>
        </w:rPr>
        <w:t>i</w:t>
      </w:r>
      <w:r>
        <w:rPr>
          <w:rFonts w:ascii="Courier New" w:hAnsi="Courier New" w:cs="Courier New"/>
        </w:rPr>
        <w:t>za.</w:t>
      </w:r>
    </w:p>
    <w:p w:rsidR="00224567" w:rsidRDefault="00224567">
      <w:pPr>
        <w:pStyle w:val="Textoindependiente2"/>
        <w:widowControl w:val="0"/>
        <w:rPr>
          <w:rFonts w:ascii="Courier New" w:hAnsi="Courier New" w:cs="Courier New"/>
          <w:szCs w:val="24"/>
          <w:lang w:val="es-AR"/>
        </w:rPr>
      </w:pPr>
      <w:r>
        <w:rPr>
          <w:rFonts w:ascii="Courier New" w:hAnsi="Courier New" w:cs="Courier New"/>
        </w:rPr>
        <w:tab/>
        <w:t>Gualberto Quintín Rocha Siles, ta</w:t>
      </w:r>
      <w:r>
        <w:rPr>
          <w:rFonts w:ascii="Courier New" w:hAnsi="Courier New" w:cs="Courier New"/>
        </w:rPr>
        <w:t>m</w:t>
      </w:r>
      <w:r>
        <w:rPr>
          <w:rFonts w:ascii="Courier New" w:hAnsi="Courier New" w:cs="Courier New"/>
        </w:rPr>
        <w:t>bién empleado de dicha empresa, recordó haber visto a Carlos Telleldín en la age</w:t>
      </w:r>
      <w:r>
        <w:rPr>
          <w:rFonts w:ascii="Courier New" w:hAnsi="Courier New" w:cs="Courier New"/>
        </w:rPr>
        <w:t>n</w:t>
      </w:r>
      <w:r>
        <w:rPr>
          <w:rFonts w:ascii="Courier New" w:hAnsi="Courier New" w:cs="Courier New"/>
        </w:rPr>
        <w:t>cia.</w:t>
      </w:r>
    </w:p>
    <w:p w:rsidR="00224567" w:rsidRDefault="00224567">
      <w:pPr>
        <w:widowControl w:val="0"/>
      </w:pPr>
      <w:r>
        <w:tab/>
        <w:t>Por su parte, Alberto Mario Chueco r</w:t>
      </w:r>
      <w:r>
        <w:t>e</w:t>
      </w:r>
      <w:r>
        <w:t>cordó haber remolcado vehículos para Telleldín, quien era cliente de “Automot</w:t>
      </w:r>
      <w:r>
        <w:t>o</w:t>
      </w:r>
      <w:r>
        <w:t>res Alejandro”.</w:t>
      </w:r>
    </w:p>
    <w:p w:rsidR="00224567" w:rsidRDefault="00224567">
      <w:pPr>
        <w:widowControl w:val="0"/>
      </w:pPr>
      <w:r>
        <w:tab/>
        <w:t xml:space="preserve">A su turno, Roberto Jorge Saller, agente de </w:t>
      </w:r>
      <w:smartTag w:uri="urn:schemas-microsoft-com:office:smarttags" w:element="PersonName">
        <w:smartTagPr>
          <w:attr w:name="ProductID" w:val="la S.I"/>
        </w:smartTagPr>
        <w:r>
          <w:t>la S.I</w:t>
        </w:r>
      </w:smartTag>
      <w:r>
        <w:t>.D.E., manifestó que el 26 de julio de 1994, en ocasión de concurrir a República 107, Boragni aseveró que su marido se dedicaba a la venta de vehíc</w:t>
      </w:r>
      <w:r>
        <w:t>u</w:t>
      </w:r>
      <w:r>
        <w:t>los; extremo que corroboraron sus vecinos al realizar averigu</w:t>
      </w:r>
      <w:r>
        <w:t>a</w:t>
      </w:r>
      <w:r>
        <w:t>ciones acerca de la camioneta.</w:t>
      </w:r>
    </w:p>
    <w:p w:rsidR="00224567" w:rsidRDefault="00224567">
      <w:pPr>
        <w:pStyle w:val="Textoindependiente2"/>
        <w:widowControl w:val="0"/>
        <w:rPr>
          <w:rFonts w:ascii="Courier New" w:hAnsi="Courier New" w:cs="Courier New"/>
          <w:szCs w:val="24"/>
        </w:rPr>
      </w:pPr>
      <w:r>
        <w:rPr>
          <w:rFonts w:ascii="Courier New" w:hAnsi="Courier New" w:cs="Courier New"/>
          <w:szCs w:val="24"/>
        </w:rPr>
        <w:tab/>
        <w:t xml:space="preserve">De la misma forma, su colega Daniel Alberto Fernández explicó que la noche del 26 de julio, en el domicilio de Telleldín, se mencionó que </w:t>
      </w:r>
      <w:r>
        <w:rPr>
          <w:rFonts w:ascii="Courier New" w:hAnsi="Courier New" w:cs="Courier New"/>
        </w:rPr>
        <w:t>la act</w:t>
      </w:r>
      <w:r>
        <w:rPr>
          <w:rFonts w:ascii="Courier New" w:hAnsi="Courier New" w:cs="Courier New"/>
        </w:rPr>
        <w:t>i</w:t>
      </w:r>
      <w:r>
        <w:rPr>
          <w:rFonts w:ascii="Courier New" w:hAnsi="Courier New" w:cs="Courier New"/>
        </w:rPr>
        <w:t>vidad de éste se relacionaba con la venta habitual de automóv</w:t>
      </w:r>
      <w:r>
        <w:rPr>
          <w:rFonts w:ascii="Courier New" w:hAnsi="Courier New" w:cs="Courier New"/>
        </w:rPr>
        <w:t>i</w:t>
      </w:r>
      <w:r>
        <w:rPr>
          <w:rFonts w:ascii="Courier New" w:hAnsi="Courier New" w:cs="Courier New"/>
        </w:rPr>
        <w:t>les, que llevaba a cabo en su vivienda.</w:t>
      </w:r>
    </w:p>
    <w:p w:rsidR="00224567" w:rsidRDefault="00224567">
      <w:pPr>
        <w:widowControl w:val="0"/>
      </w:pPr>
      <w:r>
        <w:tab/>
        <w:t>A los testimonios expuestos se ad</w:t>
      </w:r>
      <w:r>
        <w:t>u</w:t>
      </w:r>
      <w:r>
        <w:t>nan las declaraciones de diversos sujetos que compraron vehículos al i</w:t>
      </w:r>
      <w:r>
        <w:t>m</w:t>
      </w:r>
      <w:r>
        <w:t>putado. Así, Ana María Toretta expresó que fue estafada por Telleldín y Pérez, a quienes adquirió una c</w:t>
      </w:r>
      <w:r>
        <w:t>a</w:t>
      </w:r>
      <w:r>
        <w:t>mioneta Renault Trafic blanca, cerrada, larga, a la que llegaron por un anu</w:t>
      </w:r>
      <w:r>
        <w:t>n</w:t>
      </w:r>
      <w:r>
        <w:t>cio en un diario.</w:t>
      </w:r>
    </w:p>
    <w:p w:rsidR="00224567" w:rsidRDefault="00224567">
      <w:pPr>
        <w:widowControl w:val="0"/>
        <w:ind w:firstLine="2835"/>
      </w:pPr>
      <w:r>
        <w:t>Explicó Toretta que, en virtud de un peritaje, se estableció que un número, según creía en el chasis, no correspondía, por lo que advirtieron que era “melliza”; aclaró que si bien Pérez figuraba como vend</w:t>
      </w:r>
      <w:r>
        <w:t>e</w:t>
      </w:r>
      <w:r>
        <w:t>dor, el negocio lo hizo Telle</w:t>
      </w:r>
      <w:r>
        <w:t>l</w:t>
      </w:r>
      <w:r>
        <w:t>dín.</w:t>
      </w:r>
    </w:p>
    <w:p w:rsidR="00224567" w:rsidRDefault="00224567">
      <w:pPr>
        <w:widowControl w:val="0"/>
      </w:pPr>
      <w:r>
        <w:tab/>
        <w:t>En el mismo sentido se pronunció He</w:t>
      </w:r>
      <w:r>
        <w:t>r</w:t>
      </w:r>
      <w:r>
        <w:t>nán del Carmen Murillo Zuñiga, esposo de Toretta, quien recordó la compra a Telleldín, en mayo de 1994, de una Trafic blanca, aunque acotó que Pérez firmó la document</w:t>
      </w:r>
      <w:r>
        <w:t>a</w:t>
      </w:r>
      <w:r>
        <w:t>ción. A resultas de un peritaje, agregó, tomaron conoc</w:t>
      </w:r>
      <w:r>
        <w:t>i</w:t>
      </w:r>
      <w:r>
        <w:t>miento de que el número de chasis estaba falsific</w:t>
      </w:r>
      <w:r>
        <w:t>a</w:t>
      </w:r>
      <w:r>
        <w:t>do.</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A fs. 15.141 obra una copia del bol</w:t>
      </w:r>
      <w:r>
        <w:rPr>
          <w:rFonts w:ascii="Courier New" w:hAnsi="Courier New" w:cs="Courier New"/>
          <w:szCs w:val="24"/>
          <w:lang w:val="es-AR"/>
        </w:rPr>
        <w:t>e</w:t>
      </w:r>
      <w:r>
        <w:rPr>
          <w:rFonts w:ascii="Courier New" w:hAnsi="Courier New" w:cs="Courier New"/>
          <w:szCs w:val="24"/>
          <w:lang w:val="es-AR"/>
        </w:rPr>
        <w:t>to de compraventa confeccionado en la ocasión, fech</w:t>
      </w:r>
      <w:r>
        <w:rPr>
          <w:rFonts w:ascii="Courier New" w:hAnsi="Courier New" w:cs="Courier New"/>
          <w:szCs w:val="24"/>
          <w:lang w:val="es-AR"/>
        </w:rPr>
        <w:t>a</w:t>
      </w:r>
      <w:r>
        <w:rPr>
          <w:rFonts w:ascii="Courier New" w:hAnsi="Courier New" w:cs="Courier New"/>
          <w:szCs w:val="24"/>
          <w:lang w:val="es-AR"/>
        </w:rPr>
        <w:t>do 28 de mayo de 1994, por el que Hugo Antonio Pérez vendió y transfirió a Ana María Toretta y Hernán Mur</w:t>
      </w:r>
      <w:r>
        <w:rPr>
          <w:rFonts w:ascii="Courier New" w:hAnsi="Courier New" w:cs="Courier New"/>
          <w:szCs w:val="24"/>
          <w:lang w:val="es-AR"/>
        </w:rPr>
        <w:t>i</w:t>
      </w:r>
      <w:r>
        <w:rPr>
          <w:rFonts w:ascii="Courier New" w:hAnsi="Courier New" w:cs="Courier New"/>
          <w:szCs w:val="24"/>
          <w:lang w:val="es-AR"/>
        </w:rPr>
        <w:t xml:space="preserve">llo Zuñiga </w:t>
      </w:r>
      <w:smartTag w:uri="urn:schemas-microsoft-com:office:smarttags" w:element="PersonName">
        <w:smartTagPr>
          <w:attr w:name="ProductID" w:val="la Renault Trafic"/>
        </w:smartTagPr>
        <w:r>
          <w:rPr>
            <w:rFonts w:ascii="Courier New" w:hAnsi="Courier New" w:cs="Courier New"/>
            <w:szCs w:val="24"/>
            <w:lang w:val="es-AR"/>
          </w:rPr>
          <w:t>la Renault Trafic</w:t>
        </w:r>
      </w:smartTag>
      <w:r>
        <w:rPr>
          <w:rFonts w:ascii="Courier New" w:hAnsi="Courier New" w:cs="Courier New"/>
          <w:szCs w:val="24"/>
          <w:lang w:val="es-AR"/>
        </w:rPr>
        <w:t xml:space="preserve"> dominio B 2.242.044, por la suma de </w:t>
      </w:r>
      <w:r>
        <w:rPr>
          <w:rFonts w:ascii="Courier New" w:hAnsi="Courier New" w:cs="Courier New"/>
        </w:rPr>
        <w:t xml:space="preserve">$ </w:t>
      </w:r>
      <w:r>
        <w:rPr>
          <w:rFonts w:ascii="Courier New" w:hAnsi="Courier New" w:cs="Courier New"/>
          <w:szCs w:val="24"/>
          <w:lang w:val="es-AR"/>
        </w:rPr>
        <w:t>16.500; otro ejemplar se secuestró en el allan</w:t>
      </w:r>
      <w:r>
        <w:rPr>
          <w:rFonts w:ascii="Courier New" w:hAnsi="Courier New" w:cs="Courier New"/>
          <w:szCs w:val="24"/>
          <w:lang w:val="es-AR"/>
        </w:rPr>
        <w:t>a</w:t>
      </w:r>
      <w:r>
        <w:rPr>
          <w:rFonts w:ascii="Courier New" w:hAnsi="Courier New" w:cs="Courier New"/>
          <w:szCs w:val="24"/>
          <w:lang w:val="es-AR"/>
        </w:rPr>
        <w:t xml:space="preserve">miento </w:t>
      </w:r>
      <w:r>
        <w:rPr>
          <w:rFonts w:ascii="Courier New" w:hAnsi="Courier New" w:cs="Courier New"/>
          <w:bCs/>
        </w:rPr>
        <w:t xml:space="preserve">del inmueble de la calle </w:t>
      </w:r>
      <w:r>
        <w:rPr>
          <w:rFonts w:ascii="Courier New" w:hAnsi="Courier New" w:cs="Courier New"/>
        </w:rPr>
        <w:t>Roosevelt 2462, piso 3º, depto. “A”, de Capital F</w:t>
      </w:r>
      <w:r>
        <w:rPr>
          <w:rFonts w:ascii="Courier New" w:hAnsi="Courier New" w:cs="Courier New"/>
        </w:rPr>
        <w:t>e</w:t>
      </w:r>
      <w:r>
        <w:rPr>
          <w:rFonts w:ascii="Courier New" w:hAnsi="Courier New" w:cs="Courier New"/>
        </w:rPr>
        <w:t>deral.</w:t>
      </w:r>
    </w:p>
    <w:p w:rsidR="00224567" w:rsidRDefault="00224567">
      <w:pPr>
        <w:widowControl w:val="0"/>
      </w:pPr>
      <w:r>
        <w:tab/>
        <w:t>Carlos Alberto Casimiro Villar r</w:t>
      </w:r>
      <w:r>
        <w:t>e</w:t>
      </w:r>
      <w:r>
        <w:t xml:space="preserve">lató que compró un Renault </w:t>
      </w:r>
      <w:smartTag w:uri="urn:schemas-microsoft-com:office:smarttags" w:element="metricconverter">
        <w:smartTagPr>
          <w:attr w:name="ProductID" w:val="12 a"/>
        </w:smartTagPr>
        <w:r>
          <w:t>12 a</w:t>
        </w:r>
      </w:smartTag>
      <w:r>
        <w:t xml:space="preserve"> Telleldín en su domicilio de Villa Ballester, al que llegó por un aviso del diario “Clarín”. Explicó que se entrevistó con el titular ant</w:t>
      </w:r>
      <w:r>
        <w:t>e</w:t>
      </w:r>
      <w:r>
        <w:t>rior, llamado Mesler, quien comentó que había chocado el vehículo, quedando maravillado con la perfección del arr</w:t>
      </w:r>
      <w:r>
        <w:t>e</w:t>
      </w:r>
      <w:r>
        <w:t>glo; luego se enteró que se trataba de la carroc</w:t>
      </w:r>
      <w:r>
        <w:t>e</w:t>
      </w:r>
      <w:r>
        <w:t>ría de un automóvil robado. A fs. 15.155 se glosó una copia del b</w:t>
      </w:r>
      <w:r>
        <w:t>o</w:t>
      </w:r>
      <w:r>
        <w:t>leto de compraventa, reconociendo el test</w:t>
      </w:r>
      <w:r>
        <w:t>i</w:t>
      </w:r>
      <w:r>
        <w:t>go su firma, del que se desprende que la operación sobre el vehículo dom</w:t>
      </w:r>
      <w:r>
        <w:t>i</w:t>
      </w:r>
      <w:r>
        <w:t>nio B 2.335.520 se llevó a cabo en junio de 1994, por $ 9000. El otro ejemplar de ese documento se encontró al allanarse la vivienda de la c</w:t>
      </w:r>
      <w:r>
        <w:t>a</w:t>
      </w:r>
      <w:r>
        <w:t>lle Roosevelt.</w:t>
      </w:r>
    </w:p>
    <w:p w:rsidR="00224567" w:rsidRDefault="00224567">
      <w:pPr>
        <w:widowControl w:val="0"/>
      </w:pPr>
      <w:r>
        <w:tab/>
        <w:t xml:space="preserve">Sergio Alejandro Rodríguez refirió que compró un Renault </w:t>
      </w:r>
      <w:smartTag w:uri="urn:schemas-microsoft-com:office:smarttags" w:element="metricconverter">
        <w:smartTagPr>
          <w:attr w:name="ProductID" w:val="11 a"/>
        </w:smartTagPr>
        <w:r>
          <w:t>11 a</w:t>
        </w:r>
      </w:smartTag>
      <w:r>
        <w:t xml:space="preserve"> Carlos Telleldín en su domicilio particular, entregándole una moto en parte de pago. Rec</w:t>
      </w:r>
      <w:r>
        <w:t>o</w:t>
      </w:r>
      <w:r>
        <w:t>noció su firma en la copia del recibo de venta de fs. 15.130, del que surge que la operación se llevó a cabo el 25 de abril de 1994, por USD 13.500, sobre la unidad dom</w:t>
      </w:r>
      <w:r>
        <w:t>i</w:t>
      </w:r>
      <w:r>
        <w:t>nio B 2.443.374. El otro ejemplar del recibo también fue secue</w:t>
      </w:r>
      <w:r>
        <w:t>s</w:t>
      </w:r>
      <w:r>
        <w:t xml:space="preserve">trado  en  ocasión del  allanamiento  mencionado  </w:t>
      </w:r>
      <w:r>
        <w:rPr>
          <w:u w:val="single"/>
        </w:rPr>
        <w:t>ut supra</w:t>
      </w:r>
      <w:r>
        <w:t>.</w:t>
      </w:r>
    </w:p>
    <w:p w:rsidR="00224567" w:rsidRDefault="00224567">
      <w:pPr>
        <w:widowControl w:val="0"/>
      </w:pPr>
      <w:r>
        <w:tab/>
        <w:t>A su turno, Luis Fabián Videla man</w:t>
      </w:r>
      <w:r>
        <w:t>i</w:t>
      </w:r>
      <w:r>
        <w:t>festó que a raíz de un aviso publicado en el diario adqu</w:t>
      </w:r>
      <w:r>
        <w:t>i</w:t>
      </w:r>
      <w:r>
        <w:t>rió a Telleldín un Renault Fuego, en un domic</w:t>
      </w:r>
      <w:r>
        <w:t>i</w:t>
      </w:r>
      <w:r>
        <w:t>lio de Villa Ballester, según creyó sobre la calle República, entrega</w:t>
      </w:r>
      <w:r>
        <w:t>n</w:t>
      </w:r>
      <w:r>
        <w:t>do en pago su vehículo y dinero. Si bien no p</w:t>
      </w:r>
      <w:r>
        <w:t>u</w:t>
      </w:r>
      <w:r>
        <w:t xml:space="preserve">do precisar la fecha de compra, aseveró que fue unos meses antes del atentado a </w:t>
      </w:r>
      <w:smartTag w:uri="urn:schemas-microsoft-com:office:smarttags" w:element="PersonName">
        <w:smartTagPr>
          <w:attr w:name="ProductID" w:val="la A.M"/>
        </w:smartTagPr>
        <w:r>
          <w:t>la A.M</w:t>
        </w:r>
      </w:smartTag>
      <w:r>
        <w:t>.I.A. y que carecía del fo</w:t>
      </w:r>
      <w:r>
        <w:t>r</w:t>
      </w:r>
      <w:r>
        <w:t>mulario “</w:t>
      </w:r>
      <w:smartTag w:uri="urn:schemas-microsoft-com:office:smarttags" w:element="metricconverter">
        <w:smartTagPr>
          <w:attr w:name="ProductID" w:val="08”"/>
        </w:smartTagPr>
        <w:r>
          <w:t>08”</w:t>
        </w:r>
      </w:smartTag>
      <w:r>
        <w:t>. Reconoció su firma en la copia del boleto de compraventa del rodado dominio S 594.870, agregada a fs. 15.179, de la que también surge que la venta se concretó el 16 de junio de 1994, por $ 13.500. El otro ejemplar fue encontrado al allanarse el departamento de la calle Roosevelt ya menci</w:t>
      </w:r>
      <w:r>
        <w:t>o</w:t>
      </w:r>
      <w:r>
        <w:t>nado.</w:t>
      </w:r>
    </w:p>
    <w:p w:rsidR="00224567" w:rsidRDefault="00224567">
      <w:pPr>
        <w:widowControl w:val="0"/>
        <w:ind w:firstLine="2835"/>
      </w:pPr>
      <w:r>
        <w:t>También José Antonio Abastante s</w:t>
      </w:r>
      <w:r>
        <w:t>e</w:t>
      </w:r>
      <w:r>
        <w:t>ñaló que en 1993 adquirió un Renault 9 que vio en un lavadero de autos, sobre la calle Pelliza, en la localidad de Ol</w:t>
      </w:r>
      <w:r>
        <w:t>i</w:t>
      </w:r>
      <w:r>
        <w:t>vos, por el que dio un automóvil en parte de pago y una suma en efectivo. Si bien acotó que la dueña del veh</w:t>
      </w:r>
      <w:r>
        <w:t>í</w:t>
      </w:r>
      <w:r>
        <w:t>culo era una mujer, recordó que quien lo atendió fue un sujeto “gordito y bajito”, que podría tratarse de Telleldín, au</w:t>
      </w:r>
      <w:r>
        <w:t>n</w:t>
      </w:r>
      <w:r>
        <w:t xml:space="preserve">que desconocía si lo era. Reconoció su firma en la copia del boleto de compraventa de fs. 15.478, suscripto el 6 de noviembre de 1993, que da cuenta de la adquisición de aquel rodado, dominio C </w:t>
      </w:r>
      <w:smartTag w:uri="urn:schemas-microsoft-com:office:smarttags" w:element="metricconverter">
        <w:smartTagPr>
          <w:attr w:name="ProductID" w:val="1.532.808, a"/>
        </w:smartTagPr>
        <w:r>
          <w:t>1.532.808, a</w:t>
        </w:r>
      </w:smartTag>
      <w:r>
        <w:t xml:space="preserve"> Verónica Lorena T</w:t>
      </w:r>
      <w:r>
        <w:t>o</w:t>
      </w:r>
      <w:r>
        <w:t>rrisi, en la suma de $ 14.000.</w:t>
      </w:r>
    </w:p>
    <w:p w:rsidR="00224567" w:rsidRDefault="00224567">
      <w:pPr>
        <w:widowControl w:val="0"/>
      </w:pPr>
      <w:r>
        <w:tab/>
        <w:t>A lo expuesto se añaden los docume</w:t>
      </w:r>
      <w:r>
        <w:t>n</w:t>
      </w:r>
      <w:r>
        <w:t>tos agregados a fs. 15.123 y 15.211, que ilustran acerca de otras transacciones llevadas a cabo por el imp</w:t>
      </w:r>
      <w:r>
        <w:t>u</w:t>
      </w:r>
      <w:r>
        <w:t>tado.</w:t>
      </w:r>
    </w:p>
    <w:p w:rsidR="00224567" w:rsidRDefault="00224567">
      <w:pPr>
        <w:widowControl w:val="0"/>
      </w:pPr>
      <w:r>
        <w:tab/>
        <w:t>El primero consiste en la copia de un rec</w:t>
      </w:r>
      <w:r>
        <w:t>i</w:t>
      </w:r>
      <w:r>
        <w:t>bo de venta del 25 de junio de 1994, por USD 8000, por el vehículo Renault Fuego GTX, dominio B 1.956.602, entre Luis Ignacio Peláez y Carlos A. “Te</w:t>
      </w:r>
      <w:r>
        <w:t>c</w:t>
      </w:r>
      <w:r>
        <w:t>cedin”. El segundo es otro recibo de venta, del 3 de mayo de 1993, en el que Carlos Alberto Telleldín le vendió a Jorge Gabriel Mastr</w:t>
      </w:r>
      <w:r>
        <w:t>o</w:t>
      </w:r>
      <w:r>
        <w:t>cola, un vehículo Renault 12, dominio C 1.493.262, en la suma de $ 23.000 (</w:t>
      </w:r>
      <w:r>
        <w:rPr>
          <w:spacing w:val="-2"/>
        </w:rPr>
        <w:t>cónf.</w:t>
      </w:r>
      <w:r>
        <w:t xml:space="preserve"> copia de céd</w:t>
      </w:r>
      <w:r>
        <w:t>u</w:t>
      </w:r>
      <w:r>
        <w:t>la de identificación del aut</w:t>
      </w:r>
      <w:r>
        <w:t>o</w:t>
      </w:r>
      <w:r>
        <w:t>motor de fs. 15.208).</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En otro orden, Ricardo Omar Pistone refirió haberle adquirido a Telleldín un lavadero de a</w:t>
      </w:r>
      <w:r>
        <w:rPr>
          <w:rFonts w:ascii="Courier New" w:hAnsi="Courier New" w:cs="Courier New"/>
          <w:szCs w:val="24"/>
          <w:lang w:val="es-AR"/>
        </w:rPr>
        <w:t>u</w:t>
      </w:r>
      <w:r>
        <w:rPr>
          <w:rFonts w:ascii="Courier New" w:hAnsi="Courier New" w:cs="Courier New"/>
          <w:szCs w:val="24"/>
          <w:lang w:val="es-AR"/>
        </w:rPr>
        <w:t>tos. Si bien al declarar en el debate no lo recordó, ante la instrucción, a fs. 324vta., precisó haber recibido en el lavadero a varias personas preguntando por aquél, al que calificaban de delincuente, toda vez que habían sido estafadas en oportunidad de comprar rod</w:t>
      </w:r>
      <w:r>
        <w:rPr>
          <w:rFonts w:ascii="Courier New" w:hAnsi="Courier New" w:cs="Courier New"/>
          <w:szCs w:val="24"/>
          <w:lang w:val="es-AR"/>
        </w:rPr>
        <w:t>a</w:t>
      </w:r>
      <w:r>
        <w:rPr>
          <w:rFonts w:ascii="Courier New" w:hAnsi="Courier New" w:cs="Courier New"/>
          <w:szCs w:val="24"/>
          <w:lang w:val="es-AR"/>
        </w:rPr>
        <w:t>dos.</w:t>
      </w:r>
    </w:p>
    <w:p w:rsidR="00224567" w:rsidRDefault="00224567">
      <w:pPr>
        <w:widowControl w:val="0"/>
      </w:pPr>
      <w:r>
        <w:tab/>
        <w:t>Carlos Antonio Mauceri, socio de Pi</w:t>
      </w:r>
      <w:r>
        <w:t>s</w:t>
      </w:r>
      <w:r>
        <w:t>tone en la compra del lavadero, recordó que en un galpón quedaron vehículos desarmados, solicitándole a Telleldín que los retirara, pero como no lo hizo, los sacaron a la calle. Asimismo, refirió que se acercaron algunas personas diciendo que tenían problemas con automotores o debían p</w:t>
      </w:r>
      <w:r>
        <w:t>a</w:t>
      </w:r>
      <w:r>
        <w:t>tentes, así como también una mujer que, según dijo, había aportado dinero para el armado de vehíc</w:t>
      </w:r>
      <w:r>
        <w:t>u</w:t>
      </w:r>
      <w:r>
        <w:t>los.</w:t>
      </w:r>
    </w:p>
    <w:p w:rsidR="00224567" w:rsidRDefault="00224567">
      <w:pPr>
        <w:widowControl w:val="0"/>
      </w:pPr>
      <w:r>
        <w:tab/>
        <w:t>A su vez, los imputados Hugo Antonio Pérez, Miguel Gustavo Jaimes y Ariel Rodolfo Nitzcaner también aludieron, en sus respectivas declaraciones ind</w:t>
      </w:r>
      <w:r>
        <w:t>a</w:t>
      </w:r>
      <w:r>
        <w:t>gatorias, a la actividad comercial de Carlos Telle</w:t>
      </w:r>
      <w:r>
        <w:t>l</w:t>
      </w:r>
      <w:r>
        <w:t>dín.</w:t>
      </w:r>
    </w:p>
    <w:p w:rsidR="00224567" w:rsidRDefault="00224567">
      <w:pPr>
        <w:widowControl w:val="0"/>
        <w:ind w:firstLine="2835"/>
      </w:pPr>
      <w:r>
        <w:t>En tal sentido, Hugo Antonio Pérez r</w:t>
      </w:r>
      <w:r>
        <w:t>e</w:t>
      </w:r>
      <w:r>
        <w:t>firió que Telleldín se dedicaba a la compraventa de aut</w:t>
      </w:r>
      <w:r>
        <w:t>o</w:t>
      </w:r>
      <w:r>
        <w:t>motores; que un tal Ariel era el mecánico que arreglaba los a</w:t>
      </w:r>
      <w:r>
        <w:t>u</w:t>
      </w:r>
      <w:r>
        <w:t>tomóviles que luego aquél vendía. Asimismo, recordó que acompañó a su coimputado a la agencia “Automotores Aleja</w:t>
      </w:r>
      <w:r>
        <w:t>n</w:t>
      </w:r>
      <w:r>
        <w:t>dro”.</w:t>
      </w:r>
    </w:p>
    <w:p w:rsidR="00224567" w:rsidRDefault="00224567">
      <w:pPr>
        <w:widowControl w:val="0"/>
      </w:pPr>
      <w:r>
        <w:tab/>
        <w:t>Por su parte, Miguel Gustavo Jaimes manifestó que Telleldín le comentó que compraba rodados siniestrados en la empresa “Automotores Alejandro”, los reparaba y luego vendía; vio automóviles con oferta de venta en el lavadero de su consorte de causa y ta</w:t>
      </w:r>
      <w:r>
        <w:t>m</w:t>
      </w:r>
      <w:r>
        <w:t>bién se enteró que publicaba avisos en los di</w:t>
      </w:r>
      <w:r>
        <w:t>a</w:t>
      </w:r>
      <w:r>
        <w:t>rios.</w:t>
      </w:r>
    </w:p>
    <w:p w:rsidR="00224567" w:rsidRDefault="00224567">
      <w:pPr>
        <w:widowControl w:val="0"/>
      </w:pPr>
      <w:r>
        <w:tab/>
        <w:t>Por último, Ariel Rodolfo Nitzcaner indicó que Telleldín le llevaba automóviles a su taller para a</w:t>
      </w:r>
      <w:r>
        <w:t>r</w:t>
      </w:r>
      <w:r>
        <w:t>mar e hizo referencia a varias camionetas Trafic y a un motor de un Renault 12.</w:t>
      </w:r>
    </w:p>
    <w:p w:rsidR="00224567" w:rsidRDefault="00224567">
      <w:pPr>
        <w:widowControl w:val="0"/>
      </w:pPr>
      <w:r>
        <w:tab/>
        <w:t>En virtud de todo lo expuesto, surge evidente que Carlos Alberto Telleldín se dedicaba a la compra y venta de automotores para su “doblado” y venta a terceros, constituyendo su actividad habitual, su modo y medio de vida, en virtud de la cual defraudaba a comprad</w:t>
      </w:r>
      <w:r>
        <w:t>o</w:t>
      </w:r>
      <w:r>
        <w:t>res de buena fe.</w:t>
      </w:r>
    </w:p>
    <w:p w:rsidR="00224567" w:rsidRDefault="00224567">
      <w:pPr>
        <w:widowControl w:val="0"/>
      </w:pPr>
      <w:r>
        <w:tab/>
        <w:t>Entonces, resulta altamente probable que Telleldín haya montado el motor de la camioneta de “Messin” en una carrocería sustraída, no identificada ha</w:t>
      </w:r>
      <w:r>
        <w:t>s</w:t>
      </w:r>
      <w:r>
        <w:t>ta el momento. De haber acontecido de ese modo, no se pu</w:t>
      </w:r>
      <w:r>
        <w:t>e</w:t>
      </w:r>
      <w:r>
        <w:t>de co</w:t>
      </w:r>
      <w:r>
        <w:t>n</w:t>
      </w:r>
      <w:r>
        <w:t>cluir que tuviera una ultraintención que trascienda su pr</w:t>
      </w:r>
      <w:r>
        <w:t>o</w:t>
      </w:r>
      <w:r>
        <w:t>pósito de poner en venta el vehículo armado en esas cond</w:t>
      </w:r>
      <w:r>
        <w:t>i</w:t>
      </w:r>
      <w:r>
        <w:t>ciones.</w:t>
      </w:r>
    </w:p>
    <w:p w:rsidR="00224567" w:rsidRDefault="00224567">
      <w:pPr>
        <w:widowControl w:val="0"/>
      </w:pPr>
      <w:r>
        <w:tab/>
        <w:t>La comprobación de que el “doblado” de vehículos constituía la actividad habitual de Telleldín echa por tierra el argumento esgrimido por el Dr. Jacoby, en el sentido de que el imputado, al colocar el motor de un rodado en otro, tuvo la idea de que sería empleado para cometer un delito. Lo contrario implicaría extender esa misma conclusión a cada uno de los automotores que el e</w:t>
      </w:r>
      <w:r>
        <w:t>n</w:t>
      </w:r>
      <w:r>
        <w:t>cartado enajenó de esa manera y que, como se vio, fueron adquiridos por compradores de buena fe.</w:t>
      </w:r>
    </w:p>
    <w:p w:rsidR="00224567" w:rsidRDefault="00224567">
      <w:pPr>
        <w:pStyle w:val="Ttulo5"/>
        <w:keepNext w:val="0"/>
        <w:widowControl w:val="0"/>
        <w:spacing w:line="600" w:lineRule="auto"/>
        <w:rPr>
          <w:b w:val="0"/>
          <w:bCs w:val="0"/>
        </w:rPr>
      </w:pPr>
      <w:bookmarkStart w:id="65" w:name="_Toc86676581"/>
      <w:r>
        <w:t xml:space="preserve">B.9.b) </w:t>
      </w:r>
      <w:r>
        <w:rPr>
          <w:b w:val="0"/>
          <w:bCs w:val="0"/>
        </w:rPr>
        <w:t>Derecho penal de autor.</w:t>
      </w:r>
      <w:bookmarkEnd w:id="65"/>
    </w:p>
    <w:p w:rsidR="00224567" w:rsidRDefault="00224567">
      <w:pPr>
        <w:widowControl w:val="0"/>
      </w:pPr>
      <w:r>
        <w:tab/>
        <w:t>Las particulares características ét</w:t>
      </w:r>
      <w:r>
        <w:t>i</w:t>
      </w:r>
      <w:r>
        <w:t>cas y morales de Carlos Alberto Telleldín y la circunsta</w:t>
      </w:r>
      <w:r>
        <w:t>n</w:t>
      </w:r>
      <w:r>
        <w:t>cia de carecer de medios de vida lícitos, no pueden er</w:t>
      </w:r>
      <w:r>
        <w:t>i</w:t>
      </w:r>
      <w:r>
        <w:t>girse como único pilar de un juicio de reproche, d</w:t>
      </w:r>
      <w:r>
        <w:t>a</w:t>
      </w:r>
      <w:r>
        <w:t xml:space="preserve">do que se violaría el principio de exterioridad de las acciones (art. 19 de </w:t>
      </w:r>
      <w:smartTag w:uri="urn:schemas-microsoft-com:office:smarttags" w:element="PersonName">
        <w:smartTagPr>
          <w:attr w:name="ProductID" w:val="la Constituci￳n Nacional"/>
        </w:smartTagPr>
        <w:r>
          <w:t>la Constitución Nacional</w:t>
        </w:r>
      </w:smartTag>
      <w:r>
        <w:t>).</w:t>
      </w:r>
    </w:p>
    <w:p w:rsidR="00224567" w:rsidRDefault="00224567">
      <w:pPr>
        <w:widowControl w:val="0"/>
      </w:pPr>
      <w:r>
        <w:tab/>
        <w:t>Ello importaría consagrar lo que la doctrina denomina, reprobándolo de modo categórico, der</w:t>
      </w:r>
      <w:r>
        <w:t>e</w:t>
      </w:r>
      <w:r>
        <w:t>cho penal de autor, por cuanto sólo se trata de un pronó</w:t>
      </w:r>
      <w:r>
        <w:t>s</w:t>
      </w:r>
      <w:r>
        <w:t>tico social de la peligrosidad y por tanto de simple pr</w:t>
      </w:r>
      <w:r>
        <w:t>o</w:t>
      </w:r>
      <w:r>
        <w:t>filaxis (ver Maurach, “Tratado de Derecho P</w:t>
      </w:r>
      <w:r>
        <w:t>e</w:t>
      </w:r>
      <w:r>
        <w:t>nal”, tomo I, Barcelona Ariel, 1962, pág. 59; en igual sentido, ver Ma</w:t>
      </w:r>
      <w:r>
        <w:t>u</w:t>
      </w:r>
      <w:r>
        <w:t>rach-Zipf, “Derecho Penal. Parte General”, tomo I, ed. A</w:t>
      </w:r>
      <w:r>
        <w:t>s</w:t>
      </w:r>
      <w:r>
        <w:t>trea, 1994, pág. 80 y sigs.).</w:t>
      </w:r>
    </w:p>
    <w:p w:rsidR="00224567" w:rsidRDefault="00224567">
      <w:pPr>
        <w:widowControl w:val="0"/>
      </w:pPr>
      <w:r>
        <w:tab/>
        <w:t>En cuanto a los orígenes de aquella concepción, tanto Lombroso como sus precursores y seguid</w:t>
      </w:r>
      <w:r>
        <w:t>o</w:t>
      </w:r>
      <w:r>
        <w:t>res encontraron precisamente lo que buscaban: el deli</w:t>
      </w:r>
      <w:r>
        <w:t>n</w:t>
      </w:r>
      <w:r>
        <w:t>cuente como un fenómeno aislado, objeto de consideración científica, como preparado inmóvil bajo la lente del m</w:t>
      </w:r>
      <w:r>
        <w:t>i</w:t>
      </w:r>
      <w:r>
        <w:t>croscopio de los fieles a la ley. Con ello se situ</w:t>
      </w:r>
      <w:r>
        <w:t>a</w:t>
      </w:r>
      <w:r>
        <w:t>ron en plena contradicción con la concepción del delito que pro</w:t>
      </w:r>
      <w:r>
        <w:t>n</w:t>
      </w:r>
      <w:r>
        <w:t>to comenzó a dominar la criminología científica y que cu</w:t>
      </w:r>
      <w:r>
        <w:t>l</w:t>
      </w:r>
      <w:r>
        <w:t>mina con las actuales teorías de la definición o del et</w:t>
      </w:r>
      <w:r>
        <w:t>i</w:t>
      </w:r>
      <w:r>
        <w:t>quetamiento: el delito no es el hecho de un individuo ai</w:t>
      </w:r>
      <w:r>
        <w:t>s</w:t>
      </w:r>
      <w:r>
        <w:t>lado, sino el pr</w:t>
      </w:r>
      <w:r>
        <w:t>o</w:t>
      </w:r>
      <w:r>
        <w:t>ducto de la interacción social, cuando no el producto de la atribución del “st</w:t>
      </w:r>
      <w:r>
        <w:t>a</w:t>
      </w:r>
      <w:r>
        <w:t>tus” de criminal por parte de instancias de control social formal, como la p</w:t>
      </w:r>
      <w:r>
        <w:t>o</w:t>
      </w:r>
      <w:r>
        <w:t>licía, los fiscales o los tribunales (</w:t>
      </w:r>
      <w:r>
        <w:rPr>
          <w:spacing w:val="-2"/>
        </w:rPr>
        <w:t>cónf.</w:t>
      </w:r>
      <w:r>
        <w:t xml:space="preserve"> Hassemer, Wi</w:t>
      </w:r>
      <w:r>
        <w:t>n</w:t>
      </w:r>
      <w:r>
        <w:t>fried, “Fundamentos del Derecho Penal”, ed. Bosch, Barc</w:t>
      </w:r>
      <w:r>
        <w:t>e</w:t>
      </w:r>
      <w:r>
        <w:t>lona, 1984, pág. 44).</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Por su parte, Claus Roxin enseña que “un ordenamiento jurídico que se basa en principios pr</w:t>
      </w:r>
      <w:r>
        <w:rPr>
          <w:rFonts w:ascii="Courier New" w:hAnsi="Courier New" w:cs="Courier New"/>
          <w:szCs w:val="24"/>
          <w:lang w:val="es-AR"/>
        </w:rPr>
        <w:t>o</w:t>
      </w:r>
      <w:r>
        <w:rPr>
          <w:rFonts w:ascii="Courier New" w:hAnsi="Courier New" w:cs="Courier New"/>
          <w:szCs w:val="24"/>
          <w:lang w:val="es-AR"/>
        </w:rPr>
        <w:t>pios de un Estado de derecho liberal se inclinará siempre hacia un derecho penal del hecho”, explicando que por éste “se entiende una regulación legal, en vi</w:t>
      </w:r>
      <w:r>
        <w:rPr>
          <w:rFonts w:ascii="Courier New" w:hAnsi="Courier New" w:cs="Courier New"/>
          <w:szCs w:val="24"/>
          <w:lang w:val="es-AR"/>
        </w:rPr>
        <w:t>r</w:t>
      </w:r>
      <w:r>
        <w:rPr>
          <w:rFonts w:ascii="Courier New" w:hAnsi="Courier New" w:cs="Courier New"/>
          <w:szCs w:val="24"/>
          <w:lang w:val="es-AR"/>
        </w:rPr>
        <w:t>tud de la cual la punibilidad se vincula a una acción concreta descripta t</w:t>
      </w:r>
      <w:r>
        <w:rPr>
          <w:rFonts w:ascii="Courier New" w:hAnsi="Courier New" w:cs="Courier New"/>
          <w:szCs w:val="24"/>
          <w:lang w:val="es-AR"/>
        </w:rPr>
        <w:t>í</w:t>
      </w:r>
      <w:r>
        <w:rPr>
          <w:rFonts w:ascii="Courier New" w:hAnsi="Courier New" w:cs="Courier New"/>
          <w:szCs w:val="24"/>
          <w:lang w:val="es-AR"/>
        </w:rPr>
        <w:t>picamente y la sanción representa sólo la respuesta al h</w:t>
      </w:r>
      <w:r>
        <w:rPr>
          <w:rFonts w:ascii="Courier New" w:hAnsi="Courier New" w:cs="Courier New"/>
          <w:szCs w:val="24"/>
          <w:lang w:val="es-AR"/>
        </w:rPr>
        <w:t>e</w:t>
      </w:r>
      <w:r>
        <w:rPr>
          <w:rFonts w:ascii="Courier New" w:hAnsi="Courier New" w:cs="Courier New"/>
          <w:szCs w:val="24"/>
          <w:lang w:val="es-AR"/>
        </w:rPr>
        <w:t>cho individual, y no a toda la conducción de la vida del autor o a los peligros que en el futuro se esperan del mismo. Frente a esto, se tratará de un derecho penal de autor cuando la pena se vincule a la personalidad del a</w:t>
      </w:r>
      <w:r>
        <w:rPr>
          <w:rFonts w:ascii="Courier New" w:hAnsi="Courier New" w:cs="Courier New"/>
          <w:szCs w:val="24"/>
          <w:lang w:val="es-AR"/>
        </w:rPr>
        <w:t>u</w:t>
      </w:r>
      <w:r>
        <w:rPr>
          <w:rFonts w:ascii="Courier New" w:hAnsi="Courier New" w:cs="Courier New"/>
          <w:szCs w:val="24"/>
          <w:lang w:val="es-AR"/>
        </w:rPr>
        <w:t>tor y sea su asocialidad y el grado de la misma lo que d</w:t>
      </w:r>
      <w:r>
        <w:rPr>
          <w:rFonts w:ascii="Courier New" w:hAnsi="Courier New" w:cs="Courier New"/>
          <w:szCs w:val="24"/>
          <w:lang w:val="es-AR"/>
        </w:rPr>
        <w:t>e</w:t>
      </w:r>
      <w:r>
        <w:rPr>
          <w:rFonts w:ascii="Courier New" w:hAnsi="Courier New" w:cs="Courier New"/>
          <w:szCs w:val="24"/>
          <w:lang w:val="es-AR"/>
        </w:rPr>
        <w:t>cida sobre la sanción” (</w:t>
      </w:r>
      <w:r>
        <w:rPr>
          <w:rFonts w:ascii="Courier New" w:hAnsi="Courier New" w:cs="Courier New"/>
          <w:spacing w:val="-2"/>
        </w:rPr>
        <w:t>cónf.</w:t>
      </w:r>
      <w:r>
        <w:rPr>
          <w:rFonts w:ascii="Courier New" w:hAnsi="Courier New" w:cs="Courier New"/>
          <w:szCs w:val="24"/>
          <w:lang w:val="es-AR"/>
        </w:rPr>
        <w:t xml:space="preserve"> “Derecho Penal. Parte Gen</w:t>
      </w:r>
      <w:r>
        <w:rPr>
          <w:rFonts w:ascii="Courier New" w:hAnsi="Courier New" w:cs="Courier New"/>
          <w:szCs w:val="24"/>
          <w:lang w:val="es-AR"/>
        </w:rPr>
        <w:t>e</w:t>
      </w:r>
      <w:r>
        <w:rPr>
          <w:rFonts w:ascii="Courier New" w:hAnsi="Courier New" w:cs="Courier New"/>
          <w:szCs w:val="24"/>
          <w:lang w:val="es-AR"/>
        </w:rPr>
        <w:t xml:space="preserve">ral. Tomo I – Fundamentos. </w:t>
      </w:r>
      <w:smartTag w:uri="urn:schemas-microsoft-com:office:smarttags" w:element="PersonName">
        <w:smartTagPr>
          <w:attr w:name="ProductID" w:val="La Estructura"/>
        </w:smartTagPr>
        <w:r>
          <w:rPr>
            <w:rFonts w:ascii="Courier New" w:hAnsi="Courier New" w:cs="Courier New"/>
            <w:szCs w:val="24"/>
            <w:lang w:val="es-AR"/>
          </w:rPr>
          <w:t>La Estructura</w:t>
        </w:r>
      </w:smartTag>
      <w:r>
        <w:rPr>
          <w:rFonts w:ascii="Courier New" w:hAnsi="Courier New" w:cs="Courier New"/>
          <w:szCs w:val="24"/>
          <w:lang w:val="es-AR"/>
        </w:rPr>
        <w:t xml:space="preserve"> de </w:t>
      </w:r>
      <w:smartTag w:uri="urn:schemas-microsoft-com:office:smarttags" w:element="PersonName">
        <w:smartTagPr>
          <w:attr w:name="ProductID" w:val="la Teor￭a"/>
        </w:smartTagPr>
        <w:r>
          <w:rPr>
            <w:rFonts w:ascii="Courier New" w:hAnsi="Courier New" w:cs="Courier New"/>
            <w:szCs w:val="24"/>
            <w:lang w:val="es-AR"/>
          </w:rPr>
          <w:t>la Teoría</w:t>
        </w:r>
      </w:smartTag>
      <w:r>
        <w:rPr>
          <w:rFonts w:ascii="Courier New" w:hAnsi="Courier New" w:cs="Courier New"/>
          <w:szCs w:val="24"/>
          <w:lang w:val="es-AR"/>
        </w:rPr>
        <w:t xml:space="preserve"> del Delito”, Ed. Civitas, Madrid, 2003, pág. 176 y </w:t>
      </w:r>
      <w:r>
        <w:rPr>
          <w:rFonts w:ascii="Courier New" w:hAnsi="Courier New" w:cs="Courier New"/>
        </w:rPr>
        <w:t>sig</w:t>
      </w:r>
      <w:r>
        <w:rPr>
          <w:rFonts w:ascii="Courier New" w:hAnsi="Courier New" w:cs="Courier New"/>
          <w:szCs w:val="24"/>
          <w:lang w:val="es-AR"/>
        </w:rPr>
        <w:t>.).</w:t>
      </w:r>
    </w:p>
    <w:p w:rsidR="00224567" w:rsidRDefault="00224567">
      <w:pPr>
        <w:widowControl w:val="0"/>
      </w:pPr>
      <w:r>
        <w:tab/>
        <w:t>En cuanto al derecho penal de autor, en esa misma obra Roxin cita a Bockelmann, para quien “lo que hace culp</w:t>
      </w:r>
      <w:r>
        <w:t>a</w:t>
      </w:r>
      <w:r>
        <w:t>ble aquí al autor no es ya que haya cometido un hecho, sino que sólo el que el autor sea ‘tal’ se co</w:t>
      </w:r>
      <w:r>
        <w:t>n</w:t>
      </w:r>
      <w:r>
        <w:t>vierte en o</w:t>
      </w:r>
      <w:r>
        <w:t>b</w:t>
      </w:r>
      <w:r>
        <w:t>jeto de la censura legal” y “allí donde entre los presupuestos de la conminación penal se incluye algo distinto y más que el si y el cómo de una acción indiv</w:t>
      </w:r>
      <w:r>
        <w:t>i</w:t>
      </w:r>
      <w:r>
        <w:t>dual, y donde ese algo más debe buscarse en la peculiar</w:t>
      </w:r>
      <w:r>
        <w:t>i</w:t>
      </w:r>
      <w:r>
        <w:t>dad humana del autor, estamos ante un sistema en que la pena se dirige al autor como tal”.</w:t>
      </w:r>
    </w:p>
    <w:p w:rsidR="00224567" w:rsidRDefault="00224567">
      <w:pPr>
        <w:widowControl w:val="0"/>
      </w:pPr>
      <w:r>
        <w:tab/>
        <w:t>En la especie, los acusadores pusi</w:t>
      </w:r>
      <w:r>
        <w:t>e</w:t>
      </w:r>
      <w:r>
        <w:t>ron en cabeza de Telleldín el deber de evaluar, “en b</w:t>
      </w:r>
      <w:r>
        <w:t>a</w:t>
      </w:r>
      <w:r>
        <w:t>se a su experiencia”, cuál era la finalidad de la c</w:t>
      </w:r>
      <w:r>
        <w:t>a</w:t>
      </w:r>
      <w:r>
        <w:t>mioneta, para advertir que no se trataba de un mero encargue para obt</w:t>
      </w:r>
      <w:r>
        <w:t>e</w:t>
      </w:r>
      <w:r>
        <w:t>ner un vehículo, sino que, como debía presentar caract</w:t>
      </w:r>
      <w:r>
        <w:t>e</w:t>
      </w:r>
      <w:r>
        <w:t>rísticas especiales, tornaba indefectible su utilización en un hecho ilícito.</w:t>
      </w:r>
    </w:p>
    <w:p w:rsidR="00224567" w:rsidRDefault="00224567">
      <w:pPr>
        <w:widowControl w:val="0"/>
      </w:pPr>
      <w:r>
        <w:tab/>
        <w:t>Dicho concepto es falaz, por cuanto da por sentado que se encargó a Telleldín un rodado con un acondicionamiento especial, cuando ninguna prueba su</w:t>
      </w:r>
      <w:r>
        <w:t>s</w:t>
      </w:r>
      <w:r>
        <w:t>tenta esa afirmación.</w:t>
      </w:r>
    </w:p>
    <w:p w:rsidR="00224567" w:rsidRDefault="00224567">
      <w:pPr>
        <w:widowControl w:val="0"/>
      </w:pPr>
      <w:r>
        <w:tab/>
        <w:t>No obstante, de seguirse ese razon</w:t>
      </w:r>
      <w:r>
        <w:t>a</w:t>
      </w:r>
      <w:r>
        <w:t>miento, se estaría aplicando lo que se describió como d</w:t>
      </w:r>
      <w:r>
        <w:t>e</w:t>
      </w:r>
      <w:r>
        <w:t>recho penal de autor, toda vez que se relaciona, direct</w:t>
      </w:r>
      <w:r>
        <w:t>a</w:t>
      </w:r>
      <w:r>
        <w:t>mente, su habitualidad delictiva con su participación en el hecho terrorista. Básicamente, lo que se dice es que por su pasado delictivo, necesariamente debió representa</w:t>
      </w:r>
      <w:r>
        <w:t>r</w:t>
      </w:r>
      <w:r>
        <w:t>se que estaba realizando un aporte en ese sentido, es d</w:t>
      </w:r>
      <w:r>
        <w:t>e</w:t>
      </w:r>
      <w:r>
        <w:t>cir, que conocía su cometido y, más allá de las estafas que acostumbraba a realizar con la venta de vehículos, no trepidó en cometer un hecho más grav</w:t>
      </w:r>
      <w:r>
        <w:t>o</w:t>
      </w:r>
      <w:r>
        <w:t>so.</w:t>
      </w:r>
    </w:p>
    <w:p w:rsidR="00224567" w:rsidRDefault="00224567">
      <w:pPr>
        <w:widowControl w:val="0"/>
      </w:pPr>
      <w:r>
        <w:tab/>
        <w:t>En opinión de Eduardo M. Jauchen, el derecho penal de autor castiga el comportamiento social del autor, su personalidad; idea que parte del determini</w:t>
      </w:r>
      <w:r>
        <w:t>s</w:t>
      </w:r>
      <w:r>
        <w:t>mo y es propia de un ordenamiento jurídico totalitario, donde no se castiga el haber “robado”, sino el “ser un l</w:t>
      </w:r>
      <w:r>
        <w:t>a</w:t>
      </w:r>
      <w:r>
        <w:t>drón”. Lo que se prohíbe mediante sus tipos penales es la personal</w:t>
      </w:r>
      <w:r>
        <w:t>i</w:t>
      </w:r>
      <w:r>
        <w:t>dad o forma de vida.</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El autor citado continúa diciendo que “el sistema penal argentino, en virtud de su régimen rep</w:t>
      </w:r>
      <w:r>
        <w:rPr>
          <w:rFonts w:ascii="Courier New" w:hAnsi="Courier New" w:cs="Courier New"/>
          <w:szCs w:val="24"/>
          <w:lang w:val="es-AR"/>
        </w:rPr>
        <w:t>u</w:t>
      </w:r>
      <w:r>
        <w:rPr>
          <w:rFonts w:ascii="Courier New" w:hAnsi="Courier New" w:cs="Courier New"/>
          <w:szCs w:val="24"/>
          <w:lang w:val="es-AR"/>
        </w:rPr>
        <w:t>blicano y democrático, está netamente afiliado al Derecho Penal ‘de acto’; los principios liberales y g</w:t>
      </w:r>
      <w:r>
        <w:rPr>
          <w:rFonts w:ascii="Courier New" w:hAnsi="Courier New" w:cs="Courier New"/>
          <w:szCs w:val="24"/>
          <w:lang w:val="es-AR"/>
        </w:rPr>
        <w:t>a</w:t>
      </w:r>
      <w:r>
        <w:rPr>
          <w:rFonts w:ascii="Courier New" w:hAnsi="Courier New" w:cs="Courier New"/>
          <w:szCs w:val="24"/>
          <w:lang w:val="es-AR"/>
        </w:rPr>
        <w:t>rantías que emergen de nuestra Constitución no admiten un Derecho P</w:t>
      </w:r>
      <w:r>
        <w:rPr>
          <w:rFonts w:ascii="Courier New" w:hAnsi="Courier New" w:cs="Courier New"/>
          <w:szCs w:val="24"/>
          <w:lang w:val="es-AR"/>
        </w:rPr>
        <w:t>e</w:t>
      </w:r>
      <w:r>
        <w:rPr>
          <w:rFonts w:ascii="Courier New" w:hAnsi="Courier New" w:cs="Courier New"/>
          <w:szCs w:val="24"/>
          <w:lang w:val="es-AR"/>
        </w:rPr>
        <w:t xml:space="preserve">nal ‘de autor’... Lo que se critica al Derecho Penal de autor </w:t>
      </w:r>
      <w:r>
        <w:rPr>
          <w:rFonts w:ascii="Courier New" w:hAnsi="Courier New" w:cs="Courier New"/>
          <w:i/>
          <w:iCs/>
          <w:szCs w:val="24"/>
          <w:lang w:val="es-AR"/>
        </w:rPr>
        <w:t>es el prohibir y sancionar la personalidad de las personas</w:t>
      </w:r>
      <w:r>
        <w:rPr>
          <w:rFonts w:ascii="Courier New" w:hAnsi="Courier New" w:cs="Courier New"/>
          <w:szCs w:val="24"/>
          <w:lang w:val="es-AR"/>
        </w:rPr>
        <w:t>” (</w:t>
      </w:r>
      <w:r>
        <w:rPr>
          <w:rFonts w:ascii="Courier New" w:hAnsi="Courier New" w:cs="Courier New"/>
          <w:spacing w:val="-2"/>
        </w:rPr>
        <w:t>cónf.</w:t>
      </w:r>
      <w:r>
        <w:rPr>
          <w:rFonts w:ascii="Courier New" w:hAnsi="Courier New" w:cs="Courier New"/>
          <w:szCs w:val="24"/>
          <w:lang w:val="es-AR"/>
        </w:rPr>
        <w:t xml:space="preserve"> </w:t>
      </w:r>
      <w:r>
        <w:rPr>
          <w:rFonts w:ascii="Courier New" w:hAnsi="Courier New" w:cs="Courier New"/>
        </w:rPr>
        <w:t>ob. cit.</w:t>
      </w:r>
      <w:r>
        <w:rPr>
          <w:rFonts w:ascii="Courier New" w:hAnsi="Courier New" w:cs="Courier New"/>
          <w:szCs w:val="24"/>
          <w:lang w:val="es-AR"/>
        </w:rPr>
        <w:t>, pág. 596).</w:t>
      </w:r>
    </w:p>
    <w:p w:rsidR="00224567" w:rsidRDefault="00224567">
      <w:pPr>
        <w:pStyle w:val="Ttulo5"/>
        <w:keepNext w:val="0"/>
        <w:widowControl w:val="0"/>
        <w:spacing w:line="600" w:lineRule="auto"/>
        <w:rPr>
          <w:b w:val="0"/>
          <w:bCs w:val="0"/>
        </w:rPr>
      </w:pPr>
      <w:bookmarkStart w:id="66" w:name="_Toc86676582"/>
      <w:r>
        <w:t xml:space="preserve">B.9.c) </w:t>
      </w:r>
      <w:r>
        <w:rPr>
          <w:b w:val="0"/>
          <w:bCs w:val="0"/>
        </w:rPr>
        <w:t>Conocimiento del destino final de la camioneta (d</w:t>
      </w:r>
      <w:r>
        <w:rPr>
          <w:b w:val="0"/>
          <w:bCs w:val="0"/>
        </w:rPr>
        <w:t>o</w:t>
      </w:r>
      <w:r>
        <w:rPr>
          <w:b w:val="0"/>
          <w:bCs w:val="0"/>
        </w:rPr>
        <w:t>lo).</w:t>
      </w:r>
      <w:bookmarkEnd w:id="66"/>
    </w:p>
    <w:p w:rsidR="00224567" w:rsidRDefault="00224567">
      <w:pPr>
        <w:widowControl w:val="0"/>
      </w:pPr>
      <w:r>
        <w:tab/>
        <w:t>Los acusadores sostuvieron que Ca</w:t>
      </w:r>
      <w:r>
        <w:t>r</w:t>
      </w:r>
      <w:r>
        <w:t>los Alberto Telleldín, sea con dolo directo o eventual, tuvo la voluntad de hacer un aporte para la comisión del ate</w:t>
      </w:r>
      <w:r>
        <w:t>n</w:t>
      </w:r>
      <w:r>
        <w:t xml:space="preserve">tado a la sede de </w:t>
      </w:r>
      <w:smartTag w:uri="urn:schemas-microsoft-com:office:smarttags" w:element="PersonName">
        <w:smartTagPr>
          <w:attr w:name="ProductID" w:val="la A.M"/>
        </w:smartTagPr>
        <w:r>
          <w:t>la A.M</w:t>
        </w:r>
      </w:smartTag>
      <w:r>
        <w:t>.I.A..</w:t>
      </w:r>
    </w:p>
    <w:p w:rsidR="00224567" w:rsidRDefault="00224567">
      <w:pPr>
        <w:widowControl w:val="0"/>
      </w:pPr>
      <w:r>
        <w:tab/>
        <w:t>Dicha atribución de responsabilidad recorrió una amplia gama de hipótesis no confirmadas, i</w:t>
      </w:r>
      <w:r>
        <w:t>n</w:t>
      </w:r>
      <w:r>
        <w:t>troducidas como indicios a los que se pretendió otorgar, fo</w:t>
      </w:r>
      <w:r>
        <w:t>r</w:t>
      </w:r>
      <w:r>
        <w:t>zadamente, valor probatorio. Así, intentaron acreditar su participación en el delito por circunstancias tales c</w:t>
      </w:r>
      <w:r>
        <w:t>o</w:t>
      </w:r>
      <w:r>
        <w:t>mo su probada habilidad para delinquir, sus conocimientos especiales acerca del acondicionamiento de rodados para sopo</w:t>
      </w:r>
      <w:r>
        <w:t>r</w:t>
      </w:r>
      <w:r>
        <w:t>tar una carga explosiva y por el hecho de no haberlo alertado de la posibilidad de un segundo atentado el at</w:t>
      </w:r>
      <w:r>
        <w:t>a</w:t>
      </w:r>
      <w:r>
        <w:t xml:space="preserve">que a </w:t>
      </w:r>
      <w:smartTag w:uri="urn:schemas-microsoft-com:office:smarttags" w:element="PersonName">
        <w:smartTagPr>
          <w:attr w:name="ProductID" w:val="la Embajada"/>
        </w:smartTagPr>
        <w:r>
          <w:t>la Embajada</w:t>
        </w:r>
      </w:smartTag>
      <w:r>
        <w:t xml:space="preserve"> de I</w:t>
      </w:r>
      <w:r>
        <w:t>s</w:t>
      </w:r>
      <w:r>
        <w:t>rael, acaecido en marzo de 1992.</w:t>
      </w:r>
    </w:p>
    <w:p w:rsidR="00224567" w:rsidRDefault="00224567">
      <w:pPr>
        <w:widowControl w:val="0"/>
      </w:pPr>
      <w:r>
        <w:tab/>
        <w:t>En cuanto a este último reproche, no se puede ignorar que hacia 1994, en nuestro país, sólo se había producido dos años antes un atentado empleando un cochebomba. En ese orden, si el comprador o, en el mejor de los casos, quien encargó la camioneta, no informó a T</w:t>
      </w:r>
      <w:r>
        <w:t>e</w:t>
      </w:r>
      <w:r>
        <w:t>lleldín acerca del destino que habría de darle al utilit</w:t>
      </w:r>
      <w:r>
        <w:t>a</w:t>
      </w:r>
      <w:r>
        <w:t>rio, parece absurdo exigir que éste ded</w:t>
      </w:r>
      <w:r>
        <w:t>u</w:t>
      </w:r>
      <w:r>
        <w:t>jera, a partir del recuerdo de lo acaecido en la sede diplomática dos años antes, que sería cargado con explosivos para luego det</w:t>
      </w:r>
      <w:r>
        <w:t>o</w:t>
      </w:r>
      <w:r>
        <w:t>narlo frente a un edificio.</w:t>
      </w:r>
    </w:p>
    <w:p w:rsidR="00224567" w:rsidRDefault="00224567">
      <w:pPr>
        <w:widowControl w:val="0"/>
        <w:ind w:firstLine="2835"/>
      </w:pPr>
      <w:r>
        <w:t>No obra en autos ninguna constancia que permita sostener, siquiera mínimamente, que el rece</w:t>
      </w:r>
      <w:r>
        <w:t>p</w:t>
      </w:r>
      <w:r>
        <w:t xml:space="preserve">tor de </w:t>
      </w:r>
      <w:smartTag w:uri="urn:schemas-microsoft-com:office:smarttags" w:element="PersonName">
        <w:smartTagPr>
          <w:attr w:name="ProductID" w:val="la Trafic"/>
        </w:smartTagPr>
        <w:r>
          <w:t>la Trafic</w:t>
        </w:r>
      </w:smartTag>
      <w:r>
        <w:t xml:space="preserve"> haya participado al imputado de su plan criminal. Mal puede exigírsele que simplemente lo im</w:t>
      </w:r>
      <w:r>
        <w:t>a</w:t>
      </w:r>
      <w:r>
        <w:t>gine a partir de aquel cruel antecedente.</w:t>
      </w:r>
    </w:p>
    <w:p w:rsidR="00224567" w:rsidRDefault="00224567">
      <w:pPr>
        <w:widowControl w:val="0"/>
      </w:pPr>
      <w:r>
        <w:tab/>
        <w:t xml:space="preserve">En esta inteligencia, cabe recordar que en el dolo “el conocimiento siempre es </w:t>
      </w:r>
      <w:r>
        <w:rPr>
          <w:i/>
          <w:iCs/>
        </w:rPr>
        <w:t>efectivo</w:t>
      </w:r>
      <w:r>
        <w:t>, es decir, que siempre debe referirse a contenidos efectivos de la conciencia”, excluyéndose el conocimiento p</w:t>
      </w:r>
      <w:r>
        <w:t>o</w:t>
      </w:r>
      <w:r>
        <w:t xml:space="preserve">tencial y el inconsciente; ninguna de las “formas de dolo puede presumirse, de modo tal que sólo su </w:t>
      </w:r>
      <w:r>
        <w:rPr>
          <w:i/>
          <w:iCs/>
        </w:rPr>
        <w:t>presencia efectiva</w:t>
      </w:r>
      <w:r>
        <w:t xml:space="preserve"> permite habilitar poder punitivo” (</w:t>
      </w:r>
      <w:r>
        <w:rPr>
          <w:spacing w:val="-2"/>
        </w:rPr>
        <w:t>cónf.</w:t>
      </w:r>
      <w:r>
        <w:t xml:space="preserve"> Zaffaroni, Eug</w:t>
      </w:r>
      <w:r>
        <w:t>e</w:t>
      </w:r>
      <w:r>
        <w:t>nio Raúl; Alagia, Alejandro y Slokar, Alejandro, “Derecho Penal. Parte General”, Ediar, Buenos Aires, 2000, págs. 497 y 502).</w:t>
      </w:r>
    </w:p>
    <w:p w:rsidR="00224567" w:rsidRDefault="00224567">
      <w:pPr>
        <w:widowControl w:val="0"/>
      </w:pPr>
      <w:r>
        <w:tab/>
        <w:t>En el mismo sentido, Edgardo Alberto Donna, al tratar el dolo del partícipe, indica que debe existir en éste “la conciencia y la voluntad de cooperar en un hecho delictivo de otro” (</w:t>
      </w:r>
      <w:r>
        <w:rPr>
          <w:spacing w:val="-2"/>
        </w:rPr>
        <w:t>cónf.</w:t>
      </w:r>
      <w:r>
        <w:t xml:space="preserve"> “</w:t>
      </w:r>
      <w:smartTag w:uri="urn:schemas-microsoft-com:office:smarttags" w:element="PersonName">
        <w:smartTagPr>
          <w:attr w:name="ProductID" w:val="La Autor￭a"/>
        </w:smartTagPr>
        <w:r>
          <w:t>La Autoría</w:t>
        </w:r>
      </w:smartTag>
      <w:r>
        <w:t xml:space="preserve"> y </w:t>
      </w:r>
      <w:smartTag w:uri="urn:schemas-microsoft-com:office:smarttags" w:element="PersonName">
        <w:smartTagPr>
          <w:attr w:name="ProductID" w:val="la Participaci￳n Criminal"/>
        </w:smartTagPr>
        <w:r>
          <w:t>la Part</w:t>
        </w:r>
        <w:r>
          <w:t>i</w:t>
        </w:r>
        <w:r>
          <w:t>cipación Criminal</w:t>
        </w:r>
      </w:smartTag>
      <w:r>
        <w:t>”, Rubinzal-Culzoni, Santa Fe, 2002, pág. 99).</w:t>
      </w:r>
    </w:p>
    <w:p w:rsidR="00224567" w:rsidRDefault="00224567">
      <w:pPr>
        <w:widowControl w:val="0"/>
      </w:pPr>
      <w:r>
        <w:tab/>
        <w:t>Por otra parte, no se debe soslayar que T</w:t>
      </w:r>
      <w:r>
        <w:t>e</w:t>
      </w:r>
      <w:r>
        <w:t>lleldín era un vendedor habitual de automotores, sin que, a los efectos que aquí interesan, la circun</w:t>
      </w:r>
      <w:r>
        <w:t>s</w:t>
      </w:r>
      <w:r>
        <w:t>tancia de que fuesen “doblados” modifique en algo ese rol. En cons</w:t>
      </w:r>
      <w:r>
        <w:t>e</w:t>
      </w:r>
      <w:r>
        <w:t>cuencia, no es posible deducir, sin otros elementos que lo re</w:t>
      </w:r>
      <w:r>
        <w:t>s</w:t>
      </w:r>
      <w:r>
        <w:t>palden, que armó y vendió o entregó esta Trafic por un pedido especial. En este sentido, se debe determinar qué resulta razonablemente exigible a quien despliega dicha act</w:t>
      </w:r>
      <w:r>
        <w:t>i</w:t>
      </w:r>
      <w:r>
        <w:t>vidad.</w:t>
      </w:r>
    </w:p>
    <w:p w:rsidR="00224567" w:rsidRDefault="00224567">
      <w:pPr>
        <w:widowControl w:val="0"/>
      </w:pPr>
      <w:r>
        <w:tab/>
        <w:t>Al respecto, el Tribunal entiende que no era su deber inquirir a sus clientes acerca de las m</w:t>
      </w:r>
      <w:r>
        <w:t>o</w:t>
      </w:r>
      <w:r>
        <w:t>tivaciones que tuvieran a la hora de llevar a cabo la transacción ni por el destino que habrían de dar a los vehículos que compraban.</w:t>
      </w:r>
    </w:p>
    <w:p w:rsidR="00224567" w:rsidRDefault="00224567">
      <w:pPr>
        <w:widowControl w:val="0"/>
      </w:pPr>
      <w:r>
        <w:tab/>
        <w:t>De seguirse el curioso criterio de los acusadores, bastaría que se hubiera conocido públ</w:t>
      </w:r>
      <w:r>
        <w:t>i</w:t>
      </w:r>
      <w:r>
        <w:t>camente que automóviles de similares características a los que s</w:t>
      </w:r>
      <w:r>
        <w:t>o</w:t>
      </w:r>
      <w:r>
        <w:t>lía vender Telleldín habían sido utilizados para cometer determinados delitos, para hacer responder al nombrado por los hechos ilícitos cometidos con los rodados que enajenó, por cuanto debió imaginar, a pa</w:t>
      </w:r>
      <w:r>
        <w:t>r</w:t>
      </w:r>
      <w:r>
        <w:t>tir de tales antecedentes, la posibilidad de que con ellos se perpetraran delitos s</w:t>
      </w:r>
      <w:r>
        <w:t>i</w:t>
      </w:r>
      <w:r>
        <w:t>milares. El razonamiento, ad</w:t>
      </w:r>
      <w:r>
        <w:t>e</w:t>
      </w:r>
      <w:r>
        <w:t>más de rebuscado, es absurdo.</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En definitiva, el Tribunal considera que no existen elementos probatorios que habiliten a co</w:t>
      </w:r>
      <w:r>
        <w:rPr>
          <w:rFonts w:ascii="Courier New" w:hAnsi="Courier New" w:cs="Courier New"/>
          <w:szCs w:val="24"/>
          <w:lang w:val="es-AR"/>
        </w:rPr>
        <w:t>n</w:t>
      </w:r>
      <w:r>
        <w:rPr>
          <w:rFonts w:ascii="Courier New" w:hAnsi="Courier New" w:cs="Courier New"/>
          <w:szCs w:val="24"/>
          <w:lang w:val="es-AR"/>
        </w:rPr>
        <w:t>cluir que Carlos Alberto Telleldín conocía el destino f</w:t>
      </w:r>
      <w:r>
        <w:rPr>
          <w:rFonts w:ascii="Courier New" w:hAnsi="Courier New" w:cs="Courier New"/>
          <w:szCs w:val="24"/>
          <w:lang w:val="es-AR"/>
        </w:rPr>
        <w:t>i</w:t>
      </w:r>
      <w:r>
        <w:rPr>
          <w:rFonts w:ascii="Courier New" w:hAnsi="Courier New" w:cs="Courier New"/>
          <w:szCs w:val="24"/>
          <w:lang w:val="es-AR"/>
        </w:rPr>
        <w:t>nal que se le daría al rodado que se armó con un motor que pasó por sus manos.</w:t>
      </w:r>
    </w:p>
    <w:p w:rsidR="00224567" w:rsidRDefault="00224567">
      <w:pPr>
        <w:widowControl w:val="0"/>
      </w:pPr>
      <w:r>
        <w:tab/>
        <w:t>Sin embargo, y tal como se puso de r</w:t>
      </w:r>
      <w:r>
        <w:t>e</w:t>
      </w:r>
      <w:r>
        <w:t xml:space="preserve">salto </w:t>
      </w:r>
      <w:r>
        <w:rPr>
          <w:u w:val="single"/>
        </w:rPr>
        <w:t>ut supra</w:t>
      </w:r>
      <w:r>
        <w:t>, los acusadores transformaron en asever</w:t>
      </w:r>
      <w:r>
        <w:t>a</w:t>
      </w:r>
      <w:r>
        <w:t>ciones carentes de sustento aquellas circunstancias que no pudieron explicar; ello, sin perjuicio de la difícil arg</w:t>
      </w:r>
      <w:r>
        <w:t>u</w:t>
      </w:r>
      <w:r>
        <w:t>mentación con la que presentaron sus afirmaciones, impos</w:t>
      </w:r>
      <w:r>
        <w:t>i</w:t>
      </w:r>
      <w:r>
        <w:t>bles de rebatir jur</w:t>
      </w:r>
      <w:r>
        <w:t>í</w:t>
      </w:r>
      <w:r>
        <w:t>dicamente.</w:t>
      </w:r>
    </w:p>
    <w:p w:rsidR="00224567" w:rsidRDefault="00224567">
      <w:pPr>
        <w:widowControl w:val="0"/>
      </w:pPr>
      <w:r>
        <w:tab/>
        <w:t>Se debe destacar, en ese sentido, que la valoración en contra del imputado que los acusadores han realizado de la conducta de aquél en los días post</w:t>
      </w:r>
      <w:r>
        <w:t>e</w:t>
      </w:r>
      <w:r>
        <w:t>riores al atentado, a partir de las noticias peri</w:t>
      </w:r>
      <w:r>
        <w:t>o</w:t>
      </w:r>
      <w:r>
        <w:t>dísticas que cubrían el suceso, resulta contradictoria con la re</w:t>
      </w:r>
      <w:r>
        <w:t>s</w:t>
      </w:r>
      <w:r>
        <w:t>ponsabilidad que pretenden achacarle, pues, tal como se mencionó precedentemente, Telleldín se mo</w:t>
      </w:r>
      <w:r>
        <w:t>s</w:t>
      </w:r>
      <w:r>
        <w:t>tró sorprendido ante la posibilidad de que el ataque se hubiera cometido con una Trafic que previamente tuvo en su p</w:t>
      </w:r>
      <w:r>
        <w:t>o</w:t>
      </w:r>
      <w:r>
        <w:t>der.</w:t>
      </w:r>
    </w:p>
    <w:p w:rsidR="00224567" w:rsidRDefault="00224567">
      <w:pPr>
        <w:widowControl w:val="0"/>
      </w:pPr>
      <w:r>
        <w:tab/>
        <w:t>Ante la tozuda y casi desesperada i</w:t>
      </w:r>
      <w:r>
        <w:t>n</w:t>
      </w:r>
      <w:r>
        <w:t>sistencia de los acusadores, pese a enfrentarse a circun</w:t>
      </w:r>
      <w:r>
        <w:t>s</w:t>
      </w:r>
      <w:r>
        <w:t>tancias obvias e indiscutibles, cabe poner de r</w:t>
      </w:r>
      <w:r>
        <w:t>e</w:t>
      </w:r>
      <w:r>
        <w:t>salto que aquella sospecha resulta incompatible con los principios de la participación, por cuanto el dolo del partícipe ex</w:t>
      </w:r>
      <w:r>
        <w:t>i</w:t>
      </w:r>
      <w:r>
        <w:t>ge que éste conozca la configuración ce</w:t>
      </w:r>
      <w:r>
        <w:t>n</w:t>
      </w:r>
      <w:r>
        <w:t>tral del suceso en el que interviene al momento de realizar su aporte, resu</w:t>
      </w:r>
      <w:r>
        <w:t>l</w:t>
      </w:r>
      <w:r>
        <w:t>tando indiferente cualquier conocimiento adquirido con posteri</w:t>
      </w:r>
      <w:r>
        <w:t>o</w:t>
      </w:r>
      <w:r>
        <w:t>ridad a ello.</w:t>
      </w:r>
    </w:p>
    <w:p w:rsidR="00224567" w:rsidRDefault="00224567">
      <w:pPr>
        <w:widowControl w:val="0"/>
      </w:pPr>
      <w:r>
        <w:tab/>
        <w:t>En este sentido, se debe recordar que “las representaciones que acerca de los hechos se haya planteado el autor con anterioridad, pero que en el mome</w:t>
      </w:r>
      <w:r>
        <w:t>n</w:t>
      </w:r>
      <w:r>
        <w:t>to de ocurrir éstos no están ya en su conciencia (</w:t>
      </w:r>
      <w:r>
        <w:rPr>
          <w:i/>
          <w:iCs/>
        </w:rPr>
        <w:t>dolus antecedens</w:t>
      </w:r>
      <w:r>
        <w:t>...) no son suficientes. [...] Por el mismo m</w:t>
      </w:r>
      <w:r>
        <w:t>o</w:t>
      </w:r>
      <w:r>
        <w:t xml:space="preserve">tivo, también el llamado </w:t>
      </w:r>
      <w:r>
        <w:rPr>
          <w:i/>
          <w:iCs/>
        </w:rPr>
        <w:t>dolus subsequens</w:t>
      </w:r>
      <w:r>
        <w:t xml:space="preserve"> (entrada de la plena representación del hecho recién de</w:t>
      </w:r>
      <w:r>
        <w:t>s</w:t>
      </w:r>
      <w:r>
        <w:t>pués de realizado el acto decisivo) es penalmente irrelevante” (</w:t>
      </w:r>
      <w:r>
        <w:rPr>
          <w:spacing w:val="-2"/>
        </w:rPr>
        <w:t>cónf.</w:t>
      </w:r>
      <w:r>
        <w:t xml:space="preserve"> Ma</w:t>
      </w:r>
      <w:r>
        <w:t>u</w:t>
      </w:r>
      <w:r>
        <w:t>rach-Zipf, ob. cit., pág. 383).</w:t>
      </w:r>
    </w:p>
    <w:p w:rsidR="00224567" w:rsidRDefault="00224567">
      <w:pPr>
        <w:widowControl w:val="0"/>
      </w:pPr>
      <w:r>
        <w:tab/>
        <w:t>La única clase de participación post</w:t>
      </w:r>
      <w:r>
        <w:t>e</w:t>
      </w:r>
      <w:r>
        <w:t>rior al acaecimiento del hecho contemplada en nuestra l</w:t>
      </w:r>
      <w:r>
        <w:t>e</w:t>
      </w:r>
      <w:r>
        <w:t>gislación exige que el partícipe haya form</w:t>
      </w:r>
      <w:r>
        <w:t>u</w:t>
      </w:r>
      <w:r>
        <w:t>lado al autor, previamente, una promesa de su aporte. En el caso, toda vez que lo que se imputa a Telleldín fue la entrega de un vehículo para ser utilizado como cochebomba, se descarta toda posibilidad de que su responsabilidad pueda vincula</w:t>
      </w:r>
      <w:r>
        <w:t>r</w:t>
      </w:r>
      <w:r>
        <w:t>se con un aporte posterior a la consumación del suceso.</w:t>
      </w:r>
    </w:p>
    <w:p w:rsidR="00224567" w:rsidRDefault="00224567">
      <w:pPr>
        <w:widowControl w:val="0"/>
        <w:ind w:firstLine="2835"/>
      </w:pPr>
      <w:r>
        <w:t>En esa inteligencia, sólo cabe anal</w:t>
      </w:r>
      <w:r>
        <w:t>i</w:t>
      </w:r>
      <w:r>
        <w:t>zar su conducta anterior a la producción del atentado; v</w:t>
      </w:r>
      <w:r>
        <w:t>a</w:t>
      </w:r>
      <w:r>
        <w:t>le decir, la contribución que habría efectuado al autor para que lo lleve a cabo.</w:t>
      </w:r>
    </w:p>
    <w:p w:rsidR="00224567" w:rsidRDefault="00224567">
      <w:pPr>
        <w:widowControl w:val="0"/>
      </w:pPr>
      <w:r>
        <w:tab/>
        <w:t>Como se dijo, el dolo del agente se exige al momento de su participación, requiriéndose que haya conocido y querido el resultado en oportunidad de h</w:t>
      </w:r>
      <w:r>
        <w:t>a</w:t>
      </w:r>
      <w:r>
        <w:t xml:space="preserve">cer su aporte, siendo jurídicamente irrelevante, a estos fines, que </w:t>
      </w:r>
      <w:r>
        <w:rPr>
          <w:u w:val="single"/>
        </w:rPr>
        <w:t>a posteriori</w:t>
      </w:r>
      <w:r>
        <w:t xml:space="preserve"> haya advertido que pudo haber c</w:t>
      </w:r>
      <w:r>
        <w:t>o</w:t>
      </w:r>
      <w:r>
        <w:t>laborado, de algún modo, con la producción del hecho.</w:t>
      </w:r>
    </w:p>
    <w:p w:rsidR="00224567" w:rsidRDefault="00224567">
      <w:pPr>
        <w:widowControl w:val="0"/>
      </w:pPr>
      <w:r>
        <w:tab/>
        <w:t>Sentado lo expuesto, cabe advertir que, en el caso de autos, ni siquiera es posible hablar de un conocimiento posterior por parte del acusado, s</w:t>
      </w:r>
      <w:r>
        <w:t>i</w:t>
      </w:r>
      <w:r>
        <w:t>no tan solo de intuición o sospecha, toda vez que, tras analizar determinadas circunstancias, vislumbró una situ</w:t>
      </w:r>
      <w:r>
        <w:t>a</w:t>
      </w:r>
      <w:r>
        <w:t>ción que, en principio, habría de involucrarlo en un hecho criminal.</w:t>
      </w:r>
    </w:p>
    <w:p w:rsidR="00224567" w:rsidRDefault="00224567">
      <w:pPr>
        <w:widowControl w:val="0"/>
      </w:pPr>
      <w:r>
        <w:tab/>
        <w:t>Telleldín intuyó, al interiorizarse del atentado por los medios de comunicación y previo a que la investigación diera con él, que la camioneta utilizada como cochebomba, por sus características, podría ser la suya; ello, luego de conocer que el coch</w:t>
      </w:r>
      <w:r>
        <w:t>e</w:t>
      </w:r>
      <w:r>
        <w:t>bomba se trataba de una Trafic y de recordar las pec</w:t>
      </w:r>
      <w:r>
        <w:t>u</w:t>
      </w:r>
      <w:r>
        <w:t>liares circunstancias que, según alegó, rodearon la operación llevada a cabo días antes con un utilitario de ese t</w:t>
      </w:r>
      <w:r>
        <w:t>i</w:t>
      </w:r>
      <w:r>
        <w:t>po.</w:t>
      </w:r>
    </w:p>
    <w:p w:rsidR="00224567" w:rsidRDefault="00224567">
      <w:pPr>
        <w:widowControl w:val="0"/>
      </w:pPr>
      <w:r>
        <w:tab/>
        <w:t>A esta altura, es menester recordar que “la conducta del partícipe sólo es típica cuando es dolosa [...] La participación sólo puede ser dolosa y en hecho d</w:t>
      </w:r>
      <w:r>
        <w:t>o</w:t>
      </w:r>
      <w:r>
        <w:t>loso” (</w:t>
      </w:r>
      <w:r>
        <w:rPr>
          <w:spacing w:val="-2"/>
        </w:rPr>
        <w:t>cónf.</w:t>
      </w:r>
      <w:r>
        <w:t xml:space="preserve"> Zaffaroni, Alagia y Slokar, ob. cit. pág. 761. En el mismo sentido, Donna, Edgardo A</w:t>
      </w:r>
      <w:r>
        <w:t>l</w:t>
      </w:r>
      <w:r>
        <w:t>berto, ob. cit., pág. 110 y sig. y Bacigalupo, Enrique, “Principios de Derecho Penal. Parte General”, Akal/Iure, Madrid, 1998, pág. 387).</w:t>
      </w:r>
    </w:p>
    <w:p w:rsidR="00224567" w:rsidRDefault="00224567">
      <w:pPr>
        <w:pStyle w:val="Sangradetextonormal"/>
        <w:widowControl w:val="0"/>
        <w:ind w:firstLine="0"/>
        <w:rPr>
          <w:lang w:val="es-ES"/>
        </w:rPr>
      </w:pPr>
      <w:r>
        <w:tab/>
        <w:t>Las circunstancias invocadas por los acusadores,</w:t>
      </w:r>
      <w:r>
        <w:rPr>
          <w:lang w:val="es-ES"/>
        </w:rPr>
        <w:t xml:space="preserve"> evidentemente, son insuficientes para fundar un juicio de reproche. El dolo no puede “nacer” luego de acaecido el hecho delictivo, al advertir el supuesto pa</w:t>
      </w:r>
      <w:r>
        <w:rPr>
          <w:lang w:val="es-ES"/>
        </w:rPr>
        <w:t>r</w:t>
      </w:r>
      <w:r>
        <w:rPr>
          <w:lang w:val="es-ES"/>
        </w:rPr>
        <w:t>tícipe que un elemento que previamente tuvo en su poder fue empleado para consumarlo, sino que debe existir al m</w:t>
      </w:r>
      <w:r>
        <w:rPr>
          <w:lang w:val="es-ES"/>
        </w:rPr>
        <w:t>o</w:t>
      </w:r>
      <w:r>
        <w:rPr>
          <w:lang w:val="es-ES"/>
        </w:rPr>
        <w:t>mento de su contribución.</w:t>
      </w:r>
    </w:p>
    <w:p w:rsidR="00224567" w:rsidRDefault="00224567">
      <w:pPr>
        <w:widowControl w:val="0"/>
      </w:pPr>
      <w:r>
        <w:tab/>
        <w:t>Así, puestos a analizar los eleme</w:t>
      </w:r>
      <w:r>
        <w:t>n</w:t>
      </w:r>
      <w:r>
        <w:t>tos que podrían evidenciar el dolo de Telleldín al m</w:t>
      </w:r>
      <w:r>
        <w:t>o</w:t>
      </w:r>
      <w:r>
        <w:t>mento del aporte, la total orfandad probatoria en este sentido imp</w:t>
      </w:r>
      <w:r>
        <w:t>i</w:t>
      </w:r>
      <w:r>
        <w:t>de considerar que el nombrado hubiera tenido a</w:t>
      </w:r>
      <w:r>
        <w:t>l</w:t>
      </w:r>
      <w:r>
        <w:t xml:space="preserve">gún tipo de conocimiento acerca del destino de </w:t>
      </w:r>
      <w:smartTag w:uri="urn:schemas-microsoft-com:office:smarttags" w:element="PersonName">
        <w:smartTagPr>
          <w:attr w:name="ProductID" w:val="la Trafic."/>
        </w:smartTagPr>
        <w:r>
          <w:t>la Tr</w:t>
        </w:r>
        <w:r>
          <w:t>a</w:t>
        </w:r>
        <w:r>
          <w:t>fic.</w:t>
        </w:r>
      </w:smartTag>
    </w:p>
    <w:p w:rsidR="00224567" w:rsidRDefault="00224567">
      <w:pPr>
        <w:widowControl w:val="0"/>
      </w:pPr>
      <w:r>
        <w:tab/>
        <w:t>En este sentido, cabe advertir que, aún de admitirse que Telleldín acondicionó la camioneta de manera especial, nada indica que lo hubiera hecho con c</w:t>
      </w:r>
      <w:r>
        <w:t>o</w:t>
      </w:r>
      <w:r>
        <w:t>nocimiento de que sería empleada para transportar una ca</w:t>
      </w:r>
      <w:r>
        <w:t>r</w:t>
      </w:r>
      <w:r>
        <w:t>ga explosiva. No obra en el proceso una sola declaración testimonial, escucha telefónica o prueba d</w:t>
      </w:r>
      <w:r>
        <w:t>o</w:t>
      </w:r>
      <w:r>
        <w:t>cumental que dé cue</w:t>
      </w:r>
      <w:r>
        <w:t>n</w:t>
      </w:r>
      <w:r>
        <w:t>ta de que en ese momento Telleldín estuvo al tanto del destino del utilitario, ni tampoco obran indicios que acred</w:t>
      </w:r>
      <w:r>
        <w:t>i</w:t>
      </w:r>
      <w:r>
        <w:t>ten ese conocimiento.</w:t>
      </w:r>
    </w:p>
    <w:p w:rsidR="00224567" w:rsidRDefault="00224567">
      <w:pPr>
        <w:pStyle w:val="Ttulo5"/>
        <w:keepNext w:val="0"/>
        <w:widowControl w:val="0"/>
        <w:spacing w:line="600" w:lineRule="auto"/>
        <w:rPr>
          <w:b w:val="0"/>
          <w:bCs w:val="0"/>
        </w:rPr>
      </w:pPr>
      <w:bookmarkStart w:id="67" w:name="_Toc86676583"/>
      <w:r>
        <w:t xml:space="preserve">B.9.d) </w:t>
      </w:r>
      <w:r>
        <w:rPr>
          <w:b w:val="0"/>
          <w:bCs w:val="0"/>
        </w:rPr>
        <w:t>Móvil.</w:t>
      </w:r>
      <w:bookmarkEnd w:id="67"/>
    </w:p>
    <w:p w:rsidR="00224567" w:rsidRDefault="00224567">
      <w:pPr>
        <w:widowControl w:val="0"/>
      </w:pPr>
      <w:r>
        <w:tab/>
        <w:t>Otro punto no explicado por los acus</w:t>
      </w:r>
      <w:r>
        <w:t>a</w:t>
      </w:r>
      <w:r>
        <w:t>dores lo constituye el móvil que habría tenido Carlos A</w:t>
      </w:r>
      <w:r>
        <w:t>l</w:t>
      </w:r>
      <w:r>
        <w:t>berto Telleldín para participar en un hecho como el que aquí se juzga. Sólo el representante de “Memoria Activa” indicó, antojadizamente, sin sustentar siquiera mínimame</w:t>
      </w:r>
      <w:r>
        <w:t>n</w:t>
      </w:r>
      <w:r>
        <w:t>te su postura, que lo había hecho con la finalidad de o</w:t>
      </w:r>
      <w:r>
        <w:t>b</w:t>
      </w:r>
      <w:r>
        <w:t>tener un l</w:t>
      </w:r>
      <w:r>
        <w:t>u</w:t>
      </w:r>
      <w:r>
        <w:t>cro o provecho económico.</w:t>
      </w:r>
    </w:p>
    <w:p w:rsidR="00224567" w:rsidRDefault="00224567">
      <w:pPr>
        <w:widowControl w:val="0"/>
      </w:pPr>
      <w:r>
        <w:tab/>
        <w:t>Ahora bien, los dos principales mot</w:t>
      </w:r>
      <w:r>
        <w:t>i</w:t>
      </w:r>
      <w:r>
        <w:t>vos que podrían impulsar a un individuo a colaborar con un suceso de estas características estarían constitu</w:t>
      </w:r>
      <w:r>
        <w:t>i</w:t>
      </w:r>
      <w:r>
        <w:t>dos por cuestiones ideol</w:t>
      </w:r>
      <w:r>
        <w:t>ó</w:t>
      </w:r>
      <w:r>
        <w:t>gicas o por ánimo de lucro.</w:t>
      </w:r>
    </w:p>
    <w:p w:rsidR="00224567" w:rsidRDefault="00224567">
      <w:pPr>
        <w:widowControl w:val="0"/>
      </w:pPr>
      <w:r>
        <w:tab/>
        <w:t>Con relación a las primeras, no obra en autos constancia alguna que autorice a presumir que T</w:t>
      </w:r>
      <w:r>
        <w:t>e</w:t>
      </w:r>
      <w:r>
        <w:t xml:space="preserve">lleldín adhería a alguna ideología política, religiosa o de cualquier otro tipo, que explique su participación en el atentado a </w:t>
      </w:r>
      <w:smartTag w:uri="urn:schemas-microsoft-com:office:smarttags" w:element="PersonName">
        <w:smartTagPr>
          <w:attr w:name="ProductID" w:val="la A.M"/>
        </w:smartTagPr>
        <w:r>
          <w:t>la A.M</w:t>
        </w:r>
      </w:smartTag>
      <w:r>
        <w:t>.I.A.. No se arrimaron al proceso pr</w:t>
      </w:r>
      <w:r>
        <w:t>o</w:t>
      </w:r>
      <w:r>
        <w:t>banzas acerca de una supuesta a</w:t>
      </w:r>
      <w:r>
        <w:t>d</w:t>
      </w:r>
      <w:r>
        <w:t>hesión a grupos políticos o religiosos o, mucho menos, que estuviera identificado con algún grupo terrorista.</w:t>
      </w:r>
    </w:p>
    <w:p w:rsidR="00224567" w:rsidRDefault="00224567">
      <w:pPr>
        <w:widowControl w:val="0"/>
      </w:pPr>
      <w:r>
        <w:tab/>
        <w:t>En cuanto a la existencia de motivos de índole económica que podrían haber guiado su condu</w:t>
      </w:r>
      <w:r>
        <w:t>c</w:t>
      </w:r>
      <w:r>
        <w:t>ta, tampoco se verificó pago o retribución alguno por el apo</w:t>
      </w:r>
      <w:r>
        <w:t>r</w:t>
      </w:r>
      <w:r>
        <w:t>te que se le imputa a Telleldín.</w:t>
      </w:r>
    </w:p>
    <w:p w:rsidR="00224567" w:rsidRDefault="00224567">
      <w:pPr>
        <w:widowControl w:val="0"/>
      </w:pPr>
      <w:r>
        <w:tab/>
        <w:t>No sólo ello no sucedió, sino que, por el contrario, se comprobó que la situación económica de Telleldín y su grupo familiar era, cuanto menos, aju</w:t>
      </w:r>
      <w:r>
        <w:t>s</w:t>
      </w:r>
      <w:r>
        <w:t>tada, no habiendo hecho ninguno de sus miembros un despliegue de dinero considerable para la época en e</w:t>
      </w:r>
      <w:r>
        <w:t>s</w:t>
      </w:r>
      <w:r>
        <w:t>tudio.</w:t>
      </w:r>
    </w:p>
    <w:p w:rsidR="00224567" w:rsidRDefault="00224567">
      <w:pPr>
        <w:widowControl w:val="0"/>
      </w:pPr>
      <w:r>
        <w:tab/>
        <w:t>Como se expuso, Boragni debió resci</w:t>
      </w:r>
      <w:r>
        <w:t>n</w:t>
      </w:r>
      <w:r>
        <w:t>dir anticipadamente el contrato de locación de la v</w:t>
      </w:r>
      <w:r>
        <w:t>i</w:t>
      </w:r>
      <w:r>
        <w:t>vienda de República 107 de Villa Ballester por no p</w:t>
      </w:r>
      <w:r>
        <w:t>o</w:t>
      </w:r>
      <w:r>
        <w:t>der afrontar el pago del alquiler. La deuda de USD 2400 que mantenía por ese concepto con la “Inmobili</w:t>
      </w:r>
      <w:r>
        <w:t>a</w:t>
      </w:r>
      <w:r>
        <w:t>ria Richter” fue saldada con el depósito otorgado al momento de la celebración de aquel contrato (</w:t>
      </w:r>
      <w:r>
        <w:rPr>
          <w:spacing w:val="-2"/>
        </w:rPr>
        <w:t>cónf.</w:t>
      </w:r>
      <w:r>
        <w:t xml:space="preserve"> surge del recibo nº 0000-3082, s</w:t>
      </w:r>
      <w:r>
        <w:t>e</w:t>
      </w:r>
      <w:r>
        <w:t xml:space="preserve">cuestrado </w:t>
      </w:r>
      <w:r>
        <w:rPr>
          <w:bCs/>
        </w:rPr>
        <w:t>durante el allanamie</w:t>
      </w:r>
      <w:r>
        <w:rPr>
          <w:bCs/>
        </w:rPr>
        <w:t>n</w:t>
      </w:r>
      <w:r>
        <w:rPr>
          <w:bCs/>
        </w:rPr>
        <w:t xml:space="preserve">to del inmueble sito en la calle </w:t>
      </w:r>
      <w:r>
        <w:t>Roosevelt 2462, piso 3º, depto. “A”, de Capital F</w:t>
      </w:r>
      <w:r>
        <w:t>e</w:t>
      </w:r>
      <w:r>
        <w:t>deral).</w:t>
      </w:r>
    </w:p>
    <w:p w:rsidR="00224567" w:rsidRDefault="00224567">
      <w:pPr>
        <w:widowControl w:val="0"/>
      </w:pPr>
      <w:r>
        <w:tab/>
        <w:t xml:space="preserve">Asimismo, del </w:t>
      </w:r>
      <w:r>
        <w:rPr>
          <w:bCs/>
        </w:rPr>
        <w:t>acta de posesión por rescisión anticipada del contrato de locación de ese i</w:t>
      </w:r>
      <w:r>
        <w:rPr>
          <w:bCs/>
        </w:rPr>
        <w:t>n</w:t>
      </w:r>
      <w:r>
        <w:rPr>
          <w:bCs/>
        </w:rPr>
        <w:t>mueble, surge que Boragni adeudaba diversos montos en co</w:t>
      </w:r>
      <w:r>
        <w:rPr>
          <w:bCs/>
        </w:rPr>
        <w:t>n</w:t>
      </w:r>
      <w:r>
        <w:rPr>
          <w:bCs/>
        </w:rPr>
        <w:t>cepto de impuestos y servicios a su cargo (“Aguas Argent</w:t>
      </w:r>
      <w:r>
        <w:rPr>
          <w:bCs/>
        </w:rPr>
        <w:t>i</w:t>
      </w:r>
      <w:r>
        <w:rPr>
          <w:bCs/>
        </w:rPr>
        <w:t>nas”, “Edenor”, “Gas Natural”, “Telecom”, impuesto munic</w:t>
      </w:r>
      <w:r>
        <w:rPr>
          <w:bCs/>
        </w:rPr>
        <w:t>i</w:t>
      </w:r>
      <w:r>
        <w:rPr>
          <w:bCs/>
        </w:rPr>
        <w:t xml:space="preserve">pal e inmobiliario), por los que se estableció una deuda aproximada de </w:t>
      </w:r>
      <w:r>
        <w:t>USD</w:t>
      </w:r>
      <w:r>
        <w:rPr>
          <w:bCs/>
        </w:rPr>
        <w:t xml:space="preserve"> 2000 y firmó veinte pag</w:t>
      </w:r>
      <w:r>
        <w:rPr>
          <w:bCs/>
        </w:rPr>
        <w:t>a</w:t>
      </w:r>
      <w:r>
        <w:rPr>
          <w:bCs/>
        </w:rPr>
        <w:t>rés.</w:t>
      </w:r>
    </w:p>
    <w:p w:rsidR="00224567" w:rsidRDefault="00224567">
      <w:pPr>
        <w:widowControl w:val="0"/>
      </w:pPr>
      <w:r>
        <w:tab/>
        <w:t>Así, el 31 de agosto de 1994 aba</w:t>
      </w:r>
      <w:r>
        <w:t>n</w:t>
      </w:r>
      <w:r>
        <w:t>donó esa casa y se mudó a la de su cuñado Eduardo Telleldín, sita en Pío Díaz 775 de la localidad de Sáenz Peña, part</w:t>
      </w:r>
      <w:r>
        <w:t>i</w:t>
      </w:r>
      <w:r>
        <w:t>do de Tres de Febrero, provincia de Buenos Aires.</w:t>
      </w:r>
    </w:p>
    <w:p w:rsidR="00224567" w:rsidRDefault="00224567">
      <w:pPr>
        <w:widowControl w:val="0"/>
      </w:pPr>
      <w:r>
        <w:tab/>
        <w:t>En este sentido, Ana María Boragni r</w:t>
      </w:r>
      <w:r>
        <w:t>e</w:t>
      </w:r>
      <w:r>
        <w:t>firió que se mudó del inmueble de la calle República de Villa Ballester después del ate</w:t>
      </w:r>
      <w:r>
        <w:t>n</w:t>
      </w:r>
      <w:r>
        <w:t>tado, a fines de agosto o principios de septiembre de ese año, por cuanto para la época de la detención de Telleldín no tenía dinero para afrontar el alquiler de esa v</w:t>
      </w:r>
      <w:r>
        <w:t>i</w:t>
      </w:r>
      <w:r>
        <w:t>vienda.</w:t>
      </w:r>
    </w:p>
    <w:p w:rsidR="00224567" w:rsidRDefault="00224567">
      <w:pPr>
        <w:widowControl w:val="0"/>
      </w:pPr>
      <w:r>
        <w:tab/>
        <w:t>Por su parte, Nélida Virginia Morri refirió que en una ocasión visitó a Telleldín en el D.P.O.C. junto con Boragni, ocasión en que se conversó acerca de la situación económica de la nombrada, que era preoc</w:t>
      </w:r>
      <w:r>
        <w:t>u</w:t>
      </w:r>
      <w:r>
        <w:t>pante porque aparentemente estaba sin dinero o tenía muy poco. Al respecto, expresó que Boragni se mudó a la casa del cuñado en Sáenz Peña y luego a Be</w:t>
      </w:r>
      <w:r>
        <w:t>l</w:t>
      </w:r>
      <w:r>
        <w:t>grano.</w:t>
      </w:r>
    </w:p>
    <w:p w:rsidR="00224567" w:rsidRDefault="00224567">
      <w:pPr>
        <w:widowControl w:val="0"/>
      </w:pPr>
      <w:r>
        <w:tab/>
        <w:t>Además de los problemas para afro</w:t>
      </w:r>
      <w:r>
        <w:t>n</w:t>
      </w:r>
      <w:r>
        <w:t>tar el pago del alquiler y demás gastos de la vivienda, la p</w:t>
      </w:r>
      <w:r>
        <w:t>a</w:t>
      </w:r>
      <w:r>
        <w:t>reja compuesta por Telleldín y Boragni tuvieron otros i</w:t>
      </w:r>
      <w:r>
        <w:t>n</w:t>
      </w:r>
      <w:r>
        <w:t>convenientes económicos. Así, la empresa “Radio Llamada S.A.C.I.” dio cuenta de que el aparato código R.I.C. 1 0026194, número de serie 40.165.284, cuya clave estaba r</w:t>
      </w:r>
      <w:r>
        <w:t>e</w:t>
      </w:r>
      <w:r>
        <w:t>gistrada a nombre de Ana María Boragni, fue dado de alta el 13 de mayo de 1994 y su servicio fue suspendido a pa</w:t>
      </w:r>
      <w:r>
        <w:t>r</w:t>
      </w:r>
      <w:r>
        <w:t>tir del 26 de julio de ese año, por falta de pago (</w:t>
      </w:r>
      <w:r>
        <w:rPr>
          <w:spacing w:val="-2"/>
        </w:rPr>
        <w:t>cónf.</w:t>
      </w:r>
      <w:r>
        <w:t xml:space="preserve"> info</w:t>
      </w:r>
      <w:r>
        <w:t>r</w:t>
      </w:r>
      <w:r>
        <w:t>me glosado a fs. 3041/3042).</w:t>
      </w:r>
    </w:p>
    <w:p w:rsidR="00224567" w:rsidRDefault="00224567">
      <w:pPr>
        <w:widowControl w:val="0"/>
      </w:pPr>
      <w:r>
        <w:tab/>
        <w:t>También de las transcripciones de las escuchas telefónicas del abonado 768-0902, efectuadas ta</w:t>
      </w:r>
      <w:r>
        <w:t>n</w:t>
      </w:r>
      <w:r>
        <w:t xml:space="preserve">to por </w:t>
      </w:r>
      <w:smartTag w:uri="urn:schemas-microsoft-com:office:smarttags" w:element="PersonName">
        <w:smartTagPr>
          <w:attr w:name="ProductID" w:val="la Secretar￭a"/>
        </w:smartTagPr>
        <w:r>
          <w:t>la Secretaría</w:t>
        </w:r>
      </w:smartTag>
      <w:r>
        <w:t xml:space="preserve"> de Inteligencia como por el Depart</w:t>
      </w:r>
      <w:r>
        <w:t>a</w:t>
      </w:r>
      <w:r>
        <w:t>mento Protección del Orden Constitucional, se desprenden los diversos problemas de índole económica que afrontó B</w:t>
      </w:r>
      <w:r>
        <w:t>o</w:t>
      </w:r>
      <w:r>
        <w:t>ragni en los días posteriores a la dete</w:t>
      </w:r>
      <w:r>
        <w:t>n</w:t>
      </w:r>
      <w:r>
        <w:t>ción de Telleldín. Así, obran numerosas conversaciones relativas al pago de los honorarios del abogado de su concubino, como así ta</w:t>
      </w:r>
      <w:r>
        <w:t>m</w:t>
      </w:r>
      <w:r>
        <w:t>bién a los reclamos de la “Inmobiliaria Richter” por el alquiler de la vivienda, que motivaron que la abandonara para mudarse a un inmueble facilitado por Eduardo Telle</w:t>
      </w:r>
      <w:r>
        <w:t>l</w:t>
      </w:r>
      <w:r>
        <w:t>dín (</w:t>
      </w:r>
      <w:r>
        <w:rPr>
          <w:spacing w:val="-2"/>
        </w:rPr>
        <w:t>cónf.</w:t>
      </w:r>
      <w:r>
        <w:t xml:space="preserve"> fs. 7, 12, 20, 22, 26, 40, 49, 66/67, 77, 96, 99, 105/107, 110, 113, 118/120, 124/126, 128/129, 133, 136, 150, 167, 169, 190 y 198 del legajo de transcripci</w:t>
      </w:r>
      <w:r>
        <w:t>o</w:t>
      </w:r>
      <w:r>
        <w:t xml:space="preserve">nes de </w:t>
      </w:r>
      <w:smartTag w:uri="urn:schemas-microsoft-com:office:smarttags" w:element="PersonName">
        <w:smartTagPr>
          <w:attr w:name="ProductID" w:val="la S.I"/>
        </w:smartTagPr>
        <w:r>
          <w:t>la S.I</w:t>
        </w:r>
      </w:smartTag>
      <w:r>
        <w:t>.D.E. y fs. 1/2, 16, 28, 32/33, 39, 63, 75/76, 89/90, 119/120 y 124 del D.P.O.C.).</w:t>
      </w:r>
    </w:p>
    <w:p w:rsidR="00224567" w:rsidRDefault="00224567">
      <w:pPr>
        <w:widowControl w:val="0"/>
      </w:pPr>
      <w:r>
        <w:tab/>
        <w:t>A ello se adunan las transcripciones de las que surge que Boragni tendría una cuenta emba</w:t>
      </w:r>
      <w:r>
        <w:t>r</w:t>
      </w:r>
      <w:r>
        <w:t>gada en el “Banco Roberts” con un saldo deudor de $ 600 y una deuda con “Telecom” (</w:t>
      </w:r>
      <w:r>
        <w:rPr>
          <w:spacing w:val="-2"/>
        </w:rPr>
        <w:t>cónf.</w:t>
      </w:r>
      <w:r>
        <w:t xml:space="preserve"> fs. 48 y 136, respe</w:t>
      </w:r>
      <w:r>
        <w:t>c</w:t>
      </w:r>
      <w:r>
        <w:t>tivamente, del l</w:t>
      </w:r>
      <w:r>
        <w:t>e</w:t>
      </w:r>
      <w:r>
        <w:t xml:space="preserve">gajo de </w:t>
      </w:r>
      <w:smartTag w:uri="urn:schemas-microsoft-com:office:smarttags" w:element="PersonName">
        <w:smartTagPr>
          <w:attr w:name="ProductID" w:val="la S.I"/>
        </w:smartTagPr>
        <w:r>
          <w:t>la S.I</w:t>
        </w:r>
      </w:smartTag>
      <w:r>
        <w:t>.D.E.).</w:t>
      </w:r>
    </w:p>
    <w:p w:rsidR="00224567" w:rsidRDefault="00224567">
      <w:pPr>
        <w:widowControl w:val="0"/>
      </w:pPr>
      <w:r>
        <w:tab/>
        <w:t>Por último, se debe mencionar que, conforme los dichos de Telleldín, el capitán Vergéz afro</w:t>
      </w:r>
      <w:r>
        <w:t>n</w:t>
      </w:r>
      <w:r>
        <w:t>tó el pago de su fianza y la de su mujer en una causa por dinero falso que tramitaba en el juzgado federal del Dr. Piotti. Dicha circunstancia fue corroborada por Héctor P</w:t>
      </w:r>
      <w:r>
        <w:t>e</w:t>
      </w:r>
      <w:r>
        <w:t xml:space="preserve">dro Vergéz al declarar en la causa nº 2644 del registro de </w:t>
      </w:r>
      <w:smartTag w:uri="urn:schemas-microsoft-com:office:smarttags" w:element="PersonName">
        <w:smartTagPr>
          <w:attr w:name="ProductID" w:val="la Secretar￭a"/>
        </w:smartTagPr>
        <w:r>
          <w:t>la Secret</w:t>
        </w:r>
        <w:r>
          <w:t>a</w:t>
        </w:r>
        <w:r>
          <w:t>ría</w:t>
        </w:r>
      </w:smartTag>
      <w:r>
        <w:t xml:space="preserve"> nº 24 del Juzgado Nacional en lo Criminal y Correccional Federal nº 12, oportunidad en la que adm</w:t>
      </w:r>
      <w:r>
        <w:t>i</w:t>
      </w:r>
      <w:r>
        <w:t xml:space="preserve">tió haber entregado $ </w:t>
      </w:r>
      <w:smartTag w:uri="urn:schemas-microsoft-com:office:smarttags" w:element="metricconverter">
        <w:smartTagPr>
          <w:attr w:name="ProductID" w:val="2000 a"/>
        </w:smartTagPr>
        <w:r>
          <w:t>2000 a</w:t>
        </w:r>
      </w:smartTag>
      <w:r>
        <w:t xml:space="preserve"> la señora de Telleldín a los efectos antes mencionados.</w:t>
      </w:r>
    </w:p>
    <w:p w:rsidR="00224567" w:rsidRDefault="00224567">
      <w:pPr>
        <w:widowControl w:val="0"/>
      </w:pPr>
      <w:r>
        <w:tab/>
        <w:t>En definitiva, descartado el móvil ideológico, parece inconcebible que un sujeto de las c</w:t>
      </w:r>
      <w:r>
        <w:t>a</w:t>
      </w:r>
      <w:r>
        <w:t>racterísticas de Telleldín, que a lo largo de su vida se valió de actividades ilícitas para procurarse su sustento, fuera a involucrarse en un atentado terrorista sin perc</w:t>
      </w:r>
      <w:r>
        <w:t>i</w:t>
      </w:r>
      <w:r>
        <w:t>bir ningún beneficio económico. Como se vio, ello no suc</w:t>
      </w:r>
      <w:r>
        <w:t>e</w:t>
      </w:r>
      <w:r>
        <w:t>dió.</w:t>
      </w:r>
    </w:p>
    <w:p w:rsidR="00224567" w:rsidRDefault="00224567">
      <w:pPr>
        <w:widowControl w:val="0"/>
      </w:pPr>
      <w:r>
        <w:tab/>
        <w:t>En este sentido, parece poco serio el argumento esgrimido por el Dr. Jacoby al indicar que el beneficio económico estaba dado, aunque más no fu</w:t>
      </w:r>
      <w:r>
        <w:t>e</w:t>
      </w:r>
      <w:r>
        <w:t>ra, por los USD 11.000 que surgían del boleto de comprave</w:t>
      </w:r>
      <w:r>
        <w:t>n</w:t>
      </w:r>
      <w:r>
        <w:t xml:space="preserve">ta de </w:t>
      </w:r>
      <w:smartTag w:uri="urn:schemas-microsoft-com:office:smarttags" w:element="PersonName">
        <w:smartTagPr>
          <w:attr w:name="ProductID" w:val="la Trafic"/>
        </w:smartTagPr>
        <w:r>
          <w:t>la Trafic</w:t>
        </w:r>
      </w:smartTag>
      <w:r>
        <w:t>, toda vez que esa operación estaba dentro de su g</w:t>
      </w:r>
      <w:r>
        <w:t>i</w:t>
      </w:r>
      <w:r>
        <w:t>ro normal de “operaciones” y no constituía una ganancia acorde al riesgo asumido.</w:t>
      </w:r>
    </w:p>
    <w:p w:rsidR="00224567" w:rsidRDefault="00224567">
      <w:pPr>
        <w:widowControl w:val="0"/>
      </w:pPr>
      <w:r>
        <w:tab/>
        <w:t>Además, las erogaciones efectuadas por Telleldín y Boragni en los días posteriores al 10 de julio de 1994 no si</w:t>
      </w:r>
      <w:r>
        <w:t>g</w:t>
      </w:r>
      <w:r>
        <w:t>nificaron un importante manejo de dinero por parte de los nombrados; máxime, si las enfrentamos a los USD 2.500.000 que la querella unificada y la fiscalía le atribuyen haber percibido a Juan José Ribelli, como pago total o parcial, por su colaboración con el atent</w:t>
      </w:r>
      <w:r>
        <w:t>a</w:t>
      </w:r>
      <w:r>
        <w:t>do.</w:t>
      </w:r>
    </w:p>
    <w:p w:rsidR="00224567" w:rsidRDefault="00224567">
      <w:pPr>
        <w:pStyle w:val="Ttulo5"/>
        <w:keepNext w:val="0"/>
        <w:widowControl w:val="0"/>
        <w:spacing w:line="600" w:lineRule="auto"/>
        <w:rPr>
          <w:b w:val="0"/>
          <w:bCs w:val="0"/>
        </w:rPr>
      </w:pPr>
      <w:bookmarkStart w:id="68" w:name="_Toc86676584"/>
      <w:r>
        <w:t xml:space="preserve">B.9.e) </w:t>
      </w:r>
      <w:r>
        <w:rPr>
          <w:b w:val="0"/>
          <w:bCs w:val="0"/>
        </w:rPr>
        <w:t>De los indicios.</w:t>
      </w:r>
      <w:bookmarkEnd w:id="68"/>
    </w:p>
    <w:p w:rsidR="00224567" w:rsidRDefault="00224567">
      <w:pPr>
        <w:widowControl w:val="0"/>
      </w:pPr>
      <w:r>
        <w:tab/>
        <w:t>El Tribunal considera que los prete</w:t>
      </w:r>
      <w:r>
        <w:t>n</w:t>
      </w:r>
      <w:r>
        <w:t>sos indicios invocados por los acusadores en contra de Carlos Alberto Telleldín no acreditaron la participación que se le endilgó en el atentado acaecido el 18 de julio de 1994. Ello por cuanto algunos carecen de ev</w:t>
      </w:r>
      <w:r>
        <w:t>i</w:t>
      </w:r>
      <w:r>
        <w:t>dencia que los sustente, en tanto otros no resultan infalibles e irrefutables, como para fundar la certeza en que se debe basar una sentencia condenatoria.</w:t>
      </w:r>
    </w:p>
    <w:p w:rsidR="00224567" w:rsidRDefault="00224567">
      <w:pPr>
        <w:widowControl w:val="0"/>
      </w:pPr>
      <w:r>
        <w:tab/>
        <w:t>Las alegaciones de los acusadores con- tra el encartado constituyeron, en esencia, una acumul</w:t>
      </w:r>
      <w:r>
        <w:t>a</w:t>
      </w:r>
      <w:r>
        <w:t>ción de presunciones y de argumentos conjetur</w:t>
      </w:r>
      <w:r>
        <w:t>a</w:t>
      </w:r>
      <w:r>
        <w:t>les, que, a decir de Rocha Degreef, son un vicio lógico y jurídicame</w:t>
      </w:r>
      <w:r>
        <w:t>n</w:t>
      </w:r>
      <w:r>
        <w:t>te pel</w:t>
      </w:r>
      <w:r>
        <w:t>i</w:t>
      </w:r>
      <w:r>
        <w:t>groso.</w:t>
      </w:r>
    </w:p>
    <w:p w:rsidR="00224567" w:rsidRDefault="00224567">
      <w:pPr>
        <w:widowControl w:val="0"/>
      </w:pPr>
      <w:r>
        <w:tab/>
        <w:t>Ese autor también señala, con acie</w:t>
      </w:r>
      <w:r>
        <w:t>r</w:t>
      </w:r>
      <w:r>
        <w:t>to, que “la condena sobre indicios debe parecer siempre como un peligroso instrumento de justicia, que miran con te</w:t>
      </w:r>
      <w:r>
        <w:t>m</w:t>
      </w:r>
      <w:r>
        <w:t>blorosa cautela el juez, las partes y la sociedad”. Ello por cuanto la diferencia entre prueba e i</w:t>
      </w:r>
      <w:r>
        <w:t>n</w:t>
      </w:r>
      <w:r>
        <w:t>dicio es inmensa y el juez inducido al error por pru</w:t>
      </w:r>
      <w:r>
        <w:t>e</w:t>
      </w:r>
      <w:r>
        <w:t>bas no genuinas puede desembocar en una arbitrariedad. También asevera que si los indicios no dan más que una probabilidad, por más que sean graves, concomitantes, anteriores o posteriores al delito, no variarán en nada el estado intelectual adquir</w:t>
      </w:r>
      <w:r>
        <w:t>i</w:t>
      </w:r>
      <w:r>
        <w:t>do, así como tampoco una suma de indicios no puede dar otra cosa que una suma de relaciones posibles (</w:t>
      </w:r>
      <w:r>
        <w:rPr>
          <w:spacing w:val="-2"/>
        </w:rPr>
        <w:t>cónf.</w:t>
      </w:r>
      <w:r>
        <w:t xml:space="preserve"> ob. cit., págs. 178 y 186 y sigs.).</w:t>
      </w:r>
    </w:p>
    <w:p w:rsidR="00224567" w:rsidRDefault="00224567">
      <w:pPr>
        <w:widowControl w:val="0"/>
      </w:pPr>
      <w:r>
        <w:tab/>
        <w:t>En otro orden, tiene dicho nuestra j</w:t>
      </w:r>
      <w:r>
        <w:t>u</w:t>
      </w:r>
      <w:r>
        <w:t>risprudencia que los indicios –como la prueba en g</w:t>
      </w:r>
      <w:r>
        <w:t>e</w:t>
      </w:r>
      <w:r>
        <w:t>neral- deben ser valorados de manera integral y no en forma fra</w:t>
      </w:r>
      <w:r>
        <w:t>g</w:t>
      </w:r>
      <w:r>
        <w:t>mentaria y aislada (</w:t>
      </w:r>
      <w:r>
        <w:rPr>
          <w:spacing w:val="-2"/>
        </w:rPr>
        <w:t>cónf.</w:t>
      </w:r>
      <w:r>
        <w:t xml:space="preserve"> Fallos: 311:948, 315:495, 319:1728, 320:1551, 321:2131, entre otros. En igual sent</w:t>
      </w:r>
      <w:r>
        <w:t>i</w:t>
      </w:r>
      <w:r>
        <w:t xml:space="preserve">do, T.S.J. de Córdoba, </w:t>
      </w:r>
      <w:r>
        <w:rPr>
          <w:u w:val="single"/>
        </w:rPr>
        <w:t>in re</w:t>
      </w:r>
      <w:r>
        <w:t xml:space="preserve"> “Paglione, M. A.”, publ</w:t>
      </w:r>
      <w:r>
        <w:t>i</w:t>
      </w:r>
      <w:r>
        <w:t>cado en J.P.B.A., tomo 122, pág. 73 y sig.).</w:t>
      </w:r>
    </w:p>
    <w:p w:rsidR="00224567" w:rsidRDefault="00224567">
      <w:pPr>
        <w:widowControl w:val="0"/>
      </w:pPr>
      <w:r>
        <w:tab/>
        <w:t>Ahora bien, en los puntos precede</w:t>
      </w:r>
      <w:r>
        <w:t>n</w:t>
      </w:r>
      <w:r>
        <w:t>tes se hizo un estudio de cada una de las circunstancias inv</w:t>
      </w:r>
      <w:r>
        <w:t>o</w:t>
      </w:r>
      <w:r>
        <w:t>cadas como indicios, a los efectos de determinar, en pr</w:t>
      </w:r>
      <w:r>
        <w:t>i</w:t>
      </w:r>
      <w:r>
        <w:t>mer té</w:t>
      </w:r>
      <w:r>
        <w:t>r</w:t>
      </w:r>
      <w:r>
        <w:t>mino, si se encontraba probado su sustrato fáctico. Sin perjuicio de las conclusiones individuales a las que se arribó en cada caso, a fin de satisfacer la exigencia de valoración integral, se procederá ahora a su consider</w:t>
      </w:r>
      <w:r>
        <w:t>a</w:t>
      </w:r>
      <w:r>
        <w:t>ción global, adelantándose desde ya que tampoco de esta manera se arriba a la conclusión propiciada por los acus</w:t>
      </w:r>
      <w:r>
        <w:t>a</w:t>
      </w:r>
      <w:r>
        <w:t>dores.</w:t>
      </w:r>
    </w:p>
    <w:p w:rsidR="00224567" w:rsidRDefault="00224567">
      <w:pPr>
        <w:widowControl w:val="0"/>
      </w:pPr>
      <w:r>
        <w:tab/>
        <w:t>A tales efectos, lo primordial r</w:t>
      </w:r>
      <w:r>
        <w:t>e</w:t>
      </w:r>
      <w:r>
        <w:t>side en determinar si esos indicios apuntan todos en una misma dirección. Ello por cuanto, en caso de op</w:t>
      </w:r>
      <w:r>
        <w:t>o</w:t>
      </w:r>
      <w:r>
        <w:t>nerse, no hacen más que alejar la posibilidad de que se arribe a un juicio de reproche.</w:t>
      </w:r>
    </w:p>
    <w:p w:rsidR="00224567" w:rsidRDefault="00224567">
      <w:pPr>
        <w:widowControl w:val="0"/>
      </w:pPr>
      <w:r>
        <w:tab/>
        <w:t>Es dable destacar aquí que los extr</w:t>
      </w:r>
      <w:r>
        <w:t>e</w:t>
      </w:r>
      <w:r>
        <w:t>mos sobre los que pretenden afirmar sus convicciones los acusadores, en modo alguno reúnen los requisitos mínimos para ser considerados como indicios que generen una pr</w:t>
      </w:r>
      <w:r>
        <w:t>e</w:t>
      </w:r>
      <w:r>
        <w:t>sunción.</w:t>
      </w:r>
    </w:p>
    <w:p w:rsidR="00224567" w:rsidRDefault="00224567">
      <w:pPr>
        <w:widowControl w:val="0"/>
      </w:pPr>
      <w:r>
        <w:tab/>
        <w:t>A tal fin repárese que, como se vio, la mayoría de ellos responden a una interpretación fo</w:t>
      </w:r>
      <w:r>
        <w:t>r</w:t>
      </w:r>
      <w:r>
        <w:t>zada que se aparta del curso normal y natural de los acontec</w:t>
      </w:r>
      <w:r>
        <w:t>i</w:t>
      </w:r>
      <w:r>
        <w:t>mientos, los que son desviados de modo antinatural. Corr</w:t>
      </w:r>
      <w:r>
        <w:t>o</w:t>
      </w:r>
      <w:r>
        <w:t>bora lo expuesto la interpretación que se hizo de la p</w:t>
      </w:r>
      <w:r>
        <w:t>u</w:t>
      </w:r>
      <w:r>
        <w:t>blicación en el diario “Clarín” del clas</w:t>
      </w:r>
      <w:r>
        <w:t>i</w:t>
      </w:r>
      <w:r>
        <w:t>ficado ofertando la camioneta. Es evidente que en modo alguno puede sost</w:t>
      </w:r>
      <w:r>
        <w:t>e</w:t>
      </w:r>
      <w:r>
        <w:t>nerse que se tratara de un hecho unívoco, directo y co</w:t>
      </w:r>
      <w:r>
        <w:t>n</w:t>
      </w:r>
      <w:r>
        <w:t>cordante con otros.</w:t>
      </w:r>
    </w:p>
    <w:p w:rsidR="00224567" w:rsidRDefault="00224567">
      <w:pPr>
        <w:widowControl w:val="0"/>
      </w:pPr>
      <w:r>
        <w:tab/>
        <w:t>También incurrieron en contradicci</w:t>
      </w:r>
      <w:r>
        <w:t>o</w:t>
      </w:r>
      <w:r>
        <w:t>nes a la hora de valorar ciertos ind</w:t>
      </w:r>
      <w:r>
        <w:t>i</w:t>
      </w:r>
      <w:r>
        <w:t>cios. El caso más notable de este vicio se advierte al analizar la no erradicación del número de motor hallado entre los e</w:t>
      </w:r>
      <w:r>
        <w:t>s</w:t>
      </w:r>
      <w:r>
        <w:t>combros y la huida de Telleldín.</w:t>
      </w:r>
    </w:p>
    <w:p w:rsidR="00224567" w:rsidRDefault="00224567">
      <w:pPr>
        <w:widowControl w:val="0"/>
      </w:pPr>
      <w:r>
        <w:tab/>
        <w:t>En efecto, por una parte sostuvieron que si el acusado no borró la numeración de dicha pieza, fue a efectos de presentarse como un vendedor de buena fe. Según ese razonamiento, entregó la camioneta a sabiendas de su destino. De tal forma, agregaron, en caso de que el bloque no se destruyese en la explosión, invoc</w:t>
      </w:r>
      <w:r>
        <w:t>a</w:t>
      </w:r>
      <w:r>
        <w:t>ría, en el supuesto que fuese descubierto, que vendió la camioneta desconociendo qué habría hecho el comprador con el vehíc</w:t>
      </w:r>
      <w:r>
        <w:t>u</w:t>
      </w:r>
      <w:r>
        <w:t>lo.</w:t>
      </w:r>
    </w:p>
    <w:p w:rsidR="00224567" w:rsidRDefault="00224567">
      <w:pPr>
        <w:widowControl w:val="0"/>
      </w:pPr>
      <w:r>
        <w:tab/>
        <w:t>Sin embargo, por otro lado, consider</w:t>
      </w:r>
      <w:r>
        <w:t>a</w:t>
      </w:r>
      <w:r>
        <w:t>ron que el encartado huyó a Posadas justamente porque h</w:t>
      </w:r>
      <w:r>
        <w:t>a</w:t>
      </w:r>
      <w:r>
        <w:t>bía participado en el atentado y quería eludir el acci</w:t>
      </w:r>
      <w:r>
        <w:t>o</w:t>
      </w:r>
      <w:r>
        <w:t>nar de la justicia.</w:t>
      </w:r>
    </w:p>
    <w:p w:rsidR="00224567" w:rsidRDefault="00224567">
      <w:pPr>
        <w:widowControl w:val="0"/>
      </w:pPr>
      <w:r>
        <w:tab/>
        <w:t>De este modo se observa claramente la incompatibilidad de ambos razonamientos. Ello por cua</w:t>
      </w:r>
      <w:r>
        <w:t>n</w:t>
      </w:r>
      <w:r>
        <w:t>to, si pretendía pasar como un vendedor de buena fe, no se e</w:t>
      </w:r>
      <w:r>
        <w:t>x</w:t>
      </w:r>
      <w:r>
        <w:t>plica cómo congeniaría esa intención con una conducta, a primeras luces, evasiva y demostrativa de su culpabil</w:t>
      </w:r>
      <w:r>
        <w:t>i</w:t>
      </w:r>
      <w:r>
        <w:t>dad, según dijeron.</w:t>
      </w:r>
    </w:p>
    <w:p w:rsidR="00224567" w:rsidRDefault="00224567">
      <w:pPr>
        <w:widowControl w:val="0"/>
        <w:ind w:firstLine="2835"/>
      </w:pPr>
      <w:r>
        <w:t>En el caso, las presunciones opue</w:t>
      </w:r>
      <w:r>
        <w:t>s</w:t>
      </w:r>
      <w:r>
        <w:t>tas traen aparejado un debilitamiento de la fuerza probat</w:t>
      </w:r>
      <w:r>
        <w:t>o</w:t>
      </w:r>
      <w:r>
        <w:t>ria de la una hacia la otra y viceversa, provocando que los indicios contradictorios tiendan a neutraliza</w:t>
      </w:r>
      <w:r>
        <w:t>r</w:t>
      </w:r>
      <w:r>
        <w:t>se.</w:t>
      </w:r>
    </w:p>
    <w:p w:rsidR="00224567" w:rsidRDefault="00224567">
      <w:pPr>
        <w:widowControl w:val="0"/>
      </w:pPr>
      <w:r>
        <w:tab/>
        <w:t>No obstante, los acusadores no expl</w:t>
      </w:r>
      <w:r>
        <w:t>i</w:t>
      </w:r>
      <w:r>
        <w:t>caron esa incongruencia en sus razonamientos, limitá</w:t>
      </w:r>
      <w:r>
        <w:t>n</w:t>
      </w:r>
      <w:r>
        <w:t>dose a enunciar los indicios aisladamente y omitiendo una val</w:t>
      </w:r>
      <w:r>
        <w:t>o</w:t>
      </w:r>
      <w:r>
        <w:t>ración integral de la prueba invocada.</w:t>
      </w:r>
    </w:p>
    <w:p w:rsidR="00224567" w:rsidRDefault="00224567">
      <w:pPr>
        <w:widowControl w:val="0"/>
      </w:pPr>
      <w:r>
        <w:tab/>
        <w:t xml:space="preserve">Así lo entendió </w:t>
      </w:r>
      <w:smartTag w:uri="urn:schemas-microsoft-com:office:smarttags" w:element="PersonName">
        <w:smartTagPr>
          <w:attr w:name="ProductID" w:val="La Corte Interamericana"/>
        </w:smartTagPr>
        <w:r>
          <w:t>la Corte Interameric</w:t>
        </w:r>
        <w:r>
          <w:t>a</w:t>
        </w:r>
        <w:r>
          <w:t>na</w:t>
        </w:r>
      </w:smartTag>
      <w:r>
        <w:t xml:space="preserve"> de Derechos Humanos, al resolver el caso “Villagrán M</w:t>
      </w:r>
      <w:r>
        <w:t>o</w:t>
      </w:r>
      <w:r>
        <w:t>rales y otros (caso de los ‘Niños de la calle’)”, en que reprochó el proceder de los jueces intervinientes por cuanto “fragmentaron el acervo probatorio y luego prete</w:t>
      </w:r>
      <w:r>
        <w:t>n</w:t>
      </w:r>
      <w:r>
        <w:t>dieron enervar, caso por caso, los alcances de todos y c</w:t>
      </w:r>
      <w:r>
        <w:t>a</w:t>
      </w:r>
      <w:r>
        <w:t>da uno de los elementos probat</w:t>
      </w:r>
      <w:r>
        <w:t>o</w:t>
      </w:r>
      <w:r>
        <w:t>rios de la responsabilidad de los imputados. Esto contraviene los principios de val</w:t>
      </w:r>
      <w:r>
        <w:t>o</w:t>
      </w:r>
      <w:r>
        <w:t>ración de la prueba, de acuerdo con los cuales las evide</w:t>
      </w:r>
      <w:r>
        <w:t>n</w:t>
      </w:r>
      <w:r>
        <w:t>cias deben ser apreciadas en su integralidad” (sentencia del 19 de novie</w:t>
      </w:r>
      <w:r>
        <w:t>m</w:t>
      </w:r>
      <w:r>
        <w:t>bre de 1999).</w:t>
      </w:r>
    </w:p>
    <w:p w:rsidR="00224567" w:rsidRDefault="00224567">
      <w:pPr>
        <w:widowControl w:val="0"/>
      </w:pPr>
      <w:r>
        <w:tab/>
        <w:t>Ese modo de razonar incongruente en el análisis de los indicios que evidenciaron los acus</w:t>
      </w:r>
      <w:r>
        <w:t>a</w:t>
      </w:r>
      <w:r>
        <w:t xml:space="preserve">dores, tal como se ejemplificó </w:t>
      </w:r>
      <w:r>
        <w:rPr>
          <w:u w:val="single"/>
        </w:rPr>
        <w:t>ut supra</w:t>
      </w:r>
      <w:r>
        <w:t>, se repitió con cada uno de los sucesos que, aisladamente, señalaron como indicad</w:t>
      </w:r>
      <w:r>
        <w:t>o</w:t>
      </w:r>
      <w:r>
        <w:t>res de la culpabilidad del imputado.</w:t>
      </w:r>
    </w:p>
    <w:p w:rsidR="00224567" w:rsidRDefault="00224567">
      <w:pPr>
        <w:widowControl w:val="0"/>
      </w:pPr>
      <w:r>
        <w:tab/>
        <w:t>En efecto, le atribuyeron no haber b</w:t>
      </w:r>
      <w:r>
        <w:t>o</w:t>
      </w:r>
      <w:r>
        <w:t>rrado el número de motor para aparentar ser un vend</w:t>
      </w:r>
      <w:r>
        <w:t>e</w:t>
      </w:r>
      <w:r>
        <w:t>dor de buena fe, pero por otra parte, también le ach</w:t>
      </w:r>
      <w:r>
        <w:t>a</w:t>
      </w:r>
      <w:r>
        <w:t>caron haber comentado la venta de la camioneta con una serie de pers</w:t>
      </w:r>
      <w:r>
        <w:t>o</w:t>
      </w:r>
      <w:r>
        <w:t>nas para que éstas así lo recordaran, p</w:t>
      </w:r>
      <w:r>
        <w:t>a</w:t>
      </w:r>
      <w:r>
        <w:t>sando por alto que con esos comentarios no hacía más que llamar la atención de sus inte</w:t>
      </w:r>
      <w:r>
        <w:t>r</w:t>
      </w:r>
      <w:r>
        <w:t>locutores.</w:t>
      </w:r>
    </w:p>
    <w:p w:rsidR="00224567" w:rsidRDefault="00224567">
      <w:pPr>
        <w:widowControl w:val="0"/>
      </w:pPr>
      <w:r>
        <w:tab/>
        <w:t>En el mismo sentido, supuestamente T</w:t>
      </w:r>
      <w:r>
        <w:t>e</w:t>
      </w:r>
      <w:r>
        <w:t>lleldín quiso hacer ver que se trataba de una compr</w:t>
      </w:r>
      <w:r>
        <w:t>a</w:t>
      </w:r>
      <w:r>
        <w:t>venta más, pero por otra parte alegaron que se mostró partic</w:t>
      </w:r>
      <w:r>
        <w:t>u</w:t>
      </w:r>
      <w:r>
        <w:t>larmente nervioso e irritable frente a todo su entorno, llamando una vez más la atención. Ello sin perjuicio de que los acusadores solaparon que el nerviosismo del imp</w:t>
      </w:r>
      <w:r>
        <w:t>u</w:t>
      </w:r>
      <w:r>
        <w:t>tado databa de tiempo antes de los sucesos aquí investig</w:t>
      </w:r>
      <w:r>
        <w:t>a</w:t>
      </w:r>
      <w:r>
        <w:t>dos.</w:t>
      </w:r>
    </w:p>
    <w:p w:rsidR="00224567" w:rsidRDefault="00224567">
      <w:pPr>
        <w:widowControl w:val="0"/>
      </w:pPr>
      <w:r>
        <w:tab/>
        <w:t>A su vez, entendieron que no borró el número de motor y prefabricó una coartada para el hipot</w:t>
      </w:r>
      <w:r>
        <w:t>é</w:t>
      </w:r>
      <w:r>
        <w:t>tico e improbable caso de que dicha pieza no se de</w:t>
      </w:r>
      <w:r>
        <w:t>s</w:t>
      </w:r>
      <w:r>
        <w:t xml:space="preserve">truyese con la explosión. Ello se contradice con la experiencia del atentado a </w:t>
      </w:r>
      <w:smartTag w:uri="urn:schemas-microsoft-com:office:smarttags" w:element="PersonName">
        <w:smartTagPr>
          <w:attr w:name="ProductID" w:val="la Embajada"/>
        </w:smartTagPr>
        <w:r>
          <w:t>la Embajada</w:t>
        </w:r>
      </w:smartTag>
      <w:r>
        <w:t xml:space="preserve"> de Israel que, según dijeron, debió haber alertado a Telleldín acerca del destino que habría de dársele al vehículo. En efecto, en ese precede</w:t>
      </w:r>
      <w:r>
        <w:t>n</w:t>
      </w:r>
      <w:r>
        <w:t>te el motor no se destruyó, encontrándoselo con su numer</w:t>
      </w:r>
      <w:r>
        <w:t>a</w:t>
      </w:r>
      <w:r>
        <w:t>ción intacta. Si, como sost</w:t>
      </w:r>
      <w:r>
        <w:t>u</w:t>
      </w:r>
      <w:r>
        <w:t>vieron, debió tener en cuenta ese suceso, también debió imaginar que el motor del coch</w:t>
      </w:r>
      <w:r>
        <w:t>e</w:t>
      </w:r>
      <w:r>
        <w:t xml:space="preserve">bomba empleado para cometer el atentado a la sede de </w:t>
      </w:r>
      <w:smartTag w:uri="urn:schemas-microsoft-com:office:smarttags" w:element="PersonName">
        <w:smartTagPr>
          <w:attr w:name="ProductID" w:val="la A.M"/>
        </w:smartTagPr>
        <w:r>
          <w:t>la A.M</w:t>
        </w:r>
      </w:smartTag>
      <w:r>
        <w:t>.I.A. sería hall</w:t>
      </w:r>
      <w:r>
        <w:t>a</w:t>
      </w:r>
      <w:r>
        <w:t>do, por lo que el caso ya no sería tan hipotético, ni tan i</w:t>
      </w:r>
      <w:r>
        <w:t>m</w:t>
      </w:r>
      <w:r>
        <w:t>probable, sino que por el contrario, debería haberlo llevado a tomar mayores recaudos para que, a partir del hallazgo del motor, no se llegara a él.</w:t>
      </w:r>
    </w:p>
    <w:p w:rsidR="00224567" w:rsidRDefault="00224567">
      <w:pPr>
        <w:widowControl w:val="0"/>
      </w:pPr>
      <w:r>
        <w:tab/>
        <w:t>También pusieron de resalto que la i</w:t>
      </w:r>
      <w:r>
        <w:t>n</w:t>
      </w:r>
      <w:r>
        <w:t>tención de Telleldín de pasar por un vendedor de bu</w:t>
      </w:r>
      <w:r>
        <w:t>e</w:t>
      </w:r>
      <w:r>
        <w:t>na fe obedecía a que, si la investigación daba con su persona, podía i</w:t>
      </w:r>
      <w:r>
        <w:t>n</w:t>
      </w:r>
      <w:r>
        <w:t>vocar un total desconocimiento acerca del destino que el comprador habría de darle al vehíc</w:t>
      </w:r>
      <w:r>
        <w:t>u</w:t>
      </w:r>
      <w:r>
        <w:t>lo. Sin embargo, no explicaron por qué, en lugar de e</w:t>
      </w:r>
      <w:r>
        <w:t>s</w:t>
      </w:r>
      <w:r>
        <w:t>perar apaciblemente a que se llegara a él y así hacer su descargo, respaldado por los testigos que supuestamente “preparó” al efecto, intentó eludir a esos investigad</w:t>
      </w:r>
      <w:r>
        <w:t>o</w:t>
      </w:r>
      <w:r>
        <w:t>res.</w:t>
      </w:r>
    </w:p>
    <w:p w:rsidR="00224567" w:rsidRDefault="00224567">
      <w:pPr>
        <w:widowControl w:val="0"/>
      </w:pPr>
      <w:r>
        <w:tab/>
        <w:t>Para colmo, la estrategia que habría empleado para evadirse tampoco quedó demasiado clara. Así, por un lado se alegó que intentó mudarse con su familia y, por el otro, que pretendió huir y abandonar a esos mismos parientes. Eso sin dejar de mencionar que, en el primer caso, organizó la mudanza a través de una inmob</w:t>
      </w:r>
      <w:r>
        <w:t>i</w:t>
      </w:r>
      <w:r>
        <w:t>liaria, en la que dejó todos sus datos, sin considerar que corría el riesgo de que una vez que su nombre se hiciera público por los medios de comunic</w:t>
      </w:r>
      <w:r>
        <w:t>a</w:t>
      </w:r>
      <w:r>
        <w:t>ción y se solicitara su paradero, el personal de esa oficina, al advertir que se trataba de un sujeto requerido por las autoridades en el marco de un s</w:t>
      </w:r>
      <w:r>
        <w:t>u</w:t>
      </w:r>
      <w:r>
        <w:t xml:space="preserve">ceso de la entidad del atentado a </w:t>
      </w:r>
      <w:smartTag w:uri="urn:schemas-microsoft-com:office:smarttags" w:element="PersonName">
        <w:smartTagPr>
          <w:attr w:name="ProductID" w:val="la A.M"/>
        </w:smartTagPr>
        <w:r>
          <w:t>la A.M</w:t>
        </w:r>
      </w:smartTag>
      <w:r>
        <w:t>.I.A., aportara esos datos y su nuevo domicilio a sus captores. A ello se suma que de los radio mensajes recibidos por Telleldín surgía el teléfono de la inmobiliaria; en consecuencia, a través de ésta, su dirección sería fácilmente local</w:t>
      </w:r>
      <w:r>
        <w:t>i</w:t>
      </w:r>
      <w:r>
        <w:t>zable.</w:t>
      </w:r>
    </w:p>
    <w:p w:rsidR="00224567" w:rsidRDefault="00224567">
      <w:pPr>
        <w:widowControl w:val="0"/>
        <w:ind w:firstLine="2835"/>
      </w:pPr>
      <w:r>
        <w:t>En el segundo caso, su entrega volu</w:t>
      </w:r>
      <w:r>
        <w:t>n</w:t>
      </w:r>
      <w:r>
        <w:t>taria a las pocas horas de su huida, demuestran, cuanto menos, que su plan de fuga resultaba improvisado, desca</w:t>
      </w:r>
      <w:r>
        <w:t>r</w:t>
      </w:r>
      <w:r>
        <w:t>tándose así una verdadera intención de eludir la just</w:t>
      </w:r>
      <w:r>
        <w:t>i</w:t>
      </w:r>
      <w:r>
        <w:t>cia.</w:t>
      </w:r>
    </w:p>
    <w:p w:rsidR="00224567" w:rsidRDefault="00224567">
      <w:pPr>
        <w:widowControl w:val="0"/>
      </w:pPr>
      <w:r>
        <w:tab/>
        <w:t>Aún yendo a lo más básico de su estr</w:t>
      </w:r>
      <w:r>
        <w:t>a</w:t>
      </w:r>
      <w:r>
        <w:t>tegia –conforme la entendieron los acusadores-, no se e</w:t>
      </w:r>
      <w:r>
        <w:t>n</w:t>
      </w:r>
      <w:r>
        <w:t>tiende que Telleldín pretendiera hacerse pasar por un ve</w:t>
      </w:r>
      <w:r>
        <w:t>n</w:t>
      </w:r>
      <w:r>
        <w:t>dedor de buena fe. Para empezar, mal puede alegar una ve</w:t>
      </w:r>
      <w:r>
        <w:t>n</w:t>
      </w:r>
      <w:r>
        <w:t>ta inocente quien sabe que está enajenando o e</w:t>
      </w:r>
      <w:r>
        <w:t>n</w:t>
      </w:r>
      <w:r>
        <w:t>tregando un vehículo “doblado”, compuesto con piezas de uno siniestr</w:t>
      </w:r>
      <w:r>
        <w:t>a</w:t>
      </w:r>
      <w:r>
        <w:t>do y partes de otro robado. No tiene sentido que un ind</w:t>
      </w:r>
      <w:r>
        <w:t>i</w:t>
      </w:r>
      <w:r>
        <w:t>viduo que realiza tal maniobra esté a la espera de que una investigación judicial dé con su persona para co</w:t>
      </w:r>
      <w:r>
        <w:t>n</w:t>
      </w:r>
      <w:r>
        <w:t>fesar su propio delito, cuando existían métodos legales para la o</w:t>
      </w:r>
      <w:r>
        <w:t>b</w:t>
      </w:r>
      <w:r>
        <w:t>tención de un rodado que no implicaban ni</w:t>
      </w:r>
      <w:r>
        <w:t>n</w:t>
      </w:r>
      <w:r>
        <w:t>gún riesgo para el plan terrorista, pero tampoco lo llev</w:t>
      </w:r>
      <w:r>
        <w:t>a</w:t>
      </w:r>
      <w:r>
        <w:t>ban a incurrir en responsabilidad penal por otros il</w:t>
      </w:r>
      <w:r>
        <w:t>í</w:t>
      </w:r>
      <w:r>
        <w:t>citos.</w:t>
      </w:r>
    </w:p>
    <w:p w:rsidR="00224567" w:rsidRDefault="00224567">
      <w:pPr>
        <w:widowControl w:val="0"/>
      </w:pPr>
      <w:r>
        <w:tab/>
        <w:t>A ello se aduna que Telleldín había sido declarado rebelde en dos causas (</w:t>
      </w:r>
      <w:r>
        <w:rPr>
          <w:spacing w:val="-2"/>
        </w:rPr>
        <w:t>cónf.</w:t>
      </w:r>
      <w:r>
        <w:t xml:space="preserve"> certificado actuarial obrante a fs. 13 del incidente de personalidad del nombrado), siendo que, en caso de que se diera con su persona, se efectivizarían esas órdenes de d</w:t>
      </w:r>
      <w:r>
        <w:t>e</w:t>
      </w:r>
      <w:r>
        <w:t>tención. Así, no tiene razón de ser que un sujeto que estuvo eludiendo el accionar de la justicia durante un tiempo, de buenas a primeras opte por entregarse a las autoridades, al solo efecto de aparecer como vendedor de buena fe en otro h</w:t>
      </w:r>
      <w:r>
        <w:t>e</w:t>
      </w:r>
      <w:r>
        <w:t>cho.</w:t>
      </w:r>
    </w:p>
    <w:p w:rsidR="00224567" w:rsidRDefault="00224567">
      <w:pPr>
        <w:widowControl w:val="0"/>
      </w:pPr>
      <w:r>
        <w:tab/>
        <w:t>Por otra parte, no tiene sentido el argumento esbozado por la fiscalía en el sentido de que el imputado huyó para asegurar las condiciones de su entrega y que no le pasaría nada. En primer término, justamente porque sabía que sería detenido, al menos, en las otras causas que tenía pendientes, así que “algo” le iba a p</w:t>
      </w:r>
      <w:r>
        <w:t>a</w:t>
      </w:r>
      <w:r>
        <w:t>sar. En segundo lugar, porque no llevó a cabo las demás actividades que, según los fiscales, pretendía hacer. En este sentido, los acusadores públicos entendieron que T</w:t>
      </w:r>
      <w:r>
        <w:t>e</w:t>
      </w:r>
      <w:r>
        <w:t>lleldín debía confirmar que la versión previamente conce</w:t>
      </w:r>
      <w:r>
        <w:t>r</w:t>
      </w:r>
      <w:r>
        <w:t>tada con su mujer fuera volcada, ajustar su coartada y asegurarse que quienes le habían encargado este trabajo respetarían su silencio, no dejándolo como el único re</w:t>
      </w:r>
      <w:r>
        <w:t>s</w:t>
      </w:r>
      <w:r>
        <w:t>pons</w:t>
      </w:r>
      <w:r>
        <w:t>a</w:t>
      </w:r>
      <w:r>
        <w:t>ble.</w:t>
      </w:r>
    </w:p>
    <w:p w:rsidR="00224567" w:rsidRDefault="00224567">
      <w:pPr>
        <w:widowControl w:val="0"/>
      </w:pPr>
      <w:r>
        <w:tab/>
        <w:t>En modo alguno surgió de la prueba c</w:t>
      </w:r>
      <w:r>
        <w:t>o</w:t>
      </w:r>
      <w:r>
        <w:t>lectada en autos que hubiera llevado a cabo esas dilige</w:t>
      </w:r>
      <w:r>
        <w:t>n</w:t>
      </w:r>
      <w:r>
        <w:t xml:space="preserve">cias. En efecto, de las transcripciones de las escuchas del abonado 768-0902, aportadas por </w:t>
      </w:r>
      <w:smartTag w:uri="urn:schemas-microsoft-com:office:smarttags" w:element="PersonName">
        <w:smartTagPr>
          <w:attr w:name="ProductID" w:val="la Secretar￭a"/>
        </w:smartTagPr>
        <w:r>
          <w:t>la Secretaría</w:t>
        </w:r>
      </w:smartTag>
      <w:r>
        <w:t xml:space="preserve"> de Int</w:t>
      </w:r>
      <w:r>
        <w:t>e</w:t>
      </w:r>
      <w:r>
        <w:t>ligencia, en las que se plasman tres conversaci</w:t>
      </w:r>
      <w:r>
        <w:t>o</w:t>
      </w:r>
      <w:r>
        <w:t>nes entre Telleldín y Boragni, no surge que aquél hubi</w:t>
      </w:r>
      <w:r>
        <w:t>e</w:t>
      </w:r>
      <w:r>
        <w:t>ra intentado chequear la versión brindada por su mujer, ni que estuvi</w:t>
      </w:r>
      <w:r>
        <w:t>e</w:t>
      </w:r>
      <w:r>
        <w:t>ra “ajustando” su coartada, pues se limitan a hablar de la situación que estaban vivie</w:t>
      </w:r>
      <w:r>
        <w:t>n</w:t>
      </w:r>
      <w:r>
        <w:t>do en ese momento.</w:t>
      </w:r>
    </w:p>
    <w:p w:rsidR="00224567" w:rsidRDefault="00224567">
      <w:pPr>
        <w:widowControl w:val="0"/>
      </w:pPr>
      <w:r>
        <w:tab/>
        <w:t>Tampoco tiene fundamento que hubiera huido para asegurarse que su silencio sería respet</w:t>
      </w:r>
      <w:r>
        <w:t>a</w:t>
      </w:r>
      <w:r>
        <w:t>do, sin quedar como único responsable. Ello por cuanto, no obra absolutamente ninguna constancia en autos que permita afirmar que Telleldín tuvo algún contacto con quienes s</w:t>
      </w:r>
      <w:r>
        <w:t>u</w:t>
      </w:r>
      <w:r>
        <w:t>puestamente lo habían contratado o que realizó otras act</w:t>
      </w:r>
      <w:r>
        <w:t>i</w:t>
      </w:r>
      <w:r>
        <w:t>vidades en el sentido apuntado. Además, no se e</w:t>
      </w:r>
      <w:r>
        <w:t>n</w:t>
      </w:r>
      <w:r>
        <w:t>tiende la relevancia de que fuera dejado como “único” responsable, pues este factor en nada afectaba su situación procesal; en caso de ser responsable, ser el único o no deviene i</w:t>
      </w:r>
      <w:r>
        <w:t>n</w:t>
      </w:r>
      <w:r>
        <w:t>distinto.</w:t>
      </w:r>
    </w:p>
    <w:p w:rsidR="00224567" w:rsidRDefault="00224567">
      <w:pPr>
        <w:widowControl w:val="0"/>
      </w:pPr>
      <w:r>
        <w:tab/>
        <w:t>En definitiva, resulta claro que los acontecimientos apuntados por los acusadores como ind</w:t>
      </w:r>
      <w:r>
        <w:t>i</w:t>
      </w:r>
      <w:r>
        <w:t>cios demostrativos de la culpabilidad del encart</w:t>
      </w:r>
      <w:r>
        <w:t>a</w:t>
      </w:r>
      <w:r>
        <w:t>do, a la hora de ser valorados en forma integral, se hallan en abierta contradicción los unos con los otros. En tales circunsta</w:t>
      </w:r>
      <w:r>
        <w:t>n</w:t>
      </w:r>
      <w:r>
        <w:t>cias, resulta contrario a derecho tomarlos en contra del imputado para dictar una sente</w:t>
      </w:r>
      <w:r>
        <w:t>n</w:t>
      </w:r>
      <w:r>
        <w:t>cia condenatoria, toda vez que, evaluados en su conju</w:t>
      </w:r>
      <w:r>
        <w:t>n</w:t>
      </w:r>
      <w:r>
        <w:t>to y con ajuste a las reglas de la sana crítica racional –lógica, experiencia, sentido c</w:t>
      </w:r>
      <w:r>
        <w:t>o</w:t>
      </w:r>
      <w:r>
        <w:t>mún y psicol</w:t>
      </w:r>
      <w:r>
        <w:t>o</w:t>
      </w:r>
      <w:r>
        <w:t>gía- no llevan a una probatura plena.</w:t>
      </w:r>
    </w:p>
    <w:p w:rsidR="00224567" w:rsidRDefault="00224567">
      <w:pPr>
        <w:pStyle w:val="Ttulo5"/>
        <w:keepNext w:val="0"/>
        <w:widowControl w:val="0"/>
        <w:spacing w:line="600" w:lineRule="auto"/>
        <w:rPr>
          <w:b w:val="0"/>
          <w:bCs w:val="0"/>
        </w:rPr>
      </w:pPr>
      <w:bookmarkStart w:id="69" w:name="_Toc86676585"/>
      <w:r>
        <w:t xml:space="preserve">B.9.f) </w:t>
      </w:r>
      <w:r>
        <w:rPr>
          <w:b w:val="0"/>
          <w:bCs w:val="0"/>
        </w:rPr>
        <w:t>Presunción de inocencia. Cert</w:t>
      </w:r>
      <w:r>
        <w:rPr>
          <w:b w:val="0"/>
          <w:bCs w:val="0"/>
        </w:rPr>
        <w:t>e</w:t>
      </w:r>
      <w:r>
        <w:rPr>
          <w:b w:val="0"/>
          <w:bCs w:val="0"/>
        </w:rPr>
        <w:t>za.</w:t>
      </w:r>
      <w:bookmarkEnd w:id="69"/>
    </w:p>
    <w:p w:rsidR="00224567" w:rsidRDefault="00224567">
      <w:pPr>
        <w:widowControl w:val="0"/>
      </w:pPr>
      <w:r>
        <w:tab/>
        <w:t>Es menester recordar que uno de los princ</w:t>
      </w:r>
      <w:r>
        <w:t>i</w:t>
      </w:r>
      <w:r>
        <w:t>pios básicos que rige el proceso penal es aquel por el cual toda persona se reputa inocente, hasta tanto una sentencia firme declare su culpabilidad, incu</w:t>
      </w:r>
      <w:r>
        <w:t>m</w:t>
      </w:r>
      <w:r>
        <w:t>biendo a la parte acusadora la demostración de la re</w:t>
      </w:r>
      <w:r>
        <w:t>s</w:t>
      </w:r>
      <w:r>
        <w:t>ponsabilidad del imputado y no a éste la de su inoce</w:t>
      </w:r>
      <w:r>
        <w:t>n</w:t>
      </w:r>
      <w:r>
        <w:t>cia.</w:t>
      </w:r>
    </w:p>
    <w:p w:rsidR="00224567" w:rsidRDefault="00224567">
      <w:pPr>
        <w:widowControl w:val="0"/>
      </w:pPr>
      <w:r>
        <w:tab/>
        <w:t xml:space="preserve">Ello surge de la garantía del juicio previo, emergente del art. 18 de </w:t>
      </w:r>
      <w:smartTag w:uri="urn:schemas-microsoft-com:office:smarttags" w:element="PersonName">
        <w:smartTagPr>
          <w:attr w:name="ProductID" w:val="la Constituci￳n Nacional"/>
        </w:smartTagPr>
        <w:r>
          <w:t>la Constitución Naci</w:t>
        </w:r>
        <w:r>
          <w:t>o</w:t>
        </w:r>
        <w:r>
          <w:t>nal</w:t>
        </w:r>
      </w:smartTag>
      <w:r>
        <w:t xml:space="preserve">, según el cual “ningún habitante de </w:t>
      </w:r>
      <w:smartTag w:uri="urn:schemas-microsoft-com:office:smarttags" w:element="PersonName">
        <w:smartTagPr>
          <w:attr w:name="ProductID" w:val="la Naci￳n"/>
        </w:smartTagPr>
        <w:r>
          <w:t>la Nación</w:t>
        </w:r>
      </w:smartTag>
      <w:r>
        <w:t xml:space="preserve"> puede ser p</w:t>
      </w:r>
      <w:r>
        <w:t>e</w:t>
      </w:r>
      <w:r>
        <w:t>nado sin juicio previo...”. En este sentido, Julio Maier entiende que “la ley fundamental impide que se trate como si fuera culpable a la persona a quien se le atribuye un hecho punible [...] hasta tanto el Estado [...] no pronu</w:t>
      </w:r>
      <w:r>
        <w:t>n</w:t>
      </w:r>
      <w:r>
        <w:t>cie la sentencia penal firme que d</w:t>
      </w:r>
      <w:r>
        <w:t>e</w:t>
      </w:r>
      <w:r>
        <w:t>clare su culpabilidad y la someta a una pena” (</w:t>
      </w:r>
      <w:r>
        <w:rPr>
          <w:spacing w:val="-2"/>
        </w:rPr>
        <w:t>cónf.</w:t>
      </w:r>
      <w:r>
        <w:t xml:space="preserve"> “Derecho Procesal Penal. Tomo I. Fundamentos”, Editores del Puerto, Buenos Aires, 2002, pág. 490).</w:t>
      </w:r>
    </w:p>
    <w:p w:rsidR="00224567" w:rsidRDefault="00224567">
      <w:pPr>
        <w:widowControl w:val="0"/>
      </w:pPr>
      <w:r>
        <w:tab/>
        <w:t>Otros autores, como Alejandro C</w:t>
      </w:r>
      <w:r>
        <w:t>a</w:t>
      </w:r>
      <w:r>
        <w:t>rrió, lo derivan de la garantía del debido proceso y la d</w:t>
      </w:r>
      <w:r>
        <w:t>e</w:t>
      </w:r>
      <w:r>
        <w:t>fensa en juicio, por cuanto la parte acusadora debe d</w:t>
      </w:r>
      <w:r>
        <w:t>e</w:t>
      </w:r>
      <w:r>
        <w:t>mostrar la culpabilidad del imputado y no éste su inocencia (</w:t>
      </w:r>
      <w:r>
        <w:rPr>
          <w:spacing w:val="-2"/>
        </w:rPr>
        <w:t>cónf.</w:t>
      </w:r>
      <w:r>
        <w:t xml:space="preserve"> ob. cit., pág. 511).</w:t>
      </w:r>
    </w:p>
    <w:p w:rsidR="00224567" w:rsidRDefault="00224567">
      <w:pPr>
        <w:widowControl w:val="0"/>
        <w:ind w:firstLine="2835"/>
      </w:pPr>
      <w:r>
        <w:t xml:space="preserve">El principio </w:t>
      </w:r>
      <w:r>
        <w:rPr>
          <w:u w:val="single"/>
        </w:rPr>
        <w:t>sub examine</w:t>
      </w:r>
      <w:r>
        <w:t xml:space="preserve"> también se halla receptado, en forma expresa, por diversos tratados de derechos humanos –actualmente con jerarquía constit</w:t>
      </w:r>
      <w:r>
        <w:t>u</w:t>
      </w:r>
      <w:r>
        <w:t xml:space="preserve">cional-, como ser en el art. 8.2 de </w:t>
      </w:r>
      <w:smartTag w:uri="urn:schemas-microsoft-com:office:smarttags" w:element="PersonName">
        <w:smartTagPr>
          <w:attr w:name="ProductID" w:val="la Convenci￳n Americana"/>
        </w:smartTagPr>
        <w:r>
          <w:t>la Convención Americ</w:t>
        </w:r>
        <w:r>
          <w:t>a</w:t>
        </w:r>
        <w:r>
          <w:t>na</w:t>
        </w:r>
      </w:smartTag>
      <w:r>
        <w:t xml:space="preserve"> sobre Derechos Humanos (“toda persona inculpada de d</w:t>
      </w:r>
      <w:r>
        <w:t>e</w:t>
      </w:r>
      <w:r>
        <w:t>lito tiene der</w:t>
      </w:r>
      <w:r>
        <w:t>e</w:t>
      </w:r>
      <w:r>
        <w:t>cho a que se presuma su inocencia mientras no se establezca legalmente su culpabilidad”), el art. 14.2 del Pacto Internacional de Derechos Civiles y Polít</w:t>
      </w:r>
      <w:r>
        <w:t>i</w:t>
      </w:r>
      <w:r>
        <w:t>cos (“toda persona acusada de un delito tiene derecho a que se presuma su inocencia mientras no se pruebe su cu</w:t>
      </w:r>
      <w:r>
        <w:t>l</w:t>
      </w:r>
      <w:r>
        <w:t xml:space="preserve">pabilidad conforme a la ley”), el art. 26 de </w:t>
      </w:r>
      <w:smartTag w:uri="urn:schemas-microsoft-com:office:smarttags" w:element="PersonName">
        <w:smartTagPr>
          <w:attr w:name="ProductID" w:val="la Declaraci￳n Americana"/>
        </w:smartTagPr>
        <w:r>
          <w:t>la Declar</w:t>
        </w:r>
        <w:r>
          <w:t>a</w:t>
        </w:r>
        <w:r>
          <w:t>ción Americana</w:t>
        </w:r>
      </w:smartTag>
      <w:r>
        <w:t xml:space="preserve"> de los Derechos y Deberes del Hombre (“se presume que todo acusado es inocente, hasta que se pruebe que es culpable”) y el art. 11.1 de </w:t>
      </w:r>
      <w:smartTag w:uri="urn:schemas-microsoft-com:office:smarttags" w:element="PersonName">
        <w:smartTagPr>
          <w:attr w:name="ProductID" w:val="la Declaraci￳n Universal"/>
        </w:smartTagPr>
        <w:r>
          <w:t>la Declaración Unive</w:t>
        </w:r>
        <w:r>
          <w:t>r</w:t>
        </w:r>
        <w:r>
          <w:t>sal</w:t>
        </w:r>
      </w:smartTag>
      <w:r>
        <w:t xml:space="preserve"> de los Derechos Humanos (“toda persona acusada de d</w:t>
      </w:r>
      <w:r>
        <w:t>e</w:t>
      </w:r>
      <w:r>
        <w:t>lito tiene derecho a que se presuma su inocencia mientras no se pruebe su culpabil</w:t>
      </w:r>
      <w:r>
        <w:t>i</w:t>
      </w:r>
      <w:r>
        <w:t>dad”).</w:t>
      </w:r>
    </w:p>
    <w:p w:rsidR="00224567" w:rsidRDefault="00224567">
      <w:pPr>
        <w:widowControl w:val="0"/>
      </w:pPr>
      <w:r>
        <w:tab/>
        <w:t>Nuestro ordenamiento procesal lo r</w:t>
      </w:r>
      <w:r>
        <w:t>e</w:t>
      </w:r>
      <w:r>
        <w:t>cepta en el art. 1º del código de rito, que dispone que nadie podrá ser “considerado culpable mientras una sente</w:t>
      </w:r>
      <w:r>
        <w:t>n</w:t>
      </w:r>
      <w:r>
        <w:t>cia firme no desvirtúe la presunción de inocencia de que todo imput</w:t>
      </w:r>
      <w:r>
        <w:t>a</w:t>
      </w:r>
      <w:r>
        <w:t>do goza”.</w:t>
      </w:r>
    </w:p>
    <w:p w:rsidR="00224567" w:rsidRDefault="00224567">
      <w:pPr>
        <w:widowControl w:val="0"/>
      </w:pPr>
      <w:r>
        <w:tab/>
        <w:t>Así las cosas, será la acusación la que deberá desvirtuar el estado de inocencia del encart</w:t>
      </w:r>
      <w:r>
        <w:t>a</w:t>
      </w:r>
      <w:r>
        <w:t>do; en tanto no se arrimen a la causa los elementos que lo destruyan, no se puede mod</w:t>
      </w:r>
      <w:r>
        <w:t>i</w:t>
      </w:r>
      <w:r>
        <w:t>ficar ese status.</w:t>
      </w:r>
    </w:p>
    <w:p w:rsidR="00224567" w:rsidRDefault="00224567">
      <w:pPr>
        <w:widowControl w:val="0"/>
      </w:pPr>
      <w:r>
        <w:tab/>
        <w:t>En esta línea argumental, Francisco D’Albora explica que, conforme el principio de inoce</w:t>
      </w:r>
      <w:r>
        <w:t>n</w:t>
      </w:r>
      <w:r>
        <w:t>cia, “la persona sometida a proceso disfruta de un estado o s</w:t>
      </w:r>
      <w:r>
        <w:t>i</w:t>
      </w:r>
      <w:r>
        <w:t>tuación jurídica que no requiere construir sino que incu</w:t>
      </w:r>
      <w:r>
        <w:t>m</w:t>
      </w:r>
      <w:r>
        <w:t>be hacer caer al acusador” (</w:t>
      </w:r>
      <w:r>
        <w:rPr>
          <w:spacing w:val="-2"/>
        </w:rPr>
        <w:t>cónf.</w:t>
      </w:r>
      <w:r>
        <w:t xml:space="preserve"> “Código Procesal Penal de </w:t>
      </w:r>
      <w:smartTag w:uri="urn:schemas-microsoft-com:office:smarttags" w:element="PersonName">
        <w:smartTagPr>
          <w:attr w:name="ProductID" w:val="la Naci￳n. Anotado."/>
        </w:smartTagPr>
        <w:r>
          <w:t>la Nación. Anotado.</w:t>
        </w:r>
      </w:smartTag>
      <w:r>
        <w:t xml:space="preserve"> Comentado. Co</w:t>
      </w:r>
      <w:r>
        <w:t>n</w:t>
      </w:r>
      <w:r>
        <w:t>cordado”, Lexis Nexis / Ab</w:t>
      </w:r>
      <w:r>
        <w:t>e</w:t>
      </w:r>
      <w:r>
        <w:t>ledo-Perrot, Buenos Aires, 2002, pág. 25).</w:t>
      </w:r>
    </w:p>
    <w:p w:rsidR="00224567" w:rsidRDefault="00224567">
      <w:pPr>
        <w:widowControl w:val="0"/>
      </w:pPr>
      <w:r>
        <w:tab/>
        <w:t>Al respecto, José María Asencio Mell</w:t>
      </w:r>
      <w:r>
        <w:t>a</w:t>
      </w:r>
      <w:r>
        <w:t>do diferencia dos aspectos que derivan de dicho co</w:t>
      </w:r>
      <w:r>
        <w:t>n</w:t>
      </w:r>
      <w:r>
        <w:t>cepto. Uno de ellos, el de la presunción de inocencia como ex</w:t>
      </w:r>
      <w:r>
        <w:t>i</w:t>
      </w:r>
      <w:r>
        <w:t>gencia de la inversión de la carga de la prueba en sentido material sobre la parte acusadora y, el restante, como verdad provisional que ampara a todo acusado de modo que la falta de prueba de su culpabilidad ha de dar lugar, n</w:t>
      </w:r>
      <w:r>
        <w:t>e</w:t>
      </w:r>
      <w:r>
        <w:t>cesariamente, a una sentencia de corte a</w:t>
      </w:r>
      <w:r>
        <w:t>b</w:t>
      </w:r>
      <w:r>
        <w:t>solutorio. (</w:t>
      </w:r>
      <w:r>
        <w:rPr>
          <w:spacing w:val="-2"/>
        </w:rPr>
        <w:t>cónf.</w:t>
      </w:r>
      <w:r>
        <w:t xml:space="preserve"> ob. cit., pág. 39).</w:t>
      </w:r>
    </w:p>
    <w:p w:rsidR="00224567" w:rsidRDefault="00224567">
      <w:pPr>
        <w:widowControl w:val="0"/>
      </w:pPr>
      <w:r>
        <w:tab/>
        <w:t>Por su parte, Maier destaca “la ex</w:t>
      </w:r>
      <w:r>
        <w:t>i</w:t>
      </w:r>
      <w:r>
        <w:t xml:space="preserve">gencia de que la sentencia de condena y, por ende, la aplicación de una pena sólo puede estar fundada en la </w:t>
      </w:r>
      <w:r>
        <w:rPr>
          <w:i/>
          <w:iCs/>
        </w:rPr>
        <w:t>ce</w:t>
      </w:r>
      <w:r>
        <w:rPr>
          <w:i/>
          <w:iCs/>
        </w:rPr>
        <w:t>r</w:t>
      </w:r>
      <w:r>
        <w:rPr>
          <w:i/>
          <w:iCs/>
        </w:rPr>
        <w:t>teza</w:t>
      </w:r>
      <w:r>
        <w:t xml:space="preserve"> del tribunal que falla acerca de la existe</w:t>
      </w:r>
      <w:r>
        <w:t>n</w:t>
      </w:r>
      <w:r>
        <w:t>cia de un hecho punible atribuible al acusado. Precisamente, la fa</w:t>
      </w:r>
      <w:r>
        <w:t>l</w:t>
      </w:r>
      <w:r>
        <w:t>ta de certeza representa la imposibilidad del Estado de destruir la situación de inocencia, constru</w:t>
      </w:r>
      <w:r>
        <w:t>i</w:t>
      </w:r>
      <w:r>
        <w:t>da por la ley (presunción), que ampara al imputado, razón por la cual ella conduce a la absolución. Cua</w:t>
      </w:r>
      <w:r>
        <w:t>l</w:t>
      </w:r>
      <w:r>
        <w:t xml:space="preserve">quier otra posición del juez respecto de la verdad, la </w:t>
      </w:r>
      <w:r>
        <w:rPr>
          <w:i/>
          <w:iCs/>
        </w:rPr>
        <w:t>duda</w:t>
      </w:r>
      <w:r>
        <w:t xml:space="preserve"> o aún la </w:t>
      </w:r>
      <w:r>
        <w:rPr>
          <w:i/>
          <w:iCs/>
        </w:rPr>
        <w:t>probabilidad</w:t>
      </w:r>
      <w:r>
        <w:t>, impiden la condena y desembocan en la absolución”. Y agr</w:t>
      </w:r>
      <w:r>
        <w:t>e</w:t>
      </w:r>
      <w:r>
        <w:t>ga: “el imputado no tiene necesidad de construir su inocencia, ya construida de antem</w:t>
      </w:r>
      <w:r>
        <w:t>a</w:t>
      </w:r>
      <w:r>
        <w:t>no por la presunción que lo ampara, sino que, antes bien, quien lo condena debe destruir completamente esa posición, arribando a la cert</w:t>
      </w:r>
      <w:r>
        <w:t>e</w:t>
      </w:r>
      <w:r>
        <w:t>za sobre la comisión de un hecho punible” (</w:t>
      </w:r>
      <w:r>
        <w:rPr>
          <w:spacing w:val="-2"/>
        </w:rPr>
        <w:t>cónf.</w:t>
      </w:r>
      <w:r>
        <w:t xml:space="preserve"> ob. cit., págs. 495 y 507).</w:t>
      </w:r>
    </w:p>
    <w:p w:rsidR="00224567" w:rsidRDefault="00224567">
      <w:pPr>
        <w:widowControl w:val="0"/>
      </w:pPr>
      <w:r>
        <w:tab/>
        <w:t>En base a lo expuesto, el Tribunal e</w:t>
      </w:r>
      <w:r>
        <w:t>n</w:t>
      </w:r>
      <w:r>
        <w:t>tiende que los elementos surgidos del debate no alcanz</w:t>
      </w:r>
      <w:r>
        <w:t>a</w:t>
      </w:r>
      <w:r>
        <w:t>ron, ni siquiera en forma mínima, para desvirtuar la pr</w:t>
      </w:r>
      <w:r>
        <w:t>e</w:t>
      </w:r>
      <w:r>
        <w:t>sunción de inocencia de que goza Carlos Alberto Telleldín. En efecto, no se arrimó a la causa ninguna prueba –sea d</w:t>
      </w:r>
      <w:r>
        <w:t>i</w:t>
      </w:r>
      <w:r>
        <w:t>recta o indiciaria- demostrativa de que el nombrado tuvi</w:t>
      </w:r>
      <w:r>
        <w:t>e</w:t>
      </w:r>
      <w:r>
        <w:t>ra conoc</w:t>
      </w:r>
      <w:r>
        <w:t>i</w:t>
      </w:r>
      <w:r>
        <w:t>miento de que el motor que pasó por sus manos –el de “Messin S.R.L.”- y la camioneta que eve</w:t>
      </w:r>
      <w:r>
        <w:t>n</w:t>
      </w:r>
      <w:r>
        <w:t>tualmente pudo haber armado con esa pieza, fueran a ser empleados para cometer un hecho ilícito.</w:t>
      </w:r>
    </w:p>
    <w:p w:rsidR="00224567" w:rsidRDefault="00224567">
      <w:pPr>
        <w:widowControl w:val="0"/>
      </w:pPr>
      <w:r>
        <w:tab/>
        <w:t xml:space="preserve">En este sentido, tal como sostiene Maier al tratar la regla del </w:t>
      </w:r>
      <w:r>
        <w:rPr>
          <w:u w:val="single"/>
        </w:rPr>
        <w:t>favor rei</w:t>
      </w:r>
      <w:r>
        <w:t>, en la determin</w:t>
      </w:r>
      <w:r>
        <w:t>a</w:t>
      </w:r>
      <w:r>
        <w:t>ción de los hechos también se deben comprender “los el</w:t>
      </w:r>
      <w:r>
        <w:t>e</w:t>
      </w:r>
      <w:r>
        <w:t>mentos relativos a la voluntad del imputado, a su conoc</w:t>
      </w:r>
      <w:r>
        <w:t>i</w:t>
      </w:r>
      <w:r>
        <w:t>miento o representación, que resulta imprescindible aver</w:t>
      </w:r>
      <w:r>
        <w:t>i</w:t>
      </w:r>
      <w:r>
        <w:t>guar y reconstruir para aplicar la ley penal” (</w:t>
      </w:r>
      <w:r>
        <w:rPr>
          <w:spacing w:val="-2"/>
        </w:rPr>
        <w:t>cónf.</w:t>
      </w:r>
      <w:r>
        <w:t xml:space="preserve"> ob. cit., pág. 501).</w:t>
      </w:r>
    </w:p>
    <w:p w:rsidR="00224567" w:rsidRDefault="00224567">
      <w:pPr>
        <w:widowControl w:val="0"/>
      </w:pPr>
      <w:r>
        <w:tab/>
        <w:t>En autos no se demostró el conocimie</w:t>
      </w:r>
      <w:r>
        <w:t>n</w:t>
      </w:r>
      <w:r>
        <w:t>to ni la voluntad de Telleldín de contribuir a la perp</w:t>
      </w:r>
      <w:r>
        <w:t>e</w:t>
      </w:r>
      <w:r>
        <w:t>tración de un hecho terrorista. Los acusadores pretendi</w:t>
      </w:r>
      <w:r>
        <w:t>e</w:t>
      </w:r>
      <w:r>
        <w:t>ron presentar como indicios de cargo hechos contradict</w:t>
      </w:r>
      <w:r>
        <w:t>o</w:t>
      </w:r>
      <w:r>
        <w:t>rios, que daban lugar a múltiples interpretaciones y, en algunos casos, ni siquiera se hallaban acreditados. Esos elementos no bastan para fundar un reproche penal, ni fo</w:t>
      </w:r>
      <w:r>
        <w:t>r</w:t>
      </w:r>
      <w:r>
        <w:t>mar la certeza a la que deben arribar los magistrados a la hora de dictar un pronunciamiento conden</w:t>
      </w:r>
      <w:r>
        <w:t>a</w:t>
      </w:r>
      <w:r>
        <w:t>torio.</w:t>
      </w:r>
    </w:p>
    <w:p w:rsidR="00224567" w:rsidRDefault="00224567">
      <w:pPr>
        <w:widowControl w:val="0"/>
      </w:pPr>
      <w:r>
        <w:tab/>
        <w:t>Dicha certeza no se satisface con el</w:t>
      </w:r>
      <w:r>
        <w:t>e</w:t>
      </w:r>
      <w:r>
        <w:t>mentos de escaso o nulo valor probatorio, como los prese</w:t>
      </w:r>
      <w:r>
        <w:t>n</w:t>
      </w:r>
      <w:r>
        <w:t>tados a lo la</w:t>
      </w:r>
      <w:r>
        <w:t>r</w:t>
      </w:r>
      <w:r>
        <w:t>go del debate, insuficientes para desvirtuar las protestas exculpatorias del acusado.</w:t>
      </w:r>
    </w:p>
    <w:p w:rsidR="00224567" w:rsidRDefault="00224567">
      <w:pPr>
        <w:widowControl w:val="0"/>
      </w:pPr>
      <w:r>
        <w:tab/>
        <w:t>Ya se explicó que un indicio acredit</w:t>
      </w:r>
      <w:r>
        <w:t>a</w:t>
      </w:r>
      <w:r>
        <w:t>do sólo puede producir una presunción, que, además, no se debe poder explicar de otra manera. Ahora bien, es inh</w:t>
      </w:r>
      <w:r>
        <w:t>e</w:t>
      </w:r>
      <w:r>
        <w:t>rente a la labor jurisdiccional agotar todos los caminos puestos bajo la lupa del entendimiento, que es el que, en definitiva, inclina la balanza de la dec</w:t>
      </w:r>
      <w:r>
        <w:t>i</w:t>
      </w:r>
      <w:r>
        <w:t>sión.</w:t>
      </w:r>
    </w:p>
    <w:p w:rsidR="00224567" w:rsidRDefault="00224567">
      <w:pPr>
        <w:widowControl w:val="0"/>
      </w:pPr>
      <w:r>
        <w:tab/>
        <w:t>En este sentido, Mittermaier e</w:t>
      </w:r>
      <w:r>
        <w:t>n</w:t>
      </w:r>
      <w:r>
        <w:t>tiende que “el que desea adquirir la certeza, no cierra jamás la puerta a la duda, antes bien se detiene en todos los ind</w:t>
      </w:r>
      <w:r>
        <w:t>i</w:t>
      </w:r>
      <w:r>
        <w:t>cios que pudieran conducirle a ella, y sólo cuando la ha hecho desaparecer completamente, es cuando su d</w:t>
      </w:r>
      <w:r>
        <w:t>e</w:t>
      </w:r>
      <w:r>
        <w:t>cisión se hace irrevocable y se asie</w:t>
      </w:r>
      <w:r>
        <w:t>n</w:t>
      </w:r>
      <w:r>
        <w:t>ta sobre la base indestructible de los motivos de la convicción afirmativa”. También señ</w:t>
      </w:r>
      <w:r>
        <w:t>a</w:t>
      </w:r>
      <w:r>
        <w:t>la que cuando la convicción no se apoya en una base sól</w:t>
      </w:r>
      <w:r>
        <w:t>i</w:t>
      </w:r>
      <w:r>
        <w:t>da, no debe satisfacer al hombre prudente y concienzudo, ni suministrarle una regla de conducta; menos aún debe bastar al juez, cuya dec</w:t>
      </w:r>
      <w:r>
        <w:t>i</w:t>
      </w:r>
      <w:r>
        <w:t>sión recae completamente sobre la culpabilidad de un acusado, pudiendo su error perjudicar los derechos más s</w:t>
      </w:r>
      <w:r>
        <w:t>a</w:t>
      </w:r>
      <w:r>
        <w:t>grados de los ciudadanos.</w:t>
      </w:r>
    </w:p>
    <w:p w:rsidR="00224567" w:rsidRDefault="00224567">
      <w:pPr>
        <w:widowControl w:val="0"/>
      </w:pPr>
      <w:r>
        <w:tab/>
        <w:t>A su vez, el autor citado define como convicción propiamente dicha al estado del entendimiento que tiene los hechos por verdaderos, apoyándose en m</w:t>
      </w:r>
      <w:r>
        <w:t>o</w:t>
      </w:r>
      <w:r>
        <w:t>tivos bastante sólidos; la convicción toma el nombre de certeza desde el momento en que rechaza victorios</w:t>
      </w:r>
      <w:r>
        <w:t>a</w:t>
      </w:r>
      <w:r>
        <w:t>mente todos los motivos contrarios o desde que éstos no pu</w:t>
      </w:r>
      <w:r>
        <w:t>e</w:t>
      </w:r>
      <w:r>
        <w:t>den destruir el conjunto imponente de los motivos afirmativos. Además, destaca que para que haya certeza habrá de cumplirse con cie</w:t>
      </w:r>
      <w:r>
        <w:t>r</w:t>
      </w:r>
      <w:r>
        <w:t>tas condiciones esenciales; entre ellas, la presencia de un conjunto de motivos, acreditados por la razón y la experiencia, para poder se</w:t>
      </w:r>
      <w:r>
        <w:t>r</w:t>
      </w:r>
      <w:r>
        <w:t>vir de base a la convicción, a lo que se añade que debe estar precedida por un esfuerzo grave e imparcial, profundizando y apartando los medios que tie</w:t>
      </w:r>
      <w:r>
        <w:t>n</w:t>
      </w:r>
      <w:r>
        <w:t>dan a hacer admitir la solución contraria.</w:t>
      </w:r>
    </w:p>
    <w:p w:rsidR="00224567" w:rsidRDefault="00224567">
      <w:pPr>
        <w:widowControl w:val="0"/>
      </w:pPr>
      <w:r>
        <w:tab/>
        <w:t>También explica Mittermaier que cua</w:t>
      </w:r>
      <w:r>
        <w:t>n</w:t>
      </w:r>
      <w:r>
        <w:t>do no hay certeza, sino tan sólo probabilidad -como por eje</w:t>
      </w:r>
      <w:r>
        <w:t>m</w:t>
      </w:r>
      <w:r>
        <w:t>plo cuando no hay en la causa sino simples indicios- no puede tomársela por base de una condena, porque siempre queda lugar a la duda y la conciencia no puede quedar s</w:t>
      </w:r>
      <w:r>
        <w:t>a</w:t>
      </w:r>
      <w:r>
        <w:t>tisfecha de tal modo que parezca haberse desvanecido la posibilidad de lo contrario (</w:t>
      </w:r>
      <w:r>
        <w:rPr>
          <w:spacing w:val="-2"/>
        </w:rPr>
        <w:t>cónf.</w:t>
      </w:r>
      <w:r>
        <w:t xml:space="preserve"> “Tratado de </w:t>
      </w:r>
      <w:smartTag w:uri="urn:schemas-microsoft-com:office:smarttags" w:element="PersonName">
        <w:smartTagPr>
          <w:attr w:name="ProductID" w:val="La Prueba"/>
        </w:smartTagPr>
        <w:r>
          <w:t>la Prueba</w:t>
        </w:r>
      </w:smartTag>
      <w:r>
        <w:t xml:space="preserve"> en Materia Criminal”, Hammurabi, Bu</w:t>
      </w:r>
      <w:r>
        <w:t>e</w:t>
      </w:r>
      <w:r>
        <w:t>nos Aires, 1993, pág. 92 y sigs.).</w:t>
      </w:r>
    </w:p>
    <w:p w:rsidR="00224567" w:rsidRDefault="00224567">
      <w:pPr>
        <w:widowControl w:val="0"/>
      </w:pPr>
      <w:r>
        <w:tab/>
        <w:t>A su vez, se señala que la doctrina de la probabilidad se encuentra conexa con la certeza. De h</w:t>
      </w:r>
      <w:r>
        <w:t>e</w:t>
      </w:r>
      <w:r>
        <w:t>cho, un caso es probable en cuanto el ánimo pr</w:t>
      </w:r>
      <w:r>
        <w:t>o</w:t>
      </w:r>
      <w:r>
        <w:t>pende más a tenerle como cierto que a desconocerle tal carácter. A m</w:t>
      </w:r>
      <w:r>
        <w:t>e</w:t>
      </w:r>
      <w:r>
        <w:t>dida que las dudas aminoran, la probabilidad aumenta; una vez desvanecidas, la certeza surge. Hay pues, un íntimo lazo entre ambas (</w:t>
      </w:r>
      <w:r>
        <w:rPr>
          <w:spacing w:val="-2"/>
        </w:rPr>
        <w:t>cónf.</w:t>
      </w:r>
      <w:r>
        <w:t xml:space="preserve"> Ellero, ob. cit., pág. 29).</w:t>
      </w:r>
    </w:p>
    <w:p w:rsidR="00224567" w:rsidRDefault="00224567">
      <w:pPr>
        <w:widowControl w:val="0"/>
      </w:pPr>
      <w:r>
        <w:tab/>
        <w:t>En cuanto a la motivación de las se</w:t>
      </w:r>
      <w:r>
        <w:t>n</w:t>
      </w:r>
      <w:r>
        <w:t xml:space="preserve">tencias y, en especial, a la indicación del </w:t>
      </w:r>
      <w:r>
        <w:rPr>
          <w:u w:val="single"/>
        </w:rPr>
        <w:t>iter</w:t>
      </w:r>
      <w:r>
        <w:t xml:space="preserve"> form</w:t>
      </w:r>
      <w:r>
        <w:t>a</w:t>
      </w:r>
      <w:r>
        <w:t>tivo de la convicción, esto es, el aspecto subjetivo o valor</w:t>
      </w:r>
      <w:r>
        <w:t>a</w:t>
      </w:r>
      <w:r>
        <w:t>tivo que cabe asignarle a la prueba indiciaria, Asencio Mellado puntualiza que se debe revisar si el razonamiento fue lóg</w:t>
      </w:r>
      <w:r>
        <w:t>i</w:t>
      </w:r>
      <w:r>
        <w:t>co -dar cuenta de las pruebas que condujeron a la convicción y del curso racional que enlaza los indicios con la certeza sobre la culpabilidad- o, si por el contr</w:t>
      </w:r>
      <w:r>
        <w:t>a</w:t>
      </w:r>
      <w:r>
        <w:t>rio, fue irracional o absurdo (</w:t>
      </w:r>
      <w:r>
        <w:rPr>
          <w:spacing w:val="-2"/>
        </w:rPr>
        <w:t>cónf.</w:t>
      </w:r>
      <w:r>
        <w:t xml:space="preserve"> ob. cit., pág. 49 y sig.).</w:t>
      </w:r>
    </w:p>
    <w:p w:rsidR="00224567" w:rsidRDefault="00224567">
      <w:pPr>
        <w:pStyle w:val="Textoindependiente2"/>
        <w:widowControl w:val="0"/>
        <w:rPr>
          <w:rFonts w:ascii="Courier New" w:hAnsi="Courier New" w:cs="Courier New"/>
          <w:szCs w:val="24"/>
          <w:lang w:val="es-AR"/>
        </w:rPr>
      </w:pPr>
      <w:r>
        <w:rPr>
          <w:rFonts w:ascii="Courier New" w:hAnsi="Courier New" w:cs="Courier New"/>
          <w:szCs w:val="24"/>
          <w:lang w:val="es-AR"/>
        </w:rPr>
        <w:tab/>
        <w:t>Por su parte, Jauchen explica que la certeza judicial, en el orden empírico e histórico debe contentarse con una gran verosimilitud. Agrega que “el juez deberá revisar prudentemente las hipótesis que se presentan, despojarse de las proclividades del pens</w:t>
      </w:r>
      <w:r>
        <w:rPr>
          <w:rFonts w:ascii="Courier New" w:hAnsi="Courier New" w:cs="Courier New"/>
          <w:szCs w:val="24"/>
          <w:lang w:val="es-AR"/>
        </w:rPr>
        <w:t>a</w:t>
      </w:r>
      <w:r>
        <w:rPr>
          <w:rFonts w:ascii="Courier New" w:hAnsi="Courier New" w:cs="Courier New"/>
          <w:szCs w:val="24"/>
          <w:lang w:val="es-AR"/>
        </w:rPr>
        <w:t>miento a la imaginación y suplirlo por el sentido metódico y a</w:t>
      </w:r>
      <w:r>
        <w:rPr>
          <w:rFonts w:ascii="Courier New" w:hAnsi="Courier New" w:cs="Courier New"/>
          <w:szCs w:val="24"/>
          <w:lang w:val="es-AR"/>
        </w:rPr>
        <w:t>u</w:t>
      </w:r>
      <w:r>
        <w:rPr>
          <w:rFonts w:ascii="Courier New" w:hAnsi="Courier New" w:cs="Courier New"/>
          <w:szCs w:val="24"/>
          <w:lang w:val="es-AR"/>
        </w:rPr>
        <w:t>tocrítico, y ceñirse siempre a una actitud analítica t</w:t>
      </w:r>
      <w:r>
        <w:rPr>
          <w:rFonts w:ascii="Courier New" w:hAnsi="Courier New" w:cs="Courier New"/>
          <w:szCs w:val="24"/>
          <w:lang w:val="es-AR"/>
        </w:rPr>
        <w:t>o</w:t>
      </w:r>
      <w:r>
        <w:rPr>
          <w:rFonts w:ascii="Courier New" w:hAnsi="Courier New" w:cs="Courier New"/>
          <w:szCs w:val="24"/>
          <w:lang w:val="es-AR"/>
        </w:rPr>
        <w:t>talmente obj</w:t>
      </w:r>
      <w:r>
        <w:rPr>
          <w:rFonts w:ascii="Courier New" w:hAnsi="Courier New" w:cs="Courier New"/>
          <w:szCs w:val="24"/>
          <w:lang w:val="es-AR"/>
        </w:rPr>
        <w:t>e</w:t>
      </w:r>
      <w:r>
        <w:rPr>
          <w:rFonts w:ascii="Courier New" w:hAnsi="Courier New" w:cs="Courier New"/>
          <w:szCs w:val="24"/>
          <w:lang w:val="es-AR"/>
        </w:rPr>
        <w:t>tiva” (</w:t>
      </w:r>
      <w:r>
        <w:rPr>
          <w:rFonts w:ascii="Courier New" w:hAnsi="Courier New" w:cs="Courier New"/>
          <w:spacing w:val="-2"/>
        </w:rPr>
        <w:t>cónf.</w:t>
      </w:r>
      <w:r>
        <w:rPr>
          <w:rFonts w:ascii="Courier New" w:hAnsi="Courier New" w:cs="Courier New"/>
          <w:szCs w:val="24"/>
          <w:lang w:val="es-AR"/>
        </w:rPr>
        <w:t xml:space="preserve"> </w:t>
      </w:r>
      <w:r>
        <w:rPr>
          <w:rFonts w:ascii="Courier New" w:hAnsi="Courier New" w:cs="Courier New"/>
        </w:rPr>
        <w:t>ob. cit.</w:t>
      </w:r>
      <w:r>
        <w:rPr>
          <w:rFonts w:ascii="Courier New" w:hAnsi="Courier New" w:cs="Courier New"/>
          <w:szCs w:val="24"/>
          <w:lang w:val="es-AR"/>
        </w:rPr>
        <w:t>, pág. 608).</w:t>
      </w:r>
    </w:p>
    <w:p w:rsidR="00224567" w:rsidRDefault="00224567">
      <w:pPr>
        <w:widowControl w:val="0"/>
      </w:pPr>
      <w:r>
        <w:tab/>
        <w:t>Así lo entendió también nuestra juri</w:t>
      </w:r>
      <w:r>
        <w:t>s</w:t>
      </w:r>
      <w:r>
        <w:t>prudencia, al expresar que “por más sospechas que se te</w:t>
      </w:r>
      <w:r>
        <w:t>n</w:t>
      </w:r>
      <w:r>
        <w:t>gan, fundadas en indicios, si éstos no alcanzan a confo</w:t>
      </w:r>
      <w:r>
        <w:t>r</w:t>
      </w:r>
      <w:r>
        <w:t>mar el grado de certidumbre para una condenación, es jur</w:t>
      </w:r>
      <w:r>
        <w:t>í</w:t>
      </w:r>
      <w:r>
        <w:t>dicamente imposible emitir un juicio de reproche” (CN</w:t>
      </w:r>
      <w:r>
        <w:t>C</w:t>
      </w:r>
      <w:r>
        <w:t>Corr., sala IV, rta. el 15/7/97).</w:t>
      </w:r>
    </w:p>
    <w:p w:rsidR="00224567" w:rsidRDefault="00224567">
      <w:pPr>
        <w:widowControl w:val="0"/>
      </w:pPr>
      <w:r>
        <w:tab/>
        <w:t>Como bien se aprecia, la prudencia y la correcta valoración de los elementos probatorios será un presupuesto necesario e ineludible a fin de evitar la conculcación de los derechos más elementales reconocidos en nuestra Constitución Nacional y demás tratados intern</w:t>
      </w:r>
      <w:r>
        <w:t>a</w:t>
      </w:r>
      <w:r>
        <w:t>ci</w:t>
      </w:r>
      <w:r>
        <w:t>o</w:t>
      </w:r>
      <w:r>
        <w:t>nales de derechos humanos.</w:t>
      </w:r>
    </w:p>
    <w:p w:rsidR="00224567" w:rsidRDefault="00224567">
      <w:pPr>
        <w:widowControl w:val="0"/>
      </w:pPr>
      <w:r>
        <w:tab/>
        <w:t>En la especie, los elementos indici</w:t>
      </w:r>
      <w:r>
        <w:t>a</w:t>
      </w:r>
      <w:r>
        <w:t>rios presentados por la acusación fueron objeto de un e</w:t>
      </w:r>
      <w:r>
        <w:t>s</w:t>
      </w:r>
      <w:r>
        <w:t>tudio exhaustivo, que permitió arribar a la concl</w:t>
      </w:r>
      <w:r>
        <w:t>u</w:t>
      </w:r>
      <w:r>
        <w:t>sión de la peligrosidad de su interpretación como prueba carg</w:t>
      </w:r>
      <w:r>
        <w:t>o</w:t>
      </w:r>
      <w:r>
        <w:t>sa, sea individualmente o en su conjunto. Ello es así, toda vez que no se verificó el invocado enlace entre los hechos indiciarios y los indicados, sea por falta de prueba de los primeros o por razon</w:t>
      </w:r>
      <w:r>
        <w:t>a</w:t>
      </w:r>
      <w:r>
        <w:t>mientos forzados, apartados de la univocidad que se exige para poder valorarlos en contra del acus</w:t>
      </w:r>
      <w:r>
        <w:t>a</w:t>
      </w:r>
      <w:r>
        <w:t>do.</w:t>
      </w:r>
    </w:p>
    <w:p w:rsidR="00224567" w:rsidRDefault="00224567">
      <w:pPr>
        <w:widowControl w:val="0"/>
      </w:pPr>
      <w:r>
        <w:tab/>
        <w:t>La total orfandad probatoria que pr</w:t>
      </w:r>
      <w:r>
        <w:t>e</w:t>
      </w:r>
      <w:r>
        <w:t>sentó la acusación esgrimida en contra de Carlos Alberto Telleldín impide a este Tribunal arribar a la certeza n</w:t>
      </w:r>
      <w:r>
        <w:t>e</w:t>
      </w:r>
      <w:r>
        <w:t>cesaria para considerarlo partícipe del ate</w:t>
      </w:r>
      <w:r>
        <w:t>n</w:t>
      </w:r>
      <w:r>
        <w:t xml:space="preserve">tado contra la sede de </w:t>
      </w:r>
      <w:smartTag w:uri="urn:schemas-microsoft-com:office:smarttags" w:element="PersonName">
        <w:smartTagPr>
          <w:attr w:name="ProductID" w:val="la A.M"/>
        </w:smartTagPr>
        <w:r>
          <w:t>la A.M</w:t>
        </w:r>
      </w:smartTag>
      <w:r>
        <w:t>.I.A., por cuanto no se destruyó el estado de in</w:t>
      </w:r>
      <w:r>
        <w:t>o</w:t>
      </w:r>
      <w:r>
        <w:t>cencia del imputado.</w:t>
      </w:r>
    </w:p>
    <w:p w:rsidR="00224567" w:rsidRDefault="00224567">
      <w:pPr>
        <w:pStyle w:val="Ttulo4"/>
        <w:keepNext w:val="0"/>
        <w:widowControl w:val="0"/>
        <w:spacing w:line="600" w:lineRule="auto"/>
      </w:pPr>
      <w:r>
        <w:tab/>
      </w:r>
      <w:bookmarkStart w:id="70" w:name="_Toc86676586"/>
      <w:r>
        <w:t>B.10) Enlace.</w:t>
      </w:r>
      <w:bookmarkEnd w:id="70"/>
    </w:p>
    <w:p w:rsidR="00224567" w:rsidRDefault="00224567">
      <w:pPr>
        <w:widowControl w:val="0"/>
      </w:pPr>
      <w:r>
        <w:tab/>
        <w:t>Sin perjuicio de las conclusiones a</w:t>
      </w:r>
      <w:r>
        <w:t>l</w:t>
      </w:r>
      <w:r>
        <w:t>canzadas en este apartado, el Tribunal procederá a cont</w:t>
      </w:r>
      <w:r>
        <w:t>i</w:t>
      </w:r>
      <w:r>
        <w:t>nuación al análisis de la imputación a los policías bona</w:t>
      </w:r>
      <w:r>
        <w:t>e</w:t>
      </w:r>
      <w:r>
        <w:t>renses, que abarcará cualquier forma de respons</w:t>
      </w:r>
      <w:r>
        <w:t>a</w:t>
      </w:r>
      <w:r>
        <w:t>bilidad de e</w:t>
      </w:r>
      <w:r>
        <w:t>s</w:t>
      </w:r>
      <w:r>
        <w:t>tos en el atentado.</w:t>
      </w:r>
    </w:p>
    <w:p w:rsidR="00224567" w:rsidRDefault="00224567">
      <w:pPr>
        <w:widowControl w:val="0"/>
      </w:pPr>
    </w:p>
    <w:p w:rsidR="00224567" w:rsidRDefault="00224567">
      <w:pPr>
        <w:pStyle w:val="Ttulo3"/>
        <w:keepNext w:val="0"/>
        <w:widowControl w:val="0"/>
      </w:pPr>
      <w:bookmarkStart w:id="71" w:name="_Toc79904976"/>
      <w:bookmarkStart w:id="72" w:name="_Toc79905010"/>
      <w:bookmarkStart w:id="73" w:name="_Toc86731002"/>
      <w:bookmarkStart w:id="74" w:name="_Toc86731933"/>
      <w:r>
        <w:t>C) Análisis de la responsabilidad de Juan José Ribelli, Raúl Edilio Ibarra, Anastasio Ireneo Leal y Mario No</w:t>
      </w:r>
      <w:r>
        <w:t>r</w:t>
      </w:r>
      <w:r>
        <w:t>berto Bareiro.</w:t>
      </w:r>
      <w:bookmarkEnd w:id="73"/>
      <w:bookmarkEnd w:id="74"/>
    </w:p>
    <w:p w:rsidR="00224567" w:rsidRDefault="00224567">
      <w:pPr>
        <w:pStyle w:val="Ttulo4"/>
        <w:keepNext w:val="0"/>
        <w:widowControl w:val="0"/>
        <w:spacing w:line="600" w:lineRule="auto"/>
      </w:pPr>
      <w:r>
        <w:tab/>
      </w:r>
      <w:bookmarkStart w:id="75" w:name="_Toc86731003"/>
      <w:bookmarkStart w:id="76" w:name="_Toc86731934"/>
      <w:r>
        <w:t>C.1.) Imputación a los policías por el ate</w:t>
      </w:r>
      <w:r>
        <w:t>n</w:t>
      </w:r>
      <w:r>
        <w:t>tado</w:t>
      </w:r>
      <w:bookmarkEnd w:id="71"/>
      <w:bookmarkEnd w:id="72"/>
      <w:bookmarkEnd w:id="75"/>
      <w:bookmarkEnd w:id="76"/>
      <w:r>
        <w:t>.</w:t>
      </w:r>
    </w:p>
    <w:p w:rsidR="00224567" w:rsidRDefault="00224567">
      <w:pPr>
        <w:widowControl w:val="0"/>
      </w:pPr>
      <w:r>
        <w:tab/>
      </w:r>
      <w:r>
        <w:rPr>
          <w:b/>
          <w:bCs/>
        </w:rPr>
        <w:t>C.1.a)</w:t>
      </w:r>
      <w:r>
        <w:t xml:space="preserve"> Los representantes del Minist</w:t>
      </w:r>
      <w:r>
        <w:t>e</w:t>
      </w:r>
      <w:r>
        <w:t>rio Público Fiscal alegaron que se corroboró durante el debate la participación necesaria de Carlos Alberto T</w:t>
      </w:r>
      <w:r>
        <w:t>e</w:t>
      </w:r>
      <w:r>
        <w:t>lleldín, Juan José Ribelli, Raúl Edilio Ibarra, Anast</w:t>
      </w:r>
      <w:r>
        <w:t>a</w:t>
      </w:r>
      <w:r>
        <w:t>sio Ireneo Leal y Mario Norberto Bareiro en el atentado terr</w:t>
      </w:r>
      <w:r>
        <w:t>o</w:t>
      </w:r>
      <w:r>
        <w:t>rista. En tal sentido, relataron que quedó demo</w:t>
      </w:r>
      <w:r>
        <w:t>s</w:t>
      </w:r>
      <w:r>
        <w:t xml:space="preserve">trado que el 10 de julio de </w:t>
      </w:r>
      <w:smartTag w:uri="urn:schemas-microsoft-com:office:smarttags" w:element="metricconverter">
        <w:smartTagPr>
          <w:attr w:name="ProductID" w:val="1994 a"/>
        </w:smartTagPr>
        <w:r>
          <w:t>1994 a</w:t>
        </w:r>
      </w:smartTag>
      <w:r>
        <w:t xml:space="preserve"> las 14.30 Carlos Alberto Telle</w:t>
      </w:r>
      <w:r>
        <w:t>l</w:t>
      </w:r>
      <w:r>
        <w:t>dín entregó la camioneta Renault Trafic, motor colocado 2.831.467, debidamente acondicionada para soportar una carga explosiva de alrededor de 300 kilos, reforzada en sus amortiguadores traseros, tal como le había sido enca</w:t>
      </w:r>
      <w:r>
        <w:t>r</w:t>
      </w:r>
      <w:r>
        <w:t>gada y a sabiendas del de</w:t>
      </w:r>
      <w:r>
        <w:t>s</w:t>
      </w:r>
      <w:r>
        <w:t>tino final que se le iba a dar.</w:t>
      </w:r>
    </w:p>
    <w:p w:rsidR="00224567" w:rsidRDefault="00224567">
      <w:pPr>
        <w:widowControl w:val="0"/>
      </w:pPr>
      <w:r>
        <w:t>Señalaron que tanto Telleldín, que la entrega, como qui</w:t>
      </w:r>
      <w:r>
        <w:t>e</w:t>
      </w:r>
      <w:r>
        <w:t>nes la recibieron, Raúl Edilio Ibarra y Anastasio Ireneo Leal, acompañados por otras personas cuyas identidades hasta la fecha no se pudo determinar, est</w:t>
      </w:r>
      <w:r>
        <w:t>a</w:t>
      </w:r>
      <w:r>
        <w:t>ban al tanto de esta entrega. Indicaron que participaron en diversos tr</w:t>
      </w:r>
      <w:r>
        <w:t>a</w:t>
      </w:r>
      <w:r>
        <w:t xml:space="preserve">mos del </w:t>
      </w:r>
      <w:r>
        <w:rPr>
          <w:u w:val="single"/>
        </w:rPr>
        <w:t>iter criminis</w:t>
      </w:r>
      <w:r>
        <w:t xml:space="preserve"> Juan José Ribelli y Mario Norberto Bareiro.</w:t>
      </w:r>
    </w:p>
    <w:p w:rsidR="00224567" w:rsidRDefault="00224567">
      <w:pPr>
        <w:widowControl w:val="0"/>
      </w:pPr>
      <w:r>
        <w:tab/>
        <w:t xml:space="preserve">Finalmente, afirmaron que como quedó acreditado que la entrega de </w:t>
      </w:r>
      <w:smartTag w:uri="urn:schemas-microsoft-com:office:smarttags" w:element="PersonName">
        <w:smartTagPr>
          <w:attr w:name="ProductID" w:val="la Trafic"/>
        </w:smartTagPr>
        <w:r>
          <w:t>la Trafic</w:t>
        </w:r>
      </w:smartTag>
      <w:r>
        <w:t xml:space="preserve"> el 10 de julio de 1994 fue consensuada, y no producto de una extorsión por parte de los policías hacia Telleldín, solicitaron la l</w:t>
      </w:r>
      <w:r>
        <w:t>i</w:t>
      </w:r>
      <w:r>
        <w:t>bre absolución de Ribelli, Ibarra, Leal y Bareiro por el hecho que en el requ</w:t>
      </w:r>
      <w:r>
        <w:t>e</w:t>
      </w:r>
      <w:r>
        <w:t>rimiento de elevación a juicio fuera calificado como constitutivo del delito de extorsión en perju</w:t>
      </w:r>
      <w:r>
        <w:t>i</w:t>
      </w:r>
      <w:r>
        <w:t>cio de Carlos Telleldín.</w:t>
      </w:r>
    </w:p>
    <w:p w:rsidR="00224567" w:rsidRDefault="00224567">
      <w:pPr>
        <w:widowControl w:val="0"/>
      </w:pPr>
      <w:r>
        <w:rPr>
          <w:b/>
          <w:bCs/>
        </w:rPr>
        <w:tab/>
        <w:t xml:space="preserve">C.1.b) </w:t>
      </w:r>
      <w:r>
        <w:t>En un sentido similar se exp</w:t>
      </w:r>
      <w:r>
        <w:t>i</w:t>
      </w:r>
      <w:r>
        <w:t>dieron los letrados de la quer</w:t>
      </w:r>
      <w:r>
        <w:t>e</w:t>
      </w:r>
      <w:r>
        <w:t>lla unificada A.M.I.A.–D.A.I.A.–Grupo de Familiares. Así, acusaron a Telleldín, Ibarra, Ribelli, Leal y Bareiro por haber preparado y e</w:t>
      </w:r>
      <w:r>
        <w:t>n</w:t>
      </w:r>
      <w:r>
        <w:t>tregado la camioneta Trafic que luego fue transporte y carcasa de la bomba que mató a 85 pers</w:t>
      </w:r>
      <w:r>
        <w:t>o</w:t>
      </w:r>
      <w:r>
        <w:t>nas, hirió a otras 300 y destruyó el edificio de Pasteur 633, considerándolos partícipes necesarios en este atentado t</w:t>
      </w:r>
      <w:r>
        <w:t>e</w:t>
      </w:r>
      <w:r>
        <w:t>rrorista.</w:t>
      </w:r>
    </w:p>
    <w:p w:rsidR="00224567" w:rsidRDefault="00224567">
      <w:pPr>
        <w:widowControl w:val="0"/>
      </w:pPr>
      <w:r>
        <w:tab/>
        <w:t>Sostuvieron que la logística local de este hecho estuvo a cargo de Mohsen Rabbani y que a</w:t>
      </w:r>
      <w:r>
        <w:t>l</w:t>
      </w:r>
      <w:r>
        <w:t>guien vinculado a éste contactó a Ribelli y le encargó la cami</w:t>
      </w:r>
      <w:r>
        <w:t>o</w:t>
      </w:r>
      <w:r>
        <w:t xml:space="preserve">neta con la que se realizaría el atentado. Esta camioneta debía tener determinadas características. Debían armarse dos camionetas para que no se supiera cuál explotó en </w:t>
      </w:r>
      <w:smartTag w:uri="urn:schemas-microsoft-com:office:smarttags" w:element="PersonName">
        <w:smartTagPr>
          <w:attr w:name="ProductID" w:val="la A.M"/>
        </w:smartTagPr>
        <w:r>
          <w:t>la A.M</w:t>
        </w:r>
      </w:smartTag>
      <w:r>
        <w:t>.I.A. y así confundir en la investig</w:t>
      </w:r>
      <w:r>
        <w:t>a</w:t>
      </w:r>
      <w:r>
        <w:t xml:space="preserve">ción. </w:t>
      </w:r>
    </w:p>
    <w:p w:rsidR="00224567" w:rsidRDefault="00224567">
      <w:pPr>
        <w:widowControl w:val="0"/>
      </w:pPr>
      <w:r>
        <w:tab/>
        <w:t>Por último, entendió que se había c</w:t>
      </w:r>
      <w:r>
        <w:t>o</w:t>
      </w:r>
      <w:r>
        <w:t>rroborado que el 10 de julio de 1994, aproximadamente a las 14, Telleldín, en cumplimiento de un acuerdo, e</w:t>
      </w:r>
      <w:r>
        <w:t>n</w:t>
      </w:r>
      <w:r>
        <w:t>tregó la camioneta que armara a los policías que estaban apost</w:t>
      </w:r>
      <w:r>
        <w:t>a</w:t>
      </w:r>
      <w:r>
        <w:t>dos afuera de su casa, mencionando a Ibarra –a bordo de un Duna blanco– y a Leal –dentro de un G</w:t>
      </w:r>
      <w:r>
        <w:t>a</w:t>
      </w:r>
      <w:r>
        <w:t>laxy azul–.</w:t>
      </w:r>
    </w:p>
    <w:p w:rsidR="00224567" w:rsidRDefault="00224567">
      <w:pPr>
        <w:widowControl w:val="0"/>
      </w:pPr>
      <w:r>
        <w:rPr>
          <w:b/>
          <w:bCs/>
        </w:rPr>
        <w:tab/>
        <w:t xml:space="preserve">C.1.c) </w:t>
      </w:r>
      <w:r>
        <w:t>En cambio, el Dr. Pablo Jac</w:t>
      </w:r>
      <w:r>
        <w:t>o</w:t>
      </w:r>
      <w:r>
        <w:t xml:space="preserve">by, en representación de algunos de los integrantes de </w:t>
      </w:r>
      <w:smartTag w:uri="urn:schemas-microsoft-com:office:smarttags" w:element="PersonName">
        <w:smartTagPr>
          <w:attr w:name="ProductID" w:val="la Asociaci￳n Civil"/>
        </w:smartTagPr>
        <w:r>
          <w:t>la As</w:t>
        </w:r>
        <w:r>
          <w:t>o</w:t>
        </w:r>
        <w:r>
          <w:t>ciación Civil</w:t>
        </w:r>
      </w:smartTag>
      <w:r>
        <w:t xml:space="preserve"> “Memoria Activa” y de un grupo de famili</w:t>
      </w:r>
      <w:r>
        <w:t>a</w:t>
      </w:r>
      <w:r>
        <w:t>res, si bien acusó a Carlos Alberto Telleldín, por cons</w:t>
      </w:r>
      <w:r>
        <w:t>i</w:t>
      </w:r>
      <w:r>
        <w:t>derarlo partícipe necesario del atentado, e</w:t>
      </w:r>
      <w:r>
        <w:t>n</w:t>
      </w:r>
      <w:r>
        <w:t>tendió que no se colectaron en este juicio elementos probatorios respe</w:t>
      </w:r>
      <w:r>
        <w:t>c</w:t>
      </w:r>
      <w:r>
        <w:t>to de los imputados Ribelli, Ibarra, Leal y Bareiro que permitieran tenerlos por incursos en cualquier grado de participación en el atentado. Dest</w:t>
      </w:r>
      <w:r>
        <w:t>a</w:t>
      </w:r>
      <w:r>
        <w:t>có, en tal sentido, la artera y pésima instrucción del sum</w:t>
      </w:r>
      <w:r>
        <w:t>a</w:t>
      </w:r>
      <w:r>
        <w:t>rio.</w:t>
      </w:r>
    </w:p>
    <w:p w:rsidR="00224567" w:rsidRDefault="00224567">
      <w:pPr>
        <w:widowControl w:val="0"/>
      </w:pPr>
      <w:r>
        <w:tab/>
        <w:t>En este orden entendió el letrado que la imputación que por el atentado recaía sobre los pol</w:t>
      </w:r>
      <w:r>
        <w:t>i</w:t>
      </w:r>
      <w:r>
        <w:t>cías, respondía a una maniobra y que los indicios que ju</w:t>
      </w:r>
      <w:r>
        <w:t>s</w:t>
      </w:r>
      <w:r>
        <w:t>tificaron su encarcelamiento carecían de entidad siquiera para realizar un análisis medular sobre su mér</w:t>
      </w:r>
      <w:r>
        <w:t>i</w:t>
      </w:r>
      <w:r>
        <w:t>to en esta etapa del proceso, máxime desde que la principal imp</w:t>
      </w:r>
      <w:r>
        <w:t>u</w:t>
      </w:r>
      <w:r>
        <w:t>tación en su contra provenía de Telleldín, quien la real</w:t>
      </w:r>
      <w:r>
        <w:t>i</w:t>
      </w:r>
      <w:r>
        <w:t>zó luego de perfeccionar un acuerdo inconcebible con el entonces director del pr</w:t>
      </w:r>
      <w:r>
        <w:t>o</w:t>
      </w:r>
      <w:r>
        <w:t>ceso.</w:t>
      </w:r>
    </w:p>
    <w:p w:rsidR="00224567" w:rsidRDefault="00224567">
      <w:pPr>
        <w:widowControl w:val="0"/>
      </w:pPr>
      <w:r>
        <w:tab/>
        <w:t>Por último, destacó que no se podía desconocer que “toda la imputación que se les formula r</w:t>
      </w:r>
      <w:r>
        <w:t>e</w:t>
      </w:r>
      <w:r>
        <w:t>conoce un origen espurio que la deslegitima como constru</w:t>
      </w:r>
      <w:r>
        <w:t>c</w:t>
      </w:r>
      <w:r>
        <w:t>ción j</w:t>
      </w:r>
      <w:r>
        <w:t>u</w:t>
      </w:r>
      <w:r>
        <w:t>rídica válida en un Estado de derecho”.</w:t>
      </w:r>
    </w:p>
    <w:p w:rsidR="00224567" w:rsidRDefault="00224567">
      <w:pPr>
        <w:pStyle w:val="Ttulo4"/>
        <w:keepNext w:val="0"/>
        <w:widowControl w:val="0"/>
        <w:spacing w:line="600" w:lineRule="auto"/>
      </w:pPr>
      <w:bookmarkStart w:id="77" w:name="_Toc79904977"/>
      <w:bookmarkStart w:id="78" w:name="_Toc79905011"/>
      <w:r>
        <w:tab/>
      </w:r>
      <w:bookmarkStart w:id="79" w:name="_Toc86731004"/>
      <w:bookmarkStart w:id="80" w:name="_Toc86731935"/>
      <w:r>
        <w:t>C.2) Estudio de la imputación</w:t>
      </w:r>
      <w:bookmarkEnd w:id="77"/>
      <w:bookmarkEnd w:id="78"/>
      <w:bookmarkEnd w:id="79"/>
      <w:bookmarkEnd w:id="80"/>
      <w:r>
        <w:t>.</w:t>
      </w:r>
    </w:p>
    <w:p w:rsidR="00224567" w:rsidRDefault="00224567">
      <w:pPr>
        <w:pStyle w:val="Ttulo5"/>
        <w:keepNext w:val="0"/>
        <w:widowControl w:val="0"/>
        <w:spacing w:line="600" w:lineRule="auto"/>
        <w:rPr>
          <w:b w:val="0"/>
          <w:bCs w:val="0"/>
        </w:rPr>
      </w:pPr>
      <w:bookmarkStart w:id="81" w:name="_Toc79904978"/>
      <w:bookmarkStart w:id="82" w:name="_Toc79905012"/>
      <w:r>
        <w:tab/>
      </w:r>
      <w:bookmarkStart w:id="83" w:name="_Toc86731936"/>
      <w:r>
        <w:t xml:space="preserve">C.2.a) </w:t>
      </w:r>
      <w:r>
        <w:rPr>
          <w:b w:val="0"/>
          <w:bCs w:val="0"/>
        </w:rPr>
        <w:t>Introducción</w:t>
      </w:r>
      <w:bookmarkEnd w:id="81"/>
      <w:bookmarkEnd w:id="82"/>
      <w:bookmarkEnd w:id="83"/>
      <w:r>
        <w:rPr>
          <w:b w:val="0"/>
          <w:bCs w:val="0"/>
        </w:rPr>
        <w:t>.</w:t>
      </w:r>
    </w:p>
    <w:p w:rsidR="00224567" w:rsidRDefault="00224567">
      <w:pPr>
        <w:widowControl w:val="0"/>
      </w:pPr>
      <w:r>
        <w:tab/>
        <w:t>Liminarmente, debe señalarse que, p</w:t>
      </w:r>
      <w:r>
        <w:t>e</w:t>
      </w:r>
      <w:r>
        <w:t>se a la resolución de nulidad decretada en otro apartado de este pronunciamiento, el Tribunal procederá a la valor</w:t>
      </w:r>
      <w:r>
        <w:t>a</w:t>
      </w:r>
      <w:r>
        <w:t>ción de la prueba utilizada por los acusadores para su</w:t>
      </w:r>
      <w:r>
        <w:t>s</w:t>
      </w:r>
      <w:r>
        <w:t>tentar la imputación a los policías bonarenses, por la trascendencia institucional del tema.</w:t>
      </w:r>
    </w:p>
    <w:p w:rsidR="00224567" w:rsidRDefault="00224567">
      <w:pPr>
        <w:widowControl w:val="0"/>
      </w:pPr>
      <w:r>
        <w:tab/>
        <w:t>Para tratar la participación endilg</w:t>
      </w:r>
      <w:r>
        <w:t>a</w:t>
      </w:r>
      <w:r>
        <w:t>da a Juan José Rib</w:t>
      </w:r>
      <w:r>
        <w:t>e</w:t>
      </w:r>
      <w:r>
        <w:t>lli, Raúl Edilio Ibarra, Anastasio Ireneo Leal y Mario Norberto Bareiro en el atentado contra la s</w:t>
      </w:r>
      <w:r>
        <w:t>e</w:t>
      </w:r>
      <w:r>
        <w:t xml:space="preserve">de de </w:t>
      </w:r>
      <w:smartTag w:uri="urn:schemas-microsoft-com:office:smarttags" w:element="PersonName">
        <w:smartTagPr>
          <w:attr w:name="ProductID" w:val="la A.M"/>
        </w:smartTagPr>
        <w:r>
          <w:t>la A.M</w:t>
        </w:r>
      </w:smartTag>
      <w:r>
        <w:t>.I.A., se analizará inicialmente la alegada vinculación del primero de los nombrados con el ex agreg</w:t>
      </w:r>
      <w:r>
        <w:t>a</w:t>
      </w:r>
      <w:r>
        <w:t xml:space="preserve">do cultural de </w:t>
      </w:r>
      <w:smartTag w:uri="urn:schemas-microsoft-com:office:smarttags" w:element="PersonName">
        <w:smartTagPr>
          <w:attr w:name="ProductID" w:val="la Embajada"/>
        </w:smartTagPr>
        <w:r>
          <w:t>la Embajada</w:t>
        </w:r>
      </w:smartTag>
      <w:r>
        <w:t xml:space="preserve"> de </w:t>
      </w:r>
      <w:smartTag w:uri="urn:schemas-microsoft-com:office:smarttags" w:element="PersonName">
        <w:smartTagPr>
          <w:attr w:name="ProductID" w:val="la Rep￺blica Isl￡mica"/>
        </w:smartTagPr>
        <w:r>
          <w:t>la República Islámica</w:t>
        </w:r>
      </w:smartTag>
      <w:r>
        <w:t xml:space="preserve"> de Irán en Buenos Aires, Mohsen Rabbani, para luego estudiar la supuesta recepción y tenencia de la camioneta Trafic que explotara en el edificio de Pasteur 633 por parte de los policías imp</w:t>
      </w:r>
      <w:r>
        <w:t>u</w:t>
      </w:r>
      <w:r>
        <w:t>tados.</w:t>
      </w:r>
    </w:p>
    <w:p w:rsidR="00224567" w:rsidRDefault="00224567">
      <w:pPr>
        <w:widowControl w:val="0"/>
        <w:rPr>
          <w:b/>
          <w:bCs/>
        </w:rPr>
      </w:pPr>
      <w:r>
        <w:tab/>
        <w:t>De todas formas, cabe adelantar, co</w:t>
      </w:r>
      <w:r>
        <w:t>n</w:t>
      </w:r>
      <w:r>
        <w:t>forme se consignara en el veredicto, que no se ha acred</w:t>
      </w:r>
      <w:r>
        <w:t>i</w:t>
      </w:r>
      <w:r>
        <w:t>tado ninguno de e</w:t>
      </w:r>
      <w:r>
        <w:t>s</w:t>
      </w:r>
      <w:r>
        <w:t>tos extremos.</w:t>
      </w:r>
    </w:p>
    <w:p w:rsidR="00224567" w:rsidRDefault="00224567">
      <w:pPr>
        <w:pStyle w:val="Ttulo5"/>
        <w:keepNext w:val="0"/>
        <w:widowControl w:val="0"/>
        <w:spacing w:line="600" w:lineRule="auto"/>
        <w:ind w:firstLine="0"/>
        <w:rPr>
          <w:b w:val="0"/>
          <w:bCs w:val="0"/>
        </w:rPr>
      </w:pPr>
      <w:bookmarkStart w:id="84" w:name="_Toc79904979"/>
      <w:bookmarkStart w:id="85" w:name="_Toc79905013"/>
      <w:r>
        <w:tab/>
      </w:r>
      <w:bookmarkStart w:id="86" w:name="_Toc86731937"/>
      <w:r>
        <w:t xml:space="preserve">C.2.b) </w:t>
      </w:r>
      <w:r>
        <w:rPr>
          <w:b w:val="0"/>
          <w:bCs w:val="0"/>
        </w:rPr>
        <w:t xml:space="preserve">La forzada </w:t>
      </w:r>
      <w:bookmarkEnd w:id="84"/>
      <w:bookmarkEnd w:id="85"/>
      <w:r>
        <w:rPr>
          <w:b w:val="0"/>
          <w:bCs w:val="0"/>
        </w:rPr>
        <w:t>vinculación entre Rabbani y Ribelli</w:t>
      </w:r>
      <w:bookmarkEnd w:id="86"/>
      <w:r>
        <w:rPr>
          <w:b w:val="0"/>
          <w:bCs w:val="0"/>
        </w:rPr>
        <w:t>.</w:t>
      </w:r>
    </w:p>
    <w:p w:rsidR="00224567" w:rsidRDefault="00224567">
      <w:pPr>
        <w:widowControl w:val="0"/>
      </w:pPr>
      <w:r>
        <w:tab/>
      </w:r>
      <w:r>
        <w:rPr>
          <w:b/>
          <w:bCs/>
        </w:rPr>
        <w:t>C.2.b.i)</w:t>
      </w:r>
      <w:r>
        <w:t xml:space="preserve"> En la oportunidad prevista por el art. 393 del C.P.P.N., la fiscalía sostuvo que el final de este juicio era el comienzo de otra etapa cuyos cimientos deberían edificarse alrededor de algunas pers</w:t>
      </w:r>
      <w:r>
        <w:t>o</w:t>
      </w:r>
      <w:r>
        <w:t>nas que han sido reiteradamente mencionadas a lo largo del debate, siendo necesario continuar la investigación re</w:t>
      </w:r>
      <w:r>
        <w:t>s</w:t>
      </w:r>
      <w:r>
        <w:t xml:space="preserve">pecto al ex agregado cultural de </w:t>
      </w:r>
      <w:smartTag w:uri="urn:schemas-microsoft-com:office:smarttags" w:element="PersonName">
        <w:smartTagPr>
          <w:attr w:name="ProductID" w:val="la Embajada"/>
        </w:smartTagPr>
        <w:r>
          <w:t>la Embajada</w:t>
        </w:r>
      </w:smartTag>
      <w:r>
        <w:t xml:space="preserve"> de </w:t>
      </w:r>
      <w:smartTag w:uri="urn:schemas-microsoft-com:office:smarttags" w:element="PersonName">
        <w:smartTagPr>
          <w:attr w:name="ProductID" w:val="la Rep￺blica Isl￡mica"/>
        </w:smartTagPr>
        <w:r>
          <w:t>la Rep</w:t>
        </w:r>
        <w:r>
          <w:t>ú</w:t>
        </w:r>
        <w:r>
          <w:t>blica Islámica</w:t>
        </w:r>
      </w:smartTag>
      <w:r>
        <w:t xml:space="preserve"> de Irán en Buenos Aires, Mo</w:t>
      </w:r>
      <w:r>
        <w:t>h</w:t>
      </w:r>
      <w:r>
        <w:t>sen Rabbani.</w:t>
      </w:r>
    </w:p>
    <w:p w:rsidR="00224567" w:rsidRDefault="00224567">
      <w:pPr>
        <w:widowControl w:val="0"/>
      </w:pPr>
      <w:r>
        <w:tab/>
        <w:t>Por su parte, los letrados de la qu</w:t>
      </w:r>
      <w:r>
        <w:t>e</w:t>
      </w:r>
      <w:r>
        <w:t>rella unificada afirm</w:t>
      </w:r>
      <w:r>
        <w:t>a</w:t>
      </w:r>
      <w:r>
        <w:t>ron que este último participó en la planificación del atentado. Destacaron además que como e</w:t>
      </w:r>
      <w:r>
        <w:t>s</w:t>
      </w:r>
      <w:r>
        <w:t>taba siendo vigil</w:t>
      </w:r>
      <w:r>
        <w:t>a</w:t>
      </w:r>
      <w:r>
        <w:t xml:space="preserve">do por </w:t>
      </w:r>
      <w:smartTag w:uri="urn:schemas-microsoft-com:office:smarttags" w:element="PersonName">
        <w:smartTagPr>
          <w:attr w:name="ProductID" w:val="la SIDE"/>
        </w:smartTagPr>
        <w:r>
          <w:t>la SIDE</w:t>
        </w:r>
      </w:smartTag>
      <w:r>
        <w:t xml:space="preserve"> –exhibiendo, en su apoyo, las fotografías que le tomaran en la avenida Juan B. Ju</w:t>
      </w:r>
      <w:r>
        <w:t>s</w:t>
      </w:r>
      <w:r>
        <w:t>to–, recurrió a Ribelli –por su perfil– y le encargó, por interpósita persona, la obtención de una camioneta R</w:t>
      </w:r>
      <w:r>
        <w:t>e</w:t>
      </w:r>
      <w:r>
        <w:t>nault Trafic a tal fin.</w:t>
      </w:r>
    </w:p>
    <w:p w:rsidR="00224567" w:rsidRDefault="00224567">
      <w:pPr>
        <w:widowControl w:val="0"/>
      </w:pPr>
      <w:r>
        <w:tab/>
      </w:r>
      <w:r>
        <w:rPr>
          <w:b/>
          <w:bCs/>
        </w:rPr>
        <w:t>C.2.b.ii)</w:t>
      </w:r>
      <w:r>
        <w:t xml:space="preserve"> En primer lugar, debe pone</w:t>
      </w:r>
      <w:r>
        <w:t>r</w:t>
      </w:r>
      <w:r>
        <w:t>se de resalto que los acusadores particulares han menci</w:t>
      </w:r>
      <w:r>
        <w:t>o</w:t>
      </w:r>
      <w:r>
        <w:t>nado sucintamente tan grave imputación, y no han aportado ninguna prueba que avalara su dogmática afi</w:t>
      </w:r>
      <w:r>
        <w:t>r</w:t>
      </w:r>
      <w:r>
        <w:t>mación.</w:t>
      </w:r>
    </w:p>
    <w:p w:rsidR="00224567" w:rsidRDefault="00224567">
      <w:pPr>
        <w:widowControl w:val="0"/>
      </w:pPr>
      <w:r>
        <w:tab/>
        <w:t>Si bien se citaron en su apoyo los d</w:t>
      </w:r>
      <w:r>
        <w:t>i</w:t>
      </w:r>
      <w:r>
        <w:t>chos del te</w:t>
      </w:r>
      <w:r>
        <w:t>s</w:t>
      </w:r>
      <w:r>
        <w:t>tigo Abolghasem Mesbahi, como se verá, ello no tiene entidad para corroborar feh</w:t>
      </w:r>
      <w:r>
        <w:t>a</w:t>
      </w:r>
      <w:r>
        <w:t>cientemente lo afirmado.</w:t>
      </w:r>
    </w:p>
    <w:p w:rsidR="00224567" w:rsidRDefault="00224567">
      <w:pPr>
        <w:widowControl w:val="0"/>
      </w:pPr>
      <w:r>
        <w:tab/>
        <w:t>Así, se señaló que éste afirmó que Rabbani había llevado a Irán dos páginas de información sobre sus actividades dentro de la policía en Buenos A</w:t>
      </w:r>
      <w:r>
        <w:t>i</w:t>
      </w:r>
      <w:r>
        <w:t>res; ad</w:t>
      </w:r>
      <w:r>
        <w:t>e</w:t>
      </w:r>
      <w:r>
        <w:t>más admitió que ésta se encontraba infiltrada por gente b</w:t>
      </w:r>
      <w:r>
        <w:t>a</w:t>
      </w:r>
      <w:r>
        <w:t>jo sus órdenes.</w:t>
      </w:r>
    </w:p>
    <w:p w:rsidR="00224567" w:rsidRDefault="00224567">
      <w:pPr>
        <w:widowControl w:val="0"/>
      </w:pPr>
      <w:r>
        <w:tab/>
        <w:t>A partir de allí dedujo la querella que un oficial de la policía bonaerense con las caract</w:t>
      </w:r>
      <w:r>
        <w:t>e</w:t>
      </w:r>
      <w:r>
        <w:t>rísticas de Juan José Ribelli, no podía dejar de ser d</w:t>
      </w:r>
      <w:r>
        <w:t>e</w:t>
      </w:r>
      <w:r>
        <w:t>tectado por Ra</w:t>
      </w:r>
      <w:r>
        <w:t>b</w:t>
      </w:r>
      <w:r>
        <w:t>bani.</w:t>
      </w:r>
    </w:p>
    <w:p w:rsidR="00224567" w:rsidRDefault="00224567">
      <w:pPr>
        <w:widowControl w:val="0"/>
      </w:pPr>
      <w:r>
        <w:tab/>
        <w:t>En primer lugar, debe señalarse que la conclusión de lo alegado en este aspecto –es decir, la vinculación de Rabbani con Ribelli– parte de un razon</w:t>
      </w:r>
      <w:r>
        <w:t>a</w:t>
      </w:r>
      <w:r>
        <w:t>miento caprichoso y arbitrario que, solo a través de co</w:t>
      </w:r>
      <w:r>
        <w:t>n</w:t>
      </w:r>
      <w:r>
        <w:t>jeturas y juicios hipotéticos sin sustento probatorio a</w:t>
      </w:r>
      <w:r>
        <w:t>l</w:t>
      </w:r>
      <w:r>
        <w:t>guno, atribuye la conexión entre estas pers</w:t>
      </w:r>
      <w:r>
        <w:t>o</w:t>
      </w:r>
      <w:r>
        <w:t>nas.</w:t>
      </w:r>
    </w:p>
    <w:p w:rsidR="00224567" w:rsidRDefault="00224567">
      <w:pPr>
        <w:widowControl w:val="0"/>
      </w:pPr>
      <w:r>
        <w:tab/>
        <w:t>Por otra parte, las prolijas, claras y contundentes explicaciones brindadas por el testigo dura</w:t>
      </w:r>
      <w:r>
        <w:t>n</w:t>
      </w:r>
      <w:r>
        <w:t>te el debate, chocan, una vez más, con el cercen</w:t>
      </w:r>
      <w:r>
        <w:t>a</w:t>
      </w:r>
      <w:r>
        <w:t>miento y las omisi</w:t>
      </w:r>
      <w:r>
        <w:t>o</w:t>
      </w:r>
      <w:r>
        <w:t>nes que la querella efectúa sobre las respuestas de los testigos.</w:t>
      </w:r>
    </w:p>
    <w:p w:rsidR="00224567" w:rsidRDefault="00224567">
      <w:pPr>
        <w:widowControl w:val="0"/>
      </w:pPr>
      <w:r>
        <w:tab/>
        <w:t>Esa reiterada conducta, demostrativa de la mala fe y arb</w:t>
      </w:r>
      <w:r>
        <w:t>i</w:t>
      </w:r>
      <w:r>
        <w:t>trario manejo de la prueba, tiene por finalidad tergive</w:t>
      </w:r>
      <w:r>
        <w:t>r</w:t>
      </w:r>
      <w:r>
        <w:t>sar las afirmaciones que no le son de su agrado y conv</w:t>
      </w:r>
      <w:r>
        <w:t>e</w:t>
      </w:r>
      <w:r>
        <w:t>niencia.</w:t>
      </w:r>
    </w:p>
    <w:p w:rsidR="00224567" w:rsidRDefault="00224567">
      <w:pPr>
        <w:widowControl w:val="0"/>
      </w:pPr>
      <w:r>
        <w:tab/>
        <w:t>En efecto, los acusadores particul</w:t>
      </w:r>
      <w:r>
        <w:t>a</w:t>
      </w:r>
      <w:r>
        <w:t>res afirmaron que Rabbani había llevado a Irán dos p</w:t>
      </w:r>
      <w:r>
        <w:t>á</w:t>
      </w:r>
      <w:r>
        <w:t>ginas de info</w:t>
      </w:r>
      <w:r>
        <w:t>r</w:t>
      </w:r>
      <w:r>
        <w:t>mación sobre sus actividades dentro de la policía en Buenos Aires, cuando en rigor de verdad, el testigo solo dijo que leyó dos páginas de esa información. Pero la om</w:t>
      </w:r>
      <w:r>
        <w:t>i</w:t>
      </w:r>
      <w:r>
        <w:t>sión central en la que incurre el ac</w:t>
      </w:r>
      <w:r>
        <w:t>u</w:t>
      </w:r>
      <w:r>
        <w:t>sador al valorar este tramo del testimonio consiste en que Mesbahi agregó que ese informe no contenía grandes detalles y las mayores r</w:t>
      </w:r>
      <w:r>
        <w:t>e</w:t>
      </w:r>
      <w:r>
        <w:t>ferencias eran a los domicilios de la oposición iraní en Buenos Aires. Además precisó fundadamente que no había nombres de policías.</w:t>
      </w:r>
    </w:p>
    <w:p w:rsidR="00224567" w:rsidRDefault="00224567">
      <w:pPr>
        <w:widowControl w:val="0"/>
      </w:pPr>
      <w:r>
        <w:tab/>
        <w:t>Esta genérica mención en modo alguno puede valorarse en contra de Juan José Ribelli ya que es totalmente insuficiente para inferir, como se pretende, que tal alusión se refiriera a la policía bonaerense, m</w:t>
      </w:r>
      <w:r>
        <w:t>e</w:t>
      </w:r>
      <w:r>
        <w:t>nos aún a Ribelli. Máxime, cuando reiteradamente el test</w:t>
      </w:r>
      <w:r>
        <w:t>i</w:t>
      </w:r>
      <w:r>
        <w:t>go negó la existencia de una conexión local y afirmó que las únicas personas informadas sobre el atentado eran  Rabbani y los funcionarios de la inteligencia de la emb</w:t>
      </w:r>
      <w:r>
        <w:t>a</w:t>
      </w:r>
      <w:r>
        <w:t>jada.</w:t>
      </w:r>
    </w:p>
    <w:p w:rsidR="00224567" w:rsidRDefault="00224567">
      <w:pPr>
        <w:widowControl w:val="0"/>
      </w:pPr>
      <w:r>
        <w:tab/>
        <w:t>Adunó, dando razones de ello, que no sabía de el</w:t>
      </w:r>
      <w:r>
        <w:t>e</w:t>
      </w:r>
      <w:r>
        <w:t>mentos argentinos que hubiesen intervenido en el atentado, que nadie pudo estar informado e inv</w:t>
      </w:r>
      <w:r>
        <w:t>o</w:t>
      </w:r>
      <w:r>
        <w:t>lucrado, que no se recurrió a ningún el</w:t>
      </w:r>
      <w:r>
        <w:t>e</w:t>
      </w:r>
      <w:r>
        <w:t>mento local.</w:t>
      </w:r>
    </w:p>
    <w:p w:rsidR="00224567" w:rsidRDefault="00224567">
      <w:pPr>
        <w:widowControl w:val="0"/>
      </w:pPr>
      <w:r>
        <w:tab/>
        <w:t>Por último, corresponde resaltar que los dichos de Mesbahi resultaron para el Tribunal cl</w:t>
      </w:r>
      <w:r>
        <w:t>a</w:t>
      </w:r>
      <w:r>
        <w:t>ros, precisos y contundentes ya que no mostraron fisuras o co</w:t>
      </w:r>
      <w:r>
        <w:t>n</w:t>
      </w:r>
      <w:r>
        <w:t>tradicciones como sostuvo la querella. De su declaración no surgió siquiera un solo indicio para fundar la forzada conexión entre Ra</w:t>
      </w:r>
      <w:r>
        <w:t>b</w:t>
      </w:r>
      <w:r>
        <w:t>bani y Ribelli.</w:t>
      </w:r>
    </w:p>
    <w:p w:rsidR="00224567" w:rsidRDefault="00224567">
      <w:pPr>
        <w:widowControl w:val="0"/>
      </w:pPr>
      <w:r>
        <w:tab/>
      </w:r>
      <w:r>
        <w:rPr>
          <w:b/>
          <w:bCs/>
        </w:rPr>
        <w:t>C.2.b.iii)</w:t>
      </w:r>
      <w:r>
        <w:t xml:space="preserve"> También se pretendió just</w:t>
      </w:r>
      <w:r>
        <w:t>i</w:t>
      </w:r>
      <w:r>
        <w:t>ficar un vínculo entre Ribelli y Rabbani, a partir de so</w:t>
      </w:r>
      <w:r>
        <w:t>s</w:t>
      </w:r>
      <w:r>
        <w:t>tener que en la mezquita de Cañuelas –donde tenía autor</w:t>
      </w:r>
      <w:r>
        <w:t>i</w:t>
      </w:r>
      <w:r>
        <w:t>dad el último de los nombrados– desarrollaban a</w:t>
      </w:r>
      <w:r>
        <w:t>c</w:t>
      </w:r>
      <w:r>
        <w:t>tividades los policías bonaerenses Barcia y Reinoso, y que este ú</w:t>
      </w:r>
      <w:r>
        <w:t>l</w:t>
      </w:r>
      <w:r>
        <w:t>timo, a su vez, tenía estrechos vínculos con la familia Rib</w:t>
      </w:r>
      <w:r>
        <w:t>e</w:t>
      </w:r>
      <w:r>
        <w:t>lli.</w:t>
      </w:r>
    </w:p>
    <w:p w:rsidR="00224567" w:rsidRDefault="00224567">
      <w:pPr>
        <w:widowControl w:val="0"/>
      </w:pPr>
      <w:r>
        <w:tab/>
        <w:t>Así, se pretende fundar la responsab</w:t>
      </w:r>
      <w:r>
        <w:t>i</w:t>
      </w:r>
      <w:r>
        <w:t>lidad de R</w:t>
      </w:r>
      <w:r>
        <w:t>i</w:t>
      </w:r>
      <w:r>
        <w:t>belli en que su hermana –Ana María– y su cuñado –José Miguel Ojeda– eran amigos de Eduardo José Reinoso y éste era hijastro de Miguel Alfredo “Tarik ibn” Barcia, quien era uno de los fundadores de la as</w:t>
      </w:r>
      <w:r>
        <w:t>o</w:t>
      </w:r>
      <w:r>
        <w:t>ciación argentina islámica de Cañu</w:t>
      </w:r>
      <w:r>
        <w:t>e</w:t>
      </w:r>
      <w:r>
        <w:t>las.</w:t>
      </w:r>
    </w:p>
    <w:p w:rsidR="00224567" w:rsidRDefault="00224567">
      <w:pPr>
        <w:widowControl w:val="0"/>
      </w:pPr>
      <w:r>
        <w:tab/>
        <w:t>Este razonamiento no puede prosperar. Inicialmente, debe destacarse que no resulta válido fund</w:t>
      </w:r>
      <w:r>
        <w:t>a</w:t>
      </w:r>
      <w:r>
        <w:t>mentar la participación de Ribelli en el atentado a la s</w:t>
      </w:r>
      <w:r>
        <w:t>e</w:t>
      </w:r>
      <w:r>
        <w:t xml:space="preserve">de de </w:t>
      </w:r>
      <w:smartTag w:uri="urn:schemas-microsoft-com:office:smarttags" w:element="PersonName">
        <w:smartTagPr>
          <w:attr w:name="ProductID" w:val="la A.M"/>
        </w:smartTagPr>
        <w:r>
          <w:t>la A.M</w:t>
        </w:r>
      </w:smartTag>
      <w:r>
        <w:t>.I.A., en un vínculo tan indirecto. Pero ad</w:t>
      </w:r>
      <w:r>
        <w:t>e</w:t>
      </w:r>
      <w:r>
        <w:t>más, aunque esa relación fuera más próxima, por sí sola nada diría acerca de la intervención e</w:t>
      </w:r>
      <w:r>
        <w:t>n</w:t>
      </w:r>
      <w:r>
        <w:t>dilgada al imputado en el hecho de marras. Máxime cuando los acusadores no han efectuado ninguna consideración acerca de la vinculación de Barcia y Reinoso con el hecho.</w:t>
      </w:r>
    </w:p>
    <w:p w:rsidR="00224567" w:rsidRDefault="00224567">
      <w:pPr>
        <w:widowControl w:val="0"/>
      </w:pPr>
      <w:r>
        <w:tab/>
        <w:t>Por otra parte, inexplicablemente se pretendió fundar el vínculo entre Ribelli y Rabbani en que la localidad de Cañuelas –donde estaba radicada la mezqu</w:t>
      </w:r>
      <w:r>
        <w:t>i</w:t>
      </w:r>
      <w:r>
        <w:t>ta referida– era próxima a la de Lobos, donde residían v</w:t>
      </w:r>
      <w:r>
        <w:t>a</w:t>
      </w:r>
      <w:r>
        <w:t>rios integrantes de la familia del imputado Ribelli.</w:t>
      </w:r>
    </w:p>
    <w:p w:rsidR="00224567" w:rsidRDefault="00224567">
      <w:pPr>
        <w:widowControl w:val="0"/>
      </w:pPr>
      <w:r>
        <w:tab/>
        <w:t>Este argumento no resiste el menor análisis por su patente puerilidad y ligereza. Resulta fuera de toda lógica que se recurra a la mera proximidad geográfica entre dos localidades para, sobre ese dato, b</w:t>
      </w:r>
      <w:r>
        <w:t>a</w:t>
      </w:r>
      <w:r>
        <w:t>sar –aunque sea parcialme</w:t>
      </w:r>
      <w:r>
        <w:t>n</w:t>
      </w:r>
      <w:r>
        <w:t>te– una imputación. Repárese en que llevar esta forma de razonar al extremo, implicaría vincular a todos los ciud</w:t>
      </w:r>
      <w:r>
        <w:t>a</w:t>
      </w:r>
      <w:r>
        <w:t>danos de las localidades vecinas a Cañuelas en la partic</w:t>
      </w:r>
      <w:r>
        <w:t>i</w:t>
      </w:r>
      <w:r>
        <w:t>pación de este atentado.</w:t>
      </w:r>
    </w:p>
    <w:p w:rsidR="00224567" w:rsidRDefault="00224567">
      <w:pPr>
        <w:widowControl w:val="0"/>
      </w:pPr>
      <w:r>
        <w:tab/>
        <w:t>Resulta llamativo que tomando como premisa la verific</w:t>
      </w:r>
      <w:r>
        <w:t>a</w:t>
      </w:r>
      <w:r>
        <w:t>ción de algunas circunstancias como las expuestas, denominadas irónicamente como casualid</w:t>
      </w:r>
      <w:r>
        <w:t>a</w:t>
      </w:r>
      <w:r>
        <w:t>des, se colija que todas ellas no pueden ser tales, sino que nec</w:t>
      </w:r>
      <w:r>
        <w:t>e</w:t>
      </w:r>
      <w:r>
        <w:t>sariamente –en su conjunto– adquieren un sentido carg</w:t>
      </w:r>
      <w:r>
        <w:t>o</w:t>
      </w:r>
      <w:r>
        <w:t>so.</w:t>
      </w:r>
    </w:p>
    <w:p w:rsidR="00224567" w:rsidRDefault="00224567">
      <w:pPr>
        <w:widowControl w:val="0"/>
      </w:pPr>
      <w:r>
        <w:tab/>
        <w:t>Por todo lo expuesto cabe destacar que no solo no se ha demostrado una vinculación de R</w:t>
      </w:r>
      <w:r>
        <w:t>i</w:t>
      </w:r>
      <w:r>
        <w:t>belli con personas de la comunidad islámica, sino que ello ha sido negado por quienes investigaran esa rel</w:t>
      </w:r>
      <w:r>
        <w:t>a</w:t>
      </w:r>
      <w:r>
        <w:t>ción.</w:t>
      </w:r>
    </w:p>
    <w:p w:rsidR="00224567" w:rsidRDefault="00224567">
      <w:pPr>
        <w:widowControl w:val="0"/>
      </w:pPr>
      <w:r>
        <w:tab/>
        <w:t xml:space="preserve">En efecto, los funcionarios de </w:t>
      </w:r>
      <w:smartTag w:uri="urn:schemas-microsoft-com:office:smarttags" w:element="PersonName">
        <w:smartTagPr>
          <w:attr w:name="ProductID" w:val="la Secretar￭a"/>
        </w:smartTagPr>
        <w:r>
          <w:t>la S</w:t>
        </w:r>
        <w:r>
          <w:t>e</w:t>
        </w:r>
        <w:r>
          <w:t>cretaría</w:t>
        </w:r>
      </w:smartTag>
      <w:r>
        <w:t xml:space="preserve"> de Inteligencia de Estado, fueron contestes en señalar que no se determinó ninguna conexión de Ribelli con organizaciones terroristas o fundamentalistas islám</w:t>
      </w:r>
      <w:r>
        <w:t>i</w:t>
      </w:r>
      <w:r>
        <w:t>cas. En este sentido se expidieron, al ser preguntados e</w:t>
      </w:r>
      <w:r>
        <w:t>s</w:t>
      </w:r>
      <w:r>
        <w:t>pecíficamente sobre el punto, Hugo Anzorregui, Rodrigo T</w:t>
      </w:r>
      <w:r>
        <w:t>o</w:t>
      </w:r>
      <w:r>
        <w:t>ranzo, Patricio Miguel Finnen, Luis Nelson González, Hé</w:t>
      </w:r>
      <w:r>
        <w:t>c</w:t>
      </w:r>
      <w:r>
        <w:t>tor Salvador Maiolo, Isaac Eduardo García, Néstor R</w:t>
      </w:r>
      <w:r>
        <w:t>i</w:t>
      </w:r>
      <w:r>
        <w:t>cardo Hernández y Jorge Luis Lucas.</w:t>
      </w:r>
    </w:p>
    <w:p w:rsidR="00224567" w:rsidRDefault="00224567">
      <w:pPr>
        <w:pStyle w:val="Ttulo5"/>
        <w:keepNext w:val="0"/>
        <w:widowControl w:val="0"/>
        <w:spacing w:line="600" w:lineRule="auto"/>
        <w:rPr>
          <w:b w:val="0"/>
          <w:bCs w:val="0"/>
        </w:rPr>
      </w:pPr>
      <w:bookmarkStart w:id="87" w:name="_Toc79904980"/>
      <w:bookmarkStart w:id="88" w:name="_Toc79905014"/>
      <w:r>
        <w:tab/>
      </w:r>
      <w:bookmarkStart w:id="89" w:name="_Toc86731938"/>
      <w:r>
        <w:t xml:space="preserve">C.2.c) </w:t>
      </w:r>
      <w:r>
        <w:rPr>
          <w:b w:val="0"/>
          <w:bCs w:val="0"/>
        </w:rPr>
        <w:t>Entrega de la camioneta Trafic de Telleldín a los policías bonaere</w:t>
      </w:r>
      <w:r>
        <w:rPr>
          <w:b w:val="0"/>
          <w:bCs w:val="0"/>
        </w:rPr>
        <w:t>n</w:t>
      </w:r>
      <w:r>
        <w:rPr>
          <w:b w:val="0"/>
          <w:bCs w:val="0"/>
        </w:rPr>
        <w:t>ses el 10 de julio de 1994.</w:t>
      </w:r>
      <w:bookmarkEnd w:id="87"/>
      <w:bookmarkEnd w:id="88"/>
      <w:bookmarkEnd w:id="89"/>
    </w:p>
    <w:p w:rsidR="00224567" w:rsidRDefault="00224567">
      <w:pPr>
        <w:pStyle w:val="Ttulo6"/>
        <w:keepNext w:val="0"/>
        <w:widowControl w:val="0"/>
        <w:spacing w:line="600" w:lineRule="auto"/>
        <w:rPr>
          <w:rFonts w:cs="Courier New"/>
          <w:b w:val="0"/>
          <w:u w:val="none"/>
        </w:rPr>
      </w:pPr>
      <w:bookmarkStart w:id="90" w:name="_Toc79904981"/>
      <w:bookmarkStart w:id="91" w:name="_Toc79905015"/>
      <w:r>
        <w:rPr>
          <w:rFonts w:cs="Courier New"/>
          <w:bCs/>
          <w:u w:val="none"/>
        </w:rPr>
        <w:tab/>
      </w:r>
      <w:bookmarkStart w:id="92" w:name="_Toc86731939"/>
      <w:r>
        <w:rPr>
          <w:rFonts w:cs="Courier New"/>
          <w:bCs/>
          <w:u w:val="none"/>
        </w:rPr>
        <w:t xml:space="preserve">C.2.c.i) </w:t>
      </w:r>
      <w:r>
        <w:rPr>
          <w:rFonts w:cs="Courier New"/>
          <w:b w:val="0"/>
          <w:u w:val="none"/>
        </w:rPr>
        <w:t>Introducción</w:t>
      </w:r>
      <w:bookmarkEnd w:id="90"/>
      <w:bookmarkEnd w:id="91"/>
      <w:bookmarkEnd w:id="92"/>
      <w:r>
        <w:rPr>
          <w:rFonts w:cs="Courier New"/>
          <w:b w:val="0"/>
          <w:u w:val="none"/>
        </w:rPr>
        <w:t>.</w:t>
      </w:r>
    </w:p>
    <w:p w:rsidR="00224567" w:rsidRDefault="00224567">
      <w:pPr>
        <w:widowControl w:val="0"/>
      </w:pPr>
      <w:r>
        <w:tab/>
        <w:t>En este punto, medular en la atrib</w:t>
      </w:r>
      <w:r>
        <w:t>u</w:t>
      </w:r>
      <w:r>
        <w:t>ción de la responsabilidad a los ex policías bonaerenses por su participación en el atentado, debe adela</w:t>
      </w:r>
      <w:r>
        <w:t>n</w:t>
      </w:r>
      <w:r>
        <w:t>tarse que no se acreditó que el 10 de julio de 1994 –como lo prete</w:t>
      </w:r>
      <w:r>
        <w:t>n</w:t>
      </w:r>
      <w:r>
        <w:t>dieran el Fiscal General y los letrados de la querella unificada A.M.I.A.-D.A.I.A.-Grupo de Familiares– ni en ninguna otra fecha Juan José Ribelli, Raúl Edilio Ibarra, Anastasio Ireneo Leal y Mario Norberto Bareiro, hubiesen participado, de cualquier modo, en la obtención de la c</w:t>
      </w:r>
      <w:r>
        <w:t>a</w:t>
      </w:r>
      <w:r>
        <w:t>mioneta marca R</w:t>
      </w:r>
      <w:r>
        <w:t>e</w:t>
      </w:r>
      <w:r>
        <w:t>nault Trafic que se encontraba en poder de Carlos Alberto Telleldín, estacionada frente al domicilio de la calle R</w:t>
      </w:r>
      <w:r>
        <w:t>e</w:t>
      </w:r>
      <w:r>
        <w:t>pública 107 de Villa Ballester que según los acusadores t</w:t>
      </w:r>
      <w:r>
        <w:t>e</w:t>
      </w:r>
      <w:r>
        <w:t>nía el motor que fuera secuestrado entre los escombros del edificio sito en Pa</w:t>
      </w:r>
      <w:r>
        <w:t>s</w:t>
      </w:r>
      <w:r>
        <w:t>teur 633 de esta ciudad.</w:t>
      </w:r>
    </w:p>
    <w:p w:rsidR="00224567" w:rsidRDefault="00224567">
      <w:pPr>
        <w:widowControl w:val="0"/>
      </w:pPr>
      <w:r>
        <w:tab/>
        <w:t>Para arribar a esta conclusión se c</w:t>
      </w:r>
      <w:r>
        <w:t>o</w:t>
      </w:r>
      <w:r>
        <w:t>menzará por el examen de las declaraciones de Telle</w:t>
      </w:r>
      <w:r>
        <w:t>l</w:t>
      </w:r>
      <w:r>
        <w:t>dín, y su seguimiento incondicional por parte de su e</w:t>
      </w:r>
      <w:r>
        <w:t>n</w:t>
      </w:r>
      <w:r>
        <w:t>torno –con un análisis particular del testimonio de Ana María Bora</w:t>
      </w:r>
      <w:r>
        <w:t>g</w:t>
      </w:r>
      <w:r>
        <w:t>ni–, toda vez que constituyeran el eje central sobre el que los acusadores han basado su imput</w:t>
      </w:r>
      <w:r>
        <w:t>a</w:t>
      </w:r>
      <w:r>
        <w:t>ción a los policías bona</w:t>
      </w:r>
      <w:r>
        <w:t>e</w:t>
      </w:r>
      <w:r>
        <w:t>renses por el atentado.</w:t>
      </w:r>
    </w:p>
    <w:p w:rsidR="00224567" w:rsidRDefault="00224567">
      <w:pPr>
        <w:widowControl w:val="0"/>
      </w:pPr>
      <w:r>
        <w:tab/>
        <w:t>Como se verá la valoración de los d</w:t>
      </w:r>
      <w:r>
        <w:t>i</w:t>
      </w:r>
      <w:r>
        <w:t>chos de Telleldín como núcleo de la acusación no se l</w:t>
      </w:r>
      <w:r>
        <w:t>i</w:t>
      </w:r>
      <w:r>
        <w:t>mitó a sus declaraciones prestadas en sede judicial, sino que también se extendió, como supuestos elementos int</w:t>
      </w:r>
      <w:r>
        <w:t>e</w:t>
      </w:r>
      <w:r>
        <w:t>grantes de una denominada “vía independiente” de la indagatoria remunerada del 5 de julio de 1996, al contenido de las o</w:t>
      </w:r>
      <w:r>
        <w:t>s</w:t>
      </w:r>
      <w:r>
        <w:t>curas entrevistas entre el juez y el imputado reflejo de las notas de lo que le hubiera m</w:t>
      </w:r>
      <w:r>
        <w:t>a</w:t>
      </w:r>
      <w:r>
        <w:t>nifestado en las ilegales reuniones a la camarista Riva Aramayo, el manuscrito agr</w:t>
      </w:r>
      <w:r>
        <w:t>e</w:t>
      </w:r>
      <w:r>
        <w:t>gado a fs. 116.694/819 y a diversos reportajes periodíst</w:t>
      </w:r>
      <w:r>
        <w:t>i</w:t>
      </w:r>
      <w:r>
        <w:t>cos.</w:t>
      </w:r>
    </w:p>
    <w:p w:rsidR="00224567" w:rsidRDefault="00224567">
      <w:pPr>
        <w:widowControl w:val="0"/>
      </w:pPr>
      <w:r>
        <w:tab/>
        <w:t>No deja de llamar poderosamente la atención el oscuro prisma del que los acusadores se vali</w:t>
      </w:r>
      <w:r>
        <w:t>e</w:t>
      </w:r>
      <w:r>
        <w:t>ran para const</w:t>
      </w:r>
      <w:r>
        <w:t>i</w:t>
      </w:r>
      <w:r>
        <w:t>tuir sobre los dichos de una persona que no les inspiraba ni</w:t>
      </w:r>
      <w:r>
        <w:t>n</w:t>
      </w:r>
      <w:r>
        <w:t>guna credibilidad la principal prueba de su imputación a los ex policías bonaerenses por la obte</w:t>
      </w:r>
      <w:r>
        <w:t>n</w:t>
      </w:r>
      <w:r>
        <w:t>ción de la camioneta Trafic que, a su juicio, poseía el motor que fuera hallado entre los esco</w:t>
      </w:r>
      <w:r>
        <w:t>m</w:t>
      </w:r>
      <w:r>
        <w:t xml:space="preserve">bros de la sede de </w:t>
      </w:r>
      <w:smartTag w:uri="urn:schemas-microsoft-com:office:smarttags" w:element="PersonName">
        <w:smartTagPr>
          <w:attr w:name="ProductID" w:val="la A.M"/>
        </w:smartTagPr>
        <w:r>
          <w:t>la A.M</w:t>
        </w:r>
      </w:smartTag>
      <w:r>
        <w:t>.I.A..</w:t>
      </w:r>
    </w:p>
    <w:p w:rsidR="00224567" w:rsidRDefault="00224567">
      <w:pPr>
        <w:widowControl w:val="0"/>
      </w:pPr>
      <w:r>
        <w:tab/>
        <w:t>Por su elocuencia corresponde dest</w:t>
      </w:r>
      <w:r>
        <w:t>a</w:t>
      </w:r>
      <w:r>
        <w:t>car algunos párrafos de los alegatos de los represe</w:t>
      </w:r>
      <w:r>
        <w:t>n</w:t>
      </w:r>
      <w:r>
        <w:t>tantes del Ministerio Público Fiscal y de la querella unificada A.M.I.A.-D.A.I.A.-Grupo de Fam</w:t>
      </w:r>
      <w:r>
        <w:t>i</w:t>
      </w:r>
      <w:r>
        <w:t>liares, en los que se hace mención a la desconfianza que las declaraciones de Telle</w:t>
      </w:r>
      <w:r>
        <w:t>l</w:t>
      </w:r>
      <w:r>
        <w:t>dín les gen</w:t>
      </w:r>
      <w:r>
        <w:t>e</w:t>
      </w:r>
      <w:r>
        <w:t>raban.</w:t>
      </w:r>
    </w:p>
    <w:p w:rsidR="00224567" w:rsidRDefault="00224567">
      <w:pPr>
        <w:widowControl w:val="0"/>
      </w:pPr>
      <w:r>
        <w:tab/>
        <w:t>Así, ha destacado el Fiscal General Miguel Ángel Romero que “en lo concerniente a expresarse con veracidad Telleldín es un ejemplo de lo que no debe ser. Ignoro desde cuando y en qué circunstancias hace de la mentira una pr</w:t>
      </w:r>
      <w:r>
        <w:t>o</w:t>
      </w:r>
      <w:r>
        <w:t>fesión de fe.” Más adelante sostuvo: “A nadie ofende que un acusado mienta en su derecho de defe</w:t>
      </w:r>
      <w:r>
        <w:t>n</w:t>
      </w:r>
      <w:r>
        <w:t>sa, es un derecho y así lo ejerce, pero Telleldín va más allá. En el esquema defensivo que conforma siembra un ca</w:t>
      </w:r>
      <w:r>
        <w:t>m</w:t>
      </w:r>
      <w:r>
        <w:t>po minado de mentiras, pero de un modo tal que al final termina atrapado por ello. Efectivamente no solamente se defiende sino que también lo hace mintiendo en otros a</w:t>
      </w:r>
      <w:r>
        <w:t>s</w:t>
      </w:r>
      <w:r>
        <w:t>pectos y con otros sujetos de este juicio. Aporta eleme</w:t>
      </w:r>
      <w:r>
        <w:t>n</w:t>
      </w:r>
      <w:r>
        <w:t>tos falsos, distrae con om</w:t>
      </w:r>
      <w:r>
        <w:t>i</w:t>
      </w:r>
      <w:r>
        <w:t>siones y comisiones. Convence a otros para que lo secunden, inclus</w:t>
      </w:r>
      <w:r>
        <w:t>i</w:t>
      </w:r>
      <w:r>
        <w:t>ve de su propia familia e intenta proteger a pe</w:t>
      </w:r>
      <w:r>
        <w:t>r</w:t>
      </w:r>
      <w:r>
        <w:t>sonajes de su conocimiento.”</w:t>
      </w:r>
    </w:p>
    <w:p w:rsidR="00224567" w:rsidRDefault="00224567">
      <w:pPr>
        <w:widowControl w:val="0"/>
      </w:pPr>
      <w:r>
        <w:tab/>
        <w:t xml:space="preserve">Por su parte, la doctora Nercellas, en representación de </w:t>
      </w:r>
      <w:smartTag w:uri="urn:schemas-microsoft-com:office:smarttags" w:element="PersonName">
        <w:smartTagPr>
          <w:attr w:name="ProductID" w:val="la D.A"/>
        </w:smartTagPr>
        <w:r>
          <w:t>la D.A</w:t>
        </w:r>
      </w:smartTag>
      <w:r>
        <w:t>.I.A., también caracterizó a T</w:t>
      </w:r>
      <w:r>
        <w:t>e</w:t>
      </w:r>
      <w:r>
        <w:t>lleldín como ausente de credibilidad, al destacar que me</w:t>
      </w:r>
      <w:r>
        <w:t>n</w:t>
      </w:r>
      <w:r>
        <w:t>tía en las declaraciones sin inmutarse, que aportó datos suficientes para confundir la investigación. Negando la existencia de una historia inventada para imputar a las personas que se encontraban en la sala afirmó lacónicame</w:t>
      </w:r>
      <w:r>
        <w:t>n</w:t>
      </w:r>
      <w:r>
        <w:t>te: “si alguien inventó, fue Telle</w:t>
      </w:r>
      <w:r>
        <w:t>l</w:t>
      </w:r>
      <w:r>
        <w:t xml:space="preserve">dín”. </w:t>
      </w:r>
    </w:p>
    <w:p w:rsidR="00224567" w:rsidRDefault="00224567">
      <w:pPr>
        <w:widowControl w:val="0"/>
      </w:pPr>
      <w:r>
        <w:tab/>
        <w:t>A su turno, el doctor Ávila, letrado de la querella A.M.I.A., destacó que la elección de T</w:t>
      </w:r>
      <w:r>
        <w:t>e</w:t>
      </w:r>
      <w:r>
        <w:t>lleldín obedeció a su capacidad para “sembrar la invest</w:t>
      </w:r>
      <w:r>
        <w:t>i</w:t>
      </w:r>
      <w:r>
        <w:t>gación de dudas, falsedades y ocultamientos que se pusi</w:t>
      </w:r>
      <w:r>
        <w:t>e</w:t>
      </w:r>
      <w:r>
        <w:t>ron en evidencia, en la investigación y en este juicio”. Al evaluar las actitudes de Telleldín durante el proceso destacó “sus mentiras iniciales acordadas con Ana Boragni antes de fugarse” y “sus continuas v</w:t>
      </w:r>
      <w:r>
        <w:t>a</w:t>
      </w:r>
      <w:r>
        <w:t>riaciones de versión; inclusión de elementos reales mezclados con falsos” para concluir que “lo cierto es que Telleldín desde antes del atentado, falsea, confu</w:t>
      </w:r>
      <w:r>
        <w:t>n</w:t>
      </w:r>
      <w:r>
        <w:t>de, miente”.</w:t>
      </w:r>
    </w:p>
    <w:p w:rsidR="00224567" w:rsidRDefault="00224567">
      <w:pPr>
        <w:widowControl w:val="0"/>
      </w:pPr>
      <w:r>
        <w:tab/>
        <w:t>Si bien se ha pretendido escindir la falsedad de su declaración –en cuanto pretendiera desvi</w:t>
      </w:r>
      <w:r>
        <w:t>n</w:t>
      </w:r>
      <w:r>
        <w:t>cularse de la imputación por el atentado–, de su autent</w:t>
      </w:r>
      <w:r>
        <w:t>i</w:t>
      </w:r>
      <w:r>
        <w:t>cidad cuando operara como elemento de cargo en la respo</w:t>
      </w:r>
      <w:r>
        <w:t>n</w:t>
      </w:r>
      <w:r>
        <w:t>sabilidad de los policías bonaerenses, correspo</w:t>
      </w:r>
      <w:r>
        <w:t>n</w:t>
      </w:r>
      <w:r>
        <w:t>de señalar que esta división es artificial y engañ</w:t>
      </w:r>
      <w:r>
        <w:t>o</w:t>
      </w:r>
      <w:r>
        <w:t>sa.</w:t>
      </w:r>
    </w:p>
    <w:p w:rsidR="00224567" w:rsidRDefault="00224567">
      <w:pPr>
        <w:widowControl w:val="0"/>
        <w:rPr>
          <w:b/>
          <w:bCs/>
        </w:rPr>
      </w:pPr>
      <w:r>
        <w:tab/>
        <w:t>Ello, toda vez que, en contra de lo sostenido por los ac</w:t>
      </w:r>
      <w:r>
        <w:t>u</w:t>
      </w:r>
      <w:r>
        <w:t>sadores para fundar tal proceder, los dichos de Telleldín no han sido corroborados por otros m</w:t>
      </w:r>
      <w:r>
        <w:t>e</w:t>
      </w:r>
      <w:r>
        <w:t>dios de prueba sino que incluso fueron refutados por é</w:t>
      </w:r>
      <w:r>
        <w:t>s</w:t>
      </w:r>
      <w:r>
        <w:t>tos.</w:t>
      </w:r>
    </w:p>
    <w:p w:rsidR="00224567" w:rsidRDefault="00224567">
      <w:pPr>
        <w:pStyle w:val="Ttulo6"/>
        <w:keepNext w:val="0"/>
        <w:widowControl w:val="0"/>
        <w:spacing w:line="600" w:lineRule="auto"/>
        <w:rPr>
          <w:rFonts w:cs="Courier New"/>
          <w:b w:val="0"/>
          <w:bCs/>
          <w:u w:val="none"/>
        </w:rPr>
      </w:pPr>
      <w:bookmarkStart w:id="93" w:name="_Toc16326842"/>
      <w:bookmarkStart w:id="94" w:name="_Toc50181212"/>
      <w:bookmarkStart w:id="95" w:name="_Toc79904982"/>
      <w:bookmarkStart w:id="96" w:name="_Toc79905016"/>
      <w:r>
        <w:rPr>
          <w:rFonts w:cs="Courier New"/>
          <w:u w:val="none"/>
        </w:rPr>
        <w:tab/>
      </w:r>
      <w:bookmarkStart w:id="97" w:name="_Toc86731940"/>
      <w:r>
        <w:rPr>
          <w:rFonts w:cs="Courier New"/>
          <w:u w:val="none"/>
        </w:rPr>
        <w:t xml:space="preserve">C.2.c.ii) </w:t>
      </w:r>
      <w:r>
        <w:rPr>
          <w:rFonts w:cs="Courier New"/>
          <w:b w:val="0"/>
          <w:bCs/>
          <w:u w:val="none"/>
        </w:rPr>
        <w:t>Evolución del discurso de Carlos A. Telleldín</w:t>
      </w:r>
      <w:bookmarkEnd w:id="93"/>
      <w:r>
        <w:rPr>
          <w:rFonts w:cs="Courier New"/>
          <w:b w:val="0"/>
          <w:bCs/>
          <w:u w:val="none"/>
        </w:rPr>
        <w:t xml:space="preserve"> y Ana María Boragni. Sus inconsecue</w:t>
      </w:r>
      <w:r>
        <w:rPr>
          <w:rFonts w:cs="Courier New"/>
          <w:b w:val="0"/>
          <w:bCs/>
          <w:u w:val="none"/>
        </w:rPr>
        <w:t>n</w:t>
      </w:r>
      <w:r>
        <w:rPr>
          <w:rFonts w:cs="Courier New"/>
          <w:b w:val="0"/>
          <w:bCs/>
          <w:u w:val="none"/>
        </w:rPr>
        <w:t>cias y contradi</w:t>
      </w:r>
      <w:r>
        <w:rPr>
          <w:rFonts w:cs="Courier New"/>
          <w:b w:val="0"/>
          <w:bCs/>
          <w:u w:val="none"/>
        </w:rPr>
        <w:t>c</w:t>
      </w:r>
      <w:r>
        <w:rPr>
          <w:rFonts w:cs="Courier New"/>
          <w:b w:val="0"/>
          <w:bCs/>
          <w:u w:val="none"/>
        </w:rPr>
        <w:t>ciones.</w:t>
      </w:r>
      <w:bookmarkEnd w:id="94"/>
      <w:bookmarkEnd w:id="95"/>
      <w:bookmarkEnd w:id="96"/>
      <w:bookmarkEnd w:id="97"/>
    </w:p>
    <w:p w:rsidR="00224567" w:rsidRDefault="00224567">
      <w:pPr>
        <w:pStyle w:val="Ttulo7"/>
        <w:widowControl w:val="0"/>
        <w:rPr>
          <w:bCs/>
        </w:rPr>
      </w:pPr>
      <w:bookmarkStart w:id="98" w:name="_Toc50181187"/>
      <w:bookmarkStart w:id="99" w:name="_Toc79905017"/>
      <w:bookmarkEnd w:id="98"/>
      <w:r>
        <w:rPr>
          <w:b/>
        </w:rPr>
        <w:tab/>
      </w:r>
      <w:bookmarkStart w:id="100" w:name="_Toc86731941"/>
      <w:r>
        <w:rPr>
          <w:b/>
        </w:rPr>
        <w:t xml:space="preserve">C.2.c.ii.A) </w:t>
      </w:r>
      <w:r>
        <w:rPr>
          <w:bCs/>
        </w:rPr>
        <w:t>Introducción</w:t>
      </w:r>
      <w:bookmarkEnd w:id="99"/>
      <w:bookmarkEnd w:id="100"/>
      <w:r>
        <w:rPr>
          <w:bCs/>
        </w:rPr>
        <w:t>.</w:t>
      </w:r>
    </w:p>
    <w:p w:rsidR="00224567" w:rsidRDefault="00224567">
      <w:pPr>
        <w:widowControl w:val="0"/>
      </w:pPr>
      <w:r>
        <w:tab/>
        <w:t>Amén de lo expuesto, y toda vez que las versiones sobre lo ocurrido el 10 de julio de 1994 surgieron de las declar</w:t>
      </w:r>
      <w:r>
        <w:t>a</w:t>
      </w:r>
      <w:r>
        <w:t>ciones de Carlos A. Telleldín y su entorno, el análisis de la imputación comenzará por el e</w:t>
      </w:r>
      <w:r>
        <w:t>s</w:t>
      </w:r>
      <w:r>
        <w:t>tudio de sus dichos.</w:t>
      </w:r>
    </w:p>
    <w:p w:rsidR="00224567" w:rsidRDefault="00224567">
      <w:pPr>
        <w:widowControl w:val="0"/>
      </w:pPr>
      <w:r>
        <w:tab/>
        <w:t>Estas declaraciones solamente pueden analizarse relacionándolas con su evolución, y con los d</w:t>
      </w:r>
      <w:r>
        <w:t>e</w:t>
      </w:r>
      <w:r>
        <w:t>más hechos que integran el objeto procesal de estas actu</w:t>
      </w:r>
      <w:r>
        <w:t>a</w:t>
      </w:r>
      <w:r>
        <w:t>ciones.</w:t>
      </w:r>
    </w:p>
    <w:p w:rsidR="00224567" w:rsidRDefault="00224567">
      <w:pPr>
        <w:widowControl w:val="0"/>
      </w:pPr>
      <w:r>
        <w:tab/>
        <w:t>Se incluirá en esta valoración,</w:t>
      </w:r>
      <w:r>
        <w:rPr>
          <w:color w:val="FF0000"/>
        </w:rPr>
        <w:t xml:space="preserve"> </w:t>
      </w:r>
      <w:r>
        <w:t>por la trascendencia institucional del tema, la declaración ind</w:t>
      </w:r>
      <w:r>
        <w:t>a</w:t>
      </w:r>
      <w:r>
        <w:t xml:space="preserve">gatoria brindada por Telleldín el 5 de julio de </w:t>
      </w:r>
      <w:smartTag w:uri="urn:schemas-microsoft-com:office:smarttags" w:element="metricconverter">
        <w:smartTagPr>
          <w:attr w:name="ProductID" w:val="1996, a"/>
        </w:smartTagPr>
        <w:r>
          <w:t>1996, a</w:t>
        </w:r>
      </w:smartTag>
      <w:r>
        <w:t xml:space="preserve"> pesar de que en este pronunciamiento se resuelve su anul</w:t>
      </w:r>
      <w:r>
        <w:t>a</w:t>
      </w:r>
      <w:r>
        <w:t xml:space="preserve">ción ya que, como se dijera, fue el eje de la imputación a los acusados por su participación en el atentado a la sede de </w:t>
      </w:r>
      <w:smartTag w:uri="urn:schemas-microsoft-com:office:smarttags" w:element="PersonName">
        <w:smartTagPr>
          <w:attr w:name="ProductID" w:val="la A.M"/>
        </w:smartTagPr>
        <w:r>
          <w:t>la A.M</w:t>
        </w:r>
      </w:smartTag>
      <w:r>
        <w:t>.I.A. en las resoluciones y dictámenes de elev</w:t>
      </w:r>
      <w:r>
        <w:t>a</w:t>
      </w:r>
      <w:r>
        <w:t>ción a juicio.</w:t>
      </w:r>
    </w:p>
    <w:p w:rsidR="00224567" w:rsidRDefault="00224567">
      <w:pPr>
        <w:widowControl w:val="0"/>
      </w:pPr>
      <w:r>
        <w:tab/>
        <w:t>Respecto al hecho en examen, entrega de la camioneta Renault Trafic, debe señalarse que las versiones sostenidas por Telleldín y Boragni han sufr</w:t>
      </w:r>
      <w:r>
        <w:t>i</w:t>
      </w:r>
      <w:r>
        <w:t>do, simultáneamente, radicales cambios, provocando frente a cada giro nuevas contradicciones con las versiones ant</w:t>
      </w:r>
      <w:r>
        <w:t>e</w:t>
      </w:r>
      <w:r>
        <w:t>riores. Es que en la búsqueda de compatibilizar lo inco</w:t>
      </w:r>
      <w:r>
        <w:t>m</w:t>
      </w:r>
      <w:r>
        <w:t>patible, Telleldín y Boragni forzaron su discurso a tal nivel que sus dichos resultaron plagados de inconsecue</w:t>
      </w:r>
      <w:r>
        <w:t>n</w:t>
      </w:r>
      <w:r>
        <w:t>cias.</w:t>
      </w:r>
    </w:p>
    <w:p w:rsidR="00224567" w:rsidRDefault="00224567">
      <w:pPr>
        <w:widowControl w:val="0"/>
      </w:pPr>
      <w:r>
        <w:tab/>
        <w:t>Ello se vio reflejado durante las o</w:t>
      </w:r>
      <w:r>
        <w:t>s</w:t>
      </w:r>
      <w:r>
        <w:t>curas y confusas declaraciones prestadas por ambos d</w:t>
      </w:r>
      <w:r>
        <w:t>u</w:t>
      </w:r>
      <w:r>
        <w:t>rante el deb</w:t>
      </w:r>
      <w:r>
        <w:t>a</w:t>
      </w:r>
      <w:r>
        <w:t>te, en las que trataron, infructuosamente, remontar las insalvables contradicciones de manera de alcanzar la coherencia de las distintas hipótesis su</w:t>
      </w:r>
      <w:r>
        <w:t>s</w:t>
      </w:r>
      <w:r>
        <w:t>tentadas.</w:t>
      </w:r>
    </w:p>
    <w:p w:rsidR="00224567" w:rsidRDefault="00224567">
      <w:pPr>
        <w:widowControl w:val="0"/>
      </w:pPr>
      <w:r>
        <w:tab/>
        <w:t>Por otro lado, ya de un ligero repaso por el contenido de sus declaraciones, y frente a los si</w:t>
      </w:r>
      <w:r>
        <w:t>s</w:t>
      </w:r>
      <w:r>
        <w:t>temáticos y coincidentes cambios, se advierte el fiel s</w:t>
      </w:r>
      <w:r>
        <w:t>e</w:t>
      </w:r>
      <w:r>
        <w:t>guimiento de Boragni a las sucesivas versiones aportadas por Telle</w:t>
      </w:r>
      <w:r>
        <w:t>l</w:t>
      </w:r>
      <w:r>
        <w:t>dín.</w:t>
      </w:r>
    </w:p>
    <w:p w:rsidR="00224567" w:rsidRDefault="00224567">
      <w:pPr>
        <w:widowControl w:val="0"/>
      </w:pPr>
      <w:r>
        <w:tab/>
        <w:t>Así, durante la instrucción ambos so</w:t>
      </w:r>
      <w:r>
        <w:t>s</w:t>
      </w:r>
      <w:r>
        <w:t>tuvieron inicia</w:t>
      </w:r>
      <w:r>
        <w:t>l</w:t>
      </w:r>
      <w:r>
        <w:t>mente que la camioneta había sido vendida a un particular para, a partir de la remunerada declar</w:t>
      </w:r>
      <w:r>
        <w:t>a</w:t>
      </w:r>
      <w:r>
        <w:t>ción del 5 de julio de 1996, cambiar abruptamente esa ve</w:t>
      </w:r>
      <w:r>
        <w:t>r</w:t>
      </w:r>
      <w:r>
        <w:t>sión y afirmar que había sido entregada en un marco exto</w:t>
      </w:r>
      <w:r>
        <w:t>r</w:t>
      </w:r>
      <w:r>
        <w:t>sivo a los ex policías bonaerenses imput</w:t>
      </w:r>
      <w:r>
        <w:t>a</w:t>
      </w:r>
      <w:r>
        <w:t>dos.</w:t>
      </w:r>
    </w:p>
    <w:p w:rsidR="00224567" w:rsidRDefault="00224567">
      <w:pPr>
        <w:widowControl w:val="0"/>
      </w:pPr>
      <w:r>
        <w:tab/>
        <w:t>En cambio, durante el debate hubo reiterados e infructuosos intentos por compatibilizar a</w:t>
      </w:r>
      <w:r>
        <w:t>m</w:t>
      </w:r>
      <w:r>
        <w:t>bas hipótesis.</w:t>
      </w:r>
    </w:p>
    <w:p w:rsidR="00224567" w:rsidRDefault="00224567">
      <w:pPr>
        <w:widowControl w:val="0"/>
        <w:rPr>
          <w:b/>
          <w:bCs/>
          <w:lang w:val="es-ES_tradnl"/>
        </w:rPr>
      </w:pPr>
      <w:r>
        <w:rPr>
          <w:lang w:val="es-ES_tradnl"/>
        </w:rPr>
        <w:tab/>
        <w:t>Para dotar de autonomía a este fallo e ilustrar sobre estas circunstancias, antes de proc</w:t>
      </w:r>
      <w:r>
        <w:rPr>
          <w:lang w:val="es-ES_tradnl"/>
        </w:rPr>
        <w:t>e</w:t>
      </w:r>
      <w:r>
        <w:rPr>
          <w:lang w:val="es-ES_tradnl"/>
        </w:rPr>
        <w:t>derse a su valoración, se efectuará una reseña de las declaraci</w:t>
      </w:r>
      <w:r>
        <w:rPr>
          <w:lang w:val="es-ES_tradnl"/>
        </w:rPr>
        <w:t>o</w:t>
      </w:r>
      <w:r>
        <w:rPr>
          <w:lang w:val="es-ES_tradnl"/>
        </w:rPr>
        <w:t>nes de ambos, dividiendo las versiones sostenidas d</w:t>
      </w:r>
      <w:r>
        <w:rPr>
          <w:lang w:val="es-ES_tradnl"/>
        </w:rPr>
        <w:t>u</w:t>
      </w:r>
      <w:r>
        <w:rPr>
          <w:lang w:val="es-ES_tradnl"/>
        </w:rPr>
        <w:t>rante la instrucción, entre sí y de la aportada durante el deb</w:t>
      </w:r>
      <w:r>
        <w:rPr>
          <w:lang w:val="es-ES_tradnl"/>
        </w:rPr>
        <w:t>a</w:t>
      </w:r>
      <w:r>
        <w:rPr>
          <w:lang w:val="es-ES_tradnl"/>
        </w:rPr>
        <w:t>te.</w:t>
      </w:r>
    </w:p>
    <w:p w:rsidR="00224567" w:rsidRDefault="00224567">
      <w:pPr>
        <w:pStyle w:val="Ttulo7"/>
        <w:widowControl w:val="0"/>
      </w:pPr>
      <w:bookmarkStart w:id="101" w:name="_Toc79905018"/>
      <w:r>
        <w:rPr>
          <w:b/>
          <w:bCs/>
        </w:rPr>
        <w:tab/>
      </w:r>
      <w:bookmarkStart w:id="102" w:name="_Toc86731942"/>
      <w:r>
        <w:rPr>
          <w:b/>
          <w:bCs/>
        </w:rPr>
        <w:t xml:space="preserve">C.2.c.ii.B) </w:t>
      </w:r>
      <w:r>
        <w:t>Detalle de sus dichos</w:t>
      </w:r>
      <w:bookmarkEnd w:id="101"/>
      <w:bookmarkEnd w:id="102"/>
      <w:r>
        <w:t>.</w:t>
      </w:r>
    </w:p>
    <w:p w:rsidR="00224567" w:rsidRDefault="00224567">
      <w:pPr>
        <w:pStyle w:val="Ttulo8"/>
        <w:spacing w:line="600" w:lineRule="auto"/>
        <w:rPr>
          <w:b w:val="0"/>
          <w:bCs w:val="0"/>
        </w:rPr>
      </w:pPr>
      <w:bookmarkStart w:id="103" w:name="_Toc16326843"/>
      <w:bookmarkStart w:id="104" w:name="_Toc50181213"/>
      <w:bookmarkStart w:id="105" w:name="_Toc79905019"/>
      <w:r>
        <w:tab/>
      </w:r>
      <w:bookmarkStart w:id="106" w:name="_Toc86731943"/>
      <w:r>
        <w:t xml:space="preserve">C.2.c.ii.B.1) </w:t>
      </w:r>
      <w:r>
        <w:rPr>
          <w:b w:val="0"/>
          <w:bCs w:val="0"/>
        </w:rPr>
        <w:t>Versión inicial. Entr</w:t>
      </w:r>
      <w:r>
        <w:rPr>
          <w:b w:val="0"/>
          <w:bCs w:val="0"/>
        </w:rPr>
        <w:t>e</w:t>
      </w:r>
      <w:r>
        <w:rPr>
          <w:b w:val="0"/>
          <w:bCs w:val="0"/>
        </w:rPr>
        <w:t xml:space="preserve">ga de </w:t>
      </w:r>
      <w:smartTag w:uri="urn:schemas-microsoft-com:office:smarttags" w:element="PersonName">
        <w:smartTagPr>
          <w:attr w:name="ProductID" w:val="la Trafic"/>
        </w:smartTagPr>
        <w:r>
          <w:rPr>
            <w:b w:val="0"/>
            <w:bCs w:val="0"/>
          </w:rPr>
          <w:t>la Trafic</w:t>
        </w:r>
      </w:smartTag>
      <w:r>
        <w:rPr>
          <w:b w:val="0"/>
          <w:bCs w:val="0"/>
        </w:rPr>
        <w:t xml:space="preserve"> por venta</w:t>
      </w:r>
      <w:bookmarkEnd w:id="103"/>
      <w:bookmarkEnd w:id="104"/>
      <w:r>
        <w:rPr>
          <w:b w:val="0"/>
          <w:bCs w:val="0"/>
        </w:rPr>
        <w:t>.</w:t>
      </w:r>
      <w:bookmarkEnd w:id="105"/>
      <w:bookmarkEnd w:id="106"/>
    </w:p>
    <w:p w:rsidR="00224567" w:rsidRDefault="00224567">
      <w:pPr>
        <w:widowControl w:val="0"/>
        <w:rPr>
          <w:lang w:val="es-ES_tradnl"/>
        </w:rPr>
      </w:pPr>
      <w:r>
        <w:rPr>
          <w:lang w:val="es-ES_tradnl"/>
        </w:rPr>
        <w:tab/>
        <w:t xml:space="preserve">En las declaraciones anteriores a la del 5 de julio de 1996, </w:t>
      </w:r>
      <w:r>
        <w:rPr>
          <w:b/>
          <w:bCs/>
          <w:lang w:val="es-ES_tradnl"/>
        </w:rPr>
        <w:t>Telleldín</w:t>
      </w:r>
      <w:r>
        <w:rPr>
          <w:lang w:val="es-ES_tradnl"/>
        </w:rPr>
        <w:t xml:space="preserve"> afirmó que vendió la c</w:t>
      </w:r>
      <w:r>
        <w:rPr>
          <w:lang w:val="es-ES_tradnl"/>
        </w:rPr>
        <w:t>a</w:t>
      </w:r>
      <w:r>
        <w:rPr>
          <w:lang w:val="es-ES_tradnl"/>
        </w:rPr>
        <w:t>mioneta a una persona con acento centroamericano a quien describió detalladamente, sin mencionar la presencia de personal pol</w:t>
      </w:r>
      <w:r>
        <w:rPr>
          <w:lang w:val="es-ES_tradnl"/>
        </w:rPr>
        <w:t>i</w:t>
      </w:r>
      <w:r>
        <w:rPr>
          <w:lang w:val="es-ES_tradnl"/>
        </w:rPr>
        <w:t>cial.</w:t>
      </w:r>
    </w:p>
    <w:p w:rsidR="00224567" w:rsidRDefault="00224567">
      <w:pPr>
        <w:widowControl w:val="0"/>
        <w:rPr>
          <w:lang w:val="es-ES_tradnl"/>
        </w:rPr>
      </w:pPr>
      <w:r>
        <w:rPr>
          <w:lang w:val="es-ES_tradnl"/>
        </w:rPr>
        <w:tab/>
        <w:t>Si bien señaló que este individuo r</w:t>
      </w:r>
      <w:r>
        <w:rPr>
          <w:lang w:val="es-ES_tradnl"/>
        </w:rPr>
        <w:t>e</w:t>
      </w:r>
      <w:r>
        <w:rPr>
          <w:lang w:val="es-ES_tradnl"/>
        </w:rPr>
        <w:t>sultaba parecido tanto a uno de los hermanos Lorenz c</w:t>
      </w:r>
      <w:r>
        <w:rPr>
          <w:lang w:val="es-ES_tradnl"/>
        </w:rPr>
        <w:t>o</w:t>
      </w:r>
      <w:r>
        <w:rPr>
          <w:lang w:val="es-ES_tradnl"/>
        </w:rPr>
        <w:t>mo a Asghari Ammad Reza, indicó los rasgos que lo diferenci</w:t>
      </w:r>
      <w:r>
        <w:rPr>
          <w:lang w:val="es-ES_tradnl"/>
        </w:rPr>
        <w:t>a</w:t>
      </w:r>
      <w:r>
        <w:rPr>
          <w:lang w:val="es-ES_tradnl"/>
        </w:rPr>
        <w:t>ban de ambos.</w:t>
      </w:r>
    </w:p>
    <w:p w:rsidR="00224567" w:rsidRDefault="00224567">
      <w:pPr>
        <w:widowControl w:val="0"/>
        <w:rPr>
          <w:lang w:val="es-ES_tradnl"/>
        </w:rPr>
      </w:pPr>
      <w:r>
        <w:rPr>
          <w:lang w:val="es-ES_tradnl"/>
        </w:rPr>
        <w:tab/>
        <w:t>Detalló las circunstancias que prec</w:t>
      </w:r>
      <w:r>
        <w:rPr>
          <w:lang w:val="es-ES_tradnl"/>
        </w:rPr>
        <w:t>e</w:t>
      </w:r>
      <w:r>
        <w:rPr>
          <w:lang w:val="es-ES_tradnl"/>
        </w:rPr>
        <w:t xml:space="preserve">dieron a la concurrencia de la persona que finalmente se llevó </w:t>
      </w:r>
      <w:smartTag w:uri="urn:schemas-microsoft-com:office:smarttags" w:element="PersonName">
        <w:smartTagPr>
          <w:attr w:name="ProductID" w:val="la Trafic. As￭"/>
        </w:smartTagPr>
        <w:r>
          <w:rPr>
            <w:lang w:val="es-ES_tradnl"/>
          </w:rPr>
          <w:t>la Trafic. Así</w:t>
        </w:r>
      </w:smartTag>
      <w:r>
        <w:rPr>
          <w:lang w:val="es-ES_tradnl"/>
        </w:rPr>
        <w:t xml:space="preserve"> precisó que había publicado el vehículo para su venta en los clasificados del diario Cl</w:t>
      </w:r>
      <w:r>
        <w:rPr>
          <w:lang w:val="es-ES_tradnl"/>
        </w:rPr>
        <w:t>a</w:t>
      </w:r>
      <w:r>
        <w:rPr>
          <w:lang w:val="es-ES_tradnl"/>
        </w:rPr>
        <w:t>rín del fin de semana del 9 y 10 de julio de 1994. Ese s</w:t>
      </w:r>
      <w:r>
        <w:rPr>
          <w:lang w:val="es-ES_tradnl"/>
        </w:rPr>
        <w:t>á</w:t>
      </w:r>
      <w:r>
        <w:rPr>
          <w:lang w:val="es-ES_tradnl"/>
        </w:rPr>
        <w:t>bado llamaron varias personas interesadas en la compra, una de las cuales tenía acento extranjero y parecía orie</w:t>
      </w:r>
      <w:r>
        <w:rPr>
          <w:lang w:val="es-ES_tradnl"/>
        </w:rPr>
        <w:t>n</w:t>
      </w:r>
      <w:r>
        <w:rPr>
          <w:lang w:val="es-ES_tradnl"/>
        </w:rPr>
        <w:t>tal, pese a que su interloc</w:t>
      </w:r>
      <w:r>
        <w:rPr>
          <w:lang w:val="es-ES_tradnl"/>
        </w:rPr>
        <w:t>u</w:t>
      </w:r>
      <w:r>
        <w:rPr>
          <w:lang w:val="es-ES_tradnl"/>
        </w:rPr>
        <w:t>tor lo negó.</w:t>
      </w:r>
    </w:p>
    <w:p w:rsidR="00224567" w:rsidRDefault="00224567">
      <w:pPr>
        <w:widowControl w:val="0"/>
        <w:rPr>
          <w:lang w:val="es-ES_tradnl"/>
        </w:rPr>
      </w:pPr>
      <w:r>
        <w:rPr>
          <w:lang w:val="es-ES_tradnl"/>
        </w:rPr>
        <w:tab/>
        <w:t>Alrededor de las 18.30 arribaron a su domicilio, en un Mitsubishi Galant coupé, color negro, tres personas de rasgos orientales y con el mi</w:t>
      </w:r>
      <w:r>
        <w:rPr>
          <w:lang w:val="es-ES_tradnl"/>
        </w:rPr>
        <w:t>s</w:t>
      </w:r>
      <w:r>
        <w:rPr>
          <w:lang w:val="es-ES_tradnl"/>
        </w:rPr>
        <w:t>mo tono de voz y acento de quien hablara por teléfono, quienes dij</w:t>
      </w:r>
      <w:r>
        <w:rPr>
          <w:lang w:val="es-ES_tradnl"/>
        </w:rPr>
        <w:t>e</w:t>
      </w:r>
      <w:r>
        <w:rPr>
          <w:lang w:val="es-ES_tradnl"/>
        </w:rPr>
        <w:t>ron venir de parte de una persona que había llamado pr</w:t>
      </w:r>
      <w:r>
        <w:rPr>
          <w:lang w:val="es-ES_tradnl"/>
        </w:rPr>
        <w:t>e</w:t>
      </w:r>
      <w:r>
        <w:rPr>
          <w:lang w:val="es-ES_tradnl"/>
        </w:rPr>
        <w:t>viamente. Apuntó que los sujetos, de quienes descr</w:t>
      </w:r>
      <w:r>
        <w:rPr>
          <w:lang w:val="es-ES_tradnl"/>
        </w:rPr>
        <w:t>i</w:t>
      </w:r>
      <w:r>
        <w:rPr>
          <w:lang w:val="es-ES_tradnl"/>
        </w:rPr>
        <w:t>bió su fisonomía y vestimenta, se limitaron a abrir los dos po</w:t>
      </w:r>
      <w:r>
        <w:rPr>
          <w:lang w:val="es-ES_tradnl"/>
        </w:rPr>
        <w:t>r</w:t>
      </w:r>
      <w:r>
        <w:rPr>
          <w:lang w:val="es-ES_tradnl"/>
        </w:rPr>
        <w:t>tones traseros y mirar la caja, no repararon en el motor ni en otros detalles, manteniendo conversaciones en una lengua que supuso oriental. Señaló que se comunicaba con uno de ellos en castellano. Antes de ret</w:t>
      </w:r>
      <w:r>
        <w:rPr>
          <w:lang w:val="es-ES_tradnl"/>
        </w:rPr>
        <w:t>i</w:t>
      </w:r>
      <w:r>
        <w:rPr>
          <w:lang w:val="es-ES_tradnl"/>
        </w:rPr>
        <w:t>rarse le dijeron que la persona con la que había hablado por teléfono co</w:t>
      </w:r>
      <w:r>
        <w:rPr>
          <w:lang w:val="es-ES_tradnl"/>
        </w:rPr>
        <w:t>n</w:t>
      </w:r>
      <w:r>
        <w:rPr>
          <w:lang w:val="es-ES_tradnl"/>
        </w:rPr>
        <w:t>curriría a finalizar la oper</w:t>
      </w:r>
      <w:r>
        <w:rPr>
          <w:lang w:val="es-ES_tradnl"/>
        </w:rPr>
        <w:t>a</w:t>
      </w:r>
      <w:r>
        <w:rPr>
          <w:lang w:val="es-ES_tradnl"/>
        </w:rPr>
        <w:t>ción.</w:t>
      </w:r>
    </w:p>
    <w:p w:rsidR="00224567" w:rsidRDefault="00224567">
      <w:pPr>
        <w:widowControl w:val="0"/>
        <w:rPr>
          <w:lang w:val="es-ES_tradnl"/>
        </w:rPr>
      </w:pPr>
      <w:r>
        <w:rPr>
          <w:lang w:val="es-ES_tradnl"/>
        </w:rPr>
        <w:tab/>
        <w:t>Ya el domingo 10 de julio, entre qui</w:t>
      </w:r>
      <w:r>
        <w:rPr>
          <w:lang w:val="es-ES_tradnl"/>
        </w:rPr>
        <w:t>e</w:t>
      </w:r>
      <w:r>
        <w:rPr>
          <w:lang w:val="es-ES_tradnl"/>
        </w:rPr>
        <w:t>nes lo llamaron por el aviso, lo hizo en tres oportunid</w:t>
      </w:r>
      <w:r>
        <w:rPr>
          <w:lang w:val="es-ES_tradnl"/>
        </w:rPr>
        <w:t>a</w:t>
      </w:r>
      <w:r>
        <w:rPr>
          <w:lang w:val="es-ES_tradnl"/>
        </w:rPr>
        <w:t>des la persona referida en el párrafo anterior y siempre para pregu</w:t>
      </w:r>
      <w:r>
        <w:rPr>
          <w:lang w:val="es-ES_tradnl"/>
        </w:rPr>
        <w:t>n</w:t>
      </w:r>
      <w:r>
        <w:rPr>
          <w:lang w:val="es-ES_tradnl"/>
        </w:rPr>
        <w:t>tarle por la dirección. Además, le solicitó que le fuera preparando la factura. En una de esas comunic</w:t>
      </w:r>
      <w:r>
        <w:rPr>
          <w:lang w:val="es-ES_tradnl"/>
        </w:rPr>
        <w:t>a</w:t>
      </w:r>
      <w:r>
        <w:rPr>
          <w:lang w:val="es-ES_tradnl"/>
        </w:rPr>
        <w:t>ciones el individuo le transmitió que e</w:t>
      </w:r>
      <w:r>
        <w:rPr>
          <w:lang w:val="es-ES_tradnl"/>
        </w:rPr>
        <w:t>s</w:t>
      </w:r>
      <w:r>
        <w:rPr>
          <w:lang w:val="es-ES_tradnl"/>
        </w:rPr>
        <w:t>taba perdido y lo interrogó acerca de la ubicación de “Villa Ballestor” (sic).</w:t>
      </w:r>
    </w:p>
    <w:p w:rsidR="00224567" w:rsidRDefault="00224567">
      <w:pPr>
        <w:widowControl w:val="0"/>
        <w:rPr>
          <w:lang w:val="es-ES_tradnl"/>
        </w:rPr>
      </w:pPr>
      <w:r>
        <w:rPr>
          <w:lang w:val="es-ES_tradnl"/>
        </w:rPr>
        <w:tab/>
        <w:t>Aproximadamente a la hora y media de la última llamada y antes del almuerzo, arribó el compr</w:t>
      </w:r>
      <w:r>
        <w:rPr>
          <w:lang w:val="es-ES_tradnl"/>
        </w:rPr>
        <w:t>a</w:t>
      </w:r>
      <w:r>
        <w:rPr>
          <w:lang w:val="es-ES_tradnl"/>
        </w:rPr>
        <w:t>dor quien tenía un acento extranjero, distinto del que efectuara las llamadas, portaba un maletín chico con c</w:t>
      </w:r>
      <w:r>
        <w:rPr>
          <w:lang w:val="es-ES_tradnl"/>
        </w:rPr>
        <w:t>o</w:t>
      </w:r>
      <w:r>
        <w:rPr>
          <w:lang w:val="es-ES_tradnl"/>
        </w:rPr>
        <w:t>rrea.</w:t>
      </w:r>
    </w:p>
    <w:p w:rsidR="00224567" w:rsidRDefault="00224567">
      <w:pPr>
        <w:widowControl w:val="0"/>
        <w:rPr>
          <w:lang w:val="es-ES_tradnl"/>
        </w:rPr>
      </w:pPr>
      <w:r>
        <w:rPr>
          <w:lang w:val="es-ES_tradnl"/>
        </w:rPr>
        <w:tab/>
        <w:t>Este individuo revisó la parte tra</w:t>
      </w:r>
      <w:r>
        <w:rPr>
          <w:lang w:val="es-ES_tradnl"/>
        </w:rPr>
        <w:t>s</w:t>
      </w:r>
      <w:r>
        <w:rPr>
          <w:lang w:val="es-ES_tradnl"/>
        </w:rPr>
        <w:t>era de la camioneta, miró el motor –más adelante pero en la misma declaración Telleldín sostuvo que esta pe</w:t>
      </w:r>
      <w:r>
        <w:rPr>
          <w:lang w:val="es-ES_tradnl"/>
        </w:rPr>
        <w:t>r</w:t>
      </w:r>
      <w:r>
        <w:rPr>
          <w:lang w:val="es-ES_tradnl"/>
        </w:rPr>
        <w:t>sona sólo miró la caja del vehículo– y solicitó probarla. Fue así que dieron una vue</w:t>
      </w:r>
      <w:r>
        <w:rPr>
          <w:lang w:val="es-ES_tradnl"/>
        </w:rPr>
        <w:t>l</w:t>
      </w:r>
      <w:r>
        <w:rPr>
          <w:lang w:val="es-ES_tradnl"/>
        </w:rPr>
        <w:t>ta manzana.</w:t>
      </w:r>
    </w:p>
    <w:p w:rsidR="00224567" w:rsidRDefault="00224567">
      <w:pPr>
        <w:widowControl w:val="0"/>
        <w:rPr>
          <w:lang w:val="es-ES_tradnl"/>
        </w:rPr>
      </w:pPr>
      <w:r>
        <w:rPr>
          <w:lang w:val="es-ES_tradnl"/>
        </w:rPr>
        <w:tab/>
        <w:t>En ese instante un vecino suyo pregu</w:t>
      </w:r>
      <w:r>
        <w:rPr>
          <w:lang w:val="es-ES_tradnl"/>
        </w:rPr>
        <w:t>n</w:t>
      </w:r>
      <w:r>
        <w:rPr>
          <w:lang w:val="es-ES_tradnl"/>
        </w:rPr>
        <w:t>tó si necesitaba que corriera su automóvil y le respondi</w:t>
      </w:r>
      <w:r>
        <w:rPr>
          <w:lang w:val="es-ES_tradnl"/>
        </w:rPr>
        <w:t>e</w:t>
      </w:r>
      <w:r>
        <w:rPr>
          <w:lang w:val="es-ES_tradnl"/>
        </w:rPr>
        <w:t>ron negativ</w:t>
      </w:r>
      <w:r>
        <w:rPr>
          <w:lang w:val="es-ES_tradnl"/>
        </w:rPr>
        <w:t>a</w:t>
      </w:r>
      <w:r>
        <w:rPr>
          <w:lang w:val="es-ES_tradnl"/>
        </w:rPr>
        <w:t>mente.</w:t>
      </w:r>
    </w:p>
    <w:p w:rsidR="00224567" w:rsidRDefault="00224567">
      <w:pPr>
        <w:widowControl w:val="0"/>
        <w:rPr>
          <w:lang w:val="es-ES_tradnl"/>
        </w:rPr>
      </w:pPr>
      <w:r>
        <w:rPr>
          <w:lang w:val="es-ES_tradnl"/>
        </w:rPr>
        <w:tab/>
        <w:t>El comprador le dijo que la transf</w:t>
      </w:r>
      <w:r>
        <w:rPr>
          <w:lang w:val="es-ES_tradnl"/>
        </w:rPr>
        <w:t>e</w:t>
      </w:r>
      <w:r>
        <w:rPr>
          <w:lang w:val="es-ES_tradnl"/>
        </w:rPr>
        <w:t>rencia la efectuar</w:t>
      </w:r>
      <w:r>
        <w:rPr>
          <w:lang w:val="es-ES_tradnl"/>
        </w:rPr>
        <w:t>í</w:t>
      </w:r>
      <w:r>
        <w:rPr>
          <w:lang w:val="es-ES_tradnl"/>
        </w:rPr>
        <w:t>an en quince días, cuando arribara una persona a quien identificó como el “viejo”. Telleldín r</w:t>
      </w:r>
      <w:r>
        <w:rPr>
          <w:lang w:val="es-ES_tradnl"/>
        </w:rPr>
        <w:t>e</w:t>
      </w:r>
      <w:r>
        <w:rPr>
          <w:lang w:val="es-ES_tradnl"/>
        </w:rPr>
        <w:t>firió que asintió, ya que los formularios 08 del vehículo los tenía la firma Alejandro Automotores a la espera de que saldara una de</w:t>
      </w:r>
      <w:r>
        <w:rPr>
          <w:lang w:val="es-ES_tradnl"/>
        </w:rPr>
        <w:t>u</w:t>
      </w:r>
      <w:r>
        <w:rPr>
          <w:lang w:val="es-ES_tradnl"/>
        </w:rPr>
        <w:t>da.</w:t>
      </w:r>
    </w:p>
    <w:p w:rsidR="00224567" w:rsidRDefault="00224567">
      <w:pPr>
        <w:widowControl w:val="0"/>
        <w:rPr>
          <w:lang w:val="es-ES_tradnl"/>
        </w:rPr>
      </w:pPr>
      <w:r>
        <w:rPr>
          <w:lang w:val="es-ES_tradnl"/>
        </w:rPr>
        <w:tab/>
        <w:t>Precisó que al comprador le entregó el título de automotor, patentes y el libre deuda. Concluyó que el comprador no tenía muchos conocimientos sobre aut</w:t>
      </w:r>
      <w:r>
        <w:rPr>
          <w:lang w:val="es-ES_tradnl"/>
        </w:rPr>
        <w:t>o</w:t>
      </w:r>
      <w:r>
        <w:rPr>
          <w:lang w:val="es-ES_tradnl"/>
        </w:rPr>
        <w:t>motores, toda vez que no solicitó la tarjeta ve</w:t>
      </w:r>
      <w:r>
        <w:rPr>
          <w:lang w:val="es-ES_tradnl"/>
        </w:rPr>
        <w:t>r</w:t>
      </w:r>
      <w:r>
        <w:rPr>
          <w:lang w:val="es-ES_tradnl"/>
        </w:rPr>
        <w:t>de.</w:t>
      </w:r>
    </w:p>
    <w:p w:rsidR="00224567" w:rsidRDefault="00224567">
      <w:pPr>
        <w:widowControl w:val="0"/>
        <w:rPr>
          <w:lang w:val="es-ES_tradnl"/>
        </w:rPr>
      </w:pPr>
      <w:r>
        <w:rPr>
          <w:lang w:val="es-ES_tradnl"/>
        </w:rPr>
        <w:t>Expuso la forma en que se definió el precio de venta. Así indicó que al cerrar la operación el comprador ofreció o</w:t>
      </w:r>
      <w:r>
        <w:rPr>
          <w:lang w:val="es-ES_tradnl"/>
        </w:rPr>
        <w:t>n</w:t>
      </w:r>
      <w:r>
        <w:rPr>
          <w:lang w:val="es-ES_tradnl"/>
        </w:rPr>
        <w:t>ce mil dólares y finalmente se concretó en once mil qu</w:t>
      </w:r>
      <w:r>
        <w:rPr>
          <w:lang w:val="es-ES_tradnl"/>
        </w:rPr>
        <w:t>i</w:t>
      </w:r>
      <w:r>
        <w:rPr>
          <w:lang w:val="es-ES_tradnl"/>
        </w:rPr>
        <w:t>nientos.</w:t>
      </w:r>
    </w:p>
    <w:p w:rsidR="00224567" w:rsidRDefault="00224567">
      <w:pPr>
        <w:widowControl w:val="0"/>
        <w:rPr>
          <w:lang w:val="es-ES_tradnl"/>
        </w:rPr>
      </w:pPr>
      <w:r>
        <w:rPr>
          <w:lang w:val="es-ES_tradnl"/>
        </w:rPr>
        <w:tab/>
        <w:t>Mientras su mujer cocinaba, él reda</w:t>
      </w:r>
      <w:r>
        <w:rPr>
          <w:lang w:val="es-ES_tradnl"/>
        </w:rPr>
        <w:t>c</w:t>
      </w:r>
      <w:r>
        <w:rPr>
          <w:lang w:val="es-ES_tradnl"/>
        </w:rPr>
        <w:t>tó y firmó la factura y el comprador insertó su número de d</w:t>
      </w:r>
      <w:r>
        <w:rPr>
          <w:lang w:val="es-ES_tradnl"/>
        </w:rPr>
        <w:t>o</w:t>
      </w:r>
      <w:r>
        <w:rPr>
          <w:lang w:val="es-ES_tradnl"/>
        </w:rPr>
        <w:t>cumento. Reconoció el boleto glosado a fs. 308 como el suscripto en aquella oportunidad. Luego señaló que lo hizo en presencia de su m</w:t>
      </w:r>
      <w:r>
        <w:rPr>
          <w:lang w:val="es-ES_tradnl"/>
        </w:rPr>
        <w:t>u</w:t>
      </w:r>
      <w:r>
        <w:rPr>
          <w:lang w:val="es-ES_tradnl"/>
        </w:rPr>
        <w:t>jer.</w:t>
      </w:r>
    </w:p>
    <w:p w:rsidR="00224567" w:rsidRDefault="00224567">
      <w:pPr>
        <w:widowControl w:val="0"/>
        <w:rPr>
          <w:lang w:val="es-ES_tradnl"/>
        </w:rPr>
      </w:pPr>
      <w:r>
        <w:rPr>
          <w:lang w:val="es-ES_tradnl"/>
        </w:rPr>
        <w:tab/>
        <w:t>Precisó que el comprador siempre tuvo el documento nacional de identidad en sus manos –el que describió detalladamente– y así completó su número y la dirección. Ese cart</w:t>
      </w:r>
      <w:r>
        <w:rPr>
          <w:lang w:val="es-ES_tradnl"/>
        </w:rPr>
        <w:t>u</w:t>
      </w:r>
      <w:r>
        <w:rPr>
          <w:lang w:val="es-ES_tradnl"/>
        </w:rPr>
        <w:t>lar contenía una fotografía que no se correspondía con la del comprador. Este indicó que el d</w:t>
      </w:r>
      <w:r>
        <w:rPr>
          <w:lang w:val="es-ES_tradnl"/>
        </w:rPr>
        <w:t>o</w:t>
      </w:r>
      <w:r>
        <w:rPr>
          <w:lang w:val="es-ES_tradnl"/>
        </w:rPr>
        <w:t>cumento correspondía al “viejo” e insertaba sus datos po</w:t>
      </w:r>
      <w:r>
        <w:rPr>
          <w:lang w:val="es-ES_tradnl"/>
        </w:rPr>
        <w:t>r</w:t>
      </w:r>
      <w:r>
        <w:rPr>
          <w:lang w:val="es-ES_tradnl"/>
        </w:rPr>
        <w:t>que la transferencia se haría a nombre de aquel.</w:t>
      </w:r>
    </w:p>
    <w:p w:rsidR="00224567" w:rsidRDefault="00224567">
      <w:pPr>
        <w:widowControl w:val="0"/>
        <w:rPr>
          <w:lang w:val="es-ES_tradnl"/>
        </w:rPr>
      </w:pPr>
      <w:r>
        <w:rPr>
          <w:lang w:val="es-ES_tradnl"/>
        </w:rPr>
        <w:tab/>
        <w:t>Agregó que el adquirente sacó de su maletín la cantidad de dólares convenida, advirtiendo T</w:t>
      </w:r>
      <w:r>
        <w:rPr>
          <w:lang w:val="es-ES_tradnl"/>
        </w:rPr>
        <w:t>e</w:t>
      </w:r>
      <w:r>
        <w:rPr>
          <w:lang w:val="es-ES_tradnl"/>
        </w:rPr>
        <w:t>lleldín que en ese attaché tenía más dinero. Revisó los billetes entregados que eran todos nuevos con e</w:t>
      </w:r>
      <w:r>
        <w:rPr>
          <w:lang w:val="es-ES_tradnl"/>
        </w:rPr>
        <w:t>x</w:t>
      </w:r>
      <w:r>
        <w:rPr>
          <w:lang w:val="es-ES_tradnl"/>
        </w:rPr>
        <w:t>cepción de uno.</w:t>
      </w:r>
    </w:p>
    <w:p w:rsidR="00224567" w:rsidRDefault="00224567">
      <w:pPr>
        <w:widowControl w:val="0"/>
        <w:rPr>
          <w:lang w:val="es-ES_tradnl"/>
        </w:rPr>
      </w:pPr>
      <w:r>
        <w:rPr>
          <w:lang w:val="es-ES_tradnl"/>
        </w:rPr>
        <w:tab/>
        <w:t>Su mujer invitó a almorzar al visita</w:t>
      </w:r>
      <w:r>
        <w:rPr>
          <w:lang w:val="es-ES_tradnl"/>
        </w:rPr>
        <w:t>n</w:t>
      </w:r>
      <w:r>
        <w:rPr>
          <w:lang w:val="es-ES_tradnl"/>
        </w:rPr>
        <w:t>te pero éste rechazó la propuesta por estar apur</w:t>
      </w:r>
      <w:r>
        <w:rPr>
          <w:lang w:val="es-ES_tradnl"/>
        </w:rPr>
        <w:t>a</w:t>
      </w:r>
      <w:r>
        <w:rPr>
          <w:lang w:val="es-ES_tradnl"/>
        </w:rPr>
        <w:t>do.</w:t>
      </w:r>
    </w:p>
    <w:p w:rsidR="00224567" w:rsidRDefault="00224567">
      <w:pPr>
        <w:widowControl w:val="0"/>
        <w:rPr>
          <w:lang w:val="es-ES_tradnl"/>
        </w:rPr>
      </w:pPr>
      <w:r>
        <w:rPr>
          <w:lang w:val="es-ES_tradnl"/>
        </w:rPr>
        <w:tab/>
        <w:t>Antes de que se retirara el compr</w:t>
      </w:r>
      <w:r>
        <w:rPr>
          <w:lang w:val="es-ES_tradnl"/>
        </w:rPr>
        <w:t>a</w:t>
      </w:r>
      <w:r>
        <w:rPr>
          <w:lang w:val="es-ES_tradnl"/>
        </w:rPr>
        <w:t>dor, convino con él contactarse a los quince días para final</w:t>
      </w:r>
      <w:r>
        <w:rPr>
          <w:lang w:val="es-ES_tradnl"/>
        </w:rPr>
        <w:t>i</w:t>
      </w:r>
      <w:r>
        <w:rPr>
          <w:lang w:val="es-ES_tradnl"/>
        </w:rPr>
        <w:t>zar con los papeles.</w:t>
      </w:r>
    </w:p>
    <w:p w:rsidR="00224567" w:rsidRDefault="00224567">
      <w:pPr>
        <w:widowControl w:val="0"/>
        <w:rPr>
          <w:lang w:val="es-ES_tradnl"/>
        </w:rPr>
      </w:pPr>
      <w:r>
        <w:rPr>
          <w:lang w:val="es-ES_tradnl"/>
        </w:rPr>
        <w:tab/>
        <w:t>Si bien ya en su primera declaración detalló el destino que le dio a la suma recibida, lo mod</w:t>
      </w:r>
      <w:r>
        <w:rPr>
          <w:lang w:val="es-ES_tradnl"/>
        </w:rPr>
        <w:t>i</w:t>
      </w:r>
      <w:r>
        <w:rPr>
          <w:lang w:val="es-ES_tradnl"/>
        </w:rPr>
        <w:t>ficó en posteri</w:t>
      </w:r>
      <w:r>
        <w:rPr>
          <w:lang w:val="es-ES_tradnl"/>
        </w:rPr>
        <w:t>o</w:t>
      </w:r>
      <w:r>
        <w:rPr>
          <w:lang w:val="es-ES_tradnl"/>
        </w:rPr>
        <w:t>res oportunidades.</w:t>
      </w:r>
    </w:p>
    <w:p w:rsidR="00224567" w:rsidRDefault="00224567">
      <w:pPr>
        <w:widowControl w:val="0"/>
        <w:rPr>
          <w:lang w:val="es-ES_tradnl"/>
        </w:rPr>
      </w:pPr>
      <w:r>
        <w:rPr>
          <w:lang w:val="es-ES_tradnl"/>
        </w:rPr>
        <w:tab/>
        <w:t>Por otra parte, en su segunda declar</w:t>
      </w:r>
      <w:r>
        <w:rPr>
          <w:lang w:val="es-ES_tradnl"/>
        </w:rPr>
        <w:t>a</w:t>
      </w:r>
      <w:r>
        <w:rPr>
          <w:lang w:val="es-ES_tradnl"/>
        </w:rPr>
        <w:t>ción señaló que, mientras confeccionaba el boleto, se pr</w:t>
      </w:r>
      <w:r>
        <w:rPr>
          <w:lang w:val="es-ES_tradnl"/>
        </w:rPr>
        <w:t>e</w:t>
      </w:r>
      <w:r>
        <w:rPr>
          <w:lang w:val="es-ES_tradnl"/>
        </w:rPr>
        <w:t>sentó otro inter</w:t>
      </w:r>
      <w:r>
        <w:rPr>
          <w:lang w:val="es-ES_tradnl"/>
        </w:rPr>
        <w:t>e</w:t>
      </w:r>
      <w:r>
        <w:rPr>
          <w:lang w:val="es-ES_tradnl"/>
        </w:rPr>
        <w:t>sado por la camioneta, a quien su esposa le i</w:t>
      </w:r>
      <w:r>
        <w:rPr>
          <w:lang w:val="es-ES_tradnl"/>
        </w:rPr>
        <w:t>n</w:t>
      </w:r>
      <w:r>
        <w:rPr>
          <w:lang w:val="es-ES_tradnl"/>
        </w:rPr>
        <w:t>formó que ya estaba vendida.</w:t>
      </w:r>
    </w:p>
    <w:p w:rsidR="00224567" w:rsidRDefault="00224567">
      <w:pPr>
        <w:widowControl w:val="0"/>
        <w:rPr>
          <w:lang w:val="es-ES_tradnl"/>
        </w:rPr>
      </w:pPr>
      <w:r>
        <w:rPr>
          <w:lang w:val="es-ES_tradnl"/>
        </w:rPr>
        <w:tab/>
        <w:t>La firma “Alejandro Automotores” le entregó los formul</w:t>
      </w:r>
      <w:r>
        <w:rPr>
          <w:lang w:val="es-ES_tradnl"/>
        </w:rPr>
        <w:t>a</w:t>
      </w:r>
      <w:r>
        <w:rPr>
          <w:lang w:val="es-ES_tradnl"/>
        </w:rPr>
        <w:t>rios 08 el 11 de julio de 1994, una vez que saldó su deuda. Posteriormente –sin poder pr</w:t>
      </w:r>
      <w:r>
        <w:rPr>
          <w:lang w:val="es-ES_tradnl"/>
        </w:rPr>
        <w:t>e</w:t>
      </w:r>
      <w:r>
        <w:rPr>
          <w:lang w:val="es-ES_tradnl"/>
        </w:rPr>
        <w:t xml:space="preserve">cisar si esto sucedió antes o después de atentado–, concurrió al domicilio aportado por el comprador de </w:t>
      </w:r>
      <w:smartTag w:uri="urn:schemas-microsoft-com:office:smarttags" w:element="PersonName">
        <w:smartTagPr>
          <w:attr w:name="ProductID" w:val="la Trafic"/>
        </w:smartTagPr>
        <w:r>
          <w:rPr>
            <w:lang w:val="es-ES_tradnl"/>
          </w:rPr>
          <w:t>la Trafic</w:t>
        </w:r>
      </w:smartTag>
      <w:r>
        <w:rPr>
          <w:lang w:val="es-ES_tradnl"/>
        </w:rPr>
        <w:t xml:space="preserve"> para dá</w:t>
      </w:r>
      <w:r>
        <w:rPr>
          <w:lang w:val="es-ES_tradnl"/>
        </w:rPr>
        <w:t>r</w:t>
      </w:r>
      <w:r>
        <w:rPr>
          <w:lang w:val="es-ES_tradnl"/>
        </w:rPr>
        <w:t>selos. Allí se entrevistó con varios vecinos quienes de</w:t>
      </w:r>
      <w:r>
        <w:rPr>
          <w:lang w:val="es-ES_tradnl"/>
        </w:rPr>
        <w:t>s</w:t>
      </w:r>
      <w:r>
        <w:rPr>
          <w:lang w:val="es-ES_tradnl"/>
        </w:rPr>
        <w:t>conocían a Ramón Martínez. Luego agregó que al lugar co</w:t>
      </w:r>
      <w:r>
        <w:rPr>
          <w:lang w:val="es-ES_tradnl"/>
        </w:rPr>
        <w:t>n</w:t>
      </w:r>
      <w:r>
        <w:rPr>
          <w:lang w:val="es-ES_tradnl"/>
        </w:rPr>
        <w:t>currió acompañado por Hugo Pérez. Precisó que era su co</w:t>
      </w:r>
      <w:r>
        <w:rPr>
          <w:lang w:val="es-ES_tradnl"/>
        </w:rPr>
        <w:t>s</w:t>
      </w:r>
      <w:r>
        <w:rPr>
          <w:lang w:val="es-ES_tradnl"/>
        </w:rPr>
        <w:t>tumbre llevar los papeles a los compradores para evitar problemas.</w:t>
      </w:r>
    </w:p>
    <w:p w:rsidR="00224567" w:rsidRDefault="00224567">
      <w:pPr>
        <w:widowControl w:val="0"/>
        <w:rPr>
          <w:lang w:val="es-ES_tradnl"/>
        </w:rPr>
      </w:pPr>
      <w:r>
        <w:rPr>
          <w:lang w:val="es-ES_tradnl"/>
        </w:rPr>
        <w:tab/>
        <w:t>En sus primeras declaraciones, afirmó que al momento de la transacción sólo se encontraba pr</w:t>
      </w:r>
      <w:r>
        <w:rPr>
          <w:lang w:val="es-ES_tradnl"/>
        </w:rPr>
        <w:t>e</w:t>
      </w:r>
      <w:r>
        <w:rPr>
          <w:lang w:val="es-ES_tradnl"/>
        </w:rPr>
        <w:t>sente en su domicilio su mujer. Posteriormente ind</w:t>
      </w:r>
      <w:r>
        <w:rPr>
          <w:lang w:val="es-ES_tradnl"/>
        </w:rPr>
        <w:t>i</w:t>
      </w:r>
      <w:r>
        <w:rPr>
          <w:lang w:val="es-ES_tradnl"/>
        </w:rPr>
        <w:t>có que también estuvieron Hugo Pérez y Pérez Mejías. También so</w:t>
      </w:r>
      <w:r>
        <w:rPr>
          <w:lang w:val="es-ES_tradnl"/>
        </w:rPr>
        <w:t>s</w:t>
      </w:r>
      <w:r>
        <w:rPr>
          <w:lang w:val="es-ES_tradnl"/>
        </w:rPr>
        <w:t>tuvo que, si bien no lo podía asegurar, creía que Jessica Schiavone y Pérez Mejías habían visto al comprador. Más adelante, añ</w:t>
      </w:r>
      <w:r>
        <w:rPr>
          <w:lang w:val="es-ES_tradnl"/>
        </w:rPr>
        <w:t>a</w:t>
      </w:r>
      <w:r>
        <w:rPr>
          <w:lang w:val="es-ES_tradnl"/>
        </w:rPr>
        <w:t>dió que Hugo Pérez, Pérez Mejías y sus hijos se hallaban en la cocina, por lo que no presenciaron la tra</w:t>
      </w:r>
      <w:r>
        <w:rPr>
          <w:lang w:val="es-ES_tradnl"/>
        </w:rPr>
        <w:t>n</w:t>
      </w:r>
      <w:r>
        <w:rPr>
          <w:lang w:val="es-ES_tradnl"/>
        </w:rPr>
        <w:t>sacción.</w:t>
      </w:r>
    </w:p>
    <w:p w:rsidR="00224567" w:rsidRDefault="00224567">
      <w:pPr>
        <w:widowControl w:val="0"/>
        <w:rPr>
          <w:lang w:val="es-ES_tradnl"/>
        </w:rPr>
      </w:pPr>
      <w:r>
        <w:rPr>
          <w:lang w:val="es-ES_tradnl"/>
        </w:rPr>
        <w:tab/>
        <w:t>Inicialmente señaló que al comprador lo vio también su v</w:t>
      </w:r>
      <w:r>
        <w:rPr>
          <w:lang w:val="es-ES_tradnl"/>
        </w:rPr>
        <w:t>e</w:t>
      </w:r>
      <w:r>
        <w:rPr>
          <w:lang w:val="es-ES_tradnl"/>
        </w:rPr>
        <w:t>cino. En posteriores ocasiones agregó que también lo habían hecho la esposa de su vecino y un albañil que estaba con ellos.</w:t>
      </w:r>
    </w:p>
    <w:p w:rsidR="00224567" w:rsidRDefault="00224567">
      <w:pPr>
        <w:widowControl w:val="0"/>
        <w:rPr>
          <w:lang w:val="es-ES_tradnl"/>
        </w:rPr>
      </w:pPr>
      <w:r>
        <w:rPr>
          <w:lang w:val="es-ES_tradnl"/>
        </w:rPr>
        <w:tab/>
        <w:t xml:space="preserve">Respecto de </w:t>
      </w:r>
      <w:r>
        <w:rPr>
          <w:b/>
          <w:bCs/>
          <w:lang w:val="es-ES_tradnl"/>
        </w:rPr>
        <w:t>Ana Boragni</w:t>
      </w:r>
      <w:r>
        <w:rPr>
          <w:lang w:val="es-ES_tradnl"/>
        </w:rPr>
        <w:t>, durante el juicio se leyeron partes de sus declaraciones testimoni</w:t>
      </w:r>
      <w:r>
        <w:rPr>
          <w:lang w:val="es-ES_tradnl"/>
        </w:rPr>
        <w:t>a</w:t>
      </w:r>
      <w:r>
        <w:rPr>
          <w:lang w:val="es-ES_tradnl"/>
        </w:rPr>
        <w:t>les anteriores en los té</w:t>
      </w:r>
      <w:r>
        <w:rPr>
          <w:lang w:val="es-ES_tradnl"/>
        </w:rPr>
        <w:t>r</w:t>
      </w:r>
      <w:r>
        <w:rPr>
          <w:lang w:val="es-ES_tradnl"/>
        </w:rPr>
        <w:t>minos del art. 391 del C.P.P.N..</w:t>
      </w:r>
    </w:p>
    <w:p w:rsidR="00224567" w:rsidRDefault="00224567">
      <w:pPr>
        <w:widowControl w:val="0"/>
        <w:rPr>
          <w:lang w:val="es-ES_tradnl"/>
        </w:rPr>
      </w:pPr>
      <w:r>
        <w:rPr>
          <w:lang w:val="es-ES_tradnl"/>
        </w:rPr>
        <w:tab/>
        <w:t>De tal modo se pudieron recrear las dos versiones sostenidas en la instrucción por la te</w:t>
      </w:r>
      <w:r>
        <w:rPr>
          <w:lang w:val="es-ES_tradnl"/>
        </w:rPr>
        <w:t>s</w:t>
      </w:r>
      <w:r>
        <w:rPr>
          <w:lang w:val="es-ES_tradnl"/>
        </w:rPr>
        <w:t>tigo con relación a los hechos ocurridos en su domic</w:t>
      </w:r>
      <w:r>
        <w:rPr>
          <w:lang w:val="es-ES_tradnl"/>
        </w:rPr>
        <w:t>i</w:t>
      </w:r>
      <w:r>
        <w:rPr>
          <w:lang w:val="es-ES_tradnl"/>
        </w:rPr>
        <w:t>lio el 10 de julio de 1994, especialmente en lo que hace a la entr</w:t>
      </w:r>
      <w:r>
        <w:rPr>
          <w:lang w:val="es-ES_tradnl"/>
        </w:rPr>
        <w:t>e</w:t>
      </w:r>
      <w:r>
        <w:rPr>
          <w:lang w:val="es-ES_tradnl"/>
        </w:rPr>
        <w:t>ga de la camioneta Renault Tr</w:t>
      </w:r>
      <w:r>
        <w:rPr>
          <w:lang w:val="es-ES_tradnl"/>
        </w:rPr>
        <w:t>a</w:t>
      </w:r>
      <w:r>
        <w:rPr>
          <w:lang w:val="es-ES_tradnl"/>
        </w:rPr>
        <w:t>fic.</w:t>
      </w:r>
    </w:p>
    <w:p w:rsidR="00224567" w:rsidRDefault="00224567">
      <w:pPr>
        <w:widowControl w:val="0"/>
        <w:rPr>
          <w:lang w:val="es-ES_tradnl"/>
        </w:rPr>
      </w:pPr>
      <w:r>
        <w:rPr>
          <w:lang w:val="es-ES_tradnl"/>
        </w:rPr>
        <w:tab/>
        <w:t>La testigo –principalmente– en sus d</w:t>
      </w:r>
      <w:r>
        <w:rPr>
          <w:lang w:val="es-ES_tradnl"/>
        </w:rPr>
        <w:t>e</w:t>
      </w:r>
      <w:r>
        <w:rPr>
          <w:lang w:val="es-ES_tradnl"/>
        </w:rPr>
        <w:t>claraciones del 26 de j</w:t>
      </w:r>
      <w:r>
        <w:rPr>
          <w:lang w:val="es-ES_tradnl"/>
        </w:rPr>
        <w:t>u</w:t>
      </w:r>
      <w:r>
        <w:rPr>
          <w:lang w:val="es-ES_tradnl"/>
        </w:rPr>
        <w:t xml:space="preserve">lio de 1994 y 4 de abril de 1995, prestadas en la sede de </w:t>
      </w:r>
      <w:smartTag w:uri="urn:schemas-microsoft-com:office:smarttags" w:element="PersonName">
        <w:smartTagPr>
          <w:attr w:name="ProductID" w:val="la Divisi￳n Protecci￳n"/>
        </w:smartTagPr>
        <w:r>
          <w:rPr>
            <w:lang w:val="es-ES_tradnl"/>
          </w:rPr>
          <w:t>la División Protección</w:t>
        </w:r>
      </w:smartTag>
      <w:r>
        <w:rPr>
          <w:lang w:val="es-ES_tradnl"/>
        </w:rPr>
        <w:t xml:space="preserve"> del Orden Const</w:t>
      </w:r>
      <w:r>
        <w:rPr>
          <w:lang w:val="es-ES_tradnl"/>
        </w:rPr>
        <w:t>i</w:t>
      </w:r>
      <w:r>
        <w:rPr>
          <w:lang w:val="es-ES_tradnl"/>
        </w:rPr>
        <w:t xml:space="preserve">tucional de </w:t>
      </w:r>
      <w:smartTag w:uri="urn:schemas-microsoft-com:office:smarttags" w:element="PersonName">
        <w:smartTagPr>
          <w:attr w:name="ProductID" w:val="la Polic￭a Federal"/>
        </w:smartTagPr>
        <w:r>
          <w:rPr>
            <w:lang w:val="es-ES_tradnl"/>
          </w:rPr>
          <w:t>la Policía Federal</w:t>
        </w:r>
      </w:smartTag>
      <w:r>
        <w:rPr>
          <w:lang w:val="es-ES_tradnl"/>
        </w:rPr>
        <w:t xml:space="preserve"> y el Juzgado Federal nº 9 respectivamente, afirmó que la camioneta Trafic se entregó como consecuencia de una operación de compr</w:t>
      </w:r>
      <w:r>
        <w:rPr>
          <w:lang w:val="es-ES_tradnl"/>
        </w:rPr>
        <w:t>a</w:t>
      </w:r>
      <w:r>
        <w:rPr>
          <w:lang w:val="es-ES_tradnl"/>
        </w:rPr>
        <w:t>venta.</w:t>
      </w:r>
    </w:p>
    <w:p w:rsidR="00224567" w:rsidRDefault="00224567">
      <w:pPr>
        <w:widowControl w:val="0"/>
        <w:rPr>
          <w:lang w:val="es-ES_tradnl"/>
        </w:rPr>
      </w:pPr>
      <w:r>
        <w:rPr>
          <w:lang w:val="es-ES_tradnl"/>
        </w:rPr>
        <w:tab/>
        <w:t>La deponente manifestó que el 10 de julio de 1994, el comprador –que Carlos le dijo que era europeo– arr</w:t>
      </w:r>
      <w:r>
        <w:rPr>
          <w:lang w:val="es-ES_tradnl"/>
        </w:rPr>
        <w:t>i</w:t>
      </w:r>
      <w:r>
        <w:rPr>
          <w:lang w:val="es-ES_tradnl"/>
        </w:rPr>
        <w:t xml:space="preserve">bó a su domicilio a las 14 horas. </w:t>
      </w:r>
    </w:p>
    <w:p w:rsidR="00224567" w:rsidRDefault="00224567">
      <w:pPr>
        <w:widowControl w:val="0"/>
        <w:rPr>
          <w:lang w:val="es-ES_tradnl"/>
        </w:rPr>
      </w:pPr>
      <w:r>
        <w:rPr>
          <w:lang w:val="es-ES_tradnl"/>
        </w:rPr>
        <w:tab/>
        <w:t>Luego de mostrar y probar la camion</w:t>
      </w:r>
      <w:r>
        <w:rPr>
          <w:lang w:val="es-ES_tradnl"/>
        </w:rPr>
        <w:t>e</w:t>
      </w:r>
      <w:r>
        <w:rPr>
          <w:lang w:val="es-ES_tradnl"/>
        </w:rPr>
        <w:t>ta, Carlos Telleldín entró a su casa y le dijo que, como el comprador quería rebaja, se debía mostrar molesta y n</w:t>
      </w:r>
      <w:r>
        <w:rPr>
          <w:lang w:val="es-ES_tradnl"/>
        </w:rPr>
        <w:t>e</w:t>
      </w:r>
      <w:r>
        <w:rPr>
          <w:lang w:val="es-ES_tradnl"/>
        </w:rPr>
        <w:t>garse a a</w:t>
      </w:r>
      <w:r>
        <w:rPr>
          <w:lang w:val="es-ES_tradnl"/>
        </w:rPr>
        <w:t>c</w:t>
      </w:r>
      <w:r>
        <w:rPr>
          <w:lang w:val="es-ES_tradnl"/>
        </w:rPr>
        <w:t>ceder a tal petición.</w:t>
      </w:r>
    </w:p>
    <w:p w:rsidR="00224567" w:rsidRDefault="00224567">
      <w:pPr>
        <w:widowControl w:val="0"/>
        <w:rPr>
          <w:lang w:val="es-ES_tradnl"/>
        </w:rPr>
      </w:pPr>
      <w:r>
        <w:rPr>
          <w:lang w:val="es-ES_tradnl"/>
        </w:rPr>
        <w:tab/>
        <w:t>Agregó que compartió la mesa junto al comprador y su marido; que ella se negaba a aceptar los términos de la oper</w:t>
      </w:r>
      <w:r>
        <w:rPr>
          <w:lang w:val="es-ES_tradnl"/>
        </w:rPr>
        <w:t>a</w:t>
      </w:r>
      <w:r>
        <w:rPr>
          <w:lang w:val="es-ES_tradnl"/>
        </w:rPr>
        <w:t xml:space="preserve">ción. </w:t>
      </w:r>
    </w:p>
    <w:p w:rsidR="00224567" w:rsidRDefault="00224567">
      <w:pPr>
        <w:widowControl w:val="0"/>
        <w:rPr>
          <w:lang w:val="es-ES_tradnl"/>
        </w:rPr>
      </w:pPr>
      <w:r>
        <w:rPr>
          <w:lang w:val="es-ES_tradnl"/>
        </w:rPr>
        <w:tab/>
        <w:t>Expresó que la camioneta resultó ve</w:t>
      </w:r>
      <w:r>
        <w:rPr>
          <w:lang w:val="es-ES_tradnl"/>
        </w:rPr>
        <w:t>n</w:t>
      </w:r>
      <w:r>
        <w:rPr>
          <w:lang w:val="es-ES_tradnl"/>
        </w:rPr>
        <w:t>dida en once mil setecientos cincuenta pesos; en la decl</w:t>
      </w:r>
      <w:r>
        <w:rPr>
          <w:lang w:val="es-ES_tradnl"/>
        </w:rPr>
        <w:t>a</w:t>
      </w:r>
      <w:r>
        <w:rPr>
          <w:lang w:val="es-ES_tradnl"/>
        </w:rPr>
        <w:t>ración de fs. 10362/75 afirmó que fueron once mil quinie</w:t>
      </w:r>
      <w:r>
        <w:rPr>
          <w:lang w:val="es-ES_tradnl"/>
        </w:rPr>
        <w:t>n</w:t>
      </w:r>
      <w:r>
        <w:rPr>
          <w:lang w:val="es-ES_tradnl"/>
        </w:rPr>
        <w:t>tos dól</w:t>
      </w:r>
      <w:r>
        <w:rPr>
          <w:lang w:val="es-ES_tradnl"/>
        </w:rPr>
        <w:t>a</w:t>
      </w:r>
      <w:r>
        <w:rPr>
          <w:lang w:val="es-ES_tradnl"/>
        </w:rPr>
        <w:t>res.</w:t>
      </w:r>
    </w:p>
    <w:p w:rsidR="00224567" w:rsidRDefault="00224567">
      <w:pPr>
        <w:widowControl w:val="0"/>
        <w:rPr>
          <w:lang w:val="es-ES_tradnl"/>
        </w:rPr>
      </w:pPr>
      <w:r>
        <w:rPr>
          <w:lang w:val="es-ES_tradnl"/>
        </w:rPr>
        <w:tab/>
        <w:t>Precisó que el comprador tomó el din</w:t>
      </w:r>
      <w:r>
        <w:rPr>
          <w:lang w:val="es-ES_tradnl"/>
        </w:rPr>
        <w:t>e</w:t>
      </w:r>
      <w:r>
        <w:rPr>
          <w:lang w:val="es-ES_tradnl"/>
        </w:rPr>
        <w:t>ro del interior de un ataché que portaba, se lo dio a T</w:t>
      </w:r>
      <w:r>
        <w:rPr>
          <w:lang w:val="es-ES_tradnl"/>
        </w:rPr>
        <w:t>e</w:t>
      </w:r>
      <w:r>
        <w:rPr>
          <w:lang w:val="es-ES_tradnl"/>
        </w:rPr>
        <w:t>lleldín y éste a su vez a la deponente para que ver</w:t>
      </w:r>
      <w:r>
        <w:rPr>
          <w:lang w:val="es-ES_tradnl"/>
        </w:rPr>
        <w:t>i</w:t>
      </w:r>
      <w:r>
        <w:rPr>
          <w:lang w:val="es-ES_tradnl"/>
        </w:rPr>
        <w:t>fique su legitim</w:t>
      </w:r>
      <w:r>
        <w:rPr>
          <w:lang w:val="es-ES_tradnl"/>
        </w:rPr>
        <w:t>i</w:t>
      </w:r>
      <w:r>
        <w:rPr>
          <w:lang w:val="es-ES_tradnl"/>
        </w:rPr>
        <w:t>dad, lo que hizo a simple vista.</w:t>
      </w:r>
    </w:p>
    <w:p w:rsidR="00224567" w:rsidRDefault="00224567">
      <w:pPr>
        <w:widowControl w:val="0"/>
        <w:rPr>
          <w:lang w:val="es-ES_tradnl"/>
        </w:rPr>
      </w:pPr>
      <w:r>
        <w:rPr>
          <w:lang w:val="es-ES_tradnl"/>
        </w:rPr>
        <w:t>Indicó que Carlos Telleldín le comentó que el individuo tenía más dinero dentro del maletín.</w:t>
      </w:r>
    </w:p>
    <w:p w:rsidR="00224567" w:rsidRDefault="00224567">
      <w:pPr>
        <w:widowControl w:val="0"/>
        <w:rPr>
          <w:lang w:val="es-ES_tradnl"/>
        </w:rPr>
      </w:pPr>
      <w:r>
        <w:rPr>
          <w:lang w:val="es-ES_tradnl"/>
        </w:rPr>
        <w:tab/>
        <w:t>Refirió también que esta persona no se llevó el formulario 08 porque manifestó que la camioneta no era para él y que la documentación la iban a ir a bu</w:t>
      </w:r>
      <w:r>
        <w:rPr>
          <w:lang w:val="es-ES_tradnl"/>
        </w:rPr>
        <w:t>s</w:t>
      </w:r>
      <w:r>
        <w:rPr>
          <w:lang w:val="es-ES_tradnl"/>
        </w:rPr>
        <w:t>car de</w:t>
      </w:r>
      <w:r>
        <w:rPr>
          <w:lang w:val="es-ES_tradnl"/>
        </w:rPr>
        <w:t>s</w:t>
      </w:r>
      <w:r>
        <w:rPr>
          <w:lang w:val="es-ES_tradnl"/>
        </w:rPr>
        <w:t>pués.</w:t>
      </w:r>
    </w:p>
    <w:p w:rsidR="00224567" w:rsidRDefault="00224567">
      <w:pPr>
        <w:widowControl w:val="0"/>
      </w:pPr>
      <w:r>
        <w:rPr>
          <w:lang w:val="es-ES_tradnl"/>
        </w:rPr>
        <w:tab/>
        <w:t>Asimismo señaló que durante la transacción estaban presentes en su casa</w:t>
      </w:r>
      <w:r>
        <w:t>, además de sus chicos, Pérez y Pérez Mejía, que éstos dos últimos se e</w:t>
      </w:r>
      <w:r>
        <w:t>n</w:t>
      </w:r>
      <w:r>
        <w:t>contraban viviendo allí para esa época –la semana del atent</w:t>
      </w:r>
      <w:r>
        <w:t>a</w:t>
      </w:r>
      <w:r>
        <w:t>do– y lo hicieron hasta el 25 de julio de ese año.</w:t>
      </w:r>
    </w:p>
    <w:p w:rsidR="00224567" w:rsidRDefault="00224567">
      <w:pPr>
        <w:pStyle w:val="Ttulo8"/>
        <w:spacing w:line="600" w:lineRule="auto"/>
        <w:rPr>
          <w:b w:val="0"/>
          <w:bCs w:val="0"/>
        </w:rPr>
      </w:pPr>
      <w:bookmarkStart w:id="107" w:name="_Toc16326844"/>
      <w:bookmarkStart w:id="108" w:name="_Toc50181214"/>
      <w:bookmarkStart w:id="109" w:name="_Toc79905020"/>
      <w:r>
        <w:tab/>
      </w:r>
      <w:bookmarkStart w:id="110" w:name="_Toc86731944"/>
      <w:r>
        <w:t xml:space="preserve">C.2.c.ii.B.2) </w:t>
      </w:r>
      <w:r>
        <w:rPr>
          <w:b w:val="0"/>
          <w:bCs w:val="0"/>
        </w:rPr>
        <w:t>Versión desde la remun</w:t>
      </w:r>
      <w:r>
        <w:rPr>
          <w:b w:val="0"/>
          <w:bCs w:val="0"/>
        </w:rPr>
        <w:t>e</w:t>
      </w:r>
      <w:r>
        <w:rPr>
          <w:b w:val="0"/>
          <w:bCs w:val="0"/>
        </w:rPr>
        <w:t>rada declaración de Telleldín de julio de 1996. E</w:t>
      </w:r>
      <w:r>
        <w:rPr>
          <w:b w:val="0"/>
          <w:bCs w:val="0"/>
        </w:rPr>
        <w:t>n</w:t>
      </w:r>
      <w:r>
        <w:rPr>
          <w:b w:val="0"/>
          <w:bCs w:val="0"/>
        </w:rPr>
        <w:t xml:space="preserve">trega de </w:t>
      </w:r>
      <w:smartTag w:uri="urn:schemas-microsoft-com:office:smarttags" w:element="PersonName">
        <w:smartTagPr>
          <w:attr w:name="ProductID" w:val="la Trafic"/>
        </w:smartTagPr>
        <w:r>
          <w:rPr>
            <w:b w:val="0"/>
            <w:bCs w:val="0"/>
          </w:rPr>
          <w:t>la Trafic</w:t>
        </w:r>
      </w:smartTag>
      <w:r>
        <w:rPr>
          <w:b w:val="0"/>
          <w:bCs w:val="0"/>
        </w:rPr>
        <w:t xml:space="preserve"> por extorsión</w:t>
      </w:r>
      <w:bookmarkEnd w:id="107"/>
      <w:bookmarkEnd w:id="108"/>
      <w:r>
        <w:rPr>
          <w:b w:val="0"/>
          <w:bCs w:val="0"/>
        </w:rPr>
        <w:t>.</w:t>
      </w:r>
      <w:bookmarkEnd w:id="109"/>
      <w:bookmarkEnd w:id="110"/>
    </w:p>
    <w:p w:rsidR="00224567" w:rsidRDefault="00224567">
      <w:pPr>
        <w:widowControl w:val="0"/>
        <w:rPr>
          <w:lang w:val="es-ES_tradnl"/>
        </w:rPr>
      </w:pPr>
      <w:r>
        <w:rPr>
          <w:lang w:val="es-ES_tradnl"/>
        </w:rPr>
        <w:tab/>
        <w:t>Como se indicara, fue recién en la r</w:t>
      </w:r>
      <w:r>
        <w:rPr>
          <w:lang w:val="es-ES_tradnl"/>
        </w:rPr>
        <w:t>e</w:t>
      </w:r>
      <w:r>
        <w:rPr>
          <w:lang w:val="es-ES_tradnl"/>
        </w:rPr>
        <w:t xml:space="preserve">munerada declaración del 5 de julio de 1996 cuando </w:t>
      </w:r>
      <w:r>
        <w:rPr>
          <w:b/>
          <w:bCs/>
          <w:lang w:val="es-ES_tradnl"/>
        </w:rPr>
        <w:t>Telle</w:t>
      </w:r>
      <w:r>
        <w:rPr>
          <w:b/>
          <w:bCs/>
          <w:lang w:val="es-ES_tradnl"/>
        </w:rPr>
        <w:t>l</w:t>
      </w:r>
      <w:r>
        <w:rPr>
          <w:b/>
          <w:bCs/>
          <w:lang w:val="es-ES_tradnl"/>
        </w:rPr>
        <w:t>dín</w:t>
      </w:r>
      <w:r>
        <w:rPr>
          <w:lang w:val="es-ES_tradnl"/>
        </w:rPr>
        <w:t xml:space="preserve"> involucró a personal de la policía bonaerense en la rece</w:t>
      </w:r>
      <w:r>
        <w:rPr>
          <w:lang w:val="es-ES_tradnl"/>
        </w:rPr>
        <w:t>p</w:t>
      </w:r>
      <w:r>
        <w:rPr>
          <w:lang w:val="es-ES_tradnl"/>
        </w:rPr>
        <w:t xml:space="preserve">ción de </w:t>
      </w:r>
      <w:smartTag w:uri="urn:schemas-microsoft-com:office:smarttags" w:element="PersonName">
        <w:smartTagPr>
          <w:attr w:name="ProductID" w:val="la Trafic."/>
        </w:smartTagPr>
        <w:r>
          <w:rPr>
            <w:lang w:val="es-ES_tradnl"/>
          </w:rPr>
          <w:t>la Trafic.</w:t>
        </w:r>
      </w:smartTag>
    </w:p>
    <w:p w:rsidR="00224567" w:rsidRDefault="00224567">
      <w:pPr>
        <w:widowControl w:val="0"/>
        <w:rPr>
          <w:lang w:val="es-ES_tradnl"/>
        </w:rPr>
      </w:pPr>
      <w:r>
        <w:rPr>
          <w:lang w:val="es-ES_tradnl"/>
        </w:rPr>
        <w:tab/>
        <w:t>Así, dijo que se presentó en su dom</w:t>
      </w:r>
      <w:r>
        <w:rPr>
          <w:lang w:val="es-ES_tradnl"/>
        </w:rPr>
        <w:t>i</w:t>
      </w:r>
      <w:r>
        <w:rPr>
          <w:lang w:val="es-ES_tradnl"/>
        </w:rPr>
        <w:t>cilio una persona i</w:t>
      </w:r>
      <w:r>
        <w:rPr>
          <w:lang w:val="es-ES_tradnl"/>
        </w:rPr>
        <w:t>n</w:t>
      </w:r>
      <w:r>
        <w:rPr>
          <w:lang w:val="es-ES_tradnl"/>
        </w:rPr>
        <w:t xml:space="preserve">teresada en </w:t>
      </w:r>
      <w:smartTag w:uri="urn:schemas-microsoft-com:office:smarttags" w:element="PersonName">
        <w:smartTagPr>
          <w:attr w:name="ProductID" w:val="la Trafic"/>
        </w:smartTagPr>
        <w:r>
          <w:rPr>
            <w:lang w:val="es-ES_tradnl"/>
          </w:rPr>
          <w:t>la Trafic</w:t>
        </w:r>
      </w:smartTag>
      <w:r>
        <w:rPr>
          <w:lang w:val="es-ES_tradnl"/>
        </w:rPr>
        <w:t xml:space="preserve"> publicada. Salió a la calle y este individuo le enseñó una crede</w:t>
      </w:r>
      <w:r>
        <w:rPr>
          <w:lang w:val="es-ES_tradnl"/>
        </w:rPr>
        <w:t>n</w:t>
      </w:r>
      <w:r>
        <w:rPr>
          <w:lang w:val="es-ES_tradnl"/>
        </w:rPr>
        <w:t>cial verde de policía y le dijo que había gente que lo quería ver. Ascendieron a la camioneta que fue conducida por este s</w:t>
      </w:r>
      <w:r>
        <w:rPr>
          <w:lang w:val="es-ES_tradnl"/>
        </w:rPr>
        <w:t>u</w:t>
      </w:r>
      <w:r>
        <w:rPr>
          <w:lang w:val="es-ES_tradnl"/>
        </w:rPr>
        <w:t>jeto hasta la vuelta de la casa y est</w:t>
      </w:r>
      <w:r>
        <w:rPr>
          <w:lang w:val="es-ES_tradnl"/>
        </w:rPr>
        <w:t>a</w:t>
      </w:r>
      <w:r>
        <w:rPr>
          <w:lang w:val="es-ES_tradnl"/>
        </w:rPr>
        <w:t>cionada detrás de un Fiat Duna blanco.</w:t>
      </w:r>
    </w:p>
    <w:p w:rsidR="00224567" w:rsidRDefault="00224567">
      <w:pPr>
        <w:widowControl w:val="0"/>
        <w:rPr>
          <w:lang w:val="es-ES_tradnl"/>
        </w:rPr>
      </w:pPr>
      <w:r>
        <w:rPr>
          <w:lang w:val="es-ES_tradnl"/>
        </w:rPr>
        <w:tab/>
        <w:t>Allí, un individuo que se identificó como el oficial “Pino” de la brigada le manifestó que t</w:t>
      </w:r>
      <w:r>
        <w:rPr>
          <w:lang w:val="es-ES_tradnl"/>
        </w:rPr>
        <w:t>e</w:t>
      </w:r>
      <w:r>
        <w:rPr>
          <w:lang w:val="es-ES_tradnl"/>
        </w:rPr>
        <w:t>nían la manzana rodeada, que sabían como trabajaba y que tenía que pagar lo que debía, por lo que le exigió la e</w:t>
      </w:r>
      <w:r>
        <w:rPr>
          <w:lang w:val="es-ES_tradnl"/>
        </w:rPr>
        <w:t>n</w:t>
      </w:r>
      <w:r>
        <w:rPr>
          <w:lang w:val="es-ES_tradnl"/>
        </w:rPr>
        <w:t xml:space="preserve">trega de </w:t>
      </w:r>
      <w:smartTag w:uri="urn:schemas-microsoft-com:office:smarttags" w:element="PersonName">
        <w:smartTagPr>
          <w:attr w:name="ProductID" w:val="la Trafic"/>
        </w:smartTagPr>
        <w:r>
          <w:rPr>
            <w:lang w:val="es-ES_tradnl"/>
          </w:rPr>
          <w:t>la Trafic</w:t>
        </w:r>
      </w:smartTag>
      <w:r>
        <w:rPr>
          <w:lang w:val="es-ES_tradnl"/>
        </w:rPr>
        <w:t xml:space="preserve"> y un R</w:t>
      </w:r>
      <w:r>
        <w:rPr>
          <w:lang w:val="es-ES_tradnl"/>
        </w:rPr>
        <w:t>e</w:t>
      </w:r>
      <w:r>
        <w:rPr>
          <w:lang w:val="es-ES_tradnl"/>
        </w:rPr>
        <w:t>nault 19.</w:t>
      </w:r>
    </w:p>
    <w:p w:rsidR="00224567" w:rsidRDefault="00224567">
      <w:pPr>
        <w:widowControl w:val="0"/>
        <w:rPr>
          <w:lang w:val="es-ES_tradnl"/>
        </w:rPr>
      </w:pPr>
      <w:r>
        <w:rPr>
          <w:lang w:val="es-ES_tradnl"/>
        </w:rPr>
        <w:tab/>
        <w:t>Precisó que en el Fiat Duna se enco</w:t>
      </w:r>
      <w:r>
        <w:rPr>
          <w:lang w:val="es-ES_tradnl"/>
        </w:rPr>
        <w:t>n</w:t>
      </w:r>
      <w:r>
        <w:rPr>
          <w:lang w:val="es-ES_tradnl"/>
        </w:rPr>
        <w:t>traba el oficial que había conocido en su detención en L</w:t>
      </w:r>
      <w:r>
        <w:rPr>
          <w:lang w:val="es-ES_tradnl"/>
        </w:rPr>
        <w:t>a</w:t>
      </w:r>
      <w:r>
        <w:rPr>
          <w:lang w:val="es-ES_tradnl"/>
        </w:rPr>
        <w:t>nús, quien no desce</w:t>
      </w:r>
      <w:r>
        <w:rPr>
          <w:lang w:val="es-ES_tradnl"/>
        </w:rPr>
        <w:t>n</w:t>
      </w:r>
      <w:r>
        <w:rPr>
          <w:lang w:val="es-ES_tradnl"/>
        </w:rPr>
        <w:t>dió del rodado.</w:t>
      </w:r>
    </w:p>
    <w:p w:rsidR="00224567" w:rsidRDefault="00224567">
      <w:pPr>
        <w:widowControl w:val="0"/>
        <w:rPr>
          <w:lang w:val="es-ES_tradnl"/>
        </w:rPr>
      </w:pPr>
      <w:r>
        <w:rPr>
          <w:lang w:val="es-ES_tradnl"/>
        </w:rPr>
        <w:tab/>
        <w:t>Expresó que del acuerdo de Lanús d</w:t>
      </w:r>
      <w:r>
        <w:rPr>
          <w:lang w:val="es-ES_tradnl"/>
        </w:rPr>
        <w:t>e</w:t>
      </w:r>
      <w:r>
        <w:rPr>
          <w:lang w:val="es-ES_tradnl"/>
        </w:rPr>
        <w:t>bía veinticinco mil pesos y negoció durante veinte minutos p</w:t>
      </w:r>
      <w:r>
        <w:rPr>
          <w:lang w:val="es-ES_tradnl"/>
        </w:rPr>
        <w:t>a</w:t>
      </w:r>
      <w:r>
        <w:rPr>
          <w:lang w:val="es-ES_tradnl"/>
        </w:rPr>
        <w:t>ra finalmente convenir la entrega solo de la camioneta Trafic –valuada en diez mil pesos– y la suma restante en un plazo de cuatro o cinco días.</w:t>
      </w:r>
    </w:p>
    <w:p w:rsidR="00224567" w:rsidRDefault="00224567">
      <w:pPr>
        <w:widowControl w:val="0"/>
        <w:rPr>
          <w:lang w:val="es-ES_tradnl"/>
        </w:rPr>
      </w:pPr>
      <w:r>
        <w:rPr>
          <w:lang w:val="es-ES_tradnl"/>
        </w:rPr>
        <w:tab/>
        <w:t>Luego de regresar a su domicilio con el sujeto que había tocado el timbre, confeccionó el bol</w:t>
      </w:r>
      <w:r>
        <w:rPr>
          <w:lang w:val="es-ES_tradnl"/>
        </w:rPr>
        <w:t>e</w:t>
      </w:r>
      <w:r>
        <w:rPr>
          <w:lang w:val="es-ES_tradnl"/>
        </w:rPr>
        <w:t>to ya que no tenía el formulario 08. El individuo exhibió, a tal fin, un documento a nombre de Ramón Ma</w:t>
      </w:r>
      <w:r>
        <w:rPr>
          <w:lang w:val="es-ES_tradnl"/>
        </w:rPr>
        <w:t>r</w:t>
      </w:r>
      <w:r>
        <w:rPr>
          <w:lang w:val="es-ES_tradnl"/>
        </w:rPr>
        <w:t>tínez. Indicó que el número podía tratarse de siete o diecisiete mill</w:t>
      </w:r>
      <w:r>
        <w:rPr>
          <w:lang w:val="es-ES_tradnl"/>
        </w:rPr>
        <w:t>o</w:t>
      </w:r>
      <w:r>
        <w:rPr>
          <w:lang w:val="es-ES_tradnl"/>
        </w:rPr>
        <w:t>nes.</w:t>
      </w:r>
    </w:p>
    <w:p w:rsidR="00224567" w:rsidRDefault="00224567">
      <w:pPr>
        <w:widowControl w:val="0"/>
        <w:rPr>
          <w:lang w:val="es-ES_tradnl"/>
        </w:rPr>
      </w:pPr>
      <w:r>
        <w:rPr>
          <w:lang w:val="es-ES_tradnl"/>
        </w:rPr>
        <w:tab/>
        <w:t>Cuando Ana estaba presente, el compr</w:t>
      </w:r>
      <w:r>
        <w:rPr>
          <w:lang w:val="es-ES_tradnl"/>
        </w:rPr>
        <w:t>a</w:t>
      </w:r>
      <w:r>
        <w:rPr>
          <w:lang w:val="es-ES_tradnl"/>
        </w:rPr>
        <w:t>dor se acomodaba la gorra para que no lo reconoci</w:t>
      </w:r>
      <w:r>
        <w:rPr>
          <w:lang w:val="es-ES_tradnl"/>
        </w:rPr>
        <w:t>e</w:t>
      </w:r>
      <w:r>
        <w:rPr>
          <w:lang w:val="es-ES_tradnl"/>
        </w:rPr>
        <w:t>ra.</w:t>
      </w:r>
    </w:p>
    <w:p w:rsidR="00224567" w:rsidRDefault="00224567">
      <w:pPr>
        <w:widowControl w:val="0"/>
        <w:rPr>
          <w:lang w:val="es-ES_tradnl"/>
        </w:rPr>
      </w:pPr>
      <w:r>
        <w:rPr>
          <w:lang w:val="es-ES_tradnl"/>
        </w:rPr>
        <w:tab/>
        <w:t>Expresó que, mientras discutía fuera de su domicilio con Ramón Martínez antes de ir a dar la vuelta, se presentó Guillermo Cotoras, a quien le i</w:t>
      </w:r>
      <w:r>
        <w:rPr>
          <w:lang w:val="es-ES_tradnl"/>
        </w:rPr>
        <w:t>n</w:t>
      </w:r>
      <w:r>
        <w:rPr>
          <w:lang w:val="es-ES_tradnl"/>
        </w:rPr>
        <w:t>formó que había problemas, que tenía la casa rodeada y autos “truchos” adentro. En definitiva, le indicó que no entrara porque podrían all</w:t>
      </w:r>
      <w:r>
        <w:rPr>
          <w:lang w:val="es-ES_tradnl"/>
        </w:rPr>
        <w:t>a</w:t>
      </w:r>
      <w:r>
        <w:rPr>
          <w:lang w:val="es-ES_tradnl"/>
        </w:rPr>
        <w:t xml:space="preserve">nar su vivienda. </w:t>
      </w:r>
    </w:p>
    <w:p w:rsidR="00224567" w:rsidRDefault="00224567">
      <w:pPr>
        <w:widowControl w:val="0"/>
        <w:rPr>
          <w:lang w:val="es-ES_tradnl"/>
        </w:rPr>
      </w:pPr>
      <w:r>
        <w:rPr>
          <w:lang w:val="es-ES_tradnl"/>
        </w:rPr>
        <w:tab/>
        <w:t>Al regresar, de dar la vuelta, Telle</w:t>
      </w:r>
      <w:r>
        <w:rPr>
          <w:lang w:val="es-ES_tradnl"/>
        </w:rPr>
        <w:t>l</w:t>
      </w:r>
      <w:r>
        <w:rPr>
          <w:lang w:val="es-ES_tradnl"/>
        </w:rPr>
        <w:t>dín le pidió que llamara a Barreda para avisarle que tenía una brigada al mando de un oficial “Pino”. Precisó que le anotó en un papel el número de teléfono de Barreda, pero finalmente Cotoras fue a ver a Eduardo, quien, a su vez fue al domicilio del primero.</w:t>
      </w:r>
    </w:p>
    <w:p w:rsidR="00224567" w:rsidRDefault="00224567">
      <w:pPr>
        <w:widowControl w:val="0"/>
        <w:rPr>
          <w:lang w:val="es-ES_tradnl"/>
        </w:rPr>
      </w:pPr>
      <w:r>
        <w:rPr>
          <w:lang w:val="es-ES_tradnl"/>
        </w:rPr>
        <w:tab/>
        <w:t>Reiteró la presencia de la familia M</w:t>
      </w:r>
      <w:r>
        <w:rPr>
          <w:lang w:val="es-ES_tradnl"/>
        </w:rPr>
        <w:t>a</w:t>
      </w:r>
      <w:r>
        <w:rPr>
          <w:lang w:val="es-ES_tradnl"/>
        </w:rPr>
        <w:t>lacchia en el l</w:t>
      </w:r>
      <w:r>
        <w:rPr>
          <w:lang w:val="es-ES_tradnl"/>
        </w:rPr>
        <w:t>u</w:t>
      </w:r>
      <w:r>
        <w:rPr>
          <w:lang w:val="es-ES_tradnl"/>
        </w:rPr>
        <w:t>gar, y precisó que el “viejito” le ofreció correr su automóvil Falcon para que pudiera salir la c</w:t>
      </w:r>
      <w:r>
        <w:rPr>
          <w:lang w:val="es-ES_tradnl"/>
        </w:rPr>
        <w:t>a</w:t>
      </w:r>
      <w:r>
        <w:rPr>
          <w:lang w:val="es-ES_tradnl"/>
        </w:rPr>
        <w:t xml:space="preserve">mioneta, oferta que fue rehusada. </w:t>
      </w:r>
    </w:p>
    <w:p w:rsidR="00224567" w:rsidRDefault="00224567">
      <w:pPr>
        <w:widowControl w:val="0"/>
        <w:rPr>
          <w:lang w:val="es-ES_tradnl"/>
        </w:rPr>
      </w:pPr>
      <w:r>
        <w:rPr>
          <w:lang w:val="es-ES_tradnl"/>
        </w:rPr>
        <w:tab/>
        <w:t>Afirmó que Ana podía reconocer a las dos personas que t</w:t>
      </w:r>
      <w:r>
        <w:rPr>
          <w:lang w:val="es-ES_tradnl"/>
        </w:rPr>
        <w:t>o</w:t>
      </w:r>
      <w:r>
        <w:rPr>
          <w:lang w:val="es-ES_tradnl"/>
        </w:rPr>
        <w:t>caron el timbre.</w:t>
      </w:r>
    </w:p>
    <w:p w:rsidR="00224567" w:rsidRDefault="00224567">
      <w:pPr>
        <w:widowControl w:val="0"/>
        <w:rPr>
          <w:lang w:val="es-ES_tradnl"/>
        </w:rPr>
      </w:pPr>
      <w:r>
        <w:rPr>
          <w:lang w:val="es-ES_tradnl"/>
        </w:rPr>
        <w:tab/>
        <w:t>Telleldín explicó que la camioneta Trafic y el automóvil Falcon fueron los dos únicos vehíc</w:t>
      </w:r>
      <w:r>
        <w:rPr>
          <w:lang w:val="es-ES_tradnl"/>
        </w:rPr>
        <w:t>u</w:t>
      </w:r>
      <w:r>
        <w:rPr>
          <w:lang w:val="es-ES_tradnl"/>
        </w:rPr>
        <w:t>los que entregó sin c</w:t>
      </w:r>
      <w:r>
        <w:rPr>
          <w:lang w:val="es-ES_tradnl"/>
        </w:rPr>
        <w:t>é</w:t>
      </w:r>
      <w:r>
        <w:rPr>
          <w:lang w:val="es-ES_tradnl"/>
        </w:rPr>
        <w:t>dula verde, en el primer caso porque se había quemado y en el segundo porque quedó en poder de la madre de Lopreiato. En este punto, concluyó que un p</w:t>
      </w:r>
      <w:r>
        <w:rPr>
          <w:lang w:val="es-ES_tradnl"/>
        </w:rPr>
        <w:t>o</w:t>
      </w:r>
      <w:r>
        <w:rPr>
          <w:lang w:val="es-ES_tradnl"/>
        </w:rPr>
        <w:t>licía podría circular en un rodado sin este documento, ya que de serle requerida exhibiría su cr</w:t>
      </w:r>
      <w:r>
        <w:rPr>
          <w:lang w:val="es-ES_tradnl"/>
        </w:rPr>
        <w:t>e</w:t>
      </w:r>
      <w:r>
        <w:rPr>
          <w:lang w:val="es-ES_tradnl"/>
        </w:rPr>
        <w:t>dencial.</w:t>
      </w:r>
    </w:p>
    <w:p w:rsidR="00224567" w:rsidRDefault="00224567">
      <w:pPr>
        <w:widowControl w:val="0"/>
        <w:rPr>
          <w:lang w:val="es-ES_tradnl"/>
        </w:rPr>
      </w:pPr>
      <w:r>
        <w:rPr>
          <w:lang w:val="es-ES_tradnl"/>
        </w:rPr>
        <w:tab/>
        <w:t>Agregó que no le abonaron suma alguna a cambio de la e</w:t>
      </w:r>
      <w:r>
        <w:rPr>
          <w:lang w:val="es-ES_tradnl"/>
        </w:rPr>
        <w:t>n</w:t>
      </w:r>
      <w:r>
        <w:rPr>
          <w:lang w:val="es-ES_tradnl"/>
        </w:rPr>
        <w:t>trega de la camioneta y que se refirió a “venta” po</w:t>
      </w:r>
      <w:r>
        <w:rPr>
          <w:lang w:val="es-ES_tradnl"/>
        </w:rPr>
        <w:t>r</w:t>
      </w:r>
      <w:r>
        <w:rPr>
          <w:lang w:val="es-ES_tradnl"/>
        </w:rPr>
        <w:t>que era el precio de su libertad.</w:t>
      </w:r>
    </w:p>
    <w:p w:rsidR="00224567" w:rsidRDefault="00224567">
      <w:pPr>
        <w:widowControl w:val="0"/>
        <w:rPr>
          <w:lang w:val="es-ES_tradnl"/>
        </w:rPr>
      </w:pPr>
      <w:r>
        <w:rPr>
          <w:lang w:val="es-ES_tradnl"/>
        </w:rPr>
        <w:tab/>
        <w:t>Por otra parte, sostuvo que Marcelo Barg fue quien se presentó ante el declarante como Ramón Martínez. Prec</w:t>
      </w:r>
      <w:r>
        <w:rPr>
          <w:lang w:val="es-ES_tradnl"/>
        </w:rPr>
        <w:t>i</w:t>
      </w:r>
      <w:r>
        <w:rPr>
          <w:lang w:val="es-ES_tradnl"/>
        </w:rPr>
        <w:t>só que en el legajo de un vehículo Renault 21 estaba la foto de la persona a quien le vendiera la c</w:t>
      </w:r>
      <w:r>
        <w:rPr>
          <w:lang w:val="es-ES_tradnl"/>
        </w:rPr>
        <w:t>a</w:t>
      </w:r>
      <w:r>
        <w:rPr>
          <w:lang w:val="es-ES_tradnl"/>
        </w:rPr>
        <w:t>mioneta y se identif</w:t>
      </w:r>
      <w:r>
        <w:rPr>
          <w:lang w:val="es-ES_tradnl"/>
        </w:rPr>
        <w:t>i</w:t>
      </w:r>
      <w:r>
        <w:rPr>
          <w:lang w:val="es-ES_tradnl"/>
        </w:rPr>
        <w:t>cara como Martínez.</w:t>
      </w:r>
    </w:p>
    <w:p w:rsidR="00224567" w:rsidRDefault="00224567">
      <w:pPr>
        <w:widowControl w:val="0"/>
        <w:rPr>
          <w:lang w:val="es-ES_tradnl"/>
        </w:rPr>
      </w:pPr>
      <w:r>
        <w:rPr>
          <w:lang w:val="es-ES_tradnl"/>
        </w:rPr>
        <w:tab/>
        <w:t>Al exhibírsele el citado legajo, el encartado afirmó que la persona que figuraba en el doc</w:t>
      </w:r>
      <w:r>
        <w:rPr>
          <w:lang w:val="es-ES_tradnl"/>
        </w:rPr>
        <w:t>u</w:t>
      </w:r>
      <w:r>
        <w:rPr>
          <w:lang w:val="es-ES_tradnl"/>
        </w:rPr>
        <w:t>mento nacional de ide</w:t>
      </w:r>
      <w:r>
        <w:rPr>
          <w:lang w:val="es-ES_tradnl"/>
        </w:rPr>
        <w:t>n</w:t>
      </w:r>
      <w:r>
        <w:rPr>
          <w:lang w:val="es-ES_tradnl"/>
        </w:rPr>
        <w:t>tidad a nombre de Barg era la misma que se había llevado la camioneta Trafic y firmado el b</w:t>
      </w:r>
      <w:r>
        <w:rPr>
          <w:lang w:val="es-ES_tradnl"/>
        </w:rPr>
        <w:t>o</w:t>
      </w:r>
      <w:r>
        <w:rPr>
          <w:lang w:val="es-ES_tradnl"/>
        </w:rPr>
        <w:t>leto. Informó que Lopreiato también conoció a ese indiv</w:t>
      </w:r>
      <w:r>
        <w:rPr>
          <w:lang w:val="es-ES_tradnl"/>
        </w:rPr>
        <w:t>i</w:t>
      </w:r>
      <w:r>
        <w:rPr>
          <w:lang w:val="es-ES_tradnl"/>
        </w:rPr>
        <w:t>duo, a quien vio a fines del año 1993, en oportunidad en que tuvieron que firmar algo del Peugeot 405 y se enco</w:t>
      </w:r>
      <w:r>
        <w:rPr>
          <w:lang w:val="es-ES_tradnl"/>
        </w:rPr>
        <w:t>n</w:t>
      </w:r>
      <w:r>
        <w:rPr>
          <w:lang w:val="es-ES_tradnl"/>
        </w:rPr>
        <w:t>traron en el bar del lavad</w:t>
      </w:r>
      <w:r>
        <w:rPr>
          <w:lang w:val="es-ES_tradnl"/>
        </w:rPr>
        <w:t>e</w:t>
      </w:r>
      <w:r>
        <w:rPr>
          <w:lang w:val="es-ES_tradnl"/>
        </w:rPr>
        <w:t>ro. Expresó que en esa ocasión Barg usaba anteojos de vidrio cuadrados y que los vio ju</w:t>
      </w:r>
      <w:r>
        <w:rPr>
          <w:lang w:val="es-ES_tradnl"/>
        </w:rPr>
        <w:t>n</w:t>
      </w:r>
      <w:r>
        <w:rPr>
          <w:lang w:val="es-ES_tradnl"/>
        </w:rPr>
        <w:t xml:space="preserve">tos. </w:t>
      </w:r>
    </w:p>
    <w:p w:rsidR="00224567" w:rsidRDefault="00224567">
      <w:pPr>
        <w:widowControl w:val="0"/>
        <w:rPr>
          <w:lang w:val="es-ES_tradnl"/>
        </w:rPr>
      </w:pPr>
      <w:r>
        <w:rPr>
          <w:lang w:val="es-ES_tradnl"/>
        </w:rPr>
        <w:tab/>
        <w:t>En último término, aclaró que cuando mencionó al tal Barg en el fragmento de su declaración i</w:t>
      </w:r>
      <w:r>
        <w:rPr>
          <w:lang w:val="es-ES_tradnl"/>
        </w:rPr>
        <w:t>n</w:t>
      </w:r>
      <w:r>
        <w:rPr>
          <w:lang w:val="es-ES_tradnl"/>
        </w:rPr>
        <w:t>dagatoria glosado a fs. 7.035/7.036, lo hizo al solo efe</w:t>
      </w:r>
      <w:r>
        <w:rPr>
          <w:lang w:val="es-ES_tradnl"/>
        </w:rPr>
        <w:t>c</w:t>
      </w:r>
      <w:r>
        <w:rPr>
          <w:lang w:val="es-ES_tradnl"/>
        </w:rPr>
        <w:t>to de dar algún ind</w:t>
      </w:r>
      <w:r>
        <w:rPr>
          <w:lang w:val="es-ES_tradnl"/>
        </w:rPr>
        <w:t>i</w:t>
      </w:r>
      <w:r>
        <w:rPr>
          <w:lang w:val="es-ES_tradnl"/>
        </w:rPr>
        <w:t>cio sobre su existencia, pero que las diferentes circunstancias allí expuestas relativas al no</w:t>
      </w:r>
      <w:r>
        <w:rPr>
          <w:lang w:val="es-ES_tradnl"/>
        </w:rPr>
        <w:t>m</w:t>
      </w:r>
      <w:r>
        <w:rPr>
          <w:lang w:val="es-ES_tradnl"/>
        </w:rPr>
        <w:t>brado no se ajustaban a la re</w:t>
      </w:r>
      <w:r>
        <w:rPr>
          <w:lang w:val="es-ES_tradnl"/>
        </w:rPr>
        <w:t>a</w:t>
      </w:r>
      <w:r>
        <w:rPr>
          <w:lang w:val="es-ES_tradnl"/>
        </w:rPr>
        <w:t>lidad.</w:t>
      </w:r>
    </w:p>
    <w:p w:rsidR="00224567" w:rsidRDefault="00224567">
      <w:pPr>
        <w:widowControl w:val="0"/>
        <w:rPr>
          <w:lang w:val="es-ES_tradnl"/>
        </w:rPr>
      </w:pPr>
      <w:r>
        <w:rPr>
          <w:lang w:val="es-ES_tradnl"/>
        </w:rPr>
        <w:tab/>
        <w:t>El 20 de junio de 1997, y al ser co</w:t>
      </w:r>
      <w:r>
        <w:rPr>
          <w:lang w:val="es-ES_tradnl"/>
        </w:rPr>
        <w:t>n</w:t>
      </w:r>
      <w:r>
        <w:rPr>
          <w:lang w:val="es-ES_tradnl"/>
        </w:rPr>
        <w:t>vocado para ampliar su indagatoria a efectos de que pra</w:t>
      </w:r>
      <w:r>
        <w:rPr>
          <w:lang w:val="es-ES_tradnl"/>
        </w:rPr>
        <w:t>c</w:t>
      </w:r>
      <w:r>
        <w:rPr>
          <w:lang w:val="es-ES_tradnl"/>
        </w:rPr>
        <w:t>tique un reconocimiento fotográfico, Telleldín pr</w:t>
      </w:r>
      <w:r>
        <w:rPr>
          <w:lang w:val="es-ES_tradnl"/>
        </w:rPr>
        <w:t>e</w:t>
      </w:r>
      <w:r>
        <w:rPr>
          <w:lang w:val="es-ES_tradnl"/>
        </w:rPr>
        <w:t>cisó que cuando indicara que Barg era la persona que se llevó la camioneta, no lo aseguró en un cien por ciento. En tal sentido, expresó que, como en esa oportunidad usaba ant</w:t>
      </w:r>
      <w:r>
        <w:rPr>
          <w:lang w:val="es-ES_tradnl"/>
        </w:rPr>
        <w:t>e</w:t>
      </w:r>
      <w:r>
        <w:rPr>
          <w:lang w:val="es-ES_tradnl"/>
        </w:rPr>
        <w:t>ojos y gorra, la falta de tales elementos le impos</w:t>
      </w:r>
      <w:r>
        <w:rPr>
          <w:lang w:val="es-ES_tradnl"/>
        </w:rPr>
        <w:t>i</w:t>
      </w:r>
      <w:r>
        <w:rPr>
          <w:lang w:val="es-ES_tradnl"/>
        </w:rPr>
        <w:t>bilitó dar seguridad. S</w:t>
      </w:r>
      <w:r>
        <w:rPr>
          <w:lang w:val="es-ES_tradnl"/>
        </w:rPr>
        <w:t>e</w:t>
      </w:r>
      <w:r>
        <w:rPr>
          <w:lang w:val="es-ES_tradnl"/>
        </w:rPr>
        <w:t>ñaló a Barg toda vez que tanto éste como Ramón Martínez utilizaban documentos nacionales de ident</w:t>
      </w:r>
      <w:r>
        <w:rPr>
          <w:lang w:val="es-ES_tradnl"/>
        </w:rPr>
        <w:t>i</w:t>
      </w:r>
      <w:r>
        <w:rPr>
          <w:lang w:val="es-ES_tradnl"/>
        </w:rPr>
        <w:t>dad falsos y a</w:t>
      </w:r>
      <w:r>
        <w:rPr>
          <w:lang w:val="es-ES_tradnl"/>
        </w:rPr>
        <w:t>n</w:t>
      </w:r>
      <w:r>
        <w:rPr>
          <w:lang w:val="es-ES_tradnl"/>
        </w:rPr>
        <w:t>teojos cuadrados de vidrio para desfigurar el rostro, tenían facciones similares y medían aproximad</w:t>
      </w:r>
      <w:r>
        <w:rPr>
          <w:lang w:val="es-ES_tradnl"/>
        </w:rPr>
        <w:t>a</w:t>
      </w:r>
      <w:r>
        <w:rPr>
          <w:lang w:val="es-ES_tradnl"/>
        </w:rPr>
        <w:t xml:space="preserve">mente </w:t>
      </w:r>
      <w:smartTag w:uri="urn:schemas-microsoft-com:office:smarttags" w:element="metricconverter">
        <w:smartTagPr>
          <w:attr w:name="ProductID" w:val="1,70 metros"/>
        </w:smartTagPr>
        <w:r>
          <w:rPr>
            <w:lang w:val="es-ES_tradnl"/>
          </w:rPr>
          <w:t>1,70 m</w:t>
        </w:r>
        <w:r>
          <w:rPr>
            <w:lang w:val="es-ES_tradnl"/>
          </w:rPr>
          <w:t>e</w:t>
        </w:r>
        <w:r>
          <w:rPr>
            <w:lang w:val="es-ES_tradnl"/>
          </w:rPr>
          <w:t>tros</w:t>
        </w:r>
      </w:smartTag>
      <w:r>
        <w:rPr>
          <w:lang w:val="es-ES_tradnl"/>
        </w:rPr>
        <w:t>.</w:t>
      </w:r>
    </w:p>
    <w:p w:rsidR="00224567" w:rsidRDefault="00224567">
      <w:pPr>
        <w:widowControl w:val="0"/>
        <w:rPr>
          <w:lang w:val="es-ES_tradnl"/>
        </w:rPr>
      </w:pPr>
      <w:r>
        <w:rPr>
          <w:lang w:val="es-ES_tradnl"/>
        </w:rPr>
        <w:tab/>
        <w:t>Por otra parte agregó que en la aver</w:t>
      </w:r>
      <w:r>
        <w:rPr>
          <w:lang w:val="es-ES_tradnl"/>
        </w:rPr>
        <w:t>i</w:t>
      </w:r>
      <w:r>
        <w:rPr>
          <w:lang w:val="es-ES_tradnl"/>
        </w:rPr>
        <w:t>guación que llevó a cabo junto al Dr. Arenales en o</w:t>
      </w:r>
      <w:r>
        <w:rPr>
          <w:lang w:val="es-ES_tradnl"/>
        </w:rPr>
        <w:t>r</w:t>
      </w:r>
      <w:r>
        <w:rPr>
          <w:lang w:val="es-ES_tradnl"/>
        </w:rPr>
        <w:t>den al vehículo Renault 21, se determinó que Barg utilizaba un documento nacional de identidad falso a nombre de Mart</w:t>
      </w:r>
      <w:r>
        <w:rPr>
          <w:lang w:val="es-ES_tradnl"/>
        </w:rPr>
        <w:t>í</w:t>
      </w:r>
      <w:r>
        <w:rPr>
          <w:lang w:val="es-ES_tradnl"/>
        </w:rPr>
        <w:t>nez. As</w:t>
      </w:r>
      <w:r>
        <w:rPr>
          <w:lang w:val="es-ES_tradnl"/>
        </w:rPr>
        <w:t>i</w:t>
      </w:r>
      <w:r>
        <w:rPr>
          <w:lang w:val="es-ES_tradnl"/>
        </w:rPr>
        <w:t>mismo, refirió que al comprar el automóvil Renault 21 entregó un vehículo Escort con chapa patente de Santa Fe y que Barg hizo que se lo llevaran a una agencia de un comisario amigo en la zona sur de la provincia, en Avell</w:t>
      </w:r>
      <w:r>
        <w:rPr>
          <w:lang w:val="es-ES_tradnl"/>
        </w:rPr>
        <w:t>a</w:t>
      </w:r>
      <w:r>
        <w:rPr>
          <w:lang w:val="es-ES_tradnl"/>
        </w:rPr>
        <w:t>neda. Luego se enteró que Ribelli poseía una agencia en esa z</w:t>
      </w:r>
      <w:r>
        <w:rPr>
          <w:lang w:val="es-ES_tradnl"/>
        </w:rPr>
        <w:t>o</w:t>
      </w:r>
      <w:r>
        <w:rPr>
          <w:lang w:val="es-ES_tradnl"/>
        </w:rPr>
        <w:t>na.</w:t>
      </w:r>
    </w:p>
    <w:p w:rsidR="00224567" w:rsidRDefault="00224567">
      <w:pPr>
        <w:widowControl w:val="0"/>
        <w:rPr>
          <w:lang w:val="es-ES_tradnl"/>
        </w:rPr>
      </w:pPr>
      <w:r>
        <w:rPr>
          <w:lang w:val="es-ES_tradnl"/>
        </w:rPr>
        <w:tab/>
        <w:t>El imputado agregó que vio al sujeto que presentó el documento a nombre de Ramón Martínez, en otras dos oportunid</w:t>
      </w:r>
      <w:r>
        <w:rPr>
          <w:lang w:val="es-ES_tradnl"/>
        </w:rPr>
        <w:t>a</w:t>
      </w:r>
      <w:r>
        <w:rPr>
          <w:lang w:val="es-ES_tradnl"/>
        </w:rPr>
        <w:t>des con gente de la brigada de Lanús.</w:t>
      </w:r>
    </w:p>
    <w:p w:rsidR="00224567" w:rsidRDefault="00224567">
      <w:pPr>
        <w:widowControl w:val="0"/>
        <w:rPr>
          <w:lang w:val="es-ES_tradnl"/>
        </w:rPr>
      </w:pPr>
      <w:r>
        <w:rPr>
          <w:lang w:val="es-ES_tradnl"/>
        </w:rPr>
        <w:tab/>
        <w:t xml:space="preserve">Luego de la entrega de </w:t>
      </w:r>
      <w:smartTag w:uri="urn:schemas-microsoft-com:office:smarttags" w:element="PersonName">
        <w:smartTagPr>
          <w:attr w:name="ProductID" w:val="la Trafic"/>
        </w:smartTagPr>
        <w:r>
          <w:rPr>
            <w:lang w:val="es-ES_tradnl"/>
          </w:rPr>
          <w:t>la Trafic</w:t>
        </w:r>
      </w:smartTag>
      <w:r>
        <w:rPr>
          <w:lang w:val="es-ES_tradnl"/>
        </w:rPr>
        <w:t>, é</w:t>
      </w:r>
      <w:r>
        <w:rPr>
          <w:lang w:val="es-ES_tradnl"/>
        </w:rPr>
        <w:t>s</w:t>
      </w:r>
      <w:r>
        <w:rPr>
          <w:lang w:val="es-ES_tradnl"/>
        </w:rPr>
        <w:t>ta da la vuelta, sigue por República y pasa por Alvear para arriba. Atrás iba un Galaxy azul que también lo persiguió el 14 de julio. Explicó que ese auto interv</w:t>
      </w:r>
      <w:r>
        <w:rPr>
          <w:lang w:val="es-ES_tradnl"/>
        </w:rPr>
        <w:t>i</w:t>
      </w:r>
      <w:r>
        <w:rPr>
          <w:lang w:val="es-ES_tradnl"/>
        </w:rPr>
        <w:t xml:space="preserve">no entonces en tres lugares claves: escoltando </w:t>
      </w:r>
      <w:smartTag w:uri="urn:schemas-microsoft-com:office:smarttags" w:element="PersonName">
        <w:smartTagPr>
          <w:attr w:name="ProductID" w:val="la Trafic"/>
        </w:smartTagPr>
        <w:r>
          <w:rPr>
            <w:lang w:val="es-ES_tradnl"/>
          </w:rPr>
          <w:t>la Tr</w:t>
        </w:r>
        <w:r>
          <w:rPr>
            <w:lang w:val="es-ES_tradnl"/>
          </w:rPr>
          <w:t>a</w:t>
        </w:r>
        <w:r>
          <w:rPr>
            <w:lang w:val="es-ES_tradnl"/>
          </w:rPr>
          <w:t>fic</w:t>
        </w:r>
      </w:smartTag>
      <w:r>
        <w:rPr>
          <w:lang w:val="es-ES_tradnl"/>
        </w:rPr>
        <w:t xml:space="preserve"> el 10 de julio, persiguié</w:t>
      </w:r>
      <w:r>
        <w:rPr>
          <w:lang w:val="es-ES_tradnl"/>
        </w:rPr>
        <w:t>n</w:t>
      </w:r>
      <w:r>
        <w:rPr>
          <w:lang w:val="es-ES_tradnl"/>
        </w:rPr>
        <w:t>dolo el 14 y levantando a Pérez la noche de este último día.</w:t>
      </w:r>
    </w:p>
    <w:p w:rsidR="00224567" w:rsidRDefault="00224567">
      <w:pPr>
        <w:widowControl w:val="0"/>
        <w:rPr>
          <w:lang w:val="es-ES_tradnl"/>
        </w:rPr>
      </w:pPr>
      <w:r>
        <w:rPr>
          <w:lang w:val="es-ES_tradnl"/>
        </w:rPr>
        <w:tab/>
        <w:t>Aclaró que la versión de la venta de la camioneta Renault Trafic resultaba coincidente con la dada por Boragni, toda vez que ésta declaró toda la ve</w:t>
      </w:r>
      <w:r>
        <w:rPr>
          <w:lang w:val="es-ES_tradnl"/>
        </w:rPr>
        <w:t>r</w:t>
      </w:r>
      <w:r>
        <w:rPr>
          <w:lang w:val="es-ES_tradnl"/>
        </w:rPr>
        <w:t>dad, aunque sin involucrar a la policía, ya que de lo co</w:t>
      </w:r>
      <w:r>
        <w:rPr>
          <w:lang w:val="es-ES_tradnl"/>
        </w:rPr>
        <w:t>n</w:t>
      </w:r>
      <w:r>
        <w:rPr>
          <w:lang w:val="es-ES_tradnl"/>
        </w:rPr>
        <w:t>trario dejaba de ser confi</w:t>
      </w:r>
      <w:r>
        <w:rPr>
          <w:lang w:val="es-ES_tradnl"/>
        </w:rPr>
        <w:t>a</w:t>
      </w:r>
      <w:r>
        <w:rPr>
          <w:lang w:val="es-ES_tradnl"/>
        </w:rPr>
        <w:t>ble para otro arreglo.</w:t>
      </w:r>
    </w:p>
    <w:p w:rsidR="00224567" w:rsidRDefault="00224567">
      <w:pPr>
        <w:widowControl w:val="0"/>
      </w:pPr>
      <w:r>
        <w:rPr>
          <w:lang w:val="es-ES_tradnl"/>
        </w:rPr>
        <w:tab/>
        <w:t>Identificó mediante fotografías a los imputados Ibarra y Leal, diligencias que fueran posterio</w:t>
      </w:r>
      <w:r>
        <w:rPr>
          <w:lang w:val="es-ES_tradnl"/>
        </w:rPr>
        <w:t>r</w:t>
      </w:r>
      <w:r>
        <w:rPr>
          <w:lang w:val="es-ES_tradnl"/>
        </w:rPr>
        <w:t xml:space="preserve">mente anuladas por </w:t>
      </w:r>
      <w:smartTag w:uri="urn:schemas-microsoft-com:office:smarttags" w:element="PersonName">
        <w:smartTagPr>
          <w:attr w:name="ProductID" w:val="la C￡mara."/>
        </w:smartTagPr>
        <w:r>
          <w:rPr>
            <w:lang w:val="es-ES_tradnl"/>
          </w:rPr>
          <w:t>la C</w:t>
        </w:r>
        <w:r>
          <w:rPr>
            <w:lang w:val="es-ES_tradnl"/>
          </w:rPr>
          <w:t>á</w:t>
        </w:r>
        <w:r>
          <w:rPr>
            <w:lang w:val="es-ES_tradnl"/>
          </w:rPr>
          <w:t>mara</w:t>
        </w:r>
        <w:r>
          <w:t>.</w:t>
        </w:r>
      </w:smartTag>
    </w:p>
    <w:p w:rsidR="00224567" w:rsidRDefault="00224567">
      <w:pPr>
        <w:widowControl w:val="0"/>
        <w:rPr>
          <w:lang w:val="es-ES_tradnl"/>
        </w:rPr>
      </w:pPr>
      <w:r>
        <w:tab/>
      </w:r>
      <w:r>
        <w:rPr>
          <w:lang w:val="es-ES_tradnl"/>
        </w:rPr>
        <w:t>Efectuó un croquis (fs. 24.248) ind</w:t>
      </w:r>
      <w:r>
        <w:rPr>
          <w:lang w:val="es-ES_tradnl"/>
        </w:rPr>
        <w:t>i</w:t>
      </w:r>
      <w:r>
        <w:rPr>
          <w:lang w:val="es-ES_tradnl"/>
        </w:rPr>
        <w:t>vidualizado con la letra “C”, correspondiente al epis</w:t>
      </w:r>
      <w:r>
        <w:rPr>
          <w:lang w:val="es-ES_tradnl"/>
        </w:rPr>
        <w:t>o</w:t>
      </w:r>
      <w:r>
        <w:rPr>
          <w:lang w:val="es-ES_tradnl"/>
        </w:rPr>
        <w:t>dio del día 10 de julio de 1994, en el que ubicó su d</w:t>
      </w:r>
      <w:r>
        <w:rPr>
          <w:lang w:val="es-ES_tradnl"/>
        </w:rPr>
        <w:t>o</w:t>
      </w:r>
      <w:r>
        <w:rPr>
          <w:lang w:val="es-ES_tradnl"/>
        </w:rPr>
        <w:t>micilio particular con el número 107. En todas las calles, con flechas, indicó su sentido de circulación. Con la letra “T” señaló la camioneta Trafic frente a su casa y ta</w:t>
      </w:r>
      <w:r>
        <w:rPr>
          <w:lang w:val="es-ES_tradnl"/>
        </w:rPr>
        <w:t>m</w:t>
      </w:r>
      <w:r>
        <w:rPr>
          <w:lang w:val="es-ES_tradnl"/>
        </w:rPr>
        <w:t>bién marcó el recorrido que realizó hasta donde se hallaba el automóvil Duna color blanco, señalado con la palabra “D</w:t>
      </w:r>
      <w:r>
        <w:rPr>
          <w:lang w:val="es-ES_tradnl"/>
        </w:rPr>
        <w:t>u</w:t>
      </w:r>
      <w:r>
        <w:rPr>
          <w:lang w:val="es-ES_tradnl"/>
        </w:rPr>
        <w:t xml:space="preserve">na”. Precisó el lugar donde quedó estacionada </w:t>
      </w:r>
      <w:smartTag w:uri="urn:schemas-microsoft-com:office:smarttags" w:element="PersonName">
        <w:smartTagPr>
          <w:attr w:name="ProductID" w:val="la Trafic"/>
        </w:smartTagPr>
        <w:r>
          <w:rPr>
            <w:lang w:val="es-ES_tradnl"/>
          </w:rPr>
          <w:t>la Trafic</w:t>
        </w:r>
      </w:smartTag>
      <w:r>
        <w:rPr>
          <w:lang w:val="es-ES_tradnl"/>
        </w:rPr>
        <w:t xml:space="preserve"> identificándolo como “T </w:t>
      </w:r>
      <w:smartTag w:uri="urn:schemas-microsoft-com:office:smarttags" w:element="metricconverter">
        <w:smartTagPr>
          <w:attr w:name="ProductID" w:val="1”"/>
        </w:smartTagPr>
        <w:r>
          <w:rPr>
            <w:lang w:val="es-ES_tradnl"/>
          </w:rPr>
          <w:t>1”</w:t>
        </w:r>
      </w:smartTag>
      <w:r>
        <w:rPr>
          <w:lang w:val="es-ES_tradnl"/>
        </w:rPr>
        <w:t>; el correspo</w:t>
      </w:r>
      <w:r>
        <w:rPr>
          <w:lang w:val="es-ES_tradnl"/>
        </w:rPr>
        <w:t>n</w:t>
      </w:r>
      <w:r>
        <w:rPr>
          <w:lang w:val="es-ES_tradnl"/>
        </w:rPr>
        <w:t>diente al vehículo Falcon de sus vecinos Malacchia con la l</w:t>
      </w:r>
      <w:r>
        <w:rPr>
          <w:lang w:val="es-ES_tradnl"/>
        </w:rPr>
        <w:t>e</w:t>
      </w:r>
      <w:r>
        <w:rPr>
          <w:lang w:val="es-ES_tradnl"/>
        </w:rPr>
        <w:t>tra “F”. Ubicó el automotor de Cotoras con la letra “C”, explicando que lu</w:t>
      </w:r>
      <w:r>
        <w:rPr>
          <w:lang w:val="es-ES_tradnl"/>
        </w:rPr>
        <w:t>e</w:t>
      </w:r>
      <w:r>
        <w:rPr>
          <w:lang w:val="es-ES_tradnl"/>
        </w:rPr>
        <w:t>go de dar la vuelta a la manzana, la camioneta quedó est</w:t>
      </w:r>
      <w:r>
        <w:rPr>
          <w:lang w:val="es-ES_tradnl"/>
        </w:rPr>
        <w:t>a</w:t>
      </w:r>
      <w:r>
        <w:rPr>
          <w:lang w:val="es-ES_tradnl"/>
        </w:rPr>
        <w:t>cionada en el lugar s</w:t>
      </w:r>
      <w:r>
        <w:rPr>
          <w:lang w:val="es-ES_tradnl"/>
        </w:rPr>
        <w:t>e</w:t>
      </w:r>
      <w:r>
        <w:rPr>
          <w:lang w:val="es-ES_tradnl"/>
        </w:rPr>
        <w:t xml:space="preserve">ñalado con la letra “T”. </w:t>
      </w:r>
    </w:p>
    <w:p w:rsidR="00224567" w:rsidRDefault="00224567">
      <w:pPr>
        <w:widowControl w:val="0"/>
        <w:rPr>
          <w:lang w:val="es-ES_tradnl"/>
        </w:rPr>
      </w:pPr>
      <w:r>
        <w:rPr>
          <w:lang w:val="es-ES_tradnl"/>
        </w:rPr>
        <w:tab/>
        <w:t xml:space="preserve">También marcó con “T </w:t>
      </w:r>
      <w:smartTag w:uri="urn:schemas-microsoft-com:office:smarttags" w:element="metricconverter">
        <w:smartTagPr>
          <w:attr w:name="ProductID" w:val="2”"/>
        </w:smartTagPr>
        <w:r>
          <w:rPr>
            <w:lang w:val="es-ES_tradnl"/>
          </w:rPr>
          <w:t>2”</w:t>
        </w:r>
      </w:smartTag>
      <w:r>
        <w:rPr>
          <w:lang w:val="es-ES_tradnl"/>
        </w:rPr>
        <w:t xml:space="preserve"> el recorrido de </w:t>
      </w:r>
      <w:smartTag w:uri="urn:schemas-microsoft-com:office:smarttags" w:element="PersonName">
        <w:smartTagPr>
          <w:attr w:name="ProductID" w:val="la Trafic"/>
        </w:smartTagPr>
        <w:r>
          <w:rPr>
            <w:lang w:val="es-ES_tradnl"/>
          </w:rPr>
          <w:t>la Trafic</w:t>
        </w:r>
      </w:smartTag>
      <w:r>
        <w:rPr>
          <w:lang w:val="es-ES_tradnl"/>
        </w:rPr>
        <w:t xml:space="preserve"> escoltada por el vehículo Galaxy –que s</w:t>
      </w:r>
      <w:r>
        <w:rPr>
          <w:lang w:val="es-ES_tradnl"/>
        </w:rPr>
        <w:t>e</w:t>
      </w:r>
      <w:r>
        <w:rPr>
          <w:lang w:val="es-ES_tradnl"/>
        </w:rPr>
        <w:t>ñala con la letra “GA”– y el lugar de estacionamiento del rod</w:t>
      </w:r>
      <w:r>
        <w:rPr>
          <w:lang w:val="es-ES_tradnl"/>
        </w:rPr>
        <w:t>a</w:t>
      </w:r>
      <w:r>
        <w:rPr>
          <w:lang w:val="es-ES_tradnl"/>
        </w:rPr>
        <w:t>do Fiat 128 –identificado como “F 128”- del que descendió el sujeto canoso junto con la persona parecida al person</w:t>
      </w:r>
      <w:r>
        <w:rPr>
          <w:lang w:val="es-ES_tradnl"/>
        </w:rPr>
        <w:t>a</w:t>
      </w:r>
      <w:r>
        <w:rPr>
          <w:lang w:val="es-ES_tradnl"/>
        </w:rPr>
        <w:t>je de la serie “El Zorro”, quienes tocaron timbre y fueron ate</w:t>
      </w:r>
      <w:r>
        <w:rPr>
          <w:lang w:val="es-ES_tradnl"/>
        </w:rPr>
        <w:t>n</w:t>
      </w:r>
      <w:r>
        <w:rPr>
          <w:lang w:val="es-ES_tradnl"/>
        </w:rPr>
        <w:t>didos por Boragni mientras se hallaba en su domicilio con Ramón Mart</w:t>
      </w:r>
      <w:r>
        <w:rPr>
          <w:lang w:val="es-ES_tradnl"/>
        </w:rPr>
        <w:t>í</w:t>
      </w:r>
      <w:r>
        <w:rPr>
          <w:lang w:val="es-ES_tradnl"/>
        </w:rPr>
        <w:t>nez.</w:t>
      </w:r>
    </w:p>
    <w:p w:rsidR="00224567" w:rsidRDefault="00224567">
      <w:pPr>
        <w:widowControl w:val="0"/>
      </w:pPr>
      <w:r>
        <w:rPr>
          <w:lang w:val="es-ES_tradnl"/>
        </w:rPr>
        <w:tab/>
      </w:r>
      <w:r>
        <w:rPr>
          <w:lang w:val="es-ES_tradnl"/>
        </w:rPr>
        <w:tab/>
        <w:t>Cinco días después que Telleldín, en su remunerada declaración, diera su versión de la oper</w:t>
      </w:r>
      <w:r>
        <w:rPr>
          <w:lang w:val="es-ES_tradnl"/>
        </w:rPr>
        <w:t>a</w:t>
      </w:r>
      <w:r>
        <w:rPr>
          <w:lang w:val="es-ES_tradnl"/>
        </w:rPr>
        <w:t xml:space="preserve">ción como una extorsión, hizo lo propio Ana </w:t>
      </w:r>
      <w:r>
        <w:rPr>
          <w:b/>
          <w:bCs/>
          <w:lang w:val="es-ES_tradnl"/>
        </w:rPr>
        <w:t>B</w:t>
      </w:r>
      <w:r>
        <w:rPr>
          <w:b/>
          <w:bCs/>
          <w:lang w:val="es-ES_tradnl"/>
        </w:rPr>
        <w:t>o</w:t>
      </w:r>
      <w:r>
        <w:rPr>
          <w:b/>
          <w:bCs/>
          <w:lang w:val="es-ES_tradnl"/>
        </w:rPr>
        <w:t>ragni</w:t>
      </w:r>
      <w:r>
        <w:t>.</w:t>
      </w:r>
    </w:p>
    <w:p w:rsidR="00224567" w:rsidRDefault="00224567">
      <w:pPr>
        <w:widowControl w:val="0"/>
      </w:pPr>
      <w:r>
        <w:tab/>
        <w:t>Durante el juicio se leyeron párrafos de esa declaración testimonial, en la que describió la forma en que la camioneta fue entregada sin la contrapre</w:t>
      </w:r>
      <w:r>
        <w:t>s</w:t>
      </w:r>
      <w:r>
        <w:t>tación d</w:t>
      </w:r>
      <w:r>
        <w:t>i</w:t>
      </w:r>
      <w:r>
        <w:t>neraria a la que aludiera en la primera versión y como consecuencia de una supuesta e</w:t>
      </w:r>
      <w:r>
        <w:t>x</w:t>
      </w:r>
      <w:r>
        <w:t>torsión.</w:t>
      </w:r>
    </w:p>
    <w:p w:rsidR="00224567" w:rsidRDefault="00224567">
      <w:pPr>
        <w:widowControl w:val="0"/>
      </w:pPr>
      <w:r>
        <w:tab/>
        <w:t>En esa ocasión expresó, que estando en el living vio cuando Telleldín entró acompañado del s</w:t>
      </w:r>
      <w:r>
        <w:t>u</w:t>
      </w:r>
      <w:r>
        <w:t>puesto comprador, momento en el cual su marido se le ace</w:t>
      </w:r>
      <w:r>
        <w:t>r</w:t>
      </w:r>
      <w:r>
        <w:t>ca y le dice que se vaya a la cocina y se quede allí po</w:t>
      </w:r>
      <w:r>
        <w:t>r</w:t>
      </w:r>
      <w:r>
        <w:t>que otra vez estaba la “patota” (en referencia a pers</w:t>
      </w:r>
      <w:r>
        <w:t>o</w:t>
      </w:r>
      <w:r>
        <w:t xml:space="preserve">nal de una brigada policial ). </w:t>
      </w:r>
    </w:p>
    <w:p w:rsidR="00224567" w:rsidRDefault="00224567">
      <w:pPr>
        <w:widowControl w:val="0"/>
      </w:pPr>
      <w:r>
        <w:tab/>
        <w:t>Cuando la deponente refirió que qu</w:t>
      </w:r>
      <w:r>
        <w:t>e</w:t>
      </w:r>
      <w:r>
        <w:t>ría presenciar la operación, Telleldín le respondió enérgic</w:t>
      </w:r>
      <w:r>
        <w:t>a</w:t>
      </w:r>
      <w:r>
        <w:t>mente que se fuera a la cocina donde debía pe</w:t>
      </w:r>
      <w:r>
        <w:t>r</w:t>
      </w:r>
      <w:r>
        <w:t>manecer. Por eso no entendía en absoluto qué estaba ocurrie</w:t>
      </w:r>
      <w:r>
        <w:t>n</w:t>
      </w:r>
      <w:r>
        <w:t xml:space="preserve">do. </w:t>
      </w:r>
    </w:p>
    <w:p w:rsidR="00224567" w:rsidRDefault="00224567">
      <w:pPr>
        <w:widowControl w:val="0"/>
      </w:pPr>
      <w:r>
        <w:tab/>
        <w:t>También manifestó que, a propósito, bajó de la s</w:t>
      </w:r>
      <w:r>
        <w:t>i</w:t>
      </w:r>
      <w:r>
        <w:t>lla a su hijo menor y le abrió la puerta que da al living para tener una excusa y presentarse en dicho l</w:t>
      </w:r>
      <w:r>
        <w:t>u</w:t>
      </w:r>
      <w:r>
        <w:t xml:space="preserve">gar. </w:t>
      </w:r>
    </w:p>
    <w:p w:rsidR="00224567" w:rsidRDefault="00224567">
      <w:pPr>
        <w:widowControl w:val="0"/>
      </w:pPr>
      <w:r>
        <w:tab/>
        <w:t>En ese momento advirtió que la oper</w:t>
      </w:r>
      <w:r>
        <w:t>a</w:t>
      </w:r>
      <w:r>
        <w:t>ción estaba cerrada y que no se había hablado de dinero. Telleldín le solicitó que le alcance un formulario de b</w:t>
      </w:r>
      <w:r>
        <w:t>o</w:t>
      </w:r>
      <w:r>
        <w:t>leto para fin</w:t>
      </w:r>
      <w:r>
        <w:t>a</w:t>
      </w:r>
      <w:r>
        <w:t>lizar la venta. Como no entendía qué pasaba miró fijamente a su esposo quien le dio una patada por d</w:t>
      </w:r>
      <w:r>
        <w:t>e</w:t>
      </w:r>
      <w:r>
        <w:t>bajo de la mesa en señal de que no debía discuti</w:t>
      </w:r>
      <w:r>
        <w:t>r</w:t>
      </w:r>
      <w:r>
        <w:t>le.</w:t>
      </w:r>
    </w:p>
    <w:p w:rsidR="00224567" w:rsidRDefault="00224567">
      <w:pPr>
        <w:widowControl w:val="0"/>
      </w:pPr>
      <w:r>
        <w:tab/>
        <w:t>Luego de la operación se levantaron y salieron a la calle, vio como el sujeto subió a la cami</w:t>
      </w:r>
      <w:r>
        <w:t>o</w:t>
      </w:r>
      <w:r>
        <w:t>neta y a su marido que desde abajo conversaba unas pal</w:t>
      </w:r>
      <w:r>
        <w:t>a</w:t>
      </w:r>
      <w:r>
        <w:t>bras con él. Allí estaba cerca un vecino de ellos a quien le dicen “el tano” y su hijo, a quienes T</w:t>
      </w:r>
      <w:r>
        <w:t>e</w:t>
      </w:r>
      <w:r>
        <w:t>lleldín saludó.</w:t>
      </w:r>
    </w:p>
    <w:p w:rsidR="00224567" w:rsidRDefault="00224567">
      <w:pPr>
        <w:widowControl w:val="0"/>
      </w:pPr>
      <w:r>
        <w:tab/>
        <w:t>Después Carlos Telleldín volvió a la casa y le dijo a la decl</w:t>
      </w:r>
      <w:r>
        <w:t>a</w:t>
      </w:r>
      <w:r>
        <w:t xml:space="preserve">rante que lo acompañe arriba. </w:t>
      </w:r>
    </w:p>
    <w:p w:rsidR="00224567" w:rsidRDefault="00224567">
      <w:pPr>
        <w:widowControl w:val="0"/>
      </w:pPr>
      <w:r>
        <w:tab/>
        <w:t>Ya en su dormitorio comienzan a disc</w:t>
      </w:r>
      <w:r>
        <w:t>u</w:t>
      </w:r>
      <w:r>
        <w:t>tir porque ella preguntaba si la camioneta se había vend</w:t>
      </w:r>
      <w:r>
        <w:t>i</w:t>
      </w:r>
      <w:r>
        <w:t>do o entregado a la policía y Telleldín, furioso, le re</w:t>
      </w:r>
      <w:r>
        <w:t>s</w:t>
      </w:r>
      <w:r>
        <w:t>pondía que ella siempre quería saber todo, que se debió quedar en la cocina como se lo indicara.</w:t>
      </w:r>
    </w:p>
    <w:p w:rsidR="00224567" w:rsidRDefault="00224567">
      <w:pPr>
        <w:widowControl w:val="0"/>
      </w:pPr>
      <w:r>
        <w:tab/>
        <w:t>Agregó que su esposo le dijo que lo único que le iba a c</w:t>
      </w:r>
      <w:r>
        <w:t>o</w:t>
      </w:r>
      <w:r>
        <w:t>mentar era que la persona que vio era un testaferro de la policía. Esta circunstancia no debía comentársela a nadie y que debía simular ante todos los que estaban en la casa que la camioneta se había vendido a un pa</w:t>
      </w:r>
      <w:r>
        <w:t>r</w:t>
      </w:r>
      <w:r>
        <w:t>ticular.</w:t>
      </w:r>
    </w:p>
    <w:p w:rsidR="00224567" w:rsidRDefault="00224567">
      <w:pPr>
        <w:widowControl w:val="0"/>
      </w:pPr>
      <w:r>
        <w:tab/>
        <w:t>A tal fin, tenía que ir hasta la caja de seguridad que t</w:t>
      </w:r>
      <w:r>
        <w:t>e</w:t>
      </w:r>
      <w:r>
        <w:t>nían en la casa, “hacer movimientos” y efectuar los comentarios necesarios para que el resto de la gente así lo ente</w:t>
      </w:r>
      <w:r>
        <w:t>n</w:t>
      </w:r>
      <w:r>
        <w:t>diera.</w:t>
      </w:r>
    </w:p>
    <w:p w:rsidR="00224567" w:rsidRDefault="00224567">
      <w:pPr>
        <w:pStyle w:val="Ttulo8"/>
        <w:spacing w:line="600" w:lineRule="auto"/>
        <w:rPr>
          <w:b w:val="0"/>
          <w:bCs w:val="0"/>
        </w:rPr>
      </w:pPr>
      <w:r>
        <w:tab/>
      </w:r>
      <w:bookmarkStart w:id="111" w:name="_Toc50181215"/>
      <w:bookmarkStart w:id="112" w:name="_Toc79905021"/>
      <w:bookmarkStart w:id="113" w:name="_Toc86731945"/>
      <w:r>
        <w:t xml:space="preserve">C.2.c.ii.B.3) </w:t>
      </w:r>
      <w:r>
        <w:rPr>
          <w:b w:val="0"/>
          <w:bCs w:val="0"/>
        </w:rPr>
        <w:t>Un nuevo cambio de su relato. Versión del deb</w:t>
      </w:r>
      <w:r>
        <w:rPr>
          <w:b w:val="0"/>
          <w:bCs w:val="0"/>
        </w:rPr>
        <w:t>a</w:t>
      </w:r>
      <w:r>
        <w:rPr>
          <w:b w:val="0"/>
          <w:bCs w:val="0"/>
        </w:rPr>
        <w:t>te</w:t>
      </w:r>
      <w:bookmarkEnd w:id="112"/>
      <w:r>
        <w:rPr>
          <w:b w:val="0"/>
          <w:bCs w:val="0"/>
        </w:rPr>
        <w:t>.</w:t>
      </w:r>
      <w:bookmarkEnd w:id="113"/>
    </w:p>
    <w:p w:rsidR="00224567" w:rsidRDefault="00224567">
      <w:pPr>
        <w:widowControl w:val="0"/>
      </w:pPr>
      <w:r>
        <w:tab/>
        <w:t xml:space="preserve">Durante el juicio oral, </w:t>
      </w:r>
      <w:r>
        <w:rPr>
          <w:b/>
          <w:bCs/>
        </w:rPr>
        <w:t xml:space="preserve">Telleldín </w:t>
      </w:r>
      <w:r>
        <w:t>vo</w:t>
      </w:r>
      <w:r>
        <w:t>l</w:t>
      </w:r>
      <w:r>
        <w:t>vió a modificar su versión sobre lo ocurrido el 10 de j</w:t>
      </w:r>
      <w:r>
        <w:t>u</w:t>
      </w:r>
      <w:r>
        <w:t>lio de 1994. Ello, desde que no resultan absolutamente identificables las declaraciones prestadas durante el d</w:t>
      </w:r>
      <w:r>
        <w:t>e</w:t>
      </w:r>
      <w:r>
        <w:t>bate con las brindadas en sede instruct</w:t>
      </w:r>
      <w:r>
        <w:t>o</w:t>
      </w:r>
      <w:r>
        <w:t>ria.</w:t>
      </w:r>
    </w:p>
    <w:p w:rsidR="00224567" w:rsidRDefault="00224567">
      <w:pPr>
        <w:widowControl w:val="0"/>
      </w:pPr>
      <w:r>
        <w:tab/>
        <w:t>Aún, dentro de esta etapa se advie</w:t>
      </w:r>
      <w:r>
        <w:t>r</w:t>
      </w:r>
      <w:r>
        <w:t>ten dos versi</w:t>
      </w:r>
      <w:r>
        <w:t>o</w:t>
      </w:r>
      <w:r>
        <w:t>nes sobre lo ocurrido el día en cuestión.</w:t>
      </w:r>
    </w:p>
    <w:p w:rsidR="00224567" w:rsidRDefault="00224567">
      <w:pPr>
        <w:widowControl w:val="0"/>
      </w:pPr>
      <w:r>
        <w:tab/>
        <w:t>Inicialmente, luego de proclamar su inocencia re</w:t>
      </w:r>
      <w:r>
        <w:t>s</w:t>
      </w:r>
      <w:r>
        <w:t>pecto a la comisión del atentado, destacó que no declararía sobre las extorsiones de las que fue víct</w:t>
      </w:r>
      <w:r>
        <w:t>i</w:t>
      </w:r>
      <w:r>
        <w:t>ma, toda vez que r</w:t>
      </w:r>
      <w:r>
        <w:t>e</w:t>
      </w:r>
      <w:r>
        <w:t>sultaban ajenas a su defensa.</w:t>
      </w:r>
    </w:p>
    <w:p w:rsidR="00224567" w:rsidRDefault="00224567">
      <w:pPr>
        <w:widowControl w:val="0"/>
      </w:pPr>
      <w:r>
        <w:tab/>
        <w:t>No obstante, hizo algunas referencias al hecho que nos ocupa. En ocasiones, al compararlo con las otras extorsiones que sufriera y también en re</w:t>
      </w:r>
      <w:r>
        <w:t>s</w:t>
      </w:r>
      <w:r>
        <w:t>puesta a algunas pregu</w:t>
      </w:r>
      <w:r>
        <w:t>n</w:t>
      </w:r>
      <w:r>
        <w:t>tas puntuales.</w:t>
      </w:r>
    </w:p>
    <w:p w:rsidR="00224567" w:rsidRDefault="00224567">
      <w:pPr>
        <w:widowControl w:val="0"/>
      </w:pPr>
      <w:r>
        <w:tab/>
        <w:t>Señaló que le compró a Monjo en marzo de 1994 un lote de aproximadamente diez vehículos de la línea Renault, entre ellos, la c</w:t>
      </w:r>
      <w:r>
        <w:t>a</w:t>
      </w:r>
      <w:r>
        <w:t>mioneta investigada.</w:t>
      </w:r>
    </w:p>
    <w:p w:rsidR="00224567" w:rsidRDefault="00224567">
      <w:pPr>
        <w:widowControl w:val="0"/>
      </w:pPr>
      <w:r>
        <w:tab/>
        <w:t xml:space="preserve">Declaró que cuando Monjo le dejó </w:t>
      </w:r>
      <w:smartTag w:uri="urn:schemas-microsoft-com:office:smarttags" w:element="PersonName">
        <w:smartTagPr>
          <w:attr w:name="ProductID" w:val="la Trafic"/>
        </w:smartTagPr>
        <w:r>
          <w:t>la Trafic</w:t>
        </w:r>
      </w:smartTag>
      <w:r>
        <w:t xml:space="preserve"> de Messin en lo de Cotoras, le llevó el título y las patentes. Sin embargo, no le entregó los formularios 08, toda vez que adeud</w:t>
      </w:r>
      <w:r>
        <w:t>a</w:t>
      </w:r>
      <w:r>
        <w:t>ba dinero, ya que señó todo el lote y fue pagando por semanas. Según creía, retiró los 08 el lunes s</w:t>
      </w:r>
      <w:r>
        <w:t>i</w:t>
      </w:r>
      <w:r>
        <w:t>guiente o a la semana, junto con un Renault 9.</w:t>
      </w:r>
    </w:p>
    <w:p w:rsidR="00224567" w:rsidRDefault="00224567">
      <w:pPr>
        <w:widowControl w:val="0"/>
      </w:pPr>
      <w:r>
        <w:tab/>
        <w:t>De esa camioneta tenía el título de propiedad, pero no la cédula verde, ya que se había quem</w:t>
      </w:r>
      <w:r>
        <w:t>a</w:t>
      </w:r>
      <w:r>
        <w:t>do.</w:t>
      </w:r>
    </w:p>
    <w:p w:rsidR="00224567" w:rsidRDefault="00224567">
      <w:pPr>
        <w:widowControl w:val="0"/>
      </w:pPr>
      <w:r>
        <w:tab/>
        <w:t>Reveló que en varias ocasiones ofr</w:t>
      </w:r>
      <w:r>
        <w:t>e</w:t>
      </w:r>
      <w:r>
        <w:t>ció vehículos a la venta sin tener la cédula verde y, en cie</w:t>
      </w:r>
      <w:r>
        <w:t>r</w:t>
      </w:r>
      <w:r>
        <w:t>tos casos, como ser el Falcon que recibió por la venta del lavadero, un Fiat 125 y un Renault 18, el titular dejaba señado el rodado, le solicitaba que tram</w:t>
      </w:r>
      <w:r>
        <w:t>i</w:t>
      </w:r>
      <w:r>
        <w:t>tara el duplicado de la tarjeta y de</w:t>
      </w:r>
      <w:r>
        <w:t>s</w:t>
      </w:r>
      <w:r>
        <w:t xml:space="preserve">pués lo retiraba. </w:t>
      </w:r>
    </w:p>
    <w:p w:rsidR="00224567" w:rsidRDefault="00224567">
      <w:pPr>
        <w:widowControl w:val="0"/>
      </w:pPr>
      <w:r>
        <w:tab/>
        <w:t>La camioneta la retiró del taller de Nitzcaner con su mujer y la estacionaron en la vereda de enfrente del domicilio de República 107, no tocánd</w:t>
      </w:r>
      <w:r>
        <w:t>o</w:t>
      </w:r>
      <w:r>
        <w:t>la más. Como las Trafic no entraban en su casa, las dejaba en la calle y por eso algunos v</w:t>
      </w:r>
      <w:r>
        <w:t>e</w:t>
      </w:r>
      <w:r>
        <w:t>cinos la habían visto afuera.</w:t>
      </w:r>
    </w:p>
    <w:p w:rsidR="00224567" w:rsidRDefault="00224567">
      <w:pPr>
        <w:widowControl w:val="0"/>
      </w:pPr>
      <w:r>
        <w:tab/>
        <w:t>El sábado 9 concurrieron las personas de origen chino mencionadas en anteriores declaraci</w:t>
      </w:r>
      <w:r>
        <w:t>o</w:t>
      </w:r>
      <w:r>
        <w:t>nes.</w:t>
      </w:r>
    </w:p>
    <w:p w:rsidR="00224567" w:rsidRDefault="00224567">
      <w:pPr>
        <w:widowControl w:val="0"/>
      </w:pPr>
      <w:r>
        <w:tab/>
        <w:t>En tal sentido, precisó que en su pr</w:t>
      </w:r>
      <w:r>
        <w:t>i</w:t>
      </w:r>
      <w:r>
        <w:t>mera indagatoria mencionó unos individuos coreanos que concurrieron en un Mi</w:t>
      </w:r>
      <w:r>
        <w:t>t</w:t>
      </w:r>
      <w:r>
        <w:t>subishi Galant color negro repintado y con tapizado gris. Puntualizó que se trataba de tres s</w:t>
      </w:r>
      <w:r>
        <w:t>u</w:t>
      </w:r>
      <w:r>
        <w:t>jetos con camperas negras, que hablaban un idioma oriental y no le dirigían la palabra y que vi</w:t>
      </w:r>
      <w:r>
        <w:t>e</w:t>
      </w:r>
      <w:r>
        <w:t>ron la caja, pero no miraron la trompa, el m</w:t>
      </w:r>
      <w:r>
        <w:t>o</w:t>
      </w:r>
      <w:r>
        <w:t>tor o el interior de la cabina de la camioneta.</w:t>
      </w:r>
    </w:p>
    <w:p w:rsidR="00224567" w:rsidRDefault="00224567">
      <w:pPr>
        <w:widowControl w:val="0"/>
      </w:pPr>
      <w:r>
        <w:tab/>
        <w:t xml:space="preserve">Aclaró que Schonbrod también vio </w:t>
      </w:r>
      <w:smartTag w:uri="urn:schemas-microsoft-com:office:smarttags" w:element="PersonName">
        <w:smartTagPr>
          <w:attr w:name="ProductID" w:val="la Trafic"/>
        </w:smartTagPr>
        <w:r>
          <w:t>la Trafic</w:t>
        </w:r>
      </w:smartTag>
      <w:r>
        <w:t xml:space="preserve"> en la puerta y la describió con las ondulaciones en el techo, en coincidencia con lo declarado por Sarapura. So</w:t>
      </w:r>
      <w:r>
        <w:t>s</w:t>
      </w:r>
      <w:r>
        <w:t xml:space="preserve">tuvo que no le comentó a Schonbrod que le pertenecía </w:t>
      </w:r>
      <w:smartTag w:uri="urn:schemas-microsoft-com:office:smarttags" w:element="PersonName">
        <w:smartTagPr>
          <w:attr w:name="ProductID" w:val="la Trafic"/>
        </w:smartTagPr>
        <w:r>
          <w:t>la Tr</w:t>
        </w:r>
        <w:r>
          <w:t>a</w:t>
        </w:r>
        <w:r>
          <w:t>fic</w:t>
        </w:r>
      </w:smartTag>
      <w:r>
        <w:t xml:space="preserve"> porque no quería pasar por vendedor de autos.</w:t>
      </w:r>
    </w:p>
    <w:p w:rsidR="00224567" w:rsidRDefault="00224567">
      <w:pPr>
        <w:widowControl w:val="0"/>
      </w:pPr>
      <w:r>
        <w:tab/>
        <w:t>Con relación al domingo 10 de julio, aseveró que en su domicilio se encontraban Pérez Mejías, Hugo Pérez y otras personas que se abstuvo de mencionar. Negó que Claudio C</w:t>
      </w:r>
      <w:r>
        <w:t>o</w:t>
      </w:r>
      <w:r>
        <w:t>toras fuera una de ellas.</w:t>
      </w:r>
    </w:p>
    <w:p w:rsidR="00224567" w:rsidRDefault="00224567">
      <w:pPr>
        <w:widowControl w:val="0"/>
      </w:pPr>
      <w:r>
        <w:tab/>
        <w:t>Ratificó sus dichos en instrucción en punto a que la camioneta le fue sacada por la policía, aunque destacó que los reconocimientos fueron llevados a cabo de manera irr</w:t>
      </w:r>
      <w:r>
        <w:t>e</w:t>
      </w:r>
      <w:r>
        <w:t xml:space="preserve">gular. </w:t>
      </w:r>
    </w:p>
    <w:p w:rsidR="00224567" w:rsidRDefault="00224567">
      <w:pPr>
        <w:widowControl w:val="0"/>
      </w:pPr>
      <w:r>
        <w:tab/>
        <w:t>Con relación a los sujetos que desce</w:t>
      </w:r>
      <w:r>
        <w:t>n</w:t>
      </w:r>
      <w:r>
        <w:t>dieron del Fiat Duna, señaló que el de pelo blanco nunca fue habido y el identificado como “El Zorro” t</w:t>
      </w:r>
      <w:r>
        <w:t>e</w:t>
      </w:r>
      <w:r>
        <w:t>nía un gran parecido con Ibarra, aunque no podía asegurar que fuera éste. Mencionó que lo asoció por su par</w:t>
      </w:r>
      <w:r>
        <w:t>e</w:t>
      </w:r>
      <w:r>
        <w:t>cido físico con la persona presuntamente ciega que observó cuando tenía el lavadero, pero mantuvo grandes discusiones con Galeano y De Gamas porque no podía afirmar con total seguridad que se tratara del mismo suj</w:t>
      </w:r>
      <w:r>
        <w:t>e</w:t>
      </w:r>
      <w:r>
        <w:t>to.</w:t>
      </w:r>
    </w:p>
    <w:p w:rsidR="00224567" w:rsidRDefault="00224567">
      <w:pPr>
        <w:widowControl w:val="0"/>
      </w:pPr>
      <w:r>
        <w:tab/>
        <w:t>Pudo precisar que los observó desde una ventana cuadr</w:t>
      </w:r>
      <w:r>
        <w:t>a</w:t>
      </w:r>
      <w:r>
        <w:t>da que le permitía ver de lejos y no de cerca. Calculó que desde la mesa del living –donde se h</w:t>
      </w:r>
      <w:r>
        <w:t>a</w:t>
      </w:r>
      <w:r>
        <w:t>llaba sentado– hasta donde estaban las personas refer</w:t>
      </w:r>
      <w:r>
        <w:t>i</w:t>
      </w:r>
      <w:r>
        <w:t xml:space="preserve">das habría 15 ó </w:t>
      </w:r>
      <w:smartTag w:uri="urn:schemas-microsoft-com:office:smarttags" w:element="metricconverter">
        <w:smartTagPr>
          <w:attr w:name="ProductID" w:val="20 metros"/>
        </w:smartTagPr>
        <w:r>
          <w:t>20 metros</w:t>
        </w:r>
      </w:smartTag>
      <w:r>
        <w:t>. Reiteró que si bien no estaba t</w:t>
      </w:r>
      <w:r>
        <w:t>o</w:t>
      </w:r>
      <w:r>
        <w:t>talmente seguro de que fuera la persona, Galeano le exigía certeza en el reconocimiento. En definitiva, más adelante, admitió que sí lo vio de fre</w:t>
      </w:r>
      <w:r>
        <w:t>n</w:t>
      </w:r>
      <w:r>
        <w:t>te.</w:t>
      </w:r>
    </w:p>
    <w:p w:rsidR="00224567" w:rsidRDefault="00224567">
      <w:pPr>
        <w:widowControl w:val="0"/>
      </w:pPr>
      <w:r>
        <w:tab/>
        <w:t>Agregó que ese día vio en un autom</w:t>
      </w:r>
      <w:r>
        <w:t>ó</w:t>
      </w:r>
      <w:r>
        <w:t>vil a una persona de atrás y que de vez en cuando giraba la cabeza. Precisó que le pareció haber visto a ese sujeto antes, con el tema de abril, y que era el ind</w:t>
      </w:r>
      <w:r>
        <w:t>i</w:t>
      </w:r>
      <w:r>
        <w:t xml:space="preserve">viduo al que luego identificaron como “El Zorro” o “Diego de </w:t>
      </w:r>
      <w:smartTag w:uri="urn:schemas-microsoft-com:office:smarttags" w:element="PersonName">
        <w:smartTagPr>
          <w:attr w:name="ProductID" w:val="la Vega"/>
        </w:smartTagPr>
        <w:r>
          <w:t>la Vega</w:t>
        </w:r>
      </w:smartTag>
      <w:r>
        <w:t>” y le s</w:t>
      </w:r>
      <w:r>
        <w:t>o</w:t>
      </w:r>
      <w:r>
        <w:t>licitaron que reconociera.</w:t>
      </w:r>
    </w:p>
    <w:p w:rsidR="00224567" w:rsidRDefault="00224567">
      <w:pPr>
        <w:widowControl w:val="0"/>
      </w:pPr>
      <w:r>
        <w:tab/>
        <w:t>Aseguró que fue el 10 cuando vio por primera vez a Leal, pero también indicó que supo a tr</w:t>
      </w:r>
      <w:r>
        <w:t>a</w:t>
      </w:r>
      <w:r>
        <w:t>vés de Barreda que “Pino” fue quien estuvo a cargo de ese pr</w:t>
      </w:r>
      <w:r>
        <w:t>o</w:t>
      </w:r>
      <w:r>
        <w:t>cedimie</w:t>
      </w:r>
      <w:r>
        <w:t>n</w:t>
      </w:r>
      <w:r>
        <w:t>to.</w:t>
      </w:r>
    </w:p>
    <w:p w:rsidR="00224567" w:rsidRDefault="00224567">
      <w:pPr>
        <w:widowControl w:val="0"/>
      </w:pPr>
      <w:r>
        <w:tab/>
        <w:t>Afirmó que ese día vio a Ramón Mart</w:t>
      </w:r>
      <w:r>
        <w:t>í</w:t>
      </w:r>
      <w:r>
        <w:t>nez firmar el boleto de compraventa. Reconoció haber co</w:t>
      </w:r>
      <w:r>
        <w:t>n</w:t>
      </w:r>
      <w:r>
        <w:t>feccionado el documento obrante a fs. 308 y su firma i</w:t>
      </w:r>
      <w:r>
        <w:t>n</w:t>
      </w:r>
      <w:r>
        <w:t>serta al pie. Precisó que los rasgos de su rúbrica eran iguales a los del boleto de compraventa del cruc</w:t>
      </w:r>
      <w:r>
        <w:t>e</w:t>
      </w:r>
      <w:r>
        <w:t>ro y que ambas fueron estampadas en situaciones simil</w:t>
      </w:r>
      <w:r>
        <w:t>a</w:t>
      </w:r>
      <w:r>
        <w:t>res.</w:t>
      </w:r>
    </w:p>
    <w:p w:rsidR="00224567" w:rsidRDefault="00224567">
      <w:pPr>
        <w:widowControl w:val="0"/>
      </w:pPr>
      <w:r>
        <w:tab/>
        <w:t>Señaló que tuvo el utilitario hasta ese día, y desconocía qué pasó después. No pensó que la camioneta sería utilizada para cometer un atentado terr</w:t>
      </w:r>
      <w:r>
        <w:t>o</w:t>
      </w:r>
      <w:r>
        <w:t>rista.</w:t>
      </w:r>
    </w:p>
    <w:p w:rsidR="00224567" w:rsidRDefault="00224567">
      <w:pPr>
        <w:widowControl w:val="0"/>
      </w:pPr>
      <w:r>
        <w:tab/>
        <w:t>A su vez, admitió conocer a tres ind</w:t>
      </w:r>
      <w:r>
        <w:t>i</w:t>
      </w:r>
      <w:r>
        <w:t>viduos de apellido Ma</w:t>
      </w:r>
      <w:r>
        <w:t>r</w:t>
      </w:r>
      <w:r>
        <w:t>tínez, uno de los cuales se llamaba J</w:t>
      </w:r>
      <w:r>
        <w:t>o</w:t>
      </w:r>
      <w:r>
        <w:t>sé Juan Ramón Martínez Rodríguez que estuvo implicado en una causa vinculada con productos de electrónica años a</w:t>
      </w:r>
      <w:r>
        <w:t>n</w:t>
      </w:r>
      <w:r>
        <w:t>tes, habiendo sido su abogado Semorile. Aclaró que un h</w:t>
      </w:r>
      <w:r>
        <w:t>i</w:t>
      </w:r>
      <w:r>
        <w:t>jastro del nombrado, Fabio, residía en la calle San José, en tanto aquél lo hacía en Valentín Gómez y, al venderle productos, le solicitaba que en las boletas pusiera el d</w:t>
      </w:r>
      <w:r>
        <w:t>o</w:t>
      </w:r>
      <w:r>
        <w:t>micilio de la madre, en la última arteria. Precisó que desconocía que se llamaba Ramón, ya que todos le decían José.</w:t>
      </w:r>
    </w:p>
    <w:p w:rsidR="00224567" w:rsidRDefault="00224567">
      <w:pPr>
        <w:widowControl w:val="0"/>
      </w:pPr>
      <w:r>
        <w:tab/>
        <w:t>Concurrió a la calle San José -do-micilio aportado por Ramón Martínez en el boleto de co</w:t>
      </w:r>
      <w:r>
        <w:t>m</w:t>
      </w:r>
      <w:r>
        <w:t>praventa– a llevar los formularios 08 de la camioneta e</w:t>
      </w:r>
      <w:r>
        <w:t>n</w:t>
      </w:r>
      <w:r>
        <w:t>tregados por Mo</w:t>
      </w:r>
      <w:r>
        <w:t>n</w:t>
      </w:r>
      <w:r>
        <w:t>jo, pero no pudo precisar en qué fecha lo hizo, ni s</w:t>
      </w:r>
      <w:r>
        <w:t>i</w:t>
      </w:r>
      <w:r>
        <w:t>quiera si fue antes o después del 14 de julio. Sin embargo, más adelante aseveró que fueron después del incidente de esa fecha. Señaló que una noche le pidió a Hugo Pérez que lo acompañe a llevarlos y que el sereno m</w:t>
      </w:r>
      <w:r>
        <w:t>a</w:t>
      </w:r>
      <w:r>
        <w:t>nifestó que había una Trafic, pero desconocía a Ma</w:t>
      </w:r>
      <w:r>
        <w:t>r</w:t>
      </w:r>
      <w:r>
        <w:t>tínez.</w:t>
      </w:r>
    </w:p>
    <w:p w:rsidR="00224567" w:rsidRDefault="00224567">
      <w:pPr>
        <w:widowControl w:val="0"/>
      </w:pPr>
      <w:r>
        <w:tab/>
        <w:t>Agregó que, si bien no creía que en San José viviera Ramón Martínez, era posible que la cami</w:t>
      </w:r>
      <w:r>
        <w:t>o</w:t>
      </w:r>
      <w:r>
        <w:t>neta e</w:t>
      </w:r>
      <w:r>
        <w:t>s</w:t>
      </w:r>
      <w:r>
        <w:t>tuviera en manos de otro sujeto que hubiera puesto ese domicilio. En esa línea, indicó que podría haber pas</w:t>
      </w:r>
      <w:r>
        <w:t>a</w:t>
      </w:r>
      <w:r>
        <w:t>do lo mismo que con la moto, ya que en oc</w:t>
      </w:r>
      <w:r>
        <w:t>a</w:t>
      </w:r>
      <w:r>
        <w:t>siones recibían bienes que luego transferían a nombre de otras personas. En el caso concreto, estimó que podrían haber pasado la camioneta a nombre de Martínez y que éste viviera en San José, por lo que concurrió al lugar esperando encontrar a a</w:t>
      </w:r>
      <w:r>
        <w:t>l</w:t>
      </w:r>
      <w:r>
        <w:t>guien.</w:t>
      </w:r>
    </w:p>
    <w:p w:rsidR="00224567" w:rsidRDefault="00224567">
      <w:pPr>
        <w:widowControl w:val="0"/>
      </w:pPr>
      <w:r>
        <w:tab/>
        <w:t>A una pregunta concreta respondió que no recurrió a Barr</w:t>
      </w:r>
      <w:r>
        <w:t>e</w:t>
      </w:r>
      <w:r>
        <w:t xml:space="preserve">da o Bareiro para hacer llegar los </w:t>
      </w:r>
      <w:smartTag w:uri="urn:schemas-microsoft-com:office:smarttags" w:element="metricconverter">
        <w:smartTagPr>
          <w:attr w:name="ProductID" w:val="08 a"/>
        </w:smartTagPr>
        <w:r>
          <w:t>08 a</w:t>
        </w:r>
      </w:smartTag>
      <w:r>
        <w:t xml:space="preserve"> </w:t>
      </w:r>
      <w:smartTag w:uri="urn:schemas-microsoft-com:office:smarttags" w:element="PersonName">
        <w:smartTagPr>
          <w:attr w:name="ProductID" w:val="la Brigada"/>
        </w:smartTagPr>
        <w:r>
          <w:t>la Brigada</w:t>
        </w:r>
      </w:smartTag>
      <w:r>
        <w:t xml:space="preserve"> de V</w:t>
      </w:r>
      <w:r>
        <w:t>i</w:t>
      </w:r>
      <w:r>
        <w:t>cente López, toda vez que sabía que debía dinero, pero podía ser otra brigada la que fuera a cobra</w:t>
      </w:r>
      <w:r>
        <w:t>r</w:t>
      </w:r>
      <w:r>
        <w:t>lo. Indicó que después no hizo nada más al respecto y co</w:t>
      </w:r>
      <w:r>
        <w:t>n</w:t>
      </w:r>
      <w:r>
        <w:t>tinuó con sus activid</w:t>
      </w:r>
      <w:r>
        <w:t>a</w:t>
      </w:r>
      <w:r>
        <w:t>des.</w:t>
      </w:r>
    </w:p>
    <w:p w:rsidR="00224567" w:rsidRDefault="00224567">
      <w:pPr>
        <w:widowControl w:val="0"/>
      </w:pPr>
      <w:r>
        <w:tab/>
        <w:t>En definitiva, aseveró que concurri</w:t>
      </w:r>
      <w:r>
        <w:t>e</w:t>
      </w:r>
      <w:r>
        <w:t>ron a ese domicilio a fin de comprobar si el lugar exi</w:t>
      </w:r>
      <w:r>
        <w:t>s</w:t>
      </w:r>
      <w:r>
        <w:t>tía, si Ramón Martínez vivía allí, si se encontraba el vehículo y a llevar los formularios 08 para terminar la operación, ya que de lo contrario la camioneta carecía de v</w:t>
      </w:r>
      <w:r>
        <w:t>a</w:t>
      </w:r>
      <w:r>
        <w:t>lor. En tal sentido, explicó que el 4 de abril Semorile le hizo firmar un papel en blanco en una causa por homic</w:t>
      </w:r>
      <w:r>
        <w:t>i</w:t>
      </w:r>
      <w:r>
        <w:t>dio en una sodería –a cuyos imputados desconocía- como g</w:t>
      </w:r>
      <w:r>
        <w:t>a</w:t>
      </w:r>
      <w:r>
        <w:t>rantía por la deuda pendiente y por eso deseaba terminar con el pago. Adunó que, conforme el abogado, adeudaba USD 20.000 ó 25.000, pero no le otorgaron plazo alguno para efectiviza</w:t>
      </w:r>
      <w:r>
        <w:t>r</w:t>
      </w:r>
      <w:r>
        <w:t>lo.</w:t>
      </w:r>
    </w:p>
    <w:p w:rsidR="00224567" w:rsidRDefault="00224567">
      <w:pPr>
        <w:widowControl w:val="0"/>
      </w:pPr>
      <w:r>
        <w:tab/>
        <w:t>Por otra parte, y respecto a la ide</w:t>
      </w:r>
      <w:r>
        <w:t>n</w:t>
      </w:r>
      <w:r>
        <w:t>tificación de los partícipes en los hechos que denu</w:t>
      </w:r>
      <w:r>
        <w:t>n</w:t>
      </w:r>
      <w:r>
        <w:t>ciara, el imputado afirmó que mantuvo varias entrevistas con el juez Galeano que eran una suerte de ensayo de lo que d</w:t>
      </w:r>
      <w:r>
        <w:t>e</w:t>
      </w:r>
      <w:r>
        <w:t>clar</w:t>
      </w:r>
      <w:r>
        <w:t>a</w:t>
      </w:r>
      <w:r>
        <w:t>ría.</w:t>
      </w:r>
    </w:p>
    <w:p w:rsidR="00224567" w:rsidRDefault="00224567">
      <w:pPr>
        <w:widowControl w:val="0"/>
      </w:pPr>
      <w:r>
        <w:tab/>
        <w:t>En esas ocasiones, el magistrado le exhibió fotografías de policías bonaerenses, algunas i</w:t>
      </w:r>
      <w:r>
        <w:t>n</w:t>
      </w:r>
      <w:r>
        <w:t>sertas en álbumes y otras numeradas que se encontraban sueltas en un sobre. Respecto de éstas últimas, le señaló que esos eran los elegidos.</w:t>
      </w:r>
    </w:p>
    <w:p w:rsidR="00224567" w:rsidRDefault="00224567">
      <w:pPr>
        <w:widowControl w:val="0"/>
      </w:pPr>
      <w:r>
        <w:tab/>
        <w:t>Precisó que entre las fotografías del sobre se encontraban la de Ibarra (con el número 6) y la de Leal. D</w:t>
      </w:r>
      <w:r>
        <w:t>e</w:t>
      </w:r>
      <w:r>
        <w:t>talló que el magistrado al mostrarle las fotos, le s</w:t>
      </w:r>
      <w:r>
        <w:t>e</w:t>
      </w:r>
      <w:r>
        <w:t>ñaló quién era, por ejemplo, Leal.</w:t>
      </w:r>
    </w:p>
    <w:p w:rsidR="00224567" w:rsidRDefault="00224567">
      <w:pPr>
        <w:widowControl w:val="0"/>
      </w:pPr>
      <w:r>
        <w:tab/>
        <w:t>Recordó que espontáneamente reconoció a Casas, pero no así a otros. No obstante, en otro tramo afirmó que, si bien desconocía los nombres, a varios ind</w:t>
      </w:r>
      <w:r>
        <w:t>i</w:t>
      </w:r>
      <w:r>
        <w:t>viduos vinculados a los secuestros extorsivos los había visto.</w:t>
      </w:r>
    </w:p>
    <w:p w:rsidR="00224567" w:rsidRDefault="00224567">
      <w:pPr>
        <w:widowControl w:val="0"/>
      </w:pPr>
      <w:r>
        <w:tab/>
        <w:t>Informó que cuando le mostraron las fotografías, ignoraba los nombres de los policías imp</w:t>
      </w:r>
      <w:r>
        <w:t>u</w:t>
      </w:r>
      <w:r>
        <w:t>tados, con excepción de Barreda y B</w:t>
      </w:r>
      <w:r>
        <w:t>a</w:t>
      </w:r>
      <w:r>
        <w:t>reiro.</w:t>
      </w:r>
    </w:p>
    <w:p w:rsidR="00224567" w:rsidRDefault="00224567">
      <w:pPr>
        <w:widowControl w:val="0"/>
      </w:pPr>
      <w:r>
        <w:tab/>
        <w:t>Señaló que no tenía certeza con rel</w:t>
      </w:r>
      <w:r>
        <w:t>a</w:t>
      </w:r>
      <w:r>
        <w:t>ción al reconocimiento de Ibarra; de todos modos, G</w:t>
      </w:r>
      <w:r>
        <w:t>a</w:t>
      </w:r>
      <w:r>
        <w:t>leano le exigió a todos que apuntaran la fotografía 6, e incluso a a</w:t>
      </w:r>
      <w:r>
        <w:t>l</w:t>
      </w:r>
      <w:r>
        <w:t>guno se le pagó.</w:t>
      </w:r>
    </w:p>
    <w:p w:rsidR="00224567" w:rsidRDefault="00224567">
      <w:pPr>
        <w:widowControl w:val="0"/>
      </w:pPr>
      <w:r>
        <w:tab/>
        <w:t>Detalló que con anterioridad a este episodio, había tenido muchas otras reuniones con el m</w:t>
      </w:r>
      <w:r>
        <w:t>a</w:t>
      </w:r>
      <w:r>
        <w:t>gistrado, en las que le manifestó que no estaba seguro respecto al individuo a r</w:t>
      </w:r>
      <w:r>
        <w:t>e</w:t>
      </w:r>
      <w:r>
        <w:t>conocer, respondiéndole el juez que debía e</w:t>
      </w:r>
      <w:r>
        <w:t>s</w:t>
      </w:r>
      <w:r>
        <w:t>tarlo.</w:t>
      </w:r>
    </w:p>
    <w:p w:rsidR="00224567" w:rsidRDefault="00224567">
      <w:pPr>
        <w:widowControl w:val="0"/>
      </w:pPr>
      <w:r>
        <w:tab/>
        <w:t>Así también De Gamas le indicó a los testigos que debían reconocer la fotografía 6, señalánd</w:t>
      </w:r>
      <w:r>
        <w:t>o</w:t>
      </w:r>
      <w:r>
        <w:t>les el núm</w:t>
      </w:r>
      <w:r>
        <w:t>e</w:t>
      </w:r>
      <w:r>
        <w:t>ro antes de declarar.</w:t>
      </w:r>
    </w:p>
    <w:p w:rsidR="00224567" w:rsidRDefault="00224567">
      <w:pPr>
        <w:widowControl w:val="0"/>
      </w:pPr>
      <w:r>
        <w:tab/>
        <w:t>Agregó que había otra vista fotográf</w:t>
      </w:r>
      <w:r>
        <w:t>i</w:t>
      </w:r>
      <w:r>
        <w:t>ca que marcaban, cuyo número no recordó, con el suj</w:t>
      </w:r>
      <w:r>
        <w:t>e</w:t>
      </w:r>
      <w:r>
        <w:t>to de pelo blanco, que teóricamente era Albarracín. Indicó que también en este caso le informó a Galeano que no tenía ninguna s</w:t>
      </w:r>
      <w:r>
        <w:t>e</w:t>
      </w:r>
      <w:r>
        <w:t>guridad de que fuera el nombrado, pero cuando el magistrado insistió en que lo ubicara bajando del autom</w:t>
      </w:r>
      <w:r>
        <w:t>ó</w:t>
      </w:r>
      <w:r>
        <w:t>vil, aseguró que no era aquel.</w:t>
      </w:r>
    </w:p>
    <w:p w:rsidR="00224567" w:rsidRDefault="00224567">
      <w:pPr>
        <w:widowControl w:val="0"/>
      </w:pPr>
      <w:r>
        <w:tab/>
        <w:t>Al referirse a su declaración de j</w:t>
      </w:r>
      <w:r>
        <w:t>u</w:t>
      </w:r>
      <w:r>
        <w:t>lio de 1996, sostuvo que le exhibieron el mismo sobre y las mismas fotografías que le habían mostrado en una entrevi</w:t>
      </w:r>
      <w:r>
        <w:t>s</w:t>
      </w:r>
      <w:r>
        <w:t>ta ant</w:t>
      </w:r>
      <w:r>
        <w:t>e</w:t>
      </w:r>
      <w:r>
        <w:t>rior.</w:t>
      </w:r>
    </w:p>
    <w:p w:rsidR="00224567" w:rsidRDefault="00224567">
      <w:pPr>
        <w:widowControl w:val="0"/>
      </w:pPr>
      <w:r>
        <w:tab/>
        <w:t>Aseguró que el pago fue por el recon</w:t>
      </w:r>
      <w:r>
        <w:t>o</w:t>
      </w:r>
      <w:r>
        <w:t>cimiento de la fot</w:t>
      </w:r>
      <w:r>
        <w:t>o</w:t>
      </w:r>
      <w:r>
        <w:t>grafía número seis con certeza –cuando en realidad no estaba seguro– y por su declaración indag</w:t>
      </w:r>
      <w:r>
        <w:t>a</w:t>
      </w:r>
      <w:r>
        <w:t>toria del 5 de julio de 1996, no obstante lo cual, ratif</w:t>
      </w:r>
      <w:r>
        <w:t>i</w:t>
      </w:r>
      <w:r>
        <w:t>có sus manifest</w:t>
      </w:r>
      <w:r>
        <w:t>a</w:t>
      </w:r>
      <w:r>
        <w:t xml:space="preserve">ciones vertidas en ella. </w:t>
      </w:r>
    </w:p>
    <w:p w:rsidR="00224567" w:rsidRDefault="00224567">
      <w:pPr>
        <w:widowControl w:val="0"/>
      </w:pPr>
      <w:r>
        <w:tab/>
        <w:t>Pese a esto último, sostuvo que en esa deposición la mitad no eran sus dichos, es decir, las co</w:t>
      </w:r>
      <w:r>
        <w:t>n</w:t>
      </w:r>
      <w:r>
        <w:t>tradicciones existentes obedecían a que ciertas respue</w:t>
      </w:r>
      <w:r>
        <w:t>s</w:t>
      </w:r>
      <w:r>
        <w:t>tas las había indicado el juez Galeano. Concluyó que en la d</w:t>
      </w:r>
      <w:r>
        <w:t>e</w:t>
      </w:r>
      <w:r>
        <w:t>claración había manifestaciones que le pusieron para que dijera y otras que eran ciertas, como ser las extorsi</w:t>
      </w:r>
      <w:r>
        <w:t>o</w:t>
      </w:r>
      <w:r>
        <w:t>nes.</w:t>
      </w:r>
    </w:p>
    <w:p w:rsidR="00224567" w:rsidRDefault="00224567">
      <w:pPr>
        <w:widowControl w:val="0"/>
      </w:pPr>
      <w:r>
        <w:tab/>
        <w:t>Negó conocer a Oscar Arístides Santos y a Pablo Barg.</w:t>
      </w:r>
    </w:p>
    <w:p w:rsidR="00224567" w:rsidRDefault="00224567">
      <w:pPr>
        <w:widowControl w:val="0"/>
      </w:pPr>
      <w:r>
        <w:tab/>
      </w:r>
      <w:r>
        <w:tab/>
        <w:t>El 9 de diciembre de 2003, en la últ</w:t>
      </w:r>
      <w:r>
        <w:t>i</w:t>
      </w:r>
      <w:r>
        <w:t>ma declaración prestada durante el debate, Telleldín vo</w:t>
      </w:r>
      <w:r>
        <w:t>l</w:t>
      </w:r>
      <w:r>
        <w:t>vió a cambiar de ve</w:t>
      </w:r>
      <w:r>
        <w:t>r</w:t>
      </w:r>
      <w:r>
        <w:t>sión.</w:t>
      </w:r>
    </w:p>
    <w:p w:rsidR="00224567" w:rsidRDefault="00224567">
      <w:pPr>
        <w:widowControl w:val="0"/>
      </w:pPr>
      <w:r>
        <w:tab/>
        <w:t>En esta oportunidad, destacó que ya había dicho en mayo que su declaración del 5 de julio de 1996 fue armada tanto en su encabezamiento como en el ci</w:t>
      </w:r>
      <w:r>
        <w:t>n</w:t>
      </w:r>
      <w:r>
        <w:t>cuenta por ciento de su contenido.</w:t>
      </w:r>
    </w:p>
    <w:p w:rsidR="00224567" w:rsidRDefault="00224567">
      <w:pPr>
        <w:widowControl w:val="0"/>
      </w:pPr>
      <w:r>
        <w:tab/>
        <w:t>Agregó que, como no lo habían convoc</w:t>
      </w:r>
      <w:r>
        <w:t>a</w:t>
      </w:r>
      <w:r>
        <w:t>do en el juzgado do</w:t>
      </w:r>
      <w:r>
        <w:t>n</w:t>
      </w:r>
      <w:r>
        <w:t>de efectuara las denuncias que lucen a fs. 117.109/117.119 y 117.120/117.124 y su ampliación de fs. 117.250/117.265, venía a ratificarlas en esta oport</w:t>
      </w:r>
      <w:r>
        <w:t>u</w:t>
      </w:r>
      <w:r>
        <w:t>nidad. Las circunstancias allí reveladas se consignarán luego de reseñar sus dichos en esa audie</w:t>
      </w:r>
      <w:r>
        <w:t>n</w:t>
      </w:r>
      <w:r>
        <w:t>cia.</w:t>
      </w:r>
    </w:p>
    <w:p w:rsidR="00224567" w:rsidRDefault="00224567">
      <w:pPr>
        <w:widowControl w:val="0"/>
      </w:pPr>
      <w:r>
        <w:tab/>
        <w:t>Destacó que tuvo reuniones con el do</w:t>
      </w:r>
      <w:r>
        <w:t>c</w:t>
      </w:r>
      <w:r>
        <w:t xml:space="preserve">tor Galeano en </w:t>
      </w:r>
      <w:smartTag w:uri="urn:schemas-microsoft-com:office:smarttags" w:element="PersonName">
        <w:smartTagPr>
          <w:attr w:name="ProductID" w:val="la Divisi￳n"/>
        </w:smartTagPr>
        <w:r>
          <w:t>la División</w:t>
        </w:r>
      </w:smartTag>
      <w:r>
        <w:t xml:space="preserve"> de Protección al Orden Const</w:t>
      </w:r>
      <w:r>
        <w:t>i</w:t>
      </w:r>
      <w:r>
        <w:t>tuci</w:t>
      </w:r>
      <w:r>
        <w:t>o</w:t>
      </w:r>
      <w:r>
        <w:t>nal (P.O.C.), donde estuvo cinco meses, para definir quién podía haberle sacado la camioneta o quién de su e</w:t>
      </w:r>
      <w:r>
        <w:t>n</w:t>
      </w:r>
      <w:r>
        <w:t>torno pudo haber mandado a comprársela. Se tejieron ci</w:t>
      </w:r>
      <w:r>
        <w:t>n</w:t>
      </w:r>
      <w:r>
        <w:t>cuenta mil hipótesis, entre ellas la de Pol</w:t>
      </w:r>
      <w:r>
        <w:t>i</w:t>
      </w:r>
      <w:r>
        <w:t>cía Federal y la de Policía Bona</w:t>
      </w:r>
      <w:r>
        <w:t>e</w:t>
      </w:r>
      <w:r>
        <w:t>rense, y finalmente se quedaron con la historia del cr</w:t>
      </w:r>
      <w:r>
        <w:t>o</w:t>
      </w:r>
      <w:r>
        <w:t>quis que, a su juicio, difería totalmente con lo manifestado en esta declar</w:t>
      </w:r>
      <w:r>
        <w:t>a</w:t>
      </w:r>
      <w:r>
        <w:t>ción.</w:t>
      </w:r>
    </w:p>
    <w:p w:rsidR="00224567" w:rsidRDefault="00224567">
      <w:pPr>
        <w:widowControl w:val="0"/>
      </w:pPr>
      <w:r>
        <w:tab/>
        <w:t>Telleldín agregó que en la historia “armada” había dos policías en las proximidades de su d</w:t>
      </w:r>
      <w:r>
        <w:t>o</w:t>
      </w:r>
      <w:r>
        <w:t>micilio, e Ibarra estaba en dos lugares, lo que r</w:t>
      </w:r>
      <w:r>
        <w:t>e</w:t>
      </w:r>
      <w:r>
        <w:t>sultaba “casi impos</w:t>
      </w:r>
      <w:r>
        <w:t>i</w:t>
      </w:r>
      <w:r>
        <w:t>ble”.</w:t>
      </w:r>
    </w:p>
    <w:p w:rsidR="00224567" w:rsidRDefault="00224567">
      <w:pPr>
        <w:widowControl w:val="0"/>
      </w:pPr>
      <w:r>
        <w:tab/>
        <w:t>Recordó que el 10 de julio de 1994 e</w:t>
      </w:r>
      <w:r>
        <w:t>s</w:t>
      </w:r>
      <w:r>
        <w:t>taban en las inmediaciones los siguientes vehículos: un Duna blanco, un Fiat 128 –que pertenecía a la depe</w:t>
      </w:r>
      <w:r>
        <w:t>n</w:t>
      </w:r>
      <w:r>
        <w:t xml:space="preserve">dencia policial de Villa Concepción– y un Galaxy oscuro, además de </w:t>
      </w:r>
      <w:smartTag w:uri="urn:schemas-microsoft-com:office:smarttags" w:element="PersonName">
        <w:smartTagPr>
          <w:attr w:name="ProductID" w:val="la Trafic"/>
        </w:smartTagPr>
        <w:r>
          <w:t>la Trafic</w:t>
        </w:r>
      </w:smartTag>
      <w:r>
        <w:t xml:space="preserve"> –justo frente a su domicilio–, el Falcon de Malacchia y otro r</w:t>
      </w:r>
      <w:r>
        <w:t>o</w:t>
      </w:r>
      <w:r>
        <w:t>dado que estaba en el lugar.</w:t>
      </w:r>
    </w:p>
    <w:p w:rsidR="00224567" w:rsidRDefault="00224567">
      <w:pPr>
        <w:widowControl w:val="0"/>
      </w:pPr>
      <w:r>
        <w:tab/>
        <w:t>Exhibió una serie de croquis con la ubicación de esos r</w:t>
      </w:r>
      <w:r>
        <w:t>o</w:t>
      </w:r>
      <w:r>
        <w:t>dados y estableció las diferencias que existían con el plano de la doctora Riva Aramayo que era un “arm</w:t>
      </w:r>
      <w:r>
        <w:t>a</w:t>
      </w:r>
      <w:r>
        <w:t>do”.</w:t>
      </w:r>
    </w:p>
    <w:p w:rsidR="00224567" w:rsidRDefault="00224567">
      <w:pPr>
        <w:widowControl w:val="0"/>
      </w:pPr>
      <w:r>
        <w:tab/>
        <w:t>Ese día se comunicó telefónicamente una persona, que luego se presentó como Ramón Martínez, lo recibió en su domicilio, discutieron el precio del util</w:t>
      </w:r>
      <w:r>
        <w:t>i</w:t>
      </w:r>
      <w:r>
        <w:t>tario y luego dieron una vuelta con éste. Aclaró que no lo conocía a Ramón Martínez y nunca más lo vo</w:t>
      </w:r>
      <w:r>
        <w:t>l</w:t>
      </w:r>
      <w:r>
        <w:t>vió a ver.</w:t>
      </w:r>
    </w:p>
    <w:p w:rsidR="00224567" w:rsidRDefault="00224567">
      <w:pPr>
        <w:widowControl w:val="0"/>
      </w:pPr>
      <w:r>
        <w:tab/>
        <w:t>Recordó que la camioneta se había p</w:t>
      </w:r>
      <w:r>
        <w:t>u</w:t>
      </w:r>
      <w:r>
        <w:t>blicado en doce mil y pico, pero finalmente se vendió en once mil y pico.</w:t>
      </w:r>
    </w:p>
    <w:p w:rsidR="00224567" w:rsidRDefault="00224567">
      <w:pPr>
        <w:widowControl w:val="0"/>
      </w:pPr>
      <w:r>
        <w:tab/>
        <w:t>Señaló que salió junto a Ramón Mart</w:t>
      </w:r>
      <w:r>
        <w:t>í</w:t>
      </w:r>
      <w:r>
        <w:t xml:space="preserve">nez a dar una vuelta en </w:t>
      </w:r>
      <w:smartTag w:uri="urn:schemas-microsoft-com:office:smarttags" w:element="PersonName">
        <w:smartTagPr>
          <w:attr w:name="ProductID" w:val="la Trafic"/>
        </w:smartTagPr>
        <w:r>
          <w:t>la Trafic</w:t>
        </w:r>
      </w:smartTag>
      <w:r>
        <w:t xml:space="preserve"> para probarla y mostró en el croquis al Duna blanco que le resultaba so</w:t>
      </w:r>
      <w:r>
        <w:t>s</w:t>
      </w:r>
      <w:r>
        <w:t>pechoso.</w:t>
      </w:r>
    </w:p>
    <w:p w:rsidR="00224567" w:rsidRDefault="00224567">
      <w:pPr>
        <w:widowControl w:val="0"/>
      </w:pPr>
      <w:r>
        <w:tab/>
        <w:t>Remarcó que vendió la camioneta como vendía todos sus vehículos, sin preguntar qué destino le iban a dar. Agregó que era su costumbre entregar la doc</w:t>
      </w:r>
      <w:r>
        <w:t>u</w:t>
      </w:r>
      <w:r>
        <w:t>mentación en los d</w:t>
      </w:r>
      <w:r>
        <w:t>o</w:t>
      </w:r>
      <w:r>
        <w:t>micilios de los compradores para evitar el riesgo de que el adquirente fuera a ver al titular y éste advirtiera que el automotor estaba en buenas cond</w:t>
      </w:r>
      <w:r>
        <w:t>i</w:t>
      </w:r>
      <w:r>
        <w:t>ciones en lugar de i</w:t>
      </w:r>
      <w:r>
        <w:t>n</w:t>
      </w:r>
      <w:r>
        <w:t>cendiado.</w:t>
      </w:r>
    </w:p>
    <w:p w:rsidR="00224567" w:rsidRDefault="00224567">
      <w:pPr>
        <w:widowControl w:val="0"/>
      </w:pPr>
      <w:r>
        <w:tab/>
        <w:t>Sostuvo que el Galaxy azul siguió a la camioneta luego de concretada la venta, aunque dijo desc</w:t>
      </w:r>
      <w:r>
        <w:t>o</w:t>
      </w:r>
      <w:r>
        <w:t>nocer si se hallaban vinculados o no. Aseguró que relaci</w:t>
      </w:r>
      <w:r>
        <w:t>o</w:t>
      </w:r>
      <w:r>
        <w:t>nó al G</w:t>
      </w:r>
      <w:r>
        <w:t>a</w:t>
      </w:r>
      <w:r>
        <w:t>laxy y al Duna con este hecho luego del día 14, ya que en ambas ocasiones el primero tenía dos reflectores adela</w:t>
      </w:r>
      <w:r>
        <w:t>n</w:t>
      </w:r>
      <w:r>
        <w:t>te.</w:t>
      </w:r>
    </w:p>
    <w:p w:rsidR="00224567" w:rsidRDefault="00224567">
      <w:pPr>
        <w:widowControl w:val="0"/>
      </w:pPr>
      <w:r>
        <w:tab/>
        <w:t>Por último afirmó que luego del inc</w:t>
      </w:r>
      <w:r>
        <w:t>i</w:t>
      </w:r>
      <w:r>
        <w:t>dente en la brigada de Lanús quedó como “perseguido”, por lo que prestaba atención a los vehículos que pudieran e</w:t>
      </w:r>
      <w:r>
        <w:t>s</w:t>
      </w:r>
      <w:r>
        <w:t>tar siguiénd</w:t>
      </w:r>
      <w:r>
        <w:t>o</w:t>
      </w:r>
      <w:r>
        <w:t>lo.</w:t>
      </w:r>
    </w:p>
    <w:p w:rsidR="00224567" w:rsidRDefault="00224567">
      <w:pPr>
        <w:widowControl w:val="0"/>
      </w:pPr>
      <w:r>
        <w:tab/>
        <w:t>En la denuncia glosada a fs. 117.109/117.119 señaló que tanto a la doctora Riva Ar</w:t>
      </w:r>
      <w:r>
        <w:t>a</w:t>
      </w:r>
      <w:r>
        <w:t>mayo como al juez instructor les manifestó que el 10 de julio de 1994 en las inmediaciones de su domicilio, había alg</w:t>
      </w:r>
      <w:r>
        <w:t>u</w:t>
      </w:r>
      <w:r>
        <w:t>nos policías bonaerenses pero que de ninguna forma podía indentificarlos, indicar a qué br</w:t>
      </w:r>
      <w:r>
        <w:t>i</w:t>
      </w:r>
      <w:r>
        <w:t>gadas pertenecían, ni si estaban relacionadas con la persona que se llevó la cami</w:t>
      </w:r>
      <w:r>
        <w:t>o</w:t>
      </w:r>
      <w:r>
        <w:t>neta.</w:t>
      </w:r>
    </w:p>
    <w:p w:rsidR="00224567" w:rsidRDefault="00224567">
      <w:pPr>
        <w:widowControl w:val="0"/>
      </w:pPr>
      <w:r>
        <w:tab/>
        <w:t xml:space="preserve">Destacó que por distintas presiones, que detalló, se vio obligado en la indagatoria del 5 de julio de </w:t>
      </w:r>
      <w:smartTag w:uri="urn:schemas-microsoft-com:office:smarttags" w:element="metricconverter">
        <w:smartTagPr>
          <w:attr w:name="ProductID" w:val="1996 a"/>
        </w:smartTagPr>
        <w:r>
          <w:t>1996 a</w:t>
        </w:r>
      </w:smartTag>
      <w:r>
        <w:t xml:space="preserve"> incorporar hechos que no eran cie</w:t>
      </w:r>
      <w:r>
        <w:t>r</w:t>
      </w:r>
      <w:r>
        <w:t>tos.</w:t>
      </w:r>
    </w:p>
    <w:p w:rsidR="00224567" w:rsidRDefault="00224567">
      <w:pPr>
        <w:widowControl w:val="0"/>
      </w:pPr>
      <w:r>
        <w:tab/>
        <w:t>Así, a lo ya manifestado respecto al 10 de julio, agregó que desconocía el motivo de la prese</w:t>
      </w:r>
      <w:r>
        <w:t>n</w:t>
      </w:r>
      <w:r>
        <w:t>cia pol</w:t>
      </w:r>
      <w:r>
        <w:t>i</w:t>
      </w:r>
      <w:r>
        <w:t>cial próxima a su vivienda, aunque conjeturó –sin tener ce</w:t>
      </w:r>
      <w:r>
        <w:t>r</w:t>
      </w:r>
      <w:r>
        <w:t>teza de ello– que podían estar haciendo tareas de inteligencia para una nueva extorsión (al igual que el 4 de abril y el 14 de julio de 1994), o podían estar rel</w:t>
      </w:r>
      <w:r>
        <w:t>a</w:t>
      </w:r>
      <w:r>
        <w:t>cionados con quien se llevara la c</w:t>
      </w:r>
      <w:r>
        <w:t>a</w:t>
      </w:r>
      <w:r>
        <w:t>mioneta.</w:t>
      </w:r>
    </w:p>
    <w:p w:rsidR="00224567" w:rsidRDefault="00224567">
      <w:pPr>
        <w:widowControl w:val="0"/>
      </w:pPr>
      <w:r>
        <w:tab/>
        <w:t>Concluyó que la extorsión de ese día no existió y que tanto su incorporación como los nombres de los policías que figuran en esa indagatoria los hizo agregar fals</w:t>
      </w:r>
      <w:r>
        <w:t>a</w:t>
      </w:r>
      <w:r>
        <w:t>mente el juez.</w:t>
      </w:r>
    </w:p>
    <w:p w:rsidR="00224567" w:rsidRDefault="00224567">
      <w:pPr>
        <w:widowControl w:val="0"/>
      </w:pPr>
      <w:r>
        <w:tab/>
        <w:t>En la ampliación de su denuncia agr</w:t>
      </w:r>
      <w:r>
        <w:t>e</w:t>
      </w:r>
      <w:r>
        <w:t>gada a fs. 117.250/65 Telleldín señaló que se presentó una persona que se identificó como Ramón Martínez, i</w:t>
      </w:r>
      <w:r>
        <w:t>n</w:t>
      </w:r>
      <w:r>
        <w:t>teresado en la camioneta a la venta, y al salir a probarla, advi</w:t>
      </w:r>
      <w:r>
        <w:t>r</w:t>
      </w:r>
      <w:r>
        <w:t>tió la presencia en las inmediaciones de su domicilio de algunos vehículos que identificó como pertenecientes a brigadas de la policía bonaerense.</w:t>
      </w:r>
    </w:p>
    <w:p w:rsidR="00224567" w:rsidRDefault="00224567">
      <w:pPr>
        <w:widowControl w:val="0"/>
      </w:pPr>
      <w:r>
        <w:tab/>
        <w:t>Uno de ellos era un Duna blanco de s</w:t>
      </w:r>
      <w:r>
        <w:t>i</w:t>
      </w:r>
      <w:r>
        <w:t>milares características al que viera en la persec</w:t>
      </w:r>
      <w:r>
        <w:t>u</w:t>
      </w:r>
      <w:r>
        <w:t>ción del 14 de julio de 1994. Dos Ford Galaxy, uno azul –que era aquel que interviniera también en aquella pe</w:t>
      </w:r>
      <w:r>
        <w:t>r</w:t>
      </w:r>
      <w:r>
        <w:t>secución–  y otro oscuro, que no supo identificar a quien perten</w:t>
      </w:r>
      <w:r>
        <w:t>e</w:t>
      </w:r>
      <w:r>
        <w:t>cía.</w:t>
      </w:r>
    </w:p>
    <w:p w:rsidR="00224567" w:rsidRDefault="00224567">
      <w:pPr>
        <w:widowControl w:val="0"/>
      </w:pPr>
      <w:r>
        <w:tab/>
        <w:t>El Galaxy azul estaba estacionado en la esquina de República y Alvear, en diagonal a su domic</w:t>
      </w:r>
      <w:r>
        <w:t>i</w:t>
      </w:r>
      <w:r>
        <w:t>lio, sobre la calle Alvear. En</w:t>
      </w:r>
      <w:r>
        <w:rPr>
          <w:b/>
          <w:bCs/>
        </w:rPr>
        <w:t xml:space="preserve"> </w:t>
      </w:r>
      <w:r>
        <w:t>República, cruzando Alvear, sobre la misma v</w:t>
      </w:r>
      <w:r>
        <w:t>e</w:t>
      </w:r>
      <w:r>
        <w:t>reda de su domicilio, estaba estacionado un automóvil marca Fiat 128 color rojo, frente a la sala Marengo, que le pareció identificar como perteneciente a la brigada de Concepción. Agregó que era el mismo rodado que dijo haber visto su vec</w:t>
      </w:r>
      <w:r>
        <w:t>i</w:t>
      </w:r>
      <w:r>
        <w:t xml:space="preserve">na la peletera. </w:t>
      </w:r>
    </w:p>
    <w:p w:rsidR="00224567" w:rsidRDefault="00224567">
      <w:pPr>
        <w:widowControl w:val="0"/>
      </w:pPr>
      <w:r>
        <w:tab/>
        <w:t>Mientras se suscribió el boleto de compraventa tocaron el timbre dos personas que descendi</w:t>
      </w:r>
      <w:r>
        <w:t>e</w:t>
      </w:r>
      <w:r>
        <w:t>ron de un Fiat 128 de color claro y al atender su mujer le pregu</w:t>
      </w:r>
      <w:r>
        <w:t>n</w:t>
      </w:r>
      <w:r>
        <w:t xml:space="preserve">tan si </w:t>
      </w:r>
      <w:smartTag w:uri="urn:schemas-microsoft-com:office:smarttags" w:element="PersonName">
        <w:smartTagPr>
          <w:attr w:name="ProductID" w:val="la Trafic"/>
        </w:smartTagPr>
        <w:r>
          <w:t>la Trafic</w:t>
        </w:r>
      </w:smartTag>
      <w:r>
        <w:t xml:space="preserve"> había sido vendida. Al contestarle que sí se subieron al auto y se fueron. Logró ver a esos sujetos por la ventana de su casa, los reconoció como un subcomisario y un oficial de la policía bonaerense, por haberlo extorsionado ant</w:t>
      </w:r>
      <w:r>
        <w:t>e</w:t>
      </w:r>
      <w:r>
        <w:t>riormente. Uno de ellos tenía el pelo blanco enrulado y ojos c</w:t>
      </w:r>
      <w:r>
        <w:t>e</w:t>
      </w:r>
      <w:r>
        <w:t>lestes, mientras que el otro era alto y con big</w:t>
      </w:r>
      <w:r>
        <w:t>o</w:t>
      </w:r>
      <w:r>
        <w:t>tes.</w:t>
      </w:r>
    </w:p>
    <w:p w:rsidR="00224567" w:rsidRDefault="00224567">
      <w:pPr>
        <w:widowControl w:val="0"/>
      </w:pPr>
      <w:r>
        <w:tab/>
        <w:t>Posteriormente, al retirarse el co</w:t>
      </w:r>
      <w:r>
        <w:t>m</w:t>
      </w:r>
      <w:r>
        <w:t>prador de la camioneta, vio que ésta dio nuevamente una vuelta manzana y al cruzar la calle República, mientras circulaba por Alvear, pudo advertir que era escoltada por el G</w:t>
      </w:r>
      <w:r>
        <w:t>a</w:t>
      </w:r>
      <w:r>
        <w:t>laxy azul.</w:t>
      </w:r>
    </w:p>
    <w:p w:rsidR="00224567" w:rsidRDefault="00224567">
      <w:pPr>
        <w:widowControl w:val="0"/>
      </w:pPr>
      <w:r>
        <w:tab/>
        <w:t>Al relatarle esto al juez instructor, le explicó que en verdad no pudo determinar quienes eran concretamente las personas que estaban en los autos ni tampoco a qué brigada pertenecían.</w:t>
      </w:r>
    </w:p>
    <w:p w:rsidR="00224567" w:rsidRDefault="00224567">
      <w:pPr>
        <w:widowControl w:val="0"/>
      </w:pPr>
      <w:r>
        <w:tab/>
        <w:t>Sabía que el Galaxy azul participó en la extorsión del 14 de julio con un auto similar al Duna que estuvo el día 10.</w:t>
      </w:r>
    </w:p>
    <w:p w:rsidR="00224567" w:rsidRDefault="00224567">
      <w:pPr>
        <w:widowControl w:val="0"/>
      </w:pPr>
      <w:r>
        <w:tab/>
        <w:t>También explicó que de ninguna forma pudo asegurar cuál era el motivo de la presencia de toda esta gente en el l</w:t>
      </w:r>
      <w:r>
        <w:t>u</w:t>
      </w:r>
      <w:r>
        <w:t>gar.</w:t>
      </w:r>
    </w:p>
    <w:p w:rsidR="00224567" w:rsidRDefault="00224567">
      <w:pPr>
        <w:widowControl w:val="0"/>
      </w:pPr>
      <w:r>
        <w:tab/>
        <w:t>Explicó que Diego Barreda sabía que tenía una c</w:t>
      </w:r>
      <w:r>
        <w:t>a</w:t>
      </w:r>
      <w:r>
        <w:t>mioneta doblada a la venta y un Renault 9; que el nombrado pudo haber alertado de esa situación a las brigadas para una nueva extorsión y ser ese uno de los m</w:t>
      </w:r>
      <w:r>
        <w:t>o</w:t>
      </w:r>
      <w:r>
        <w:t>tivos de su prese</w:t>
      </w:r>
      <w:r>
        <w:t>n</w:t>
      </w:r>
      <w:r>
        <w:t>cia.</w:t>
      </w:r>
    </w:p>
    <w:p w:rsidR="00224567" w:rsidRDefault="00224567">
      <w:pPr>
        <w:widowControl w:val="0"/>
      </w:pPr>
      <w:r>
        <w:tab/>
        <w:t>También le dijo al magistrado que le pareció muy sospech</w:t>
      </w:r>
      <w:r>
        <w:t>o</w:t>
      </w:r>
      <w:r>
        <w:t>so que mientras se realizaba la venta, si ellos sabían o presumían</w:t>
      </w:r>
      <w:r>
        <w:rPr>
          <w:color w:val="FF0000"/>
        </w:rPr>
        <w:t xml:space="preserve"> </w:t>
      </w:r>
      <w:r>
        <w:t>que la camioneta era doblada no hubieran frenado la operación y, por el contrario, se acercaran a preguntar si había sido ve</w:t>
      </w:r>
      <w:r>
        <w:t>n</w:t>
      </w:r>
      <w:r>
        <w:t>dida.</w:t>
      </w:r>
    </w:p>
    <w:p w:rsidR="00224567" w:rsidRDefault="00224567">
      <w:pPr>
        <w:widowControl w:val="0"/>
      </w:pPr>
      <w:r>
        <w:tab/>
        <w:t>Ante la desconfianza generadas por la presencia de esas personas, ese día, decidió observar cuando el comprador se retiraba, porque pensó que podían interceptar la camioneta, secuestrarla y frustrar la ve</w:t>
      </w:r>
      <w:r>
        <w:t>n</w:t>
      </w:r>
      <w:r>
        <w:t>ta.</w:t>
      </w:r>
    </w:p>
    <w:p w:rsidR="00224567" w:rsidRDefault="00224567">
      <w:pPr>
        <w:widowControl w:val="0"/>
      </w:pPr>
      <w:r>
        <w:tab/>
        <w:t>Le explicó a Galeano que todo lo oc</w:t>
      </w:r>
      <w:r>
        <w:t>u</w:t>
      </w:r>
      <w:r>
        <w:t>rrido lo llevó a pe</w:t>
      </w:r>
      <w:r>
        <w:t>n</w:t>
      </w:r>
      <w:r>
        <w:t>sar que o dichas personas estaban con el comprador o p</w:t>
      </w:r>
      <w:r>
        <w:t>o</w:t>
      </w:r>
      <w:r>
        <w:t>drían haberle efectuado un apriete en el co</w:t>
      </w:r>
      <w:r>
        <w:t>n</w:t>
      </w:r>
      <w:r>
        <w:t>vencimiento de que el vehículo era doblado. Sobre esta conjetura, siempre le aclaró al magistrado que no tenía ninguna certeza al respecto. Así, no sabía quiénes eran, por qué estaban y menos aún qué ocurrió después con dicho rodado.</w:t>
      </w:r>
    </w:p>
    <w:p w:rsidR="00224567" w:rsidRDefault="00224567">
      <w:pPr>
        <w:widowControl w:val="0"/>
      </w:pPr>
      <w:r>
        <w:tab/>
        <w:t>Señaló que el juez no quería invol</w:t>
      </w:r>
      <w:r>
        <w:t>u</w:t>
      </w:r>
      <w:r>
        <w:t>crar a la policía b</w:t>
      </w:r>
      <w:r>
        <w:t>o</w:t>
      </w:r>
      <w:r>
        <w:t>naerense y por eso no volcó todos sus dichos en las indagatorias. Así, en la declaración del 6 de ago</w:t>
      </w:r>
      <w:r>
        <w:t>s</w:t>
      </w:r>
      <w:r>
        <w:t>to de 1994 se consigna muy escuetamente la llegada el día 10 de julio de otra persona preguntando por la c</w:t>
      </w:r>
      <w:r>
        <w:t>a</w:t>
      </w:r>
      <w:r>
        <w:t>mioneta. Lo mismo ocurrió respecto a la exto</w:t>
      </w:r>
      <w:r>
        <w:t>r</w:t>
      </w:r>
      <w:r>
        <w:t>sión sufrida en Lanús que no era mencionada e intentó omitir la de V</w:t>
      </w:r>
      <w:r>
        <w:t>i</w:t>
      </w:r>
      <w:r>
        <w:t>cente López, pero él se negó. Aportó det</w:t>
      </w:r>
      <w:r>
        <w:t>a</w:t>
      </w:r>
      <w:r>
        <w:t>lles al respecto.</w:t>
      </w:r>
    </w:p>
    <w:p w:rsidR="00224567" w:rsidRDefault="00224567">
      <w:pPr>
        <w:widowControl w:val="0"/>
      </w:pPr>
      <w:r>
        <w:tab/>
        <w:t>En un anexo a esa ampliación de denu</w:t>
      </w:r>
      <w:r>
        <w:t>n</w:t>
      </w:r>
      <w:r>
        <w:t>cia detalló los párrafos de la declaración brindada el 5 de julio de 1996 que habían sido insertados falsame</w:t>
      </w:r>
      <w:r>
        <w:t>n</w:t>
      </w:r>
      <w:r>
        <w:t>te.</w:t>
      </w:r>
    </w:p>
    <w:p w:rsidR="00224567" w:rsidRDefault="00224567">
      <w:pPr>
        <w:widowControl w:val="0"/>
      </w:pPr>
      <w:r>
        <w:tab/>
        <w:t>Entre ellos debe destacarse aquél r</w:t>
      </w:r>
      <w:r>
        <w:t>e</w:t>
      </w:r>
      <w:r>
        <w:t>ferido a la presencia de una persona que, luego de exh</w:t>
      </w:r>
      <w:r>
        <w:t>i</w:t>
      </w:r>
      <w:r>
        <w:t>birle una credencial verde de policía, le indicara que h</w:t>
      </w:r>
      <w:r>
        <w:t>a</w:t>
      </w:r>
      <w:r>
        <w:t>bía ge</w:t>
      </w:r>
      <w:r>
        <w:t>n</w:t>
      </w:r>
      <w:r>
        <w:t>te que lo quería ver.</w:t>
      </w:r>
    </w:p>
    <w:p w:rsidR="00224567" w:rsidRDefault="00224567">
      <w:pPr>
        <w:widowControl w:val="0"/>
      </w:pPr>
      <w:r>
        <w:tab/>
        <w:t>También es digno de mención el que r</w:t>
      </w:r>
      <w:r>
        <w:t>e</w:t>
      </w:r>
      <w:r>
        <w:t>lata sobre su concurrencia hasta la vuelta de la casa do</w:t>
      </w:r>
      <w:r>
        <w:t>n</w:t>
      </w:r>
      <w:r>
        <w:t xml:space="preserve">de, al parar detrás de un Fiat Duna blanco, un oficial “Pino” de la brigada de investigaciones lo exhorta a pagar una deuda, reclamándole en tal concepto la entrega de </w:t>
      </w:r>
      <w:smartTag w:uri="urn:schemas-microsoft-com:office:smarttags" w:element="PersonName">
        <w:smartTagPr>
          <w:attr w:name="ProductID" w:val="la Trafic"/>
        </w:smartTagPr>
        <w:r>
          <w:t>la Trafic</w:t>
        </w:r>
      </w:smartTag>
      <w:r>
        <w:t xml:space="preserve"> y el Renault 19. Es el mismo apartado donde se me</w:t>
      </w:r>
      <w:r>
        <w:t>n</w:t>
      </w:r>
      <w:r>
        <w:t>ciona la presencia en el Duna del subcomisario que había conocido en la detención de Lanús, a quien describiera. Allí también obra el detalle de la negociación sobre el punto.</w:t>
      </w:r>
    </w:p>
    <w:p w:rsidR="00224567" w:rsidRDefault="00224567">
      <w:pPr>
        <w:widowControl w:val="0"/>
      </w:pPr>
      <w:r>
        <w:tab/>
        <w:t>Además incluyó el párrafo que relata la presencia de Cotoras y las circunstancias que rode</w:t>
      </w:r>
      <w:r>
        <w:t>a</w:t>
      </w:r>
      <w:r>
        <w:t>ron la convers</w:t>
      </w:r>
      <w:r>
        <w:t>a</w:t>
      </w:r>
      <w:r>
        <w:t>ción con Telleldín.</w:t>
      </w:r>
    </w:p>
    <w:p w:rsidR="00224567" w:rsidRDefault="00224567">
      <w:pPr>
        <w:widowControl w:val="0"/>
      </w:pPr>
      <w:r>
        <w:tab/>
        <w:t>Por otra parte señaló el tramo en el que consta que dijera que no habían pagado nada por la e</w:t>
      </w:r>
      <w:r>
        <w:t>n</w:t>
      </w:r>
      <w:r>
        <w:t>trega de la camioneta y que el término venta fuera util</w:t>
      </w:r>
      <w:r>
        <w:t>i</w:t>
      </w:r>
      <w:r>
        <w:t>zado en el sentido de que fuera el precio de su libertad.</w:t>
      </w:r>
    </w:p>
    <w:p w:rsidR="00224567" w:rsidRDefault="00224567">
      <w:pPr>
        <w:widowControl w:val="0"/>
      </w:pPr>
      <w:r>
        <w:tab/>
        <w:t>También individualizó el apartado de la declaración en cuestión en la que refiriera que a la pers</w:t>
      </w:r>
      <w:r>
        <w:t>o</w:t>
      </w:r>
      <w:r>
        <w:t>na que se llevó la camioneta la había visto con gente de la brigada de L</w:t>
      </w:r>
      <w:r>
        <w:t>a</w:t>
      </w:r>
      <w:r>
        <w:t>nús.</w:t>
      </w:r>
    </w:p>
    <w:p w:rsidR="00224567" w:rsidRDefault="00224567">
      <w:pPr>
        <w:widowControl w:val="0"/>
      </w:pPr>
      <w:r>
        <w:tab/>
        <w:t>Incluyó además aquel párrafo en el que constara que a mediados de julio de 1994 un Fiat 128 le hubiera efectuado una “capacha” –vigilancia en la jerga policial–; que no contara los arreglos para no dejar de ser confiable; que ante Página 12 hubiera negado la entr</w:t>
      </w:r>
      <w:r>
        <w:t>e</w:t>
      </w:r>
      <w:r>
        <w:t>ga de la camioneta a personal policial p</w:t>
      </w:r>
      <w:r>
        <w:t>a</w:t>
      </w:r>
      <w:r>
        <w:t>ra evitar que se cometa un “despelote”; que Ana hubiera declarado toda la verdad con la única excepción de i</w:t>
      </w:r>
      <w:r>
        <w:t>n</w:t>
      </w:r>
      <w:r>
        <w:t>volucrar a la policía y su explicación sobre la posibilidad de circulación de un auto sin cédula verde.</w:t>
      </w:r>
    </w:p>
    <w:p w:rsidR="00224567" w:rsidRDefault="00224567">
      <w:pPr>
        <w:widowControl w:val="0"/>
      </w:pPr>
      <w:r>
        <w:tab/>
        <w:t>Finalmente, individualizó también los párrafos referidos a los reconocimientos y la explic</w:t>
      </w:r>
      <w:r>
        <w:t>a</w:t>
      </w:r>
      <w:r>
        <w:t>ción del croquis “C” efe</w:t>
      </w:r>
      <w:r>
        <w:t>c</w:t>
      </w:r>
      <w:r>
        <w:t>tuado.</w:t>
      </w:r>
    </w:p>
    <w:p w:rsidR="00224567" w:rsidRDefault="00224567">
      <w:pPr>
        <w:widowControl w:val="0"/>
      </w:pPr>
      <w:r>
        <w:tab/>
      </w:r>
      <w:r>
        <w:tab/>
        <w:t xml:space="preserve">Por su parte, Ana María </w:t>
      </w:r>
      <w:r>
        <w:rPr>
          <w:b/>
          <w:bCs/>
        </w:rPr>
        <w:t>Boragni</w:t>
      </w:r>
      <w:r>
        <w:t>, d</w:t>
      </w:r>
      <w:r>
        <w:t>u</w:t>
      </w:r>
      <w:r>
        <w:t>rante el juicio oral, en una declaración sinuosa y con v</w:t>
      </w:r>
      <w:r>
        <w:t>a</w:t>
      </w:r>
      <w:r>
        <w:t>rias contradicciones, relató diferentes versiones de los hechos.</w:t>
      </w:r>
    </w:p>
    <w:p w:rsidR="00224567" w:rsidRDefault="00224567">
      <w:pPr>
        <w:widowControl w:val="0"/>
      </w:pPr>
      <w:r>
        <w:tab/>
        <w:t>Señaló que la camioneta Renault Tr</w:t>
      </w:r>
      <w:r>
        <w:t>a</w:t>
      </w:r>
      <w:r>
        <w:t>fic se publicó para la venta el domingo 10 de julio de 1994, no recordó si ta</w:t>
      </w:r>
      <w:r>
        <w:t>m</w:t>
      </w:r>
      <w:r>
        <w:t>bién el sábado, y posiblemente junto con el vehículo con el que circulaba Telle</w:t>
      </w:r>
      <w:r>
        <w:t>l</w:t>
      </w:r>
      <w:r>
        <w:t>dín.</w:t>
      </w:r>
    </w:p>
    <w:p w:rsidR="00224567" w:rsidRDefault="00224567">
      <w:pPr>
        <w:widowControl w:val="0"/>
      </w:pPr>
      <w:r>
        <w:tab/>
        <w:t>Afirmó que el sábado la camioneta se exhibió a tres personas que no vio de cerca pero pudo a</w:t>
      </w:r>
      <w:r>
        <w:t>d</w:t>
      </w:r>
      <w:r>
        <w:t>vertir que vestían camperas de cuero. Telleldín le refirió que tenían rasgos orientales –coreanos– y que aparenteme</w:t>
      </w:r>
      <w:r>
        <w:t>n</w:t>
      </w:r>
      <w:r>
        <w:t>te querían el veh</w:t>
      </w:r>
      <w:r>
        <w:t>í</w:t>
      </w:r>
      <w:r>
        <w:t>culo para trasladar ropa. Indicó que no se ve</w:t>
      </w:r>
      <w:r>
        <w:t>n</w:t>
      </w:r>
      <w:r>
        <w:t>dió ese día.</w:t>
      </w:r>
    </w:p>
    <w:p w:rsidR="00224567" w:rsidRDefault="00224567">
      <w:pPr>
        <w:widowControl w:val="0"/>
      </w:pPr>
      <w:r>
        <w:tab/>
        <w:t>Los llamados telefónicos por la cami</w:t>
      </w:r>
      <w:r>
        <w:t>o</w:t>
      </w:r>
      <w:r>
        <w:t>neta los atendió Carlos. Recordó que hubo comunicaciones el d</w:t>
      </w:r>
      <w:r>
        <w:t>o</w:t>
      </w:r>
      <w:r>
        <w:t xml:space="preserve">mingo pero no el sábado. </w:t>
      </w:r>
    </w:p>
    <w:p w:rsidR="00224567" w:rsidRDefault="00224567">
      <w:pPr>
        <w:widowControl w:val="0"/>
      </w:pPr>
      <w:r>
        <w:tab/>
        <w:t xml:space="preserve">El domingo 10 de julio, Telleldín le comentó que había recibido un llamado telefónico de una persona con acento español, que concurriría a ver </w:t>
      </w:r>
      <w:smartTag w:uri="urn:schemas-microsoft-com:office:smarttags" w:element="PersonName">
        <w:smartTagPr>
          <w:attr w:name="ProductID" w:val="la Trafic"/>
        </w:smartTagPr>
        <w:r>
          <w:t>la Tr</w:t>
        </w:r>
        <w:r>
          <w:t>a</w:t>
        </w:r>
        <w:r>
          <w:t>fic</w:t>
        </w:r>
      </w:smartTag>
      <w:r>
        <w:t>, quien aparentemente se había perdido en el tr</w:t>
      </w:r>
      <w:r>
        <w:t>a</w:t>
      </w:r>
      <w:r>
        <w:t>yecto y se volvió a comun</w:t>
      </w:r>
      <w:r>
        <w:t>i</w:t>
      </w:r>
      <w:r>
        <w:t>car.</w:t>
      </w:r>
    </w:p>
    <w:p w:rsidR="00224567" w:rsidRDefault="00224567">
      <w:pPr>
        <w:widowControl w:val="0"/>
      </w:pPr>
      <w:r>
        <w:tab/>
        <w:t>Aproximadamente al mediodía, pues ella estaba cocinando, llegó ese individuo y Telleldín salió para exhibi</w:t>
      </w:r>
      <w:r>
        <w:t>r</w:t>
      </w:r>
      <w:r>
        <w:t>le el utilitario.</w:t>
      </w:r>
    </w:p>
    <w:p w:rsidR="00224567" w:rsidRDefault="00224567">
      <w:pPr>
        <w:widowControl w:val="0"/>
      </w:pPr>
      <w:r>
        <w:tab/>
        <w:t>Cuando éstos ascendieron al rodado p</w:t>
      </w:r>
      <w:r>
        <w:t>a</w:t>
      </w:r>
      <w:r>
        <w:t>ra probarlo, Telleldín y un señor apodado “el Tano”, que estaba e</w:t>
      </w:r>
      <w:r>
        <w:t>n</w:t>
      </w:r>
      <w:r>
        <w:t>frente de su casa, se saludaron. No pudo precisar si fue en ese m</w:t>
      </w:r>
      <w:r>
        <w:t>o</w:t>
      </w:r>
      <w:r>
        <w:t>mento cuando éste debió correr su vehículo Ford Falcon para poder maniobrar la camioneta que estaba estacionada de ese lado, tampoco si lo acompañaba su esp</w:t>
      </w:r>
      <w:r>
        <w:t>o</w:t>
      </w:r>
      <w:r>
        <w:t>sa o algún hijo.</w:t>
      </w:r>
    </w:p>
    <w:p w:rsidR="00224567" w:rsidRDefault="00224567">
      <w:pPr>
        <w:widowControl w:val="0"/>
      </w:pPr>
      <w:r>
        <w:tab/>
        <w:t>Todo esto lo observó a través de la ventana del comedor de su vivienda, en el lapso de medio min</w:t>
      </w:r>
      <w:r>
        <w:t>u</w:t>
      </w:r>
      <w:r>
        <w:t xml:space="preserve">to. </w:t>
      </w:r>
    </w:p>
    <w:p w:rsidR="00224567" w:rsidRDefault="00224567">
      <w:pPr>
        <w:widowControl w:val="0"/>
      </w:pPr>
      <w:r>
        <w:tab/>
        <w:t>Manifestó que no recordaba que la pe</w:t>
      </w:r>
      <w:r>
        <w:t>r</w:t>
      </w:r>
      <w:r>
        <w:t>sona hubiera entrado a su casa para luego salir a probar la camioneta. Tiene presente que este individuo estaba afuera, salieron a dar una vuelta y r</w:t>
      </w:r>
      <w:r>
        <w:t>e</w:t>
      </w:r>
      <w:r>
        <w:t>cién ahí lo ve.</w:t>
      </w:r>
    </w:p>
    <w:p w:rsidR="00224567" w:rsidRDefault="00224567">
      <w:pPr>
        <w:widowControl w:val="0"/>
      </w:pPr>
      <w:r>
        <w:tab/>
        <w:t>Después, ella se retiró a la cocina y cuando los vuelve a ver ya habían regresado y estaban se</w:t>
      </w:r>
      <w:r>
        <w:t>n</w:t>
      </w:r>
      <w:r>
        <w:t>tados en el c</w:t>
      </w:r>
      <w:r>
        <w:t>o</w:t>
      </w:r>
      <w:r>
        <w:t xml:space="preserve">medor principal. </w:t>
      </w:r>
    </w:p>
    <w:p w:rsidR="00224567" w:rsidRDefault="00224567">
      <w:pPr>
        <w:widowControl w:val="0"/>
      </w:pPr>
      <w:r>
        <w:tab/>
        <w:t>Al ser contrastada con la declaración de fs. 38.655/38.667 refirió que no estaba en el living cuando entró Telleldín junto al comprador y tampoco reco</w:t>
      </w:r>
      <w:r>
        <w:t>r</w:t>
      </w:r>
      <w:r>
        <w:t>dó que su marido le dijera que estaba la patota –en ref</w:t>
      </w:r>
      <w:r>
        <w:t>e</w:t>
      </w:r>
      <w:r>
        <w:t>rencia a una brigada policial– y que no salió de la c</w:t>
      </w:r>
      <w:r>
        <w:t>o</w:t>
      </w:r>
      <w:r>
        <w:t>cina antes de que se fuera esa persona. Aclaró que Telleldín recién le habló de la patota y de los autos después que esa persona se fue. Como se estaba realizando una venta, no tuvo explicación que la patota estuvi</w:t>
      </w:r>
      <w:r>
        <w:t>e</w:t>
      </w:r>
      <w:r>
        <w:t>ra ahí.</w:t>
      </w:r>
    </w:p>
    <w:p w:rsidR="00224567" w:rsidRDefault="00224567">
      <w:pPr>
        <w:widowControl w:val="0"/>
      </w:pPr>
      <w:r>
        <w:tab/>
        <w:t>El supuesto comprador estuvo en su c</w:t>
      </w:r>
      <w:r>
        <w:t>a</w:t>
      </w:r>
      <w:r>
        <w:t>sa alrededor de veinte, treinta minutos. Mientras é</w:t>
      </w:r>
      <w:r>
        <w:t>s</w:t>
      </w:r>
      <w:r>
        <w:t>te se encontraba en el living, en la cocina estaban sus hijos, Hugo Pérez y Cruz, viendo televisión. En otro momento m</w:t>
      </w:r>
      <w:r>
        <w:t>a</w:t>
      </w:r>
      <w:r>
        <w:t>nifestó que su hija Jessica, que estaba jugando en la planta alta, vio al supuesto comprador con su marido, a través de la ventana de los dormitorios.</w:t>
      </w:r>
    </w:p>
    <w:p w:rsidR="00224567" w:rsidRDefault="00224567">
      <w:pPr>
        <w:widowControl w:val="0"/>
      </w:pPr>
      <w:r>
        <w:tab/>
        <w:t>Por otra parte, incorporó a la escena a Pérez Mejías; refirió que en la declaración del 4 de abril de 1995 se habrá olvidado que estuvo presente Cruz, que ta</w:t>
      </w:r>
      <w:r>
        <w:t>m</w:t>
      </w:r>
      <w:r>
        <w:t>bién vivía allí.</w:t>
      </w:r>
    </w:p>
    <w:p w:rsidR="00224567" w:rsidRDefault="00224567">
      <w:pPr>
        <w:widowControl w:val="0"/>
      </w:pPr>
      <w:r>
        <w:tab/>
        <w:t>Señaló Boragni que estaba en la coc</w:t>
      </w:r>
      <w:r>
        <w:t>i</w:t>
      </w:r>
      <w:r>
        <w:t>na amasando, pero como su hijo menor se le escapó y entró donde e</w:t>
      </w:r>
      <w:r>
        <w:t>s</w:t>
      </w:r>
      <w:r>
        <w:t>taba Telleldín y el otro individuo, debió ingresar al comedor. Buscó a su hijo a pesar de estar enharinada porque los mayores estaban viendo televisión en la c</w:t>
      </w:r>
      <w:r>
        <w:t>o</w:t>
      </w:r>
      <w:r>
        <w:t xml:space="preserve">cina y los menores eran muy chicos para buscar al niño. </w:t>
      </w:r>
    </w:p>
    <w:p w:rsidR="00224567" w:rsidRDefault="00224567">
      <w:pPr>
        <w:widowControl w:val="0"/>
      </w:pPr>
      <w:r>
        <w:tab/>
        <w:t>Allí tomó a su hijo, se sentó unos s</w:t>
      </w:r>
      <w:r>
        <w:t>e</w:t>
      </w:r>
      <w:r>
        <w:t xml:space="preserve">gundos y dialogó cordialmente con quien supuestamente le estaba comprando </w:t>
      </w:r>
      <w:smartTag w:uri="urn:schemas-microsoft-com:office:smarttags" w:element="PersonName">
        <w:smartTagPr>
          <w:attr w:name="ProductID" w:val="la Trafic"/>
        </w:smartTagPr>
        <w:r>
          <w:t>la Trafic</w:t>
        </w:r>
      </w:smartTag>
      <w:r>
        <w:t xml:space="preserve"> a su mar</w:t>
      </w:r>
      <w:r>
        <w:t>i</w:t>
      </w:r>
      <w:r>
        <w:t>do; incluso lo invitó a comer, rehusándose aquél dado que tenía que irse.</w:t>
      </w:r>
    </w:p>
    <w:p w:rsidR="00224567" w:rsidRDefault="00224567">
      <w:pPr>
        <w:widowControl w:val="0"/>
      </w:pPr>
      <w:r>
        <w:tab/>
        <w:t>Pudo escuchar que hablaban de dinero, sin poder determinar si discutían el valor total de la c</w:t>
      </w:r>
      <w:r>
        <w:t>a</w:t>
      </w:r>
      <w:r>
        <w:t>mioneta o de los asientos que el comprador quería coloca</w:t>
      </w:r>
      <w:r>
        <w:t>r</w:t>
      </w:r>
      <w:r>
        <w:t>le. Más adelante indicó que el precio que se man</w:t>
      </w:r>
      <w:r>
        <w:t>e</w:t>
      </w:r>
      <w:r>
        <w:t>jó fue de once mil, sin poder precisar si eran dólares o pesos ni si hubo rebaja, ya que no presenció cuando se abonó.</w:t>
      </w:r>
    </w:p>
    <w:p w:rsidR="00224567" w:rsidRDefault="00224567">
      <w:pPr>
        <w:widowControl w:val="0"/>
      </w:pPr>
      <w:r>
        <w:tab/>
        <w:t>Tampoco recordó si vio billetes sobre la mesa y aclaró que cuando en julio de 1996 dijo que no se había habl</w:t>
      </w:r>
      <w:r>
        <w:t>a</w:t>
      </w:r>
      <w:r>
        <w:t>do de dinero quiso decir que no lo vio.</w:t>
      </w:r>
    </w:p>
    <w:p w:rsidR="00224567" w:rsidRDefault="00224567">
      <w:pPr>
        <w:widowControl w:val="0"/>
      </w:pPr>
      <w:r>
        <w:tab/>
        <w:t>Agregó que ese sujeto hablaba con un acento extraño, similar al venezol</w:t>
      </w:r>
      <w:r>
        <w:t>a</w:t>
      </w:r>
      <w:r>
        <w:t>no, y que lo trataba a su marido de “Don”. Describió su fisonomía, apariencia y vest</w:t>
      </w:r>
      <w:r>
        <w:t>i</w:t>
      </w:r>
      <w:r>
        <w:t>menta.</w:t>
      </w:r>
    </w:p>
    <w:p w:rsidR="00224567" w:rsidRDefault="00224567">
      <w:pPr>
        <w:widowControl w:val="0"/>
      </w:pPr>
      <w:r>
        <w:tab/>
        <w:t>Telleldín le dijo que era el mismo s</w:t>
      </w:r>
      <w:r>
        <w:t>u</w:t>
      </w:r>
      <w:r>
        <w:t>jeto que había hablado por teléfono pr</w:t>
      </w:r>
      <w:r>
        <w:t>e</w:t>
      </w:r>
      <w:r>
        <w:t>viamente.</w:t>
      </w:r>
    </w:p>
    <w:p w:rsidR="00224567" w:rsidRDefault="00224567">
      <w:pPr>
        <w:widowControl w:val="0"/>
      </w:pPr>
      <w:r>
        <w:tab/>
        <w:t>Recordó que estaban llenando un bol</w:t>
      </w:r>
      <w:r>
        <w:t>e</w:t>
      </w:r>
      <w:r>
        <w:t>to de compraventa pero no las circunstancias que rode</w:t>
      </w:r>
      <w:r>
        <w:t>a</w:t>
      </w:r>
      <w:r>
        <w:t>ron el hecho.</w:t>
      </w:r>
    </w:p>
    <w:p w:rsidR="00224567" w:rsidRDefault="00224567">
      <w:pPr>
        <w:widowControl w:val="0"/>
      </w:pPr>
      <w:r>
        <w:tab/>
        <w:t>Mientras Telleldín escribía, le pr</w:t>
      </w:r>
      <w:r>
        <w:t>e</w:t>
      </w:r>
      <w:r>
        <w:t>guntó al interesado por qué era tan alto el número del d</w:t>
      </w:r>
      <w:r>
        <w:t>o</w:t>
      </w:r>
      <w:r>
        <w:t>cumento y éste le respo</w:t>
      </w:r>
      <w:r>
        <w:t>n</w:t>
      </w:r>
      <w:r>
        <w:t>dió que era para extranjeros.</w:t>
      </w:r>
    </w:p>
    <w:p w:rsidR="00224567" w:rsidRDefault="00224567">
      <w:pPr>
        <w:widowControl w:val="0"/>
      </w:pPr>
      <w:r>
        <w:tab/>
        <w:t>Le pareció que la fotografía del ca</w:t>
      </w:r>
      <w:r>
        <w:t>r</w:t>
      </w:r>
      <w:r>
        <w:t>tular no correspo</w:t>
      </w:r>
      <w:r>
        <w:t>n</w:t>
      </w:r>
      <w:r>
        <w:t xml:space="preserve">día al adquirente de </w:t>
      </w:r>
      <w:smartTag w:uri="urn:schemas-microsoft-com:office:smarttags" w:element="PersonName">
        <w:smartTagPr>
          <w:attr w:name="ProductID" w:val="la Trafic."/>
        </w:smartTagPr>
        <w:r>
          <w:t>la Trafic.</w:t>
        </w:r>
      </w:smartTag>
      <w:r>
        <w:t xml:space="preserve"> </w:t>
      </w:r>
    </w:p>
    <w:p w:rsidR="00224567" w:rsidRDefault="00224567">
      <w:pPr>
        <w:widowControl w:val="0"/>
      </w:pPr>
      <w:r>
        <w:tab/>
        <w:t>El interesado dijo que la camioneta la adquiría para otra persona que tenía que llegar de afuera, sin aclarar para qué actividad la n</w:t>
      </w:r>
      <w:r>
        <w:t>e</w:t>
      </w:r>
      <w:r>
        <w:t xml:space="preserve">cesitaban. </w:t>
      </w:r>
    </w:p>
    <w:p w:rsidR="00224567" w:rsidRDefault="00224567">
      <w:pPr>
        <w:widowControl w:val="0"/>
      </w:pPr>
      <w:r>
        <w:tab/>
        <w:t>Luego, Telleldín le alcanzó el boleto y esta pe</w:t>
      </w:r>
      <w:r>
        <w:t>r</w:t>
      </w:r>
      <w:r>
        <w:t>sona lo firmó.</w:t>
      </w:r>
    </w:p>
    <w:p w:rsidR="00224567" w:rsidRDefault="00224567">
      <w:pPr>
        <w:widowControl w:val="0"/>
      </w:pPr>
      <w:r>
        <w:tab/>
        <w:t>Cuando Telleldín le comentó que falt</w:t>
      </w:r>
      <w:r>
        <w:t>a</w:t>
      </w:r>
      <w:r>
        <w:t>ba el formulario 08 y otra documentación, el comprador r</w:t>
      </w:r>
      <w:r>
        <w:t>e</w:t>
      </w:r>
      <w:r>
        <w:t>firió que volvería a buscarla. Boragni sobre la mesa no vio pap</w:t>
      </w:r>
      <w:r>
        <w:t>e</w:t>
      </w:r>
      <w:r>
        <w:t>les del auto.</w:t>
      </w:r>
    </w:p>
    <w:p w:rsidR="00224567" w:rsidRDefault="00224567">
      <w:pPr>
        <w:widowControl w:val="0"/>
      </w:pPr>
      <w:r>
        <w:tab/>
        <w:t>Ella se despidió y en ese momento go</w:t>
      </w:r>
      <w:r>
        <w:t>l</w:t>
      </w:r>
      <w:r>
        <w:t>pearon la puerta; abrió y atendió a dos hombres que inte</w:t>
      </w:r>
      <w:r>
        <w:t>n</w:t>
      </w:r>
      <w:r>
        <w:t>taron mirar hacia dentro, preguntaron por la camioneta, respondié</w:t>
      </w:r>
      <w:r>
        <w:t>n</w:t>
      </w:r>
      <w:r>
        <w:t>doles que ya se había vendido.</w:t>
      </w:r>
    </w:p>
    <w:p w:rsidR="00224567" w:rsidRDefault="00224567">
      <w:pPr>
        <w:widowControl w:val="0"/>
      </w:pPr>
      <w:r>
        <w:tab/>
        <w:t>Según creyó Telleldín, en ese mome</w:t>
      </w:r>
      <w:r>
        <w:t>n</w:t>
      </w:r>
      <w:r>
        <w:t>to, miró por la ventana y ella volvió a la cocina. Explicó B</w:t>
      </w:r>
      <w:r>
        <w:t>o</w:t>
      </w:r>
      <w:r>
        <w:t>ragni que en esa ocasión no pudo observar ni</w:t>
      </w:r>
      <w:r>
        <w:t>n</w:t>
      </w:r>
      <w:r>
        <w:t xml:space="preserve">gún vehículo. </w:t>
      </w:r>
    </w:p>
    <w:p w:rsidR="00224567" w:rsidRDefault="00224567">
      <w:pPr>
        <w:widowControl w:val="0"/>
      </w:pPr>
      <w:r>
        <w:tab/>
        <w:t>Luego Telleldín les dijo a quienes e</w:t>
      </w:r>
      <w:r>
        <w:t>s</w:t>
      </w:r>
      <w:r>
        <w:t>taban en la casa, que esas personas no eran compradores sino de la brig</w:t>
      </w:r>
      <w:r>
        <w:t>a</w:t>
      </w:r>
      <w:r>
        <w:t>da.</w:t>
      </w:r>
    </w:p>
    <w:p w:rsidR="00224567" w:rsidRDefault="00224567">
      <w:pPr>
        <w:widowControl w:val="0"/>
      </w:pPr>
      <w:r>
        <w:tab/>
        <w:t>Después que terminaron la operación, Telleldín y el comprador salieron de la vivienda perman</w:t>
      </w:r>
      <w:r>
        <w:t>e</w:t>
      </w:r>
      <w:r>
        <w:t>ciendo unos quince minutos en la calle, en tanto, la c</w:t>
      </w:r>
      <w:r>
        <w:t>a</w:t>
      </w:r>
      <w:r>
        <w:t>mioneta Trafic continuaba estacionada frente a su domic</w:t>
      </w:r>
      <w:r>
        <w:t>i</w:t>
      </w:r>
      <w:r>
        <w:t>lio. Luegó entró su mar</w:t>
      </w:r>
      <w:r>
        <w:t>i</w:t>
      </w:r>
      <w:r>
        <w:t>do.</w:t>
      </w:r>
    </w:p>
    <w:p w:rsidR="00224567" w:rsidRDefault="00224567">
      <w:pPr>
        <w:widowControl w:val="0"/>
      </w:pPr>
      <w:r>
        <w:tab/>
        <w:t xml:space="preserve">No lo vio subir a </w:t>
      </w:r>
      <w:smartTag w:uri="urn:schemas-microsoft-com:office:smarttags" w:element="PersonName">
        <w:smartTagPr>
          <w:attr w:name="ProductID" w:val="la Trafic"/>
        </w:smartTagPr>
        <w:r>
          <w:t>la Trafic</w:t>
        </w:r>
      </w:smartTag>
      <w:r>
        <w:t xml:space="preserve"> en el m</w:t>
      </w:r>
      <w:r>
        <w:t>o</w:t>
      </w:r>
      <w:r>
        <w:t>mento en que se va pero cree que sí al momento de proba</w:t>
      </w:r>
      <w:r>
        <w:t>r</w:t>
      </w:r>
      <w:r>
        <w:t>la.</w:t>
      </w:r>
    </w:p>
    <w:p w:rsidR="00224567" w:rsidRDefault="00224567">
      <w:pPr>
        <w:widowControl w:val="0"/>
      </w:pPr>
      <w:r>
        <w:tab/>
        <w:t>No recordó cuánto tiempo transcurrió entre que aparecieron las dos personas que tocaron el ti</w:t>
      </w:r>
      <w:r>
        <w:t>m</w:t>
      </w:r>
      <w:r>
        <w:t>bre y que ellos sali</w:t>
      </w:r>
      <w:r>
        <w:t>e</w:t>
      </w:r>
      <w:r>
        <w:t>ron de la casa.</w:t>
      </w:r>
    </w:p>
    <w:p w:rsidR="00224567" w:rsidRDefault="00224567">
      <w:pPr>
        <w:widowControl w:val="0"/>
      </w:pPr>
      <w:r>
        <w:tab/>
        <w:t>Se le dio lectura de la parte pert</w:t>
      </w:r>
      <w:r>
        <w:t>i</w:t>
      </w:r>
      <w:r>
        <w:t>nente de su declar</w:t>
      </w:r>
      <w:r>
        <w:t>a</w:t>
      </w:r>
      <w:r>
        <w:t>ción de fs. 38.655/38.667 donde afirmó que luego de que su marido y el adquirente salieran a la calle, ella vio cómo este último subió a la camioneta y Carlos desde abajo conversó unas p</w:t>
      </w:r>
      <w:r>
        <w:t>a</w:t>
      </w:r>
      <w:r>
        <w:t>labras con él, mientras estaba cerca de ellos su vecino apodado “el Tano” y su h</w:t>
      </w:r>
      <w:r>
        <w:t>i</w:t>
      </w:r>
      <w:r>
        <w:t>jo, a quienes Carlos sal</w:t>
      </w:r>
      <w:r>
        <w:t>u</w:t>
      </w:r>
      <w:r>
        <w:t>dó.</w:t>
      </w:r>
    </w:p>
    <w:p w:rsidR="00224567" w:rsidRDefault="00224567">
      <w:pPr>
        <w:widowControl w:val="0"/>
      </w:pPr>
      <w:r>
        <w:tab/>
        <w:t>Frente a esto manifestó que sucedió como lo expl</w:t>
      </w:r>
      <w:r>
        <w:t>i</w:t>
      </w:r>
      <w:r>
        <w:t>có y que incluso el vecino le corrió el auto. Expresó que con posterioridad se enteró que Telleldín ta</w:t>
      </w:r>
      <w:r>
        <w:t>r</w:t>
      </w:r>
      <w:r>
        <w:t>dó en entrar po</w:t>
      </w:r>
      <w:r>
        <w:t>r</w:t>
      </w:r>
      <w:r>
        <w:t>que se encontró con Cotoras.</w:t>
      </w:r>
    </w:p>
    <w:p w:rsidR="00224567" w:rsidRDefault="00224567">
      <w:pPr>
        <w:widowControl w:val="0"/>
      </w:pPr>
      <w:r>
        <w:tab/>
        <w:t>Al marcársele la contradicción con lo declarado en el primer tramo de la audiencia, cuando man</w:t>
      </w:r>
      <w:r>
        <w:t>i</w:t>
      </w:r>
      <w:r>
        <w:t xml:space="preserve">festara que al salir a la probar </w:t>
      </w:r>
      <w:smartTag w:uri="urn:schemas-microsoft-com:office:smarttags" w:element="PersonName">
        <w:smartTagPr>
          <w:attr w:name="ProductID" w:val="la Trafic"/>
        </w:smartTagPr>
        <w:r>
          <w:t>la Trafic</w:t>
        </w:r>
      </w:smartTag>
      <w:r>
        <w:t xml:space="preserve">, Telleldín se quedó con el comprador de </w:t>
      </w:r>
      <w:smartTag w:uri="urn:schemas-microsoft-com:office:smarttags" w:element="metricconverter">
        <w:smartTagPr>
          <w:attr w:name="ProductID" w:val="15 a"/>
        </w:smartTagPr>
        <w:r>
          <w:t>15 a</w:t>
        </w:r>
      </w:smartTag>
      <w:r>
        <w:t xml:space="preserve"> 20 minutos afuera, viendo por la ventana que la persona subió a la c</w:t>
      </w:r>
      <w:r>
        <w:t>a</w:t>
      </w:r>
      <w:r>
        <w:t>mioneta, Carlos habló unas palabras con “el Tano” –que estaba con el hijo– y de</w:t>
      </w:r>
      <w:r>
        <w:t>s</w:t>
      </w:r>
      <w:r>
        <w:t xml:space="preserve">pués volvió a su casa. </w:t>
      </w:r>
    </w:p>
    <w:p w:rsidR="00224567" w:rsidRDefault="00224567">
      <w:pPr>
        <w:widowControl w:val="0"/>
      </w:pPr>
      <w:r>
        <w:tab/>
        <w:t>A ello respondió que vio que Telle</w:t>
      </w:r>
      <w:r>
        <w:t>l</w:t>
      </w:r>
      <w:r>
        <w:t>dín se despidió de la persona y que lo último que o</w:t>
      </w:r>
      <w:r>
        <w:t>b</w:t>
      </w:r>
      <w:r>
        <w:t>servó fue cuando habló con “el Tano”, que le corrió el auto, pero nada más. T</w:t>
      </w:r>
      <w:r>
        <w:t>e</w:t>
      </w:r>
      <w:r>
        <w:t>lleldín demoró en entrar pero no pudo afirmar si la persona se quedó 20 minutos o se fue enseguida. Pr</w:t>
      </w:r>
      <w:r>
        <w:t>e</w:t>
      </w:r>
      <w:r>
        <w:t>cisó que ella se retiró antes porque ni siquiera llegó a ver a Cotoras que llegó de</w:t>
      </w:r>
      <w:r>
        <w:t>s</w:t>
      </w:r>
      <w:r>
        <w:t>pués.</w:t>
      </w:r>
    </w:p>
    <w:p w:rsidR="00224567" w:rsidRDefault="00224567">
      <w:pPr>
        <w:widowControl w:val="0"/>
      </w:pPr>
      <w:r>
        <w:tab/>
        <w:t>En otro momento explicó que cuando T</w:t>
      </w:r>
      <w:r>
        <w:t>e</w:t>
      </w:r>
      <w:r>
        <w:t>lleldín salió a mirar los automotores que había indicado como de alguna brigada, no estando ni el comprador ni la camioneta, llegó Guille</w:t>
      </w:r>
      <w:r>
        <w:t>r</w:t>
      </w:r>
      <w:r>
        <w:t>mo Cotoras a quien le dio algo de dinero y se fue sin i</w:t>
      </w:r>
      <w:r>
        <w:t>n</w:t>
      </w:r>
      <w:r>
        <w:t>gresar a la casa.</w:t>
      </w:r>
    </w:p>
    <w:p w:rsidR="00224567" w:rsidRDefault="00224567">
      <w:pPr>
        <w:widowControl w:val="0"/>
      </w:pPr>
      <w:r>
        <w:tab/>
        <w:t>Al día siguiente ella retiró de la c</w:t>
      </w:r>
      <w:r>
        <w:t>a</w:t>
      </w:r>
      <w:r>
        <w:t>ja fuerte de su dormitorio $ 1.500 para pagar el a</w:t>
      </w:r>
      <w:r>
        <w:t>l</w:t>
      </w:r>
      <w:r>
        <w:t>quiler.</w:t>
      </w:r>
    </w:p>
    <w:p w:rsidR="00224567" w:rsidRDefault="00224567">
      <w:pPr>
        <w:widowControl w:val="0"/>
      </w:pPr>
      <w:r>
        <w:tab/>
        <w:t>Cuando Telleldín ingresó a su vivie</w:t>
      </w:r>
      <w:r>
        <w:t>n</w:t>
      </w:r>
      <w:r>
        <w:t>da nuevamente, e</w:t>
      </w:r>
      <w:r>
        <w:t>s</w:t>
      </w:r>
      <w:r>
        <w:t>taban Pérez Mejía, Hugo y Cruz; uno de estos dos últimos le preguntaron por qué estaba nervi</w:t>
      </w:r>
      <w:r>
        <w:t>o</w:t>
      </w:r>
      <w:r>
        <w:t>so y aquél re</w:t>
      </w:r>
      <w:r>
        <w:t>s</w:t>
      </w:r>
      <w:r>
        <w:t>pondió que a la vuelta había una persona a bordo de un automotor estacionado, que creía perteneciente a un pol</w:t>
      </w:r>
      <w:r>
        <w:t>i</w:t>
      </w:r>
      <w:r>
        <w:t>cía de la seccional de Villa Lynch. A ese rodado, apare</w:t>
      </w:r>
      <w:r>
        <w:t>n</w:t>
      </w:r>
      <w:r>
        <w:t>temente Telleldín lo había observado cuando salió a probar la c</w:t>
      </w:r>
      <w:r>
        <w:t>a</w:t>
      </w:r>
      <w:r>
        <w:t>mioneta Trafic.</w:t>
      </w:r>
    </w:p>
    <w:p w:rsidR="00224567" w:rsidRDefault="00224567">
      <w:pPr>
        <w:widowControl w:val="0"/>
      </w:pPr>
      <w:r>
        <w:tab/>
        <w:t>Su marido también le preguntó a P</w:t>
      </w:r>
      <w:r>
        <w:t>é</w:t>
      </w:r>
      <w:r>
        <w:t>rez, frente a Cruz y P</w:t>
      </w:r>
      <w:r>
        <w:t>é</w:t>
      </w:r>
      <w:r>
        <w:t>rez Mejía, si podía ser que un documento nacional de identidad para extranjeros tuviera el número treinta y pico, cuarenta y pico millones, a lo que Pérez le dijo que podía ser.</w:t>
      </w:r>
    </w:p>
    <w:p w:rsidR="00224567" w:rsidRDefault="00224567">
      <w:pPr>
        <w:widowControl w:val="0"/>
      </w:pPr>
      <w:r>
        <w:tab/>
        <w:t>En esos momentos, Telleldín dijo que las dos personas que habían tocado la puerta no tenían n</w:t>
      </w:r>
      <w:r>
        <w:t>a</w:t>
      </w:r>
      <w:r>
        <w:t>da de compradores y que por su vestimenta eran de una br</w:t>
      </w:r>
      <w:r>
        <w:t>i</w:t>
      </w:r>
      <w:r>
        <w:t>gada, ya que lucían zapatillas marca Adidas, de color blanco y ca</w:t>
      </w:r>
      <w:r>
        <w:t>m</w:t>
      </w:r>
      <w:r>
        <w:t>peras de cuero. Agregó que algo raro ocurría, que cuando salió con Hugo pudo ver que los automóviles mencionados permanecían detenidos en sus l</w:t>
      </w:r>
      <w:r>
        <w:t>u</w:t>
      </w:r>
      <w:r>
        <w:t>gares.</w:t>
      </w:r>
    </w:p>
    <w:p w:rsidR="00224567" w:rsidRDefault="00224567">
      <w:pPr>
        <w:widowControl w:val="0"/>
      </w:pPr>
      <w:r>
        <w:tab/>
        <w:t>Indicó que antes de comer subieron a su dormitorio donde le comentó que había visto la patota afuera. Telle</w:t>
      </w:r>
      <w:r>
        <w:t>l</w:t>
      </w:r>
      <w:r>
        <w:t>dín no vinculó, en ese momento sino después, la entrega de la camioneta con esa presencia p</w:t>
      </w:r>
      <w:r>
        <w:t>o</w:t>
      </w:r>
      <w:r>
        <w:t>licial.</w:t>
      </w:r>
    </w:p>
    <w:p w:rsidR="00224567" w:rsidRDefault="00224567">
      <w:pPr>
        <w:widowControl w:val="0"/>
      </w:pPr>
      <w:r>
        <w:tab/>
        <w:t>Si bien recordó una discusión con T</w:t>
      </w:r>
      <w:r>
        <w:t>e</w:t>
      </w:r>
      <w:r>
        <w:t>lleldín por ese tema, no que éste le pidiera que sim</w:t>
      </w:r>
      <w:r>
        <w:t>u</w:t>
      </w:r>
      <w:r>
        <w:t>lara que había sido una venta, ni haber dicho que la operación le resultaba extraña o que el supuesto comprador era un testaferro de la p</w:t>
      </w:r>
      <w:r>
        <w:t>o</w:t>
      </w:r>
      <w:r>
        <w:t>licía.</w:t>
      </w:r>
    </w:p>
    <w:p w:rsidR="00224567" w:rsidRDefault="00224567">
      <w:pPr>
        <w:widowControl w:val="0"/>
      </w:pPr>
      <w:r>
        <w:tab/>
        <w:t>Explicó que para ella se trató de una venta más; que a</w:t>
      </w:r>
      <w:r>
        <w:t>l</w:t>
      </w:r>
      <w:r>
        <w:t>morzaron y luego, a eso de las cuatro de la tarde salieron sin rumbo fijo con su marido y su hijo Nahuel. Cree que pararon en un local “Mc Donalds” y vo</w:t>
      </w:r>
      <w:r>
        <w:t>l</w:t>
      </w:r>
      <w:r>
        <w:t>vieron cuando ya estaba oscuro, a</w:t>
      </w:r>
      <w:r>
        <w:t>l</w:t>
      </w:r>
      <w:r>
        <w:t>rededor de las 19 o 20.</w:t>
      </w:r>
    </w:p>
    <w:p w:rsidR="00224567" w:rsidRDefault="00224567">
      <w:pPr>
        <w:widowControl w:val="0"/>
      </w:pPr>
      <w:r>
        <w:tab/>
        <w:t>Cuando salieron por la tarde, su par</w:t>
      </w:r>
      <w:r>
        <w:t>e</w:t>
      </w:r>
      <w:r>
        <w:t xml:space="preserve">ja le comentó el monto en que había vendido </w:t>
      </w:r>
      <w:smartTag w:uri="urn:schemas-microsoft-com:office:smarttags" w:element="PersonName">
        <w:smartTagPr>
          <w:attr w:name="ProductID" w:val="la Trafic"/>
        </w:smartTagPr>
        <w:r>
          <w:t>la Trafic</w:t>
        </w:r>
      </w:smartTag>
      <w:r>
        <w:t xml:space="preserve"> y que debió pelear el precio. Se alegró que la persona que se llevó </w:t>
      </w:r>
      <w:smartTag w:uri="urn:schemas-microsoft-com:office:smarttags" w:element="PersonName">
        <w:smartTagPr>
          <w:attr w:name="ProductID" w:val="la Trafic"/>
        </w:smartTagPr>
        <w:r>
          <w:t>la Trafic</w:t>
        </w:r>
      </w:smartTag>
      <w:r>
        <w:t xml:space="preserve"> no le diera importancia a la posterg</w:t>
      </w:r>
      <w:r>
        <w:t>a</w:t>
      </w:r>
      <w:r>
        <w:t>ción de la entrega de los 08, porque los tenía Monjo.</w:t>
      </w:r>
    </w:p>
    <w:p w:rsidR="00224567" w:rsidRDefault="00224567">
      <w:pPr>
        <w:widowControl w:val="0"/>
      </w:pPr>
      <w:r>
        <w:tab/>
        <w:t>Posteriormente Telleldín también habló de un vehículo celeste que pertenecía a otra brigada y e</w:t>
      </w:r>
      <w:r>
        <w:t>s</w:t>
      </w:r>
      <w:r>
        <w:t>taba estacionado sobre la calle de la s</w:t>
      </w:r>
      <w:r>
        <w:t>a</w:t>
      </w:r>
      <w:r>
        <w:t xml:space="preserve">lita Marengo. </w:t>
      </w:r>
    </w:p>
    <w:p w:rsidR="00224567" w:rsidRDefault="00224567">
      <w:pPr>
        <w:widowControl w:val="0"/>
      </w:pPr>
      <w:r>
        <w:tab/>
        <w:t>Aclaró que con Carlos permanecieron en la vivienda sábado y domingo, donde también se e</w:t>
      </w:r>
      <w:r>
        <w:t>n</w:t>
      </w:r>
      <w:r>
        <w:t>contraban Hugo, Cruz, Pérez Mejías –quienes a la fecha vivían allí sin pagar nada por el alojamiento o comida– y sus hijos Jessica y Damián; posiblemente también se encontraran Ca</w:t>
      </w:r>
      <w:r>
        <w:t>r</w:t>
      </w:r>
      <w:r>
        <w:t>litos, Raúl y Nahuel que tenía dos años.</w:t>
      </w:r>
    </w:p>
    <w:p w:rsidR="00224567" w:rsidRDefault="00224567">
      <w:pPr>
        <w:widowControl w:val="0"/>
      </w:pPr>
      <w:r>
        <w:tab/>
        <w:t>Explicó que la noche del 10 o la del día siguiente, Carlos llamó a Diego Barreda y le comentó acerca de la venta del vehículo y la presencia de gente extraña. Asimismo, bromearon un poco con el acento que t</w:t>
      </w:r>
      <w:r>
        <w:t>e</w:t>
      </w:r>
      <w:r>
        <w:t>nía la persona de origen extranjero. Aclaró que fue Di</w:t>
      </w:r>
      <w:r>
        <w:t>e</w:t>
      </w:r>
      <w:r>
        <w:t>go el que ll</w:t>
      </w:r>
      <w:r>
        <w:t>a</w:t>
      </w:r>
      <w:r>
        <w:t>mó el 10 y avisó que estaba en la clínica con su señora, dado que había nacido su b</w:t>
      </w:r>
      <w:r>
        <w:t>e</w:t>
      </w:r>
      <w:r>
        <w:t>bé.</w:t>
      </w:r>
    </w:p>
    <w:p w:rsidR="00224567" w:rsidRDefault="00224567">
      <w:pPr>
        <w:widowControl w:val="0"/>
      </w:pPr>
      <w:r>
        <w:tab/>
        <w:t>El día 11 o 12 Diego concurrió a su domicilio y Carlos le relató la venta de la camioneta, y le solicitó que le co</w:t>
      </w:r>
      <w:r>
        <w:t>n</w:t>
      </w:r>
      <w:r>
        <w:t>firmara si el vehículo color celeste observado pertenecía a una brigada. Barreda le contestó con evasivas y no le dio trascendencia al t</w:t>
      </w:r>
      <w:r>
        <w:t>e</w:t>
      </w:r>
      <w:r>
        <w:t>ma.</w:t>
      </w:r>
    </w:p>
    <w:p w:rsidR="00224567" w:rsidRDefault="00224567">
      <w:pPr>
        <w:widowControl w:val="0"/>
      </w:pPr>
      <w:r>
        <w:tab/>
        <w:t>Dos o tres días después, cuando T</w:t>
      </w:r>
      <w:r>
        <w:t>e</w:t>
      </w:r>
      <w:r>
        <w:t>lleldín tuvo en su poder los formularios 08, hablaron nu</w:t>
      </w:r>
      <w:r>
        <w:t>e</w:t>
      </w:r>
      <w:r>
        <w:t>vame</w:t>
      </w:r>
      <w:r>
        <w:t>n</w:t>
      </w:r>
      <w:r>
        <w:t>te de la venta de la camioneta.</w:t>
      </w:r>
    </w:p>
    <w:p w:rsidR="00224567" w:rsidRDefault="00224567">
      <w:pPr>
        <w:widowControl w:val="0"/>
      </w:pPr>
      <w:r>
        <w:tab/>
        <w:t>Como el comprador no llamaba ni se presentaba, Telleldín fue con Hugo Pérez a la dirección que figuraba en el bol</w:t>
      </w:r>
      <w:r>
        <w:t>e</w:t>
      </w:r>
      <w:r>
        <w:t>to de compraventa para entregar ese formulario y no encontró la dirección tampoco la persona buscada. No recordó si esto ocurrió antes o después del “apriete” de Vicente L</w:t>
      </w:r>
      <w:r>
        <w:t>ó</w:t>
      </w:r>
      <w:r>
        <w:t>pez.</w:t>
      </w:r>
    </w:p>
    <w:p w:rsidR="00224567" w:rsidRDefault="00224567">
      <w:pPr>
        <w:widowControl w:val="0"/>
      </w:pPr>
      <w:r>
        <w:tab/>
        <w:t>Insistió en resaltar la preocupación de Telleldín porque hubiera quedado pendiente la entrega del 08, lo que a ella le llamó la atención porque si a su marido le daban el dinero, él entregaba el auto y no se preocupaba por el tema de los pap</w:t>
      </w:r>
      <w:r>
        <w:t>e</w:t>
      </w:r>
      <w:r>
        <w:t xml:space="preserve">les. </w:t>
      </w:r>
    </w:p>
    <w:p w:rsidR="00224567" w:rsidRDefault="00224567">
      <w:pPr>
        <w:widowControl w:val="0"/>
      </w:pPr>
      <w:r>
        <w:tab/>
        <w:t>Al retomar el tema de la entrega de la camioneta, B</w:t>
      </w:r>
      <w:r>
        <w:t>o</w:t>
      </w:r>
      <w:r>
        <w:t>ragni señaló que el 10 de julio de 1994 para ella se había re</w:t>
      </w:r>
      <w:r>
        <w:t>a</w:t>
      </w:r>
      <w:r>
        <w:t xml:space="preserve">lizado una venta, a pesar de la discusión que tuviera con su marido por la gente de la brigada que estaba afuera de su domicilio. </w:t>
      </w:r>
    </w:p>
    <w:p w:rsidR="00224567" w:rsidRDefault="00224567">
      <w:pPr>
        <w:widowControl w:val="0"/>
      </w:pPr>
      <w:r>
        <w:tab/>
        <w:t>Recién después, cuando Telleldín est</w:t>
      </w:r>
      <w:r>
        <w:t>u</w:t>
      </w:r>
      <w:r>
        <w:t>vo detenido en Caseros o Devoto, le comentó que la cami</w:t>
      </w:r>
      <w:r>
        <w:t>o</w:t>
      </w:r>
      <w:r>
        <w:t>neta la había entregado a la policía en pago por una de</w:t>
      </w:r>
      <w:r>
        <w:t>u</w:t>
      </w:r>
      <w:r>
        <w:t>da. Le precisó entonces que el comprador había ido en r</w:t>
      </w:r>
      <w:r>
        <w:t>e</w:t>
      </w:r>
      <w:r>
        <w:t>present</w:t>
      </w:r>
      <w:r>
        <w:t>a</w:t>
      </w:r>
      <w:r>
        <w:t>ción de las personas de la brigada que bajaron del auto de color crema estacionado a la vuelta a quienes h</w:t>
      </w:r>
      <w:r>
        <w:t>a</w:t>
      </w:r>
      <w:r>
        <w:t>bía visto con anteri</w:t>
      </w:r>
      <w:r>
        <w:t>o</w:t>
      </w:r>
      <w:r>
        <w:t xml:space="preserve">ridad. </w:t>
      </w:r>
    </w:p>
    <w:p w:rsidR="00224567" w:rsidRDefault="00224567">
      <w:pPr>
        <w:widowControl w:val="0"/>
      </w:pPr>
      <w:r>
        <w:tab/>
        <w:t>Con relación a los dos sujetos que t</w:t>
      </w:r>
      <w:r>
        <w:t>o</w:t>
      </w:r>
      <w:r>
        <w:t>caron el timbre mientras se realizaba la operación, le h</w:t>
      </w:r>
      <w:r>
        <w:t>i</w:t>
      </w:r>
      <w:r>
        <w:t>zo reco</w:t>
      </w:r>
      <w:r>
        <w:t>r</w:t>
      </w:r>
      <w:r>
        <w:t>dar que él había dicho que eran de una brigada.</w:t>
      </w:r>
    </w:p>
    <w:p w:rsidR="00224567" w:rsidRDefault="00224567">
      <w:pPr>
        <w:widowControl w:val="0"/>
      </w:pPr>
      <w:r>
        <w:tab/>
        <w:t>En otro momento sostuvo que el día de la transacción, Telleldín le había adelantado indirect</w:t>
      </w:r>
      <w:r>
        <w:t>a</w:t>
      </w:r>
      <w:r>
        <w:t>mente que la camioneta se la habían llevado los policías. Así, recordó que aquél día dijo algo como que “entregué la camioneta en manos de una brigada” o “la brigada me vive apreta</w:t>
      </w:r>
      <w:r>
        <w:t>n</w:t>
      </w:r>
      <w:r>
        <w:t>do”.</w:t>
      </w:r>
    </w:p>
    <w:p w:rsidR="00224567" w:rsidRDefault="00224567">
      <w:pPr>
        <w:widowControl w:val="0"/>
      </w:pPr>
      <w:r>
        <w:tab/>
        <w:t>Frente a las contradictorias versi</w:t>
      </w:r>
      <w:r>
        <w:t>o</w:t>
      </w:r>
      <w:r>
        <w:t>nes sobre el cará</w:t>
      </w:r>
      <w:r>
        <w:t>c</w:t>
      </w:r>
      <w:r>
        <w:t>ter en que se hubiera entregado la camioneta (venta o exto</w:t>
      </w:r>
      <w:r>
        <w:t>r</w:t>
      </w:r>
      <w:r>
        <w:t>sión), se dio lectura en lo pertinente a sus testimoniales del 26 de julio de 1994 y 4 de abril de 1995, donde sostuviera que se trató de una operación de compraventa, y se la interrogó al re</w:t>
      </w:r>
      <w:r>
        <w:t>s</w:t>
      </w:r>
      <w:r>
        <w:t>pecto.</w:t>
      </w:r>
    </w:p>
    <w:p w:rsidR="00224567" w:rsidRDefault="00224567">
      <w:pPr>
        <w:widowControl w:val="0"/>
      </w:pPr>
      <w:r>
        <w:tab/>
        <w:t xml:space="preserve">Con relación a la primera de ellas, prestada ante </w:t>
      </w:r>
      <w:smartTag w:uri="urn:schemas-microsoft-com:office:smarttags" w:element="PersonName">
        <w:smartTagPr>
          <w:attr w:name="ProductID" w:val="la Divisi￳n"/>
        </w:smartTagPr>
        <w:r>
          <w:t>la División</w:t>
        </w:r>
      </w:smartTag>
      <w:r>
        <w:t xml:space="preserve"> de Protección al Orden Constit</w:t>
      </w:r>
      <w:r>
        <w:t>u</w:t>
      </w:r>
      <w:r>
        <w:t>cional, arguyó que “salía lo que salía” porque se enco</w:t>
      </w:r>
      <w:r>
        <w:t>n</w:t>
      </w:r>
      <w:r>
        <w:t>traba en estado de pánico, el personal policial la maltr</w:t>
      </w:r>
      <w:r>
        <w:t>a</w:t>
      </w:r>
      <w:r>
        <w:t>taba y amenazaba a Cotoras; además sus hijos e</w:t>
      </w:r>
      <w:r>
        <w:t>s</w:t>
      </w:r>
      <w:r>
        <w:t xml:space="preserve">taban en su casa con personal de </w:t>
      </w:r>
      <w:smartTag w:uri="urn:schemas-microsoft-com:office:smarttags" w:element="PersonName">
        <w:smartTagPr>
          <w:attr w:name="ProductID" w:val="la Secretar￭a"/>
        </w:smartTagPr>
        <w:r>
          <w:t>la Secretaría</w:t>
        </w:r>
      </w:smartTag>
      <w:r>
        <w:t xml:space="preserve"> de Inteligencia del E</w:t>
      </w:r>
      <w:r>
        <w:t>s</w:t>
      </w:r>
      <w:r>
        <w:t>tado. Por eso lo único que quería era irse cuanto a</w:t>
      </w:r>
      <w:r>
        <w:t>n</w:t>
      </w:r>
      <w:r>
        <w:t>tes y a tal fin sostuvo que la camioneta se había ve</w:t>
      </w:r>
      <w:r>
        <w:t>n</w:t>
      </w:r>
      <w:r>
        <w:t>dido.</w:t>
      </w:r>
    </w:p>
    <w:p w:rsidR="00224567" w:rsidRDefault="00224567">
      <w:pPr>
        <w:widowControl w:val="0"/>
      </w:pPr>
      <w:r>
        <w:tab/>
        <w:t>La idea de la venta surgió a partir de lo que le manifestaran empleados de la firma Alejandro A</w:t>
      </w:r>
      <w:r>
        <w:t>u</w:t>
      </w:r>
      <w:r>
        <w:t>tomotores que también estaban d</w:t>
      </w:r>
      <w:r>
        <w:t>e</w:t>
      </w:r>
      <w:r>
        <w:t>clarando en ese lugar.</w:t>
      </w:r>
    </w:p>
    <w:p w:rsidR="00224567" w:rsidRDefault="00224567">
      <w:pPr>
        <w:widowControl w:val="0"/>
      </w:pPr>
      <w:r>
        <w:tab/>
        <w:t>Fue por estas mismas razones que om</w:t>
      </w:r>
      <w:r>
        <w:t>i</w:t>
      </w:r>
      <w:r>
        <w:t>tió transmitir la discusión con su marido en el dorm</w:t>
      </w:r>
      <w:r>
        <w:t>i</w:t>
      </w:r>
      <w:r>
        <w:t>torio con relación al tema p</w:t>
      </w:r>
      <w:r>
        <w:t>o</w:t>
      </w:r>
      <w:r>
        <w:t>licial.</w:t>
      </w:r>
    </w:p>
    <w:p w:rsidR="00224567" w:rsidRDefault="00224567">
      <w:pPr>
        <w:widowControl w:val="0"/>
      </w:pPr>
      <w:r>
        <w:tab/>
        <w:t>Al hacérsele notar similitudes entre esa testimonial y la primera declaración de Telleldín, n</w:t>
      </w:r>
      <w:r>
        <w:t>e</w:t>
      </w:r>
      <w:r>
        <w:t>gó que acordaran una versión común. No obstante, recordó que a Bareiro y Barreda les comentó la versión dada, au</w:t>
      </w:r>
      <w:r>
        <w:t>n</w:t>
      </w:r>
      <w:r>
        <w:t>que no supo si éstos se la transmitieron a Telle</w:t>
      </w:r>
      <w:r>
        <w:t>l</w:t>
      </w:r>
      <w:r>
        <w:t>dín.</w:t>
      </w:r>
    </w:p>
    <w:p w:rsidR="00224567" w:rsidRDefault="00224567">
      <w:pPr>
        <w:widowControl w:val="0"/>
      </w:pPr>
      <w:r>
        <w:tab/>
        <w:t>En cuanto a la declaración prestada ante el juzgado in</w:t>
      </w:r>
      <w:r>
        <w:t>s</w:t>
      </w:r>
      <w:r>
        <w:t>tructor destacó la desconfianza que le despertaba el entorno de Galeano por la detención de su marido que creía sin fundamento. Concluyó que rat</w:t>
      </w:r>
      <w:r>
        <w:t>i</w:t>
      </w:r>
      <w:r>
        <w:t>ficó sus dichos anteriores a pedido del juzgado y para irse de allí.</w:t>
      </w:r>
    </w:p>
    <w:p w:rsidR="00224567" w:rsidRDefault="00224567">
      <w:pPr>
        <w:widowControl w:val="0"/>
      </w:pPr>
      <w:r>
        <w:tab/>
        <w:t>Cuando se le hizo notar que en esa d</w:t>
      </w:r>
      <w:r>
        <w:t>e</w:t>
      </w:r>
      <w:r>
        <w:t>claración afirmó que la cami</w:t>
      </w:r>
      <w:r>
        <w:t>o</w:t>
      </w:r>
      <w:r>
        <w:t>neta había sido vendida en la suma de once mil quinientos dólares y que ella había co</w:t>
      </w:r>
      <w:r>
        <w:t>n</w:t>
      </w:r>
      <w:r>
        <w:t>trolado la legit</w:t>
      </w:r>
      <w:r>
        <w:t>i</w:t>
      </w:r>
      <w:r>
        <w:t>midad del dinero recibido, dijo que había relatado la modalidad de las di</w:t>
      </w:r>
      <w:r>
        <w:t>s</w:t>
      </w:r>
      <w:r>
        <w:t>tintas operaciones; que el juzgado se confundió de operación o volcó mal lo que dijo. Insistió que no pudo haber dicho que recibió dinero en el caso de la c</w:t>
      </w:r>
      <w:r>
        <w:t>a</w:t>
      </w:r>
      <w:r>
        <w:t xml:space="preserve">mioneta. </w:t>
      </w:r>
    </w:p>
    <w:p w:rsidR="00224567" w:rsidRDefault="00224567">
      <w:pPr>
        <w:widowControl w:val="0"/>
      </w:pPr>
      <w:r>
        <w:tab/>
        <w:t>Aclaró que a sus amistades les dio d</w:t>
      </w:r>
      <w:r>
        <w:t>i</w:t>
      </w:r>
      <w:r>
        <w:t>ferentes versiones de los hechos para proteger a su fam</w:t>
      </w:r>
      <w:r>
        <w:t>i</w:t>
      </w:r>
      <w:r>
        <w:t>lia, pero al d</w:t>
      </w:r>
      <w:r>
        <w:t>e</w:t>
      </w:r>
      <w:r>
        <w:t>clarar siempre trató de “mantener una línea de verdad” para no incurrir en falso testim</w:t>
      </w:r>
      <w:r>
        <w:t>o</w:t>
      </w:r>
      <w:r>
        <w:t xml:space="preserve">nio. </w:t>
      </w:r>
    </w:p>
    <w:p w:rsidR="00224567" w:rsidRDefault="00224567">
      <w:pPr>
        <w:widowControl w:val="0"/>
      </w:pPr>
      <w:r>
        <w:tab/>
        <w:t>El 4 de abril declaró dentro de la verdad lo que pudo, lo que el miedo le permitía, quizás omitió pero nunca mintió. Sin embargo, luego sostuvo que en aquella oportunidad faltó a la verdad al sostener que fue una venta. E</w:t>
      </w:r>
      <w:r>
        <w:t>x</w:t>
      </w:r>
      <w:r>
        <w:t>plicó que dijo eso porque fue lo primero que se le oc</w:t>
      </w:r>
      <w:r>
        <w:t>u</w:t>
      </w:r>
      <w:r>
        <w:t>rrió.</w:t>
      </w:r>
    </w:p>
    <w:p w:rsidR="00224567" w:rsidRDefault="00224567">
      <w:pPr>
        <w:widowControl w:val="0"/>
      </w:pPr>
      <w:r>
        <w:tab/>
        <w:t>Se le preguntó entonces por qué dura</w:t>
      </w:r>
      <w:r>
        <w:t>n</w:t>
      </w:r>
      <w:r>
        <w:t>te el debate continuó hablando de la venta de la c</w:t>
      </w:r>
      <w:r>
        <w:t>a</w:t>
      </w:r>
      <w:r>
        <w:t>mioneta Trafic, y dijo que usó la palabra venta para marcar el h</w:t>
      </w:r>
      <w:r>
        <w:t>e</w:t>
      </w:r>
      <w:r>
        <w:t>cho, pero que con eso no quiso decir que fue una ve</w:t>
      </w:r>
      <w:r>
        <w:t>n</w:t>
      </w:r>
      <w:r>
        <w:t>ta.</w:t>
      </w:r>
    </w:p>
    <w:p w:rsidR="00224567" w:rsidRDefault="00224567">
      <w:pPr>
        <w:widowControl w:val="0"/>
      </w:pPr>
      <w:r>
        <w:tab/>
        <w:t>Más adelante y ante las preguntas del Tribunal s</w:t>
      </w:r>
      <w:r>
        <w:t>o</w:t>
      </w:r>
      <w:r>
        <w:t>bre el punto, respondió que habló de venta por relacionarlo con la firma del boleto y aclaró que el pr</w:t>
      </w:r>
      <w:r>
        <w:t>i</w:t>
      </w:r>
      <w:r>
        <w:t>mer día que declaró en la audiencia estaba “de</w:t>
      </w:r>
      <w:r>
        <w:t>s</w:t>
      </w:r>
      <w:r>
        <w:t>cerebrada”. Refirió que los contratos de compraventa se usaban para las exto</w:t>
      </w:r>
      <w:r>
        <w:t>r</w:t>
      </w:r>
      <w:r>
        <w:t>siones y que el 10 de julio no hubo una venta.</w:t>
      </w:r>
    </w:p>
    <w:p w:rsidR="00224567" w:rsidRDefault="00224567">
      <w:pPr>
        <w:widowControl w:val="0"/>
      </w:pPr>
      <w:r>
        <w:tab/>
        <w:t>Manifestó que las confusiones que su</w:t>
      </w:r>
      <w:r>
        <w:t>r</w:t>
      </w:r>
      <w:r>
        <w:t>gen de su exposición obedecen a su incapacidad para exp</w:t>
      </w:r>
      <w:r>
        <w:t>o</w:t>
      </w:r>
      <w:r>
        <w:t>ner o</w:t>
      </w:r>
      <w:r>
        <w:t>r</w:t>
      </w:r>
      <w:r>
        <w:t>denadamente su pensamiento y no a contradicciones en su rel</w:t>
      </w:r>
      <w:r>
        <w:t>a</w:t>
      </w:r>
      <w:r>
        <w:t>to.</w:t>
      </w:r>
    </w:p>
    <w:p w:rsidR="00224567" w:rsidRDefault="00224567">
      <w:pPr>
        <w:widowControl w:val="0"/>
      </w:pPr>
      <w:r>
        <w:tab/>
        <w:t>Entonces se dispuso a efectuar un r</w:t>
      </w:r>
      <w:r>
        <w:t>e</w:t>
      </w:r>
      <w:r>
        <w:t xml:space="preserve">lato ordenado. </w:t>
      </w:r>
    </w:p>
    <w:p w:rsidR="00224567" w:rsidRDefault="00224567">
      <w:pPr>
        <w:widowControl w:val="0"/>
      </w:pPr>
      <w:r>
        <w:tab/>
        <w:t>Dijo que Telleldín recibió llamadas durante la mañana y cerca del mediodía le comentó que co</w:t>
      </w:r>
      <w:r>
        <w:t>n</w:t>
      </w:r>
      <w:r>
        <w:t>curriría una persona. Más tarde le transmitió que este i</w:t>
      </w:r>
      <w:r>
        <w:t>n</w:t>
      </w:r>
      <w:r>
        <w:t>dividuo lo volvió a llamar para constatar la dire</w:t>
      </w:r>
      <w:r>
        <w:t>c</w:t>
      </w:r>
      <w:r>
        <w:t>ción.</w:t>
      </w:r>
    </w:p>
    <w:p w:rsidR="00224567" w:rsidRDefault="00224567">
      <w:pPr>
        <w:widowControl w:val="0"/>
      </w:pPr>
      <w:r>
        <w:tab/>
        <w:t>Aclaró que en ese momento su marido le dijo que éstos, sin aclarar a quienes se refería, le ma</w:t>
      </w:r>
      <w:r>
        <w:t>n</w:t>
      </w:r>
      <w:r>
        <w:t>daban un gall</w:t>
      </w:r>
      <w:r>
        <w:t>e</w:t>
      </w:r>
      <w:r>
        <w:t>go.</w:t>
      </w:r>
    </w:p>
    <w:p w:rsidR="00224567" w:rsidRDefault="00224567">
      <w:pPr>
        <w:widowControl w:val="0"/>
      </w:pPr>
      <w:r>
        <w:tab/>
        <w:t>Llegó la persona y su marido fue a su encuentro. Ella salió un segundo y miró por la ventana p</w:t>
      </w:r>
      <w:r>
        <w:t>a</w:t>
      </w:r>
      <w:r>
        <w:t>ra ver con quién estaba.</w:t>
      </w:r>
    </w:p>
    <w:p w:rsidR="00224567" w:rsidRDefault="00224567">
      <w:pPr>
        <w:widowControl w:val="0"/>
      </w:pPr>
      <w:r>
        <w:tab/>
        <w:t>Supo que su marido salió a probar la camioneta, pero no pudo precisar si lo vio o después se lo dijo aquél.</w:t>
      </w:r>
    </w:p>
    <w:p w:rsidR="00224567" w:rsidRDefault="00224567">
      <w:pPr>
        <w:widowControl w:val="0"/>
      </w:pPr>
      <w:r>
        <w:tab/>
        <w:t>Regresaron a la casa mientras ella e</w:t>
      </w:r>
      <w:r>
        <w:t>s</w:t>
      </w:r>
      <w:r>
        <w:t>taba en la cocina y allí escuchó que hablaban de plata y notó nervioso a T</w:t>
      </w:r>
      <w:r>
        <w:t>e</w:t>
      </w:r>
      <w:r>
        <w:t xml:space="preserve">lleldín. </w:t>
      </w:r>
    </w:p>
    <w:p w:rsidR="00224567" w:rsidRDefault="00224567">
      <w:pPr>
        <w:widowControl w:val="0"/>
      </w:pPr>
      <w:r>
        <w:tab/>
        <w:t>Después volvió a la cocina y como el chico se dirigió al living, ella también lo hizo. Cuando accedió a ese lugar el comprador se incomodó pero tuvo un diálogo cordial, y ella pudo ver que se completaba un b</w:t>
      </w:r>
      <w:r>
        <w:t>o</w:t>
      </w:r>
      <w:r>
        <w:t>leto de compraventa.</w:t>
      </w:r>
    </w:p>
    <w:p w:rsidR="00224567" w:rsidRDefault="00224567">
      <w:pPr>
        <w:widowControl w:val="0"/>
      </w:pPr>
      <w:r>
        <w:tab/>
        <w:t>Posteriormente tocaron el timbre y atendió a dos personas, a las que les dijo que la camion</w:t>
      </w:r>
      <w:r>
        <w:t>e</w:t>
      </w:r>
      <w:r>
        <w:t>ta ya había sido vend</w:t>
      </w:r>
      <w:r>
        <w:t>i</w:t>
      </w:r>
      <w:r>
        <w:t xml:space="preserve">da. </w:t>
      </w:r>
    </w:p>
    <w:p w:rsidR="00224567" w:rsidRDefault="00224567">
      <w:pPr>
        <w:widowControl w:val="0"/>
      </w:pPr>
      <w:r>
        <w:tab/>
        <w:t>No recordó si antes o después de eso hablaron del docume</w:t>
      </w:r>
      <w:r>
        <w:t>n</w:t>
      </w:r>
      <w:r>
        <w:t>to nacional de identidad.</w:t>
      </w:r>
    </w:p>
    <w:p w:rsidR="00224567" w:rsidRDefault="00224567">
      <w:pPr>
        <w:widowControl w:val="0"/>
      </w:pPr>
      <w:r>
        <w:tab/>
        <w:t>En algún momento vio que Telleldín h</w:t>
      </w:r>
      <w:r>
        <w:t>a</w:t>
      </w:r>
      <w:r>
        <w:t>blaba con el Tano y le pidió que c</w:t>
      </w:r>
      <w:r>
        <w:t>o</w:t>
      </w:r>
      <w:r>
        <w:t>rriera el auto.</w:t>
      </w:r>
    </w:p>
    <w:p w:rsidR="00224567" w:rsidRDefault="00224567">
      <w:pPr>
        <w:widowControl w:val="0"/>
      </w:pPr>
      <w:r>
        <w:tab/>
        <w:t>Luego de eso, su marido entró a su c</w:t>
      </w:r>
      <w:r>
        <w:t>a</w:t>
      </w:r>
      <w:r>
        <w:t>sa y le dijo que Cotoras fue a buscar algo de dinero. Ya en el dormitorio, le comentó que cuando salió a pr</w:t>
      </w:r>
      <w:r>
        <w:t>o</w:t>
      </w:r>
      <w:r>
        <w:t>bar la camioneta pudo advertir que había un auto parado a la vuelta de su casa, e</w:t>
      </w:r>
      <w:r>
        <w:t>n</w:t>
      </w:r>
      <w:r>
        <w:t>contrándose en su interior un oficial de policía que con</w:t>
      </w:r>
      <w:r>
        <w:t>o</w:t>
      </w:r>
      <w:r>
        <w:t>ció.</w:t>
      </w:r>
    </w:p>
    <w:p w:rsidR="00224567" w:rsidRDefault="00224567">
      <w:pPr>
        <w:widowControl w:val="0"/>
      </w:pPr>
      <w:r>
        <w:tab/>
        <w:t>Agregó que el supuesto comprador era “buche” de la policía y se había llevado la c</w:t>
      </w:r>
      <w:r>
        <w:t>a</w:t>
      </w:r>
      <w:r>
        <w:t>mioneta como pago por una deuda.</w:t>
      </w:r>
    </w:p>
    <w:p w:rsidR="00224567" w:rsidRDefault="00224567">
      <w:pPr>
        <w:widowControl w:val="0"/>
      </w:pPr>
      <w:r>
        <w:tab/>
        <w:t>Todo esto generó una fuerte discusión en la que ella le recriminó que si la policía le sacaba plata era porque él andaba en negocios ilegales.</w:t>
      </w:r>
    </w:p>
    <w:p w:rsidR="00224567" w:rsidRDefault="00224567">
      <w:pPr>
        <w:widowControl w:val="0"/>
      </w:pPr>
      <w:r>
        <w:tab/>
        <w:t>Recordó que su marido refirió que h</w:t>
      </w:r>
      <w:r>
        <w:t>a</w:t>
      </w:r>
      <w:r>
        <w:t>bía visto dos vehículos en las cercanías de su domicilio, pero no que ella los viera en esa oportunidad. Alguna vez sí lo hizo pero no pudo pr</w:t>
      </w:r>
      <w:r>
        <w:t>e</w:t>
      </w:r>
      <w:r>
        <w:t>cisar si fue ese día u otro.</w:t>
      </w:r>
    </w:p>
    <w:p w:rsidR="00224567" w:rsidRDefault="00224567">
      <w:pPr>
        <w:widowControl w:val="0"/>
      </w:pPr>
      <w:r>
        <w:tab/>
        <w:t>Manifestó también que cuando su mar</w:t>
      </w:r>
      <w:r>
        <w:t>i</w:t>
      </w:r>
      <w:r>
        <w:t>do salió a dar una vuelta vio a los vehículos que supuest</w:t>
      </w:r>
      <w:r>
        <w:t>a</w:t>
      </w:r>
      <w:r>
        <w:t>mente vig</w:t>
      </w:r>
      <w:r>
        <w:t>i</w:t>
      </w:r>
      <w:r>
        <w:t>laban.</w:t>
      </w:r>
    </w:p>
    <w:p w:rsidR="00224567" w:rsidRDefault="00224567">
      <w:pPr>
        <w:widowControl w:val="0"/>
      </w:pPr>
      <w:r>
        <w:tab/>
        <w:t>Recordó que una de esas personas se bajó del auto a hablar algo con Telleldín, pero no pudo precisar cuál fue el diálogo o si le dijo su nombre o ap</w:t>
      </w:r>
      <w:r>
        <w:t>o</w:t>
      </w:r>
      <w:r>
        <w:t>do.</w:t>
      </w:r>
    </w:p>
    <w:p w:rsidR="00224567" w:rsidRDefault="00224567">
      <w:pPr>
        <w:widowControl w:val="0"/>
      </w:pPr>
      <w:r>
        <w:tab/>
        <w:t>En su opinión, estos sujetos vigil</w:t>
      </w:r>
      <w:r>
        <w:t>a</w:t>
      </w:r>
      <w:r>
        <w:t>ban al “buche” para que no se llevara la camioneta y su doc</w:t>
      </w:r>
      <w:r>
        <w:t>u</w:t>
      </w:r>
      <w:r>
        <w:t>mentación.</w:t>
      </w:r>
    </w:p>
    <w:p w:rsidR="00224567" w:rsidRDefault="00224567">
      <w:pPr>
        <w:widowControl w:val="0"/>
      </w:pPr>
      <w:r>
        <w:tab/>
        <w:t>Refirió, con relación a los arreglos policiales, que su marido le había dado la indicación de no comentar el tema fuera del entorno. Consecuentemente, los hechos del 4 de abril y 14-15 de julio los comparti</w:t>
      </w:r>
      <w:r>
        <w:t>e</w:t>
      </w:r>
      <w:r>
        <w:t>ron en ese ámbito.</w:t>
      </w:r>
    </w:p>
    <w:p w:rsidR="00224567" w:rsidRDefault="00224567">
      <w:pPr>
        <w:widowControl w:val="0"/>
      </w:pPr>
      <w:r>
        <w:tab/>
        <w:t xml:space="preserve">Con referencia a la entrega de </w:t>
      </w:r>
      <w:smartTag w:uri="urn:schemas-microsoft-com:office:smarttags" w:element="PersonName">
        <w:smartTagPr>
          <w:attr w:name="ProductID" w:val="la Trafic"/>
        </w:smartTagPr>
        <w:r>
          <w:t>la Tr</w:t>
        </w:r>
        <w:r>
          <w:t>a</w:t>
        </w:r>
        <w:r>
          <w:t>fic</w:t>
        </w:r>
      </w:smartTag>
      <w:r>
        <w:t xml:space="preserve">, manifestó que no escuchó hablar del grupo de policías que lo seguían a Telleldín ni de Ribelli. Sí, en cambio, escuchó mencionar a este último respecto al problema que había tenido con </w:t>
      </w:r>
      <w:smartTag w:uri="urn:schemas-microsoft-com:office:smarttags" w:element="PersonName">
        <w:smartTagPr>
          <w:attr w:name="ProductID" w:val="la Brigada"/>
        </w:smartTagPr>
        <w:r>
          <w:t>la Brigada</w:t>
        </w:r>
      </w:smartTag>
      <w:r>
        <w:t xml:space="preserve"> de L</w:t>
      </w:r>
      <w:r>
        <w:t>a</w:t>
      </w:r>
      <w:r>
        <w:t>nús.</w:t>
      </w:r>
    </w:p>
    <w:p w:rsidR="00224567" w:rsidRDefault="00224567">
      <w:pPr>
        <w:widowControl w:val="0"/>
      </w:pPr>
      <w:r>
        <w:tab/>
        <w:t>En otro pasaje de su declaración te</w:t>
      </w:r>
      <w:r>
        <w:t>s</w:t>
      </w:r>
      <w:r>
        <w:t xml:space="preserve">timonial refirió que desde que fueron a vivir a la calle República no habían tenido inconveniente alguno con </w:t>
      </w:r>
      <w:smartTag w:uri="urn:schemas-microsoft-com:office:smarttags" w:element="PersonName">
        <w:smartTagPr>
          <w:attr w:name="ProductID" w:val="la Brigada"/>
        </w:smartTagPr>
        <w:r>
          <w:t>la Brigada</w:t>
        </w:r>
      </w:smartTag>
      <w:r>
        <w:t xml:space="preserve"> de Vicente López, es más cuando tuvieron el pr</w:t>
      </w:r>
      <w:r>
        <w:t>o</w:t>
      </w:r>
      <w:r>
        <w:t>blema, en un principio no sabían que se trataba de esa d</w:t>
      </w:r>
      <w:r>
        <w:t>e</w:t>
      </w:r>
      <w:r>
        <w:t>pende</w:t>
      </w:r>
      <w:r>
        <w:t>n</w:t>
      </w:r>
      <w:r>
        <w:t>cia.</w:t>
      </w:r>
    </w:p>
    <w:p w:rsidR="00224567" w:rsidRDefault="00224567">
      <w:pPr>
        <w:widowControl w:val="0"/>
      </w:pPr>
      <w:r>
        <w:tab/>
        <w:t>Se le preguntó si cuando vendían un vehículo guardaban copias del boleto de compraventa y re</w:t>
      </w:r>
      <w:r>
        <w:t>s</w:t>
      </w:r>
      <w:r>
        <w:t>po</w:t>
      </w:r>
      <w:r>
        <w:t>n</w:t>
      </w:r>
      <w:r>
        <w:t>dió que creía que sí.</w:t>
      </w:r>
    </w:p>
    <w:p w:rsidR="00224567" w:rsidRDefault="00224567">
      <w:pPr>
        <w:widowControl w:val="0"/>
      </w:pPr>
      <w:r>
        <w:tab/>
        <w:t>Refirió que no vio boleto de compr</w:t>
      </w:r>
      <w:r>
        <w:t>a</w:t>
      </w:r>
      <w:r>
        <w:t>venta alguno a favor de personal policial o algún testaf</w:t>
      </w:r>
      <w:r>
        <w:t>e</w:t>
      </w:r>
      <w:r>
        <w:t xml:space="preserve">rro, con relación a los vehículos entregados a </w:t>
      </w:r>
      <w:smartTag w:uri="urn:schemas-microsoft-com:office:smarttags" w:element="PersonName">
        <w:smartTagPr>
          <w:attr w:name="ProductID" w:val="la Brigada"/>
        </w:smartTagPr>
        <w:r>
          <w:t>la Brig</w:t>
        </w:r>
        <w:r>
          <w:t>a</w:t>
        </w:r>
        <w:r>
          <w:t>da</w:t>
        </w:r>
      </w:smartTag>
      <w:r>
        <w:t xml:space="preserve"> de Lanús el 4 de abril (Renault 18, Falcon y moto). Frente a esto se le preguntó por qué motivo se guardó el de </w:t>
      </w:r>
      <w:smartTag w:uri="urn:schemas-microsoft-com:office:smarttags" w:element="PersonName">
        <w:smartTagPr>
          <w:attr w:name="ProductID" w:val="la Trafic"/>
        </w:smartTagPr>
        <w:r>
          <w:t>la Trafic</w:t>
        </w:r>
      </w:smartTag>
      <w:r>
        <w:t xml:space="preserve"> y no de esos autos, ante lo cual dijo que posibl</w:t>
      </w:r>
      <w:r>
        <w:t>e</w:t>
      </w:r>
      <w:r>
        <w:t>mente su marido hubiese archivado copia de lo que entregó en la brigada de Lanús pero en ese momento no estaba con ella.</w:t>
      </w:r>
    </w:p>
    <w:p w:rsidR="00224567" w:rsidRDefault="00224567">
      <w:pPr>
        <w:widowControl w:val="0"/>
      </w:pPr>
      <w:r>
        <w:tab/>
        <w:t>Con relación al movimiento de dinero posterior al 10 de julio, manifestó que pagó el alqu</w:t>
      </w:r>
      <w:r>
        <w:t>i</w:t>
      </w:r>
      <w:r>
        <w:t>ler, gastos en gen</w:t>
      </w:r>
      <w:r>
        <w:t>e</w:t>
      </w:r>
      <w:r>
        <w:t>ral, siendo muy factible que hubiera señado una casa en la inmobiliaria Lauría; se enteró que en esa misma fecha Telleldín le dio dinero a Cotoras. Pero en cambio no recordó que se le abonara a Nitzcaner y a Al</w:t>
      </w:r>
      <w:r>
        <w:t>e</w:t>
      </w:r>
      <w:r>
        <w:t>jandro Automotores. Reconoció que Pérez a veces compraba autos para su marido. No recordó haber visto la factura original de compra de “Alejandro Automotores SRL” nº 0000-</w:t>
      </w:r>
      <w:smartTag w:uri="urn:schemas-microsoft-com:office:smarttags" w:element="metricconverter">
        <w:smartTagPr>
          <w:attr w:name="ProductID" w:val="00001141 a"/>
        </w:smartTagPr>
        <w:r>
          <w:t>00001141 a</w:t>
        </w:r>
      </w:smartTag>
      <w:r>
        <w:t xml:space="preserve"> nombre de Hugo Antonio Pérez, de fecha 11 de julio de 1994, cuya copia luce agreg</w:t>
      </w:r>
      <w:r>
        <w:t>a</w:t>
      </w:r>
      <w:r>
        <w:t>da a fs. 363.</w:t>
      </w:r>
    </w:p>
    <w:p w:rsidR="00224567" w:rsidRDefault="00224567">
      <w:pPr>
        <w:pStyle w:val="Ttulo7"/>
        <w:widowControl w:val="0"/>
      </w:pPr>
      <w:r>
        <w:rPr>
          <w:b/>
          <w:bCs/>
        </w:rPr>
        <w:tab/>
      </w:r>
      <w:r>
        <w:rPr>
          <w:b/>
          <w:bCs/>
        </w:rPr>
        <w:tab/>
      </w:r>
      <w:bookmarkStart w:id="114" w:name="_Toc79905022"/>
      <w:bookmarkStart w:id="115" w:name="_Toc86731946"/>
      <w:r>
        <w:rPr>
          <w:b/>
          <w:bCs/>
        </w:rPr>
        <w:t xml:space="preserve">C.2.c.ii.C) </w:t>
      </w:r>
      <w:r>
        <w:t>Valoración</w:t>
      </w:r>
      <w:bookmarkEnd w:id="111"/>
      <w:bookmarkEnd w:id="114"/>
      <w:bookmarkEnd w:id="115"/>
      <w:r>
        <w:t>.</w:t>
      </w:r>
    </w:p>
    <w:p w:rsidR="00224567" w:rsidRDefault="00224567">
      <w:pPr>
        <w:pStyle w:val="Ttulo8"/>
        <w:spacing w:line="600" w:lineRule="auto"/>
        <w:rPr>
          <w:b w:val="0"/>
          <w:bCs w:val="0"/>
        </w:rPr>
      </w:pPr>
      <w:r>
        <w:tab/>
      </w:r>
      <w:bookmarkStart w:id="116" w:name="_Toc79905023"/>
      <w:bookmarkStart w:id="117" w:name="_Toc86731947"/>
      <w:r>
        <w:t xml:space="preserve">C.2.c.ii.C.1) </w:t>
      </w:r>
      <w:r>
        <w:rPr>
          <w:b w:val="0"/>
          <w:bCs w:val="0"/>
        </w:rPr>
        <w:t>Introducción</w:t>
      </w:r>
      <w:bookmarkEnd w:id="116"/>
      <w:bookmarkEnd w:id="117"/>
      <w:r>
        <w:rPr>
          <w:b w:val="0"/>
          <w:bCs w:val="0"/>
        </w:rPr>
        <w:t>.</w:t>
      </w:r>
    </w:p>
    <w:p w:rsidR="00224567" w:rsidRDefault="00224567">
      <w:pPr>
        <w:widowControl w:val="0"/>
        <w:rPr>
          <w:lang w:val="es-ES_tradnl"/>
        </w:rPr>
      </w:pPr>
      <w:r>
        <w:tab/>
      </w:r>
      <w:r>
        <w:rPr>
          <w:lang w:val="es-ES_tradnl"/>
        </w:rPr>
        <w:t>Corresponde señalar inicialmente que la reseña de las declaraciones de Carlos Telleldín y Ana Boragni s</w:t>
      </w:r>
      <w:r>
        <w:rPr>
          <w:lang w:val="es-ES_tradnl"/>
        </w:rPr>
        <w:t>o</w:t>
      </w:r>
      <w:r>
        <w:rPr>
          <w:lang w:val="es-ES_tradnl"/>
        </w:rPr>
        <w:t>bre lo ocurrido el 10 de julio de 1994, respecto a la entrega de la camioneta Trafic, demuestra que sus versiones –casi simultáneas en cuanto a los cambios intr</w:t>
      </w:r>
      <w:r>
        <w:rPr>
          <w:lang w:val="es-ES_tradnl"/>
        </w:rPr>
        <w:t>o</w:t>
      </w:r>
      <w:r>
        <w:rPr>
          <w:lang w:val="es-ES_tradnl"/>
        </w:rPr>
        <w:t>ducidos– fueron fluctuantes y contradict</w:t>
      </w:r>
      <w:r>
        <w:rPr>
          <w:lang w:val="es-ES_tradnl"/>
        </w:rPr>
        <w:t>o</w:t>
      </w:r>
      <w:r>
        <w:rPr>
          <w:lang w:val="es-ES_tradnl"/>
        </w:rPr>
        <w:t>rias.</w:t>
      </w:r>
    </w:p>
    <w:p w:rsidR="00224567" w:rsidRDefault="00224567">
      <w:pPr>
        <w:widowControl w:val="0"/>
        <w:rPr>
          <w:lang w:val="es-ES_tradnl"/>
        </w:rPr>
      </w:pPr>
      <w:r>
        <w:rPr>
          <w:lang w:val="es-ES_tradnl"/>
        </w:rPr>
        <w:tab/>
        <w:t>Sus afirmaciones esenciales en cuanto se valoraran como elemento de cargo contra los ex pol</w:t>
      </w:r>
      <w:r>
        <w:rPr>
          <w:lang w:val="es-ES_tradnl"/>
        </w:rPr>
        <w:t>i</w:t>
      </w:r>
      <w:r>
        <w:rPr>
          <w:lang w:val="es-ES_tradnl"/>
        </w:rPr>
        <w:t>cías bonaerenses imputados por el ataque, han sido r</w:t>
      </w:r>
      <w:r>
        <w:rPr>
          <w:lang w:val="es-ES_tradnl"/>
        </w:rPr>
        <w:t>e</w:t>
      </w:r>
      <w:r>
        <w:rPr>
          <w:lang w:val="es-ES_tradnl"/>
        </w:rPr>
        <w:t>futadas.</w:t>
      </w:r>
    </w:p>
    <w:p w:rsidR="00224567" w:rsidRDefault="00224567">
      <w:pPr>
        <w:widowControl w:val="0"/>
        <w:rPr>
          <w:lang w:val="es-ES_tradnl"/>
        </w:rPr>
      </w:pPr>
      <w:r>
        <w:rPr>
          <w:lang w:val="es-ES_tradnl"/>
        </w:rPr>
        <w:tab/>
        <w:t>El primer análisis partirá de cotejar las sucesivas versiones brindadas en instrucción, para luego contrastarlas con las prestadas durante el deb</w:t>
      </w:r>
      <w:r>
        <w:rPr>
          <w:lang w:val="es-ES_tradnl"/>
        </w:rPr>
        <w:t>a</w:t>
      </w:r>
      <w:r>
        <w:rPr>
          <w:lang w:val="es-ES_tradnl"/>
        </w:rPr>
        <w:t>te.</w:t>
      </w:r>
    </w:p>
    <w:p w:rsidR="00224567" w:rsidRDefault="00224567">
      <w:pPr>
        <w:pStyle w:val="Ttulo8"/>
        <w:spacing w:line="600" w:lineRule="auto"/>
        <w:rPr>
          <w:b w:val="0"/>
          <w:bCs w:val="0"/>
        </w:rPr>
      </w:pPr>
      <w:bookmarkStart w:id="118" w:name="_Toc79905024"/>
      <w:r>
        <w:rPr>
          <w:lang w:val="es-ES_tradnl"/>
        </w:rPr>
        <w:tab/>
      </w:r>
      <w:bookmarkStart w:id="119" w:name="_Toc86731948"/>
      <w:r>
        <w:t xml:space="preserve">C.2.c.ii.C.2) </w:t>
      </w:r>
      <w:r>
        <w:rPr>
          <w:b w:val="0"/>
          <w:bCs w:val="0"/>
        </w:rPr>
        <w:t>Declaraciones prestadas en la etapa de in</w:t>
      </w:r>
      <w:r>
        <w:rPr>
          <w:b w:val="0"/>
          <w:bCs w:val="0"/>
        </w:rPr>
        <w:t>s</w:t>
      </w:r>
      <w:r>
        <w:rPr>
          <w:b w:val="0"/>
          <w:bCs w:val="0"/>
        </w:rPr>
        <w:t>trucción.</w:t>
      </w:r>
      <w:bookmarkEnd w:id="118"/>
      <w:bookmarkEnd w:id="119"/>
    </w:p>
    <w:p w:rsidR="00224567" w:rsidRDefault="00224567">
      <w:pPr>
        <w:widowControl w:val="0"/>
        <w:rPr>
          <w:lang w:val="es-ES_tradnl"/>
        </w:rPr>
      </w:pPr>
      <w:r>
        <w:rPr>
          <w:lang w:val="es-ES_tradnl"/>
        </w:rPr>
        <w:tab/>
        <w:t>Corresponde entonces reiterar que la versión de la exto</w:t>
      </w:r>
      <w:r>
        <w:rPr>
          <w:lang w:val="es-ES_tradnl"/>
        </w:rPr>
        <w:t>r</w:t>
      </w:r>
      <w:r>
        <w:rPr>
          <w:lang w:val="es-ES_tradnl"/>
        </w:rPr>
        <w:t>sión denunciada como ocurrida el 10 de julio de 1994 r</w:t>
      </w:r>
      <w:r>
        <w:rPr>
          <w:lang w:val="es-ES_tradnl"/>
        </w:rPr>
        <w:t>e</w:t>
      </w:r>
      <w:r>
        <w:rPr>
          <w:lang w:val="es-ES_tradnl"/>
        </w:rPr>
        <w:t>cién fue introducida por Telleldín –for-malmente a la causa– en la remunerada declaración indag</w:t>
      </w:r>
      <w:r>
        <w:rPr>
          <w:lang w:val="es-ES_tradnl"/>
        </w:rPr>
        <w:t>a</w:t>
      </w:r>
      <w:r>
        <w:rPr>
          <w:lang w:val="es-ES_tradnl"/>
        </w:rPr>
        <w:t>toria prestada el 5 de julio de 1996, es decir, práctic</w:t>
      </w:r>
      <w:r>
        <w:rPr>
          <w:lang w:val="es-ES_tradnl"/>
        </w:rPr>
        <w:t>a</w:t>
      </w:r>
      <w:r>
        <w:rPr>
          <w:lang w:val="es-ES_tradnl"/>
        </w:rPr>
        <w:t>mente a dos años de ocurrido el atentado. B</w:t>
      </w:r>
      <w:r>
        <w:rPr>
          <w:lang w:val="es-ES_tradnl"/>
        </w:rPr>
        <w:t>o</w:t>
      </w:r>
      <w:r>
        <w:rPr>
          <w:lang w:val="es-ES_tradnl"/>
        </w:rPr>
        <w:t>ragni hizo lo propio ci</w:t>
      </w:r>
      <w:r>
        <w:rPr>
          <w:lang w:val="es-ES_tradnl"/>
        </w:rPr>
        <w:t>n</w:t>
      </w:r>
      <w:r>
        <w:rPr>
          <w:lang w:val="es-ES_tradnl"/>
        </w:rPr>
        <w:t>co días después.</w:t>
      </w:r>
    </w:p>
    <w:p w:rsidR="00224567" w:rsidRDefault="00224567">
      <w:pPr>
        <w:widowControl w:val="0"/>
        <w:rPr>
          <w:lang w:val="es-ES_tradnl"/>
        </w:rPr>
      </w:pPr>
      <w:r>
        <w:rPr>
          <w:lang w:val="es-ES_tradnl"/>
        </w:rPr>
        <w:tab/>
        <w:t>No puede dejar de recordarse que esta nueva versión aportada por Telleldín, seguida por B</w:t>
      </w:r>
      <w:r>
        <w:rPr>
          <w:lang w:val="es-ES_tradnl"/>
        </w:rPr>
        <w:t>o</w:t>
      </w:r>
      <w:r>
        <w:rPr>
          <w:lang w:val="es-ES_tradnl"/>
        </w:rPr>
        <w:t>ragni y Cotoras, fue el fruto de una maniobra ilegal realizada por representantes del Estado para obtener su nueva expl</w:t>
      </w:r>
      <w:r>
        <w:rPr>
          <w:lang w:val="es-ES_tradnl"/>
        </w:rPr>
        <w:t>i</w:t>
      </w:r>
      <w:r>
        <w:rPr>
          <w:lang w:val="es-ES_tradnl"/>
        </w:rPr>
        <w:t>cación.</w:t>
      </w:r>
    </w:p>
    <w:p w:rsidR="00224567" w:rsidRDefault="00224567">
      <w:pPr>
        <w:widowControl w:val="0"/>
      </w:pPr>
      <w:r>
        <w:rPr>
          <w:lang w:val="es-ES_tradnl"/>
        </w:rPr>
        <w:tab/>
      </w:r>
      <w:r>
        <w:t>Telleldín y Boragni pretendieron al brindar su nuevo relato compatibilizarlo con el anterior en cuanto a todas las circunstancias que rodearon la e</w:t>
      </w:r>
      <w:r>
        <w:t>n</w:t>
      </w:r>
      <w:r>
        <w:t xml:space="preserve">trega de </w:t>
      </w:r>
      <w:smartTag w:uri="urn:schemas-microsoft-com:office:smarttags" w:element="PersonName">
        <w:smartTagPr>
          <w:attr w:name="ProductID" w:val="la Trafic"/>
        </w:smartTagPr>
        <w:r>
          <w:t>la Trafic</w:t>
        </w:r>
      </w:smartTag>
      <w:r>
        <w:t>, a excepción de la naturaleza del tra</w:t>
      </w:r>
      <w:r>
        <w:t>s</w:t>
      </w:r>
      <w:r>
        <w:t>paso y la condición de personal policial del receptor.</w:t>
      </w:r>
    </w:p>
    <w:p w:rsidR="00224567" w:rsidRDefault="00224567">
      <w:pPr>
        <w:widowControl w:val="0"/>
      </w:pPr>
      <w:r>
        <w:tab/>
        <w:t>Así se mantuvo la idea de que el vehículo se entregaba a un intermediario con acento ce</w:t>
      </w:r>
      <w:r>
        <w:t>n</w:t>
      </w:r>
      <w:r>
        <w:t>troamericano. En la primera hipótesis, era un individuo que efectuaba la compra para otro, en la segunda, un te</w:t>
      </w:r>
      <w:r>
        <w:t>s</w:t>
      </w:r>
      <w:r>
        <w:t>taferro de la policía que obtenía el vehículo por una e</w:t>
      </w:r>
      <w:r>
        <w:t>x</w:t>
      </w:r>
      <w:r>
        <w:t>torsión.</w:t>
      </w:r>
    </w:p>
    <w:p w:rsidR="00224567" w:rsidRDefault="00224567">
      <w:pPr>
        <w:widowControl w:val="0"/>
      </w:pPr>
      <w:r>
        <w:tab/>
        <w:t>También se insistió en señalar que T</w:t>
      </w:r>
      <w:r>
        <w:t>e</w:t>
      </w:r>
      <w:r>
        <w:t>lleldín junto al interesado a bordo de la camioneta efe</w:t>
      </w:r>
      <w:r>
        <w:t>c</w:t>
      </w:r>
      <w:r>
        <w:t>tuaron una vue</w:t>
      </w:r>
      <w:r>
        <w:t>l</w:t>
      </w:r>
      <w:r>
        <w:t>ta a la manzana. En la versión de la venta, para probar el vehículo, en la extorsiva, para entrevi</w:t>
      </w:r>
      <w:r>
        <w:t>s</w:t>
      </w:r>
      <w:r>
        <w:t>tarse con el personal policial que le exig</w:t>
      </w:r>
      <w:r>
        <w:t>i</w:t>
      </w:r>
      <w:r>
        <w:t>ría su entrega.</w:t>
      </w:r>
    </w:p>
    <w:p w:rsidR="00224567" w:rsidRDefault="00224567">
      <w:pPr>
        <w:widowControl w:val="0"/>
      </w:pPr>
      <w:r>
        <w:tab/>
        <w:t>Estas semejanzas también se advierten en el traspaso de la documentación del rodado. En ambos casos, se negó la entrega del formulario 08 y de la c</w:t>
      </w:r>
      <w:r>
        <w:t>é</w:t>
      </w:r>
      <w:r>
        <w:t>dula verde.</w:t>
      </w:r>
    </w:p>
    <w:p w:rsidR="00224567" w:rsidRDefault="00224567">
      <w:pPr>
        <w:widowControl w:val="0"/>
      </w:pPr>
      <w:r>
        <w:tab/>
        <w:t>Respecto al primero siempre sostuvi</w:t>
      </w:r>
      <w:r>
        <w:t>e</w:t>
      </w:r>
      <w:r>
        <w:t>ron que se encontraba en poder de la firma Alejandro Aut</w:t>
      </w:r>
      <w:r>
        <w:t>o</w:t>
      </w:r>
      <w:r>
        <w:t>motores y que sería entregado a Telleldín al saldar el p</w:t>
      </w:r>
      <w:r>
        <w:t>a</w:t>
      </w:r>
      <w:r>
        <w:t xml:space="preserve">go de un lote de vehículos; lo que finalmente ocurrió el 11 de julio de 1994. </w:t>
      </w:r>
    </w:p>
    <w:p w:rsidR="00224567" w:rsidRDefault="00224567">
      <w:pPr>
        <w:widowControl w:val="0"/>
      </w:pPr>
      <w:r>
        <w:tab/>
        <w:t>En cambio, con relación a la cédula de identificación del automotor, si bien siempre se negó su entrega, se interpretó con distinto alcance la indifere</w:t>
      </w:r>
      <w:r>
        <w:t>n</w:t>
      </w:r>
      <w:r>
        <w:t>cia del adquirente al respecto. En la hipótesis de venta se atribuyó al desconocimiento del tema automotor por el comprador, y en la de extorsión a que sólo un policía p</w:t>
      </w:r>
      <w:r>
        <w:t>o</w:t>
      </w:r>
      <w:r>
        <w:t>día circular en un vehículo sin ese documento.</w:t>
      </w:r>
    </w:p>
    <w:p w:rsidR="00224567" w:rsidRDefault="00224567">
      <w:pPr>
        <w:widowControl w:val="0"/>
      </w:pPr>
      <w:r>
        <w:tab/>
        <w:t>Hasta acá las principales semejanzas. Pero también se a</w:t>
      </w:r>
      <w:r>
        <w:t>d</w:t>
      </w:r>
      <w:r>
        <w:t>vierte del cotejo de ambas versiones una serie de circunstancias que resultan absolutamente inco</w:t>
      </w:r>
      <w:r>
        <w:t>m</w:t>
      </w:r>
      <w:r>
        <w:t>pat</w:t>
      </w:r>
      <w:r>
        <w:t>i</w:t>
      </w:r>
      <w:r>
        <w:t xml:space="preserve">bles con la hipótesis extorsiva. </w:t>
      </w:r>
    </w:p>
    <w:p w:rsidR="00224567" w:rsidRDefault="00224567">
      <w:pPr>
        <w:widowControl w:val="0"/>
      </w:pPr>
      <w:r>
        <w:tab/>
        <w:t>En este sentido debe valorarse la c</w:t>
      </w:r>
      <w:r>
        <w:t>o</w:t>
      </w:r>
      <w:r>
        <w:t>municación telefónica que dijo haber mantenido el 10 de julio con el supuesto comprador y las indicaciones d</w:t>
      </w:r>
      <w:r>
        <w:t>a</w:t>
      </w:r>
      <w:r>
        <w:t>das a esta persona para que llegue a su domicilio y particula</w:t>
      </w:r>
      <w:r>
        <w:t>r</w:t>
      </w:r>
      <w:r>
        <w:t>mente la referencia de éste a “Villa Balle</w:t>
      </w:r>
      <w:r>
        <w:t>s</w:t>
      </w:r>
      <w:r>
        <w:t>tor”.</w:t>
      </w:r>
    </w:p>
    <w:p w:rsidR="00224567" w:rsidRDefault="00224567">
      <w:pPr>
        <w:widowControl w:val="0"/>
      </w:pPr>
      <w:r>
        <w:tab/>
        <w:t>Es que en un contexto extorsivo no r</w:t>
      </w:r>
      <w:r>
        <w:t>e</w:t>
      </w:r>
      <w:r>
        <w:t>sulta razon</w:t>
      </w:r>
      <w:r>
        <w:t>a</w:t>
      </w:r>
      <w:r>
        <w:t>ble que sus autores desconozcan el lugar donde efectuarían la operación y mucho menos que se v</w:t>
      </w:r>
      <w:r>
        <w:t>a</w:t>
      </w:r>
      <w:r>
        <w:t>lieran de una pr</w:t>
      </w:r>
      <w:r>
        <w:t>o</w:t>
      </w:r>
      <w:r>
        <w:t>nunciación burdamente errónea sobre la localidad a la que debían concurrir para simular, ante quien entr</w:t>
      </w:r>
      <w:r>
        <w:t>e</w:t>
      </w:r>
      <w:r>
        <w:t>gaba la camioneta, ser extranjeros.</w:t>
      </w:r>
    </w:p>
    <w:p w:rsidR="00224567" w:rsidRDefault="00224567">
      <w:pPr>
        <w:widowControl w:val="0"/>
      </w:pPr>
      <w:r>
        <w:tab/>
        <w:t>Además, resultan absolutamente inco</w:t>
      </w:r>
      <w:r>
        <w:t>m</w:t>
      </w:r>
      <w:r>
        <w:t>patibles las conductas que se le asignan al personal pol</w:t>
      </w:r>
      <w:r>
        <w:t>i</w:t>
      </w:r>
      <w:r>
        <w:t>cial en la versión extorsiva. En efecto, no deviene coh</w:t>
      </w:r>
      <w:r>
        <w:t>e</w:t>
      </w:r>
      <w:r>
        <w:t>rente que en un primer momento los extorsionadores quisi</w:t>
      </w:r>
      <w:r>
        <w:t>e</w:t>
      </w:r>
      <w:r>
        <w:t>ran ocultar su identidad mediante la intervención de una persona que pareciera extranjera y que posteriormente el int</w:t>
      </w:r>
      <w:r>
        <w:t>e</w:t>
      </w:r>
      <w:r>
        <w:t>grante de la comitiva policial que le transmitiera la exigencia de pago, se pr</w:t>
      </w:r>
      <w:r>
        <w:t>e</w:t>
      </w:r>
      <w:r>
        <w:t>sentara como “Pino” –permitiendo su identificación post</w:t>
      </w:r>
      <w:r>
        <w:t>e</w:t>
      </w:r>
      <w:r>
        <w:t>rior–.</w:t>
      </w:r>
    </w:p>
    <w:p w:rsidR="00224567" w:rsidRDefault="00224567">
      <w:pPr>
        <w:widowControl w:val="0"/>
      </w:pPr>
      <w:r>
        <w:tab/>
        <w:t>Por otra parte, aunque siempre respe</w:t>
      </w:r>
      <w:r>
        <w:t>c</w:t>
      </w:r>
      <w:r>
        <w:t>to a la misma circunstancia, resulta absurdo que fuera Leal quien se presentara para transmitirle la exigencia a Telleldín. En efecto, si Ibarra –conocido de Telleldín por encab</w:t>
      </w:r>
      <w:r>
        <w:t>e</w:t>
      </w:r>
      <w:r>
        <w:t xml:space="preserve">zar el procedimiento que, junto a otros integrantes de </w:t>
      </w:r>
      <w:smartTag w:uri="urn:schemas-microsoft-com:office:smarttags" w:element="PersonName">
        <w:smartTagPr>
          <w:attr w:name="ProductID" w:val="la Brigada"/>
        </w:smartTagPr>
        <w:r>
          <w:t>la Brigada</w:t>
        </w:r>
      </w:smartTag>
      <w:r>
        <w:t xml:space="preserve"> de Lanús, se realiz</w:t>
      </w:r>
      <w:r>
        <w:t>a</w:t>
      </w:r>
      <w:r>
        <w:t>ra el 4 de abril de 1994 en Tortugu</w:t>
      </w:r>
      <w:r>
        <w:t>i</w:t>
      </w:r>
      <w:r>
        <w:t>tas y culminara con su detención y la de Sandra Petrucci– estaba presente el 10 de julio de 1994 y a la vista de Telleldín, carecía absolutamente de sentido que otro int</w:t>
      </w:r>
      <w:r>
        <w:t>e</w:t>
      </w:r>
      <w:r>
        <w:t>grante de la comitiva policial se identificara y lo inte</w:t>
      </w:r>
      <w:r>
        <w:t>r</w:t>
      </w:r>
      <w:r>
        <w:t>pelara.</w:t>
      </w:r>
    </w:p>
    <w:p w:rsidR="00224567" w:rsidRDefault="00224567">
      <w:pPr>
        <w:widowControl w:val="0"/>
      </w:pPr>
      <w:r>
        <w:tab/>
        <w:t>Máxime, cuando en la exigencia de la entrega de la cami</w:t>
      </w:r>
      <w:r>
        <w:t>o</w:t>
      </w:r>
      <w:r>
        <w:t>neta Trafic se hiciera referencia a una deuda derivada de un procedimiento en el que no hubiera intervenido él, ni ningún integrante de la dependencia donde prestara funci</w:t>
      </w:r>
      <w:r>
        <w:t>o</w:t>
      </w:r>
      <w:r>
        <w:t>nes.</w:t>
      </w:r>
    </w:p>
    <w:p w:rsidR="00224567" w:rsidRDefault="00224567">
      <w:pPr>
        <w:widowControl w:val="0"/>
      </w:pPr>
      <w:r>
        <w:tab/>
        <w:t>Lo absurdo de la versión no podría justificarse aun bajo el supuesto de que Ibarra no real</w:t>
      </w:r>
      <w:r>
        <w:t>i</w:t>
      </w:r>
      <w:r>
        <w:t>zara la interpel</w:t>
      </w:r>
      <w:r>
        <w:t>a</w:t>
      </w:r>
      <w:r>
        <w:t>ción por temor a ser reconocido –jus-tamente por su anterior intervención en el procedimiento de Tortuguitas–, ya que en ese caso sería incomprensible su participación en el procedimiento, mucho menos a la vista de T</w:t>
      </w:r>
      <w:r>
        <w:t>e</w:t>
      </w:r>
      <w:r>
        <w:t>lleldín en dos oportunidades, a bordo del Duna blanco mientras se formulara la exigencia y tocando el timbre de la casa para averiguar si la camioneta se había ve</w:t>
      </w:r>
      <w:r>
        <w:t>n</w:t>
      </w:r>
      <w:r>
        <w:t>dido.</w:t>
      </w:r>
    </w:p>
    <w:p w:rsidR="00224567" w:rsidRDefault="00224567">
      <w:pPr>
        <w:widowControl w:val="0"/>
        <w:rPr>
          <w:b/>
          <w:bCs/>
        </w:rPr>
      </w:pPr>
      <w:r>
        <w:tab/>
        <w:t>Por otra parte, ello no se condice con la actitud endilgada a Ibarra en el operativo re</w:t>
      </w:r>
      <w:r>
        <w:t>a</w:t>
      </w:r>
      <w:r>
        <w:t>lizado en Tortuguitas, donde, según los dichos de Telleldín y Petr</w:t>
      </w:r>
      <w:r>
        <w:t>u</w:t>
      </w:r>
      <w:r>
        <w:t>cci no solo se habría presentado sino que incluso le h</w:t>
      </w:r>
      <w:r>
        <w:t>u</w:t>
      </w:r>
      <w:r>
        <w:t>biera entregado a esta última una ta</w:t>
      </w:r>
      <w:r>
        <w:t>r</w:t>
      </w:r>
      <w:r>
        <w:t>jeta personal.</w:t>
      </w:r>
    </w:p>
    <w:p w:rsidR="00224567" w:rsidRDefault="00224567">
      <w:pPr>
        <w:widowControl w:val="0"/>
      </w:pPr>
      <w:r>
        <w:rPr>
          <w:b/>
          <w:bCs/>
        </w:rPr>
        <w:tab/>
      </w:r>
      <w:r>
        <w:rPr>
          <w:b/>
          <w:bCs/>
        </w:rPr>
        <w:tab/>
      </w:r>
      <w:r>
        <w:t>Tampoco resulta creíble la particip</w:t>
      </w:r>
      <w:r>
        <w:t>a</w:t>
      </w:r>
      <w:r>
        <w:t xml:space="preserve">ción de </w:t>
      </w:r>
      <w:r>
        <w:rPr>
          <w:b/>
          <w:bCs/>
        </w:rPr>
        <w:t>Ana Boragni</w:t>
      </w:r>
      <w:r>
        <w:t xml:space="preserve"> en la transacción. Si bien en ambas variantes se mantiene su presencia durante la operación, distinto es el rol asignado. Así, en el contexto de la venta su actu</w:t>
      </w:r>
      <w:r>
        <w:t>a</w:t>
      </w:r>
      <w:r>
        <w:t>ción consistió en resistir una rebaja en el precio y controlar la legitimidad de los billetes. En ca</w:t>
      </w:r>
      <w:r>
        <w:t>m</w:t>
      </w:r>
      <w:r>
        <w:t>bio, en el marco de la exto</w:t>
      </w:r>
      <w:r>
        <w:t>r</w:t>
      </w:r>
      <w:r>
        <w:t>sión no tuvo una participación activa en la operación ya que su aparición fue casual y contr</w:t>
      </w:r>
      <w:r>
        <w:t>a</w:t>
      </w:r>
      <w:r>
        <w:t>ria a lo indicado por su marido.</w:t>
      </w:r>
    </w:p>
    <w:p w:rsidR="00224567" w:rsidRDefault="00224567">
      <w:pPr>
        <w:widowControl w:val="0"/>
      </w:pPr>
      <w:r>
        <w:tab/>
        <w:t>El forzado intento de compatibilizar ambas versiones alcanza ribetes escandalosos cuando se mantiene en la hip</w:t>
      </w:r>
      <w:r>
        <w:t>ó</w:t>
      </w:r>
      <w:r>
        <w:t>tesis extorsiva –durante el debate– la invitación a almorzar efectuada por Boragni a uno de los partícipes de la maniobra. Recuérdese que esta insólita propuesta se realiza con posterioridad a que tanto Telle</w:t>
      </w:r>
      <w:r>
        <w:t>l</w:t>
      </w:r>
      <w:r>
        <w:t>dín como Boragni supieran que eran víctimas de una exto</w:t>
      </w:r>
      <w:r>
        <w:t>r</w:t>
      </w:r>
      <w:r>
        <w:t>sión.  Telleldín, porque fue en su encuentro con “Pino” cuando se le exigiera la entrega del vehículo. Boragni, porque luego de regresar a la casa T</w:t>
      </w:r>
      <w:r>
        <w:t>e</w:t>
      </w:r>
      <w:r>
        <w:t>lleldín le indicó que se retirara a la cocina porque estaba la “pat</w:t>
      </w:r>
      <w:r>
        <w:t>o</w:t>
      </w:r>
      <w:r>
        <w:t>ta”.</w:t>
      </w:r>
    </w:p>
    <w:p w:rsidR="00224567" w:rsidRDefault="00224567">
      <w:pPr>
        <w:widowControl w:val="0"/>
      </w:pPr>
      <w:r>
        <w:tab/>
        <w:t>Idéntica inverosimilitud despierta la inexplicable preocupación alegada por Telleldín de compl</w:t>
      </w:r>
      <w:r>
        <w:t>e</w:t>
      </w:r>
      <w:r>
        <w:t>tar el traspaso de la documentación del vehículo m</w:t>
      </w:r>
      <w:r>
        <w:t>e</w:t>
      </w:r>
      <w:r>
        <w:t>diante la entrega de los respectivos formularios “</w:t>
      </w:r>
      <w:smartTag w:uri="urn:schemas-microsoft-com:office:smarttags" w:element="metricconverter">
        <w:smartTagPr>
          <w:attr w:name="ProductID" w:val="08”"/>
        </w:smartTagPr>
        <w:r>
          <w:t>08”</w:t>
        </w:r>
      </w:smartTag>
      <w:r>
        <w:t xml:space="preserve"> a quien s</w:t>
      </w:r>
      <w:r>
        <w:t>u</w:t>
      </w:r>
      <w:r>
        <w:t>puestamente lo había extorsionado. La sorpresa se p</w:t>
      </w:r>
      <w:r>
        <w:t>o</w:t>
      </w:r>
      <w:r>
        <w:t>tencia al reparar en las numerosas actividades que Telleldín dijo haber despl</w:t>
      </w:r>
      <w:r>
        <w:t>e</w:t>
      </w:r>
      <w:r>
        <w:t>gado junto a Pérez a tal fin.</w:t>
      </w:r>
    </w:p>
    <w:p w:rsidR="00224567" w:rsidRDefault="00224567">
      <w:pPr>
        <w:widowControl w:val="0"/>
      </w:pPr>
      <w:r>
        <w:tab/>
        <w:t>Si bien esta unificación del discurso de Telleldín y Boragni a lo largo del proceso fue negada por ambos, su existencia surge a simple vista.</w:t>
      </w:r>
    </w:p>
    <w:p w:rsidR="00224567" w:rsidRDefault="00224567">
      <w:pPr>
        <w:widowControl w:val="0"/>
      </w:pPr>
      <w:r>
        <w:tab/>
        <w:t>En un vano intento de explicar lo inexplicable, Telleldín manifestó que inicialmente habló de venta porque era el precio de su libertad y que su coinc</w:t>
      </w:r>
      <w:r>
        <w:t>i</w:t>
      </w:r>
      <w:r>
        <w:t>dencia con los dichos de Boragni obedecía a que ésta declaró toda la verdad, aunque sin involucrar a la pol</w:t>
      </w:r>
      <w:r>
        <w:t>i</w:t>
      </w:r>
      <w:r>
        <w:t>cía, ya que de lo contrario dejaba de ser confiable para otro arreglo. Posteriormente señaló que de involucrar a la policía “se armaba un desp</w:t>
      </w:r>
      <w:r>
        <w:t>e</w:t>
      </w:r>
      <w:r>
        <w:t>lote”.</w:t>
      </w:r>
    </w:p>
    <w:p w:rsidR="00224567" w:rsidRDefault="00224567">
      <w:pPr>
        <w:widowControl w:val="0"/>
      </w:pPr>
      <w:r>
        <w:tab/>
        <w:t>Por su parte, Boragni en el juicio sostuvo que cuando dijo que la camioneta se había ve</w:t>
      </w:r>
      <w:r>
        <w:t>n</w:t>
      </w:r>
      <w:r>
        <w:t>dido lo hizo: en sede policial por el maltrato que sufría, en el juzgado in</w:t>
      </w:r>
      <w:r>
        <w:t>s</w:t>
      </w:r>
      <w:r>
        <w:t>tructor por la desconfianza que le generaba Galeano y en el debate porque estaba descerebrada. Ta</w:t>
      </w:r>
      <w:r>
        <w:t>m</w:t>
      </w:r>
      <w:r>
        <w:t>bién negó haber acordado una versión común.</w:t>
      </w:r>
    </w:p>
    <w:p w:rsidR="00224567" w:rsidRDefault="00224567">
      <w:pPr>
        <w:widowControl w:val="0"/>
      </w:pPr>
      <w:r>
        <w:tab/>
        <w:t>La explicación esbozada por Telleldín carece de asidero, toda vez que el ocultamiento de la e</w:t>
      </w:r>
      <w:r>
        <w:t>x</w:t>
      </w:r>
      <w:r>
        <w:t>torsión policial como método para permitir la real</w:t>
      </w:r>
      <w:r>
        <w:t>i</w:t>
      </w:r>
      <w:r>
        <w:t>zación de futuros arreglos se da de bruces con la denuncia del procedimiento policial del 14 y 15 de julio de 1994 efe</w:t>
      </w:r>
      <w:r>
        <w:t>c</w:t>
      </w:r>
      <w:r>
        <w:t>tuada ya en su indagat</w:t>
      </w:r>
      <w:r>
        <w:t>o</w:t>
      </w:r>
      <w:r>
        <w:t>ria del 6 de agosto de ese año.</w:t>
      </w:r>
    </w:p>
    <w:p w:rsidR="00224567" w:rsidRDefault="00224567">
      <w:pPr>
        <w:widowControl w:val="0"/>
      </w:pPr>
      <w:r>
        <w:tab/>
        <w:t>También resulta desvirtuada esa expl</w:t>
      </w:r>
      <w:r>
        <w:t>i</w:t>
      </w:r>
      <w:r>
        <w:t>cación al advertirse en las primeras declaraciones de T</w:t>
      </w:r>
      <w:r>
        <w:t>e</w:t>
      </w:r>
      <w:r>
        <w:t>lleldín y Boragni numerosas coincidencias sobre lo ocurr</w:t>
      </w:r>
      <w:r>
        <w:t>i</w:t>
      </w:r>
      <w:r>
        <w:t>do que llegan al nivel de detalle y trascienden la simple omisión de mencionar la presencia o participación de pe</w:t>
      </w:r>
      <w:r>
        <w:t>r</w:t>
      </w:r>
      <w:r>
        <w:t>sonal policial en la op</w:t>
      </w:r>
      <w:r>
        <w:t>e</w:t>
      </w:r>
      <w:r>
        <w:t xml:space="preserve">ración. </w:t>
      </w:r>
    </w:p>
    <w:p w:rsidR="00224567" w:rsidRDefault="00224567">
      <w:pPr>
        <w:widowControl w:val="0"/>
      </w:pPr>
      <w:r>
        <w:tab/>
        <w:t>En tal sentido debe valorarse la ll</w:t>
      </w:r>
      <w:r>
        <w:t>a</w:t>
      </w:r>
      <w:r>
        <w:t>mativa coincidencia tanto sobre el monto final de la op</w:t>
      </w:r>
      <w:r>
        <w:t>e</w:t>
      </w:r>
      <w:r>
        <w:t>ración como respecto a la negociación entablada con el comprador para definir el precio de la camioneta. Telle</w:t>
      </w:r>
      <w:r>
        <w:t>l</w:t>
      </w:r>
      <w:r>
        <w:t>dín afirmó que el comprador ofreció 11.000 dólares pactá</w:t>
      </w:r>
      <w:r>
        <w:t>n</w:t>
      </w:r>
      <w:r>
        <w:t>dose finalmente la venta en 11.500. Por su parte Boragni sostuvo que, luego de mostrar la camioneta, probarla, Ca</w:t>
      </w:r>
      <w:r>
        <w:t>r</w:t>
      </w:r>
      <w:r>
        <w:t>los Telleldín entró a su casa y le dijo que, como el co</w:t>
      </w:r>
      <w:r>
        <w:t>m</w:t>
      </w:r>
      <w:r>
        <w:t>prador quería rebaja, se debía mostrar molesta y n</w:t>
      </w:r>
      <w:r>
        <w:t>e</w:t>
      </w:r>
      <w:r>
        <w:t>garse a a</w:t>
      </w:r>
      <w:r>
        <w:t>c</w:t>
      </w:r>
      <w:r>
        <w:t>ceder a tal petición, lo que así sucedió.</w:t>
      </w:r>
    </w:p>
    <w:p w:rsidR="00224567" w:rsidRDefault="00224567">
      <w:pPr>
        <w:widowControl w:val="0"/>
      </w:pPr>
      <w:r>
        <w:tab/>
        <w:t>En cuanto al monto de la transacción en la decl</w:t>
      </w:r>
      <w:r>
        <w:t>a</w:t>
      </w:r>
      <w:r>
        <w:t>ración de fs. 305/306 expresó que fue de 11.750 pesos y en la de fs. 10.362/10.375 afirmó que fueron 11.500 d</w:t>
      </w:r>
      <w:r>
        <w:t>ó</w:t>
      </w:r>
      <w:r>
        <w:t>lares.</w:t>
      </w:r>
    </w:p>
    <w:p w:rsidR="00224567" w:rsidRDefault="00224567">
      <w:pPr>
        <w:widowControl w:val="0"/>
      </w:pPr>
      <w:r>
        <w:tab/>
        <w:t>También se coincidió respecto a que la verificación de los billetes entregados por el co</w:t>
      </w:r>
      <w:r>
        <w:t>m</w:t>
      </w:r>
      <w:r>
        <w:t>prador. Así Telleldín afirmó que controló el dinero y resaltó que le llamó la atención que los billetes fueran nuevos, con excepción de uno que era del año 1986 y estaba sucio, agregó que tenían una franja de segur</w:t>
      </w:r>
      <w:r>
        <w:t>i</w:t>
      </w:r>
      <w:r>
        <w:t>dad. En su momento, Boragni sostuvo que Telleldín le dio el dinero para que verificara su legitimidad, lo que hizo a si</w:t>
      </w:r>
      <w:r>
        <w:t>m</w:t>
      </w:r>
      <w:r>
        <w:t>ple vista.</w:t>
      </w:r>
    </w:p>
    <w:p w:rsidR="00224567" w:rsidRDefault="00224567">
      <w:pPr>
        <w:widowControl w:val="0"/>
      </w:pPr>
      <w:r>
        <w:tab/>
        <w:t>De idéntica forma debe valorarse la afirmación de</w:t>
      </w:r>
      <w:r>
        <w:rPr>
          <w:b/>
          <w:bCs/>
        </w:rPr>
        <w:t xml:space="preserve"> </w:t>
      </w:r>
      <w:r>
        <w:t>que el dinero lo tenía el comprador en un maletín. Así, Telleldín expuso que el adquirente de la c</w:t>
      </w:r>
      <w:r>
        <w:t>a</w:t>
      </w:r>
      <w:r>
        <w:t>mi</w:t>
      </w:r>
      <w:r>
        <w:t>o</w:t>
      </w:r>
      <w:r>
        <w:t>neta abrió su attaché, sacó un fajo de u$s 10.000 y u$s 1.500 de otro cuyo rem</w:t>
      </w:r>
      <w:r>
        <w:t>a</w:t>
      </w:r>
      <w:r>
        <w:t>nente luego introdujo en el bolso. Pudo advertir que tenía otro fajo más de dinero. En el mismo sentido, Boragni precisó que el comprador tomó los billetes del interior de un attaché que portaba y que Ca</w:t>
      </w:r>
      <w:r>
        <w:t>r</w:t>
      </w:r>
      <w:r>
        <w:t>los Telleldín le comentó que el ind</w:t>
      </w:r>
      <w:r>
        <w:t>i</w:t>
      </w:r>
      <w:r>
        <w:t>viduo tenía más dinero d</w:t>
      </w:r>
      <w:r>
        <w:t>e</w:t>
      </w:r>
      <w:r>
        <w:t>ntro del maletín.</w:t>
      </w:r>
    </w:p>
    <w:p w:rsidR="00224567" w:rsidRDefault="00224567">
      <w:pPr>
        <w:widowControl w:val="0"/>
      </w:pPr>
      <w:r>
        <w:tab/>
        <w:t>Como se observa, esta serie de coinc</w:t>
      </w:r>
      <w:r>
        <w:t>i</w:t>
      </w:r>
      <w:r>
        <w:t>dencias –el monto de la operación, la negociación con el comprador, el maletín donde éste guardaba el dinero y la verificación de la autenticidad de los billetes entreg</w:t>
      </w:r>
      <w:r>
        <w:t>a</w:t>
      </w:r>
      <w:r>
        <w:t>dos– entre los dichos de Telleldín y Boragni demuestra la mendac</w:t>
      </w:r>
      <w:r>
        <w:t>i</w:t>
      </w:r>
      <w:r>
        <w:t>dad de aquél en la justificación del motivo por el cual no se denunció inicialmente la extorsión y, en ca</w:t>
      </w:r>
      <w:r>
        <w:t>m</w:t>
      </w:r>
      <w:r>
        <w:t>bio, se habló de una ve</w:t>
      </w:r>
      <w:r>
        <w:t>n</w:t>
      </w:r>
      <w:r>
        <w:t>ta.</w:t>
      </w:r>
    </w:p>
    <w:p w:rsidR="00224567" w:rsidRDefault="00224567">
      <w:pPr>
        <w:widowControl w:val="0"/>
      </w:pPr>
      <w:r>
        <w:tab/>
        <w:t>Tampoco concuerda con la explicación brindada por Telleldín que aclarara desde un primer mome</w:t>
      </w:r>
      <w:r>
        <w:t>n</w:t>
      </w:r>
      <w:r>
        <w:t>to, en forma detallada, cuál fue el destino del dinero r</w:t>
      </w:r>
      <w:r>
        <w:t>e</w:t>
      </w:r>
      <w:r>
        <w:t>cibido por la entrega del vehículo. Es claro que esta ci</w:t>
      </w:r>
      <w:r>
        <w:t>r</w:t>
      </w:r>
      <w:r>
        <w:t>cunstancia, al igual que las enunciadas previamente, ta</w:t>
      </w:r>
      <w:r>
        <w:t>m</w:t>
      </w:r>
      <w:r>
        <w:t>poco estaba vinculada a la omisión de mencionar la part</w:t>
      </w:r>
      <w:r>
        <w:t>i</w:t>
      </w:r>
      <w:r>
        <w:t>cipación del personal policial en la oper</w:t>
      </w:r>
      <w:r>
        <w:t>a</w:t>
      </w:r>
      <w:r>
        <w:t>ción.</w:t>
      </w:r>
    </w:p>
    <w:p w:rsidR="00224567" w:rsidRDefault="00224567">
      <w:pPr>
        <w:pStyle w:val="Ttulo8"/>
        <w:spacing w:line="600" w:lineRule="auto"/>
        <w:rPr>
          <w:b w:val="0"/>
          <w:bCs w:val="0"/>
        </w:rPr>
      </w:pPr>
      <w:r>
        <w:tab/>
      </w:r>
      <w:bookmarkStart w:id="120" w:name="_Toc79905025"/>
      <w:bookmarkStart w:id="121" w:name="_Toc86731949"/>
      <w:r>
        <w:t xml:space="preserve">C.2.c.ii.C.3) </w:t>
      </w:r>
      <w:r>
        <w:rPr>
          <w:b w:val="0"/>
          <w:bCs w:val="0"/>
        </w:rPr>
        <w:t>Declaraciones prestadas durante el d</w:t>
      </w:r>
      <w:r>
        <w:rPr>
          <w:b w:val="0"/>
          <w:bCs w:val="0"/>
        </w:rPr>
        <w:t>e</w:t>
      </w:r>
      <w:r>
        <w:rPr>
          <w:b w:val="0"/>
          <w:bCs w:val="0"/>
        </w:rPr>
        <w:t>bate.</w:t>
      </w:r>
      <w:bookmarkEnd w:id="120"/>
      <w:bookmarkEnd w:id="121"/>
    </w:p>
    <w:p w:rsidR="00224567" w:rsidRDefault="00224567">
      <w:pPr>
        <w:widowControl w:val="0"/>
      </w:pPr>
      <w:r>
        <w:tab/>
        <w:t>Las versiones aportadas durante el d</w:t>
      </w:r>
      <w:r>
        <w:t>e</w:t>
      </w:r>
      <w:r>
        <w:t>bate por T</w:t>
      </w:r>
      <w:r>
        <w:t>e</w:t>
      </w:r>
      <w:r>
        <w:t>lleldín y Boragni sobre lo acontecido el 10 de julio de 1994 difi</w:t>
      </w:r>
      <w:r>
        <w:t>e</w:t>
      </w:r>
      <w:r>
        <w:t>ren sustancialmente con las sostenidas en la in</w:t>
      </w:r>
      <w:r>
        <w:t>s</w:t>
      </w:r>
      <w:r>
        <w:t>trucción.</w:t>
      </w:r>
    </w:p>
    <w:p w:rsidR="00224567" w:rsidRDefault="00224567">
      <w:pPr>
        <w:widowControl w:val="0"/>
      </w:pPr>
      <w:r>
        <w:tab/>
        <w:t>Como se adelantara, los dichos de T</w:t>
      </w:r>
      <w:r>
        <w:t>e</w:t>
      </w:r>
      <w:r>
        <w:t>lleldín han variado aún durante el juicio oral. En una primera etapa –por la autolimitación que se impuso de no declarar sobre las extorsiones de las que fuera víctima– se refirió sucintamente a lo ocurrido en la fecha en cue</w:t>
      </w:r>
      <w:r>
        <w:t>s</w:t>
      </w:r>
      <w:r>
        <w:t>tión.</w:t>
      </w:r>
    </w:p>
    <w:p w:rsidR="00224567" w:rsidRDefault="00224567">
      <w:pPr>
        <w:widowControl w:val="0"/>
      </w:pPr>
      <w:r>
        <w:tab/>
        <w:t>Si bien Telleldín sostuvo algunas afirmaciones que perm</w:t>
      </w:r>
      <w:r>
        <w:t>i</w:t>
      </w:r>
      <w:r>
        <w:t>tirían identificar esta versión con la hipótesis extorsiva por él expuesta inicialmente el 5 de julio de 1996, luego efectuó otras manifest</w:t>
      </w:r>
      <w:r>
        <w:t>a</w:t>
      </w:r>
      <w:r>
        <w:t>ciones que se alej</w:t>
      </w:r>
      <w:r>
        <w:t>a</w:t>
      </w:r>
      <w:r>
        <w:t>ron de aquella.</w:t>
      </w:r>
    </w:p>
    <w:p w:rsidR="00224567" w:rsidRDefault="00224567">
      <w:pPr>
        <w:widowControl w:val="0"/>
      </w:pPr>
      <w:r>
        <w:tab/>
        <w:t>Así, ratificó que la camioneta le fue sacada por la policía y que fue ese día cuando vio por primera vez a Leal, en coincidencia con lo sostenido el 5 de julio de 1996. Pero también afirmó que la mitad de esa declaración no eran sus dichos y destacó la irreg</w:t>
      </w:r>
      <w:r>
        <w:t>u</w:t>
      </w:r>
      <w:r>
        <w:t>laridad de los reconocimientos de los policías implic</w:t>
      </w:r>
      <w:r>
        <w:t>a</w:t>
      </w:r>
      <w:r>
        <w:t>dos. En tal sentido, indicó que en las entrevistas con el magistrado in</w:t>
      </w:r>
      <w:r>
        <w:t>s</w:t>
      </w:r>
      <w:r>
        <w:t>tructor, en las que ensayaba lo que declararía, éste le exigía certeza en la identificación fotográfica de Ib</w:t>
      </w:r>
      <w:r>
        <w:t>a</w:t>
      </w:r>
      <w:r>
        <w:t>rra cuando él no la tenía. Idéntica indicación recibió respe</w:t>
      </w:r>
      <w:r>
        <w:t>c</w:t>
      </w:r>
      <w:r>
        <w:t>to de la fotografía de Alb</w:t>
      </w:r>
      <w:r>
        <w:t>a</w:t>
      </w:r>
      <w:r>
        <w:t>rracín.</w:t>
      </w:r>
    </w:p>
    <w:p w:rsidR="00224567" w:rsidRDefault="00224567">
      <w:pPr>
        <w:widowControl w:val="0"/>
      </w:pPr>
      <w:r>
        <w:tab/>
        <w:t>Precisó que en su declaración de j</w:t>
      </w:r>
      <w:r>
        <w:t>u</w:t>
      </w:r>
      <w:r>
        <w:t>lio de 1996 le exhibieron las mismas fotografías mo</w:t>
      </w:r>
      <w:r>
        <w:t>s</w:t>
      </w:r>
      <w:r>
        <w:t>tradas en las entrevistas previas y que el pago fue por esa indag</w:t>
      </w:r>
      <w:r>
        <w:t>a</w:t>
      </w:r>
      <w:r>
        <w:t>toria y por el reconocimiento de la fotografía n</w:t>
      </w:r>
      <w:r>
        <w:rPr>
          <w:b/>
          <w:bCs/>
        </w:rPr>
        <w:t>º</w:t>
      </w:r>
      <w:r>
        <w:t xml:space="preserve"> 6 con certeza, cuando él no tenía segur</w:t>
      </w:r>
      <w:r>
        <w:t>i</w:t>
      </w:r>
      <w:r>
        <w:t>dad.</w:t>
      </w:r>
    </w:p>
    <w:p w:rsidR="00224567" w:rsidRDefault="00224567">
      <w:pPr>
        <w:widowControl w:val="0"/>
      </w:pPr>
      <w:r>
        <w:tab/>
        <w:t>Agregó que los doctores Galeano y De Gamas le exigieron a todos que reconocieran la foto n</w:t>
      </w:r>
      <w:r>
        <w:rPr>
          <w:b/>
          <w:bCs/>
        </w:rPr>
        <w:t>º</w:t>
      </w:r>
      <w:r>
        <w:t xml:space="preserve"> 6 correspondiente a Ib</w:t>
      </w:r>
      <w:r>
        <w:t>a</w:t>
      </w:r>
      <w:r>
        <w:t>rra.</w:t>
      </w:r>
    </w:p>
    <w:p w:rsidR="00224567" w:rsidRDefault="00224567">
      <w:pPr>
        <w:widowControl w:val="0"/>
      </w:pPr>
      <w:r>
        <w:tab/>
        <w:t>En una segunda etapa, efectuó un nu</w:t>
      </w:r>
      <w:r>
        <w:t>e</w:t>
      </w:r>
      <w:r>
        <w:t>vo giro en la explic</w:t>
      </w:r>
      <w:r>
        <w:t>a</w:t>
      </w:r>
      <w:r>
        <w:t>ción de lo sucedido aquel día y volvió a sostener la hipótesis de una venta, pero esta vez con la mención de una presencia policial en las inmediaci</w:t>
      </w:r>
      <w:r>
        <w:t>o</w:t>
      </w:r>
      <w:r>
        <w:t>nes de su domicilio.</w:t>
      </w:r>
    </w:p>
    <w:p w:rsidR="00224567" w:rsidRDefault="00224567">
      <w:pPr>
        <w:widowControl w:val="0"/>
      </w:pPr>
      <w:r>
        <w:tab/>
        <w:t>Esto se manifestó principalmente en la ubicación de algunos vehículos policiales próximos a su vivienda y en la aparición –mientras se suscribía el bol</w:t>
      </w:r>
      <w:r>
        <w:t>e</w:t>
      </w:r>
      <w:r>
        <w:t>to de compraventa de la camioneta– de dos oficiales bona</w:t>
      </w:r>
      <w:r>
        <w:t>e</w:t>
      </w:r>
      <w:r>
        <w:t>renses con el objeto de cerciorarse del estado de la op</w:t>
      </w:r>
      <w:r>
        <w:t>e</w:t>
      </w:r>
      <w:r>
        <w:t>ración.</w:t>
      </w:r>
    </w:p>
    <w:p w:rsidR="00224567" w:rsidRDefault="00224567">
      <w:pPr>
        <w:widowControl w:val="0"/>
      </w:pPr>
      <w:r>
        <w:tab/>
        <w:t>Afirmó que la versión de la extorsión fue “armada” y destacó las presiones que sufrió para ma</w:t>
      </w:r>
      <w:r>
        <w:t>n</w:t>
      </w:r>
      <w:r>
        <w:t>tenerla. Individu</w:t>
      </w:r>
      <w:r>
        <w:t>a</w:t>
      </w:r>
      <w:r>
        <w:t>lizó, como agregados por el juez, todos los párrafos vinculados a la extorsión. Así, señaló los referidos a la persona que se presentara con una crede</w:t>
      </w:r>
      <w:r>
        <w:t>n</w:t>
      </w:r>
      <w:r>
        <w:t>cial policial y actuara como intermediario de quienes se encontraran a la vuelta, las presencias en el lugar de “Pino” exigiendo la entrega de la camioneta, del subcom</w:t>
      </w:r>
      <w:r>
        <w:t>i</w:t>
      </w:r>
      <w:r>
        <w:t>sario que lo extorsionara en Lanús a bordo del Duna bla</w:t>
      </w:r>
      <w:r>
        <w:t>n</w:t>
      </w:r>
      <w:r>
        <w:t>co, de Cotoras y la conversación con él mantenida, la inexistencia de pago por el traspaso del vehículo ese día, entre otras.</w:t>
      </w:r>
    </w:p>
    <w:p w:rsidR="00224567" w:rsidRDefault="00224567">
      <w:pPr>
        <w:widowControl w:val="0"/>
      </w:pPr>
      <w:r>
        <w:tab/>
        <w:t>Esta versión final aportada por T</w:t>
      </w:r>
      <w:r>
        <w:t>e</w:t>
      </w:r>
      <w:r>
        <w:t>lleldín también padece de serias contradicciones. En la denuncia agregada a fs. 117.109/117.119 Telleldín señaló que el 10 de julio de 1994, en las inmediaciones de su d</w:t>
      </w:r>
      <w:r>
        <w:t>o</w:t>
      </w:r>
      <w:r>
        <w:t>micilio, había algunos policías bonaerenses a quienes de ninguna manera podía identificar, ni siquiera indicar a qué brigada pertenecían. Ahora bien, en la ampliación de fs. 117.250/117.265 sostuvo que, mientras se suscribía el boleto de la camioneta Trafic, dos pe</w:t>
      </w:r>
      <w:r>
        <w:t>r</w:t>
      </w:r>
      <w:r>
        <w:t>sonas le tocaron el timbre y él los reconoció como un subcomisario y un of</w:t>
      </w:r>
      <w:r>
        <w:t>i</w:t>
      </w:r>
      <w:r>
        <w:t>cial de la bonaerense que lo habían extorsionado anterio</w:t>
      </w:r>
      <w:r>
        <w:t>r</w:t>
      </w:r>
      <w:r>
        <w:t xml:space="preserve">mente. </w:t>
      </w:r>
    </w:p>
    <w:p w:rsidR="00224567" w:rsidRDefault="00224567">
      <w:pPr>
        <w:widowControl w:val="0"/>
      </w:pPr>
      <w:r>
        <w:tab/>
        <w:t>Aquí se advierten dos contradicci</w:t>
      </w:r>
      <w:r>
        <w:t>o</w:t>
      </w:r>
      <w:r>
        <w:t>nes. Por un lado, Telleldín inicialmente señala que no puede reconocer a los policías que se encontraban fuera de su domicilio y luego lo hace con una precisión notable. Por otra parte, carece de una explicación razon</w:t>
      </w:r>
      <w:r>
        <w:t>a</w:t>
      </w:r>
      <w:r>
        <w:t>ble –máxime en los términos de la denuncia de Telleldín, donde el magi</w:t>
      </w:r>
      <w:r>
        <w:t>s</w:t>
      </w:r>
      <w:r>
        <w:t>trado es el principal interesado en señalar los nombres de los policías bonaerenses prese</w:t>
      </w:r>
      <w:r>
        <w:t>n</w:t>
      </w:r>
      <w:r>
        <w:t>tes– que si Telleldín había identificado –por su intervención en extorsiones anteri</w:t>
      </w:r>
      <w:r>
        <w:t>o</w:t>
      </w:r>
      <w:r>
        <w:t>res– a las dos pe</w:t>
      </w:r>
      <w:r>
        <w:t>r</w:t>
      </w:r>
      <w:r>
        <w:t>sonas que tocaran el timbre mientras se suscribió el boleto de comprave</w:t>
      </w:r>
      <w:r>
        <w:t>n</w:t>
      </w:r>
      <w:r>
        <w:t>ta, no las incluyera en su declaración de julio de 1996. Siendo congruente con su d</w:t>
      </w:r>
      <w:r>
        <w:t>e</w:t>
      </w:r>
      <w:r>
        <w:t>nuncia, no podría adjudicarle dicha omisión al juez in</w:t>
      </w:r>
      <w:r>
        <w:t>s</w:t>
      </w:r>
      <w:r>
        <w:t>tructor.</w:t>
      </w:r>
    </w:p>
    <w:p w:rsidR="00224567" w:rsidRDefault="00224567">
      <w:pPr>
        <w:widowControl w:val="0"/>
      </w:pPr>
      <w:r>
        <w:tab/>
        <w:t>Recuérdese que en aquella declar</w:t>
      </w:r>
      <w:r>
        <w:t>a</w:t>
      </w:r>
      <w:r>
        <w:t>ción, y en un párrafo que no fuera seleccionado por Telleldín como alguno de los que le agregara falsamente el juez, s</w:t>
      </w:r>
      <w:r>
        <w:t>e</w:t>
      </w:r>
      <w:r>
        <w:t>ñaló que era Boragni quien podría reconocer a las dos pe</w:t>
      </w:r>
      <w:r>
        <w:t>r</w:t>
      </w:r>
      <w:r>
        <w:t>sonas que tocaran el timbre mientras se firmaba el bol</w:t>
      </w:r>
      <w:r>
        <w:t>e</w:t>
      </w:r>
      <w:r>
        <w:t>to.</w:t>
      </w:r>
    </w:p>
    <w:p w:rsidR="00224567" w:rsidRDefault="00224567">
      <w:pPr>
        <w:widowControl w:val="0"/>
      </w:pPr>
      <w:r>
        <w:tab/>
        <w:t>Es claro, que en la nueva versión aportada por Telleldín durante el debate, no era Boragni sino él, quien estaba en mejores condiciones de identif</w:t>
      </w:r>
      <w:r>
        <w:t>i</w:t>
      </w:r>
      <w:r>
        <w:t>car a estas personas. La contradicción con lo sosten</w:t>
      </w:r>
      <w:r>
        <w:t>i</w:t>
      </w:r>
      <w:r>
        <w:t>do en julio de 1996 resulta evidente.</w:t>
      </w:r>
    </w:p>
    <w:p w:rsidR="00224567" w:rsidRDefault="00224567">
      <w:pPr>
        <w:widowControl w:val="0"/>
      </w:pPr>
      <w:r>
        <w:tab/>
        <w:t>En otro tramo de la ampliación ya r</w:t>
      </w:r>
      <w:r>
        <w:t>e</w:t>
      </w:r>
      <w:r>
        <w:t>ferida, Telleldín sostuvo que, al salir a probar la cami</w:t>
      </w:r>
      <w:r>
        <w:t>o</w:t>
      </w:r>
      <w:r>
        <w:t>neta, advirtió la presencia –en los alrededores de Rep</w:t>
      </w:r>
      <w:r>
        <w:t>ú</w:t>
      </w:r>
      <w:r>
        <w:t>blica 107– de algunos vehículos que identificó como pert</w:t>
      </w:r>
      <w:r>
        <w:t>e</w:t>
      </w:r>
      <w:r>
        <w:t>necientes a brigadas de la policía b</w:t>
      </w:r>
      <w:r>
        <w:t>o</w:t>
      </w:r>
      <w:r>
        <w:t>naerense.</w:t>
      </w:r>
    </w:p>
    <w:p w:rsidR="00224567" w:rsidRDefault="00224567">
      <w:pPr>
        <w:widowControl w:val="0"/>
      </w:pPr>
      <w:r>
        <w:tab/>
        <w:t>La presencia de los autos señalados por Telleldín es también valorada como un elemento de ca</w:t>
      </w:r>
      <w:r>
        <w:t>r</w:t>
      </w:r>
      <w:r>
        <w:t>go en contra del pe</w:t>
      </w:r>
      <w:r>
        <w:t>r</w:t>
      </w:r>
      <w:r>
        <w:t xml:space="preserve">sonal policial. </w:t>
      </w:r>
    </w:p>
    <w:p w:rsidR="00224567" w:rsidRDefault="00224567">
      <w:pPr>
        <w:widowControl w:val="0"/>
      </w:pPr>
      <w:r>
        <w:tab/>
        <w:t>Sin embargo, como se verá al cotejar lo declarado por Telleldín respecto a la persecución que sufriera el 14 de julio de 1994, esta circunstancia ta</w:t>
      </w:r>
      <w:r>
        <w:t>m</w:t>
      </w:r>
      <w:r>
        <w:t>bién quedó desvirtu</w:t>
      </w:r>
      <w:r>
        <w:t>a</w:t>
      </w:r>
      <w:r>
        <w:t>da por sus propios dichos.</w:t>
      </w:r>
    </w:p>
    <w:p w:rsidR="00224567" w:rsidRDefault="00224567">
      <w:pPr>
        <w:widowControl w:val="0"/>
      </w:pPr>
      <w:r>
        <w:tab/>
      </w:r>
      <w:r>
        <w:tab/>
        <w:t xml:space="preserve">Por su parte, </w:t>
      </w:r>
      <w:r>
        <w:rPr>
          <w:b/>
          <w:bCs/>
        </w:rPr>
        <w:t>Ana María Boragni</w:t>
      </w:r>
      <w:r>
        <w:t xml:space="preserve"> sost</w:t>
      </w:r>
      <w:r>
        <w:t>u</w:t>
      </w:r>
      <w:r>
        <w:t>vo distintas versiones sobre lo ocurrido el 10 de j</w:t>
      </w:r>
      <w:r>
        <w:t>u</w:t>
      </w:r>
      <w:r>
        <w:t>lio de 1994. Por momentos, describía los hechos como una exto</w:t>
      </w:r>
      <w:r>
        <w:t>r</w:t>
      </w:r>
      <w:r>
        <w:t>sión, en otros como una venta, y también incorporó una nueva versión que podría definirse como una “venta contr</w:t>
      </w:r>
      <w:r>
        <w:t>o</w:t>
      </w:r>
      <w:r>
        <w:t>lada”.</w:t>
      </w:r>
    </w:p>
    <w:p w:rsidR="00224567" w:rsidRDefault="00224567">
      <w:pPr>
        <w:widowControl w:val="0"/>
      </w:pPr>
      <w:r>
        <w:tab/>
        <w:t>Como se advierte, las modificaciones fueron notorias y sobre aspectos sustanciales. Recué</w:t>
      </w:r>
      <w:r>
        <w:t>r</w:t>
      </w:r>
      <w:r>
        <w:t>dese que la base de la imputación hacia el personal policial radica en la entrega del vehículo en esa jornada y las contradicciones de Boragni se refieren precis</w:t>
      </w:r>
      <w:r>
        <w:t>a</w:t>
      </w:r>
      <w:r>
        <w:t>mente a ese mismo aspe</w:t>
      </w:r>
      <w:r>
        <w:t>c</w:t>
      </w:r>
      <w:r>
        <w:t xml:space="preserve">to. </w:t>
      </w:r>
    </w:p>
    <w:p w:rsidR="00224567" w:rsidRDefault="00224567">
      <w:pPr>
        <w:widowControl w:val="0"/>
      </w:pPr>
      <w:r>
        <w:tab/>
        <w:t>Los cambios se produjeron, en ocasi</w:t>
      </w:r>
      <w:r>
        <w:t>o</w:t>
      </w:r>
      <w:r>
        <w:t>nes, espontáneame</w:t>
      </w:r>
      <w:r>
        <w:t>n</w:t>
      </w:r>
      <w:r>
        <w:t>te, en otras al ser contrastada con sus versiones anteriores, fueran las prestadas en in</w:t>
      </w:r>
      <w:r>
        <w:t>s</w:t>
      </w:r>
      <w:r>
        <w:t>trucción o aún durante el ju</w:t>
      </w:r>
      <w:r>
        <w:t>i</w:t>
      </w:r>
      <w:r>
        <w:t>cio.</w:t>
      </w:r>
    </w:p>
    <w:p w:rsidR="00224567" w:rsidRDefault="00224567">
      <w:pPr>
        <w:widowControl w:val="0"/>
      </w:pPr>
      <w:r>
        <w:tab/>
        <w:t>Intentó, infructuosamente, justificar estas profundas variaciones en su discurso para corregir sus permanentes contradicciones. Adjudicó estos grandes cambios a que durante el debate, si bien no se encontraba presionada como durante la instrucción, estaba “descer</w:t>
      </w:r>
      <w:r>
        <w:t>e</w:t>
      </w:r>
      <w:r>
        <w:t>brada”. También intentó explicar esas variaciones como producto del desorden de su exposición, por lo que se le reclamó que relatara lo ocurrido org</w:t>
      </w:r>
      <w:r>
        <w:t>a</w:t>
      </w:r>
      <w:r>
        <w:t>nizadamente. Y en esa exposición “ordenada” fue escueta y no salvó los desacue</w:t>
      </w:r>
      <w:r>
        <w:t>r</w:t>
      </w:r>
      <w:r>
        <w:t>dos sino que solamente los eludió a partir de un relato plagado de abundantes impr</w:t>
      </w:r>
      <w:r>
        <w:t>e</w:t>
      </w:r>
      <w:r>
        <w:t>cisiones.</w:t>
      </w:r>
    </w:p>
    <w:p w:rsidR="00224567" w:rsidRDefault="00224567">
      <w:pPr>
        <w:widowControl w:val="0"/>
      </w:pPr>
      <w:r>
        <w:tab/>
        <w:t>Lo dicho se observa claramente, en las insalvables contradicciones incurridas al referirse a la persona que retiró la camioneta. Así sostuvo que era un simple comprador y luego que era un testaferro de la pol</w:t>
      </w:r>
      <w:r>
        <w:t>i</w:t>
      </w:r>
      <w:r>
        <w:t>cía.</w:t>
      </w:r>
    </w:p>
    <w:p w:rsidR="00224567" w:rsidRDefault="00224567">
      <w:pPr>
        <w:widowControl w:val="0"/>
      </w:pPr>
      <w:r>
        <w:tab/>
        <w:t>Como se adelantara, sobre el carácter en que se entregara la camioneta, Boragni dio distintas versiones que resultan incompatibles. Así, dijo que el vehículo se vendió en la suma de 11.000 pesos o dólares y que Telleldín le comentó que había tenido que pelear el precio. En cambio, al afirmar que se trató de una exto</w:t>
      </w:r>
      <w:r>
        <w:t>r</w:t>
      </w:r>
      <w:r>
        <w:t xml:space="preserve">sión, dijo que Telleldín le comentó que la camioneta se había entregado como pago por una deuda y precisó que el comprador, </w:t>
      </w:r>
      <w:r>
        <w:rPr>
          <w:b/>
          <w:bCs/>
        </w:rPr>
        <w:t>“</w:t>
      </w:r>
      <w:r>
        <w:t>buche</w:t>
      </w:r>
      <w:r>
        <w:rPr>
          <w:b/>
          <w:bCs/>
        </w:rPr>
        <w:t>”</w:t>
      </w:r>
      <w:r>
        <w:t xml:space="preserve"> de la policía, había concurrido en r</w:t>
      </w:r>
      <w:r>
        <w:t>e</w:t>
      </w:r>
      <w:r>
        <w:t>presentación de las personas de la brigada. Aclaró que T</w:t>
      </w:r>
      <w:r>
        <w:t>e</w:t>
      </w:r>
      <w:r>
        <w:t>lleldín le adelantó, el día de la transacción, que la c</w:t>
      </w:r>
      <w:r>
        <w:t>a</w:t>
      </w:r>
      <w:r>
        <w:t>mioneta se la habían llevado los policías c</w:t>
      </w:r>
      <w:r>
        <w:t>o</w:t>
      </w:r>
      <w:r>
        <w:t xml:space="preserve">mo producto de un apriete. </w:t>
      </w:r>
    </w:p>
    <w:p w:rsidR="00224567" w:rsidRDefault="00224567">
      <w:pPr>
        <w:widowControl w:val="0"/>
      </w:pPr>
      <w:r>
        <w:tab/>
        <w:t>Para justificar el cambio de versión, de venta a extorsión, indicó que durante el debate cont</w:t>
      </w:r>
      <w:r>
        <w:t>i</w:t>
      </w:r>
      <w:r>
        <w:t>nuó hablando de venta para marcar el hecho y por relaci</w:t>
      </w:r>
      <w:r>
        <w:t>o</w:t>
      </w:r>
      <w:r>
        <w:t>narlo con la firma del boleto, y que estos contratos se usaban para las e</w:t>
      </w:r>
      <w:r>
        <w:t>x</w:t>
      </w:r>
      <w:r>
        <w:t>torsiones.</w:t>
      </w:r>
    </w:p>
    <w:p w:rsidR="00224567" w:rsidRDefault="00224567">
      <w:pPr>
        <w:widowControl w:val="0"/>
      </w:pPr>
      <w:r>
        <w:tab/>
        <w:t>Estos ensayos de explicaciones no r</w:t>
      </w:r>
      <w:r>
        <w:t>e</w:t>
      </w:r>
      <w:r>
        <w:t>sultan satisfactorios, ya que la afirmación de la hipót</w:t>
      </w:r>
      <w:r>
        <w:t>e</w:t>
      </w:r>
      <w:r>
        <w:t>sis de venta no solo se limita a la utilización de ese término, sino que se aportaron mayores detalles de esa operación como el precio final, la negociación sobre el monto de la transacción, entre otros. Es claro que el aporte de e</w:t>
      </w:r>
      <w:r>
        <w:t>s</w:t>
      </w:r>
      <w:r>
        <w:t>tos datos refiere inequívocamente a una venta y no a una extorsión como pretendiera la te</w:t>
      </w:r>
      <w:r>
        <w:t>s</w:t>
      </w:r>
      <w:r>
        <w:t>tigo.</w:t>
      </w:r>
    </w:p>
    <w:p w:rsidR="00224567" w:rsidRDefault="00224567">
      <w:pPr>
        <w:widowControl w:val="0"/>
      </w:pPr>
      <w:r>
        <w:tab/>
        <w:t>Pero Boragni, también intentó excusar el cambio de hipótesis al modificar el momento en que se enterara de que se trató de una maniobra extorsiva. Así, señ</w:t>
      </w:r>
      <w:r>
        <w:t>a</w:t>
      </w:r>
      <w:r>
        <w:t>ló que Telleldín recién le habló de la patota después de que esa persona se retirara –antes de almo</w:t>
      </w:r>
      <w:r>
        <w:t>r</w:t>
      </w:r>
      <w:r>
        <w:t>zar, cuando subieron a su dormit</w:t>
      </w:r>
      <w:r>
        <w:t>o</w:t>
      </w:r>
      <w:r>
        <w:t>rio– y les dijo a quienes estaban en la casa que pudo advertir por la vestimenta que las dos personas que tocaran el timbre no eran compradores sino de la brigada. Mas luego refirió que recién cuando T</w:t>
      </w:r>
      <w:r>
        <w:t>e</w:t>
      </w:r>
      <w:r>
        <w:t>lleldín estuvo detenido en Caseros o Devoto, le comentó que la c</w:t>
      </w:r>
      <w:r>
        <w:t>a</w:t>
      </w:r>
      <w:r>
        <w:t>mioneta la había entregado a la policía en pago por una deuda.</w:t>
      </w:r>
    </w:p>
    <w:p w:rsidR="00224567" w:rsidRDefault="00224567">
      <w:pPr>
        <w:widowControl w:val="0"/>
      </w:pPr>
      <w:r>
        <w:tab/>
        <w:t>No resulta tal artilugio hábil para el fin propuesto. En efecto, sea que Boragni –como so</w:t>
      </w:r>
      <w:r>
        <w:t>s</w:t>
      </w:r>
      <w:r>
        <w:t>tuviera en la instrucción– se hubiera enterado de que se trataba de una extorsión al momento de la transacción, con post</w:t>
      </w:r>
      <w:r>
        <w:t>e</w:t>
      </w:r>
      <w:r>
        <w:t>rioridad a esta o recién cuando Telleldín estuvo d</w:t>
      </w:r>
      <w:r>
        <w:t>e</w:t>
      </w:r>
      <w:r>
        <w:t>tenido, es claro que todos estos momentos fueron previos a su d</w:t>
      </w:r>
      <w:r>
        <w:t>e</w:t>
      </w:r>
      <w:r>
        <w:t>claración. Por ende, no pueden de forma alguna just</w:t>
      </w:r>
      <w:r>
        <w:t>i</w:t>
      </w:r>
      <w:r>
        <w:t>ficar su ausencia de mención en las testimoniales pre</w:t>
      </w:r>
      <w:r>
        <w:t>s</w:t>
      </w:r>
      <w:r>
        <w:t xml:space="preserve">tadas. </w:t>
      </w:r>
    </w:p>
    <w:p w:rsidR="00224567" w:rsidRDefault="00224567">
      <w:pPr>
        <w:widowControl w:val="0"/>
      </w:pPr>
      <w:r>
        <w:tab/>
        <w:t>Pero los cambios de versión de Bora</w:t>
      </w:r>
      <w:r>
        <w:t>g</w:t>
      </w:r>
      <w:r>
        <w:t>ni no se ac</w:t>
      </w:r>
      <w:r>
        <w:t>o</w:t>
      </w:r>
      <w:r>
        <w:t>tan a su distinción entre la hipótesis de venta y e</w:t>
      </w:r>
      <w:r>
        <w:t>x</w:t>
      </w:r>
      <w:r>
        <w:t>torsión, sino que incluyen un sinnúmero de detalles que va modificando aún dentro de cada una de estas hipót</w:t>
      </w:r>
      <w:r>
        <w:t>e</w:t>
      </w:r>
      <w:r>
        <w:t xml:space="preserve">sis. </w:t>
      </w:r>
    </w:p>
    <w:p w:rsidR="00224567" w:rsidRDefault="00224567">
      <w:pPr>
        <w:widowControl w:val="0"/>
      </w:pPr>
      <w:r>
        <w:tab/>
        <w:t>Así, dentro de la versión venta dijo que el valor de la camioneta fue de 11.000 pesos o d</w:t>
      </w:r>
      <w:r>
        <w:t>ó</w:t>
      </w:r>
      <w:r>
        <w:t>lares –sin poder precisarlo–, sin embargo al recordá</w:t>
      </w:r>
      <w:r>
        <w:t>r</w:t>
      </w:r>
      <w:r>
        <w:t>sele que en la declaración de fs. 10.372 y ss. había indicado que se había vendido en la suma de 11.500 dólares y que ella h</w:t>
      </w:r>
      <w:r>
        <w:t>a</w:t>
      </w:r>
      <w:r>
        <w:t>bía controlado la legitimidad del dinero recibido, man</w:t>
      </w:r>
      <w:r>
        <w:t>i</w:t>
      </w:r>
      <w:r>
        <w:t>festó que ello se debía a una equivocación del ju</w:t>
      </w:r>
      <w:r>
        <w:t>z</w:t>
      </w:r>
      <w:r>
        <w:t xml:space="preserve">gado. </w:t>
      </w:r>
    </w:p>
    <w:p w:rsidR="00224567" w:rsidRDefault="00224567">
      <w:pPr>
        <w:widowControl w:val="0"/>
      </w:pPr>
      <w:r>
        <w:tab/>
        <w:t>Dentro de la hipótesis de venta ta</w:t>
      </w:r>
      <w:r>
        <w:t>m</w:t>
      </w:r>
      <w:r>
        <w:t>bién sostuvo que si bien escuchó hablar de dinero, prec</w:t>
      </w:r>
      <w:r>
        <w:t>i</w:t>
      </w:r>
      <w:r>
        <w:t>samente de la suma de 11.000 pesos o dólares, no podía aclarar si se referían al valor de la camioneta o de sus asientos. No es preciso ser un experto en el rubro para valorar lo ridículo de su afirmación. Es notoria la dif</w:t>
      </w:r>
      <w:r>
        <w:t>e</w:t>
      </w:r>
      <w:r>
        <w:t>rencia de valores entre los objetos compar</w:t>
      </w:r>
      <w:r>
        <w:t>a</w:t>
      </w:r>
      <w:r>
        <w:t>dos.</w:t>
      </w:r>
    </w:p>
    <w:p w:rsidR="00224567" w:rsidRDefault="00224567">
      <w:pPr>
        <w:widowControl w:val="0"/>
      </w:pPr>
      <w:r>
        <w:tab/>
        <w:t>Tampoco supo dar una acabada explic</w:t>
      </w:r>
      <w:r>
        <w:t>a</w:t>
      </w:r>
      <w:r>
        <w:t>ción acerca de la co</w:t>
      </w:r>
      <w:r>
        <w:t>n</w:t>
      </w:r>
      <w:r>
        <w:t>servación de una copia del boleto de compraventa de un vehículo que había sido entregado como consecuencia de la extorsión sufrida. Si bien Boragni e</w:t>
      </w:r>
      <w:r>
        <w:t>x</w:t>
      </w:r>
      <w:r>
        <w:t>plicó que esta operación era de rutina, no dio cuenta de lo ocurrido con los boletos de los vehículos entreg</w:t>
      </w:r>
      <w:r>
        <w:t>a</w:t>
      </w:r>
      <w:r>
        <w:t>dos en los otros hechos que integran el objeto procesal de esta causa.</w:t>
      </w:r>
    </w:p>
    <w:p w:rsidR="00224567" w:rsidRDefault="00224567">
      <w:pPr>
        <w:widowControl w:val="0"/>
      </w:pPr>
      <w:r>
        <w:tab/>
        <w:t>Aún dentro de la versión extorsiva, en instrucción sostuvo que Telleldín le comentó la pr</w:t>
      </w:r>
      <w:r>
        <w:t>e</w:t>
      </w:r>
      <w:r>
        <w:t>sencia de la patota antes de que el sujeto se retirara con la c</w:t>
      </w:r>
      <w:r>
        <w:t>a</w:t>
      </w:r>
      <w:r>
        <w:t>mioneta. En cambio, durante el debate –y como ya se señ</w:t>
      </w:r>
      <w:r>
        <w:t>a</w:t>
      </w:r>
      <w:r>
        <w:t>lara– dijo que recién después de que dicho individuo se alejara supo de la m</w:t>
      </w:r>
      <w:r>
        <w:t>a</w:t>
      </w:r>
      <w:r>
        <w:t>niobra.</w:t>
      </w:r>
    </w:p>
    <w:p w:rsidR="00224567" w:rsidRDefault="00224567">
      <w:pPr>
        <w:widowControl w:val="0"/>
      </w:pPr>
      <w:r>
        <w:tab/>
      </w:r>
      <w:r>
        <w:tab/>
        <w:t>Tan incompatibles resultaron las ve</w:t>
      </w:r>
      <w:r>
        <w:t>r</w:t>
      </w:r>
      <w:r>
        <w:t>siones de venta y extorsión sostenidas simultáne</w:t>
      </w:r>
      <w:r>
        <w:t>a</w:t>
      </w:r>
      <w:r>
        <w:t>mente por Boragni y Telleldín durante la instrucción, que en el d</w:t>
      </w:r>
      <w:r>
        <w:t>e</w:t>
      </w:r>
      <w:r>
        <w:t>bate declararon en forma absolutamente sinuosa, resulta</w:t>
      </w:r>
      <w:r>
        <w:t>n</w:t>
      </w:r>
      <w:r>
        <w:t>do infructuosos los intentos de justif</w:t>
      </w:r>
      <w:r>
        <w:t>i</w:t>
      </w:r>
      <w:r>
        <w:t>car sus variaciones.</w:t>
      </w:r>
    </w:p>
    <w:p w:rsidR="00224567" w:rsidRDefault="00224567">
      <w:pPr>
        <w:widowControl w:val="0"/>
      </w:pPr>
      <w:r>
        <w:tab/>
        <w:t>Por otra parte, y como ya se dijera, la versión final aportada por Telleldín tampoco se encue</w:t>
      </w:r>
      <w:r>
        <w:t>n</w:t>
      </w:r>
      <w:r>
        <w:t>tra libre de co</w:t>
      </w:r>
      <w:r>
        <w:t>n</w:t>
      </w:r>
      <w:r>
        <w:t>tradicciones.</w:t>
      </w:r>
    </w:p>
    <w:p w:rsidR="00224567" w:rsidRDefault="00224567">
      <w:pPr>
        <w:widowControl w:val="0"/>
      </w:pPr>
      <w:r>
        <w:tab/>
        <w:t>En definitiva, por el sinnúmero de i</w:t>
      </w:r>
      <w:r>
        <w:t>n</w:t>
      </w:r>
      <w:r>
        <w:t>consecuencias, vari</w:t>
      </w:r>
      <w:r>
        <w:t>a</w:t>
      </w:r>
      <w:r>
        <w:t>ciones esenciales, y afirmaciones sin fundamento que contienen las declaraciones de T</w:t>
      </w:r>
      <w:r>
        <w:t>e</w:t>
      </w:r>
      <w:r>
        <w:t>lleldín y Boragni, sus dichos carecen de credibilidad de modo abs</w:t>
      </w:r>
      <w:r>
        <w:t>o</w:t>
      </w:r>
      <w:r>
        <w:t>luto y categór</w:t>
      </w:r>
      <w:r>
        <w:t>i</w:t>
      </w:r>
      <w:r>
        <w:t>co.</w:t>
      </w:r>
    </w:p>
    <w:p w:rsidR="00224567" w:rsidRDefault="00224567">
      <w:pPr>
        <w:widowControl w:val="0"/>
      </w:pPr>
      <w:r>
        <w:tab/>
        <w:t>Ya analizada la evolución de sus d</w:t>
      </w:r>
      <w:r>
        <w:t>e</w:t>
      </w:r>
      <w:r>
        <w:t>claraciones, y con ello evidenciada su mendacidad –al ve</w:t>
      </w:r>
      <w:r>
        <w:t>r</w:t>
      </w:r>
      <w:r>
        <w:t>se refutadas sus afirmaciones por la prueba colectada en el debate– debe destacarse que esa falta de credibilidad se extendió a las demás circunstancias enu</w:t>
      </w:r>
      <w:r>
        <w:t>n</w:t>
      </w:r>
      <w:r>
        <w:t>ciadas respecto a lo ocurrido el 10 de julio de 1994 en República 107 de Villa Balle</w:t>
      </w:r>
      <w:r>
        <w:t>s</w:t>
      </w:r>
      <w:r>
        <w:t>ter.</w:t>
      </w:r>
    </w:p>
    <w:p w:rsidR="00224567" w:rsidRDefault="00224567">
      <w:pPr>
        <w:widowControl w:val="0"/>
      </w:pPr>
      <w:r>
        <w:tab/>
        <w:t>Seguidamente, se analizarán en forma separada cada una de ellas.</w:t>
      </w:r>
    </w:p>
    <w:p w:rsidR="00224567" w:rsidRDefault="00224567">
      <w:pPr>
        <w:pStyle w:val="Ttulo6"/>
        <w:keepNext w:val="0"/>
        <w:widowControl w:val="0"/>
        <w:spacing w:line="600" w:lineRule="auto"/>
        <w:rPr>
          <w:rFonts w:cs="Courier New"/>
          <w:b w:val="0"/>
          <w:bCs/>
          <w:u w:val="none"/>
        </w:rPr>
      </w:pPr>
      <w:r>
        <w:rPr>
          <w:rFonts w:cs="Courier New"/>
          <w:color w:val="FF0000"/>
          <w:u w:val="none"/>
        </w:rPr>
        <w:tab/>
      </w:r>
      <w:bookmarkStart w:id="122" w:name="_Toc50181216"/>
      <w:bookmarkStart w:id="123" w:name="_Toc79904983"/>
      <w:bookmarkStart w:id="124" w:name="_Toc79905026"/>
      <w:bookmarkStart w:id="125" w:name="_Toc86731950"/>
      <w:r>
        <w:rPr>
          <w:rFonts w:cs="Courier New"/>
          <w:u w:val="none"/>
          <w:lang w:val="es-ES_tradnl"/>
        </w:rPr>
        <w:t xml:space="preserve">C.2.c.iii) </w:t>
      </w:r>
      <w:r>
        <w:rPr>
          <w:rFonts w:cs="Courier New"/>
          <w:b w:val="0"/>
          <w:bCs/>
          <w:u w:val="none"/>
          <w:lang w:val="es-ES_tradnl"/>
        </w:rPr>
        <w:t>¿Quiénes estaban presentes</w:t>
      </w:r>
      <w:r>
        <w:rPr>
          <w:rFonts w:cs="Courier New"/>
          <w:b w:val="0"/>
          <w:bCs/>
          <w:u w:val="none"/>
        </w:rPr>
        <w:t xml:space="preserve"> en el i</w:t>
      </w:r>
      <w:r>
        <w:rPr>
          <w:rFonts w:cs="Courier New"/>
          <w:b w:val="0"/>
          <w:bCs/>
          <w:u w:val="none"/>
        </w:rPr>
        <w:t>n</w:t>
      </w:r>
      <w:r>
        <w:rPr>
          <w:rFonts w:cs="Courier New"/>
          <w:b w:val="0"/>
          <w:bCs/>
          <w:u w:val="none"/>
        </w:rPr>
        <w:t>terior de República 107</w:t>
      </w:r>
      <w:bookmarkEnd w:id="122"/>
      <w:r>
        <w:rPr>
          <w:rFonts w:cs="Courier New"/>
          <w:b w:val="0"/>
          <w:bCs/>
          <w:u w:val="none"/>
        </w:rPr>
        <w:t xml:space="preserve"> el 10 de julio de 1994?</w:t>
      </w:r>
      <w:bookmarkEnd w:id="123"/>
      <w:bookmarkEnd w:id="124"/>
      <w:bookmarkEnd w:id="125"/>
    </w:p>
    <w:p w:rsidR="00224567" w:rsidRDefault="00224567">
      <w:pPr>
        <w:pStyle w:val="Ttulo7"/>
        <w:widowControl w:val="0"/>
        <w:rPr>
          <w:bCs/>
        </w:rPr>
      </w:pPr>
      <w:r>
        <w:rPr>
          <w:b/>
        </w:rPr>
        <w:tab/>
      </w:r>
      <w:bookmarkStart w:id="126" w:name="_Toc79905027"/>
      <w:bookmarkStart w:id="127" w:name="_Toc86731951"/>
      <w:r>
        <w:rPr>
          <w:b/>
        </w:rPr>
        <w:t xml:space="preserve">C.2.c.iii.A) </w:t>
      </w:r>
      <w:r>
        <w:rPr>
          <w:bCs/>
        </w:rPr>
        <w:t>Síntesis de declaraci</w:t>
      </w:r>
      <w:r>
        <w:rPr>
          <w:bCs/>
        </w:rPr>
        <w:t>o</w:t>
      </w:r>
      <w:r>
        <w:rPr>
          <w:bCs/>
        </w:rPr>
        <w:t>nes.</w:t>
      </w:r>
      <w:bookmarkEnd w:id="126"/>
      <w:bookmarkEnd w:id="127"/>
    </w:p>
    <w:p w:rsidR="00224567" w:rsidRDefault="00224567">
      <w:pPr>
        <w:widowControl w:val="0"/>
        <w:rPr>
          <w:lang w:val="es-ES_tradnl"/>
        </w:rPr>
      </w:pPr>
      <w:r>
        <w:tab/>
      </w:r>
      <w:r>
        <w:rPr>
          <w:lang w:val="es-ES_tradnl"/>
        </w:rPr>
        <w:t xml:space="preserve">En sus primeras declaraciones, </w:t>
      </w:r>
      <w:r>
        <w:rPr>
          <w:b/>
          <w:bCs/>
          <w:lang w:val="es-ES_tradnl"/>
        </w:rPr>
        <w:t>Telle</w:t>
      </w:r>
      <w:r>
        <w:rPr>
          <w:b/>
          <w:bCs/>
          <w:lang w:val="es-ES_tradnl"/>
        </w:rPr>
        <w:t>l</w:t>
      </w:r>
      <w:r>
        <w:rPr>
          <w:b/>
          <w:bCs/>
          <w:lang w:val="es-ES_tradnl"/>
        </w:rPr>
        <w:t>dín</w:t>
      </w:r>
      <w:r>
        <w:rPr>
          <w:lang w:val="es-ES_tradnl"/>
        </w:rPr>
        <w:t xml:space="preserve"> afirmó que al momento de la transacción sólo se enco</w:t>
      </w:r>
      <w:r>
        <w:rPr>
          <w:lang w:val="es-ES_tradnl"/>
        </w:rPr>
        <w:t>n</w:t>
      </w:r>
      <w:r>
        <w:rPr>
          <w:lang w:val="es-ES_tradnl"/>
        </w:rPr>
        <w:t>traba en la casa su mujer. Posteriormente indicó que ta</w:t>
      </w:r>
      <w:r>
        <w:rPr>
          <w:lang w:val="es-ES_tradnl"/>
        </w:rPr>
        <w:t>m</w:t>
      </w:r>
      <w:r>
        <w:rPr>
          <w:lang w:val="es-ES_tradnl"/>
        </w:rPr>
        <w:t>bién estaban Hugo Pérez y Pérez Mejías. También sostuvo que, si bien no lo podía asegurar, creía que éste último y Jessica Schiavone habían visto al compr</w:t>
      </w:r>
      <w:r>
        <w:rPr>
          <w:lang w:val="es-ES_tradnl"/>
        </w:rPr>
        <w:t>a</w:t>
      </w:r>
      <w:r>
        <w:rPr>
          <w:lang w:val="es-ES_tradnl"/>
        </w:rPr>
        <w:t>dor. Más adelante, añadió que Hugo Pérez, Pérez Mejías y sus hijos se hall</w:t>
      </w:r>
      <w:r>
        <w:rPr>
          <w:lang w:val="es-ES_tradnl"/>
        </w:rPr>
        <w:t>a</w:t>
      </w:r>
      <w:r>
        <w:rPr>
          <w:lang w:val="es-ES_tradnl"/>
        </w:rPr>
        <w:t>ban en la cocina y en el comedor, por lo que no presenci</w:t>
      </w:r>
      <w:r>
        <w:rPr>
          <w:lang w:val="es-ES_tradnl"/>
        </w:rPr>
        <w:t>a</w:t>
      </w:r>
      <w:r>
        <w:rPr>
          <w:lang w:val="es-ES_tradnl"/>
        </w:rPr>
        <w:t>ron la tra</w:t>
      </w:r>
      <w:r>
        <w:rPr>
          <w:lang w:val="es-ES_tradnl"/>
        </w:rPr>
        <w:t>n</w:t>
      </w:r>
      <w:r>
        <w:rPr>
          <w:lang w:val="es-ES_tradnl"/>
        </w:rPr>
        <w:t>sacción.</w:t>
      </w:r>
    </w:p>
    <w:p w:rsidR="00224567" w:rsidRDefault="00224567">
      <w:pPr>
        <w:widowControl w:val="0"/>
        <w:rPr>
          <w:lang w:val="es-ES_tradnl"/>
        </w:rPr>
      </w:pPr>
      <w:r>
        <w:rPr>
          <w:lang w:val="es-ES_tradnl"/>
        </w:rPr>
        <w:tab/>
        <w:t>Durante el debate, aseveró que ese día en su dom</w:t>
      </w:r>
      <w:r>
        <w:rPr>
          <w:lang w:val="es-ES_tradnl"/>
        </w:rPr>
        <w:t>i</w:t>
      </w:r>
      <w:r>
        <w:rPr>
          <w:lang w:val="es-ES_tradnl"/>
        </w:rPr>
        <w:t>cilio se encontraban Pérez Mejías, Hugo Pérez y otras personas que se abstuvo de mencionar. Negó que Cla</w:t>
      </w:r>
      <w:r>
        <w:rPr>
          <w:lang w:val="es-ES_tradnl"/>
        </w:rPr>
        <w:t>u</w:t>
      </w:r>
      <w:r>
        <w:rPr>
          <w:lang w:val="es-ES_tradnl"/>
        </w:rPr>
        <w:t>dio Cot</w:t>
      </w:r>
      <w:r>
        <w:rPr>
          <w:lang w:val="es-ES_tradnl"/>
        </w:rPr>
        <w:t>o</w:t>
      </w:r>
      <w:r>
        <w:rPr>
          <w:lang w:val="es-ES_tradnl"/>
        </w:rPr>
        <w:t>ras fuera una de ellas.</w:t>
      </w:r>
    </w:p>
    <w:p w:rsidR="00224567" w:rsidRDefault="00224567">
      <w:pPr>
        <w:widowControl w:val="0"/>
      </w:pPr>
      <w:r>
        <w:rPr>
          <w:lang w:val="es-ES_tradnl"/>
        </w:rPr>
        <w:tab/>
        <w:t xml:space="preserve">Por su parte, </w:t>
      </w:r>
      <w:r>
        <w:rPr>
          <w:b/>
          <w:bCs/>
        </w:rPr>
        <w:t>Ana María Boragni</w:t>
      </w:r>
      <w:r>
        <w:t xml:space="preserve"> dura</w:t>
      </w:r>
      <w:r>
        <w:t>n</w:t>
      </w:r>
      <w:r>
        <w:t>te el debate dijo que en su casa estuvieron sus hijos, H</w:t>
      </w:r>
      <w:r>
        <w:t>u</w:t>
      </w:r>
      <w:r>
        <w:t>go Pérez, Pérez Mejía y Jacinto Cayetano Cruz. Atribuyó a un olvido no haber mencionado a éste último en su declar</w:t>
      </w:r>
      <w:r>
        <w:t>a</w:t>
      </w:r>
      <w:r>
        <w:t>ción de abril de 1995.</w:t>
      </w:r>
    </w:p>
    <w:p w:rsidR="00224567" w:rsidRDefault="00224567">
      <w:pPr>
        <w:widowControl w:val="0"/>
      </w:pPr>
      <w:r>
        <w:tab/>
      </w:r>
      <w:r>
        <w:rPr>
          <w:b/>
          <w:bCs/>
        </w:rPr>
        <w:t>Hugo Antonio Pérez</w:t>
      </w:r>
      <w:r>
        <w:t xml:space="preserve"> sostuvo en sus i</w:t>
      </w:r>
      <w:r>
        <w:t>n</w:t>
      </w:r>
      <w:r>
        <w:t xml:space="preserve">dagatorias –incorporadas durante el debate por imperio del art. </w:t>
      </w:r>
      <w:smartTag w:uri="urn:schemas-microsoft-com:office:smarttags" w:element="metricconverter">
        <w:smartTagPr>
          <w:attr w:name="ProductID" w:val="378 C"/>
        </w:smartTagPr>
        <w:r>
          <w:t>378 C</w:t>
        </w:r>
      </w:smartTag>
      <w:r>
        <w:t>.P.P.N.– que est</w:t>
      </w:r>
      <w:r>
        <w:t>u</w:t>
      </w:r>
      <w:r>
        <w:t>vo presente el día 10 de julio de 1994 en el domicilio de República 107 de Villa Balle</w:t>
      </w:r>
      <w:r>
        <w:t>s</w:t>
      </w:r>
      <w:r>
        <w:t>ter. Afirmó que, además de Telleldín y Ana Boragni, allí se e</w:t>
      </w:r>
      <w:r>
        <w:t>n</w:t>
      </w:r>
      <w:r>
        <w:t>contraba  también Pérez Mejías.</w:t>
      </w:r>
    </w:p>
    <w:p w:rsidR="00224567" w:rsidRDefault="00224567">
      <w:pPr>
        <w:widowControl w:val="0"/>
        <w:rPr>
          <w:color w:val="000000"/>
        </w:rPr>
      </w:pPr>
      <w:r>
        <w:tab/>
      </w:r>
      <w:r>
        <w:rPr>
          <w:color w:val="000000"/>
        </w:rPr>
        <w:t>Debe recordarse que posteriormente (en la declaración testimonial del 21 de junio de 1996, rat</w:t>
      </w:r>
      <w:r>
        <w:rPr>
          <w:color w:val="000000"/>
        </w:rPr>
        <w:t>i</w:t>
      </w:r>
      <w:r>
        <w:rPr>
          <w:color w:val="000000"/>
        </w:rPr>
        <w:t xml:space="preserve">ficada en la prestada el 11 de julio de ese año) cambió su versión negando haber estado en República 107 al momento de la entrega de </w:t>
      </w:r>
      <w:smartTag w:uri="urn:schemas-microsoft-com:office:smarttags" w:element="PersonName">
        <w:smartTagPr>
          <w:attr w:name="ProductID" w:val="la Trafic. Precis￳"/>
        </w:smartTagPr>
        <w:r>
          <w:rPr>
            <w:color w:val="000000"/>
          </w:rPr>
          <w:t>la Trafic. Precisó</w:t>
        </w:r>
      </w:smartTag>
      <w:r>
        <w:rPr>
          <w:color w:val="000000"/>
        </w:rPr>
        <w:t xml:space="preserve"> que el domingo 10 de julio de 1994 fue a Haedo a visitar a sus hijos y al vo</w:t>
      </w:r>
      <w:r>
        <w:rPr>
          <w:color w:val="000000"/>
        </w:rPr>
        <w:t>l</w:t>
      </w:r>
      <w:r>
        <w:rPr>
          <w:color w:val="000000"/>
        </w:rPr>
        <w:t>ver, en horas de la noche, Ana le dijo que habían ve</w:t>
      </w:r>
      <w:r>
        <w:rPr>
          <w:color w:val="000000"/>
        </w:rPr>
        <w:t>n</w:t>
      </w:r>
      <w:r>
        <w:rPr>
          <w:color w:val="000000"/>
        </w:rPr>
        <w:t>dido la camioneta. Una vez que se supo que la cami</w:t>
      </w:r>
      <w:r>
        <w:rPr>
          <w:color w:val="000000"/>
        </w:rPr>
        <w:t>o</w:t>
      </w:r>
      <w:r>
        <w:rPr>
          <w:color w:val="000000"/>
        </w:rPr>
        <w:t>neta que se utilizó en el atentado era la vendida por Carlos Telle</w:t>
      </w:r>
      <w:r>
        <w:rPr>
          <w:color w:val="000000"/>
        </w:rPr>
        <w:t>l</w:t>
      </w:r>
      <w:r>
        <w:rPr>
          <w:color w:val="000000"/>
        </w:rPr>
        <w:t>dín, Ana le pidió que dijera que había estado presente p</w:t>
      </w:r>
      <w:r>
        <w:rPr>
          <w:color w:val="000000"/>
        </w:rPr>
        <w:t>e</w:t>
      </w:r>
      <w:r>
        <w:rPr>
          <w:color w:val="000000"/>
        </w:rPr>
        <w:t>ro que ello no era así. La verdad era que sólo estaba P</w:t>
      </w:r>
      <w:r>
        <w:rPr>
          <w:color w:val="000000"/>
        </w:rPr>
        <w:t>é</w:t>
      </w:r>
      <w:r>
        <w:rPr>
          <w:color w:val="000000"/>
        </w:rPr>
        <w:t>rez Mejías. No recordó que Telelldin le comentara que la camioneta Trafic la hubiera entregado a una persona sin recibir dinero a ca</w:t>
      </w:r>
      <w:r>
        <w:rPr>
          <w:color w:val="000000"/>
        </w:rPr>
        <w:t>m</w:t>
      </w:r>
      <w:r>
        <w:rPr>
          <w:color w:val="000000"/>
        </w:rPr>
        <w:t>bio.</w:t>
      </w:r>
    </w:p>
    <w:p w:rsidR="00224567" w:rsidRDefault="00224567">
      <w:pPr>
        <w:widowControl w:val="0"/>
      </w:pPr>
      <w:r>
        <w:rPr>
          <w:color w:val="000000"/>
        </w:rPr>
        <w:tab/>
      </w:r>
      <w:r>
        <w:t>Sin embargo, tanto Pérez Mejía como Cruz negaron haber estado en República 107 en esa oport</w:t>
      </w:r>
      <w:r>
        <w:t>u</w:t>
      </w:r>
      <w:r>
        <w:t>nidad.</w:t>
      </w:r>
    </w:p>
    <w:p w:rsidR="00224567" w:rsidRDefault="00224567">
      <w:pPr>
        <w:widowControl w:val="0"/>
      </w:pPr>
      <w:r>
        <w:tab/>
        <w:t xml:space="preserve">Efectivamente, </w:t>
      </w:r>
      <w:r>
        <w:rPr>
          <w:b/>
          <w:bCs/>
        </w:rPr>
        <w:t>Pérez Mejía</w:t>
      </w:r>
      <w:r>
        <w:t xml:space="preserve"> en la ún</w:t>
      </w:r>
      <w:r>
        <w:t>i</w:t>
      </w:r>
      <w:r>
        <w:t>ca oportunidad que declaró, dijo que para el 10 de julio de 1994 todavía estaba en Boulogne y no tuvo ning</w:t>
      </w:r>
      <w:r>
        <w:t>u</w:t>
      </w:r>
      <w:r>
        <w:t>na clase de contacto con Carlos, la esposa, Sandra o con Luis. Mal p</w:t>
      </w:r>
      <w:r>
        <w:t>u</w:t>
      </w:r>
      <w:r>
        <w:t>do haber estado almorzando en lo de Telleldín el 10 de j</w:t>
      </w:r>
      <w:r>
        <w:t>u</w:t>
      </w:r>
      <w:r>
        <w:t>lio cuando no sabía ni dónde estaba v</w:t>
      </w:r>
      <w:r>
        <w:t>i</w:t>
      </w:r>
      <w:r>
        <w:t>viendo éste. Agregó que en 1993 ni en 1994 estuvo comiendo en la casa de T</w:t>
      </w:r>
      <w:r>
        <w:t>e</w:t>
      </w:r>
      <w:r>
        <w:t>lleldín.</w:t>
      </w:r>
    </w:p>
    <w:p w:rsidR="00224567" w:rsidRDefault="00224567">
      <w:pPr>
        <w:widowControl w:val="0"/>
        <w:rPr>
          <w:color w:val="000000"/>
        </w:rPr>
      </w:pPr>
      <w:r>
        <w:tab/>
      </w:r>
      <w:r>
        <w:rPr>
          <w:color w:val="000000"/>
        </w:rPr>
        <w:t xml:space="preserve">En el mismo sentido, </w:t>
      </w:r>
      <w:r>
        <w:rPr>
          <w:b/>
          <w:bCs/>
          <w:color w:val="000000"/>
        </w:rPr>
        <w:t>Jacinto Cayetano Cruz</w:t>
      </w:r>
      <w:r>
        <w:rPr>
          <w:color w:val="000000"/>
        </w:rPr>
        <w:t xml:space="preserve"> declaró que el día en cuestión tampoco estuvo en la casa de Telleldín, ya que se retiró el 9 y r</w:t>
      </w:r>
      <w:r>
        <w:rPr>
          <w:color w:val="000000"/>
        </w:rPr>
        <w:t>e</w:t>
      </w:r>
      <w:r>
        <w:rPr>
          <w:color w:val="000000"/>
        </w:rPr>
        <w:t>gresó el 11. Agregó que supo por Pérez, el peruano, que el 10 de julio de 1994 éste había estado en la casa de T</w:t>
      </w:r>
      <w:r>
        <w:rPr>
          <w:color w:val="000000"/>
        </w:rPr>
        <w:t>e</w:t>
      </w:r>
      <w:r>
        <w:rPr>
          <w:color w:val="000000"/>
        </w:rPr>
        <w:t>lleldín.</w:t>
      </w:r>
    </w:p>
    <w:p w:rsidR="00224567" w:rsidRDefault="00224567">
      <w:pPr>
        <w:pStyle w:val="Ttulo7"/>
        <w:widowControl w:val="0"/>
      </w:pPr>
      <w:r>
        <w:rPr>
          <w:b/>
          <w:bCs/>
          <w:color w:val="000000"/>
        </w:rPr>
        <w:tab/>
      </w:r>
      <w:bookmarkStart w:id="128" w:name="_Toc50181217"/>
      <w:bookmarkStart w:id="129" w:name="_Toc79905028"/>
      <w:bookmarkStart w:id="130" w:name="_Toc86731952"/>
      <w:r>
        <w:rPr>
          <w:b/>
          <w:bCs/>
        </w:rPr>
        <w:t xml:space="preserve">C.2.c.iii.B) </w:t>
      </w:r>
      <w:r>
        <w:t>Valoración</w:t>
      </w:r>
      <w:bookmarkEnd w:id="128"/>
      <w:bookmarkEnd w:id="129"/>
      <w:bookmarkEnd w:id="130"/>
      <w:r>
        <w:t>.</w:t>
      </w:r>
    </w:p>
    <w:p w:rsidR="00224567" w:rsidRDefault="00224567">
      <w:pPr>
        <w:widowControl w:val="0"/>
      </w:pPr>
      <w:r>
        <w:tab/>
        <w:t>De la lectura de las declaraciones r</w:t>
      </w:r>
      <w:r>
        <w:t>e</w:t>
      </w:r>
      <w:r>
        <w:t>señadas surge que, con excepción de Boragni, los demás testigos negaron que hubiesen presenciado la entr</w:t>
      </w:r>
      <w:r>
        <w:t>e</w:t>
      </w:r>
      <w:r>
        <w:t xml:space="preserve">ga de </w:t>
      </w:r>
      <w:smartTag w:uri="urn:schemas-microsoft-com:office:smarttags" w:element="PersonName">
        <w:smartTagPr>
          <w:attr w:name="ProductID" w:val="la Trafic"/>
        </w:smartTagPr>
        <w:r>
          <w:t>la Trafic</w:t>
        </w:r>
      </w:smartTag>
      <w:r>
        <w:t>, tal como lo sostuviera Carlos Telle</w:t>
      </w:r>
      <w:r>
        <w:t>l</w:t>
      </w:r>
      <w:r>
        <w:t xml:space="preserve">dín. </w:t>
      </w:r>
    </w:p>
    <w:p w:rsidR="00224567" w:rsidRDefault="00224567">
      <w:pPr>
        <w:widowControl w:val="0"/>
        <w:rPr>
          <w:color w:val="000000"/>
        </w:rPr>
      </w:pPr>
      <w:r>
        <w:tab/>
      </w:r>
      <w:r>
        <w:rPr>
          <w:color w:val="000000"/>
        </w:rPr>
        <w:t>Tanto Pérez Mejías como Cayetano Cruz, negaron haber estado en el domicilio de Telle</w:t>
      </w:r>
      <w:r>
        <w:rPr>
          <w:color w:val="000000"/>
        </w:rPr>
        <w:t>l</w:t>
      </w:r>
      <w:r>
        <w:rPr>
          <w:color w:val="000000"/>
        </w:rPr>
        <w:t>dín, sito en Repúbl</w:t>
      </w:r>
      <w:r>
        <w:rPr>
          <w:color w:val="000000"/>
        </w:rPr>
        <w:t>i</w:t>
      </w:r>
      <w:r>
        <w:rPr>
          <w:color w:val="000000"/>
        </w:rPr>
        <w:t>ca 107, en el horario en que habría tenido lugar la entrega de la camion</w:t>
      </w:r>
      <w:r>
        <w:rPr>
          <w:color w:val="000000"/>
        </w:rPr>
        <w:t>e</w:t>
      </w:r>
      <w:r>
        <w:rPr>
          <w:color w:val="000000"/>
        </w:rPr>
        <w:t>ta.</w:t>
      </w:r>
    </w:p>
    <w:p w:rsidR="00224567" w:rsidRDefault="00224567">
      <w:pPr>
        <w:widowControl w:val="0"/>
        <w:rPr>
          <w:color w:val="000000"/>
        </w:rPr>
      </w:pPr>
      <w:r>
        <w:rPr>
          <w:color w:val="000000"/>
        </w:rPr>
        <w:tab/>
        <w:t>Por su parte, Pérez en sus declaraci</w:t>
      </w:r>
      <w:r>
        <w:rPr>
          <w:color w:val="000000"/>
        </w:rPr>
        <w:t>o</w:t>
      </w:r>
      <w:r>
        <w:rPr>
          <w:color w:val="000000"/>
        </w:rPr>
        <w:t>nes indagatorias admitió que estuvo en la casa, aunque, por encontrarse en la cocina, sólo tomó conocimiento de dicha oper</w:t>
      </w:r>
      <w:r>
        <w:rPr>
          <w:color w:val="000000"/>
        </w:rPr>
        <w:t>a</w:t>
      </w:r>
      <w:r>
        <w:rPr>
          <w:color w:val="000000"/>
        </w:rPr>
        <w:t xml:space="preserve">ción por Ana Boragni. </w:t>
      </w:r>
    </w:p>
    <w:p w:rsidR="00224567" w:rsidRDefault="00224567">
      <w:pPr>
        <w:widowControl w:val="0"/>
      </w:pPr>
      <w:r>
        <w:rPr>
          <w:color w:val="000000"/>
        </w:rPr>
        <w:tab/>
      </w:r>
      <w:r>
        <w:t>Ahora bien, como se dijera, en la d</w:t>
      </w:r>
      <w:r>
        <w:t>e</w:t>
      </w:r>
      <w:r>
        <w:t>claración testimonial del 21 de junio de 1996, Pérez mod</w:t>
      </w:r>
      <w:r>
        <w:t>i</w:t>
      </w:r>
      <w:r>
        <w:t>ficó radicalmente sus dichos, al negar su presencia en la v</w:t>
      </w:r>
      <w:r>
        <w:t>i</w:t>
      </w:r>
      <w:r>
        <w:t>vienda de Telleldín ese día.</w:t>
      </w:r>
    </w:p>
    <w:p w:rsidR="00224567" w:rsidRDefault="00224567">
      <w:pPr>
        <w:widowControl w:val="0"/>
      </w:pPr>
      <w:r>
        <w:tab/>
        <w:t>Este trascendental cambio adquiere aún más relevancia a partir de que explicara que su primera versión había respondido a instrucciones impartidas por Ana B</w:t>
      </w:r>
      <w:r>
        <w:t>o</w:t>
      </w:r>
      <w:r>
        <w:t>ragni.</w:t>
      </w:r>
    </w:p>
    <w:p w:rsidR="00224567" w:rsidRDefault="00224567">
      <w:pPr>
        <w:widowControl w:val="0"/>
        <w:rPr>
          <w:color w:val="000000"/>
        </w:rPr>
      </w:pPr>
      <w:r>
        <w:tab/>
      </w:r>
      <w:r>
        <w:rPr>
          <w:color w:val="000000"/>
        </w:rPr>
        <w:t xml:space="preserve">Si bien esta declaración no ha sido incorporada al debate por los motivos </w:t>
      </w:r>
      <w:r>
        <w:t>ya expuestos</w:t>
      </w:r>
      <w:r>
        <w:rPr>
          <w:color w:val="000000"/>
        </w:rPr>
        <w:t>, proc</w:t>
      </w:r>
      <w:r>
        <w:rPr>
          <w:color w:val="000000"/>
        </w:rPr>
        <w:t>e</w:t>
      </w:r>
      <w:r>
        <w:rPr>
          <w:color w:val="000000"/>
        </w:rPr>
        <w:t>de su valor</w:t>
      </w:r>
      <w:r>
        <w:rPr>
          <w:color w:val="000000"/>
        </w:rPr>
        <w:t>a</w:t>
      </w:r>
      <w:r>
        <w:rPr>
          <w:color w:val="000000"/>
        </w:rPr>
        <w:t>ción en la inteligencia de que no es utilizada como un elemento de cargo sino exclusivamente para verif</w:t>
      </w:r>
      <w:r>
        <w:rPr>
          <w:color w:val="000000"/>
        </w:rPr>
        <w:t>i</w:t>
      </w:r>
      <w:r>
        <w:rPr>
          <w:color w:val="000000"/>
        </w:rPr>
        <w:t>car la credibilidad de las personas sobre las que se ap</w:t>
      </w:r>
      <w:r>
        <w:rPr>
          <w:color w:val="000000"/>
        </w:rPr>
        <w:t>o</w:t>
      </w:r>
      <w:r>
        <w:rPr>
          <w:color w:val="000000"/>
        </w:rPr>
        <w:t>ya, en gran medida, la imputación al personal policial. Idéntico criterio se ha adoptado respecto de las declar</w:t>
      </w:r>
      <w:r>
        <w:rPr>
          <w:color w:val="000000"/>
        </w:rPr>
        <w:t>a</w:t>
      </w:r>
      <w:r>
        <w:rPr>
          <w:color w:val="000000"/>
        </w:rPr>
        <w:t>ciones ind</w:t>
      </w:r>
      <w:r>
        <w:rPr>
          <w:color w:val="000000"/>
        </w:rPr>
        <w:t>a</w:t>
      </w:r>
      <w:r>
        <w:rPr>
          <w:color w:val="000000"/>
        </w:rPr>
        <w:t xml:space="preserve">gatorias de Cruz. </w:t>
      </w:r>
    </w:p>
    <w:p w:rsidR="00224567" w:rsidRDefault="00224567">
      <w:pPr>
        <w:widowControl w:val="0"/>
      </w:pPr>
      <w:r>
        <w:rPr>
          <w:color w:val="000000"/>
        </w:rPr>
        <w:tab/>
      </w:r>
      <w:r>
        <w:t>Como se ve, existió cierta coincide</w:t>
      </w:r>
      <w:r>
        <w:t>n</w:t>
      </w:r>
      <w:r>
        <w:t>cia entre Telleldín y Boragni al indicar las personas pr</w:t>
      </w:r>
      <w:r>
        <w:t>e</w:t>
      </w:r>
      <w:r>
        <w:t>sentes en su domicilio en la fecha indicada. Así, ambos sostuvieron que allí se encontraban Hugo Pérez y Pérez M</w:t>
      </w:r>
      <w:r>
        <w:t>e</w:t>
      </w:r>
      <w:r>
        <w:t>jía. Boragni, por su parte, agregó a ese grupo a Cayet</w:t>
      </w:r>
      <w:r>
        <w:t>a</w:t>
      </w:r>
      <w:r>
        <w:t>no Cruz.</w:t>
      </w:r>
    </w:p>
    <w:p w:rsidR="00224567" w:rsidRDefault="00224567">
      <w:pPr>
        <w:widowControl w:val="0"/>
      </w:pPr>
      <w:r>
        <w:tab/>
        <w:t>Las aseveraciones sobre este punto efectuadas por Telleldín y Boragni no fueron corrobor</w:t>
      </w:r>
      <w:r>
        <w:t>a</w:t>
      </w:r>
      <w:r>
        <w:t>das por los testimonios de quienes mencionaran, sino que, ad</w:t>
      </w:r>
      <w:r>
        <w:t>e</w:t>
      </w:r>
      <w:r>
        <w:t>más</w:t>
      </w:r>
      <w:r>
        <w:rPr>
          <w:b/>
          <w:bCs/>
        </w:rPr>
        <w:t>,</w:t>
      </w:r>
      <w:r>
        <w:t xml:space="preserve"> fueron refutadas expresamente. Por otra parte r</w:t>
      </w:r>
      <w:r>
        <w:t>e</w:t>
      </w:r>
      <w:r>
        <w:t>sulta llamativa la coincidencia en la mentira, proceder que, c</w:t>
      </w:r>
      <w:r>
        <w:t>o</w:t>
      </w:r>
      <w:r>
        <w:t>mo se verá, se reiteró en varios aspectos de sus declar</w:t>
      </w:r>
      <w:r>
        <w:t>a</w:t>
      </w:r>
      <w:r>
        <w:t xml:space="preserve">ciones.  </w:t>
      </w:r>
    </w:p>
    <w:p w:rsidR="00224567" w:rsidRDefault="00224567">
      <w:pPr>
        <w:pStyle w:val="Ttulo6"/>
        <w:keepNext w:val="0"/>
        <w:widowControl w:val="0"/>
        <w:spacing w:line="600" w:lineRule="auto"/>
        <w:rPr>
          <w:rFonts w:cs="Courier New"/>
          <w:b w:val="0"/>
          <w:bCs/>
          <w:u w:val="none"/>
        </w:rPr>
      </w:pPr>
      <w:r>
        <w:rPr>
          <w:rFonts w:cs="Courier New"/>
          <w:u w:val="none"/>
        </w:rPr>
        <w:tab/>
      </w:r>
      <w:r>
        <w:rPr>
          <w:rFonts w:cs="Courier New"/>
          <w:u w:val="none"/>
        </w:rPr>
        <w:tab/>
      </w:r>
      <w:bookmarkStart w:id="131" w:name="_Toc50181218"/>
      <w:bookmarkStart w:id="132" w:name="_Toc79904984"/>
      <w:bookmarkStart w:id="133" w:name="_Toc79905029"/>
      <w:bookmarkStart w:id="134" w:name="_Toc86731953"/>
      <w:r>
        <w:rPr>
          <w:rFonts w:cs="Courier New"/>
          <w:u w:val="none"/>
        </w:rPr>
        <w:t xml:space="preserve">C.2.c.iv) </w:t>
      </w:r>
      <w:r>
        <w:rPr>
          <w:rFonts w:cs="Courier New"/>
          <w:b w:val="0"/>
          <w:bCs/>
          <w:u w:val="none"/>
        </w:rPr>
        <w:t>¿Quiénes estaban fuera de República 107 el 10 de julio de 1994?</w:t>
      </w:r>
      <w:bookmarkEnd w:id="131"/>
      <w:bookmarkEnd w:id="132"/>
      <w:bookmarkEnd w:id="133"/>
      <w:bookmarkEnd w:id="134"/>
    </w:p>
    <w:p w:rsidR="00224567" w:rsidRDefault="00224567">
      <w:pPr>
        <w:pStyle w:val="Ttulo7"/>
        <w:widowControl w:val="0"/>
        <w:rPr>
          <w:bCs/>
        </w:rPr>
      </w:pPr>
      <w:bookmarkStart w:id="135" w:name="_Toc50181219"/>
      <w:bookmarkStart w:id="136" w:name="_Toc79905030"/>
      <w:r>
        <w:rPr>
          <w:b/>
        </w:rPr>
        <w:tab/>
      </w:r>
      <w:bookmarkStart w:id="137" w:name="_Toc86731954"/>
      <w:r>
        <w:rPr>
          <w:b/>
        </w:rPr>
        <w:t xml:space="preserve">C.2.c.iv.A) </w:t>
      </w:r>
      <w:r>
        <w:rPr>
          <w:bCs/>
        </w:rPr>
        <w:t>La desmentida presencia de los Malacchia y del albañil</w:t>
      </w:r>
      <w:bookmarkEnd w:id="135"/>
      <w:bookmarkEnd w:id="136"/>
      <w:r>
        <w:rPr>
          <w:bCs/>
        </w:rPr>
        <w:t>.</w:t>
      </w:r>
      <w:bookmarkEnd w:id="137"/>
    </w:p>
    <w:p w:rsidR="00224567" w:rsidRDefault="00224567">
      <w:pPr>
        <w:pStyle w:val="Ttulo8"/>
        <w:spacing w:line="600" w:lineRule="auto"/>
        <w:rPr>
          <w:b w:val="0"/>
        </w:rPr>
      </w:pPr>
      <w:r>
        <w:rPr>
          <w:bCs w:val="0"/>
        </w:rPr>
        <w:tab/>
      </w:r>
      <w:bookmarkStart w:id="138" w:name="_Toc79905031"/>
      <w:bookmarkStart w:id="139" w:name="_Toc86731955"/>
      <w:r>
        <w:rPr>
          <w:bCs w:val="0"/>
        </w:rPr>
        <w:t xml:space="preserve">C.2.c.iv.A.1) </w:t>
      </w:r>
      <w:r>
        <w:rPr>
          <w:b w:val="0"/>
        </w:rPr>
        <w:t>Síntesis de declaraci</w:t>
      </w:r>
      <w:r>
        <w:rPr>
          <w:b w:val="0"/>
        </w:rPr>
        <w:t>o</w:t>
      </w:r>
      <w:r>
        <w:rPr>
          <w:b w:val="0"/>
        </w:rPr>
        <w:t>nes</w:t>
      </w:r>
      <w:bookmarkEnd w:id="138"/>
      <w:bookmarkEnd w:id="139"/>
      <w:r>
        <w:rPr>
          <w:b w:val="0"/>
        </w:rPr>
        <w:t>.</w:t>
      </w:r>
    </w:p>
    <w:p w:rsidR="00224567" w:rsidRDefault="00224567">
      <w:pPr>
        <w:widowControl w:val="0"/>
        <w:rPr>
          <w:lang w:val="es-ES_tradnl"/>
        </w:rPr>
      </w:pPr>
      <w:r>
        <w:tab/>
      </w:r>
      <w:r>
        <w:rPr>
          <w:b/>
          <w:bCs/>
        </w:rPr>
        <w:t>Carlos</w:t>
      </w:r>
      <w:r>
        <w:t xml:space="preserve"> </w:t>
      </w:r>
      <w:r>
        <w:rPr>
          <w:b/>
          <w:bCs/>
        </w:rPr>
        <w:t>Telleldín</w:t>
      </w:r>
      <w:r>
        <w:t xml:space="preserve"> afirmó durante la instrucción que </w:t>
      </w:r>
      <w:r>
        <w:rPr>
          <w:lang w:val="es-ES_tradnl"/>
        </w:rPr>
        <w:t>al comprador también lo vieron sus vec</w:t>
      </w:r>
      <w:r>
        <w:rPr>
          <w:lang w:val="es-ES_tradnl"/>
        </w:rPr>
        <w:t>i</w:t>
      </w:r>
      <w:r>
        <w:rPr>
          <w:lang w:val="es-ES_tradnl"/>
        </w:rPr>
        <w:t>nos. Así, aclaró que la camioneta estaba estacionada en la vereda de e</w:t>
      </w:r>
      <w:r>
        <w:rPr>
          <w:lang w:val="es-ES_tradnl"/>
        </w:rPr>
        <w:t>n</w:t>
      </w:r>
      <w:r>
        <w:rPr>
          <w:lang w:val="es-ES_tradnl"/>
        </w:rPr>
        <w:t>frente a su domicilio y su vecino, cuyo nombre en principio no recordó, preguntó si necesitaba que c</w:t>
      </w:r>
      <w:r>
        <w:rPr>
          <w:lang w:val="es-ES_tradnl"/>
        </w:rPr>
        <w:t>o</w:t>
      </w:r>
      <w:r>
        <w:rPr>
          <w:lang w:val="es-ES_tradnl"/>
        </w:rPr>
        <w:t>rriera su automóvil, respondiéndole negativamente. Luego agr</w:t>
      </w:r>
      <w:r>
        <w:rPr>
          <w:lang w:val="es-ES_tradnl"/>
        </w:rPr>
        <w:t>e</w:t>
      </w:r>
      <w:r>
        <w:rPr>
          <w:lang w:val="es-ES_tradnl"/>
        </w:rPr>
        <w:t>gó que al comprador también lo vio la mujer de aquel. Posteriormente, precisó que ese lindante tenía un Ford Falcon amarillo, era constructor y se encontraba con su mujer y otra persona. Puntualizó que se trataba de un m</w:t>
      </w:r>
      <w:r>
        <w:rPr>
          <w:lang w:val="es-ES_tradnl"/>
        </w:rPr>
        <w:t>a</w:t>
      </w:r>
      <w:r>
        <w:rPr>
          <w:lang w:val="es-ES_tradnl"/>
        </w:rPr>
        <w:t xml:space="preserve">trimonio y que la tercera persona era un albañil. Añadió que esta pareja presenció la entrega de </w:t>
      </w:r>
      <w:smartTag w:uri="urn:schemas-microsoft-com:office:smarttags" w:element="PersonName">
        <w:smartTagPr>
          <w:attr w:name="ProductID" w:val="la Trafic."/>
        </w:smartTagPr>
        <w:r>
          <w:rPr>
            <w:lang w:val="es-ES_tradnl"/>
          </w:rPr>
          <w:t>la Tr</w:t>
        </w:r>
        <w:r>
          <w:rPr>
            <w:lang w:val="es-ES_tradnl"/>
          </w:rPr>
          <w:t>a</w:t>
        </w:r>
        <w:r>
          <w:rPr>
            <w:lang w:val="es-ES_tradnl"/>
          </w:rPr>
          <w:t>fic.</w:t>
        </w:r>
      </w:smartTag>
    </w:p>
    <w:p w:rsidR="00224567" w:rsidRDefault="00224567">
      <w:pPr>
        <w:widowControl w:val="0"/>
        <w:rPr>
          <w:lang w:val="es-ES_tradnl"/>
        </w:rPr>
      </w:pPr>
      <w:r>
        <w:rPr>
          <w:lang w:val="es-ES_tradnl"/>
        </w:rPr>
        <w:tab/>
        <w:t>En el debate sólo mencionó que el 10 de julio de 1994 e</w:t>
      </w:r>
      <w:r>
        <w:rPr>
          <w:lang w:val="es-ES_tradnl"/>
        </w:rPr>
        <w:t>n</w:t>
      </w:r>
      <w:r>
        <w:rPr>
          <w:lang w:val="es-ES_tradnl"/>
        </w:rPr>
        <w:t>tre los vehículos que se encontraban en las inmediaciones de su domicilio estaba el Ford Falcon de Mala</w:t>
      </w:r>
      <w:r>
        <w:rPr>
          <w:lang w:val="es-ES_tradnl"/>
        </w:rPr>
        <w:t>c</w:t>
      </w:r>
      <w:r>
        <w:rPr>
          <w:lang w:val="es-ES_tradnl"/>
        </w:rPr>
        <w:t>chia.</w:t>
      </w:r>
    </w:p>
    <w:p w:rsidR="00224567" w:rsidRDefault="00224567">
      <w:pPr>
        <w:pStyle w:val="Sangradetextonormal"/>
        <w:widowControl w:val="0"/>
        <w:ind w:firstLine="0"/>
      </w:pPr>
      <w:r>
        <w:tab/>
      </w:r>
      <w:r>
        <w:tab/>
        <w:t xml:space="preserve">Por su parte, </w:t>
      </w:r>
      <w:r>
        <w:rPr>
          <w:b/>
          <w:bCs/>
        </w:rPr>
        <w:t>Ana Boragni</w:t>
      </w:r>
      <w:r>
        <w:t xml:space="preserve"> durante la instrucción afirmó que, luego de la operación T</w:t>
      </w:r>
      <w:r>
        <w:t>e</w:t>
      </w:r>
      <w:r>
        <w:t>lleldín y Ramón Martínez se levantaron y salieron a la calle. Vio a é</w:t>
      </w:r>
      <w:r>
        <w:t>s</w:t>
      </w:r>
      <w:r>
        <w:t>te subir a la camioneta y a su marido saludar al vecino apodado “el T</w:t>
      </w:r>
      <w:r>
        <w:t>a</w:t>
      </w:r>
      <w:r>
        <w:t>no” y su hijo.</w:t>
      </w:r>
    </w:p>
    <w:p w:rsidR="00224567" w:rsidRDefault="00224567">
      <w:pPr>
        <w:widowControl w:val="0"/>
      </w:pPr>
      <w:r>
        <w:tab/>
        <w:t>Durante el juicio oral, inicialmente sostuvo que cuando Telleldín y Martínez subieron al r</w:t>
      </w:r>
      <w:r>
        <w:t>o</w:t>
      </w:r>
      <w:r>
        <w:t>dado para probarlo, el primero se saludó con el vecino menci</w:t>
      </w:r>
      <w:r>
        <w:t>o</w:t>
      </w:r>
      <w:r>
        <w:t>nado. No pudo decir si fue en ese momento cuando éste d</w:t>
      </w:r>
      <w:r>
        <w:t>e</w:t>
      </w:r>
      <w:r>
        <w:t>bió correr su automóvil Ford Falcon para poder maniobrar la camioneta que estaba estacionada de ese lado, ni tamp</w:t>
      </w:r>
      <w:r>
        <w:t>o</w:t>
      </w:r>
      <w:r>
        <w:t>co si est</w:t>
      </w:r>
      <w:r>
        <w:t>a</w:t>
      </w:r>
      <w:r>
        <w:t>ba con su esposa o algún hijo.</w:t>
      </w:r>
    </w:p>
    <w:p w:rsidR="00224567" w:rsidRDefault="00224567">
      <w:pPr>
        <w:widowControl w:val="0"/>
      </w:pPr>
      <w:r>
        <w:tab/>
        <w:t>Luego, al ser contrastada con la ve</w:t>
      </w:r>
      <w:r>
        <w:t>r</w:t>
      </w:r>
      <w:r>
        <w:t>sión aportada en instrucción, manifestó que era lo que ella había explicado y que incluso el v</w:t>
      </w:r>
      <w:r>
        <w:t>e</w:t>
      </w:r>
      <w:r>
        <w:t>cino le corrió el auto.</w:t>
      </w:r>
    </w:p>
    <w:p w:rsidR="00224567" w:rsidRDefault="00224567">
      <w:pPr>
        <w:widowControl w:val="0"/>
      </w:pPr>
      <w:r>
        <w:tab/>
        <w:t>Finalmente, en la versión “ordenada”, a la que se aludiera más arriba, dijo que en algún m</w:t>
      </w:r>
      <w:r>
        <w:t>o</w:t>
      </w:r>
      <w:r>
        <w:t>mento vio que su marido conversaba con “el Tano” y le pidió que le corriera el a</w:t>
      </w:r>
      <w:r>
        <w:t>u</w:t>
      </w:r>
      <w:r>
        <w:t>to.</w:t>
      </w:r>
    </w:p>
    <w:p w:rsidR="00224567" w:rsidRDefault="00224567">
      <w:pPr>
        <w:widowControl w:val="0"/>
      </w:pPr>
      <w:r>
        <w:tab/>
      </w:r>
      <w:r>
        <w:tab/>
        <w:t xml:space="preserve">Sobre el tema en estudio </w:t>
      </w:r>
      <w:r>
        <w:rPr>
          <w:b/>
          <w:bCs/>
        </w:rPr>
        <w:t>Claudio Gu</w:t>
      </w:r>
      <w:r>
        <w:rPr>
          <w:b/>
          <w:bCs/>
        </w:rPr>
        <w:t>i</w:t>
      </w:r>
      <w:r>
        <w:rPr>
          <w:b/>
          <w:bCs/>
        </w:rPr>
        <w:t>llermo</w:t>
      </w:r>
      <w:r>
        <w:t xml:space="preserve"> </w:t>
      </w:r>
      <w:r>
        <w:rPr>
          <w:b/>
          <w:bCs/>
        </w:rPr>
        <w:t>Cotoras</w:t>
      </w:r>
      <w:r>
        <w:t xml:space="preserve"> se expidió en su declaración testim</w:t>
      </w:r>
      <w:r>
        <w:t>o</w:t>
      </w:r>
      <w:r>
        <w:t>nial de fs. 38.691. En esa ocasión sostuvo que el 10 de julio de 1994 concurrió al domicilio de Telleldín a bordo de su V</w:t>
      </w:r>
      <w:r>
        <w:t>a</w:t>
      </w:r>
      <w:r>
        <w:t xml:space="preserve">liant, el que estacionó detrás de </w:t>
      </w:r>
      <w:smartTag w:uri="urn:schemas-microsoft-com:office:smarttags" w:element="PersonName">
        <w:smartTagPr>
          <w:attr w:name="ProductID" w:val="la Trafic"/>
        </w:smartTagPr>
        <w:r>
          <w:t>la Trafic</w:t>
        </w:r>
      </w:smartTag>
      <w:r>
        <w:t xml:space="preserve"> blanca casi enfrente de la casa. En ese momento o</w:t>
      </w:r>
      <w:r>
        <w:t>b</w:t>
      </w:r>
      <w:r>
        <w:t>servó que Telleldín, acompañado de un individuo, iba a subir a la c</w:t>
      </w:r>
      <w:r>
        <w:t>a</w:t>
      </w:r>
      <w:r>
        <w:t>mioneta.</w:t>
      </w:r>
    </w:p>
    <w:p w:rsidR="00224567" w:rsidRDefault="00224567">
      <w:pPr>
        <w:widowControl w:val="0"/>
      </w:pPr>
      <w:r>
        <w:tab/>
        <w:t xml:space="preserve">Agregó que vio que el titular del Ford Falcon amarillo estacionado delante de </w:t>
      </w:r>
      <w:smartTag w:uri="urn:schemas-microsoft-com:office:smarttags" w:element="PersonName">
        <w:smartTagPr>
          <w:attr w:name="ProductID" w:val="la Trafic"/>
        </w:smartTagPr>
        <w:r>
          <w:t>la Trafic</w:t>
        </w:r>
      </w:smartTag>
      <w:r>
        <w:t xml:space="preserve"> (que se encontraba solo) se acercó al conductor de ésta para ofr</w:t>
      </w:r>
      <w:r>
        <w:t>e</w:t>
      </w:r>
      <w:r>
        <w:t>cerle correrlo y f</w:t>
      </w:r>
      <w:r>
        <w:t>a</w:t>
      </w:r>
      <w:r>
        <w:t>cilitar la salida.</w:t>
      </w:r>
    </w:p>
    <w:p w:rsidR="00224567" w:rsidRDefault="00224567">
      <w:pPr>
        <w:widowControl w:val="0"/>
      </w:pPr>
      <w:r>
        <w:tab/>
        <w:t>Nuevamente, reviste sumo interés el análisis de una declaración que no fue incorporada al d</w:t>
      </w:r>
      <w:r>
        <w:t>e</w:t>
      </w:r>
      <w:r>
        <w:t>bate. Su valoración se realizará en los mismos términos que se hiciera respecto de Hugo Pérez y Jacinto Cayetano Cruz.</w:t>
      </w:r>
    </w:p>
    <w:p w:rsidR="00224567" w:rsidRDefault="00224567">
      <w:pPr>
        <w:widowControl w:val="0"/>
      </w:pPr>
      <w:r>
        <w:tab/>
      </w:r>
      <w:r>
        <w:tab/>
      </w:r>
      <w:r>
        <w:rPr>
          <w:b/>
          <w:bCs/>
        </w:rPr>
        <w:t>Antonio Malacchia</w:t>
      </w:r>
      <w:r>
        <w:t xml:space="preserve"> manifestó d</w:t>
      </w:r>
      <w:r>
        <w:t>u</w:t>
      </w:r>
      <w:r>
        <w:t>rante el debate que construía unos locales sobre la calle Repúbl</w:t>
      </w:r>
      <w:r>
        <w:t>i</w:t>
      </w:r>
      <w:r>
        <w:t>ca, frente al domicilio de Telleldín, que culminó en el año 1994 o 1995. Recordó que para esa época tenía un Ford Falcon amarillo con el que se de</w:t>
      </w:r>
      <w:r>
        <w:t>s</w:t>
      </w:r>
      <w:r>
        <w:t>plazaba habitualmente.</w:t>
      </w:r>
    </w:p>
    <w:p w:rsidR="00224567" w:rsidRDefault="00224567">
      <w:pPr>
        <w:widowControl w:val="0"/>
      </w:pPr>
      <w:r>
        <w:tab/>
        <w:t>Concurría, casi diariamente, a esa obra a contr</w:t>
      </w:r>
      <w:r>
        <w:t>o</w:t>
      </w:r>
      <w:r>
        <w:t>lar su avance. Precisó que lo hacía a las 13, después se retiraba al frigorífico y retornaba a media tarde.</w:t>
      </w:r>
    </w:p>
    <w:p w:rsidR="00224567" w:rsidRDefault="00224567">
      <w:pPr>
        <w:widowControl w:val="0"/>
      </w:pPr>
      <w:r>
        <w:tab/>
        <w:t>Telleldín acostumbraba estacionar a</w:t>
      </w:r>
      <w:r>
        <w:t>u</w:t>
      </w:r>
      <w:r>
        <w:t>tos, la mayoría viejos, sobre la calle República. Entre ellos había una Trafic, no recordó cuándo la vio ni su c</w:t>
      </w:r>
      <w:r>
        <w:t>o</w:t>
      </w:r>
      <w:r>
        <w:t>lor, pero sí que poseía un equipo de gas. Vio esta cami</w:t>
      </w:r>
      <w:r>
        <w:t>o</w:t>
      </w:r>
      <w:r>
        <w:t>neta en fecha próxima a la finaliz</w:t>
      </w:r>
      <w:r>
        <w:t>a</w:t>
      </w:r>
      <w:r>
        <w:t>ción de la construcción de los locales.</w:t>
      </w:r>
    </w:p>
    <w:p w:rsidR="00224567" w:rsidRDefault="00224567">
      <w:pPr>
        <w:widowControl w:val="0"/>
      </w:pPr>
      <w:r>
        <w:tab/>
        <w:t>No pudo recordar el año en que vio la camioneta, pero sí que fue un 9 de julio, aniversario del fallecimiento de su padre. Recordó que el domingo, alred</w:t>
      </w:r>
      <w:r>
        <w:t>e</w:t>
      </w:r>
      <w:r>
        <w:t>dor de las 17, la camioneta ya no estaba en el lugar, ci</w:t>
      </w:r>
      <w:r>
        <w:t>r</w:t>
      </w:r>
      <w:r>
        <w:t>cunstancia que lo alegró por cuanto le facilitaba el est</w:t>
      </w:r>
      <w:r>
        <w:t>a</w:t>
      </w:r>
      <w:r>
        <w:t>ci</w:t>
      </w:r>
      <w:r>
        <w:t>o</w:t>
      </w:r>
      <w:r>
        <w:t>namiento en el lugar.</w:t>
      </w:r>
    </w:p>
    <w:p w:rsidR="00224567" w:rsidRDefault="00224567">
      <w:pPr>
        <w:widowControl w:val="0"/>
      </w:pPr>
      <w:r>
        <w:tab/>
        <w:t>Precisó que con Telleldín nunca cruzó ni un saludo, a excepción de una oportunidad en la que h</w:t>
      </w:r>
      <w:r>
        <w:t>a</w:t>
      </w:r>
      <w:r>
        <w:t>blaron sobre las tejas de la c</w:t>
      </w:r>
      <w:r>
        <w:t>a</w:t>
      </w:r>
      <w:r>
        <w:t>sa de aquél.</w:t>
      </w:r>
    </w:p>
    <w:p w:rsidR="00224567" w:rsidRDefault="00224567">
      <w:pPr>
        <w:widowControl w:val="0"/>
      </w:pPr>
      <w:r>
        <w:tab/>
        <w:t>Negó específicamente que en alguna oportunidad Telleldín o su mujer, le hubiesen solicitado que corriera su automóvil Ford Falcon, para poder estaci</w:t>
      </w:r>
      <w:r>
        <w:t>o</w:t>
      </w:r>
      <w:r>
        <w:t>nar o retirar algún vehículo de los que acostu</w:t>
      </w:r>
      <w:r>
        <w:t>m</w:t>
      </w:r>
      <w:r>
        <w:t>braba dejar sobre la calle República. Ratificó que la única oportun</w:t>
      </w:r>
      <w:r>
        <w:t>i</w:t>
      </w:r>
      <w:r>
        <w:t>dad en que mantuvo un diál</w:t>
      </w:r>
      <w:r>
        <w:t>o</w:t>
      </w:r>
      <w:r>
        <w:t>go con esos vecinos fue en las circunstancias antes señ</w:t>
      </w:r>
      <w:r>
        <w:t>a</w:t>
      </w:r>
      <w:r>
        <w:t>lada.</w:t>
      </w:r>
    </w:p>
    <w:p w:rsidR="00224567" w:rsidRDefault="00224567">
      <w:pPr>
        <w:widowControl w:val="0"/>
      </w:pPr>
      <w:r>
        <w:tab/>
        <w:t>En los locales trabajaban tres albañ</w:t>
      </w:r>
      <w:r>
        <w:t>i</w:t>
      </w:r>
      <w:r>
        <w:t>les, don Luis –su hijo– y uno más. Ellos nunca lo hacían los domi</w:t>
      </w:r>
      <w:r>
        <w:t>n</w:t>
      </w:r>
      <w:r>
        <w:t>gos.</w:t>
      </w:r>
    </w:p>
    <w:p w:rsidR="00224567" w:rsidRDefault="00224567">
      <w:pPr>
        <w:widowControl w:val="0"/>
      </w:pPr>
      <w:r>
        <w:tab/>
        <w:t>Refirió que un domingo a la tarde co</w:t>
      </w:r>
      <w:r>
        <w:t>n</w:t>
      </w:r>
      <w:r>
        <w:t>currió junto con su esposa a la obra a observar su estado y que la nombrada se encargó de colocar pastina en el u</w:t>
      </w:r>
      <w:r>
        <w:t>m</w:t>
      </w:r>
      <w:r>
        <w:t>bral de entrada de los locales, para lo cual debió perm</w:t>
      </w:r>
      <w:r>
        <w:t>a</w:t>
      </w:r>
      <w:r>
        <w:t>necer arrodillada sobre la vereda. E</w:t>
      </w:r>
      <w:r>
        <w:t>s</w:t>
      </w:r>
      <w:r>
        <w:t>timó que ello ocurrió para la misma fecha en que apareció la camioneta alud</w:t>
      </w:r>
      <w:r>
        <w:t>i</w:t>
      </w:r>
      <w:r>
        <w:t>da.</w:t>
      </w:r>
    </w:p>
    <w:p w:rsidR="00224567" w:rsidRDefault="00224567">
      <w:pPr>
        <w:widowControl w:val="0"/>
      </w:pPr>
      <w:r>
        <w:tab/>
        <w:t>Los días domingo, la zona donde est</w:t>
      </w:r>
      <w:r>
        <w:t>a</w:t>
      </w:r>
      <w:r>
        <w:t>ban los locales era muy tranquila, con escaso tránsito vehicular,  de personas y con pocos autos estacionados s</w:t>
      </w:r>
      <w:r>
        <w:t>o</w:t>
      </w:r>
      <w:r>
        <w:t>bre la calle R</w:t>
      </w:r>
      <w:r>
        <w:t>e</w:t>
      </w:r>
      <w:r>
        <w:t>pública.</w:t>
      </w:r>
    </w:p>
    <w:p w:rsidR="00224567" w:rsidRDefault="00224567">
      <w:pPr>
        <w:widowControl w:val="0"/>
      </w:pPr>
      <w:r>
        <w:tab/>
        <w:t>Aclaró que cuando concurría a los l</w:t>
      </w:r>
      <w:r>
        <w:t>o</w:t>
      </w:r>
      <w:r>
        <w:t>cales durante los días de semana lo hacía solo y, en los fines de semana únicamente con su esposa. Aclaró específ</w:t>
      </w:r>
      <w:r>
        <w:t>i</w:t>
      </w:r>
      <w:r>
        <w:t>camente que sus hijos, particularmente el varón, jamás conc</w:t>
      </w:r>
      <w:r>
        <w:t>u</w:t>
      </w:r>
      <w:r>
        <w:t>rrieron a ver las obras.</w:t>
      </w:r>
    </w:p>
    <w:p w:rsidR="00224567" w:rsidRDefault="00224567">
      <w:pPr>
        <w:widowControl w:val="0"/>
      </w:pPr>
      <w:r>
        <w:tab/>
        <w:t>Con relación al croquis que se le e</w:t>
      </w:r>
      <w:r>
        <w:t>x</w:t>
      </w:r>
      <w:r>
        <w:t>hibió dijo que no había sido confecci</w:t>
      </w:r>
      <w:r>
        <w:t>o</w:t>
      </w:r>
      <w:r>
        <w:t>nado por él. Afirmó que sintió un poco de miedo cuando declaró por segunda vez, en el edificio de Retiro, por cuanto el empleado no le creyó que no sabía dibujar cuando le indicaron que co</w:t>
      </w:r>
      <w:r>
        <w:t>n</w:t>
      </w:r>
      <w:r>
        <w:t>feccionara un plano; recordó que al insistirle con el d</w:t>
      </w:r>
      <w:r>
        <w:t>i</w:t>
      </w:r>
      <w:r>
        <w:t>bujo sufrió un leve malestar que lo obligó a pedir dos v</w:t>
      </w:r>
      <w:r>
        <w:t>a</w:t>
      </w:r>
      <w:r>
        <w:t>sos de agua. Tras explicar que tenía problemas cardíacos se hizo presente el doctor Galeano quien le ofreció conv</w:t>
      </w:r>
      <w:r>
        <w:t>o</w:t>
      </w:r>
      <w:r>
        <w:t>car una ambulancia.</w:t>
      </w:r>
    </w:p>
    <w:p w:rsidR="00224567" w:rsidRDefault="00224567">
      <w:pPr>
        <w:widowControl w:val="0"/>
      </w:pPr>
      <w:r>
        <w:tab/>
      </w:r>
      <w:r>
        <w:tab/>
        <w:t xml:space="preserve">Por su parte, </w:t>
      </w:r>
      <w:r>
        <w:rPr>
          <w:b/>
          <w:bCs/>
        </w:rPr>
        <w:t>María Manuela Santillo de Malacchia</w:t>
      </w:r>
      <w:r>
        <w:t xml:space="preserve"> declaró que en la tarde del 10 de julio de 1994, un poco más tarde que las 13.30, fue a la obra a arreglar el umbral de los locales y perman</w:t>
      </w:r>
      <w:r>
        <w:t>e</w:t>
      </w:r>
      <w:r>
        <w:t>ció arrodillada de espaldas a la calle, y no vio ni escuchó nada. Se ret</w:t>
      </w:r>
      <w:r>
        <w:t>i</w:t>
      </w:r>
      <w:r>
        <w:t xml:space="preserve">ró del lugar aproximadamente a las 17.30. Era un domingo solitario, sin nadie en la calle. Negó enfáticamente que algún vecino se hubiera acercado a pedirle a ella o a su marido que movieran el auto. </w:t>
      </w:r>
    </w:p>
    <w:p w:rsidR="00224567" w:rsidRDefault="00224567">
      <w:pPr>
        <w:widowControl w:val="0"/>
      </w:pPr>
      <w:r>
        <w:tab/>
        <w:t>Precisó que cuando dijo esto en el juzgado in</w:t>
      </w:r>
      <w:r>
        <w:t>s</w:t>
      </w:r>
      <w:r>
        <w:t>tructor, la “apretaron” porque no le creían lo que declaraba y le dijeron que “atrás de esta puerta hay veinte personas que están diciendo la verdad y la única que está mintie</w:t>
      </w:r>
      <w:r>
        <w:t>n</w:t>
      </w:r>
      <w:r>
        <w:t>do es usted” (sic).</w:t>
      </w:r>
    </w:p>
    <w:p w:rsidR="00224567" w:rsidRDefault="00224567">
      <w:pPr>
        <w:widowControl w:val="0"/>
      </w:pPr>
      <w:r>
        <w:tab/>
        <w:t>Reconoció un croquis efectuado por ella en una declaración anterior donde ubica la posición de su marido y la de su auto estacion</w:t>
      </w:r>
      <w:r>
        <w:t>a</w:t>
      </w:r>
      <w:r>
        <w:t>do.</w:t>
      </w:r>
    </w:p>
    <w:p w:rsidR="00224567" w:rsidRDefault="00224567">
      <w:pPr>
        <w:widowControl w:val="0"/>
      </w:pPr>
      <w:r>
        <w:tab/>
        <w:t>Nunca vio una camioneta Trafic. Negó conocer a los v</w:t>
      </w:r>
      <w:r>
        <w:t>e</w:t>
      </w:r>
      <w:r>
        <w:t>cinos de la obra, ni a los de enfrente.</w:t>
      </w:r>
    </w:p>
    <w:p w:rsidR="00224567" w:rsidRDefault="00224567">
      <w:pPr>
        <w:widowControl w:val="0"/>
      </w:pPr>
      <w:r>
        <w:tab/>
        <w:t>Si bien no supo precisar qué rodado poseían con su marido en 1994, sí recordó que tuvo un Fa</w:t>
      </w:r>
      <w:r>
        <w:t>l</w:t>
      </w:r>
      <w:r>
        <w:t>con amarillo. Generalmente su esp</w:t>
      </w:r>
      <w:r>
        <w:t>o</w:t>
      </w:r>
      <w:r>
        <w:t>so la dejaba en la obra y se iba a comprar mercadería para su carnicería. Después aquel volvía, le tocaba b</w:t>
      </w:r>
      <w:r>
        <w:t>o</w:t>
      </w:r>
      <w:r>
        <w:t>cina y ella subía al auto.</w:t>
      </w:r>
    </w:p>
    <w:p w:rsidR="00224567" w:rsidRDefault="00224567">
      <w:pPr>
        <w:widowControl w:val="0"/>
      </w:pPr>
      <w:r>
        <w:tab/>
        <w:t>Indicó que trabajaban en la constru</w:t>
      </w:r>
      <w:r>
        <w:t>c</w:t>
      </w:r>
      <w:r>
        <w:t>ción de los locales un albañil –y, en oc</w:t>
      </w:r>
      <w:r>
        <w:t>a</w:t>
      </w:r>
      <w:r>
        <w:t>siones, su hijo– pero los domingos no conc</w:t>
      </w:r>
      <w:r>
        <w:t>u</w:t>
      </w:r>
      <w:r>
        <w:t>rrían.</w:t>
      </w:r>
    </w:p>
    <w:p w:rsidR="00224567" w:rsidRDefault="00224567">
      <w:pPr>
        <w:widowControl w:val="0"/>
      </w:pPr>
      <w:r>
        <w:tab/>
      </w:r>
      <w:r>
        <w:tab/>
        <w:t xml:space="preserve">Durante el debate, </w:t>
      </w:r>
      <w:r>
        <w:rPr>
          <w:b/>
          <w:bCs/>
        </w:rPr>
        <w:t>Luis Rey Cabral</w:t>
      </w:r>
      <w:r>
        <w:t xml:space="preserve"> m</w:t>
      </w:r>
      <w:r>
        <w:t>a</w:t>
      </w:r>
      <w:r>
        <w:t>nifestó que en el invierno de 1994, entre los meses de j</w:t>
      </w:r>
      <w:r>
        <w:t>u</w:t>
      </w:r>
      <w:r>
        <w:t>nio y agosto, realizó trabajos de albañilería en unos l</w:t>
      </w:r>
      <w:r>
        <w:t>o</w:t>
      </w:r>
      <w:r>
        <w:t>cales ubic</w:t>
      </w:r>
      <w:r>
        <w:t>a</w:t>
      </w:r>
      <w:r>
        <w:t>dos sobre la calle República, frente a la casa de T</w:t>
      </w:r>
      <w:r>
        <w:t>e</w:t>
      </w:r>
      <w:r>
        <w:t>lleldín, que eran del matrimonio Malacchia. Por otra parte, afirmó que concurría a laborar de lunes a sábado, pero nunca lo hizo un domi</w:t>
      </w:r>
      <w:r>
        <w:t>n</w:t>
      </w:r>
      <w:r>
        <w:t>go, aunque sí en otras obras y que lo hacía tanto de mañana como de tarde.-</w:t>
      </w:r>
    </w:p>
    <w:p w:rsidR="00224567" w:rsidRDefault="00224567">
      <w:pPr>
        <w:widowControl w:val="0"/>
      </w:pPr>
      <w:r>
        <w:tab/>
        <w:t>Recordó haber visto una camioneta Tr</w:t>
      </w:r>
      <w:r>
        <w:t>a</w:t>
      </w:r>
      <w:r>
        <w:t>fic blanca estacionada en la vereda de la obra durante v</w:t>
      </w:r>
      <w:r>
        <w:t>a</w:t>
      </w:r>
      <w:r>
        <w:t>rios días y siempre en el mismo lugar. Cree que la vio por primera vez alred</w:t>
      </w:r>
      <w:r>
        <w:t>e</w:t>
      </w:r>
      <w:r>
        <w:t>dor del 4 de junio de 1994. Sin embargo, nunca observó a alguien manejarla o mostrarla. Su estado era regular.</w:t>
      </w:r>
    </w:p>
    <w:p w:rsidR="00224567" w:rsidRDefault="00224567">
      <w:pPr>
        <w:pStyle w:val="Ttulo8"/>
        <w:spacing w:line="600" w:lineRule="auto"/>
        <w:rPr>
          <w:b w:val="0"/>
          <w:bCs w:val="0"/>
        </w:rPr>
      </w:pPr>
      <w:r>
        <w:tab/>
      </w:r>
      <w:bookmarkStart w:id="140" w:name="_Toc86731956"/>
      <w:r>
        <w:t>C</w:t>
      </w:r>
      <w:bookmarkStart w:id="141" w:name="_Toc79905032"/>
      <w:r>
        <w:t xml:space="preserve">.2.c.iv.A.2) </w:t>
      </w:r>
      <w:r>
        <w:rPr>
          <w:b w:val="0"/>
          <w:bCs w:val="0"/>
        </w:rPr>
        <w:t>Valoración</w:t>
      </w:r>
      <w:bookmarkEnd w:id="140"/>
      <w:bookmarkEnd w:id="141"/>
      <w:r>
        <w:rPr>
          <w:b w:val="0"/>
          <w:bCs w:val="0"/>
        </w:rPr>
        <w:t>.</w:t>
      </w:r>
    </w:p>
    <w:p w:rsidR="00224567" w:rsidRDefault="00224567">
      <w:pPr>
        <w:widowControl w:val="0"/>
      </w:pPr>
      <w:r>
        <w:tab/>
        <w:t>Nuevamente, resulta palmaria la mend</w:t>
      </w:r>
      <w:r>
        <w:t>a</w:t>
      </w:r>
      <w:r>
        <w:t>cidad de las afirmaciones de Carlos Telleldín y su e</w:t>
      </w:r>
      <w:r>
        <w:t>n</w:t>
      </w:r>
      <w:r>
        <w:t>torno, respecto a circunstancias relativas a lo ocurrido el 10 de j</w:t>
      </w:r>
      <w:r>
        <w:t>u</w:t>
      </w:r>
      <w:r>
        <w:t>lio de 1994.</w:t>
      </w:r>
    </w:p>
    <w:p w:rsidR="00224567" w:rsidRDefault="00224567">
      <w:pPr>
        <w:widowControl w:val="0"/>
      </w:pPr>
      <w:r>
        <w:tab/>
        <w:t>Efectivamente, como se puede advertir el episodio que n</w:t>
      </w:r>
      <w:r>
        <w:t>a</w:t>
      </w:r>
      <w:r>
        <w:t>rraran se ve refutado, precisamente, por los testimonios de los señalados como protagonistas de aquel suc</w:t>
      </w:r>
      <w:r>
        <w:t>e</w:t>
      </w:r>
      <w:r>
        <w:t>so.</w:t>
      </w:r>
    </w:p>
    <w:p w:rsidR="00224567" w:rsidRDefault="00224567">
      <w:pPr>
        <w:widowControl w:val="0"/>
      </w:pPr>
      <w:r>
        <w:tab/>
        <w:t>Mientras Telleldín, Boragni y Cotoras afirmaron que Antonio Malacchia ofreció correr su veh</w:t>
      </w:r>
      <w:r>
        <w:t>í</w:t>
      </w:r>
      <w:r>
        <w:t>culo para facil</w:t>
      </w:r>
      <w:r>
        <w:t>i</w:t>
      </w:r>
      <w:r>
        <w:t>tar la salida de la camioneta Trafic, tanto el no</w:t>
      </w:r>
      <w:r>
        <w:t>m</w:t>
      </w:r>
      <w:r>
        <w:t>brado como su mujer negaron categóricamente no solo ese ofrecimiento s</w:t>
      </w:r>
      <w:r>
        <w:t>i</w:t>
      </w:r>
      <w:r>
        <w:t>no haberlo visto ese día.</w:t>
      </w:r>
    </w:p>
    <w:p w:rsidR="00224567" w:rsidRDefault="00224567">
      <w:pPr>
        <w:widowControl w:val="0"/>
      </w:pPr>
      <w:r>
        <w:tab/>
        <w:t>Esta contradicción será resuelta oto</w:t>
      </w:r>
      <w:r>
        <w:t>r</w:t>
      </w:r>
      <w:r>
        <w:t>gando credibilidad a los dichos de los vecinos de Telle</w:t>
      </w:r>
      <w:r>
        <w:t>l</w:t>
      </w:r>
      <w:r>
        <w:t>dín, y no a los de este último y su entorno, por las raz</w:t>
      </w:r>
      <w:r>
        <w:t>o</w:t>
      </w:r>
      <w:r>
        <w:t>nes que se expondrán luego de reseñar las declaraciones valor</w:t>
      </w:r>
      <w:r>
        <w:t>a</w:t>
      </w:r>
      <w:r>
        <w:t>das.</w:t>
      </w:r>
    </w:p>
    <w:p w:rsidR="00224567" w:rsidRDefault="00224567">
      <w:pPr>
        <w:widowControl w:val="0"/>
      </w:pPr>
      <w:r>
        <w:tab/>
        <w:t>Si bien aparentemente parece observa</w:t>
      </w:r>
      <w:r>
        <w:t>r</w:t>
      </w:r>
      <w:r>
        <w:t>se una coincidencia en los dichos de Telleldín, B</w:t>
      </w:r>
      <w:r>
        <w:t>o</w:t>
      </w:r>
      <w:r>
        <w:t>ragni y Cotoras, respecto de la presencia en el lugar de Antonio Malacchia y del ofrecimiento de éste en desplazar su aut</w:t>
      </w:r>
      <w:r>
        <w:t>o</w:t>
      </w:r>
      <w:r>
        <w:t>móvil, esta coincidencia es solo apare</w:t>
      </w:r>
      <w:r>
        <w:t>n</w:t>
      </w:r>
      <w:r>
        <w:t>te.</w:t>
      </w:r>
    </w:p>
    <w:p w:rsidR="00224567" w:rsidRDefault="00224567">
      <w:pPr>
        <w:widowControl w:val="0"/>
      </w:pPr>
      <w:r>
        <w:tab/>
        <w:t>A poco que se analicen en detalle los dichos de los nombrados, surgen palmarias las esenciales diferencias de sus versiones. Aunque todos afirmaron la presencia de Antonio Malacchia, difirieron al señalar si éste se encontraba solo o con a</w:t>
      </w:r>
      <w:r>
        <w:t>l</w:t>
      </w:r>
      <w:r>
        <w:t>guien más.</w:t>
      </w:r>
    </w:p>
    <w:p w:rsidR="00224567" w:rsidRDefault="00224567">
      <w:pPr>
        <w:widowControl w:val="0"/>
      </w:pPr>
      <w:r>
        <w:tab/>
        <w:t>Así, Cotoras solo mencionó a Mala</w:t>
      </w:r>
      <w:r>
        <w:t>c</w:t>
      </w:r>
      <w:r>
        <w:t>chia, Boragni incluyó en la escena también al hijo de aquél, y Telleldín fue variando su versión. En efecto, inicialme</w:t>
      </w:r>
      <w:r>
        <w:t>n</w:t>
      </w:r>
      <w:r>
        <w:t>te mencionó a su vecino, luego agregó a su mujer y después a un albañil. Finalmente, en su última declar</w:t>
      </w:r>
      <w:r>
        <w:t>a</w:t>
      </w:r>
      <w:r>
        <w:t>ción del debate no hace referencia a ninguno de los me</w:t>
      </w:r>
      <w:r>
        <w:t>n</w:t>
      </w:r>
      <w:r>
        <w:t>cionados, pero sí al Ford de Malacchia que ubicó en las inmediaciones de su domic</w:t>
      </w:r>
      <w:r>
        <w:t>i</w:t>
      </w:r>
      <w:r>
        <w:t>lio.</w:t>
      </w:r>
    </w:p>
    <w:p w:rsidR="00224567" w:rsidRDefault="00224567">
      <w:pPr>
        <w:widowControl w:val="0"/>
      </w:pPr>
      <w:r>
        <w:tab/>
        <w:t>Pero allí no culminan las contradi</w:t>
      </w:r>
      <w:r>
        <w:t>c</w:t>
      </w:r>
      <w:r>
        <w:t>ciones entre los d</w:t>
      </w:r>
      <w:r>
        <w:t>i</w:t>
      </w:r>
      <w:r>
        <w:t>chos de Telleldín y sus allegados.</w:t>
      </w:r>
    </w:p>
    <w:p w:rsidR="00224567" w:rsidRDefault="00224567">
      <w:pPr>
        <w:widowControl w:val="0"/>
      </w:pPr>
      <w:r>
        <w:tab/>
        <w:t>Como se adelantara, también difiri</w:t>
      </w:r>
      <w:r>
        <w:t>e</w:t>
      </w:r>
      <w:r>
        <w:t>ron respecto de la conducta endilgada a Antonio Mala</w:t>
      </w:r>
      <w:r>
        <w:t>c</w:t>
      </w:r>
      <w:r>
        <w:t>chia y al momento en que ello ocurrió.</w:t>
      </w:r>
    </w:p>
    <w:p w:rsidR="00224567" w:rsidRDefault="00224567">
      <w:pPr>
        <w:widowControl w:val="0"/>
      </w:pPr>
      <w:r>
        <w:tab/>
        <w:t>En efecto, mientras Telleldín y Cot</w:t>
      </w:r>
      <w:r>
        <w:t>o</w:t>
      </w:r>
      <w:r>
        <w:t>ras señalaran que Malacchia ofreció desplazar su autom</w:t>
      </w:r>
      <w:r>
        <w:t>ó</w:t>
      </w:r>
      <w:r>
        <w:t>vil, Ana Boragni afirmó que aquél efectivamente corrió el vehíc</w:t>
      </w:r>
      <w:r>
        <w:t>u</w:t>
      </w:r>
      <w:r>
        <w:t>lo. Como se nota, la diferencia es clara.</w:t>
      </w:r>
    </w:p>
    <w:p w:rsidR="00224567" w:rsidRDefault="00224567">
      <w:pPr>
        <w:widowControl w:val="0"/>
      </w:pPr>
      <w:r>
        <w:tab/>
        <w:t>Por otro lado, en cuanto al momento en que ello ocurrió, tanto Telleldín como Cotoras señalaron que el ofrecimiento de Malacchia fue anterior a que dieran la vuelta de prueba con la camioneta. En cambio, Ana Bor</w:t>
      </w:r>
      <w:r>
        <w:t>a</w:t>
      </w:r>
      <w:r>
        <w:t>gni –a diferencia de lo sostenido durante la instru</w:t>
      </w:r>
      <w:r>
        <w:t>c</w:t>
      </w:r>
      <w:r>
        <w:t>ción– dijo que esto sucedió recién finalizada la oper</w:t>
      </w:r>
      <w:r>
        <w:t>a</w:t>
      </w:r>
      <w:r>
        <w:t>ción.</w:t>
      </w:r>
    </w:p>
    <w:p w:rsidR="00224567" w:rsidRDefault="00224567">
      <w:pPr>
        <w:widowControl w:val="0"/>
      </w:pPr>
      <w:r>
        <w:tab/>
        <w:t>Elocuente resulta la respuesta evas</w:t>
      </w:r>
      <w:r>
        <w:t>i</w:t>
      </w:r>
      <w:r>
        <w:t>va brindada por Boragni, al destacársele la contradicción s</w:t>
      </w:r>
      <w:r>
        <w:t>o</w:t>
      </w:r>
      <w:r>
        <w:t>bre el punto. En efecto, allí simplemente señaló que esta circunsta</w:t>
      </w:r>
      <w:r>
        <w:t>n</w:t>
      </w:r>
      <w:r>
        <w:t>cia ocurrió “en algún momento”.</w:t>
      </w:r>
    </w:p>
    <w:p w:rsidR="00224567" w:rsidRDefault="00224567">
      <w:pPr>
        <w:widowControl w:val="0"/>
      </w:pPr>
      <w:r>
        <w:tab/>
        <w:t>Ahora bien, distinta es la situación respecto de los dichos prestados por el matrimonio Mala-</w:t>
      </w:r>
      <w:r>
        <w:t>c</w:t>
      </w:r>
      <w:r>
        <w:t>chia.</w:t>
      </w:r>
    </w:p>
    <w:p w:rsidR="00224567" w:rsidRDefault="00224567">
      <w:pPr>
        <w:widowControl w:val="0"/>
      </w:pPr>
      <w:r>
        <w:tab/>
        <w:t>Ya se adelantó que coincidieron en n</w:t>
      </w:r>
      <w:r>
        <w:t>e</w:t>
      </w:r>
      <w:r>
        <w:t>gar fervor</w:t>
      </w:r>
      <w:r>
        <w:t>o</w:t>
      </w:r>
      <w:r>
        <w:t xml:space="preserve">samente haber visto al comprador de </w:t>
      </w:r>
      <w:smartTag w:uri="urn:schemas-microsoft-com:office:smarttags" w:element="PersonName">
        <w:smartTagPr>
          <w:attr w:name="ProductID" w:val="la Trafic"/>
        </w:smartTagPr>
        <w:r>
          <w:t>la Trafic</w:t>
        </w:r>
      </w:smartTag>
      <w:r>
        <w:t>, y más aún haber ofrecido correr el vehículo p</w:t>
      </w:r>
      <w:r>
        <w:t>a</w:t>
      </w:r>
      <w:r>
        <w:t>ra permitir el paso de la camioneta.</w:t>
      </w:r>
    </w:p>
    <w:p w:rsidR="00224567" w:rsidRDefault="00224567">
      <w:pPr>
        <w:widowControl w:val="0"/>
      </w:pPr>
      <w:r>
        <w:tab/>
        <w:t>Especialmente, sobre este último pu</w:t>
      </w:r>
      <w:r>
        <w:t>n</w:t>
      </w:r>
      <w:r>
        <w:t>to Santillo de Malacchia expresó que fue presionada en el juzgado para sostener lo contrario, y de ahí el é</w:t>
      </w:r>
      <w:r>
        <w:t>n</w:t>
      </w:r>
      <w:r>
        <w:t>fasis de su neg</w:t>
      </w:r>
      <w:r>
        <w:t>a</w:t>
      </w:r>
      <w:r>
        <w:t>tiva.</w:t>
      </w:r>
    </w:p>
    <w:p w:rsidR="00224567" w:rsidRDefault="00224567">
      <w:pPr>
        <w:widowControl w:val="0"/>
      </w:pPr>
      <w:r>
        <w:tab/>
        <w:t>Pero no fue la única coincidencia, también resultaron co</w:t>
      </w:r>
      <w:r>
        <w:t>n</w:t>
      </w:r>
      <w:r>
        <w:t>testes al destacar el horario en que llegaron y se retiraron del lugar, la tranquilidad de la zona con poco tráns</w:t>
      </w:r>
      <w:r>
        <w:t>i</w:t>
      </w:r>
      <w:r>
        <w:t>to vehicular y de personas y los días en que trabajaban los a</w:t>
      </w:r>
      <w:r>
        <w:t>l</w:t>
      </w:r>
      <w:r>
        <w:t>bañiles.</w:t>
      </w:r>
    </w:p>
    <w:p w:rsidR="00224567" w:rsidRDefault="00224567">
      <w:pPr>
        <w:widowControl w:val="0"/>
      </w:pPr>
      <w:r>
        <w:tab/>
        <w:t>Sobre este último aspecto, también  coincidieron con el albañil Luis Rey Cabral, en que sólo trabajaba de lunes a sábados y, por ende, no estuvo pr</w:t>
      </w:r>
      <w:r>
        <w:t>e</w:t>
      </w:r>
      <w:r>
        <w:t>sente el domingo 10 de julio.</w:t>
      </w:r>
    </w:p>
    <w:p w:rsidR="00224567" w:rsidRDefault="00224567">
      <w:pPr>
        <w:widowControl w:val="0"/>
      </w:pPr>
      <w:r>
        <w:tab/>
        <w:t>A esta altura se colige, como ya se adelantara, los motivos que fundan la credibilidad de lo sostenido por el m</w:t>
      </w:r>
      <w:r>
        <w:t>a</w:t>
      </w:r>
      <w:r>
        <w:t>trimonio Malacchia y Rey Cabral.</w:t>
      </w:r>
    </w:p>
    <w:p w:rsidR="00224567" w:rsidRDefault="00224567">
      <w:pPr>
        <w:widowControl w:val="0"/>
      </w:pPr>
      <w:r>
        <w:tab/>
        <w:t>Pero a las coincidencias en detalles, y de sus dichos con los de terceros, deben sumarse como elementos que fundan su credibilidad, la inmutabilidad –en sus rasgos esenci</w:t>
      </w:r>
      <w:r>
        <w:t>a</w:t>
      </w:r>
      <w:r>
        <w:t>les– de lo sostenido inicialmente –desde agosto de 1994– y que hayan dado razón de sus dichos.</w:t>
      </w:r>
    </w:p>
    <w:p w:rsidR="00224567" w:rsidRDefault="00224567">
      <w:pPr>
        <w:widowControl w:val="0"/>
      </w:pPr>
      <w:r>
        <w:tab/>
        <w:t>Así, justificaron los horarios, la precisión en las fechas y el r</w:t>
      </w:r>
      <w:r>
        <w:t>e</w:t>
      </w:r>
      <w:r>
        <w:t>cuerdo de lo sucedido.</w:t>
      </w:r>
    </w:p>
    <w:p w:rsidR="00224567" w:rsidRDefault="00224567">
      <w:pPr>
        <w:widowControl w:val="0"/>
      </w:pPr>
      <w:r>
        <w:tab/>
        <w:t>En cambio, en Telleldín, Boragni y C</w:t>
      </w:r>
      <w:r>
        <w:t>o</w:t>
      </w:r>
      <w:r>
        <w:t>toras se advierten las contradicciones de lo declarado e</w:t>
      </w:r>
      <w:r>
        <w:t>n</w:t>
      </w:r>
      <w:r>
        <w:t>tre sí y frente a los terceros ajenos al entorno y las v</w:t>
      </w:r>
      <w:r>
        <w:t>a</w:t>
      </w:r>
      <w:r>
        <w:t>ri</w:t>
      </w:r>
      <w:r>
        <w:t>a</w:t>
      </w:r>
      <w:r>
        <w:t>ciones en el tiempo de Telleldín y Boragni.</w:t>
      </w:r>
    </w:p>
    <w:p w:rsidR="00224567" w:rsidRDefault="00224567">
      <w:pPr>
        <w:pStyle w:val="Ttulo7"/>
        <w:widowControl w:val="0"/>
      </w:pPr>
      <w:r>
        <w:rPr>
          <w:b/>
          <w:bCs/>
        </w:rPr>
        <w:tab/>
      </w:r>
      <w:bookmarkStart w:id="142" w:name="_Toc50181220"/>
      <w:bookmarkStart w:id="143" w:name="_Toc79904985"/>
      <w:bookmarkStart w:id="144" w:name="_Toc79905033"/>
      <w:bookmarkStart w:id="145" w:name="_Toc86731957"/>
      <w:r>
        <w:rPr>
          <w:b/>
          <w:bCs/>
        </w:rPr>
        <w:t xml:space="preserve">C.2.c.iv.B) </w:t>
      </w:r>
      <w:r>
        <w:t>La insostenible y funci</w:t>
      </w:r>
      <w:r>
        <w:t>o</w:t>
      </w:r>
      <w:r>
        <w:t>nal prese</w:t>
      </w:r>
      <w:r>
        <w:t>n</w:t>
      </w:r>
      <w:r>
        <w:t>cia de Cotoras</w:t>
      </w:r>
      <w:bookmarkEnd w:id="142"/>
      <w:bookmarkEnd w:id="143"/>
      <w:bookmarkEnd w:id="144"/>
      <w:bookmarkEnd w:id="145"/>
      <w:r>
        <w:t>.</w:t>
      </w:r>
    </w:p>
    <w:p w:rsidR="00224567" w:rsidRDefault="00224567">
      <w:pPr>
        <w:pStyle w:val="Ttulo8"/>
        <w:spacing w:line="600" w:lineRule="auto"/>
      </w:pPr>
      <w:r>
        <w:tab/>
      </w:r>
      <w:bookmarkStart w:id="146" w:name="_Toc79905034"/>
      <w:bookmarkStart w:id="147" w:name="_Toc86731958"/>
      <w:r>
        <w:t xml:space="preserve">C.2.c.iv.B.1) </w:t>
      </w:r>
      <w:r>
        <w:rPr>
          <w:b w:val="0"/>
          <w:bCs w:val="0"/>
        </w:rPr>
        <w:t>Síntesis de testim</w:t>
      </w:r>
      <w:r>
        <w:rPr>
          <w:b w:val="0"/>
          <w:bCs w:val="0"/>
        </w:rPr>
        <w:t>o</w:t>
      </w:r>
      <w:r>
        <w:rPr>
          <w:b w:val="0"/>
          <w:bCs w:val="0"/>
        </w:rPr>
        <w:t>nios</w:t>
      </w:r>
      <w:bookmarkEnd w:id="146"/>
      <w:bookmarkEnd w:id="147"/>
      <w:r>
        <w:rPr>
          <w:b w:val="0"/>
          <w:bCs w:val="0"/>
        </w:rPr>
        <w:t>.</w:t>
      </w:r>
    </w:p>
    <w:p w:rsidR="00224567" w:rsidRDefault="00224567">
      <w:pPr>
        <w:widowControl w:val="0"/>
      </w:pPr>
      <w:r>
        <w:tab/>
        <w:t xml:space="preserve">En la cuestionada indagatoria del 5 de julio de 1996, </w:t>
      </w:r>
      <w:r>
        <w:rPr>
          <w:b/>
          <w:bCs/>
        </w:rPr>
        <w:t>Telleldín</w:t>
      </w:r>
      <w:r>
        <w:t xml:space="preserve"> narró que mientras discutía afu</w:t>
      </w:r>
      <w:r>
        <w:t>e</w:t>
      </w:r>
      <w:r>
        <w:t>ra de su domicilio con Ramón Martínez, antes de ir a dar la vuelta, se presentó Guillermo Cotoras, a quien le i</w:t>
      </w:r>
      <w:r>
        <w:t>n</w:t>
      </w:r>
      <w:r>
        <w:t>formó que había problemas, que tenía la casa rodeada y a</w:t>
      </w:r>
      <w:r>
        <w:t>u</w:t>
      </w:r>
      <w:r>
        <w:t>tos “truchos” adentro, que no entrara porque podrían all</w:t>
      </w:r>
      <w:r>
        <w:t>a</w:t>
      </w:r>
      <w:r>
        <w:t>nar su domicilio.</w:t>
      </w:r>
    </w:p>
    <w:p w:rsidR="00224567" w:rsidRDefault="00224567">
      <w:pPr>
        <w:widowControl w:val="0"/>
      </w:pPr>
      <w:r>
        <w:tab/>
        <w:t>Explicó que Cotoras permaneció a la altura de un lavadero de ropa ubicado frente a su domic</w:t>
      </w:r>
      <w:r>
        <w:t>i</w:t>
      </w:r>
      <w:r>
        <w:t>lio; al r</w:t>
      </w:r>
      <w:r>
        <w:t>e</w:t>
      </w:r>
      <w:r>
        <w:t>gresar de dar la vuelta, le solicitó que llamara a Barreda y le avisara que tenía una brigada al mando de un oficial “Pino”.</w:t>
      </w:r>
    </w:p>
    <w:p w:rsidR="00224567" w:rsidRDefault="00224567">
      <w:pPr>
        <w:widowControl w:val="0"/>
      </w:pPr>
      <w:r>
        <w:tab/>
        <w:t>Aclaró que le anotó el número de tel</w:t>
      </w:r>
      <w:r>
        <w:t>é</w:t>
      </w:r>
      <w:r>
        <w:t>fono de Barreda en un papel, pero finalmente Cotoras co</w:t>
      </w:r>
      <w:r>
        <w:t>n</w:t>
      </w:r>
      <w:r>
        <w:t>currió a ver a Eduardo, quien, a su vez, fue al d</w:t>
      </w:r>
      <w:r>
        <w:t>o</w:t>
      </w:r>
      <w:r>
        <w:t>micilio del pr</w:t>
      </w:r>
      <w:r>
        <w:t>i</w:t>
      </w:r>
      <w:r>
        <w:t>mero.</w:t>
      </w:r>
    </w:p>
    <w:p w:rsidR="00224567" w:rsidRDefault="00224567">
      <w:pPr>
        <w:widowControl w:val="0"/>
      </w:pPr>
      <w:r>
        <w:tab/>
        <w:t>También ubicó el automotor de Cotoras en el croquis co</w:t>
      </w:r>
      <w:r>
        <w:t>n</w:t>
      </w:r>
      <w:r>
        <w:t>feccionado a fs. 24.248.</w:t>
      </w:r>
    </w:p>
    <w:p w:rsidR="00224567" w:rsidRDefault="00224567">
      <w:pPr>
        <w:widowControl w:val="0"/>
      </w:pPr>
      <w:r>
        <w:tab/>
        <w:t>En el debate, se refirió a este tema en la declaración prestada el 9 de diciembre de 2003, al señalar que el p</w:t>
      </w:r>
      <w:r>
        <w:t>á</w:t>
      </w:r>
      <w:r>
        <w:t>rrafo sobre la presencia de Cotoras y la convers</w:t>
      </w:r>
      <w:r>
        <w:t>a</w:t>
      </w:r>
      <w:r>
        <w:t>ción que mantuviera con Telleldín, fue uno de los i</w:t>
      </w:r>
      <w:r>
        <w:t>n</w:t>
      </w:r>
      <w:r>
        <w:t>sertados por el magistrado instructor en la declaración de julio de 1996 como suyos, cuando en realidad no lo eran.</w:t>
      </w:r>
    </w:p>
    <w:p w:rsidR="00224567" w:rsidRDefault="00224567">
      <w:pPr>
        <w:widowControl w:val="0"/>
      </w:pPr>
      <w:r>
        <w:tab/>
        <w:t xml:space="preserve">Por su parte </w:t>
      </w:r>
      <w:r>
        <w:rPr>
          <w:b/>
          <w:bCs/>
        </w:rPr>
        <w:t>Ana María Boragni</w:t>
      </w:r>
      <w:r>
        <w:t xml:space="preserve"> dura</w:t>
      </w:r>
      <w:r>
        <w:t>n</w:t>
      </w:r>
      <w:r>
        <w:t>te el debate afirmó que Telleldín le comentó que se había e</w:t>
      </w:r>
      <w:r>
        <w:t>n</w:t>
      </w:r>
      <w:r>
        <w:t>contrado con Guillermo Cotoras en la calle, luego de fin</w:t>
      </w:r>
      <w:r>
        <w:t>a</w:t>
      </w:r>
      <w:r>
        <w:t>lizada la oper</w:t>
      </w:r>
      <w:r>
        <w:t>a</w:t>
      </w:r>
      <w:r>
        <w:t>ción, a quien le dio algo de dinero. En un primer momento, dijo que Telleldín justificó su demora en r</w:t>
      </w:r>
      <w:r>
        <w:t>e</w:t>
      </w:r>
      <w:r>
        <w:t>gresar después de que salió con el comprador, debido al encuentro con Cotoras. Po</w:t>
      </w:r>
      <w:r>
        <w:t>s</w:t>
      </w:r>
      <w:r>
        <w:t>teriormente, afirmó que Cotoras se presentó cuando T</w:t>
      </w:r>
      <w:r>
        <w:t>e</w:t>
      </w:r>
      <w:r>
        <w:t>lleldín salió a mirar los automotores –que sosp</w:t>
      </w:r>
      <w:r>
        <w:t>e</w:t>
      </w:r>
      <w:r>
        <w:t>chaba que eran de alguna brigada– y cuando ya no estaba ni el comprador ni la camion</w:t>
      </w:r>
      <w:r>
        <w:t>e</w:t>
      </w:r>
      <w:r>
        <w:t>ta.</w:t>
      </w:r>
    </w:p>
    <w:p w:rsidR="00224567" w:rsidRDefault="00224567">
      <w:pPr>
        <w:widowControl w:val="0"/>
      </w:pPr>
      <w:r>
        <w:tab/>
        <w:t xml:space="preserve">Cabe destacar que </w:t>
      </w:r>
      <w:r>
        <w:rPr>
          <w:b/>
          <w:bCs/>
        </w:rPr>
        <w:t>Cotoras</w:t>
      </w:r>
      <w:r>
        <w:t>, quien solo declaró en la instrucción por las circunstancias más arr</w:t>
      </w:r>
      <w:r>
        <w:t>i</w:t>
      </w:r>
      <w:r>
        <w:t>ba detalladas, también cambió su versión y explicó que ello se debió a que temía por su integridad y la de sus hijos.</w:t>
      </w:r>
    </w:p>
    <w:p w:rsidR="00224567" w:rsidRDefault="00224567">
      <w:pPr>
        <w:widowControl w:val="0"/>
      </w:pPr>
      <w:r>
        <w:tab/>
        <w:t>Si bien en sus primeras declaraciones no se expidió expresamente respecto al hecho del 10 de j</w:t>
      </w:r>
      <w:r>
        <w:t>u</w:t>
      </w:r>
      <w:r>
        <w:t>lio de 1994, puede colegirse de sus dichos que no vio a Telleldín en esa fecha. Ello debido a que sostuvo que de</w:t>
      </w:r>
      <w:r>
        <w:t>s</w:t>
      </w:r>
      <w:r>
        <w:t>de el día en que Telleldín le dejó la camioneta (inicia</w:t>
      </w:r>
      <w:r>
        <w:t>l</w:t>
      </w:r>
      <w:r>
        <w:t>mente dijo que ello ocurrió a fines de j</w:t>
      </w:r>
      <w:r>
        <w:t>u</w:t>
      </w:r>
      <w:r>
        <w:t>nio o principios de julio de 1994, y en posteriores oportunidades precisó que fue en la primera semana de julio de 1994) no lo vo</w:t>
      </w:r>
      <w:r>
        <w:t>l</w:t>
      </w:r>
      <w:r>
        <w:t>vió a ver hasta cruzarse ya detenidos en sede policial. Añadió que lo llamó al n</w:t>
      </w:r>
      <w:r>
        <w:t>ú</w:t>
      </w:r>
      <w:r>
        <w:t>mero de abonado 768-</w:t>
      </w:r>
      <w:smartTag w:uri="urn:schemas-microsoft-com:office:smarttags" w:element="metricconverter">
        <w:smartTagPr>
          <w:attr w:name="ProductID" w:val="0902 a"/>
        </w:smartTagPr>
        <w:r>
          <w:t>0902 a</w:t>
        </w:r>
      </w:smartTag>
      <w:r>
        <w:t xml:space="preserve"> mitad de mes y nadie le contestó. También mencionó que le ade</w:t>
      </w:r>
      <w:r>
        <w:t>u</w:t>
      </w:r>
      <w:r>
        <w:t>daba dinero por la extracción del motor de la camioneta Trafic.</w:t>
      </w:r>
    </w:p>
    <w:p w:rsidR="00224567" w:rsidRDefault="00224567">
      <w:pPr>
        <w:widowControl w:val="0"/>
      </w:pPr>
      <w:r>
        <w:tab/>
        <w:t>Posteriormente, en su declaración te</w:t>
      </w:r>
      <w:r>
        <w:t>s</w:t>
      </w:r>
      <w:r>
        <w:t>timonial de fs. 38691 y ss., sostuvo que el 10 de julio alr</w:t>
      </w:r>
      <w:r>
        <w:t>e</w:t>
      </w:r>
      <w:r>
        <w:t>dedor de las 14, se dirigió al domicilio de Telleldín para reclamarle un din</w:t>
      </w:r>
      <w:r>
        <w:t>e</w:t>
      </w:r>
      <w:r>
        <w:t>ro que le debía por haberle ayudado a sacar un motor de una carrocería qu</w:t>
      </w:r>
      <w:r>
        <w:t>e</w:t>
      </w:r>
      <w:r>
        <w:t>mada.</w:t>
      </w:r>
    </w:p>
    <w:p w:rsidR="00224567" w:rsidRDefault="00224567">
      <w:pPr>
        <w:widowControl w:val="0"/>
        <w:rPr>
          <w:i/>
          <w:iCs/>
        </w:rPr>
      </w:pPr>
      <w:r>
        <w:tab/>
        <w:t>Arribó al domicilio de República 107 en su vehículo Valiant –del que nunca se bajó–, y lo est</w:t>
      </w:r>
      <w:r>
        <w:t>a</w:t>
      </w:r>
      <w:r>
        <w:t>cionó d</w:t>
      </w:r>
      <w:r>
        <w:t>e</w:t>
      </w:r>
      <w:r>
        <w:t xml:space="preserve">trás de </w:t>
      </w:r>
      <w:smartTag w:uri="urn:schemas-microsoft-com:office:smarttags" w:element="PersonName">
        <w:smartTagPr>
          <w:attr w:name="ProductID" w:val="la Trafic"/>
        </w:smartTagPr>
        <w:r>
          <w:t>la Trafic</w:t>
        </w:r>
      </w:smartTag>
      <w:r>
        <w:t xml:space="preserve"> blanca casi enfrente de la casa. En ese momento o</w:t>
      </w:r>
      <w:r>
        <w:t>b</w:t>
      </w:r>
      <w:r>
        <w:t>servó que Telleldín estaba acompañado de un individuo “como para subir” a la c</w:t>
      </w:r>
      <w:r>
        <w:t>a</w:t>
      </w:r>
      <w:r>
        <w:t>mioneta.</w:t>
      </w:r>
    </w:p>
    <w:p w:rsidR="00224567" w:rsidRDefault="00224567">
      <w:pPr>
        <w:widowControl w:val="0"/>
      </w:pPr>
      <w:r>
        <w:rPr>
          <w:i/>
          <w:iCs/>
        </w:rPr>
        <w:tab/>
      </w:r>
      <w:r>
        <w:t>Fue entonces cuando Telleldín se le acercó, le dijo que lo estaba extorsionando la policía y le pidió que se comun</w:t>
      </w:r>
      <w:r>
        <w:t>i</w:t>
      </w:r>
      <w:r>
        <w:t>cara con Eduardo para que éste a su vez le avisara a Diego que “Pino” lo estaba “apr</w:t>
      </w:r>
      <w:r>
        <w:t>e</w:t>
      </w:r>
      <w:r>
        <w:t>tando”. A tal fin le dio un papel con el número de teléfono de Di</w:t>
      </w:r>
      <w:r>
        <w:t>e</w:t>
      </w:r>
      <w:r>
        <w:t>go.</w:t>
      </w:r>
    </w:p>
    <w:p w:rsidR="00224567" w:rsidRDefault="00224567">
      <w:pPr>
        <w:widowControl w:val="0"/>
      </w:pPr>
      <w:r>
        <w:tab/>
        <w:t>Relató el ofrecimiento de Malacchia al que antes se aludiera, y agregó que Telleldín subió del lado del acompañante y partió. Observó a dos ind</w:t>
      </w:r>
      <w:r>
        <w:t>i</w:t>
      </w:r>
      <w:r>
        <w:t>viduos en actitud expectante a quienes describió, justificando su atención en esas personas en el “apriete” comentado por Telleldín y el miedo de lo que pudiera ocurrir. Finalme</w:t>
      </w:r>
      <w:r>
        <w:t>n</w:t>
      </w:r>
      <w:r>
        <w:t xml:space="preserve">te, a los cinco o diez minutos, vio regresar a </w:t>
      </w:r>
      <w:smartTag w:uri="urn:schemas-microsoft-com:office:smarttags" w:element="PersonName">
        <w:smartTagPr>
          <w:attr w:name="ProductID" w:val="la Trafic"/>
        </w:smartTagPr>
        <w:r>
          <w:t>la Tr</w:t>
        </w:r>
        <w:r>
          <w:t>a</w:t>
        </w:r>
        <w:r>
          <w:t>fic</w:t>
        </w:r>
      </w:smartTag>
      <w:r>
        <w:t xml:space="preserve"> y a los sujetos.</w:t>
      </w:r>
    </w:p>
    <w:p w:rsidR="00224567" w:rsidRDefault="00224567">
      <w:pPr>
        <w:widowControl w:val="0"/>
      </w:pPr>
      <w:r>
        <w:tab/>
        <w:t>De las fotografías obrantes en el s</w:t>
      </w:r>
      <w:r>
        <w:t>o</w:t>
      </w:r>
      <w:r>
        <w:t>bre de fs. 247, ide</w:t>
      </w:r>
      <w:r>
        <w:t>n</w:t>
      </w:r>
      <w:r>
        <w:t>tificó la número seis –correspondiente al imputado Ibarra–, al señalar su p</w:t>
      </w:r>
      <w:r>
        <w:t>a</w:t>
      </w:r>
      <w:r>
        <w:t>recido con una de las personas que rondara la casa de Telleldín el 10 de julio de 1994.</w:t>
      </w:r>
    </w:p>
    <w:p w:rsidR="00224567" w:rsidRDefault="00224567">
      <w:pPr>
        <w:widowControl w:val="0"/>
      </w:pPr>
      <w:r>
        <w:tab/>
        <w:t xml:space="preserve">Si bien en un primer momento dijo que vio a la persona que subió a </w:t>
      </w:r>
      <w:smartTag w:uri="urn:schemas-microsoft-com:office:smarttags" w:element="PersonName">
        <w:smartTagPr>
          <w:attr w:name="ProductID" w:val="la Trafic"/>
        </w:smartTagPr>
        <w:r>
          <w:t>la Trafic</w:t>
        </w:r>
      </w:smartTag>
      <w:r>
        <w:t xml:space="preserve"> por muy escaso tiempo y de espalda, en una declaración posterior señaló que debería tenerlo frente a su vista para poder respo</w:t>
      </w:r>
      <w:r>
        <w:t>n</w:t>
      </w:r>
      <w:r>
        <w:t>der si podría reconocerlo.</w:t>
      </w:r>
    </w:p>
    <w:p w:rsidR="00224567" w:rsidRDefault="00224567">
      <w:pPr>
        <w:widowControl w:val="0"/>
      </w:pPr>
      <w:r>
        <w:tab/>
        <w:t>Confeccionó un croquis detallando la ubicación de los vehículos, luego aclaró que no podía pr</w:t>
      </w:r>
      <w:r>
        <w:t>e</w:t>
      </w:r>
      <w:r>
        <w:t>cisar el momento en que Telleldín le mencionó a “P</w:t>
      </w:r>
      <w:r>
        <w:t>i</w:t>
      </w:r>
      <w:r>
        <w:t>no”. Si bien est</w:t>
      </w:r>
      <w:r>
        <w:t>a</w:t>
      </w:r>
      <w:r>
        <w:t>ba “casi totalmente seguro” de que ello sucediera en las circunstancias relatadas, no descartó que hubiera sucedido en la noche cuando Telleldín concurrió con Ana y los hijos a su domicilio.</w:t>
      </w:r>
    </w:p>
    <w:p w:rsidR="00224567" w:rsidRDefault="00224567">
      <w:pPr>
        <w:pStyle w:val="Ttulo8"/>
        <w:spacing w:line="600" w:lineRule="auto"/>
      </w:pPr>
      <w:r>
        <w:tab/>
      </w:r>
      <w:bookmarkStart w:id="148" w:name="_Toc79905035"/>
      <w:bookmarkStart w:id="149" w:name="_Toc86731959"/>
      <w:r>
        <w:t xml:space="preserve">C.2.c.iv.B.2) </w:t>
      </w:r>
      <w:r>
        <w:rPr>
          <w:b w:val="0"/>
          <w:bCs w:val="0"/>
        </w:rPr>
        <w:t>Valoración</w:t>
      </w:r>
      <w:bookmarkEnd w:id="148"/>
      <w:bookmarkEnd w:id="149"/>
      <w:r>
        <w:rPr>
          <w:b w:val="0"/>
          <w:bCs w:val="0"/>
        </w:rPr>
        <w:t>.</w:t>
      </w:r>
    </w:p>
    <w:p w:rsidR="00224567" w:rsidRDefault="00224567">
      <w:pPr>
        <w:widowControl w:val="0"/>
      </w:pPr>
      <w:r>
        <w:tab/>
        <w:t>Se reeditan en este acápite las mend</w:t>
      </w:r>
      <w:r>
        <w:t>a</w:t>
      </w:r>
      <w:r>
        <w:t>cidades de las decl</w:t>
      </w:r>
      <w:r>
        <w:t>a</w:t>
      </w:r>
      <w:r>
        <w:t>raciones prestadas por Telleldín y su entorno respecto a otra de las circunstancias que caract</w:t>
      </w:r>
      <w:r>
        <w:t>e</w:t>
      </w:r>
      <w:r>
        <w:t>rizara, según su versión, lo ocurrido el 10 de julio de 1994.</w:t>
      </w:r>
    </w:p>
    <w:p w:rsidR="00224567" w:rsidRDefault="00224567">
      <w:pPr>
        <w:widowControl w:val="0"/>
      </w:pPr>
      <w:r>
        <w:tab/>
        <w:t>En efecto, no resultan creíbles los dichos de C</w:t>
      </w:r>
      <w:r>
        <w:t>o</w:t>
      </w:r>
      <w:r>
        <w:t>toras y Telleldín al relatar el encuentro que aducen haber protagonizado en esa fecha por las razones que se expo</w:t>
      </w:r>
      <w:r>
        <w:t>n</w:t>
      </w:r>
      <w:r>
        <w:t>drán.</w:t>
      </w:r>
    </w:p>
    <w:p w:rsidR="00224567" w:rsidRDefault="00224567">
      <w:pPr>
        <w:widowControl w:val="0"/>
      </w:pPr>
      <w:r>
        <w:tab/>
        <w:t>En primer lugar, debe destacarse que este episodio fue recién introducido en la causa a pa</w:t>
      </w:r>
      <w:r>
        <w:t>r</w:t>
      </w:r>
      <w:r>
        <w:t>tir de las declaraciones prestadas en julio de 1996 por T</w:t>
      </w:r>
      <w:r>
        <w:t>e</w:t>
      </w:r>
      <w:r>
        <w:t>lleldín, Boragni y Cotoras, es decir, dos años de</w:t>
      </w:r>
      <w:r>
        <w:t>s</w:t>
      </w:r>
      <w:r>
        <w:t>pués de sus primeras deposiciones y, valga recordarlo, en forma inmediata de concretado el pago ilegal al primero de ellos. Así, mientras Telleldín y Boragni, al referirse a lo sucedido aquél día, omitieron toda referencia a la pr</w:t>
      </w:r>
      <w:r>
        <w:t>e</w:t>
      </w:r>
      <w:r>
        <w:t>sencia de Cotoras en el lugar, este ú</w:t>
      </w:r>
      <w:r>
        <w:t>l</w:t>
      </w:r>
      <w:r>
        <w:t>timo afirmaba –su-cesivamente en indagatorias y testimoniales– que a Telle</w:t>
      </w:r>
      <w:r>
        <w:t>l</w:t>
      </w:r>
      <w:r>
        <w:t>dín no lo había visto desde que colaborara en la extra</w:t>
      </w:r>
      <w:r>
        <w:t>c</w:t>
      </w:r>
      <w:r>
        <w:t>ción del motor (fines de junio o principios de julio de 1994) hasta que fuera detenido (27 de julio de ese año).</w:t>
      </w:r>
    </w:p>
    <w:p w:rsidR="00224567" w:rsidRDefault="00224567">
      <w:pPr>
        <w:widowControl w:val="0"/>
      </w:pPr>
      <w:r>
        <w:tab/>
        <w:t>El temor expuesto por los mencionados para tan relevante omisión, no resulta creíble frente al contenido del video del 1º de julio de 1996 que da cuenta de la reunión entre Telleldín y el juez Galeano, el pago que se le efectuara el día 5 de ese mes, y la denuncia formulada por Telleldín en la que señalara como un agreg</w:t>
      </w:r>
      <w:r>
        <w:t>a</w:t>
      </w:r>
      <w:r>
        <w:t>do del juez el párrafo referido al encuentro con Cot</w:t>
      </w:r>
      <w:r>
        <w:t>o</w:t>
      </w:r>
      <w:r>
        <w:t>ras.</w:t>
      </w:r>
    </w:p>
    <w:p w:rsidR="00224567" w:rsidRDefault="00224567">
      <w:pPr>
        <w:widowControl w:val="0"/>
      </w:pPr>
      <w:r>
        <w:tab/>
        <w:t>En la aludida entrevista filmada, se puede advertir que Telle</w:t>
      </w:r>
      <w:r>
        <w:t>l</w:t>
      </w:r>
      <w:r>
        <w:t>dín luego de anunciar que traería a unos testigos a quienes debía convencer para que decl</w:t>
      </w:r>
      <w:r>
        <w:t>a</w:t>
      </w:r>
      <w:r>
        <w:t>ren, presentó a C</w:t>
      </w:r>
      <w:r>
        <w:t>o</w:t>
      </w:r>
      <w:r>
        <w:t>toras –aunque sin dar el nombre– como el testigo que estuvo presente en el l</w:t>
      </w:r>
      <w:r>
        <w:t>u</w:t>
      </w:r>
      <w:r>
        <w:t>gar.</w:t>
      </w:r>
    </w:p>
    <w:p w:rsidR="00224567" w:rsidRDefault="00224567">
      <w:pPr>
        <w:widowControl w:val="0"/>
      </w:pPr>
      <w:r>
        <w:tab/>
        <w:t>Estos son algunos de los párrafos que se pueden destacar referidos al tema en cue</w:t>
      </w:r>
      <w:r>
        <w:t>s</w:t>
      </w:r>
      <w:r>
        <w:t>tión:</w:t>
      </w:r>
    </w:p>
    <w:p w:rsidR="00224567" w:rsidRDefault="00224567">
      <w:pPr>
        <w:widowControl w:val="0"/>
        <w:numPr>
          <w:ilvl w:val="0"/>
          <w:numId w:val="7"/>
        </w:numPr>
      </w:pPr>
      <w:r>
        <w:t>- Telleldín</w:t>
      </w:r>
      <w:r>
        <w:rPr>
          <w:b/>
          <w:bCs/>
        </w:rPr>
        <w:t>:</w:t>
      </w:r>
      <w:r>
        <w:t xml:space="preserve"> “...  faltan cositas, pi, pi, cosita c</w:t>
      </w:r>
      <w:r>
        <w:t>o</w:t>
      </w:r>
      <w:r>
        <w:t>mo ser el día que yo entrego la camioneta, que esto no se lo dije yo, pero que hay un testigo fundame</w:t>
      </w:r>
      <w:r>
        <w:t>n</w:t>
      </w:r>
      <w:r>
        <w:t xml:space="preserve">tal de la causa, que es lo que me pide </w:t>
      </w:r>
      <w:smartTag w:uri="urn:schemas-microsoft-com:office:smarttags" w:element="PersonName">
        <w:smartTagPr>
          <w:attr w:name="ProductID" w:val="la C￡mara"/>
        </w:smartTagPr>
        <w:r>
          <w:t>la Cámara</w:t>
        </w:r>
      </w:smartTag>
      <w:r>
        <w:t>, que es un testigo que justo me vienen a cobrar un dinero y estaba la policía, conmigo, justo afuera en mi casa, le dije mira, que estoy apretado, toma este teléfono llamálo a Barreda, decile que con un tal Pino (I) problema, y le doy un papelito que el tipo hasta hoy tiene el papelito en su poder. ... !No anotes!, !no anotes!, porque esto, no an</w:t>
      </w:r>
      <w:r>
        <w:t>o</w:t>
      </w:r>
      <w:r>
        <w:t>tes, !para!, no lo van a encontrar, a parte lo van a vo</w:t>
      </w:r>
      <w:r>
        <w:t>l</w:t>
      </w:r>
      <w:r>
        <w:t>tear al tipo, lo van a mo</w:t>
      </w:r>
      <w:r>
        <w:softHyphen/>
        <w:t>ver y el tipo te va a decir a muerte que no sabe nada; ..., entendés, lo tengo que convencer a que d</w:t>
      </w:r>
      <w:r>
        <w:t>e</w:t>
      </w:r>
      <w:r>
        <w:t>clare la verdad y que tra</w:t>
      </w:r>
      <w:r>
        <w:t>i</w:t>
      </w:r>
      <w:r>
        <w:t>ga el papelito que le di en ese momento y toda la historia, es así, ustedes se ríen, pero ... lo único que van a hacer, es cons</w:t>
      </w:r>
      <w:r>
        <w:t>e</w:t>
      </w:r>
      <w:r>
        <w:t>guir que el ti</w:t>
      </w:r>
      <w:r>
        <w:softHyphen/>
        <w:t>po tenga más miedo, aparte que no lo van a encontrar, porque no es ninguna de esta gente que u</w:t>
      </w:r>
      <w:r>
        <w:t>s</w:t>
      </w:r>
      <w:r>
        <w:t>ted tiene ... un tipo que vino a cobrar un dinero justo y yo le dije, mira pibe tengo un problema con la p</w:t>
      </w:r>
      <w:r>
        <w:t>o</w:t>
      </w:r>
      <w:r>
        <w:t>licía, ... voy a ver si transo por</w:t>
      </w:r>
      <w:r>
        <w:softHyphen/>
        <w:t>que tengo auto tr</w:t>
      </w:r>
      <w:r>
        <w:t>u</w:t>
      </w:r>
      <w:r>
        <w:t>cho adentro, así que no entres a mi casa, quédate afuera”. ...</w:t>
      </w:r>
    </w:p>
    <w:p w:rsidR="00224567" w:rsidRDefault="00224567">
      <w:pPr>
        <w:widowControl w:val="0"/>
        <w:numPr>
          <w:ilvl w:val="0"/>
          <w:numId w:val="7"/>
        </w:numPr>
      </w:pPr>
      <w:r>
        <w:t xml:space="preserve">  ...</w:t>
      </w:r>
    </w:p>
    <w:p w:rsidR="00224567" w:rsidRDefault="00224567">
      <w:pPr>
        <w:widowControl w:val="0"/>
        <w:numPr>
          <w:ilvl w:val="0"/>
          <w:numId w:val="7"/>
        </w:numPr>
      </w:pPr>
      <w:r>
        <w:t>- Telleldín</w:t>
      </w:r>
      <w:r>
        <w:rPr>
          <w:b/>
          <w:bCs/>
        </w:rPr>
        <w:t>:</w:t>
      </w:r>
      <w:r>
        <w:t xml:space="preserve"> ... tengo un testigo del día que estuvo ahí... me  vino a cobrar y que estaba atrás de la c</w:t>
      </w:r>
      <w:r>
        <w:t>a</w:t>
      </w:r>
      <w:r>
        <w:t>mioneta mía que tengo que conve</w:t>
      </w:r>
      <w:r>
        <w:t>n</w:t>
      </w:r>
      <w:r>
        <w:t>cerlo.</w:t>
      </w:r>
    </w:p>
    <w:p w:rsidR="00224567" w:rsidRDefault="00224567">
      <w:pPr>
        <w:widowControl w:val="0"/>
        <w:numPr>
          <w:ilvl w:val="0"/>
          <w:numId w:val="7"/>
        </w:numPr>
      </w:pPr>
      <w:r>
        <w:t>- De Gamas: ¿Usted vio todos los movimie</w:t>
      </w:r>
      <w:r>
        <w:t>n</w:t>
      </w:r>
      <w:r>
        <w:t xml:space="preserve">tos?...  </w:t>
      </w:r>
    </w:p>
    <w:p w:rsidR="00224567" w:rsidRDefault="00224567">
      <w:pPr>
        <w:widowControl w:val="0"/>
        <w:numPr>
          <w:ilvl w:val="0"/>
          <w:numId w:val="7"/>
        </w:numPr>
      </w:pPr>
      <w:r>
        <w:t>- Telleldín: Le di un papelito para que llame a B</w:t>
      </w:r>
      <w:r>
        <w:t>a</w:t>
      </w:r>
      <w:r>
        <w:t xml:space="preserve">rreda, porque tenía </w:t>
      </w:r>
      <w:smartTag w:uri="urn:schemas-microsoft-com:office:smarttags" w:element="PersonName">
        <w:smartTagPr>
          <w:attr w:name="ProductID" w:val="la Brigada"/>
        </w:smartTagPr>
        <w:r>
          <w:t>la Brigada</w:t>
        </w:r>
      </w:smartTag>
      <w:r>
        <w:t xml:space="preserve"> de Investigaciones, le dije, le dije, mirá que tengo una Brigada, y e</w:t>
      </w:r>
      <w:r>
        <w:t>s</w:t>
      </w:r>
      <w:r>
        <w:t>te me dijo Pino, a mi no me dijo que era Leal, yo nunca s</w:t>
      </w:r>
      <w:r>
        <w:t>u</w:t>
      </w:r>
      <w:r>
        <w:t>pe que era Leal</w:t>
      </w:r>
    </w:p>
    <w:p w:rsidR="00224567" w:rsidRDefault="00224567">
      <w:pPr>
        <w:widowControl w:val="0"/>
        <w:numPr>
          <w:ilvl w:val="0"/>
          <w:numId w:val="7"/>
        </w:numPr>
      </w:pPr>
      <w:r>
        <w:t>- Galeano</w:t>
      </w:r>
      <w:r>
        <w:rPr>
          <w:b/>
          <w:bCs/>
        </w:rPr>
        <w:t>:</w:t>
      </w:r>
      <w:r>
        <w:t>¿Era el movicom de Barreda?</w:t>
      </w:r>
    </w:p>
    <w:p w:rsidR="00224567" w:rsidRDefault="00224567">
      <w:pPr>
        <w:widowControl w:val="0"/>
        <w:numPr>
          <w:ilvl w:val="0"/>
          <w:numId w:val="7"/>
        </w:numPr>
      </w:pPr>
      <w:r>
        <w:t>- Telleldín</w:t>
      </w:r>
      <w:r>
        <w:rPr>
          <w:b/>
          <w:bCs/>
        </w:rPr>
        <w:t>:</w:t>
      </w:r>
      <w:r>
        <w:t xml:space="preserve"> Le di, No ... de la casa particular de Barreda.. le dí un papelito, le dije llama a Barreda urgente, que se empiece a conectar, porque creo que vamos todos presos, yo no pensé que él ... (superp</w:t>
      </w:r>
      <w:r>
        <w:t>o</w:t>
      </w:r>
      <w:r>
        <w:t>sición de voces).</w:t>
      </w:r>
    </w:p>
    <w:p w:rsidR="00224567" w:rsidRDefault="00224567">
      <w:pPr>
        <w:widowControl w:val="0"/>
        <w:numPr>
          <w:ilvl w:val="0"/>
          <w:numId w:val="7"/>
        </w:numPr>
      </w:pPr>
      <w:r>
        <w:t>- De Gamas: ¿A qué hora fue él...?</w:t>
      </w:r>
    </w:p>
    <w:p w:rsidR="00224567" w:rsidRDefault="00224567">
      <w:pPr>
        <w:widowControl w:val="0"/>
        <w:numPr>
          <w:ilvl w:val="0"/>
          <w:numId w:val="7"/>
        </w:numPr>
      </w:pPr>
      <w:r>
        <w:t>- Telleldín</w:t>
      </w:r>
      <w:r>
        <w:rPr>
          <w:b/>
          <w:bCs/>
        </w:rPr>
        <w:t>:</w:t>
      </w:r>
      <w:r>
        <w:t xml:space="preserve"> Dos, dos de la tarde, dos y pico. Este tipo, entonces le dije, vos quédate afuera y que p</w:t>
      </w:r>
      <w:r>
        <w:t>a</w:t>
      </w:r>
      <w:r>
        <w:t>reciera como que era comprador de la camioneta, po</w:t>
      </w:r>
      <w:r>
        <w:t>r</w:t>
      </w:r>
      <w:r>
        <w:t>que yo la tenía publicada, entonces al pol</w:t>
      </w:r>
      <w:r>
        <w:t>i</w:t>
      </w:r>
      <w:r>
        <w:t>cía yo le dije era un comprador, no le dije que era una persona c</w:t>
      </w:r>
      <w:r>
        <w:t>o</w:t>
      </w:r>
      <w:r>
        <w:t xml:space="preserve">nocida ... </w:t>
      </w:r>
    </w:p>
    <w:p w:rsidR="00224567" w:rsidRDefault="00224567">
      <w:pPr>
        <w:pStyle w:val="Sangradetextonormal"/>
        <w:widowControl w:val="0"/>
        <w:ind w:left="360" w:firstLine="0"/>
      </w:pPr>
      <w:r>
        <w:t xml:space="preserve">  ...</w:t>
      </w:r>
    </w:p>
    <w:p w:rsidR="00224567" w:rsidRDefault="00224567">
      <w:pPr>
        <w:widowControl w:val="0"/>
        <w:numPr>
          <w:ilvl w:val="0"/>
          <w:numId w:val="7"/>
        </w:numPr>
      </w:pPr>
      <w:r>
        <w:t>- De Gamas: Si ves la cara de todos, ¿los rec</w:t>
      </w:r>
      <w:r>
        <w:t>o</w:t>
      </w:r>
      <w:r>
        <w:t>noces?</w:t>
      </w:r>
    </w:p>
    <w:p w:rsidR="00224567" w:rsidRDefault="00224567">
      <w:pPr>
        <w:widowControl w:val="0"/>
        <w:numPr>
          <w:ilvl w:val="0"/>
          <w:numId w:val="7"/>
        </w:numPr>
      </w:pPr>
      <w:r>
        <w:t>- Telleldín: No, a Ramón Martínez nada más, porque los otros estaban en la esquina, a la vuelta. Ento</w:t>
      </w:r>
      <w:r>
        <w:t>n</w:t>
      </w:r>
      <w:r>
        <w:t>ces yo le hice un papel al pibe, le digo le voy a d</w:t>
      </w:r>
      <w:r>
        <w:t>e</w:t>
      </w:r>
      <w:r>
        <w:t>cir que esta vendida la camioneta todo, cuando volv</w:t>
      </w:r>
      <w:r>
        <w:t>i</w:t>
      </w:r>
      <w:r>
        <w:t>mos est</w:t>
      </w:r>
      <w:r>
        <w:t>a</w:t>
      </w:r>
      <w:r>
        <w:t>ba el pibe ahí; le dije, no entres a mi casa porque va ser allanada se va a armar y vas a quedar preso, le digo te doy este teléfono, llamá acá y d</w:t>
      </w:r>
      <w:r>
        <w:t>e</w:t>
      </w:r>
      <w:r>
        <w:t>cíle que tengo un problema y que el que está a ca</w:t>
      </w:r>
      <w:r>
        <w:t>r</w:t>
      </w:r>
      <w:r>
        <w:t>go del procedimiento se llama Pino, para mí Pino es el apellido, para mí. Me enteré de</w:t>
      </w:r>
      <w:r>
        <w:t>s</w:t>
      </w:r>
      <w:r>
        <w:t>pués por Página 12 de que... y ese papel lo tiene guard</w:t>
      </w:r>
      <w:r>
        <w:t>a</w:t>
      </w:r>
      <w:r>
        <w:t>do, y la persona la te</w:t>
      </w:r>
      <w:r>
        <w:t>n</w:t>
      </w:r>
      <w:r>
        <w:t xml:space="preserve">go, no tiene antecedentes, </w:t>
      </w:r>
      <w:r>
        <w:softHyphen/>
        <w:t>no tiene problemas, no es conocido vino de pedo me la mandó Dios como e</w:t>
      </w:r>
      <w:r>
        <w:t>s</w:t>
      </w:r>
      <w:r>
        <w:t>tos tres paraguayos, o sea que ahí tenemos para demo</w:t>
      </w:r>
      <w:r>
        <w:t>s</w:t>
      </w:r>
      <w:r>
        <w:t>trar, usted tiene el cierre totalmente del apriete ese día ...</w:t>
      </w:r>
    </w:p>
    <w:p w:rsidR="00224567" w:rsidRDefault="00224567">
      <w:pPr>
        <w:widowControl w:val="0"/>
      </w:pPr>
      <w:r>
        <w:tab/>
        <w:t>La elocuencia de los párrafos prec</w:t>
      </w:r>
      <w:r>
        <w:t>e</w:t>
      </w:r>
      <w:r>
        <w:t>dentes eximiría de mayores valoraciones. No obstante, la gravedad de la situación impone advertir que se trasluce una negociación entre el magistrado y el s</w:t>
      </w:r>
      <w:r>
        <w:t>e</w:t>
      </w:r>
      <w:r>
        <w:t>cretario con el imputado acerca del contenido de su declaración y de la concurrencia del te</w:t>
      </w:r>
      <w:r>
        <w:t>s</w:t>
      </w:r>
      <w:r>
        <w:t>tigo en cuestión.</w:t>
      </w:r>
    </w:p>
    <w:p w:rsidR="00224567" w:rsidRDefault="00224567">
      <w:pPr>
        <w:widowControl w:val="0"/>
      </w:pPr>
      <w:r>
        <w:tab/>
        <w:t>Por otra parte, de lo expuesto y del necesario “convencimiento” previo de Telleldín, se c</w:t>
      </w:r>
      <w:r>
        <w:t>o</w:t>
      </w:r>
      <w:r>
        <w:t>lige que la declaración que prestaría Cotoras era parte de lo negociado entre el imputado y el juez instructor, es d</w:t>
      </w:r>
      <w:r>
        <w:t>e</w:t>
      </w:r>
      <w:r>
        <w:t>cir, carente de la espontaneidad pr</w:t>
      </w:r>
      <w:r>
        <w:t>e</w:t>
      </w:r>
      <w:r>
        <w:t>tendida.</w:t>
      </w:r>
    </w:p>
    <w:p w:rsidR="00224567" w:rsidRDefault="00224567">
      <w:pPr>
        <w:widowControl w:val="0"/>
      </w:pPr>
      <w:r>
        <w:tab/>
        <w:t>Adviértase, que la declaración test</w:t>
      </w:r>
      <w:r>
        <w:t>i</w:t>
      </w:r>
      <w:r>
        <w:t>monial de Cotoras donde alude al encuentro con Carlos T</w:t>
      </w:r>
      <w:r>
        <w:t>e</w:t>
      </w:r>
      <w:r>
        <w:t>lleldín, fue prestada el 10 de julio de 1996, cinco días después de la delictiva indagatoria de éste, y en forma absolut</w:t>
      </w:r>
      <w:r>
        <w:t>a</w:t>
      </w:r>
      <w:r>
        <w:t>mente conteste con esa pieza.</w:t>
      </w:r>
    </w:p>
    <w:p w:rsidR="00224567" w:rsidRDefault="00224567">
      <w:pPr>
        <w:widowControl w:val="0"/>
      </w:pPr>
      <w:r>
        <w:tab/>
        <w:t>Todo ello, de acuerdo a los lineamie</w:t>
      </w:r>
      <w:r>
        <w:t>n</w:t>
      </w:r>
      <w:r>
        <w:t>tos esbozados en la fi</w:t>
      </w:r>
      <w:r>
        <w:t>l</w:t>
      </w:r>
      <w:r>
        <w:t>mación de diez días antes.</w:t>
      </w:r>
    </w:p>
    <w:p w:rsidR="00224567" w:rsidRDefault="00224567">
      <w:pPr>
        <w:widowControl w:val="0"/>
      </w:pPr>
      <w:r>
        <w:tab/>
        <w:t>A lo expuesto debe sumarse, para val</w:t>
      </w:r>
      <w:r>
        <w:t>o</w:t>
      </w:r>
      <w:r>
        <w:t>rar sus dichos, y más allá de la irregularidad detallada en otro lugar de este pronunciamiento, que Cot</w:t>
      </w:r>
      <w:r>
        <w:t>o</w:t>
      </w:r>
      <w:r>
        <w:t>ras prestó declaración testim</w:t>
      </w:r>
      <w:r>
        <w:t>o</w:t>
      </w:r>
      <w:r>
        <w:t>nial estando imputado.</w:t>
      </w:r>
    </w:p>
    <w:p w:rsidR="00224567" w:rsidRDefault="00224567">
      <w:pPr>
        <w:widowControl w:val="0"/>
      </w:pPr>
      <w:r>
        <w:tab/>
        <w:t>La pretendida justificación de tal proceder basada en la supuesta autonomía de dos causas distintas, la 1156 (causa A.M.I.A.) y la 1598 (causa Br</w:t>
      </w:r>
      <w:r>
        <w:t>i</w:t>
      </w:r>
      <w:r>
        <w:t>gadas), como se dijo, no puede resultar exitosa. Nótese que Cotoras es imputado y aún reviste dicha condición, c</w:t>
      </w:r>
      <w:r>
        <w:t>o</w:t>
      </w:r>
      <w:r>
        <w:t xml:space="preserve">mo partícipe del atentado a la sede de </w:t>
      </w:r>
      <w:smartTag w:uri="urn:schemas-microsoft-com:office:smarttags" w:element="PersonName">
        <w:smartTagPr>
          <w:attr w:name="ProductID" w:val="la A.M"/>
        </w:smartTagPr>
        <w:r>
          <w:t>la A.M</w:t>
        </w:r>
      </w:smartTag>
      <w:r>
        <w:t>.I.A. y se lo interroga test</w:t>
      </w:r>
      <w:r>
        <w:t>i</w:t>
      </w:r>
      <w:r>
        <w:t>monialmente sobre ese mismo tema.</w:t>
      </w:r>
    </w:p>
    <w:p w:rsidR="00224567" w:rsidRDefault="00224567">
      <w:pPr>
        <w:widowControl w:val="0"/>
      </w:pPr>
      <w:r>
        <w:tab/>
        <w:t>Se podrá decir que en realidad la pa</w:t>
      </w:r>
      <w:r>
        <w:t>r</w:t>
      </w:r>
      <w:r>
        <w:t>ticipación imputada consistiría en el armado de la cami</w:t>
      </w:r>
      <w:r>
        <w:t>o</w:t>
      </w:r>
      <w:r>
        <w:t>neta Trafic y que en la declaración jurada, en cambio, se le preguntó por la entrega de ese vehículo. Sin embargo, tolerar dicho proceder, sería algo así c</w:t>
      </w:r>
      <w:r>
        <w:t>o</w:t>
      </w:r>
      <w:r>
        <w:t>mo permitir que a un imputado por la sustracción de un objeto se lo pudiera interrogar testimonialmente por su encubrimie</w:t>
      </w:r>
      <w:r>
        <w:t>n</w:t>
      </w:r>
      <w:r>
        <w:t>to.</w:t>
      </w:r>
    </w:p>
    <w:p w:rsidR="00224567" w:rsidRDefault="00224567">
      <w:pPr>
        <w:widowControl w:val="0"/>
      </w:pPr>
      <w:r>
        <w:tab/>
        <w:t>Por todo ello, se advierte claramente que la incorporación por Cotoras del teórico encuentro mantenido con Telleldín el 10 de julio de 1994, se debió al cumplimiento de la negociación entablada con el magi</w:t>
      </w:r>
      <w:r>
        <w:t>s</w:t>
      </w:r>
      <w:r>
        <w:t>trado instructor. Por esa misma razón debe rechazarse el temor alegado por Cotoras en esa declaración testimonial como razón del ocu</w:t>
      </w:r>
      <w:r>
        <w:t>l</w:t>
      </w:r>
      <w:r>
        <w:t>tamiento previo de ese encuentro.</w:t>
      </w:r>
    </w:p>
    <w:p w:rsidR="00224567" w:rsidRDefault="00224567">
      <w:pPr>
        <w:widowControl w:val="0"/>
      </w:pPr>
      <w:r>
        <w:tab/>
        <w:t>Es en este contexto que debe ser an</w:t>
      </w:r>
      <w:r>
        <w:t>a</w:t>
      </w:r>
      <w:r>
        <w:t>lizado el cambio de versión de Cotoras, en punto a la existencia del encuentro en análisis, reflejado en la d</w:t>
      </w:r>
      <w:r>
        <w:t>e</w:t>
      </w:r>
      <w:r>
        <w:t>clar</w:t>
      </w:r>
      <w:r>
        <w:t>a</w:t>
      </w:r>
      <w:r>
        <w:t>ción testimonial de julio de 1996.</w:t>
      </w:r>
    </w:p>
    <w:p w:rsidR="00224567" w:rsidRDefault="00224567">
      <w:pPr>
        <w:widowControl w:val="0"/>
      </w:pPr>
      <w:r>
        <w:tab/>
        <w:t>Pero más allá de las observaciones e</w:t>
      </w:r>
      <w:r>
        <w:t>x</w:t>
      </w:r>
      <w:r>
        <w:t>puestas, que enmarcan la declaración de Cotoras, debe s</w:t>
      </w:r>
      <w:r>
        <w:t>e</w:t>
      </w:r>
      <w:r>
        <w:t>ñalarse que las circunstancias allí incluidas respe</w:t>
      </w:r>
      <w:r>
        <w:t>c</w:t>
      </w:r>
      <w:r>
        <w:t>to al e</w:t>
      </w:r>
      <w:r>
        <w:t>n</w:t>
      </w:r>
      <w:r>
        <w:t>cuentro con Telleldín resultan contrarias a la lógica y la experiencia, elementos éstos de la sana crítica. Como se verá, las insalvables inconsecuencias de esta versión se advierten no sólo a partir del análisis separado de e</w:t>
      </w:r>
      <w:r>
        <w:t>s</w:t>
      </w:r>
      <w:r>
        <w:t>ta pieza, sino que aún se profund</w:t>
      </w:r>
      <w:r>
        <w:t>i</w:t>
      </w:r>
      <w:r>
        <w:t>zan al contrastarla con los dichos de Telle</w:t>
      </w:r>
      <w:r>
        <w:t>l</w:t>
      </w:r>
      <w:r>
        <w:t>dín.</w:t>
      </w:r>
    </w:p>
    <w:p w:rsidR="00224567" w:rsidRDefault="00224567">
      <w:pPr>
        <w:widowControl w:val="0"/>
      </w:pPr>
      <w:r>
        <w:tab/>
        <w:t>Estas contradicciones ya se advierten respecto al preciso instante, dentro del marco de aquel encuentro, en que Telle</w:t>
      </w:r>
      <w:r>
        <w:t>l</w:t>
      </w:r>
      <w:r>
        <w:t>dín le indicara a Cotoras que era “Pino” quien lo apretaba. Carlos Telleldín dijo que lo h</w:t>
      </w:r>
      <w:r>
        <w:t>i</w:t>
      </w:r>
      <w:r>
        <w:t>zo luego de dar la vuelta con la camioneta en compañía del extorsionador. Por su parte, Cotoras señaló que estaba c</w:t>
      </w:r>
      <w:r>
        <w:t>a</w:t>
      </w:r>
      <w:r>
        <w:t>si seguro que ese comentario se lo efectuó Carlos antes de dar la vuelta, pero también sostuvo que era posible que hubiera sido a la noche cuando Telleldín y Ana concurri</w:t>
      </w:r>
      <w:r>
        <w:t>e</w:t>
      </w:r>
      <w:r>
        <w:t>ron a su dom</w:t>
      </w:r>
      <w:r>
        <w:t>i</w:t>
      </w:r>
      <w:r>
        <w:t>cilio.</w:t>
      </w:r>
    </w:p>
    <w:p w:rsidR="00224567" w:rsidRDefault="00224567">
      <w:pPr>
        <w:widowControl w:val="0"/>
      </w:pPr>
      <w:r>
        <w:tab/>
        <w:t>La versión de Telleldín sobre este a</w:t>
      </w:r>
      <w:r>
        <w:t>s</w:t>
      </w:r>
      <w:r>
        <w:t>pecto resulta incompatible con la brindada por Cotoras t</w:t>
      </w:r>
      <w:r>
        <w:t>o</w:t>
      </w:r>
      <w:r>
        <w:t>da vez que éste explicó que no llegó a ver el estacion</w:t>
      </w:r>
      <w:r>
        <w:t>a</w:t>
      </w:r>
      <w:r>
        <w:t xml:space="preserve">miento de </w:t>
      </w:r>
      <w:smartTag w:uri="urn:schemas-microsoft-com:office:smarttags" w:element="PersonName">
        <w:smartTagPr>
          <w:attr w:name="ProductID" w:val="la Trafic"/>
        </w:smartTagPr>
        <w:r>
          <w:t>la Trafic</w:t>
        </w:r>
      </w:smartTag>
      <w:r>
        <w:t xml:space="preserve"> y el descenso de sus ocupa</w:t>
      </w:r>
      <w:r>
        <w:t>n</w:t>
      </w:r>
      <w:r>
        <w:t>tes porque ya había partido al encuentro de Eduardo Telleldín. En otras palabras, para cuando Telleldín sostuvo que se e</w:t>
      </w:r>
      <w:r>
        <w:t>n</w:t>
      </w:r>
      <w:r>
        <w:t>contró con Cotoras, éste negó haber permanecido en el l</w:t>
      </w:r>
      <w:r>
        <w:t>u</w:t>
      </w:r>
      <w:r>
        <w:t>gar, por lo que, claro está, no podía haber mantenido co</w:t>
      </w:r>
      <w:r>
        <w:t>n</w:t>
      </w:r>
      <w:r>
        <w:t>versación alguna con T</w:t>
      </w:r>
      <w:r>
        <w:t>e</w:t>
      </w:r>
      <w:r>
        <w:t>lleldín.</w:t>
      </w:r>
    </w:p>
    <w:p w:rsidR="00224567" w:rsidRDefault="00224567">
      <w:pPr>
        <w:widowControl w:val="0"/>
      </w:pPr>
      <w:r>
        <w:tab/>
        <w:t>Por su parte, la primera hipótesis sostenida por Cot</w:t>
      </w:r>
      <w:r>
        <w:t>o</w:t>
      </w:r>
      <w:r>
        <w:t>ras, en cuanto a que Telleldín le habría transmit</w:t>
      </w:r>
      <w:r>
        <w:t>i</w:t>
      </w:r>
      <w:r>
        <w:t>do antes de dar la vuelta que “Pino” lo apretaba, difiere sustancialmente con la versión de Telleldín. En efecto, recuérdese que este último afirmó que recién al dar la vuelta a bordo de la camioneta se le presentó la persona que se identificara como el oficial “Pino”. En consecuencia, mal le p</w:t>
      </w:r>
      <w:r>
        <w:t>o</w:t>
      </w:r>
      <w:r>
        <w:t>dría haber transmitido dicho dato a Cotoras, cuando tod</w:t>
      </w:r>
      <w:r>
        <w:t>a</w:t>
      </w:r>
      <w:r>
        <w:t>vía no había sucedido.</w:t>
      </w:r>
    </w:p>
    <w:p w:rsidR="00224567" w:rsidRDefault="00224567">
      <w:pPr>
        <w:widowControl w:val="0"/>
      </w:pPr>
      <w:r>
        <w:tab/>
        <w:t>También la segunda hipótesis manejada por Cotoras resulta incompatible con los dichos de Ca</w:t>
      </w:r>
      <w:r>
        <w:t>r</w:t>
      </w:r>
      <w:r>
        <w:t>los Telleldín, porque mientras el primero manifestó que Bora</w:t>
      </w:r>
      <w:r>
        <w:t>g</w:t>
      </w:r>
      <w:r>
        <w:t>ni y Telleldín fu</w:t>
      </w:r>
      <w:r>
        <w:t>e</w:t>
      </w:r>
      <w:r>
        <w:t>ron a su casa el 10 de julio de 1994 por la noche, este último sostuvo que esa noche fue a la casa de Diego Barreda. A ello debe agregarse que Eduardo T</w:t>
      </w:r>
      <w:r>
        <w:t>e</w:t>
      </w:r>
      <w:r>
        <w:t>lleldín sostuvo que su hermano Carlos y Ana Boragni est</w:t>
      </w:r>
      <w:r>
        <w:t>u</w:t>
      </w:r>
      <w:r>
        <w:t>vieron en su domicilio ese día a las 19, circunstancia é</w:t>
      </w:r>
      <w:r>
        <w:t>s</w:t>
      </w:r>
      <w:r>
        <w:t>ta que no fuera afirmada por ninguno de é</w:t>
      </w:r>
      <w:r>
        <w:t>s</w:t>
      </w:r>
      <w:r>
        <w:t>tos.</w:t>
      </w:r>
    </w:p>
    <w:p w:rsidR="00224567" w:rsidRDefault="00224567">
      <w:pPr>
        <w:widowControl w:val="0"/>
      </w:pPr>
      <w:r>
        <w:tab/>
        <w:t>En otro pasaje de su relato –la entr</w:t>
      </w:r>
      <w:r>
        <w:t>e</w:t>
      </w:r>
      <w:r>
        <w:t>ga por parte de Telleldín a Cotoras de un papel con el t</w:t>
      </w:r>
      <w:r>
        <w:t>e</w:t>
      </w:r>
      <w:r>
        <w:t>léfono de Barreda– nuevamente se advierte la presencia de circunsta</w:t>
      </w:r>
      <w:r>
        <w:t>n</w:t>
      </w:r>
      <w:r>
        <w:t>cias que resultan poco creíbles.</w:t>
      </w:r>
    </w:p>
    <w:p w:rsidR="00224567" w:rsidRDefault="00224567">
      <w:pPr>
        <w:widowControl w:val="0"/>
      </w:pPr>
      <w:r>
        <w:tab/>
        <w:t>Si bien Telleldín y Cotoras coincidi</w:t>
      </w:r>
      <w:r>
        <w:t>e</w:t>
      </w:r>
      <w:r>
        <w:t>ron en dicho traspaso, difieren en cuanto al momento en que se llevó a cabo. Tal discrepancia temporal es la ya referida cuando se trató el momento en que Telleldín le informara a Cotoras que era “Pino” quien lo apret</w:t>
      </w:r>
      <w:r>
        <w:t>a</w:t>
      </w:r>
      <w:r>
        <w:t>ra.</w:t>
      </w:r>
    </w:p>
    <w:p w:rsidR="00224567" w:rsidRDefault="00224567">
      <w:pPr>
        <w:widowControl w:val="0"/>
      </w:pPr>
      <w:r>
        <w:tab/>
        <w:t>Pero más allá de esta discrepancia, resulta sorprendente el margen de libertad con el que, s</w:t>
      </w:r>
      <w:r>
        <w:t>e</w:t>
      </w:r>
      <w:r>
        <w:t>gún la versión de Telleldín y Cotoras, actuaran éstos en el marco de un proceso extorsivo. En ese contexto es a</w:t>
      </w:r>
      <w:r>
        <w:t>b</w:t>
      </w:r>
      <w:r>
        <w:t>surdo no sólo que haya podido entablar una conversación el extorsionado con un tercero, sino que incluso tuviera el tiempo suficiente como para escribirle el teléfono de B</w:t>
      </w:r>
      <w:r>
        <w:t>a</w:t>
      </w:r>
      <w:r>
        <w:t>rreda y entregárselo. Basta reparar en el riesgo que ese proceder implicaba a los extorsionadores, para sostener que resulta ilógico que toleraran esa comunic</w:t>
      </w:r>
      <w:r>
        <w:t>a</w:t>
      </w:r>
      <w:r>
        <w:t xml:space="preserve">ción. </w:t>
      </w:r>
    </w:p>
    <w:p w:rsidR="00224567" w:rsidRDefault="00224567">
      <w:pPr>
        <w:widowControl w:val="0"/>
      </w:pPr>
      <w:r>
        <w:tab/>
        <w:t>Aquí no se agotan las afirmaciones contradictorias, ilógicas e incoherentes sobre lo suc</w:t>
      </w:r>
      <w:r>
        <w:t>e</w:t>
      </w:r>
      <w:r>
        <w:t>dido aquel 10 de julio de 1994 en el encuentro entre Telleldín y Cot</w:t>
      </w:r>
      <w:r>
        <w:t>o</w:t>
      </w:r>
      <w:r>
        <w:t>ras.</w:t>
      </w:r>
    </w:p>
    <w:p w:rsidR="00224567" w:rsidRDefault="00224567">
      <w:pPr>
        <w:widowControl w:val="0"/>
      </w:pPr>
      <w:r>
        <w:tab/>
        <w:t>Como se dijo, Telleldín sostuvo que le encomendó a Cotoras que le comunicara a Barreda que lo e</w:t>
      </w:r>
      <w:r>
        <w:t>s</w:t>
      </w:r>
      <w:r>
        <w:t>taba extorsionando una brigada al mando del oficial “Pino”. Cotoras, en cambio, sostuvo que le pidió que se com</w:t>
      </w:r>
      <w:r>
        <w:t>u</w:t>
      </w:r>
      <w:r>
        <w:t>nicara con Eduardo para que éste a su vez le avisara a B</w:t>
      </w:r>
      <w:r>
        <w:t>a</w:t>
      </w:r>
      <w:r>
        <w:t>rreda que “Pino” lo estaba “apretando”.</w:t>
      </w:r>
    </w:p>
    <w:p w:rsidR="00224567" w:rsidRDefault="00224567">
      <w:pPr>
        <w:widowControl w:val="0"/>
      </w:pPr>
      <w:r>
        <w:tab/>
        <w:t>Se advierte entonces que en la cadena de llamados que le encomendara Telleldín en la ocasión, Cotoras incorpora a Eduardo Telle</w:t>
      </w:r>
      <w:r>
        <w:t>l</w:t>
      </w:r>
      <w:r>
        <w:t>dín.</w:t>
      </w:r>
    </w:p>
    <w:p w:rsidR="00224567" w:rsidRDefault="00224567">
      <w:pPr>
        <w:widowControl w:val="0"/>
      </w:pPr>
      <w:r>
        <w:tab/>
        <w:t>Todo el relato con relación a este p</w:t>
      </w:r>
      <w:r>
        <w:t>e</w:t>
      </w:r>
      <w:r>
        <w:t>dido de comunicación resulta absolutamente irreal ya que no se explican las contradicciones entre los prot</w:t>
      </w:r>
      <w:r>
        <w:t>a</w:t>
      </w:r>
      <w:r>
        <w:t>gonistas en un tramo ese</w:t>
      </w:r>
      <w:r>
        <w:t>n</w:t>
      </w:r>
      <w:r>
        <w:t xml:space="preserve">cial sobre lo sucedido. </w:t>
      </w:r>
    </w:p>
    <w:p w:rsidR="00224567" w:rsidRDefault="00224567">
      <w:pPr>
        <w:widowControl w:val="0"/>
      </w:pPr>
      <w:r>
        <w:tab/>
        <w:t>Pero también carece de una justific</w:t>
      </w:r>
      <w:r>
        <w:t>a</w:t>
      </w:r>
      <w:r>
        <w:t>ción razonable que Telleldín prefiriera utilizar como em</w:t>
      </w:r>
      <w:r>
        <w:t>i</w:t>
      </w:r>
      <w:r>
        <w:t>sario a Cotoras en vez de comunicarse directamente con B</w:t>
      </w:r>
      <w:r>
        <w:t>a</w:t>
      </w:r>
      <w:r>
        <w:t>rreda. Las razones de celeridad que podrían a</w:t>
      </w:r>
      <w:r>
        <w:t>r</w:t>
      </w:r>
      <w:r>
        <w:t>güirse para refutar esta afirmación no resultarían eficaces al no e</w:t>
      </w:r>
      <w:r>
        <w:t>n</w:t>
      </w:r>
      <w:r>
        <w:t>contrar correlato en la actitud desplegada por Cotoras, que permanece en el lugar hasta que T</w:t>
      </w:r>
      <w:r>
        <w:t>e</w:t>
      </w:r>
      <w:r>
        <w:t>lleldín regresa, aún desconociendo que exclusivamente daría una vuelta ma</w:t>
      </w:r>
      <w:r>
        <w:t>n</w:t>
      </w:r>
      <w:r>
        <w:t>zana.</w:t>
      </w:r>
    </w:p>
    <w:p w:rsidR="00224567" w:rsidRDefault="00224567">
      <w:pPr>
        <w:widowControl w:val="0"/>
      </w:pPr>
      <w:r>
        <w:tab/>
        <w:t>No deja de advertirse en este denu</w:t>
      </w:r>
      <w:r>
        <w:t>n</w:t>
      </w:r>
      <w:r>
        <w:t>ciado intento de comunicación con Barreda una coinc</w:t>
      </w:r>
      <w:r>
        <w:t>i</w:t>
      </w:r>
      <w:r>
        <w:t>dencia con la llamada del 14 de julio de 1994 entre Carlos T</w:t>
      </w:r>
      <w:r>
        <w:t>e</w:t>
      </w:r>
      <w:r>
        <w:t>lleldín y Barreda reconocida por este último. Es válido interpretar que esta comunicación fuera utilizada para r</w:t>
      </w:r>
      <w:r>
        <w:t>e</w:t>
      </w:r>
      <w:r>
        <w:t>forzar la versión exto</w:t>
      </w:r>
      <w:r>
        <w:t>r</w:t>
      </w:r>
      <w:r>
        <w:t>siva del 10.</w:t>
      </w:r>
    </w:p>
    <w:p w:rsidR="00224567" w:rsidRDefault="00224567">
      <w:pPr>
        <w:widowControl w:val="0"/>
      </w:pPr>
      <w:r>
        <w:tab/>
        <w:t>Además, resulta incompatible esta c</w:t>
      </w:r>
      <w:r>
        <w:t>o</w:t>
      </w:r>
      <w:r>
        <w:t>municación que Telleldín encomendara a Cotoras con el s</w:t>
      </w:r>
      <w:r>
        <w:t>e</w:t>
      </w:r>
      <w:r>
        <w:t>creto en que aquél pretendía mantener la situación. En e</w:t>
      </w:r>
      <w:r>
        <w:t>s</w:t>
      </w:r>
      <w:r>
        <w:t>te sentido debe recordarse que Telleldín sostuvo que transmitió a Boragni en forma limitada lo sucedido, a r</w:t>
      </w:r>
      <w:r>
        <w:t>e</w:t>
      </w:r>
      <w:r>
        <w:t>querimiento de ésta, con la advertencia de que no lo c</w:t>
      </w:r>
      <w:r>
        <w:t>o</w:t>
      </w:r>
      <w:r>
        <w:t>mentara con las demás personas que vivían en la casa, lo cual fue ratificado en lo pertinente y esencial por Ana Boragni.</w:t>
      </w:r>
    </w:p>
    <w:p w:rsidR="00224567" w:rsidRDefault="00224567">
      <w:pPr>
        <w:widowControl w:val="0"/>
      </w:pPr>
      <w:r>
        <w:tab/>
        <w:t>Por otra parte, resulta inverosímil la permanencia de C</w:t>
      </w:r>
      <w:r>
        <w:t>o</w:t>
      </w:r>
      <w:r>
        <w:t>toras en el lugar durante quince minutos, sostenida por Cotoras y Telleldín, luego de que éste le advirti</w:t>
      </w:r>
      <w:r>
        <w:t>e</w:t>
      </w:r>
      <w:r>
        <w:t>se que tenía la casa rodeada por personal policial que podría allanar su domicilio en búsqueda de los autos de or</w:t>
      </w:r>
      <w:r>
        <w:t>i</w:t>
      </w:r>
      <w:r>
        <w:t>gen ilícito que allí tenía. Menos aún, se comprende esta actitud al contrastarla con el temor que dijo sentir Cotoras frente a lo que pr</w:t>
      </w:r>
      <w:r>
        <w:t>e</w:t>
      </w:r>
      <w:r>
        <w:t>senciaba.</w:t>
      </w:r>
    </w:p>
    <w:p w:rsidR="00224567" w:rsidRDefault="00224567">
      <w:pPr>
        <w:widowControl w:val="0"/>
      </w:pPr>
      <w:r>
        <w:tab/>
        <w:t>Si a ello se agrega que –según Cot</w:t>
      </w:r>
      <w:r>
        <w:t>o</w:t>
      </w:r>
      <w:r>
        <w:t>ras– Telleldín le encargó, antes de partir a bordo de la cami</w:t>
      </w:r>
      <w:r>
        <w:t>o</w:t>
      </w:r>
      <w:r>
        <w:t>neta junto al extorsionador, que le pidiera a Eduardo que se comunicara con Barreda para informarle que estaba siendo objeto de un “apriete policial” en el que partic</w:t>
      </w:r>
      <w:r>
        <w:t>i</w:t>
      </w:r>
      <w:r>
        <w:t>paba “Pino”, su permanencia resulta absolutamente inexpl</w:t>
      </w:r>
      <w:r>
        <w:t>i</w:t>
      </w:r>
      <w:r>
        <w:t>cable. Ello, toda vez que lo lógico p</w:t>
      </w:r>
      <w:r>
        <w:t>a</w:t>
      </w:r>
      <w:r>
        <w:t>recería ser que, de un modo urgente, Cotoras hubiese realizado la tarea enc</w:t>
      </w:r>
      <w:r>
        <w:t>o</w:t>
      </w:r>
      <w:r>
        <w:t>mendada por T</w:t>
      </w:r>
      <w:r>
        <w:t>e</w:t>
      </w:r>
      <w:r>
        <w:t>lleldín.</w:t>
      </w:r>
    </w:p>
    <w:p w:rsidR="00224567" w:rsidRDefault="00224567">
      <w:pPr>
        <w:widowControl w:val="0"/>
      </w:pPr>
      <w:r>
        <w:tab/>
        <w:t>Es menester reiterar que resulta so</w:t>
      </w:r>
      <w:r>
        <w:t>r</w:t>
      </w:r>
      <w:r>
        <w:t>prendente el margen de l</w:t>
      </w:r>
      <w:r>
        <w:t>i</w:t>
      </w:r>
      <w:r>
        <w:t>bertad pretendido en el marco de un proceso extorsivo. Ello se evidenció en la ya v</w:t>
      </w:r>
      <w:r>
        <w:t>a</w:t>
      </w:r>
      <w:r>
        <w:t>lorada comunicación entre Telleldín y Cotoras, como así también en la pe</w:t>
      </w:r>
      <w:r>
        <w:t>r</w:t>
      </w:r>
      <w:r>
        <w:t>manencia de este último en un lugar de riesgo.</w:t>
      </w:r>
    </w:p>
    <w:p w:rsidR="00224567" w:rsidRDefault="00224567">
      <w:pPr>
        <w:widowControl w:val="0"/>
      </w:pPr>
      <w:r>
        <w:tab/>
        <w:t>Como se dijera, en la declaración del 9 de diciembre de 2003, Telleldín modifica sustancialme</w:t>
      </w:r>
      <w:r>
        <w:t>n</w:t>
      </w:r>
      <w:r>
        <w:t>te, también en este aspecto, la versión de lo sucedido aquel 10 de j</w:t>
      </w:r>
      <w:r>
        <w:t>u</w:t>
      </w:r>
      <w:r>
        <w:t>lio.</w:t>
      </w:r>
    </w:p>
    <w:p w:rsidR="00224567" w:rsidRDefault="00224567">
      <w:pPr>
        <w:widowControl w:val="0"/>
      </w:pPr>
      <w:r>
        <w:tab/>
        <w:t>Precisamente, en el anexo de la a</w:t>
      </w:r>
      <w:r>
        <w:t>m</w:t>
      </w:r>
      <w:r>
        <w:t>pliación de denuncia glosada a fs. 117.250/65 al que se refiriera durante el debate, y donde detallara los párr</w:t>
      </w:r>
      <w:r>
        <w:t>a</w:t>
      </w:r>
      <w:r>
        <w:t>fos de la declaración indagatoria del 5 de julio de 1996 que el magistrado in</w:t>
      </w:r>
      <w:r>
        <w:t>s</w:t>
      </w:r>
      <w:r>
        <w:t>tructor incorporó falsamente, incluyó el referido al mentado encuentro con Cot</w:t>
      </w:r>
      <w:r>
        <w:t>o</w:t>
      </w:r>
      <w:r>
        <w:t xml:space="preserve">ras. </w:t>
      </w:r>
    </w:p>
    <w:p w:rsidR="00224567" w:rsidRDefault="00224567">
      <w:pPr>
        <w:widowControl w:val="0"/>
      </w:pPr>
      <w:r>
        <w:tab/>
        <w:t>Amén de las contradicciones destac</w:t>
      </w:r>
      <w:r>
        <w:t>a</w:t>
      </w:r>
      <w:r>
        <w:t>das entre los dichos de Telleldín y Cotoras no puede dejar de destacarse que B</w:t>
      </w:r>
      <w:r>
        <w:t>o</w:t>
      </w:r>
      <w:r>
        <w:t>ragni, en contradicción con lo sostenido por los dos primeros, afirmó que la presencia de Cotoras se produjo una vez finalizada la operación de entrega de la camioneta. Pero aún dentro de esta hipótesis, planteó dos alternativas inconciliables. En un primer momento so</w:t>
      </w:r>
      <w:r>
        <w:t>s</w:t>
      </w:r>
      <w:r>
        <w:t>tuvo que el citado encuentro se produjo cuando Telleldín salió con el comprador, y post</w:t>
      </w:r>
      <w:r>
        <w:t>e</w:t>
      </w:r>
      <w:r>
        <w:t>riormente que ello ocurrió cuando ya no estaba ni el comprador ni la c</w:t>
      </w:r>
      <w:r>
        <w:t>a</w:t>
      </w:r>
      <w:r>
        <w:t>mioneta.</w:t>
      </w:r>
    </w:p>
    <w:p w:rsidR="00224567" w:rsidRDefault="00224567">
      <w:pPr>
        <w:widowControl w:val="0"/>
      </w:pPr>
      <w:r>
        <w:tab/>
        <w:t>De lo hasta aquí reseñado se colige, como ya se adelantara, que no resulta creíble que se pr</w:t>
      </w:r>
      <w:r>
        <w:t>o</w:t>
      </w:r>
      <w:r>
        <w:t>dujera el alegado encuentro entre Telleldín y Cotoras el 10 de julio de 1994. Ello, a partir de la evidenciada co</w:t>
      </w:r>
      <w:r>
        <w:t>n</w:t>
      </w:r>
      <w:r>
        <w:t>tradicción, incohere</w:t>
      </w:r>
      <w:r>
        <w:t>n</w:t>
      </w:r>
      <w:r>
        <w:t>cia e inverosimilitud de todas y cada una de las circunstancias en las que se lo circunscr</w:t>
      </w:r>
      <w:r>
        <w:t>i</w:t>
      </w:r>
      <w:r>
        <w:t>bió.</w:t>
      </w:r>
    </w:p>
    <w:p w:rsidR="00224567" w:rsidRDefault="00224567">
      <w:pPr>
        <w:widowControl w:val="0"/>
      </w:pPr>
      <w:r>
        <w:tab/>
        <w:t>A ello debe adunarse que en la ampli</w:t>
      </w:r>
      <w:r>
        <w:t>a</w:t>
      </w:r>
      <w:r>
        <w:t>ción de denuncia ya referida, Telleldín destacó que el p</w:t>
      </w:r>
      <w:r>
        <w:t>á</w:t>
      </w:r>
      <w:r>
        <w:t>rrafo de su encuentro con Cotoras mencionado en su decl</w:t>
      </w:r>
      <w:r>
        <w:t>a</w:t>
      </w:r>
      <w:r>
        <w:t>ración del 5 de julio de 1996, fue introducido por el m</w:t>
      </w:r>
      <w:r>
        <w:t>a</w:t>
      </w:r>
      <w:r>
        <w:t>gistrado instructor.</w:t>
      </w:r>
    </w:p>
    <w:p w:rsidR="00224567" w:rsidRDefault="00224567">
      <w:pPr>
        <w:widowControl w:val="0"/>
      </w:pPr>
      <w:r>
        <w:tab/>
        <w:t>También es digno de destacar que la mención de Telleldín de su encuentro con Cotoras, fue s</w:t>
      </w:r>
      <w:r>
        <w:t>u</w:t>
      </w:r>
      <w:r>
        <w:t>cedida, en el escaso plazo de cinco días, por la misma a</w:t>
      </w:r>
      <w:r>
        <w:t>c</w:t>
      </w:r>
      <w:r>
        <w:t>titud de Ana María Boragni y Guillermo Cot</w:t>
      </w:r>
      <w:r>
        <w:t>o</w:t>
      </w:r>
      <w:r>
        <w:t>ras.</w:t>
      </w:r>
    </w:p>
    <w:p w:rsidR="00224567" w:rsidRDefault="00224567">
      <w:pPr>
        <w:pStyle w:val="Ttulo6"/>
        <w:keepNext w:val="0"/>
        <w:widowControl w:val="0"/>
        <w:spacing w:line="600" w:lineRule="auto"/>
        <w:rPr>
          <w:rFonts w:cs="Courier New"/>
          <w:u w:val="none"/>
        </w:rPr>
      </w:pPr>
      <w:r>
        <w:rPr>
          <w:rFonts w:cs="Courier New"/>
          <w:u w:val="none"/>
        </w:rPr>
        <w:tab/>
      </w:r>
      <w:bookmarkStart w:id="150" w:name="_Toc86731960"/>
      <w:r>
        <w:rPr>
          <w:rFonts w:cs="Courier New"/>
          <w:u w:val="none"/>
        </w:rPr>
        <w:t>C.2.c.v)</w:t>
      </w:r>
      <w:bookmarkStart w:id="151" w:name="_Toc50181221"/>
      <w:bookmarkStart w:id="152" w:name="_Toc79904986"/>
      <w:bookmarkStart w:id="153" w:name="_Toc79905036"/>
      <w:r>
        <w:rPr>
          <w:rFonts w:cs="Courier New"/>
          <w:u w:val="none"/>
        </w:rPr>
        <w:t xml:space="preserve"> </w:t>
      </w:r>
      <w:r>
        <w:rPr>
          <w:rFonts w:cs="Courier New"/>
          <w:b w:val="0"/>
          <w:bCs/>
          <w:u w:val="none"/>
        </w:rPr>
        <w:t>Entrega del formulario 08</w:t>
      </w:r>
      <w:bookmarkEnd w:id="150"/>
      <w:bookmarkEnd w:id="151"/>
      <w:bookmarkEnd w:id="152"/>
      <w:bookmarkEnd w:id="153"/>
      <w:r>
        <w:rPr>
          <w:rFonts w:cs="Courier New"/>
          <w:b w:val="0"/>
          <w:bCs/>
          <w:u w:val="none"/>
        </w:rPr>
        <w:t>.</w:t>
      </w:r>
    </w:p>
    <w:p w:rsidR="00224567" w:rsidRDefault="00224567">
      <w:pPr>
        <w:pStyle w:val="Ttulo7"/>
        <w:widowControl w:val="0"/>
      </w:pPr>
      <w:r>
        <w:rPr>
          <w:b/>
          <w:bCs/>
        </w:rPr>
        <w:tab/>
      </w:r>
      <w:bookmarkStart w:id="154" w:name="_Toc79905037"/>
      <w:bookmarkStart w:id="155" w:name="_Toc86731961"/>
      <w:r>
        <w:rPr>
          <w:b/>
          <w:bCs/>
        </w:rPr>
        <w:t xml:space="preserve">C.2.c.v.A) </w:t>
      </w:r>
      <w:r>
        <w:t>Síntesis de testimonios</w:t>
      </w:r>
      <w:bookmarkEnd w:id="154"/>
      <w:bookmarkEnd w:id="155"/>
      <w:r>
        <w:t>.</w:t>
      </w:r>
    </w:p>
    <w:p w:rsidR="00224567" w:rsidRDefault="00224567">
      <w:pPr>
        <w:widowControl w:val="0"/>
        <w:rPr>
          <w:lang w:val="es-ES_tradnl"/>
        </w:rPr>
      </w:pPr>
      <w:r>
        <w:tab/>
      </w:r>
      <w:r>
        <w:rPr>
          <w:lang w:val="es-ES_tradnl"/>
        </w:rPr>
        <w:t xml:space="preserve">En la hipótesis de venta, </w:t>
      </w:r>
      <w:r>
        <w:rPr>
          <w:b/>
          <w:bCs/>
          <w:lang w:val="es-ES_tradnl"/>
        </w:rPr>
        <w:t>Telleldín</w:t>
      </w:r>
      <w:r>
        <w:rPr>
          <w:lang w:val="es-ES_tradnl"/>
        </w:rPr>
        <w:t xml:space="preserve"> indicó que el lunes 11 de julio de 1994 “Alejandro Autom</w:t>
      </w:r>
      <w:r>
        <w:rPr>
          <w:lang w:val="es-ES_tradnl"/>
        </w:rPr>
        <w:t>o</w:t>
      </w:r>
      <w:r>
        <w:rPr>
          <w:lang w:val="es-ES_tradnl"/>
        </w:rPr>
        <w:t>tores” le entregó los formularios 08 que habían quedado pendientes y que en la noche del 14 o 15 de ese mes conc</w:t>
      </w:r>
      <w:r>
        <w:rPr>
          <w:lang w:val="es-ES_tradnl"/>
        </w:rPr>
        <w:t>u</w:t>
      </w:r>
      <w:r>
        <w:rPr>
          <w:lang w:val="es-ES_tradnl"/>
        </w:rPr>
        <w:t xml:space="preserve">rrió al domicilio aportado por el comprador de </w:t>
      </w:r>
      <w:smartTag w:uri="urn:schemas-microsoft-com:office:smarttags" w:element="PersonName">
        <w:smartTagPr>
          <w:attr w:name="ProductID" w:val="la Trafic"/>
        </w:smartTagPr>
        <w:r>
          <w:rPr>
            <w:lang w:val="es-ES_tradnl"/>
          </w:rPr>
          <w:t>la Trafic</w:t>
        </w:r>
      </w:smartTag>
      <w:r>
        <w:rPr>
          <w:lang w:val="es-ES_tradnl"/>
        </w:rPr>
        <w:t xml:space="preserve"> para entregá</w:t>
      </w:r>
      <w:r>
        <w:rPr>
          <w:lang w:val="es-ES_tradnl"/>
        </w:rPr>
        <w:t>r</w:t>
      </w:r>
      <w:r>
        <w:rPr>
          <w:lang w:val="es-ES_tradnl"/>
        </w:rPr>
        <w:t>selos.</w:t>
      </w:r>
    </w:p>
    <w:p w:rsidR="00224567" w:rsidRDefault="00224567">
      <w:pPr>
        <w:widowControl w:val="0"/>
        <w:rPr>
          <w:lang w:val="es-ES_tradnl"/>
        </w:rPr>
      </w:pPr>
      <w:r>
        <w:rPr>
          <w:lang w:val="es-ES_tradnl"/>
        </w:rPr>
        <w:tab/>
        <w:t>Recordó que conversó con varios vec</w:t>
      </w:r>
      <w:r>
        <w:rPr>
          <w:lang w:val="es-ES_tradnl"/>
        </w:rPr>
        <w:t>i</w:t>
      </w:r>
      <w:r>
        <w:rPr>
          <w:lang w:val="es-ES_tradnl"/>
        </w:rPr>
        <w:t>nos que desconocían a Ramón Martínez, hasta que el emple</w:t>
      </w:r>
      <w:r>
        <w:rPr>
          <w:lang w:val="es-ES_tradnl"/>
        </w:rPr>
        <w:t>a</w:t>
      </w:r>
      <w:r>
        <w:rPr>
          <w:lang w:val="es-ES_tradnl"/>
        </w:rPr>
        <w:t>do de un garaje comentó que una persona del edificio d</w:t>
      </w:r>
      <w:r>
        <w:rPr>
          <w:lang w:val="es-ES_tradnl"/>
        </w:rPr>
        <w:t>e</w:t>
      </w:r>
      <w:r>
        <w:rPr>
          <w:lang w:val="es-ES_tradnl"/>
        </w:rPr>
        <w:t>nunciado tenía una Trafic. Aseguró que, luego de ello, no tuvo ni intentó tener más contacto con el co</w:t>
      </w:r>
      <w:r>
        <w:rPr>
          <w:lang w:val="es-ES_tradnl"/>
        </w:rPr>
        <w:t>m</w:t>
      </w:r>
      <w:r>
        <w:rPr>
          <w:lang w:val="es-ES_tradnl"/>
        </w:rPr>
        <w:t xml:space="preserve">prador de </w:t>
      </w:r>
      <w:smartTag w:uri="urn:schemas-microsoft-com:office:smarttags" w:element="PersonName">
        <w:smartTagPr>
          <w:attr w:name="ProductID" w:val="la Trafic."/>
        </w:smartTagPr>
        <w:r>
          <w:rPr>
            <w:lang w:val="es-ES_tradnl"/>
          </w:rPr>
          <w:t>la Trafic.</w:t>
        </w:r>
      </w:smartTag>
    </w:p>
    <w:p w:rsidR="00224567" w:rsidRDefault="00224567">
      <w:pPr>
        <w:widowControl w:val="0"/>
        <w:rPr>
          <w:lang w:val="es-ES_tradnl"/>
        </w:rPr>
      </w:pPr>
      <w:r>
        <w:rPr>
          <w:lang w:val="es-ES_tradnl"/>
        </w:rPr>
        <w:tab/>
        <w:t>También sostuvo que luego de firmado el boleto de compraventa el 10 de julio de 1994, el co</w:t>
      </w:r>
      <w:r>
        <w:rPr>
          <w:lang w:val="es-ES_tradnl"/>
        </w:rPr>
        <w:t>m</w:t>
      </w:r>
      <w:r>
        <w:rPr>
          <w:lang w:val="es-ES_tradnl"/>
        </w:rPr>
        <w:t>prador quedó en regresar a los 15 días cuando vo</w:t>
      </w:r>
      <w:r>
        <w:rPr>
          <w:lang w:val="es-ES_tradnl"/>
        </w:rPr>
        <w:t>l</w:t>
      </w:r>
      <w:r>
        <w:rPr>
          <w:lang w:val="es-ES_tradnl"/>
        </w:rPr>
        <w:t>viera “el viejo” a r</w:t>
      </w:r>
      <w:r>
        <w:rPr>
          <w:lang w:val="es-ES_tradnl"/>
        </w:rPr>
        <w:t>e</w:t>
      </w:r>
      <w:r>
        <w:rPr>
          <w:lang w:val="es-ES_tradnl"/>
        </w:rPr>
        <w:t>tirar los formularios 08.</w:t>
      </w:r>
    </w:p>
    <w:p w:rsidR="00224567" w:rsidRDefault="00224567">
      <w:pPr>
        <w:widowControl w:val="0"/>
        <w:rPr>
          <w:lang w:val="es-ES_tradnl"/>
        </w:rPr>
      </w:pPr>
      <w:r>
        <w:rPr>
          <w:lang w:val="es-ES_tradnl"/>
        </w:rPr>
        <w:tab/>
        <w:t>En la versión extorsiva, y contra t</w:t>
      </w:r>
      <w:r>
        <w:rPr>
          <w:lang w:val="es-ES_tradnl"/>
        </w:rPr>
        <w:t>o</w:t>
      </w:r>
      <w:r>
        <w:rPr>
          <w:lang w:val="es-ES_tradnl"/>
        </w:rPr>
        <w:t>da lógica, mantuvo su preocupación y las diligencias efectu</w:t>
      </w:r>
      <w:r>
        <w:rPr>
          <w:lang w:val="es-ES_tradnl"/>
        </w:rPr>
        <w:t>a</w:t>
      </w:r>
      <w:r>
        <w:rPr>
          <w:lang w:val="es-ES_tradnl"/>
        </w:rPr>
        <w:t>das para concretar la entrega de estos docume</w:t>
      </w:r>
      <w:r>
        <w:rPr>
          <w:lang w:val="es-ES_tradnl"/>
        </w:rPr>
        <w:t>n</w:t>
      </w:r>
      <w:r>
        <w:rPr>
          <w:lang w:val="es-ES_tradnl"/>
        </w:rPr>
        <w:t xml:space="preserve">tos. </w:t>
      </w:r>
    </w:p>
    <w:p w:rsidR="00224567" w:rsidRDefault="00224567">
      <w:pPr>
        <w:widowControl w:val="0"/>
        <w:rPr>
          <w:lang w:val="es-ES_tradnl"/>
        </w:rPr>
      </w:pPr>
      <w:r>
        <w:rPr>
          <w:lang w:val="es-ES_tradnl"/>
        </w:rPr>
        <w:tab/>
        <w:t>Precisó que concurrió a la calle San José con Pérez a fin de averiguar a quien pertenecía el domicilio y si la persona vivía allí, como lo hiciera en el caso del Renault 21 en el que también resultó inexi</w:t>
      </w:r>
      <w:r>
        <w:rPr>
          <w:lang w:val="es-ES_tradnl"/>
        </w:rPr>
        <w:t>s</w:t>
      </w:r>
      <w:r>
        <w:rPr>
          <w:lang w:val="es-ES_tradnl"/>
        </w:rPr>
        <w:t>tente el domicilio. Apuntó que además debía entregar el formul</w:t>
      </w:r>
      <w:r>
        <w:rPr>
          <w:lang w:val="es-ES_tradnl"/>
        </w:rPr>
        <w:t>a</w:t>
      </w:r>
      <w:r>
        <w:rPr>
          <w:lang w:val="es-ES_tradnl"/>
        </w:rPr>
        <w:t>rio 08.</w:t>
      </w:r>
    </w:p>
    <w:p w:rsidR="00224567" w:rsidRDefault="00224567">
      <w:pPr>
        <w:widowControl w:val="0"/>
        <w:rPr>
          <w:lang w:val="es-ES_tradnl"/>
        </w:rPr>
      </w:pPr>
      <w:r>
        <w:rPr>
          <w:lang w:val="es-ES_tradnl"/>
        </w:rPr>
        <w:tab/>
        <w:t>Durante el debate reiteró que conc</w:t>
      </w:r>
      <w:r>
        <w:rPr>
          <w:lang w:val="es-ES_tradnl"/>
        </w:rPr>
        <w:t>u</w:t>
      </w:r>
      <w:r>
        <w:rPr>
          <w:lang w:val="es-ES_tradnl"/>
        </w:rPr>
        <w:t>rrió a la calle San José, domicilio aportado por Ramón Martínez en el boleto, a entregar los formularios 08 que le facil</w:t>
      </w:r>
      <w:r>
        <w:rPr>
          <w:lang w:val="es-ES_tradnl"/>
        </w:rPr>
        <w:t>i</w:t>
      </w:r>
      <w:r>
        <w:rPr>
          <w:lang w:val="es-ES_tradnl"/>
        </w:rPr>
        <w:t>tara Monjo, pero no pudo precisar en qué fecha lo hizo, si fue antes o de</w:t>
      </w:r>
      <w:r>
        <w:rPr>
          <w:lang w:val="es-ES_tradnl"/>
        </w:rPr>
        <w:t>s</w:t>
      </w:r>
      <w:r>
        <w:rPr>
          <w:lang w:val="es-ES_tradnl"/>
        </w:rPr>
        <w:t>pués del 14 de julio. Sin embargo, luego aseveró que fueron luego del inc</w:t>
      </w:r>
      <w:r>
        <w:rPr>
          <w:lang w:val="es-ES_tradnl"/>
        </w:rPr>
        <w:t>i</w:t>
      </w:r>
      <w:r>
        <w:rPr>
          <w:lang w:val="es-ES_tradnl"/>
        </w:rPr>
        <w:t xml:space="preserve">dente de esa fecha. </w:t>
      </w:r>
    </w:p>
    <w:p w:rsidR="00224567" w:rsidRDefault="00224567">
      <w:pPr>
        <w:widowControl w:val="0"/>
        <w:rPr>
          <w:lang w:val="es-ES_tradnl"/>
        </w:rPr>
      </w:pPr>
      <w:r>
        <w:rPr>
          <w:lang w:val="es-ES_tradnl"/>
        </w:rPr>
        <w:tab/>
        <w:t>Señaló que una noche le pidió a Hugo Pérez que lo acompañe a entregarlos y que un sereno man</w:t>
      </w:r>
      <w:r>
        <w:rPr>
          <w:lang w:val="es-ES_tradnl"/>
        </w:rPr>
        <w:t>i</w:t>
      </w:r>
      <w:r>
        <w:rPr>
          <w:lang w:val="es-ES_tradnl"/>
        </w:rPr>
        <w:t>festó que había una Trafic, pero desconocía a Martínez. Agregó que si bien no creía que en San José vivi</w:t>
      </w:r>
      <w:r>
        <w:rPr>
          <w:lang w:val="es-ES_tradnl"/>
        </w:rPr>
        <w:t>e</w:t>
      </w:r>
      <w:r>
        <w:rPr>
          <w:lang w:val="es-ES_tradnl"/>
        </w:rPr>
        <w:t>se Ramón Martínez era posible que la camioneta estuviese en manos de otro sujeto que hubiese puesto ese domicilio. En esa línea explicó que podía haber pasado lo mismo que con la moto, ya que en ocasiones recibían bienes que luego tran</w:t>
      </w:r>
      <w:r>
        <w:rPr>
          <w:lang w:val="es-ES_tradnl"/>
        </w:rPr>
        <w:t>s</w:t>
      </w:r>
      <w:r>
        <w:rPr>
          <w:lang w:val="es-ES_tradnl"/>
        </w:rPr>
        <w:t>ferían a nombre de otras personas. En el caso concreto, estimó que podían haber pasado la camioneta a nombre de Martínez y que éste viviera en San José, por lo que conc</w:t>
      </w:r>
      <w:r>
        <w:rPr>
          <w:lang w:val="es-ES_tradnl"/>
        </w:rPr>
        <w:t>u</w:t>
      </w:r>
      <w:r>
        <w:rPr>
          <w:lang w:val="es-ES_tradnl"/>
        </w:rPr>
        <w:t>rrió al lugar con la expectativa de enco</w:t>
      </w:r>
      <w:r>
        <w:rPr>
          <w:lang w:val="es-ES_tradnl"/>
        </w:rPr>
        <w:t>n</w:t>
      </w:r>
      <w:r>
        <w:rPr>
          <w:lang w:val="es-ES_tradnl"/>
        </w:rPr>
        <w:t>trar a alguien.</w:t>
      </w:r>
    </w:p>
    <w:p w:rsidR="00224567" w:rsidRDefault="00224567">
      <w:pPr>
        <w:widowControl w:val="0"/>
        <w:rPr>
          <w:lang w:val="es-ES_tradnl"/>
        </w:rPr>
      </w:pPr>
      <w:r>
        <w:rPr>
          <w:lang w:val="es-ES_tradnl"/>
        </w:rPr>
        <w:tab/>
        <w:t>Frente a preguntas concretas, respo</w:t>
      </w:r>
      <w:r>
        <w:rPr>
          <w:lang w:val="es-ES_tradnl"/>
        </w:rPr>
        <w:t>n</w:t>
      </w:r>
      <w:r>
        <w:rPr>
          <w:lang w:val="es-ES_tradnl"/>
        </w:rPr>
        <w:t>dió que no r</w:t>
      </w:r>
      <w:r>
        <w:rPr>
          <w:lang w:val="es-ES_tradnl"/>
        </w:rPr>
        <w:t>e</w:t>
      </w:r>
      <w:r>
        <w:rPr>
          <w:lang w:val="es-ES_tradnl"/>
        </w:rPr>
        <w:t xml:space="preserve">currió a Barreda o Bareiro, para hacer llegar los </w:t>
      </w:r>
      <w:smartTag w:uri="urn:schemas-microsoft-com:office:smarttags" w:element="metricconverter">
        <w:smartTagPr>
          <w:attr w:name="ProductID" w:val="08 a"/>
        </w:smartTagPr>
        <w:r>
          <w:rPr>
            <w:lang w:val="es-ES_tradnl"/>
          </w:rPr>
          <w:t>08 a</w:t>
        </w:r>
      </w:smartTag>
      <w:r>
        <w:rPr>
          <w:lang w:val="es-ES_tradnl"/>
        </w:rPr>
        <w:t xml:space="preserve"> la brigada de Vicente López, ya que sabía que d</w:t>
      </w:r>
      <w:r>
        <w:rPr>
          <w:lang w:val="es-ES_tradnl"/>
        </w:rPr>
        <w:t>e</w:t>
      </w:r>
      <w:r>
        <w:rPr>
          <w:lang w:val="es-ES_tradnl"/>
        </w:rPr>
        <w:t>bía dinero, pero podía ser otra brigada la que fuera a c</w:t>
      </w:r>
      <w:r>
        <w:rPr>
          <w:lang w:val="es-ES_tradnl"/>
        </w:rPr>
        <w:t>o</w:t>
      </w:r>
      <w:r>
        <w:rPr>
          <w:lang w:val="es-ES_tradnl"/>
        </w:rPr>
        <w:t>bra</w:t>
      </w:r>
      <w:r>
        <w:rPr>
          <w:lang w:val="es-ES_tradnl"/>
        </w:rPr>
        <w:t>r</w:t>
      </w:r>
      <w:r>
        <w:rPr>
          <w:lang w:val="es-ES_tradnl"/>
        </w:rPr>
        <w:t>lo. Indicó que después no hizo nada más al respecto y co</w:t>
      </w:r>
      <w:r>
        <w:rPr>
          <w:lang w:val="es-ES_tradnl"/>
        </w:rPr>
        <w:t>n</w:t>
      </w:r>
      <w:r>
        <w:rPr>
          <w:lang w:val="es-ES_tradnl"/>
        </w:rPr>
        <w:t xml:space="preserve">tinuó con sus actividades. </w:t>
      </w:r>
    </w:p>
    <w:p w:rsidR="00224567" w:rsidRDefault="00224567">
      <w:pPr>
        <w:widowControl w:val="0"/>
        <w:rPr>
          <w:lang w:val="es-ES_tradnl"/>
        </w:rPr>
      </w:pPr>
      <w:r>
        <w:rPr>
          <w:lang w:val="es-ES_tradnl"/>
        </w:rPr>
        <w:tab/>
        <w:t>En definitiva, aseveró que concurri</w:t>
      </w:r>
      <w:r>
        <w:rPr>
          <w:lang w:val="es-ES_tradnl"/>
        </w:rPr>
        <w:t>e</w:t>
      </w:r>
      <w:r>
        <w:rPr>
          <w:lang w:val="es-ES_tradnl"/>
        </w:rPr>
        <w:t>ron a ese domicilio a fin de corroborar si el lugar exi</w:t>
      </w:r>
      <w:r>
        <w:rPr>
          <w:lang w:val="es-ES_tradnl"/>
        </w:rPr>
        <w:t>s</w:t>
      </w:r>
      <w:r>
        <w:rPr>
          <w:lang w:val="es-ES_tradnl"/>
        </w:rPr>
        <w:t>tía, si Ramón Martínez vivía allí, si se encontraba el vehículo y a entregar los formularios 08 para terminar la operación, ya que de lo contrario la camioneta carecía de valor. Aclaró que como el 4 de abril Semorile le había h</w:t>
      </w:r>
      <w:r>
        <w:rPr>
          <w:lang w:val="es-ES_tradnl"/>
        </w:rPr>
        <w:t>e</w:t>
      </w:r>
      <w:r>
        <w:rPr>
          <w:lang w:val="es-ES_tradnl"/>
        </w:rPr>
        <w:t>cho firmar un papel en blanco en la causa por homicidio en una sodería como garantía por la deuda pendiente, d</w:t>
      </w:r>
      <w:r>
        <w:rPr>
          <w:lang w:val="es-ES_tradnl"/>
        </w:rPr>
        <w:t>e</w:t>
      </w:r>
      <w:r>
        <w:rPr>
          <w:lang w:val="es-ES_tradnl"/>
        </w:rPr>
        <w:t>seaba terminar el pago.</w:t>
      </w:r>
    </w:p>
    <w:p w:rsidR="00224567" w:rsidRDefault="00224567">
      <w:pPr>
        <w:widowControl w:val="0"/>
      </w:pPr>
      <w:r>
        <w:rPr>
          <w:lang w:val="es-ES_tradnl"/>
        </w:rPr>
        <w:tab/>
      </w:r>
      <w:r>
        <w:t xml:space="preserve">Por su parte, durante el juicio oral, </w:t>
      </w:r>
      <w:r>
        <w:rPr>
          <w:b/>
          <w:bCs/>
        </w:rPr>
        <w:t>Ana Boragni</w:t>
      </w:r>
      <w:r>
        <w:t xml:space="preserve"> dijo que Telleldín tuvo en su poder los 08 dos o tres días después de la operación de entrega de la c</w:t>
      </w:r>
      <w:r>
        <w:t>a</w:t>
      </w:r>
      <w:r>
        <w:t>mioneta. Insistió en resaltar la preocupación de aquel porque quedara pendiente la entrega de esa doc</w:t>
      </w:r>
      <w:r>
        <w:t>u</w:t>
      </w:r>
      <w:r>
        <w:t>mentación, lo que le llamó la ate</w:t>
      </w:r>
      <w:r>
        <w:t>n</w:t>
      </w:r>
      <w:r>
        <w:t>ción porque si a su marido le daban el dinero, él entregaba el auto y no se preocup</w:t>
      </w:r>
      <w:r>
        <w:t>a</w:t>
      </w:r>
      <w:r>
        <w:t>ba por el tema de los papeles.</w:t>
      </w:r>
    </w:p>
    <w:p w:rsidR="00224567" w:rsidRDefault="00224567">
      <w:pPr>
        <w:widowControl w:val="0"/>
      </w:pPr>
      <w:r>
        <w:tab/>
        <w:t>Como el comprador no llamaba ni se presentaba, Telleldín fue con Hugo Pérez a la dirección que figuraba en el bol</w:t>
      </w:r>
      <w:r>
        <w:t>e</w:t>
      </w:r>
      <w:r>
        <w:t>to de compraventa para entregar ese formulario. No encontró la dirección ni la persona busc</w:t>
      </w:r>
      <w:r>
        <w:t>a</w:t>
      </w:r>
      <w:r>
        <w:t>da. No recordó si esto ocurrió antes o después del “apri</w:t>
      </w:r>
      <w:r>
        <w:t>e</w:t>
      </w:r>
      <w:r>
        <w:t>te” de Vicente López.</w:t>
      </w:r>
    </w:p>
    <w:p w:rsidR="00224567" w:rsidRDefault="00224567">
      <w:pPr>
        <w:widowControl w:val="0"/>
      </w:pPr>
      <w:r>
        <w:tab/>
        <w:t xml:space="preserve">En la declaración indagatoria del 11 de enero de 1995, </w:t>
      </w:r>
      <w:r>
        <w:rPr>
          <w:b/>
          <w:bCs/>
        </w:rPr>
        <w:t xml:space="preserve">Hugo Antonio Pérez </w:t>
      </w:r>
      <w:r>
        <w:t xml:space="preserve"> manifestó que el viernes, después del atentado, Telleldín le solicitó que lo acompañara a entregar la documentación del rodado, o bien, verificar la existencia del domicilio del adquire</w:t>
      </w:r>
      <w:r>
        <w:t>n</w:t>
      </w:r>
      <w:r>
        <w:t>te.</w:t>
      </w:r>
    </w:p>
    <w:p w:rsidR="00224567" w:rsidRDefault="00224567">
      <w:pPr>
        <w:widowControl w:val="0"/>
      </w:pPr>
      <w:r>
        <w:tab/>
        <w:t>Así a las 22 cuando llegaron a la d</w:t>
      </w:r>
      <w:r>
        <w:t>i</w:t>
      </w:r>
      <w:r>
        <w:t>rección que constaba en el boleto, desciende del Renault 19 de Telleldín y, en atención a que en el dom</w:t>
      </w:r>
      <w:r>
        <w:t>i</w:t>
      </w:r>
      <w:r>
        <w:t>cilio había un portón de un terreno baldío, preguntó al encargado de un garaje de la vereda de enfrente si conocía a un tal Martínez. Esa persona le indicó que preguntara en un ed</w:t>
      </w:r>
      <w:r>
        <w:t>i</w:t>
      </w:r>
      <w:r>
        <w:t>ficio lindero al portón referido. También le consultó si había visto una Trafic blanca, y el encargado le respondió que había visto en semanas anteriores entrar una en el t</w:t>
      </w:r>
      <w:r>
        <w:t>e</w:t>
      </w:r>
      <w:r>
        <w:t>rreno baldío. Luego de ello, concurrieron al domicilio que les mencionara el encargado y tocaron casi todos los ti</w:t>
      </w:r>
      <w:r>
        <w:t>m</w:t>
      </w:r>
      <w:r>
        <w:t>bres del portero eléctrico; los atendió un señor “medio gordito” que negó conocer a Mart</w:t>
      </w:r>
      <w:r>
        <w:t>í</w:t>
      </w:r>
      <w:r>
        <w:t>nez.</w:t>
      </w:r>
    </w:p>
    <w:p w:rsidR="00224567" w:rsidRDefault="00224567">
      <w:pPr>
        <w:widowControl w:val="0"/>
      </w:pPr>
      <w:r>
        <w:tab/>
        <w:t>Después de ello, regresaron a la casa de Telle</w:t>
      </w:r>
      <w:r>
        <w:t>l</w:t>
      </w:r>
      <w:r>
        <w:t>dín.</w:t>
      </w:r>
    </w:p>
    <w:p w:rsidR="00224567" w:rsidRDefault="00224567">
      <w:pPr>
        <w:widowControl w:val="0"/>
      </w:pPr>
      <w:r>
        <w:tab/>
        <w:t>En la declaración testimonial de 1996 –cuya inclusión como objeto de valoración ya fuera abord</w:t>
      </w:r>
      <w:r>
        <w:t>a</w:t>
      </w:r>
      <w:r>
        <w:t>da– dijo que como Ana lloraba mucho porque el comprador no iba a buscar los p</w:t>
      </w:r>
      <w:r>
        <w:t>a</w:t>
      </w:r>
      <w:r>
        <w:t>peles, se ofreció a acompañar a Carlos al domicilio apo</w:t>
      </w:r>
      <w:r>
        <w:t>r</w:t>
      </w:r>
      <w:r>
        <w:t>tado en el boleto.</w:t>
      </w:r>
    </w:p>
    <w:p w:rsidR="00224567" w:rsidRDefault="00224567">
      <w:pPr>
        <w:widowControl w:val="0"/>
      </w:pPr>
      <w:r>
        <w:tab/>
      </w:r>
      <w:r>
        <w:rPr>
          <w:lang w:val="es-ES_tradnl"/>
        </w:rPr>
        <w:t xml:space="preserve">En la etapa instructoria, </w:t>
      </w:r>
      <w:r>
        <w:rPr>
          <w:b/>
          <w:bCs/>
          <w:lang w:val="es-ES_tradnl"/>
        </w:rPr>
        <w:t>Jacinto C</w:t>
      </w:r>
      <w:r>
        <w:rPr>
          <w:b/>
          <w:bCs/>
          <w:lang w:val="es-ES_tradnl"/>
        </w:rPr>
        <w:t>a</w:t>
      </w:r>
      <w:r>
        <w:rPr>
          <w:b/>
          <w:bCs/>
          <w:lang w:val="es-ES_tradnl"/>
        </w:rPr>
        <w:t>yetano</w:t>
      </w:r>
      <w:r>
        <w:rPr>
          <w:lang w:val="es-ES_tradnl"/>
        </w:rPr>
        <w:t xml:space="preserve"> </w:t>
      </w:r>
      <w:r>
        <w:rPr>
          <w:b/>
          <w:bCs/>
          <w:lang w:val="es-ES_tradnl"/>
        </w:rPr>
        <w:t>Cruz</w:t>
      </w:r>
      <w:r>
        <w:rPr>
          <w:lang w:val="es-ES_tradnl"/>
        </w:rPr>
        <w:t xml:space="preserve"> sostuvo que después </w:t>
      </w:r>
      <w:r>
        <w:t>del atentado Ana llor</w:t>
      </w:r>
      <w:r>
        <w:t>a</w:t>
      </w:r>
      <w:r>
        <w:t>ba; sentía culpa de no haber llevado los papeles, o por no h</w:t>
      </w:r>
      <w:r>
        <w:t>a</w:t>
      </w:r>
      <w:r>
        <w:t>berlos firmado. Telleldín también se encontraba preocup</w:t>
      </w:r>
      <w:r>
        <w:t>a</w:t>
      </w:r>
      <w:r>
        <w:t>do. Ana, Hugo Pérez y Telleldín salieron a buscar al co</w:t>
      </w:r>
      <w:r>
        <w:t>m</w:t>
      </w:r>
      <w:r>
        <w:t xml:space="preserve">prador de </w:t>
      </w:r>
      <w:smartTag w:uri="urn:schemas-microsoft-com:office:smarttags" w:element="PersonName">
        <w:smartTagPr>
          <w:attr w:name="ProductID" w:val="la Trafic"/>
        </w:smartTagPr>
        <w:r>
          <w:t>la Trafic</w:t>
        </w:r>
      </w:smartTag>
      <w:r>
        <w:t xml:space="preserve"> y no lo encontraron ya que en el lugar que había dado como el domicilio había un garaje y nadie lo conocía a aquel.</w:t>
      </w:r>
    </w:p>
    <w:p w:rsidR="00224567" w:rsidRDefault="00224567">
      <w:pPr>
        <w:widowControl w:val="0"/>
        <w:rPr>
          <w:lang w:val="es-ES_tradnl"/>
        </w:rPr>
      </w:pPr>
      <w:r>
        <w:tab/>
      </w:r>
      <w:r>
        <w:rPr>
          <w:lang w:val="es-ES_tradnl"/>
        </w:rPr>
        <w:t>Por otra parte, en el debate declar</w:t>
      </w:r>
      <w:r>
        <w:rPr>
          <w:lang w:val="es-ES_tradnl"/>
        </w:rPr>
        <w:t>a</w:t>
      </w:r>
      <w:r>
        <w:rPr>
          <w:lang w:val="es-ES_tradnl"/>
        </w:rPr>
        <w:t>ron los dueños (Vecchio y Barletta) y e</w:t>
      </w:r>
      <w:r>
        <w:rPr>
          <w:lang w:val="es-ES_tradnl"/>
        </w:rPr>
        <w:t>m</w:t>
      </w:r>
      <w:r>
        <w:rPr>
          <w:lang w:val="es-ES_tradnl"/>
        </w:rPr>
        <w:t xml:space="preserve">pleados (Gigena y Chávez) del </w:t>
      </w:r>
      <w:r>
        <w:rPr>
          <w:b/>
          <w:bCs/>
          <w:lang w:val="es-ES_tradnl"/>
        </w:rPr>
        <w:t>Garaje San José</w:t>
      </w:r>
      <w:r>
        <w:rPr>
          <w:lang w:val="es-ES_tradnl"/>
        </w:rPr>
        <w:t xml:space="preserve"> sito en el número 947 de la calle hom</w:t>
      </w:r>
      <w:r>
        <w:rPr>
          <w:lang w:val="es-ES_tradnl"/>
        </w:rPr>
        <w:t>ó</w:t>
      </w:r>
      <w:r>
        <w:rPr>
          <w:lang w:val="es-ES_tradnl"/>
        </w:rPr>
        <w:t>nima.</w:t>
      </w:r>
    </w:p>
    <w:p w:rsidR="00224567" w:rsidRDefault="00224567">
      <w:pPr>
        <w:widowControl w:val="0"/>
        <w:rPr>
          <w:lang w:val="es-ES_tradnl"/>
        </w:rPr>
      </w:pPr>
      <w:r>
        <w:rPr>
          <w:lang w:val="es-ES_tradnl"/>
        </w:rPr>
        <w:tab/>
        <w:t xml:space="preserve">Salvador Sixto </w:t>
      </w:r>
      <w:r>
        <w:rPr>
          <w:b/>
          <w:bCs/>
          <w:lang w:val="es-ES_tradnl"/>
        </w:rPr>
        <w:t>Vecchio</w:t>
      </w:r>
      <w:r>
        <w:rPr>
          <w:lang w:val="es-ES_tradnl"/>
        </w:rPr>
        <w:t>, declaró que para 1994 tenía con Barletta un garaje en la calle San J</w:t>
      </w:r>
      <w:r>
        <w:rPr>
          <w:lang w:val="es-ES_tradnl"/>
        </w:rPr>
        <w:t>o</w:t>
      </w:r>
      <w:r>
        <w:rPr>
          <w:lang w:val="es-ES_tradnl"/>
        </w:rPr>
        <w:t>sé 947 y no reco</w:t>
      </w:r>
      <w:r>
        <w:rPr>
          <w:lang w:val="es-ES_tradnl"/>
        </w:rPr>
        <w:t>r</w:t>
      </w:r>
      <w:r>
        <w:rPr>
          <w:lang w:val="es-ES_tradnl"/>
        </w:rPr>
        <w:t>dó que para el mes de julio de ese año se hubiese presentado allí alguna persona pregu</w:t>
      </w:r>
      <w:r>
        <w:rPr>
          <w:lang w:val="es-ES_tradnl"/>
        </w:rPr>
        <w:t>n</w:t>
      </w:r>
      <w:r>
        <w:rPr>
          <w:lang w:val="es-ES_tradnl"/>
        </w:rPr>
        <w:t>tando por un tal Martínez y/o por un determinado vehículo. Tampoco r</w:t>
      </w:r>
      <w:r>
        <w:rPr>
          <w:lang w:val="es-ES_tradnl"/>
        </w:rPr>
        <w:t>e</w:t>
      </w:r>
      <w:r>
        <w:rPr>
          <w:lang w:val="es-ES_tradnl"/>
        </w:rPr>
        <w:t>cibió c</w:t>
      </w:r>
      <w:r>
        <w:rPr>
          <w:lang w:val="es-ES_tradnl"/>
        </w:rPr>
        <w:t>o</w:t>
      </w:r>
      <w:r>
        <w:rPr>
          <w:lang w:val="es-ES_tradnl"/>
        </w:rPr>
        <w:t>mentarios de sus empleados.</w:t>
      </w:r>
    </w:p>
    <w:p w:rsidR="00224567" w:rsidRDefault="00224567">
      <w:pPr>
        <w:widowControl w:val="0"/>
        <w:rPr>
          <w:lang w:val="es-ES_tradnl"/>
        </w:rPr>
      </w:pPr>
      <w:r>
        <w:rPr>
          <w:lang w:val="es-ES_tradnl"/>
        </w:rPr>
        <w:tab/>
        <w:t xml:space="preserve">Benito Arnaldo </w:t>
      </w:r>
      <w:r>
        <w:rPr>
          <w:b/>
          <w:bCs/>
          <w:lang w:val="es-ES_tradnl"/>
        </w:rPr>
        <w:t>Barletta</w:t>
      </w:r>
      <w:r>
        <w:rPr>
          <w:lang w:val="es-ES_tradnl"/>
        </w:rPr>
        <w:t xml:space="preserve"> dijo que para el mes de julio de 1994 no recibió a ninguna persona que le efectuara preguntas por una camioneta y por un tal Ma</w:t>
      </w:r>
      <w:r>
        <w:rPr>
          <w:lang w:val="es-ES_tradnl"/>
        </w:rPr>
        <w:t>r</w:t>
      </w:r>
      <w:r>
        <w:rPr>
          <w:lang w:val="es-ES_tradnl"/>
        </w:rPr>
        <w:t>tínez. Se enteró por comentarios de un empleado, el s</w:t>
      </w:r>
      <w:r>
        <w:rPr>
          <w:lang w:val="es-ES_tradnl"/>
        </w:rPr>
        <w:t>e</w:t>
      </w:r>
      <w:r>
        <w:rPr>
          <w:lang w:val="es-ES_tradnl"/>
        </w:rPr>
        <w:t>reno de la noche de apellido Gigena, que unos meses de</w:t>
      </w:r>
      <w:r>
        <w:rPr>
          <w:lang w:val="es-ES_tradnl"/>
        </w:rPr>
        <w:t>s</w:t>
      </w:r>
      <w:r>
        <w:rPr>
          <w:lang w:val="es-ES_tradnl"/>
        </w:rPr>
        <w:t>pués del atentado pasaron por el garaje unas personas preguntando por una camion</w:t>
      </w:r>
      <w:r>
        <w:rPr>
          <w:lang w:val="es-ES_tradnl"/>
        </w:rPr>
        <w:t>e</w:t>
      </w:r>
      <w:r>
        <w:rPr>
          <w:lang w:val="es-ES_tradnl"/>
        </w:rPr>
        <w:t>ta.</w:t>
      </w:r>
    </w:p>
    <w:p w:rsidR="00224567" w:rsidRDefault="00224567">
      <w:pPr>
        <w:widowControl w:val="0"/>
        <w:rPr>
          <w:lang w:val="es-ES_tradnl"/>
        </w:rPr>
      </w:pPr>
      <w:r>
        <w:rPr>
          <w:lang w:val="es-ES_tradnl"/>
        </w:rPr>
        <w:tab/>
        <w:t xml:space="preserve">Por su parte, </w:t>
      </w:r>
      <w:r>
        <w:rPr>
          <w:b/>
          <w:bCs/>
          <w:lang w:val="es-ES_tradnl"/>
        </w:rPr>
        <w:t>Gigena</w:t>
      </w:r>
      <w:r>
        <w:rPr>
          <w:lang w:val="es-ES_tradnl"/>
        </w:rPr>
        <w:t xml:space="preserve"> recordó la conc</w:t>
      </w:r>
      <w:r>
        <w:rPr>
          <w:lang w:val="es-ES_tradnl"/>
        </w:rPr>
        <w:t>u</w:t>
      </w:r>
      <w:r>
        <w:rPr>
          <w:lang w:val="es-ES_tradnl"/>
        </w:rPr>
        <w:t>rrencia al garaje de dos pares de personas. Los pr</w:t>
      </w:r>
      <w:r>
        <w:rPr>
          <w:lang w:val="es-ES_tradnl"/>
        </w:rPr>
        <w:t>i</w:t>
      </w:r>
      <w:r>
        <w:rPr>
          <w:lang w:val="es-ES_tradnl"/>
        </w:rPr>
        <w:t>meros, días previos al ate</w:t>
      </w:r>
      <w:r>
        <w:rPr>
          <w:lang w:val="es-ES_tradnl"/>
        </w:rPr>
        <w:t>n</w:t>
      </w:r>
      <w:r>
        <w:rPr>
          <w:lang w:val="es-ES_tradnl"/>
        </w:rPr>
        <w:t>tado, preguntaron si podían estacionar una camioneta Trafic en el lugar. Los segundos, que conc</w:t>
      </w:r>
      <w:r>
        <w:rPr>
          <w:lang w:val="es-ES_tradnl"/>
        </w:rPr>
        <w:t>u</w:t>
      </w:r>
      <w:r>
        <w:rPr>
          <w:lang w:val="es-ES_tradnl"/>
        </w:rPr>
        <w:t>rrieron con posterioridad al atentado y a quienes creyó personal policial, le preguntaron por la camioneta, pero no recordó que le hubieran preguntado por Ramón Ma</w:t>
      </w:r>
      <w:r>
        <w:rPr>
          <w:lang w:val="es-ES_tradnl"/>
        </w:rPr>
        <w:t>r</w:t>
      </w:r>
      <w:r>
        <w:rPr>
          <w:lang w:val="es-ES_tradnl"/>
        </w:rPr>
        <w:t>tínez.</w:t>
      </w:r>
    </w:p>
    <w:p w:rsidR="00224567" w:rsidRDefault="00224567">
      <w:pPr>
        <w:widowControl w:val="0"/>
        <w:rPr>
          <w:lang w:val="es-ES_tradnl"/>
        </w:rPr>
      </w:pPr>
      <w:r>
        <w:rPr>
          <w:lang w:val="es-ES_tradnl"/>
        </w:rPr>
        <w:tab/>
        <w:t>Finalmente</w:t>
      </w:r>
      <w:r>
        <w:rPr>
          <w:b/>
          <w:bCs/>
          <w:lang w:val="es-ES_tradnl"/>
        </w:rPr>
        <w:t xml:space="preserve"> Chávez</w:t>
      </w:r>
      <w:r>
        <w:rPr>
          <w:lang w:val="es-ES_tradnl"/>
        </w:rPr>
        <w:t xml:space="preserve"> señaló que para 1994 trabajó como encargado del l</w:t>
      </w:r>
      <w:r>
        <w:rPr>
          <w:lang w:val="es-ES_tradnl"/>
        </w:rPr>
        <w:t>u</w:t>
      </w:r>
      <w:r>
        <w:rPr>
          <w:lang w:val="es-ES_tradnl"/>
        </w:rPr>
        <w:t>gar, pero no recordó que para el mes de julio de aquel año se hubiera pr</w:t>
      </w:r>
      <w:r>
        <w:rPr>
          <w:lang w:val="es-ES_tradnl"/>
        </w:rPr>
        <w:t>e</w:t>
      </w:r>
      <w:r>
        <w:rPr>
          <w:lang w:val="es-ES_tradnl"/>
        </w:rPr>
        <w:t>sentado alguna persona a preguntar por Martínez o por una camioneta Tr</w:t>
      </w:r>
      <w:r>
        <w:rPr>
          <w:lang w:val="es-ES_tradnl"/>
        </w:rPr>
        <w:t>a</w:t>
      </w:r>
      <w:r>
        <w:rPr>
          <w:lang w:val="es-ES_tradnl"/>
        </w:rPr>
        <w:t>fic. Tampoco recibió ningún comentario de sus compañeros sobre la vis</w:t>
      </w:r>
      <w:r>
        <w:rPr>
          <w:lang w:val="es-ES_tradnl"/>
        </w:rPr>
        <w:t>i</w:t>
      </w:r>
      <w:r>
        <w:rPr>
          <w:lang w:val="es-ES_tradnl"/>
        </w:rPr>
        <w:t>ta de esas personas.</w:t>
      </w:r>
    </w:p>
    <w:p w:rsidR="00224567" w:rsidRDefault="00224567">
      <w:pPr>
        <w:pStyle w:val="Ttulo7"/>
        <w:widowControl w:val="0"/>
      </w:pPr>
      <w:r>
        <w:rPr>
          <w:b/>
          <w:bCs/>
        </w:rPr>
        <w:tab/>
      </w:r>
      <w:bookmarkStart w:id="156" w:name="_Toc86731962"/>
      <w:r>
        <w:rPr>
          <w:b/>
          <w:bCs/>
        </w:rPr>
        <w:t>C.2.C.v.B</w:t>
      </w:r>
      <w:bookmarkStart w:id="157" w:name="_Toc50181228"/>
      <w:bookmarkStart w:id="158" w:name="_Toc79905038"/>
      <w:r>
        <w:rPr>
          <w:b/>
          <w:bCs/>
        </w:rPr>
        <w:t xml:space="preserve">) </w:t>
      </w:r>
      <w:r>
        <w:t>Valoración</w:t>
      </w:r>
      <w:bookmarkEnd w:id="156"/>
      <w:bookmarkEnd w:id="157"/>
      <w:bookmarkEnd w:id="158"/>
      <w:r>
        <w:t>.</w:t>
      </w:r>
    </w:p>
    <w:p w:rsidR="00224567" w:rsidRDefault="00224567">
      <w:pPr>
        <w:widowControl w:val="0"/>
      </w:pPr>
      <w:r>
        <w:tab/>
        <w:t>Inicialmente, debe señalarse que la preocupación alegada por Telleldín respecto a la entrega de los formularios 08 carece de respaldo en las pruebas producidas o incorpor</w:t>
      </w:r>
      <w:r>
        <w:t>a</w:t>
      </w:r>
      <w:r>
        <w:t>das por lectura al debate</w:t>
      </w:r>
    </w:p>
    <w:p w:rsidR="00224567" w:rsidRDefault="00224567">
      <w:pPr>
        <w:widowControl w:val="0"/>
      </w:pPr>
      <w:r>
        <w:tab/>
        <w:t>Su concurrencia junto a Hugo Pérez al domicilio del comprador consignado en el boleto tampoco encuentra asidero más allá de sus dichos y los de su e</w:t>
      </w:r>
      <w:r>
        <w:t>n</w:t>
      </w:r>
      <w:r>
        <w:t>torno.</w:t>
      </w:r>
    </w:p>
    <w:p w:rsidR="00224567" w:rsidRDefault="00224567">
      <w:pPr>
        <w:widowControl w:val="0"/>
      </w:pPr>
      <w:r>
        <w:tab/>
        <w:t>La intranquilidad de Telleldín por la entrega de la documentación no se compadece con la activ</w:t>
      </w:r>
      <w:r>
        <w:t>i</w:t>
      </w:r>
      <w:r>
        <w:t>dad ilegal que desplegaba como medio de vida. Adviértase que es justamente Ana Boragni quien destacó que le llamó la atención la preocupación manifestada por su marido ya que si le daban el dinero, él entregaba el vehículo y no se preocupaba por el tema de los papeles.</w:t>
      </w:r>
    </w:p>
    <w:p w:rsidR="00224567" w:rsidRDefault="00224567">
      <w:pPr>
        <w:widowControl w:val="0"/>
      </w:pPr>
      <w:r>
        <w:tab/>
        <w:t>Es de este modo, y no como lo prete</w:t>
      </w:r>
      <w:r>
        <w:t>n</w:t>
      </w:r>
      <w:r>
        <w:t>de Telleldín, como debe interpretarse su interés en la entr</w:t>
      </w:r>
      <w:r>
        <w:t>e</w:t>
      </w:r>
      <w:r>
        <w:t>ga de la documentación, por ejemplo, en la venta a Tore- tta. En efecto, y como ya se dijera, la asimilación que efectúa Telleldín entre aquella operación y la analizada es capciosa y equivocada. Recuérdese que en aquella opo</w:t>
      </w:r>
      <w:r>
        <w:t>r</w:t>
      </w:r>
      <w:r>
        <w:t>tunidad, él debió concurrir al registro de la propiedad para levantar una prenda y recién, luego de ese trámite, recibir el dinero pr</w:t>
      </w:r>
      <w:r>
        <w:t>e</w:t>
      </w:r>
      <w:r>
        <w:t>tendido.</w:t>
      </w:r>
    </w:p>
    <w:p w:rsidR="00224567" w:rsidRDefault="00224567">
      <w:pPr>
        <w:widowControl w:val="0"/>
      </w:pPr>
      <w:r>
        <w:tab/>
        <w:t>En este caso, donde ya había percib</w:t>
      </w:r>
      <w:r>
        <w:t>i</w:t>
      </w:r>
      <w:r>
        <w:t>do la suma total requerida por el vehículo, ese interés car</w:t>
      </w:r>
      <w:r>
        <w:t>e</w:t>
      </w:r>
      <w:r>
        <w:t>ce de credibil</w:t>
      </w:r>
      <w:r>
        <w:t>i</w:t>
      </w:r>
      <w:r>
        <w:t>dad.</w:t>
      </w:r>
    </w:p>
    <w:p w:rsidR="00224567" w:rsidRDefault="00224567">
      <w:pPr>
        <w:widowControl w:val="0"/>
      </w:pPr>
      <w:r>
        <w:tab/>
        <w:t>Además, repárese  en que  el  vend</w:t>
      </w:r>
      <w:r>
        <w:t>e</w:t>
      </w:r>
      <w:r>
        <w:t>dor –según la primera ve</w:t>
      </w:r>
      <w:r>
        <w:t>r</w:t>
      </w:r>
      <w:r>
        <w:t>sión sostenida por Telleldín respecto al cará</w:t>
      </w:r>
      <w:r>
        <w:t>c</w:t>
      </w:r>
      <w:r>
        <w:t>ter de la transacción– se comprometió a concurrir a retirar los fo</w:t>
      </w:r>
      <w:r>
        <w:t>r</w:t>
      </w:r>
      <w:r>
        <w:t xml:space="preserve">mularios </w:t>
      </w:r>
      <w:smartTag w:uri="urn:schemas-microsoft-com:office:smarttags" w:element="metricconverter">
        <w:smartTagPr>
          <w:attr w:name="ProductID" w:val="08 a"/>
        </w:smartTagPr>
        <w:r>
          <w:t>08 a</w:t>
        </w:r>
      </w:smartTag>
      <w:r>
        <w:t xml:space="preserve"> los quince días de firmado el boleto de compraventa, por lo que la preocupación al</w:t>
      </w:r>
      <w:r>
        <w:t>e</w:t>
      </w:r>
      <w:r>
        <w:t>gada por Telleldín resultaría también prematura.</w:t>
      </w:r>
    </w:p>
    <w:p w:rsidR="00224567" w:rsidRDefault="00224567">
      <w:pPr>
        <w:widowControl w:val="0"/>
      </w:pPr>
      <w:r>
        <w:tab/>
        <w:t>Por otra parte, si bien Hugo Pérez concuerda con T</w:t>
      </w:r>
      <w:r>
        <w:t>e</w:t>
      </w:r>
      <w:r>
        <w:t>lleldín en que concurrió al domicilio del comprador para entregar los formularios 08, dio dos ve</w:t>
      </w:r>
      <w:r>
        <w:t>r</w:t>
      </w:r>
      <w:r>
        <w:t>siones sobre el motivo de su concurrencia al lugar. Así, en un momento señaló que lo hizo por pedido de Telle</w:t>
      </w:r>
      <w:r>
        <w:t>l</w:t>
      </w:r>
      <w:r>
        <w:t>dín y en otro que se ofreció al ver preocupada a Ana Boragni.</w:t>
      </w:r>
    </w:p>
    <w:p w:rsidR="00224567" w:rsidRDefault="00224567">
      <w:pPr>
        <w:widowControl w:val="0"/>
      </w:pPr>
      <w:r>
        <w:tab/>
        <w:t>Debe destacarse que las diligencias que Pérez y Telleldín dicen haber efectuado para co</w:t>
      </w:r>
      <w:r>
        <w:t>n</w:t>
      </w:r>
      <w:r>
        <w:t>cretar la entrega de los 08, no se encuentran corroboradas con las testimoniales que durante el debate brindaran los e</w:t>
      </w:r>
      <w:r>
        <w:t>m</w:t>
      </w:r>
      <w:r>
        <w:t>pleados y dueños del g</w:t>
      </w:r>
      <w:r>
        <w:t>a</w:t>
      </w:r>
      <w:r>
        <w:t>raje San José.</w:t>
      </w:r>
    </w:p>
    <w:p w:rsidR="00224567" w:rsidRDefault="00224567">
      <w:pPr>
        <w:widowControl w:val="0"/>
      </w:pPr>
      <w:r>
        <w:tab/>
        <w:t>Adviértase que ninguno de ellos reco</w:t>
      </w:r>
      <w:r>
        <w:t>r</w:t>
      </w:r>
      <w:r>
        <w:t>dó haber sido consultado, antes del atentado, sobre la existencia de una Trafic en el lugar o el conoc</w:t>
      </w:r>
      <w:r>
        <w:t>i</w:t>
      </w:r>
      <w:r>
        <w:t>miento de Ramón Ma</w:t>
      </w:r>
      <w:r>
        <w:t>r</w:t>
      </w:r>
      <w:r>
        <w:t>tínez.</w:t>
      </w:r>
    </w:p>
    <w:p w:rsidR="00224567" w:rsidRDefault="00224567">
      <w:pPr>
        <w:widowControl w:val="0"/>
      </w:pPr>
      <w:r>
        <w:tab/>
        <w:t>Por otra parte y más allá de que la preocupación y las actividades desplegadas para concr</w:t>
      </w:r>
      <w:r>
        <w:t>e</w:t>
      </w:r>
      <w:r>
        <w:t>tar la entrega de los formularios 08 no encontraran corrobor</w:t>
      </w:r>
      <w:r>
        <w:t>a</w:t>
      </w:r>
      <w:r>
        <w:t>ción en la hipótesis de venta, resultan francamente absu</w:t>
      </w:r>
      <w:r>
        <w:t>r</w:t>
      </w:r>
      <w:r>
        <w:t>das en un contexto extors</w:t>
      </w:r>
      <w:r>
        <w:t>i</w:t>
      </w:r>
      <w:r>
        <w:t>vo.</w:t>
      </w:r>
    </w:p>
    <w:p w:rsidR="00224567" w:rsidRDefault="00224567">
      <w:pPr>
        <w:widowControl w:val="0"/>
      </w:pPr>
      <w:r>
        <w:tab/>
        <w:t>En efecto, es contrario a la lógica y experiencia –elementos de la sana crítica– que quien fuera obligado mediante intimidación a entregar un bien, luego se ocupe por formalizar documentalmente dicha entrega, m</w:t>
      </w:r>
      <w:r>
        <w:t>á</w:t>
      </w:r>
      <w:r>
        <w:t>xime cua</w:t>
      </w:r>
      <w:r>
        <w:t>n</w:t>
      </w:r>
      <w:r>
        <w:t>do nunca fue intimado a ello.</w:t>
      </w:r>
    </w:p>
    <w:p w:rsidR="00224567" w:rsidRDefault="00224567">
      <w:pPr>
        <w:widowControl w:val="0"/>
      </w:pPr>
      <w:r>
        <w:tab/>
        <w:t>No obstante, Telleldín intentó just</w:t>
      </w:r>
      <w:r>
        <w:t>i</w:t>
      </w:r>
      <w:r>
        <w:t>ficar dichas diligencias al señalar que qu</w:t>
      </w:r>
      <w:r>
        <w:t>e</w:t>
      </w:r>
      <w:r>
        <w:t>ría terminar la operación porque el 4 de abril de ese año, en gara</w:t>
      </w:r>
      <w:r>
        <w:t>n</w:t>
      </w:r>
      <w:r>
        <w:t xml:space="preserve">tía por la deuda pendiente, tuvo que firmar en </w:t>
      </w:r>
      <w:smartTag w:uri="urn:schemas-microsoft-com:office:smarttags" w:element="PersonName">
        <w:smartTagPr>
          <w:attr w:name="ProductID" w:val="la Brigada"/>
        </w:smartTagPr>
        <w:r>
          <w:t>la Br</w:t>
        </w:r>
        <w:r>
          <w:t>i</w:t>
        </w:r>
        <w:r>
          <w:t>gada</w:t>
        </w:r>
      </w:smartTag>
      <w:r>
        <w:t xml:space="preserve"> de Lanús un papel que lo vinculaba a una causa de homicidio.</w:t>
      </w:r>
    </w:p>
    <w:p w:rsidR="00224567" w:rsidRDefault="00224567">
      <w:pPr>
        <w:widowControl w:val="0"/>
      </w:pPr>
      <w:r>
        <w:tab/>
        <w:t>Si esto hubiera sido así, y quería asegurarse –con la entrega de los 08– que lo desvinc</w:t>
      </w:r>
      <w:r>
        <w:t>u</w:t>
      </w:r>
      <w:r>
        <w:t>laran de aquellas actuaciones, no se entiende porqué no se dir</w:t>
      </w:r>
      <w:r>
        <w:t>i</w:t>
      </w:r>
      <w:r>
        <w:t xml:space="preserve">gió directamente a </w:t>
      </w:r>
      <w:smartTag w:uri="urn:schemas-microsoft-com:office:smarttags" w:element="PersonName">
        <w:smartTagPr>
          <w:attr w:name="ProductID" w:val="la Brigada"/>
        </w:smartTagPr>
        <w:r>
          <w:t>la Brigada</w:t>
        </w:r>
      </w:smartTag>
      <w:r>
        <w:t xml:space="preserve"> de Lanús. Debe recordarse que la conexión de la entrega de la camioneta con esa br</w:t>
      </w:r>
      <w:r>
        <w:t>i</w:t>
      </w:r>
      <w:r>
        <w:t>gada la efectuó no solo en la referencia del párrafo pr</w:t>
      </w:r>
      <w:r>
        <w:t>e</w:t>
      </w:r>
      <w:r>
        <w:t>cedente, sino también al relatar la participación de Ib</w:t>
      </w:r>
      <w:r>
        <w:t>a</w:t>
      </w:r>
      <w:r>
        <w:t>rra en lo ocurrido el 10 de julio de 1994.</w:t>
      </w:r>
    </w:p>
    <w:p w:rsidR="00224567" w:rsidRDefault="00224567">
      <w:pPr>
        <w:widowControl w:val="0"/>
      </w:pPr>
      <w:r>
        <w:tab/>
        <w:t>Dicho razonamiento es válido aún para la versión aportada el 9 de dicie</w:t>
      </w:r>
      <w:r>
        <w:t>m</w:t>
      </w:r>
      <w:r>
        <w:t>bre de 2003, ya que pese a que allí señalara que la identificación de Ibarra como una de las pers</w:t>
      </w:r>
      <w:r>
        <w:t>o</w:t>
      </w:r>
      <w:r>
        <w:t>nas que se encontraban en las proximidades de su domicilio había sido incluida en su declaración por el magistrado instructor, de todas formas afirmó que las dos personas que preguntaran por la venta del vehículo d</w:t>
      </w:r>
      <w:r>
        <w:t>u</w:t>
      </w:r>
      <w:r>
        <w:t>rante la firma del boleto, eran un subcomisario y un of</w:t>
      </w:r>
      <w:r>
        <w:t>i</w:t>
      </w:r>
      <w:r>
        <w:t>cial de la policía bonaerense, a quienes reconoció por h</w:t>
      </w:r>
      <w:r>
        <w:t>a</w:t>
      </w:r>
      <w:r>
        <w:t>berlo extorsionado anteriorme</w:t>
      </w:r>
      <w:r>
        <w:t>n</w:t>
      </w:r>
      <w:r>
        <w:t>te.</w:t>
      </w:r>
    </w:p>
    <w:p w:rsidR="00224567" w:rsidRDefault="00224567">
      <w:pPr>
        <w:widowControl w:val="0"/>
      </w:pPr>
      <w:r>
        <w:tab/>
        <w:t>Ahora bien, pese a que en esta última ocasión, a diferencia de lo que viniera sosteniendo, T</w:t>
      </w:r>
      <w:r>
        <w:t>e</w:t>
      </w:r>
      <w:r>
        <w:t>lleldín no mencionó específicamente el nombre de Ibarra, ello se deduce de su identificación como un subcomisario de la policía bonaerense que había participado en una e</w:t>
      </w:r>
      <w:r>
        <w:t>x</w:t>
      </w:r>
      <w:r>
        <w:t>torsión previa. Ello, desde que las extorsi</w:t>
      </w:r>
      <w:r>
        <w:t>o</w:t>
      </w:r>
      <w:r>
        <w:t>nes de las que denunció ser víctima, antes de esa f</w:t>
      </w:r>
      <w:r>
        <w:t>e</w:t>
      </w:r>
      <w:r>
        <w:t xml:space="preserve">cha, se limitan a las protagonizadas por integrantes de </w:t>
      </w:r>
      <w:smartTag w:uri="urn:schemas-microsoft-com:office:smarttags" w:element="PersonName">
        <w:smartTagPr>
          <w:attr w:name="ProductID" w:val="la Brigada"/>
        </w:smartTagPr>
        <w:r>
          <w:t>la Brigada</w:t>
        </w:r>
      </w:smartTag>
      <w:r>
        <w:t xml:space="preserve"> de Lanús. P</w:t>
      </w:r>
      <w:r>
        <w:t>e</w:t>
      </w:r>
      <w:r>
        <w:t>ro aún en el supuesto de que así no fuera, y hubiera s</w:t>
      </w:r>
      <w:r>
        <w:t>i</w:t>
      </w:r>
      <w:r>
        <w:t>do el integrante de otra repartición policial el que conc</w:t>
      </w:r>
      <w:r>
        <w:t>u</w:t>
      </w:r>
      <w:r>
        <w:t>rrió el 10 de julio de 1994, no se explica que no hubi</w:t>
      </w:r>
      <w:r>
        <w:t>e</w:t>
      </w:r>
      <w:r>
        <w:t>ra ido a dicha dependencia y sí al domic</w:t>
      </w:r>
      <w:r>
        <w:t>i</w:t>
      </w:r>
      <w:r>
        <w:t>lio de la calle San José.</w:t>
      </w:r>
    </w:p>
    <w:p w:rsidR="00224567" w:rsidRDefault="00224567">
      <w:pPr>
        <w:widowControl w:val="0"/>
      </w:pPr>
      <w:r>
        <w:tab/>
        <w:t>Tampoco alcanza una explicación raz</w:t>
      </w:r>
      <w:r>
        <w:t>o</w:t>
      </w:r>
      <w:r>
        <w:t>nable que Telleldín, si estaba preocupado por la entrega del formulario 08, no se dirigiera a la brigada de Vicente L</w:t>
      </w:r>
      <w:r>
        <w:t>ó</w:t>
      </w:r>
      <w:r>
        <w:t>pez.</w:t>
      </w:r>
    </w:p>
    <w:p w:rsidR="00224567" w:rsidRDefault="00224567">
      <w:pPr>
        <w:widowControl w:val="0"/>
      </w:pPr>
      <w:r>
        <w:tab/>
        <w:t>Si bien Telleldín el 9 de diciembre de 2003, al igual que ocurriera respecto de la ident</w:t>
      </w:r>
      <w:r>
        <w:t>i</w:t>
      </w:r>
      <w:r>
        <w:t>ficación de Ibarra, aseguró que la inclusión de “Pino”, en proxim</w:t>
      </w:r>
      <w:r>
        <w:t>i</w:t>
      </w:r>
      <w:r>
        <w:t>dades de su domic</w:t>
      </w:r>
      <w:r>
        <w:t>i</w:t>
      </w:r>
      <w:r>
        <w:t>lio, el 10 de julio de 1994, obedeció a la iniciativa del magistrado, conservó la presencia de un vehículo –Ford Galaxy azul– que inte</w:t>
      </w:r>
      <w:r>
        <w:t>r</w:t>
      </w:r>
      <w:r>
        <w:t>vino también el 14 de ese mes y año, y que por ende, supo, al momento de ir a entregar los form</w:t>
      </w:r>
      <w:r>
        <w:t>u</w:t>
      </w:r>
      <w:r>
        <w:t>larios 08 que correspondía a personal de la brigada de Vicente López.</w:t>
      </w:r>
    </w:p>
    <w:p w:rsidR="00224567" w:rsidRDefault="00224567">
      <w:pPr>
        <w:widowControl w:val="0"/>
      </w:pPr>
      <w:r>
        <w:tab/>
        <w:t>Por otra parte, Telleldín durante el debate afirmó que después de la infructuosa búsqueda de Ramón Martínez en el domicilio indicado en el boleto no hizo nada más al respecto y continuó con sus activid</w:t>
      </w:r>
      <w:r>
        <w:t>a</w:t>
      </w:r>
      <w:r>
        <w:t>des.</w:t>
      </w:r>
    </w:p>
    <w:p w:rsidR="00224567" w:rsidRDefault="00224567">
      <w:pPr>
        <w:widowControl w:val="0"/>
      </w:pPr>
      <w:r>
        <w:tab/>
        <w:t>Nuevamente, se advierte una incons</w:t>
      </w:r>
      <w:r>
        <w:t>e</w:t>
      </w:r>
      <w:r>
        <w:t>cuencia entre su comportamiento y la intranquilidad que alegara como justificativo de las diligencias realiz</w:t>
      </w:r>
      <w:r>
        <w:t>a</w:t>
      </w:r>
      <w:r>
        <w:t>das.</w:t>
      </w:r>
    </w:p>
    <w:p w:rsidR="00224567" w:rsidRDefault="00224567">
      <w:pPr>
        <w:widowControl w:val="0"/>
      </w:pPr>
      <w:r>
        <w:tab/>
        <w:t>El repentino desvanecimiento de su preocupación por la entrega de los formularios 08 deb</w:t>
      </w:r>
      <w:r>
        <w:t>i</w:t>
      </w:r>
      <w:r>
        <w:t>do a que pensaba que estaba vinculado a una causa en que se i</w:t>
      </w:r>
      <w:r>
        <w:t>n</w:t>
      </w:r>
      <w:r>
        <w:t>vestigaba un homicidio, resulta tan espontáneo como absu</w:t>
      </w:r>
      <w:r>
        <w:t>r</w:t>
      </w:r>
      <w:r>
        <w:t>do.</w:t>
      </w:r>
    </w:p>
    <w:p w:rsidR="00224567" w:rsidRDefault="00224567">
      <w:pPr>
        <w:widowControl w:val="0"/>
      </w:pPr>
      <w:r>
        <w:tab/>
        <w:t>Por otra parte, respecto de esta pre</w:t>
      </w:r>
      <w:r>
        <w:t>o</w:t>
      </w:r>
      <w:r>
        <w:t>cupación resulta llamativo que Pérez recién en la tercer declaración se refiriera a la entrega de la doc</w:t>
      </w:r>
      <w:r>
        <w:t>u</w:t>
      </w:r>
      <w:r>
        <w:t>mentación del vehíc</w:t>
      </w:r>
      <w:r>
        <w:t>u</w:t>
      </w:r>
      <w:r>
        <w:t xml:space="preserve">lo. </w:t>
      </w:r>
    </w:p>
    <w:p w:rsidR="00224567" w:rsidRDefault="00224567">
      <w:pPr>
        <w:widowControl w:val="0"/>
      </w:pPr>
      <w:r>
        <w:tab/>
        <w:t>Sobre el tema Cruz dijo que, además de Hugo Pérez y T</w:t>
      </w:r>
      <w:r>
        <w:t>e</w:t>
      </w:r>
      <w:r>
        <w:t>lleldín, también Ana participó en la tarea de búsqueda del comprador para entregarle la d</w:t>
      </w:r>
      <w:r>
        <w:t>o</w:t>
      </w:r>
      <w:r>
        <w:t>cumentación del r</w:t>
      </w:r>
      <w:r>
        <w:t>o</w:t>
      </w:r>
      <w:r>
        <w:t>dado.</w:t>
      </w:r>
    </w:p>
    <w:p w:rsidR="00224567" w:rsidRDefault="00224567">
      <w:pPr>
        <w:widowControl w:val="0"/>
      </w:pPr>
      <w:r>
        <w:tab/>
        <w:t>La única explicación razonable para que Telleldín mantuviese la versión de la “preocupación por la entrega de la documentación”, aún en la hipótesis extorsiva, obedeció a la intención de compatibil</w:t>
      </w:r>
      <w:r>
        <w:t>i</w:t>
      </w:r>
      <w:r>
        <w:t>zarla con la de la venta, y así tornarla más ver</w:t>
      </w:r>
      <w:r>
        <w:t>o</w:t>
      </w:r>
      <w:r>
        <w:t>símil.</w:t>
      </w:r>
    </w:p>
    <w:p w:rsidR="00224567" w:rsidRDefault="00224567">
      <w:pPr>
        <w:pStyle w:val="Ttulo6"/>
        <w:keepNext w:val="0"/>
        <w:widowControl w:val="0"/>
        <w:spacing w:line="600" w:lineRule="auto"/>
        <w:rPr>
          <w:rFonts w:cs="Courier New"/>
          <w:b w:val="0"/>
          <w:bCs/>
          <w:u w:val="none"/>
        </w:rPr>
      </w:pPr>
      <w:r>
        <w:rPr>
          <w:rFonts w:cs="Courier New"/>
          <w:u w:val="none"/>
        </w:rPr>
        <w:tab/>
      </w:r>
      <w:bookmarkStart w:id="159" w:name="_Toc86731963"/>
      <w:r>
        <w:rPr>
          <w:rFonts w:cs="Courier New"/>
          <w:u w:val="none"/>
        </w:rPr>
        <w:t xml:space="preserve">C.2.c.vi) </w:t>
      </w:r>
      <w:r>
        <w:rPr>
          <w:rFonts w:cs="Courier New"/>
          <w:b w:val="0"/>
          <w:bCs/>
          <w:u w:val="none"/>
        </w:rPr>
        <w:t>Incompatibilidad de la ve</w:t>
      </w:r>
      <w:r>
        <w:rPr>
          <w:rFonts w:cs="Courier New"/>
          <w:b w:val="0"/>
          <w:bCs/>
          <w:u w:val="none"/>
        </w:rPr>
        <w:t>r</w:t>
      </w:r>
      <w:r>
        <w:rPr>
          <w:rFonts w:cs="Courier New"/>
          <w:b w:val="0"/>
          <w:bCs/>
          <w:u w:val="none"/>
        </w:rPr>
        <w:t>sión extorsiva y los demás hechos integrantes del objeto proc</w:t>
      </w:r>
      <w:r>
        <w:rPr>
          <w:rFonts w:cs="Courier New"/>
          <w:b w:val="0"/>
          <w:bCs/>
          <w:u w:val="none"/>
        </w:rPr>
        <w:t>e</w:t>
      </w:r>
      <w:r>
        <w:rPr>
          <w:rFonts w:cs="Courier New"/>
          <w:b w:val="0"/>
          <w:bCs/>
          <w:u w:val="none"/>
        </w:rPr>
        <w:t>sal</w:t>
      </w:r>
      <w:bookmarkEnd w:id="159"/>
      <w:r>
        <w:rPr>
          <w:rFonts w:cs="Courier New"/>
          <w:b w:val="0"/>
          <w:bCs/>
          <w:u w:val="none"/>
        </w:rPr>
        <w:t>.</w:t>
      </w:r>
    </w:p>
    <w:p w:rsidR="00224567" w:rsidRDefault="00224567">
      <w:pPr>
        <w:pStyle w:val="Ttulo7"/>
        <w:widowControl w:val="0"/>
        <w:rPr>
          <w:bCs/>
        </w:rPr>
      </w:pPr>
      <w:r>
        <w:rPr>
          <w:b/>
        </w:rPr>
        <w:tab/>
      </w:r>
      <w:bookmarkStart w:id="160" w:name="_Toc86731964"/>
      <w:r>
        <w:rPr>
          <w:b/>
        </w:rPr>
        <w:t xml:space="preserve">C.2.c.vi.A) </w:t>
      </w:r>
      <w:r>
        <w:rPr>
          <w:bCs/>
        </w:rPr>
        <w:t>Introducción</w:t>
      </w:r>
      <w:bookmarkEnd w:id="160"/>
      <w:r>
        <w:rPr>
          <w:bCs/>
        </w:rPr>
        <w:t>.</w:t>
      </w:r>
    </w:p>
    <w:p w:rsidR="00224567" w:rsidRDefault="00224567">
      <w:pPr>
        <w:widowControl w:val="0"/>
      </w:pPr>
      <w:r>
        <w:tab/>
        <w:t>Hasta acá se han advertido numerosas incohere</w:t>
      </w:r>
      <w:r>
        <w:t>n</w:t>
      </w:r>
      <w:r>
        <w:t>cias en los diversos relatos sobre lo ocurrido el 10 de julio de 1994. Pero estas no se agotan en un estudio l</w:t>
      </w:r>
      <w:r>
        <w:t>i</w:t>
      </w:r>
      <w:r>
        <w:t>mitado a ese hecho, sino que se acentúan al relacionarlo con lo sucedido el 15 de marzo, el 4 de abril y el 14 de julio de ese año.</w:t>
      </w:r>
    </w:p>
    <w:p w:rsidR="00224567" w:rsidRDefault="00224567">
      <w:pPr>
        <w:widowControl w:val="0"/>
      </w:pPr>
      <w:r>
        <w:tab/>
        <w:t>Es por ello que deben resaltarse alg</w:t>
      </w:r>
      <w:r>
        <w:t>u</w:t>
      </w:r>
      <w:r>
        <w:t>nas circun</w:t>
      </w:r>
      <w:r>
        <w:t>s</w:t>
      </w:r>
      <w:r>
        <w:t>tancias llamativas que surgen de cotejar dichos sucesos. Aqu</w:t>
      </w:r>
      <w:r>
        <w:t>e</w:t>
      </w:r>
      <w:r>
        <w:t>llas demostrarán, una vez más, la inverosímil versión que aporta Telleldín en la remun</w:t>
      </w:r>
      <w:r>
        <w:t>e</w:t>
      </w:r>
      <w:r>
        <w:t>rada declaración del 5 de julio de 1996 sobre lo oc</w:t>
      </w:r>
      <w:r>
        <w:t>u</w:t>
      </w:r>
      <w:r>
        <w:t>rrido el 10 de julio de 1994.</w:t>
      </w:r>
    </w:p>
    <w:p w:rsidR="00224567" w:rsidRDefault="00224567">
      <w:pPr>
        <w:widowControl w:val="0"/>
      </w:pPr>
      <w:r>
        <w:tab/>
        <w:t>Para un mejor análisis, se procederá a tratar individua</w:t>
      </w:r>
      <w:r>
        <w:t>l</w:t>
      </w:r>
      <w:r>
        <w:t>mente cada una de ellas.</w:t>
      </w:r>
    </w:p>
    <w:p w:rsidR="00224567" w:rsidRDefault="00224567">
      <w:pPr>
        <w:pStyle w:val="Ttulo7"/>
        <w:widowControl w:val="0"/>
      </w:pPr>
      <w:r>
        <w:rPr>
          <w:b/>
          <w:bCs/>
        </w:rPr>
        <w:tab/>
      </w:r>
      <w:bookmarkStart w:id="161" w:name="_Toc50181230"/>
      <w:bookmarkStart w:id="162" w:name="_Toc79904988"/>
      <w:bookmarkStart w:id="163" w:name="_Toc79905040"/>
      <w:bookmarkStart w:id="164" w:name="_Toc86731965"/>
      <w:r>
        <w:rPr>
          <w:b/>
          <w:bCs/>
        </w:rPr>
        <w:t xml:space="preserve">C.2.c.vi.B) </w:t>
      </w:r>
      <w:r>
        <w:t>Disímil actuación pol</w:t>
      </w:r>
      <w:r>
        <w:t>i</w:t>
      </w:r>
      <w:r>
        <w:t xml:space="preserve">cial </w:t>
      </w:r>
      <w:bookmarkEnd w:id="161"/>
      <w:bookmarkEnd w:id="162"/>
      <w:bookmarkEnd w:id="163"/>
      <w:r>
        <w:t>frente a idénticas situaciones.</w:t>
      </w:r>
      <w:bookmarkEnd w:id="164"/>
    </w:p>
    <w:p w:rsidR="00224567" w:rsidRDefault="00224567">
      <w:pPr>
        <w:widowControl w:val="0"/>
      </w:pPr>
      <w:r>
        <w:tab/>
        <w:t>De la prueba producida durante el d</w:t>
      </w:r>
      <w:r>
        <w:t>e</w:t>
      </w:r>
      <w:r>
        <w:t>bate surge con claridad que los procedimientos del 15 de marzo, 4 de abril y 14 de julio de 1994, se caract</w:t>
      </w:r>
      <w:r>
        <w:t>e</w:t>
      </w:r>
      <w:r>
        <w:t>rizaron por el uso de la fuerza.</w:t>
      </w:r>
    </w:p>
    <w:p w:rsidR="00224567" w:rsidRDefault="00224567">
      <w:pPr>
        <w:widowControl w:val="0"/>
      </w:pPr>
      <w:r>
        <w:tab/>
        <w:t>Ello se demostró en el primero de esos episodios por la accidentada fuga protagonizada por T</w:t>
      </w:r>
      <w:r>
        <w:t>e</w:t>
      </w:r>
      <w:r>
        <w:t>lleldín. En los otros sucesos existió una maniobra de e</w:t>
      </w:r>
      <w:r>
        <w:t>n</w:t>
      </w:r>
      <w:r>
        <w:t>cierro de vehículos y además, en el último de los operat</w:t>
      </w:r>
      <w:r>
        <w:t>i</w:t>
      </w:r>
      <w:r>
        <w:t>vos, se efectuó una persecución posterior de la que resu</w:t>
      </w:r>
      <w:r>
        <w:t>l</w:t>
      </w:r>
      <w:r>
        <w:t>taron dañados dos rodados (el Peugeot 505 de Lasala y el Renault 19 de Telleldín), la exhibición de armas y el di</w:t>
      </w:r>
      <w:r>
        <w:t>s</w:t>
      </w:r>
      <w:r>
        <w:t>paro efectu</w:t>
      </w:r>
      <w:r>
        <w:t>a</w:t>
      </w:r>
      <w:r>
        <w:t>do por García.</w:t>
      </w:r>
    </w:p>
    <w:p w:rsidR="00224567" w:rsidRDefault="00224567">
      <w:pPr>
        <w:widowControl w:val="0"/>
      </w:pPr>
      <w:r>
        <w:tab/>
        <w:t>Como se ve, en todos estos proced</w:t>
      </w:r>
      <w:r>
        <w:t>i</w:t>
      </w:r>
      <w:r>
        <w:t>mientos, a pesar de que fueron realizados por diferentes brigadas –Lanús y Vicente López– el personal pol</w:t>
      </w:r>
      <w:r>
        <w:t>i</w:t>
      </w:r>
      <w:r>
        <w:t>cial hizo uso de la fuerza.</w:t>
      </w:r>
    </w:p>
    <w:p w:rsidR="00224567" w:rsidRDefault="00224567">
      <w:pPr>
        <w:widowControl w:val="0"/>
      </w:pPr>
      <w:r>
        <w:tab/>
        <w:t>El proceder policial cambia, abrupt</w:t>
      </w:r>
      <w:r>
        <w:t>a</w:t>
      </w:r>
      <w:r>
        <w:t>mente, cuando se an</w:t>
      </w:r>
      <w:r>
        <w:t>a</w:t>
      </w:r>
      <w:r>
        <w:t>liza el suceso del 10 de julio. Ello, toda vez que en esta oportunidad el personal policial no empleó fuerza, sino que, por el contrario, según la ve</w:t>
      </w:r>
      <w:r>
        <w:t>r</w:t>
      </w:r>
      <w:r>
        <w:t>sión aportada por Telleldín –y seguida testimonialmente por su entorno–, se limitó a una intim</w:t>
      </w:r>
      <w:r>
        <w:t>i</w:t>
      </w:r>
      <w:r>
        <w:t>dación verbal –re-forzada por una presencia de vehículos con personal pol</w:t>
      </w:r>
      <w:r>
        <w:t>i</w:t>
      </w:r>
      <w:r>
        <w:t>cial en las adyacencias de su domicilio– y hasta incluso exhibió cierta n</w:t>
      </w:r>
      <w:r>
        <w:t>e</w:t>
      </w:r>
      <w:r>
        <w:t xml:space="preserve">gligencia en su actuar. </w:t>
      </w:r>
    </w:p>
    <w:p w:rsidR="00224567" w:rsidRDefault="00224567">
      <w:pPr>
        <w:widowControl w:val="0"/>
      </w:pPr>
      <w:r>
        <w:tab/>
        <w:t>Esto último se demostró con la extr</w:t>
      </w:r>
      <w:r>
        <w:t>a</w:t>
      </w:r>
      <w:r>
        <w:t>ña autorización del personal policial para que Telle</w:t>
      </w:r>
      <w:r>
        <w:t>l</w:t>
      </w:r>
      <w:r>
        <w:t>dín, en un contexto extorsivo, dialogara con Cotoras e incluso anotara un número telefónico y se lo diera. Ya se destacó en otra oportunidad, el riesgo que este pe</w:t>
      </w:r>
      <w:r>
        <w:t>r</w:t>
      </w:r>
      <w:r>
        <w:t>miso generaría para el éxito del procedimiento ilegal al p</w:t>
      </w:r>
      <w:r>
        <w:t>o</w:t>
      </w:r>
      <w:r>
        <w:t>ner en peligro la impunidad de la maniobra.</w:t>
      </w:r>
    </w:p>
    <w:p w:rsidR="00224567" w:rsidRDefault="00224567">
      <w:pPr>
        <w:widowControl w:val="0"/>
      </w:pPr>
      <w:r>
        <w:tab/>
        <w:t>Ante ello, corresponde señalar que no se explica que Leal, luego de haber comandado el proced</w:t>
      </w:r>
      <w:r>
        <w:t>i</w:t>
      </w:r>
      <w:r>
        <w:t>miento del 10 de julio, el 14 dispusiera un despliegue de tres veh</w:t>
      </w:r>
      <w:r>
        <w:t>í</w:t>
      </w:r>
      <w:r>
        <w:t>culos (su Ford Galaxy, el Peugeot 505 de Lasala, la camioneta Chevrolet de García) en las i</w:t>
      </w:r>
      <w:r>
        <w:t>n</w:t>
      </w:r>
      <w:r>
        <w:t>mediaciones del domicilio de Telle</w:t>
      </w:r>
      <w:r>
        <w:t>l</w:t>
      </w:r>
      <w:r>
        <w:t>dín, ordenara tareas de inteligencia y se lo intentara detener mediante el uso de la fuerza, cuando cuatro días a</w:t>
      </w:r>
      <w:r>
        <w:t>n</w:t>
      </w:r>
      <w:r>
        <w:t>tes lo habían extorsionado, con éxito sin emplearla; incluso, según los dichos del propio T</w:t>
      </w:r>
      <w:r>
        <w:t>e</w:t>
      </w:r>
      <w:r>
        <w:t>lleldín, hasta se habría acordado la entrega de lo que quedó debiendo para una fecha cerc</w:t>
      </w:r>
      <w:r>
        <w:t>a</w:t>
      </w:r>
      <w:r>
        <w:t xml:space="preserve">na al 14 de julio. </w:t>
      </w:r>
    </w:p>
    <w:p w:rsidR="00224567" w:rsidRDefault="00224567">
      <w:pPr>
        <w:widowControl w:val="0"/>
      </w:pPr>
      <w:r>
        <w:tab/>
        <w:t>El hecho del 10 de julio había demo</w:t>
      </w:r>
      <w:r>
        <w:t>s</w:t>
      </w:r>
      <w:r>
        <w:t>trado, supuestamente, que resultaba suficiente la adve</w:t>
      </w:r>
      <w:r>
        <w:t>r</w:t>
      </w:r>
      <w:r>
        <w:t>tencia efectuada por quien se presentara como integrante de una brigada –acompañado en la ocasión por un funcion</w:t>
      </w:r>
      <w:r>
        <w:t>a</w:t>
      </w:r>
      <w:r>
        <w:t>rio que había participado en el procedimiento que culmin</w:t>
      </w:r>
      <w:r>
        <w:t>a</w:t>
      </w:r>
      <w:r>
        <w:t>ra con su dete</w:t>
      </w:r>
      <w:r>
        <w:t>n</w:t>
      </w:r>
      <w:r>
        <w:t>ción tres meses antes–, para que Telleldín sin resistencia alguna entregara la camioneta Tr</w:t>
      </w:r>
      <w:r>
        <w:t>a</w:t>
      </w:r>
      <w:r>
        <w:t>fic.</w:t>
      </w:r>
    </w:p>
    <w:p w:rsidR="00224567" w:rsidRDefault="00224567">
      <w:pPr>
        <w:widowControl w:val="0"/>
      </w:pPr>
      <w:r>
        <w:tab/>
        <w:t>Además, si Leal hubiese participado en la neg</w:t>
      </w:r>
      <w:r>
        <w:t>o</w:t>
      </w:r>
      <w:r>
        <w:t>ciación del 10 de julio, y de ésta hubiera quedado una deuda, no se justifica que el 14 de julio se realizara un procedimiento de tamaña envergadura. Máxime si Telle</w:t>
      </w:r>
      <w:r>
        <w:t>l</w:t>
      </w:r>
      <w:r>
        <w:t>dín no había evidenciado su voluntad de no pagar el saldo supuestamente adeudado toda vez que, siempre según su ve</w:t>
      </w:r>
      <w:r>
        <w:t>r</w:t>
      </w:r>
      <w:r>
        <w:t>sión, no había recibido ningún u</w:t>
      </w:r>
      <w:r>
        <w:t>l</w:t>
      </w:r>
      <w:r>
        <w:t>timátum ni tampoco había transcurrido el plazo que le habían co</w:t>
      </w:r>
      <w:r>
        <w:t>n</w:t>
      </w:r>
      <w:r>
        <w:t xml:space="preserve">cedido. </w:t>
      </w:r>
    </w:p>
    <w:p w:rsidR="00224567" w:rsidRDefault="00224567">
      <w:pPr>
        <w:pStyle w:val="Ttulo7"/>
        <w:widowControl w:val="0"/>
      </w:pPr>
      <w:r>
        <w:rPr>
          <w:b/>
          <w:bCs/>
        </w:rPr>
        <w:tab/>
      </w:r>
      <w:bookmarkStart w:id="165" w:name="_Toc50181232"/>
      <w:bookmarkStart w:id="166" w:name="_Toc79904990"/>
      <w:bookmarkStart w:id="167" w:name="_Toc79905042"/>
      <w:bookmarkStart w:id="168" w:name="_Toc86731966"/>
      <w:r>
        <w:rPr>
          <w:b/>
          <w:bCs/>
        </w:rPr>
        <w:t xml:space="preserve">C.2.c.vi.C) </w:t>
      </w:r>
      <w:r>
        <w:t>¿Cuándo conoció Carlos A</w:t>
      </w:r>
      <w:r>
        <w:t>l</w:t>
      </w:r>
      <w:r>
        <w:t>berto Telleldín a Anastasio Ireneo Leal</w:t>
      </w:r>
      <w:bookmarkEnd w:id="165"/>
      <w:bookmarkEnd w:id="166"/>
      <w:bookmarkEnd w:id="167"/>
      <w:r>
        <w:t>?</w:t>
      </w:r>
      <w:bookmarkEnd w:id="168"/>
    </w:p>
    <w:p w:rsidR="00224567" w:rsidRDefault="00224567">
      <w:pPr>
        <w:widowControl w:val="0"/>
      </w:pPr>
      <w:r>
        <w:tab/>
        <w:t>Al cotejar lo sucedido el 10 de julio de 1994 con lo acontecido el 14 de ese mes, es evidente que la inte</w:t>
      </w:r>
      <w:r>
        <w:t>r</w:t>
      </w:r>
      <w:r>
        <w:t>vención endilgada a Leal en el primero de esos sucesos, resulta incompatible con su partic</w:t>
      </w:r>
      <w:r>
        <w:t>i</w:t>
      </w:r>
      <w:r>
        <w:t>pación el 14.</w:t>
      </w:r>
    </w:p>
    <w:p w:rsidR="00224567" w:rsidRDefault="00224567">
      <w:pPr>
        <w:widowControl w:val="0"/>
      </w:pPr>
      <w:r>
        <w:tab/>
        <w:t>En efecto, toda vez que no se disc</w:t>
      </w:r>
      <w:r>
        <w:t>u</w:t>
      </w:r>
      <w:r>
        <w:t>tió la participación de Leal en el procedimiento del 14 de j</w:t>
      </w:r>
      <w:r>
        <w:t>u</w:t>
      </w:r>
      <w:r>
        <w:t>lio, carece de sustento la afirmación de Telleldín de h</w:t>
      </w:r>
      <w:r>
        <w:t>a</w:t>
      </w:r>
      <w:r>
        <w:t>berse encontrado y conversado cara a cara con el citado oficial el 10.</w:t>
      </w:r>
    </w:p>
    <w:p w:rsidR="00224567" w:rsidRDefault="00224567">
      <w:pPr>
        <w:widowControl w:val="0"/>
      </w:pPr>
      <w:r>
        <w:tab/>
        <w:t>Es que de haber existido dicho conta</w:t>
      </w:r>
      <w:r>
        <w:t>c</w:t>
      </w:r>
      <w:r>
        <w:t>to no se ju</w:t>
      </w:r>
      <w:r>
        <w:t>s</w:t>
      </w:r>
      <w:r>
        <w:t>tifica que, luego de la persecución del 14 de julio de 1994, Carlos Alberto Telleldín llamara a Diego Barreda para aver</w:t>
      </w:r>
      <w:r>
        <w:t>i</w:t>
      </w:r>
      <w:r>
        <w:t>guar quiénes lo “apretaban”.</w:t>
      </w:r>
    </w:p>
    <w:p w:rsidR="00224567" w:rsidRDefault="00224567">
      <w:pPr>
        <w:widowControl w:val="0"/>
      </w:pPr>
      <w:r>
        <w:tab/>
        <w:t>Lo expuesto precedentemente encuentra apoyatura en los dichos de Leal, Ga</w:t>
      </w:r>
      <w:r>
        <w:t>r</w:t>
      </w:r>
      <w:r>
        <w:t>cía y Barreda.</w:t>
      </w:r>
    </w:p>
    <w:p w:rsidR="00224567" w:rsidRDefault="00224567">
      <w:pPr>
        <w:widowControl w:val="0"/>
      </w:pPr>
      <w:r>
        <w:tab/>
        <w:t>Así, Leal durante el debate, al rel</w:t>
      </w:r>
      <w:r>
        <w:t>a</w:t>
      </w:r>
      <w:r>
        <w:t>tar la persecución a Telleldín del 14 de julio, man</w:t>
      </w:r>
      <w:r>
        <w:t>i</w:t>
      </w:r>
      <w:r>
        <w:t>festó que cuando éste chocó con el poste de luz, la distancia entre ambos fue un vidrio. Intentó abrir la puerta de T</w:t>
      </w:r>
      <w:r>
        <w:t>e</w:t>
      </w:r>
      <w:r>
        <w:t>lle</w:t>
      </w:r>
      <w:r>
        <w:t>l</w:t>
      </w:r>
      <w:r>
        <w:t>dín pero estaba trabada y fue allí cuando la culata de la pistola de García golpeó con la parte superior del v</w:t>
      </w:r>
      <w:r>
        <w:t>i</w:t>
      </w:r>
      <w:r>
        <w:t>drio. Afirmó incluso que alcanzó a mostrar la credencial que tenía en la m</w:t>
      </w:r>
      <w:r>
        <w:t>a</w:t>
      </w:r>
      <w:r>
        <w:t>no.</w:t>
      </w:r>
    </w:p>
    <w:p w:rsidR="00224567" w:rsidRDefault="00224567">
      <w:pPr>
        <w:widowControl w:val="0"/>
      </w:pPr>
      <w:r>
        <w:tab/>
        <w:t>Ese tramo del procedimiento fue rat</w:t>
      </w:r>
      <w:r>
        <w:t>i</w:t>
      </w:r>
      <w:r>
        <w:t>ficado testimonialmente por Manuel Enrique García. Así, sostuvo que</w:t>
      </w:r>
      <w:r>
        <w:rPr>
          <w:b/>
          <w:bCs/>
        </w:rPr>
        <w:t xml:space="preserve"> </w:t>
      </w:r>
      <w:r>
        <w:t>con Leal persiguieron a Telleldín en la zona de San Martín. Cuando éste embistió una columna de luz, intentaron con Leal abrir las puertas del rodado pero e</w:t>
      </w:r>
      <w:r>
        <w:t>s</w:t>
      </w:r>
      <w:r>
        <w:t>taban trabadas. En ese momento quedaron cara a cara con Telleldín, quien de inmediato dio marcha atrás y se f</w:t>
      </w:r>
      <w:r>
        <w:t>u</w:t>
      </w:r>
      <w:r>
        <w:t>gó.</w:t>
      </w:r>
    </w:p>
    <w:p w:rsidR="00224567" w:rsidRDefault="00224567">
      <w:pPr>
        <w:widowControl w:val="0"/>
      </w:pPr>
      <w:r>
        <w:tab/>
        <w:t>Por su parte, Telleldín en sede in</w:t>
      </w:r>
      <w:r>
        <w:t>s</w:t>
      </w:r>
      <w:r>
        <w:t>tructoria señaló que “... moviliza a Eduardo y a Barreda para que ubiquen de dónde venía el tema y negociar, ya que no sabía si eran los acreedores o gente nueva”. También manifestó “Que desde un teléfono público sito en Pueyrr</w:t>
      </w:r>
      <w:r>
        <w:t>e</w:t>
      </w:r>
      <w:r>
        <w:t>dón y Santa Fe llama a Barreda y a Eduardo para que aver</w:t>
      </w:r>
      <w:r>
        <w:t>i</w:t>
      </w:r>
      <w:r>
        <w:t>güen que pasaba, ya que era extr</w:t>
      </w:r>
      <w:r>
        <w:t>a</w:t>
      </w:r>
      <w:r>
        <w:t>ño ...”.</w:t>
      </w:r>
    </w:p>
    <w:p w:rsidR="00224567" w:rsidRDefault="00224567">
      <w:pPr>
        <w:widowControl w:val="0"/>
      </w:pPr>
      <w:r>
        <w:tab/>
        <w:t>Durante el debate, y al ser interrog</w:t>
      </w:r>
      <w:r>
        <w:t>a</w:t>
      </w:r>
      <w:r>
        <w:t>do específicamente sobre la contradicción en análisis, T</w:t>
      </w:r>
      <w:r>
        <w:t>e</w:t>
      </w:r>
      <w:r>
        <w:t>lleldín –en un i</w:t>
      </w:r>
      <w:r>
        <w:t>n</w:t>
      </w:r>
      <w:r>
        <w:t>tento por superarla– modificó su versión al referir que en la comunicación a Barreda le solicitó que le solucionara el problema y no qué averiguara de dó</w:t>
      </w:r>
      <w:r>
        <w:t>n</w:t>
      </w:r>
      <w:r>
        <w:t>de prov</w:t>
      </w:r>
      <w:r>
        <w:t>e</w:t>
      </w:r>
      <w:r>
        <w:t>nía.</w:t>
      </w:r>
    </w:p>
    <w:p w:rsidR="00224567" w:rsidRDefault="00224567">
      <w:pPr>
        <w:widowControl w:val="0"/>
      </w:pPr>
      <w:r>
        <w:tab/>
        <w:t>Este cambio de versión, no resulta creíble al ser contrastado con lo sostenido por Diego E</w:t>
      </w:r>
      <w:r>
        <w:t>n</w:t>
      </w:r>
      <w:r>
        <w:t>rique Barreda e incluso por Ana María Boragni. El primero en instrucción dijo que el 15 de julio de 1994, en horas de la mañana, fue contactado tel</w:t>
      </w:r>
      <w:r>
        <w:t>e</w:t>
      </w:r>
      <w:r>
        <w:t>fónicamente por Telleldín para que averiguara el origen y los motivos de dicho pr</w:t>
      </w:r>
      <w:r>
        <w:t>o</w:t>
      </w:r>
      <w:r>
        <w:t>cedimiento y tratara de establecer a qué Brigada de Inve</w:t>
      </w:r>
      <w:r>
        <w:t>s</w:t>
      </w:r>
      <w:r>
        <w:t>tigaciones pertenecía el personal, pidiéndole a su vez orientación y consejo respecto a la intervención de un profesi</w:t>
      </w:r>
      <w:r>
        <w:t>o</w:t>
      </w:r>
      <w:r>
        <w:t>nal.</w:t>
      </w:r>
    </w:p>
    <w:p w:rsidR="00224567" w:rsidRDefault="00224567">
      <w:pPr>
        <w:widowControl w:val="0"/>
        <w:rPr>
          <w:lang w:val="es-ES_tradnl"/>
        </w:rPr>
      </w:pPr>
      <w:r>
        <w:tab/>
        <w:t>Por su parte, Boragni dijo que con posterioridad a la persecución del 14 de julio Telleldín se comunicó con Barreda para comentarle lo suced</w:t>
      </w:r>
      <w:r>
        <w:t>i</w:t>
      </w:r>
      <w:r>
        <w:t>do, quien a su vez le refirió que averiguaría de qué se trataba.</w:t>
      </w:r>
    </w:p>
    <w:p w:rsidR="00224567" w:rsidRDefault="00224567">
      <w:pPr>
        <w:widowControl w:val="0"/>
      </w:pPr>
      <w:r>
        <w:rPr>
          <w:lang w:val="es-ES_tradnl"/>
        </w:rPr>
        <w:tab/>
      </w:r>
      <w:r>
        <w:t>Si se tienen en cuenta estas declar</w:t>
      </w:r>
      <w:r>
        <w:t>a</w:t>
      </w:r>
      <w:r>
        <w:t>ciones y que Carlos Alberto Telleldín pudo ver a García y a Leal cuando intentaron abrir la puerta de su veh</w:t>
      </w:r>
      <w:r>
        <w:t>í</w:t>
      </w:r>
      <w:r>
        <w:t>culo el 14 de julio de 1994, se advierte a simple vista lo inver</w:t>
      </w:r>
      <w:r>
        <w:t>o</w:t>
      </w:r>
      <w:r>
        <w:t>símil que resulta la afirmación de Telleldín de haber di</w:t>
      </w:r>
      <w:r>
        <w:t>a</w:t>
      </w:r>
      <w:r>
        <w:t>logado detenidamente con Leal el 10 de julio de ese año, oportunidad en que éste, luego de identificarse como el oficial “Pino”, le dijera que tenían la manzana rodeada. Si esto fuera cierto, todas las averiguaciones efe</w:t>
      </w:r>
      <w:r>
        <w:t>c</w:t>
      </w:r>
      <w:r>
        <w:t>tuadas por Telleldín luego de la persecución del 14 de julio de 1994 carecerían de se</w:t>
      </w:r>
      <w:r>
        <w:t>n</w:t>
      </w:r>
      <w:r>
        <w:t>tido.</w:t>
      </w:r>
    </w:p>
    <w:p w:rsidR="00224567" w:rsidRDefault="00224567">
      <w:pPr>
        <w:pStyle w:val="Ttulo7"/>
        <w:widowControl w:val="0"/>
      </w:pPr>
      <w:r>
        <w:rPr>
          <w:b/>
          <w:bCs/>
        </w:rPr>
        <w:tab/>
      </w:r>
      <w:bookmarkStart w:id="169" w:name="_Toc86731967"/>
      <w:r>
        <w:rPr>
          <w:b/>
          <w:bCs/>
        </w:rPr>
        <w:t>C.2.c.vi.D)</w:t>
      </w:r>
      <w:bookmarkStart w:id="170" w:name="_Toc16326854"/>
      <w:bookmarkStart w:id="171" w:name="_Toc50181234"/>
      <w:bookmarkStart w:id="172" w:name="_Toc79904992"/>
      <w:bookmarkStart w:id="173" w:name="_Toc79905044"/>
      <w:r>
        <w:rPr>
          <w:b/>
          <w:bCs/>
        </w:rPr>
        <w:t xml:space="preserve"> </w:t>
      </w:r>
      <w:r>
        <w:t>El tema de los vehículos que interv</w:t>
      </w:r>
      <w:r>
        <w:t>i</w:t>
      </w:r>
      <w:r>
        <w:t>nieron</w:t>
      </w:r>
      <w:bookmarkEnd w:id="169"/>
      <w:bookmarkEnd w:id="170"/>
      <w:bookmarkEnd w:id="171"/>
      <w:bookmarkEnd w:id="172"/>
      <w:bookmarkEnd w:id="173"/>
      <w:r>
        <w:t>.</w:t>
      </w:r>
    </w:p>
    <w:p w:rsidR="00224567" w:rsidRDefault="00224567">
      <w:pPr>
        <w:widowControl w:val="0"/>
      </w:pPr>
      <w:r>
        <w:tab/>
      </w:r>
      <w:r>
        <w:rPr>
          <w:b/>
          <w:bCs/>
        </w:rPr>
        <w:t>C.2.c.vi.D.1)</w:t>
      </w:r>
      <w:r>
        <w:t xml:space="preserve"> Al tratar el tema de los vehículos que habrían intervenido el 10 y el 14 de julio de 1994, otra vez se a</w:t>
      </w:r>
      <w:r>
        <w:t>d</w:t>
      </w:r>
      <w:r>
        <w:t>vierte en  el  relato de Telleldín -pieza central de la imputación hacia el pe</w:t>
      </w:r>
      <w:r>
        <w:t>r</w:t>
      </w:r>
      <w:r>
        <w:t xml:space="preserve">sonal policial por la recepción de </w:t>
      </w:r>
      <w:smartTag w:uri="urn:schemas-microsoft-com:office:smarttags" w:element="PersonName">
        <w:smartTagPr>
          <w:attr w:name="ProductID" w:val="la Trafic"/>
        </w:smartTagPr>
        <w:r>
          <w:t>la Trafic</w:t>
        </w:r>
      </w:smartTag>
      <w:r>
        <w:t>– una serie de contradicci</w:t>
      </w:r>
      <w:r>
        <w:t>o</w:t>
      </w:r>
      <w:r>
        <w:t>nes e inconsecuencias insa</w:t>
      </w:r>
      <w:r>
        <w:t>l</w:t>
      </w:r>
      <w:r>
        <w:t>vables.</w:t>
      </w:r>
    </w:p>
    <w:p w:rsidR="00224567" w:rsidRDefault="00224567">
      <w:pPr>
        <w:widowControl w:val="0"/>
      </w:pPr>
      <w:r>
        <w:tab/>
        <w:t>Para efectuar tal examen resulta i</w:t>
      </w:r>
      <w:r>
        <w:t>n</w:t>
      </w:r>
      <w:r>
        <w:t>dispensable reseñar las distintas versiones dadas por T</w:t>
      </w:r>
      <w:r>
        <w:t>e</w:t>
      </w:r>
      <w:r>
        <w:t>lleldín, para luego destacar las contradi</w:t>
      </w:r>
      <w:r>
        <w:t>c</w:t>
      </w:r>
      <w:r>
        <w:t xml:space="preserve">ciones. </w:t>
      </w:r>
    </w:p>
    <w:p w:rsidR="00224567" w:rsidRDefault="00224567">
      <w:pPr>
        <w:widowControl w:val="0"/>
      </w:pPr>
      <w:r>
        <w:tab/>
        <w:t>En la declaración del 30 de julio de 1994, al relatar lo sucedido el 10 de ese mes, no me</w:t>
      </w:r>
      <w:r>
        <w:t>n</w:t>
      </w:r>
      <w:r>
        <w:t>cionó la presencia de algún vehículo en las proximidades de su domic</w:t>
      </w:r>
      <w:r>
        <w:t>i</w:t>
      </w:r>
      <w:r>
        <w:t>lio. Incluso, afirmó que el comprador arribó a pie. En esa oportunidad tampoco incluyó ning</w:t>
      </w:r>
      <w:r>
        <w:t>u</w:t>
      </w:r>
      <w:r>
        <w:t>na referencia a lo ocurr</w:t>
      </w:r>
      <w:r>
        <w:t>i</w:t>
      </w:r>
      <w:r>
        <w:t>do el 14 de ese mes.</w:t>
      </w:r>
    </w:p>
    <w:p w:rsidR="00224567" w:rsidRDefault="00224567">
      <w:pPr>
        <w:widowControl w:val="0"/>
      </w:pPr>
      <w:r>
        <w:tab/>
        <w:t>Respecto de este último suceso en la audiencia del 6 y 7 de agosto de 1994, Telleldín destacó que el personal interviniente se desplazó en dos automóv</w:t>
      </w:r>
      <w:r>
        <w:t>i</w:t>
      </w:r>
      <w:r>
        <w:t>les. Inicia</w:t>
      </w:r>
      <w:r>
        <w:t>l</w:t>
      </w:r>
      <w:r>
        <w:t>mente le cruzaron un Peugeot 505 gris y luego fue perseguido por un Ford G</w:t>
      </w:r>
      <w:r>
        <w:t>a</w:t>
      </w:r>
      <w:r>
        <w:t>laxy azul.</w:t>
      </w:r>
    </w:p>
    <w:p w:rsidR="00224567" w:rsidRDefault="00224567">
      <w:pPr>
        <w:widowControl w:val="0"/>
      </w:pPr>
      <w:r>
        <w:tab/>
        <w:t>Fue en la cotizada declaración del 5 de julio de 1996, cuando Telleldín me</w:t>
      </w:r>
      <w:r>
        <w:t>n</w:t>
      </w:r>
      <w:r>
        <w:t>cionó a un Fiat Duna blanco, un Ford Galaxy azul y otro oscuro, un Fiat 128 y un Pe</w:t>
      </w:r>
      <w:r>
        <w:t>u</w:t>
      </w:r>
      <w:r>
        <w:t>geot 505.</w:t>
      </w:r>
    </w:p>
    <w:p w:rsidR="00224567" w:rsidRDefault="00224567">
      <w:pPr>
        <w:widowControl w:val="0"/>
      </w:pPr>
      <w:r>
        <w:tab/>
        <w:t>Al relatar el 10 de julio de 1994 ub</w:t>
      </w:r>
      <w:r>
        <w:t>i</w:t>
      </w:r>
      <w:r>
        <w:t>có al Fiat Duna como el vehículo estacionado a la vuelta de su domicilio, donde se concretara la exigencia formul</w:t>
      </w:r>
      <w:r>
        <w:t>a</w:t>
      </w:r>
      <w:r>
        <w:t xml:space="preserve">da por el oficial “Pino”; al Fiat 128 como aquel del que descendieran dos sujetos que tocaran el timbre y fueran atendidos por Ana Boragni, en tanto al Ford Galaxy azul como escolta de </w:t>
      </w:r>
      <w:smartTag w:uri="urn:schemas-microsoft-com:office:smarttags" w:element="PersonName">
        <w:smartTagPr>
          <w:attr w:name="ProductID" w:val="la Trafic"/>
        </w:smartTagPr>
        <w:r>
          <w:t>la Trafic</w:t>
        </w:r>
      </w:smartTag>
      <w:r>
        <w:t xml:space="preserve"> cuando é</w:t>
      </w:r>
      <w:r>
        <w:t>s</w:t>
      </w:r>
      <w:r>
        <w:t>ta se alejaba.</w:t>
      </w:r>
    </w:p>
    <w:p w:rsidR="00224567" w:rsidRDefault="00224567">
      <w:pPr>
        <w:widowControl w:val="0"/>
      </w:pPr>
      <w:r>
        <w:tab/>
        <w:t>Cuando detalla lo ocurrido el 14 de julio de 1994, mencionó los siguientes vehículos: un Pe</w:t>
      </w:r>
      <w:r>
        <w:t>u</w:t>
      </w:r>
      <w:r>
        <w:t>geot 505, un Galaxy oscuro, otro azul, un Fiat 128 y un Fiat Duna blanco y destacó que los tres últimos eran aqu</w:t>
      </w:r>
      <w:r>
        <w:t>e</w:t>
      </w:r>
      <w:r>
        <w:t>llos que intervinieran también el 10. De todos estos rod</w:t>
      </w:r>
      <w:r>
        <w:t>a</w:t>
      </w:r>
      <w:r>
        <w:t>dos, re</w:t>
      </w:r>
      <w:r>
        <w:t>s</w:t>
      </w:r>
      <w:r>
        <w:t>pecto del hecho del 14 de julio, solo precisó que el Ford Galaxy azul fue el que lo persiguió y después trasladó a Pérez.</w:t>
      </w:r>
    </w:p>
    <w:p w:rsidR="00224567" w:rsidRDefault="00224567">
      <w:pPr>
        <w:widowControl w:val="0"/>
      </w:pPr>
      <w:r>
        <w:tab/>
        <w:t>Durante el debate, señaló que el 14 de julio de 1994 observó estacionado cerca de su v</w:t>
      </w:r>
      <w:r>
        <w:t>i</w:t>
      </w:r>
      <w:r>
        <w:t xml:space="preserve">vienda un Fiat 128 de </w:t>
      </w:r>
      <w:smartTag w:uri="urn:schemas-microsoft-com:office:smarttags" w:element="PersonName">
        <w:smartTagPr>
          <w:attr w:name="ProductID" w:val="la Comisar￭a"/>
        </w:smartTagPr>
        <w:r>
          <w:t>la Comisaría</w:t>
        </w:r>
      </w:smartTag>
      <w:r>
        <w:t xml:space="preserve"> de Villa Concepción, un Galaxy oscuro y otros vehículos que no recordó.</w:t>
      </w:r>
    </w:p>
    <w:p w:rsidR="00224567" w:rsidRDefault="00224567">
      <w:pPr>
        <w:widowControl w:val="0"/>
      </w:pPr>
      <w:r>
        <w:tab/>
        <w:t>Nuevamente relató que al salir con su mujer de su domicilio embistió a un Peugeot 505 y a un D</w:t>
      </w:r>
      <w:r>
        <w:t>u</w:t>
      </w:r>
      <w:r>
        <w:t>na blanco, ya que el primero se le había cruzado para i</w:t>
      </w:r>
      <w:r>
        <w:t>n</w:t>
      </w:r>
      <w:r>
        <w:t>terceptarlo. La pe</w:t>
      </w:r>
      <w:r>
        <w:t>r</w:t>
      </w:r>
      <w:r>
        <w:t>secución la efectuó el Ford Galaxy azul con los reflectores prend</w:t>
      </w:r>
      <w:r>
        <w:t>i</w:t>
      </w:r>
      <w:r>
        <w:t>dos. También dijo que se enteró que Hugo Pérez fue detenido y golpeado dentro de un G</w:t>
      </w:r>
      <w:r>
        <w:t>a</w:t>
      </w:r>
      <w:r>
        <w:t>laxy azul.</w:t>
      </w:r>
    </w:p>
    <w:p w:rsidR="00224567" w:rsidRDefault="00224567">
      <w:pPr>
        <w:widowControl w:val="0"/>
      </w:pPr>
      <w:r>
        <w:tab/>
        <w:t>Al ser preguntado por qué omitió en su declaración del 6 de agosto de 1994, al referirse al hecho de 14 de julio, me</w:t>
      </w:r>
      <w:r>
        <w:t>n</w:t>
      </w:r>
      <w:r>
        <w:t>cionar el Fiat 128 y el Duna blanco, lo adjudicó a un o</w:t>
      </w:r>
      <w:r>
        <w:t>l</w:t>
      </w:r>
      <w:r>
        <w:t>vido.</w:t>
      </w:r>
    </w:p>
    <w:p w:rsidR="00224567" w:rsidRDefault="00224567">
      <w:pPr>
        <w:widowControl w:val="0"/>
      </w:pPr>
      <w:r>
        <w:tab/>
        <w:t>Por otra parte, manifestó que en su declaración de julio de 1996 no colocó en el croquis c</w:t>
      </w:r>
      <w:r>
        <w:t>o</w:t>
      </w:r>
      <w:r>
        <w:t>rrespondiente a este procedimiento el Fiat 128, po</w:t>
      </w:r>
      <w:r>
        <w:t>r</w:t>
      </w:r>
      <w:r>
        <w:t>que el juez no le solicitó que lo pusiera. Aclaró que le pidi</w:t>
      </w:r>
      <w:r>
        <w:t>e</w:t>
      </w:r>
      <w:r>
        <w:t>ron que confeccionara un croquis de cada hecho, pero no le d</w:t>
      </w:r>
      <w:r>
        <w:t>i</w:t>
      </w:r>
      <w:r>
        <w:t>jeron cómo debía ubicar los autom</w:t>
      </w:r>
      <w:r>
        <w:t>ó</w:t>
      </w:r>
      <w:r>
        <w:t>viles.</w:t>
      </w:r>
    </w:p>
    <w:p w:rsidR="00224567" w:rsidRDefault="00224567">
      <w:pPr>
        <w:widowControl w:val="0"/>
      </w:pPr>
      <w:r>
        <w:tab/>
        <w:t>Sostuvo que al Galaxy ya lo había vi</w:t>
      </w:r>
      <w:r>
        <w:t>s</w:t>
      </w:r>
      <w:r>
        <w:t>to el 10 de julio. Al señalársele que en su declaración del 5 de julio de 1996 manifestó que el Galaxy oscuro que lo persiguió el 14 no era el azul que había visto el 10, reafirmó que, sin ninguna duda, se trataba del mismo vehículo en ambos casos. Agregó que el Galaxy tenía r</w:t>
      </w:r>
      <w:r>
        <w:t>e</w:t>
      </w:r>
      <w:r>
        <w:t>flect</w:t>
      </w:r>
      <w:r>
        <w:t>o</w:t>
      </w:r>
      <w:r>
        <w:t>res, que vio durante la persecución y dedujo que si el vehículo cuyas fotografías obraban a fs. 47.439/40 t</w:t>
      </w:r>
      <w:r>
        <w:t>e</w:t>
      </w:r>
      <w:r>
        <w:t>nía reflectores en el mismo lugar, podía tratarse del r</w:t>
      </w:r>
      <w:r>
        <w:t>e</w:t>
      </w:r>
      <w:r>
        <w:t>ferido, toda vez que el color coinc</w:t>
      </w:r>
      <w:r>
        <w:t>i</w:t>
      </w:r>
      <w:r>
        <w:t>día.</w:t>
      </w:r>
    </w:p>
    <w:p w:rsidR="00224567" w:rsidRDefault="00224567">
      <w:pPr>
        <w:widowControl w:val="0"/>
      </w:pPr>
      <w:r>
        <w:tab/>
        <w:t>En otro momento señaló que al Fiat D</w:t>
      </w:r>
      <w:r>
        <w:t>u</w:t>
      </w:r>
      <w:r>
        <w:t>na también lo había visto con anterioridad al procedimie</w:t>
      </w:r>
      <w:r>
        <w:t>n</w:t>
      </w:r>
      <w:r>
        <w:t>to del 14 de julio.</w:t>
      </w:r>
    </w:p>
    <w:p w:rsidR="00224567" w:rsidRDefault="00224567">
      <w:pPr>
        <w:widowControl w:val="0"/>
      </w:pPr>
      <w:r>
        <w:tab/>
        <w:t>En la audiencia de debate del 9 de d</w:t>
      </w:r>
      <w:r>
        <w:t>i</w:t>
      </w:r>
      <w:r>
        <w:t>ciembre de 2003, Telleldín expresó, con relación a lo acontecido el 10 de julio de 1994, que en las inmediaci</w:t>
      </w:r>
      <w:r>
        <w:t>o</w:t>
      </w:r>
      <w:r>
        <w:t>nes de su domicilio había un automóvil Duna blanco, un Fiat 128 –que pertenecía a la dependencia de Villa Conce</w:t>
      </w:r>
      <w:r>
        <w:t>p</w:t>
      </w:r>
      <w:r>
        <w:t>ción-, un Galaxy oscuro y otro veh</w:t>
      </w:r>
      <w:r>
        <w:t>í</w:t>
      </w:r>
      <w:r>
        <w:t>culo.</w:t>
      </w:r>
    </w:p>
    <w:p w:rsidR="00224567" w:rsidRDefault="00224567">
      <w:pPr>
        <w:widowControl w:val="0"/>
      </w:pPr>
      <w:r>
        <w:tab/>
        <w:t>Asimismo afirmó que el Galaxy azul s</w:t>
      </w:r>
      <w:r>
        <w:t>i</w:t>
      </w:r>
      <w:r>
        <w:t>guió a la camioneta Trafic luego de concretada la venta, aunque dijo desconocer si se hallaban relacionados o no. Aseguró que vinculó al Galaxy y al Duna con este hecho luego del 14, ya que en ambas ocasiones el primero tenía dos r</w:t>
      </w:r>
      <w:r>
        <w:t>e</w:t>
      </w:r>
      <w:r>
        <w:t>flectores adelante.</w:t>
      </w:r>
    </w:p>
    <w:p w:rsidR="00224567" w:rsidRDefault="00224567">
      <w:pPr>
        <w:widowControl w:val="0"/>
      </w:pPr>
      <w:r>
        <w:tab/>
        <w:t>En esa misma audiencia, exhibió un croquis con la ubic</w:t>
      </w:r>
      <w:r>
        <w:t>a</w:t>
      </w:r>
      <w:r>
        <w:t>ción de los rodados aludidos, donde se incluyó a dos G</w:t>
      </w:r>
      <w:r>
        <w:t>a</w:t>
      </w:r>
      <w:r>
        <w:t>laxy, uno azul y otro oscuro.</w:t>
      </w:r>
    </w:p>
    <w:p w:rsidR="00224567" w:rsidRDefault="00224567">
      <w:pPr>
        <w:widowControl w:val="0"/>
      </w:pPr>
      <w:r>
        <w:tab/>
        <w:t>Por otra parte, agregó que la explic</w:t>
      </w:r>
      <w:r>
        <w:t>a</w:t>
      </w:r>
      <w:r>
        <w:t>ción brindada en la indagatoria del 5 de julio de 1996 respecto al plano identificado con la letra “c” no se c</w:t>
      </w:r>
      <w:r>
        <w:t>o</w:t>
      </w:r>
      <w:r>
        <w:t>rrespondía con sus d</w:t>
      </w:r>
      <w:r>
        <w:t>i</w:t>
      </w:r>
      <w:r>
        <w:t>chos.</w:t>
      </w:r>
    </w:p>
    <w:p w:rsidR="00224567" w:rsidRDefault="00224567">
      <w:pPr>
        <w:widowControl w:val="0"/>
      </w:pPr>
      <w:r>
        <w:tab/>
        <w:t>En cuanto a lo sucedido el 14 de j</w:t>
      </w:r>
      <w:r>
        <w:t>u</w:t>
      </w:r>
      <w:r>
        <w:t>lio, manifestó que s</w:t>
      </w:r>
      <w:r>
        <w:t>a</w:t>
      </w:r>
      <w:r>
        <w:t>lió de su domicilio con un Renault 19 y fue interce</w:t>
      </w:r>
      <w:r>
        <w:t>p</w:t>
      </w:r>
      <w:r>
        <w:t>tado por un Peugeot 505 y un Duna, a los que chocó, luego se fugó, siendo perseguido por un Ford  Gal</w:t>
      </w:r>
      <w:r>
        <w:t>a</w:t>
      </w:r>
      <w:r>
        <w:t>xy.</w:t>
      </w:r>
    </w:p>
    <w:p w:rsidR="00224567" w:rsidRDefault="00224567">
      <w:pPr>
        <w:widowControl w:val="0"/>
      </w:pPr>
      <w:r>
        <w:tab/>
      </w:r>
      <w:r>
        <w:rPr>
          <w:b/>
          <w:bCs/>
          <w:lang w:val="es-ES_tradnl"/>
        </w:rPr>
        <w:t>C.2.c.vi.D.2)</w:t>
      </w:r>
      <w:r>
        <w:rPr>
          <w:lang w:val="es-ES_tradnl"/>
        </w:rPr>
        <w:t xml:space="preserve"> </w:t>
      </w:r>
      <w:r>
        <w:t>De la síntesis de las declaraciones de Telleldín más arriba expuestas se advie</w:t>
      </w:r>
      <w:r>
        <w:t>r</w:t>
      </w:r>
      <w:r>
        <w:t>ten contradicciones esenciales, omisiones injust</w:t>
      </w:r>
      <w:r>
        <w:t>i</w:t>
      </w:r>
      <w:r>
        <w:t>ficadas, y sugestivas incorporaciones de información en la declar</w:t>
      </w:r>
      <w:r>
        <w:t>a</w:t>
      </w:r>
      <w:r>
        <w:t>ción de julio de 1996, que afectan seriamente la credib</w:t>
      </w:r>
      <w:r>
        <w:t>i</w:t>
      </w:r>
      <w:r>
        <w:t>lidad de las di</w:t>
      </w:r>
      <w:r>
        <w:t>s</w:t>
      </w:r>
      <w:r>
        <w:t>tintas versiones.</w:t>
      </w:r>
    </w:p>
    <w:p w:rsidR="00224567" w:rsidRDefault="00224567">
      <w:pPr>
        <w:widowControl w:val="0"/>
      </w:pPr>
      <w:r>
        <w:tab/>
        <w:t>Telleldín, a partir de esta declar</w:t>
      </w:r>
      <w:r>
        <w:t>a</w:t>
      </w:r>
      <w:r>
        <w:t>ción mantuvo la participación de un Ford Galaxy en los h</w:t>
      </w:r>
      <w:r>
        <w:t>e</w:t>
      </w:r>
      <w:r>
        <w:t>chos del 10 y 14 de julio de 1994.</w:t>
      </w:r>
    </w:p>
    <w:p w:rsidR="00224567" w:rsidRDefault="00224567">
      <w:pPr>
        <w:widowControl w:val="0"/>
      </w:pPr>
      <w:r>
        <w:tab/>
        <w:t>Ello revela una grave inconsecuencia en su relato. Efectivamente, si el vehículo que inte</w:t>
      </w:r>
      <w:r>
        <w:t>r</w:t>
      </w:r>
      <w:r>
        <w:t>vino el 14 de julio de 1994 era el mismo que lo hiciera el 10, no se justifica que lo llamara a Barreda para que le av</w:t>
      </w:r>
      <w:r>
        <w:t>e</w:t>
      </w:r>
      <w:r>
        <w:t>riguara quiénes lo habían pers</w:t>
      </w:r>
      <w:r>
        <w:t>e</w:t>
      </w:r>
      <w:r>
        <w:t>guido aquel día.</w:t>
      </w:r>
    </w:p>
    <w:p w:rsidR="00224567" w:rsidRDefault="00224567">
      <w:pPr>
        <w:widowControl w:val="0"/>
      </w:pPr>
      <w:r>
        <w:tab/>
        <w:t>Si a ello se suma que, siempre según sus dichos conversó con Leal “cara a cara” el 10 y luego lo pudo identificar “cien por ciento” como una de las pe</w:t>
      </w:r>
      <w:r>
        <w:t>r</w:t>
      </w:r>
      <w:r>
        <w:t xml:space="preserve">sonas que lo persiguió el </w:t>
      </w:r>
      <w:smartTag w:uri="urn:schemas-microsoft-com:office:smarttags" w:element="metricconverter">
        <w:smartTagPr>
          <w:attr w:name="ProductID" w:val="14 a"/>
        </w:smartTagPr>
        <w:r>
          <w:t>14 a</w:t>
        </w:r>
      </w:smartTag>
      <w:r>
        <w:t xml:space="preserve"> bordo del Galaxy, el aleg</w:t>
      </w:r>
      <w:r>
        <w:t>a</w:t>
      </w:r>
      <w:r>
        <w:t>do descon</w:t>
      </w:r>
      <w:r>
        <w:t>o</w:t>
      </w:r>
      <w:r>
        <w:t>cimiento de quienes intervinieran en este último episodio resu</w:t>
      </w:r>
      <w:r>
        <w:t>l</w:t>
      </w:r>
      <w:r>
        <w:t>ta absurdo.</w:t>
      </w:r>
    </w:p>
    <w:p w:rsidR="00224567" w:rsidRDefault="00224567">
      <w:pPr>
        <w:widowControl w:val="0"/>
      </w:pPr>
      <w:r>
        <w:tab/>
        <w:t>Al ser preguntado durante el debate por esta contradi</w:t>
      </w:r>
      <w:r>
        <w:t>c</w:t>
      </w:r>
      <w:r>
        <w:t>ción, afirmó que a Barreda lo llamó para que le solucionara el tema y no para que le averiguara de donde provenía. Esta última versión tampoco es creíble, desde que se co</w:t>
      </w:r>
      <w:r>
        <w:t>n</w:t>
      </w:r>
      <w:r>
        <w:t>tradice no solo con los dichos de Barreda sino incluso con los de Ana Boragni, en cuanto ambos afi</w:t>
      </w:r>
      <w:r>
        <w:t>r</w:t>
      </w:r>
      <w:r>
        <w:t>maron que el llamado obedeció a la necesidad de conocer quién estaba a cargo de ese proced</w:t>
      </w:r>
      <w:r>
        <w:t>i</w:t>
      </w:r>
      <w:r>
        <w:t>miento.</w:t>
      </w:r>
    </w:p>
    <w:p w:rsidR="00224567" w:rsidRDefault="00224567">
      <w:pPr>
        <w:widowControl w:val="0"/>
      </w:pPr>
      <w:r>
        <w:tab/>
        <w:t>No es un dato menor que en relación con el 10 de julio, Telleldín introdujo la participación de un Ford Galaxy recién a dos años de su detención, es decir, en la cuestionada declaración del 5 de julio de 1996.</w:t>
      </w:r>
    </w:p>
    <w:p w:rsidR="00224567" w:rsidRDefault="00224567">
      <w:pPr>
        <w:widowControl w:val="0"/>
      </w:pPr>
      <w:r>
        <w:tab/>
        <w:t>Si bien durante el debate mantuvo e</w:t>
      </w:r>
      <w:r>
        <w:t>s</w:t>
      </w:r>
      <w:r>
        <w:t>ta versión, en su última ampliación al graficar lo sucedido aquel día, incluyó en el croquis a dos Ford Galaxy, uno azul y otro oscuro.</w:t>
      </w:r>
    </w:p>
    <w:p w:rsidR="00224567" w:rsidRDefault="00224567">
      <w:pPr>
        <w:widowControl w:val="0"/>
      </w:pPr>
      <w:r>
        <w:tab/>
        <w:t>Otra circunstancia, también relacion</w:t>
      </w:r>
      <w:r>
        <w:t>a</w:t>
      </w:r>
      <w:r>
        <w:t>da con este Ford Galaxy azul, pone en evidencia la frag</w:t>
      </w:r>
      <w:r>
        <w:t>i</w:t>
      </w:r>
      <w:r>
        <w:t>lidad de la versión de Telle</w:t>
      </w:r>
      <w:r>
        <w:t>l</w:t>
      </w:r>
      <w:r>
        <w:t>dín.</w:t>
      </w:r>
    </w:p>
    <w:p w:rsidR="00224567" w:rsidRDefault="00224567">
      <w:pPr>
        <w:widowControl w:val="0"/>
      </w:pPr>
      <w:r>
        <w:tab/>
        <w:t>En efecto, si se tiene en cuenta que el procedimiento del 14 de julio de 1994 se llevó a cabo de manera encubierta, donde las tareas de observación e inteligencia duraron más de un día, no resulta razonable que Leal –jefe de un grupo operativo de una brigada de i</w:t>
      </w:r>
      <w:r>
        <w:t>n</w:t>
      </w:r>
      <w:r>
        <w:t>vestigaciones– concurriera con ese automotor que era con</w:t>
      </w:r>
      <w:r>
        <w:t>o</w:t>
      </w:r>
      <w:r>
        <w:t>cido por Telleldín por su intervención el 10 de j</w:t>
      </w:r>
      <w:r>
        <w:t>u</w:t>
      </w:r>
      <w:r>
        <w:t>lio.</w:t>
      </w:r>
    </w:p>
    <w:p w:rsidR="00224567" w:rsidRDefault="00224567">
      <w:pPr>
        <w:widowControl w:val="0"/>
      </w:pPr>
      <w:r>
        <w:tab/>
        <w:t>Igualmente absurdo resulta que Leal estacionara ese vehículo sobre la calle República, a una cuadra de la casa a vigilar; es decir, en una ubicación que permitía que Telleldín lo advirtiera y frustrara el oper</w:t>
      </w:r>
      <w:r>
        <w:t>a</w:t>
      </w:r>
      <w:r>
        <w:t>tivo (cfr. fs. 38.880).</w:t>
      </w:r>
    </w:p>
    <w:p w:rsidR="00224567" w:rsidRDefault="00224567">
      <w:pPr>
        <w:widowControl w:val="0"/>
      </w:pPr>
      <w:r>
        <w:tab/>
        <w:t>Pero, las inconsistencias insalvables en el relato de Telleldín respecto de los vehículos, que se vienen detallando no se limitaron al Ford G</w:t>
      </w:r>
      <w:r>
        <w:t>a</w:t>
      </w:r>
      <w:r>
        <w:t>laxy, sino que también se extienden al Fiat Duna de c</w:t>
      </w:r>
      <w:r>
        <w:t>o</w:t>
      </w:r>
      <w:r>
        <w:t>lor blanco y al Fiat 128 que, según T</w:t>
      </w:r>
      <w:r>
        <w:t>e</w:t>
      </w:r>
      <w:r>
        <w:t>lleldín, habrían estado presentes en los hechos del 10 y 14 de julio de 1994.</w:t>
      </w:r>
    </w:p>
    <w:p w:rsidR="00224567" w:rsidRDefault="00224567">
      <w:pPr>
        <w:widowControl w:val="0"/>
      </w:pPr>
      <w:r>
        <w:tab/>
        <w:t>Debe resaltarse que Telleldín recién en la remunerada declaración del 5 de julio de 1996, i</w:t>
      </w:r>
      <w:r>
        <w:t>n</w:t>
      </w:r>
      <w:r>
        <w:t>cluyó simultáneamente estos dos últimos rodados en los h</w:t>
      </w:r>
      <w:r>
        <w:t>e</w:t>
      </w:r>
      <w:r>
        <w:t>chos del 10 y el 14 de julio de 1994.</w:t>
      </w:r>
    </w:p>
    <w:p w:rsidR="00224567" w:rsidRDefault="00224567">
      <w:pPr>
        <w:widowControl w:val="0"/>
      </w:pPr>
      <w:r>
        <w:tab/>
        <w:t>Pero aún en el desarrollo de esa d</w:t>
      </w:r>
      <w:r>
        <w:t>e</w:t>
      </w:r>
      <w:r>
        <w:t>claración, incurrió en una nueva contradicción al afi</w:t>
      </w:r>
      <w:r>
        <w:t>r</w:t>
      </w:r>
      <w:r>
        <w:t>mar la presencia de un Fiat 128 en la escena del 14 de julio de 1994 y lu</w:t>
      </w:r>
      <w:r>
        <w:t>e</w:t>
      </w:r>
      <w:r>
        <w:t>go omitir señalarlo en el croquis respectivo. La explicación que diera, al ser preguntado al respecto durante el debate, no salva dicha contr</w:t>
      </w:r>
      <w:r>
        <w:t>a</w:t>
      </w:r>
      <w:r>
        <w:t xml:space="preserve">dicción. </w:t>
      </w:r>
    </w:p>
    <w:p w:rsidR="00224567" w:rsidRDefault="00224567">
      <w:pPr>
        <w:widowControl w:val="0"/>
      </w:pPr>
      <w:r>
        <w:tab/>
        <w:t>En definitiva, la inclusión repent</w:t>
      </w:r>
      <w:r>
        <w:t>i</w:t>
      </w:r>
      <w:r>
        <w:t>na, realizada por Telleldín en la cotizada declaración de j</w:t>
      </w:r>
      <w:r>
        <w:t>u</w:t>
      </w:r>
      <w:r>
        <w:t>lio de 1996, del Ford Galaxy azul en su descripción de lo ocurr</w:t>
      </w:r>
      <w:r>
        <w:t>i</w:t>
      </w:r>
      <w:r>
        <w:t>do el 10 de julio de 1994, como la del Fiat 128 y el D</w:t>
      </w:r>
      <w:r>
        <w:t>u</w:t>
      </w:r>
      <w:r>
        <w:t>na blanco en el procedimiento del 14 de julio, es decir, haciendo coincidir la presencia de t</w:t>
      </w:r>
      <w:r>
        <w:t>o</w:t>
      </w:r>
      <w:r>
        <w:t>dos estos rodados en ambos epis</w:t>
      </w:r>
      <w:r>
        <w:t>o</w:t>
      </w:r>
      <w:r>
        <w:t>dios, fue un dato que conectó ambos hechos.</w:t>
      </w:r>
    </w:p>
    <w:p w:rsidR="00224567" w:rsidRDefault="00224567">
      <w:pPr>
        <w:widowControl w:val="0"/>
      </w:pPr>
      <w:r>
        <w:tab/>
        <w:t>Por ello, corresponde resaltar las tardías menciones de estos rodados, o incluso, las contr</w:t>
      </w:r>
      <w:r>
        <w:t>a</w:t>
      </w:r>
      <w:r>
        <w:t>dicciones que de su inclusión derivan. Todas estas situ</w:t>
      </w:r>
      <w:r>
        <w:t>a</w:t>
      </w:r>
      <w:r>
        <w:t>ciones, contribuyeron a cuestionar aún más la ya escasa credibilidad que los dichos de Telleldín gener</w:t>
      </w:r>
      <w:r>
        <w:t>a</w:t>
      </w:r>
      <w:r>
        <w:t>ban.</w:t>
      </w:r>
    </w:p>
    <w:p w:rsidR="00224567" w:rsidRDefault="00224567">
      <w:pPr>
        <w:pStyle w:val="Ttulo7"/>
        <w:widowControl w:val="0"/>
      </w:pPr>
      <w:r>
        <w:rPr>
          <w:b/>
          <w:bCs/>
        </w:rPr>
        <w:tab/>
      </w:r>
      <w:bookmarkStart w:id="174" w:name="_Toc50181237"/>
      <w:bookmarkStart w:id="175" w:name="_Toc79904994"/>
      <w:bookmarkStart w:id="176" w:name="_Toc79905046"/>
      <w:bookmarkStart w:id="177" w:name="_Toc86731968"/>
      <w:r>
        <w:rPr>
          <w:b/>
          <w:bCs/>
        </w:rPr>
        <w:t xml:space="preserve">C.2.c.vi.E) </w:t>
      </w:r>
      <w:r>
        <w:t>La exhibición de la placa policial como insinuación del contacto entre las Brigada de Lanús y V</w:t>
      </w:r>
      <w:r>
        <w:t>i</w:t>
      </w:r>
      <w:r>
        <w:t>cente López</w:t>
      </w:r>
      <w:bookmarkEnd w:id="174"/>
      <w:bookmarkEnd w:id="175"/>
      <w:bookmarkEnd w:id="176"/>
      <w:bookmarkEnd w:id="177"/>
      <w:r>
        <w:t>.</w:t>
      </w:r>
    </w:p>
    <w:p w:rsidR="00224567" w:rsidRDefault="00224567">
      <w:pPr>
        <w:widowControl w:val="0"/>
      </w:pPr>
      <w:r>
        <w:tab/>
        <w:t>Se ha sostenido la vinculación de las brigadas de Lanús y Vicente López a partir de la exhib</w:t>
      </w:r>
      <w:r>
        <w:t>i</w:t>
      </w:r>
      <w:r>
        <w:t>ción de las placas policiales durante la persecución efe</w:t>
      </w:r>
      <w:r>
        <w:t>c</w:t>
      </w:r>
      <w:r>
        <w:t>tuada el 14 de julio de 1994.</w:t>
      </w:r>
    </w:p>
    <w:p w:rsidR="00224567" w:rsidRDefault="00224567">
      <w:pPr>
        <w:widowControl w:val="0"/>
      </w:pPr>
      <w:r>
        <w:tab/>
        <w:t>Así, Telleldín en su declaración de julio de 1996 afirmó que el personal policial que i</w:t>
      </w:r>
      <w:r>
        <w:t>n</w:t>
      </w:r>
      <w:r>
        <w:t>tentó abrir las pue</w:t>
      </w:r>
      <w:r>
        <w:t>r</w:t>
      </w:r>
      <w:r>
        <w:t>tas del Renault 19 en el que huía, colocó su placa policial contra el parabrisas para identif</w:t>
      </w:r>
      <w:r>
        <w:t>i</w:t>
      </w:r>
      <w:r>
        <w:t>carse.</w:t>
      </w:r>
    </w:p>
    <w:p w:rsidR="00224567" w:rsidRDefault="00224567">
      <w:pPr>
        <w:widowControl w:val="0"/>
      </w:pPr>
      <w:r>
        <w:tab/>
        <w:t>Según Telleldín, esta actitud del pe</w:t>
      </w:r>
      <w:r>
        <w:t>r</w:t>
      </w:r>
      <w:r>
        <w:t>sonal policial de Vicente López obedecía a lo suc</w:t>
      </w:r>
      <w:r>
        <w:t>e</w:t>
      </w:r>
      <w:r>
        <w:t>dido con sus pares de Lanús en marzo de 1994, cuando se resistiera a la d</w:t>
      </w:r>
      <w:r>
        <w:t>e</w:t>
      </w:r>
      <w:r>
        <w:t>tención y lograra escaparse.</w:t>
      </w:r>
    </w:p>
    <w:p w:rsidR="00224567" w:rsidRDefault="00224567">
      <w:pPr>
        <w:widowControl w:val="0"/>
      </w:pPr>
      <w:r>
        <w:tab/>
        <w:t>Explicó que al ser finalmente deten</w:t>
      </w:r>
      <w:r>
        <w:t>i</w:t>
      </w:r>
      <w:r>
        <w:t>do, al mes, por los integrantes de la brigada de Lanús, justificó su intempestiva huida en su desconocimiento de que quien se le acercara al auto fuera personal p</w:t>
      </w:r>
      <w:r>
        <w:t>o</w:t>
      </w:r>
      <w:r>
        <w:t>licial, ya que sup</w:t>
      </w:r>
      <w:r>
        <w:t>o</w:t>
      </w:r>
      <w:r>
        <w:t>nía que eran ladrones.</w:t>
      </w:r>
    </w:p>
    <w:p w:rsidR="00224567" w:rsidRDefault="00224567">
      <w:pPr>
        <w:widowControl w:val="0"/>
      </w:pPr>
      <w:r>
        <w:tab/>
        <w:t>Entonces, interpretó que los policías de Vicente López exhibieron sus credenciales para que no se reitere lo ocurrido en marzo de 1994. Ello demo</w:t>
      </w:r>
      <w:r>
        <w:t>s</w:t>
      </w:r>
      <w:r>
        <w:t>traría, a su juicio, la vinculación entre las dos br</w:t>
      </w:r>
      <w:r>
        <w:t>i</w:t>
      </w:r>
      <w:r>
        <w:t>gadas.</w:t>
      </w:r>
    </w:p>
    <w:p w:rsidR="00224567" w:rsidRDefault="00224567">
      <w:pPr>
        <w:widowControl w:val="0"/>
      </w:pPr>
      <w:r>
        <w:tab/>
        <w:t>Durante el debate Telleldín ratificó que la exhibición de esas chapas policiales era una mue</w:t>
      </w:r>
      <w:r>
        <w:t>s</w:t>
      </w:r>
      <w:r>
        <w:t>tra de la conexión e</w:t>
      </w:r>
      <w:r>
        <w:t>n</w:t>
      </w:r>
      <w:r>
        <w:t>tre ambas brigadas.</w:t>
      </w:r>
    </w:p>
    <w:p w:rsidR="00224567" w:rsidRDefault="00224567">
      <w:pPr>
        <w:widowControl w:val="0"/>
      </w:pPr>
      <w:r>
        <w:tab/>
      </w:r>
      <w:smartTag w:uri="urn:schemas-microsoft-com:office:smarttags" w:element="PersonName">
        <w:smartTagPr>
          <w:attr w:name="ProductID" w:val="La Fiscal￭a"/>
        </w:smartTagPr>
        <w:r>
          <w:t>La Fiscalía</w:t>
        </w:r>
      </w:smartTag>
      <w:r>
        <w:t xml:space="preserve"> durante el alegato util</w:t>
      </w:r>
      <w:r>
        <w:t>i</w:t>
      </w:r>
      <w:r>
        <w:t>zó este mismo argumento, entre otros, para justificar la c</w:t>
      </w:r>
      <w:r>
        <w:t>o</w:t>
      </w:r>
      <w:r>
        <w:t>nexión e</w:t>
      </w:r>
      <w:r>
        <w:t>n</w:t>
      </w:r>
      <w:r>
        <w:t>tre estas dependencias.</w:t>
      </w:r>
    </w:p>
    <w:p w:rsidR="00224567" w:rsidRDefault="00224567">
      <w:pPr>
        <w:widowControl w:val="0"/>
      </w:pPr>
      <w:r>
        <w:tab/>
        <w:t>Este intento de vincular ambas brig</w:t>
      </w:r>
      <w:r>
        <w:t>a</w:t>
      </w:r>
      <w:r>
        <w:t>das fracasa, en primer lugar, porque según la versión e</w:t>
      </w:r>
      <w:r>
        <w:t>x</w:t>
      </w:r>
      <w:r>
        <w:t>torsiva, Leal no tenía necesidad de identificarse ante T</w:t>
      </w:r>
      <w:r>
        <w:t>e</w:t>
      </w:r>
      <w:r>
        <w:t>lleldín el 14 de julio de 1994 porque ya lo había hecho cuatro d</w:t>
      </w:r>
      <w:r>
        <w:t>í</w:t>
      </w:r>
      <w:r>
        <w:t>as antes.</w:t>
      </w:r>
    </w:p>
    <w:p w:rsidR="00224567" w:rsidRDefault="00224567">
      <w:pPr>
        <w:widowControl w:val="0"/>
      </w:pPr>
      <w:r>
        <w:tab/>
        <w:t>Pero además, no puede servir de arg</w:t>
      </w:r>
      <w:r>
        <w:t>u</w:t>
      </w:r>
      <w:r>
        <w:t>mento para c</w:t>
      </w:r>
      <w:r>
        <w:t>o</w:t>
      </w:r>
      <w:r>
        <w:t>nectar ambas dependencias que los policías se identifiquen como tales en el transcurso de un proced</w:t>
      </w:r>
      <w:r>
        <w:t>i</w:t>
      </w:r>
      <w:r>
        <w:t xml:space="preserve">miento. Este proceder, lejos de resultar anómalo –como lo razonan Telleldín y </w:t>
      </w:r>
      <w:smartTag w:uri="urn:schemas-microsoft-com:office:smarttags" w:element="PersonName">
        <w:smartTagPr>
          <w:attr w:name="ProductID" w:val="La Fiscal￭a"/>
        </w:smartTagPr>
        <w:r>
          <w:t>la Fiscalía</w:t>
        </w:r>
      </w:smartTag>
      <w:r>
        <w:t>– aparece tota</w:t>
      </w:r>
      <w:r>
        <w:t>l</w:t>
      </w:r>
      <w:r>
        <w:t>mente lógico ante personas extrañas al momento de intentar su dete</w:t>
      </w:r>
      <w:r>
        <w:t>n</w:t>
      </w:r>
      <w:r>
        <w:t>ción. Por ende, no hay forma lógica de arribar a la co</w:t>
      </w:r>
      <w:r>
        <w:t>n</w:t>
      </w:r>
      <w:r>
        <w:t>clusión pr</w:t>
      </w:r>
      <w:r>
        <w:t>e</w:t>
      </w:r>
      <w:r>
        <w:t>tendida a partir de aquellas premisas.</w:t>
      </w:r>
    </w:p>
    <w:p w:rsidR="00224567" w:rsidRDefault="00224567">
      <w:pPr>
        <w:widowControl w:val="0"/>
      </w:pPr>
      <w:r>
        <w:tab/>
        <w:t>Por otra parte y toda vez que no fue controvertida durante el debate la exhibición de las ch</w:t>
      </w:r>
      <w:r>
        <w:t>a</w:t>
      </w:r>
      <w:r>
        <w:t>pas policiales en el procedimiento del 14 de julio de 1994, ello demuestra que Leal recién conoció a Telleldín ese día, y, por ende, esta es una razón más para afirmar que es falso el e</w:t>
      </w:r>
      <w:r>
        <w:t>n</w:t>
      </w:r>
      <w:r>
        <w:t>cuentro pretendido el 10 de julio.</w:t>
      </w:r>
    </w:p>
    <w:p w:rsidR="00224567" w:rsidRDefault="00224567">
      <w:pPr>
        <w:pStyle w:val="Ttulo6"/>
        <w:keepNext w:val="0"/>
        <w:widowControl w:val="0"/>
        <w:spacing w:line="600" w:lineRule="auto"/>
        <w:rPr>
          <w:rFonts w:cs="Courier New"/>
          <w:u w:val="none"/>
        </w:rPr>
      </w:pPr>
      <w:r>
        <w:rPr>
          <w:rFonts w:cs="Courier New"/>
          <w:u w:val="none"/>
        </w:rPr>
        <w:tab/>
      </w:r>
      <w:bookmarkStart w:id="178" w:name="_Toc86731969"/>
      <w:r>
        <w:rPr>
          <w:rFonts w:cs="Courier New"/>
          <w:u w:val="none"/>
        </w:rPr>
        <w:t>C.2.c.vii)</w:t>
      </w:r>
      <w:bookmarkStart w:id="179" w:name="_Toc79904995"/>
      <w:bookmarkStart w:id="180" w:name="_Toc79905047"/>
      <w:r>
        <w:rPr>
          <w:rFonts w:cs="Courier New"/>
          <w:u w:val="none"/>
        </w:rPr>
        <w:t xml:space="preserve"> </w:t>
      </w:r>
      <w:r>
        <w:rPr>
          <w:rFonts w:cs="Courier New"/>
          <w:b w:val="0"/>
          <w:bCs/>
          <w:u w:val="none"/>
        </w:rPr>
        <w:t>Conclusión</w:t>
      </w:r>
      <w:bookmarkEnd w:id="178"/>
      <w:bookmarkEnd w:id="179"/>
      <w:bookmarkEnd w:id="180"/>
      <w:r>
        <w:rPr>
          <w:rFonts w:cs="Courier New"/>
          <w:b w:val="0"/>
          <w:bCs/>
          <w:u w:val="none"/>
        </w:rPr>
        <w:t>.</w:t>
      </w:r>
    </w:p>
    <w:p w:rsidR="00224567" w:rsidRDefault="00224567">
      <w:pPr>
        <w:widowControl w:val="0"/>
      </w:pPr>
      <w:r>
        <w:tab/>
        <w:t>No puede soslayarse, luego de exponer la absoluta y evidente inconsistencia de los dichos de T</w:t>
      </w:r>
      <w:r>
        <w:t>e</w:t>
      </w:r>
      <w:r>
        <w:t>lleldín –seguido por las personas de su entorno más ínt</w:t>
      </w:r>
      <w:r>
        <w:t>i</w:t>
      </w:r>
      <w:r>
        <w:t>mo– la actitud desplegada por los acusadores en su valor</w:t>
      </w:r>
      <w:r>
        <w:t>a</w:t>
      </w:r>
      <w:r>
        <w:t>ción.</w:t>
      </w:r>
    </w:p>
    <w:p w:rsidR="00224567" w:rsidRDefault="00224567">
      <w:pPr>
        <w:widowControl w:val="0"/>
      </w:pPr>
      <w:r>
        <w:tab/>
        <w:t>En primer lugar, debe resaltarse que los fundamentos aportados para no solo valorar, sino, i</w:t>
      </w:r>
      <w:r>
        <w:t>n</w:t>
      </w:r>
      <w:r>
        <w:t>cluso, erigir esas manifestaciones en su principal eleme</w:t>
      </w:r>
      <w:r>
        <w:t>n</w:t>
      </w:r>
      <w:r>
        <w:t>to de cargo, devienen absolutamente contradict</w:t>
      </w:r>
      <w:r>
        <w:t>o</w:t>
      </w:r>
      <w:r>
        <w:t>rios.</w:t>
      </w:r>
    </w:p>
    <w:p w:rsidR="00224567" w:rsidRDefault="00224567">
      <w:pPr>
        <w:widowControl w:val="0"/>
      </w:pPr>
      <w:r>
        <w:tab/>
        <w:t>Como ya se señalara en la introdu</w:t>
      </w:r>
      <w:r>
        <w:t>c</w:t>
      </w:r>
      <w:r>
        <w:t>ción de este apart</w:t>
      </w:r>
      <w:r>
        <w:t>a</w:t>
      </w:r>
      <w:r>
        <w:t>do, se destacaron las mentiras de Telleldín para descalificar sus intentos por desvincularse de la imputación, mientras se rescataban sus dichos en cuanto pudieran emplearse como elementos de cargo de la partic</w:t>
      </w:r>
      <w:r>
        <w:t>i</w:t>
      </w:r>
      <w:r>
        <w:t>pación de los ex policías bonaere</w:t>
      </w:r>
      <w:r>
        <w:t>n</w:t>
      </w:r>
      <w:r>
        <w:t>ses en el atentado.</w:t>
      </w:r>
    </w:p>
    <w:p w:rsidR="00224567" w:rsidRDefault="00224567">
      <w:pPr>
        <w:widowControl w:val="0"/>
      </w:pPr>
      <w:r>
        <w:tab/>
        <w:t>Los acusadores han pretendido justif</w:t>
      </w:r>
      <w:r>
        <w:t>i</w:t>
      </w:r>
      <w:r>
        <w:t>car ese doble baremo en que las afirmaciones de T</w:t>
      </w:r>
      <w:r>
        <w:t>e</w:t>
      </w:r>
      <w:r>
        <w:t>lleldín que se emplearan con sentido incriminante, se veían corr</w:t>
      </w:r>
      <w:r>
        <w:t>o</w:t>
      </w:r>
      <w:r>
        <w:t>boradas por la d</w:t>
      </w:r>
      <w:r>
        <w:t>e</w:t>
      </w:r>
      <w:r>
        <w:t>más prueba acumulada al proceso.</w:t>
      </w:r>
    </w:p>
    <w:p w:rsidR="00224567" w:rsidRDefault="00224567">
      <w:pPr>
        <w:widowControl w:val="0"/>
      </w:pPr>
      <w:r>
        <w:tab/>
        <w:t>Este argumento no puede prosperar, al refutarse en el análisis precedente todas y cada una de las circunstancias señaladas por Telleldín en sus declar</w:t>
      </w:r>
      <w:r>
        <w:t>a</w:t>
      </w:r>
      <w:r>
        <w:t>ciones respecto de lo oc</w:t>
      </w:r>
      <w:r>
        <w:t>u</w:t>
      </w:r>
      <w:r>
        <w:t>rrido el 10 de julio de 1994.</w:t>
      </w:r>
    </w:p>
    <w:p w:rsidR="00224567" w:rsidRDefault="00224567">
      <w:pPr>
        <w:widowControl w:val="0"/>
      </w:pPr>
      <w:r>
        <w:tab/>
        <w:t>Pero no puede soslayarse, por la gr</w:t>
      </w:r>
      <w:r>
        <w:t>a</w:t>
      </w:r>
      <w:r>
        <w:t>vedad que tal comportamiento importa, que los acusadores evidenciaron un seguimiento incondicional a las s</w:t>
      </w:r>
      <w:r>
        <w:t>u</w:t>
      </w:r>
      <w:r>
        <w:t>cesivas declaraciones de Telleldín. No existe otra explicación p</w:t>
      </w:r>
      <w:r>
        <w:t>a</w:t>
      </w:r>
      <w:r>
        <w:t>ra que sustentaran sobre sus dichos –confusos, contradi</w:t>
      </w:r>
      <w:r>
        <w:t>c</w:t>
      </w:r>
      <w:r>
        <w:t>torios e inconsecuentes– la base de la imputación que d</w:t>
      </w:r>
      <w:r>
        <w:t>i</w:t>
      </w:r>
      <w:r>
        <w:t>rigen a los ex policías bonaerenses en la recepción de la camioneta Trafic util</w:t>
      </w:r>
      <w:r>
        <w:t>i</w:t>
      </w:r>
      <w:r>
        <w:t>zada en el atentado.</w:t>
      </w:r>
    </w:p>
    <w:p w:rsidR="00224567" w:rsidRDefault="00224567">
      <w:pPr>
        <w:widowControl w:val="0"/>
      </w:pPr>
      <w:r>
        <w:tab/>
        <w:t>Esa dependencia se vislumbra clarame</w:t>
      </w:r>
      <w:r>
        <w:t>n</w:t>
      </w:r>
      <w:r>
        <w:t>te con el acompañamiento al imputado en cada una de sus versiones de lo ocurrido el 10 de julio de 1994. Si T</w:t>
      </w:r>
      <w:r>
        <w:t>e</w:t>
      </w:r>
      <w:r>
        <w:t>lleldín en la remunerada declaración del 5 de julio de 1996, último eslabón de una serie de actos irregulares ejercidos por representantes del Estado tendientes a l</w:t>
      </w:r>
      <w:r>
        <w:t>o</w:t>
      </w:r>
      <w:r>
        <w:t>grar la declaración del i</w:t>
      </w:r>
      <w:r>
        <w:t>m</w:t>
      </w:r>
      <w:r>
        <w:t>putado, sostuvo que la camioneta le fue entregada a un grupo de ex policías bonaerenses c</w:t>
      </w:r>
      <w:r>
        <w:t>o</w:t>
      </w:r>
      <w:r>
        <w:t>mo producto de una exto</w:t>
      </w:r>
      <w:r>
        <w:t>r</w:t>
      </w:r>
      <w:r>
        <w:t>sión, pues bien, se avalaba en el requerimiento fiscal de elevación a juicio esa hipótesis. Si, en cambio, luego de corrob</w:t>
      </w:r>
      <w:r>
        <w:t>o</w:t>
      </w:r>
      <w:r>
        <w:t>rada la oscura tramitación de la causa que culminara con la citada remuneración al acusado, Telleldín denunciara que el cont</w:t>
      </w:r>
      <w:r>
        <w:t>e</w:t>
      </w:r>
      <w:r>
        <w:t>nido de aquella declaración le había sido impuesto por el juez instructor y decidiera dar una nueva versión de lo ocurrido al sost</w:t>
      </w:r>
      <w:r>
        <w:t>e</w:t>
      </w:r>
      <w:r>
        <w:t>ner que se trató de una venta, pero con la presencia de algunos vehículos policiales en las adyacencias de su d</w:t>
      </w:r>
      <w:r>
        <w:t>o</w:t>
      </w:r>
      <w:r>
        <w:t>micilio, se sostiene la versión de una entrega aco</w:t>
      </w:r>
      <w:r>
        <w:t>r</w:t>
      </w:r>
      <w:r>
        <w:t xml:space="preserve">dada. </w:t>
      </w:r>
    </w:p>
    <w:p w:rsidR="00224567" w:rsidRDefault="00224567">
      <w:pPr>
        <w:widowControl w:val="0"/>
      </w:pPr>
      <w:r>
        <w:tab/>
        <w:t>Al respecto, deviene necesaria una aclaración. Si bien de los requerimientos de elevación a juicio solo en el elaborado por la fiscalía se cal</w:t>
      </w:r>
      <w:r>
        <w:t>i</w:t>
      </w:r>
      <w:r>
        <w:t>ficó al episodio del 10 de julio de 1994 como una extorsión, la descripción del hecho imputado que efectuaran los acusad</w:t>
      </w:r>
      <w:r>
        <w:t>o</w:t>
      </w:r>
      <w:r>
        <w:t>res particulares en su dictamen no d</w:t>
      </w:r>
      <w:r>
        <w:t>i</w:t>
      </w:r>
      <w:r>
        <w:t>fiere sustancialmente de ella. Así en el de la querella A.M.I.A. se señala que este evento “no es más que la continuación de sus simil</w:t>
      </w:r>
      <w:r>
        <w:t>a</w:t>
      </w:r>
      <w:r>
        <w:t>res del 15 de marzo y –en especial– del 4 de abril, opo</w:t>
      </w:r>
      <w:r>
        <w:t>r</w:t>
      </w:r>
      <w:r>
        <w:t>tunidad en que Telleldín no pudo cancelar la deuda que mantenía con los policías encargados de dar protección a sus actividades ilícitas”. Por su parte, en el de la qu</w:t>
      </w:r>
      <w:r>
        <w:t>e</w:t>
      </w:r>
      <w:r>
        <w:t>rella D.A.I.A. se afirma que como “Telleldín era ret</w:t>
      </w:r>
      <w:r>
        <w:t>i</w:t>
      </w:r>
      <w:r>
        <w:t>cente al pago de sus deudas no siendo una excepción la policía bonaerense .... Esta a fin de lograr su comet</w:t>
      </w:r>
      <w:r>
        <w:t>i</w:t>
      </w:r>
      <w:r>
        <w:t>do –el cobro indebido por los servicios prestados– extorsionaba a T</w:t>
      </w:r>
      <w:r>
        <w:t>e</w:t>
      </w:r>
      <w:r>
        <w:t>lleldín obligándolo a la entrega de bi</w:t>
      </w:r>
      <w:r>
        <w:t>e</w:t>
      </w:r>
      <w:r>
        <w:t>nes o dinero.”.</w:t>
      </w:r>
    </w:p>
    <w:p w:rsidR="00224567" w:rsidRDefault="00224567">
      <w:pPr>
        <w:widowControl w:val="0"/>
      </w:pPr>
      <w:r>
        <w:tab/>
        <w:t>Es claro que en ambos casos se hace referencia a un proceder extorsivo, pero curiosamente se afirma la existencia de una sociedad entre los ex policías bonaerenses imputados y Telleldín, que convive con esos delitos. También en esos dictámenes se da la idea de pagos periódicos que excederían los que const</w:t>
      </w:r>
      <w:r>
        <w:t>i</w:t>
      </w:r>
      <w:r>
        <w:t>tuye el objeto de estas actuaciones. Sin embargo, no se ha aportado prueba alguna de ello.</w:t>
      </w:r>
    </w:p>
    <w:p w:rsidR="00224567" w:rsidRDefault="00224567">
      <w:pPr>
        <w:widowControl w:val="0"/>
      </w:pPr>
      <w:r>
        <w:tab/>
        <w:t>Por otra parte debe destacarse que la versión s</w:t>
      </w:r>
      <w:r>
        <w:t>o</w:t>
      </w:r>
      <w:r>
        <w:t>bre la “entrega acordada” de la camioneta Trafic denota, además de la falta de independencia, contra todo lo anunciado, de los dichos de Telleldín, un intento por superar la contradicción que deparaba el mantener la ac</w:t>
      </w:r>
      <w:r>
        <w:t>u</w:t>
      </w:r>
      <w:r>
        <w:t>sación a Telleldín (por la entrega voluntaria de un vehículo) y a los ex policías (por haberle quitado la c</w:t>
      </w:r>
      <w:r>
        <w:t>a</w:t>
      </w:r>
      <w:r>
        <w:t>mioneta contra su voluntad y como consecuencia de una e</w:t>
      </w:r>
      <w:r>
        <w:t>x</w:t>
      </w:r>
      <w:r>
        <w:t>torsión).</w:t>
      </w:r>
    </w:p>
    <w:p w:rsidR="00224567" w:rsidRDefault="00224567">
      <w:pPr>
        <w:widowControl w:val="0"/>
      </w:pPr>
      <w:r>
        <w:tab/>
        <w:t xml:space="preserve">Pero además, esta nueva hipótesis de la forma en que Telleldín entregó </w:t>
      </w:r>
      <w:smartTag w:uri="urn:schemas-microsoft-com:office:smarttags" w:element="PersonName">
        <w:smartTagPr>
          <w:attr w:name="ProductID" w:val="la Trafic"/>
        </w:smartTagPr>
        <w:r>
          <w:t>la Trafic</w:t>
        </w:r>
      </w:smartTag>
      <w:r>
        <w:t xml:space="preserve"> a los ex pol</w:t>
      </w:r>
      <w:r>
        <w:t>i</w:t>
      </w:r>
      <w:r>
        <w:t>cías imputados, no está libre de las inconsecuencias que pretendieran superarse con el cambio. Al contrario, se g</w:t>
      </w:r>
      <w:r>
        <w:t>e</w:t>
      </w:r>
      <w:r>
        <w:t>nera una nueva serie de contr</w:t>
      </w:r>
      <w:r>
        <w:t>a</w:t>
      </w:r>
      <w:r>
        <w:t>dicciones que se adiciona a las insalvables inconsecuencias de las versiones pr</w:t>
      </w:r>
      <w:r>
        <w:t>e</w:t>
      </w:r>
      <w:r>
        <w:t>vias.</w:t>
      </w:r>
    </w:p>
    <w:p w:rsidR="00224567" w:rsidRDefault="00224567">
      <w:pPr>
        <w:widowControl w:val="0"/>
      </w:pPr>
      <w:r>
        <w:tab/>
        <w:t>Entre las nacientes incoherencias m</w:t>
      </w:r>
      <w:r>
        <w:t>e</w:t>
      </w:r>
      <w:r>
        <w:t>rece destacarse aquella que ya, por sí sola, desmorona t</w:t>
      </w:r>
      <w:r>
        <w:t>o</w:t>
      </w:r>
      <w:r>
        <w:t>da la hipótesis. Carece de cualquier explicación r</w:t>
      </w:r>
      <w:r>
        <w:t>a</w:t>
      </w:r>
      <w:r>
        <w:t>zonable que se sostenga que la camioneta le fuera e</w:t>
      </w:r>
      <w:r>
        <w:t>n</w:t>
      </w:r>
      <w:r>
        <w:t>cargada –de-nominándose a este tramo entrega acordada o consensuada– y, a la vez, que se insista en que obed</w:t>
      </w:r>
      <w:r>
        <w:t>e</w:t>
      </w:r>
      <w:r>
        <w:t>cía al pago por la deuda pendiente de un hecho extors</w:t>
      </w:r>
      <w:r>
        <w:t>i</w:t>
      </w:r>
      <w:r>
        <w:t>vo.</w:t>
      </w:r>
    </w:p>
    <w:p w:rsidR="00224567" w:rsidRDefault="00224567">
      <w:pPr>
        <w:widowControl w:val="0"/>
      </w:pPr>
      <w:r>
        <w:tab/>
        <w:t>Obviamente, la absoluta falta de v</w:t>
      </w:r>
      <w:r>
        <w:t>o</w:t>
      </w:r>
      <w:r>
        <w:t>luntad en quien entrega un objeto en esas condiciones su</w:t>
      </w:r>
      <w:r>
        <w:t>r</w:t>
      </w:r>
      <w:r>
        <w:t>ge palmaria.  Debe colegirse entonces que se trató de ca</w:t>
      </w:r>
      <w:r>
        <w:t>m</w:t>
      </w:r>
      <w:r>
        <w:t>biar el nombre a la operación, y quitarle a la versión aquellos tramos cuya inc</w:t>
      </w:r>
      <w:r>
        <w:t>o</w:t>
      </w:r>
      <w:r>
        <w:t>herencia –entiéndase, no solo de quien profiriera la ve</w:t>
      </w:r>
      <w:r>
        <w:t>r</w:t>
      </w:r>
      <w:r>
        <w:t>sión (Telleldín y su entorno) sino de quienes sentaran sobre ella la acusación– resultaba e</w:t>
      </w:r>
      <w:r>
        <w:t>s</w:t>
      </w:r>
      <w:r>
        <w:t>candalosa. Así, desaparecieron de e</w:t>
      </w:r>
      <w:r>
        <w:t>s</w:t>
      </w:r>
      <w:r>
        <w:t>cena el encuentro con Cotoras y la presentación de “Pino” a la vuelta del dom</w:t>
      </w:r>
      <w:r>
        <w:t>i</w:t>
      </w:r>
      <w:r>
        <w:t>cilio de Telle</w:t>
      </w:r>
      <w:r>
        <w:t>l</w:t>
      </w:r>
      <w:r>
        <w:t>dín.</w:t>
      </w:r>
    </w:p>
    <w:p w:rsidR="00224567" w:rsidRDefault="00224567">
      <w:pPr>
        <w:widowControl w:val="0"/>
      </w:pPr>
      <w:r>
        <w:tab/>
        <w:t>En esta nueva hipótesis se sostiene, en un frustrado intento por demostrar el dolo de T</w:t>
      </w:r>
      <w:r>
        <w:t>e</w:t>
      </w:r>
      <w:r>
        <w:t>lleldín en el ate</w:t>
      </w:r>
      <w:r>
        <w:t>n</w:t>
      </w:r>
      <w:r>
        <w:t>tado, que éste preparó una camioneta, según las indicaciones de Ribelli, reforzada para soportar el peso del explosivo.  Lo que carece de explicación es la forma en que convivía en la anterior versión –sostenida por T</w:t>
      </w:r>
      <w:r>
        <w:t>e</w:t>
      </w:r>
      <w:r>
        <w:t>lleldín y apoyada por los acusadores–que la camioneta h</w:t>
      </w:r>
      <w:r>
        <w:t>a</w:t>
      </w:r>
      <w:r>
        <w:t>bía sido preparada y a la vez expoliada como producto de una extorsión sorpr</w:t>
      </w:r>
      <w:r>
        <w:t>e</w:t>
      </w:r>
      <w:r>
        <w:t>siva.</w:t>
      </w:r>
    </w:p>
    <w:p w:rsidR="00224567" w:rsidRDefault="00224567">
      <w:pPr>
        <w:widowControl w:val="0"/>
      </w:pPr>
      <w:r>
        <w:tab/>
        <w:t>Contribuye a fin de verificar la d</w:t>
      </w:r>
      <w:r>
        <w:t>e</w:t>
      </w:r>
      <w:r>
        <w:t>pendencia de los acusadores a las versiones que aportara Telleldín, la valoración que durante el debate formulara el doctor Ávila. El letrado dijo: “que no se ha de referir en a</w:t>
      </w:r>
      <w:r>
        <w:t>b</w:t>
      </w:r>
      <w:r>
        <w:t>soluto a la declaración de Telleldín del 5 de julio, por tratarse de una declaración de un coimputado altamente contaminada, no obstante sostener que ella es esencialme</w:t>
      </w:r>
      <w:r>
        <w:t>n</w:t>
      </w:r>
      <w:r>
        <w:t>te verdadera, c</w:t>
      </w:r>
      <w:r>
        <w:t>o</w:t>
      </w:r>
      <w:r>
        <w:t>mo resulta de otra prueba objetiva”.</w:t>
      </w:r>
    </w:p>
    <w:p w:rsidR="00224567" w:rsidRDefault="00224567">
      <w:pPr>
        <w:widowControl w:val="0"/>
      </w:pPr>
      <w:r>
        <w:tab/>
        <w:t>Se advierte entonces como el segu</w:t>
      </w:r>
      <w:r>
        <w:t>i</w:t>
      </w:r>
      <w:r>
        <w:t>miento a la versión de Telleldín que fuera absolutamente refutada por la prueba producida durante el debate y según el detalle más arriba efectuado, continúa aún luego de c</w:t>
      </w:r>
      <w:r>
        <w:t>o</w:t>
      </w:r>
      <w:r>
        <w:t>nocerse su espurio or</w:t>
      </w:r>
      <w:r>
        <w:t>i</w:t>
      </w:r>
      <w:r>
        <w:t>gen.</w:t>
      </w:r>
    </w:p>
    <w:p w:rsidR="00224567" w:rsidRDefault="00224567">
      <w:pPr>
        <w:widowControl w:val="0"/>
      </w:pPr>
      <w:r>
        <w:tab/>
        <w:t>La hipótesis de la “entrega acordada” resulta incomp</w:t>
      </w:r>
      <w:r>
        <w:t>a</w:t>
      </w:r>
      <w:r>
        <w:t>tible con la prueba arrimada al proceso. En efecto, en el marco de un acuerdo carece de sentido la aparición de una persona disfrazada como comprador del vehículo, las visitas del personal policial a Zulema Leoni preguntando por una Tr</w:t>
      </w:r>
      <w:r>
        <w:t>a</w:t>
      </w:r>
      <w:r>
        <w:t>fic en venta.</w:t>
      </w:r>
    </w:p>
    <w:p w:rsidR="00224567" w:rsidRDefault="00224567">
      <w:pPr>
        <w:widowControl w:val="0"/>
      </w:pPr>
      <w:r>
        <w:tab/>
        <w:t>Además la transmisión del vehículo c</w:t>
      </w:r>
      <w:r>
        <w:t>o</w:t>
      </w:r>
      <w:r>
        <w:t>mo consecuencia de un acuerdo resu</w:t>
      </w:r>
      <w:r>
        <w:t>l</w:t>
      </w:r>
      <w:r>
        <w:t>ta incompatible con las notas de las ilegales entrevistas de Riva Aramayo con T</w:t>
      </w:r>
      <w:r>
        <w:t>e</w:t>
      </w:r>
      <w:r>
        <w:t>lleldín, t</w:t>
      </w:r>
      <w:r>
        <w:t>o</w:t>
      </w:r>
      <w:r>
        <w:t>da vez que en estas se afirma que la camioneta fue entregada como producto de una exige</w:t>
      </w:r>
      <w:r>
        <w:t>n</w:t>
      </w:r>
      <w:r>
        <w:t>cia.</w:t>
      </w:r>
    </w:p>
    <w:p w:rsidR="00224567" w:rsidRDefault="00224567">
      <w:pPr>
        <w:widowControl w:val="0"/>
      </w:pPr>
      <w:r>
        <w:tab/>
        <w:t>No se explica cuándo se pactó ese acuerdo, ni se aporta ningún elemento probatorio que d</w:t>
      </w:r>
      <w:r>
        <w:t>e</w:t>
      </w:r>
      <w:r>
        <w:t>muestre las indicaciones que el personal policial le bri</w:t>
      </w:r>
      <w:r>
        <w:t>n</w:t>
      </w:r>
      <w:r>
        <w:t>dara a Telleldín para que éste acondicionara el v</w:t>
      </w:r>
      <w:r>
        <w:t>e</w:t>
      </w:r>
      <w:r>
        <w:t>hículo.</w:t>
      </w:r>
    </w:p>
    <w:p w:rsidR="00224567" w:rsidRDefault="00224567">
      <w:pPr>
        <w:widowControl w:val="0"/>
      </w:pPr>
      <w:r>
        <w:tab/>
        <w:t>Resulta también inexplicable, en el marco de un acuerdo entre personas conocidas –“socios” s</w:t>
      </w:r>
      <w:r>
        <w:t>e</w:t>
      </w:r>
      <w:r>
        <w:t>gún los acusadores– que para comunicar que el vehículo e</w:t>
      </w:r>
      <w:r>
        <w:t>s</w:t>
      </w:r>
      <w:r>
        <w:t>tuviera en condiciones de ser retirado Telleldín debiera publicar un aviso clasificado como señal. Y si así fuera no se explica, ni siquiera en la negligencia aducida por la fiscalía, que el personal policial concurriera antic</w:t>
      </w:r>
      <w:r>
        <w:t>i</w:t>
      </w:r>
      <w:r>
        <w:t>padamente a averiguar por alguna camioneta que estuvi</w:t>
      </w:r>
      <w:r>
        <w:t>e</w:t>
      </w:r>
      <w:r>
        <w:t>ra a la venta.</w:t>
      </w:r>
    </w:p>
    <w:p w:rsidR="00224567" w:rsidRDefault="00224567">
      <w:pPr>
        <w:widowControl w:val="0"/>
      </w:pPr>
      <w:r>
        <w:tab/>
        <w:t>Pero además una entrega consensuada del vehículo choca de bruces con diferentes tramos de la declaración de Telleldín de julio de 1996 que, a juicio del doctor Ávila, fuera “esencialmente verdadera”. Así, carece de sentido, respecto al 10 de julio de 1994, la aparición de “Pino” intim</w:t>
      </w:r>
      <w:r>
        <w:t>i</w:t>
      </w:r>
      <w:r>
        <w:t>dando a Telleldín al destacarle que la manzana estaba rodeada y que debía pagar lo que d</w:t>
      </w:r>
      <w:r>
        <w:t>e</w:t>
      </w:r>
      <w:r>
        <w:t>bía y el encuentro de Telleldín con Cotoras, entre otras ci</w:t>
      </w:r>
      <w:r>
        <w:t>r</w:t>
      </w:r>
      <w:r>
        <w:t>cunstancias.</w:t>
      </w:r>
    </w:p>
    <w:p w:rsidR="00224567" w:rsidRDefault="00224567">
      <w:pPr>
        <w:pStyle w:val="Ttulo6"/>
        <w:keepNext w:val="0"/>
        <w:widowControl w:val="0"/>
        <w:spacing w:line="600" w:lineRule="auto"/>
        <w:rPr>
          <w:rFonts w:cs="Courier New"/>
          <w:b w:val="0"/>
          <w:bCs/>
          <w:u w:val="none"/>
        </w:rPr>
      </w:pPr>
      <w:r>
        <w:rPr>
          <w:rFonts w:cs="Courier New"/>
          <w:u w:val="none"/>
        </w:rPr>
        <w:tab/>
      </w:r>
      <w:bookmarkStart w:id="181" w:name="_Toc79904996"/>
      <w:bookmarkStart w:id="182" w:name="_Toc79905048"/>
      <w:bookmarkStart w:id="183" w:name="_Toc86731970"/>
      <w:r>
        <w:rPr>
          <w:rFonts w:cs="Courier New"/>
          <w:u w:val="none"/>
        </w:rPr>
        <w:t xml:space="preserve">C.2.c.viii) </w:t>
      </w:r>
      <w:r>
        <w:rPr>
          <w:rFonts w:cs="Courier New"/>
          <w:b w:val="0"/>
          <w:bCs/>
          <w:u w:val="none"/>
        </w:rPr>
        <w:t>La mal llamada “vía ind</w:t>
      </w:r>
      <w:r>
        <w:rPr>
          <w:rFonts w:cs="Courier New"/>
          <w:b w:val="0"/>
          <w:bCs/>
          <w:u w:val="none"/>
        </w:rPr>
        <w:t>e</w:t>
      </w:r>
      <w:r>
        <w:rPr>
          <w:rFonts w:cs="Courier New"/>
          <w:b w:val="0"/>
          <w:bCs/>
          <w:u w:val="none"/>
        </w:rPr>
        <w:t>pendiente”</w:t>
      </w:r>
      <w:bookmarkEnd w:id="181"/>
      <w:bookmarkEnd w:id="182"/>
      <w:bookmarkEnd w:id="183"/>
      <w:r>
        <w:rPr>
          <w:rFonts w:cs="Courier New"/>
          <w:b w:val="0"/>
          <w:bCs/>
          <w:u w:val="none"/>
        </w:rPr>
        <w:t>.</w:t>
      </w:r>
    </w:p>
    <w:p w:rsidR="00224567" w:rsidRDefault="00224567">
      <w:pPr>
        <w:pStyle w:val="Ttulo7"/>
        <w:widowControl w:val="0"/>
        <w:rPr>
          <w:bCs/>
        </w:rPr>
      </w:pPr>
      <w:r>
        <w:rPr>
          <w:b/>
        </w:rPr>
        <w:tab/>
      </w:r>
      <w:bookmarkStart w:id="184" w:name="_Toc86731971"/>
      <w:r>
        <w:rPr>
          <w:b/>
        </w:rPr>
        <w:t xml:space="preserve">C.2.c.viii.A) </w:t>
      </w:r>
      <w:r>
        <w:rPr>
          <w:bCs/>
        </w:rPr>
        <w:t>Introducción</w:t>
      </w:r>
      <w:bookmarkEnd w:id="184"/>
      <w:r>
        <w:rPr>
          <w:bCs/>
        </w:rPr>
        <w:t>.</w:t>
      </w:r>
    </w:p>
    <w:p w:rsidR="00224567" w:rsidRDefault="00224567">
      <w:pPr>
        <w:widowControl w:val="0"/>
      </w:pPr>
      <w:r>
        <w:tab/>
        <w:t>Las partes acusadoras, luego de anu</w:t>
      </w:r>
      <w:r>
        <w:t>n</w:t>
      </w:r>
      <w:r>
        <w:t>ciar que prescindirían</w:t>
      </w:r>
      <w:r>
        <w:rPr>
          <w:b/>
          <w:bCs/>
        </w:rPr>
        <w:t xml:space="preserve"> </w:t>
      </w:r>
      <w:r>
        <w:t>de la declaración indagatoria pre</w:t>
      </w:r>
      <w:r>
        <w:t>s</w:t>
      </w:r>
      <w:r>
        <w:t>tada por Telleldín el 5 de julio de 1996 –cuya anulación fuera requerida por la fiscalía–, fundaron la responsab</w:t>
      </w:r>
      <w:r>
        <w:t>i</w:t>
      </w:r>
      <w:r>
        <w:t>lidad de los policías por el atentado en la existencia de una denominada “vía indepe</w:t>
      </w:r>
      <w:r>
        <w:t>n</w:t>
      </w:r>
      <w:r>
        <w:t>diente”.</w:t>
      </w:r>
    </w:p>
    <w:p w:rsidR="00224567" w:rsidRDefault="00224567">
      <w:pPr>
        <w:widowControl w:val="0"/>
      </w:pPr>
      <w:r>
        <w:tab/>
        <w:t>A su juicio, estaría constituida por el manuscrito agregado a fs. 116.694/819, las notas que dan cuenta de las reuniones entre Carlos Telleldín y la doctora Riva Aramayo, las filmaciones de las entrevistas de Carlos Telleldín con el magistrado reproducidas durante el debate, diferentes notas periodísticas y el test</w:t>
      </w:r>
      <w:r>
        <w:t>i</w:t>
      </w:r>
      <w:r>
        <w:t>monio de sus autores, los dichos de Miriam Salinas y de Laura Scill</w:t>
      </w:r>
      <w:r>
        <w:t>o</w:t>
      </w:r>
      <w:r>
        <w:t>ne.</w:t>
      </w:r>
    </w:p>
    <w:p w:rsidR="00224567" w:rsidRDefault="00224567">
      <w:pPr>
        <w:widowControl w:val="0"/>
      </w:pPr>
      <w:r>
        <w:tab/>
        <w:t>Al incluir a todas estas piezas en la llamada “vía independiente” se otorgó a este término un concepto equívoco. Ello, en la medida en que se incl</w:t>
      </w:r>
      <w:r>
        <w:t>u</w:t>
      </w:r>
      <w:r>
        <w:t>yeron manifestaciones de Telleldín por otros medios di</w:t>
      </w:r>
      <w:r>
        <w:t>s</w:t>
      </w:r>
      <w:r>
        <w:t>tintos de la declaración del 5 de julio de 1996, y otros elementos cuyo validez o eficacia probatoria genera algunos rep</w:t>
      </w:r>
      <w:r>
        <w:t>a</w:t>
      </w:r>
      <w:r>
        <w:t>ros.</w:t>
      </w:r>
    </w:p>
    <w:p w:rsidR="00224567" w:rsidRDefault="00224567">
      <w:pPr>
        <w:widowControl w:val="0"/>
      </w:pPr>
      <w:r>
        <w:tab/>
        <w:t>Por lo pronto, el concepto de fuente independiente nos viene dado por la doctrina y jurispr</w:t>
      </w:r>
      <w:r>
        <w:t>u</w:t>
      </w:r>
      <w:r>
        <w:t xml:space="preserve">dencia respecto de la regla de exclusión. Así, con cita del fallo “Rayford” de </w:t>
      </w:r>
      <w:smartTag w:uri="urn:schemas-microsoft-com:office:smarttags" w:element="PersonName">
        <w:smartTagPr>
          <w:attr w:name="ProductID" w:val="la Corte Suprema"/>
        </w:smartTagPr>
        <w:r>
          <w:t>la Corte Suprema</w:t>
        </w:r>
      </w:smartTag>
      <w:r>
        <w:t xml:space="preserve"> de Just</w:t>
      </w:r>
      <w:r>
        <w:t>i</w:t>
      </w:r>
      <w:r>
        <w:t xml:space="preserve">cia de </w:t>
      </w:r>
      <w:smartTag w:uri="urn:schemas-microsoft-com:office:smarttags" w:element="PersonName">
        <w:smartTagPr>
          <w:attr w:name="ProductID" w:val="la Naci￳n"/>
        </w:smartTagPr>
        <w:r>
          <w:t>la Nación</w:t>
        </w:r>
      </w:smartTag>
      <w:r>
        <w:t>, se señaló que “existiría en caso de que hubiese un cauce de investigación distinto del que culmina con el procedimiento ilegítimo” (Carrió, Alejandro D., “Gara</w:t>
      </w:r>
      <w:r>
        <w:t>n</w:t>
      </w:r>
      <w:r>
        <w:t>tías Constitucionales en el Proceso Penal”, Hammurabi, José Luis Depalma Editor, 4ª edición actualizada y ampliada, Buenos Aires, 2002, p. 247).</w:t>
      </w:r>
    </w:p>
    <w:p w:rsidR="00224567" w:rsidRDefault="00224567">
      <w:pPr>
        <w:widowControl w:val="0"/>
      </w:pPr>
      <w:r>
        <w:tab/>
        <w:t>El Alto Tribunal en Fallos: 308:733 precedentemente c</w:t>
      </w:r>
      <w:r>
        <w:t>i</w:t>
      </w:r>
      <w:r>
        <w:t>tado la definió como “la posibilidad de adquisición de las evidencias por otras fuentes di</w:t>
      </w:r>
      <w:r>
        <w:t>s</w:t>
      </w:r>
      <w:r>
        <w:t>tintas de las que se tengan por ilegítimas”.</w:t>
      </w:r>
    </w:p>
    <w:p w:rsidR="00224567" w:rsidRDefault="00224567">
      <w:pPr>
        <w:widowControl w:val="0"/>
      </w:pPr>
      <w:r>
        <w:tab/>
        <w:t>Como se verá, las citadas piezas no constituyen ni individual ni conjuntamente una fuente i</w:t>
      </w:r>
      <w:r>
        <w:t>n</w:t>
      </w:r>
      <w:r>
        <w:t>dependiente, toda vez que esta –por definición– no puede estar conformada por elementos afectados por el mismo v</w:t>
      </w:r>
      <w:r>
        <w:t>i</w:t>
      </w:r>
      <w:r>
        <w:t>cio que la prueba e</w:t>
      </w:r>
      <w:r>
        <w:t>x</w:t>
      </w:r>
      <w:r>
        <w:t>cluida.</w:t>
      </w:r>
    </w:p>
    <w:p w:rsidR="00224567" w:rsidRDefault="00224567">
      <w:pPr>
        <w:widowControl w:val="0"/>
      </w:pPr>
      <w:r>
        <w:tab/>
        <w:t>En ese sentido, las informales entr</w:t>
      </w:r>
      <w:r>
        <w:t>e</w:t>
      </w:r>
      <w:r>
        <w:t>vistas que en forma independiente mantuvieran la cam</w:t>
      </w:r>
      <w:r>
        <w:t>a</w:t>
      </w:r>
      <w:r>
        <w:t>rista Riva Aramayo y el magistrado instructor con el imputado Carlos Telleldín, como se vio, fueron eslabones de la c</w:t>
      </w:r>
      <w:r>
        <w:t>a</w:t>
      </w:r>
      <w:r>
        <w:t>dena de actos irregulares que –mediante el pago de una s</w:t>
      </w:r>
      <w:r>
        <w:t>u</w:t>
      </w:r>
      <w:r>
        <w:t>ma de dinero– pretendieron forzar la voluntad del proces</w:t>
      </w:r>
      <w:r>
        <w:t>a</w:t>
      </w:r>
      <w:r>
        <w:t>do para obtener una decl</w:t>
      </w:r>
      <w:r>
        <w:t>a</w:t>
      </w:r>
      <w:r>
        <w:t>ración.</w:t>
      </w:r>
    </w:p>
    <w:p w:rsidR="00224567" w:rsidRDefault="00224567">
      <w:pPr>
        <w:widowControl w:val="0"/>
      </w:pPr>
      <w:r>
        <w:tab/>
        <w:t>Esto, más allá de que –como ya se d</w:t>
      </w:r>
      <w:r>
        <w:t>i</w:t>
      </w:r>
      <w:r>
        <w:t>jera– dichas entrevistas no resultan la vía idónea para incorporar al proceso los dichos de un i</w:t>
      </w:r>
      <w:r>
        <w:t>m</w:t>
      </w:r>
      <w:r>
        <w:t>putado.</w:t>
      </w:r>
    </w:p>
    <w:p w:rsidR="00224567" w:rsidRDefault="00224567">
      <w:pPr>
        <w:widowControl w:val="0"/>
      </w:pPr>
      <w:r>
        <w:tab/>
        <w:t>Por otra parte, tanto el manuscrito como las entrevistas mantenidas con la camarista, el juez instructor, e incluso con periodistas, tienen la misma fuente: los dichos de T</w:t>
      </w:r>
      <w:r>
        <w:t>e</w:t>
      </w:r>
      <w:r>
        <w:t>lleldín. Resulta evidente que los serios y fundados rep</w:t>
      </w:r>
      <w:r>
        <w:t>a</w:t>
      </w:r>
      <w:r>
        <w:t>ros a la credibilidad de los dichos brindados por el imp</w:t>
      </w:r>
      <w:r>
        <w:t>u</w:t>
      </w:r>
      <w:r>
        <w:t>tado en declaraciones indagatorias se traslada a estas pi</w:t>
      </w:r>
      <w:r>
        <w:t>e</w:t>
      </w:r>
      <w:r>
        <w:t>zas.</w:t>
      </w:r>
    </w:p>
    <w:p w:rsidR="00224567" w:rsidRDefault="00224567">
      <w:pPr>
        <w:widowControl w:val="0"/>
      </w:pPr>
      <w:r>
        <w:tab/>
        <w:t>En definitiva, no son varias pruebas independie</w:t>
      </w:r>
      <w:r>
        <w:t>n</w:t>
      </w:r>
      <w:r>
        <w:t>tes –como se pretende–, sino una sola y que no resulta creíble. Este razonamiento no es nuevo, ya hace más de doscientos años Beccaria nos decía: “Cuando las pruebas de un hecho dependen todas igualmente de una sola, el núm</w:t>
      </w:r>
      <w:r>
        <w:t>e</w:t>
      </w:r>
      <w:r>
        <w:t>ro de ellas no aumenta ni disminuye la probabilidad del hecho, porque todo su valor se resue</w:t>
      </w:r>
      <w:r>
        <w:t>l</w:t>
      </w:r>
      <w:r>
        <w:t>ve en el valor de aquélla sola de quien depende” (“De los Delitos y las P</w:t>
      </w:r>
      <w:r>
        <w:t>e</w:t>
      </w:r>
      <w:r>
        <w:t>nas”, capítulo XIV, Indicios y Formas de Ju</w:t>
      </w:r>
      <w:r>
        <w:t>i</w:t>
      </w:r>
      <w:r>
        <w:t>cios).</w:t>
      </w:r>
    </w:p>
    <w:p w:rsidR="00224567" w:rsidRDefault="00224567">
      <w:pPr>
        <w:widowControl w:val="0"/>
      </w:pPr>
      <w:r>
        <w:tab/>
        <w:t>De todas formas y, con el objeto de agotar el análisis de los elementos que fueran citados c</w:t>
      </w:r>
      <w:r>
        <w:t>o</w:t>
      </w:r>
      <w:r>
        <w:t>mo prueba de la participación de los ex policías bonaere</w:t>
      </w:r>
      <w:r>
        <w:t>n</w:t>
      </w:r>
      <w:r>
        <w:t>ses en el atentado, se procederá a la valoración de cada una de estas piezas.</w:t>
      </w:r>
    </w:p>
    <w:p w:rsidR="00224567" w:rsidRDefault="00224567">
      <w:pPr>
        <w:pStyle w:val="Ttulo7"/>
        <w:widowControl w:val="0"/>
      </w:pPr>
      <w:r>
        <w:rPr>
          <w:b/>
          <w:bCs/>
        </w:rPr>
        <w:tab/>
      </w:r>
      <w:bookmarkStart w:id="185" w:name="_Toc86731972"/>
      <w:r>
        <w:rPr>
          <w:b/>
          <w:bCs/>
        </w:rPr>
        <w:t xml:space="preserve">C.2.c.viii.B) </w:t>
      </w:r>
      <w:bookmarkStart w:id="186" w:name="_Toc79905049"/>
      <w:r>
        <w:t>Manuscrito</w:t>
      </w:r>
      <w:bookmarkEnd w:id="185"/>
      <w:bookmarkEnd w:id="186"/>
      <w:r>
        <w:t>.</w:t>
      </w:r>
    </w:p>
    <w:p w:rsidR="00224567" w:rsidRDefault="00224567">
      <w:pPr>
        <w:widowControl w:val="0"/>
      </w:pPr>
      <w:r>
        <w:tab/>
        <w:t>Telleldín declaró que durante su al</w:t>
      </w:r>
      <w:r>
        <w:t>o</w:t>
      </w:r>
      <w:r>
        <w:t xml:space="preserve">jamiento en </w:t>
      </w:r>
      <w:smartTag w:uri="urn:schemas-microsoft-com:office:smarttags" w:element="PersonName">
        <w:smartTagPr>
          <w:attr w:name="ProductID" w:val="la Unidad"/>
        </w:smartTagPr>
        <w:r>
          <w:t>la Unidad</w:t>
        </w:r>
      </w:smartTag>
      <w:r>
        <w:t xml:space="preserve"> 2 del Servicio Penitenciario F</w:t>
      </w:r>
      <w:r>
        <w:t>e</w:t>
      </w:r>
      <w:r>
        <w:t>deral entabló una relación de amistad y estrecha confianza con el comp</w:t>
      </w:r>
      <w:r>
        <w:t>a</w:t>
      </w:r>
      <w:r>
        <w:t>ñero de celda Jorge Daniel Damonte, quien escribió una versión manuscr</w:t>
      </w:r>
      <w:r>
        <w:t>i</w:t>
      </w:r>
      <w:r>
        <w:t>ta de un libro a partir de su relato.  El imputado afirmó que –como medida de seguridad– se lo entr</w:t>
      </w:r>
      <w:r>
        <w:t>e</w:t>
      </w:r>
      <w:r>
        <w:t>gó al periodista Román Lejtman, quien a partir de la intimación cursada por este Tribunal lo acompañó a la ca</w:t>
      </w:r>
      <w:r>
        <w:t>u</w:t>
      </w:r>
      <w:r>
        <w:t>sa.</w:t>
      </w:r>
    </w:p>
    <w:p w:rsidR="00224567" w:rsidRDefault="00224567">
      <w:pPr>
        <w:widowControl w:val="0"/>
      </w:pPr>
      <w:r>
        <w:tab/>
        <w:t>A raíz de ello, Damonte fue convocado al debate y confirmó que estuvo detenido junto a T</w:t>
      </w:r>
      <w:r>
        <w:t>e</w:t>
      </w:r>
      <w:r>
        <w:t>lleldín a partir del 8 de junio y que éste le relató aspectos de su vida personal. Reconoció como propia la letra del m</w:t>
      </w:r>
      <w:r>
        <w:t>a</w:t>
      </w:r>
      <w:r>
        <w:t>nuscrito pero no recordó distintos tramos del contenido por los que fuera preguntado. Señaló que esta tarea se inició aproximadamente al mes de compa</w:t>
      </w:r>
      <w:r>
        <w:t>r</w:t>
      </w:r>
      <w:r>
        <w:t>tir alojamiento con Telleldín y duró alr</w:t>
      </w:r>
      <w:r>
        <w:t>e</w:t>
      </w:r>
      <w:r>
        <w:t>dedor de cinco meses.</w:t>
      </w:r>
    </w:p>
    <w:p w:rsidR="00224567" w:rsidRDefault="00224567">
      <w:pPr>
        <w:widowControl w:val="0"/>
      </w:pPr>
      <w:r>
        <w:tab/>
        <w:t>En oportunidad de prestar su alegato la querella unificada le asignó al manuscrito una “alta dosis de cred</w:t>
      </w:r>
      <w:r>
        <w:t>i</w:t>
      </w:r>
      <w:r>
        <w:t>bilidad” (sic).</w:t>
      </w:r>
    </w:p>
    <w:p w:rsidR="00224567" w:rsidRDefault="00224567">
      <w:pPr>
        <w:widowControl w:val="0"/>
      </w:pPr>
      <w:r>
        <w:tab/>
        <w:t>Sin embargo, no fue esa la convicción que generó en el Tribunal. Para ello, antes de analizar el capítulo dedicado a la entrega de la camioneta Trafic, c</w:t>
      </w:r>
      <w:r>
        <w:t>o</w:t>
      </w:r>
      <w:r>
        <w:t>rresponde enmarcarlo con algunas citas textuales que, a título de ejemplo, ilustran acerca del grado de credibil</w:t>
      </w:r>
      <w:r>
        <w:t>i</w:t>
      </w:r>
      <w:r>
        <w:t>dad que aporta este manuscrito.</w:t>
      </w:r>
    </w:p>
    <w:p w:rsidR="00224567" w:rsidRDefault="00224567">
      <w:pPr>
        <w:widowControl w:val="0"/>
      </w:pPr>
      <w:r>
        <w:tab/>
        <w:t>Así en el capítulo intitulado “De m</w:t>
      </w:r>
      <w:r>
        <w:t>o</w:t>
      </w:r>
      <w:r>
        <w:t xml:space="preserve">naguillo a soldado sub nº </w:t>
      </w:r>
      <w:smartTag w:uri="urn:schemas-microsoft-com:office:smarttags" w:element="metricconverter">
        <w:smartTagPr>
          <w:attr w:name="ProductID" w:val="4”"/>
        </w:smartTagPr>
        <w:r>
          <w:t>4”</w:t>
        </w:r>
      </w:smartTag>
      <w:r>
        <w:t xml:space="preserve"> señaló “... me casé por </w:t>
      </w:r>
      <w:smartTag w:uri="urn:schemas-microsoft-com:office:smarttags" w:element="PersonName">
        <w:smartTagPr>
          <w:attr w:name="ProductID" w:val="la Iglesia Cat￳lica"/>
        </w:smartTagPr>
        <w:r>
          <w:t>la Iglesia Católica</w:t>
        </w:r>
      </w:smartTag>
      <w:r>
        <w:t xml:space="preserve"> con una mujer pública y n</w:t>
      </w:r>
      <w:r>
        <w:t>o</w:t>
      </w:r>
      <w:r>
        <w:t>toria. Nada más ni nada menos que con Silvana Suárez en 1980 (Miss Mu</w:t>
      </w:r>
      <w:r>
        <w:t>n</w:t>
      </w:r>
      <w:r>
        <w:t>do)”. En el capítulo siguiente denominado “Picardías de Navegante” especuló que “Quizás en otra vida habré sido algún fenicio que come</w:t>
      </w:r>
      <w:r>
        <w:t>r</w:t>
      </w:r>
      <w:r>
        <w:t>ciaba de puerto en puerto allá por la historia a</w:t>
      </w:r>
      <w:r>
        <w:t>n</w:t>
      </w:r>
      <w:r>
        <w:t>tigua".</w:t>
      </w:r>
    </w:p>
    <w:p w:rsidR="00224567" w:rsidRDefault="00224567">
      <w:pPr>
        <w:widowControl w:val="0"/>
      </w:pPr>
      <w:r>
        <w:tab/>
        <w:t>La elocuencia de las frases transcri</w:t>
      </w:r>
      <w:r>
        <w:t>p</w:t>
      </w:r>
      <w:r>
        <w:t>tas nos eximen de mayores valoraci</w:t>
      </w:r>
      <w:r>
        <w:t>o</w:t>
      </w:r>
      <w:r>
        <w:t>nes.</w:t>
      </w:r>
    </w:p>
    <w:p w:rsidR="00224567" w:rsidRDefault="00224567">
      <w:pPr>
        <w:widowControl w:val="0"/>
      </w:pPr>
      <w:r>
        <w:tab/>
        <w:t>Si bien se desconoce la fecha de su redacción, se puede deducir de su contenido que necesari</w:t>
      </w:r>
      <w:r>
        <w:t>a</w:t>
      </w:r>
      <w:r>
        <w:t>me</w:t>
      </w:r>
      <w:r>
        <w:t>n</w:t>
      </w:r>
      <w:r>
        <w:t>te se continuó su confección con posterioridad a junio de 1995 –por su referencia a la contratación de Víctor Stinfale como su abogado defensor y fundamentalmente por la referencia al dictamen fiscal de fecha 2 de junio de 1995– y aún a noviembre de ese año, toda vez que se hace referencia a la apelación (cfr. fs. 116.716vta./116.717) de la ampliación del auto de procesamiento di</w:t>
      </w:r>
      <w:r>
        <w:t>c</w:t>
      </w:r>
      <w:r>
        <w:t>tado el día 2 de ese mes (cfr. 19.488/544).</w:t>
      </w:r>
    </w:p>
    <w:p w:rsidR="00224567" w:rsidRDefault="00224567">
      <w:pPr>
        <w:widowControl w:val="0"/>
      </w:pPr>
      <w:r>
        <w:tab/>
        <w:t>La querella unificada afirmó que oc</w:t>
      </w:r>
      <w:r>
        <w:t>u</w:t>
      </w:r>
      <w:r>
        <w:t>rrió entre junio y noviembre de 1995. Esta circunstancia resulta incomp</w:t>
      </w:r>
      <w:r>
        <w:t>a</w:t>
      </w:r>
      <w:r>
        <w:t>tible con la alegada independencia de este documento frente a la declaración del 5 de j</w:t>
      </w:r>
      <w:r>
        <w:t>u</w:t>
      </w:r>
      <w:r>
        <w:t>lio de 1996.</w:t>
      </w:r>
    </w:p>
    <w:p w:rsidR="00224567" w:rsidRDefault="00224567">
      <w:pPr>
        <w:widowControl w:val="0"/>
      </w:pPr>
      <w:r>
        <w:tab/>
        <w:t>Esto, toda vez que, como ya se dij</w:t>
      </w:r>
      <w:r>
        <w:t>e</w:t>
      </w:r>
      <w:r>
        <w:t>ra, la maniobra que culminó con el pago a Telleldín en esta última fecha se inició bastante tiempo antes, como dan cuenta las entrevistas con la camarista Riva Aramayo en agosto de 1995 y los videos proyectados en la audiencia que muestran las clandestinas entrevistas mantenidas, e</w:t>
      </w:r>
      <w:r>
        <w:t>n</w:t>
      </w:r>
      <w:r>
        <w:t>tre el juez Galeano y Carlos Telleldín, el 10 de abril y el 1º de julio de 1996.</w:t>
      </w:r>
    </w:p>
    <w:p w:rsidR="00224567" w:rsidRDefault="00224567">
      <w:pPr>
        <w:widowControl w:val="0"/>
      </w:pPr>
      <w:r>
        <w:tab/>
        <w:t>Ya en el análisis de su contenido d</w:t>
      </w:r>
      <w:r>
        <w:t>e</w:t>
      </w:r>
      <w:r>
        <w:t>be señalarse que en esta pieza se sigue la hipótesis de venta y se destaca la presencia policial en las inm</w:t>
      </w:r>
      <w:r>
        <w:t>e</w:t>
      </w:r>
      <w:r>
        <w:t>diaciones de su dom</w:t>
      </w:r>
      <w:r>
        <w:t>i</w:t>
      </w:r>
      <w:r>
        <w:t>cilio al momento de la transacción.</w:t>
      </w:r>
    </w:p>
    <w:p w:rsidR="00224567" w:rsidRDefault="00224567">
      <w:pPr>
        <w:widowControl w:val="0"/>
      </w:pPr>
      <w:r>
        <w:tab/>
        <w:t>Así, al caracterizar la operación c</w:t>
      </w:r>
      <w:r>
        <w:t>o</w:t>
      </w:r>
      <w:r>
        <w:t>mo una venta, se ref</w:t>
      </w:r>
      <w:r>
        <w:t>i</w:t>
      </w:r>
      <w:r>
        <w:t>rió a la discusión sobre el precio final del veh</w:t>
      </w:r>
      <w:r>
        <w:t>í</w:t>
      </w:r>
      <w:r>
        <w:t>culo y a la verificación de la cantidad y calidad de los billetes entregados.</w:t>
      </w:r>
    </w:p>
    <w:p w:rsidR="00224567" w:rsidRDefault="00224567">
      <w:pPr>
        <w:widowControl w:val="0"/>
      </w:pPr>
      <w:r>
        <w:tab/>
        <w:t>Por otra parte, en cuanto a la prese</w:t>
      </w:r>
      <w:r>
        <w:t>n</w:t>
      </w:r>
      <w:r>
        <w:t>cia policial, destacó que al dar la vuelta manzana para probar la camioneta observó a un Fiat Duna blanco y un Ford Galaxy azul que reconoció como pertenecientes a di</w:t>
      </w:r>
      <w:r>
        <w:t>s</w:t>
      </w:r>
      <w:r>
        <w:t>tintas brigadas de investigaciones bonaerenses al igual que a sus ocupa</w:t>
      </w:r>
      <w:r>
        <w:t>n</w:t>
      </w:r>
      <w:r>
        <w:t>tes.</w:t>
      </w:r>
    </w:p>
    <w:p w:rsidR="00224567" w:rsidRDefault="00224567">
      <w:pPr>
        <w:widowControl w:val="0"/>
      </w:pPr>
      <w:r>
        <w:tab/>
        <w:t>Además, aclaró que, mientras se pe</w:t>
      </w:r>
      <w:r>
        <w:t>r</w:t>
      </w:r>
      <w:r>
        <w:t>feccionaba la transacción, dos personas –que descendi</w:t>
      </w:r>
      <w:r>
        <w:t>e</w:t>
      </w:r>
      <w:r>
        <w:t>ron de un Fiat 128 blanco– tocaron el timbre y pregu</w:t>
      </w:r>
      <w:r>
        <w:t>n</w:t>
      </w:r>
      <w:r>
        <w:t xml:space="preserve">taron si la camioneta se había vendido. A estos individuos los identificó como un subcomisario y un oficial que conocía de otros aprietes. Finalmente, señaló que </w:t>
      </w:r>
      <w:smartTag w:uri="urn:schemas-microsoft-com:office:smarttags" w:element="PersonName">
        <w:smartTagPr>
          <w:attr w:name="ProductID" w:val="la Trafic"/>
        </w:smartTagPr>
        <w:r>
          <w:t>la Trafic</w:t>
        </w:r>
      </w:smartTag>
      <w:r>
        <w:t xml:space="preserve"> al r</w:t>
      </w:r>
      <w:r>
        <w:t>e</w:t>
      </w:r>
      <w:r>
        <w:t>tirarse fue seguida por el Ford Galaxy azul.</w:t>
      </w:r>
    </w:p>
    <w:p w:rsidR="00224567" w:rsidRDefault="00224567">
      <w:pPr>
        <w:widowControl w:val="0"/>
      </w:pPr>
      <w:r>
        <w:tab/>
        <w:t>Las circunstancias aquí reseñadas con relación a lo ocurrido el 10 de julio de 1994, ya fueron objeto de un análisis minucioso en otro apartado de este pronunci</w:t>
      </w:r>
      <w:r>
        <w:t>a</w:t>
      </w:r>
      <w:r>
        <w:t>miento.</w:t>
      </w:r>
    </w:p>
    <w:p w:rsidR="00224567" w:rsidRDefault="00224567">
      <w:pPr>
        <w:widowControl w:val="0"/>
      </w:pPr>
      <w:r>
        <w:tab/>
        <w:t>Así se han tratado las circunstancias de la transacción –en sus distintas versiones– y lo ref</w:t>
      </w:r>
      <w:r>
        <w:t>e</w:t>
      </w:r>
      <w:r>
        <w:t>rente a los veh</w:t>
      </w:r>
      <w:r>
        <w:t>í</w:t>
      </w:r>
      <w:r>
        <w:t>culos mencionados.</w:t>
      </w:r>
    </w:p>
    <w:p w:rsidR="00224567" w:rsidRDefault="00224567">
      <w:pPr>
        <w:widowControl w:val="0"/>
      </w:pPr>
      <w:r>
        <w:tab/>
        <w:t>La querella unificada dedujo que del manuscrito en cuestión surgía claramente que el 10 de j</w:t>
      </w:r>
      <w:r>
        <w:t>u</w:t>
      </w:r>
      <w:r>
        <w:t>lio de 1994 la camioneta Trafic había sido retirada del domicilio de T</w:t>
      </w:r>
      <w:r>
        <w:t>e</w:t>
      </w:r>
      <w:r>
        <w:t>lleldín por policías bonaerenses.</w:t>
      </w:r>
    </w:p>
    <w:p w:rsidR="00224567" w:rsidRDefault="00224567">
      <w:pPr>
        <w:widowControl w:val="0"/>
      </w:pPr>
      <w:r>
        <w:tab/>
        <w:t>Esto no es así. Adviértase que si bien Telleldín al referirse al hecho, ubica en las inmediaci</w:t>
      </w:r>
      <w:r>
        <w:t>o</w:t>
      </w:r>
      <w:r>
        <w:t>nes de su domicilio a varios integrantes de brigadas de investigaciones, no los vincula al comprador ni a la e</w:t>
      </w:r>
      <w:r>
        <w:t>n</w:t>
      </w:r>
      <w:r>
        <w:t>trega de la camioneta.</w:t>
      </w:r>
    </w:p>
    <w:p w:rsidR="00224567" w:rsidRDefault="00224567">
      <w:pPr>
        <w:widowControl w:val="0"/>
      </w:pPr>
      <w:r>
        <w:tab/>
        <w:t>Efectivamente, Telleldín, en ese m</w:t>
      </w:r>
      <w:r>
        <w:t>a</w:t>
      </w:r>
      <w:r>
        <w:t>nuscrito, luego de señalar que aquel 10 de julio advi</w:t>
      </w:r>
      <w:r>
        <w:t>r</w:t>
      </w:r>
      <w:r>
        <w:t>tió la presencia de vehículos con personal policial en las i</w:t>
      </w:r>
      <w:r>
        <w:t>n</w:t>
      </w:r>
      <w:r>
        <w:t>mediaciones de su domicilio, agregó un párrafo que debe ser citado textualmente. Dijo: “Mi adrenalina comenzó a fluir por todo mi cue</w:t>
      </w:r>
      <w:r>
        <w:t>r</w:t>
      </w:r>
      <w:r>
        <w:t>po, pero controlé la situación, con el objeto de que el futuro comprador no notara nada extr</w:t>
      </w:r>
      <w:r>
        <w:t>a</w:t>
      </w:r>
      <w:r>
        <w:t>ño y no se frustrara la venta. ... si yo advertía de tal situación al comprador que la policía nos estaba observa</w:t>
      </w:r>
      <w:r>
        <w:t>n</w:t>
      </w:r>
      <w:r>
        <w:t>do, me encontraría en un problema peor” (cfr. fs. 116.703).</w:t>
      </w:r>
    </w:p>
    <w:p w:rsidR="00224567" w:rsidRDefault="00224567">
      <w:pPr>
        <w:widowControl w:val="0"/>
      </w:pPr>
      <w:r>
        <w:tab/>
        <w:t>El texto trascripto únicamente admite ser interpretado como que T</w:t>
      </w:r>
      <w:r>
        <w:t>e</w:t>
      </w:r>
      <w:r>
        <w:t>lleldín vendió la camioneta a una persona que no estaba vinculada a los policías prese</w:t>
      </w:r>
      <w:r>
        <w:t>n</w:t>
      </w:r>
      <w:r>
        <w:t>tes en el lugar. Y fuera de estos párrafos no existe un solo elemento que permita concluir que personal policial hubiera sido el que retirara el utilitario de su domic</w:t>
      </w:r>
      <w:r>
        <w:t>i</w:t>
      </w:r>
      <w:r>
        <w:t>lio.</w:t>
      </w:r>
    </w:p>
    <w:p w:rsidR="00224567" w:rsidRDefault="00224567">
      <w:pPr>
        <w:widowControl w:val="0"/>
      </w:pPr>
      <w:r>
        <w:tab/>
        <w:t>Si bien, varios capítulos más adela</w:t>
      </w:r>
      <w:r>
        <w:t>n</w:t>
      </w:r>
      <w:r>
        <w:t>te Telleldín so</w:t>
      </w:r>
      <w:r>
        <w:t>s</w:t>
      </w:r>
      <w:r>
        <w:t>tiene que “hoy a la distancia siendo público y notorio que tras este brutal atentado actuaron en la c</w:t>
      </w:r>
      <w:r>
        <w:t>o</w:t>
      </w:r>
      <w:r>
        <w:t>nexión local oficiales de la policía”  no aporta ningún fundamento de esa afirmación y de ninguna manera lo vinc</w:t>
      </w:r>
      <w:r>
        <w:t>u</w:t>
      </w:r>
      <w:r>
        <w:t>la a la entrega del vehículo en cue</w:t>
      </w:r>
      <w:r>
        <w:t>s</w:t>
      </w:r>
      <w:r>
        <w:t>tión.</w:t>
      </w:r>
    </w:p>
    <w:p w:rsidR="00224567" w:rsidRDefault="00224567">
      <w:pPr>
        <w:widowControl w:val="0"/>
      </w:pPr>
      <w:r>
        <w:tab/>
        <w:t>También se señaló que en este manu</w:t>
      </w:r>
      <w:r>
        <w:t>s</w:t>
      </w:r>
      <w:r>
        <w:t>crito Telleldín solo mencionó a tres policías: Barreda, Bareiro y Rib</w:t>
      </w:r>
      <w:r>
        <w:t>e</w:t>
      </w:r>
      <w:r>
        <w:t xml:space="preserve">lli. Debe destacarse que a ninguno de ellos los vinculó en el escrito con la recepción de la camioneta Trafic y, menos aún, con el atentado a la sede de </w:t>
      </w:r>
      <w:smartTag w:uri="urn:schemas-microsoft-com:office:smarttags" w:element="PersonName">
        <w:smartTagPr>
          <w:attr w:name="ProductID" w:val="la A.M"/>
        </w:smartTagPr>
        <w:r>
          <w:t>la A.M</w:t>
        </w:r>
      </w:smartTag>
      <w:r>
        <w:t>.I.A.</w:t>
      </w:r>
    </w:p>
    <w:p w:rsidR="00224567" w:rsidRDefault="00224567">
      <w:pPr>
        <w:widowControl w:val="0"/>
      </w:pPr>
      <w:r>
        <w:tab/>
        <w:t>Finalmente, debe señalarse que resu</w:t>
      </w:r>
      <w:r>
        <w:t>l</w:t>
      </w:r>
      <w:r>
        <w:t>ta errónea la invocación de que la versión aportada en este manuscrito resultaba compatible con la sostenida por T</w:t>
      </w:r>
      <w:r>
        <w:t>e</w:t>
      </w:r>
      <w:r>
        <w:t>lleldín en su anulada indagatoria de julio de 1996. Ello así, toda vez que, de su cotejo surge un sinnúmero de si</w:t>
      </w:r>
      <w:r>
        <w:t>g</w:t>
      </w:r>
      <w:r>
        <w:t>nificativas diferencias. En el manu</w:t>
      </w:r>
      <w:r>
        <w:t>s</w:t>
      </w:r>
      <w:r>
        <w:t>crito se describe una venta a un sujeto ajeno al personal policial y no una e</w:t>
      </w:r>
      <w:r>
        <w:t>x</w:t>
      </w:r>
      <w:r>
        <w:t>torsión que los tuviera como protagoni</w:t>
      </w:r>
      <w:r>
        <w:t>s</w:t>
      </w:r>
      <w:r>
        <w:t>tas.</w:t>
      </w:r>
    </w:p>
    <w:p w:rsidR="00224567" w:rsidRDefault="00224567">
      <w:pPr>
        <w:widowControl w:val="0"/>
      </w:pPr>
      <w:r>
        <w:tab/>
        <w:t>En efecto, entre estas dos hipótesis son mayores las di</w:t>
      </w:r>
      <w:r>
        <w:t>s</w:t>
      </w:r>
      <w:r>
        <w:t>crepancias que las coincidencias. Como diferencias sustanciales entre una y otra corresponde r</w:t>
      </w:r>
      <w:r>
        <w:t>e</w:t>
      </w:r>
      <w:r>
        <w:t>ferir que en la versión manuscrita se alude a una rece</w:t>
      </w:r>
      <w:r>
        <w:t>p</w:t>
      </w:r>
      <w:r>
        <w:t>ción y control de dinero que no se consigna en la indag</w:t>
      </w:r>
      <w:r>
        <w:t>a</w:t>
      </w:r>
      <w:r>
        <w:t>toria nula. Por otra parte en esta última declaración se menciona a un sujeto con una credencial policial que lo conduce a entrevistarse con “Pino” quien le exige la e</w:t>
      </w:r>
      <w:r>
        <w:t>n</w:t>
      </w:r>
      <w:r>
        <w:t xml:space="preserve">trega de </w:t>
      </w:r>
      <w:smartTag w:uri="urn:schemas-microsoft-com:office:smarttags" w:element="PersonName">
        <w:smartTagPr>
          <w:attr w:name="ProductID" w:val="la Trafic"/>
        </w:smartTagPr>
        <w:r>
          <w:t>la Trafic</w:t>
        </w:r>
      </w:smartTag>
      <w:r>
        <w:t xml:space="preserve"> como pago por la deuda pendiente de L</w:t>
      </w:r>
      <w:r>
        <w:t>a</w:t>
      </w:r>
      <w:r>
        <w:t>nús, y a un encuentro con Cotoras en el que transmite que está siendo víctima de una extorsión por parte del pers</w:t>
      </w:r>
      <w:r>
        <w:t>o</w:t>
      </w:r>
      <w:r>
        <w:t>nal. Estas circunstancias, obviamente, no surgen del m</w:t>
      </w:r>
      <w:r>
        <w:t>a</w:t>
      </w:r>
      <w:r>
        <w:t>nuscrito valorado. De las coincidencias solo cabe dest</w:t>
      </w:r>
      <w:r>
        <w:t>a</w:t>
      </w:r>
      <w:r>
        <w:t>car la presencia de los mismos vehículos en las adyace</w:t>
      </w:r>
      <w:r>
        <w:t>n</w:t>
      </w:r>
      <w:r>
        <w:t>cias de su domicilio y la  aparición de  dos policías b</w:t>
      </w:r>
      <w:r>
        <w:t>o</w:t>
      </w:r>
      <w:r>
        <w:t>naerenses –uno de ellos Ibarra– preguntando por la oper</w:t>
      </w:r>
      <w:r>
        <w:t>a</w:t>
      </w:r>
      <w:r>
        <w:t>ción.</w:t>
      </w:r>
    </w:p>
    <w:p w:rsidR="00224567" w:rsidRDefault="00224567">
      <w:pPr>
        <w:widowControl w:val="0"/>
      </w:pPr>
      <w:r>
        <w:tab/>
        <w:t>Pero la utilización de los dichos de Telleldín –fuera de sus declaraciones indagatorias– no culminó allí. También se valoraron las notas que dan cue</w:t>
      </w:r>
      <w:r>
        <w:t>n</w:t>
      </w:r>
      <w:r>
        <w:t>ta de algunas ilegales entrevistas entre el imput</w:t>
      </w:r>
      <w:r>
        <w:t>a</w:t>
      </w:r>
      <w:r>
        <w:t>do y la camarista Riva Aramayo, como se verá a cont</w:t>
      </w:r>
      <w:r>
        <w:t>i</w:t>
      </w:r>
      <w:r>
        <w:t>nuación.</w:t>
      </w:r>
    </w:p>
    <w:p w:rsidR="00224567" w:rsidRDefault="00224567">
      <w:pPr>
        <w:pStyle w:val="Ttulo7"/>
        <w:widowControl w:val="0"/>
      </w:pPr>
      <w:r>
        <w:rPr>
          <w:b/>
          <w:bCs/>
        </w:rPr>
        <w:tab/>
      </w:r>
      <w:bookmarkStart w:id="187" w:name="_Toc86731973"/>
      <w:r>
        <w:rPr>
          <w:b/>
          <w:bCs/>
        </w:rPr>
        <w:t xml:space="preserve">C.2.c.viii.C) </w:t>
      </w:r>
      <w:bookmarkStart w:id="188" w:name="_Toc79905050"/>
      <w:r>
        <w:t>Riva Aramayo</w:t>
      </w:r>
      <w:bookmarkEnd w:id="187"/>
      <w:bookmarkEnd w:id="188"/>
      <w:r>
        <w:t>.</w:t>
      </w:r>
    </w:p>
    <w:p w:rsidR="00224567" w:rsidRDefault="00224567">
      <w:pPr>
        <w:widowControl w:val="0"/>
      </w:pPr>
      <w:r>
        <w:tab/>
        <w:t>Durante los meses de agosto y septie</w:t>
      </w:r>
      <w:r>
        <w:t>m</w:t>
      </w:r>
      <w:r>
        <w:t>bre de 1995, y conforme al detalle que oportunamente se efectuara, se llevaron a cabo una serie de entrevistas i</w:t>
      </w:r>
      <w:r>
        <w:t>n</w:t>
      </w:r>
      <w:r>
        <w:t>formales entre el imputado Carlos A. Telleldín y la ento</w:t>
      </w:r>
      <w:r>
        <w:t>n</w:t>
      </w:r>
      <w:r>
        <w:t xml:space="preserve">ces presidente de </w:t>
      </w:r>
      <w:smartTag w:uri="urn:schemas-microsoft-com:office:smarttags" w:element="PersonName">
        <w:smartTagPr>
          <w:attr w:name="ProductID" w:val="la C￡mara Nacional"/>
        </w:smartTagPr>
        <w:r>
          <w:t>la Cámara Nacional</w:t>
        </w:r>
      </w:smartTag>
      <w:r>
        <w:t xml:space="preserve"> de Ap</w:t>
      </w:r>
      <w:r>
        <w:t>e</w:t>
      </w:r>
      <w:r>
        <w:t>laciones en lo Cr</w:t>
      </w:r>
      <w:r>
        <w:t>i</w:t>
      </w:r>
      <w:r>
        <w:t>minal y Correccional Federal, doctora María Luisa Riva Ar</w:t>
      </w:r>
      <w:r>
        <w:t>a</w:t>
      </w:r>
      <w:r>
        <w:t>mayo.</w:t>
      </w:r>
    </w:p>
    <w:p w:rsidR="00224567" w:rsidRDefault="00224567">
      <w:pPr>
        <w:widowControl w:val="0"/>
      </w:pPr>
      <w:r>
        <w:tab/>
        <w:t>Ya se ha señalado que estas peculi</w:t>
      </w:r>
      <w:r>
        <w:t>a</w:t>
      </w:r>
      <w:r>
        <w:t>res reuniones fueron parte de la actividad informal y subre</w:t>
      </w:r>
      <w:r>
        <w:t>p</w:t>
      </w:r>
      <w:r>
        <w:t>ticia del Estado a fin de obtener la declaración de Carlos Telleldín.</w:t>
      </w:r>
    </w:p>
    <w:p w:rsidR="00224567" w:rsidRDefault="00224567">
      <w:pPr>
        <w:widowControl w:val="0"/>
      </w:pPr>
      <w:r>
        <w:tab/>
        <w:t>Por esta sola circunstancia ya se a</w:t>
      </w:r>
      <w:r>
        <w:t>d</w:t>
      </w:r>
      <w:r>
        <w:t>vierte que no pu</w:t>
      </w:r>
      <w:r>
        <w:t>e</w:t>
      </w:r>
      <w:r>
        <w:t>den integrar una vía independiente de la remunerada declar</w:t>
      </w:r>
      <w:r>
        <w:t>a</w:t>
      </w:r>
      <w:r>
        <w:t>ción indagatoria del 5 de julio de 1996.</w:t>
      </w:r>
    </w:p>
    <w:p w:rsidR="00224567" w:rsidRDefault="00224567">
      <w:pPr>
        <w:widowControl w:val="0"/>
      </w:pPr>
      <w:r>
        <w:tab/>
        <w:t>También se ha dicho que estos coment</w:t>
      </w:r>
      <w:r>
        <w:t>a</w:t>
      </w:r>
      <w:r>
        <w:t>rios no resultaban técnicamente válidos como forma de i</w:t>
      </w:r>
      <w:r>
        <w:t>n</w:t>
      </w:r>
      <w:r>
        <w:t>corporación de los dichos de un imputado a un proceso p</w:t>
      </w:r>
      <w:r>
        <w:t>e</w:t>
      </w:r>
      <w:r>
        <w:t>nal.</w:t>
      </w:r>
    </w:p>
    <w:p w:rsidR="00224567" w:rsidRDefault="00224567">
      <w:pPr>
        <w:widowControl w:val="0"/>
      </w:pPr>
      <w:r>
        <w:tab/>
        <w:t>Por  otra  parte, ya la primera  nota –del 15 de agosto de 1995 (cfr. fs. 37.376)– que intenta documentar las reuniones previas entre la camarista y el imputado resulta imprecisa toda vez que, si bien alude a una pluralidad de entrevistas, no define su cantidad, el lugar donde se llevaron a cabo, el contenido preciso de cada una de ellas, ni si el imputado fue interrogado o efectuó manifestaciones en forma espontánea, entre otras omisi</w:t>
      </w:r>
      <w:r>
        <w:t>o</w:t>
      </w:r>
      <w:r>
        <w:t>nes.</w:t>
      </w:r>
    </w:p>
    <w:p w:rsidR="00224567" w:rsidRDefault="00224567">
      <w:pPr>
        <w:widowControl w:val="0"/>
      </w:pPr>
      <w:r>
        <w:tab/>
        <w:t>Sin perjuicio de lo expuesto y por las razones esbozadas al tratar la indagatoria de Telleldín del 5 de julio de 1996, se efectuará un análisis de su conten</w:t>
      </w:r>
      <w:r>
        <w:t>i</w:t>
      </w:r>
      <w:r>
        <w:t>do.</w:t>
      </w:r>
    </w:p>
    <w:p w:rsidR="00224567" w:rsidRDefault="00224567">
      <w:pPr>
        <w:widowControl w:val="0"/>
      </w:pPr>
      <w:r>
        <w:tab/>
        <w:t>De él se desprende que en lo susta</w:t>
      </w:r>
      <w:r>
        <w:t>n</w:t>
      </w:r>
      <w:r>
        <w:t>cial coincide con la hipótesis de lo ocurrido el 10 de j</w:t>
      </w:r>
      <w:r>
        <w:t>u</w:t>
      </w:r>
      <w:r>
        <w:t>lio de 1994 expuesta por Telleldín en su i</w:t>
      </w:r>
      <w:r>
        <w:t>n</w:t>
      </w:r>
      <w:r>
        <w:t>dagatoria del 5 de julio de 1996. Así, entre las circunstancias coincide</w:t>
      </w:r>
      <w:r>
        <w:t>n</w:t>
      </w:r>
      <w:r>
        <w:t>tes puede señalarse la inexistencia de Ramón Martínez y la falsedad del boleto de compraventa de la camioneta, la e</w:t>
      </w:r>
      <w:r>
        <w:t>n</w:t>
      </w:r>
      <w:r>
        <w:t>trega de este vehículo a policías bonaerenses –entre los que destacó al oficial “Pino” y a un subcomisario que lo había extorsionado en abril–, los vehículos en que estos funcionarios se desplazaban –Fiat Duna blanco y Ford Gal</w:t>
      </w:r>
      <w:r>
        <w:t>a</w:t>
      </w:r>
      <w:r>
        <w:t>xy azul– y la relación de lo quedó adeudado el 10 con el hecho del 14.</w:t>
      </w:r>
    </w:p>
    <w:p w:rsidR="00224567" w:rsidRDefault="00224567">
      <w:pPr>
        <w:widowControl w:val="0"/>
      </w:pPr>
      <w:r>
        <w:tab/>
        <w:t>No obsta a lo expuesto que se advie</w:t>
      </w:r>
      <w:r>
        <w:t>r</w:t>
      </w:r>
      <w:r>
        <w:t>tan algunas difere</w:t>
      </w:r>
      <w:r>
        <w:t>n</w:t>
      </w:r>
      <w:r>
        <w:t>cias entre ambas versiones. Así, en las entrevistas –y siempre según la versión aportada en las notas– se precisó que el individuo con credencial verde de policía que se hiciera pasar por Ramón Martínez y fina</w:t>
      </w:r>
      <w:r>
        <w:t>l</w:t>
      </w:r>
      <w:r>
        <w:t xml:space="preserve">mente se llevara </w:t>
      </w:r>
      <w:smartTag w:uri="urn:schemas-microsoft-com:office:smarttags" w:element="PersonName">
        <w:smartTagPr>
          <w:attr w:name="ProductID" w:val="la Trafic"/>
        </w:smartTagPr>
        <w:r>
          <w:t>la Trafic</w:t>
        </w:r>
      </w:smartTag>
      <w:r>
        <w:t xml:space="preserve"> era un suboficial de Vicente López, que para vigilar a Telleldín habría quedado en el lugar un suboficial que se desempeñaba en Concepción (B</w:t>
      </w:r>
      <w:r>
        <w:t>a</w:t>
      </w:r>
      <w:r>
        <w:t>rrio de San Martín) después trasladado a la brigada de V</w:t>
      </w:r>
      <w:r>
        <w:t>i</w:t>
      </w:r>
      <w:r>
        <w:t>cente López y propietario de un Fiat 128, y, por último, que el apellido de uno de los of</w:t>
      </w:r>
      <w:r>
        <w:t>i</w:t>
      </w:r>
      <w:r>
        <w:t>ciales que se llevara la camioneta era turco. Estos datos volcados no fueron mant</w:t>
      </w:r>
      <w:r>
        <w:t>e</w:t>
      </w:r>
      <w:r>
        <w:t>nidos durante la declaración i</w:t>
      </w:r>
      <w:r>
        <w:t>n</w:t>
      </w:r>
      <w:r>
        <w:t>dagatoria del 5 de julio de 1996.</w:t>
      </w:r>
    </w:p>
    <w:p w:rsidR="00224567" w:rsidRDefault="00224567">
      <w:pPr>
        <w:widowControl w:val="0"/>
      </w:pPr>
      <w:r>
        <w:tab/>
        <w:t>En definitiva, la coincidencia ese</w:t>
      </w:r>
      <w:r>
        <w:t>n</w:t>
      </w:r>
      <w:r>
        <w:t>cial del contenido de las glosas con el de la indagat</w:t>
      </w:r>
      <w:r>
        <w:t>o</w:t>
      </w:r>
      <w:r>
        <w:t>ria referida no sorprende teniendo en cuenta la íntima vinc</w:t>
      </w:r>
      <w:r>
        <w:t>u</w:t>
      </w:r>
      <w:r>
        <w:t>lación entre estos actos. Corrobora lo expuesto la afirm</w:t>
      </w:r>
      <w:r>
        <w:t>a</w:t>
      </w:r>
      <w:r>
        <w:t>ción obrante en la n</w:t>
      </w:r>
      <w:r>
        <w:t>o</w:t>
      </w:r>
      <w:r>
        <w:t>ta del 24 de agosto de 1995 en cuanto que “Telleldín condicionó su cooperación al cumplimiento previo de determinadas exigencias que no pr</w:t>
      </w:r>
      <w:r>
        <w:t>e</w:t>
      </w:r>
      <w:r>
        <w:t>cisó”.</w:t>
      </w:r>
    </w:p>
    <w:p w:rsidR="00224567" w:rsidRDefault="00224567">
      <w:pPr>
        <w:widowControl w:val="0"/>
      </w:pPr>
      <w:r>
        <w:tab/>
        <w:t>El conjunto de circunstancias reseñ</w:t>
      </w:r>
      <w:r>
        <w:t>a</w:t>
      </w:r>
      <w:r>
        <w:t>das y que fueran incluidas en la remunerada declaración del 5 de julio de 1996, ya fue analizado y rebatido al tratar sus d</w:t>
      </w:r>
      <w:r>
        <w:t>i</w:t>
      </w:r>
      <w:r>
        <w:t>chos.</w:t>
      </w:r>
    </w:p>
    <w:p w:rsidR="00224567" w:rsidRDefault="00224567">
      <w:pPr>
        <w:widowControl w:val="0"/>
      </w:pPr>
      <w:r>
        <w:tab/>
        <w:t>Aquí solo corresponde agregar que en las citadas minutas se  dejó  constancia de  que T</w:t>
      </w:r>
      <w:r>
        <w:t>e</w:t>
      </w:r>
      <w:r>
        <w:t>lleldín –en prese</w:t>
      </w:r>
      <w:r>
        <w:t>n</w:t>
      </w:r>
      <w:r>
        <w:t>cia de la camarista y en una hoja de su agenda– confeccionó un plano que detallaba su dom</w:t>
      </w:r>
      <w:r>
        <w:t>i</w:t>
      </w:r>
      <w:r>
        <w:t>cilio y el lugar donde se encontraban distintos vehíc</w:t>
      </w:r>
      <w:r>
        <w:t>u</w:t>
      </w:r>
      <w:r>
        <w:t>los afectados al uso de la policía bonaerense el día de la entrega de la cami</w:t>
      </w:r>
      <w:r>
        <w:t>o</w:t>
      </w:r>
      <w:r>
        <w:t>neta.</w:t>
      </w:r>
    </w:p>
    <w:p w:rsidR="00224567" w:rsidRDefault="00224567">
      <w:pPr>
        <w:widowControl w:val="0"/>
      </w:pPr>
      <w:r>
        <w:tab/>
        <w:t>En este sentido no puede dejar de v</w:t>
      </w:r>
      <w:r>
        <w:t>a</w:t>
      </w:r>
      <w:r>
        <w:t>lorarse el peritaje de fs. 110.857/9 que al concluir que “las escrituras obrantes en el croquis de fs. 37.377 no corresponden morfológicamente al puño y letra de Carlos Alberto Telleldín” despoja de toda credibilidad direct</w:t>
      </w:r>
      <w:r>
        <w:t>a</w:t>
      </w:r>
      <w:r>
        <w:t>mente la afirmación sobre este punto efectuada en la cit</w:t>
      </w:r>
      <w:r>
        <w:t>a</w:t>
      </w:r>
      <w:r>
        <w:t>da nota y pone en crisis todas las re</w:t>
      </w:r>
      <w:r>
        <w:t>s</w:t>
      </w:r>
      <w:r>
        <w:t>tantes.</w:t>
      </w:r>
    </w:p>
    <w:p w:rsidR="00224567" w:rsidRDefault="00224567">
      <w:pPr>
        <w:widowControl w:val="0"/>
      </w:pPr>
      <w:r>
        <w:tab/>
        <w:t>Durante el debate prestaron declar</w:t>
      </w:r>
      <w:r>
        <w:t>a</w:t>
      </w:r>
      <w:r>
        <w:t>ción testimonial los peritos calígrafos, José Antonio Sa</w:t>
      </w:r>
      <w:r>
        <w:t>r</w:t>
      </w:r>
      <w:r>
        <w:t>ni y Néstor Ramón Zubielqui, quienes ratificaron las co</w:t>
      </w:r>
      <w:r>
        <w:t>n</w:t>
      </w:r>
      <w:r>
        <w:t>clusi</w:t>
      </w:r>
      <w:r>
        <w:t>o</w:t>
      </w:r>
      <w:r>
        <w:t>nes a las que habían arribado en el peritaje citado, y éste último lo hizo incluso luego de que le fuera exh</w:t>
      </w:r>
      <w:r>
        <w:t>i</w:t>
      </w:r>
      <w:r>
        <w:t>bido el plano or</w:t>
      </w:r>
      <w:r>
        <w:t>i</w:t>
      </w:r>
      <w:r>
        <w:t>ginal.</w:t>
      </w:r>
    </w:p>
    <w:p w:rsidR="00224567" w:rsidRDefault="00224567">
      <w:pPr>
        <w:widowControl w:val="0"/>
      </w:pPr>
      <w:r>
        <w:tab/>
        <w:t>Debe advertirse que resulta poco s</w:t>
      </w:r>
      <w:r>
        <w:t>e</w:t>
      </w:r>
      <w:r>
        <w:t>ria la afirmación co</w:t>
      </w:r>
      <w:r>
        <w:t>n</w:t>
      </w:r>
      <w:r>
        <w:t>tenida en la primera de esas notas cuando se consi</w:t>
      </w:r>
      <w:r>
        <w:t>g</w:t>
      </w:r>
      <w:r>
        <w:t>na que “la clave de lo ocurrido la había dado en su primera d</w:t>
      </w:r>
      <w:r>
        <w:t>e</w:t>
      </w:r>
      <w:r>
        <w:t>claración y que si se la volvía a leer se la encontraría”. Ello es así, toda vez que la versión brind</w:t>
      </w:r>
      <w:r>
        <w:t>a</w:t>
      </w:r>
      <w:r>
        <w:t>da en estas entrevistas resulta incompatible con la apo</w:t>
      </w:r>
      <w:r>
        <w:t>r</w:t>
      </w:r>
      <w:r>
        <w:t>tada en la declaración indag</w:t>
      </w:r>
      <w:r>
        <w:t>a</w:t>
      </w:r>
      <w:r>
        <w:t>toria aludida, al importar un abrupto cambio en su relato sobre lo ocurrido el 10 de j</w:t>
      </w:r>
      <w:r>
        <w:t>u</w:t>
      </w:r>
      <w:r>
        <w:t>lio de 1994.</w:t>
      </w:r>
    </w:p>
    <w:p w:rsidR="00224567" w:rsidRDefault="00224567">
      <w:pPr>
        <w:widowControl w:val="0"/>
      </w:pPr>
      <w:r>
        <w:tab/>
        <w:t>Recuérdese que en aquella declar</w:t>
      </w:r>
      <w:r>
        <w:t>a</w:t>
      </w:r>
      <w:r>
        <w:t>ción, y respecto al hecho en cuestión, no existe me</w:t>
      </w:r>
      <w:r>
        <w:t>n</w:t>
      </w:r>
      <w:r>
        <w:t>ción alguna sobre la intervención y/o presencia de personal policial durante la transacción y se describe una operación de co</w:t>
      </w:r>
      <w:r>
        <w:t>m</w:t>
      </w:r>
      <w:r>
        <w:t>pr</w:t>
      </w:r>
      <w:r>
        <w:t>a</w:t>
      </w:r>
      <w:r>
        <w:t>venta.</w:t>
      </w:r>
    </w:p>
    <w:p w:rsidR="00224567" w:rsidRDefault="00224567">
      <w:pPr>
        <w:widowControl w:val="0"/>
      </w:pPr>
      <w:r>
        <w:tab/>
        <w:t>Estas no fueron las únicas entrevi</w:t>
      </w:r>
      <w:r>
        <w:t>s</w:t>
      </w:r>
      <w:r>
        <w:t>tas ilegales de Telleldín con algún magistrado que se valor</w:t>
      </w:r>
      <w:r>
        <w:t>a</w:t>
      </w:r>
      <w:r>
        <w:t>ran como elementos integrantes de la denominada “vía ind</w:t>
      </w:r>
      <w:r>
        <w:t>e</w:t>
      </w:r>
      <w:r>
        <w:t>pendiente”. También se lo hizo respecto de una de las ma</w:t>
      </w:r>
      <w:r>
        <w:t>n</w:t>
      </w:r>
      <w:r>
        <w:t>tenidas por el imputado con el juez instructor y que a continuación se anal</w:t>
      </w:r>
      <w:r>
        <w:t>i</w:t>
      </w:r>
      <w:r>
        <w:t xml:space="preserve">zará. </w:t>
      </w:r>
    </w:p>
    <w:p w:rsidR="00224567" w:rsidRDefault="00224567">
      <w:pPr>
        <w:pStyle w:val="Ttulo7"/>
        <w:widowControl w:val="0"/>
      </w:pPr>
      <w:r>
        <w:rPr>
          <w:b/>
          <w:bCs/>
        </w:rPr>
        <w:tab/>
      </w:r>
      <w:bookmarkStart w:id="189" w:name="_Toc86731974"/>
      <w:r>
        <w:rPr>
          <w:b/>
          <w:bCs/>
        </w:rPr>
        <w:t>C.2.c.viii.D)</w:t>
      </w:r>
      <w:bookmarkStart w:id="190" w:name="_Toc79905051"/>
      <w:r>
        <w:rPr>
          <w:b/>
          <w:bCs/>
        </w:rPr>
        <w:t xml:space="preserve"> </w:t>
      </w:r>
      <w:r>
        <w:t>Las oscuras entrevistas entre Telleldín y el doctor Gale</w:t>
      </w:r>
      <w:r>
        <w:t>a</w:t>
      </w:r>
      <w:r>
        <w:t>no</w:t>
      </w:r>
      <w:bookmarkEnd w:id="189"/>
      <w:bookmarkEnd w:id="190"/>
      <w:r>
        <w:t>.</w:t>
      </w:r>
    </w:p>
    <w:p w:rsidR="00224567" w:rsidRDefault="00224567">
      <w:pPr>
        <w:widowControl w:val="0"/>
      </w:pPr>
      <w:r>
        <w:rPr>
          <w:b/>
          <w:bCs/>
          <w:color w:val="FF0000"/>
        </w:rPr>
        <w:tab/>
      </w:r>
      <w:r>
        <w:t>También se utilizó como elemento int</w:t>
      </w:r>
      <w:r>
        <w:t>e</w:t>
      </w:r>
      <w:r>
        <w:t>grante de una denom</w:t>
      </w:r>
      <w:r>
        <w:t>i</w:t>
      </w:r>
      <w:r>
        <w:t>nada “vía independiente” el video que fuera aportado por el magistrado instructor mediante el oficio glosado a fs. 827/9 del legajo de instrucción s</w:t>
      </w:r>
      <w:r>
        <w:t>u</w:t>
      </w:r>
      <w:r>
        <w:t>plementaria y en las circunstancias más arriba det</w:t>
      </w:r>
      <w:r>
        <w:t>a</w:t>
      </w:r>
      <w:r>
        <w:t>lladas.</w:t>
      </w:r>
    </w:p>
    <w:p w:rsidR="00224567" w:rsidRDefault="00224567">
      <w:pPr>
        <w:widowControl w:val="0"/>
      </w:pPr>
      <w:r>
        <w:tab/>
        <w:t>Ya se resaltó la contradicción en que incurriera el magistrado instructor respecto al carácter que revestían las filmaciones de las declaraciones y e</w:t>
      </w:r>
      <w:r>
        <w:t>n</w:t>
      </w:r>
      <w:r>
        <w:t>trevistas llevadas a cabo en su juzgado. Así, al justif</w:t>
      </w:r>
      <w:r>
        <w:t>i</w:t>
      </w:r>
      <w:r>
        <w:t>car su existencia las calificaba –indirectamente– como m</w:t>
      </w:r>
      <w:r>
        <w:t>e</w:t>
      </w:r>
      <w:r>
        <w:t>dios de prueba y al explicar su destrucción les neg</w:t>
      </w:r>
      <w:r>
        <w:t>a</w:t>
      </w:r>
      <w:r>
        <w:t>ba tal natur</w:t>
      </w:r>
      <w:r>
        <w:t>a</w:t>
      </w:r>
      <w:r>
        <w:t>leza.</w:t>
      </w:r>
    </w:p>
    <w:p w:rsidR="00224567" w:rsidRDefault="00224567">
      <w:pPr>
        <w:widowControl w:val="0"/>
      </w:pPr>
      <w:r>
        <w:tab/>
        <w:t>Ello, toda vez que el juez se enco</w:t>
      </w:r>
      <w:r>
        <w:t>n</w:t>
      </w:r>
      <w:r>
        <w:t>traba ante la encrucijada de legitimar esas grabaciones subrept</w:t>
      </w:r>
      <w:r>
        <w:t>i</w:t>
      </w:r>
      <w:r>
        <w:t>cias y, a su vez, quitarle carácter delictivo a su destrucción select</w:t>
      </w:r>
      <w:r>
        <w:t>i</w:t>
      </w:r>
      <w:r>
        <w:t>va.</w:t>
      </w:r>
    </w:p>
    <w:p w:rsidR="00224567" w:rsidRDefault="00224567">
      <w:pPr>
        <w:widowControl w:val="0"/>
      </w:pPr>
      <w:r>
        <w:tab/>
        <w:t>Una incompatibilidad semejante revela el razonamiento del alegato fiscal cuando por un lado se cita a este video como una muestra  del “intolerable som</w:t>
      </w:r>
      <w:r>
        <w:t>e</w:t>
      </w:r>
      <w:r>
        <w:t>timiento a los dictados del imputado” –equiparándolo i</w:t>
      </w:r>
      <w:r>
        <w:t>n</w:t>
      </w:r>
      <w:r>
        <w:t>cluso con el pago– para luego señalar que “la versión dada en el video reviste suma importa</w:t>
      </w:r>
      <w:r>
        <w:t>n</w:t>
      </w:r>
      <w:r>
        <w:t>cia”.</w:t>
      </w:r>
    </w:p>
    <w:p w:rsidR="00224567" w:rsidRDefault="00224567">
      <w:pPr>
        <w:widowControl w:val="0"/>
      </w:pPr>
      <w:r>
        <w:tab/>
        <w:t>También en esa oportunidad el repr</w:t>
      </w:r>
      <w:r>
        <w:t>e</w:t>
      </w:r>
      <w:r>
        <w:t>sentante del Ministerio Público Fiscal arguyó insólitame</w:t>
      </w:r>
      <w:r>
        <w:t>n</w:t>
      </w:r>
      <w:r>
        <w:t>te que para sa</w:t>
      </w:r>
      <w:r>
        <w:t>l</w:t>
      </w:r>
      <w:r>
        <w:t>var las irregularidades incurridas en estas ocultas filmaciones bastaba con que fueran doc</w:t>
      </w:r>
      <w:r>
        <w:t>u</w:t>
      </w:r>
      <w:r>
        <w:t>mentadas.</w:t>
      </w:r>
    </w:p>
    <w:p w:rsidR="00224567" w:rsidRDefault="00224567">
      <w:pPr>
        <w:widowControl w:val="0"/>
      </w:pPr>
      <w:r>
        <w:tab/>
        <w:t>Por su parte, los letrados de las qu</w:t>
      </w:r>
      <w:r>
        <w:t>e</w:t>
      </w:r>
      <w:r>
        <w:t>rellas A.M.I.A. y D.A.I.A., consideraron que se tr</w:t>
      </w:r>
      <w:r>
        <w:t>a</w:t>
      </w:r>
      <w:r>
        <w:t>taba de una prueba incorporada al debate. Ello, p</w:t>
      </w:r>
      <w:r>
        <w:t>e</w:t>
      </w:r>
      <w:r>
        <w:t xml:space="preserve">se a que </w:t>
      </w:r>
      <w:smartTag w:uri="urn:schemas-microsoft-com:office:smarttags" w:element="PersonName">
        <w:smartTagPr>
          <w:attr w:name="ProductID" w:val="La Dra. Nercellas"/>
        </w:smartTagPr>
        <w:r>
          <w:t>la Dra. Nercellas</w:t>
        </w:r>
      </w:smartTag>
      <w:r>
        <w:t xml:space="preserve"> sostuviera que no eran “recibidos con beneplác</w:t>
      </w:r>
      <w:r>
        <w:t>i</w:t>
      </w:r>
      <w:r>
        <w:t>to” ni los videos filmados en el juzgado, ni las reuniones entre Galeano y Telle</w:t>
      </w:r>
      <w:r>
        <w:t>l</w:t>
      </w:r>
      <w:r>
        <w:t>dín.</w:t>
      </w:r>
    </w:p>
    <w:p w:rsidR="00224567" w:rsidRDefault="00224567">
      <w:pPr>
        <w:widowControl w:val="0"/>
      </w:pPr>
      <w:r>
        <w:tab/>
        <w:t>Vale recordar que el Dr. Ávila cara</w:t>
      </w:r>
      <w:r>
        <w:t>c</w:t>
      </w:r>
      <w:r>
        <w:t>terizó a esta pieza como un hecho, no un acto procesal y que como tal podía constituir un indicio del que podrían derivarse conclusiones o pruebas que contribuyeran a e</w:t>
      </w:r>
      <w:r>
        <w:t>s</w:t>
      </w:r>
      <w:r>
        <w:t>clarecer, junto al manuscrito aludido, por dónde transit</w:t>
      </w:r>
      <w:r>
        <w:t>a</w:t>
      </w:r>
      <w:r>
        <w:t>ba la verdad en las declaraciones de Telle</w:t>
      </w:r>
      <w:r>
        <w:t>l</w:t>
      </w:r>
      <w:r>
        <w:t>dín.</w:t>
      </w:r>
    </w:p>
    <w:p w:rsidR="00224567" w:rsidRDefault="00224567">
      <w:pPr>
        <w:widowControl w:val="0"/>
      </w:pPr>
      <w:r>
        <w:tab/>
        <w:t>Los argumentos transcriptos precede</w:t>
      </w:r>
      <w:r>
        <w:t>n</w:t>
      </w:r>
      <w:r>
        <w:t>temente obligan a re</w:t>
      </w:r>
      <w:r>
        <w:t>a</w:t>
      </w:r>
      <w:r>
        <w:t xml:space="preserve">lizar una serie de precisiones. </w:t>
      </w:r>
    </w:p>
    <w:p w:rsidR="00224567" w:rsidRDefault="00224567">
      <w:pPr>
        <w:widowControl w:val="0"/>
      </w:pPr>
      <w:r>
        <w:tab/>
        <w:t>Es sabido que en materia penal rige el principio de libe</w:t>
      </w:r>
      <w:r>
        <w:t>r</w:t>
      </w:r>
      <w:r>
        <w:t>tad probatoria, esto es, que las formas de verificar la existencia de alguna circunstancia rel</w:t>
      </w:r>
      <w:r>
        <w:t>e</w:t>
      </w:r>
      <w:r>
        <w:t>vante para el obj</w:t>
      </w:r>
      <w:r>
        <w:t>e</w:t>
      </w:r>
      <w:r>
        <w:t>to procesal, no se encuentran limitadas a las previstas legalmente (cfe. Vélez Mar</w:t>
      </w:r>
      <w:r>
        <w:t>i</w:t>
      </w:r>
      <w:r>
        <w:t>conde, “Tratado de Derecho Procesal Penal”, Marcos Le</w:t>
      </w:r>
      <w:r>
        <w:t>r</w:t>
      </w:r>
      <w:r>
        <w:t>ner Editora Córdoba, Córdoba, 3ª edición, 1ª reimpr</w:t>
      </w:r>
      <w:r>
        <w:t>e</w:t>
      </w:r>
      <w:r>
        <w:t>sión, 1982, t. II, p. 198; Clariá Olmedo, Jorge A., “Tratado de Derecho Procesal P</w:t>
      </w:r>
      <w:r>
        <w:t>e</w:t>
      </w:r>
      <w:r>
        <w:t>nal”, Ediar, Buenos Aires, 1966, t. V, p. 33; Cafferata Nores, “</w:t>
      </w:r>
      <w:smartTag w:uri="urn:schemas-microsoft-com:office:smarttags" w:element="PersonName">
        <w:smartTagPr>
          <w:attr w:name="ProductID" w:val="La Prueba"/>
        </w:smartTagPr>
        <w:r>
          <w:t>La Prueba</w:t>
        </w:r>
      </w:smartTag>
      <w:r>
        <w:t xml:space="preserve"> en el Proceso Penal”, ed. Depalma, Bu</w:t>
      </w:r>
      <w:r>
        <w:t>e</w:t>
      </w:r>
      <w:r>
        <w:t>nos Aires, 1ª ed</w:t>
      </w:r>
      <w:r>
        <w:t>i</w:t>
      </w:r>
      <w:r>
        <w:t>ción, 1986, p. 23).</w:t>
      </w:r>
    </w:p>
    <w:p w:rsidR="00224567" w:rsidRDefault="00224567">
      <w:pPr>
        <w:widowControl w:val="0"/>
      </w:pPr>
      <w:r>
        <w:tab/>
        <w:t>En el ordenamiento procesal que nos rige, este principio se deriva del art. 193, inc. 1º en cuanto se refiere al objeto de la instrucción, donde se dice que se podrán realizar “las diligencias conducentes al desc</w:t>
      </w:r>
      <w:r>
        <w:t>u</w:t>
      </w:r>
      <w:r>
        <w:t>brimiento de la verdad”.</w:t>
      </w:r>
    </w:p>
    <w:p w:rsidR="00224567" w:rsidRDefault="00224567">
      <w:pPr>
        <w:widowControl w:val="0"/>
      </w:pPr>
      <w:r>
        <w:tab/>
        <w:t>Ahora bien, esta amplitud probatoria se encuentra limitada por las prohibiciones previstas en cada ordenamiento ritual, como por ejemplo la est</w:t>
      </w:r>
      <w:r>
        <w:t>a</w:t>
      </w:r>
      <w:r>
        <w:t>blecida en el art. 242 del C.P.P.N., o las incompatibles con el cit</w:t>
      </w:r>
      <w:r>
        <w:t>a</w:t>
      </w:r>
      <w:r>
        <w:t>do principio</w:t>
      </w:r>
      <w:r>
        <w:rPr>
          <w:b/>
          <w:bCs/>
        </w:rPr>
        <w:t xml:space="preserve"> </w:t>
      </w:r>
      <w:r>
        <w:t xml:space="preserve">(cfe. </w:t>
      </w:r>
      <w:r>
        <w:rPr>
          <w:lang w:val="es-ES_tradnl"/>
        </w:rPr>
        <w:t xml:space="preserve">Jauchen, </w:t>
      </w:r>
      <w:r>
        <w:t>Eduardo M., “</w:t>
      </w:r>
      <w:smartTag w:uri="urn:schemas-microsoft-com:office:smarttags" w:element="PersonName">
        <w:smartTagPr>
          <w:attr w:name="ProductID" w:val="La Prueba"/>
        </w:smartTagPr>
        <w:r>
          <w:t>La Prueba</w:t>
        </w:r>
      </w:smartTag>
      <w:r>
        <w:t xml:space="preserve"> en Materia Penal”, Rubinzal Culzoni Editores, Santa Fe, año 1992, p. 33).</w:t>
      </w:r>
    </w:p>
    <w:p w:rsidR="00224567" w:rsidRDefault="00224567">
      <w:pPr>
        <w:widowControl w:val="0"/>
      </w:pPr>
      <w:r>
        <w:tab/>
        <w:t>En este sentido se ha dicho que “la exigencia de la legalidad de la prueba no contradice el régimen de libertad probatoria vigente en el proceso p</w:t>
      </w:r>
      <w:r>
        <w:t>e</w:t>
      </w:r>
      <w:r>
        <w:t>nal: simplemente le proporciona un marco ético jurídico” (Cafferata N</w:t>
      </w:r>
      <w:r>
        <w:t>o</w:t>
      </w:r>
      <w:r>
        <w:t>res, “La prueba ...”, p. 13).</w:t>
      </w:r>
    </w:p>
    <w:p w:rsidR="00224567" w:rsidRDefault="00224567">
      <w:pPr>
        <w:widowControl w:val="0"/>
      </w:pPr>
      <w:r>
        <w:tab/>
        <w:t>A esta restricción, Bruzzone incorp</w:t>
      </w:r>
      <w:r>
        <w:t>o</w:t>
      </w:r>
      <w:r>
        <w:t>ra otra al señalar que “siempre que la medida probatoria po</w:t>
      </w:r>
      <w:r>
        <w:t>n</w:t>
      </w:r>
      <w:r>
        <w:t>ga en crisis derechos y garantías de manera directa nos encontraremos, en realidad, frente a una medida de coe</w:t>
      </w:r>
      <w:r>
        <w:t>r</w:t>
      </w:r>
      <w:r>
        <w:t>ción o de injerencia y, como tal, no es posible utiliza</w:t>
      </w:r>
      <w:r>
        <w:t>r</w:t>
      </w:r>
      <w:r>
        <w:t>los sin lim</w:t>
      </w:r>
      <w:r>
        <w:t>i</w:t>
      </w:r>
      <w:r>
        <w:t xml:space="preserve">taciones” (“La nulla coactio sine lege como la pauta de trabajo en materia de medidas de coerción en el proceso penal”, en </w:t>
      </w:r>
      <w:smartTag w:uri="urn:schemas-microsoft-com:office:smarttags" w:element="PersonName">
        <w:smartTagPr>
          <w:attr w:name="ProductID" w:val="la Justicia Penal"/>
        </w:smartTagPr>
        <w:r>
          <w:t>La Justicia Penal</w:t>
        </w:r>
      </w:smartTag>
      <w:r>
        <w:t xml:space="preserve"> Hoy, editorial Di Plácido, Bu</w:t>
      </w:r>
      <w:r>
        <w:t>e</w:t>
      </w:r>
      <w:r>
        <w:t>nos Aires, 2000, p. 200).</w:t>
      </w:r>
    </w:p>
    <w:p w:rsidR="00224567" w:rsidRDefault="00224567">
      <w:pPr>
        <w:widowControl w:val="0"/>
      </w:pPr>
      <w:r>
        <w:tab/>
        <w:t>En tal carácter el autor sostiene que, como derivado del principio de legalidad se deriva la m</w:t>
      </w:r>
      <w:r>
        <w:t>á</w:t>
      </w:r>
      <w:r>
        <w:t xml:space="preserve">xima </w:t>
      </w:r>
      <w:r>
        <w:rPr>
          <w:u w:val="single"/>
        </w:rPr>
        <w:t>nulla coactio sine lege</w:t>
      </w:r>
      <w:r>
        <w:t>, cuyo enunciado es el s</w:t>
      </w:r>
      <w:r>
        <w:t>i</w:t>
      </w:r>
      <w:r>
        <w:t>guiente: “si la medida de coerción o de injerencia no está prevista en la ley procesal no la podremos adoptar” (obra cit</w:t>
      </w:r>
      <w:r>
        <w:t>a</w:t>
      </w:r>
      <w:r>
        <w:t>da, p. 202).</w:t>
      </w:r>
    </w:p>
    <w:p w:rsidR="00224567" w:rsidRDefault="00224567">
      <w:pPr>
        <w:widowControl w:val="0"/>
      </w:pPr>
      <w:r>
        <w:tab/>
        <w:t>En materia de declaraciones del imp</w:t>
      </w:r>
      <w:r>
        <w:t>u</w:t>
      </w:r>
      <w:r>
        <w:t>tado, el legislador no ha dejado librada a la imagin</w:t>
      </w:r>
      <w:r>
        <w:t>a</w:t>
      </w:r>
      <w:r>
        <w:t>ción del órgano jurisdiccional las formas válidas de su rece</w:t>
      </w:r>
      <w:r>
        <w:t>p</w:t>
      </w:r>
      <w:r>
        <w:t>tación. Por el contrario, solo ha previsto la declar</w:t>
      </w:r>
      <w:r>
        <w:t>a</w:t>
      </w:r>
      <w:r>
        <w:t>ción espontánea –art. 73 y 279 del C.P.P.N.– y la indagat</w:t>
      </w:r>
      <w:r>
        <w:t>o</w:t>
      </w:r>
      <w:r>
        <w:t>ria  –arts. 294 y ss. del C.P.P.N.–. Particularmente esta últ</w:t>
      </w:r>
      <w:r>
        <w:t>i</w:t>
      </w:r>
      <w:r>
        <w:t>ma se encuentra rodeada de una serie de formalidades te</w:t>
      </w:r>
      <w:r>
        <w:t>n</w:t>
      </w:r>
      <w:r>
        <w:t>dientes a resguardar la libertad del imputado en su pri</w:t>
      </w:r>
      <w:r>
        <w:t>n</w:t>
      </w:r>
      <w:r>
        <w:t>cipal acto de defensa m</w:t>
      </w:r>
      <w:r>
        <w:t>a</w:t>
      </w:r>
      <w:r>
        <w:t xml:space="preserve">terial. </w:t>
      </w:r>
    </w:p>
    <w:p w:rsidR="00224567" w:rsidRDefault="00224567">
      <w:pPr>
        <w:widowControl w:val="0"/>
      </w:pPr>
      <w:r>
        <w:tab/>
        <w:t>Desde antiguo, tanto jurisprudencial (Fallos: 236:271) como doctrinariamente (Carrió, “Gara</w:t>
      </w:r>
      <w:r>
        <w:t>n</w:t>
      </w:r>
      <w:r>
        <w:t>tías Constitucionales en el Proceso Penal”, Hammurabi, J</w:t>
      </w:r>
      <w:r>
        <w:t>o</w:t>
      </w:r>
      <w:r>
        <w:t>sé Luis Depalma, Editor; pp. 88 y ss.; Maier, “Derecho Procesal Penal, t. I Fundamentos”, editorial Del Puerto, 2ª edición, Buenos Aires, 2002, p. 552) se ha reconocido que el derecho a ser oído constituía un elemento integra</w:t>
      </w:r>
      <w:r>
        <w:t>n</w:t>
      </w:r>
      <w:r>
        <w:t>te de la g</w:t>
      </w:r>
      <w:r>
        <w:t>a</w:t>
      </w:r>
      <w:r>
        <w:t>rantía constitucional de defensa en juicio.</w:t>
      </w:r>
    </w:p>
    <w:p w:rsidR="00224567" w:rsidRDefault="00224567">
      <w:pPr>
        <w:widowControl w:val="0"/>
      </w:pPr>
      <w:r>
        <w:tab/>
        <w:t>Es justamente, por su trascendencia y por la garantía constitucional en juego, el acto proc</w:t>
      </w:r>
      <w:r>
        <w:t>e</w:t>
      </w:r>
      <w:r>
        <w:t>sal que está resguardado por una mayor cantidad de reglas de ineludible cumpl</w:t>
      </w:r>
      <w:r>
        <w:t>i</w:t>
      </w:r>
      <w:r>
        <w:t>miento.</w:t>
      </w:r>
    </w:p>
    <w:p w:rsidR="00224567" w:rsidRDefault="00224567">
      <w:pPr>
        <w:widowControl w:val="0"/>
      </w:pPr>
      <w:r>
        <w:tab/>
        <w:t>Luego de arribado a este punto de an</w:t>
      </w:r>
      <w:r>
        <w:t>á</w:t>
      </w:r>
      <w:r>
        <w:t>lisis, es claro que las “informales entrevistas” e</w:t>
      </w:r>
      <w:r>
        <w:t>n</w:t>
      </w:r>
      <w:r>
        <w:t>tre el magistrado y el imputado no cumplen con ninguna de estas pautas (convocatoria formal, presencia de abogado defe</w:t>
      </w:r>
      <w:r>
        <w:t>n</w:t>
      </w:r>
      <w:r>
        <w:t>sor, debida intimación de hechos y pruebas de cargo, cal</w:t>
      </w:r>
      <w:r>
        <w:t>i</w:t>
      </w:r>
      <w:r>
        <w:t>ficación jurídica de la co</w:t>
      </w:r>
      <w:r>
        <w:t>n</w:t>
      </w:r>
      <w:r>
        <w:t>ducta enrostrada, entre las más s</w:t>
      </w:r>
      <w:r>
        <w:t>a</w:t>
      </w:r>
      <w:r>
        <w:t>lientes).</w:t>
      </w:r>
    </w:p>
    <w:p w:rsidR="00224567" w:rsidRDefault="00224567">
      <w:pPr>
        <w:widowControl w:val="0"/>
      </w:pPr>
      <w:r>
        <w:tab/>
        <w:t>Ello, más allá de la forma oculta en que se realizó –sin que se dejara en la causa ninguna constancia no solo de su contenido, sino aún de su real</w:t>
      </w:r>
      <w:r>
        <w:t>i</w:t>
      </w:r>
      <w:r>
        <w:t>zación–. Ello, obviamente impedía el control de esa ilegal fuente de información, tanto por las partes como por los órganos j</w:t>
      </w:r>
      <w:r>
        <w:t>u</w:t>
      </w:r>
      <w:r>
        <w:t>risdiccionales competentes.</w:t>
      </w:r>
    </w:p>
    <w:p w:rsidR="00224567" w:rsidRDefault="00224567">
      <w:pPr>
        <w:widowControl w:val="0"/>
      </w:pPr>
      <w:r>
        <w:tab/>
        <w:t>Por otra parte, no podrá argumentarse que las entrevistas informales reseñadas se adecuen s</w:t>
      </w:r>
      <w:r>
        <w:t>i</w:t>
      </w:r>
      <w:r>
        <w:t>quiera a los parámetros de la declaración espontánea pr</w:t>
      </w:r>
      <w:r>
        <w:t>e</w:t>
      </w:r>
      <w:r>
        <w:t>vista en el art. 279 del C.P.P.N.. Así, toda vez, que esta dil</w:t>
      </w:r>
      <w:r>
        <w:t>i</w:t>
      </w:r>
      <w:r>
        <w:t>gencia obviamente no podrá ser suplida por una reunión s</w:t>
      </w:r>
      <w:r>
        <w:t>e</w:t>
      </w:r>
      <w:r>
        <w:t>creta entre el juez y el imputado, en la que se abordan temas integra</w:t>
      </w:r>
      <w:r>
        <w:t>n</w:t>
      </w:r>
      <w:r>
        <w:t>tes del objeto procesal.</w:t>
      </w:r>
    </w:p>
    <w:p w:rsidR="00224567" w:rsidRDefault="00224567">
      <w:pPr>
        <w:widowControl w:val="0"/>
      </w:pPr>
      <w:r>
        <w:tab/>
        <w:t>La declaración allí prevista no debe confundirse con la posibilidad del imputado de prese</w:t>
      </w:r>
      <w:r>
        <w:t>n</w:t>
      </w:r>
      <w:r>
        <w:t>tarse espontáneamente cuantas veces quiera ante el juez instru</w:t>
      </w:r>
      <w:r>
        <w:t>c</w:t>
      </w:r>
      <w:r>
        <w:t>tor y declarar sobre los hechos o aportar las pruebas que considere hagan a su defe</w:t>
      </w:r>
      <w:r>
        <w:t>n</w:t>
      </w:r>
      <w:r>
        <w:t>sa (art. 303 del C.P.P.N.).</w:t>
      </w:r>
    </w:p>
    <w:p w:rsidR="00224567" w:rsidRDefault="00224567">
      <w:pPr>
        <w:widowControl w:val="0"/>
      </w:pPr>
      <w:r>
        <w:tab/>
        <w:t>Pero debe advertirse que la declar</w:t>
      </w:r>
      <w:r>
        <w:t>a</w:t>
      </w:r>
      <w:r>
        <w:t>ción del imputado, amén de su principal naturaleza como acto de d</w:t>
      </w:r>
      <w:r>
        <w:t>e</w:t>
      </w:r>
      <w:r>
        <w:t>fensa, puede constituir un medio de prueba de su propia responsabilidad (confesión) o de la de terc</w:t>
      </w:r>
      <w:r>
        <w:t>e</w:t>
      </w:r>
      <w:r>
        <w:t xml:space="preserve">ros. </w:t>
      </w:r>
    </w:p>
    <w:p w:rsidR="00224567" w:rsidRDefault="00224567">
      <w:pPr>
        <w:widowControl w:val="0"/>
      </w:pPr>
      <w:r>
        <w:tab/>
        <w:t>En tal sentido corresponde destacar que en la entrevista analizada se ha aceptado y contribu</w:t>
      </w:r>
      <w:r>
        <w:t>i</w:t>
      </w:r>
      <w:r>
        <w:t>do a que el imputado efectuara una serie de identificaci</w:t>
      </w:r>
      <w:r>
        <w:t>o</w:t>
      </w:r>
      <w:r>
        <w:t>nes de personas m</w:t>
      </w:r>
      <w:r>
        <w:t>e</w:t>
      </w:r>
      <w:r>
        <w:t>diante fotografías.</w:t>
      </w:r>
    </w:p>
    <w:p w:rsidR="00224567" w:rsidRDefault="00224567">
      <w:pPr>
        <w:widowControl w:val="0"/>
      </w:pPr>
      <w:r>
        <w:tab/>
        <w:t>Resulta oportuno recordar entonces que también los reconocimientos de personas deben efectuarse conforme a las pautas establec</w:t>
      </w:r>
      <w:r>
        <w:t>i</w:t>
      </w:r>
      <w:r>
        <w:t>das en los arts. 270 y ss.. del C.P.P.N.. Además, si la diligencia debe ser practicada mediante fotografías se tendrá que s</w:t>
      </w:r>
      <w:r>
        <w:t>e</w:t>
      </w:r>
      <w:r>
        <w:t>guir el procedimiento r</w:t>
      </w:r>
      <w:r>
        <w:t>e</w:t>
      </w:r>
      <w:r>
        <w:t>glado por el art. 274 del mismo ordenamiento, teniéndose en cuenta que esta forma de reconocimiento es excepcional ya que se encuentra limitada a los supuestos donde el s</w:t>
      </w:r>
      <w:r>
        <w:t>u</w:t>
      </w:r>
      <w:r>
        <w:t>jeto a identificar no estuviera presente ni pudiera ser hab</w:t>
      </w:r>
      <w:r>
        <w:t>i</w:t>
      </w:r>
      <w:r>
        <w:t>do.</w:t>
      </w:r>
    </w:p>
    <w:p w:rsidR="00224567" w:rsidRDefault="00224567">
      <w:pPr>
        <w:widowControl w:val="0"/>
      </w:pPr>
      <w:r>
        <w:tab/>
        <w:t>Estas formas buscan garantizar a la vez la transparencia del acto procesal y la veracidad de quien efectúa el rec</w:t>
      </w:r>
      <w:r>
        <w:t>o</w:t>
      </w:r>
      <w:r>
        <w:t>nocimiento.</w:t>
      </w:r>
    </w:p>
    <w:p w:rsidR="00224567" w:rsidRDefault="00224567">
      <w:pPr>
        <w:widowControl w:val="0"/>
      </w:pPr>
      <w:r>
        <w:tab/>
        <w:t>Ahora bien, del análisis de la entr</w:t>
      </w:r>
      <w:r>
        <w:t>e</w:t>
      </w:r>
      <w:r>
        <w:t>vista reflejada en la filmación se advierte que no se ha cu</w:t>
      </w:r>
      <w:r>
        <w:t>m</w:t>
      </w:r>
      <w:r>
        <w:t>plido con ninguna de las exigencias que demanda la ley proc</w:t>
      </w:r>
      <w:r>
        <w:t>e</w:t>
      </w:r>
      <w:r>
        <w:t>sal.</w:t>
      </w:r>
    </w:p>
    <w:p w:rsidR="00224567" w:rsidRDefault="00224567">
      <w:pPr>
        <w:widowControl w:val="0"/>
      </w:pPr>
      <w:r>
        <w:tab/>
        <w:t>En efecto, según las constancias de la causa este acto no fue ordenado judicialmente, no se realizó el interrogatorio previo, no se identificaron las fotografías reconocidas y obviamente no se labró el acta con el r</w:t>
      </w:r>
      <w:r>
        <w:t>e</w:t>
      </w:r>
      <w:r>
        <w:t>sultado de la diligencia.</w:t>
      </w:r>
    </w:p>
    <w:p w:rsidR="00224567" w:rsidRDefault="00224567">
      <w:pPr>
        <w:widowControl w:val="0"/>
      </w:pPr>
      <w:r>
        <w:tab/>
        <w:t>A estos fines, es decir, la validez de dicho reconocimiento como elemento de cargo indepe</w:t>
      </w:r>
      <w:r>
        <w:t>n</w:t>
      </w:r>
      <w:r>
        <w:t>diente a la declaración indagatoria del 5 de julio de 1996, r</w:t>
      </w:r>
      <w:r>
        <w:t>e</w:t>
      </w:r>
      <w:r>
        <w:t>sulta irrelevante que el impulso por la ident</w:t>
      </w:r>
      <w:r>
        <w:t>i</w:t>
      </w:r>
      <w:r>
        <w:t>ficación de algún sujeto, o aún de la diligencia misma, hubiera part</w:t>
      </w:r>
      <w:r>
        <w:t>i</w:t>
      </w:r>
      <w:r>
        <w:t>do del imputado o del magistrado instru</w:t>
      </w:r>
      <w:r>
        <w:t>c</w:t>
      </w:r>
      <w:r>
        <w:t xml:space="preserve">tor. </w:t>
      </w:r>
    </w:p>
    <w:p w:rsidR="00224567" w:rsidRDefault="00224567">
      <w:pPr>
        <w:widowControl w:val="0"/>
      </w:pPr>
      <w:r>
        <w:tab/>
        <w:t>Ello, más allá de la dificultad en p</w:t>
      </w:r>
      <w:r>
        <w:t>o</w:t>
      </w:r>
      <w:r>
        <w:t>der determinar esta circunstancia, toda vez que la film</w:t>
      </w:r>
      <w:r>
        <w:t>a</w:t>
      </w:r>
      <w:r>
        <w:t>ción de esa entrevista no la alcanza en su totalidad, ya que –como se advierte claramente– le falta el tramo c</w:t>
      </w:r>
      <w:r>
        <w:t>o</w:t>
      </w:r>
      <w:r>
        <w:t>rrespondiente a su inicio.</w:t>
      </w:r>
    </w:p>
    <w:p w:rsidR="00224567" w:rsidRDefault="00224567">
      <w:pPr>
        <w:widowControl w:val="0"/>
      </w:pPr>
      <w:r>
        <w:tab/>
        <w:t>Por todo lo expuesto, y toda vez que tales entrevistas carecen de validez por las razones más arriba expuestas, t</w:t>
      </w:r>
      <w:r>
        <w:t>o</w:t>
      </w:r>
      <w:r>
        <w:t>das las referencias efectuadas en los alegatos de los acusadores en punto a la supuesta espont</w:t>
      </w:r>
      <w:r>
        <w:t>a</w:t>
      </w:r>
      <w:r>
        <w:t>neidad de Telleldín tanto en el relato de lo sucedido como en el reconocimiento de fotografías exhibidas, devienen abstractas e intra</w:t>
      </w:r>
      <w:r>
        <w:t>s</w:t>
      </w:r>
      <w:r>
        <w:t>cendentes.</w:t>
      </w:r>
    </w:p>
    <w:p w:rsidR="00224567" w:rsidRDefault="00224567">
      <w:pPr>
        <w:widowControl w:val="0"/>
      </w:pPr>
      <w:r>
        <w:tab/>
        <w:t>Por otra parte, con la referencia a la espontaneidad de los dichos de Telleldín indirect</w:t>
      </w:r>
      <w:r>
        <w:t>a</w:t>
      </w:r>
      <w:r>
        <w:t>mente se intenta convalidar la diligencia, a partir de demostrar que el acto de reconocimiento de fotografías no fue coa</w:t>
      </w:r>
      <w:r>
        <w:t>c</w:t>
      </w:r>
      <w:r>
        <w:t>cionado ni dir</w:t>
      </w:r>
      <w:r>
        <w:t>i</w:t>
      </w:r>
      <w:r>
        <w:t>gido por el juez a cargo del sumario.</w:t>
      </w:r>
    </w:p>
    <w:p w:rsidR="00224567" w:rsidRDefault="00224567">
      <w:pPr>
        <w:widowControl w:val="0"/>
      </w:pPr>
      <w:r>
        <w:tab/>
        <w:t>Sin embargo, de esa forma se pierde de vista que las formalidades exigidas a la diligencia de r</w:t>
      </w:r>
      <w:r>
        <w:t>e</w:t>
      </w:r>
      <w:r>
        <w:t>conocimiento de personas –como ya se dijera– no sólo bu</w:t>
      </w:r>
      <w:r>
        <w:t>s</w:t>
      </w:r>
      <w:r>
        <w:t>can proteger la veracidad de los dichos de quien efectúa dicha identificación sino también en resguardo de las pe</w:t>
      </w:r>
      <w:r>
        <w:t>r</w:t>
      </w:r>
      <w:r>
        <w:t>sonas que pueden ser reconocidas.</w:t>
      </w:r>
    </w:p>
    <w:p w:rsidR="00224567" w:rsidRDefault="00224567">
      <w:pPr>
        <w:widowControl w:val="0"/>
      </w:pPr>
      <w:r>
        <w:tab/>
        <w:t>Adviértase que si bien en la film</w:t>
      </w:r>
      <w:r>
        <w:t>a</w:t>
      </w:r>
      <w:r>
        <w:t>ción de esta entrevista no pueden apreciarse qué fotografías les fueron exhibidas, sí que los protagonistas de esa reunión hicieron referencia a nombres de personas que a la fecha se encontraban imputadas en la ca</w:t>
      </w:r>
      <w:r>
        <w:t>u</w:t>
      </w:r>
      <w:r>
        <w:t>sa.</w:t>
      </w:r>
    </w:p>
    <w:p w:rsidR="00224567" w:rsidRDefault="00224567">
      <w:pPr>
        <w:widowControl w:val="0"/>
        <w:rPr>
          <w:lang w:val="es-ES_tradnl"/>
        </w:rPr>
      </w:pPr>
      <w:r>
        <w:tab/>
        <w:t>Entonces, más allá de que no se just</w:t>
      </w:r>
      <w:r>
        <w:t>i</w:t>
      </w:r>
      <w:r>
        <w:t>ficara la exhibición de fot</w:t>
      </w:r>
      <w:r>
        <w:t>o</w:t>
      </w:r>
      <w:r>
        <w:t xml:space="preserve">grafías de personas que podían ser habidas (cfe. </w:t>
      </w:r>
      <w:r>
        <w:rPr>
          <w:lang w:val="es-ES_tradnl"/>
        </w:rPr>
        <w:t xml:space="preserve">art. </w:t>
      </w:r>
      <w:smartTag w:uri="urn:schemas-microsoft-com:office:smarttags" w:element="metricconverter">
        <w:smartTagPr>
          <w:attr w:name="ProductID" w:val="274 C"/>
        </w:smartTagPr>
        <w:r>
          <w:rPr>
            <w:lang w:val="es-ES_tradnl"/>
          </w:rPr>
          <w:t>274 C</w:t>
        </w:r>
      </w:smartTag>
      <w:r>
        <w:rPr>
          <w:lang w:val="es-ES_tradnl"/>
        </w:rPr>
        <w:t xml:space="preserve">.P.P.N.), se ha coartado a esos imputados la posibilidad de controlar –sea por sí o por intermedio de sus abogados defensores– la diligencia que resultaba irreproducible  (art. </w:t>
      </w:r>
      <w:smartTag w:uri="urn:schemas-microsoft-com:office:smarttags" w:element="metricconverter">
        <w:smartTagPr>
          <w:attr w:name="ProductID" w:val="200 C"/>
        </w:smartTagPr>
        <w:r>
          <w:rPr>
            <w:lang w:val="es-ES_tradnl"/>
          </w:rPr>
          <w:t>200 C</w:t>
        </w:r>
      </w:smartTag>
      <w:r>
        <w:rPr>
          <w:lang w:val="es-ES_tradnl"/>
        </w:rPr>
        <w:t>.P.P.N.). Esta facultad del control de la prueba de cargo, resulta obvi</w:t>
      </w:r>
      <w:r>
        <w:rPr>
          <w:lang w:val="es-ES_tradnl"/>
        </w:rPr>
        <w:t>a</w:t>
      </w:r>
      <w:r>
        <w:rPr>
          <w:lang w:val="es-ES_tradnl"/>
        </w:rPr>
        <w:t>mente integrante de la gara</w:t>
      </w:r>
      <w:r>
        <w:rPr>
          <w:lang w:val="es-ES_tradnl"/>
        </w:rPr>
        <w:t>n</w:t>
      </w:r>
      <w:r>
        <w:rPr>
          <w:lang w:val="es-ES_tradnl"/>
        </w:rPr>
        <w:t xml:space="preserve">tía constitucional de defensa en juicio (art. </w:t>
      </w:r>
      <w:smartTag w:uri="urn:schemas-microsoft-com:office:smarttags" w:element="metricconverter">
        <w:smartTagPr>
          <w:attr w:name="ProductID" w:val="18 C"/>
        </w:smartTagPr>
        <w:r>
          <w:rPr>
            <w:lang w:val="es-ES_tradnl"/>
          </w:rPr>
          <w:t>18 C</w:t>
        </w:r>
      </w:smartTag>
      <w:r>
        <w:rPr>
          <w:lang w:val="es-ES_tradnl"/>
        </w:rPr>
        <w:t>.N.) (Carrió, “Garantías ...”, 4ª ed</w:t>
      </w:r>
      <w:r>
        <w:rPr>
          <w:lang w:val="es-ES_tradnl"/>
        </w:rPr>
        <w:t>i</w:t>
      </w:r>
      <w:r>
        <w:rPr>
          <w:lang w:val="es-ES_tradnl"/>
        </w:rPr>
        <w:t>ción, p. 89; Fallos: 247:724).</w:t>
      </w:r>
    </w:p>
    <w:p w:rsidR="00224567" w:rsidRDefault="00224567">
      <w:pPr>
        <w:widowControl w:val="0"/>
        <w:rPr>
          <w:lang w:val="es-ES_tradnl"/>
        </w:rPr>
      </w:pPr>
      <w:r>
        <w:rPr>
          <w:lang w:val="es-ES_tradnl"/>
        </w:rPr>
        <w:tab/>
        <w:t>En este mismo sentido, debe tenerse en cuenta que los reconocimientos efectuados por T</w:t>
      </w:r>
      <w:r>
        <w:rPr>
          <w:lang w:val="es-ES_tradnl"/>
        </w:rPr>
        <w:t>e</w:t>
      </w:r>
      <w:r>
        <w:rPr>
          <w:lang w:val="es-ES_tradnl"/>
        </w:rPr>
        <w:t>lleldín en la indagatoria prestada el 5 de julio de 1996 fueron an</w:t>
      </w:r>
      <w:r>
        <w:rPr>
          <w:lang w:val="es-ES_tradnl"/>
        </w:rPr>
        <w:t>u</w:t>
      </w:r>
      <w:r>
        <w:rPr>
          <w:lang w:val="es-ES_tradnl"/>
        </w:rPr>
        <w:t xml:space="preserve">lados por </w:t>
      </w:r>
      <w:smartTag w:uri="urn:schemas-microsoft-com:office:smarttags" w:element="PersonName">
        <w:smartTagPr>
          <w:attr w:name="ProductID" w:val="la Sala I"/>
        </w:smartTagPr>
        <w:r>
          <w:rPr>
            <w:lang w:val="es-ES_tradnl"/>
          </w:rPr>
          <w:t>la Sala I</w:t>
        </w:r>
      </w:smartTag>
      <w:r>
        <w:rPr>
          <w:lang w:val="es-ES_tradnl"/>
        </w:rPr>
        <w:t xml:space="preserve"> de </w:t>
      </w:r>
      <w:smartTag w:uri="urn:schemas-microsoft-com:office:smarttags" w:element="PersonName">
        <w:smartTagPr>
          <w:attr w:name="ProductID" w:val="la C￡mara"/>
        </w:smartTagPr>
        <w:r>
          <w:rPr>
            <w:lang w:val="es-ES_tradnl"/>
          </w:rPr>
          <w:t>la Cámara</w:t>
        </w:r>
      </w:smartTag>
      <w:r>
        <w:rPr>
          <w:lang w:val="es-ES_tradnl"/>
        </w:rPr>
        <w:t xml:space="preserve"> del fuero, mediante la res</w:t>
      </w:r>
      <w:r>
        <w:rPr>
          <w:lang w:val="es-ES_tradnl"/>
        </w:rPr>
        <w:t>o</w:t>
      </w:r>
      <w:r>
        <w:rPr>
          <w:lang w:val="es-ES_tradnl"/>
        </w:rPr>
        <w:t>lución obrante a fs. 41.026/36, por la ausencia de la not</w:t>
      </w:r>
      <w:r>
        <w:rPr>
          <w:lang w:val="es-ES_tradnl"/>
        </w:rPr>
        <w:t>i</w:t>
      </w:r>
      <w:r>
        <w:rPr>
          <w:lang w:val="es-ES_tradnl"/>
        </w:rPr>
        <w:t>ficación previa a la defensa que permitiera el control al que se al</w:t>
      </w:r>
      <w:r>
        <w:rPr>
          <w:lang w:val="es-ES_tradnl"/>
        </w:rPr>
        <w:t>u</w:t>
      </w:r>
      <w:r>
        <w:rPr>
          <w:lang w:val="es-ES_tradnl"/>
        </w:rPr>
        <w:t>diera.</w:t>
      </w:r>
    </w:p>
    <w:p w:rsidR="00224567" w:rsidRDefault="00224567">
      <w:pPr>
        <w:widowControl w:val="0"/>
        <w:rPr>
          <w:lang w:val="es-ES_tradnl"/>
        </w:rPr>
      </w:pPr>
      <w:r>
        <w:rPr>
          <w:lang w:val="es-ES_tradnl"/>
        </w:rPr>
        <w:tab/>
        <w:t>Entonces, si el reconocimiento real</w:t>
      </w:r>
      <w:r>
        <w:rPr>
          <w:lang w:val="es-ES_tradnl"/>
        </w:rPr>
        <w:t>i</w:t>
      </w:r>
      <w:r>
        <w:rPr>
          <w:lang w:val="es-ES_tradnl"/>
        </w:rPr>
        <w:t>zado en el contexto de una declaración indagatoria c</w:t>
      </w:r>
      <w:r>
        <w:rPr>
          <w:lang w:val="es-ES_tradnl"/>
        </w:rPr>
        <w:t>a</w:t>
      </w:r>
      <w:r>
        <w:rPr>
          <w:lang w:val="es-ES_tradnl"/>
        </w:rPr>
        <w:t>reció de validez por las f</w:t>
      </w:r>
      <w:r>
        <w:rPr>
          <w:lang w:val="es-ES_tradnl"/>
        </w:rPr>
        <w:t>a</w:t>
      </w:r>
      <w:r>
        <w:rPr>
          <w:lang w:val="es-ES_tradnl"/>
        </w:rPr>
        <w:t>lencias aludidas, mucho más carece de algún valor si esa diligencia fue practicada en el conte</w:t>
      </w:r>
      <w:r>
        <w:rPr>
          <w:lang w:val="es-ES_tradnl"/>
        </w:rPr>
        <w:t>x</w:t>
      </w:r>
      <w:r>
        <w:rPr>
          <w:lang w:val="es-ES_tradnl"/>
        </w:rPr>
        <w:t>to de una entrevista clandestina entre el juez y el imp</w:t>
      </w:r>
      <w:r>
        <w:rPr>
          <w:lang w:val="es-ES_tradnl"/>
        </w:rPr>
        <w:t>u</w:t>
      </w:r>
      <w:r>
        <w:rPr>
          <w:lang w:val="es-ES_tradnl"/>
        </w:rPr>
        <w:t>tado.</w:t>
      </w:r>
    </w:p>
    <w:p w:rsidR="00224567" w:rsidRDefault="00224567">
      <w:pPr>
        <w:widowControl w:val="0"/>
      </w:pPr>
      <w:r>
        <w:rPr>
          <w:lang w:val="es-ES_tradnl"/>
        </w:rPr>
        <w:tab/>
      </w:r>
      <w:r>
        <w:t>Se advierte una mayúscula</w:t>
      </w:r>
      <w:r>
        <w:rPr>
          <w:b/>
          <w:bCs/>
        </w:rPr>
        <w:t xml:space="preserve"> </w:t>
      </w:r>
      <w:r>
        <w:t>confusión en el representante del Ministerio Público Fiscal cuando a</w:t>
      </w:r>
      <w:r>
        <w:t>r</w:t>
      </w:r>
      <w:r>
        <w:t>gumenta que la grave irregularidad cometida en la realiz</w:t>
      </w:r>
      <w:r>
        <w:t>a</w:t>
      </w:r>
      <w:r>
        <w:t>ción de estas entrevistas secretas y ocultas e</w:t>
      </w:r>
      <w:r>
        <w:t>n</w:t>
      </w:r>
      <w:r>
        <w:t>tre el juez federal y el imputado, podían haber sido salvadas si se documentaba el cont</w:t>
      </w:r>
      <w:r>
        <w:t>e</w:t>
      </w:r>
      <w:r>
        <w:t>nido de esos videos.</w:t>
      </w:r>
    </w:p>
    <w:p w:rsidR="00224567" w:rsidRDefault="00224567">
      <w:pPr>
        <w:widowControl w:val="0"/>
      </w:pPr>
      <w:r>
        <w:tab/>
        <w:t>No debe perderse de vista que la il</w:t>
      </w:r>
      <w:r>
        <w:t>i</w:t>
      </w:r>
      <w:r>
        <w:t>citud del proceder del juez instructor trasciende la ocu</w:t>
      </w:r>
      <w:r>
        <w:t>l</w:t>
      </w:r>
      <w:r>
        <w:t>tación de este acto, que no hace sino agravar aún más la irregularidad cometida. En otras palabras, aunque dicha entrevista hubiera sido documentada –bajo una constancia fiel de su contenido– carecería de todos los otros requ</w:t>
      </w:r>
      <w:r>
        <w:t>i</w:t>
      </w:r>
      <w:r>
        <w:t>sitos procesales señalados p</w:t>
      </w:r>
      <w:r>
        <w:t>a</w:t>
      </w:r>
      <w:r>
        <w:t>ra otorgarle validez.</w:t>
      </w:r>
    </w:p>
    <w:p w:rsidR="00224567" w:rsidRDefault="00224567">
      <w:pPr>
        <w:widowControl w:val="0"/>
      </w:pPr>
      <w:r>
        <w:tab/>
        <w:t>Por otra parte, asignarle el carácter indiciario –es decir, de menor entidad– como fuente de prueba, no hace sino alterar los planos de análisis, el de la v</w:t>
      </w:r>
      <w:r>
        <w:t>a</w:t>
      </w:r>
      <w:r>
        <w:t>lidez y el de la valoración probatoria. Si una prueba es inválida, por haberse violado las formas pr</w:t>
      </w:r>
      <w:r>
        <w:t>o</w:t>
      </w:r>
      <w:r>
        <w:t>cesales,   reglamentarias de garantías constitucion</w:t>
      </w:r>
      <w:r>
        <w:t>a</w:t>
      </w:r>
      <w:r>
        <w:t>les, no puede ser ut</w:t>
      </w:r>
      <w:r>
        <w:t>i</w:t>
      </w:r>
      <w:r>
        <w:t>lizada como elemento de cargo, sea como prueba directa, indirecta, completa, incompleta o indiciaria. La validez de una pru</w:t>
      </w:r>
      <w:r>
        <w:t>e</w:t>
      </w:r>
      <w:r>
        <w:t>ba es un presupuesto constitucional a la mayor o menor entidad que se le confiera en su valoración. Oto</w:t>
      </w:r>
      <w:r>
        <w:t>r</w:t>
      </w:r>
      <w:r>
        <w:t>garle algún alcance de contenido cargoso a una prueba o</w:t>
      </w:r>
      <w:r>
        <w:t>b</w:t>
      </w:r>
      <w:r>
        <w:t>tenida ilícitamente, "no sólo es contradictorio con el r</w:t>
      </w:r>
      <w:r>
        <w:t>e</w:t>
      </w:r>
      <w:r>
        <w:t>proche formulado, sino que compromete la buena administr</w:t>
      </w:r>
      <w:r>
        <w:t>a</w:t>
      </w:r>
      <w:r>
        <w:t>ción de justicia al pretender constitui</w:t>
      </w:r>
      <w:r>
        <w:t>r</w:t>
      </w:r>
      <w:r>
        <w:t>la en beneficiaria del hecho ilícito" (Fallos: 303:1938 y 306:1752).</w:t>
      </w:r>
    </w:p>
    <w:p w:rsidR="00224567" w:rsidRDefault="00224567">
      <w:pPr>
        <w:widowControl w:val="0"/>
      </w:pPr>
      <w:r>
        <w:tab/>
        <w:t>Lo mismo ocurre con la mención efe</w:t>
      </w:r>
      <w:r>
        <w:t>c</w:t>
      </w:r>
      <w:r>
        <w:t xml:space="preserve">tuada por el doctor </w:t>
      </w:r>
      <w:r>
        <w:t>Á</w:t>
      </w:r>
      <w:r>
        <w:t>vila de que se trataría de un hecho y no de un acto proc</w:t>
      </w:r>
      <w:r>
        <w:t>e</w:t>
      </w:r>
      <w:r>
        <w:t>sal. Repárese, que aún bajo esa óptica, se trataría de un hecho ilícito (cfe. art. 953 del Código C</w:t>
      </w:r>
      <w:r>
        <w:t>i</w:t>
      </w:r>
      <w:r>
        <w:t>vil).</w:t>
      </w:r>
    </w:p>
    <w:p w:rsidR="00224567" w:rsidRDefault="00224567">
      <w:pPr>
        <w:widowControl w:val="0"/>
      </w:pPr>
      <w:r>
        <w:tab/>
        <w:t>Finalmente, no debe perderse de vista que lo cuestionado no es únicamente que las entrevistas entre el magistrado a cargo de la causa y el imputado h</w:t>
      </w:r>
      <w:r>
        <w:t>u</w:t>
      </w:r>
      <w:r>
        <w:t>biesen sido filmadas sin conocimiento de este último, ni que de estas reuniones no se hubiera dejado consta</w:t>
      </w:r>
      <w:r>
        <w:t>n</w:t>
      </w:r>
      <w:r>
        <w:t>cia de su contenido. Las filmaciones han constituido un medio prueba sobre la existencia de la irregularidad. Ahora bien, de allí no puede pasarse, por vía de la alquimia discursiva, a pretender que const</w:t>
      </w:r>
      <w:r>
        <w:t>i</w:t>
      </w:r>
      <w:r>
        <w:t>tuya un medio válido de introducción de los dichos de un imputado al proceso, y mucho menos de su valor</w:t>
      </w:r>
      <w:r>
        <w:t>a</w:t>
      </w:r>
      <w:r>
        <w:t>ción.</w:t>
      </w:r>
    </w:p>
    <w:p w:rsidR="00224567" w:rsidRDefault="00224567">
      <w:pPr>
        <w:widowControl w:val="0"/>
      </w:pPr>
      <w:r>
        <w:tab/>
        <w:t>Lo más grave de la situación analiz</w:t>
      </w:r>
      <w:r>
        <w:t>a</w:t>
      </w:r>
      <w:r>
        <w:t>da, es la existencia misma de esas informales entrevi</w:t>
      </w:r>
      <w:r>
        <w:t>s</w:t>
      </w:r>
      <w:r>
        <w:t>tas entre el juez y el imputado, en las que se hablara sobre temas de la causa –algunos hasta ese momento no incluidos en sus indagatorias– se negociara la concurrencia de te</w:t>
      </w:r>
      <w:r>
        <w:t>s</w:t>
      </w:r>
      <w:r>
        <w:t>tigos, el otorg</w:t>
      </w:r>
      <w:r>
        <w:t>a</w:t>
      </w:r>
      <w:r>
        <w:t>miento de la identidad reservada a alguno de ellos, la i</w:t>
      </w:r>
      <w:r>
        <w:t>m</w:t>
      </w:r>
      <w:r>
        <w:t>punidad por ilícitos confesados durante la conversación, entre otros aspe</w:t>
      </w:r>
      <w:r>
        <w:t>c</w:t>
      </w:r>
      <w:r>
        <w:t>tos.</w:t>
      </w:r>
    </w:p>
    <w:p w:rsidR="00224567" w:rsidRDefault="00224567">
      <w:pPr>
        <w:widowControl w:val="0"/>
      </w:pPr>
      <w:r>
        <w:tab/>
        <w:t>Amén de las irregularidades ya expue</w:t>
      </w:r>
      <w:r>
        <w:t>s</w:t>
      </w:r>
      <w:r>
        <w:t>tas, y potenciando éstas, debe reiterarse que tanto esta entrevista como su filmación fueron ocultadas por el m</w:t>
      </w:r>
      <w:r>
        <w:t>a</w:t>
      </w:r>
      <w:r>
        <w:t xml:space="preserve">gistrado instructor a las defensas, a su alzada, a </w:t>
      </w:r>
      <w:smartTag w:uri="urn:schemas-microsoft-com:office:smarttags" w:element="PersonName">
        <w:smartTagPr>
          <w:attr w:name="ProductID" w:val="la Comisi￳n Bicameral"/>
        </w:smartTagPr>
        <w:r>
          <w:t>la C</w:t>
        </w:r>
        <w:r>
          <w:t>o</w:t>
        </w:r>
        <w:r>
          <w:t>misión Bicameral</w:t>
        </w:r>
      </w:smartTag>
      <w:r>
        <w:t xml:space="preserve"> y a este Tribunal. Cabe, al respecto, r</w:t>
      </w:r>
      <w:r>
        <w:t>e</w:t>
      </w:r>
      <w:r>
        <w:t>mitirse a lo oportunamente señalado, sin perjuicio de s</w:t>
      </w:r>
      <w:r>
        <w:t>e</w:t>
      </w:r>
      <w:r>
        <w:t>ñalar que con relación al ocultamiento a este  Tribunal no resulta óbice a lo expresado el contenido del oficio de fs. 827/9 del Legajo de Instrucción Suplementaria, remit</w:t>
      </w:r>
      <w:r>
        <w:t>i</w:t>
      </w:r>
      <w:r>
        <w:t>do por el magistrado instructor dando cuenta de su exi</w:t>
      </w:r>
      <w:r>
        <w:t>s</w:t>
      </w:r>
      <w:r>
        <w:t>tencia.</w:t>
      </w:r>
    </w:p>
    <w:p w:rsidR="00224567" w:rsidRDefault="00224567">
      <w:pPr>
        <w:widowControl w:val="0"/>
      </w:pPr>
      <w:r>
        <w:tab/>
        <w:t>Ello, toda vez que ese oficio fue una respuesta a un requerimiento del Tribunal, y que en la causa no existe constancia alguna que permita siquiera i</w:t>
      </w:r>
      <w:r>
        <w:t>n</w:t>
      </w:r>
      <w:r>
        <w:t>ferir la realización de dicha entrevista y/o su fi</w:t>
      </w:r>
      <w:r>
        <w:t>l</w:t>
      </w:r>
      <w:r>
        <w:t>mación.</w:t>
      </w:r>
    </w:p>
    <w:p w:rsidR="00224567" w:rsidRDefault="00224567">
      <w:pPr>
        <w:widowControl w:val="0"/>
      </w:pPr>
      <w:r>
        <w:tab/>
        <w:t>Ahora bien, más allá de que esta e</w:t>
      </w:r>
      <w:r>
        <w:t>n</w:t>
      </w:r>
      <w:r>
        <w:t>trevista no constituya un medio de prueba y que se encue</w:t>
      </w:r>
      <w:r>
        <w:t>n</w:t>
      </w:r>
      <w:r>
        <w:t>tre seriamente comprometida su validez, debe ad</w:t>
      </w:r>
      <w:r>
        <w:t>u</w:t>
      </w:r>
      <w:r>
        <w:t>narse que tampoco constituye un elemento independiente de la decl</w:t>
      </w:r>
      <w:r>
        <w:t>a</w:t>
      </w:r>
      <w:r>
        <w:t>ración prestada por T</w:t>
      </w:r>
      <w:r>
        <w:t>e</w:t>
      </w:r>
      <w:r>
        <w:t>lleldín el 5 de julio de 1996, como lo pretenden los ac</w:t>
      </w:r>
      <w:r>
        <w:t>u</w:t>
      </w:r>
      <w:r>
        <w:t>sadores.</w:t>
      </w:r>
    </w:p>
    <w:p w:rsidR="00224567" w:rsidRDefault="00224567">
      <w:pPr>
        <w:widowControl w:val="0"/>
      </w:pPr>
      <w:r>
        <w:tab/>
        <w:t>Como ya se dijera, esta declaración fue la culminación de un proceso tendiente a vencer la r</w:t>
      </w:r>
      <w:r>
        <w:t>e</w:t>
      </w:r>
      <w:r>
        <w:t>sistencia de Telleldín a declarar en la causa invol</w:t>
      </w:r>
      <w:r>
        <w:t>u</w:t>
      </w:r>
      <w:r>
        <w:t>crando al personal policial en la expoliación de la camioneta Trafic.</w:t>
      </w:r>
    </w:p>
    <w:p w:rsidR="00224567" w:rsidRDefault="00224567">
      <w:pPr>
        <w:widowControl w:val="0"/>
      </w:pPr>
      <w:r>
        <w:tab/>
        <w:t>También se ha dicho que esta entrevi</w:t>
      </w:r>
      <w:r>
        <w:t>s</w:t>
      </w:r>
      <w:r>
        <w:t>ta entre el juez y el imputado constituyó un eslabón más de esa c</w:t>
      </w:r>
      <w:r>
        <w:t>a</w:t>
      </w:r>
      <w:r>
        <w:t>dena de actos concatenados en procura de obtener la declaración de T</w:t>
      </w:r>
      <w:r>
        <w:t>e</w:t>
      </w:r>
      <w:r>
        <w:t>lleldín.</w:t>
      </w:r>
    </w:p>
    <w:p w:rsidR="00224567" w:rsidRDefault="00224567">
      <w:pPr>
        <w:widowControl w:val="0"/>
      </w:pPr>
      <w:r>
        <w:tab/>
        <w:t>Ello surge palmariamente del conten</w:t>
      </w:r>
      <w:r>
        <w:t>i</w:t>
      </w:r>
      <w:r>
        <w:t>do de esta entrevista, según la video filmación remit</w:t>
      </w:r>
      <w:r>
        <w:t>i</w:t>
      </w:r>
      <w:r>
        <w:t>da por el magistrado instructor, cuando se hacen reiteradas ref</w:t>
      </w:r>
      <w:r>
        <w:t>e</w:t>
      </w:r>
      <w:r>
        <w:t>rencias a la existencia de un libro que estaba escr</w:t>
      </w:r>
      <w:r>
        <w:t>i</w:t>
      </w:r>
      <w:r>
        <w:t>biendo Telleldín sobre distintos aspectos de la causa y partic</w:t>
      </w:r>
      <w:r>
        <w:t>u</w:t>
      </w:r>
      <w:r>
        <w:t>larmente sobre lo sucedido el 10 de j</w:t>
      </w:r>
      <w:r>
        <w:t>u</w:t>
      </w:r>
      <w:r>
        <w:t>lio de 1994. Así, se habla del avance de esa obra, de su contenido y del prop</w:t>
      </w:r>
      <w:r>
        <w:t>ó</w:t>
      </w:r>
      <w:r>
        <w:t>sito de la venta de los derechos a una edit</w:t>
      </w:r>
      <w:r>
        <w:t>o</w:t>
      </w:r>
      <w:r>
        <w:t>rial.</w:t>
      </w:r>
    </w:p>
    <w:p w:rsidR="00224567" w:rsidRDefault="00224567">
      <w:pPr>
        <w:widowControl w:val="0"/>
      </w:pPr>
      <w:r>
        <w:tab/>
        <w:t>Ya se ha dicho que se encuentra acr</w:t>
      </w:r>
      <w:r>
        <w:t>e</w:t>
      </w:r>
      <w:r>
        <w:t>ditado que el término “libro” aludía a la declaración de Telleldín que se estaba pactando.</w:t>
      </w:r>
    </w:p>
    <w:p w:rsidR="00224567" w:rsidRDefault="00224567">
      <w:pPr>
        <w:widowControl w:val="0"/>
      </w:pPr>
      <w:r>
        <w:tab/>
        <w:t>En ese contexto, resulta altamente llamativo que el doctor Ávila durante su alegato sostuvi</w:t>
      </w:r>
      <w:r>
        <w:t>e</w:t>
      </w:r>
      <w:r>
        <w:t>ra que en esta entrevista no había ni un “atisbo de neg</w:t>
      </w:r>
      <w:r>
        <w:t>o</w:t>
      </w:r>
      <w:r>
        <w:t>ciación esp</w:t>
      </w:r>
      <w:r>
        <w:t>u</w:t>
      </w:r>
      <w:r>
        <w:t>ria”.</w:t>
      </w:r>
    </w:p>
    <w:p w:rsidR="00224567" w:rsidRDefault="00224567">
      <w:pPr>
        <w:widowControl w:val="0"/>
      </w:pPr>
      <w:r>
        <w:tab/>
        <w:t>A la irregular forma en que esta e</w:t>
      </w:r>
      <w:r>
        <w:t>n</w:t>
      </w:r>
      <w:r>
        <w:t>trevista se llevó a cabo y que de por sí resulta suficie</w:t>
      </w:r>
      <w:r>
        <w:t>n</w:t>
      </w:r>
      <w:r>
        <w:t>te para tornarla inv</w:t>
      </w:r>
      <w:r>
        <w:t>á</w:t>
      </w:r>
      <w:r>
        <w:t>lida, debe agregarse que su contenido refuta claramente lo pretendido por el letrado represe</w:t>
      </w:r>
      <w:r>
        <w:t>n</w:t>
      </w:r>
      <w:r>
        <w:t>tante de la querella A.M.I.A.</w:t>
      </w:r>
    </w:p>
    <w:p w:rsidR="00224567" w:rsidRDefault="00224567">
      <w:pPr>
        <w:widowControl w:val="0"/>
      </w:pPr>
      <w:r>
        <w:tab/>
        <w:t>Así, a las tan reiteradas como inequ</w:t>
      </w:r>
      <w:r>
        <w:t>í</w:t>
      </w:r>
      <w:r>
        <w:t>vocas ref</w:t>
      </w:r>
      <w:r>
        <w:t>e</w:t>
      </w:r>
      <w:r>
        <w:t>rencias a la entrega del “libro” debe agregarse que se ve al magistrado negociando con el imputado el tr</w:t>
      </w:r>
      <w:r>
        <w:t>á</w:t>
      </w:r>
      <w:r>
        <w:t>mite que se le d</w:t>
      </w:r>
      <w:r>
        <w:t>a</w:t>
      </w:r>
      <w:r>
        <w:t>ría a la causa.</w:t>
      </w:r>
    </w:p>
    <w:p w:rsidR="00224567" w:rsidRDefault="00224567">
      <w:pPr>
        <w:widowControl w:val="0"/>
      </w:pPr>
      <w:r>
        <w:tab/>
        <w:t>Por su elocuencia, corresponde la c</w:t>
      </w:r>
      <w:r>
        <w:t>i</w:t>
      </w:r>
      <w:r>
        <w:t>ta textual de algunos tramos de esa e</w:t>
      </w:r>
      <w:r>
        <w:t>n</w:t>
      </w:r>
      <w:r>
        <w:t>trevista:</w:t>
      </w:r>
    </w:p>
    <w:p w:rsidR="00224567" w:rsidRDefault="00224567">
      <w:pPr>
        <w:widowControl w:val="0"/>
        <w:numPr>
          <w:ilvl w:val="0"/>
          <w:numId w:val="7"/>
        </w:numPr>
      </w:pPr>
      <w:r>
        <w:t>- Telleldín: ... no vaya a hacer dete</w:t>
      </w:r>
      <w:r>
        <w:t>n</w:t>
      </w:r>
      <w:r>
        <w:t>ciones ...</w:t>
      </w:r>
    </w:p>
    <w:p w:rsidR="00224567" w:rsidRDefault="00224567">
      <w:pPr>
        <w:widowControl w:val="0"/>
        <w:numPr>
          <w:ilvl w:val="0"/>
          <w:numId w:val="7"/>
        </w:numPr>
      </w:pPr>
      <w:r>
        <w:t>- Galeano: no, no, no</w:t>
      </w:r>
    </w:p>
    <w:p w:rsidR="00224567" w:rsidRDefault="00224567">
      <w:pPr>
        <w:widowControl w:val="0"/>
      </w:pPr>
      <w:r>
        <w:t xml:space="preserve">     ...</w:t>
      </w:r>
    </w:p>
    <w:p w:rsidR="00224567" w:rsidRDefault="00224567">
      <w:pPr>
        <w:widowControl w:val="0"/>
        <w:numPr>
          <w:ilvl w:val="0"/>
          <w:numId w:val="7"/>
        </w:numPr>
      </w:pPr>
      <w:r>
        <w:t>- Telleldín: no el tema, el problema es que no haga esto u</w:t>
      </w:r>
      <w:r>
        <w:t>s</w:t>
      </w:r>
      <w:r>
        <w:t>ted, como hizo las cosas anteriores.</w:t>
      </w:r>
    </w:p>
    <w:p w:rsidR="00224567" w:rsidRDefault="00224567">
      <w:pPr>
        <w:widowControl w:val="0"/>
        <w:numPr>
          <w:ilvl w:val="0"/>
          <w:numId w:val="7"/>
        </w:numPr>
      </w:pPr>
      <w:r>
        <w:t>- Galeano: perdón, suponete una cosa, ¿cómo, cómo te parece a vos que habría que hacer eso?</w:t>
      </w:r>
    </w:p>
    <w:p w:rsidR="00224567" w:rsidRDefault="00224567">
      <w:pPr>
        <w:widowControl w:val="0"/>
        <w:numPr>
          <w:ilvl w:val="0"/>
          <w:numId w:val="7"/>
        </w:numPr>
      </w:pPr>
      <w:r>
        <w:t>- Telleldín: para mí, yo si soy usted lo haría de</w:t>
      </w:r>
      <w:r>
        <w:t>s</w:t>
      </w:r>
      <w:r>
        <w:t>pués del aniversario</w:t>
      </w:r>
    </w:p>
    <w:p w:rsidR="00224567" w:rsidRDefault="00224567">
      <w:pPr>
        <w:widowControl w:val="0"/>
      </w:pPr>
      <w:r>
        <w:tab/>
        <w:t>En el mismo sentido, y para otorgar aún mayor claridad a que la declaración de Telleldín era objeto de negociación, resulta por demás demostrativo el siguiente párrafo de esa conversación:</w:t>
      </w:r>
    </w:p>
    <w:p w:rsidR="00224567" w:rsidRDefault="00224567">
      <w:pPr>
        <w:widowControl w:val="0"/>
        <w:numPr>
          <w:ilvl w:val="0"/>
          <w:numId w:val="7"/>
        </w:numPr>
      </w:pPr>
      <w:r>
        <w:t>- Telleldín: y el problema es que usted, yo se lo d</w:t>
      </w:r>
      <w:r>
        <w:t>i</w:t>
      </w:r>
      <w:r>
        <w:t>je de entrada, el único testigo que va a tener es a mí, va a tener a Sandra, a todos los testigos que yo le presenté, y fundamentalmente mi declaración. Po</w:t>
      </w:r>
      <w:r>
        <w:t>r</w:t>
      </w:r>
      <w:r>
        <w:t>que mi declaración le va a traer aparejada la exto</w:t>
      </w:r>
      <w:r>
        <w:t>r</w:t>
      </w:r>
      <w:r>
        <w:t>sión.</w:t>
      </w:r>
    </w:p>
    <w:p w:rsidR="00224567" w:rsidRDefault="00224567">
      <w:pPr>
        <w:widowControl w:val="0"/>
        <w:numPr>
          <w:ilvl w:val="0"/>
          <w:numId w:val="7"/>
        </w:numPr>
      </w:pPr>
      <w:r>
        <w:t>- Galeano: ¿y cómo ...? suponete ahí participó Edua</w:t>
      </w:r>
      <w:r>
        <w:t>r</w:t>
      </w:r>
      <w:r>
        <w:t>do</w:t>
      </w:r>
    </w:p>
    <w:p w:rsidR="00224567" w:rsidRDefault="00224567">
      <w:pPr>
        <w:widowControl w:val="0"/>
        <w:numPr>
          <w:ilvl w:val="0"/>
          <w:numId w:val="7"/>
        </w:numPr>
      </w:pPr>
      <w:r>
        <w:t>- Telleldín: mi hermano llevó el auto, el Falcon</w:t>
      </w:r>
    </w:p>
    <w:p w:rsidR="00224567" w:rsidRDefault="00224567">
      <w:pPr>
        <w:widowControl w:val="0"/>
        <w:numPr>
          <w:ilvl w:val="0"/>
          <w:numId w:val="7"/>
        </w:numPr>
      </w:pPr>
      <w:r>
        <w:t>- Galeano: ¿y a Eduardo, lo podemos c</w:t>
      </w:r>
      <w:r>
        <w:t>i</w:t>
      </w:r>
      <w:r>
        <w:t>tar?</w:t>
      </w:r>
    </w:p>
    <w:p w:rsidR="00224567" w:rsidRDefault="00224567">
      <w:pPr>
        <w:widowControl w:val="0"/>
        <w:numPr>
          <w:ilvl w:val="0"/>
          <w:numId w:val="7"/>
        </w:numPr>
      </w:pPr>
      <w:r>
        <w:t>- Telleldín: sí, mi hermano sí</w:t>
      </w:r>
    </w:p>
    <w:p w:rsidR="00224567" w:rsidRDefault="00224567">
      <w:pPr>
        <w:widowControl w:val="0"/>
      </w:pPr>
      <w:r>
        <w:tab/>
        <w:t>El tono conciliador se refleja una vez más en los tr</w:t>
      </w:r>
      <w:r>
        <w:t>a</w:t>
      </w:r>
      <w:r>
        <w:t>mos que se citarán:</w:t>
      </w:r>
    </w:p>
    <w:p w:rsidR="00224567" w:rsidRDefault="00224567">
      <w:pPr>
        <w:widowControl w:val="0"/>
        <w:numPr>
          <w:ilvl w:val="0"/>
          <w:numId w:val="7"/>
        </w:numPr>
      </w:pPr>
      <w:r>
        <w:t>- Telleldín: yo con usted me porté honesto ... cuando usted arregle todo</w:t>
      </w:r>
    </w:p>
    <w:p w:rsidR="00224567" w:rsidRDefault="00224567">
      <w:pPr>
        <w:widowControl w:val="0"/>
        <w:numPr>
          <w:ilvl w:val="0"/>
          <w:numId w:val="7"/>
        </w:numPr>
      </w:pPr>
      <w:r>
        <w:t>- Galeano: esto es interminable si no nos ponemos de acuerdo</w:t>
      </w:r>
    </w:p>
    <w:p w:rsidR="00224567" w:rsidRDefault="00224567">
      <w:pPr>
        <w:widowControl w:val="0"/>
        <w:numPr>
          <w:ilvl w:val="0"/>
          <w:numId w:val="7"/>
        </w:numPr>
      </w:pPr>
      <w:r>
        <w:t>- Telleldín: él único que tienen es a mí y a la gente que yo les puse de testigo ... más otra gente que se va pe</w:t>
      </w:r>
      <w:r>
        <w:t>r</w:t>
      </w:r>
      <w:r>
        <w:t>diendo con el tiempo</w:t>
      </w:r>
    </w:p>
    <w:p w:rsidR="00224567" w:rsidRDefault="00224567">
      <w:pPr>
        <w:widowControl w:val="0"/>
        <w:ind w:left="720"/>
      </w:pPr>
      <w:r>
        <w:t>...</w:t>
      </w:r>
    </w:p>
    <w:p w:rsidR="00224567" w:rsidRDefault="00224567">
      <w:pPr>
        <w:widowControl w:val="0"/>
        <w:numPr>
          <w:ilvl w:val="0"/>
          <w:numId w:val="7"/>
        </w:numPr>
      </w:pPr>
      <w:r>
        <w:t>- Telleldín: Si, pero sabe lo que pasa (I) me van a poner a mí. Con el tiempo cuando esto vaya a juicio oral y tenga toda la policía presa, en el banquillo de..., del acus</w:t>
      </w:r>
      <w:r>
        <w:t>a</w:t>
      </w:r>
      <w:r>
        <w:t>dor, del fiscal, voy a estar yo. Y yo voy a ser el que voy a tener que decir él. Yo voy a ser nada mas la figura, en vez de estar en contrario. Eso es lo que tiene que tener en claro, yo se los d</w:t>
      </w:r>
      <w:r>
        <w:t>i</w:t>
      </w:r>
      <w:r>
        <w:t>je de entrada, el único testigo que tienen es a mí y a la gente que yo les puse de te</w:t>
      </w:r>
      <w:r>
        <w:t>s</w:t>
      </w:r>
      <w:r>
        <w:t>tigo, que se la fue rec</w:t>
      </w:r>
      <w:r>
        <w:t>o</w:t>
      </w:r>
      <w:r>
        <w:t>lectando todo, más otra gente que se va perdiendo con el tiempo, porque el tiempo va pasando, porque había ge</w:t>
      </w:r>
      <w:r>
        <w:t>n</w:t>
      </w:r>
      <w:r>
        <w:t>te ocasional</w:t>
      </w:r>
    </w:p>
    <w:p w:rsidR="00224567" w:rsidRDefault="00224567">
      <w:pPr>
        <w:widowControl w:val="0"/>
        <w:numPr>
          <w:ilvl w:val="0"/>
          <w:numId w:val="7"/>
        </w:numPr>
      </w:pPr>
      <w:r>
        <w:t>- Galeano: es que son cosas que yo eh..., vamos a ser claros. En su momento vos me diste una serie de d</w:t>
      </w:r>
      <w:r>
        <w:t>a</w:t>
      </w:r>
      <w:r>
        <w:t>tos; quiero las (I)</w:t>
      </w:r>
    </w:p>
    <w:p w:rsidR="00224567" w:rsidRDefault="00224567">
      <w:pPr>
        <w:widowControl w:val="0"/>
        <w:numPr>
          <w:ilvl w:val="0"/>
          <w:numId w:val="7"/>
        </w:numPr>
      </w:pPr>
      <w:r>
        <w:t>- Telleldín: Si...</w:t>
      </w:r>
    </w:p>
    <w:p w:rsidR="00224567" w:rsidRDefault="00224567">
      <w:pPr>
        <w:widowControl w:val="0"/>
        <w:numPr>
          <w:ilvl w:val="0"/>
          <w:numId w:val="7"/>
        </w:numPr>
      </w:pPr>
      <w:r>
        <w:t>- Galeano: Nunca me los ataste, yo tuve que empezar</w:t>
      </w:r>
    </w:p>
    <w:p w:rsidR="00224567" w:rsidRDefault="00224567">
      <w:pPr>
        <w:widowControl w:val="0"/>
        <w:numPr>
          <w:ilvl w:val="0"/>
          <w:numId w:val="7"/>
        </w:numPr>
      </w:pPr>
      <w:r>
        <w:t>- Telleldín: Se acuerda cuando yo..</w:t>
      </w:r>
    </w:p>
    <w:p w:rsidR="00224567" w:rsidRDefault="00224567">
      <w:pPr>
        <w:widowControl w:val="0"/>
        <w:numPr>
          <w:ilvl w:val="0"/>
          <w:numId w:val="7"/>
        </w:numPr>
      </w:pPr>
      <w:r>
        <w:t>- Galeano: esperá, esperá...</w:t>
      </w:r>
    </w:p>
    <w:p w:rsidR="00224567" w:rsidRDefault="00224567">
      <w:pPr>
        <w:widowControl w:val="0"/>
        <w:numPr>
          <w:ilvl w:val="0"/>
          <w:numId w:val="7"/>
        </w:numPr>
      </w:pPr>
      <w:r>
        <w:t>- Telleldín: y yo le dije (I) algo que ver, y ento</w:t>
      </w:r>
      <w:r>
        <w:t>n</w:t>
      </w:r>
      <w:r>
        <w:t>ces me dijo, De Gamas me dijo bueno vamos a poner t</w:t>
      </w:r>
      <w:r>
        <w:t>o</w:t>
      </w:r>
      <w:r>
        <w:t>do, y yo le dije ¿qué querés que me maten? Y yo no quise declarar. Y pusimos como ser el barco, figura en la declaración que yo lo di en fianza. ¿cómo le voy a pagar una fianza a una br</w:t>
      </w:r>
      <w:r>
        <w:t>i</w:t>
      </w:r>
      <w:r>
        <w:t>gada?</w:t>
      </w:r>
    </w:p>
    <w:p w:rsidR="00224567" w:rsidRDefault="00224567">
      <w:pPr>
        <w:widowControl w:val="0"/>
        <w:numPr>
          <w:ilvl w:val="0"/>
          <w:numId w:val="7"/>
        </w:numPr>
      </w:pPr>
      <w:r>
        <w:t>- Galeano: Son (I).</w:t>
      </w:r>
    </w:p>
    <w:p w:rsidR="00224567" w:rsidRDefault="00224567">
      <w:pPr>
        <w:widowControl w:val="0"/>
        <w:numPr>
          <w:ilvl w:val="0"/>
          <w:numId w:val="7"/>
        </w:numPr>
      </w:pPr>
      <w:r>
        <w:t>- Telleldín: Fianza puso..., o sea que, hay un montón de cosas que quedaron mal e</w:t>
      </w:r>
      <w:r>
        <w:t>n</w:t>
      </w:r>
      <w:r>
        <w:t>ganchadas.</w:t>
      </w:r>
    </w:p>
    <w:p w:rsidR="00224567" w:rsidRDefault="00224567">
      <w:pPr>
        <w:widowControl w:val="0"/>
        <w:numPr>
          <w:ilvl w:val="0"/>
          <w:numId w:val="7"/>
        </w:numPr>
      </w:pPr>
      <w:r>
        <w:t>- Galeano: (I)  a ver, concretamente, vamos a sup</w:t>
      </w:r>
      <w:r>
        <w:t>o</w:t>
      </w:r>
      <w:r>
        <w:t>ner: si vos..., tengo que mal enganchar porque vos me diste nombres distintos, me pusiste en cabeza de pe</w:t>
      </w:r>
      <w:r>
        <w:t>r</w:t>
      </w:r>
      <w:r>
        <w:t>sonas c</w:t>
      </w:r>
      <w:r>
        <w:t>o</w:t>
      </w:r>
      <w:r>
        <w:t>sas que no habían pasado.</w:t>
      </w:r>
    </w:p>
    <w:p w:rsidR="00224567" w:rsidRDefault="00224567">
      <w:pPr>
        <w:widowControl w:val="0"/>
        <w:numPr>
          <w:ilvl w:val="0"/>
          <w:numId w:val="7"/>
        </w:numPr>
      </w:pPr>
      <w:r>
        <w:t>- Telleldín: porque te di mal los informantes, porque si yo le digo algo a uno, y ese sale c</w:t>
      </w:r>
      <w:r>
        <w:t>o</w:t>
      </w:r>
      <w:r>
        <w:t>rriendo...</w:t>
      </w:r>
    </w:p>
    <w:p w:rsidR="00224567" w:rsidRDefault="00224567">
      <w:pPr>
        <w:widowControl w:val="0"/>
        <w:numPr>
          <w:ilvl w:val="0"/>
          <w:numId w:val="7"/>
        </w:numPr>
      </w:pPr>
      <w:r>
        <w:t>- Galeano: ¿Por qué no me lo decís a mí?</w:t>
      </w:r>
    </w:p>
    <w:p w:rsidR="00224567" w:rsidRDefault="00224567">
      <w:pPr>
        <w:widowControl w:val="0"/>
        <w:numPr>
          <w:ilvl w:val="0"/>
          <w:numId w:val="7"/>
        </w:numPr>
      </w:pPr>
      <w:r>
        <w:t>- Telleldín: Pero si yo...,</w:t>
      </w:r>
    </w:p>
    <w:p w:rsidR="00224567" w:rsidRDefault="00224567">
      <w:pPr>
        <w:widowControl w:val="0"/>
      </w:pPr>
      <w:r>
        <w:tab/>
        <w:t>Claramente se advierte una negoci</w:t>
      </w:r>
      <w:r>
        <w:t>a</w:t>
      </w:r>
      <w:r>
        <w:t>ción en la que Telleldín ofrece como moneda de cambio su decl</w:t>
      </w:r>
      <w:r>
        <w:t>a</w:t>
      </w:r>
      <w:r>
        <w:t>ración y la de otros testigos de su entorno, y el juez G</w:t>
      </w:r>
      <w:r>
        <w:t>a</w:t>
      </w:r>
      <w:r>
        <w:t>leano demuestra su interés en ello e incluso efectúa r</w:t>
      </w:r>
      <w:r>
        <w:t>e</w:t>
      </w:r>
      <w:r>
        <w:t xml:space="preserve">proches al imputado porque no le había brindado datos ciertos que le permitieran “cerrar” algunos temas. </w:t>
      </w:r>
    </w:p>
    <w:p w:rsidR="00224567" w:rsidRDefault="00224567">
      <w:pPr>
        <w:widowControl w:val="0"/>
      </w:pPr>
      <w:r>
        <w:tab/>
        <w:t>También surge de la mentada entrevi</w:t>
      </w:r>
      <w:r>
        <w:t>s</w:t>
      </w:r>
      <w:r>
        <w:t>ta que Telleldín le brinda al magistrado instructor una ve</w:t>
      </w:r>
      <w:r>
        <w:t>r</w:t>
      </w:r>
      <w:r>
        <w:t>sión acorde con la que aportaría el 5 de julio de 1996. Ello termina de corroborar que este acto no era indepe</w:t>
      </w:r>
      <w:r>
        <w:t>n</w:t>
      </w:r>
      <w:r>
        <w:t>diente de aquella d</w:t>
      </w:r>
      <w:r>
        <w:t>e</w:t>
      </w:r>
      <w:r>
        <w:t>claración.</w:t>
      </w:r>
    </w:p>
    <w:p w:rsidR="00224567" w:rsidRDefault="00224567">
      <w:pPr>
        <w:widowControl w:val="0"/>
      </w:pPr>
      <w:r>
        <w:tab/>
        <w:t>A esta altura ya se ha demostrado que la citada pieza no podía constituir una vía indepe</w:t>
      </w:r>
      <w:r>
        <w:t>n</w:t>
      </w:r>
      <w:r>
        <w:t>diente de la declaración indagatoria de T</w:t>
      </w:r>
      <w:r>
        <w:t>e</w:t>
      </w:r>
      <w:r>
        <w:t>lleldín del 5 de julio de 1996, ya que no era un medio de prueba, que ese eleme</w:t>
      </w:r>
      <w:r>
        <w:t>n</w:t>
      </w:r>
      <w:r>
        <w:t>to carece de validez probatoria y que no era independie</w:t>
      </w:r>
      <w:r>
        <w:t>n</w:t>
      </w:r>
      <w:r>
        <w:t>te.</w:t>
      </w:r>
    </w:p>
    <w:p w:rsidR="00224567" w:rsidRDefault="00224567">
      <w:pPr>
        <w:widowControl w:val="0"/>
      </w:pPr>
      <w:r>
        <w:tab/>
        <w:t>Pese a todo ello, del análisis de su contenido se desprende que la versión aportada en esta oportunidad no difiere sustancialmente de la contenida en la cuestionada declar</w:t>
      </w:r>
      <w:r>
        <w:t>a</w:t>
      </w:r>
      <w:r>
        <w:t>ción.</w:t>
      </w:r>
    </w:p>
    <w:p w:rsidR="00224567" w:rsidRDefault="00224567">
      <w:pPr>
        <w:widowControl w:val="0"/>
      </w:pPr>
      <w:r>
        <w:tab/>
        <w:t>Así, Telleldín sostiene que la cami</w:t>
      </w:r>
      <w:r>
        <w:t>o</w:t>
      </w:r>
      <w:r>
        <w:t>neta le fue expoliada en un marco extorsivo protagon</w:t>
      </w:r>
      <w:r>
        <w:t>i</w:t>
      </w:r>
      <w:r>
        <w:t>zado por policías bonaere</w:t>
      </w:r>
      <w:r>
        <w:t>n</w:t>
      </w:r>
      <w:r>
        <w:t>ses. Entre las similitudes entre una y otra versión corresponde citar: que quien finalmente r</w:t>
      </w:r>
      <w:r>
        <w:t>e</w:t>
      </w:r>
      <w:r>
        <w:t>tiró el vehículo fue un individuo que se identificó con una credencial verde, que a la vuelta de su domicilio se entrevi</w:t>
      </w:r>
      <w:r>
        <w:t>s</w:t>
      </w:r>
      <w:r>
        <w:t>tó con el oficial “Pino” de la brigada de Vicente López quien reclamó el saldo de una deuda de tres meses, la aparición durante la transacción del subcomisario que interviniera en el procedimiento de Lanús y la presencia de un Ford Galaxy azul, un Fiat Duna blanco y un Fiat 128 en las proximidades de su d</w:t>
      </w:r>
      <w:r>
        <w:t>o</w:t>
      </w:r>
      <w:r>
        <w:t xml:space="preserve">micilio. </w:t>
      </w:r>
    </w:p>
    <w:p w:rsidR="00224567" w:rsidRDefault="00224567">
      <w:pPr>
        <w:widowControl w:val="0"/>
      </w:pPr>
      <w:r>
        <w:tab/>
        <w:t>Estas semejanzas, conducen a remitir a las refutaciones realizadas en ocasión de analizar la d</w:t>
      </w:r>
      <w:r>
        <w:t>e</w:t>
      </w:r>
      <w:r>
        <w:t>claración bri</w:t>
      </w:r>
      <w:r>
        <w:t>n</w:t>
      </w:r>
      <w:r>
        <w:t>dada por Telleldín el 5 de julio de 1996.</w:t>
      </w:r>
    </w:p>
    <w:p w:rsidR="00224567" w:rsidRDefault="00224567">
      <w:pPr>
        <w:widowControl w:val="0"/>
      </w:pPr>
      <w:r>
        <w:tab/>
        <w:t>Por otra parte, se ha pretendido i</w:t>
      </w:r>
      <w:r>
        <w:t>n</w:t>
      </w:r>
      <w:r>
        <w:t>corporar los dichos de Telleldín vertidos en diversas p</w:t>
      </w:r>
      <w:r>
        <w:t>u</w:t>
      </w:r>
      <w:r>
        <w:t>blicaciones periodíst</w:t>
      </w:r>
      <w:r>
        <w:t>i</w:t>
      </w:r>
      <w:r>
        <w:t>cas.</w:t>
      </w:r>
    </w:p>
    <w:p w:rsidR="00224567" w:rsidRDefault="00224567">
      <w:pPr>
        <w:pStyle w:val="Ttulo7"/>
        <w:widowControl w:val="0"/>
      </w:pPr>
      <w:r>
        <w:rPr>
          <w:b/>
          <w:bCs/>
        </w:rPr>
        <w:tab/>
      </w:r>
      <w:bookmarkStart w:id="191" w:name="_Toc86731975"/>
      <w:r>
        <w:rPr>
          <w:b/>
          <w:bCs/>
        </w:rPr>
        <w:t>C.2.c.viii.E)</w:t>
      </w:r>
      <w:bookmarkStart w:id="192" w:name="_Toc79905052"/>
      <w:r>
        <w:rPr>
          <w:b/>
          <w:bCs/>
        </w:rPr>
        <w:t xml:space="preserve"> </w:t>
      </w:r>
      <w:r>
        <w:t>Periodistas. Publicaci</w:t>
      </w:r>
      <w:r>
        <w:t>o</w:t>
      </w:r>
      <w:r>
        <w:t>nes</w:t>
      </w:r>
      <w:bookmarkEnd w:id="191"/>
      <w:bookmarkEnd w:id="192"/>
      <w:r>
        <w:t>.</w:t>
      </w:r>
    </w:p>
    <w:p w:rsidR="00224567" w:rsidRDefault="00224567">
      <w:pPr>
        <w:widowControl w:val="0"/>
      </w:pPr>
      <w:r>
        <w:tab/>
      </w:r>
      <w:r>
        <w:rPr>
          <w:b/>
          <w:bCs/>
        </w:rPr>
        <w:t>C.2.c.viii.E.1)</w:t>
      </w:r>
      <w:r>
        <w:t xml:space="preserve"> Los acusadores han s</w:t>
      </w:r>
      <w:r>
        <w:t>e</w:t>
      </w:r>
      <w:r>
        <w:t>ñalado que la responsabilidad de los ex policías i</w:t>
      </w:r>
      <w:r>
        <w:t>m</w:t>
      </w:r>
      <w:r>
        <w:t>putados por el ataque surgía, ya desde el año 1995, de las entr</w:t>
      </w:r>
      <w:r>
        <w:t>e</w:t>
      </w:r>
      <w:r>
        <w:t>vistas que Telleldín mantuviera con los periodistas del diario Página 12 Raúl Kollmann y Román Lejtman como así también de diversas publicaciones de ese m</w:t>
      </w:r>
      <w:r>
        <w:t>a</w:t>
      </w:r>
      <w:r>
        <w:t>tutino.</w:t>
      </w:r>
    </w:p>
    <w:p w:rsidR="00224567" w:rsidRDefault="00224567">
      <w:pPr>
        <w:widowControl w:val="0"/>
      </w:pPr>
      <w:r>
        <w:tab/>
        <w:t>Se sostuvo que ambos periodistas d</w:t>
      </w:r>
      <w:r>
        <w:t>u</w:t>
      </w:r>
      <w:r>
        <w:t>rante el debate afirmaron que jamás creyeron que T</w:t>
      </w:r>
      <w:r>
        <w:t>e</w:t>
      </w:r>
      <w:r>
        <w:t>lleldín hubiera vendido la camioneta y que éste les indicó la pa</w:t>
      </w:r>
      <w:r>
        <w:t>r</w:t>
      </w:r>
      <w:r>
        <w:t>ticipación de un p</w:t>
      </w:r>
      <w:r>
        <w:t>o</w:t>
      </w:r>
      <w:r>
        <w:t>licía apodado “Pino” con anterioridad a su apar</w:t>
      </w:r>
      <w:r>
        <w:t>i</w:t>
      </w:r>
      <w:r>
        <w:t>ción en la causa.</w:t>
      </w:r>
    </w:p>
    <w:p w:rsidR="00224567" w:rsidRDefault="00224567">
      <w:pPr>
        <w:widowControl w:val="0"/>
      </w:pPr>
      <w:r>
        <w:tab/>
        <w:t>Respecto de lo declarado por Raúl Kollmann se afirmó que la relación entre Telleldín y el grupo de Ribelli se correspondía con lo que el peri</w:t>
      </w:r>
      <w:r>
        <w:t>o</w:t>
      </w:r>
      <w:r>
        <w:t>dista había investigado acerca del funcionamiento de las que d</w:t>
      </w:r>
      <w:r>
        <w:t>e</w:t>
      </w:r>
      <w:r>
        <w:t>nominó “bandas mixtas” integradas por ladr</w:t>
      </w:r>
      <w:r>
        <w:t>o</w:t>
      </w:r>
      <w:r>
        <w:t>nes de autos y policías corruptos que les permitían actuar a cambio del pago de una suma de dinero.</w:t>
      </w:r>
    </w:p>
    <w:p w:rsidR="00224567" w:rsidRDefault="00224567">
      <w:pPr>
        <w:widowControl w:val="0"/>
      </w:pPr>
      <w:r>
        <w:tab/>
        <w:t>A partir del análisis de sus dichos, se destacó que Telleldín ya le transmitió con anteri</w:t>
      </w:r>
      <w:r>
        <w:t>o</w:t>
      </w:r>
      <w:r>
        <w:t>ridad a agosto de 1995 que había entregado la camioneta a un grupo de p</w:t>
      </w:r>
      <w:r>
        <w:t>o</w:t>
      </w:r>
      <w:r>
        <w:t>licías.</w:t>
      </w:r>
    </w:p>
    <w:p w:rsidR="00224567" w:rsidRDefault="00224567">
      <w:pPr>
        <w:widowControl w:val="0"/>
      </w:pPr>
      <w:r>
        <w:tab/>
        <w:t>Se puso de resalto que al periodista no le so</w:t>
      </w:r>
      <w:r>
        <w:t>r</w:t>
      </w:r>
      <w:r>
        <w:t>prendiera el contenido del video que reflejaba la entrevista entre T</w:t>
      </w:r>
      <w:r>
        <w:t>e</w:t>
      </w:r>
      <w:r>
        <w:t>lleldín y Galeano de julio de 1996.</w:t>
      </w:r>
    </w:p>
    <w:p w:rsidR="00224567" w:rsidRDefault="00224567">
      <w:pPr>
        <w:widowControl w:val="0"/>
      </w:pPr>
      <w:r>
        <w:tab/>
        <w:t>También remarcaron que tanto Eduardo Telleldín como Barr</w:t>
      </w:r>
      <w:r>
        <w:t>e</w:t>
      </w:r>
      <w:r>
        <w:t>da y Bareiro le habían transmitido que la camioneta fue entregada a la policía bonaerense como producto de una e</w:t>
      </w:r>
      <w:r>
        <w:t>x</w:t>
      </w:r>
      <w:r>
        <w:t>torsión.</w:t>
      </w:r>
    </w:p>
    <w:p w:rsidR="00224567" w:rsidRDefault="00224567">
      <w:pPr>
        <w:widowControl w:val="0"/>
      </w:pPr>
      <w:r>
        <w:tab/>
        <w:t>Por otra parte, se citaron, e incluso exhibieron, distintas publicaciones periodísticas del m</w:t>
      </w:r>
      <w:r>
        <w:t>a</w:t>
      </w:r>
      <w:r>
        <w:t>tutino Página 12, de las cuales destacaron que con ant</w:t>
      </w:r>
      <w:r>
        <w:t>e</w:t>
      </w:r>
      <w:r>
        <w:t>rioridad a la declaración indagatoria prestada por Telle</w:t>
      </w:r>
      <w:r>
        <w:t>l</w:t>
      </w:r>
      <w:r>
        <w:t>dín el 5 de julio de 1996 ya surgía que los policías h</w:t>
      </w:r>
      <w:r>
        <w:t>a</w:t>
      </w:r>
      <w:r>
        <w:t>bían obtenido la cami</w:t>
      </w:r>
      <w:r>
        <w:t>o</w:t>
      </w:r>
      <w:r>
        <w:t>neta Trafic.</w:t>
      </w:r>
    </w:p>
    <w:p w:rsidR="00224567" w:rsidRDefault="00224567">
      <w:pPr>
        <w:widowControl w:val="0"/>
      </w:pPr>
      <w:r>
        <w:tab/>
        <w:t>Además se citó que en una entrevista telefónica con el periodista de Clarín Gerardo Young, T</w:t>
      </w:r>
      <w:r>
        <w:t>e</w:t>
      </w:r>
      <w:r>
        <w:t>lleldín –antes de prestar declaración indagatoria d</w:t>
      </w:r>
      <w:r>
        <w:t>u</w:t>
      </w:r>
      <w:r>
        <w:t>rante el debate– afirmó que la camioneta Trafic se la había e</w:t>
      </w:r>
      <w:r>
        <w:t>n</w:t>
      </w:r>
      <w:r>
        <w:t>tregado al grupo policial de R</w:t>
      </w:r>
      <w:r>
        <w:t>i</w:t>
      </w:r>
      <w:r>
        <w:t>belli.</w:t>
      </w:r>
    </w:p>
    <w:p w:rsidR="00224567" w:rsidRDefault="00224567">
      <w:pPr>
        <w:widowControl w:val="0"/>
      </w:pPr>
      <w:r>
        <w:tab/>
        <w:t>Finalmente se destacó que Telleldín utilizaba sus entrevistas con los medios periodísticos p</w:t>
      </w:r>
      <w:r>
        <w:t>a</w:t>
      </w:r>
      <w:r>
        <w:t>ra desplegar sus exigencias, proceder que mantuvo en las entrevistas con la camarista Riva Aramayo.</w:t>
      </w:r>
    </w:p>
    <w:p w:rsidR="00224567" w:rsidRDefault="00224567">
      <w:pPr>
        <w:widowControl w:val="0"/>
      </w:pPr>
      <w:r>
        <w:tab/>
      </w:r>
      <w:r>
        <w:rPr>
          <w:b/>
          <w:bCs/>
        </w:rPr>
        <w:t>C.2.c.viii.E.2)</w:t>
      </w:r>
      <w:r>
        <w:t xml:space="preserve"> Inicialmente, debe destacarse que no puede sustentarse una “vía independie</w:t>
      </w:r>
      <w:r>
        <w:t>n</w:t>
      </w:r>
      <w:r>
        <w:t>te” a partir de las publicaciones citadas ni de las decl</w:t>
      </w:r>
      <w:r>
        <w:t>a</w:t>
      </w:r>
      <w:r>
        <w:t>raciones que los periodistas convocados prestaran en la audiencia.</w:t>
      </w:r>
    </w:p>
    <w:p w:rsidR="00224567" w:rsidRDefault="00224567">
      <w:pPr>
        <w:widowControl w:val="0"/>
      </w:pPr>
      <w:r>
        <w:tab/>
        <w:t>Carecen del carácter autónomo que se les asigna, toda vez que se tratan, en el mejor de los c</w:t>
      </w:r>
      <w:r>
        <w:t>a</w:t>
      </w:r>
      <w:r>
        <w:t>sos, de reiteradas reproducciones de los dichos bri</w:t>
      </w:r>
      <w:r>
        <w:t>n</w:t>
      </w:r>
      <w:r>
        <w:t>dados por Carlos Telleldín fuera de la sede judicial.</w:t>
      </w:r>
    </w:p>
    <w:p w:rsidR="00224567" w:rsidRDefault="00224567">
      <w:pPr>
        <w:widowControl w:val="0"/>
      </w:pPr>
      <w:r>
        <w:tab/>
        <w:t>En consecuencia, la mendacidad del imputado –tantas veces resaltada por el Tribunal y las partes– no pierde tal carácter porque se exponga a tr</w:t>
      </w:r>
      <w:r>
        <w:t>a</w:t>
      </w:r>
      <w:r>
        <w:t>vés de distintos medios d</w:t>
      </w:r>
      <w:r>
        <w:t>e</w:t>
      </w:r>
      <w:r>
        <w:t>ntro o fuera del proceso.</w:t>
      </w:r>
    </w:p>
    <w:p w:rsidR="00224567" w:rsidRDefault="00224567">
      <w:pPr>
        <w:widowControl w:val="0"/>
      </w:pPr>
      <w:r>
        <w:tab/>
        <w:t>Su relato se vio plagado de consta</w:t>
      </w:r>
      <w:r>
        <w:t>n</w:t>
      </w:r>
      <w:r>
        <w:t>tes cambios de versiones, contradicciones en sus tramos ese</w:t>
      </w:r>
      <w:r>
        <w:t>n</w:t>
      </w:r>
      <w:r>
        <w:t>ciales, intentos frustrados por superar sus propias fale</w:t>
      </w:r>
      <w:r>
        <w:t>n</w:t>
      </w:r>
      <w:r>
        <w:t>cias, entre otras características.</w:t>
      </w:r>
    </w:p>
    <w:p w:rsidR="00224567" w:rsidRDefault="00224567">
      <w:pPr>
        <w:widowControl w:val="0"/>
      </w:pPr>
      <w:r>
        <w:tab/>
        <w:t>Pero además no puede fundarse una d</w:t>
      </w:r>
      <w:r>
        <w:t>e</w:t>
      </w:r>
      <w:r>
        <w:t>cisión jud</w:t>
      </w:r>
      <w:r>
        <w:t>i</w:t>
      </w:r>
      <w:r>
        <w:t>cial, como lo pretenden los acusadores, en los juicios de valor que efectúen algunos periodistas re</w:t>
      </w:r>
      <w:r>
        <w:t>s</w:t>
      </w:r>
      <w:r>
        <w:t>pecto de la credibilidad de un imputado.</w:t>
      </w:r>
    </w:p>
    <w:p w:rsidR="00224567" w:rsidRDefault="00224567">
      <w:pPr>
        <w:widowControl w:val="0"/>
      </w:pPr>
      <w:r>
        <w:tab/>
        <w:t>En efecto, se tratan de meras opini</w:t>
      </w:r>
      <w:r>
        <w:t>o</w:t>
      </w:r>
      <w:r>
        <w:t>nes personales brind</w:t>
      </w:r>
      <w:r>
        <w:t>a</w:t>
      </w:r>
      <w:r>
        <w:t>das por quienes fueran convocados al proceso exclusivamente en carácter de te</w:t>
      </w:r>
      <w:r>
        <w:t>s</w:t>
      </w:r>
      <w:r>
        <w:t>tigos.</w:t>
      </w:r>
    </w:p>
    <w:p w:rsidR="00224567" w:rsidRDefault="00224567">
      <w:pPr>
        <w:widowControl w:val="0"/>
      </w:pPr>
      <w:r>
        <w:tab/>
        <w:t>Esta es la situación verificada en el caso. Tanto Kollmann como Lejtman sostuvieron su escept</w:t>
      </w:r>
      <w:r>
        <w:t>i</w:t>
      </w:r>
      <w:r>
        <w:t>cismo respecto a que Telleldín hubiera entregado la cami</w:t>
      </w:r>
      <w:r>
        <w:t>o</w:t>
      </w:r>
      <w:r>
        <w:t>neta Trafic como co</w:t>
      </w:r>
      <w:r>
        <w:t>n</w:t>
      </w:r>
      <w:r>
        <w:t>secuencia de una venta.</w:t>
      </w:r>
    </w:p>
    <w:p w:rsidR="00224567" w:rsidRDefault="00224567">
      <w:pPr>
        <w:widowControl w:val="0"/>
      </w:pPr>
      <w:r>
        <w:tab/>
        <w:t>No obsta a lo expuesto que alguno de los periodistas apoyara su opinión en sus investigaci</w:t>
      </w:r>
      <w:r>
        <w:t>o</w:t>
      </w:r>
      <w:r>
        <w:t>nes sobre las espurias negociaciones entre quienes su</w:t>
      </w:r>
      <w:r>
        <w:t>s</w:t>
      </w:r>
      <w:r>
        <w:t>trajeran vehículos y algunos funcionarios policiales. Esta vincul</w:t>
      </w:r>
      <w:r>
        <w:t>a</w:t>
      </w:r>
      <w:r>
        <w:t>ción no es más que un juicio de carácter genérico e hip</w:t>
      </w:r>
      <w:r>
        <w:t>o</w:t>
      </w:r>
      <w:r>
        <w:t>tético, sin valor como elemento de prueba en un proceso judicial.</w:t>
      </w:r>
    </w:p>
    <w:p w:rsidR="00224567" w:rsidRDefault="00224567">
      <w:pPr>
        <w:widowControl w:val="0"/>
      </w:pPr>
      <w:r>
        <w:tab/>
        <w:t>También carece de relevancia que los periodistas citados declararan que no les había sorprend</w:t>
      </w:r>
      <w:r>
        <w:t>i</w:t>
      </w:r>
      <w:r>
        <w:t>do el contenido de la entrevista entre el magistrado in</w:t>
      </w:r>
      <w:r>
        <w:t>s</w:t>
      </w:r>
      <w:r>
        <w:t>tru</w:t>
      </w:r>
      <w:r>
        <w:t>c</w:t>
      </w:r>
      <w:r>
        <w:t>tor y Telleldín, en cuanto se correspondía con lo que éste les había adelant</w:t>
      </w:r>
      <w:r>
        <w:t>a</w:t>
      </w:r>
      <w:r>
        <w:t>do.</w:t>
      </w:r>
    </w:p>
    <w:p w:rsidR="00224567" w:rsidRDefault="00224567">
      <w:pPr>
        <w:widowControl w:val="0"/>
      </w:pPr>
      <w:r>
        <w:tab/>
        <w:t>En tal sentido, debe destacarse que esa filmación tomó estado público en abril de 1997, es d</w:t>
      </w:r>
      <w:r>
        <w:t>e</w:t>
      </w:r>
      <w:r>
        <w:t>cir, con posterioridad no solo a que Telleldín sost</w:t>
      </w:r>
      <w:r>
        <w:t>u</w:t>
      </w:r>
      <w:r>
        <w:t>viera en la remunerada decl</w:t>
      </w:r>
      <w:r>
        <w:t>a</w:t>
      </w:r>
      <w:r>
        <w:t>ración indagatoria del 5 de julio de 1996 que la camioneta la hubiera entregado a un grupo de policías bonaerenses como consecuencia de una extorsión, sino también que los allí imputados fueran detenidos y proces</w:t>
      </w:r>
      <w:r>
        <w:t>a</w:t>
      </w:r>
      <w:r>
        <w:t>dos.</w:t>
      </w:r>
    </w:p>
    <w:p w:rsidR="00224567" w:rsidRDefault="00224567">
      <w:pPr>
        <w:widowControl w:val="0"/>
      </w:pPr>
      <w:r>
        <w:tab/>
        <w:t>Ahora bien, si se pretendiera dest</w:t>
      </w:r>
      <w:r>
        <w:t>a</w:t>
      </w:r>
      <w:r>
        <w:t>car el carácter novedoso de esta versión al momento de cel</w:t>
      </w:r>
      <w:r>
        <w:t>e</w:t>
      </w:r>
      <w:r>
        <w:t>brarse esa e</w:t>
      </w:r>
      <w:r>
        <w:t>n</w:t>
      </w:r>
      <w:r>
        <w:t>trevista en julio de 1996, no puede dejar de señalarse que ya en agosto de 1995 se habían llevado a c</w:t>
      </w:r>
      <w:r>
        <w:t>a</w:t>
      </w:r>
      <w:r>
        <w:t>bo las entrevistas entre la camarista Riva Aramayo y T</w:t>
      </w:r>
      <w:r>
        <w:t>e</w:t>
      </w:r>
      <w:r>
        <w:t>lleldín –episodios destacados en otro tramo de este pr</w:t>
      </w:r>
      <w:r>
        <w:t>o</w:t>
      </w:r>
      <w:r>
        <w:t>nunciamiento como integrantes y demostrativos de la coe</w:t>
      </w:r>
      <w:r>
        <w:t>r</w:t>
      </w:r>
      <w:r>
        <w:t>ción estatal por obtener una declaración del imputado c</w:t>
      </w:r>
      <w:r>
        <w:t>o</w:t>
      </w:r>
      <w:r>
        <w:t>n-tra su voluntad– que tuvieran difusión peri</w:t>
      </w:r>
      <w:r>
        <w:t>o</w:t>
      </w:r>
      <w:r>
        <w:t>dística.</w:t>
      </w:r>
    </w:p>
    <w:p w:rsidR="00224567" w:rsidRDefault="00224567">
      <w:pPr>
        <w:widowControl w:val="0"/>
      </w:pPr>
      <w:r>
        <w:tab/>
        <w:t>En consecuencia, ni para abril de 1997 –cuando la filmación de la entrevista entre Telleldín y Galeano trascendiera– ni para julio de 1996 –cuando esta se efe</w:t>
      </w:r>
      <w:r>
        <w:t>c</w:t>
      </w:r>
      <w:r>
        <w:t>tuara– podía resultar su contenido novedoso, mucho menos para un periodista dedicado a s</w:t>
      </w:r>
      <w:r>
        <w:t>e</w:t>
      </w:r>
      <w:r>
        <w:t>guir el caso.</w:t>
      </w:r>
    </w:p>
    <w:p w:rsidR="00224567" w:rsidRDefault="00224567">
      <w:pPr>
        <w:widowControl w:val="0"/>
      </w:pPr>
      <w:r>
        <w:tab/>
        <w:t>Respecto de la valoración de lo decl</w:t>
      </w:r>
      <w:r>
        <w:t>a</w:t>
      </w:r>
      <w:r>
        <w:t>rado por Eduardo Telleldín a Raúl Kollmann debe s</w:t>
      </w:r>
      <w:r>
        <w:t>e</w:t>
      </w:r>
      <w:r>
        <w:t>ñalarse que, el calculador y arquitectónico armado de estas actu</w:t>
      </w:r>
      <w:r>
        <w:t>a</w:t>
      </w:r>
      <w:r>
        <w:t>ciones que incluyera la artificial división entre la ca</w:t>
      </w:r>
      <w:r>
        <w:t>u</w:t>
      </w:r>
      <w:r>
        <w:t>sas 1156 –A.M.I.A.– y 1598 –Brigadas– fue la herramienta de la que se valió el magistrado instructor para que Eduardo Telleldín declarara testimonialmente en la segu</w:t>
      </w:r>
      <w:r>
        <w:t>n</w:t>
      </w:r>
      <w:r>
        <w:t>da, estando imputado como partícipe del atentado en la primera. Esta última situación, irresuelta pese a los r</w:t>
      </w:r>
      <w:r>
        <w:t>e</w:t>
      </w:r>
      <w:r>
        <w:t>i-terados reclamos del Tribunal y las partes, fue la que i</w:t>
      </w:r>
      <w:r>
        <w:t>m</w:t>
      </w:r>
      <w:r>
        <w:t>pidió que se lo esc</w:t>
      </w:r>
      <w:r>
        <w:t>u</w:t>
      </w:r>
      <w:r>
        <w:t>chara en el debate.</w:t>
      </w:r>
    </w:p>
    <w:p w:rsidR="00224567" w:rsidRDefault="00224567">
      <w:pPr>
        <w:widowControl w:val="0"/>
      </w:pPr>
      <w:r>
        <w:tab/>
        <w:t>Por esas limitaciones no podrá tamp</w:t>
      </w:r>
      <w:r>
        <w:t>o</w:t>
      </w:r>
      <w:r>
        <w:t>co valorarse el testimonio brindado por éste en sede instru</w:t>
      </w:r>
      <w:r>
        <w:t>c</w:t>
      </w:r>
      <w:r>
        <w:t>toria.</w:t>
      </w:r>
    </w:p>
    <w:p w:rsidR="00224567" w:rsidRDefault="00224567">
      <w:pPr>
        <w:widowControl w:val="0"/>
      </w:pPr>
      <w:r>
        <w:tab/>
        <w:t>Finalmente, ambos periodistas sost</w:t>
      </w:r>
      <w:r>
        <w:t>u</w:t>
      </w:r>
      <w:r>
        <w:t>vieron que antes de agosto de 1995 –mes en el que se in</w:t>
      </w:r>
      <w:r>
        <w:t>i</w:t>
      </w:r>
      <w:r>
        <w:t xml:space="preserve">cian las irregulares entrevistas entre la camarista Riva Aramayo y Telleldín– ya sabían, por dichos del citado imputado, que éste había entregado </w:t>
      </w:r>
      <w:smartTag w:uri="urn:schemas-microsoft-com:office:smarttags" w:element="PersonName">
        <w:smartTagPr>
          <w:attr w:name="ProductID" w:val="la Trafic"/>
        </w:smartTagPr>
        <w:r>
          <w:t>la Trafic</w:t>
        </w:r>
      </w:smartTag>
      <w:r>
        <w:t xml:space="preserve"> a policías bonaerenses. Sin embargo, cabe destacar que en el report</w:t>
      </w:r>
      <w:r>
        <w:t>a</w:t>
      </w:r>
      <w:r>
        <w:t>je que Kollmann y Lejtman le efectuaron a T</w:t>
      </w:r>
      <w:r>
        <w:t>e</w:t>
      </w:r>
      <w:r>
        <w:t>lleldín y que fue publicado el 16 de julio de 1995, Telleldín negó en dos oportunidades, frente a sendas preguntas de sus inte</w:t>
      </w:r>
      <w:r>
        <w:t>r</w:t>
      </w:r>
      <w:r>
        <w:t>locutores, haber entregado la camioneta a policías bona</w:t>
      </w:r>
      <w:r>
        <w:t>e</w:t>
      </w:r>
      <w:r>
        <w:t>renses.</w:t>
      </w:r>
    </w:p>
    <w:p w:rsidR="00224567" w:rsidRDefault="00224567">
      <w:pPr>
        <w:widowControl w:val="0"/>
      </w:pPr>
      <w:r>
        <w:tab/>
      </w:r>
      <w:r>
        <w:tab/>
        <w:t>En otro orden de ideas, como ya se adelantara, las publicaciones periodísticas citadas tamp</w:t>
      </w:r>
      <w:r>
        <w:t>o</w:t>
      </w:r>
      <w:r>
        <w:t>co contribuyen a la pretendida construcción de la denom</w:t>
      </w:r>
      <w:r>
        <w:t>i</w:t>
      </w:r>
      <w:r>
        <w:t>nada “vía independie</w:t>
      </w:r>
      <w:r>
        <w:t>n</w:t>
      </w:r>
      <w:r>
        <w:t>te”.</w:t>
      </w:r>
    </w:p>
    <w:p w:rsidR="00224567" w:rsidRDefault="00224567">
      <w:pPr>
        <w:widowControl w:val="0"/>
      </w:pPr>
      <w:r>
        <w:tab/>
        <w:t>Debe destacarse que el señor Fiscal al citar la nota periodística publicada el 16 de julio de 1995 en Página 12 destaca que Telleldín aprovecha la oc</w:t>
      </w:r>
      <w:r>
        <w:t>a</w:t>
      </w:r>
      <w:r>
        <w:t>sión para sugerir que la policía bonaerense está i</w:t>
      </w:r>
      <w:r>
        <w:t>m</w:t>
      </w:r>
      <w:r>
        <w:t>plicada de algún modo en el ataque terrorista del 18 de julio de 1994 y que, por pr</w:t>
      </w:r>
      <w:r>
        <w:t>i</w:t>
      </w:r>
      <w:r>
        <w:t>mera vez, hacía referencia a la entrega de distintos vehículos y dinero a la br</w:t>
      </w:r>
      <w:r>
        <w:t>i</w:t>
      </w:r>
      <w:r>
        <w:t>gada de Lanús.</w:t>
      </w:r>
    </w:p>
    <w:p w:rsidR="00224567" w:rsidRDefault="00224567">
      <w:pPr>
        <w:widowControl w:val="0"/>
      </w:pPr>
      <w:r>
        <w:tab/>
        <w:t>Sin embargo, llama poderosamente la atención que en una muestra de grave parcialidad, el ac</w:t>
      </w:r>
      <w:r>
        <w:t>u</w:t>
      </w:r>
      <w:r>
        <w:t>sador estatal omitiera considerar que en ese mismo repo</w:t>
      </w:r>
      <w:r>
        <w:t>r</w:t>
      </w:r>
      <w:r>
        <w:t>taje –como ya se dijera– Telleldín negó en dos oportunid</w:t>
      </w:r>
      <w:r>
        <w:t>a</w:t>
      </w:r>
      <w:r>
        <w:t>des –al ser interrogado específicamente sobre el punto– haber entregado la camioneta Trafic a oficiales de la p</w:t>
      </w:r>
      <w:r>
        <w:t>o</w:t>
      </w:r>
      <w:r>
        <w:t>licía bonaerense. Incluso precisa que de haber así ocurr</w:t>
      </w:r>
      <w:r>
        <w:t>i</w:t>
      </w:r>
      <w:r>
        <w:t>do lo hubiera afirmado tal como lo hiciera re</w:t>
      </w:r>
      <w:r>
        <w:t>s</w:t>
      </w:r>
      <w:r>
        <w:t>pecto de las extorsiones de las que había sido víctima por parte de i</w:t>
      </w:r>
      <w:r>
        <w:t>n</w:t>
      </w:r>
      <w:r>
        <w:t>tegrantes de las brigadas de Lanús y V</w:t>
      </w:r>
      <w:r>
        <w:t>i</w:t>
      </w:r>
      <w:r>
        <w:t>cente López.</w:t>
      </w:r>
    </w:p>
    <w:p w:rsidR="00224567" w:rsidRDefault="00224567">
      <w:pPr>
        <w:widowControl w:val="0"/>
      </w:pPr>
      <w:r>
        <w:tab/>
        <w:t xml:space="preserve">Con relación a los demás artículos de Página 12 empleados por </w:t>
      </w:r>
      <w:smartTag w:uri="urn:schemas-microsoft-com:office:smarttags" w:element="PersonName">
        <w:smartTagPr>
          <w:attr w:name="ProductID" w:val="La Fiscal￭a"/>
        </w:smartTagPr>
        <w:r>
          <w:t>la Fiscalía</w:t>
        </w:r>
      </w:smartTag>
      <w:r>
        <w:t>, de fecha 27 de se</w:t>
      </w:r>
      <w:r>
        <w:t>p</w:t>
      </w:r>
      <w:r>
        <w:t>tiembre, 1º de octubre y 3 de noviembre, todos de 1995, debe señalarse que la ocasión en que fueran publicados, con posterioridad a las irregulares entrevistas ma</w:t>
      </w:r>
      <w:r>
        <w:t>n</w:t>
      </w:r>
      <w:r>
        <w:t>tenidas entre Telleldín y Riva Aramayo –eslabón demostr</w:t>
      </w:r>
      <w:r>
        <w:t>a</w:t>
      </w:r>
      <w:r>
        <w:t>tivo de la espuria negociación que culminara en el pago por la decl</w:t>
      </w:r>
      <w:r>
        <w:t>a</w:t>
      </w:r>
      <w:r>
        <w:t>ración indag</w:t>
      </w:r>
      <w:r>
        <w:t>a</w:t>
      </w:r>
      <w:r>
        <w:t>toria de Telleldín del 5 de julio de 1996– ya las invalida como elementos i</w:t>
      </w:r>
      <w:r>
        <w:t>n</w:t>
      </w:r>
      <w:r>
        <w:t>tegrantes de una denominada “vía independie</w:t>
      </w:r>
      <w:r>
        <w:t>n</w:t>
      </w:r>
      <w:r>
        <w:t>te”.</w:t>
      </w:r>
    </w:p>
    <w:p w:rsidR="00224567" w:rsidRDefault="00224567">
      <w:pPr>
        <w:widowControl w:val="0"/>
      </w:pPr>
      <w:r>
        <w:tab/>
        <w:t>Como detalle cabe resaltar que la pr</w:t>
      </w:r>
      <w:r>
        <w:t>i</w:t>
      </w:r>
      <w:r>
        <w:t>mera mención del apodado “Pino” como una de las personas que interviniera en la obtención de la camioneta Trafic se efectuó en las cuestionadas entrevistas con la fallecida ex cam</w:t>
      </w:r>
      <w:r>
        <w:t>a</w:t>
      </w:r>
      <w:r>
        <w:t>rista glosadas a fs. 37.380 y 37.382/4, y recién es publicada por el citado matutino en la nota del 3 de n</w:t>
      </w:r>
      <w:r>
        <w:t>o</w:t>
      </w:r>
      <w:r>
        <w:t>viembre de 1995.</w:t>
      </w:r>
    </w:p>
    <w:p w:rsidR="00224567" w:rsidRDefault="00224567">
      <w:pPr>
        <w:widowControl w:val="0"/>
      </w:pPr>
      <w:r>
        <w:tab/>
        <w:t>Que en esta última nota se asociara tempranamente ese ap</w:t>
      </w:r>
      <w:r>
        <w:t>o</w:t>
      </w:r>
      <w:r>
        <w:t>do con el imputado Ireneo Leal –toda vez que el dato recién es corroborado judicialme</w:t>
      </w:r>
      <w:r>
        <w:t>n</w:t>
      </w:r>
      <w:r>
        <w:t>te en la declaración test</w:t>
      </w:r>
      <w:r>
        <w:t>i</w:t>
      </w:r>
      <w:r>
        <w:t>monial prestada por Manuel Enrique García el 15 de noviembre de 1995, glosada a fs. 37.559–, no a</w:t>
      </w:r>
      <w:r>
        <w:t>l</w:t>
      </w:r>
      <w:r>
        <w:t>tera dicha co</w:t>
      </w:r>
      <w:r>
        <w:t>n</w:t>
      </w:r>
      <w:r>
        <w:t>clusión.</w:t>
      </w:r>
    </w:p>
    <w:p w:rsidR="00224567" w:rsidRDefault="00224567">
      <w:pPr>
        <w:widowControl w:val="0"/>
      </w:pPr>
      <w:r>
        <w:tab/>
        <w:t>En definitiva, si fueron posteriores a una de las emblemáticas muestras de la espuria neg</w:t>
      </w:r>
      <w:r>
        <w:t>o</w:t>
      </w:r>
      <w:r>
        <w:t>ciación y tom</w:t>
      </w:r>
      <w:r>
        <w:t>a</w:t>
      </w:r>
      <w:r>
        <w:t>ban como fuente esas oscuras entrevistas, mal puede señalárselas como elementos de una “vía independie</w:t>
      </w:r>
      <w:r>
        <w:t>n</w:t>
      </w:r>
      <w:r>
        <w:t>te”.</w:t>
      </w:r>
    </w:p>
    <w:p w:rsidR="00224567" w:rsidRDefault="00224567">
      <w:pPr>
        <w:widowControl w:val="0"/>
      </w:pPr>
      <w:r>
        <w:tab/>
        <w:t>En el mismo sentido debe descartarse la entrevista que el periodista Gerardo Young le efe</w:t>
      </w:r>
      <w:r>
        <w:t>c</w:t>
      </w:r>
      <w:r>
        <w:t>tuara a Telleldín y que se publicara en el diario Cl</w:t>
      </w:r>
      <w:r>
        <w:t>a</w:t>
      </w:r>
      <w:r>
        <w:t>rín del 18 de febrero de 2002, cuya fotocopia está agregada a fs. 106.745.</w:t>
      </w:r>
    </w:p>
    <w:p w:rsidR="00224567" w:rsidRDefault="00224567">
      <w:pPr>
        <w:widowControl w:val="0"/>
      </w:pPr>
      <w:r>
        <w:tab/>
        <w:t>Por todo lo expuesto, cabe concluir que las notas peri</w:t>
      </w:r>
      <w:r>
        <w:t>o</w:t>
      </w:r>
      <w:r>
        <w:t>dísticas no pueden jamás constituir la pretendida “vía independiente”, en algunos casos por su fecha, en otros por su contenido y en la mayoría de ellas porque se tratan de entrevistas al mismo imputado cuya credibilidad está s</w:t>
      </w:r>
      <w:r>
        <w:t>e</w:t>
      </w:r>
      <w:r>
        <w:t>riamente cuestionada.</w:t>
      </w:r>
    </w:p>
    <w:p w:rsidR="00224567" w:rsidRDefault="00224567">
      <w:pPr>
        <w:pStyle w:val="Ttulo7"/>
        <w:widowControl w:val="0"/>
      </w:pPr>
      <w:r>
        <w:rPr>
          <w:b/>
          <w:bCs/>
        </w:rPr>
        <w:tab/>
      </w:r>
      <w:bookmarkStart w:id="193" w:name="_Toc86731976"/>
      <w:r>
        <w:rPr>
          <w:b/>
          <w:bCs/>
        </w:rPr>
        <w:t>C.2.c.viii.F)</w:t>
      </w:r>
      <w:bookmarkStart w:id="194" w:name="_Toc79905053"/>
      <w:r>
        <w:rPr>
          <w:b/>
          <w:bCs/>
        </w:rPr>
        <w:t xml:space="preserve"> </w:t>
      </w:r>
      <w:r>
        <w:t>La indirecta incorpor</w:t>
      </w:r>
      <w:r>
        <w:t>a</w:t>
      </w:r>
      <w:r>
        <w:t>ción de los d</w:t>
      </w:r>
      <w:r>
        <w:t>i</w:t>
      </w:r>
      <w:r>
        <w:t>chos de Cotoras.</w:t>
      </w:r>
      <w:bookmarkEnd w:id="193"/>
    </w:p>
    <w:p w:rsidR="00224567" w:rsidRDefault="00224567">
      <w:pPr>
        <w:pStyle w:val="Ttulo8"/>
        <w:spacing w:line="600" w:lineRule="auto"/>
        <w:rPr>
          <w:b w:val="0"/>
          <w:bCs w:val="0"/>
        </w:rPr>
      </w:pPr>
      <w:r>
        <w:tab/>
      </w:r>
      <w:bookmarkStart w:id="195" w:name="_Toc86731977"/>
      <w:r>
        <w:t xml:space="preserve">C.2.c.viii.F.1) </w:t>
      </w:r>
      <w:r>
        <w:rPr>
          <w:b w:val="0"/>
          <w:bCs w:val="0"/>
        </w:rPr>
        <w:t>Introducción</w:t>
      </w:r>
      <w:bookmarkEnd w:id="195"/>
      <w:r>
        <w:rPr>
          <w:b w:val="0"/>
          <w:bCs w:val="0"/>
        </w:rPr>
        <w:t>.</w:t>
      </w:r>
    </w:p>
    <w:p w:rsidR="00224567" w:rsidRDefault="00224567">
      <w:pPr>
        <w:widowControl w:val="0"/>
      </w:pPr>
      <w:r>
        <w:tab/>
        <w:t>Debe destacarse que los acusadores han procurado, mediante la valoración de los testimonios de Laura Scillone y Miriam Salinas, incorporar los dichos de un testigo perteneciente al entorno íntimo de Telleldín que avaló la versión extorsiva sostenida por éste en su remunerada declaración ind</w:t>
      </w:r>
      <w:r>
        <w:t>a</w:t>
      </w:r>
      <w:r>
        <w:t>gatoria de julio de 1996.</w:t>
      </w:r>
    </w:p>
    <w:p w:rsidR="00224567" w:rsidRDefault="00224567">
      <w:pPr>
        <w:widowControl w:val="0"/>
      </w:pPr>
      <w:r>
        <w:tab/>
        <w:t>Antes de entrar a la valoración de esos testim</w:t>
      </w:r>
      <w:r>
        <w:t>o</w:t>
      </w:r>
      <w:r>
        <w:t>nios no puede omitirse considerar cuál fue la particular situación de Cotoras, que impidiera que fuera oído en el d</w:t>
      </w:r>
      <w:r>
        <w:t>e</w:t>
      </w:r>
      <w:r>
        <w:t>bate.</w:t>
      </w:r>
    </w:p>
    <w:p w:rsidR="00224567" w:rsidRDefault="00224567">
      <w:pPr>
        <w:widowControl w:val="0"/>
      </w:pPr>
      <w:r>
        <w:tab/>
        <w:t>En efecto, Guillermo Cotoras resultó imputado desde el inicio de la causa. Esta situación ha perdurado hasta el presente, toda vez que la falta de m</w:t>
      </w:r>
      <w:r>
        <w:t>é</w:t>
      </w:r>
      <w:r>
        <w:t>rito (cfe. fs. 1473/4) –resolución de naturaleza eminent</w:t>
      </w:r>
      <w:r>
        <w:t>e</w:t>
      </w:r>
      <w:r>
        <w:t>mente provis</w:t>
      </w:r>
      <w:r>
        <w:t>o</w:t>
      </w:r>
      <w:r>
        <w:t>ria– dictada con fecha 30 de julio de 1994 no ha sido superada hasta la f</w:t>
      </w:r>
      <w:r>
        <w:t>e</w:t>
      </w:r>
      <w:r>
        <w:t>cha.</w:t>
      </w:r>
    </w:p>
    <w:p w:rsidR="00224567" w:rsidRDefault="00224567">
      <w:pPr>
        <w:widowControl w:val="0"/>
      </w:pPr>
      <w:r>
        <w:tab/>
        <w:t>Ello pese al extenso tiempo transc</w:t>
      </w:r>
      <w:r>
        <w:t>u</w:t>
      </w:r>
      <w:r>
        <w:t>rrido desde que se dictara esa resolución y a las e</w:t>
      </w:r>
      <w:r>
        <w:t>x</w:t>
      </w:r>
      <w:r>
        <w:t>presas solicitudes del Tr</w:t>
      </w:r>
      <w:r>
        <w:t>i</w:t>
      </w:r>
      <w:r>
        <w:t>bunal para que resolviera la situación procesal del imp</w:t>
      </w:r>
      <w:r>
        <w:t>u</w:t>
      </w:r>
      <w:r>
        <w:t>tado, en tanto había sido propuesto como testigo. En definitiva, este fue el obstáculo para conv</w:t>
      </w:r>
      <w:r>
        <w:t>o</w:t>
      </w:r>
      <w:r>
        <w:t>car a Cotoras para que expusiera d</w:t>
      </w:r>
      <w:r>
        <w:t>u</w:t>
      </w:r>
      <w:r>
        <w:t>rante el juicio oral.</w:t>
      </w:r>
    </w:p>
    <w:p w:rsidR="00224567" w:rsidRDefault="00224567">
      <w:pPr>
        <w:widowControl w:val="0"/>
      </w:pPr>
      <w:r>
        <w:tab/>
        <w:t>Sin perjuicio de la subsistente imp</w:t>
      </w:r>
      <w:r>
        <w:t>u</w:t>
      </w:r>
      <w:r>
        <w:t>tación en la causa 1156 “A.M.I.A.”, el magistrado instru</w:t>
      </w:r>
      <w:r>
        <w:t>c</w:t>
      </w:r>
      <w:r>
        <w:t>tor en violación a las normas que procuran garantizar la prohibición de la autoincriminación forzada le recibió d</w:t>
      </w:r>
      <w:r>
        <w:t>e</w:t>
      </w:r>
      <w:r>
        <w:t>claración testimonial en la causa 1598 “Brigadas”, el 10 de j</w:t>
      </w:r>
      <w:r>
        <w:t>u</w:t>
      </w:r>
      <w:r>
        <w:t>lio de 1996.</w:t>
      </w:r>
    </w:p>
    <w:p w:rsidR="00224567" w:rsidRDefault="00224567">
      <w:pPr>
        <w:widowControl w:val="0"/>
      </w:pPr>
      <w:r>
        <w:tab/>
        <w:t>Este ilegal proceder del juez ya fue objeto de análisis al reseñarse las irregularidades ev</w:t>
      </w:r>
      <w:r>
        <w:t>i</w:t>
      </w:r>
      <w:r>
        <w:t>denciadas en el trámite de esta causa.</w:t>
      </w:r>
    </w:p>
    <w:p w:rsidR="00224567" w:rsidRDefault="00224567">
      <w:pPr>
        <w:widowControl w:val="0"/>
      </w:pPr>
      <w:r>
        <w:tab/>
        <w:t>El análisis del contenido de su decl</w:t>
      </w:r>
      <w:r>
        <w:t>a</w:t>
      </w:r>
      <w:r>
        <w:t>ración, como se adelantara, determina que su versión, prestada a solo cinco días de la ilegal indagatoria de T</w:t>
      </w:r>
      <w:r>
        <w:t>e</w:t>
      </w:r>
      <w:r>
        <w:t>lleldín, resultó funcional a ésta. Es por ello, que la primera contradi</w:t>
      </w:r>
      <w:r>
        <w:t>c</w:t>
      </w:r>
      <w:r>
        <w:t>ción en la que incurren los acusadores en este aspecto consiste en calificar estas declaraciones c</w:t>
      </w:r>
      <w:r>
        <w:t>o</w:t>
      </w:r>
      <w:r>
        <w:t>mo integrantes de una denominada “vía independiente” de aquella remuner</w:t>
      </w:r>
      <w:r>
        <w:t>a</w:t>
      </w:r>
      <w:r>
        <w:t>da indagatoria.</w:t>
      </w:r>
    </w:p>
    <w:p w:rsidR="00224567" w:rsidRDefault="00224567">
      <w:pPr>
        <w:widowControl w:val="0"/>
      </w:pPr>
      <w:r>
        <w:tab/>
        <w:t>Por otra parte, la segunda incons</w:t>
      </w:r>
      <w:r>
        <w:t>e</w:t>
      </w:r>
      <w:r>
        <w:t>cuencia en la postura de los acusadores se muestra con la contradicción de sostener la teoría de la “entrega acord</w:t>
      </w:r>
      <w:r>
        <w:t>a</w:t>
      </w:r>
      <w:r>
        <w:t>da” de la c</w:t>
      </w:r>
      <w:r>
        <w:t>a</w:t>
      </w:r>
      <w:r>
        <w:t>mioneta Trafic y, a la vez, utilizar –por vía indirecta– el testimonio de Cotoras, eje de la hipótesis exto</w:t>
      </w:r>
      <w:r>
        <w:t>r</w:t>
      </w:r>
      <w:r>
        <w:t xml:space="preserve">siva. </w:t>
      </w:r>
    </w:p>
    <w:p w:rsidR="00224567" w:rsidRDefault="00224567">
      <w:pPr>
        <w:widowControl w:val="0"/>
      </w:pPr>
      <w:r>
        <w:tab/>
        <w:t>No obstante, siempre con el propósito de agotar el anál</w:t>
      </w:r>
      <w:r>
        <w:t>i</w:t>
      </w:r>
      <w:r>
        <w:t>sis de las pruebas empleadas para fundar la acusación, se procederá seguidamente a su v</w:t>
      </w:r>
      <w:r>
        <w:t>a</w:t>
      </w:r>
      <w:r>
        <w:t>loración.</w:t>
      </w:r>
    </w:p>
    <w:p w:rsidR="00224567" w:rsidRDefault="00224567">
      <w:pPr>
        <w:pStyle w:val="Ttulo8"/>
        <w:spacing w:line="600" w:lineRule="auto"/>
      </w:pPr>
      <w:r>
        <w:tab/>
      </w:r>
      <w:bookmarkStart w:id="196" w:name="_Toc86731978"/>
      <w:r>
        <w:t xml:space="preserve">C.2.c.viii.F.2) </w:t>
      </w:r>
      <w:r>
        <w:rPr>
          <w:b w:val="0"/>
          <w:bCs w:val="0"/>
        </w:rPr>
        <w:t>Laura Marcela Scill</w:t>
      </w:r>
      <w:r>
        <w:rPr>
          <w:b w:val="0"/>
          <w:bCs w:val="0"/>
        </w:rPr>
        <w:t>o</w:t>
      </w:r>
      <w:r>
        <w:rPr>
          <w:b w:val="0"/>
          <w:bCs w:val="0"/>
        </w:rPr>
        <w:t>ne</w:t>
      </w:r>
      <w:bookmarkEnd w:id="194"/>
      <w:bookmarkEnd w:id="196"/>
      <w:r>
        <w:rPr>
          <w:b w:val="0"/>
          <w:bCs w:val="0"/>
        </w:rPr>
        <w:t>.</w:t>
      </w:r>
    </w:p>
    <w:p w:rsidR="00224567" w:rsidRDefault="00224567">
      <w:pPr>
        <w:widowControl w:val="0"/>
      </w:pPr>
      <w:r>
        <w:tab/>
        <w:t>En este sentido, una de las declar</w:t>
      </w:r>
      <w:r>
        <w:t>a</w:t>
      </w:r>
      <w:r>
        <w:t>ciones que valoraran los acusadores, en cuanto les perm</w:t>
      </w:r>
      <w:r>
        <w:t>i</w:t>
      </w:r>
      <w:r>
        <w:t>tió recrear lo sostenido por Guillermo Cotoras, fue la prestada por Laura Marcela Scillone, quien mantuvo una r</w:t>
      </w:r>
      <w:r>
        <w:t>e</w:t>
      </w:r>
      <w:r>
        <w:t>lación de concubinato con aquél, fruto de la cual t</w:t>
      </w:r>
      <w:r>
        <w:t>u</w:t>
      </w:r>
      <w:r>
        <w:t xml:space="preserve">vieron dos hijas. </w:t>
      </w:r>
    </w:p>
    <w:p w:rsidR="00224567" w:rsidRDefault="00224567">
      <w:pPr>
        <w:widowControl w:val="0"/>
      </w:pPr>
      <w:r>
        <w:tab/>
        <w:t>En el contexto desarrollado párrafos más arriba debe mer</w:t>
      </w:r>
      <w:r>
        <w:t>i</w:t>
      </w:r>
      <w:r>
        <w:t>tuarse que el 11 de diciembre de 1997 fue citada Laura Scillone para brindar su primera declar</w:t>
      </w:r>
      <w:r>
        <w:t>a</w:t>
      </w:r>
      <w:r>
        <w:t>ción testim</w:t>
      </w:r>
      <w:r>
        <w:t>o</w:t>
      </w:r>
      <w:r>
        <w:t>nial.</w:t>
      </w:r>
    </w:p>
    <w:p w:rsidR="00224567" w:rsidRDefault="00224567">
      <w:pPr>
        <w:widowControl w:val="0"/>
      </w:pPr>
      <w:r>
        <w:tab/>
        <w:t>Si bien en el caso de Scillone no r</w:t>
      </w:r>
      <w:r>
        <w:t>e</w:t>
      </w:r>
      <w:r>
        <w:t>sultaban aplicables las disposiciones del art. 242 del C.P.P.N. –prohibición a familiares del imputado de decl</w:t>
      </w:r>
      <w:r>
        <w:t>a</w:t>
      </w:r>
      <w:r>
        <w:t>rar en su contra–, sin duda, el vínculo que mantuviera con el imputado no puede ser soslayado en ocasión de valorar su testim</w:t>
      </w:r>
      <w:r>
        <w:t>o</w:t>
      </w:r>
      <w:r>
        <w:t xml:space="preserve">nio. </w:t>
      </w:r>
    </w:p>
    <w:p w:rsidR="00224567" w:rsidRDefault="00224567">
      <w:pPr>
        <w:widowControl w:val="0"/>
      </w:pPr>
      <w:r>
        <w:tab/>
        <w:t>En otras palabras, siempre que la te</w:t>
      </w:r>
      <w:r>
        <w:t>s</w:t>
      </w:r>
      <w:r>
        <w:t>tigo declaró –tanto en sede instructoria como en el deb</w:t>
      </w:r>
      <w:r>
        <w:t>a</w:t>
      </w:r>
      <w:r>
        <w:t>te– su ex concubino estuvo vinculado a este proc</w:t>
      </w:r>
      <w:r>
        <w:t>e</w:t>
      </w:r>
      <w:r>
        <w:t>so.</w:t>
      </w:r>
    </w:p>
    <w:p w:rsidR="00224567" w:rsidRDefault="00224567">
      <w:pPr>
        <w:widowControl w:val="0"/>
      </w:pPr>
      <w:r>
        <w:tab/>
        <w:t>Entonces, la objetividad de la test</w:t>
      </w:r>
      <w:r>
        <w:t>i</w:t>
      </w:r>
      <w:r>
        <w:t>go, en cuanto fuera preguntada por hechos que pudieran comprometer la situación del padre de sus hijos, se e</w:t>
      </w:r>
      <w:r>
        <w:t>n</w:t>
      </w:r>
      <w:r>
        <w:t>cuentra seri</w:t>
      </w:r>
      <w:r>
        <w:t>a</w:t>
      </w:r>
      <w:r>
        <w:t>mente afectada.</w:t>
      </w:r>
    </w:p>
    <w:p w:rsidR="00224567" w:rsidRDefault="00224567">
      <w:pPr>
        <w:widowControl w:val="0"/>
      </w:pPr>
      <w:r>
        <w:tab/>
        <w:t>Tan es así que la propia testigo d</w:t>
      </w:r>
      <w:r>
        <w:t>u</w:t>
      </w:r>
      <w:r>
        <w:t>rante la audiencia, pese a desconocer la situación proc</w:t>
      </w:r>
      <w:r>
        <w:t>e</w:t>
      </w:r>
      <w:r>
        <w:t>sal de Cotoras, reconoció que le afectaría personalmente que fuera detenido nu</w:t>
      </w:r>
      <w:r>
        <w:t>e</w:t>
      </w:r>
      <w:r>
        <w:t>vamente por esta causa.</w:t>
      </w:r>
    </w:p>
    <w:p w:rsidR="00224567" w:rsidRDefault="00224567">
      <w:pPr>
        <w:widowControl w:val="0"/>
      </w:pPr>
      <w:r>
        <w:tab/>
        <w:t>Ya en el análisis de su contenido, c</w:t>
      </w:r>
      <w:r>
        <w:t>o</w:t>
      </w:r>
      <w:r>
        <w:t>rresponde remarcar que la testigo no expone sobre lo suc</w:t>
      </w:r>
      <w:r>
        <w:t>e</w:t>
      </w:r>
      <w:r>
        <w:t>dido el 10 de julio de 1994, sino excl</w:t>
      </w:r>
      <w:r>
        <w:t>u</w:t>
      </w:r>
      <w:r>
        <w:t>sivamente se limita a transmitir lo que Cotoras le dijera que había ocurrido cuando –en fecha que no precisara– concurrió al domicilio de Telle</w:t>
      </w:r>
      <w:r>
        <w:t>l</w:t>
      </w:r>
      <w:r>
        <w:t>dín.</w:t>
      </w:r>
    </w:p>
    <w:p w:rsidR="00224567" w:rsidRDefault="00224567">
      <w:pPr>
        <w:widowControl w:val="0"/>
      </w:pPr>
      <w:r>
        <w:tab/>
        <w:t>Consecuentemente, identificada su d</w:t>
      </w:r>
      <w:r>
        <w:t>e</w:t>
      </w:r>
      <w:r>
        <w:t>claración como la prestada por una “testigo de oídas”, c</w:t>
      </w:r>
      <w:r>
        <w:t>o</w:t>
      </w:r>
      <w:r>
        <w:t>rresponde remitir, por razones de brevedad, a las citas doctrinarias efectuadas en otro apartado de este pronu</w:t>
      </w:r>
      <w:r>
        <w:t>n</w:t>
      </w:r>
      <w:r>
        <w:t xml:space="preserve">ciamiento, para solo rescatar aquí que los autores, en forma unánime, relativizan el alcance convictivo de tal medio probatorio. </w:t>
      </w:r>
    </w:p>
    <w:p w:rsidR="00224567" w:rsidRDefault="00224567">
      <w:pPr>
        <w:widowControl w:val="0"/>
      </w:pPr>
      <w:r>
        <w:tab/>
        <w:t>Además, cabe agregar a lo ya dicho que, en este grupo de casos, es decir, declaraciones te</w:t>
      </w:r>
      <w:r>
        <w:t>s</w:t>
      </w:r>
      <w:r>
        <w:t>timoniales basadas en dichos de terceros, tiene profunda incidencia la credibilidad que genere el “testigo fue</w:t>
      </w:r>
      <w:r>
        <w:t>n</w:t>
      </w:r>
      <w:r>
        <w:t>te”.</w:t>
      </w:r>
    </w:p>
    <w:p w:rsidR="00224567" w:rsidRDefault="00224567">
      <w:pPr>
        <w:widowControl w:val="0"/>
      </w:pPr>
      <w:r>
        <w:rPr>
          <w:color w:val="FF0000"/>
        </w:rPr>
        <w:tab/>
      </w:r>
      <w:r>
        <w:rPr>
          <w:color w:val="FF0000"/>
        </w:rPr>
        <w:tab/>
      </w:r>
      <w:r>
        <w:t>Aplicado este criterio al caso, debe recordarse que los dichos de Cotoras resultaron carentes de la mínima credibilidad respecto a la existencia del alegado encuentro con Telleldín, en la puerta de su dom</w:t>
      </w:r>
      <w:r>
        <w:t>i</w:t>
      </w:r>
      <w:r>
        <w:t>cilio, el 10 de j</w:t>
      </w:r>
      <w:r>
        <w:t>u</w:t>
      </w:r>
      <w:r>
        <w:t>lio de 1994.</w:t>
      </w:r>
    </w:p>
    <w:p w:rsidR="00224567" w:rsidRDefault="00224567">
      <w:pPr>
        <w:widowControl w:val="0"/>
      </w:pPr>
      <w:r>
        <w:tab/>
        <w:t>Se arribó a esta conclusión, luego de verificar que su relato, respecto a todas y cada una de las circunstancias de ese suceso, evidenciara contradi</w:t>
      </w:r>
      <w:r>
        <w:t>c</w:t>
      </w:r>
      <w:r>
        <w:t>ciones e incoherencias insalvables que denotaron la inv</w:t>
      </w:r>
      <w:r>
        <w:t>e</w:t>
      </w:r>
      <w:r>
        <w:t>rosimilitud de su testim</w:t>
      </w:r>
      <w:r>
        <w:t>o</w:t>
      </w:r>
      <w:r>
        <w:t>nio.</w:t>
      </w:r>
    </w:p>
    <w:p w:rsidR="00224567" w:rsidRDefault="00224567">
      <w:pPr>
        <w:widowControl w:val="0"/>
      </w:pPr>
      <w:r>
        <w:tab/>
        <w:t>También se ha señalado que su declar</w:t>
      </w:r>
      <w:r>
        <w:t>a</w:t>
      </w:r>
      <w:r>
        <w:t>ción en la causa 1598 “Brigadas” fue parte del objeto de la negociación espuria que mantuviera el juez instructor con el imp</w:t>
      </w:r>
      <w:r>
        <w:t>u</w:t>
      </w:r>
      <w:r>
        <w:t>tado.</w:t>
      </w:r>
    </w:p>
    <w:p w:rsidR="00224567" w:rsidRDefault="00224567">
      <w:pPr>
        <w:widowControl w:val="0"/>
      </w:pPr>
      <w:r>
        <w:tab/>
        <w:t>En este sentido, y como ya se dijera, Telleldín en la audiencia del 9 de diciembre de 2003 ide</w:t>
      </w:r>
      <w:r>
        <w:t>n</w:t>
      </w:r>
      <w:r>
        <w:t>tificó, en aquella remunerada indagatoria, el párrafo r</w:t>
      </w:r>
      <w:r>
        <w:t>e</w:t>
      </w:r>
      <w:r>
        <w:t>ferido al encuentro de Cotoras como uno de los introduc</w:t>
      </w:r>
      <w:r>
        <w:t>i</w:t>
      </w:r>
      <w:r>
        <w:t>dos por el juez a cargo de la in</w:t>
      </w:r>
      <w:r>
        <w:t>s</w:t>
      </w:r>
      <w:r>
        <w:t>trucción.</w:t>
      </w:r>
    </w:p>
    <w:p w:rsidR="00224567" w:rsidRDefault="00224567">
      <w:pPr>
        <w:widowControl w:val="0"/>
      </w:pPr>
      <w:r>
        <w:tab/>
        <w:t>Por otra parte, y siempre dentro de las irregularidades que caracterizaran la declaración de Scillone, corresponde señalar que no fue un dato m</w:t>
      </w:r>
      <w:r>
        <w:t>e</w:t>
      </w:r>
      <w:r>
        <w:t>nor que la testigo durante el debate admitiera que antes de pre</w:t>
      </w:r>
      <w:r>
        <w:t>s</w:t>
      </w:r>
      <w:r>
        <w:t>tar declaración en sede instru</w:t>
      </w:r>
      <w:r>
        <w:t>c</w:t>
      </w:r>
      <w:r>
        <w:t>toria, se asesoró sobre lo que debería manifestar con el doctor Víctor Stinfale, d</w:t>
      </w:r>
      <w:r>
        <w:t>e</w:t>
      </w:r>
      <w:r>
        <w:t>fensor del imputado Carlos Telle</w:t>
      </w:r>
      <w:r>
        <w:t>l</w:t>
      </w:r>
      <w:r>
        <w:t>dín.</w:t>
      </w:r>
    </w:p>
    <w:p w:rsidR="00224567" w:rsidRDefault="00224567">
      <w:pPr>
        <w:widowControl w:val="0"/>
      </w:pPr>
      <w:r>
        <w:tab/>
        <w:t>Pero, más allá de las irregularidades señaladas, corresponde destacar que la testigo se mostró dubitativa, contradictoria y hasta con cierta ret</w:t>
      </w:r>
      <w:r>
        <w:t>i</w:t>
      </w:r>
      <w:r>
        <w:t>cencia. A mero título ejemplificativo cabe citar que la testigo inicialmente afirmó que no sabía a qué se dedicaba Telle</w:t>
      </w:r>
      <w:r>
        <w:t>l</w:t>
      </w:r>
      <w:r>
        <w:t>dín, para luego, ya avanzada la audiencia y ante pr</w:t>
      </w:r>
      <w:r>
        <w:t>e</w:t>
      </w:r>
      <w:r>
        <w:t>guntas concretas, sostener que se ocupaba del “armado de autos gem</w:t>
      </w:r>
      <w:r>
        <w:t>e</w:t>
      </w:r>
      <w:r>
        <w:t>los”.</w:t>
      </w:r>
    </w:p>
    <w:p w:rsidR="00224567" w:rsidRDefault="00224567">
      <w:pPr>
        <w:widowControl w:val="0"/>
      </w:pPr>
      <w:r>
        <w:tab/>
        <w:t>Igualmente equívoca resultó la test</w:t>
      </w:r>
      <w:r>
        <w:t>i</w:t>
      </w:r>
      <w:r>
        <w:t>go cuando luego de afirmar que recordaba haber visto que a</w:t>
      </w:r>
      <w:r>
        <w:t>l</w:t>
      </w:r>
      <w:r>
        <w:t>gunos de los vehículos que fueran reparados por su ex co</w:t>
      </w:r>
      <w:r>
        <w:t>n</w:t>
      </w:r>
      <w:r>
        <w:t>cubino eran utilizados por Ana Boragni o Ca</w:t>
      </w:r>
      <w:r>
        <w:t>r</w:t>
      </w:r>
      <w:r>
        <w:t>los Telleldín, no pudo identificar ni s</w:t>
      </w:r>
      <w:r>
        <w:t>i</w:t>
      </w:r>
      <w:r>
        <w:t>quiera uno de dichos rodados.</w:t>
      </w:r>
    </w:p>
    <w:p w:rsidR="00224567" w:rsidRDefault="00224567">
      <w:pPr>
        <w:widowControl w:val="0"/>
      </w:pPr>
      <w:r>
        <w:tab/>
        <w:t>Preguntada por las contradicciones en que inc</w:t>
      </w:r>
      <w:r>
        <w:t>u</w:t>
      </w:r>
      <w:r>
        <w:t>rriera al ser cotejada con los dichos brindados en sede instructoria, nunca dio una respuesta satisfa</w:t>
      </w:r>
      <w:r>
        <w:t>c</w:t>
      </w:r>
      <w:r>
        <w:t>toria.</w:t>
      </w:r>
    </w:p>
    <w:p w:rsidR="00224567" w:rsidRDefault="00224567">
      <w:pPr>
        <w:widowControl w:val="0"/>
      </w:pPr>
      <w:r>
        <w:tab/>
        <w:t>Así, durante el debate afirmó la exi</w:t>
      </w:r>
      <w:r>
        <w:t>s</w:t>
      </w:r>
      <w:r>
        <w:t>tencia de una Trafic quemada en la puerta del dom</w:t>
      </w:r>
      <w:r>
        <w:t>i</w:t>
      </w:r>
      <w:r>
        <w:t>cilio de Cotoras en fecha próxima al atentado, e incl</w:t>
      </w:r>
      <w:r>
        <w:t>u</w:t>
      </w:r>
      <w:r>
        <w:t>so reconoció en las fotografías de fs. 232/6 y 238/9 un vehículo sim</w:t>
      </w:r>
      <w:r>
        <w:t>i</w:t>
      </w:r>
      <w:r>
        <w:t>lar al detall</w:t>
      </w:r>
      <w:r>
        <w:t>a</w:t>
      </w:r>
      <w:r>
        <w:t>do.</w:t>
      </w:r>
    </w:p>
    <w:p w:rsidR="00224567" w:rsidRDefault="00224567">
      <w:pPr>
        <w:widowControl w:val="0"/>
      </w:pPr>
      <w:r>
        <w:tab/>
        <w:t>Ahora bien, en sede instructoria y s</w:t>
      </w:r>
      <w:r>
        <w:t>e</w:t>
      </w:r>
      <w:r>
        <w:t>gún surge de los párrafos de fs. 27.881vta. que se ley</w:t>
      </w:r>
      <w:r>
        <w:t>e</w:t>
      </w:r>
      <w:r>
        <w:t>ran d</w:t>
      </w:r>
      <w:r>
        <w:t>u</w:t>
      </w:r>
      <w:r>
        <w:t>rante el debate, la testigo afirmó que en ninguna de las visitas que realizó a su concubino –con quien ya no vivía– observó la presencia de una Trafic. En el mismo sentido y al serle exhibidas las mismas fotografías señaló que no recordaba haber visto ese rod</w:t>
      </w:r>
      <w:r>
        <w:t>a</w:t>
      </w:r>
      <w:r>
        <w:t>do.</w:t>
      </w:r>
    </w:p>
    <w:p w:rsidR="00224567" w:rsidRDefault="00224567">
      <w:pPr>
        <w:widowControl w:val="0"/>
      </w:pPr>
      <w:r>
        <w:tab/>
        <w:t>En un intento por superar la contr</w:t>
      </w:r>
      <w:r>
        <w:t>a</w:t>
      </w:r>
      <w:r>
        <w:t>dicción que se le marcara entre estas dos versiones, señ</w:t>
      </w:r>
      <w:r>
        <w:t>a</w:t>
      </w:r>
      <w:r>
        <w:t>ló que Cotoras la había acompañado a declarar en sede in</w:t>
      </w:r>
      <w:r>
        <w:t>s</w:t>
      </w:r>
      <w:r>
        <w:t>tructoria y le había encomendado que no dijera nada, que no s</w:t>
      </w:r>
      <w:r>
        <w:t>a</w:t>
      </w:r>
      <w:r>
        <w:t>bía nada.</w:t>
      </w:r>
    </w:p>
    <w:p w:rsidR="00224567" w:rsidRDefault="00224567">
      <w:pPr>
        <w:widowControl w:val="0"/>
      </w:pPr>
      <w:r>
        <w:tab/>
        <w:t>Sin embargo, y tal como quedara e</w:t>
      </w:r>
      <w:r>
        <w:t>x</w:t>
      </w:r>
      <w:r>
        <w:t>puesto en forma p</w:t>
      </w:r>
      <w:r>
        <w:t>a</w:t>
      </w:r>
      <w:r>
        <w:t>tente durante el debate, ese silencio no se correspo</w:t>
      </w:r>
      <w:r>
        <w:t>n</w:t>
      </w:r>
      <w:r>
        <w:t>día con la afirmación de que Cotoras el 10 de julio de 1994 había presenciado cuando Telleldín era pr</w:t>
      </w:r>
      <w:r>
        <w:t>e</w:t>
      </w:r>
      <w:r>
        <w:t>sionado por personal policial.</w:t>
      </w:r>
    </w:p>
    <w:p w:rsidR="00224567" w:rsidRDefault="00224567">
      <w:pPr>
        <w:widowControl w:val="0"/>
      </w:pPr>
      <w:r>
        <w:tab/>
        <w:t>Respecto a la existencia de este e</w:t>
      </w:r>
      <w:r>
        <w:t>n</w:t>
      </w:r>
      <w:r>
        <w:t>cuentro, que es precisamente el tramo de su declaración valorado como elemento de cargo de la intervención pol</w:t>
      </w:r>
      <w:r>
        <w:t>i</w:t>
      </w:r>
      <w:r>
        <w:t>cial en la expoliación de la camioneta Trafic, sus afirm</w:t>
      </w:r>
      <w:r>
        <w:t>a</w:t>
      </w:r>
      <w:r>
        <w:t>ciones resultaron absolutamente aisladas, lo que contrib</w:t>
      </w:r>
      <w:r>
        <w:t>u</w:t>
      </w:r>
      <w:r>
        <w:t>ye a quita</w:t>
      </w:r>
      <w:r>
        <w:t>r</w:t>
      </w:r>
      <w:r>
        <w:t>le aún más la escasa credibilidad que generaran sus dichos.</w:t>
      </w:r>
    </w:p>
    <w:p w:rsidR="00224567" w:rsidRDefault="00224567">
      <w:pPr>
        <w:widowControl w:val="0"/>
      </w:pPr>
      <w:r>
        <w:tab/>
        <w:t>Así, la testigo se limitó a afirmar que Cotoras, bastante tiempo después de ocurrido el ate</w:t>
      </w:r>
      <w:r>
        <w:t>n</w:t>
      </w:r>
      <w:r>
        <w:t>tado,  frente a sus constantes preguntas, le transmitió que un día que concurrió al domicilio de Telleldín para cobrar una deuda, presenció cuando éste era amenazado por polic</w:t>
      </w:r>
      <w:r>
        <w:t>í</w:t>
      </w:r>
      <w:r>
        <w:t>as.</w:t>
      </w:r>
    </w:p>
    <w:p w:rsidR="00224567" w:rsidRDefault="00224567">
      <w:pPr>
        <w:widowControl w:val="0"/>
      </w:pPr>
      <w:r>
        <w:tab/>
        <w:t>Se dice que esta afirmación resultó aislada porque frente a pr</w:t>
      </w:r>
      <w:r>
        <w:t>e</w:t>
      </w:r>
      <w:r>
        <w:t>guntas de este Tribunal no pudo precisar cómo sabía Cotoras que Telleldín era amenazado, si habían podido entablar un diálogo, de qué forma pudo identificar a esos sujetos como personal policial, si e</w:t>
      </w:r>
      <w:r>
        <w:t>s</w:t>
      </w:r>
      <w:r>
        <w:t>taban uniformados o vestidos de civil, si existían vehíc</w:t>
      </w:r>
      <w:r>
        <w:t>u</w:t>
      </w:r>
      <w:r>
        <w:t>los policiales en los alrededores del domicilio de Telle</w:t>
      </w:r>
      <w:r>
        <w:t>l</w:t>
      </w:r>
      <w:r>
        <w:t>dín ni cuál había sido la reacción de su ex concubino frente al episodio vivido.</w:t>
      </w:r>
    </w:p>
    <w:p w:rsidR="00224567" w:rsidRDefault="00224567">
      <w:pPr>
        <w:widowControl w:val="0"/>
      </w:pPr>
      <w:r>
        <w:tab/>
        <w:t>Adviértase que la testigo, entre otras imprecisi</w:t>
      </w:r>
      <w:r>
        <w:t>o</w:t>
      </w:r>
      <w:r>
        <w:t>nes, ni siquiera pudo indicar cuál había sido la fecha en que ocurrió este pretendido e</w:t>
      </w:r>
      <w:r>
        <w:t>n</w:t>
      </w:r>
      <w:r>
        <w:t xml:space="preserve">cuentro. </w:t>
      </w:r>
    </w:p>
    <w:p w:rsidR="00224567" w:rsidRDefault="00224567">
      <w:pPr>
        <w:widowControl w:val="0"/>
      </w:pPr>
      <w:r>
        <w:tab/>
        <w:t>Por eso resulta absolutamente llamat</w:t>
      </w:r>
      <w:r>
        <w:t>i</w:t>
      </w:r>
      <w:r>
        <w:t xml:space="preserve">vo que, ante tal situación, el doctor Ávila durante su alegato afirmara directamente, sin sustento alguno, que acaeció el 10 de julio de 1994 y </w:t>
      </w:r>
      <w:smartTag w:uri="urn:schemas-microsoft-com:office:smarttags" w:element="PersonName">
        <w:smartTagPr>
          <w:attr w:name="ProductID" w:val="La Fiscal￭a"/>
        </w:smartTagPr>
        <w:r>
          <w:t>la Fiscalía</w:t>
        </w:r>
      </w:smartTag>
      <w:r>
        <w:t xml:space="preserve"> col</w:t>
      </w:r>
      <w:r>
        <w:t>i</w:t>
      </w:r>
      <w:r>
        <w:t>giera, a partir de otras circunstancias que dijo probadas pero no individual</w:t>
      </w:r>
      <w:r>
        <w:t>i</w:t>
      </w:r>
      <w:r>
        <w:t>zó, que había sucedido en esa fecha.</w:t>
      </w:r>
    </w:p>
    <w:p w:rsidR="00224567" w:rsidRDefault="00224567">
      <w:pPr>
        <w:widowControl w:val="0"/>
      </w:pPr>
      <w:r>
        <w:tab/>
        <w:t>En base a todo lo expuesto, los d</w:t>
      </w:r>
      <w:r>
        <w:t>i</w:t>
      </w:r>
      <w:r>
        <w:t>chos de la testigo no pueden fundar de modo alguno el alegado encuentro entre Telleldín y Cotoras con el que se prete</w:t>
      </w:r>
      <w:r>
        <w:t>n</w:t>
      </w:r>
      <w:r>
        <w:t>diera vincular al personal policial en la r</w:t>
      </w:r>
      <w:r>
        <w:t>e</w:t>
      </w:r>
      <w:r>
        <w:t>cepción de una c</w:t>
      </w:r>
      <w:r>
        <w:t>a</w:t>
      </w:r>
      <w:r>
        <w:t>mioneta Trafic.</w:t>
      </w:r>
    </w:p>
    <w:p w:rsidR="00224567" w:rsidRDefault="00224567">
      <w:pPr>
        <w:pStyle w:val="Ttulo8"/>
        <w:spacing w:line="600" w:lineRule="auto"/>
        <w:rPr>
          <w:b w:val="0"/>
          <w:bCs w:val="0"/>
        </w:rPr>
      </w:pPr>
      <w:r>
        <w:tab/>
      </w:r>
      <w:bookmarkStart w:id="197" w:name="_Toc79905054"/>
      <w:bookmarkStart w:id="198" w:name="_Toc86731979"/>
      <w:r>
        <w:t xml:space="preserve">C.2.c.viii.F.3) </w:t>
      </w:r>
      <w:r>
        <w:rPr>
          <w:b w:val="0"/>
          <w:bCs w:val="0"/>
        </w:rPr>
        <w:t>Miriam Salinas</w:t>
      </w:r>
      <w:bookmarkEnd w:id="197"/>
      <w:bookmarkEnd w:id="198"/>
      <w:r>
        <w:rPr>
          <w:b w:val="0"/>
          <w:bCs w:val="0"/>
        </w:rPr>
        <w:t>.</w:t>
      </w:r>
    </w:p>
    <w:p w:rsidR="00224567" w:rsidRDefault="00224567">
      <w:pPr>
        <w:widowControl w:val="0"/>
      </w:pPr>
      <w:r>
        <w:tab/>
        <w:t>En la forzada e infructuosa constru</w:t>
      </w:r>
      <w:r>
        <w:t>c</w:t>
      </w:r>
      <w:r>
        <w:t>ción de una vía independiente a la remunerada declar</w:t>
      </w:r>
      <w:r>
        <w:t>a</w:t>
      </w:r>
      <w:r>
        <w:t>ción prestada por Telleldín el 5 de julio de 1996, el Fiscal General se valió nuevamente de un elemento pr</w:t>
      </w:r>
      <w:r>
        <w:t>o</w:t>
      </w:r>
      <w:r>
        <w:t>batorio cuyo acercamiento al proceso estuvo plagado de irregularid</w:t>
      </w:r>
      <w:r>
        <w:t>a</w:t>
      </w:r>
      <w:r>
        <w:t>des.</w:t>
      </w:r>
    </w:p>
    <w:p w:rsidR="00224567" w:rsidRDefault="00224567">
      <w:pPr>
        <w:widowControl w:val="0"/>
      </w:pPr>
      <w:r>
        <w:tab/>
        <w:t>En efecto, mediante la valoración del testimonio prestado por Miriam Raquel Salinas durante el debate se pretendió reconstruir también por esta vía –amén de la declaración de Laura Scillone– los dichos del imp</w:t>
      </w:r>
      <w:r>
        <w:t>u</w:t>
      </w:r>
      <w:r>
        <w:t>tado Cotoras. En particular, se procuró recrear el encue</w:t>
      </w:r>
      <w:r>
        <w:t>n</w:t>
      </w:r>
      <w:r>
        <w:t>tro que alegara haber mantenido con Telleldín en las pr</w:t>
      </w:r>
      <w:r>
        <w:t>o</w:t>
      </w:r>
      <w:r>
        <w:t>ximidades de su domic</w:t>
      </w:r>
      <w:r>
        <w:t>i</w:t>
      </w:r>
      <w:r>
        <w:t>lio.</w:t>
      </w:r>
    </w:p>
    <w:p w:rsidR="00224567" w:rsidRDefault="00224567">
      <w:pPr>
        <w:widowControl w:val="0"/>
      </w:pPr>
      <w:r>
        <w:tab/>
        <w:t>Si bien algunos de los vicios que c</w:t>
      </w:r>
      <w:r>
        <w:t>a</w:t>
      </w:r>
      <w:r>
        <w:t>racterizaban la vinculación y desvinculación de Miriam S</w:t>
      </w:r>
      <w:r>
        <w:t>a</w:t>
      </w:r>
      <w:r>
        <w:t>linas al proceso ya fueron objeto de análisis, c</w:t>
      </w:r>
      <w:r>
        <w:t>o</w:t>
      </w:r>
      <w:r>
        <w:t>rresponde efectuar una reseña de éstos a fin de contextualizar la declaración que se v</w:t>
      </w:r>
      <w:r>
        <w:t>a</w:t>
      </w:r>
      <w:r>
        <w:t>lora.</w:t>
      </w:r>
    </w:p>
    <w:p w:rsidR="00224567" w:rsidRDefault="00224567">
      <w:pPr>
        <w:widowControl w:val="0"/>
      </w:pPr>
      <w:r>
        <w:tab/>
        <w:t>Como ya se dijera, la situación proc</w:t>
      </w:r>
      <w:r>
        <w:t>e</w:t>
      </w:r>
      <w:r>
        <w:t>sal de Miriam Salinas –a diferencia de lo ocurrido con imputados respecto de los cuales se ha dictado ún</w:t>
      </w:r>
      <w:r>
        <w:t>i</w:t>
      </w:r>
      <w:r>
        <w:t>camente su fa</w:t>
      </w:r>
      <w:r>
        <w:t>l</w:t>
      </w:r>
      <w:r>
        <w:t>ta de mérito hace ya más de diez años– fue resuelta por el magistrado instructor en forma tan vertiginosa como inus</w:t>
      </w:r>
      <w:r>
        <w:t>i</w:t>
      </w:r>
      <w:r>
        <w:t>tada.</w:t>
      </w:r>
    </w:p>
    <w:p w:rsidR="00224567" w:rsidRDefault="00224567">
      <w:pPr>
        <w:widowControl w:val="0"/>
      </w:pPr>
      <w:r>
        <w:tab/>
        <w:t>Cabe recordar que al cabo de una sem</w:t>
      </w:r>
      <w:r>
        <w:t>a</w:t>
      </w:r>
      <w:r>
        <w:t>na Salinas prestó declaración indagatoria en dos oportun</w:t>
      </w:r>
      <w:r>
        <w:t>i</w:t>
      </w:r>
      <w:r>
        <w:t>dades, se dictó a su respecto la falta de  mérito y sobr</w:t>
      </w:r>
      <w:r>
        <w:t>e</w:t>
      </w:r>
      <w:r>
        <w:t>seimiento, y expuso testimonialmente bajo identidad rese</w:t>
      </w:r>
      <w:r>
        <w:t>r</w:t>
      </w:r>
      <w:r>
        <w:t>vada también en dos ocasiones (cfr. fs. 16.861/16.862, 17.407/17.408, 17.464, 17.269/17.271, 111.467/111.481 y 111.483/111.487, respectivame</w:t>
      </w:r>
      <w:r>
        <w:t>n</w:t>
      </w:r>
      <w:r>
        <w:t>te).</w:t>
      </w:r>
    </w:p>
    <w:p w:rsidR="00224567" w:rsidRDefault="00224567">
      <w:pPr>
        <w:widowControl w:val="0"/>
      </w:pPr>
      <w:r>
        <w:tab/>
        <w:t>En el apartado H del capítulo VIII de esta sentencia, se coligió que esta vertiginosa modific</w:t>
      </w:r>
      <w:r>
        <w:t>a</w:t>
      </w:r>
      <w:r>
        <w:t>ción de las categorías procesales que atravesara Miriam Salinas, reflejó el injustificable método de presión ut</w:t>
      </w:r>
      <w:r>
        <w:t>i</w:t>
      </w:r>
      <w:r>
        <w:t>lizado por el juez instructor para obtener te</w:t>
      </w:r>
      <w:r>
        <w:t>s</w:t>
      </w:r>
      <w:r>
        <w:t>timonios de ca</w:t>
      </w:r>
      <w:r>
        <w:t>r</w:t>
      </w:r>
      <w:r>
        <w:t>go.</w:t>
      </w:r>
    </w:p>
    <w:p w:rsidR="00224567" w:rsidRDefault="00224567">
      <w:pPr>
        <w:widowControl w:val="0"/>
      </w:pPr>
      <w:r>
        <w:tab/>
        <w:t>Debe también recordarse que en base a algunas de estas graves irregularidades, el Tribunal,  m</w:t>
      </w:r>
      <w:r>
        <w:t>e</w:t>
      </w:r>
      <w:r>
        <w:t>diante la resolución del 3 de diciembre de 2002, hizo l</w:t>
      </w:r>
      <w:r>
        <w:t>u</w:t>
      </w:r>
      <w:r>
        <w:t>gar a la oposición  expuesta por la  defensa de T</w:t>
      </w:r>
      <w:r>
        <w:t>e</w:t>
      </w:r>
      <w:r>
        <w:t>lleldín –pedido al que adhirieran otros defensores– a que se i</w:t>
      </w:r>
      <w:r>
        <w:t>n</w:t>
      </w:r>
      <w:r>
        <w:t>corporaran al debate las video filmaciones remitidas por el juzgado instructor a fs. 111.922.</w:t>
      </w:r>
    </w:p>
    <w:p w:rsidR="00224567" w:rsidRDefault="00224567">
      <w:pPr>
        <w:widowControl w:val="0"/>
      </w:pPr>
      <w:r>
        <w:tab/>
        <w:t>Los fundamentos de aquella decisión fueron reseñados en el apartado de este fallo, ya cit</w:t>
      </w:r>
      <w:r>
        <w:t>a</w:t>
      </w:r>
      <w:r>
        <w:t>do, por lo que allí corresponde remitirse.</w:t>
      </w:r>
    </w:p>
    <w:p w:rsidR="00224567" w:rsidRDefault="00224567">
      <w:pPr>
        <w:widowControl w:val="0"/>
      </w:pPr>
      <w:r>
        <w:tab/>
        <w:t>Sin embargo, debe recordarse que la cuestionada resolución no limita de ninguna forma las pe</w:t>
      </w:r>
      <w:r>
        <w:t>r</w:t>
      </w:r>
      <w:r>
        <w:t>sonas que podían ser grabadas y filmadas por la testigo. Si a ello se aduna, que al momento de dictar ese auto M</w:t>
      </w:r>
      <w:r>
        <w:t>i</w:t>
      </w:r>
      <w:r>
        <w:t>riam Salinas revestía aún la calidad de imputada, la irr</w:t>
      </w:r>
      <w:r>
        <w:t>e</w:t>
      </w:r>
      <w:r>
        <w:t>gularidad cometida por el juez instructor es mayúsc</w:t>
      </w:r>
      <w:r>
        <w:t>u</w:t>
      </w:r>
      <w:r>
        <w:t>la.</w:t>
      </w:r>
    </w:p>
    <w:p w:rsidR="00224567" w:rsidRDefault="00224567">
      <w:pPr>
        <w:widowControl w:val="0"/>
      </w:pPr>
      <w:r>
        <w:tab/>
        <w:t>Como se dijera, en la valoración de los dichos de Salinas no puede dejar de señalarse que si bien los vicios evidenciados afectaron en forma i</w:t>
      </w:r>
      <w:r>
        <w:t>n</w:t>
      </w:r>
      <w:r>
        <w:t>mediata la validez de la declaración prestada en sede instruct</w:t>
      </w:r>
      <w:r>
        <w:t>o</w:t>
      </w:r>
      <w:r>
        <w:t>ria, tienen influe</w:t>
      </w:r>
      <w:r>
        <w:t>n</w:t>
      </w:r>
      <w:r>
        <w:t>cia en lo sostenido en esta etapa.</w:t>
      </w:r>
    </w:p>
    <w:p w:rsidR="00224567" w:rsidRDefault="00224567">
      <w:pPr>
        <w:widowControl w:val="0"/>
      </w:pPr>
      <w:r>
        <w:tab/>
        <w:t>Ello, toda vez que un cambio de ve</w:t>
      </w:r>
      <w:r>
        <w:t>r</w:t>
      </w:r>
      <w:r>
        <w:t>sión de Miriam Salinas al declarar en el debate pudiera implicar la comisión del delito de fa</w:t>
      </w:r>
      <w:r>
        <w:t>l</w:t>
      </w:r>
      <w:r>
        <w:t>so testimonio.</w:t>
      </w:r>
    </w:p>
    <w:p w:rsidR="00224567" w:rsidRDefault="00224567">
      <w:pPr>
        <w:widowControl w:val="0"/>
      </w:pPr>
      <w:r>
        <w:tab/>
        <w:t>A esta situación debe agregarse que al deponer en este juicio, su concubino continuaba i</w:t>
      </w:r>
      <w:r>
        <w:t>m</w:t>
      </w:r>
      <w:r>
        <w:t>putado  –y aún lo e</w:t>
      </w:r>
      <w:r>
        <w:t>s</w:t>
      </w:r>
      <w:r>
        <w:t>tá– como partícipe del atentado. Es decir, por los mismos hechos por los que era pregunt</w:t>
      </w:r>
      <w:r>
        <w:t>a</w:t>
      </w:r>
      <w:r>
        <w:t>da.</w:t>
      </w:r>
    </w:p>
    <w:p w:rsidR="00224567" w:rsidRDefault="00224567">
      <w:pPr>
        <w:widowControl w:val="0"/>
      </w:pPr>
      <w:r>
        <w:tab/>
        <w:t>Tal estado de cosas indudablemente afecta la verosimilitud y transparencia de lo manife</w:t>
      </w:r>
      <w:r>
        <w:t>s</w:t>
      </w:r>
      <w:r>
        <w:t>tado por la te</w:t>
      </w:r>
      <w:r>
        <w:t>s</w:t>
      </w:r>
      <w:r>
        <w:t>tigo.</w:t>
      </w:r>
    </w:p>
    <w:p w:rsidR="00224567" w:rsidRDefault="00224567">
      <w:pPr>
        <w:widowControl w:val="0"/>
      </w:pPr>
      <w:r>
        <w:tab/>
        <w:t>Ahora bien, Miriam Salinas declaró que entre esas entrevistas video filmadas a las que se aludi</w:t>
      </w:r>
      <w:r>
        <w:t>e</w:t>
      </w:r>
      <w:r>
        <w:t>ra, conversó con el imputado Cotoras quien le transmitió que  al concurrir al domicilio de Telleldín pudo ver a personal policial, que a su juicio tenían que ver con el atent</w:t>
      </w:r>
      <w:r>
        <w:t>a</w:t>
      </w:r>
      <w:r>
        <w:t>do.</w:t>
      </w:r>
    </w:p>
    <w:p w:rsidR="00224567" w:rsidRDefault="00224567">
      <w:pPr>
        <w:widowControl w:val="0"/>
      </w:pPr>
      <w:r>
        <w:tab/>
        <w:t>Del encuentro que Salinas dijera haber mantenido con Cotoras indicó que –a diferencia de los otros dos– no conservó su filmación. Por ello no es llam</w:t>
      </w:r>
      <w:r>
        <w:t>a</w:t>
      </w:r>
      <w:r>
        <w:t>tivo que al Fiscal General le resulte sugestiva esa des</w:t>
      </w:r>
      <w:r>
        <w:t>a</w:t>
      </w:r>
      <w:r>
        <w:t>parición, como sí que el acusador valore el contenido de sus dichos en forma aislada de todo el contexto de irreg</w:t>
      </w:r>
      <w:r>
        <w:t>u</w:t>
      </w:r>
      <w:r>
        <w:t>laridades descriptas en los párrafos precedentes y, más extensamente, en el apartado H del capítulo VIII de esta sentencia.</w:t>
      </w:r>
    </w:p>
    <w:p w:rsidR="00224567" w:rsidRDefault="00224567">
      <w:pPr>
        <w:widowControl w:val="0"/>
      </w:pPr>
      <w:r>
        <w:tab/>
        <w:t>En este caso, a diferencia de lo oc</w:t>
      </w:r>
      <w:r>
        <w:t>u</w:t>
      </w:r>
      <w:r>
        <w:t>rrido con Laura Sc</w:t>
      </w:r>
      <w:r>
        <w:t>i</w:t>
      </w:r>
      <w:r>
        <w:t>llone, sé está frente a una persona que fue al menos autorizada por el magistrado instru</w:t>
      </w:r>
      <w:r>
        <w:t>c</w:t>
      </w:r>
      <w:r>
        <w:t>tor para recabar, en forma clandestina e ilegal, dichos de un imp</w:t>
      </w:r>
      <w:r>
        <w:t>u</w:t>
      </w:r>
      <w:r>
        <w:t>tado para ser inco</w:t>
      </w:r>
      <w:r>
        <w:t>r</w:t>
      </w:r>
      <w:r>
        <w:t>porados al proceso.</w:t>
      </w:r>
    </w:p>
    <w:p w:rsidR="00224567" w:rsidRDefault="00224567">
      <w:pPr>
        <w:widowControl w:val="0"/>
      </w:pPr>
      <w:r>
        <w:tab/>
        <w:t>Como ya se dijera, no obsta a lo e</w:t>
      </w:r>
      <w:r>
        <w:t>x</w:t>
      </w:r>
      <w:r>
        <w:t>puesto que el juez en su resolución de fs. 111.488/111.489 en la que autorizara la inusual medida haya afirmado que ella no sería empleada re</w:t>
      </w:r>
      <w:r>
        <w:t>s</w:t>
      </w:r>
      <w:r>
        <w:t>pecto de imputados, toda vez que a la fecha Ana Boragni revestía tal carácter.</w:t>
      </w:r>
    </w:p>
    <w:p w:rsidR="00224567" w:rsidRDefault="00224567">
      <w:pPr>
        <w:widowControl w:val="0"/>
      </w:pPr>
      <w:r>
        <w:tab/>
        <w:t>No resulta razonable suponer que el magistrado instructor resultara ajeno a las filmaciones efectuadas respecto de otros imputados como Hugo Pérez y Guillermo Cotoras, ni aun partiendo de que en el mentado auto no se aludiera a otras personas distintas de Ana B</w:t>
      </w:r>
      <w:r>
        <w:t>o</w:t>
      </w:r>
      <w:r>
        <w:t>ragni. Ello, desde que no resulta creíble que Miriam Sal</w:t>
      </w:r>
      <w:r>
        <w:t>i</w:t>
      </w:r>
      <w:r>
        <w:t>nas hubiera decidido efectuar otras grabaciones por su propio impulso. En este sentido, debe repararse que el juez jamás se preocupó por retirar los a</w:t>
      </w:r>
      <w:r>
        <w:t>r</w:t>
      </w:r>
      <w:r>
        <w:t>tefactos que, por su orden expresa, la entonces Secretaría de Inteligencia de Estado instalara en el domicilio de M</w:t>
      </w:r>
      <w:r>
        <w:t>i</w:t>
      </w:r>
      <w:r>
        <w:t>riam Salinas.</w:t>
      </w:r>
    </w:p>
    <w:p w:rsidR="00224567" w:rsidRDefault="00224567">
      <w:pPr>
        <w:widowControl w:val="0"/>
      </w:pPr>
      <w:r>
        <w:tab/>
        <w:t>Debe destacarse que el representante del Ministerio Público Fiscal durante el alegato admitió que el magistrado instructor autorizó la medida en anál</w:t>
      </w:r>
      <w:r>
        <w:t>i</w:t>
      </w:r>
      <w:r>
        <w:t>sis para que Salinas obtuviera información de las personas allegadas al matrimonio Telleldín – Boragni, y, por e</w:t>
      </w:r>
      <w:r>
        <w:t>n</w:t>
      </w:r>
      <w:r>
        <w:t>de, este mecanismo de entrevistas de imputados con imputados no se encontraba limitada a las conversaciones ma</w:t>
      </w:r>
      <w:r>
        <w:t>n</w:t>
      </w:r>
      <w:r>
        <w:t>tenidas con B</w:t>
      </w:r>
      <w:r>
        <w:t>o</w:t>
      </w:r>
      <w:r>
        <w:t>ragni.</w:t>
      </w:r>
    </w:p>
    <w:p w:rsidR="00224567" w:rsidRDefault="00224567">
      <w:pPr>
        <w:widowControl w:val="0"/>
      </w:pPr>
      <w:r>
        <w:tab/>
        <w:t>Amén de lo expuesto, no debe soslaya</w:t>
      </w:r>
      <w:r>
        <w:t>r</w:t>
      </w:r>
      <w:r>
        <w:t>se que la persona a quien el juez autorizó a realizar e</w:t>
      </w:r>
      <w:r>
        <w:t>s</w:t>
      </w:r>
      <w:r>
        <w:t>tas clandestinas filmaciones revestía a ese momento el c</w:t>
      </w:r>
      <w:r>
        <w:t>a</w:t>
      </w:r>
      <w:r>
        <w:t>rácter de imp</w:t>
      </w:r>
      <w:r>
        <w:t>u</w:t>
      </w:r>
      <w:r>
        <w:t>tada.</w:t>
      </w:r>
    </w:p>
    <w:p w:rsidR="00224567" w:rsidRDefault="00224567">
      <w:pPr>
        <w:widowControl w:val="0"/>
      </w:pPr>
      <w:r>
        <w:tab/>
      </w:r>
      <w:r>
        <w:tab/>
        <w:t>Por idénticos fundamentos a los e</w:t>
      </w:r>
      <w:r>
        <w:t>x</w:t>
      </w:r>
      <w:r>
        <w:t>puestos en ocasión de que el Tribunal hiciera lugar al planteo de la defensa de Telleldín en cuanto se op</w:t>
      </w:r>
      <w:r>
        <w:t>u</w:t>
      </w:r>
      <w:r>
        <w:t>siera a la exhibición de las filmaciones obtenidas por Miriam S</w:t>
      </w:r>
      <w:r>
        <w:t>a</w:t>
      </w:r>
      <w:r>
        <w:t>linas, corresponde considerar idénticamente inidóneas las manifestaciones que la testigo obtuviera de imputados en fo</w:t>
      </w:r>
      <w:r>
        <w:t>r</w:t>
      </w:r>
      <w:r>
        <w:t>ma subrepticia ya que de esta forma se ha comprometido seriamente la garantía constitucional que prohíbe la aut</w:t>
      </w:r>
      <w:r>
        <w:t>o</w:t>
      </w:r>
      <w:r>
        <w:t>incriminación forz</w:t>
      </w:r>
      <w:r>
        <w:t>a</w:t>
      </w:r>
      <w:r>
        <w:t>da.</w:t>
      </w:r>
    </w:p>
    <w:p w:rsidR="00224567" w:rsidRDefault="00224567">
      <w:pPr>
        <w:widowControl w:val="0"/>
      </w:pPr>
      <w:r>
        <w:tab/>
        <w:t>De lo contrario, valorar este tramo de la declaración de Salinas cuando se ha excluido la exhib</w:t>
      </w:r>
      <w:r>
        <w:t>i</w:t>
      </w:r>
      <w:r>
        <w:t>ción de las filmaciones irregulares por ella aportadas, importaría la paradoja de admitir en forma oblicua el r</w:t>
      </w:r>
      <w:r>
        <w:t>e</w:t>
      </w:r>
      <w:r>
        <w:t>sultado de un proceder ilícito y, desde esta óptica, co</w:t>
      </w:r>
      <w:r>
        <w:t>n</w:t>
      </w:r>
      <w:r>
        <w:t>vertir al Estado en beneficiario de aquél (F</w:t>
      </w:r>
      <w:r>
        <w:t>a</w:t>
      </w:r>
      <w:r>
        <w:t>llos 303:1938 y 306:1752).</w:t>
      </w:r>
    </w:p>
    <w:p w:rsidR="00224567" w:rsidRDefault="00224567">
      <w:pPr>
        <w:widowControl w:val="0"/>
      </w:pPr>
      <w:r>
        <w:tab/>
        <w:t>Pero de todas formas, resulta oport</w:t>
      </w:r>
      <w:r>
        <w:t>u</w:t>
      </w:r>
      <w:r>
        <w:t>no reiterar que, al igual que lo valorado respecto a Scill</w:t>
      </w:r>
      <w:r>
        <w:t>o</w:t>
      </w:r>
      <w:r>
        <w:t>ne, Salinas se trata de una testigo de los dichos de Cot</w:t>
      </w:r>
      <w:r>
        <w:t>o</w:t>
      </w:r>
      <w:r>
        <w:t>ras. En este sentido, a su ya atacada credibilidad debe adunarse la inverosimilitud que despertaran las propias manifestaciones de Cotoras, el testigo “fuente”. Por lo demás, corresponde remitir a lo ya sostenido al analizar el testim</w:t>
      </w:r>
      <w:r>
        <w:t>o</w:t>
      </w:r>
      <w:r>
        <w:t>nio de Laura Scillone.</w:t>
      </w:r>
    </w:p>
    <w:p w:rsidR="00224567" w:rsidRDefault="00224567">
      <w:pPr>
        <w:pStyle w:val="Ttulo5"/>
        <w:keepNext w:val="0"/>
        <w:widowControl w:val="0"/>
        <w:spacing w:line="600" w:lineRule="auto"/>
        <w:ind w:firstLine="0"/>
        <w:rPr>
          <w:b w:val="0"/>
          <w:bCs w:val="0"/>
        </w:rPr>
      </w:pPr>
      <w:r>
        <w:tab/>
      </w:r>
      <w:bookmarkStart w:id="199" w:name="_Toc79904997"/>
      <w:bookmarkStart w:id="200" w:name="_Toc79905055"/>
      <w:bookmarkStart w:id="201" w:name="_Toc86731980"/>
      <w:r>
        <w:t xml:space="preserve">C.2.d) </w:t>
      </w:r>
      <w:r>
        <w:rPr>
          <w:b w:val="0"/>
          <w:bCs w:val="0"/>
        </w:rPr>
        <w:t>Otros elementos citados como prueba de la participación de los ex policías bonaere</w:t>
      </w:r>
      <w:r>
        <w:rPr>
          <w:b w:val="0"/>
          <w:bCs w:val="0"/>
        </w:rPr>
        <w:t>n</w:t>
      </w:r>
      <w:r>
        <w:rPr>
          <w:b w:val="0"/>
          <w:bCs w:val="0"/>
        </w:rPr>
        <w:t>ses en el atentado.</w:t>
      </w:r>
      <w:bookmarkEnd w:id="199"/>
      <w:bookmarkEnd w:id="200"/>
      <w:bookmarkEnd w:id="201"/>
    </w:p>
    <w:p w:rsidR="00224567" w:rsidRDefault="00224567">
      <w:pPr>
        <w:pStyle w:val="Ttulo6"/>
        <w:keepNext w:val="0"/>
        <w:widowControl w:val="0"/>
        <w:spacing w:line="600" w:lineRule="auto"/>
        <w:rPr>
          <w:rFonts w:cs="Courier New"/>
          <w:b w:val="0"/>
          <w:u w:val="none"/>
        </w:rPr>
      </w:pPr>
      <w:r>
        <w:rPr>
          <w:rFonts w:cs="Courier New"/>
          <w:bCs/>
          <w:u w:val="none"/>
        </w:rPr>
        <w:tab/>
      </w:r>
      <w:bookmarkStart w:id="202" w:name="_Toc79905056"/>
      <w:bookmarkStart w:id="203" w:name="_Toc86731981"/>
      <w:r>
        <w:rPr>
          <w:rFonts w:cs="Courier New"/>
          <w:bCs/>
          <w:u w:val="none"/>
        </w:rPr>
        <w:t xml:space="preserve">C.2.d.i) </w:t>
      </w:r>
      <w:r>
        <w:rPr>
          <w:rFonts w:cs="Courier New"/>
          <w:b w:val="0"/>
          <w:u w:val="none"/>
        </w:rPr>
        <w:t>Introducción</w:t>
      </w:r>
      <w:bookmarkEnd w:id="202"/>
      <w:bookmarkEnd w:id="203"/>
      <w:r>
        <w:rPr>
          <w:rFonts w:cs="Courier New"/>
          <w:b w:val="0"/>
          <w:u w:val="none"/>
        </w:rPr>
        <w:t>.</w:t>
      </w:r>
    </w:p>
    <w:p w:rsidR="00224567" w:rsidRDefault="00224567">
      <w:pPr>
        <w:widowControl w:val="0"/>
      </w:pPr>
      <w:r>
        <w:tab/>
        <w:t>Tanto los representantes del Minist</w:t>
      </w:r>
      <w:r>
        <w:t>e</w:t>
      </w:r>
      <w:r>
        <w:t>rio Público Fiscal como los letrados de la querella unif</w:t>
      </w:r>
      <w:r>
        <w:t>i</w:t>
      </w:r>
      <w:r>
        <w:t>cada A.M.I.A.-D.A.I.A.-Grupo de Familiares, han sostenido que se habían corroborado algunas circunstancias que con</w:t>
      </w:r>
      <w:r>
        <w:t>s</w:t>
      </w:r>
      <w:r>
        <w:t>tituían un cúmulo de indicios de la participación de los ex policías b</w:t>
      </w:r>
      <w:r>
        <w:t>o</w:t>
      </w:r>
      <w:r>
        <w:t>naerenses en el atentado.</w:t>
      </w:r>
    </w:p>
    <w:p w:rsidR="00224567" w:rsidRDefault="00224567">
      <w:pPr>
        <w:widowControl w:val="0"/>
      </w:pPr>
      <w:r>
        <w:tab/>
        <w:t>A tal fin en algunos casos se disto</w:t>
      </w:r>
      <w:r>
        <w:t>r</w:t>
      </w:r>
      <w:r>
        <w:t>sionó hasta el ridíc</w:t>
      </w:r>
      <w:r>
        <w:t>u</w:t>
      </w:r>
      <w:r>
        <w:t>lo el alcance de algunos hechos que, en su origen, eran verdaderos. En otros, los acusadores incurrieron en errores de magnitud injustificable en la valor</w:t>
      </w:r>
      <w:r>
        <w:t>a</w:t>
      </w:r>
      <w:r>
        <w:t>ción de la prueba.</w:t>
      </w:r>
    </w:p>
    <w:p w:rsidR="00224567" w:rsidRDefault="00224567">
      <w:pPr>
        <w:widowControl w:val="0"/>
      </w:pPr>
      <w:r>
        <w:tab/>
        <w:t>Por otra parte, los acusadores sost</w:t>
      </w:r>
      <w:r>
        <w:t>u</w:t>
      </w:r>
      <w:r>
        <w:t>vieron que la negativa de los imputados en cuanto a su participación en el atentado y en los demás hechos const</w:t>
      </w:r>
      <w:r>
        <w:t>i</w:t>
      </w:r>
      <w:r>
        <w:t>tuía un indicio de mendacidad. Citaron en apoyo de su a</w:t>
      </w:r>
      <w:r>
        <w:t>r</w:t>
      </w:r>
      <w:r>
        <w:t>gumento el fallo del Tribunal en la causa "Tatanchelo, Magdalena y otros s/ inf. ley 23.737", regi</w:t>
      </w:r>
      <w:r>
        <w:t>s</w:t>
      </w:r>
      <w:r>
        <w:t>trada bajo el nº 11/98.</w:t>
      </w:r>
    </w:p>
    <w:p w:rsidR="00224567" w:rsidRDefault="00224567">
      <w:pPr>
        <w:widowControl w:val="0"/>
      </w:pPr>
      <w:r>
        <w:tab/>
        <w:t>Sin embargo, como ya se señalara al analizar la particip</w:t>
      </w:r>
      <w:r>
        <w:t>a</w:t>
      </w:r>
      <w:r>
        <w:t>ción de Telleldín en el atentado, las conclusiones a las que se arribó en el fallo comentado no r</w:t>
      </w:r>
      <w:r>
        <w:t>e</w:t>
      </w:r>
      <w:r>
        <w:t>sultan aplicables a esta causa.</w:t>
      </w:r>
    </w:p>
    <w:p w:rsidR="00224567" w:rsidRDefault="00224567">
      <w:pPr>
        <w:widowControl w:val="0"/>
      </w:pPr>
      <w:r>
        <w:tab/>
        <w:t>Ello, desde que en el precedente inv</w:t>
      </w:r>
      <w:r>
        <w:t>o</w:t>
      </w:r>
      <w:r>
        <w:t>cado, como se dijo, se consideró acreditada de manera efectiva la mat</w:t>
      </w:r>
      <w:r>
        <w:t>e</w:t>
      </w:r>
      <w:r>
        <w:t xml:space="preserve">rialidad del hecho, el </w:t>
      </w:r>
      <w:r>
        <w:rPr>
          <w:u w:val="single"/>
        </w:rPr>
        <w:t>corpus criminis</w:t>
      </w:r>
      <w:r>
        <w:t>, en tanto que en la especie, como ya se adelantó, los acusad</w:t>
      </w:r>
      <w:r>
        <w:t>o</w:t>
      </w:r>
      <w:r>
        <w:t>res no pudieron acreditar la participación de los ex pol</w:t>
      </w:r>
      <w:r>
        <w:t>i</w:t>
      </w:r>
      <w:r>
        <w:t>cías bonaere</w:t>
      </w:r>
      <w:r>
        <w:t>n</w:t>
      </w:r>
      <w:r>
        <w:t>ses en el atentado.</w:t>
      </w:r>
    </w:p>
    <w:p w:rsidR="00224567" w:rsidRDefault="00224567">
      <w:pPr>
        <w:widowControl w:val="0"/>
        <w:rPr>
          <w:b/>
          <w:bCs/>
        </w:rPr>
      </w:pPr>
      <w:r>
        <w:tab/>
        <w:t>Seguidamente se procederá al análisis particularizado de cada una de las circunstancias valor</w:t>
      </w:r>
      <w:r>
        <w:t>a</w:t>
      </w:r>
      <w:r>
        <w:t>das por los acusad</w:t>
      </w:r>
      <w:r>
        <w:t>o</w:t>
      </w:r>
      <w:r>
        <w:t>res en tal sentido.</w:t>
      </w:r>
      <w:r>
        <w:rPr>
          <w:b/>
          <w:bCs/>
        </w:rPr>
        <w:t xml:space="preserve"> </w:t>
      </w:r>
    </w:p>
    <w:p w:rsidR="00224567" w:rsidRDefault="00224567">
      <w:pPr>
        <w:pStyle w:val="Ttulo6"/>
        <w:keepNext w:val="0"/>
        <w:widowControl w:val="0"/>
        <w:spacing w:line="600" w:lineRule="auto"/>
        <w:rPr>
          <w:rFonts w:cs="Courier New"/>
          <w:b w:val="0"/>
          <w:u w:val="none"/>
        </w:rPr>
      </w:pPr>
      <w:r>
        <w:rPr>
          <w:rFonts w:cs="Courier New"/>
          <w:bCs/>
          <w:u w:val="none"/>
        </w:rPr>
        <w:tab/>
      </w:r>
      <w:bookmarkStart w:id="204" w:name="_Toc86731982"/>
      <w:r>
        <w:rPr>
          <w:rFonts w:cs="Courier New"/>
          <w:bCs/>
          <w:u w:val="none"/>
        </w:rPr>
        <w:t>C.2.d.ii)</w:t>
      </w:r>
      <w:bookmarkStart w:id="205" w:name="_Toc79905057"/>
      <w:r>
        <w:rPr>
          <w:rFonts w:cs="Courier New"/>
          <w:bCs/>
          <w:u w:val="none"/>
        </w:rPr>
        <w:t xml:space="preserve"> </w:t>
      </w:r>
      <w:r>
        <w:rPr>
          <w:rFonts w:cs="Courier New"/>
          <w:b w:val="0"/>
          <w:u w:val="none"/>
        </w:rPr>
        <w:t>Donación. Patrimonio.</w:t>
      </w:r>
      <w:bookmarkEnd w:id="204"/>
      <w:bookmarkEnd w:id="205"/>
    </w:p>
    <w:p w:rsidR="00224567" w:rsidRDefault="00224567">
      <w:pPr>
        <w:widowControl w:val="0"/>
      </w:pPr>
      <w:r>
        <w:tab/>
      </w:r>
      <w:r>
        <w:rPr>
          <w:b/>
          <w:bCs/>
        </w:rPr>
        <w:t>C.2.d.ii.A)</w:t>
      </w:r>
      <w:r>
        <w:t xml:space="preserve"> Tanto el representante del Ministerio Público Fiscal como los letrados de las quer</w:t>
      </w:r>
      <w:r>
        <w:t>e</w:t>
      </w:r>
      <w:r>
        <w:t>llas A.M.I.A. y D.A.I.A. coligieron que también se probaba la participación de Juan José Ribelli en el atentado con el contenido de la escritura número 142 cuya fotocopia l</w:t>
      </w:r>
      <w:r>
        <w:t>u</w:t>
      </w:r>
      <w:r>
        <w:t>ce a fs. 45.932/4, que da cuenta de una donación de USD 2.500.000 que efectuara Miguel Gregorio Ribelli a sus ci</w:t>
      </w:r>
      <w:r>
        <w:t>n</w:t>
      </w:r>
      <w:r>
        <w:t>co hijos, entre ellos el imputado en a</w:t>
      </w:r>
      <w:r>
        <w:t>u</w:t>
      </w:r>
      <w:r>
        <w:t>tos.</w:t>
      </w:r>
    </w:p>
    <w:p w:rsidR="00224567" w:rsidRDefault="00224567">
      <w:pPr>
        <w:widowControl w:val="0"/>
      </w:pPr>
      <w:r>
        <w:tab/>
        <w:t>A su juicio este dinero fue entregado por los organizadores del atentado a Ribelli como pago t</w:t>
      </w:r>
      <w:r>
        <w:t>o</w:t>
      </w:r>
      <w:r>
        <w:t>tal o parcial por su participación en el hecho. En esa i</w:t>
      </w:r>
      <w:r>
        <w:t>n</w:t>
      </w:r>
      <w:r>
        <w:t>teligencia, ese instrumento público habría sido labrado con el o</w:t>
      </w:r>
      <w:r>
        <w:t>b</w:t>
      </w:r>
      <w:r>
        <w:t>jeto de justificar este significativo ingreso al patrimonio de Rib</w:t>
      </w:r>
      <w:r>
        <w:t>e</w:t>
      </w:r>
      <w:r>
        <w:t>lli.</w:t>
      </w:r>
    </w:p>
    <w:p w:rsidR="00224567" w:rsidRDefault="00224567">
      <w:pPr>
        <w:widowControl w:val="0"/>
      </w:pPr>
      <w:r>
        <w:tab/>
      </w:r>
      <w:r>
        <w:rPr>
          <w:b/>
          <w:bCs/>
        </w:rPr>
        <w:t>C.2.d.ii.B)</w:t>
      </w:r>
      <w:r>
        <w:t xml:space="preserve"> Inicialmente debe repara</w:t>
      </w:r>
      <w:r>
        <w:t>r</w:t>
      </w:r>
      <w:r>
        <w:t>se que, como se dijera, no se acreditó vinculación alguna entre los policías bonaerenses imputados y qui</w:t>
      </w:r>
      <w:r>
        <w:t>e</w:t>
      </w:r>
      <w:r>
        <w:t>nes habrían part</w:t>
      </w:r>
      <w:r>
        <w:t>i</w:t>
      </w:r>
      <w:r>
        <w:t>cipado de algún modo en el atentado.</w:t>
      </w:r>
    </w:p>
    <w:p w:rsidR="00224567" w:rsidRDefault="00224567">
      <w:pPr>
        <w:widowControl w:val="0"/>
      </w:pPr>
      <w:r>
        <w:tab/>
        <w:t>Por otra parte, tampoco se probó que los imputados hubi</w:t>
      </w:r>
      <w:r>
        <w:t>e</w:t>
      </w:r>
      <w:r>
        <w:t>sen participado, de cualquier forma, en el atentado y, menos aún, que por tal actuación hubieran recibido alguna suma de dinero. En este sentido debe de</w:t>
      </w:r>
      <w:r>
        <w:t>s</w:t>
      </w:r>
      <w:r>
        <w:t>tacarse que no se acreditó que, como lo sostienen los ac</w:t>
      </w:r>
      <w:r>
        <w:t>u</w:t>
      </w:r>
      <w:r>
        <w:t>sadores, Ribelli percibiese los u$s 2.500.000 aludidos en la citada escritura como pago total o parcial por su i</w:t>
      </w:r>
      <w:r>
        <w:t>n</w:t>
      </w:r>
      <w:r>
        <w:t>tervención en el referido suc</w:t>
      </w:r>
      <w:r>
        <w:t>e</w:t>
      </w:r>
      <w:r>
        <w:t>so.</w:t>
      </w:r>
    </w:p>
    <w:p w:rsidR="00224567" w:rsidRDefault="00224567">
      <w:pPr>
        <w:widowControl w:val="0"/>
      </w:pPr>
      <w:r>
        <w:tab/>
        <w:t>Para arribar a una conclusión opuesta los acusadores resaltaron centralmente como circunsta</w:t>
      </w:r>
      <w:r>
        <w:t>n</w:t>
      </w:r>
      <w:r>
        <w:t>cias llamativas el patrimonio del donante y la fecha de cel</w:t>
      </w:r>
      <w:r>
        <w:t>e</w:t>
      </w:r>
      <w:r>
        <w:t>bración de la e</w:t>
      </w:r>
      <w:r>
        <w:t>s</w:t>
      </w:r>
      <w:r>
        <w:t>critura.</w:t>
      </w:r>
    </w:p>
    <w:p w:rsidR="00224567" w:rsidRDefault="00224567">
      <w:pPr>
        <w:widowControl w:val="0"/>
      </w:pPr>
      <w:r>
        <w:tab/>
        <w:t>Es de significativa gravedad que, p</w:t>
      </w:r>
      <w:r>
        <w:t>a</w:t>
      </w:r>
      <w:r>
        <w:t>ra arribar a ese objetivo, violasen elementales pautas de v</w:t>
      </w:r>
      <w:r>
        <w:t>a</w:t>
      </w:r>
      <w:r>
        <w:t>loración probatoria reglamentarias, valga recordarlo, de garantías constitucionales. Efectivamente, debe resaltarse que son directas consecuencias del estado de inocencia, protegido por nuestra Carta Magna y los tratados intern</w:t>
      </w:r>
      <w:r>
        <w:t>a</w:t>
      </w:r>
      <w:r>
        <w:t>cionales incorporados a ésta, la exigencia de que sea el acusador quien pruebe la imputación –y no el imputado su inocencia– y la necesidad de que aquella se acredite con certeza para fundar una co</w:t>
      </w:r>
      <w:r>
        <w:t>n</w:t>
      </w:r>
      <w:r>
        <w:t>dena.</w:t>
      </w:r>
    </w:p>
    <w:p w:rsidR="00224567" w:rsidRDefault="00224567">
      <w:pPr>
        <w:widowControl w:val="0"/>
      </w:pPr>
      <w:r>
        <w:tab/>
        <w:t>Los acusadores, en sus alegatos, par</w:t>
      </w:r>
      <w:r>
        <w:t>e</w:t>
      </w:r>
      <w:r>
        <w:t>ció que olvidaron alguno de estos principios elementales del derecho penal liberal. Así, se ha señalado que resu</w:t>
      </w:r>
      <w:r>
        <w:t>l</w:t>
      </w:r>
      <w:r>
        <w:t>taba “harto dificultoso” que la suma en cuestión tuviera su origen en el patr</w:t>
      </w:r>
      <w:r>
        <w:t>i</w:t>
      </w:r>
      <w:r>
        <w:t>monio de un jubilado ferroviario, es decir, de un empleado público con alicaídos sueldos. I</w:t>
      </w:r>
      <w:r>
        <w:t>n</w:t>
      </w:r>
      <w:r>
        <w:t>cluso, en una inequívoca manifestación contraria a los principios del Derecho Penal vigente en un Estado democr</w:t>
      </w:r>
      <w:r>
        <w:t>á</w:t>
      </w:r>
      <w:r>
        <w:t>tico de derecho, se ha lleg</w:t>
      </w:r>
      <w:r>
        <w:t>a</w:t>
      </w:r>
      <w:r>
        <w:t>do a cuestionar que Ribelli no hubiera probado el or</w:t>
      </w:r>
      <w:r>
        <w:t>i</w:t>
      </w:r>
      <w:r>
        <w:t>gen del dinero en cuestión.</w:t>
      </w:r>
    </w:p>
    <w:p w:rsidR="00224567" w:rsidRDefault="00224567">
      <w:pPr>
        <w:widowControl w:val="0"/>
      </w:pPr>
      <w:r>
        <w:tab/>
        <w:t>En ese mismo sentido, la doctora Ne</w:t>
      </w:r>
      <w:r>
        <w:t>r</w:t>
      </w:r>
      <w:r>
        <w:t>cellas sostuvo que por imperio del art. 242 del orden</w:t>
      </w:r>
      <w:r>
        <w:t>a</w:t>
      </w:r>
      <w:r>
        <w:t>miento ritual no podía convocar a Miguel Gregorio Rib</w:t>
      </w:r>
      <w:r>
        <w:t>e</w:t>
      </w:r>
      <w:r>
        <w:t>lli para que declarara en el debate, pero criticó duramente que el imputado Juan José Ribelli no lo hubiera hecho co</w:t>
      </w:r>
      <w:r>
        <w:t>m</w:t>
      </w:r>
      <w:r>
        <w:t>par</w:t>
      </w:r>
      <w:r>
        <w:t>e</w:t>
      </w:r>
      <w:r>
        <w:t>cer.</w:t>
      </w:r>
    </w:p>
    <w:p w:rsidR="00224567" w:rsidRDefault="00224567">
      <w:pPr>
        <w:widowControl w:val="0"/>
      </w:pPr>
      <w:r>
        <w:tab/>
        <w:t>También se calificó peyorativamente de “bravuconada” la negativa de Ribelli a exponer sobre el punto en el transcurso de su declaración indagat</w:t>
      </w:r>
      <w:r>
        <w:t>o</w:t>
      </w:r>
      <w:r>
        <w:t>ria.</w:t>
      </w:r>
    </w:p>
    <w:p w:rsidR="00224567" w:rsidRDefault="00224567">
      <w:pPr>
        <w:widowControl w:val="0"/>
      </w:pPr>
      <w:r>
        <w:tab/>
        <w:t>Esta inversión de la carga de la pru</w:t>
      </w:r>
      <w:r>
        <w:t>e</w:t>
      </w:r>
      <w:r>
        <w:t>ba, violatoria del estado de inocencia garantizado const</w:t>
      </w:r>
      <w:r>
        <w:t>i</w:t>
      </w:r>
      <w:r>
        <w:t>tucionalmente, pretendió ser racionalizada por el doctor Ávila cuando afirmó que toda vez que había acreditado la falsedad de esa donación, incumbía a Ribelli dar una e</w:t>
      </w:r>
      <w:r>
        <w:t>x</w:t>
      </w:r>
      <w:r>
        <w:t>plicación, probar otra cosa. En definitiva “si Ribelli t</w:t>
      </w:r>
      <w:r>
        <w:t>e</w:t>
      </w:r>
      <w:r>
        <w:t>nía alguna explicación para dar, la hubiera d</w:t>
      </w:r>
      <w:r>
        <w:t>a</w:t>
      </w:r>
      <w:r>
        <w:t>do”.</w:t>
      </w:r>
    </w:p>
    <w:p w:rsidR="00224567" w:rsidRDefault="00224567">
      <w:pPr>
        <w:widowControl w:val="0"/>
      </w:pPr>
      <w:r>
        <w:tab/>
        <w:t>La elocuencia de los párrafos citados eximiría de mayores valoraciones. No obstante, merece r</w:t>
      </w:r>
      <w:r>
        <w:t>e</w:t>
      </w:r>
      <w:r>
        <w:t>saltarse que no solo se ha invertido la carga de la prueba –falta de por sí ya suficientemente grave– sino que incl</w:t>
      </w:r>
      <w:r>
        <w:t>u</w:t>
      </w:r>
      <w:r>
        <w:t>so, en una búsqueda atropellada por alcanzar un objetivo se han efectuado groseros saltos lógicos en la argument</w:t>
      </w:r>
      <w:r>
        <w:t>a</w:t>
      </w:r>
      <w:r>
        <w:t>ción.</w:t>
      </w:r>
    </w:p>
    <w:p w:rsidR="00224567" w:rsidRDefault="00224567">
      <w:pPr>
        <w:widowControl w:val="0"/>
      </w:pPr>
      <w:r>
        <w:tab/>
        <w:t>El razonamiento sostenido por los ac</w:t>
      </w:r>
      <w:r>
        <w:t>u</w:t>
      </w:r>
      <w:r>
        <w:t>sadores permitiría, partiendo de la premisa de que el imputado no probó el origen del dinero recibido, colegir que necesariamente le fue otorgado por su part</w:t>
      </w:r>
      <w:r>
        <w:t>i</w:t>
      </w:r>
      <w:r>
        <w:t>cipación en el atentado de m</w:t>
      </w:r>
      <w:r>
        <w:t>a</w:t>
      </w:r>
      <w:r>
        <w:t>rras.</w:t>
      </w:r>
    </w:p>
    <w:p w:rsidR="00224567" w:rsidRDefault="00224567">
      <w:pPr>
        <w:widowControl w:val="0"/>
      </w:pPr>
      <w:r>
        <w:tab/>
        <w:t>Se ha justificado tal modo de argume</w:t>
      </w:r>
      <w:r>
        <w:t>n</w:t>
      </w:r>
      <w:r>
        <w:t>tar en que no resu</w:t>
      </w:r>
      <w:r>
        <w:t>l</w:t>
      </w:r>
      <w:r>
        <w:t>taba una “tarea sencilla” probar que el dinero venía del atentado y que era imposible la “prueba perfe</w:t>
      </w:r>
      <w:r>
        <w:t>c</w:t>
      </w:r>
      <w:r>
        <w:t>ta”.</w:t>
      </w:r>
    </w:p>
    <w:p w:rsidR="00224567" w:rsidRDefault="00224567">
      <w:pPr>
        <w:widowControl w:val="0"/>
      </w:pPr>
      <w:r>
        <w:tab/>
        <w:t>Se destacó que no se sabía si el pago era total o parcial, pero sí que estaba vinculado al ate</w:t>
      </w:r>
      <w:r>
        <w:t>n</w:t>
      </w:r>
      <w:r>
        <w:t>tado, au</w:t>
      </w:r>
      <w:r>
        <w:t>n</w:t>
      </w:r>
      <w:r>
        <w:t>que ningún fundamento se dio de esto.</w:t>
      </w:r>
    </w:p>
    <w:p w:rsidR="00224567" w:rsidRDefault="00224567">
      <w:pPr>
        <w:widowControl w:val="0"/>
      </w:pPr>
      <w:r>
        <w:tab/>
        <w:t>Como se ve, la acusación en este pu</w:t>
      </w:r>
      <w:r>
        <w:t>n</w:t>
      </w:r>
      <w:r>
        <w:t>to se ha valido de afirmaciones dogmáticas y arbitr</w:t>
      </w:r>
      <w:r>
        <w:t>a</w:t>
      </w:r>
      <w:r>
        <w:t>rias, en cuanto carentes de la mínima fu</w:t>
      </w:r>
      <w:r>
        <w:t>n</w:t>
      </w:r>
      <w:r>
        <w:t>damentación.</w:t>
      </w:r>
    </w:p>
    <w:p w:rsidR="00224567" w:rsidRDefault="00224567">
      <w:pPr>
        <w:widowControl w:val="0"/>
      </w:pPr>
      <w:r>
        <w:tab/>
        <w:t>Pero amén de las graves violaciones a garantías constitucionales que tal modo de valorar la prueba evidencia, debe destacarse que se partió de pres</w:t>
      </w:r>
      <w:r>
        <w:t>u</w:t>
      </w:r>
      <w:r>
        <w:t>puestos erróneamente co</w:t>
      </w:r>
      <w:r>
        <w:t>n</w:t>
      </w:r>
      <w:r>
        <w:t>siderados.</w:t>
      </w:r>
    </w:p>
    <w:p w:rsidR="00224567" w:rsidRDefault="00224567">
      <w:pPr>
        <w:widowControl w:val="0"/>
      </w:pPr>
      <w:r>
        <w:tab/>
        <w:t>En efecto, la escritura en cuestión no da cuenta de un traspaso de dinero de Miguel Gregorio R</w:t>
      </w:r>
      <w:r>
        <w:t>i</w:t>
      </w:r>
      <w:r>
        <w:t>belli a sus hijos. En ese acta, luego de detallar los d</w:t>
      </w:r>
      <w:r>
        <w:t>a</w:t>
      </w:r>
      <w:r>
        <w:t>tos personales de los presentes, se consigna: “Miguel Gr</w:t>
      </w:r>
      <w:r>
        <w:t>e</w:t>
      </w:r>
      <w:r>
        <w:t>gorio Ribelli, dice: que habiendo hecho partición antic</w:t>
      </w:r>
      <w:r>
        <w:t>i</w:t>
      </w:r>
      <w:r>
        <w:t>pada de sus bienes, entre sus únicos hijos y con c</w:t>
      </w:r>
      <w:r>
        <w:t>a</w:t>
      </w:r>
      <w:r>
        <w:t>rácter de donación gratuita entregó a cada uno de ellos con ant</w:t>
      </w:r>
      <w:r>
        <w:t>e</w:t>
      </w:r>
      <w:r>
        <w:t>rioridad a este acto, la cantidad de quinientos mil dól</w:t>
      </w:r>
      <w:r>
        <w:t>a</w:t>
      </w:r>
      <w:r>
        <w:t>res estadounidenses en billetes de dicha denomin</w:t>
      </w:r>
      <w:r>
        <w:t>a</w:t>
      </w:r>
      <w:r>
        <w:t>ción, en efectivo, en calidad de anticipo de herencia. Por lo e</w:t>
      </w:r>
      <w:r>
        <w:t>x</w:t>
      </w:r>
      <w:r>
        <w:t>puesto los comp</w:t>
      </w:r>
      <w:r>
        <w:t>a</w:t>
      </w:r>
      <w:r>
        <w:t>recientes, vienen por la presente a dejar expresamente establecida la donación efectuada por su p</w:t>
      </w:r>
      <w:r>
        <w:t>a</w:t>
      </w:r>
      <w:r>
        <w:t>dre, a manifestar aceptación de la misma, renunciando los donatarios recíprocamente a colacionar e</w:t>
      </w:r>
      <w:r>
        <w:t>n</w:t>
      </w:r>
      <w:r>
        <w:t>tre sí”.</w:t>
      </w:r>
    </w:p>
    <w:p w:rsidR="00224567" w:rsidRDefault="00224567">
      <w:pPr>
        <w:widowControl w:val="0"/>
      </w:pPr>
      <w:r>
        <w:tab/>
        <w:t>Se advierte entonces una evidente di</w:t>
      </w:r>
      <w:r>
        <w:t>s</w:t>
      </w:r>
      <w:r>
        <w:t>paridad entre el contenido de la escritura y lo que se pretende que diga. En definitiva, de lo que da fe la not</w:t>
      </w:r>
      <w:r>
        <w:t>a</w:t>
      </w:r>
      <w:r>
        <w:t>ria es exclusivamente de la presencia de Miguel Gregorio Ribelli, de sus hijos y de las manifestaciones de aqu</w:t>
      </w:r>
      <w:r>
        <w:t>e</w:t>
      </w:r>
      <w:r>
        <w:t>llos, no de la exi</w:t>
      </w:r>
      <w:r>
        <w:t>s</w:t>
      </w:r>
      <w:r>
        <w:t>tencia ni del traspaso en su presencia de la suma ya citada.</w:t>
      </w:r>
    </w:p>
    <w:p w:rsidR="00224567" w:rsidRDefault="00224567">
      <w:pPr>
        <w:widowControl w:val="0"/>
      </w:pPr>
      <w:r>
        <w:tab/>
        <w:t>Corresponde también resaltar que los acusadores, al val</w:t>
      </w:r>
      <w:r>
        <w:t>o</w:t>
      </w:r>
      <w:r>
        <w:t>rar este documento como prueba del pago total o parcial de Ribelli por el atentado, incurren, nu</w:t>
      </w:r>
      <w:r>
        <w:t>e</w:t>
      </w:r>
      <w:r>
        <w:t>vamente, en un razonamiento que carece de lógica. En efe</w:t>
      </w:r>
      <w:r>
        <w:t>c</w:t>
      </w:r>
      <w:r>
        <w:t>to, resulta absurdo sostener –como lo han hecho– que el acusado para no correr riesgos de ser imputado por a</w:t>
      </w:r>
      <w:r>
        <w:t>l</w:t>
      </w:r>
      <w:r>
        <w:t>guna evasión impositiva o, incluso, por la comisión de algún delito de corrupción, dejara sentada una prueba de su pago por el atentado. Por otra parte, este proceder resultaría absolutamente incompatible con el se</w:t>
      </w:r>
      <w:r>
        <w:t>m</w:t>
      </w:r>
      <w:r>
        <w:t>blante que, según los mismos acusadores, caracterizara al imputado. Evidenteme</w:t>
      </w:r>
      <w:r>
        <w:t>n</w:t>
      </w:r>
      <w:r>
        <w:t>te, una maniobra como la detallada marcaría la torpeza y no la resaltada habilidad de R</w:t>
      </w:r>
      <w:r>
        <w:t>i</w:t>
      </w:r>
      <w:r>
        <w:t>belli.</w:t>
      </w:r>
    </w:p>
    <w:p w:rsidR="00224567" w:rsidRDefault="00224567">
      <w:pPr>
        <w:widowControl w:val="0"/>
      </w:pPr>
      <w:r>
        <w:tab/>
        <w:t>No habiéndose verificado entonces s</w:t>
      </w:r>
      <w:r>
        <w:t>i</w:t>
      </w:r>
      <w:r>
        <w:t>quiera la existencia de la suma de dinero referida en la escritura, mal puede valorarse como indicio de un pago ilegal. Por la misma razón, resulta irrelevante analizar la prueba producida tendiente a verificar el estado patr</w:t>
      </w:r>
      <w:r>
        <w:t>i</w:t>
      </w:r>
      <w:r>
        <w:t>monial de Miguel Greg</w:t>
      </w:r>
      <w:r>
        <w:t>o</w:t>
      </w:r>
      <w:r>
        <w:t>rio Ribelli.</w:t>
      </w:r>
    </w:p>
    <w:p w:rsidR="00224567" w:rsidRDefault="00224567">
      <w:pPr>
        <w:widowControl w:val="0"/>
      </w:pPr>
      <w:r>
        <w:tab/>
      </w:r>
      <w:r>
        <w:tab/>
        <w:t>Como se adelantara, el otro eje s</w:t>
      </w:r>
      <w:r>
        <w:t>o</w:t>
      </w:r>
      <w:r>
        <w:t>bre el que se basaron los acusadores para colegir de este ep</w:t>
      </w:r>
      <w:r>
        <w:t>i</w:t>
      </w:r>
      <w:r>
        <w:t>sodio la participación de Juan José Ribelli en el atent</w:t>
      </w:r>
      <w:r>
        <w:t>a</w:t>
      </w:r>
      <w:r>
        <w:t>do, fue la fecha de la celebración de la e</w:t>
      </w:r>
      <w:r>
        <w:t>s</w:t>
      </w:r>
      <w:r>
        <w:t>critura.</w:t>
      </w:r>
    </w:p>
    <w:p w:rsidR="00224567" w:rsidRDefault="00224567">
      <w:pPr>
        <w:widowControl w:val="0"/>
      </w:pPr>
      <w:r>
        <w:tab/>
        <w:t>En tal sentido, se destacó que no era casual que Rib</w:t>
      </w:r>
      <w:r>
        <w:t>e</w:t>
      </w:r>
      <w:r>
        <w:t>lli hubiera formalizado esta entrega el 11 de julio de 1994, es decir, al día siguiente de haber r</w:t>
      </w:r>
      <w:r>
        <w:t>e</w:t>
      </w:r>
      <w:r>
        <w:t>cibido la camion</w:t>
      </w:r>
      <w:r>
        <w:t>e</w:t>
      </w:r>
      <w:r>
        <w:t>ta y a 7 de producirse el atentado.</w:t>
      </w:r>
    </w:p>
    <w:p w:rsidR="00224567" w:rsidRDefault="00224567">
      <w:pPr>
        <w:widowControl w:val="0"/>
      </w:pPr>
      <w:r>
        <w:tab/>
        <w:t>Ello daría cuenta de que Ribelli rec</w:t>
      </w:r>
      <w:r>
        <w:t>i</w:t>
      </w:r>
      <w:r>
        <w:t>bió como contraprestación por la obtención de la c</w:t>
      </w:r>
      <w:r>
        <w:t>a</w:t>
      </w:r>
      <w:r>
        <w:t>mioneta la suma de dinero cuyo ingreso a su patrimonio pretendía legal</w:t>
      </w:r>
      <w:r>
        <w:t>i</w:t>
      </w:r>
      <w:r>
        <w:t>zar.</w:t>
      </w:r>
    </w:p>
    <w:p w:rsidR="00224567" w:rsidRDefault="00224567">
      <w:pPr>
        <w:widowControl w:val="0"/>
      </w:pPr>
      <w:r>
        <w:tab/>
        <w:t>Ahora bien, toda vez que ya se afirmó que no se acreditó que el 10 de julio de 1994 una com</w:t>
      </w:r>
      <w:r>
        <w:t>i</w:t>
      </w:r>
      <w:r>
        <w:t>sión de la policía bonaerense hubiera participado en la rece</w:t>
      </w:r>
      <w:r>
        <w:t>p</w:t>
      </w:r>
      <w:r>
        <w:t>ción de la camioneta Trafic estacionada en la puerta del domicilio de Carlos Telleldín, cualquier referencia a aquella fecha, car</w:t>
      </w:r>
      <w:r>
        <w:t>e</w:t>
      </w:r>
      <w:r>
        <w:t>ce de relevancia.</w:t>
      </w:r>
    </w:p>
    <w:p w:rsidR="00224567" w:rsidRDefault="00224567">
      <w:pPr>
        <w:widowControl w:val="0"/>
      </w:pPr>
      <w:r>
        <w:tab/>
        <w:t>Idéntica suerte seguirán aquellas afirmaciones referidas a que el pago de USD 2.500.000 no era por la camioneta en sí –suma que evidentemente super</w:t>
      </w:r>
      <w:r>
        <w:t>a</w:t>
      </w:r>
      <w:r>
        <w:t>ría holgadamente su valor–, sino por el silencio que ma</w:t>
      </w:r>
      <w:r>
        <w:t>n</w:t>
      </w:r>
      <w:r>
        <w:t>tendría Ribelli. En efecto, como ya se dijera, toda vez que no se acreditó la entrega ni la recepción de la suma en cuestión, mal puede dársele algún sentido o e</w:t>
      </w:r>
      <w:r>
        <w:t>x</w:t>
      </w:r>
      <w:r>
        <w:t>plicación a su existe</w:t>
      </w:r>
      <w:r>
        <w:t>n</w:t>
      </w:r>
      <w:r>
        <w:t>cia.</w:t>
      </w:r>
    </w:p>
    <w:p w:rsidR="00224567" w:rsidRDefault="00224567">
      <w:pPr>
        <w:widowControl w:val="0"/>
      </w:pPr>
      <w:r>
        <w:tab/>
        <w:t>De todas formas, debe destacarse que el inicio del trámite notarial –con la solicitud de em</w:t>
      </w:r>
      <w:r>
        <w:t>i</w:t>
      </w:r>
      <w:r>
        <w:t>sión de diversos certif</w:t>
      </w:r>
      <w:r>
        <w:t>i</w:t>
      </w:r>
      <w:r>
        <w:t>cados– se efectuó el 6 o 7 de ese mes, es decir, con anterioridad a la alegada recepción del vehíc</w:t>
      </w:r>
      <w:r>
        <w:t>u</w:t>
      </w:r>
      <w:r>
        <w:t>lo.</w:t>
      </w:r>
    </w:p>
    <w:p w:rsidR="00224567" w:rsidRDefault="00224567">
      <w:pPr>
        <w:widowControl w:val="0"/>
      </w:pPr>
      <w:r>
        <w:tab/>
        <w:t>Por otra parte, también se ha destac</w:t>
      </w:r>
      <w:r>
        <w:t>a</w:t>
      </w:r>
      <w:r>
        <w:t>do la premura de Ribelli para llevar a cabo esta dilige</w:t>
      </w:r>
      <w:r>
        <w:t>n</w:t>
      </w:r>
      <w:r>
        <w:t>cia, toda vez que se efectuó entre los dos viajes que realizó el imputado para esa fecha. Sin embargo, no se acreditó esa urgencia ni menos aún los motivos que la pr</w:t>
      </w:r>
      <w:r>
        <w:t>o</w:t>
      </w:r>
      <w:r>
        <w:t>voc</w:t>
      </w:r>
      <w:r>
        <w:t>a</w:t>
      </w:r>
      <w:r>
        <w:t>ran.</w:t>
      </w:r>
    </w:p>
    <w:p w:rsidR="00224567" w:rsidRDefault="00224567">
      <w:pPr>
        <w:pStyle w:val="Ttulo6"/>
        <w:keepNext w:val="0"/>
        <w:widowControl w:val="0"/>
        <w:spacing w:line="600" w:lineRule="auto"/>
        <w:rPr>
          <w:rFonts w:cs="Courier New"/>
          <w:b w:val="0"/>
          <w:bCs/>
          <w:u w:val="none"/>
        </w:rPr>
      </w:pPr>
      <w:r>
        <w:rPr>
          <w:rFonts w:cs="Courier New"/>
          <w:u w:val="none"/>
        </w:rPr>
        <w:tab/>
      </w:r>
      <w:bookmarkStart w:id="206" w:name="_Toc86731983"/>
      <w:r>
        <w:rPr>
          <w:rFonts w:cs="Courier New"/>
          <w:u w:val="none"/>
        </w:rPr>
        <w:t xml:space="preserve">C.2.d.iii) </w:t>
      </w:r>
      <w:bookmarkStart w:id="207" w:name="_Toc79905058"/>
      <w:r>
        <w:rPr>
          <w:rFonts w:cs="Courier New"/>
          <w:b w:val="0"/>
          <w:bCs/>
          <w:u w:val="none"/>
        </w:rPr>
        <w:t>Caprichosa e inconsistente conexión entre las Br</w:t>
      </w:r>
      <w:r>
        <w:rPr>
          <w:rFonts w:cs="Courier New"/>
          <w:b w:val="0"/>
          <w:bCs/>
          <w:u w:val="none"/>
        </w:rPr>
        <w:t>i</w:t>
      </w:r>
      <w:r>
        <w:rPr>
          <w:rFonts w:cs="Courier New"/>
          <w:b w:val="0"/>
          <w:bCs/>
          <w:u w:val="none"/>
        </w:rPr>
        <w:t>gadas de Lanús y Vicente López</w:t>
      </w:r>
      <w:bookmarkEnd w:id="206"/>
      <w:bookmarkEnd w:id="207"/>
      <w:r>
        <w:rPr>
          <w:rFonts w:cs="Courier New"/>
          <w:b w:val="0"/>
          <w:bCs/>
          <w:u w:val="none"/>
        </w:rPr>
        <w:t>.</w:t>
      </w:r>
    </w:p>
    <w:p w:rsidR="00224567" w:rsidRDefault="00224567">
      <w:pPr>
        <w:widowControl w:val="0"/>
      </w:pPr>
      <w:r>
        <w:tab/>
      </w:r>
      <w:r>
        <w:rPr>
          <w:b/>
          <w:bCs/>
        </w:rPr>
        <w:t>C.2.d.iii.A)</w:t>
      </w:r>
      <w:r>
        <w:t xml:space="preserve"> A partir de la versión mantenida por los acusadores en cuanto a la particip</w:t>
      </w:r>
      <w:r>
        <w:t>a</w:t>
      </w:r>
      <w:r>
        <w:t>ción de personal policial de las brigadas de Lanús y Vicente López en la obtención de la camioneta Trafic de manos de Telleldín, el 10 de julio de 1994 pretendi</w:t>
      </w:r>
      <w:r>
        <w:t>e</w:t>
      </w:r>
      <w:r>
        <w:t>ron, hasta por vías insólitas, infructuosamente demo</w:t>
      </w:r>
      <w:r>
        <w:t>s</w:t>
      </w:r>
      <w:r>
        <w:t>trar la vinculación entre estas depe</w:t>
      </w:r>
      <w:r>
        <w:t>n</w:t>
      </w:r>
      <w:r>
        <w:t>dencias.</w:t>
      </w:r>
    </w:p>
    <w:p w:rsidR="00224567" w:rsidRDefault="00224567">
      <w:pPr>
        <w:widowControl w:val="0"/>
      </w:pPr>
      <w:r>
        <w:tab/>
        <w:t>Toda vez que no se acreditó que Juan José Rib</w:t>
      </w:r>
      <w:r>
        <w:t>e</w:t>
      </w:r>
      <w:r>
        <w:t>lli, Raúl Edilio Ibarra, Anastasio Ireneo Leal y Mario Norberto Bareiro, hubiesen participado en la obte</w:t>
      </w:r>
      <w:r>
        <w:t>n</w:t>
      </w:r>
      <w:r>
        <w:t>ción de la camioneta marca Renault Trafic que se encontr</w:t>
      </w:r>
      <w:r>
        <w:t>a</w:t>
      </w:r>
      <w:r>
        <w:t>ba en poder de Carlos Alberto Telleldín, ni tampoco que interv</w:t>
      </w:r>
      <w:r>
        <w:t>i</w:t>
      </w:r>
      <w:r>
        <w:t>nieran de algún otro modo en el atentado, carece de sent</w:t>
      </w:r>
      <w:r>
        <w:t>i</w:t>
      </w:r>
      <w:r>
        <w:t>do verificar que entre ellos se conocieran, tal como los acusadores pretendieran i</w:t>
      </w:r>
      <w:r>
        <w:t>n</w:t>
      </w:r>
      <w:r>
        <w:t>sistentemente.</w:t>
      </w:r>
    </w:p>
    <w:p w:rsidR="00224567" w:rsidRDefault="00224567">
      <w:pPr>
        <w:widowControl w:val="0"/>
      </w:pPr>
      <w:r>
        <w:tab/>
        <w:t>La impertinencia resulta palmaria al advertir que aunque se probara ese vínculo, ello –por sí solo– nada diría sobre la responsabilidad en el atent</w:t>
      </w:r>
      <w:r>
        <w:t>a</w:t>
      </w:r>
      <w:r>
        <w:t>do, ya que ni siquiera se probó la participación de alg</w:t>
      </w:r>
      <w:r>
        <w:t>u</w:t>
      </w:r>
      <w:r>
        <w:t>no de ellos en el hecho.</w:t>
      </w:r>
    </w:p>
    <w:p w:rsidR="00224567" w:rsidRDefault="00224567">
      <w:pPr>
        <w:widowControl w:val="0"/>
      </w:pPr>
      <w:r>
        <w:tab/>
        <w:t>No obstante, se efectuará un análisis de los elementos probatorios valorados por los acusad</w:t>
      </w:r>
      <w:r>
        <w:t>o</w:t>
      </w:r>
      <w:r>
        <w:t>res con tal obj</w:t>
      </w:r>
      <w:r>
        <w:t>e</w:t>
      </w:r>
      <w:r>
        <w:t>to.</w:t>
      </w:r>
    </w:p>
    <w:p w:rsidR="00224567" w:rsidRDefault="00224567">
      <w:pPr>
        <w:widowControl w:val="0"/>
      </w:pPr>
      <w:r>
        <w:tab/>
        <w:t>Previo a ese análisis, debe adelanta</w:t>
      </w:r>
      <w:r>
        <w:t>r</w:t>
      </w:r>
      <w:r>
        <w:t>se que la actitud de los acusadores, al realizar afirm</w:t>
      </w:r>
      <w:r>
        <w:t>a</w:t>
      </w:r>
      <w:r>
        <w:t>ciones infundadas de las que pretendieron deducir eleme</w:t>
      </w:r>
      <w:r>
        <w:t>n</w:t>
      </w:r>
      <w:r>
        <w:t>tos de cargo hacia los policías imputados, expresa un m</w:t>
      </w:r>
      <w:r>
        <w:t>a</w:t>
      </w:r>
      <w:r>
        <w:t>nifiesto desconocimiento de las pruebas obrantes en la causa o una interpretación de mala fe de las existe</w:t>
      </w:r>
      <w:r>
        <w:t>n</w:t>
      </w:r>
      <w:r>
        <w:t>tes.</w:t>
      </w:r>
    </w:p>
    <w:p w:rsidR="00224567" w:rsidRDefault="00224567">
      <w:pPr>
        <w:widowControl w:val="0"/>
      </w:pPr>
      <w:r>
        <w:tab/>
        <w:t>Así se sostuvo –en una interpretación arbitraria y antojadiza de la prueba colectada en el deb</w:t>
      </w:r>
      <w:r>
        <w:t>a</w:t>
      </w:r>
      <w:r>
        <w:t>te– que Leal no solo conocía a Ribelli e Ibarra sino que también había compa</w:t>
      </w:r>
      <w:r>
        <w:t>r</w:t>
      </w:r>
      <w:r>
        <w:t>tido destino con ellos.</w:t>
      </w:r>
    </w:p>
    <w:p w:rsidR="00224567" w:rsidRDefault="00224567">
      <w:pPr>
        <w:widowControl w:val="0"/>
      </w:pPr>
      <w:r>
        <w:tab/>
        <w:t>A tal fin valoraron los legajos pers</w:t>
      </w:r>
      <w:r>
        <w:t>o</w:t>
      </w:r>
      <w:r>
        <w:t>nales de los imput</w:t>
      </w:r>
      <w:r>
        <w:t>a</w:t>
      </w:r>
      <w:r>
        <w:t>dos y los dichos de Oscar Lorenzo Díaz, Marcelo Antonio Bressi, Juan Carlos Negrón y Hugo Silva, para concluir que Leal trabajó en la brigada de Lanús s</w:t>
      </w:r>
      <w:r>
        <w:t>i</w:t>
      </w:r>
      <w:r>
        <w:t>multáneamente con Raúl Edilio Ibarra y Juan J</w:t>
      </w:r>
      <w:r>
        <w:t>o</w:t>
      </w:r>
      <w:r>
        <w:t>sé Ribelli.</w:t>
      </w:r>
    </w:p>
    <w:p w:rsidR="00224567" w:rsidRDefault="00224567">
      <w:pPr>
        <w:widowControl w:val="0"/>
      </w:pPr>
      <w:r>
        <w:tab/>
        <w:t>Respecto de los legajos personales d</w:t>
      </w:r>
      <w:r>
        <w:t>e</w:t>
      </w:r>
      <w:r>
        <w:t>be destacarse que durante el debate se demostró sobrad</w:t>
      </w:r>
      <w:r>
        <w:t>a</w:t>
      </w:r>
      <w:r>
        <w:t>mente su falibilidad en cuanto a los informes de las d</w:t>
      </w:r>
      <w:r>
        <w:t>e</w:t>
      </w:r>
      <w:r>
        <w:t>pendencias donde hubieran prestado funciones.</w:t>
      </w:r>
    </w:p>
    <w:p w:rsidR="00224567" w:rsidRDefault="00224567">
      <w:pPr>
        <w:widowControl w:val="0"/>
      </w:pPr>
      <w:r>
        <w:tab/>
        <w:t>Recuérdese que en la declaración ind</w:t>
      </w:r>
      <w:r>
        <w:t>a</w:t>
      </w:r>
      <w:r>
        <w:t>gatoria pre</w:t>
      </w:r>
      <w:r>
        <w:t>s</w:t>
      </w:r>
      <w:r>
        <w:t>tada por Claudio Walter Araya en julio de 1996 se le pidió que aclarara la razón por la que había part</w:t>
      </w:r>
      <w:r>
        <w:t>i</w:t>
      </w:r>
      <w:r>
        <w:t>cipado en el pr</w:t>
      </w:r>
      <w:r>
        <w:t>o</w:t>
      </w:r>
      <w:r>
        <w:t>cedimiento de abril de 1994 que concluyera en la detención de Carlos Telleldín y Sandra Petrucci, ya que, según las constancias de su legajo personal, para ese momento se hallaba destinado en la brigada de investig</w:t>
      </w:r>
      <w:r>
        <w:t>a</w:t>
      </w:r>
      <w:r>
        <w:t>ciones de A</w:t>
      </w:r>
      <w:r>
        <w:t>l</w:t>
      </w:r>
      <w:r>
        <w:t>mirante Brown.</w:t>
      </w:r>
    </w:p>
    <w:p w:rsidR="00224567" w:rsidRDefault="00224567">
      <w:pPr>
        <w:widowControl w:val="0"/>
      </w:pPr>
      <w:r>
        <w:tab/>
        <w:t>El seguimiento a las constancias del legajo volvió a mo</w:t>
      </w:r>
      <w:r>
        <w:t>s</w:t>
      </w:r>
      <w:r>
        <w:t>trar un error. Efectivamente, tanto por las constancias que aportara el abogado defensor del imp</w:t>
      </w:r>
      <w:r>
        <w:t>u</w:t>
      </w:r>
      <w:r>
        <w:t>tado a fs. 41.009/41.011 como por el informe de fs. 42.374/42.375 quedó demostrado que la fecha efectiva de posesión de puesto de Alb</w:t>
      </w:r>
      <w:r>
        <w:t>a</w:t>
      </w:r>
      <w:r>
        <w:t>rracín y Araya en la brigada de Lanús fue el 17 de marzo de 1994, por lo que nada de ano</w:t>
      </w:r>
      <w:r>
        <w:t>r</w:t>
      </w:r>
      <w:r>
        <w:t>mal tendría su intervención en un procedimiento de abril de ese año.</w:t>
      </w:r>
    </w:p>
    <w:p w:rsidR="00224567" w:rsidRDefault="00224567">
      <w:pPr>
        <w:widowControl w:val="0"/>
      </w:pPr>
      <w:r>
        <w:tab/>
        <w:t>Amén de este caso, la información re</w:t>
      </w:r>
      <w:r>
        <w:t>s</w:t>
      </w:r>
      <w:r>
        <w:t>pecto a los tra</w:t>
      </w:r>
      <w:r>
        <w:t>s</w:t>
      </w:r>
      <w:r>
        <w:t>lados que surge de los legajos es al menos incompleta. A título de ejemplo, puede destacarse que en el legajo de Juan José Ribelli no consta que d</w:t>
      </w:r>
      <w:r>
        <w:t>u</w:t>
      </w:r>
      <w:r>
        <w:t>rante 1994 estuvo destinado en la ex Brigada de Inve</w:t>
      </w:r>
      <w:r>
        <w:t>s</w:t>
      </w:r>
      <w:r>
        <w:t>tigaciones II de Lanús, y en el de Daniel Emilio Quinteros tampoco surge que en julio de 1994 cumpliera funciones en la ex Br</w:t>
      </w:r>
      <w:r>
        <w:t>i</w:t>
      </w:r>
      <w:r>
        <w:t>gada de Investigaciones de Vicente López, cuando e</w:t>
      </w:r>
      <w:r>
        <w:t>s</w:t>
      </w:r>
      <w:r>
        <w:t>tos datos no fueron controvertidos en la audie</w:t>
      </w:r>
      <w:r>
        <w:t>n</w:t>
      </w:r>
      <w:r>
        <w:t>cia.</w:t>
      </w:r>
    </w:p>
    <w:p w:rsidR="00224567" w:rsidRDefault="00224567">
      <w:pPr>
        <w:widowControl w:val="0"/>
      </w:pPr>
      <w:r>
        <w:tab/>
        <w:t>Por ello, llama poderosamente la ate</w:t>
      </w:r>
      <w:r>
        <w:t>n</w:t>
      </w:r>
      <w:r>
        <w:t>ción que el doctor Ávila durante el alegato sost</w:t>
      </w:r>
      <w:r>
        <w:t>u</w:t>
      </w:r>
      <w:r>
        <w:t>viera que “si se atiende a lo que surge de los respectivos legajos no deberían quedar dudas en cuanto a que en la brigada de Lanús, Leal coincidió con Ibarra y Ribelli. Sin embargo, se han esforzado en demostrar que ello no fue así y aunque no lo han dicho explícitamente debe de entende</w:t>
      </w:r>
      <w:r>
        <w:t>r</w:t>
      </w:r>
      <w:r>
        <w:t xml:space="preserve">se que para ellos los </w:t>
      </w:r>
      <w:hyperlink r:id="rId8" w:anchor="HIT0002" w:history="1">
        <w:r>
          <w:t>legajos</w:t>
        </w:r>
      </w:hyperlink>
      <w:r>
        <w:t xml:space="preserve"> </w:t>
      </w:r>
      <w:hyperlink r:id="rId9" w:anchor="HIT0003" w:history="1">
        <w:r>
          <w:t>personales</w:t>
        </w:r>
      </w:hyperlink>
      <w:r>
        <w:t xml:space="preserve"> </w:t>
      </w:r>
      <w:hyperlink r:id="rId10" w:anchor="BOTTOM" w:history="1">
        <w:r>
          <w:t>labrados</w:t>
        </w:r>
      </w:hyperlink>
      <w:r>
        <w:t xml:space="preserve"> en su propia inst</w:t>
      </w:r>
      <w:r>
        <w:t>i</w:t>
      </w:r>
      <w:r>
        <w:t>tución no sirven p</w:t>
      </w:r>
      <w:r>
        <w:t>a</w:t>
      </w:r>
      <w:r>
        <w:t>ra nada”.</w:t>
      </w:r>
    </w:p>
    <w:p w:rsidR="00224567" w:rsidRDefault="00224567">
      <w:pPr>
        <w:widowControl w:val="0"/>
      </w:pPr>
      <w:r>
        <w:tab/>
        <w:t>Respecto de los testigos mencionados con el objeto de acreditar que Leal trabajó en la br</w:t>
      </w:r>
      <w:r>
        <w:t>i</w:t>
      </w:r>
      <w:r>
        <w:t>gada de Lanús conjuntamente con Ibarra y Ribelli, debe señala</w:t>
      </w:r>
      <w:r>
        <w:t>r</w:t>
      </w:r>
      <w:r>
        <w:t>se que algunos de ellos no sostuvieron o no ma</w:t>
      </w:r>
      <w:r>
        <w:t>n</w:t>
      </w:r>
      <w:r>
        <w:t>tuvieron en el debate lo que se pr</w:t>
      </w:r>
      <w:r>
        <w:t>e</w:t>
      </w:r>
      <w:r>
        <w:t>tendió concluir de sus dichos.</w:t>
      </w:r>
    </w:p>
    <w:p w:rsidR="00224567" w:rsidRDefault="00224567">
      <w:pPr>
        <w:widowControl w:val="0"/>
      </w:pPr>
      <w:r>
        <w:tab/>
        <w:t>Así, Oscar Lorenzo Díaz en la instru</w:t>
      </w:r>
      <w:r>
        <w:t>c</w:t>
      </w:r>
      <w:r>
        <w:t>ción al ser preguntado por el conocimiento que t</w:t>
      </w:r>
      <w:r>
        <w:t>u</w:t>
      </w:r>
      <w:r>
        <w:t>viera de los imputados, manifestó que trabajó con Rib</w:t>
      </w:r>
      <w:r>
        <w:t>e</w:t>
      </w:r>
      <w:r>
        <w:t>lli, Ibarra, Ar</w:t>
      </w:r>
      <w:r>
        <w:t>a</w:t>
      </w:r>
      <w:r>
        <w:t>ya, Arancibia, Albarracín, Burguete, Bacigalupo, Huici, Cruz, Leal, Castro y Toledo en la brigada de Lanús. De e</w:t>
      </w:r>
      <w:r>
        <w:t>s</w:t>
      </w:r>
      <w:r>
        <w:t>ta afirmación deduce el Fiscal General que Leal y Ribelli se conoc</w:t>
      </w:r>
      <w:r>
        <w:t>í</w:t>
      </w:r>
      <w:r>
        <w:t>an y trabajaron juntos.</w:t>
      </w:r>
    </w:p>
    <w:p w:rsidR="00224567" w:rsidRDefault="00224567">
      <w:pPr>
        <w:widowControl w:val="0"/>
      </w:pPr>
      <w:r>
        <w:tab/>
        <w:t>Ahora bien debe destacarse un dato que fue omitido en esa valoración del acusador. Durante el d</w:t>
      </w:r>
      <w:r>
        <w:t>e</w:t>
      </w:r>
      <w:r>
        <w:t>bate Díaz, en las dos oportunidades en que prestó declar</w:t>
      </w:r>
      <w:r>
        <w:t>a</w:t>
      </w:r>
      <w:r>
        <w:t>ción, al ser preguntado en forma particular e insistente por el conocimiento que tuviera de Anastasio Ireneo Leal respo</w:t>
      </w:r>
      <w:r>
        <w:t>n</w:t>
      </w:r>
      <w:r>
        <w:t>dió que lo conocía solo de vista y que no recordaba haber trabaj</w:t>
      </w:r>
      <w:r>
        <w:t>a</w:t>
      </w:r>
      <w:r>
        <w:t>do con él.</w:t>
      </w:r>
    </w:p>
    <w:p w:rsidR="00224567" w:rsidRDefault="00224567">
      <w:pPr>
        <w:widowControl w:val="0"/>
      </w:pPr>
      <w:r>
        <w:tab/>
        <w:t>Por su parte Juan Carlos Pupillo en instrucción expresó que Leal trabajó en la brigada de L</w:t>
      </w:r>
      <w:r>
        <w:t>a</w:t>
      </w:r>
      <w:r>
        <w:t>nús como jefe de un grupo operativo cuando Ribelli era j</w:t>
      </w:r>
      <w:r>
        <w:t>e</w:t>
      </w:r>
      <w:r>
        <w:t>fe de operaciones de esa dependencia. Este es el tramo c</w:t>
      </w:r>
      <w:r>
        <w:t>i</w:t>
      </w:r>
      <w:r>
        <w:t>tado por el Fiscal General. Sin embargo, durante el deb</w:t>
      </w:r>
      <w:r>
        <w:t>a</w:t>
      </w:r>
      <w:r>
        <w:t>te, este testigo señaló que si bien Ribelli, Ibarra y Leal fueron superiores suyos, creía que no habían coincidido los tiempos en los que habían prestado funciones en la brigada de Lanús.</w:t>
      </w:r>
    </w:p>
    <w:p w:rsidR="00224567" w:rsidRDefault="00224567">
      <w:pPr>
        <w:widowControl w:val="0"/>
      </w:pPr>
      <w:r>
        <w:tab/>
        <w:t>Si bien durante el debate Juan Carlos Negrón, quien se desempeñara como jefe de la brigada de Lanús, afirmó que Anastasio Ireneo Leal lo conocía po</w:t>
      </w:r>
      <w:r>
        <w:t>r</w:t>
      </w:r>
      <w:r>
        <w:t>que había trabajado en esa dependencia, no  supo precisar ni el tiempo ni las funciones cumplidas en la br</w:t>
      </w:r>
      <w:r>
        <w:t>i</w:t>
      </w:r>
      <w:r>
        <w:t>gada.</w:t>
      </w:r>
    </w:p>
    <w:p w:rsidR="00224567" w:rsidRDefault="00224567">
      <w:pPr>
        <w:widowControl w:val="0"/>
      </w:pPr>
      <w:r>
        <w:tab/>
        <w:t>También para probar este extremo, c</w:t>
      </w:r>
      <w:r>
        <w:t>o</w:t>
      </w:r>
      <w:r>
        <w:t>nocimiento de Leal y Ribelli, los acusadores valoraron el testimonio prestado por Marcelo Antonio Bressi, quien afirmó durante el debate que conocía a Ribelli, Ibarra y Leal por razones de trab</w:t>
      </w:r>
      <w:r>
        <w:t>a</w:t>
      </w:r>
      <w:r>
        <w:t xml:space="preserve">jo; precisó que Leal estuvo en la brigada de Lanús desde fin de 1993 hasta principios de 1994 y que Ribelli cumplió funciones desde mayo de </w:t>
      </w:r>
      <w:smartTag w:uri="urn:schemas-microsoft-com:office:smarttags" w:element="metricconverter">
        <w:smartTagPr>
          <w:attr w:name="ProductID" w:val="1993 a"/>
        </w:smartTagPr>
        <w:r>
          <w:t>1993 a</w:t>
        </w:r>
      </w:smartTag>
      <w:r>
        <w:t xml:space="preserve"> novie</w:t>
      </w:r>
      <w:r>
        <w:t>m</w:t>
      </w:r>
      <w:r>
        <w:t>bre de 1994.</w:t>
      </w:r>
    </w:p>
    <w:p w:rsidR="00224567" w:rsidRDefault="00224567">
      <w:pPr>
        <w:widowControl w:val="0"/>
      </w:pPr>
      <w:r>
        <w:tab/>
        <w:t>Sin embargo, debe destacarse que ta</w:t>
      </w:r>
      <w:r>
        <w:t>n</w:t>
      </w:r>
      <w:r>
        <w:t>to Pupillo c</w:t>
      </w:r>
      <w:r>
        <w:t>o</w:t>
      </w:r>
      <w:r>
        <w:t>mo Bressi trabajaron varios años en ese destino (Pupillo desde el 13 de abril de 1990 hasta el 5 de d</w:t>
      </w:r>
      <w:r>
        <w:t>i</w:t>
      </w:r>
      <w:r>
        <w:t>ciembre de 1995 y Bressi desde el 8 de diciembre de 1992 hasta el 1º de enero de 1996) y lo hicieron tanto con Leal como con Ribelli por lo que no cabe de</w:t>
      </w:r>
      <w:r>
        <w:t>s</w:t>
      </w:r>
      <w:r>
        <w:t>cartar que se hayan confundido al afirmar que éstos se desempeñaron en la br</w:t>
      </w:r>
      <w:r>
        <w:t>i</w:t>
      </w:r>
      <w:r>
        <w:t>gada de Lanús en forma conjunta.</w:t>
      </w:r>
    </w:p>
    <w:p w:rsidR="00224567" w:rsidRDefault="00224567">
      <w:pPr>
        <w:widowControl w:val="0"/>
      </w:pPr>
      <w:r>
        <w:tab/>
        <w:t>También, con el mismo sentido, se v</w:t>
      </w:r>
      <w:r>
        <w:t>a</w:t>
      </w:r>
      <w:r>
        <w:t>loró el testimonio de Hugo Alberto Silva quien en el ju</w:t>
      </w:r>
      <w:r>
        <w:t>i</w:t>
      </w:r>
      <w:r>
        <w:t>cio oral al ser preguntado por la existencia de algún vínculo con los imputados, cuyo listado le fuera exhibido, refirió que conocía a Ibarra y a Leal como superiores s</w:t>
      </w:r>
      <w:r>
        <w:t>u</w:t>
      </w:r>
      <w:r>
        <w:t>yos. Lo que el testigo nu</w:t>
      </w:r>
      <w:r>
        <w:t>n</w:t>
      </w:r>
      <w:r>
        <w:t>ca dijo es que ambos se hubieran desempeñado simultáneamente en ese destino, que es la co</w:t>
      </w:r>
      <w:r>
        <w:t>n</w:t>
      </w:r>
      <w:r>
        <w:t>clusión a la que pretenden arribar los ac</w:t>
      </w:r>
      <w:r>
        <w:t>u</w:t>
      </w:r>
      <w:r>
        <w:t>sadores. Por las fechas en que Silva cumplió funciones en la brig</w:t>
      </w:r>
      <w:r>
        <w:t>a</w:t>
      </w:r>
      <w:r>
        <w:t>da, del 7 de agosto de 1984 al 29 de diciembre de 1993 (cfr. listado de fs. 1790/1795 del legajo de instrucción suplementaria), la hipótesis inversa a la sostenida por los ac</w:t>
      </w:r>
      <w:r>
        <w:t>u</w:t>
      </w:r>
      <w:r>
        <w:t>sadores, es decir, que Leal e Ibarra no hubieran trabajado simultáne</w:t>
      </w:r>
      <w:r>
        <w:t>a</w:t>
      </w:r>
      <w:r>
        <w:t>mente en la brigada de Lanús es perfect</w:t>
      </w:r>
      <w:r>
        <w:t>a</w:t>
      </w:r>
      <w:r>
        <w:t>mente posible.</w:t>
      </w:r>
    </w:p>
    <w:p w:rsidR="00224567" w:rsidRDefault="00224567">
      <w:pPr>
        <w:widowControl w:val="0"/>
      </w:pPr>
      <w:r>
        <w:tab/>
        <w:t>En definitiva, lo que se observa es que para acr</w:t>
      </w:r>
      <w:r>
        <w:t>e</w:t>
      </w:r>
      <w:r>
        <w:t>ditar la vinculación de Ribelli o Ibarra con Leal se valoró al menos parcialmente la prueba testimonial pr</w:t>
      </w:r>
      <w:r>
        <w:t>o</w:t>
      </w:r>
      <w:r>
        <w:t>ducida.</w:t>
      </w:r>
    </w:p>
    <w:p w:rsidR="00224567" w:rsidRDefault="00224567">
      <w:pPr>
        <w:widowControl w:val="0"/>
      </w:pPr>
      <w:r>
        <w:tab/>
        <w:t xml:space="preserve">Tampoco merituaron los testimonios de quienes estuvieron en la brigada de Lanús a partir del </w:t>
      </w:r>
      <w:r>
        <w:rPr>
          <w:b/>
          <w:bCs/>
        </w:rPr>
        <w:t>5 de mayo de 1993</w:t>
      </w:r>
      <w:r>
        <w:t xml:space="preserve"> (fecha en la que Leal dejó de trab</w:t>
      </w:r>
      <w:r>
        <w:t>a</w:t>
      </w:r>
      <w:r>
        <w:t>jar en ese destino, según el informe ya citado) y que manifest</w:t>
      </w:r>
      <w:r>
        <w:t>a</w:t>
      </w:r>
      <w:r>
        <w:t>ron no conocerlo. Así, corresponde citar los casos de Sa</w:t>
      </w:r>
      <w:r>
        <w:t>n</w:t>
      </w:r>
      <w:r>
        <w:t>dra Noemí Saucedo, Luis Piombi y Silvio Alberto Domí</w:t>
      </w:r>
      <w:r>
        <w:t>n</w:t>
      </w:r>
      <w:r>
        <w:t>guez, entre otros. Adviértase que la primera arr</w:t>
      </w:r>
      <w:r>
        <w:t>i</w:t>
      </w:r>
      <w:r>
        <w:t xml:space="preserve">bó a la brigada de Lanús el </w:t>
      </w:r>
      <w:r>
        <w:rPr>
          <w:b/>
          <w:bCs/>
        </w:rPr>
        <w:t>5 de mayo de 1993</w:t>
      </w:r>
      <w:r>
        <w:t xml:space="preserve"> y al igual que Silvio Albe</w:t>
      </w:r>
      <w:r>
        <w:t>r</w:t>
      </w:r>
      <w:r>
        <w:t>to Domínguez cumplieron funci</w:t>
      </w:r>
      <w:r>
        <w:t>o</w:t>
      </w:r>
      <w:r>
        <w:t>nes en la guardia por lo que participaban en la inscripción de las novedades. Por lo tanto, el desconocimiento que manifestaron de Leal debe ser resaltado, ya que si se encontraban destinados en la brigada, por sus funciones deberían haberlo incluido en esos asie</w:t>
      </w:r>
      <w:r>
        <w:t>n</w:t>
      </w:r>
      <w:r>
        <w:t>tos.</w:t>
      </w:r>
    </w:p>
    <w:p w:rsidR="00224567" w:rsidRDefault="00224567">
      <w:pPr>
        <w:widowControl w:val="0"/>
      </w:pPr>
      <w:r>
        <w:tab/>
        <w:t>También debe señalarse que Saucedo y Domínguez fueron preguntados específicamente por su con</w:t>
      </w:r>
      <w:r>
        <w:t>o</w:t>
      </w:r>
      <w:r>
        <w:t>cimiento de Leal, más allá de su negativa al ser interr</w:t>
      </w:r>
      <w:r>
        <w:t>o</w:t>
      </w:r>
      <w:r>
        <w:t>gados por si le comprendían las generales de la ley re</w:t>
      </w:r>
      <w:r>
        <w:t>s</w:t>
      </w:r>
      <w:r>
        <w:t>pecto a todos los imputados cuya lista se les exhibiera y contest</w:t>
      </w:r>
      <w:r>
        <w:t>a</w:t>
      </w:r>
      <w:r>
        <w:t>ron en forma negativa.</w:t>
      </w:r>
    </w:p>
    <w:p w:rsidR="00224567" w:rsidRDefault="00224567">
      <w:pPr>
        <w:widowControl w:val="0"/>
      </w:pPr>
      <w:r>
        <w:tab/>
        <w:t>Pero, más allá de todo lo expuesto, en cuanto a la inconsistencia de la prueba testimonial util</w:t>
      </w:r>
      <w:r>
        <w:t>i</w:t>
      </w:r>
      <w:r>
        <w:t>zada con el objeto de probar el vínculo entre Ribelli y Leal, debe señalarse que este tipo de prueba, por su nat</w:t>
      </w:r>
      <w:r>
        <w:t>u</w:t>
      </w:r>
      <w:r>
        <w:t>raleza, no resulta la más idónea para acreditar esa ci</w:t>
      </w:r>
      <w:r>
        <w:t>r</w:t>
      </w:r>
      <w:r>
        <w:t>cunsta</w:t>
      </w:r>
      <w:r>
        <w:t>n</w:t>
      </w:r>
      <w:r>
        <w:t>cia. Máxime cuando se encuentra agregada a la causa pru</w:t>
      </w:r>
      <w:r>
        <w:t>e</w:t>
      </w:r>
      <w:r>
        <w:t>ba documental precisa que la refuta.</w:t>
      </w:r>
    </w:p>
    <w:p w:rsidR="00224567" w:rsidRDefault="00224567">
      <w:pPr>
        <w:widowControl w:val="0"/>
      </w:pPr>
      <w:r>
        <w:tab/>
        <w:t>Entonces</w:t>
      </w:r>
      <w:r>
        <w:rPr>
          <w:b/>
          <w:bCs/>
        </w:rPr>
        <w:t>,</w:t>
      </w:r>
      <w:r>
        <w:t xml:space="preserve"> no puede soslayarse que los acusadores, en un acto de difícil explicación, omitiesen en el análisis de este punto, los informes específicos agregados a fs. 1.790/5 y 4.675/81 del legajo de instru</w:t>
      </w:r>
      <w:r>
        <w:t>c</w:t>
      </w:r>
      <w:r>
        <w:t>ción suplementaria, que dan cuenta del personal que hubi</w:t>
      </w:r>
      <w:r>
        <w:t>e</w:t>
      </w:r>
      <w:r>
        <w:t>ra trabajado en las brigadas de Lanús y Vicente López, respectiv</w:t>
      </w:r>
      <w:r>
        <w:t>a</w:t>
      </w:r>
      <w:r>
        <w:t>mente.</w:t>
      </w:r>
    </w:p>
    <w:p w:rsidR="00224567" w:rsidRDefault="00224567">
      <w:pPr>
        <w:widowControl w:val="0"/>
      </w:pPr>
      <w:r>
        <w:tab/>
        <w:t>Del primero de ellos, referido al pe</w:t>
      </w:r>
      <w:r>
        <w:t>r</w:t>
      </w:r>
      <w:r>
        <w:t>sonal de la brigada de Lanús, surge que Leal cumplió fu</w:t>
      </w:r>
      <w:r>
        <w:t>n</w:t>
      </w:r>
      <w:r>
        <w:t>ciones entre el 9 de diciembre de 1992 y el 5 de mayo de 1993, Ribelli entre esta última fecha y el 18 de n</w:t>
      </w:r>
      <w:r>
        <w:t>o</w:t>
      </w:r>
      <w:r>
        <w:t>viembre de 1994 e Ibarra desde el 23 de agosto de 1993 y el 25 de novie</w:t>
      </w:r>
      <w:r>
        <w:t>m</w:t>
      </w:r>
      <w:r>
        <w:t>bre de 1994.</w:t>
      </w:r>
    </w:p>
    <w:p w:rsidR="00224567" w:rsidRDefault="00224567">
      <w:pPr>
        <w:widowControl w:val="0"/>
      </w:pPr>
      <w:r>
        <w:tab/>
        <w:t>De esto se deduce que ni Ribelli ni Ibarra se desempeñaron en esa brigada en forma conjunta con Leal, tal como los imputados sostuvieron hasta el ha</w:t>
      </w:r>
      <w:r>
        <w:t>r</w:t>
      </w:r>
      <w:r>
        <w:t>tazgo.</w:t>
      </w:r>
    </w:p>
    <w:p w:rsidR="00224567" w:rsidRDefault="00224567">
      <w:pPr>
        <w:widowControl w:val="0"/>
      </w:pPr>
      <w:r>
        <w:tab/>
        <w:t>Amén de ello, debe destacarse que ya del menos detallado informe obrante a fs. 38.160/8, su</w:t>
      </w:r>
      <w:r>
        <w:t>r</w:t>
      </w:r>
      <w:r>
        <w:t>gía que durante 1994 Leal no se desempeñó en la brigada de L</w:t>
      </w:r>
      <w:r>
        <w:t>a</w:t>
      </w:r>
      <w:r>
        <w:t>nús.</w:t>
      </w:r>
    </w:p>
    <w:p w:rsidR="00224567" w:rsidRDefault="00224567">
      <w:pPr>
        <w:widowControl w:val="0"/>
      </w:pPr>
      <w:r>
        <w:tab/>
        <w:t>En síntesis, en base a lo expuesto forzoso es concluir que los acusadores en un afán de pr</w:t>
      </w:r>
      <w:r>
        <w:t>o</w:t>
      </w:r>
      <w:r>
        <w:t>bar un vínculo de Leal con Ribelli e Ibarra, se valieron de prueba que sabían o deb</w:t>
      </w:r>
      <w:r>
        <w:t>í</w:t>
      </w:r>
      <w:r>
        <w:t>an saber errada.</w:t>
      </w:r>
    </w:p>
    <w:p w:rsidR="00224567" w:rsidRDefault="00224567">
      <w:pPr>
        <w:widowControl w:val="0"/>
      </w:pPr>
      <w:r>
        <w:tab/>
        <w:t>La documental que acredita que Leal trabajó en la br</w:t>
      </w:r>
      <w:r>
        <w:t>i</w:t>
      </w:r>
      <w:r>
        <w:t>gada de Lanús hasta el 5 de mayo de 1993, es decir, con ant</w:t>
      </w:r>
      <w:r>
        <w:t>e</w:t>
      </w:r>
      <w:r>
        <w:t>rioridad al arribo de Ribelli e Ibarra, no se agota en los informes detallados. En el mismo sent</w:t>
      </w:r>
      <w:r>
        <w:t>i</w:t>
      </w:r>
      <w:r>
        <w:t>do, debe valorarse el legajo ficha personal permanente nº 13.301 correspondiente a Anastasio Ireneo Leal. Efectiv</w:t>
      </w:r>
      <w:r>
        <w:t>a</w:t>
      </w:r>
      <w:r>
        <w:t>mente, este legajo coincide en señalar que el nombrado prestó funciones en la brigada de Lanús desde el 9 de d</w:t>
      </w:r>
      <w:r>
        <w:t>i</w:t>
      </w:r>
      <w:r>
        <w:t>cie</w:t>
      </w:r>
      <w:r>
        <w:t>m</w:t>
      </w:r>
      <w:r>
        <w:t xml:space="preserve">bre de 1992 al </w:t>
      </w:r>
      <w:r>
        <w:rPr>
          <w:b/>
          <w:bCs/>
        </w:rPr>
        <w:t>5 de mayo de 1993</w:t>
      </w:r>
      <w:r>
        <w:t>.</w:t>
      </w:r>
    </w:p>
    <w:p w:rsidR="00224567" w:rsidRDefault="00224567">
      <w:pPr>
        <w:widowControl w:val="0"/>
      </w:pPr>
      <w:r>
        <w:tab/>
      </w:r>
      <w:r>
        <w:rPr>
          <w:b/>
          <w:bCs/>
        </w:rPr>
        <w:t>C.2.d.iii.B)</w:t>
      </w:r>
      <w:r>
        <w:t xml:space="preserve"> También se pretendió co</w:t>
      </w:r>
      <w:r>
        <w:t>m</w:t>
      </w:r>
      <w:r>
        <w:t>probar la vinculación entre Leal y Ribelli, al sostener que tuvieron varios subalternos comunes. Más allá de que la querellante no precisó a qué subalternos comunes se r</w:t>
      </w:r>
      <w:r>
        <w:t>e</w:t>
      </w:r>
      <w:r>
        <w:t>fería, de ning</w:t>
      </w:r>
      <w:r>
        <w:t>u</w:t>
      </w:r>
      <w:r>
        <w:t>na manera a partir de esa premisa se puede arribar a la conclusión refer</w:t>
      </w:r>
      <w:r>
        <w:t>i</w:t>
      </w:r>
      <w:r>
        <w:t>da.</w:t>
      </w:r>
    </w:p>
    <w:p w:rsidR="00224567" w:rsidRDefault="00224567">
      <w:pPr>
        <w:widowControl w:val="0"/>
      </w:pPr>
      <w:r>
        <w:tab/>
        <w:t>Además se intentó fundar ese vínculo entre los imputados partiendo de que Leal y Ribelli tuvi</w:t>
      </w:r>
      <w:r>
        <w:t>e</w:t>
      </w:r>
      <w:r>
        <w:t>ron también superiores comunes. Esa conclusión merece s</w:t>
      </w:r>
      <w:r>
        <w:t>e</w:t>
      </w:r>
      <w:r>
        <w:t>rios rep</w:t>
      </w:r>
      <w:r>
        <w:t>a</w:t>
      </w:r>
      <w:r>
        <w:t>ros de orden lógico. Inicialmente debe recordarse que en una institución jerarquizada como la policía bona</w:t>
      </w:r>
      <w:r>
        <w:t>e</w:t>
      </w:r>
      <w:r>
        <w:t>rense es tan normal como posible que alg</w:t>
      </w:r>
      <w:r>
        <w:t>u</w:t>
      </w:r>
      <w:r>
        <w:t>nos funcionarios tengan superiores comunes. Pero aún así, jamás puede ded</w:t>
      </w:r>
      <w:r>
        <w:t>u</w:t>
      </w:r>
      <w:r>
        <w:t>cirse de ese dato –superiores c</w:t>
      </w:r>
      <w:r>
        <w:t>o</w:t>
      </w:r>
      <w:r>
        <w:t>munes– que los imputados  –particularmente Leal y Ribelli– se conocieran y partic</w:t>
      </w:r>
      <w:r>
        <w:t>i</w:t>
      </w:r>
      <w:r>
        <w:t>paran conjuntamente en diversos ilíc</w:t>
      </w:r>
      <w:r>
        <w:t>i</w:t>
      </w:r>
      <w:r>
        <w:t>tos.</w:t>
      </w:r>
    </w:p>
    <w:p w:rsidR="00224567" w:rsidRDefault="00224567">
      <w:pPr>
        <w:widowControl w:val="0"/>
      </w:pPr>
      <w:r>
        <w:tab/>
        <w:t>Con este mismo prisma debe analizarse la afirmación del doctor Ávila cuando afirmó que Leal e</w:t>
      </w:r>
      <w:r>
        <w:t>s</w:t>
      </w:r>
      <w:r>
        <w:t>tuvo con Bacig</w:t>
      </w:r>
      <w:r>
        <w:t>a</w:t>
      </w:r>
      <w:r>
        <w:t>lupo, Mantel, Maisú y Eduardo Ismael Gómez, gente de íntima vinculación con R</w:t>
      </w:r>
      <w:r>
        <w:t>i</w:t>
      </w:r>
      <w:r>
        <w:t>belli.</w:t>
      </w:r>
    </w:p>
    <w:p w:rsidR="00224567" w:rsidRDefault="00224567">
      <w:pPr>
        <w:widowControl w:val="0"/>
      </w:pPr>
      <w:r>
        <w:tab/>
      </w:r>
      <w:r>
        <w:rPr>
          <w:b/>
          <w:bCs/>
        </w:rPr>
        <w:t>C.2.d.iii.C)</w:t>
      </w:r>
      <w:r>
        <w:t xml:space="preserve"> Ahora bien, luego de que se insistiera, para probar el ilícito endilgado, con la vinculación entre los imputados y aún entre las brigadas en las que trabajaban, subsidiariamente se planteó que no era necesaria, a tal fin, ningún tipo de relación entre aquellos.</w:t>
      </w:r>
    </w:p>
    <w:p w:rsidR="00224567" w:rsidRDefault="00224567">
      <w:pPr>
        <w:widowControl w:val="0"/>
      </w:pPr>
      <w:r>
        <w:tab/>
        <w:t>Así, se sostuvo que “para imputarle a Leal lo que aquí se le imputa no hace falta tener ni ami</w:t>
      </w:r>
      <w:r>
        <w:t>s</w:t>
      </w:r>
      <w:r>
        <w:t>tad ni relación estrecha, sobraba con la personal</w:t>
      </w:r>
      <w:r>
        <w:t>i</w:t>
      </w:r>
      <w:r>
        <w:t>dad y el poder de Ribelli en 1994. Tampoco es necesario que haya probada una relación entre las br</w:t>
      </w:r>
      <w:r>
        <w:t>i</w:t>
      </w:r>
      <w:r>
        <w:t>gadas”.</w:t>
      </w:r>
    </w:p>
    <w:p w:rsidR="00224567" w:rsidRDefault="00224567">
      <w:pPr>
        <w:widowControl w:val="0"/>
      </w:pPr>
      <w:r>
        <w:tab/>
        <w:t>Si la conexión entre las brigadas –que no se acreditó– o entre Leal y Ribelli –que tampoco se comprobó– no resultaba suficiente para corroborar que h</w:t>
      </w:r>
      <w:r>
        <w:t>u</w:t>
      </w:r>
      <w:r>
        <w:t>bieran participado conjuntamente en la comisión del d</w:t>
      </w:r>
      <w:r>
        <w:t>e</w:t>
      </w:r>
      <w:r>
        <w:t>lito imputado, mucho menos si, desde la valoración de la pers</w:t>
      </w:r>
      <w:r>
        <w:t>o</w:t>
      </w:r>
      <w:r>
        <w:t>nalidad de algunos de los acusados, se afirma dogmátic</w:t>
      </w:r>
      <w:r>
        <w:t>a</w:t>
      </w:r>
      <w:r>
        <w:t>mente que “la voluntad de Leal fue captada por Ribelli y su gente p</w:t>
      </w:r>
      <w:r>
        <w:t>a</w:t>
      </w:r>
      <w:r>
        <w:t xml:space="preserve">ra que interviniese en el hecho del </w:t>
      </w:r>
      <w:smartTag w:uri="urn:schemas-microsoft-com:office:smarttags" w:element="metricconverter">
        <w:smartTagPr>
          <w:attr w:name="ProductID" w:val="10”"/>
        </w:smartTagPr>
        <w:r>
          <w:t>10”</w:t>
        </w:r>
      </w:smartTag>
      <w:r>
        <w:t>.</w:t>
      </w:r>
    </w:p>
    <w:p w:rsidR="00224567" w:rsidRDefault="00224567">
      <w:pPr>
        <w:widowControl w:val="0"/>
      </w:pPr>
      <w:r>
        <w:tab/>
        <w:t>Con el mismo sentido se ha señalado que no era necesaria una vinculación entre las brigadas sino que bastaba una pequeña explicación y una orden de Ribelli a Leal para que le consiguiera esa camioneta. Ello, desde que Leal era un oficial de menor jerarquía con lo cual qu</w:t>
      </w:r>
      <w:r>
        <w:t>e</w:t>
      </w:r>
      <w:r>
        <w:t>daba asegurada una cuota de obediencia.</w:t>
      </w:r>
    </w:p>
    <w:p w:rsidR="00224567" w:rsidRDefault="00224567">
      <w:pPr>
        <w:widowControl w:val="0"/>
      </w:pPr>
      <w:r>
        <w:tab/>
      </w:r>
      <w:r>
        <w:rPr>
          <w:b/>
          <w:bCs/>
        </w:rPr>
        <w:t>C.2.d.iii.D)</w:t>
      </w:r>
      <w:r>
        <w:t xml:space="preserve"> Como ya se dijera los acusadores utilizaron la exhibición de las placas polici</w:t>
      </w:r>
      <w:r>
        <w:t>a</w:t>
      </w:r>
      <w:r>
        <w:t>les durante la persecución a Telle</w:t>
      </w:r>
      <w:r>
        <w:t>l</w:t>
      </w:r>
      <w:r>
        <w:t>dín y Boragni efectuada el 14 de julio de 1994 por integrantes de la brigada de Vicente L</w:t>
      </w:r>
      <w:r>
        <w:t>ó</w:t>
      </w:r>
      <w:r>
        <w:t>pez, para demostrar su conexión con sus pares de L</w:t>
      </w:r>
      <w:r>
        <w:t>a</w:t>
      </w:r>
      <w:r>
        <w:t>nús.</w:t>
      </w:r>
    </w:p>
    <w:p w:rsidR="00224567" w:rsidRDefault="00224567">
      <w:pPr>
        <w:widowControl w:val="0"/>
      </w:pPr>
      <w:r>
        <w:tab/>
        <w:t>Se razonó que esa exhibición obedecía a la justificación que efectuara Telleldín respecto a su huida en el procedimiento del 15 de marzo protagonizado por pers</w:t>
      </w:r>
      <w:r>
        <w:t>o</w:t>
      </w:r>
      <w:r>
        <w:t>nal de la brigada de Lanús.</w:t>
      </w:r>
    </w:p>
    <w:p w:rsidR="00224567" w:rsidRDefault="00224567">
      <w:pPr>
        <w:widowControl w:val="0"/>
      </w:pPr>
      <w:r>
        <w:tab/>
        <w:t>Corresponde aquí reiterar que la ide</w:t>
      </w:r>
      <w:r>
        <w:t>n</w:t>
      </w:r>
      <w:r>
        <w:t>tificación de los policías mediante sus credenciales no resulta un proceder anómalo, sino todo lo contrario, ya que aparece como un recaudo lícito del personal policial al m</w:t>
      </w:r>
      <w:r>
        <w:t>o</w:t>
      </w:r>
      <w:r>
        <w:t>mento de intentar la detención de personas que le son e</w:t>
      </w:r>
      <w:r>
        <w:t>x</w:t>
      </w:r>
      <w:r>
        <w:t>trañas.</w:t>
      </w:r>
    </w:p>
    <w:p w:rsidR="00224567" w:rsidRDefault="00224567">
      <w:pPr>
        <w:widowControl w:val="0"/>
      </w:pPr>
      <w:r>
        <w:tab/>
        <w:t>Por lo expuesto, mal puede relacioná</w:t>
      </w:r>
      <w:r>
        <w:t>r</w:t>
      </w:r>
      <w:r>
        <w:t>selo inequívocamente con aquella detención frustrada, ni aún con el carácter indiciario que invoca la doctora Ne</w:t>
      </w:r>
      <w:r>
        <w:t>r</w:t>
      </w:r>
      <w:r>
        <w:t>cellas.</w:t>
      </w:r>
    </w:p>
    <w:p w:rsidR="00224567" w:rsidRDefault="00224567">
      <w:pPr>
        <w:widowControl w:val="0"/>
      </w:pPr>
      <w:r>
        <w:tab/>
        <w:t>La interpretación de esa exhibición como un diálogo en el que personal policial le dijera a Telleldín “no te vuelvas a confundir, no te venimos a r</w:t>
      </w:r>
      <w:r>
        <w:t>o</w:t>
      </w:r>
      <w:r>
        <w:t>bar, s</w:t>
      </w:r>
      <w:r>
        <w:t>o</w:t>
      </w:r>
      <w:r>
        <w:t>mos policías” debe adjudicarse exclusivamente a la imagin</w:t>
      </w:r>
      <w:r>
        <w:t>a</w:t>
      </w:r>
      <w:r>
        <w:t>ción de la letrada.</w:t>
      </w:r>
    </w:p>
    <w:p w:rsidR="00224567" w:rsidRDefault="00224567">
      <w:pPr>
        <w:widowControl w:val="0"/>
      </w:pPr>
      <w:r>
        <w:tab/>
        <w:t>Por otra parte debe destacarse que en el mismo sentido de las conclusiones arribadas, como se desprende de la constancia de fs. 3451/2 del legajo de instrucción suplementaria integrante del informe confe</w:t>
      </w:r>
      <w:r>
        <w:t>c</w:t>
      </w:r>
      <w:r>
        <w:t xml:space="preserve">cionado por </w:t>
      </w:r>
      <w:smartTag w:uri="urn:schemas-microsoft-com:office:smarttags" w:element="PersonName">
        <w:smartTagPr>
          <w:attr w:name="ProductID" w:val="la D.U"/>
        </w:smartTagPr>
        <w:r>
          <w:t>la D.U</w:t>
        </w:r>
      </w:smartTag>
      <w:r>
        <w:t>.I.A., no se corroboró ningún interca</w:t>
      </w:r>
      <w:r>
        <w:t>m</w:t>
      </w:r>
      <w:r>
        <w:t>bio telefónico entre el teléfono celular de Anastasio Ir</w:t>
      </w:r>
      <w:r>
        <w:t>e</w:t>
      </w:r>
      <w:r>
        <w:t>neo Leal y los correspondientes a los demás imputados de la brigada de Lanús, entre junio de 1994 y agosto de 1996.</w:t>
      </w:r>
    </w:p>
    <w:p w:rsidR="00224567" w:rsidRDefault="00224567">
      <w:pPr>
        <w:widowControl w:val="0"/>
      </w:pPr>
      <w:r>
        <w:tab/>
      </w:r>
      <w:r>
        <w:rPr>
          <w:b/>
          <w:bCs/>
        </w:rPr>
        <w:t>C.2.D.iii.E)</w:t>
      </w:r>
      <w:r>
        <w:t xml:space="preserve"> También se pretendió co</w:t>
      </w:r>
      <w:r>
        <w:t>m</w:t>
      </w:r>
      <w:r>
        <w:t>probar la vinculación entre los imputados, a partir del trabajo conjunto entre distintas brigadas. La dil</w:t>
      </w:r>
      <w:r>
        <w:t>u</w:t>
      </w:r>
      <w:r>
        <w:t>cidación de este aspecto en realidad nada aporta a la eventual c</w:t>
      </w:r>
      <w:r>
        <w:t>o</w:t>
      </w:r>
      <w:r>
        <w:t>nexión entre los acus</w:t>
      </w:r>
      <w:r>
        <w:t>a</w:t>
      </w:r>
      <w:r>
        <w:t>dos.</w:t>
      </w:r>
    </w:p>
    <w:p w:rsidR="00224567" w:rsidRDefault="00224567">
      <w:pPr>
        <w:widowControl w:val="0"/>
      </w:pPr>
      <w:r>
        <w:tab/>
        <w:t>En efecto, de poco serviría corrob</w:t>
      </w:r>
      <w:r>
        <w:t>o</w:t>
      </w:r>
      <w:r>
        <w:t>rar que las brigadas realizaran trabajos legales en forma co</w:t>
      </w:r>
      <w:r>
        <w:t>n</w:t>
      </w:r>
      <w:r>
        <w:t>junta o no lo hicieran, para verificar que en un caso co</w:t>
      </w:r>
      <w:r>
        <w:t>n</w:t>
      </w:r>
      <w:r>
        <w:t>creto integrantes de distintas reparticiones hubieran acordado partic</w:t>
      </w:r>
      <w:r>
        <w:t>i</w:t>
      </w:r>
      <w:r>
        <w:t>par en un hecho ilícito.</w:t>
      </w:r>
    </w:p>
    <w:p w:rsidR="00224567" w:rsidRDefault="00224567">
      <w:pPr>
        <w:widowControl w:val="0"/>
      </w:pPr>
      <w:r>
        <w:tab/>
        <w:t>En este sentido se valoró que Barreda quien se desemp</w:t>
      </w:r>
      <w:r>
        <w:t>e</w:t>
      </w:r>
      <w:r>
        <w:t>ñaba en la brigada de San Martín, hubiere brindado información a personal de Vicente López para ll</w:t>
      </w:r>
      <w:r>
        <w:t>e</w:t>
      </w:r>
      <w:r>
        <w:t>var a cabo el proced</w:t>
      </w:r>
      <w:r>
        <w:t>i</w:t>
      </w:r>
      <w:r>
        <w:t>miento del 14 de julio de 1994.</w:t>
      </w:r>
    </w:p>
    <w:p w:rsidR="00224567" w:rsidRDefault="00224567">
      <w:pPr>
        <w:widowControl w:val="0"/>
      </w:pPr>
      <w:r>
        <w:tab/>
        <w:t>Con idéntico fundamento se aludió a los dichos de Pablo Gabriel Such y Manuel Enrique Ga</w:t>
      </w:r>
      <w:r>
        <w:t>r</w:t>
      </w:r>
      <w:r>
        <w:t>cía.</w:t>
      </w:r>
    </w:p>
    <w:p w:rsidR="00224567" w:rsidRDefault="00224567">
      <w:pPr>
        <w:widowControl w:val="0"/>
      </w:pPr>
      <w:r>
        <w:tab/>
        <w:t>Debe destacarse que nuevamente la v</w:t>
      </w:r>
      <w:r>
        <w:t>a</w:t>
      </w:r>
      <w:r>
        <w:t>loración de los test</w:t>
      </w:r>
      <w:r>
        <w:t>i</w:t>
      </w:r>
      <w:r>
        <w:t>monios se encuentra divorciada de su conten</w:t>
      </w:r>
      <w:r>
        <w:t>i</w:t>
      </w:r>
      <w:r>
        <w:t>do.</w:t>
      </w:r>
    </w:p>
    <w:p w:rsidR="00224567" w:rsidRDefault="00224567">
      <w:pPr>
        <w:widowControl w:val="0"/>
      </w:pPr>
      <w:r>
        <w:tab/>
        <w:t>Así, el primero de los nombrados, c</w:t>
      </w:r>
      <w:r>
        <w:t>o</w:t>
      </w:r>
      <w:r>
        <w:t>mo integrante de la división policial que fuera comisionada para auxiliar al juzgado instructor, ref</w:t>
      </w:r>
      <w:r>
        <w:t>i</w:t>
      </w:r>
      <w:r>
        <w:t>rió inicialmente que surgía alguna vinculación entre los policías imp</w:t>
      </w:r>
      <w:r>
        <w:t>u</w:t>
      </w:r>
      <w:r>
        <w:t>tados que la derivó de la lectura del material que se le aport</w:t>
      </w:r>
      <w:r>
        <w:t>a</w:t>
      </w:r>
      <w:r>
        <w:t>ra y de los dichos de Telleldín.</w:t>
      </w:r>
    </w:p>
    <w:p w:rsidR="00224567" w:rsidRDefault="00224567">
      <w:pPr>
        <w:widowControl w:val="0"/>
      </w:pPr>
      <w:r>
        <w:tab/>
        <w:t>Sin embargo, en ocasión de exigírsele que precis</w:t>
      </w:r>
      <w:r>
        <w:t>a</w:t>
      </w:r>
      <w:r>
        <w:t>ra cuáles eran los elementos probatorios que le perm</w:t>
      </w:r>
      <w:r>
        <w:t>i</w:t>
      </w:r>
      <w:r>
        <w:t>tían arribar a esa conclusión, Such respondió que no reco</w:t>
      </w:r>
      <w:r>
        <w:t>r</w:t>
      </w:r>
      <w:r>
        <w:t>daba ninguno.</w:t>
      </w:r>
    </w:p>
    <w:p w:rsidR="00224567" w:rsidRDefault="00224567">
      <w:pPr>
        <w:widowControl w:val="0"/>
      </w:pPr>
      <w:r>
        <w:tab/>
        <w:t>Manuel Enrique García destacó que en tareas de magnitud y cuándo la información que origina el trabajo es compartida, es posible que distintas brigadas trabajen en forma conju</w:t>
      </w:r>
      <w:r>
        <w:t>n</w:t>
      </w:r>
      <w:r>
        <w:t>ta. Pero luego sostuvo –y este es el tramo omitido por el acusador e</w:t>
      </w:r>
      <w:r>
        <w:t>s</w:t>
      </w:r>
      <w:r>
        <w:t>tatal en su valoración– que respecto del tema de T</w:t>
      </w:r>
      <w:r>
        <w:t>e</w:t>
      </w:r>
      <w:r>
        <w:t>lleldín no se trabajó con otra brigada, aunque aclaró que Barreda aportó información para el procedimiento. Negó específicamente que existiera alg</w:t>
      </w:r>
      <w:r>
        <w:t>u</w:t>
      </w:r>
      <w:r>
        <w:t>na conexión en la forma de trabajo o de detención con la brigada de L</w:t>
      </w:r>
      <w:r>
        <w:t>a</w:t>
      </w:r>
      <w:r>
        <w:t>nús.</w:t>
      </w:r>
    </w:p>
    <w:p w:rsidR="00224567" w:rsidRDefault="00224567">
      <w:pPr>
        <w:widowControl w:val="0"/>
      </w:pPr>
      <w:r>
        <w:tab/>
      </w:r>
      <w:r>
        <w:rPr>
          <w:b/>
          <w:bCs/>
        </w:rPr>
        <w:t>C.2.d.iii.F)</w:t>
      </w:r>
      <w:r>
        <w:t xml:space="preserve"> Finalmente, como prueba de la vinculación de las brigadas de Lanús y Vicente L</w:t>
      </w:r>
      <w:r>
        <w:t>ó</w:t>
      </w:r>
      <w:r>
        <w:t>pez, se señaló que la escribana Benincasa –mencionada por Solari como persona conectada con árabes– recibió ll</w:t>
      </w:r>
      <w:r>
        <w:t>a</w:t>
      </w:r>
      <w:r>
        <w:t>madas del comando de Patrullas de Lanús y de Catinari (un ex p</w:t>
      </w:r>
      <w:r>
        <w:t>o</w:t>
      </w:r>
      <w:r>
        <w:t>licía de la brigada de Lanús). Este Catinari habría regi</w:t>
      </w:r>
      <w:r>
        <w:t>s</w:t>
      </w:r>
      <w:r>
        <w:t>trado conversaciones con Ribelli, Córd</w:t>
      </w:r>
      <w:r>
        <w:t>o</w:t>
      </w:r>
      <w:r>
        <w:t>ba y Villagra; éste último se había comunicado con Leal, Barreda, Bareiro y Rago.</w:t>
      </w:r>
    </w:p>
    <w:p w:rsidR="00224567" w:rsidRDefault="00224567">
      <w:pPr>
        <w:widowControl w:val="0"/>
      </w:pPr>
      <w:r>
        <w:tab/>
        <w:t>No se explica cómo la querella luego de asignarle a estos datos el carácter de mera casual</w:t>
      </w:r>
      <w:r>
        <w:t>i</w:t>
      </w:r>
      <w:r>
        <w:t>dad –negando i</w:t>
      </w:r>
      <w:r>
        <w:t>n</w:t>
      </w:r>
      <w:r>
        <w:t>cluso que pudiera constituir un indicio– luego lo valora como un elemento de cargo hacia los policías imput</w:t>
      </w:r>
      <w:r>
        <w:t>a</w:t>
      </w:r>
      <w:r>
        <w:t>dos.</w:t>
      </w:r>
    </w:p>
    <w:p w:rsidR="00224567" w:rsidRDefault="00224567">
      <w:pPr>
        <w:widowControl w:val="0"/>
      </w:pPr>
      <w:r>
        <w:tab/>
        <w:t>Un somero estudio de las premisas y de la conclusión arribada, devela que la consecuencia prete</w:t>
      </w:r>
      <w:r>
        <w:t>n</w:t>
      </w:r>
      <w:r>
        <w:t>dida –vinculación entre integrantes de ambas brigadas– r</w:t>
      </w:r>
      <w:r>
        <w:t>e</w:t>
      </w:r>
      <w:r>
        <w:t>sulta arbitraria y antojadiza, desde que al menos ha sa</w:t>
      </w:r>
      <w:r>
        <w:t>l</w:t>
      </w:r>
      <w:r>
        <w:t>teado diversos pasos lógicos en su razon</w:t>
      </w:r>
      <w:r>
        <w:t>a</w:t>
      </w:r>
      <w:r>
        <w:t>miento.</w:t>
      </w:r>
    </w:p>
    <w:p w:rsidR="00224567" w:rsidRDefault="00224567">
      <w:pPr>
        <w:widowControl w:val="0"/>
      </w:pPr>
      <w:r>
        <w:tab/>
        <w:t>En efecto, mediante estos llamados no se puede conectar a las brigadas entre sí, ni a sus int</w:t>
      </w:r>
      <w:r>
        <w:t>e</w:t>
      </w:r>
      <w:r>
        <w:t>grantes, ya que la vinculación pretendida resulta sumame</w:t>
      </w:r>
      <w:r>
        <w:t>n</w:t>
      </w:r>
      <w:r>
        <w:t>te r</w:t>
      </w:r>
      <w:r>
        <w:t>e</w:t>
      </w:r>
      <w:r>
        <w:t>mota y forzada.</w:t>
      </w:r>
    </w:p>
    <w:p w:rsidR="00224567" w:rsidRDefault="00224567">
      <w:pPr>
        <w:pStyle w:val="Ttulo6"/>
        <w:keepNext w:val="0"/>
        <w:widowControl w:val="0"/>
        <w:spacing w:line="600" w:lineRule="auto"/>
        <w:rPr>
          <w:rFonts w:cs="Courier New"/>
          <w:u w:val="none"/>
        </w:rPr>
      </w:pPr>
      <w:r>
        <w:rPr>
          <w:rFonts w:cs="Courier New"/>
          <w:u w:val="none"/>
        </w:rPr>
        <w:tab/>
      </w:r>
      <w:bookmarkStart w:id="208" w:name="_Toc79905059"/>
      <w:bookmarkStart w:id="209" w:name="_Toc86731984"/>
      <w:r>
        <w:rPr>
          <w:rFonts w:cs="Courier New"/>
          <w:u w:val="none"/>
        </w:rPr>
        <w:t xml:space="preserve">C.2.d.iv) </w:t>
      </w:r>
      <w:r>
        <w:rPr>
          <w:rFonts w:cs="Courier New"/>
          <w:b w:val="0"/>
          <w:bCs/>
          <w:u w:val="none"/>
        </w:rPr>
        <w:t>El alegado interés premat</w:t>
      </w:r>
      <w:r>
        <w:rPr>
          <w:rFonts w:cs="Courier New"/>
          <w:b w:val="0"/>
          <w:bCs/>
          <w:u w:val="none"/>
        </w:rPr>
        <w:t>u</w:t>
      </w:r>
      <w:r>
        <w:rPr>
          <w:rFonts w:cs="Courier New"/>
          <w:b w:val="0"/>
          <w:bCs/>
          <w:u w:val="none"/>
        </w:rPr>
        <w:t>ro de los imputados en la obtención de una cami</w:t>
      </w:r>
      <w:r>
        <w:rPr>
          <w:rFonts w:cs="Courier New"/>
          <w:b w:val="0"/>
          <w:bCs/>
          <w:u w:val="none"/>
        </w:rPr>
        <w:t>o</w:t>
      </w:r>
      <w:r>
        <w:rPr>
          <w:rFonts w:cs="Courier New"/>
          <w:b w:val="0"/>
          <w:bCs/>
          <w:u w:val="none"/>
        </w:rPr>
        <w:t>neta Trafic.</w:t>
      </w:r>
      <w:bookmarkEnd w:id="208"/>
      <w:bookmarkEnd w:id="209"/>
    </w:p>
    <w:p w:rsidR="00224567" w:rsidRDefault="00224567">
      <w:pPr>
        <w:pStyle w:val="Ttulo7"/>
        <w:widowControl w:val="0"/>
        <w:rPr>
          <w:bCs/>
        </w:rPr>
      </w:pPr>
      <w:r>
        <w:rPr>
          <w:b/>
        </w:rPr>
        <w:tab/>
      </w:r>
      <w:bookmarkStart w:id="210" w:name="_Toc79905060"/>
      <w:bookmarkStart w:id="211" w:name="_Toc86731985"/>
      <w:r>
        <w:rPr>
          <w:b/>
        </w:rPr>
        <w:t xml:space="preserve">C.2.d.iv.A) </w:t>
      </w:r>
      <w:r>
        <w:rPr>
          <w:bCs/>
        </w:rPr>
        <w:t>Los llamados telefónicos al domicilio de T</w:t>
      </w:r>
      <w:r>
        <w:rPr>
          <w:bCs/>
        </w:rPr>
        <w:t>e</w:t>
      </w:r>
      <w:r>
        <w:rPr>
          <w:bCs/>
        </w:rPr>
        <w:t>lleldín el 28 de mayo de 1994.</w:t>
      </w:r>
      <w:bookmarkEnd w:id="210"/>
      <w:bookmarkEnd w:id="211"/>
    </w:p>
    <w:p w:rsidR="00224567" w:rsidRDefault="00224567">
      <w:pPr>
        <w:widowControl w:val="0"/>
      </w:pPr>
      <w:r>
        <w:tab/>
      </w:r>
      <w:r>
        <w:rPr>
          <w:b/>
          <w:bCs/>
        </w:rPr>
        <w:t>C.2.d.iv.A.1)</w:t>
      </w:r>
      <w:r>
        <w:t xml:space="preserve"> También se pretendió c</w:t>
      </w:r>
      <w:r>
        <w:t>o</w:t>
      </w:r>
      <w:r>
        <w:t>rroborar la participación en el atentado de los ex pol</w:t>
      </w:r>
      <w:r>
        <w:t>i</w:t>
      </w:r>
      <w:r>
        <w:t>cías bonaerenses imputados al afirmar que, ya un mes y m</w:t>
      </w:r>
      <w:r>
        <w:t>e</w:t>
      </w:r>
      <w:r>
        <w:t>dio antes de que aquellos retiraran la camioneta Trafic de República 107, Ribelli había demostrado su interés en a</w:t>
      </w:r>
      <w:r>
        <w:t>d</w:t>
      </w:r>
      <w:r>
        <w:t>quirir un vehículo de esas característ</w:t>
      </w:r>
      <w:r>
        <w:t>i</w:t>
      </w:r>
      <w:r>
        <w:t>cas.</w:t>
      </w:r>
    </w:p>
    <w:p w:rsidR="00224567" w:rsidRDefault="00224567">
      <w:pPr>
        <w:widowControl w:val="0"/>
      </w:pPr>
      <w:r>
        <w:tab/>
        <w:t>A tal fin se destacaron la existencia de dos comunicaci</w:t>
      </w:r>
      <w:r>
        <w:t>o</w:t>
      </w:r>
      <w:r>
        <w:t xml:space="preserve">nes efectuadas el 28 de mayo de </w:t>
      </w:r>
      <w:smartTag w:uri="urn:schemas-microsoft-com:office:smarttags" w:element="metricconverter">
        <w:smartTagPr>
          <w:attr w:name="ProductID" w:val="1994, a"/>
        </w:smartTagPr>
        <w:r>
          <w:t>1994, a</w:t>
        </w:r>
      </w:smartTag>
      <w:r>
        <w:t xml:space="preserve"> las 14:08 y 14:26 respectivame</w:t>
      </w:r>
      <w:r>
        <w:t>n</w:t>
      </w:r>
      <w:r>
        <w:t>te, desde el teléfono 448-0447 –cuyo titular era Juan José Ribelli– al 768-0902, c</w:t>
      </w:r>
      <w:r>
        <w:t>o</w:t>
      </w:r>
      <w:r>
        <w:t>rrespondiente al d</w:t>
      </w:r>
      <w:r>
        <w:t>o</w:t>
      </w:r>
      <w:r>
        <w:t>micilio de Telleldín.</w:t>
      </w:r>
    </w:p>
    <w:p w:rsidR="00224567" w:rsidRDefault="00224567">
      <w:pPr>
        <w:widowControl w:val="0"/>
      </w:pPr>
      <w:r>
        <w:tab/>
        <w:t>Se sostuvo que esta circunstancia co</w:t>
      </w:r>
      <w:r>
        <w:t>n</w:t>
      </w:r>
      <w:r>
        <w:t>tribuía a probar el dolo de los imputados, es decir, a d</w:t>
      </w:r>
      <w:r>
        <w:t>e</w:t>
      </w:r>
      <w:r>
        <w:t>mostrar que había un interés muy particular en o</w:t>
      </w:r>
      <w:r>
        <w:t>b</w:t>
      </w:r>
      <w:r>
        <w:t>tener un vehículo de estas características para destinarlo a la e</w:t>
      </w:r>
      <w:r>
        <w:t>x</w:t>
      </w:r>
      <w:r>
        <w:t>plosión que produciría un número indeterminado de mue</w:t>
      </w:r>
      <w:r>
        <w:t>r</w:t>
      </w:r>
      <w:r>
        <w:t>tes.</w:t>
      </w:r>
    </w:p>
    <w:p w:rsidR="00224567" w:rsidRDefault="00224567">
      <w:pPr>
        <w:widowControl w:val="0"/>
      </w:pPr>
      <w:r>
        <w:tab/>
        <w:t>Toda vez que no se acreditó que T</w:t>
      </w:r>
      <w:r>
        <w:t>e</w:t>
      </w:r>
      <w:r>
        <w:t>lleldín entregara la camioneta Trafic a los ex policías bonaerenses imputados el 10 de julio de 1994 –como sost</w:t>
      </w:r>
      <w:r>
        <w:t>u</w:t>
      </w:r>
      <w:r>
        <w:t>vieron los acusadores– ni en ninguna otra oportun</w:t>
      </w:r>
      <w:r>
        <w:t>i</w:t>
      </w:r>
      <w:r>
        <w:t>dad, la existencia de estos llamados –que se pretenden vincular con aquella fecha– pierden significativamente relevancia al fin pr</w:t>
      </w:r>
      <w:r>
        <w:t>o</w:t>
      </w:r>
      <w:r>
        <w:t>puesto.</w:t>
      </w:r>
    </w:p>
    <w:p w:rsidR="00224567" w:rsidRDefault="00224567">
      <w:pPr>
        <w:widowControl w:val="0"/>
      </w:pPr>
      <w:r>
        <w:tab/>
        <w:t>No obstante, con el propósito de ag</w:t>
      </w:r>
      <w:r>
        <w:t>o</w:t>
      </w:r>
      <w:r>
        <w:t>tar el análisis de los elementos en los que se funda la acusación,  se abordará el est</w:t>
      </w:r>
      <w:r>
        <w:t>u</w:t>
      </w:r>
      <w:r>
        <w:t>dio de esos llamados.</w:t>
      </w:r>
    </w:p>
    <w:p w:rsidR="00224567" w:rsidRDefault="00224567">
      <w:pPr>
        <w:widowControl w:val="0"/>
      </w:pPr>
      <w:r>
        <w:tab/>
      </w:r>
      <w:r>
        <w:tab/>
      </w:r>
      <w:r>
        <w:rPr>
          <w:b/>
          <w:bCs/>
        </w:rPr>
        <w:t>C.2.d.iv.A.2)</w:t>
      </w:r>
      <w:r>
        <w:t xml:space="preserve"> No se encuentra discut</w:t>
      </w:r>
      <w:r>
        <w:t>i</w:t>
      </w:r>
      <w:r>
        <w:t>do que Juan José Ribelli fuera titular de la l</w:t>
      </w:r>
      <w:r>
        <w:t>í</w:t>
      </w:r>
      <w:r>
        <w:t>nea 448-0447 al momento de efectuarse las comunicaciones señ</w:t>
      </w:r>
      <w:r>
        <w:t>a</w:t>
      </w:r>
      <w:r>
        <w:t>ladas (cfr. informe de la firma Movicom de fs. 38.221/2) y que éstas efectivamente se realizaron (cfr. informe de fs. 39.503/14 que refleja la parte pertinente del archivo i</w:t>
      </w:r>
      <w:r>
        <w:t>n</w:t>
      </w:r>
      <w:r>
        <w:t>formático 04_9406.lis).</w:t>
      </w:r>
    </w:p>
    <w:p w:rsidR="00224567" w:rsidRDefault="00224567">
      <w:pPr>
        <w:widowControl w:val="0"/>
      </w:pPr>
      <w:r>
        <w:tab/>
        <w:t>La controversia se centra en el alca</w:t>
      </w:r>
      <w:r>
        <w:t>n</w:t>
      </w:r>
      <w:r>
        <w:t>ce que se le pretende dar a esa comun</w:t>
      </w:r>
      <w:r>
        <w:t>i</w:t>
      </w:r>
      <w:r>
        <w:t>cación. Así, Ribelli –ya en su indagatoria de marzo de 1997– afirmó que ese t</w:t>
      </w:r>
      <w:r>
        <w:t>e</w:t>
      </w:r>
      <w:r>
        <w:t>léfono se lo facilitó en más de una ocasión –y particula</w:t>
      </w:r>
      <w:r>
        <w:t>r</w:t>
      </w:r>
      <w:r>
        <w:t>mente los fines de semana– a Reinaldo Álvarez, cuando éste salía a adquirir a</w:t>
      </w:r>
      <w:r>
        <w:t>l</w:t>
      </w:r>
      <w:r>
        <w:t>gún vehículo.</w:t>
      </w:r>
    </w:p>
    <w:p w:rsidR="00224567" w:rsidRDefault="00224567">
      <w:pPr>
        <w:widowControl w:val="0"/>
      </w:pPr>
      <w:r>
        <w:tab/>
        <w:t>En esa oportunidad acompañó fotoc</w:t>
      </w:r>
      <w:r>
        <w:t>o</w:t>
      </w:r>
      <w:r>
        <w:t>pias de la parte pertinente de los avisos clasificados public</w:t>
      </w:r>
      <w:r>
        <w:t>a</w:t>
      </w:r>
      <w:r>
        <w:t>dos por el diario Clarín los días 28 y 29 de m</w:t>
      </w:r>
      <w:r>
        <w:t>a</w:t>
      </w:r>
      <w:r>
        <w:t>yo de 1994, que identificó como Anexos K3 y K4. A partir de su anál</w:t>
      </w:r>
      <w:r>
        <w:t>i</w:t>
      </w:r>
      <w:r>
        <w:t>sis, reflejado en el listado señalado como Anexo K2, arg</w:t>
      </w:r>
      <w:r>
        <w:t>u</w:t>
      </w:r>
      <w:r>
        <w:t>yó que en esos ejemplares aparecían diferentes avisos de venta de camionetas Trafic cuyos números de teléfonos se correspondían en forma secuencial con los obrantes en el listado de llamados de la firma Movicom que acompañara c</w:t>
      </w:r>
      <w:r>
        <w:t>o</w:t>
      </w:r>
      <w:r>
        <w:t>mo Anexo K1.</w:t>
      </w:r>
    </w:p>
    <w:p w:rsidR="00224567" w:rsidRDefault="00224567">
      <w:pPr>
        <w:widowControl w:val="0"/>
      </w:pPr>
      <w:r>
        <w:tab/>
        <w:t>Por lo expuesto, destacó que las com</w:t>
      </w:r>
      <w:r>
        <w:t>u</w:t>
      </w:r>
      <w:r>
        <w:t>nicaciones al teléfono 768-0902, correspondiente al dom</w:t>
      </w:r>
      <w:r>
        <w:t>i</w:t>
      </w:r>
      <w:r>
        <w:t>cilio de República 107, respondían al normal desenvolv</w:t>
      </w:r>
      <w:r>
        <w:t>i</w:t>
      </w:r>
      <w:r>
        <w:t>miento de una oper</w:t>
      </w:r>
      <w:r>
        <w:t>a</w:t>
      </w:r>
      <w:r>
        <w:t>ción de compra de un automotor a través de los avisos clasif</w:t>
      </w:r>
      <w:r>
        <w:t>i</w:t>
      </w:r>
      <w:r>
        <w:t>cados del diario.</w:t>
      </w:r>
    </w:p>
    <w:p w:rsidR="00224567" w:rsidRDefault="00224567">
      <w:pPr>
        <w:widowControl w:val="0"/>
      </w:pPr>
      <w:r>
        <w:tab/>
        <w:t>Para reforzar su posición destacó que Reinaldo Álvarez r</w:t>
      </w:r>
      <w:r>
        <w:t>e</w:t>
      </w:r>
      <w:r>
        <w:t xml:space="preserve">cordaba haber adquirido para esa época una camioneta Trafic dominio C </w:t>
      </w:r>
      <w:smartTag w:uri="urn:schemas-microsoft-com:office:smarttags" w:element="metricconverter">
        <w:smartTagPr>
          <w:attr w:name="ProductID" w:val="1.589.999 a"/>
        </w:smartTagPr>
        <w:r>
          <w:t>1.589.999 a</w:t>
        </w:r>
      </w:smartTag>
      <w:r>
        <w:t xml:space="preserve"> una persona apellidada Cebrero que se domiciliaba en la calle Monroe 4891 de Capital Federal. Destacó que tanto esta dire</w:t>
      </w:r>
      <w:r>
        <w:t>c</w:t>
      </w:r>
      <w:r>
        <w:t>ción como el teléfono 521-8831 –incluido en el listado de ll</w:t>
      </w:r>
      <w:r>
        <w:t>a</w:t>
      </w:r>
      <w:r>
        <w:t>mados efectuados desde el 448-0447– se correspondían con los datos publicados en los clasificados aco</w:t>
      </w:r>
      <w:r>
        <w:t>m</w:t>
      </w:r>
      <w:r>
        <w:t>pañados.</w:t>
      </w:r>
    </w:p>
    <w:p w:rsidR="00224567" w:rsidRDefault="00224567">
      <w:pPr>
        <w:widowControl w:val="0"/>
      </w:pPr>
      <w:r>
        <w:tab/>
        <w:t>Agregó que ese vehículo fue transfer</w:t>
      </w:r>
      <w:r>
        <w:t>i</w:t>
      </w:r>
      <w:r>
        <w:t>do a nombre de Reinaldo Álvarez el 30 de mayo de 1994 y que el 23 de octubre de 1996 fue vendido a la firma Mar Sal S.R.L.</w:t>
      </w:r>
    </w:p>
    <w:p w:rsidR="00224567" w:rsidRDefault="00224567">
      <w:pPr>
        <w:widowControl w:val="0"/>
      </w:pPr>
      <w:r>
        <w:tab/>
        <w:t>Concluyó que esa era la verdadera e</w:t>
      </w:r>
      <w:r>
        <w:t>x</w:t>
      </w:r>
      <w:r>
        <w:t>plicación de los ll</w:t>
      </w:r>
      <w:r>
        <w:t>a</w:t>
      </w:r>
      <w:r>
        <w:t>mados imputados y no que obedeciera al reclamo de una deuda pendiente de Telleldín como se col</w:t>
      </w:r>
      <w:r>
        <w:t>e</w:t>
      </w:r>
      <w:r>
        <w:t>gía en el auto de procesamiento.</w:t>
      </w:r>
    </w:p>
    <w:p w:rsidR="00224567" w:rsidRDefault="00224567">
      <w:pPr>
        <w:widowControl w:val="0"/>
      </w:pPr>
      <w:r>
        <w:tab/>
        <w:t>Durante el debate, Ribelli agregó que en el auto de elevación a juicio se sostenían mentiras p</w:t>
      </w:r>
      <w:r>
        <w:t>a</w:t>
      </w:r>
      <w:r>
        <w:t>ra rechazar su descargo. Así, el juez Galeano no receptó la versión dada por el imputado al afirmar que Federico Cáneva, en una declaración ante otro juzgado, había rec</w:t>
      </w:r>
      <w:r>
        <w:t>o</w:t>
      </w:r>
      <w:r>
        <w:t>nocido que realizó esa llamada. Señaló Rib</w:t>
      </w:r>
      <w:r>
        <w:t>e</w:t>
      </w:r>
      <w:r>
        <w:t>lli que bastaba cotejar la foja citada en esa resolución para verificar que Cáneva no decía lo que el magistrado instructor pr</w:t>
      </w:r>
      <w:r>
        <w:t>e</w:t>
      </w:r>
      <w:r>
        <w:t>tendía.</w:t>
      </w:r>
    </w:p>
    <w:p w:rsidR="00224567" w:rsidRDefault="00224567">
      <w:pPr>
        <w:widowControl w:val="0"/>
      </w:pPr>
      <w:r>
        <w:tab/>
        <w:t>Por su parte, el representante del M</w:t>
      </w:r>
      <w:r>
        <w:t>i</w:t>
      </w:r>
      <w:r>
        <w:t>nisterio Público Fiscal sostuvo –como se dijera– que el llamado en cuestión obedecía al interés de los policías imputados en obtener una camioneta Trafic de manos de T</w:t>
      </w:r>
      <w:r>
        <w:t>e</w:t>
      </w:r>
      <w:r>
        <w:t>lleldín, quien registraba una deuda con ellos. En tal se</w:t>
      </w:r>
      <w:r>
        <w:t>n</w:t>
      </w:r>
      <w:r>
        <w:t>tido se señaló que durante el debate se intentó demo</w:t>
      </w:r>
      <w:r>
        <w:t>s</w:t>
      </w:r>
      <w:r>
        <w:t>trar que quien había efectuado esa comunicación fue Reinaldo Álvarez, cuya declaración descalificó por sus imprecisi</w:t>
      </w:r>
      <w:r>
        <w:t>o</w:t>
      </w:r>
      <w:r>
        <w:t>nes. Llamativamente agregó que la versión de Ribelli fue acom</w:t>
      </w:r>
      <w:r>
        <w:t>o</w:t>
      </w:r>
      <w:r>
        <w:t>dada “a los conocimientos que los imputados ya tenían de la ca</w:t>
      </w:r>
      <w:r>
        <w:t>u</w:t>
      </w:r>
      <w:r>
        <w:t>sa”.</w:t>
      </w:r>
    </w:p>
    <w:p w:rsidR="00224567" w:rsidRDefault="00224567">
      <w:pPr>
        <w:widowControl w:val="0"/>
      </w:pPr>
      <w:r>
        <w:tab/>
        <w:t>Concluyó entonces que “lo real y co</w:t>
      </w:r>
      <w:r>
        <w:t>n</w:t>
      </w:r>
      <w:r>
        <w:t>creto ... el dato objetivo es el llamado del celular de Ribelli a Telle</w:t>
      </w:r>
      <w:r>
        <w:t>l</w:t>
      </w:r>
      <w:r>
        <w:t>dín por una Trafic un mes y medio antes de la entrega verificada el 10 de julio y en consona</w:t>
      </w:r>
      <w:r>
        <w:t>n</w:t>
      </w:r>
      <w:r>
        <w:t>cia con el encargue de una camioneta acondicionada para llevar e</w:t>
      </w:r>
      <w:r>
        <w:t>x</w:t>
      </w:r>
      <w:r>
        <w:t>pl</w:t>
      </w:r>
      <w:r>
        <w:t>o</w:t>
      </w:r>
      <w:r>
        <w:t>sivos y para cometer un atentado”.</w:t>
      </w:r>
    </w:p>
    <w:p w:rsidR="00224567" w:rsidRDefault="00224567">
      <w:pPr>
        <w:widowControl w:val="0"/>
      </w:pPr>
      <w:r>
        <w:tab/>
        <w:t>En un sentido coincidente el doctor Ávila, luego de reseñar el descargo efectuado por Rib</w:t>
      </w:r>
      <w:r>
        <w:t>e</w:t>
      </w:r>
      <w:r>
        <w:t>lli, destacó que le seguía llamando la atención que p</w:t>
      </w:r>
      <w:r>
        <w:t>a</w:t>
      </w:r>
      <w:r>
        <w:t>ra probar algo tan sencillo, se hubiera incurrido en falsedades y mentiras. A tal fin resaltó que si bien se dijo que esa comunic</w:t>
      </w:r>
      <w:r>
        <w:t>a</w:t>
      </w:r>
      <w:r>
        <w:t>ción la efectuó Reinaldo Álvarez, quien compró la camioneta fue Federico Cáneva y que el primero había inc</w:t>
      </w:r>
      <w:r>
        <w:t>u</w:t>
      </w:r>
      <w:r>
        <w:t>rrido en algunas falsedades al decl</w:t>
      </w:r>
      <w:r>
        <w:t>a</w:t>
      </w:r>
      <w:r>
        <w:t>rar.</w:t>
      </w:r>
    </w:p>
    <w:p w:rsidR="00224567" w:rsidRDefault="00224567">
      <w:pPr>
        <w:widowControl w:val="0"/>
      </w:pPr>
      <w:r>
        <w:tab/>
        <w:t>También concluyó que había un llamado de un celular de Ribelli a la casa de Telleldín el 28 de mayo de 1994 y más mentiras alrededor de las expl</w:t>
      </w:r>
      <w:r>
        <w:t>i</w:t>
      </w:r>
      <w:r>
        <w:t>caciones bri</w:t>
      </w:r>
      <w:r>
        <w:t>n</w:t>
      </w:r>
      <w:r>
        <w:t>dadas.</w:t>
      </w:r>
    </w:p>
    <w:p w:rsidR="00224567" w:rsidRDefault="00224567">
      <w:pPr>
        <w:widowControl w:val="0"/>
      </w:pPr>
      <w:r>
        <w:tab/>
      </w:r>
      <w:r>
        <w:rPr>
          <w:b/>
          <w:bCs/>
        </w:rPr>
        <w:t>C.2.d.iv.A.3)</w:t>
      </w:r>
      <w:r>
        <w:t xml:space="preserve"> De un análisis de las pruebas colectadas en la causa se colige que los extr</w:t>
      </w:r>
      <w:r>
        <w:t>e</w:t>
      </w:r>
      <w:r>
        <w:t xml:space="preserve">mos expuestos por el imputado Ribelli en su descargo fueron confirmados. </w:t>
      </w:r>
    </w:p>
    <w:p w:rsidR="00224567" w:rsidRDefault="00224567">
      <w:pPr>
        <w:widowControl w:val="0"/>
      </w:pPr>
      <w:r>
        <w:tab/>
        <w:t>Por el contrario, respecto a los ac</w:t>
      </w:r>
      <w:r>
        <w:t>u</w:t>
      </w:r>
      <w:r>
        <w:t>sadores nuevamente se advierte que arriban a conclusi</w:t>
      </w:r>
      <w:r>
        <w:t>o</w:t>
      </w:r>
      <w:r>
        <w:t>nes al menos infundadas, en un razon</w:t>
      </w:r>
      <w:r>
        <w:t>a</w:t>
      </w:r>
      <w:r>
        <w:t>miento que, si bien parte de algunos datos ciertos, no encuentra correlato con la única consecuencia que prete</w:t>
      </w:r>
      <w:r>
        <w:t>n</w:t>
      </w:r>
      <w:r>
        <w:t>den extraer de ellos.</w:t>
      </w:r>
    </w:p>
    <w:p w:rsidR="00224567" w:rsidRDefault="00224567">
      <w:pPr>
        <w:widowControl w:val="0"/>
      </w:pPr>
      <w:r>
        <w:tab/>
        <w:t xml:space="preserve">Efectivamente, como ya se dijera, si bien existen dos llamados el 28 de mayo de </w:t>
      </w:r>
      <w:smartTag w:uri="urn:schemas-microsoft-com:office:smarttags" w:element="metricconverter">
        <w:smartTagPr>
          <w:attr w:name="ProductID" w:val="1994, a"/>
        </w:smartTagPr>
        <w:r>
          <w:t>1994, a</w:t>
        </w:r>
      </w:smartTag>
      <w:r>
        <w:t xml:space="preserve"> las 14:08 y 14:16, desde la línea 448-0447 cuyo titular era Ribelli al teléfono 768-0902 correspondiente al domic</w:t>
      </w:r>
      <w:r>
        <w:t>i</w:t>
      </w:r>
      <w:r>
        <w:t>lio de República 107 de Villa Ballester, donde vivía Carlos Telleldín, de ninguna forma se acreditó –como alegaron los acusadores– que estas comunicaciones fueran entabladas e</w:t>
      </w:r>
      <w:r>
        <w:t>n</w:t>
      </w:r>
      <w:r>
        <w:t>tre estos interlocutores y que obedecieran a un reclamo del ex policía bona</w:t>
      </w:r>
      <w:r>
        <w:t>e</w:t>
      </w:r>
      <w:r>
        <w:t>rense por la suma que se dice adeudada luego del proced</w:t>
      </w:r>
      <w:r>
        <w:t>i</w:t>
      </w:r>
      <w:r>
        <w:t>miento de abril de ese año. Mucho menos, que este registro de llamadas pudiera contribuir a corr</w:t>
      </w:r>
      <w:r>
        <w:t>o</w:t>
      </w:r>
      <w:r>
        <w:t>borar el dolo de los ex policías bonaerenses en su part</w:t>
      </w:r>
      <w:r>
        <w:t>i</w:t>
      </w:r>
      <w:r>
        <w:t>cipación en el atentado, a partir de un temprano interés en la adquisición de un v</w:t>
      </w:r>
      <w:r>
        <w:t>e</w:t>
      </w:r>
      <w:r>
        <w:t>hículo similar al que explotara en la s</w:t>
      </w:r>
      <w:r>
        <w:t>e</w:t>
      </w:r>
      <w:r>
        <w:t xml:space="preserve">de de </w:t>
      </w:r>
      <w:smartTag w:uri="urn:schemas-microsoft-com:office:smarttags" w:element="PersonName">
        <w:smartTagPr>
          <w:attr w:name="ProductID" w:val="la A.M"/>
        </w:smartTagPr>
        <w:r>
          <w:t>la A.M</w:t>
        </w:r>
      </w:smartTag>
      <w:r>
        <w:t>.I.A.</w:t>
      </w:r>
    </w:p>
    <w:p w:rsidR="00224567" w:rsidRDefault="00224567">
      <w:pPr>
        <w:widowControl w:val="0"/>
      </w:pPr>
      <w:r>
        <w:tab/>
        <w:t>En primer lugar debe señalarse que luego de cotejar el rubro automotor de la sección clasif</w:t>
      </w:r>
      <w:r>
        <w:t>i</w:t>
      </w:r>
      <w:r>
        <w:t>cados del diario Clarín de los días 28 y 29 de mayo –re-servados en Secretaría– con el listado de los llamados efectu</w:t>
      </w:r>
      <w:r>
        <w:t>a</w:t>
      </w:r>
      <w:r>
        <w:t>dos en esas jornadas desde la línea 448-0447 –cfr. archivo informático 04_9406–, se advierte correspo</w:t>
      </w:r>
      <w:r>
        <w:t>n</w:t>
      </w:r>
      <w:r>
        <w:t>dencia entre las comunicaciones realizadas y los números de tel</w:t>
      </w:r>
      <w:r>
        <w:t>é</w:t>
      </w:r>
      <w:r>
        <w:t>fonos consi</w:t>
      </w:r>
      <w:r>
        <w:t>g</w:t>
      </w:r>
      <w:r>
        <w:t>nados en los avisos que publicaran la venta de camionetas Tr</w:t>
      </w:r>
      <w:r>
        <w:t>a</w:t>
      </w:r>
      <w:r>
        <w:t>fic.</w:t>
      </w:r>
    </w:p>
    <w:p w:rsidR="00224567" w:rsidRDefault="00224567">
      <w:pPr>
        <w:widowControl w:val="0"/>
      </w:pPr>
      <w:r>
        <w:tab/>
        <w:t>En otras palabras, las llamadas s</w:t>
      </w:r>
      <w:r>
        <w:t>a</w:t>
      </w:r>
      <w:r>
        <w:t>lientes del 448-0447 al 768-0902 el 28 de mayo de 1994 son algunas de las realizadas a distintos vendedores de cami</w:t>
      </w:r>
      <w:r>
        <w:t>o</w:t>
      </w:r>
      <w:r>
        <w:t>netas Trafic que habían publicado avisos en el diario Cl</w:t>
      </w:r>
      <w:r>
        <w:t>a</w:t>
      </w:r>
      <w:r>
        <w:t>rín en esa fecha.</w:t>
      </w:r>
    </w:p>
    <w:p w:rsidR="00224567" w:rsidRDefault="00224567">
      <w:pPr>
        <w:widowControl w:val="0"/>
      </w:pPr>
      <w:r>
        <w:tab/>
        <w:t>Pero aún hay más elementos que contr</w:t>
      </w:r>
      <w:r>
        <w:t>i</w:t>
      </w:r>
      <w:r>
        <w:t>buyen a desvirtuar la pretendida interpretación de los acusadores, esto es, un reclamo de Ribelli a T</w:t>
      </w:r>
      <w:r>
        <w:t>e</w:t>
      </w:r>
      <w:r>
        <w:t>lleldín por una de</w:t>
      </w:r>
      <w:r>
        <w:t>u</w:t>
      </w:r>
      <w:r>
        <w:t>da pendiente.</w:t>
      </w:r>
    </w:p>
    <w:p w:rsidR="00224567" w:rsidRDefault="00224567">
      <w:pPr>
        <w:widowControl w:val="0"/>
      </w:pPr>
      <w:r>
        <w:tab/>
        <w:t>También está confirmado que Reinaldo Álvarez, quien adujera –en consonancia con lo sostenido por Ribelli– haber efectuado los llamados en cuestión, a</w:t>
      </w:r>
      <w:r>
        <w:t>d</w:t>
      </w:r>
      <w:r>
        <w:t>quirió una camioneta Trafic a César Osvaldo Cebrero cuya transferencia se concretó el 30 de mayo de 1994. Corrob</w:t>
      </w:r>
      <w:r>
        <w:t>o</w:t>
      </w:r>
      <w:r>
        <w:t>ran este extremo los dichos de ambos, la declaración te</w:t>
      </w:r>
      <w:r>
        <w:t>s</w:t>
      </w:r>
      <w:r>
        <w:t>timonial de Federico Cáneva y las fotocopias certificadas del boleto de compraventa agregada a fs. 56.417 y del l</w:t>
      </w:r>
      <w:r>
        <w:t>e</w:t>
      </w:r>
      <w:r>
        <w:t>gajo perteneciente a dicho autom</w:t>
      </w:r>
      <w:r>
        <w:t>o</w:t>
      </w:r>
      <w:r>
        <w:t>tor.</w:t>
      </w:r>
    </w:p>
    <w:p w:rsidR="00224567" w:rsidRDefault="00224567">
      <w:pPr>
        <w:widowControl w:val="0"/>
      </w:pPr>
      <w:r>
        <w:tab/>
        <w:t>César Osvaldo Cebrero reconoció que, tras publicar avisos clasificados durante dos meses, en mayo de 1994 vendió una camioneta Trafic a Reinaldo Alv</w:t>
      </w:r>
      <w:r>
        <w:t>a</w:t>
      </w:r>
      <w:r>
        <w:t>rez. Precisó que un sábado o domingo el comprador llegó con otra persona más y un menor de 8 o 9 años de edad, y luego de un regateo acordaron el precio de ve</w:t>
      </w:r>
      <w:r>
        <w:t>n</w:t>
      </w:r>
      <w:r>
        <w:t>ta en 17.000 pesos o dólares. Al primer día hábil siguiente se efe</w:t>
      </w:r>
      <w:r>
        <w:t>c</w:t>
      </w:r>
      <w:r>
        <w:t>tuó la transf</w:t>
      </w:r>
      <w:r>
        <w:t>e</w:t>
      </w:r>
      <w:r>
        <w:t>rencia.</w:t>
      </w:r>
    </w:p>
    <w:p w:rsidR="00224567" w:rsidRDefault="00224567">
      <w:pPr>
        <w:widowControl w:val="0"/>
      </w:pPr>
      <w:r>
        <w:tab/>
        <w:t>Por su parte, Reinaldo Álvarez afirmó que compró para usar una camioneta Trafic a un muchacho de apellido Cebrero. Indicó que llegó a su adquisición m</w:t>
      </w:r>
      <w:r>
        <w:t>e</w:t>
      </w:r>
      <w:r>
        <w:t>diante avisos clasificados y que concurrió a verla a la avenida Monroe con Federico Cáneva. Recordó que el día l</w:t>
      </w:r>
      <w:r>
        <w:t>u</w:t>
      </w:r>
      <w:r>
        <w:t>nes abonó los 17.000 pesos que habían acordado. Explicó que pidió a Cáneva, y este a su vez a Ribelli, un teléfono celular para agil</w:t>
      </w:r>
      <w:r>
        <w:t>i</w:t>
      </w:r>
      <w:r>
        <w:t>zar el trámite.</w:t>
      </w:r>
    </w:p>
    <w:p w:rsidR="00224567" w:rsidRDefault="00224567">
      <w:pPr>
        <w:widowControl w:val="0"/>
      </w:pPr>
      <w:r>
        <w:tab/>
        <w:t>En el mismo sentido se pronunció Fed</w:t>
      </w:r>
      <w:r>
        <w:t>e</w:t>
      </w:r>
      <w:r>
        <w:t>rico Cáneva al declarar en la audiencia oral y pública. Afi</w:t>
      </w:r>
      <w:r>
        <w:t>r</w:t>
      </w:r>
      <w:r>
        <w:t>mó que un sábado acompañó a Reinaldo Álvarez a ver una camioneta Trafic; luego de discutir el precio dejó una s</w:t>
      </w:r>
      <w:r>
        <w:t>e</w:t>
      </w:r>
      <w:r>
        <w:t>ña y el lunes siguiente terminó la operación con la tran</w:t>
      </w:r>
      <w:r>
        <w:t>s</w:t>
      </w:r>
      <w:r>
        <w:t>ferencia del v</w:t>
      </w:r>
      <w:r>
        <w:t>e</w:t>
      </w:r>
      <w:r>
        <w:t>hículo.</w:t>
      </w:r>
    </w:p>
    <w:p w:rsidR="00224567" w:rsidRDefault="00224567">
      <w:pPr>
        <w:widowControl w:val="0"/>
      </w:pPr>
      <w:r>
        <w:tab/>
        <w:t>Incluso explicó que Cebrero puso la camioneta a nombre de Álvarez antes de que efectuara el pago, por lo que éste le recomendó que en futuras oper</w:t>
      </w:r>
      <w:r>
        <w:t>a</w:t>
      </w:r>
      <w:r>
        <w:t>ciones no repitiera ese pr</w:t>
      </w:r>
      <w:r>
        <w:t>o</w:t>
      </w:r>
      <w:r>
        <w:t>ceder.</w:t>
      </w:r>
    </w:p>
    <w:p w:rsidR="00224567" w:rsidRDefault="00224567">
      <w:pPr>
        <w:widowControl w:val="0"/>
      </w:pPr>
      <w:r>
        <w:tab/>
        <w:t>En otro tramo de su declaración reco</w:t>
      </w:r>
      <w:r>
        <w:t>r</w:t>
      </w:r>
      <w:r>
        <w:t>dó que en 1994 usó circunstancialmente un celular que era propi</w:t>
      </w:r>
      <w:r>
        <w:t>e</w:t>
      </w:r>
      <w:r>
        <w:t>dad de Juan José Ribelli.</w:t>
      </w:r>
    </w:p>
    <w:p w:rsidR="00224567" w:rsidRDefault="00224567">
      <w:pPr>
        <w:widowControl w:val="0"/>
      </w:pPr>
      <w:r>
        <w:tab/>
        <w:t>Los dichos de Cebrero, Álvarez y Cán</w:t>
      </w:r>
      <w:r>
        <w:t>e</w:t>
      </w:r>
      <w:r>
        <w:t>va, en cuanto a la operación referida, encuentran corrob</w:t>
      </w:r>
      <w:r>
        <w:t>o</w:t>
      </w:r>
      <w:r>
        <w:t>ración en la prueba documental colectada en autos. Así, el boleto de compraventa cuya fotocopia luce a fs. 56.417 y el legajo B correspondiente a este vehículo –cuya fotoc</w:t>
      </w:r>
      <w:r>
        <w:t>o</w:t>
      </w:r>
      <w:r>
        <w:t>pia certif</w:t>
      </w:r>
      <w:r>
        <w:t>i</w:t>
      </w:r>
      <w:r>
        <w:t>cada se encuentra reservada en Secretaría–, dan cuenta de que el 30 de mayo de 1994, la camioneta R</w:t>
      </w:r>
      <w:r>
        <w:t>e</w:t>
      </w:r>
      <w:r>
        <w:t>nault Trafic dominio C 1.589.999 fue vendida por César Osvaldo Cebrero a Reinaldo Álvarez en la suma de 17.000 dólares estadounide</w:t>
      </w:r>
      <w:r>
        <w:t>n</w:t>
      </w:r>
      <w:r>
        <w:t>ses.</w:t>
      </w:r>
    </w:p>
    <w:p w:rsidR="00224567" w:rsidRDefault="00224567">
      <w:pPr>
        <w:widowControl w:val="0"/>
      </w:pPr>
      <w:r>
        <w:tab/>
        <w:t>Además, debe destacarse que la expl</w:t>
      </w:r>
      <w:r>
        <w:t>i</w:t>
      </w:r>
      <w:r>
        <w:t>cación brind</w:t>
      </w:r>
      <w:r>
        <w:t>a</w:t>
      </w:r>
      <w:r>
        <w:t>da por los testigos en cuanto al modo en que se adquirió la camioneta resulta compatible con la publ</w:t>
      </w:r>
      <w:r>
        <w:t>i</w:t>
      </w:r>
      <w:r>
        <w:t>cación de la venta del utilitario de Cebrero en los avisos clasificados del diario Clarín del 28 de mayo de 1994. Allí se consigna el domicilio de avenida Monroe 4891 y el teléfono 521-8831. Adviértase que este número también r</w:t>
      </w:r>
      <w:r>
        <w:t>e</w:t>
      </w:r>
      <w:r>
        <w:t>gistra llamadas del celular 448-0447 el 28 de mayo a las 14:07 y 17:18 y al día s</w:t>
      </w:r>
      <w:r>
        <w:t>i</w:t>
      </w:r>
      <w:r>
        <w:t>guiente a las 10:53.</w:t>
      </w:r>
    </w:p>
    <w:p w:rsidR="00224567" w:rsidRDefault="00224567">
      <w:pPr>
        <w:widowControl w:val="0"/>
      </w:pPr>
      <w:r>
        <w:tab/>
        <w:t xml:space="preserve">Debe destacarse que la publicación de </w:t>
      </w:r>
      <w:smartTag w:uri="urn:schemas-microsoft-com:office:smarttags" w:element="PersonName">
        <w:smartTagPr>
          <w:attr w:name="ProductID" w:val="la Trafic"/>
        </w:smartTagPr>
        <w:r>
          <w:t>la Trafic</w:t>
        </w:r>
      </w:smartTag>
      <w:r>
        <w:t xml:space="preserve"> de C</w:t>
      </w:r>
      <w:r>
        <w:t>e</w:t>
      </w:r>
      <w:r>
        <w:t>brero fue efectuada en la misma fecha, por el mismo diario, en la misma página y aún en la misma c</w:t>
      </w:r>
      <w:r>
        <w:t>o</w:t>
      </w:r>
      <w:r>
        <w:t>lumna, que el aviso de la camioneta de Telle</w:t>
      </w:r>
      <w:r>
        <w:t>l</w:t>
      </w:r>
      <w:r>
        <w:t>dín.</w:t>
      </w:r>
    </w:p>
    <w:p w:rsidR="00224567" w:rsidRDefault="00224567">
      <w:pPr>
        <w:widowControl w:val="0"/>
      </w:pPr>
      <w:r>
        <w:tab/>
      </w:r>
      <w:r>
        <w:rPr>
          <w:b/>
          <w:bCs/>
        </w:rPr>
        <w:t>C.2.d.iv.A.4)</w:t>
      </w:r>
      <w:r>
        <w:t xml:space="preserve"> A esta altura del anál</w:t>
      </w:r>
      <w:r>
        <w:t>i</w:t>
      </w:r>
      <w:r>
        <w:t>sis no puede dejar de llamar la atención que los acusad</w:t>
      </w:r>
      <w:r>
        <w:t>o</w:t>
      </w:r>
      <w:r>
        <w:t>res descalificaran una justificación tan clara de estas dos comunic</w:t>
      </w:r>
      <w:r>
        <w:t>a</w:t>
      </w:r>
      <w:r>
        <w:t>ciones del 448-0447 al 768-0902.</w:t>
      </w:r>
    </w:p>
    <w:p w:rsidR="00224567" w:rsidRDefault="00224567">
      <w:pPr>
        <w:widowControl w:val="0"/>
      </w:pPr>
      <w:r>
        <w:tab/>
        <w:t>Así, el representante del Ministerio Público Fiscal atribuyó esta explicación al conocimiento que los acusados tenían de la causa para 1997. En otras palabras, inexplicablemente se censura el ejerc</w:t>
      </w:r>
      <w:r>
        <w:t>i</w:t>
      </w:r>
      <w:r>
        <w:t>cio de una de las garantías constitucionales que resguardan el proc</w:t>
      </w:r>
      <w:r>
        <w:t>e</w:t>
      </w:r>
      <w:r>
        <w:t>so penal. Resulta más que llamativo que este conocimiento sea calificado no solo como un demérito sino como un el</w:t>
      </w:r>
      <w:r>
        <w:t>e</w:t>
      </w:r>
      <w:r>
        <w:t>mento de cargo hacia los imput</w:t>
      </w:r>
      <w:r>
        <w:t>a</w:t>
      </w:r>
      <w:r>
        <w:t>dos.</w:t>
      </w:r>
    </w:p>
    <w:p w:rsidR="00224567" w:rsidRDefault="00224567">
      <w:pPr>
        <w:widowControl w:val="0"/>
      </w:pPr>
      <w:r>
        <w:tab/>
        <w:t>Más allá de esta observación, de t</w:t>
      </w:r>
      <w:r>
        <w:t>o</w:t>
      </w:r>
      <w:r>
        <w:t>das formas la afirmación ensayada resulta incorrecta. Si los hechos oc</w:t>
      </w:r>
      <w:r>
        <w:t>u</w:t>
      </w:r>
      <w:r>
        <w:t>rrieron en 1994, más precisamente el 28 de mayo, no se explica cómo en 1997 se pudo acomodar aquellos suc</w:t>
      </w:r>
      <w:r>
        <w:t>e</w:t>
      </w:r>
      <w:r>
        <w:t>sos a la versión pretend</w:t>
      </w:r>
      <w:r>
        <w:t>i</w:t>
      </w:r>
      <w:r>
        <w:t>da. Por obvio que resulte, basta para demostrar el absurdo del argumento del Fiscal General recordar que la compra de la cami</w:t>
      </w:r>
      <w:r>
        <w:t>o</w:t>
      </w:r>
      <w:r>
        <w:t>neta Trafic por Reinaldo Álvarez a Cebrero ocurrió en 1994, al igual que la tran</w:t>
      </w:r>
      <w:r>
        <w:t>s</w:t>
      </w:r>
      <w:r>
        <w:t>ferencia, las publicaciones en el diario Clarín, y todos los llamados efectuados desde el cel</w:t>
      </w:r>
      <w:r>
        <w:t>u</w:t>
      </w:r>
      <w:r>
        <w:t>lar 448-0447.</w:t>
      </w:r>
    </w:p>
    <w:p w:rsidR="00224567" w:rsidRDefault="00224567">
      <w:pPr>
        <w:widowControl w:val="0"/>
      </w:pPr>
      <w:r>
        <w:tab/>
        <w:t>Sostener la postura contraria implic</w:t>
      </w:r>
      <w:r>
        <w:t>a</w:t>
      </w:r>
      <w:r>
        <w:t>ría afirmar, contra toda lógica, que el 28 de mayo de 1994 para encubrir el llamado que se efectuaba desde un tel</w:t>
      </w:r>
      <w:r>
        <w:t>é</w:t>
      </w:r>
      <w:r>
        <w:t>fono de Ribelli a Telleldín, Reinaldo Álvarez efectuó otras llamadas –durante ese día y el siguiente– a los d</w:t>
      </w:r>
      <w:r>
        <w:t>e</w:t>
      </w:r>
      <w:r>
        <w:t>más i</w:t>
      </w:r>
      <w:r>
        <w:t>n</w:t>
      </w:r>
      <w:r>
        <w:t>teresados en vender sus camionetas Trafic, e incluso compró una a C</w:t>
      </w:r>
      <w:r>
        <w:t>e</w:t>
      </w:r>
      <w:r>
        <w:t>brero, la que conservó hasta 1996.</w:t>
      </w:r>
    </w:p>
    <w:p w:rsidR="00224567" w:rsidRDefault="00224567">
      <w:pPr>
        <w:widowControl w:val="0"/>
      </w:pPr>
      <w:r>
        <w:tab/>
        <w:t>Por su parte, el Dr. Ávila para desc</w:t>
      </w:r>
      <w:r>
        <w:t>a</w:t>
      </w:r>
      <w:r>
        <w:t>lificar la versión traída inicialmente por el imputado R</w:t>
      </w:r>
      <w:r>
        <w:t>i</w:t>
      </w:r>
      <w:r>
        <w:t>belli, dijo que le llamaba la atención que para probar a</w:t>
      </w:r>
      <w:r>
        <w:t>l</w:t>
      </w:r>
      <w:r>
        <w:t>go tan sencillo se incurriera en falsedades y mentiras. Como ejemplo de ello señaló que se había d</w:t>
      </w:r>
      <w:r>
        <w:t>i</w:t>
      </w:r>
      <w:r>
        <w:t>cho que “quien hizo ese llamado había sido Reinaldo Álvarez cuando, en realidad, quien compró la camioneta fue F</w:t>
      </w:r>
      <w:r>
        <w:t>e</w:t>
      </w:r>
      <w:r>
        <w:t>derico Cáneva”.</w:t>
      </w:r>
    </w:p>
    <w:p w:rsidR="00224567" w:rsidRDefault="00224567">
      <w:pPr>
        <w:widowControl w:val="0"/>
      </w:pPr>
      <w:r>
        <w:tab/>
        <w:t>Esta afirmación resulta refutada ta</w:t>
      </w:r>
      <w:r>
        <w:t>n</w:t>
      </w:r>
      <w:r>
        <w:t>to con lo d</w:t>
      </w:r>
      <w:r>
        <w:t>e</w:t>
      </w:r>
      <w:r>
        <w:t>clarado por las partes de la operación –Reinaldo Álvarez y César Cebrero– y por quien la pr</w:t>
      </w:r>
      <w:r>
        <w:t>e</w:t>
      </w:r>
      <w:r>
        <w:t>senciara –Fede-rico Cáneva– como por la prueba documental arrim</w:t>
      </w:r>
      <w:r>
        <w:t>a</w:t>
      </w:r>
      <w:r>
        <w:t>da, esto es, el boleto de compraventa y el legajo de dicho autom</w:t>
      </w:r>
      <w:r>
        <w:t>o</w:t>
      </w:r>
      <w:r>
        <w:t>tor obrante en el respectivo r</w:t>
      </w:r>
      <w:r>
        <w:t>e</w:t>
      </w:r>
      <w:r>
        <w:t>gistro de la propiedad. En ambos instrumentos consta que el comprador fue Reinaldo Álvarez, por lo que la versión alegada por el acusador particular resulta carente de fundame</w:t>
      </w:r>
      <w:r>
        <w:t>n</w:t>
      </w:r>
      <w:r>
        <w:t>tación.</w:t>
      </w:r>
    </w:p>
    <w:p w:rsidR="00224567" w:rsidRDefault="00224567">
      <w:pPr>
        <w:widowControl w:val="0"/>
      </w:pPr>
      <w:r>
        <w:tab/>
        <w:t>Ahora bien, si lo que se hubiera pr</w:t>
      </w:r>
      <w:r>
        <w:t>e</w:t>
      </w:r>
      <w:r>
        <w:t>tendido sostener fue que quien hizo los llamados cuesti</w:t>
      </w:r>
      <w:r>
        <w:t>o</w:t>
      </w:r>
      <w:r>
        <w:t>nados fue Cáneva –recreando de este modo lo afirmado en el auto de elevación a juicio por el magistrado instructor– ello generaría dos objeciones. En primer lugar, debería criticarse que se valore una declaración –prestada en la causa 10.207– que no ha sido incorporada al debate. Pero además, cabría destacar que Federico Cáneva no d</w:t>
      </w:r>
      <w:r>
        <w:t>i</w:t>
      </w:r>
      <w:r>
        <w:t>jo lo que se pr</w:t>
      </w:r>
      <w:r>
        <w:t>e</w:t>
      </w:r>
      <w:r>
        <w:t xml:space="preserve">tende. </w:t>
      </w:r>
    </w:p>
    <w:p w:rsidR="00224567" w:rsidRDefault="00224567">
      <w:pPr>
        <w:widowControl w:val="0"/>
      </w:pPr>
      <w:r>
        <w:tab/>
        <w:t>En efecto, en esa indagatoria solo afirmó que el 28 de mayo de 1994, cuando acompañó a Reinaldo Álvarez a ver y señar la camioneta Trafic de C</w:t>
      </w:r>
      <w:r>
        <w:t>e</w:t>
      </w:r>
      <w:r>
        <w:t>brero, realizó y recibió algunas llamadas con el celular 448-0447. Agregó que, en virtud de la relación de amistad que tenía con Marcelo Albarracín, pudo ser él quien efe</w:t>
      </w:r>
      <w:r>
        <w:t>c</w:t>
      </w:r>
      <w:r>
        <w:t>tuó las dos llamadas el 28 de mayo.</w:t>
      </w:r>
    </w:p>
    <w:p w:rsidR="00224567" w:rsidRDefault="00224567">
      <w:pPr>
        <w:widowControl w:val="0"/>
      </w:pPr>
      <w:r>
        <w:tab/>
        <w:t>Como se ve, en ningún momento Feder</w:t>
      </w:r>
      <w:r>
        <w:t>i</w:t>
      </w:r>
      <w:r>
        <w:t>co Cáneva admitió haber efectuado las llamadas al tel</w:t>
      </w:r>
      <w:r>
        <w:t>é</w:t>
      </w:r>
      <w:r>
        <w:t>fono de Cebrero, como se señaló en el auto de elevación a ju</w:t>
      </w:r>
      <w:r>
        <w:t>i</w:t>
      </w:r>
      <w:r>
        <w:t>cio, mucho menos que hubiera comprado esa camioneta Trafic, c</w:t>
      </w:r>
      <w:r>
        <w:t>o</w:t>
      </w:r>
      <w:r>
        <w:t>mo sostuvo el Dr. Ávila en su alegato.</w:t>
      </w:r>
    </w:p>
    <w:p w:rsidR="00224567" w:rsidRDefault="00224567">
      <w:pPr>
        <w:widowControl w:val="0"/>
      </w:pPr>
      <w:r>
        <w:tab/>
        <w:t>También el letrado de la querella so</w:t>
      </w:r>
      <w:r>
        <w:t>s</w:t>
      </w:r>
      <w:r>
        <w:t>tuvo que otra de las falsedades en que incurrió la defensa al intentar justificar esos llamados, la constituía la falsedad de los dichos de Reinaldo Álvarez en cuanto so</w:t>
      </w:r>
      <w:r>
        <w:t>s</w:t>
      </w:r>
      <w:r>
        <w:t>tuviera que ese teléfono celular sólo lo utilizaba para efectuar llamados y nunca para recibirlos. Ello, a su ju</w:t>
      </w:r>
      <w:r>
        <w:t>i</w:t>
      </w:r>
      <w:r>
        <w:t>cio quedaba desvirtuado por las constancias de las comun</w:t>
      </w:r>
      <w:r>
        <w:t>i</w:t>
      </w:r>
      <w:r>
        <w:t>caciones de otros policías bonaerenses a ese cel</w:t>
      </w:r>
      <w:r>
        <w:t>u</w:t>
      </w:r>
      <w:r>
        <w:t xml:space="preserve">lar. </w:t>
      </w:r>
    </w:p>
    <w:p w:rsidR="00224567" w:rsidRDefault="00224567">
      <w:pPr>
        <w:widowControl w:val="0"/>
      </w:pPr>
      <w:r>
        <w:tab/>
        <w:t>Al respecto, corresponde formular dos observaciones. En primer lugar, que la mentira que se atribuye a Álvarez ya fue objeto de explicación en la ca</w:t>
      </w:r>
      <w:r>
        <w:t>u</w:t>
      </w:r>
      <w:r>
        <w:t>sa nº 10.207 (expte. 8.561/98) caratulada “Alvarez Reina</w:t>
      </w:r>
      <w:r>
        <w:t>l</w:t>
      </w:r>
      <w:r>
        <w:t>do y Cáneva Federico s/ falso testimonio” –dte. Juzgado Federal nº 9–, que tramitó ante el Juzgado Criminal y C</w:t>
      </w:r>
      <w:r>
        <w:t>o</w:t>
      </w:r>
      <w:r>
        <w:t>rreccional Federal nº 4, Secretaría nº 7, que condujo al dictado del sobreseimiento por inexistencia de delito, c</w:t>
      </w:r>
      <w:r>
        <w:t>u</w:t>
      </w:r>
      <w:r>
        <w:t>ya fotocopia certificada obra a fs. 56.920/1 bis. Pero, además corresponde señalar que aún de fundamentarse que esa falsedad carecía de explicación –lo que no se hizo–, ello no conduciría ni resultaría suficiente para desvi</w:t>
      </w:r>
      <w:r>
        <w:t>r</w:t>
      </w:r>
      <w:r>
        <w:t>tuar la restante prueba que acredita la versión sostenida por el imputado Ribelli. Esto es la existencia de otras comunicaciones a otros tantos vendedores de camionetas Trafic que publicaron sus avisos en la misma oportunidad que lo hiciera Telle</w:t>
      </w:r>
      <w:r>
        <w:t>l</w:t>
      </w:r>
      <w:r>
        <w:t>dín, y fundamentalmente la compra que se efectuara a Cebr</w:t>
      </w:r>
      <w:r>
        <w:t>e</w:t>
      </w:r>
      <w:r>
        <w:t>ro.</w:t>
      </w:r>
    </w:p>
    <w:p w:rsidR="00224567" w:rsidRDefault="00224567">
      <w:pPr>
        <w:widowControl w:val="0"/>
      </w:pPr>
      <w:r>
        <w:tab/>
        <w:t>En definitiva, tanto el acusador est</w:t>
      </w:r>
      <w:r>
        <w:t>a</w:t>
      </w:r>
      <w:r>
        <w:t>tal como el particular concluyen que el dato objetivo e indudable es que desde un teléfono de Ribelli se ll</w:t>
      </w:r>
      <w:r>
        <w:t>a</w:t>
      </w:r>
      <w:r>
        <w:t>mó en dos oportunidades al domicilio de Telleldín. Esta afirm</w:t>
      </w:r>
      <w:r>
        <w:t>a</w:t>
      </w:r>
      <w:r>
        <w:t>ción implica descon</w:t>
      </w:r>
      <w:r>
        <w:t>o</w:t>
      </w:r>
      <w:r>
        <w:t>cer, o al menos no valorar, la prueba producida durante el debate y que ha desvirtuado categór</w:t>
      </w:r>
      <w:r>
        <w:t>i</w:t>
      </w:r>
      <w:r>
        <w:t>camente esa hipótesis.</w:t>
      </w:r>
    </w:p>
    <w:p w:rsidR="00224567" w:rsidRDefault="00224567">
      <w:pPr>
        <w:pStyle w:val="Ttulo7"/>
        <w:widowControl w:val="0"/>
      </w:pPr>
      <w:r>
        <w:rPr>
          <w:b/>
          <w:bCs/>
        </w:rPr>
        <w:tab/>
      </w:r>
      <w:bookmarkStart w:id="212" w:name="_Toc86731986"/>
      <w:r>
        <w:rPr>
          <w:b/>
          <w:bCs/>
        </w:rPr>
        <w:t>C.2.d.iv.B)</w:t>
      </w:r>
      <w:bookmarkStart w:id="213" w:name="_Toc79905061"/>
      <w:r>
        <w:rPr>
          <w:b/>
          <w:bCs/>
        </w:rPr>
        <w:t xml:space="preserve"> </w:t>
      </w:r>
      <w:r>
        <w:t>Las tareas de vigilancia policial del domicilio de Telleldín. Los testimonios de Leoni y D</w:t>
      </w:r>
      <w:r>
        <w:t>u</w:t>
      </w:r>
      <w:r>
        <w:t>day</w:t>
      </w:r>
      <w:bookmarkEnd w:id="213"/>
      <w:r>
        <w:t>.</w:t>
      </w:r>
      <w:bookmarkEnd w:id="212"/>
    </w:p>
    <w:p w:rsidR="00224567" w:rsidRDefault="00224567">
      <w:pPr>
        <w:widowControl w:val="0"/>
      </w:pPr>
      <w:r>
        <w:tab/>
      </w:r>
      <w:r>
        <w:rPr>
          <w:b/>
          <w:bCs/>
        </w:rPr>
        <w:t>C.2.d.iv.B.1)</w:t>
      </w:r>
      <w:r>
        <w:t xml:space="preserve"> Para demostrar el int</w:t>
      </w:r>
      <w:r>
        <w:t>e</w:t>
      </w:r>
      <w:r>
        <w:t>rés de los policías imputados en la obtención de una c</w:t>
      </w:r>
      <w:r>
        <w:t>a</w:t>
      </w:r>
      <w:r>
        <w:t>mioneta Trafic con anterioridad al procedimiento materi</w:t>
      </w:r>
      <w:r>
        <w:t>a</w:t>
      </w:r>
      <w:r>
        <w:t>lizado el 10 de julio de 1994, el Fiscal General valoró, además de los llamados res</w:t>
      </w:r>
      <w:r>
        <w:t>e</w:t>
      </w:r>
      <w:r>
        <w:t>ñados en el apartado anterior, el testimonio brindado por Zulema Beatriz F</w:t>
      </w:r>
      <w:r>
        <w:t>i</w:t>
      </w:r>
      <w:r>
        <w:t>lomena Leoni y Nicolás Zoilo D</w:t>
      </w:r>
      <w:r>
        <w:t>u</w:t>
      </w:r>
      <w:r>
        <w:t>day.</w:t>
      </w:r>
    </w:p>
    <w:p w:rsidR="00224567" w:rsidRDefault="00224567">
      <w:pPr>
        <w:widowControl w:val="0"/>
      </w:pPr>
      <w:r>
        <w:tab/>
        <w:t>En tal sentido, destacó que de sus d</w:t>
      </w:r>
      <w:r>
        <w:t>i</w:t>
      </w:r>
      <w:r>
        <w:t>chos surgía que el domicilio de Telleldín de Repúbl</w:t>
      </w:r>
      <w:r>
        <w:t>i</w:t>
      </w:r>
      <w:r>
        <w:t>ca 107 de Villa Ballester fue sometido a vigilancias que llamat</w:t>
      </w:r>
      <w:r>
        <w:t>i</w:t>
      </w:r>
      <w:r>
        <w:t>vamente se incrementaron alrededor de 15 o 20 días antes del atentado.</w:t>
      </w:r>
    </w:p>
    <w:p w:rsidR="00224567" w:rsidRDefault="00224567">
      <w:pPr>
        <w:widowControl w:val="0"/>
      </w:pPr>
      <w:r>
        <w:tab/>
        <w:t>Así señaló que Leoni dijo que Ana B</w:t>
      </w:r>
      <w:r>
        <w:t>o</w:t>
      </w:r>
      <w:r>
        <w:t>ragni, en una oportunidad en que le llevó un tapado para arreglar, habló de las observaciones a las que era somet</w:t>
      </w:r>
      <w:r>
        <w:t>i</w:t>
      </w:r>
      <w:r>
        <w:t>da su familia, especificando que un Ford Galaxy azul co</w:t>
      </w:r>
      <w:r>
        <w:t>n</w:t>
      </w:r>
      <w:r>
        <w:t>trolaba la c</w:t>
      </w:r>
      <w:r>
        <w:t>a</w:t>
      </w:r>
      <w:r>
        <w:t>sa.</w:t>
      </w:r>
    </w:p>
    <w:p w:rsidR="00224567" w:rsidRDefault="00224567">
      <w:pPr>
        <w:widowControl w:val="0"/>
      </w:pPr>
      <w:r>
        <w:tab/>
        <w:t>El acusador sostuvo que la testigo r</w:t>
      </w:r>
      <w:r>
        <w:t>e</w:t>
      </w:r>
      <w:r>
        <w:t>lató que antes del atentado, los policías que vigil</w:t>
      </w:r>
      <w:r>
        <w:t>a</w:t>
      </w:r>
      <w:r>
        <w:t>ban la casa ingresaron a su local y le preguntaron si su Trafic era la que estaba en ve</w:t>
      </w:r>
      <w:r>
        <w:t>n</w:t>
      </w:r>
      <w:r>
        <w:t xml:space="preserve">ta. </w:t>
      </w:r>
    </w:p>
    <w:p w:rsidR="00224567" w:rsidRDefault="00224567">
      <w:pPr>
        <w:widowControl w:val="0"/>
      </w:pPr>
      <w:r>
        <w:tab/>
        <w:t>Razona el Sr. Fiscal que lo llamativo era que para esa fecha Telleldín todavía no había public</w:t>
      </w:r>
      <w:r>
        <w:t>a</w:t>
      </w:r>
      <w:r>
        <w:t>do su Trafic para la venta y que esto demostraba que los policías estaban esperando ese aviso, que op</w:t>
      </w:r>
      <w:r>
        <w:t>e</w:t>
      </w:r>
      <w:r>
        <w:t>raba como una señal, un claro mensaje de que la camioneta ya estaba acondicionada. Agregó que el apuro del personal policial lo llevó a obrar imprudentemente al efectuar esa pregu</w:t>
      </w:r>
      <w:r>
        <w:t>n</w:t>
      </w:r>
      <w:r>
        <w:t>ta.</w:t>
      </w:r>
    </w:p>
    <w:p w:rsidR="00224567" w:rsidRDefault="00224567">
      <w:pPr>
        <w:widowControl w:val="0"/>
      </w:pPr>
      <w:r>
        <w:tab/>
        <w:t>Respecto de Duday, señaló que corrob</w:t>
      </w:r>
      <w:r>
        <w:t>o</w:t>
      </w:r>
      <w:r>
        <w:t>raba los dichos de Leoni con relación a las vigilancias, precisando que se incrementaron en los días previos al atent</w:t>
      </w:r>
      <w:r>
        <w:t>a</w:t>
      </w:r>
      <w:r>
        <w:t>do.</w:t>
      </w:r>
    </w:p>
    <w:p w:rsidR="00224567" w:rsidRDefault="00224567">
      <w:pPr>
        <w:widowControl w:val="0"/>
      </w:pPr>
      <w:r>
        <w:tab/>
        <w:t>Agregó que Miguel Galassi y Roberto De Lucia, quienes ubicaron y condujeron a estos testigos al juzgado, los entrevistaron antes de que declarasen, corr</w:t>
      </w:r>
      <w:r>
        <w:t>o</w:t>
      </w:r>
      <w:r>
        <w:t>borando sus dichos, en particular sobre las permanentes vigilancias del domicilio de Telleldín. Recordaron que D</w:t>
      </w:r>
      <w:r>
        <w:t>u</w:t>
      </w:r>
      <w:r>
        <w:t>day pudo especificar que estas observaciones las practic</w:t>
      </w:r>
      <w:r>
        <w:t>a</w:t>
      </w:r>
      <w:r>
        <w:t>ban policías a bordo de un Ford Fa</w:t>
      </w:r>
      <w:r>
        <w:t>l</w:t>
      </w:r>
      <w:r>
        <w:t>con.</w:t>
      </w:r>
    </w:p>
    <w:p w:rsidR="00224567" w:rsidRDefault="00224567">
      <w:pPr>
        <w:widowControl w:val="0"/>
      </w:pPr>
      <w:r>
        <w:tab/>
        <w:t>Por todo lo expuesto, el Fiscal co</w:t>
      </w:r>
      <w:r>
        <w:t>n</w:t>
      </w:r>
      <w:r>
        <w:t>cluyó que no había ninguna duda sobre que los policías e</w:t>
      </w:r>
      <w:r>
        <w:t>s</w:t>
      </w:r>
      <w:r>
        <w:t>taban int</w:t>
      </w:r>
      <w:r>
        <w:t>e</w:t>
      </w:r>
      <w:r>
        <w:t>resados en esa Trafic.</w:t>
      </w:r>
    </w:p>
    <w:p w:rsidR="00224567" w:rsidRDefault="00224567">
      <w:pPr>
        <w:widowControl w:val="0"/>
      </w:pPr>
      <w:r>
        <w:tab/>
      </w:r>
      <w:r>
        <w:rPr>
          <w:b/>
          <w:bCs/>
        </w:rPr>
        <w:t>C.2.d.iv.B.2)</w:t>
      </w:r>
      <w:r>
        <w:t xml:space="preserve"> Como se dijera, el fi</w:t>
      </w:r>
      <w:r>
        <w:t>s</w:t>
      </w:r>
      <w:r>
        <w:t>cal sostuvo que las vigilancias efectuadas sobre el dom</w:t>
      </w:r>
      <w:r>
        <w:t>i</w:t>
      </w:r>
      <w:r>
        <w:t>cilio de Carlos Alberto Telleldín, corroboradas por los testigos Leoni y Duday, fueron el antecedente y apoyatura del accionar policial materializado el 10 de julio de 1994.</w:t>
      </w:r>
    </w:p>
    <w:p w:rsidR="00224567" w:rsidRDefault="00224567">
      <w:pPr>
        <w:widowControl w:val="0"/>
      </w:pPr>
      <w:r>
        <w:tab/>
        <w:t>Ahora bien, toda vez que no se acred</w:t>
      </w:r>
      <w:r>
        <w:t>i</w:t>
      </w:r>
      <w:r>
        <w:t>tó –como se reiterara ya en numerosas oportunidades en e</w:t>
      </w:r>
      <w:r>
        <w:t>s</w:t>
      </w:r>
      <w:r>
        <w:t>te decisorio– que en la fecha citada –ni en ninguna otra– los imputados hubieran retirado una camioneta Trafic del domicilio de República 107 de Villa Ballester, toda con</w:t>
      </w:r>
      <w:r>
        <w:t>e</w:t>
      </w:r>
      <w:r>
        <w:t>xión con ese evento resulta intrascendente para fundar la acus</w:t>
      </w:r>
      <w:r>
        <w:t>a</w:t>
      </w:r>
      <w:r>
        <w:t>ción.</w:t>
      </w:r>
    </w:p>
    <w:p w:rsidR="00224567" w:rsidRDefault="00224567">
      <w:pPr>
        <w:widowControl w:val="0"/>
      </w:pPr>
      <w:r>
        <w:tab/>
        <w:t>Además, la afirmación del fiscal más arriba citada solo podía tener relevancia si se sost</w:t>
      </w:r>
      <w:r>
        <w:t>u</w:t>
      </w:r>
      <w:r>
        <w:t>viera que la camioneta Trafic fue obtenida en un marco extors</w:t>
      </w:r>
      <w:r>
        <w:t>i</w:t>
      </w:r>
      <w:r>
        <w:t>vo. Sin embargo, ninguno de los acusadores que mantienen la imputación a los policías como partícipes en el atent</w:t>
      </w:r>
      <w:r>
        <w:t>a</w:t>
      </w:r>
      <w:r>
        <w:t>do a la fecha sostiene esta hipótesis. En efecto, tanto los representantes de la querella como el fiscal general aludieron en sus alegatos a una “entrega concert</w:t>
      </w:r>
      <w:r>
        <w:t>a</w:t>
      </w:r>
      <w:r>
        <w:t>da” de la camioneta Trafic a los policías.</w:t>
      </w:r>
    </w:p>
    <w:p w:rsidR="00224567" w:rsidRDefault="00224567">
      <w:pPr>
        <w:widowControl w:val="0"/>
      </w:pPr>
      <w:r>
        <w:tab/>
        <w:t>Entonces, en una “entrega acordada” resulta tan ilógico que efectuaran las denunciadas vig</w:t>
      </w:r>
      <w:r>
        <w:t>i</w:t>
      </w:r>
      <w:r>
        <w:t>lancias como que fueran a ver a la señora Leoni y no a B</w:t>
      </w:r>
      <w:r>
        <w:t>o</w:t>
      </w:r>
      <w:r>
        <w:t>ragni o a Telleldín. Además, si el aviso era una señal p</w:t>
      </w:r>
      <w:r>
        <w:t>a</w:t>
      </w:r>
      <w:r>
        <w:t>ra precisar el momento en que la camioneta estaba acond</w:t>
      </w:r>
      <w:r>
        <w:t>i</w:t>
      </w:r>
      <w:r>
        <w:t>cionada para llevar los explosivos con los que se comet</w:t>
      </w:r>
      <w:r>
        <w:t>e</w:t>
      </w:r>
      <w:r>
        <w:t>ría el atentado, qué sentido podía tener que los policías concurrieran antes de la publicación. Sostener, como lo hace el Fiscal, que esa visita a Leoni respondió a una a</w:t>
      </w:r>
      <w:r>
        <w:t>c</w:t>
      </w:r>
      <w:r>
        <w:t>titud imprudente producto del apuro de los imputados, no es más que una muestra de la impotencia de los ac</w:t>
      </w:r>
      <w:r>
        <w:t>u</w:t>
      </w:r>
      <w:r>
        <w:t>sadores por tratar de mantener una imputación al margen de la prueba producida en el deb</w:t>
      </w:r>
      <w:r>
        <w:t>a</w:t>
      </w:r>
      <w:r>
        <w:t>te.</w:t>
      </w:r>
    </w:p>
    <w:p w:rsidR="00224567" w:rsidRDefault="00224567">
      <w:pPr>
        <w:widowControl w:val="0"/>
      </w:pPr>
      <w:r>
        <w:tab/>
        <w:t>También sostuvo el representante del Ministerio Público Fiscal que Leoni presenció que los p</w:t>
      </w:r>
      <w:r>
        <w:t>o</w:t>
      </w:r>
      <w:r>
        <w:t>licías, que reiteradamente veía vigilar la casa i</w:t>
      </w:r>
      <w:r>
        <w:t>n</w:t>
      </w:r>
      <w:r>
        <w:t>gresaron a su comercio pr</w:t>
      </w:r>
      <w:r>
        <w:t>e</w:t>
      </w:r>
      <w:r>
        <w:t>guntándole si su Trafic era la que estaba a la venta. A partir de allí, el doctor Nisman destaca c</w:t>
      </w:r>
      <w:r>
        <w:t>o</w:t>
      </w:r>
      <w:r>
        <w:t>mo llamativo que la camioneta de T</w:t>
      </w:r>
      <w:r>
        <w:t>e</w:t>
      </w:r>
      <w:r>
        <w:t>lleldín aún no hubiera sido public</w:t>
      </w:r>
      <w:r>
        <w:t>a</w:t>
      </w:r>
      <w:r>
        <w:t>da.</w:t>
      </w:r>
    </w:p>
    <w:p w:rsidR="00224567" w:rsidRDefault="00224567">
      <w:pPr>
        <w:widowControl w:val="0"/>
      </w:pPr>
      <w:r>
        <w:tab/>
        <w:t>Nuevamente el señor Fiscal General efectúa afirmaciones alejadas de la prueba producida d</w:t>
      </w:r>
      <w:r>
        <w:t>u</w:t>
      </w:r>
      <w:r>
        <w:t>rante la audiencia. La señora Leoni nunca afirmó que qui</w:t>
      </w:r>
      <w:r>
        <w:t>e</w:t>
      </w:r>
      <w:r>
        <w:t>nes le preguntaran por su camioneta fueran policías, ya que la única referencia que hizo a personas que revisti</w:t>
      </w:r>
      <w:r>
        <w:t>e</w:t>
      </w:r>
      <w:r>
        <w:t>ran esa condición fue cuando relató la invasión, a su n</w:t>
      </w:r>
      <w:r>
        <w:t>e</w:t>
      </w:r>
      <w:r>
        <w:t>gocio, que s</w:t>
      </w:r>
      <w:r>
        <w:t>u</w:t>
      </w:r>
      <w:r>
        <w:t>friera el 26 de julio de 1994.</w:t>
      </w:r>
    </w:p>
    <w:p w:rsidR="00224567" w:rsidRDefault="00224567">
      <w:pPr>
        <w:widowControl w:val="0"/>
      </w:pPr>
      <w:r>
        <w:tab/>
        <w:t>Respecto a los vehículos empleados en las referidas vig</w:t>
      </w:r>
      <w:r>
        <w:t>i</w:t>
      </w:r>
      <w:r>
        <w:t>lancias, el acusador estatal recordó que la testigo supo, por dichos de Boragni, que su domicilio era controlado, entre otros, por un rodado Ford Galaxy azul.</w:t>
      </w:r>
    </w:p>
    <w:p w:rsidR="00224567" w:rsidRDefault="00224567">
      <w:pPr>
        <w:widowControl w:val="0"/>
      </w:pPr>
      <w:r>
        <w:tab/>
        <w:t>Esta referencia obviamente pretende conectar la presencia de ese vehículo en tareas de obse</w:t>
      </w:r>
      <w:r>
        <w:t>r</w:t>
      </w:r>
      <w:r>
        <w:t>vación, con su intervención el 10 de julio de 1994 en el seguimiento de la cami</w:t>
      </w:r>
      <w:r>
        <w:t>o</w:t>
      </w:r>
      <w:r>
        <w:t>neta Trafic.</w:t>
      </w:r>
    </w:p>
    <w:p w:rsidR="00224567" w:rsidRDefault="00224567">
      <w:pPr>
        <w:widowControl w:val="0"/>
      </w:pPr>
      <w:r>
        <w:tab/>
        <w:t>Más allá de que este último suceso no se ha comprobado, corresponde destacar que, con respe</w:t>
      </w:r>
      <w:r>
        <w:t>c</w:t>
      </w:r>
      <w:r>
        <w:t>to a ese vehículo, el Sr. Fiscal vuelve a efectuar una valor</w:t>
      </w:r>
      <w:r>
        <w:t>a</w:t>
      </w:r>
      <w:r>
        <w:t>ción parcial de la prueba producida.</w:t>
      </w:r>
    </w:p>
    <w:p w:rsidR="00224567" w:rsidRDefault="00224567">
      <w:pPr>
        <w:widowControl w:val="0"/>
      </w:pPr>
      <w:r>
        <w:tab/>
        <w:t>En primer lugar, la presencia del Ford Galaxy en actividades de vigilancia del domicilio de T</w:t>
      </w:r>
      <w:r>
        <w:t>e</w:t>
      </w:r>
      <w:r>
        <w:t>lleldín comentada por Boragni a Leoni, solo tiene el a</w:t>
      </w:r>
      <w:r>
        <w:t>l</w:t>
      </w:r>
      <w:r>
        <w:t>cance que corresponde atribuir a los testimonios por d</w:t>
      </w:r>
      <w:r>
        <w:t>i</w:t>
      </w:r>
      <w:r>
        <w:t>chos de terceros. Como ya se dijera en otro apartado, en este grupo de casos, tiene profunda incidencia la credib</w:t>
      </w:r>
      <w:r>
        <w:t>i</w:t>
      </w:r>
      <w:r>
        <w:t>lidad que genere el “testigo fuente”. A esta altura el testimonio pre</w:t>
      </w:r>
      <w:r>
        <w:t>s</w:t>
      </w:r>
      <w:r>
        <w:t>tado en la audiencia por Ana Boragni merece profundos reparos en cuanto a su verac</w:t>
      </w:r>
      <w:r>
        <w:t>i</w:t>
      </w:r>
      <w:r>
        <w:t>dad.</w:t>
      </w:r>
    </w:p>
    <w:p w:rsidR="00224567" w:rsidRDefault="00224567">
      <w:pPr>
        <w:widowControl w:val="0"/>
      </w:pPr>
      <w:r>
        <w:tab/>
        <w:t>Por otra parte, y esto fue omitido por el doctor Nisman en su alegato, la testigo Leoni no pudo precisar de qué marca eran los vehículos que vig</w:t>
      </w:r>
      <w:r>
        <w:t>i</w:t>
      </w:r>
      <w:r>
        <w:t>laban el domicilio de Telleldín, sino exclusivamente que eran m</w:t>
      </w:r>
      <w:r>
        <w:t>a</w:t>
      </w:r>
      <w:r>
        <w:t>rrones o azules. Mantuvo esta versión aun luego de ser confrontada con su d</w:t>
      </w:r>
      <w:r>
        <w:t>e</w:t>
      </w:r>
      <w:r>
        <w:t>claración en sede instructoria cuando precisara que a metros de la casa de Telleldín veía un Ford Galaxy azul.</w:t>
      </w:r>
    </w:p>
    <w:p w:rsidR="00224567" w:rsidRDefault="00224567">
      <w:pPr>
        <w:widowControl w:val="0"/>
      </w:pPr>
      <w:r>
        <w:tab/>
        <w:t>Aclaró, dando todavía más fuerza a su testimonio en el juicio, que no podía identificar un Ford Galaxy e i</w:t>
      </w:r>
      <w:r>
        <w:t>n</w:t>
      </w:r>
      <w:r>
        <w:t>cluso al serle exhibida las fotografías de ese vehículo respo</w:t>
      </w:r>
      <w:r>
        <w:t>n</w:t>
      </w:r>
      <w:r>
        <w:t>dió “no, no era un coche así”.</w:t>
      </w:r>
    </w:p>
    <w:p w:rsidR="00224567" w:rsidRDefault="00224567">
      <w:pPr>
        <w:widowControl w:val="0"/>
      </w:pPr>
      <w:r>
        <w:tab/>
        <w:t>Como se ve, la omisión de valorar los dichos de Leoni en forma íntegra, pretende, una vez más, mantener una imputación más allá del alcance de las pru</w:t>
      </w:r>
      <w:r>
        <w:t>e</w:t>
      </w:r>
      <w:r>
        <w:t>bas produc</w:t>
      </w:r>
      <w:r>
        <w:t>i</w:t>
      </w:r>
      <w:r>
        <w:t>das.</w:t>
      </w:r>
    </w:p>
    <w:p w:rsidR="00224567" w:rsidRDefault="00224567">
      <w:pPr>
        <w:widowControl w:val="0"/>
      </w:pPr>
      <w:r>
        <w:tab/>
        <w:t>Respecto al testimonio brindado por Nicolás Zoilo Duday, deben recordarse algunas circunsta</w:t>
      </w:r>
      <w:r>
        <w:t>n</w:t>
      </w:r>
      <w:r>
        <w:t>cias llamativas. El testigo brindó dos declaraciones con la misma fecha en s</w:t>
      </w:r>
      <w:r>
        <w:t>e</w:t>
      </w:r>
      <w:r>
        <w:t>de instructoria, una cuya acta luce a fs. 38.293 y otra –bajo reserva de identidad– que está agregada a fs. 111.707/10. Cuando se le preguntó a la do</w:t>
      </w:r>
      <w:r>
        <w:t>c</w:t>
      </w:r>
      <w:r>
        <w:t>tora Spina, actuaria en dichas ocasiones, por esta pec</w:t>
      </w:r>
      <w:r>
        <w:t>u</w:t>
      </w:r>
      <w:r>
        <w:t>liar circunsta</w:t>
      </w:r>
      <w:r>
        <w:t>n</w:t>
      </w:r>
      <w:r>
        <w:t>cia justificó tal proceder en que concluida la primera declaración, Leoni le transmitió que Duday “t</w:t>
      </w:r>
      <w:r>
        <w:t>e</w:t>
      </w:r>
      <w:r>
        <w:t>nía mucho más para contar”, situación que fue categóric</w:t>
      </w:r>
      <w:r>
        <w:t>a</w:t>
      </w:r>
      <w:r>
        <w:t>mente desconocida por la te</w:t>
      </w:r>
      <w:r>
        <w:t>s</w:t>
      </w:r>
      <w:r>
        <w:t>tigo en el debate.</w:t>
      </w:r>
    </w:p>
    <w:p w:rsidR="00224567" w:rsidRDefault="00224567">
      <w:pPr>
        <w:widowControl w:val="0"/>
      </w:pPr>
      <w:r>
        <w:tab/>
        <w:t>Además, no puede soslayarse que los dichos de Duday fueron vertidos en una declaración recib</w:t>
      </w:r>
      <w:r>
        <w:t>i</w:t>
      </w:r>
      <w:r>
        <w:t>da bajo reserva de identidad, que –ante su fallec</w:t>
      </w:r>
      <w:r>
        <w:t>i</w:t>
      </w:r>
      <w:r>
        <w:t>miento– no pudo ser ratificada o rectificada d</w:t>
      </w:r>
      <w:r>
        <w:t>u</w:t>
      </w:r>
      <w:r>
        <w:t>rante el debate.</w:t>
      </w:r>
    </w:p>
    <w:p w:rsidR="00224567" w:rsidRDefault="00224567">
      <w:pPr>
        <w:widowControl w:val="0"/>
      </w:pPr>
      <w:r>
        <w:tab/>
        <w:t>Al valorar el testimonio de Duday, el representante del Ministerio Público Fiscal destacó que aquel advirtió que las vigilancias sobre el domicilio de Telleldín se incrementaron en los días previos al atent</w:t>
      </w:r>
      <w:r>
        <w:t>a</w:t>
      </w:r>
      <w:r>
        <w:t>do.</w:t>
      </w:r>
    </w:p>
    <w:p w:rsidR="00224567" w:rsidRDefault="00224567">
      <w:pPr>
        <w:widowControl w:val="0"/>
      </w:pPr>
      <w:r>
        <w:tab/>
        <w:t>Sin embargo, Duday solo habla de un episodio de vigilancia –el que relata con sumo detalle– que sitúa a 15 o 20 días del atentado, y no de varios como se deriv</w:t>
      </w:r>
      <w:r>
        <w:t>a</w:t>
      </w:r>
      <w:r>
        <w:t>ría del alegato fiscal.</w:t>
      </w:r>
    </w:p>
    <w:p w:rsidR="00224567" w:rsidRDefault="00224567">
      <w:pPr>
        <w:widowControl w:val="0"/>
      </w:pPr>
      <w:r>
        <w:tab/>
        <w:t>Por otra parte y en cuanto a la fecha en que habría ocurrido este episodio no puede analizarse el testim</w:t>
      </w:r>
      <w:r>
        <w:t>o</w:t>
      </w:r>
      <w:r>
        <w:t>nio de Duday en forma aislada como lo hiciera el acusador público, sino que debe considerarse el prestado durante el debate por Claudio Lif</w:t>
      </w:r>
      <w:r>
        <w:t>s</w:t>
      </w:r>
      <w:r>
        <w:t>chitz.</w:t>
      </w:r>
    </w:p>
    <w:p w:rsidR="00224567" w:rsidRDefault="00224567">
      <w:pPr>
        <w:widowControl w:val="0"/>
      </w:pPr>
      <w:r>
        <w:tab/>
        <w:t>Este participó –en su carácter de pr</w:t>
      </w:r>
      <w:r>
        <w:t>o</w:t>
      </w:r>
      <w:r>
        <w:t>secretario del Juzgado instructor, junto a los oficiales Roberto Fabián De Lucía y Miguel Ángel Galassi– de la ub</w:t>
      </w:r>
      <w:r>
        <w:t>i</w:t>
      </w:r>
      <w:r>
        <w:t>cación de los vecinos de Telleldín que pudieran aportar datos a la causa y a su traslado. También Lifschitz pr</w:t>
      </w:r>
      <w:r>
        <w:t>e</w:t>
      </w:r>
      <w:r>
        <w:t>senció la declaración que, como testigo de identidad r</w:t>
      </w:r>
      <w:r>
        <w:t>e</w:t>
      </w:r>
      <w:r>
        <w:t>servada, se le recibiera en el juzgado instructor a Nic</w:t>
      </w:r>
      <w:r>
        <w:t>o</w:t>
      </w:r>
      <w:r>
        <w:t>lás Zoilo Duday.</w:t>
      </w:r>
    </w:p>
    <w:p w:rsidR="00224567" w:rsidRDefault="00224567">
      <w:pPr>
        <w:widowControl w:val="0"/>
      </w:pPr>
      <w:r>
        <w:tab/>
        <w:t>Por lo expuesto, adquiere suma rel</w:t>
      </w:r>
      <w:r>
        <w:t>e</w:t>
      </w:r>
      <w:r>
        <w:t>vancia la gravísima irregularidad denunciada por Lif</w:t>
      </w:r>
      <w:r>
        <w:t>s</w:t>
      </w:r>
      <w:r>
        <w:t>chitz durante el debate. Allí destacó que en el juzgado delib</w:t>
      </w:r>
      <w:r>
        <w:t>e</w:t>
      </w:r>
      <w:r>
        <w:t>radamente se omitieron consignar las referencias que apo</w:t>
      </w:r>
      <w:r>
        <w:t>r</w:t>
      </w:r>
      <w:r>
        <w:t>tara Duday, que permitían ubicar en el tiempo la  prese</w:t>
      </w:r>
      <w:r>
        <w:t>n</w:t>
      </w:r>
      <w:r>
        <w:t>cia del personal policial en el comercio del test</w:t>
      </w:r>
      <w:r>
        <w:t>i</w:t>
      </w:r>
      <w:r>
        <w:t>go.</w:t>
      </w:r>
    </w:p>
    <w:p w:rsidR="00224567" w:rsidRDefault="00224567">
      <w:pPr>
        <w:widowControl w:val="0"/>
      </w:pPr>
      <w:r>
        <w:tab/>
        <w:t>Así, recordó que Duday había vincul</w:t>
      </w:r>
      <w:r>
        <w:t>a</w:t>
      </w:r>
      <w:r>
        <w:t xml:space="preserve">do esa presencia con la fuga de unos presos de </w:t>
      </w:r>
      <w:smartTag w:uri="urn:schemas-microsoft-com:office:smarttags" w:element="PersonName">
        <w:smartTagPr>
          <w:attr w:name="ProductID" w:val="la Comisar￭a"/>
        </w:smartTagPr>
        <w:r>
          <w:t>la Comisaría</w:t>
        </w:r>
      </w:smartTag>
      <w:r>
        <w:t xml:space="preserve"> de Villa Adelina, y que este dato no fue consi</w:t>
      </w:r>
      <w:r>
        <w:t>g</w:t>
      </w:r>
      <w:r>
        <w:t>nado en la declaración por el secretario De Gamas po</w:t>
      </w:r>
      <w:r>
        <w:t>r</w:t>
      </w:r>
      <w:r>
        <w:t>que tenía miedo de que no coincidieran en el tiempo a</w:t>
      </w:r>
      <w:r>
        <w:t>m</w:t>
      </w:r>
      <w:r>
        <w:t>bos sucesos.</w:t>
      </w:r>
    </w:p>
    <w:p w:rsidR="00224567" w:rsidRDefault="00224567">
      <w:pPr>
        <w:widowControl w:val="0"/>
      </w:pPr>
      <w:r>
        <w:tab/>
        <w:t>En definitiva, Lifschitz remarcó que en el acta de la declaración de Duday se asentó exclusiv</w:t>
      </w:r>
      <w:r>
        <w:t>a</w:t>
      </w:r>
      <w:r>
        <w:t>mente la visita policial referida por el testigo pero no el dato que éste arrimaba para ubicar temporalmente el h</w:t>
      </w:r>
      <w:r>
        <w:t>e</w:t>
      </w:r>
      <w:r>
        <w:t>cho.</w:t>
      </w:r>
    </w:p>
    <w:p w:rsidR="00224567" w:rsidRDefault="00224567">
      <w:pPr>
        <w:widowControl w:val="0"/>
      </w:pPr>
      <w:r>
        <w:tab/>
        <w:t>Por otra parte, destacó que, cuando se detuvo a los policías imputados y se conocieron algunos detalles sobre los hechos, advirtieron que la visita del personal policial al negocio de Duday estaba relacionada temporalmente con la persecución de Lanús y no con la de julio.</w:t>
      </w:r>
    </w:p>
    <w:p w:rsidR="00224567" w:rsidRDefault="00224567">
      <w:pPr>
        <w:widowControl w:val="0"/>
      </w:pPr>
      <w:r>
        <w:tab/>
        <w:t>De lo declarado por Lifschitz se de</w:t>
      </w:r>
      <w:r>
        <w:t>s</w:t>
      </w:r>
      <w:r>
        <w:t>prende, una vez más, el desmedido ímpetu del magistrado instructor y sus colaboradores por mantener una hipót</w:t>
      </w:r>
      <w:r>
        <w:t>e</w:t>
      </w:r>
      <w:r>
        <w:t>sis, aún fuera del alca</w:t>
      </w:r>
      <w:r>
        <w:t>n</w:t>
      </w:r>
      <w:r>
        <w:t>ce de las pruebas producidas. En otras palabras, si en algún tramo una prueba refut</w:t>
      </w:r>
      <w:r>
        <w:t>a</w:t>
      </w:r>
      <w:r>
        <w:t>ba la versión que se pretendía sostener, ésta se ocu</w:t>
      </w:r>
      <w:r>
        <w:t>l</w:t>
      </w:r>
      <w:r>
        <w:t>taba.</w:t>
      </w:r>
    </w:p>
    <w:p w:rsidR="00224567" w:rsidRDefault="00224567">
      <w:pPr>
        <w:widowControl w:val="0"/>
      </w:pPr>
      <w:r>
        <w:tab/>
        <w:t>A esta altura del análisis, el proc</w:t>
      </w:r>
      <w:r>
        <w:t>e</w:t>
      </w:r>
      <w:r>
        <w:t>der de los funcionarios del juzgado instructor relatado por Lifschitz no sorprende sino que demuestra la habitu</w:t>
      </w:r>
      <w:r>
        <w:t>a</w:t>
      </w:r>
      <w:r>
        <w:t>lidad en el manejo arbitrario de la prueba como m</w:t>
      </w:r>
      <w:r>
        <w:t>e</w:t>
      </w:r>
      <w:r>
        <w:t>dio para sostener la imputación a los policías bonaerenses en el atent</w:t>
      </w:r>
      <w:r>
        <w:t>a</w:t>
      </w:r>
      <w:r>
        <w:t>do.</w:t>
      </w:r>
    </w:p>
    <w:p w:rsidR="00224567" w:rsidRDefault="00224567">
      <w:pPr>
        <w:widowControl w:val="0"/>
      </w:pPr>
      <w:r>
        <w:tab/>
        <w:t>Resulta llamativo que el fiscal gen</w:t>
      </w:r>
      <w:r>
        <w:t>e</w:t>
      </w:r>
      <w:r>
        <w:t>ral en su alegato no valorara al referirse a este a</w:t>
      </w:r>
      <w:r>
        <w:t>s</w:t>
      </w:r>
      <w:r>
        <w:t>pecto, los dichos de Lifschitz cuando lo hizo respecto de los p</w:t>
      </w:r>
      <w:r>
        <w:t>o</w:t>
      </w:r>
      <w:r>
        <w:t>licías que junto a aquél entrevistaron a Leoni y Duday con anterioridad a que declararan en el juzg</w:t>
      </w:r>
      <w:r>
        <w:t>a</w:t>
      </w:r>
      <w:r>
        <w:t>do.</w:t>
      </w:r>
    </w:p>
    <w:p w:rsidR="00224567" w:rsidRDefault="00224567">
      <w:pPr>
        <w:widowControl w:val="0"/>
      </w:pPr>
      <w:r>
        <w:tab/>
        <w:t>Pero debe destacarse que el temor pe</w:t>
      </w:r>
      <w:r>
        <w:t>r</w:t>
      </w:r>
      <w:r>
        <w:t>cibido por el ex secretario De Gamas era acertado. Efect</w:t>
      </w:r>
      <w:r>
        <w:t>i</w:t>
      </w:r>
      <w:r>
        <w:t>vamente, s</w:t>
      </w:r>
      <w:r>
        <w:t>e</w:t>
      </w:r>
      <w:r>
        <w:t>gún la certificación actuarial de fs. 77.341/3 y de las actu</w:t>
      </w:r>
      <w:r>
        <w:t>a</w:t>
      </w:r>
      <w:r>
        <w:t>ciones obrantes a fs. 21, 22 y 64 del legajo 310, surge que en abril de 1994 se produjo una fuga de v</w:t>
      </w:r>
      <w:r>
        <w:t>a</w:t>
      </w:r>
      <w:r>
        <w:t xml:space="preserve">rios detenidos alojados en </w:t>
      </w:r>
      <w:smartTag w:uri="urn:schemas-microsoft-com:office:smarttags" w:element="PersonName">
        <w:smartTagPr>
          <w:attr w:name="ProductID" w:val="la Comisar￭a"/>
        </w:smartTagPr>
        <w:r>
          <w:t>la Comis</w:t>
        </w:r>
        <w:r>
          <w:t>a</w:t>
        </w:r>
        <w:r>
          <w:t>ría</w:t>
        </w:r>
      </w:smartTag>
      <w:r>
        <w:t xml:space="preserve"> de San Isidro 8ª  –Villa Adelina– entre los que se encontraba Alejandro H</w:t>
      </w:r>
      <w:r>
        <w:t>e</w:t>
      </w:r>
      <w:r>
        <w:t>bert Núñez.</w:t>
      </w:r>
    </w:p>
    <w:p w:rsidR="00224567" w:rsidRDefault="00224567">
      <w:pPr>
        <w:widowControl w:val="0"/>
      </w:pPr>
      <w:r>
        <w:tab/>
        <w:t>Por otra parte, resulta absolutamente sorprendente que, según dichos de Duday, el personal pol</w:t>
      </w:r>
      <w:r>
        <w:t>i</w:t>
      </w:r>
      <w:r>
        <w:t>cial que lo visit</w:t>
      </w:r>
      <w:r>
        <w:t>a</w:t>
      </w:r>
      <w:r>
        <w:t>ra en la ocasión expusiera: “</w:t>
      </w:r>
      <w:r>
        <w:rPr>
          <w:b/>
          <w:bCs/>
        </w:rPr>
        <w:t>ya se va a acordar de nosotros porque va a ocurrir algo grande y se va a e</w:t>
      </w:r>
      <w:r>
        <w:rPr>
          <w:b/>
          <w:bCs/>
        </w:rPr>
        <w:t>n</w:t>
      </w:r>
      <w:r>
        <w:rPr>
          <w:b/>
          <w:bCs/>
        </w:rPr>
        <w:t>terar por los diarios”</w:t>
      </w:r>
      <w:r>
        <w:t>.</w:t>
      </w:r>
    </w:p>
    <w:p w:rsidR="00224567" w:rsidRDefault="00224567">
      <w:pPr>
        <w:widowControl w:val="0"/>
      </w:pPr>
      <w:r>
        <w:tab/>
        <w:t>En efecto resulta tan pueril como co</w:t>
      </w:r>
      <w:r>
        <w:t>n</w:t>
      </w:r>
      <w:r>
        <w:t>trario a la lógica pensar que quien fuera a partic</w:t>
      </w:r>
      <w:r>
        <w:t>i</w:t>
      </w:r>
      <w:r>
        <w:t>par en un atentado, diera a personas desconocidas ref</w:t>
      </w:r>
      <w:r>
        <w:t>e</w:t>
      </w:r>
      <w:r>
        <w:t>rencias que permiti</w:t>
      </w:r>
      <w:r>
        <w:t>e</w:t>
      </w:r>
      <w:r>
        <w:t>ran el día de mañana identificarlo.</w:t>
      </w:r>
    </w:p>
    <w:p w:rsidR="00224567" w:rsidRDefault="00224567">
      <w:pPr>
        <w:widowControl w:val="0"/>
      </w:pPr>
      <w:r>
        <w:tab/>
        <w:t>Más allá que esta frase no se haya v</w:t>
      </w:r>
      <w:r>
        <w:t>a</w:t>
      </w:r>
      <w:r>
        <w:t>lorado en el alegato fiscal –como se lo hiciera en el r</w:t>
      </w:r>
      <w:r>
        <w:t>e</w:t>
      </w:r>
      <w:r>
        <w:t>querimiento fiscal de elevación a juicio como una prueba esencial del dolo de los policías bonarenses en el atent</w:t>
      </w:r>
      <w:r>
        <w:t>a</w:t>
      </w:r>
      <w:r>
        <w:t>do– no puede tan solo olvidarse que el testigo la formuló.</w:t>
      </w:r>
    </w:p>
    <w:p w:rsidR="00224567" w:rsidRDefault="00224567">
      <w:pPr>
        <w:widowControl w:val="0"/>
      </w:pPr>
      <w:r>
        <w:tab/>
        <w:t>En otras palabras, las afirmaciones ilógicas afectan la credibilidad del testigo que las so</w:t>
      </w:r>
      <w:r>
        <w:t>s</w:t>
      </w:r>
      <w:r>
        <w:t>tiene.</w:t>
      </w:r>
    </w:p>
    <w:p w:rsidR="00224567" w:rsidRDefault="00224567">
      <w:pPr>
        <w:widowControl w:val="0"/>
      </w:pPr>
      <w:r>
        <w:tab/>
        <w:t>Por último, el representante del M</w:t>
      </w:r>
      <w:r>
        <w:t>i</w:t>
      </w:r>
      <w:r>
        <w:t>nisterio Público Fiscal valoró el testimonio de Miguel G</w:t>
      </w:r>
      <w:r>
        <w:t>a</w:t>
      </w:r>
      <w:r>
        <w:t>lassi y Roberto De Lucia, para destacar que ya desde un primer momento Leoni y Duday señalaron las permanentes v</w:t>
      </w:r>
      <w:r>
        <w:t>i</w:t>
      </w:r>
      <w:r>
        <w:t>gilancias del domicilio de T</w:t>
      </w:r>
      <w:r>
        <w:t>e</w:t>
      </w:r>
      <w:r>
        <w:t>lleldín.</w:t>
      </w:r>
    </w:p>
    <w:p w:rsidR="00224567" w:rsidRDefault="00224567">
      <w:pPr>
        <w:widowControl w:val="0"/>
      </w:pPr>
      <w:r>
        <w:tab/>
        <w:t>Al valorarse los testimonios de estos oficiales no pu</w:t>
      </w:r>
      <w:r>
        <w:t>e</w:t>
      </w:r>
      <w:r>
        <w:t>de eludirse que hicieron referencia de lo que les transmitieron los testigos Leoni y Duday. En ese sentido, como cualquier testigo de oídas, no constituyen una nueva prueba del suceso sino una vía oblicua para i</w:t>
      </w:r>
      <w:r>
        <w:t>n</w:t>
      </w:r>
      <w:r>
        <w:t>corporar dichos vertidos en la etapa in</w:t>
      </w:r>
      <w:r>
        <w:t>s</w:t>
      </w:r>
      <w:r>
        <w:t>tructoria que, en el caso de Leoni –la única que conc</w:t>
      </w:r>
      <w:r>
        <w:t>u</w:t>
      </w:r>
      <w:r>
        <w:t>rrió al debate– fueron rectificados parcia</w:t>
      </w:r>
      <w:r>
        <w:t>l</w:t>
      </w:r>
      <w:r>
        <w:t>mente.</w:t>
      </w:r>
    </w:p>
    <w:p w:rsidR="00224567" w:rsidRDefault="00224567">
      <w:pPr>
        <w:widowControl w:val="0"/>
      </w:pPr>
      <w:r>
        <w:tab/>
        <w:t>Por todo lo expuesto, los dichos pre</w:t>
      </w:r>
      <w:r>
        <w:t>s</w:t>
      </w:r>
      <w:r>
        <w:t>tados por Leoni –durante el debate– y por Duday –en la etapa instructoria, bajo identidad reservada– no corrob</w:t>
      </w:r>
      <w:r>
        <w:t>o</w:t>
      </w:r>
      <w:r>
        <w:t>ran de ninguna manera la intervención de los policías imput</w:t>
      </w:r>
      <w:r>
        <w:t>a</w:t>
      </w:r>
      <w:r>
        <w:t>dos en el atentado.</w:t>
      </w:r>
    </w:p>
    <w:p w:rsidR="00224567" w:rsidRDefault="00224567">
      <w:pPr>
        <w:pStyle w:val="Ttulo6"/>
        <w:keepNext w:val="0"/>
        <w:widowControl w:val="0"/>
        <w:spacing w:line="600" w:lineRule="auto"/>
        <w:rPr>
          <w:rFonts w:cs="Courier New"/>
          <w:b w:val="0"/>
          <w:bCs/>
          <w:u w:val="none"/>
        </w:rPr>
      </w:pPr>
      <w:r>
        <w:rPr>
          <w:rFonts w:cs="Courier New"/>
          <w:u w:val="none"/>
        </w:rPr>
        <w:tab/>
      </w:r>
      <w:bookmarkStart w:id="214" w:name="_Toc86731987"/>
      <w:r>
        <w:rPr>
          <w:rFonts w:cs="Courier New"/>
          <w:u w:val="none"/>
        </w:rPr>
        <w:t>C.2.d.v)</w:t>
      </w:r>
      <w:bookmarkStart w:id="215" w:name="_Toc79905062"/>
      <w:r>
        <w:rPr>
          <w:rFonts w:cs="Courier New"/>
          <w:u w:val="none"/>
        </w:rPr>
        <w:t xml:space="preserve"> </w:t>
      </w:r>
      <w:r>
        <w:rPr>
          <w:rFonts w:cs="Courier New"/>
          <w:b w:val="0"/>
          <w:bCs/>
          <w:u w:val="none"/>
        </w:rPr>
        <w:t>La arbitraria afirmación de la tene</w:t>
      </w:r>
      <w:r>
        <w:rPr>
          <w:rFonts w:cs="Courier New"/>
          <w:b w:val="0"/>
          <w:bCs/>
          <w:u w:val="none"/>
        </w:rPr>
        <w:t>n</w:t>
      </w:r>
      <w:r>
        <w:rPr>
          <w:rFonts w:cs="Courier New"/>
          <w:b w:val="0"/>
          <w:bCs/>
          <w:u w:val="none"/>
        </w:rPr>
        <w:t xml:space="preserve">cia de </w:t>
      </w:r>
      <w:smartTag w:uri="urn:schemas-microsoft-com:office:smarttags" w:element="PersonName">
        <w:smartTagPr>
          <w:attr w:name="ProductID" w:val="la Trafic"/>
        </w:smartTagPr>
        <w:r>
          <w:rPr>
            <w:rFonts w:cs="Courier New"/>
            <w:b w:val="0"/>
            <w:bCs/>
            <w:u w:val="none"/>
          </w:rPr>
          <w:t>la Trafic</w:t>
        </w:r>
      </w:smartTag>
      <w:r>
        <w:rPr>
          <w:rFonts w:cs="Courier New"/>
          <w:b w:val="0"/>
          <w:bCs/>
          <w:u w:val="none"/>
        </w:rPr>
        <w:t xml:space="preserve"> por Juan José Ribelli</w:t>
      </w:r>
      <w:bookmarkEnd w:id="214"/>
      <w:bookmarkEnd w:id="215"/>
      <w:r>
        <w:rPr>
          <w:rFonts w:cs="Courier New"/>
          <w:b w:val="0"/>
          <w:bCs/>
          <w:u w:val="none"/>
        </w:rPr>
        <w:t>.</w:t>
      </w:r>
    </w:p>
    <w:p w:rsidR="00224567" w:rsidRDefault="00224567">
      <w:pPr>
        <w:pStyle w:val="Ttulo7"/>
        <w:widowControl w:val="0"/>
        <w:rPr>
          <w:bCs/>
        </w:rPr>
      </w:pPr>
      <w:r>
        <w:rPr>
          <w:b/>
        </w:rPr>
        <w:tab/>
      </w:r>
      <w:bookmarkStart w:id="216" w:name="_Toc86731988"/>
      <w:r>
        <w:rPr>
          <w:b/>
        </w:rPr>
        <w:t xml:space="preserve">C.2.d.v.A) </w:t>
      </w:r>
      <w:r>
        <w:rPr>
          <w:bCs/>
        </w:rPr>
        <w:t>Un fallido intento por d</w:t>
      </w:r>
      <w:r>
        <w:rPr>
          <w:bCs/>
        </w:rPr>
        <w:t>e</w:t>
      </w:r>
      <w:r>
        <w:rPr>
          <w:bCs/>
        </w:rPr>
        <w:t>mostrar la tenencia. Las declar</w:t>
      </w:r>
      <w:r>
        <w:rPr>
          <w:bCs/>
        </w:rPr>
        <w:t>a</w:t>
      </w:r>
      <w:r>
        <w:rPr>
          <w:bCs/>
        </w:rPr>
        <w:t>ciones de Álvarez Matus y Humerez.</w:t>
      </w:r>
      <w:bookmarkEnd w:id="216"/>
    </w:p>
    <w:p w:rsidR="00224567" w:rsidRDefault="00224567">
      <w:pPr>
        <w:pStyle w:val="Piedepgina"/>
        <w:widowControl w:val="0"/>
        <w:tabs>
          <w:tab w:val="clear" w:pos="4419"/>
          <w:tab w:val="clear" w:pos="8838"/>
        </w:tabs>
        <w:spacing w:line="600" w:lineRule="auto"/>
      </w:pPr>
      <w:r>
        <w:tab/>
      </w:r>
      <w:r>
        <w:rPr>
          <w:b/>
          <w:bCs/>
        </w:rPr>
        <w:t>C.2.d.v.A.1)</w:t>
      </w:r>
      <w:r>
        <w:t xml:space="preserve"> Los acusadores sostuvi</w:t>
      </w:r>
      <w:r>
        <w:t>e</w:t>
      </w:r>
      <w:r>
        <w:t xml:space="preserve">ron que se encontraba acreditado que </w:t>
      </w:r>
      <w:smartTag w:uri="urn:schemas-microsoft-com:office:smarttags" w:element="PersonName">
        <w:smartTagPr>
          <w:attr w:name="ProductID" w:val="la Trafic"/>
        </w:smartTagPr>
        <w:r>
          <w:t>la Trafic</w:t>
        </w:r>
      </w:smartTag>
      <w:r>
        <w:t xml:space="preserve"> que el 10 de julio de 1994 Telleldín entr</w:t>
      </w:r>
      <w:r>
        <w:t>e</w:t>
      </w:r>
      <w:r>
        <w:t xml:space="preserve">gara a Raúl Edilio Ibarra y Anastasio Ireneo Leal que explotara en la sede de </w:t>
      </w:r>
      <w:smartTag w:uri="urn:schemas-microsoft-com:office:smarttags" w:element="PersonName">
        <w:smartTagPr>
          <w:attr w:name="ProductID" w:val="la A.M"/>
        </w:smartTagPr>
        <w:r>
          <w:t>la A.M</w:t>
        </w:r>
      </w:smartTag>
      <w:r>
        <w:t>.I.A., estuvo en poder de Juan José Ribelli días a</w:t>
      </w:r>
      <w:r>
        <w:t>n</w:t>
      </w:r>
      <w:r>
        <w:t>tes del atentado.</w:t>
      </w:r>
    </w:p>
    <w:p w:rsidR="00224567" w:rsidRDefault="00224567">
      <w:pPr>
        <w:widowControl w:val="0"/>
      </w:pPr>
      <w:r>
        <w:tab/>
        <w:t>Para arribar a esta conclusión se v</w:t>
      </w:r>
      <w:r>
        <w:t>a</w:t>
      </w:r>
      <w:r>
        <w:t>loraron, con particular vehemencia, los testimonios pre</w:t>
      </w:r>
      <w:r>
        <w:t>s</w:t>
      </w:r>
      <w:r>
        <w:t>tados por Catalino J</w:t>
      </w:r>
      <w:r>
        <w:t>o</w:t>
      </w:r>
      <w:r>
        <w:t>sé Humerez y José Luis Álvarez Matus.</w:t>
      </w:r>
    </w:p>
    <w:p w:rsidR="00224567" w:rsidRDefault="00224567">
      <w:pPr>
        <w:widowControl w:val="0"/>
      </w:pPr>
      <w:r>
        <w:tab/>
        <w:t>Respecto al primero de los nombrados se destacaron los hechos que dijo pr</w:t>
      </w:r>
      <w:r>
        <w:t>e</w:t>
      </w:r>
      <w:r>
        <w:t>senciar los días 9 y 10 de julio de 1994.</w:t>
      </w:r>
    </w:p>
    <w:p w:rsidR="00224567" w:rsidRDefault="00224567">
      <w:pPr>
        <w:widowControl w:val="0"/>
      </w:pPr>
      <w:r>
        <w:tab/>
        <w:t>Así, se resaltó que en la primera de las fechas mencion</w:t>
      </w:r>
      <w:r>
        <w:t>a</w:t>
      </w:r>
      <w:r>
        <w:t>das, Humerez –quien trabajaba como mozo de la pizzería “Moconá” a la que concurrían asiduamente Ribelli y su grupo– vio que en la agencia Paola –de pr</w:t>
      </w:r>
      <w:r>
        <w:t>o</w:t>
      </w:r>
      <w:r>
        <w:t>piedad de Ribelli– había tres camionetas Trafic blancas, lo que le llamó la atención. Pero más se sorprendió, cua</w:t>
      </w:r>
      <w:r>
        <w:t>n</w:t>
      </w:r>
      <w:r>
        <w:t>do al agacharse a recoger una moneda que se le había ca</w:t>
      </w:r>
      <w:r>
        <w:t>í</w:t>
      </w:r>
      <w:r>
        <w:t>do, advirtió que una de esas camionetas estaba desmantel</w:t>
      </w:r>
      <w:r>
        <w:t>a</w:t>
      </w:r>
      <w:r>
        <w:t>da en la parte de abajo, es d</w:t>
      </w:r>
      <w:r>
        <w:t>e</w:t>
      </w:r>
      <w:r>
        <w:t>cir, no tenía piso.</w:t>
      </w:r>
    </w:p>
    <w:p w:rsidR="00224567" w:rsidRDefault="00224567">
      <w:pPr>
        <w:widowControl w:val="0"/>
      </w:pPr>
      <w:r>
        <w:tab/>
        <w:t>También mencionaron los acusadores que el testigo pudo precisar la fecha del evento rel</w:t>
      </w:r>
      <w:r>
        <w:t>a</w:t>
      </w:r>
      <w:r>
        <w:t>tado por su coincidencia con el día del pueblo 9 de j</w:t>
      </w:r>
      <w:r>
        <w:t>u</w:t>
      </w:r>
      <w:r>
        <w:t>lio, del que era oriundo. Recordó que en esa ocasión no tr</w:t>
      </w:r>
      <w:r>
        <w:t>a</w:t>
      </w:r>
      <w:r>
        <w:t>bajaba.</w:t>
      </w:r>
    </w:p>
    <w:p w:rsidR="00224567" w:rsidRDefault="00224567">
      <w:pPr>
        <w:widowControl w:val="0"/>
      </w:pPr>
      <w:r>
        <w:tab/>
        <w:t>Por otra parte se acentuó que el 10 de julio de 1994, día en que el personal policial retiró de República 107 la camioneta, Humerez, que fue a jugar al fútbol en una cancha próxima a la agencia Autoprix, pr</w:t>
      </w:r>
      <w:r>
        <w:t>o</w:t>
      </w:r>
      <w:r>
        <w:t>piedad de Ribelli, vio a éste manejando una Trafic de c</w:t>
      </w:r>
      <w:r>
        <w:t>o</w:t>
      </w:r>
      <w:r>
        <w:t>lor blanco.</w:t>
      </w:r>
    </w:p>
    <w:p w:rsidR="00224567" w:rsidRDefault="00224567">
      <w:pPr>
        <w:widowControl w:val="0"/>
      </w:pPr>
      <w:r>
        <w:tab/>
        <w:t>Destacaron a favor de la verosimil</w:t>
      </w:r>
      <w:r>
        <w:t>i</w:t>
      </w:r>
      <w:r>
        <w:t>tud del testigo que éste no pertenecía al entorno de ninguno de los imputados y que sus dichos se corrobor</w:t>
      </w:r>
      <w:r>
        <w:t>a</w:t>
      </w:r>
      <w:r>
        <w:t>ban con los prestados por Rodolfo Dipolto, Eugenio Gómez y Cristian Medina, dueños y empleado respectivamente de la pizzería “Moc</w:t>
      </w:r>
      <w:r>
        <w:t>o</w:t>
      </w:r>
      <w:r>
        <w:t>ná”.</w:t>
      </w:r>
    </w:p>
    <w:p w:rsidR="00224567" w:rsidRDefault="00224567">
      <w:pPr>
        <w:widowControl w:val="0"/>
      </w:pPr>
      <w:r>
        <w:tab/>
        <w:t>En el mismo sentido se afirmó que la habitualidad con que Humerez veía al personal policial se acreditaba con la fotografía que ilustraba a toda esa ge</w:t>
      </w:r>
      <w:r>
        <w:t>n</w:t>
      </w:r>
      <w:r>
        <w:t>te reunida en la pi</w:t>
      </w:r>
      <w:r>
        <w:t>z</w:t>
      </w:r>
      <w:r>
        <w:t>zería.</w:t>
      </w:r>
    </w:p>
    <w:p w:rsidR="00224567" w:rsidRDefault="00224567">
      <w:pPr>
        <w:widowControl w:val="0"/>
      </w:pPr>
      <w:r>
        <w:tab/>
        <w:t>En definitiva, se concluyó que el te</w:t>
      </w:r>
      <w:r>
        <w:t>s</w:t>
      </w:r>
      <w:r>
        <w:t>timonio de Humerez acreditaba que Ribelli supervisó la e</w:t>
      </w:r>
      <w:r>
        <w:t>n</w:t>
      </w:r>
      <w:r>
        <w:t xml:space="preserve">trega de </w:t>
      </w:r>
      <w:smartTag w:uri="urn:schemas-microsoft-com:office:smarttags" w:element="PersonName">
        <w:smartTagPr>
          <w:attr w:name="ProductID" w:val="la Trafic"/>
        </w:smartTagPr>
        <w:r>
          <w:t>la Trafic</w:t>
        </w:r>
      </w:smartTag>
      <w:r>
        <w:t xml:space="preserve"> de Telleldín a Ibarra y Leal a tal pu</w:t>
      </w:r>
      <w:r>
        <w:t>n</w:t>
      </w:r>
      <w:r>
        <w:t>to que en el tran</w:t>
      </w:r>
      <w:r>
        <w:t>s</w:t>
      </w:r>
      <w:r>
        <w:t>curso de la tarde, después de arribar de Puerto Iguazú, la tuvo en su poder.</w:t>
      </w:r>
    </w:p>
    <w:p w:rsidR="00224567" w:rsidRDefault="00224567">
      <w:pPr>
        <w:widowControl w:val="0"/>
      </w:pPr>
      <w:r>
        <w:tab/>
      </w:r>
      <w:r>
        <w:tab/>
        <w:t>Con relación a Álvarez Matus el fiscal general puso de resalto que el testigo durante el debate afirmó que observó, en la agencia Autoprix de Ribelli do</w:t>
      </w:r>
      <w:r>
        <w:t>n</w:t>
      </w:r>
      <w:r>
        <w:t>de trabajaba, en los días previos al atentado, cuatro c</w:t>
      </w:r>
      <w:r>
        <w:t>a</w:t>
      </w:r>
      <w:r>
        <w:t>mionetas Trafic blancas y que una de ellas se la había llevado Ribelli.</w:t>
      </w:r>
    </w:p>
    <w:p w:rsidR="00224567" w:rsidRDefault="00224567">
      <w:pPr>
        <w:widowControl w:val="0"/>
      </w:pPr>
      <w:r>
        <w:tab/>
        <w:t>El representante del Ministerio Públ</w:t>
      </w:r>
      <w:r>
        <w:t>i</w:t>
      </w:r>
      <w:r>
        <w:t>co Fiscal agregó que en la declaración prestada en sede instructoria –cuya incorporación al debate just</w:t>
      </w:r>
      <w:r>
        <w:t>i</w:t>
      </w:r>
      <w:r>
        <w:t>ficó en la ratificación de la diligencia por el testigo Bazet– Álv</w:t>
      </w:r>
      <w:r>
        <w:t>a</w:t>
      </w:r>
      <w:r>
        <w:t>rez Matus refirió que para la época del atentado vio ll</w:t>
      </w:r>
      <w:r>
        <w:t>e</w:t>
      </w:r>
      <w:r>
        <w:t>gar a Ribelli a la agencia acompañado por dos personas desconocidas que se llevaron una de las Trafic mientras eran segu</w:t>
      </w:r>
      <w:r>
        <w:t>i</w:t>
      </w:r>
      <w:r>
        <w:t>dos por Ribelli en un Monza.</w:t>
      </w:r>
    </w:p>
    <w:p w:rsidR="00224567" w:rsidRDefault="00224567">
      <w:pPr>
        <w:widowControl w:val="0"/>
      </w:pPr>
      <w:r>
        <w:tab/>
        <w:t>En apoyo de su postura, citó erróne</w:t>
      </w:r>
      <w:r>
        <w:t>a</w:t>
      </w:r>
      <w:r>
        <w:t>mente la conversación que surgía de la escucha del ab</w:t>
      </w:r>
      <w:r>
        <w:t>o</w:t>
      </w:r>
      <w:r>
        <w:t>nado 242-2098 –inequívocamente debió referirse al 242-4078–, casete 113, del 21 de agosto de 1997 entablada entre Álv</w:t>
      </w:r>
      <w:r>
        <w:t>a</w:t>
      </w:r>
      <w:r>
        <w:t>rez Matus y Sandra Cardeal, que se dijo reconocida por a</w:t>
      </w:r>
      <w:r>
        <w:t>m</w:t>
      </w:r>
      <w:r>
        <w:t xml:space="preserve">bos, en cuanto demostraba que éstos sabían que </w:t>
      </w:r>
      <w:smartTag w:uri="urn:schemas-microsoft-com:office:smarttags" w:element="PersonName">
        <w:smartTagPr>
          <w:attr w:name="ProductID" w:val="la Trafic"/>
        </w:smartTagPr>
        <w:r>
          <w:t>la Trafic</w:t>
        </w:r>
      </w:smartTag>
      <w:r>
        <w:t xml:space="preserve"> usada en el atentado había pasado por las manos de Rib</w:t>
      </w:r>
      <w:r>
        <w:t>e</w:t>
      </w:r>
      <w:r>
        <w:t>lli.</w:t>
      </w:r>
    </w:p>
    <w:p w:rsidR="00224567" w:rsidRDefault="00224567">
      <w:pPr>
        <w:widowControl w:val="0"/>
      </w:pPr>
      <w:r>
        <w:tab/>
        <w:t>Por su parte, los letrados de la qu</w:t>
      </w:r>
      <w:r>
        <w:t>e</w:t>
      </w:r>
      <w:r>
        <w:t>rella A.M.I.A. - D.A.I.A. se pronunciaron en un sentido similar aunque el Dr. Ávila –a diferencia de lo sost</w:t>
      </w:r>
      <w:r>
        <w:t>e</w:t>
      </w:r>
      <w:r>
        <w:t xml:space="preserve">nido por </w:t>
      </w:r>
      <w:smartTag w:uri="urn:schemas-microsoft-com:office:smarttags" w:element="PersonName">
        <w:smartTagPr>
          <w:attr w:name="ProductID" w:val="La Dra. Nercellas"/>
        </w:smartTagPr>
        <w:r>
          <w:t>la Dra. Nercellas</w:t>
        </w:r>
      </w:smartTag>
      <w:r>
        <w:t xml:space="preserve"> y el fiscal general– aclaró que d</w:t>
      </w:r>
      <w:r>
        <w:t>u</w:t>
      </w:r>
      <w:r>
        <w:t>rante el debate Álvarez Matus aunque no pudo precisar la época exacta en que vio las cuatro camionetas Trafic bla</w:t>
      </w:r>
      <w:r>
        <w:t>n</w:t>
      </w:r>
      <w:r>
        <w:t>cas, sí que un día de semana –probablemente viernes– Rib</w:t>
      </w:r>
      <w:r>
        <w:t>e</w:t>
      </w:r>
      <w:r>
        <w:t>lli por la mañana retiró una de ellas, no volviéndola a ver. Sin embargo, se resaltó que lo s</w:t>
      </w:r>
      <w:r>
        <w:t>u</w:t>
      </w:r>
      <w:r>
        <w:t>gestivo e importante era que al testigo le llamara la atención, por resultar absolutamente inusual, que Ribelli retirara conduciendo un vehíc</w:t>
      </w:r>
      <w:r>
        <w:t>u</w:t>
      </w:r>
      <w:r>
        <w:t>lo de la agencia.</w:t>
      </w:r>
    </w:p>
    <w:p w:rsidR="00224567" w:rsidRDefault="00224567">
      <w:pPr>
        <w:widowControl w:val="0"/>
      </w:pPr>
      <w:r>
        <w:tab/>
        <w:t>También se detalló que Álvarez Matus ante la instrucción relató lo sucedido de una manera dif</w:t>
      </w:r>
      <w:r>
        <w:t>e</w:t>
      </w:r>
      <w:r>
        <w:t>rente al sostener que Ribelli no condujo la cami</w:t>
      </w:r>
      <w:r>
        <w:t>o</w:t>
      </w:r>
      <w:r>
        <w:t>neta que se retiró de la age</w:t>
      </w:r>
      <w:r>
        <w:t>n</w:t>
      </w:r>
      <w:r>
        <w:t>cia, sino que se limitó a seguirla en su Monza granate acompañado de Albarracín y de otra pers</w:t>
      </w:r>
      <w:r>
        <w:t>o</w:t>
      </w:r>
      <w:r>
        <w:t>na apod</w:t>
      </w:r>
      <w:r>
        <w:t>a</w:t>
      </w:r>
      <w:r>
        <w:t xml:space="preserve">da “el pulpo”. </w:t>
      </w:r>
    </w:p>
    <w:p w:rsidR="00224567" w:rsidRDefault="00224567">
      <w:pPr>
        <w:widowControl w:val="0"/>
      </w:pPr>
      <w:r>
        <w:tab/>
        <w:t>En tal sentido se destacó que estaba comprobado que Ribelli p</w:t>
      </w:r>
      <w:r>
        <w:t>o</w:t>
      </w:r>
      <w:r>
        <w:t>seía un auto de esa marca y color según surgía de fs. 56.742.</w:t>
      </w:r>
    </w:p>
    <w:p w:rsidR="00224567" w:rsidRDefault="00224567">
      <w:pPr>
        <w:widowControl w:val="0"/>
      </w:pPr>
      <w:r>
        <w:tab/>
      </w:r>
      <w:r>
        <w:tab/>
      </w:r>
      <w:r>
        <w:rPr>
          <w:b/>
          <w:bCs/>
        </w:rPr>
        <w:t>C.2.d.v.A.2)</w:t>
      </w:r>
      <w:r>
        <w:t xml:space="preserve"> Nuevamente debe ponerse de resalto en este acápite, que la valoración de las pru</w:t>
      </w:r>
      <w:r>
        <w:t>e</w:t>
      </w:r>
      <w:r>
        <w:t>bas utilizadas por los acusadores para acreditar otro tr</w:t>
      </w:r>
      <w:r>
        <w:t>a</w:t>
      </w:r>
      <w:r>
        <w:t>mo de la responsabilidad de los policías en el atentado, esto es la tenencia de Ribelli del vehíc</w:t>
      </w:r>
      <w:r>
        <w:t>u</w:t>
      </w:r>
      <w:r>
        <w:t xml:space="preserve">lo que explotara en la sede de </w:t>
      </w:r>
      <w:smartTag w:uri="urn:schemas-microsoft-com:office:smarttags" w:element="PersonName">
        <w:smartTagPr>
          <w:attr w:name="ProductID" w:val="la A.M"/>
        </w:smartTagPr>
        <w:r>
          <w:t>la A.M</w:t>
        </w:r>
      </w:smartTag>
      <w:r>
        <w:t>.I.A., resulta carente de la mínima fundament</w:t>
      </w:r>
      <w:r>
        <w:t>a</w:t>
      </w:r>
      <w:r>
        <w:t>ción.</w:t>
      </w:r>
    </w:p>
    <w:p w:rsidR="00224567" w:rsidRDefault="00224567">
      <w:pPr>
        <w:widowControl w:val="0"/>
      </w:pPr>
      <w:r>
        <w:tab/>
        <w:t>Efectivamente, en algunos casos las conclusiones a las que arriban no son las derivadas de la prueba arrimada a la causa, en otros no son necesaria d</w:t>
      </w:r>
      <w:r>
        <w:t>e</w:t>
      </w:r>
      <w:r>
        <w:t>rivación de las pruebas valoradas y finalmente en los re</w:t>
      </w:r>
      <w:r>
        <w:t>s</w:t>
      </w:r>
      <w:r>
        <w:t>tantes no se advierte la vinculación con el objeto proc</w:t>
      </w:r>
      <w:r>
        <w:t>e</w:t>
      </w:r>
      <w:r>
        <w:t>sal.</w:t>
      </w:r>
    </w:p>
    <w:p w:rsidR="00224567" w:rsidRDefault="00224567">
      <w:pPr>
        <w:widowControl w:val="0"/>
      </w:pPr>
      <w:r>
        <w:tab/>
        <w:t>Inicialmente debe destacarse que toda vez que la prueba producida en este apartado fue val</w:t>
      </w:r>
      <w:r>
        <w:t>o</w:t>
      </w:r>
      <w:r>
        <w:t>rada en forma indisolublemente conexa con un hecho que, a ju</w:t>
      </w:r>
      <w:r>
        <w:t>i</w:t>
      </w:r>
      <w:r>
        <w:t>cio del Tribunal, no se acreditó, las valoraciones efe</w:t>
      </w:r>
      <w:r>
        <w:t>c</w:t>
      </w:r>
      <w:r>
        <w:t>tuadas al respecto se resienten seriame</w:t>
      </w:r>
      <w:r>
        <w:t>n</w:t>
      </w:r>
      <w:r>
        <w:t>te.</w:t>
      </w:r>
    </w:p>
    <w:p w:rsidR="00224567" w:rsidRDefault="00224567">
      <w:pPr>
        <w:widowControl w:val="0"/>
      </w:pPr>
      <w:r>
        <w:tab/>
        <w:t>En efecto, si no se probó que Leal e Ibarra hubieran recibido de Telleldín el 10 de julio de 1994 una camioneta Trafic, mal puede afirmarse que R</w:t>
      </w:r>
      <w:r>
        <w:t>i</w:t>
      </w:r>
      <w:r>
        <w:t>belli supervisara aqu</w:t>
      </w:r>
      <w:r>
        <w:t>e</w:t>
      </w:r>
      <w:r>
        <w:t>lla operación hasta el punto de exhibirse conduciendo ese vehículo ese mismo día, a su regreso de Puerto Iguazú.</w:t>
      </w:r>
    </w:p>
    <w:p w:rsidR="00224567" w:rsidRDefault="00224567">
      <w:pPr>
        <w:widowControl w:val="0"/>
      </w:pPr>
      <w:r>
        <w:tab/>
        <w:t>Aún de acreditarse –lo que no se hizo– que Ribelli en f</w:t>
      </w:r>
      <w:r>
        <w:t>e</w:t>
      </w:r>
      <w:r>
        <w:t>cha próxima al atentado tuvo en su poder una camioneta Trafic, ello en forma alguna conduciría a sostener que ese vehículo tuviera alguna relación con el que finalmente e</w:t>
      </w:r>
      <w:r>
        <w:t>x</w:t>
      </w:r>
      <w:r>
        <w:t xml:space="preserve">plotó en la sede de </w:t>
      </w:r>
      <w:smartTag w:uri="urn:schemas-microsoft-com:office:smarttags" w:element="PersonName">
        <w:smartTagPr>
          <w:attr w:name="ProductID" w:val="la A.M"/>
        </w:smartTagPr>
        <w:r>
          <w:t>la A.M</w:t>
        </w:r>
      </w:smartTag>
      <w:r>
        <w:t>.I.A.</w:t>
      </w:r>
    </w:p>
    <w:p w:rsidR="00224567" w:rsidRDefault="00224567">
      <w:pPr>
        <w:widowControl w:val="0"/>
      </w:pPr>
      <w:r>
        <w:tab/>
        <w:t>No obstante, una vez más, con el pr</w:t>
      </w:r>
      <w:r>
        <w:t>o</w:t>
      </w:r>
      <w:r>
        <w:t>pósito de analizar todas las pruebas en que se funda la acusación, se proc</w:t>
      </w:r>
      <w:r>
        <w:t>e</w:t>
      </w:r>
      <w:r>
        <w:t>derá a su estudio.</w:t>
      </w:r>
    </w:p>
    <w:p w:rsidR="00224567" w:rsidRDefault="00224567">
      <w:pPr>
        <w:widowControl w:val="0"/>
      </w:pPr>
      <w:r>
        <w:tab/>
        <w:t>Los dichos del testigo Humerez, a los que los acusadores adjudicaron suma importancia para acr</w:t>
      </w:r>
      <w:r>
        <w:t>e</w:t>
      </w:r>
      <w:r>
        <w:t>ditar un tramo esencial de la imputación, resultan poco creíbles, contradictorios con el juicio de repr</w:t>
      </w:r>
      <w:r>
        <w:t>o</w:t>
      </w:r>
      <w:r>
        <w:t>che que se pretende y, en tramos, inconducentes al objeto proc</w:t>
      </w:r>
      <w:r>
        <w:t>e</w:t>
      </w:r>
      <w:r>
        <w:t>sal.</w:t>
      </w:r>
    </w:p>
    <w:p w:rsidR="00224567" w:rsidRDefault="00224567">
      <w:pPr>
        <w:widowControl w:val="0"/>
      </w:pPr>
      <w:r>
        <w:tab/>
        <w:t>El señor fiscal general para destacar la veracidad de Humerez, resaltó que era ajeno al e</w:t>
      </w:r>
      <w:r>
        <w:t>n</w:t>
      </w:r>
      <w:r>
        <w:t>torno de los imputados y que aportó una versión caracterizada por la espontaneidad. El testigo, a su juicio, es un ho</w:t>
      </w:r>
      <w:r>
        <w:t>m</w:t>
      </w:r>
      <w:r>
        <w:t>bre sencillo, humilde, guiado por el único propósito de contar aquello que percibió por sus sentidos y sobre lo cual dio acabadas r</w:t>
      </w:r>
      <w:r>
        <w:t>a</w:t>
      </w:r>
      <w:r>
        <w:t>zones.</w:t>
      </w:r>
    </w:p>
    <w:p w:rsidR="00224567" w:rsidRDefault="00224567">
      <w:pPr>
        <w:widowControl w:val="0"/>
      </w:pPr>
      <w:r>
        <w:tab/>
        <w:t>Ahora bien, a criterio del Tribunal, no debe soslayarse que Catalino José Humerez prestó decl</w:t>
      </w:r>
      <w:r>
        <w:t>a</w:t>
      </w:r>
      <w:r>
        <w:t>ración testimonial por primera vez –bajo reserva de ide</w:t>
      </w:r>
      <w:r>
        <w:t>n</w:t>
      </w:r>
      <w:r>
        <w:t>tidad– en octubre de 1997 motivado según afirmó, en un aviso publicado en los medios periodísticos en el que se hacía referencia a una recompensa para quien brindara i</w:t>
      </w:r>
      <w:r>
        <w:t>n</w:t>
      </w:r>
      <w:r>
        <w:t>formación vinculada a la causa, luego de 4 meses de que hubiera interrumpido su relación laboral con la pizzería “Moconá” en la que trabajara. Avalan este último extremo, amén de la declaración del testigo, las cartas documento obrantes en fotocopias cert</w:t>
      </w:r>
      <w:r>
        <w:t>i</w:t>
      </w:r>
      <w:r>
        <w:t>ficadas a fs. 112.306/112.307 –cuya firma reconoció Humérez durante el debate– y el te</w:t>
      </w:r>
      <w:r>
        <w:t>s</w:t>
      </w:r>
      <w:r>
        <w:t>timonio de Rodolfo Carmelo D</w:t>
      </w:r>
      <w:r>
        <w:t>i</w:t>
      </w:r>
      <w:r>
        <w:t>polto.</w:t>
      </w:r>
    </w:p>
    <w:p w:rsidR="00224567" w:rsidRDefault="00224567">
      <w:pPr>
        <w:widowControl w:val="0"/>
      </w:pPr>
      <w:r>
        <w:tab/>
        <w:t>Si bien debe destacarse que Humerez negó haber solicitado la recompensa aludida, la oportun</w:t>
      </w:r>
      <w:r>
        <w:t>i</w:t>
      </w:r>
      <w:r>
        <w:t>dad en la que decidió dar a conocer hechos temporalmente próximos al atentado, resulta al menos sugest</w:t>
      </w:r>
      <w:r>
        <w:t>i</w:t>
      </w:r>
      <w:r>
        <w:t>va. Repárese que aún estando a sus propios dichos, en cuanto sostuvi</w:t>
      </w:r>
      <w:r>
        <w:t>e</w:t>
      </w:r>
      <w:r>
        <w:t>ra que recién a partir de la detención de Ribelli (julio de 1996) advirtió la eventual vinculación de éste con el atentado, transcurrió más de un año hasta que decidiera dar noticia de las diversas ci</w:t>
      </w:r>
      <w:r>
        <w:t>r</w:t>
      </w:r>
      <w:r>
        <w:t>cunstancias que a su juicio contribuyeran a su  escl</w:t>
      </w:r>
      <w:r>
        <w:t>a</w:t>
      </w:r>
      <w:r>
        <w:t>recimiento.</w:t>
      </w:r>
    </w:p>
    <w:p w:rsidR="00224567" w:rsidRDefault="00224567">
      <w:pPr>
        <w:widowControl w:val="0"/>
      </w:pPr>
      <w:r>
        <w:tab/>
        <w:t>Con el mismo sentido repárese que los avisos a los que se refiriera el testigo y que dieran cuenta de la recompensa y del juzgado interviniente, con mención de su dirección y teléfonos, fueron publicados e</w:t>
      </w:r>
      <w:r>
        <w:t>n</w:t>
      </w:r>
      <w:r>
        <w:t>tre el 10 y 11 de agosto de 1997 (cfr. fotocopias de fs. 26.728/26.740), es decir, dos meses antes de que prestara declaración te</w:t>
      </w:r>
      <w:r>
        <w:t>s</w:t>
      </w:r>
      <w:r>
        <w:t>timonial.</w:t>
      </w:r>
    </w:p>
    <w:p w:rsidR="00224567" w:rsidRDefault="00224567">
      <w:pPr>
        <w:widowControl w:val="0"/>
      </w:pPr>
      <w:r>
        <w:tab/>
        <w:t>Como se adelantara, algunas de las circunstancias afirmadas por el testigo y destacadas por los acusadores resultan ajenas a la imputación fo</w:t>
      </w:r>
      <w:r>
        <w:t>r</w:t>
      </w:r>
      <w:r>
        <w:t>mulada. Efectivamente, si se parte de que la particip</w:t>
      </w:r>
      <w:r>
        <w:t>a</w:t>
      </w:r>
      <w:r>
        <w:t>ción de los policías en el atentado consistió en haber obtenido de m</w:t>
      </w:r>
      <w:r>
        <w:t>a</w:t>
      </w:r>
      <w:r>
        <w:t>nos de Telleldín una camioneta Trafic el 10 de julio de 1994 que explotara en el edificio de Pasteur 633, ninguna relevancia puede tener que Hum</w:t>
      </w:r>
      <w:r>
        <w:t>e</w:t>
      </w:r>
      <w:r>
        <w:t>rez viese el 9 de julio de 1994 tres vehículos de idénticas características –aún de la misma marca y color– en la agencia Autoprix. La mención de que una de esas tres camionetas carecía de piso, debe correr idéntica sue</w:t>
      </w:r>
      <w:r>
        <w:t>r</w:t>
      </w:r>
      <w:r>
        <w:t>te.</w:t>
      </w:r>
    </w:p>
    <w:p w:rsidR="00224567" w:rsidRDefault="00224567">
      <w:pPr>
        <w:widowControl w:val="0"/>
      </w:pPr>
      <w:r>
        <w:tab/>
        <w:t>Ello, amén de resaltar que el señor fiscal general Nisman citó i</w:t>
      </w:r>
      <w:r>
        <w:t>n</w:t>
      </w:r>
      <w:r>
        <w:t>correctamente los dichos del te</w:t>
      </w:r>
      <w:r>
        <w:t>s</w:t>
      </w:r>
      <w:r>
        <w:t>tigo ya que éste nunca afirmó durante el debate que le llamara la atención haber observado tres cami</w:t>
      </w:r>
      <w:r>
        <w:t>o</w:t>
      </w:r>
      <w:r>
        <w:t xml:space="preserve">netas Trafic en la agencia Paola porque nunca había en ese lugar ese tipo de vehículos. </w:t>
      </w:r>
    </w:p>
    <w:p w:rsidR="00224567" w:rsidRDefault="00224567">
      <w:pPr>
        <w:widowControl w:val="0"/>
      </w:pPr>
      <w:r>
        <w:tab/>
        <w:t>Efectivamente, Humerez se limitó a afirmar que vio tres camionetas Trafic en esa ocasión, y al ser preguntado concretamente si en alguna otra oport</w:t>
      </w:r>
      <w:r>
        <w:t>u</w:t>
      </w:r>
      <w:r>
        <w:t>nidad había visto una camioneta Trafic respondió que s</w:t>
      </w:r>
      <w:r>
        <w:t>u</w:t>
      </w:r>
      <w:r>
        <w:t>puestamente había, pero que no podía precisarlo. Como se ve, la disparidad entre lo citado por el acusador y lo r</w:t>
      </w:r>
      <w:r>
        <w:t>e</w:t>
      </w:r>
      <w:r>
        <w:t>latado por el testigo, difiere sustancia</w:t>
      </w:r>
      <w:r>
        <w:t>l</w:t>
      </w:r>
      <w:r>
        <w:t>mente.</w:t>
      </w:r>
    </w:p>
    <w:p w:rsidR="00224567" w:rsidRDefault="00224567">
      <w:pPr>
        <w:widowControl w:val="0"/>
      </w:pPr>
      <w:r>
        <w:tab/>
        <w:t>El otro fragmento de la declaración de Humerez enfat</w:t>
      </w:r>
      <w:r>
        <w:t>i</w:t>
      </w:r>
      <w:r>
        <w:t>zado por los acusadores fue aquél en el cual el testigo afirmó que vio a Ribelli conduciendo una cami</w:t>
      </w:r>
      <w:r>
        <w:t>o</w:t>
      </w:r>
      <w:r>
        <w:t>neta Tr</w:t>
      </w:r>
      <w:r>
        <w:t>a</w:t>
      </w:r>
      <w:r>
        <w:t>fic blanca el día 10 de julio de 1994.</w:t>
      </w:r>
    </w:p>
    <w:p w:rsidR="00224567" w:rsidRDefault="00224567">
      <w:pPr>
        <w:widowControl w:val="0"/>
      </w:pPr>
      <w:r>
        <w:tab/>
        <w:t>Durante el debate, Humerez declaró que este episodio ocurrió en horas de la mañana y no por la tarde como lo había sostenido en la declaración que pr</w:t>
      </w:r>
      <w:r>
        <w:t>e</w:t>
      </w:r>
      <w:r>
        <w:t>s-tara en sede instructoria como testigo de identidad rese</w:t>
      </w:r>
      <w:r>
        <w:t>r</w:t>
      </w:r>
      <w:r>
        <w:t>vada.</w:t>
      </w:r>
    </w:p>
    <w:p w:rsidR="00224567" w:rsidRDefault="00224567">
      <w:pPr>
        <w:widowControl w:val="0"/>
      </w:pPr>
      <w:r>
        <w:tab/>
        <w:t>Esta afirmación importa una clara y abierta contradi</w:t>
      </w:r>
      <w:r>
        <w:t>c</w:t>
      </w:r>
      <w:r>
        <w:t>ción con lo declarado por Ribelli, ya en su indagatoria de marzo de 1997, cuando sostuvo que regr</w:t>
      </w:r>
      <w:r>
        <w:t>e</w:t>
      </w:r>
      <w:r>
        <w:t>só de sus vacaciones a las Cataratas del Iguazú el 10 de julio de 1994 por la tarde. La diferencia es que los d</w:t>
      </w:r>
      <w:r>
        <w:t>i</w:t>
      </w:r>
      <w:r>
        <w:t>chos del imputado cuentan con respaldo documental. En pr</w:t>
      </w:r>
      <w:r>
        <w:t>i</w:t>
      </w:r>
      <w:r>
        <w:t>mer lugar, Ribelli aportó la videocinta donde, entre otros fragmentos, se ve a quienes lo acompañaran durante ese viaje frente al mostrador de la empresa Austral en un a</w:t>
      </w:r>
      <w:r>
        <w:t>e</w:t>
      </w:r>
      <w:r>
        <w:t>ropuerto –en el que se pueden visualizar un cartel que i</w:t>
      </w:r>
      <w:r>
        <w:t>n</w:t>
      </w:r>
      <w:r>
        <w:t>dica “Buenos Aires” y como hora de partida las 10.30–, s</w:t>
      </w:r>
      <w:r>
        <w:t>u</w:t>
      </w:r>
      <w:r>
        <w:t>biendo a un avión de esa firma; luego a bordo de la aer</w:t>
      </w:r>
      <w:r>
        <w:t>o</w:t>
      </w:r>
      <w:r>
        <w:t>nave, se escucha a la azafata anunciando el arribo a la ciudad de Buenos A</w:t>
      </w:r>
      <w:r>
        <w:t>i</w:t>
      </w:r>
      <w:r>
        <w:t>res.</w:t>
      </w:r>
    </w:p>
    <w:p w:rsidR="00224567" w:rsidRDefault="00224567">
      <w:pPr>
        <w:widowControl w:val="0"/>
      </w:pPr>
      <w:r>
        <w:tab/>
        <w:t>Concordante con lo expuesto resulta el informe solic</w:t>
      </w:r>
      <w:r>
        <w:t>i</w:t>
      </w:r>
      <w:r>
        <w:t>tado por el imputado y remitido por facsímil por el Hotel Internacional Iguazú obrante a fs. 41.268/41.270 bis junto a las respectivas tarjetas de r</w:t>
      </w:r>
      <w:r>
        <w:t>e</w:t>
      </w:r>
      <w:r>
        <w:t>gistro, que se corresponde con el dirigido al juzgado in</w:t>
      </w:r>
      <w:r>
        <w:t>s</w:t>
      </w:r>
      <w:r>
        <w:t>tructor y glos</w:t>
      </w:r>
      <w:r>
        <w:t>a</w:t>
      </w:r>
      <w:r>
        <w:t>do a fs. 42.018/42.022.</w:t>
      </w:r>
    </w:p>
    <w:p w:rsidR="00224567" w:rsidRDefault="00224567">
      <w:pPr>
        <w:widowControl w:val="0"/>
      </w:pPr>
      <w:r>
        <w:tab/>
        <w:t>En el mismo sentido debe ser valorada la información remitida por las empresas telefónicas, e</w:t>
      </w:r>
      <w:r>
        <w:t>s</w:t>
      </w:r>
      <w:r>
        <w:t>pecíficamente el a</w:t>
      </w:r>
      <w:r>
        <w:t>r</w:t>
      </w:r>
      <w:r>
        <w:t>chivo informático “det 4406746a 199402 199411 txt.txt” e</w:t>
      </w:r>
      <w:r>
        <w:t>n</w:t>
      </w:r>
      <w:r>
        <w:t>tre otros, del que surge que el teléfono celular 440-6746, utilizado por Juan José Ribelli, no r</w:t>
      </w:r>
      <w:r>
        <w:t>e</w:t>
      </w:r>
      <w:r>
        <w:t>gistr</w:t>
      </w:r>
      <w:r>
        <w:t>a</w:t>
      </w:r>
      <w:r>
        <w:t xml:space="preserve">ba llamadas salientes desde el 6 de julio de </w:t>
      </w:r>
      <w:smartTag w:uri="urn:schemas-microsoft-com:office:smarttags" w:element="metricconverter">
        <w:smartTagPr>
          <w:attr w:name="ProductID" w:val="1994 a"/>
        </w:smartTagPr>
        <w:r>
          <w:t>1994 a</w:t>
        </w:r>
      </w:smartTag>
      <w:r>
        <w:t xml:space="preserve"> las 3.39 hasta el día 10 de ese mes a las 12.59.</w:t>
      </w:r>
    </w:p>
    <w:p w:rsidR="00224567" w:rsidRDefault="00224567">
      <w:pPr>
        <w:widowControl w:val="0"/>
      </w:pPr>
      <w:r>
        <w:tab/>
        <w:t>Toda vez que se ha corroborado el arribo de Ribelli a Buenos Aires, no antes de las 13 del 10 de julio de 1994, carece de sustento la afirmación de Humerez de haberlo visto ese día, pero por la mañana a bordo de una camioneta Tr</w:t>
      </w:r>
      <w:r>
        <w:t>a</w:t>
      </w:r>
      <w:r>
        <w:t>fic blanca.</w:t>
      </w:r>
    </w:p>
    <w:p w:rsidR="00224567" w:rsidRDefault="00224567">
      <w:pPr>
        <w:widowControl w:val="0"/>
      </w:pPr>
      <w:r>
        <w:tab/>
        <w:t>El fiscal general, en un intento de armonizar lo incompatible, curiosamente sostuvo que el testigo se equivocó en el horario en que afirmó haber vi</w:t>
      </w:r>
      <w:r>
        <w:t>s</w:t>
      </w:r>
      <w:r>
        <w:t>to a Ribelli conduciendo una camioneta Trafic bla</w:t>
      </w:r>
      <w:r>
        <w:t>n</w:t>
      </w:r>
      <w:r>
        <w:t>ca. Para arr</w:t>
      </w:r>
      <w:r>
        <w:t>i</w:t>
      </w:r>
      <w:r>
        <w:t>bar a tal conclusión sostuvo que Humerez no pudo haber visto a Ribelli a la mañana porque éste aún no había arr</w:t>
      </w:r>
      <w:r>
        <w:t>i</w:t>
      </w:r>
      <w:r>
        <w:t>bado a esta ciudad. Citó en apoyo de su afirmación la inexistencia de comunicaciones del celular de Ribelli aproximadame</w:t>
      </w:r>
      <w:r>
        <w:t>n</w:t>
      </w:r>
      <w:r>
        <w:t>te antes de las 14.20.</w:t>
      </w:r>
    </w:p>
    <w:p w:rsidR="00224567" w:rsidRDefault="00224567">
      <w:pPr>
        <w:widowControl w:val="0"/>
      </w:pPr>
      <w:r>
        <w:tab/>
        <w:t>En el mismo sentido, la doctora Nerc</w:t>
      </w:r>
      <w:r>
        <w:t>e</w:t>
      </w:r>
      <w:r>
        <w:t>llas señaló que tenía algunas dificultades con las fechas para determinar si R</w:t>
      </w:r>
      <w:r>
        <w:t>i</w:t>
      </w:r>
      <w:r>
        <w:t>belli estaba o no en Buenos Aires en la m</w:t>
      </w:r>
      <w:r>
        <w:t>a</w:t>
      </w:r>
      <w:r>
        <w:t>ñana del 10 de julio, pero lo cierto es que esa tarde se habían efectuado llamados desde el c</w:t>
      </w:r>
      <w:r>
        <w:t>e</w:t>
      </w:r>
      <w:r>
        <w:t>lular de Ribelli a la escribanía V</w:t>
      </w:r>
      <w:r>
        <w:t>a</w:t>
      </w:r>
      <w:r>
        <w:t>quer.</w:t>
      </w:r>
    </w:p>
    <w:p w:rsidR="00224567" w:rsidRDefault="00224567">
      <w:pPr>
        <w:widowControl w:val="0"/>
      </w:pPr>
      <w:r>
        <w:tab/>
        <w:t>La explicación que aportan los acus</w:t>
      </w:r>
      <w:r>
        <w:t>a</w:t>
      </w:r>
      <w:r>
        <w:t>dores para justif</w:t>
      </w:r>
      <w:r>
        <w:t>i</w:t>
      </w:r>
      <w:r>
        <w:t>car que Humerez observó a Ribelli elude responder que el testigo mantuvo su versión aún luego de ser preguntado insistentemente sobre el punto e incluso contrastado con su declaración de instrucción. Pero el error más grave en el razonamiento de los acusadores co</w:t>
      </w:r>
      <w:r>
        <w:t>n</w:t>
      </w:r>
      <w:r>
        <w:t>siste en invertir la prueba aportada por la defensa y pr</w:t>
      </w:r>
      <w:r>
        <w:t>e</w:t>
      </w:r>
      <w:r>
        <w:t>tender de esa forma derivar de alguna premisa una cons</w:t>
      </w:r>
      <w:r>
        <w:t>e</w:t>
      </w:r>
      <w:r>
        <w:t>cuencia única.</w:t>
      </w:r>
    </w:p>
    <w:p w:rsidR="00224567" w:rsidRDefault="00224567">
      <w:pPr>
        <w:widowControl w:val="0"/>
      </w:pPr>
      <w:r>
        <w:tab/>
        <w:t xml:space="preserve">En otras palabras, en la lógica de los acusadores si Ribelli no estaba en Buenos Aires el 10 de julio de </w:t>
      </w:r>
      <w:smartTag w:uri="urn:schemas-microsoft-com:office:smarttags" w:element="metricconverter">
        <w:smartTagPr>
          <w:attr w:name="ProductID" w:val="1994 a"/>
        </w:smartTagPr>
        <w:r>
          <w:t>1994 a</w:t>
        </w:r>
      </w:smartTag>
      <w:r>
        <w:t xml:space="preserve"> la mañana y Humerez dice haberlo visto en esa ocasión conduciendo una Trafic blanca, Humerez debe haberse equivocado al precisar el momento en que sucedió el evento que relata –como señalara el fiscal general– o se trata de un problema de fechas, como afirmara </w:t>
      </w:r>
      <w:smartTag w:uri="urn:schemas-microsoft-com:office:smarttags" w:element="PersonName">
        <w:smartTagPr>
          <w:attr w:name="ProductID" w:val="la Dra. Nercellas."/>
        </w:smartTagPr>
        <w:r>
          <w:t>la Dra. Ne</w:t>
        </w:r>
        <w:r>
          <w:t>r</w:t>
        </w:r>
        <w:r>
          <w:t>cellas.</w:t>
        </w:r>
      </w:smartTag>
    </w:p>
    <w:p w:rsidR="00224567" w:rsidRDefault="00224567">
      <w:pPr>
        <w:widowControl w:val="0"/>
      </w:pPr>
      <w:r>
        <w:tab/>
        <w:t>En realidad, la explicación más lóg</w:t>
      </w:r>
      <w:r>
        <w:t>i</w:t>
      </w:r>
      <w:r>
        <w:t>ca que surge de las premisas expuestas, y que elude el acus</w:t>
      </w:r>
      <w:r>
        <w:t>a</w:t>
      </w:r>
      <w:r>
        <w:t>dor estatal, es que Humerez mi</w:t>
      </w:r>
      <w:r>
        <w:t>n</w:t>
      </w:r>
      <w:r>
        <w:t>tiese.</w:t>
      </w:r>
    </w:p>
    <w:p w:rsidR="00224567" w:rsidRDefault="00224567">
      <w:pPr>
        <w:widowControl w:val="0"/>
      </w:pPr>
      <w:r>
        <w:tab/>
        <w:t>Debe repararse que el viaje de Rib</w:t>
      </w:r>
      <w:r>
        <w:t>e</w:t>
      </w:r>
      <w:r>
        <w:t>lli a las Cataratas del Iguazú no es materia de contr</w:t>
      </w:r>
      <w:r>
        <w:t>o</w:t>
      </w:r>
      <w:r>
        <w:t>versia; incluso los acusadores lo utilizan en su argumentación p</w:t>
      </w:r>
      <w:r>
        <w:t>a</w:t>
      </w:r>
      <w:r>
        <w:t xml:space="preserve">ra destacar como datos sugestivos su desplazamiento a </w:t>
      </w:r>
      <w:smartTag w:uri="urn:schemas-microsoft-com:office:smarttags" w:element="PersonName">
        <w:smartTagPr>
          <w:attr w:name="ProductID" w:val="la Triple Frontera"/>
        </w:smartTagPr>
        <w:r>
          <w:t>la Triple Frontera</w:t>
        </w:r>
      </w:smartTag>
      <w:r>
        <w:t>, el oportuno regreso para la supervis</w:t>
      </w:r>
      <w:r>
        <w:t>a</w:t>
      </w:r>
      <w:r>
        <w:t>ción de la entrega de la camioneta Trafic –y con anterioridad a su participación en la escritura por la donación de 2.500.000 dólares– o simplemente su utilización como coa</w:t>
      </w:r>
      <w:r>
        <w:t>r</w:t>
      </w:r>
      <w:r>
        <w:t>tada.</w:t>
      </w:r>
    </w:p>
    <w:p w:rsidR="00224567" w:rsidRDefault="00224567">
      <w:pPr>
        <w:widowControl w:val="0"/>
      </w:pPr>
      <w:r>
        <w:tab/>
        <w:t>Pero esta no es la única equivocación lógica en la que i</w:t>
      </w:r>
      <w:r>
        <w:t>n</w:t>
      </w:r>
      <w:r>
        <w:t>curren los acusadores para sostener las afirmaciones de Humerez. También se dijo que sus dichos encontraban corroboración en lo declarado por Rodolfo D</w:t>
      </w:r>
      <w:r>
        <w:t>i</w:t>
      </w:r>
      <w:r>
        <w:t>polto, Eugenio G</w:t>
      </w:r>
      <w:r>
        <w:t>ó</w:t>
      </w:r>
      <w:r>
        <w:t>mez y Cristian Medina.</w:t>
      </w:r>
    </w:p>
    <w:p w:rsidR="00224567" w:rsidRDefault="00224567">
      <w:pPr>
        <w:widowControl w:val="0"/>
      </w:pPr>
      <w:r>
        <w:tab/>
        <w:t>Ahora bien, a poco que se analice el testimonio de estos últimos, se advertirá muy claramente que el alcance que se les pretende otorgar es a todas l</w:t>
      </w:r>
      <w:r>
        <w:t>u</w:t>
      </w:r>
      <w:r>
        <w:t>ces inapropiado, o en otras palabras que no dicen lo que se prete</w:t>
      </w:r>
      <w:r>
        <w:t>n</w:t>
      </w:r>
      <w:r>
        <w:t>de.</w:t>
      </w:r>
    </w:p>
    <w:p w:rsidR="00224567" w:rsidRDefault="00224567">
      <w:pPr>
        <w:widowControl w:val="0"/>
      </w:pPr>
      <w:r>
        <w:tab/>
        <w:t>Eugenio Luis Gómez, copropietario de la pizzería “Moconá” en 1994, afirmó que Humerez trabajó como mozo de salón en el local y que era un buen e</w:t>
      </w:r>
      <w:r>
        <w:t>m</w:t>
      </w:r>
      <w:r>
        <w:t>pleado. Precisó que su hor</w:t>
      </w:r>
      <w:r>
        <w:t>a</w:t>
      </w:r>
      <w:r>
        <w:t xml:space="preserve">rio era de lunes a sábados de </w:t>
      </w:r>
      <w:smartTag w:uri="urn:schemas-microsoft-com:office:smarttags" w:element="metricconverter">
        <w:smartTagPr>
          <w:attr w:name="ProductID" w:val="10 a"/>
        </w:smartTagPr>
        <w:r>
          <w:t>10 a</w:t>
        </w:r>
      </w:smartTag>
      <w:r>
        <w:t xml:space="preserve"> 18. Aclaró que era un buscavidas porque solía vender mercad</w:t>
      </w:r>
      <w:r>
        <w:t>e</w:t>
      </w:r>
      <w:r>
        <w:t>ría en la cancha de fútbol.</w:t>
      </w:r>
    </w:p>
    <w:p w:rsidR="00224567" w:rsidRDefault="00224567">
      <w:pPr>
        <w:widowControl w:val="0"/>
      </w:pPr>
      <w:r>
        <w:tab/>
        <w:t>Por su parte, Rodolfo Carmelo Dipolto afirmó que para 1994 era socio de Gómez en la pizzería “Moconá” y corroboró que Humerez tr</w:t>
      </w:r>
      <w:r>
        <w:t>a</w:t>
      </w:r>
      <w:r>
        <w:t>bajó como mozo en ese n</w:t>
      </w:r>
      <w:r>
        <w:t>e</w:t>
      </w:r>
      <w:r>
        <w:t xml:space="preserve">gocio desde 1982 hasta 1997 y que lo hacía de 10 u </w:t>
      </w:r>
      <w:smartTag w:uri="urn:schemas-microsoft-com:office:smarttags" w:element="metricconverter">
        <w:smartTagPr>
          <w:attr w:name="ProductID" w:val="11 a"/>
        </w:smartTagPr>
        <w:r>
          <w:t>11 a</w:t>
        </w:r>
      </w:smartTag>
      <w:r>
        <w:t xml:space="preserve"> 18.</w:t>
      </w:r>
    </w:p>
    <w:p w:rsidR="00224567" w:rsidRDefault="00224567">
      <w:pPr>
        <w:widowControl w:val="0"/>
      </w:pPr>
      <w:r>
        <w:tab/>
        <w:t>En su momento, Carlos Cristian Med</w:t>
      </w:r>
      <w:r>
        <w:t>i</w:t>
      </w:r>
      <w:r>
        <w:t xml:space="preserve">na, quien aseguró trabajar como mozo en la citada pizzería desde </w:t>
      </w:r>
      <w:smartTag w:uri="urn:schemas-microsoft-com:office:smarttags" w:element="metricconverter">
        <w:smartTagPr>
          <w:attr w:name="ProductID" w:val="1990 a"/>
        </w:smartTagPr>
        <w:r>
          <w:t>1990 a</w:t>
        </w:r>
      </w:smartTag>
      <w:r>
        <w:t xml:space="preserve"> la fecha de su exposición y que Humerez ta</w:t>
      </w:r>
      <w:r>
        <w:t>m</w:t>
      </w:r>
      <w:r>
        <w:t>bién lo hizo en 1994.</w:t>
      </w:r>
    </w:p>
    <w:p w:rsidR="00224567" w:rsidRDefault="00224567">
      <w:pPr>
        <w:widowControl w:val="0"/>
      </w:pPr>
      <w:r>
        <w:tab/>
        <w:t>Como se advierte, ninguno de los te</w:t>
      </w:r>
      <w:r>
        <w:t>s</w:t>
      </w:r>
      <w:r>
        <w:t>tigos mencionados como apoyatura de los dichos de Hum</w:t>
      </w:r>
      <w:r>
        <w:t>e</w:t>
      </w:r>
      <w:r>
        <w:t>rez, corroboran ninguno de los tramos destacados por los acus</w:t>
      </w:r>
      <w:r>
        <w:t>a</w:t>
      </w:r>
      <w:r>
        <w:t>dores para fundar la imputación. Es decir, s</w:t>
      </w:r>
      <w:r>
        <w:t>o</w:t>
      </w:r>
      <w:r>
        <w:t>lo corroboran que Humerez trabajó en la pizzería “Moc</w:t>
      </w:r>
      <w:r>
        <w:t>o</w:t>
      </w:r>
      <w:r>
        <w:t>ná” para 1994, el horario en que lo hacía y que vendía en la cancha de fú</w:t>
      </w:r>
      <w:r>
        <w:t>t</w:t>
      </w:r>
      <w:r>
        <w:t>bol.</w:t>
      </w:r>
    </w:p>
    <w:p w:rsidR="00224567" w:rsidRDefault="00224567">
      <w:pPr>
        <w:widowControl w:val="0"/>
      </w:pPr>
      <w:r>
        <w:tab/>
        <w:t>En otras palabras, ni Gómez ni Dipo</w:t>
      </w:r>
      <w:r>
        <w:t>l</w:t>
      </w:r>
      <w:r>
        <w:t>to ni Medina afirmaron haber presenciado alguna de las ci</w:t>
      </w:r>
      <w:r>
        <w:t>r</w:t>
      </w:r>
      <w:r>
        <w:t>cunstancias que afirmara Humerez y destacaran los acusad</w:t>
      </w:r>
      <w:r>
        <w:t>o</w:t>
      </w:r>
      <w:r>
        <w:t>res, esto es, ni haber visto a Ribelli manejando una Tr</w:t>
      </w:r>
      <w:r>
        <w:t>a</w:t>
      </w:r>
      <w:r>
        <w:t>fic el 10 de julio de 1994 ni haber detectado que había tres Trafic en el interior de la agencia Paola y mucho m</w:t>
      </w:r>
      <w:r>
        <w:t>e</w:t>
      </w:r>
      <w:r>
        <w:t>nos que una de ellas c</w:t>
      </w:r>
      <w:r>
        <w:t>a</w:t>
      </w:r>
      <w:r>
        <w:t>reciera de piso.</w:t>
      </w:r>
    </w:p>
    <w:p w:rsidR="00224567" w:rsidRDefault="00224567">
      <w:pPr>
        <w:widowControl w:val="0"/>
      </w:pPr>
      <w:r>
        <w:tab/>
        <w:t>Tampoco pueden valorarse como test</w:t>
      </w:r>
      <w:r>
        <w:t>i</w:t>
      </w:r>
      <w:r>
        <w:t>gos de dichos de terceros, ya que ninguno de ellos afirmó s</w:t>
      </w:r>
      <w:r>
        <w:t>i</w:t>
      </w:r>
      <w:r>
        <w:t>quiera que Humerez le hubiera relatado alguna de las ci</w:t>
      </w:r>
      <w:r>
        <w:t>r</w:t>
      </w:r>
      <w:r>
        <w:t>cunstancias detalladas en el párrafo anterior. Incluso tanto Gómez como Dipolto negaron, al ser preguntados esp</w:t>
      </w:r>
      <w:r>
        <w:t>e</w:t>
      </w:r>
      <w:r>
        <w:t>cíficamente, que Humerez les hubiera comentado que había visto a Rib</w:t>
      </w:r>
      <w:r>
        <w:t>e</w:t>
      </w:r>
      <w:r>
        <w:t>lli conduciendo una camioneta Trafic.</w:t>
      </w:r>
    </w:p>
    <w:p w:rsidR="00224567" w:rsidRDefault="00224567">
      <w:pPr>
        <w:widowControl w:val="0"/>
      </w:pPr>
      <w:r>
        <w:tab/>
        <w:t>En lo único que coinciden es en señ</w:t>
      </w:r>
      <w:r>
        <w:t>a</w:t>
      </w:r>
      <w:r>
        <w:t>lar que Humerez en 1994 trabajó en la pizzería “Moc</w:t>
      </w:r>
      <w:r>
        <w:t>o</w:t>
      </w:r>
      <w:r>
        <w:t>ná”, y como se advierte, ello no aporta nada en cuanto a la ver</w:t>
      </w:r>
      <w:r>
        <w:t>a</w:t>
      </w:r>
      <w:r>
        <w:t>cidad de los extremos que se pretenden corr</w:t>
      </w:r>
      <w:r>
        <w:t>o</w:t>
      </w:r>
      <w:r>
        <w:t>borar.</w:t>
      </w:r>
    </w:p>
    <w:p w:rsidR="00224567" w:rsidRDefault="00224567">
      <w:pPr>
        <w:widowControl w:val="0"/>
      </w:pPr>
      <w:r>
        <w:tab/>
        <w:t>También destacaron los acusadores que el testigo, en ocasión de declarar bajo identidad reserv</w:t>
      </w:r>
      <w:r>
        <w:t>a</w:t>
      </w:r>
      <w:r>
        <w:t>da, aportó una f</w:t>
      </w:r>
      <w:r>
        <w:t>o</w:t>
      </w:r>
      <w:r>
        <w:t>tografía que daba cuenta de una comida en esa pizzería de la que participó Juan José Ribelli junto a otras personas. De allí pretende deducirse que Humerez c</w:t>
      </w:r>
      <w:r>
        <w:t>o</w:t>
      </w:r>
      <w:r>
        <w:t>nocía al entorno de Ribelli, y de esa afirm</w:t>
      </w:r>
      <w:r>
        <w:t>a</w:t>
      </w:r>
      <w:r>
        <w:t>ción se pasa a corroborar los extremos que sostuvo el test</w:t>
      </w:r>
      <w:r>
        <w:t>i</w:t>
      </w:r>
      <w:r>
        <w:t>go.</w:t>
      </w:r>
    </w:p>
    <w:p w:rsidR="00224567" w:rsidRDefault="00224567">
      <w:pPr>
        <w:widowControl w:val="0"/>
      </w:pPr>
      <w:r>
        <w:tab/>
        <w:t>Nuevamente, se advierte que los acus</w:t>
      </w:r>
      <w:r>
        <w:t>a</w:t>
      </w:r>
      <w:r>
        <w:t>dores con el afán de arribar a alguna conclusión d</w:t>
      </w:r>
      <w:r>
        <w:t>e</w:t>
      </w:r>
      <w:r>
        <w:t>jan de percibir los saltos lógicos que se efectúan en la argume</w:t>
      </w:r>
      <w:r>
        <w:t>n</w:t>
      </w:r>
      <w:r>
        <w:t>tación, omitiendo los necesarios presupuestos para fundar sus afirmaciones.</w:t>
      </w:r>
    </w:p>
    <w:p w:rsidR="00224567" w:rsidRDefault="00224567">
      <w:pPr>
        <w:widowControl w:val="0"/>
      </w:pPr>
      <w:r>
        <w:tab/>
        <w:t>Más allá de todo lo expuesto hasta el momento, no puede soslayarse que los requirentes en un e</w:t>
      </w:r>
      <w:r>
        <w:t>s</w:t>
      </w:r>
      <w:r>
        <w:t>fuerzo denodado por sostener el carácter incriminat</w:t>
      </w:r>
      <w:r>
        <w:t>o</w:t>
      </w:r>
      <w:r>
        <w:t>rio de la prueba, omiti</w:t>
      </w:r>
      <w:r>
        <w:t>e</w:t>
      </w:r>
      <w:r>
        <w:t>ron valorar que Humerez sostuvo que el 18 de julio de 1994 cuando llegó a “Moconá” a las 10 Ribelli ya estaba en el lugar viendo la telev</w:t>
      </w:r>
      <w:r>
        <w:t>i</w:t>
      </w:r>
      <w:r>
        <w:t>sión. Precisó además el testigo que en la oportunidad el imputado pidió un jugo de naranja con corte de pomelo, por lo que le encargó a Cristian Medina que comprara algún p</w:t>
      </w:r>
      <w:r>
        <w:t>o</w:t>
      </w:r>
      <w:r>
        <w:t>melo en la verdulería que estaba enfrente del local.</w:t>
      </w:r>
    </w:p>
    <w:p w:rsidR="00224567" w:rsidRDefault="00224567">
      <w:pPr>
        <w:widowControl w:val="0"/>
      </w:pPr>
      <w:r>
        <w:tab/>
        <w:t>Ahora bien, Ribelli ya en su indagat</w:t>
      </w:r>
      <w:r>
        <w:t>o</w:t>
      </w:r>
      <w:r>
        <w:t>ria de marzo de 1997, negó haber estado en el país el 18 de julio de 1994. E</w:t>
      </w:r>
      <w:r>
        <w:t>x</w:t>
      </w:r>
      <w:r>
        <w:t>plicó que si bien había organizado el regreso de sus vacaciones en Río de Janeiro y B</w:t>
      </w:r>
      <w:r>
        <w:t>u</w:t>
      </w:r>
      <w:r>
        <w:t>zios para esa fecha, el vuelo que lo trasladaría a Buenos Aires se canceló por el ate</w:t>
      </w:r>
      <w:r>
        <w:t>n</w:t>
      </w:r>
      <w:r>
        <w:t>tado. Detalló entonces que recién pudo regresar al día s</w:t>
      </w:r>
      <w:r>
        <w:t>i</w:t>
      </w:r>
      <w:r>
        <w:t>guiente y que esa noche debió pernoctar en el país vecino.</w:t>
      </w:r>
    </w:p>
    <w:p w:rsidR="00224567" w:rsidRDefault="00224567">
      <w:pPr>
        <w:widowControl w:val="0"/>
      </w:pPr>
      <w:r>
        <w:tab/>
        <w:t>Aclaró que la situación que le tocó vivir era igual a la de num</w:t>
      </w:r>
      <w:r>
        <w:t>e</w:t>
      </w:r>
      <w:r>
        <w:t>rosas personas que tenían que viajar y por ello, la empresa aérea, que cree era Aerol</w:t>
      </w:r>
      <w:r>
        <w:t>í</w:t>
      </w:r>
      <w:r>
        <w:t>neas Argentinas, distribuyó a los pasajeros en distintos hoteles de Río de Janeiro corriendo por su cuenta los ga</w:t>
      </w:r>
      <w:r>
        <w:t>s</w:t>
      </w:r>
      <w:r>
        <w:t>tos que dicha situación devengaba. Por consiguiente, el día 18 de julio de 1994 estuvo alojado en el hotel Gloria ubicado en Praia Do Russell 632 de Río de Janeiro y con tel</w:t>
      </w:r>
      <w:r>
        <w:t>é</w:t>
      </w:r>
      <w:r>
        <w:t>fono 55 (21) 24-51660 o 20-57272.</w:t>
      </w:r>
    </w:p>
    <w:p w:rsidR="00224567" w:rsidRDefault="00224567">
      <w:pPr>
        <w:widowControl w:val="0"/>
      </w:pPr>
      <w:r>
        <w:tab/>
        <w:t>Los dichos de Ribelli han quedado acreditados con la abundante e irrefutable documentación que se señalará en otro apartado de este pronunciamie</w:t>
      </w:r>
      <w:r>
        <w:t>n</w:t>
      </w:r>
      <w:r>
        <w:t>to, pero cabe adelantar que luce agregado a fs. 71.560/73 el exho</w:t>
      </w:r>
      <w:r>
        <w:t>r</w:t>
      </w:r>
      <w:r>
        <w:t>to remitido por la justicia brasilera  del que surge que Rib</w:t>
      </w:r>
      <w:r>
        <w:t>e</w:t>
      </w:r>
      <w:r>
        <w:t>lli y su familia –Daniela Soledad Paz, María Belén Ribelli y Alicia Esther Correa– se alojaron el 18 de julio en el Hotel Gloria de Río de Janeiro, por orden y cuenta de Aerolíneas Argentinas, y que se retiraron el 19 del mismo mes.</w:t>
      </w:r>
    </w:p>
    <w:p w:rsidR="00224567" w:rsidRDefault="00224567">
      <w:pPr>
        <w:widowControl w:val="0"/>
      </w:pPr>
      <w:r>
        <w:tab/>
        <w:t>A partir de la explicación que diera el imputado acerca de su ausencia en el país más la abr</w:t>
      </w:r>
      <w:r>
        <w:t>u</w:t>
      </w:r>
      <w:r>
        <w:t>madora prueba documental que se ha acumulado a estos a</w:t>
      </w:r>
      <w:r>
        <w:t>c</w:t>
      </w:r>
      <w:r>
        <w:t>tuados, la me</w:t>
      </w:r>
      <w:r>
        <w:t>n</w:t>
      </w:r>
      <w:r>
        <w:t>dacidad de Humerez nuevamente sale a la luz. Es que si Ribelli no estuvo en el país el 18 de julio de 1994, mal pudo haberlo visto el testigo en la mañana de esa jornada desayunando en la pizzería “Moconá”.</w:t>
      </w:r>
    </w:p>
    <w:p w:rsidR="00224567" w:rsidRDefault="00224567">
      <w:pPr>
        <w:widowControl w:val="0"/>
      </w:pPr>
      <w:r>
        <w:tab/>
        <w:t>Contribuye a corroborar lo expuesto la declaración que durante el debate brindara Cristian Med</w:t>
      </w:r>
      <w:r>
        <w:t>i</w:t>
      </w:r>
      <w:r>
        <w:t>na, en cuanto desmintiera todas y cada una de las circun</w:t>
      </w:r>
      <w:r>
        <w:t>s</w:t>
      </w:r>
      <w:r>
        <w:t>ta</w:t>
      </w:r>
      <w:r>
        <w:t>n</w:t>
      </w:r>
      <w:r>
        <w:t>cias que, en aval de su versión de lo ocurrido el 18 de julio de 1994, Humerez citara. En efecto, el ex comp</w:t>
      </w:r>
      <w:r>
        <w:t>a</w:t>
      </w:r>
      <w:r>
        <w:t>ñero de trabajo de Humerez destacó que el día del atentado no había visto a Ribelli en la pizzería y tampoco recordó el encargo referido por el te</w:t>
      </w:r>
      <w:r>
        <w:t>s</w:t>
      </w:r>
      <w:r>
        <w:t>tigo.</w:t>
      </w:r>
    </w:p>
    <w:p w:rsidR="00224567" w:rsidRDefault="00224567">
      <w:pPr>
        <w:widowControl w:val="0"/>
      </w:pPr>
      <w:r>
        <w:tab/>
        <w:t>Llegado a este nivel de análisis no puede dejar de advertirse que el comportamiento de los acusadores al omitir valorar los dichos de Humerez en cuanto sostuvo que vio a Ribelli el 18 de julio de 1994 desayunando en la pizzería, resulta equiparable con lo a</w:t>
      </w:r>
      <w:r>
        <w:t>c</w:t>
      </w:r>
      <w:r>
        <w:t>tuado en el juzgado instru</w:t>
      </w:r>
      <w:r>
        <w:t>c</w:t>
      </w:r>
      <w:r>
        <w:t>tor.</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En efecto, cabe destacar que en la ce</w:t>
      </w:r>
      <w:r>
        <w:t>r</w:t>
      </w:r>
      <w:r>
        <w:t>tificación de los dichos del testigo Humerez, obrante a fs. 43.251, también se omitió reflejar la circunstancia en an</w:t>
      </w:r>
      <w:r>
        <w:t>á</w:t>
      </w:r>
      <w:r>
        <w:t>lisis.</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Debe ponerse de resalto, que esta si</w:t>
      </w:r>
      <w:r>
        <w:t>n</w:t>
      </w:r>
      <w:r>
        <w:t>gular omisión en la certificación de los dichos de un te</w:t>
      </w:r>
      <w:r>
        <w:t>s</w:t>
      </w:r>
      <w:r>
        <w:t xml:space="preserve">tigo de identidad reservada, no es novedosa. En efecto, ya se había advertido que en la síntesis del testimonio de Gustavo Semorile efectuada por </w:t>
      </w:r>
      <w:smartTag w:uri="urn:schemas-microsoft-com:office:smarttags" w:element="PersonName">
        <w:smartTagPr>
          <w:attr w:name="ProductID" w:val="la Dra. Spina"/>
        </w:smartTagPr>
        <w:r>
          <w:t>la Dra. Spina</w:t>
        </w:r>
      </w:smartTag>
      <w:r>
        <w:t>, se eludió, injustificadamente, la referencia a que la moto, cuyo d</w:t>
      </w:r>
      <w:r>
        <w:t>e</w:t>
      </w:r>
      <w:r>
        <w:t>rrotero se investigara en la causa, había pasado por las manos de Pablo Ibáñez y Miriam Sal</w:t>
      </w:r>
      <w:r>
        <w:t>i</w:t>
      </w:r>
      <w:r>
        <w:t>nas.</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En aquél caso, la deliberada omisión obedecía al ocultamiento de la imputación que pudiera c</w:t>
      </w:r>
      <w:r>
        <w:t>o</w:t>
      </w:r>
      <w:r>
        <w:t>rresponderles a Pablo Ibáñez, Miriam Salinas y Gustavo S</w:t>
      </w:r>
      <w:r>
        <w:t>e</w:t>
      </w:r>
      <w:r>
        <w:t>morile.</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En cambio, respecto de Humerez, la om</w:t>
      </w:r>
      <w:r>
        <w:t>i</w:t>
      </w:r>
      <w:r>
        <w:t>sión del magistrado instructor y los acusadores, obedeció al propósito de mantener la vigencia de una prueba de cargo aún cuando aquéllas se encuentre claramente refutadas.</w:t>
      </w:r>
    </w:p>
    <w:p w:rsidR="00224567" w:rsidRDefault="00224567">
      <w:pPr>
        <w:widowControl w:val="0"/>
      </w:pPr>
      <w:r>
        <w:tab/>
        <w:t>En síntesis, quedó demostrada la me</w:t>
      </w:r>
      <w:r>
        <w:t>n</w:t>
      </w:r>
      <w:r>
        <w:t>dacidad de Humerez en las declaraciones brindadas tanto en sede instructoria como durante el debate, particula</w:t>
      </w:r>
      <w:r>
        <w:t>r</w:t>
      </w:r>
      <w:r>
        <w:t xml:space="preserve">mente en cuanto afirmara haber visto a Ribelli el 10 de julio de </w:t>
      </w:r>
      <w:smartTag w:uri="urn:schemas-microsoft-com:office:smarttags" w:element="metricconverter">
        <w:smartTagPr>
          <w:attr w:name="ProductID" w:val="1994 a"/>
        </w:smartTagPr>
        <w:r>
          <w:t>1994 a</w:t>
        </w:r>
      </w:smartTag>
      <w:r>
        <w:t xml:space="preserve"> bordo de una camioneta Trafic blanca y el 18 de ese mes desayunando en la pizzería “Moconá”. Más allá de que por estas razones, su credibilidad se encuentra seri</w:t>
      </w:r>
      <w:r>
        <w:t>a</w:t>
      </w:r>
      <w:r>
        <w:t>mente comprometida, las afirmaciones de lo presenciado el 9 de julio de ese mes resultan irrelevantes para sostener la imputación.</w:t>
      </w:r>
    </w:p>
    <w:p w:rsidR="00224567" w:rsidRDefault="00224567">
      <w:pPr>
        <w:widowControl w:val="0"/>
      </w:pPr>
      <w:r>
        <w:tab/>
        <w:t>En suma, las peculiares circun</w:t>
      </w:r>
      <w:r>
        <w:t>s</w:t>
      </w:r>
      <w:r>
        <w:t>tancias relatadas por el testigo no tienen ninguna corroboración en la causa, y, en algunos tramos, resultan ref</w:t>
      </w:r>
      <w:r>
        <w:t>u</w:t>
      </w:r>
      <w:r>
        <w:t>tadas por la prueba acum</w:t>
      </w:r>
      <w:r>
        <w:t>u</w:t>
      </w:r>
      <w:r>
        <w:t>lada en el debate.</w:t>
      </w:r>
    </w:p>
    <w:p w:rsidR="00224567" w:rsidRDefault="00224567">
      <w:pPr>
        <w:widowControl w:val="0"/>
      </w:pPr>
      <w:r>
        <w:tab/>
        <w:t>Por estos fundamentos se ordena la e</w:t>
      </w:r>
      <w:r>
        <w:t>x</w:t>
      </w:r>
      <w:r>
        <w:t>tracción de testim</w:t>
      </w:r>
      <w:r>
        <w:t>o</w:t>
      </w:r>
      <w:r>
        <w:t>nios de las piezas pertinentes a fin de que se inve</w:t>
      </w:r>
      <w:r>
        <w:t>s</w:t>
      </w:r>
      <w:r>
        <w:t>tigue la posible comisión del delito de falso testim</w:t>
      </w:r>
      <w:r>
        <w:t>o</w:t>
      </w:r>
      <w:r>
        <w:t>nio en que incurriera Catalino José Humerez.</w:t>
      </w:r>
    </w:p>
    <w:p w:rsidR="00224567" w:rsidRDefault="00224567">
      <w:pPr>
        <w:widowControl w:val="0"/>
      </w:pPr>
      <w:r>
        <w:tab/>
      </w:r>
      <w:r>
        <w:rPr>
          <w:b/>
          <w:bCs/>
        </w:rPr>
        <w:t>C.2.d.v.A.3)</w:t>
      </w:r>
      <w:r>
        <w:t xml:space="preserve"> No puede soslayarse al momento de valorar el testimonio prestado por Álvarez M</w:t>
      </w:r>
      <w:r>
        <w:t>a</w:t>
      </w:r>
      <w:r>
        <w:t>tus que el testigo evidenció cara</w:t>
      </w:r>
      <w:r>
        <w:t>c</w:t>
      </w:r>
      <w:r>
        <w:t>terísticas particulares que motivaran que el Tribunal no hiciera lugar a las op</w:t>
      </w:r>
      <w:r>
        <w:t>o</w:t>
      </w:r>
      <w:r>
        <w:t>siciones defensistas sobre la forma de interrogar del s</w:t>
      </w:r>
      <w:r>
        <w:t>e</w:t>
      </w:r>
      <w:r>
        <w:t>ñor fiscal gen</w:t>
      </w:r>
      <w:r>
        <w:t>e</w:t>
      </w:r>
      <w:r>
        <w:t>ral.</w:t>
      </w:r>
    </w:p>
    <w:p w:rsidR="00224567" w:rsidRDefault="00224567">
      <w:pPr>
        <w:widowControl w:val="0"/>
      </w:pPr>
      <w:r>
        <w:tab/>
        <w:t>Así el testigo negaba circunstancias al ser preguntado en forma general sobre ellas pero las afirmaba cuando las i</w:t>
      </w:r>
      <w:r>
        <w:t>n</w:t>
      </w:r>
      <w:r>
        <w:t>terrogaciones eran particularizadas. Esto ocurrió respecto del reconocimiento de las voces de la escucha telefónica reproducida en la audiencia y del color de las camionetas Trafic que observara.</w:t>
      </w:r>
    </w:p>
    <w:p w:rsidR="00224567" w:rsidRDefault="00224567">
      <w:pPr>
        <w:widowControl w:val="0"/>
      </w:pPr>
      <w:r>
        <w:tab/>
        <w:t>En tal sentido debe destacarse que el testigo no pudo pr</w:t>
      </w:r>
      <w:r>
        <w:t>e</w:t>
      </w:r>
      <w:r>
        <w:t>cisar siquiera el año de su nacimiento y debió recurrir a la entrega de un certificado de nac</w:t>
      </w:r>
      <w:r>
        <w:t>i</w:t>
      </w:r>
      <w:r>
        <w:t>miento que fue exhibido en la audiencia. No resulta un d</w:t>
      </w:r>
      <w:r>
        <w:t>a</w:t>
      </w:r>
      <w:r>
        <w:t>to menor que la edad de Álvarez Matus que surge de este documento no se corresponde con la sostenida por el test</w:t>
      </w:r>
      <w:r>
        <w:t>i</w:t>
      </w:r>
      <w:r>
        <w:t>go durante su declar</w:t>
      </w:r>
      <w:r>
        <w:t>a</w:t>
      </w:r>
      <w:r>
        <w:t>ción.</w:t>
      </w:r>
    </w:p>
    <w:p w:rsidR="00224567" w:rsidRDefault="00224567">
      <w:pPr>
        <w:widowControl w:val="0"/>
      </w:pPr>
      <w:r>
        <w:tab/>
        <w:t>Otra muestra de sus limitaciones r</w:t>
      </w:r>
      <w:r>
        <w:t>e</w:t>
      </w:r>
      <w:r>
        <w:t>sulta de su afirmación, reiterada tanto frente al interr</w:t>
      </w:r>
      <w:r>
        <w:t>o</w:t>
      </w:r>
      <w:r>
        <w:t>gatorio inicial por si le comprendían las generales de la ley como en diversos tramos de su declaración, del conoc</w:t>
      </w:r>
      <w:r>
        <w:t>i</w:t>
      </w:r>
      <w:r>
        <w:t>miento que tuviera con el imputado Telleldín, evidenciando una obvia confusión con el apellido de otro de los imp</w:t>
      </w:r>
      <w:r>
        <w:t>u</w:t>
      </w:r>
      <w:r>
        <w:t>tados. Repárese que el testigo sostuvo que conocía a T</w:t>
      </w:r>
      <w:r>
        <w:t>e</w:t>
      </w:r>
      <w:r>
        <w:t>lleldín porque este concurría a la agencia donde él trab</w:t>
      </w:r>
      <w:r>
        <w:t>a</w:t>
      </w:r>
      <w:r>
        <w:t>jaba a hablar con el imputado Juan José Ribelli y con F</w:t>
      </w:r>
      <w:r>
        <w:t>e</w:t>
      </w:r>
      <w:r>
        <w:t>derico Cáneva. Tan indiscut</w:t>
      </w:r>
      <w:r>
        <w:t>i</w:t>
      </w:r>
      <w:r>
        <w:t>ble resultó esta equivocación que ninguno de los acusadores utilizó esta referencia para fundar un extremo sustancial de la imput</w:t>
      </w:r>
      <w:r>
        <w:t>a</w:t>
      </w:r>
      <w:r>
        <w:t>ción, esto es, la conexión de T</w:t>
      </w:r>
      <w:r>
        <w:t>e</w:t>
      </w:r>
      <w:r>
        <w:t>lleldín con el personal policial.</w:t>
      </w:r>
    </w:p>
    <w:p w:rsidR="00224567" w:rsidRDefault="00224567">
      <w:pPr>
        <w:widowControl w:val="0"/>
      </w:pPr>
      <w:r>
        <w:tab/>
        <w:t>Además resultó palmaria su dificult</w:t>
      </w:r>
      <w:r>
        <w:t>a</w:t>
      </w:r>
      <w:r>
        <w:t>d de expresión cuando, frente a una respuesta conf</w:t>
      </w:r>
      <w:r>
        <w:t>u</w:t>
      </w:r>
      <w:r>
        <w:t>sa sobre los días en que trabajaba, se le debió reclamar que los enu</w:t>
      </w:r>
      <w:r>
        <w:t>n</w:t>
      </w:r>
      <w:r>
        <w:t>ciara de a uno.</w:t>
      </w:r>
    </w:p>
    <w:p w:rsidR="00224567" w:rsidRDefault="00224567">
      <w:pPr>
        <w:widowControl w:val="0"/>
      </w:pPr>
      <w:r>
        <w:tab/>
        <w:t>A ello debe adunarse que el testigo evidenció serias limitaciones en la comprensión de las preguntas que se le formularan o en dar razón de sus d</w:t>
      </w:r>
      <w:r>
        <w:t>i</w:t>
      </w:r>
      <w:r>
        <w:t>chos, por ejemplo cuando se le reclamó que justificara la condición policial de las personas que concurrían a la agencia o que ese local era propiedad de Ribelli.</w:t>
      </w:r>
    </w:p>
    <w:p w:rsidR="00224567" w:rsidRDefault="00224567">
      <w:pPr>
        <w:widowControl w:val="0"/>
      </w:pPr>
      <w:r>
        <w:tab/>
        <w:t>También evidenció graves dificultades de memoria ya que negó reiteradamente –frente a las insi</w:t>
      </w:r>
      <w:r>
        <w:t>s</w:t>
      </w:r>
      <w:r>
        <w:t>te</w:t>
      </w:r>
      <w:r>
        <w:t>n</w:t>
      </w:r>
      <w:r>
        <w:t>tes y claras preguntas, formuladas incluso de distinta forma– recordar haber testimoniado en alguna oportunidad anterior al debate; circunstancia que tampoco pudo prec</w:t>
      </w:r>
      <w:r>
        <w:t>i</w:t>
      </w:r>
      <w:r>
        <w:t>sar ni aún luego de que reconociera su firma en el acta que se le exhibiera y que daba cuenta de la declaración prestada en sede instructoria. Tampoco pudo aportar dato alguno sobre el vehículo de Ribelli, aunque luego lo rec</w:t>
      </w:r>
      <w:r>
        <w:t>o</w:t>
      </w:r>
      <w:r>
        <w:t>nociera al serle exhibida las fotografías indiv</w:t>
      </w:r>
      <w:r>
        <w:t>i</w:t>
      </w:r>
      <w:r>
        <w:t>dualizadas como M1, M2 y M3, aportadas por el Dr. Ubeira en su ofr</w:t>
      </w:r>
      <w:r>
        <w:t>e</w:t>
      </w:r>
      <w:r>
        <w:t>cimiento de prueba de fs. 93.421/93.612, apartado docume</w:t>
      </w:r>
      <w:r>
        <w:t>n</w:t>
      </w:r>
      <w:r>
        <w:t>tal, punto 29. Ni siquiera recordó que hubiera oc</w:t>
      </w:r>
      <w:r>
        <w:t>u</w:t>
      </w:r>
      <w:r>
        <w:t xml:space="preserve">rrido un atentado en la sede de </w:t>
      </w:r>
      <w:smartTag w:uri="urn:schemas-microsoft-com:office:smarttags" w:element="PersonName">
        <w:smartTagPr>
          <w:attr w:name="ProductID" w:val="la A.M"/>
        </w:smartTagPr>
        <w:r>
          <w:t>la A.M</w:t>
        </w:r>
      </w:smartTag>
      <w:r>
        <w:t>.I.A., este suceso que no p</w:t>
      </w:r>
      <w:r>
        <w:t>o</w:t>
      </w:r>
      <w:r>
        <w:t>dría pasar inadvertido para cualquier ciudadano, mucho m</w:t>
      </w:r>
      <w:r>
        <w:t>e</w:t>
      </w:r>
      <w:r>
        <w:t>nos para quien fue convocado a declarar en el marco de su investigación.</w:t>
      </w:r>
    </w:p>
    <w:p w:rsidR="00224567" w:rsidRDefault="00224567">
      <w:pPr>
        <w:widowControl w:val="0"/>
      </w:pPr>
      <w:r>
        <w:tab/>
        <w:t>Su dificultad en la comprensión y e</w:t>
      </w:r>
      <w:r>
        <w:t>x</w:t>
      </w:r>
      <w:r>
        <w:t>presión de ideas, se evidenció además frente a determin</w:t>
      </w:r>
      <w:r>
        <w:t>a</w:t>
      </w:r>
      <w:r>
        <w:t>das afirmaciones incomprensibles como cuando después de afirmar que era amigo de Ribelli porque era su patrón, s</w:t>
      </w:r>
      <w:r>
        <w:t>e</w:t>
      </w:r>
      <w:r>
        <w:t>ñalara que no lo quería.</w:t>
      </w:r>
    </w:p>
    <w:p w:rsidR="00224567" w:rsidRDefault="00224567">
      <w:pPr>
        <w:widowControl w:val="0"/>
      </w:pPr>
      <w:r>
        <w:tab/>
        <w:t>Por todo lo expuesto resulta inco</w:t>
      </w:r>
      <w:r>
        <w:t>m</w:t>
      </w:r>
      <w:r>
        <w:t>prensible que los acusadores e</w:t>
      </w:r>
      <w:r>
        <w:t>m</w:t>
      </w:r>
      <w:r>
        <w:t>pleasen un baremo distinto para medir la idoneidad del testigo en ocasión del inte-rrogatorio en la audiencia de debate a cuando valoraran sus dichos en el alegato. En efecto, mientras en la decl</w:t>
      </w:r>
      <w:r>
        <w:t>a</w:t>
      </w:r>
      <w:r>
        <w:t>ración de Álvarez Matus se resaltó la dificultad de expr</w:t>
      </w:r>
      <w:r>
        <w:t>e</w:t>
      </w:r>
      <w:r>
        <w:t>sión y comprensión de los hechos y preguntas, en la opo</w:t>
      </w:r>
      <w:r>
        <w:t>r</w:t>
      </w:r>
      <w:r>
        <w:t>tunidad prevista por el art. 393 del C.P.P.N. se destacó que, más allá de su escasa instrucción y sencillez, se e</w:t>
      </w:r>
      <w:r>
        <w:t>n</w:t>
      </w:r>
      <w:r>
        <w:t>contraba lejos de padecer alguna disminución mental y que no era sugestionable, entre otras razones, por resultar analfabeto.</w:t>
      </w:r>
    </w:p>
    <w:p w:rsidR="00224567" w:rsidRDefault="00224567">
      <w:pPr>
        <w:widowControl w:val="0"/>
      </w:pPr>
      <w:r>
        <w:tab/>
        <w:t>Pero no solo sorprende esta actitud sino toda la evaluación que efectuaron de sus dichos. En tal sentido corresponde destacar que se exaltaron disti</w:t>
      </w:r>
      <w:r>
        <w:t>n</w:t>
      </w:r>
      <w:r>
        <w:t>tos tramos aislados de la declaración del testigo, incl</w:t>
      </w:r>
      <w:r>
        <w:t>u</w:t>
      </w:r>
      <w:r>
        <w:t>so, en ocasiones, agregando expresiones que Álvarez Matus no so</w:t>
      </w:r>
      <w:r>
        <w:t>s</w:t>
      </w:r>
      <w:r>
        <w:t>tuvo en el debate y que alteraban sustancialmente su sent</w:t>
      </w:r>
      <w:r>
        <w:t>i</w:t>
      </w:r>
      <w:r>
        <w:t>do.</w:t>
      </w:r>
    </w:p>
    <w:p w:rsidR="00224567" w:rsidRDefault="00224567">
      <w:pPr>
        <w:widowControl w:val="0"/>
      </w:pPr>
      <w:r>
        <w:tab/>
        <w:t>Así, como ya se adelantara, tanto el fiscal general como la doctora Nercellas, destacaron que el testigo en la a</w:t>
      </w:r>
      <w:r>
        <w:t>u</w:t>
      </w:r>
      <w:r>
        <w:t>diencia afirmó que vio en la agencia en que trabajaba cuatro camionetas Trafic blancas los días previos al atentado y que una de ellas se la llevó Rib</w:t>
      </w:r>
      <w:r>
        <w:t>e</w:t>
      </w:r>
      <w:r>
        <w:t>lli.</w:t>
      </w:r>
    </w:p>
    <w:p w:rsidR="00224567" w:rsidRDefault="00224567">
      <w:pPr>
        <w:widowControl w:val="0"/>
      </w:pPr>
      <w:r>
        <w:tab/>
        <w:t>Sin embargo, Álvarez Matus durante el debate no pudo pr</w:t>
      </w:r>
      <w:r>
        <w:t>e</w:t>
      </w:r>
      <w:r>
        <w:t>cisar, ni siquiera aproximadamente ni en comparación con otros sucesos, la fecha en que esto suc</w:t>
      </w:r>
      <w:r>
        <w:t>e</w:t>
      </w:r>
      <w:r>
        <w:t>dió. Surge a si</w:t>
      </w:r>
      <w:r>
        <w:t>m</w:t>
      </w:r>
      <w:r>
        <w:t>ple vista la esencial diferencia entre lo sostenido por el testigo y lo que algunos acusadores dij</w:t>
      </w:r>
      <w:r>
        <w:t>e</w:t>
      </w:r>
      <w:r>
        <w:t>ron que sostuvo. Para destacar la relevancia de la fecha de dicho episodio, basta señalar, a título de ejemplo que si hubiera ocurrido con posterioridad al atentado ninguna conexión podría establecerse con éste. Resulta claro que la omisión de la época en que el episodio habría ocurrido no puede ser suplida por la mera ref</w:t>
      </w:r>
      <w:r>
        <w:t>e</w:t>
      </w:r>
      <w:r>
        <w:t>rencia efectuada por Á</w:t>
      </w:r>
      <w:r>
        <w:t>l</w:t>
      </w:r>
      <w:r>
        <w:t>varez Matus en el sentido de que Ribelli habría retirado esa Trafic un día de sem</w:t>
      </w:r>
      <w:r>
        <w:t>a</w:t>
      </w:r>
      <w:r>
        <w:t>na, probablemente un viernes.</w:t>
      </w:r>
    </w:p>
    <w:p w:rsidR="00224567" w:rsidRDefault="00224567">
      <w:pPr>
        <w:widowControl w:val="0"/>
      </w:pPr>
      <w:r>
        <w:tab/>
        <w:t>También valoraron los acusadores la totalidad de la decl</w:t>
      </w:r>
      <w:r>
        <w:t>a</w:t>
      </w:r>
      <w:r>
        <w:t>ración prestada por Álvarez Matus en sede instructoria, aún párrafos que no fueron objeto de confrontación durante la audiencia en los términos del art. 391 inc. 2º del o</w:t>
      </w:r>
      <w:r>
        <w:t>r</w:t>
      </w:r>
      <w:r>
        <w:t>denamiento de rito. Para justificar tal proceder el fiscal general Nisman sostuvo que su i</w:t>
      </w:r>
      <w:r>
        <w:t>n</w:t>
      </w:r>
      <w:r>
        <w:t>corporación al debate resultaba válida a partir del test</w:t>
      </w:r>
      <w:r>
        <w:t>i</w:t>
      </w:r>
      <w:r>
        <w:t>monio brindado en la audiencia por Eduardo Bazet, quien fuera convocado en la ocasión para presenciar la dilige</w:t>
      </w:r>
      <w:r>
        <w:t>n</w:t>
      </w:r>
      <w:r>
        <w:t>cia.</w:t>
      </w:r>
    </w:p>
    <w:p w:rsidR="00224567" w:rsidRDefault="00224567">
      <w:pPr>
        <w:widowControl w:val="0"/>
      </w:pPr>
      <w:r>
        <w:tab/>
        <w:t>Esta anómala incorporación por lectura de la declaración cuyo acta luce a fs. 43.485/43.489 no resulta de modo alguno prevista por el ordenamiento r</w:t>
      </w:r>
      <w:r>
        <w:t>i</w:t>
      </w:r>
      <w:r>
        <w:t>tual. Debe recordarse que la doctrina en forma unánime sostiene que la introducción de las testimoniales prest</w:t>
      </w:r>
      <w:r>
        <w:t>a</w:t>
      </w:r>
      <w:r>
        <w:t>das en sede instructoria es absolutamente excepcional, ya que un crit</w:t>
      </w:r>
      <w:r>
        <w:t>e</w:t>
      </w:r>
      <w:r>
        <w:t>rio contrario importaría contradecir la regla de oralidad del debate prevista en el art. 363 del C.P.P.N, cercenar la inmediación de las partes y el trib</w:t>
      </w:r>
      <w:r>
        <w:t>u</w:t>
      </w:r>
      <w:r>
        <w:t>nal con la prueba producida en la audiencia y afectar el principio del contradictorio pleno ya que limita las pos</w:t>
      </w:r>
      <w:r>
        <w:t>i</w:t>
      </w:r>
      <w:r>
        <w:t>bilidades de un e</w:t>
      </w:r>
      <w:r>
        <w:t>s</w:t>
      </w:r>
      <w:r>
        <w:t xml:space="preserve">tricto control de esos dichos (D’Albora, Francisco J., “Código Procesal Penal de </w:t>
      </w:r>
      <w:smartTag w:uri="urn:schemas-microsoft-com:office:smarttags" w:element="PersonName">
        <w:smartTagPr>
          <w:attr w:name="ProductID" w:val="la Naci￳n. Ley"/>
        </w:smartTagPr>
        <w:r>
          <w:t>la Nación. Ley</w:t>
        </w:r>
      </w:smartTag>
      <w:r>
        <w:t xml:space="preserve"> </w:t>
      </w:r>
      <w:smartTag w:uri="urn:schemas-microsoft-com:office:smarttags" w:element="metricconverter">
        <w:smartTagPr>
          <w:attr w:name="ProductID" w:val="23.984”"/>
        </w:smartTagPr>
        <w:r>
          <w:t>23.984”</w:t>
        </w:r>
      </w:smartTag>
      <w:r>
        <w:t>, editorial Abeledo Perrot, Buenos Aires, 5ª ed</w:t>
      </w:r>
      <w:r>
        <w:t>i</w:t>
      </w:r>
      <w:r>
        <w:t>ción, 2002, p. 824).</w:t>
      </w:r>
    </w:p>
    <w:p w:rsidR="00224567" w:rsidRDefault="00224567">
      <w:pPr>
        <w:widowControl w:val="0"/>
      </w:pPr>
      <w:r>
        <w:tab/>
        <w:t>En consonancia con lo expuesto, debe destacarse que el enunciado de las circunstancias previ</w:t>
      </w:r>
      <w:r>
        <w:t>s</w:t>
      </w:r>
      <w:r>
        <w:t>tas en el art. 391 del ordenamiento procesal para proceder excepcionalmente a la incorporación por lectura de decl</w:t>
      </w:r>
      <w:r>
        <w:t>a</w:t>
      </w:r>
      <w:r>
        <w:t>raciones testimoniales es taxat</w:t>
      </w:r>
      <w:r>
        <w:t>i</w:t>
      </w:r>
      <w:r>
        <w:t xml:space="preserve">vo. </w:t>
      </w:r>
    </w:p>
    <w:p w:rsidR="00224567" w:rsidRDefault="00224567">
      <w:pPr>
        <w:widowControl w:val="0"/>
      </w:pPr>
      <w:r>
        <w:tab/>
        <w:t>Como bien advirtiera el defensor p</w:t>
      </w:r>
      <w:r>
        <w:t>ú</w:t>
      </w:r>
      <w:r>
        <w:t>blico oficial Dr. Víctor Enrique Valle, el proceder de los acusadores, al pretender incorporar por esta vía anómala la declaración prestada en instrucción por Álvarez Matus, importa el propósito de ampliar el art. 391 ya c</w:t>
      </w:r>
      <w:r>
        <w:t>i</w:t>
      </w:r>
      <w:r>
        <w:t>tado.</w:t>
      </w:r>
    </w:p>
    <w:p w:rsidR="00224567" w:rsidRDefault="00224567">
      <w:pPr>
        <w:widowControl w:val="0"/>
      </w:pPr>
      <w:r>
        <w:tab/>
        <w:t>En efecto, ya de una simple lectura de la norma en examen se advierte que la circunstancia señ</w:t>
      </w:r>
      <w:r>
        <w:t>a</w:t>
      </w:r>
      <w:r>
        <w:t>lada por el represe</w:t>
      </w:r>
      <w:r>
        <w:t>n</w:t>
      </w:r>
      <w:r>
        <w:t>tante del Ministerio Público Fiscal no se encuentra prevista. Por otra parte, la presencia de Eduardo Bazet, en aquella declaración ratificada durante el debate, solo contribuye a verificar el cumpl</w:t>
      </w:r>
      <w:r>
        <w:t>i</w:t>
      </w:r>
      <w:r>
        <w:t>miento de las formalidades de la instrucción para ese acto, frente al analfabetismo denunciado por el test</w:t>
      </w:r>
      <w:r>
        <w:t>i</w:t>
      </w:r>
      <w:r>
        <w:t>go. Ello de por sí no autoriza la incorporación al debate de ese testim</w:t>
      </w:r>
      <w:r>
        <w:t>o</w:t>
      </w:r>
      <w:r>
        <w:t>nio, en los términos del art. 391 del C.P.P.N., ya que solo cumple la primera y básica condición para ese incorpor</w:t>
      </w:r>
      <w:r>
        <w:t>a</w:t>
      </w:r>
      <w:r>
        <w:t>ción y no las resta</w:t>
      </w:r>
      <w:r>
        <w:t>n</w:t>
      </w:r>
      <w:r>
        <w:t>tes.</w:t>
      </w:r>
    </w:p>
    <w:p w:rsidR="00224567" w:rsidRDefault="00224567">
      <w:pPr>
        <w:widowControl w:val="0"/>
      </w:pPr>
      <w:r>
        <w:tab/>
        <w:t>Pero además, ni siquiera este testigo ratificó durante el debate todo el contenido de la decl</w:t>
      </w:r>
      <w:r>
        <w:t>a</w:t>
      </w:r>
      <w:r>
        <w:t>ración de Álvarez Matus sino exclusivamente su firma i</w:t>
      </w:r>
      <w:r>
        <w:t>n</w:t>
      </w:r>
      <w:r>
        <w:t>serta al pie del acta de fs. 43.485/43.489.</w:t>
      </w:r>
    </w:p>
    <w:p w:rsidR="00224567" w:rsidRDefault="00224567">
      <w:pPr>
        <w:widowControl w:val="0"/>
      </w:pPr>
      <w:r>
        <w:tab/>
        <w:t>No obstante, aunque dicha pieza se v</w:t>
      </w:r>
      <w:r>
        <w:t>a</w:t>
      </w:r>
      <w:r>
        <w:t>lorara esto no serviría para ratificar los dichos brind</w:t>
      </w:r>
      <w:r>
        <w:t>a</w:t>
      </w:r>
      <w:r>
        <w:t>dos por Álvarez Matus durante el debate, sino más bien t</w:t>
      </w:r>
      <w:r>
        <w:t>o</w:t>
      </w:r>
      <w:r>
        <w:t>do lo contrario. En efecto, mientras en la audiencia el testigo sostuvo que Ribelli había retirado de la agencia, cond</w:t>
      </w:r>
      <w:r>
        <w:t>u</w:t>
      </w:r>
      <w:r>
        <w:t>ciéndola una de las cuatro camionetas Trafic blancas que había en el local, en sede instructoria sostuvo que para la época del atentado Ribelli llegó al comercio aco</w:t>
      </w:r>
      <w:r>
        <w:t>m</w:t>
      </w:r>
      <w:r>
        <w:t>pañado por dos personas desconocidas y se llevaron una c</w:t>
      </w:r>
      <w:r>
        <w:t>a</w:t>
      </w:r>
      <w:r>
        <w:t>mioneta Trafic que era seguida por Ribelli, Albarracín y una persona apodada “el Pulpo” a bordo de un Monza de pr</w:t>
      </w:r>
      <w:r>
        <w:t>o</w:t>
      </w:r>
      <w:r>
        <w:t>piedad del primero de los nombrados.</w:t>
      </w:r>
    </w:p>
    <w:p w:rsidR="00224567" w:rsidRDefault="00224567">
      <w:pPr>
        <w:widowControl w:val="0"/>
      </w:pPr>
      <w:r>
        <w:tab/>
        <w:t>Las discrepancias son evidentes por lo que cuesta comprender que el fiscal general Nisman al r</w:t>
      </w:r>
      <w:r>
        <w:t>e</w:t>
      </w:r>
      <w:r>
        <w:t>ferirse a los dichos prestados por Álvarez Matus en in</w:t>
      </w:r>
      <w:r>
        <w:t>s</w:t>
      </w:r>
      <w:r>
        <w:t>trucción señalara que no eran determinantes y que corrob</w:t>
      </w:r>
      <w:r>
        <w:t>o</w:t>
      </w:r>
      <w:r>
        <w:t>raban la ve</w:t>
      </w:r>
      <w:r>
        <w:t>r</w:t>
      </w:r>
      <w:r>
        <w:t>sión dada en el juicio.</w:t>
      </w:r>
    </w:p>
    <w:p w:rsidR="00224567" w:rsidRDefault="00224567">
      <w:pPr>
        <w:widowControl w:val="0"/>
      </w:pPr>
      <w:r>
        <w:tab/>
        <w:t>Pero además, la prueba ofrecida por el defensor del imputado Ribelli, refutó cada una de las ci</w:t>
      </w:r>
      <w:r>
        <w:t>r</w:t>
      </w:r>
      <w:r>
        <w:t>cunstancias señaladas por Álvarez Matus en aquella ve</w:t>
      </w:r>
      <w:r>
        <w:t>r</w:t>
      </w:r>
      <w:r>
        <w:t>sión.</w:t>
      </w:r>
    </w:p>
    <w:p w:rsidR="00224567" w:rsidRDefault="00224567">
      <w:pPr>
        <w:widowControl w:val="0"/>
      </w:pPr>
      <w:r>
        <w:tab/>
        <w:t>Así, César Osvaldo Córdoba apodado “el Pulpo” (cfr. declaración de Javier Roberto Smurro de fs. 43.865/43.870 incorporada por lectura) estuvo detenido desde el 12 de enero hasta el 23 de noviembre de 1994 (cfr. oficio remitido por el titular del Juzgado en lo Criminal y Correcci</w:t>
      </w:r>
      <w:r>
        <w:t>o</w:t>
      </w:r>
      <w:r>
        <w:t>nal nº 8 del Departamento Judicial de Lomas de Zamora agregado a fs. 1144 del legajo de instru</w:t>
      </w:r>
      <w:r>
        <w:t>c</w:t>
      </w:r>
      <w:r>
        <w:t>ción supl</w:t>
      </w:r>
      <w:r>
        <w:t>e</w:t>
      </w:r>
      <w:r>
        <w:t>mentaria). Por lo tanto, mal pudo Córdoba estar en fecha próxima al atentado en la tarea que se le endi</w:t>
      </w:r>
      <w:r>
        <w:t>l</w:t>
      </w:r>
      <w:r>
        <w:t>ga, t</w:t>
      </w:r>
      <w:r>
        <w:t>o</w:t>
      </w:r>
      <w:r>
        <w:t>da vez que se encontraba privado de su libertad.</w:t>
      </w:r>
    </w:p>
    <w:p w:rsidR="00224567" w:rsidRDefault="00224567">
      <w:pPr>
        <w:widowControl w:val="0"/>
      </w:pPr>
      <w:r>
        <w:tab/>
        <w:t>Además, tampoco es posible que Ribelli siguiera a una Tr</w:t>
      </w:r>
      <w:r>
        <w:t>a</w:t>
      </w:r>
      <w:r>
        <w:t>fic en cercanías a la fecha del hecho, a bordo de su vehículo Monza color granate, como sostuvo Á</w:t>
      </w:r>
      <w:r>
        <w:t>l</w:t>
      </w:r>
      <w:r>
        <w:t>varez Matus, porque este rodado lo adquirió cero kilóm</w:t>
      </w:r>
      <w:r>
        <w:t>e</w:t>
      </w:r>
      <w:r>
        <w:t>tro en enero de 1995. Ello surge de las fotocopias certific</w:t>
      </w:r>
      <w:r>
        <w:t>a</w:t>
      </w:r>
      <w:r>
        <w:t>das de la factura de compra B 0000-00000585 del 5 de enero de 1995 emitida por la firma Argendai S.A. y de t</w:t>
      </w:r>
      <w:r>
        <w:t>o</w:t>
      </w:r>
      <w:r>
        <w:t>das las constancias del legajo de ese vehículo que en fotocopia certificada remitiera el Registro Seccional Lomas de Zam</w:t>
      </w:r>
      <w:r>
        <w:t>o</w:t>
      </w:r>
      <w:r>
        <w:t>ra nº 6 (cfr. fs. 682 del legajo de instrucción supleme</w:t>
      </w:r>
      <w:r>
        <w:t>n</w:t>
      </w:r>
      <w:r>
        <w:t>taria), partic</w:t>
      </w:r>
      <w:r>
        <w:t>u</w:t>
      </w:r>
      <w:r>
        <w:t>larmente del formulario nº 01 que da cuenta de su inscri</w:t>
      </w:r>
      <w:r>
        <w:t>p</w:t>
      </w:r>
      <w:r>
        <w:t>ción registral el 6 de enero de 1995.</w:t>
      </w:r>
    </w:p>
    <w:p w:rsidR="00224567" w:rsidRDefault="00224567">
      <w:pPr>
        <w:widowControl w:val="0"/>
      </w:pPr>
      <w:r>
        <w:tab/>
        <w:t>Si bien la propiedad de Ribelli sobre este rodado fue objeto del informe de fs. 56.742, suscri</w:t>
      </w:r>
      <w:r>
        <w:t>p</w:t>
      </w:r>
      <w:r>
        <w:t>to por el comisario Palacios y el oficial Ontiveros del Departamento Unidad de Investigación Antiterrorista, que fuera citado por los acusadores en sus alegatos para so</w:t>
      </w:r>
      <w:r>
        <w:t>s</w:t>
      </w:r>
      <w:r>
        <w:t>tener que el vehículo Monza del que hablaba Álvarez Matus “casualmente” pertenecía a Juan José Ribelli, no puede d</w:t>
      </w:r>
      <w:r>
        <w:t>e</w:t>
      </w:r>
      <w:r>
        <w:t>jar de destacarse que ese informe merece serios rep</w:t>
      </w:r>
      <w:r>
        <w:t>a</w:t>
      </w:r>
      <w:r>
        <w:t>ros.</w:t>
      </w:r>
    </w:p>
    <w:p w:rsidR="00224567" w:rsidRDefault="00224567">
      <w:pPr>
        <w:widowControl w:val="0"/>
      </w:pPr>
      <w:r>
        <w:tab/>
        <w:t>En efecto, llama poderosamente la atención que quienes lo confeccionaran omitiesen un dato tan relevante como la fecha de adquisición del vehículo por parte del imputado Ribelli. Esos funcionarios no p</w:t>
      </w:r>
      <w:r>
        <w:t>u</w:t>
      </w:r>
      <w:r>
        <w:t>dieron desconocer la rel</w:t>
      </w:r>
      <w:r>
        <w:t>e</w:t>
      </w:r>
      <w:r>
        <w:t>vancia de ese dato ya que tenían en su poder la declaración testimonial prestada en sede instru</w:t>
      </w:r>
      <w:r>
        <w:t>c</w:t>
      </w:r>
      <w:r>
        <w:t>toria por Álvarez Matus, cuyos tramos vinculados a la diligencia citaron textualmente e incluso resaltaron con negr</w:t>
      </w:r>
      <w:r>
        <w:t>i</w:t>
      </w:r>
      <w:r>
        <w:t>ta, mayúsculas y subrayado.</w:t>
      </w:r>
    </w:p>
    <w:p w:rsidR="00224567" w:rsidRDefault="00224567">
      <w:pPr>
        <w:widowControl w:val="0"/>
      </w:pPr>
      <w:r>
        <w:tab/>
        <w:t>En tal sentido debe destacarse que en esa consta</w:t>
      </w:r>
      <w:r>
        <w:t>n</w:t>
      </w:r>
      <w:r>
        <w:t>cia se afirma que se averiguó en el Registro de Propiedad Autom</w:t>
      </w:r>
      <w:r>
        <w:t>o</w:t>
      </w:r>
      <w:r>
        <w:t>tor que ese rodado pertenecía a Ribelli y que era color “rojo schumann”, y en una concesionaria Ch</w:t>
      </w:r>
      <w:r>
        <w:t>e</w:t>
      </w:r>
      <w:r>
        <w:t>vrolet que esa tonalidad se correspondía con el “gran</w:t>
      </w:r>
      <w:r>
        <w:t>a</w:t>
      </w:r>
      <w:r>
        <w:t>te” de</w:t>
      </w:r>
      <w:r>
        <w:t>s</w:t>
      </w:r>
      <w:r>
        <w:t>cripto por Álvarez Matus.</w:t>
      </w:r>
    </w:p>
    <w:p w:rsidR="00224567" w:rsidRDefault="00224567">
      <w:pPr>
        <w:widowControl w:val="0"/>
      </w:pPr>
      <w:r>
        <w:tab/>
        <w:t>Por todas estas circunstancias, no puede dejar de sorprender que los funci</w:t>
      </w:r>
      <w:r>
        <w:t>o</w:t>
      </w:r>
      <w:r>
        <w:t>narios mencionados efectuaran un informe con ese nivel de detalle e incluso realizaran averiguaciones en el Registro de Propiedad A</w:t>
      </w:r>
      <w:r>
        <w:t>u</w:t>
      </w:r>
      <w:r>
        <w:t>tomotor pero soslayaran indagar sobre la fecha en que R</w:t>
      </w:r>
      <w:r>
        <w:t>i</w:t>
      </w:r>
      <w:r>
        <w:t>belli adquirió ese vehíc</w:t>
      </w:r>
      <w:r>
        <w:t>u</w:t>
      </w:r>
      <w:r>
        <w:t>lo.</w:t>
      </w:r>
    </w:p>
    <w:p w:rsidR="00224567" w:rsidRDefault="00224567">
      <w:pPr>
        <w:widowControl w:val="0"/>
      </w:pPr>
      <w:r>
        <w:tab/>
        <w:t>Durante el debate, los funcionarios en cuestión no pudieron aclarar esta llamativa situación. Así, Jorge Alberto Palacios indicó que estas averiguaci</w:t>
      </w:r>
      <w:r>
        <w:t>o</w:t>
      </w:r>
      <w:r>
        <w:t>nes las había practicado el principal Ontivero y éste no reco</w:t>
      </w:r>
      <w:r>
        <w:t>r</w:t>
      </w:r>
      <w:r>
        <w:t>dó nada respecto a dicha diligencia.</w:t>
      </w:r>
    </w:p>
    <w:p w:rsidR="00224567" w:rsidRDefault="00224567">
      <w:pPr>
        <w:widowControl w:val="0"/>
      </w:pPr>
      <w:r>
        <w:tab/>
        <w:t>Del mismo modo resulta asombroso que quienes estuvieran a cargo de la investigación y se vali</w:t>
      </w:r>
      <w:r>
        <w:t>e</w:t>
      </w:r>
      <w:r>
        <w:t>ron de lo declarado por Álvarez Matus para sostener que Ribelli tuvo en su poder una camioneta Trafic en fecha próxima al atentado, no hubieran reparado en el carácter incompl</w:t>
      </w:r>
      <w:r>
        <w:t>e</w:t>
      </w:r>
      <w:r>
        <w:t>to del informe.</w:t>
      </w:r>
    </w:p>
    <w:p w:rsidR="00224567" w:rsidRDefault="00224567">
      <w:pPr>
        <w:widowControl w:val="0"/>
      </w:pPr>
      <w:r>
        <w:tab/>
        <w:t>Pero esta cadena de “sorpresivas om</w:t>
      </w:r>
      <w:r>
        <w:t>i</w:t>
      </w:r>
      <w:r>
        <w:t>siones” dura</w:t>
      </w:r>
      <w:r>
        <w:t>n</w:t>
      </w:r>
      <w:r>
        <w:t>te la etapa instructoria no concluyó allí. En efecto, durante su alegato los acusadores valoraron nuev</w:t>
      </w:r>
      <w:r>
        <w:t>a</w:t>
      </w:r>
      <w:r>
        <w:t>mente aquel informe “incompleto” glosado a fs. 56.742, p</w:t>
      </w:r>
      <w:r>
        <w:t>a</w:t>
      </w:r>
      <w:r>
        <w:t>ra sostener que “c</w:t>
      </w:r>
      <w:r>
        <w:t>a</w:t>
      </w:r>
      <w:r>
        <w:t>sualmente” Juan José Ribelli poseía un Monza color granate, que era el vehículo en el que Á</w:t>
      </w:r>
      <w:r>
        <w:t>l</w:t>
      </w:r>
      <w:r>
        <w:t>varez Matus lo había visto siguiendo una Trafic blanca en f</w:t>
      </w:r>
      <w:r>
        <w:t>e</w:t>
      </w:r>
      <w:r>
        <w:t>cha próxima al atent</w:t>
      </w:r>
      <w:r>
        <w:t>a</w:t>
      </w:r>
      <w:r>
        <w:t>do.</w:t>
      </w:r>
    </w:p>
    <w:p w:rsidR="00224567" w:rsidRDefault="00224567">
      <w:pPr>
        <w:widowControl w:val="0"/>
      </w:pPr>
      <w:r>
        <w:tab/>
        <w:t>Con este proceder, el representante del Ministerio Público Fiscal, Dr. Nisman, y los Dres. Ávila y Nerc</w:t>
      </w:r>
      <w:r>
        <w:t>e</w:t>
      </w:r>
      <w:r>
        <w:t>llas dejaron de lado toda consideración sobre la prueba que refutaba los dichos de Álvarez Matus que i</w:t>
      </w:r>
      <w:r>
        <w:t>n</w:t>
      </w:r>
      <w:r>
        <w:t>vocaron como elemento de cargo. En efecto, durante la in</w:t>
      </w:r>
      <w:r>
        <w:t>s</w:t>
      </w:r>
      <w:r>
        <w:t>trucción suplementaria fue recepcionada la documentación del citado rodado que daba cuenta que Ribelli jamás pudo tenerlo en su poder durante 1994, desde que lo adquirió cero k</w:t>
      </w:r>
      <w:r>
        <w:t>i</w:t>
      </w:r>
      <w:r>
        <w:t>lómetro en enero de 1995.</w:t>
      </w:r>
    </w:p>
    <w:p w:rsidR="00224567" w:rsidRDefault="00224567">
      <w:pPr>
        <w:widowControl w:val="0"/>
      </w:pPr>
      <w:r>
        <w:tab/>
        <w:t>Por otra parte que Juan José Ribelli era titular del dominio de este vehículo ya surgía del i</w:t>
      </w:r>
      <w:r>
        <w:t>n</w:t>
      </w:r>
      <w:r>
        <w:t xml:space="preserve">forme de fs. 39.414/39.416 remitido por </w:t>
      </w:r>
      <w:smartTag w:uri="urn:schemas-microsoft-com:office:smarttags" w:element="PersonName">
        <w:smartTagPr>
          <w:attr w:name="ProductID" w:val="la Jefa"/>
        </w:smartTagPr>
        <w:r>
          <w:t>la Jefa</w:t>
        </w:r>
      </w:smartTag>
      <w:r>
        <w:t xml:space="preserve"> del Depa</w:t>
      </w:r>
      <w:r>
        <w:t>r</w:t>
      </w:r>
      <w:r>
        <w:t>tame</w:t>
      </w:r>
      <w:r>
        <w:t>n</w:t>
      </w:r>
      <w:r>
        <w:t xml:space="preserve">to Técnico Registral de </w:t>
      </w:r>
      <w:smartTag w:uri="urn:schemas-microsoft-com:office:smarttags" w:element="PersonName">
        <w:smartTagPr>
          <w:attr w:name="ProductID" w:val="la Direcci￳n Nacional"/>
        </w:smartTagPr>
        <w:r>
          <w:t>la Dirección Nacional</w:t>
        </w:r>
      </w:smartTag>
      <w:r>
        <w:t xml:space="preserve"> de los Registros Nacionales de </w:t>
      </w:r>
      <w:smartTag w:uri="urn:schemas-microsoft-com:office:smarttags" w:element="PersonName">
        <w:smartTagPr>
          <w:attr w:name="ProductID" w:val="la Propiedad"/>
        </w:smartTagPr>
        <w:r>
          <w:t>la Propiedad</w:t>
        </w:r>
      </w:smartTag>
      <w:r>
        <w:t xml:space="preserve"> del Automotor y de Créditos Prendarios, el 17 de julio de 1996.</w:t>
      </w:r>
    </w:p>
    <w:p w:rsidR="00224567" w:rsidRDefault="00224567">
      <w:pPr>
        <w:widowControl w:val="0"/>
      </w:pPr>
      <w:r>
        <w:tab/>
        <w:t>Es decir, cuando Álvarez Matus prestó declaración testim</w:t>
      </w:r>
      <w:r>
        <w:t>o</w:t>
      </w:r>
      <w:r>
        <w:t>nial ya se sabía que era imposible que Ribelli en su Monza hubiera seguido a una Trafic blanca en 1994, desde que lo adquirió cero kil</w:t>
      </w:r>
      <w:r>
        <w:t>ó</w:t>
      </w:r>
      <w:r>
        <w:t>metro en 1995.</w:t>
      </w:r>
    </w:p>
    <w:p w:rsidR="00224567" w:rsidRDefault="00224567">
      <w:pPr>
        <w:widowControl w:val="0"/>
      </w:pPr>
      <w:r>
        <w:tab/>
        <w:t>Por todo lo expuesto, esta actitud de los acusadores, que no encuentra ninguna explicación, i</w:t>
      </w:r>
      <w:r>
        <w:t>m</w:t>
      </w:r>
      <w:r>
        <w:t>porta –cuando menos– un profundo desconocimiento de los elementos probatorios arrimados a este proceso.</w:t>
      </w:r>
    </w:p>
    <w:p w:rsidR="00224567" w:rsidRDefault="00224567">
      <w:pPr>
        <w:widowControl w:val="0"/>
      </w:pPr>
      <w:r>
        <w:tab/>
      </w:r>
      <w:r>
        <w:rPr>
          <w:b/>
          <w:bCs/>
        </w:rPr>
        <w:t>C.2.d.v.A.4)</w:t>
      </w:r>
      <w:r>
        <w:t xml:space="preserve"> Como se dijera, también los acusadores, siempre con el propósito de probar la t</w:t>
      </w:r>
      <w:r>
        <w:t>e</w:t>
      </w:r>
      <w:r>
        <w:t>nencia de Ribelli de una camion</w:t>
      </w:r>
      <w:r>
        <w:t>e</w:t>
      </w:r>
      <w:r>
        <w:t>ta Trafic blanca en fecha próxima al atentado, hicieron mérito de la conversación mantenida entre Álvarez Matus y Sandra Cardeal que surgió de la escucha del abonado 242-9048, casete 113 del 21 de agosto de 1997, cuya trascripción obra a fs. 56.388/56.396.</w:t>
      </w:r>
    </w:p>
    <w:p w:rsidR="00224567" w:rsidRDefault="00224567">
      <w:pPr>
        <w:widowControl w:val="0"/>
      </w:pPr>
      <w:r>
        <w:tab/>
        <w:t>De esta conversación, cuyo reconoc</w:t>
      </w:r>
      <w:r>
        <w:t>i</w:t>
      </w:r>
      <w:r>
        <w:t>miento por sus interlocutores fuera destacado, los acus</w:t>
      </w:r>
      <w:r>
        <w:t>a</w:t>
      </w:r>
      <w:r>
        <w:t>dores resaltaron particularmente el tramo en el que Álv</w:t>
      </w:r>
      <w:r>
        <w:t>a</w:t>
      </w:r>
      <w:r>
        <w:t>rez Matus afirma que Marcelo Albarracín estaba con Ribelli “ahí ... cuando pusieron ... cua</w:t>
      </w:r>
      <w:r>
        <w:t>n</w:t>
      </w:r>
      <w:r>
        <w:t xml:space="preserve">do hicieron ... viste de </w:t>
      </w:r>
      <w:smartTag w:uri="urn:schemas-microsoft-com:office:smarttags" w:element="PersonName">
        <w:smartTagPr>
          <w:attr w:name="ProductID" w:val="la A.M"/>
        </w:smartTagPr>
        <w:r>
          <w:t>la A.M</w:t>
        </w:r>
      </w:smartTag>
      <w:r>
        <w:t xml:space="preserve">.I.A.? ... de </w:t>
      </w:r>
      <w:smartTag w:uri="urn:schemas-microsoft-com:office:smarttags" w:element="PersonName">
        <w:smartTagPr>
          <w:attr w:name="ProductID" w:val="la Traffic"/>
        </w:smartTagPr>
        <w:r>
          <w:t>la Traffic</w:t>
        </w:r>
      </w:smartTag>
      <w:r>
        <w:t>? ... ellos estuvieron en un auto particular, est</w:t>
      </w:r>
      <w:r>
        <w:t>u</w:t>
      </w:r>
      <w:r>
        <w:t>vieron ...”.</w:t>
      </w:r>
    </w:p>
    <w:p w:rsidR="00224567" w:rsidRDefault="00224567">
      <w:pPr>
        <w:widowControl w:val="0"/>
      </w:pPr>
      <w:r>
        <w:tab/>
        <w:t>Además se afirmó que se desprendía claramente del conten</w:t>
      </w:r>
      <w:r>
        <w:t>i</w:t>
      </w:r>
      <w:r>
        <w:t xml:space="preserve">do total de la charla telefónica que Álvarez Matus y Cardeal sabían que </w:t>
      </w:r>
      <w:smartTag w:uri="urn:schemas-microsoft-com:office:smarttags" w:element="PersonName">
        <w:smartTagPr>
          <w:attr w:name="ProductID" w:val="la Trafic"/>
        </w:smartTagPr>
        <w:r>
          <w:t>la Trafic</w:t>
        </w:r>
      </w:smartTag>
      <w:r>
        <w:t xml:space="preserve"> usada en el atentado había pas</w:t>
      </w:r>
      <w:r>
        <w:t>a</w:t>
      </w:r>
      <w:r>
        <w:t>do por las manos de Ribelli.</w:t>
      </w:r>
    </w:p>
    <w:p w:rsidR="00224567" w:rsidRDefault="00224567">
      <w:pPr>
        <w:widowControl w:val="0"/>
      </w:pPr>
      <w:r>
        <w:tab/>
        <w:t>Estas valoraciones comparten los mi</w:t>
      </w:r>
      <w:r>
        <w:t>s</w:t>
      </w:r>
      <w:r>
        <w:t>mos defectos que se evidenciaron reiteradamente en todos los forzados intentos de los acusadores para sostener la participación del pe</w:t>
      </w:r>
      <w:r>
        <w:t>r</w:t>
      </w:r>
      <w:r>
        <w:t>sonal policial en el atentado.</w:t>
      </w:r>
    </w:p>
    <w:p w:rsidR="00224567" w:rsidRDefault="00224567">
      <w:pPr>
        <w:widowControl w:val="0"/>
      </w:pPr>
      <w:r>
        <w:tab/>
        <w:t>Nuevamente, en ese esfuerzo por alca</w:t>
      </w:r>
      <w:r>
        <w:t>n</w:t>
      </w:r>
      <w:r>
        <w:t>zar un resultado que no se desprende de las pruebas prod</w:t>
      </w:r>
      <w:r>
        <w:t>u</w:t>
      </w:r>
      <w:r>
        <w:t>cidas, se recurre a su análisis parcial omitiendo la val</w:t>
      </w:r>
      <w:r>
        <w:t>o</w:t>
      </w:r>
      <w:r>
        <w:t>ración de todo otro elemento que refute la versión prete</w:t>
      </w:r>
      <w:r>
        <w:t>n</w:t>
      </w:r>
      <w:r>
        <w:t>dida.</w:t>
      </w:r>
    </w:p>
    <w:p w:rsidR="00224567" w:rsidRDefault="00224567">
      <w:pPr>
        <w:widowControl w:val="0"/>
      </w:pPr>
      <w:r>
        <w:tab/>
        <w:t>Así, se sostiene que la afirmación de Álvarez Matus en la conversación telefónica de marras r</w:t>
      </w:r>
      <w:r>
        <w:t>e</w:t>
      </w:r>
      <w:r>
        <w:t>sulta conteste con lo sostenido por el testigo en instru</w:t>
      </w:r>
      <w:r>
        <w:t>c</w:t>
      </w:r>
      <w:r>
        <w:t>ción. Esto es tan cierto como que el tramo de aquella d</w:t>
      </w:r>
      <w:r>
        <w:t>e</w:t>
      </w:r>
      <w:r>
        <w:t>claración al que se refiere la querella –más allá de la cuestionada valoración de fragmentos no incorporados– ya fue categóricamente refutado en párrafos anteri</w:t>
      </w:r>
      <w:r>
        <w:t>o</w:t>
      </w:r>
      <w:r>
        <w:t>res.</w:t>
      </w:r>
    </w:p>
    <w:p w:rsidR="00224567" w:rsidRDefault="00224567">
      <w:pPr>
        <w:widowControl w:val="0"/>
      </w:pPr>
      <w:r>
        <w:tab/>
        <w:t>En otras palabras, fue absolutamente descartado que Álvarez Matus pudiera observar a Ribelli, junto a Albarracín y “el Pulpo” Córdoba, a bordo de su vehículo Monza granate siguiendo una camioneta Trafic blanca en fecha próxima al atentado. Por lo tanto, que e</w:t>
      </w:r>
      <w:r>
        <w:t>s</w:t>
      </w:r>
      <w:r>
        <w:t>ta afi</w:t>
      </w:r>
      <w:r>
        <w:t>r</w:t>
      </w:r>
      <w:r>
        <w:t>mación esté contenida en la declaración prestada en in</w:t>
      </w:r>
      <w:r>
        <w:t>s</w:t>
      </w:r>
      <w:r>
        <w:t>trucción como en la charla telefónica en análisis, solo corrobora que mantuvo una versión de los hechos que no se ajusta a la realidad.</w:t>
      </w:r>
    </w:p>
    <w:p w:rsidR="00224567" w:rsidRDefault="00224567">
      <w:pPr>
        <w:widowControl w:val="0"/>
      </w:pPr>
      <w:r>
        <w:tab/>
        <w:t>Si bien en otros tramos de esa conve</w:t>
      </w:r>
      <w:r>
        <w:t>r</w:t>
      </w:r>
      <w:r>
        <w:t>sación los interloc</w:t>
      </w:r>
      <w:r>
        <w:t>u</w:t>
      </w:r>
      <w:r>
        <w:t>tores evidencian una preocupación por la situación de Ribelli, estos no co</w:t>
      </w:r>
      <w:r>
        <w:t>n</w:t>
      </w:r>
      <w:r>
        <w:t>ducen necesariamente a concluir –como lo hacen los acusadores– que Ribelli tuvo una Trafic bla</w:t>
      </w:r>
      <w:r>
        <w:t>n</w:t>
      </w:r>
      <w:r>
        <w:t xml:space="preserve">ca en fecha próxima al atentado. </w:t>
      </w:r>
    </w:p>
    <w:p w:rsidR="00224567" w:rsidRDefault="00224567">
      <w:pPr>
        <w:widowControl w:val="0"/>
      </w:pPr>
      <w:r>
        <w:tab/>
        <w:t>En primer lugar debe destacarse que esa preocupación podía obedecer a situaciones ajenas al conocimie</w:t>
      </w:r>
      <w:r>
        <w:t>n</w:t>
      </w:r>
      <w:r>
        <w:t>to personal que los interlocutores de esa charla tuvieran sobre la part</w:t>
      </w:r>
      <w:r>
        <w:t>i</w:t>
      </w:r>
      <w:r>
        <w:t>cipación de Ribelli en el atentado. En tal sentido, debe tenerse en cuenta que para el m</w:t>
      </w:r>
      <w:r>
        <w:t>o</w:t>
      </w:r>
      <w:r>
        <w:t>mento en que este diálogo fue entablado (21 de agosto de 1997) ya había transcurrido más de un año no solo de que Ribelli fuera detenido sino incluso procesado como partícipe pr</w:t>
      </w:r>
      <w:r>
        <w:t>i</w:t>
      </w:r>
      <w:r>
        <w:t>mario del atentado.</w:t>
      </w:r>
    </w:p>
    <w:p w:rsidR="00224567" w:rsidRDefault="00224567">
      <w:pPr>
        <w:widowControl w:val="0"/>
      </w:pPr>
      <w:r>
        <w:tab/>
        <w:t>Es por ello que resulta razonable la explicación que durante el debate brindó Sandra Cardeal, la otra protagonista de la conversación en estudio. La testigo sostuvo que las referencias que efectuó en esa charla se basaban exclusivamente en la información que o</w:t>
      </w:r>
      <w:r>
        <w:t>b</w:t>
      </w:r>
      <w:r>
        <w:t>tuviera por los medios periodísticos y de ninguna forma por un conocimiento personal de ese suceso. Precisó incl</w:t>
      </w:r>
      <w:r>
        <w:t>u</w:t>
      </w:r>
      <w:r>
        <w:t>so que después de 1993, cuando concluyó su relación sent</w:t>
      </w:r>
      <w:r>
        <w:t>i</w:t>
      </w:r>
      <w:r>
        <w:t>mental con Reinaldo Álvarez, ya no tuvo más contacto con alguno de los imput</w:t>
      </w:r>
      <w:r>
        <w:t>a</w:t>
      </w:r>
      <w:r>
        <w:t>dos en esta causa.</w:t>
      </w:r>
    </w:p>
    <w:p w:rsidR="00224567" w:rsidRDefault="00224567">
      <w:pPr>
        <w:widowControl w:val="0"/>
      </w:pPr>
      <w:r>
        <w:tab/>
        <w:t>Así, al ser preguntada por distintos fragmentos de esa conversación dio explicaciones compat</w:t>
      </w:r>
      <w:r>
        <w:t>i</w:t>
      </w:r>
      <w:r>
        <w:t>bles con lo que hasta aquí se viene sosteniendo. Explicó que dijo que Juan estaba “jodido” porque había sido det</w:t>
      </w:r>
      <w:r>
        <w:t>e</w:t>
      </w:r>
      <w:r>
        <w:t>nido y negó reiteradamente cualquier conocimiento de que Ribelli tuviera alguna vinculación con el hecho i</w:t>
      </w:r>
      <w:r>
        <w:t>m</w:t>
      </w:r>
      <w:r>
        <w:t>putado o que alguna de las camionetas de la agencia tuviera a</w:t>
      </w:r>
      <w:r>
        <w:t>l</w:t>
      </w:r>
      <w:r>
        <w:t>guna vinculación con el atentado.</w:t>
      </w:r>
    </w:p>
    <w:p w:rsidR="00224567" w:rsidRDefault="00224567">
      <w:pPr>
        <w:widowControl w:val="0"/>
      </w:pPr>
      <w:r>
        <w:tab/>
        <w:t>La testigo sostuvo además durante el debate que también aclaró en instrucción que las afirm</w:t>
      </w:r>
      <w:r>
        <w:t>a</w:t>
      </w:r>
      <w:r>
        <w:t>ciones efectuadas en el transcurso de la conversación e</w:t>
      </w:r>
      <w:r>
        <w:t>s</w:t>
      </w:r>
      <w:r>
        <w:t>cuchada obedecía exclusivamente a lo que se comentaba en los medios. Sin embargo, debió insistir en ello porque quien le recibiera la declaración le dijo que eso no había sido p</w:t>
      </w:r>
      <w:r>
        <w:t>u</w:t>
      </w:r>
      <w:r>
        <w:t>blicado.</w:t>
      </w:r>
    </w:p>
    <w:p w:rsidR="00224567" w:rsidRDefault="00224567">
      <w:pPr>
        <w:widowControl w:val="0"/>
      </w:pPr>
      <w:r>
        <w:tab/>
        <w:t>Es claro que en el acta que contiene ese testim</w:t>
      </w:r>
      <w:r>
        <w:t>o</w:t>
      </w:r>
      <w:r>
        <w:t>nio no consta la esencial aclaración efectuada por la testigo. Ello se corresponde con la situación del testigo que es co</w:t>
      </w:r>
      <w:r>
        <w:t>n</w:t>
      </w:r>
      <w:r>
        <w:t>ducido a declarar de una forma anómala e i</w:t>
      </w:r>
      <w:r>
        <w:t>m</w:t>
      </w:r>
      <w:r>
        <w:t>propia a su condición. Debe recordarse que tanto Álvarez Matus como Cardeal fueron trasladados al juzgado del do</w:t>
      </w:r>
      <w:r>
        <w:t>c</w:t>
      </w:r>
      <w:r>
        <w:t>tor Galeano luego de ser arrestados, sin que se verificara en el caso ninguna de las circunstancias previstas en el ordenamiento de rito que justificaran ese modo de pr</w:t>
      </w:r>
      <w:r>
        <w:t>o</w:t>
      </w:r>
      <w:r>
        <w:t xml:space="preserve">ceder (cfr. art. </w:t>
      </w:r>
      <w:smartTag w:uri="urn:schemas-microsoft-com:office:smarttags" w:element="metricconverter">
        <w:smartTagPr>
          <w:attr w:name="ProductID" w:val="281 C"/>
        </w:smartTagPr>
        <w:r>
          <w:t>281 C</w:t>
        </w:r>
      </w:smartTag>
      <w:r>
        <w:t>.P.P.N.).</w:t>
      </w:r>
    </w:p>
    <w:p w:rsidR="00224567" w:rsidRDefault="00224567">
      <w:pPr>
        <w:widowControl w:val="0"/>
      </w:pPr>
      <w:r>
        <w:tab/>
        <w:t>Cardeal recordó no solo que Álvarez Matus, también arrestado, estaba “petrificado” del miedo sino que a ella se le advirtió su difícil situación en e</w:t>
      </w:r>
      <w:r>
        <w:t>s</w:t>
      </w:r>
      <w:r>
        <w:t xml:space="preserve">tos términos “depende de usted irse o quedarse, según lo que usted diga”. </w:t>
      </w:r>
    </w:p>
    <w:p w:rsidR="00224567" w:rsidRDefault="00224567">
      <w:pPr>
        <w:widowControl w:val="0"/>
      </w:pPr>
      <w:r>
        <w:tab/>
        <w:t>Si bien, esta irregular actuación del magistrado instru</w:t>
      </w:r>
      <w:r>
        <w:t>c</w:t>
      </w:r>
      <w:r>
        <w:t>tor ya fue objeto de tratamiento en otro apartado de este fallo, aquí corresponde solo reeditarlo para merituar el escaso margen de libertad con la que co</w:t>
      </w:r>
      <w:r>
        <w:t>n</w:t>
      </w:r>
      <w:r>
        <w:t>taba la testigo en oportunidad de brindar su decl</w:t>
      </w:r>
      <w:r>
        <w:t>a</w:t>
      </w:r>
      <w:r>
        <w:t>ración.</w:t>
      </w:r>
    </w:p>
    <w:p w:rsidR="00224567" w:rsidRDefault="00224567">
      <w:pPr>
        <w:widowControl w:val="0"/>
      </w:pPr>
      <w:r>
        <w:tab/>
        <w:t>Esta declaración prestada por Sandra Cardeal no fue valorada por los acusadores, sino exclus</w:t>
      </w:r>
      <w:r>
        <w:t>i</w:t>
      </w:r>
      <w:r>
        <w:t>vamente en cuanto ratificó que mantuvo la conversación t</w:t>
      </w:r>
      <w:r>
        <w:t>e</w:t>
      </w:r>
      <w:r>
        <w:t>lefónica que se r</w:t>
      </w:r>
      <w:r>
        <w:t>e</w:t>
      </w:r>
      <w:r>
        <w:t>produjera en la audiencia. Es allí donde se a</w:t>
      </w:r>
      <w:r>
        <w:t>d</w:t>
      </w:r>
      <w:r>
        <w:t>vierte que, una vez más, los acusadores en un esmero de</w:t>
      </w:r>
      <w:r>
        <w:t>s</w:t>
      </w:r>
      <w:r>
        <w:t>medido por mantener la imputación, seccionan la prueba en cuanto resulte afín a ese objetivo, incluso omitiendo considerar aqu</w:t>
      </w:r>
      <w:r>
        <w:t>e</w:t>
      </w:r>
      <w:r>
        <w:t>llas otras que la refuten.</w:t>
      </w:r>
    </w:p>
    <w:p w:rsidR="00224567" w:rsidRDefault="00224567">
      <w:pPr>
        <w:widowControl w:val="0"/>
      </w:pPr>
      <w:r>
        <w:tab/>
        <w:t>Puede colegirse a esta altura del an</w:t>
      </w:r>
      <w:r>
        <w:t>á</w:t>
      </w:r>
      <w:r>
        <w:t>lisis que los argumentos utilizados por los acusadores p</w:t>
      </w:r>
      <w:r>
        <w:t>a</w:t>
      </w:r>
      <w:r>
        <w:t>ra sostener que R</w:t>
      </w:r>
      <w:r>
        <w:t>i</w:t>
      </w:r>
      <w:r>
        <w:t>belli tuvo en su poder una Trafic blanca en fecha próxima al atentado resultaron más efectistas que eficaces y ob</w:t>
      </w:r>
      <w:r>
        <w:t>e</w:t>
      </w:r>
      <w:r>
        <w:t>decieron al exclusivo propósito de sostener una imputación, más allá del resultado de la pruebas pr</w:t>
      </w:r>
      <w:r>
        <w:t>o</w:t>
      </w:r>
      <w:r>
        <w:t>ducidas d</w:t>
      </w:r>
      <w:r>
        <w:t>u</w:t>
      </w:r>
      <w:r>
        <w:t>rante el debate.</w:t>
      </w:r>
    </w:p>
    <w:p w:rsidR="00224567" w:rsidRDefault="00224567">
      <w:pPr>
        <w:pStyle w:val="Ttulo7"/>
        <w:widowControl w:val="0"/>
      </w:pPr>
      <w:r>
        <w:rPr>
          <w:b/>
          <w:bCs/>
        </w:rPr>
        <w:tab/>
      </w:r>
      <w:bookmarkStart w:id="217" w:name="_Toc86731989"/>
      <w:r>
        <w:rPr>
          <w:b/>
          <w:bCs/>
        </w:rPr>
        <w:t>C.2.d.v.B)</w:t>
      </w:r>
      <w:bookmarkStart w:id="218" w:name="_Toc79905063"/>
      <w:r>
        <w:rPr>
          <w:b/>
          <w:bCs/>
        </w:rPr>
        <w:t xml:space="preserve"> </w:t>
      </w:r>
      <w:r>
        <w:t>Un nuevo infructuoso inte</w:t>
      </w:r>
      <w:r>
        <w:t>n</w:t>
      </w:r>
      <w:r>
        <w:t xml:space="preserve">to de corroborar la tenencia de </w:t>
      </w:r>
      <w:smartTag w:uri="urn:schemas-microsoft-com:office:smarttags" w:element="PersonName">
        <w:smartTagPr>
          <w:attr w:name="ProductID" w:val="la Trafic. El"/>
        </w:smartTagPr>
        <w:r>
          <w:t>la Trafic. El</w:t>
        </w:r>
      </w:smartTag>
      <w:r>
        <w:t xml:space="preserve"> testimonio de Carmelo Juan Ionno y Juan Carlos Nicolau</w:t>
      </w:r>
      <w:bookmarkEnd w:id="218"/>
      <w:r>
        <w:t>.</w:t>
      </w:r>
      <w:bookmarkEnd w:id="217"/>
    </w:p>
    <w:p w:rsidR="00224567" w:rsidRDefault="00224567">
      <w:pPr>
        <w:widowControl w:val="0"/>
      </w:pPr>
      <w:r>
        <w:tab/>
      </w:r>
      <w:r>
        <w:tab/>
      </w:r>
      <w:r>
        <w:rPr>
          <w:b/>
          <w:bCs/>
        </w:rPr>
        <w:t>C.2.d.v.B.1)</w:t>
      </w:r>
      <w:r>
        <w:t xml:space="preserve"> El representante del M</w:t>
      </w:r>
      <w:r>
        <w:t>i</w:t>
      </w:r>
      <w:r>
        <w:t>nisterio Público Fiscal, Dr. Nisman para probar que Juan José Ribelli tuvo en su poder la camioneta Trafic que e</w:t>
      </w:r>
      <w:r>
        <w:t>x</w:t>
      </w:r>
      <w:r>
        <w:t>plotara en el atentado, se basó en el testimonio brindado en el debate por Juan Carlos N</w:t>
      </w:r>
      <w:r>
        <w:t>i</w:t>
      </w:r>
      <w:r>
        <w:t>colau.</w:t>
      </w:r>
    </w:p>
    <w:p w:rsidR="00224567" w:rsidRDefault="00224567">
      <w:pPr>
        <w:widowControl w:val="0"/>
      </w:pPr>
      <w:r>
        <w:tab/>
        <w:t>Inicialmente, luego de destacar que el testigo era una persona de máxima confianza del imputado, el fiscal gen</w:t>
      </w:r>
      <w:r>
        <w:t>e</w:t>
      </w:r>
      <w:r>
        <w:t>ral sostuvo que –con relación al 10 de julio de 1994– Nicolau dijo que escuchó comentarios que vincul</w:t>
      </w:r>
      <w:r>
        <w:t>a</w:t>
      </w:r>
      <w:r>
        <w:t xml:space="preserve">ban a Ribelli con la camioneta que explotó en la sede de </w:t>
      </w:r>
      <w:smartTag w:uri="urn:schemas-microsoft-com:office:smarttags" w:element="PersonName">
        <w:smartTagPr>
          <w:attr w:name="ProductID" w:val="la A.M"/>
        </w:smartTagPr>
        <w:r>
          <w:t>la A.M</w:t>
        </w:r>
      </w:smartTag>
      <w:r>
        <w:t>.I.A.</w:t>
      </w:r>
    </w:p>
    <w:p w:rsidR="00224567" w:rsidRDefault="00224567">
      <w:pPr>
        <w:widowControl w:val="0"/>
      </w:pPr>
      <w:r>
        <w:tab/>
        <w:t>En el mismo sentido valoró la conve</w:t>
      </w:r>
      <w:r>
        <w:t>r</w:t>
      </w:r>
      <w:r>
        <w:t>sación telef</w:t>
      </w:r>
      <w:r>
        <w:t>ó</w:t>
      </w:r>
      <w:r>
        <w:t>nica que Nicolau mantuvo con Carmelo Ionno el 18 de j</w:t>
      </w:r>
      <w:r>
        <w:t>u</w:t>
      </w:r>
      <w:r>
        <w:t>lio de 1996 al destacar que ambos reconocieron que allí hablaban de que la camioneta que estallara en el atentado había pasado por las manos del grupo de policías encabezado por Rib</w:t>
      </w:r>
      <w:r>
        <w:t>e</w:t>
      </w:r>
      <w:r>
        <w:t>lli.</w:t>
      </w:r>
    </w:p>
    <w:p w:rsidR="00224567" w:rsidRDefault="00224567">
      <w:pPr>
        <w:widowControl w:val="0"/>
      </w:pPr>
      <w:r>
        <w:tab/>
        <w:t>Finalmente, destacó que el testigo fue amenazado en dos oportunidades por Juan Carlos Ribelli, hermano del imput</w:t>
      </w:r>
      <w:r>
        <w:t>a</w:t>
      </w:r>
      <w:r>
        <w:t>do, y un sargento apodado “el fotógrafo” para que no dijera todo lo que sabía; luego de que decl</w:t>
      </w:r>
      <w:r>
        <w:t>a</w:t>
      </w:r>
      <w:r>
        <w:t>rara en el juzgado, p</w:t>
      </w:r>
      <w:r>
        <w:t>a</w:t>
      </w:r>
      <w:r>
        <w:t>ra que cambiara su versión.</w:t>
      </w:r>
    </w:p>
    <w:p w:rsidR="00224567" w:rsidRDefault="00224567">
      <w:pPr>
        <w:widowControl w:val="0"/>
      </w:pPr>
      <w:r>
        <w:tab/>
        <w:t>En tal sentido, en el punto 36 de su petitorio solicitó la extracción de testimonios para que se inve</w:t>
      </w:r>
      <w:r>
        <w:t>s</w:t>
      </w:r>
      <w:r>
        <w:t>tigaran estos delitos.</w:t>
      </w:r>
    </w:p>
    <w:p w:rsidR="00224567" w:rsidRDefault="00224567">
      <w:pPr>
        <w:widowControl w:val="0"/>
      </w:pPr>
      <w:r>
        <w:tab/>
      </w:r>
      <w:r>
        <w:rPr>
          <w:b/>
          <w:bCs/>
        </w:rPr>
        <w:t xml:space="preserve">C.2.d.v.B.2) </w:t>
      </w:r>
      <w:r>
        <w:t>Nuevamente, el acusador público, para acreditar la responsabilidad de Juan José Ribelli en el atentado, recurre a valoraciones e interpr</w:t>
      </w:r>
      <w:r>
        <w:t>e</w:t>
      </w:r>
      <w:r>
        <w:t>taciones infundadas y, hasta, ant</w:t>
      </w:r>
      <w:r>
        <w:t>o</w:t>
      </w:r>
      <w:r>
        <w:t>jadizas.</w:t>
      </w:r>
    </w:p>
    <w:p w:rsidR="00224567" w:rsidRDefault="00224567">
      <w:pPr>
        <w:widowControl w:val="0"/>
      </w:pPr>
      <w:r>
        <w:tab/>
        <w:t>Así, evidencia fallas en su argument</w:t>
      </w:r>
      <w:r>
        <w:t>a</w:t>
      </w:r>
      <w:r>
        <w:t>ción al pretender e</w:t>
      </w:r>
      <w:r>
        <w:t>x</w:t>
      </w:r>
      <w:r>
        <w:t>traer conclusiones que no surgen de la prueba arrim</w:t>
      </w:r>
      <w:r>
        <w:t>a</w:t>
      </w:r>
      <w:r>
        <w:t>da al proceso, en esta ocasión respecto de lo declarado por Juan Carlos Nicolau durante el deb</w:t>
      </w:r>
      <w:r>
        <w:t>a</w:t>
      </w:r>
      <w:r>
        <w:t>te.</w:t>
      </w:r>
    </w:p>
    <w:p w:rsidR="00224567" w:rsidRDefault="00224567">
      <w:pPr>
        <w:widowControl w:val="0"/>
      </w:pPr>
      <w:r>
        <w:tab/>
        <w:t>Por momentos cita afirmaciones que el testigo no efectuó en el juicio, en otros casos direct</w:t>
      </w:r>
      <w:r>
        <w:t>a</w:t>
      </w:r>
      <w:r>
        <w:t>mente contradice lo sostenido por el declarante y, fina</w:t>
      </w:r>
      <w:r>
        <w:t>l</w:t>
      </w:r>
      <w:r>
        <w:t>mente, en otros se a</w:t>
      </w:r>
      <w:r>
        <w:t>l</w:t>
      </w:r>
      <w:r>
        <w:t>canzan conclusiones que, al menos, no son la única e inequívoca consecuencia que se pr</w:t>
      </w:r>
      <w:r>
        <w:t>e</w:t>
      </w:r>
      <w:r>
        <w:t>tende.</w:t>
      </w:r>
    </w:p>
    <w:p w:rsidR="00224567" w:rsidRDefault="00224567">
      <w:pPr>
        <w:widowControl w:val="0"/>
      </w:pPr>
      <w:r>
        <w:tab/>
        <w:t>En primer lugar, cabe destacar, co</w:t>
      </w:r>
      <w:r>
        <w:t>n</w:t>
      </w:r>
      <w:r>
        <w:t>trariamente a lo afirmado por el representante del Mini</w:t>
      </w:r>
      <w:r>
        <w:t>s</w:t>
      </w:r>
      <w:r>
        <w:t>terio Público Fiscal, que el testigo jamás sostuvo d</w:t>
      </w:r>
      <w:r>
        <w:t>u</w:t>
      </w:r>
      <w:r>
        <w:t>rante el debate que escuchara comentarios que vincularan a Rib</w:t>
      </w:r>
      <w:r>
        <w:t>e</w:t>
      </w:r>
      <w:r>
        <w:t xml:space="preserve">lli con la camioneta que explotó en la sede de </w:t>
      </w:r>
      <w:smartTag w:uri="urn:schemas-microsoft-com:office:smarttags" w:element="PersonName">
        <w:smartTagPr>
          <w:attr w:name="ProductID" w:val="la A.M"/>
        </w:smartTagPr>
        <w:r>
          <w:t>la A.M</w:t>
        </w:r>
      </w:smartTag>
      <w:r>
        <w:t>.I.A.; menos aún que ese vehículo hubiese pasado por las manos del grupo de policías encabezados por este imp</w:t>
      </w:r>
      <w:r>
        <w:t>u</w:t>
      </w:r>
      <w:r>
        <w:t>tado.</w:t>
      </w:r>
    </w:p>
    <w:p w:rsidR="00224567" w:rsidRDefault="00224567">
      <w:pPr>
        <w:widowControl w:val="0"/>
      </w:pPr>
      <w:r>
        <w:tab/>
        <w:t>Por otra parte, debe resaltarse que el acusador valoró en forma arbitraria tanto el contenido de la conversación telefónica como las respuestas brindadas por el testigo al ser interrogado al respecto.</w:t>
      </w:r>
    </w:p>
    <w:p w:rsidR="00224567" w:rsidRDefault="00224567">
      <w:pPr>
        <w:widowControl w:val="0"/>
      </w:pPr>
      <w:r>
        <w:tab/>
        <w:t>Para alcanzar una mayor claridad exp</w:t>
      </w:r>
      <w:r>
        <w:t>o</w:t>
      </w:r>
      <w:r>
        <w:t>sitiva se transcribirá, en el tramo pertinente, el cont</w:t>
      </w:r>
      <w:r>
        <w:t>e</w:t>
      </w:r>
      <w:r>
        <w:t>nido de la escucha t</w:t>
      </w:r>
      <w:r>
        <w:t>e</w:t>
      </w:r>
      <w:r>
        <w:t>lefónica del abonado 664-5988, casete 10, lado B, del 18 de julio de 1996 (cfr. fs. 40.167/40.169):</w:t>
      </w:r>
    </w:p>
    <w:p w:rsidR="00224567" w:rsidRDefault="00224567">
      <w:pPr>
        <w:widowControl w:val="0"/>
        <w:numPr>
          <w:ilvl w:val="0"/>
          <w:numId w:val="7"/>
        </w:numPr>
      </w:pPr>
      <w:r>
        <w:t>- Ionno: Pero ... cuando se separen las aguas ... ahora parece ser que ya está localizado lo de Tigre, viste?</w:t>
      </w:r>
    </w:p>
    <w:p w:rsidR="00224567" w:rsidRDefault="00224567">
      <w:pPr>
        <w:widowControl w:val="0"/>
        <w:numPr>
          <w:ilvl w:val="0"/>
          <w:numId w:val="7"/>
        </w:numPr>
      </w:pPr>
      <w:r>
        <w:t>- Nicolau: Los que se llevaron el veh</w:t>
      </w:r>
      <w:r>
        <w:t>í</w:t>
      </w:r>
      <w:r>
        <w:t>culo ...</w:t>
      </w:r>
    </w:p>
    <w:p w:rsidR="00224567" w:rsidRDefault="00224567">
      <w:pPr>
        <w:widowControl w:val="0"/>
        <w:numPr>
          <w:ilvl w:val="0"/>
          <w:numId w:val="7"/>
        </w:numPr>
      </w:pPr>
      <w:r>
        <w:t>- Ionno: Exacto ...</w:t>
      </w:r>
    </w:p>
    <w:p w:rsidR="00224567" w:rsidRDefault="00224567">
      <w:pPr>
        <w:widowControl w:val="0"/>
        <w:numPr>
          <w:ilvl w:val="0"/>
          <w:numId w:val="7"/>
        </w:numPr>
      </w:pPr>
      <w:r>
        <w:t>- Nicolau: Más bien</w:t>
      </w:r>
    </w:p>
    <w:p w:rsidR="00224567" w:rsidRDefault="00224567">
      <w:pPr>
        <w:widowControl w:val="0"/>
        <w:numPr>
          <w:ilvl w:val="0"/>
          <w:numId w:val="7"/>
        </w:numPr>
      </w:pPr>
      <w:r>
        <w:t>- Ionno: Así que por ahí en cualquier momento los tumban, o sea que bueno ..., eso es un al</w:t>
      </w:r>
      <w:r>
        <w:t>i</w:t>
      </w:r>
      <w:r>
        <w:t>ciente</w:t>
      </w:r>
    </w:p>
    <w:p w:rsidR="00224567" w:rsidRDefault="00224567">
      <w:pPr>
        <w:widowControl w:val="0"/>
        <w:numPr>
          <w:ilvl w:val="0"/>
          <w:numId w:val="7"/>
        </w:numPr>
      </w:pPr>
      <w:r>
        <w:t>- Nicolau: Claro, más bien, eso ni hablar de eso.</w:t>
      </w:r>
    </w:p>
    <w:p w:rsidR="00224567" w:rsidRDefault="00224567">
      <w:pPr>
        <w:widowControl w:val="0"/>
      </w:pPr>
      <w:r>
        <w:rPr>
          <w:i/>
          <w:iCs/>
        </w:rPr>
        <w:tab/>
      </w:r>
      <w:r>
        <w:t>Como se advierte, no surge –como lo pretende el señor fiscal general Nisman– de esta convers</w:t>
      </w:r>
      <w:r>
        <w:t>a</w:t>
      </w:r>
      <w:r>
        <w:t>ción telefónica, mantenida entre Ionno y Nicolau, que R</w:t>
      </w:r>
      <w:r>
        <w:t>i</w:t>
      </w:r>
      <w:r>
        <w:t>belli ni alguna pers</w:t>
      </w:r>
      <w:r>
        <w:t>o</w:t>
      </w:r>
      <w:r>
        <w:t>na de su entorno tuviera en su poder la camioneta Tr</w:t>
      </w:r>
      <w:r>
        <w:t>a</w:t>
      </w:r>
      <w:r>
        <w:t>fic que explotara en el atentado.</w:t>
      </w:r>
    </w:p>
    <w:p w:rsidR="00224567" w:rsidRDefault="00224567">
      <w:pPr>
        <w:widowControl w:val="0"/>
      </w:pPr>
      <w:r>
        <w:tab/>
        <w:t>Inicialmente corresponde destacar que no se indica en el citado diálogo el vehículo al que se refieren. Durante el debate, Nicolau no efectuó esta pr</w:t>
      </w:r>
      <w:r>
        <w:t>e</w:t>
      </w:r>
      <w:r>
        <w:t>cisión, solo mencionó una camioneta; incluso negó insi</w:t>
      </w:r>
      <w:r>
        <w:t>s</w:t>
      </w:r>
      <w:r>
        <w:t xml:space="preserve">tente y enfáticamente –frente a las reiteradas preguntas del acusador público– que se refiriera a </w:t>
      </w:r>
      <w:smartTag w:uri="urn:schemas-microsoft-com:office:smarttags" w:element="PersonName">
        <w:smartTagPr>
          <w:attr w:name="ProductID" w:val="la Trafic"/>
        </w:smartTagPr>
        <w:r>
          <w:t>la Trafic</w:t>
        </w:r>
      </w:smartTag>
      <w:r>
        <w:t xml:space="preserve"> de T</w:t>
      </w:r>
      <w:r>
        <w:t>e</w:t>
      </w:r>
      <w:r>
        <w:t>lleldín. Mantuvo esta versión aún al ser confrontado con lo dicho durante la instrucción. Por su parte, Ionno rec</w:t>
      </w:r>
      <w:r>
        <w:t>o</w:t>
      </w:r>
      <w:r>
        <w:t>noció la conversación y sobre su contenido afirmó que se recreaba la charla que había mantenido con Nicolau el día a</w:t>
      </w:r>
      <w:r>
        <w:t>n</w:t>
      </w:r>
      <w:r>
        <w:t>terior en un bar.</w:t>
      </w:r>
    </w:p>
    <w:p w:rsidR="00224567" w:rsidRDefault="00224567">
      <w:pPr>
        <w:widowControl w:val="0"/>
      </w:pPr>
      <w:r>
        <w:tab/>
        <w:t>Ahora bien, aunque –en contra de lo sostenido por Ionno y Nicolau durante el debate– se afi</w:t>
      </w:r>
      <w:r>
        <w:t>r</w:t>
      </w:r>
      <w:r>
        <w:t>mara que en esa conversación los interlocutores se refe-rían a la camioneta de Telleldín, ello no probaría de m</w:t>
      </w:r>
      <w:r>
        <w:t>a</w:t>
      </w:r>
      <w:r>
        <w:t>nera alg</w:t>
      </w:r>
      <w:r>
        <w:t>u</w:t>
      </w:r>
      <w:r>
        <w:t>na que Ribelli tuvo en su poder la camioneta que e</w:t>
      </w:r>
      <w:r>
        <w:t>x</w:t>
      </w:r>
      <w:r>
        <w:t xml:space="preserve">plotara en la sede de </w:t>
      </w:r>
      <w:smartTag w:uri="urn:schemas-microsoft-com:office:smarttags" w:element="PersonName">
        <w:smartTagPr>
          <w:attr w:name="ProductID" w:val="la A.M"/>
        </w:smartTagPr>
        <w:r>
          <w:t>la A.M</w:t>
        </w:r>
      </w:smartTag>
      <w:r>
        <w:t>.I.A., y consecuentemente su participación en el atentado, sino todo lo contrario. En efecto, los interlocutores al</w:t>
      </w:r>
      <w:r>
        <w:t>u</w:t>
      </w:r>
      <w:r>
        <w:t>den a que el vehículo se lo habría llevado otra gente –la de Tigre– y que si los atr</w:t>
      </w:r>
      <w:r>
        <w:t>a</w:t>
      </w:r>
      <w:r>
        <w:t>paran –“tumbaran” en su jerga– ello resultaría un alicie</w:t>
      </w:r>
      <w:r>
        <w:t>n</w:t>
      </w:r>
      <w:r>
        <w:t>te. Entonces, mal podían r</w:t>
      </w:r>
      <w:r>
        <w:t>e</w:t>
      </w:r>
      <w:r>
        <w:t>ferirse a Ribelli ya que Ionno y Nicolau –personas de su entorno– se alegraban de la eventual captura de las personas vincul</w:t>
      </w:r>
      <w:r>
        <w:t>a</w:t>
      </w:r>
      <w:r>
        <w:t>das al vehículo en cuestión.</w:t>
      </w:r>
    </w:p>
    <w:p w:rsidR="00224567" w:rsidRDefault="00224567">
      <w:pPr>
        <w:widowControl w:val="0"/>
      </w:pPr>
      <w:r>
        <w:tab/>
        <w:t>Es en este punto en el que resulta contradictorio el reproche del acusador estatal Dr. Ni</w:t>
      </w:r>
      <w:r>
        <w:t>s</w:t>
      </w:r>
      <w:r>
        <w:t>man. Mientras destaca que Nicolau era una persona de la mayor confianza de Rib</w:t>
      </w:r>
      <w:r>
        <w:t>e</w:t>
      </w:r>
      <w:r>
        <w:t>lli que lo había acompañado en los distintos destinos durante los últimos 16 años de su c</w:t>
      </w:r>
      <w:r>
        <w:t>a</w:t>
      </w:r>
      <w:r>
        <w:t>rrera y valora esta ci</w:t>
      </w:r>
      <w:r>
        <w:t>r</w:t>
      </w:r>
      <w:r>
        <w:t xml:space="preserve">cunstancia para afirmar el posible conocimiento que tuviera de la tenencia de </w:t>
      </w:r>
      <w:smartTag w:uri="urn:schemas-microsoft-com:office:smarttags" w:element="PersonName">
        <w:smartTagPr>
          <w:attr w:name="ProductID" w:val="la Trafic"/>
        </w:smartTagPr>
        <w:r>
          <w:t>la Trafic</w:t>
        </w:r>
      </w:smartTag>
      <w:r>
        <w:t xml:space="preserve"> por parte de Ribelli, omite considerar que esa misma persona de su íntimo entorno se alegre de que el rodado hubiera estado en p</w:t>
      </w:r>
      <w:r>
        <w:t>o</w:t>
      </w:r>
      <w:r>
        <w:t>der de otra persona.</w:t>
      </w:r>
    </w:p>
    <w:p w:rsidR="00224567" w:rsidRDefault="00224567">
      <w:pPr>
        <w:widowControl w:val="0"/>
      </w:pPr>
      <w:r>
        <w:tab/>
        <w:t>Esta interpretación, que surge del contenido de la conve</w:t>
      </w:r>
      <w:r>
        <w:t>r</w:t>
      </w:r>
      <w:r>
        <w:t>sación analizada, es la que efectuó Nicolau durante el d</w:t>
      </w:r>
      <w:r>
        <w:t>e</w:t>
      </w:r>
      <w:r>
        <w:t>bate.</w:t>
      </w:r>
    </w:p>
    <w:p w:rsidR="00224567" w:rsidRDefault="00224567">
      <w:pPr>
        <w:widowControl w:val="0"/>
      </w:pPr>
      <w:r>
        <w:tab/>
        <w:t>Por otra parte, debe señalarse que de las amenazas que dijo haber sufrido Nicolau por parte de Juan Carlos Ribelli –hermano del imputado– y un sargento apodado “el fotógrafo” para que no dijera todo lo que s</w:t>
      </w:r>
      <w:r>
        <w:t>a</w:t>
      </w:r>
      <w:r>
        <w:t>bía, luego de que declarara en la instrucción, para que cambiara su versión, no se deriva en forma inequívoca, c</w:t>
      </w:r>
      <w:r>
        <w:t>o</w:t>
      </w:r>
      <w:r>
        <w:t>mo lo pretende el señor fiscal general, la participación de Juan José Ribelli en el ate</w:t>
      </w:r>
      <w:r>
        <w:t>n</w:t>
      </w:r>
      <w:r>
        <w:t>tado.</w:t>
      </w:r>
    </w:p>
    <w:p w:rsidR="00224567" w:rsidRDefault="00224567">
      <w:pPr>
        <w:widowControl w:val="0"/>
      </w:pPr>
      <w:r>
        <w:tab/>
        <w:t>En primer lugar debe destacarse que esas amenazas aún no fueron comprobadas judicialmente, sino que se cuenta exclusivamente con los dichos de Nic</w:t>
      </w:r>
      <w:r>
        <w:t>o</w:t>
      </w:r>
      <w:r>
        <w:t>lau, cuya extracción de testimonios recién solicitara el representante del Ministerio Público Fiscal durante su alegato.</w:t>
      </w:r>
    </w:p>
    <w:p w:rsidR="00224567" w:rsidRDefault="00224567">
      <w:pPr>
        <w:widowControl w:val="0"/>
      </w:pPr>
      <w:r>
        <w:tab/>
        <w:t>Pero además, como se adelantara, no puede deriva</w:t>
      </w:r>
      <w:r>
        <w:t>r</w:t>
      </w:r>
      <w:r>
        <w:t>se de ellas la conclusión que se pretende. En efecto, aquellas amenazas para que omitiera exponer todo lo que supiera o incluso para que se retractara de lo ya declarado, podían referirse a otros actos ilícitos disti</w:t>
      </w:r>
      <w:r>
        <w:t>n</w:t>
      </w:r>
      <w:r>
        <w:t>tos del atentado.</w:t>
      </w:r>
    </w:p>
    <w:p w:rsidR="00224567" w:rsidRDefault="00224567">
      <w:pPr>
        <w:widowControl w:val="0"/>
      </w:pPr>
      <w:r>
        <w:tab/>
        <w:t>En efecto, no puede dejar de consid</w:t>
      </w:r>
      <w:r>
        <w:t>e</w:t>
      </w:r>
      <w:r>
        <w:t>rarse que Nicolau prestó declaración en el marco de la causa donde se inve</w:t>
      </w:r>
      <w:r>
        <w:t>s</w:t>
      </w:r>
      <w:r>
        <w:t>tigara el hecho denominado “la masacre de Wilde” y que las amenazas podían estar ref</w:t>
      </w:r>
      <w:r>
        <w:t>e</w:t>
      </w:r>
      <w:r>
        <w:t>ridas a ese hecho.</w:t>
      </w:r>
    </w:p>
    <w:p w:rsidR="00224567" w:rsidRDefault="00224567">
      <w:pPr>
        <w:widowControl w:val="0"/>
      </w:pPr>
      <w:r>
        <w:tab/>
        <w:t>Cabe destacar que el señor fiscal g</w:t>
      </w:r>
      <w:r>
        <w:t>e</w:t>
      </w:r>
      <w:r>
        <w:t>neral, al referirse al episodio del 4 de abril de 1994, destacó que Nicolau dijo que conocía los pormenores de la entrega de dos vehículos y una moto en Lanús, circunsta</w:t>
      </w:r>
      <w:r>
        <w:t>n</w:t>
      </w:r>
      <w:r>
        <w:t xml:space="preserve">cia que no le resultaba sorprendente ya que se trataba del </w:t>
      </w:r>
      <w:r>
        <w:rPr>
          <w:u w:val="single"/>
        </w:rPr>
        <w:t>modus operandi</w:t>
      </w:r>
      <w:r>
        <w:t xml:space="preserve"> de Ribelli, quien permanentemente recibía autos como pago de “arreglos”, que no era un hecho aislado y que Telleldín para obtener su libertad tuvo que dejar esos bienes.</w:t>
      </w:r>
    </w:p>
    <w:p w:rsidR="00224567" w:rsidRDefault="00224567">
      <w:pPr>
        <w:widowControl w:val="0"/>
      </w:pPr>
      <w:r>
        <w:tab/>
        <w:t>Ahora bien, como advirtiera el letrado defensor de Ribelli durante su alegato, el acusador públ</w:t>
      </w:r>
      <w:r>
        <w:t>i</w:t>
      </w:r>
      <w:r>
        <w:t>co tasó dichos prestados por Nicolau durante la instru</w:t>
      </w:r>
      <w:r>
        <w:t>c</w:t>
      </w:r>
      <w:r>
        <w:t>ción que no fueron incorporados al debate. En efecto, en esta etapa Nicolau no se refirió siquiera a ese suceso ni tamp</w:t>
      </w:r>
      <w:r>
        <w:t>o</w:t>
      </w:r>
      <w:r>
        <w:t>co fue preguntado al respecto. En cambio, sí lo hizo Héctor Carlos Sobico, fuente de los dichos de Nicolau s</w:t>
      </w:r>
      <w:r>
        <w:t>e</w:t>
      </w:r>
      <w:r>
        <w:t>gún la versión prestada por éste en instrucción, pero no para ratificar lo sostenido por Nicolau en esa sede sino específicamente para r</w:t>
      </w:r>
      <w:r>
        <w:t>e</w:t>
      </w:r>
      <w:r>
        <w:t>futarlos.</w:t>
      </w:r>
    </w:p>
    <w:p w:rsidR="00224567" w:rsidRDefault="00224567">
      <w:pPr>
        <w:widowControl w:val="0"/>
      </w:pPr>
      <w:r>
        <w:tab/>
        <w:t>Con lo expuesto se verifica el irreg</w:t>
      </w:r>
      <w:r>
        <w:t>u</w:t>
      </w:r>
      <w:r>
        <w:t>lar proceder del acusador público, Dr. Natalio Alberto Nisman, en cuanto justipreció tramos de la declaración prestada por Nicolau en la etapa instructoria que no fu</w:t>
      </w:r>
      <w:r>
        <w:t>e</w:t>
      </w:r>
      <w:r>
        <w:t>ron incorporados y que incluso se vieron r</w:t>
      </w:r>
      <w:r>
        <w:t>e</w:t>
      </w:r>
      <w:r>
        <w:t>futados por lo sostenido por S</w:t>
      </w:r>
      <w:r>
        <w:t>o</w:t>
      </w:r>
      <w:r>
        <w:t>bico en el debate.</w:t>
      </w:r>
    </w:p>
    <w:p w:rsidR="00224567" w:rsidRDefault="00224567">
      <w:pPr>
        <w:widowControl w:val="0"/>
      </w:pPr>
      <w:r>
        <w:tab/>
        <w:t>Pero el fiscal general fue aún más allá, ya que al tratar el alcance de ese tramo no incorp</w:t>
      </w:r>
      <w:r>
        <w:t>o</w:t>
      </w:r>
      <w:r>
        <w:t>rado de la decl</w:t>
      </w:r>
      <w:r>
        <w:t>a</w:t>
      </w:r>
      <w:r>
        <w:t>ración de Nicolau de fs. 40.158/40.163 lo hizo parcialmente. En efecto, solo fue utilizado para so</w:t>
      </w:r>
      <w:r>
        <w:t>s</w:t>
      </w:r>
      <w:r>
        <w:t>tener la ac</w:t>
      </w:r>
      <w:r>
        <w:t>u</w:t>
      </w:r>
      <w:r>
        <w:t>sación respecto del episodio del 4 de abril de 1994 pero, inexplicableme</w:t>
      </w:r>
      <w:r>
        <w:t>n</w:t>
      </w:r>
      <w:r>
        <w:t>te, no advirtió que las amenazas que Nicolau dijo haber padecido instándolo a que no decl</w:t>
      </w:r>
      <w:r>
        <w:t>a</w:t>
      </w:r>
      <w:r>
        <w:t>rara o que cambiara el contenido de lo manifestado podía ref</w:t>
      </w:r>
      <w:r>
        <w:t>e</w:t>
      </w:r>
      <w:r>
        <w:t xml:space="preserve">rirse a ese hecho y no a la tenencia de </w:t>
      </w:r>
      <w:smartTag w:uri="urn:schemas-microsoft-com:office:smarttags" w:element="PersonName">
        <w:smartTagPr>
          <w:attr w:name="ProductID" w:val="la Trafic"/>
        </w:smartTagPr>
        <w:r>
          <w:t>la Trafic</w:t>
        </w:r>
      </w:smartTag>
      <w:r>
        <w:t xml:space="preserve"> por R</w:t>
      </w:r>
      <w:r>
        <w:t>i</w:t>
      </w:r>
      <w:r>
        <w:t>belli.</w:t>
      </w:r>
    </w:p>
    <w:p w:rsidR="00224567" w:rsidRDefault="00224567">
      <w:pPr>
        <w:widowControl w:val="0"/>
      </w:pPr>
      <w:r>
        <w:tab/>
        <w:t>Por lo expuesto, nuevamente cabe col</w:t>
      </w:r>
      <w:r>
        <w:t>e</w:t>
      </w:r>
      <w:r>
        <w:t>gir que otro de los elementos en el que se pretendiera fundar la imputación del atentado al personal policial c</w:t>
      </w:r>
      <w:r>
        <w:t>a</w:t>
      </w:r>
      <w:r>
        <w:t>rece de id</w:t>
      </w:r>
      <w:r>
        <w:t>o</w:t>
      </w:r>
      <w:r>
        <w:t>neidad a tal fin. Su valoración aislada de todo otro elemento de prueba que la refutara, irregular –en cuanto se consideraran tramos no incorporados a esta et</w:t>
      </w:r>
      <w:r>
        <w:t>a</w:t>
      </w:r>
      <w:r>
        <w:t>pa– e ilógica, es una muestra más del denodado ahínco e</w:t>
      </w:r>
      <w:r>
        <w:t>s</w:t>
      </w:r>
      <w:r>
        <w:t>bozado por los acusadores para mantener caprichosamente una imputación que no se encuentra acred</w:t>
      </w:r>
      <w:r>
        <w:t>i</w:t>
      </w:r>
      <w:r>
        <w:t>tada.</w:t>
      </w:r>
    </w:p>
    <w:p w:rsidR="00224567" w:rsidRDefault="00224567">
      <w:pPr>
        <w:pStyle w:val="Ttulo6"/>
        <w:keepNext w:val="0"/>
        <w:widowControl w:val="0"/>
        <w:spacing w:line="600" w:lineRule="auto"/>
        <w:rPr>
          <w:rFonts w:cs="Courier New"/>
          <w:u w:val="none"/>
        </w:rPr>
      </w:pPr>
      <w:r>
        <w:rPr>
          <w:rFonts w:cs="Courier New"/>
          <w:u w:val="none"/>
        </w:rPr>
        <w:tab/>
      </w:r>
      <w:bookmarkStart w:id="219" w:name="_Toc86731990"/>
      <w:r>
        <w:rPr>
          <w:rFonts w:cs="Courier New"/>
          <w:u w:val="none"/>
        </w:rPr>
        <w:t xml:space="preserve">C.2.d.vi) </w:t>
      </w:r>
      <w:bookmarkStart w:id="220" w:name="_Toc79905064"/>
      <w:r>
        <w:rPr>
          <w:rFonts w:cs="Courier New"/>
          <w:b w:val="0"/>
          <w:bCs/>
          <w:u w:val="none"/>
        </w:rPr>
        <w:t>Viajes de Ribelli</w:t>
      </w:r>
      <w:bookmarkEnd w:id="220"/>
      <w:r>
        <w:rPr>
          <w:rFonts w:cs="Courier New"/>
          <w:b w:val="0"/>
          <w:bCs/>
          <w:u w:val="none"/>
        </w:rPr>
        <w:t>.</w:t>
      </w:r>
      <w:bookmarkEnd w:id="219"/>
    </w:p>
    <w:p w:rsidR="00224567" w:rsidRDefault="00224567">
      <w:pPr>
        <w:widowControl w:val="0"/>
      </w:pPr>
      <w:r>
        <w:tab/>
      </w:r>
      <w:r>
        <w:rPr>
          <w:b/>
          <w:bCs/>
        </w:rPr>
        <w:t>C.2.d.vi.1)</w:t>
      </w:r>
      <w:r>
        <w:t xml:space="preserve"> El letrado de la querella A.M.I.A., Dr. Ávila, fundó también la participación de R</w:t>
      </w:r>
      <w:r>
        <w:t>i</w:t>
      </w:r>
      <w:r>
        <w:t>belli en el atentado, en los viajes que realizó el 10 y el 18 de julio de 1994, f</w:t>
      </w:r>
      <w:r>
        <w:t>e</w:t>
      </w:r>
      <w:r>
        <w:t>chas claves, ya que coincidían con las jornadas en la que se obtuvo la camioneta y acaeció el atentado, respectivamente. Sostuvo que ambos obedecieron al propósito de crear coartadas consiste</w:t>
      </w:r>
      <w:r>
        <w:t>n</w:t>
      </w:r>
      <w:r>
        <w:t>tes en ausentarse en esas ocasiones.</w:t>
      </w:r>
    </w:p>
    <w:p w:rsidR="00224567" w:rsidRDefault="00224567">
      <w:pPr>
        <w:widowControl w:val="0"/>
      </w:pPr>
      <w:r>
        <w:tab/>
        <w:t>Estimó que no resultaba creíble que esos viajes respondieron a vacaciones que casualmente   coinc</w:t>
      </w:r>
      <w:r>
        <w:t>i</w:t>
      </w:r>
      <w:r>
        <w:t>dieron en el tiempo con los sucesos destacados.</w:t>
      </w:r>
    </w:p>
    <w:p w:rsidR="00224567" w:rsidRDefault="00224567">
      <w:pPr>
        <w:widowControl w:val="0"/>
      </w:pPr>
      <w:r>
        <w:tab/>
        <w:t>Así, respecto de la estadía de Ribelli y su familia en las Cataratas del Iguazú del 6 al 10 de julio de 1994, señaló que esta última fecha coincidía con el día en que Telleldín entregó a personal policial la c</w:t>
      </w:r>
      <w:r>
        <w:t>a</w:t>
      </w:r>
      <w:r>
        <w:t>mi</w:t>
      </w:r>
      <w:r>
        <w:t>o</w:t>
      </w:r>
      <w:r>
        <w:t xml:space="preserve">neta Trafic que estalló en la sede de </w:t>
      </w:r>
      <w:smartTag w:uri="urn:schemas-microsoft-com:office:smarttags" w:element="PersonName">
        <w:smartTagPr>
          <w:attr w:name="ProductID" w:val="la A.M"/>
        </w:smartTagPr>
        <w:r>
          <w:t>la A.M</w:t>
        </w:r>
      </w:smartTag>
      <w:r>
        <w:t>.I.A..</w:t>
      </w:r>
    </w:p>
    <w:p w:rsidR="00224567" w:rsidRDefault="00224567">
      <w:pPr>
        <w:widowControl w:val="0"/>
      </w:pPr>
      <w:r>
        <w:tab/>
        <w:t>Resaltó que el imputado procuró con su ausencia col</w:t>
      </w:r>
      <w:r>
        <w:t>o</w:t>
      </w:r>
      <w:r>
        <w:t>carse fuera de la maniobra llevada a cabo en esa oportunidad. Indicó que este propósito no resultó ef</w:t>
      </w:r>
      <w:r>
        <w:t>i</w:t>
      </w:r>
      <w:r>
        <w:t>caz toda vez que se encontraba acreditado que el acusado arribó a Buenos Aires en horas del mediodía y la rece</w:t>
      </w:r>
      <w:r>
        <w:t>p</w:t>
      </w:r>
      <w:r>
        <w:t xml:space="preserve">ción de </w:t>
      </w:r>
      <w:smartTag w:uri="urn:schemas-microsoft-com:office:smarttags" w:element="PersonName">
        <w:smartTagPr>
          <w:attr w:name="ProductID" w:val="la Trafic"/>
        </w:smartTagPr>
        <w:r>
          <w:t>la Trafic</w:t>
        </w:r>
      </w:smartTag>
      <w:r>
        <w:t xml:space="preserve"> ocurrió a la ta</w:t>
      </w:r>
      <w:r>
        <w:t>r</w:t>
      </w:r>
      <w:r>
        <w:t>de.</w:t>
      </w:r>
    </w:p>
    <w:p w:rsidR="00224567" w:rsidRDefault="00224567">
      <w:pPr>
        <w:widowControl w:val="0"/>
      </w:pPr>
      <w:r>
        <w:tab/>
        <w:t>Destacó como circunstancia contraria a “la experiencia de vida” la explicación brindada por Ma</w:t>
      </w:r>
      <w:r>
        <w:t>r</w:t>
      </w:r>
      <w:r>
        <w:t>cela Bouzón en el d</w:t>
      </w:r>
      <w:r>
        <w:t>e</w:t>
      </w:r>
      <w:r>
        <w:t>bate al sostener que en el aeroparque d</w:t>
      </w:r>
      <w:r>
        <w:t>e</w:t>
      </w:r>
      <w:r>
        <w:t>cidieron ir a las Cataratas del Iguazú –y no al sur del país– porque no había pasajes para este último de</w:t>
      </w:r>
      <w:r>
        <w:t>s</w:t>
      </w:r>
      <w:r>
        <w:t>tino.</w:t>
      </w:r>
    </w:p>
    <w:p w:rsidR="00224567" w:rsidRDefault="00224567">
      <w:pPr>
        <w:widowControl w:val="0"/>
      </w:pPr>
      <w:r>
        <w:tab/>
        <w:t>También el Dr. Ávila afirmó que resu</w:t>
      </w:r>
      <w:r>
        <w:t>l</w:t>
      </w:r>
      <w:r>
        <w:t>taba llamativo tanto que Ribelli conservara durante dos años el comprobante –aportado a la causa a fs. 41.123 de la lavandería de un hotel en el que se hospedó cuatro   días, como las filmaciones efectuadas por el imputado en el transcurso de ese viaje. Particularmente, señaló que car</w:t>
      </w:r>
      <w:r>
        <w:t>e</w:t>
      </w:r>
      <w:r>
        <w:t>cía de explicación –más allá del alegado propósito de justificar su ausencia– que grabara a la azafata cuando anunciaba el aterrizaje en esta ciudad y su ingreso a un dest</w:t>
      </w:r>
      <w:r>
        <w:t>i</w:t>
      </w:r>
      <w:r>
        <w:t>no tan comprometedor como Ciudad del Este.</w:t>
      </w:r>
    </w:p>
    <w:p w:rsidR="00224567" w:rsidRDefault="00224567">
      <w:pPr>
        <w:widowControl w:val="0"/>
      </w:pPr>
      <w:r>
        <w:tab/>
        <w:t>Por otra parte, destacó que Ribelli pretendió hacer creer que su viaje a las ciudades de Río de Janeiro y Buzios obedecieron al mismo fin vacacional. Sin embargo, a juicio del acusador, el verdadero prop</w:t>
      </w:r>
      <w:r>
        <w:t>ó</w:t>
      </w:r>
      <w:r>
        <w:t>sito de Ribelli consistía en estar ausente al momento del ate</w:t>
      </w:r>
      <w:r>
        <w:t>n</w:t>
      </w:r>
      <w:r>
        <w:t>tado.</w:t>
      </w:r>
    </w:p>
    <w:p w:rsidR="00224567" w:rsidRDefault="00224567">
      <w:pPr>
        <w:widowControl w:val="0"/>
      </w:pPr>
      <w:r>
        <w:tab/>
        <w:t>Destacó que era falsa la razón alegada por el imputado para no regresar al p</w:t>
      </w:r>
      <w:r>
        <w:t>a</w:t>
      </w:r>
      <w:r>
        <w:t>ís el 18 de julio de 1994. Afirmó que el aeropuerto de Ezeiza no estuvo cerrado –como e</w:t>
      </w:r>
      <w:r>
        <w:t>n</w:t>
      </w:r>
      <w:r>
        <w:t>sayara Ribelli en su descargo– tal como surgió del te</w:t>
      </w:r>
      <w:r>
        <w:t>s</w:t>
      </w:r>
      <w:r>
        <w:t>timonio brindado por el comodoro Carlos Alberto Luna en el debate, con el que coincidieron otros controladores a</w:t>
      </w:r>
      <w:r>
        <w:t>é</w:t>
      </w:r>
      <w:r>
        <w:t>reos que no individualizó.</w:t>
      </w:r>
    </w:p>
    <w:p w:rsidR="00224567" w:rsidRDefault="00224567">
      <w:pPr>
        <w:widowControl w:val="0"/>
      </w:pPr>
      <w:r>
        <w:tab/>
      </w:r>
      <w:r>
        <w:rPr>
          <w:b/>
          <w:bCs/>
        </w:rPr>
        <w:t xml:space="preserve">C.2.d.vi.2) </w:t>
      </w:r>
      <w:r>
        <w:t>Nuevamente, los acusadores se valen de elementos inidóneos para demostrar la partic</w:t>
      </w:r>
      <w:r>
        <w:t>i</w:t>
      </w:r>
      <w:r>
        <w:t>pación de los funcionarios policiales en el atentado. C</w:t>
      </w:r>
      <w:r>
        <w:t>o</w:t>
      </w:r>
      <w:r>
        <w:t>rresponde adelantar que aunque se acreditara que Ribelli hubiera intentado infructuosamente justificar, con la enunciación de circunstancias no prob</w:t>
      </w:r>
      <w:r>
        <w:t>a</w:t>
      </w:r>
      <w:r>
        <w:t>das, su ausencia del país, ello de modo alguno resultaría indicativo de su re</w:t>
      </w:r>
      <w:r>
        <w:t>s</w:t>
      </w:r>
      <w:r>
        <w:t>po</w:t>
      </w:r>
      <w:r>
        <w:t>n</w:t>
      </w:r>
      <w:r>
        <w:t>sabilidad por el hecho que se le endilga.</w:t>
      </w:r>
    </w:p>
    <w:p w:rsidR="00224567" w:rsidRDefault="00224567">
      <w:pPr>
        <w:widowControl w:val="0"/>
      </w:pPr>
      <w:r>
        <w:tab/>
        <w:t>Toda vez que no se acreditó, como pr</w:t>
      </w:r>
      <w:r>
        <w:t>e</w:t>
      </w:r>
      <w:r>
        <w:t>tendieron los acusadores, que el 10 de julio de 1994 –ni en ninguna otra fecha– Telleldín entregara en manos de p</w:t>
      </w:r>
      <w:r>
        <w:t>o</w:t>
      </w:r>
      <w:r>
        <w:t xml:space="preserve">licías bonaerenses la camioneta que explotara en la sede de </w:t>
      </w:r>
      <w:smartTag w:uri="urn:schemas-microsoft-com:office:smarttags" w:element="PersonName">
        <w:smartTagPr>
          <w:attr w:name="ProductID" w:val="la A.M"/>
        </w:smartTagPr>
        <w:r>
          <w:t>la A.M</w:t>
        </w:r>
      </w:smartTag>
      <w:r>
        <w:t>.I.A., la presencia de Ribelli en el país en esa jo</w:t>
      </w:r>
      <w:r>
        <w:t>r</w:t>
      </w:r>
      <w:r>
        <w:t>nada carece de toda relevancia.</w:t>
      </w:r>
    </w:p>
    <w:p w:rsidR="00224567" w:rsidRDefault="00224567">
      <w:pPr>
        <w:widowControl w:val="0"/>
      </w:pPr>
      <w:r>
        <w:tab/>
        <w:t>Pero de todas formas algunas consid</w:t>
      </w:r>
      <w:r>
        <w:t>e</w:t>
      </w:r>
      <w:r>
        <w:t>raciones efe</w:t>
      </w:r>
      <w:r>
        <w:t>c</w:t>
      </w:r>
      <w:r>
        <w:t>tuadas por el acusador no pueden soslayarse.  Si bien el doctor Ávila consideró “contrario a la exp</w:t>
      </w:r>
      <w:r>
        <w:t>e</w:t>
      </w:r>
      <w:r>
        <w:t>riencia de vida” que recién en el aeroparque se cambie el de</w:t>
      </w:r>
      <w:r>
        <w:t>s</w:t>
      </w:r>
      <w:r>
        <w:t>tino –Cataratas del Iguazú en vez del Sur del país– de las vacaciones programadas, no se advierte ninguna irreg</w:t>
      </w:r>
      <w:r>
        <w:t>u</w:t>
      </w:r>
      <w:r>
        <w:t>laridad en el pr</w:t>
      </w:r>
      <w:r>
        <w:t>o</w:t>
      </w:r>
      <w:r>
        <w:t>ceder del imputado, mucho menos que esta modificación pueda constituir un elemento que co</w:t>
      </w:r>
      <w:r>
        <w:t>n</w:t>
      </w:r>
      <w:r>
        <w:t>tribuya a corroborar su participación en el atent</w:t>
      </w:r>
      <w:r>
        <w:t>a</w:t>
      </w:r>
      <w:r>
        <w:t>do.</w:t>
      </w:r>
    </w:p>
    <w:p w:rsidR="00224567" w:rsidRDefault="00224567">
      <w:pPr>
        <w:widowControl w:val="0"/>
      </w:pPr>
      <w:r>
        <w:tab/>
        <w:t>Debe señalarse en este punto que este cambio de destino es introducido por Marcela Bouzón y que no resultaba necesario demostrar la casualidad de la dec</w:t>
      </w:r>
      <w:r>
        <w:t>i</w:t>
      </w:r>
      <w:r>
        <w:t>sión del viaje a las Cataratas del Iguazú, como critican los acusadores, cuando éste es uno de los principales de</w:t>
      </w:r>
      <w:r>
        <w:t>s</w:t>
      </w:r>
      <w:r>
        <w:t>tinos turísticos de i</w:t>
      </w:r>
      <w:r>
        <w:t>n</w:t>
      </w:r>
      <w:r>
        <w:t>vierno.</w:t>
      </w:r>
    </w:p>
    <w:p w:rsidR="00224567" w:rsidRDefault="00224567">
      <w:pPr>
        <w:widowControl w:val="0"/>
      </w:pPr>
      <w:r>
        <w:tab/>
        <w:t>Por otra parte, debe recordarse que la visita que Ribelli efectuara a Ciudad del Este, que al r</w:t>
      </w:r>
      <w:r>
        <w:t>e</w:t>
      </w:r>
      <w:r>
        <w:t>prese</w:t>
      </w:r>
      <w:r>
        <w:t>n</w:t>
      </w:r>
      <w:r>
        <w:t>tante de la querella tanta sorpresa le causara, fue un dato incorporado a la causa por el propio imputado en su declaración i</w:t>
      </w:r>
      <w:r>
        <w:t>n</w:t>
      </w:r>
      <w:r>
        <w:t>dagatoria durante el debate.</w:t>
      </w:r>
    </w:p>
    <w:p w:rsidR="00224567" w:rsidRDefault="00224567">
      <w:pPr>
        <w:widowControl w:val="0"/>
      </w:pPr>
      <w:r>
        <w:tab/>
        <w:t>Por último, la conservación de un co</w:t>
      </w:r>
      <w:r>
        <w:t>m</w:t>
      </w:r>
      <w:r>
        <w:t>probante de la lava</w:t>
      </w:r>
      <w:r>
        <w:t>n</w:t>
      </w:r>
      <w:r>
        <w:t>dería durante más de dos años tampoco constituye un el</w:t>
      </w:r>
      <w:r>
        <w:t>e</w:t>
      </w:r>
      <w:r>
        <w:t>mento incriminante. Ello solo depende de los hábitos personales que no pueden ser objeto de juzg</w:t>
      </w:r>
      <w:r>
        <w:t>a</w:t>
      </w:r>
      <w:r>
        <w:t>miento.</w:t>
      </w:r>
    </w:p>
    <w:p w:rsidR="00224567" w:rsidRDefault="00224567">
      <w:pPr>
        <w:widowControl w:val="0"/>
      </w:pPr>
      <w:r>
        <w:tab/>
        <w:t>Por otra parte, el doctor Ávila sost</w:t>
      </w:r>
      <w:r>
        <w:t>u</w:t>
      </w:r>
      <w:r>
        <w:t>vo que Ribelli pr</w:t>
      </w:r>
      <w:r>
        <w:t>e</w:t>
      </w:r>
      <w:r>
        <w:t>tendió, infructuosamente, demostrar que su ausencia del país el día del atentado obedeció a su i</w:t>
      </w:r>
      <w:r>
        <w:t>m</w:t>
      </w:r>
      <w:r>
        <w:t>posibilidad de regresar por las cancelaciones de los vu</w:t>
      </w:r>
      <w:r>
        <w:t>e</w:t>
      </w:r>
      <w:r>
        <w:t>los. Destacó, basándose en el testimonio prestado d</w:t>
      </w:r>
      <w:r>
        <w:t>u</w:t>
      </w:r>
      <w:r>
        <w:t>rante el debate por el controlador aéreo Carlos Alberto Luna y otros funcionarios a quienes no individualizó, que el a</w:t>
      </w:r>
      <w:r>
        <w:t>e</w:t>
      </w:r>
      <w:r>
        <w:t>ropuerto no estuvo cerrado para los vuelos entrantes. En definitiva, atribuyó los dichos del imputado al intento de generar una coart</w:t>
      </w:r>
      <w:r>
        <w:t>a</w:t>
      </w:r>
      <w:r>
        <w:t>da.</w:t>
      </w:r>
    </w:p>
    <w:p w:rsidR="00224567" w:rsidRDefault="00224567">
      <w:pPr>
        <w:widowControl w:val="0"/>
      </w:pPr>
      <w:r>
        <w:tab/>
        <w:t>Nuevamente se advierte una caprichosa insistencia del acusador al intentar infundadamente co</w:t>
      </w:r>
      <w:r>
        <w:t>n</w:t>
      </w:r>
      <w:r>
        <w:t>vertir unas vacaciones en una coartada prolijamente conc</w:t>
      </w:r>
      <w:r>
        <w:t>e</w:t>
      </w:r>
      <w:r>
        <w:t>bida.</w:t>
      </w:r>
    </w:p>
    <w:p w:rsidR="00224567" w:rsidRDefault="00224567">
      <w:pPr>
        <w:widowControl w:val="0"/>
      </w:pPr>
      <w:r>
        <w:tab/>
        <w:t>Particularmente, en cuanto a la imp</w:t>
      </w:r>
      <w:r>
        <w:t>o</w:t>
      </w:r>
      <w:r>
        <w:t>sibilidad del r</w:t>
      </w:r>
      <w:r>
        <w:t>e</w:t>
      </w:r>
      <w:r>
        <w:t>greso de Ribelli al país el 18 de julio de 1994, existe abundante prueba documental que avalan los dichos del imputado y que el acusador, al menos con negl</w:t>
      </w:r>
      <w:r>
        <w:t>i</w:t>
      </w:r>
      <w:r>
        <w:t>ge</w:t>
      </w:r>
      <w:r>
        <w:t>n</w:t>
      </w:r>
      <w:r>
        <w:t>cia, omitió.</w:t>
      </w:r>
    </w:p>
    <w:p w:rsidR="00224567" w:rsidRDefault="00224567">
      <w:pPr>
        <w:widowControl w:val="0"/>
      </w:pPr>
      <w:r>
        <w:tab/>
        <w:t>En efecto, como se apreció al analizar el testimonio de Humerez, los dichos del imputado, en cuanto sostuvo la i</w:t>
      </w:r>
      <w:r>
        <w:t>m</w:t>
      </w:r>
      <w:r>
        <w:t>posibilidad de regresar al país el 18 de julio de 1994 como lo tenía programado, fueron corrob</w:t>
      </w:r>
      <w:r>
        <w:t>o</w:t>
      </w:r>
      <w:r>
        <w:t>rados por una abrumadora e irrefutada prueba documental producida ya en la etapa instructoria.</w:t>
      </w:r>
    </w:p>
    <w:p w:rsidR="00224567" w:rsidRDefault="00224567">
      <w:pPr>
        <w:widowControl w:val="0"/>
      </w:pPr>
      <w:r>
        <w:tab/>
        <w:t>En este sentido, cabe reiterar que l</w:t>
      </w:r>
      <w:r>
        <w:t>u</w:t>
      </w:r>
      <w:r>
        <w:t>ce agregado a fs. 71.560/71.573 el exhorto remitido por la justicia br</w:t>
      </w:r>
      <w:r>
        <w:t>a</w:t>
      </w:r>
      <w:r>
        <w:t>silera del que surge que Ribelli y su familia, Daniela Soledad Paz, María Belén Ribelli y Alicia Esther Correa se aloj</w:t>
      </w:r>
      <w:r>
        <w:t>a</w:t>
      </w:r>
      <w:r>
        <w:t>ron el 18 de julio en el “Hotel Gloria” de Río de Janeiro, por orden y cuenta de Aerolíneas Argent</w:t>
      </w:r>
      <w:r>
        <w:t>i</w:t>
      </w:r>
      <w:r>
        <w:t>nas, y que se retir</w:t>
      </w:r>
      <w:r>
        <w:t>a</w:t>
      </w:r>
      <w:r>
        <w:t>ron el 19 del mismo mes.</w:t>
      </w:r>
    </w:p>
    <w:p w:rsidR="00224567" w:rsidRDefault="00224567">
      <w:pPr>
        <w:widowControl w:val="0"/>
      </w:pPr>
      <w:r>
        <w:tab/>
        <w:t>De esa rogatoria corresponde destacar que allí luce una nota remitida por el citado hotel que refiere las circun</w:t>
      </w:r>
      <w:r>
        <w:t>s</w:t>
      </w:r>
      <w:r>
        <w:t>tancias más arriba transcriptas con el detalle incluso de las habitaciones ocupadas por el imp</w:t>
      </w:r>
      <w:r>
        <w:t>u</w:t>
      </w:r>
      <w:r>
        <w:t>tado y su grupo fam</w:t>
      </w:r>
      <w:r>
        <w:t>i</w:t>
      </w:r>
      <w:r>
        <w:t>liar (fs. 71.560/71.561), y el listado del resto de los pasajeros del hotel donde puede adverti</w:t>
      </w:r>
      <w:r>
        <w:t>r</w:t>
      </w:r>
      <w:r>
        <w:t>se –en coincidencia con lo declarado por Ribelli ya en 1997– que la cuenta de varios huéspedes era imputada a A</w:t>
      </w:r>
      <w:r>
        <w:t>e</w:t>
      </w:r>
      <w:r>
        <w:t>rolíneas A</w:t>
      </w:r>
      <w:r>
        <w:t>r</w:t>
      </w:r>
      <w:r>
        <w:t>gentinas (fs. 71.562/71.568).</w:t>
      </w:r>
    </w:p>
    <w:p w:rsidR="00224567" w:rsidRDefault="00224567">
      <w:pPr>
        <w:widowControl w:val="0"/>
      </w:pPr>
      <w:r>
        <w:tab/>
        <w:t>A lo expuesto corresponde agregar que si bien en el info</w:t>
      </w:r>
      <w:r>
        <w:t>r</w:t>
      </w:r>
      <w:r>
        <w:t xml:space="preserve">me efectuado por el Departamento Unidad de Investigaciones Antiterrorista de </w:t>
      </w:r>
      <w:smartTag w:uri="urn:schemas-microsoft-com:office:smarttags" w:element="PersonName">
        <w:smartTagPr>
          <w:attr w:name="ProductID" w:val="la Polic￭a Federal"/>
        </w:smartTagPr>
        <w:r>
          <w:t>la Policía Federal</w:t>
        </w:r>
      </w:smartTag>
      <w:r>
        <w:t xml:space="preserve"> que obra a fs. 56.643/56.644, quedaban pendientes de ver</w:t>
      </w:r>
      <w:r>
        <w:t>i</w:t>
      </w:r>
      <w:r>
        <w:t>ficación alguna de las circunstancias más arriba tran</w:t>
      </w:r>
      <w:r>
        <w:t>s</w:t>
      </w:r>
      <w:r>
        <w:t xml:space="preserve">criptas, ya se concluía que “se pudo determinar que Juan José Ribelli abandonaría </w:t>
      </w:r>
      <w:smartTag w:uri="urn:schemas-microsoft-com:office:smarttags" w:element="PersonName">
        <w:smartTagPr>
          <w:attr w:name="ProductID" w:val="la Rep￺blica Federativa"/>
        </w:smartTagPr>
        <w:r>
          <w:t>la República Federativa</w:t>
        </w:r>
      </w:smartTag>
      <w:r>
        <w:t xml:space="preserve"> del Br</w:t>
      </w:r>
      <w:r>
        <w:t>a</w:t>
      </w:r>
      <w:r>
        <w:t>sil desde la ciudad de Río de Janeiro el 18 de julio de 1994 en el vuelo de Aerolíneas Argentinas 221 con de</w:t>
      </w:r>
      <w:r>
        <w:t>s</w:t>
      </w:r>
      <w:r>
        <w:t>tino a Buenos Aires, vuelo que fue cancelado por haberse cla</w:t>
      </w:r>
      <w:r>
        <w:t>u</w:t>
      </w:r>
      <w:r>
        <w:t>surado el aeropue</w:t>
      </w:r>
      <w:r>
        <w:t>r</w:t>
      </w:r>
      <w:r>
        <w:t>to de Ezeiza a raíz del atentado motivo de investigación en e</w:t>
      </w:r>
      <w:r>
        <w:t>s</w:t>
      </w:r>
      <w:r>
        <w:t>tas actuaciones”.</w:t>
      </w:r>
    </w:p>
    <w:p w:rsidR="00224567" w:rsidRDefault="00224567">
      <w:pPr>
        <w:widowControl w:val="0"/>
      </w:pPr>
      <w:r>
        <w:tab/>
        <w:t>Resulta absolutamente inexplicable que el letrado de la querella, Dr. Ávila, otorgue, en su val</w:t>
      </w:r>
      <w:r>
        <w:t>o</w:t>
      </w:r>
      <w:r>
        <w:t>ración de este extremo, prioridad al recuerdo de un co</w:t>
      </w:r>
      <w:r>
        <w:t>n</w:t>
      </w:r>
      <w:r>
        <w:t>trolador aéreo sobre lo ocurrido a más de nueve años de ocurrido el atentado y no a la abundante prueba documental que refuta la ve</w:t>
      </w:r>
      <w:r>
        <w:t>r</w:t>
      </w:r>
      <w:r>
        <w:t>sión acusatoria.</w:t>
      </w:r>
    </w:p>
    <w:p w:rsidR="00224567" w:rsidRDefault="00224567">
      <w:pPr>
        <w:widowControl w:val="0"/>
      </w:pPr>
      <w:r>
        <w:tab/>
        <w:t>Ello demuestra, al menos, un profundo e inexplicable desconocimiento de las pruebas colectadas en este pr</w:t>
      </w:r>
      <w:r>
        <w:t>o</w:t>
      </w:r>
      <w:r>
        <w:t>ceso.</w:t>
      </w:r>
    </w:p>
    <w:p w:rsidR="00224567" w:rsidRDefault="00224567">
      <w:pPr>
        <w:widowControl w:val="0"/>
      </w:pPr>
      <w:r>
        <w:tab/>
        <w:t>Párrafo aparte merece la interpret</w:t>
      </w:r>
      <w:r>
        <w:t>a</w:t>
      </w:r>
      <w:r>
        <w:t>ción que efectúa el acusador acerca de la filmación real</w:t>
      </w:r>
      <w:r>
        <w:t>i</w:t>
      </w:r>
      <w:r>
        <w:t>zada por Ribelli al regresar de su viaje de Cataratas al registrar la voz de la azafata, debido a que procedió de igual forma a su regreso de Br</w:t>
      </w:r>
      <w:r>
        <w:t>a</w:t>
      </w:r>
      <w:r>
        <w:t>sil.</w:t>
      </w:r>
    </w:p>
    <w:p w:rsidR="00224567" w:rsidRDefault="00224567">
      <w:pPr>
        <w:widowControl w:val="0"/>
      </w:pPr>
      <w:r>
        <w:tab/>
        <w:t>Adviértase que el letrado en forma a</w:t>
      </w:r>
      <w:r>
        <w:t>b</w:t>
      </w:r>
      <w:r>
        <w:t>solutamente contradictoria e inexplicable aprecia como elemento incriminante tanto la filmación de la azafata anuncia</w:t>
      </w:r>
      <w:r>
        <w:t>n</w:t>
      </w:r>
      <w:r>
        <w:t>do el arribo de un viaje, como la omisión de ello.</w:t>
      </w:r>
    </w:p>
    <w:p w:rsidR="00224567" w:rsidRDefault="00224567">
      <w:pPr>
        <w:widowControl w:val="0"/>
      </w:pPr>
      <w:r>
        <w:tab/>
        <w:t>Si ya resultaba sorprendente que el letrado de la qu</w:t>
      </w:r>
      <w:r>
        <w:t>e</w:t>
      </w:r>
      <w:r>
        <w:t>rella invocara aquella primera filmación como una prueba que contribuía a robustecer la prueba de las coart</w:t>
      </w:r>
      <w:r>
        <w:t>a</w:t>
      </w:r>
      <w:r>
        <w:t>das que, a su vez, denotaban la participación de Ribelli en el atentado, cuando el acusador valora en el mismo sentido que no grabó, ingresa en el terreno de lo absurdo.</w:t>
      </w:r>
    </w:p>
    <w:p w:rsidR="00224567" w:rsidRDefault="00224567">
      <w:pPr>
        <w:widowControl w:val="0"/>
      </w:pPr>
      <w:r>
        <w:tab/>
        <w:t>En otras palabras, resulta contrario a la lógica –elemento integrante de la sana crítica– que la realización de una conducta o su omisión tengan idéntica ent</w:t>
      </w:r>
      <w:r>
        <w:t>i</w:t>
      </w:r>
      <w:r>
        <w:t>dad probatoria.</w:t>
      </w:r>
    </w:p>
    <w:p w:rsidR="00224567" w:rsidRDefault="00224567">
      <w:pPr>
        <w:widowControl w:val="0"/>
      </w:pPr>
      <w:r>
        <w:tab/>
        <w:t>Ello solo puede demostrar el inequív</w:t>
      </w:r>
      <w:r>
        <w:t>o</w:t>
      </w:r>
      <w:r>
        <w:t>co propósito de sostener una acusación a cualquier costo incluso más allá de las pruebas producidas durante el d</w:t>
      </w:r>
      <w:r>
        <w:t>e</w:t>
      </w:r>
      <w:r>
        <w:t>bate. Así, podría decirse: todo sirve para fundar la re</w:t>
      </w:r>
      <w:r>
        <w:t>s</w:t>
      </w:r>
      <w:r>
        <w:t>ponsabilidad de Rib</w:t>
      </w:r>
      <w:r>
        <w:t>e</w:t>
      </w:r>
      <w:r>
        <w:t>lli, aún aquello que lo excusa.</w:t>
      </w:r>
    </w:p>
    <w:p w:rsidR="00224567" w:rsidRDefault="00224567">
      <w:pPr>
        <w:pStyle w:val="Ttulo6"/>
        <w:keepNext w:val="0"/>
        <w:widowControl w:val="0"/>
        <w:spacing w:line="600" w:lineRule="auto"/>
        <w:rPr>
          <w:rFonts w:cs="Courier New"/>
          <w:b w:val="0"/>
          <w:bCs/>
          <w:u w:val="none"/>
        </w:rPr>
      </w:pPr>
      <w:r>
        <w:rPr>
          <w:rFonts w:cs="Courier New"/>
          <w:u w:val="none"/>
        </w:rPr>
        <w:tab/>
      </w:r>
      <w:bookmarkStart w:id="221" w:name="_Toc86731991"/>
      <w:r>
        <w:rPr>
          <w:rFonts w:cs="Courier New"/>
          <w:u w:val="none"/>
        </w:rPr>
        <w:t>C.2.d.vii)</w:t>
      </w:r>
      <w:bookmarkStart w:id="222" w:name="_Toc79905065"/>
      <w:r>
        <w:rPr>
          <w:rFonts w:cs="Courier New"/>
          <w:u w:val="none"/>
        </w:rPr>
        <w:t xml:space="preserve"> </w:t>
      </w:r>
      <w:r>
        <w:rPr>
          <w:rFonts w:cs="Courier New"/>
          <w:b w:val="0"/>
          <w:bCs/>
          <w:u w:val="none"/>
        </w:rPr>
        <w:t>La equívoca referencia al dolo de R</w:t>
      </w:r>
      <w:r>
        <w:rPr>
          <w:rFonts w:cs="Courier New"/>
          <w:b w:val="0"/>
          <w:bCs/>
          <w:u w:val="none"/>
        </w:rPr>
        <w:t>i</w:t>
      </w:r>
      <w:r>
        <w:rPr>
          <w:rFonts w:cs="Courier New"/>
          <w:b w:val="0"/>
          <w:bCs/>
          <w:u w:val="none"/>
        </w:rPr>
        <w:t>belli</w:t>
      </w:r>
      <w:bookmarkEnd w:id="222"/>
      <w:r>
        <w:rPr>
          <w:rFonts w:cs="Courier New"/>
          <w:b w:val="0"/>
          <w:bCs/>
          <w:u w:val="none"/>
        </w:rPr>
        <w:t>.</w:t>
      </w:r>
      <w:bookmarkEnd w:id="221"/>
    </w:p>
    <w:p w:rsidR="00224567" w:rsidRDefault="00224567">
      <w:pPr>
        <w:widowControl w:val="0"/>
      </w:pPr>
      <w:r>
        <w:tab/>
      </w:r>
      <w:r>
        <w:rPr>
          <w:b/>
          <w:bCs/>
        </w:rPr>
        <w:t>C.2.d.vii.1)</w:t>
      </w:r>
      <w:r>
        <w:t xml:space="preserve"> Los letrados de la quer</w:t>
      </w:r>
      <w:r>
        <w:t>e</w:t>
      </w:r>
      <w:r>
        <w:t>lla unificada sostuvieron que co</w:t>
      </w:r>
      <w:r>
        <w:t>n</w:t>
      </w:r>
      <w:r>
        <w:t>tribuían a probar el dolo de Ribelli, por su participación en el atentado, las d</w:t>
      </w:r>
      <w:r>
        <w:t>e</w:t>
      </w:r>
      <w:r>
        <w:t>clar</w:t>
      </w:r>
      <w:r>
        <w:t>a</w:t>
      </w:r>
      <w:r>
        <w:t>ciones prestadas por Armando Antonio Calabró y Pedro Ana</w:t>
      </w:r>
      <w:r>
        <w:t>s</w:t>
      </w:r>
      <w:r>
        <w:t>tasio Klodczyk.</w:t>
      </w:r>
    </w:p>
    <w:p w:rsidR="00224567" w:rsidRDefault="00224567">
      <w:pPr>
        <w:widowControl w:val="0"/>
      </w:pPr>
      <w:r>
        <w:tab/>
        <w:t>Respecto de Calabró los acusadores  coincidieron al dest</w:t>
      </w:r>
      <w:r>
        <w:t>a</w:t>
      </w:r>
      <w:r>
        <w:t>car que afirmó que no descartaba que Ribelli, por motiv</w:t>
      </w:r>
      <w:r>
        <w:t>a</w:t>
      </w:r>
      <w:r>
        <w:t xml:space="preserve">ciones económicas se hubiera llevado la camioneta de Telleldín. </w:t>
      </w:r>
      <w:smartTag w:uri="urn:schemas-microsoft-com:office:smarttags" w:element="PersonName">
        <w:smartTagPr>
          <w:attr w:name="ProductID" w:val="La Dra. Nercellas"/>
        </w:smartTagPr>
        <w:r>
          <w:t>La Dra. Nercellas</w:t>
        </w:r>
      </w:smartTag>
      <w:r>
        <w:t xml:space="preserve"> agregó que el testigo sostuvo que lo aterrorizaba pensar que Ribelli s</w:t>
      </w:r>
      <w:r>
        <w:t>u</w:t>
      </w:r>
      <w:r>
        <w:t xml:space="preserve">piera el destino que se le dio al vehículo, sin entender cómo no dijo, si es que había tenido </w:t>
      </w:r>
      <w:smartTag w:uri="urn:schemas-microsoft-com:office:smarttags" w:element="PersonName">
        <w:smartTagPr>
          <w:attr w:name="ProductID" w:val="la Trafic"/>
        </w:smartTagPr>
        <w:r>
          <w:t>la Trafic</w:t>
        </w:r>
      </w:smartTag>
      <w:r>
        <w:t>, a quien se la entr</w:t>
      </w:r>
      <w:r>
        <w:t>e</w:t>
      </w:r>
      <w:r>
        <w:t>gó.</w:t>
      </w:r>
    </w:p>
    <w:p w:rsidR="00224567" w:rsidRDefault="00224567">
      <w:pPr>
        <w:widowControl w:val="0"/>
      </w:pPr>
      <w:r>
        <w:tab/>
        <w:t>En el mismo sentido se destacó que P</w:t>
      </w:r>
      <w:r>
        <w:t>e</w:t>
      </w:r>
      <w:r>
        <w:t>dro Anastasio Klodczyk, en la decl</w:t>
      </w:r>
      <w:r>
        <w:t>a</w:t>
      </w:r>
      <w:r>
        <w:t>ración incorporada por lectura al debate, sostuvo que nunca tuvo dudas de la n</w:t>
      </w:r>
      <w:r>
        <w:t>e</w:t>
      </w:r>
      <w:r>
        <w:t>goci</w:t>
      </w:r>
      <w:r>
        <w:t>a</w:t>
      </w:r>
      <w:r>
        <w:t xml:space="preserve">ción que Ribelli había entablado con Telleldín en </w:t>
      </w:r>
      <w:smartTag w:uri="urn:schemas-microsoft-com:office:smarttags" w:element="PersonName">
        <w:smartTagPr>
          <w:attr w:name="ProductID" w:val="la Brigada"/>
        </w:smartTagPr>
        <w:r>
          <w:t>la Brigada</w:t>
        </w:r>
      </w:smartTag>
      <w:r>
        <w:t xml:space="preserve"> de Lanús y que aunque no tenía la misma certeza respecto de la recepción de </w:t>
      </w:r>
      <w:smartTag w:uri="urn:schemas-microsoft-com:office:smarttags" w:element="PersonName">
        <w:smartTagPr>
          <w:attr w:name="ProductID" w:val="la Trafic"/>
        </w:smartTagPr>
        <w:r>
          <w:t>la Trafic</w:t>
        </w:r>
      </w:smartTag>
      <w:r>
        <w:t xml:space="preserve"> usada en el atent</w:t>
      </w:r>
      <w:r>
        <w:t>a</w:t>
      </w:r>
      <w:r>
        <w:t>do, luego de conocer otras circunstancias creyó como una hipótesis viable la participación de Ribelli, por móv</w:t>
      </w:r>
      <w:r>
        <w:t>i</w:t>
      </w:r>
      <w:r>
        <w:t>les económicos. Agregó que, en definitiva, las actitudes de Ribelli le demostraron que pudo ser responsable del ate</w:t>
      </w:r>
      <w:r>
        <w:t>n</w:t>
      </w:r>
      <w:r>
        <w:t>tado.</w:t>
      </w:r>
    </w:p>
    <w:p w:rsidR="00224567" w:rsidRDefault="00224567">
      <w:pPr>
        <w:widowControl w:val="0"/>
      </w:pPr>
      <w:r>
        <w:tab/>
        <w:t>El fiscal general agregó al respecto que entre Ribelli y Klodczyk había una estrecha relación cuanto menos funci</w:t>
      </w:r>
      <w:r>
        <w:t>o</w:t>
      </w:r>
      <w:r>
        <w:t>nal y conocida; por ello el testimonio del último tuvo entidad, peso y fuerza suficiente para que, en concordancia con otras pruebas, generara una co</w:t>
      </w:r>
      <w:r>
        <w:t>n</w:t>
      </w:r>
      <w:r>
        <w:t>vicción s</w:t>
      </w:r>
      <w:r>
        <w:t>o</w:t>
      </w:r>
      <w:r>
        <w:t>bre la responsabilidad que le cupo a Ribelli en el atent</w:t>
      </w:r>
      <w:r>
        <w:t>a</w:t>
      </w:r>
      <w:r>
        <w:t>do.</w:t>
      </w:r>
    </w:p>
    <w:p w:rsidR="00224567" w:rsidRDefault="00224567">
      <w:pPr>
        <w:widowControl w:val="0"/>
      </w:pPr>
      <w:r>
        <w:tab/>
        <w:t xml:space="preserve">Por otra parte, el representante del Ministerio Público Fiscal resaltó que, en </w:t>
      </w:r>
      <w:smartTag w:uri="urn:schemas-microsoft-com:office:smarttags" w:element="PersonName">
        <w:smartTagPr>
          <w:attr w:name="ProductID" w:val="la Jefatura"/>
        </w:smartTagPr>
        <w:r>
          <w:t>la Jefatura</w:t>
        </w:r>
      </w:smartTag>
      <w:r>
        <w:t xml:space="preserve"> de Policía, Rubén Cirocco escuchó una charla que mantuvo Klodczyk –quien comandaba la fuerza– con Padilla –su inm</w:t>
      </w:r>
      <w:r>
        <w:t>e</w:t>
      </w:r>
      <w:r>
        <w:t>diato inferior por aquel entonces–, en la que aquél expr</w:t>
      </w:r>
      <w:r>
        <w:t>e</w:t>
      </w:r>
      <w:r>
        <w:t>saba el temor porque Leal se quebr</w:t>
      </w:r>
      <w:r>
        <w:t>a</w:t>
      </w:r>
      <w:r>
        <w:t>ra.</w:t>
      </w:r>
    </w:p>
    <w:p w:rsidR="00224567" w:rsidRDefault="00224567">
      <w:pPr>
        <w:widowControl w:val="0"/>
      </w:pPr>
      <w:r>
        <w:tab/>
        <w:t>Esta afirmación fue interpretada por el acusador públ</w:t>
      </w:r>
      <w:r>
        <w:t>i</w:t>
      </w:r>
      <w:r>
        <w:t>co como alusiva a quien, vencido por las circunstancias, opta por declarar y cuenta todo lo que s</w:t>
      </w:r>
      <w:r>
        <w:t>a</w:t>
      </w:r>
      <w:r>
        <w:t>be. Agregó el fiscal general que lo que atemorizaba al j</w:t>
      </w:r>
      <w:r>
        <w:t>e</w:t>
      </w:r>
      <w:r>
        <w:t>fe p</w:t>
      </w:r>
      <w:r>
        <w:t>o</w:t>
      </w:r>
      <w:r>
        <w:t>licial era que se cuente todo y ese temor evidenciado resultaba sumamente trascendente no solo por su cont</w:t>
      </w:r>
      <w:r>
        <w:t>e</w:t>
      </w:r>
      <w:r>
        <w:t>nido s</w:t>
      </w:r>
      <w:r>
        <w:t>i</w:t>
      </w:r>
      <w:r>
        <w:t>no por quien lo decía.</w:t>
      </w:r>
    </w:p>
    <w:p w:rsidR="00224567" w:rsidRDefault="00224567">
      <w:pPr>
        <w:widowControl w:val="0"/>
      </w:pPr>
      <w:r>
        <w:tab/>
        <w:t>Finalmente, la letrada de la querella unificada, Dra. Marta Nercellas, concluyó que la propia gente que estaba al lado de Ribelli pensaba que pudo ser responsable del hecho por su "a</w:t>
      </w:r>
      <w:r>
        <w:t>m</w:t>
      </w:r>
      <w:r>
        <w:t>bición desmedida".</w:t>
      </w:r>
    </w:p>
    <w:p w:rsidR="00224567" w:rsidRDefault="00224567">
      <w:pPr>
        <w:widowControl w:val="0"/>
      </w:pPr>
      <w:r>
        <w:tab/>
        <w:t>Recordó que a Ribelli se lo buscó por su perfil y éste hizo lo propio respecto de su elección por Telle</w:t>
      </w:r>
      <w:r>
        <w:t>l</w:t>
      </w:r>
      <w:r>
        <w:t>dín.</w:t>
      </w:r>
    </w:p>
    <w:p w:rsidR="00224567" w:rsidRDefault="00224567">
      <w:pPr>
        <w:widowControl w:val="0"/>
      </w:pPr>
      <w:r>
        <w:tab/>
        <w:t>Destacó que la personalidad de Ribelli era funcional a la trama de su actuación, era un policía corrupto y sus características personales eran las ide</w:t>
      </w:r>
      <w:r>
        <w:t>a</w:t>
      </w:r>
      <w:r>
        <w:t>les para ser depositario de un encargo muy particular, cons</w:t>
      </w:r>
      <w:r>
        <w:t>e</w:t>
      </w:r>
      <w:r>
        <w:t>guir la camioneta que sirviera a los fines del atentado terr</w:t>
      </w:r>
      <w:r>
        <w:t>o</w:t>
      </w:r>
      <w:r>
        <w:t>rista.</w:t>
      </w:r>
    </w:p>
    <w:p w:rsidR="00224567" w:rsidRDefault="00224567">
      <w:pPr>
        <w:widowControl w:val="0"/>
      </w:pPr>
      <w:r>
        <w:tab/>
        <w:t>Agregó que, sus antecedentes, leídos por el imputado en su primera indagatoria durante el deb</w:t>
      </w:r>
      <w:r>
        <w:t>a</w:t>
      </w:r>
      <w:r>
        <w:t>te, dieron un pálido reflejo de su t</w:t>
      </w:r>
      <w:r>
        <w:t>a</w:t>
      </w:r>
      <w:r>
        <w:t>lento. Resaltó que se mostró frío durante el proceso –imperturbable al tomar n</w:t>
      </w:r>
      <w:r>
        <w:t>o</w:t>
      </w:r>
      <w:r>
        <w:t>ta y ate</w:t>
      </w:r>
      <w:r>
        <w:t>n</w:t>
      </w:r>
      <w:r>
        <w:t>to a todo lo que iba ocurriendo–, inescrupuloso y codicioso en los a</w:t>
      </w:r>
      <w:r>
        <w:t>s</w:t>
      </w:r>
      <w:r>
        <w:t>pectos de su vida pública y privada.</w:t>
      </w:r>
    </w:p>
    <w:p w:rsidR="00224567" w:rsidRDefault="00224567">
      <w:pPr>
        <w:widowControl w:val="0"/>
      </w:pPr>
      <w:r>
        <w:tab/>
        <w:t>En referencia a este último aspecto destacó que hasta su ex jefe Klodczyk llegó a decir que por plata era c</w:t>
      </w:r>
      <w:r>
        <w:t>a</w:t>
      </w:r>
      <w:r>
        <w:t>paz de cualquier cosa, con una conciencia moral escindida en la que el freno de sus apetitos más primitivos se redujo a su mínima expresión. Destacó la l</w:t>
      </w:r>
      <w:r>
        <w:t>e</w:t>
      </w:r>
      <w:r>
        <w:t>trada que e</w:t>
      </w:r>
      <w:r>
        <w:t>s</w:t>
      </w:r>
      <w:r>
        <w:t>to se advertía claramente en la absoluta falta de límites en sus relaciones económicas, donde la activ</w:t>
      </w:r>
      <w:r>
        <w:t>i</w:t>
      </w:r>
      <w:r>
        <w:t>dad lícita se mezcla constantemente con la ilíc</w:t>
      </w:r>
      <w:r>
        <w:t>i</w:t>
      </w:r>
      <w:r>
        <w:t>ta. Agregó que su bajo perfil era el ideal para manejar las cosas desde la sombra y pasar lo más de</w:t>
      </w:r>
      <w:r>
        <w:t>s</w:t>
      </w:r>
      <w:r>
        <w:t>apercibido posible.</w:t>
      </w:r>
    </w:p>
    <w:p w:rsidR="00224567" w:rsidRDefault="00224567">
      <w:pPr>
        <w:widowControl w:val="0"/>
      </w:pPr>
      <w:r>
        <w:tab/>
        <w:t>En definitiva, concluyó que para i</w:t>
      </w:r>
      <w:r>
        <w:t>n</w:t>
      </w:r>
      <w:r>
        <w:t>teresarse en este hecho no hacían falta motivaciones ide</w:t>
      </w:r>
      <w:r>
        <w:t>o</w:t>
      </w:r>
      <w:r>
        <w:t>lógicas ni oscuros sentimientos antisemitas, sino que ba</w:t>
      </w:r>
      <w:r>
        <w:t>s</w:t>
      </w:r>
      <w:r>
        <w:t>taba –como en el caso de Ribelli– la directa motivación económica y los 2.500.000 dól</w:t>
      </w:r>
      <w:r>
        <w:t>a</w:t>
      </w:r>
      <w:r>
        <w:t xml:space="preserve">res eran la prueba de ello. </w:t>
      </w:r>
    </w:p>
    <w:p w:rsidR="00224567" w:rsidRDefault="00224567">
      <w:pPr>
        <w:widowControl w:val="0"/>
      </w:pPr>
      <w:r>
        <w:tab/>
      </w:r>
      <w:r>
        <w:rPr>
          <w:b/>
          <w:bCs/>
        </w:rPr>
        <w:t xml:space="preserve">C.2.d.vii.2) </w:t>
      </w:r>
      <w:r>
        <w:t>Una vez más se advierte el carácter endeble e ineficaz de los elementos probat</w:t>
      </w:r>
      <w:r>
        <w:t>o</w:t>
      </w:r>
      <w:r>
        <w:t>rios en los que se pretende fundar la acusación a los p</w:t>
      </w:r>
      <w:r>
        <w:t>o</w:t>
      </w:r>
      <w:r>
        <w:t>licías b</w:t>
      </w:r>
      <w:r>
        <w:t>o</w:t>
      </w:r>
      <w:r>
        <w:t>naerenses por el atentado.</w:t>
      </w:r>
    </w:p>
    <w:p w:rsidR="00224567" w:rsidRDefault="00224567">
      <w:pPr>
        <w:widowControl w:val="0"/>
      </w:pPr>
      <w:r>
        <w:tab/>
        <w:t>En este caso, se recurre a meras op</w:t>
      </w:r>
      <w:r>
        <w:t>i</w:t>
      </w:r>
      <w:r>
        <w:t>niones aisladas del contexto en el que fueran vertidas o de las explicaciones que durante el debate brindaran qui</w:t>
      </w:r>
      <w:r>
        <w:t>e</w:t>
      </w:r>
      <w:r>
        <w:t>nes las emitieran. También se alcanzan conclusiones equ</w:t>
      </w:r>
      <w:r>
        <w:t>í</w:t>
      </w:r>
      <w:r>
        <w:t>vocas –en cuanto no pueden derivarse como exclusiva cons</w:t>
      </w:r>
      <w:r>
        <w:t>e</w:t>
      </w:r>
      <w:r>
        <w:t>cuencia de las premisas de las que se parte– y se efe</w:t>
      </w:r>
      <w:r>
        <w:t>c</w:t>
      </w:r>
      <w:r>
        <w:t>túa un análisis de la personalidad de Ribelli absolutamente inidóneo al fin propue</w:t>
      </w:r>
      <w:r>
        <w:t>s</w:t>
      </w:r>
      <w:r>
        <w:t>to.</w:t>
      </w:r>
    </w:p>
    <w:p w:rsidR="00224567" w:rsidRDefault="00224567">
      <w:pPr>
        <w:widowControl w:val="0"/>
      </w:pPr>
      <w:r>
        <w:tab/>
        <w:t>Con anterioridad al particular des</w:t>
      </w:r>
      <w:r>
        <w:t>a</w:t>
      </w:r>
      <w:r>
        <w:t>rrollo de cada una de las pruebas invocadas, debe dest</w:t>
      </w:r>
      <w:r>
        <w:t>a</w:t>
      </w:r>
      <w:r>
        <w:t>carse que ellas en modo alguno se dirigen –como anuncian los acusadores– a demo</w:t>
      </w:r>
      <w:r>
        <w:t>s</w:t>
      </w:r>
      <w:r>
        <w:t>trar el dolo de Ribelli.</w:t>
      </w:r>
    </w:p>
    <w:p w:rsidR="00224567" w:rsidRDefault="00224567">
      <w:pPr>
        <w:widowControl w:val="0"/>
      </w:pPr>
      <w:r>
        <w:tab/>
        <w:t>Si tenemos en cuenta la definición de dolo dada por la doctrina, esto es, el conocimiento y v</w:t>
      </w:r>
      <w:r>
        <w:t>o</w:t>
      </w:r>
      <w:r>
        <w:t>luntad de realiz</w:t>
      </w:r>
      <w:r>
        <w:t>a</w:t>
      </w:r>
      <w:r>
        <w:t>ción de los elementos del tipo objetivo; vemos que en modo alguno esta definición se adecua al al</w:t>
      </w:r>
      <w:r>
        <w:t>e</w:t>
      </w:r>
      <w:r>
        <w:t>gato de los acus</w:t>
      </w:r>
      <w:r>
        <w:t>a</w:t>
      </w:r>
      <w:r>
        <w:t>dores.</w:t>
      </w:r>
    </w:p>
    <w:p w:rsidR="00224567" w:rsidRDefault="00224567">
      <w:pPr>
        <w:widowControl w:val="0"/>
      </w:pPr>
      <w:r>
        <w:tab/>
        <w:t>En realidad, los testimonios mencion</w:t>
      </w:r>
      <w:r>
        <w:t>a</w:t>
      </w:r>
      <w:r>
        <w:t>dos son empleados para intentar comprobar, por una vía a</w:t>
      </w:r>
      <w:r>
        <w:t>b</w:t>
      </w:r>
      <w:r>
        <w:t>solutamente inhábil, la participación del imputado en el hecho. En otras palabras, no se intenta verificar si Rib</w:t>
      </w:r>
      <w:r>
        <w:t>e</w:t>
      </w:r>
      <w:r>
        <w:t>lli al momento de intervenir en la obtención de la cami</w:t>
      </w:r>
      <w:r>
        <w:t>o</w:t>
      </w:r>
      <w:r>
        <w:t>neta Trafic sabía y quería su utilización en un atentado terrorista, sino que se intenta dire</w:t>
      </w:r>
      <w:r>
        <w:t>c</w:t>
      </w:r>
      <w:r>
        <w:t>tamente comprobar la tenencia del vehículo por parte de Rib</w:t>
      </w:r>
      <w:r>
        <w:t>e</w:t>
      </w:r>
      <w:r>
        <w:t>lli.</w:t>
      </w:r>
    </w:p>
    <w:p w:rsidR="00224567" w:rsidRDefault="00224567">
      <w:pPr>
        <w:widowControl w:val="0"/>
      </w:pPr>
      <w:r>
        <w:tab/>
        <w:t>Se advierte entonces una nueva conf</w:t>
      </w:r>
      <w:r>
        <w:t>u</w:t>
      </w:r>
      <w:r>
        <w:t>sión en la argumentación empleada por los acusadores, al anunciar un propósito distinto del ensayado en la valor</w:t>
      </w:r>
      <w:r>
        <w:t>a</w:t>
      </w:r>
      <w:r>
        <w:t>ción de la prueba arr</w:t>
      </w:r>
      <w:r>
        <w:t>i</w:t>
      </w:r>
      <w:r>
        <w:t>mada al proceso.</w:t>
      </w:r>
    </w:p>
    <w:p w:rsidR="00224567" w:rsidRDefault="00224567">
      <w:pPr>
        <w:widowControl w:val="0"/>
      </w:pPr>
      <w:r>
        <w:tab/>
        <w:t>Ya en el análisis particular de cada uno de los elementos probatorios citados, corresponde ad</w:t>
      </w:r>
      <w:r>
        <w:t>e</w:t>
      </w:r>
      <w:r>
        <w:t>lantar que los test</w:t>
      </w:r>
      <w:r>
        <w:t>i</w:t>
      </w:r>
      <w:r>
        <w:t>monios prestados por Klodczyk –durante la instrucción– y Calabró –en el debate– no resultan id</w:t>
      </w:r>
      <w:r>
        <w:t>ó</w:t>
      </w:r>
      <w:r>
        <w:t>neos para acreditar la responsabilidad de Ribelli en el ate</w:t>
      </w:r>
      <w:r>
        <w:t>n</w:t>
      </w:r>
      <w:r>
        <w:t>tado.</w:t>
      </w:r>
    </w:p>
    <w:p w:rsidR="00224567" w:rsidRDefault="00224567">
      <w:pPr>
        <w:widowControl w:val="0"/>
      </w:pPr>
      <w:r>
        <w:tab/>
        <w:t>Efectivamente, en ambos casos se tr</w:t>
      </w:r>
      <w:r>
        <w:t>a</w:t>
      </w:r>
      <w:r>
        <w:t>tan de meras reflexiones personales de los jefes polici</w:t>
      </w:r>
      <w:r>
        <w:t>a</w:t>
      </w:r>
      <w:r>
        <w:t>les que no aportan ni</w:t>
      </w:r>
      <w:r>
        <w:t>n</w:t>
      </w:r>
      <w:r>
        <w:t>gún elemento objetivo que demuestre la participación del imputado en el gravísimo delito e</w:t>
      </w:r>
      <w:r>
        <w:t>n</w:t>
      </w:r>
      <w:r>
        <w:t>dilgado. M</w:t>
      </w:r>
      <w:r>
        <w:t>u</w:t>
      </w:r>
      <w:r>
        <w:t>cho menos se encargan de corroborar que Ribelli supiera y quisiera i</w:t>
      </w:r>
      <w:r>
        <w:t>n</w:t>
      </w:r>
      <w:r>
        <w:t>tervenir en ese hecho.</w:t>
      </w:r>
    </w:p>
    <w:p w:rsidR="00224567" w:rsidRDefault="00224567">
      <w:pPr>
        <w:widowControl w:val="0"/>
      </w:pPr>
      <w:r>
        <w:tab/>
        <w:t>Respecto a lo declarado por Calabró, en primer lugar, debe de</w:t>
      </w:r>
      <w:r>
        <w:t>s</w:t>
      </w:r>
      <w:r>
        <w:t>tacarse que la afirmación que se v</w:t>
      </w:r>
      <w:r>
        <w:t>a</w:t>
      </w:r>
      <w:r>
        <w:t>lora del testigo se trata exclusivamente de una opinión no sustentada en dato objetivo alguno, motivo suficiente para quitarle cualquier relevancia en la acreditación de la participación de Rib</w:t>
      </w:r>
      <w:r>
        <w:t>e</w:t>
      </w:r>
      <w:r>
        <w:t>lli en el atentado.</w:t>
      </w:r>
    </w:p>
    <w:p w:rsidR="00224567" w:rsidRDefault="00224567">
      <w:pPr>
        <w:widowControl w:val="0"/>
      </w:pPr>
      <w:r>
        <w:tab/>
        <w:t>Pero además, el estudio que de esa d</w:t>
      </w:r>
      <w:r>
        <w:t>e</w:t>
      </w:r>
      <w:r>
        <w:t>claración efectúan los acusadores es absolutamente parcial y descontextualizado. Ello, toda vez que se limitan a r</w:t>
      </w:r>
      <w:r>
        <w:t>e</w:t>
      </w:r>
      <w:r>
        <w:t>crear lo dicho por el testigo en la etapa instructoria y omiten toda valoración de las explicaciones, mucho más a</w:t>
      </w:r>
      <w:r>
        <w:t>m</w:t>
      </w:r>
      <w:r>
        <w:t>plias, que brindara durante el debate.</w:t>
      </w:r>
    </w:p>
    <w:p w:rsidR="00224567" w:rsidRDefault="00224567">
      <w:pPr>
        <w:widowControl w:val="0"/>
      </w:pPr>
      <w:r>
        <w:tab/>
        <w:t>Mas, aún ese análisis de lo declarado por el te</w:t>
      </w:r>
      <w:r>
        <w:t>s</w:t>
      </w:r>
      <w:r>
        <w:t>tigo en instrucción tampoco permite arribar a la conclusión que pretenden los acusadores. En el párrafo r</w:t>
      </w:r>
      <w:r>
        <w:t>e</w:t>
      </w:r>
      <w:r>
        <w:t>ferido al tema, Calabró si bien admite la posibilidad de que Ribelli se hubiera llevado la camioneta con fines ec</w:t>
      </w:r>
      <w:r>
        <w:t>o</w:t>
      </w:r>
      <w:r>
        <w:t>nómicos, también señaló que le aterrorizaba pensar que s</w:t>
      </w:r>
      <w:r>
        <w:t>u</w:t>
      </w:r>
      <w:r>
        <w:t>piera el destino que se le daría a dicho v</w:t>
      </w:r>
      <w:r>
        <w:t>e</w:t>
      </w:r>
      <w:r>
        <w:t>hículo.</w:t>
      </w:r>
    </w:p>
    <w:p w:rsidR="00224567" w:rsidRDefault="00224567">
      <w:pPr>
        <w:widowControl w:val="0"/>
      </w:pPr>
      <w:r>
        <w:tab/>
        <w:t>Más allá de que se trata, como ya se dijera, de una mera suposición del testigo, debe destaca</w:t>
      </w:r>
      <w:r>
        <w:t>r</w:t>
      </w:r>
      <w:r>
        <w:t>se que bien leído ese tramo jamás puede indicar que Rib</w:t>
      </w:r>
      <w:r>
        <w:t>e</w:t>
      </w:r>
      <w:r>
        <w:t>lli supiera que ese rodado sería utilizado como coche bo</w:t>
      </w:r>
      <w:r>
        <w:t>m</w:t>
      </w:r>
      <w:r>
        <w:t>ba en el atentado, que es justamente la imputación que se le d</w:t>
      </w:r>
      <w:r>
        <w:t>i</w:t>
      </w:r>
      <w:r>
        <w:t>rige.</w:t>
      </w:r>
    </w:p>
    <w:p w:rsidR="00224567" w:rsidRDefault="00224567">
      <w:pPr>
        <w:widowControl w:val="0"/>
      </w:pPr>
      <w:r>
        <w:tab/>
        <w:t>Amén de lo expuesto, y probablemente esto sea lo más grave en el proceder de los acusadores, el análisis que se efe</w:t>
      </w:r>
      <w:r>
        <w:t>c</w:t>
      </w:r>
      <w:r>
        <w:t>túa de lo declarado por el testigo es, como ya se dijera, incompleto y terg</w:t>
      </w:r>
      <w:r>
        <w:t>i</w:t>
      </w:r>
      <w:r>
        <w:t>versado.</w:t>
      </w:r>
    </w:p>
    <w:p w:rsidR="00224567" w:rsidRDefault="00224567">
      <w:pPr>
        <w:widowControl w:val="0"/>
      </w:pPr>
      <w:r>
        <w:tab/>
        <w:t>Ello demuestra al menos una neglige</w:t>
      </w:r>
      <w:r>
        <w:t>n</w:t>
      </w:r>
      <w:r>
        <w:t>cia inexplicable en la valoración de la prueba producida en este juicio. Corresponde resa</w:t>
      </w:r>
      <w:r>
        <w:t>l</w:t>
      </w:r>
      <w:r>
        <w:t>tar que no se censura que los acusadores interpretaran peyorativamente –incluso ha</w:t>
      </w:r>
      <w:r>
        <w:t>s</w:t>
      </w:r>
      <w:r>
        <w:t>ta quitarles toda entidad– los dichos de Calabró durante el debate, sino que no dedicaran ni una sola p</w:t>
      </w:r>
      <w:r>
        <w:t>a</w:t>
      </w:r>
      <w:r>
        <w:t>labra a lo te</w:t>
      </w:r>
      <w:r>
        <w:t>s</w:t>
      </w:r>
      <w:r>
        <w:t>timoniado en esta audiencia. Máxime, cuando el testigo se refirió en forma pormenorizada a lo ocurrido en in</w:t>
      </w:r>
      <w:r>
        <w:t>s</w:t>
      </w:r>
      <w:r>
        <w:t>trucción –incluso a instancia de los mismos acusad</w:t>
      </w:r>
      <w:r>
        <w:t>o</w:t>
      </w:r>
      <w:r>
        <w:t>res– y que con las explicaciones que brindara en el debate, se relativizara mucho más aún la suposición afirmada en aqu</w:t>
      </w:r>
      <w:r>
        <w:t>e</w:t>
      </w:r>
      <w:r>
        <w:t>lla etapa.</w:t>
      </w:r>
    </w:p>
    <w:p w:rsidR="00224567" w:rsidRDefault="00224567">
      <w:pPr>
        <w:widowControl w:val="0"/>
      </w:pPr>
      <w:r>
        <w:tab/>
        <w:t>Debe entonces recordarse que Calabró en esta sede acl</w:t>
      </w:r>
      <w:r>
        <w:t>a</w:t>
      </w:r>
      <w:r>
        <w:t>ró inicialmente la forma en que surgió el párrafo destacado por las partes acusadoras. En este se</w:t>
      </w:r>
      <w:r>
        <w:t>n</w:t>
      </w:r>
      <w:r>
        <w:t>tido indicó –en dos oportunidades– que su afirmación con</w:t>
      </w:r>
      <w:r>
        <w:t>s</w:t>
      </w:r>
      <w:r>
        <w:t>tituyó una respuesta a la pregunta –que no se consigna en el acta– de si suponía que Ribelli pudiera haberse ll</w:t>
      </w:r>
      <w:r>
        <w:t>e</w:t>
      </w:r>
      <w:r>
        <w:t>vado la camioneta y él contestó que por una cuestión econ</w:t>
      </w:r>
      <w:r>
        <w:t>ó</w:t>
      </w:r>
      <w:r>
        <w:t>mica podía haber sido, pero por un acto terrorista lo descart</w:t>
      </w:r>
      <w:r>
        <w:t>a</w:t>
      </w:r>
      <w:r>
        <w:t>ba totalmente. Recalcó el testigo que su respuesta se tr</w:t>
      </w:r>
      <w:r>
        <w:t>a</w:t>
      </w:r>
      <w:r>
        <w:t>taba meramente de una hipótesis.</w:t>
      </w:r>
    </w:p>
    <w:p w:rsidR="00224567" w:rsidRDefault="00224567">
      <w:pPr>
        <w:widowControl w:val="0"/>
      </w:pPr>
      <w:r>
        <w:tab/>
        <w:t>Aún partiendo de la buena fe de quien recepcionara en sede instructoria la declaración testim</w:t>
      </w:r>
      <w:r>
        <w:t>o</w:t>
      </w:r>
      <w:r>
        <w:t>nial, debe indicarse que en ocasiones –como se visualiza en este caso– se omite considerar si lo afirmado por el testigo es una manifest</w:t>
      </w:r>
      <w:r>
        <w:t>a</w:t>
      </w:r>
      <w:r>
        <w:t>ción espontánea o una respuesta a una pregunta. Una u otra situación, sin duda, tiene inc</w:t>
      </w:r>
      <w:r>
        <w:t>i</w:t>
      </w:r>
      <w:r>
        <w:t>dencia en la valoración de lo sostenido por el testigo. Por esto, sin hesitación a</w:t>
      </w:r>
      <w:r>
        <w:t>l</w:t>
      </w:r>
      <w:r>
        <w:t>guna, puede afirmarse que esta es otra de las virtudes –amén de un efectivo control de las partes– de la producción de esta prueba en un debate oral.</w:t>
      </w:r>
    </w:p>
    <w:p w:rsidR="00224567" w:rsidRDefault="00224567">
      <w:pPr>
        <w:widowControl w:val="0"/>
      </w:pPr>
      <w:r>
        <w:tab/>
        <w:t>Por todo ello, nuevamente llama pod</w:t>
      </w:r>
      <w:r>
        <w:t>e</w:t>
      </w:r>
      <w:r>
        <w:t>rosamente la atención que los acusadores –que tienen una vasta experiencia en la actuación en juicios orales– om</w:t>
      </w:r>
      <w:r>
        <w:t>i</w:t>
      </w:r>
      <w:r>
        <w:t>tieran, sin siquiera efectuar un mínimo análisis a las aclaraciones que el testigo formulara en esta audie</w:t>
      </w:r>
      <w:r>
        <w:t>n</w:t>
      </w:r>
      <w:r>
        <w:t>cia.</w:t>
      </w:r>
    </w:p>
    <w:p w:rsidR="00224567" w:rsidRDefault="00224567">
      <w:pPr>
        <w:widowControl w:val="0"/>
      </w:pPr>
      <w:r>
        <w:tab/>
        <w:t>Por otra parte, el testigo precisó que jamás se enteró que la camioneta en cuestión pudiera haber pasado por las manos de Ribelli. Descartó totalmente la hipótesis de la intervención de éste en el atentado, y aclaró –al ser preguntado específicamente por el párrafo vertido en su declaración prestada en sede instructoria– que carecía de cualquier elemento o dato objetivo que c</w:t>
      </w:r>
      <w:r>
        <w:t>o</w:t>
      </w:r>
      <w:r>
        <w:t>rroborara su suposición de que Ribelli pudiera haberse llevado, aun con meros fines económicos, la camion</w:t>
      </w:r>
      <w:r>
        <w:t>e</w:t>
      </w:r>
      <w:r>
        <w:t>ta que lu</w:t>
      </w:r>
      <w:r>
        <w:t>e</w:t>
      </w:r>
      <w:r>
        <w:t xml:space="preserve">go explotara en la sede de </w:t>
      </w:r>
      <w:smartTag w:uri="urn:schemas-microsoft-com:office:smarttags" w:element="PersonName">
        <w:smartTagPr>
          <w:attr w:name="ProductID" w:val="la A.M"/>
        </w:smartTagPr>
        <w:r>
          <w:t>la A.M</w:t>
        </w:r>
      </w:smartTag>
      <w:r>
        <w:t>.I.A.</w:t>
      </w:r>
    </w:p>
    <w:p w:rsidR="00224567" w:rsidRDefault="00224567">
      <w:pPr>
        <w:widowControl w:val="0"/>
      </w:pPr>
      <w:r>
        <w:tab/>
        <w:t>La explicación brindada por el testigo de lo oc</w:t>
      </w:r>
      <w:r>
        <w:t>u</w:t>
      </w:r>
      <w:r>
        <w:t>rrido en la etapa instructoria resulta creíble y comp</w:t>
      </w:r>
      <w:r>
        <w:t>a</w:t>
      </w:r>
      <w:r>
        <w:t>tible con la demás prueba arrimada al proceso.</w:t>
      </w:r>
    </w:p>
    <w:p w:rsidR="00224567" w:rsidRDefault="00224567">
      <w:pPr>
        <w:widowControl w:val="0"/>
      </w:pPr>
      <w:r>
        <w:tab/>
        <w:t>La tergiversación de los dichos de C</w:t>
      </w:r>
      <w:r>
        <w:t>a</w:t>
      </w:r>
      <w:r>
        <w:t>labró pone en evide</w:t>
      </w:r>
      <w:r>
        <w:t>n</w:t>
      </w:r>
      <w:r>
        <w:t>cia una vez más la orfandad probatoria en la que tanto la querella como la fiscalía pretendieron fundar la responsabilidad de los policías bonaerenses imputados en el ate</w:t>
      </w:r>
      <w:r>
        <w:t>n</w:t>
      </w:r>
      <w:r>
        <w:t>tado.</w:t>
      </w:r>
    </w:p>
    <w:p w:rsidR="00224567" w:rsidRDefault="00224567">
      <w:pPr>
        <w:widowControl w:val="0"/>
      </w:pPr>
      <w:r>
        <w:tab/>
      </w:r>
      <w:r>
        <w:rPr>
          <w:b/>
          <w:bCs/>
        </w:rPr>
        <w:t xml:space="preserve">C.2.d.vii.3) </w:t>
      </w:r>
      <w:r>
        <w:t>Un idéntico análisis pa</w:t>
      </w:r>
      <w:r>
        <w:t>r</w:t>
      </w:r>
      <w:r>
        <w:t>cializado y descontextualizado efectuaron los acusadores respecto del testimonio brindado por Klodczyk en sede in</w:t>
      </w:r>
      <w:r>
        <w:t>s</w:t>
      </w:r>
      <w:r>
        <w:t>tructoria.</w:t>
      </w:r>
    </w:p>
    <w:p w:rsidR="00224567" w:rsidRDefault="00224567">
      <w:pPr>
        <w:widowControl w:val="0"/>
      </w:pPr>
      <w:r>
        <w:tab/>
        <w:t>Así, se destacó que el ex jefe pol</w:t>
      </w:r>
      <w:r>
        <w:t>i</w:t>
      </w:r>
      <w:r>
        <w:t>cial en la declar</w:t>
      </w:r>
      <w:r>
        <w:t>a</w:t>
      </w:r>
      <w:r>
        <w:t>ción de fs. 47.467/47.476 creyó como una hipótesis viable la part</w:t>
      </w:r>
      <w:r>
        <w:t>i</w:t>
      </w:r>
      <w:r>
        <w:t>cipación de Ribelli –con móviles económicos– en el atent</w:t>
      </w:r>
      <w:r>
        <w:t>a</w:t>
      </w:r>
      <w:r>
        <w:t>do.</w:t>
      </w:r>
    </w:p>
    <w:p w:rsidR="00224567" w:rsidRDefault="00224567">
      <w:pPr>
        <w:widowControl w:val="0"/>
      </w:pPr>
      <w:r>
        <w:tab/>
        <w:t>En primer lugar, corresponde destacar que, debido a su f</w:t>
      </w:r>
      <w:r>
        <w:t>a</w:t>
      </w:r>
      <w:r>
        <w:t>llecimiento, no se pudo contar en esta etapa con los dichos de Klodczyk, extremo que privó al Tribunal y las partes de las aclaraciones que pudiera efectuar el testigo acerca de la forma como del contenido de la decl</w:t>
      </w:r>
      <w:r>
        <w:t>a</w:t>
      </w:r>
      <w:r>
        <w:t>ración en análisis.</w:t>
      </w:r>
    </w:p>
    <w:p w:rsidR="00224567" w:rsidRDefault="00224567">
      <w:pPr>
        <w:widowControl w:val="0"/>
      </w:pPr>
      <w:r>
        <w:tab/>
        <w:t>A la valoración que de sus dichos re</w:t>
      </w:r>
      <w:r>
        <w:t>a</w:t>
      </w:r>
      <w:r>
        <w:t>lizan los acusadores corresponde efectuar similares rep</w:t>
      </w:r>
      <w:r>
        <w:t>a</w:t>
      </w:r>
      <w:r>
        <w:t>ros a los me</w:t>
      </w:r>
      <w:r>
        <w:t>n</w:t>
      </w:r>
      <w:r>
        <w:t>cionados respecto del testimonio de Calabró.</w:t>
      </w:r>
    </w:p>
    <w:p w:rsidR="00224567" w:rsidRDefault="00224567">
      <w:pPr>
        <w:widowControl w:val="0"/>
      </w:pPr>
      <w:r>
        <w:tab/>
        <w:t>En efecto, también Klodczyk vierte e</w:t>
      </w:r>
      <w:r>
        <w:t>x</w:t>
      </w:r>
      <w:r>
        <w:t>clusivamente opini</w:t>
      </w:r>
      <w:r>
        <w:t>o</w:t>
      </w:r>
      <w:r>
        <w:t>nes personales o conjeturas que de modo alguno pueden co</w:t>
      </w:r>
      <w:r>
        <w:t>n</w:t>
      </w:r>
      <w:r>
        <w:t>siderarse prueba idónea para acreditar la part</w:t>
      </w:r>
      <w:r>
        <w:t>i</w:t>
      </w:r>
      <w:r>
        <w:t>cipación de Ribelli en el atentado.</w:t>
      </w:r>
    </w:p>
    <w:p w:rsidR="00224567" w:rsidRDefault="00224567">
      <w:pPr>
        <w:widowControl w:val="0"/>
      </w:pPr>
      <w:r>
        <w:tab/>
        <w:t>El ex jefe policial aclaró –y esta e</w:t>
      </w:r>
      <w:r>
        <w:t>s</w:t>
      </w:r>
      <w:r>
        <w:t>pecificación, de suma relevancia, fue omitida en las apr</w:t>
      </w:r>
      <w:r>
        <w:t>e</w:t>
      </w:r>
      <w:r>
        <w:t>ciaciones que efectuaran los acusadores en sus alegatos– que la fuente de sus dichos eran las circunstancias con</w:t>
      </w:r>
      <w:r>
        <w:t>o</w:t>
      </w:r>
      <w:r>
        <w:t>cidas por los medios periodísticos e incluso de lo que surgía del auto de pr</w:t>
      </w:r>
      <w:r>
        <w:t>o</w:t>
      </w:r>
      <w:r>
        <w:t>cesamiento y la propia investigación de la policía bonaerense llevada a cabo por el comisario Verón.</w:t>
      </w:r>
    </w:p>
    <w:p w:rsidR="00224567" w:rsidRDefault="00224567">
      <w:pPr>
        <w:widowControl w:val="0"/>
      </w:pPr>
      <w:r>
        <w:tab/>
        <w:t>En definitiva, sus fuentes –citadas incluso en forma abs</w:t>
      </w:r>
      <w:r>
        <w:t>o</w:t>
      </w:r>
      <w:r>
        <w:t>lutamente imprecisa– no son elementos independientes que permitan considerar a sus dichos como pru</w:t>
      </w:r>
      <w:r>
        <w:t>e</w:t>
      </w:r>
      <w:r>
        <w:t>ba de cargo.</w:t>
      </w:r>
    </w:p>
    <w:p w:rsidR="00224567" w:rsidRDefault="00224567">
      <w:pPr>
        <w:widowControl w:val="0"/>
      </w:pPr>
      <w:r>
        <w:tab/>
        <w:t>No puede soslayarse, la cantidad de irregularidades de máxima gravedad evidenciadas en el tr</w:t>
      </w:r>
      <w:r>
        <w:t>á</w:t>
      </w:r>
      <w:r>
        <w:t>mite de las actuaciones, tanto en aquellas que estuvi</w:t>
      </w:r>
      <w:r>
        <w:t>e</w:t>
      </w:r>
      <w:r>
        <w:t>ron a cargo del comisario Verón por encargo del magistrado instructor, como las realiz</w:t>
      </w:r>
      <w:r>
        <w:t>a</w:t>
      </w:r>
      <w:r>
        <w:t>das en el juzgado a cargo del do</w:t>
      </w:r>
      <w:r>
        <w:t>c</w:t>
      </w:r>
      <w:r>
        <w:t>tor Galeano.</w:t>
      </w:r>
    </w:p>
    <w:p w:rsidR="00224567" w:rsidRDefault="00224567">
      <w:pPr>
        <w:widowControl w:val="0"/>
      </w:pPr>
      <w:r>
        <w:tab/>
        <w:t>De estas gravísimas irregularidades ya se hizo m</w:t>
      </w:r>
      <w:r>
        <w:t>é</w:t>
      </w:r>
      <w:r>
        <w:t>rito en otro tramo de este pronunciamiento, pero nuevamente inciden en la valoración del testimonio de Klodczyk, ya que –según lo declarado por el testigo– son la fuente de sus dichos.</w:t>
      </w:r>
    </w:p>
    <w:p w:rsidR="00224567" w:rsidRDefault="00224567">
      <w:pPr>
        <w:widowControl w:val="0"/>
      </w:pPr>
      <w:r>
        <w:tab/>
        <w:t>Por ello, no resulta casual que los acusadores omitieran consignar cual era el basamento de las meras sup</w:t>
      </w:r>
      <w:r>
        <w:t>o</w:t>
      </w:r>
      <w:r>
        <w:t>siciones efectuadas por el testigo.</w:t>
      </w:r>
    </w:p>
    <w:p w:rsidR="00224567" w:rsidRDefault="00224567">
      <w:pPr>
        <w:widowControl w:val="0"/>
      </w:pPr>
      <w:r>
        <w:tab/>
        <w:t>En definitiva, el testimonio de Klodczyk no puede constituir un elemento que conlleve a demostrar la partic</w:t>
      </w:r>
      <w:r>
        <w:t>i</w:t>
      </w:r>
      <w:r>
        <w:t xml:space="preserve">pación de Ribelli en el atentado. </w:t>
      </w:r>
    </w:p>
    <w:p w:rsidR="00224567" w:rsidRDefault="00224567">
      <w:pPr>
        <w:widowControl w:val="0"/>
      </w:pPr>
      <w:r>
        <w:tab/>
        <w:t>Por otra parte, el fiscal general v</w:t>
      </w:r>
      <w:r>
        <w:t>a</w:t>
      </w:r>
      <w:r>
        <w:t>loró los dichos de Rubén Cirocco en cuanto sostuvo que e</w:t>
      </w:r>
      <w:r>
        <w:t>s</w:t>
      </w:r>
      <w:r>
        <w:t>cuchó una conve</w:t>
      </w:r>
      <w:r>
        <w:t>r</w:t>
      </w:r>
      <w:r>
        <w:t>sación entre Padilla y Klodczyk donde este último e</w:t>
      </w:r>
      <w:r>
        <w:t>x</w:t>
      </w:r>
      <w:r>
        <w:t>presaba su temor ante la posibilidad de que Leal se qu</w:t>
      </w:r>
      <w:r>
        <w:t>e</w:t>
      </w:r>
      <w:r>
        <w:t>brara.</w:t>
      </w:r>
    </w:p>
    <w:p w:rsidR="00224567" w:rsidRDefault="00224567">
      <w:pPr>
        <w:widowControl w:val="0"/>
      </w:pPr>
      <w:r>
        <w:tab/>
        <w:t>En primer lugar, debe destacarse que el testimonio de C</w:t>
      </w:r>
      <w:r>
        <w:t>i</w:t>
      </w:r>
      <w:r>
        <w:t>rocco no tiene corroboración en ningún otro el</w:t>
      </w:r>
      <w:r>
        <w:t>e</w:t>
      </w:r>
      <w:r>
        <w:t>mento de la causa, no fue siquiera confirmado por alguno de los inte</w:t>
      </w:r>
      <w:r>
        <w:t>r</w:t>
      </w:r>
      <w:r>
        <w:t>locutores.</w:t>
      </w:r>
    </w:p>
    <w:p w:rsidR="00224567" w:rsidRDefault="00224567">
      <w:pPr>
        <w:widowControl w:val="0"/>
      </w:pPr>
      <w:r>
        <w:tab/>
        <w:t>Pero aún si se considerara probada la existencia y el contenido de esa conversación no puede c</w:t>
      </w:r>
      <w:r>
        <w:t>o</w:t>
      </w:r>
      <w:r>
        <w:t>legirse, como lo hace el acusador estatal, que en la frase resaltada Klod</w:t>
      </w:r>
      <w:r>
        <w:t>c</w:t>
      </w:r>
      <w:r>
        <w:t>zyk se refiriera inequívocamente a que Leal contara todo lo que supiera sobre la participación en el ate</w:t>
      </w:r>
      <w:r>
        <w:t>n</w:t>
      </w:r>
      <w:r>
        <w:t>tado de los policías bonaerenses imputados.</w:t>
      </w:r>
    </w:p>
    <w:p w:rsidR="00224567" w:rsidRDefault="00224567">
      <w:pPr>
        <w:widowControl w:val="0"/>
      </w:pPr>
      <w:r>
        <w:tab/>
        <w:t>En efecto, bien podía referirse a que Leal decl</w:t>
      </w:r>
      <w:r>
        <w:t>a</w:t>
      </w:r>
      <w:r>
        <w:t>rara todo lo que supiera respecto de los hechos ocurr</w:t>
      </w:r>
      <w:r>
        <w:t>i</w:t>
      </w:r>
      <w:r>
        <w:t>dos el 14 y 15 de julio de 1994 por los que también estaba i</w:t>
      </w:r>
      <w:r>
        <w:t>m</w:t>
      </w:r>
      <w:r>
        <w:t>putado.</w:t>
      </w:r>
    </w:p>
    <w:p w:rsidR="00224567" w:rsidRDefault="00224567">
      <w:pPr>
        <w:widowControl w:val="0"/>
      </w:pPr>
      <w:r>
        <w:tab/>
        <w:t>En definitiva, nuevamente se advierte que de un hecho –en este caso no comprobado– se pretenden extraer conclusiones categóricas, que no son tales. Como se ve existen otras posibles interpretaciones, distintas a la esbozada por el acusador estatal, y que no aportan nada sobre la participación de los imputados en el hecho terr</w:t>
      </w:r>
      <w:r>
        <w:t>o</w:t>
      </w:r>
      <w:r>
        <w:t>ri</w:t>
      </w:r>
      <w:r>
        <w:t>s</w:t>
      </w:r>
      <w:r>
        <w:t>ta.</w:t>
      </w:r>
    </w:p>
    <w:p w:rsidR="00224567" w:rsidRDefault="00224567">
      <w:pPr>
        <w:widowControl w:val="0"/>
      </w:pPr>
      <w:r>
        <w:tab/>
        <w:t>Finalmente, la letrada de la querella unificada al no haber acreditado objetivamente la respo</w:t>
      </w:r>
      <w:r>
        <w:t>n</w:t>
      </w:r>
      <w:r>
        <w:t>sabilidad de Rib</w:t>
      </w:r>
      <w:r>
        <w:t>e</w:t>
      </w:r>
      <w:r>
        <w:t>lli y los demás policías en el atentado, trató probarla con absurdas e intrascendentes apreciaci</w:t>
      </w:r>
      <w:r>
        <w:t>o</w:t>
      </w:r>
      <w:r>
        <w:t>nes su</w:t>
      </w:r>
      <w:r>
        <w:t>b</w:t>
      </w:r>
      <w:r>
        <w:t>jetivas sobre su personalidad.</w:t>
      </w:r>
    </w:p>
    <w:p w:rsidR="00224567" w:rsidRDefault="00224567">
      <w:pPr>
        <w:widowControl w:val="0"/>
      </w:pPr>
      <w:r>
        <w:tab/>
        <w:t>En tal sentido, se pretendió describir un perfil psicológico conciliable y funcional con la imp</w:t>
      </w:r>
      <w:r>
        <w:t>u</w:t>
      </w:r>
      <w:r>
        <w:t>tación hacia el ex policía.</w:t>
      </w:r>
    </w:p>
    <w:p w:rsidR="00224567" w:rsidRDefault="00224567">
      <w:pPr>
        <w:widowControl w:val="0"/>
      </w:pPr>
      <w:r>
        <w:tab/>
        <w:t>Como se dijera, la letrada aclaró que a esta concl</w:t>
      </w:r>
      <w:r>
        <w:t>u</w:t>
      </w:r>
      <w:r>
        <w:t>sión arribaban no desde las caracterizaciones de Lombroso, sino a partir de la óptica de sus compañeros y colab</w:t>
      </w:r>
      <w:r>
        <w:t>o</w:t>
      </w:r>
      <w:r>
        <w:t>radores.</w:t>
      </w:r>
    </w:p>
    <w:p w:rsidR="00224567" w:rsidRDefault="00224567">
      <w:pPr>
        <w:widowControl w:val="0"/>
      </w:pPr>
      <w:r>
        <w:tab/>
        <w:t>Sin embargo, a poco de repasar los testimonios citados por la querella se advierte que la afirmación es falsa. En efecto, tanto Klodczyk como Cal</w:t>
      </w:r>
      <w:r>
        <w:t>a</w:t>
      </w:r>
      <w:r>
        <w:t>bró, si bien destacaron la ambición económica de Rib</w:t>
      </w:r>
      <w:r>
        <w:t>e</w:t>
      </w:r>
      <w:r>
        <w:t>lli, nada aportaron, incluso negaron conocer algún eleme</w:t>
      </w:r>
      <w:r>
        <w:t>n</w:t>
      </w:r>
      <w:r>
        <w:t>to que les permitiera siquiera suponer la participación de éste en el atentado.</w:t>
      </w:r>
    </w:p>
    <w:p w:rsidR="00224567" w:rsidRDefault="00224567">
      <w:pPr>
        <w:widowControl w:val="0"/>
      </w:pPr>
      <w:r>
        <w:tab/>
        <w:t>Si bien se destacó que las caracterí</w:t>
      </w:r>
      <w:r>
        <w:t>s</w:t>
      </w:r>
      <w:r>
        <w:t>ticas personales de Ribelli eran las ideales para que se le encargara la obtención de la camioneta que se utiliz</w:t>
      </w:r>
      <w:r>
        <w:t>a</w:t>
      </w:r>
      <w:r>
        <w:t>ría en el atentado terrorista, ello no pasó de una mera afirmación dogmática sin sustento en ninguna prueba cole</w:t>
      </w:r>
      <w:r>
        <w:t>c</w:t>
      </w:r>
      <w:r>
        <w:t>tada en la causa.</w:t>
      </w:r>
    </w:p>
    <w:p w:rsidR="00224567" w:rsidRDefault="00224567">
      <w:pPr>
        <w:widowControl w:val="0"/>
      </w:pPr>
      <w:r>
        <w:tab/>
        <w:t>Por último, la referencia a la suma de 2.500.000 dólares como presunto pago total o parcial por su participación en el atentado, ya fue tratada y desca</w:t>
      </w:r>
      <w:r>
        <w:t>r</w:t>
      </w:r>
      <w:r>
        <w:t>tada en un acápite anterior. Por ende, cualquier c</w:t>
      </w:r>
      <w:r>
        <w:t>o</w:t>
      </w:r>
      <w:r>
        <w:t>nexión entre aquel suceso y la personalidad de Ribelli, nuevame</w:t>
      </w:r>
      <w:r>
        <w:t>n</w:t>
      </w:r>
      <w:r>
        <w:t>te se torna abstracta.</w:t>
      </w:r>
    </w:p>
    <w:p w:rsidR="00224567" w:rsidRDefault="00224567">
      <w:pPr>
        <w:pStyle w:val="Ttulo6"/>
        <w:keepNext w:val="0"/>
        <w:widowControl w:val="0"/>
        <w:spacing w:line="600" w:lineRule="auto"/>
        <w:rPr>
          <w:rFonts w:cs="Courier New"/>
          <w:b w:val="0"/>
          <w:bCs/>
          <w:u w:val="none"/>
        </w:rPr>
      </w:pPr>
      <w:r>
        <w:rPr>
          <w:rFonts w:cs="Courier New"/>
          <w:u w:val="none"/>
        </w:rPr>
        <w:tab/>
      </w:r>
      <w:bookmarkStart w:id="223" w:name="_Toc86731992"/>
      <w:r>
        <w:rPr>
          <w:rFonts w:cs="Courier New"/>
          <w:u w:val="none"/>
        </w:rPr>
        <w:t xml:space="preserve">C.2.d.viii) </w:t>
      </w:r>
      <w:r>
        <w:rPr>
          <w:rFonts w:cs="Courier New"/>
          <w:b w:val="0"/>
          <w:bCs/>
          <w:u w:val="none"/>
        </w:rPr>
        <w:t>La capciosa conexión entre las comunicaciones entabladas por Leticia Labado y la pa</w:t>
      </w:r>
      <w:r>
        <w:rPr>
          <w:rFonts w:cs="Courier New"/>
          <w:b w:val="0"/>
          <w:bCs/>
          <w:u w:val="none"/>
        </w:rPr>
        <w:t>r</w:t>
      </w:r>
      <w:r>
        <w:rPr>
          <w:rFonts w:cs="Courier New"/>
          <w:b w:val="0"/>
          <w:bCs/>
          <w:u w:val="none"/>
        </w:rPr>
        <w:t>ticip</w:t>
      </w:r>
      <w:r>
        <w:rPr>
          <w:rFonts w:cs="Courier New"/>
          <w:b w:val="0"/>
          <w:bCs/>
          <w:u w:val="none"/>
        </w:rPr>
        <w:t>a</w:t>
      </w:r>
      <w:r>
        <w:rPr>
          <w:rFonts w:cs="Courier New"/>
          <w:b w:val="0"/>
          <w:bCs/>
          <w:u w:val="none"/>
        </w:rPr>
        <w:t>ción de Ribelli en el atentado.</w:t>
      </w:r>
      <w:bookmarkEnd w:id="223"/>
    </w:p>
    <w:p w:rsidR="00224567" w:rsidRDefault="00224567">
      <w:pPr>
        <w:widowControl w:val="0"/>
      </w:pPr>
      <w:r>
        <w:tab/>
      </w:r>
      <w:r>
        <w:rPr>
          <w:b/>
          <w:bCs/>
        </w:rPr>
        <w:t>C.2.d.viii.1)</w:t>
      </w:r>
      <w:r>
        <w:t xml:space="preserve"> La doctora Nercellas v</w:t>
      </w:r>
      <w:r>
        <w:t>a</w:t>
      </w:r>
      <w:r>
        <w:t>loró como elemento de prueba de la participación de Juan José Ribelli en el atentado las comunicaciones telefónicas que la abogada Leticia Labado, amante de Ribelli, habría mantenido con la fi</w:t>
      </w:r>
      <w:r>
        <w:t>r</w:t>
      </w:r>
      <w:r>
        <w:t>ma Anselmo Internacional, empresa que a su vez tenía contactos comerciales con Kanoore Edul, quien estaba relacionado con la pista siria por el atent</w:t>
      </w:r>
      <w:r>
        <w:t>a</w:t>
      </w:r>
      <w:r>
        <w:t>do pe</w:t>
      </w:r>
      <w:r>
        <w:t>n</w:t>
      </w:r>
      <w:r>
        <w:t>diente de profundización.</w:t>
      </w:r>
    </w:p>
    <w:p w:rsidR="00224567" w:rsidRDefault="00224567">
      <w:pPr>
        <w:widowControl w:val="0"/>
      </w:pPr>
      <w:r>
        <w:tab/>
        <w:t>Se destacó particularmente la comun</w:t>
      </w:r>
      <w:r>
        <w:t>i</w:t>
      </w:r>
      <w:r>
        <w:t>cación que, según la letrada, se efectuara a la citada firma desde la habitación del Hotel Presidente en la que se encontraba alojado el imput</w:t>
      </w:r>
      <w:r>
        <w:t>a</w:t>
      </w:r>
      <w:r>
        <w:t>do Ribelli.</w:t>
      </w:r>
    </w:p>
    <w:p w:rsidR="00224567" w:rsidRDefault="00224567">
      <w:pPr>
        <w:widowControl w:val="0"/>
      </w:pPr>
      <w:r>
        <w:tab/>
      </w:r>
      <w:r>
        <w:rPr>
          <w:b/>
          <w:bCs/>
        </w:rPr>
        <w:t xml:space="preserve">C.2.d.viii.2) </w:t>
      </w:r>
      <w:r>
        <w:t>En primer lugar, corre</w:t>
      </w:r>
      <w:r>
        <w:t>s</w:t>
      </w:r>
      <w:r>
        <w:t>ponde destacar que, nuevamente, se advierte que la acus</w:t>
      </w:r>
      <w:r>
        <w:t>a</w:t>
      </w:r>
      <w:r>
        <w:t>ción, en su afán por sostener la imputación por el atent</w:t>
      </w:r>
      <w:r>
        <w:t>a</w:t>
      </w:r>
      <w:r>
        <w:t>do a los ex policías bonaerenses, realiza valoraciones i</w:t>
      </w:r>
      <w:r>
        <w:t>n</w:t>
      </w:r>
      <w:r>
        <w:t>completas y parcializ</w:t>
      </w:r>
      <w:r>
        <w:t>a</w:t>
      </w:r>
      <w:r>
        <w:t>das.</w:t>
      </w:r>
    </w:p>
    <w:p w:rsidR="00224567" w:rsidRDefault="00224567">
      <w:pPr>
        <w:widowControl w:val="0"/>
      </w:pPr>
      <w:r>
        <w:tab/>
        <w:t>Efectivamente, la letrada apoderada de la querella no i</w:t>
      </w:r>
      <w:r>
        <w:t>n</w:t>
      </w:r>
      <w:r>
        <w:t>dividualiza los elementos en los que basa sus afirmaciones y omite considerar todas aquellas proba</w:t>
      </w:r>
      <w:r>
        <w:t>n</w:t>
      </w:r>
      <w:r>
        <w:t>zas que desvirtúan su hipótesis.</w:t>
      </w:r>
    </w:p>
    <w:p w:rsidR="00224567" w:rsidRDefault="00224567">
      <w:pPr>
        <w:widowControl w:val="0"/>
      </w:pPr>
      <w:r>
        <w:tab/>
        <w:t>En el alegato se realizan afirmaciones de carácter dogmático, en cuanto se elude señalar la pru</w:t>
      </w:r>
      <w:r>
        <w:t>e</w:t>
      </w:r>
      <w:r>
        <w:t>ba que con</w:t>
      </w:r>
      <w:r>
        <w:t>s</w:t>
      </w:r>
      <w:r>
        <w:t>tituye su fundamento.</w:t>
      </w:r>
    </w:p>
    <w:p w:rsidR="00224567" w:rsidRDefault="00224567">
      <w:pPr>
        <w:widowControl w:val="0"/>
      </w:pPr>
      <w:r>
        <w:tab/>
        <w:t>En este caso en particular la doctora Nercellas se limita a señalar que Labado, amante de Rib</w:t>
      </w:r>
      <w:r>
        <w:t>e</w:t>
      </w:r>
      <w:r>
        <w:t>lli, efectuó llamadas a Anselmo Internacional, empresa que, a su vez, mantenía relaciones comerciales con Kanoore Edul, integrante de la pista siria por el atentado.</w:t>
      </w:r>
    </w:p>
    <w:p w:rsidR="00224567" w:rsidRDefault="00224567">
      <w:pPr>
        <w:widowControl w:val="0"/>
      </w:pPr>
      <w:r>
        <w:tab/>
        <w:t>Ahora bien, solo se hizo una mera r</w:t>
      </w:r>
      <w:r>
        <w:t>e</w:t>
      </w:r>
      <w:r>
        <w:t>ferencia a las llamadas efectuadas desde la habitación que, en el hotel Pres</w:t>
      </w:r>
      <w:r>
        <w:t>i</w:t>
      </w:r>
      <w:r>
        <w:t>dente, ocupó Juan José Ribelli.</w:t>
      </w:r>
    </w:p>
    <w:p w:rsidR="00224567" w:rsidRDefault="00224567">
      <w:pPr>
        <w:widowControl w:val="0"/>
      </w:pPr>
      <w:r>
        <w:tab/>
        <w:t>Sin embargo, aun de esas llamadas se realiza un anál</w:t>
      </w:r>
      <w:r>
        <w:t>i</w:t>
      </w:r>
      <w:r>
        <w:t xml:space="preserve">sis incompleto. En efecto, a tal fin solo se considera –aunque no se enuncia– el informe elaborado por </w:t>
      </w:r>
      <w:smartTag w:uri="urn:schemas-microsoft-com:office:smarttags" w:element="PersonName">
        <w:smartTagPr>
          <w:attr w:name="ProductID" w:val="la Departamento Unidad"/>
        </w:smartTagPr>
        <w:r>
          <w:t>la Departamento Unidad</w:t>
        </w:r>
      </w:smartTag>
      <w:r>
        <w:t xml:space="preserve"> de Investigaciones Antiterr</w:t>
      </w:r>
      <w:r>
        <w:t>o</w:t>
      </w:r>
      <w:r>
        <w:t>rista de fs. 58.891/58.895 –incluido en el legajo 22 A–, que da cuenta del alojamiento de que Juan José Ribelli y Leticia Labado en el Hotel Presidente del 24 al 25 de n</w:t>
      </w:r>
      <w:r>
        <w:t>o</w:t>
      </w:r>
      <w:r>
        <w:t>viembre de 1993 y de las llamadas realizadas desde el t</w:t>
      </w:r>
      <w:r>
        <w:t>e</w:t>
      </w:r>
      <w:r>
        <w:t>léfono de la habitación 1802 que ocupaban.</w:t>
      </w:r>
    </w:p>
    <w:p w:rsidR="00224567" w:rsidRDefault="00224567">
      <w:pPr>
        <w:widowControl w:val="0"/>
      </w:pPr>
      <w:r>
        <w:tab/>
        <w:t>Adviértase que no se determinó siqui</w:t>
      </w:r>
      <w:r>
        <w:t>e</w:t>
      </w:r>
      <w:r>
        <w:t>ra que la comunicación que se dice dirigida a la firma A</w:t>
      </w:r>
      <w:r>
        <w:t>n</w:t>
      </w:r>
      <w:r>
        <w:t>selmo Internacional la efectuara el imputado Juan José R</w:t>
      </w:r>
      <w:r>
        <w:t>i</w:t>
      </w:r>
      <w:r>
        <w:t>belli, sino que incluso existe una presunción en c</w:t>
      </w:r>
      <w:r>
        <w:t>o</w:t>
      </w:r>
      <w:r>
        <w:t xml:space="preserve">ntra de tal hipótesis. En efecto, de ese mismo informe surge que la llamada en cuestión se realiza el 25 de noviembre de </w:t>
      </w:r>
      <w:smartTag w:uri="urn:schemas-microsoft-com:office:smarttags" w:element="metricconverter">
        <w:smartTagPr>
          <w:attr w:name="ProductID" w:val="1993 a"/>
        </w:smartTagPr>
        <w:r>
          <w:t>1993 a</w:t>
        </w:r>
      </w:smartTag>
      <w:r>
        <w:t xml:space="preserve"> las 10.05 y tanto a las 10.04 como a las 10.07 existen comunicaci</w:t>
      </w:r>
      <w:r>
        <w:t>o</w:t>
      </w:r>
      <w:r>
        <w:t>nes hacia el teléfono celular 440-6746 que usaba el imputado, lo que, en principio, de</w:t>
      </w:r>
      <w:r>
        <w:t>s</w:t>
      </w:r>
      <w:r>
        <w:t>virtuaría esa tesis.</w:t>
      </w:r>
    </w:p>
    <w:p w:rsidR="00224567" w:rsidRDefault="00224567">
      <w:pPr>
        <w:widowControl w:val="0"/>
      </w:pPr>
      <w:r>
        <w:tab/>
        <w:t>Pero además de lo expuesto, si bien no se especifican cuáles fueron los elementos en los que se basó para sostener la afirmación más arriba señalada, r</w:t>
      </w:r>
      <w:r>
        <w:t>e</w:t>
      </w:r>
      <w:r>
        <w:t>sulta evidente que la acusadora omitió considerar la d</w:t>
      </w:r>
      <w:r>
        <w:t>e</w:t>
      </w:r>
      <w:r>
        <w:t>claración prestada por Leticia María Labado durante el d</w:t>
      </w:r>
      <w:r>
        <w:t>e</w:t>
      </w:r>
      <w:r>
        <w:t>bate.</w:t>
      </w:r>
    </w:p>
    <w:p w:rsidR="00224567" w:rsidRDefault="00224567">
      <w:pPr>
        <w:widowControl w:val="0"/>
      </w:pPr>
      <w:r>
        <w:tab/>
        <w:t>En la audiencia la testigo aclaró que las comunicaci</w:t>
      </w:r>
      <w:r>
        <w:t>o</w:t>
      </w:r>
      <w:r>
        <w:t>nes realizadas desde la habitación 1802 del Hotel Pr</w:t>
      </w:r>
      <w:r>
        <w:t>e</w:t>
      </w:r>
      <w:r>
        <w:t>sidente tanto al teléfono 383-4129 –que se decía perteneciente a Anselmo Internacional– como al 383-1173, estaban dirigidos a la firma Apartur S.A. –a quien pert</w:t>
      </w:r>
      <w:r>
        <w:t>e</w:t>
      </w:r>
      <w:r>
        <w:t>necía ese teléfono en 1993– conforme acreditó con la ta</w:t>
      </w:r>
      <w:r>
        <w:t>r</w:t>
      </w:r>
      <w:r>
        <w:t>jeta de esa empresa que aportó en la oc</w:t>
      </w:r>
      <w:r>
        <w:t>a</w:t>
      </w:r>
      <w:r>
        <w:t>sión.</w:t>
      </w:r>
    </w:p>
    <w:p w:rsidR="00224567" w:rsidRDefault="00224567">
      <w:pPr>
        <w:widowControl w:val="0"/>
      </w:pPr>
      <w:r>
        <w:tab/>
        <w:t>Debe destacarse que lo expuesto por Labado resulta compatible con el informe obrante a fs. 2102/2126 de la ca</w:t>
      </w:r>
      <w:r>
        <w:t>u</w:t>
      </w:r>
      <w:r>
        <w:t>sa 10–335 del Juzgado en lo Criminal y Correccional nº 3 del Departamento Jud</w:t>
      </w:r>
      <w:r>
        <w:t>i</w:t>
      </w:r>
      <w:r>
        <w:t xml:space="preserve">cial </w:t>
      </w:r>
      <w:smartTag w:uri="urn:schemas-microsoft-com:office:smarttags" w:element="PersonName">
        <w:smartTagPr>
          <w:attr w:name="ProductID" w:val="La Plata"/>
        </w:smartTagPr>
        <w:r>
          <w:t>La Plata</w:t>
        </w:r>
      </w:smartTag>
      <w:r>
        <w:t>, que da cuenta –con respaldo documental– que Juan José Ribelli era cesionario del der</w:t>
      </w:r>
      <w:r>
        <w:t>e</w:t>
      </w:r>
      <w:r>
        <w:t>cho de uso por tiempo compartido en el complejo “Las Pa</w:t>
      </w:r>
      <w:r>
        <w:t>l</w:t>
      </w:r>
      <w:r>
        <w:t>mas Resort” desde noviembre de 1991 y que a raíz de la desvinculación de Pertenencia S.A. con ese complejo en el mes de febrero de 1996 reemplazó las semanas indicadas por otras ubicadas en Complejo Apartur Buenos A</w:t>
      </w:r>
      <w:r>
        <w:t>i</w:t>
      </w:r>
      <w:r>
        <w:t>res.</w:t>
      </w:r>
    </w:p>
    <w:p w:rsidR="00224567" w:rsidRDefault="00224567">
      <w:pPr>
        <w:widowControl w:val="0"/>
      </w:pPr>
      <w:r>
        <w:tab/>
        <w:t>El domicilio de Tte. Gral. Juan D. P</w:t>
      </w:r>
      <w:r>
        <w:t>e</w:t>
      </w:r>
      <w:r>
        <w:t>rón 940, 1º piso de la ciudad de Buenos Aires, corre</w:t>
      </w:r>
      <w:r>
        <w:t>s</w:t>
      </w:r>
      <w:r>
        <w:t>ponde a “Pertenencia S.A.” –según el citado informe– y a “Apa</w:t>
      </w:r>
      <w:r>
        <w:t>r</w:t>
      </w:r>
      <w:r>
        <w:t>tur S.A.” –según la diligencia realizada por D.U.I.A. a fs. 64.517/64.518, entre muchas otras–, lo que resulta  coincidente con el consignado en la tarjeta aportada por la te</w:t>
      </w:r>
      <w:r>
        <w:t>s</w:t>
      </w:r>
      <w:r>
        <w:t>tigo.</w:t>
      </w:r>
    </w:p>
    <w:p w:rsidR="00224567" w:rsidRDefault="00224567">
      <w:pPr>
        <w:widowControl w:val="0"/>
      </w:pPr>
      <w:r>
        <w:tab/>
        <w:t>Lo expuesto resulta compatible, ad</w:t>
      </w:r>
      <w:r>
        <w:t>e</w:t>
      </w:r>
      <w:r>
        <w:t>más, con la información remitida por el Departamento Un</w:t>
      </w:r>
      <w:r>
        <w:t>i</w:t>
      </w:r>
      <w:r>
        <w:t xml:space="preserve">dad de Investigación Antiterrorista proveniente de </w:t>
      </w:r>
      <w:smartTag w:uri="urn:schemas-microsoft-com:office:smarttags" w:element="PersonName">
        <w:smartTagPr>
          <w:attr w:name="ProductID" w:val="la Inspecci￳n General"/>
        </w:smartTagPr>
        <w:r>
          <w:t>la In</w:t>
        </w:r>
        <w:r>
          <w:t>s</w:t>
        </w:r>
        <w:r>
          <w:t>pección General</w:t>
        </w:r>
      </w:smartTag>
      <w:r>
        <w:t xml:space="preserve"> de Justicia agregada a fs. 64.400/64.506 y el informe de fs. 64.523/64.524 que acompañara, entre otros anexos, fotocopias del contrato suscripto por Juan José R</w:t>
      </w:r>
      <w:r>
        <w:t>i</w:t>
      </w:r>
      <w:r>
        <w:t>belli.</w:t>
      </w:r>
    </w:p>
    <w:p w:rsidR="00224567" w:rsidRDefault="00224567">
      <w:pPr>
        <w:widowControl w:val="0"/>
      </w:pPr>
      <w:r>
        <w:tab/>
        <w:t>Todas estas circunstancias no fueron refutadas y ni siquiera mencionadas por la acusadora d</w:t>
      </w:r>
      <w:r>
        <w:t>u</w:t>
      </w:r>
      <w:r>
        <w:t>rante el trámite previsto por el art. 393 del C.P.P.N.</w:t>
      </w:r>
    </w:p>
    <w:p w:rsidR="00224567" w:rsidRDefault="00224567">
      <w:pPr>
        <w:widowControl w:val="0"/>
      </w:pPr>
      <w:r>
        <w:tab/>
        <w:t>En definitiva, el sentido incriminante que pretendió deducir de las comunicaciones referidas no encue</w:t>
      </w:r>
      <w:r>
        <w:t>n</w:t>
      </w:r>
      <w:r>
        <w:t>tra correlato en las pruebas arrimadas al proceso.</w:t>
      </w:r>
    </w:p>
    <w:p w:rsidR="00224567" w:rsidRDefault="00224567">
      <w:pPr>
        <w:widowControl w:val="0"/>
      </w:pPr>
      <w:r>
        <w:tab/>
        <w:t>Finalmente, debe destacarse que aunque se demostrara la existencia de comunicaciones entre una persona allegada a un imputado y una empresa a la que se comunicó otro sujeto vinculado a la causa, no puede –por su remota y forzada conexión– constituir un elemento de cargo.</w:t>
      </w:r>
    </w:p>
    <w:p w:rsidR="00224567" w:rsidRDefault="00224567">
      <w:pPr>
        <w:widowControl w:val="0"/>
      </w:pPr>
      <w:r>
        <w:tab/>
        <w:t>Mucho menos aún cuando, como en el presente caso, se brindaran –respecto de esas llamadas– expl</w:t>
      </w:r>
      <w:r>
        <w:t>i</w:t>
      </w:r>
      <w:r>
        <w:t>caciones que no fueran refutadas por la acusación.</w:t>
      </w:r>
    </w:p>
    <w:p w:rsidR="00224567" w:rsidRDefault="00224567">
      <w:pPr>
        <w:pStyle w:val="Ttulo6"/>
        <w:keepNext w:val="0"/>
        <w:widowControl w:val="0"/>
        <w:spacing w:line="600" w:lineRule="auto"/>
        <w:rPr>
          <w:rFonts w:cs="Courier New"/>
          <w:b w:val="0"/>
          <w:bCs/>
          <w:u w:val="none"/>
        </w:rPr>
      </w:pPr>
      <w:r>
        <w:rPr>
          <w:rFonts w:cs="Courier New"/>
          <w:u w:val="none"/>
        </w:rPr>
        <w:tab/>
      </w:r>
      <w:bookmarkStart w:id="224" w:name="_Toc86731993"/>
      <w:r>
        <w:rPr>
          <w:rFonts w:cs="Courier New"/>
          <w:u w:val="none"/>
        </w:rPr>
        <w:t xml:space="preserve">C.2.d.ix) </w:t>
      </w:r>
      <w:bookmarkStart w:id="225" w:name="_Toc79905067"/>
      <w:r>
        <w:rPr>
          <w:rFonts w:cs="Courier New"/>
          <w:b w:val="0"/>
          <w:bCs/>
          <w:u w:val="none"/>
        </w:rPr>
        <w:t>El simultáneo alojamiento de Ribelli e integrantes del grupo de rescate israelí en el Hotel Co</w:t>
      </w:r>
      <w:r>
        <w:rPr>
          <w:rFonts w:cs="Courier New"/>
          <w:b w:val="0"/>
          <w:bCs/>
          <w:u w:val="none"/>
        </w:rPr>
        <w:t>n</w:t>
      </w:r>
      <w:r>
        <w:rPr>
          <w:rFonts w:cs="Courier New"/>
          <w:b w:val="0"/>
          <w:bCs/>
          <w:u w:val="none"/>
        </w:rPr>
        <w:t>te</w:t>
      </w:r>
      <w:bookmarkEnd w:id="225"/>
      <w:r>
        <w:rPr>
          <w:rFonts w:cs="Courier New"/>
          <w:b w:val="0"/>
          <w:bCs/>
          <w:u w:val="none"/>
        </w:rPr>
        <w:t>.</w:t>
      </w:r>
      <w:bookmarkEnd w:id="224"/>
    </w:p>
    <w:p w:rsidR="00224567" w:rsidRDefault="00224567">
      <w:pPr>
        <w:widowControl w:val="0"/>
      </w:pPr>
      <w:r>
        <w:tab/>
      </w:r>
      <w:r>
        <w:rPr>
          <w:b/>
          <w:bCs/>
        </w:rPr>
        <w:t>C.2.d.ix.1)</w:t>
      </w:r>
      <w:r>
        <w:t xml:space="preserve"> También la querella dura</w:t>
      </w:r>
      <w:r>
        <w:t>n</w:t>
      </w:r>
      <w:r>
        <w:t>te su alegato valoró como prueba de la participación de Ribelli en el atentado su simultáneo alojamiento en el H</w:t>
      </w:r>
      <w:r>
        <w:t>o</w:t>
      </w:r>
      <w:r>
        <w:t>tel Conte con el grupo de rescate israelí que concurrió al país a raíz del atentado.</w:t>
      </w:r>
    </w:p>
    <w:p w:rsidR="00224567" w:rsidRDefault="00224567">
      <w:pPr>
        <w:widowControl w:val="0"/>
      </w:pPr>
      <w:r>
        <w:tab/>
        <w:t>Con una marcada ironía se preguntó una vez más el doctor Ávila si esta era otra de las casualid</w:t>
      </w:r>
      <w:r>
        <w:t>a</w:t>
      </w:r>
      <w:r>
        <w:t>des que se evide</w:t>
      </w:r>
      <w:r>
        <w:t>n</w:t>
      </w:r>
      <w:r>
        <w:t>ciaban en la causa, anunciando el absurdo de una respuesta positiva.</w:t>
      </w:r>
    </w:p>
    <w:p w:rsidR="00224567" w:rsidRDefault="00224567">
      <w:pPr>
        <w:widowControl w:val="0"/>
      </w:pPr>
      <w:r>
        <w:tab/>
      </w:r>
      <w:r>
        <w:rPr>
          <w:b/>
          <w:bCs/>
        </w:rPr>
        <w:t xml:space="preserve">C.2.d.ix.2) </w:t>
      </w:r>
      <w:r>
        <w:t>Ya un somero análisis de la prueba arrimada en el proceso conduce a responder a ese interrogante de forma afirmat</w:t>
      </w:r>
      <w:r>
        <w:t>i</w:t>
      </w:r>
      <w:r>
        <w:t>va.</w:t>
      </w:r>
    </w:p>
    <w:p w:rsidR="00224567" w:rsidRDefault="00224567">
      <w:pPr>
        <w:widowControl w:val="0"/>
      </w:pPr>
      <w:r>
        <w:tab/>
        <w:t>Los acusadores, en un proceder que ya a esta alt</w:t>
      </w:r>
      <w:r>
        <w:t>u</w:t>
      </w:r>
      <w:r>
        <w:t>ra del análisis puede calificarse de costumbre, nuevamente parten de un dato cierto para de allí en más construir una prueba de cargo, al omitir deliberadamente considerar aquellos el</w:t>
      </w:r>
      <w:r>
        <w:t>e</w:t>
      </w:r>
      <w:r>
        <w:t>mentos que desvirtúan su hipótesis.</w:t>
      </w:r>
    </w:p>
    <w:p w:rsidR="00224567" w:rsidRDefault="00224567">
      <w:pPr>
        <w:widowControl w:val="0"/>
      </w:pPr>
      <w:r>
        <w:tab/>
        <w:t>En este caso en particular, el dato cierto es que Rib</w:t>
      </w:r>
      <w:r>
        <w:t>e</w:t>
      </w:r>
      <w:r>
        <w:t>lli se alojó en el Hotel Conte del 21 al 22 de julio de 1994 y que el grupo de socorristas isra</w:t>
      </w:r>
      <w:r>
        <w:t>e</w:t>
      </w:r>
      <w:r>
        <w:t>líes lo hizo entre el 19 y el 26 del mismo mes y año, co</w:t>
      </w:r>
      <w:r>
        <w:t>n</w:t>
      </w:r>
      <w:r>
        <w:t>forme a la documentación aportada por el establecimiento obra</w:t>
      </w:r>
      <w:r>
        <w:t>n</w:t>
      </w:r>
      <w:r>
        <w:t>te a fs. 58.909/58.912.</w:t>
      </w:r>
    </w:p>
    <w:p w:rsidR="00224567" w:rsidRDefault="00224567">
      <w:pPr>
        <w:widowControl w:val="0"/>
      </w:pPr>
      <w:r>
        <w:tab/>
        <w:t>Se advierte entonces que, efectivame</w:t>
      </w:r>
      <w:r>
        <w:t>n</w:t>
      </w:r>
      <w:r>
        <w:t>te, cuando Ribelli se alojó en el hotel, ya eran sus hué</w:t>
      </w:r>
      <w:r>
        <w:t>s</w:t>
      </w:r>
      <w:r>
        <w:t>pedes los int</w:t>
      </w:r>
      <w:r>
        <w:t>e</w:t>
      </w:r>
      <w:r>
        <w:t>grantes del grupo de rescate israelí.</w:t>
      </w:r>
    </w:p>
    <w:p w:rsidR="00224567" w:rsidRDefault="00224567">
      <w:pPr>
        <w:widowControl w:val="0"/>
      </w:pPr>
      <w:r>
        <w:tab/>
        <w:t>Sin embargo, y aquí es donde se a</w:t>
      </w:r>
      <w:r>
        <w:t>d</w:t>
      </w:r>
      <w:r>
        <w:t>vierte la grave f</w:t>
      </w:r>
      <w:r>
        <w:t>a</w:t>
      </w:r>
      <w:r>
        <w:t>lencia en el razonamiento del acusador, esta circunstancia no puede conducir a corroborar –ni s</w:t>
      </w:r>
      <w:r>
        <w:t>i</w:t>
      </w:r>
      <w:r>
        <w:t>quiera en forma indiciaria, como se pretende– que la est</w:t>
      </w:r>
      <w:r>
        <w:t>a</w:t>
      </w:r>
      <w:r>
        <w:t>día del imputado en ese alojamiento obedeciera al propós</w:t>
      </w:r>
      <w:r>
        <w:t>i</w:t>
      </w:r>
      <w:r>
        <w:t>to de investigar la a</w:t>
      </w:r>
      <w:r>
        <w:t>c</w:t>
      </w:r>
      <w:r>
        <w:t>tuación de los rescatistas.</w:t>
      </w:r>
    </w:p>
    <w:p w:rsidR="00224567" w:rsidRDefault="00224567">
      <w:pPr>
        <w:widowControl w:val="0"/>
      </w:pPr>
      <w:r>
        <w:tab/>
        <w:t>Ello, toda vez que se ha demostrado sobradamente –y por la misma prueba documental que utiliza la querella para incriminar a Ribelli– que éste se hosp</w:t>
      </w:r>
      <w:r>
        <w:t>e</w:t>
      </w:r>
      <w:r>
        <w:t>daba habitua</w:t>
      </w:r>
      <w:r>
        <w:t>l</w:t>
      </w:r>
      <w:r>
        <w:t>mente en ese establecimiento. Del informe ya citado surge que el imputado se alojó en ese hotel en veintiún oportunidades además de la destacada por la qu</w:t>
      </w:r>
      <w:r>
        <w:t>e</w:t>
      </w:r>
      <w:r>
        <w:t>rella. Así, ingresó a ese albergue en las siguientes f</w:t>
      </w:r>
      <w:r>
        <w:t>e</w:t>
      </w:r>
      <w:r>
        <w:t>chas: 6 de en</w:t>
      </w:r>
      <w:r>
        <w:t>e</w:t>
      </w:r>
      <w:r>
        <w:t>ro, 8 y 17 de marzo, 7 y 21 de abril, 12 de mayo, 2 de junio, 18 de agosto, 8  y 29 de se</w:t>
      </w:r>
      <w:r>
        <w:t>p</w:t>
      </w:r>
      <w:r>
        <w:t>tiembre, 18 y 31 de octubre, 17 de noviembre, 6 y 20 de diciembre, t</w:t>
      </w:r>
      <w:r>
        <w:t>o</w:t>
      </w:r>
      <w:r>
        <w:t>das de 1994, y al año siguiente el 5 y 18 de enero, 8 y 28 de marzo, 18 de abril y 24 de mayo.</w:t>
      </w:r>
    </w:p>
    <w:p w:rsidR="00224567" w:rsidRDefault="00224567">
      <w:pPr>
        <w:widowControl w:val="0"/>
      </w:pPr>
      <w:r>
        <w:tab/>
        <w:t>De este listado, que se encuentra agregado en la causa desde octubre de 1997, se desprende que Ribelli se hospedó en forma periódica en ese establ</w:t>
      </w:r>
      <w:r>
        <w:t>e</w:t>
      </w:r>
      <w:r>
        <w:t>cimiento. Consecuentemente, mal puede atribuirse el simu</w:t>
      </w:r>
      <w:r>
        <w:t>l</w:t>
      </w:r>
      <w:r>
        <w:t>táneo hospedaje de Ribelli y el grupo de rescate israelí en julio de 1994, como una prueba de su vigilancia hacia el gr</w:t>
      </w:r>
      <w:r>
        <w:t>u</w:t>
      </w:r>
      <w:r>
        <w:t>po, indicio éste, a su vez de su participación en el atentado. Al omitir el letrado de la querella toda cons</w:t>
      </w:r>
      <w:r>
        <w:t>i</w:t>
      </w:r>
      <w:r>
        <w:t>deración sobre los extremos apuntados, logra sostener su postura, pero con la misma suerte que un castillo de na</w:t>
      </w:r>
      <w:r>
        <w:t>i</w:t>
      </w:r>
      <w:r>
        <w:t>pes frente al s</w:t>
      </w:r>
      <w:r>
        <w:t>o</w:t>
      </w:r>
      <w:r>
        <w:t>plido de un niño.</w:t>
      </w:r>
    </w:p>
    <w:p w:rsidR="00224567" w:rsidRDefault="00224567">
      <w:pPr>
        <w:widowControl w:val="0"/>
      </w:pPr>
      <w:r>
        <w:tab/>
        <w:t>Cabe concluir entonces que el grosero error en el que incurrió el acusador particular, al di</w:t>
      </w:r>
      <w:r>
        <w:t>s</w:t>
      </w:r>
      <w:r>
        <w:t>criminar arbitrariamente la prueba c</w:t>
      </w:r>
      <w:r>
        <w:t>o</w:t>
      </w:r>
      <w:r>
        <w:t>lectada en la causa  –eludiendo toda aquella que resultara contraria a sus f</w:t>
      </w:r>
      <w:r>
        <w:t>i</w:t>
      </w:r>
      <w:r>
        <w:t>nes– a e</w:t>
      </w:r>
      <w:r>
        <w:t>s</w:t>
      </w:r>
      <w:r>
        <w:t>ta altura del examen de las constancias no puede atribuirse a un negligente desconocimiento de estas actu</w:t>
      </w:r>
      <w:r>
        <w:t>a</w:t>
      </w:r>
      <w:r>
        <w:t>ciones sino que es una muestra más de la mala fe con la que se pretendió sostener una imputación a todas luces i</w:t>
      </w:r>
      <w:r>
        <w:t>n</w:t>
      </w:r>
      <w:r>
        <w:t>viable.</w:t>
      </w:r>
    </w:p>
    <w:p w:rsidR="00224567" w:rsidRDefault="00224567">
      <w:pPr>
        <w:pStyle w:val="Ttulo6"/>
        <w:keepNext w:val="0"/>
        <w:widowControl w:val="0"/>
        <w:spacing w:line="600" w:lineRule="auto"/>
        <w:rPr>
          <w:rFonts w:cs="Courier New"/>
          <w:b w:val="0"/>
          <w:bCs/>
          <w:u w:val="none"/>
        </w:rPr>
      </w:pPr>
      <w:r>
        <w:rPr>
          <w:rFonts w:cs="Courier New"/>
          <w:u w:val="none"/>
        </w:rPr>
        <w:tab/>
      </w:r>
      <w:bookmarkStart w:id="226" w:name="_Toc86731994"/>
      <w:r>
        <w:rPr>
          <w:rFonts w:cs="Courier New"/>
          <w:u w:val="none"/>
        </w:rPr>
        <w:t>c.2.d.x)</w:t>
      </w:r>
      <w:bookmarkStart w:id="227" w:name="_Toc79905068"/>
      <w:r>
        <w:rPr>
          <w:rFonts w:cs="Courier New"/>
          <w:u w:val="none"/>
        </w:rPr>
        <w:t xml:space="preserve"> </w:t>
      </w:r>
      <w:r>
        <w:rPr>
          <w:rFonts w:cs="Courier New"/>
          <w:b w:val="0"/>
          <w:bCs/>
          <w:u w:val="none"/>
        </w:rPr>
        <w:t>Comportamiento anterior a la detención de los i</w:t>
      </w:r>
      <w:r>
        <w:rPr>
          <w:rFonts w:cs="Courier New"/>
          <w:b w:val="0"/>
          <w:bCs/>
          <w:u w:val="none"/>
        </w:rPr>
        <w:t>m</w:t>
      </w:r>
      <w:r>
        <w:rPr>
          <w:rFonts w:cs="Courier New"/>
          <w:b w:val="0"/>
          <w:bCs/>
          <w:u w:val="none"/>
        </w:rPr>
        <w:t>putados</w:t>
      </w:r>
      <w:bookmarkEnd w:id="226"/>
      <w:bookmarkEnd w:id="227"/>
      <w:r>
        <w:rPr>
          <w:rFonts w:cs="Courier New"/>
          <w:b w:val="0"/>
          <w:bCs/>
          <w:u w:val="none"/>
        </w:rPr>
        <w:t>.</w:t>
      </w:r>
    </w:p>
    <w:p w:rsidR="00224567" w:rsidRDefault="00224567">
      <w:pPr>
        <w:widowControl w:val="0"/>
      </w:pPr>
      <w:r>
        <w:tab/>
      </w:r>
      <w:r>
        <w:rPr>
          <w:b/>
          <w:bCs/>
        </w:rPr>
        <w:t>c.2.d.x.1</w:t>
      </w:r>
      <w:r>
        <w:rPr>
          <w:b/>
          <w:bCs/>
          <w:lang w:val="es-ES_tradnl"/>
        </w:rPr>
        <w:t>)</w:t>
      </w:r>
      <w:r>
        <w:rPr>
          <w:lang w:val="es-ES_tradnl"/>
        </w:rPr>
        <w:t xml:space="preserve"> </w:t>
      </w:r>
      <w:r>
        <w:t>Se señaló que el contenido de las conversaciones telefónicas entabladas entre los imputados era también una prueba de la participación en el ate</w:t>
      </w:r>
      <w:r>
        <w:t>n</w:t>
      </w:r>
      <w:r>
        <w:t>tado. A tal conclusión arribaron los acusadores luego de resaltar la preocupación que los incusados reflejaban por el acercamiento al anivers</w:t>
      </w:r>
      <w:r>
        <w:t>a</w:t>
      </w:r>
      <w:r>
        <w:t>rio de aquel evento.</w:t>
      </w:r>
    </w:p>
    <w:p w:rsidR="00224567" w:rsidRDefault="00224567">
      <w:pPr>
        <w:widowControl w:val="0"/>
      </w:pPr>
      <w:r>
        <w:tab/>
        <w:t>Para una mayor claridad en la expos</w:t>
      </w:r>
      <w:r>
        <w:t>i</w:t>
      </w:r>
      <w:r>
        <w:t>ción se consignarán las transcripciones de las escuchas provenientes de intervenciones telefónicas que fueron ut</w:t>
      </w:r>
      <w:r>
        <w:t>i</w:t>
      </w:r>
      <w:r>
        <w:t>liz</w:t>
      </w:r>
      <w:r>
        <w:t>a</w:t>
      </w:r>
      <w:r>
        <w:t>das como elementos de cargo.</w:t>
      </w:r>
    </w:p>
    <w:p w:rsidR="00224567" w:rsidRDefault="00224567">
      <w:pPr>
        <w:widowControl w:val="0"/>
        <w:numPr>
          <w:ilvl w:val="0"/>
          <w:numId w:val="8"/>
        </w:numPr>
        <w:rPr>
          <w:bCs/>
        </w:rPr>
      </w:pPr>
      <w:r>
        <w:rPr>
          <w:bCs/>
        </w:rPr>
        <w:t>Del 5 de julio de 1996, abonado 440-6746, casete 5, lado A, vuelta 1.200 (cuya trascripción obra a fs. 39.959/60)</w:t>
      </w:r>
    </w:p>
    <w:p w:rsidR="00224567" w:rsidRDefault="00224567">
      <w:pPr>
        <w:widowControl w:val="0"/>
        <w:rPr>
          <w:b/>
        </w:rPr>
      </w:pPr>
      <w:r>
        <w:tab/>
        <w:t xml:space="preserve">Llama al control Raúl Ibarra, atiende Juan </w:t>
      </w:r>
      <w:r>
        <w:rPr>
          <w:bCs/>
        </w:rPr>
        <w:t>Ribelli</w:t>
      </w:r>
      <w:r>
        <w:rPr>
          <w:b/>
        </w:rPr>
        <w:t>:</w:t>
      </w:r>
    </w:p>
    <w:p w:rsidR="00224567" w:rsidRDefault="00224567">
      <w:pPr>
        <w:widowControl w:val="0"/>
        <w:numPr>
          <w:ilvl w:val="0"/>
          <w:numId w:val="7"/>
        </w:numPr>
      </w:pPr>
      <w:r>
        <w:t>- Ribelli: .... don SISO anda viaja</w:t>
      </w:r>
      <w:r>
        <w:t>n</w:t>
      </w:r>
      <w:r>
        <w:t>do?</w:t>
      </w:r>
    </w:p>
    <w:p w:rsidR="00224567" w:rsidRDefault="00224567">
      <w:pPr>
        <w:widowControl w:val="0"/>
        <w:numPr>
          <w:ilvl w:val="0"/>
          <w:numId w:val="7"/>
        </w:numPr>
      </w:pPr>
      <w:r>
        <w:t>- Ibarra: si, todavía no me llamó, le dejé el  tel</w:t>
      </w:r>
      <w:r>
        <w:t>é</w:t>
      </w:r>
      <w:r>
        <w:t>fono  de casa y el teléfono de acá, te  llamo a la tarde, y no me llamó, ¿viste?</w:t>
      </w:r>
    </w:p>
    <w:p w:rsidR="00224567" w:rsidRDefault="00224567">
      <w:pPr>
        <w:widowControl w:val="0"/>
        <w:numPr>
          <w:ilvl w:val="0"/>
          <w:numId w:val="7"/>
        </w:numPr>
      </w:pPr>
      <w:r>
        <w:t>- Ribelli: Está bien.</w:t>
      </w:r>
    </w:p>
    <w:p w:rsidR="00224567" w:rsidRDefault="00224567">
      <w:pPr>
        <w:widowControl w:val="0"/>
        <w:numPr>
          <w:ilvl w:val="0"/>
          <w:numId w:val="7"/>
        </w:numPr>
      </w:pPr>
      <w:r>
        <w:t>- Ibarra: Así que estoy esperando que  venga  esta  mina, a ver si le  puedo poner cobertura nacional p</w:t>
      </w:r>
      <w:r>
        <w:t>a</w:t>
      </w:r>
      <w:r>
        <w:t>ra t</w:t>
      </w:r>
      <w:r>
        <w:t>i</w:t>
      </w:r>
      <w:r>
        <w:t>rarle un radio, ¿viste?</w:t>
      </w:r>
    </w:p>
    <w:p w:rsidR="00224567" w:rsidRDefault="00224567">
      <w:pPr>
        <w:widowControl w:val="0"/>
        <w:numPr>
          <w:ilvl w:val="0"/>
          <w:numId w:val="7"/>
        </w:numPr>
      </w:pPr>
      <w:r>
        <w:t>- Ribelli: Está bien.</w:t>
      </w:r>
    </w:p>
    <w:p w:rsidR="00224567" w:rsidRDefault="00224567">
      <w:pPr>
        <w:widowControl w:val="0"/>
        <w:numPr>
          <w:ilvl w:val="0"/>
          <w:numId w:val="7"/>
        </w:numPr>
      </w:pPr>
      <w:r>
        <w:t>- Ibarra: Así que ... dejó el coche de él, lo tengo acá, tengo la llave, tengo todo así que...</w:t>
      </w:r>
    </w:p>
    <w:p w:rsidR="00224567" w:rsidRDefault="00224567">
      <w:pPr>
        <w:widowControl w:val="0"/>
        <w:numPr>
          <w:ilvl w:val="0"/>
          <w:numId w:val="7"/>
        </w:numPr>
      </w:pPr>
      <w:r>
        <w:t>- Ribelli: Está bien.</w:t>
      </w:r>
    </w:p>
    <w:p w:rsidR="00224567" w:rsidRDefault="00224567">
      <w:pPr>
        <w:widowControl w:val="0"/>
        <w:numPr>
          <w:ilvl w:val="0"/>
          <w:numId w:val="7"/>
        </w:numPr>
      </w:pPr>
      <w:r>
        <w:t>- Ibarra: Bueno JUAN.</w:t>
      </w:r>
    </w:p>
    <w:p w:rsidR="00224567" w:rsidRDefault="00224567">
      <w:pPr>
        <w:widowControl w:val="0"/>
        <w:numPr>
          <w:ilvl w:val="0"/>
          <w:numId w:val="7"/>
        </w:numPr>
      </w:pPr>
      <w:r>
        <w:t>- Ribelli: Y bueno tengan todo prolijo porque ... no  nos olvidemos que ESTAMOS CERCA DEL ANIVE</w:t>
      </w:r>
      <w:r>
        <w:t>R</w:t>
      </w:r>
      <w:r>
        <w:t>SARIO.</w:t>
      </w:r>
    </w:p>
    <w:p w:rsidR="00224567" w:rsidRDefault="00224567">
      <w:pPr>
        <w:widowControl w:val="0"/>
        <w:numPr>
          <w:ilvl w:val="0"/>
          <w:numId w:val="7"/>
        </w:numPr>
      </w:pPr>
      <w:r>
        <w:t>- Ibarra: ... Si no?</w:t>
      </w:r>
    </w:p>
    <w:p w:rsidR="00224567" w:rsidRDefault="00224567">
      <w:pPr>
        <w:widowControl w:val="0"/>
        <w:numPr>
          <w:ilvl w:val="0"/>
          <w:numId w:val="7"/>
        </w:numPr>
      </w:pPr>
      <w:r>
        <w:t>- Ribelli: No?</w:t>
      </w:r>
    </w:p>
    <w:p w:rsidR="00224567" w:rsidRDefault="00224567">
      <w:pPr>
        <w:widowControl w:val="0"/>
        <w:numPr>
          <w:ilvl w:val="0"/>
          <w:numId w:val="7"/>
        </w:numPr>
      </w:pPr>
      <w:r>
        <w:t>- Ibarra: Mmm</w:t>
      </w:r>
    </w:p>
    <w:p w:rsidR="00224567" w:rsidRDefault="00224567">
      <w:pPr>
        <w:widowControl w:val="0"/>
        <w:numPr>
          <w:ilvl w:val="0"/>
          <w:numId w:val="7"/>
        </w:numPr>
      </w:pPr>
      <w:r>
        <w:t>- Ribelli: Qué decís vos?</w:t>
      </w:r>
    </w:p>
    <w:p w:rsidR="00224567" w:rsidRDefault="00224567">
      <w:pPr>
        <w:widowControl w:val="0"/>
        <w:numPr>
          <w:ilvl w:val="0"/>
          <w:numId w:val="7"/>
        </w:numPr>
      </w:pPr>
      <w:r>
        <w:t>- Ibarra: Y está bien JUAN, estamos dispuestos, qué va a ser ... cuando llegue ... (interrumpe Rib</w:t>
      </w:r>
      <w:r>
        <w:t>e</w:t>
      </w:r>
      <w:r>
        <w:t>lli)</w:t>
      </w:r>
    </w:p>
    <w:p w:rsidR="00224567" w:rsidRDefault="00224567">
      <w:pPr>
        <w:widowControl w:val="0"/>
        <w:numPr>
          <w:ilvl w:val="0"/>
          <w:numId w:val="7"/>
        </w:numPr>
      </w:pPr>
      <w:r>
        <w:t>- Ribelli: No, ya sé , pero te d</w:t>
      </w:r>
      <w:r>
        <w:t>i</w:t>
      </w:r>
      <w:r>
        <w:t>go...</w:t>
      </w:r>
    </w:p>
    <w:p w:rsidR="00224567" w:rsidRDefault="00224567">
      <w:pPr>
        <w:widowControl w:val="0"/>
        <w:numPr>
          <w:ilvl w:val="0"/>
          <w:numId w:val="7"/>
        </w:numPr>
      </w:pPr>
      <w:r>
        <w:t>- Ibarra: Mmm ... está bien.</w:t>
      </w:r>
    </w:p>
    <w:p w:rsidR="00224567" w:rsidRDefault="00224567">
      <w:pPr>
        <w:widowControl w:val="0"/>
        <w:numPr>
          <w:ilvl w:val="0"/>
          <w:numId w:val="7"/>
        </w:numPr>
      </w:pPr>
      <w:r>
        <w:t>- Ribelli: NO?</w:t>
      </w:r>
    </w:p>
    <w:p w:rsidR="00224567" w:rsidRDefault="00224567">
      <w:pPr>
        <w:widowControl w:val="0"/>
        <w:numPr>
          <w:ilvl w:val="0"/>
          <w:numId w:val="7"/>
        </w:numPr>
      </w:pPr>
      <w:r>
        <w:t>- Ibarra: Está bien</w:t>
      </w:r>
    </w:p>
    <w:p w:rsidR="00224567" w:rsidRDefault="00224567">
      <w:pPr>
        <w:widowControl w:val="0"/>
        <w:numPr>
          <w:ilvl w:val="0"/>
          <w:numId w:val="7"/>
        </w:numPr>
      </w:pPr>
      <w:r>
        <w:t>- Ribelli: (ríe)</w:t>
      </w:r>
    </w:p>
    <w:p w:rsidR="00224567" w:rsidRDefault="00224567">
      <w:pPr>
        <w:widowControl w:val="0"/>
        <w:numPr>
          <w:ilvl w:val="0"/>
          <w:numId w:val="7"/>
        </w:numPr>
      </w:pPr>
      <w:r>
        <w:t>- Ibarra: qué querés que te diga ...</w:t>
      </w:r>
    </w:p>
    <w:p w:rsidR="00224567" w:rsidRDefault="00224567">
      <w:pPr>
        <w:widowControl w:val="0"/>
        <w:numPr>
          <w:ilvl w:val="0"/>
          <w:numId w:val="7"/>
        </w:numPr>
      </w:pPr>
      <w:r>
        <w:t>- Ribelli: y bueno, pero ...</w:t>
      </w:r>
    </w:p>
    <w:p w:rsidR="00224567" w:rsidRDefault="00224567">
      <w:pPr>
        <w:widowControl w:val="0"/>
        <w:numPr>
          <w:ilvl w:val="0"/>
          <w:numId w:val="7"/>
        </w:numPr>
      </w:pPr>
      <w:r>
        <w:t>- Ibarra: no me voy a dar a la fuga, tranquilo me quedo</w:t>
      </w:r>
    </w:p>
    <w:p w:rsidR="00224567" w:rsidRDefault="00224567">
      <w:pPr>
        <w:widowControl w:val="0"/>
        <w:numPr>
          <w:ilvl w:val="0"/>
          <w:numId w:val="7"/>
        </w:numPr>
      </w:pPr>
      <w:r>
        <w:t>- Ribelli: más bien que no</w:t>
      </w:r>
    </w:p>
    <w:p w:rsidR="00224567" w:rsidRDefault="00224567">
      <w:pPr>
        <w:widowControl w:val="0"/>
        <w:numPr>
          <w:ilvl w:val="0"/>
          <w:numId w:val="7"/>
        </w:numPr>
      </w:pPr>
      <w:r>
        <w:t>- Ibarra: y bueno ...</w:t>
      </w:r>
    </w:p>
    <w:p w:rsidR="00224567" w:rsidRDefault="00224567">
      <w:pPr>
        <w:widowControl w:val="0"/>
        <w:numPr>
          <w:ilvl w:val="0"/>
          <w:numId w:val="7"/>
        </w:numPr>
      </w:pPr>
      <w:r>
        <w:t>- Ribelli: yo menos ... escuchame ...</w:t>
      </w:r>
    </w:p>
    <w:p w:rsidR="00224567" w:rsidRDefault="00224567">
      <w:pPr>
        <w:widowControl w:val="0"/>
        <w:numPr>
          <w:ilvl w:val="0"/>
          <w:numId w:val="7"/>
        </w:numPr>
      </w:pPr>
      <w:r>
        <w:t>- Ibarra: así que pasaran por sable nomás ... y bu</w:t>
      </w:r>
      <w:r>
        <w:t>e</w:t>
      </w:r>
      <w:r>
        <w:t>no</w:t>
      </w:r>
    </w:p>
    <w:p w:rsidR="00224567" w:rsidRDefault="00224567">
      <w:pPr>
        <w:widowControl w:val="0"/>
        <w:numPr>
          <w:ilvl w:val="0"/>
          <w:numId w:val="7"/>
        </w:numPr>
      </w:pPr>
      <w:r>
        <w:t>- Ribelli: más bien</w:t>
      </w:r>
    </w:p>
    <w:p w:rsidR="00224567" w:rsidRDefault="00224567">
      <w:pPr>
        <w:widowControl w:val="0"/>
        <w:numPr>
          <w:ilvl w:val="0"/>
          <w:numId w:val="7"/>
        </w:numPr>
      </w:pPr>
      <w:r>
        <w:t>- Ibarra: los saludaremos, estaremos uniformados</w:t>
      </w:r>
    </w:p>
    <w:p w:rsidR="00224567" w:rsidRDefault="00224567">
      <w:pPr>
        <w:widowControl w:val="0"/>
        <w:numPr>
          <w:ilvl w:val="0"/>
          <w:numId w:val="7"/>
        </w:numPr>
      </w:pPr>
      <w:r>
        <w:t>- Ribelli: bueno</w:t>
      </w:r>
    </w:p>
    <w:p w:rsidR="00224567" w:rsidRDefault="00224567">
      <w:pPr>
        <w:widowControl w:val="0"/>
        <w:numPr>
          <w:ilvl w:val="0"/>
          <w:numId w:val="7"/>
        </w:numPr>
      </w:pPr>
      <w:r>
        <w:t>- Ibarra: eh juancito?</w:t>
      </w:r>
    </w:p>
    <w:p w:rsidR="00224567" w:rsidRDefault="00224567">
      <w:pPr>
        <w:widowControl w:val="0"/>
        <w:numPr>
          <w:ilvl w:val="0"/>
          <w:numId w:val="7"/>
        </w:numPr>
      </w:pPr>
      <w:r>
        <w:t>- Ribelli: eh, esperá que había dos boludeces más que te tenía que decir ... (luego hablan sobre Espósito el que debe coordinar un servicio para el día l</w:t>
      </w:r>
      <w:r>
        <w:t>u</w:t>
      </w:r>
      <w:r>
        <w:t>nes, y que debe llamarlo a Ribelli y cortan)</w:t>
      </w:r>
    </w:p>
    <w:p w:rsidR="00224567" w:rsidRDefault="00224567">
      <w:pPr>
        <w:widowControl w:val="0"/>
        <w:numPr>
          <w:ilvl w:val="0"/>
          <w:numId w:val="8"/>
        </w:numPr>
        <w:rPr>
          <w:bCs/>
        </w:rPr>
      </w:pPr>
      <w:r>
        <w:rPr>
          <w:bCs/>
        </w:rPr>
        <w:t>Del 8 de julio de 1996, abonado 425-8982, casete 12, lado A, vuelta 1.222 (cuya trascripción obra a fs. 39.961/60)</w:t>
      </w:r>
    </w:p>
    <w:p w:rsidR="00224567" w:rsidRDefault="00224567">
      <w:pPr>
        <w:widowControl w:val="0"/>
      </w:pPr>
      <w:r>
        <w:tab/>
        <w:t>Llama al control Raúl, atiende Raúl Ibarra</w:t>
      </w:r>
    </w:p>
    <w:p w:rsidR="00224567" w:rsidRDefault="00224567">
      <w:pPr>
        <w:widowControl w:val="0"/>
        <w:numPr>
          <w:ilvl w:val="0"/>
          <w:numId w:val="7"/>
        </w:numPr>
      </w:pPr>
      <w:r>
        <w:t xml:space="preserve">- </w:t>
      </w:r>
      <w:r>
        <w:rPr>
          <w:bCs/>
        </w:rPr>
        <w:t>Raúl: ¿dónde andás?</w:t>
      </w:r>
    </w:p>
    <w:p w:rsidR="00224567" w:rsidRDefault="00224567">
      <w:pPr>
        <w:widowControl w:val="0"/>
        <w:numPr>
          <w:ilvl w:val="0"/>
          <w:numId w:val="7"/>
        </w:numPr>
      </w:pPr>
      <w:r>
        <w:t xml:space="preserve">- </w:t>
      </w:r>
      <w:r>
        <w:rPr>
          <w:bCs/>
        </w:rPr>
        <w:t>Ibarra: estoy por Retiro. ¿Recibi</w:t>
      </w:r>
      <w:r>
        <w:rPr>
          <w:bCs/>
        </w:rPr>
        <w:t>s</w:t>
      </w:r>
      <w:r>
        <w:rPr>
          <w:bCs/>
        </w:rPr>
        <w:t>te el radio hoy?</w:t>
      </w:r>
    </w:p>
    <w:p w:rsidR="00224567" w:rsidRDefault="00224567">
      <w:pPr>
        <w:widowControl w:val="0"/>
        <w:numPr>
          <w:ilvl w:val="0"/>
          <w:numId w:val="7"/>
        </w:numPr>
      </w:pPr>
      <w:r>
        <w:t xml:space="preserve">- </w:t>
      </w:r>
      <w:r>
        <w:rPr>
          <w:bCs/>
        </w:rPr>
        <w:t>Raúl: sí, ando en camino</w:t>
      </w:r>
    </w:p>
    <w:p w:rsidR="00224567" w:rsidRDefault="00224567">
      <w:pPr>
        <w:widowControl w:val="0"/>
        <w:numPr>
          <w:ilvl w:val="0"/>
          <w:numId w:val="7"/>
        </w:numPr>
      </w:pPr>
      <w:r>
        <w:t xml:space="preserve">- </w:t>
      </w:r>
      <w:r>
        <w:rPr>
          <w:bCs/>
        </w:rPr>
        <w:t>Ibarra: acá yo llevo el equipo tuyo</w:t>
      </w:r>
    </w:p>
    <w:p w:rsidR="00224567" w:rsidRDefault="00224567">
      <w:pPr>
        <w:widowControl w:val="0"/>
        <w:numPr>
          <w:ilvl w:val="0"/>
          <w:numId w:val="7"/>
        </w:numPr>
      </w:pPr>
      <w:r>
        <w:t xml:space="preserve">- </w:t>
      </w:r>
      <w:r>
        <w:rPr>
          <w:bCs/>
        </w:rPr>
        <w:t>Raúl: ¿Cuánto vas a tardar, una hora vos ...?</w:t>
      </w:r>
    </w:p>
    <w:p w:rsidR="00224567" w:rsidRDefault="00224567">
      <w:pPr>
        <w:widowControl w:val="0"/>
        <w:numPr>
          <w:ilvl w:val="0"/>
          <w:numId w:val="7"/>
        </w:numPr>
      </w:pPr>
      <w:r>
        <w:t xml:space="preserve">- </w:t>
      </w:r>
      <w:r>
        <w:rPr>
          <w:bCs/>
        </w:rPr>
        <w:t>Ibarra: Y ... más o menos, porque tenía que ir a notificarlo también a Aguilera de una pericia que iban a hacer con fecha vieja, ¿viste? Así que ... ¿querés que le deje el equipo a Alfredo y después lo pasás a buscar mañana? No sé como qui</w:t>
      </w:r>
      <w:r>
        <w:rPr>
          <w:bCs/>
        </w:rPr>
        <w:t>e</w:t>
      </w:r>
      <w:r>
        <w:rPr>
          <w:bCs/>
        </w:rPr>
        <w:t>ras vos</w:t>
      </w:r>
    </w:p>
    <w:p w:rsidR="00224567" w:rsidRDefault="00224567">
      <w:pPr>
        <w:widowControl w:val="0"/>
        <w:numPr>
          <w:ilvl w:val="0"/>
          <w:numId w:val="7"/>
        </w:numPr>
      </w:pPr>
      <w:r>
        <w:t xml:space="preserve">- </w:t>
      </w:r>
      <w:r>
        <w:rPr>
          <w:bCs/>
        </w:rPr>
        <w:t>Raúl: Bueno, mejor</w:t>
      </w:r>
    </w:p>
    <w:p w:rsidR="00224567" w:rsidRDefault="00224567">
      <w:pPr>
        <w:widowControl w:val="0"/>
        <w:numPr>
          <w:ilvl w:val="0"/>
          <w:numId w:val="7"/>
        </w:numPr>
      </w:pPr>
      <w:r>
        <w:t xml:space="preserve">- </w:t>
      </w:r>
      <w:r>
        <w:rPr>
          <w:bCs/>
        </w:rPr>
        <w:t>Ibarra: Todo bien che ... todo bien</w:t>
      </w:r>
    </w:p>
    <w:p w:rsidR="00224567" w:rsidRDefault="00224567">
      <w:pPr>
        <w:widowControl w:val="0"/>
        <w:numPr>
          <w:ilvl w:val="0"/>
          <w:numId w:val="7"/>
        </w:numPr>
      </w:pPr>
      <w:r>
        <w:t xml:space="preserve">- </w:t>
      </w:r>
      <w:r>
        <w:rPr>
          <w:bCs/>
        </w:rPr>
        <w:t>Raúl: Todo bien, ¿no?</w:t>
      </w:r>
    </w:p>
    <w:p w:rsidR="00224567" w:rsidRDefault="00224567">
      <w:pPr>
        <w:widowControl w:val="0"/>
        <w:numPr>
          <w:ilvl w:val="0"/>
          <w:numId w:val="7"/>
        </w:numPr>
      </w:pPr>
      <w:r>
        <w:t xml:space="preserve">- </w:t>
      </w:r>
      <w:r>
        <w:rPr>
          <w:bCs/>
        </w:rPr>
        <w:t>Ibarra: ah ... de diez ...</w:t>
      </w:r>
    </w:p>
    <w:p w:rsidR="00224567" w:rsidRDefault="00224567">
      <w:pPr>
        <w:widowControl w:val="0"/>
        <w:numPr>
          <w:ilvl w:val="0"/>
          <w:numId w:val="7"/>
        </w:numPr>
      </w:pPr>
      <w:r>
        <w:t xml:space="preserve">- </w:t>
      </w:r>
      <w:r>
        <w:rPr>
          <w:bCs/>
        </w:rPr>
        <w:t>Raúl: bueno</w:t>
      </w:r>
    </w:p>
    <w:p w:rsidR="00224567" w:rsidRDefault="00224567">
      <w:pPr>
        <w:widowControl w:val="0"/>
        <w:numPr>
          <w:ilvl w:val="0"/>
          <w:numId w:val="7"/>
        </w:numPr>
      </w:pPr>
      <w:r>
        <w:t xml:space="preserve">- </w:t>
      </w:r>
      <w:r>
        <w:rPr>
          <w:bCs/>
        </w:rPr>
        <w:t>Ibarra: ese Juan está que corta bulones con el o</w:t>
      </w:r>
      <w:r>
        <w:rPr>
          <w:bCs/>
        </w:rPr>
        <w:t>r</w:t>
      </w:r>
      <w:r>
        <w:rPr>
          <w:bCs/>
        </w:rPr>
        <w:t>to... !</w:t>
      </w:r>
    </w:p>
    <w:p w:rsidR="00224567" w:rsidRDefault="00224567">
      <w:pPr>
        <w:widowControl w:val="0"/>
        <w:numPr>
          <w:ilvl w:val="0"/>
          <w:numId w:val="7"/>
        </w:numPr>
      </w:pPr>
      <w:r>
        <w:t xml:space="preserve">- </w:t>
      </w:r>
      <w:r>
        <w:rPr>
          <w:bCs/>
        </w:rPr>
        <w:t>Raúl: (ríe) estamos todos así</w:t>
      </w:r>
    </w:p>
    <w:p w:rsidR="00224567" w:rsidRDefault="00224567">
      <w:pPr>
        <w:widowControl w:val="0"/>
        <w:numPr>
          <w:ilvl w:val="0"/>
          <w:numId w:val="7"/>
        </w:numPr>
      </w:pPr>
      <w:r>
        <w:t xml:space="preserve">- </w:t>
      </w:r>
      <w:r>
        <w:rPr>
          <w:bCs/>
        </w:rPr>
        <w:t>Ibarra: claro, y por ... me dice mirá que ahora viene el ..., ¿por dónde estás hablando vos?</w:t>
      </w:r>
    </w:p>
    <w:p w:rsidR="00224567" w:rsidRDefault="00224567">
      <w:pPr>
        <w:widowControl w:val="0"/>
        <w:numPr>
          <w:ilvl w:val="0"/>
          <w:numId w:val="7"/>
        </w:numPr>
      </w:pPr>
      <w:r>
        <w:t xml:space="preserve">- </w:t>
      </w:r>
      <w:r>
        <w:rPr>
          <w:bCs/>
        </w:rPr>
        <w:t>Raúl: yo por el Movicom</w:t>
      </w:r>
    </w:p>
    <w:p w:rsidR="00224567" w:rsidRDefault="00224567">
      <w:pPr>
        <w:widowControl w:val="0"/>
        <w:numPr>
          <w:ilvl w:val="0"/>
          <w:numId w:val="7"/>
        </w:numPr>
      </w:pPr>
      <w:r>
        <w:t xml:space="preserve">- </w:t>
      </w:r>
      <w:r>
        <w:rPr>
          <w:bCs/>
        </w:rPr>
        <w:t xml:space="preserve">Ibarra: ah, me dice Juan: mirá que ahora viene el tema de </w:t>
      </w:r>
      <w:smartTag w:uri="urn:schemas-microsoft-com:office:smarttags" w:element="PersonName">
        <w:smartTagPr>
          <w:attr w:name="ProductID" w:val="la A.M"/>
        </w:smartTagPr>
        <w:r>
          <w:rPr>
            <w:bCs/>
          </w:rPr>
          <w:t>la A.M</w:t>
        </w:r>
      </w:smartTag>
      <w:r>
        <w:rPr>
          <w:bCs/>
        </w:rPr>
        <w:t>.I.A. ..., la puta que te parió le digo ... ¡! Y me dice mirá, no ... mirá que alguna n</w:t>
      </w:r>
      <w:r>
        <w:rPr>
          <w:bCs/>
        </w:rPr>
        <w:t>o</w:t>
      </w:r>
      <w:r>
        <w:rPr>
          <w:bCs/>
        </w:rPr>
        <w:t>vedad va a haber ..., la concha de tu hermana, Juan ... ¡!</w:t>
      </w:r>
    </w:p>
    <w:p w:rsidR="00224567" w:rsidRDefault="00224567">
      <w:pPr>
        <w:widowControl w:val="0"/>
        <w:numPr>
          <w:ilvl w:val="0"/>
          <w:numId w:val="7"/>
        </w:numPr>
      </w:pPr>
      <w:r>
        <w:t xml:space="preserve">- </w:t>
      </w:r>
      <w:r>
        <w:rPr>
          <w:bCs/>
        </w:rPr>
        <w:t>Raúl: ¿qué ...?</w:t>
      </w:r>
    </w:p>
    <w:p w:rsidR="00224567" w:rsidRDefault="00224567">
      <w:pPr>
        <w:widowControl w:val="0"/>
        <w:numPr>
          <w:ilvl w:val="0"/>
          <w:numId w:val="7"/>
        </w:numPr>
      </w:pPr>
      <w:r>
        <w:t xml:space="preserve">- </w:t>
      </w:r>
      <w:r>
        <w:rPr>
          <w:bCs/>
        </w:rPr>
        <w:t>Ibarra: me dice alguna novedad capaz que va a h</w:t>
      </w:r>
      <w:r>
        <w:rPr>
          <w:bCs/>
        </w:rPr>
        <w:t>a</w:t>
      </w:r>
      <w:r>
        <w:rPr>
          <w:bCs/>
        </w:rPr>
        <w:t xml:space="preserve">ber, me dice ..., me decía Juan ..., por el tema de </w:t>
      </w:r>
      <w:smartTag w:uri="urn:schemas-microsoft-com:office:smarttags" w:element="PersonName">
        <w:smartTagPr>
          <w:attr w:name="ProductID" w:val="la A.M"/>
        </w:smartTagPr>
        <w:r>
          <w:rPr>
            <w:bCs/>
          </w:rPr>
          <w:t>la A.M</w:t>
        </w:r>
      </w:smartTag>
      <w:r>
        <w:rPr>
          <w:bCs/>
        </w:rPr>
        <w:t>.I.A., ¿viste?</w:t>
      </w:r>
    </w:p>
    <w:p w:rsidR="00224567" w:rsidRDefault="00224567">
      <w:pPr>
        <w:widowControl w:val="0"/>
        <w:numPr>
          <w:ilvl w:val="0"/>
          <w:numId w:val="7"/>
        </w:numPr>
      </w:pPr>
      <w:r>
        <w:t xml:space="preserve">- </w:t>
      </w:r>
      <w:r>
        <w:rPr>
          <w:bCs/>
        </w:rPr>
        <w:t>Raúl: ah ... Juan ... qué hijo de puta qué es .. !</w:t>
      </w:r>
    </w:p>
    <w:p w:rsidR="00224567" w:rsidRDefault="00224567">
      <w:pPr>
        <w:widowControl w:val="0"/>
      </w:pPr>
      <w:r>
        <w:tab/>
        <w:t>Se interrumpe la comunicación</w:t>
      </w:r>
    </w:p>
    <w:p w:rsidR="00224567" w:rsidRDefault="00224567">
      <w:pPr>
        <w:widowControl w:val="0"/>
        <w:numPr>
          <w:ilvl w:val="0"/>
          <w:numId w:val="8"/>
        </w:numPr>
        <w:rPr>
          <w:bCs/>
        </w:rPr>
      </w:pPr>
      <w:r>
        <w:rPr>
          <w:bCs/>
        </w:rPr>
        <w:t>Del 12 de julio de 1996, abonado 440-6746, casete 59, lado B, vuelta 1.845 (cuya trascripción obra a fs. 39.923/5)</w:t>
      </w:r>
    </w:p>
    <w:p w:rsidR="00224567" w:rsidRDefault="00224567">
      <w:pPr>
        <w:widowControl w:val="0"/>
      </w:pPr>
      <w:r>
        <w:tab/>
        <w:t>Llama desde el control Juan Ribelli, atiende una dama d</w:t>
      </w:r>
      <w:r>
        <w:t>i</w:t>
      </w:r>
      <w:r>
        <w:t>ciendo “Privada de investigaciones”</w:t>
      </w:r>
    </w:p>
    <w:p w:rsidR="00224567" w:rsidRDefault="00224567">
      <w:pPr>
        <w:widowControl w:val="0"/>
      </w:pPr>
      <w:r>
        <w:tab/>
        <w:t>Se saludan, Ribelli le solicita a h</w:t>
      </w:r>
      <w:r>
        <w:t>a</w:t>
      </w:r>
      <w:r>
        <w:t>blar con Menno, se pone al habla un señor Menno, se sal</w:t>
      </w:r>
      <w:r>
        <w:t>u</w:t>
      </w:r>
      <w:r>
        <w:t>dan</w:t>
      </w:r>
    </w:p>
    <w:p w:rsidR="00224567" w:rsidRDefault="00224567">
      <w:pPr>
        <w:widowControl w:val="0"/>
        <w:numPr>
          <w:ilvl w:val="0"/>
          <w:numId w:val="7"/>
        </w:numPr>
      </w:pPr>
      <w:r>
        <w:t xml:space="preserve">- </w:t>
      </w:r>
      <w:r>
        <w:rPr>
          <w:bCs/>
        </w:rPr>
        <w:t>Ribelli: Ya tengo el pasaje suyo</w:t>
      </w:r>
    </w:p>
    <w:p w:rsidR="00224567" w:rsidRDefault="00224567">
      <w:pPr>
        <w:widowControl w:val="0"/>
        <w:numPr>
          <w:ilvl w:val="0"/>
          <w:numId w:val="7"/>
        </w:numPr>
      </w:pPr>
      <w:r>
        <w:t xml:space="preserve">- </w:t>
      </w:r>
      <w:r>
        <w:rPr>
          <w:bCs/>
        </w:rPr>
        <w:t>Menno: sí, me podés escuchar un segu</w:t>
      </w:r>
      <w:r>
        <w:rPr>
          <w:bCs/>
        </w:rPr>
        <w:t>n</w:t>
      </w:r>
      <w:r>
        <w:rPr>
          <w:bCs/>
        </w:rPr>
        <w:t>do ...</w:t>
      </w:r>
    </w:p>
    <w:p w:rsidR="00224567" w:rsidRDefault="00224567">
      <w:pPr>
        <w:widowControl w:val="0"/>
        <w:numPr>
          <w:ilvl w:val="0"/>
          <w:numId w:val="7"/>
        </w:numPr>
      </w:pPr>
      <w:r>
        <w:t xml:space="preserve">- </w:t>
      </w:r>
      <w:r>
        <w:rPr>
          <w:bCs/>
        </w:rPr>
        <w:t>Ribelli: sí ...</w:t>
      </w:r>
    </w:p>
    <w:p w:rsidR="00224567" w:rsidRDefault="00224567">
      <w:pPr>
        <w:widowControl w:val="0"/>
        <w:numPr>
          <w:ilvl w:val="0"/>
          <w:numId w:val="7"/>
        </w:numPr>
      </w:pPr>
      <w:r>
        <w:t xml:space="preserve">- </w:t>
      </w:r>
      <w:r>
        <w:rPr>
          <w:bCs/>
        </w:rPr>
        <w:t>Menno: entre nosotros ...</w:t>
      </w:r>
    </w:p>
    <w:p w:rsidR="00224567" w:rsidRDefault="00224567">
      <w:pPr>
        <w:widowControl w:val="0"/>
        <w:numPr>
          <w:ilvl w:val="0"/>
          <w:numId w:val="7"/>
        </w:numPr>
      </w:pPr>
      <w:r>
        <w:t xml:space="preserve">- </w:t>
      </w:r>
      <w:r>
        <w:rPr>
          <w:bCs/>
        </w:rPr>
        <w:t>Ribelli: sí</w:t>
      </w:r>
    </w:p>
    <w:p w:rsidR="00224567" w:rsidRDefault="00224567">
      <w:pPr>
        <w:widowControl w:val="0"/>
        <w:numPr>
          <w:ilvl w:val="0"/>
          <w:numId w:val="7"/>
        </w:numPr>
      </w:pPr>
      <w:r>
        <w:t xml:space="preserve">- </w:t>
      </w:r>
      <w:r>
        <w:rPr>
          <w:bCs/>
        </w:rPr>
        <w:t>Menno: ahí lo llamó el jefe de policía al tano y le dijo que vaya urgente a arriba que hay una mala not</w:t>
      </w:r>
      <w:r>
        <w:rPr>
          <w:bCs/>
        </w:rPr>
        <w:t>i</w:t>
      </w:r>
      <w:r>
        <w:rPr>
          <w:bCs/>
        </w:rPr>
        <w:t>cia</w:t>
      </w:r>
    </w:p>
    <w:p w:rsidR="00224567" w:rsidRDefault="00224567">
      <w:pPr>
        <w:widowControl w:val="0"/>
        <w:numPr>
          <w:ilvl w:val="0"/>
          <w:numId w:val="7"/>
        </w:numPr>
      </w:pPr>
      <w:r>
        <w:t xml:space="preserve">- </w:t>
      </w:r>
      <w:r>
        <w:rPr>
          <w:bCs/>
        </w:rPr>
        <w:t>Ribelli: qué lo parió ...</w:t>
      </w:r>
    </w:p>
    <w:p w:rsidR="00224567" w:rsidRDefault="00224567">
      <w:pPr>
        <w:widowControl w:val="0"/>
        <w:numPr>
          <w:ilvl w:val="0"/>
          <w:numId w:val="7"/>
        </w:numPr>
      </w:pPr>
      <w:r>
        <w:t xml:space="preserve">- </w:t>
      </w:r>
      <w:r>
        <w:rPr>
          <w:bCs/>
        </w:rPr>
        <w:t>Menno: están reunidos ... él ... Piotti, Pérez C</w:t>
      </w:r>
      <w:r>
        <w:rPr>
          <w:bCs/>
        </w:rPr>
        <w:t>a</w:t>
      </w:r>
      <w:r>
        <w:rPr>
          <w:bCs/>
        </w:rPr>
        <w:t>rrega y el subjefe ...</w:t>
      </w:r>
    </w:p>
    <w:p w:rsidR="00224567" w:rsidRDefault="00224567">
      <w:pPr>
        <w:widowControl w:val="0"/>
        <w:numPr>
          <w:ilvl w:val="0"/>
          <w:numId w:val="7"/>
        </w:numPr>
      </w:pPr>
      <w:r>
        <w:t xml:space="preserve">- </w:t>
      </w:r>
      <w:r>
        <w:rPr>
          <w:bCs/>
        </w:rPr>
        <w:t>Ribelli: uh ... ya sé lo que es e</w:t>
      </w:r>
      <w:r>
        <w:rPr>
          <w:bCs/>
        </w:rPr>
        <w:t>s</w:t>
      </w:r>
      <w:r>
        <w:rPr>
          <w:bCs/>
        </w:rPr>
        <w:t>to ...</w:t>
      </w:r>
    </w:p>
    <w:p w:rsidR="00224567" w:rsidRDefault="00224567">
      <w:pPr>
        <w:widowControl w:val="0"/>
        <w:numPr>
          <w:ilvl w:val="0"/>
          <w:numId w:val="7"/>
        </w:numPr>
      </w:pPr>
      <w:r>
        <w:t xml:space="preserve">- </w:t>
      </w:r>
      <w:r>
        <w:rPr>
          <w:bCs/>
        </w:rPr>
        <w:t>Menno: y ahí llamó el Tano que no se vaya el subd</w:t>
      </w:r>
      <w:r>
        <w:rPr>
          <w:bCs/>
        </w:rPr>
        <w:t>i</w:t>
      </w:r>
      <w:r>
        <w:rPr>
          <w:bCs/>
        </w:rPr>
        <w:t>rector</w:t>
      </w:r>
    </w:p>
    <w:p w:rsidR="00224567" w:rsidRDefault="00224567">
      <w:pPr>
        <w:widowControl w:val="0"/>
        <w:numPr>
          <w:ilvl w:val="0"/>
          <w:numId w:val="7"/>
        </w:numPr>
      </w:pPr>
      <w:r>
        <w:t xml:space="preserve">- </w:t>
      </w:r>
      <w:r>
        <w:rPr>
          <w:bCs/>
        </w:rPr>
        <w:t>Ribelli: el tema de ... de Baci d</w:t>
      </w:r>
      <w:r>
        <w:rPr>
          <w:bCs/>
        </w:rPr>
        <w:t>e</w:t>
      </w:r>
      <w:r>
        <w:rPr>
          <w:bCs/>
        </w:rPr>
        <w:t>be ser ...</w:t>
      </w:r>
    </w:p>
    <w:p w:rsidR="00224567" w:rsidRDefault="00224567">
      <w:pPr>
        <w:widowControl w:val="0"/>
        <w:numPr>
          <w:ilvl w:val="0"/>
          <w:numId w:val="7"/>
        </w:numPr>
      </w:pPr>
      <w:r>
        <w:t xml:space="preserve">- </w:t>
      </w:r>
      <w:r>
        <w:rPr>
          <w:bCs/>
        </w:rPr>
        <w:t>Menno: ¿de Baci?</w:t>
      </w:r>
    </w:p>
    <w:p w:rsidR="00224567" w:rsidRDefault="00224567">
      <w:pPr>
        <w:widowControl w:val="0"/>
        <w:numPr>
          <w:ilvl w:val="0"/>
          <w:numId w:val="7"/>
        </w:numPr>
      </w:pPr>
      <w:r>
        <w:t xml:space="preserve">- </w:t>
      </w:r>
      <w:r>
        <w:rPr>
          <w:bCs/>
        </w:rPr>
        <w:t>Ribelli: y ... digo yo</w:t>
      </w:r>
    </w:p>
    <w:p w:rsidR="00224567" w:rsidRDefault="00224567">
      <w:pPr>
        <w:widowControl w:val="0"/>
        <w:numPr>
          <w:ilvl w:val="0"/>
          <w:numId w:val="7"/>
        </w:numPr>
      </w:pPr>
      <w:r>
        <w:t xml:space="preserve">- </w:t>
      </w:r>
      <w:r>
        <w:rPr>
          <w:bCs/>
        </w:rPr>
        <w:t>Menno: no me digas que me muero ...</w:t>
      </w:r>
    </w:p>
    <w:p w:rsidR="00224567" w:rsidRDefault="00224567">
      <w:pPr>
        <w:widowControl w:val="0"/>
        <w:numPr>
          <w:ilvl w:val="0"/>
          <w:numId w:val="7"/>
        </w:numPr>
      </w:pPr>
      <w:r>
        <w:t xml:space="preserve">- </w:t>
      </w:r>
      <w:r>
        <w:rPr>
          <w:bCs/>
        </w:rPr>
        <w:t>Ribelli: qué se yo ...</w:t>
      </w:r>
    </w:p>
    <w:p w:rsidR="00224567" w:rsidRDefault="00224567">
      <w:pPr>
        <w:widowControl w:val="0"/>
        <w:numPr>
          <w:ilvl w:val="0"/>
          <w:numId w:val="7"/>
        </w:numPr>
      </w:pPr>
      <w:r>
        <w:t xml:space="preserve">- </w:t>
      </w:r>
      <w:r>
        <w:rPr>
          <w:bCs/>
        </w:rPr>
        <w:t>Menno: ¿qué ... andaba flotando de nu</w:t>
      </w:r>
      <w:r>
        <w:rPr>
          <w:bCs/>
        </w:rPr>
        <w:t>e</w:t>
      </w:r>
      <w:r>
        <w:rPr>
          <w:bCs/>
        </w:rPr>
        <w:t>vo eso ...?</w:t>
      </w:r>
    </w:p>
    <w:p w:rsidR="00224567" w:rsidRDefault="00224567">
      <w:pPr>
        <w:widowControl w:val="0"/>
        <w:numPr>
          <w:ilvl w:val="0"/>
          <w:numId w:val="7"/>
        </w:numPr>
      </w:pPr>
      <w:r>
        <w:t xml:space="preserve">- </w:t>
      </w:r>
      <w:r>
        <w:rPr>
          <w:bCs/>
        </w:rPr>
        <w:t>Ribelli: y digo yo ... como viene el aniversario ...</w:t>
      </w:r>
    </w:p>
    <w:p w:rsidR="00224567" w:rsidRDefault="00224567">
      <w:pPr>
        <w:widowControl w:val="0"/>
        <w:numPr>
          <w:ilvl w:val="0"/>
          <w:numId w:val="7"/>
        </w:numPr>
      </w:pPr>
      <w:r>
        <w:t xml:space="preserve">- </w:t>
      </w:r>
      <w:r>
        <w:rPr>
          <w:bCs/>
        </w:rPr>
        <w:t>Menno: y sí ... tiene que haber algo raro, están reunidas las cuatro porongas ahí dentro.</w:t>
      </w:r>
    </w:p>
    <w:p w:rsidR="00224567" w:rsidRDefault="00224567">
      <w:pPr>
        <w:widowControl w:val="0"/>
        <w:numPr>
          <w:ilvl w:val="0"/>
          <w:numId w:val="7"/>
        </w:numPr>
      </w:pPr>
      <w:r>
        <w:t xml:space="preserve">- </w:t>
      </w:r>
      <w:r>
        <w:rPr>
          <w:bCs/>
        </w:rPr>
        <w:t>Ribelli: bueno.</w:t>
      </w:r>
    </w:p>
    <w:p w:rsidR="00224567" w:rsidRDefault="00224567">
      <w:pPr>
        <w:widowControl w:val="0"/>
        <w:numPr>
          <w:ilvl w:val="0"/>
          <w:numId w:val="7"/>
        </w:numPr>
      </w:pPr>
      <w:r>
        <w:t xml:space="preserve">- </w:t>
      </w:r>
      <w:r>
        <w:rPr>
          <w:bCs/>
        </w:rPr>
        <w:t>Menno: urgente ... mala noticia y lo hizo bajar al subdirector, salir de la casa, que venga a acá y se cambie de ropa de nuevo.</w:t>
      </w:r>
    </w:p>
    <w:p w:rsidR="00224567" w:rsidRDefault="00224567">
      <w:pPr>
        <w:widowControl w:val="0"/>
        <w:numPr>
          <w:ilvl w:val="0"/>
          <w:numId w:val="7"/>
        </w:numPr>
      </w:pPr>
      <w:r>
        <w:t xml:space="preserve">- </w:t>
      </w:r>
      <w:r>
        <w:rPr>
          <w:bCs/>
        </w:rPr>
        <w:t>Ribelli: qué lo parió</w:t>
      </w:r>
    </w:p>
    <w:p w:rsidR="00224567" w:rsidRDefault="00224567">
      <w:pPr>
        <w:widowControl w:val="0"/>
        <w:numPr>
          <w:ilvl w:val="0"/>
          <w:numId w:val="7"/>
        </w:numPr>
      </w:pPr>
      <w:r>
        <w:t xml:space="preserve">- </w:t>
      </w:r>
      <w:r>
        <w:rPr>
          <w:bCs/>
        </w:rPr>
        <w:t>Menno: bueno, no sabés nada, ¿eh?</w:t>
      </w:r>
    </w:p>
    <w:p w:rsidR="00224567" w:rsidRDefault="00224567">
      <w:pPr>
        <w:widowControl w:val="0"/>
        <w:numPr>
          <w:ilvl w:val="0"/>
          <w:numId w:val="7"/>
        </w:numPr>
      </w:pPr>
      <w:r>
        <w:t xml:space="preserve">- </w:t>
      </w:r>
      <w:r>
        <w:rPr>
          <w:bCs/>
        </w:rPr>
        <w:t>Ribelli: no ... más bien</w:t>
      </w:r>
    </w:p>
    <w:p w:rsidR="00224567" w:rsidRDefault="00224567">
      <w:pPr>
        <w:widowControl w:val="0"/>
        <w:numPr>
          <w:ilvl w:val="0"/>
          <w:numId w:val="7"/>
        </w:numPr>
      </w:pPr>
      <w:r>
        <w:t xml:space="preserve">- </w:t>
      </w:r>
      <w:r>
        <w:rPr>
          <w:bCs/>
        </w:rPr>
        <w:t>Menno: a qué hora es el pasaje Juan ...?</w:t>
      </w:r>
    </w:p>
    <w:p w:rsidR="00224567" w:rsidRDefault="00224567">
      <w:pPr>
        <w:widowControl w:val="0"/>
        <w:numPr>
          <w:ilvl w:val="0"/>
          <w:numId w:val="7"/>
        </w:numPr>
      </w:pPr>
      <w:r>
        <w:t xml:space="preserve">- </w:t>
      </w:r>
      <w:r>
        <w:rPr>
          <w:bCs/>
        </w:rPr>
        <w:t>Ribelli: (risas) eh ... 15.40 horas</w:t>
      </w:r>
    </w:p>
    <w:p w:rsidR="00224567" w:rsidRDefault="00224567">
      <w:pPr>
        <w:widowControl w:val="0"/>
        <w:numPr>
          <w:ilvl w:val="0"/>
          <w:numId w:val="7"/>
        </w:numPr>
      </w:pPr>
      <w:r>
        <w:t xml:space="preserve">- </w:t>
      </w:r>
      <w:r>
        <w:rPr>
          <w:bCs/>
        </w:rPr>
        <w:t>Menno: bueno listo ...</w:t>
      </w:r>
    </w:p>
    <w:p w:rsidR="00224567" w:rsidRDefault="00224567">
      <w:pPr>
        <w:widowControl w:val="0"/>
        <w:numPr>
          <w:ilvl w:val="0"/>
          <w:numId w:val="7"/>
        </w:numPr>
      </w:pPr>
      <w:r>
        <w:t xml:space="preserve">- </w:t>
      </w:r>
      <w:r>
        <w:rPr>
          <w:bCs/>
        </w:rPr>
        <w:t>Ribelli: ¡no ojalá que no! ... pero para mí es r</w:t>
      </w:r>
      <w:r>
        <w:rPr>
          <w:bCs/>
        </w:rPr>
        <w:t>e</w:t>
      </w:r>
      <w:r>
        <w:rPr>
          <w:bCs/>
        </w:rPr>
        <w:t>lacionado a eso</w:t>
      </w:r>
    </w:p>
    <w:p w:rsidR="00224567" w:rsidRDefault="00224567">
      <w:pPr>
        <w:widowControl w:val="0"/>
        <w:numPr>
          <w:ilvl w:val="0"/>
          <w:numId w:val="7"/>
        </w:numPr>
      </w:pPr>
      <w:r>
        <w:t xml:space="preserve">- </w:t>
      </w:r>
      <w:r>
        <w:rPr>
          <w:bCs/>
        </w:rPr>
        <w:t>Menno: sí, ojalá que no pase nada.</w:t>
      </w:r>
    </w:p>
    <w:p w:rsidR="00224567" w:rsidRDefault="00224567">
      <w:pPr>
        <w:widowControl w:val="0"/>
        <w:numPr>
          <w:ilvl w:val="0"/>
          <w:numId w:val="7"/>
        </w:numPr>
      </w:pPr>
      <w:r>
        <w:t xml:space="preserve">- </w:t>
      </w:r>
      <w:r>
        <w:rPr>
          <w:bCs/>
        </w:rPr>
        <w:t>Ribelli: pero para mí es relacionado a eso, ¿te acordás que anduvieron dando vueltas ...? tantas f</w:t>
      </w:r>
      <w:r>
        <w:rPr>
          <w:bCs/>
        </w:rPr>
        <w:t>o</w:t>
      </w:r>
      <w:r>
        <w:rPr>
          <w:bCs/>
        </w:rPr>
        <w:t>tos, tanto esto, tanto lo otro ... no, no, ... por ahí no es p</w:t>
      </w:r>
      <w:r>
        <w:rPr>
          <w:bCs/>
        </w:rPr>
        <w:t>a</w:t>
      </w:r>
      <w:r>
        <w:rPr>
          <w:bCs/>
        </w:rPr>
        <w:t>ra ellos ... nada que ver ...</w:t>
      </w:r>
    </w:p>
    <w:p w:rsidR="00224567" w:rsidRDefault="00224567">
      <w:pPr>
        <w:widowControl w:val="0"/>
        <w:numPr>
          <w:ilvl w:val="0"/>
          <w:numId w:val="7"/>
        </w:numPr>
      </w:pPr>
      <w:r>
        <w:t xml:space="preserve">- </w:t>
      </w:r>
      <w:r>
        <w:rPr>
          <w:bCs/>
        </w:rPr>
        <w:t>Menno: capaz que es una cosa más importante, porque cuando fue la otra vez eso, no se juntaron todos, viste ... para que se junten así loco ... para mí que es un caramelo ba</w:t>
      </w:r>
      <w:r>
        <w:rPr>
          <w:bCs/>
        </w:rPr>
        <w:t>s</w:t>
      </w:r>
      <w:r>
        <w:rPr>
          <w:bCs/>
        </w:rPr>
        <w:t>tante grande ...</w:t>
      </w:r>
    </w:p>
    <w:p w:rsidR="00224567" w:rsidRDefault="00224567">
      <w:pPr>
        <w:widowControl w:val="0"/>
        <w:numPr>
          <w:ilvl w:val="0"/>
          <w:numId w:val="7"/>
        </w:numPr>
      </w:pPr>
      <w:r>
        <w:t xml:space="preserve">- </w:t>
      </w:r>
      <w:r>
        <w:rPr>
          <w:bCs/>
        </w:rPr>
        <w:t>Ribelli: y ... si hay detenciones ...</w:t>
      </w:r>
    </w:p>
    <w:p w:rsidR="00224567" w:rsidRDefault="00224567">
      <w:pPr>
        <w:widowControl w:val="0"/>
        <w:numPr>
          <w:ilvl w:val="0"/>
          <w:numId w:val="7"/>
        </w:numPr>
      </w:pPr>
      <w:r>
        <w:t xml:space="preserve">- </w:t>
      </w:r>
      <w:r>
        <w:rPr>
          <w:bCs/>
        </w:rPr>
        <w:t>Menno: y ... hay que ver con quién lo hacen ...</w:t>
      </w:r>
    </w:p>
    <w:p w:rsidR="00224567" w:rsidRDefault="00224567">
      <w:pPr>
        <w:widowControl w:val="0"/>
        <w:numPr>
          <w:ilvl w:val="0"/>
          <w:numId w:val="7"/>
        </w:numPr>
      </w:pPr>
      <w:r>
        <w:t xml:space="preserve">- </w:t>
      </w:r>
      <w:r>
        <w:rPr>
          <w:bCs/>
        </w:rPr>
        <w:t>Ribelli: por eso te digo ... bueno, pero igual ... está todo el mundo para poner el pecho, ya lo ti</w:t>
      </w:r>
      <w:r>
        <w:rPr>
          <w:bCs/>
        </w:rPr>
        <w:t>e</w:t>
      </w:r>
      <w:r>
        <w:rPr>
          <w:bCs/>
        </w:rPr>
        <w:t>nen ... todo el mundo ya está</w:t>
      </w:r>
    </w:p>
    <w:p w:rsidR="00224567" w:rsidRDefault="00224567">
      <w:pPr>
        <w:widowControl w:val="0"/>
        <w:numPr>
          <w:ilvl w:val="0"/>
          <w:numId w:val="7"/>
        </w:numPr>
      </w:pPr>
      <w:r>
        <w:t xml:space="preserve">- </w:t>
      </w:r>
      <w:r>
        <w:rPr>
          <w:bCs/>
        </w:rPr>
        <w:t>Menno: ¿está cocinado?</w:t>
      </w:r>
    </w:p>
    <w:p w:rsidR="00224567" w:rsidRDefault="00224567">
      <w:pPr>
        <w:widowControl w:val="0"/>
        <w:numPr>
          <w:ilvl w:val="0"/>
          <w:numId w:val="7"/>
        </w:numPr>
      </w:pPr>
      <w:r>
        <w:t xml:space="preserve">- </w:t>
      </w:r>
      <w:r>
        <w:rPr>
          <w:bCs/>
        </w:rPr>
        <w:t>Ribelli: y, más bien ... qué le va a hacer ...</w:t>
      </w:r>
    </w:p>
    <w:p w:rsidR="00224567" w:rsidRDefault="00224567">
      <w:pPr>
        <w:widowControl w:val="0"/>
        <w:numPr>
          <w:ilvl w:val="0"/>
          <w:numId w:val="7"/>
        </w:numPr>
      </w:pPr>
      <w:r>
        <w:t xml:space="preserve">- </w:t>
      </w:r>
      <w:r>
        <w:rPr>
          <w:bCs/>
        </w:rPr>
        <w:t>Menno: yo cualquier cosa te aviso si es el tema ese, te llamo al Movicom ¿che tenés auto para andar allá?</w:t>
      </w:r>
    </w:p>
    <w:p w:rsidR="00224567" w:rsidRDefault="00224567">
      <w:pPr>
        <w:widowControl w:val="0"/>
        <w:numPr>
          <w:ilvl w:val="0"/>
          <w:numId w:val="7"/>
        </w:numPr>
      </w:pPr>
      <w:r>
        <w:t xml:space="preserve">- </w:t>
      </w:r>
      <w:r>
        <w:rPr>
          <w:bCs/>
        </w:rPr>
        <w:t>Ribelli: eh ...</w:t>
      </w:r>
    </w:p>
    <w:p w:rsidR="00224567" w:rsidRDefault="00224567">
      <w:pPr>
        <w:widowControl w:val="0"/>
        <w:numPr>
          <w:ilvl w:val="0"/>
          <w:numId w:val="7"/>
        </w:numPr>
      </w:pPr>
      <w:r>
        <w:t xml:space="preserve">- </w:t>
      </w:r>
      <w:r>
        <w:rPr>
          <w:bCs/>
        </w:rPr>
        <w:t>Menno: o querés que consiga uno</w:t>
      </w:r>
    </w:p>
    <w:p w:rsidR="00224567" w:rsidRDefault="00224567">
      <w:pPr>
        <w:widowControl w:val="0"/>
        <w:numPr>
          <w:ilvl w:val="0"/>
          <w:numId w:val="7"/>
        </w:numPr>
      </w:pPr>
      <w:r>
        <w:t xml:space="preserve">- </w:t>
      </w:r>
      <w:r>
        <w:rPr>
          <w:bCs/>
        </w:rPr>
        <w:t>Ribelli: no ... taxi para qué auto?</w:t>
      </w:r>
    </w:p>
    <w:p w:rsidR="00224567" w:rsidRDefault="00224567">
      <w:pPr>
        <w:widowControl w:val="0"/>
        <w:numPr>
          <w:ilvl w:val="0"/>
          <w:numId w:val="7"/>
        </w:numPr>
      </w:pPr>
      <w:r>
        <w:t xml:space="preserve">- </w:t>
      </w:r>
      <w:r>
        <w:rPr>
          <w:bCs/>
        </w:rPr>
        <w:t>Menno: consigo un auto igual loco ...</w:t>
      </w:r>
    </w:p>
    <w:p w:rsidR="00224567" w:rsidRDefault="00224567">
      <w:pPr>
        <w:widowControl w:val="0"/>
        <w:numPr>
          <w:ilvl w:val="0"/>
          <w:numId w:val="7"/>
        </w:numPr>
      </w:pPr>
      <w:r>
        <w:t xml:space="preserve">- </w:t>
      </w:r>
      <w:r>
        <w:rPr>
          <w:bCs/>
        </w:rPr>
        <w:t>Ribelli: bueno, qué se yo ...</w:t>
      </w:r>
    </w:p>
    <w:p w:rsidR="00224567" w:rsidRDefault="00224567">
      <w:pPr>
        <w:widowControl w:val="0"/>
        <w:numPr>
          <w:ilvl w:val="0"/>
          <w:numId w:val="7"/>
        </w:numPr>
      </w:pPr>
      <w:r>
        <w:t xml:space="preserve">- </w:t>
      </w:r>
      <w:r>
        <w:rPr>
          <w:bCs/>
        </w:rPr>
        <w:t>Menno: yo consigo uno que lo vayan a buscar ahí y que nos d</w:t>
      </w:r>
      <w:r>
        <w:rPr>
          <w:bCs/>
        </w:rPr>
        <w:t>e</w:t>
      </w:r>
      <w:r>
        <w:rPr>
          <w:bCs/>
        </w:rPr>
        <w:t>jen el auto</w:t>
      </w:r>
    </w:p>
    <w:p w:rsidR="00224567" w:rsidRDefault="00224567">
      <w:pPr>
        <w:widowControl w:val="0"/>
        <w:numPr>
          <w:ilvl w:val="0"/>
          <w:numId w:val="7"/>
        </w:numPr>
      </w:pPr>
      <w:r>
        <w:t xml:space="preserve">- </w:t>
      </w:r>
      <w:r>
        <w:rPr>
          <w:bCs/>
        </w:rPr>
        <w:t>Ribelli: bueno, pegáme un tubazo cuando tenés un panorama</w:t>
      </w:r>
    </w:p>
    <w:p w:rsidR="00224567" w:rsidRDefault="00224567">
      <w:pPr>
        <w:widowControl w:val="0"/>
        <w:numPr>
          <w:ilvl w:val="0"/>
          <w:numId w:val="7"/>
        </w:numPr>
      </w:pPr>
      <w:r>
        <w:t xml:space="preserve">- </w:t>
      </w:r>
      <w:r>
        <w:rPr>
          <w:bCs/>
        </w:rPr>
        <w:t>Menno: listo, ¿de esto?</w:t>
      </w:r>
    </w:p>
    <w:p w:rsidR="00224567" w:rsidRDefault="00224567">
      <w:pPr>
        <w:widowControl w:val="0"/>
        <w:numPr>
          <w:ilvl w:val="0"/>
          <w:numId w:val="7"/>
        </w:numPr>
      </w:pPr>
      <w:r>
        <w:t xml:space="preserve">- </w:t>
      </w:r>
      <w:r>
        <w:rPr>
          <w:bCs/>
        </w:rPr>
        <w:t>Ribelli: sí, más que todo para ...</w:t>
      </w:r>
    </w:p>
    <w:p w:rsidR="00224567" w:rsidRDefault="00224567">
      <w:pPr>
        <w:widowControl w:val="0"/>
        <w:numPr>
          <w:ilvl w:val="0"/>
          <w:numId w:val="7"/>
        </w:numPr>
      </w:pPr>
      <w:r>
        <w:t xml:space="preserve">- </w:t>
      </w:r>
      <w:r>
        <w:rPr>
          <w:bCs/>
        </w:rPr>
        <w:t>Menno: ¡no descontalo! ... si más que nada ...</w:t>
      </w:r>
    </w:p>
    <w:p w:rsidR="00224567" w:rsidRDefault="00224567">
      <w:pPr>
        <w:widowControl w:val="0"/>
        <w:numPr>
          <w:ilvl w:val="0"/>
          <w:numId w:val="7"/>
        </w:numPr>
      </w:pPr>
      <w:r>
        <w:t xml:space="preserve">- </w:t>
      </w:r>
      <w:r>
        <w:rPr>
          <w:bCs/>
        </w:rPr>
        <w:t>Ribelli: qué lo parió che ...</w:t>
      </w:r>
    </w:p>
    <w:p w:rsidR="00224567" w:rsidRDefault="00224567">
      <w:pPr>
        <w:widowControl w:val="0"/>
        <w:numPr>
          <w:ilvl w:val="0"/>
          <w:numId w:val="7"/>
        </w:numPr>
      </w:pPr>
      <w:r>
        <w:t xml:space="preserve">- </w:t>
      </w:r>
      <w:r>
        <w:rPr>
          <w:bCs/>
        </w:rPr>
        <w:t>Menno: bueno ... ojalá que no sea por ese lado.</w:t>
      </w:r>
    </w:p>
    <w:p w:rsidR="00224567" w:rsidRDefault="00224567">
      <w:pPr>
        <w:widowControl w:val="0"/>
        <w:numPr>
          <w:ilvl w:val="0"/>
          <w:numId w:val="7"/>
        </w:numPr>
      </w:pPr>
      <w:r>
        <w:t xml:space="preserve">- </w:t>
      </w:r>
      <w:r>
        <w:rPr>
          <w:bCs/>
        </w:rPr>
        <w:t>Ribelli: un abrazo</w:t>
      </w:r>
    </w:p>
    <w:p w:rsidR="00224567" w:rsidRDefault="00224567">
      <w:pPr>
        <w:widowControl w:val="0"/>
      </w:pPr>
      <w:r>
        <w:rPr>
          <w:i/>
          <w:iCs/>
        </w:rPr>
        <w:tab/>
      </w:r>
      <w:r>
        <w:t>Sin más para destacar se despiden y cortan</w:t>
      </w:r>
    </w:p>
    <w:p w:rsidR="00224567" w:rsidRDefault="00224567">
      <w:pPr>
        <w:widowControl w:val="0"/>
        <w:numPr>
          <w:ilvl w:val="0"/>
          <w:numId w:val="8"/>
        </w:numPr>
        <w:rPr>
          <w:bCs/>
        </w:rPr>
      </w:pPr>
      <w:r>
        <w:rPr>
          <w:bCs/>
        </w:rPr>
        <w:t>Del 12 de julio de 1996, abonado 440-6746, casete 60, lado A, vuelta 100 (cuya trascripción obra a fs. 39.967/9)</w:t>
      </w:r>
    </w:p>
    <w:p w:rsidR="00224567" w:rsidRDefault="00224567">
      <w:pPr>
        <w:widowControl w:val="0"/>
      </w:pPr>
      <w:r>
        <w:rPr>
          <w:b/>
        </w:rPr>
        <w:tab/>
      </w:r>
      <w:r>
        <w:tab/>
        <w:t>Llama al control el subcomisario Ib</w:t>
      </w:r>
      <w:r>
        <w:t>a</w:t>
      </w:r>
      <w:r>
        <w:t>rra. Atie</w:t>
      </w:r>
      <w:r>
        <w:t>n</w:t>
      </w:r>
      <w:r>
        <w:t>de en el control Juan José Ribelli.</w:t>
      </w:r>
    </w:p>
    <w:p w:rsidR="00224567" w:rsidRDefault="00224567">
      <w:pPr>
        <w:widowControl w:val="0"/>
        <w:numPr>
          <w:ilvl w:val="0"/>
          <w:numId w:val="7"/>
        </w:numPr>
      </w:pPr>
      <w:r>
        <w:t xml:space="preserve">- </w:t>
      </w:r>
      <w:r>
        <w:rPr>
          <w:bCs/>
        </w:rPr>
        <w:t>Ribelli: hola</w:t>
      </w:r>
    </w:p>
    <w:p w:rsidR="00224567" w:rsidRDefault="00224567">
      <w:pPr>
        <w:widowControl w:val="0"/>
        <w:numPr>
          <w:ilvl w:val="0"/>
          <w:numId w:val="7"/>
        </w:numPr>
      </w:pPr>
      <w:r>
        <w:t xml:space="preserve">- </w:t>
      </w:r>
      <w:r>
        <w:rPr>
          <w:bCs/>
        </w:rPr>
        <w:t>Ibarra: sí patrón</w:t>
      </w:r>
    </w:p>
    <w:p w:rsidR="00224567" w:rsidRDefault="00224567">
      <w:pPr>
        <w:widowControl w:val="0"/>
        <w:numPr>
          <w:ilvl w:val="0"/>
          <w:numId w:val="7"/>
        </w:numPr>
      </w:pPr>
      <w:r>
        <w:t xml:space="preserve">- </w:t>
      </w:r>
      <w:r>
        <w:rPr>
          <w:bCs/>
        </w:rPr>
        <w:t>Ribelli: qué dice ... che, Guzmán anda por ahí t</w:t>
      </w:r>
      <w:r>
        <w:rPr>
          <w:bCs/>
        </w:rPr>
        <w:t>o</w:t>
      </w:r>
      <w:r>
        <w:rPr>
          <w:bCs/>
        </w:rPr>
        <w:t>davía no, o ya se fue</w:t>
      </w:r>
    </w:p>
    <w:p w:rsidR="00224567" w:rsidRDefault="00224567">
      <w:pPr>
        <w:widowControl w:val="0"/>
        <w:numPr>
          <w:ilvl w:val="0"/>
          <w:numId w:val="7"/>
        </w:numPr>
      </w:pPr>
      <w:r>
        <w:t xml:space="preserve">- </w:t>
      </w:r>
      <w:r>
        <w:rPr>
          <w:bCs/>
        </w:rPr>
        <w:t>Ibarra: ya se fue Guzmán ... (se pr</w:t>
      </w:r>
      <w:r>
        <w:rPr>
          <w:bCs/>
        </w:rPr>
        <w:t>o</w:t>
      </w:r>
      <w:r>
        <w:rPr>
          <w:bCs/>
        </w:rPr>
        <w:t>duce una pausa e Ibarra mantiene un diálogo por otro teléfono, el diálogo que se produce trata sobre una persona que viene de parte del secretario de Seguridad Piotti porque a este hombre le robaron una camioneta. Y le comenta Ibarra a Ribelli que viniendo de Piotti no van a pulir detalles ... Se reanuda de la siguiente manera)</w:t>
      </w:r>
    </w:p>
    <w:p w:rsidR="00224567" w:rsidRDefault="00224567">
      <w:pPr>
        <w:widowControl w:val="0"/>
        <w:numPr>
          <w:ilvl w:val="0"/>
          <w:numId w:val="7"/>
        </w:numPr>
      </w:pPr>
      <w:r>
        <w:t xml:space="preserve">- </w:t>
      </w:r>
      <w:r>
        <w:rPr>
          <w:bCs/>
        </w:rPr>
        <w:t>Ribelli: y uno está sensibilizado estos últimos días ...</w:t>
      </w:r>
    </w:p>
    <w:p w:rsidR="00224567" w:rsidRDefault="00224567">
      <w:pPr>
        <w:widowControl w:val="0"/>
        <w:numPr>
          <w:ilvl w:val="0"/>
          <w:numId w:val="7"/>
        </w:numPr>
      </w:pPr>
      <w:r>
        <w:t xml:space="preserve">- </w:t>
      </w:r>
      <w:r>
        <w:rPr>
          <w:bCs/>
        </w:rPr>
        <w:t>Ibarra: y qué te parece ...</w:t>
      </w:r>
    </w:p>
    <w:p w:rsidR="00224567" w:rsidRDefault="00224567">
      <w:pPr>
        <w:widowControl w:val="0"/>
        <w:numPr>
          <w:ilvl w:val="0"/>
          <w:numId w:val="7"/>
        </w:numPr>
      </w:pPr>
      <w:r>
        <w:t xml:space="preserve">- </w:t>
      </w:r>
      <w:r>
        <w:rPr>
          <w:bCs/>
        </w:rPr>
        <w:t>Ribelli: no, no, estamos con el aniversario cerca ...</w:t>
      </w:r>
    </w:p>
    <w:p w:rsidR="00224567" w:rsidRDefault="00224567">
      <w:pPr>
        <w:widowControl w:val="0"/>
        <w:numPr>
          <w:ilvl w:val="0"/>
          <w:numId w:val="7"/>
        </w:numPr>
      </w:pPr>
      <w:r>
        <w:t xml:space="preserve">- </w:t>
      </w:r>
      <w:r>
        <w:rPr>
          <w:bCs/>
        </w:rPr>
        <w:t>Ibarra: no seas hijo de puta, sabés que hoy, hoy ... int</w:t>
      </w:r>
      <w:r>
        <w:rPr>
          <w:bCs/>
        </w:rPr>
        <w:t>e</w:t>
      </w:r>
      <w:r>
        <w:rPr>
          <w:bCs/>
        </w:rPr>
        <w:t>rrumpe Ribelli</w:t>
      </w:r>
    </w:p>
    <w:p w:rsidR="00224567" w:rsidRDefault="00224567">
      <w:pPr>
        <w:widowControl w:val="0"/>
        <w:numPr>
          <w:ilvl w:val="0"/>
          <w:numId w:val="7"/>
        </w:numPr>
      </w:pPr>
      <w:r>
        <w:t xml:space="preserve">- </w:t>
      </w:r>
      <w:r>
        <w:rPr>
          <w:bCs/>
          <w:lang w:val="es-ES_tradnl"/>
        </w:rPr>
        <w:t xml:space="preserve">Ribelli: </w:t>
      </w:r>
      <w:r>
        <w:rPr>
          <w:bCs/>
        </w:rPr>
        <w:t>ah, eh ... una cosita, el escritorio mío en todo caso, viste que está todo desparramado ahí ..., bueno, está bien, déjalo así, no te iba a decir que lo dejes prolijo por cualquier cosa</w:t>
      </w:r>
    </w:p>
    <w:p w:rsidR="00224567" w:rsidRDefault="00224567">
      <w:pPr>
        <w:widowControl w:val="0"/>
        <w:numPr>
          <w:ilvl w:val="0"/>
          <w:numId w:val="7"/>
        </w:numPr>
      </w:pPr>
      <w:r>
        <w:t xml:space="preserve">- </w:t>
      </w:r>
      <w:r>
        <w:rPr>
          <w:bCs/>
          <w:lang w:val="es-ES_tradnl"/>
        </w:rPr>
        <w:t xml:space="preserve">Ibarra: </w:t>
      </w:r>
      <w:r>
        <w:rPr>
          <w:bCs/>
        </w:rPr>
        <w:t>está bien</w:t>
      </w:r>
    </w:p>
    <w:p w:rsidR="00224567" w:rsidRDefault="00224567">
      <w:pPr>
        <w:widowControl w:val="0"/>
        <w:numPr>
          <w:ilvl w:val="0"/>
          <w:numId w:val="7"/>
        </w:numPr>
      </w:pPr>
      <w:r>
        <w:t xml:space="preserve">- </w:t>
      </w:r>
      <w:r>
        <w:rPr>
          <w:bCs/>
          <w:lang w:val="es-ES_tradnl"/>
        </w:rPr>
        <w:t xml:space="preserve">Ribelli: </w:t>
      </w:r>
      <w:r>
        <w:rPr>
          <w:bCs/>
        </w:rPr>
        <w:t>no</w:t>
      </w:r>
      <w:r>
        <w:rPr>
          <w:bCs/>
          <w:lang w:val="es-ES_tradnl"/>
        </w:rPr>
        <w:t>?</w:t>
      </w:r>
    </w:p>
    <w:p w:rsidR="00224567" w:rsidRDefault="00224567">
      <w:pPr>
        <w:widowControl w:val="0"/>
        <w:numPr>
          <w:ilvl w:val="0"/>
          <w:numId w:val="7"/>
        </w:numPr>
      </w:pPr>
      <w:r>
        <w:t xml:space="preserve">- </w:t>
      </w:r>
      <w:r>
        <w:rPr>
          <w:bCs/>
          <w:lang w:val="es-ES_tradnl"/>
        </w:rPr>
        <w:t xml:space="preserve">Ibarra: </w:t>
      </w:r>
      <w:r>
        <w:rPr>
          <w:bCs/>
        </w:rPr>
        <w:t>sí</w:t>
      </w:r>
      <w:r>
        <w:rPr>
          <w:bCs/>
          <w:lang w:val="es-ES_tradnl"/>
        </w:rPr>
        <w:t xml:space="preserve"> ...</w:t>
      </w:r>
    </w:p>
    <w:p w:rsidR="00224567" w:rsidRDefault="00224567">
      <w:pPr>
        <w:widowControl w:val="0"/>
        <w:numPr>
          <w:ilvl w:val="0"/>
          <w:numId w:val="7"/>
        </w:numPr>
      </w:pPr>
      <w:r>
        <w:t xml:space="preserve">- </w:t>
      </w:r>
      <w:r>
        <w:rPr>
          <w:bCs/>
          <w:lang w:val="es-ES_tradnl"/>
        </w:rPr>
        <w:t xml:space="preserve">Ribelli: </w:t>
      </w:r>
      <w:r>
        <w:rPr>
          <w:bCs/>
        </w:rPr>
        <w:t>pero no, dejalo así nomás</w:t>
      </w:r>
    </w:p>
    <w:p w:rsidR="00224567" w:rsidRDefault="00224567">
      <w:pPr>
        <w:widowControl w:val="0"/>
        <w:numPr>
          <w:ilvl w:val="0"/>
          <w:numId w:val="7"/>
        </w:numPr>
      </w:pPr>
      <w:r>
        <w:t xml:space="preserve">- </w:t>
      </w:r>
      <w:r>
        <w:rPr>
          <w:bCs/>
          <w:lang w:val="es-ES_tradnl"/>
        </w:rPr>
        <w:t xml:space="preserve">Ibarra: </w:t>
      </w:r>
      <w:r>
        <w:rPr>
          <w:bCs/>
        </w:rPr>
        <w:t>no, pero que querés, qué te saque algo?</w:t>
      </w:r>
    </w:p>
    <w:p w:rsidR="00224567" w:rsidRDefault="00224567">
      <w:pPr>
        <w:widowControl w:val="0"/>
        <w:numPr>
          <w:ilvl w:val="0"/>
          <w:numId w:val="7"/>
        </w:numPr>
      </w:pPr>
      <w:r>
        <w:t xml:space="preserve">- </w:t>
      </w:r>
      <w:r>
        <w:rPr>
          <w:bCs/>
          <w:lang w:val="es-ES_tradnl"/>
        </w:rPr>
        <w:t xml:space="preserve">Ribelli: </w:t>
      </w:r>
      <w:r>
        <w:rPr>
          <w:bCs/>
        </w:rPr>
        <w:t>no, lo que sí me interesa ... esa causa, hoy sí o sí la tenemos que dejar firmada y s</w:t>
      </w:r>
      <w:r>
        <w:rPr>
          <w:bCs/>
        </w:rPr>
        <w:t>e</w:t>
      </w:r>
      <w:r>
        <w:rPr>
          <w:bCs/>
        </w:rPr>
        <w:t>llada</w:t>
      </w:r>
    </w:p>
    <w:p w:rsidR="00224567" w:rsidRDefault="00224567">
      <w:pPr>
        <w:widowControl w:val="0"/>
        <w:numPr>
          <w:ilvl w:val="0"/>
          <w:numId w:val="7"/>
        </w:numPr>
      </w:pPr>
      <w:r>
        <w:t xml:space="preserve">- </w:t>
      </w:r>
      <w:r>
        <w:rPr>
          <w:bCs/>
          <w:lang w:val="es-ES_tradnl"/>
        </w:rPr>
        <w:t xml:space="preserve">Ibarra: </w:t>
      </w:r>
      <w:r>
        <w:rPr>
          <w:bCs/>
        </w:rPr>
        <w:t>sí</w:t>
      </w:r>
    </w:p>
    <w:p w:rsidR="00224567" w:rsidRDefault="00224567">
      <w:pPr>
        <w:widowControl w:val="0"/>
        <w:numPr>
          <w:ilvl w:val="0"/>
          <w:numId w:val="7"/>
        </w:numPr>
      </w:pPr>
      <w:r>
        <w:t xml:space="preserve">- </w:t>
      </w:r>
      <w:r>
        <w:rPr>
          <w:bCs/>
          <w:lang w:val="es-ES_tradnl"/>
        </w:rPr>
        <w:t xml:space="preserve">Ribelli: </w:t>
      </w:r>
      <w:r>
        <w:rPr>
          <w:bCs/>
        </w:rPr>
        <w:t>no, lista para elevar ...</w:t>
      </w:r>
    </w:p>
    <w:p w:rsidR="00224567" w:rsidRDefault="00224567">
      <w:pPr>
        <w:widowControl w:val="0"/>
        <w:numPr>
          <w:ilvl w:val="0"/>
          <w:numId w:val="7"/>
        </w:numPr>
      </w:pPr>
      <w:r>
        <w:t xml:space="preserve">- </w:t>
      </w:r>
      <w:r>
        <w:rPr>
          <w:bCs/>
          <w:lang w:val="es-ES_tradnl"/>
        </w:rPr>
        <w:t xml:space="preserve">Ibarra: </w:t>
      </w:r>
      <w:r>
        <w:rPr>
          <w:bCs/>
        </w:rPr>
        <w:t>ajá</w:t>
      </w:r>
      <w:r>
        <w:rPr>
          <w:bCs/>
          <w:lang w:val="es-ES_tradnl"/>
        </w:rPr>
        <w:t xml:space="preserve"> ...</w:t>
      </w:r>
    </w:p>
    <w:p w:rsidR="00224567" w:rsidRDefault="00224567">
      <w:pPr>
        <w:widowControl w:val="0"/>
        <w:numPr>
          <w:ilvl w:val="0"/>
          <w:numId w:val="7"/>
        </w:numPr>
      </w:pPr>
      <w:r>
        <w:t xml:space="preserve">- </w:t>
      </w:r>
      <w:r>
        <w:rPr>
          <w:bCs/>
          <w:lang w:val="es-ES_tradnl"/>
        </w:rPr>
        <w:t xml:space="preserve">Ribelli: </w:t>
      </w:r>
      <w:r>
        <w:rPr>
          <w:bCs/>
        </w:rPr>
        <w:t>por otro lado de cosas, te comento para vos solo, nada más que para vos, eh?</w:t>
      </w:r>
    </w:p>
    <w:p w:rsidR="00224567" w:rsidRDefault="00224567">
      <w:pPr>
        <w:widowControl w:val="0"/>
        <w:numPr>
          <w:ilvl w:val="0"/>
          <w:numId w:val="7"/>
        </w:numPr>
      </w:pPr>
      <w:r>
        <w:t xml:space="preserve">- </w:t>
      </w:r>
      <w:r>
        <w:rPr>
          <w:bCs/>
          <w:lang w:val="es-ES_tradnl"/>
        </w:rPr>
        <w:t xml:space="preserve">Ibarra: </w:t>
      </w:r>
      <w:r>
        <w:rPr>
          <w:bCs/>
        </w:rPr>
        <w:t>sí</w:t>
      </w:r>
    </w:p>
    <w:p w:rsidR="00224567" w:rsidRDefault="00224567">
      <w:pPr>
        <w:widowControl w:val="0"/>
        <w:numPr>
          <w:ilvl w:val="0"/>
          <w:numId w:val="7"/>
        </w:numPr>
      </w:pPr>
      <w:r>
        <w:t xml:space="preserve">- </w:t>
      </w:r>
      <w:r>
        <w:rPr>
          <w:bCs/>
          <w:lang w:val="es-ES_tradnl"/>
        </w:rPr>
        <w:t xml:space="preserve">Ribelli: </w:t>
      </w:r>
      <w:r>
        <w:rPr>
          <w:bCs/>
        </w:rPr>
        <w:t xml:space="preserve">pero no sé porque tema están reunidas la gente grande allá en </w:t>
      </w:r>
      <w:smartTag w:uri="urn:schemas-microsoft-com:office:smarttags" w:element="PersonName">
        <w:smartTagPr>
          <w:attr w:name="ProductID" w:val="La Plata"/>
        </w:smartTagPr>
        <w:r>
          <w:rPr>
            <w:bCs/>
          </w:rPr>
          <w:t>La Pl</w:t>
        </w:r>
        <w:r>
          <w:rPr>
            <w:bCs/>
          </w:rPr>
          <w:t>a</w:t>
        </w:r>
        <w:r>
          <w:rPr>
            <w:bCs/>
          </w:rPr>
          <w:t>ta</w:t>
        </w:r>
      </w:smartTag>
    </w:p>
    <w:p w:rsidR="00224567" w:rsidRDefault="00224567">
      <w:pPr>
        <w:widowControl w:val="0"/>
        <w:numPr>
          <w:ilvl w:val="0"/>
          <w:numId w:val="7"/>
        </w:numPr>
      </w:pPr>
      <w:r>
        <w:t xml:space="preserve">- </w:t>
      </w:r>
      <w:r>
        <w:rPr>
          <w:bCs/>
          <w:lang w:val="es-ES_tradnl"/>
        </w:rPr>
        <w:t xml:space="preserve">Ibarra: </w:t>
      </w:r>
      <w:r>
        <w:rPr>
          <w:bCs/>
        </w:rPr>
        <w:t>ajá</w:t>
      </w:r>
    </w:p>
    <w:p w:rsidR="00224567" w:rsidRDefault="00224567">
      <w:pPr>
        <w:widowControl w:val="0"/>
        <w:numPr>
          <w:ilvl w:val="0"/>
          <w:numId w:val="7"/>
        </w:numPr>
      </w:pPr>
      <w:r>
        <w:t xml:space="preserve">- </w:t>
      </w:r>
      <w:r>
        <w:rPr>
          <w:bCs/>
          <w:lang w:val="es-ES_tradnl"/>
        </w:rPr>
        <w:t xml:space="preserve">Ribelli: </w:t>
      </w:r>
      <w:r>
        <w:rPr>
          <w:bCs/>
        </w:rPr>
        <w:t>me entendés?</w:t>
      </w:r>
    </w:p>
    <w:p w:rsidR="00224567" w:rsidRDefault="00224567">
      <w:pPr>
        <w:widowControl w:val="0"/>
        <w:numPr>
          <w:ilvl w:val="0"/>
          <w:numId w:val="7"/>
        </w:numPr>
      </w:pPr>
      <w:r>
        <w:t xml:space="preserve">- </w:t>
      </w:r>
      <w:r>
        <w:rPr>
          <w:bCs/>
          <w:lang w:val="es-ES_tradnl"/>
        </w:rPr>
        <w:t xml:space="preserve">Ibarra: </w:t>
      </w:r>
      <w:r>
        <w:rPr>
          <w:bCs/>
        </w:rPr>
        <w:t>está bien</w:t>
      </w:r>
    </w:p>
    <w:p w:rsidR="00224567" w:rsidRDefault="00224567">
      <w:pPr>
        <w:widowControl w:val="0"/>
        <w:numPr>
          <w:ilvl w:val="0"/>
          <w:numId w:val="7"/>
        </w:numPr>
      </w:pPr>
      <w:r>
        <w:t xml:space="preserve">- </w:t>
      </w:r>
      <w:r>
        <w:rPr>
          <w:bCs/>
          <w:lang w:val="es-ES_tradnl"/>
        </w:rPr>
        <w:t xml:space="preserve">Ribelli: </w:t>
      </w:r>
      <w:r>
        <w:rPr>
          <w:bCs/>
        </w:rPr>
        <w:t>con una mala noticia por lo que me chu</w:t>
      </w:r>
      <w:r>
        <w:rPr>
          <w:bCs/>
        </w:rPr>
        <w:t>s</w:t>
      </w:r>
      <w:r>
        <w:rPr>
          <w:bCs/>
        </w:rPr>
        <w:t>mearon ... no me llamaron a mí, me ente</w:t>
      </w:r>
      <w:r>
        <w:rPr>
          <w:bCs/>
        </w:rPr>
        <w:t>n</w:t>
      </w:r>
      <w:r>
        <w:rPr>
          <w:bCs/>
        </w:rPr>
        <w:t>dés?</w:t>
      </w:r>
    </w:p>
    <w:p w:rsidR="00224567" w:rsidRDefault="00224567">
      <w:pPr>
        <w:widowControl w:val="0"/>
        <w:numPr>
          <w:ilvl w:val="0"/>
          <w:numId w:val="7"/>
        </w:numPr>
      </w:pPr>
      <w:r>
        <w:t xml:space="preserve">- </w:t>
      </w:r>
      <w:r>
        <w:rPr>
          <w:bCs/>
          <w:lang w:val="es-ES_tradnl"/>
        </w:rPr>
        <w:t xml:space="preserve">Ibarra: </w:t>
      </w:r>
      <w:r>
        <w:rPr>
          <w:bCs/>
        </w:rPr>
        <w:t>está bien</w:t>
      </w:r>
    </w:p>
    <w:p w:rsidR="00224567" w:rsidRDefault="00224567">
      <w:pPr>
        <w:widowControl w:val="0"/>
        <w:numPr>
          <w:ilvl w:val="0"/>
          <w:numId w:val="7"/>
        </w:numPr>
      </w:pPr>
      <w:r>
        <w:t xml:space="preserve">- </w:t>
      </w:r>
      <w:r>
        <w:rPr>
          <w:bCs/>
          <w:lang w:val="es-ES_tradnl"/>
        </w:rPr>
        <w:t xml:space="preserve">Ribelli: </w:t>
      </w:r>
      <w:r>
        <w:rPr>
          <w:bCs/>
        </w:rPr>
        <w:t>pero yo justo llamo por otro lado, y me dicen: no, están reunidos arriba que esto y que lo otro ... porque hay una mala noticia ..., entonces no sé de qué viste ... a mí se me prende la lamparita ... relacionarlo ... relacionar la fecha nada más ... me ente</w:t>
      </w:r>
      <w:r>
        <w:rPr>
          <w:bCs/>
        </w:rPr>
        <w:t>n</w:t>
      </w:r>
      <w:r>
        <w:rPr>
          <w:bCs/>
        </w:rPr>
        <w:t>dés?</w:t>
      </w:r>
    </w:p>
    <w:p w:rsidR="00224567" w:rsidRDefault="00224567">
      <w:pPr>
        <w:widowControl w:val="0"/>
        <w:numPr>
          <w:ilvl w:val="0"/>
          <w:numId w:val="7"/>
        </w:numPr>
      </w:pPr>
      <w:r>
        <w:t xml:space="preserve">- </w:t>
      </w:r>
      <w:r>
        <w:rPr>
          <w:bCs/>
          <w:lang w:val="es-ES_tradnl"/>
        </w:rPr>
        <w:t xml:space="preserve">Ibarra: </w:t>
      </w:r>
      <w:r>
        <w:rPr>
          <w:bCs/>
        </w:rPr>
        <w:t>está bien ...</w:t>
      </w:r>
    </w:p>
    <w:p w:rsidR="00224567" w:rsidRDefault="00224567">
      <w:pPr>
        <w:widowControl w:val="0"/>
        <w:numPr>
          <w:ilvl w:val="0"/>
          <w:numId w:val="7"/>
        </w:numPr>
      </w:pPr>
      <w:r>
        <w:t xml:space="preserve">- </w:t>
      </w:r>
      <w:r>
        <w:rPr>
          <w:bCs/>
          <w:lang w:val="es-ES_tradnl"/>
        </w:rPr>
        <w:t xml:space="preserve">Ribelli: </w:t>
      </w:r>
      <w:r>
        <w:rPr>
          <w:bCs/>
        </w:rPr>
        <w:t>pero, qué se yo ... así que cualquier cosa te pego un grito ... igual de todas formas que va a hacer ... acá estamos no</w:t>
      </w:r>
    </w:p>
    <w:p w:rsidR="00224567" w:rsidRDefault="00224567">
      <w:pPr>
        <w:widowControl w:val="0"/>
        <w:numPr>
          <w:ilvl w:val="0"/>
          <w:numId w:val="7"/>
        </w:numPr>
      </w:pPr>
      <w:r>
        <w:t xml:space="preserve">- </w:t>
      </w:r>
      <w:r>
        <w:rPr>
          <w:bCs/>
          <w:lang w:val="es-ES_tradnl"/>
        </w:rPr>
        <w:t xml:space="preserve">Ibarra: </w:t>
      </w:r>
      <w:r>
        <w:rPr>
          <w:bCs/>
        </w:rPr>
        <w:t>está bien Juan ...</w:t>
      </w:r>
    </w:p>
    <w:p w:rsidR="00224567" w:rsidRDefault="00224567">
      <w:pPr>
        <w:widowControl w:val="0"/>
        <w:numPr>
          <w:ilvl w:val="0"/>
          <w:numId w:val="7"/>
        </w:numPr>
      </w:pPr>
      <w:r>
        <w:t xml:space="preserve">- </w:t>
      </w:r>
      <w:r>
        <w:rPr>
          <w:bCs/>
          <w:lang w:val="es-ES_tradnl"/>
        </w:rPr>
        <w:t xml:space="preserve">Ribelli: </w:t>
      </w:r>
      <w:r>
        <w:rPr>
          <w:bCs/>
        </w:rPr>
        <w:t>no, no ya sé, pero te digo ... no?</w:t>
      </w:r>
    </w:p>
    <w:p w:rsidR="00224567" w:rsidRDefault="00224567">
      <w:pPr>
        <w:widowControl w:val="0"/>
        <w:numPr>
          <w:ilvl w:val="0"/>
          <w:numId w:val="7"/>
        </w:numPr>
      </w:pPr>
      <w:r>
        <w:t xml:space="preserve">- </w:t>
      </w:r>
      <w:r>
        <w:rPr>
          <w:bCs/>
          <w:lang w:val="es-ES_tradnl"/>
        </w:rPr>
        <w:t xml:space="preserve">Ibarra: </w:t>
      </w:r>
      <w:r>
        <w:rPr>
          <w:bCs/>
        </w:rPr>
        <w:t>está bien ...</w:t>
      </w:r>
    </w:p>
    <w:p w:rsidR="00224567" w:rsidRDefault="00224567">
      <w:pPr>
        <w:widowControl w:val="0"/>
        <w:numPr>
          <w:ilvl w:val="0"/>
          <w:numId w:val="7"/>
        </w:numPr>
      </w:pPr>
      <w:r>
        <w:t xml:space="preserve">- </w:t>
      </w:r>
      <w:r>
        <w:rPr>
          <w:bCs/>
          <w:lang w:val="es-ES_tradnl"/>
        </w:rPr>
        <w:t xml:space="preserve">Ribelli: </w:t>
      </w:r>
      <w:r>
        <w:rPr>
          <w:bCs/>
        </w:rPr>
        <w:t>qué va a hacer?</w:t>
      </w:r>
    </w:p>
    <w:p w:rsidR="00224567" w:rsidRDefault="00224567">
      <w:pPr>
        <w:widowControl w:val="0"/>
        <w:numPr>
          <w:ilvl w:val="0"/>
          <w:numId w:val="7"/>
        </w:numPr>
      </w:pPr>
      <w:r>
        <w:t xml:space="preserve">- </w:t>
      </w:r>
      <w:r>
        <w:rPr>
          <w:bCs/>
          <w:lang w:val="es-ES_tradnl"/>
        </w:rPr>
        <w:t xml:space="preserve">Ibarra: </w:t>
      </w:r>
      <w:r>
        <w:rPr>
          <w:bCs/>
        </w:rPr>
        <w:t>qué sea lo que Dios quiera ...</w:t>
      </w:r>
    </w:p>
    <w:p w:rsidR="00224567" w:rsidRDefault="00224567">
      <w:pPr>
        <w:widowControl w:val="0"/>
        <w:numPr>
          <w:ilvl w:val="0"/>
          <w:numId w:val="7"/>
        </w:numPr>
      </w:pPr>
      <w:r>
        <w:t xml:space="preserve">- </w:t>
      </w:r>
      <w:r>
        <w:rPr>
          <w:bCs/>
          <w:lang w:val="es-ES_tradnl"/>
        </w:rPr>
        <w:t xml:space="preserve">Ribelli: </w:t>
      </w:r>
      <w:r>
        <w:rPr>
          <w:bCs/>
        </w:rPr>
        <w:t>eh ...</w:t>
      </w:r>
    </w:p>
    <w:p w:rsidR="00224567" w:rsidRDefault="00224567">
      <w:pPr>
        <w:widowControl w:val="0"/>
        <w:numPr>
          <w:ilvl w:val="0"/>
          <w:numId w:val="7"/>
        </w:numPr>
      </w:pPr>
      <w:r>
        <w:t xml:space="preserve">- </w:t>
      </w:r>
      <w:r>
        <w:rPr>
          <w:bCs/>
          <w:lang w:val="es-ES_tradnl"/>
        </w:rPr>
        <w:t xml:space="preserve">Ibarra: </w:t>
      </w:r>
      <w:r>
        <w:rPr>
          <w:bCs/>
        </w:rPr>
        <w:t>en mi casa no hay nada qu</w:t>
      </w:r>
      <w:r>
        <w:rPr>
          <w:bCs/>
        </w:rPr>
        <w:t>e</w:t>
      </w:r>
      <w:r>
        <w:rPr>
          <w:bCs/>
        </w:rPr>
        <w:t>date tranquilo</w:t>
      </w:r>
    </w:p>
    <w:p w:rsidR="00224567" w:rsidRDefault="00224567">
      <w:pPr>
        <w:widowControl w:val="0"/>
        <w:numPr>
          <w:ilvl w:val="0"/>
          <w:numId w:val="7"/>
        </w:numPr>
      </w:pPr>
      <w:r>
        <w:t xml:space="preserve">- </w:t>
      </w:r>
      <w:r>
        <w:rPr>
          <w:bCs/>
          <w:lang w:val="es-ES_tradnl"/>
        </w:rPr>
        <w:t xml:space="preserve">Ribelli: </w:t>
      </w:r>
      <w:r>
        <w:rPr>
          <w:bCs/>
        </w:rPr>
        <w:t>no, por eso ... no, pero vamos a ver ... vamos a ver lo que quieren ... qué miércoles es todo esto</w:t>
      </w:r>
    </w:p>
    <w:p w:rsidR="00224567" w:rsidRDefault="00224567">
      <w:pPr>
        <w:widowControl w:val="0"/>
        <w:numPr>
          <w:ilvl w:val="0"/>
          <w:numId w:val="7"/>
        </w:numPr>
      </w:pPr>
      <w:r>
        <w:t xml:space="preserve">- </w:t>
      </w:r>
      <w:r>
        <w:rPr>
          <w:bCs/>
          <w:lang w:val="es-ES_tradnl"/>
        </w:rPr>
        <w:t xml:space="preserve">Ibarra: </w:t>
      </w:r>
      <w:r>
        <w:rPr>
          <w:bCs/>
        </w:rPr>
        <w:t>listo Juancito ...</w:t>
      </w:r>
    </w:p>
    <w:p w:rsidR="00224567" w:rsidRDefault="00224567">
      <w:pPr>
        <w:widowControl w:val="0"/>
        <w:numPr>
          <w:ilvl w:val="0"/>
          <w:numId w:val="7"/>
        </w:numPr>
      </w:pPr>
      <w:r>
        <w:t xml:space="preserve">- </w:t>
      </w:r>
      <w:r>
        <w:rPr>
          <w:bCs/>
          <w:lang w:val="es-ES_tradnl"/>
        </w:rPr>
        <w:t xml:space="preserve">Ribelli: </w:t>
      </w:r>
      <w:r>
        <w:rPr>
          <w:bCs/>
        </w:rPr>
        <w:t>qué lo parió eh</w:t>
      </w:r>
    </w:p>
    <w:p w:rsidR="00224567" w:rsidRDefault="00224567">
      <w:pPr>
        <w:widowControl w:val="0"/>
        <w:numPr>
          <w:ilvl w:val="0"/>
          <w:numId w:val="7"/>
        </w:numPr>
      </w:pPr>
      <w:r>
        <w:t xml:space="preserve">- </w:t>
      </w:r>
      <w:r>
        <w:rPr>
          <w:bCs/>
          <w:lang w:val="es-ES_tradnl"/>
        </w:rPr>
        <w:t xml:space="preserve">Ibarra: </w:t>
      </w:r>
      <w:r>
        <w:rPr>
          <w:bCs/>
        </w:rPr>
        <w:t>y bueno ... y si vos tenés a ... si vos lo decís por algo es ...</w:t>
      </w:r>
    </w:p>
    <w:p w:rsidR="00224567" w:rsidRDefault="00224567">
      <w:pPr>
        <w:widowControl w:val="0"/>
        <w:numPr>
          <w:ilvl w:val="0"/>
          <w:numId w:val="7"/>
        </w:numPr>
      </w:pPr>
      <w:r>
        <w:t xml:space="preserve">- </w:t>
      </w:r>
      <w:r>
        <w:rPr>
          <w:bCs/>
          <w:lang w:val="es-ES_tradnl"/>
        </w:rPr>
        <w:t xml:space="preserve">Ribelli: </w:t>
      </w:r>
      <w:r>
        <w:rPr>
          <w:bCs/>
        </w:rPr>
        <w:t>no, pero yo te digo ... viste cuando a uno le ronda un presentimiento ...</w:t>
      </w:r>
    </w:p>
    <w:p w:rsidR="00224567" w:rsidRDefault="00224567">
      <w:pPr>
        <w:widowControl w:val="0"/>
        <w:numPr>
          <w:ilvl w:val="0"/>
          <w:numId w:val="7"/>
        </w:numPr>
      </w:pPr>
      <w:r>
        <w:t xml:space="preserve">- </w:t>
      </w:r>
      <w:r>
        <w:rPr>
          <w:bCs/>
          <w:lang w:val="es-ES_tradnl"/>
        </w:rPr>
        <w:t xml:space="preserve">Ibarra: </w:t>
      </w:r>
      <w:r>
        <w:rPr>
          <w:bCs/>
        </w:rPr>
        <w:t>ajá</w:t>
      </w:r>
    </w:p>
    <w:p w:rsidR="00224567" w:rsidRDefault="00224567">
      <w:pPr>
        <w:widowControl w:val="0"/>
        <w:numPr>
          <w:ilvl w:val="0"/>
          <w:numId w:val="7"/>
        </w:numPr>
      </w:pPr>
      <w:r>
        <w:t xml:space="preserve">- </w:t>
      </w:r>
      <w:r>
        <w:rPr>
          <w:bCs/>
          <w:lang w:val="es-ES_tradnl"/>
        </w:rPr>
        <w:t xml:space="preserve">Ribelli: </w:t>
      </w:r>
      <w:r>
        <w:rPr>
          <w:bCs/>
        </w:rPr>
        <w:t>entre nosotros hay confianza, si yo te d</w:t>
      </w:r>
      <w:r>
        <w:rPr>
          <w:bCs/>
        </w:rPr>
        <w:t>i</w:t>
      </w:r>
      <w:r>
        <w:rPr>
          <w:bCs/>
        </w:rPr>
        <w:t>go no, si sé algo ... si escuchame ... me e</w:t>
      </w:r>
      <w:r>
        <w:rPr>
          <w:bCs/>
        </w:rPr>
        <w:t>n</w:t>
      </w:r>
      <w:r>
        <w:rPr>
          <w:bCs/>
        </w:rPr>
        <w:t>tendés?</w:t>
      </w:r>
    </w:p>
    <w:p w:rsidR="00224567" w:rsidRDefault="00224567">
      <w:pPr>
        <w:widowControl w:val="0"/>
        <w:numPr>
          <w:ilvl w:val="0"/>
          <w:numId w:val="7"/>
        </w:numPr>
      </w:pPr>
      <w:r>
        <w:t xml:space="preserve">- </w:t>
      </w:r>
      <w:r>
        <w:rPr>
          <w:bCs/>
          <w:lang w:val="es-ES_tradnl"/>
        </w:rPr>
        <w:t xml:space="preserve">Ibarra: </w:t>
      </w:r>
      <w:r>
        <w:rPr>
          <w:bCs/>
        </w:rPr>
        <w:t>ajá</w:t>
      </w:r>
    </w:p>
    <w:p w:rsidR="00224567" w:rsidRDefault="00224567">
      <w:pPr>
        <w:widowControl w:val="0"/>
        <w:numPr>
          <w:ilvl w:val="0"/>
          <w:numId w:val="7"/>
        </w:numPr>
      </w:pPr>
      <w:r>
        <w:t xml:space="preserve">- </w:t>
      </w:r>
      <w:r>
        <w:rPr>
          <w:bCs/>
          <w:lang w:val="es-ES_tradnl"/>
        </w:rPr>
        <w:t xml:space="preserve">Ribelli: </w:t>
      </w:r>
      <w:r>
        <w:rPr>
          <w:bCs/>
        </w:rPr>
        <w:t>te digo con sinceridad, para esto pasa aquello ... pero viste cuando tiene un, cierto pr</w:t>
      </w:r>
      <w:r>
        <w:rPr>
          <w:bCs/>
        </w:rPr>
        <w:t>e</w:t>
      </w:r>
      <w:r>
        <w:rPr>
          <w:bCs/>
        </w:rPr>
        <w:t>sent</w:t>
      </w:r>
      <w:r>
        <w:rPr>
          <w:bCs/>
        </w:rPr>
        <w:t>i</w:t>
      </w:r>
      <w:r>
        <w:rPr>
          <w:bCs/>
        </w:rPr>
        <w:t>miento de algo, de algo ... viste que, que anda fl</w:t>
      </w:r>
      <w:r>
        <w:rPr>
          <w:bCs/>
        </w:rPr>
        <w:t>o</w:t>
      </w:r>
      <w:r>
        <w:rPr>
          <w:bCs/>
        </w:rPr>
        <w:t>tando anda dando vuelta ... así que no sé, vamos a ver</w:t>
      </w:r>
    </w:p>
    <w:p w:rsidR="00224567" w:rsidRDefault="00224567">
      <w:pPr>
        <w:widowControl w:val="0"/>
        <w:numPr>
          <w:ilvl w:val="0"/>
          <w:numId w:val="7"/>
        </w:numPr>
      </w:pPr>
      <w:r>
        <w:t xml:space="preserve">- </w:t>
      </w:r>
      <w:r>
        <w:rPr>
          <w:bCs/>
          <w:lang w:val="es-ES_tradnl"/>
        </w:rPr>
        <w:t xml:space="preserve">Ibarra: </w:t>
      </w:r>
      <w:r>
        <w:rPr>
          <w:bCs/>
        </w:rPr>
        <w:t>y bueno, así ya ... que se termine de una vez por todas</w:t>
      </w:r>
    </w:p>
    <w:p w:rsidR="00224567" w:rsidRDefault="00224567">
      <w:pPr>
        <w:widowControl w:val="0"/>
        <w:numPr>
          <w:ilvl w:val="0"/>
          <w:numId w:val="7"/>
        </w:numPr>
      </w:pPr>
      <w:r>
        <w:t xml:space="preserve">- </w:t>
      </w:r>
      <w:r>
        <w:rPr>
          <w:bCs/>
          <w:lang w:val="es-ES_tradnl"/>
        </w:rPr>
        <w:t xml:space="preserve">Ribelli: </w:t>
      </w:r>
      <w:r>
        <w:rPr>
          <w:bCs/>
        </w:rPr>
        <w:t>no, más bien ... qué va a hacer</w:t>
      </w:r>
    </w:p>
    <w:p w:rsidR="00224567" w:rsidRDefault="00224567">
      <w:pPr>
        <w:widowControl w:val="0"/>
        <w:numPr>
          <w:ilvl w:val="0"/>
          <w:numId w:val="7"/>
        </w:numPr>
      </w:pPr>
      <w:r>
        <w:t xml:space="preserve">- </w:t>
      </w:r>
      <w:r>
        <w:rPr>
          <w:bCs/>
          <w:lang w:val="es-ES_tradnl"/>
        </w:rPr>
        <w:t xml:space="preserve">Ibarra: </w:t>
      </w:r>
      <w:r>
        <w:rPr>
          <w:bCs/>
        </w:rPr>
        <w:t>bueno Juancito ... igual quedate tranquilo que en el teléfono mío de mi casa (interrumpe Rib</w:t>
      </w:r>
      <w:r>
        <w:rPr>
          <w:bCs/>
        </w:rPr>
        <w:t>e</w:t>
      </w:r>
      <w:r>
        <w:rPr>
          <w:bCs/>
        </w:rPr>
        <w:t>lli)</w:t>
      </w:r>
    </w:p>
    <w:p w:rsidR="00224567" w:rsidRDefault="00224567">
      <w:pPr>
        <w:widowControl w:val="0"/>
        <w:numPr>
          <w:ilvl w:val="0"/>
          <w:numId w:val="7"/>
        </w:numPr>
      </w:pPr>
      <w:r>
        <w:t xml:space="preserve">- </w:t>
      </w:r>
      <w:r>
        <w:rPr>
          <w:bCs/>
          <w:lang w:val="es-ES_tradnl"/>
        </w:rPr>
        <w:t xml:space="preserve">Ribelli: </w:t>
      </w:r>
      <w:r>
        <w:rPr>
          <w:bCs/>
        </w:rPr>
        <w:t>no, no, no, lo principal vi</w:t>
      </w:r>
      <w:r>
        <w:rPr>
          <w:bCs/>
        </w:rPr>
        <w:t>s</w:t>
      </w:r>
      <w:r>
        <w:rPr>
          <w:bCs/>
        </w:rPr>
        <w:t>te es ...</w:t>
      </w:r>
    </w:p>
    <w:p w:rsidR="00224567" w:rsidRDefault="00224567">
      <w:pPr>
        <w:widowControl w:val="0"/>
        <w:numPr>
          <w:ilvl w:val="0"/>
          <w:numId w:val="7"/>
        </w:numPr>
      </w:pPr>
      <w:r>
        <w:t xml:space="preserve">- </w:t>
      </w:r>
      <w:r>
        <w:rPr>
          <w:bCs/>
          <w:lang w:val="es-ES_tradnl"/>
        </w:rPr>
        <w:t xml:space="preserve">Ibarra: </w:t>
      </w:r>
      <w:r>
        <w:rPr>
          <w:bCs/>
        </w:rPr>
        <w:t>está todo limpio negro ...</w:t>
      </w:r>
    </w:p>
    <w:p w:rsidR="00224567" w:rsidRDefault="00224567">
      <w:pPr>
        <w:widowControl w:val="0"/>
        <w:numPr>
          <w:ilvl w:val="0"/>
          <w:numId w:val="7"/>
        </w:numPr>
      </w:pPr>
      <w:r>
        <w:t xml:space="preserve">- </w:t>
      </w:r>
      <w:r>
        <w:rPr>
          <w:bCs/>
          <w:lang w:val="es-ES_tradnl"/>
        </w:rPr>
        <w:t xml:space="preserve">Ribelli: </w:t>
      </w:r>
      <w:r>
        <w:rPr>
          <w:bCs/>
        </w:rPr>
        <w:t>no, no, y más que todo ... eh ya tiene e</w:t>
      </w:r>
      <w:r>
        <w:rPr>
          <w:bCs/>
        </w:rPr>
        <w:t>n</w:t>
      </w:r>
      <w:r>
        <w:rPr>
          <w:bCs/>
        </w:rPr>
        <w:t>trada el tipo este por delito</w:t>
      </w:r>
    </w:p>
    <w:p w:rsidR="00224567" w:rsidRDefault="00224567">
      <w:pPr>
        <w:widowControl w:val="0"/>
        <w:numPr>
          <w:ilvl w:val="0"/>
          <w:numId w:val="7"/>
        </w:numPr>
      </w:pPr>
      <w:r>
        <w:t xml:space="preserve">- </w:t>
      </w:r>
      <w:r>
        <w:rPr>
          <w:bCs/>
          <w:lang w:val="es-ES_tradnl"/>
        </w:rPr>
        <w:t xml:space="preserve">Ibarra: </w:t>
      </w:r>
      <w:r>
        <w:rPr>
          <w:bCs/>
        </w:rPr>
        <w:t>sí</w:t>
      </w:r>
    </w:p>
    <w:p w:rsidR="00224567" w:rsidRDefault="00224567">
      <w:pPr>
        <w:widowControl w:val="0"/>
        <w:numPr>
          <w:ilvl w:val="0"/>
          <w:numId w:val="7"/>
        </w:numPr>
      </w:pPr>
      <w:r>
        <w:t xml:space="preserve">- </w:t>
      </w:r>
      <w:r>
        <w:rPr>
          <w:bCs/>
          <w:lang w:val="es-ES_tradnl"/>
        </w:rPr>
        <w:t xml:space="preserve">Ribelli: </w:t>
      </w:r>
      <w:r>
        <w:rPr>
          <w:bCs/>
        </w:rPr>
        <w:t>y el estaba por el 182 ... hacele la e</w:t>
      </w:r>
      <w:r>
        <w:rPr>
          <w:bCs/>
        </w:rPr>
        <w:t>n</w:t>
      </w:r>
      <w:r>
        <w:rPr>
          <w:bCs/>
        </w:rPr>
        <w:t>trada por delito y todo</w:t>
      </w:r>
    </w:p>
    <w:p w:rsidR="00224567" w:rsidRDefault="00224567">
      <w:pPr>
        <w:widowControl w:val="0"/>
        <w:numPr>
          <w:ilvl w:val="0"/>
          <w:numId w:val="7"/>
        </w:numPr>
      </w:pPr>
      <w:r>
        <w:t xml:space="preserve">- </w:t>
      </w:r>
      <w:r>
        <w:rPr>
          <w:bCs/>
          <w:lang w:val="es-ES_tradnl"/>
        </w:rPr>
        <w:t xml:space="preserve">Ibarra: </w:t>
      </w:r>
      <w:r>
        <w:rPr>
          <w:bCs/>
        </w:rPr>
        <w:t>sí, sí</w:t>
      </w:r>
    </w:p>
    <w:p w:rsidR="00224567" w:rsidRDefault="00224567">
      <w:pPr>
        <w:widowControl w:val="0"/>
        <w:numPr>
          <w:ilvl w:val="0"/>
          <w:numId w:val="7"/>
        </w:numPr>
      </w:pPr>
      <w:r>
        <w:t xml:space="preserve">- </w:t>
      </w:r>
      <w:r>
        <w:rPr>
          <w:bCs/>
          <w:lang w:val="es-ES_tradnl"/>
        </w:rPr>
        <w:t xml:space="preserve">Ribelli: </w:t>
      </w:r>
      <w:r>
        <w:rPr>
          <w:bCs/>
        </w:rPr>
        <w:t>bien prolijo ... y las actuaciones del otro (inteligible) está todo bien comunicado y t</w:t>
      </w:r>
      <w:r>
        <w:rPr>
          <w:bCs/>
        </w:rPr>
        <w:t>o</w:t>
      </w:r>
      <w:r>
        <w:rPr>
          <w:bCs/>
        </w:rPr>
        <w:t>do, está todo al día?</w:t>
      </w:r>
    </w:p>
    <w:p w:rsidR="00224567" w:rsidRDefault="00224567">
      <w:pPr>
        <w:widowControl w:val="0"/>
        <w:numPr>
          <w:ilvl w:val="0"/>
          <w:numId w:val="7"/>
        </w:numPr>
      </w:pPr>
      <w:r>
        <w:t xml:space="preserve">- </w:t>
      </w:r>
      <w:r>
        <w:rPr>
          <w:bCs/>
          <w:lang w:val="es-ES_tradnl"/>
        </w:rPr>
        <w:t xml:space="preserve">Ibarra: </w:t>
      </w:r>
      <w:r>
        <w:rPr>
          <w:bCs/>
        </w:rPr>
        <w:t>está todo al día ... eso ya está comunic</w:t>
      </w:r>
      <w:r>
        <w:rPr>
          <w:bCs/>
        </w:rPr>
        <w:t>a</w:t>
      </w:r>
      <w:r>
        <w:rPr>
          <w:bCs/>
        </w:rPr>
        <w:t>do y todo, archivado y todo ...</w:t>
      </w:r>
    </w:p>
    <w:p w:rsidR="00224567" w:rsidRDefault="00224567">
      <w:pPr>
        <w:widowControl w:val="0"/>
        <w:numPr>
          <w:ilvl w:val="0"/>
          <w:numId w:val="7"/>
        </w:numPr>
      </w:pPr>
      <w:r>
        <w:t xml:space="preserve">- </w:t>
      </w:r>
      <w:r>
        <w:rPr>
          <w:bCs/>
          <w:lang w:val="es-ES_tradnl"/>
        </w:rPr>
        <w:t xml:space="preserve">Ribelli: </w:t>
      </w:r>
      <w:r>
        <w:rPr>
          <w:bCs/>
        </w:rPr>
        <w:t>bueno, cualquier cosa nos hablamos</w:t>
      </w:r>
    </w:p>
    <w:p w:rsidR="00224567" w:rsidRDefault="00224567">
      <w:pPr>
        <w:widowControl w:val="0"/>
        <w:numPr>
          <w:ilvl w:val="0"/>
          <w:numId w:val="7"/>
        </w:numPr>
      </w:pPr>
      <w:r>
        <w:t xml:space="preserve">- </w:t>
      </w:r>
      <w:r>
        <w:rPr>
          <w:bCs/>
          <w:lang w:val="es-ES_tradnl"/>
        </w:rPr>
        <w:t xml:space="preserve">Ibarra: </w:t>
      </w:r>
      <w:r>
        <w:rPr>
          <w:bCs/>
        </w:rPr>
        <w:t>bueno Juancito</w:t>
      </w:r>
    </w:p>
    <w:p w:rsidR="00224567" w:rsidRDefault="00224567">
      <w:pPr>
        <w:widowControl w:val="0"/>
        <w:rPr>
          <w:lang w:val="es-ES_tradnl"/>
        </w:rPr>
      </w:pPr>
      <w:r>
        <w:rPr>
          <w:i/>
          <w:iCs/>
        </w:rPr>
        <w:tab/>
      </w:r>
      <w:r>
        <w:rPr>
          <w:lang w:val="es-ES_tradnl"/>
        </w:rPr>
        <w:t>Se despiden y cortan.</w:t>
      </w:r>
    </w:p>
    <w:p w:rsidR="00224567" w:rsidRDefault="00224567">
      <w:pPr>
        <w:widowControl w:val="0"/>
        <w:numPr>
          <w:ilvl w:val="0"/>
          <w:numId w:val="8"/>
        </w:numPr>
        <w:rPr>
          <w:bCs/>
        </w:rPr>
      </w:pPr>
      <w:r>
        <w:rPr>
          <w:bCs/>
        </w:rPr>
        <w:t>Del 12 de julio de 1996, abonado 440-6746, casete 62, lado A, vuelta 480 (cuya trascripción obra a fs. 39.947/8)</w:t>
      </w:r>
    </w:p>
    <w:p w:rsidR="00224567" w:rsidRDefault="00224567">
      <w:pPr>
        <w:widowControl w:val="0"/>
      </w:pPr>
      <w:r>
        <w:rPr>
          <w:b/>
        </w:rPr>
        <w:tab/>
      </w:r>
      <w:r>
        <w:tab/>
        <w:t>Llama desde el control Ribelli. Atie</w:t>
      </w:r>
      <w:r>
        <w:t>n</w:t>
      </w:r>
      <w:r>
        <w:t>de una dama en radiomensaje. Juan manda un mensaje al c</w:t>
      </w:r>
      <w:r>
        <w:t>ó</w:t>
      </w:r>
      <w:r>
        <w:t>digo 19.405 perteneciente a Ojeda, pide que lo llame u</w:t>
      </w:r>
      <w:r>
        <w:t>r</w:t>
      </w:r>
      <w:r>
        <w:t>gente al Mov</w:t>
      </w:r>
      <w:r>
        <w:t>i</w:t>
      </w:r>
      <w:r>
        <w:t>com.</w:t>
      </w:r>
    </w:p>
    <w:p w:rsidR="00224567" w:rsidRDefault="00224567">
      <w:pPr>
        <w:widowControl w:val="0"/>
        <w:numPr>
          <w:ilvl w:val="0"/>
          <w:numId w:val="7"/>
        </w:numPr>
      </w:pPr>
      <w:r>
        <w:t xml:space="preserve">- </w:t>
      </w:r>
      <w:r>
        <w:rPr>
          <w:bCs/>
        </w:rPr>
        <w:t>Ribelli: ¿Estás en Jefatura?</w:t>
      </w:r>
    </w:p>
    <w:p w:rsidR="00224567" w:rsidRDefault="00224567">
      <w:pPr>
        <w:widowControl w:val="0"/>
        <w:numPr>
          <w:ilvl w:val="0"/>
          <w:numId w:val="7"/>
        </w:numPr>
      </w:pPr>
      <w:r>
        <w:t xml:space="preserve">- </w:t>
      </w:r>
      <w:r>
        <w:rPr>
          <w:bCs/>
        </w:rPr>
        <w:t>N.N.: sí</w:t>
      </w:r>
    </w:p>
    <w:p w:rsidR="00224567" w:rsidRDefault="00224567">
      <w:pPr>
        <w:widowControl w:val="0"/>
        <w:numPr>
          <w:ilvl w:val="0"/>
          <w:numId w:val="7"/>
        </w:numPr>
      </w:pPr>
      <w:r>
        <w:t xml:space="preserve">- </w:t>
      </w:r>
      <w:r>
        <w:rPr>
          <w:bCs/>
        </w:rPr>
        <w:t>Ribelli: no se podrá chusmear un poquito ahí, por el tema ese, te digo porque ... porque ahí le están allanando la c</w:t>
      </w:r>
      <w:r>
        <w:rPr>
          <w:bCs/>
        </w:rPr>
        <w:t>a</w:t>
      </w:r>
      <w:r>
        <w:rPr>
          <w:bCs/>
        </w:rPr>
        <w:t>sa a Ibarra</w:t>
      </w:r>
    </w:p>
    <w:p w:rsidR="00224567" w:rsidRDefault="00224567">
      <w:pPr>
        <w:widowControl w:val="0"/>
        <w:numPr>
          <w:ilvl w:val="0"/>
          <w:numId w:val="7"/>
        </w:numPr>
        <w:rPr>
          <w:lang w:val="en-US"/>
        </w:rPr>
      </w:pPr>
      <w:r>
        <w:rPr>
          <w:lang w:val="en-US"/>
        </w:rPr>
        <w:t xml:space="preserve">- </w:t>
      </w:r>
      <w:r>
        <w:rPr>
          <w:bCs/>
          <w:lang w:val="en-US"/>
        </w:rPr>
        <w:t>N.N.: ah ...</w:t>
      </w:r>
    </w:p>
    <w:p w:rsidR="00224567" w:rsidRDefault="00224567">
      <w:pPr>
        <w:widowControl w:val="0"/>
        <w:numPr>
          <w:ilvl w:val="0"/>
          <w:numId w:val="7"/>
        </w:numPr>
      </w:pPr>
      <w:r>
        <w:t xml:space="preserve">- </w:t>
      </w:r>
      <w:r>
        <w:rPr>
          <w:bCs/>
          <w:lang w:val="es-ES_tradnl"/>
        </w:rPr>
        <w:t xml:space="preserve">Ribelli: </w:t>
      </w:r>
      <w:r>
        <w:rPr>
          <w:bCs/>
        </w:rPr>
        <w:t xml:space="preserve">es por el tema que te digo yo, es por </w:t>
      </w:r>
      <w:smartTag w:uri="urn:schemas-microsoft-com:office:smarttags" w:element="PersonName">
        <w:smartTagPr>
          <w:attr w:name="ProductID" w:val="la A.M"/>
        </w:smartTagPr>
        <w:r>
          <w:rPr>
            <w:bCs/>
          </w:rPr>
          <w:t>la A.M</w:t>
        </w:r>
      </w:smartTag>
      <w:r>
        <w:rPr>
          <w:bCs/>
        </w:rPr>
        <w:t>.I.A. viste</w:t>
      </w:r>
    </w:p>
    <w:p w:rsidR="00224567" w:rsidRDefault="00224567">
      <w:pPr>
        <w:widowControl w:val="0"/>
        <w:numPr>
          <w:ilvl w:val="0"/>
          <w:numId w:val="7"/>
        </w:numPr>
        <w:rPr>
          <w:lang w:val="es-ES_tradnl"/>
        </w:rPr>
      </w:pPr>
      <w:r>
        <w:rPr>
          <w:lang w:val="es-ES_tradnl"/>
        </w:rPr>
        <w:t xml:space="preserve">- </w:t>
      </w:r>
      <w:r>
        <w:rPr>
          <w:bCs/>
          <w:lang w:val="es-ES_tradnl"/>
        </w:rPr>
        <w:t xml:space="preserve">N.N.: </w:t>
      </w:r>
      <w:r>
        <w:rPr>
          <w:bCs/>
        </w:rPr>
        <w:t>ah ... bueno, bueno</w:t>
      </w:r>
    </w:p>
    <w:p w:rsidR="00224567" w:rsidRDefault="00224567">
      <w:pPr>
        <w:widowControl w:val="0"/>
        <w:numPr>
          <w:ilvl w:val="0"/>
          <w:numId w:val="7"/>
        </w:numPr>
        <w:rPr>
          <w:lang w:val="es-ES_tradnl"/>
        </w:rPr>
      </w:pPr>
      <w:r>
        <w:rPr>
          <w:bCs/>
          <w:lang w:val="es-ES_tradnl"/>
        </w:rPr>
        <w:t xml:space="preserve">- Ribelli: </w:t>
      </w:r>
      <w:r>
        <w:rPr>
          <w:bCs/>
        </w:rPr>
        <w:t>eh ... no hay ningún problema, porque e</w:t>
      </w:r>
      <w:r>
        <w:rPr>
          <w:bCs/>
        </w:rPr>
        <w:t>s</w:t>
      </w:r>
      <w:r>
        <w:rPr>
          <w:bCs/>
        </w:rPr>
        <w:t>tán mentalizados que si venía algo así se iban a pr</w:t>
      </w:r>
      <w:r>
        <w:rPr>
          <w:bCs/>
        </w:rPr>
        <w:t>e</w:t>
      </w:r>
      <w:r>
        <w:rPr>
          <w:bCs/>
        </w:rPr>
        <w:t>sentar y todo, viste, pero para ver hasta donde ... hasta que nivel alca</w:t>
      </w:r>
      <w:r>
        <w:rPr>
          <w:bCs/>
        </w:rPr>
        <w:t>n</w:t>
      </w:r>
      <w:r>
        <w:rPr>
          <w:bCs/>
        </w:rPr>
        <w:t>za, viste</w:t>
      </w:r>
    </w:p>
    <w:p w:rsidR="00224567" w:rsidRDefault="00224567">
      <w:pPr>
        <w:widowControl w:val="0"/>
        <w:numPr>
          <w:ilvl w:val="0"/>
          <w:numId w:val="7"/>
        </w:numPr>
        <w:rPr>
          <w:lang w:val="es-ES_tradnl"/>
        </w:rPr>
      </w:pPr>
      <w:r>
        <w:rPr>
          <w:bCs/>
          <w:lang w:val="es-ES_tradnl"/>
        </w:rPr>
        <w:t xml:space="preserve">- N.N.: </w:t>
      </w:r>
      <w:r>
        <w:rPr>
          <w:bCs/>
        </w:rPr>
        <w:t>ah ... bueno</w:t>
      </w:r>
    </w:p>
    <w:p w:rsidR="00224567" w:rsidRDefault="00224567">
      <w:pPr>
        <w:widowControl w:val="0"/>
        <w:numPr>
          <w:ilvl w:val="0"/>
          <w:numId w:val="7"/>
        </w:numPr>
        <w:rPr>
          <w:lang w:val="es-ES_tradnl"/>
        </w:rPr>
      </w:pPr>
      <w:r>
        <w:rPr>
          <w:bCs/>
          <w:lang w:val="es-ES_tradnl"/>
        </w:rPr>
        <w:t xml:space="preserve">- Ribelli: </w:t>
      </w:r>
      <w:r>
        <w:rPr>
          <w:bCs/>
        </w:rPr>
        <w:t>más que todo porque en esa causa estaba Alejandro también, pobre Burguete, todos, viste ..., e</w:t>
      </w:r>
      <w:r>
        <w:rPr>
          <w:bCs/>
        </w:rPr>
        <w:t>n</w:t>
      </w:r>
      <w:r>
        <w:rPr>
          <w:bCs/>
        </w:rPr>
        <w:t>tonces para ...</w:t>
      </w:r>
    </w:p>
    <w:p w:rsidR="00224567" w:rsidRDefault="00224567">
      <w:pPr>
        <w:widowControl w:val="0"/>
        <w:numPr>
          <w:ilvl w:val="0"/>
          <w:numId w:val="7"/>
        </w:numPr>
        <w:rPr>
          <w:lang w:val="es-ES_tradnl"/>
        </w:rPr>
      </w:pPr>
      <w:r>
        <w:rPr>
          <w:bCs/>
          <w:lang w:val="es-ES_tradnl"/>
        </w:rPr>
        <w:t xml:space="preserve">- N.N.: </w:t>
      </w:r>
      <w:r>
        <w:rPr>
          <w:bCs/>
        </w:rPr>
        <w:t>sí, sí, y querés que persona</w:t>
      </w:r>
      <w:r>
        <w:rPr>
          <w:bCs/>
        </w:rPr>
        <w:t>l</w:t>
      </w:r>
      <w:r>
        <w:rPr>
          <w:bCs/>
        </w:rPr>
        <w:t>mente ...</w:t>
      </w:r>
    </w:p>
    <w:p w:rsidR="00224567" w:rsidRDefault="00224567">
      <w:pPr>
        <w:widowControl w:val="0"/>
        <w:numPr>
          <w:ilvl w:val="0"/>
          <w:numId w:val="7"/>
        </w:numPr>
        <w:rPr>
          <w:lang w:val="es-ES_tradnl"/>
        </w:rPr>
      </w:pPr>
      <w:r>
        <w:rPr>
          <w:lang w:val="es-ES_tradnl"/>
        </w:rPr>
        <w:t xml:space="preserve">- </w:t>
      </w:r>
      <w:r>
        <w:rPr>
          <w:bCs/>
          <w:lang w:val="es-ES_tradnl"/>
        </w:rPr>
        <w:t xml:space="preserve">Ribelli: </w:t>
      </w:r>
      <w:r>
        <w:rPr>
          <w:bCs/>
        </w:rPr>
        <w:t>y yo que sé, estará Canale capaz ... digo yo</w:t>
      </w:r>
    </w:p>
    <w:p w:rsidR="00224567" w:rsidRDefault="00224567">
      <w:pPr>
        <w:widowControl w:val="0"/>
        <w:numPr>
          <w:ilvl w:val="0"/>
          <w:numId w:val="7"/>
        </w:numPr>
        <w:rPr>
          <w:lang w:val="es-ES_tradnl"/>
        </w:rPr>
      </w:pPr>
      <w:r>
        <w:rPr>
          <w:bCs/>
          <w:lang w:val="es-ES_tradnl"/>
        </w:rPr>
        <w:t xml:space="preserve">- N.N.: </w:t>
      </w:r>
      <w:r>
        <w:rPr>
          <w:bCs/>
        </w:rPr>
        <w:t>bueno</w:t>
      </w:r>
    </w:p>
    <w:p w:rsidR="00224567" w:rsidRDefault="00224567">
      <w:pPr>
        <w:widowControl w:val="0"/>
        <w:numPr>
          <w:ilvl w:val="0"/>
          <w:numId w:val="7"/>
        </w:numPr>
        <w:rPr>
          <w:lang w:val="es-ES_tradnl"/>
        </w:rPr>
      </w:pPr>
      <w:r>
        <w:rPr>
          <w:bCs/>
          <w:lang w:val="es-ES_tradnl"/>
        </w:rPr>
        <w:t xml:space="preserve">- Ribelli: </w:t>
      </w:r>
      <w:r>
        <w:rPr>
          <w:bCs/>
        </w:rPr>
        <w:t>bah digo yo, si no jode mucho viste ..., por ahí están todos reunidos y es meter la boca en la llaga</w:t>
      </w:r>
    </w:p>
    <w:p w:rsidR="00224567" w:rsidRDefault="00224567">
      <w:pPr>
        <w:widowControl w:val="0"/>
        <w:numPr>
          <w:ilvl w:val="0"/>
          <w:numId w:val="7"/>
        </w:numPr>
        <w:rPr>
          <w:lang w:val="es-ES_tradnl"/>
        </w:rPr>
      </w:pPr>
      <w:r>
        <w:rPr>
          <w:bCs/>
          <w:lang w:val="es-ES_tradnl"/>
        </w:rPr>
        <w:t xml:space="preserve">- N.N.: </w:t>
      </w:r>
      <w:r>
        <w:rPr>
          <w:bCs/>
        </w:rPr>
        <w:t>claro, averiguo si están porque hace veinte minutos estaban todavía</w:t>
      </w:r>
    </w:p>
    <w:p w:rsidR="00224567" w:rsidRDefault="00224567">
      <w:pPr>
        <w:widowControl w:val="0"/>
        <w:numPr>
          <w:ilvl w:val="0"/>
          <w:numId w:val="7"/>
        </w:numPr>
        <w:rPr>
          <w:lang w:val="es-ES_tradnl"/>
        </w:rPr>
      </w:pPr>
      <w:r>
        <w:rPr>
          <w:bCs/>
          <w:lang w:val="es-ES_tradnl"/>
        </w:rPr>
        <w:t xml:space="preserve">- Ribelli: </w:t>
      </w:r>
      <w:r>
        <w:rPr>
          <w:bCs/>
        </w:rPr>
        <w:t>por eso, pero por ahí si de costado podés chusmear ... más que todo para saber para por lo m</w:t>
      </w:r>
      <w:r>
        <w:rPr>
          <w:bCs/>
        </w:rPr>
        <w:t>e</w:t>
      </w:r>
      <w:r>
        <w:rPr>
          <w:bCs/>
        </w:rPr>
        <w:t>nos, recién me llamó Ibarra a mí, él no estaba en la casa, está trabajando todavía y me dijo yo de acá no me voy a ir, estoy acá en el trabajo, pero me avisa mi señora asustada que están allanando la casa, y s</w:t>
      </w:r>
      <w:r>
        <w:rPr>
          <w:bCs/>
        </w:rPr>
        <w:t>e</w:t>
      </w:r>
      <w:r>
        <w:rPr>
          <w:bCs/>
        </w:rPr>
        <w:t>guro que es esa causa porque uno se veía venir que con el aniversario ah</w:t>
      </w:r>
      <w:r>
        <w:rPr>
          <w:bCs/>
        </w:rPr>
        <w:t>o</w:t>
      </w:r>
      <w:r>
        <w:rPr>
          <w:bCs/>
        </w:rPr>
        <w:t>ra ...</w:t>
      </w:r>
    </w:p>
    <w:p w:rsidR="00224567" w:rsidRDefault="00224567">
      <w:pPr>
        <w:widowControl w:val="0"/>
        <w:numPr>
          <w:ilvl w:val="0"/>
          <w:numId w:val="7"/>
        </w:numPr>
        <w:rPr>
          <w:lang w:val="es-ES_tradnl"/>
        </w:rPr>
      </w:pPr>
      <w:r>
        <w:rPr>
          <w:lang w:val="es-ES_tradnl"/>
        </w:rPr>
        <w:t xml:space="preserve">- </w:t>
      </w:r>
      <w:r>
        <w:rPr>
          <w:bCs/>
          <w:lang w:val="es-ES_tradnl"/>
        </w:rPr>
        <w:t xml:space="preserve">N.N.: </w:t>
      </w:r>
      <w:r>
        <w:rPr>
          <w:bCs/>
        </w:rPr>
        <w:t>claro, en julio ... bueno yo ...</w:t>
      </w:r>
    </w:p>
    <w:p w:rsidR="00224567" w:rsidRDefault="00224567">
      <w:pPr>
        <w:widowControl w:val="0"/>
        <w:numPr>
          <w:ilvl w:val="0"/>
          <w:numId w:val="7"/>
        </w:numPr>
        <w:rPr>
          <w:lang w:val="es-ES_tradnl"/>
        </w:rPr>
      </w:pPr>
      <w:r>
        <w:rPr>
          <w:bCs/>
          <w:lang w:val="es-ES_tradnl"/>
        </w:rPr>
        <w:t xml:space="preserve">- Ribelli: </w:t>
      </w:r>
      <w:r>
        <w:rPr>
          <w:bCs/>
        </w:rPr>
        <w:t>me llamás, yo dejo el M</w:t>
      </w:r>
      <w:r>
        <w:rPr>
          <w:bCs/>
        </w:rPr>
        <w:t>o</w:t>
      </w:r>
      <w:r>
        <w:rPr>
          <w:bCs/>
        </w:rPr>
        <w:t>vicom abierto</w:t>
      </w:r>
    </w:p>
    <w:p w:rsidR="00224567" w:rsidRDefault="00224567">
      <w:pPr>
        <w:widowControl w:val="0"/>
        <w:numPr>
          <w:ilvl w:val="0"/>
          <w:numId w:val="7"/>
        </w:numPr>
        <w:rPr>
          <w:lang w:val="es-ES_tradnl"/>
        </w:rPr>
      </w:pPr>
      <w:r>
        <w:rPr>
          <w:bCs/>
          <w:lang w:val="es-ES_tradnl"/>
        </w:rPr>
        <w:t xml:space="preserve">- N.N.: </w:t>
      </w:r>
      <w:r>
        <w:rPr>
          <w:bCs/>
        </w:rPr>
        <w:t>yo en diez minutos te llamo</w:t>
      </w:r>
    </w:p>
    <w:p w:rsidR="00224567" w:rsidRDefault="00224567">
      <w:pPr>
        <w:widowControl w:val="0"/>
        <w:rPr>
          <w:lang w:val="es-ES_tradnl"/>
        </w:rPr>
      </w:pPr>
      <w:r>
        <w:rPr>
          <w:i/>
          <w:iCs/>
        </w:rPr>
        <w:tab/>
      </w:r>
      <w:r>
        <w:rPr>
          <w:lang w:val="es-ES_tradnl"/>
        </w:rPr>
        <w:t>Se despiden.</w:t>
      </w:r>
    </w:p>
    <w:p w:rsidR="00224567" w:rsidRDefault="00224567">
      <w:pPr>
        <w:widowControl w:val="0"/>
        <w:numPr>
          <w:ilvl w:val="0"/>
          <w:numId w:val="8"/>
        </w:numPr>
        <w:rPr>
          <w:bCs/>
        </w:rPr>
      </w:pPr>
      <w:r>
        <w:rPr>
          <w:bCs/>
        </w:rPr>
        <w:t>Escucha correspondiente al abonado 440-6746 corre</w:t>
      </w:r>
      <w:r>
        <w:rPr>
          <w:bCs/>
        </w:rPr>
        <w:t>s</w:t>
      </w:r>
      <w:r>
        <w:rPr>
          <w:bCs/>
        </w:rPr>
        <w:t>pondiente al 13 (12) de julio de 1996, grabada en el c</w:t>
      </w:r>
      <w:r>
        <w:rPr>
          <w:bCs/>
        </w:rPr>
        <w:t>a</w:t>
      </w:r>
      <w:r>
        <w:rPr>
          <w:bCs/>
        </w:rPr>
        <w:t>sete 65 vuelta 90(fs. 39750/39752 y 39888/39890)</w:t>
      </w:r>
    </w:p>
    <w:p w:rsidR="00224567" w:rsidRDefault="00224567">
      <w:pPr>
        <w:widowControl w:val="0"/>
      </w:pPr>
      <w:r>
        <w:tab/>
        <w:t>1) Llama desde el control Juan Ribelli</w:t>
      </w:r>
    </w:p>
    <w:p w:rsidR="00224567" w:rsidRDefault="00224567">
      <w:pPr>
        <w:widowControl w:val="0"/>
      </w:pPr>
      <w:r>
        <w:tab/>
        <w:t>2) Atiende un señor que se identifica como gran jefe. Se saludan</w:t>
      </w:r>
    </w:p>
    <w:p w:rsidR="00224567" w:rsidRDefault="00224567">
      <w:pPr>
        <w:widowControl w:val="0"/>
        <w:numPr>
          <w:ilvl w:val="0"/>
          <w:numId w:val="7"/>
        </w:numPr>
        <w:rPr>
          <w:lang w:val="es-ES_tradnl"/>
        </w:rPr>
      </w:pPr>
      <w:r>
        <w:rPr>
          <w:lang w:val="es-ES_tradnl"/>
        </w:rPr>
        <w:t xml:space="preserve">- </w:t>
      </w:r>
      <w:r>
        <w:rPr>
          <w:bCs/>
        </w:rPr>
        <w:t>Ribelli: Dónde estás?</w:t>
      </w:r>
    </w:p>
    <w:p w:rsidR="00224567" w:rsidRDefault="00224567">
      <w:pPr>
        <w:widowControl w:val="0"/>
        <w:numPr>
          <w:ilvl w:val="0"/>
          <w:numId w:val="7"/>
        </w:numPr>
        <w:rPr>
          <w:lang w:val="es-ES_tradnl"/>
        </w:rPr>
      </w:pPr>
      <w:r>
        <w:rPr>
          <w:bCs/>
          <w:lang w:val="es-ES_tradnl"/>
        </w:rPr>
        <w:t xml:space="preserve">- </w:t>
      </w:r>
      <w:r>
        <w:rPr>
          <w:bCs/>
        </w:rPr>
        <w:t xml:space="preserve">N.N.: Vamos camino a </w:t>
      </w:r>
      <w:smartTag w:uri="urn:schemas-microsoft-com:office:smarttags" w:element="PersonName">
        <w:smartTagPr>
          <w:attr w:name="ProductID" w:val="La Plata"/>
        </w:smartTagPr>
        <w:r>
          <w:rPr>
            <w:bCs/>
          </w:rPr>
          <w:t>La Plata</w:t>
        </w:r>
      </w:smartTag>
      <w:r>
        <w:rPr>
          <w:bCs/>
        </w:rPr>
        <w:t>, nos citó el Dire</w:t>
      </w:r>
      <w:r>
        <w:rPr>
          <w:bCs/>
        </w:rPr>
        <w:t>c</w:t>
      </w:r>
      <w:r>
        <w:rPr>
          <w:bCs/>
        </w:rPr>
        <w:t>tor</w:t>
      </w:r>
    </w:p>
    <w:p w:rsidR="00224567" w:rsidRDefault="00224567">
      <w:pPr>
        <w:widowControl w:val="0"/>
        <w:numPr>
          <w:ilvl w:val="0"/>
          <w:numId w:val="7"/>
        </w:numPr>
        <w:rPr>
          <w:lang w:val="es-ES_tradnl"/>
        </w:rPr>
      </w:pPr>
      <w:r>
        <w:rPr>
          <w:bCs/>
          <w:lang w:val="es-ES_tradnl"/>
        </w:rPr>
        <w:t xml:space="preserve">- </w:t>
      </w:r>
      <w:r>
        <w:rPr>
          <w:bCs/>
        </w:rPr>
        <w:t>Ribelli: Con quién vas?</w:t>
      </w:r>
    </w:p>
    <w:p w:rsidR="00224567" w:rsidRDefault="00224567">
      <w:pPr>
        <w:widowControl w:val="0"/>
        <w:numPr>
          <w:ilvl w:val="0"/>
          <w:numId w:val="7"/>
        </w:numPr>
        <w:rPr>
          <w:lang w:val="es-ES_tradnl"/>
        </w:rPr>
      </w:pPr>
      <w:r>
        <w:rPr>
          <w:bCs/>
          <w:lang w:val="es-ES_tradnl"/>
        </w:rPr>
        <w:t xml:space="preserve">- </w:t>
      </w:r>
      <w:r>
        <w:rPr>
          <w:bCs/>
        </w:rPr>
        <w:t>N.N.: Y voy con ... Huici y Cruz, y parece que a Burguette también lo citaron, parece que es por el tema ese</w:t>
      </w:r>
    </w:p>
    <w:p w:rsidR="00224567" w:rsidRDefault="00224567">
      <w:pPr>
        <w:widowControl w:val="0"/>
        <w:numPr>
          <w:ilvl w:val="0"/>
          <w:numId w:val="7"/>
        </w:numPr>
        <w:rPr>
          <w:lang w:val="es-ES_tradnl"/>
        </w:rPr>
      </w:pPr>
      <w:r>
        <w:rPr>
          <w:bCs/>
          <w:lang w:val="es-ES_tradnl"/>
        </w:rPr>
        <w:t xml:space="preserve">- </w:t>
      </w:r>
      <w:r>
        <w:rPr>
          <w:bCs/>
        </w:rPr>
        <w:t xml:space="preserve">Ribelli: Escucháme una cosa, sí por el tema de </w:t>
      </w:r>
      <w:smartTag w:uri="urn:schemas-microsoft-com:office:smarttags" w:element="PersonName">
        <w:smartTagPr>
          <w:attr w:name="ProductID" w:val="la A.M"/>
        </w:smartTagPr>
        <w:r>
          <w:rPr>
            <w:bCs/>
          </w:rPr>
          <w:t>la A.M</w:t>
        </w:r>
      </w:smartTag>
      <w:r>
        <w:rPr>
          <w:bCs/>
        </w:rPr>
        <w:t>.I.A., hay una orden de detención para Bac</w:t>
      </w:r>
      <w:r>
        <w:rPr>
          <w:bCs/>
        </w:rPr>
        <w:t>i</w:t>
      </w:r>
      <w:r>
        <w:rPr>
          <w:bCs/>
        </w:rPr>
        <w:t>galupo, p</w:t>
      </w:r>
      <w:r>
        <w:rPr>
          <w:bCs/>
        </w:rPr>
        <w:t>a</w:t>
      </w:r>
      <w:r>
        <w:rPr>
          <w:bCs/>
        </w:rPr>
        <w:t>ra Ibarra, para mí, para un par de gente más, y hay algunos comparendos co</w:t>
      </w:r>
      <w:r>
        <w:rPr>
          <w:bCs/>
        </w:rPr>
        <w:t>m</w:t>
      </w:r>
      <w:r>
        <w:rPr>
          <w:bCs/>
        </w:rPr>
        <w:t>pulsivos.</w:t>
      </w:r>
    </w:p>
    <w:p w:rsidR="00224567" w:rsidRDefault="00224567">
      <w:pPr>
        <w:widowControl w:val="0"/>
        <w:numPr>
          <w:ilvl w:val="0"/>
          <w:numId w:val="7"/>
        </w:numPr>
        <w:rPr>
          <w:lang w:val="es-ES_tradnl"/>
        </w:rPr>
      </w:pPr>
      <w:r>
        <w:rPr>
          <w:bCs/>
        </w:rPr>
        <w:t>- N.N.: Comparendos compulsivos ... ?</w:t>
      </w:r>
    </w:p>
    <w:p w:rsidR="00224567" w:rsidRDefault="00224567">
      <w:pPr>
        <w:widowControl w:val="0"/>
        <w:numPr>
          <w:ilvl w:val="0"/>
          <w:numId w:val="7"/>
        </w:numPr>
        <w:rPr>
          <w:lang w:val="es-ES_tradnl"/>
        </w:rPr>
      </w:pPr>
      <w:r>
        <w:rPr>
          <w:bCs/>
        </w:rPr>
        <w:t>- Ribelli: Yo ya hablé con el Dire</w:t>
      </w:r>
      <w:r>
        <w:rPr>
          <w:bCs/>
        </w:rPr>
        <w:t>c</w:t>
      </w:r>
      <w:r>
        <w:rPr>
          <w:bCs/>
        </w:rPr>
        <w:t>tor y le dije que yo dentro de un rato me voy para Jefatura, y me pr</w:t>
      </w:r>
      <w:r>
        <w:rPr>
          <w:bCs/>
        </w:rPr>
        <w:t>e</w:t>
      </w:r>
      <w:r>
        <w:rPr>
          <w:bCs/>
        </w:rPr>
        <w:t>sento</w:t>
      </w:r>
    </w:p>
    <w:p w:rsidR="00224567" w:rsidRDefault="00224567">
      <w:pPr>
        <w:widowControl w:val="0"/>
        <w:numPr>
          <w:ilvl w:val="0"/>
          <w:numId w:val="7"/>
        </w:numPr>
        <w:rPr>
          <w:lang w:val="es-ES_tradnl"/>
        </w:rPr>
      </w:pPr>
      <w:r>
        <w:rPr>
          <w:bCs/>
        </w:rPr>
        <w:t>- N.N.: Ah, te vas a presentar?, entonces nos tenemos que presentar ... lo tenemos que presentar a Cruz?</w:t>
      </w:r>
    </w:p>
    <w:p w:rsidR="00224567" w:rsidRDefault="00224567">
      <w:pPr>
        <w:widowControl w:val="0"/>
        <w:numPr>
          <w:ilvl w:val="0"/>
          <w:numId w:val="7"/>
        </w:numPr>
        <w:rPr>
          <w:lang w:val="es-ES_tradnl"/>
        </w:rPr>
      </w:pPr>
      <w:r>
        <w:rPr>
          <w:lang w:val="es-ES_tradnl"/>
        </w:rPr>
        <w:t xml:space="preserve">- </w:t>
      </w:r>
      <w:r>
        <w:rPr>
          <w:bCs/>
        </w:rPr>
        <w:t>Ribelli: Sí, porque lo que cuestionan es un incu</w:t>
      </w:r>
      <w:r>
        <w:rPr>
          <w:bCs/>
        </w:rPr>
        <w:t>m</w:t>
      </w:r>
      <w:r>
        <w:rPr>
          <w:bCs/>
        </w:rPr>
        <w:t>plimiento a los deberes de funcionario público, está Huici ahí?</w:t>
      </w:r>
    </w:p>
    <w:p w:rsidR="00224567" w:rsidRDefault="00224567">
      <w:pPr>
        <w:widowControl w:val="0"/>
        <w:numPr>
          <w:ilvl w:val="0"/>
          <w:numId w:val="7"/>
        </w:numPr>
        <w:rPr>
          <w:lang w:val="es-ES_tradnl"/>
        </w:rPr>
      </w:pPr>
      <w:r>
        <w:rPr>
          <w:lang w:val="es-ES_tradnl"/>
        </w:rPr>
        <w:t xml:space="preserve">- </w:t>
      </w:r>
      <w:r>
        <w:rPr>
          <w:bCs/>
        </w:rPr>
        <w:t>N.N.: Sí, te doy con él así le expl</w:t>
      </w:r>
      <w:r>
        <w:rPr>
          <w:bCs/>
        </w:rPr>
        <w:t>i</w:t>
      </w:r>
      <w:r>
        <w:rPr>
          <w:bCs/>
        </w:rPr>
        <w:t>cás ...</w:t>
      </w:r>
    </w:p>
    <w:p w:rsidR="00224567" w:rsidRDefault="00224567">
      <w:pPr>
        <w:widowControl w:val="0"/>
        <w:numPr>
          <w:ilvl w:val="0"/>
          <w:numId w:val="7"/>
        </w:numPr>
        <w:rPr>
          <w:lang w:val="es-ES_tradnl"/>
        </w:rPr>
      </w:pPr>
      <w:r>
        <w:rPr>
          <w:bCs/>
        </w:rPr>
        <w:t>- Huici: Hola ...</w:t>
      </w:r>
    </w:p>
    <w:p w:rsidR="00224567" w:rsidRDefault="00224567">
      <w:pPr>
        <w:widowControl w:val="0"/>
        <w:numPr>
          <w:ilvl w:val="0"/>
          <w:numId w:val="7"/>
        </w:numPr>
        <w:rPr>
          <w:lang w:val="es-ES_tradnl"/>
        </w:rPr>
      </w:pPr>
      <w:r>
        <w:rPr>
          <w:bCs/>
        </w:rPr>
        <w:t>- Ribelli: Hola ...</w:t>
      </w:r>
    </w:p>
    <w:p w:rsidR="00224567" w:rsidRDefault="00224567">
      <w:pPr>
        <w:widowControl w:val="0"/>
        <w:numPr>
          <w:ilvl w:val="0"/>
          <w:numId w:val="7"/>
        </w:numPr>
        <w:rPr>
          <w:lang w:val="es-ES_tradnl"/>
        </w:rPr>
      </w:pPr>
      <w:r>
        <w:rPr>
          <w:bCs/>
        </w:rPr>
        <w:t>- Huici: Qué pasó?</w:t>
      </w:r>
    </w:p>
    <w:p w:rsidR="00224567" w:rsidRDefault="00224567">
      <w:pPr>
        <w:widowControl w:val="0"/>
        <w:numPr>
          <w:ilvl w:val="0"/>
          <w:numId w:val="7"/>
        </w:numPr>
        <w:rPr>
          <w:lang w:val="es-ES_tradnl"/>
        </w:rPr>
      </w:pPr>
      <w:r>
        <w:rPr>
          <w:lang w:val="es-ES_tradnl"/>
        </w:rPr>
        <w:t xml:space="preserve">- </w:t>
      </w:r>
      <w:r>
        <w:rPr>
          <w:bCs/>
        </w:rPr>
        <w:t xml:space="preserve">Ribelli: Y nos llevan a todos por el tema de </w:t>
      </w:r>
      <w:smartTag w:uri="urn:schemas-microsoft-com:office:smarttags" w:element="PersonName">
        <w:smartTagPr>
          <w:attr w:name="ProductID" w:val="la A.M"/>
        </w:smartTagPr>
        <w:r>
          <w:rPr>
            <w:bCs/>
          </w:rPr>
          <w:t>la A.M</w:t>
        </w:r>
      </w:smartTag>
      <w:r>
        <w:rPr>
          <w:bCs/>
        </w:rPr>
        <w:t>.I.A.</w:t>
      </w:r>
    </w:p>
    <w:p w:rsidR="00224567" w:rsidRDefault="00224567">
      <w:pPr>
        <w:widowControl w:val="0"/>
        <w:numPr>
          <w:ilvl w:val="0"/>
          <w:numId w:val="7"/>
        </w:numPr>
        <w:rPr>
          <w:lang w:val="es-ES_tradnl"/>
        </w:rPr>
      </w:pPr>
      <w:r>
        <w:rPr>
          <w:lang w:val="es-ES_tradnl"/>
        </w:rPr>
        <w:t xml:space="preserve">- </w:t>
      </w:r>
      <w:r>
        <w:rPr>
          <w:bCs/>
        </w:rPr>
        <w:t>Huici: Por eso ...?</w:t>
      </w:r>
    </w:p>
    <w:p w:rsidR="00224567" w:rsidRDefault="00224567">
      <w:pPr>
        <w:widowControl w:val="0"/>
        <w:numPr>
          <w:ilvl w:val="0"/>
          <w:numId w:val="7"/>
        </w:numPr>
        <w:rPr>
          <w:lang w:val="es-ES_tradnl"/>
        </w:rPr>
      </w:pPr>
      <w:r>
        <w:rPr>
          <w:bCs/>
        </w:rPr>
        <w:t>- Ribelli: No sé ... yo sí .. hay varias órdenes de detención, e</w:t>
      </w:r>
      <w:r>
        <w:rPr>
          <w:bCs/>
        </w:rPr>
        <w:t>s</w:t>
      </w:r>
      <w:r>
        <w:rPr>
          <w:bCs/>
        </w:rPr>
        <w:t>tá?</w:t>
      </w:r>
    </w:p>
    <w:p w:rsidR="00224567" w:rsidRDefault="00224567">
      <w:pPr>
        <w:widowControl w:val="0"/>
        <w:numPr>
          <w:ilvl w:val="0"/>
          <w:numId w:val="7"/>
        </w:numPr>
        <w:rPr>
          <w:lang w:val="es-ES_tradnl"/>
        </w:rPr>
      </w:pPr>
      <w:r>
        <w:rPr>
          <w:bCs/>
        </w:rPr>
        <w:t>- Huici: Sí</w:t>
      </w:r>
    </w:p>
    <w:p w:rsidR="00224567" w:rsidRDefault="00224567">
      <w:pPr>
        <w:widowControl w:val="0"/>
        <w:numPr>
          <w:ilvl w:val="0"/>
          <w:numId w:val="7"/>
        </w:numPr>
        <w:rPr>
          <w:lang w:val="es-ES_tradnl"/>
        </w:rPr>
      </w:pPr>
      <w:r>
        <w:rPr>
          <w:bCs/>
        </w:rPr>
        <w:t xml:space="preserve">- Ribelli: ... en la causa de </w:t>
      </w:r>
      <w:smartTag w:uri="urn:schemas-microsoft-com:office:smarttags" w:element="PersonName">
        <w:smartTagPr>
          <w:attr w:name="ProductID" w:val="la A.M"/>
        </w:smartTagPr>
        <w:r>
          <w:rPr>
            <w:bCs/>
          </w:rPr>
          <w:t>la A.M</w:t>
        </w:r>
      </w:smartTag>
      <w:r>
        <w:rPr>
          <w:bCs/>
        </w:rPr>
        <w:t>.I.A., y hay a</w:t>
      </w:r>
      <w:r>
        <w:rPr>
          <w:bCs/>
        </w:rPr>
        <w:t>l</w:t>
      </w:r>
      <w:r>
        <w:rPr>
          <w:bCs/>
        </w:rPr>
        <w:t>gunos comparendos compulsivos, y yo pienso que vos estás dentro de los comparendos compulsivos, porque vos teóricamente creo que con la detención que vos haces con Ambrosi y todo eso, ahí surge en una decl</w:t>
      </w:r>
      <w:r>
        <w:rPr>
          <w:bCs/>
        </w:rPr>
        <w:t>a</w:t>
      </w:r>
      <w:r>
        <w:rPr>
          <w:bCs/>
        </w:rPr>
        <w:t>ración tuya que los coches, ese Ambrosi los r</w:t>
      </w:r>
      <w:r>
        <w:rPr>
          <w:bCs/>
        </w:rPr>
        <w:t>e</w:t>
      </w:r>
      <w:r>
        <w:rPr>
          <w:bCs/>
        </w:rPr>
        <w:t>cibía o se los pasaba un tal “enano”, que de última vos no tenés que acordarte mucho porque a lo sumo lo que e</w:t>
      </w:r>
      <w:r>
        <w:rPr>
          <w:bCs/>
        </w:rPr>
        <w:t>s</w:t>
      </w:r>
      <w:r>
        <w:rPr>
          <w:bCs/>
        </w:rPr>
        <w:t>cribís, lo firmás y a lo sumo podés ratificar lo que está escr</w:t>
      </w:r>
      <w:r>
        <w:rPr>
          <w:bCs/>
        </w:rPr>
        <w:t>i</w:t>
      </w:r>
      <w:r>
        <w:rPr>
          <w:bCs/>
        </w:rPr>
        <w:t>to, no ... ?</w:t>
      </w:r>
    </w:p>
    <w:p w:rsidR="00224567" w:rsidRDefault="00224567">
      <w:pPr>
        <w:widowControl w:val="0"/>
        <w:numPr>
          <w:ilvl w:val="0"/>
          <w:numId w:val="7"/>
        </w:numPr>
        <w:rPr>
          <w:lang w:val="es-ES_tradnl"/>
        </w:rPr>
      </w:pPr>
      <w:r>
        <w:rPr>
          <w:lang w:val="es-ES_tradnl"/>
        </w:rPr>
        <w:t xml:space="preserve">- </w:t>
      </w:r>
      <w:r>
        <w:rPr>
          <w:bCs/>
        </w:rPr>
        <w:t>Huici: Sí</w:t>
      </w:r>
    </w:p>
    <w:p w:rsidR="00224567" w:rsidRDefault="00224567">
      <w:pPr>
        <w:widowControl w:val="0"/>
        <w:numPr>
          <w:ilvl w:val="0"/>
          <w:numId w:val="7"/>
        </w:numPr>
        <w:rPr>
          <w:lang w:val="es-ES_tradnl"/>
        </w:rPr>
      </w:pPr>
      <w:r>
        <w:rPr>
          <w:lang w:val="es-ES_tradnl"/>
        </w:rPr>
        <w:t xml:space="preserve">- </w:t>
      </w:r>
      <w:r>
        <w:rPr>
          <w:bCs/>
        </w:rPr>
        <w:t>Ribelli: En detalle, hay tantas causas que no es necesario que te acuerdes, está?</w:t>
      </w:r>
    </w:p>
    <w:p w:rsidR="00224567" w:rsidRDefault="00224567">
      <w:pPr>
        <w:widowControl w:val="0"/>
        <w:numPr>
          <w:ilvl w:val="0"/>
          <w:numId w:val="7"/>
        </w:numPr>
        <w:rPr>
          <w:lang w:val="es-ES_tradnl"/>
        </w:rPr>
      </w:pPr>
      <w:r>
        <w:rPr>
          <w:bCs/>
        </w:rPr>
        <w:t>- Huici: Sí, sí.</w:t>
      </w:r>
    </w:p>
    <w:p w:rsidR="00224567" w:rsidRDefault="00224567">
      <w:pPr>
        <w:widowControl w:val="0"/>
        <w:numPr>
          <w:ilvl w:val="0"/>
          <w:numId w:val="7"/>
        </w:numPr>
        <w:rPr>
          <w:lang w:val="es-ES_tradnl"/>
        </w:rPr>
      </w:pPr>
      <w:r>
        <w:rPr>
          <w:bCs/>
        </w:rPr>
        <w:t>- Ribelli: Porque ... porque hay unos cuantos comp</w:t>
      </w:r>
      <w:r>
        <w:rPr>
          <w:bCs/>
        </w:rPr>
        <w:t>a</w:t>
      </w:r>
      <w:r>
        <w:rPr>
          <w:bCs/>
        </w:rPr>
        <w:t>rendos compulsivos para testimoniales, y hay otras detenciones por falta a los deberes de funcionario público ... por incumpl</w:t>
      </w:r>
      <w:r>
        <w:rPr>
          <w:bCs/>
        </w:rPr>
        <w:t>i</w:t>
      </w:r>
      <w:r>
        <w:rPr>
          <w:bCs/>
        </w:rPr>
        <w:t>miento, está?</w:t>
      </w:r>
    </w:p>
    <w:p w:rsidR="00224567" w:rsidRDefault="00224567">
      <w:pPr>
        <w:widowControl w:val="0"/>
        <w:numPr>
          <w:ilvl w:val="0"/>
          <w:numId w:val="7"/>
        </w:numPr>
        <w:rPr>
          <w:lang w:val="es-ES_tradnl"/>
        </w:rPr>
      </w:pPr>
      <w:r>
        <w:rPr>
          <w:bCs/>
        </w:rPr>
        <w:t>- Huici: Sí</w:t>
      </w:r>
    </w:p>
    <w:p w:rsidR="00224567" w:rsidRDefault="00224567">
      <w:pPr>
        <w:widowControl w:val="0"/>
        <w:numPr>
          <w:ilvl w:val="0"/>
          <w:numId w:val="7"/>
        </w:numPr>
        <w:rPr>
          <w:lang w:val="es-ES_tradnl"/>
        </w:rPr>
      </w:pPr>
      <w:r>
        <w:rPr>
          <w:lang w:val="es-ES_tradnl"/>
        </w:rPr>
        <w:t xml:space="preserve">- </w:t>
      </w:r>
      <w:r>
        <w:rPr>
          <w:bCs/>
        </w:rPr>
        <w:t>Ribelli: Y entre esa está la mía ta</w:t>
      </w:r>
      <w:r>
        <w:rPr>
          <w:bCs/>
        </w:rPr>
        <w:t>m</w:t>
      </w:r>
      <w:r>
        <w:rPr>
          <w:bCs/>
        </w:rPr>
        <w:t>bién.</w:t>
      </w:r>
    </w:p>
    <w:p w:rsidR="00224567" w:rsidRDefault="00224567">
      <w:pPr>
        <w:widowControl w:val="0"/>
        <w:numPr>
          <w:ilvl w:val="0"/>
          <w:numId w:val="7"/>
        </w:numPr>
        <w:rPr>
          <w:lang w:val="es-ES_tradnl"/>
        </w:rPr>
      </w:pPr>
      <w:r>
        <w:rPr>
          <w:lang w:val="es-ES_tradnl"/>
        </w:rPr>
        <w:t xml:space="preserve">- </w:t>
      </w:r>
      <w:r>
        <w:rPr>
          <w:bCs/>
        </w:rPr>
        <w:t>Huici: A la mierda ...!</w:t>
      </w:r>
    </w:p>
    <w:p w:rsidR="00224567" w:rsidRDefault="00224567">
      <w:pPr>
        <w:widowControl w:val="0"/>
        <w:numPr>
          <w:ilvl w:val="0"/>
          <w:numId w:val="7"/>
        </w:numPr>
        <w:rPr>
          <w:lang w:val="es-ES_tradnl"/>
        </w:rPr>
      </w:pPr>
      <w:r>
        <w:rPr>
          <w:bCs/>
        </w:rPr>
        <w:t>- Ribelli: Bueno, Ibarra, Bacigalupo, Albarracín, Arancibia ...</w:t>
      </w:r>
    </w:p>
    <w:p w:rsidR="00224567" w:rsidRDefault="00224567">
      <w:pPr>
        <w:widowControl w:val="0"/>
        <w:numPr>
          <w:ilvl w:val="0"/>
          <w:numId w:val="7"/>
        </w:numPr>
        <w:rPr>
          <w:lang w:val="es-ES_tradnl"/>
        </w:rPr>
      </w:pPr>
      <w:r>
        <w:rPr>
          <w:bCs/>
        </w:rPr>
        <w:t>- Huici: Alejandro también ...?</w:t>
      </w:r>
    </w:p>
    <w:p w:rsidR="00224567" w:rsidRDefault="00224567">
      <w:pPr>
        <w:widowControl w:val="0"/>
        <w:numPr>
          <w:ilvl w:val="0"/>
          <w:numId w:val="7"/>
        </w:numPr>
        <w:rPr>
          <w:lang w:val="es-ES_tradnl"/>
        </w:rPr>
      </w:pPr>
      <w:r>
        <w:rPr>
          <w:bCs/>
        </w:rPr>
        <w:t>- Ribelli: Sí. Así que yo hablé con el Director y la intención es presentarnos todos porque es una pelot</w:t>
      </w:r>
      <w:r>
        <w:rPr>
          <w:bCs/>
        </w:rPr>
        <w:t>u</w:t>
      </w:r>
      <w:r>
        <w:rPr>
          <w:bCs/>
        </w:rPr>
        <w:t>dez y que andemos corriendo de gusto, así que yo te</w:t>
      </w:r>
      <w:r>
        <w:rPr>
          <w:bCs/>
        </w:rPr>
        <w:t>r</w:t>
      </w:r>
      <w:r>
        <w:rPr>
          <w:bCs/>
        </w:rPr>
        <w:t xml:space="preserve">mino de organizar dos o tres cosas porque no estaba en </w:t>
      </w:r>
      <w:smartTag w:uri="urn:schemas-microsoft-com:office:smarttags" w:element="PersonName">
        <w:smartTagPr>
          <w:attr w:name="ProductID" w:val="la Divisi￳n"/>
        </w:smartTagPr>
        <w:r>
          <w:rPr>
            <w:bCs/>
          </w:rPr>
          <w:t>la División</w:t>
        </w:r>
      </w:smartTag>
      <w:r>
        <w:rPr>
          <w:bCs/>
        </w:rPr>
        <w:t xml:space="preserve"> cuando fueron, pero bueno ... yo me presento en </w:t>
      </w:r>
      <w:smartTag w:uri="urn:schemas-microsoft-com:office:smarttags" w:element="PersonName">
        <w:smartTagPr>
          <w:attr w:name="ProductID" w:val="la Jefatura"/>
        </w:smartTagPr>
        <w:r>
          <w:rPr>
            <w:bCs/>
          </w:rPr>
          <w:t>la Jefatura</w:t>
        </w:r>
      </w:smartTag>
      <w:r>
        <w:rPr>
          <w:bCs/>
        </w:rPr>
        <w:t xml:space="preserve"> dentro de un r</w:t>
      </w:r>
      <w:r>
        <w:rPr>
          <w:bCs/>
        </w:rPr>
        <w:t>a</w:t>
      </w:r>
      <w:r>
        <w:rPr>
          <w:bCs/>
        </w:rPr>
        <w:t>to.</w:t>
      </w:r>
    </w:p>
    <w:p w:rsidR="00224567" w:rsidRDefault="00224567">
      <w:pPr>
        <w:widowControl w:val="0"/>
        <w:numPr>
          <w:ilvl w:val="0"/>
          <w:numId w:val="7"/>
        </w:numPr>
        <w:rPr>
          <w:lang w:val="es-ES_tradnl"/>
        </w:rPr>
      </w:pPr>
      <w:r>
        <w:rPr>
          <w:lang w:val="es-ES_tradnl"/>
        </w:rPr>
        <w:t xml:space="preserve">- </w:t>
      </w:r>
      <w:r>
        <w:rPr>
          <w:bCs/>
        </w:rPr>
        <w:t>Huici: Está bien, a Cruz qué le d</w:t>
      </w:r>
      <w:r>
        <w:rPr>
          <w:bCs/>
        </w:rPr>
        <w:t>i</w:t>
      </w:r>
      <w:r>
        <w:rPr>
          <w:bCs/>
        </w:rPr>
        <w:t>go?</w:t>
      </w:r>
    </w:p>
    <w:p w:rsidR="00224567" w:rsidRDefault="00224567">
      <w:pPr>
        <w:widowControl w:val="0"/>
        <w:numPr>
          <w:ilvl w:val="0"/>
          <w:numId w:val="7"/>
        </w:numPr>
        <w:rPr>
          <w:lang w:val="es-ES_tradnl"/>
        </w:rPr>
      </w:pPr>
      <w:r>
        <w:rPr>
          <w:lang w:val="es-ES_tradnl"/>
        </w:rPr>
        <w:t xml:space="preserve">- </w:t>
      </w:r>
      <w:r>
        <w:rPr>
          <w:bCs/>
        </w:rPr>
        <w:t>Ribelli: Y sí ... lo mismo</w:t>
      </w:r>
    </w:p>
    <w:p w:rsidR="00224567" w:rsidRDefault="00224567">
      <w:pPr>
        <w:widowControl w:val="0"/>
        <w:numPr>
          <w:ilvl w:val="0"/>
          <w:numId w:val="7"/>
        </w:numPr>
        <w:rPr>
          <w:lang w:val="es-ES_tradnl"/>
        </w:rPr>
      </w:pPr>
      <w:r>
        <w:rPr>
          <w:bCs/>
        </w:rPr>
        <w:t>- Huici: Comparendo compulsivo?</w:t>
      </w:r>
    </w:p>
    <w:p w:rsidR="00224567" w:rsidRDefault="00224567">
      <w:pPr>
        <w:widowControl w:val="0"/>
        <w:numPr>
          <w:ilvl w:val="0"/>
          <w:numId w:val="7"/>
        </w:numPr>
        <w:rPr>
          <w:lang w:val="es-ES_tradnl"/>
        </w:rPr>
      </w:pPr>
      <w:r>
        <w:rPr>
          <w:bCs/>
        </w:rPr>
        <w:t>- Ribelli: No sé si comparendo compulsivo o dete</w:t>
      </w:r>
      <w:r>
        <w:rPr>
          <w:bCs/>
        </w:rPr>
        <w:t>n</w:t>
      </w:r>
      <w:r>
        <w:rPr>
          <w:bCs/>
        </w:rPr>
        <w:t>ción, pero si es detención se niega a declarar, y si ... no ... sino, creo que estuvo en la dete</w:t>
      </w:r>
      <w:r>
        <w:rPr>
          <w:bCs/>
        </w:rPr>
        <w:t>n</w:t>
      </w:r>
      <w:r>
        <w:rPr>
          <w:bCs/>
        </w:rPr>
        <w:t>ción, no?</w:t>
      </w:r>
    </w:p>
    <w:p w:rsidR="00224567" w:rsidRDefault="00224567">
      <w:pPr>
        <w:widowControl w:val="0"/>
        <w:numPr>
          <w:ilvl w:val="0"/>
          <w:numId w:val="7"/>
        </w:numPr>
        <w:rPr>
          <w:lang w:val="es-ES_tradnl"/>
        </w:rPr>
      </w:pPr>
      <w:r>
        <w:rPr>
          <w:bCs/>
        </w:rPr>
        <w:t>- Huici: Para que te doy con él ...</w:t>
      </w:r>
    </w:p>
    <w:p w:rsidR="00224567" w:rsidRDefault="00224567">
      <w:pPr>
        <w:widowControl w:val="0"/>
        <w:numPr>
          <w:ilvl w:val="0"/>
          <w:numId w:val="7"/>
        </w:numPr>
        <w:rPr>
          <w:lang w:val="es-ES_tradnl"/>
        </w:rPr>
      </w:pPr>
      <w:r>
        <w:rPr>
          <w:lang w:val="es-ES_tradnl"/>
        </w:rPr>
        <w:t xml:space="preserve">- </w:t>
      </w:r>
      <w:r>
        <w:rPr>
          <w:bCs/>
        </w:rPr>
        <w:t>Cruz: Qué tal jefe ...?</w:t>
      </w:r>
    </w:p>
    <w:p w:rsidR="00224567" w:rsidRDefault="00224567">
      <w:pPr>
        <w:widowControl w:val="0"/>
        <w:numPr>
          <w:ilvl w:val="0"/>
          <w:numId w:val="7"/>
        </w:numPr>
        <w:rPr>
          <w:lang w:val="es-ES_tradnl"/>
        </w:rPr>
      </w:pPr>
      <w:r>
        <w:rPr>
          <w:lang w:val="es-ES_tradnl"/>
        </w:rPr>
        <w:t xml:space="preserve">- </w:t>
      </w:r>
      <w:r>
        <w:rPr>
          <w:bCs/>
        </w:rPr>
        <w:t xml:space="preserve">Ribelli: Cómo anda?. Y bueno ... es la causa de </w:t>
      </w:r>
      <w:smartTag w:uri="urn:schemas-microsoft-com:office:smarttags" w:element="PersonName">
        <w:smartTagPr>
          <w:attr w:name="ProductID" w:val="la A.M"/>
        </w:smartTagPr>
        <w:r>
          <w:rPr>
            <w:bCs/>
          </w:rPr>
          <w:t>la A.M</w:t>
        </w:r>
      </w:smartTag>
      <w:r>
        <w:rPr>
          <w:bCs/>
        </w:rPr>
        <w:t>.I.A., con el tema de Telleldín</w:t>
      </w:r>
    </w:p>
    <w:p w:rsidR="00224567" w:rsidRDefault="00224567">
      <w:pPr>
        <w:widowControl w:val="0"/>
        <w:numPr>
          <w:ilvl w:val="0"/>
          <w:numId w:val="7"/>
        </w:numPr>
        <w:rPr>
          <w:lang w:val="es-ES_tradnl"/>
        </w:rPr>
      </w:pPr>
      <w:r>
        <w:rPr>
          <w:bCs/>
        </w:rPr>
        <w:t>- Cruz: Y cuál es  ... ni me acuerdo quién es?</w:t>
      </w:r>
    </w:p>
    <w:p w:rsidR="00224567" w:rsidRDefault="00224567">
      <w:pPr>
        <w:widowControl w:val="0"/>
        <w:numPr>
          <w:ilvl w:val="0"/>
          <w:numId w:val="7"/>
        </w:numPr>
        <w:rPr>
          <w:lang w:val="es-ES_tradnl"/>
        </w:rPr>
      </w:pPr>
      <w:r>
        <w:rPr>
          <w:bCs/>
        </w:rPr>
        <w:t>- Ribelli: Ese es uno que fueron a detener allá en la zona de Vicente López, que lo revoleó a la miércoles a C</w:t>
      </w:r>
      <w:r>
        <w:rPr>
          <w:bCs/>
        </w:rPr>
        <w:t>a</w:t>
      </w:r>
      <w:r>
        <w:rPr>
          <w:bCs/>
        </w:rPr>
        <w:t>sas.</w:t>
      </w:r>
    </w:p>
    <w:p w:rsidR="00224567" w:rsidRDefault="00224567">
      <w:pPr>
        <w:widowControl w:val="0"/>
        <w:numPr>
          <w:ilvl w:val="0"/>
          <w:numId w:val="7"/>
        </w:numPr>
        <w:rPr>
          <w:lang w:val="es-ES_tradnl"/>
        </w:rPr>
      </w:pPr>
      <w:r>
        <w:rPr>
          <w:bCs/>
        </w:rPr>
        <w:t>- Cruz: Claro, yo estaba en disponibilidad, se acue</w:t>
      </w:r>
      <w:r>
        <w:rPr>
          <w:bCs/>
        </w:rPr>
        <w:t>r</w:t>
      </w:r>
      <w:r>
        <w:rPr>
          <w:bCs/>
        </w:rPr>
        <w:t>da ...?</w:t>
      </w:r>
    </w:p>
    <w:p w:rsidR="00224567" w:rsidRDefault="00224567">
      <w:pPr>
        <w:widowControl w:val="0"/>
        <w:numPr>
          <w:ilvl w:val="0"/>
          <w:numId w:val="7"/>
        </w:numPr>
        <w:rPr>
          <w:lang w:val="es-ES_tradnl"/>
        </w:rPr>
      </w:pPr>
      <w:r>
        <w:rPr>
          <w:lang w:val="es-ES_tradnl"/>
        </w:rPr>
        <w:t xml:space="preserve">- </w:t>
      </w:r>
      <w:r>
        <w:rPr>
          <w:bCs/>
        </w:rPr>
        <w:t>Ribelli: Ajá, está bien ...</w:t>
      </w:r>
    </w:p>
    <w:p w:rsidR="00224567" w:rsidRDefault="00224567">
      <w:pPr>
        <w:widowControl w:val="0"/>
        <w:numPr>
          <w:ilvl w:val="0"/>
          <w:numId w:val="7"/>
        </w:numPr>
        <w:rPr>
          <w:lang w:val="es-ES_tradnl"/>
        </w:rPr>
      </w:pPr>
      <w:r>
        <w:rPr>
          <w:lang w:val="es-ES_tradnl"/>
        </w:rPr>
        <w:t xml:space="preserve">- </w:t>
      </w:r>
      <w:r>
        <w:rPr>
          <w:bCs/>
        </w:rPr>
        <w:t>Cruz: No figuré en nada yo.</w:t>
      </w:r>
    </w:p>
    <w:p w:rsidR="00224567" w:rsidRDefault="00224567">
      <w:pPr>
        <w:widowControl w:val="0"/>
        <w:numPr>
          <w:ilvl w:val="0"/>
          <w:numId w:val="7"/>
        </w:numPr>
        <w:rPr>
          <w:lang w:val="es-ES_tradnl"/>
        </w:rPr>
      </w:pPr>
      <w:r>
        <w:rPr>
          <w:bCs/>
        </w:rPr>
        <w:t>- Ribelli: No sé si figuraste o no figuraste, no te</w:t>
      </w:r>
      <w:r>
        <w:rPr>
          <w:bCs/>
        </w:rPr>
        <w:t>n</w:t>
      </w:r>
      <w:r>
        <w:rPr>
          <w:bCs/>
        </w:rPr>
        <w:t>go idea, pero de todas maneras si hay detención nega decl</w:t>
      </w:r>
      <w:r>
        <w:rPr>
          <w:bCs/>
        </w:rPr>
        <w:t>a</w:t>
      </w:r>
      <w:r>
        <w:rPr>
          <w:bCs/>
        </w:rPr>
        <w:t>rar, qué sé yo, eh ...</w:t>
      </w:r>
    </w:p>
    <w:p w:rsidR="00224567" w:rsidRDefault="00224567">
      <w:pPr>
        <w:widowControl w:val="0"/>
        <w:numPr>
          <w:ilvl w:val="0"/>
          <w:numId w:val="7"/>
        </w:numPr>
        <w:rPr>
          <w:lang w:val="es-ES_tradnl"/>
        </w:rPr>
      </w:pPr>
      <w:r>
        <w:rPr>
          <w:bCs/>
        </w:rPr>
        <w:t>- Cruz: Claro</w:t>
      </w:r>
    </w:p>
    <w:p w:rsidR="00224567" w:rsidRDefault="00224567">
      <w:pPr>
        <w:widowControl w:val="0"/>
        <w:numPr>
          <w:ilvl w:val="0"/>
          <w:numId w:val="7"/>
        </w:numPr>
        <w:rPr>
          <w:lang w:val="es-ES_tradnl"/>
        </w:rPr>
      </w:pPr>
      <w:r>
        <w:rPr>
          <w:bCs/>
        </w:rPr>
        <w:t>- Ribelli: Lo que pasa que yo no sé si es detención o comparendo testimonial, lo tuyo, y de última no me acuerdo y se va a la puta que lo parió, para mí hay una orden de detención, como para Ibarra y todo, Ib</w:t>
      </w:r>
      <w:r>
        <w:rPr>
          <w:bCs/>
        </w:rPr>
        <w:t>a</w:t>
      </w:r>
      <w:r>
        <w:rPr>
          <w:bCs/>
        </w:rPr>
        <w:t xml:space="preserve">rra y Basi ya están yendo con el coordinador para </w:t>
      </w:r>
      <w:smartTag w:uri="urn:schemas-microsoft-com:office:smarttags" w:element="PersonName">
        <w:smartTagPr>
          <w:attr w:name="ProductID" w:val="la Jefatura"/>
        </w:smartTagPr>
        <w:r>
          <w:rPr>
            <w:bCs/>
          </w:rPr>
          <w:t>la Jefatura</w:t>
        </w:r>
      </w:smartTag>
      <w:r>
        <w:rPr>
          <w:bCs/>
        </w:rPr>
        <w:t xml:space="preserve">, y yo dentro de un rato me voy a presentar en </w:t>
      </w:r>
      <w:smartTag w:uri="urn:schemas-microsoft-com:office:smarttags" w:element="PersonName">
        <w:smartTagPr>
          <w:attr w:name="ProductID" w:val="la Jefatura"/>
        </w:smartTagPr>
        <w:r>
          <w:rPr>
            <w:bCs/>
          </w:rPr>
          <w:t>la J</w:t>
        </w:r>
        <w:r>
          <w:rPr>
            <w:bCs/>
          </w:rPr>
          <w:t>e</w:t>
        </w:r>
        <w:r>
          <w:rPr>
            <w:bCs/>
          </w:rPr>
          <w:t>fatura</w:t>
        </w:r>
      </w:smartTag>
      <w:r>
        <w:rPr>
          <w:bCs/>
        </w:rPr>
        <w:t xml:space="preserve"> , así que bueno ... que se va a hacer</w:t>
      </w:r>
    </w:p>
    <w:p w:rsidR="00224567" w:rsidRDefault="00224567">
      <w:pPr>
        <w:widowControl w:val="0"/>
        <w:numPr>
          <w:ilvl w:val="0"/>
          <w:numId w:val="7"/>
        </w:numPr>
        <w:rPr>
          <w:lang w:val="es-ES_tradnl"/>
        </w:rPr>
      </w:pPr>
      <w:r>
        <w:rPr>
          <w:lang w:val="es-ES_tradnl"/>
        </w:rPr>
        <w:t xml:space="preserve">- </w:t>
      </w:r>
      <w:r>
        <w:rPr>
          <w:bCs/>
        </w:rPr>
        <w:t>Cruz: Bueno Jefe, nos vemos por allá.</w:t>
      </w:r>
    </w:p>
    <w:p w:rsidR="00224567" w:rsidRDefault="00224567">
      <w:pPr>
        <w:widowControl w:val="0"/>
        <w:numPr>
          <w:ilvl w:val="0"/>
          <w:numId w:val="7"/>
        </w:numPr>
        <w:rPr>
          <w:lang w:val="es-ES_tradnl"/>
        </w:rPr>
      </w:pPr>
      <w:r>
        <w:rPr>
          <w:lang w:val="es-ES_tradnl"/>
        </w:rPr>
        <w:t xml:space="preserve">- </w:t>
      </w:r>
      <w:r>
        <w:rPr>
          <w:bCs/>
        </w:rPr>
        <w:t>Ribelli: Y lo principal es ... bueno, es  (se co</w:t>
      </w:r>
      <w:r>
        <w:rPr>
          <w:bCs/>
        </w:rPr>
        <w:t>r</w:t>
      </w:r>
      <w:r>
        <w:rPr>
          <w:bCs/>
        </w:rPr>
        <w:t>ta) ... ni una cosa ni la otra, viste (se co</w:t>
      </w:r>
      <w:r>
        <w:rPr>
          <w:bCs/>
        </w:rPr>
        <w:t>r</w:t>
      </w:r>
      <w:r>
        <w:rPr>
          <w:bCs/>
        </w:rPr>
        <w:t>ta), no hay nada raro tampoco, lo que pasa es que cuesti</w:t>
      </w:r>
      <w:r>
        <w:rPr>
          <w:bCs/>
        </w:rPr>
        <w:t>o</w:t>
      </w:r>
      <w:r>
        <w:rPr>
          <w:bCs/>
        </w:rPr>
        <w:t>nan una falta a los deberes de funcionario público porque dicen de que “no los ficharon y lo habían fichado” ... unas boludeces.</w:t>
      </w:r>
    </w:p>
    <w:p w:rsidR="00224567" w:rsidRDefault="00224567">
      <w:pPr>
        <w:widowControl w:val="0"/>
        <w:numPr>
          <w:ilvl w:val="0"/>
          <w:numId w:val="7"/>
        </w:numPr>
        <w:rPr>
          <w:lang w:val="es-ES_tradnl"/>
        </w:rPr>
      </w:pPr>
      <w:r>
        <w:rPr>
          <w:bCs/>
        </w:rPr>
        <w:t>- Cruz: Pero si ese día se nos había tomado “el p</w:t>
      </w:r>
      <w:r>
        <w:rPr>
          <w:bCs/>
        </w:rPr>
        <w:t>a</w:t>
      </w:r>
      <w:r>
        <w:rPr>
          <w:bCs/>
        </w:rPr>
        <w:t>lo”.</w:t>
      </w:r>
    </w:p>
    <w:p w:rsidR="00224567" w:rsidRDefault="00224567">
      <w:pPr>
        <w:widowControl w:val="0"/>
        <w:numPr>
          <w:ilvl w:val="0"/>
          <w:numId w:val="7"/>
        </w:numPr>
        <w:rPr>
          <w:lang w:val="es-ES_tradnl"/>
        </w:rPr>
      </w:pPr>
      <w:r>
        <w:rPr>
          <w:bCs/>
        </w:rPr>
        <w:t>- Ribelli: Por eso mismo, entonces vos tendrás que contar eso, lo que está ahí, pero no sé si es orden de detención la tuya, para mí es un comparendo co</w:t>
      </w:r>
      <w:r>
        <w:rPr>
          <w:bCs/>
        </w:rPr>
        <w:t>m</w:t>
      </w:r>
      <w:r>
        <w:rPr>
          <w:bCs/>
        </w:rPr>
        <w:t>puls</w:t>
      </w:r>
      <w:r>
        <w:rPr>
          <w:bCs/>
        </w:rPr>
        <w:t>i</w:t>
      </w:r>
      <w:r>
        <w:rPr>
          <w:bCs/>
        </w:rPr>
        <w:t>vo, está ...</w:t>
      </w:r>
    </w:p>
    <w:p w:rsidR="00224567" w:rsidRDefault="00224567">
      <w:pPr>
        <w:widowControl w:val="0"/>
        <w:numPr>
          <w:ilvl w:val="0"/>
          <w:numId w:val="7"/>
        </w:numPr>
        <w:rPr>
          <w:lang w:val="es-ES_tradnl"/>
        </w:rPr>
      </w:pPr>
      <w:r>
        <w:rPr>
          <w:bCs/>
        </w:rPr>
        <w:t>- Cruz: macanudo jefe</w:t>
      </w:r>
    </w:p>
    <w:p w:rsidR="00224567" w:rsidRDefault="00224567">
      <w:pPr>
        <w:widowControl w:val="0"/>
        <w:numPr>
          <w:ilvl w:val="0"/>
          <w:numId w:val="7"/>
        </w:numPr>
        <w:rPr>
          <w:lang w:val="es-ES_tradnl"/>
        </w:rPr>
      </w:pPr>
      <w:r>
        <w:rPr>
          <w:lang w:val="es-ES_tradnl"/>
        </w:rPr>
        <w:t xml:space="preserve">- </w:t>
      </w:r>
      <w:r>
        <w:rPr>
          <w:bCs/>
        </w:rPr>
        <w:t>Ribelli: Así que a lo sumo tendrás que contar eso, que vos cumplías órdenes de coso, y fuiste más que todo porque estabas aburrido ahí y lo acompaña</w:t>
      </w:r>
      <w:r>
        <w:rPr>
          <w:bCs/>
        </w:rPr>
        <w:t>s</w:t>
      </w:r>
      <w:r>
        <w:rPr>
          <w:bCs/>
        </w:rPr>
        <w:t>te.</w:t>
      </w:r>
    </w:p>
    <w:p w:rsidR="00224567" w:rsidRDefault="00224567">
      <w:pPr>
        <w:widowControl w:val="0"/>
        <w:numPr>
          <w:ilvl w:val="0"/>
          <w:numId w:val="7"/>
        </w:numPr>
        <w:rPr>
          <w:lang w:val="es-ES_tradnl"/>
        </w:rPr>
      </w:pPr>
      <w:r>
        <w:rPr>
          <w:lang w:val="es-ES_tradnl"/>
        </w:rPr>
        <w:t xml:space="preserve">- </w:t>
      </w:r>
      <w:r>
        <w:rPr>
          <w:bCs/>
        </w:rPr>
        <w:t>Cruz: Bueno, macanudo Jefe, nos vemos por allá e</w:t>
      </w:r>
      <w:r>
        <w:rPr>
          <w:bCs/>
        </w:rPr>
        <w:t>n</w:t>
      </w:r>
      <w:r>
        <w:rPr>
          <w:bCs/>
        </w:rPr>
        <w:t>tonces.-</w:t>
      </w:r>
    </w:p>
    <w:p w:rsidR="00224567" w:rsidRDefault="00224567">
      <w:pPr>
        <w:widowControl w:val="0"/>
      </w:pPr>
      <w:r>
        <w:tab/>
        <w:t>Se despiden y cortan.</w:t>
      </w:r>
    </w:p>
    <w:p w:rsidR="00224567" w:rsidRDefault="00224567">
      <w:pPr>
        <w:widowControl w:val="0"/>
        <w:numPr>
          <w:ilvl w:val="0"/>
          <w:numId w:val="8"/>
        </w:numPr>
        <w:rPr>
          <w:bCs/>
        </w:rPr>
      </w:pPr>
      <w:r>
        <w:rPr>
          <w:bCs/>
        </w:rPr>
        <w:t>Escucha correspondiente al abonado 440-6746 corre</w:t>
      </w:r>
      <w:r>
        <w:rPr>
          <w:bCs/>
        </w:rPr>
        <w:t>s</w:t>
      </w:r>
      <w:r>
        <w:rPr>
          <w:bCs/>
        </w:rPr>
        <w:t>pondiente al 12 de julio de 1996, grabada en el cas</w:t>
      </w:r>
      <w:r>
        <w:rPr>
          <w:bCs/>
        </w:rPr>
        <w:t>e</w:t>
      </w:r>
      <w:r>
        <w:rPr>
          <w:bCs/>
        </w:rPr>
        <w:t>te 64 vuelta 600 (fs. 39.868/39.873)</w:t>
      </w:r>
    </w:p>
    <w:p w:rsidR="00224567" w:rsidRDefault="00224567">
      <w:pPr>
        <w:widowControl w:val="0"/>
      </w:pPr>
      <w:r>
        <w:rPr>
          <w:b/>
        </w:rPr>
        <w:tab/>
      </w:r>
      <w:r>
        <w:tab/>
        <w:t>Llama desde el control Juan José Rib</w:t>
      </w:r>
      <w:r>
        <w:t>e</w:t>
      </w:r>
      <w:r>
        <w:t>lli.</w:t>
      </w:r>
    </w:p>
    <w:p w:rsidR="00224567" w:rsidRDefault="00224567">
      <w:pPr>
        <w:widowControl w:val="0"/>
      </w:pPr>
      <w:r>
        <w:tab/>
        <w:t>Atiende otro señor.</w:t>
      </w:r>
    </w:p>
    <w:p w:rsidR="00224567" w:rsidRDefault="00224567">
      <w:pPr>
        <w:widowControl w:val="0"/>
        <w:tabs>
          <w:tab w:val="clear" w:pos="2835"/>
          <w:tab w:val="left" w:pos="400"/>
        </w:tabs>
        <w:rPr>
          <w:bCs/>
        </w:rPr>
      </w:pPr>
      <w:r>
        <w:rPr>
          <w:bCs/>
        </w:rPr>
        <w:tab/>
        <w:t>- N.N.: Hola?</w:t>
      </w:r>
    </w:p>
    <w:p w:rsidR="00224567" w:rsidRDefault="00224567">
      <w:pPr>
        <w:widowControl w:val="0"/>
        <w:tabs>
          <w:tab w:val="clear" w:pos="2835"/>
          <w:tab w:val="left" w:pos="700"/>
        </w:tabs>
        <w:rPr>
          <w:bCs/>
          <w:lang w:val="es-ES_tradnl"/>
        </w:rPr>
      </w:pPr>
      <w:r>
        <w:rPr>
          <w:bCs/>
        </w:rPr>
        <w:t>-</w:t>
      </w:r>
      <w:r>
        <w:rPr>
          <w:bCs/>
        </w:rPr>
        <w:tab/>
        <w:t>Ribelli: Hola?</w:t>
      </w:r>
    </w:p>
    <w:p w:rsidR="00224567" w:rsidRDefault="00224567">
      <w:pPr>
        <w:widowControl w:val="0"/>
        <w:tabs>
          <w:tab w:val="clear" w:pos="2835"/>
          <w:tab w:val="left" w:pos="700"/>
        </w:tabs>
        <w:rPr>
          <w:bCs/>
        </w:rPr>
      </w:pPr>
      <w:r>
        <w:rPr>
          <w:bCs/>
        </w:rPr>
        <w:t>-</w:t>
      </w:r>
      <w:r>
        <w:rPr>
          <w:bCs/>
        </w:rPr>
        <w:tab/>
        <w:t>N.N.: Sí, quién habla?</w:t>
      </w:r>
    </w:p>
    <w:p w:rsidR="00224567" w:rsidRDefault="00224567">
      <w:pPr>
        <w:widowControl w:val="0"/>
        <w:tabs>
          <w:tab w:val="clear" w:pos="2835"/>
          <w:tab w:val="left" w:pos="700"/>
        </w:tabs>
        <w:rPr>
          <w:bCs/>
        </w:rPr>
      </w:pPr>
      <w:r>
        <w:rPr>
          <w:bCs/>
        </w:rPr>
        <w:t>-</w:t>
      </w:r>
      <w:r>
        <w:rPr>
          <w:bCs/>
        </w:rPr>
        <w:tab/>
        <w:t>Ribelli: Ah, Juan habla Jefe...</w:t>
      </w:r>
    </w:p>
    <w:p w:rsidR="00224567" w:rsidRDefault="00224567">
      <w:pPr>
        <w:widowControl w:val="0"/>
        <w:tabs>
          <w:tab w:val="clear" w:pos="2835"/>
          <w:tab w:val="left" w:pos="700"/>
        </w:tabs>
        <w:rPr>
          <w:bCs/>
        </w:rPr>
      </w:pPr>
      <w:r>
        <w:rPr>
          <w:bCs/>
        </w:rPr>
        <w:t>-</w:t>
      </w:r>
      <w:r>
        <w:rPr>
          <w:bCs/>
        </w:rPr>
        <w:tab/>
        <w:t>N.N.: Qué hacés Juan?</w:t>
      </w:r>
    </w:p>
    <w:p w:rsidR="00224567" w:rsidRDefault="00224567">
      <w:pPr>
        <w:widowControl w:val="0"/>
        <w:tabs>
          <w:tab w:val="clear" w:pos="2835"/>
          <w:tab w:val="left" w:pos="700"/>
        </w:tabs>
        <w:rPr>
          <w:bCs/>
        </w:rPr>
      </w:pPr>
      <w:r>
        <w:rPr>
          <w:bCs/>
        </w:rPr>
        <w:t>-</w:t>
      </w:r>
      <w:r>
        <w:rPr>
          <w:bCs/>
        </w:rPr>
        <w:tab/>
        <w:t>Ribelli: Qué dice?, y para el diablo, que vamos a h</w:t>
      </w:r>
      <w:r>
        <w:rPr>
          <w:bCs/>
        </w:rPr>
        <w:t>a</w:t>
      </w:r>
      <w:r>
        <w:rPr>
          <w:bCs/>
        </w:rPr>
        <w:t>cer ...</w:t>
      </w:r>
    </w:p>
    <w:p w:rsidR="00224567" w:rsidRDefault="00224567">
      <w:pPr>
        <w:widowControl w:val="0"/>
        <w:tabs>
          <w:tab w:val="clear" w:pos="2835"/>
          <w:tab w:val="left" w:pos="700"/>
        </w:tabs>
        <w:rPr>
          <w:bCs/>
        </w:rPr>
      </w:pPr>
      <w:r>
        <w:rPr>
          <w:bCs/>
        </w:rPr>
        <w:t>-</w:t>
      </w:r>
      <w:r>
        <w:rPr>
          <w:bCs/>
        </w:rPr>
        <w:tab/>
        <w:t>N.N.: Y, para la mierda viste ...</w:t>
      </w:r>
    </w:p>
    <w:p w:rsidR="00224567" w:rsidRDefault="00224567">
      <w:pPr>
        <w:widowControl w:val="0"/>
        <w:tabs>
          <w:tab w:val="clear" w:pos="2835"/>
          <w:tab w:val="left" w:pos="700"/>
        </w:tabs>
        <w:rPr>
          <w:bCs/>
        </w:rPr>
      </w:pPr>
      <w:r>
        <w:rPr>
          <w:bCs/>
        </w:rPr>
        <w:t>-</w:t>
      </w:r>
      <w:r>
        <w:rPr>
          <w:bCs/>
        </w:rPr>
        <w:tab/>
        <w:t>Ribelli: Y bueno, qué vamos a hacer ...</w:t>
      </w:r>
    </w:p>
    <w:p w:rsidR="00224567" w:rsidRDefault="00224567">
      <w:pPr>
        <w:widowControl w:val="0"/>
        <w:tabs>
          <w:tab w:val="clear" w:pos="2835"/>
          <w:tab w:val="left" w:pos="700"/>
        </w:tabs>
        <w:rPr>
          <w:bCs/>
        </w:rPr>
      </w:pPr>
      <w:r>
        <w:rPr>
          <w:bCs/>
        </w:rPr>
        <w:t>-</w:t>
      </w:r>
      <w:r>
        <w:rPr>
          <w:bCs/>
        </w:rPr>
        <w:tab/>
        <w:t>N.N.: Aguántame un segundito por favor Juan ... (atiende un llamado por otro teléfono) hasta que cont</w:t>
      </w:r>
      <w:r>
        <w:rPr>
          <w:bCs/>
        </w:rPr>
        <w:t>i</w:t>
      </w:r>
      <w:r>
        <w:rPr>
          <w:bCs/>
        </w:rPr>
        <w:t>núan hablando de la s</w:t>
      </w:r>
      <w:r>
        <w:rPr>
          <w:bCs/>
        </w:rPr>
        <w:t>i</w:t>
      </w:r>
      <w:r>
        <w:rPr>
          <w:bCs/>
        </w:rPr>
        <w:t>guiente manera</w:t>
      </w:r>
    </w:p>
    <w:p w:rsidR="00224567" w:rsidRDefault="00224567">
      <w:pPr>
        <w:widowControl w:val="0"/>
        <w:tabs>
          <w:tab w:val="clear" w:pos="2835"/>
          <w:tab w:val="left" w:pos="700"/>
        </w:tabs>
        <w:rPr>
          <w:bCs/>
        </w:rPr>
      </w:pPr>
      <w:r>
        <w:rPr>
          <w:bCs/>
        </w:rPr>
        <w:t>-</w:t>
      </w:r>
      <w:r>
        <w:rPr>
          <w:bCs/>
        </w:rPr>
        <w:tab/>
        <w:t>Ribelli: Bueno, le cuento ... yo también estoy con el pr</w:t>
      </w:r>
      <w:r>
        <w:rPr>
          <w:bCs/>
        </w:rPr>
        <w:t>o</w:t>
      </w:r>
      <w:r>
        <w:rPr>
          <w:bCs/>
        </w:rPr>
        <w:t>blema, creo no?</w:t>
      </w:r>
    </w:p>
    <w:p w:rsidR="00224567" w:rsidRDefault="00224567">
      <w:pPr>
        <w:widowControl w:val="0"/>
        <w:tabs>
          <w:tab w:val="clear" w:pos="2835"/>
          <w:tab w:val="left" w:pos="700"/>
        </w:tabs>
        <w:rPr>
          <w:bCs/>
        </w:rPr>
      </w:pPr>
      <w:r>
        <w:rPr>
          <w:bCs/>
        </w:rPr>
        <w:t>-</w:t>
      </w:r>
      <w:r>
        <w:rPr>
          <w:bCs/>
        </w:rPr>
        <w:tab/>
        <w:t>N.N.: Sí, si ...</w:t>
      </w:r>
    </w:p>
    <w:p w:rsidR="00224567" w:rsidRDefault="00224567">
      <w:pPr>
        <w:widowControl w:val="0"/>
        <w:tabs>
          <w:tab w:val="clear" w:pos="2835"/>
          <w:tab w:val="left" w:pos="700"/>
        </w:tabs>
        <w:rPr>
          <w:bCs/>
        </w:rPr>
      </w:pPr>
      <w:r>
        <w:rPr>
          <w:bCs/>
        </w:rPr>
        <w:t>-</w:t>
      </w:r>
      <w:r>
        <w:rPr>
          <w:bCs/>
        </w:rPr>
        <w:tab/>
        <w:t>Ribelli: Está bien ...</w:t>
      </w:r>
    </w:p>
    <w:p w:rsidR="00224567" w:rsidRDefault="00224567">
      <w:pPr>
        <w:widowControl w:val="0"/>
        <w:tabs>
          <w:tab w:val="clear" w:pos="2835"/>
          <w:tab w:val="left" w:pos="700"/>
        </w:tabs>
        <w:rPr>
          <w:bCs/>
        </w:rPr>
      </w:pPr>
      <w:r>
        <w:rPr>
          <w:bCs/>
        </w:rPr>
        <w:t>-</w:t>
      </w:r>
      <w:r>
        <w:rPr>
          <w:bCs/>
        </w:rPr>
        <w:tab/>
        <w:t xml:space="preserve">N.N.: Por eso te mandé a Sosa ... </w:t>
      </w:r>
    </w:p>
    <w:p w:rsidR="00224567" w:rsidRDefault="00224567">
      <w:pPr>
        <w:widowControl w:val="0"/>
        <w:tabs>
          <w:tab w:val="clear" w:pos="2835"/>
          <w:tab w:val="left" w:pos="700"/>
        </w:tabs>
        <w:rPr>
          <w:bCs/>
        </w:rPr>
      </w:pPr>
      <w:r>
        <w:rPr>
          <w:bCs/>
        </w:rPr>
        <w:t>-</w:t>
      </w:r>
      <w:r>
        <w:rPr>
          <w:bCs/>
        </w:rPr>
        <w:tab/>
        <w:t>Ribelli: No, no, pero le digo, yo me voy a prese</w:t>
      </w:r>
      <w:r>
        <w:rPr>
          <w:bCs/>
        </w:rPr>
        <w:t>n</w:t>
      </w:r>
      <w:r>
        <w:rPr>
          <w:bCs/>
        </w:rPr>
        <w:t>tar ...</w:t>
      </w:r>
    </w:p>
    <w:p w:rsidR="00224567" w:rsidRDefault="00224567">
      <w:pPr>
        <w:widowControl w:val="0"/>
        <w:tabs>
          <w:tab w:val="clear" w:pos="2835"/>
          <w:tab w:val="left" w:pos="700"/>
        </w:tabs>
        <w:rPr>
          <w:bCs/>
        </w:rPr>
      </w:pPr>
      <w:r>
        <w:rPr>
          <w:bCs/>
        </w:rPr>
        <w:t>-</w:t>
      </w:r>
      <w:r>
        <w:rPr>
          <w:bCs/>
        </w:rPr>
        <w:tab/>
        <w:t>N.N.: No entiendo Juan?</w:t>
      </w:r>
    </w:p>
    <w:p w:rsidR="00224567" w:rsidRDefault="00224567">
      <w:pPr>
        <w:widowControl w:val="0"/>
        <w:tabs>
          <w:tab w:val="clear" w:pos="2835"/>
          <w:tab w:val="left" w:pos="700"/>
        </w:tabs>
        <w:rPr>
          <w:bCs/>
        </w:rPr>
      </w:pPr>
      <w:r>
        <w:rPr>
          <w:bCs/>
        </w:rPr>
        <w:t>-</w:t>
      </w:r>
      <w:r>
        <w:rPr>
          <w:bCs/>
        </w:rPr>
        <w:tab/>
        <w:t>Ribelli: Que me voy a presentar</w:t>
      </w:r>
    </w:p>
    <w:p w:rsidR="00224567" w:rsidRDefault="00224567">
      <w:pPr>
        <w:widowControl w:val="0"/>
        <w:tabs>
          <w:tab w:val="clear" w:pos="2835"/>
          <w:tab w:val="left" w:pos="700"/>
        </w:tabs>
        <w:rPr>
          <w:bCs/>
        </w:rPr>
      </w:pPr>
      <w:r>
        <w:rPr>
          <w:bCs/>
        </w:rPr>
        <w:t>-</w:t>
      </w:r>
      <w:r>
        <w:rPr>
          <w:bCs/>
        </w:rPr>
        <w:tab/>
        <w:t>N.N.: Y me imagino que es lo más coh</w:t>
      </w:r>
      <w:r>
        <w:rPr>
          <w:bCs/>
        </w:rPr>
        <w:t>e</w:t>
      </w:r>
      <w:r>
        <w:rPr>
          <w:bCs/>
        </w:rPr>
        <w:t>rente ...</w:t>
      </w:r>
    </w:p>
    <w:p w:rsidR="00224567" w:rsidRDefault="00224567">
      <w:pPr>
        <w:widowControl w:val="0"/>
        <w:tabs>
          <w:tab w:val="clear" w:pos="2835"/>
          <w:tab w:val="left" w:pos="700"/>
        </w:tabs>
        <w:rPr>
          <w:bCs/>
        </w:rPr>
      </w:pPr>
      <w:r>
        <w:rPr>
          <w:bCs/>
        </w:rPr>
        <w:t>-</w:t>
      </w:r>
      <w:r>
        <w:rPr>
          <w:bCs/>
        </w:rPr>
        <w:tab/>
        <w:t>Ribelli: Y no sé, por eso, qué op</w:t>
      </w:r>
      <w:r>
        <w:rPr>
          <w:bCs/>
        </w:rPr>
        <w:t>i</w:t>
      </w:r>
      <w:r>
        <w:rPr>
          <w:bCs/>
        </w:rPr>
        <w:t>na usted, qué va a hacer?</w:t>
      </w:r>
    </w:p>
    <w:p w:rsidR="00224567" w:rsidRDefault="00224567">
      <w:pPr>
        <w:widowControl w:val="0"/>
        <w:tabs>
          <w:tab w:val="clear" w:pos="2835"/>
          <w:tab w:val="left" w:pos="700"/>
        </w:tabs>
        <w:rPr>
          <w:bCs/>
        </w:rPr>
      </w:pPr>
      <w:r>
        <w:rPr>
          <w:bCs/>
        </w:rPr>
        <w:t>-</w:t>
      </w:r>
      <w:r>
        <w:rPr>
          <w:bCs/>
        </w:rPr>
        <w:tab/>
        <w:t>N.N.: Yo pienso que sí, porque aparte es por incu</w:t>
      </w:r>
      <w:r>
        <w:rPr>
          <w:bCs/>
        </w:rPr>
        <w:t>m</w:t>
      </w:r>
      <w:r>
        <w:rPr>
          <w:bCs/>
        </w:rPr>
        <w:t>plimiento a los deberes de funcion</w:t>
      </w:r>
      <w:r>
        <w:rPr>
          <w:bCs/>
        </w:rPr>
        <w:t>a</w:t>
      </w:r>
      <w:r>
        <w:rPr>
          <w:bCs/>
        </w:rPr>
        <w:t>rio público ...</w:t>
      </w:r>
    </w:p>
    <w:p w:rsidR="00224567" w:rsidRDefault="00224567">
      <w:pPr>
        <w:widowControl w:val="0"/>
        <w:tabs>
          <w:tab w:val="clear" w:pos="2835"/>
          <w:tab w:val="left" w:pos="700"/>
        </w:tabs>
        <w:rPr>
          <w:bCs/>
        </w:rPr>
      </w:pPr>
      <w:r>
        <w:rPr>
          <w:bCs/>
        </w:rPr>
        <w:t>-</w:t>
      </w:r>
      <w:r>
        <w:rPr>
          <w:bCs/>
        </w:rPr>
        <w:tab/>
        <w:t>Ribelli: Claro, es una “bolsa de gatos” esto, nada más ...</w:t>
      </w:r>
    </w:p>
    <w:p w:rsidR="00224567" w:rsidRDefault="00224567">
      <w:pPr>
        <w:widowControl w:val="0"/>
        <w:tabs>
          <w:tab w:val="clear" w:pos="2835"/>
          <w:tab w:val="left" w:pos="700"/>
        </w:tabs>
        <w:rPr>
          <w:bCs/>
        </w:rPr>
      </w:pPr>
      <w:r>
        <w:rPr>
          <w:bCs/>
        </w:rPr>
        <w:t>-</w:t>
      </w:r>
      <w:r>
        <w:rPr>
          <w:bCs/>
        </w:rPr>
        <w:tab/>
        <w:t>N.N.: Es una bolsa de gato ... vos sabes que nos vi</w:t>
      </w:r>
      <w:r>
        <w:rPr>
          <w:bCs/>
        </w:rPr>
        <w:t>e</w:t>
      </w:r>
      <w:r>
        <w:rPr>
          <w:bCs/>
        </w:rPr>
        <w:t>ne hoy ... hoy vino, “éste hombre”</w:t>
      </w:r>
    </w:p>
    <w:p w:rsidR="00224567" w:rsidRDefault="00224567">
      <w:pPr>
        <w:widowControl w:val="0"/>
        <w:tabs>
          <w:tab w:val="clear" w:pos="2835"/>
          <w:tab w:val="left" w:pos="700"/>
        </w:tabs>
        <w:rPr>
          <w:bCs/>
        </w:rPr>
      </w:pPr>
      <w:r>
        <w:rPr>
          <w:bCs/>
        </w:rPr>
        <w:t>-</w:t>
      </w:r>
      <w:r>
        <w:rPr>
          <w:bCs/>
        </w:rPr>
        <w:tab/>
        <w:t>Ribelli: Sí, si.</w:t>
      </w:r>
    </w:p>
    <w:p w:rsidR="00224567" w:rsidRDefault="00224567">
      <w:pPr>
        <w:widowControl w:val="0"/>
        <w:tabs>
          <w:tab w:val="clear" w:pos="2835"/>
          <w:tab w:val="left" w:pos="700"/>
        </w:tabs>
        <w:rPr>
          <w:bCs/>
        </w:rPr>
      </w:pPr>
      <w:r>
        <w:rPr>
          <w:bCs/>
        </w:rPr>
        <w:t>-</w:t>
      </w:r>
      <w:r>
        <w:rPr>
          <w:bCs/>
        </w:rPr>
        <w:tab/>
        <w:t>N.N.: Vino acá, con Piotti, todo el mundo ... y r</w:t>
      </w:r>
      <w:r>
        <w:rPr>
          <w:bCs/>
        </w:rPr>
        <w:t>e</w:t>
      </w:r>
      <w:r>
        <w:rPr>
          <w:bCs/>
        </w:rPr>
        <w:t>sulta que “está jugando la doble” ... o sea, por un lado nos dice a nosotros que nos encarguemos, que le va a dar solución al problema lo antes que puede, que es una dec</w:t>
      </w:r>
      <w:r>
        <w:rPr>
          <w:bCs/>
        </w:rPr>
        <w:t>i</w:t>
      </w:r>
      <w:r>
        <w:rPr>
          <w:bCs/>
        </w:rPr>
        <w:t>sión que no la puede evitar y por el otro lado manda a h</w:t>
      </w:r>
      <w:r>
        <w:rPr>
          <w:bCs/>
        </w:rPr>
        <w:t>a</w:t>
      </w:r>
      <w:r>
        <w:rPr>
          <w:bCs/>
        </w:rPr>
        <w:t xml:space="preserve">cer el domicilio con </w:t>
      </w:r>
      <w:smartTag w:uri="urn:schemas-microsoft-com:office:smarttags" w:element="PersonName">
        <w:smartTagPr>
          <w:attr w:name="ProductID" w:val="la Federal"/>
        </w:smartTagPr>
        <w:r>
          <w:rPr>
            <w:bCs/>
          </w:rPr>
          <w:t>la Federal</w:t>
        </w:r>
      </w:smartTag>
      <w:r>
        <w:rPr>
          <w:bCs/>
        </w:rPr>
        <w:t>, viste ... de algunos de los m</w:t>
      </w:r>
      <w:r>
        <w:rPr>
          <w:bCs/>
        </w:rPr>
        <w:t>u</w:t>
      </w:r>
      <w:r>
        <w:rPr>
          <w:bCs/>
        </w:rPr>
        <w:t>chachos ...</w:t>
      </w:r>
    </w:p>
    <w:p w:rsidR="00224567" w:rsidRDefault="00224567">
      <w:pPr>
        <w:widowControl w:val="0"/>
        <w:tabs>
          <w:tab w:val="clear" w:pos="2835"/>
          <w:tab w:val="left" w:pos="700"/>
        </w:tabs>
        <w:rPr>
          <w:bCs/>
        </w:rPr>
      </w:pPr>
      <w:r>
        <w:rPr>
          <w:bCs/>
        </w:rPr>
        <w:t>-</w:t>
      </w:r>
      <w:r>
        <w:rPr>
          <w:bCs/>
        </w:rPr>
        <w:tab/>
        <w:t>Ribelli: Sí, eso es lo único mole</w:t>
      </w:r>
      <w:r>
        <w:rPr>
          <w:bCs/>
        </w:rPr>
        <w:t>s</w:t>
      </w:r>
      <w:r>
        <w:rPr>
          <w:bCs/>
        </w:rPr>
        <w:t>to porque bueno ...</w:t>
      </w:r>
    </w:p>
    <w:p w:rsidR="00224567" w:rsidRDefault="00224567">
      <w:pPr>
        <w:widowControl w:val="0"/>
        <w:tabs>
          <w:tab w:val="clear" w:pos="2835"/>
          <w:tab w:val="left" w:pos="700"/>
        </w:tabs>
        <w:rPr>
          <w:bCs/>
        </w:rPr>
      </w:pPr>
      <w:r>
        <w:rPr>
          <w:bCs/>
        </w:rPr>
        <w:t>-</w:t>
      </w:r>
      <w:r>
        <w:rPr>
          <w:bCs/>
        </w:rPr>
        <w:tab/>
        <w:t>N.N.: Claro, así que yo pienso, que cuanto más r</w:t>
      </w:r>
      <w:r>
        <w:rPr>
          <w:bCs/>
        </w:rPr>
        <w:t>á</w:t>
      </w:r>
      <w:r>
        <w:rPr>
          <w:bCs/>
        </w:rPr>
        <w:t xml:space="preserve">pido le demos un “corte” a esto ... </w:t>
      </w:r>
    </w:p>
    <w:p w:rsidR="00224567" w:rsidRDefault="00224567">
      <w:pPr>
        <w:widowControl w:val="0"/>
        <w:tabs>
          <w:tab w:val="clear" w:pos="2835"/>
          <w:tab w:val="left" w:pos="700"/>
        </w:tabs>
        <w:rPr>
          <w:bCs/>
        </w:rPr>
      </w:pPr>
      <w:r>
        <w:rPr>
          <w:bCs/>
        </w:rPr>
        <w:t>-</w:t>
      </w:r>
      <w:r>
        <w:rPr>
          <w:bCs/>
        </w:rPr>
        <w:tab/>
        <w:t>Ribelli: No, no, más bien, yo recién le decía a S</w:t>
      </w:r>
      <w:r>
        <w:rPr>
          <w:bCs/>
        </w:rPr>
        <w:t>o</w:t>
      </w:r>
      <w:r>
        <w:rPr>
          <w:bCs/>
        </w:rPr>
        <w:t>sa ... yo bueno, justo no estaba en la división, hacía dos min</w:t>
      </w:r>
      <w:r>
        <w:rPr>
          <w:bCs/>
        </w:rPr>
        <w:t>u</w:t>
      </w:r>
      <w:r>
        <w:rPr>
          <w:bCs/>
        </w:rPr>
        <w:t>tos que me había ido ...</w:t>
      </w:r>
    </w:p>
    <w:p w:rsidR="00224567" w:rsidRDefault="00224567">
      <w:pPr>
        <w:widowControl w:val="0"/>
        <w:tabs>
          <w:tab w:val="clear" w:pos="2835"/>
          <w:tab w:val="left" w:pos="700"/>
        </w:tabs>
        <w:rPr>
          <w:bCs/>
        </w:rPr>
      </w:pPr>
      <w:r>
        <w:rPr>
          <w:bCs/>
        </w:rPr>
        <w:t>-</w:t>
      </w:r>
      <w:r>
        <w:rPr>
          <w:bCs/>
        </w:rPr>
        <w:tab/>
        <w:t>N.N.: Yo a Sosa lo agarré y le dije: “hacé una cosa ...”</w:t>
      </w:r>
    </w:p>
    <w:p w:rsidR="00224567" w:rsidRDefault="00224567">
      <w:pPr>
        <w:widowControl w:val="0"/>
        <w:tabs>
          <w:tab w:val="clear" w:pos="2835"/>
          <w:tab w:val="left" w:pos="700"/>
        </w:tabs>
        <w:rPr>
          <w:bCs/>
        </w:rPr>
      </w:pPr>
      <w:r>
        <w:rPr>
          <w:bCs/>
        </w:rPr>
        <w:t>-</w:t>
      </w:r>
      <w:r>
        <w:rPr>
          <w:bCs/>
        </w:rPr>
        <w:tab/>
        <w:t>Ribelli: Pero ...</w:t>
      </w:r>
    </w:p>
    <w:p w:rsidR="00224567" w:rsidRDefault="00224567">
      <w:pPr>
        <w:widowControl w:val="0"/>
        <w:tabs>
          <w:tab w:val="clear" w:pos="2835"/>
          <w:tab w:val="left" w:pos="700"/>
        </w:tabs>
        <w:rPr>
          <w:bCs/>
        </w:rPr>
      </w:pPr>
      <w:r>
        <w:rPr>
          <w:bCs/>
        </w:rPr>
        <w:t>-</w:t>
      </w:r>
      <w:r>
        <w:rPr>
          <w:bCs/>
        </w:rPr>
        <w:tab/>
        <w:t>N.N.: Andáte a la división, hablá con Juancito, hablá con los chicos ... y pienso que ...</w:t>
      </w:r>
    </w:p>
    <w:p w:rsidR="00224567" w:rsidRDefault="00224567">
      <w:pPr>
        <w:widowControl w:val="0"/>
        <w:tabs>
          <w:tab w:val="clear" w:pos="2835"/>
          <w:tab w:val="left" w:pos="700"/>
        </w:tabs>
        <w:rPr>
          <w:bCs/>
        </w:rPr>
      </w:pPr>
      <w:r>
        <w:rPr>
          <w:bCs/>
        </w:rPr>
        <w:t>-</w:t>
      </w:r>
      <w:r>
        <w:rPr>
          <w:bCs/>
        </w:rPr>
        <w:tab/>
        <w:t>Ribelli: No, pero le digo esto, yo ahora lo mandé a Maisú para allá, para que se haga ca</w:t>
      </w:r>
      <w:r>
        <w:rPr>
          <w:bCs/>
        </w:rPr>
        <w:t>r</w:t>
      </w:r>
      <w:r>
        <w:rPr>
          <w:bCs/>
        </w:rPr>
        <w:t>go, más que todo por la “parte interna” de tener todo en orden no ... para e</w:t>
      </w:r>
      <w:r>
        <w:rPr>
          <w:bCs/>
        </w:rPr>
        <w:t>s</w:t>
      </w:r>
      <w:r>
        <w:rPr>
          <w:bCs/>
        </w:rPr>
        <w:t>cribir, hacer unos traspasos de sumarios ... bueno, no sé, que quede a cargo interin</w:t>
      </w:r>
      <w:r>
        <w:rPr>
          <w:bCs/>
        </w:rPr>
        <w:t>a</w:t>
      </w:r>
      <w:r>
        <w:rPr>
          <w:bCs/>
        </w:rPr>
        <w:t>mente ...</w:t>
      </w:r>
    </w:p>
    <w:p w:rsidR="00224567" w:rsidRDefault="00224567">
      <w:pPr>
        <w:widowControl w:val="0"/>
        <w:tabs>
          <w:tab w:val="clear" w:pos="2835"/>
          <w:tab w:val="left" w:pos="700"/>
        </w:tabs>
        <w:rPr>
          <w:bCs/>
        </w:rPr>
      </w:pPr>
      <w:r>
        <w:rPr>
          <w:bCs/>
        </w:rPr>
        <w:t>-</w:t>
      </w:r>
      <w:r>
        <w:rPr>
          <w:bCs/>
        </w:rPr>
        <w:tab/>
        <w:t>N.N.: Quedáte tranquilo, eso lo man</w:t>
      </w:r>
      <w:r>
        <w:rPr>
          <w:bCs/>
        </w:rPr>
        <w:t>e</w:t>
      </w:r>
      <w:r>
        <w:rPr>
          <w:bCs/>
        </w:rPr>
        <w:t>jamos Juan!</w:t>
      </w:r>
    </w:p>
    <w:p w:rsidR="00224567" w:rsidRDefault="00224567">
      <w:pPr>
        <w:widowControl w:val="0"/>
        <w:tabs>
          <w:tab w:val="clear" w:pos="2835"/>
          <w:tab w:val="left" w:pos="700"/>
        </w:tabs>
        <w:rPr>
          <w:bCs/>
        </w:rPr>
      </w:pPr>
      <w:r>
        <w:rPr>
          <w:bCs/>
        </w:rPr>
        <w:t>-</w:t>
      </w:r>
      <w:r>
        <w:rPr>
          <w:bCs/>
        </w:rPr>
        <w:tab/>
        <w:t>Ribelli: No, no, pero una cuestión ... hay causas que ... por ejemplo estamos justo escribiendo un detenido ah</w:t>
      </w:r>
      <w:r>
        <w:rPr>
          <w:bCs/>
        </w:rPr>
        <w:t>o</w:t>
      </w:r>
      <w:r>
        <w:rPr>
          <w:bCs/>
        </w:rPr>
        <w:t>ra ...</w:t>
      </w:r>
    </w:p>
    <w:p w:rsidR="00224567" w:rsidRDefault="00224567">
      <w:pPr>
        <w:widowControl w:val="0"/>
        <w:tabs>
          <w:tab w:val="clear" w:pos="2835"/>
          <w:tab w:val="left" w:pos="700"/>
        </w:tabs>
        <w:rPr>
          <w:bCs/>
        </w:rPr>
      </w:pPr>
      <w:r>
        <w:rPr>
          <w:bCs/>
        </w:rPr>
        <w:t>-</w:t>
      </w:r>
      <w:r>
        <w:rPr>
          <w:bCs/>
        </w:rPr>
        <w:tab/>
        <w:t>N.N.: Ajá</w:t>
      </w:r>
    </w:p>
    <w:p w:rsidR="00224567" w:rsidRDefault="00224567">
      <w:pPr>
        <w:widowControl w:val="0"/>
        <w:tabs>
          <w:tab w:val="clear" w:pos="2835"/>
          <w:tab w:val="left" w:pos="700"/>
        </w:tabs>
        <w:rPr>
          <w:bCs/>
        </w:rPr>
      </w:pPr>
      <w:r>
        <w:rPr>
          <w:bCs/>
        </w:rPr>
        <w:t>-</w:t>
      </w:r>
      <w:r>
        <w:rPr>
          <w:bCs/>
        </w:rPr>
        <w:tab/>
        <w:t>Ribelli: No, en este momento, con una causa de ch</w:t>
      </w:r>
      <w:r>
        <w:rPr>
          <w:bCs/>
        </w:rPr>
        <w:t>e</w:t>
      </w:r>
      <w:r>
        <w:rPr>
          <w:bCs/>
        </w:rPr>
        <w:t>ques lavados del Banco Provincia y todo ... pero, no más que todo por la parte interna, eso no hay probl</w:t>
      </w:r>
      <w:r>
        <w:rPr>
          <w:bCs/>
        </w:rPr>
        <w:t>e</w:t>
      </w:r>
      <w:r>
        <w:rPr>
          <w:bCs/>
        </w:rPr>
        <w:t>mas ...</w:t>
      </w:r>
    </w:p>
    <w:p w:rsidR="00224567" w:rsidRDefault="00224567">
      <w:pPr>
        <w:widowControl w:val="0"/>
        <w:tabs>
          <w:tab w:val="clear" w:pos="2835"/>
          <w:tab w:val="left" w:pos="700"/>
        </w:tabs>
        <w:rPr>
          <w:bCs/>
        </w:rPr>
      </w:pPr>
      <w:r>
        <w:rPr>
          <w:bCs/>
        </w:rPr>
        <w:t>-</w:t>
      </w:r>
      <w:r>
        <w:rPr>
          <w:bCs/>
        </w:rPr>
        <w:tab/>
        <w:t>N.N.: Bueno</w:t>
      </w:r>
    </w:p>
    <w:p w:rsidR="00224567" w:rsidRDefault="00224567">
      <w:pPr>
        <w:widowControl w:val="0"/>
        <w:tabs>
          <w:tab w:val="clear" w:pos="2835"/>
          <w:tab w:val="left" w:pos="700"/>
        </w:tabs>
        <w:rPr>
          <w:bCs/>
        </w:rPr>
      </w:pPr>
      <w:r>
        <w:rPr>
          <w:bCs/>
        </w:rPr>
        <w:t>-</w:t>
      </w:r>
      <w:r>
        <w:rPr>
          <w:bCs/>
        </w:rPr>
        <w:tab/>
        <w:t>Ribelli: Y después yo le dije a (ininteligible), d</w:t>
      </w:r>
      <w:r>
        <w:rPr>
          <w:bCs/>
        </w:rPr>
        <w:t>e</w:t>
      </w:r>
      <w:r>
        <w:rPr>
          <w:bCs/>
        </w:rPr>
        <w:t>jeme un rato, que voy a organizar un par de cosas y de</w:t>
      </w:r>
      <w:r>
        <w:rPr>
          <w:bCs/>
        </w:rPr>
        <w:t>s</w:t>
      </w:r>
      <w:r>
        <w:rPr>
          <w:bCs/>
        </w:rPr>
        <w:t>pués yo me presento en Jefatura, si yo ... lo principal que quiero es que quede asentado que no es que me van a venir a det</w:t>
      </w:r>
      <w:r>
        <w:rPr>
          <w:bCs/>
        </w:rPr>
        <w:t>e</w:t>
      </w:r>
      <w:r>
        <w:rPr>
          <w:bCs/>
        </w:rPr>
        <w:t>ner, si no que yo voy y que me voy a presentar espontáne</w:t>
      </w:r>
      <w:r>
        <w:rPr>
          <w:bCs/>
        </w:rPr>
        <w:t>a</w:t>
      </w:r>
      <w:r>
        <w:rPr>
          <w:bCs/>
        </w:rPr>
        <w:t>mente ...</w:t>
      </w:r>
    </w:p>
    <w:p w:rsidR="00224567" w:rsidRDefault="00224567">
      <w:pPr>
        <w:widowControl w:val="0"/>
        <w:tabs>
          <w:tab w:val="clear" w:pos="2835"/>
          <w:tab w:val="left" w:pos="700"/>
        </w:tabs>
        <w:rPr>
          <w:bCs/>
        </w:rPr>
      </w:pPr>
      <w:r>
        <w:rPr>
          <w:bCs/>
        </w:rPr>
        <w:t>-</w:t>
      </w:r>
      <w:r>
        <w:rPr>
          <w:bCs/>
        </w:rPr>
        <w:tab/>
        <w:t>N.N.: No, no, pero aparte lo sé yo y “ahora después de esta conversación vos me decís más o menos cuál es el tiempo que necesitás, yo hablo con Klodczyk, que te d</w:t>
      </w:r>
      <w:r>
        <w:rPr>
          <w:bCs/>
        </w:rPr>
        <w:t>i</w:t>
      </w:r>
      <w:r>
        <w:rPr>
          <w:bCs/>
        </w:rPr>
        <w:t>go, que tu persona es lo que más nos está preocupa</w:t>
      </w:r>
      <w:r>
        <w:rPr>
          <w:bCs/>
        </w:rPr>
        <w:t>n</w:t>
      </w:r>
      <w:r>
        <w:rPr>
          <w:bCs/>
        </w:rPr>
        <w:t>do!, aunque te parezca mentira o no ... y le digo: mira P</w:t>
      </w:r>
      <w:r>
        <w:rPr>
          <w:bCs/>
        </w:rPr>
        <w:t>e</w:t>
      </w:r>
      <w:r>
        <w:rPr>
          <w:bCs/>
        </w:rPr>
        <w:t>dro...</w:t>
      </w:r>
    </w:p>
    <w:p w:rsidR="00224567" w:rsidRDefault="00224567">
      <w:pPr>
        <w:widowControl w:val="0"/>
        <w:tabs>
          <w:tab w:val="clear" w:pos="2835"/>
          <w:tab w:val="left" w:pos="700"/>
        </w:tabs>
        <w:rPr>
          <w:bCs/>
        </w:rPr>
      </w:pPr>
      <w:r>
        <w:rPr>
          <w:bCs/>
        </w:rPr>
        <w:t>-</w:t>
      </w:r>
      <w:r>
        <w:rPr>
          <w:bCs/>
        </w:rPr>
        <w:tab/>
        <w:t>Ribelli: No, no, y si le queda alguno suelto díg</w:t>
      </w:r>
      <w:r>
        <w:rPr>
          <w:bCs/>
        </w:rPr>
        <w:t>a</w:t>
      </w:r>
      <w:r>
        <w:rPr>
          <w:bCs/>
        </w:rPr>
        <w:t>melo que yo trato de arr</w:t>
      </w:r>
      <w:r>
        <w:rPr>
          <w:bCs/>
        </w:rPr>
        <w:t>i</w:t>
      </w:r>
      <w:r>
        <w:rPr>
          <w:bCs/>
        </w:rPr>
        <w:t xml:space="preserve">márselo ... </w:t>
      </w:r>
    </w:p>
    <w:p w:rsidR="00224567" w:rsidRDefault="00224567">
      <w:pPr>
        <w:widowControl w:val="0"/>
        <w:tabs>
          <w:tab w:val="clear" w:pos="2835"/>
          <w:tab w:val="left" w:pos="700"/>
        </w:tabs>
        <w:rPr>
          <w:bCs/>
        </w:rPr>
      </w:pPr>
      <w:r>
        <w:rPr>
          <w:bCs/>
        </w:rPr>
        <w:t>-</w:t>
      </w:r>
      <w:r>
        <w:rPr>
          <w:bCs/>
        </w:rPr>
        <w:tab/>
        <w:t>N.N.: No estamos tratando de ubicar a Albarracín vi</w:t>
      </w:r>
      <w:r>
        <w:rPr>
          <w:bCs/>
        </w:rPr>
        <w:t>s</w:t>
      </w:r>
      <w:r>
        <w:rPr>
          <w:bCs/>
        </w:rPr>
        <w:t>te, ahora ... para saber a dónde andaba ... dice que est</w:t>
      </w:r>
      <w:r>
        <w:rPr>
          <w:bCs/>
        </w:rPr>
        <w:t>a</w:t>
      </w:r>
      <w:r>
        <w:rPr>
          <w:bCs/>
        </w:rPr>
        <w:t>ba franco, pero Sosa dice lo voy a llamar y le voy a e</w:t>
      </w:r>
      <w:r>
        <w:rPr>
          <w:bCs/>
        </w:rPr>
        <w:t>x</w:t>
      </w:r>
      <w:r>
        <w:rPr>
          <w:bCs/>
        </w:rPr>
        <w:t>plicar la situación ...</w:t>
      </w:r>
    </w:p>
    <w:p w:rsidR="00224567" w:rsidRDefault="00224567">
      <w:pPr>
        <w:widowControl w:val="0"/>
        <w:tabs>
          <w:tab w:val="clear" w:pos="2835"/>
          <w:tab w:val="left" w:pos="700"/>
        </w:tabs>
        <w:rPr>
          <w:bCs/>
        </w:rPr>
      </w:pPr>
      <w:r>
        <w:rPr>
          <w:bCs/>
        </w:rPr>
        <w:t>-</w:t>
      </w:r>
      <w:r>
        <w:rPr>
          <w:bCs/>
        </w:rPr>
        <w:tab/>
        <w:t>Ribelli: Claro, yo también recién me ... yo no s</w:t>
      </w:r>
      <w:r>
        <w:rPr>
          <w:bCs/>
        </w:rPr>
        <w:t>a</w:t>
      </w:r>
      <w:r>
        <w:rPr>
          <w:bCs/>
        </w:rPr>
        <w:t xml:space="preserve">bía de Albarracín, si estaba o no estaba, entonces le digo a Susana no sé si </w:t>
      </w:r>
      <w:smartTag w:uri="urn:schemas-microsoft-com:office:smarttags" w:element="PersonName">
        <w:smartTagPr>
          <w:attr w:name="ProductID" w:val="la Federal"/>
        </w:smartTagPr>
        <w:r>
          <w:rPr>
            <w:bCs/>
          </w:rPr>
          <w:t>la Federal</w:t>
        </w:r>
      </w:smartTag>
      <w:r>
        <w:rPr>
          <w:bCs/>
        </w:rPr>
        <w:t xml:space="preserve"> le allanó la casa, c</w:t>
      </w:r>
      <w:r>
        <w:rPr>
          <w:bCs/>
        </w:rPr>
        <w:t>a</w:t>
      </w:r>
      <w:r>
        <w:rPr>
          <w:bCs/>
        </w:rPr>
        <w:t>pás que lo tiene detenido ... a mí no me ha llam</w:t>
      </w:r>
      <w:r>
        <w:rPr>
          <w:bCs/>
        </w:rPr>
        <w:t>a</w:t>
      </w:r>
      <w:r>
        <w:rPr>
          <w:bCs/>
        </w:rPr>
        <w:t>do ...</w:t>
      </w:r>
    </w:p>
    <w:p w:rsidR="00224567" w:rsidRDefault="00224567">
      <w:pPr>
        <w:widowControl w:val="0"/>
        <w:tabs>
          <w:tab w:val="clear" w:pos="2835"/>
          <w:tab w:val="left" w:pos="700"/>
        </w:tabs>
        <w:rPr>
          <w:bCs/>
        </w:rPr>
      </w:pPr>
      <w:r>
        <w:rPr>
          <w:bCs/>
        </w:rPr>
        <w:t>-</w:t>
      </w:r>
      <w:r>
        <w:rPr>
          <w:bCs/>
        </w:rPr>
        <w:tab/>
        <w:t>N.N.: Ajá</w:t>
      </w:r>
    </w:p>
    <w:p w:rsidR="00224567" w:rsidRDefault="00224567">
      <w:pPr>
        <w:widowControl w:val="0"/>
        <w:tabs>
          <w:tab w:val="clear" w:pos="2835"/>
          <w:tab w:val="left" w:pos="700"/>
        </w:tabs>
        <w:rPr>
          <w:bCs/>
        </w:rPr>
      </w:pPr>
      <w:r>
        <w:rPr>
          <w:bCs/>
        </w:rPr>
        <w:t>-</w:t>
      </w:r>
      <w:r>
        <w:rPr>
          <w:bCs/>
        </w:rPr>
        <w:tab/>
        <w:t>Ribelli: Yo calculo, entonces no tiene ni idea ... yo ahora incluso le dije a Franchiotti “mirá, rastreámelo a Albarracín, por un radiollamado, por do</w:t>
      </w:r>
      <w:r>
        <w:rPr>
          <w:bCs/>
        </w:rPr>
        <w:t>n</w:t>
      </w:r>
      <w:r>
        <w:rPr>
          <w:bCs/>
        </w:rPr>
        <w:t>de sea ... y donde está si es que todavía no tuvo el probl</w:t>
      </w:r>
      <w:r>
        <w:rPr>
          <w:bCs/>
        </w:rPr>
        <w:t>e</w:t>
      </w:r>
      <w:r>
        <w:rPr>
          <w:bCs/>
        </w:rPr>
        <w:t>ma, que me llame, que la idea nuestra es presentarnos t</w:t>
      </w:r>
      <w:r>
        <w:rPr>
          <w:bCs/>
        </w:rPr>
        <w:t>o</w:t>
      </w:r>
      <w:r>
        <w:rPr>
          <w:bCs/>
        </w:rPr>
        <w:t>dos ...</w:t>
      </w:r>
    </w:p>
    <w:p w:rsidR="00224567" w:rsidRDefault="00224567">
      <w:pPr>
        <w:widowControl w:val="0"/>
        <w:tabs>
          <w:tab w:val="clear" w:pos="2835"/>
          <w:tab w:val="left" w:pos="700"/>
        </w:tabs>
        <w:rPr>
          <w:bCs/>
        </w:rPr>
      </w:pPr>
      <w:r>
        <w:rPr>
          <w:bCs/>
        </w:rPr>
        <w:t>-</w:t>
      </w:r>
      <w:r>
        <w:rPr>
          <w:bCs/>
        </w:rPr>
        <w:tab/>
        <w:t>N.N.: Bueno, escucháme una cosa Juan, porque así yo lo hablo con Pedro, porque Pedro se quedó también, yo me quedé también ... vos que idea tenés de cuándo andar por acá?, vas a venir acá, vas a ir para Sustracción, qué qu</w:t>
      </w:r>
      <w:r>
        <w:rPr>
          <w:bCs/>
        </w:rPr>
        <w:t>e</w:t>
      </w:r>
      <w:r>
        <w:rPr>
          <w:bCs/>
        </w:rPr>
        <w:t>rés hacer?</w:t>
      </w:r>
    </w:p>
    <w:p w:rsidR="00224567" w:rsidRDefault="00224567">
      <w:pPr>
        <w:widowControl w:val="0"/>
        <w:tabs>
          <w:tab w:val="clear" w:pos="2835"/>
          <w:tab w:val="left" w:pos="700"/>
        </w:tabs>
        <w:rPr>
          <w:bCs/>
        </w:rPr>
      </w:pPr>
      <w:r>
        <w:rPr>
          <w:bCs/>
        </w:rPr>
        <w:t>-</w:t>
      </w:r>
      <w:r>
        <w:rPr>
          <w:bCs/>
        </w:rPr>
        <w:tab/>
        <w:t xml:space="preserve">Ribelli: No, voy para </w:t>
      </w:r>
      <w:smartTag w:uri="urn:schemas-microsoft-com:office:smarttags" w:element="PersonName">
        <w:smartTagPr>
          <w:attr w:name="ProductID" w:val="la Jefatura"/>
        </w:smartTagPr>
        <w:r>
          <w:rPr>
            <w:bCs/>
          </w:rPr>
          <w:t>la Jefatura</w:t>
        </w:r>
      </w:smartTag>
      <w:r>
        <w:rPr>
          <w:bCs/>
        </w:rPr>
        <w:t>, yo le dije a S</w:t>
      </w:r>
      <w:r>
        <w:rPr>
          <w:bCs/>
        </w:rPr>
        <w:t>o</w:t>
      </w:r>
      <w:r>
        <w:rPr>
          <w:bCs/>
        </w:rPr>
        <w:t>sa que no se clave en la división, que yo armo tres o cu</w:t>
      </w:r>
      <w:r>
        <w:rPr>
          <w:bCs/>
        </w:rPr>
        <w:t>a</w:t>
      </w:r>
      <w:r>
        <w:rPr>
          <w:bCs/>
        </w:rPr>
        <w:t>tro boludeces, más que todo tranquilizar un poco a las fam</w:t>
      </w:r>
      <w:r>
        <w:rPr>
          <w:bCs/>
        </w:rPr>
        <w:t>i</w:t>
      </w:r>
      <w:r>
        <w:rPr>
          <w:bCs/>
        </w:rPr>
        <w:t>lias ... está con un shock f</w:t>
      </w:r>
      <w:r>
        <w:rPr>
          <w:bCs/>
        </w:rPr>
        <w:t>a</w:t>
      </w:r>
      <w:r>
        <w:rPr>
          <w:bCs/>
        </w:rPr>
        <w:t>miliar ...</w:t>
      </w:r>
    </w:p>
    <w:p w:rsidR="00224567" w:rsidRDefault="00224567">
      <w:pPr>
        <w:widowControl w:val="0"/>
        <w:tabs>
          <w:tab w:val="clear" w:pos="2835"/>
          <w:tab w:val="left" w:pos="700"/>
        </w:tabs>
        <w:rPr>
          <w:bCs/>
        </w:rPr>
      </w:pPr>
      <w:r>
        <w:rPr>
          <w:bCs/>
        </w:rPr>
        <w:t>-</w:t>
      </w:r>
      <w:r>
        <w:rPr>
          <w:bCs/>
        </w:rPr>
        <w:tab/>
        <w:t>N.N.: Quedáte tranquilo ... que te p</w:t>
      </w:r>
      <w:r>
        <w:rPr>
          <w:bCs/>
        </w:rPr>
        <w:t>a</w:t>
      </w:r>
      <w:r>
        <w:rPr>
          <w:bCs/>
        </w:rPr>
        <w:t>rece loco, no es para menos esto eh ... esto nos tiene locos a todos esto ...</w:t>
      </w:r>
    </w:p>
    <w:p w:rsidR="00224567" w:rsidRDefault="00224567">
      <w:pPr>
        <w:widowControl w:val="0"/>
        <w:tabs>
          <w:tab w:val="clear" w:pos="2835"/>
          <w:tab w:val="left" w:pos="700"/>
        </w:tabs>
        <w:rPr>
          <w:bCs/>
        </w:rPr>
      </w:pPr>
      <w:r>
        <w:rPr>
          <w:bCs/>
        </w:rPr>
        <w:t>-</w:t>
      </w:r>
      <w:r>
        <w:rPr>
          <w:bCs/>
        </w:rPr>
        <w:tab/>
        <w:t>Ribelli: Y dejar los efectos personales para que no se den el gusto de sacarnos las pertenencias allá, nada más ...</w:t>
      </w:r>
    </w:p>
    <w:p w:rsidR="00224567" w:rsidRDefault="00224567">
      <w:pPr>
        <w:widowControl w:val="0"/>
        <w:tabs>
          <w:tab w:val="clear" w:pos="2835"/>
          <w:tab w:val="left" w:pos="700"/>
        </w:tabs>
        <w:rPr>
          <w:bCs/>
        </w:rPr>
      </w:pPr>
      <w:r>
        <w:rPr>
          <w:bCs/>
        </w:rPr>
        <w:t>-</w:t>
      </w:r>
      <w:r>
        <w:rPr>
          <w:bCs/>
        </w:rPr>
        <w:tab/>
        <w:t>N.N.: Que no les “choreen” nada ... che Juan, qué le digo a Pedro, que antes de las siete u ocho de la mañana estás por acá?</w:t>
      </w:r>
    </w:p>
    <w:p w:rsidR="00224567" w:rsidRDefault="00224567">
      <w:pPr>
        <w:widowControl w:val="0"/>
        <w:tabs>
          <w:tab w:val="clear" w:pos="2835"/>
          <w:tab w:val="left" w:pos="700"/>
        </w:tabs>
        <w:rPr>
          <w:bCs/>
        </w:rPr>
      </w:pPr>
      <w:r>
        <w:rPr>
          <w:bCs/>
        </w:rPr>
        <w:t>-</w:t>
      </w:r>
      <w:r>
        <w:rPr>
          <w:bCs/>
        </w:rPr>
        <w:tab/>
        <w:t>Ribelli: No si, con seguridad ...</w:t>
      </w:r>
    </w:p>
    <w:p w:rsidR="00224567" w:rsidRDefault="00224567">
      <w:pPr>
        <w:widowControl w:val="0"/>
        <w:tabs>
          <w:tab w:val="clear" w:pos="2835"/>
          <w:tab w:val="left" w:pos="700"/>
        </w:tabs>
        <w:rPr>
          <w:bCs/>
        </w:rPr>
      </w:pPr>
      <w:r>
        <w:rPr>
          <w:bCs/>
        </w:rPr>
        <w:t>-</w:t>
      </w:r>
      <w:r>
        <w:rPr>
          <w:bCs/>
        </w:rPr>
        <w:tab/>
        <w:t>N.N.: Bueno ...</w:t>
      </w:r>
    </w:p>
    <w:p w:rsidR="00224567" w:rsidRDefault="00224567">
      <w:pPr>
        <w:widowControl w:val="0"/>
        <w:tabs>
          <w:tab w:val="clear" w:pos="2835"/>
          <w:tab w:val="left" w:pos="700"/>
        </w:tabs>
        <w:rPr>
          <w:bCs/>
        </w:rPr>
      </w:pPr>
      <w:r>
        <w:rPr>
          <w:bCs/>
        </w:rPr>
        <w:t>-</w:t>
      </w:r>
      <w:r>
        <w:rPr>
          <w:bCs/>
        </w:rPr>
        <w:tab/>
        <w:t>Ribelli: No, eso descarteló ... si están todos los muchachos voy a ir allá al ... otra cosa, de qué otros l</w:t>
      </w:r>
      <w:r>
        <w:rPr>
          <w:bCs/>
        </w:rPr>
        <w:t>a</w:t>
      </w:r>
      <w:r>
        <w:rPr>
          <w:bCs/>
        </w:rPr>
        <w:t>dos hay más gente?, le digo por si ... Burguete está ta</w:t>
      </w:r>
      <w:r>
        <w:rPr>
          <w:bCs/>
        </w:rPr>
        <w:t>m</w:t>
      </w:r>
      <w:r>
        <w:rPr>
          <w:bCs/>
        </w:rPr>
        <w:t>bién no?</w:t>
      </w:r>
    </w:p>
    <w:p w:rsidR="00224567" w:rsidRDefault="00224567">
      <w:pPr>
        <w:widowControl w:val="0"/>
        <w:tabs>
          <w:tab w:val="clear" w:pos="2835"/>
          <w:tab w:val="left" w:pos="700"/>
        </w:tabs>
        <w:rPr>
          <w:bCs/>
        </w:rPr>
      </w:pPr>
      <w:r>
        <w:rPr>
          <w:bCs/>
        </w:rPr>
        <w:t>-</w:t>
      </w:r>
      <w:r>
        <w:rPr>
          <w:bCs/>
        </w:rPr>
        <w:tab/>
        <w:t>N.N.: Sí, si ... sabés cuánta gente hay?</w:t>
      </w:r>
    </w:p>
    <w:p w:rsidR="00224567" w:rsidRDefault="00224567">
      <w:pPr>
        <w:widowControl w:val="0"/>
        <w:tabs>
          <w:tab w:val="clear" w:pos="2835"/>
          <w:tab w:val="left" w:pos="700"/>
        </w:tabs>
        <w:rPr>
          <w:bCs/>
        </w:rPr>
      </w:pPr>
      <w:r>
        <w:rPr>
          <w:bCs/>
        </w:rPr>
        <w:t>-</w:t>
      </w:r>
      <w:r>
        <w:rPr>
          <w:bCs/>
        </w:rPr>
        <w:tab/>
        <w:t>Ribelli: Yo más que todo, sabés por qué?, porque por ahí me empieza a llamar alguno, por lo menos para d</w:t>
      </w:r>
      <w:r>
        <w:rPr>
          <w:bCs/>
        </w:rPr>
        <w:t>e</w:t>
      </w:r>
      <w:r>
        <w:rPr>
          <w:bCs/>
        </w:rPr>
        <w:t>cirle, “si, estás en el problema, vení y pr</w:t>
      </w:r>
      <w:r>
        <w:rPr>
          <w:bCs/>
        </w:rPr>
        <w:t>e</w:t>
      </w:r>
      <w:r>
        <w:rPr>
          <w:bCs/>
        </w:rPr>
        <w:t>sentáte” ...</w:t>
      </w:r>
    </w:p>
    <w:p w:rsidR="00224567" w:rsidRDefault="00224567">
      <w:pPr>
        <w:widowControl w:val="0"/>
        <w:tabs>
          <w:tab w:val="clear" w:pos="2835"/>
          <w:tab w:val="left" w:pos="700"/>
        </w:tabs>
        <w:rPr>
          <w:bCs/>
        </w:rPr>
      </w:pPr>
      <w:r>
        <w:rPr>
          <w:bCs/>
        </w:rPr>
        <w:t>-</w:t>
      </w:r>
      <w:r>
        <w:rPr>
          <w:bCs/>
        </w:rPr>
        <w:tab/>
        <w:t>N.N.: Para Juan que te digo, yo con vos tengo co</w:t>
      </w:r>
      <w:r>
        <w:rPr>
          <w:bCs/>
        </w:rPr>
        <w:t>n</w:t>
      </w:r>
      <w:r>
        <w:rPr>
          <w:bCs/>
        </w:rPr>
        <w:t>fianza ... que te voy a engañar, no ... mirá está ... “vos encabezás la lista”, Burguete, Rago, Leal, Ibarra, Aranc</w:t>
      </w:r>
      <w:r>
        <w:rPr>
          <w:bCs/>
        </w:rPr>
        <w:t>i</w:t>
      </w:r>
      <w:r>
        <w:rPr>
          <w:bCs/>
        </w:rPr>
        <w:t>bia, y después ... hay “comparendos para testimoniales” ...</w:t>
      </w:r>
    </w:p>
    <w:p w:rsidR="00224567" w:rsidRDefault="00224567">
      <w:pPr>
        <w:widowControl w:val="0"/>
        <w:tabs>
          <w:tab w:val="clear" w:pos="2835"/>
          <w:tab w:val="left" w:pos="700"/>
        </w:tabs>
        <w:rPr>
          <w:bCs/>
        </w:rPr>
      </w:pPr>
      <w:r>
        <w:rPr>
          <w:bCs/>
        </w:rPr>
        <w:t>-</w:t>
      </w:r>
      <w:r>
        <w:rPr>
          <w:bCs/>
        </w:rPr>
        <w:tab/>
        <w:t>Ribelli: Si ...</w:t>
      </w:r>
    </w:p>
    <w:p w:rsidR="00224567" w:rsidRDefault="00224567">
      <w:pPr>
        <w:widowControl w:val="0"/>
        <w:tabs>
          <w:tab w:val="clear" w:pos="2835"/>
          <w:tab w:val="left" w:pos="700"/>
        </w:tabs>
        <w:rPr>
          <w:bCs/>
        </w:rPr>
      </w:pPr>
      <w:r>
        <w:rPr>
          <w:bCs/>
        </w:rPr>
        <w:t>-</w:t>
      </w:r>
      <w:r>
        <w:rPr>
          <w:bCs/>
        </w:rPr>
        <w:tab/>
        <w:t>N.N.: Y después ... pará, que no quiero decir bolud</w:t>
      </w:r>
      <w:r>
        <w:rPr>
          <w:bCs/>
        </w:rPr>
        <w:t>e</w:t>
      </w:r>
      <w:r>
        <w:rPr>
          <w:bCs/>
        </w:rPr>
        <w:t>ces ... un tal Araya, que no sé quien es.</w:t>
      </w:r>
    </w:p>
    <w:p w:rsidR="00224567" w:rsidRDefault="00224567">
      <w:pPr>
        <w:widowControl w:val="0"/>
        <w:tabs>
          <w:tab w:val="clear" w:pos="2835"/>
          <w:tab w:val="left" w:pos="700"/>
        </w:tabs>
        <w:rPr>
          <w:bCs/>
        </w:rPr>
      </w:pPr>
      <w:r>
        <w:rPr>
          <w:bCs/>
        </w:rPr>
        <w:t>-</w:t>
      </w:r>
      <w:r>
        <w:rPr>
          <w:bCs/>
        </w:rPr>
        <w:tab/>
        <w:t>Ribelli: Un oficialito, sí ... ese qué es, compare</w:t>
      </w:r>
      <w:r>
        <w:rPr>
          <w:bCs/>
        </w:rPr>
        <w:t>n</w:t>
      </w:r>
      <w:r>
        <w:rPr>
          <w:bCs/>
        </w:rPr>
        <w:t>do?</w:t>
      </w:r>
    </w:p>
    <w:p w:rsidR="00224567" w:rsidRDefault="00224567">
      <w:pPr>
        <w:widowControl w:val="0"/>
        <w:tabs>
          <w:tab w:val="clear" w:pos="2835"/>
          <w:tab w:val="left" w:pos="700"/>
        </w:tabs>
        <w:rPr>
          <w:bCs/>
        </w:rPr>
      </w:pPr>
      <w:r>
        <w:rPr>
          <w:bCs/>
        </w:rPr>
        <w:t>-</w:t>
      </w:r>
      <w:r>
        <w:rPr>
          <w:bCs/>
        </w:rPr>
        <w:tab/>
        <w:t>N.N.: No, eso es también con ustedes por el incumpl</w:t>
      </w:r>
      <w:r>
        <w:rPr>
          <w:bCs/>
        </w:rPr>
        <w:t>i</w:t>
      </w:r>
      <w:r>
        <w:rPr>
          <w:bCs/>
        </w:rPr>
        <w:t>miento</w:t>
      </w:r>
    </w:p>
    <w:p w:rsidR="00224567" w:rsidRDefault="00224567">
      <w:pPr>
        <w:widowControl w:val="0"/>
        <w:tabs>
          <w:tab w:val="clear" w:pos="2835"/>
          <w:tab w:val="left" w:pos="700"/>
        </w:tabs>
        <w:rPr>
          <w:bCs/>
        </w:rPr>
      </w:pPr>
      <w:r>
        <w:rPr>
          <w:bCs/>
        </w:rPr>
        <w:t>-</w:t>
      </w:r>
      <w:r>
        <w:rPr>
          <w:bCs/>
        </w:rPr>
        <w:tab/>
        <w:t>Ribelli: Sí</w:t>
      </w:r>
    </w:p>
    <w:p w:rsidR="00224567" w:rsidRDefault="00224567">
      <w:pPr>
        <w:widowControl w:val="0"/>
        <w:tabs>
          <w:tab w:val="clear" w:pos="2835"/>
          <w:tab w:val="left" w:pos="700"/>
        </w:tabs>
        <w:rPr>
          <w:bCs/>
        </w:rPr>
      </w:pPr>
      <w:r>
        <w:rPr>
          <w:bCs/>
        </w:rPr>
        <w:t>-</w:t>
      </w:r>
      <w:r>
        <w:rPr>
          <w:bCs/>
        </w:rPr>
        <w:tab/>
        <w:t>N.N.: Quinteros y Cruz.</w:t>
      </w:r>
    </w:p>
    <w:p w:rsidR="00224567" w:rsidRDefault="00224567">
      <w:pPr>
        <w:widowControl w:val="0"/>
        <w:tabs>
          <w:tab w:val="clear" w:pos="2835"/>
          <w:tab w:val="left" w:pos="700"/>
        </w:tabs>
        <w:rPr>
          <w:bCs/>
        </w:rPr>
      </w:pPr>
      <w:r>
        <w:rPr>
          <w:bCs/>
        </w:rPr>
        <w:t>-</w:t>
      </w:r>
      <w:r>
        <w:rPr>
          <w:bCs/>
        </w:rPr>
        <w:tab/>
        <w:t>Ribelli: Sí.</w:t>
      </w:r>
    </w:p>
    <w:p w:rsidR="00224567" w:rsidRDefault="00224567">
      <w:pPr>
        <w:widowControl w:val="0"/>
        <w:tabs>
          <w:tab w:val="clear" w:pos="2835"/>
          <w:tab w:val="left" w:pos="700"/>
        </w:tabs>
        <w:rPr>
          <w:bCs/>
        </w:rPr>
      </w:pPr>
      <w:r>
        <w:rPr>
          <w:bCs/>
        </w:rPr>
        <w:t>-</w:t>
      </w:r>
      <w:r>
        <w:rPr>
          <w:bCs/>
        </w:rPr>
        <w:tab/>
        <w:t>N.N.: Y después los comparendos son: Ferrari, Las</w:t>
      </w:r>
      <w:r>
        <w:rPr>
          <w:bCs/>
        </w:rPr>
        <w:t>a</w:t>
      </w:r>
      <w:r>
        <w:rPr>
          <w:bCs/>
        </w:rPr>
        <w:t>la, Toledo, García, Casas y Castro ... ese hombre le pr</w:t>
      </w:r>
      <w:r>
        <w:rPr>
          <w:bCs/>
        </w:rPr>
        <w:t>o</w:t>
      </w:r>
      <w:r>
        <w:rPr>
          <w:bCs/>
        </w:rPr>
        <w:t>metió que los comparendos los s</w:t>
      </w:r>
      <w:r>
        <w:rPr>
          <w:bCs/>
        </w:rPr>
        <w:t>o</w:t>
      </w:r>
      <w:r>
        <w:rPr>
          <w:bCs/>
        </w:rPr>
        <w:t>luciona en el día.</w:t>
      </w:r>
    </w:p>
    <w:p w:rsidR="00224567" w:rsidRDefault="00224567">
      <w:pPr>
        <w:widowControl w:val="0"/>
        <w:tabs>
          <w:tab w:val="clear" w:pos="2835"/>
          <w:tab w:val="left" w:pos="700"/>
        </w:tabs>
        <w:rPr>
          <w:bCs/>
        </w:rPr>
      </w:pPr>
      <w:r>
        <w:rPr>
          <w:bCs/>
        </w:rPr>
        <w:t>-</w:t>
      </w:r>
      <w:r>
        <w:rPr>
          <w:bCs/>
        </w:rPr>
        <w:tab/>
        <w:t>Ribelli: Sí.</w:t>
      </w:r>
    </w:p>
    <w:p w:rsidR="00224567" w:rsidRDefault="00224567">
      <w:pPr>
        <w:widowControl w:val="0"/>
        <w:tabs>
          <w:tab w:val="clear" w:pos="2835"/>
          <w:tab w:val="left" w:pos="700"/>
        </w:tabs>
        <w:rPr>
          <w:bCs/>
        </w:rPr>
      </w:pPr>
      <w:r>
        <w:rPr>
          <w:bCs/>
        </w:rPr>
        <w:t>-</w:t>
      </w:r>
      <w:r>
        <w:rPr>
          <w:bCs/>
        </w:rPr>
        <w:tab/>
        <w:t>N.N.: Y los de ustedes, apenas le ... (inintelig</w:t>
      </w:r>
      <w:r>
        <w:rPr>
          <w:bCs/>
        </w:rPr>
        <w:t>i</w:t>
      </w:r>
      <w:r>
        <w:rPr>
          <w:bCs/>
        </w:rPr>
        <w:t>ble) declaración indagatoria, por el tema de incumplimie</w:t>
      </w:r>
      <w:r>
        <w:rPr>
          <w:bCs/>
        </w:rPr>
        <w:t>n</w:t>
      </w:r>
      <w:r>
        <w:rPr>
          <w:bCs/>
        </w:rPr>
        <w:t>to del d</w:t>
      </w:r>
      <w:r>
        <w:rPr>
          <w:bCs/>
        </w:rPr>
        <w:t>e</w:t>
      </w:r>
      <w:r>
        <w:rPr>
          <w:bCs/>
        </w:rPr>
        <w:t>ber ...</w:t>
      </w:r>
    </w:p>
    <w:p w:rsidR="00224567" w:rsidRDefault="00224567">
      <w:pPr>
        <w:widowControl w:val="0"/>
        <w:tabs>
          <w:tab w:val="clear" w:pos="2835"/>
          <w:tab w:val="left" w:pos="700"/>
        </w:tabs>
        <w:rPr>
          <w:bCs/>
        </w:rPr>
      </w:pPr>
      <w:r>
        <w:rPr>
          <w:bCs/>
        </w:rPr>
        <w:t>-</w:t>
      </w:r>
      <w:r>
        <w:rPr>
          <w:bCs/>
        </w:rPr>
        <w:tab/>
        <w:t>Ribelli: Y nos vamos a negar todos, qué vamos a h</w:t>
      </w:r>
      <w:r>
        <w:rPr>
          <w:bCs/>
        </w:rPr>
        <w:t>a</w:t>
      </w:r>
      <w:r>
        <w:rPr>
          <w:bCs/>
        </w:rPr>
        <w:t>cer?</w:t>
      </w:r>
    </w:p>
    <w:p w:rsidR="00224567" w:rsidRDefault="00224567">
      <w:pPr>
        <w:widowControl w:val="0"/>
        <w:tabs>
          <w:tab w:val="clear" w:pos="2835"/>
          <w:tab w:val="left" w:pos="700"/>
        </w:tabs>
        <w:rPr>
          <w:bCs/>
        </w:rPr>
      </w:pPr>
      <w:r>
        <w:rPr>
          <w:bCs/>
        </w:rPr>
        <w:t>-</w:t>
      </w:r>
      <w:r>
        <w:rPr>
          <w:bCs/>
        </w:rPr>
        <w:tab/>
        <w:t>N.N.: Por eso, sí, me imagino.</w:t>
      </w:r>
    </w:p>
    <w:p w:rsidR="00224567" w:rsidRDefault="00224567">
      <w:pPr>
        <w:widowControl w:val="0"/>
        <w:tabs>
          <w:tab w:val="clear" w:pos="2835"/>
          <w:tab w:val="left" w:pos="700"/>
        </w:tabs>
        <w:rPr>
          <w:bCs/>
        </w:rPr>
      </w:pPr>
      <w:r>
        <w:rPr>
          <w:bCs/>
        </w:rPr>
        <w:t>-</w:t>
      </w:r>
      <w:r>
        <w:rPr>
          <w:bCs/>
        </w:rPr>
        <w:tab/>
        <w:t>Ribelli: Que va a hacer.</w:t>
      </w:r>
    </w:p>
    <w:p w:rsidR="00224567" w:rsidRDefault="00224567">
      <w:pPr>
        <w:widowControl w:val="0"/>
        <w:tabs>
          <w:tab w:val="clear" w:pos="2835"/>
          <w:tab w:val="left" w:pos="700"/>
        </w:tabs>
        <w:rPr>
          <w:bCs/>
        </w:rPr>
      </w:pPr>
      <w:r>
        <w:rPr>
          <w:bCs/>
        </w:rPr>
        <w:t>-</w:t>
      </w:r>
      <w:r>
        <w:rPr>
          <w:bCs/>
        </w:rPr>
        <w:tab/>
        <w:t>N.N.: Bueno Juan ...</w:t>
      </w:r>
    </w:p>
    <w:p w:rsidR="00224567" w:rsidRDefault="00224567">
      <w:pPr>
        <w:widowControl w:val="0"/>
        <w:tabs>
          <w:tab w:val="clear" w:pos="2835"/>
          <w:tab w:val="left" w:pos="700"/>
        </w:tabs>
        <w:rPr>
          <w:bCs/>
        </w:rPr>
      </w:pPr>
      <w:r>
        <w:rPr>
          <w:bCs/>
        </w:rPr>
        <w:t>-</w:t>
      </w:r>
      <w:r>
        <w:rPr>
          <w:bCs/>
        </w:rPr>
        <w:tab/>
        <w:t>Ribelli: Listo ... no, no, eso descá</w:t>
      </w:r>
      <w:r>
        <w:rPr>
          <w:bCs/>
        </w:rPr>
        <w:t>r</w:t>
      </w:r>
      <w:r>
        <w:rPr>
          <w:bCs/>
        </w:rPr>
        <w:t>telo, yo ... más que todo uno quería saber un poco la carátula realmente ...</w:t>
      </w:r>
    </w:p>
    <w:p w:rsidR="00224567" w:rsidRDefault="00224567">
      <w:pPr>
        <w:widowControl w:val="0"/>
        <w:tabs>
          <w:tab w:val="clear" w:pos="2835"/>
          <w:tab w:val="left" w:pos="700"/>
        </w:tabs>
        <w:rPr>
          <w:bCs/>
        </w:rPr>
      </w:pPr>
      <w:r>
        <w:rPr>
          <w:bCs/>
        </w:rPr>
        <w:t>-</w:t>
      </w:r>
      <w:r>
        <w:rPr>
          <w:bCs/>
        </w:rPr>
        <w:tab/>
        <w:t>N.N.: La carátula es incumplimiento del deber de fu</w:t>
      </w:r>
      <w:r>
        <w:rPr>
          <w:bCs/>
        </w:rPr>
        <w:t>n</w:t>
      </w:r>
      <w:r>
        <w:rPr>
          <w:bCs/>
        </w:rPr>
        <w:t>cionario p</w:t>
      </w:r>
      <w:r>
        <w:rPr>
          <w:bCs/>
        </w:rPr>
        <w:t>ú</w:t>
      </w:r>
      <w:r>
        <w:rPr>
          <w:bCs/>
        </w:rPr>
        <w:t>blico</w:t>
      </w:r>
    </w:p>
    <w:p w:rsidR="00224567" w:rsidRDefault="00224567">
      <w:pPr>
        <w:widowControl w:val="0"/>
        <w:tabs>
          <w:tab w:val="clear" w:pos="2835"/>
          <w:tab w:val="left" w:pos="700"/>
        </w:tabs>
        <w:rPr>
          <w:bCs/>
        </w:rPr>
      </w:pPr>
      <w:r>
        <w:rPr>
          <w:bCs/>
        </w:rPr>
        <w:t>-</w:t>
      </w:r>
      <w:r>
        <w:rPr>
          <w:bCs/>
        </w:rPr>
        <w:tab/>
        <w:t>Ribelli: Está bien.</w:t>
      </w:r>
    </w:p>
    <w:p w:rsidR="00224567" w:rsidRDefault="00224567">
      <w:pPr>
        <w:widowControl w:val="0"/>
        <w:tabs>
          <w:tab w:val="clear" w:pos="2835"/>
          <w:tab w:val="left" w:pos="700"/>
        </w:tabs>
        <w:rPr>
          <w:bCs/>
        </w:rPr>
      </w:pPr>
      <w:r>
        <w:rPr>
          <w:bCs/>
        </w:rPr>
        <w:t>-</w:t>
      </w:r>
      <w:r>
        <w:rPr>
          <w:bCs/>
        </w:rPr>
        <w:tab/>
        <w:t>N.N.: Bueno. Entonces yo ... si Pedro que está un p</w:t>
      </w:r>
      <w:r>
        <w:rPr>
          <w:bCs/>
        </w:rPr>
        <w:t>o</w:t>
      </w:r>
      <w:r>
        <w:rPr>
          <w:bCs/>
        </w:rPr>
        <w:t>co permane</w:t>
      </w:r>
      <w:r>
        <w:rPr>
          <w:bCs/>
        </w:rPr>
        <w:t>n</w:t>
      </w:r>
      <w:r>
        <w:rPr>
          <w:bCs/>
        </w:rPr>
        <w:t>temente detrás del tema ...</w:t>
      </w:r>
    </w:p>
    <w:p w:rsidR="00224567" w:rsidRDefault="00224567">
      <w:pPr>
        <w:widowControl w:val="0"/>
        <w:tabs>
          <w:tab w:val="clear" w:pos="2835"/>
          <w:tab w:val="left" w:pos="700"/>
        </w:tabs>
        <w:rPr>
          <w:bCs/>
        </w:rPr>
      </w:pPr>
      <w:r>
        <w:rPr>
          <w:bCs/>
        </w:rPr>
        <w:t>-</w:t>
      </w:r>
      <w:r>
        <w:rPr>
          <w:bCs/>
        </w:rPr>
        <w:tab/>
        <w:t>Ribelli: (interrumpe), Mire Jefe. yo estoy con el m</w:t>
      </w:r>
      <w:r>
        <w:rPr>
          <w:bCs/>
        </w:rPr>
        <w:t>o</w:t>
      </w:r>
      <w:r>
        <w:rPr>
          <w:bCs/>
        </w:rPr>
        <w:t xml:space="preserve">vicom abierto y le digo con total franqueza como le hablé siempre ... </w:t>
      </w:r>
    </w:p>
    <w:p w:rsidR="00224567" w:rsidRDefault="00224567">
      <w:pPr>
        <w:widowControl w:val="0"/>
        <w:tabs>
          <w:tab w:val="clear" w:pos="2835"/>
          <w:tab w:val="left" w:pos="700"/>
        </w:tabs>
        <w:rPr>
          <w:bCs/>
        </w:rPr>
      </w:pPr>
      <w:r>
        <w:rPr>
          <w:bCs/>
        </w:rPr>
        <w:t>-</w:t>
      </w:r>
      <w:r>
        <w:rPr>
          <w:bCs/>
        </w:rPr>
        <w:tab/>
        <w:t>N.N.: Si hombre</w:t>
      </w:r>
    </w:p>
    <w:p w:rsidR="00224567" w:rsidRDefault="00224567">
      <w:pPr>
        <w:widowControl w:val="0"/>
        <w:tabs>
          <w:tab w:val="clear" w:pos="2835"/>
          <w:tab w:val="left" w:pos="700"/>
        </w:tabs>
        <w:rPr>
          <w:bCs/>
        </w:rPr>
      </w:pPr>
      <w:r>
        <w:rPr>
          <w:bCs/>
        </w:rPr>
        <w:t>-</w:t>
      </w:r>
      <w:r>
        <w:rPr>
          <w:bCs/>
        </w:rPr>
        <w:tab/>
        <w:t>Ribelli: Yo antes de las siete de la mañana estoy con seg</w:t>
      </w:r>
      <w:r>
        <w:rPr>
          <w:bCs/>
        </w:rPr>
        <w:t>u</w:t>
      </w:r>
      <w:r>
        <w:rPr>
          <w:bCs/>
        </w:rPr>
        <w:t>ridad.</w:t>
      </w:r>
    </w:p>
    <w:p w:rsidR="00224567" w:rsidRDefault="00224567">
      <w:pPr>
        <w:widowControl w:val="0"/>
        <w:tabs>
          <w:tab w:val="clear" w:pos="2835"/>
          <w:tab w:val="left" w:pos="700"/>
        </w:tabs>
        <w:rPr>
          <w:bCs/>
        </w:rPr>
      </w:pPr>
      <w:r>
        <w:rPr>
          <w:bCs/>
        </w:rPr>
        <w:t>-</w:t>
      </w:r>
      <w:r>
        <w:rPr>
          <w:bCs/>
        </w:rPr>
        <w:tab/>
        <w:t>N.N.: Quedáte tranquilo ...</w:t>
      </w:r>
    </w:p>
    <w:p w:rsidR="00224567" w:rsidRDefault="00224567">
      <w:pPr>
        <w:widowControl w:val="0"/>
        <w:tabs>
          <w:tab w:val="clear" w:pos="2835"/>
          <w:tab w:val="left" w:pos="700"/>
        </w:tabs>
        <w:rPr>
          <w:bCs/>
        </w:rPr>
      </w:pPr>
      <w:r>
        <w:rPr>
          <w:bCs/>
        </w:rPr>
        <w:t>-</w:t>
      </w:r>
      <w:r>
        <w:rPr>
          <w:bCs/>
        </w:rPr>
        <w:tab/>
        <w:t>Ribelli: Por ahí es mucho más rápido de lo que le d</w:t>
      </w:r>
      <w:r>
        <w:rPr>
          <w:bCs/>
        </w:rPr>
        <w:t>i</w:t>
      </w:r>
      <w:r>
        <w:rPr>
          <w:bCs/>
        </w:rPr>
        <w:t>go.</w:t>
      </w:r>
    </w:p>
    <w:p w:rsidR="00224567" w:rsidRDefault="00224567">
      <w:pPr>
        <w:widowControl w:val="0"/>
        <w:tabs>
          <w:tab w:val="clear" w:pos="2835"/>
          <w:tab w:val="left" w:pos="700"/>
        </w:tabs>
        <w:rPr>
          <w:bCs/>
        </w:rPr>
      </w:pPr>
      <w:r>
        <w:rPr>
          <w:bCs/>
        </w:rPr>
        <w:t>-</w:t>
      </w:r>
      <w:r>
        <w:rPr>
          <w:bCs/>
        </w:rPr>
        <w:tab/>
        <w:t>N.N.: Fenómeno, no hay problema.</w:t>
      </w:r>
    </w:p>
    <w:p w:rsidR="00224567" w:rsidRDefault="00224567">
      <w:pPr>
        <w:widowControl w:val="0"/>
        <w:tabs>
          <w:tab w:val="clear" w:pos="2835"/>
          <w:tab w:val="left" w:pos="700"/>
        </w:tabs>
        <w:rPr>
          <w:bCs/>
        </w:rPr>
      </w:pPr>
      <w:r>
        <w:rPr>
          <w:bCs/>
        </w:rPr>
        <w:t>-</w:t>
      </w:r>
      <w:r>
        <w:rPr>
          <w:bCs/>
        </w:rPr>
        <w:tab/>
        <w:t>Ribelli: Nada más que le digo ... uno no sabe con las locuras que puede salir el hombre, entonces yo no quiero dejar previsto para tres o cuatro días, quiero dejar pr</w:t>
      </w:r>
      <w:r>
        <w:rPr>
          <w:bCs/>
        </w:rPr>
        <w:t>e</w:t>
      </w:r>
      <w:r>
        <w:rPr>
          <w:bCs/>
        </w:rPr>
        <w:t>visto para un poco más ... ese es el tema, nada más.</w:t>
      </w:r>
    </w:p>
    <w:p w:rsidR="00224567" w:rsidRDefault="00224567">
      <w:pPr>
        <w:widowControl w:val="0"/>
        <w:tabs>
          <w:tab w:val="clear" w:pos="2835"/>
          <w:tab w:val="left" w:pos="700"/>
        </w:tabs>
        <w:rPr>
          <w:bCs/>
        </w:rPr>
      </w:pPr>
      <w:r>
        <w:rPr>
          <w:bCs/>
        </w:rPr>
        <w:t>-</w:t>
      </w:r>
      <w:r>
        <w:rPr>
          <w:bCs/>
        </w:rPr>
        <w:tab/>
        <w:t>N.N.: Correcto, es un buen pensar.</w:t>
      </w:r>
    </w:p>
    <w:p w:rsidR="00224567" w:rsidRDefault="00224567">
      <w:pPr>
        <w:widowControl w:val="0"/>
        <w:tabs>
          <w:tab w:val="clear" w:pos="2835"/>
          <w:tab w:val="left" w:pos="700"/>
        </w:tabs>
        <w:rPr>
          <w:bCs/>
        </w:rPr>
      </w:pPr>
      <w:r>
        <w:rPr>
          <w:bCs/>
        </w:rPr>
        <w:t>-</w:t>
      </w:r>
      <w:r>
        <w:rPr>
          <w:bCs/>
        </w:rPr>
        <w:tab/>
        <w:t>Ribelli: No ...</w:t>
      </w:r>
    </w:p>
    <w:p w:rsidR="00224567" w:rsidRDefault="00224567">
      <w:pPr>
        <w:widowControl w:val="0"/>
        <w:tabs>
          <w:tab w:val="clear" w:pos="2835"/>
          <w:tab w:val="left" w:pos="700"/>
        </w:tabs>
        <w:rPr>
          <w:bCs/>
        </w:rPr>
      </w:pPr>
      <w:r>
        <w:rPr>
          <w:bCs/>
        </w:rPr>
        <w:t>-</w:t>
      </w:r>
      <w:r>
        <w:rPr>
          <w:bCs/>
        </w:rPr>
        <w:tab/>
        <w:t>N.N.: Yo ... la idea nuestra es concentrarlos acá, ficharlos, preparar todo, hacer las notificaciones, todo nosotros para no tener inconvenientes, lo más rápido pos</w:t>
      </w:r>
      <w:r>
        <w:rPr>
          <w:bCs/>
        </w:rPr>
        <w:t>i</w:t>
      </w:r>
      <w:r>
        <w:rPr>
          <w:bCs/>
        </w:rPr>
        <w:t>ble ...</w:t>
      </w:r>
    </w:p>
    <w:p w:rsidR="00224567" w:rsidRDefault="00224567">
      <w:pPr>
        <w:widowControl w:val="0"/>
        <w:tabs>
          <w:tab w:val="clear" w:pos="2835"/>
          <w:tab w:val="left" w:pos="700"/>
        </w:tabs>
        <w:rPr>
          <w:bCs/>
        </w:rPr>
      </w:pPr>
      <w:r>
        <w:rPr>
          <w:bCs/>
        </w:rPr>
        <w:t>-</w:t>
      </w:r>
      <w:r>
        <w:rPr>
          <w:bCs/>
        </w:rPr>
        <w:tab/>
        <w:t>Ribelli: Sí</w:t>
      </w:r>
    </w:p>
    <w:p w:rsidR="00224567" w:rsidRDefault="00224567">
      <w:pPr>
        <w:widowControl w:val="0"/>
        <w:tabs>
          <w:tab w:val="clear" w:pos="2835"/>
          <w:tab w:val="left" w:pos="700"/>
        </w:tabs>
        <w:rPr>
          <w:bCs/>
        </w:rPr>
      </w:pPr>
      <w:r>
        <w:rPr>
          <w:bCs/>
        </w:rPr>
        <w:t>-</w:t>
      </w:r>
      <w:r>
        <w:rPr>
          <w:bCs/>
        </w:rPr>
        <w:tab/>
        <w:t>N.N.: Reacomodarnos en algún lado acá.</w:t>
      </w:r>
    </w:p>
    <w:p w:rsidR="00224567" w:rsidRDefault="00224567">
      <w:pPr>
        <w:widowControl w:val="0"/>
        <w:tabs>
          <w:tab w:val="clear" w:pos="2835"/>
          <w:tab w:val="left" w:pos="700"/>
        </w:tabs>
        <w:rPr>
          <w:bCs/>
        </w:rPr>
      </w:pPr>
      <w:r>
        <w:rPr>
          <w:bCs/>
        </w:rPr>
        <w:t>-</w:t>
      </w:r>
      <w:r>
        <w:rPr>
          <w:bCs/>
        </w:rPr>
        <w:tab/>
        <w:t>Ribelli: Claro.</w:t>
      </w:r>
    </w:p>
    <w:p w:rsidR="00224567" w:rsidRDefault="00224567">
      <w:pPr>
        <w:widowControl w:val="0"/>
        <w:tabs>
          <w:tab w:val="clear" w:pos="2835"/>
          <w:tab w:val="left" w:pos="700"/>
        </w:tabs>
        <w:rPr>
          <w:bCs/>
        </w:rPr>
      </w:pPr>
      <w:r>
        <w:rPr>
          <w:bCs/>
        </w:rPr>
        <w:t>-</w:t>
      </w:r>
      <w:r>
        <w:rPr>
          <w:bCs/>
        </w:rPr>
        <w:tab/>
        <w:t>N.N.: Y no mandarlos mañana. Sino tenerlos hasta el lunes a la mañana acá y el lunes a la mañana mandárselos ...</w:t>
      </w:r>
    </w:p>
    <w:p w:rsidR="00224567" w:rsidRDefault="00224567">
      <w:pPr>
        <w:widowControl w:val="0"/>
        <w:tabs>
          <w:tab w:val="clear" w:pos="2835"/>
          <w:tab w:val="left" w:pos="700"/>
        </w:tabs>
        <w:rPr>
          <w:bCs/>
        </w:rPr>
      </w:pPr>
      <w:r>
        <w:rPr>
          <w:bCs/>
        </w:rPr>
        <w:t>-</w:t>
      </w:r>
      <w:r>
        <w:rPr>
          <w:bCs/>
        </w:rPr>
        <w:tab/>
        <w:t>Ribelli: Está bien ... no, sí, sí ... es un poco ta</w:t>
      </w:r>
      <w:r>
        <w:rPr>
          <w:bCs/>
        </w:rPr>
        <w:t>m</w:t>
      </w:r>
      <w:r>
        <w:rPr>
          <w:bCs/>
        </w:rPr>
        <w:t>bién la ayuda del alojamiento de los much</w:t>
      </w:r>
      <w:r>
        <w:rPr>
          <w:bCs/>
        </w:rPr>
        <w:t>a</w:t>
      </w:r>
      <w:r>
        <w:rPr>
          <w:bCs/>
        </w:rPr>
        <w:t>chos y todo eso.</w:t>
      </w:r>
    </w:p>
    <w:p w:rsidR="00224567" w:rsidRDefault="00224567">
      <w:pPr>
        <w:widowControl w:val="0"/>
        <w:tabs>
          <w:tab w:val="clear" w:pos="2835"/>
          <w:tab w:val="left" w:pos="700"/>
        </w:tabs>
        <w:rPr>
          <w:bCs/>
        </w:rPr>
      </w:pPr>
      <w:r>
        <w:rPr>
          <w:bCs/>
        </w:rPr>
        <w:t>-</w:t>
      </w:r>
      <w:r>
        <w:rPr>
          <w:bCs/>
        </w:rPr>
        <w:tab/>
        <w:t>N.N.: No, no ... y lo vamos a tratar de alojar do</w:t>
      </w:r>
      <w:r>
        <w:rPr>
          <w:bCs/>
        </w:rPr>
        <w:t>n</w:t>
      </w:r>
      <w:r>
        <w:rPr>
          <w:bCs/>
        </w:rPr>
        <w:t>de mejor podamos. Estoy viendo si los vamos a poder al</w:t>
      </w:r>
      <w:r>
        <w:rPr>
          <w:bCs/>
        </w:rPr>
        <w:t>o</w:t>
      </w:r>
      <w:r>
        <w:rPr>
          <w:bCs/>
        </w:rPr>
        <w:t xml:space="preserve">jar en </w:t>
      </w:r>
      <w:smartTag w:uri="urn:schemas-microsoft-com:office:smarttags" w:element="PersonName">
        <w:smartTagPr>
          <w:attr w:name="ProductID" w:val="la Brigada"/>
        </w:smartTagPr>
        <w:r>
          <w:rPr>
            <w:bCs/>
          </w:rPr>
          <w:t>la Br</w:t>
        </w:r>
        <w:r>
          <w:rPr>
            <w:bCs/>
          </w:rPr>
          <w:t>i</w:t>
        </w:r>
        <w:r>
          <w:rPr>
            <w:bCs/>
          </w:rPr>
          <w:t>gada</w:t>
        </w:r>
      </w:smartTag>
      <w:r>
        <w:rPr>
          <w:bCs/>
        </w:rPr>
        <w:t xml:space="preserve"> de Quilmes.</w:t>
      </w:r>
    </w:p>
    <w:p w:rsidR="00224567" w:rsidRDefault="00224567">
      <w:pPr>
        <w:widowControl w:val="0"/>
        <w:tabs>
          <w:tab w:val="clear" w:pos="2835"/>
          <w:tab w:val="left" w:pos="700"/>
        </w:tabs>
        <w:rPr>
          <w:bCs/>
        </w:rPr>
      </w:pPr>
      <w:r>
        <w:rPr>
          <w:bCs/>
        </w:rPr>
        <w:t>-</w:t>
      </w:r>
      <w:r>
        <w:rPr>
          <w:bCs/>
        </w:rPr>
        <w:tab/>
        <w:t>Ribelli: Claro.</w:t>
      </w:r>
    </w:p>
    <w:p w:rsidR="00224567" w:rsidRDefault="00224567">
      <w:pPr>
        <w:widowControl w:val="0"/>
        <w:tabs>
          <w:tab w:val="clear" w:pos="2835"/>
          <w:tab w:val="left" w:pos="700"/>
        </w:tabs>
        <w:rPr>
          <w:bCs/>
        </w:rPr>
      </w:pPr>
      <w:r>
        <w:rPr>
          <w:bCs/>
        </w:rPr>
        <w:t>-</w:t>
      </w:r>
      <w:r>
        <w:rPr>
          <w:bCs/>
        </w:rPr>
        <w:tab/>
        <w:t>N.N.: me parece que es el lugar donde más cómodos pueden estar.</w:t>
      </w:r>
    </w:p>
    <w:p w:rsidR="00224567" w:rsidRDefault="00224567">
      <w:pPr>
        <w:widowControl w:val="0"/>
        <w:tabs>
          <w:tab w:val="clear" w:pos="2835"/>
          <w:tab w:val="left" w:pos="700"/>
        </w:tabs>
        <w:rPr>
          <w:bCs/>
        </w:rPr>
      </w:pPr>
      <w:r>
        <w:rPr>
          <w:bCs/>
        </w:rPr>
        <w:t>-</w:t>
      </w:r>
      <w:r>
        <w:rPr>
          <w:bCs/>
        </w:rPr>
        <w:tab/>
        <w:t>Ribelli: Está bien.</w:t>
      </w:r>
    </w:p>
    <w:p w:rsidR="00224567" w:rsidRDefault="00224567">
      <w:pPr>
        <w:widowControl w:val="0"/>
        <w:tabs>
          <w:tab w:val="clear" w:pos="2835"/>
          <w:tab w:val="left" w:pos="700"/>
        </w:tabs>
        <w:rPr>
          <w:bCs/>
        </w:rPr>
      </w:pPr>
      <w:r>
        <w:rPr>
          <w:bCs/>
        </w:rPr>
        <w:t>-</w:t>
      </w:r>
      <w:r>
        <w:rPr>
          <w:bCs/>
        </w:rPr>
        <w:tab/>
        <w:t>N.N.: Vos sabés cómo pienso yo.</w:t>
      </w:r>
    </w:p>
    <w:p w:rsidR="00224567" w:rsidRDefault="00224567">
      <w:pPr>
        <w:widowControl w:val="0"/>
        <w:tabs>
          <w:tab w:val="clear" w:pos="2835"/>
          <w:tab w:val="left" w:pos="700"/>
        </w:tabs>
        <w:rPr>
          <w:bCs/>
        </w:rPr>
      </w:pPr>
      <w:r>
        <w:rPr>
          <w:bCs/>
        </w:rPr>
        <w:t>-</w:t>
      </w:r>
      <w:r>
        <w:rPr>
          <w:bCs/>
        </w:rPr>
        <w:tab/>
        <w:t>Ribelli: No, sí. Yo también ... lo e</w:t>
      </w:r>
      <w:r>
        <w:rPr>
          <w:bCs/>
        </w:rPr>
        <w:t>n</w:t>
      </w:r>
      <w:r>
        <w:rPr>
          <w:bCs/>
        </w:rPr>
        <w:t>tiendo.</w:t>
      </w:r>
    </w:p>
    <w:p w:rsidR="00224567" w:rsidRDefault="00224567">
      <w:pPr>
        <w:widowControl w:val="0"/>
        <w:tabs>
          <w:tab w:val="clear" w:pos="2835"/>
          <w:tab w:val="left" w:pos="700"/>
        </w:tabs>
        <w:rPr>
          <w:bCs/>
        </w:rPr>
      </w:pPr>
      <w:r>
        <w:rPr>
          <w:bCs/>
        </w:rPr>
        <w:t>-</w:t>
      </w:r>
      <w:r>
        <w:rPr>
          <w:bCs/>
        </w:rPr>
        <w:tab/>
        <w:t>N.N.: Bueno, bárbaro.</w:t>
      </w:r>
    </w:p>
    <w:p w:rsidR="00224567" w:rsidRDefault="00224567">
      <w:pPr>
        <w:widowControl w:val="0"/>
        <w:tabs>
          <w:tab w:val="clear" w:pos="2835"/>
          <w:tab w:val="left" w:pos="700"/>
        </w:tabs>
        <w:rPr>
          <w:bCs/>
        </w:rPr>
      </w:pPr>
      <w:r>
        <w:rPr>
          <w:bCs/>
        </w:rPr>
        <w:t>-</w:t>
      </w:r>
      <w:r>
        <w:rPr>
          <w:bCs/>
        </w:rPr>
        <w:tab/>
        <w:t>Ribelli: Bueno.</w:t>
      </w:r>
    </w:p>
    <w:p w:rsidR="00224567" w:rsidRDefault="00224567">
      <w:pPr>
        <w:widowControl w:val="0"/>
        <w:tabs>
          <w:tab w:val="clear" w:pos="2835"/>
          <w:tab w:val="left" w:pos="700"/>
        </w:tabs>
        <w:rPr>
          <w:bCs/>
        </w:rPr>
      </w:pPr>
      <w:r>
        <w:rPr>
          <w:bCs/>
        </w:rPr>
        <w:t>-</w:t>
      </w:r>
      <w:r>
        <w:rPr>
          <w:bCs/>
        </w:rPr>
        <w:tab/>
        <w:t>N.N.: Nos vemos en la mañana Juan.</w:t>
      </w:r>
    </w:p>
    <w:p w:rsidR="00224567" w:rsidRDefault="00224567">
      <w:pPr>
        <w:widowControl w:val="0"/>
      </w:pPr>
      <w:r>
        <w:tab/>
        <w:t>Se despiden y cortan.</w:t>
      </w:r>
    </w:p>
    <w:p w:rsidR="00224567" w:rsidRDefault="00224567">
      <w:pPr>
        <w:widowControl w:val="0"/>
        <w:numPr>
          <w:ilvl w:val="0"/>
          <w:numId w:val="8"/>
        </w:numPr>
        <w:rPr>
          <w:bCs/>
        </w:rPr>
      </w:pPr>
      <w:r>
        <w:rPr>
          <w:bCs/>
        </w:rPr>
        <w:t>Escucha correspondiente al abonado 440-6746 corre</w:t>
      </w:r>
      <w:r>
        <w:rPr>
          <w:bCs/>
        </w:rPr>
        <w:t>s</w:t>
      </w:r>
      <w:r>
        <w:rPr>
          <w:bCs/>
        </w:rPr>
        <w:t>pondiente al 12 de julio de 1996, grabada en el cas</w:t>
      </w:r>
      <w:r>
        <w:rPr>
          <w:bCs/>
        </w:rPr>
        <w:t>e</w:t>
      </w:r>
      <w:r>
        <w:rPr>
          <w:bCs/>
        </w:rPr>
        <w:t>te 62 vuelta 80(fs. 39.970/39.971)</w:t>
      </w:r>
    </w:p>
    <w:p w:rsidR="00224567" w:rsidRDefault="00224567">
      <w:pPr>
        <w:widowControl w:val="0"/>
      </w:pPr>
      <w:r>
        <w:tab/>
        <w:t>Llama al control Raúl Ibarra y atiende Juan R</w:t>
      </w:r>
      <w:r>
        <w:t>i</w:t>
      </w:r>
      <w:r>
        <w:t>belli.</w:t>
      </w:r>
    </w:p>
    <w:p w:rsidR="00224567" w:rsidRDefault="00224567">
      <w:pPr>
        <w:widowControl w:val="0"/>
        <w:numPr>
          <w:ilvl w:val="0"/>
          <w:numId w:val="7"/>
        </w:numPr>
        <w:rPr>
          <w:lang w:val="es-ES_tradnl"/>
        </w:rPr>
      </w:pPr>
      <w:r>
        <w:rPr>
          <w:lang w:val="es-ES_tradnl"/>
        </w:rPr>
        <w:t xml:space="preserve">- </w:t>
      </w:r>
      <w:r>
        <w:rPr>
          <w:bCs/>
        </w:rPr>
        <w:t>Ribelli: Hola ...</w:t>
      </w:r>
    </w:p>
    <w:p w:rsidR="00224567" w:rsidRDefault="00224567">
      <w:pPr>
        <w:widowControl w:val="0"/>
        <w:numPr>
          <w:ilvl w:val="0"/>
          <w:numId w:val="7"/>
        </w:numPr>
        <w:rPr>
          <w:bCs/>
        </w:rPr>
      </w:pPr>
      <w:r>
        <w:rPr>
          <w:bCs/>
        </w:rPr>
        <w:t>- Ibarra: Hola Juancito ...</w:t>
      </w:r>
    </w:p>
    <w:p w:rsidR="00224567" w:rsidRDefault="00224567">
      <w:pPr>
        <w:widowControl w:val="0"/>
        <w:numPr>
          <w:ilvl w:val="0"/>
          <w:numId w:val="7"/>
        </w:numPr>
        <w:rPr>
          <w:bCs/>
        </w:rPr>
      </w:pPr>
      <w:r>
        <w:rPr>
          <w:bCs/>
        </w:rPr>
        <w:t>- Ribelli: Qué dice?</w:t>
      </w:r>
    </w:p>
    <w:p w:rsidR="00224567" w:rsidRDefault="00224567">
      <w:pPr>
        <w:widowControl w:val="0"/>
        <w:numPr>
          <w:ilvl w:val="0"/>
          <w:numId w:val="7"/>
        </w:numPr>
        <w:rPr>
          <w:bCs/>
        </w:rPr>
      </w:pPr>
      <w:r>
        <w:rPr>
          <w:bCs/>
        </w:rPr>
        <w:t>- Ibarra: Están allanando mi casa.</w:t>
      </w:r>
    </w:p>
    <w:p w:rsidR="00224567" w:rsidRDefault="00224567">
      <w:pPr>
        <w:widowControl w:val="0"/>
        <w:numPr>
          <w:ilvl w:val="0"/>
          <w:numId w:val="7"/>
        </w:numPr>
        <w:rPr>
          <w:bCs/>
        </w:rPr>
      </w:pPr>
      <w:r>
        <w:rPr>
          <w:bCs/>
        </w:rPr>
        <w:t>- Ribelli: Pero ..., qué lo parió! ..., quién?</w:t>
      </w:r>
    </w:p>
    <w:p w:rsidR="00224567" w:rsidRDefault="00224567">
      <w:pPr>
        <w:widowControl w:val="0"/>
        <w:numPr>
          <w:ilvl w:val="0"/>
          <w:numId w:val="7"/>
        </w:numPr>
        <w:rPr>
          <w:bCs/>
        </w:rPr>
      </w:pPr>
      <w:r>
        <w:rPr>
          <w:bCs/>
        </w:rPr>
        <w:t>- Ibarra: No sé, no le pregunté porque mi señora no me quiso hablar ... es b</w:t>
      </w:r>
      <w:r>
        <w:rPr>
          <w:bCs/>
        </w:rPr>
        <w:t>o</w:t>
      </w:r>
      <w:r>
        <w:rPr>
          <w:bCs/>
        </w:rPr>
        <w:t>luda.</w:t>
      </w:r>
    </w:p>
    <w:p w:rsidR="00224567" w:rsidRDefault="00224567">
      <w:pPr>
        <w:widowControl w:val="0"/>
        <w:numPr>
          <w:ilvl w:val="0"/>
          <w:numId w:val="7"/>
        </w:numPr>
        <w:rPr>
          <w:bCs/>
        </w:rPr>
      </w:pPr>
      <w:r>
        <w:rPr>
          <w:bCs/>
        </w:rPr>
        <w:t>- Ribelli: Qué lo parió ...!, bueno.</w:t>
      </w:r>
    </w:p>
    <w:p w:rsidR="00224567" w:rsidRDefault="00224567">
      <w:pPr>
        <w:widowControl w:val="0"/>
        <w:numPr>
          <w:ilvl w:val="0"/>
          <w:numId w:val="7"/>
        </w:numPr>
        <w:rPr>
          <w:bCs/>
        </w:rPr>
      </w:pPr>
      <w:r>
        <w:rPr>
          <w:bCs/>
        </w:rPr>
        <w:t>- Ibarra: Adónde me tengo que presentar, no me voy a ir, eh ...?</w:t>
      </w:r>
    </w:p>
    <w:p w:rsidR="00224567" w:rsidRDefault="00224567">
      <w:pPr>
        <w:widowControl w:val="0"/>
        <w:numPr>
          <w:ilvl w:val="0"/>
          <w:numId w:val="7"/>
        </w:numPr>
        <w:rPr>
          <w:bCs/>
        </w:rPr>
      </w:pPr>
      <w:r>
        <w:rPr>
          <w:bCs/>
        </w:rPr>
        <w:t>- Ribelli: No, más bien, no tiene sent</w:t>
      </w:r>
      <w:r>
        <w:rPr>
          <w:bCs/>
        </w:rPr>
        <w:t>i</w:t>
      </w:r>
      <w:r>
        <w:rPr>
          <w:bCs/>
        </w:rPr>
        <w:t>do.</w:t>
      </w:r>
    </w:p>
    <w:p w:rsidR="00224567" w:rsidRDefault="00224567">
      <w:pPr>
        <w:widowControl w:val="0"/>
        <w:numPr>
          <w:ilvl w:val="0"/>
          <w:numId w:val="7"/>
        </w:numPr>
        <w:rPr>
          <w:bCs/>
        </w:rPr>
      </w:pPr>
      <w:r>
        <w:rPr>
          <w:bCs/>
        </w:rPr>
        <w:t>- Ibarra: No tiene sentido, Juan. Che, lo único que te pido que no me dejes la familia Juan.</w:t>
      </w:r>
    </w:p>
    <w:p w:rsidR="00224567" w:rsidRDefault="00224567">
      <w:pPr>
        <w:widowControl w:val="0"/>
        <w:numPr>
          <w:ilvl w:val="0"/>
          <w:numId w:val="7"/>
        </w:numPr>
        <w:rPr>
          <w:bCs/>
        </w:rPr>
      </w:pPr>
      <w:r>
        <w:rPr>
          <w:bCs/>
        </w:rPr>
        <w:t>- Ribelli: Pero, dejáte de joder ... che.</w:t>
      </w:r>
    </w:p>
    <w:p w:rsidR="00224567" w:rsidRDefault="00224567">
      <w:pPr>
        <w:widowControl w:val="0"/>
        <w:numPr>
          <w:ilvl w:val="0"/>
          <w:numId w:val="7"/>
        </w:numPr>
        <w:rPr>
          <w:bCs/>
        </w:rPr>
      </w:pPr>
      <w:r>
        <w:rPr>
          <w:bCs/>
        </w:rPr>
        <w:t>- Ibarra: No, yo no me voy, me quedo acá, quedáte tranquilo.</w:t>
      </w:r>
    </w:p>
    <w:p w:rsidR="00224567" w:rsidRDefault="00224567">
      <w:pPr>
        <w:widowControl w:val="0"/>
        <w:numPr>
          <w:ilvl w:val="0"/>
          <w:numId w:val="7"/>
        </w:numPr>
        <w:rPr>
          <w:bCs/>
        </w:rPr>
      </w:pPr>
      <w:r>
        <w:rPr>
          <w:bCs/>
        </w:rPr>
        <w:t>- Ribelli: No ... más bien.</w:t>
      </w:r>
    </w:p>
    <w:p w:rsidR="00224567" w:rsidRDefault="00224567">
      <w:pPr>
        <w:widowControl w:val="0"/>
        <w:numPr>
          <w:ilvl w:val="0"/>
          <w:numId w:val="7"/>
        </w:numPr>
        <w:rPr>
          <w:bCs/>
        </w:rPr>
      </w:pPr>
      <w:r>
        <w:rPr>
          <w:bCs/>
        </w:rPr>
        <w:t>- Ibarra: Estoy acá, y ese tipo que mandó Hirrera s</w:t>
      </w:r>
      <w:r>
        <w:rPr>
          <w:bCs/>
        </w:rPr>
        <w:t>a</w:t>
      </w:r>
      <w:r>
        <w:rPr>
          <w:bCs/>
        </w:rPr>
        <w:t>bés qué ... me vino a hacer la intel</w:t>
      </w:r>
      <w:r>
        <w:rPr>
          <w:bCs/>
        </w:rPr>
        <w:t>i</w:t>
      </w:r>
      <w:r>
        <w:rPr>
          <w:bCs/>
        </w:rPr>
        <w:t>gencia.</w:t>
      </w:r>
    </w:p>
    <w:p w:rsidR="00224567" w:rsidRDefault="00224567">
      <w:pPr>
        <w:widowControl w:val="0"/>
        <w:numPr>
          <w:ilvl w:val="0"/>
          <w:numId w:val="7"/>
        </w:numPr>
        <w:rPr>
          <w:bCs/>
        </w:rPr>
      </w:pPr>
      <w:r>
        <w:rPr>
          <w:bCs/>
        </w:rPr>
        <w:t>- Ribelli: Quién ...?</w:t>
      </w:r>
    </w:p>
    <w:p w:rsidR="00224567" w:rsidRDefault="00224567">
      <w:pPr>
        <w:widowControl w:val="0"/>
        <w:numPr>
          <w:ilvl w:val="0"/>
          <w:numId w:val="7"/>
        </w:numPr>
        <w:rPr>
          <w:bCs/>
        </w:rPr>
      </w:pPr>
      <w:r>
        <w:rPr>
          <w:bCs/>
        </w:rPr>
        <w:t>- Ibarra: El que me mandó Hirrera me vino a hacer la intel</w:t>
      </w:r>
      <w:r>
        <w:rPr>
          <w:bCs/>
        </w:rPr>
        <w:t>i</w:t>
      </w:r>
      <w:r>
        <w:rPr>
          <w:bCs/>
        </w:rPr>
        <w:t>gencia, seguro.</w:t>
      </w:r>
    </w:p>
    <w:p w:rsidR="00224567" w:rsidRDefault="00224567">
      <w:pPr>
        <w:widowControl w:val="0"/>
        <w:numPr>
          <w:ilvl w:val="0"/>
          <w:numId w:val="7"/>
        </w:numPr>
        <w:rPr>
          <w:bCs/>
        </w:rPr>
      </w:pPr>
      <w:r>
        <w:rPr>
          <w:bCs/>
        </w:rPr>
        <w:t>- Ribelli: Ajá ...</w:t>
      </w:r>
    </w:p>
    <w:p w:rsidR="00224567" w:rsidRDefault="00224567">
      <w:pPr>
        <w:widowControl w:val="0"/>
        <w:numPr>
          <w:ilvl w:val="0"/>
          <w:numId w:val="7"/>
        </w:numPr>
        <w:rPr>
          <w:bCs/>
        </w:rPr>
      </w:pPr>
      <w:r>
        <w:rPr>
          <w:bCs/>
        </w:rPr>
        <w:t>- Ibarra: Así que ...</w:t>
      </w:r>
    </w:p>
    <w:p w:rsidR="00224567" w:rsidRDefault="00224567">
      <w:pPr>
        <w:widowControl w:val="0"/>
        <w:numPr>
          <w:ilvl w:val="0"/>
          <w:numId w:val="7"/>
        </w:numPr>
        <w:rPr>
          <w:bCs/>
        </w:rPr>
      </w:pPr>
      <w:r>
        <w:rPr>
          <w:bCs/>
        </w:rPr>
        <w:t>- Ribelli: Bueno, Basi, está ahí?</w:t>
      </w:r>
    </w:p>
    <w:p w:rsidR="00224567" w:rsidRDefault="00224567">
      <w:pPr>
        <w:widowControl w:val="0"/>
        <w:numPr>
          <w:ilvl w:val="0"/>
          <w:numId w:val="7"/>
        </w:numPr>
        <w:rPr>
          <w:bCs/>
        </w:rPr>
      </w:pPr>
      <w:r>
        <w:rPr>
          <w:bCs/>
        </w:rPr>
        <w:t>- Ibarra: Sí</w:t>
      </w:r>
    </w:p>
    <w:p w:rsidR="00224567" w:rsidRDefault="00224567">
      <w:pPr>
        <w:widowControl w:val="0"/>
        <w:numPr>
          <w:ilvl w:val="0"/>
          <w:numId w:val="7"/>
        </w:numPr>
        <w:rPr>
          <w:bCs/>
        </w:rPr>
      </w:pPr>
      <w:r>
        <w:rPr>
          <w:bCs/>
        </w:rPr>
        <w:t>- Ribelli: Decíle que llame a la casa, qué domicilio tiene él registrado en la f</w:t>
      </w:r>
      <w:r>
        <w:rPr>
          <w:bCs/>
        </w:rPr>
        <w:t>i</w:t>
      </w:r>
      <w:r>
        <w:rPr>
          <w:bCs/>
        </w:rPr>
        <w:t>cha?</w:t>
      </w:r>
    </w:p>
    <w:p w:rsidR="00224567" w:rsidRDefault="00224567">
      <w:pPr>
        <w:widowControl w:val="0"/>
        <w:numPr>
          <w:ilvl w:val="0"/>
          <w:numId w:val="7"/>
        </w:numPr>
        <w:rPr>
          <w:bCs/>
        </w:rPr>
      </w:pPr>
      <w:r>
        <w:rPr>
          <w:bCs/>
        </w:rPr>
        <w:t>- Ibarra: Creo que en la casa de los p</w:t>
      </w:r>
      <w:r>
        <w:rPr>
          <w:bCs/>
        </w:rPr>
        <w:t>a</w:t>
      </w:r>
      <w:r>
        <w:rPr>
          <w:bCs/>
        </w:rPr>
        <w:t>dres.</w:t>
      </w:r>
    </w:p>
    <w:p w:rsidR="00224567" w:rsidRDefault="00224567">
      <w:pPr>
        <w:widowControl w:val="0"/>
        <w:numPr>
          <w:ilvl w:val="0"/>
          <w:numId w:val="7"/>
        </w:numPr>
        <w:rPr>
          <w:bCs/>
        </w:rPr>
      </w:pPr>
      <w:r>
        <w:rPr>
          <w:bCs/>
        </w:rPr>
        <w:t>- Ribelli: Bueno ... que llame por las dudas, viste.</w:t>
      </w:r>
    </w:p>
    <w:p w:rsidR="00224567" w:rsidRDefault="00224567">
      <w:pPr>
        <w:widowControl w:val="0"/>
        <w:numPr>
          <w:ilvl w:val="0"/>
          <w:numId w:val="7"/>
        </w:numPr>
        <w:rPr>
          <w:bCs/>
        </w:rPr>
      </w:pPr>
      <w:r>
        <w:rPr>
          <w:bCs/>
        </w:rPr>
        <w:t>- Ibarra: Te pido que no me dejes Juan ...!</w:t>
      </w:r>
    </w:p>
    <w:p w:rsidR="00224567" w:rsidRDefault="00224567">
      <w:pPr>
        <w:widowControl w:val="0"/>
        <w:numPr>
          <w:ilvl w:val="0"/>
          <w:numId w:val="7"/>
        </w:numPr>
        <w:rPr>
          <w:bCs/>
        </w:rPr>
      </w:pPr>
      <w:r>
        <w:rPr>
          <w:bCs/>
        </w:rPr>
        <w:t>- Ribelli: Quedáte tranquilo que, escucháme, vamos a estar pelea</w:t>
      </w:r>
      <w:r>
        <w:rPr>
          <w:bCs/>
        </w:rPr>
        <w:t>n</w:t>
      </w:r>
      <w:r>
        <w:rPr>
          <w:bCs/>
        </w:rPr>
        <w:t>do. Amén de todo yo no sé si no hay para mí también, eh ...?</w:t>
      </w:r>
    </w:p>
    <w:p w:rsidR="00224567" w:rsidRDefault="00224567">
      <w:pPr>
        <w:widowControl w:val="0"/>
        <w:numPr>
          <w:ilvl w:val="0"/>
          <w:numId w:val="7"/>
        </w:numPr>
        <w:rPr>
          <w:bCs/>
        </w:rPr>
      </w:pPr>
      <w:r>
        <w:rPr>
          <w:bCs/>
        </w:rPr>
        <w:t>- Ibarra: Chau Juancito.</w:t>
      </w:r>
    </w:p>
    <w:p w:rsidR="00224567" w:rsidRDefault="00224567">
      <w:pPr>
        <w:widowControl w:val="0"/>
        <w:numPr>
          <w:ilvl w:val="0"/>
          <w:numId w:val="7"/>
        </w:numPr>
      </w:pPr>
      <w:r>
        <w:rPr>
          <w:bCs/>
        </w:rPr>
        <w:t>- Ribelli: Suerte.</w:t>
      </w:r>
    </w:p>
    <w:p w:rsidR="00224567" w:rsidRDefault="00224567">
      <w:pPr>
        <w:widowControl w:val="0"/>
      </w:pPr>
      <w:r>
        <w:tab/>
        <w:t>Cortan.</w:t>
      </w:r>
    </w:p>
    <w:p w:rsidR="00224567" w:rsidRDefault="00224567">
      <w:pPr>
        <w:widowControl w:val="0"/>
      </w:pPr>
      <w:r>
        <w:rPr>
          <w:lang w:val="es-ES_tradnl"/>
        </w:rPr>
        <w:tab/>
      </w:r>
      <w:r>
        <w:rPr>
          <w:b/>
          <w:bCs/>
        </w:rPr>
        <w:t>c.2.d.x.</w:t>
      </w:r>
      <w:r>
        <w:rPr>
          <w:b/>
          <w:bCs/>
          <w:lang w:val="es-ES_tradnl"/>
        </w:rPr>
        <w:t>2)</w:t>
      </w:r>
      <w:r>
        <w:rPr>
          <w:lang w:val="es-ES_tradnl"/>
        </w:rPr>
        <w:t xml:space="preserve"> </w:t>
      </w:r>
      <w:r>
        <w:t>En primer lugar corresponde destacar que las esc</w:t>
      </w:r>
      <w:r>
        <w:t>u</w:t>
      </w:r>
      <w:r>
        <w:t>chas en las que se basó la imputación de los ex policías por el atentado no constituyen ni s</w:t>
      </w:r>
      <w:r>
        <w:t>i</w:t>
      </w:r>
      <w:r>
        <w:t>quiera un indicio que avale tal hip</w:t>
      </w:r>
      <w:r>
        <w:t>ó</w:t>
      </w:r>
      <w:r>
        <w:t>tesis.</w:t>
      </w:r>
    </w:p>
    <w:p w:rsidR="00224567" w:rsidRDefault="00224567">
      <w:pPr>
        <w:widowControl w:val="0"/>
      </w:pPr>
      <w:r>
        <w:tab/>
        <w:t>Se dijo que estas conversaciones eran datos obj</w:t>
      </w:r>
      <w:r>
        <w:t>e</w:t>
      </w:r>
      <w:r>
        <w:t>tivos que corroboraban la responsabilidad de los ex policías en el atentado. Sin embargo, los acusadores debieron realizar ingentes esfuerzos interpretativos para sostener el carácter carg</w:t>
      </w:r>
      <w:r>
        <w:t>o</w:t>
      </w:r>
      <w:r>
        <w:t>so.</w:t>
      </w:r>
    </w:p>
    <w:p w:rsidR="00224567" w:rsidRDefault="00224567">
      <w:pPr>
        <w:widowControl w:val="0"/>
      </w:pPr>
      <w:r>
        <w:tab/>
        <w:t>Si bien se advierte una preocupación de los interloc</w:t>
      </w:r>
      <w:r>
        <w:t>u</w:t>
      </w:r>
      <w:r>
        <w:t>tores por el avance de la investigación y particularmente por la proximidad del aniversario del atent</w:t>
      </w:r>
      <w:r>
        <w:t>a</w:t>
      </w:r>
      <w:r>
        <w:t>do, ello no constituye de modo alguno una prueba de su vi</w:t>
      </w:r>
      <w:r>
        <w:t>n</w:t>
      </w:r>
      <w:r>
        <w:t>culación con este suceso.</w:t>
      </w:r>
    </w:p>
    <w:p w:rsidR="00224567" w:rsidRDefault="00224567">
      <w:pPr>
        <w:widowControl w:val="0"/>
      </w:pPr>
      <w:r>
        <w:tab/>
        <w:t>En contra de lo expuesto, se sostuvo que ese nerviosismo no podía vincularse a su responsabil</w:t>
      </w:r>
      <w:r>
        <w:t>i</w:t>
      </w:r>
      <w:r>
        <w:t>dad por las demás extorsiones que integraran el objeto proc</w:t>
      </w:r>
      <w:r>
        <w:t>e</w:t>
      </w:r>
      <w:r>
        <w:t>sal, sino que la única explicación razonable era que se refiriera al desc</w:t>
      </w:r>
      <w:r>
        <w:t>u</w:t>
      </w:r>
      <w:r>
        <w:t>brimiento por la participación en el ate</w:t>
      </w:r>
      <w:r>
        <w:t>n</w:t>
      </w:r>
      <w:r>
        <w:t>tado. Ello no es así.</w:t>
      </w:r>
    </w:p>
    <w:p w:rsidR="00224567" w:rsidRDefault="00224567">
      <w:pPr>
        <w:widowControl w:val="0"/>
      </w:pPr>
      <w:r>
        <w:tab/>
        <w:t>Debe señalarse que en Página 12 ya desde 1995 se publicaba en forma destacada la posible vi</w:t>
      </w:r>
      <w:r>
        <w:t>n</w:t>
      </w:r>
      <w:r>
        <w:t>culación de policías bonaerenses con el ate</w:t>
      </w:r>
      <w:r>
        <w:t>n</w:t>
      </w:r>
      <w:r>
        <w:t>tado o con los otros hechos que se investigaban en esa misma causa.</w:t>
      </w:r>
    </w:p>
    <w:p w:rsidR="00224567" w:rsidRDefault="00224567">
      <w:pPr>
        <w:widowControl w:val="0"/>
      </w:pPr>
      <w:r>
        <w:tab/>
        <w:t>En una nota de ese mismo periódico del 27 de se</w:t>
      </w:r>
      <w:r>
        <w:t>p</w:t>
      </w:r>
      <w:r>
        <w:t>tiembre de 1995 se da cuenta de que Telleldín en las entrevistas con Riva Aramayo “reveló información suf</w:t>
      </w:r>
      <w:r>
        <w:t>i</w:t>
      </w:r>
      <w:r>
        <w:t xml:space="preserve">ciente como para encontrar a los cuadros de la policía provincial que se llevaron </w:t>
      </w:r>
      <w:smartTag w:uri="urn:schemas-microsoft-com:office:smarttags" w:element="PersonName">
        <w:smartTagPr>
          <w:attr w:name="ProductID" w:val="la Trafic"/>
        </w:smartTagPr>
        <w:r>
          <w:t>la Trafic</w:t>
        </w:r>
      </w:smartTag>
      <w:r>
        <w:t xml:space="preserve"> “en parte de p</w:t>
      </w:r>
      <w:r>
        <w:t>a</w:t>
      </w:r>
      <w:r>
        <w:t>go”.</w:t>
      </w:r>
    </w:p>
    <w:p w:rsidR="00224567" w:rsidRDefault="00224567">
      <w:pPr>
        <w:widowControl w:val="0"/>
      </w:pPr>
      <w:r>
        <w:tab/>
        <w:t>También, el 1º de octubre de 1995 ese diario marca como título de tapa la frase que se dice e</w:t>
      </w:r>
      <w:r>
        <w:t>x</w:t>
      </w:r>
      <w:r>
        <w:t>presara T</w:t>
      </w:r>
      <w:r>
        <w:t>e</w:t>
      </w:r>
      <w:r>
        <w:t xml:space="preserve">lleldín “Si hablo, la policía mata a mi familia” y como copete se consigna que “El único detenido por el atentado a </w:t>
      </w:r>
      <w:smartTag w:uri="urn:schemas-microsoft-com:office:smarttags" w:element="PersonName">
        <w:smartTagPr>
          <w:attr w:name="ProductID" w:val="la A.M"/>
        </w:smartTagPr>
        <w:r>
          <w:t>la A.M</w:t>
        </w:r>
      </w:smartTag>
      <w:r>
        <w:t>.I.A. compr</w:t>
      </w:r>
      <w:r>
        <w:t>o</w:t>
      </w:r>
      <w:r>
        <w:t>mete a la policía bonaerense en su acusación por trabas al esclarecimiento de la ve</w:t>
      </w:r>
      <w:r>
        <w:t>r</w:t>
      </w:r>
      <w:r>
        <w:t>dad”. En este caso se dice que Telleldín señaló que nec</w:t>
      </w:r>
      <w:r>
        <w:t>e</w:t>
      </w:r>
      <w:r>
        <w:t>sitaba seguridad y que se cumplieran sus condiciones –y esto fue lo acordado con la doctora Riva Aramayo– para p</w:t>
      </w:r>
      <w:r>
        <w:t>o</w:t>
      </w:r>
      <w:r>
        <w:t>der ayudar a la investigación y dar testigos porque si contaba todo lo que sabía la policía mataba a su familia en una sem</w:t>
      </w:r>
      <w:r>
        <w:t>a</w:t>
      </w:r>
      <w:r>
        <w:t>na.</w:t>
      </w:r>
    </w:p>
    <w:p w:rsidR="00224567" w:rsidRDefault="00224567">
      <w:pPr>
        <w:widowControl w:val="0"/>
      </w:pPr>
      <w:r>
        <w:tab/>
        <w:t>Por último, el 3 de noviembre de 1995 en la tapa de Página 12 intitulada “La huella del coche bomba” se destaca como copete que “Estalló la conexión p</w:t>
      </w:r>
      <w:r>
        <w:t>o</w:t>
      </w:r>
      <w:r>
        <w:t xml:space="preserve">licial en el atentado contra </w:t>
      </w:r>
      <w:smartTag w:uri="urn:schemas-microsoft-com:office:smarttags" w:element="PersonName">
        <w:smartTagPr>
          <w:attr w:name="ProductID" w:val="la A.M"/>
        </w:smartTagPr>
        <w:r>
          <w:t>la A.M</w:t>
        </w:r>
      </w:smartTag>
      <w:r>
        <w:t>.I.A.: el único deten</w:t>
      </w:r>
      <w:r>
        <w:t>i</w:t>
      </w:r>
      <w:r>
        <w:t xml:space="preserve">do le confesó a una camarista que él entregó </w:t>
      </w:r>
      <w:smartTag w:uri="urn:schemas-microsoft-com:office:smarttags" w:element="PersonName">
        <w:smartTagPr>
          <w:attr w:name="ProductID" w:val="la Trafic"/>
        </w:smartTagPr>
        <w:r>
          <w:t>la Trafic</w:t>
        </w:r>
      </w:smartTag>
      <w:r>
        <w:t xml:space="preserve"> a Ireneo Leal, un alto oficial de la policía bonaerense”. En esta edición también se hace referencia en forma detall</w:t>
      </w:r>
      <w:r>
        <w:t>a</w:t>
      </w:r>
      <w:r>
        <w:t>da a las demás extorsiones que dijera sufrir Telleldín por parte de integrantes de las brigadas de Lanús y Vicente López, respect</w:t>
      </w:r>
      <w:r>
        <w:t>i</w:t>
      </w:r>
      <w:r>
        <w:t>vamente.</w:t>
      </w:r>
    </w:p>
    <w:p w:rsidR="00224567" w:rsidRDefault="00224567">
      <w:pPr>
        <w:widowControl w:val="0"/>
      </w:pPr>
      <w:r>
        <w:tab/>
        <w:t>Resulta contradictorio que la acus</w:t>
      </w:r>
      <w:r>
        <w:t>a</w:t>
      </w:r>
      <w:r>
        <w:t>ción utilice las publicaciones citadas para pretender fu</w:t>
      </w:r>
      <w:r>
        <w:t>n</w:t>
      </w:r>
      <w:r>
        <w:t>dar s</w:t>
      </w:r>
      <w:r>
        <w:t>o</w:t>
      </w:r>
      <w:r>
        <w:t>bre ellas una vía independiente que permita arribar a la responsabilidad de los ex policías bonaerenses imp</w:t>
      </w:r>
      <w:r>
        <w:t>u</w:t>
      </w:r>
      <w:r>
        <w:t>tados en el ataque más allá de la declaración indagatoria de Telleldín del 5 de julio de 1996, y a la vez se soste</w:t>
      </w:r>
      <w:r>
        <w:t>n</w:t>
      </w:r>
      <w:r>
        <w:t>ga que la única forma en que esos mismos policías podían conocer la investigación por el atentado era por su part</w:t>
      </w:r>
      <w:r>
        <w:t>i</w:t>
      </w:r>
      <w:r>
        <w:t>cipación en aquél.</w:t>
      </w:r>
    </w:p>
    <w:p w:rsidR="00224567" w:rsidRDefault="00224567">
      <w:pPr>
        <w:widowControl w:val="0"/>
      </w:pPr>
      <w:r>
        <w:tab/>
        <w:t>Pero amén de lo expuesto, debe dest</w:t>
      </w:r>
      <w:r>
        <w:t>a</w:t>
      </w:r>
      <w:r>
        <w:t>carse que no se probó de modo alguno, y no contribuyen a ese fin las escuchas mencionadas, que el nerviosismo ev</w:t>
      </w:r>
      <w:r>
        <w:t>i</w:t>
      </w:r>
      <w:r>
        <w:t>denciado por los policías en esas conversaciones obedeci</w:t>
      </w:r>
      <w:r>
        <w:t>e</w:t>
      </w:r>
      <w:r>
        <w:t>ra a la imputación por el atentado, sino más bien a su p</w:t>
      </w:r>
      <w:r>
        <w:t>o</w:t>
      </w:r>
      <w:r>
        <w:t>sible vinculación con las extorsiones de las que había s</w:t>
      </w:r>
      <w:r>
        <w:t>i</w:t>
      </w:r>
      <w:r>
        <w:t>do víctima Telle</w:t>
      </w:r>
      <w:r>
        <w:t>l</w:t>
      </w:r>
      <w:r>
        <w:t>dín.</w:t>
      </w:r>
    </w:p>
    <w:p w:rsidR="00224567" w:rsidRDefault="00224567">
      <w:pPr>
        <w:widowControl w:val="0"/>
      </w:pPr>
      <w:r>
        <w:tab/>
        <w:t>No resulta óbice a ello que en esas conversaciones se hiciera referencia a la proximidad del aniversario del atentado, ya que la conexión de la inve</w:t>
      </w:r>
      <w:r>
        <w:t>s</w:t>
      </w:r>
      <w:r>
        <w:t xml:space="preserve">tigación al atentado a la sede de </w:t>
      </w:r>
      <w:smartTag w:uri="urn:schemas-microsoft-com:office:smarttags" w:element="PersonName">
        <w:smartTagPr>
          <w:attr w:name="ProductID" w:val="la A.M"/>
        </w:smartTagPr>
        <w:r>
          <w:t>la A.M</w:t>
        </w:r>
      </w:smartTag>
      <w:r>
        <w:t>.I.A. con la imp</w:t>
      </w:r>
      <w:r>
        <w:t>u</w:t>
      </w:r>
      <w:r>
        <w:t>tación por los demás hechos que integran el objeto proc</w:t>
      </w:r>
      <w:r>
        <w:t>e</w:t>
      </w:r>
      <w:r>
        <w:t>sal de estas a</w:t>
      </w:r>
      <w:r>
        <w:t>c</w:t>
      </w:r>
      <w:r>
        <w:t>tuaciones, surge de diversas piezas de las actuaciones administr</w:t>
      </w:r>
      <w:r>
        <w:t>a</w:t>
      </w:r>
      <w:r>
        <w:t>tivas agregadas a la causa.</w:t>
      </w:r>
    </w:p>
    <w:p w:rsidR="00224567" w:rsidRDefault="00224567">
      <w:pPr>
        <w:widowControl w:val="0"/>
      </w:pPr>
      <w:r>
        <w:tab/>
        <w:t>Al efecto debe destacarse que en dif</w:t>
      </w:r>
      <w:r>
        <w:t>e</w:t>
      </w:r>
      <w:r>
        <w:t>rentes piezas suscriptas por el comisario mayor Bretsc</w:t>
      </w:r>
      <w:r>
        <w:t>h</w:t>
      </w:r>
      <w:r>
        <w:t xml:space="preserve">neider, a cargo de </w:t>
      </w:r>
      <w:smartTag w:uri="urn:schemas-microsoft-com:office:smarttags" w:element="PersonName">
        <w:smartTagPr>
          <w:attr w:name="ProductID" w:val="la Direcci￳n"/>
        </w:smartTagPr>
        <w:r>
          <w:t>la Dirección</w:t>
        </w:r>
      </w:smartTag>
      <w:r>
        <w:t xml:space="preserve"> de Sumarios, se consigna que las actuaciones por la investigación de la violación de los deberes de funcionario público “guarda conexidad investigativa en torno a la causa 1156 recaída en ese mi</w:t>
      </w:r>
      <w:r>
        <w:t>s</w:t>
      </w:r>
      <w:r>
        <w:t>mo juzgado con c</w:t>
      </w:r>
      <w:r>
        <w:t>a</w:t>
      </w:r>
      <w:r>
        <w:t>rátula Homicidio–Atentado al edificio de Pasteur 636 – infracción ley 23.592 – damnificado: A.M.I.A. y D.A.I.A.” (cfr. nota policial nº 175/95 agreg</w:t>
      </w:r>
      <w:r>
        <w:t>a</w:t>
      </w:r>
      <w:r>
        <w:t>da a fs. 37.326 del 22 de agosto de 1995, nota policial nº 180/95 glosada a fs. 37.347 del 8 de se</w:t>
      </w:r>
      <w:r>
        <w:t>p</w:t>
      </w:r>
      <w:r>
        <w:t>tiembre de 1995 y finalmente el oficio de fs. 37.374 del 25 de septie</w:t>
      </w:r>
      <w:r>
        <w:t>m</w:t>
      </w:r>
      <w:r>
        <w:t>bre de 1995 con el que se eleva el sumario administr</w:t>
      </w:r>
      <w:r>
        <w:t>a</w:t>
      </w:r>
      <w:r>
        <w:t>tivo, entre otras).</w:t>
      </w:r>
    </w:p>
    <w:p w:rsidR="00224567" w:rsidRDefault="00224567">
      <w:pPr>
        <w:widowControl w:val="0"/>
      </w:pPr>
      <w:r>
        <w:tab/>
        <w:t>Por otra parte ya en la carátula del sumario que se inicia a partir del oficio que el magistr</w:t>
      </w:r>
      <w:r>
        <w:t>a</w:t>
      </w:r>
      <w:r>
        <w:t>do instructor remitiera al comisario general Pedro Anast</w:t>
      </w:r>
      <w:r>
        <w:t>a</w:t>
      </w:r>
      <w:r>
        <w:t>sio Klodczyk, por ento</w:t>
      </w:r>
      <w:r>
        <w:t>n</w:t>
      </w:r>
      <w:r>
        <w:t>ces jefe de la policía bonaerense, de fecha 9 de junio de 1995 se hacía referencia a la i</w:t>
      </w:r>
      <w:r>
        <w:t>n</w:t>
      </w:r>
      <w:r>
        <w:t>tervención del juez fed</w:t>
      </w:r>
      <w:r>
        <w:t>e</w:t>
      </w:r>
      <w:r>
        <w:t>ral Juan José Galeano.</w:t>
      </w:r>
    </w:p>
    <w:p w:rsidR="00224567" w:rsidRDefault="00224567">
      <w:pPr>
        <w:widowControl w:val="0"/>
      </w:pPr>
      <w:r>
        <w:tab/>
        <w:t>De suma relevancia en el sentido que se viene s</w:t>
      </w:r>
      <w:r>
        <w:t>e</w:t>
      </w:r>
      <w:r>
        <w:t>ñalando resultan las declaraciones indagatorias en sede administrativa prestadas el 22 de septiembre de 1995 por Aleja</w:t>
      </w:r>
      <w:r>
        <w:t>n</w:t>
      </w:r>
      <w:r>
        <w:t>dro Burguete y Oscar Eusebio Bacigalupo. Al pie de ellas se consigna nuevamente que “la presente d</w:t>
      </w:r>
      <w:r>
        <w:t>e</w:t>
      </w:r>
      <w:r>
        <w:t>claración ind</w:t>
      </w:r>
      <w:r>
        <w:t>a</w:t>
      </w:r>
      <w:r>
        <w:t>gatoria de carácter administrativo se le fue recepci</w:t>
      </w:r>
      <w:r>
        <w:t>o</w:t>
      </w:r>
      <w:r>
        <w:t xml:space="preserve">nada por hallarse imputado en el sumario que se le instruye, por infracción al artículo 58, inciso 15 de </w:t>
      </w:r>
      <w:smartTag w:uri="urn:schemas-microsoft-com:office:smarttags" w:element="PersonName">
        <w:smartTagPr>
          <w:attr w:name="ProductID" w:val="La Ley"/>
        </w:smartTagPr>
        <w:r>
          <w:t>la Ley</w:t>
        </w:r>
      </w:smartTag>
      <w:r>
        <w:t xml:space="preserve"> 9550, con la intervención del señor Jefe de Policía y que ésta se originó a raíz del sumario caratulado: Viol</w:t>
      </w:r>
      <w:r>
        <w:t>a</w:t>
      </w:r>
      <w:r>
        <w:t>ción de los deberes de los funcionarios públicos, en el que interviene el señor juez federal Dr. Juan José G</w:t>
      </w:r>
      <w:r>
        <w:t>a</w:t>
      </w:r>
      <w:r>
        <w:t>leano, Secretaría del doctor Carlos Velazco, el que, gua</w:t>
      </w:r>
      <w:r>
        <w:t>r</w:t>
      </w:r>
      <w:r>
        <w:t>da conexidad investigativa en torno a la causa 1156 car</w:t>
      </w:r>
      <w:r>
        <w:t>a</w:t>
      </w:r>
      <w:r>
        <w:t>tul</w:t>
      </w:r>
      <w:r>
        <w:t>a</w:t>
      </w:r>
      <w:r>
        <w:t>da Homicidio, atentado al edificio de Pasteur 636 inf. art. 23.592 daminificado A.M.I.A. y D.A.I.A. en la que a</w:t>
      </w:r>
      <w:r>
        <w:t>c</w:t>
      </w:r>
      <w:r>
        <w:t>túa también el magistrado ya indic</w:t>
      </w:r>
      <w:r>
        <w:t>a</w:t>
      </w:r>
      <w:r>
        <w:t>do”.</w:t>
      </w:r>
    </w:p>
    <w:p w:rsidR="00224567" w:rsidRDefault="00224567">
      <w:pPr>
        <w:widowControl w:val="0"/>
      </w:pPr>
      <w:r>
        <w:tab/>
        <w:t>Con lo expuesto queda demostrada la estrecha vincul</w:t>
      </w:r>
      <w:r>
        <w:t>a</w:t>
      </w:r>
      <w:r>
        <w:t>ción que se le otorgó a esa investigación por violación de los deberes de funci</w:t>
      </w:r>
      <w:r>
        <w:t>o</w:t>
      </w:r>
      <w:r>
        <w:t xml:space="preserve">nario público con la causa del atentado a la sede de </w:t>
      </w:r>
      <w:smartTag w:uri="urn:schemas-microsoft-com:office:smarttags" w:element="PersonName">
        <w:smartTagPr>
          <w:attr w:name="ProductID" w:val="la A.M"/>
        </w:smartTagPr>
        <w:r>
          <w:t>la A.M</w:t>
        </w:r>
      </w:smartTag>
      <w:r>
        <w:t>.I.A.. En consecue</w:t>
      </w:r>
      <w:r>
        <w:t>n</w:t>
      </w:r>
      <w:r>
        <w:t>cia, no resulta absurdo –como pretenden argumentar los acusad</w:t>
      </w:r>
      <w:r>
        <w:t>o</w:t>
      </w:r>
      <w:r>
        <w:t>res– que los imputados vincularan el avance de unas actuaciones con otras. Máxime, cuando en las propias d</w:t>
      </w:r>
      <w:r>
        <w:t>e</w:t>
      </w:r>
      <w:r>
        <w:t>claraciones indagatorias administrativas de Bacigalupo y Bu</w:t>
      </w:r>
      <w:r>
        <w:t>r</w:t>
      </w:r>
      <w:r>
        <w:t>guete se consignara la referencia específica a la causa por el atentado. Particularmente, re</w:t>
      </w:r>
      <w:r>
        <w:t>s</w:t>
      </w:r>
      <w:r>
        <w:t>pecto del primero no debe e</w:t>
      </w:r>
      <w:r>
        <w:t>n</w:t>
      </w:r>
      <w:r>
        <w:t>tonces llamar la atención que las referencias a la “causa Baci” fueran c</w:t>
      </w:r>
      <w:r>
        <w:t>o</w:t>
      </w:r>
      <w:r>
        <w:t>nectadas  con la “causa A.M.I.A.”.</w:t>
      </w:r>
    </w:p>
    <w:p w:rsidR="00224567" w:rsidRDefault="00224567">
      <w:pPr>
        <w:widowControl w:val="0"/>
      </w:pPr>
      <w:r>
        <w:tab/>
        <w:t>Tampoco resulta un impedimento válido para la conclusión e</w:t>
      </w:r>
      <w:r>
        <w:t>x</w:t>
      </w:r>
      <w:r>
        <w:t>puesta que en la escucha del abonado 440-6746 del 12 de julio de 1996, casete 64, lado A, vue</w:t>
      </w:r>
      <w:r>
        <w:t>l</w:t>
      </w:r>
      <w:r>
        <w:t>ta 600, no se ext</w:t>
      </w:r>
      <w:r>
        <w:t>o</w:t>
      </w:r>
      <w:r>
        <w:t>riorizara una sorpresa por la mención de los imputados R</w:t>
      </w:r>
      <w:r>
        <w:t>a</w:t>
      </w:r>
      <w:r>
        <w:t>go y Leal que no pertenecían a la brigada de Lanús.</w:t>
      </w:r>
    </w:p>
    <w:p w:rsidR="00224567" w:rsidRDefault="00224567">
      <w:pPr>
        <w:widowControl w:val="0"/>
      </w:pPr>
      <w:r>
        <w:tab/>
        <w:t>Ello, desde que en el sumario se i</w:t>
      </w:r>
      <w:r>
        <w:t>n</w:t>
      </w:r>
      <w:r>
        <w:t>vestigaba la actu</w:t>
      </w:r>
      <w:r>
        <w:t>a</w:t>
      </w:r>
      <w:r>
        <w:t>ción de funcionarios policiales de ambas brigadas como da cuenta, entre otras piezas la propia c</w:t>
      </w:r>
      <w:r>
        <w:t>a</w:t>
      </w:r>
      <w:r>
        <w:t>rátula de esas actuaciones administrativas. En definit</w:t>
      </w:r>
      <w:r>
        <w:t>i</w:t>
      </w:r>
      <w:r>
        <w:t>va, es razonable que el conocimiento que tenía Ribelli de aquellas piezas le pe</w:t>
      </w:r>
      <w:r>
        <w:t>r</w:t>
      </w:r>
      <w:r>
        <w:t>mitiera saber quienes estaban siendo objeto de investigación en la brigada de Vicente L</w:t>
      </w:r>
      <w:r>
        <w:t>ó</w:t>
      </w:r>
      <w:r>
        <w:t>pez.</w:t>
      </w:r>
    </w:p>
    <w:p w:rsidR="00224567" w:rsidRDefault="00224567">
      <w:pPr>
        <w:widowControl w:val="0"/>
      </w:pPr>
      <w:r>
        <w:tab/>
        <w:t xml:space="preserve"> Con lo expuesto queda descartado el argumento acusatorio que pretendió encontrar como única razón de esa falta de sorpresa, la participación conjunta de ambas brigadas en la obtención de la camioneta Trafic de T</w:t>
      </w:r>
      <w:r>
        <w:t>e</w:t>
      </w:r>
      <w:r>
        <w:t>lleldín.</w:t>
      </w:r>
    </w:p>
    <w:p w:rsidR="00224567" w:rsidRDefault="00224567">
      <w:pPr>
        <w:widowControl w:val="0"/>
      </w:pPr>
      <w:r>
        <w:tab/>
        <w:t xml:space="preserve"> Finalmente, avala lo expuesto el co</w:t>
      </w:r>
      <w:r>
        <w:t>n</w:t>
      </w:r>
      <w:r>
        <w:t>tenido de la conversación grabada del abonado 440-6746, del 12 de julio de 1996, casete 65, lado A, vuelta 90, c</w:t>
      </w:r>
      <w:r>
        <w:t>i</w:t>
      </w:r>
      <w:r>
        <w:t>tada en un sentido opuesto por la querella. Allí se a</w:t>
      </w:r>
      <w:r>
        <w:t>d</w:t>
      </w:r>
      <w:r>
        <w:t>vierte una clara pr</w:t>
      </w:r>
      <w:r>
        <w:t>e</w:t>
      </w:r>
      <w:r>
        <w:t>ocupación de Ribelli, Huici y Cruz por lo que debía declararse respecto a lo ocurrido con rel</w:t>
      </w:r>
      <w:r>
        <w:t>a</w:t>
      </w:r>
      <w:r>
        <w:t>ción a los procedimientos llevados a cabo por la brigada de Lanús el 15 de marzo y el 4 de abril de 1994, y no por el atentado.</w:t>
      </w:r>
    </w:p>
    <w:p w:rsidR="00224567" w:rsidRDefault="00224567">
      <w:pPr>
        <w:widowControl w:val="0"/>
      </w:pPr>
      <w:r>
        <w:tab/>
        <w:t>Como colofón de todo lo expuesto, debe destacarse que si bien los acusadores pretendieron valorar estas escuchas como prueba de la participación de los p</w:t>
      </w:r>
      <w:r>
        <w:t>o</w:t>
      </w:r>
      <w:r>
        <w:t>licías en el atentado, no se señaló una sola palabra que estuviera vinculada al propósito de encubrir su particip</w:t>
      </w:r>
      <w:r>
        <w:t>a</w:t>
      </w:r>
      <w:r>
        <w:t>ción en éste, ni una mínima referencia a una camioneta Trafic, ni a la supuesta obtención de este vehíc</w:t>
      </w:r>
      <w:r>
        <w:t>u</w:t>
      </w:r>
      <w:r>
        <w:t>lo el 10 de julio de 1994, ni en ninguna otra oportun</w:t>
      </w:r>
      <w:r>
        <w:t>i</w:t>
      </w:r>
      <w:r>
        <w:t>dad.</w:t>
      </w:r>
    </w:p>
    <w:p w:rsidR="00224567" w:rsidRDefault="00224567">
      <w:pPr>
        <w:pStyle w:val="Ttulo6"/>
        <w:keepNext w:val="0"/>
        <w:widowControl w:val="0"/>
        <w:spacing w:line="600" w:lineRule="auto"/>
        <w:rPr>
          <w:rFonts w:cs="Courier New"/>
          <w:u w:val="none"/>
        </w:rPr>
      </w:pPr>
      <w:r>
        <w:rPr>
          <w:rFonts w:cs="Courier New"/>
          <w:u w:val="none"/>
          <w:lang w:val="es-ES_tradnl"/>
        </w:rPr>
        <w:tab/>
      </w:r>
      <w:bookmarkStart w:id="228" w:name="_Toc79905069"/>
      <w:bookmarkStart w:id="229" w:name="_Toc86731995"/>
      <w:r>
        <w:rPr>
          <w:rFonts w:cs="Courier New"/>
          <w:u w:val="none"/>
          <w:lang w:val="es-ES_tradnl"/>
        </w:rPr>
        <w:t xml:space="preserve">C.2.d.xi) </w:t>
      </w:r>
      <w:r>
        <w:rPr>
          <w:rFonts w:cs="Courier New"/>
          <w:b w:val="0"/>
          <w:bCs/>
          <w:u w:val="none"/>
        </w:rPr>
        <w:t>Desvíos</w:t>
      </w:r>
      <w:bookmarkEnd w:id="228"/>
      <w:bookmarkEnd w:id="229"/>
      <w:r>
        <w:rPr>
          <w:rFonts w:cs="Courier New"/>
          <w:b w:val="0"/>
          <w:bCs/>
          <w:u w:val="none"/>
        </w:rPr>
        <w:t xml:space="preserve"> </w:t>
      </w:r>
    </w:p>
    <w:p w:rsidR="00224567" w:rsidRDefault="00224567">
      <w:pPr>
        <w:widowControl w:val="0"/>
      </w:pPr>
      <w:r>
        <w:tab/>
        <w:t>Se sostuvo que en la causa se evide</w:t>
      </w:r>
      <w:r>
        <w:t>n</w:t>
      </w:r>
      <w:r>
        <w:t>ciaron diversos intentos de desviar la investigación ll</w:t>
      </w:r>
      <w:r>
        <w:t>e</w:t>
      </w:r>
      <w:r>
        <w:t>vada a cabo por el magistrado instructor, y que todas e</w:t>
      </w:r>
      <w:r>
        <w:t>s</w:t>
      </w:r>
      <w:r>
        <w:t>tas alteraciones del curso de la pesquisa llev</w:t>
      </w:r>
      <w:r>
        <w:t>a</w:t>
      </w:r>
      <w:r>
        <w:t>das a cabo por los imputados, solo se explicaban si era cierta la imputación por su i</w:t>
      </w:r>
      <w:r>
        <w:t>n</w:t>
      </w:r>
      <w:r>
        <w:t>tervención en el atentado.</w:t>
      </w:r>
    </w:p>
    <w:p w:rsidR="00224567" w:rsidRDefault="00224567">
      <w:pPr>
        <w:widowControl w:val="0"/>
      </w:pPr>
      <w:r>
        <w:tab/>
        <w:t>Como primera respuesta a este razon</w:t>
      </w:r>
      <w:r>
        <w:t>a</w:t>
      </w:r>
      <w:r>
        <w:t>miento, c</w:t>
      </w:r>
      <w:r>
        <w:t>o</w:t>
      </w:r>
      <w:r>
        <w:t>rresponde señalar que debe precisarse cuál es el concepto de desvío de una investigación, tantas veces s</w:t>
      </w:r>
      <w:r>
        <w:t>e</w:t>
      </w:r>
      <w:r>
        <w:t>ñalado por las partes acusadoras. Asimismo, si ese recurso es apto para sustentar la responsabilidad penal por el h</w:t>
      </w:r>
      <w:r>
        <w:t>e</w:t>
      </w:r>
      <w:r>
        <w:t>cho atr</w:t>
      </w:r>
      <w:r>
        <w:t>i</w:t>
      </w:r>
      <w:r>
        <w:t>buido.</w:t>
      </w:r>
    </w:p>
    <w:p w:rsidR="00224567" w:rsidRDefault="00224567">
      <w:pPr>
        <w:widowControl w:val="0"/>
      </w:pPr>
      <w:r>
        <w:tab/>
        <w:t>Así, podrán calificarse de tal modo la persuasión a los testigos para que declaren falsamente o la introducción de documentos falsificados, pero de ning</w:t>
      </w:r>
      <w:r>
        <w:t>u</w:t>
      </w:r>
      <w:r>
        <w:t>na manera puede sostenerse, como se ha dicho, que lo con</w:t>
      </w:r>
      <w:r>
        <w:t>s</w:t>
      </w:r>
      <w:r>
        <w:t>tituya, por ejemplo, la solicitud de un abogado defensor para que se verifiquen otras líneas de investigación.</w:t>
      </w:r>
    </w:p>
    <w:p w:rsidR="00224567" w:rsidRDefault="00224567">
      <w:pPr>
        <w:widowControl w:val="0"/>
      </w:pPr>
      <w:r>
        <w:tab/>
        <w:t>Además, no pueden analizarse estos alegados “desvíos” en fo</w:t>
      </w:r>
      <w:r>
        <w:t>r</w:t>
      </w:r>
      <w:r>
        <w:t>ma aislada de esta investigación en sí. Si no se probó la entrega de la camioneta Trafic de Telleldín a los policías el 10 de julio de 1994 –como lo sostuvieran los acusadores– ni en ninguna otra f</w:t>
      </w:r>
      <w:r>
        <w:t>e</w:t>
      </w:r>
      <w:r>
        <w:t>cha, y si se advierte que Telleldín mintió al involucrar a los imp</w:t>
      </w:r>
      <w:r>
        <w:t>u</w:t>
      </w:r>
      <w:r>
        <w:t>tados en ese suceso, cualquier desvío de esa versión no puede pretender descalificárselo simpl</w:t>
      </w:r>
      <w:r>
        <w:t>e</w:t>
      </w:r>
      <w:r>
        <w:t>mente bajo el mote de “desvío de la invest</w:t>
      </w:r>
      <w:r>
        <w:t>i</w:t>
      </w:r>
      <w:r>
        <w:t>gación”.</w:t>
      </w:r>
    </w:p>
    <w:p w:rsidR="00224567" w:rsidRDefault="00224567">
      <w:pPr>
        <w:widowControl w:val="0"/>
      </w:pPr>
      <w:r>
        <w:tab/>
        <w:t>Si, en definitiva, lo que se probó fue que la investigación estuvo amañada, plagada de irregul</w:t>
      </w:r>
      <w:r>
        <w:t>a</w:t>
      </w:r>
      <w:r>
        <w:t>ridades cometidas en forma sistemática –incluso a través de presiones a imputados y testigos– para sostener una h</w:t>
      </w:r>
      <w:r>
        <w:t>i</w:t>
      </w:r>
      <w:r>
        <w:t>pótesis falsa de lo ocurrido, cualquier intento de aleja</w:t>
      </w:r>
      <w:r>
        <w:t>r</w:t>
      </w:r>
      <w:r>
        <w:t>se de dicha versión falaz no es un intento de alej</w:t>
      </w:r>
      <w:r>
        <w:t>a</w:t>
      </w:r>
      <w:r>
        <w:t>miento de la verdad sino de un acercamiento a é</w:t>
      </w:r>
      <w:r>
        <w:t>s</w:t>
      </w:r>
      <w:r>
        <w:t>ta.</w:t>
      </w:r>
    </w:p>
    <w:p w:rsidR="00224567" w:rsidRDefault="00224567">
      <w:pPr>
        <w:widowControl w:val="0"/>
      </w:pPr>
      <w:r>
        <w:tab/>
        <w:t>Cuando se recurre frecuentemente a e</w:t>
      </w:r>
      <w:r>
        <w:t>s</w:t>
      </w:r>
      <w:r>
        <w:t>tos “desvíos de la investigación” pareciera intentar mo</w:t>
      </w:r>
      <w:r>
        <w:t>s</w:t>
      </w:r>
      <w:r>
        <w:t>trarse al juez como víctima de maniobras que pretendían alejarlo de la verdad real de lo ocurrido, cuando, como se demostró, ocurrió todo lo contrario ya que fue el propio magistrado quien mantuvo una versión del suceso que se  veía claramente refutada por las pruebas arrimadas al pr</w:t>
      </w:r>
      <w:r>
        <w:t>o</w:t>
      </w:r>
      <w:r>
        <w:t>ceso.</w:t>
      </w:r>
    </w:p>
    <w:p w:rsidR="00224567" w:rsidRDefault="00224567">
      <w:pPr>
        <w:widowControl w:val="0"/>
      </w:pPr>
      <w:r>
        <w:tab/>
        <w:t>Pero además debe repararse que las frecuentes interrogaciones que por esa vía cuestionan la compatibilidad de esas maniobras con el estado de inoce</w:t>
      </w:r>
      <w:r>
        <w:t>n</w:t>
      </w:r>
      <w:r>
        <w:t>cia, no hacen más que poner en crisis tan elemental pri</w:t>
      </w:r>
      <w:r>
        <w:t>n</w:t>
      </w:r>
      <w:r>
        <w:t>cipio constitucional. En definitiva, la reiterada crítica a la ausencia de explicaciones por parte de los acusados respecto de estos puntos, constituyen un abuso de la ret</w:t>
      </w:r>
      <w:r>
        <w:t>ó</w:t>
      </w:r>
      <w:r>
        <w:t>rica y aluden a argumentaciones impropias de un ámbito de discusión jurídica. Implica, contra toda previsión l</w:t>
      </w:r>
      <w:r>
        <w:t>e</w:t>
      </w:r>
      <w:r>
        <w:t>gal y constitucional, presumir que el silencio del imputado c</w:t>
      </w:r>
      <w:r>
        <w:t>a</w:t>
      </w:r>
      <w:r>
        <w:t>lla su culpabil</w:t>
      </w:r>
      <w:r>
        <w:t>i</w:t>
      </w:r>
      <w:r>
        <w:t>dad.</w:t>
      </w:r>
    </w:p>
    <w:p w:rsidR="00224567" w:rsidRDefault="00224567">
      <w:pPr>
        <w:widowControl w:val="0"/>
      </w:pPr>
      <w:r>
        <w:tab/>
        <w:t>Confundir la participación en un hecho delictivo con las maniobras enderezadas a torcer el curso de la pesquisa, resulta equiparable a desconocer la dif</w:t>
      </w:r>
      <w:r>
        <w:t>e</w:t>
      </w:r>
      <w:r>
        <w:t>rencia entre el encubrimiento y la participación.</w:t>
      </w:r>
    </w:p>
    <w:p w:rsidR="00224567" w:rsidRDefault="00224567">
      <w:pPr>
        <w:widowControl w:val="0"/>
      </w:pPr>
      <w:r>
        <w:tab/>
        <w:t>Pero, como ya se adelantó, no se probó que las situaciones calificadas como “desvíos de la inve</w:t>
      </w:r>
      <w:r>
        <w:t>s</w:t>
      </w:r>
      <w:r>
        <w:t>tigación” hubiesen sido tales y, menos aún, la interve</w:t>
      </w:r>
      <w:r>
        <w:t>n</w:t>
      </w:r>
      <w:r>
        <w:t>ción de los procesados en estos.</w:t>
      </w:r>
    </w:p>
    <w:p w:rsidR="00224567" w:rsidRDefault="00224567">
      <w:pPr>
        <w:widowControl w:val="0"/>
      </w:pPr>
      <w:r>
        <w:tab/>
        <w:t>Aún en el caso de que se hubiesen pr</w:t>
      </w:r>
      <w:r>
        <w:t>o</w:t>
      </w:r>
      <w:r>
        <w:t>bado uno o más desvíos, extremo que como se vio no aca</w:t>
      </w:r>
      <w:r>
        <w:t>e</w:t>
      </w:r>
      <w:r>
        <w:t>ció, ello en modo alg</w:t>
      </w:r>
      <w:r>
        <w:t>u</w:t>
      </w:r>
      <w:r>
        <w:t>no podría utilizarse como prueba de cargo del hecho terr</w:t>
      </w:r>
      <w:r>
        <w:t>o</w:t>
      </w:r>
      <w:r>
        <w:t>rista.</w:t>
      </w:r>
    </w:p>
    <w:p w:rsidR="00224567" w:rsidRDefault="00224567">
      <w:pPr>
        <w:widowControl w:val="0"/>
      </w:pPr>
      <w:r>
        <w:tab/>
        <w:t>La circunstancia de que un sujeto tr</w:t>
      </w:r>
      <w:r>
        <w:t>a</w:t>
      </w:r>
      <w:r>
        <w:t>te de aleja</w:t>
      </w:r>
      <w:r>
        <w:t>r</w:t>
      </w:r>
      <w:r>
        <w:t>se o de no ser rozado por un proceso de estas c</w:t>
      </w:r>
      <w:r>
        <w:t>a</w:t>
      </w:r>
      <w:r>
        <w:t>racterísticas, con las connotaciones que apareja, jamás pu</w:t>
      </w:r>
      <w:r>
        <w:t>e</w:t>
      </w:r>
      <w:r>
        <w:t>de constituirse como un indicio cargoso, sino se probó siquiera, su vinc</w:t>
      </w:r>
      <w:r>
        <w:t>u</w:t>
      </w:r>
      <w:r>
        <w:t xml:space="preserve">lación con el </w:t>
      </w:r>
      <w:r>
        <w:rPr>
          <w:u w:val="single"/>
        </w:rPr>
        <w:t>corpus</w:t>
      </w:r>
      <w:r>
        <w:t xml:space="preserve"> </w:t>
      </w:r>
      <w:r>
        <w:rPr>
          <w:u w:val="single"/>
        </w:rPr>
        <w:t>instrumentorum</w:t>
      </w:r>
      <w:r>
        <w:t>.</w:t>
      </w:r>
    </w:p>
    <w:p w:rsidR="00224567" w:rsidRDefault="00224567">
      <w:pPr>
        <w:widowControl w:val="0"/>
      </w:pPr>
      <w:r>
        <w:tab/>
        <w:t>No obstante, a continuación se proc</w:t>
      </w:r>
      <w:r>
        <w:t>e</w:t>
      </w:r>
      <w:r>
        <w:t>derá a su análisis particul</w:t>
      </w:r>
      <w:r>
        <w:t>a</w:t>
      </w:r>
      <w:r>
        <w:t>rizado.</w:t>
      </w:r>
    </w:p>
    <w:p w:rsidR="00224567" w:rsidRDefault="00224567">
      <w:pPr>
        <w:pStyle w:val="Ttulo7"/>
        <w:widowControl w:val="0"/>
      </w:pPr>
      <w:r>
        <w:rPr>
          <w:b/>
          <w:bCs/>
        </w:rPr>
        <w:tab/>
      </w:r>
      <w:r>
        <w:rPr>
          <w:b/>
          <w:bCs/>
        </w:rPr>
        <w:tab/>
      </w:r>
      <w:bookmarkStart w:id="230" w:name="_Toc79905071"/>
      <w:bookmarkStart w:id="231" w:name="_Toc79905070"/>
      <w:bookmarkStart w:id="232" w:name="_Toc86731996"/>
      <w:r>
        <w:rPr>
          <w:b/>
          <w:bCs/>
        </w:rPr>
        <w:t xml:space="preserve">C.2.d.xi.A) </w:t>
      </w:r>
      <w:r>
        <w:t>Solari</w:t>
      </w:r>
      <w:bookmarkEnd w:id="231"/>
      <w:bookmarkEnd w:id="232"/>
      <w:r>
        <w:t>.</w:t>
      </w:r>
    </w:p>
    <w:p w:rsidR="00224567" w:rsidRDefault="00224567">
      <w:pPr>
        <w:pStyle w:val="Ttulo8"/>
        <w:spacing w:line="600" w:lineRule="auto"/>
        <w:rPr>
          <w:b w:val="0"/>
          <w:bCs w:val="0"/>
        </w:rPr>
      </w:pPr>
      <w:r>
        <w:tab/>
      </w:r>
      <w:bookmarkStart w:id="233" w:name="_Toc79816940"/>
      <w:bookmarkStart w:id="234" w:name="_Toc86731997"/>
      <w:r>
        <w:t xml:space="preserve">C.2.d.xi.A.1) </w:t>
      </w:r>
      <w:r>
        <w:rPr>
          <w:b w:val="0"/>
          <w:bCs w:val="0"/>
        </w:rPr>
        <w:t>La intervención de Sol</w:t>
      </w:r>
      <w:r>
        <w:rPr>
          <w:b w:val="0"/>
          <w:bCs w:val="0"/>
        </w:rPr>
        <w:t>a</w:t>
      </w:r>
      <w:r>
        <w:rPr>
          <w:b w:val="0"/>
          <w:bCs w:val="0"/>
        </w:rPr>
        <w:t>ri en las presentes actuaciones s</w:t>
      </w:r>
      <w:r>
        <w:rPr>
          <w:b w:val="0"/>
          <w:bCs w:val="0"/>
        </w:rPr>
        <w:t>e</w:t>
      </w:r>
      <w:r>
        <w:rPr>
          <w:b w:val="0"/>
          <w:bCs w:val="0"/>
        </w:rPr>
        <w:t>gún los acusadores</w:t>
      </w:r>
      <w:bookmarkEnd w:id="233"/>
      <w:bookmarkEnd w:id="234"/>
      <w:r>
        <w:rPr>
          <w:b w:val="0"/>
          <w:bCs w:val="0"/>
        </w:rPr>
        <w:t>.</w:t>
      </w:r>
    </w:p>
    <w:p w:rsidR="00224567" w:rsidRDefault="00224567">
      <w:pPr>
        <w:widowControl w:val="0"/>
      </w:pPr>
      <w:r>
        <w:tab/>
      </w:r>
      <w:r>
        <w:rPr>
          <w:lang w:val="es-ES_tradnl"/>
        </w:rPr>
        <w:tab/>
        <w:t>Tanto</w:t>
      </w:r>
      <w:r>
        <w:t xml:space="preserve"> el Ministerio Público Fiscal, como los letrados de las querellas A.M.I.A.-D.A.I.A. y Grupo de Familiares coi</w:t>
      </w:r>
      <w:r>
        <w:t>n</w:t>
      </w:r>
      <w:r>
        <w:t>cidieron en señalar que también se probaba la responsabilidad de los imputados por el atent</w:t>
      </w:r>
      <w:r>
        <w:t>a</w:t>
      </w:r>
      <w:r>
        <w:t>do con la preparación de Ramón Emilio Solari para desviar la inve</w:t>
      </w:r>
      <w:r>
        <w:t>s</w:t>
      </w:r>
      <w:r>
        <w:t>tigación de la presente causa.</w:t>
      </w:r>
    </w:p>
    <w:p w:rsidR="00224567" w:rsidRDefault="00224567">
      <w:pPr>
        <w:widowControl w:val="0"/>
      </w:pPr>
      <w:r>
        <w:tab/>
        <w:t>Así, se sostuvo que el nombrado fue instruido por B</w:t>
      </w:r>
      <w:r>
        <w:t>a</w:t>
      </w:r>
      <w:r>
        <w:t>reiro, Leal, Rago y Ribelli para distraer la investigación a cambio de un trato preferencial, la s</w:t>
      </w:r>
      <w:r>
        <w:t>u</w:t>
      </w:r>
      <w:r>
        <w:t>ma de 100.000 dólares y su libertad. Que como consecuencia de ello, Solari manifestó en el juzgado instructor que acompañó a Ramón Martínez a adquirir la camioneta R</w:t>
      </w:r>
      <w:r>
        <w:t>e</w:t>
      </w:r>
      <w:r>
        <w:t>nault Trafic a Telleldín. De este modo, afirmaba la versión brindada por Telleldín en cuanto a la existencia de la venta del vehíc</w:t>
      </w:r>
      <w:r>
        <w:t>u</w:t>
      </w:r>
      <w:r>
        <w:t>lo y se descartaba su paso por la policía bona</w:t>
      </w:r>
      <w:r>
        <w:t>e</w:t>
      </w:r>
      <w:r>
        <w:t>rense.</w:t>
      </w:r>
    </w:p>
    <w:p w:rsidR="00224567" w:rsidRDefault="00224567">
      <w:pPr>
        <w:pStyle w:val="Ttulo8"/>
        <w:spacing w:line="600" w:lineRule="auto"/>
        <w:rPr>
          <w:b w:val="0"/>
          <w:bCs w:val="0"/>
        </w:rPr>
      </w:pPr>
      <w:r>
        <w:tab/>
      </w:r>
      <w:bookmarkStart w:id="235" w:name="_Toc86731998"/>
      <w:r>
        <w:t>C.2.d.xi.A.2)</w:t>
      </w:r>
      <w:bookmarkStart w:id="236" w:name="_Toc79816944"/>
      <w:r>
        <w:t xml:space="preserve"> </w:t>
      </w:r>
      <w:r>
        <w:rPr>
          <w:b w:val="0"/>
          <w:bCs w:val="0"/>
        </w:rPr>
        <w:t>¿A qué se refieren los acusadores cuando hablan de desvío?</w:t>
      </w:r>
      <w:bookmarkEnd w:id="235"/>
      <w:bookmarkEnd w:id="236"/>
    </w:p>
    <w:p w:rsidR="00224567" w:rsidRDefault="00224567">
      <w:pPr>
        <w:pStyle w:val="Piedepgina"/>
        <w:widowControl w:val="0"/>
        <w:tabs>
          <w:tab w:val="clear" w:pos="4419"/>
          <w:tab w:val="clear" w:pos="8838"/>
        </w:tabs>
        <w:spacing w:line="600" w:lineRule="auto"/>
      </w:pPr>
      <w:r>
        <w:tab/>
      </w:r>
      <w:r>
        <w:tab/>
      </w:r>
      <w:r>
        <w:rPr>
          <w:lang w:val="es-ES_tradnl"/>
        </w:rPr>
        <w:t xml:space="preserve">A pesar de lo sostenido forzadamente por las partes acusadoras, concluido el debate, no se acreditó que Mario Norberto Bareiro, Jorge Horacio Rago, Anastasio Ireneo Leal, Juan José Ribelli u otro personal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prepararan a Ramón Emilio Solari </w:t>
      </w:r>
      <w:r>
        <w:t>para desviar la investigación de la presente causa a tr</w:t>
      </w:r>
      <w:r>
        <w:t>a</w:t>
      </w:r>
      <w:r>
        <w:t>vés de sus declaraciones en el juzgado instructor.</w:t>
      </w:r>
    </w:p>
    <w:p w:rsidR="00224567" w:rsidRDefault="00224567">
      <w:pPr>
        <w:widowControl w:val="0"/>
      </w:pPr>
      <w:r>
        <w:tab/>
        <w:t>Por el contrario, se probó que el m</w:t>
      </w:r>
      <w:r>
        <w:t>a</w:t>
      </w:r>
      <w:r>
        <w:t>gistrado instructor utilizó arbitrariamente el legajo fo</w:t>
      </w:r>
      <w:r>
        <w:t>r</w:t>
      </w:r>
      <w:r>
        <w:t>mado como consecuencia de sus dichos para fundar falsame</w:t>
      </w:r>
      <w:r>
        <w:t>n</w:t>
      </w:r>
      <w:r>
        <w:t>te un supuesto de</w:t>
      </w:r>
      <w:r>
        <w:t>s</w:t>
      </w:r>
      <w:r>
        <w:t>vío de la investigación y –de tal modo- idear una prueba de cargo contra los policías bonaere</w:t>
      </w:r>
      <w:r>
        <w:t>n</w:t>
      </w:r>
      <w:r>
        <w:t>ses.</w:t>
      </w:r>
    </w:p>
    <w:p w:rsidR="00224567" w:rsidRDefault="00224567">
      <w:pPr>
        <w:widowControl w:val="0"/>
      </w:pPr>
      <w:r>
        <w:tab/>
        <w:t>Sin perjuicio de esto, se efectuará un análisis detallado de los elementos probat</w:t>
      </w:r>
      <w:r>
        <w:t>o</w:t>
      </w:r>
      <w:r>
        <w:t>rios valorados por los acusadores.</w:t>
      </w:r>
    </w:p>
    <w:p w:rsidR="00224567" w:rsidRDefault="00224567">
      <w:pPr>
        <w:widowControl w:val="0"/>
      </w:pPr>
      <w:r>
        <w:tab/>
        <w:t>Previo a ello, se delimitará el alca</w:t>
      </w:r>
      <w:r>
        <w:t>n</w:t>
      </w:r>
      <w:r>
        <w:t>ce de este supue</w:t>
      </w:r>
      <w:r>
        <w:t>s</w:t>
      </w:r>
      <w:r>
        <w:t>to desvío para tomar real dimensión de la importancia de este elemento de cargo utilizado por las partes acusadoras contra algunos de los policías bonaere</w:t>
      </w:r>
      <w:r>
        <w:t>n</w:t>
      </w:r>
      <w:r>
        <w:t>ses.</w:t>
      </w:r>
    </w:p>
    <w:p w:rsidR="00224567" w:rsidRDefault="00224567">
      <w:pPr>
        <w:widowControl w:val="0"/>
      </w:pPr>
      <w:r>
        <w:tab/>
        <w:t>El legajo formado para investigar los dichos de Solari se inicia con una carta enviada por él, en la que afirma conocer datos relacionados con los ate</w:t>
      </w:r>
      <w:r>
        <w:t>n</w:t>
      </w:r>
      <w:r>
        <w:t xml:space="preserve">tados a </w:t>
      </w:r>
      <w:smartTag w:uri="urn:schemas-microsoft-com:office:smarttags" w:element="PersonName">
        <w:smartTagPr>
          <w:attr w:name="ProductID" w:val="la A.M"/>
        </w:smartTagPr>
        <w:r>
          <w:t>la A.M</w:t>
        </w:r>
      </w:smartTag>
      <w:r>
        <w:t xml:space="preserve">.I.A. y a </w:t>
      </w:r>
      <w:smartTag w:uri="urn:schemas-microsoft-com:office:smarttags" w:element="PersonName">
        <w:smartTagPr>
          <w:attr w:name="ProductID" w:val="la Embajada"/>
        </w:smartTagPr>
        <w:r>
          <w:t>la Embajada</w:t>
        </w:r>
      </w:smartTag>
      <w:r>
        <w:t xml:space="preserve"> de Israel. Luego de ser co</w:t>
      </w:r>
      <w:r>
        <w:t>n</w:t>
      </w:r>
      <w:r>
        <w:t>vocado por el juzgado instructor presta declaración espo</w:t>
      </w:r>
      <w:r>
        <w:t>n</w:t>
      </w:r>
      <w:r>
        <w:t>tánea los días 20, 23, 26 y 27 de enero, 13, 17, 20 y 24 de febrero, 17 y 20 de marzo, todos de 1995. En base a sus deposiciones, e</w:t>
      </w:r>
      <w:r>
        <w:t>s</w:t>
      </w:r>
      <w:r>
        <w:t>critos y croquis aportados en algunas de esas audiencias, construyó su versión de los hechos, la que luego sería descalificada por informes polici</w:t>
      </w:r>
      <w:r>
        <w:t>a</w:t>
      </w:r>
      <w:r>
        <w:t xml:space="preserve">les y de </w:t>
      </w:r>
      <w:smartTag w:uri="urn:schemas-microsoft-com:office:smarttags" w:element="PersonName">
        <w:smartTagPr>
          <w:attr w:name="ProductID" w:val="la Secretar￭a"/>
        </w:smartTagPr>
        <w:r>
          <w:t>la Secretaría</w:t>
        </w:r>
      </w:smartTag>
      <w:r>
        <w:t xml:space="preserve"> de Inteligencia de Estado, el juez, las pa</w:t>
      </w:r>
      <w:r>
        <w:t>r</w:t>
      </w:r>
      <w:r>
        <w:t>tes y el propio Sol</w:t>
      </w:r>
      <w:r>
        <w:t>a</w:t>
      </w:r>
      <w:r>
        <w:t>ri.</w:t>
      </w:r>
    </w:p>
    <w:p w:rsidR="00224567" w:rsidRDefault="00224567">
      <w:pPr>
        <w:widowControl w:val="0"/>
      </w:pPr>
      <w:r>
        <w:tab/>
        <w:t>A esas declaraciones y a las medidas de investigación que se dispusieron en consecuencia, las partes acusadoras las calificaron de desvío de la causa. Sin embargo, esta supuesta distracción de la instrucción no tuvo la importa</w:t>
      </w:r>
      <w:r>
        <w:t>n</w:t>
      </w:r>
      <w:r>
        <w:t>cia ni trascendencia que los acusadores pretendieron oto</w:t>
      </w:r>
      <w:r>
        <w:t>r</w:t>
      </w:r>
      <w:r>
        <w:t>garle.</w:t>
      </w:r>
    </w:p>
    <w:p w:rsidR="00224567" w:rsidRDefault="00224567">
      <w:pPr>
        <w:widowControl w:val="0"/>
      </w:pPr>
      <w:r>
        <w:tab/>
        <w:t>En efecto, dichas piezas procesales fueron acumuladas a un legajo que llegó a contar para el 31 de agosto de 1995 –cuando se dispuso la última medida de investigación-, con tres cuerpos de actuaciones. Para tal época, ya se había determinado que Solari había ment</w:t>
      </w:r>
      <w:r>
        <w:t>i</w:t>
      </w:r>
      <w:r>
        <w:t xml:space="preserve">do en sus declaraciones (cfr. informe de </w:t>
      </w:r>
      <w:smartTag w:uri="urn:schemas-microsoft-com:office:smarttags" w:element="PersonName">
        <w:smartTagPr>
          <w:attr w:name="ProductID" w:val="la S.I"/>
        </w:smartTagPr>
        <w:r>
          <w:t>la S.I</w:t>
        </w:r>
      </w:smartTag>
      <w:r>
        <w:t>.D.E. del 29 de junio de ese año de fs. 74.646/74.651).</w:t>
      </w:r>
    </w:p>
    <w:p w:rsidR="00224567" w:rsidRDefault="00224567">
      <w:pPr>
        <w:widowControl w:val="0"/>
      </w:pPr>
      <w:r>
        <w:tab/>
        <w:t>Luego de un período de casi un año, sin disponer med</w:t>
      </w:r>
      <w:r>
        <w:t>i</w:t>
      </w:r>
      <w:r>
        <w:t>das en el sumario, el 7 de junio de 1996 –época en que se estaba negociando el pago por la declar</w:t>
      </w:r>
      <w:r>
        <w:t>a</w:t>
      </w:r>
      <w:r>
        <w:t>ción de Telleldín, entre cuyos temas incluía el de  Sol</w:t>
      </w:r>
      <w:r>
        <w:t>a</w:t>
      </w:r>
      <w:r>
        <w:t>ri-, Telleldín mantuvo una entrevista con el juez instru</w:t>
      </w:r>
      <w:r>
        <w:t>c</w:t>
      </w:r>
      <w:r>
        <w:t>tor en la cual manifestó que “la esposa del oficial Bare</w:t>
      </w:r>
      <w:r>
        <w:t>i</w:t>
      </w:r>
      <w:r>
        <w:t>ro le había dicho que una persona apellidada Solari rec</w:t>
      </w:r>
      <w:r>
        <w:t>o</w:t>
      </w:r>
      <w:r>
        <w:t>nocería haber tenido participación en la compra de la c</w:t>
      </w:r>
      <w:r>
        <w:t>a</w:t>
      </w:r>
      <w:r>
        <w:t>mioneta utilizada en el atentado” (cfr. fs. 74.820). A partir de entonces, los dichos de Solari dejaron de ser analizados simplemente como un aporte a la investigación para utilizarse, en el auto de procesamiento del 31 de j</w:t>
      </w:r>
      <w:r>
        <w:t>u</w:t>
      </w:r>
      <w:r>
        <w:t>lio de 1996, como prueba de cargo contra los policías, al afirmar que su aparición obedecía a un intento de éstos por desviar la causa y lograr su impun</w:t>
      </w:r>
      <w:r>
        <w:t>i</w:t>
      </w:r>
      <w:r>
        <w:t>dad.</w:t>
      </w:r>
    </w:p>
    <w:p w:rsidR="00224567" w:rsidRDefault="00224567">
      <w:pPr>
        <w:widowControl w:val="0"/>
      </w:pPr>
      <w:r>
        <w:tab/>
      </w:r>
      <w:r>
        <w:tab/>
        <w:t>Dos elementos objetivos surgen cl</w:t>
      </w:r>
      <w:r>
        <w:t>a</w:t>
      </w:r>
      <w:r>
        <w:t>ros para desmerecer la trascendencia dada por los acusad</w:t>
      </w:r>
      <w:r>
        <w:t>o</w:t>
      </w:r>
      <w:r>
        <w:t>res a este “desvío”. El primero de ellos es que el legajo form</w:t>
      </w:r>
      <w:r>
        <w:t>a</w:t>
      </w:r>
      <w:r>
        <w:t>do a raíz de los dichos de Solari fue uno más de todos los que se incoaron para seguir distintas líneas investigat</w:t>
      </w:r>
      <w:r>
        <w:t>i</w:t>
      </w:r>
      <w:r>
        <w:t>vas.</w:t>
      </w:r>
    </w:p>
    <w:p w:rsidR="00224567" w:rsidRDefault="00224567">
      <w:pPr>
        <w:widowControl w:val="0"/>
      </w:pPr>
      <w:r>
        <w:tab/>
        <w:t>El segundo dato a tener en cuenta es que, fue a partir de los dichos de Telleldín, formalizados en la consta</w:t>
      </w:r>
      <w:r>
        <w:t>n</w:t>
      </w:r>
      <w:r>
        <w:t>cia aludida anteriormente y los que surgen de las oscuras entrevistas mantenidas con el juez instru</w:t>
      </w:r>
      <w:r>
        <w:t>c</w:t>
      </w:r>
      <w:r>
        <w:t>tor –de las que dan cuenta los videos del 10 de abril y 1º de julio de 1996-, cuando se dispusieron medidas de instru</w:t>
      </w:r>
      <w:r>
        <w:t>c</w:t>
      </w:r>
      <w:r>
        <w:t>ción tendientes a probar forzadamente una supuesta inte</w:t>
      </w:r>
      <w:r>
        <w:t>r</w:t>
      </w:r>
      <w:r>
        <w:t>vención de los policías bonaerenses en la preparación de Solari. Esto determinó un manejo discrecional y arb</w:t>
      </w:r>
      <w:r>
        <w:t>i</w:t>
      </w:r>
      <w:r>
        <w:t>trario de la prueba por parte del juez instructor y, por otra parte, un dispendio jurisdiccional mayor que el pr</w:t>
      </w:r>
      <w:r>
        <w:t>o</w:t>
      </w:r>
      <w:r>
        <w:t>vocado por el s</w:t>
      </w:r>
      <w:r>
        <w:t>u</w:t>
      </w:r>
      <w:r>
        <w:t>puesto desvío.</w:t>
      </w:r>
    </w:p>
    <w:p w:rsidR="00224567" w:rsidRDefault="00224567">
      <w:pPr>
        <w:pStyle w:val="Ttulo8"/>
        <w:spacing w:line="600" w:lineRule="auto"/>
        <w:rPr>
          <w:b w:val="0"/>
          <w:bCs w:val="0"/>
        </w:rPr>
      </w:pPr>
      <w:r>
        <w:tab/>
      </w:r>
      <w:bookmarkStart w:id="237" w:name="_Toc86731999"/>
      <w:r>
        <w:t>C.2.d.xi.A.3)</w:t>
      </w:r>
      <w:bookmarkStart w:id="238" w:name="_Toc79816945"/>
      <w:r>
        <w:t xml:space="preserve"> </w:t>
      </w:r>
      <w:r>
        <w:rPr>
          <w:b w:val="0"/>
          <w:bCs w:val="0"/>
        </w:rPr>
        <w:t>Testimonial de Ramón Emilio Solari</w:t>
      </w:r>
      <w:bookmarkEnd w:id="237"/>
      <w:bookmarkEnd w:id="238"/>
      <w:r>
        <w:rPr>
          <w:b w:val="0"/>
          <w:bCs w:val="0"/>
        </w:rPr>
        <w:t>.</w:t>
      </w:r>
    </w:p>
    <w:p w:rsidR="00224567" w:rsidRDefault="00224567">
      <w:pPr>
        <w:widowControl w:val="0"/>
        <w:rPr>
          <w:lang w:val="es-ES_tradnl"/>
        </w:rPr>
      </w:pPr>
      <w:r>
        <w:tab/>
      </w:r>
      <w:r>
        <w:rPr>
          <w:lang w:val="es-ES_tradnl"/>
        </w:rPr>
        <w:t>Los acusadores basaron la responsab</w:t>
      </w:r>
      <w:r>
        <w:rPr>
          <w:lang w:val="es-ES_tradnl"/>
        </w:rPr>
        <w:t>i</w:t>
      </w:r>
      <w:r>
        <w:rPr>
          <w:lang w:val="es-ES_tradnl"/>
        </w:rPr>
        <w:t>lidad de los policías en este supuesto desvío de la inve</w:t>
      </w:r>
      <w:r>
        <w:rPr>
          <w:lang w:val="es-ES_tradnl"/>
        </w:rPr>
        <w:t>s</w:t>
      </w:r>
      <w:r>
        <w:rPr>
          <w:lang w:val="es-ES_tradnl"/>
        </w:rPr>
        <w:t>tigación, fundamentalmente, en los dichos de Solari. Sin embargo, este testigo no resulta en modo alguno creíble, su relato es incoherente, contradictorio, confuso y está plagado de elementos fantasiosos. Así, sus manifest</w:t>
      </w:r>
      <w:r>
        <w:rPr>
          <w:lang w:val="es-ES_tradnl"/>
        </w:rPr>
        <w:t>a</w:t>
      </w:r>
      <w:r>
        <w:rPr>
          <w:lang w:val="es-ES_tradnl"/>
        </w:rPr>
        <w:t>ciones se dan de bruces con otros testimonios rendidos en la a</w:t>
      </w:r>
      <w:r>
        <w:rPr>
          <w:lang w:val="es-ES_tradnl"/>
        </w:rPr>
        <w:t>u</w:t>
      </w:r>
      <w:r>
        <w:rPr>
          <w:lang w:val="es-ES_tradnl"/>
        </w:rPr>
        <w:t>diencia y con las constancias documentales obrantes en e</w:t>
      </w:r>
      <w:r>
        <w:rPr>
          <w:lang w:val="es-ES_tradnl"/>
        </w:rPr>
        <w:t>s</w:t>
      </w:r>
      <w:r>
        <w:rPr>
          <w:lang w:val="es-ES_tradnl"/>
        </w:rPr>
        <w:t xml:space="preserve">ta causa y las que se pidieron </w:t>
      </w:r>
      <w:r>
        <w:rPr>
          <w:u w:val="single"/>
          <w:lang w:val="es-ES_tradnl"/>
        </w:rPr>
        <w:t>ad effectum v</w:t>
      </w:r>
      <w:r>
        <w:rPr>
          <w:u w:val="single"/>
          <w:lang w:val="es-ES_tradnl"/>
        </w:rPr>
        <w:t>i</w:t>
      </w:r>
      <w:r>
        <w:rPr>
          <w:u w:val="single"/>
          <w:lang w:val="es-ES_tradnl"/>
        </w:rPr>
        <w:t>dendi</w:t>
      </w:r>
      <w:r>
        <w:rPr>
          <w:lang w:val="es-ES_tradnl"/>
        </w:rPr>
        <w:t>.</w:t>
      </w:r>
    </w:p>
    <w:p w:rsidR="00224567" w:rsidRDefault="00224567">
      <w:pPr>
        <w:widowControl w:val="0"/>
        <w:rPr>
          <w:lang w:val="es-ES_tradnl"/>
        </w:rPr>
      </w:pPr>
      <w:r>
        <w:rPr>
          <w:lang w:val="es-ES_tradnl"/>
        </w:rPr>
        <w:tab/>
        <w:t>Por otra parte, esas mismas probanzas ilustran acerca de la personalidad conflictiva del nombr</w:t>
      </w:r>
      <w:r>
        <w:rPr>
          <w:lang w:val="es-ES_tradnl"/>
        </w:rPr>
        <w:t>a</w:t>
      </w:r>
      <w:r>
        <w:rPr>
          <w:lang w:val="es-ES_tradnl"/>
        </w:rPr>
        <w:t>do, su mitomanía y su permanente objetivo de ser traslad</w:t>
      </w:r>
      <w:r>
        <w:rPr>
          <w:lang w:val="es-ES_tradnl"/>
        </w:rPr>
        <w:t>a</w:t>
      </w:r>
      <w:r>
        <w:rPr>
          <w:lang w:val="es-ES_tradnl"/>
        </w:rPr>
        <w:t>do a una unidad penitenciaria federal que, como se verá, fue el motivo que lo impulsó a presentarse ante el juzgado instructor a d</w:t>
      </w:r>
      <w:r>
        <w:rPr>
          <w:lang w:val="es-ES_tradnl"/>
        </w:rPr>
        <w:t>e</w:t>
      </w:r>
      <w:r>
        <w:rPr>
          <w:lang w:val="es-ES_tradnl"/>
        </w:rPr>
        <w:t>clarar.</w:t>
      </w:r>
    </w:p>
    <w:p w:rsidR="00224567" w:rsidRDefault="00224567">
      <w:pPr>
        <w:widowControl w:val="0"/>
      </w:pPr>
      <w:r>
        <w:rPr>
          <w:lang w:val="es-ES_tradnl"/>
        </w:rPr>
        <w:tab/>
      </w:r>
      <w:r>
        <w:t>En la audiencia de debate Solari man</w:t>
      </w:r>
      <w:r>
        <w:t>i</w:t>
      </w:r>
      <w:r>
        <w:t xml:space="preserve">festó que, cuando fue alojado en </w:t>
      </w:r>
      <w:smartTag w:uri="urn:schemas-microsoft-com:office:smarttags" w:element="PersonName">
        <w:smartTagPr>
          <w:attr w:name="ProductID" w:val="la Brigada"/>
        </w:smartTagPr>
        <w:r>
          <w:t>la Brigada</w:t>
        </w:r>
      </w:smartTag>
      <w:r>
        <w:t xml:space="preserve"> de Investig</w:t>
      </w:r>
      <w:r>
        <w:t>a</w:t>
      </w:r>
      <w:r>
        <w:t>ciones de Vicente López, fue preparado por personal de la policía bonaerense para declarar ante el juzgado instru</w:t>
      </w:r>
      <w:r>
        <w:t>c</w:t>
      </w:r>
      <w:r>
        <w:t>tor a fin de desviar la investigación de la causa. Precisó que en esta tarea intervinieron especialmente Bareiro y Rago, pero también mantuvo reuniones con Leal y Rib</w:t>
      </w:r>
      <w:r>
        <w:t>e</w:t>
      </w:r>
      <w:r>
        <w:t>lli.</w:t>
      </w:r>
    </w:p>
    <w:p w:rsidR="00224567" w:rsidRDefault="00224567">
      <w:pPr>
        <w:widowControl w:val="0"/>
      </w:pPr>
      <w:r>
        <w:tab/>
        <w:t>Expuso que, a cambio de ello, le fac</w:t>
      </w:r>
      <w:r>
        <w:t>i</w:t>
      </w:r>
      <w:r>
        <w:t>litarían la fuga una vez que termin</w:t>
      </w:r>
      <w:r>
        <w:t>a</w:t>
      </w:r>
      <w:r>
        <w:t>ra de declarar.</w:t>
      </w:r>
    </w:p>
    <w:p w:rsidR="00224567" w:rsidRDefault="00224567">
      <w:pPr>
        <w:widowControl w:val="0"/>
      </w:pPr>
      <w:r>
        <w:tab/>
        <w:t>Solari contó que los policías le di</w:t>
      </w:r>
      <w:r>
        <w:t>e</w:t>
      </w:r>
      <w:r>
        <w:t>ron a elegir entre hacerse cargo personalmente de la causa o involucrar a otras personas y que, finalmente, se dec</w:t>
      </w:r>
      <w:r>
        <w:t>i</w:t>
      </w:r>
      <w:r>
        <w:t>dió por inculpar a unos carapintadas que estaban sospech</w:t>
      </w:r>
      <w:r>
        <w:t>a</w:t>
      </w:r>
      <w:r>
        <w:t xml:space="preserve">dos de haber provisto los explosivos que se usaron en la voladura de </w:t>
      </w:r>
      <w:smartTag w:uri="urn:schemas-microsoft-com:office:smarttags" w:element="PersonName">
        <w:smartTagPr>
          <w:attr w:name="ProductID" w:val="la A.M"/>
        </w:smartTagPr>
        <w:r>
          <w:t>la A.M</w:t>
        </w:r>
      </w:smartTag>
      <w:r>
        <w:t>.I.A. y que, casualmente, conocía a v</w:t>
      </w:r>
      <w:r>
        <w:t>a</w:t>
      </w:r>
      <w:r>
        <w:t>rios, entre ellos, Víctor Alejandro Gallo. Sus declaraci</w:t>
      </w:r>
      <w:r>
        <w:t>o</w:t>
      </w:r>
      <w:r>
        <w:t>nes a</w:t>
      </w:r>
      <w:r>
        <w:t>n</w:t>
      </w:r>
      <w:r>
        <w:t>te el juzgado instructor fueron armadas en base a la información que permanentemente le aportaban los pol</w:t>
      </w:r>
      <w:r>
        <w:t>i</w:t>
      </w:r>
      <w:r>
        <w:t>cías.</w:t>
      </w:r>
    </w:p>
    <w:p w:rsidR="00224567" w:rsidRDefault="00224567">
      <w:pPr>
        <w:widowControl w:val="0"/>
      </w:pPr>
      <w:r>
        <w:tab/>
        <w:t>Si bien en un primer momento manifestó que no se había i</w:t>
      </w:r>
      <w:r>
        <w:t>n</w:t>
      </w:r>
      <w:r>
        <w:t>volucrado personalmente en el atentado, luego se re</w:t>
      </w:r>
      <w:r>
        <w:t>c</w:t>
      </w:r>
      <w:r>
        <w:t>tificó y expresó que la policía le dio la idea de aparecer como acompañante de la persona que había co</w:t>
      </w:r>
      <w:r>
        <w:t>n</w:t>
      </w:r>
      <w:r>
        <w:t xml:space="preserve">currido a adquirir </w:t>
      </w:r>
      <w:smartTag w:uri="urn:schemas-microsoft-com:office:smarttags" w:element="PersonName">
        <w:smartTagPr>
          <w:attr w:name="ProductID" w:val="la Trafic"/>
        </w:smartTagPr>
        <w:r>
          <w:t>la Trafic</w:t>
        </w:r>
      </w:smartTag>
      <w:r>
        <w:t xml:space="preserve"> a Telleldín. También recordó que en su declaración indicó que un grupo de carapint</w:t>
      </w:r>
      <w:r>
        <w:t>a</w:t>
      </w:r>
      <w:r>
        <w:t>das había dado los explosivos a otro grupo ir</w:t>
      </w:r>
      <w:r>
        <w:t>a</w:t>
      </w:r>
      <w:r>
        <w:t>ní.</w:t>
      </w:r>
    </w:p>
    <w:p w:rsidR="00224567" w:rsidRDefault="00224567">
      <w:pPr>
        <w:widowControl w:val="0"/>
      </w:pPr>
      <w:r>
        <w:tab/>
        <w:t>Relató que Bareiro, cuando era jefe de turno, le aportaba datos relativos a la causa en su cal</w:t>
      </w:r>
      <w:r>
        <w:t>a</w:t>
      </w:r>
      <w:r>
        <w:t>bozo. Asimismo, le habría manifestado que lo estaban i</w:t>
      </w:r>
      <w:r>
        <w:t>n</w:t>
      </w:r>
      <w:r>
        <w:t xml:space="preserve">vestigando por el tema de </w:t>
      </w:r>
      <w:smartTag w:uri="urn:schemas-microsoft-com:office:smarttags" w:element="PersonName">
        <w:smartTagPr>
          <w:attr w:name="ProductID" w:val="la A.M"/>
        </w:smartTagPr>
        <w:r>
          <w:t>la A.M</w:t>
        </w:r>
      </w:smartTag>
      <w:r>
        <w:t>.I.A., que estaba compr</w:t>
      </w:r>
      <w:r>
        <w:t>o</w:t>
      </w:r>
      <w:r>
        <w:t>metido, que era el más perjudicado y que en cualquier m</w:t>
      </w:r>
      <w:r>
        <w:t>o</w:t>
      </w:r>
      <w:r>
        <w:t>mento lo iban a detener.</w:t>
      </w:r>
    </w:p>
    <w:p w:rsidR="00224567" w:rsidRDefault="00224567">
      <w:pPr>
        <w:widowControl w:val="0"/>
      </w:pPr>
      <w:r>
        <w:tab/>
        <w:t>Refirió que con Rago tuvo alrededor de diez cha</w:t>
      </w:r>
      <w:r>
        <w:t>r</w:t>
      </w:r>
      <w:r>
        <w:t>las hasta diciembre de 1994, y que inclusive éste entró a su calabozo varias veces, algunas acompañado de Bareiro. Aclaró que cuando ellos entraban al calabozo p</w:t>
      </w:r>
      <w:r>
        <w:t>o</w:t>
      </w:r>
      <w:r>
        <w:t>dían ser vistos por los ocupantes de otras celdas.</w:t>
      </w:r>
    </w:p>
    <w:p w:rsidR="00224567" w:rsidRDefault="00224567">
      <w:pPr>
        <w:widowControl w:val="0"/>
      </w:pPr>
      <w:r>
        <w:tab/>
        <w:t>Manifestó que en septiembre de 1994 mantuvo la segunda entrevista con Rago, en su oficina; e</w:t>
      </w:r>
      <w:r>
        <w:t>s</w:t>
      </w:r>
      <w:r>
        <w:t>taban, además, Ribelli, Bareiro y alguien que se identif</w:t>
      </w:r>
      <w:r>
        <w:t>i</w:t>
      </w:r>
      <w:r>
        <w:t>có como Leal.</w:t>
      </w:r>
    </w:p>
    <w:p w:rsidR="00224567" w:rsidRDefault="00224567">
      <w:pPr>
        <w:widowControl w:val="0"/>
      </w:pPr>
      <w:r>
        <w:tab/>
        <w:t>En un primer momento de su testim</w:t>
      </w:r>
      <w:r>
        <w:t>o</w:t>
      </w:r>
      <w:r>
        <w:t>nial, refirió que no le hicieron ninguna oferta de dinero para declarar y que, en el supuesto de haberla recibido, no lo hubiera aceptado, toda vez que lo único que le i</w:t>
      </w:r>
      <w:r>
        <w:t>n</w:t>
      </w:r>
      <w:r>
        <w:t>teresaba era recuperar su libertad. Sin embargo, luego se contradijo y afirmó que le ofrecieron 100.000 dólares para decl</w:t>
      </w:r>
      <w:r>
        <w:t>a</w:t>
      </w:r>
      <w:r>
        <w:t>rar.</w:t>
      </w:r>
    </w:p>
    <w:p w:rsidR="00224567" w:rsidRDefault="00224567">
      <w:pPr>
        <w:widowControl w:val="0"/>
      </w:pPr>
      <w:r>
        <w:tab/>
        <w:t>Asimismo refirió que en la dependencia policial le dispensaron un trato preferencial por su co</w:t>
      </w:r>
      <w:r>
        <w:t>m</w:t>
      </w:r>
      <w:r>
        <w:t>promiso para desviar el curso de la investigación de la presente causa.</w:t>
      </w:r>
    </w:p>
    <w:p w:rsidR="00224567" w:rsidRDefault="00224567">
      <w:pPr>
        <w:widowControl w:val="0"/>
      </w:pPr>
      <w:r>
        <w:tab/>
        <w:t>Destacó que las declaraciones ante el juzgado fueron fragmentadas porque recogía datos y luego volvía a la cárcel de Caseros, donde mantuvo trato con los policías a través de terceros. Recordó que alrededor de 1995/1996, un alcaide de apellido Romero le aportó datos sobre unos libaneses detenidos en Paraguay para que los involucrara en el atentado. También que lo fue a ver el doctor Víctor Stinfale, quien supuestamente tr</w:t>
      </w:r>
      <w:r>
        <w:t>a</w:t>
      </w:r>
      <w:r>
        <w:t>bajaba para Ribelli, para aportarle información y lo exhortó a que s</w:t>
      </w:r>
      <w:r>
        <w:t>i</w:t>
      </w:r>
      <w:r>
        <w:t>guiera adelante con la distracción de la causa y que, a pesar de estar detenido allí, iba a tener buenas noticias.</w:t>
      </w:r>
    </w:p>
    <w:p w:rsidR="00224567" w:rsidRDefault="00224567">
      <w:pPr>
        <w:widowControl w:val="0"/>
      </w:pPr>
      <w:r>
        <w:tab/>
        <w:t xml:space="preserve">Afirmó que la primera vez que mencionó a Rago, Bareiro, Leal y Ribelli fue ante </w:t>
      </w:r>
      <w:smartTag w:uri="urn:schemas-microsoft-com:office:smarttags" w:element="PersonName">
        <w:smartTagPr>
          <w:attr w:name="ProductID" w:val="la Comisi￳n Bicameral"/>
        </w:smartTagPr>
        <w:r>
          <w:t>la Comisión Bic</w:t>
        </w:r>
        <w:r>
          <w:t>a</w:t>
        </w:r>
        <w:r>
          <w:t>meral</w:t>
        </w:r>
      </w:smartTag>
      <w:r>
        <w:t xml:space="preserve"> en Sierra Chica donde contó la verdad de lo suced</w:t>
      </w:r>
      <w:r>
        <w:t>i</w:t>
      </w:r>
      <w:r>
        <w:t>do.</w:t>
      </w:r>
    </w:p>
    <w:p w:rsidR="00224567" w:rsidRDefault="00224567">
      <w:pPr>
        <w:widowControl w:val="0"/>
      </w:pPr>
      <w:r>
        <w:tab/>
        <w:t>Al ser preguntado negó conocer algo de importancia para la investigación. Consideró que la just</w:t>
      </w:r>
      <w:r>
        <w:t>i</w:t>
      </w:r>
      <w:r>
        <w:t>cia en el país no está en condiciones de garantizarle la integr</w:t>
      </w:r>
      <w:r>
        <w:t>i</w:t>
      </w:r>
      <w:r>
        <w:t>dad física a ningún testigo ya que a él lo mandaron a matar cuatro o cinco veces, sin poder precisar si fue por encargo de R</w:t>
      </w:r>
      <w:r>
        <w:t>i</w:t>
      </w:r>
      <w:r>
        <w:t>belli, Rago, Bareiro o el doctor Galeano. No quiso continuar su declaración y resaltó que le impo</w:t>
      </w:r>
      <w:r>
        <w:t>r</w:t>
      </w:r>
      <w:r>
        <w:t>taba poco si le imputaban la comisión del del</w:t>
      </w:r>
      <w:r>
        <w:t>i</w:t>
      </w:r>
      <w:r>
        <w:t>to de falso testimonio ya que está condenado a reclusión pe</w:t>
      </w:r>
      <w:r>
        <w:t>r</w:t>
      </w:r>
      <w:r>
        <w:t>petua.</w:t>
      </w:r>
    </w:p>
    <w:p w:rsidR="00224567" w:rsidRDefault="00224567">
      <w:pPr>
        <w:pStyle w:val="Ttulo8"/>
        <w:spacing w:line="600" w:lineRule="auto"/>
        <w:rPr>
          <w:b w:val="0"/>
          <w:bCs w:val="0"/>
        </w:rPr>
      </w:pPr>
      <w:r>
        <w:tab/>
      </w:r>
      <w:bookmarkStart w:id="239" w:name="_Toc86732000"/>
      <w:r>
        <w:t>C.2.d.xi.A.4)</w:t>
      </w:r>
      <w:bookmarkStart w:id="240" w:name="_Toc79816946"/>
      <w:r>
        <w:t xml:space="preserve"> </w:t>
      </w:r>
      <w:r>
        <w:rPr>
          <w:b w:val="0"/>
          <w:bCs w:val="0"/>
        </w:rPr>
        <w:t>Hechos probados</w:t>
      </w:r>
      <w:bookmarkEnd w:id="239"/>
      <w:bookmarkEnd w:id="240"/>
      <w:r>
        <w:rPr>
          <w:b w:val="0"/>
          <w:bCs w:val="0"/>
        </w:rPr>
        <w:t>.</w:t>
      </w:r>
    </w:p>
    <w:p w:rsidR="00224567" w:rsidRDefault="00224567">
      <w:pPr>
        <w:widowControl w:val="0"/>
      </w:pPr>
      <w:r>
        <w:tab/>
        <w:t>En la audiencia de debate se pudo acreditar que el 8 de septiembre de 1994 Ramón Emilio S</w:t>
      </w:r>
      <w:r>
        <w:t>o</w:t>
      </w:r>
      <w:r>
        <w:t xml:space="preserve">lari y Raúl Alfredo Benito Levaggi fueron detenidos por personal de </w:t>
      </w:r>
      <w:smartTag w:uri="urn:schemas-microsoft-com:office:smarttags" w:element="PersonName">
        <w:smartTagPr>
          <w:attr w:name="ProductID" w:val="la Polic￭a Federal"/>
        </w:smartTagPr>
        <w:r>
          <w:t>la Policía Federal</w:t>
        </w:r>
      </w:smartTag>
      <w:r>
        <w:t xml:space="preserve"> por la presunta comisión de un tr</w:t>
      </w:r>
      <w:r>
        <w:t>i</w:t>
      </w:r>
      <w:r>
        <w:t>ple homicidio en Benavídez, por el cual luego serían condenados, junto con otros delitos, a la pena de recl</w:t>
      </w:r>
      <w:r>
        <w:t>u</w:t>
      </w:r>
      <w:r>
        <w:t>sión perp</w:t>
      </w:r>
      <w:r>
        <w:t>e</w:t>
      </w:r>
      <w:r>
        <w:t xml:space="preserve">tua (cfr. fs. 1090/1126 de la causa nº 27.011 de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w:smartTagPr>
        <w:r>
          <w:t>la Cámara</w:t>
        </w:r>
      </w:smartTag>
      <w:r>
        <w:t xml:space="preserve"> de Apelaciones en lo Criminal y C</w:t>
      </w:r>
      <w:r>
        <w:t>o</w:t>
      </w:r>
      <w:r>
        <w:t>rreccional del depart</w:t>
      </w:r>
      <w:r>
        <w:t>a</w:t>
      </w:r>
      <w:r>
        <w:t>mento judicial San Martín).</w:t>
      </w:r>
    </w:p>
    <w:p w:rsidR="00224567" w:rsidRDefault="00224567">
      <w:pPr>
        <w:widowControl w:val="0"/>
      </w:pPr>
      <w:r>
        <w:tab/>
        <w:t xml:space="preserve">El 10 del mismo mes fueron alojados en </w:t>
      </w:r>
      <w:smartTag w:uri="urn:schemas-microsoft-com:office:smarttags" w:element="PersonName">
        <w:smartTagPr>
          <w:attr w:name="ProductID" w:val="la Brigada"/>
        </w:smartTagPr>
        <w:r>
          <w:t>la Brigada</w:t>
        </w:r>
      </w:smartTag>
      <w:r>
        <w:t xml:space="preserve"> de Investigaciones de Vicente López. Desde allí, Solari escribió una carta dirigida al embajador de Israel, fechada el 28 de diciembre de ese año, donde afi</w:t>
      </w:r>
      <w:r>
        <w:t>r</w:t>
      </w:r>
      <w:r>
        <w:t xml:space="preserve">mó conocer datos relacionados con los atentados a </w:t>
      </w:r>
      <w:smartTag w:uri="urn:schemas-microsoft-com:office:smarttags" w:element="PersonName">
        <w:smartTagPr>
          <w:attr w:name="ProductID" w:val="la A.M"/>
        </w:smartTagPr>
        <w:r>
          <w:t>la A.M</w:t>
        </w:r>
      </w:smartTag>
      <w:r>
        <w:t xml:space="preserve">.I.A. y a </w:t>
      </w:r>
      <w:smartTag w:uri="urn:schemas-microsoft-com:office:smarttags" w:element="PersonName">
        <w:smartTagPr>
          <w:attr w:name="ProductID" w:val="la Embajada"/>
        </w:smartTagPr>
        <w:r>
          <w:t>la Embajada</w:t>
        </w:r>
      </w:smartTag>
      <w:r>
        <w:t xml:space="preserve"> de Israel. Como consecuencia de ello, S</w:t>
      </w:r>
      <w:r>
        <w:t>o</w:t>
      </w:r>
      <w:r>
        <w:t>lari fue trasladado al Juzgado Federal nº 9, donde declaró en forma espontánea a partir del 20 de enero de 1995 en numerosas oportunidades dando una versión falsa de los s</w:t>
      </w:r>
      <w:r>
        <w:t>u</w:t>
      </w:r>
      <w:r>
        <w:t>cesos.</w:t>
      </w:r>
    </w:p>
    <w:p w:rsidR="00224567" w:rsidRDefault="00224567">
      <w:pPr>
        <w:widowControl w:val="0"/>
      </w:pPr>
      <w:r>
        <w:tab/>
        <w:t>También se ha podido probar en el transcurso del juicio oral que Solari tuvo un comport</w:t>
      </w:r>
      <w:r>
        <w:t>a</w:t>
      </w:r>
      <w:r>
        <w:t xml:space="preserve">miento conflictivo en </w:t>
      </w:r>
      <w:smartTag w:uri="urn:schemas-microsoft-com:office:smarttags" w:element="PersonName">
        <w:smartTagPr>
          <w:attr w:name="ProductID" w:val="la Brigada"/>
        </w:smartTagPr>
        <w:r>
          <w:t>la Brigada</w:t>
        </w:r>
      </w:smartTag>
      <w:r>
        <w:t xml:space="preserve"> de Investigaciones de V</w:t>
      </w:r>
      <w:r>
        <w:t>i</w:t>
      </w:r>
      <w:r>
        <w:t>cente López que i</w:t>
      </w:r>
      <w:r>
        <w:t>n</w:t>
      </w:r>
      <w:r>
        <w:t>cluso motivó que las autoridades de esa dependencia s</w:t>
      </w:r>
      <w:r>
        <w:t>o</w:t>
      </w:r>
      <w:r>
        <w:t>licitaran su urgente traslado.</w:t>
      </w:r>
    </w:p>
    <w:p w:rsidR="00224567" w:rsidRDefault="00224567">
      <w:pPr>
        <w:widowControl w:val="0"/>
      </w:pPr>
      <w:r>
        <w:tab/>
        <w:t>Como ya se dijera, no se acreditó que el nombrado fuera preparado por personal policial para desviar la investig</w:t>
      </w:r>
      <w:r>
        <w:t>a</w:t>
      </w:r>
      <w:r>
        <w:t>ción de la presente causa.</w:t>
      </w:r>
    </w:p>
    <w:p w:rsidR="00224567" w:rsidRDefault="00224567">
      <w:pPr>
        <w:widowControl w:val="0"/>
      </w:pPr>
      <w:r>
        <w:tab/>
        <w:t>Por último, se demostró acabadamente que durante el período que permaneció detenido en la br</w:t>
      </w:r>
      <w:r>
        <w:t>i</w:t>
      </w:r>
      <w:r>
        <w:t>gada, procuró, en forma permanente e inequívoca, que lo trasladasen a una un</w:t>
      </w:r>
      <w:r>
        <w:t>i</w:t>
      </w:r>
      <w:r>
        <w:t>dad penitenciaria federal, razón por la cual cabe concluir que ése fue su objetivo al prese</w:t>
      </w:r>
      <w:r>
        <w:t>n</w:t>
      </w:r>
      <w:r>
        <w:t>tarse al Ju</w:t>
      </w:r>
      <w:r>
        <w:t>z</w:t>
      </w:r>
      <w:r>
        <w:t>gado Federal nº 9 y aportar datos falsos.</w:t>
      </w:r>
    </w:p>
    <w:p w:rsidR="00224567" w:rsidRDefault="00224567">
      <w:pPr>
        <w:widowControl w:val="0"/>
      </w:pPr>
      <w:r>
        <w:tab/>
        <w:t>El hecho, brevemente descripto, con</w:t>
      </w:r>
      <w:r>
        <w:t>s</w:t>
      </w:r>
      <w:r>
        <w:t>tituye el núcleo de las circunstancias que el Tribunal tiene por probadas, las que se trataran en detalle, a co</w:t>
      </w:r>
      <w:r>
        <w:t>n</w:t>
      </w:r>
      <w:r>
        <w:t>tinu</w:t>
      </w:r>
      <w:r>
        <w:t>a</w:t>
      </w:r>
      <w:r>
        <w:t>ción.</w:t>
      </w:r>
    </w:p>
    <w:p w:rsidR="00224567" w:rsidRDefault="00224567">
      <w:pPr>
        <w:pStyle w:val="Ttulo9"/>
        <w:spacing w:line="600" w:lineRule="auto"/>
      </w:pPr>
      <w:r>
        <w:tab/>
      </w:r>
      <w:bookmarkStart w:id="241" w:name="_Toc79816947"/>
      <w:bookmarkStart w:id="242" w:name="_Toc86732001"/>
      <w:r>
        <w:rPr>
          <w:b/>
          <w:bCs/>
        </w:rPr>
        <w:t>C.2.d.xi.A.4.a)</w:t>
      </w:r>
      <w:r>
        <w:t xml:space="preserve"> Detención de Solari. Cómo llega a Vicente L</w:t>
      </w:r>
      <w:r>
        <w:t>ó</w:t>
      </w:r>
      <w:r>
        <w:t>pez.</w:t>
      </w:r>
      <w:bookmarkEnd w:id="241"/>
      <w:bookmarkEnd w:id="242"/>
    </w:p>
    <w:p w:rsidR="00224567" w:rsidRDefault="00224567">
      <w:pPr>
        <w:widowControl w:val="0"/>
      </w:pPr>
      <w:r>
        <w:tab/>
        <w:t xml:space="preserve">Solari y Levaggi fueron detenidos el 8 de septiembre de 1994 en Buenos Aires y posteriormente fueron trasladados a </w:t>
      </w:r>
      <w:smartTag w:uri="urn:schemas-microsoft-com:office:smarttags" w:element="PersonName">
        <w:smartTagPr>
          <w:attr w:name="ProductID" w:val="la Brigada"/>
        </w:smartTagPr>
        <w:r>
          <w:t>la Brigada</w:t>
        </w:r>
      </w:smartTag>
      <w:r>
        <w:t xml:space="preserve"> de Investigaciones de T</w:t>
      </w:r>
      <w:r>
        <w:t>i</w:t>
      </w:r>
      <w:r>
        <w:t>gre.</w:t>
      </w:r>
    </w:p>
    <w:p w:rsidR="00224567" w:rsidRDefault="00224567">
      <w:pPr>
        <w:widowControl w:val="0"/>
      </w:pPr>
      <w:r>
        <w:tab/>
        <w:t>El 10 de septiembre, el Dr. Ezequiel Igarzábal, a cargo del Juzgado en lo Criminal y Correcci</w:t>
      </w:r>
      <w:r>
        <w:t>o</w:t>
      </w:r>
      <w:r>
        <w:t>nal nº 7 del Depa</w:t>
      </w:r>
      <w:r>
        <w:t>r</w:t>
      </w:r>
      <w:r>
        <w:t>tamento Judicial San Isidro, dispuso que se extremen las medidas de seguridad para con los deten</w:t>
      </w:r>
      <w:r>
        <w:t>i</w:t>
      </w:r>
      <w:r>
        <w:t>dos, ai</w:t>
      </w:r>
      <w:r>
        <w:t>s</w:t>
      </w:r>
      <w:r>
        <w:t>lándolos en dependencias de extrema seguridad con control permane</w:t>
      </w:r>
      <w:r>
        <w:t>n</w:t>
      </w:r>
      <w:r>
        <w:t>te en salvaguarda de su integridad física, ello de conformidad a lo manifestado por Solari en su d</w:t>
      </w:r>
      <w:r>
        <w:t>e</w:t>
      </w:r>
      <w:r>
        <w:t>claración indagatoria.(cfr. acta de detención de fs. 139/141, indagatoria de fs. 228/229 y decreto de fs. 234/235 de la causa nº 28.855 del juzgado refer</w:t>
      </w:r>
      <w:r>
        <w:t>i</w:t>
      </w:r>
      <w:r>
        <w:t>do).</w:t>
      </w:r>
    </w:p>
    <w:p w:rsidR="00224567" w:rsidRDefault="00224567">
      <w:pPr>
        <w:widowControl w:val="0"/>
      </w:pPr>
      <w:r>
        <w:tab/>
        <w:t>Ante el requerimiento judicial alud</w:t>
      </w:r>
      <w:r>
        <w:t>i</w:t>
      </w:r>
      <w:r>
        <w:t xml:space="preserve">do, el Comisario Inspector Garello, por entonces a cargo de la dependencia policial de Tigre, consultó a </w:t>
      </w:r>
      <w:smartTag w:uri="urn:schemas-microsoft-com:office:smarttags" w:element="PersonName">
        <w:smartTagPr>
          <w:attr w:name="ProductID" w:val="la Direcci￳n General"/>
        </w:smartTagPr>
        <w:r>
          <w:t>la Dire</w:t>
        </w:r>
        <w:r>
          <w:t>c</w:t>
        </w:r>
        <w:r>
          <w:t>ción General</w:t>
        </w:r>
      </w:smartTag>
      <w:r>
        <w:t xml:space="preserve"> de Inve</w:t>
      </w:r>
      <w:r>
        <w:t>s</w:t>
      </w:r>
      <w:r>
        <w:t xml:space="preserve">tigaciones de </w:t>
      </w:r>
      <w:smartTag w:uri="urn:schemas-microsoft-com:office:smarttags" w:element="PersonName">
        <w:smartTagPr>
          <w:attr w:name="ProductID" w:val="la Polic￭a Bonaerense"/>
        </w:smartTagPr>
        <w:r>
          <w:t>la Policía Bonaerense</w:t>
        </w:r>
      </w:smartTag>
      <w:r>
        <w:t xml:space="preserve"> y se decidió trasladar a los detenidos a </w:t>
      </w:r>
      <w:smartTag w:uri="urn:schemas-microsoft-com:office:smarttags" w:element="PersonName">
        <w:smartTagPr>
          <w:attr w:name="ProductID" w:val="la Brigada"/>
        </w:smartTagPr>
        <w:r>
          <w:t>la Brigada</w:t>
        </w:r>
      </w:smartTag>
      <w:r>
        <w:t xml:space="preserve"> de I</w:t>
      </w:r>
      <w:r>
        <w:t>n</w:t>
      </w:r>
      <w:r>
        <w:t>vestigaciones de Vicente López debido a que contaba con calabozos con las medidas de seguridad apropiadas.</w:t>
      </w:r>
    </w:p>
    <w:p w:rsidR="00224567" w:rsidRDefault="00224567">
      <w:pPr>
        <w:widowControl w:val="0"/>
      </w:pPr>
      <w:r>
        <w:tab/>
        <w:t>Tales asertos encuentran fundamento en lo manife</w:t>
      </w:r>
      <w:r>
        <w:t>s</w:t>
      </w:r>
      <w:r>
        <w:t>tado en la audiencia de debate, entre otros, por los testigos E</w:t>
      </w:r>
      <w:r>
        <w:t>n</w:t>
      </w:r>
      <w:r>
        <w:t xml:space="preserve">rique Carlos Forgione, quien fuera jefe de </w:t>
      </w:r>
      <w:smartTag w:uri="urn:schemas-microsoft-com:office:smarttags" w:element="PersonName">
        <w:smartTagPr>
          <w:attr w:name="ProductID" w:val="la Brigada"/>
        </w:smartTagPr>
        <w:r>
          <w:t>la Brigada</w:t>
        </w:r>
      </w:smartTag>
      <w:r>
        <w:t xml:space="preserve"> de Investigaciones de Vicente López, Miguel Á</w:t>
      </w:r>
      <w:r>
        <w:t>n</w:t>
      </w:r>
      <w:r>
        <w:t>gel Garello y Eladio Alberto Otero, por entonces jefe y segundo jefe, respectivamente de su similar de Tigre; y Rodolfo Fabián Vallejos, Miguel Ángel León, Ignacio José Ojeda y Luis Roa, quienes prestaban funciones en Tigre y fueron comisionados a custodiar detenidos a V</w:t>
      </w:r>
      <w:r>
        <w:t>i</w:t>
      </w:r>
      <w:r>
        <w:t>cente López.</w:t>
      </w:r>
    </w:p>
    <w:p w:rsidR="00224567" w:rsidRDefault="00224567">
      <w:pPr>
        <w:pStyle w:val="Ttulo10"/>
        <w:rPr>
          <w:b w:val="0"/>
          <w:bCs w:val="0"/>
        </w:rPr>
      </w:pPr>
      <w:r>
        <w:tab/>
        <w:t>C.2.d.xi.A.4.a.i)</w:t>
      </w:r>
      <w:bookmarkStart w:id="243" w:name="_Toc79816948"/>
      <w:r>
        <w:t xml:space="preserve"> </w:t>
      </w:r>
      <w:r>
        <w:rPr>
          <w:b w:val="0"/>
          <w:bCs w:val="0"/>
        </w:rPr>
        <w:t>Descripción de los calabozos de Vicente López y su régimen de dete</w:t>
      </w:r>
      <w:r>
        <w:rPr>
          <w:b w:val="0"/>
          <w:bCs w:val="0"/>
        </w:rPr>
        <w:t>n</w:t>
      </w:r>
      <w:r>
        <w:rPr>
          <w:b w:val="0"/>
          <w:bCs w:val="0"/>
        </w:rPr>
        <w:t>ción</w:t>
      </w:r>
      <w:bookmarkEnd w:id="243"/>
      <w:r>
        <w:rPr>
          <w:b w:val="0"/>
          <w:bCs w:val="0"/>
        </w:rPr>
        <w:t>.</w:t>
      </w:r>
    </w:p>
    <w:p w:rsidR="00224567" w:rsidRDefault="00224567">
      <w:pPr>
        <w:widowControl w:val="0"/>
        <w:rPr>
          <w:lang w:val="es-ES_tradnl"/>
        </w:rPr>
      </w:pPr>
      <w:r>
        <w:tab/>
      </w:r>
      <w:r>
        <w:rPr>
          <w:lang w:val="es-ES_tradnl"/>
        </w:rPr>
        <w:t xml:space="preserve">Solari permaneció alojado en </w:t>
      </w:r>
      <w:smartTag w:uri="urn:schemas-microsoft-com:office:smarttags" w:element="PersonName">
        <w:smartTagPr>
          <w:attr w:name="ProductID" w:val="la Brigada"/>
        </w:smartTagPr>
        <w:r>
          <w:rPr>
            <w:lang w:val="es-ES_tradnl"/>
          </w:rPr>
          <w:t>la Brig</w:t>
        </w:r>
        <w:r>
          <w:rPr>
            <w:lang w:val="es-ES_tradnl"/>
          </w:rPr>
          <w:t>a</w:t>
        </w:r>
        <w:r>
          <w:rPr>
            <w:lang w:val="es-ES_tradnl"/>
          </w:rPr>
          <w:t>da</w:t>
        </w:r>
      </w:smartTag>
      <w:r>
        <w:rPr>
          <w:lang w:val="es-ES_tradnl"/>
        </w:rPr>
        <w:t xml:space="preserve"> de Investigaciones de Vicente López desde el 10 de se</w:t>
      </w:r>
      <w:r>
        <w:rPr>
          <w:lang w:val="es-ES_tradnl"/>
        </w:rPr>
        <w:t>p</w:t>
      </w:r>
      <w:r>
        <w:rPr>
          <w:lang w:val="es-ES_tradnl"/>
        </w:rPr>
        <w:t>tie</w:t>
      </w:r>
      <w:r>
        <w:rPr>
          <w:lang w:val="es-ES_tradnl"/>
        </w:rPr>
        <w:t>m</w:t>
      </w:r>
      <w:r>
        <w:rPr>
          <w:lang w:val="es-ES_tradnl"/>
        </w:rPr>
        <w:t>bre de 1994 hasta el 19 de enero de 1995, fecha en la que, por orden del juez Galeano se lo trasladó a una un</w:t>
      </w:r>
      <w:r>
        <w:rPr>
          <w:lang w:val="es-ES_tradnl"/>
        </w:rPr>
        <w:t>i</w:t>
      </w:r>
      <w:r>
        <w:rPr>
          <w:lang w:val="es-ES_tradnl"/>
        </w:rPr>
        <w:t>dad penitenciaria f</w:t>
      </w:r>
      <w:r>
        <w:rPr>
          <w:lang w:val="es-ES_tradnl"/>
        </w:rPr>
        <w:t>e</w:t>
      </w:r>
      <w:r>
        <w:rPr>
          <w:lang w:val="es-ES_tradnl"/>
        </w:rPr>
        <w:t>deral.</w:t>
      </w:r>
    </w:p>
    <w:p w:rsidR="00224567" w:rsidRDefault="00224567">
      <w:pPr>
        <w:widowControl w:val="0"/>
      </w:pPr>
      <w:r>
        <w:rPr>
          <w:lang w:val="es-ES_tradnl"/>
        </w:rPr>
        <w:tab/>
        <w:t>F</w:t>
      </w:r>
      <w:r>
        <w:t>ue alojado en Vicente López para sa</w:t>
      </w:r>
      <w:r>
        <w:t>l</w:t>
      </w:r>
      <w:r>
        <w:t>vaguardar su integridad física y por las medidas de seg</w:t>
      </w:r>
      <w:r>
        <w:t>u</w:t>
      </w:r>
      <w:r>
        <w:t>ridad que ofr</w:t>
      </w:r>
      <w:r>
        <w:t>e</w:t>
      </w:r>
      <w:r>
        <w:t>cían sus calabozos modelo, los que contaban con un acceso limitado, celdas con mirillas, circuito c</w:t>
      </w:r>
      <w:r>
        <w:t>e</w:t>
      </w:r>
      <w:r>
        <w:t>rrado de televisión para control, llamados telefónicos l</w:t>
      </w:r>
      <w:r>
        <w:t>i</w:t>
      </w:r>
      <w:r>
        <w:t>mitados, visitas en locutorios y permanentes requ</w:t>
      </w:r>
      <w:r>
        <w:t>i</w:t>
      </w:r>
      <w:r>
        <w:t>sas.</w:t>
      </w:r>
    </w:p>
    <w:p w:rsidR="00224567" w:rsidRDefault="00224567">
      <w:pPr>
        <w:widowControl w:val="0"/>
      </w:pPr>
      <w:r>
        <w:tab/>
        <w:t>La descripción de los calabozos surge de las fotografías y el plano adjuntados a fs. 1111 del Legajo de Instrucción Suplementaria, del Reglamento I</w:t>
      </w:r>
      <w:r>
        <w:t>n</w:t>
      </w:r>
      <w:r>
        <w:t xml:space="preserve">terno de Detenidos de </w:t>
      </w:r>
      <w:smartTag w:uri="urn:schemas-microsoft-com:office:smarttags" w:element="PersonName">
        <w:smartTagPr>
          <w:attr w:name="ProductID" w:val="la Brigada"/>
        </w:smartTagPr>
        <w:r>
          <w:t>la Brigada</w:t>
        </w:r>
      </w:smartTag>
      <w:r>
        <w:t xml:space="preserve"> de Investigaciones de V</w:t>
      </w:r>
      <w:r>
        <w:t>i</w:t>
      </w:r>
      <w:r>
        <w:t>cente López, como así también de los testigos que depusi</w:t>
      </w:r>
      <w:r>
        <w:t>e</w:t>
      </w:r>
      <w:r>
        <w:t>ron sobre el tema en la audiencia de debate.</w:t>
      </w:r>
    </w:p>
    <w:p w:rsidR="00224567" w:rsidRDefault="00224567">
      <w:pPr>
        <w:pStyle w:val="Ttulo9"/>
        <w:spacing w:line="600" w:lineRule="auto"/>
      </w:pPr>
      <w:r>
        <w:tab/>
      </w:r>
      <w:bookmarkStart w:id="244" w:name="_Toc86732002"/>
      <w:r>
        <w:rPr>
          <w:b/>
          <w:bCs/>
        </w:rPr>
        <w:t>C.2.d.xi.A.4.b)</w:t>
      </w:r>
      <w:bookmarkStart w:id="245" w:name="_Toc79816950"/>
      <w:r>
        <w:t xml:space="preserve"> ¿Cómo llega a declarar al juzgado? Carta al embajador de Israel</w:t>
      </w:r>
      <w:bookmarkEnd w:id="244"/>
      <w:bookmarkEnd w:id="245"/>
      <w:r>
        <w:t>.</w:t>
      </w:r>
    </w:p>
    <w:p w:rsidR="00224567" w:rsidRDefault="00224567">
      <w:pPr>
        <w:widowControl w:val="0"/>
      </w:pPr>
      <w:r>
        <w:tab/>
        <w:t>Desde su lugar de detención, Solari escribió una carta dirigida al Embajador de Israel media</w:t>
      </w:r>
      <w:r>
        <w:t>n</w:t>
      </w:r>
      <w:r>
        <w:t>te la cual afirmó que conocía datos que conducirían a pi</w:t>
      </w:r>
      <w:r>
        <w:t>s</w:t>
      </w:r>
      <w:r>
        <w:t>tas firmes y concretas para detener a las personas invol</w:t>
      </w:r>
      <w:r>
        <w:t>u</w:t>
      </w:r>
      <w:r>
        <w:t xml:space="preserve">cradas en los atentados a </w:t>
      </w:r>
      <w:smartTag w:uri="urn:schemas-microsoft-com:office:smarttags" w:element="PersonName">
        <w:smartTagPr>
          <w:attr w:name="ProductID" w:val="la A.M"/>
        </w:smartTagPr>
        <w:r>
          <w:t>la A.M</w:t>
        </w:r>
      </w:smartTag>
      <w:r>
        <w:t xml:space="preserve">.I.A. y a </w:t>
      </w:r>
      <w:smartTag w:uri="urn:schemas-microsoft-com:office:smarttags" w:element="PersonName">
        <w:smartTagPr>
          <w:attr w:name="ProductID" w:val="la Embajada"/>
        </w:smartTagPr>
        <w:r>
          <w:t>la Embajada</w:t>
        </w:r>
      </w:smartTag>
      <w:r>
        <w:t xml:space="preserve"> de Israel. Sostuvo que no aportó la información al Juzgado en lo Cr</w:t>
      </w:r>
      <w:r>
        <w:t>i</w:t>
      </w:r>
      <w:r>
        <w:t>minal y Correccional Federal nº 9 porque no confiaba en la justicia argentina y porque aparecería “suicidado” en poco tiempo. Expresó que el Embajador le podía garant</w:t>
      </w:r>
      <w:r>
        <w:t>i</w:t>
      </w:r>
      <w:r>
        <w:t>zar su seguridad o, al menos, la de su familia (ver fs. 74.310/74.311).</w:t>
      </w:r>
    </w:p>
    <w:p w:rsidR="00224567" w:rsidRDefault="00224567">
      <w:pPr>
        <w:widowControl w:val="0"/>
      </w:pPr>
      <w:r>
        <w:tab/>
        <w:t>Solari entregó la carta a Rodolfo F</w:t>
      </w:r>
      <w:r>
        <w:t>a</w:t>
      </w:r>
      <w:r>
        <w:t>bián V</w:t>
      </w:r>
      <w:r>
        <w:t>a</w:t>
      </w:r>
      <w:r>
        <w:t xml:space="preserve">llejos, quien, cumpliendo funciones como agente en </w:t>
      </w:r>
      <w:smartTag w:uri="urn:schemas-microsoft-com:office:smarttags" w:element="PersonName">
        <w:smartTagPr>
          <w:attr w:name="ProductID" w:val="la Brigada"/>
        </w:smartTagPr>
        <w:r>
          <w:t>la Brigada</w:t>
        </w:r>
      </w:smartTag>
      <w:r>
        <w:t xml:space="preserve"> de Invest</w:t>
      </w:r>
      <w:r>
        <w:t>i</w:t>
      </w:r>
      <w:r>
        <w:t>gaciones de Tigre, fue trasladado en c</w:t>
      </w:r>
      <w:r>
        <w:t>o</w:t>
      </w:r>
      <w:r>
        <w:t>misión a Vicente López para dar apoyo en la custodia de detenidos. Éste retiró la misiva de la dependencia pol</w:t>
      </w:r>
      <w:r>
        <w:t>i</w:t>
      </w:r>
      <w:r>
        <w:t>cial y se la entregó al comisario Eladio Alberto Otero quien, inmediatame</w:t>
      </w:r>
      <w:r>
        <w:t>n</w:t>
      </w:r>
      <w:r>
        <w:t>te, se la dio al jefe de la brigada de Tigre, comisario inspector Miguel Ángel Garello, ello co</w:t>
      </w:r>
      <w:r>
        <w:t>n</w:t>
      </w:r>
      <w:r>
        <w:t>forme depusieran en la audiencia de juicio los funcion</w:t>
      </w:r>
      <w:r>
        <w:t>a</w:t>
      </w:r>
      <w:r>
        <w:t>rios mencion</w:t>
      </w:r>
      <w:r>
        <w:t>a</w:t>
      </w:r>
      <w:r>
        <w:t>dos.</w:t>
      </w:r>
    </w:p>
    <w:p w:rsidR="00224567" w:rsidRDefault="00224567">
      <w:pPr>
        <w:widowControl w:val="0"/>
      </w:pPr>
      <w:r>
        <w:tab/>
        <w:t>El 9 de enero de 1995 la carta fue llevada por Garello al Dr. Fernando R. Abad, secretario del Juzgado en lo Criminal y Correccional nº 1 del Depa</w:t>
      </w:r>
      <w:r>
        <w:t>r</w:t>
      </w:r>
      <w:r>
        <w:t>tamento Judicial San Is</w:t>
      </w:r>
      <w:r>
        <w:t>i</w:t>
      </w:r>
      <w:r>
        <w:t>dro.</w:t>
      </w:r>
    </w:p>
    <w:p w:rsidR="00224567" w:rsidRDefault="00224567">
      <w:pPr>
        <w:widowControl w:val="0"/>
      </w:pPr>
      <w:r>
        <w:tab/>
        <w:t>Al día siguiente, las actuaciones fu</w:t>
      </w:r>
      <w:r>
        <w:t>e</w:t>
      </w:r>
      <w:r>
        <w:t>ron remitidas por el juez de feria del departamento jud</w:t>
      </w:r>
      <w:r>
        <w:t>i</w:t>
      </w:r>
      <w:r>
        <w:t>cial San Isidro al Juzgado en lo Criminal y Correccional Federal nº 9. Así las cosas, el Dr. Galeano dispuso rec</w:t>
      </w:r>
      <w:r>
        <w:t>i</w:t>
      </w:r>
      <w:r>
        <w:t>bir declaración testimonial a Ramón Emilio Solari (cfr. fs. 74.310/74.318).</w:t>
      </w:r>
    </w:p>
    <w:p w:rsidR="00224567" w:rsidRDefault="00224567">
      <w:pPr>
        <w:widowControl w:val="0"/>
      </w:pPr>
      <w:r>
        <w:tab/>
        <w:t>El 20 de enero de 1995, el Dr. Galeano trató con Solari los aspectos sobre los cuales declararía y, luego de ello dejó sin efecto la declaración testim</w:t>
      </w:r>
      <w:r>
        <w:t>o</w:t>
      </w:r>
      <w:r>
        <w:t>nial ordenada y lo escuchó conforme lo normado por el a</w:t>
      </w:r>
      <w:r>
        <w:t>r</w:t>
      </w:r>
      <w:r>
        <w:t>tículo 73 del Código Procesal P</w:t>
      </w:r>
      <w:r>
        <w:t>e</w:t>
      </w:r>
      <w:r>
        <w:t>nal.</w:t>
      </w:r>
    </w:p>
    <w:p w:rsidR="00224567" w:rsidRDefault="00224567">
      <w:pPr>
        <w:widowControl w:val="0"/>
      </w:pPr>
      <w:r>
        <w:tab/>
        <w:t>Solari construyó su versión de los h</w:t>
      </w:r>
      <w:r>
        <w:t>e</w:t>
      </w:r>
      <w:r>
        <w:t>chos en base a las declaraciones espontáneas que prestó entre enero y ma</w:t>
      </w:r>
      <w:r>
        <w:t>r</w:t>
      </w:r>
      <w:r>
        <w:t>zo de 1995.</w:t>
      </w:r>
    </w:p>
    <w:p w:rsidR="00224567" w:rsidRDefault="00224567">
      <w:pPr>
        <w:widowControl w:val="0"/>
      </w:pPr>
      <w:r>
        <w:tab/>
        <w:t>Actualmente, no se encuentra contr</w:t>
      </w:r>
      <w:r>
        <w:t>o</w:t>
      </w:r>
      <w:r>
        <w:t>vertido que Solari mi</w:t>
      </w:r>
      <w:r>
        <w:t>n</w:t>
      </w:r>
      <w:r>
        <w:t>tió al afirmar que tenía algún tipo de participación en el atentado o que conocía a algún gr</w:t>
      </w:r>
      <w:r>
        <w:t>u</w:t>
      </w:r>
      <w:r>
        <w:t>po rel</w:t>
      </w:r>
      <w:r>
        <w:t>a</w:t>
      </w:r>
      <w:r>
        <w:t>cionado con éste. Es más, el 26 de febrero de 2003 fue sobreseído en orden a los hechos por los cuales fue inte</w:t>
      </w:r>
      <w:r>
        <w:t>r</w:t>
      </w:r>
      <w:r>
        <w:t>rogado (cfr. fs. 103.092/103.104).</w:t>
      </w:r>
    </w:p>
    <w:p w:rsidR="00224567" w:rsidRDefault="00224567">
      <w:pPr>
        <w:pStyle w:val="Ttulo9"/>
        <w:spacing w:line="600" w:lineRule="auto"/>
      </w:pPr>
      <w:r>
        <w:tab/>
      </w:r>
      <w:bookmarkStart w:id="246" w:name="_Toc86732003"/>
      <w:r>
        <w:rPr>
          <w:b/>
          <w:bCs/>
        </w:rPr>
        <w:t>C.2.d.xi.A.4.c)</w:t>
      </w:r>
      <w:bookmarkStart w:id="247" w:name="_Toc79816951"/>
      <w:r>
        <w:t xml:space="preserve"> Comportamiento y pe</w:t>
      </w:r>
      <w:r>
        <w:t>r</w:t>
      </w:r>
      <w:r>
        <w:t>sonalidad de Sol</w:t>
      </w:r>
      <w:r>
        <w:t>a</w:t>
      </w:r>
      <w:r>
        <w:t>ri</w:t>
      </w:r>
      <w:bookmarkEnd w:id="246"/>
      <w:bookmarkEnd w:id="247"/>
      <w:r>
        <w:t>.</w:t>
      </w:r>
    </w:p>
    <w:p w:rsidR="00224567" w:rsidRDefault="00224567">
      <w:pPr>
        <w:pStyle w:val="Ttulo10"/>
        <w:rPr>
          <w:b w:val="0"/>
          <w:bCs w:val="0"/>
        </w:rPr>
      </w:pPr>
      <w:r>
        <w:tab/>
      </w:r>
      <w:bookmarkStart w:id="248" w:name="_Toc79816952"/>
      <w:r>
        <w:t xml:space="preserve">C.2.d.xi.A.4.c.i) </w:t>
      </w:r>
      <w:r>
        <w:rPr>
          <w:b w:val="0"/>
          <w:bCs w:val="0"/>
        </w:rPr>
        <w:t>Prueba testimonial</w:t>
      </w:r>
      <w:bookmarkEnd w:id="248"/>
      <w:r>
        <w:rPr>
          <w:b w:val="0"/>
          <w:bCs w:val="0"/>
        </w:rPr>
        <w:t xml:space="preserve"> y documental.</w:t>
      </w:r>
    </w:p>
    <w:p w:rsidR="00224567" w:rsidRDefault="00224567">
      <w:pPr>
        <w:widowControl w:val="0"/>
        <w:rPr>
          <w:lang w:val="es-ES_tradnl"/>
        </w:rPr>
      </w:pPr>
      <w:r>
        <w:tab/>
      </w:r>
      <w:r>
        <w:rPr>
          <w:lang w:val="es-ES_tradnl"/>
        </w:rPr>
        <w:t>Los acusadores sostuvieron que mie</w:t>
      </w:r>
      <w:r>
        <w:rPr>
          <w:lang w:val="es-ES_tradnl"/>
        </w:rPr>
        <w:t>n</w:t>
      </w:r>
      <w:r>
        <w:rPr>
          <w:lang w:val="es-ES_tradnl"/>
        </w:rPr>
        <w:t xml:space="preserve">tras Solari era preparado para desviar la causa en </w:t>
      </w:r>
      <w:smartTag w:uri="urn:schemas-microsoft-com:office:smarttags" w:element="PersonName">
        <w:smartTagPr>
          <w:attr w:name="ProductID" w:val="la Brigada"/>
        </w:smartTagPr>
        <w:r>
          <w:rPr>
            <w:lang w:val="es-ES_tradnl"/>
          </w:rPr>
          <w:t>la Br</w:t>
        </w:r>
        <w:r>
          <w:rPr>
            <w:lang w:val="es-ES_tradnl"/>
          </w:rPr>
          <w:t>i</w:t>
        </w:r>
        <w:r>
          <w:rPr>
            <w:lang w:val="es-ES_tradnl"/>
          </w:rPr>
          <w:t>gada</w:t>
        </w:r>
      </w:smartTag>
      <w:r>
        <w:rPr>
          <w:lang w:val="es-ES_tradnl"/>
        </w:rPr>
        <w:t xml:space="preserve"> de Investigaciones de Vicente López, recibió un tr</w:t>
      </w:r>
      <w:r>
        <w:rPr>
          <w:lang w:val="es-ES_tradnl"/>
        </w:rPr>
        <w:t>a</w:t>
      </w:r>
      <w:r>
        <w:rPr>
          <w:lang w:val="es-ES_tradnl"/>
        </w:rPr>
        <w:t>tamiento preferencial como parte del acuerdo con los pol</w:t>
      </w:r>
      <w:r>
        <w:rPr>
          <w:lang w:val="es-ES_tradnl"/>
        </w:rPr>
        <w:t>i</w:t>
      </w:r>
      <w:r>
        <w:rPr>
          <w:lang w:val="es-ES_tradnl"/>
        </w:rPr>
        <w:t>cías bonaerenses. Sin embargo, e</w:t>
      </w:r>
      <w:r>
        <w:rPr>
          <w:lang w:val="es-ES_tradnl"/>
        </w:rPr>
        <w:t>s</w:t>
      </w:r>
      <w:r>
        <w:rPr>
          <w:lang w:val="es-ES_tradnl"/>
        </w:rPr>
        <w:t>to no es así.</w:t>
      </w:r>
    </w:p>
    <w:p w:rsidR="00224567" w:rsidRDefault="00224567">
      <w:pPr>
        <w:widowControl w:val="0"/>
        <w:rPr>
          <w:lang w:val="es-ES_tradnl"/>
        </w:rPr>
      </w:pPr>
      <w:r>
        <w:rPr>
          <w:lang w:val="es-ES_tradnl"/>
        </w:rPr>
        <w:tab/>
        <w:t>En efecto, no se acreditó en autos que Solari fuera privilegiado en su lugar de detención, sino que por su conducta problemática tuvo un trato por mome</w:t>
      </w:r>
      <w:r>
        <w:rPr>
          <w:lang w:val="es-ES_tradnl"/>
        </w:rPr>
        <w:t>n</w:t>
      </w:r>
      <w:r>
        <w:rPr>
          <w:lang w:val="es-ES_tradnl"/>
        </w:rPr>
        <w:t>tos dif</w:t>
      </w:r>
      <w:r>
        <w:rPr>
          <w:lang w:val="es-ES_tradnl"/>
        </w:rPr>
        <w:t>e</w:t>
      </w:r>
      <w:r>
        <w:rPr>
          <w:lang w:val="es-ES_tradnl"/>
        </w:rPr>
        <w:t>renciado del resto de la población penal.</w:t>
      </w:r>
    </w:p>
    <w:p w:rsidR="00224567" w:rsidRDefault="00224567">
      <w:pPr>
        <w:widowControl w:val="0"/>
        <w:rPr>
          <w:lang w:val="es-ES_tradnl"/>
        </w:rPr>
      </w:pPr>
      <w:r>
        <w:rPr>
          <w:lang w:val="es-ES_tradnl"/>
        </w:rPr>
        <w:tab/>
        <w:t>En cuanto a su personalidad, el Trib</w:t>
      </w:r>
      <w:r>
        <w:rPr>
          <w:lang w:val="es-ES_tradnl"/>
        </w:rPr>
        <w:t>u</w:t>
      </w:r>
      <w:r>
        <w:rPr>
          <w:lang w:val="es-ES_tradnl"/>
        </w:rPr>
        <w:t>nal tiene por acred</w:t>
      </w:r>
      <w:r>
        <w:rPr>
          <w:lang w:val="es-ES_tradnl"/>
        </w:rPr>
        <w:t>i</w:t>
      </w:r>
      <w:r>
        <w:rPr>
          <w:lang w:val="es-ES_tradnl"/>
        </w:rPr>
        <w:t>tado que Solari tuvo un comportamiento conflictivo y violento, que fue condenado por hechos sum</w:t>
      </w:r>
      <w:r>
        <w:rPr>
          <w:lang w:val="es-ES_tradnl"/>
        </w:rPr>
        <w:t>a</w:t>
      </w:r>
      <w:r>
        <w:rPr>
          <w:lang w:val="es-ES_tradnl"/>
        </w:rPr>
        <w:t>mente graves, y es un fabulador y manipulador, todo lo que compromete seriamente su credibilidad. Para lograr su traslado a una unidad penitenciaria federal no vaciló en armar una historia, presentarla ante el juzgado instructor y, luego al descubrirse el engaño, ideó otra trama igual de falsa para permanecer alojado en el á</w:t>
      </w:r>
      <w:r>
        <w:rPr>
          <w:lang w:val="es-ES_tradnl"/>
        </w:rPr>
        <w:t>m</w:t>
      </w:r>
      <w:r>
        <w:rPr>
          <w:lang w:val="es-ES_tradnl"/>
        </w:rPr>
        <w:t>bito federal.</w:t>
      </w:r>
    </w:p>
    <w:p w:rsidR="00224567" w:rsidRDefault="00224567">
      <w:pPr>
        <w:widowControl w:val="0"/>
        <w:rPr>
          <w:lang w:val="es-ES_tradnl"/>
        </w:rPr>
      </w:pPr>
      <w:r>
        <w:rPr>
          <w:lang w:val="es-ES_tradnl"/>
        </w:rPr>
        <w:tab/>
        <w:t>Ello encuentra fundamento en las d</w:t>
      </w:r>
      <w:r>
        <w:rPr>
          <w:lang w:val="es-ES_tradnl"/>
        </w:rPr>
        <w:t>e</w:t>
      </w:r>
      <w:r>
        <w:rPr>
          <w:lang w:val="es-ES_tradnl"/>
        </w:rPr>
        <w:t>claraciones testimoniales rendidas en el curso de la a</w:t>
      </w:r>
      <w:r>
        <w:rPr>
          <w:lang w:val="es-ES_tradnl"/>
        </w:rPr>
        <w:t>u</w:t>
      </w:r>
      <w:r>
        <w:rPr>
          <w:lang w:val="es-ES_tradnl"/>
        </w:rPr>
        <w:t>diencia por los policías Enrique Carlos Forgione, José N</w:t>
      </w:r>
      <w:r>
        <w:rPr>
          <w:lang w:val="es-ES_tradnl"/>
        </w:rPr>
        <w:t>i</w:t>
      </w:r>
      <w:r>
        <w:rPr>
          <w:lang w:val="es-ES_tradnl"/>
        </w:rPr>
        <w:t>colás Balbi, Carlos Nereo Cacho, Daniel Nicolás Lencina, Rubén Edgardo Marcell, Miguel Ángel León, Ignacio José Ojeda, Guillermo José Sánchez, José Aurelio Ferrari y M</w:t>
      </w:r>
      <w:r>
        <w:rPr>
          <w:lang w:val="es-ES_tradnl"/>
        </w:rPr>
        <w:t>i</w:t>
      </w:r>
      <w:r>
        <w:rPr>
          <w:lang w:val="es-ES_tradnl"/>
        </w:rPr>
        <w:t>guel Ángel Garello, el médico policial Ricardo Mariano G</w:t>
      </w:r>
      <w:r>
        <w:rPr>
          <w:lang w:val="es-ES_tradnl"/>
        </w:rPr>
        <w:t>ó</w:t>
      </w:r>
      <w:r>
        <w:rPr>
          <w:lang w:val="es-ES_tradnl"/>
        </w:rPr>
        <w:t>mez, la doctora Graciela Rita Bernal, el detenido Luis Carlos Derruvo -que se alojara junto con Solari en V</w:t>
      </w:r>
      <w:r>
        <w:rPr>
          <w:lang w:val="es-ES_tradnl"/>
        </w:rPr>
        <w:t>i</w:t>
      </w:r>
      <w:r>
        <w:rPr>
          <w:lang w:val="es-ES_tradnl"/>
        </w:rPr>
        <w:t>cente López- y los funcionarios del Servicio Penitenciario B</w:t>
      </w:r>
      <w:r>
        <w:rPr>
          <w:lang w:val="es-ES_tradnl"/>
        </w:rPr>
        <w:t>o</w:t>
      </w:r>
      <w:r>
        <w:rPr>
          <w:lang w:val="es-ES_tradnl"/>
        </w:rPr>
        <w:t>naerense Carlos Alberto B</w:t>
      </w:r>
      <w:r>
        <w:rPr>
          <w:lang w:val="es-ES_tradnl"/>
        </w:rPr>
        <w:t>a</w:t>
      </w:r>
      <w:r>
        <w:rPr>
          <w:lang w:val="es-ES_tradnl"/>
        </w:rPr>
        <w:t>rrios y Carlos Raúl Falcone.</w:t>
      </w:r>
    </w:p>
    <w:p w:rsidR="00224567" w:rsidRDefault="00224567">
      <w:pPr>
        <w:widowControl w:val="0"/>
      </w:pPr>
      <w:r>
        <w:rPr>
          <w:lang w:val="es-ES_tradnl"/>
        </w:rPr>
        <w:tab/>
      </w:r>
      <w:r>
        <w:t>En particular cabe destacar, el test</w:t>
      </w:r>
      <w:r>
        <w:t>i</w:t>
      </w:r>
      <w:r>
        <w:t>monio rendido por la doctora Bernal, quien fuera defensora de Solari. Ella señaló que el nombrado no le daba la ve</w:t>
      </w:r>
      <w:r>
        <w:t>r</w:t>
      </w:r>
      <w:r>
        <w:t>dadera imagen de sí mismo, ya que se mostraba como una persona solidaria y bondadosa pero con los demás era muy agresivo. Cree que era un psicópata que no merecía ni</w:t>
      </w:r>
      <w:r>
        <w:t>n</w:t>
      </w:r>
      <w:r>
        <w:t>guna credibil</w:t>
      </w:r>
      <w:r>
        <w:t>i</w:t>
      </w:r>
      <w:r>
        <w:t>dad, que para la época en que tuvo una visita de contacto –fuera de los locutorios- le generó mucho temor y quería que le revocara su designación como defensora. Agregó que no quería renunciar por temor a su reacción ya que le parecía que era una persona que dispuesta a cua</w:t>
      </w:r>
      <w:r>
        <w:t>l</w:t>
      </w:r>
      <w:r>
        <w:t>quier cosa y no descartaba que pudiera i</w:t>
      </w:r>
      <w:r>
        <w:t>n</w:t>
      </w:r>
      <w:r>
        <w:t>tentar una fuga. De tal modo, con una estrategia psicológica fue logrando que con el tiempo le revocara su designación.</w:t>
      </w:r>
    </w:p>
    <w:p w:rsidR="00224567" w:rsidRDefault="00224567">
      <w:pPr>
        <w:widowControl w:val="0"/>
      </w:pPr>
      <w:r>
        <w:tab/>
        <w:t>Contó que al volver de vacaciones en 1995 vio a Solari en el Juzgado Federal nº 9, quien le c</w:t>
      </w:r>
      <w:r>
        <w:t>o</w:t>
      </w:r>
      <w:r>
        <w:t>mentó que había envi</w:t>
      </w:r>
      <w:r>
        <w:t>a</w:t>
      </w:r>
      <w:r>
        <w:t>do una carta y, al preguntarle por su vinculación con la causa, se empezó a reír y no le dio m</w:t>
      </w:r>
      <w:r>
        <w:t>a</w:t>
      </w:r>
      <w:r>
        <w:t>yores e</w:t>
      </w:r>
      <w:r>
        <w:t>x</w:t>
      </w:r>
      <w:r>
        <w:t>plicaciones.</w:t>
      </w:r>
    </w:p>
    <w:p w:rsidR="00224567" w:rsidRDefault="00224567">
      <w:pPr>
        <w:widowControl w:val="0"/>
        <w:rPr>
          <w:lang w:val="es-ES_tradnl"/>
        </w:rPr>
      </w:pPr>
      <w:r>
        <w:tab/>
      </w:r>
      <w:r>
        <w:rPr>
          <w:lang w:val="es-ES_tradnl"/>
        </w:rPr>
        <w:t>Sobre el tema, existe también abunda</w:t>
      </w:r>
      <w:r>
        <w:rPr>
          <w:lang w:val="es-ES_tradnl"/>
        </w:rPr>
        <w:t>n</w:t>
      </w:r>
      <w:r>
        <w:rPr>
          <w:lang w:val="es-ES_tradnl"/>
        </w:rPr>
        <w:t>te prueba docume</w:t>
      </w:r>
      <w:r>
        <w:rPr>
          <w:lang w:val="es-ES_tradnl"/>
        </w:rPr>
        <w:t>n</w:t>
      </w:r>
      <w:r>
        <w:rPr>
          <w:lang w:val="es-ES_tradnl"/>
        </w:rPr>
        <w:t>tal. Así, resulta por demás demostrativo el escr</w:t>
      </w:r>
      <w:r>
        <w:rPr>
          <w:lang w:val="es-ES_tradnl"/>
        </w:rPr>
        <w:t>i</w:t>
      </w:r>
      <w:r>
        <w:rPr>
          <w:lang w:val="es-ES_tradnl"/>
        </w:rPr>
        <w:t xml:space="preserve">to del 24 de septiembre de 1994, donde </w:t>
      </w:r>
      <w:smartTag w:uri="urn:schemas-microsoft-com:office:smarttags" w:element="PersonName">
        <w:smartTagPr>
          <w:attr w:name="ProductID" w:val="la Brigada"/>
        </w:smartTagPr>
        <w:r>
          <w:rPr>
            <w:lang w:val="es-ES_tradnl"/>
          </w:rPr>
          <w:t>la Brigada</w:t>
        </w:r>
      </w:smartTag>
      <w:r>
        <w:rPr>
          <w:lang w:val="es-ES_tradnl"/>
        </w:rPr>
        <w:t xml:space="preserve"> de Invest</w:t>
      </w:r>
      <w:r>
        <w:rPr>
          <w:lang w:val="es-ES_tradnl"/>
        </w:rPr>
        <w:t>i</w:t>
      </w:r>
      <w:r>
        <w:rPr>
          <w:lang w:val="es-ES_tradnl"/>
        </w:rPr>
        <w:t>gaciones de Vicente López solicitó al Juzgado en lo Criminal y Corre</w:t>
      </w:r>
      <w:r>
        <w:rPr>
          <w:lang w:val="es-ES_tradnl"/>
        </w:rPr>
        <w:t>c</w:t>
      </w:r>
      <w:r>
        <w:rPr>
          <w:lang w:val="es-ES_tradnl"/>
        </w:rPr>
        <w:t>cional nº 7 del departamento judicial San Isidro, el urgente traslado de Solari a una unidad carcelaria. Fundó su petición en el mal concepto del det</w:t>
      </w:r>
      <w:r>
        <w:rPr>
          <w:lang w:val="es-ES_tradnl"/>
        </w:rPr>
        <w:t>e</w:t>
      </w:r>
      <w:r>
        <w:rPr>
          <w:lang w:val="es-ES_tradnl"/>
        </w:rPr>
        <w:t>nido por su comportamiento en los calabozos, ya que se n</w:t>
      </w:r>
      <w:r>
        <w:rPr>
          <w:lang w:val="es-ES_tradnl"/>
        </w:rPr>
        <w:t>e</w:t>
      </w:r>
      <w:r>
        <w:rPr>
          <w:lang w:val="es-ES_tradnl"/>
        </w:rPr>
        <w:t>gaba a las requisas correspondientes e instigaba al resto de los detenidos a toda clase de faltas al reglamento (cfr. fs. 681 de la causa nº 28.855).</w:t>
      </w:r>
    </w:p>
    <w:p w:rsidR="00224567" w:rsidRDefault="00224567">
      <w:pPr>
        <w:widowControl w:val="0"/>
        <w:rPr>
          <w:lang w:val="es-ES_tradnl"/>
        </w:rPr>
      </w:pPr>
      <w:r>
        <w:rPr>
          <w:lang w:val="es-ES_tradnl"/>
        </w:rPr>
        <w:tab/>
        <w:t>La personalidad de Solari se encuentra plenamente descripta en el informe suscripto por las l</w:t>
      </w:r>
      <w:r>
        <w:rPr>
          <w:lang w:val="es-ES_tradnl"/>
        </w:rPr>
        <w:t>i</w:t>
      </w:r>
      <w:r>
        <w:rPr>
          <w:lang w:val="es-ES_tradnl"/>
        </w:rPr>
        <w:t>cenciadas en psicología Nora Legarto y María Leticia H</w:t>
      </w:r>
      <w:r>
        <w:rPr>
          <w:lang w:val="es-ES_tradnl"/>
        </w:rPr>
        <w:t>e</w:t>
      </w:r>
      <w:r>
        <w:rPr>
          <w:lang w:val="es-ES_tradnl"/>
        </w:rPr>
        <w:t xml:space="preserve">rrero el 10 de octubre de 2000 en </w:t>
      </w:r>
      <w:smartTag w:uri="urn:schemas-microsoft-com:office:smarttags" w:element="PersonName">
        <w:smartTagPr>
          <w:attr w:name="ProductID" w:val="la Unidad"/>
        </w:smartTagPr>
        <w:r>
          <w:rPr>
            <w:lang w:val="es-ES_tradnl"/>
          </w:rPr>
          <w:t>la Unidad</w:t>
        </w:r>
      </w:smartTag>
      <w:r>
        <w:rPr>
          <w:lang w:val="es-ES_tradnl"/>
        </w:rPr>
        <w:t xml:space="preserve"> nº 9 de </w:t>
      </w:r>
      <w:smartTag w:uri="urn:schemas-microsoft-com:office:smarttags" w:element="PersonName">
        <w:smartTagPr>
          <w:attr w:name="ProductID" w:val="La Plata. All￭"/>
        </w:smartTagPr>
        <w:r>
          <w:rPr>
            <w:lang w:val="es-ES_tradnl"/>
          </w:rPr>
          <w:t>La Plata. Allí</w:t>
        </w:r>
      </w:smartTag>
      <w:r>
        <w:rPr>
          <w:lang w:val="es-ES_tradnl"/>
        </w:rPr>
        <w:t xml:space="preserve"> afirmaron que “se aprecia un funcionamiento de tipo psicopático y que en su relación con los demás pred</w:t>
      </w:r>
      <w:r>
        <w:rPr>
          <w:lang w:val="es-ES_tradnl"/>
        </w:rPr>
        <w:t>o</w:t>
      </w:r>
      <w:r>
        <w:rPr>
          <w:lang w:val="es-ES_tradnl"/>
        </w:rPr>
        <w:t>minan mecanismos de inducción y manipulación”. Por tales consideraciones aco</w:t>
      </w:r>
      <w:r>
        <w:rPr>
          <w:lang w:val="es-ES_tradnl"/>
        </w:rPr>
        <w:t>n</w:t>
      </w:r>
      <w:r>
        <w:rPr>
          <w:lang w:val="es-ES_tradnl"/>
        </w:rPr>
        <w:t>sejan que se lo aloje bajo un régimen de mayor segur</w:t>
      </w:r>
      <w:r>
        <w:rPr>
          <w:lang w:val="es-ES_tradnl"/>
        </w:rPr>
        <w:t>i</w:t>
      </w:r>
      <w:r>
        <w:rPr>
          <w:lang w:val="es-ES_tradnl"/>
        </w:rPr>
        <w:t>dad (ver fs. 79.875).</w:t>
      </w:r>
    </w:p>
    <w:p w:rsidR="00224567" w:rsidRDefault="00224567">
      <w:pPr>
        <w:widowControl w:val="0"/>
        <w:rPr>
          <w:lang w:val="es-ES_tradnl"/>
        </w:rPr>
      </w:pPr>
      <w:r>
        <w:rPr>
          <w:lang w:val="es-ES_tradnl"/>
        </w:rPr>
        <w:tab/>
        <w:t>El 10 de octubre de 2000 en el Informe del Grupo de Admisión y seguimiento, se concluye que “La conducta antisocial desplegada incluye además, una agres</w:t>
      </w:r>
      <w:r>
        <w:rPr>
          <w:lang w:val="es-ES_tradnl"/>
        </w:rPr>
        <w:t>i</w:t>
      </w:r>
      <w:r>
        <w:rPr>
          <w:lang w:val="es-ES_tradnl"/>
        </w:rPr>
        <w:t>vidad destruct</w:t>
      </w:r>
      <w:r>
        <w:rPr>
          <w:lang w:val="es-ES_tradnl"/>
        </w:rPr>
        <w:t>i</w:t>
      </w:r>
      <w:r>
        <w:rPr>
          <w:lang w:val="es-ES_tradnl"/>
        </w:rPr>
        <w:t>va ante la que incluso después de enfrentar las consecuencias de la misma, no se produce ningún ca</w:t>
      </w:r>
      <w:r>
        <w:rPr>
          <w:lang w:val="es-ES_tradnl"/>
        </w:rPr>
        <w:t>m</w:t>
      </w:r>
      <w:r>
        <w:rPr>
          <w:lang w:val="es-ES_tradnl"/>
        </w:rPr>
        <w:t>bio. Por el contrario, son marcadas sus tendencias a la manipulación, a la mentira y a la racion</w:t>
      </w:r>
      <w:r>
        <w:rPr>
          <w:lang w:val="es-ES_tradnl"/>
        </w:rPr>
        <w:t>a</w:t>
      </w:r>
      <w:r>
        <w:rPr>
          <w:lang w:val="es-ES_tradnl"/>
        </w:rPr>
        <w:t>lización endeble” (ver fs. 79.876).</w:t>
      </w:r>
    </w:p>
    <w:p w:rsidR="00224567" w:rsidRDefault="00224567">
      <w:pPr>
        <w:pStyle w:val="Ttulo10"/>
      </w:pPr>
      <w:r>
        <w:rPr>
          <w:lang w:val="es-ES_tradnl"/>
        </w:rPr>
        <w:tab/>
      </w:r>
      <w:r>
        <w:t>C.2.d.xi.A.4.c.ii)</w:t>
      </w:r>
      <w:r>
        <w:rPr>
          <w:b w:val="0"/>
          <w:bCs w:val="0"/>
        </w:rPr>
        <w:t xml:space="preserve"> Arbitraria valor</w:t>
      </w:r>
      <w:r>
        <w:rPr>
          <w:b w:val="0"/>
          <w:bCs w:val="0"/>
        </w:rPr>
        <w:t>a</w:t>
      </w:r>
      <w:r>
        <w:rPr>
          <w:b w:val="0"/>
          <w:bCs w:val="0"/>
        </w:rPr>
        <w:t>ción de los acusad</w:t>
      </w:r>
      <w:r>
        <w:rPr>
          <w:b w:val="0"/>
          <w:bCs w:val="0"/>
        </w:rPr>
        <w:t>o</w:t>
      </w:r>
      <w:r>
        <w:rPr>
          <w:b w:val="0"/>
          <w:bCs w:val="0"/>
        </w:rPr>
        <w:t>res.</w:t>
      </w:r>
    </w:p>
    <w:p w:rsidR="00224567" w:rsidRDefault="00224567">
      <w:pPr>
        <w:widowControl w:val="0"/>
        <w:rPr>
          <w:lang w:val="es-ES_tradnl"/>
        </w:rPr>
      </w:pPr>
      <w:r>
        <w:tab/>
      </w:r>
      <w:r>
        <w:rPr>
          <w:lang w:val="es-ES_tradnl"/>
        </w:rPr>
        <w:t xml:space="preserve">El Fiscal General, Dr. Nisman, sostuvo que Solari no tuvo un comportamiento conflictivo en </w:t>
      </w:r>
      <w:smartTag w:uri="urn:schemas-microsoft-com:office:smarttags" w:element="PersonName">
        <w:smartTagPr>
          <w:attr w:name="ProductID" w:val="la Brigada"/>
        </w:smartTagPr>
        <w:r>
          <w:rPr>
            <w:lang w:val="es-ES_tradnl"/>
          </w:rPr>
          <w:t>la Brigada</w:t>
        </w:r>
      </w:smartTag>
      <w:r>
        <w:rPr>
          <w:lang w:val="es-ES_tradnl"/>
        </w:rPr>
        <w:t xml:space="preserve"> de Investig</w:t>
      </w:r>
      <w:r>
        <w:rPr>
          <w:lang w:val="es-ES_tradnl"/>
        </w:rPr>
        <w:t>a</w:t>
      </w:r>
      <w:r>
        <w:rPr>
          <w:lang w:val="es-ES_tradnl"/>
        </w:rPr>
        <w:t>ciones de Vicente López sino que, por el contr</w:t>
      </w:r>
      <w:r>
        <w:rPr>
          <w:lang w:val="es-ES_tradnl"/>
        </w:rPr>
        <w:t>a</w:t>
      </w:r>
      <w:r>
        <w:rPr>
          <w:lang w:val="es-ES_tradnl"/>
        </w:rPr>
        <w:t>rio, su conducta fue normal. Fundó su afirmación en los dichos de Luis Roa, Ignacio Ojeda y José Aurelio Ferr</w:t>
      </w:r>
      <w:r>
        <w:rPr>
          <w:lang w:val="es-ES_tradnl"/>
        </w:rPr>
        <w:t>a</w:t>
      </w:r>
      <w:r>
        <w:rPr>
          <w:lang w:val="es-ES_tradnl"/>
        </w:rPr>
        <w:t>ri.</w:t>
      </w:r>
    </w:p>
    <w:p w:rsidR="00224567" w:rsidRDefault="00224567">
      <w:pPr>
        <w:widowControl w:val="0"/>
        <w:rPr>
          <w:lang w:val="es-ES_tradnl"/>
        </w:rPr>
      </w:pPr>
      <w:r>
        <w:rPr>
          <w:lang w:val="es-ES_tradnl"/>
        </w:rPr>
        <w:tab/>
        <w:t>El representante del Estado, realizó una valoración pa</w:t>
      </w:r>
      <w:r>
        <w:rPr>
          <w:lang w:val="es-ES_tradnl"/>
        </w:rPr>
        <w:t>r</w:t>
      </w:r>
      <w:r>
        <w:rPr>
          <w:lang w:val="es-ES_tradnl"/>
        </w:rPr>
        <w:t>cial y arbitraria de la prueba colectada en autos. En efecto, lo afirmado por estos testigos con relación a Solari contradice el resto de la prueba test</w:t>
      </w:r>
      <w:r>
        <w:rPr>
          <w:lang w:val="es-ES_tradnl"/>
        </w:rPr>
        <w:t>i</w:t>
      </w:r>
      <w:r>
        <w:rPr>
          <w:lang w:val="es-ES_tradnl"/>
        </w:rPr>
        <w:t>monial y documental incorporada al debate. Ello tiene su razón de ser.</w:t>
      </w:r>
    </w:p>
    <w:p w:rsidR="00224567" w:rsidRDefault="00224567">
      <w:pPr>
        <w:widowControl w:val="0"/>
        <w:rPr>
          <w:lang w:val="es-ES_tradnl"/>
        </w:rPr>
      </w:pPr>
      <w:r>
        <w:rPr>
          <w:lang w:val="es-ES_tradnl"/>
        </w:rPr>
        <w:tab/>
        <w:t>En primer lugar, el testigo Roa cu</w:t>
      </w:r>
      <w:r>
        <w:rPr>
          <w:lang w:val="es-ES_tradnl"/>
        </w:rPr>
        <w:t>m</w:t>
      </w:r>
      <w:r>
        <w:rPr>
          <w:lang w:val="es-ES_tradnl"/>
        </w:rPr>
        <w:t xml:space="preserve">plió funciones en </w:t>
      </w:r>
      <w:smartTag w:uri="urn:schemas-microsoft-com:office:smarttags" w:element="PersonName">
        <w:smartTagPr>
          <w:attr w:name="ProductID" w:val="la Brigada"/>
        </w:smartTagPr>
        <w:r>
          <w:rPr>
            <w:lang w:val="es-ES_tradnl"/>
          </w:rPr>
          <w:t>la Brigada</w:t>
        </w:r>
      </w:smartTag>
      <w:r>
        <w:rPr>
          <w:lang w:val="es-ES_tradnl"/>
        </w:rPr>
        <w:t xml:space="preserve"> de Invest</w:t>
      </w:r>
      <w:r>
        <w:rPr>
          <w:lang w:val="es-ES_tradnl"/>
        </w:rPr>
        <w:t>i</w:t>
      </w:r>
      <w:r>
        <w:rPr>
          <w:lang w:val="es-ES_tradnl"/>
        </w:rPr>
        <w:t>gaciones de Tigre y no en la de Vicente López. Fue comisionado a esa depende</w:t>
      </w:r>
      <w:r>
        <w:rPr>
          <w:lang w:val="es-ES_tradnl"/>
        </w:rPr>
        <w:t>n</w:t>
      </w:r>
      <w:r>
        <w:rPr>
          <w:lang w:val="es-ES_tradnl"/>
        </w:rPr>
        <w:t>cia para cumplir funciones como imaginaria únicamente en dos o tres oportunidades, dato que capciosamente omite s</w:t>
      </w:r>
      <w:r>
        <w:rPr>
          <w:lang w:val="es-ES_tradnl"/>
        </w:rPr>
        <w:t>e</w:t>
      </w:r>
      <w:r>
        <w:rPr>
          <w:lang w:val="es-ES_tradnl"/>
        </w:rPr>
        <w:t>ñalar el Fiscal General. En efecto, quien solo estuvo en la brigada de Vicente López dos o tres días, no puede brindar un concepto amplio del comportamiento de Solari. Pero esta, no es la única referencia que omite el fiscal en orden a Roa, tampoco dijo que este testigo manifestó que Solari no tenía pr</w:t>
      </w:r>
      <w:r>
        <w:rPr>
          <w:lang w:val="es-ES_tradnl"/>
        </w:rPr>
        <w:t>i</w:t>
      </w:r>
      <w:r>
        <w:rPr>
          <w:lang w:val="es-ES_tradnl"/>
        </w:rPr>
        <w:t>vilegios y que gozaba de las mismas comodidades que los d</w:t>
      </w:r>
      <w:r>
        <w:rPr>
          <w:lang w:val="es-ES_tradnl"/>
        </w:rPr>
        <w:t>e</w:t>
      </w:r>
      <w:r>
        <w:rPr>
          <w:lang w:val="es-ES_tradnl"/>
        </w:rPr>
        <w:t>más presos.</w:t>
      </w:r>
    </w:p>
    <w:p w:rsidR="00224567" w:rsidRDefault="00224567">
      <w:pPr>
        <w:widowControl w:val="0"/>
        <w:rPr>
          <w:lang w:val="es-ES_tradnl"/>
        </w:rPr>
      </w:pPr>
      <w:r>
        <w:rPr>
          <w:lang w:val="es-ES_tradnl"/>
        </w:rPr>
        <w:tab/>
        <w:t>En cuanto a Ojeda, se debe destacar que el fiscal pretendió atribuirle dichos que no eran s</w:t>
      </w:r>
      <w:r>
        <w:rPr>
          <w:lang w:val="es-ES_tradnl"/>
        </w:rPr>
        <w:t>u</w:t>
      </w:r>
      <w:r>
        <w:rPr>
          <w:lang w:val="es-ES_tradnl"/>
        </w:rPr>
        <w:t>yos. En efe</w:t>
      </w:r>
      <w:r>
        <w:rPr>
          <w:lang w:val="es-ES_tradnl"/>
        </w:rPr>
        <w:t>c</w:t>
      </w:r>
      <w:r>
        <w:rPr>
          <w:lang w:val="es-ES_tradnl"/>
        </w:rPr>
        <w:t>to, el nombrado nunca indicó que Solari fuera un preso como cualquier otro sino, por el contrario, al ser preguntado por su comportamiento manifestó que se la pasaba golpeando las puertas, llamaba a todo el mundo, conv</w:t>
      </w:r>
      <w:r>
        <w:rPr>
          <w:lang w:val="es-ES_tradnl"/>
        </w:rPr>
        <w:t>o</w:t>
      </w:r>
      <w:r>
        <w:rPr>
          <w:lang w:val="es-ES_tradnl"/>
        </w:rPr>
        <w:t>caba al oficial de servicio para hablar por teléfono al exterior. Agregó además que Solari le dijo que iba a hacer mucho daño a la p</w:t>
      </w:r>
      <w:r>
        <w:rPr>
          <w:lang w:val="es-ES_tradnl"/>
        </w:rPr>
        <w:t>o</w:t>
      </w:r>
      <w:r>
        <w:rPr>
          <w:lang w:val="es-ES_tradnl"/>
        </w:rPr>
        <w:t>licía.</w:t>
      </w:r>
    </w:p>
    <w:p w:rsidR="00224567" w:rsidRDefault="00224567">
      <w:pPr>
        <w:widowControl w:val="0"/>
        <w:rPr>
          <w:lang w:val="es-ES_tradnl"/>
        </w:rPr>
      </w:pPr>
      <w:r>
        <w:rPr>
          <w:lang w:val="es-ES_tradnl"/>
        </w:rPr>
        <w:tab/>
        <w:t>Finalmente cuando el testigo Ferrari ingresó a la brigada como jefe de operaciones -26 de n</w:t>
      </w:r>
      <w:r>
        <w:rPr>
          <w:lang w:val="es-ES_tradnl"/>
        </w:rPr>
        <w:t>o</w:t>
      </w:r>
      <w:r>
        <w:rPr>
          <w:lang w:val="es-ES_tradnl"/>
        </w:rPr>
        <w:t>viembre de 1994- Solari ya había protagonizado los desó</w:t>
      </w:r>
      <w:r>
        <w:rPr>
          <w:lang w:val="es-ES_tradnl"/>
        </w:rPr>
        <w:t>r</w:t>
      </w:r>
      <w:r>
        <w:rPr>
          <w:lang w:val="es-ES_tradnl"/>
        </w:rPr>
        <w:t>denes más graves, de manera que cuando afirmó que dura</w:t>
      </w:r>
      <w:r>
        <w:rPr>
          <w:lang w:val="es-ES_tradnl"/>
        </w:rPr>
        <w:t>n</w:t>
      </w:r>
      <w:r>
        <w:rPr>
          <w:lang w:val="es-ES_tradnl"/>
        </w:rPr>
        <w:t>te su detención no tuvo ni</w:t>
      </w:r>
      <w:r>
        <w:rPr>
          <w:lang w:val="es-ES_tradnl"/>
        </w:rPr>
        <w:t>n</w:t>
      </w:r>
      <w:r>
        <w:rPr>
          <w:lang w:val="es-ES_tradnl"/>
        </w:rPr>
        <w:t>gún problema y se comportó como un preso normal, ello nada agrega en favor de la postura fi</w:t>
      </w:r>
      <w:r>
        <w:rPr>
          <w:lang w:val="es-ES_tradnl"/>
        </w:rPr>
        <w:t>s</w:t>
      </w:r>
      <w:r>
        <w:rPr>
          <w:lang w:val="es-ES_tradnl"/>
        </w:rPr>
        <w:t>cal (ver fs. 4678 del Legajo de Instrucción Suplement</w:t>
      </w:r>
      <w:r>
        <w:rPr>
          <w:lang w:val="es-ES_tradnl"/>
        </w:rPr>
        <w:t>a</w:t>
      </w:r>
      <w:r>
        <w:rPr>
          <w:lang w:val="es-ES_tradnl"/>
        </w:rPr>
        <w:t>ria).</w:t>
      </w:r>
    </w:p>
    <w:p w:rsidR="00224567" w:rsidRDefault="00224567">
      <w:pPr>
        <w:widowControl w:val="0"/>
        <w:rPr>
          <w:lang w:val="es-ES_tradnl"/>
        </w:rPr>
      </w:pPr>
      <w:r>
        <w:rPr>
          <w:lang w:val="es-ES_tradnl"/>
        </w:rPr>
        <w:tab/>
        <w:t>Por su parte, la doctora Nercellas afirmó que “cuando v</w:t>
      </w:r>
      <w:r>
        <w:rPr>
          <w:lang w:val="es-ES_tradnl"/>
        </w:rPr>
        <w:t>i</w:t>
      </w:r>
      <w:r>
        <w:rPr>
          <w:lang w:val="es-ES_tradnl"/>
        </w:rPr>
        <w:t>nieron a declarar los efectivos de la br</w:t>
      </w:r>
      <w:r>
        <w:rPr>
          <w:lang w:val="es-ES_tradnl"/>
        </w:rPr>
        <w:t>i</w:t>
      </w:r>
      <w:r>
        <w:rPr>
          <w:lang w:val="es-ES_tradnl"/>
        </w:rPr>
        <w:t>gada de Vicente López, nos hablan de un Solari con unas conductas que eran rayanas a la locura con autolesiones, con gritos, con destrozos dentro de la brigada con una cantidad de actividades que no entendemos porque nunca fueron puestas en conocimiento del juez, nunca se le i</w:t>
      </w:r>
      <w:r>
        <w:rPr>
          <w:lang w:val="es-ES_tradnl"/>
        </w:rPr>
        <w:t>n</w:t>
      </w:r>
      <w:r>
        <w:rPr>
          <w:lang w:val="es-ES_tradnl"/>
        </w:rPr>
        <w:t>formó a Galeano cuando se lo trajo como testigo de que s</w:t>
      </w:r>
      <w:r>
        <w:rPr>
          <w:lang w:val="es-ES_tradnl"/>
        </w:rPr>
        <w:t>u</w:t>
      </w:r>
      <w:r>
        <w:rPr>
          <w:lang w:val="es-ES_tradnl"/>
        </w:rPr>
        <w:t>jeto estáb</w:t>
      </w:r>
      <w:r>
        <w:rPr>
          <w:lang w:val="es-ES_tradnl"/>
        </w:rPr>
        <w:t>a</w:t>
      </w:r>
      <w:r>
        <w:rPr>
          <w:lang w:val="es-ES_tradnl"/>
        </w:rPr>
        <w:t>mos hablando”.</w:t>
      </w:r>
    </w:p>
    <w:p w:rsidR="00224567" w:rsidRDefault="00224567">
      <w:pPr>
        <w:widowControl w:val="0"/>
        <w:rPr>
          <w:lang w:val="es-ES_tradnl"/>
        </w:rPr>
      </w:pPr>
      <w:r>
        <w:rPr>
          <w:lang w:val="es-ES_tradnl"/>
        </w:rPr>
        <w:tab/>
        <w:t>La representante de la querella no puede afirmar esto con un mínimo de seriedad. En efecto, desde el 24 de enero de 1995 el juzgado instructor contaba con copias certificadas del expediente nº 28.855 incoada para investigar el triple hom</w:t>
      </w:r>
      <w:r>
        <w:rPr>
          <w:lang w:val="es-ES_tradnl"/>
        </w:rPr>
        <w:t>i</w:t>
      </w:r>
      <w:r>
        <w:rPr>
          <w:lang w:val="es-ES_tradnl"/>
        </w:rPr>
        <w:t>cidio de Benavídez, causa en la que se encontraban agregados numerosos pedidos de tra</w:t>
      </w:r>
      <w:r>
        <w:rPr>
          <w:lang w:val="es-ES_tradnl"/>
        </w:rPr>
        <w:t>s</w:t>
      </w:r>
      <w:r>
        <w:rPr>
          <w:lang w:val="es-ES_tradnl"/>
        </w:rPr>
        <w:t>lado y relativos a su conflictivo encarcelamiento (cfr. fs. 74.359/74.360).</w:t>
      </w:r>
    </w:p>
    <w:p w:rsidR="00224567" w:rsidRDefault="00224567">
      <w:pPr>
        <w:pStyle w:val="Ttulo9"/>
        <w:spacing w:line="600" w:lineRule="auto"/>
      </w:pPr>
      <w:r>
        <w:rPr>
          <w:lang w:val="es-ES_tradnl"/>
        </w:rPr>
        <w:tab/>
      </w:r>
      <w:bookmarkStart w:id="249" w:name="_Toc86732004"/>
      <w:r>
        <w:rPr>
          <w:b/>
          <w:bCs/>
          <w:lang w:val="es-ES_tradnl"/>
        </w:rPr>
        <w:t>C.2.d.xi.A.4.d)</w:t>
      </w:r>
      <w:r>
        <w:rPr>
          <w:lang w:val="es-ES_tradnl"/>
        </w:rPr>
        <w:t xml:space="preserve"> </w:t>
      </w:r>
      <w:bookmarkStart w:id="250" w:name="_Toc79816954"/>
      <w:r>
        <w:t xml:space="preserve">Trato en </w:t>
      </w:r>
      <w:smartTag w:uri="urn:schemas-microsoft-com:office:smarttags" w:element="PersonName">
        <w:smartTagPr>
          <w:attr w:name="ProductID" w:val="la Brigada"/>
        </w:smartTagPr>
        <w:r>
          <w:t>la Brigada</w:t>
        </w:r>
      </w:smartTag>
      <w:r>
        <w:t xml:space="preserve"> de Investigaciones de V</w:t>
      </w:r>
      <w:r>
        <w:t>i</w:t>
      </w:r>
      <w:r>
        <w:t>cente López</w:t>
      </w:r>
      <w:bookmarkEnd w:id="249"/>
      <w:bookmarkEnd w:id="250"/>
      <w:r>
        <w:t>.</w:t>
      </w:r>
    </w:p>
    <w:p w:rsidR="00224567" w:rsidRDefault="00224567">
      <w:pPr>
        <w:pStyle w:val="Ttulo10"/>
      </w:pPr>
      <w:r>
        <w:tab/>
      </w:r>
      <w:bookmarkStart w:id="251" w:name="_Toc79816955"/>
      <w:r>
        <w:t xml:space="preserve">C.2.d.xi.A.4.d.i) </w:t>
      </w:r>
      <w:r>
        <w:rPr>
          <w:b w:val="0"/>
          <w:bCs w:val="0"/>
        </w:rPr>
        <w:t>Prueba testimonial</w:t>
      </w:r>
      <w:bookmarkEnd w:id="251"/>
      <w:r>
        <w:rPr>
          <w:b w:val="0"/>
          <w:bCs w:val="0"/>
        </w:rPr>
        <w:t>.</w:t>
      </w:r>
    </w:p>
    <w:p w:rsidR="00224567" w:rsidRDefault="00224567">
      <w:pPr>
        <w:widowControl w:val="0"/>
      </w:pPr>
      <w:r>
        <w:tab/>
        <w:t>A pesar de lo indicado por Solari en la audiencia, los testigos fueron contestes al sostener que el trato dispensado a los detenidos en Vicente López era correcto. En tal sentido se pronunciaron tanto los funcionarios policiales que laboraron en esa dependencia como los d</w:t>
      </w:r>
      <w:r>
        <w:t>e</w:t>
      </w:r>
      <w:r>
        <w:t>tenidos que estuvieron alojados allí.</w:t>
      </w:r>
    </w:p>
    <w:p w:rsidR="00224567" w:rsidRDefault="00224567">
      <w:pPr>
        <w:widowControl w:val="0"/>
      </w:pPr>
      <w:r>
        <w:tab/>
        <w:t>Las pruebas acumuladas a lo largo del debate permiten tener por acreditado que Ramón Emilio S</w:t>
      </w:r>
      <w:r>
        <w:t>o</w:t>
      </w:r>
      <w:r>
        <w:t>lari no recibió miramientos preferenciales y que las dif</w:t>
      </w:r>
      <w:r>
        <w:t>e</w:t>
      </w:r>
      <w:r>
        <w:t>re</w:t>
      </w:r>
      <w:r>
        <w:t>n</w:t>
      </w:r>
      <w:r>
        <w:t>cias que tuvo con los demás presos obedecieron más a un intento por contener su conflictivo carácter que a un pr</w:t>
      </w:r>
      <w:r>
        <w:t>i</w:t>
      </w:r>
      <w:r>
        <w:t>vilegio indebido. Así deben interpretarse, por eje</w:t>
      </w:r>
      <w:r>
        <w:t>m</w:t>
      </w:r>
      <w:r>
        <w:t>plo, la posibilidad que realizara algunas llamadas telefónicas, la visita personal que tuvo con su defensora fuera de los l</w:t>
      </w:r>
      <w:r>
        <w:t>o</w:t>
      </w:r>
      <w:r>
        <w:t>cutorios y la salida al patio de los calabozos con una frecuencia mayor a la de otros inte</w:t>
      </w:r>
      <w:r>
        <w:t>r</w:t>
      </w:r>
      <w:r>
        <w:t>nos.</w:t>
      </w:r>
    </w:p>
    <w:p w:rsidR="00224567" w:rsidRDefault="00224567">
      <w:pPr>
        <w:widowControl w:val="0"/>
      </w:pPr>
      <w:r>
        <w:tab/>
        <w:t>Por otra parte, las permanentes sol</w:t>
      </w:r>
      <w:r>
        <w:t>i</w:t>
      </w:r>
      <w:r>
        <w:t>citudes de Solari para que lo alojasen en otra unidad, e</w:t>
      </w:r>
      <w:r>
        <w:t>s</w:t>
      </w:r>
      <w:r>
        <w:t>pecialmente f</w:t>
      </w:r>
      <w:r>
        <w:t>e</w:t>
      </w:r>
      <w:r>
        <w:t>deral, no se compadecen con la consideración que ad</w:t>
      </w:r>
      <w:r>
        <w:t>u</w:t>
      </w:r>
      <w:r>
        <w:t>jo recibir.</w:t>
      </w:r>
    </w:p>
    <w:p w:rsidR="00224567" w:rsidRDefault="00224567">
      <w:pPr>
        <w:widowControl w:val="0"/>
      </w:pPr>
      <w:r>
        <w:tab/>
        <w:t>Corroboran que Solari no fue tratado con privilegios, los testimonios brindados en la audie</w:t>
      </w:r>
      <w:r>
        <w:t>n</w:t>
      </w:r>
      <w:r>
        <w:t>cia de debate por los policías Enrique Carlos Forgione, Gu</w:t>
      </w:r>
      <w:r>
        <w:t>i</w:t>
      </w:r>
      <w:r>
        <w:t>llermo José Sánchez, Nelson Raúl Núñez, Miguel Ángel P</w:t>
      </w:r>
      <w:r>
        <w:t>é</w:t>
      </w:r>
      <w:r>
        <w:t>rez, Humberto Eustaquio Monzón, Dante Ulises Valenzuela, Julio Eduardo García, Carlos Nereo Cacho, Rodolfo Fabián Vall</w:t>
      </w:r>
      <w:r>
        <w:t>e</w:t>
      </w:r>
      <w:r>
        <w:t>jos, Miguel Ángel León, Luis Roa, como así también el de Raúl Alfredo Benito Levaggi -quien fue coimputado de Solari-, y la declaración de la doctora Graciela Rita Be</w:t>
      </w:r>
      <w:r>
        <w:t>r</w:t>
      </w:r>
      <w:r>
        <w:t>nal que interviniera como defensora de Sol</w:t>
      </w:r>
      <w:r>
        <w:t>a</w:t>
      </w:r>
      <w:r>
        <w:t>ri.</w:t>
      </w:r>
    </w:p>
    <w:p w:rsidR="00224567" w:rsidRDefault="00224567">
      <w:pPr>
        <w:widowControl w:val="0"/>
      </w:pPr>
      <w:r>
        <w:tab/>
        <w:t>Esta última destacó una entrevista que tuvo fuera de los locutorios y que, a pedido de Solari, solicitó especia</w:t>
      </w:r>
      <w:r>
        <w:t>l</w:t>
      </w:r>
      <w:r>
        <w:t>mente al juzgado ante la negativa de las autor</w:t>
      </w:r>
      <w:r>
        <w:t>i</w:t>
      </w:r>
      <w:r>
        <w:t>dades de la brigada a concederla (ver fs. 816, 831 y 834 de la causa 28.855).</w:t>
      </w:r>
    </w:p>
    <w:p w:rsidR="00224567" w:rsidRDefault="00224567">
      <w:pPr>
        <w:widowControl w:val="0"/>
      </w:pPr>
      <w:r>
        <w:tab/>
      </w:r>
      <w:r>
        <w:rPr>
          <w:lang w:val="es-ES_tradnl"/>
        </w:rPr>
        <w:t>Por otra parte, Levaggi manifestó que Solari</w:t>
      </w:r>
      <w:r>
        <w:t xml:space="preserve"> con los cu</w:t>
      </w:r>
      <w:r>
        <w:t>s</w:t>
      </w:r>
      <w:r>
        <w:t xml:space="preserve">todios se llevaba bastante bien y que en los calabozos de </w:t>
      </w:r>
      <w:smartTag w:uri="urn:schemas-microsoft-com:office:smarttags" w:element="PersonName">
        <w:smartTagPr>
          <w:attr w:name="ProductID" w:val="la Brigada"/>
        </w:smartTagPr>
        <w:r>
          <w:t>la Brigada</w:t>
        </w:r>
      </w:smartTag>
      <w:r>
        <w:t xml:space="preserve"> de Vicente López no se lo tr</w:t>
      </w:r>
      <w:r>
        <w:t>a</w:t>
      </w:r>
      <w:r>
        <w:t>taba mal ni a él ni a nadie. Contó que si bien Solari, a diferencia de los demás internos, tenía acceso a los di</w:t>
      </w:r>
      <w:r>
        <w:t>a</w:t>
      </w:r>
      <w:r>
        <w:t>rios, estima que de haberlo solicitado se los hubieran provisto. Vio salir a Solari dos o tres v</w:t>
      </w:r>
      <w:r>
        <w:t>e</w:t>
      </w:r>
      <w:r>
        <w:t>ces para hablar por teléfono desde una oficina situada fuera del lugar donde se encontr</w:t>
      </w:r>
      <w:r>
        <w:t>a</w:t>
      </w:r>
      <w:r>
        <w:t>ban los detenidos.</w:t>
      </w:r>
    </w:p>
    <w:p w:rsidR="00224567" w:rsidRDefault="00224567">
      <w:pPr>
        <w:widowControl w:val="0"/>
      </w:pPr>
      <w:r>
        <w:tab/>
        <w:t>En cuanto al régimen de detención de Solari concluyó que era normal, igual al resto de los d</w:t>
      </w:r>
      <w:r>
        <w:t>e</w:t>
      </w:r>
      <w:r>
        <w:t>ten</w:t>
      </w:r>
      <w:r>
        <w:t>i</w:t>
      </w:r>
      <w:r>
        <w:t>dos, salvo por las llamadas telefónicas.</w:t>
      </w:r>
    </w:p>
    <w:p w:rsidR="00224567" w:rsidRDefault="00224567">
      <w:pPr>
        <w:widowControl w:val="0"/>
      </w:pPr>
      <w:r>
        <w:tab/>
        <w:t>El Fiscal General, Dr. Nisman, apoyó su alegato también en la indagatoria de Bareiro del 14 de julio de 1996, cuando afirmó: “que Solari gozaba de un r</w:t>
      </w:r>
      <w:r>
        <w:t>é</w:t>
      </w:r>
      <w:r>
        <w:t>gimen de “privilegio” por una orden de “arriba”, ya que utilizaba por ejemplo el teléfono que se hallaba en ese asiento cuantas veces quisiera, y si llegaba a recibir a</w:t>
      </w:r>
      <w:r>
        <w:t>l</w:t>
      </w:r>
      <w:r>
        <w:t>gún llamado desde afuera los policías lo iban a buscar de inmediato a su celda”. Si bien, es verdad que esto lo dijo Bareiro, nuevamente el representante del Estado, se</w:t>
      </w:r>
      <w:r>
        <w:t>c</w:t>
      </w:r>
      <w:r>
        <w:t>ciona los dichos de los declarantes para fundar su prete</w:t>
      </w:r>
      <w:r>
        <w:t>n</w:t>
      </w:r>
      <w:r>
        <w:t>sión.</w:t>
      </w:r>
    </w:p>
    <w:p w:rsidR="00224567" w:rsidRDefault="00224567">
      <w:pPr>
        <w:widowControl w:val="0"/>
      </w:pPr>
      <w:r>
        <w:tab/>
        <w:t>En efecto, Bareiro dijo que Solari r</w:t>
      </w:r>
      <w:r>
        <w:t>e</w:t>
      </w:r>
      <w:r>
        <w:t>cibía un régimen de privilegio por una orden superior en lo rel</w:t>
      </w:r>
      <w:r>
        <w:t>a</w:t>
      </w:r>
      <w:r>
        <w:t>tivo a los llamados telefónicos pero posteriormente aclaró sus límites. En la indagatoria del 4 de septie</w:t>
      </w:r>
      <w:r>
        <w:t>m</w:t>
      </w:r>
      <w:r>
        <w:t>bre de 1996 aclaró que no le constaba que tuviera un trato preferencial, con libre circulación dentro de la depende</w:t>
      </w:r>
      <w:r>
        <w:t>n</w:t>
      </w:r>
      <w:r>
        <w:t>cia y salidas de su celda con frecuencia, durante horas. En cua</w:t>
      </w:r>
      <w:r>
        <w:t>n</w:t>
      </w:r>
      <w:r>
        <w:t>to a su trato con Solari, precisó que dialogaba con él d</w:t>
      </w:r>
      <w:r>
        <w:t>e</w:t>
      </w:r>
      <w:r>
        <w:t>bido a que se trataba de un detenido conflictivo. Era una forma de ma</w:t>
      </w:r>
      <w:r>
        <w:t>n</w:t>
      </w:r>
      <w:r>
        <w:t>tener una comunicación y que no alborote o provoque desórdenes con el resto de la población carcel</w:t>
      </w:r>
      <w:r>
        <w:t>a</w:t>
      </w:r>
      <w:r>
        <w:t>ria.</w:t>
      </w:r>
    </w:p>
    <w:p w:rsidR="00224567" w:rsidRDefault="00224567">
      <w:pPr>
        <w:widowControl w:val="0"/>
      </w:pPr>
      <w:r>
        <w:tab/>
        <w:t>Los acusadores también afirmaron que para prep</w:t>
      </w:r>
      <w:r>
        <w:t>a</w:t>
      </w:r>
      <w:r>
        <w:t>rarlo se le dio a Solari material de lectura. El Tribunal e</w:t>
      </w:r>
      <w:r>
        <w:t>n</w:t>
      </w:r>
      <w:r>
        <w:t>tiende que está probado que pudo tener acceso a las fotocopias de su causa y que leía diarios, por lo ta</w:t>
      </w:r>
      <w:r>
        <w:t>n</w:t>
      </w:r>
      <w:r>
        <w:t>to, no hay que otorgarle a esa circunstancia más trasce</w:t>
      </w:r>
      <w:r>
        <w:t>n</w:t>
      </w:r>
      <w:r>
        <w:t>dencia de la que ti</w:t>
      </w:r>
      <w:r>
        <w:t>e</w:t>
      </w:r>
      <w:r>
        <w:t>ne.</w:t>
      </w:r>
    </w:p>
    <w:p w:rsidR="00224567" w:rsidRDefault="00224567">
      <w:pPr>
        <w:pStyle w:val="Ttulo10"/>
        <w:rPr>
          <w:b w:val="0"/>
          <w:bCs w:val="0"/>
        </w:rPr>
      </w:pPr>
      <w:r>
        <w:tab/>
        <w:t>C.2.d.xi.A.4.d.ii)</w:t>
      </w:r>
      <w:bookmarkStart w:id="252" w:name="_Toc79816956"/>
      <w:r>
        <w:rPr>
          <w:b w:val="0"/>
          <w:bCs w:val="0"/>
        </w:rPr>
        <w:t xml:space="preserve"> Declaración de los paraguayos</w:t>
      </w:r>
      <w:bookmarkEnd w:id="252"/>
      <w:r>
        <w:rPr>
          <w:b w:val="0"/>
          <w:bCs w:val="0"/>
        </w:rPr>
        <w:t>.</w:t>
      </w:r>
    </w:p>
    <w:p w:rsidR="00224567" w:rsidRDefault="00224567">
      <w:pPr>
        <w:widowControl w:val="0"/>
      </w:pPr>
      <w:r>
        <w:tab/>
        <w:t>Párrafo aparte merece la valoración de las declaraciones de los hermanos Cristaldo Brizuela, quienes fueron contestes –según el doctor Nisman- en señ</w:t>
      </w:r>
      <w:r>
        <w:t>a</w:t>
      </w:r>
      <w:r>
        <w:t xml:space="preserve">lar que Solari gozaba de un trato preferencial en </w:t>
      </w:r>
      <w:smartTag w:uri="urn:schemas-microsoft-com:office:smarttags" w:element="PersonName">
        <w:smartTagPr>
          <w:attr w:name="ProductID" w:val="la Brigada"/>
        </w:smartTagPr>
        <w:r>
          <w:t>la Br</w:t>
        </w:r>
        <w:r>
          <w:t>i</w:t>
        </w:r>
        <w:r>
          <w:t>gada</w:t>
        </w:r>
      </w:smartTag>
      <w:r>
        <w:t xml:space="preserve"> de I</w:t>
      </w:r>
      <w:r>
        <w:t>n</w:t>
      </w:r>
      <w:r>
        <w:t>vestigaciones de Vicente López.</w:t>
      </w:r>
    </w:p>
    <w:p w:rsidR="00224567" w:rsidRDefault="00224567">
      <w:pPr>
        <w:widowControl w:val="0"/>
      </w:pPr>
      <w:r>
        <w:tab/>
        <w:t>En efecto, la credibilidad de los te</w:t>
      </w:r>
      <w:r>
        <w:t>s</w:t>
      </w:r>
      <w:r>
        <w:t>timonios brindados por los Cristaldo Brizuela se encuentra seriamente cuestionada. En primer lugar, la entrevista previa “sui generis” que mantuvieran con Telleldín impre</w:t>
      </w:r>
      <w:r>
        <w:t>g</w:t>
      </w:r>
      <w:r>
        <w:t>na a sus testimonios de una razonable duda acerca de la espont</w:t>
      </w:r>
      <w:r>
        <w:t>a</w:t>
      </w:r>
      <w:r>
        <w:t>neidad y veracidad. Si a esto se suma la referencia efectuada por Telleldín en su indagatoria del 9 de dicie</w:t>
      </w:r>
      <w:r>
        <w:t>m</w:t>
      </w:r>
      <w:r>
        <w:t>bre de 2003, en cuanto a que el tema S</w:t>
      </w:r>
      <w:r>
        <w:t>o</w:t>
      </w:r>
      <w:r>
        <w:t>lari fue uno de los puntos por los cuales cobró por declarar, y a las demás pruebas citadas en el apartado que trata las irregularid</w:t>
      </w:r>
      <w:r>
        <w:t>a</w:t>
      </w:r>
      <w:r>
        <w:t>des co</w:t>
      </w:r>
      <w:r>
        <w:t>n</w:t>
      </w:r>
      <w:r>
        <w:t>cernientes a estas testimoniales, se las despoja de toda credibil</w:t>
      </w:r>
      <w:r>
        <w:t>i</w:t>
      </w:r>
      <w:r>
        <w:t>dad.</w:t>
      </w:r>
    </w:p>
    <w:p w:rsidR="00224567" w:rsidRDefault="00224567">
      <w:pPr>
        <w:widowControl w:val="0"/>
      </w:pPr>
      <w:r>
        <w:tab/>
        <w:t>En segundo término, el valor probat</w:t>
      </w:r>
      <w:r>
        <w:t>o</w:t>
      </w:r>
      <w:r>
        <w:t>rio de sus declaraciones es relativo, porque estuvieron detenidos en la brigada solo alrededor de diez días mie</w:t>
      </w:r>
      <w:r>
        <w:t>n</w:t>
      </w:r>
      <w:r>
        <w:t>tras que S</w:t>
      </w:r>
      <w:r>
        <w:t>o</w:t>
      </w:r>
      <w:r>
        <w:t xml:space="preserve">lari se alojó allí cuatro meses (cfr. Libro de Registro de Detenidos de </w:t>
      </w:r>
      <w:smartTag w:uri="urn:schemas-microsoft-com:office:smarttags" w:element="PersonName">
        <w:smartTagPr>
          <w:attr w:name="ProductID" w:val="la Brigada"/>
        </w:smartTagPr>
        <w:r>
          <w:t>la Brigada</w:t>
        </w:r>
      </w:smartTag>
      <w:r>
        <w:t xml:space="preserve"> de Investigaciones de Vice</w:t>
      </w:r>
      <w:r>
        <w:t>n</w:t>
      </w:r>
      <w:r>
        <w:t>te López).</w:t>
      </w:r>
    </w:p>
    <w:p w:rsidR="00224567" w:rsidRDefault="00224567">
      <w:pPr>
        <w:widowControl w:val="0"/>
      </w:pPr>
      <w:r>
        <w:tab/>
        <w:t>En tercer lugar, las declaraciones en sí no son tan concluyentes como se pretendió luego. Así, si bien d</w:t>
      </w:r>
      <w:r>
        <w:t>i</w:t>
      </w:r>
      <w:r>
        <w:t>cen que Solari era el que más salía de su celda, también refieren que en algunas oportunidades los imagin</w:t>
      </w:r>
      <w:r>
        <w:t>a</w:t>
      </w:r>
      <w:r>
        <w:t>rias preguntaban quién quería salir y Solari se ofrecía. Por otra parte, Francisco manifestó que obtuvo autoriz</w:t>
      </w:r>
      <w:r>
        <w:t>a</w:t>
      </w:r>
      <w:r>
        <w:t>ción para salir de su celda en determinadas opo</w:t>
      </w:r>
      <w:r>
        <w:t>r</w:t>
      </w:r>
      <w:r>
        <w:t>tunidades para hablar con sus hermanos y que era el único, además de Solari, que salía de la celda, de tal modo que ya no h</w:t>
      </w:r>
      <w:r>
        <w:t>a</w:t>
      </w:r>
      <w:r>
        <w:t>bría un detenido sino dos con ese tipo de supuesto priv</w:t>
      </w:r>
      <w:r>
        <w:t>i</w:t>
      </w:r>
      <w:r>
        <w:t>legio.</w:t>
      </w:r>
    </w:p>
    <w:p w:rsidR="00224567" w:rsidRDefault="00224567">
      <w:pPr>
        <w:widowControl w:val="0"/>
      </w:pPr>
      <w:r>
        <w:tab/>
        <w:t>Por otro lado, cabe señalar que, para la época en que estuvieron detenidos los paraguayos, Sol</w:t>
      </w:r>
      <w:r>
        <w:t>a</w:t>
      </w:r>
      <w:r>
        <w:t>ri fue trasladado dos veces a distintos juzgados para prestar declaración indagatoria, el 20 y 24 de octubre de 1994 (cfr. fs. 289 de la causa nº 27.011 y 878/879 de la causa 38.358, caratulada: “Benito, Raúl Alfredo; Gallo, Víctor Alejandro y Solari, Ramón Emilio por homicidio c</w:t>
      </w:r>
      <w:r>
        <w:t>a</w:t>
      </w:r>
      <w:r>
        <w:t>lificado por ensañamiento. Víctima Gallardo, Elena Adriana Crist</w:t>
      </w:r>
      <w:r>
        <w:t>i</w:t>
      </w:r>
      <w:r>
        <w:t>na”).</w:t>
      </w:r>
    </w:p>
    <w:p w:rsidR="00224567" w:rsidRDefault="00224567">
      <w:pPr>
        <w:widowControl w:val="0"/>
      </w:pPr>
      <w:r>
        <w:tab/>
        <w:t>Además de lo reseñado, no hay que so</w:t>
      </w:r>
      <w:r>
        <w:t>s</w:t>
      </w:r>
      <w:r>
        <w:t>layar que para la ép</w:t>
      </w:r>
      <w:r>
        <w:t>o</w:t>
      </w:r>
      <w:r>
        <w:t>ca en que estuvieron detenidos estos hermanos -del 19 al 31 de octubre de 1994-, Solari ya ll</w:t>
      </w:r>
      <w:r>
        <w:t>e</w:t>
      </w:r>
      <w:r>
        <w:t>vaba más de dos meses preso y había protagonizado varios conflictos. Se afirmó también que Solari tenía mejor ll</w:t>
      </w:r>
      <w:r>
        <w:t>e</w:t>
      </w:r>
      <w:r>
        <w:t>gada con los policías, que golpeaba las puertas y ensegu</w:t>
      </w:r>
      <w:r>
        <w:t>i</w:t>
      </w:r>
      <w:r>
        <w:t>da lo atendían mientras que al resto de los detenidos no se los trataba con esta diligencia, pero esto hay que i</w:t>
      </w:r>
      <w:r>
        <w:t>n</w:t>
      </w:r>
      <w:r>
        <w:t>terpretarlo a la luz de lo manifestado por los testigos Bernal y García en el sentido que el personal policial t</w:t>
      </w:r>
      <w:r>
        <w:t>u</w:t>
      </w:r>
      <w:r>
        <w:t>vo que ceder para ca</w:t>
      </w:r>
      <w:r>
        <w:t>l</w:t>
      </w:r>
      <w:r>
        <w:t>marlo.</w:t>
      </w:r>
    </w:p>
    <w:p w:rsidR="00224567" w:rsidRDefault="00224567">
      <w:pPr>
        <w:pStyle w:val="Ttulo10"/>
        <w:rPr>
          <w:b w:val="0"/>
          <w:bCs w:val="0"/>
        </w:rPr>
      </w:pPr>
      <w:r>
        <w:tab/>
        <w:t>C.2.d.xi.A.4.d.iii)</w:t>
      </w:r>
      <w:bookmarkStart w:id="253" w:name="_Toc79816957"/>
      <w:r>
        <w:t xml:space="preserve"> </w:t>
      </w:r>
      <w:r>
        <w:rPr>
          <w:b w:val="0"/>
          <w:bCs w:val="0"/>
        </w:rPr>
        <w:t>Prueba documental del tratamiento</w:t>
      </w:r>
      <w:bookmarkEnd w:id="253"/>
      <w:r>
        <w:rPr>
          <w:b w:val="0"/>
          <w:bCs w:val="0"/>
        </w:rPr>
        <w:t>.</w:t>
      </w:r>
    </w:p>
    <w:p w:rsidR="00224567" w:rsidRDefault="00224567">
      <w:pPr>
        <w:widowControl w:val="0"/>
      </w:pPr>
      <w:r>
        <w:tab/>
        <w:t>La inexistencia de los privilegios se deduce claramente de los escritos presentados por Solari en las distintas causas seguidas en su contra. Así, la i</w:t>
      </w:r>
      <w:r>
        <w:t>n</w:t>
      </w:r>
      <w:r>
        <w:t>sistencia en procurar un cambio de alojamiento revela de modo inequívoco su disconformidad con las condiciones de detención. En igual sentido, deben interpretarse las pr</w:t>
      </w:r>
      <w:r>
        <w:t>e</w:t>
      </w:r>
      <w:r>
        <w:t>sentaciones que efectuó Solari en las que afirmó que s</w:t>
      </w:r>
      <w:r>
        <w:t>u</w:t>
      </w:r>
      <w:r>
        <w:t xml:space="preserve">frió maltratos en </w:t>
      </w:r>
      <w:smartTag w:uri="urn:schemas-microsoft-com:office:smarttags" w:element="PersonName">
        <w:smartTagPr>
          <w:attr w:name="ProductID" w:val="la Brigada"/>
        </w:smartTagPr>
        <w:r>
          <w:t>la Brigada</w:t>
        </w:r>
      </w:smartTag>
      <w:r>
        <w:t xml:space="preserve"> de Investigaci</w:t>
      </w:r>
      <w:r>
        <w:t>o</w:t>
      </w:r>
      <w:r>
        <w:t>nes de Vicente López.</w:t>
      </w:r>
    </w:p>
    <w:p w:rsidR="00224567" w:rsidRDefault="00224567">
      <w:pPr>
        <w:widowControl w:val="0"/>
      </w:pPr>
      <w:r>
        <w:tab/>
        <w:t>El 20 de septiembre de 1994 Solari i</w:t>
      </w:r>
      <w:r>
        <w:t>n</w:t>
      </w:r>
      <w:r>
        <w:t>terpuso acción de habeas corpus por considerar que se agravaron ilegítim</w:t>
      </w:r>
      <w:r>
        <w:t>a</w:t>
      </w:r>
      <w:r>
        <w:t>mente sus condiciones de detención, el 26 de ese mes re</w:t>
      </w:r>
      <w:r>
        <w:t>a</w:t>
      </w:r>
      <w:r>
        <w:t xml:space="preserve">lizó una presentación ante el Ministerio de Justicia de </w:t>
      </w:r>
      <w:smartTag w:uri="urn:schemas-microsoft-com:office:smarttags" w:element="PersonName">
        <w:smartTagPr>
          <w:attr w:name="ProductID" w:val="la Provincia"/>
        </w:smartTagPr>
        <w:r>
          <w:t>la Provincia</w:t>
        </w:r>
      </w:smartTag>
      <w:r>
        <w:t xml:space="preserve"> de Buenos Aires denunciando malos tratos y abusos en </w:t>
      </w:r>
      <w:smartTag w:uri="urn:schemas-microsoft-com:office:smarttags" w:element="PersonName">
        <w:smartTagPr>
          <w:attr w:name="ProductID" w:val="la Brigada"/>
        </w:smartTagPr>
        <w:r>
          <w:t>la Brigada</w:t>
        </w:r>
      </w:smartTag>
      <w:r>
        <w:t xml:space="preserve"> de Investigaciones de Vice</w:t>
      </w:r>
      <w:r>
        <w:t>n</w:t>
      </w:r>
      <w:r>
        <w:t>te López (cfr. fs. 587 y 837/838 de la causa 28.855).</w:t>
      </w:r>
    </w:p>
    <w:p w:rsidR="00224567" w:rsidRDefault="00224567">
      <w:pPr>
        <w:widowControl w:val="0"/>
      </w:pPr>
      <w:r>
        <w:tab/>
        <w:t>A lo reseñado, se puede agregar que el 24 de septiembre de 1994, las autoridades de la depende</w:t>
      </w:r>
      <w:r>
        <w:t>n</w:t>
      </w:r>
      <w:r>
        <w:t>cia policial solicitaron el urgente traslado de Solari (cfr. fs. 681 de la ca</w:t>
      </w:r>
      <w:r>
        <w:t>u</w:t>
      </w:r>
      <w:r>
        <w:t>sa 28.855).</w:t>
      </w:r>
    </w:p>
    <w:p w:rsidR="00224567" w:rsidRDefault="00224567">
      <w:pPr>
        <w:widowControl w:val="0"/>
      </w:pPr>
      <w:r>
        <w:tab/>
        <w:t>También cabe mencionar el escrito de Solari rec</w:t>
      </w:r>
      <w:r>
        <w:t>i</w:t>
      </w:r>
      <w:r>
        <w:t>bido el 9 de enero de 1995 en el Juzgado en lo Criminal y Correccional nº 12 del Departamento Judicial San Martín, en el que afirmó que los cuatro meses que ll</w:t>
      </w:r>
      <w:r>
        <w:t>e</w:t>
      </w:r>
      <w:r>
        <w:t xml:space="preserve">vaba alojado en </w:t>
      </w:r>
      <w:smartTag w:uri="urn:schemas-microsoft-com:office:smarttags" w:element="PersonName">
        <w:smartTagPr>
          <w:attr w:name="ProductID" w:val="la Brigada"/>
        </w:smartTagPr>
        <w:r>
          <w:t>la Brigada</w:t>
        </w:r>
      </w:smartTag>
      <w:r>
        <w:t xml:space="preserve"> de Investigaciones de Vicente López “se han transformado en una tortura psicológica pe</w:t>
      </w:r>
      <w:r>
        <w:t>r</w:t>
      </w:r>
      <w:r>
        <w:t>manente, agravando su detención más allá de lo que la ley y los reglamentos lo perm</w:t>
      </w:r>
      <w:r>
        <w:t>i</w:t>
      </w:r>
      <w:r>
        <w:t>ten” (cfr. fs. 1269 de la causa 38.358).</w:t>
      </w:r>
    </w:p>
    <w:p w:rsidR="00224567" w:rsidRDefault="00224567">
      <w:pPr>
        <w:pStyle w:val="Ttulo10"/>
        <w:rPr>
          <w:b w:val="0"/>
          <w:bCs w:val="0"/>
        </w:rPr>
      </w:pPr>
      <w:r>
        <w:tab/>
        <w:t>C.2.d.</w:t>
      </w:r>
      <w:bookmarkStart w:id="254" w:name="VAMOS_POR_ACA"/>
      <w:bookmarkEnd w:id="254"/>
      <w:r>
        <w:t>xi.A.4.d.iv)</w:t>
      </w:r>
      <w:bookmarkStart w:id="255" w:name="_Toc79816958"/>
      <w:r>
        <w:rPr>
          <w:b w:val="0"/>
          <w:bCs w:val="0"/>
        </w:rPr>
        <w:t xml:space="preserve"> Contacto con los policías</w:t>
      </w:r>
      <w:bookmarkEnd w:id="255"/>
      <w:r>
        <w:rPr>
          <w:b w:val="0"/>
          <w:bCs w:val="0"/>
        </w:rPr>
        <w:t>.</w:t>
      </w:r>
    </w:p>
    <w:p w:rsidR="00224567" w:rsidRDefault="00224567">
      <w:pPr>
        <w:widowControl w:val="0"/>
      </w:pPr>
      <w:r>
        <w:tab/>
        <w:t>El Fiscal General, Dr. Nisman, se basó también en los d</w:t>
      </w:r>
      <w:r>
        <w:t>i</w:t>
      </w:r>
      <w:r>
        <w:t>chos de los testigos Ramón Emilio Solari, José Aurelio Ferrari y Raúl Alfredo Benito Levaggi, como así en los del i</w:t>
      </w:r>
      <w:r>
        <w:t>m</w:t>
      </w:r>
      <w:r>
        <w:t>putado Mario Norberto Bareiro para fundar la existencia de supuestas reuniones del personal policial con el prim</w:t>
      </w:r>
      <w:r>
        <w:t>e</w:t>
      </w:r>
      <w:r>
        <w:t>ro para preparar su testimonio.</w:t>
      </w:r>
    </w:p>
    <w:p w:rsidR="00224567" w:rsidRDefault="00224567">
      <w:pPr>
        <w:widowControl w:val="0"/>
        <w:rPr>
          <w:lang w:val="es-ES_tradnl"/>
        </w:rPr>
      </w:pPr>
      <w:r>
        <w:tab/>
        <w:t>Lo manifestado por Solari no se acr</w:t>
      </w:r>
      <w:r>
        <w:t>e</w:t>
      </w:r>
      <w:r>
        <w:t xml:space="preserve">ditó en la audiencia de debate. Si bien se probó que los policías de </w:t>
      </w:r>
      <w:smartTag w:uri="urn:schemas-microsoft-com:office:smarttags" w:element="PersonName">
        <w:smartTagPr>
          <w:attr w:name="ProductID" w:val="la Brigada"/>
        </w:smartTagPr>
        <w:r>
          <w:t>la Brigada</w:t>
        </w:r>
      </w:smartTag>
      <w:r>
        <w:t xml:space="preserve"> de Vicente López</w:t>
      </w:r>
      <w:r>
        <w:rPr>
          <w:lang w:val="es-ES_tradnl"/>
        </w:rPr>
        <w:t xml:space="preserve"> encargados de la custodia de los detenidos trataron con Solari, las expl</w:t>
      </w:r>
      <w:r>
        <w:rPr>
          <w:lang w:val="es-ES_tradnl"/>
        </w:rPr>
        <w:t>i</w:t>
      </w:r>
      <w:r>
        <w:rPr>
          <w:lang w:val="es-ES_tradnl"/>
        </w:rPr>
        <w:t>caciones brindadas por los distintos funcionarios para fundar las charlas resu</w:t>
      </w:r>
      <w:r>
        <w:rPr>
          <w:lang w:val="es-ES_tradnl"/>
        </w:rPr>
        <w:t>l</w:t>
      </w:r>
      <w:r>
        <w:rPr>
          <w:lang w:val="es-ES_tradnl"/>
        </w:rPr>
        <w:t>tan lógicas y razonables, teniendo en cuenta las especi</w:t>
      </w:r>
      <w:r>
        <w:rPr>
          <w:lang w:val="es-ES_tradnl"/>
        </w:rPr>
        <w:t>a</w:t>
      </w:r>
      <w:r>
        <w:rPr>
          <w:lang w:val="es-ES_tradnl"/>
        </w:rPr>
        <w:t>les características del nombrado.</w:t>
      </w:r>
    </w:p>
    <w:p w:rsidR="00224567" w:rsidRDefault="00224567">
      <w:pPr>
        <w:widowControl w:val="0"/>
        <w:rPr>
          <w:lang w:val="es-ES_tradnl"/>
        </w:rPr>
      </w:pPr>
      <w:r>
        <w:rPr>
          <w:lang w:val="es-ES_tradnl"/>
        </w:rPr>
        <w:tab/>
        <w:t>En este sentido, cabe destacar que v</w:t>
      </w:r>
      <w:r>
        <w:rPr>
          <w:lang w:val="es-ES_tradnl"/>
        </w:rPr>
        <w:t>a</w:t>
      </w:r>
      <w:r>
        <w:rPr>
          <w:lang w:val="es-ES_tradnl"/>
        </w:rPr>
        <w:t>rios testimonios convergen en señalar que era común que los policías hablaran con los detenidos que custodiaban porque era una forma de control o distracción (Eladio A</w:t>
      </w:r>
      <w:r>
        <w:rPr>
          <w:lang w:val="es-ES_tradnl"/>
        </w:rPr>
        <w:t>l</w:t>
      </w:r>
      <w:r>
        <w:rPr>
          <w:lang w:val="es-ES_tradnl"/>
        </w:rPr>
        <w:t>berto Otero, Guillermo José Sánchez, Rodolfo Fabián Vall</w:t>
      </w:r>
      <w:r>
        <w:rPr>
          <w:lang w:val="es-ES_tradnl"/>
        </w:rPr>
        <w:t>e</w:t>
      </w:r>
      <w:r>
        <w:rPr>
          <w:lang w:val="es-ES_tradnl"/>
        </w:rPr>
        <w:t>jos y Dante Ulises Valenzuela). Toda vez que los funcion</w:t>
      </w:r>
      <w:r>
        <w:rPr>
          <w:lang w:val="es-ES_tradnl"/>
        </w:rPr>
        <w:t>a</w:t>
      </w:r>
      <w:r>
        <w:rPr>
          <w:lang w:val="es-ES_tradnl"/>
        </w:rPr>
        <w:t>rios policiales compartían varias horas diarias en un mi</w:t>
      </w:r>
      <w:r>
        <w:rPr>
          <w:lang w:val="es-ES_tradnl"/>
        </w:rPr>
        <w:t>s</w:t>
      </w:r>
      <w:r>
        <w:rPr>
          <w:lang w:val="es-ES_tradnl"/>
        </w:rPr>
        <w:t>mo ámbito físico con los detenidos, que el lugar era ch</w:t>
      </w:r>
      <w:r>
        <w:rPr>
          <w:lang w:val="es-ES_tradnl"/>
        </w:rPr>
        <w:t>i</w:t>
      </w:r>
      <w:r>
        <w:rPr>
          <w:lang w:val="es-ES_tradnl"/>
        </w:rPr>
        <w:t>co, sin ventanas, sumado al natural hastío que pr</w:t>
      </w:r>
      <w:r>
        <w:rPr>
          <w:lang w:val="es-ES_tradnl"/>
        </w:rPr>
        <w:t>o</w:t>
      </w:r>
      <w:r>
        <w:rPr>
          <w:lang w:val="es-ES_tradnl"/>
        </w:rPr>
        <w:t>voca el encierro, no puede resultar sorprendente que intercambi</w:t>
      </w:r>
      <w:r>
        <w:rPr>
          <w:lang w:val="es-ES_tradnl"/>
        </w:rPr>
        <w:t>a</w:t>
      </w:r>
      <w:r>
        <w:rPr>
          <w:lang w:val="es-ES_tradnl"/>
        </w:rPr>
        <w:t>ran algunas p</w:t>
      </w:r>
      <w:r>
        <w:rPr>
          <w:lang w:val="es-ES_tradnl"/>
        </w:rPr>
        <w:t>a</w:t>
      </w:r>
      <w:r>
        <w:rPr>
          <w:lang w:val="es-ES_tradnl"/>
        </w:rPr>
        <w:t>labras.</w:t>
      </w:r>
    </w:p>
    <w:p w:rsidR="00224567" w:rsidRDefault="00224567">
      <w:pPr>
        <w:widowControl w:val="0"/>
        <w:rPr>
          <w:lang w:val="es-ES_tradnl"/>
        </w:rPr>
      </w:pPr>
      <w:r>
        <w:rPr>
          <w:lang w:val="es-ES_tradnl"/>
        </w:rPr>
        <w:tab/>
        <w:t>Por otra parte, en estos casos, de m</w:t>
      </w:r>
      <w:r>
        <w:rPr>
          <w:lang w:val="es-ES_tradnl"/>
        </w:rPr>
        <w:t>a</w:t>
      </w:r>
      <w:r>
        <w:rPr>
          <w:lang w:val="es-ES_tradnl"/>
        </w:rPr>
        <w:t>nera esp</w:t>
      </w:r>
      <w:r>
        <w:rPr>
          <w:lang w:val="es-ES_tradnl"/>
        </w:rPr>
        <w:t>e</w:t>
      </w:r>
      <w:r>
        <w:rPr>
          <w:lang w:val="es-ES_tradnl"/>
        </w:rPr>
        <w:t>cial en el de Solari, fueron claros los testigos al exponer la impo</w:t>
      </w:r>
      <w:r>
        <w:rPr>
          <w:lang w:val="es-ES_tradnl"/>
        </w:rPr>
        <w:t>r</w:t>
      </w:r>
      <w:r>
        <w:rPr>
          <w:lang w:val="es-ES_tradnl"/>
        </w:rPr>
        <w:t>tancia de contener a los detenidos para evitar mayores problemas. Además cabe destacar que los p</w:t>
      </w:r>
      <w:r>
        <w:rPr>
          <w:lang w:val="es-ES_tradnl"/>
        </w:rPr>
        <w:t>o</w:t>
      </w:r>
      <w:r>
        <w:rPr>
          <w:lang w:val="es-ES_tradnl"/>
        </w:rPr>
        <w:t>licías encarg</w:t>
      </w:r>
      <w:r>
        <w:rPr>
          <w:lang w:val="es-ES_tradnl"/>
        </w:rPr>
        <w:t>a</w:t>
      </w:r>
      <w:r>
        <w:rPr>
          <w:lang w:val="es-ES_tradnl"/>
        </w:rPr>
        <w:t>dos de su custodia y algún personal superior de la dependencia realizaban inspecciones de calabozos c</w:t>
      </w:r>
      <w:r>
        <w:rPr>
          <w:lang w:val="es-ES_tradnl"/>
        </w:rPr>
        <w:t>a</w:t>
      </w:r>
      <w:r>
        <w:rPr>
          <w:lang w:val="es-ES_tradnl"/>
        </w:rPr>
        <w:t>da dos horas aproximadamente.</w:t>
      </w:r>
    </w:p>
    <w:p w:rsidR="00224567" w:rsidRDefault="00224567">
      <w:pPr>
        <w:widowControl w:val="0"/>
        <w:rPr>
          <w:lang w:val="es-ES_tradnl"/>
        </w:rPr>
      </w:pPr>
      <w:r>
        <w:rPr>
          <w:lang w:val="es-ES_tradnl"/>
        </w:rPr>
        <w:tab/>
        <w:t>Rago reconoció que habló con Solari en la oportunidad en que se lo trasladó a la oficina de op</w:t>
      </w:r>
      <w:r>
        <w:rPr>
          <w:lang w:val="es-ES_tradnl"/>
        </w:rPr>
        <w:t>e</w:t>
      </w:r>
      <w:r>
        <w:rPr>
          <w:lang w:val="es-ES_tradnl"/>
        </w:rPr>
        <w:t xml:space="preserve">raciones para que lo viera </w:t>
      </w:r>
      <w:smartTag w:uri="urn:schemas-microsoft-com:office:smarttags" w:element="PersonName">
        <w:smartTagPr>
          <w:attr w:name="ProductID" w:val="la Dra. Bernal"/>
        </w:smartTagPr>
        <w:r>
          <w:rPr>
            <w:lang w:val="es-ES_tradnl"/>
          </w:rPr>
          <w:t>la Dra. Bernal</w:t>
        </w:r>
      </w:smartTag>
      <w:r>
        <w:rPr>
          <w:lang w:val="es-ES_tradnl"/>
        </w:rPr>
        <w:t>, en la visita ya comentada.</w:t>
      </w:r>
    </w:p>
    <w:p w:rsidR="00224567" w:rsidRDefault="00224567">
      <w:pPr>
        <w:widowControl w:val="0"/>
        <w:rPr>
          <w:lang w:val="es-ES_tradnl"/>
        </w:rPr>
      </w:pPr>
      <w:r>
        <w:rPr>
          <w:lang w:val="es-ES_tradnl"/>
        </w:rPr>
        <w:tab/>
        <w:t>Por otra parte, tampoco se acreditó que Ribelli mantuviera una entrevista con Solari en la brigada. En efecto, el imputado ni siquiera fue visto en esa dependencia por los testigos que se expidieron al re</w:t>
      </w:r>
      <w:r>
        <w:rPr>
          <w:lang w:val="es-ES_tradnl"/>
        </w:rPr>
        <w:t>s</w:t>
      </w:r>
      <w:r>
        <w:rPr>
          <w:lang w:val="es-ES_tradnl"/>
        </w:rPr>
        <w:t xml:space="preserve">pecto (Enrique Carlos Forgione, Guillermo José Sánchez, José Aurelio Ferrari, José Nicolás Balbi, Julio Eduardo García, Daniel Nicolás Lencina, Rodolfo Fabián Vallejos y </w:t>
      </w:r>
      <w:smartTag w:uri="urn:schemas-microsoft-com:office:smarttags" w:element="PersonName">
        <w:smartTagPr>
          <w:attr w:name="ProductID" w:val="la Dra. Graciela"/>
        </w:smartTagPr>
        <w:r>
          <w:rPr>
            <w:lang w:val="es-ES_tradnl"/>
          </w:rPr>
          <w:t>la Dra. Graciela</w:t>
        </w:r>
      </w:smartTag>
      <w:r>
        <w:rPr>
          <w:lang w:val="es-ES_tradnl"/>
        </w:rPr>
        <w:t xml:space="preserve"> Rita Bernal).</w:t>
      </w:r>
    </w:p>
    <w:p w:rsidR="00224567" w:rsidRDefault="00224567">
      <w:pPr>
        <w:widowControl w:val="0"/>
      </w:pPr>
      <w:r>
        <w:rPr>
          <w:lang w:val="es-ES_tradnl"/>
        </w:rPr>
        <w:tab/>
      </w:r>
      <w:r>
        <w:t>El Ministerio Público Fiscal se valió de otros testim</w:t>
      </w:r>
      <w:r>
        <w:t>o</w:t>
      </w:r>
      <w:r>
        <w:t>nios rendidos en la audiencia para avalar su postura. Así, utilizó el de Ferrari</w:t>
      </w:r>
      <w:r>
        <w:rPr>
          <w:b/>
          <w:bCs/>
        </w:rPr>
        <w:t xml:space="preserve"> </w:t>
      </w:r>
      <w:r>
        <w:t>cuando afirmó que Bareiro le comentó que varias veces a la noche ingresó a la celda de Solari para conversar acerca del tema A.M.I.A. y Telleldín; que era comentario general en la br</w:t>
      </w:r>
      <w:r>
        <w:t>i</w:t>
      </w:r>
      <w:r>
        <w:t>gada que quien le aportó los datos a Solari para que prestara las falsas declaraciones en el juzgado federal era Mario B</w:t>
      </w:r>
      <w:r>
        <w:t>a</w:t>
      </w:r>
      <w:r>
        <w:t>reiro.</w:t>
      </w:r>
    </w:p>
    <w:p w:rsidR="00224567" w:rsidRDefault="00224567">
      <w:pPr>
        <w:widowControl w:val="0"/>
        <w:rPr>
          <w:lang w:val="es-ES_tradnl"/>
        </w:rPr>
      </w:pPr>
      <w:r>
        <w:tab/>
        <w:t>Nuevamente el fiscal Nisman valoró parcialmente los dichos de un testigo -sacándolos de co</w:t>
      </w:r>
      <w:r>
        <w:t>n</w:t>
      </w:r>
      <w:r>
        <w:t>texto- de manera que pierden su significado. En efecto, afirmó que B</w:t>
      </w:r>
      <w:r>
        <w:t>a</w:t>
      </w:r>
      <w:r>
        <w:t xml:space="preserve">reiro aportó datos a Solari con la finalidad de que prestara declaración en el juzgado, mientras que Ferrari dijo una cosa totalmente diferente. Éste último sostuvo </w:t>
      </w:r>
      <w:r>
        <w:rPr>
          <w:lang w:val="es-ES_tradnl"/>
        </w:rPr>
        <w:t>que, de algún lado le queda la idea que Solari construyó su historia en base a las charlas que mantuvo con Bareiro en el calabozo, no que fue quien lo prep</w:t>
      </w:r>
      <w:r>
        <w:rPr>
          <w:lang w:val="es-ES_tradnl"/>
        </w:rPr>
        <w:t>a</w:t>
      </w:r>
      <w:r>
        <w:rPr>
          <w:lang w:val="es-ES_tradnl"/>
        </w:rPr>
        <w:t>ró.</w:t>
      </w:r>
    </w:p>
    <w:p w:rsidR="00224567" w:rsidRDefault="00224567">
      <w:pPr>
        <w:widowControl w:val="0"/>
        <w:rPr>
          <w:lang w:val="es-ES_tradnl"/>
        </w:rPr>
      </w:pPr>
      <w:r>
        <w:rPr>
          <w:lang w:val="es-ES_tradnl"/>
        </w:rPr>
        <w:tab/>
        <w:t>Por otra parte, Ferrari afirmó que no era habitual que los oficiales de servicio ingresen a los calabozos y queden solos con el detenido pero, a veces, era una forma de contenerlos. Tampoco le resultó extraño que lo hicieran porque los suboficiales de la brigada co</w:t>
      </w:r>
      <w:r>
        <w:rPr>
          <w:lang w:val="es-ES_tradnl"/>
        </w:rPr>
        <w:t>n</w:t>
      </w:r>
      <w:r>
        <w:rPr>
          <w:lang w:val="es-ES_tradnl"/>
        </w:rPr>
        <w:t>viven con los detenidos, al estar reja de por medio. Ad</w:t>
      </w:r>
      <w:r>
        <w:rPr>
          <w:lang w:val="es-ES_tradnl"/>
        </w:rPr>
        <w:t>e</w:t>
      </w:r>
      <w:r>
        <w:rPr>
          <w:lang w:val="es-ES_tradnl"/>
        </w:rPr>
        <w:t>más de ello, los oficiales de servicio normalmente ti</w:t>
      </w:r>
      <w:r>
        <w:rPr>
          <w:lang w:val="es-ES_tradnl"/>
        </w:rPr>
        <w:t>e</w:t>
      </w:r>
      <w:r>
        <w:rPr>
          <w:lang w:val="es-ES_tradnl"/>
        </w:rPr>
        <w:t>nen que entrar cada dos horas a los calabozos para rev</w:t>
      </w:r>
      <w:r>
        <w:rPr>
          <w:lang w:val="es-ES_tradnl"/>
        </w:rPr>
        <w:t>i</w:t>
      </w:r>
      <w:r>
        <w:rPr>
          <w:lang w:val="es-ES_tradnl"/>
        </w:rPr>
        <w:t>sarlos.</w:t>
      </w:r>
    </w:p>
    <w:p w:rsidR="00224567" w:rsidRDefault="00224567">
      <w:pPr>
        <w:widowControl w:val="0"/>
        <w:rPr>
          <w:lang w:val="es-ES_tradnl"/>
        </w:rPr>
      </w:pPr>
      <w:r>
        <w:rPr>
          <w:lang w:val="es-ES_tradnl"/>
        </w:rPr>
        <w:tab/>
        <w:t>El Fiscal General refirió que le ll</w:t>
      </w:r>
      <w:r>
        <w:rPr>
          <w:lang w:val="es-ES_tradnl"/>
        </w:rPr>
        <w:t>a</w:t>
      </w:r>
      <w:r>
        <w:rPr>
          <w:lang w:val="es-ES_tradnl"/>
        </w:rPr>
        <w:t>maba la atención lo expresado por Levaggi en cuanto sost</w:t>
      </w:r>
      <w:r>
        <w:rPr>
          <w:lang w:val="es-ES_tradnl"/>
        </w:rPr>
        <w:t>u</w:t>
      </w:r>
      <w:r>
        <w:rPr>
          <w:lang w:val="es-ES_tradnl"/>
        </w:rPr>
        <w:t>vo que personal de la brigada entraba a la celda para h</w:t>
      </w:r>
      <w:r>
        <w:rPr>
          <w:lang w:val="es-ES_tradnl"/>
        </w:rPr>
        <w:t>a</w:t>
      </w:r>
      <w:r>
        <w:rPr>
          <w:lang w:val="es-ES_tradnl"/>
        </w:rPr>
        <w:t>blar con Solari y hacían salir a los restantes detenidos al pasillo o a otro sitio, de modo que ningún otro preso permanecía en el lugar ni escuchaba de que habl</w:t>
      </w:r>
      <w:r>
        <w:rPr>
          <w:lang w:val="es-ES_tradnl"/>
        </w:rPr>
        <w:t>a</w:t>
      </w:r>
      <w:r>
        <w:rPr>
          <w:lang w:val="es-ES_tradnl"/>
        </w:rPr>
        <w:t>ban.</w:t>
      </w:r>
    </w:p>
    <w:p w:rsidR="00224567" w:rsidRDefault="00224567">
      <w:pPr>
        <w:widowControl w:val="0"/>
      </w:pPr>
      <w:r>
        <w:rPr>
          <w:lang w:val="es-ES_tradnl"/>
        </w:rPr>
        <w:tab/>
      </w:r>
      <w:r>
        <w:t>Sin embargo la cita efectuada por el Dr. Nisman es incompleta ya que no aclaró que el testigo afirmó que desde el patio donde estaba hubiera podido e</w:t>
      </w:r>
      <w:r>
        <w:t>s</w:t>
      </w:r>
      <w:r>
        <w:t>cuchar las convers</w:t>
      </w:r>
      <w:r>
        <w:t>a</w:t>
      </w:r>
      <w:r>
        <w:t>ciones pero no lo hizo.</w:t>
      </w:r>
    </w:p>
    <w:p w:rsidR="00224567" w:rsidRDefault="00224567">
      <w:pPr>
        <w:widowControl w:val="0"/>
      </w:pPr>
      <w:r>
        <w:tab/>
        <w:t xml:space="preserve">El fiscal arguyó que Bareiro durante su desempeño en </w:t>
      </w:r>
      <w:smartTag w:uri="urn:schemas-microsoft-com:office:smarttags" w:element="PersonName">
        <w:smartTagPr>
          <w:attr w:name="ProductID" w:val="la Brigada"/>
        </w:smartTagPr>
        <w:r>
          <w:t>la Brigada</w:t>
        </w:r>
      </w:smartTag>
      <w:r>
        <w:t xml:space="preserve"> de Investigaciones de Vicente López conoció a Solari, quien le dijo que tenía inform</w:t>
      </w:r>
      <w:r>
        <w:t>a</w:t>
      </w:r>
      <w:r>
        <w:t>ción de la causa A.M.I.A., por lo que entiende que Bareiro invierte la cue</w:t>
      </w:r>
      <w:r>
        <w:t>s</w:t>
      </w:r>
      <w:r>
        <w:t>tión.</w:t>
      </w:r>
    </w:p>
    <w:p w:rsidR="00224567" w:rsidRDefault="00224567">
      <w:pPr>
        <w:widowControl w:val="0"/>
      </w:pPr>
      <w:r>
        <w:tab/>
        <w:t>Resulta patente que el fiscal inte</w:t>
      </w:r>
      <w:r>
        <w:t>r</w:t>
      </w:r>
      <w:r>
        <w:t>pretó los hechos capr</w:t>
      </w:r>
      <w:r>
        <w:t>i</w:t>
      </w:r>
      <w:r>
        <w:t>chosamente. Ello es así, puesto que varios testigos coincidieron en señalar que Solari afirm</w:t>
      </w:r>
      <w:r>
        <w:t>a</w:t>
      </w:r>
      <w:r>
        <w:t>ba en la dependencia policial conocer datos vinculados a la causa A.M.I.A. antes de que declarase en el juzgado instructor. Así lo sostuvieron en la audiencia de debate Levaggi, Derruvo y V</w:t>
      </w:r>
      <w:r>
        <w:t>a</w:t>
      </w:r>
      <w:r>
        <w:t>llejos.</w:t>
      </w:r>
    </w:p>
    <w:p w:rsidR="00224567" w:rsidRDefault="00224567">
      <w:pPr>
        <w:widowControl w:val="0"/>
        <w:rPr>
          <w:lang w:val="es-ES_tradnl"/>
        </w:rPr>
      </w:pPr>
      <w:r>
        <w:tab/>
        <w:t>Por otra parte, la existencia de las conversaciones e</w:t>
      </w:r>
      <w:r>
        <w:t>n</w:t>
      </w:r>
      <w:r>
        <w:t>tre Solari y Bareiro fueron</w:t>
      </w:r>
      <w:r>
        <w:rPr>
          <w:lang w:val="es-ES_tradnl"/>
        </w:rPr>
        <w:t xml:space="preserve"> admitidas por éste, al señalar que Solari era uno de los detenidos “co</w:t>
      </w:r>
      <w:r>
        <w:rPr>
          <w:lang w:val="es-ES_tradnl"/>
        </w:rPr>
        <w:t>n</w:t>
      </w:r>
      <w:r>
        <w:rPr>
          <w:lang w:val="es-ES_tradnl"/>
        </w:rPr>
        <w:t>flictivos” y, por ende, era una forma de mantener una c</w:t>
      </w:r>
      <w:r>
        <w:rPr>
          <w:lang w:val="es-ES_tradnl"/>
        </w:rPr>
        <w:t>o</w:t>
      </w:r>
      <w:r>
        <w:rPr>
          <w:lang w:val="es-ES_tradnl"/>
        </w:rPr>
        <w:t>municación para que no alborotara o provocara desórdenes con el resto de la p</w:t>
      </w:r>
      <w:r>
        <w:rPr>
          <w:lang w:val="es-ES_tradnl"/>
        </w:rPr>
        <w:t>o</w:t>
      </w:r>
      <w:r>
        <w:rPr>
          <w:lang w:val="es-ES_tradnl"/>
        </w:rPr>
        <w:t>blación carcelaria.</w:t>
      </w:r>
    </w:p>
    <w:p w:rsidR="00224567" w:rsidRDefault="00224567">
      <w:pPr>
        <w:widowControl w:val="0"/>
        <w:rPr>
          <w:lang w:val="es-ES_tradnl"/>
        </w:rPr>
      </w:pPr>
      <w:r>
        <w:rPr>
          <w:lang w:val="es-ES_tradnl"/>
        </w:rPr>
        <w:tab/>
        <w:t>Comentario aparte amerita la refere</w:t>
      </w:r>
      <w:r>
        <w:rPr>
          <w:lang w:val="es-ES_tradnl"/>
        </w:rPr>
        <w:t>n</w:t>
      </w:r>
      <w:r>
        <w:rPr>
          <w:lang w:val="es-ES_tradnl"/>
        </w:rPr>
        <w:t>cia efectuada por Solari en el juzgado instructor, con r</w:t>
      </w:r>
      <w:r>
        <w:rPr>
          <w:lang w:val="es-ES_tradnl"/>
        </w:rPr>
        <w:t>e</w:t>
      </w:r>
      <w:r>
        <w:rPr>
          <w:lang w:val="es-ES_tradnl"/>
        </w:rPr>
        <w:t>lación a la vinculación de Bareiro con el atentado. En efecto, resulta un disparate sostener –como lo han hecho los acusadores- que Bareiro preparó a Solari para d</w:t>
      </w:r>
      <w:r>
        <w:rPr>
          <w:lang w:val="es-ES_tradnl"/>
        </w:rPr>
        <w:t>e</w:t>
      </w:r>
      <w:r>
        <w:rPr>
          <w:lang w:val="es-ES_tradnl"/>
        </w:rPr>
        <w:t>clarar ya que, de haber sido así, no se comprende que éste lo i</w:t>
      </w:r>
      <w:r>
        <w:rPr>
          <w:lang w:val="es-ES_tradnl"/>
        </w:rPr>
        <w:t>n</w:t>
      </w:r>
      <w:r>
        <w:rPr>
          <w:lang w:val="es-ES_tradnl"/>
        </w:rPr>
        <w:t xml:space="preserve">volucrara en la operación de compraventa de </w:t>
      </w:r>
      <w:smartTag w:uri="urn:schemas-microsoft-com:office:smarttags" w:element="PersonName">
        <w:smartTagPr>
          <w:attr w:name="ProductID" w:val="la Trafic"/>
        </w:smartTagPr>
        <w:r>
          <w:rPr>
            <w:lang w:val="es-ES_tradnl"/>
          </w:rPr>
          <w:t>la Trafic</w:t>
        </w:r>
      </w:smartTag>
      <w:r>
        <w:rPr>
          <w:lang w:val="es-ES_tradnl"/>
        </w:rPr>
        <w:t>, h</w:t>
      </w:r>
      <w:r>
        <w:rPr>
          <w:lang w:val="es-ES_tradnl"/>
        </w:rPr>
        <w:t>e</w:t>
      </w:r>
      <w:r>
        <w:rPr>
          <w:lang w:val="es-ES_tradnl"/>
        </w:rPr>
        <w:t>cho del que presuntamente debía desvincula</w:t>
      </w:r>
      <w:r>
        <w:rPr>
          <w:lang w:val="es-ES_tradnl"/>
        </w:rPr>
        <w:t>r</w:t>
      </w:r>
      <w:r>
        <w:rPr>
          <w:lang w:val="es-ES_tradnl"/>
        </w:rPr>
        <w:t>lo.</w:t>
      </w:r>
    </w:p>
    <w:p w:rsidR="00224567" w:rsidRDefault="00224567">
      <w:pPr>
        <w:widowControl w:val="0"/>
        <w:rPr>
          <w:lang w:val="es-ES_tradnl"/>
        </w:rPr>
      </w:pPr>
      <w:r>
        <w:rPr>
          <w:lang w:val="es-ES_tradnl"/>
        </w:rPr>
        <w:tab/>
        <w:t>La doctora Nercellas estimó que pudo haber sido porque la policía bonaerense sabía que había sido detectada como partícipe del atentado y entregaron al eslabón más bajo de la cadena.</w:t>
      </w:r>
    </w:p>
    <w:p w:rsidR="00224567" w:rsidRDefault="00224567">
      <w:pPr>
        <w:widowControl w:val="0"/>
      </w:pPr>
      <w:r>
        <w:rPr>
          <w:lang w:val="es-ES_tradnl"/>
        </w:rPr>
        <w:tab/>
        <w:t>Lo afirmado por la nombrada importa una confusión demasiado evidente en las fechas como para ser casual. En efecto, para la época de las primeras d</w:t>
      </w:r>
      <w:r>
        <w:rPr>
          <w:lang w:val="es-ES_tradnl"/>
        </w:rPr>
        <w:t>e</w:t>
      </w:r>
      <w:r>
        <w:rPr>
          <w:lang w:val="es-ES_tradnl"/>
        </w:rPr>
        <w:t xml:space="preserve">claraciones de Solari, ninguno de los policías imputados era objeto de investigación penal o administrativa </w:t>
      </w:r>
      <w:r>
        <w:t>rel</w:t>
      </w:r>
      <w:r>
        <w:t>a</w:t>
      </w:r>
      <w:r>
        <w:t>cionada con las presentes actuaci</w:t>
      </w:r>
      <w:r>
        <w:t>o</w:t>
      </w:r>
      <w:r>
        <w:t>nes.</w:t>
      </w:r>
    </w:p>
    <w:p w:rsidR="00224567" w:rsidRDefault="00224567">
      <w:pPr>
        <w:widowControl w:val="0"/>
      </w:pPr>
      <w:r>
        <w:tab/>
        <w:t xml:space="preserve">Las probanzas reseñadas permiten tener por acreditado que el personal policial de </w:t>
      </w:r>
      <w:smartTag w:uri="urn:schemas-microsoft-com:office:smarttags" w:element="PersonName">
        <w:smartTagPr>
          <w:attr w:name="ProductID" w:val="la Brigada"/>
        </w:smartTagPr>
        <w:r>
          <w:t>la Brigada</w:t>
        </w:r>
      </w:smartTag>
      <w:r>
        <w:t xml:space="preserve"> de Investigaci</w:t>
      </w:r>
      <w:r>
        <w:t>o</w:t>
      </w:r>
      <w:r>
        <w:t>nes de Vicente López tuvo trato con Solari en el marco de sus funciones. Las características del deten</w:t>
      </w:r>
      <w:r>
        <w:t>i</w:t>
      </w:r>
      <w:r>
        <w:t>do impulsaron a los policías a tener un contacto cercano para calmarlo, tranquilizarlo y contenerlo y, de ese m</w:t>
      </w:r>
      <w:r>
        <w:t>o</w:t>
      </w:r>
      <w:r>
        <w:t>do, evitar futuros problemas para los propios funcionarios p</w:t>
      </w:r>
      <w:r>
        <w:t>o</w:t>
      </w:r>
      <w:r>
        <w:t>liciales.</w:t>
      </w:r>
    </w:p>
    <w:p w:rsidR="00224567" w:rsidRDefault="00224567">
      <w:pPr>
        <w:widowControl w:val="0"/>
        <w:rPr>
          <w:lang w:val="es-ES_tradnl"/>
        </w:rPr>
      </w:pPr>
      <w:r>
        <w:tab/>
      </w:r>
      <w:r>
        <w:rPr>
          <w:lang w:val="es-ES_tradnl"/>
        </w:rPr>
        <w:t>En este sentido, adviértase que a S</w:t>
      </w:r>
      <w:r>
        <w:rPr>
          <w:lang w:val="es-ES_tradnl"/>
        </w:rPr>
        <w:t>o</w:t>
      </w:r>
      <w:r>
        <w:rPr>
          <w:lang w:val="es-ES_tradnl"/>
        </w:rPr>
        <w:t>lari se le detect</w:t>
      </w:r>
      <w:r>
        <w:rPr>
          <w:lang w:val="es-ES_tradnl"/>
        </w:rPr>
        <w:t>a</w:t>
      </w:r>
      <w:r>
        <w:rPr>
          <w:lang w:val="es-ES_tradnl"/>
        </w:rPr>
        <w:t>ron el 17 de septiembre de 1994, típicas lesiones de autoagr</w:t>
      </w:r>
      <w:r>
        <w:rPr>
          <w:lang w:val="es-ES_tradnl"/>
        </w:rPr>
        <w:t>e</w:t>
      </w:r>
      <w:r>
        <w:rPr>
          <w:lang w:val="es-ES_tradnl"/>
        </w:rPr>
        <w:t>sión y que el 14 de octubre del mismo año declaró en la causa nº 29.598 que fue to</w:t>
      </w:r>
      <w:r>
        <w:rPr>
          <w:lang w:val="es-ES_tradnl"/>
        </w:rPr>
        <w:t>r</w:t>
      </w:r>
      <w:r>
        <w:rPr>
          <w:lang w:val="es-ES_tradnl"/>
        </w:rPr>
        <w:t xml:space="preserve">turado por </w:t>
      </w:r>
      <w:smartTag w:uri="urn:schemas-microsoft-com:office:smarttags" w:element="PersonName">
        <w:smartTagPr>
          <w:attr w:name="ProductID" w:val="la Polic￭a Federal"/>
        </w:smartTagPr>
        <w:r>
          <w:rPr>
            <w:lang w:val="es-ES_tradnl"/>
          </w:rPr>
          <w:t>la Policía Federal</w:t>
        </w:r>
      </w:smartTag>
      <w:r>
        <w:rPr>
          <w:lang w:val="es-ES_tradnl"/>
        </w:rPr>
        <w:t xml:space="preserve"> y por </w:t>
      </w:r>
      <w:smartTag w:uri="urn:schemas-microsoft-com:office:smarttags" w:element="PersonName">
        <w:smartTagPr>
          <w:attr w:name="ProductID" w:val="la Brigada"/>
        </w:smartTagPr>
        <w:r>
          <w:rPr>
            <w:lang w:val="es-ES_tradnl"/>
          </w:rPr>
          <w:t>la Brigada</w:t>
        </w:r>
      </w:smartTag>
      <w:r>
        <w:rPr>
          <w:lang w:val="es-ES_tradnl"/>
        </w:rPr>
        <w:t xml:space="preserve"> de Investigaciones de V</w:t>
      </w:r>
      <w:r>
        <w:rPr>
          <w:lang w:val="es-ES_tradnl"/>
        </w:rPr>
        <w:t>i</w:t>
      </w:r>
      <w:r>
        <w:rPr>
          <w:lang w:val="es-ES_tradnl"/>
        </w:rPr>
        <w:t>ce</w:t>
      </w:r>
      <w:r>
        <w:rPr>
          <w:lang w:val="es-ES_tradnl"/>
        </w:rPr>
        <w:t>n</w:t>
      </w:r>
      <w:r>
        <w:rPr>
          <w:lang w:val="es-ES_tradnl"/>
        </w:rPr>
        <w:t xml:space="preserve">te López (cfr. fs. 1, 10vta. y 32/34 de las actuaciones nº 29.598, </w:t>
      </w:r>
      <w:r>
        <w:t>caratulada: “Apremios ilegales sobre Ramón Em</w:t>
      </w:r>
      <w:r>
        <w:t>i</w:t>
      </w:r>
      <w:r>
        <w:t>lio Solari” del Juzgado en lo Criminal y Correccional nº 14 del Depart</w:t>
      </w:r>
      <w:r>
        <w:t>a</w:t>
      </w:r>
      <w:r>
        <w:t>mento Judicial San Isidro</w:t>
      </w:r>
      <w:r>
        <w:rPr>
          <w:lang w:val="es-ES_tradnl"/>
        </w:rPr>
        <w:t>).</w:t>
      </w:r>
    </w:p>
    <w:p w:rsidR="00224567" w:rsidRDefault="00224567">
      <w:pPr>
        <w:widowControl w:val="0"/>
        <w:rPr>
          <w:lang w:val="es-ES_tradnl"/>
        </w:rPr>
      </w:pPr>
      <w:r>
        <w:rPr>
          <w:lang w:val="es-ES_tradnl"/>
        </w:rPr>
        <w:tab/>
        <w:t>Por otra parte, debe destacarse que el detenido en cue</w:t>
      </w:r>
      <w:r>
        <w:rPr>
          <w:lang w:val="es-ES_tradnl"/>
        </w:rPr>
        <w:t>s</w:t>
      </w:r>
      <w:r>
        <w:rPr>
          <w:lang w:val="es-ES_tradnl"/>
        </w:rPr>
        <w:t>tión presentó acciones de habeas corpus el 20 de septie</w:t>
      </w:r>
      <w:r>
        <w:rPr>
          <w:lang w:val="es-ES_tradnl"/>
        </w:rPr>
        <w:t>m</w:t>
      </w:r>
      <w:r>
        <w:rPr>
          <w:lang w:val="es-ES_tradnl"/>
        </w:rPr>
        <w:t xml:space="preserve">bre de 1994 y los días 17 y 28 de octubre de ese año, como así también que el 26 de septiembre de ese año realizó una presentación ante </w:t>
      </w:r>
      <w:smartTag w:uri="urn:schemas-microsoft-com:office:smarttags" w:element="PersonName">
        <w:smartTagPr>
          <w:attr w:name="ProductID" w:val="la Comisi￳n"/>
        </w:smartTagPr>
        <w:r>
          <w:rPr>
            <w:lang w:val="es-ES_tradnl"/>
          </w:rPr>
          <w:t>la Comisión</w:t>
        </w:r>
      </w:smartTag>
      <w:r>
        <w:rPr>
          <w:lang w:val="es-ES_tradnl"/>
        </w:rPr>
        <w:t xml:space="preserve"> de Der</w:t>
      </w:r>
      <w:r>
        <w:rPr>
          <w:lang w:val="es-ES_tradnl"/>
        </w:rPr>
        <w:t>e</w:t>
      </w:r>
      <w:r>
        <w:rPr>
          <w:lang w:val="es-ES_tradnl"/>
        </w:rPr>
        <w:t>chos Humanos de la provincia de Buenos Aires, la que luego efectuó una visita a Solari en la dependencia policial (cfr. fs. 587, 756, 784/787 y 837/838 del expediente nº 28.855 y 716 y 933 de la causa nº 38.358).</w:t>
      </w:r>
    </w:p>
    <w:p w:rsidR="00224567" w:rsidRDefault="00224567">
      <w:pPr>
        <w:widowControl w:val="0"/>
        <w:rPr>
          <w:lang w:val="es-ES_tradnl"/>
        </w:rPr>
      </w:pPr>
      <w:r>
        <w:rPr>
          <w:lang w:val="es-ES_tradnl"/>
        </w:rPr>
        <w:tab/>
        <w:t>Cómo sería la situación que generó S</w:t>
      </w:r>
      <w:r>
        <w:rPr>
          <w:lang w:val="es-ES_tradnl"/>
        </w:rPr>
        <w:t>o</w:t>
      </w:r>
      <w:r>
        <w:rPr>
          <w:lang w:val="es-ES_tradnl"/>
        </w:rPr>
        <w:t>lari que hasta el juez Igarzábal que tenía a su cargo la ca</w:t>
      </w:r>
      <w:r>
        <w:rPr>
          <w:lang w:val="es-ES_tradnl"/>
        </w:rPr>
        <w:t>u</w:t>
      </w:r>
      <w:r>
        <w:rPr>
          <w:lang w:val="es-ES_tradnl"/>
        </w:rPr>
        <w:t xml:space="preserve">sa por el triple homicidio se acercó a </w:t>
      </w:r>
      <w:smartTag w:uri="urn:schemas-microsoft-com:office:smarttags" w:element="PersonName">
        <w:smartTagPr>
          <w:attr w:name="ProductID" w:val="la Brigada"/>
        </w:smartTagPr>
        <w:r>
          <w:rPr>
            <w:lang w:val="es-ES_tradnl"/>
          </w:rPr>
          <w:t>la Brigada</w:t>
        </w:r>
      </w:smartTag>
      <w:r>
        <w:rPr>
          <w:lang w:val="es-ES_tradnl"/>
        </w:rPr>
        <w:t xml:space="preserve"> para imponer a Solari del trámite del proceso el 17 de novie</w:t>
      </w:r>
      <w:r>
        <w:rPr>
          <w:lang w:val="es-ES_tradnl"/>
        </w:rPr>
        <w:t>m</w:t>
      </w:r>
      <w:r>
        <w:rPr>
          <w:lang w:val="es-ES_tradnl"/>
        </w:rPr>
        <w:t>bre (fs. 880 de las a</w:t>
      </w:r>
      <w:r>
        <w:rPr>
          <w:lang w:val="es-ES_tradnl"/>
        </w:rPr>
        <w:t>c</w:t>
      </w:r>
      <w:r>
        <w:rPr>
          <w:lang w:val="es-ES_tradnl"/>
        </w:rPr>
        <w:t>tuaciones nº 28.855).</w:t>
      </w:r>
    </w:p>
    <w:p w:rsidR="00224567" w:rsidRDefault="00224567">
      <w:pPr>
        <w:widowControl w:val="0"/>
        <w:rPr>
          <w:lang w:val="es-ES_tradnl"/>
        </w:rPr>
      </w:pPr>
      <w:r>
        <w:rPr>
          <w:lang w:val="es-ES_tradnl"/>
        </w:rPr>
        <w:tab/>
        <w:t>A lo reseñado se agregan las visitas de diversos médicos, para establecer el carácter y grav</w:t>
      </w:r>
      <w:r>
        <w:rPr>
          <w:lang w:val="es-ES_tradnl"/>
        </w:rPr>
        <w:t>e</w:t>
      </w:r>
      <w:r>
        <w:rPr>
          <w:lang w:val="es-ES_tradnl"/>
        </w:rPr>
        <w:t>dad de las lesiones el 17 de septiembre, 14 y 15 de oct</w:t>
      </w:r>
      <w:r>
        <w:rPr>
          <w:lang w:val="es-ES_tradnl"/>
        </w:rPr>
        <w:t>u</w:t>
      </w:r>
      <w:r>
        <w:rPr>
          <w:lang w:val="es-ES_tradnl"/>
        </w:rPr>
        <w:t>bre de 1994 (ver fs. 10vta. y 37 de la causa nº 29598 y 769 de los a</w:t>
      </w:r>
      <w:r>
        <w:rPr>
          <w:lang w:val="es-ES_tradnl"/>
        </w:rPr>
        <w:t>c</w:t>
      </w:r>
      <w:r>
        <w:rPr>
          <w:lang w:val="es-ES_tradnl"/>
        </w:rPr>
        <w:t>tuados nº 28.855).</w:t>
      </w:r>
    </w:p>
    <w:p w:rsidR="00224567" w:rsidRDefault="00224567">
      <w:pPr>
        <w:widowControl w:val="0"/>
        <w:rPr>
          <w:lang w:val="es-ES_tradnl"/>
        </w:rPr>
      </w:pPr>
      <w:r>
        <w:rPr>
          <w:lang w:val="es-ES_tradnl"/>
        </w:rPr>
        <w:tab/>
        <w:t>El fiscal general sostuvo, en base a los dichos de Solari, que cuando estuvo detenido en la unidad carcel</w:t>
      </w:r>
      <w:r>
        <w:rPr>
          <w:lang w:val="es-ES_tradnl"/>
        </w:rPr>
        <w:t>a</w:t>
      </w:r>
      <w:r>
        <w:rPr>
          <w:lang w:val="es-ES_tradnl"/>
        </w:rPr>
        <w:t>ria federal nº 1, tomó contacto con abogados del personal policial que lo ponían al tanto de las últ</w:t>
      </w:r>
      <w:r>
        <w:rPr>
          <w:lang w:val="es-ES_tradnl"/>
        </w:rPr>
        <w:t>i</w:t>
      </w:r>
      <w:r>
        <w:rPr>
          <w:lang w:val="es-ES_tradnl"/>
        </w:rPr>
        <w:t>mas noved</w:t>
      </w:r>
      <w:r>
        <w:rPr>
          <w:lang w:val="es-ES_tradnl"/>
        </w:rPr>
        <w:t>a</w:t>
      </w:r>
      <w:r>
        <w:rPr>
          <w:lang w:val="es-ES_tradnl"/>
        </w:rPr>
        <w:t>des de la causa.</w:t>
      </w:r>
    </w:p>
    <w:p w:rsidR="00224567" w:rsidRDefault="00224567">
      <w:pPr>
        <w:widowControl w:val="0"/>
        <w:rPr>
          <w:lang w:val="es-ES_tradnl"/>
        </w:rPr>
      </w:pPr>
      <w:r>
        <w:rPr>
          <w:lang w:val="es-ES_tradnl"/>
        </w:rPr>
        <w:tab/>
        <w:t>Tal argumento no se encuentra corrob</w:t>
      </w:r>
      <w:r>
        <w:rPr>
          <w:lang w:val="es-ES_tradnl"/>
        </w:rPr>
        <w:t>o</w:t>
      </w:r>
      <w:r>
        <w:rPr>
          <w:lang w:val="es-ES_tradnl"/>
        </w:rPr>
        <w:t>rado por ninguna prueba de la causa salvo en el endeble testimonio de Sol</w:t>
      </w:r>
      <w:r>
        <w:rPr>
          <w:lang w:val="es-ES_tradnl"/>
        </w:rPr>
        <w:t>a</w:t>
      </w:r>
      <w:r>
        <w:rPr>
          <w:lang w:val="es-ES_tradnl"/>
        </w:rPr>
        <w:t>ri.</w:t>
      </w:r>
    </w:p>
    <w:p w:rsidR="00224567" w:rsidRDefault="00224567">
      <w:pPr>
        <w:pStyle w:val="Ttulo10"/>
      </w:pPr>
      <w:r>
        <w:rPr>
          <w:lang w:val="es-ES_tradnl"/>
        </w:rPr>
        <w:tab/>
      </w:r>
      <w:r>
        <w:t>C.2.d.xi.A.4.d.v)</w:t>
      </w:r>
      <w:bookmarkStart w:id="256" w:name="_Toc79816959"/>
      <w:r>
        <w:t xml:space="preserve"> </w:t>
      </w:r>
      <w:r>
        <w:rPr>
          <w:b w:val="0"/>
          <w:bCs w:val="0"/>
        </w:rPr>
        <w:t>Las autoridades de la brigada tuvieron intención de trasl</w:t>
      </w:r>
      <w:r>
        <w:rPr>
          <w:b w:val="0"/>
          <w:bCs w:val="0"/>
        </w:rPr>
        <w:t>a</w:t>
      </w:r>
      <w:r>
        <w:rPr>
          <w:b w:val="0"/>
          <w:bCs w:val="0"/>
        </w:rPr>
        <w:t>dar a Solari</w:t>
      </w:r>
      <w:bookmarkEnd w:id="256"/>
      <w:r>
        <w:rPr>
          <w:b w:val="0"/>
          <w:bCs w:val="0"/>
        </w:rPr>
        <w:t>.</w:t>
      </w:r>
    </w:p>
    <w:p w:rsidR="00224567" w:rsidRDefault="00224567">
      <w:pPr>
        <w:widowControl w:val="0"/>
      </w:pPr>
      <w:r>
        <w:tab/>
        <w:t>Por otra parte, el doctor Nisman afi</w:t>
      </w:r>
      <w:r>
        <w:t>r</w:t>
      </w:r>
      <w:r>
        <w:t>mó en apoyo de su acusación que Levaggi fue llamativ</w:t>
      </w:r>
      <w:r>
        <w:t>a</w:t>
      </w:r>
      <w:r>
        <w:t>mente trasladado mucho antes que Solari, a pesar de estar det</w:t>
      </w:r>
      <w:r>
        <w:t>e</w:t>
      </w:r>
      <w:r>
        <w:t>nidos en la misma causa y por el mismo delito. Sostuvo que Solari permaneció en la brigada para facilitar su prepar</w:t>
      </w:r>
      <w:r>
        <w:t>a</w:t>
      </w:r>
      <w:r>
        <w:t>ción.</w:t>
      </w:r>
    </w:p>
    <w:p w:rsidR="00224567" w:rsidRDefault="00224567">
      <w:pPr>
        <w:widowControl w:val="0"/>
      </w:pPr>
      <w:r>
        <w:tab/>
        <w:t>El argumento sostenido por el repr</w:t>
      </w:r>
      <w:r>
        <w:t>e</w:t>
      </w:r>
      <w:r>
        <w:t>sentante del Estado de ningún modo puede prosperar. En efecto, el fiscal pareci</w:t>
      </w:r>
      <w:r>
        <w:t>e</w:t>
      </w:r>
      <w:r>
        <w:t>ra olvidar que el traslado de un detenido lo dispone el juez a cuya disposición se encue</w:t>
      </w:r>
      <w:r>
        <w:t>n</w:t>
      </w:r>
      <w:r>
        <w:t>tra y no la dependencia policial que lo aloja. Este fund</w:t>
      </w:r>
      <w:r>
        <w:t>a</w:t>
      </w:r>
      <w:r>
        <w:t>mento resulta por sí solo suficiente para desechar la a</w:t>
      </w:r>
      <w:r>
        <w:t>n</w:t>
      </w:r>
      <w:r>
        <w:t>tojadiza interpretación de los hechos realizada por el fiscal general en su alegato. Sin embargo, sus afirmaci</w:t>
      </w:r>
      <w:r>
        <w:t>o</w:t>
      </w:r>
      <w:r>
        <w:t>nes fueron también desvirtuadas por la prueba rendida en la audiencia de deb</w:t>
      </w:r>
      <w:r>
        <w:t>a</w:t>
      </w:r>
      <w:r>
        <w:t>te, motivo por el cual no se comprende cómo arriba a tan desorbitada co</w:t>
      </w:r>
      <w:r>
        <w:t>n</w:t>
      </w:r>
      <w:r>
        <w:t>clusión.</w:t>
      </w:r>
    </w:p>
    <w:p w:rsidR="00224567" w:rsidRDefault="00224567">
      <w:pPr>
        <w:widowControl w:val="0"/>
      </w:pPr>
      <w:r>
        <w:tab/>
        <w:t>De tal modo, no se probó que las aut</w:t>
      </w:r>
      <w:r>
        <w:t>o</w:t>
      </w:r>
      <w:r>
        <w:t>ridades pol</w:t>
      </w:r>
      <w:r>
        <w:t>i</w:t>
      </w:r>
      <w:r>
        <w:t>ciales promovieran la permanencia de Solari en Vicente López, sino todo lo contrario. Es decir, se acr</w:t>
      </w:r>
      <w:r>
        <w:t>e</w:t>
      </w:r>
      <w:r>
        <w:t>ditó que solicitaron su traslado, pero éste no se efect</w:t>
      </w:r>
      <w:r>
        <w:t>i</w:t>
      </w:r>
      <w:r>
        <w:t>vizó, porque registraba otra causa y porque interpuso una a</w:t>
      </w:r>
      <w:r>
        <w:t>c</w:t>
      </w:r>
      <w:r>
        <w:t>ción de habeas corpus.</w:t>
      </w:r>
    </w:p>
    <w:p w:rsidR="00224567" w:rsidRDefault="00224567">
      <w:pPr>
        <w:widowControl w:val="0"/>
      </w:pPr>
      <w:r>
        <w:tab/>
        <w:t>Así, en la causa que se le siguiera a Solari por el triple homicidio cometido en Benavídez, obra un e</w:t>
      </w:r>
      <w:r>
        <w:t>s</w:t>
      </w:r>
      <w:r>
        <w:t xml:space="preserve">crito del 24 de septiembre de 1994, mediante el cual las </w:t>
      </w:r>
      <w:r>
        <w:rPr>
          <w:lang w:val="es-ES_tradnl"/>
        </w:rPr>
        <w:t>autoridades de la brigada solicitaron al Dr. Igarz</w:t>
      </w:r>
      <w:r>
        <w:rPr>
          <w:lang w:val="es-ES_tradnl"/>
        </w:rPr>
        <w:t>á</w:t>
      </w:r>
      <w:r>
        <w:rPr>
          <w:lang w:val="es-ES_tradnl"/>
        </w:rPr>
        <w:t>bal, que contemple la p</w:t>
      </w:r>
      <w:r>
        <w:rPr>
          <w:lang w:val="es-ES_tradnl"/>
        </w:rPr>
        <w:t>o</w:t>
      </w:r>
      <w:r>
        <w:rPr>
          <w:lang w:val="es-ES_tradnl"/>
        </w:rPr>
        <w:t>sibilidad del urgente traslado de Solari por su  mal comportamiento y para evitar males m</w:t>
      </w:r>
      <w:r>
        <w:rPr>
          <w:lang w:val="es-ES_tradnl"/>
        </w:rPr>
        <w:t>a</w:t>
      </w:r>
      <w:r>
        <w:rPr>
          <w:lang w:val="es-ES_tradnl"/>
        </w:rPr>
        <w:t>yores (ver fs. 681 de la causa nº 28.855).</w:t>
      </w:r>
    </w:p>
    <w:p w:rsidR="00224567" w:rsidRDefault="00224567">
      <w:pPr>
        <w:widowControl w:val="0"/>
      </w:pPr>
      <w:r>
        <w:tab/>
        <w:t>En el mismo sentido, prestó declar</w:t>
      </w:r>
      <w:r>
        <w:t>a</w:t>
      </w:r>
      <w:r>
        <w:t>ción testimonial Enr</w:t>
      </w:r>
      <w:r>
        <w:t>i</w:t>
      </w:r>
      <w:r>
        <w:t>que Carlos Forgione, quien estuviera a cargo de la dependencia pol</w:t>
      </w:r>
      <w:r>
        <w:t>i</w:t>
      </w:r>
      <w:r>
        <w:t>cial aludida; afirmó que el juez que intervenía en la causa por el tr</w:t>
      </w:r>
      <w:r>
        <w:t>i</w:t>
      </w:r>
      <w:r>
        <w:t>ple homicidio le había dado la orden de trasladar a Solari y que, cuando estaba a punto de hacerlo, recibió un llamado de la doct</w:t>
      </w:r>
      <w:r>
        <w:t>o</w:t>
      </w:r>
      <w:r>
        <w:t>ra Lumba</w:t>
      </w:r>
      <w:r>
        <w:t>r</w:t>
      </w:r>
      <w:r>
        <w:t>dini, quien le solicitó que no lo hiciera ya que en el juzgado a su cargo tenía otra causa por el hom</w:t>
      </w:r>
      <w:r>
        <w:t>i</w:t>
      </w:r>
      <w:r>
        <w:t>cidio de Gallardo. Apuntó que no trasladó, comunicándoselo al juez de San Isidro.</w:t>
      </w:r>
    </w:p>
    <w:p w:rsidR="00224567" w:rsidRDefault="00224567">
      <w:pPr>
        <w:widowControl w:val="0"/>
        <w:rPr>
          <w:lang w:val="es-ES_tradnl"/>
        </w:rPr>
      </w:pPr>
      <w:r>
        <w:tab/>
        <w:t>Lo manifestado por el testigo se e</w:t>
      </w:r>
      <w:r>
        <w:t>n</w:t>
      </w:r>
      <w:r>
        <w:t>cuentra corroborado por las constancias documentales obrantes en las causas sol</w:t>
      </w:r>
      <w:r>
        <w:t>i</w:t>
      </w:r>
      <w:r>
        <w:t xml:space="preserve">citadas </w:t>
      </w:r>
      <w:r>
        <w:rPr>
          <w:u w:val="single"/>
        </w:rPr>
        <w:t>ad effectum videndi</w:t>
      </w:r>
      <w:r>
        <w:t>. De éstas surge que e</w:t>
      </w:r>
      <w:r>
        <w:rPr>
          <w:lang w:val="es-ES_tradnl"/>
        </w:rPr>
        <w:t>l 27 de septiembre de 1994, el Dr. Iga</w:t>
      </w:r>
      <w:r>
        <w:rPr>
          <w:lang w:val="es-ES_tradnl"/>
        </w:rPr>
        <w:t>r</w:t>
      </w:r>
      <w:r>
        <w:rPr>
          <w:lang w:val="es-ES_tradnl"/>
        </w:rPr>
        <w:t xml:space="preserve">zábal ordenó que </w:t>
      </w:r>
      <w:smartTag w:uri="urn:schemas-microsoft-com:office:smarttags" w:element="PersonName">
        <w:smartTagPr>
          <w:attr w:name="ProductID" w:val="la Brigada"/>
        </w:smartTagPr>
        <w:r>
          <w:rPr>
            <w:lang w:val="es-ES_tradnl"/>
          </w:rPr>
          <w:t>la Brigada</w:t>
        </w:r>
      </w:smartTag>
      <w:r>
        <w:rPr>
          <w:lang w:val="es-ES_tradnl"/>
        </w:rPr>
        <w:t xml:space="preserve"> de Investigaciones de Tigre obtenga cupo del Servicio Penitenciario Provincial p</w:t>
      </w:r>
      <w:r>
        <w:rPr>
          <w:lang w:val="es-ES_tradnl"/>
        </w:rPr>
        <w:t>a</w:t>
      </w:r>
      <w:r>
        <w:rPr>
          <w:lang w:val="es-ES_tradnl"/>
        </w:rPr>
        <w:t>ra el alojamiento de Solari y Levaggi. A los pocos días, el 3 de octubre, la doctora Lumbardini resuelve tomar d</w:t>
      </w:r>
      <w:r>
        <w:rPr>
          <w:lang w:val="es-ES_tradnl"/>
        </w:rPr>
        <w:t>e</w:t>
      </w:r>
      <w:r>
        <w:rPr>
          <w:lang w:val="es-ES_tradnl"/>
        </w:rPr>
        <w:t>claración informativa a los nombrados por el homicidio de Gallardo (cfr. fs.</w:t>
      </w:r>
      <w:r>
        <w:t xml:space="preserve"> </w:t>
      </w:r>
      <w:r>
        <w:rPr>
          <w:lang w:val="es-ES_tradnl"/>
        </w:rPr>
        <w:t>682 de las actuaciones nº 28.855 y 568/575 de la causa nº 38.358).</w:t>
      </w:r>
    </w:p>
    <w:p w:rsidR="00224567" w:rsidRDefault="00224567">
      <w:pPr>
        <w:widowControl w:val="0"/>
        <w:rPr>
          <w:lang w:val="es-ES_tradnl"/>
        </w:rPr>
      </w:pPr>
      <w:r>
        <w:rPr>
          <w:lang w:val="es-ES_tradnl"/>
        </w:rPr>
        <w:tab/>
        <w:t>El 24 de octubre del mismo año se co</w:t>
      </w:r>
      <w:r>
        <w:rPr>
          <w:lang w:val="es-ES_tradnl"/>
        </w:rPr>
        <w:t>n</w:t>
      </w:r>
      <w:r>
        <w:rPr>
          <w:lang w:val="es-ES_tradnl"/>
        </w:rPr>
        <w:t>vierte en prisión preventiva la detención de Solari por considerarlo copartícipe del delito de homicidio calific</w:t>
      </w:r>
      <w:r>
        <w:rPr>
          <w:lang w:val="es-ES_tradnl"/>
        </w:rPr>
        <w:t>a</w:t>
      </w:r>
      <w:r>
        <w:rPr>
          <w:lang w:val="es-ES_tradnl"/>
        </w:rPr>
        <w:t>do por ensañamiento de Elena Adriana Cristina Gallardo y se ordena su traslado a una unidad penitenciaria provi</w:t>
      </w:r>
      <w:r>
        <w:rPr>
          <w:lang w:val="es-ES_tradnl"/>
        </w:rPr>
        <w:t>n</w:t>
      </w:r>
      <w:r>
        <w:rPr>
          <w:lang w:val="es-ES_tradnl"/>
        </w:rPr>
        <w:t>cial (ver fs. 882/889 de la causa 38.358).</w:t>
      </w:r>
    </w:p>
    <w:p w:rsidR="00224567" w:rsidRDefault="00224567">
      <w:pPr>
        <w:widowControl w:val="0"/>
      </w:pPr>
      <w:r>
        <w:rPr>
          <w:lang w:val="es-ES_tradnl"/>
        </w:rPr>
        <w:tab/>
        <w:t>Ante la inminencia de su traslado, S</w:t>
      </w:r>
      <w:r>
        <w:rPr>
          <w:lang w:val="es-ES_tradnl"/>
        </w:rPr>
        <w:t>o</w:t>
      </w:r>
      <w:r>
        <w:rPr>
          <w:lang w:val="es-ES_tradnl"/>
        </w:rPr>
        <w:t>lari interpuso el 28 de octubre una acción de habeas co</w:t>
      </w:r>
      <w:r>
        <w:rPr>
          <w:lang w:val="es-ES_tradnl"/>
        </w:rPr>
        <w:t>r</w:t>
      </w:r>
      <w:r>
        <w:rPr>
          <w:lang w:val="es-ES_tradnl"/>
        </w:rPr>
        <w:t xml:space="preserve">pus y recurso de amparo en el </w:t>
      </w:r>
      <w:r>
        <w:t>Juzgado en lo Criminal y C</w:t>
      </w:r>
      <w:r>
        <w:t>o</w:t>
      </w:r>
      <w:r>
        <w:t>rreccional nº 12 de San Martín que se registró con el nº 38.503. En esta present</w:t>
      </w:r>
      <w:r>
        <w:t>a</w:t>
      </w:r>
      <w:r>
        <w:t>ción afirmó que peligraba su vida debido a que efectuó denuncias contra personal del serv</w:t>
      </w:r>
      <w:r>
        <w:t>i</w:t>
      </w:r>
      <w:r>
        <w:t>cio penitenciario provincial cuando permaneció d</w:t>
      </w:r>
      <w:r>
        <w:t>e</w:t>
      </w:r>
      <w:r>
        <w:t>tenido en sus unid</w:t>
      </w:r>
      <w:r>
        <w:t>a</w:t>
      </w:r>
      <w:r>
        <w:t xml:space="preserve">des. El mismo día, la doctora Lumbardini </w:t>
      </w:r>
      <w:r>
        <w:rPr>
          <w:lang w:val="es-ES_tradnl"/>
        </w:rPr>
        <w:t xml:space="preserve">resolvió rechazar la acción interpuesta y </w:t>
      </w:r>
      <w:r>
        <w:t>suspender el traslado a una unidad penitenciaria provi</w:t>
      </w:r>
      <w:r>
        <w:t>n</w:t>
      </w:r>
      <w:r>
        <w:t>cial hasta tanto constatara si en la unidad nº 5 de Mercedes pre</w:t>
      </w:r>
      <w:r>
        <w:t>s</w:t>
      </w:r>
      <w:r>
        <w:t>taba funciones alguna de las personas que Solari denu</w:t>
      </w:r>
      <w:r>
        <w:t>n</w:t>
      </w:r>
      <w:r>
        <w:t>ciara (ver fs. 828/830 de la causa nº 28.855 y fs. 933 de la nº 38.358).</w:t>
      </w:r>
    </w:p>
    <w:p w:rsidR="00224567" w:rsidRDefault="00224567">
      <w:pPr>
        <w:widowControl w:val="0"/>
        <w:rPr>
          <w:lang w:val="es-ES_tradnl"/>
        </w:rPr>
      </w:pPr>
      <w:r>
        <w:tab/>
        <w:t xml:space="preserve">La razón de tal proceder, la brindó Solari </w:t>
      </w:r>
      <w:r>
        <w:rPr>
          <w:lang w:val="es-ES_tradnl"/>
        </w:rPr>
        <w:t>en la audiencia de debate, cuando afirmó que la s</w:t>
      </w:r>
      <w:r>
        <w:rPr>
          <w:lang w:val="es-ES_tradnl"/>
        </w:rPr>
        <w:t>o</w:t>
      </w:r>
      <w:r>
        <w:rPr>
          <w:lang w:val="es-ES_tradnl"/>
        </w:rPr>
        <w:t>licitud de habeas corpus era una “chicana” que se utiliza para no ser trasladado a una cárcel provincial ya que en éstas es muy difícil escapar mientras que desde una depe</w:t>
      </w:r>
      <w:r>
        <w:rPr>
          <w:lang w:val="es-ES_tradnl"/>
        </w:rPr>
        <w:t>n</w:t>
      </w:r>
      <w:r>
        <w:rPr>
          <w:lang w:val="es-ES_tradnl"/>
        </w:rPr>
        <w:t>dencia policial es fact</w:t>
      </w:r>
      <w:r>
        <w:rPr>
          <w:lang w:val="es-ES_tradnl"/>
        </w:rPr>
        <w:t>i</w:t>
      </w:r>
      <w:r>
        <w:rPr>
          <w:lang w:val="es-ES_tradnl"/>
        </w:rPr>
        <w:t>ble.</w:t>
      </w:r>
    </w:p>
    <w:p w:rsidR="00224567" w:rsidRDefault="00224567">
      <w:pPr>
        <w:pStyle w:val="Ttulo9"/>
        <w:spacing w:line="600" w:lineRule="auto"/>
      </w:pPr>
      <w:r>
        <w:rPr>
          <w:lang w:val="es-ES_tradnl"/>
        </w:rPr>
        <w:tab/>
      </w:r>
      <w:bookmarkStart w:id="257" w:name="_Toc86732005"/>
      <w:r>
        <w:rPr>
          <w:b/>
          <w:bCs/>
        </w:rPr>
        <w:t>C.2.d.xi.A.4.e)</w:t>
      </w:r>
      <w:bookmarkStart w:id="258" w:name="_Toc79816960"/>
      <w:r>
        <w:t xml:space="preserve"> Propósito de Sol</w:t>
      </w:r>
      <w:r>
        <w:t>a</w:t>
      </w:r>
      <w:r>
        <w:t>ri al presentarse ante el juzgado in</w:t>
      </w:r>
      <w:r>
        <w:t>s</w:t>
      </w:r>
      <w:r>
        <w:t>tructor a declarar</w:t>
      </w:r>
      <w:bookmarkEnd w:id="257"/>
      <w:bookmarkEnd w:id="258"/>
      <w:r>
        <w:t>.</w:t>
      </w:r>
    </w:p>
    <w:p w:rsidR="00224567" w:rsidRDefault="00224567">
      <w:pPr>
        <w:widowControl w:val="0"/>
      </w:pPr>
      <w:r>
        <w:tab/>
        <w:t>A esta altura del análisis, solo resta establecer el propósito que guió al detenido para prese</w:t>
      </w:r>
      <w:r>
        <w:t>n</w:t>
      </w:r>
      <w:r>
        <w:t>tarse en el juzgado in</w:t>
      </w:r>
      <w:r>
        <w:t>s</w:t>
      </w:r>
      <w:r>
        <w:t>tructor.</w:t>
      </w:r>
    </w:p>
    <w:p w:rsidR="00224567" w:rsidRDefault="00224567">
      <w:pPr>
        <w:widowControl w:val="0"/>
      </w:pPr>
      <w:r>
        <w:tab/>
        <w:t>En este orden, el Tribunal entiende que se encuentra fehacientemente acreditado que el objet</w:t>
      </w:r>
      <w:r>
        <w:t>i</w:t>
      </w:r>
      <w:r>
        <w:t>vo perseguido por Solari al escribir la carta y presenta</w:t>
      </w:r>
      <w:r>
        <w:t>r</w:t>
      </w:r>
      <w:r>
        <w:t>se a decl</w:t>
      </w:r>
      <w:r>
        <w:t>a</w:t>
      </w:r>
      <w:r>
        <w:t>rar en el juzgado instructor no fue otro que el de conseguir su traslado a una unidad penitenciaria fed</w:t>
      </w:r>
      <w:r>
        <w:t>e</w:t>
      </w:r>
      <w:r>
        <w:t>ral.</w:t>
      </w:r>
    </w:p>
    <w:p w:rsidR="00224567" w:rsidRDefault="00224567">
      <w:pPr>
        <w:widowControl w:val="0"/>
      </w:pPr>
      <w:r>
        <w:tab/>
        <w:t>Para tal fin, en reiteradas oportun</w:t>
      </w:r>
      <w:r>
        <w:t>i</w:t>
      </w:r>
      <w:r>
        <w:t>dades refirió que su integridad física se hallaba compr</w:t>
      </w:r>
      <w:r>
        <w:t>o</w:t>
      </w:r>
      <w:r>
        <w:t>metida en las cárceles provinciales. Así, en un primer m</w:t>
      </w:r>
      <w:r>
        <w:t>o</w:t>
      </w:r>
      <w:r>
        <w:t xml:space="preserve">mento aludió a denuncias que formuló contra su personal y, luego de prestar declaración ante </w:t>
      </w:r>
      <w:smartTag w:uri="urn:schemas-microsoft-com:office:smarttags" w:element="PersonName">
        <w:smartTagPr>
          <w:attr w:name="ProductID" w:val="la Comisi￳n Bicameral"/>
        </w:smartTagPr>
        <w:r>
          <w:t>la Comisión Bicameral</w:t>
        </w:r>
      </w:smartTag>
      <w:r>
        <w:t>, hizo referencia a s</w:t>
      </w:r>
      <w:r>
        <w:t>u</w:t>
      </w:r>
      <w:r>
        <w:t>puestos intentos de homicidio.</w:t>
      </w:r>
    </w:p>
    <w:p w:rsidR="00224567" w:rsidRDefault="00224567">
      <w:pPr>
        <w:widowControl w:val="0"/>
      </w:pPr>
      <w:r>
        <w:tab/>
        <w:t>En este sentido, debe destacarse que desde el primer momento en que tuvo oportunidad de expr</w:t>
      </w:r>
      <w:r>
        <w:t>e</w:t>
      </w:r>
      <w:r>
        <w:t>sarse luego de ser detenido, el 10 de septiembre de 1994, se negó a prestar declaración indagatoria por razones de segur</w:t>
      </w:r>
      <w:r>
        <w:t>i</w:t>
      </w:r>
      <w:r>
        <w:t>dad en la causa nº 28.855. Agregó que su vida corría peligro si era alojado en cualquier unidad penitenciaria o comisaría provincial (cfr. fs. 228/229 de ese e</w:t>
      </w:r>
      <w:r>
        <w:t>x</w:t>
      </w:r>
      <w:r>
        <w:t>pediente).</w:t>
      </w:r>
    </w:p>
    <w:p w:rsidR="00224567" w:rsidRDefault="00224567">
      <w:pPr>
        <w:widowControl w:val="0"/>
      </w:pPr>
      <w:r>
        <w:tab/>
        <w:t>Como se detallará, el detenido procuró su traslado a través de la presentación de numerosos e</w:t>
      </w:r>
      <w:r>
        <w:t>s</w:t>
      </w:r>
      <w:r>
        <w:t>critos y la prom</w:t>
      </w:r>
      <w:r>
        <w:t>o</w:t>
      </w:r>
      <w:r>
        <w:t>ción de incidentes. Sin embargo, como no lo consiguió, t</w:t>
      </w:r>
      <w:r>
        <w:t>e</w:t>
      </w:r>
      <w:r>
        <w:t>miendo su pronta internación en una unidad penitenciaria provincial, decidió escribir la carta al E</w:t>
      </w:r>
      <w:r>
        <w:t>m</w:t>
      </w:r>
      <w:r>
        <w:t>bajador de Israel a quien le solicitó garantías de segur</w:t>
      </w:r>
      <w:r>
        <w:t>i</w:t>
      </w:r>
      <w:r>
        <w:t>dad. Como refirió en la audiencia de debate, S</w:t>
      </w:r>
      <w:r>
        <w:t>o</w:t>
      </w:r>
      <w:r>
        <w:t>lari sabía que para ser alojado en una unidad penite</w:t>
      </w:r>
      <w:r>
        <w:t>n</w:t>
      </w:r>
      <w:r>
        <w:t>ciaria federal, debía estar detenido a disposición de un juzgado con j</w:t>
      </w:r>
      <w:r>
        <w:t>u</w:t>
      </w:r>
      <w:r>
        <w:t>risdicción federal, es por ello que decidió involucrarse en el atent</w:t>
      </w:r>
      <w:r>
        <w:t>a</w:t>
      </w:r>
      <w:r>
        <w:t xml:space="preserve">do a </w:t>
      </w:r>
      <w:smartTag w:uri="urn:schemas-microsoft-com:office:smarttags" w:element="PersonName">
        <w:smartTagPr>
          <w:attr w:name="ProductID" w:val="la A.M"/>
        </w:smartTagPr>
        <w:r>
          <w:t>la A.M</w:t>
        </w:r>
      </w:smartTag>
      <w:r>
        <w:t>.I.A.</w:t>
      </w:r>
    </w:p>
    <w:p w:rsidR="00224567" w:rsidRDefault="00224567">
      <w:pPr>
        <w:widowControl w:val="0"/>
      </w:pPr>
      <w:r>
        <w:tab/>
        <w:t>Son numerosos los testigos que señal</w:t>
      </w:r>
      <w:r>
        <w:t>a</w:t>
      </w:r>
      <w:r>
        <w:t>ron que Solari buscaba ser conducido a una cárcel naci</w:t>
      </w:r>
      <w:r>
        <w:t>o</w:t>
      </w:r>
      <w:r>
        <w:t>nal, de modo especial a Caseros, entre ellos, se destacan Enrique Carlos Forgione, Guillermo José Sánchez, Dante Ulises Valenzuela, Rodolfo Fabián Vallejos, Carlos Nereo Cacho, Ricardo Mariano Gómez, Raúl Alfredo Benito Leva</w:t>
      </w:r>
      <w:r>
        <w:t>g</w:t>
      </w:r>
      <w:r>
        <w:t>gi, Graciela Rita Bernal, Carlos Alberto Barrios, Carlos Raúl Falcone y Carlos A</w:t>
      </w:r>
      <w:r>
        <w:t>l</w:t>
      </w:r>
      <w:r>
        <w:t>berto Scheffer.</w:t>
      </w:r>
    </w:p>
    <w:p w:rsidR="00224567" w:rsidRDefault="00224567">
      <w:pPr>
        <w:widowControl w:val="0"/>
      </w:pPr>
      <w:r>
        <w:tab/>
        <w:t>Sobre el particular, el propio Solari expresó que para evitar el traslado a una cárcel provi</w:t>
      </w:r>
      <w:r>
        <w:t>n</w:t>
      </w:r>
      <w:r>
        <w:t>cial presentó los habeas corpus, dado que estimó que el juez no lo dejaría detenido en la brigada, en ese caso, pediría ser remitido a una unidad federal, que en ese m</w:t>
      </w:r>
      <w:r>
        <w:t>o</w:t>
      </w:r>
      <w:r>
        <w:t>mento era como pedir alojamiento en “el hotel Sheraton” (sic).</w:t>
      </w:r>
    </w:p>
    <w:p w:rsidR="00224567" w:rsidRDefault="00224567">
      <w:pPr>
        <w:widowControl w:val="0"/>
      </w:pPr>
      <w:r>
        <w:tab/>
        <w:t xml:space="preserve">Forgione recordó que Solari quería ser trasladado a penales dependientes de </w:t>
      </w:r>
      <w:smartTag w:uri="urn:schemas-microsoft-com:office:smarttags" w:element="PersonName">
        <w:smartTagPr>
          <w:attr w:name="ProductID" w:val="la Naci￳n"/>
        </w:smartTagPr>
        <w:r>
          <w:t>la Nación</w:t>
        </w:r>
      </w:smartTag>
      <w:r>
        <w:t xml:space="preserve"> porque en la provincia era “informante y lo tenían detectado”; Sá</w:t>
      </w:r>
      <w:r>
        <w:t>n</w:t>
      </w:r>
      <w:r>
        <w:t>chez manifestó que Solari le había dicho que de algún modo iba a lograr su remisión, razón por la cual no le e</w:t>
      </w:r>
      <w:r>
        <w:t>x</w:t>
      </w:r>
      <w:r>
        <w:t>trañó que pudiera haber inventado esta historia de su vincul</w:t>
      </w:r>
      <w:r>
        <w:t>a</w:t>
      </w:r>
      <w:r>
        <w:t>ción con A.M.I.A. para lograr tal propósito.</w:t>
      </w:r>
    </w:p>
    <w:p w:rsidR="00224567" w:rsidRDefault="00224567">
      <w:pPr>
        <w:widowControl w:val="0"/>
      </w:pPr>
      <w:r>
        <w:tab/>
        <w:t xml:space="preserve">Levaggi recordó que Solari le dijo que se iba a involucrar en el asunto de </w:t>
      </w:r>
      <w:smartTag w:uri="urn:schemas-microsoft-com:office:smarttags" w:element="PersonName">
        <w:smartTagPr>
          <w:attr w:name="ProductID" w:val="la A.M"/>
        </w:smartTagPr>
        <w:r>
          <w:t>la A.M</w:t>
        </w:r>
      </w:smartTag>
      <w:r>
        <w:t>.I.A. para poder pasar a juri</w:t>
      </w:r>
      <w:r>
        <w:t>s</w:t>
      </w:r>
      <w:r>
        <w:t>dicción de un juzgado federal.</w:t>
      </w:r>
    </w:p>
    <w:p w:rsidR="00224567" w:rsidRDefault="00224567">
      <w:pPr>
        <w:widowControl w:val="0"/>
      </w:pPr>
      <w:r>
        <w:tab/>
        <w:t>Además de los testimonios citados, existe numerosa prueba incorporada por lectura que corr</w:t>
      </w:r>
      <w:r>
        <w:t>o</w:t>
      </w:r>
      <w:r>
        <w:t>bora tal co</w:t>
      </w:r>
      <w:r>
        <w:t>n</w:t>
      </w:r>
      <w:r>
        <w:t>clusión.</w:t>
      </w:r>
    </w:p>
    <w:p w:rsidR="00224567" w:rsidRDefault="00224567">
      <w:pPr>
        <w:widowControl w:val="0"/>
      </w:pPr>
      <w:r>
        <w:tab/>
        <w:t>Así, se pueden citar: el escrito pr</w:t>
      </w:r>
      <w:r>
        <w:t>e</w:t>
      </w:r>
      <w:r>
        <w:t>sentado el 12 de septiembre de 1994; la acción de habeas corpus inte</w:t>
      </w:r>
      <w:r>
        <w:t>r</w:t>
      </w:r>
      <w:r>
        <w:t>puesta el 20 de ese mes por considerar que se agravaron ilegítim</w:t>
      </w:r>
      <w:r>
        <w:t>a</w:t>
      </w:r>
      <w:r>
        <w:t>mente sus condiciones de detención; la presentación del 26 del mismo mes ante el Ministerio de Justicia de la provincia de Buenos Aires, en la que denu</w:t>
      </w:r>
      <w:r>
        <w:t>n</w:t>
      </w:r>
      <w:r>
        <w:t>ció torturas y solic</w:t>
      </w:r>
      <w:r>
        <w:t>i</w:t>
      </w:r>
      <w:r>
        <w:t>tó se lo aloje en la unidad nº 1 del Servicio Penitenciario Federal (cfr. fs. 309/310, 587 y 837/838 de los actu</w:t>
      </w:r>
      <w:r>
        <w:t>a</w:t>
      </w:r>
      <w:r>
        <w:t>dos nº 28855).</w:t>
      </w:r>
    </w:p>
    <w:p w:rsidR="00224567" w:rsidRDefault="00224567">
      <w:pPr>
        <w:widowControl w:val="0"/>
      </w:pPr>
      <w:r>
        <w:tab/>
        <w:t xml:space="preserve">Como consecuencia de esa denuncia, Juan Miguel Scattolini, por entonces Director de </w:t>
      </w:r>
      <w:smartTag w:uri="urn:schemas-microsoft-com:office:smarttags" w:element="PersonName">
        <w:smartTagPr>
          <w:attr w:name="ProductID" w:val="la Comisi￳n"/>
        </w:smartTagPr>
        <w:r>
          <w:t>la Com</w:t>
        </w:r>
        <w:r>
          <w:t>i</w:t>
        </w:r>
        <w:r>
          <w:t>sión</w:t>
        </w:r>
      </w:smartTag>
      <w:r>
        <w:t xml:space="preserve"> de D</w:t>
      </w:r>
      <w:r>
        <w:t>e</w:t>
      </w:r>
      <w:r>
        <w:t xml:space="preserve">rechos Humanos de </w:t>
      </w:r>
      <w:smartTag w:uri="urn:schemas-microsoft-com:office:smarttags" w:element="PersonName">
        <w:smartTagPr>
          <w:attr w:name="ProductID" w:val="la Provincia"/>
        </w:smartTagPr>
        <w:r>
          <w:t>la Provincia</w:t>
        </w:r>
      </w:smartTag>
      <w:r>
        <w:t xml:space="preserve"> de Buenos Aires, entrevistó a Solari en la dependencia y concluyó que pr</w:t>
      </w:r>
      <w:r>
        <w:t>e</w:t>
      </w:r>
      <w:r>
        <w:t>tendía utilizar los alcances de la comisión con la clara intención de lograr ser remitido a una cárcel federal (cfr. fs. 756 de la causa nº 28.855 y 716 de la 38.358).</w:t>
      </w:r>
    </w:p>
    <w:p w:rsidR="00224567" w:rsidRDefault="00224567">
      <w:pPr>
        <w:widowControl w:val="0"/>
      </w:pPr>
      <w:r>
        <w:tab/>
        <w:t>El 14 de octubre del mismo año, el Dr. Igarzábal entrevistó a Solari, quien reiteró su temor a sufrir un atentado contra su vida en caso de que se lo i</w:t>
      </w:r>
      <w:r>
        <w:t>n</w:t>
      </w:r>
      <w:r>
        <w:t>ternase en establ</w:t>
      </w:r>
      <w:r>
        <w:t>e</w:t>
      </w:r>
      <w:r>
        <w:t>cimientos provinciales (cfr. fs. 765 de los actuados nº 28.855); el mismo día prestó declaración ind</w:t>
      </w:r>
      <w:r>
        <w:t>a</w:t>
      </w:r>
      <w:r>
        <w:t>gatoria ante el Juzgado en lo Criminal y Correccional nº 14 del Depa</w:t>
      </w:r>
      <w:r>
        <w:t>r</w:t>
      </w:r>
      <w:r>
        <w:t>tamento Judicial de San Isidro en la causa donde invest</w:t>
      </w:r>
      <w:r>
        <w:t>i</w:t>
      </w:r>
      <w:r>
        <w:t>garon las autolesiones, oportunidad en la que consideró que debían alojarlo en una unidad de detención federal por cuestiones de seguridad (ver fs. 32/34 de la causa 29.598).</w:t>
      </w:r>
    </w:p>
    <w:p w:rsidR="00224567" w:rsidRDefault="00224567">
      <w:pPr>
        <w:widowControl w:val="0"/>
      </w:pPr>
      <w:r>
        <w:tab/>
        <w:t>El 17 de octubre Solari interpuso a</w:t>
      </w:r>
      <w:r>
        <w:t>c</w:t>
      </w:r>
      <w:r>
        <w:t>ción de habeas corpus expresando que su vida corría pel</w:t>
      </w:r>
      <w:r>
        <w:t>i</w:t>
      </w:r>
      <w:r>
        <w:t>gro si se lo r</w:t>
      </w:r>
      <w:r>
        <w:t>e</w:t>
      </w:r>
      <w:r>
        <w:t>mitía tanto a una unidad provincial como a una comisaría y solicitó su traslado al HPC de la unidad nº 1 del Servicio P</w:t>
      </w:r>
      <w:r>
        <w:t>e</w:t>
      </w:r>
      <w:r>
        <w:t>nitenciario Federal o subsidiariamente de la nº 2 (ver fs. 784/787 de la ca</w:t>
      </w:r>
      <w:r>
        <w:t>u</w:t>
      </w:r>
      <w:r>
        <w:t>sa 28.855).</w:t>
      </w:r>
    </w:p>
    <w:p w:rsidR="00224567" w:rsidRDefault="00224567">
      <w:pPr>
        <w:widowControl w:val="0"/>
      </w:pPr>
      <w:r>
        <w:tab/>
        <w:t>El 29 de noviembre de 1994, la defensa de Solari sol</w:t>
      </w:r>
      <w:r>
        <w:t>i</w:t>
      </w:r>
      <w:r>
        <w:t xml:space="preserve">citó que se ordenara su traslado a Banfield (denominado “Pozo de Banfield”) o a </w:t>
      </w:r>
      <w:smartTag w:uri="urn:schemas-microsoft-com:office:smarttags" w:element="PersonName">
        <w:smartTagPr>
          <w:attr w:name="ProductID" w:val="la Divisi￳n Sustracci￳n"/>
        </w:smartTagPr>
        <w:r>
          <w:t>la División Sustra</w:t>
        </w:r>
        <w:r>
          <w:t>c</w:t>
        </w:r>
        <w:r>
          <w:t>ción</w:t>
        </w:r>
      </w:smartTag>
      <w:r>
        <w:t xml:space="preserve"> de Automotores de Vicente López (ver fs. 1039 de la causa 28.855).</w:t>
      </w:r>
    </w:p>
    <w:p w:rsidR="00224567" w:rsidRDefault="00224567">
      <w:pPr>
        <w:widowControl w:val="0"/>
      </w:pPr>
      <w:r>
        <w:tab/>
        <w:t>El 30 de noviembre Solari mantuvo una entrevista con la doctora Lumba</w:t>
      </w:r>
      <w:r>
        <w:t>r</w:t>
      </w:r>
      <w:r>
        <w:t>dini, a cargo del Juzgado en lo Criminal y Correccional nº 12 del Departamento Jud</w:t>
      </w:r>
      <w:r>
        <w:t>i</w:t>
      </w:r>
      <w:r>
        <w:t>cial San Martín, ante quien expresó su voluntad de ser alojado en un establecimiento dependiente del Servicio P</w:t>
      </w:r>
      <w:r>
        <w:t>e</w:t>
      </w:r>
      <w:r>
        <w:t>nitenci</w:t>
      </w:r>
      <w:r>
        <w:t>a</w:t>
      </w:r>
      <w:r>
        <w:t>rio Federal (cfr. fs. 1065 de la causa nº 38.358).</w:t>
      </w:r>
    </w:p>
    <w:p w:rsidR="00224567" w:rsidRDefault="00224567">
      <w:pPr>
        <w:widowControl w:val="0"/>
      </w:pPr>
      <w:r>
        <w:tab/>
        <w:t xml:space="preserve">El 12 de diciembre, Solari presentó un escrito dirigido a </w:t>
      </w:r>
      <w:smartTag w:uri="urn:schemas-microsoft-com:office:smarttags" w:element="PersonName">
        <w:smartTagPr>
          <w:attr w:name="ProductID" w:val="la Brigada"/>
        </w:smartTagPr>
        <w:r>
          <w:t>la Brigada</w:t>
        </w:r>
      </w:smartTag>
      <w:r>
        <w:t xml:space="preserve"> de Investigaciones de Vice</w:t>
      </w:r>
      <w:r>
        <w:t>n</w:t>
      </w:r>
      <w:r>
        <w:t>te López solicitando se lo traslade a un lugar cualquiera, llámese comisaría, brigada o cárcel (cfr. fs. 1099 de la causa nº 28.855 y 382 de la 27.011).</w:t>
      </w:r>
    </w:p>
    <w:p w:rsidR="00224567" w:rsidRDefault="00224567">
      <w:pPr>
        <w:widowControl w:val="0"/>
      </w:pPr>
      <w:r>
        <w:tab/>
        <w:t>Hasta ese momento, Solari no había t</w:t>
      </w:r>
      <w:r>
        <w:t>e</w:t>
      </w:r>
      <w:r>
        <w:t>nido éxito en sus intentos de mudarse de ámbito de dete</w:t>
      </w:r>
      <w:r>
        <w:t>n</w:t>
      </w:r>
      <w:r>
        <w:t>ción, es más, todo i</w:t>
      </w:r>
      <w:r>
        <w:t>n</w:t>
      </w:r>
      <w:r>
        <w:t>dicaba que su cambio a una provincial era inminente. A r</w:t>
      </w:r>
      <w:r>
        <w:t>a</w:t>
      </w:r>
      <w:r>
        <w:t>íz de una presentación de habeas corpus efectuada, se había suspendido su traslado al ámbito pr</w:t>
      </w:r>
      <w:r>
        <w:t>o</w:t>
      </w:r>
      <w:r>
        <w:t>vincial hasta tanto se determinara si en la unidad nº 5 de Mercedes prestaba funciones alguno de los funcionarios d</w:t>
      </w:r>
      <w:r>
        <w:t>e</w:t>
      </w:r>
      <w:r>
        <w:t>nunciados por él (cfr. decreto de fs. 933 de la causa nº 38.358 y resol</w:t>
      </w:r>
      <w:r>
        <w:t>u</w:t>
      </w:r>
      <w:r>
        <w:t>ción de fs. 828/830 de la causa nº 28.855).</w:t>
      </w:r>
    </w:p>
    <w:p w:rsidR="00224567" w:rsidRDefault="00224567">
      <w:pPr>
        <w:widowControl w:val="0"/>
      </w:pPr>
      <w:r>
        <w:tab/>
        <w:t>Ante la falta de respuesta a los i</w:t>
      </w:r>
      <w:r>
        <w:t>n</w:t>
      </w:r>
      <w:r>
        <w:t>sistentes ped</w:t>
      </w:r>
      <w:r>
        <w:t>i</w:t>
      </w:r>
      <w:r>
        <w:t>dos de traslado, Solari decidió probar otro camino. En este ma</w:t>
      </w:r>
      <w:r>
        <w:t>r</w:t>
      </w:r>
      <w:r>
        <w:t>co, conociendo que para ser alojado en ese ámbito debía estar detenido a disposición de un juzg</w:t>
      </w:r>
      <w:r>
        <w:t>a</w:t>
      </w:r>
      <w:r>
        <w:t>do nacional o federal, decidió cambiar de estrategia y e</w:t>
      </w:r>
      <w:r>
        <w:t>s</w:t>
      </w:r>
      <w:r>
        <w:t>cribió la carta dirigida al Embajador de Israel (cfr. fs. 74.310/3).</w:t>
      </w:r>
    </w:p>
    <w:p w:rsidR="00224567" w:rsidRDefault="00224567">
      <w:pPr>
        <w:widowControl w:val="0"/>
      </w:pPr>
      <w:r>
        <w:tab/>
        <w:t>Viendo que todavía no había sido tra</w:t>
      </w:r>
      <w:r>
        <w:t>s</w:t>
      </w:r>
      <w:r>
        <w:t>ladado, el 9 de enero de 1995, presentó un escrito ante el Juzgado en lo Criminal y Correccional nº 12 del Depart</w:t>
      </w:r>
      <w:r>
        <w:t>a</w:t>
      </w:r>
      <w:r>
        <w:t>mento Judicial San Martín solicitando su traslado a otra dependencia policial ya fuera com</w:t>
      </w:r>
      <w:r>
        <w:t>i</w:t>
      </w:r>
      <w:r>
        <w:t>saría o brigada, o en su defecto al “pozo de Banfield”(ver fs. 1269 de la causa nº 38.358).</w:t>
      </w:r>
    </w:p>
    <w:p w:rsidR="00224567" w:rsidRDefault="00224567">
      <w:pPr>
        <w:widowControl w:val="0"/>
      </w:pPr>
      <w:r>
        <w:tab/>
        <w:t>La constancia citada refuta lo sost</w:t>
      </w:r>
      <w:r>
        <w:t>e</w:t>
      </w:r>
      <w:r>
        <w:t>nido por la doctora Nercellas al sugerir que con la pr</w:t>
      </w:r>
      <w:r>
        <w:t>e</w:t>
      </w:r>
      <w:r>
        <w:t>sentación de la ca</w:t>
      </w:r>
      <w:r>
        <w:t>r</w:t>
      </w:r>
      <w:r>
        <w:t>ta al juzgado instructor, Solari había cesado en sus intentos de obtener un traslado.</w:t>
      </w:r>
    </w:p>
    <w:p w:rsidR="00224567" w:rsidRDefault="00224567">
      <w:pPr>
        <w:widowControl w:val="0"/>
      </w:pPr>
      <w:r>
        <w:tab/>
        <w:t>El 20 de enero de 1995, Solari fue trasladado a la sede del Juzgado Federal nº 9, donde se lo escuchó en función de lo dispuesto en el artículo 73 del Código Procesal Penal. Una vez que concluyó con las prim</w:t>
      </w:r>
      <w:r>
        <w:t>e</w:t>
      </w:r>
      <w:r>
        <w:t>ras declaraciones, el juzgado instructor ordenó su inte</w:t>
      </w:r>
      <w:r>
        <w:t>r</w:t>
      </w:r>
      <w:r>
        <w:t>nación en el hospital de la unidad nº 1 del Servicio Pen</w:t>
      </w:r>
      <w:r>
        <w:t>i</w:t>
      </w:r>
      <w:r>
        <w:t>tenciario Federal donde permaneció hasta abril de 1997, ello a pesar que la unidad solicitó el reintegro del no</w:t>
      </w:r>
      <w:r>
        <w:t>m</w:t>
      </w:r>
      <w:r>
        <w:t>brado a la jurisdicción provincial ya que no registraba causa en el orden nacional o federal; además hizo saber que Solari no presentaba patología alguna que justif</w:t>
      </w:r>
      <w:r>
        <w:t>i</w:t>
      </w:r>
      <w:r>
        <w:t>cara su internación en un centro asistencial (cfr. d</w:t>
      </w:r>
      <w:r>
        <w:t>e</w:t>
      </w:r>
      <w:r>
        <w:t>cretos de fs. 74.326 y 74.383 y notas de fs. 74.423 y 74.517).</w:t>
      </w:r>
    </w:p>
    <w:p w:rsidR="00224567" w:rsidRDefault="00224567">
      <w:pPr>
        <w:widowControl w:val="0"/>
      </w:pPr>
      <w:r>
        <w:tab/>
        <w:t>De lo hasta aquí reseñado, se puede advertir claramente que, a raíz de su intervención en la presente causa, Solari logró finalmente su objetivo, ser alojado en el hosp</w:t>
      </w:r>
      <w:r>
        <w:t>i</w:t>
      </w:r>
      <w:r>
        <w:t>tal de la cárcel de Caseros.</w:t>
      </w:r>
    </w:p>
    <w:p w:rsidR="00224567" w:rsidRDefault="00224567">
      <w:pPr>
        <w:widowControl w:val="0"/>
      </w:pPr>
      <w:r>
        <w:tab/>
        <w:t>Por otra parte, también surge que el doctor Galeano o</w:t>
      </w:r>
      <w:r>
        <w:t>r</w:t>
      </w:r>
      <w:r>
        <w:t>denó –de manera irregular- el traslado de un detenido que no estaba a su disposición, requiriendo, inclusive, su injustificada internación en un centro asi</w:t>
      </w:r>
      <w:r>
        <w:t>s</w:t>
      </w:r>
      <w:r>
        <w:t>te</w:t>
      </w:r>
      <w:r>
        <w:t>n</w:t>
      </w:r>
      <w:r>
        <w:t>cial.</w:t>
      </w:r>
    </w:p>
    <w:p w:rsidR="00224567" w:rsidRDefault="00224567">
      <w:pPr>
        <w:widowControl w:val="0"/>
      </w:pPr>
      <w:r>
        <w:tab/>
        <w:t>La decisión de Solari de permanecer alojado en una unidad penitenciaria federal no solo la e</w:t>
      </w:r>
      <w:r>
        <w:t>x</w:t>
      </w:r>
      <w:r>
        <w:t>teriorizó antes de deponer en el juzgado instructor sino que fue una constante hasta el presente.</w:t>
      </w:r>
    </w:p>
    <w:p w:rsidR="00224567" w:rsidRDefault="00224567">
      <w:pPr>
        <w:widowControl w:val="0"/>
      </w:pPr>
      <w:r>
        <w:tab/>
        <w:t>Así, el 18 de octubre de 1996, la un</w:t>
      </w:r>
      <w:r>
        <w:t>i</w:t>
      </w:r>
      <w:r>
        <w:t>dad nº 1 del Servicio Penitenciario Federal trasladó a S</w:t>
      </w:r>
      <w:r>
        <w:t>o</w:t>
      </w:r>
      <w:r>
        <w:t xml:space="preserve">lari a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w:smartTagPr>
        <w:r>
          <w:t>la Cámara</w:t>
        </w:r>
      </w:smartTag>
      <w:r>
        <w:t xml:space="preserve"> de Apelaciones en lo Crim</w:t>
      </w:r>
      <w:r>
        <w:t>i</w:t>
      </w:r>
      <w:r>
        <w:t>nal y Correccional del Departamento Judicial San Martín, solicitando que no se lo reintegre a ese establecimiento en virtud de que no registraba causa de jurisdicción n</w:t>
      </w:r>
      <w:r>
        <w:t>a</w:t>
      </w:r>
      <w:r>
        <w:t>cional y/o f</w:t>
      </w:r>
      <w:r>
        <w:t>e</w:t>
      </w:r>
      <w:r>
        <w:t xml:space="preserve">deral, atento los términos de la ley 20.711. Allí mantuvo una entrevista con la secretaria de </w:t>
      </w:r>
      <w:smartTag w:uri="urn:schemas-microsoft-com:office:smarttags" w:element="PersonName">
        <w:smartTagPr>
          <w:attr w:name="ProductID" w:val="la Sala"/>
        </w:smartTagPr>
        <w:r>
          <w:t>la Sala</w:t>
        </w:r>
      </w:smartTag>
      <w:r>
        <w:t xml:space="preserve"> en la que manifestó su deseo de continuar alojado en esa unidad del Servicio Penitenciario Federal ya que había s</w:t>
      </w:r>
      <w:r>
        <w:t>i</w:t>
      </w:r>
      <w:r>
        <w:t>do amenazado de muerte por haber denunciado al pr</w:t>
      </w:r>
      <w:r>
        <w:t>o</w:t>
      </w:r>
      <w:r>
        <w:t>vincial. Finalmente fue retornado a la unidad de origen (ver fs. 870 y 872/873 de la causa nº 27.011).</w:t>
      </w:r>
    </w:p>
    <w:p w:rsidR="00224567" w:rsidRDefault="00224567">
      <w:pPr>
        <w:widowControl w:val="0"/>
      </w:pPr>
      <w:r>
        <w:tab/>
        <w:t>Por orden de la sala citada, se alojó a Solari en una unidad penitenciaria provincial el 24 de abril de 1997 (cfr. fs. 935 de la causa nº 27.011 y fs. 94.902), sin embargo durante el desarrollo de su enjuici</w:t>
      </w:r>
      <w:r>
        <w:t>a</w:t>
      </w:r>
      <w:r>
        <w:t>miento permaneció d</w:t>
      </w:r>
      <w:r>
        <w:t>e</w:t>
      </w:r>
      <w:r>
        <w:t xml:space="preserve">tenido entre el 11 de julio y fines de agosto de 1997 en </w:t>
      </w:r>
      <w:smartTag w:uri="urn:schemas-microsoft-com:office:smarttags" w:element="PersonName">
        <w:smartTagPr>
          <w:attr w:name="ProductID" w:val="la Brigada"/>
        </w:smartTagPr>
        <w:r>
          <w:t>la Brigada</w:t>
        </w:r>
      </w:smartTag>
      <w:r>
        <w:t xml:space="preserve"> de Investigaciones de San Martín. Una vez finalizado el juicio, Solari fue traslad</w:t>
      </w:r>
      <w:r>
        <w:t>a</w:t>
      </w:r>
      <w:r>
        <w:t>do al Penal de Sierra Chica (ver fs. 998 y 1130 de la ca</w:t>
      </w:r>
      <w:r>
        <w:t>u</w:t>
      </w:r>
      <w:r>
        <w:t>sa 27.011). Ante esto, inmediatamente hizo saber su di</w:t>
      </w:r>
      <w:r>
        <w:t>s</w:t>
      </w:r>
      <w:r>
        <w:t>conformidad y solicitó su alojamiento en una unidad pen</w:t>
      </w:r>
      <w:r>
        <w:t>i</w:t>
      </w:r>
      <w:r>
        <w:t>tenciaria federal y que se adoptaran medidas de segur</w:t>
      </w:r>
      <w:r>
        <w:t>i</w:t>
      </w:r>
      <w:r>
        <w:t>dad (cfr. fs. 1051 y 1073/1074 de la causa nº 27.011).</w:t>
      </w:r>
    </w:p>
    <w:p w:rsidR="00224567" w:rsidRDefault="00224567">
      <w:pPr>
        <w:widowControl w:val="0"/>
      </w:pPr>
      <w:r>
        <w:tab/>
        <w:t>Fueron numerosas las diligencias re</w:t>
      </w:r>
      <w:r>
        <w:t>a</w:t>
      </w:r>
      <w:r>
        <w:t>lizadas por el Juzgado Nacional en lo Criminal y Corre</w:t>
      </w:r>
      <w:r>
        <w:t>c</w:t>
      </w:r>
      <w:r>
        <w:t xml:space="preserve">cional Federal nº 9 para obtener una nueva declaración de Solari y despejar las dudas que manifestara en orden a su seguridad, entre ellas se incluyeron pedidos al entonces Gobernador de </w:t>
      </w:r>
      <w:smartTag w:uri="urn:schemas-microsoft-com:office:smarttags" w:element="PersonName">
        <w:smartTagPr>
          <w:attr w:name="ProductID" w:val="la Provincia"/>
        </w:smartTagPr>
        <w:r>
          <w:t>la Provincia</w:t>
        </w:r>
      </w:smartTag>
      <w:r>
        <w:t xml:space="preserve"> de Buenos Aires, Dr. Eduardo Duhalde, para garantizar la seguridad de Solari y su tra</w:t>
      </w:r>
      <w:r>
        <w:t>s</w:t>
      </w:r>
      <w:r>
        <w:t xml:space="preserve">lado a la unidad carcelaria de </w:t>
      </w:r>
      <w:smartTag w:uri="urn:schemas-microsoft-com:office:smarttags" w:element="PersonName">
        <w:smartTagPr>
          <w:attr w:name="ProductID" w:val="la Isla Mart￭n"/>
        </w:smartTagPr>
        <w:r>
          <w:t>la Isla Martín</w:t>
        </w:r>
      </w:smartTag>
      <w:r>
        <w:t xml:space="preserve"> Ga</w:t>
      </w:r>
      <w:r>
        <w:t>r</w:t>
      </w:r>
      <w:r>
        <w:t>cía (cfr. fs. 75.150 y 75.256).</w:t>
      </w:r>
    </w:p>
    <w:p w:rsidR="00224567" w:rsidRDefault="00224567">
      <w:pPr>
        <w:widowControl w:val="0"/>
      </w:pPr>
      <w:r>
        <w:tab/>
        <w:t>El 26 de mayo de 1998 se recibió un informe del Poder Ejecutivo de la provincia de Buenos A</w:t>
      </w:r>
      <w:r>
        <w:t>i</w:t>
      </w:r>
      <w:r>
        <w:t>res acompañando actuaciones del servicio penitenciario provincial de donde surgía que Solari no tenía problemas de convive</w:t>
      </w:r>
      <w:r>
        <w:t>n</w:t>
      </w:r>
      <w:r>
        <w:t>cia con otros internos (fs. 75.300/75.308).</w:t>
      </w:r>
    </w:p>
    <w:p w:rsidR="00224567" w:rsidRDefault="00224567">
      <w:pPr>
        <w:widowControl w:val="0"/>
      </w:pPr>
      <w:r>
        <w:tab/>
        <w:t>En mayo de 1999, Solari fue entrevi</w:t>
      </w:r>
      <w:r>
        <w:t>s</w:t>
      </w:r>
      <w:r>
        <w:t xml:space="preserve">tado por algunos integrantes de </w:t>
      </w:r>
      <w:smartTag w:uri="urn:schemas-microsoft-com:office:smarttags" w:element="PersonName">
        <w:smartTagPr>
          <w:attr w:name="ProductID" w:val="la Comisi￳n Bicameral"/>
        </w:smartTagPr>
        <w:r>
          <w:t>la Comisión Bicameral</w:t>
        </w:r>
      </w:smartTag>
      <w:r>
        <w:t xml:space="preserve"> en Sierra Chica. Ante ellos, brindó una versión novedosa de los hechos y apeló nuevamente a su falta de seguridad para pedir un traslado de unidad. Contó cómo había sido prep</w:t>
      </w:r>
      <w:r>
        <w:t>a</w:t>
      </w:r>
      <w:r>
        <w:t xml:space="preserve">rado en </w:t>
      </w:r>
      <w:smartTag w:uri="urn:schemas-microsoft-com:office:smarttags" w:element="PersonName">
        <w:smartTagPr>
          <w:attr w:name="ProductID" w:val="la Brigada"/>
        </w:smartTagPr>
        <w:r>
          <w:t>la Brigada</w:t>
        </w:r>
      </w:smartTag>
      <w:r>
        <w:t xml:space="preserve"> de Investigaciones de Vicente López p</w:t>
      </w:r>
      <w:r>
        <w:t>a</w:t>
      </w:r>
      <w:r>
        <w:t>ra desviar la causa y solicitó se lo aloje en la unidad penite</w:t>
      </w:r>
      <w:r>
        <w:t>n</w:t>
      </w:r>
      <w:r>
        <w:t xml:space="preserve">ciaria de </w:t>
      </w:r>
      <w:smartTag w:uri="urn:schemas-microsoft-com:office:smarttags" w:element="PersonName">
        <w:smartTagPr>
          <w:attr w:name="ProductID" w:val="la Isla Mart￭n"/>
        </w:smartTagPr>
        <w:r>
          <w:t>la Isla Martín</w:t>
        </w:r>
      </w:smartTag>
      <w:r>
        <w:t xml:space="preserve"> García porque temía por su integridad física. Lo afirmado se funda en lo sost</w:t>
      </w:r>
      <w:r>
        <w:t>e</w:t>
      </w:r>
      <w:r>
        <w:t>nido en la audiencia de debate por Juan Pablo Cafiero, Raúl Alfr</w:t>
      </w:r>
      <w:r>
        <w:t>e</w:t>
      </w:r>
      <w:r>
        <w:t>do Galván, Carlos Ernesto Soria y  Melchor René Cruchaga.</w:t>
      </w:r>
    </w:p>
    <w:p w:rsidR="00224567" w:rsidRDefault="00224567">
      <w:pPr>
        <w:widowControl w:val="0"/>
      </w:pPr>
      <w:r>
        <w:tab/>
        <w:t>Solari habiendo fracasado en su inte</w:t>
      </w:r>
      <w:r>
        <w:t>n</w:t>
      </w:r>
      <w:r>
        <w:t>to de perm</w:t>
      </w:r>
      <w:r>
        <w:t>a</w:t>
      </w:r>
      <w:r>
        <w:t xml:space="preserve">necer en una unidad federal, probó con reclamar su pase a </w:t>
      </w:r>
      <w:smartTag w:uri="urn:schemas-microsoft-com:office:smarttags" w:element="PersonName">
        <w:smartTagPr>
          <w:attr w:name="ProductID" w:val="la Isla Mart￭n"/>
        </w:smartTagPr>
        <w:r>
          <w:t>la Isla Martín</w:t>
        </w:r>
      </w:smartTag>
      <w:r>
        <w:t xml:space="preserve"> García y habiendo fracasado esta o</w:t>
      </w:r>
      <w:r>
        <w:t>p</w:t>
      </w:r>
      <w:r>
        <w:t>ción y dándole garantías de seguridad en los penales de provincia se sintió acorralado, e ideó una trama para l</w:t>
      </w:r>
      <w:r>
        <w:t>o</w:t>
      </w:r>
      <w:r>
        <w:t>grar ser traslad</w:t>
      </w:r>
      <w:r>
        <w:t>a</w:t>
      </w:r>
      <w:r>
        <w:t>do nuevamente al ámbito federal.</w:t>
      </w:r>
    </w:p>
    <w:p w:rsidR="00224567" w:rsidRDefault="00224567">
      <w:pPr>
        <w:widowControl w:val="0"/>
      </w:pPr>
      <w:r>
        <w:tab/>
        <w:t>En ese contexto ocurren los supuestos complots para matar a Solari –que se tratarán más adela</w:t>
      </w:r>
      <w:r>
        <w:t>n</w:t>
      </w:r>
      <w:r>
        <w:t xml:space="preserve">te-, en Sierra Chica y en la unidad nº 9 de </w:t>
      </w:r>
      <w:smartTag w:uri="urn:schemas-microsoft-com:office:smarttags" w:element="PersonName">
        <w:smartTagPr>
          <w:attr w:name="ProductID" w:val="La Plata"/>
        </w:smartTagPr>
        <w:r>
          <w:t>La Plata</w:t>
        </w:r>
      </w:smartTag>
      <w:r>
        <w:t xml:space="preserve"> en mayo y octubre de 2000, respectivamente.</w:t>
      </w:r>
    </w:p>
    <w:p w:rsidR="00224567" w:rsidRDefault="00224567">
      <w:pPr>
        <w:widowControl w:val="0"/>
      </w:pPr>
      <w:r>
        <w:tab/>
        <w:t>El 9 de octubre de ese año, el Dire</w:t>
      </w:r>
      <w:r>
        <w:t>c</w:t>
      </w:r>
      <w:r>
        <w:t>tor de Régimen Penitenciario del Servicio Penitenciario Bonaerense solicitó el traslado de Solari al ámbito fed</w:t>
      </w:r>
      <w:r>
        <w:t>e</w:t>
      </w:r>
      <w:r>
        <w:t>ral, motivando tal p</w:t>
      </w:r>
      <w:r>
        <w:t>e</w:t>
      </w:r>
      <w:r>
        <w:t>dido, entre otras consideraciones, en la circunstancia de encontrarse vinculado a los hechos d</w:t>
      </w:r>
      <w:r>
        <w:t>e</w:t>
      </w:r>
      <w:r>
        <w:t xml:space="preserve">lictivos acaecidos en la sede de </w:t>
      </w:r>
      <w:smartTag w:uri="urn:schemas-microsoft-com:office:smarttags" w:element="PersonName">
        <w:smartTagPr>
          <w:attr w:name="ProductID" w:val="la A.M"/>
        </w:smartTagPr>
        <w:r>
          <w:t>la A.M</w:t>
        </w:r>
      </w:smartTag>
      <w:r>
        <w:t xml:space="preserve">.I.A. -que ello no era valorado positivamente por todos los internos-, y en algunos incidentes que habría tenido con algunos presos. En virtud de ello,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w:smartTagPr>
        <w:r>
          <w:t>la Cámara</w:t>
        </w:r>
      </w:smartTag>
      <w:r>
        <w:t xml:space="preserve"> de Apelación y Garantías del Departamento Judicial de San Martín, autor</w:t>
      </w:r>
      <w:r>
        <w:t>i</w:t>
      </w:r>
      <w:r>
        <w:t>zó con fecha 12 de octubre de 2000 que se iniciaran ge</w:t>
      </w:r>
      <w:r>
        <w:t>s</w:t>
      </w:r>
      <w:r>
        <w:t>tiones tendientes a lograr su cambio a una unidad carcel</w:t>
      </w:r>
      <w:r>
        <w:t>a</w:t>
      </w:r>
      <w:r>
        <w:t>ria dependiente del Servicio Penitenciario Federal; y f</w:t>
      </w:r>
      <w:r>
        <w:t>i</w:t>
      </w:r>
      <w:r>
        <w:t>nalmente el 15 de n</w:t>
      </w:r>
      <w:r>
        <w:t>o</w:t>
      </w:r>
      <w:r>
        <w:t xml:space="preserve">viembre de 2000 se lo mudó a </w:t>
      </w:r>
      <w:smartTag w:uri="urn:schemas-microsoft-com:office:smarttags" w:element="PersonName">
        <w:smartTagPr>
          <w:attr w:name="ProductID" w:val="la Unidad"/>
        </w:smartTagPr>
        <w:r>
          <w:t>la Unidad</w:t>
        </w:r>
      </w:smartTag>
      <w:r>
        <w:t xml:space="preserve"> nº 6 –Rawson- del Servicio Penite</w:t>
      </w:r>
      <w:r>
        <w:t>n</w:t>
      </w:r>
      <w:r>
        <w:t>ciario Federal (cfr. fs. 79.847vta. y fs. 95.986/95.987).</w:t>
      </w:r>
    </w:p>
    <w:p w:rsidR="00224567" w:rsidRDefault="00224567">
      <w:pPr>
        <w:pStyle w:val="Ttulo9"/>
        <w:spacing w:line="600" w:lineRule="auto"/>
      </w:pPr>
      <w:r>
        <w:tab/>
      </w:r>
      <w:bookmarkStart w:id="259" w:name="_Toc86732006"/>
      <w:r>
        <w:rPr>
          <w:b/>
          <w:bCs/>
        </w:rPr>
        <w:t>C.2.d.xi.A.4.f)</w:t>
      </w:r>
      <w:r>
        <w:t xml:space="preserve"> </w:t>
      </w:r>
      <w:bookmarkStart w:id="260" w:name="_Toc79816961"/>
      <w:r>
        <w:t>Otras pruebas citadas por las partes acusad</w:t>
      </w:r>
      <w:r>
        <w:t>o</w:t>
      </w:r>
      <w:r>
        <w:t>ras</w:t>
      </w:r>
      <w:bookmarkEnd w:id="259"/>
      <w:bookmarkEnd w:id="260"/>
      <w:r>
        <w:t>.</w:t>
      </w:r>
    </w:p>
    <w:p w:rsidR="00224567" w:rsidRDefault="00224567">
      <w:pPr>
        <w:pStyle w:val="Ttulo10"/>
      </w:pPr>
      <w:r>
        <w:tab/>
      </w:r>
      <w:bookmarkStart w:id="261" w:name="_Toc79816962"/>
      <w:r>
        <w:t xml:space="preserve">C.2.d.xi.A.4.f.i) </w:t>
      </w:r>
      <w:r>
        <w:rPr>
          <w:b w:val="0"/>
          <w:bCs w:val="0"/>
        </w:rPr>
        <w:t>Supuestas tentativas de homicidio</w:t>
      </w:r>
      <w:bookmarkEnd w:id="261"/>
      <w:r>
        <w:rPr>
          <w:b w:val="0"/>
          <w:bCs w:val="0"/>
        </w:rPr>
        <w:t>.</w:t>
      </w:r>
    </w:p>
    <w:p w:rsidR="00224567" w:rsidRDefault="00224567">
      <w:pPr>
        <w:widowControl w:val="0"/>
      </w:pPr>
      <w:r>
        <w:tab/>
      </w:r>
      <w:r>
        <w:rPr>
          <w:lang w:val="es-ES_tradnl"/>
        </w:rPr>
        <w:t>Los acusadores consideraron que</w:t>
      </w:r>
      <w:r>
        <w:t xml:space="preserve"> las declaraciones ve</w:t>
      </w:r>
      <w:r>
        <w:t>r</w:t>
      </w:r>
      <w:r>
        <w:t xml:space="preserve">tidas por Solari ante los miembros de </w:t>
      </w:r>
      <w:smartTag w:uri="urn:schemas-microsoft-com:office:smarttags" w:element="PersonName">
        <w:smartTagPr>
          <w:attr w:name="ProductID" w:val="la Comisi￳n Bicameral"/>
        </w:smartTagPr>
        <w:r>
          <w:t>la Comisión Bicameral</w:t>
        </w:r>
      </w:smartTag>
      <w:r>
        <w:t xml:space="preserve"> co</w:t>
      </w:r>
      <w:r>
        <w:t>m</w:t>
      </w:r>
      <w:r>
        <w:t>plicaron a los policías bonaerenses de tal modo que, para que no siguiera declarando, intent</w:t>
      </w:r>
      <w:r>
        <w:t>a</w:t>
      </w:r>
      <w:r>
        <w:t xml:space="preserve">ron matarlo en dos oportunidades en distintas unidades carcelarias. Esto, a su juicio, constituiría una prueba más </w:t>
      </w:r>
      <w:r>
        <w:rPr>
          <w:lang w:val="es-ES_tradnl"/>
        </w:rPr>
        <w:t>de la responsabilidad de los policías bonaerenses en la preparación de la declaración de Solari para de</w:t>
      </w:r>
      <w:r>
        <w:rPr>
          <w:lang w:val="es-ES_tradnl"/>
        </w:rPr>
        <w:t>s</w:t>
      </w:r>
      <w:r>
        <w:rPr>
          <w:lang w:val="es-ES_tradnl"/>
        </w:rPr>
        <w:t>viar la investig</w:t>
      </w:r>
      <w:r>
        <w:rPr>
          <w:lang w:val="es-ES_tradnl"/>
        </w:rPr>
        <w:t>a</w:t>
      </w:r>
      <w:r>
        <w:rPr>
          <w:lang w:val="es-ES_tradnl"/>
        </w:rPr>
        <w:t>ción.</w:t>
      </w:r>
    </w:p>
    <w:p w:rsidR="00224567" w:rsidRDefault="00224567">
      <w:pPr>
        <w:widowControl w:val="0"/>
      </w:pPr>
      <w:r>
        <w:tab/>
        <w:t>Sin embargo, no se probó la existencia de los hechos denunciados –que fueron objeto de sendas i</w:t>
      </w:r>
      <w:r>
        <w:t>n</w:t>
      </w:r>
      <w:r>
        <w:t>vestigaciones judiciales-, ni menos aún que éstos fueran promov</w:t>
      </w:r>
      <w:r>
        <w:t>i</w:t>
      </w:r>
      <w:r>
        <w:t>dos por las autoridades del servicio penitenciario o policías bonaerenses. Por último, tampoco se acreditó que existiera alguna relación entre esos funcionarios p</w:t>
      </w:r>
      <w:r>
        <w:t>e</w:t>
      </w:r>
      <w:r>
        <w:t>nitenciarios y los procesados en estas a</w:t>
      </w:r>
      <w:r>
        <w:t>c</w:t>
      </w:r>
      <w:r>
        <w:t>tuaciones.</w:t>
      </w:r>
    </w:p>
    <w:p w:rsidR="00224567" w:rsidRDefault="00224567">
      <w:pPr>
        <w:widowControl w:val="0"/>
      </w:pPr>
      <w:r>
        <w:tab/>
        <w:t>Efectivamente, los supuestos complots para matar a S</w:t>
      </w:r>
      <w:r>
        <w:t>o</w:t>
      </w:r>
      <w:r>
        <w:t xml:space="preserve">lari en las unidades nº 2 de Sierra Chica y nº 9 de </w:t>
      </w:r>
      <w:smartTag w:uri="urn:schemas-microsoft-com:office:smarttags" w:element="PersonName">
        <w:smartTagPr>
          <w:attr w:name="ProductID" w:val="La Plata"/>
        </w:smartTagPr>
        <w:r>
          <w:t>La Plata</w:t>
        </w:r>
      </w:smartTag>
      <w:r>
        <w:t>, fueron objeto de investigación en las causas nº 933, caratulada “Domínguez Barrionuevo, Rafael s/ Denuncia” y la nº 78346 caratulada “Dr. Atencio S/ D</w:t>
      </w:r>
      <w:r>
        <w:t>e</w:t>
      </w:r>
      <w:r>
        <w:t>nuncia” del registro de las Unidades Funcionales de In</w:t>
      </w:r>
      <w:r>
        <w:t>s</w:t>
      </w:r>
      <w:r>
        <w:t xml:space="preserve">trucción nº 5 de los departamentos judiciales Azul y </w:t>
      </w:r>
      <w:smartTag w:uri="urn:schemas-microsoft-com:office:smarttags" w:element="PersonName">
        <w:smartTagPr>
          <w:attr w:name="ProductID" w:val="La Plata"/>
        </w:smartTagPr>
        <w:r>
          <w:t>La Plata</w:t>
        </w:r>
      </w:smartTag>
      <w:r>
        <w:t>, respectivamente, las que resultaron oportunamente archiv</w:t>
      </w:r>
      <w:r>
        <w:t>a</w:t>
      </w:r>
      <w:r>
        <w:t>das.</w:t>
      </w:r>
    </w:p>
    <w:p w:rsidR="00224567" w:rsidRDefault="00224567">
      <w:pPr>
        <w:widowControl w:val="0"/>
        <w:rPr>
          <w:lang w:val="es-ES_tradnl"/>
        </w:rPr>
      </w:pPr>
      <w:r>
        <w:tab/>
        <w:t>Esas actuaciones se iniciaron a raíz de la presentación de</w:t>
      </w:r>
      <w:r>
        <w:rPr>
          <w:lang w:val="es-ES_tradnl"/>
        </w:rPr>
        <w:t xml:space="preserve"> distintos detenidos que compartían alojamiento con Solari y que, sucintamente, manifestaron que las autoridades penitenciarias de sus respectivos l</w:t>
      </w:r>
      <w:r>
        <w:rPr>
          <w:lang w:val="es-ES_tradnl"/>
        </w:rPr>
        <w:t>u</w:t>
      </w:r>
      <w:r>
        <w:rPr>
          <w:lang w:val="es-ES_tradnl"/>
        </w:rPr>
        <w:t>gares los habían instigado a atentar contra la vida del nombrado.</w:t>
      </w:r>
    </w:p>
    <w:p w:rsidR="00224567" w:rsidRDefault="00224567">
      <w:pPr>
        <w:widowControl w:val="0"/>
      </w:pPr>
      <w:r>
        <w:rPr>
          <w:lang w:val="es-ES_tradnl"/>
        </w:rPr>
        <w:tab/>
        <w:t>Con relación a estos sucesos, Solari relató</w:t>
      </w:r>
      <w:r>
        <w:t xml:space="preserve"> que mientras estuvo detenido en distintas unidades penitenciarias, intentaron matarlo dos veces y supuest</w:t>
      </w:r>
      <w:r>
        <w:t>a</w:t>
      </w:r>
      <w:r>
        <w:t>mente los mandaba la policía de la provincia de Buenos A</w:t>
      </w:r>
      <w:r>
        <w:t>i</w:t>
      </w:r>
      <w:r>
        <w:t>res.</w:t>
      </w:r>
    </w:p>
    <w:p w:rsidR="00224567" w:rsidRDefault="00224567">
      <w:pPr>
        <w:widowControl w:val="0"/>
      </w:pPr>
      <w:r>
        <w:tab/>
        <w:t>En relación con el primero de los h</w:t>
      </w:r>
      <w:r>
        <w:t>e</w:t>
      </w:r>
      <w:r>
        <w:t xml:space="preserve">chos, prestó declaración </w:t>
      </w:r>
      <w:r>
        <w:rPr>
          <w:lang w:val="es-ES_tradnl"/>
        </w:rPr>
        <w:t>Rafael Antonio Domínguez Barri</w:t>
      </w:r>
      <w:r>
        <w:rPr>
          <w:lang w:val="es-ES_tradnl"/>
        </w:rPr>
        <w:t>o</w:t>
      </w:r>
      <w:r>
        <w:rPr>
          <w:lang w:val="es-ES_tradnl"/>
        </w:rPr>
        <w:t xml:space="preserve">nuevo, quien compartió alojamiento en el mismo pabellón que Solari en la unidad nº 2 de Sierra Chica en mayo de 2000. Afirmó que junto con los internos </w:t>
      </w:r>
      <w:r>
        <w:t xml:space="preserve">Rafael Soria y Juan Domingo Galeano </w:t>
      </w:r>
      <w:r>
        <w:rPr>
          <w:lang w:val="es-ES_tradnl"/>
        </w:rPr>
        <w:t>mantuvo varias reuniones con el D</w:t>
      </w:r>
      <w:r>
        <w:rPr>
          <w:lang w:val="es-ES_tradnl"/>
        </w:rPr>
        <w:t>i</w:t>
      </w:r>
      <w:r>
        <w:rPr>
          <w:lang w:val="es-ES_tradnl"/>
        </w:rPr>
        <w:t>rector y Subdirector de la unidad, donde les propusieron matar a Solari, a cambio de mantener beneficios en su l</w:t>
      </w:r>
      <w:r>
        <w:rPr>
          <w:lang w:val="es-ES_tradnl"/>
        </w:rPr>
        <w:t>u</w:t>
      </w:r>
      <w:r>
        <w:rPr>
          <w:lang w:val="es-ES_tradnl"/>
        </w:rPr>
        <w:t>gar de detención, que no le correspondían</w:t>
      </w:r>
      <w:r>
        <w:t>. No les explic</w:t>
      </w:r>
      <w:r>
        <w:t>a</w:t>
      </w:r>
      <w:r>
        <w:t>ron el motivo por el cual había que matar a Solari. As</w:t>
      </w:r>
      <w:r>
        <w:t>i</w:t>
      </w:r>
      <w:r>
        <w:t>mismo refirió que al no aceptar el encargo, las autorid</w:t>
      </w:r>
      <w:r>
        <w:t>a</w:t>
      </w:r>
      <w:r>
        <w:t>des de la unidad le negaron salidas transitorias e incl</w:t>
      </w:r>
      <w:r>
        <w:t>u</w:t>
      </w:r>
      <w:r>
        <w:t>sive lo alojaron en una celda de aislamiento –sin ningún motivo- y quisieron pre</w:t>
      </w:r>
      <w:r>
        <w:t>n</w:t>
      </w:r>
      <w:r>
        <w:t>derlo fuego.</w:t>
      </w:r>
    </w:p>
    <w:p w:rsidR="00224567" w:rsidRDefault="00224567">
      <w:pPr>
        <w:widowControl w:val="0"/>
      </w:pPr>
      <w:r>
        <w:tab/>
        <w:t>Este primer hecho, como se adelantara, no se e</w:t>
      </w:r>
      <w:r>
        <w:t>n</w:t>
      </w:r>
      <w:r>
        <w:t>cuentra acreditado. En este sentido, cabe remarcar que las actu</w:t>
      </w:r>
      <w:r>
        <w:t>a</w:t>
      </w:r>
      <w:r>
        <w:t>ciones incoadas para investigarlo resultaron archivadas por falta de prueba (cfr. fs. 744 de la causa nº 933).</w:t>
      </w:r>
    </w:p>
    <w:p w:rsidR="00224567" w:rsidRDefault="00224567">
      <w:pPr>
        <w:widowControl w:val="0"/>
      </w:pPr>
      <w:r>
        <w:tab/>
        <w:t>No obstante ello, se debe destacar la mala fe de los acusadores ya que, en ningún momento, el testigo refirió que las autoridades penitenciarias tuvi</w:t>
      </w:r>
      <w:r>
        <w:t>e</w:t>
      </w:r>
      <w:r>
        <w:t>ran alguna conexión con los policías bonaerenses i</w:t>
      </w:r>
      <w:r>
        <w:t>m</w:t>
      </w:r>
      <w:r>
        <w:t>putados o que la supuesta instigación a matar a Solari tuviera a</w:t>
      </w:r>
      <w:r>
        <w:t>l</w:t>
      </w:r>
      <w:r>
        <w:t>guna relación con la causa A.M.I.A.</w:t>
      </w:r>
    </w:p>
    <w:p w:rsidR="00224567" w:rsidRDefault="00224567">
      <w:pPr>
        <w:widowControl w:val="0"/>
      </w:pPr>
      <w:r>
        <w:tab/>
      </w:r>
      <w:r>
        <w:tab/>
        <w:t>En orden al segundo de los hechos, d</w:t>
      </w:r>
      <w:r>
        <w:t>e</w:t>
      </w:r>
      <w:r>
        <w:t xml:space="preserve">clararon en forma testimonial, Leandro Fabio Incaminato y Daniel Carlos Miranda, quienes compartieron alojamiento con Solari en la unidad nº 9 del Servicio Penitenciario de </w:t>
      </w:r>
      <w:smartTag w:uri="urn:schemas-microsoft-com:office:smarttags" w:element="PersonName">
        <w:smartTagPr>
          <w:attr w:name="ProductID" w:val="la Provincia"/>
        </w:smartTagPr>
        <w:r>
          <w:t>la Provi</w:t>
        </w:r>
        <w:r>
          <w:t>n</w:t>
        </w:r>
        <w:r>
          <w:t>cia</w:t>
        </w:r>
      </w:smartTag>
      <w:r>
        <w:t xml:space="preserve"> de Buenos Aires en el mes de octubre de 2000. Los nombrados relataron que Valdez -director de esa un</w:t>
      </w:r>
      <w:r>
        <w:t>i</w:t>
      </w:r>
      <w:r>
        <w:t>dad-, les encomendó matar a Ramón Emilio Solari a cambio de fac</w:t>
      </w:r>
      <w:r>
        <w:t>i</w:t>
      </w:r>
      <w:r>
        <w:t>litarles la fuga desde un hospital. Refirieron que para que pudieran cumplir el cometido, les dieron una ll</w:t>
      </w:r>
      <w:r>
        <w:t>a</w:t>
      </w:r>
      <w:r>
        <w:t>ve de esposas, y acordaron cortar la luz -entre cinco y diez minutos-, para que ellos tuvi</w:t>
      </w:r>
      <w:r>
        <w:t>e</w:t>
      </w:r>
      <w:r>
        <w:t>ran tiempo de apuñalar a Solari.</w:t>
      </w:r>
    </w:p>
    <w:p w:rsidR="00224567" w:rsidRDefault="00224567">
      <w:pPr>
        <w:widowControl w:val="0"/>
      </w:pPr>
      <w:r>
        <w:tab/>
        <w:t>Por otra parte, señalaron que antes de la reunión con el director, se realizó una requisa en el pabellón y al volver a su celda, encontraron dos armas blancas de las denominadas “facas”. Luego del referido e</w:t>
      </w:r>
      <w:r>
        <w:t>n</w:t>
      </w:r>
      <w:r>
        <w:t>cuentro, se cortó la luz y cuando volvió varios guardias se habían asomado a las rejas para ver si había pasado a</w:t>
      </w:r>
      <w:r>
        <w:t>l</w:t>
      </w:r>
      <w:r>
        <w:t>go, razón por la cual estimaron que se les había tendido una trampa y se de</w:t>
      </w:r>
      <w:r>
        <w:t>s</w:t>
      </w:r>
      <w:r>
        <w:t>hicieron de las armas.</w:t>
      </w:r>
    </w:p>
    <w:p w:rsidR="00224567" w:rsidRDefault="00224567">
      <w:pPr>
        <w:widowControl w:val="0"/>
      </w:pPr>
      <w:r>
        <w:tab/>
        <w:t>Al día siguiente, conforme declararan en la audiencia de juicio, se e</w:t>
      </w:r>
      <w:r>
        <w:t>n</w:t>
      </w:r>
      <w:r>
        <w:t>teraron que Solari era ex-policía y por esto lo conminaron a abandonar el pab</w:t>
      </w:r>
      <w:r>
        <w:t>e</w:t>
      </w:r>
      <w:r>
        <w:t>llón, pero no le hicieron ningún daño.</w:t>
      </w:r>
    </w:p>
    <w:p w:rsidR="00224567" w:rsidRDefault="00224567">
      <w:pPr>
        <w:widowControl w:val="0"/>
      </w:pPr>
      <w:r>
        <w:tab/>
        <w:t>Incaminato aclaró que Valdez le dijo que tenía que eliminar a Solari por las denuncias que efectuara en Si</w:t>
      </w:r>
      <w:r>
        <w:t>e</w:t>
      </w:r>
      <w:r>
        <w:t>rra Chica.</w:t>
      </w:r>
    </w:p>
    <w:p w:rsidR="00224567" w:rsidRDefault="00224567">
      <w:pPr>
        <w:widowControl w:val="0"/>
      </w:pPr>
      <w:r>
        <w:tab/>
        <w:t>Por su parte, Miranda, refirió que después del incidente fueron trasladados a las celdas de castigo, que denominó “buzones” y se inició una causa c</w:t>
      </w:r>
      <w:r>
        <w:t>o</w:t>
      </w:r>
      <w:r>
        <w:t>n-tra Incaminato, Valor y él por tentativa de homicidio. Acotó que decidieron formular la denuncia cuando les pr</w:t>
      </w:r>
      <w:r>
        <w:t>e</w:t>
      </w:r>
      <w:r>
        <w:t>sent</w:t>
      </w:r>
      <w:r>
        <w:t>a</w:t>
      </w:r>
      <w:r>
        <w:t>ron unas notificaciones donde se afirmaba que habían amenazado con elementos cortantes a Solari; se negaron a firmar y esa misma tarde los llevan a un tribunal para d</w:t>
      </w:r>
      <w:r>
        <w:t>e</w:t>
      </w:r>
      <w:r>
        <w:t>clarar.</w:t>
      </w:r>
    </w:p>
    <w:p w:rsidR="00224567" w:rsidRDefault="00224567">
      <w:pPr>
        <w:widowControl w:val="0"/>
      </w:pPr>
      <w:r>
        <w:tab/>
        <w:t>En relación a este segundo hecho, el tribunal no considera acreditada la existencia de un s</w:t>
      </w:r>
      <w:r>
        <w:t>u</w:t>
      </w:r>
      <w:r>
        <w:t>puesto e</w:t>
      </w:r>
      <w:r>
        <w:t>n</w:t>
      </w:r>
      <w:r>
        <w:t>cargo para matar a Solari, ni menos aún que éste tuviera alguna relación con los imputados en autos o la presente causa.</w:t>
      </w:r>
    </w:p>
    <w:p w:rsidR="00224567" w:rsidRDefault="00224567">
      <w:pPr>
        <w:widowControl w:val="0"/>
      </w:pPr>
      <w:r>
        <w:tab/>
        <w:t>En efecto, en primer lugar, se advie</w:t>
      </w:r>
      <w:r>
        <w:t>r</w:t>
      </w:r>
      <w:r>
        <w:t>te que en la causa nº 78.346 no se comprobó el hecho d</w:t>
      </w:r>
      <w:r>
        <w:t>e</w:t>
      </w:r>
      <w:r>
        <w:t>nunciado por los detenidos Incaminato y Miranda y se a</w:t>
      </w:r>
      <w:r>
        <w:t>r</w:t>
      </w:r>
      <w:r>
        <w:t>chivaron las a</w:t>
      </w:r>
      <w:r>
        <w:t>c</w:t>
      </w:r>
      <w:r>
        <w:t>tuaciones, conforme surge de la resolución de fs. 79/80. Además, los propios testigos sost</w:t>
      </w:r>
      <w:r>
        <w:t>u</w:t>
      </w:r>
      <w:r>
        <w:t>vieron que en re</w:t>
      </w:r>
      <w:r>
        <w:t>a</w:t>
      </w:r>
      <w:r>
        <w:t>lidad les habrían tendido una trampa a ellos, razón por la cual el complot denunciado habría sido en su c</w:t>
      </w:r>
      <w:r>
        <w:t>o</w:t>
      </w:r>
      <w:r>
        <w:t>ntra y no de Solari.</w:t>
      </w:r>
    </w:p>
    <w:p w:rsidR="00224567" w:rsidRDefault="00224567">
      <w:pPr>
        <w:widowControl w:val="0"/>
      </w:pPr>
      <w:r>
        <w:tab/>
        <w:t>En tercer lugar, y fundamentalmente, ninguno de los testigos señaló que las autoridades pen</w:t>
      </w:r>
      <w:r>
        <w:t>i</w:t>
      </w:r>
      <w:r>
        <w:t>tenciarias les hubieran referido que debían matar a Solari por encargo de los p</w:t>
      </w:r>
      <w:r>
        <w:t>o</w:t>
      </w:r>
      <w:r>
        <w:t>licías bonaerenses o por su relación con la causa, es más, Incaminato aclaró que Valdez le h</w:t>
      </w:r>
      <w:r>
        <w:t>a</w:t>
      </w:r>
      <w:r>
        <w:t>bía manifestado que tenía que eliminar a Solari por las denuncias que efe</w:t>
      </w:r>
      <w:r>
        <w:t>c</w:t>
      </w:r>
      <w:r>
        <w:t>tuara en Sierra Chica.</w:t>
      </w:r>
    </w:p>
    <w:p w:rsidR="00224567" w:rsidRDefault="00224567">
      <w:pPr>
        <w:pStyle w:val="Ttulo10"/>
        <w:rPr>
          <w:b w:val="0"/>
          <w:bCs w:val="0"/>
        </w:rPr>
      </w:pPr>
      <w:r>
        <w:tab/>
        <w:t>C.2.d.xi.A.4.f.ii)</w:t>
      </w:r>
      <w:bookmarkStart w:id="262" w:name="_Toc79816963"/>
      <w:r>
        <w:t xml:space="preserve"> </w:t>
      </w:r>
      <w:r>
        <w:rPr>
          <w:b w:val="0"/>
          <w:bCs w:val="0"/>
        </w:rPr>
        <w:t>Testimonio de Nél</w:t>
      </w:r>
      <w:r>
        <w:rPr>
          <w:b w:val="0"/>
          <w:bCs w:val="0"/>
        </w:rPr>
        <w:t>i</w:t>
      </w:r>
      <w:r>
        <w:rPr>
          <w:b w:val="0"/>
          <w:bCs w:val="0"/>
        </w:rPr>
        <w:t>da Virginia Morri</w:t>
      </w:r>
      <w:bookmarkEnd w:id="262"/>
      <w:r>
        <w:rPr>
          <w:b w:val="0"/>
          <w:bCs w:val="0"/>
        </w:rPr>
        <w:t>.</w:t>
      </w:r>
    </w:p>
    <w:p w:rsidR="00224567" w:rsidRDefault="00224567">
      <w:pPr>
        <w:widowControl w:val="0"/>
      </w:pPr>
      <w:r>
        <w:tab/>
      </w:r>
      <w:r>
        <w:rPr>
          <w:lang w:val="es-ES_tradnl"/>
        </w:rPr>
        <w:t xml:space="preserve">Los acusadores consideraron que </w:t>
      </w:r>
      <w:r>
        <w:t xml:space="preserve">la aparición de Solari en la causa obedecía a un intento de </w:t>
      </w:r>
      <w:smartTag w:uri="urn:schemas-microsoft-com:office:smarttags" w:element="PersonName">
        <w:smartTagPr>
          <w:attr w:name="ProductID" w:val="la Polic￭a Bonaerense"/>
        </w:smartTagPr>
        <w:r>
          <w:t>la Policía Bonaerense</w:t>
        </w:r>
      </w:smartTag>
      <w:r>
        <w:t xml:space="preserve"> por beneficiar a Telleldín y, por ende, a los policías bonaerenses. En tal sentido, sost</w:t>
      </w:r>
      <w:r>
        <w:t>u</w:t>
      </w:r>
      <w:r>
        <w:t>vieron que Bareiro envió a Morri para que visitara a T</w:t>
      </w:r>
      <w:r>
        <w:t>e</w:t>
      </w:r>
      <w:r>
        <w:t>lleldín en la sede del ex-Departamento Protección del O</w:t>
      </w:r>
      <w:r>
        <w:t>r</w:t>
      </w:r>
      <w:r>
        <w:t xml:space="preserve">den Constitucional de </w:t>
      </w:r>
      <w:smartTag w:uri="urn:schemas-microsoft-com:office:smarttags" w:element="PersonName">
        <w:smartTagPr>
          <w:attr w:name="ProductID" w:val="la Polic￭a Federal"/>
        </w:smartTagPr>
        <w:r>
          <w:t>la Policía Federal</w:t>
        </w:r>
      </w:smartTag>
      <w:r>
        <w:t>, a fin de anu</w:t>
      </w:r>
      <w:r>
        <w:t>n</w:t>
      </w:r>
      <w:r>
        <w:t>ciarle que una persona deten</w:t>
      </w:r>
      <w:r>
        <w:t>i</w:t>
      </w:r>
      <w:r>
        <w:t>da en Vicente López se haría cargo del atentado. Fundaron sus afirmaciones en los d</w:t>
      </w:r>
      <w:r>
        <w:t>i</w:t>
      </w:r>
      <w:r>
        <w:t>chos de Telleldín y B</w:t>
      </w:r>
      <w:r>
        <w:t>o</w:t>
      </w:r>
      <w:r>
        <w:t>ragni, que habría estado presente en el encuentro; también el Fiscal valoró el testimonio de Morri.</w:t>
      </w:r>
    </w:p>
    <w:p w:rsidR="00224567" w:rsidRDefault="00224567">
      <w:pPr>
        <w:widowControl w:val="0"/>
      </w:pPr>
      <w:r>
        <w:tab/>
        <w:t>Sin embargo en la audiencia de debate no se acreditó que personal policial preparara a Solari para declarar ni tampoco las afirmaciones atribuidas a M</w:t>
      </w:r>
      <w:r>
        <w:t>o</w:t>
      </w:r>
      <w:r>
        <w:t>rri por los acusadores. Es más, la nombrada en el juicio contradijo las versiones atribuidas a Telleldín, Bora</w:t>
      </w:r>
      <w:r>
        <w:t>g</w:t>
      </w:r>
      <w:r>
        <w:t>ni y la que el propio fiscal le endilgó.</w:t>
      </w:r>
    </w:p>
    <w:p w:rsidR="00224567" w:rsidRDefault="00224567">
      <w:pPr>
        <w:widowControl w:val="0"/>
      </w:pPr>
      <w:r>
        <w:tab/>
        <w:t>En efecto, Morri en el juicio oral n</w:t>
      </w:r>
      <w:r>
        <w:t>e</w:t>
      </w:r>
      <w:r>
        <w:t>gó que hubiese hablado de Solari con Boragni, ya que r</w:t>
      </w:r>
      <w:r>
        <w:t>e</w:t>
      </w:r>
      <w:r>
        <w:t>cién conoció algo sobre él, dos o tres años después del atent</w:t>
      </w:r>
      <w:r>
        <w:t>a</w:t>
      </w:r>
      <w:r>
        <w:t>do. En tal sentido, aclaró que Bareiro le contó que Solari lo quiso vincular a él con el atentado. Es decir que lo ubicó en un contexto totalmente distinto al que los acus</w:t>
      </w:r>
      <w:r>
        <w:t>a</w:t>
      </w:r>
      <w:r>
        <w:t>dores pretenden.</w:t>
      </w:r>
    </w:p>
    <w:p w:rsidR="00224567" w:rsidRDefault="00224567">
      <w:pPr>
        <w:widowControl w:val="0"/>
      </w:pPr>
      <w:r>
        <w:tab/>
        <w:t>Por otra parte, refirió que en una oportunidad acompañó a Boragni a visitar a Telleldín, cuando estuvo detenido en dependencias del Departamento Protección del Orden Constitucional, con el propósito de escuchar si este efectuaba algún comentario con relación al atentado. Precisó que tal diligencia se la había pedido Bareiro, quien a su vez había sido instado por Mario Eduardo Naldi y Horacio Antonio Stiuso a acercarse a Bor</w:t>
      </w:r>
      <w:r>
        <w:t>a</w:t>
      </w:r>
      <w:r>
        <w:t>gni para obtener información en el marco de la colabor</w:t>
      </w:r>
      <w:r>
        <w:t>a</w:t>
      </w:r>
      <w:r>
        <w:t xml:space="preserve">ción que el imputado prestara a </w:t>
      </w:r>
      <w:smartTag w:uri="urn:schemas-microsoft-com:office:smarttags" w:element="PersonName">
        <w:smartTagPr>
          <w:attr w:name="ProductID" w:val="la Secretar￭a"/>
        </w:smartTagPr>
        <w:r>
          <w:t>la Secretaría</w:t>
        </w:r>
      </w:smartTag>
      <w:r>
        <w:t xml:space="preserve"> de Intel</w:t>
      </w:r>
      <w:r>
        <w:t>i</w:t>
      </w:r>
      <w:r>
        <w:t>gencia en la investig</w:t>
      </w:r>
      <w:r>
        <w:t>a</w:t>
      </w:r>
      <w:r>
        <w:t>ción.</w:t>
      </w:r>
    </w:p>
    <w:p w:rsidR="00224567" w:rsidRDefault="00224567">
      <w:pPr>
        <w:widowControl w:val="0"/>
      </w:pPr>
      <w:r>
        <w:tab/>
        <w:t>Visto lo declarado por Morri en la a</w:t>
      </w:r>
      <w:r>
        <w:t>u</w:t>
      </w:r>
      <w:r>
        <w:t>diencia de debate, no puede dejar de señalarse que el r</w:t>
      </w:r>
      <w:r>
        <w:t>e</w:t>
      </w:r>
      <w:r>
        <w:t>presenta</w:t>
      </w:r>
      <w:r>
        <w:t>n</w:t>
      </w:r>
      <w:r>
        <w:t>te del Estado atribuyó a la testigo dichos que no eran los s</w:t>
      </w:r>
      <w:r>
        <w:t>u</w:t>
      </w:r>
      <w:r>
        <w:t>yos. En efecto, en su alegato, el doctor Nisman afirmó que “Morri .... sostuvo que en una oportunidad fue con Ana Boragni a visitar a Carlos Telleldín para come</w:t>
      </w:r>
      <w:r>
        <w:t>n</w:t>
      </w:r>
      <w:r>
        <w:t xml:space="preserve">tarle la aparición de Solari en Vicente López que decía que había intervenido en el tema de </w:t>
      </w:r>
      <w:smartTag w:uri="urn:schemas-microsoft-com:office:smarttags" w:element="PersonName">
        <w:smartTagPr>
          <w:attr w:name="ProductID" w:val="la A.M"/>
        </w:smartTagPr>
        <w:r>
          <w:t>la A.M</w:t>
        </w:r>
      </w:smartTag>
      <w:r>
        <w:t>.I.A.”.</w:t>
      </w:r>
    </w:p>
    <w:p w:rsidR="00224567" w:rsidRDefault="00224567">
      <w:pPr>
        <w:widowControl w:val="0"/>
      </w:pPr>
      <w:r>
        <w:tab/>
        <w:t>Por otra parte, del hecho que Morri hubiese admitido que concurrió a la sede del D.P.O.C. a visitar a Telleldín, no puede colegirse –como lo hizo el doctor Ávila-, que dicho e</w:t>
      </w:r>
      <w:r>
        <w:t>n</w:t>
      </w:r>
      <w:r>
        <w:t>cuentro comprendiera el anuncio de la existencia de Solari y su eve</w:t>
      </w:r>
      <w:r>
        <w:t>n</w:t>
      </w:r>
      <w:r>
        <w:t>tual declaración.</w:t>
      </w:r>
    </w:p>
    <w:p w:rsidR="00224567" w:rsidRDefault="00224567">
      <w:pPr>
        <w:widowControl w:val="0"/>
      </w:pPr>
      <w:r>
        <w:tab/>
        <w:t>Más allá de esto, de haberse producido un comentario de Morri acerca de la existencia de un det</w:t>
      </w:r>
      <w:r>
        <w:t>e</w:t>
      </w:r>
      <w:r>
        <w:t>nido que decía c</w:t>
      </w:r>
      <w:r>
        <w:t>o</w:t>
      </w:r>
      <w:r>
        <w:t>nocer datos vinculados al hecho, ello por sí solo, no implicaba vinculación alguna de los policías con una supue</w:t>
      </w:r>
      <w:r>
        <w:t>s</w:t>
      </w:r>
      <w:r>
        <w:t>ta preparación de Solari. Ello toda vez que, como refiri</w:t>
      </w:r>
      <w:r>
        <w:t>e</w:t>
      </w:r>
      <w:r>
        <w:t>ran varios testigos, Solari exteriorizó en más de una ocasión su voluntad de hacerse cargo del atent</w:t>
      </w:r>
      <w:r>
        <w:t>a</w:t>
      </w:r>
      <w:r>
        <w:t>do. Por tal razón no habría nada extraño en que esto llegara a conocimiento de Bareiro y Morri y a su vez se lo coment</w:t>
      </w:r>
      <w:r>
        <w:t>a</w:t>
      </w:r>
      <w:r>
        <w:t>ran a Telleldín, de quien pretendían obtener información a partir de las tareas que se le encomend</w:t>
      </w:r>
      <w:r>
        <w:t>a</w:t>
      </w:r>
      <w:r>
        <w:t xml:space="preserve">ran en el marco de su colaboración con </w:t>
      </w:r>
      <w:smartTag w:uri="urn:schemas-microsoft-com:office:smarttags" w:element="PersonName">
        <w:smartTagPr>
          <w:attr w:name="ProductID" w:val="la Secretar￭a"/>
        </w:smartTagPr>
        <w:r>
          <w:t>la S</w:t>
        </w:r>
        <w:r>
          <w:t>e</w:t>
        </w:r>
        <w:r>
          <w:t>cretaría</w:t>
        </w:r>
      </w:smartTag>
      <w:r>
        <w:t xml:space="preserve"> de Inteligencia.</w:t>
      </w:r>
    </w:p>
    <w:p w:rsidR="00224567" w:rsidRDefault="00224567">
      <w:pPr>
        <w:pStyle w:val="Ttulo10"/>
        <w:rPr>
          <w:b w:val="0"/>
          <w:bCs w:val="0"/>
        </w:rPr>
      </w:pPr>
      <w:r>
        <w:tab/>
        <w:t>C.2.d.xi.A.4.f.iii)</w:t>
      </w:r>
      <w:bookmarkStart w:id="263" w:name="_Toc79816964"/>
      <w:r>
        <w:t xml:space="preserve"> </w:t>
      </w:r>
      <w:r>
        <w:rPr>
          <w:b w:val="0"/>
          <w:bCs w:val="0"/>
        </w:rPr>
        <w:t>Otros datos apo</w:t>
      </w:r>
      <w:r>
        <w:rPr>
          <w:b w:val="0"/>
          <w:bCs w:val="0"/>
        </w:rPr>
        <w:t>r</w:t>
      </w:r>
      <w:r>
        <w:rPr>
          <w:b w:val="0"/>
          <w:bCs w:val="0"/>
        </w:rPr>
        <w:t>tados por Solari.</w:t>
      </w:r>
      <w:bookmarkEnd w:id="263"/>
    </w:p>
    <w:p w:rsidR="00224567" w:rsidRDefault="00224567">
      <w:pPr>
        <w:widowControl w:val="0"/>
      </w:pPr>
      <w:r>
        <w:tab/>
        <w:t>Las partes acusadoras sostuvieron que por la información que Solari aportó en el juzgado in</w:t>
      </w:r>
      <w:r>
        <w:t>s</w:t>
      </w:r>
      <w:r>
        <w:t>tructor, necesariamente debió ser preparado. En tal sent</w:t>
      </w:r>
      <w:r>
        <w:t>i</w:t>
      </w:r>
      <w:r>
        <w:t>do, hici</w:t>
      </w:r>
      <w:r>
        <w:t>e</w:t>
      </w:r>
      <w:r>
        <w:t>ron hincapié en que existían numerosos datos que suministró que no tenían conexión alguna con el declara</w:t>
      </w:r>
      <w:r>
        <w:t>n</w:t>
      </w:r>
      <w:r>
        <w:t xml:space="preserve">te; por ello coligieron que se los debió dar el personal de </w:t>
      </w:r>
      <w:smartTag w:uri="urn:schemas-microsoft-com:office:smarttags" w:element="PersonName">
        <w:smartTagPr>
          <w:attr w:name="ProductID" w:val="la Polic￭a Bonaerense."/>
        </w:smartTagPr>
        <w:r>
          <w:t>la Policía Bona</w:t>
        </w:r>
        <w:r>
          <w:t>e</w:t>
        </w:r>
        <w:r>
          <w:t>rense.</w:t>
        </w:r>
      </w:smartTag>
    </w:p>
    <w:p w:rsidR="00224567" w:rsidRDefault="00224567">
      <w:pPr>
        <w:widowControl w:val="0"/>
      </w:pPr>
      <w:r>
        <w:tab/>
        <w:t>Por otra parte, se interpreta en el mismo sentido, la incorporación a sus declaraciones de d</w:t>
      </w:r>
      <w:r>
        <w:t>a</w:t>
      </w:r>
      <w:r>
        <w:t>tos publicados por los medios periodísticos mucho antes que Solari fuera d</w:t>
      </w:r>
      <w:r>
        <w:t>e</w:t>
      </w:r>
      <w:r>
        <w:t>tenido.</w:t>
      </w:r>
    </w:p>
    <w:p w:rsidR="00224567" w:rsidRDefault="00224567">
      <w:pPr>
        <w:widowControl w:val="0"/>
      </w:pPr>
      <w:r>
        <w:tab/>
        <w:t>Tal conclusión no puede extraerse de las premisas dadas por lo que resulta arbitraria. En efe</w:t>
      </w:r>
      <w:r>
        <w:t>c</w:t>
      </w:r>
      <w:r>
        <w:t>to, si Solari aportó datos de personas que no tenían con</w:t>
      </w:r>
      <w:r>
        <w:t>e</w:t>
      </w:r>
      <w:r>
        <w:t>xión alguna con él, de esto no puede colegirse que neces</w:t>
      </w:r>
      <w:r>
        <w:t>a</w:t>
      </w:r>
      <w:r>
        <w:t>riamente fuesen provistos por el personal policial, m</w:t>
      </w:r>
      <w:r>
        <w:t>e</w:t>
      </w:r>
      <w:r>
        <w:t>nos aún cuando no se demostró que existiera alguna relación directa de los datos con ellos.</w:t>
      </w:r>
    </w:p>
    <w:p w:rsidR="00224567" w:rsidRDefault="00224567">
      <w:pPr>
        <w:widowControl w:val="0"/>
      </w:pPr>
      <w:r>
        <w:tab/>
        <w:t>En este orden de cosas, los acusadores sostuvieron que el teléfono de Juan Carlos Anchézar nec</w:t>
      </w:r>
      <w:r>
        <w:t>e</w:t>
      </w:r>
      <w:r>
        <w:t xml:space="preserve">sariamente le fue provisto por </w:t>
      </w:r>
      <w:smartTag w:uri="urn:schemas-microsoft-com:office:smarttags" w:element="PersonName">
        <w:smartTagPr>
          <w:attr w:name="ProductID" w:val="la Polic￭a Bonaerense"/>
        </w:smartTagPr>
        <w:r>
          <w:t>la Policía Bonaerense</w:t>
        </w:r>
      </w:smartTag>
      <w:r>
        <w:t xml:space="preserve"> a S</w:t>
      </w:r>
      <w:r>
        <w:t>o</w:t>
      </w:r>
      <w:r>
        <w:t>lari. Argumentaron que ese dato no era de conocimiento p</w:t>
      </w:r>
      <w:r>
        <w:t>ú</w:t>
      </w:r>
      <w:r>
        <w:t>blico y que ni siquiera Hor</w:t>
      </w:r>
      <w:r>
        <w:t>a</w:t>
      </w:r>
      <w:r>
        <w:t>cio Antonio Stiuso lo tenía.</w:t>
      </w:r>
    </w:p>
    <w:p w:rsidR="00224567" w:rsidRDefault="00224567">
      <w:pPr>
        <w:widowControl w:val="0"/>
      </w:pPr>
      <w:r>
        <w:tab/>
        <w:t xml:space="preserve">Sin embargo, el testimonio de este funcionario de </w:t>
      </w:r>
      <w:smartTag w:uri="urn:schemas-microsoft-com:office:smarttags" w:element="PersonName">
        <w:smartTagPr>
          <w:attr w:name="ProductID" w:val="la Secretar￭a"/>
        </w:smartTagPr>
        <w:r>
          <w:t>la Secretaría</w:t>
        </w:r>
      </w:smartTag>
      <w:r>
        <w:t xml:space="preserve"> de Inteligencia, lejos de f</w:t>
      </w:r>
      <w:r>
        <w:t>a</w:t>
      </w:r>
      <w:r>
        <w:t>vorecer el arg</w:t>
      </w:r>
      <w:r>
        <w:t>u</w:t>
      </w:r>
      <w:r>
        <w:t>mento acusador, lo desvirtúa. En efecto, el nombr</w:t>
      </w:r>
      <w:r>
        <w:t>a</w:t>
      </w:r>
      <w:r>
        <w:t>do manifestó que uno de los aportes de Solari fue el número del teléf</w:t>
      </w:r>
      <w:r>
        <w:t>o</w:t>
      </w:r>
      <w:r>
        <w:t>no celular de Anchézar que ni siquiera el deponente conocía. De tal modo, no resulta razonable atr</w:t>
      </w:r>
      <w:r>
        <w:t>i</w:t>
      </w:r>
      <w:r>
        <w:t>buir a Bareiro –por su colaboración con ese org</w:t>
      </w:r>
      <w:r>
        <w:t>a</w:t>
      </w:r>
      <w:r>
        <w:t>nismo- o a otro de los policías imputados, el haber suministrado ese dato a Sol</w:t>
      </w:r>
      <w:r>
        <w:t>a</w:t>
      </w:r>
      <w:r>
        <w:t>ri, porque no se advierte que ellos estuvieran en mejores condiciones que Stiuso de con</w:t>
      </w:r>
      <w:r>
        <w:t>o</w:t>
      </w:r>
      <w:r>
        <w:t>cer ese dato.</w:t>
      </w:r>
    </w:p>
    <w:p w:rsidR="00224567" w:rsidRDefault="00224567">
      <w:pPr>
        <w:widowControl w:val="0"/>
      </w:pPr>
      <w:r>
        <w:tab/>
        <w:t>Por otra parte, la inclusión de el</w:t>
      </w:r>
      <w:r>
        <w:t>e</w:t>
      </w:r>
      <w:r>
        <w:t>mentos o hechos en las declaraciones prestadas por Solari que fueron publicados con anterioridad a su detención no contradice la conclusión aquí arribada. Por cierto, esto tampoco prueba la supuesta preparación de su testimonio por personal policial.</w:t>
      </w:r>
    </w:p>
    <w:p w:rsidR="00224567" w:rsidRDefault="00224567">
      <w:pPr>
        <w:widowControl w:val="0"/>
        <w:rPr>
          <w:lang w:val="es-ES_tradnl"/>
        </w:rPr>
      </w:pPr>
      <w:r>
        <w:tab/>
        <w:t>Sobre el particular, Horacio Antonio Stiuso afi</w:t>
      </w:r>
      <w:r>
        <w:t>r</w:t>
      </w:r>
      <w:r>
        <w:t>mó que Solari obtuvo la información aportada en la primer declaración de los periódicos y de estar en el ambiente delictivo. En cuanto a las que le sucedieron, r</w:t>
      </w:r>
      <w:r>
        <w:t>e</w:t>
      </w:r>
      <w:r>
        <w:t>firió que la continuidad de la historia se la perm</w:t>
      </w:r>
      <w:r>
        <w:t>i</w:t>
      </w:r>
      <w:r>
        <w:t>tía el juzgado con las preguntas que le hicieron a partir de su primer decl</w:t>
      </w:r>
      <w:r>
        <w:t>a</w:t>
      </w:r>
      <w:r>
        <w:t>ración. Así, en el juzgado le preguntaban por un tema y el lo preparaba para la próxima declaración a partir de los diarios.</w:t>
      </w:r>
    </w:p>
    <w:p w:rsidR="00224567" w:rsidRDefault="00224567">
      <w:pPr>
        <w:pStyle w:val="Ttulo10"/>
        <w:rPr>
          <w:b w:val="0"/>
          <w:bCs w:val="0"/>
        </w:rPr>
      </w:pPr>
      <w:r>
        <w:rPr>
          <w:lang w:val="es-ES_tradnl"/>
        </w:rPr>
        <w:tab/>
      </w:r>
      <w:r>
        <w:t>C.2.d.xi.A.4.f.iv)</w:t>
      </w:r>
      <w:bookmarkStart w:id="264" w:name="_Toc79816965"/>
      <w:r>
        <w:t xml:space="preserve"> </w:t>
      </w:r>
      <w:r>
        <w:rPr>
          <w:b w:val="0"/>
          <w:bCs w:val="0"/>
        </w:rPr>
        <w:t>Benincasa</w:t>
      </w:r>
      <w:bookmarkEnd w:id="264"/>
      <w:r>
        <w:rPr>
          <w:b w:val="0"/>
          <w:bCs w:val="0"/>
        </w:rPr>
        <w:t>.</w:t>
      </w:r>
    </w:p>
    <w:p w:rsidR="00224567" w:rsidRDefault="00224567">
      <w:pPr>
        <w:widowControl w:val="0"/>
      </w:pPr>
      <w:r>
        <w:tab/>
        <w:t>Para los acusadores, otro de los datos aportados por Sol</w:t>
      </w:r>
      <w:r>
        <w:t>a</w:t>
      </w:r>
      <w:r>
        <w:t>ri, que llamó la atención, fue el de la escribana Cleria Benincasa. En tal sentido, el fiscal g</w:t>
      </w:r>
      <w:r>
        <w:t>e</w:t>
      </w:r>
      <w:r>
        <w:t>neral sost</w:t>
      </w:r>
      <w:r>
        <w:t>u</w:t>
      </w:r>
      <w:r>
        <w:t>vo que la única explicación para sus menciones -de quien se acreditó que tenía una relación o era conoc</w:t>
      </w:r>
      <w:r>
        <w:t>i</w:t>
      </w:r>
      <w:r>
        <w:t>da por lo menos de Ibarra-, era que Solari fue preparado para desviar la i</w:t>
      </w:r>
      <w:r>
        <w:t>n</w:t>
      </w:r>
      <w:r>
        <w:t>vestigación.</w:t>
      </w:r>
    </w:p>
    <w:p w:rsidR="00224567" w:rsidRDefault="00224567">
      <w:pPr>
        <w:widowControl w:val="0"/>
      </w:pPr>
      <w:r>
        <w:tab/>
        <w:t>Como se dijera, el supuesto desconoc</w:t>
      </w:r>
      <w:r>
        <w:t>i</w:t>
      </w:r>
      <w:r>
        <w:t>miento de Solari de los datos brindados en sus declaraci</w:t>
      </w:r>
      <w:r>
        <w:t>o</w:t>
      </w:r>
      <w:r>
        <w:t>nes, no implica nec</w:t>
      </w:r>
      <w:r>
        <w:t>e</w:t>
      </w:r>
      <w:r>
        <w:t>sariamente que éstos fuesen aportados por los policías i</w:t>
      </w:r>
      <w:r>
        <w:t>m</w:t>
      </w:r>
      <w:r>
        <w:t>putados. Nuevamente el fiscal arriba a conclusiones que no resultan compatibles con las prem</w:t>
      </w:r>
      <w:r>
        <w:t>i</w:t>
      </w:r>
      <w:r>
        <w:t>sas dadas. En efecto, son numerosas las vías por las cuales se puede obtener información a pesar de estar det</w:t>
      </w:r>
      <w:r>
        <w:t>e</w:t>
      </w:r>
      <w:r>
        <w:t>nido.</w:t>
      </w:r>
    </w:p>
    <w:p w:rsidR="00224567" w:rsidRDefault="00224567">
      <w:pPr>
        <w:widowControl w:val="0"/>
      </w:pPr>
      <w:r>
        <w:tab/>
        <w:t>Por su parte, la doctora Nercellas afirmó que r</w:t>
      </w:r>
      <w:r>
        <w:t>e</w:t>
      </w:r>
      <w:r>
        <w:t>sultaba llamativo que Solari mencionara a la escribana Cleria Benincasa cuando no tuvo contactos tel</w:t>
      </w:r>
      <w:r>
        <w:t>e</w:t>
      </w:r>
      <w:r>
        <w:t>fón</w:t>
      </w:r>
      <w:r>
        <w:t>i</w:t>
      </w:r>
      <w:r>
        <w:t>cos y ni siquiera la conocía. Destacó que la escribana recibió para esa ép</w:t>
      </w:r>
      <w:r>
        <w:t>o</w:t>
      </w:r>
      <w:r>
        <w:t>ca, llamados del Comando de Patrullas de Lanús y de Cat</w:t>
      </w:r>
      <w:r>
        <w:t>i</w:t>
      </w:r>
      <w:r>
        <w:t>nari –un ex-policía de Lanús-. A su vez, C</w:t>
      </w:r>
      <w:r>
        <w:t>a</w:t>
      </w:r>
      <w:r>
        <w:t>tinari, tuvo contactos telefónicos con los policías Juan José Ribelli, Córdoba y Villagra, quien se comunicaba ta</w:t>
      </w:r>
      <w:r>
        <w:t>m</w:t>
      </w:r>
      <w:r>
        <w:t>bién con Benincasa, Leal, Barreda, Bare</w:t>
      </w:r>
      <w:r>
        <w:t>i</w:t>
      </w:r>
      <w:r>
        <w:t>ro y Rago.</w:t>
      </w:r>
    </w:p>
    <w:p w:rsidR="00224567" w:rsidRDefault="00224567">
      <w:pPr>
        <w:widowControl w:val="0"/>
      </w:pPr>
      <w:r>
        <w:tab/>
        <w:t xml:space="preserve">Estos contactos telefónicos señalados por </w:t>
      </w:r>
      <w:smartTag w:uri="urn:schemas-microsoft-com:office:smarttags" w:element="PersonName">
        <w:smartTagPr>
          <w:attr w:name="ProductID" w:val="La Dra. Nercellas"/>
        </w:smartTagPr>
        <w:r>
          <w:t>la Dra. Nerc</w:t>
        </w:r>
        <w:r>
          <w:t>e</w:t>
        </w:r>
        <w:r>
          <w:t>llas</w:t>
        </w:r>
      </w:smartTag>
      <w:r>
        <w:t xml:space="preserve"> no prueban, en modo alguno, que los policías bonaerenses imputados hubieran preparado a Sol</w:t>
      </w:r>
      <w:r>
        <w:t>a</w:t>
      </w:r>
      <w:r>
        <w:t>ri, menos aún teniendo en cuenta que las comunicaciones vinculan a los imputados con Benincasa en forma extremad</w:t>
      </w:r>
      <w:r>
        <w:t>a</w:t>
      </w:r>
      <w:r>
        <w:t>mente remota y forzada. Un somero estudio de las prem</w:t>
      </w:r>
      <w:r>
        <w:t>i</w:t>
      </w:r>
      <w:r>
        <w:t>sas revela que la conclusión arribada resulta arbitraria y a</w:t>
      </w:r>
      <w:r>
        <w:t>n</w:t>
      </w:r>
      <w:r>
        <w:t>tojadiza.</w:t>
      </w:r>
    </w:p>
    <w:p w:rsidR="00224567" w:rsidRDefault="00224567">
      <w:pPr>
        <w:pStyle w:val="Ttulo10"/>
        <w:rPr>
          <w:b w:val="0"/>
          <w:bCs w:val="0"/>
        </w:rPr>
      </w:pPr>
      <w:r>
        <w:tab/>
      </w:r>
      <w:r>
        <w:rPr>
          <w:lang w:val="es-AR"/>
        </w:rPr>
        <w:tab/>
      </w:r>
      <w:bookmarkStart w:id="265" w:name="_Toc79816966"/>
      <w:r>
        <w:t>C.2.d.xi.A.4.f.v)</w:t>
      </w:r>
      <w:r>
        <w:rPr>
          <w:b w:val="0"/>
          <w:bCs w:val="0"/>
        </w:rPr>
        <w:t xml:space="preserve"> Testimonio de Rodr</w:t>
      </w:r>
      <w:r>
        <w:rPr>
          <w:b w:val="0"/>
          <w:bCs w:val="0"/>
        </w:rPr>
        <w:t>i</w:t>
      </w:r>
      <w:r>
        <w:rPr>
          <w:b w:val="0"/>
          <w:bCs w:val="0"/>
        </w:rPr>
        <w:t>go Toranzo</w:t>
      </w:r>
      <w:bookmarkEnd w:id="265"/>
      <w:r>
        <w:rPr>
          <w:b w:val="0"/>
          <w:bCs w:val="0"/>
        </w:rPr>
        <w:t>.</w:t>
      </w:r>
    </w:p>
    <w:p w:rsidR="00224567" w:rsidRDefault="00224567">
      <w:pPr>
        <w:widowControl w:val="0"/>
        <w:rPr>
          <w:lang w:val="es-ES_tradnl"/>
        </w:rPr>
      </w:pPr>
      <w:r>
        <w:tab/>
      </w:r>
      <w:smartTag w:uri="urn:schemas-microsoft-com:office:smarttags" w:element="PersonName">
        <w:smartTagPr>
          <w:attr w:name="ProductID" w:val="La Dra. Nercellas"/>
        </w:smartTagPr>
        <w:r>
          <w:rPr>
            <w:lang w:val="es-ES_tradnl"/>
          </w:rPr>
          <w:t>La Dra. Nercellas</w:t>
        </w:r>
      </w:smartTag>
      <w:r>
        <w:rPr>
          <w:lang w:val="es-ES_tradnl"/>
        </w:rPr>
        <w:t xml:space="preserve"> citó en apoyo de sus afirmaciones el testimonio de Toranzo, quien fuera subs</w:t>
      </w:r>
      <w:r>
        <w:rPr>
          <w:lang w:val="es-ES_tradnl"/>
        </w:rPr>
        <w:t>e</w:t>
      </w:r>
      <w:r>
        <w:rPr>
          <w:lang w:val="es-ES_tradnl"/>
        </w:rPr>
        <w:t xml:space="preserve">cretario del Área Exterior de </w:t>
      </w:r>
      <w:smartTag w:uri="urn:schemas-microsoft-com:office:smarttags" w:element="PersonName">
        <w:smartTagPr>
          <w:attr w:name="ProductID" w:val="la Secretar￭a"/>
        </w:smartTagPr>
        <w:r>
          <w:rPr>
            <w:lang w:val="es-ES_tradnl"/>
          </w:rPr>
          <w:t>la Secretaría</w:t>
        </w:r>
      </w:smartTag>
      <w:r>
        <w:rPr>
          <w:lang w:val="es-ES_tradnl"/>
        </w:rPr>
        <w:t xml:space="preserve"> de Intelige</w:t>
      </w:r>
      <w:r>
        <w:rPr>
          <w:lang w:val="es-ES_tradnl"/>
        </w:rPr>
        <w:t>n</w:t>
      </w:r>
      <w:r>
        <w:rPr>
          <w:lang w:val="es-ES_tradnl"/>
        </w:rPr>
        <w:t xml:space="preserve">cia, al referir en la audiencia de debate que el caso de Solari fue un caso de desinformación. En tal sentido, el testigo agregó que tenía entendido que existen informes de </w:t>
      </w:r>
      <w:smartTag w:uri="urn:schemas-microsoft-com:office:smarttags" w:element="PersonName">
        <w:smartTagPr>
          <w:attr w:name="ProductID" w:val="la Secretar￭a"/>
        </w:smartTagPr>
        <w:r>
          <w:rPr>
            <w:lang w:val="es-ES_tradnl"/>
          </w:rPr>
          <w:t>la Secretaría</w:t>
        </w:r>
      </w:smartTag>
      <w:r>
        <w:rPr>
          <w:lang w:val="es-ES_tradnl"/>
        </w:rPr>
        <w:t xml:space="preserve"> de Inteligencia que indican que Solari fue instruido por personal de la policía de la provincia cua</w:t>
      </w:r>
      <w:r>
        <w:rPr>
          <w:lang w:val="es-ES_tradnl"/>
        </w:rPr>
        <w:t>n</w:t>
      </w:r>
      <w:r>
        <w:rPr>
          <w:lang w:val="es-ES_tradnl"/>
        </w:rPr>
        <w:t>do estuvo detenido en una comisaría de la zona norte.</w:t>
      </w:r>
    </w:p>
    <w:p w:rsidR="00224567" w:rsidRDefault="00224567">
      <w:pPr>
        <w:widowControl w:val="0"/>
        <w:rPr>
          <w:lang w:val="es-ES_tradnl"/>
        </w:rPr>
      </w:pPr>
      <w:r>
        <w:rPr>
          <w:lang w:val="es-ES_tradnl"/>
        </w:rPr>
        <w:tab/>
        <w:t>Sin embargo, lo afirmado por el test</w:t>
      </w:r>
      <w:r>
        <w:rPr>
          <w:lang w:val="es-ES_tradnl"/>
        </w:rPr>
        <w:t>i</w:t>
      </w:r>
      <w:r>
        <w:rPr>
          <w:lang w:val="es-ES_tradnl"/>
        </w:rPr>
        <w:t xml:space="preserve">go y tomado por la querella, no se encuentra corroborado por las constancias de la causa. Así, el informe de </w:t>
      </w:r>
      <w:smartTag w:uri="urn:schemas-microsoft-com:office:smarttags" w:element="PersonName">
        <w:smartTagPr>
          <w:attr w:name="ProductID" w:val="la Secretar￭a"/>
        </w:smartTagPr>
        <w:r>
          <w:rPr>
            <w:lang w:val="es-ES_tradnl"/>
          </w:rPr>
          <w:t>la S</w:t>
        </w:r>
        <w:r>
          <w:rPr>
            <w:lang w:val="es-ES_tradnl"/>
          </w:rPr>
          <w:t>e</w:t>
        </w:r>
        <w:r>
          <w:rPr>
            <w:lang w:val="es-ES_tradnl"/>
          </w:rPr>
          <w:t>cretaría</w:t>
        </w:r>
      </w:smartTag>
      <w:r>
        <w:rPr>
          <w:lang w:val="es-ES_tradnl"/>
        </w:rPr>
        <w:t xml:space="preserve"> de Inteligencia del 29 de junio de 1995, que an</w:t>
      </w:r>
      <w:r>
        <w:rPr>
          <w:lang w:val="es-ES_tradnl"/>
        </w:rPr>
        <w:t>a</w:t>
      </w:r>
      <w:r>
        <w:rPr>
          <w:lang w:val="es-ES_tradnl"/>
        </w:rPr>
        <w:t>liza distintas cuestiones particulares de los dichos de Solari, no aporta ningún elemento que avale la concl</w:t>
      </w:r>
      <w:r>
        <w:rPr>
          <w:lang w:val="es-ES_tradnl"/>
        </w:rPr>
        <w:t>u</w:t>
      </w:r>
      <w:r>
        <w:rPr>
          <w:lang w:val="es-ES_tradnl"/>
        </w:rPr>
        <w:t>sión señalada (cfr. fs. 74.646/74.651).</w:t>
      </w:r>
    </w:p>
    <w:p w:rsidR="00224567" w:rsidRDefault="00224567">
      <w:pPr>
        <w:pStyle w:val="Ttulo8"/>
        <w:spacing w:line="600" w:lineRule="auto"/>
        <w:rPr>
          <w:b w:val="0"/>
          <w:bCs w:val="0"/>
        </w:rPr>
      </w:pPr>
      <w:r>
        <w:tab/>
      </w:r>
      <w:bookmarkStart w:id="266" w:name="_Toc79816967"/>
      <w:bookmarkStart w:id="267" w:name="_Toc86732007"/>
      <w:r>
        <w:t xml:space="preserve">C.2.d.xi.A.5) </w:t>
      </w:r>
      <w:r>
        <w:rPr>
          <w:b w:val="0"/>
          <w:bCs w:val="0"/>
        </w:rPr>
        <w:t>Credibilidad del test</w:t>
      </w:r>
      <w:r>
        <w:rPr>
          <w:b w:val="0"/>
          <w:bCs w:val="0"/>
        </w:rPr>
        <w:t>i</w:t>
      </w:r>
      <w:r>
        <w:rPr>
          <w:b w:val="0"/>
          <w:bCs w:val="0"/>
        </w:rPr>
        <w:t>monio de Solari. Sus numerosas ve</w:t>
      </w:r>
      <w:r>
        <w:rPr>
          <w:b w:val="0"/>
          <w:bCs w:val="0"/>
        </w:rPr>
        <w:t>r</w:t>
      </w:r>
      <w:r>
        <w:rPr>
          <w:b w:val="0"/>
          <w:bCs w:val="0"/>
        </w:rPr>
        <w:t>siones de los hechos</w:t>
      </w:r>
      <w:bookmarkEnd w:id="266"/>
      <w:r>
        <w:rPr>
          <w:b w:val="0"/>
          <w:bCs w:val="0"/>
        </w:rPr>
        <w:t>.</w:t>
      </w:r>
      <w:bookmarkEnd w:id="267"/>
    </w:p>
    <w:p w:rsidR="00224567" w:rsidRDefault="00224567">
      <w:pPr>
        <w:widowControl w:val="0"/>
      </w:pPr>
      <w:r>
        <w:tab/>
        <w:t>Para el Dr. Nisman “quedó probado que Solari declaró en la causa ... para aliviar a los p</w:t>
      </w:r>
      <w:r>
        <w:t>o</w:t>
      </w:r>
      <w:r>
        <w:t>licías bonaerenses involucrados, sus dichos al respecto son abs</w:t>
      </w:r>
      <w:r>
        <w:t>o</w:t>
      </w:r>
      <w:r>
        <w:t>lutamente claros y no existen a nuestro modo de ver el</w:t>
      </w:r>
      <w:r>
        <w:t>e</w:t>
      </w:r>
      <w:r>
        <w:t>mento alguno que permita dudar de las manifestaciones de Sol</w:t>
      </w:r>
      <w:r>
        <w:t>a</w:t>
      </w:r>
      <w:r>
        <w:t>ri” ( sic ). Agregó que la circunstancia de que fuera condenado por un triple homicidio no lo co</w:t>
      </w:r>
      <w:r>
        <w:t>n</w:t>
      </w:r>
      <w:r>
        <w:t>vertía, por sí solo, en más o menos creíble, sí podría arribarse a esa conclusión o inferirse tal circunsta</w:t>
      </w:r>
      <w:r>
        <w:t>n</w:t>
      </w:r>
      <w:r>
        <w:t>cia si Solari hubiera sido condenado por falso testimonio, pero nunca fue proc</w:t>
      </w:r>
      <w:r>
        <w:t>e</w:t>
      </w:r>
      <w:r>
        <w:t>sado en orden a ese delito ni siquiera indag</w:t>
      </w:r>
      <w:r>
        <w:t>a</w:t>
      </w:r>
      <w:r>
        <w:t>do.</w:t>
      </w:r>
    </w:p>
    <w:p w:rsidR="00224567" w:rsidRDefault="00224567">
      <w:pPr>
        <w:widowControl w:val="0"/>
      </w:pPr>
      <w:r>
        <w:tab/>
        <w:t xml:space="preserve">Sostuvo que no procedía descalificarlo por sus antecedentes sino que era preciso analizar si lo que dijo era creíble o no. Estimó que Solari fue elegido por </w:t>
      </w:r>
      <w:smartTag w:uri="urn:schemas-microsoft-com:office:smarttags" w:element="PersonName">
        <w:smartTagPr>
          <w:attr w:name="ProductID" w:val="la Polic￭a Bonaerense"/>
        </w:smartTagPr>
        <w:r>
          <w:t>la Policía Bonaerense</w:t>
        </w:r>
      </w:smartTag>
      <w:r>
        <w:t xml:space="preserve"> por reunir las características adecuadas para la tarea que se le encomendó, en primer l</w:t>
      </w:r>
      <w:r>
        <w:t>u</w:t>
      </w:r>
      <w:r>
        <w:t>gar, porque carecía de escrúpulos y en segundo término, la gravedad de los delitos imputados lo imposibilitaba de r</w:t>
      </w:r>
      <w:r>
        <w:t>e</w:t>
      </w:r>
      <w:r>
        <w:t>cuperar la l</w:t>
      </w:r>
      <w:r>
        <w:t>i</w:t>
      </w:r>
      <w:r>
        <w:t>bertad en un período corto.</w:t>
      </w:r>
    </w:p>
    <w:p w:rsidR="00224567" w:rsidRDefault="00224567">
      <w:pPr>
        <w:widowControl w:val="0"/>
      </w:pPr>
      <w:r>
        <w:tab/>
        <w:t>Lo afirmado por el Dr. Nisman r</w:t>
      </w:r>
      <w:r>
        <w:t>e</w:t>
      </w:r>
      <w:r>
        <w:t>sulta sorprendente y contradictorio. En primer lugar, llama la atención que afirme no encontrar elemento alguno que pe</w:t>
      </w:r>
      <w:r>
        <w:t>r</w:t>
      </w:r>
      <w:r>
        <w:t>mita dudar de las manifestaciones de Solari, cuando este testigo refirió en la audiencia de debate: “que no encue</w:t>
      </w:r>
      <w:r>
        <w:t>n</w:t>
      </w:r>
      <w:r>
        <w:t>tra motivo para seguir declarando, que le importa poco si le imputan la comisión del delito de falso testimonio ya que está condenado a reclusión perpetua”. Si esta afirm</w:t>
      </w:r>
      <w:r>
        <w:t>a</w:t>
      </w:r>
      <w:r>
        <w:t>ción, no provoca en el fiscal, al menos una razonable d</w:t>
      </w:r>
      <w:r>
        <w:t>u</w:t>
      </w:r>
      <w:r>
        <w:t>da, cue</w:t>
      </w:r>
      <w:r>
        <w:t>s</w:t>
      </w:r>
      <w:r>
        <w:t>ta imaginar una aserción que tenga ese efecto para el represe</w:t>
      </w:r>
      <w:r>
        <w:t>n</w:t>
      </w:r>
      <w:r>
        <w:t>tante del Estado.</w:t>
      </w:r>
    </w:p>
    <w:p w:rsidR="00224567" w:rsidRDefault="00224567">
      <w:pPr>
        <w:widowControl w:val="0"/>
      </w:pPr>
      <w:r>
        <w:tab/>
        <w:t>Resulta difícil entender el modo en que ha razonado el fiscal para arribar a tal conclusión. Esto más bien parece un vano intento por sostener forzad</w:t>
      </w:r>
      <w:r>
        <w:t>a</w:t>
      </w:r>
      <w:r>
        <w:t>mente el llamado “de</w:t>
      </w:r>
      <w:r>
        <w:t>s</w:t>
      </w:r>
      <w:r>
        <w:t>vío Solari” cuando la única prueba de ello proviene de un testigo nada creíble.</w:t>
      </w:r>
    </w:p>
    <w:p w:rsidR="00224567" w:rsidRDefault="00224567">
      <w:pPr>
        <w:widowControl w:val="0"/>
      </w:pPr>
      <w:r>
        <w:tab/>
        <w:t>Por otra parte, lo manifestado por el fiscal es contradictorio. En efecto, el doctor Nisman afirmó que no encontr</w:t>
      </w:r>
      <w:r>
        <w:t>a</w:t>
      </w:r>
      <w:r>
        <w:t>ba elemento alguno que le permitiera dudar de las manife</w:t>
      </w:r>
      <w:r>
        <w:t>s</w:t>
      </w:r>
      <w:r>
        <w:t xml:space="preserve">taciones de Solari y sostuvo -al mismo tiempo- que el nombrado fue elegido por </w:t>
      </w:r>
      <w:smartTag w:uri="urn:schemas-microsoft-com:office:smarttags" w:element="PersonName">
        <w:smartTagPr>
          <w:attr w:name="ProductID" w:val="la Polic￭a Bonaerense"/>
        </w:smartTagPr>
        <w:r>
          <w:t>la Policía Bona</w:t>
        </w:r>
        <w:r>
          <w:t>e</w:t>
        </w:r>
        <w:r>
          <w:t>rense</w:t>
        </w:r>
      </w:smartTag>
      <w:r>
        <w:t xml:space="preserve"> por reunir las características adecuadas para pr</w:t>
      </w:r>
      <w:r>
        <w:t>e</w:t>
      </w:r>
      <w:r>
        <w:t>sentarse en el juzgado a mentir para desviar la investig</w:t>
      </w:r>
      <w:r>
        <w:t>a</w:t>
      </w:r>
      <w:r>
        <w:t>ción del atentado. La contradicción resulta p</w:t>
      </w:r>
      <w:r>
        <w:t>a</w:t>
      </w:r>
      <w:r>
        <w:t>tente.</w:t>
      </w:r>
    </w:p>
    <w:p w:rsidR="00224567" w:rsidRDefault="00224567">
      <w:pPr>
        <w:widowControl w:val="0"/>
      </w:pPr>
      <w:r>
        <w:tab/>
        <w:t>Tiene probado que Solari durante largo tiempo fue preparado para mentir y que lo hizo, no solo una vez, sino varias veces en el juzgado instructor con el pr</w:t>
      </w:r>
      <w:r>
        <w:t>o</w:t>
      </w:r>
      <w:r>
        <w:t>pósito de desviar la investigación de un atentado donde murieron ochenta y cinco personas y, al mismo tiempo, co</w:t>
      </w:r>
      <w:r>
        <w:t>n</w:t>
      </w:r>
      <w:r>
        <w:t>sidera sus dichos creíbles, cuando éstos resultaron de</w:t>
      </w:r>
      <w:r>
        <w:t>s</w:t>
      </w:r>
      <w:r>
        <w:t>virtuados por la prueba rendida en la audiencia.</w:t>
      </w:r>
    </w:p>
    <w:p w:rsidR="00224567" w:rsidRDefault="00224567">
      <w:pPr>
        <w:widowControl w:val="0"/>
      </w:pPr>
      <w:r>
        <w:tab/>
        <w:t>El fiscal consideró que no se puede desmerecer los dichos de Solari por sus antecedentes ya que nunca fue ni siquiera indagado en orden al delito de falso test</w:t>
      </w:r>
      <w:r>
        <w:t>i</w:t>
      </w:r>
      <w:r>
        <w:t>monio. Si bien de los informes de antecedentes del nombrado no surge causa alguna por ese delito, no es menos cierto que Solari en la audiencia de debate señaló claramente que se presentó en el juzgado instructor para mentir, circunstancia que consideraron probada los acus</w:t>
      </w:r>
      <w:r>
        <w:t>a</w:t>
      </w:r>
      <w:r>
        <w:t>dores, razón por la cual de la inexistencia de actu</w:t>
      </w:r>
      <w:r>
        <w:t>a</w:t>
      </w:r>
      <w:r>
        <w:t>ciones por falso testimonio en su contra, en este caso, no puede deducirse elemento alguno que fortalezca alg</w:t>
      </w:r>
      <w:r>
        <w:t>u</w:t>
      </w:r>
      <w:r>
        <w:t>na presunción de verdad en sus dichos (cfr. informes de antecedentes de fs. 398 y 807/814 del legajo de instrucción suplement</w:t>
      </w:r>
      <w:r>
        <w:t>a</w:t>
      </w:r>
      <w:r>
        <w:t>ria).</w:t>
      </w:r>
    </w:p>
    <w:p w:rsidR="00224567" w:rsidRDefault="00224567">
      <w:pPr>
        <w:widowControl w:val="0"/>
      </w:pPr>
      <w:r>
        <w:tab/>
        <w:t>En cuanto a la querella unificada, s</w:t>
      </w:r>
      <w:r>
        <w:t>i</w:t>
      </w:r>
      <w:r>
        <w:t>milares obj</w:t>
      </w:r>
      <w:r>
        <w:t>e</w:t>
      </w:r>
      <w:r>
        <w:t>ciones merece la afirmación del doctor Federik cuando sostuvo en su alegato que Solari “fundamentalmente nos dio la impresión que cuando habló acá nos dijo la ve</w:t>
      </w:r>
      <w:r>
        <w:t>r</w:t>
      </w:r>
      <w:r>
        <w:t>dad”. Más allá de la sensación que Solari causara en el ánimo de los acusadores particulares, su testimonio de ningún modo puede considerarse creíble.</w:t>
      </w:r>
    </w:p>
    <w:p w:rsidR="00224567" w:rsidRDefault="00224567">
      <w:pPr>
        <w:widowControl w:val="0"/>
        <w:rPr>
          <w:lang w:val="es-ES_tradnl"/>
        </w:rPr>
      </w:pPr>
      <w:r>
        <w:tab/>
      </w:r>
      <w:r>
        <w:rPr>
          <w:lang w:val="es-ES_tradnl"/>
        </w:rPr>
        <w:t>Los permanentes cambios de versión de Solari con relación a la presente causa son notables. Lu</w:t>
      </w:r>
      <w:r>
        <w:rPr>
          <w:lang w:val="es-ES_tradnl"/>
        </w:rPr>
        <w:t>e</w:t>
      </w:r>
      <w:r>
        <w:rPr>
          <w:lang w:val="es-ES_tradnl"/>
        </w:rPr>
        <w:t>go de procurar por todos los medios a su alcance que lo trasladasen a una unidad penitenciaria federal, ante el fracaso de ese intento, decidió involucrarse en esta ca</w:t>
      </w:r>
      <w:r>
        <w:rPr>
          <w:lang w:val="es-ES_tradnl"/>
        </w:rPr>
        <w:t>u</w:t>
      </w:r>
      <w:r>
        <w:rPr>
          <w:lang w:val="es-ES_tradnl"/>
        </w:rPr>
        <w:t>sa. Sabía perfectamente qué estaba haciendo, prueba de e</w:t>
      </w:r>
      <w:r>
        <w:rPr>
          <w:lang w:val="es-ES_tradnl"/>
        </w:rPr>
        <w:t>s</w:t>
      </w:r>
      <w:r>
        <w:rPr>
          <w:lang w:val="es-ES_tradnl"/>
        </w:rPr>
        <w:t>to son sus manifestaciones en la audiencia de debate cua</w:t>
      </w:r>
      <w:r>
        <w:rPr>
          <w:lang w:val="es-ES_tradnl"/>
        </w:rPr>
        <w:t>n</w:t>
      </w:r>
      <w:r>
        <w:rPr>
          <w:lang w:val="es-ES_tradnl"/>
        </w:rPr>
        <w:t>do afirmó que por los delitos que le imputaban no podía ser alojado en una unidad penitenciaria federal. De este modo r</w:t>
      </w:r>
      <w:r>
        <w:rPr>
          <w:lang w:val="es-ES_tradnl"/>
        </w:rPr>
        <w:t>e</w:t>
      </w:r>
      <w:r>
        <w:rPr>
          <w:lang w:val="es-ES_tradnl"/>
        </w:rPr>
        <w:t xml:space="preserve">solvió presentarse como conocedor de ciertos datos relacionados con los atentados terroristas contra </w:t>
      </w:r>
      <w:smartTag w:uri="urn:schemas-microsoft-com:office:smarttags" w:element="PersonName">
        <w:smartTagPr>
          <w:attr w:name="ProductID" w:val="la Embajada"/>
        </w:smartTagPr>
        <w:r>
          <w:rPr>
            <w:lang w:val="es-ES_tradnl"/>
          </w:rPr>
          <w:t>la Emb</w:t>
        </w:r>
        <w:r>
          <w:rPr>
            <w:lang w:val="es-ES_tradnl"/>
          </w:rPr>
          <w:t>a</w:t>
        </w:r>
        <w:r>
          <w:rPr>
            <w:lang w:val="es-ES_tradnl"/>
          </w:rPr>
          <w:t>jada</w:t>
        </w:r>
      </w:smartTag>
      <w:r>
        <w:rPr>
          <w:lang w:val="es-ES_tradnl"/>
        </w:rPr>
        <w:t xml:space="preserve"> de Israel y la sede de </w:t>
      </w:r>
      <w:smartTag w:uri="urn:schemas-microsoft-com:office:smarttags" w:element="PersonName">
        <w:smartTagPr>
          <w:attr w:name="ProductID" w:val="la A.M"/>
        </w:smartTagPr>
        <w:r>
          <w:rPr>
            <w:lang w:val="es-ES_tradnl"/>
          </w:rPr>
          <w:t>la A.M</w:t>
        </w:r>
      </w:smartTag>
      <w:r>
        <w:rPr>
          <w:lang w:val="es-ES_tradnl"/>
        </w:rPr>
        <w:t>.I.A.. La carta la dir</w:t>
      </w:r>
      <w:r>
        <w:rPr>
          <w:lang w:val="es-ES_tradnl"/>
        </w:rPr>
        <w:t>i</w:t>
      </w:r>
      <w:r>
        <w:rPr>
          <w:lang w:val="es-ES_tradnl"/>
        </w:rPr>
        <w:t>ge al embajador de ese país porque no confiaba en la ju</w:t>
      </w:r>
      <w:r>
        <w:rPr>
          <w:lang w:val="es-ES_tradnl"/>
        </w:rPr>
        <w:t>s</w:t>
      </w:r>
      <w:r>
        <w:rPr>
          <w:lang w:val="es-ES_tradnl"/>
        </w:rPr>
        <w:t>ticia argentina y, por supuesto, pidió garantías para su integridad física y la de su familia, tal como lo había solicit</w:t>
      </w:r>
      <w:r>
        <w:rPr>
          <w:lang w:val="es-ES_tradnl"/>
        </w:rPr>
        <w:t>a</w:t>
      </w:r>
      <w:r>
        <w:rPr>
          <w:lang w:val="es-ES_tradnl"/>
        </w:rPr>
        <w:t>do en su primer indagatoria el 10 de septiembre de 1994, dos días después de haber sido d</w:t>
      </w:r>
      <w:r>
        <w:rPr>
          <w:lang w:val="es-ES_tradnl"/>
        </w:rPr>
        <w:t>e</w:t>
      </w:r>
      <w:r>
        <w:rPr>
          <w:lang w:val="es-ES_tradnl"/>
        </w:rPr>
        <w:t>tenido.</w:t>
      </w:r>
    </w:p>
    <w:p w:rsidR="00224567" w:rsidRDefault="00224567">
      <w:pPr>
        <w:widowControl w:val="0"/>
        <w:rPr>
          <w:lang w:val="es-ES_tradnl"/>
        </w:rPr>
      </w:pPr>
      <w:r>
        <w:rPr>
          <w:lang w:val="es-ES_tradnl"/>
        </w:rPr>
        <w:tab/>
        <w:t>Poco después aparece declarando frente al Dr. Galeano –ahora sí confiaría en la justicia argent</w:t>
      </w:r>
      <w:r>
        <w:rPr>
          <w:lang w:val="es-ES_tradnl"/>
        </w:rPr>
        <w:t>i</w:t>
      </w:r>
      <w:r>
        <w:rPr>
          <w:lang w:val="es-ES_tradnl"/>
        </w:rPr>
        <w:t>na-, y da una versión de los hechos que corrobora la hasta entonces conocida y divulgada por todos los medios peri</w:t>
      </w:r>
      <w:r>
        <w:rPr>
          <w:lang w:val="es-ES_tradnl"/>
        </w:rPr>
        <w:t>o</w:t>
      </w:r>
      <w:r>
        <w:rPr>
          <w:lang w:val="es-ES_tradnl"/>
        </w:rPr>
        <w:t>dísticos en cuanto a la venta de la camioneta Trafic. Agrega que T</w:t>
      </w:r>
      <w:r>
        <w:rPr>
          <w:lang w:val="es-ES_tradnl"/>
        </w:rPr>
        <w:t>e</w:t>
      </w:r>
      <w:r>
        <w:rPr>
          <w:lang w:val="es-ES_tradnl"/>
        </w:rPr>
        <w:t>lleldín estuvo acompañado por Bareiro cuando vendió la c</w:t>
      </w:r>
      <w:r>
        <w:rPr>
          <w:lang w:val="es-ES_tradnl"/>
        </w:rPr>
        <w:t>a</w:t>
      </w:r>
      <w:r>
        <w:rPr>
          <w:lang w:val="es-ES_tradnl"/>
        </w:rPr>
        <w:t>mioneta y que él acompañó a unos árabes en la op</w:t>
      </w:r>
      <w:r>
        <w:rPr>
          <w:lang w:val="es-ES_tradnl"/>
        </w:rPr>
        <w:t>e</w:t>
      </w:r>
      <w:r>
        <w:rPr>
          <w:lang w:val="es-ES_tradnl"/>
        </w:rPr>
        <w:t>ración.</w:t>
      </w:r>
    </w:p>
    <w:p w:rsidR="00224567" w:rsidRDefault="00224567">
      <w:pPr>
        <w:widowControl w:val="0"/>
        <w:rPr>
          <w:lang w:val="es-ES_tradnl"/>
        </w:rPr>
      </w:pPr>
      <w:r>
        <w:rPr>
          <w:lang w:val="es-ES_tradnl"/>
        </w:rPr>
        <w:tab/>
        <w:t>Luego de brindadas las declaraciones espontáneas de Solari en el juzgado instructor, se desc</w:t>
      </w:r>
      <w:r>
        <w:rPr>
          <w:lang w:val="es-ES_tradnl"/>
        </w:rPr>
        <w:t>u</w:t>
      </w:r>
      <w:r>
        <w:rPr>
          <w:lang w:val="es-ES_tradnl"/>
        </w:rPr>
        <w:t xml:space="preserve">briría que él no había protagonizado los hechos sobre los cuales habló y que en lo sustancial eran fabulados (cfr. el informe de </w:t>
      </w:r>
      <w:smartTag w:uri="urn:schemas-microsoft-com:office:smarttags" w:element="PersonName">
        <w:smartTagPr>
          <w:attr w:name="ProductID" w:val="la S.I"/>
        </w:smartTagPr>
        <w:r>
          <w:rPr>
            <w:lang w:val="es-ES_tradnl"/>
          </w:rPr>
          <w:t>la S.I</w:t>
        </w:r>
      </w:smartTag>
      <w:r>
        <w:rPr>
          <w:lang w:val="es-ES_tradnl"/>
        </w:rPr>
        <w:t>.D.E. obrante a fs. 74.646/74.651).</w:t>
      </w:r>
    </w:p>
    <w:p w:rsidR="00224567" w:rsidRDefault="00224567">
      <w:pPr>
        <w:widowControl w:val="0"/>
        <w:rPr>
          <w:lang w:val="es-ES_tradnl"/>
        </w:rPr>
      </w:pPr>
      <w:r>
        <w:rPr>
          <w:lang w:val="es-ES_tradnl"/>
        </w:rPr>
        <w:tab/>
        <w:t>Finalizado el juicio seguido en su  contra, Solari fue trasladado nuevamente a la unidad pen</w:t>
      </w:r>
      <w:r>
        <w:rPr>
          <w:lang w:val="es-ES_tradnl"/>
        </w:rPr>
        <w:t>i</w:t>
      </w:r>
      <w:r>
        <w:rPr>
          <w:lang w:val="es-ES_tradnl"/>
        </w:rPr>
        <w:t>tenciaria de Sierra Chica en agosto de 1997. Desde allí, escribió una carta a Juan José Ribelli en la que brindó una versión absolutamente d</w:t>
      </w:r>
      <w:r>
        <w:rPr>
          <w:lang w:val="es-ES_tradnl"/>
        </w:rPr>
        <w:t>i</w:t>
      </w:r>
      <w:r>
        <w:rPr>
          <w:lang w:val="es-ES_tradnl"/>
        </w:rPr>
        <w:t>ferente de los hechos. Afirmó que “Juan José” –en inequívoca referencia al Dr. Galeano- y personal del juzgado lo quisieron preparar para decl</w:t>
      </w:r>
      <w:r>
        <w:rPr>
          <w:lang w:val="es-ES_tradnl"/>
        </w:rPr>
        <w:t>a</w:t>
      </w:r>
      <w:r>
        <w:rPr>
          <w:lang w:val="es-ES_tradnl"/>
        </w:rPr>
        <w:t>rar en la causa a fin de vincular al personal policial man</w:t>
      </w:r>
      <w:r>
        <w:rPr>
          <w:lang w:val="es-ES_tradnl"/>
        </w:rPr>
        <w:t>i</w:t>
      </w:r>
      <w:r>
        <w:rPr>
          <w:lang w:val="es-ES_tradnl"/>
        </w:rPr>
        <w:t>festando que había sido preparado para declarar o que ap</w:t>
      </w:r>
      <w:r>
        <w:rPr>
          <w:lang w:val="es-ES_tradnl"/>
        </w:rPr>
        <w:t>o</w:t>
      </w:r>
      <w:r>
        <w:rPr>
          <w:lang w:val="es-ES_tradnl"/>
        </w:rPr>
        <w:t>yara a Telleldín en sus dichos, ello con la promesa de r</w:t>
      </w:r>
      <w:r>
        <w:rPr>
          <w:lang w:val="es-ES_tradnl"/>
        </w:rPr>
        <w:t>e</w:t>
      </w:r>
      <w:r>
        <w:rPr>
          <w:lang w:val="es-ES_tradnl"/>
        </w:rPr>
        <w:t>cibir mucho dinero y un indulto o una fuga ilegal. Que c</w:t>
      </w:r>
      <w:r>
        <w:rPr>
          <w:lang w:val="es-ES_tradnl"/>
        </w:rPr>
        <w:t>o</w:t>
      </w:r>
      <w:r>
        <w:rPr>
          <w:lang w:val="es-ES_tradnl"/>
        </w:rPr>
        <w:t>mo Galeano no consiguió nada con él, lo mandó a Sierra Chica y lo difamó en los medios peri</w:t>
      </w:r>
      <w:r>
        <w:rPr>
          <w:lang w:val="es-ES_tradnl"/>
        </w:rPr>
        <w:t>o</w:t>
      </w:r>
      <w:r>
        <w:rPr>
          <w:lang w:val="es-ES_tradnl"/>
        </w:rPr>
        <w:t>dísticos diciendo que había sido preparado por Bareiro, Rago e Ibarra para d</w:t>
      </w:r>
      <w:r>
        <w:rPr>
          <w:lang w:val="es-ES_tradnl"/>
        </w:rPr>
        <w:t>e</w:t>
      </w:r>
      <w:r>
        <w:rPr>
          <w:lang w:val="es-ES_tradnl"/>
        </w:rPr>
        <w:t xml:space="preserve">clarar, cosa que es falsa. Prueba de ello es que durante su estadía en </w:t>
      </w:r>
      <w:smartTag w:uri="urn:schemas-microsoft-com:office:smarttags" w:element="PersonName">
        <w:smartTagPr>
          <w:attr w:name="ProductID" w:val="la Brigada"/>
        </w:smartTagPr>
        <w:r>
          <w:rPr>
            <w:lang w:val="es-ES_tradnl"/>
          </w:rPr>
          <w:t>la Brigada</w:t>
        </w:r>
      </w:smartTag>
      <w:r>
        <w:rPr>
          <w:lang w:val="es-ES_tradnl"/>
        </w:rPr>
        <w:t xml:space="preserve"> de Investigaciones de Vicente L</w:t>
      </w:r>
      <w:r>
        <w:rPr>
          <w:lang w:val="es-ES_tradnl"/>
        </w:rPr>
        <w:t>ó</w:t>
      </w:r>
      <w:r>
        <w:rPr>
          <w:lang w:val="es-ES_tradnl"/>
        </w:rPr>
        <w:t>pez –continúa relatando-, fue muy conflictivo, ello a p</w:t>
      </w:r>
      <w:r>
        <w:rPr>
          <w:lang w:val="es-ES_tradnl"/>
        </w:rPr>
        <w:t>e</w:t>
      </w:r>
      <w:r>
        <w:rPr>
          <w:lang w:val="es-ES_tradnl"/>
        </w:rPr>
        <w:t>sar del trato hum</w:t>
      </w:r>
      <w:r>
        <w:rPr>
          <w:lang w:val="es-ES_tradnl"/>
        </w:rPr>
        <w:t>a</w:t>
      </w:r>
      <w:r>
        <w:rPr>
          <w:lang w:val="es-ES_tradnl"/>
        </w:rPr>
        <w:t>nitario que recibió.</w:t>
      </w:r>
    </w:p>
    <w:p w:rsidR="00224567" w:rsidRDefault="00224567">
      <w:pPr>
        <w:widowControl w:val="0"/>
        <w:rPr>
          <w:lang w:val="es-ES_tradnl"/>
        </w:rPr>
      </w:pPr>
      <w:r>
        <w:rPr>
          <w:lang w:val="es-ES_tradnl"/>
        </w:rPr>
        <w:tab/>
        <w:t xml:space="preserve">Sobre esta carta Solari afirmó que </w:t>
      </w:r>
      <w:r>
        <w:t xml:space="preserve">mientras estuvo alojado en </w:t>
      </w:r>
      <w:smartTag w:uri="urn:schemas-microsoft-com:office:smarttags" w:element="PersonName">
        <w:smartTagPr>
          <w:attr w:name="ProductID" w:val="la Brigada"/>
        </w:smartTagPr>
        <w:r>
          <w:t>la Brigada</w:t>
        </w:r>
      </w:smartTag>
      <w:r>
        <w:t xml:space="preserve"> de Investigaciones de San Martín, un oficial de nombre Juan -que había sido subord</w:t>
      </w:r>
      <w:r>
        <w:t>i</w:t>
      </w:r>
      <w:r>
        <w:t>nado de Ribelli-, le reprochó que no había vuelto a decl</w:t>
      </w:r>
      <w:r>
        <w:t>a</w:t>
      </w:r>
      <w:r>
        <w:t>rar en la causa y le manifestó que debía comunicarse con Ribelli para solucionar las cosas con él. Frente a e</w:t>
      </w:r>
      <w:r>
        <w:t>s</w:t>
      </w:r>
      <w:r>
        <w:t>to, le contestó al of</w:t>
      </w:r>
      <w:r>
        <w:t>i</w:t>
      </w:r>
      <w:r>
        <w:t>cial que escribiera en una carta lo que le pareciera, se realizó a máquina</w:t>
      </w:r>
      <w:r>
        <w:rPr>
          <w:lang w:val="es-ES_tradnl"/>
        </w:rPr>
        <w:t xml:space="preserve"> y la firmó sin leer y sin realizar c</w:t>
      </w:r>
      <w:r>
        <w:rPr>
          <w:lang w:val="es-ES_tradnl"/>
        </w:rPr>
        <w:t>o</w:t>
      </w:r>
      <w:r>
        <w:rPr>
          <w:lang w:val="es-ES_tradnl"/>
        </w:rPr>
        <w:t>rrecciones</w:t>
      </w:r>
      <w:r>
        <w:t>. Agregó que la carta decía que supuestamente el doctor Galeano lo había “apretado”, le había ofrecido plata para que lo involucre a él en la ca</w:t>
      </w:r>
      <w:r>
        <w:t>u</w:t>
      </w:r>
      <w:r>
        <w:t>sa, lo cual a su criterio, no tenía lógica ya que hasta ese momento no lo había me</w:t>
      </w:r>
      <w:r>
        <w:t>n</w:t>
      </w:r>
      <w:r>
        <w:t xml:space="preserve">cionado a Ribelli, sólo lo hizo ante </w:t>
      </w:r>
      <w:smartTag w:uri="urn:schemas-microsoft-com:office:smarttags" w:element="PersonName">
        <w:smartTagPr>
          <w:attr w:name="ProductID" w:val="la Comisi￳n Bicameral."/>
        </w:smartTagPr>
        <w:r>
          <w:t>la Comisión Bicameral.</w:t>
        </w:r>
      </w:smartTag>
      <w:r>
        <w:t xml:space="preserve"> Aclaró que firmó para que no lo molestaran más. Que luego de firmar la carta, a pregu</w:t>
      </w:r>
      <w:r>
        <w:t>n</w:t>
      </w:r>
      <w:r>
        <w:t>tas del deponente, el oficial le dijo que había incluido en la misiva lo que habían hablado, que asintió y le agr</w:t>
      </w:r>
      <w:r>
        <w:t>e</w:t>
      </w:r>
      <w:r>
        <w:t>gó la posdata. Con relación a la posdata de la carta, m</w:t>
      </w:r>
      <w:r>
        <w:t>a</w:t>
      </w:r>
      <w:r>
        <w:t>nifestó que pudo haberla escrito con la finalidad de que no lo “jodieran” más, que no puede precisar si se la di</w:t>
      </w:r>
      <w:r>
        <w:t>c</w:t>
      </w:r>
      <w:r>
        <w:t>taron o no y que tal vez la incluyó “inconscie</w:t>
      </w:r>
      <w:r>
        <w:t>n</w:t>
      </w:r>
      <w:r>
        <w:t>temente”.</w:t>
      </w:r>
    </w:p>
    <w:p w:rsidR="00224567" w:rsidRDefault="00224567">
      <w:pPr>
        <w:widowControl w:val="0"/>
        <w:rPr>
          <w:lang w:val="es-ES_tradnl"/>
        </w:rPr>
      </w:pPr>
      <w:r>
        <w:rPr>
          <w:lang w:val="es-ES_tradnl"/>
        </w:rPr>
        <w:tab/>
        <w:t>Lo afirmado por Solari fue desvirtuado por el peritaje caligráfico ordenado en las actuaciones que obra a fs. 2669/2671 del Legajo de Instrucción Supl</w:t>
      </w:r>
      <w:r>
        <w:rPr>
          <w:lang w:val="es-ES_tradnl"/>
        </w:rPr>
        <w:t>e</w:t>
      </w:r>
      <w:r>
        <w:rPr>
          <w:lang w:val="es-ES_tradnl"/>
        </w:rPr>
        <w:t>mentaria, el que corroboró que la firma obrante al final de la carta fue trazada por Solari y determinó que el p</w:t>
      </w:r>
      <w:r>
        <w:rPr>
          <w:lang w:val="es-ES_tradnl"/>
        </w:rPr>
        <w:t>a</w:t>
      </w:r>
      <w:r>
        <w:rPr>
          <w:lang w:val="es-ES_tradnl"/>
        </w:rPr>
        <w:t>trimonio escritural representado con las grafías que fu</w:t>
      </w:r>
      <w:r>
        <w:rPr>
          <w:lang w:val="es-ES_tradnl"/>
        </w:rPr>
        <w:t>e</w:t>
      </w:r>
      <w:r>
        <w:rPr>
          <w:lang w:val="es-ES_tradnl"/>
        </w:rPr>
        <w:t>ran estamp</w:t>
      </w:r>
      <w:r>
        <w:rPr>
          <w:lang w:val="es-ES_tradnl"/>
        </w:rPr>
        <w:t>a</w:t>
      </w:r>
      <w:r>
        <w:rPr>
          <w:lang w:val="es-ES_tradnl"/>
        </w:rPr>
        <w:t>das en la hoja abrochada a fs. 74.439 –inte-grante de una de las declaraciones espontáneas de S</w:t>
      </w:r>
      <w:r>
        <w:rPr>
          <w:lang w:val="es-ES_tradnl"/>
        </w:rPr>
        <w:t>o</w:t>
      </w:r>
      <w:r>
        <w:rPr>
          <w:lang w:val="es-ES_tradnl"/>
        </w:rPr>
        <w:t>lari- presentan comunidad manuscrita con las letras y números distribuidas en la carta y su sobre.</w:t>
      </w:r>
    </w:p>
    <w:p w:rsidR="00224567" w:rsidRDefault="00224567">
      <w:pPr>
        <w:widowControl w:val="0"/>
        <w:rPr>
          <w:lang w:val="es-ES_tradnl"/>
        </w:rPr>
      </w:pPr>
      <w:r>
        <w:rPr>
          <w:lang w:val="es-ES_tradnl"/>
        </w:rPr>
        <w:tab/>
        <w:t>Las circunstancias personales que su</w:t>
      </w:r>
      <w:r>
        <w:rPr>
          <w:lang w:val="es-ES_tradnl"/>
        </w:rPr>
        <w:t>r</w:t>
      </w:r>
      <w:r>
        <w:rPr>
          <w:lang w:val="es-ES_tradnl"/>
        </w:rPr>
        <w:t>gen de la misiva, las correcciones y posdata efectuadas de puño y letra, y la firma de Solari llevan a concluir que la carta fue realizada inequívocamente por el nombrado. Por otra parte, quien corrige un texto y lo firma, hace propio su conten</w:t>
      </w:r>
      <w:r>
        <w:rPr>
          <w:lang w:val="es-ES_tradnl"/>
        </w:rPr>
        <w:t>i</w:t>
      </w:r>
      <w:r>
        <w:rPr>
          <w:lang w:val="es-ES_tradnl"/>
        </w:rPr>
        <w:t>do y decir que esto no es así contradice los más elementales principios de lógica y experiencia. Por tales razones, no resulta creíble la explicación ens</w:t>
      </w:r>
      <w:r>
        <w:rPr>
          <w:lang w:val="es-ES_tradnl"/>
        </w:rPr>
        <w:t>a</w:t>
      </w:r>
      <w:r>
        <w:rPr>
          <w:lang w:val="es-ES_tradnl"/>
        </w:rPr>
        <w:t>yada por S</w:t>
      </w:r>
      <w:r>
        <w:rPr>
          <w:lang w:val="es-ES_tradnl"/>
        </w:rPr>
        <w:t>o</w:t>
      </w:r>
      <w:r>
        <w:rPr>
          <w:lang w:val="es-ES_tradnl"/>
        </w:rPr>
        <w:t>lari.</w:t>
      </w:r>
    </w:p>
    <w:p w:rsidR="00224567" w:rsidRDefault="00224567">
      <w:pPr>
        <w:widowControl w:val="0"/>
        <w:rPr>
          <w:lang w:val="es-ES_tradnl"/>
        </w:rPr>
      </w:pPr>
      <w:r>
        <w:rPr>
          <w:lang w:val="es-ES_tradnl"/>
        </w:rPr>
        <w:tab/>
        <w:t>La doctora Nercellas sostuvo en su alegato que la carta excedía los elementos de cargo que había en la causa ya que, para 1997, Solari no había no</w:t>
      </w:r>
      <w:r>
        <w:rPr>
          <w:lang w:val="es-ES_tradnl"/>
        </w:rPr>
        <w:t>m</w:t>
      </w:r>
      <w:r>
        <w:rPr>
          <w:lang w:val="es-ES_tradnl"/>
        </w:rPr>
        <w:t>brado a Ribelli. Sin perjuicio de que asiste razón a la querellante en cuanto a que Solari no había mencionado a Ribelli hasta ese momento, no es menos cierto que el ll</w:t>
      </w:r>
      <w:r>
        <w:rPr>
          <w:lang w:val="es-ES_tradnl"/>
        </w:rPr>
        <w:t>a</w:t>
      </w:r>
      <w:r>
        <w:rPr>
          <w:lang w:val="es-ES_tradnl"/>
        </w:rPr>
        <w:t>mado “desvío Solari” había sido utilizado como prueba de cargo contra los policías para fundar el auto de proces</w:t>
      </w:r>
      <w:r>
        <w:rPr>
          <w:lang w:val="es-ES_tradnl"/>
        </w:rPr>
        <w:t>a</w:t>
      </w:r>
      <w:r>
        <w:rPr>
          <w:lang w:val="es-ES_tradnl"/>
        </w:rPr>
        <w:t>miento del 31 de j</w:t>
      </w:r>
      <w:r>
        <w:rPr>
          <w:lang w:val="es-ES_tradnl"/>
        </w:rPr>
        <w:t>u</w:t>
      </w:r>
      <w:r>
        <w:rPr>
          <w:lang w:val="es-ES_tradnl"/>
        </w:rPr>
        <w:t>lio de 1996 (cfr. fs. 40.171/40.257).</w:t>
      </w:r>
    </w:p>
    <w:p w:rsidR="00224567" w:rsidRDefault="00224567">
      <w:pPr>
        <w:widowControl w:val="0"/>
        <w:rPr>
          <w:lang w:val="es-ES_tradnl"/>
        </w:rPr>
      </w:pPr>
      <w:r>
        <w:rPr>
          <w:lang w:val="es-ES_tradnl"/>
        </w:rPr>
        <w:tab/>
        <w:t>Por otra parte, tal conclusión había tomado estado público a partir de algunas notas periodí</w:t>
      </w:r>
      <w:r>
        <w:rPr>
          <w:lang w:val="es-ES_tradnl"/>
        </w:rPr>
        <w:t>s</w:t>
      </w:r>
      <w:r>
        <w:rPr>
          <w:lang w:val="es-ES_tradnl"/>
        </w:rPr>
        <w:t>ticas. Así, se pueden mencionar, a manera de ejemplo, la nota del 1º de agosto de 1996 titulada “Una pista falsa. Hasta inventaron un testigo” publicada en el diario “Cl</w:t>
      </w:r>
      <w:r>
        <w:rPr>
          <w:lang w:val="es-ES_tradnl"/>
        </w:rPr>
        <w:t>a</w:t>
      </w:r>
      <w:r>
        <w:rPr>
          <w:lang w:val="es-ES_tradnl"/>
        </w:rPr>
        <w:t>rín” y la del 17 de septiembre del mismo año, intitulada “Un incentivo contundente para cuatro memorias” del peri</w:t>
      </w:r>
      <w:r>
        <w:rPr>
          <w:lang w:val="es-ES_tradnl"/>
        </w:rPr>
        <w:t>ó</w:t>
      </w:r>
      <w:r>
        <w:rPr>
          <w:lang w:val="es-ES_tradnl"/>
        </w:rPr>
        <w:t xml:space="preserve">dico “Página </w:t>
      </w:r>
      <w:smartTag w:uri="urn:schemas-microsoft-com:office:smarttags" w:element="metricconverter">
        <w:smartTagPr>
          <w:attr w:name="ProductID" w:val="12”"/>
        </w:smartTagPr>
        <w:r>
          <w:rPr>
            <w:lang w:val="es-ES_tradnl"/>
          </w:rPr>
          <w:t>12”</w:t>
        </w:r>
      </w:smartTag>
      <w:r>
        <w:rPr>
          <w:lang w:val="es-ES_tradnl"/>
        </w:rPr>
        <w:t>.</w:t>
      </w:r>
    </w:p>
    <w:p w:rsidR="00224567" w:rsidRDefault="00224567">
      <w:pPr>
        <w:widowControl w:val="0"/>
        <w:rPr>
          <w:b/>
          <w:bCs/>
          <w:lang w:val="es-ES_tradnl"/>
        </w:rPr>
      </w:pPr>
      <w:r>
        <w:rPr>
          <w:lang w:val="es-ES_tradnl"/>
        </w:rPr>
        <w:tab/>
        <w:t>Tales elementos probatorios desvirtúan la afirmación de la letrada con relación a la misiva de Solari.</w:t>
      </w:r>
    </w:p>
    <w:p w:rsidR="00224567" w:rsidRDefault="00224567">
      <w:pPr>
        <w:widowControl w:val="0"/>
        <w:rPr>
          <w:lang w:val="es-ES_tradnl"/>
        </w:rPr>
      </w:pPr>
      <w:r>
        <w:rPr>
          <w:b/>
          <w:bCs/>
          <w:lang w:val="es-ES_tradnl"/>
        </w:rPr>
        <w:tab/>
      </w:r>
      <w:r>
        <w:rPr>
          <w:lang w:val="es-ES_tradnl"/>
        </w:rPr>
        <w:t xml:space="preserve">En la audiencia de debate, se escuchó una tercer versión de los hechos, similar a la brindada ante </w:t>
      </w:r>
      <w:smartTag w:uri="urn:schemas-microsoft-com:office:smarttags" w:element="PersonName">
        <w:smartTagPr>
          <w:attr w:name="ProductID" w:val="la Comisi￳n Bicameral"/>
        </w:smartTagPr>
        <w:r>
          <w:rPr>
            <w:lang w:val="es-ES_tradnl"/>
          </w:rPr>
          <w:t>la Comisión Bicameral</w:t>
        </w:r>
      </w:smartTag>
      <w:r>
        <w:rPr>
          <w:lang w:val="es-ES_tradnl"/>
        </w:rPr>
        <w:t xml:space="preserve"> en el año 1999. Afirmó básic</w:t>
      </w:r>
      <w:r>
        <w:rPr>
          <w:lang w:val="es-ES_tradnl"/>
        </w:rPr>
        <w:t>a</w:t>
      </w:r>
      <w:r>
        <w:rPr>
          <w:lang w:val="es-ES_tradnl"/>
        </w:rPr>
        <w:t>mente que fue preparado por Ribelli, Rago, Bareiro y Leal p</w:t>
      </w:r>
      <w:r>
        <w:rPr>
          <w:lang w:val="es-ES_tradnl"/>
        </w:rPr>
        <w:t>a</w:t>
      </w:r>
      <w:r>
        <w:rPr>
          <w:lang w:val="es-ES_tradnl"/>
        </w:rPr>
        <w:t>ra declarar ante el juzgado instructor con el propósito de desviar la investigación. Para ello mantuvo reuniones con los nombrados en las que le suministraban inform</w:t>
      </w:r>
      <w:r>
        <w:rPr>
          <w:lang w:val="es-ES_tradnl"/>
        </w:rPr>
        <w:t>a</w:t>
      </w:r>
      <w:r>
        <w:rPr>
          <w:lang w:val="es-ES_tradnl"/>
        </w:rPr>
        <w:t>ción para aportar a la causa.</w:t>
      </w:r>
    </w:p>
    <w:p w:rsidR="00224567" w:rsidRDefault="00224567">
      <w:pPr>
        <w:widowControl w:val="0"/>
        <w:rPr>
          <w:lang w:val="es-ES_tradnl"/>
        </w:rPr>
      </w:pPr>
      <w:r>
        <w:rPr>
          <w:lang w:val="es-ES_tradnl"/>
        </w:rPr>
        <w:tab/>
        <w:t>Según refiriera él iba a declarar para desviar la causa y como contrapartida, además del trato preferencial recibido, los policías le iban a permitir f</w:t>
      </w:r>
      <w:r>
        <w:rPr>
          <w:lang w:val="es-ES_tradnl"/>
        </w:rPr>
        <w:t>u</w:t>
      </w:r>
      <w:r>
        <w:rPr>
          <w:lang w:val="es-ES_tradnl"/>
        </w:rPr>
        <w:t>garse una vez que declarara. Sin embargo, contradictori</w:t>
      </w:r>
      <w:r>
        <w:rPr>
          <w:lang w:val="es-ES_tradnl"/>
        </w:rPr>
        <w:t>a</w:t>
      </w:r>
      <w:r>
        <w:rPr>
          <w:lang w:val="es-ES_tradnl"/>
        </w:rPr>
        <w:t>mente, luego de declarar ante el juzgado instructor, fue trasladado a una unidad penitenciaria federal, tal como había solicitado desde los primeros días de su dete</w:t>
      </w:r>
      <w:r>
        <w:rPr>
          <w:lang w:val="es-ES_tradnl"/>
        </w:rPr>
        <w:t>n</w:t>
      </w:r>
      <w:r>
        <w:rPr>
          <w:lang w:val="es-ES_tradnl"/>
        </w:rPr>
        <w:t xml:space="preserve">ción. </w:t>
      </w:r>
    </w:p>
    <w:p w:rsidR="00224567" w:rsidRDefault="00224567">
      <w:pPr>
        <w:widowControl w:val="0"/>
        <w:rPr>
          <w:lang w:val="es-ES_tradnl"/>
        </w:rPr>
      </w:pPr>
      <w:r>
        <w:rPr>
          <w:lang w:val="es-ES_tradnl"/>
        </w:rPr>
        <w:tab/>
        <w:t>Contradice el más elemental sentido común que lu</w:t>
      </w:r>
      <w:r>
        <w:rPr>
          <w:lang w:val="es-ES_tradnl"/>
        </w:rPr>
        <w:t>e</w:t>
      </w:r>
      <w:r>
        <w:rPr>
          <w:lang w:val="es-ES_tradnl"/>
        </w:rPr>
        <w:t>go de haber sido preparado con tanto esfuerzo y estando Solari tan cerca de conseguir la tan ansiada l</w:t>
      </w:r>
      <w:r>
        <w:rPr>
          <w:lang w:val="es-ES_tradnl"/>
        </w:rPr>
        <w:t>i</w:t>
      </w:r>
      <w:r>
        <w:rPr>
          <w:lang w:val="es-ES_tradnl"/>
        </w:rPr>
        <w:t>bertad optara por ser trasladado a la unidad nº 1 del S.P.F., máxime teniendo en cuenta los delitos por los cu</w:t>
      </w:r>
      <w:r>
        <w:rPr>
          <w:lang w:val="es-ES_tradnl"/>
        </w:rPr>
        <w:t>a</w:t>
      </w:r>
      <w:r>
        <w:rPr>
          <w:lang w:val="es-ES_tradnl"/>
        </w:rPr>
        <w:t>les resultó finalmente condenado a la pena de reclusión perpetua. Esto lo explicó diciendo que ya para ese ento</w:t>
      </w:r>
      <w:r>
        <w:rPr>
          <w:lang w:val="es-ES_tradnl"/>
        </w:rPr>
        <w:t>n</w:t>
      </w:r>
      <w:r>
        <w:rPr>
          <w:lang w:val="es-ES_tradnl"/>
        </w:rPr>
        <w:t>ces se había dado cuenta que una vez que declarara lo iban a m</w:t>
      </w:r>
      <w:r>
        <w:rPr>
          <w:lang w:val="es-ES_tradnl"/>
        </w:rPr>
        <w:t>a</w:t>
      </w:r>
      <w:r>
        <w:rPr>
          <w:lang w:val="es-ES_tradnl"/>
        </w:rPr>
        <w:t>tar y por tal motivo se adelanto y pidió el traslado.</w:t>
      </w:r>
    </w:p>
    <w:p w:rsidR="00224567" w:rsidRDefault="00224567">
      <w:pPr>
        <w:widowControl w:val="0"/>
        <w:rPr>
          <w:lang w:val="es-ES_tradnl"/>
        </w:rPr>
      </w:pPr>
      <w:r>
        <w:rPr>
          <w:lang w:val="es-ES_tradnl"/>
        </w:rPr>
        <w:tab/>
        <w:t>Sin embargo, no puede explicar por qué razón en la unidad nº 1 del Servicio Penitenciario Federal continuó recibiendo información de parte de los policías ya que no se entiende para qué seguía declarando si los policías no le podían asegurar una fuga. La única explic</w:t>
      </w:r>
      <w:r>
        <w:rPr>
          <w:lang w:val="es-ES_tradnl"/>
        </w:rPr>
        <w:t>a</w:t>
      </w:r>
      <w:r>
        <w:rPr>
          <w:lang w:val="es-ES_tradnl"/>
        </w:rPr>
        <w:t>ción que encuentra esto es que debía seguir declarando p</w:t>
      </w:r>
      <w:r>
        <w:rPr>
          <w:lang w:val="es-ES_tradnl"/>
        </w:rPr>
        <w:t>a</w:t>
      </w:r>
      <w:r>
        <w:rPr>
          <w:lang w:val="es-ES_tradnl"/>
        </w:rPr>
        <w:t>ra mantener la mentira de manera de asegurarse el aloj</w:t>
      </w:r>
      <w:r>
        <w:rPr>
          <w:lang w:val="es-ES_tradnl"/>
        </w:rPr>
        <w:t>a</w:t>
      </w:r>
      <w:r>
        <w:rPr>
          <w:lang w:val="es-ES_tradnl"/>
        </w:rPr>
        <w:t>miento que tanto esfuerzo le había cost</w:t>
      </w:r>
      <w:r>
        <w:rPr>
          <w:lang w:val="es-ES_tradnl"/>
        </w:rPr>
        <w:t>a</w:t>
      </w:r>
      <w:r>
        <w:rPr>
          <w:lang w:val="es-ES_tradnl"/>
        </w:rPr>
        <w:t>do.</w:t>
      </w:r>
    </w:p>
    <w:p w:rsidR="00224567" w:rsidRDefault="00224567">
      <w:pPr>
        <w:pStyle w:val="Ttulo8"/>
        <w:spacing w:line="600" w:lineRule="auto"/>
        <w:rPr>
          <w:b w:val="0"/>
          <w:bCs w:val="0"/>
          <w:lang w:val="es-ES_tradnl"/>
        </w:rPr>
      </w:pPr>
      <w:r>
        <w:rPr>
          <w:lang w:val="es-ES_tradnl"/>
        </w:rPr>
        <w:tab/>
      </w:r>
      <w:bookmarkStart w:id="268" w:name="_Toc86732008"/>
      <w:r>
        <w:t xml:space="preserve">C.2.d.xi.A.6) </w:t>
      </w:r>
      <w:r>
        <w:rPr>
          <w:b w:val="0"/>
          <w:bCs w:val="0"/>
          <w:lang w:val="es-ES_tradnl"/>
        </w:rPr>
        <w:t>El dictamen de la com</w:t>
      </w:r>
      <w:r>
        <w:rPr>
          <w:b w:val="0"/>
          <w:bCs w:val="0"/>
          <w:lang w:val="es-ES_tradnl"/>
        </w:rPr>
        <w:t>i</w:t>
      </w:r>
      <w:r>
        <w:rPr>
          <w:b w:val="0"/>
          <w:bCs w:val="0"/>
          <w:lang w:val="es-ES_tradnl"/>
        </w:rPr>
        <w:t>sión de j</w:t>
      </w:r>
      <w:r>
        <w:rPr>
          <w:b w:val="0"/>
          <w:bCs w:val="0"/>
          <w:lang w:val="es-ES_tradnl"/>
        </w:rPr>
        <w:t>u</w:t>
      </w:r>
      <w:r>
        <w:rPr>
          <w:b w:val="0"/>
          <w:bCs w:val="0"/>
          <w:lang w:val="es-ES_tradnl"/>
        </w:rPr>
        <w:t>ristas.</w:t>
      </w:r>
      <w:bookmarkEnd w:id="268"/>
    </w:p>
    <w:p w:rsidR="00224567" w:rsidRDefault="00224567">
      <w:pPr>
        <w:widowControl w:val="0"/>
        <w:rPr>
          <w:lang w:val="es-ES_tradnl"/>
        </w:rPr>
      </w:pPr>
      <w:r>
        <w:rPr>
          <w:lang w:val="es-ES_tradnl"/>
        </w:rPr>
        <w:tab/>
        <w:t>A esta altura del análisis no puede soslayarse que el i</w:t>
      </w:r>
      <w:r>
        <w:rPr>
          <w:lang w:val="es-ES_tradnl"/>
        </w:rPr>
        <w:t>n</w:t>
      </w:r>
      <w:r>
        <w:rPr>
          <w:lang w:val="es-ES_tradnl"/>
        </w:rPr>
        <w:t>forme elaborado por los doctores León Carlos Ar</w:t>
      </w:r>
      <w:r>
        <w:rPr>
          <w:lang w:val="es-ES_tradnl"/>
        </w:rPr>
        <w:t>s</w:t>
      </w:r>
      <w:r>
        <w:rPr>
          <w:lang w:val="es-ES_tradnl"/>
        </w:rPr>
        <w:t>lanián, Andrés D’Alessio, Ricardo Gil Lavedra y Raúl Eugenio Za</w:t>
      </w:r>
      <w:r>
        <w:rPr>
          <w:lang w:val="es-ES_tradnl"/>
        </w:rPr>
        <w:t>f</w:t>
      </w:r>
      <w:r>
        <w:rPr>
          <w:lang w:val="es-ES_tradnl"/>
        </w:rPr>
        <w:t xml:space="preserve">faroni, a pedido de </w:t>
      </w:r>
      <w:smartTag w:uri="urn:schemas-microsoft-com:office:smarttags" w:element="PersonName">
        <w:smartTagPr>
          <w:attr w:name="ProductID" w:val="la Querella A.M"/>
        </w:smartTagPr>
        <w:r>
          <w:rPr>
            <w:lang w:val="es-ES_tradnl"/>
          </w:rPr>
          <w:t>la Querella A.M</w:t>
        </w:r>
      </w:smartTag>
      <w:r>
        <w:rPr>
          <w:lang w:val="es-ES_tradnl"/>
        </w:rPr>
        <w:t>.I.A.-D.A.I.A., también en este tema, incurre en errores que d</w:t>
      </w:r>
      <w:r>
        <w:rPr>
          <w:lang w:val="es-ES_tradnl"/>
        </w:rPr>
        <w:t>e</w:t>
      </w:r>
      <w:r>
        <w:rPr>
          <w:lang w:val="es-ES_tradnl"/>
        </w:rPr>
        <w:t>muestran su absoluta falta de conocimiento de las actu</w:t>
      </w:r>
      <w:r>
        <w:rPr>
          <w:lang w:val="es-ES_tradnl"/>
        </w:rPr>
        <w:t>a</w:t>
      </w:r>
      <w:r>
        <w:rPr>
          <w:lang w:val="es-ES_tradnl"/>
        </w:rPr>
        <w:t>ciones sobre las que dictam</w:t>
      </w:r>
      <w:r>
        <w:rPr>
          <w:lang w:val="es-ES_tradnl"/>
        </w:rPr>
        <w:t>i</w:t>
      </w:r>
      <w:r>
        <w:rPr>
          <w:lang w:val="es-ES_tradnl"/>
        </w:rPr>
        <w:t>naron.</w:t>
      </w:r>
    </w:p>
    <w:p w:rsidR="00224567" w:rsidRDefault="00224567">
      <w:pPr>
        <w:widowControl w:val="0"/>
        <w:rPr>
          <w:lang w:val="es-ES_tradnl"/>
        </w:rPr>
      </w:pPr>
      <w:r>
        <w:rPr>
          <w:lang w:val="es-ES_tradnl"/>
        </w:rPr>
        <w:tab/>
        <w:t>En primer lugar, cuando se sostuvo que los dichos de Solari importaron un desvío de la investig</w:t>
      </w:r>
      <w:r>
        <w:rPr>
          <w:lang w:val="es-ES_tradnl"/>
        </w:rPr>
        <w:t>a</w:t>
      </w:r>
      <w:r>
        <w:rPr>
          <w:lang w:val="es-ES_tradnl"/>
        </w:rPr>
        <w:t>ción i</w:t>
      </w:r>
      <w:r>
        <w:rPr>
          <w:lang w:val="es-ES_tradnl"/>
        </w:rPr>
        <w:t>n</w:t>
      </w:r>
      <w:r>
        <w:rPr>
          <w:lang w:val="es-ES_tradnl"/>
        </w:rPr>
        <w:t xml:space="preserve">troducido por personal de </w:t>
      </w:r>
      <w:smartTag w:uri="urn:schemas-microsoft-com:office:smarttags" w:element="PersonName">
        <w:smartTagPr>
          <w:attr w:name="ProductID" w:val="la Polic￭a Bonaerense"/>
        </w:smartTagPr>
        <w:r>
          <w:rPr>
            <w:lang w:val="es-ES_tradnl"/>
          </w:rPr>
          <w:t>la Policía Bonaerense</w:t>
        </w:r>
      </w:smartTag>
      <w:r>
        <w:rPr>
          <w:lang w:val="es-ES_tradnl"/>
        </w:rPr>
        <w:t>, lo cual se encuentra refutado con la valoración previamente efectuada.</w:t>
      </w:r>
    </w:p>
    <w:p w:rsidR="00224567" w:rsidRDefault="00224567">
      <w:pPr>
        <w:widowControl w:val="0"/>
        <w:rPr>
          <w:lang w:val="es-ES_tradnl"/>
        </w:rPr>
      </w:pPr>
      <w:r>
        <w:rPr>
          <w:lang w:val="es-ES_tradnl"/>
        </w:rPr>
        <w:tab/>
        <w:t>Pero también, en clara muestra del grado de desconocimiento acerca del tema sobre el que se pronu</w:t>
      </w:r>
      <w:r>
        <w:rPr>
          <w:lang w:val="es-ES_tradnl"/>
        </w:rPr>
        <w:t>n</w:t>
      </w:r>
      <w:r>
        <w:rPr>
          <w:lang w:val="es-ES_tradnl"/>
        </w:rPr>
        <w:t>ciaron, concluyeron que el comportamiento de Solari debía ser calificado como falso test</w:t>
      </w:r>
      <w:r>
        <w:rPr>
          <w:lang w:val="es-ES_tradnl"/>
        </w:rPr>
        <w:t>i</w:t>
      </w:r>
      <w:r>
        <w:rPr>
          <w:lang w:val="es-ES_tradnl"/>
        </w:rPr>
        <w:t>monio (cfr. dictamen de fs. 26.883/26.907).</w:t>
      </w:r>
    </w:p>
    <w:p w:rsidR="00224567" w:rsidRDefault="00224567">
      <w:pPr>
        <w:widowControl w:val="0"/>
        <w:rPr>
          <w:lang w:val="es-ES_tradnl"/>
        </w:rPr>
      </w:pPr>
      <w:r>
        <w:rPr>
          <w:lang w:val="es-ES_tradnl"/>
        </w:rPr>
        <w:tab/>
        <w:t xml:space="preserve">En este orden, se debe recordar que Solari durante la instrucción solo prestó declaraciones espontáneas a tenor de lo dispuesto por el art. </w:t>
      </w:r>
      <w:smartTag w:uri="urn:schemas-microsoft-com:office:smarttags" w:element="metricconverter">
        <w:smartTagPr>
          <w:attr w:name="ProductID" w:val="73 C"/>
        </w:smartTagPr>
        <w:r>
          <w:rPr>
            <w:lang w:val="es-ES_tradnl"/>
          </w:rPr>
          <w:t>73 C</w:t>
        </w:r>
      </w:smartTag>
      <w:r>
        <w:rPr>
          <w:lang w:val="es-ES_tradnl"/>
        </w:rPr>
        <w:t>.P.P.N. y naturalmente no podía ser sujeto activo del d</w:t>
      </w:r>
      <w:r>
        <w:rPr>
          <w:lang w:val="es-ES_tradnl"/>
        </w:rPr>
        <w:t>e</w:t>
      </w:r>
      <w:r>
        <w:rPr>
          <w:lang w:val="es-ES_tradnl"/>
        </w:rPr>
        <w:t>lito de falso testimonio (cfr. fs. 12.797/12.800, 74.335/74.350, 74.355/74.358, 74.367/74.370, 74.374/74.382, 74.414/ 74.419, 74.439/74.445, 74.447, 74.450/74.451, 74.484/ 74.485, 74.486/74.488, 74.496/74.500, 75.144, 75.255).</w:t>
      </w:r>
    </w:p>
    <w:p w:rsidR="00224567" w:rsidRDefault="00224567">
      <w:pPr>
        <w:widowControl w:val="0"/>
        <w:rPr>
          <w:lang w:val="es-ES_tradnl"/>
        </w:rPr>
      </w:pPr>
      <w:r>
        <w:rPr>
          <w:lang w:val="es-ES_tradnl"/>
        </w:rPr>
        <w:tab/>
        <w:t>Por tal razón, resulta evidente que la afirmación de los reconocidos juristas solo puede adjud</w:t>
      </w:r>
      <w:r>
        <w:rPr>
          <w:lang w:val="es-ES_tradnl"/>
        </w:rPr>
        <w:t>i</w:t>
      </w:r>
      <w:r>
        <w:rPr>
          <w:lang w:val="es-ES_tradnl"/>
        </w:rPr>
        <w:t>carse a un desconocimiento profundo de las actu</w:t>
      </w:r>
      <w:r>
        <w:rPr>
          <w:lang w:val="es-ES_tradnl"/>
        </w:rPr>
        <w:t>a</w:t>
      </w:r>
      <w:r>
        <w:rPr>
          <w:lang w:val="es-ES_tradnl"/>
        </w:rPr>
        <w:t>ciones.</w:t>
      </w:r>
    </w:p>
    <w:p w:rsidR="00224567" w:rsidRDefault="00224567">
      <w:pPr>
        <w:pStyle w:val="Ttulo8"/>
        <w:spacing w:line="600" w:lineRule="auto"/>
        <w:rPr>
          <w:lang w:val="es-ES_tradnl"/>
        </w:rPr>
      </w:pPr>
      <w:r>
        <w:rPr>
          <w:lang w:val="es-ES_tradnl"/>
        </w:rPr>
        <w:tab/>
      </w:r>
      <w:bookmarkStart w:id="269" w:name="_Toc86732009"/>
      <w:r>
        <w:t xml:space="preserve">C.2.d.xi.A.7) </w:t>
      </w:r>
      <w:r>
        <w:rPr>
          <w:b w:val="0"/>
          <w:bCs w:val="0"/>
          <w:lang w:val="es-ES_tradnl"/>
        </w:rPr>
        <w:t>Conclusión</w:t>
      </w:r>
      <w:bookmarkEnd w:id="269"/>
      <w:r>
        <w:rPr>
          <w:b w:val="0"/>
          <w:bCs w:val="0"/>
          <w:lang w:val="es-ES_tradnl"/>
        </w:rPr>
        <w:t>.</w:t>
      </w:r>
    </w:p>
    <w:p w:rsidR="00224567" w:rsidRDefault="00224567">
      <w:pPr>
        <w:widowControl w:val="0"/>
        <w:rPr>
          <w:lang w:val="es-ES_tradnl"/>
        </w:rPr>
      </w:pPr>
      <w:r>
        <w:rPr>
          <w:lang w:val="es-ES_tradnl"/>
        </w:rPr>
        <w:tab/>
        <w:t>Si bien los abruptos cambios de ve</w:t>
      </w:r>
      <w:r>
        <w:rPr>
          <w:lang w:val="es-ES_tradnl"/>
        </w:rPr>
        <w:t>r</w:t>
      </w:r>
      <w:r>
        <w:rPr>
          <w:lang w:val="es-ES_tradnl"/>
        </w:rPr>
        <w:t>sión efectuados por S</w:t>
      </w:r>
      <w:r>
        <w:rPr>
          <w:lang w:val="es-ES_tradnl"/>
        </w:rPr>
        <w:t>o</w:t>
      </w:r>
      <w:r>
        <w:rPr>
          <w:lang w:val="es-ES_tradnl"/>
        </w:rPr>
        <w:t>lari demuestran acabadamente la poca credibilidad que m</w:t>
      </w:r>
      <w:r>
        <w:rPr>
          <w:lang w:val="es-ES_tradnl"/>
        </w:rPr>
        <w:t>e</w:t>
      </w:r>
      <w:r>
        <w:rPr>
          <w:lang w:val="es-ES_tradnl"/>
        </w:rPr>
        <w:t>recen sus dichos, como se ha visto, en el debate se hicieron evidentes otras mentiras que conve</w:t>
      </w:r>
      <w:r>
        <w:rPr>
          <w:lang w:val="es-ES_tradnl"/>
        </w:rPr>
        <w:t>r</w:t>
      </w:r>
      <w:r>
        <w:rPr>
          <w:lang w:val="es-ES_tradnl"/>
        </w:rPr>
        <w:t>gen en la misma co</w:t>
      </w:r>
      <w:r>
        <w:rPr>
          <w:lang w:val="es-ES_tradnl"/>
        </w:rPr>
        <w:t>n</w:t>
      </w:r>
      <w:r>
        <w:rPr>
          <w:lang w:val="es-ES_tradnl"/>
        </w:rPr>
        <w:t>clusión.</w:t>
      </w:r>
    </w:p>
    <w:p w:rsidR="00224567" w:rsidRDefault="00224567">
      <w:pPr>
        <w:widowControl w:val="0"/>
        <w:rPr>
          <w:lang w:val="es-ES_tradnl"/>
        </w:rPr>
      </w:pPr>
      <w:r>
        <w:rPr>
          <w:lang w:val="es-ES_tradnl"/>
        </w:rPr>
        <w:tab/>
        <w:t>En síntesis, en el debate no se acr</w:t>
      </w:r>
      <w:r>
        <w:rPr>
          <w:lang w:val="es-ES_tradnl"/>
        </w:rPr>
        <w:t>e</w:t>
      </w:r>
      <w:r>
        <w:rPr>
          <w:lang w:val="es-ES_tradnl"/>
        </w:rPr>
        <w:t>ditó que Solari constituyera un caso de desvío de la i</w:t>
      </w:r>
      <w:r>
        <w:rPr>
          <w:lang w:val="es-ES_tradnl"/>
        </w:rPr>
        <w:t>n</w:t>
      </w:r>
      <w:r>
        <w:rPr>
          <w:lang w:val="es-ES_tradnl"/>
        </w:rPr>
        <w:t>vestig</w:t>
      </w:r>
      <w:r>
        <w:rPr>
          <w:lang w:val="es-ES_tradnl"/>
        </w:rPr>
        <w:t>a</w:t>
      </w:r>
      <w:r>
        <w:rPr>
          <w:lang w:val="es-ES_tradnl"/>
        </w:rPr>
        <w:t>ción.</w:t>
      </w:r>
    </w:p>
    <w:p w:rsidR="00224567" w:rsidRDefault="00224567">
      <w:pPr>
        <w:widowControl w:val="0"/>
        <w:rPr>
          <w:lang w:val="es-ES_tradnl"/>
        </w:rPr>
      </w:pPr>
      <w:r>
        <w:rPr>
          <w:lang w:val="es-ES_tradnl"/>
        </w:rPr>
        <w:tab/>
        <w:t>Se probó acabadamente que fue detenido por la comisión de graves delitos y alojado en los calab</w:t>
      </w:r>
      <w:r>
        <w:rPr>
          <w:lang w:val="es-ES_tradnl"/>
        </w:rPr>
        <w:t>o</w:t>
      </w:r>
      <w:r>
        <w:rPr>
          <w:lang w:val="es-ES_tradnl"/>
        </w:rPr>
        <w:t>zos de Vicente López donde tuvo un comportamiento confli</w:t>
      </w:r>
      <w:r>
        <w:rPr>
          <w:lang w:val="es-ES_tradnl"/>
        </w:rPr>
        <w:t>c</w:t>
      </w:r>
      <w:r>
        <w:rPr>
          <w:lang w:val="es-ES_tradnl"/>
        </w:rPr>
        <w:t>tivo.</w:t>
      </w:r>
    </w:p>
    <w:p w:rsidR="00224567" w:rsidRDefault="00224567">
      <w:pPr>
        <w:widowControl w:val="0"/>
      </w:pPr>
      <w:r>
        <w:rPr>
          <w:lang w:val="es-ES_tradnl"/>
        </w:rPr>
        <w:tab/>
        <w:t xml:space="preserve">Tampoco </w:t>
      </w:r>
      <w:r>
        <w:t>se acreditó que la present</w:t>
      </w:r>
      <w:r>
        <w:t>a</w:t>
      </w:r>
      <w:r>
        <w:t>ción de Solari para declarar ante el juzgado instructor tuviera como fin el desvío de la investigación de la ca</w:t>
      </w:r>
      <w:r>
        <w:t>u</w:t>
      </w:r>
      <w:r>
        <w:t>sa, antes bien se probó que su propósito fue el de ser alojado en una unidad dependiente del Servicio Penitenci</w:t>
      </w:r>
      <w:r>
        <w:t>a</w:t>
      </w:r>
      <w:r>
        <w:t>rio Fed</w:t>
      </w:r>
      <w:r>
        <w:t>e</w:t>
      </w:r>
      <w:r>
        <w:t>ral.</w:t>
      </w:r>
    </w:p>
    <w:p w:rsidR="00224567" w:rsidRDefault="00224567">
      <w:pPr>
        <w:widowControl w:val="0"/>
      </w:pPr>
      <w:r>
        <w:tab/>
        <w:t>Se arguyó que allí se le dispensó un trato privilegiado, sin embargo se determinó que por su conducta se tuvieron cuidados especiales que de ninguna manera se pueden calificar como un tratamiento prefere</w:t>
      </w:r>
      <w:r>
        <w:t>n</w:t>
      </w:r>
      <w:r>
        <w:t>cial.</w:t>
      </w:r>
    </w:p>
    <w:p w:rsidR="00224567" w:rsidRDefault="00224567">
      <w:pPr>
        <w:widowControl w:val="0"/>
        <w:rPr>
          <w:lang w:val="es-ES_tradnl"/>
        </w:rPr>
      </w:pPr>
      <w:r>
        <w:tab/>
      </w:r>
      <w:r>
        <w:rPr>
          <w:lang w:val="es-ES_tradnl"/>
        </w:rPr>
        <w:t>Se sostuvo que existieron reuniones de policías bonaerenses con Solari para prepararlo para d</w:t>
      </w:r>
      <w:r>
        <w:rPr>
          <w:lang w:val="es-ES_tradnl"/>
        </w:rPr>
        <w:t>e</w:t>
      </w:r>
      <w:r>
        <w:rPr>
          <w:lang w:val="es-ES_tradnl"/>
        </w:rPr>
        <w:t>clarar, pero no se probó que esto fuera así. En el mismo orden se afirmó que las autoridades de la brigada ev</w:t>
      </w:r>
      <w:r>
        <w:rPr>
          <w:lang w:val="es-ES_tradnl"/>
        </w:rPr>
        <w:t>i</w:t>
      </w:r>
      <w:r>
        <w:rPr>
          <w:lang w:val="es-ES_tradnl"/>
        </w:rPr>
        <w:t>taron su traslado para permitir su preparación, sin embargo en el juicio quedó por demás acreditado la firme voluntad de los jefes de la dependencia de trasladar a Solari tan pronto un juez lo solicitara.</w:t>
      </w:r>
    </w:p>
    <w:p w:rsidR="00224567" w:rsidRDefault="00224567">
      <w:pPr>
        <w:widowControl w:val="0"/>
        <w:rPr>
          <w:lang w:val="es-ES_tradnl"/>
        </w:rPr>
      </w:pPr>
      <w:r>
        <w:rPr>
          <w:lang w:val="es-ES_tradnl"/>
        </w:rPr>
        <w:tab/>
        <w:t>Se afirmó que existieron dos tentat</w:t>
      </w:r>
      <w:r>
        <w:rPr>
          <w:lang w:val="es-ES_tradnl"/>
        </w:rPr>
        <w:t>i</w:t>
      </w:r>
      <w:r>
        <w:rPr>
          <w:lang w:val="es-ES_tradnl"/>
        </w:rPr>
        <w:t>vas de homicidio contra Solari en distintas unidades de detención provinciales, pero esto fue descartado, de man</w:t>
      </w:r>
      <w:r>
        <w:rPr>
          <w:lang w:val="es-ES_tradnl"/>
        </w:rPr>
        <w:t>e</w:t>
      </w:r>
      <w:r>
        <w:rPr>
          <w:lang w:val="es-ES_tradnl"/>
        </w:rPr>
        <w:t>ra a</w:t>
      </w:r>
      <w:r>
        <w:rPr>
          <w:lang w:val="es-ES_tradnl"/>
        </w:rPr>
        <w:t>b</w:t>
      </w:r>
      <w:r>
        <w:rPr>
          <w:lang w:val="es-ES_tradnl"/>
        </w:rPr>
        <w:t>soluta, por la prueba incorporada al juicio.</w:t>
      </w:r>
    </w:p>
    <w:p w:rsidR="00224567" w:rsidRDefault="00224567">
      <w:pPr>
        <w:widowControl w:val="0"/>
        <w:rPr>
          <w:lang w:val="es-ES_tradnl"/>
        </w:rPr>
      </w:pPr>
      <w:r>
        <w:rPr>
          <w:lang w:val="es-ES_tradnl"/>
        </w:rPr>
        <w:tab/>
        <w:t>Se concluyó que los datos aportados por Solari en sus declaraciones ante el juzgado instructor indicaban de modo inequívoco que debió ser preparado por personal policial para declarar, sin embargo, por los a</w:t>
      </w:r>
      <w:r>
        <w:rPr>
          <w:lang w:val="es-ES_tradnl"/>
        </w:rPr>
        <w:t>r</w:t>
      </w:r>
      <w:r>
        <w:rPr>
          <w:lang w:val="es-ES_tradnl"/>
        </w:rPr>
        <w:t>gumentos que se expusieran, se probó lo endeble de tal r</w:t>
      </w:r>
      <w:r>
        <w:rPr>
          <w:lang w:val="es-ES_tradnl"/>
        </w:rPr>
        <w:t>a</w:t>
      </w:r>
      <w:r>
        <w:rPr>
          <w:lang w:val="es-ES_tradnl"/>
        </w:rPr>
        <w:t>zon</w:t>
      </w:r>
      <w:r>
        <w:rPr>
          <w:lang w:val="es-ES_tradnl"/>
        </w:rPr>
        <w:t>a</w:t>
      </w:r>
      <w:r>
        <w:rPr>
          <w:lang w:val="es-ES_tradnl"/>
        </w:rPr>
        <w:t>miento.</w:t>
      </w:r>
    </w:p>
    <w:p w:rsidR="00224567" w:rsidRDefault="00224567">
      <w:pPr>
        <w:pStyle w:val="Ttulo7"/>
        <w:widowControl w:val="0"/>
      </w:pPr>
      <w:r>
        <w:rPr>
          <w:b/>
          <w:bCs/>
        </w:rPr>
        <w:tab/>
      </w:r>
      <w:bookmarkStart w:id="270" w:name="_Toc86732010"/>
      <w:r>
        <w:rPr>
          <w:b/>
          <w:bCs/>
        </w:rPr>
        <w:t>C.2.d.xi.B)</w:t>
      </w:r>
      <w:bookmarkEnd w:id="230"/>
      <w:r>
        <w:rPr>
          <w:b/>
          <w:bCs/>
        </w:rPr>
        <w:t xml:space="preserve"> </w:t>
      </w:r>
      <w:r>
        <w:t>El pretendido “desvío c</w:t>
      </w:r>
      <w:r>
        <w:t>a</w:t>
      </w:r>
      <w:r>
        <w:t>rapintadas”. La intrascendente presencia de Ribelli en Campo de Mayo.</w:t>
      </w:r>
      <w:bookmarkEnd w:id="270"/>
    </w:p>
    <w:p w:rsidR="00224567" w:rsidRDefault="00224567">
      <w:pPr>
        <w:widowControl w:val="0"/>
        <w:rPr>
          <w:lang w:val="es-ES_tradnl"/>
        </w:rPr>
      </w:pPr>
      <w:r>
        <w:rPr>
          <w:lang w:val="es-ES_tradnl"/>
        </w:rPr>
        <w:tab/>
      </w:r>
      <w:r>
        <w:rPr>
          <w:b/>
          <w:bCs/>
        </w:rPr>
        <w:t>C.2.d.xi.B.1.a)</w:t>
      </w:r>
      <w:r>
        <w:rPr>
          <w:lang w:val="es-ES_tradnl"/>
        </w:rPr>
        <w:t xml:space="preserve"> </w:t>
      </w:r>
      <w:smartTag w:uri="urn:schemas-microsoft-com:office:smarttags" w:element="PersonName">
        <w:smartTagPr>
          <w:attr w:name="ProductID" w:val="La Fiscal￭a"/>
        </w:smartTagPr>
        <w:r>
          <w:rPr>
            <w:lang w:val="es-ES_tradnl"/>
          </w:rPr>
          <w:t>La Fiscalía</w:t>
        </w:r>
      </w:smartTag>
      <w:r>
        <w:rPr>
          <w:lang w:val="es-ES_tradnl"/>
        </w:rPr>
        <w:t xml:space="preserve"> y </w:t>
      </w:r>
      <w:smartTag w:uri="urn:schemas-microsoft-com:office:smarttags" w:element="PersonName">
        <w:smartTagPr>
          <w:attr w:name="ProductID" w:val="la Querella"/>
        </w:smartTagPr>
        <w:r>
          <w:rPr>
            <w:lang w:val="es-ES_tradnl"/>
          </w:rPr>
          <w:t>la Qu</w:t>
        </w:r>
        <w:r>
          <w:rPr>
            <w:lang w:val="es-ES_tradnl"/>
          </w:rPr>
          <w:t>e</w:t>
        </w:r>
        <w:r>
          <w:rPr>
            <w:lang w:val="es-ES_tradnl"/>
          </w:rPr>
          <w:t>rella</w:t>
        </w:r>
      </w:smartTag>
      <w:r>
        <w:rPr>
          <w:lang w:val="es-ES_tradnl"/>
        </w:rPr>
        <w:t xml:space="preserve"> unificada concluyeron que la denominada “pista car</w:t>
      </w:r>
      <w:r>
        <w:rPr>
          <w:lang w:val="es-ES_tradnl"/>
        </w:rPr>
        <w:t>a</w:t>
      </w:r>
      <w:r>
        <w:rPr>
          <w:lang w:val="es-ES_tradnl"/>
        </w:rPr>
        <w:t>pintadas” obedeció al pr</w:t>
      </w:r>
      <w:r>
        <w:rPr>
          <w:lang w:val="es-ES_tradnl"/>
        </w:rPr>
        <w:t>o</w:t>
      </w:r>
      <w:r>
        <w:rPr>
          <w:lang w:val="es-ES_tradnl"/>
        </w:rPr>
        <w:t>pósito de los policías imputados de alterar la dirección de la pesquisa para alejar la i</w:t>
      </w:r>
      <w:r>
        <w:rPr>
          <w:lang w:val="es-ES_tradnl"/>
        </w:rPr>
        <w:t>n</w:t>
      </w:r>
      <w:r>
        <w:rPr>
          <w:lang w:val="es-ES_tradnl"/>
        </w:rPr>
        <w:t>vest</w:t>
      </w:r>
      <w:r>
        <w:rPr>
          <w:lang w:val="es-ES_tradnl"/>
        </w:rPr>
        <w:t>i</w:t>
      </w:r>
      <w:r>
        <w:rPr>
          <w:lang w:val="es-ES_tradnl"/>
        </w:rPr>
        <w:t xml:space="preserve">gación de </w:t>
      </w:r>
      <w:smartTag w:uri="urn:schemas-microsoft-com:office:smarttags" w:element="PersonName">
        <w:smartTagPr>
          <w:attr w:name="ProductID" w:val="la Polic￭a Bonaerense."/>
        </w:smartTagPr>
        <w:r>
          <w:rPr>
            <w:lang w:val="es-ES_tradnl"/>
          </w:rPr>
          <w:t>la Policía Bonaerense.</w:t>
        </w:r>
      </w:smartTag>
    </w:p>
    <w:p w:rsidR="00224567" w:rsidRDefault="00224567">
      <w:pPr>
        <w:widowControl w:val="0"/>
        <w:rPr>
          <w:lang w:val="es-ES_tradnl"/>
        </w:rPr>
      </w:pPr>
      <w:r>
        <w:rPr>
          <w:lang w:val="es-ES_tradnl"/>
        </w:rPr>
        <w:tab/>
        <w:t>Se coligió que tal proceder constituía un indicio de la participación en el atentado, ya que de lo contrario carecería de interés que se vieran interes</w:t>
      </w:r>
      <w:r>
        <w:rPr>
          <w:lang w:val="es-ES_tradnl"/>
        </w:rPr>
        <w:t>a</w:t>
      </w:r>
      <w:r>
        <w:rPr>
          <w:lang w:val="es-ES_tradnl"/>
        </w:rPr>
        <w:t>dos en desviar una pesquisa que no los comprometía.</w:t>
      </w:r>
    </w:p>
    <w:p w:rsidR="00224567" w:rsidRDefault="00224567">
      <w:pPr>
        <w:widowControl w:val="0"/>
        <w:rPr>
          <w:lang w:val="es-ES_tradnl"/>
        </w:rPr>
      </w:pPr>
      <w:r>
        <w:rPr>
          <w:lang w:val="es-ES_tradnl"/>
        </w:rPr>
        <w:tab/>
        <w:t>A tal fin se destacó que el testimonio de Elba Fernández y su hija Mónica Cañete, que dieran or</w:t>
      </w:r>
      <w:r>
        <w:rPr>
          <w:lang w:val="es-ES_tradnl"/>
        </w:rPr>
        <w:t>i</w:t>
      </w:r>
      <w:r>
        <w:rPr>
          <w:lang w:val="es-ES_tradnl"/>
        </w:rPr>
        <w:t>gen a esa línea de investigación, obedecieron a la inici</w:t>
      </w:r>
      <w:r>
        <w:rPr>
          <w:lang w:val="es-ES_tradnl"/>
        </w:rPr>
        <w:t>a</w:t>
      </w:r>
      <w:r>
        <w:rPr>
          <w:lang w:val="es-ES_tradnl"/>
        </w:rPr>
        <w:t>tiva del comisario inspector Ángel Roberto Salguero quien actuó motivado en una relación de complicidad con Rib</w:t>
      </w:r>
      <w:r>
        <w:rPr>
          <w:lang w:val="es-ES_tradnl"/>
        </w:rPr>
        <w:t>e</w:t>
      </w:r>
      <w:r>
        <w:rPr>
          <w:lang w:val="es-ES_tradnl"/>
        </w:rPr>
        <w:t>lli.</w:t>
      </w:r>
    </w:p>
    <w:p w:rsidR="00224567" w:rsidRDefault="00224567">
      <w:pPr>
        <w:widowControl w:val="0"/>
        <w:rPr>
          <w:lang w:val="es-ES_tradnl"/>
        </w:rPr>
      </w:pPr>
      <w:r>
        <w:rPr>
          <w:lang w:val="es-ES_tradnl"/>
        </w:rPr>
        <w:tab/>
        <w:t>Aquellas aportaron datos sobre una o</w:t>
      </w:r>
      <w:r>
        <w:rPr>
          <w:lang w:val="es-ES_tradnl"/>
        </w:rPr>
        <w:t>r</w:t>
      </w:r>
      <w:r>
        <w:rPr>
          <w:lang w:val="es-ES_tradnl"/>
        </w:rPr>
        <w:t>ganización dedicada al comercio ilegal de armas entre c</w:t>
      </w:r>
      <w:r>
        <w:rPr>
          <w:lang w:val="es-ES_tradnl"/>
        </w:rPr>
        <w:t>u</w:t>
      </w:r>
      <w:r>
        <w:rPr>
          <w:lang w:val="es-ES_tradnl"/>
        </w:rPr>
        <w:t>yos integrantes había miembros del Ejército Argentino que est</w:t>
      </w:r>
      <w:r>
        <w:rPr>
          <w:lang w:val="es-ES_tradnl"/>
        </w:rPr>
        <w:t>a</w:t>
      </w:r>
      <w:r>
        <w:rPr>
          <w:lang w:val="es-ES_tradnl"/>
        </w:rPr>
        <w:t>rían vinculados con el atentado.</w:t>
      </w:r>
    </w:p>
    <w:p w:rsidR="00224567" w:rsidRDefault="00224567">
      <w:pPr>
        <w:widowControl w:val="0"/>
        <w:rPr>
          <w:lang w:val="es-ES_tradnl"/>
        </w:rPr>
      </w:pPr>
      <w:r>
        <w:rPr>
          <w:lang w:val="es-ES_tradnl"/>
        </w:rPr>
        <w:tab/>
        <w:t>Con el mismo sentido se puso de resa</w:t>
      </w:r>
      <w:r>
        <w:rPr>
          <w:lang w:val="es-ES_tradnl"/>
        </w:rPr>
        <w:t>l</w:t>
      </w:r>
      <w:r>
        <w:rPr>
          <w:lang w:val="es-ES_tradnl"/>
        </w:rPr>
        <w:t>to que Roxana Gabriela Cañete, otra de las hijas de Elba Fe</w:t>
      </w:r>
      <w:r>
        <w:rPr>
          <w:lang w:val="es-ES_tradnl"/>
        </w:rPr>
        <w:t>r</w:t>
      </w:r>
      <w:r>
        <w:rPr>
          <w:lang w:val="es-ES_tradnl"/>
        </w:rPr>
        <w:t>nández, mantuvo una relación de concubinato con Roberto Mantel, “mano d</w:t>
      </w:r>
      <w:r>
        <w:rPr>
          <w:lang w:val="es-ES_tradnl"/>
        </w:rPr>
        <w:t>e</w:t>
      </w:r>
      <w:r>
        <w:rPr>
          <w:lang w:val="es-ES_tradnl"/>
        </w:rPr>
        <w:t>recha de Ribelli”.</w:t>
      </w:r>
    </w:p>
    <w:p w:rsidR="00224567" w:rsidRDefault="00224567">
      <w:pPr>
        <w:widowControl w:val="0"/>
        <w:rPr>
          <w:lang w:val="es-ES_tradnl"/>
        </w:rPr>
      </w:pPr>
      <w:r>
        <w:rPr>
          <w:lang w:val="es-ES_tradnl"/>
        </w:rPr>
        <w:tab/>
        <w:t>También se enfatizó que al no dar los resultados esperados esa maniobra de distracción, apareció en escena Claudio Cañete quien afirmó haber conducido a Jorge Pacífico, como su chofer, en reiteradas oportunid</w:t>
      </w:r>
      <w:r>
        <w:rPr>
          <w:lang w:val="es-ES_tradnl"/>
        </w:rPr>
        <w:t>a</w:t>
      </w:r>
      <w:r>
        <w:rPr>
          <w:lang w:val="es-ES_tradnl"/>
        </w:rPr>
        <w:t xml:space="preserve">des a </w:t>
      </w:r>
      <w:smartTag w:uri="urn:schemas-microsoft-com:office:smarttags" w:element="PersonName">
        <w:smartTagPr>
          <w:attr w:name="ProductID" w:val="la Embajada"/>
        </w:smartTagPr>
        <w:r>
          <w:rPr>
            <w:lang w:val="es-ES_tradnl"/>
          </w:rPr>
          <w:t>la Embajada</w:t>
        </w:r>
      </w:smartTag>
      <w:r>
        <w:rPr>
          <w:lang w:val="es-ES_tradnl"/>
        </w:rPr>
        <w:t xml:space="preserve"> de Irán.</w:t>
      </w:r>
    </w:p>
    <w:p w:rsidR="00224567" w:rsidRDefault="00224567">
      <w:pPr>
        <w:widowControl w:val="0"/>
        <w:rPr>
          <w:lang w:val="es-ES_tradnl"/>
        </w:rPr>
      </w:pPr>
      <w:r>
        <w:rPr>
          <w:lang w:val="es-ES_tradnl"/>
        </w:rPr>
        <w:tab/>
        <w:t>Finalmente se señaló que con la art</w:t>
      </w:r>
      <w:r>
        <w:rPr>
          <w:lang w:val="es-ES_tradnl"/>
        </w:rPr>
        <w:t>i</w:t>
      </w:r>
      <w:r>
        <w:rPr>
          <w:lang w:val="es-ES_tradnl"/>
        </w:rPr>
        <w:t>maña expuesta se pr</w:t>
      </w:r>
      <w:r>
        <w:rPr>
          <w:lang w:val="es-ES_tradnl"/>
        </w:rPr>
        <w:t>e</w:t>
      </w:r>
      <w:r>
        <w:rPr>
          <w:lang w:val="es-ES_tradnl"/>
        </w:rPr>
        <w:t>tendió, incluso, apartar al juez de la causa cuando al solicitársele la detención de Emilio M</w:t>
      </w:r>
      <w:r>
        <w:rPr>
          <w:lang w:val="es-ES_tradnl"/>
        </w:rPr>
        <w:t>o</w:t>
      </w:r>
      <w:r>
        <w:rPr>
          <w:lang w:val="es-ES_tradnl"/>
        </w:rPr>
        <w:t>rello y el allanamiento de su domicilio, no se le informó acerca de su c</w:t>
      </w:r>
      <w:r>
        <w:rPr>
          <w:lang w:val="es-ES_tradnl"/>
        </w:rPr>
        <w:t>a</w:t>
      </w:r>
      <w:r>
        <w:rPr>
          <w:lang w:val="es-ES_tradnl"/>
        </w:rPr>
        <w:t>rácter de diputado nacional.</w:t>
      </w:r>
    </w:p>
    <w:p w:rsidR="00224567" w:rsidRDefault="00224567">
      <w:pPr>
        <w:widowControl w:val="0"/>
        <w:rPr>
          <w:lang w:val="es-ES_tradnl"/>
        </w:rPr>
      </w:pPr>
      <w:r>
        <w:rPr>
          <w:lang w:val="es-ES_tradnl"/>
        </w:rPr>
        <w:tab/>
      </w:r>
      <w:r>
        <w:rPr>
          <w:b/>
          <w:bCs/>
          <w:lang w:val="es-ES_tradnl"/>
        </w:rPr>
        <w:t>C.2.d.xi.B.1.b)</w:t>
      </w:r>
      <w:r>
        <w:rPr>
          <w:lang w:val="es-ES_tradnl"/>
        </w:rPr>
        <w:t xml:space="preserve"> Con el mismo sentido, se destacó la presencia de Ribelli en un allanamiento practicado en Campo de Mayo, ordenado en la causa. En la lógica de los acusadores la intervención del imputado en esa diligencia no fue casual, sino que se debió a un i</w:t>
      </w:r>
      <w:r>
        <w:rPr>
          <w:lang w:val="es-ES_tradnl"/>
        </w:rPr>
        <w:t>n</w:t>
      </w:r>
      <w:r>
        <w:rPr>
          <w:lang w:val="es-ES_tradnl"/>
        </w:rPr>
        <w:t xml:space="preserve">tento por controlar el avance de la investigación por el atentado hacia algún sector ajeno a </w:t>
      </w:r>
      <w:smartTag w:uri="urn:schemas-microsoft-com:office:smarttags" w:element="PersonName">
        <w:smartTagPr>
          <w:attr w:name="ProductID" w:val="la Polic￭a Bonaerense."/>
        </w:smartTagPr>
        <w:r>
          <w:rPr>
            <w:lang w:val="es-ES_tradnl"/>
          </w:rPr>
          <w:t>la Policía Bonaerense.</w:t>
        </w:r>
      </w:smartTag>
    </w:p>
    <w:p w:rsidR="00224567" w:rsidRDefault="00224567">
      <w:pPr>
        <w:widowControl w:val="0"/>
        <w:rPr>
          <w:lang w:val="es-ES_tradnl"/>
        </w:rPr>
      </w:pPr>
      <w:r>
        <w:rPr>
          <w:lang w:val="es-ES_tradnl"/>
        </w:rPr>
        <w:tab/>
      </w:r>
      <w:r>
        <w:rPr>
          <w:b/>
          <w:bCs/>
          <w:lang w:val="es-ES_tradnl"/>
        </w:rPr>
        <w:t xml:space="preserve">C.2.d.xi.B.2) </w:t>
      </w:r>
      <w:r>
        <w:rPr>
          <w:lang w:val="es-ES_tradnl"/>
        </w:rPr>
        <w:t>Toda vez que los acus</w:t>
      </w:r>
      <w:r>
        <w:rPr>
          <w:lang w:val="es-ES_tradnl"/>
        </w:rPr>
        <w:t>a</w:t>
      </w:r>
      <w:r>
        <w:rPr>
          <w:lang w:val="es-ES_tradnl"/>
        </w:rPr>
        <w:t>dores se valieron del artilugio discursivo de convertir los alegados desvíos de la investigación en prueba de la participación de los imputados en el hecho, resulta i</w:t>
      </w:r>
      <w:r>
        <w:rPr>
          <w:lang w:val="es-ES_tradnl"/>
        </w:rPr>
        <w:t>m</w:t>
      </w:r>
      <w:r>
        <w:rPr>
          <w:lang w:val="es-ES_tradnl"/>
        </w:rPr>
        <w:t>prescindible, y como presupuesto de cualquier análisis u</w:t>
      </w:r>
      <w:r>
        <w:rPr>
          <w:lang w:val="es-ES_tradnl"/>
        </w:rPr>
        <w:t>l</w:t>
      </w:r>
      <w:r>
        <w:rPr>
          <w:lang w:val="es-ES_tradnl"/>
        </w:rPr>
        <w:t>terior, verificar si se demostró la intervención de los acusados en d</w:t>
      </w:r>
      <w:r>
        <w:rPr>
          <w:lang w:val="es-ES_tradnl"/>
        </w:rPr>
        <w:t>i</w:t>
      </w:r>
      <w:r>
        <w:rPr>
          <w:lang w:val="es-ES_tradnl"/>
        </w:rPr>
        <w:t>chas maniobras.</w:t>
      </w:r>
    </w:p>
    <w:p w:rsidR="00224567" w:rsidRDefault="00224567">
      <w:pPr>
        <w:widowControl w:val="0"/>
        <w:rPr>
          <w:lang w:val="es-ES_tradnl"/>
        </w:rPr>
      </w:pPr>
      <w:r>
        <w:rPr>
          <w:lang w:val="es-ES_tradnl"/>
        </w:rPr>
        <w:tab/>
        <w:t>En este sentido, cabe poner de resalto que los acusadores no han podido sortear exitosamente, m</w:t>
      </w:r>
      <w:r>
        <w:rPr>
          <w:lang w:val="es-ES_tradnl"/>
        </w:rPr>
        <w:t>e</w:t>
      </w:r>
      <w:r>
        <w:rPr>
          <w:lang w:val="es-ES_tradnl"/>
        </w:rPr>
        <w:t>diante la valoración de pruebas idóneas a ese objeto, aquel primer paso de an</w:t>
      </w:r>
      <w:r>
        <w:rPr>
          <w:lang w:val="es-ES_tradnl"/>
        </w:rPr>
        <w:t>á</w:t>
      </w:r>
      <w:r>
        <w:rPr>
          <w:lang w:val="es-ES_tradnl"/>
        </w:rPr>
        <w:t>lisis requerido.</w:t>
      </w:r>
    </w:p>
    <w:p w:rsidR="00224567" w:rsidRDefault="00224567">
      <w:pPr>
        <w:widowControl w:val="0"/>
        <w:rPr>
          <w:lang w:val="es-ES_tradnl"/>
        </w:rPr>
      </w:pPr>
      <w:r>
        <w:rPr>
          <w:lang w:val="es-ES_tradnl"/>
        </w:rPr>
        <w:tab/>
        <w:t>En efecto, como prueba de un vínculo que justificara su hipótesis los acusadores citaron que Ribelli y Salguero participaron en los allanamientos de Campo de Mayo y que compartieron destino en la brigada de Lanús e</w:t>
      </w:r>
      <w:r>
        <w:rPr>
          <w:lang w:val="es-ES_tradnl"/>
        </w:rPr>
        <w:t>n</w:t>
      </w:r>
      <w:r>
        <w:rPr>
          <w:lang w:val="es-ES_tradnl"/>
        </w:rPr>
        <w:t>tre 1980 y 1984.</w:t>
      </w:r>
    </w:p>
    <w:p w:rsidR="00224567" w:rsidRDefault="00224567">
      <w:pPr>
        <w:widowControl w:val="0"/>
        <w:rPr>
          <w:lang w:val="es-ES_tradnl"/>
        </w:rPr>
      </w:pPr>
      <w:r>
        <w:rPr>
          <w:lang w:val="es-ES_tradnl"/>
        </w:rPr>
        <w:tab/>
        <w:t>La doctora Nercellas sostuvo que había podido descubrirse esta última circunstancia a partir de los dichos de Juan Carlos Nicolau y Federico Cán</w:t>
      </w:r>
      <w:r>
        <w:rPr>
          <w:lang w:val="es-ES_tradnl"/>
        </w:rPr>
        <w:t>e</w:t>
      </w:r>
      <w:r>
        <w:rPr>
          <w:lang w:val="es-ES_tradnl"/>
        </w:rPr>
        <w:t>va. Para destacar el valor de estos testimonios señaló que el pr</w:t>
      </w:r>
      <w:r>
        <w:rPr>
          <w:lang w:val="es-ES_tradnl"/>
        </w:rPr>
        <w:t>i</w:t>
      </w:r>
      <w:r>
        <w:rPr>
          <w:lang w:val="es-ES_tradnl"/>
        </w:rPr>
        <w:t>mero fue amigo y subalterno de Ribelli, y que el segundo fue socio de éste.</w:t>
      </w:r>
    </w:p>
    <w:p w:rsidR="00224567" w:rsidRDefault="00224567">
      <w:pPr>
        <w:widowControl w:val="0"/>
        <w:rPr>
          <w:lang w:val="es-ES_tradnl"/>
        </w:rPr>
      </w:pPr>
      <w:r>
        <w:rPr>
          <w:lang w:val="es-ES_tradnl"/>
        </w:rPr>
        <w:tab/>
        <w:t>Sin embargo, este dato, tan resaltado por la letrada apoderada de la querella, resulta absolut</w:t>
      </w:r>
      <w:r>
        <w:rPr>
          <w:lang w:val="es-ES_tradnl"/>
        </w:rPr>
        <w:t>a</w:t>
      </w:r>
      <w:r>
        <w:rPr>
          <w:lang w:val="es-ES_tradnl"/>
        </w:rPr>
        <w:t>me</w:t>
      </w:r>
      <w:r>
        <w:rPr>
          <w:lang w:val="es-ES_tradnl"/>
        </w:rPr>
        <w:t>n</w:t>
      </w:r>
      <w:r>
        <w:rPr>
          <w:lang w:val="es-ES_tradnl"/>
        </w:rPr>
        <w:t>te inidóneo por su insuficiencia para el fin propuesto.</w:t>
      </w:r>
    </w:p>
    <w:p w:rsidR="00224567" w:rsidRDefault="00224567">
      <w:pPr>
        <w:widowControl w:val="0"/>
        <w:rPr>
          <w:lang w:val="es-ES_tradnl"/>
        </w:rPr>
      </w:pPr>
      <w:r>
        <w:rPr>
          <w:lang w:val="es-ES_tradnl"/>
        </w:rPr>
        <w:tab/>
        <w:t>En primer lugar, cabe destacar que no se entiende que le llamara la atención a la letrada el h</w:t>
      </w:r>
      <w:r>
        <w:rPr>
          <w:lang w:val="es-ES_tradnl"/>
        </w:rPr>
        <w:t>a</w:t>
      </w:r>
      <w:r>
        <w:rPr>
          <w:lang w:val="es-ES_tradnl"/>
        </w:rPr>
        <w:t>llazgo de un dato que ya había sido confirmado por el mi</w:t>
      </w:r>
      <w:r>
        <w:rPr>
          <w:lang w:val="es-ES_tradnl"/>
        </w:rPr>
        <w:t>s</w:t>
      </w:r>
      <w:r>
        <w:rPr>
          <w:lang w:val="es-ES_tradnl"/>
        </w:rPr>
        <w:t>mo Sa</w:t>
      </w:r>
      <w:r>
        <w:rPr>
          <w:lang w:val="es-ES_tradnl"/>
        </w:rPr>
        <w:t>l</w:t>
      </w:r>
      <w:r>
        <w:rPr>
          <w:lang w:val="es-ES_tradnl"/>
        </w:rPr>
        <w:t>guero durante el debate.</w:t>
      </w:r>
    </w:p>
    <w:p w:rsidR="00224567" w:rsidRDefault="00224567">
      <w:pPr>
        <w:widowControl w:val="0"/>
        <w:rPr>
          <w:lang w:val="es-ES_tradnl"/>
        </w:rPr>
      </w:pPr>
      <w:r>
        <w:rPr>
          <w:lang w:val="es-ES_tradnl"/>
        </w:rPr>
        <w:tab/>
        <w:t>Pero además debe resaltarse que esta información nada aporta en la dirección pretendida.  En efecto, que Salguero y Ribelli hayan compartido destino durante cuatro años no implica, como es obvio, la existe</w:t>
      </w:r>
      <w:r>
        <w:rPr>
          <w:lang w:val="es-ES_tradnl"/>
        </w:rPr>
        <w:t>n</w:t>
      </w:r>
      <w:r>
        <w:rPr>
          <w:lang w:val="es-ES_tradnl"/>
        </w:rPr>
        <w:t>cia de una relación de complicidad que conduzca a uno de ellos a desviar una investigación judicial en beneficio del otro.</w:t>
      </w:r>
    </w:p>
    <w:p w:rsidR="00224567" w:rsidRDefault="00224567">
      <w:pPr>
        <w:widowControl w:val="0"/>
        <w:rPr>
          <w:lang w:val="es-ES_tradnl"/>
        </w:rPr>
      </w:pPr>
      <w:r>
        <w:rPr>
          <w:lang w:val="es-ES_tradnl"/>
        </w:rPr>
        <w:tab/>
        <w:t>También se ha citado como prueba del alegado ví</w:t>
      </w:r>
      <w:r>
        <w:rPr>
          <w:lang w:val="es-ES_tradnl"/>
        </w:rPr>
        <w:t>n</w:t>
      </w:r>
      <w:r>
        <w:rPr>
          <w:lang w:val="es-ES_tradnl"/>
        </w:rPr>
        <w:t xml:space="preserve">culo entre Ribelli y Salguero, el informe de </w:t>
      </w:r>
      <w:smartTag w:uri="urn:schemas-microsoft-com:office:smarttags" w:element="PersonName">
        <w:smartTagPr>
          <w:attr w:name="ProductID" w:val="la Secretar￭a"/>
        </w:smartTagPr>
        <w:r>
          <w:rPr>
            <w:lang w:val="es-ES_tradnl"/>
          </w:rPr>
          <w:t>la Secretaría</w:t>
        </w:r>
      </w:smartTag>
      <w:r>
        <w:rPr>
          <w:lang w:val="es-ES_tradnl"/>
        </w:rPr>
        <w:t xml:space="preserve"> de Inteligencia del Estado suscripto por el subsecretario Dr. R</w:t>
      </w:r>
      <w:r>
        <w:rPr>
          <w:lang w:val="es-ES_tradnl"/>
        </w:rPr>
        <w:t>o</w:t>
      </w:r>
      <w:r>
        <w:rPr>
          <w:lang w:val="es-ES_tradnl"/>
        </w:rPr>
        <w:t>drigo Toranzo del 11 de junio de 1997 gl</w:t>
      </w:r>
      <w:r>
        <w:rPr>
          <w:lang w:val="es-ES_tradnl"/>
        </w:rPr>
        <w:t>o</w:t>
      </w:r>
      <w:r>
        <w:rPr>
          <w:lang w:val="es-ES_tradnl"/>
        </w:rPr>
        <w:t>sado a fs. 829/836 del legajo 304.</w:t>
      </w:r>
    </w:p>
    <w:p w:rsidR="00224567" w:rsidRDefault="00224567">
      <w:pPr>
        <w:widowControl w:val="0"/>
        <w:rPr>
          <w:lang w:val="es-ES_tradnl"/>
        </w:rPr>
      </w:pPr>
      <w:r>
        <w:rPr>
          <w:lang w:val="es-ES_tradnl"/>
        </w:rPr>
        <w:tab/>
        <w:t>Particularmente se destacó que allí se había concluido que entre el comisario Salguero y el imp</w:t>
      </w:r>
      <w:r>
        <w:rPr>
          <w:lang w:val="es-ES_tradnl"/>
        </w:rPr>
        <w:t>u</w:t>
      </w:r>
      <w:r>
        <w:rPr>
          <w:lang w:val="es-ES_tradnl"/>
        </w:rPr>
        <w:t>tado Ribelli existía una relación de silenciosa complic</w:t>
      </w:r>
      <w:r>
        <w:rPr>
          <w:lang w:val="es-ES_tradnl"/>
        </w:rPr>
        <w:t>i</w:t>
      </w:r>
      <w:r>
        <w:rPr>
          <w:lang w:val="es-ES_tradnl"/>
        </w:rPr>
        <w:t>dad.</w:t>
      </w:r>
    </w:p>
    <w:p w:rsidR="00224567" w:rsidRDefault="00224567">
      <w:pPr>
        <w:widowControl w:val="0"/>
        <w:rPr>
          <w:lang w:val="es-ES_tradnl"/>
        </w:rPr>
      </w:pPr>
      <w:r>
        <w:rPr>
          <w:lang w:val="es-ES_tradnl"/>
        </w:rPr>
        <w:tab/>
        <w:t>Si bien es cierto que esa frase está incluida en el cap</w:t>
      </w:r>
      <w:r>
        <w:rPr>
          <w:lang w:val="es-ES_tradnl"/>
        </w:rPr>
        <w:t>í</w:t>
      </w:r>
      <w:r>
        <w:rPr>
          <w:lang w:val="es-ES_tradnl"/>
        </w:rPr>
        <w:t>tulo evaluación final de dicho informe, también lo es que las referencias a ese especial vínculo no fueron fundame</w:t>
      </w:r>
      <w:r>
        <w:rPr>
          <w:lang w:val="es-ES_tradnl"/>
        </w:rPr>
        <w:t>n</w:t>
      </w:r>
      <w:r>
        <w:rPr>
          <w:lang w:val="es-ES_tradnl"/>
        </w:rPr>
        <w:t>tadas.</w:t>
      </w:r>
    </w:p>
    <w:p w:rsidR="00224567" w:rsidRDefault="00224567">
      <w:pPr>
        <w:widowControl w:val="0"/>
        <w:rPr>
          <w:lang w:val="es-ES_tradnl"/>
        </w:rPr>
      </w:pPr>
      <w:r>
        <w:rPr>
          <w:lang w:val="es-ES_tradnl"/>
        </w:rPr>
        <w:tab/>
        <w:t>Así debe interpretarse uno de los p</w:t>
      </w:r>
      <w:r>
        <w:rPr>
          <w:lang w:val="es-ES_tradnl"/>
        </w:rPr>
        <w:t>á</w:t>
      </w:r>
      <w:r>
        <w:rPr>
          <w:lang w:val="es-ES_tradnl"/>
        </w:rPr>
        <w:t>rrafos que preceden la frase citada, en el que se consi</w:t>
      </w:r>
      <w:r>
        <w:rPr>
          <w:lang w:val="es-ES_tradnl"/>
        </w:rPr>
        <w:t>g</w:t>
      </w:r>
      <w:r>
        <w:rPr>
          <w:lang w:val="es-ES_tradnl"/>
        </w:rPr>
        <w:t>na: “</w:t>
      </w:r>
      <w:r>
        <w:rPr>
          <w:b/>
          <w:bCs/>
          <w:lang w:val="es-ES_tradnl"/>
        </w:rPr>
        <w:t>En el terreno de las conjeturas</w:t>
      </w:r>
      <w:r>
        <w:rPr>
          <w:lang w:val="es-ES_tradnl"/>
        </w:rPr>
        <w:t>, cabe considerar una obvia camaradería jerárquica entre SALGUERO y RIBELLI que p</w:t>
      </w:r>
      <w:r>
        <w:rPr>
          <w:lang w:val="es-ES_tradnl"/>
        </w:rPr>
        <w:t>u</w:t>
      </w:r>
      <w:r>
        <w:rPr>
          <w:lang w:val="es-ES_tradnl"/>
        </w:rPr>
        <w:t>do haber impulsado a SALGUERO a ”maniobrar” el curso de las investigaciones, intentando encubrir la particip</w:t>
      </w:r>
      <w:r>
        <w:rPr>
          <w:lang w:val="es-ES_tradnl"/>
        </w:rPr>
        <w:t>a</w:t>
      </w:r>
      <w:r>
        <w:rPr>
          <w:lang w:val="es-ES_tradnl"/>
        </w:rPr>
        <w:t xml:space="preserve">ción de cuadros policiales </w:t>
      </w:r>
      <w:r>
        <w:rPr>
          <w:b/>
          <w:bCs/>
          <w:lang w:val="es-ES_tradnl"/>
        </w:rPr>
        <w:t>tal vez</w:t>
      </w:r>
      <w:r>
        <w:rPr>
          <w:lang w:val="es-ES_tradnl"/>
        </w:rPr>
        <w:t xml:space="preserve"> en cumplimiento de instru</w:t>
      </w:r>
      <w:r>
        <w:rPr>
          <w:lang w:val="es-ES_tradnl"/>
        </w:rPr>
        <w:t>c</w:t>
      </w:r>
      <w:r>
        <w:rPr>
          <w:lang w:val="es-ES_tradnl"/>
        </w:rPr>
        <w:t>ciones superiores” (el resaltado es del tribunal).</w:t>
      </w:r>
    </w:p>
    <w:p w:rsidR="00224567" w:rsidRDefault="00224567">
      <w:pPr>
        <w:widowControl w:val="0"/>
        <w:rPr>
          <w:lang w:val="es-ES_tradnl"/>
        </w:rPr>
      </w:pPr>
      <w:r>
        <w:rPr>
          <w:lang w:val="es-ES_tradnl"/>
        </w:rPr>
        <w:tab/>
        <w:t>Como se advierte, el párrafo tran</w:t>
      </w:r>
      <w:r>
        <w:rPr>
          <w:lang w:val="es-ES_tradnl"/>
        </w:rPr>
        <w:t>s</w:t>
      </w:r>
      <w:r>
        <w:rPr>
          <w:lang w:val="es-ES_tradnl"/>
        </w:rPr>
        <w:t>cripto lejos de aportar pautas objetivas que permitan vi</w:t>
      </w:r>
      <w:r>
        <w:rPr>
          <w:lang w:val="es-ES_tradnl"/>
        </w:rPr>
        <w:t>s</w:t>
      </w:r>
      <w:r>
        <w:rPr>
          <w:lang w:val="es-ES_tradnl"/>
        </w:rPr>
        <w:t>lumbrar el estrecho vínculo que hubiera conducido a Sa</w:t>
      </w:r>
      <w:r>
        <w:rPr>
          <w:lang w:val="es-ES_tradnl"/>
        </w:rPr>
        <w:t>l</w:t>
      </w:r>
      <w:r>
        <w:rPr>
          <w:lang w:val="es-ES_tradnl"/>
        </w:rPr>
        <w:t>guero a participar en m</w:t>
      </w:r>
      <w:r>
        <w:rPr>
          <w:lang w:val="es-ES_tradnl"/>
        </w:rPr>
        <w:t>a</w:t>
      </w:r>
      <w:r>
        <w:rPr>
          <w:lang w:val="es-ES_tradnl"/>
        </w:rPr>
        <w:t>niobras de distracción de la causa para beneficiar a Ribelli, solo aporta una hipótesis que no fund</w:t>
      </w:r>
      <w:r>
        <w:rPr>
          <w:lang w:val="es-ES_tradnl"/>
        </w:rPr>
        <w:t>a</w:t>
      </w:r>
      <w:r>
        <w:rPr>
          <w:lang w:val="es-ES_tradnl"/>
        </w:rPr>
        <w:t>menta.</w:t>
      </w:r>
    </w:p>
    <w:p w:rsidR="00224567" w:rsidRDefault="00224567">
      <w:pPr>
        <w:widowControl w:val="0"/>
        <w:rPr>
          <w:lang w:val="es-ES_tradnl"/>
        </w:rPr>
      </w:pPr>
      <w:r>
        <w:rPr>
          <w:lang w:val="es-ES_tradnl"/>
        </w:rPr>
        <w:tab/>
        <w:t>De la lectura de otros de los párrafos de ese informe se advierte que se arriba a la conclusión de que se trató de un desvío, partiendo de que la camion</w:t>
      </w:r>
      <w:r>
        <w:rPr>
          <w:lang w:val="es-ES_tradnl"/>
        </w:rPr>
        <w:t>e</w:t>
      </w:r>
      <w:r>
        <w:rPr>
          <w:lang w:val="es-ES_tradnl"/>
        </w:rPr>
        <w:t>ta hubiese pasado por las manos de Ribelli.</w:t>
      </w:r>
    </w:p>
    <w:p w:rsidR="00224567" w:rsidRDefault="00224567">
      <w:pPr>
        <w:widowControl w:val="0"/>
        <w:rPr>
          <w:lang w:val="es-ES_tradnl"/>
        </w:rPr>
      </w:pPr>
      <w:r>
        <w:rPr>
          <w:lang w:val="es-ES_tradnl"/>
        </w:rPr>
        <w:tab/>
        <w:t xml:space="preserve">Así se dijo: “Al considerar el notorio avance de las investigaciones que se encaran en conjunto con ese Juzgado, a partir de la detención del Comisario Juan José Ribelli y acreditarse en la causa </w:t>
      </w:r>
      <w:r>
        <w:rPr>
          <w:b/>
          <w:bCs/>
          <w:lang w:val="es-ES_tradnl"/>
        </w:rPr>
        <w:t>el manipuleo</w:t>
      </w:r>
      <w:r>
        <w:rPr>
          <w:lang w:val="es-ES_tradnl"/>
        </w:rPr>
        <w:t xml:space="preserve"> </w:t>
      </w:r>
      <w:r>
        <w:rPr>
          <w:b/>
          <w:bCs/>
          <w:lang w:val="es-ES_tradnl"/>
        </w:rPr>
        <w:t xml:space="preserve">de </w:t>
      </w:r>
      <w:smartTag w:uri="urn:schemas-microsoft-com:office:smarttags" w:element="PersonName">
        <w:smartTagPr>
          <w:attr w:name="ProductID" w:val="la Trafic"/>
        </w:smartTagPr>
        <w:r>
          <w:rPr>
            <w:b/>
            <w:bCs/>
            <w:lang w:val="es-ES_tradnl"/>
          </w:rPr>
          <w:t>la Trafic</w:t>
        </w:r>
      </w:smartTag>
      <w:r>
        <w:rPr>
          <w:lang w:val="es-ES_tradnl"/>
        </w:rPr>
        <w:t>, nos ha permitido reflexionar que el inicio de las diligencias practicadas por el Comisario Salguero descubren cierto interés de desviar la atención j</w:t>
      </w:r>
      <w:r>
        <w:rPr>
          <w:lang w:val="es-ES_tradnl"/>
        </w:rPr>
        <w:t>u</w:t>
      </w:r>
      <w:r>
        <w:rPr>
          <w:lang w:val="es-ES_tradnl"/>
        </w:rPr>
        <w:t>dicial a cuadros militares, incursos en diversos delitos, pero c</w:t>
      </w:r>
      <w:r>
        <w:rPr>
          <w:lang w:val="es-ES_tradnl"/>
        </w:rPr>
        <w:t>a</w:t>
      </w:r>
      <w:r>
        <w:rPr>
          <w:lang w:val="es-ES_tradnl"/>
        </w:rPr>
        <w:t>rentes de sustento para acreditar en la causa A.M.I.A.”.</w:t>
      </w:r>
    </w:p>
    <w:p w:rsidR="00224567" w:rsidRDefault="00224567">
      <w:pPr>
        <w:widowControl w:val="0"/>
        <w:rPr>
          <w:lang w:val="es-ES_tradnl"/>
        </w:rPr>
      </w:pPr>
      <w:r>
        <w:rPr>
          <w:lang w:val="es-ES_tradnl"/>
        </w:rPr>
        <w:tab/>
        <w:t>Al respecto debe destacarse que toda vez que se concluyó que no se probó que la camioneta Tr</w:t>
      </w:r>
      <w:r>
        <w:rPr>
          <w:lang w:val="es-ES_tradnl"/>
        </w:rPr>
        <w:t>a</w:t>
      </w:r>
      <w:r>
        <w:rPr>
          <w:lang w:val="es-ES_tradnl"/>
        </w:rPr>
        <w:t>fic que explotara hubiese pasado por las manos de los p</w:t>
      </w:r>
      <w:r>
        <w:rPr>
          <w:lang w:val="es-ES_tradnl"/>
        </w:rPr>
        <w:t>o</w:t>
      </w:r>
      <w:r>
        <w:rPr>
          <w:lang w:val="es-ES_tradnl"/>
        </w:rPr>
        <w:t>licías bonaerenses imputados, la conclusión se queda sin la pr</w:t>
      </w:r>
      <w:r>
        <w:rPr>
          <w:lang w:val="es-ES_tradnl"/>
        </w:rPr>
        <w:t>e</w:t>
      </w:r>
      <w:r>
        <w:rPr>
          <w:lang w:val="es-ES_tradnl"/>
        </w:rPr>
        <w:t>misa que le diera sustento.</w:t>
      </w:r>
    </w:p>
    <w:p w:rsidR="00224567" w:rsidRDefault="00224567">
      <w:pPr>
        <w:widowControl w:val="0"/>
        <w:rPr>
          <w:lang w:val="es-ES_tradnl"/>
        </w:rPr>
      </w:pPr>
      <w:r>
        <w:rPr>
          <w:lang w:val="es-ES_tradnl"/>
        </w:rPr>
        <w:tab/>
        <w:t>A todo evento, cabe destacar que al declarar durante el debate, Luis Nelson González, alias “Pinocho”, quien admitió haber participado en la confe</w:t>
      </w:r>
      <w:r>
        <w:rPr>
          <w:lang w:val="es-ES_tradnl"/>
        </w:rPr>
        <w:t>c</w:t>
      </w:r>
      <w:r>
        <w:rPr>
          <w:lang w:val="es-ES_tradnl"/>
        </w:rPr>
        <w:t>ción del informe citado, no pudo dar explicaciones de su contenido, ni de los fundamentos o pautas objetivas que tuvo en cuenta al momento de elaborarlo.</w:t>
      </w:r>
    </w:p>
    <w:p w:rsidR="00224567" w:rsidRDefault="00224567">
      <w:pPr>
        <w:widowControl w:val="0"/>
        <w:rPr>
          <w:lang w:val="es-ES_tradnl"/>
        </w:rPr>
      </w:pPr>
      <w:r>
        <w:rPr>
          <w:lang w:val="es-ES_tradnl"/>
        </w:rPr>
        <w:tab/>
        <w:t>En definitiva, en la utilización ai</w:t>
      </w:r>
      <w:r>
        <w:rPr>
          <w:lang w:val="es-ES_tradnl"/>
        </w:rPr>
        <w:t>s</w:t>
      </w:r>
      <w:r>
        <w:rPr>
          <w:lang w:val="es-ES_tradnl"/>
        </w:rPr>
        <w:t>lada de una frase que se sabe carente de fundamentos obj</w:t>
      </w:r>
      <w:r>
        <w:rPr>
          <w:lang w:val="es-ES_tradnl"/>
        </w:rPr>
        <w:t>e</w:t>
      </w:r>
      <w:r>
        <w:rPr>
          <w:lang w:val="es-ES_tradnl"/>
        </w:rPr>
        <w:t>tivos, se advierte que nuevamente los acusadores han rec</w:t>
      </w:r>
      <w:r>
        <w:rPr>
          <w:lang w:val="es-ES_tradnl"/>
        </w:rPr>
        <w:t>u</w:t>
      </w:r>
      <w:r>
        <w:rPr>
          <w:lang w:val="es-ES_tradnl"/>
        </w:rPr>
        <w:t>rrido a un esfuerzo de retórica discursiva para intentar sost</w:t>
      </w:r>
      <w:r>
        <w:rPr>
          <w:lang w:val="es-ES_tradnl"/>
        </w:rPr>
        <w:t>e</w:t>
      </w:r>
      <w:r>
        <w:rPr>
          <w:lang w:val="es-ES_tradnl"/>
        </w:rPr>
        <w:t>ner una hipótesis no acreditada.</w:t>
      </w:r>
    </w:p>
    <w:p w:rsidR="00224567" w:rsidRDefault="00224567">
      <w:pPr>
        <w:widowControl w:val="0"/>
        <w:rPr>
          <w:lang w:val="es-ES_tradnl"/>
        </w:rPr>
      </w:pPr>
      <w:r>
        <w:rPr>
          <w:lang w:val="es-ES_tradnl"/>
        </w:rPr>
        <w:tab/>
        <w:t>Pero además las conclusiones infund</w:t>
      </w:r>
      <w:r>
        <w:rPr>
          <w:lang w:val="es-ES_tradnl"/>
        </w:rPr>
        <w:t>a</w:t>
      </w:r>
      <w:r>
        <w:rPr>
          <w:lang w:val="es-ES_tradnl"/>
        </w:rPr>
        <w:t>mentadas que surgieran de ese informe fueron desvirtuadas por actuaciones post</w:t>
      </w:r>
      <w:r>
        <w:rPr>
          <w:lang w:val="es-ES_tradnl"/>
        </w:rPr>
        <w:t>e</w:t>
      </w:r>
      <w:r>
        <w:rPr>
          <w:lang w:val="es-ES_tradnl"/>
        </w:rPr>
        <w:t>riores.</w:t>
      </w:r>
    </w:p>
    <w:p w:rsidR="00224567" w:rsidRDefault="00224567">
      <w:pPr>
        <w:widowControl w:val="0"/>
        <w:rPr>
          <w:lang w:val="es-ES_tradnl"/>
        </w:rPr>
      </w:pPr>
      <w:r>
        <w:rPr>
          <w:lang w:val="es-ES_tradnl"/>
        </w:rPr>
        <w:tab/>
        <w:t>Así, debe destacarse un informe, que fuera omitido en la valoración por los acusadores, elab</w:t>
      </w:r>
      <w:r>
        <w:rPr>
          <w:lang w:val="es-ES_tradnl"/>
        </w:rPr>
        <w:t>o</w:t>
      </w:r>
      <w:r>
        <w:rPr>
          <w:lang w:val="es-ES_tradnl"/>
        </w:rPr>
        <w:t>rado por el Departamento Unidad de Investigación Antit</w:t>
      </w:r>
      <w:r>
        <w:rPr>
          <w:lang w:val="es-ES_tradnl"/>
        </w:rPr>
        <w:t>e</w:t>
      </w:r>
      <w:r>
        <w:rPr>
          <w:lang w:val="es-ES_tradnl"/>
        </w:rPr>
        <w:t>rrorista de fecha 23 de mayo de 1999, obrante a fs. 76.509/76.511.</w:t>
      </w:r>
    </w:p>
    <w:p w:rsidR="00224567" w:rsidRDefault="00224567">
      <w:pPr>
        <w:widowControl w:val="0"/>
        <w:rPr>
          <w:lang w:val="es-ES_tradnl"/>
        </w:rPr>
      </w:pPr>
      <w:r>
        <w:rPr>
          <w:lang w:val="es-ES_tradnl"/>
        </w:rPr>
        <w:tab/>
        <w:t>Allí se consigna: “Cabe destacar ad</w:t>
      </w:r>
      <w:r>
        <w:rPr>
          <w:lang w:val="es-ES_tradnl"/>
        </w:rPr>
        <w:t>e</w:t>
      </w:r>
      <w:r>
        <w:rPr>
          <w:lang w:val="es-ES_tradnl"/>
        </w:rPr>
        <w:t>más, que tampoco han surgido hasta el momento relaciones telefónicas de los entrecruzamientos realizados que perm</w:t>
      </w:r>
      <w:r>
        <w:rPr>
          <w:lang w:val="es-ES_tradnl"/>
        </w:rPr>
        <w:t>i</w:t>
      </w:r>
      <w:r>
        <w:rPr>
          <w:lang w:val="es-ES_tradnl"/>
        </w:rPr>
        <w:t>tan vincular a SALGUERO con RIBELLI o MANTEL, como para hipotizar un supuesto “armado” de la pista ARMAS d</w:t>
      </w:r>
      <w:r>
        <w:rPr>
          <w:lang w:val="es-ES_tradnl"/>
        </w:rPr>
        <w:t>i</w:t>
      </w:r>
      <w:r>
        <w:rPr>
          <w:lang w:val="es-ES_tradnl"/>
        </w:rPr>
        <w:t>rigida a desviar la invest</w:t>
      </w:r>
      <w:r>
        <w:rPr>
          <w:lang w:val="es-ES_tradnl"/>
        </w:rPr>
        <w:t>i</w:t>
      </w:r>
      <w:r>
        <w:rPr>
          <w:lang w:val="es-ES_tradnl"/>
        </w:rPr>
        <w:t>gación”.</w:t>
      </w:r>
    </w:p>
    <w:p w:rsidR="00224567" w:rsidRDefault="00224567">
      <w:pPr>
        <w:widowControl w:val="0"/>
        <w:rPr>
          <w:lang w:val="es-ES_tradnl"/>
        </w:rPr>
      </w:pPr>
      <w:r>
        <w:rPr>
          <w:lang w:val="es-ES_tradnl"/>
        </w:rPr>
        <w:tab/>
        <w:t>Por otra parte, también durante la etapa instructoria el agente fiscal Eamon Mullen, en el dictamen de fecha 15 de diciembre de 1999 glosado a fs. 76.525, pr</w:t>
      </w:r>
      <w:r>
        <w:rPr>
          <w:lang w:val="es-ES_tradnl"/>
        </w:rPr>
        <w:t>o</w:t>
      </w:r>
      <w:r>
        <w:rPr>
          <w:lang w:val="es-ES_tradnl"/>
        </w:rPr>
        <w:t>puso la reserva del legajo labrado al respecto sosteniendo: “En este sentido, debe tenerse presente el análisis global producido por el Departamento Unidad de Investigación Antiterrorista de fecha 23 de mayo del año en curso (fs. 334/336), el cual se apreciara una tendencia por parte de ELBA FERNÁNDEZ a denunciar a distintas pers</w:t>
      </w:r>
      <w:r>
        <w:rPr>
          <w:lang w:val="es-ES_tradnl"/>
        </w:rPr>
        <w:t>o</w:t>
      </w:r>
      <w:r>
        <w:rPr>
          <w:lang w:val="es-ES_tradnl"/>
        </w:rPr>
        <w:t>nas, vinculándolas sin basamento alguno a delitos o di</w:t>
      </w:r>
      <w:r>
        <w:rPr>
          <w:lang w:val="es-ES_tradnl"/>
        </w:rPr>
        <w:t>s</w:t>
      </w:r>
      <w:r>
        <w:rPr>
          <w:lang w:val="es-ES_tradnl"/>
        </w:rPr>
        <w:t>tintas situaciones, toma</w:t>
      </w:r>
      <w:r>
        <w:rPr>
          <w:lang w:val="es-ES_tradnl"/>
        </w:rPr>
        <w:t>n</w:t>
      </w:r>
      <w:r>
        <w:rPr>
          <w:lang w:val="es-ES_tradnl"/>
        </w:rPr>
        <w:t>do algunos de los elementos de la realidad que los complementa con su amplia imaginación, concluyendo dicho info</w:t>
      </w:r>
      <w:r>
        <w:rPr>
          <w:lang w:val="es-ES_tradnl"/>
        </w:rPr>
        <w:t>r</w:t>
      </w:r>
      <w:r>
        <w:rPr>
          <w:lang w:val="es-ES_tradnl"/>
        </w:rPr>
        <w:t>me, que tampoco surgieron hasta el momento relaciones telefónicas de los entrecruzamientos realizados que permitan vincular a SALGUERO con RIBELLI o MANTEL como para hipotizar un supuesto “armado” de la pi</w:t>
      </w:r>
      <w:r>
        <w:rPr>
          <w:lang w:val="es-ES_tradnl"/>
        </w:rPr>
        <w:t>s</w:t>
      </w:r>
      <w:r>
        <w:rPr>
          <w:lang w:val="es-ES_tradnl"/>
        </w:rPr>
        <w:t>ta denominada “ARMAS” dirigido a desviar la investig</w:t>
      </w:r>
      <w:r>
        <w:rPr>
          <w:lang w:val="es-ES_tradnl"/>
        </w:rPr>
        <w:t>a</w:t>
      </w:r>
      <w:r>
        <w:rPr>
          <w:lang w:val="es-ES_tradnl"/>
        </w:rPr>
        <w:t>ción”.</w:t>
      </w:r>
    </w:p>
    <w:p w:rsidR="00224567" w:rsidRDefault="00224567">
      <w:pPr>
        <w:widowControl w:val="0"/>
        <w:rPr>
          <w:lang w:val="es-ES_tradnl"/>
        </w:rPr>
      </w:pPr>
      <w:r>
        <w:rPr>
          <w:lang w:val="es-ES_tradnl"/>
        </w:rPr>
        <w:tab/>
        <w:t>Con esta última cita no se pretende exigir a los sucesivos representantes del Ministerio P</w:t>
      </w:r>
      <w:r>
        <w:rPr>
          <w:lang w:val="es-ES_tradnl"/>
        </w:rPr>
        <w:t>ú</w:t>
      </w:r>
      <w:r>
        <w:rPr>
          <w:lang w:val="es-ES_tradnl"/>
        </w:rPr>
        <w:t>blico que mantengan incólume su valoración sobre los di</w:t>
      </w:r>
      <w:r>
        <w:rPr>
          <w:lang w:val="es-ES_tradnl"/>
        </w:rPr>
        <w:t>s</w:t>
      </w:r>
      <w:r>
        <w:rPr>
          <w:lang w:val="es-ES_tradnl"/>
        </w:rPr>
        <w:t>tintos extremos de esta causa, máxime cuando su interve</w:t>
      </w:r>
      <w:r>
        <w:rPr>
          <w:lang w:val="es-ES_tradnl"/>
        </w:rPr>
        <w:t>n</w:t>
      </w:r>
      <w:r>
        <w:rPr>
          <w:lang w:val="es-ES_tradnl"/>
        </w:rPr>
        <w:t>ción se realiza en disti</w:t>
      </w:r>
      <w:r>
        <w:rPr>
          <w:lang w:val="es-ES_tradnl"/>
        </w:rPr>
        <w:t>n</w:t>
      </w:r>
      <w:r>
        <w:rPr>
          <w:lang w:val="es-ES_tradnl"/>
        </w:rPr>
        <w:t>tas etapas procesales.</w:t>
      </w:r>
    </w:p>
    <w:p w:rsidR="00224567" w:rsidRDefault="00224567">
      <w:pPr>
        <w:widowControl w:val="0"/>
        <w:rPr>
          <w:lang w:val="es-ES_tradnl"/>
        </w:rPr>
      </w:pPr>
      <w:r>
        <w:rPr>
          <w:lang w:val="es-ES_tradnl"/>
        </w:rPr>
        <w:tab/>
        <w:t>En cambio, sí se quiere poner de r</w:t>
      </w:r>
      <w:r>
        <w:rPr>
          <w:lang w:val="es-ES_tradnl"/>
        </w:rPr>
        <w:t>e</w:t>
      </w:r>
      <w:r>
        <w:rPr>
          <w:lang w:val="es-ES_tradnl"/>
        </w:rPr>
        <w:t>salto es que durante el debate no ha variado la orfandad probatoria sobre el ví</w:t>
      </w:r>
      <w:r>
        <w:rPr>
          <w:lang w:val="es-ES_tradnl"/>
        </w:rPr>
        <w:t>n</w:t>
      </w:r>
      <w:r>
        <w:rPr>
          <w:lang w:val="es-ES_tradnl"/>
        </w:rPr>
        <w:t>culo de Salguero y Ribelli.</w:t>
      </w:r>
    </w:p>
    <w:p w:rsidR="00224567" w:rsidRDefault="00224567">
      <w:pPr>
        <w:widowControl w:val="0"/>
        <w:rPr>
          <w:lang w:val="es-ES_tradnl"/>
        </w:rPr>
      </w:pPr>
      <w:r>
        <w:rPr>
          <w:lang w:val="es-ES_tradnl"/>
        </w:rPr>
        <w:tab/>
        <w:t>Por todo lo expuesto, toda vez que no se ha corr</w:t>
      </w:r>
      <w:r>
        <w:rPr>
          <w:lang w:val="es-ES_tradnl"/>
        </w:rPr>
        <w:t>o</w:t>
      </w:r>
      <w:r>
        <w:rPr>
          <w:lang w:val="es-ES_tradnl"/>
        </w:rPr>
        <w:t>borado la vinculación citada, y desde que ello constituye un presupuesto insuperable para cualquier an</w:t>
      </w:r>
      <w:r>
        <w:rPr>
          <w:lang w:val="es-ES_tradnl"/>
        </w:rPr>
        <w:t>á</w:t>
      </w:r>
      <w:r>
        <w:rPr>
          <w:lang w:val="es-ES_tradnl"/>
        </w:rPr>
        <w:t>lisis posterior, deviene abstracta cualquier valoración acerca de los dichos de Elba Fernández y sus hijos, que dieran origen a las a</w:t>
      </w:r>
      <w:r>
        <w:rPr>
          <w:lang w:val="es-ES_tradnl"/>
        </w:rPr>
        <w:t>c</w:t>
      </w:r>
      <w:r>
        <w:rPr>
          <w:lang w:val="es-ES_tradnl"/>
        </w:rPr>
        <w:t>tuaciones cuestionadas.</w:t>
      </w:r>
    </w:p>
    <w:p w:rsidR="00224567" w:rsidRDefault="00224567">
      <w:pPr>
        <w:widowControl w:val="0"/>
        <w:rPr>
          <w:lang w:val="es-ES_tradnl"/>
        </w:rPr>
      </w:pPr>
      <w:r>
        <w:rPr>
          <w:lang w:val="es-ES_tradnl"/>
        </w:rPr>
        <w:tab/>
        <w:t>Por último, no puede dejar de valora</w:t>
      </w:r>
      <w:r>
        <w:rPr>
          <w:lang w:val="es-ES_tradnl"/>
        </w:rPr>
        <w:t>r</w:t>
      </w:r>
      <w:r>
        <w:rPr>
          <w:lang w:val="es-ES_tradnl"/>
        </w:rPr>
        <w:t>se que tampoco resulta idónea al fin propuesto, la afirm</w:t>
      </w:r>
      <w:r>
        <w:rPr>
          <w:lang w:val="es-ES_tradnl"/>
        </w:rPr>
        <w:t>a</w:t>
      </w:r>
      <w:r>
        <w:rPr>
          <w:lang w:val="es-ES_tradnl"/>
        </w:rPr>
        <w:t>ción de que Salguero pretendió que el juez instructor vi</w:t>
      </w:r>
      <w:r>
        <w:rPr>
          <w:lang w:val="es-ES_tradnl"/>
        </w:rPr>
        <w:t>o</w:t>
      </w:r>
      <w:r>
        <w:rPr>
          <w:lang w:val="es-ES_tradnl"/>
        </w:rPr>
        <w:t>lara las inmunidades legislativas del diputado Morello, al om</w:t>
      </w:r>
      <w:r>
        <w:rPr>
          <w:lang w:val="es-ES_tradnl"/>
        </w:rPr>
        <w:t>i</w:t>
      </w:r>
      <w:r>
        <w:rPr>
          <w:lang w:val="es-ES_tradnl"/>
        </w:rPr>
        <w:t>tir anoticiarle al magistrado tal calidad al momento de solicitarle su detención y el allanamiento de su domic</w:t>
      </w:r>
      <w:r>
        <w:rPr>
          <w:lang w:val="es-ES_tradnl"/>
        </w:rPr>
        <w:t>i</w:t>
      </w:r>
      <w:r>
        <w:rPr>
          <w:lang w:val="es-ES_tradnl"/>
        </w:rPr>
        <w:t>lio.</w:t>
      </w:r>
    </w:p>
    <w:p w:rsidR="00224567" w:rsidRDefault="00224567">
      <w:pPr>
        <w:widowControl w:val="0"/>
        <w:rPr>
          <w:lang w:val="es-ES_tradnl"/>
        </w:rPr>
      </w:pPr>
      <w:r>
        <w:rPr>
          <w:lang w:val="es-ES_tradnl"/>
        </w:rPr>
        <w:tab/>
        <w:t>En este punto debe señalarse la co</w:t>
      </w:r>
      <w:r>
        <w:rPr>
          <w:lang w:val="es-ES_tradnl"/>
        </w:rPr>
        <w:t>n</w:t>
      </w:r>
      <w:r>
        <w:rPr>
          <w:lang w:val="es-ES_tradnl"/>
        </w:rPr>
        <w:t>tradictoria valoración que efectúan los acusadores del proceder del magistrado instructor a su respecto. Así, concluyen que el pedido de detención y registro domicili</w:t>
      </w:r>
      <w:r>
        <w:rPr>
          <w:lang w:val="es-ES_tradnl"/>
        </w:rPr>
        <w:t>a</w:t>
      </w:r>
      <w:r>
        <w:rPr>
          <w:lang w:val="es-ES_tradnl"/>
        </w:rPr>
        <w:t>rio de la vivienda de un diputado nacional, por su cará</w:t>
      </w:r>
      <w:r>
        <w:rPr>
          <w:lang w:val="es-ES_tradnl"/>
        </w:rPr>
        <w:t>c</w:t>
      </w:r>
      <w:r>
        <w:rPr>
          <w:lang w:val="es-ES_tradnl"/>
        </w:rPr>
        <w:t>ter irregular, no podía sino interpretarse como una mani</w:t>
      </w:r>
      <w:r>
        <w:rPr>
          <w:lang w:val="es-ES_tradnl"/>
        </w:rPr>
        <w:t>o</w:t>
      </w:r>
      <w:r>
        <w:rPr>
          <w:lang w:val="es-ES_tradnl"/>
        </w:rPr>
        <w:t>bra tendiente a desvincular al juez instructor del proc</w:t>
      </w:r>
      <w:r>
        <w:rPr>
          <w:lang w:val="es-ES_tradnl"/>
        </w:rPr>
        <w:t>e</w:t>
      </w:r>
      <w:r>
        <w:rPr>
          <w:lang w:val="es-ES_tradnl"/>
        </w:rPr>
        <w:t>so.</w:t>
      </w:r>
    </w:p>
    <w:p w:rsidR="00224567" w:rsidRDefault="00224567">
      <w:pPr>
        <w:widowControl w:val="0"/>
        <w:rPr>
          <w:lang w:val="es-ES_tradnl"/>
        </w:rPr>
      </w:pPr>
      <w:r>
        <w:rPr>
          <w:lang w:val="es-ES_tradnl"/>
        </w:rPr>
        <w:tab/>
        <w:t>Sin embargo, omiten considerar, y aquí la contradicción, que fue el propio juez quien ordenó m</w:t>
      </w:r>
      <w:r>
        <w:rPr>
          <w:lang w:val="es-ES_tradnl"/>
        </w:rPr>
        <w:t>e</w:t>
      </w:r>
      <w:r>
        <w:rPr>
          <w:lang w:val="es-ES_tradnl"/>
        </w:rPr>
        <w:t>didas igual o más invasoras respecto de Morello, aún cua</w:t>
      </w:r>
      <w:r>
        <w:rPr>
          <w:lang w:val="es-ES_tradnl"/>
        </w:rPr>
        <w:t>n</w:t>
      </w:r>
      <w:r>
        <w:rPr>
          <w:lang w:val="es-ES_tradnl"/>
        </w:rPr>
        <w:t>do ya conocía su condición legislativa, como fuera la i</w:t>
      </w:r>
      <w:r>
        <w:rPr>
          <w:lang w:val="es-ES_tradnl"/>
        </w:rPr>
        <w:t>n</w:t>
      </w:r>
      <w:r>
        <w:rPr>
          <w:lang w:val="es-ES_tradnl"/>
        </w:rPr>
        <w:t>tervención de sus líneas telefónicas conforme se det</w:t>
      </w:r>
      <w:r>
        <w:rPr>
          <w:lang w:val="es-ES_tradnl"/>
        </w:rPr>
        <w:t>a</w:t>
      </w:r>
      <w:r>
        <w:rPr>
          <w:lang w:val="es-ES_tradnl"/>
        </w:rPr>
        <w:t>llara en otro apartado de este pronunciamiento.</w:t>
      </w:r>
    </w:p>
    <w:p w:rsidR="00224567" w:rsidRDefault="00224567">
      <w:pPr>
        <w:widowControl w:val="0"/>
        <w:rPr>
          <w:lang w:val="es-ES_tradnl"/>
        </w:rPr>
      </w:pPr>
      <w:r>
        <w:rPr>
          <w:lang w:val="es-ES_tradnl"/>
        </w:rPr>
        <w:tab/>
        <w:t>Adviértase el absurdo al que conduc</w:t>
      </w:r>
      <w:r>
        <w:rPr>
          <w:lang w:val="es-ES_tradnl"/>
        </w:rPr>
        <w:t>i</w:t>
      </w:r>
      <w:r>
        <w:rPr>
          <w:lang w:val="es-ES_tradnl"/>
        </w:rPr>
        <w:t>ría el razonamiento de los acusadores, ya que de seguirse éste hasta sus últimas consecuencias, el irregular proc</w:t>
      </w:r>
      <w:r>
        <w:rPr>
          <w:lang w:val="es-ES_tradnl"/>
        </w:rPr>
        <w:t>e</w:t>
      </w:r>
      <w:r>
        <w:rPr>
          <w:lang w:val="es-ES_tradnl"/>
        </w:rPr>
        <w:t>der del juez instructor en la intervención de las líneas telefónicas de Morello debería ser co</w:t>
      </w:r>
      <w:r>
        <w:rPr>
          <w:lang w:val="es-ES_tradnl"/>
        </w:rPr>
        <w:t>n</w:t>
      </w:r>
      <w:r>
        <w:rPr>
          <w:lang w:val="es-ES_tradnl"/>
        </w:rPr>
        <w:t>siderado un intento protagonizado por el propio magi</w:t>
      </w:r>
      <w:r>
        <w:rPr>
          <w:lang w:val="es-ES_tradnl"/>
        </w:rPr>
        <w:t>s</w:t>
      </w:r>
      <w:r>
        <w:rPr>
          <w:lang w:val="es-ES_tradnl"/>
        </w:rPr>
        <w:t>trado para que, frente a su de</w:t>
      </w:r>
      <w:r>
        <w:rPr>
          <w:lang w:val="es-ES_tradnl"/>
        </w:rPr>
        <w:t>s</w:t>
      </w:r>
      <w:r>
        <w:rPr>
          <w:lang w:val="es-ES_tradnl"/>
        </w:rPr>
        <w:t>cubrimiento, fuera apartado de la causa.</w:t>
      </w:r>
    </w:p>
    <w:p w:rsidR="00224567" w:rsidRDefault="00224567">
      <w:pPr>
        <w:widowControl w:val="0"/>
        <w:rPr>
          <w:lang w:val="es-ES_tradnl"/>
        </w:rPr>
      </w:pPr>
      <w:r>
        <w:rPr>
          <w:lang w:val="es-ES_tradnl"/>
        </w:rPr>
        <w:tab/>
      </w:r>
      <w:r>
        <w:rPr>
          <w:b/>
          <w:bCs/>
          <w:lang w:val="es-ES_tradnl"/>
        </w:rPr>
        <w:t xml:space="preserve">C.2.d.xi.B.3) </w:t>
      </w:r>
      <w:r>
        <w:rPr>
          <w:lang w:val="es-ES_tradnl"/>
        </w:rPr>
        <w:t>Respecto a la presencia del imputado Juan José Ribelli en los allanamientos pra</w:t>
      </w:r>
      <w:r>
        <w:rPr>
          <w:lang w:val="es-ES_tradnl"/>
        </w:rPr>
        <w:t>c</w:t>
      </w:r>
      <w:r>
        <w:rPr>
          <w:lang w:val="es-ES_tradnl"/>
        </w:rPr>
        <w:t>ticados en Campo de Mayo, debe concluirse que no se acr</w:t>
      </w:r>
      <w:r>
        <w:rPr>
          <w:lang w:val="es-ES_tradnl"/>
        </w:rPr>
        <w:t>e</w:t>
      </w:r>
      <w:r>
        <w:rPr>
          <w:lang w:val="es-ES_tradnl"/>
        </w:rPr>
        <w:t>ditó la premisa de los acusadores.</w:t>
      </w:r>
    </w:p>
    <w:p w:rsidR="00224567" w:rsidRDefault="00224567">
      <w:pPr>
        <w:widowControl w:val="0"/>
        <w:rPr>
          <w:lang w:val="es-ES_tradnl"/>
        </w:rPr>
      </w:pPr>
      <w:r>
        <w:rPr>
          <w:lang w:val="es-ES_tradnl"/>
        </w:rPr>
        <w:tab/>
        <w:t>En efecto, la prueba arrimada al pr</w:t>
      </w:r>
      <w:r>
        <w:rPr>
          <w:lang w:val="es-ES_tradnl"/>
        </w:rPr>
        <w:t>o</w:t>
      </w:r>
      <w:r>
        <w:rPr>
          <w:lang w:val="es-ES_tradnl"/>
        </w:rPr>
        <w:t>ceso da cuenta de que su i</w:t>
      </w:r>
      <w:r>
        <w:rPr>
          <w:lang w:val="es-ES_tradnl"/>
        </w:rPr>
        <w:t>n</w:t>
      </w:r>
      <w:r>
        <w:rPr>
          <w:lang w:val="es-ES_tradnl"/>
        </w:rPr>
        <w:t>tervención en esas diligencias obedeció a un refuerzo de personal para concretar simult</w:t>
      </w:r>
      <w:r>
        <w:rPr>
          <w:lang w:val="es-ES_tradnl"/>
        </w:rPr>
        <w:t>á</w:t>
      </w:r>
      <w:r>
        <w:rPr>
          <w:lang w:val="es-ES_tradnl"/>
        </w:rPr>
        <w:t>neame</w:t>
      </w:r>
      <w:r>
        <w:rPr>
          <w:lang w:val="es-ES_tradnl"/>
        </w:rPr>
        <w:t>n</w:t>
      </w:r>
      <w:r>
        <w:rPr>
          <w:lang w:val="es-ES_tradnl"/>
        </w:rPr>
        <w:t>te una cantidad significativa de procedimientos.</w:t>
      </w:r>
    </w:p>
    <w:p w:rsidR="00224567" w:rsidRDefault="00224567">
      <w:pPr>
        <w:widowControl w:val="0"/>
        <w:rPr>
          <w:lang w:val="es-ES_tradnl"/>
        </w:rPr>
      </w:pPr>
      <w:r>
        <w:rPr>
          <w:lang w:val="es-ES_tradnl"/>
        </w:rPr>
        <w:tab/>
        <w:t>Debe destacarse que la participación del imputado Juan José Ribelli en los procedimientos en cuestión ya fue objeto de investigación durante la etapa instructoria. Efectivamente, a pedido del juez instru</w:t>
      </w:r>
      <w:r>
        <w:rPr>
          <w:lang w:val="es-ES_tradnl"/>
        </w:rPr>
        <w:t>c</w:t>
      </w:r>
      <w:r>
        <w:rPr>
          <w:lang w:val="es-ES_tradnl"/>
        </w:rPr>
        <w:t>tor, el comisario general Adolfo Hugo Vitelli, por entonces j</w:t>
      </w:r>
      <w:r>
        <w:rPr>
          <w:lang w:val="es-ES_tradnl"/>
        </w:rPr>
        <w:t>e</w:t>
      </w:r>
      <w:r>
        <w:rPr>
          <w:lang w:val="es-ES_tradnl"/>
        </w:rPr>
        <w:t>fe de policía, elevó el informe que luce a fs. 43.332/43.354.</w:t>
      </w:r>
    </w:p>
    <w:p w:rsidR="00224567" w:rsidRDefault="00224567">
      <w:pPr>
        <w:widowControl w:val="0"/>
        <w:rPr>
          <w:lang w:val="es-ES_tradnl"/>
        </w:rPr>
      </w:pPr>
      <w:r>
        <w:rPr>
          <w:lang w:val="es-ES_tradnl"/>
        </w:rPr>
        <w:tab/>
        <w:t>Como resultado de dichas averiguaci</w:t>
      </w:r>
      <w:r>
        <w:rPr>
          <w:lang w:val="es-ES_tradnl"/>
        </w:rPr>
        <w:t>o</w:t>
      </w:r>
      <w:r>
        <w:rPr>
          <w:lang w:val="es-ES_tradnl"/>
        </w:rPr>
        <w:t>nes surgió la considerable cantidad de personal que part</w:t>
      </w:r>
      <w:r>
        <w:rPr>
          <w:lang w:val="es-ES_tradnl"/>
        </w:rPr>
        <w:t>i</w:t>
      </w:r>
      <w:r>
        <w:rPr>
          <w:lang w:val="es-ES_tradnl"/>
        </w:rPr>
        <w:t xml:space="preserve">cipó de esas diligencias, pertenecientes a </w:t>
      </w:r>
      <w:smartTag w:uri="urn:schemas-microsoft-com:office:smarttags" w:element="PersonName">
        <w:smartTagPr>
          <w:attr w:name="ProductID" w:val="la Brigada"/>
        </w:smartTagPr>
        <w:r>
          <w:rPr>
            <w:lang w:val="es-ES_tradnl"/>
          </w:rPr>
          <w:t>la Brigada</w:t>
        </w:r>
      </w:smartTag>
      <w:r>
        <w:rPr>
          <w:lang w:val="es-ES_tradnl"/>
        </w:rPr>
        <w:t xml:space="preserve"> de Investigaciones de Quilmes y a </w:t>
      </w:r>
      <w:smartTag w:uri="urn:schemas-microsoft-com:office:smarttags" w:element="PersonName">
        <w:smartTagPr>
          <w:attr w:name="ProductID" w:val="la Divisi￳n Sustracci￳n"/>
        </w:smartTagPr>
        <w:r>
          <w:rPr>
            <w:lang w:val="es-ES_tradnl"/>
          </w:rPr>
          <w:t>la División Sustracción</w:t>
        </w:r>
      </w:smartTag>
      <w:r>
        <w:rPr>
          <w:lang w:val="es-ES_tradnl"/>
        </w:rPr>
        <w:t xml:space="preserve"> A</w:t>
      </w:r>
      <w:r>
        <w:rPr>
          <w:lang w:val="es-ES_tradnl"/>
        </w:rPr>
        <w:t>u</w:t>
      </w:r>
      <w:r>
        <w:rPr>
          <w:lang w:val="es-ES_tradnl"/>
        </w:rPr>
        <w:t>tomotores a cargo del imputado Ribelli, y el extraordin</w:t>
      </w:r>
      <w:r>
        <w:rPr>
          <w:lang w:val="es-ES_tradnl"/>
        </w:rPr>
        <w:t>a</w:t>
      </w:r>
      <w:r>
        <w:rPr>
          <w:lang w:val="es-ES_tradnl"/>
        </w:rPr>
        <w:t>rio refuerzo logístico que incluyó hasta la intervención de dos helicópteros y ocho patrulleros.</w:t>
      </w:r>
    </w:p>
    <w:p w:rsidR="00224567" w:rsidRDefault="00224567">
      <w:pPr>
        <w:widowControl w:val="0"/>
        <w:rPr>
          <w:lang w:val="es-ES_tradnl"/>
        </w:rPr>
      </w:pPr>
      <w:r>
        <w:rPr>
          <w:lang w:val="es-ES_tradnl"/>
        </w:rPr>
        <w:tab/>
        <w:t>Si bien el citado informe concluye que no existen antecedentes acerca de quien ordenó la partic</w:t>
      </w:r>
      <w:r>
        <w:rPr>
          <w:lang w:val="es-ES_tradnl"/>
        </w:rPr>
        <w:t>i</w:t>
      </w:r>
      <w:r>
        <w:rPr>
          <w:lang w:val="es-ES_tradnl"/>
        </w:rPr>
        <w:t>pación del ex comisario Juan José Ribelli en esas dilige</w:t>
      </w:r>
      <w:r>
        <w:rPr>
          <w:lang w:val="es-ES_tradnl"/>
        </w:rPr>
        <w:t>n</w:t>
      </w:r>
      <w:r>
        <w:rPr>
          <w:lang w:val="es-ES_tradnl"/>
        </w:rPr>
        <w:t>cias, surge de la prueba testimonial producida durante la audiencia de debate que no fue a su iniciativa, sino que obedeció a una o</w:t>
      </w:r>
      <w:r>
        <w:rPr>
          <w:lang w:val="es-ES_tradnl"/>
        </w:rPr>
        <w:t>r</w:t>
      </w:r>
      <w:r>
        <w:rPr>
          <w:lang w:val="es-ES_tradnl"/>
        </w:rPr>
        <w:t xml:space="preserve">den impartida por </w:t>
      </w:r>
      <w:smartTag w:uri="urn:schemas-microsoft-com:office:smarttags" w:element="PersonName">
        <w:smartTagPr>
          <w:attr w:name="ProductID" w:val="la Direcci￳n General"/>
        </w:smartTagPr>
        <w:r>
          <w:rPr>
            <w:lang w:val="es-ES_tradnl"/>
          </w:rPr>
          <w:t>la Dirección General</w:t>
        </w:r>
      </w:smartTag>
      <w:r>
        <w:rPr>
          <w:lang w:val="es-ES_tradnl"/>
        </w:rPr>
        <w:t xml:space="preserve"> de Investigaciones, por entonces a cargo del comisario gen</w:t>
      </w:r>
      <w:r>
        <w:rPr>
          <w:lang w:val="es-ES_tradnl"/>
        </w:rPr>
        <w:t>e</w:t>
      </w:r>
      <w:r>
        <w:rPr>
          <w:lang w:val="es-ES_tradnl"/>
        </w:rPr>
        <w:t>ral Armando A</w:t>
      </w:r>
      <w:r>
        <w:rPr>
          <w:lang w:val="es-ES_tradnl"/>
        </w:rPr>
        <w:t>n</w:t>
      </w:r>
      <w:r>
        <w:rPr>
          <w:lang w:val="es-ES_tradnl"/>
        </w:rPr>
        <w:t>tonio Calabró.</w:t>
      </w:r>
    </w:p>
    <w:p w:rsidR="00224567" w:rsidRDefault="00224567">
      <w:pPr>
        <w:widowControl w:val="0"/>
        <w:rPr>
          <w:lang w:val="es-ES_tradnl"/>
        </w:rPr>
      </w:pPr>
      <w:r>
        <w:rPr>
          <w:lang w:val="es-ES_tradnl"/>
        </w:rPr>
        <w:tab/>
        <w:t xml:space="preserve">Efectivamente, tanto Norberto Padilla –subjefe de </w:t>
      </w:r>
      <w:smartTag w:uri="urn:schemas-microsoft-com:office:smarttags" w:element="PersonName">
        <w:smartTagPr>
          <w:attr w:name="ProductID" w:val="la Polic￭a Bonaerense"/>
        </w:smartTagPr>
        <w:r>
          <w:rPr>
            <w:lang w:val="es-ES_tradnl"/>
          </w:rPr>
          <w:t>la Policía Bonaerense</w:t>
        </w:r>
      </w:smartTag>
      <w:r>
        <w:rPr>
          <w:lang w:val="es-ES_tradnl"/>
        </w:rPr>
        <w:t>– como Ángel Roberto Sa</w:t>
      </w:r>
      <w:r>
        <w:rPr>
          <w:lang w:val="es-ES_tradnl"/>
        </w:rPr>
        <w:t>l</w:t>
      </w:r>
      <w:r>
        <w:rPr>
          <w:lang w:val="es-ES_tradnl"/>
        </w:rPr>
        <w:t xml:space="preserve">guero, destacaron que la participación de Ribelli en esas diligencias fue dispuesta por </w:t>
      </w:r>
      <w:smartTag w:uri="urn:schemas-microsoft-com:office:smarttags" w:element="PersonName">
        <w:smartTagPr>
          <w:attr w:name="ProductID" w:val="la Direcci￳n General"/>
        </w:smartTagPr>
        <w:r>
          <w:rPr>
            <w:lang w:val="es-ES_tradnl"/>
          </w:rPr>
          <w:t>la Dirección General</w:t>
        </w:r>
      </w:smartTag>
      <w:r>
        <w:rPr>
          <w:lang w:val="es-ES_tradnl"/>
        </w:rPr>
        <w:t xml:space="preserve"> de I</w:t>
      </w:r>
      <w:r>
        <w:rPr>
          <w:lang w:val="es-ES_tradnl"/>
        </w:rPr>
        <w:t>n</w:t>
      </w:r>
      <w:r>
        <w:rPr>
          <w:lang w:val="es-ES_tradnl"/>
        </w:rPr>
        <w:t>vestigaciones. Destacó el último que Ribelli, en ocasión del procedimiento, estuvo con él, el magi</w:t>
      </w:r>
      <w:r>
        <w:rPr>
          <w:lang w:val="es-ES_tradnl"/>
        </w:rPr>
        <w:t>s</w:t>
      </w:r>
      <w:r>
        <w:rPr>
          <w:lang w:val="es-ES_tradnl"/>
        </w:rPr>
        <w:t>trado instructor y los fiscales en una estación de servicio sobre la aven</w:t>
      </w:r>
      <w:r>
        <w:rPr>
          <w:lang w:val="es-ES_tradnl"/>
        </w:rPr>
        <w:t>i</w:t>
      </w:r>
      <w:r>
        <w:rPr>
          <w:lang w:val="es-ES_tradnl"/>
        </w:rPr>
        <w:t>da Gaona. Agregó que la convocatoria de personal policial ad</w:t>
      </w:r>
      <w:r>
        <w:rPr>
          <w:lang w:val="es-ES_tradnl"/>
        </w:rPr>
        <w:t>i</w:t>
      </w:r>
      <w:r>
        <w:rPr>
          <w:lang w:val="es-ES_tradnl"/>
        </w:rPr>
        <w:t>cional a la dependencia obedeció a la gran cantidad de allanamientos a real</w:t>
      </w:r>
      <w:r>
        <w:rPr>
          <w:lang w:val="es-ES_tradnl"/>
        </w:rPr>
        <w:t>i</w:t>
      </w:r>
      <w:r>
        <w:rPr>
          <w:lang w:val="es-ES_tradnl"/>
        </w:rPr>
        <w:t>zar.</w:t>
      </w:r>
    </w:p>
    <w:p w:rsidR="00224567" w:rsidRDefault="00224567">
      <w:pPr>
        <w:widowControl w:val="0"/>
        <w:rPr>
          <w:lang w:val="es-ES_tradnl"/>
        </w:rPr>
      </w:pPr>
      <w:r>
        <w:rPr>
          <w:lang w:val="es-ES_tradnl"/>
        </w:rPr>
        <w:tab/>
        <w:t>En forma coincidente se pronunció A</w:t>
      </w:r>
      <w:r>
        <w:rPr>
          <w:lang w:val="es-ES_tradnl"/>
        </w:rPr>
        <w:t>r</w:t>
      </w:r>
      <w:r>
        <w:rPr>
          <w:lang w:val="es-ES_tradnl"/>
        </w:rPr>
        <w:t>mando Antonio Calabró quien –si bien no pudo indicar si fue a pedido de Klod</w:t>
      </w:r>
      <w:r>
        <w:rPr>
          <w:lang w:val="es-ES_tradnl"/>
        </w:rPr>
        <w:t>c</w:t>
      </w:r>
      <w:r>
        <w:rPr>
          <w:lang w:val="es-ES_tradnl"/>
        </w:rPr>
        <w:t>zyk, por entonces jefe de policía, o de Salguero– en forma indirecta confirmó que dispuso la participación de Ribelli en el procedimiento. El testigo agr</w:t>
      </w:r>
      <w:r>
        <w:rPr>
          <w:lang w:val="es-ES_tradnl"/>
        </w:rPr>
        <w:t>e</w:t>
      </w:r>
      <w:r>
        <w:rPr>
          <w:lang w:val="es-ES_tradnl"/>
        </w:rPr>
        <w:t>gó que para esa fecha no pesaba sobre Ribelli ninguna invest</w:t>
      </w:r>
      <w:r>
        <w:rPr>
          <w:lang w:val="es-ES_tradnl"/>
        </w:rPr>
        <w:t>i</w:t>
      </w:r>
      <w:r>
        <w:rPr>
          <w:lang w:val="es-ES_tradnl"/>
        </w:rPr>
        <w:t>gación pública.</w:t>
      </w:r>
    </w:p>
    <w:p w:rsidR="00224567" w:rsidRDefault="00224567">
      <w:pPr>
        <w:widowControl w:val="0"/>
        <w:rPr>
          <w:lang w:val="es-ES_tradnl"/>
        </w:rPr>
      </w:pPr>
      <w:r>
        <w:rPr>
          <w:lang w:val="es-ES_tradnl"/>
        </w:rPr>
        <w:tab/>
        <w:t>Por todo lo expuesto, se concluye que no se verificó ni siquiera en sus trazos mínimos, que la participación de Ribelli en ese allanamiento pudiera rel</w:t>
      </w:r>
      <w:r>
        <w:rPr>
          <w:lang w:val="es-ES_tradnl"/>
        </w:rPr>
        <w:t>a</w:t>
      </w:r>
      <w:r>
        <w:rPr>
          <w:lang w:val="es-ES_tradnl"/>
        </w:rPr>
        <w:t>cionarse con su intervención en el atentado. Máxime, cua</w:t>
      </w:r>
      <w:r>
        <w:rPr>
          <w:lang w:val="es-ES_tradnl"/>
        </w:rPr>
        <w:t>n</w:t>
      </w:r>
      <w:r>
        <w:rPr>
          <w:lang w:val="es-ES_tradnl"/>
        </w:rPr>
        <w:t>do no se enunció una sola prueba que condujera a avalar tal extremo y tampoco se individualizó de qué forma Rib</w:t>
      </w:r>
      <w:r>
        <w:rPr>
          <w:lang w:val="es-ES_tradnl"/>
        </w:rPr>
        <w:t>e</w:t>
      </w:r>
      <w:r>
        <w:rPr>
          <w:lang w:val="es-ES_tradnl"/>
        </w:rPr>
        <w:t>lli durante la diligencia pudo realizar alguna actividad compat</w:t>
      </w:r>
      <w:r>
        <w:rPr>
          <w:lang w:val="es-ES_tradnl"/>
        </w:rPr>
        <w:t>i</w:t>
      </w:r>
      <w:r>
        <w:rPr>
          <w:lang w:val="es-ES_tradnl"/>
        </w:rPr>
        <w:t>ble con la participación en el grave delito que se le e</w:t>
      </w:r>
      <w:r>
        <w:rPr>
          <w:lang w:val="es-ES_tradnl"/>
        </w:rPr>
        <w:t>n</w:t>
      </w:r>
      <w:r>
        <w:rPr>
          <w:lang w:val="es-ES_tradnl"/>
        </w:rPr>
        <w:t>dilga.</w:t>
      </w:r>
    </w:p>
    <w:p w:rsidR="00224567" w:rsidRDefault="00224567">
      <w:pPr>
        <w:pStyle w:val="Ttulo7"/>
        <w:widowControl w:val="0"/>
      </w:pPr>
      <w:r>
        <w:tab/>
      </w:r>
      <w:bookmarkStart w:id="271" w:name="_Toc86732011"/>
      <w:r>
        <w:rPr>
          <w:b/>
          <w:bCs/>
        </w:rPr>
        <w:t>C.2.d.xi.C)</w:t>
      </w:r>
      <w:bookmarkStart w:id="272" w:name="_Toc79905072"/>
      <w:r>
        <w:t xml:space="preserve"> El llamado desvío Alí</w:t>
      </w:r>
      <w:bookmarkEnd w:id="271"/>
      <w:bookmarkEnd w:id="272"/>
      <w:r>
        <w:t>.</w:t>
      </w:r>
    </w:p>
    <w:p w:rsidR="00224567" w:rsidRDefault="00224567">
      <w:pPr>
        <w:widowControl w:val="0"/>
        <w:rPr>
          <w:lang w:val="es-ES_tradnl"/>
        </w:rPr>
      </w:pPr>
      <w:r>
        <w:tab/>
      </w:r>
      <w:r>
        <w:rPr>
          <w:b/>
          <w:bCs/>
          <w:lang w:val="es-ES_tradnl"/>
        </w:rPr>
        <w:t xml:space="preserve">C.2.d.xi.C.1) </w:t>
      </w:r>
      <w:r>
        <w:rPr>
          <w:lang w:val="es-ES_tradnl"/>
        </w:rPr>
        <w:t>Los acusadores señalaron que otro de los desvíos de la investigación, que demostr</w:t>
      </w:r>
      <w:r>
        <w:rPr>
          <w:lang w:val="es-ES_tradnl"/>
        </w:rPr>
        <w:t>a</w:t>
      </w:r>
      <w:r>
        <w:rPr>
          <w:lang w:val="es-ES_tradnl"/>
        </w:rPr>
        <w:t>ba la participación de los ex policías imputados en el h</w:t>
      </w:r>
      <w:r>
        <w:rPr>
          <w:lang w:val="es-ES_tradnl"/>
        </w:rPr>
        <w:t>e</w:t>
      </w:r>
      <w:r>
        <w:rPr>
          <w:lang w:val="es-ES_tradnl"/>
        </w:rPr>
        <w:t>cho, era la denomin</w:t>
      </w:r>
      <w:r>
        <w:rPr>
          <w:lang w:val="es-ES_tradnl"/>
        </w:rPr>
        <w:t>a</w:t>
      </w:r>
      <w:r>
        <w:rPr>
          <w:lang w:val="es-ES_tradnl"/>
        </w:rPr>
        <w:t>da “pista Alí”.</w:t>
      </w:r>
    </w:p>
    <w:p w:rsidR="00224567" w:rsidRDefault="00224567">
      <w:pPr>
        <w:widowControl w:val="0"/>
        <w:rPr>
          <w:lang w:val="es-ES_tradnl"/>
        </w:rPr>
      </w:pPr>
      <w:r>
        <w:rPr>
          <w:lang w:val="es-ES_tradnl"/>
        </w:rPr>
        <w:tab/>
        <w:t>A tal fin se destacó que Gatto y V</w:t>
      </w:r>
      <w:r>
        <w:rPr>
          <w:lang w:val="es-ES_tradnl"/>
        </w:rPr>
        <w:t>a</w:t>
      </w:r>
      <w:r>
        <w:rPr>
          <w:lang w:val="es-ES_tradnl"/>
        </w:rPr>
        <w:t>lenga, colaboradores de Ribelli, informaron a Hugo Vacc</w:t>
      </w:r>
      <w:r>
        <w:rPr>
          <w:lang w:val="es-ES_tradnl"/>
        </w:rPr>
        <w:t>a</w:t>
      </w:r>
      <w:r>
        <w:rPr>
          <w:lang w:val="es-ES_tradnl"/>
        </w:rPr>
        <w:t>rezza que la camioneta que se habían ll</w:t>
      </w:r>
      <w:r>
        <w:rPr>
          <w:lang w:val="es-ES_tradnl"/>
        </w:rPr>
        <w:t>e</w:t>
      </w:r>
      <w:r>
        <w:rPr>
          <w:lang w:val="es-ES_tradnl"/>
        </w:rPr>
        <w:t>vado los policías la tenía el comisario López de la brigada de San Ma</w:t>
      </w:r>
      <w:r>
        <w:rPr>
          <w:lang w:val="es-ES_tradnl"/>
        </w:rPr>
        <w:t>r</w:t>
      </w:r>
      <w:r>
        <w:rPr>
          <w:lang w:val="es-ES_tradnl"/>
        </w:rPr>
        <w:t>tín y que pasó por las manos de Abel Brahim Alí y su cónyuge, Chir</w:t>
      </w:r>
      <w:r>
        <w:rPr>
          <w:lang w:val="es-ES_tradnl"/>
        </w:rPr>
        <w:t>i</w:t>
      </w:r>
      <w:r>
        <w:rPr>
          <w:lang w:val="es-ES_tradnl"/>
        </w:rPr>
        <w:t>vín.</w:t>
      </w:r>
    </w:p>
    <w:p w:rsidR="00224567" w:rsidRDefault="00224567">
      <w:pPr>
        <w:widowControl w:val="0"/>
        <w:rPr>
          <w:lang w:val="es-ES_tradnl"/>
        </w:rPr>
      </w:pPr>
      <w:r>
        <w:rPr>
          <w:lang w:val="es-ES_tradnl"/>
        </w:rPr>
        <w:tab/>
        <w:t>Por otra parte se remarcó la entrevi</w:t>
      </w:r>
      <w:r>
        <w:rPr>
          <w:lang w:val="es-ES_tradnl"/>
        </w:rPr>
        <w:t>s</w:t>
      </w:r>
      <w:r>
        <w:rPr>
          <w:lang w:val="es-ES_tradnl"/>
        </w:rPr>
        <w:t xml:space="preserve">ta filmada entre el abogado Cúneo Libarona, el periodista Pasquini y el funcionario Brousson de </w:t>
      </w:r>
      <w:smartTag w:uri="urn:schemas-microsoft-com:office:smarttags" w:element="PersonName">
        <w:smartTagPr>
          <w:attr w:name="ProductID" w:val="la Secretar￭a"/>
        </w:smartTagPr>
        <w:r>
          <w:rPr>
            <w:lang w:val="es-ES_tradnl"/>
          </w:rPr>
          <w:t>la Secretaría</w:t>
        </w:r>
      </w:smartTag>
      <w:r>
        <w:rPr>
          <w:lang w:val="es-ES_tradnl"/>
        </w:rPr>
        <w:t xml:space="preserve"> de I</w:t>
      </w:r>
      <w:r>
        <w:rPr>
          <w:lang w:val="es-ES_tradnl"/>
        </w:rPr>
        <w:t>n</w:t>
      </w:r>
      <w:r>
        <w:rPr>
          <w:lang w:val="es-ES_tradnl"/>
        </w:rPr>
        <w:t>teligencia del E</w:t>
      </w:r>
      <w:r>
        <w:rPr>
          <w:lang w:val="es-ES_tradnl"/>
        </w:rPr>
        <w:t>s</w:t>
      </w:r>
      <w:r>
        <w:rPr>
          <w:lang w:val="es-ES_tradnl"/>
        </w:rPr>
        <w:t>tado. Se dijo que el letrado, defensor de Ribelli, reconocía que la conexión local estaba co</w:t>
      </w:r>
      <w:r>
        <w:rPr>
          <w:lang w:val="es-ES_tradnl"/>
        </w:rPr>
        <w:t>m</w:t>
      </w:r>
      <w:r>
        <w:rPr>
          <w:lang w:val="es-ES_tradnl"/>
        </w:rPr>
        <w:t xml:space="preserve">puesta por integrantes de </w:t>
      </w:r>
      <w:smartTag w:uri="urn:schemas-microsoft-com:office:smarttags" w:element="PersonName">
        <w:smartTagPr>
          <w:attr w:name="ProductID" w:val="la Polic￭a Bonaerense"/>
        </w:smartTagPr>
        <w:r>
          <w:rPr>
            <w:lang w:val="es-ES_tradnl"/>
          </w:rPr>
          <w:t>la Policía Bonaerense</w:t>
        </w:r>
      </w:smartTag>
      <w:r>
        <w:rPr>
          <w:lang w:val="es-ES_tradnl"/>
        </w:rPr>
        <w:t xml:space="preserve"> y pretendía ca</w:t>
      </w:r>
      <w:r>
        <w:rPr>
          <w:lang w:val="es-ES_tradnl"/>
        </w:rPr>
        <w:t>m</w:t>
      </w:r>
      <w:r>
        <w:rPr>
          <w:lang w:val="es-ES_tradnl"/>
        </w:rPr>
        <w:t>biar a Ibarra –e indirectamente a Ribelli– por Alí, un funcionario policial de ascendencia árabe, que poseía un Galaxy de color azul –como el de Leal– y era parecido a Ibarra.</w:t>
      </w:r>
    </w:p>
    <w:p w:rsidR="00224567" w:rsidRDefault="00224567">
      <w:pPr>
        <w:widowControl w:val="0"/>
        <w:rPr>
          <w:lang w:val="es-ES_tradnl"/>
        </w:rPr>
      </w:pPr>
      <w:r>
        <w:rPr>
          <w:lang w:val="es-ES_tradnl"/>
        </w:rPr>
        <w:tab/>
        <w:t>Se agregó que esta entrevista estuvo precedida de una campaña periodística en la que Pasquini realizó distintas publicaciones incriminando a Alí como responsable del atentado. En tal sentido, se destacó la nota del citado periodista en el diario Clarín del 23 de ma</w:t>
      </w:r>
      <w:r>
        <w:rPr>
          <w:lang w:val="es-ES_tradnl"/>
        </w:rPr>
        <w:t>r</w:t>
      </w:r>
      <w:r>
        <w:rPr>
          <w:lang w:val="es-ES_tradnl"/>
        </w:rPr>
        <w:t>zo de 1997.</w:t>
      </w:r>
    </w:p>
    <w:p w:rsidR="00224567" w:rsidRDefault="00224567">
      <w:pPr>
        <w:widowControl w:val="0"/>
        <w:rPr>
          <w:lang w:val="es-ES_tradnl"/>
        </w:rPr>
      </w:pPr>
      <w:r>
        <w:rPr>
          <w:lang w:val="es-ES_tradnl"/>
        </w:rPr>
        <w:tab/>
        <w:t>Finalmente, también se conectó este episodio con la ampliación de declaración indagatoria prestada por Juan José Ribelli los días 24 y 25 de marzo de 1997, y, particularmente con la entrega al juez del v</w:t>
      </w:r>
      <w:r>
        <w:rPr>
          <w:lang w:val="es-ES_tradnl"/>
        </w:rPr>
        <w:t>i</w:t>
      </w:r>
      <w:r>
        <w:rPr>
          <w:lang w:val="es-ES_tradnl"/>
        </w:rPr>
        <w:t>deo que con</w:t>
      </w:r>
      <w:r>
        <w:rPr>
          <w:lang w:val="es-ES_tradnl"/>
        </w:rPr>
        <w:t>s</w:t>
      </w:r>
      <w:r>
        <w:rPr>
          <w:lang w:val="es-ES_tradnl"/>
        </w:rPr>
        <w:t>tituye el objeto procesal de la causa 496 del r</w:t>
      </w:r>
      <w:r>
        <w:rPr>
          <w:lang w:val="es-ES_tradnl"/>
        </w:rPr>
        <w:t>e</w:t>
      </w:r>
      <w:r>
        <w:rPr>
          <w:lang w:val="es-ES_tradnl"/>
        </w:rPr>
        <w:t>gistro del Tribunal.</w:t>
      </w:r>
    </w:p>
    <w:p w:rsidR="00224567" w:rsidRDefault="00224567">
      <w:pPr>
        <w:widowControl w:val="0"/>
        <w:rPr>
          <w:lang w:val="es-ES_tradnl"/>
        </w:rPr>
      </w:pPr>
      <w:r>
        <w:rPr>
          <w:lang w:val="es-ES_tradnl"/>
        </w:rPr>
        <w:tab/>
      </w:r>
      <w:r>
        <w:rPr>
          <w:b/>
          <w:bCs/>
          <w:lang w:val="es-ES_tradnl"/>
        </w:rPr>
        <w:t xml:space="preserve">C.2.d.xi.C.2) </w:t>
      </w:r>
      <w:r>
        <w:rPr>
          <w:lang w:val="es-ES_tradnl"/>
        </w:rPr>
        <w:t>En primer lugar, debe destacarse que los acusad</w:t>
      </w:r>
      <w:r>
        <w:rPr>
          <w:lang w:val="es-ES_tradnl"/>
        </w:rPr>
        <w:t>o</w:t>
      </w:r>
      <w:r>
        <w:rPr>
          <w:lang w:val="es-ES_tradnl"/>
        </w:rPr>
        <w:t>res en su desenfrenado propósito de fundamentar la acusación hacia los policías por el atentado, merituaron una prueba de c</w:t>
      </w:r>
      <w:r>
        <w:rPr>
          <w:lang w:val="es-ES_tradnl"/>
        </w:rPr>
        <w:t>a</w:t>
      </w:r>
      <w:r>
        <w:rPr>
          <w:lang w:val="es-ES_tradnl"/>
        </w:rPr>
        <w:t>rácter irregular.</w:t>
      </w:r>
    </w:p>
    <w:p w:rsidR="00224567" w:rsidRDefault="00224567">
      <w:pPr>
        <w:widowControl w:val="0"/>
        <w:rPr>
          <w:lang w:val="es-ES_tradnl"/>
        </w:rPr>
      </w:pPr>
      <w:r>
        <w:rPr>
          <w:lang w:val="es-ES_tradnl"/>
        </w:rPr>
        <w:tab/>
        <w:t>No obstante, se procederá a la valor</w:t>
      </w:r>
      <w:r>
        <w:rPr>
          <w:lang w:val="es-ES_tradnl"/>
        </w:rPr>
        <w:t>a</w:t>
      </w:r>
      <w:r>
        <w:rPr>
          <w:lang w:val="es-ES_tradnl"/>
        </w:rPr>
        <w:t>ción de su contenido para no dejar de analizar las pruebas de cargo que se utilizaron para sostener tan grave acus</w:t>
      </w:r>
      <w:r>
        <w:rPr>
          <w:lang w:val="es-ES_tradnl"/>
        </w:rPr>
        <w:t>a</w:t>
      </w:r>
      <w:r>
        <w:rPr>
          <w:lang w:val="es-ES_tradnl"/>
        </w:rPr>
        <w:t>ción.</w:t>
      </w:r>
    </w:p>
    <w:p w:rsidR="00224567" w:rsidRDefault="00224567">
      <w:pPr>
        <w:widowControl w:val="0"/>
        <w:rPr>
          <w:lang w:val="es-ES_tradnl"/>
        </w:rPr>
      </w:pPr>
      <w:r>
        <w:rPr>
          <w:lang w:val="es-ES_tradnl"/>
        </w:rPr>
        <w:tab/>
        <w:t>En la entrevista en cuestión se obse</w:t>
      </w:r>
      <w:r>
        <w:rPr>
          <w:lang w:val="es-ES_tradnl"/>
        </w:rPr>
        <w:t>r</w:t>
      </w:r>
      <w:r>
        <w:rPr>
          <w:lang w:val="es-ES_tradnl"/>
        </w:rPr>
        <w:t>va al abogado Cúneo Libarona solicitando a Brousson que investigara la participación de Abel Brahim Alí en la r</w:t>
      </w:r>
      <w:r>
        <w:rPr>
          <w:lang w:val="es-ES_tradnl"/>
        </w:rPr>
        <w:t>e</w:t>
      </w:r>
      <w:r>
        <w:rPr>
          <w:lang w:val="es-ES_tradnl"/>
        </w:rPr>
        <w:t>cepción de la camioneta Trafic. Destacó que este giro no implicaba un cambio brusco de la hipótesis seguida por el ju</w:t>
      </w:r>
      <w:r>
        <w:rPr>
          <w:lang w:val="es-ES_tradnl"/>
        </w:rPr>
        <w:t>z</w:t>
      </w:r>
      <w:r>
        <w:rPr>
          <w:lang w:val="es-ES_tradnl"/>
        </w:rPr>
        <w:t>gado instructor y que la persona cuya investigación se propusiera tenía a</w:t>
      </w:r>
      <w:r>
        <w:rPr>
          <w:lang w:val="es-ES_tradnl"/>
        </w:rPr>
        <w:t>s</w:t>
      </w:r>
      <w:r>
        <w:rPr>
          <w:lang w:val="es-ES_tradnl"/>
        </w:rPr>
        <w:t>cendencia árabe, era parecido a Ibarra y tenía un Ford G</w:t>
      </w:r>
      <w:r>
        <w:rPr>
          <w:lang w:val="es-ES_tradnl"/>
        </w:rPr>
        <w:t>a</w:t>
      </w:r>
      <w:r>
        <w:rPr>
          <w:lang w:val="es-ES_tradnl"/>
        </w:rPr>
        <w:t>laxy azul.</w:t>
      </w:r>
    </w:p>
    <w:p w:rsidR="00224567" w:rsidRDefault="00224567">
      <w:pPr>
        <w:widowControl w:val="0"/>
        <w:rPr>
          <w:lang w:val="es-ES_tradnl"/>
        </w:rPr>
      </w:pPr>
      <w:r>
        <w:rPr>
          <w:lang w:val="es-ES_tradnl"/>
        </w:rPr>
        <w:tab/>
        <w:t>Durante el debate, Mariano Cúneo Lib</w:t>
      </w:r>
      <w:r>
        <w:rPr>
          <w:lang w:val="es-ES_tradnl"/>
        </w:rPr>
        <w:t>a</w:t>
      </w:r>
      <w:r>
        <w:rPr>
          <w:lang w:val="es-ES_tradnl"/>
        </w:rPr>
        <w:t>rona negó haber participado en ese encuentro, y esta ci</w:t>
      </w:r>
      <w:r>
        <w:rPr>
          <w:lang w:val="es-ES_tradnl"/>
        </w:rPr>
        <w:t>r</w:t>
      </w:r>
      <w:r>
        <w:rPr>
          <w:lang w:val="es-ES_tradnl"/>
        </w:rPr>
        <w:t>cunstancia, que fue refutada ante la repentina aparición del video en cuestión que lo muestra protagonizando esa reunión, motivó que el Tribunal dispusiera la extracción de te</w:t>
      </w:r>
      <w:r>
        <w:rPr>
          <w:lang w:val="es-ES_tradnl"/>
        </w:rPr>
        <w:t>s</w:t>
      </w:r>
      <w:r>
        <w:rPr>
          <w:lang w:val="es-ES_tradnl"/>
        </w:rPr>
        <w:t>timonios para que se investigara la posible comisión del delito de falso testimonio (cfr. fs. 117.490).</w:t>
      </w:r>
    </w:p>
    <w:p w:rsidR="00224567" w:rsidRDefault="00224567">
      <w:pPr>
        <w:widowControl w:val="0"/>
        <w:rPr>
          <w:lang w:val="es-ES_tradnl"/>
        </w:rPr>
      </w:pPr>
      <w:r>
        <w:rPr>
          <w:lang w:val="es-ES_tradnl"/>
        </w:rPr>
        <w:tab/>
        <w:t>Por su parte, Alejandro Brousson afi</w:t>
      </w:r>
      <w:r>
        <w:rPr>
          <w:lang w:val="es-ES_tradnl"/>
        </w:rPr>
        <w:t>r</w:t>
      </w:r>
      <w:r>
        <w:rPr>
          <w:lang w:val="es-ES_tradnl"/>
        </w:rPr>
        <w:t>mó que, a pedido de Pa</w:t>
      </w:r>
      <w:r>
        <w:rPr>
          <w:lang w:val="es-ES_tradnl"/>
        </w:rPr>
        <w:t>s</w:t>
      </w:r>
      <w:r>
        <w:rPr>
          <w:lang w:val="es-ES_tradnl"/>
        </w:rPr>
        <w:t>quini, intervino en una reunión con Cúneo Libarona a la que asistió el periodista. Justificó ese encuentro en el interés que le generaba el apo</w:t>
      </w:r>
      <w:r>
        <w:rPr>
          <w:lang w:val="es-ES_tradnl"/>
        </w:rPr>
        <w:t>r</w:t>
      </w:r>
      <w:r>
        <w:rPr>
          <w:lang w:val="es-ES_tradnl"/>
        </w:rPr>
        <w:t>te a la investigación que podía efectuar el abogado. Agregó que cuando el magistrado se enteró de la reunión –cuya film</w:t>
      </w:r>
      <w:r>
        <w:rPr>
          <w:lang w:val="es-ES_tradnl"/>
        </w:rPr>
        <w:t>a</w:t>
      </w:r>
      <w:r>
        <w:rPr>
          <w:lang w:val="es-ES_tradnl"/>
        </w:rPr>
        <w:t>ción le entregara– se sintió molesto porque no la había autorizado. No recordó que Alí fuera un tema impo</w:t>
      </w:r>
      <w:r>
        <w:rPr>
          <w:lang w:val="es-ES_tradnl"/>
        </w:rPr>
        <w:t>r</w:t>
      </w:r>
      <w:r>
        <w:rPr>
          <w:lang w:val="es-ES_tradnl"/>
        </w:rPr>
        <w:t>tante de ese encuentro y resaltó que Cúneo Libarona no trató de cambiar a R</w:t>
      </w:r>
      <w:r>
        <w:rPr>
          <w:lang w:val="es-ES_tradnl"/>
        </w:rPr>
        <w:t>i</w:t>
      </w:r>
      <w:r>
        <w:rPr>
          <w:lang w:val="es-ES_tradnl"/>
        </w:rPr>
        <w:t>belli por otro sujeto.</w:t>
      </w:r>
    </w:p>
    <w:p w:rsidR="00224567" w:rsidRDefault="00224567">
      <w:pPr>
        <w:widowControl w:val="0"/>
        <w:rPr>
          <w:lang w:val="es-ES_tradnl"/>
        </w:rPr>
      </w:pPr>
      <w:r>
        <w:rPr>
          <w:lang w:val="es-ES_tradnl"/>
        </w:rPr>
        <w:tab/>
        <w:t>Oportunamente, Gabriel Pasquini, a preguntas de los letrados de la querella unificada ratif</w:t>
      </w:r>
      <w:r>
        <w:rPr>
          <w:lang w:val="es-ES_tradnl"/>
        </w:rPr>
        <w:t>i</w:t>
      </w:r>
      <w:r>
        <w:rPr>
          <w:lang w:val="es-ES_tradnl"/>
        </w:rPr>
        <w:t xml:space="preserve">có que participó en una reunión en una de “las bases” de </w:t>
      </w:r>
      <w:smartTag w:uri="urn:schemas-microsoft-com:office:smarttags" w:element="PersonName">
        <w:smartTagPr>
          <w:attr w:name="ProductID" w:val="la Secretar￭a"/>
        </w:smartTagPr>
        <w:r>
          <w:rPr>
            <w:lang w:val="es-ES_tradnl"/>
          </w:rPr>
          <w:t>la Secretaría</w:t>
        </w:r>
      </w:smartTag>
      <w:r>
        <w:rPr>
          <w:lang w:val="es-ES_tradnl"/>
        </w:rPr>
        <w:t xml:space="preserve"> de Inteligencia de Estado junto a Cúneo L</w:t>
      </w:r>
      <w:r>
        <w:rPr>
          <w:lang w:val="es-ES_tradnl"/>
        </w:rPr>
        <w:t>i</w:t>
      </w:r>
      <w:r>
        <w:rPr>
          <w:lang w:val="es-ES_tradnl"/>
        </w:rPr>
        <w:t>barona y Alejandro Brousson. Destacó que, ante la preoc</w:t>
      </w:r>
      <w:r>
        <w:rPr>
          <w:lang w:val="es-ES_tradnl"/>
        </w:rPr>
        <w:t>u</w:t>
      </w:r>
      <w:r>
        <w:rPr>
          <w:lang w:val="es-ES_tradnl"/>
        </w:rPr>
        <w:t>pación de las partes, ofreció vincularlas. Al ser interr</w:t>
      </w:r>
      <w:r>
        <w:rPr>
          <w:lang w:val="es-ES_tradnl"/>
        </w:rPr>
        <w:t>o</w:t>
      </w:r>
      <w:r>
        <w:rPr>
          <w:lang w:val="es-ES_tradnl"/>
        </w:rPr>
        <w:t>gado, siempre por los letrados de la querella unificada, sobre el contenido de ese encuentro se amparó en el secr</w:t>
      </w:r>
      <w:r>
        <w:rPr>
          <w:lang w:val="es-ES_tradnl"/>
        </w:rPr>
        <w:t>e</w:t>
      </w:r>
      <w:r>
        <w:rPr>
          <w:lang w:val="es-ES_tradnl"/>
        </w:rPr>
        <w:t>to de las fuentes p</w:t>
      </w:r>
      <w:r>
        <w:rPr>
          <w:lang w:val="es-ES_tradnl"/>
        </w:rPr>
        <w:t>e</w:t>
      </w:r>
      <w:r>
        <w:rPr>
          <w:lang w:val="es-ES_tradnl"/>
        </w:rPr>
        <w:t>riodísticas. Sin embargo, destacó que Alí había sido co</w:t>
      </w:r>
      <w:r>
        <w:rPr>
          <w:lang w:val="es-ES_tradnl"/>
        </w:rPr>
        <w:t>n</w:t>
      </w:r>
      <w:r>
        <w:rPr>
          <w:lang w:val="es-ES_tradnl"/>
        </w:rPr>
        <w:t>fundido con otro de los imputados y que era el verdadero culpable. También recordó que escribió una nota que coincidía con la estrategia de defensa de C</w:t>
      </w:r>
      <w:r>
        <w:rPr>
          <w:lang w:val="es-ES_tradnl"/>
        </w:rPr>
        <w:t>ú</w:t>
      </w:r>
      <w:r>
        <w:rPr>
          <w:lang w:val="es-ES_tradnl"/>
        </w:rPr>
        <w:t>neo Libarona, porque si se probaba esta circunstancia se desvinculaba a Ribelli de la imput</w:t>
      </w:r>
      <w:r>
        <w:rPr>
          <w:lang w:val="es-ES_tradnl"/>
        </w:rPr>
        <w:t>a</w:t>
      </w:r>
      <w:r>
        <w:rPr>
          <w:lang w:val="es-ES_tradnl"/>
        </w:rPr>
        <w:t>ción.</w:t>
      </w:r>
    </w:p>
    <w:p w:rsidR="00224567" w:rsidRDefault="00224567">
      <w:pPr>
        <w:widowControl w:val="0"/>
        <w:rPr>
          <w:lang w:val="es-ES_tradnl"/>
        </w:rPr>
      </w:pPr>
      <w:r>
        <w:rPr>
          <w:lang w:val="es-ES_tradnl"/>
        </w:rPr>
        <w:tab/>
        <w:t>Si bien no deja de llamar la atención el contenido del e</w:t>
      </w:r>
      <w:r>
        <w:rPr>
          <w:lang w:val="es-ES_tradnl"/>
        </w:rPr>
        <w:t>n</w:t>
      </w:r>
      <w:r>
        <w:rPr>
          <w:lang w:val="es-ES_tradnl"/>
        </w:rPr>
        <w:t>cuentro, en particular por el cargo que desempeñaran los interlocutores y por su fecha, no puede deduci</w:t>
      </w:r>
      <w:r>
        <w:rPr>
          <w:lang w:val="es-ES_tradnl"/>
        </w:rPr>
        <w:t>r</w:t>
      </w:r>
      <w:r>
        <w:rPr>
          <w:lang w:val="es-ES_tradnl"/>
        </w:rPr>
        <w:t>se que éste obedeciera a la intención de torcer el curso de la pesqu</w:t>
      </w:r>
      <w:r>
        <w:rPr>
          <w:lang w:val="es-ES_tradnl"/>
        </w:rPr>
        <w:t>i</w:t>
      </w:r>
      <w:r>
        <w:rPr>
          <w:lang w:val="es-ES_tradnl"/>
        </w:rPr>
        <w:t>sa.</w:t>
      </w:r>
    </w:p>
    <w:p w:rsidR="00224567" w:rsidRDefault="00224567">
      <w:pPr>
        <w:widowControl w:val="0"/>
        <w:rPr>
          <w:lang w:val="es-ES_tradnl"/>
        </w:rPr>
      </w:pPr>
      <w:r>
        <w:rPr>
          <w:lang w:val="es-ES_tradnl"/>
        </w:rPr>
        <w:tab/>
        <w:t>Ya se adelantó en párrafos anteriores, que más allá de lo equívoco del término, no podía consid</w:t>
      </w:r>
      <w:r>
        <w:rPr>
          <w:lang w:val="es-ES_tradnl"/>
        </w:rPr>
        <w:t>e</w:t>
      </w:r>
      <w:r>
        <w:rPr>
          <w:lang w:val="es-ES_tradnl"/>
        </w:rPr>
        <w:t>rarse como un “de</w:t>
      </w:r>
      <w:r>
        <w:rPr>
          <w:lang w:val="es-ES_tradnl"/>
        </w:rPr>
        <w:t>s</w:t>
      </w:r>
      <w:r>
        <w:rPr>
          <w:lang w:val="es-ES_tradnl"/>
        </w:rPr>
        <w:t>vío de la investigación” la solicitud de un abogado defe</w:t>
      </w:r>
      <w:r>
        <w:rPr>
          <w:lang w:val="es-ES_tradnl"/>
        </w:rPr>
        <w:t>n</w:t>
      </w:r>
      <w:r>
        <w:rPr>
          <w:lang w:val="es-ES_tradnl"/>
        </w:rPr>
        <w:t>sor para que se verifiquen otras líneas de investig</w:t>
      </w:r>
      <w:r>
        <w:rPr>
          <w:lang w:val="es-ES_tradnl"/>
        </w:rPr>
        <w:t>a</w:t>
      </w:r>
      <w:r>
        <w:rPr>
          <w:lang w:val="es-ES_tradnl"/>
        </w:rPr>
        <w:t>ción.</w:t>
      </w:r>
    </w:p>
    <w:p w:rsidR="00224567" w:rsidRDefault="00224567">
      <w:pPr>
        <w:widowControl w:val="0"/>
        <w:rPr>
          <w:lang w:val="es-ES_tradnl"/>
        </w:rPr>
      </w:pPr>
      <w:r>
        <w:rPr>
          <w:lang w:val="es-ES_tradnl"/>
        </w:rPr>
        <w:tab/>
        <w:t>La ampliación indebida del concepto “desvío de la investigación” resulta sumamente peligrosa porque puede conducir a atribuirle tal carácter a cua</w:t>
      </w:r>
      <w:r>
        <w:rPr>
          <w:lang w:val="es-ES_tradnl"/>
        </w:rPr>
        <w:t>l</w:t>
      </w:r>
      <w:r>
        <w:rPr>
          <w:lang w:val="es-ES_tradnl"/>
        </w:rPr>
        <w:t>quier planteo de descargo de un imputado, y, de esta fo</w:t>
      </w:r>
      <w:r>
        <w:rPr>
          <w:lang w:val="es-ES_tradnl"/>
        </w:rPr>
        <w:t>r</w:t>
      </w:r>
      <w:r>
        <w:rPr>
          <w:lang w:val="es-ES_tradnl"/>
        </w:rPr>
        <w:t>ma, coartar seriamente el alcance de la garantía constit</w:t>
      </w:r>
      <w:r>
        <w:rPr>
          <w:lang w:val="es-ES_tradnl"/>
        </w:rPr>
        <w:t>u</w:t>
      </w:r>
      <w:r>
        <w:rPr>
          <w:lang w:val="es-ES_tradnl"/>
        </w:rPr>
        <w:t>cional de defensa en ju</w:t>
      </w:r>
      <w:r>
        <w:rPr>
          <w:lang w:val="es-ES_tradnl"/>
        </w:rPr>
        <w:t>i</w:t>
      </w:r>
      <w:r>
        <w:rPr>
          <w:lang w:val="es-ES_tradnl"/>
        </w:rPr>
        <w:t>cio.</w:t>
      </w:r>
    </w:p>
    <w:p w:rsidR="00224567" w:rsidRDefault="00224567">
      <w:pPr>
        <w:widowControl w:val="0"/>
        <w:rPr>
          <w:lang w:val="es-ES_tradnl"/>
        </w:rPr>
      </w:pPr>
      <w:r>
        <w:rPr>
          <w:lang w:val="es-ES_tradnl"/>
        </w:rPr>
        <w:tab/>
        <w:t>Máxime, en este caso, donde se recl</w:t>
      </w:r>
      <w:r>
        <w:rPr>
          <w:lang w:val="es-ES_tradnl"/>
        </w:rPr>
        <w:t>a</w:t>
      </w:r>
      <w:r>
        <w:rPr>
          <w:lang w:val="es-ES_tradnl"/>
        </w:rPr>
        <w:t xml:space="preserve">maba que fuera retomada una investigación que el propio juzgado había iniciado. Ello surge del contenido de los legajos </w:t>
      </w:r>
      <w:smartTag w:uri="urn:schemas-microsoft-com:office:smarttags" w:element="metricconverter">
        <w:smartTagPr>
          <w:attr w:name="ProductID" w:val="8 A"/>
        </w:smartTagPr>
        <w:r>
          <w:rPr>
            <w:lang w:val="es-ES_tradnl"/>
          </w:rPr>
          <w:t>8 A</w:t>
        </w:r>
      </w:smartTag>
      <w:r>
        <w:rPr>
          <w:lang w:val="es-ES_tradnl"/>
        </w:rPr>
        <w:t xml:space="preserve"> y 133, particularmente del oficio de </w:t>
      </w:r>
      <w:smartTag w:uri="urn:schemas-microsoft-com:office:smarttags" w:element="PersonName">
        <w:smartTagPr>
          <w:attr w:name="ProductID" w:val="la Secretar￭a"/>
        </w:smartTagPr>
        <w:r>
          <w:rPr>
            <w:lang w:val="es-ES_tradnl"/>
          </w:rPr>
          <w:t>la Secr</w:t>
        </w:r>
        <w:r>
          <w:rPr>
            <w:lang w:val="es-ES_tradnl"/>
          </w:rPr>
          <w:t>e</w:t>
        </w:r>
        <w:r>
          <w:rPr>
            <w:lang w:val="es-ES_tradnl"/>
          </w:rPr>
          <w:t>taría</w:t>
        </w:r>
      </w:smartTag>
      <w:r>
        <w:rPr>
          <w:lang w:val="es-ES_tradnl"/>
        </w:rPr>
        <w:t xml:space="preserve"> de Inteligencia de Estado glosado a fs. 19 del pr</w:t>
      </w:r>
      <w:r>
        <w:rPr>
          <w:lang w:val="es-ES_tradnl"/>
        </w:rPr>
        <w:t>i</w:t>
      </w:r>
      <w:r>
        <w:rPr>
          <w:lang w:val="es-ES_tradnl"/>
        </w:rPr>
        <w:t>mero de ellos. En esta actuación se solicita la interve</w:t>
      </w:r>
      <w:r>
        <w:rPr>
          <w:lang w:val="es-ES_tradnl"/>
        </w:rPr>
        <w:t>n</w:t>
      </w:r>
      <w:r>
        <w:rPr>
          <w:lang w:val="es-ES_tradnl"/>
        </w:rPr>
        <w:t>ción judicial de un abonado telefónico que se dice rel</w:t>
      </w:r>
      <w:r>
        <w:rPr>
          <w:lang w:val="es-ES_tradnl"/>
        </w:rPr>
        <w:t>a</w:t>
      </w:r>
      <w:r>
        <w:rPr>
          <w:lang w:val="es-ES_tradnl"/>
        </w:rPr>
        <w:t>cionado con investigaciones que se realizan sobre el me</w:t>
      </w:r>
      <w:r>
        <w:rPr>
          <w:lang w:val="es-ES_tradnl"/>
        </w:rPr>
        <w:t>n</w:t>
      </w:r>
      <w:r>
        <w:rPr>
          <w:lang w:val="es-ES_tradnl"/>
        </w:rPr>
        <w:t>tado Alí. De allí se desprende que Alí era objeto de pe</w:t>
      </w:r>
      <w:r>
        <w:rPr>
          <w:lang w:val="es-ES_tradnl"/>
        </w:rPr>
        <w:t>s</w:t>
      </w:r>
      <w:r>
        <w:rPr>
          <w:lang w:val="es-ES_tradnl"/>
        </w:rPr>
        <w:t>quisa con anterioridad a esa fecha y, por ende, de tiempo antes a que Juan José Ribelli fuera detenido. Esta ci</w:t>
      </w:r>
      <w:r>
        <w:rPr>
          <w:lang w:val="es-ES_tradnl"/>
        </w:rPr>
        <w:t>r</w:t>
      </w:r>
      <w:r>
        <w:rPr>
          <w:lang w:val="es-ES_tradnl"/>
        </w:rPr>
        <w:t xml:space="preserve">cunstancia fue ratificada por el agente de </w:t>
      </w:r>
      <w:smartTag w:uri="urn:schemas-microsoft-com:office:smarttags" w:element="PersonName">
        <w:smartTagPr>
          <w:attr w:name="ProductID" w:val="la S.I"/>
        </w:smartTagPr>
        <w:r>
          <w:rPr>
            <w:lang w:val="es-ES_tradnl"/>
          </w:rPr>
          <w:t>la S.I</w:t>
        </w:r>
      </w:smartTag>
      <w:r>
        <w:rPr>
          <w:lang w:val="es-ES_tradnl"/>
        </w:rPr>
        <w:t>.D.E. P</w:t>
      </w:r>
      <w:r>
        <w:rPr>
          <w:lang w:val="es-ES_tradnl"/>
        </w:rPr>
        <w:t>a</w:t>
      </w:r>
      <w:r>
        <w:rPr>
          <w:lang w:val="es-ES_tradnl"/>
        </w:rPr>
        <w:t>tr</w:t>
      </w:r>
      <w:r>
        <w:rPr>
          <w:lang w:val="es-ES_tradnl"/>
        </w:rPr>
        <w:t>i</w:t>
      </w:r>
      <w:r>
        <w:rPr>
          <w:lang w:val="es-ES_tradnl"/>
        </w:rPr>
        <w:t>cio Finnen.</w:t>
      </w:r>
    </w:p>
    <w:p w:rsidR="00224567" w:rsidRDefault="00224567">
      <w:pPr>
        <w:widowControl w:val="0"/>
        <w:rPr>
          <w:lang w:val="es-ES_tradnl"/>
        </w:rPr>
      </w:pPr>
      <w:r>
        <w:rPr>
          <w:lang w:val="es-ES_tradnl"/>
        </w:rPr>
        <w:tab/>
        <w:t>Mas, aunque se lo calificara como un desvío de la invest</w:t>
      </w:r>
      <w:r>
        <w:rPr>
          <w:lang w:val="es-ES_tradnl"/>
        </w:rPr>
        <w:t>i</w:t>
      </w:r>
      <w:r>
        <w:rPr>
          <w:lang w:val="es-ES_tradnl"/>
        </w:rPr>
        <w:t>gación no se probó la participación de Ribelli en esa m</w:t>
      </w:r>
      <w:r>
        <w:rPr>
          <w:lang w:val="es-ES_tradnl"/>
        </w:rPr>
        <w:t>a</w:t>
      </w:r>
      <w:r>
        <w:rPr>
          <w:lang w:val="es-ES_tradnl"/>
        </w:rPr>
        <w:t xml:space="preserve">niobra. </w:t>
      </w:r>
    </w:p>
    <w:p w:rsidR="00224567" w:rsidRDefault="00224567">
      <w:pPr>
        <w:widowControl w:val="0"/>
        <w:rPr>
          <w:lang w:val="es-ES_tradnl"/>
        </w:rPr>
      </w:pPr>
      <w:r>
        <w:rPr>
          <w:lang w:val="es-ES_tradnl"/>
        </w:rPr>
        <w:tab/>
        <w:t>Además, debe destacarse que tanto Pa</w:t>
      </w:r>
      <w:r>
        <w:rPr>
          <w:lang w:val="es-ES_tradnl"/>
        </w:rPr>
        <w:t>s</w:t>
      </w:r>
      <w:r>
        <w:rPr>
          <w:lang w:val="es-ES_tradnl"/>
        </w:rPr>
        <w:t>quini como Brousson, avalaron la ve</w:t>
      </w:r>
      <w:r>
        <w:rPr>
          <w:lang w:val="es-ES_tradnl"/>
        </w:rPr>
        <w:t>r</w:t>
      </w:r>
      <w:r>
        <w:rPr>
          <w:lang w:val="es-ES_tradnl"/>
        </w:rPr>
        <w:t>sión de la defensa de Ribelli, en cuanto señalaba que esa entrevista no tuvo c</w:t>
      </w:r>
      <w:r>
        <w:rPr>
          <w:lang w:val="es-ES_tradnl"/>
        </w:rPr>
        <w:t>o</w:t>
      </w:r>
      <w:r>
        <w:rPr>
          <w:lang w:val="es-ES_tradnl"/>
        </w:rPr>
        <w:t>mo objeto ca</w:t>
      </w:r>
      <w:r>
        <w:rPr>
          <w:lang w:val="es-ES_tradnl"/>
        </w:rPr>
        <w:t>m</w:t>
      </w:r>
      <w:r>
        <w:rPr>
          <w:lang w:val="es-ES_tradnl"/>
        </w:rPr>
        <w:t>biar a uno de los imputados por otra persona.</w:t>
      </w:r>
    </w:p>
    <w:p w:rsidR="00224567" w:rsidRDefault="00224567">
      <w:pPr>
        <w:widowControl w:val="0"/>
        <w:rPr>
          <w:lang w:val="es-ES_tradnl"/>
        </w:rPr>
      </w:pPr>
      <w:r>
        <w:rPr>
          <w:lang w:val="es-ES_tradnl"/>
        </w:rPr>
        <w:tab/>
        <w:t>Por otra parte, colegir del testimonio de Cúneo Libarona la participación de los ex policías b</w:t>
      </w:r>
      <w:r>
        <w:rPr>
          <w:lang w:val="es-ES_tradnl"/>
        </w:rPr>
        <w:t>o</w:t>
      </w:r>
      <w:r>
        <w:rPr>
          <w:lang w:val="es-ES_tradnl"/>
        </w:rPr>
        <w:t>naerenses en el atentado resulta errónea. Ello, toda vez que el letrado –en contra de lo sostenido por los acusad</w:t>
      </w:r>
      <w:r>
        <w:rPr>
          <w:lang w:val="es-ES_tradnl"/>
        </w:rPr>
        <w:t>o</w:t>
      </w:r>
      <w:r>
        <w:rPr>
          <w:lang w:val="es-ES_tradnl"/>
        </w:rPr>
        <w:t>res– no demostró a esa fecha un cabal conocimiento de la causa. A esta co</w:t>
      </w:r>
      <w:r>
        <w:rPr>
          <w:lang w:val="es-ES_tradnl"/>
        </w:rPr>
        <w:t>n</w:t>
      </w:r>
      <w:r>
        <w:rPr>
          <w:lang w:val="es-ES_tradnl"/>
        </w:rPr>
        <w:t>clusión se arriba por lo declarado por el propio abogado durante el debate quien recordó que mie</w:t>
      </w:r>
      <w:r>
        <w:rPr>
          <w:lang w:val="es-ES_tradnl"/>
        </w:rPr>
        <w:t>n</w:t>
      </w:r>
      <w:r>
        <w:rPr>
          <w:lang w:val="es-ES_tradnl"/>
        </w:rPr>
        <w:t>tras estudiaba la propuesta de nombramiento c</w:t>
      </w:r>
      <w:r>
        <w:rPr>
          <w:lang w:val="es-ES_tradnl"/>
        </w:rPr>
        <w:t>o</w:t>
      </w:r>
      <w:r>
        <w:rPr>
          <w:lang w:val="es-ES_tradnl"/>
        </w:rPr>
        <w:t>mo defensor de Ribelli, se llevó para analizar durante un viaje que finalizó en febrero de 1997 fotocopias de las piezas pr</w:t>
      </w:r>
      <w:r>
        <w:rPr>
          <w:lang w:val="es-ES_tradnl"/>
        </w:rPr>
        <w:t>o</w:t>
      </w:r>
      <w:r>
        <w:rPr>
          <w:lang w:val="es-ES_tradnl"/>
        </w:rPr>
        <w:t>cesales que los familiares del imputado le aportaran, r</w:t>
      </w:r>
      <w:r>
        <w:rPr>
          <w:lang w:val="es-ES_tradnl"/>
        </w:rPr>
        <w:t>e</w:t>
      </w:r>
      <w:r>
        <w:rPr>
          <w:lang w:val="es-ES_tradnl"/>
        </w:rPr>
        <w:t>cordando particularmente la declaración indagatoria de R</w:t>
      </w:r>
      <w:r>
        <w:rPr>
          <w:lang w:val="es-ES_tradnl"/>
        </w:rPr>
        <w:t>i</w:t>
      </w:r>
      <w:r>
        <w:rPr>
          <w:lang w:val="es-ES_tradnl"/>
        </w:rPr>
        <w:t>belli y el auto de proces</w:t>
      </w:r>
      <w:r>
        <w:rPr>
          <w:lang w:val="es-ES_tradnl"/>
        </w:rPr>
        <w:t>a</w:t>
      </w:r>
      <w:r>
        <w:rPr>
          <w:lang w:val="es-ES_tradnl"/>
        </w:rPr>
        <w:t>miento.</w:t>
      </w:r>
    </w:p>
    <w:p w:rsidR="00224567" w:rsidRDefault="00224567">
      <w:pPr>
        <w:widowControl w:val="0"/>
        <w:rPr>
          <w:lang w:val="es-ES_tradnl"/>
        </w:rPr>
      </w:pPr>
      <w:r>
        <w:rPr>
          <w:lang w:val="es-ES_tradnl"/>
        </w:rPr>
        <w:tab/>
      </w:r>
      <w:r>
        <w:rPr>
          <w:b/>
          <w:bCs/>
          <w:lang w:val="es-ES_tradnl"/>
        </w:rPr>
        <w:t xml:space="preserve">C.2.d.xi.C.3) </w:t>
      </w:r>
      <w:r>
        <w:rPr>
          <w:lang w:val="es-ES_tradnl"/>
        </w:rPr>
        <w:t>Tampoco resulta acept</w:t>
      </w:r>
      <w:r>
        <w:rPr>
          <w:lang w:val="es-ES_tradnl"/>
        </w:rPr>
        <w:t>a</w:t>
      </w:r>
      <w:r>
        <w:rPr>
          <w:lang w:val="es-ES_tradnl"/>
        </w:rPr>
        <w:t>ble la pretensión de los acusadores de sostener la imp</w:t>
      </w:r>
      <w:r>
        <w:rPr>
          <w:lang w:val="es-ES_tradnl"/>
        </w:rPr>
        <w:t>u</w:t>
      </w:r>
      <w:r>
        <w:rPr>
          <w:lang w:val="es-ES_tradnl"/>
        </w:rPr>
        <w:t>tación a los policías por el atentado a partir del denom</w:t>
      </w:r>
      <w:r>
        <w:rPr>
          <w:lang w:val="es-ES_tradnl"/>
        </w:rPr>
        <w:t>i</w:t>
      </w:r>
      <w:r>
        <w:rPr>
          <w:lang w:val="es-ES_tradnl"/>
        </w:rPr>
        <w:t>nado “desvío Alí” que se dice introducido por dos policías allegados a Juan José Ribelli, Julio César Gatto y Marcelo Daniel V</w:t>
      </w:r>
      <w:r>
        <w:rPr>
          <w:lang w:val="es-ES_tradnl"/>
        </w:rPr>
        <w:t>a</w:t>
      </w:r>
      <w:r>
        <w:rPr>
          <w:lang w:val="es-ES_tradnl"/>
        </w:rPr>
        <w:t>lenga.</w:t>
      </w:r>
    </w:p>
    <w:p w:rsidR="00224567" w:rsidRDefault="00224567">
      <w:pPr>
        <w:widowControl w:val="0"/>
        <w:rPr>
          <w:lang w:val="es-ES_tradnl"/>
        </w:rPr>
      </w:pPr>
      <w:r>
        <w:rPr>
          <w:lang w:val="es-ES_tradnl"/>
        </w:rPr>
        <w:tab/>
        <w:t>Se ha citado que estos dos ex funci</w:t>
      </w:r>
      <w:r>
        <w:rPr>
          <w:lang w:val="es-ES_tradnl"/>
        </w:rPr>
        <w:t>o</w:t>
      </w:r>
      <w:r>
        <w:rPr>
          <w:lang w:val="es-ES_tradnl"/>
        </w:rPr>
        <w:t>narios como quienes introdujeron en la investigación el nombre de Alí, esta vez vinculado a que una camioneta Tr</w:t>
      </w:r>
      <w:r>
        <w:rPr>
          <w:lang w:val="es-ES_tradnl"/>
        </w:rPr>
        <w:t>a</w:t>
      </w:r>
      <w:r>
        <w:rPr>
          <w:lang w:val="es-ES_tradnl"/>
        </w:rPr>
        <w:t>fic que Telleldín habría entregado a los policías habría pasado por las m</w:t>
      </w:r>
      <w:r>
        <w:rPr>
          <w:lang w:val="es-ES_tradnl"/>
        </w:rPr>
        <w:t>a</w:t>
      </w:r>
      <w:r>
        <w:rPr>
          <w:lang w:val="es-ES_tradnl"/>
        </w:rPr>
        <w:t>nos del segundo jefe de la brigada de San Martín, el comisario Pablo Santiago López –apodado el j</w:t>
      </w:r>
      <w:r>
        <w:rPr>
          <w:lang w:val="es-ES_tradnl"/>
        </w:rPr>
        <w:t>a</w:t>
      </w:r>
      <w:r>
        <w:rPr>
          <w:lang w:val="es-ES_tradnl"/>
        </w:rPr>
        <w:t>ponés– y el méd</w:t>
      </w:r>
      <w:r>
        <w:rPr>
          <w:lang w:val="es-ES_tradnl"/>
        </w:rPr>
        <w:t>i</w:t>
      </w:r>
      <w:r>
        <w:rPr>
          <w:lang w:val="es-ES_tradnl"/>
        </w:rPr>
        <w:t>co policial Ricardo Mariano Gómez.</w:t>
      </w:r>
    </w:p>
    <w:p w:rsidR="00224567" w:rsidRDefault="00224567">
      <w:pPr>
        <w:widowControl w:val="0"/>
        <w:rPr>
          <w:lang w:val="es-ES_tradnl"/>
        </w:rPr>
      </w:pPr>
      <w:r>
        <w:rPr>
          <w:lang w:val="es-ES_tradnl"/>
        </w:rPr>
        <w:tab/>
        <w:t>Sin embargo, debe recordarse que para octubre de 1996 cuando se iniciara el legajo 133 encabez</w:t>
      </w:r>
      <w:r>
        <w:rPr>
          <w:lang w:val="es-ES_tradnl"/>
        </w:rPr>
        <w:t>a</w:t>
      </w:r>
      <w:r>
        <w:rPr>
          <w:lang w:val="es-ES_tradnl"/>
        </w:rPr>
        <w:t>do por una presentación del comisario mayor Hugo Alberto Vaccarezza –quien citara como fuente de sus dichos el te</w:t>
      </w:r>
      <w:r>
        <w:rPr>
          <w:lang w:val="es-ES_tradnl"/>
        </w:rPr>
        <w:t>s</w:t>
      </w:r>
      <w:r>
        <w:rPr>
          <w:lang w:val="es-ES_tradnl"/>
        </w:rPr>
        <w:t>tim</w:t>
      </w:r>
      <w:r>
        <w:rPr>
          <w:lang w:val="es-ES_tradnl"/>
        </w:rPr>
        <w:t>o</w:t>
      </w:r>
      <w:r>
        <w:rPr>
          <w:lang w:val="es-ES_tradnl"/>
        </w:rPr>
        <w:t>nio de Gatto y Valenga– Abel Brahim Alí ya era objeto de invest</w:t>
      </w:r>
      <w:r>
        <w:rPr>
          <w:lang w:val="es-ES_tradnl"/>
        </w:rPr>
        <w:t>i</w:t>
      </w:r>
      <w:r>
        <w:rPr>
          <w:lang w:val="es-ES_tradnl"/>
        </w:rPr>
        <w:t>gación.</w:t>
      </w:r>
    </w:p>
    <w:p w:rsidR="00224567" w:rsidRDefault="00224567">
      <w:pPr>
        <w:widowControl w:val="0"/>
        <w:rPr>
          <w:lang w:val="es-ES_tradnl"/>
        </w:rPr>
      </w:pPr>
      <w:r>
        <w:rPr>
          <w:lang w:val="es-ES_tradnl"/>
        </w:rPr>
        <w:tab/>
        <w:t>En efecto, como ya se sostuviera en el acápite anterior, ello ocurrió al menos con anterioridad al 10 de julio de 1996, conforme al oficio de fs. 72.615 y a la d</w:t>
      </w:r>
      <w:r>
        <w:rPr>
          <w:lang w:val="es-ES_tradnl"/>
        </w:rPr>
        <w:t>e</w:t>
      </w:r>
      <w:r>
        <w:rPr>
          <w:lang w:val="es-ES_tradnl"/>
        </w:rPr>
        <w:t>claración de Patricio Finnen.</w:t>
      </w:r>
    </w:p>
    <w:p w:rsidR="00224567" w:rsidRDefault="00224567">
      <w:pPr>
        <w:widowControl w:val="0"/>
        <w:rPr>
          <w:lang w:val="es-ES_tradnl"/>
        </w:rPr>
      </w:pPr>
      <w:r>
        <w:rPr>
          <w:lang w:val="es-ES_tradnl"/>
        </w:rPr>
        <w:tab/>
        <w:t>Por lo expuesto, si Alí ya era objeto de investigación con anterioridad a la información que le hubi</w:t>
      </w:r>
      <w:r>
        <w:rPr>
          <w:lang w:val="es-ES_tradnl"/>
        </w:rPr>
        <w:t>e</w:t>
      </w:r>
      <w:r>
        <w:rPr>
          <w:lang w:val="es-ES_tradnl"/>
        </w:rPr>
        <w:t>ran aportado Gatto y Valenga a Vaccarezza, mal puede sostenerse que aquellos impulsaran una maniobra de di</w:t>
      </w:r>
      <w:r>
        <w:rPr>
          <w:lang w:val="es-ES_tradnl"/>
        </w:rPr>
        <w:t>s</w:t>
      </w:r>
      <w:r>
        <w:rPr>
          <w:lang w:val="es-ES_tradnl"/>
        </w:rPr>
        <w:t>tracción para beneficiar al i</w:t>
      </w:r>
      <w:r>
        <w:rPr>
          <w:lang w:val="es-ES_tradnl"/>
        </w:rPr>
        <w:t>m</w:t>
      </w:r>
      <w:r>
        <w:rPr>
          <w:lang w:val="es-ES_tradnl"/>
        </w:rPr>
        <w:t>putado Juan José Ribelli.</w:t>
      </w:r>
    </w:p>
    <w:p w:rsidR="00224567" w:rsidRDefault="00224567">
      <w:pPr>
        <w:pStyle w:val="Ttulo4"/>
        <w:keepNext w:val="0"/>
        <w:widowControl w:val="0"/>
        <w:spacing w:line="600" w:lineRule="auto"/>
      </w:pPr>
      <w:bookmarkStart w:id="273" w:name="_Toc79904998"/>
      <w:bookmarkStart w:id="274" w:name="_Toc79905074"/>
      <w:bookmarkStart w:id="275" w:name="_Toc86732012"/>
      <w:r>
        <w:tab/>
        <w:t>C.3) Conclusión</w:t>
      </w:r>
      <w:bookmarkEnd w:id="273"/>
      <w:bookmarkEnd w:id="274"/>
      <w:bookmarkEnd w:id="275"/>
      <w:r>
        <w:t>.</w:t>
      </w:r>
    </w:p>
    <w:p w:rsidR="00224567" w:rsidRDefault="00224567">
      <w:pPr>
        <w:widowControl w:val="0"/>
      </w:pPr>
      <w:r>
        <w:tab/>
        <w:t xml:space="preserve">No se acreditó que Juan José Ribelli, Raúl Edilio Ibarra, Anastasio Ireneo Leal y Mario Norberto Bareiro participaran, en forma alguna, en el atentado con-tra la sede de </w:t>
      </w:r>
      <w:smartTag w:uri="urn:schemas-microsoft-com:office:smarttags" w:element="PersonName">
        <w:smartTagPr>
          <w:attr w:name="ProductID" w:val="la A.M"/>
        </w:smartTagPr>
        <w:r>
          <w:t>la A.M</w:t>
        </w:r>
      </w:smartTag>
      <w:r>
        <w:t>.I.A.</w:t>
      </w:r>
    </w:p>
    <w:p w:rsidR="00224567" w:rsidRDefault="00224567">
      <w:pPr>
        <w:widowControl w:val="0"/>
      </w:pPr>
      <w:r>
        <w:tab/>
        <w:t>No se demostró el vínculo entre Mohsen Rabbani y Juan José Ribelli, con el que se pretendió i</w:t>
      </w:r>
      <w:r>
        <w:t>n</w:t>
      </w:r>
      <w:r>
        <w:t>fructuosamente relacionar la “supuesta conexión local” con, quienes se calificara como organizadores del atent</w:t>
      </w:r>
      <w:r>
        <w:t>a</w:t>
      </w:r>
      <w:r>
        <w:t>do.</w:t>
      </w:r>
    </w:p>
    <w:p w:rsidR="00224567" w:rsidRDefault="00224567">
      <w:pPr>
        <w:widowControl w:val="0"/>
      </w:pPr>
      <w:r>
        <w:tab/>
        <w:t>En particular, no se ha demostrado que el 10 de julio de 1994, como lo sostuvieran los acusad</w:t>
      </w:r>
      <w:r>
        <w:t>o</w:t>
      </w:r>
      <w:r>
        <w:t>res, ni en ninguna otra fecha, Carlos Alberto Telleldín entregara a los ex policías bonaerenses imputados alguna camioneta Renault Tr</w:t>
      </w:r>
      <w:r>
        <w:t>a</w:t>
      </w:r>
      <w:r>
        <w:t>fic.</w:t>
      </w:r>
    </w:p>
    <w:p w:rsidR="00224567" w:rsidRDefault="00224567">
      <w:pPr>
        <w:widowControl w:val="0"/>
      </w:pPr>
      <w:r>
        <w:tab/>
        <w:t>Los representantes del Ministerio P</w:t>
      </w:r>
      <w:r>
        <w:t>ú</w:t>
      </w:r>
      <w:r>
        <w:t>blico Fiscal y los letrados representantes de la quer</w:t>
      </w:r>
      <w:r>
        <w:t>e</w:t>
      </w:r>
      <w:r>
        <w:t>lla unificada A.M.I.A.-D.A.I.A.-Grupo de Familiares, coligi</w:t>
      </w:r>
      <w:r>
        <w:t>e</w:t>
      </w:r>
      <w:r>
        <w:t>ron la existencia de la entrega del vehículo basándose fundamentalmente en los dichos de Carlos Alberto Telle</w:t>
      </w:r>
      <w:r>
        <w:t>l</w:t>
      </w:r>
      <w:r>
        <w:t>dín.</w:t>
      </w:r>
    </w:p>
    <w:p w:rsidR="00224567" w:rsidRDefault="00224567">
      <w:pPr>
        <w:widowControl w:val="0"/>
      </w:pPr>
      <w:r>
        <w:tab/>
        <w:t>Las distintas versiones aportadas por éste, seguidas s</w:t>
      </w:r>
      <w:r>
        <w:t>i</w:t>
      </w:r>
      <w:r>
        <w:t xml:space="preserve">multáneamente por su entorno más íntimo, se vieron plagadas de inconsecuencias, contradicciones, que le restaron toda credibilidad a sus dichos. </w:t>
      </w:r>
    </w:p>
    <w:p w:rsidR="00224567" w:rsidRDefault="00224567">
      <w:pPr>
        <w:widowControl w:val="0"/>
      </w:pPr>
      <w:r>
        <w:tab/>
        <w:t>Esas características no se agotan en el análisis particular de cada declaración sino que el e</w:t>
      </w:r>
      <w:r>
        <w:t>s</w:t>
      </w:r>
      <w:r>
        <w:t>tudio de las suces</w:t>
      </w:r>
      <w:r>
        <w:t>i</w:t>
      </w:r>
      <w:r>
        <w:t>vas variantes en su relato demostró que lejos de s</w:t>
      </w:r>
      <w:r>
        <w:t>u</w:t>
      </w:r>
      <w:r>
        <w:t>perar los defectos de sus versiones anteriores, gen</w:t>
      </w:r>
      <w:r>
        <w:t>e</w:t>
      </w:r>
      <w:r>
        <w:t>raron nuevas incompatibilidades que tornaron aún menos creíble su co</w:t>
      </w:r>
      <w:r>
        <w:t>n</w:t>
      </w:r>
      <w:r>
        <w:t>tenido.</w:t>
      </w:r>
    </w:p>
    <w:p w:rsidR="00224567" w:rsidRDefault="00224567">
      <w:pPr>
        <w:widowControl w:val="0"/>
      </w:pPr>
      <w:r>
        <w:tab/>
        <w:t>No puede soslayarse que la declaración indagatoria prest</w:t>
      </w:r>
      <w:r>
        <w:t>a</w:t>
      </w:r>
      <w:r>
        <w:t>da por Telleldín el 5 de julio de 1996, en la que en la que introduce formalmente la imputación a los ex policías bonaerenses por el atentado, fue el resu</w:t>
      </w:r>
      <w:r>
        <w:t>l</w:t>
      </w:r>
      <w:r>
        <w:t>tado del simultáneo pago efectuado por representa</w:t>
      </w:r>
      <w:r>
        <w:t>n</w:t>
      </w:r>
      <w:r>
        <w:t>tes del Estado con la innegable intervención del magistrado in</w:t>
      </w:r>
      <w:r>
        <w:t>s</w:t>
      </w:r>
      <w:r>
        <w:t>tructor, doctor Juan José Galeano.</w:t>
      </w:r>
    </w:p>
    <w:p w:rsidR="00224567" w:rsidRDefault="00224567">
      <w:pPr>
        <w:widowControl w:val="0"/>
      </w:pPr>
      <w:r>
        <w:tab/>
        <w:t>Este oscuro proceder no hubiera sido posible sin la injustificable anuencia de los representa</w:t>
      </w:r>
      <w:r>
        <w:t>n</w:t>
      </w:r>
      <w:r>
        <w:t>tes del Ministerio Público Fiscal que actuaran durante la instrucción y cuya principal función consistía en el co</w:t>
      </w:r>
      <w:r>
        <w:t>n</w:t>
      </w:r>
      <w:r>
        <w:t>tralor de los actos del proceso, doctores Eamon Mullen y José Ba</w:t>
      </w:r>
      <w:r>
        <w:t>r</w:t>
      </w:r>
      <w:r>
        <w:t>baccia.</w:t>
      </w:r>
    </w:p>
    <w:p w:rsidR="00224567" w:rsidRDefault="00224567">
      <w:pPr>
        <w:widowControl w:val="0"/>
      </w:pPr>
      <w:r>
        <w:tab/>
        <w:t>Ese espurio pacto incluyó además el contenido de las declaraciones del entorno más íntimo de Telleldín, como fue el caso de Ana Boragni y Guillermo C</w:t>
      </w:r>
      <w:r>
        <w:t>o</w:t>
      </w:r>
      <w:r>
        <w:t>toras.</w:t>
      </w:r>
    </w:p>
    <w:p w:rsidR="00224567" w:rsidRDefault="00224567">
      <w:pPr>
        <w:widowControl w:val="0"/>
      </w:pPr>
      <w:r>
        <w:tab/>
        <w:t>Tampoco resultó viable la denominada “vía indepe</w:t>
      </w:r>
      <w:r>
        <w:t>n</w:t>
      </w:r>
      <w:r>
        <w:t>diente” en la que las partes acusadoras, luego de haberse acreditado el pago durante el debate por la i</w:t>
      </w:r>
      <w:r>
        <w:t>n</w:t>
      </w:r>
      <w:r>
        <w:t>dagatoria de Telleldín de julio de 1996, pretendieron so</w:t>
      </w:r>
      <w:r>
        <w:t>s</w:t>
      </w:r>
      <w:r>
        <w:t>tener la respo</w:t>
      </w:r>
      <w:r>
        <w:t>n</w:t>
      </w:r>
      <w:r>
        <w:t>sabilidad de los policías en el atentado, a través de as</w:t>
      </w:r>
      <w:r>
        <w:t>e</w:t>
      </w:r>
      <w:r>
        <w:t xml:space="preserve">gurar que fueron los ex policías bonaerenses imputados quienes recibieron </w:t>
      </w:r>
      <w:smartTag w:uri="urn:schemas-microsoft-com:office:smarttags" w:element="PersonName">
        <w:smartTagPr>
          <w:attr w:name="ProductID" w:val="la Trafic."/>
        </w:smartTagPr>
        <w:r>
          <w:t>la Trafic.</w:t>
        </w:r>
      </w:smartTag>
    </w:p>
    <w:p w:rsidR="00224567" w:rsidRDefault="00224567">
      <w:pPr>
        <w:widowControl w:val="0"/>
      </w:pPr>
      <w:r>
        <w:tab/>
        <w:t>A esta conclusión se arribó luego de demostrar que las piezas que conformaran esa vía altern</w:t>
      </w:r>
      <w:r>
        <w:t>a</w:t>
      </w:r>
      <w:r>
        <w:t>tiva no r</w:t>
      </w:r>
      <w:r>
        <w:t>e</w:t>
      </w:r>
      <w:r>
        <w:t>sultaron autónomas de los dichos de Telleldín –a los que se accedía por otros medios– ni del ilegal proc</w:t>
      </w:r>
      <w:r>
        <w:t>e</w:t>
      </w:r>
      <w:r>
        <w:t>der que concluyera en el pago al imputado.</w:t>
      </w:r>
    </w:p>
    <w:p w:rsidR="00224567" w:rsidRDefault="00224567">
      <w:pPr>
        <w:widowControl w:val="0"/>
      </w:pPr>
      <w:r>
        <w:tab/>
        <w:t>Efectivamente, la valoración de los dichos de T</w:t>
      </w:r>
      <w:r>
        <w:t>e</w:t>
      </w:r>
      <w:r>
        <w:t>lleldín, no se limitó a los dichos judiciales, sino que se incluyeron el manuscrito agregado a fs. 116.694/819, los report</w:t>
      </w:r>
      <w:r>
        <w:t>a</w:t>
      </w:r>
      <w:r>
        <w:t>jes periodísticos y las oscuras e inadmis</w:t>
      </w:r>
      <w:r>
        <w:t>i</w:t>
      </w:r>
      <w:r>
        <w:t>bles entrevistas que éste mantuvo con la camarista Luisa Riva Aramayo y el juez a cargo de la instrucción, doctor Juan José Galeano.</w:t>
      </w:r>
    </w:p>
    <w:p w:rsidR="00224567" w:rsidRDefault="00224567">
      <w:pPr>
        <w:widowControl w:val="0"/>
      </w:pPr>
      <w:r>
        <w:tab/>
        <w:t>Por otro lado, la utilización de estas ilegales entrevistas refuta la posibilidad de una con</w:t>
      </w:r>
      <w:r>
        <w:t>s</w:t>
      </w:r>
      <w:r>
        <w:t>trucción que no pad</w:t>
      </w:r>
      <w:r>
        <w:t>e</w:t>
      </w:r>
      <w:r>
        <w:t>ciera los vicios de la declaración de julio de 1996.</w:t>
      </w:r>
    </w:p>
    <w:p w:rsidR="00224567" w:rsidRDefault="00224567">
      <w:pPr>
        <w:widowControl w:val="0"/>
      </w:pPr>
      <w:r>
        <w:tab/>
        <w:t>El seguimiento incondicional de los acusadores a las distintas versiones aportadas por Telle</w:t>
      </w:r>
      <w:r>
        <w:t>l</w:t>
      </w:r>
      <w:r>
        <w:t>dín ha sido una clara muestra del propósito de sostener afanosamente una imputación que a todas luces carecía de respaldo probatorio a</w:t>
      </w:r>
      <w:r>
        <w:t>l</w:t>
      </w:r>
      <w:r>
        <w:t>guno.</w:t>
      </w:r>
    </w:p>
    <w:p w:rsidR="00224567" w:rsidRDefault="00224567">
      <w:pPr>
        <w:widowControl w:val="0"/>
      </w:pPr>
      <w:r>
        <w:tab/>
        <w:t>Este proceder fue una continuación de la actitud encaminada por el juez y los fiscales durante la instrucción para convalidar una hipótesis que se desm</w:t>
      </w:r>
      <w:r>
        <w:t>o</w:t>
      </w:r>
      <w:r>
        <w:t>ron</w:t>
      </w:r>
      <w:r>
        <w:t>a</w:t>
      </w:r>
      <w:r>
        <w:t>ba.</w:t>
      </w:r>
    </w:p>
    <w:p w:rsidR="00224567" w:rsidRDefault="00224567">
      <w:pPr>
        <w:widowControl w:val="0"/>
      </w:pPr>
      <w:r>
        <w:tab/>
        <w:t>Tampoco se acreditó la participación de los aquí imputados en base a las demás pruebas citadas en apoyo de la acus</w:t>
      </w:r>
      <w:r>
        <w:t>a</w:t>
      </w:r>
      <w:r>
        <w:t>ción. En efecto, no se probó, como se pretendiera, la vinculación con el atentado de la escrit</w:t>
      </w:r>
      <w:r>
        <w:t>u</w:t>
      </w:r>
      <w:r>
        <w:t>ra de donación a favor de Juan José Ribelli, las comunic</w:t>
      </w:r>
      <w:r>
        <w:t>a</w:t>
      </w:r>
      <w:r>
        <w:t>ciones telefónicas de Reinaldo Álvarez al domicilio de T</w:t>
      </w:r>
      <w:r>
        <w:t>e</w:t>
      </w:r>
      <w:r>
        <w:t>lleldín el 28 de mayo de 1994, las efectuadas por Let</w:t>
      </w:r>
      <w:r>
        <w:t>i</w:t>
      </w:r>
      <w:r>
        <w:t>cia Labado, los viajes de Ribelli durante el mes de julio de 1994, el simultáneo alojamiento de R</w:t>
      </w:r>
      <w:r>
        <w:t>i</w:t>
      </w:r>
      <w:r>
        <w:t>belli con el grupo de rescate israelí en el Hotel Conte, las conversaciones t</w:t>
      </w:r>
      <w:r>
        <w:t>e</w:t>
      </w:r>
      <w:r>
        <w:t>lefónicas manten</w:t>
      </w:r>
      <w:r>
        <w:t>i</w:t>
      </w:r>
      <w:r>
        <w:t>das por los imputados con anterioridad a la detención, del contenido de los dichos de Álvarez M</w:t>
      </w:r>
      <w:r>
        <w:t>a</w:t>
      </w:r>
      <w:r>
        <w:t>tus, Sandra Cardeal, Zulema Leoni, Zoilo Duday, Carmelo Ionno, Juan Carlos N</w:t>
      </w:r>
      <w:r>
        <w:t>i</w:t>
      </w:r>
      <w:r>
        <w:t>colau, Armando Antonio Calabró, Pedro A. Klodczyk, Catalino José Humerez, entre otros de los elementos cit</w:t>
      </w:r>
      <w:r>
        <w:t>a</w:t>
      </w:r>
      <w:r>
        <w:t>dos por los acusadores.</w:t>
      </w:r>
    </w:p>
    <w:p w:rsidR="00224567" w:rsidRDefault="00224567">
      <w:pPr>
        <w:widowControl w:val="0"/>
      </w:pPr>
      <w:r>
        <w:tab/>
        <w:t>Idéntica suerte corrieron los intentos por responsabilizar a los policías por el atentado, a pa</w:t>
      </w:r>
      <w:r>
        <w:t>r</w:t>
      </w:r>
      <w:r>
        <w:t>tir de los denominados desvíos de la investigación. Como se señal</w:t>
      </w:r>
      <w:r>
        <w:t>a</w:t>
      </w:r>
      <w:r>
        <w:t>ra, al no haberse demostrado la participación de los imputados en el hecho materia de debate, su vincul</w:t>
      </w:r>
      <w:r>
        <w:t>a</w:t>
      </w:r>
      <w:r>
        <w:t>ción en un supuesto desvío de la pesquisa no tiene la trascendencia que los acusadores pretenden brindarle. En efecto, ello por si solo, no alcanza para probar su re</w:t>
      </w:r>
      <w:r>
        <w:t>s</w:t>
      </w:r>
      <w:r>
        <w:t>ponsabilidad en el evento que nos ocupa.</w:t>
      </w:r>
    </w:p>
    <w:p w:rsidR="00224567" w:rsidRDefault="00224567">
      <w:pPr>
        <w:widowControl w:val="0"/>
      </w:pPr>
      <w:r>
        <w:tab/>
        <w:t>Pero además en este caso, como se d</w:t>
      </w:r>
      <w:r>
        <w:t>i</w:t>
      </w:r>
      <w:r>
        <w:t>jera, tampoco se pudo acreditar que los acusados estuvi</w:t>
      </w:r>
      <w:r>
        <w:t>e</w:t>
      </w:r>
      <w:r>
        <w:t>ran involucrados en a</w:t>
      </w:r>
      <w:r>
        <w:t>l</w:t>
      </w:r>
      <w:r>
        <w:t>guno de esos llamados desvíos de la investigación. En tal sentido, se trataron los relacion</w:t>
      </w:r>
      <w:r>
        <w:t>a</w:t>
      </w:r>
      <w:r>
        <w:t>dos con Ramón Emilio Solari y Abel Ibrahim Ali, como así también la presencia de Ribelli en Campo de Mayo y la d</w:t>
      </w:r>
      <w:r>
        <w:t>e</w:t>
      </w:r>
      <w:r>
        <w:t>nominada “pista carapint</w:t>
      </w:r>
      <w:r>
        <w:t>a</w:t>
      </w:r>
      <w:r>
        <w:t>das”.</w:t>
      </w:r>
    </w:p>
    <w:p w:rsidR="00224567" w:rsidRDefault="00224567">
      <w:pPr>
        <w:widowControl w:val="0"/>
      </w:pPr>
      <w:r>
        <w:tab/>
        <w:t>A esta altura, no puede dejar de señ</w:t>
      </w:r>
      <w:r>
        <w:t>a</w:t>
      </w:r>
      <w:r>
        <w:t>larse la particular metodología empleada por los acusad</w:t>
      </w:r>
      <w:r>
        <w:t>o</w:t>
      </w:r>
      <w:r>
        <w:t>res para sostener una imputación inconsistente. En ese sentido, se valieron de pruebas de neto carácter ilegal, una engañosa valoración de la no incorporada al debate, conscientes omisiones de las pruebas que refutaban la ac</w:t>
      </w:r>
      <w:r>
        <w:t>u</w:t>
      </w:r>
      <w:r>
        <w:t>sación, el abuso de la retórica como forma de suplir la absoluta orfandad probatoria, el cercenamiento arbitr</w:t>
      </w:r>
      <w:r>
        <w:t>a</w:t>
      </w:r>
      <w:r>
        <w:t>rio de las probanzas hasta la desnaturalización de éstas, e</w:t>
      </w:r>
      <w:r>
        <w:t>n</w:t>
      </w:r>
      <w:r>
        <w:t>tre otras irregularidades.</w:t>
      </w:r>
    </w:p>
    <w:p w:rsidR="00224567" w:rsidRDefault="00224567">
      <w:pPr>
        <w:pStyle w:val="Piedepgina"/>
        <w:widowControl w:val="0"/>
        <w:tabs>
          <w:tab w:val="clear" w:pos="4419"/>
          <w:tab w:val="clear" w:pos="8838"/>
        </w:tabs>
      </w:pPr>
    </w:p>
    <w:p w:rsidR="00224567" w:rsidRDefault="00224567">
      <w:pPr>
        <w:pStyle w:val="Ttulo2"/>
        <w:keepNext w:val="0"/>
        <w:widowControl w:val="0"/>
        <w:spacing w:line="240" w:lineRule="auto"/>
      </w:pPr>
      <w:r>
        <w:t>CAPÍTULO XI</w:t>
      </w:r>
    </w:p>
    <w:p w:rsidR="00224567" w:rsidRDefault="00224567">
      <w:pPr>
        <w:widowControl w:val="0"/>
        <w:spacing w:line="240" w:lineRule="auto"/>
      </w:pPr>
    </w:p>
    <w:p w:rsidR="00224567" w:rsidRDefault="00224567">
      <w:pPr>
        <w:widowControl w:val="0"/>
      </w:pPr>
      <w:r>
        <w:tab/>
      </w:r>
      <w:r>
        <w:rPr>
          <w:b/>
          <w:bCs/>
        </w:rPr>
        <w:t>A)</w:t>
      </w:r>
      <w:r>
        <w:t xml:space="preserve"> En oportunidad del alegato el Sr. fiscal general, Dr. Miguel Ángel Romero, tuvo por acred</w:t>
      </w:r>
      <w:r>
        <w:t>i</w:t>
      </w:r>
      <w:r>
        <w:t>tada la participación necesaria de Carlos Alberto Telle</w:t>
      </w:r>
      <w:r>
        <w:t>l</w:t>
      </w:r>
      <w:r>
        <w:t>dín en la adulteración de su Documento Nacional de Ident</w:t>
      </w:r>
      <w:r>
        <w:t>i</w:t>
      </w:r>
      <w:r>
        <w:t>dad, triplicado, nº 14.536.215 (art. 292, 2º párr</w:t>
      </w:r>
      <w:r>
        <w:t>a</w:t>
      </w:r>
      <w:r>
        <w:t>fo, del Código Penal).</w:t>
      </w:r>
    </w:p>
    <w:p w:rsidR="00224567" w:rsidRDefault="00224567">
      <w:pPr>
        <w:widowControl w:val="0"/>
      </w:pPr>
      <w:r>
        <w:tab/>
        <w:t>Tras señalar, al igual que lo hici</w:t>
      </w:r>
      <w:r>
        <w:t>e</w:t>
      </w:r>
      <w:r>
        <w:t>ron los fiscales en el requerimiento de elevación a juicio, la enmienda que presentaban dos de las letras del apellido del titular del documento –convirtiendo “Telledin” en “Teccedin” a partir de añadirle dos barras horizontales sobre las letras “L”- y las diversas oportunidades en las que el i</w:t>
      </w:r>
      <w:r>
        <w:t>m</w:t>
      </w:r>
      <w:r>
        <w:t>putado hizo uso de ese cartular, identificándose como  “Teccedin”, consideró que Carlos Alberto Telleldín debía responder por haber aportado una fotografía suya que sustituyó a la que originalmente se e</w:t>
      </w:r>
      <w:r>
        <w:t>n</w:t>
      </w:r>
      <w:r>
        <w:t>contraba adherida.</w:t>
      </w:r>
    </w:p>
    <w:p w:rsidR="00224567" w:rsidRDefault="00224567">
      <w:pPr>
        <w:widowControl w:val="0"/>
      </w:pPr>
      <w:r>
        <w:tab/>
        <w:t>En su exposición, algunos de cuyos tramos fueron reproducción casi textual del mencionado r</w:t>
      </w:r>
      <w:r>
        <w:t>e</w:t>
      </w:r>
      <w:r>
        <w:t>querimiento, el fiscal Romero sostuvo que el imputado d</w:t>
      </w:r>
      <w:r>
        <w:t>e</w:t>
      </w:r>
      <w:r>
        <w:t>bía responder como partícipe necesario de la adulteración por el aporte de su fotografía para la sustitución de la original. Al respecto, remarcó que “con posteri</w:t>
      </w:r>
      <w:r>
        <w:t>o</w:t>
      </w:r>
      <w:r>
        <w:t>ridad a la expedición del documento por parte del Registro Nacional de las Personas se reemplazó la fot</w:t>
      </w:r>
      <w:r>
        <w:t>o</w:t>
      </w:r>
      <w:r>
        <w:t>grafía original por la que actualmente ostenta, maniobra que importó la interru</w:t>
      </w:r>
      <w:r>
        <w:t>p</w:t>
      </w:r>
      <w:r>
        <w:t>ción de los trazos de sendas firmas -la del funcionario certificante y la del propio Telleldín-, de la cont</w:t>
      </w:r>
      <w:r>
        <w:t>i</w:t>
      </w:r>
      <w:r>
        <w:t>nuidad del sello aclaratorio del funcionario y de la impronta d</w:t>
      </w:r>
      <w:r>
        <w:t>i</w:t>
      </w:r>
      <w:r>
        <w:t>gital. Esta última modificación significó la impos</w:t>
      </w:r>
      <w:r>
        <w:t>i</w:t>
      </w:r>
      <w:r>
        <w:t>bilidad de acreditar la identidad del titular del doc</w:t>
      </w:r>
      <w:r>
        <w:t>u</w:t>
      </w:r>
      <w:r>
        <w:t>mento, toda vez que habiéndose consignado distinto apellido la única vía para zanjar las dudas que se pr</w:t>
      </w:r>
      <w:r>
        <w:t>e</w:t>
      </w:r>
      <w:r>
        <w:t>sentaban respecto del documento original era la de cotejar la huella dactilar estampada en aquél”. Y agregó: “acreditado entonces que fue Telleldín el beneficiario de la maniobra de adulter</w:t>
      </w:r>
      <w:r>
        <w:t>a</w:t>
      </w:r>
      <w:r>
        <w:t>ción del D.N.I. mediante la sustitución de su fotografía original, que se le quitó parte de su huella dactilar y que en reiteradas oport</w:t>
      </w:r>
      <w:r>
        <w:t>u</w:t>
      </w:r>
      <w:r>
        <w:t>nidades hizo uso de tal documento, su participación necesaria en la adulteración fluye sin esfue</w:t>
      </w:r>
      <w:r>
        <w:t>r</w:t>
      </w:r>
      <w:r>
        <w:t>zos”.</w:t>
      </w:r>
    </w:p>
    <w:p w:rsidR="00224567" w:rsidRDefault="00224567">
      <w:pPr>
        <w:widowControl w:val="0"/>
      </w:pPr>
      <w:r>
        <w:tab/>
        <w:t>Con relación al uso del documento, si bien el fiscal de juicio no reprochó la enmienda del ap</w:t>
      </w:r>
      <w:r>
        <w:t>e</w:t>
      </w:r>
      <w:r>
        <w:t>llido a Telleldín, enumeró una serie de circunsta</w:t>
      </w:r>
      <w:r>
        <w:t>n</w:t>
      </w:r>
      <w:r>
        <w:t>cias en las que el encartado habría empleado el doc</w:t>
      </w:r>
      <w:r>
        <w:t>u</w:t>
      </w:r>
      <w:r>
        <w:t>mento a fin de identifica</w:t>
      </w:r>
      <w:r>
        <w:t>r</w:t>
      </w:r>
      <w:r>
        <w:t>se como “Teccedin”.</w:t>
      </w:r>
    </w:p>
    <w:p w:rsidR="00224567" w:rsidRDefault="00224567">
      <w:pPr>
        <w:widowControl w:val="0"/>
      </w:pPr>
      <w:r>
        <w:tab/>
        <w:t>En este sentido, indicó que lo util</w:t>
      </w:r>
      <w:r>
        <w:t>i</w:t>
      </w:r>
      <w:r>
        <w:t>zó para la confección de los boletos de compraventa glosados a fs. 15.155 y 15.171, al presentar los formularios de s</w:t>
      </w:r>
      <w:r>
        <w:t>o</w:t>
      </w:r>
      <w:r>
        <w:t>licitud de verificación policial de los rodados R</w:t>
      </w:r>
      <w:r>
        <w:t>e</w:t>
      </w:r>
      <w:r>
        <w:t>nault 12 TL patente C 1.643.051, Renault 11 TS dominio B 2.443.374, Renault 12 TL patente B 2.335.520 y R</w:t>
      </w:r>
      <w:r>
        <w:t>e</w:t>
      </w:r>
      <w:r>
        <w:t>nault Trafic dominio B 2.242.044, para alquilar una quinta en la localidad de Tortuguitas, para hacerse cliente del videoclub de esa l</w:t>
      </w:r>
      <w:r>
        <w:t>o</w:t>
      </w:r>
      <w:r>
        <w:t>calidad, cuando fue aprehendido en la puerta de dicho v</w:t>
      </w:r>
      <w:r>
        <w:t>i</w:t>
      </w:r>
      <w:r>
        <w:t>deoclub por averiguación de antecedentes y en diversos a</w:t>
      </w:r>
      <w:r>
        <w:t>c</w:t>
      </w:r>
      <w:r>
        <w:t>tos con la firma “Autom</w:t>
      </w:r>
      <w:r>
        <w:t>o</w:t>
      </w:r>
      <w:r>
        <w:t>tores Alejandro”.</w:t>
      </w:r>
    </w:p>
    <w:p w:rsidR="00224567" w:rsidRDefault="00224567">
      <w:pPr>
        <w:widowControl w:val="0"/>
      </w:pPr>
      <w:r>
        <w:tab/>
        <w:t>Consecuentemente, entendió que al usar el documento el autor o partícipe de la falsific</w:t>
      </w:r>
      <w:r>
        <w:t>a</w:t>
      </w:r>
      <w:r>
        <w:t>ción, el art. 292 del Código Penal reemplazaba al art. 296 de ese ordenamiento, por aplicación de las reglas del concurso aparente.</w:t>
      </w:r>
    </w:p>
    <w:p w:rsidR="00224567" w:rsidRDefault="00224567">
      <w:pPr>
        <w:widowControl w:val="0"/>
      </w:pPr>
      <w:r>
        <w:tab/>
      </w:r>
      <w:r>
        <w:rPr>
          <w:b/>
          <w:bCs/>
        </w:rPr>
        <w:t>B)</w:t>
      </w:r>
      <w:r>
        <w:t xml:space="preserve"> La defensa de Carlos Alberto T</w:t>
      </w:r>
      <w:r>
        <w:t>e</w:t>
      </w:r>
      <w:r>
        <w:t>lleldín entendió que no se comprobó en la causa que el nombrado hubiera realizado alguna maniobra sobre la cart</w:t>
      </w:r>
      <w:r>
        <w:t>i</w:t>
      </w:r>
      <w:r>
        <w:t>lla original del documento. En tal sentido, atribuyó las barras que conformaban las letras “CC” del apellido a un error del funcionario del Registro Nacional de las Pers</w:t>
      </w:r>
      <w:r>
        <w:t>o</w:t>
      </w:r>
      <w:r>
        <w:t>nas que lo confeccionó y, en consecuencia, consideró que su defendido no participó de ningún hecho doloso ajeno, tratá</w:t>
      </w:r>
      <w:r>
        <w:t>n</w:t>
      </w:r>
      <w:r>
        <w:t>dose de una conducta atípica.</w:t>
      </w:r>
    </w:p>
    <w:p w:rsidR="00224567" w:rsidRDefault="00224567">
      <w:pPr>
        <w:widowControl w:val="0"/>
      </w:pPr>
      <w:r>
        <w:tab/>
        <w:t>Con relación a la fotografía, señaló que se trataba de la original, atribuyendo la circunsta</w:t>
      </w:r>
      <w:r>
        <w:t>n</w:t>
      </w:r>
      <w:r>
        <w:t>cia de que no se puedan ver los restos de la firma o la huella al deterioro por el transcurso del tiempo y al “m</w:t>
      </w:r>
      <w:r>
        <w:t>a</w:t>
      </w:r>
      <w:r>
        <w:t>noseo” producto de los peritajes. Est</w:t>
      </w:r>
      <w:r>
        <w:t>i</w:t>
      </w:r>
      <w:r>
        <w:t>mó, además, que aún en el caso de que la fotografía hubiera sido sustituida, ello no configuraba un hecho delictivo si se reemplazaba por otra de la misma pers</w:t>
      </w:r>
      <w:r>
        <w:t>o</w:t>
      </w:r>
      <w:r>
        <w:t>na.</w:t>
      </w:r>
    </w:p>
    <w:p w:rsidR="00224567" w:rsidRDefault="00224567">
      <w:pPr>
        <w:widowControl w:val="0"/>
      </w:pPr>
      <w:r>
        <w:tab/>
        <w:t>En definitiva, consideró que no exi</w:t>
      </w:r>
      <w:r>
        <w:t>s</w:t>
      </w:r>
      <w:r>
        <w:t>tía delito por cuanto no hubo una conducta susceptible de ser encuadrada en el tipo objetivo del art. 292 del C</w:t>
      </w:r>
      <w:r>
        <w:t>ó</w:t>
      </w:r>
      <w:r>
        <w:t>digo Penal, al no verificarse una posibilidad de l</w:t>
      </w:r>
      <w:r>
        <w:t>e</w:t>
      </w:r>
      <w:r>
        <w:t>sión al bien jurídico protegido –la fe pública- ni perjuicio alguno, toda vez que la finalidad del Documento Nacional de Ide</w:t>
      </w:r>
      <w:r>
        <w:t>n</w:t>
      </w:r>
      <w:r>
        <w:t>tidad es la de acreditar la identidad de las personas; función que cumple la numeración, que es única e irrepet</w:t>
      </w:r>
      <w:r>
        <w:t>i</w:t>
      </w:r>
      <w:r>
        <w:t>ble.</w:t>
      </w:r>
    </w:p>
    <w:p w:rsidR="00224567" w:rsidRDefault="00224567">
      <w:pPr>
        <w:widowControl w:val="0"/>
      </w:pPr>
      <w:r>
        <w:tab/>
      </w:r>
      <w:r>
        <w:tab/>
        <w:t>Concluyó que la conducta era atíp</w:t>
      </w:r>
      <w:r>
        <w:t>i</w:t>
      </w:r>
      <w:r>
        <w:t>ca, tanto objetiva como subjetivamente, y, en consecuencia, sol</w:t>
      </w:r>
      <w:r>
        <w:t>i</w:t>
      </w:r>
      <w:r>
        <w:t>citó la absolución de Telleldín.</w:t>
      </w:r>
    </w:p>
    <w:p w:rsidR="00224567" w:rsidRDefault="00224567">
      <w:pPr>
        <w:widowControl w:val="0"/>
      </w:pPr>
      <w:r>
        <w:tab/>
      </w:r>
      <w:r>
        <w:tab/>
      </w:r>
      <w:r>
        <w:rPr>
          <w:b/>
          <w:bCs/>
        </w:rPr>
        <w:t>C)</w:t>
      </w:r>
      <w:r>
        <w:t xml:space="preserve"> Se encuentra acreditado en autos que Carlos Alberto Telleldín, con posterioridad a que se le otorgara el Documento Nacional de Identidad, triplic</w:t>
      </w:r>
      <w:r>
        <w:t>a</w:t>
      </w:r>
      <w:r>
        <w:t>do, nº 14.536.215, aportó una fotografía suya que reempl</w:t>
      </w:r>
      <w:r>
        <w:t>a</w:t>
      </w:r>
      <w:r>
        <w:t>zó la original.</w:t>
      </w:r>
    </w:p>
    <w:p w:rsidR="00224567" w:rsidRDefault="00224567">
      <w:pPr>
        <w:widowControl w:val="0"/>
      </w:pPr>
      <w:r>
        <w:tab/>
        <w:t>Tal aserto halla sustento en el per</w:t>
      </w:r>
      <w:r>
        <w:t>i</w:t>
      </w:r>
      <w:r>
        <w:t>taje obrante a fs. 24.694/24.697, según el cual la fot</w:t>
      </w:r>
      <w:r>
        <w:t>o</w:t>
      </w:r>
      <w:r>
        <w:t>grafía fue sustituida por la que luce en la actualidad, habiéndose remarcado algunos trazos para aparentar cont</w:t>
      </w:r>
      <w:r>
        <w:t>i</w:t>
      </w:r>
      <w:r>
        <w:t>nuidad.</w:t>
      </w:r>
    </w:p>
    <w:p w:rsidR="00224567" w:rsidRDefault="00224567">
      <w:pPr>
        <w:widowControl w:val="0"/>
      </w:pPr>
      <w:r>
        <w:tab/>
        <w:t>Asimismo, el Tribunal tiene por cie</w:t>
      </w:r>
      <w:r>
        <w:t>r</w:t>
      </w:r>
      <w:r>
        <w:t>to que Telleldín, al menos, aportó su fotografía para sust</w:t>
      </w:r>
      <w:r>
        <w:t>i</w:t>
      </w:r>
      <w:r>
        <w:t>tuir la de la cartilla; extremo que se advierte a simple vista al cotejarla con la que lleva adherida la crede</w:t>
      </w:r>
      <w:r>
        <w:t>n</w:t>
      </w:r>
      <w:r>
        <w:t xml:space="preserve">cial de </w:t>
      </w:r>
      <w:smartTag w:uri="urn:schemas-microsoft-com:office:smarttags" w:element="PersonName">
        <w:smartTagPr>
          <w:attr w:name="ProductID" w:val="la Cooperadora Policial"/>
        </w:smartTagPr>
        <w:r>
          <w:t>la Cooperadora Policial</w:t>
        </w:r>
      </w:smartTag>
      <w:r>
        <w:t xml:space="preserve"> Sec. 1ª Vicente López de </w:t>
      </w:r>
      <w:smartTag w:uri="urn:schemas-microsoft-com:office:smarttags" w:element="PersonName">
        <w:smartTagPr>
          <w:attr w:name="ProductID" w:val="la Polic￭a"/>
        </w:smartTagPr>
        <w:r>
          <w:t>la P</w:t>
        </w:r>
        <w:r>
          <w:t>o</w:t>
        </w:r>
        <w:r>
          <w:t>licía</w:t>
        </w:r>
      </w:smartTag>
      <w:r>
        <w:t xml:space="preserve"> de </w:t>
      </w:r>
      <w:smartTag w:uri="urn:schemas-microsoft-com:office:smarttags" w:element="PersonName">
        <w:smartTagPr>
          <w:attr w:name="ProductID" w:val="la Provincia"/>
        </w:smartTagPr>
        <w:r>
          <w:t>la Provincia</w:t>
        </w:r>
      </w:smartTag>
      <w:r>
        <w:t xml:space="preserve"> de Buenos Aires, que el encartado reconoció como propia.</w:t>
      </w:r>
    </w:p>
    <w:p w:rsidR="00224567" w:rsidRDefault="00224567">
      <w:pPr>
        <w:widowControl w:val="0"/>
      </w:pPr>
      <w:r>
        <w:tab/>
        <w:t>Cabe recordar que Telleldín, en una de sus declaraciones indagatorias, aseveró que la fot</w:t>
      </w:r>
      <w:r>
        <w:t>o</w:t>
      </w:r>
      <w:r>
        <w:t>grafía que lucía el documento era la original y que, de no ser así, ella fue reemplazada en el Departamento Protección del Orden Constitucional; explicación que se da de br</w:t>
      </w:r>
      <w:r>
        <w:t>u</w:t>
      </w:r>
      <w:r>
        <w:t>ces con la circunstancia aludida en el párrafo prec</w:t>
      </w:r>
      <w:r>
        <w:t>e</w:t>
      </w:r>
      <w:r>
        <w:t>dente.</w:t>
      </w:r>
    </w:p>
    <w:p w:rsidR="00224567" w:rsidRDefault="00224567">
      <w:pPr>
        <w:widowControl w:val="0"/>
      </w:pPr>
      <w:r>
        <w:tab/>
      </w:r>
      <w:r>
        <w:rPr>
          <w:b/>
          <w:bCs/>
        </w:rPr>
        <w:t>D)</w:t>
      </w:r>
      <w:r>
        <w:t xml:space="preserve"> La fiscalía sostuvo que la sustit</w:t>
      </w:r>
      <w:r>
        <w:t>u</w:t>
      </w:r>
      <w:r>
        <w:t>ción de la fotografía hacía pasible de reproche penal a Carlos Alberto Telleldín, en orden al delito de adulter</w:t>
      </w:r>
      <w:r>
        <w:t>a</w:t>
      </w:r>
      <w:r>
        <w:t>ción de documento público destinado a acreditar la ident</w:t>
      </w:r>
      <w:r>
        <w:t>i</w:t>
      </w:r>
      <w:r>
        <w:t>dad de las personas, previsto y reprimido en el art. 292, segundo párrafo, del Código Penal; conclusión con la que disiente el Tribunal, en tanto considera que, en los té</w:t>
      </w:r>
      <w:r>
        <w:t>r</w:t>
      </w:r>
      <w:r>
        <w:t>minos que se formuló, la conducta del imputado resulta atíp</w:t>
      </w:r>
      <w:r>
        <w:t>i</w:t>
      </w:r>
      <w:r>
        <w:t>ca.</w:t>
      </w:r>
    </w:p>
    <w:p w:rsidR="00224567" w:rsidRDefault="00224567">
      <w:pPr>
        <w:widowControl w:val="0"/>
      </w:pPr>
      <w:r>
        <w:tab/>
        <w:t>El reemplazo de la fotografía orig</w:t>
      </w:r>
      <w:r>
        <w:t>i</w:t>
      </w:r>
      <w:r>
        <w:t>nal del documento por otra de la misma persona, no altera el fin probatorio del instrumento. De tal modo, se encue</w:t>
      </w:r>
      <w:r>
        <w:t>n</w:t>
      </w:r>
      <w:r>
        <w:t>tra también ausente el perjuicio que la norma r</w:t>
      </w:r>
      <w:r>
        <w:t>e</w:t>
      </w:r>
      <w:r>
        <w:t>quiere, al no vulnerarse el bien jurídico tutelado por el tipo legal, que es la fe pública.</w:t>
      </w:r>
    </w:p>
    <w:p w:rsidR="00224567" w:rsidRDefault="00224567">
      <w:pPr>
        <w:widowControl w:val="0"/>
      </w:pPr>
      <w:r>
        <w:tab/>
        <w:t>Al respecto, se sostuvo que es requ</w:t>
      </w:r>
      <w:r>
        <w:t>i</w:t>
      </w:r>
      <w:r>
        <w:t>sito común a todas las falsedades documentales que el d</w:t>
      </w:r>
      <w:r>
        <w:t>o</w:t>
      </w:r>
      <w:r>
        <w:t>cumento sea idóneo para suscitar peligro en el sent</w:t>
      </w:r>
      <w:r>
        <w:t>i</w:t>
      </w:r>
      <w:r>
        <w:t>do del tipo y que ese peligro provenga de la misma fals</w:t>
      </w:r>
      <w:r>
        <w:t>i</w:t>
      </w:r>
      <w:r>
        <w:t xml:space="preserve">ficación (cónf. este Tribunal </w:t>
      </w:r>
      <w:r>
        <w:rPr>
          <w:u w:val="single"/>
        </w:rPr>
        <w:t>in re</w:t>
      </w:r>
      <w:r>
        <w:t xml:space="preserve"> “Frick, Néstor Gerardo”, del 2/7/97, reg. nº 24/97 y “Guerra, Zunilda Olga”, del 12/8/98, reg. nº 22/98, con cita de Creus, Carlos, “Fals</w:t>
      </w:r>
      <w:r>
        <w:t>i</w:t>
      </w:r>
      <w:r>
        <w:t>ficación de documentos en gen</w:t>
      </w:r>
      <w:r>
        <w:t>e</w:t>
      </w:r>
      <w:r>
        <w:t>ral”, Ed. Astrea, 1986, pág. 78).</w:t>
      </w:r>
    </w:p>
    <w:p w:rsidR="00224567" w:rsidRDefault="00224567">
      <w:pPr>
        <w:widowControl w:val="0"/>
      </w:pPr>
      <w:r>
        <w:tab/>
        <w:t>Dicho extremo no se satisface, como lo pr</w:t>
      </w:r>
      <w:r>
        <w:t>e</w:t>
      </w:r>
      <w:r>
        <w:t>tendió la fiscalía, con la interrupción de las firmas y de la huella dactilar que originalmente continuaban s</w:t>
      </w:r>
      <w:r>
        <w:t>o</w:t>
      </w:r>
      <w:r>
        <w:t>bre la fotografía, por cuanto esos elementos no son determ</w:t>
      </w:r>
      <w:r>
        <w:t>i</w:t>
      </w:r>
      <w:r>
        <w:t>nantes a la hora de constatar la ident</w:t>
      </w:r>
      <w:r>
        <w:t>i</w:t>
      </w:r>
      <w:r>
        <w:t>dad de quien exhibe su documento.</w:t>
      </w:r>
    </w:p>
    <w:p w:rsidR="00224567" w:rsidRDefault="00224567">
      <w:pPr>
        <w:widowControl w:val="0"/>
      </w:pPr>
      <w:r>
        <w:tab/>
        <w:t>Por el contrario, los datos esenci</w:t>
      </w:r>
      <w:r>
        <w:t>a</w:t>
      </w:r>
      <w:r>
        <w:t>les, a esos efectos, los constituyen el nombre, apell</w:t>
      </w:r>
      <w:r>
        <w:t>i</w:t>
      </w:r>
      <w:r>
        <w:t>do y el número del documento que el Registro Nacional de las Personas asigna a cada uno de los ciudadanos inscriptos (arts. 2 y 7 de la ley 17.671); datos que, en la prá</w:t>
      </w:r>
      <w:r>
        <w:t>c</w:t>
      </w:r>
      <w:r>
        <w:t>tica, son los que se toman en cuenta, tanto a la hora de real</w:t>
      </w:r>
      <w:r>
        <w:t>i</w:t>
      </w:r>
      <w:r>
        <w:t>zar tra</w:t>
      </w:r>
      <w:r>
        <w:t>n</w:t>
      </w:r>
      <w:r>
        <w:t>sacciones entre particulares, como al presentarse el cartular ante organismos o funcionarios públ</w:t>
      </w:r>
      <w:r>
        <w:t>i</w:t>
      </w:r>
      <w:r>
        <w:t>cos.</w:t>
      </w:r>
    </w:p>
    <w:p w:rsidR="00224567" w:rsidRDefault="00224567">
      <w:pPr>
        <w:widowControl w:val="0"/>
      </w:pPr>
      <w:r>
        <w:tab/>
        <w:t>En ese entendimiento, la falta de una parte de la huella dactilar estampada en el documento no impide la individualización del sujeto, aún cuando su ap</w:t>
      </w:r>
      <w:r>
        <w:t>e</w:t>
      </w:r>
      <w:r>
        <w:t>llido estuviera mal escrito, por cuanto la aut</w:t>
      </w:r>
      <w:r>
        <w:t>o</w:t>
      </w:r>
      <w:r>
        <w:t>ridad habrá de identificarlo por el número del docume</w:t>
      </w:r>
      <w:r>
        <w:t>n</w:t>
      </w:r>
      <w:r>
        <w:t>to o a partir de las impresiones digitales que obran en los archivos de las fuerzas policiales o del Registro Nacional de Reincide</w:t>
      </w:r>
      <w:r>
        <w:t>n</w:t>
      </w:r>
      <w:r>
        <w:t>cia, cotejo mediante.</w:t>
      </w:r>
    </w:p>
    <w:p w:rsidR="00224567" w:rsidRDefault="00224567">
      <w:pPr>
        <w:widowControl w:val="0"/>
      </w:pPr>
      <w:r>
        <w:tab/>
        <w:t>Aún si lo que se buscara fuese est</w:t>
      </w:r>
      <w:r>
        <w:t>a</w:t>
      </w:r>
      <w:r>
        <w:t>blecer la identidad del sujeto, tal cotejo se realizaría con las fichas archivadas en el Registro Nacional de las Personas y no con la huella plasmada en el doc</w:t>
      </w:r>
      <w:r>
        <w:t>u</w:t>
      </w:r>
      <w:r>
        <w:t>mento.</w:t>
      </w:r>
    </w:p>
    <w:p w:rsidR="00224567" w:rsidRDefault="00224567">
      <w:pPr>
        <w:widowControl w:val="0"/>
      </w:pPr>
      <w:r>
        <w:tab/>
        <w:t>Por lo demás, la falta de una mínima inquietud invest</w:t>
      </w:r>
      <w:r>
        <w:t>i</w:t>
      </w:r>
      <w:r>
        <w:t>gativa obsta toda consideración en torno a si la huella digital estampada en el documento corre</w:t>
      </w:r>
      <w:r>
        <w:t>s</w:t>
      </w:r>
      <w:r>
        <w:t>ponde a Carlos Alberto Telleldín; extremo acerca del cual los fisc</w:t>
      </w:r>
      <w:r>
        <w:t>a</w:t>
      </w:r>
      <w:r>
        <w:t>les, ni en la etapa anterior ni en la oportunidad del art. 354 del código de rito, propusieron diligencia alguna en tal sentido, al menos para sostener, como lo h</w:t>
      </w:r>
      <w:r>
        <w:t>i</w:t>
      </w:r>
      <w:r>
        <w:t>cieron en el alegato, que dicho recorte en la impresión impide la identificación del no</w:t>
      </w:r>
      <w:r>
        <w:t>m</w:t>
      </w:r>
      <w:r>
        <w:t>brado.</w:t>
      </w:r>
    </w:p>
    <w:p w:rsidR="00224567" w:rsidRDefault="00224567">
      <w:pPr>
        <w:widowControl w:val="0"/>
      </w:pPr>
      <w:r>
        <w:tab/>
        <w:t>En cuanto a su identificación fre</w:t>
      </w:r>
      <w:r>
        <w:t>n</w:t>
      </w:r>
      <w:r>
        <w:t>te a particulares, deviene relevante que el nombre y el apell</w:t>
      </w:r>
      <w:r>
        <w:t>i</w:t>
      </w:r>
      <w:r>
        <w:t>do se encuentren correctamente escritos, por cuanto aqu</w:t>
      </w:r>
      <w:r>
        <w:t>e</w:t>
      </w:r>
      <w:r>
        <w:t>llos difícilmente han de acceder a la identificación a partir de la numeración; mucho menos al cotejo de las hu</w:t>
      </w:r>
      <w:r>
        <w:t>e</w:t>
      </w:r>
      <w:r>
        <w:t>llas dact</w:t>
      </w:r>
      <w:r>
        <w:t>i</w:t>
      </w:r>
      <w:r>
        <w:t>lares.</w:t>
      </w:r>
    </w:p>
    <w:p w:rsidR="00224567" w:rsidRDefault="00224567">
      <w:pPr>
        <w:widowControl w:val="0"/>
      </w:pPr>
      <w:r>
        <w:tab/>
        <w:t>Sin embargo, cabe aclarar, no es la alter</w:t>
      </w:r>
      <w:r>
        <w:t>a</w:t>
      </w:r>
      <w:r>
        <w:t>ción del apellido lo que se encuentra en análisis en el presente acápite, sino tan solo la sustitución de la fot</w:t>
      </w:r>
      <w:r>
        <w:t>o</w:t>
      </w:r>
      <w:r>
        <w:t>grafía original.</w:t>
      </w:r>
    </w:p>
    <w:p w:rsidR="00224567" w:rsidRDefault="00224567">
      <w:pPr>
        <w:widowControl w:val="0"/>
      </w:pPr>
      <w:r>
        <w:tab/>
        <w:t>En cualquiera de los dos casos, es d</w:t>
      </w:r>
      <w:r>
        <w:t>e</w:t>
      </w:r>
      <w:r>
        <w:t>cir, frente a particulares o funcionarios públicos, queda claro que la sustitución de la fotografía originalmente adherida al documento por otra, también de su titular, no ocasiona perjuicio en tanto no induzca a error acerca de la persona que se pretende identificar.</w:t>
      </w:r>
    </w:p>
    <w:p w:rsidR="00224567" w:rsidRDefault="00224567">
      <w:pPr>
        <w:widowControl w:val="0"/>
      </w:pPr>
      <w:r>
        <w:tab/>
        <w:t>Como lo sostiene Carlos Creus, para que el bien jurídico protegido se vea afectado por una adulteración se debe presentar lo no verdadero como verd</w:t>
      </w:r>
      <w:r>
        <w:t>a</w:t>
      </w:r>
      <w:r>
        <w:t>dero, mediante el cambio del tenor que auténticamente existió (cónf. op. cit., pág. 64).</w:t>
      </w:r>
    </w:p>
    <w:p w:rsidR="00224567" w:rsidRDefault="00224567">
      <w:pPr>
        <w:widowControl w:val="0"/>
      </w:pPr>
      <w:r>
        <w:tab/>
        <w:t>En el caso, la sustitución de la fot</w:t>
      </w:r>
      <w:r>
        <w:t>o</w:t>
      </w:r>
      <w:r>
        <w:t>grafía no presenta una modificación en el se</w:t>
      </w:r>
      <w:r>
        <w:t>n</w:t>
      </w:r>
      <w:r>
        <w:t>tido aludido e impide, por ende, tener por acreditada la p</w:t>
      </w:r>
      <w:r>
        <w:t>o</w:t>
      </w:r>
      <w:r>
        <w:t>sibilidad de perjuicio exigida por el art. 292 del Código P</w:t>
      </w:r>
      <w:r>
        <w:t>e</w:t>
      </w:r>
      <w:r>
        <w:t>nal.</w:t>
      </w:r>
    </w:p>
    <w:p w:rsidR="00224567" w:rsidRDefault="00224567">
      <w:pPr>
        <w:widowControl w:val="0"/>
      </w:pPr>
      <w:r>
        <w:tab/>
        <w:t xml:space="preserve">Así, también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Criminal"/>
        </w:smartTagPr>
        <w:r>
          <w:t>la Cámara Criminal</w:t>
        </w:r>
      </w:smartTag>
      <w:r>
        <w:t xml:space="preserve"> y Correccional Federal de esta ciudad, al d</w:t>
      </w:r>
      <w:r>
        <w:t>e</w:t>
      </w:r>
      <w:r>
        <w:t xml:space="preserve">cidir el 13 de abril de </w:t>
      </w:r>
      <w:smartTag w:uri="urn:schemas-microsoft-com:office:smarttags" w:element="metricconverter">
        <w:smartTagPr>
          <w:attr w:name="ProductID" w:val="1984 in"/>
        </w:smartTagPr>
        <w:r>
          <w:t xml:space="preserve">1984 </w:t>
        </w:r>
        <w:r>
          <w:rPr>
            <w:u w:val="single"/>
          </w:rPr>
          <w:t>in</w:t>
        </w:r>
      </w:smartTag>
      <w:r>
        <w:rPr>
          <w:u w:val="single"/>
        </w:rPr>
        <w:t xml:space="preserve"> re</w:t>
      </w:r>
      <w:r>
        <w:t xml:space="preserve"> “Viola de Garrido, Teresa”, consideró atípica la conducta de sustituir la fotografía original del cart</w:t>
      </w:r>
      <w:r>
        <w:t>u</w:t>
      </w:r>
      <w:r>
        <w:t>lar por otra propia, toda vez que de ese modo no se altera el fin probatorio del instrume</w:t>
      </w:r>
      <w:r>
        <w:t>n</w:t>
      </w:r>
      <w:r>
        <w:t>to.</w:t>
      </w:r>
    </w:p>
    <w:p w:rsidR="00224567" w:rsidRDefault="00224567">
      <w:pPr>
        <w:widowControl w:val="0"/>
        <w:rPr>
          <w:lang w:val="es-ES_tradnl"/>
        </w:rPr>
      </w:pPr>
      <w:r>
        <w:tab/>
        <w:t>En virtud de las consideraciones que anteceden, el Tribunal entiende que la conducta que el fiscal general reprochó a Carlos Alberto Telleldín en la oportunidad que prevé el art. 393 del ordenamiento proc</w:t>
      </w:r>
      <w:r>
        <w:t>e</w:t>
      </w:r>
      <w:r>
        <w:t>sal, relacionada con el Documento Nacional de Identidad, triplicado, nº 14.536.215, no resulta alcanzada por las previsiones del</w:t>
      </w:r>
      <w:r>
        <w:rPr>
          <w:lang w:val="es-ES_tradnl"/>
        </w:rPr>
        <w:t xml:space="preserve"> art. 292, segundo párrafo, del Código P</w:t>
      </w:r>
      <w:r>
        <w:rPr>
          <w:lang w:val="es-ES_tradnl"/>
        </w:rPr>
        <w:t>e</w:t>
      </w:r>
      <w:r>
        <w:rPr>
          <w:lang w:val="es-ES_tradnl"/>
        </w:rPr>
        <w:t>nal.</w:t>
      </w:r>
    </w:p>
    <w:p w:rsidR="00224567" w:rsidRDefault="00224567">
      <w:pPr>
        <w:widowControl w:val="0"/>
        <w:rPr>
          <w:lang w:val="es-ES_tradnl"/>
        </w:rPr>
      </w:pPr>
      <w:r>
        <w:tab/>
      </w:r>
      <w:r>
        <w:rPr>
          <w:b/>
          <w:bCs/>
        </w:rPr>
        <w:t>E)</w:t>
      </w:r>
      <w:r>
        <w:t xml:space="preserve"> En su </w:t>
      </w:r>
      <w:r>
        <w:rPr>
          <w:lang w:val="es-ES_tradnl"/>
        </w:rPr>
        <w:t xml:space="preserve">declaración </w:t>
      </w:r>
      <w:r>
        <w:t xml:space="preserve">indagatoria </w:t>
      </w:r>
      <w:r>
        <w:rPr>
          <w:lang w:val="es-ES_tradnl"/>
        </w:rPr>
        <w:t>del 6 de febrero de 1998 (</w:t>
      </w:r>
      <w:r>
        <w:t>cónf.</w:t>
      </w:r>
      <w:r>
        <w:rPr>
          <w:lang w:val="es-ES_tradnl"/>
        </w:rPr>
        <w:t xml:space="preserve"> fs. </w:t>
      </w:r>
      <w:r>
        <w:t>28.688/28.690) el juez in</w:t>
      </w:r>
      <w:r>
        <w:t>s</w:t>
      </w:r>
      <w:r>
        <w:t xml:space="preserve">tructor hizo saber a Telleldín que se le imputaba “haber participado en la adulteración del Documento Nacional de Identidad nº </w:t>
      </w:r>
      <w:smartTag w:uri="urn:schemas-microsoft-com:office:smarttags" w:element="metricconverter">
        <w:smartTagPr>
          <w:attr w:name="ProductID" w:val="14.536.215, a"/>
        </w:smartTagPr>
        <w:r>
          <w:t>14.536.215, a</w:t>
        </w:r>
      </w:smartTag>
      <w:r>
        <w:t xml:space="preserve"> su nombre, el que presenta su</w:t>
      </w:r>
      <w:r>
        <w:t>s</w:t>
      </w:r>
      <w:r>
        <w:t>titución de la fotografía y enmiendas en el rubro ‘Apell</w:t>
      </w:r>
      <w:r>
        <w:t>i</w:t>
      </w:r>
      <w:r>
        <w:t>do’, al insertarse en el lugar de la letra ‘LL’, las l</w:t>
      </w:r>
      <w:r>
        <w:t>e</w:t>
      </w:r>
      <w:r>
        <w:t>tras ‘CC’, habiendo proporcionado la fotografía que se e</w:t>
      </w:r>
      <w:r>
        <w:t>n</w:t>
      </w:r>
      <w:r>
        <w:t>cuentra actualmente estampada en el citado instrume</w:t>
      </w:r>
      <w:r>
        <w:t>n</w:t>
      </w:r>
      <w:r>
        <w:t>to”.</w:t>
      </w:r>
    </w:p>
    <w:p w:rsidR="00224567" w:rsidRDefault="00224567">
      <w:pPr>
        <w:widowControl w:val="0"/>
        <w:rPr>
          <w:lang w:val="es-ES_tradnl"/>
        </w:rPr>
      </w:pPr>
      <w:r>
        <w:rPr>
          <w:lang w:val="es-ES_tradnl"/>
        </w:rPr>
        <w:tab/>
        <w:t>El 30 de abril de 1998 (</w:t>
      </w:r>
      <w:r>
        <w:t>cónf.</w:t>
      </w:r>
      <w:r>
        <w:rPr>
          <w:lang w:val="es-ES_tradnl"/>
        </w:rPr>
        <w:t xml:space="preserve"> fs. 29.770/29.776) Telleldín fue procesado en orden al d</w:t>
      </w:r>
      <w:r>
        <w:rPr>
          <w:lang w:val="es-ES_tradnl"/>
        </w:rPr>
        <w:t>e</w:t>
      </w:r>
      <w:r>
        <w:rPr>
          <w:lang w:val="es-ES_tradnl"/>
        </w:rPr>
        <w:t>lito de uso reiterado de Documento Nacional de Identidad adu</w:t>
      </w:r>
      <w:r>
        <w:rPr>
          <w:lang w:val="es-ES_tradnl"/>
        </w:rPr>
        <w:t>l</w:t>
      </w:r>
      <w:r>
        <w:rPr>
          <w:lang w:val="es-ES_tradnl"/>
        </w:rPr>
        <w:t>terado –cuatro hechos-, en calidad de autor (art. 296 en función del 292, segundo párrafo, del Código Penal). En dicho decisorio se consideró que el nombrado participó de manera necesaria en la adulter</w:t>
      </w:r>
      <w:r>
        <w:rPr>
          <w:lang w:val="es-ES_tradnl"/>
        </w:rPr>
        <w:t>a</w:t>
      </w:r>
      <w:r>
        <w:rPr>
          <w:lang w:val="es-ES_tradnl"/>
        </w:rPr>
        <w:t>ción del cartular, mediante el aporte de su fotografía.</w:t>
      </w:r>
    </w:p>
    <w:p w:rsidR="00224567" w:rsidRDefault="00224567">
      <w:pPr>
        <w:widowControl w:val="0"/>
        <w:rPr>
          <w:lang w:val="es-ES_tradnl"/>
        </w:rPr>
      </w:pPr>
      <w:r>
        <w:rPr>
          <w:lang w:val="es-ES_tradnl"/>
        </w:rPr>
        <w:tab/>
        <w:t>En el requerimiento de elevación a juicio (</w:t>
      </w:r>
      <w:r>
        <w:t>cónf.</w:t>
      </w:r>
      <w:r>
        <w:rPr>
          <w:lang w:val="es-ES_tradnl"/>
        </w:rPr>
        <w:t xml:space="preserve"> fs. 64.550/64.683) los fiscales, tras det</w:t>
      </w:r>
      <w:r>
        <w:rPr>
          <w:lang w:val="es-ES_tradnl"/>
        </w:rPr>
        <w:t>a</w:t>
      </w:r>
      <w:r>
        <w:rPr>
          <w:lang w:val="es-ES_tradnl"/>
        </w:rPr>
        <w:t>llar los peritajes que establecieron la sustitución de la fotografía y el agregado de dos barrales sobre las l</w:t>
      </w:r>
      <w:r>
        <w:rPr>
          <w:lang w:val="es-ES_tradnl"/>
        </w:rPr>
        <w:t>e</w:t>
      </w:r>
      <w:r>
        <w:rPr>
          <w:lang w:val="es-ES_tradnl"/>
        </w:rPr>
        <w:t>tras “L” del apellido del titular, entendieron que el imputado fue partícipe necesario de la adulteración del cartular; si bien le achacaron la primera m</w:t>
      </w:r>
      <w:r>
        <w:rPr>
          <w:lang w:val="es-ES_tradnl"/>
        </w:rPr>
        <w:t>a</w:t>
      </w:r>
      <w:r>
        <w:rPr>
          <w:lang w:val="es-ES_tradnl"/>
        </w:rPr>
        <w:t>niobra, consideraron que no pudo acreditarse su intervención en la desnaturaliz</w:t>
      </w:r>
      <w:r>
        <w:rPr>
          <w:lang w:val="es-ES_tradnl"/>
        </w:rPr>
        <w:t>a</w:t>
      </w:r>
      <w:r>
        <w:rPr>
          <w:lang w:val="es-ES_tradnl"/>
        </w:rPr>
        <w:t>ción del apellido.</w:t>
      </w:r>
    </w:p>
    <w:p w:rsidR="00224567" w:rsidRDefault="00224567">
      <w:pPr>
        <w:widowControl w:val="0"/>
      </w:pPr>
      <w:r>
        <w:tab/>
        <w:t>El Tribunal no se encuentra habilit</w:t>
      </w:r>
      <w:r>
        <w:t>a</w:t>
      </w:r>
      <w:r>
        <w:t>do para abrir juicio con relación a la enmienda que presenta el apellido obrante en el Documento Naci</w:t>
      </w:r>
      <w:r>
        <w:t>o</w:t>
      </w:r>
      <w:r>
        <w:t>nal de Identidad, triplicado, nº 14.536.215, por cuanto debe acotar su an</w:t>
      </w:r>
      <w:r>
        <w:t>á</w:t>
      </w:r>
      <w:r>
        <w:t>lisis a las circunstancias de hecho descriptas en el r</w:t>
      </w:r>
      <w:r>
        <w:t>e</w:t>
      </w:r>
      <w:r>
        <w:t>querimiento de elevación a juicio. Esa pieza procesal constituye la base y límite</w:t>
      </w:r>
      <w:r>
        <w:rPr>
          <w:lang w:val="es-ES_tradnl"/>
        </w:rPr>
        <w:t xml:space="preserve"> del </w:t>
      </w:r>
      <w:r>
        <w:t>juicio penal, pues delim</w:t>
      </w:r>
      <w:r>
        <w:t>i</w:t>
      </w:r>
      <w:r>
        <w:t>ta</w:t>
      </w:r>
      <w:r>
        <w:rPr>
          <w:lang w:val="es-ES_tradnl"/>
        </w:rPr>
        <w:t xml:space="preserve"> </w:t>
      </w:r>
      <w:r>
        <w:t xml:space="preserve">el marco fáctico para discutir la responsabilidad penal del imputado (cónf. este Tribunal </w:t>
      </w:r>
      <w:r>
        <w:rPr>
          <w:u w:val="single"/>
        </w:rPr>
        <w:t>in re</w:t>
      </w:r>
      <w:r>
        <w:t xml:space="preserve"> “Guerrero, Pablo Avelino”, reg. nº </w:t>
      </w:r>
      <w:r>
        <w:rPr>
          <w:bCs/>
        </w:rPr>
        <w:t xml:space="preserve">28/99, rto. el 12/8/99; con citas de </w:t>
      </w:r>
      <w:r>
        <w:t>N</w:t>
      </w:r>
      <w:r>
        <w:t>ú</w:t>
      </w:r>
      <w:r>
        <w:t xml:space="preserve">ñez, “Código Procesal Penal de </w:t>
      </w:r>
      <w:smartTag w:uri="urn:schemas-microsoft-com:office:smarttags" w:element="PersonName">
        <w:smartTagPr>
          <w:attr w:name="ProductID" w:val="la Provincia"/>
        </w:smartTagPr>
        <w:r>
          <w:t>la Provincia</w:t>
        </w:r>
      </w:smartTag>
      <w:r>
        <w:t xml:space="preserve"> de Córdoba”, pág. 308 y Francisco D’Albora, “Código Procesal Penal de </w:t>
      </w:r>
      <w:smartTag w:uri="urn:schemas-microsoft-com:office:smarttags" w:element="PersonName">
        <w:smartTagPr>
          <w:attr w:name="ProductID" w:val="la Naci￳n"/>
        </w:smartTagPr>
        <w:r>
          <w:t>la Nación</w:t>
        </w:r>
      </w:smartTag>
      <w:r>
        <w:t>”, Abeledo-Perrot, Bu</w:t>
      </w:r>
      <w:r>
        <w:t>e</w:t>
      </w:r>
      <w:r>
        <w:t>nos Aires, 1993, pág. 345).</w:t>
      </w:r>
    </w:p>
    <w:p w:rsidR="00224567" w:rsidRDefault="00224567">
      <w:pPr>
        <w:widowControl w:val="0"/>
      </w:pPr>
      <w:r>
        <w:tab/>
        <w:t>En este sentido, enseña el último de los autores citados que el requerimiento “proporciona la plataforma fáctica sobre la que habrá de disc</w:t>
      </w:r>
      <w:r>
        <w:t>u</w:t>
      </w:r>
      <w:r>
        <w:t>rrirse en el debate. Esa ‘...relación clara, precisa y ci</w:t>
      </w:r>
      <w:r>
        <w:t>r</w:t>
      </w:r>
      <w:r>
        <w:t>cunstanciada de los hechos...’ es su elemento axil, entendiendo esto literalmente pues es el eje sobre el que se desarrollará todo el debate, salvo el caso del art. 381. Se obtiene m</w:t>
      </w:r>
      <w:r>
        <w:t>e</w:t>
      </w:r>
      <w:r>
        <w:t>diante la mención detallada de todas las circunsta</w:t>
      </w:r>
      <w:r>
        <w:t>n</w:t>
      </w:r>
      <w:r>
        <w:t>cias de tiempo, modo y lugar en que la conducta del imputado se exteriorizó y cualquier otro dato de interés para el e</w:t>
      </w:r>
      <w:r>
        <w:t>n</w:t>
      </w:r>
      <w:r>
        <w:t>cuadramiento legal del hecho y la selección y graduación de la pena”.</w:t>
      </w:r>
    </w:p>
    <w:p w:rsidR="00224567" w:rsidRDefault="00224567">
      <w:pPr>
        <w:widowControl w:val="0"/>
        <w:rPr>
          <w:lang w:val="es-ES_tradnl"/>
        </w:rPr>
      </w:pPr>
      <w:r>
        <w:rPr>
          <w:lang w:val="es-ES_tradnl"/>
        </w:rPr>
        <w:tab/>
        <w:t>En tal inteligencia, sólo se puede juzgar a Telleldín en orden a la sustitución de la fot</w:t>
      </w:r>
      <w:r>
        <w:rPr>
          <w:lang w:val="es-ES_tradnl"/>
        </w:rPr>
        <w:t>o</w:t>
      </w:r>
      <w:r>
        <w:rPr>
          <w:lang w:val="es-ES_tradnl"/>
        </w:rPr>
        <w:t>grafía, hecho que, como se dijo, deviene atípico, enco</w:t>
      </w:r>
      <w:r>
        <w:rPr>
          <w:lang w:val="es-ES_tradnl"/>
        </w:rPr>
        <w:t>n</w:t>
      </w:r>
      <w:r>
        <w:rPr>
          <w:lang w:val="es-ES_tradnl"/>
        </w:rPr>
        <w:t>trándose impedido de adentrarse en consideraciones relat</w:t>
      </w:r>
      <w:r>
        <w:rPr>
          <w:lang w:val="es-ES_tradnl"/>
        </w:rPr>
        <w:t>i</w:t>
      </w:r>
      <w:r>
        <w:rPr>
          <w:lang w:val="es-ES_tradnl"/>
        </w:rPr>
        <w:t>vas a la desnaturalización que presenta el rubro “apell</w:t>
      </w:r>
      <w:r>
        <w:rPr>
          <w:lang w:val="es-ES_tradnl"/>
        </w:rPr>
        <w:t>i</w:t>
      </w:r>
      <w:r>
        <w:rPr>
          <w:lang w:val="es-ES_tradnl"/>
        </w:rPr>
        <w:t>do” del documento cuestionado. En efecto, no fue proces</w:t>
      </w:r>
      <w:r>
        <w:rPr>
          <w:lang w:val="es-ES_tradnl"/>
        </w:rPr>
        <w:t>a</w:t>
      </w:r>
      <w:r>
        <w:rPr>
          <w:lang w:val="es-ES_tradnl"/>
        </w:rPr>
        <w:t>do, ni requerida su elevación a juicio por esta circun</w:t>
      </w:r>
      <w:r>
        <w:rPr>
          <w:lang w:val="es-ES_tradnl"/>
        </w:rPr>
        <w:t>s</w:t>
      </w:r>
      <w:r>
        <w:rPr>
          <w:lang w:val="es-ES_tradnl"/>
        </w:rPr>
        <w:t>tancia; más aún, fue descartada expresamente por los fi</w:t>
      </w:r>
      <w:r>
        <w:rPr>
          <w:lang w:val="es-ES_tradnl"/>
        </w:rPr>
        <w:t>s</w:t>
      </w:r>
      <w:r>
        <w:rPr>
          <w:lang w:val="es-ES_tradnl"/>
        </w:rPr>
        <w:t>cales en dicha pieza procesal.</w:t>
      </w:r>
    </w:p>
    <w:p w:rsidR="00224567" w:rsidRDefault="00224567">
      <w:pPr>
        <w:widowControl w:val="0"/>
        <w:rPr>
          <w:lang w:val="es-ES_tradnl"/>
        </w:rPr>
      </w:pPr>
      <w:r>
        <w:rPr>
          <w:lang w:val="es-ES_tradnl"/>
        </w:rPr>
        <w:tab/>
        <w:t>En este sentido, el Tribunal e</w:t>
      </w:r>
      <w:r>
        <w:rPr>
          <w:lang w:val="es-ES_tradnl"/>
        </w:rPr>
        <w:t>n</w:t>
      </w:r>
      <w:r>
        <w:rPr>
          <w:lang w:val="es-ES_tradnl"/>
        </w:rPr>
        <w:t>tiende que no se puede tomar la acusación por adulteración de D</w:t>
      </w:r>
      <w:r>
        <w:rPr>
          <w:lang w:val="es-ES_tradnl"/>
        </w:rPr>
        <w:t>o</w:t>
      </w:r>
      <w:r>
        <w:rPr>
          <w:lang w:val="es-ES_tradnl"/>
        </w:rPr>
        <w:t>cumento Nacional de Identidad como una imputación genér</w:t>
      </w:r>
      <w:r>
        <w:rPr>
          <w:lang w:val="es-ES_tradnl"/>
        </w:rPr>
        <w:t>i</w:t>
      </w:r>
      <w:r>
        <w:rPr>
          <w:lang w:val="es-ES_tradnl"/>
        </w:rPr>
        <w:t>ca, sobre la que esté habilitado a determinar las modal</w:t>
      </w:r>
      <w:r>
        <w:rPr>
          <w:lang w:val="es-ES_tradnl"/>
        </w:rPr>
        <w:t>i</w:t>
      </w:r>
      <w:r>
        <w:rPr>
          <w:lang w:val="es-ES_tradnl"/>
        </w:rPr>
        <w:t>dades particulares del hecho. Los fiscales esp</w:t>
      </w:r>
      <w:r>
        <w:rPr>
          <w:lang w:val="es-ES_tradnl"/>
        </w:rPr>
        <w:t>e</w:t>
      </w:r>
      <w:r>
        <w:rPr>
          <w:lang w:val="es-ES_tradnl"/>
        </w:rPr>
        <w:t>cíficamente consideraron que la participación del e</w:t>
      </w:r>
      <w:r>
        <w:rPr>
          <w:lang w:val="es-ES_tradnl"/>
        </w:rPr>
        <w:t>n</w:t>
      </w:r>
      <w:r>
        <w:rPr>
          <w:lang w:val="es-ES_tradnl"/>
        </w:rPr>
        <w:t>cartado consistía en el aporte de una fotografía y no se podría ahora, vál</w:t>
      </w:r>
      <w:r>
        <w:rPr>
          <w:lang w:val="es-ES_tradnl"/>
        </w:rPr>
        <w:t>i</w:t>
      </w:r>
      <w:r>
        <w:rPr>
          <w:lang w:val="es-ES_tradnl"/>
        </w:rPr>
        <w:t>damente, condenar por otro tipo de maniobra realizada s</w:t>
      </w:r>
      <w:r>
        <w:rPr>
          <w:lang w:val="es-ES_tradnl"/>
        </w:rPr>
        <w:t>o</w:t>
      </w:r>
      <w:r>
        <w:rPr>
          <w:lang w:val="es-ES_tradnl"/>
        </w:rPr>
        <w:t>bre el cartular, pues se alterarían las circunstancias descriptas en el requer</w:t>
      </w:r>
      <w:r>
        <w:rPr>
          <w:lang w:val="es-ES_tradnl"/>
        </w:rPr>
        <w:t>i</w:t>
      </w:r>
      <w:r>
        <w:rPr>
          <w:lang w:val="es-ES_tradnl"/>
        </w:rPr>
        <w:t>miento de elevación a juicio.</w:t>
      </w:r>
    </w:p>
    <w:p w:rsidR="00224567" w:rsidRDefault="00224567">
      <w:pPr>
        <w:widowControl w:val="0"/>
        <w:rPr>
          <w:lang w:val="es-ES_tradnl"/>
        </w:rPr>
      </w:pPr>
      <w:r>
        <w:rPr>
          <w:lang w:val="es-ES_tradnl"/>
        </w:rPr>
        <w:tab/>
        <w:t>Ello implicaría violar el principio de co</w:t>
      </w:r>
      <w:r>
        <w:rPr>
          <w:lang w:val="es-ES_tradnl"/>
        </w:rPr>
        <w:t>n</w:t>
      </w:r>
      <w:r>
        <w:rPr>
          <w:lang w:val="es-ES_tradnl"/>
        </w:rPr>
        <w:t>gruencia que debe regir en todo proceso penal y que se deriva de la garantía de la defensa en juicio, cons</w:t>
      </w:r>
      <w:r>
        <w:rPr>
          <w:lang w:val="es-ES_tradnl"/>
        </w:rPr>
        <w:t>a</w:t>
      </w:r>
      <w:r>
        <w:rPr>
          <w:lang w:val="es-ES_tradnl"/>
        </w:rPr>
        <w:t xml:space="preserve">grada en el art. 18 de </w:t>
      </w:r>
      <w:smartTag w:uri="urn:schemas-microsoft-com:office:smarttags" w:element="PersonName">
        <w:smartTagPr>
          <w:attr w:name="ProductID" w:val="la Constituci￳n Nacional."/>
        </w:smartTagPr>
        <w:r>
          <w:rPr>
            <w:lang w:val="es-ES_tradnl"/>
          </w:rPr>
          <w:t>la Constitución Nacional.</w:t>
        </w:r>
      </w:smartTag>
    </w:p>
    <w:p w:rsidR="00224567" w:rsidRDefault="00224567">
      <w:pPr>
        <w:widowControl w:val="0"/>
      </w:pPr>
      <w:r>
        <w:rPr>
          <w:lang w:val="es-ES_tradnl"/>
        </w:rPr>
        <w:tab/>
        <w:t>Aquel principio exige que exista co</w:t>
      </w:r>
      <w:r>
        <w:rPr>
          <w:lang w:val="es-ES_tradnl"/>
        </w:rPr>
        <w:t>n</w:t>
      </w:r>
      <w:r>
        <w:rPr>
          <w:lang w:val="es-ES_tradnl"/>
        </w:rPr>
        <w:t>gruencia –relación lógica- entre el reproche final que se le hace al imputado y los hechos concretos que motivaron su acusación (</w:t>
      </w:r>
      <w:r>
        <w:t>cónf.</w:t>
      </w:r>
      <w:r>
        <w:rPr>
          <w:lang w:val="es-ES_tradnl"/>
        </w:rPr>
        <w:t xml:space="preserve"> </w:t>
      </w:r>
      <w:r>
        <w:t>Carrió, Alejandro D., “Garantías Con</w:t>
      </w:r>
      <w:r>
        <w:t>s</w:t>
      </w:r>
      <w:r>
        <w:t>titucionales en el Proceso Penal”, Hammurabi, Buenos A</w:t>
      </w:r>
      <w:r>
        <w:t>i</w:t>
      </w:r>
      <w:r>
        <w:t>res, 2003, pág. 99), vale decir, debe haber</w:t>
      </w:r>
      <w:r>
        <w:rPr>
          <w:lang w:val="es-ES_tradnl"/>
        </w:rPr>
        <w:t xml:space="preserve"> </w:t>
      </w:r>
      <w:r>
        <w:t>identidad e</w:t>
      </w:r>
      <w:r>
        <w:t>n</w:t>
      </w:r>
      <w:r>
        <w:t>tre los sucesos intimados en las declaraciones indagat</w:t>
      </w:r>
      <w:r>
        <w:t>o</w:t>
      </w:r>
      <w:r>
        <w:t>rias, los enunciados en el auto de procesamiento, en el requerimiento de elevación a juicio y los que fueron mot</w:t>
      </w:r>
      <w:r>
        <w:t>i</w:t>
      </w:r>
      <w:r>
        <w:t>vo de acusación en el contr</w:t>
      </w:r>
      <w:r>
        <w:t>a</w:t>
      </w:r>
      <w:r>
        <w:t>dictorio (cónf. este Tribunal en la causa “A</w:t>
      </w:r>
      <w:r>
        <w:t>l</w:t>
      </w:r>
      <w:r>
        <w:t xml:space="preserve">banese”, reg. nº 27/98, rta. el 28/9/98. En el mismo sentido, este Tribunal </w:t>
      </w:r>
      <w:r>
        <w:rPr>
          <w:u w:val="single"/>
        </w:rPr>
        <w:t>in re</w:t>
      </w:r>
      <w:r>
        <w:t xml:space="preserve"> “Olguera Huanca”, reg. nº 134, rta. el 13/9/95; “Orellana Cantillana”, reg. nº 244, rta. 6/12/96; “Barrera”, reg. nº 379, rta. el 10/3/98; y “Del Valle Villanueva”, reg. nº 385, rta. el 18/3/98).</w:t>
      </w:r>
    </w:p>
    <w:p w:rsidR="00224567" w:rsidRDefault="00224567">
      <w:pPr>
        <w:widowControl w:val="0"/>
      </w:pPr>
      <w:r>
        <w:tab/>
        <w:t>Al respecto, Julio Maier explica que debe haber una correlación entre la imputación y el f</w:t>
      </w:r>
      <w:r>
        <w:t>a</w:t>
      </w:r>
      <w:r>
        <w:t>llo, principio que fue reconocido por nuestra Corte Suprema. Puntualiza que la sentencia sólo se debe exp</w:t>
      </w:r>
      <w:r>
        <w:t>e</w:t>
      </w:r>
      <w:r>
        <w:t>dir sobre el hecho y las circunstancias que contiene la acusación, f</w:t>
      </w:r>
      <w:r>
        <w:t>i</w:t>
      </w:r>
      <w:r>
        <w:t>jando ésta el ámbito máximo de decisión de aquélla. A su vez, detalla que la sentencia no debe agregar circunsta</w:t>
      </w:r>
      <w:r>
        <w:t>n</w:t>
      </w:r>
      <w:r>
        <w:t>cias temporales, espaciales o de modo no contenidas en la acusación.</w:t>
      </w:r>
    </w:p>
    <w:p w:rsidR="00224567" w:rsidRDefault="00224567">
      <w:pPr>
        <w:widowControl w:val="0"/>
        <w:rPr>
          <w:color w:val="000000"/>
        </w:rPr>
      </w:pPr>
      <w:r>
        <w:tab/>
        <w:t>El autor añade que “la sentencia, p</w:t>
      </w:r>
      <w:r>
        <w:t>a</w:t>
      </w:r>
      <w:r>
        <w:t>ra no provocar indefensión, no puede exceder el marco de las circunstancias fácticas efectivamente descriptas por la acusación [...] para ser corroboradas durante el debate; y, más allá de ello, advertir que en estos casos, regula</w:t>
      </w:r>
      <w:r>
        <w:t>r</w:t>
      </w:r>
      <w:r>
        <w:t xml:space="preserve">mente, jugará un papel esencial el principio </w:t>
      </w:r>
      <w:r>
        <w:rPr>
          <w:i/>
          <w:iCs/>
        </w:rPr>
        <w:t>ne bis in idem</w:t>
      </w:r>
      <w:r>
        <w:t>, de manera que si la acusación fracasa u obtiene cierto resultado no será posible perseguir p</w:t>
      </w:r>
      <w:r>
        <w:t>e</w:t>
      </w:r>
      <w:r>
        <w:t>nalmente con posterioridad, introduciendo las circun</w:t>
      </w:r>
      <w:r>
        <w:t>s</w:t>
      </w:r>
      <w:r>
        <w:t>tancias faltantes en la primera persecución” (cónf.</w:t>
      </w:r>
      <w:r>
        <w:rPr>
          <w:color w:val="000000"/>
        </w:rPr>
        <w:t xml:space="preserve"> “Derecho Procesal Penal. I. Fundamentos”, Edit</w:t>
      </w:r>
      <w:r>
        <w:rPr>
          <w:color w:val="000000"/>
        </w:rPr>
        <w:t>o</w:t>
      </w:r>
      <w:r>
        <w:rPr>
          <w:color w:val="000000"/>
        </w:rPr>
        <w:t>res del Puerto, Buenos Aires, 2002, pág. 568 y sgtes.).</w:t>
      </w:r>
    </w:p>
    <w:p w:rsidR="00224567" w:rsidRDefault="00224567">
      <w:pPr>
        <w:widowControl w:val="0"/>
        <w:rPr>
          <w:color w:val="000000"/>
        </w:rPr>
      </w:pPr>
      <w:r>
        <w:rPr>
          <w:color w:val="000000"/>
        </w:rPr>
        <w:tab/>
        <w:t>Por su parte, Alfredo Vélez Mar</w:t>
      </w:r>
      <w:r>
        <w:rPr>
          <w:color w:val="000000"/>
        </w:rPr>
        <w:t>i</w:t>
      </w:r>
      <w:r>
        <w:rPr>
          <w:color w:val="000000"/>
        </w:rPr>
        <w:t>conde enseña que entre la acusación intimada y la se</w:t>
      </w:r>
      <w:r>
        <w:rPr>
          <w:color w:val="000000"/>
        </w:rPr>
        <w:t>n</w:t>
      </w:r>
      <w:r>
        <w:rPr>
          <w:color w:val="000000"/>
        </w:rPr>
        <w:t>tencia debe mediar una correlación esencial sobre el hecho, la que i</w:t>
      </w:r>
      <w:r>
        <w:rPr>
          <w:color w:val="000000"/>
        </w:rPr>
        <w:t>m</w:t>
      </w:r>
      <w:r>
        <w:rPr>
          <w:color w:val="000000"/>
        </w:rPr>
        <w:t>pide condenar al acusado por uno diverso del que fuera o</w:t>
      </w:r>
      <w:r>
        <w:rPr>
          <w:color w:val="000000"/>
        </w:rPr>
        <w:t>b</w:t>
      </w:r>
      <w:r>
        <w:rPr>
          <w:color w:val="000000"/>
        </w:rPr>
        <w:t>jeto de la imputación formulada. E</w:t>
      </w:r>
      <w:r>
        <w:rPr>
          <w:color w:val="000000"/>
        </w:rPr>
        <w:t>s</w:t>
      </w:r>
      <w:r>
        <w:rPr>
          <w:color w:val="000000"/>
        </w:rPr>
        <w:t xml:space="preserve">ta regla se conoce como </w:t>
      </w:r>
      <w:r>
        <w:rPr>
          <w:color w:val="000000"/>
          <w:u w:val="single"/>
        </w:rPr>
        <w:t>ne est iudex ultra petita partium</w:t>
      </w:r>
      <w:r>
        <w:rPr>
          <w:color w:val="000000"/>
        </w:rPr>
        <w:t xml:space="preserve"> y se deduce del princ</w:t>
      </w:r>
      <w:r>
        <w:rPr>
          <w:color w:val="000000"/>
        </w:rPr>
        <w:t>i</w:t>
      </w:r>
      <w:r>
        <w:rPr>
          <w:color w:val="000000"/>
        </w:rPr>
        <w:t>pio de la inviolabilidad de la defensa.</w:t>
      </w:r>
    </w:p>
    <w:p w:rsidR="00224567" w:rsidRDefault="00224567">
      <w:pPr>
        <w:widowControl w:val="0"/>
        <w:rPr>
          <w:color w:val="000000"/>
        </w:rPr>
      </w:pPr>
      <w:r>
        <w:rPr>
          <w:color w:val="000000"/>
        </w:rPr>
        <w:tab/>
        <w:t>Continúa diciendo que la sentencia d</w:t>
      </w:r>
      <w:r>
        <w:rPr>
          <w:color w:val="000000"/>
        </w:rPr>
        <w:t>e</w:t>
      </w:r>
      <w:r>
        <w:rPr>
          <w:color w:val="000000"/>
        </w:rPr>
        <w:t>be referirse al hecho imputado, al acontecimiento histór</w:t>
      </w:r>
      <w:r>
        <w:rPr>
          <w:color w:val="000000"/>
        </w:rPr>
        <w:t>i</w:t>
      </w:r>
      <w:r>
        <w:rPr>
          <w:color w:val="000000"/>
        </w:rPr>
        <w:t>co, a la concreta conducta humana puesta en tela de juicio y agrega que el juez no tiene libertad para admitir la existencia de una pluralidad de hechos, si la acción fue promovida por uno solo. Aclara que la situación de hecho descripta en el requerimiento fiscal debe ser esencialme</w:t>
      </w:r>
      <w:r>
        <w:rPr>
          <w:color w:val="000000"/>
        </w:rPr>
        <w:t>n</w:t>
      </w:r>
      <w:r>
        <w:rPr>
          <w:color w:val="000000"/>
        </w:rPr>
        <w:t>te igual a la enunciada en la se</w:t>
      </w:r>
      <w:r>
        <w:rPr>
          <w:color w:val="000000"/>
        </w:rPr>
        <w:t>n</w:t>
      </w:r>
      <w:r>
        <w:rPr>
          <w:color w:val="000000"/>
        </w:rPr>
        <w:t>tencia.</w:t>
      </w:r>
    </w:p>
    <w:p w:rsidR="00224567" w:rsidRDefault="00224567">
      <w:pPr>
        <w:widowControl w:val="0"/>
        <w:rPr>
          <w:color w:val="000000"/>
        </w:rPr>
      </w:pPr>
      <w:r>
        <w:rPr>
          <w:color w:val="000000"/>
        </w:rPr>
        <w:tab/>
        <w:t>Asimismo, señala que al tribunal de sentencia “</w:t>
      </w:r>
      <w:r>
        <w:rPr>
          <w:i/>
          <w:iCs/>
          <w:color w:val="000000"/>
        </w:rPr>
        <w:t>le está vedado condenar por un hecho diverso del que describió el actor penal, y la prohibición es a</w:t>
      </w:r>
      <w:r>
        <w:rPr>
          <w:i/>
          <w:iCs/>
          <w:color w:val="000000"/>
        </w:rPr>
        <w:t>b</w:t>
      </w:r>
      <w:r>
        <w:rPr>
          <w:i/>
          <w:iCs/>
          <w:color w:val="000000"/>
        </w:rPr>
        <w:t>soluta</w:t>
      </w:r>
      <w:r>
        <w:rPr>
          <w:color w:val="000000"/>
        </w:rPr>
        <w:t xml:space="preserve">; no podrá hacerlo nunca, le dé o no el mismo </w:t>
      </w:r>
      <w:r>
        <w:rPr>
          <w:i/>
          <w:iCs/>
          <w:color w:val="000000"/>
        </w:rPr>
        <w:t>nomen iuris</w:t>
      </w:r>
      <w:r>
        <w:rPr>
          <w:color w:val="000000"/>
        </w:rPr>
        <w:t xml:space="preserve"> afirmado por el Ministerio Público o por el Juez de Instrucción. La coincidencia de calificación legal, en a</w:t>
      </w:r>
      <w:r>
        <w:rPr>
          <w:color w:val="000000"/>
        </w:rPr>
        <w:t>b</w:t>
      </w:r>
      <w:r>
        <w:rPr>
          <w:color w:val="000000"/>
        </w:rPr>
        <w:t>soluto indiferente, no oculta la discordancia que habría sobre el objeto procesal” (</w:t>
      </w:r>
      <w:r>
        <w:t>cónf.</w:t>
      </w:r>
      <w:r>
        <w:rPr>
          <w:color w:val="000000"/>
        </w:rPr>
        <w:t xml:space="preserve"> “Derecho Proc</w:t>
      </w:r>
      <w:r>
        <w:rPr>
          <w:color w:val="000000"/>
        </w:rPr>
        <w:t>e</w:t>
      </w:r>
      <w:r>
        <w:rPr>
          <w:color w:val="000000"/>
        </w:rPr>
        <w:t>sal Penal”, tomo II, Marcos Lerner Editora Córdoba S.R.L., Córdoba, 1982, pág. 233 y sgtes.).</w:t>
      </w:r>
    </w:p>
    <w:p w:rsidR="00224567" w:rsidRDefault="00224567">
      <w:pPr>
        <w:widowControl w:val="0"/>
      </w:pPr>
      <w:r>
        <w:tab/>
        <w:t xml:space="preserve">En este sentido,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al resolver el caso “Rocchia”, e</w:t>
      </w:r>
      <w:r>
        <w:t>n</w:t>
      </w:r>
      <w:r>
        <w:t>tendió que en la justicia represiva, los magistrados d</w:t>
      </w:r>
      <w:r>
        <w:t>e</w:t>
      </w:r>
      <w:r>
        <w:t>bían restringir sus pronunciamientos a los hechos que constituyeron materia de juicio, es decir, el sustrato fáctico debía ser igual al que fue motivo de acusación; en caso contrario, se estaría ante una violación de la defe</w:t>
      </w:r>
      <w:r>
        <w:t>n</w:t>
      </w:r>
      <w:r>
        <w:t>sa en ju</w:t>
      </w:r>
      <w:r>
        <w:t>i</w:t>
      </w:r>
      <w:r>
        <w:t>cio (Fallos: 310:2094).</w:t>
      </w:r>
    </w:p>
    <w:p w:rsidR="00224567" w:rsidRDefault="00224567">
      <w:pPr>
        <w:widowControl w:val="0"/>
      </w:pPr>
      <w:r>
        <w:tab/>
        <w:t xml:space="preserve">Asimismo, </w:t>
      </w:r>
      <w:smartTag w:uri="urn:schemas-microsoft-com:office:smarttags" w:element="PersonName">
        <w:smartTagPr>
          <w:attr w:name="ProductID" w:val="la Corte"/>
        </w:smartTagPr>
        <w:r>
          <w:t>la Corte</w:t>
        </w:r>
      </w:smartTag>
      <w:r>
        <w:t xml:space="preserve"> señaló en el caso “Weissbrod” que no se puede condenar a un imputado por h</w:t>
      </w:r>
      <w:r>
        <w:t>e</w:t>
      </w:r>
      <w:r>
        <w:t>chos por los que no fue acusado en la requisitoria, ci</w:t>
      </w:r>
      <w:r>
        <w:t>r</w:t>
      </w:r>
      <w:r>
        <w:t>cunstancia que importaría una clara afectación a la gara</w:t>
      </w:r>
      <w:r>
        <w:t>n</w:t>
      </w:r>
      <w:r>
        <w:t>tía de defensa en juicio (Fallos: 312:597).</w:t>
      </w:r>
    </w:p>
    <w:p w:rsidR="00224567" w:rsidRDefault="00224567">
      <w:pPr>
        <w:widowControl w:val="0"/>
      </w:pPr>
      <w:r>
        <w:tab/>
        <w:t>También se sostuvo que la incongrue</w:t>
      </w:r>
      <w:r>
        <w:t>n</w:t>
      </w:r>
      <w:r>
        <w:t>cia se manifiesta ante la falta de identidad fá</w:t>
      </w:r>
      <w:r>
        <w:t>c</w:t>
      </w:r>
      <w:r>
        <w:t>tica entre el hecho por el cual se dicta la sentencia y aquel enu</w:t>
      </w:r>
      <w:r>
        <w:t>n</w:t>
      </w:r>
      <w:r>
        <w:t>ciado en la acusación (cónf. C.N.C.P., Sala II, causa “H</w:t>
      </w:r>
      <w:r>
        <w:t>e</w:t>
      </w:r>
      <w:r>
        <w:t>rrera, Miguel A.”, rta. el 30/3/99; y sus c</w:t>
      </w:r>
      <w:r>
        <w:t>i</w:t>
      </w:r>
      <w:r>
        <w:t>tas).</w:t>
      </w:r>
    </w:p>
    <w:p w:rsidR="00224567" w:rsidRDefault="00224567">
      <w:pPr>
        <w:widowControl w:val="0"/>
      </w:pPr>
      <w:r>
        <w:tab/>
        <w:t>En estas condiciones, el Tribunal no podría pronunciarse con relación a la enmienda del rubro “apellido” del documento, pues un pronunciamiento en ese sentido vulneraría el principio de congruencia derivado del art. 18 de nuestra Constitución Nacional y reconocido por la do</w:t>
      </w:r>
      <w:r>
        <w:t>c</w:t>
      </w:r>
      <w:r>
        <w:t>trina y la jurisprudencia.</w:t>
      </w:r>
    </w:p>
    <w:p w:rsidR="00224567" w:rsidRDefault="00224567">
      <w:pPr>
        <w:widowControl w:val="0"/>
      </w:pPr>
      <w:r>
        <w:rPr>
          <w:lang w:val="es-ES_tradnl"/>
        </w:rPr>
        <w:tab/>
      </w:r>
      <w:r>
        <w:rPr>
          <w:b/>
          <w:bCs/>
          <w:lang w:val="es-ES_tradnl"/>
        </w:rPr>
        <w:t>F)</w:t>
      </w:r>
      <w:r>
        <w:rPr>
          <w:lang w:val="es-ES_tradnl"/>
        </w:rPr>
        <w:t xml:space="preserve"> Descartada la responsabilidad p</w:t>
      </w:r>
      <w:r>
        <w:rPr>
          <w:lang w:val="es-ES_tradnl"/>
        </w:rPr>
        <w:t>e</w:t>
      </w:r>
      <w:r>
        <w:rPr>
          <w:lang w:val="es-ES_tradnl"/>
        </w:rPr>
        <w:t>nal de Carlos Alberto Telleldín en orden a la adulter</w:t>
      </w:r>
      <w:r>
        <w:rPr>
          <w:lang w:val="es-ES_tradnl"/>
        </w:rPr>
        <w:t>a</w:t>
      </w:r>
      <w:r>
        <w:rPr>
          <w:lang w:val="es-ES_tradnl"/>
        </w:rPr>
        <w:t>ción del Documento</w:t>
      </w:r>
      <w:r>
        <w:t xml:space="preserve"> Nacional de Identidad, triplicado, nº 14.536.215, por la sustitución de la fotografía, corre</w:t>
      </w:r>
      <w:r>
        <w:t>s</w:t>
      </w:r>
      <w:r>
        <w:t>ponde analizar si su conducta encuadra en el tipo previsto en el art. 296 del Código P</w:t>
      </w:r>
      <w:r>
        <w:t>e</w:t>
      </w:r>
      <w:r>
        <w:t>nal.</w:t>
      </w:r>
    </w:p>
    <w:p w:rsidR="00224567" w:rsidRDefault="00224567">
      <w:pPr>
        <w:widowControl w:val="0"/>
      </w:pPr>
      <w:r>
        <w:tab/>
        <w:t>A estos efectos se debe recordar que el tipo del art. 296 no requiere, como cond</w:t>
      </w:r>
      <w:r>
        <w:t>i</w:t>
      </w:r>
      <w:r>
        <w:t xml:space="preserve">ción </w:t>
      </w:r>
      <w:r>
        <w:rPr>
          <w:u w:val="single"/>
        </w:rPr>
        <w:t>sine qua non</w:t>
      </w:r>
      <w:r>
        <w:t>, una previa falsificación punible. Así, conforme lo sostuviera este Tribunal al resolver en los autos “Prat</w:t>
      </w:r>
      <w:r>
        <w:t>o</w:t>
      </w:r>
      <w:r>
        <w:t>longo, Lilia Vi</w:t>
      </w:r>
      <w:r>
        <w:t>r</w:t>
      </w:r>
      <w:r>
        <w:t>ginia”, del 3/5/95, reg. n° 8/95; “Frick, Néstor Gerardo”, del 2/7/97, reg. n° 24/97; “Guerra, Zunilda Olga”, del 12/8/98, reg. n° 22/98 y “López de A</w:t>
      </w:r>
      <w:r>
        <w:t>r</w:t>
      </w:r>
      <w:r>
        <w:t>mentia, Alejo Manuel”, del 26/4/99, reg. nº 11/99, entre otros, desplazada la falsificación, renace y resulta apl</w:t>
      </w:r>
      <w:r>
        <w:t>i</w:t>
      </w:r>
      <w:r>
        <w:t>cable el uso del documento en cue</w:t>
      </w:r>
      <w:r>
        <w:t>s</w:t>
      </w:r>
      <w:r>
        <w:t>tión.</w:t>
      </w:r>
    </w:p>
    <w:p w:rsidR="00224567" w:rsidRDefault="00224567">
      <w:pPr>
        <w:widowControl w:val="0"/>
      </w:pPr>
      <w:r>
        <w:tab/>
        <w:t>En el caso, si bien el fiscal de ju</w:t>
      </w:r>
      <w:r>
        <w:t>i</w:t>
      </w:r>
      <w:r>
        <w:t>cio enumeró una serie de oportunidades en las que el imp</w:t>
      </w:r>
      <w:r>
        <w:t>u</w:t>
      </w:r>
      <w:r>
        <w:t>tado habría utilizado el documento, el Tr</w:t>
      </w:r>
      <w:r>
        <w:t>i</w:t>
      </w:r>
      <w:r>
        <w:t>bunal acotará su tratamiento a las mencionadas en el requerimiento de el</w:t>
      </w:r>
      <w:r>
        <w:t>e</w:t>
      </w:r>
      <w:r>
        <w:t xml:space="preserve">vación a juicio por cuanto, como se expuso </w:t>
      </w:r>
      <w:r>
        <w:rPr>
          <w:u w:val="single"/>
        </w:rPr>
        <w:t>ut supra</w:t>
      </w:r>
      <w:r>
        <w:t>, dicha pieza delimita el objeto procesal ace</w:t>
      </w:r>
      <w:r>
        <w:t>r</w:t>
      </w:r>
      <w:r>
        <w:t>ca del cual versará el debate y la sentencia, no p</w:t>
      </w:r>
      <w:r>
        <w:t>u</w:t>
      </w:r>
      <w:r>
        <w:t>diéndose extender más allá de los hechos allí fijados; lo contrario implicaría vi</w:t>
      </w:r>
      <w:r>
        <w:t>o</w:t>
      </w:r>
      <w:r>
        <w:t>lentar el principio de co</w:t>
      </w:r>
      <w:r>
        <w:t>n</w:t>
      </w:r>
      <w:r>
        <w:t>gruencia.</w:t>
      </w:r>
    </w:p>
    <w:p w:rsidR="00224567" w:rsidRDefault="00224567">
      <w:pPr>
        <w:widowControl w:val="0"/>
      </w:pPr>
      <w:r>
        <w:tab/>
        <w:t>En dicho requerimiento se consideró establecido que “al menos en cuatro oportunidades Telle</w:t>
      </w:r>
      <w:r>
        <w:t>l</w:t>
      </w:r>
      <w:r>
        <w:t>dín hizo uso del documento espurio para acreditar su ide</w:t>
      </w:r>
      <w:r>
        <w:t>n</w:t>
      </w:r>
      <w:r>
        <w:t>tidad como ‘Teccedin’; ello, conforme se inse</w:t>
      </w:r>
      <w:r>
        <w:t>r</w:t>
      </w:r>
      <w:r>
        <w:t>tara en los formularios de solicitud de verificación policial de los rodados marca Renault 12 TL, patente C 1.643.051; R</w:t>
      </w:r>
      <w:r>
        <w:t>e</w:t>
      </w:r>
      <w:r>
        <w:t>nault 11 TS, dominio B 2.443.374; Renault 12 TL, patente B 2.335.520 y Renault Trafic dominio B 2.242.044, present</w:t>
      </w:r>
      <w:r>
        <w:t>a</w:t>
      </w:r>
      <w:r>
        <w:t>dos ante la autoridad pertinente con fechas 14 de dicie</w:t>
      </w:r>
      <w:r>
        <w:t>m</w:t>
      </w:r>
      <w:r>
        <w:t>bre de 1993 y 21 de abril, 24 de junio y 27 de mayo de 1994, respectivame</w:t>
      </w:r>
      <w:r>
        <w:t>n</w:t>
      </w:r>
      <w:r>
        <w:t>te”.</w:t>
      </w:r>
    </w:p>
    <w:p w:rsidR="00224567" w:rsidRDefault="00224567">
      <w:pPr>
        <w:widowControl w:val="0"/>
      </w:pPr>
      <w:r>
        <w:tab/>
        <w:t>Añadieron los fiscales ante la in</w:t>
      </w:r>
      <w:r>
        <w:t>s</w:t>
      </w:r>
      <w:r>
        <w:t>trucción que “a lo dicho debe agregarse que Telleldín a</w:t>
      </w:r>
      <w:r>
        <w:t>d</w:t>
      </w:r>
      <w:r>
        <w:t>quiría la mayoría de los rodados siniestrados que luego ‘doblaba’ en ‘Alejandro Automotores’, lugar donde era atendido por Antonio José Quiroga, habiendo refer</w:t>
      </w:r>
      <w:r>
        <w:t>i</w:t>
      </w:r>
      <w:r>
        <w:t>do éste al declarar en las presentes actuaciones que sabía que su apellido era ‘Teccedin’, ya que en alguna oportunidad le había mostrado su documento para realizar alguna oper</w:t>
      </w:r>
      <w:r>
        <w:t>a</w:t>
      </w:r>
      <w:r>
        <w:t>ción”.</w:t>
      </w:r>
    </w:p>
    <w:p w:rsidR="00224567" w:rsidRDefault="00224567">
      <w:pPr>
        <w:widowControl w:val="0"/>
      </w:pPr>
      <w:r>
        <w:tab/>
        <w:t>El fiscal de juicio, también en forma casi textual, reprodujo el párrafo del requerimiento co</w:t>
      </w:r>
      <w:r>
        <w:t>n</w:t>
      </w:r>
      <w:r>
        <w:t>cerniente a los cuatro formularios de solicitud de verif</w:t>
      </w:r>
      <w:r>
        <w:t>i</w:t>
      </w:r>
      <w:r>
        <w:t>cación policial mencionados, a la vez que estimó acredit</w:t>
      </w:r>
      <w:r>
        <w:t>a</w:t>
      </w:r>
      <w:r>
        <w:t>do que Telleldín utilizó el documento adulterado “en d</w:t>
      </w:r>
      <w:r>
        <w:t>i</w:t>
      </w:r>
      <w:r>
        <w:t>versos actos llevados a cabo con la firma ‘Alejandro Aut</w:t>
      </w:r>
      <w:r>
        <w:t>o</w:t>
      </w:r>
      <w:r>
        <w:t>mot</w:t>
      </w:r>
      <w:r>
        <w:t>o</w:t>
      </w:r>
      <w:r>
        <w:t>res’”.</w:t>
      </w:r>
    </w:p>
    <w:p w:rsidR="00224567" w:rsidRDefault="00224567">
      <w:pPr>
        <w:widowControl w:val="0"/>
        <w:rPr>
          <w:lang w:val="es-ES_tradnl"/>
        </w:rPr>
      </w:pPr>
      <w:r>
        <w:tab/>
        <w:t>Con relación a la supuesta utiliz</w:t>
      </w:r>
      <w:r>
        <w:t>a</w:t>
      </w:r>
      <w:r>
        <w:t>ción del documento en la empresa “Alejandro Automotores”, el Tribunal no se encuentra habilitado para expedirse al re</w:t>
      </w:r>
      <w:r>
        <w:t>s</w:t>
      </w:r>
      <w:r>
        <w:t>pecto, toda vez que en la etapa instructoria Telle</w:t>
      </w:r>
      <w:r>
        <w:t>l</w:t>
      </w:r>
      <w:r>
        <w:t>dín no fue indagado por dichos sucesos (cónf. declaraciones ind</w:t>
      </w:r>
      <w:r>
        <w:t>a</w:t>
      </w:r>
      <w:r>
        <w:t xml:space="preserve">gatorias del imputado, en especial las de fs. </w:t>
      </w:r>
      <w:r>
        <w:rPr>
          <w:lang w:val="es-ES_tradnl"/>
        </w:rPr>
        <w:t xml:space="preserve">18.914/18.915 y </w:t>
      </w:r>
      <w:r>
        <w:t>28.688/28.690, que versaron acerca del t</w:t>
      </w:r>
      <w:r>
        <w:t>e</w:t>
      </w:r>
      <w:r>
        <w:t xml:space="preserve">ma en análisis); consecuentemente, </w:t>
      </w:r>
      <w:r>
        <w:rPr>
          <w:spacing w:val="-2"/>
        </w:rPr>
        <w:t>tampoco el auto de pr</w:t>
      </w:r>
      <w:r>
        <w:rPr>
          <w:spacing w:val="-2"/>
        </w:rPr>
        <w:t>o</w:t>
      </w:r>
      <w:r>
        <w:rPr>
          <w:spacing w:val="-2"/>
        </w:rPr>
        <w:t xml:space="preserve">cesamiento de </w:t>
      </w:r>
      <w:r>
        <w:rPr>
          <w:lang w:val="es-ES_tradnl"/>
        </w:rPr>
        <w:t>fs. 29.770/29.776 alude a tales usos.</w:t>
      </w:r>
    </w:p>
    <w:p w:rsidR="00224567" w:rsidRDefault="00224567">
      <w:pPr>
        <w:widowControl w:val="0"/>
      </w:pPr>
      <w:r>
        <w:rPr>
          <w:lang w:val="es-ES_tradnl"/>
        </w:rPr>
        <w:tab/>
      </w:r>
      <w:r>
        <w:t>Así, la imputación realizada por los agentes fiscales a Telleldín en el requerimiento de elev</w:t>
      </w:r>
      <w:r>
        <w:t>a</w:t>
      </w:r>
      <w:r>
        <w:t>ción a juicio contravino en este aspecto el principio de congruencia, al versar sobre sucesos por los cuales el e</w:t>
      </w:r>
      <w:r>
        <w:t>n</w:t>
      </w:r>
      <w:r>
        <w:t>cartado no fue indagado ni procesado.</w:t>
      </w:r>
    </w:p>
    <w:p w:rsidR="00224567" w:rsidRDefault="00224567">
      <w:pPr>
        <w:widowControl w:val="0"/>
        <w:rPr>
          <w:lang w:val="es-ES_tradnl"/>
        </w:rPr>
      </w:pPr>
      <w:r>
        <w:tab/>
        <w:t>En el mismo sentido, tampoco puede t</w:t>
      </w:r>
      <w:r>
        <w:t>o</w:t>
      </w:r>
      <w:r>
        <w:t xml:space="preserve">marse en cuenta la imputación formulada a Telleldín en su declaración indagatoria de </w:t>
      </w:r>
      <w:r>
        <w:rPr>
          <w:lang w:val="es-ES_tradnl"/>
        </w:rPr>
        <w:t xml:space="preserve">fs. 18.914/18.915, según la cual hizo “uso de un Documento Nacional de Identidad en ocasión de ser detenido por </w:t>
      </w:r>
      <w:smartTag w:uri="urn:schemas-microsoft-com:office:smarttags" w:element="PersonName">
        <w:smartTagPr>
          <w:attr w:name="ProductID" w:val="la Brigada"/>
        </w:smartTagPr>
        <w:r>
          <w:rPr>
            <w:lang w:val="es-ES_tradnl"/>
          </w:rPr>
          <w:t>la Brigada</w:t>
        </w:r>
      </w:smartTag>
      <w:r>
        <w:rPr>
          <w:lang w:val="es-ES_tradnl"/>
        </w:rPr>
        <w:t xml:space="preserve"> de Investigaci</w:t>
      </w:r>
      <w:r>
        <w:rPr>
          <w:lang w:val="es-ES_tradnl"/>
        </w:rPr>
        <w:t>o</w:t>
      </w:r>
      <w:r>
        <w:rPr>
          <w:lang w:val="es-ES_tradnl"/>
        </w:rPr>
        <w:t xml:space="preserve">nes de Lanús en el mes de abril de </w:t>
      </w:r>
      <w:smartTag w:uri="urn:schemas-microsoft-com:office:smarttags" w:element="metricconverter">
        <w:smartTagPr>
          <w:attr w:name="ProductID" w:val="1994”"/>
        </w:smartTagPr>
        <w:r>
          <w:rPr>
            <w:lang w:val="es-ES_tradnl"/>
          </w:rPr>
          <w:t>1994”</w:t>
        </w:r>
      </w:smartTag>
      <w:r>
        <w:rPr>
          <w:lang w:val="es-ES_tradnl"/>
        </w:rPr>
        <w:t>, por la que también se lo i</w:t>
      </w:r>
      <w:r>
        <w:rPr>
          <w:lang w:val="es-ES_tradnl"/>
        </w:rPr>
        <w:t>n</w:t>
      </w:r>
      <w:r>
        <w:rPr>
          <w:lang w:val="es-ES_tradnl"/>
        </w:rPr>
        <w:t xml:space="preserve">terrogó al deponer a fs. </w:t>
      </w:r>
      <w:r>
        <w:t>28.688/28.690; suceso por el cual</w:t>
      </w:r>
      <w:r>
        <w:rPr>
          <w:lang w:val="es-ES_tradnl"/>
        </w:rPr>
        <w:t xml:space="preserve"> Telleldín no fue procesado ni requerida su elev</w:t>
      </w:r>
      <w:r>
        <w:rPr>
          <w:lang w:val="es-ES_tradnl"/>
        </w:rPr>
        <w:t>a</w:t>
      </w:r>
      <w:r>
        <w:rPr>
          <w:lang w:val="es-ES_tradnl"/>
        </w:rPr>
        <w:t>ción a ju</w:t>
      </w:r>
      <w:r>
        <w:rPr>
          <w:lang w:val="es-ES_tradnl"/>
        </w:rPr>
        <w:t>i</w:t>
      </w:r>
      <w:r>
        <w:rPr>
          <w:lang w:val="es-ES_tradnl"/>
        </w:rPr>
        <w:t>cio.</w:t>
      </w:r>
    </w:p>
    <w:p w:rsidR="00224567" w:rsidRDefault="00224567">
      <w:pPr>
        <w:pStyle w:val="Textoindependiente"/>
        <w:spacing w:line="600" w:lineRule="auto"/>
      </w:pPr>
      <w:r>
        <w:tab/>
      </w:r>
      <w:r>
        <w:tab/>
        <w:t>Finalmente, resta analizar el repr</w:t>
      </w:r>
      <w:r>
        <w:t>o</w:t>
      </w:r>
      <w:r>
        <w:t>che vinculado con la supuesta exhibición del triplicado de su Doc</w:t>
      </w:r>
      <w:r>
        <w:t>u</w:t>
      </w:r>
      <w:r>
        <w:t>mento Nacional de Identidad en ocasión de tramitar los formularios de solicitud de verificación policial de los vehículos Renault 12 TL, dominio C 1.643.051, Renault 11 TS, dominio B 2.443.374, Renault 12 TL, d</w:t>
      </w:r>
      <w:r>
        <w:t>o</w:t>
      </w:r>
      <w:r>
        <w:t>minio B 2.335.520 y Renault Trafic, dominio B 2.242.044.</w:t>
      </w:r>
    </w:p>
    <w:p w:rsidR="00224567" w:rsidRDefault="00224567">
      <w:pPr>
        <w:widowControl w:val="0"/>
      </w:pPr>
      <w:r>
        <w:tab/>
        <w:t>Cabe señalar, primeramente, que re</w:t>
      </w:r>
      <w:r>
        <w:t>s</w:t>
      </w:r>
      <w:r>
        <w:t>pecto del vehículo dominio B 2.443.374, Telleldín nunca fue indagado, mientras que en su declaración indagatoria de fs. 28.688/28.690 tan sólo se lo interrogó acerca de los rod</w:t>
      </w:r>
      <w:r>
        <w:t>a</w:t>
      </w:r>
      <w:r>
        <w:t>dos dominio C 1.643.051, B 2.242.044 y B 2.335.520 y también con relación al Renault Fuego dom</w:t>
      </w:r>
      <w:r>
        <w:t>i</w:t>
      </w:r>
      <w:r>
        <w:t>nio S 594.870.</w:t>
      </w:r>
    </w:p>
    <w:p w:rsidR="00224567" w:rsidRDefault="00224567">
      <w:pPr>
        <w:widowControl w:val="0"/>
      </w:pPr>
      <w:r>
        <w:tab/>
        <w:t>Respecto a los tres últimos vehíc</w:t>
      </w:r>
      <w:r>
        <w:t>u</w:t>
      </w:r>
      <w:r>
        <w:t>los, se observa que en ocasión de dicha indagatoria se los pr</w:t>
      </w:r>
      <w:r>
        <w:t>e</w:t>
      </w:r>
      <w:r>
        <w:t>cisó por remisión al auto de procesamiento del 2 de n</w:t>
      </w:r>
      <w:r>
        <w:t>o</w:t>
      </w:r>
      <w:r>
        <w:t xml:space="preserve">viembre de 1995, glosado a fs. </w:t>
      </w:r>
      <w:r>
        <w:rPr>
          <w:rFonts w:eastAsia="PMingLiU"/>
          <w:lang w:val="es-ES_tradnl"/>
        </w:rPr>
        <w:t>19.488/19.544</w:t>
      </w:r>
      <w:r>
        <w:t>, pu</w:t>
      </w:r>
      <w:r>
        <w:t>n</w:t>
      </w:r>
      <w:r>
        <w:t>tos 4, 6 y 7 del párrafo 5 –“En cuanto al imputado Carlos Alberto Telleldín en vinculación al hecho nº II”- que versaba acerca de las maniobras ilícitas realizadas sobre autom</w:t>
      </w:r>
      <w:r>
        <w:t>o</w:t>
      </w:r>
      <w:r>
        <w:t>tores que el encartado vendió.</w:t>
      </w:r>
    </w:p>
    <w:p w:rsidR="00224567" w:rsidRDefault="00224567">
      <w:pPr>
        <w:widowControl w:val="0"/>
      </w:pPr>
      <w:r>
        <w:tab/>
        <w:t>Sin embargo, al ampliarse a fs. 29.770/29.776 el procesamiento de Carlos Alberto T</w:t>
      </w:r>
      <w:r>
        <w:t>e</w:t>
      </w:r>
      <w:r>
        <w:t xml:space="preserve">lleldín </w:t>
      </w:r>
      <w:r>
        <w:rPr>
          <w:lang w:val="es-ES_tradnl"/>
        </w:rPr>
        <w:t>en orden al delito de “uso reiterado (4 hechos) de Doc</w:t>
      </w:r>
      <w:r>
        <w:rPr>
          <w:lang w:val="es-ES_tradnl"/>
        </w:rPr>
        <w:t>u</w:t>
      </w:r>
      <w:r>
        <w:rPr>
          <w:lang w:val="es-ES_tradnl"/>
        </w:rPr>
        <w:t>mento Nacional de Identidad adulterado, en calidad de a</w:t>
      </w:r>
      <w:r>
        <w:rPr>
          <w:lang w:val="es-ES_tradnl"/>
        </w:rPr>
        <w:t>u</w:t>
      </w:r>
      <w:r>
        <w:rPr>
          <w:lang w:val="es-ES_tradnl"/>
        </w:rPr>
        <w:t>tor”, se lo responsabilizó por la presentación del menci</w:t>
      </w:r>
      <w:r>
        <w:rPr>
          <w:lang w:val="es-ES_tradnl"/>
        </w:rPr>
        <w:t>o</w:t>
      </w:r>
      <w:r>
        <w:rPr>
          <w:lang w:val="es-ES_tradnl"/>
        </w:rPr>
        <w:t>nado documento en los trámites de verificación de los r</w:t>
      </w:r>
      <w:r>
        <w:rPr>
          <w:lang w:val="es-ES_tradnl"/>
        </w:rPr>
        <w:t>o</w:t>
      </w:r>
      <w:r>
        <w:rPr>
          <w:lang w:val="es-ES_tradnl"/>
        </w:rPr>
        <w:t xml:space="preserve">dados dominio C 1.643.051, B 2.242.044, B 2.335.520 y B 2.443.374; vale decir, no se mencionó el automóvil </w:t>
      </w:r>
      <w:r>
        <w:t xml:space="preserve">S 594.870, por el que había sido indagado, agregándose el </w:t>
      </w:r>
      <w:r>
        <w:rPr>
          <w:lang w:val="es-ES_tradnl"/>
        </w:rPr>
        <w:t>B 2.443.374, que no aparece mencionado en dicha declaración.</w:t>
      </w:r>
    </w:p>
    <w:p w:rsidR="00224567" w:rsidRDefault="00224567">
      <w:pPr>
        <w:widowControl w:val="0"/>
      </w:pPr>
      <w:r>
        <w:tab/>
        <w:t>Así, el marco fáctico que deberá t</w:t>
      </w:r>
      <w:r>
        <w:t>o</w:t>
      </w:r>
      <w:r>
        <w:t>mar el Tribunal para expedirse queda limitado a los formul</w:t>
      </w:r>
      <w:r>
        <w:t>a</w:t>
      </w:r>
      <w:r>
        <w:t xml:space="preserve">rios de verificación policial de los vehículos </w:t>
      </w:r>
      <w:r>
        <w:rPr>
          <w:lang w:val="es-ES_tradnl"/>
        </w:rPr>
        <w:t>dominio C 1.643.051, B 2.242.044 y B 2.335.520.</w:t>
      </w:r>
    </w:p>
    <w:p w:rsidR="00224567" w:rsidRDefault="00224567">
      <w:pPr>
        <w:widowControl w:val="0"/>
      </w:pPr>
      <w:r>
        <w:tab/>
        <w:t>Al respecto, la carencia absoluta de pruebas demostrativas de que Carlos Alberto Telle</w:t>
      </w:r>
      <w:r>
        <w:t>l</w:t>
      </w:r>
      <w:r>
        <w:t>dín hizo uso de su Documento Nacional de Identidad al tr</w:t>
      </w:r>
      <w:r>
        <w:t>a</w:t>
      </w:r>
      <w:r>
        <w:t>mitar las verificaciones de dichos rodados, impide arribar a un pr</w:t>
      </w:r>
      <w:r>
        <w:t>o</w:t>
      </w:r>
      <w:r>
        <w:t>nunciamiento condenatorio.</w:t>
      </w:r>
    </w:p>
    <w:p w:rsidR="00224567" w:rsidRDefault="00224567">
      <w:pPr>
        <w:widowControl w:val="0"/>
      </w:pPr>
      <w:r>
        <w:tab/>
        <w:t>Si bien al prestar declaración indag</w:t>
      </w:r>
      <w:r>
        <w:t>a</w:t>
      </w:r>
      <w:r>
        <w:t>toria el imputado admitió haber presentado su doc</w:t>
      </w:r>
      <w:r>
        <w:t>u</w:t>
      </w:r>
      <w:r>
        <w:t>mento de identidad en oportunidad de verificar el automóvil d</w:t>
      </w:r>
      <w:r>
        <w:t>o</w:t>
      </w:r>
      <w:r>
        <w:t>minio C 1.643.051, al expedirse con relación a los rodados con patentes B 2.242.044 y B 2.335.520 explicó, sin otras pr</w:t>
      </w:r>
      <w:r>
        <w:t>e</w:t>
      </w:r>
      <w:r>
        <w:t>cisiones, que no concurría personalmente a las plantas v</w:t>
      </w:r>
      <w:r>
        <w:t>e</w:t>
      </w:r>
      <w:r>
        <w:t>rificadoras, limitándose a e</w:t>
      </w:r>
      <w:r>
        <w:t>n</w:t>
      </w:r>
      <w:r>
        <w:t>viar por fax una fotocopia de su documento.</w:t>
      </w:r>
    </w:p>
    <w:p w:rsidR="00224567" w:rsidRDefault="00224567">
      <w:pPr>
        <w:widowControl w:val="0"/>
      </w:pPr>
      <w:r>
        <w:tab/>
        <w:t>En este sentido, resulta oportuno r</w:t>
      </w:r>
      <w:r>
        <w:t>e</w:t>
      </w:r>
      <w:r>
        <w:t>cordar que los dichos confesorios del imputado no bastan por sí solos para fundar una sentencia condenatoria, en tanto no encuentren respaldo en otros elementos de ju</w:t>
      </w:r>
      <w:r>
        <w:t>i</w:t>
      </w:r>
      <w:r>
        <w:t>cio.</w:t>
      </w:r>
    </w:p>
    <w:p w:rsidR="00224567" w:rsidRDefault="00224567">
      <w:pPr>
        <w:widowControl w:val="0"/>
      </w:pPr>
      <w:r>
        <w:tab/>
        <w:t>En efecto, si bien en los formularios figuran los “datos del solicitante”, en ninguno de ellos consta que efectivamente se haya exhibido el d</w:t>
      </w:r>
      <w:r>
        <w:t>o</w:t>
      </w:r>
      <w:r>
        <w:t>cumento de identidad al completarlos; aspecto acerca del cual, vale señalarlo, los acusadores no solicitaron diligencia alguna encaminada a explicitar el procedimiento que se seguía h</w:t>
      </w:r>
      <w:r>
        <w:t>a</w:t>
      </w:r>
      <w:r>
        <w:t xml:space="preserve">bitualmente en </w:t>
      </w:r>
      <w:smartTag w:uri="urn:schemas-microsoft-com:office:smarttags" w:element="PersonName">
        <w:smartTagPr>
          <w:attr w:name="ProductID" w:val="la Planta Verificadora"/>
        </w:smartTagPr>
        <w:r>
          <w:t>la Planta Verificadora</w:t>
        </w:r>
      </w:smartTag>
      <w:r>
        <w:t xml:space="preserve"> de </w:t>
      </w:r>
      <w:smartTag w:uri="urn:schemas-microsoft-com:office:smarttags" w:element="PersonName">
        <w:smartTagPr>
          <w:attr w:name="ProductID" w:val="la Polic￭a Federal"/>
        </w:smartTagPr>
        <w:r>
          <w:t>la Policía Fed</w:t>
        </w:r>
        <w:r>
          <w:t>e</w:t>
        </w:r>
        <w:r>
          <w:t>ral</w:t>
        </w:r>
      </w:smartTag>
      <w:r>
        <w:t xml:space="preserve"> Argentina para la confe</w:t>
      </w:r>
      <w:r>
        <w:t>c</w:t>
      </w:r>
      <w:r>
        <w:t>ción de aquellos.</w:t>
      </w:r>
    </w:p>
    <w:p w:rsidR="00224567" w:rsidRDefault="00224567">
      <w:pPr>
        <w:widowControl w:val="0"/>
      </w:pPr>
      <w:r>
        <w:tab/>
        <w:t>También cabe señalar que los domic</w:t>
      </w:r>
      <w:r>
        <w:t>i</w:t>
      </w:r>
      <w:r>
        <w:t>lios asentados en los formularios en cuestión no coinc</w:t>
      </w:r>
      <w:r>
        <w:t>i</w:t>
      </w:r>
      <w:r>
        <w:t>den, en ningún caso, con el que figura en el docume</w:t>
      </w:r>
      <w:r>
        <w:t>n</w:t>
      </w:r>
      <w:r>
        <w:t>to de marras, por lo que el perito verificador no pudo, al m</w:t>
      </w:r>
      <w:r>
        <w:t>e</w:t>
      </w:r>
      <w:r>
        <w:t>nos, obt</w:t>
      </w:r>
      <w:r>
        <w:t>e</w:t>
      </w:r>
      <w:r>
        <w:t>nerlos de él.</w:t>
      </w:r>
    </w:p>
    <w:p w:rsidR="00224567" w:rsidRDefault="00224567">
      <w:pPr>
        <w:widowControl w:val="0"/>
      </w:pPr>
      <w:r>
        <w:tab/>
        <w:t>A ello se agrega el vínculo que habría existido entre Carlos Alberto Telleldín y el perito Rica</w:t>
      </w:r>
      <w:r>
        <w:t>r</w:t>
      </w:r>
      <w:r>
        <w:t>do Equitanti, quien suscribió las referidas verificaci</w:t>
      </w:r>
      <w:r>
        <w:t>o</w:t>
      </w:r>
      <w:r>
        <w:t xml:space="preserve">nes; vínculo del que dio cuenta la agenda secuestrada a aquél, </w:t>
      </w:r>
      <w:r>
        <w:rPr>
          <w:spacing w:val="-2"/>
        </w:rPr>
        <w:t xml:space="preserve">en la que figura </w:t>
      </w:r>
      <w:r>
        <w:t>el teléfono particular del verif</w:t>
      </w:r>
      <w:r>
        <w:t>i</w:t>
      </w:r>
      <w:r>
        <w:t xml:space="preserve">cador, y las </w:t>
      </w:r>
      <w:r>
        <w:rPr>
          <w:spacing w:val="-2"/>
        </w:rPr>
        <w:t>comunicaciones telefón</w:t>
      </w:r>
      <w:r>
        <w:rPr>
          <w:spacing w:val="-2"/>
        </w:rPr>
        <w:t>i</w:t>
      </w:r>
      <w:r>
        <w:rPr>
          <w:spacing w:val="-2"/>
        </w:rPr>
        <w:t xml:space="preserve">cas entre ese abonado y el </w:t>
      </w:r>
      <w:r>
        <w:t>celular 478-7685, que el e</w:t>
      </w:r>
      <w:r>
        <w:t>n</w:t>
      </w:r>
      <w:r>
        <w:t>cartado reconoció.</w:t>
      </w:r>
    </w:p>
    <w:p w:rsidR="00224567" w:rsidRDefault="00224567">
      <w:pPr>
        <w:widowControl w:val="0"/>
      </w:pPr>
      <w:r>
        <w:tab/>
        <w:t>Los comprobados contactos, sumados a las manifestaciones del acusado, traen dudas en torno a la forma en que Telleldín instrumentaba las verificaciones policiales de los rodados que c</w:t>
      </w:r>
      <w:r>
        <w:t>o</w:t>
      </w:r>
      <w:r>
        <w:t>mercializaba, a la vez que impiden sostener, con un mínimo grado de certeza, que el nombrado haya e</w:t>
      </w:r>
      <w:r>
        <w:t>x</w:t>
      </w:r>
      <w:r>
        <w:t>hibido efectivamente su Documento Nacional de Identidad a Equ</w:t>
      </w:r>
      <w:r>
        <w:t>i</w:t>
      </w:r>
      <w:r>
        <w:t>tanti, a quien, como se vio, lo unía un vínculo que iba más allá del meramente circunstancial.</w:t>
      </w:r>
    </w:p>
    <w:p w:rsidR="00224567" w:rsidRDefault="00224567">
      <w:pPr>
        <w:widowControl w:val="0"/>
      </w:pPr>
      <w:r>
        <w:tab/>
        <w:t>En suma, sea porque se vulnera el principio de congruencia o por no existir prueba suficie</w:t>
      </w:r>
      <w:r>
        <w:t>n</w:t>
      </w:r>
      <w:r>
        <w:t>te, el Tribunal considera que tampoco cabe formular repr</w:t>
      </w:r>
      <w:r>
        <w:t>o</w:t>
      </w:r>
      <w:r>
        <w:t>che a Carlos Alberto Telleldín en orden al delito que pr</w:t>
      </w:r>
      <w:r>
        <w:t>e</w:t>
      </w:r>
      <w:r>
        <w:t xml:space="preserve">vé el art. 296 del Código Penal, por lo que </w:t>
      </w:r>
      <w:r>
        <w:rPr>
          <w:lang w:val="es-ES_tradnl"/>
        </w:rPr>
        <w:t>c</w:t>
      </w:r>
      <w:r>
        <w:rPr>
          <w:lang w:val="es-ES_tradnl"/>
        </w:rPr>
        <w:t>o</w:t>
      </w:r>
      <w:r>
        <w:rPr>
          <w:lang w:val="es-ES_tradnl"/>
        </w:rPr>
        <w:t>rresponde su absolución, sin co</w:t>
      </w:r>
      <w:r>
        <w:rPr>
          <w:lang w:val="es-ES_tradnl"/>
        </w:rPr>
        <w:t>s</w:t>
      </w:r>
      <w:r>
        <w:rPr>
          <w:lang w:val="es-ES_tradnl"/>
        </w:rPr>
        <w:t>tas</w:t>
      </w:r>
      <w:r>
        <w:t>.</w:t>
      </w:r>
    </w:p>
    <w:p w:rsidR="00224567" w:rsidRDefault="00224567">
      <w:pPr>
        <w:widowControl w:val="0"/>
      </w:pPr>
    </w:p>
    <w:p w:rsidR="00224567" w:rsidRDefault="00224567">
      <w:pPr>
        <w:pStyle w:val="Ttulo2"/>
        <w:keepNext w:val="0"/>
        <w:widowControl w:val="0"/>
      </w:pPr>
      <w:r>
        <w:t>CAPÍTULO XII</w:t>
      </w:r>
    </w:p>
    <w:p w:rsidR="00224567" w:rsidRDefault="00224567">
      <w:pPr>
        <w:pStyle w:val="Sangradetextonormal"/>
        <w:widowControl w:val="0"/>
        <w:tabs>
          <w:tab w:val="left" w:pos="2835"/>
        </w:tabs>
        <w:ind w:firstLine="0"/>
      </w:pPr>
    </w:p>
    <w:p w:rsidR="00224567" w:rsidRDefault="00224567">
      <w:pPr>
        <w:pStyle w:val="Textoindependiente"/>
        <w:tabs>
          <w:tab w:val="clear" w:pos="0"/>
          <w:tab w:val="clear" w:pos="2040"/>
          <w:tab w:val="clear" w:pos="4080"/>
          <w:tab w:val="clear" w:pos="6120"/>
          <w:tab w:val="clear" w:pos="8160"/>
          <w:tab w:val="left" w:pos="2835"/>
        </w:tabs>
        <w:spacing w:line="600" w:lineRule="auto"/>
        <w:ind w:firstLine="2835"/>
      </w:pPr>
      <w:r>
        <w:rPr>
          <w:b/>
          <w:bCs/>
        </w:rPr>
        <w:t>A)</w:t>
      </w:r>
      <w:r>
        <w:t xml:space="preserve"> Al requerir la elevación a juicio, los representantes del Ministerio Público Fiscal entendi</w:t>
      </w:r>
      <w:r>
        <w:t>e</w:t>
      </w:r>
      <w:r>
        <w:t>ron que el accionar de los encartados Juan José Ribelli, Raúl Edilio Ibarra, Mario Norberto Bareiro y Anastasio Ir</w:t>
      </w:r>
      <w:r>
        <w:t>e</w:t>
      </w:r>
      <w:r>
        <w:t>neo Leal respecto del hecho del 10 de julio de 1994 conf</w:t>
      </w:r>
      <w:r>
        <w:t>i</w:t>
      </w:r>
      <w:r>
        <w:t>guraba el delito de extorsión, previsto y reprimido en el artículo 168 del Código Penal, debiendo responder en cal</w:t>
      </w:r>
      <w:r>
        <w:t>i</w:t>
      </w:r>
      <w:r>
        <w:t>dad de coautores, toda vez que “logró acreditarse que el día 10 de julio de 1994, aproximadamente a las 14.30 horas ... mediante intimidación, obligaron a Carlos Alberto T</w:t>
      </w:r>
      <w:r>
        <w:t>e</w:t>
      </w:r>
      <w:r>
        <w:t>lleldín a entregar un vehículo marca Renault Trafic armado, destinado a cancelar parcialmente la deuda pendiente, bajo la am</w:t>
      </w:r>
      <w:r>
        <w:t>e</w:t>
      </w:r>
      <w:r>
        <w:t>naza de sufrir un mal mayor” (conf. fs. 64.594).</w:t>
      </w:r>
    </w:p>
    <w:p w:rsidR="00224567" w:rsidRDefault="00224567">
      <w:pPr>
        <w:pStyle w:val="Textoindependiente"/>
        <w:tabs>
          <w:tab w:val="clear" w:pos="0"/>
          <w:tab w:val="clear" w:pos="2040"/>
          <w:tab w:val="clear" w:pos="4080"/>
          <w:tab w:val="clear" w:pos="6120"/>
          <w:tab w:val="clear" w:pos="8160"/>
          <w:tab w:val="left" w:pos="2835"/>
        </w:tabs>
        <w:spacing w:line="600" w:lineRule="auto"/>
        <w:ind w:firstLine="2835"/>
      </w:pPr>
      <w:r>
        <w:t>Asimismo, se elevaron las actuaci</w:t>
      </w:r>
      <w:r>
        <w:t>o</w:t>
      </w:r>
      <w:r>
        <w:t>nes a juicio  respecto  de  los  delitos  de  falso  testim</w:t>
      </w:r>
      <w:r>
        <w:t>o</w:t>
      </w:r>
      <w:r>
        <w:t>nio  –reiterado en dos oportunidades- imputado a Ibarra, en gr</w:t>
      </w:r>
      <w:r>
        <w:t>a</w:t>
      </w:r>
      <w:r>
        <w:t xml:space="preserve">do de instigador, y por el mismo delito respecto de los procesados Marcelo Darío Casas y Eduardo Diego Toledo, en calidad de autores, ilícitos cometidos el 15 de agosto de 1995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w:t>
        </w:r>
        <w:r>
          <w:t>o</w:t>
        </w:r>
        <w:r>
          <w:t>vincia</w:t>
        </w:r>
      </w:smartTag>
      <w:r>
        <w:t xml:space="preserve"> de Buenos Aires.</w:t>
      </w:r>
    </w:p>
    <w:p w:rsidR="00224567" w:rsidRDefault="00224567">
      <w:pPr>
        <w:pStyle w:val="Textoindependiente"/>
        <w:tabs>
          <w:tab w:val="clear" w:pos="0"/>
          <w:tab w:val="clear" w:pos="2040"/>
          <w:tab w:val="clear" w:pos="4080"/>
          <w:tab w:val="clear" w:pos="6120"/>
          <w:tab w:val="clear" w:pos="8160"/>
          <w:tab w:val="left" w:pos="2835"/>
        </w:tabs>
        <w:spacing w:line="600" w:lineRule="auto"/>
        <w:ind w:firstLine="2835"/>
      </w:pPr>
      <w:r>
        <w:t>En el mismo sentido, los fiscales r</w:t>
      </w:r>
      <w:r>
        <w:t>e</w:t>
      </w:r>
      <w:r>
        <w:t>quirieron la elevación a juicio respecto de Bautista Albe</w:t>
      </w:r>
      <w:r>
        <w:t>r</w:t>
      </w:r>
      <w:r>
        <w:t>to Huici y Víctor Carlos Cruz, en orden a los delitos de extorsión y privación ilegal de la libertad agravada, en grado de tentativa, pues “quedó fehacie</w:t>
      </w:r>
      <w:r>
        <w:t>n</w:t>
      </w:r>
      <w:r>
        <w:t>temente acreditado que el día 15 de marzo de 1994 alrededor de las 21.00 h</w:t>
      </w:r>
      <w:r>
        <w:t>o</w:t>
      </w:r>
      <w:r>
        <w:t>ras, Raúl Edilio Ibarra, Víctor Carlos Cruz, Juan José R</w:t>
      </w:r>
      <w:r>
        <w:t>i</w:t>
      </w:r>
      <w:r>
        <w:t>belli y Bautista Alberto Huici (los dos primeros como coa</w:t>
      </w:r>
      <w:r>
        <w:t>u</w:t>
      </w:r>
      <w:r>
        <w:t>tores mientras que los restantes en grado de partícipes n</w:t>
      </w:r>
      <w:r>
        <w:t>e</w:t>
      </w:r>
      <w:r>
        <w:t>cesarios) –mediante intimidación- obligaron a Carlos Albe</w:t>
      </w:r>
      <w:r>
        <w:t>r</w:t>
      </w:r>
      <w:r>
        <w:t>to Telleldín a entregarles bienes y dinero, bajo la am</w:t>
      </w:r>
      <w:r>
        <w:t>e</w:t>
      </w:r>
      <w:r>
        <w:t>naza de sufrir un mal mayor. A fin de llevar a cabo tal comet</w:t>
      </w:r>
      <w:r>
        <w:t>i</w:t>
      </w:r>
      <w:r>
        <w:t>do, y mediando abuso en sus funciones específicas, pers</w:t>
      </w:r>
      <w:r>
        <w:t>i</w:t>
      </w:r>
      <w:r>
        <w:t>guieron privarlo de su libertad ambulatoria, no pudiendo consumar este último propósito por causas ajenas a su v</w:t>
      </w:r>
      <w:r>
        <w:t>o</w:t>
      </w:r>
      <w:r>
        <w:t>luntad” (conf. fs. 64.591vta.).</w:t>
      </w:r>
    </w:p>
    <w:p w:rsidR="00224567" w:rsidRDefault="00224567">
      <w:pPr>
        <w:pStyle w:val="Textoindependiente"/>
        <w:tabs>
          <w:tab w:val="clear" w:pos="0"/>
          <w:tab w:val="clear" w:pos="2040"/>
          <w:tab w:val="clear" w:pos="4080"/>
          <w:tab w:val="clear" w:pos="6120"/>
          <w:tab w:val="clear" w:pos="8160"/>
          <w:tab w:val="left" w:pos="2835"/>
        </w:tabs>
        <w:spacing w:line="600" w:lineRule="auto"/>
        <w:ind w:firstLine="2835"/>
      </w:pPr>
      <w:r>
        <w:t>También los acusadores solicitaron se eleve la causa a juicio respecto de Claudio Walter Araya por el delito de secuestro extorsivo en cal</w:t>
      </w:r>
      <w:r>
        <w:t>i</w:t>
      </w:r>
      <w:r>
        <w:t>dad de coautor, ya que consideraron que “se encuentra debidamente probado que el 4 de abril del mismo año, los imputados Juan José Ribelli, Raúl Edilio Ibarra, Marcelo Gustavo Albarracín, Claudio Walter Araya y Bautista Alberto Huici ... retuvi</w:t>
      </w:r>
      <w:r>
        <w:t>e</w:t>
      </w:r>
      <w:r>
        <w:t>ron ilegítimamente a Carlos Alberto Telleldín y a Sandra Marisa Petrucci con el propósito -logrado- de obtener un resc</w:t>
      </w:r>
      <w:r>
        <w:t>a</w:t>
      </w:r>
      <w:r>
        <w:t>te” (conf. fs. 64.591vta.); respecto de Daniel Emilio Quinteros en orden al delito de falsedad ideológica de in</w:t>
      </w:r>
      <w:r>
        <w:t>s</w:t>
      </w:r>
      <w:r>
        <w:t>trumento público en calidad de coa</w:t>
      </w:r>
      <w:r>
        <w:t>u</w:t>
      </w:r>
      <w:r>
        <w:t>tor, toda vez que, junto con Jorge Rago, “labraron el sumario instruido por aver</w:t>
      </w:r>
      <w:r>
        <w:t>i</w:t>
      </w:r>
      <w:r>
        <w:t>guación de antecedentes de Pérez, con el propósito de enc</w:t>
      </w:r>
      <w:r>
        <w:t>u</w:t>
      </w:r>
      <w:r>
        <w:t>brir su secuestro, por lo que las circunstancias de que dan cuenta las actuaciones no reflejan la realidad de lo aco</w:t>
      </w:r>
      <w:r>
        <w:t>n</w:t>
      </w:r>
      <w:r>
        <w:t>tecido”, agregando, más adelante, que las actuaciones co</w:t>
      </w:r>
      <w:r>
        <w:t>n</w:t>
      </w:r>
      <w:r>
        <w:t>feccionadas con motivo del “ingreso por averiguación de a</w:t>
      </w:r>
      <w:r>
        <w:t>n</w:t>
      </w:r>
      <w:r>
        <w:t>tecedentes de Pérez –labradas en forma completa por Quint</w:t>
      </w:r>
      <w:r>
        <w:t>e</w:t>
      </w:r>
      <w:r>
        <w:t>ros, según surge de la document</w:t>
      </w:r>
      <w:r>
        <w:t>a</w:t>
      </w:r>
      <w:r>
        <w:t>ción respectiva, lo que no condice con el horario en que refirió cumplir funciones-, fue el disfraz utilizado para encubrir su secuestro y obt</w:t>
      </w:r>
      <w:r>
        <w:t>e</w:t>
      </w:r>
      <w:r>
        <w:t>ner el rescate que, en definit</w:t>
      </w:r>
      <w:r>
        <w:t>i</w:t>
      </w:r>
      <w:r>
        <w:t>va, abonó Carlos Telleldín”, hecho acaecido el 14 de julio de 1994 (fs. 64.618vta./64.619).</w:t>
      </w:r>
    </w:p>
    <w:p w:rsidR="00224567" w:rsidRDefault="00224567">
      <w:pPr>
        <w:pStyle w:val="Textoindependiente"/>
        <w:tabs>
          <w:tab w:val="clear" w:pos="0"/>
          <w:tab w:val="clear" w:pos="2040"/>
          <w:tab w:val="clear" w:pos="4080"/>
          <w:tab w:val="clear" w:pos="6120"/>
          <w:tab w:val="clear" w:pos="8160"/>
          <w:tab w:val="left" w:pos="2835"/>
        </w:tabs>
        <w:spacing w:line="600" w:lineRule="auto"/>
        <w:ind w:firstLine="2835"/>
      </w:pPr>
      <w:r>
        <w:t>Además, con relación a los nombrados Cruz, Araya, Quinteros, así como también de Argentino G</w:t>
      </w:r>
      <w:r>
        <w:t>a</w:t>
      </w:r>
      <w:r>
        <w:t>briel Lasala, se elevó la causa a juicio por el delito de asociación il</w:t>
      </w:r>
      <w:r>
        <w:t>í</w:t>
      </w:r>
      <w:r>
        <w:t>cita.</w:t>
      </w:r>
    </w:p>
    <w:p w:rsidR="00224567" w:rsidRDefault="00224567">
      <w:pPr>
        <w:pStyle w:val="Sangradetextonormal"/>
        <w:widowControl w:val="0"/>
        <w:tabs>
          <w:tab w:val="left" w:pos="2835"/>
        </w:tabs>
        <w:ind w:firstLine="2835"/>
      </w:pPr>
      <w:r>
        <w:t>Finalmente, los representantes del M</w:t>
      </w:r>
      <w:r>
        <w:t>i</w:t>
      </w:r>
      <w:r>
        <w:t>nist</w:t>
      </w:r>
      <w:r>
        <w:t>e</w:t>
      </w:r>
      <w:r>
        <w:t>rio Público Fiscal entendieron que el accionar de los encartados Miguel Gustavo Jaimes, Hugo Antonio Pérez y Ariel Rodolfo Nitzcaner constituía el delito de encubr</w:t>
      </w:r>
      <w:r>
        <w:t>i</w:t>
      </w:r>
      <w:r>
        <w:t>miento, previsto y r</w:t>
      </w:r>
      <w:r>
        <w:t>e</w:t>
      </w:r>
      <w:r>
        <w:t>primido en el artículo 277, inc. 3º, del Código Penal, debiendo responder por ello en calidad de coautores materiales, “toda vez que han intervenido, de manera mancomunada, en el ocult</w:t>
      </w:r>
      <w:r>
        <w:t>a</w:t>
      </w:r>
      <w:r>
        <w:t>miento mediante simulación de su origen del vehículo en cuestión, al que se le inse</w:t>
      </w:r>
      <w:r>
        <w:t>r</w:t>
      </w:r>
      <w:r>
        <w:t>tó un motor correspondiente a otro rodado” y que “c</w:t>
      </w:r>
      <w:r>
        <w:t>o</w:t>
      </w:r>
      <w:r>
        <w:t>nocían perfectamente que la nueva carrocería que llevaba el motor del vehículo siniestrado correspondía a un motor sustra</w:t>
      </w:r>
      <w:r>
        <w:t>í</w:t>
      </w:r>
      <w:r>
        <w:t>do” (conf. fs. 64.651vta.).</w:t>
      </w:r>
    </w:p>
    <w:p w:rsidR="00224567" w:rsidRDefault="00224567">
      <w:pPr>
        <w:pStyle w:val="Sangradetextonormal"/>
        <w:widowControl w:val="0"/>
        <w:tabs>
          <w:tab w:val="left" w:pos="2835"/>
        </w:tabs>
        <w:ind w:firstLine="2835"/>
      </w:pPr>
      <w:r>
        <w:rPr>
          <w:b/>
          <w:bCs/>
        </w:rPr>
        <w:t>B)</w:t>
      </w:r>
      <w:r>
        <w:t xml:space="preserve"> Al momento de alegar, el represe</w:t>
      </w:r>
      <w:r>
        <w:t>n</w:t>
      </w:r>
      <w:r>
        <w:t>tante del Ministerio Público Fiscal solicitó las siguie</w:t>
      </w:r>
      <w:r>
        <w:t>n</w:t>
      </w:r>
      <w:r>
        <w:t>tes absoluciones: a Claudio Walter Araya en orden al del</w:t>
      </w:r>
      <w:r>
        <w:t>i</w:t>
      </w:r>
      <w:r>
        <w:t>to de secuestro extorsivo –hecho del 4 de abril de 1994-, en co</w:t>
      </w:r>
      <w:r>
        <w:t>n</w:t>
      </w:r>
      <w:r>
        <w:t>curso real con el de asociación ilícita; a Bautista Alberto Huici y Víctor Carlos Cruz en orden a los del</w:t>
      </w:r>
      <w:r>
        <w:t>i</w:t>
      </w:r>
      <w:r>
        <w:t>tos de extorsión y privación ilegal de la libertad agravada, en grado de tentativa –hecho del 15 de marzo de 1994- y respecto del último por el delito de asociación ilícita, que concurren materialmente; a Argentino Gabriel Lasala por el delito de asociación ilícita; a Daniel Emilio Qui</w:t>
      </w:r>
      <w:r>
        <w:t>n</w:t>
      </w:r>
      <w:r>
        <w:t>teros por los delitos de falsedad ideológica de instrume</w:t>
      </w:r>
      <w:r>
        <w:t>n</w:t>
      </w:r>
      <w:r>
        <w:t>to público y asociación ilícita y a Juan José Ribelli, Raúl Edilio Ibarra, Mario Norberto Bareiro y Anastasio Ireneo Leal en orden al del</w:t>
      </w:r>
      <w:r>
        <w:t>i</w:t>
      </w:r>
      <w:r>
        <w:t>to de extorsión, por el hecho del 10 de julio de 1994 en pe</w:t>
      </w:r>
      <w:r>
        <w:t>r</w:t>
      </w:r>
      <w:r>
        <w:t>juicio de Telleldín.</w:t>
      </w:r>
    </w:p>
    <w:p w:rsidR="00224567" w:rsidRDefault="00224567">
      <w:pPr>
        <w:pStyle w:val="Sangradetextonormal"/>
        <w:widowControl w:val="0"/>
        <w:tabs>
          <w:tab w:val="left" w:pos="2835"/>
        </w:tabs>
        <w:ind w:firstLine="2835"/>
      </w:pPr>
      <w:r>
        <w:t>Asimismo, los fiscales sostuvieron que correspondía la extinción de la acción penal por prescri</w:t>
      </w:r>
      <w:r>
        <w:t>p</w:t>
      </w:r>
      <w:r>
        <w:t>ción respecto del delito de falso  testimonio  simple,  reiterado en dos oportunidades, imputado a Ib</w:t>
      </w:r>
      <w:r>
        <w:t>a</w:t>
      </w:r>
      <w:r>
        <w:t>rra en grado de instigador y a Marcelo Darío Casas y Eduardo Diego T</w:t>
      </w:r>
      <w:r>
        <w:t>o</w:t>
      </w:r>
      <w:r>
        <w:t xml:space="preserve">ledo, en grado de autores - hecho del 15 de agosto de 1994 en </w:t>
      </w:r>
      <w:smartTag w:uri="urn:schemas-microsoft-com:office:smarttags" w:element="PersonName">
        <w:smartTagPr>
          <w:attr w:name="ProductID" w:val="la Direcci￳n"/>
        </w:smartTagPr>
        <w:r>
          <w:t>la Dirección</w:t>
        </w:r>
      </w:smartTag>
      <w:r>
        <w:t xml:space="preserve"> de Sumarios de </w:t>
      </w:r>
      <w:smartTag w:uri="urn:schemas-microsoft-com:office:smarttags" w:element="PersonName">
        <w:smartTagPr>
          <w:attr w:name="ProductID" w:val="la Polic￭a Bonaerense"/>
        </w:smartTagPr>
        <w:r>
          <w:t>la Policía Bonaerense</w:t>
        </w:r>
      </w:smartTag>
      <w:r>
        <w:t>, po</w:t>
      </w:r>
      <w:r>
        <w:t>s</w:t>
      </w:r>
      <w:r>
        <w:t>tulando, en consecuencia, la libre absolución de los no</w:t>
      </w:r>
      <w:r>
        <w:t>m</w:t>
      </w:r>
      <w:r>
        <w:t>brados, sin costas.</w:t>
      </w:r>
    </w:p>
    <w:p w:rsidR="00224567" w:rsidRDefault="00224567">
      <w:pPr>
        <w:pStyle w:val="Sangradetextonormal"/>
        <w:widowControl w:val="0"/>
        <w:tabs>
          <w:tab w:val="left" w:pos="2835"/>
        </w:tabs>
        <w:ind w:firstLine="0"/>
      </w:pPr>
      <w:r>
        <w:tab/>
        <w:t>También, los acusadores solicitaron que se declare extinguida la acción penal en orden al d</w:t>
      </w:r>
      <w:r>
        <w:t>e</w:t>
      </w:r>
      <w:r>
        <w:t>lito de encubrimiento imputado a los procesados Pérez, Jaimes y Nitzcaner en el requerimiento de elevación a ju</w:t>
      </w:r>
      <w:r>
        <w:t>i</w:t>
      </w:r>
      <w:r>
        <w:t>cio y, en consecuencia, se los absuelva libremente, sin costas.</w:t>
      </w:r>
    </w:p>
    <w:p w:rsidR="00224567" w:rsidRDefault="00224567">
      <w:pPr>
        <w:pStyle w:val="Sangradetextonormal"/>
        <w:widowControl w:val="0"/>
        <w:tabs>
          <w:tab w:val="left" w:pos="2835"/>
        </w:tabs>
        <w:ind w:firstLine="0"/>
      </w:pPr>
      <w:r>
        <w:tab/>
        <w:t>Por su parte, las defensas de Rib</w:t>
      </w:r>
      <w:r>
        <w:t>e</w:t>
      </w:r>
      <w:r>
        <w:t>lli, Leal e Ibarra solicitaron la absolución de sus d</w:t>
      </w:r>
      <w:r>
        <w:t>e</w:t>
      </w:r>
      <w:r>
        <w:t>fendidos en orden a los delitos imp</w:t>
      </w:r>
      <w:r>
        <w:t>u</w:t>
      </w:r>
      <w:r>
        <w:t>tados.</w:t>
      </w:r>
    </w:p>
    <w:p w:rsidR="00224567" w:rsidRDefault="00224567">
      <w:pPr>
        <w:widowControl w:val="0"/>
        <w:tabs>
          <w:tab w:val="left" w:pos="2835"/>
        </w:tabs>
        <w:ind w:firstLine="2835"/>
        <w:rPr>
          <w:bCs/>
        </w:rPr>
      </w:pPr>
      <w:r>
        <w:t>En atención a la falta de acusación por la extorsión del día 10 de julio de 1994, la defensa de M</w:t>
      </w:r>
      <w:r>
        <w:t>a</w:t>
      </w:r>
      <w:r>
        <w:t>rio Norberto Bareiro solicitó su absolución; respecto de Víctor Carlos Cruz, no efectuó defensa m</w:t>
      </w:r>
      <w:r>
        <w:t>a</w:t>
      </w:r>
      <w:r>
        <w:t>terial alguna, con fundamento en los precedentes “Tar</w:t>
      </w:r>
      <w:r>
        <w:t>i</w:t>
      </w:r>
      <w:r>
        <w:t xml:space="preserve">feño”, “Cattonar”, “Mostaccio”, “García”, “Cáseres” y “Ferreira”, entre otros, de </w:t>
      </w:r>
      <w:smartTag w:uri="urn:schemas-microsoft-com:office:smarttags" w:element="PersonName">
        <w:smartTagPr>
          <w:attr w:name="ProductID" w:val="la Corte Suprema"/>
        </w:smartTagPr>
        <w:r>
          <w:t>la Corte Suprema</w:t>
        </w:r>
      </w:smartTag>
      <w:r>
        <w:t xml:space="preserve"> de Just</w:t>
      </w:r>
      <w:r>
        <w:t>i</w:t>
      </w:r>
      <w:r>
        <w:t xml:space="preserve">cia de </w:t>
      </w:r>
      <w:smartTag w:uri="urn:schemas-microsoft-com:office:smarttags" w:element="PersonName">
        <w:smartTagPr>
          <w:attr w:name="ProductID" w:val="la Naci￳n."/>
        </w:smartTagPr>
        <w:r>
          <w:t>la Nación.</w:t>
        </w:r>
      </w:smartTag>
    </w:p>
    <w:p w:rsidR="00224567" w:rsidRDefault="00224567">
      <w:pPr>
        <w:pStyle w:val="Sangradetextonormal"/>
        <w:widowControl w:val="0"/>
        <w:tabs>
          <w:tab w:val="left" w:pos="2835"/>
        </w:tabs>
        <w:ind w:firstLine="2835"/>
      </w:pPr>
      <w:r>
        <w:t>En el mismo sentido se expidieron los Dres. Luis Carlos Galtieri y Juan Martín Cerolini respecto de su defendido Araya; el Dr. Valle con relación a su p</w:t>
      </w:r>
      <w:r>
        <w:t>u</w:t>
      </w:r>
      <w:r>
        <w:t>pilo Argentino Gabriel Lasala; el defensor oficial, Dr. García, respecto de su asistido Quinteros; el Dr. Dromi con relación a Bautista Alberto Huici, Miguel Gustavo Ja</w:t>
      </w:r>
      <w:r>
        <w:t>i</w:t>
      </w:r>
      <w:r>
        <w:t>mes y Hugo Antonio Pérez y el Dr. Steizel respecto de su defend</w:t>
      </w:r>
      <w:r>
        <w:t>i</w:t>
      </w:r>
      <w:r>
        <w:t>do Nitzcaner.</w:t>
      </w:r>
    </w:p>
    <w:p w:rsidR="00224567" w:rsidRDefault="00224567">
      <w:pPr>
        <w:widowControl w:val="0"/>
        <w:tabs>
          <w:tab w:val="left" w:pos="2835"/>
        </w:tabs>
        <w:ind w:firstLine="2835"/>
      </w:pPr>
      <w:r>
        <w:t xml:space="preserve">A su turno, </w:t>
      </w:r>
      <w:smartTag w:uri="urn:schemas-microsoft-com:office:smarttags" w:element="PersonName">
        <w:smartTagPr>
          <w:attr w:name="ProductID" w:val="la Dra. Pamela"/>
        </w:smartTagPr>
        <w:r>
          <w:t>la Dra. Pamela</w:t>
        </w:r>
      </w:smartTag>
      <w:r>
        <w:t xml:space="preserve"> Bisserier indicó que en virtud de la calificación de falso testim</w:t>
      </w:r>
      <w:r>
        <w:t>o</w:t>
      </w:r>
      <w:r>
        <w:t>nio simple por el que la fiscalía acusó a sus asistidos Casas y Toledo, c</w:t>
      </w:r>
      <w:r>
        <w:t>o</w:t>
      </w:r>
      <w:r>
        <w:t>rrespondía absolverlos por entender que ese delito se encontr</w:t>
      </w:r>
      <w:r>
        <w:t>a</w:t>
      </w:r>
      <w:r>
        <w:t>ba prescripto.</w:t>
      </w:r>
    </w:p>
    <w:p w:rsidR="00224567" w:rsidRDefault="00224567">
      <w:pPr>
        <w:widowControl w:val="0"/>
        <w:tabs>
          <w:tab w:val="left" w:pos="2835"/>
        </w:tabs>
        <w:rPr>
          <w:b/>
          <w:bCs/>
        </w:rPr>
      </w:pPr>
      <w:r>
        <w:rPr>
          <w:b/>
          <w:bCs/>
        </w:rPr>
        <w:tab/>
      </w:r>
      <w:r>
        <w:rPr>
          <w:b/>
          <w:bCs/>
          <w:lang w:val="es-ES_tradnl"/>
        </w:rPr>
        <w:t xml:space="preserve">C) </w:t>
      </w:r>
      <w:r>
        <w:rPr>
          <w:b/>
          <w:bCs/>
        </w:rPr>
        <w:t>El Dr. Pons dijo:</w:t>
      </w:r>
    </w:p>
    <w:p w:rsidR="00224567" w:rsidRDefault="00224567">
      <w:pPr>
        <w:widowControl w:val="0"/>
        <w:tabs>
          <w:tab w:val="left" w:pos="2835"/>
        </w:tabs>
      </w:pPr>
      <w:r>
        <w:tab/>
        <w:t>Toda vez que en la oportunidad previ</w:t>
      </w:r>
      <w:r>
        <w:t>s</w:t>
      </w:r>
      <w:r>
        <w:t>ta en el art. 393 del Código Procesal Penal el Sr. fiscal de juicio no formuló acusación en orden a los delitos r</w:t>
      </w:r>
      <w:r>
        <w:t>e</w:t>
      </w:r>
      <w:r>
        <w:t>feridos precedentemente, por los que la causa fuera elev</w:t>
      </w:r>
      <w:r>
        <w:t>a</w:t>
      </w:r>
      <w:r>
        <w:t>da a juicio, fundando su decisión con arreglo a las ci</w:t>
      </w:r>
      <w:r>
        <w:t>r</w:t>
      </w:r>
      <w:r>
        <w:t>cunsta</w:t>
      </w:r>
      <w:r>
        <w:t>n</w:t>
      </w:r>
      <w:r>
        <w:t>cias que surgieron del debate y al derecho vigente, el Tribunal no se encuentra facultado para adentrarse en el análisis de esos hechos atribuidos a los imputados y, por ende, corresponde la absol</w:t>
      </w:r>
      <w:r>
        <w:t>u</w:t>
      </w:r>
      <w:r>
        <w:t>ción de los nombrados, sin costas.</w:t>
      </w:r>
    </w:p>
    <w:p w:rsidR="00224567" w:rsidRDefault="00224567">
      <w:pPr>
        <w:widowControl w:val="0"/>
        <w:tabs>
          <w:tab w:val="left" w:pos="2835"/>
        </w:tabs>
      </w:pPr>
      <w:r>
        <w:tab/>
        <w:t>Lo expuesto encuentra respaldo en los argumentos que expuse en la causa “Regiretti, M</w:t>
      </w:r>
      <w:r>
        <w:t>a</w:t>
      </w:r>
      <w:r>
        <w:t xml:space="preserve">riano A.”, Reg. nº 11/95, del 22-05-95, con cita de precedentes de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xml:space="preserve"> “Tarifeño, Franci</w:t>
      </w:r>
      <w:r>
        <w:t>s</w:t>
      </w:r>
      <w:r>
        <w:t>co” del 28-12-89; “García, José Armando” del 22-12-</w:t>
      </w:r>
      <w:smartTag w:uri="urn:schemas-microsoft-com:office:smarttags" w:element="metricconverter">
        <w:smartTagPr>
          <w:attr w:name="ProductID" w:val="94, a"/>
        </w:smartTagPr>
        <w:r>
          <w:t>94, a</w:t>
        </w:r>
      </w:smartTag>
      <w:r>
        <w:t xml:space="preserve"> los que luego se sumaron “Ca</w:t>
      </w:r>
      <w:r>
        <w:t>t</w:t>
      </w:r>
      <w:r>
        <w:t>tonar, Julio P.” del 13-06-95, “Bensadon, Germán” del 10-08-95, “Saucedo, Elizabeth” del 12-09-95, “Montero, Rubén D.” del 5-10-95, “Ferreyra, J</w:t>
      </w:r>
      <w:r>
        <w:t>u</w:t>
      </w:r>
      <w:r>
        <w:t>lio” del 20-10-95 y “Cáseres, Martín H.” del 27-09-</w:t>
      </w:r>
      <w:smartTag w:uri="urn:schemas-microsoft-com:office:smarttags" w:element="metricconverter">
        <w:smartTagPr>
          <w:attr w:name="ProductID" w:val="97, a"/>
        </w:smartTagPr>
        <w:r>
          <w:t>97, a</w:t>
        </w:r>
      </w:smartTag>
      <w:r>
        <w:t xml:space="preserve"> cuyos fundamentos me remito por razones de brevedad, y que el Alto Tribunal retomó al resolver en  la  causa  “Mo</w:t>
      </w:r>
      <w:r>
        <w:t>s</w:t>
      </w:r>
      <w:r>
        <w:t>taccio, Julio G.” del 17 de febrero del corriente año.</w:t>
      </w:r>
    </w:p>
    <w:p w:rsidR="00224567" w:rsidRDefault="00224567">
      <w:pPr>
        <w:widowControl w:val="0"/>
        <w:tabs>
          <w:tab w:val="left" w:pos="2835"/>
        </w:tabs>
        <w:rPr>
          <w:b/>
          <w:bCs/>
          <w:szCs w:val="30"/>
          <w:lang w:val="es-ES_tradnl"/>
        </w:rPr>
      </w:pPr>
      <w:r>
        <w:rPr>
          <w:b/>
          <w:bCs/>
        </w:rPr>
        <w:tab/>
        <w:t xml:space="preserve">D) </w:t>
      </w:r>
      <w:r>
        <w:rPr>
          <w:b/>
          <w:bCs/>
          <w:szCs w:val="30"/>
          <w:lang w:val="es-ES_tradnl"/>
        </w:rPr>
        <w:t>El Dr. Gordo dijo:</w:t>
      </w:r>
    </w:p>
    <w:p w:rsidR="00224567" w:rsidRDefault="00224567">
      <w:pPr>
        <w:widowControl w:val="0"/>
        <w:tabs>
          <w:tab w:val="left" w:pos="2835"/>
        </w:tabs>
        <w:ind w:firstLine="2835"/>
        <w:rPr>
          <w:szCs w:val="30"/>
          <w:lang w:val="es-ES_tradnl"/>
        </w:rPr>
      </w:pPr>
      <w:r>
        <w:rPr>
          <w:szCs w:val="30"/>
          <w:lang w:val="es-ES_tradnl"/>
        </w:rPr>
        <w:t>Desde antaño, en casos como el prese</w:t>
      </w:r>
      <w:r>
        <w:rPr>
          <w:szCs w:val="30"/>
          <w:lang w:val="es-ES_tradnl"/>
        </w:rPr>
        <w:t>n</w:t>
      </w:r>
      <w:r>
        <w:rPr>
          <w:szCs w:val="30"/>
          <w:lang w:val="es-ES_tradnl"/>
        </w:rPr>
        <w:t>te he sostenido que “la absolución se impone al Tribunal pue</w:t>
      </w:r>
      <w:r>
        <w:rPr>
          <w:szCs w:val="30"/>
          <w:lang w:val="es-ES_tradnl"/>
        </w:rPr>
        <w:t>s</w:t>
      </w:r>
      <w:r>
        <w:rPr>
          <w:szCs w:val="30"/>
          <w:lang w:val="es-ES_tradnl"/>
        </w:rPr>
        <w:t>to que de lo contrario se estaría violando la garantía del debido proceso que requiere la existencia de una ac</w:t>
      </w:r>
      <w:r>
        <w:rPr>
          <w:szCs w:val="30"/>
          <w:lang w:val="es-ES_tradnl"/>
        </w:rPr>
        <w:t>u</w:t>
      </w:r>
      <w:r>
        <w:rPr>
          <w:szCs w:val="30"/>
          <w:lang w:val="es-ES_tradnl"/>
        </w:rPr>
        <w:t>sación” (sentencia del 3-11-94, autos “Mart</w:t>
      </w:r>
      <w:r>
        <w:rPr>
          <w:szCs w:val="30"/>
          <w:lang w:val="es-ES_tradnl"/>
        </w:rPr>
        <w:t>í</w:t>
      </w:r>
      <w:r>
        <w:rPr>
          <w:szCs w:val="30"/>
          <w:lang w:val="es-ES_tradnl"/>
        </w:rPr>
        <w:t>nez, Juan E. y otros s/tenencia simple de estupefacie</w:t>
      </w:r>
      <w:r>
        <w:rPr>
          <w:szCs w:val="30"/>
          <w:lang w:val="es-ES_tradnl"/>
        </w:rPr>
        <w:t>n</w:t>
      </w:r>
      <w:r>
        <w:rPr>
          <w:szCs w:val="30"/>
          <w:lang w:val="es-ES_tradnl"/>
        </w:rPr>
        <w:t>tes” [causa nº 24]; ver en igual sentido mis v</w:t>
      </w:r>
      <w:r>
        <w:rPr>
          <w:szCs w:val="30"/>
          <w:lang w:val="es-ES_tradnl"/>
        </w:rPr>
        <w:t>o</w:t>
      </w:r>
      <w:r>
        <w:rPr>
          <w:szCs w:val="30"/>
          <w:lang w:val="es-ES_tradnl"/>
        </w:rPr>
        <w:t xml:space="preserve">tos en las causas nº 17 del 25-11-94 “Carmona, Héctor A. y otros s/infracción artículo 5º inc. ‘c’ de la ley </w:t>
      </w:r>
      <w:smartTag w:uri="urn:schemas-microsoft-com:office:smarttags" w:element="metricconverter">
        <w:smartTagPr>
          <w:attr w:name="ProductID" w:val="23.737”"/>
        </w:smartTagPr>
        <w:r>
          <w:rPr>
            <w:szCs w:val="30"/>
            <w:lang w:val="es-ES_tradnl"/>
          </w:rPr>
          <w:t>23.737”</w:t>
        </w:r>
      </w:smartTag>
      <w:r>
        <w:rPr>
          <w:szCs w:val="30"/>
          <w:lang w:val="es-ES_tradnl"/>
        </w:rPr>
        <w:t>, nº 45 del 21-6-95 “Cintes, E</w:t>
      </w:r>
      <w:r>
        <w:rPr>
          <w:szCs w:val="30"/>
          <w:lang w:val="es-ES_tradnl"/>
        </w:rPr>
        <w:t>l</w:t>
      </w:r>
      <w:r>
        <w:rPr>
          <w:szCs w:val="30"/>
          <w:lang w:val="es-ES_tradnl"/>
        </w:rPr>
        <w:t xml:space="preserve">ba S. y otros s/ infracción artículo 5º inciso ‘c’ de le ley </w:t>
      </w:r>
      <w:smartTag w:uri="urn:schemas-microsoft-com:office:smarttags" w:element="metricconverter">
        <w:smartTagPr>
          <w:attr w:name="ProductID" w:val="23.737”"/>
        </w:smartTagPr>
        <w:r>
          <w:rPr>
            <w:szCs w:val="30"/>
            <w:lang w:val="es-ES_tradnl"/>
          </w:rPr>
          <w:t>23.737”</w:t>
        </w:r>
      </w:smartTag>
      <w:r>
        <w:rPr>
          <w:szCs w:val="30"/>
          <w:lang w:val="es-ES_tradnl"/>
        </w:rPr>
        <w:t>; y nº 51 del 13-7-95 “Paiva, Lidia Rosa y otra s/ adulteración de documento público destin</w:t>
      </w:r>
      <w:r>
        <w:rPr>
          <w:szCs w:val="30"/>
          <w:lang w:val="es-ES_tradnl"/>
        </w:rPr>
        <w:t>a</w:t>
      </w:r>
      <w:r>
        <w:rPr>
          <w:szCs w:val="30"/>
          <w:lang w:val="es-ES_tradnl"/>
        </w:rPr>
        <w:t>do a acreditar la identidad de las personas”, entre otras, todas ellas correspondientes al registro del Tribunal Oral en lo Cr</w:t>
      </w:r>
      <w:r>
        <w:rPr>
          <w:szCs w:val="30"/>
          <w:lang w:val="es-ES_tradnl"/>
        </w:rPr>
        <w:t>i</w:t>
      </w:r>
      <w:r>
        <w:rPr>
          <w:szCs w:val="30"/>
          <w:lang w:val="es-ES_tradnl"/>
        </w:rPr>
        <w:t>minal Federal nº 5, que integro).</w:t>
      </w:r>
    </w:p>
    <w:p w:rsidR="00224567" w:rsidRDefault="00224567">
      <w:pPr>
        <w:widowControl w:val="0"/>
        <w:tabs>
          <w:tab w:val="left" w:pos="2835"/>
        </w:tabs>
        <w:ind w:firstLine="2835"/>
        <w:rPr>
          <w:szCs w:val="30"/>
          <w:lang w:val="es-ES_tradnl"/>
        </w:rPr>
      </w:pPr>
      <w:r>
        <w:rPr>
          <w:szCs w:val="30"/>
          <w:lang w:val="es-ES_tradnl"/>
        </w:rPr>
        <w:t xml:space="preserve">Tal doctrina, reiterada por </w:t>
      </w:r>
      <w:smartTag w:uri="urn:schemas-microsoft-com:office:smarttags" w:element="PersonName">
        <w:smartTagPr>
          <w:attr w:name="ProductID" w:val="la Corte Suprema"/>
        </w:smartTagPr>
        <w:r>
          <w:rPr>
            <w:szCs w:val="30"/>
            <w:lang w:val="es-ES_tradnl"/>
          </w:rPr>
          <w:t>la Corte Suprema</w:t>
        </w:r>
      </w:smartTag>
      <w:r>
        <w:rPr>
          <w:szCs w:val="30"/>
          <w:lang w:val="es-ES_tradnl"/>
        </w:rPr>
        <w:t xml:space="preserve"> en los precedentes mencionados en el voto que a</w:t>
      </w:r>
      <w:r>
        <w:rPr>
          <w:szCs w:val="30"/>
          <w:lang w:val="es-ES_tradnl"/>
        </w:rPr>
        <w:t>n</w:t>
      </w:r>
      <w:r>
        <w:rPr>
          <w:szCs w:val="30"/>
          <w:lang w:val="es-ES_tradnl"/>
        </w:rPr>
        <w:t>tecede me reafirma en mis creencias desde que, de lo co</w:t>
      </w:r>
      <w:r>
        <w:rPr>
          <w:szCs w:val="30"/>
          <w:lang w:val="es-ES_tradnl"/>
        </w:rPr>
        <w:t>n</w:t>
      </w:r>
      <w:r>
        <w:rPr>
          <w:szCs w:val="30"/>
          <w:lang w:val="es-ES_tradnl"/>
        </w:rPr>
        <w:t>trario, podría resultar que el Tribunal terminara subr</w:t>
      </w:r>
      <w:r>
        <w:rPr>
          <w:szCs w:val="30"/>
          <w:lang w:val="es-ES_tradnl"/>
        </w:rPr>
        <w:t>o</w:t>
      </w:r>
      <w:r>
        <w:rPr>
          <w:szCs w:val="30"/>
          <w:lang w:val="es-ES_tradnl"/>
        </w:rPr>
        <w:t>gándose en facultades de la fiscalía, transformándose en parte y dejando así de ser el órgano imparcial e indepe</w:t>
      </w:r>
      <w:r>
        <w:rPr>
          <w:szCs w:val="30"/>
          <w:lang w:val="es-ES_tradnl"/>
        </w:rPr>
        <w:t>n</w:t>
      </w:r>
      <w:r>
        <w:rPr>
          <w:szCs w:val="30"/>
          <w:lang w:val="es-ES_tradnl"/>
        </w:rPr>
        <w:t>diente puesto por la ley para dilucidar litigios que le son propuestos con base en el principio de bilateralidad.</w:t>
      </w:r>
    </w:p>
    <w:p w:rsidR="00224567" w:rsidRDefault="00224567">
      <w:pPr>
        <w:widowControl w:val="0"/>
        <w:tabs>
          <w:tab w:val="left" w:pos="2835"/>
        </w:tabs>
        <w:ind w:firstLine="2835"/>
        <w:rPr>
          <w:szCs w:val="30"/>
          <w:lang w:val="es-ES_tradnl"/>
        </w:rPr>
      </w:pPr>
      <w:r>
        <w:rPr>
          <w:szCs w:val="30"/>
          <w:lang w:val="es-ES_tradnl"/>
        </w:rPr>
        <w:t>“En tales términos considero que c</w:t>
      </w:r>
      <w:r>
        <w:rPr>
          <w:szCs w:val="30"/>
          <w:lang w:val="es-ES_tradnl"/>
        </w:rPr>
        <w:t>o</w:t>
      </w:r>
      <w:r>
        <w:rPr>
          <w:szCs w:val="30"/>
          <w:lang w:val="es-ES_tradnl"/>
        </w:rPr>
        <w:t>rrespo</w:t>
      </w:r>
      <w:r>
        <w:rPr>
          <w:szCs w:val="30"/>
          <w:lang w:val="es-ES_tradnl"/>
        </w:rPr>
        <w:t>n</w:t>
      </w:r>
      <w:r>
        <w:rPr>
          <w:szCs w:val="30"/>
          <w:lang w:val="es-ES_tradnl"/>
        </w:rPr>
        <w:t>de absolver ... por no haber mediado acusación ..., de</w:t>
      </w:r>
      <w:r>
        <w:rPr>
          <w:szCs w:val="30"/>
          <w:lang w:val="es-ES_tradnl"/>
        </w:rPr>
        <w:t>s</w:t>
      </w:r>
      <w:r>
        <w:rPr>
          <w:szCs w:val="30"/>
          <w:lang w:val="es-ES_tradnl"/>
        </w:rPr>
        <w:t>de que ésta se concreta recién en el momento en el cual el fiscal, en uso del poder que le fuera conf</w:t>
      </w:r>
      <w:r>
        <w:rPr>
          <w:szCs w:val="30"/>
          <w:lang w:val="es-ES_tradnl"/>
        </w:rPr>
        <w:t>e</w:t>
      </w:r>
      <w:r>
        <w:rPr>
          <w:szCs w:val="30"/>
          <w:lang w:val="es-ES_tradnl"/>
        </w:rPr>
        <w:t>rido por el Estado solicita se imponga a alguien una sanción con ref</w:t>
      </w:r>
      <w:r>
        <w:rPr>
          <w:szCs w:val="30"/>
          <w:lang w:val="es-ES_tradnl"/>
        </w:rPr>
        <w:t>e</w:t>
      </w:r>
      <w:r>
        <w:rPr>
          <w:szCs w:val="30"/>
          <w:lang w:val="es-ES_tradnl"/>
        </w:rPr>
        <w:t>rencia a hechos concretos, enmarcados jurídicamente de d</w:t>
      </w:r>
      <w:r>
        <w:rPr>
          <w:szCs w:val="30"/>
          <w:lang w:val="es-ES_tradnl"/>
        </w:rPr>
        <w:t>e</w:t>
      </w:r>
      <w:r>
        <w:rPr>
          <w:szCs w:val="30"/>
          <w:lang w:val="es-ES_tradnl"/>
        </w:rPr>
        <w:t>terminada manera; extremos que no se cumplimentan con el requerimiento de elevación a ju</w:t>
      </w:r>
      <w:r>
        <w:rPr>
          <w:szCs w:val="30"/>
          <w:lang w:val="es-ES_tradnl"/>
        </w:rPr>
        <w:t>i</w:t>
      </w:r>
      <w:r>
        <w:rPr>
          <w:szCs w:val="30"/>
          <w:lang w:val="es-ES_tradnl"/>
        </w:rPr>
        <w:t>cio” (mi voto en la causa nº 74, “Mendoza, Alexis David s/ fa</w:t>
      </w:r>
      <w:r>
        <w:rPr>
          <w:szCs w:val="30"/>
          <w:lang w:val="es-ES_tradnl"/>
        </w:rPr>
        <w:t>l</w:t>
      </w:r>
      <w:r>
        <w:rPr>
          <w:szCs w:val="30"/>
          <w:lang w:val="es-ES_tradnl"/>
        </w:rPr>
        <w:t>sificación de moneda”, sentencia del 7-9-95, reg. 20/95 del T.O.F. 5).</w:t>
      </w:r>
    </w:p>
    <w:p w:rsidR="00224567" w:rsidRDefault="00224567">
      <w:pPr>
        <w:widowControl w:val="0"/>
        <w:tabs>
          <w:tab w:val="left" w:pos="2835"/>
        </w:tabs>
        <w:ind w:firstLine="2835"/>
        <w:rPr>
          <w:szCs w:val="30"/>
          <w:lang w:val="es-ES_tradnl"/>
        </w:rPr>
      </w:pPr>
      <w:r>
        <w:rPr>
          <w:szCs w:val="30"/>
          <w:lang w:val="es-ES_tradnl"/>
        </w:rPr>
        <w:t xml:space="preserve">Con posterioridad, </w:t>
      </w:r>
      <w:smartTag w:uri="urn:schemas-microsoft-com:office:smarttags" w:element="PersonName">
        <w:smartTagPr>
          <w:attr w:name="ProductID" w:val="la Corte"/>
        </w:smartTagPr>
        <w:r>
          <w:rPr>
            <w:szCs w:val="30"/>
            <w:lang w:val="es-ES_tradnl"/>
          </w:rPr>
          <w:t>la Corte</w:t>
        </w:r>
      </w:smartTag>
      <w:r>
        <w:rPr>
          <w:szCs w:val="30"/>
          <w:lang w:val="es-ES_tradnl"/>
        </w:rPr>
        <w:t xml:space="preserve"> varió su criterio al dictar sentencia en la causa “Marcilese” (F</w:t>
      </w:r>
      <w:r>
        <w:rPr>
          <w:szCs w:val="30"/>
          <w:lang w:val="es-ES_tradnl"/>
        </w:rPr>
        <w:t>a</w:t>
      </w:r>
      <w:r>
        <w:rPr>
          <w:szCs w:val="30"/>
          <w:lang w:val="es-ES_tradnl"/>
        </w:rPr>
        <w:t>llos: 325:2005); sin embargo, continué sosteniendo el cr</w:t>
      </w:r>
      <w:r>
        <w:rPr>
          <w:szCs w:val="30"/>
          <w:lang w:val="es-ES_tradnl"/>
        </w:rPr>
        <w:t>i</w:t>
      </w:r>
      <w:r>
        <w:rPr>
          <w:szCs w:val="30"/>
          <w:lang w:val="es-ES_tradnl"/>
        </w:rPr>
        <w:t xml:space="preserve">terio </w:t>
      </w:r>
      <w:r>
        <w:rPr>
          <w:szCs w:val="30"/>
          <w:u w:val="single"/>
          <w:lang w:val="es-ES_tradnl"/>
        </w:rPr>
        <w:t>ut supra</w:t>
      </w:r>
      <w:r>
        <w:rPr>
          <w:szCs w:val="30"/>
          <w:lang w:val="es-ES_tradnl"/>
        </w:rPr>
        <w:t xml:space="preserve"> referenciado, por los fundamentos que exp</w:t>
      </w:r>
      <w:r>
        <w:rPr>
          <w:szCs w:val="30"/>
          <w:lang w:val="es-ES_tradnl"/>
        </w:rPr>
        <w:t>u</w:t>
      </w:r>
      <w:r>
        <w:rPr>
          <w:szCs w:val="30"/>
          <w:lang w:val="es-ES_tradnl"/>
        </w:rPr>
        <w:t>se en la causa nº 567 del T.O.F. 5, seguida a Ana Let</w:t>
      </w:r>
      <w:r>
        <w:rPr>
          <w:szCs w:val="30"/>
          <w:lang w:val="es-ES_tradnl"/>
        </w:rPr>
        <w:t>i</w:t>
      </w:r>
      <w:r>
        <w:rPr>
          <w:szCs w:val="30"/>
          <w:lang w:val="es-ES_tradnl"/>
        </w:rPr>
        <w:t xml:space="preserve">cia Ariza y otros por infracción a la ley 23.737, que fuera fallada el día 30 de septiembre de </w:t>
      </w:r>
      <w:smartTag w:uri="urn:schemas-microsoft-com:office:smarttags" w:element="metricconverter">
        <w:smartTagPr>
          <w:attr w:name="ProductID" w:val="2002, a"/>
        </w:smartTagPr>
        <w:r>
          <w:rPr>
            <w:szCs w:val="30"/>
            <w:lang w:val="es-ES_tradnl"/>
          </w:rPr>
          <w:t>2002, a</w:t>
        </w:r>
      </w:smartTag>
      <w:r>
        <w:rPr>
          <w:szCs w:val="30"/>
          <w:lang w:val="es-ES_tradnl"/>
        </w:rPr>
        <w:t xml:space="preserve"> los que, en h</w:t>
      </w:r>
      <w:r>
        <w:rPr>
          <w:szCs w:val="30"/>
          <w:lang w:val="es-ES_tradnl"/>
        </w:rPr>
        <w:t>o</w:t>
      </w:r>
      <w:r>
        <w:rPr>
          <w:szCs w:val="30"/>
          <w:lang w:val="es-ES_tradnl"/>
        </w:rPr>
        <w:t>menaje a la brevedad me remito.</w:t>
      </w:r>
    </w:p>
    <w:p w:rsidR="00224567" w:rsidRDefault="00224567">
      <w:pPr>
        <w:widowControl w:val="0"/>
        <w:tabs>
          <w:tab w:val="left" w:pos="2835"/>
        </w:tabs>
        <w:ind w:firstLine="2835"/>
        <w:rPr>
          <w:szCs w:val="30"/>
          <w:lang w:val="es-ES_tradnl"/>
        </w:rPr>
      </w:pPr>
      <w:r>
        <w:rPr>
          <w:szCs w:val="30"/>
          <w:lang w:val="es-ES_tradnl"/>
        </w:rPr>
        <w:t>Muy recientemente, nuestro más Alto Tribunal ha modificado nuevamente su criterio, reto</w:t>
      </w:r>
      <w:r>
        <w:rPr>
          <w:szCs w:val="30"/>
          <w:lang w:val="es-ES_tradnl"/>
        </w:rPr>
        <w:t>r</w:t>
      </w:r>
      <w:r>
        <w:rPr>
          <w:szCs w:val="30"/>
          <w:lang w:val="es-ES_tradnl"/>
        </w:rPr>
        <w:t>nando a su tradicional doctrina al resolver el 17 de febrero ppdo. en la causa M. 528 XXXV caratulada “Mo</w:t>
      </w:r>
      <w:r>
        <w:rPr>
          <w:szCs w:val="30"/>
          <w:lang w:val="es-ES_tradnl"/>
        </w:rPr>
        <w:t>s</w:t>
      </w:r>
      <w:r>
        <w:rPr>
          <w:szCs w:val="30"/>
          <w:lang w:val="es-ES_tradnl"/>
        </w:rPr>
        <w:t>taccio, Julio Gabriel s/ homic</w:t>
      </w:r>
      <w:r>
        <w:rPr>
          <w:szCs w:val="30"/>
          <w:lang w:val="es-ES_tradnl"/>
        </w:rPr>
        <w:t>i</w:t>
      </w:r>
      <w:r>
        <w:rPr>
          <w:szCs w:val="30"/>
          <w:lang w:val="es-ES_tradnl"/>
        </w:rPr>
        <w:t>dio culposo” (diario L.L. del 20-2-04).</w:t>
      </w:r>
    </w:p>
    <w:p w:rsidR="00224567" w:rsidRDefault="00224567">
      <w:pPr>
        <w:widowControl w:val="0"/>
        <w:tabs>
          <w:tab w:val="left" w:pos="2835"/>
        </w:tabs>
        <w:ind w:firstLine="2835"/>
        <w:rPr>
          <w:szCs w:val="30"/>
          <w:lang w:val="es-ES_tradnl"/>
        </w:rPr>
      </w:pPr>
      <w:r>
        <w:rPr>
          <w:szCs w:val="30"/>
          <w:lang w:val="es-ES_tradnl"/>
        </w:rPr>
        <w:t>En consecuencia, habiéndose requ</w:t>
      </w:r>
      <w:r>
        <w:rPr>
          <w:szCs w:val="30"/>
          <w:lang w:val="es-ES_tradnl"/>
        </w:rPr>
        <w:t>e</w:t>
      </w:r>
      <w:r>
        <w:rPr>
          <w:szCs w:val="30"/>
          <w:lang w:val="es-ES_tradnl"/>
        </w:rPr>
        <w:t>rido fundadamente la absolución de Ribelli, Ibarra, Bareiro, Leal, Casas, Toledo, Huici, Cruz, Araya, Quinteros, L</w:t>
      </w:r>
      <w:r>
        <w:rPr>
          <w:szCs w:val="30"/>
          <w:lang w:val="es-ES_tradnl"/>
        </w:rPr>
        <w:t>a</w:t>
      </w:r>
      <w:r>
        <w:rPr>
          <w:szCs w:val="30"/>
          <w:lang w:val="es-ES_tradnl"/>
        </w:rPr>
        <w:t>sala, Pérez, Jaimes y Nitzcaner por parte del Ministerio Público Fiscal y respecto de los delitos detallados en p</w:t>
      </w:r>
      <w:r>
        <w:rPr>
          <w:szCs w:val="30"/>
          <w:lang w:val="es-ES_tradnl"/>
        </w:rPr>
        <w:t>á</w:t>
      </w:r>
      <w:r>
        <w:rPr>
          <w:szCs w:val="30"/>
          <w:lang w:val="es-ES_tradnl"/>
        </w:rPr>
        <w:t>rrafos anteriores, corresponde así decretarlo, sin ingr</w:t>
      </w:r>
      <w:r>
        <w:rPr>
          <w:szCs w:val="30"/>
          <w:lang w:val="es-ES_tradnl"/>
        </w:rPr>
        <w:t>e</w:t>
      </w:r>
      <w:r>
        <w:rPr>
          <w:szCs w:val="30"/>
          <w:lang w:val="es-ES_tradnl"/>
        </w:rPr>
        <w:t>sar al tr</w:t>
      </w:r>
      <w:r>
        <w:rPr>
          <w:szCs w:val="30"/>
          <w:lang w:val="es-ES_tradnl"/>
        </w:rPr>
        <w:t>a</w:t>
      </w:r>
      <w:r>
        <w:rPr>
          <w:szCs w:val="30"/>
          <w:lang w:val="es-ES_tradnl"/>
        </w:rPr>
        <w:t>tamiento de ninguno de los tópicos señalados en los artículos 398 y 399 del r</w:t>
      </w:r>
      <w:r>
        <w:rPr>
          <w:szCs w:val="30"/>
          <w:lang w:val="es-ES_tradnl"/>
        </w:rPr>
        <w:t>i</w:t>
      </w:r>
      <w:r>
        <w:rPr>
          <w:szCs w:val="30"/>
          <w:lang w:val="es-ES_tradnl"/>
        </w:rPr>
        <w:t>tual.</w:t>
      </w:r>
    </w:p>
    <w:p w:rsidR="00224567" w:rsidRDefault="00224567">
      <w:pPr>
        <w:widowControl w:val="0"/>
        <w:tabs>
          <w:tab w:val="left" w:pos="2835"/>
        </w:tabs>
        <w:ind w:firstLine="2835"/>
        <w:rPr>
          <w:szCs w:val="30"/>
          <w:lang w:val="es-ES_tradnl"/>
        </w:rPr>
      </w:pPr>
      <w:r>
        <w:rPr>
          <w:szCs w:val="30"/>
          <w:lang w:val="es-ES_tradnl"/>
        </w:rPr>
        <w:t>Es mi voto.</w:t>
      </w:r>
    </w:p>
    <w:p w:rsidR="00224567" w:rsidRDefault="00224567">
      <w:pPr>
        <w:widowControl w:val="0"/>
        <w:tabs>
          <w:tab w:val="left" w:pos="2835"/>
        </w:tabs>
        <w:rPr>
          <w:b/>
          <w:bCs/>
          <w:szCs w:val="30"/>
          <w:lang w:val="es-ES_tradnl"/>
        </w:rPr>
      </w:pPr>
      <w:r>
        <w:rPr>
          <w:b/>
          <w:bCs/>
          <w:szCs w:val="30"/>
          <w:lang w:val="es-ES_tradnl"/>
        </w:rPr>
        <w:tab/>
        <w:t>E) El Dr. Larrambebere dijo:</w:t>
      </w:r>
    </w:p>
    <w:p w:rsidR="00224567" w:rsidRDefault="00224567">
      <w:pPr>
        <w:widowControl w:val="0"/>
        <w:tabs>
          <w:tab w:val="left" w:pos="2835"/>
        </w:tabs>
        <w:rPr>
          <w:szCs w:val="30"/>
          <w:lang w:val="es-ES_tradnl"/>
        </w:rPr>
      </w:pPr>
      <w:r>
        <w:rPr>
          <w:szCs w:val="30"/>
          <w:lang w:val="es-ES_tradnl"/>
        </w:rPr>
        <w:tab/>
        <w:t xml:space="preserve">Tal como lo sostuve en oportunidad de decidir en los autos “Ibarra, Nora L. y otros s/inf. ley </w:t>
      </w:r>
      <w:smartTag w:uri="urn:schemas-microsoft-com:office:smarttags" w:element="metricconverter">
        <w:smartTagPr>
          <w:attr w:name="ProductID" w:val="23.737”"/>
        </w:smartTagPr>
        <w:r>
          <w:rPr>
            <w:szCs w:val="30"/>
            <w:lang w:val="es-ES_tradnl"/>
          </w:rPr>
          <w:t>23.737”</w:t>
        </w:r>
      </w:smartTag>
      <w:r>
        <w:rPr>
          <w:szCs w:val="30"/>
          <w:lang w:val="es-ES_tradnl"/>
        </w:rPr>
        <w:t>, Reg. nº 48/93 del 2-12-93; “Regiretti, M</w:t>
      </w:r>
      <w:r>
        <w:rPr>
          <w:szCs w:val="30"/>
          <w:lang w:val="es-ES_tradnl"/>
        </w:rPr>
        <w:t>a</w:t>
      </w:r>
      <w:r>
        <w:rPr>
          <w:szCs w:val="30"/>
          <w:lang w:val="es-ES_tradnl"/>
        </w:rPr>
        <w:t xml:space="preserve">riano A. s/inf. ley </w:t>
      </w:r>
      <w:smartTag w:uri="urn:schemas-microsoft-com:office:smarttags" w:element="metricconverter">
        <w:smartTagPr>
          <w:attr w:name="ProductID" w:val="23.737”"/>
        </w:smartTagPr>
        <w:r>
          <w:rPr>
            <w:szCs w:val="30"/>
            <w:lang w:val="es-ES_tradnl"/>
          </w:rPr>
          <w:t>23.737”</w:t>
        </w:r>
      </w:smartTag>
      <w:r>
        <w:rPr>
          <w:szCs w:val="30"/>
          <w:lang w:val="es-ES_tradnl"/>
        </w:rPr>
        <w:t xml:space="preserve">, Reg. nº 11/95 del 22-05-95; “Albornoz, Pedro y otra s/inf. ley </w:t>
      </w:r>
      <w:smartTag w:uri="urn:schemas-microsoft-com:office:smarttags" w:element="metricconverter">
        <w:smartTagPr>
          <w:attr w:name="ProductID" w:val="23.737”"/>
        </w:smartTagPr>
        <w:r>
          <w:rPr>
            <w:szCs w:val="30"/>
            <w:lang w:val="es-ES_tradnl"/>
          </w:rPr>
          <w:t>23.737”</w:t>
        </w:r>
      </w:smartTag>
      <w:r>
        <w:rPr>
          <w:szCs w:val="30"/>
          <w:lang w:val="es-ES_tradnl"/>
        </w:rPr>
        <w:t xml:space="preserve">, Reg. nº 21/95 del 8-09-95 y “Resio, Guillermo O. s/inf. ley </w:t>
      </w:r>
      <w:smartTag w:uri="urn:schemas-microsoft-com:office:smarttags" w:element="metricconverter">
        <w:smartTagPr>
          <w:attr w:name="ProductID" w:val="23.737”"/>
        </w:smartTagPr>
        <w:r>
          <w:rPr>
            <w:szCs w:val="30"/>
            <w:lang w:val="es-ES_tradnl"/>
          </w:rPr>
          <w:t>23.737”</w:t>
        </w:r>
      </w:smartTag>
      <w:r>
        <w:rPr>
          <w:szCs w:val="30"/>
          <w:lang w:val="es-ES_tradnl"/>
        </w:rPr>
        <w:t>, Reg. nº 29/95 del 14-11-94, entre otras, la libre absolución de los pr</w:t>
      </w:r>
      <w:r>
        <w:rPr>
          <w:szCs w:val="30"/>
          <w:lang w:val="es-ES_tradnl"/>
        </w:rPr>
        <w:t>o</w:t>
      </w:r>
      <w:r>
        <w:rPr>
          <w:szCs w:val="30"/>
          <w:lang w:val="es-ES_tradnl"/>
        </w:rPr>
        <w:t>cesados solicitada por el Sr. fiscal de juicio, al momento de alegar, no es una postura obligatoria para el Tribunal, dado que se podría arribar a una solución co</w:t>
      </w:r>
      <w:r>
        <w:rPr>
          <w:szCs w:val="30"/>
          <w:lang w:val="es-ES_tradnl"/>
        </w:rPr>
        <w:t>n</w:t>
      </w:r>
      <w:r>
        <w:rPr>
          <w:szCs w:val="30"/>
          <w:lang w:val="es-ES_tradnl"/>
        </w:rPr>
        <w:t>denatoria en mérito a la acusación perfectamente válida contenida en los requ</w:t>
      </w:r>
      <w:r>
        <w:rPr>
          <w:szCs w:val="30"/>
          <w:lang w:val="es-ES_tradnl"/>
        </w:rPr>
        <w:t>e</w:t>
      </w:r>
      <w:r>
        <w:rPr>
          <w:szCs w:val="30"/>
          <w:lang w:val="es-ES_tradnl"/>
        </w:rPr>
        <w:t>rimientos de elevación a juicio.</w:t>
      </w:r>
    </w:p>
    <w:p w:rsidR="00224567" w:rsidRDefault="00224567">
      <w:pPr>
        <w:widowControl w:val="0"/>
        <w:tabs>
          <w:tab w:val="left" w:pos="2835"/>
        </w:tabs>
        <w:rPr>
          <w:szCs w:val="30"/>
          <w:lang w:val="es-ES_tradnl"/>
        </w:rPr>
      </w:pPr>
      <w:r>
        <w:rPr>
          <w:szCs w:val="30"/>
          <w:lang w:val="es-ES_tradnl"/>
        </w:rPr>
        <w:tab/>
        <w:t xml:space="preserve">Sin perjuicio de ello, </w:t>
      </w:r>
      <w:smartTag w:uri="urn:schemas-microsoft-com:office:smarttags" w:element="PersonName">
        <w:smartTagPr>
          <w:attr w:name="ProductID" w:val="la Corte Suprema"/>
        </w:smartTagPr>
        <w:r>
          <w:rPr>
            <w:szCs w:val="30"/>
            <w:lang w:val="es-ES_tradnl"/>
          </w:rPr>
          <w:t>la Corte Supr</w:t>
        </w:r>
        <w:r>
          <w:rPr>
            <w:szCs w:val="30"/>
            <w:lang w:val="es-ES_tradnl"/>
          </w:rPr>
          <w:t>e</w:t>
        </w:r>
        <w:r>
          <w:rPr>
            <w:szCs w:val="30"/>
            <w:lang w:val="es-ES_tradnl"/>
          </w:rPr>
          <w:t>ma</w:t>
        </w:r>
      </w:smartTag>
      <w:r>
        <w:rPr>
          <w:szCs w:val="30"/>
          <w:lang w:val="es-ES_tradnl"/>
        </w:rPr>
        <w:t xml:space="preserve"> de Justicia de </w:t>
      </w:r>
      <w:smartTag w:uri="urn:schemas-microsoft-com:office:smarttags" w:element="PersonName">
        <w:smartTagPr>
          <w:attr w:name="ProductID" w:val="la Naci￳n"/>
        </w:smartTagPr>
        <w:r>
          <w:rPr>
            <w:szCs w:val="30"/>
            <w:lang w:val="es-ES_tradnl"/>
          </w:rPr>
          <w:t>la Nación</w:t>
        </w:r>
      </w:smartTag>
      <w:r>
        <w:rPr>
          <w:szCs w:val="30"/>
          <w:lang w:val="es-ES_tradnl"/>
        </w:rPr>
        <w:t>, el 17 de febrero del cte. año en la causa “Mostaccio, Julio G. s/homicidio culposo”, r</w:t>
      </w:r>
      <w:r>
        <w:rPr>
          <w:szCs w:val="30"/>
          <w:lang w:val="es-ES_tradnl"/>
        </w:rPr>
        <w:t>e</w:t>
      </w:r>
      <w:r>
        <w:rPr>
          <w:szCs w:val="30"/>
          <w:lang w:val="es-ES_tradnl"/>
        </w:rPr>
        <w:t>tomó el criterio de que el tribunal no puede condenar si el fiscal, durante el debate, solicitó la absolución del imput</w:t>
      </w:r>
      <w:r>
        <w:rPr>
          <w:szCs w:val="30"/>
          <w:lang w:val="es-ES_tradnl"/>
        </w:rPr>
        <w:t>a</w:t>
      </w:r>
      <w:r>
        <w:rPr>
          <w:szCs w:val="30"/>
          <w:lang w:val="es-ES_tradnl"/>
        </w:rPr>
        <w:t>do, por cuanto la imposición de una condena en esas circunstancias transgrede las garantías constitucionales de la defensa en juicio y debido proceso, consagradas en el art. 18 de nuestra Ca</w:t>
      </w:r>
      <w:r>
        <w:rPr>
          <w:szCs w:val="30"/>
          <w:lang w:val="es-ES_tradnl"/>
        </w:rPr>
        <w:t>r</w:t>
      </w:r>
      <w:r>
        <w:rPr>
          <w:szCs w:val="30"/>
          <w:lang w:val="es-ES_tradnl"/>
        </w:rPr>
        <w:t>ta Magna.</w:t>
      </w:r>
    </w:p>
    <w:p w:rsidR="00224567" w:rsidRDefault="00224567">
      <w:pPr>
        <w:widowControl w:val="0"/>
        <w:tabs>
          <w:tab w:val="left" w:pos="2835"/>
        </w:tabs>
        <w:rPr>
          <w:szCs w:val="30"/>
          <w:lang w:val="es-ES_tradnl"/>
        </w:rPr>
      </w:pPr>
      <w:r>
        <w:rPr>
          <w:szCs w:val="30"/>
          <w:lang w:val="es-ES_tradnl"/>
        </w:rPr>
        <w:tab/>
        <w:t>Es de destacar que este es el criterio adoptado por el Alto Tribunal en los autos “Tarifeño” (F</w:t>
      </w:r>
      <w:r>
        <w:rPr>
          <w:szCs w:val="30"/>
          <w:lang w:val="es-ES_tradnl"/>
        </w:rPr>
        <w:t>a</w:t>
      </w:r>
      <w:r>
        <w:rPr>
          <w:szCs w:val="30"/>
          <w:lang w:val="es-ES_tradnl"/>
        </w:rPr>
        <w:t>llos: 325:2019), “García” (Fallos: 317:2043), “Cattonar” (Fallos: 318:1234), “Montero” (Fallos: 318:1788) y Cáseres (Fallos: 320:1891), momentáneamente dejado de lado en oportunidad de expedirse en el caso “Marcilese” (Fallos: 325:2005).</w:t>
      </w:r>
    </w:p>
    <w:p w:rsidR="00224567" w:rsidRDefault="00224567">
      <w:pPr>
        <w:widowControl w:val="0"/>
        <w:tabs>
          <w:tab w:val="left" w:pos="2835"/>
        </w:tabs>
        <w:rPr>
          <w:szCs w:val="30"/>
          <w:lang w:val="es-ES_tradnl"/>
        </w:rPr>
      </w:pPr>
      <w:r>
        <w:rPr>
          <w:szCs w:val="30"/>
          <w:lang w:val="es-ES_tradnl"/>
        </w:rPr>
        <w:tab/>
        <w:t>Ahora bien, considero necesario anal</w:t>
      </w:r>
      <w:r>
        <w:rPr>
          <w:szCs w:val="30"/>
          <w:lang w:val="es-ES_tradnl"/>
        </w:rPr>
        <w:t>i</w:t>
      </w:r>
      <w:r>
        <w:rPr>
          <w:szCs w:val="30"/>
          <w:lang w:val="es-ES_tradnl"/>
        </w:rPr>
        <w:t>zar nuevamente esta cuestión, ya que de la lectura de las sente</w:t>
      </w:r>
      <w:r>
        <w:rPr>
          <w:szCs w:val="30"/>
          <w:lang w:val="es-ES_tradnl"/>
        </w:rPr>
        <w:t>n</w:t>
      </w:r>
      <w:r>
        <w:rPr>
          <w:szCs w:val="30"/>
          <w:lang w:val="es-ES_tradnl"/>
        </w:rPr>
        <w:t xml:space="preserve">cias citadas, a excepción de la mencionada en último término, </w:t>
      </w:r>
      <w:smartTag w:uri="urn:schemas-microsoft-com:office:smarttags" w:element="PersonName">
        <w:smartTagPr>
          <w:attr w:name="ProductID" w:val="la Corte"/>
        </w:smartTagPr>
        <w:r>
          <w:rPr>
            <w:szCs w:val="30"/>
            <w:lang w:val="es-ES_tradnl"/>
          </w:rPr>
          <w:t>la Corte</w:t>
        </w:r>
      </w:smartTag>
      <w:r>
        <w:rPr>
          <w:szCs w:val="30"/>
          <w:lang w:val="es-ES_tradnl"/>
        </w:rPr>
        <w:t xml:space="preserve"> sostuvo, al resolver un caso análogo al que aquí nos convoca, que “en materia criminal la garantía consagrada por el art. 18 de </w:t>
      </w:r>
      <w:smartTag w:uri="urn:schemas-microsoft-com:office:smarttags" w:element="PersonName">
        <w:smartTagPr>
          <w:attr w:name="ProductID" w:val="la Constituci￳n Nacional"/>
        </w:smartTagPr>
        <w:r>
          <w:rPr>
            <w:szCs w:val="30"/>
            <w:lang w:val="es-ES_tradnl"/>
          </w:rPr>
          <w:t>la Constitución Nacional</w:t>
        </w:r>
      </w:smartTag>
      <w:r>
        <w:rPr>
          <w:szCs w:val="30"/>
          <w:lang w:val="es-ES_tradnl"/>
        </w:rPr>
        <w:t xml:space="preserve"> ex</w:t>
      </w:r>
      <w:r>
        <w:rPr>
          <w:szCs w:val="30"/>
          <w:lang w:val="es-ES_tradnl"/>
        </w:rPr>
        <w:t>i</w:t>
      </w:r>
      <w:r>
        <w:rPr>
          <w:szCs w:val="30"/>
          <w:lang w:val="es-ES_tradnl"/>
        </w:rPr>
        <w:t>ge la observancia de las formas sustanciales del juicio relativas a la acusación, defensa, prueba y sentencia di</w:t>
      </w:r>
      <w:r>
        <w:rPr>
          <w:szCs w:val="30"/>
          <w:lang w:val="es-ES_tradnl"/>
        </w:rPr>
        <w:t>c</w:t>
      </w:r>
      <w:r>
        <w:rPr>
          <w:szCs w:val="30"/>
          <w:lang w:val="es-ES_tradnl"/>
        </w:rPr>
        <w:t>tada por los jueces n</w:t>
      </w:r>
      <w:r>
        <w:rPr>
          <w:szCs w:val="30"/>
          <w:lang w:val="es-ES_tradnl"/>
        </w:rPr>
        <w:t>a</w:t>
      </w:r>
      <w:r>
        <w:rPr>
          <w:szCs w:val="30"/>
          <w:lang w:val="es-ES_tradnl"/>
        </w:rPr>
        <w:t>turales”, agregando que en ese caso “no han sido respetadas esas formas, en la medida en que se ha dictado sentencia condenatoria sin acusación”, lo que llevó al Superior Tribunal a revocar los pronunci</w:t>
      </w:r>
      <w:r>
        <w:rPr>
          <w:szCs w:val="30"/>
          <w:lang w:val="es-ES_tradnl"/>
        </w:rPr>
        <w:t>a</w:t>
      </w:r>
      <w:r>
        <w:rPr>
          <w:szCs w:val="30"/>
          <w:lang w:val="es-ES_tradnl"/>
        </w:rPr>
        <w:t>mientos cond</w:t>
      </w:r>
      <w:r>
        <w:rPr>
          <w:szCs w:val="30"/>
          <w:lang w:val="es-ES_tradnl"/>
        </w:rPr>
        <w:t>e</w:t>
      </w:r>
      <w:r>
        <w:rPr>
          <w:szCs w:val="30"/>
          <w:lang w:val="es-ES_tradnl"/>
        </w:rPr>
        <w:t>natorios.</w:t>
      </w:r>
    </w:p>
    <w:p w:rsidR="00224567" w:rsidRDefault="00224567">
      <w:pPr>
        <w:widowControl w:val="0"/>
        <w:tabs>
          <w:tab w:val="left" w:pos="2835"/>
        </w:tabs>
        <w:rPr>
          <w:szCs w:val="30"/>
          <w:lang w:val="es-ES_tradnl"/>
        </w:rPr>
      </w:pPr>
      <w:r>
        <w:rPr>
          <w:szCs w:val="30"/>
          <w:lang w:val="es-ES_tradnl"/>
        </w:rPr>
        <w:tab/>
        <w:t>Ante tal situación, y dejando a salvo mi postura sobre dicha cuestión, atendiendo a razones de economía procesal, considero necesario rever mi posición asumida en decisiones anteriores, y en consecuencia apl</w:t>
      </w:r>
      <w:r>
        <w:rPr>
          <w:szCs w:val="30"/>
          <w:lang w:val="es-ES_tradnl"/>
        </w:rPr>
        <w:t>i</w:t>
      </w:r>
      <w:r>
        <w:rPr>
          <w:szCs w:val="30"/>
          <w:lang w:val="es-ES_tradnl"/>
        </w:rPr>
        <w:t>car la doctrina marcada por los fallos aludidos, no c</w:t>
      </w:r>
      <w:r>
        <w:rPr>
          <w:szCs w:val="30"/>
          <w:lang w:val="es-ES_tradnl"/>
        </w:rPr>
        <w:t>o</w:t>
      </w:r>
      <w:r>
        <w:rPr>
          <w:szCs w:val="30"/>
          <w:lang w:val="es-ES_tradnl"/>
        </w:rPr>
        <w:t>rrespondie</w:t>
      </w:r>
      <w:r>
        <w:rPr>
          <w:szCs w:val="30"/>
          <w:lang w:val="es-ES_tradnl"/>
        </w:rPr>
        <w:t>n</w:t>
      </w:r>
      <w:r>
        <w:rPr>
          <w:szCs w:val="30"/>
          <w:lang w:val="es-ES_tradnl"/>
        </w:rPr>
        <w:t>do emitir opinión sobre ninguno de los extremos previstos en el art. 398 del cód</w:t>
      </w:r>
      <w:r>
        <w:rPr>
          <w:szCs w:val="30"/>
          <w:lang w:val="es-ES_tradnl"/>
        </w:rPr>
        <w:t>i</w:t>
      </w:r>
      <w:r>
        <w:rPr>
          <w:szCs w:val="30"/>
          <w:lang w:val="es-ES_tradnl"/>
        </w:rPr>
        <w:t>go de rito.</w:t>
      </w:r>
    </w:p>
    <w:p w:rsidR="00224567" w:rsidRDefault="00224567">
      <w:pPr>
        <w:widowControl w:val="0"/>
        <w:tabs>
          <w:tab w:val="left" w:pos="2835"/>
        </w:tabs>
        <w:rPr>
          <w:szCs w:val="30"/>
          <w:lang w:val="es-ES_tradnl"/>
        </w:rPr>
      </w:pPr>
      <w:r>
        <w:rPr>
          <w:szCs w:val="30"/>
          <w:lang w:val="es-ES_tradnl"/>
        </w:rPr>
        <w:tab/>
        <w:t>Así las cosas, voto por la absolución de Ribelli, Ibarra, Bareiro, Leal, Casas, Toledo, Huici, Cruz, Araya, Quinteros, Lasala, Jaimes, Pérez y Nitzcaner, en o</w:t>
      </w:r>
      <w:r>
        <w:rPr>
          <w:szCs w:val="30"/>
          <w:lang w:val="es-ES_tradnl"/>
        </w:rPr>
        <w:t>r</w:t>
      </w:r>
      <w:r>
        <w:rPr>
          <w:szCs w:val="30"/>
          <w:lang w:val="es-ES_tradnl"/>
        </w:rPr>
        <w:t>den a los delitos por los que el fiscal de juicio no acusó y así lo solicitara en la oportunidad prevista por el art. 393 del Cód</w:t>
      </w:r>
      <w:r>
        <w:rPr>
          <w:szCs w:val="30"/>
          <w:lang w:val="es-ES_tradnl"/>
        </w:rPr>
        <w:t>i</w:t>
      </w:r>
      <w:r>
        <w:rPr>
          <w:szCs w:val="30"/>
          <w:lang w:val="es-ES_tradnl"/>
        </w:rPr>
        <w:t>go Procesal Penal.</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La conclusión adoptada me exime de tr</w:t>
      </w:r>
      <w:r>
        <w:t>a</w:t>
      </w:r>
      <w:r>
        <w:t>tar cualquier otra cuestión al respecto.</w:t>
      </w:r>
    </w:p>
    <w:p w:rsidR="00224567" w:rsidRDefault="00224567">
      <w:pPr>
        <w:pStyle w:val="Textoindependiente"/>
        <w:tabs>
          <w:tab w:val="clear" w:pos="0"/>
          <w:tab w:val="clear" w:pos="2040"/>
          <w:tab w:val="clear" w:pos="4080"/>
          <w:tab w:val="clear" w:pos="6120"/>
          <w:tab w:val="clear" w:pos="8160"/>
          <w:tab w:val="left" w:pos="2835"/>
        </w:tabs>
        <w:spacing w:line="600" w:lineRule="auto"/>
      </w:pPr>
    </w:p>
    <w:p w:rsidR="00224567" w:rsidRDefault="00224567">
      <w:pPr>
        <w:pStyle w:val="Ttulo2"/>
        <w:keepNext w:val="0"/>
        <w:widowControl w:val="0"/>
      </w:pPr>
      <w:r>
        <w:t>CAPÍTULO XIII</w:t>
      </w:r>
    </w:p>
    <w:p w:rsidR="00224567" w:rsidRDefault="00224567">
      <w:pPr>
        <w:widowControl w:val="0"/>
        <w:rPr>
          <w:rFonts w:eastAsia="Arial Unicode MS"/>
          <w:spacing w:val="-3"/>
        </w:rPr>
      </w:pPr>
    </w:p>
    <w:p w:rsidR="00224567" w:rsidRDefault="00224567">
      <w:pPr>
        <w:widowControl w:val="0"/>
        <w:rPr>
          <w:rFonts w:eastAsia="Arial Unicode MS"/>
          <w:spacing w:val="-3"/>
        </w:rPr>
      </w:pPr>
      <w:r>
        <w:rPr>
          <w:rFonts w:eastAsia="Arial Unicode MS"/>
          <w:spacing w:val="-3"/>
        </w:rPr>
        <w:tab/>
        <w:t>La defensa de Carlos Alberto Telle</w:t>
      </w:r>
      <w:r>
        <w:rPr>
          <w:rFonts w:eastAsia="Arial Unicode MS"/>
          <w:spacing w:val="-3"/>
        </w:rPr>
        <w:t>l</w:t>
      </w:r>
      <w:r>
        <w:rPr>
          <w:rFonts w:eastAsia="Arial Unicode MS"/>
          <w:spacing w:val="-3"/>
        </w:rPr>
        <w:t>dín solicitó también la absolución de su asistido en orden al delito de encubrimiento con relación a los hechos oc</w:t>
      </w:r>
      <w:r>
        <w:rPr>
          <w:rFonts w:eastAsia="Arial Unicode MS"/>
          <w:spacing w:val="-3"/>
        </w:rPr>
        <w:t>u</w:t>
      </w:r>
      <w:r>
        <w:rPr>
          <w:rFonts w:eastAsia="Arial Unicode MS"/>
          <w:spacing w:val="-3"/>
        </w:rPr>
        <w:t>rridos con posterioridad a la sustracción, en la vía pública, de la camioneta de Sarapura, por considerar que se enco</w:t>
      </w:r>
      <w:r>
        <w:rPr>
          <w:rFonts w:eastAsia="Arial Unicode MS"/>
          <w:spacing w:val="-3"/>
        </w:rPr>
        <w:t>n</w:t>
      </w:r>
      <w:r>
        <w:rPr>
          <w:rFonts w:eastAsia="Arial Unicode MS"/>
          <w:spacing w:val="-3"/>
        </w:rPr>
        <w:t>traba extinguida, a su respecto, la acción penal por prescripción (arts. 59 y 62 del C.P.), en atención al tiempo transcurr</w:t>
      </w:r>
      <w:r>
        <w:rPr>
          <w:rFonts w:eastAsia="Arial Unicode MS"/>
          <w:spacing w:val="-3"/>
        </w:rPr>
        <w:t>i</w:t>
      </w:r>
      <w:r>
        <w:rPr>
          <w:rFonts w:eastAsia="Arial Unicode MS"/>
          <w:spacing w:val="-3"/>
        </w:rPr>
        <w:t>do entre el auto de procesamiento y la elevación de la ca</w:t>
      </w:r>
      <w:r>
        <w:rPr>
          <w:rFonts w:eastAsia="Arial Unicode MS"/>
          <w:spacing w:val="-3"/>
        </w:rPr>
        <w:t>u</w:t>
      </w:r>
      <w:r>
        <w:rPr>
          <w:rFonts w:eastAsia="Arial Unicode MS"/>
          <w:spacing w:val="-3"/>
        </w:rPr>
        <w:t>sa a juicio, sin que se hubiera verificado algún acto int</w:t>
      </w:r>
      <w:r>
        <w:rPr>
          <w:rFonts w:eastAsia="Arial Unicode MS"/>
          <w:spacing w:val="-3"/>
        </w:rPr>
        <w:t>e</w:t>
      </w:r>
      <w:r>
        <w:rPr>
          <w:rFonts w:eastAsia="Arial Unicode MS"/>
          <w:spacing w:val="-3"/>
        </w:rPr>
        <w:t>rruptivo del plazo legal.</w:t>
      </w:r>
    </w:p>
    <w:p w:rsidR="00224567" w:rsidRDefault="00224567">
      <w:pPr>
        <w:widowControl w:val="0"/>
        <w:rPr>
          <w:rFonts w:eastAsia="Arial Unicode MS"/>
          <w:spacing w:val="-3"/>
        </w:rPr>
      </w:pPr>
      <w:r>
        <w:rPr>
          <w:rFonts w:eastAsia="Arial Unicode MS"/>
          <w:spacing w:val="-3"/>
        </w:rPr>
        <w:tab/>
        <w:t>El Tribunal entiende que no cabe efe</w:t>
      </w:r>
      <w:r>
        <w:rPr>
          <w:rFonts w:eastAsia="Arial Unicode MS"/>
          <w:spacing w:val="-3"/>
        </w:rPr>
        <w:t>c</w:t>
      </w:r>
      <w:r>
        <w:rPr>
          <w:rFonts w:eastAsia="Arial Unicode MS"/>
          <w:spacing w:val="-3"/>
        </w:rPr>
        <w:t>tuar pronunciamiento alguno al respecto, toda vez que tales sucesos no fueron motivo de acusación en el debate, ni i</w:t>
      </w:r>
      <w:r>
        <w:rPr>
          <w:rFonts w:eastAsia="Arial Unicode MS"/>
          <w:spacing w:val="-3"/>
        </w:rPr>
        <w:t>n</w:t>
      </w:r>
      <w:r>
        <w:rPr>
          <w:rFonts w:eastAsia="Arial Unicode MS"/>
          <w:spacing w:val="-3"/>
        </w:rPr>
        <w:t>tegraron el requerimiento fiscal de elevación a juicio, sino tan sólo aparecen mencionados en el auto que así lo dispuso.</w:t>
      </w:r>
    </w:p>
    <w:p w:rsidR="00224567" w:rsidRDefault="00224567">
      <w:pPr>
        <w:widowControl w:val="0"/>
      </w:pPr>
    </w:p>
    <w:p w:rsidR="00224567" w:rsidRDefault="00224567">
      <w:pPr>
        <w:pStyle w:val="Ttulo2"/>
        <w:keepNext w:val="0"/>
        <w:widowControl w:val="0"/>
      </w:pPr>
      <w:r>
        <w:t>CAPÍTULO XIV</w:t>
      </w:r>
    </w:p>
    <w:p w:rsidR="00224567" w:rsidRDefault="00224567">
      <w:pPr>
        <w:widowControl w:val="0"/>
      </w:pPr>
    </w:p>
    <w:p w:rsidR="00224567" w:rsidRDefault="00224567">
      <w:pPr>
        <w:widowControl w:val="0"/>
        <w:ind w:right="-57"/>
        <w:rPr>
          <w:bCs/>
        </w:rPr>
      </w:pPr>
      <w:r>
        <w:rPr>
          <w:bCs/>
        </w:rPr>
        <w:tab/>
      </w:r>
      <w:r>
        <w:rPr>
          <w:bCs/>
        </w:rPr>
        <w:tab/>
        <w:t>Un personaje intrigante, merecedor de mayor pesquisa, fue Wilson Roberto Dos Santos, quien d</w:t>
      </w:r>
      <w:r>
        <w:rPr>
          <w:bCs/>
        </w:rPr>
        <w:t>e</w:t>
      </w:r>
      <w:r>
        <w:rPr>
          <w:bCs/>
        </w:rPr>
        <w:t>claró en el d</w:t>
      </w:r>
      <w:r>
        <w:rPr>
          <w:bCs/>
        </w:rPr>
        <w:t>e</w:t>
      </w:r>
      <w:r>
        <w:rPr>
          <w:bCs/>
        </w:rPr>
        <w:t>bate el 29 de abril de 2003, en los términos del artículo 249, primer párrafo in fine, del C.P.P.N.</w:t>
      </w:r>
    </w:p>
    <w:p w:rsidR="00224567" w:rsidRDefault="00224567">
      <w:pPr>
        <w:widowControl w:val="0"/>
        <w:ind w:right="-59"/>
        <w:rPr>
          <w:bCs/>
        </w:rPr>
      </w:pPr>
      <w:r>
        <w:rPr>
          <w:bCs/>
        </w:rPr>
        <w:tab/>
      </w:r>
      <w:r>
        <w:rPr>
          <w:bCs/>
        </w:rPr>
        <w:tab/>
        <w:t>Expuso, que días previos al 18 de j</w:t>
      </w:r>
      <w:r>
        <w:rPr>
          <w:bCs/>
        </w:rPr>
        <w:t>u</w:t>
      </w:r>
      <w:r>
        <w:rPr>
          <w:bCs/>
        </w:rPr>
        <w:t>lio de 1994 concurrió al Consulado Argentino con sede en Milán, República de Italia, con la finalidad de informar a las autoridades, datos relativos a una persona que, a su juicio, resultaba extraña. Es así, que mantuvo una entr</w:t>
      </w:r>
      <w:r>
        <w:rPr>
          <w:bCs/>
        </w:rPr>
        <w:t>e</w:t>
      </w:r>
      <w:r>
        <w:rPr>
          <w:bCs/>
        </w:rPr>
        <w:t>vista con la cónsul Norma Susana Fasano, manifestándole que en Buenos Aires conoció a una mujer llamada Nasrim, de origen árabe, quién poseía un pasaporte y una cédula de ide</w:t>
      </w:r>
      <w:r>
        <w:rPr>
          <w:bCs/>
        </w:rPr>
        <w:t>n</w:t>
      </w:r>
      <w:r>
        <w:rPr>
          <w:bCs/>
        </w:rPr>
        <w:t xml:space="preserve">tidad argentinos, que a su juicio, eran falsos. </w:t>
      </w:r>
    </w:p>
    <w:p w:rsidR="00224567" w:rsidRDefault="00224567">
      <w:pPr>
        <w:widowControl w:val="0"/>
        <w:ind w:right="-59"/>
        <w:rPr>
          <w:bCs/>
        </w:rPr>
      </w:pPr>
      <w:r>
        <w:rPr>
          <w:bCs/>
        </w:rPr>
        <w:tab/>
      </w:r>
      <w:r>
        <w:rPr>
          <w:bCs/>
        </w:rPr>
        <w:tab/>
        <w:t>A su vez, Dos Santos refirió haberle comunicado a Fasano que esta mujer, identificada luego c</w:t>
      </w:r>
      <w:r>
        <w:rPr>
          <w:bCs/>
        </w:rPr>
        <w:t>o</w:t>
      </w:r>
      <w:r>
        <w:rPr>
          <w:bCs/>
        </w:rPr>
        <w:t>mo Nasrim Moktari, habría participado en el atentado oc</w:t>
      </w:r>
      <w:r>
        <w:rPr>
          <w:bCs/>
        </w:rPr>
        <w:t>u</w:t>
      </w:r>
      <w:r>
        <w:rPr>
          <w:bCs/>
        </w:rPr>
        <w:t xml:space="preserve">rrido en </w:t>
      </w:r>
      <w:smartTag w:uri="urn:schemas-microsoft-com:office:smarttags" w:element="PersonName">
        <w:smartTagPr>
          <w:attr w:name="ProductID" w:val="la Embajada"/>
        </w:smartTagPr>
        <w:r>
          <w:rPr>
            <w:bCs/>
          </w:rPr>
          <w:t>la Embajada</w:t>
        </w:r>
      </w:smartTag>
      <w:r>
        <w:rPr>
          <w:bCs/>
        </w:rPr>
        <w:t xml:space="preserve"> de Israel en Buenos Aires.</w:t>
      </w:r>
    </w:p>
    <w:p w:rsidR="00224567" w:rsidRDefault="00224567">
      <w:pPr>
        <w:widowControl w:val="0"/>
        <w:ind w:right="-59"/>
        <w:rPr>
          <w:bCs/>
        </w:rPr>
      </w:pPr>
      <w:r>
        <w:rPr>
          <w:bCs/>
        </w:rPr>
        <w:tab/>
      </w:r>
      <w:r>
        <w:rPr>
          <w:bCs/>
        </w:rPr>
        <w:tab/>
        <w:t>Dos Santos expresó que una vez prod</w:t>
      </w:r>
      <w:r>
        <w:rPr>
          <w:bCs/>
        </w:rPr>
        <w:t>u</w:t>
      </w:r>
      <w:r>
        <w:rPr>
          <w:bCs/>
        </w:rPr>
        <w:t xml:space="preserve">cido el atentado en la sede de </w:t>
      </w:r>
      <w:smartTag w:uri="urn:schemas-microsoft-com:office:smarttags" w:element="PersonName">
        <w:smartTagPr>
          <w:attr w:name="ProductID" w:val="la A.M"/>
        </w:smartTagPr>
        <w:r>
          <w:rPr>
            <w:bCs/>
          </w:rPr>
          <w:t>la A.M</w:t>
        </w:r>
      </w:smartTag>
      <w:r>
        <w:rPr>
          <w:bCs/>
        </w:rPr>
        <w:t>.I.A, volvió a pr</w:t>
      </w:r>
      <w:r>
        <w:rPr>
          <w:bCs/>
        </w:rPr>
        <w:t>e</w:t>
      </w:r>
      <w:r>
        <w:rPr>
          <w:bCs/>
        </w:rPr>
        <w:t>sentarse en el consulado argentino en Milán, exigiendo ser atendido por la cónsul Fasano; oportunidad en la que i</w:t>
      </w:r>
      <w:r>
        <w:rPr>
          <w:bCs/>
        </w:rPr>
        <w:t>n</w:t>
      </w:r>
      <w:r>
        <w:rPr>
          <w:bCs/>
        </w:rPr>
        <w:t>sistió no sólo con las sospechas que tenía sobre la part</w:t>
      </w:r>
      <w:r>
        <w:rPr>
          <w:bCs/>
        </w:rPr>
        <w:t>i</w:t>
      </w:r>
      <w:r>
        <w:rPr>
          <w:bCs/>
        </w:rPr>
        <w:t>cipación de Mokhtari en los sucesos del 17 de marzo de 1992, sino también que ella podía estar involucrada en el atent</w:t>
      </w:r>
      <w:r>
        <w:rPr>
          <w:bCs/>
        </w:rPr>
        <w:t>a</w:t>
      </w:r>
      <w:r>
        <w:rPr>
          <w:bCs/>
        </w:rPr>
        <w:t xml:space="preserve">do ocurrido en la sede de </w:t>
      </w:r>
      <w:smartTag w:uri="urn:schemas-microsoft-com:office:smarttags" w:element="PersonName">
        <w:smartTagPr>
          <w:attr w:name="ProductID" w:val="la A.M"/>
        </w:smartTagPr>
        <w:r>
          <w:rPr>
            <w:bCs/>
          </w:rPr>
          <w:t>la A.M</w:t>
        </w:r>
      </w:smartTag>
      <w:r>
        <w:rPr>
          <w:bCs/>
        </w:rPr>
        <w:t>.I.A.</w:t>
      </w:r>
    </w:p>
    <w:p w:rsidR="00224567" w:rsidRDefault="00224567">
      <w:pPr>
        <w:pStyle w:val="Textoindependiente3"/>
        <w:widowControl w:val="0"/>
        <w:ind w:firstLine="709"/>
        <w:rPr>
          <w:rFonts w:ascii="Courier New" w:hAnsi="Courier New" w:cs="Courier New"/>
          <w:b w:val="0"/>
          <w:bCs/>
          <w:sz w:val="24"/>
        </w:rPr>
      </w:pPr>
      <w:r>
        <w:rPr>
          <w:rFonts w:ascii="Courier New" w:hAnsi="Courier New" w:cs="Courier New"/>
          <w:b w:val="0"/>
          <w:bCs/>
          <w:sz w:val="24"/>
        </w:rPr>
        <w:tab/>
        <w:t>Sin embargo, según relató el testigo, la diplomática le manifestó que el fundamento de sus so</w:t>
      </w:r>
      <w:r>
        <w:rPr>
          <w:rFonts w:ascii="Courier New" w:hAnsi="Courier New" w:cs="Courier New"/>
          <w:b w:val="0"/>
          <w:bCs/>
          <w:sz w:val="24"/>
        </w:rPr>
        <w:t>s</w:t>
      </w:r>
      <w:r>
        <w:rPr>
          <w:rFonts w:ascii="Courier New" w:hAnsi="Courier New" w:cs="Courier New"/>
          <w:b w:val="0"/>
          <w:bCs/>
          <w:sz w:val="24"/>
        </w:rPr>
        <w:t xml:space="preserve">pechas, esto es, la ilicitud de la documentación argentina </w:t>
      </w:r>
    </w:p>
    <w:p w:rsidR="00224567" w:rsidRDefault="00224567">
      <w:pPr>
        <w:pStyle w:val="Textoindependiente3"/>
        <w:widowControl w:val="0"/>
        <w:rPr>
          <w:rFonts w:ascii="Courier New" w:hAnsi="Courier New" w:cs="Courier New"/>
          <w:b w:val="0"/>
          <w:bCs/>
          <w:sz w:val="24"/>
        </w:rPr>
      </w:pPr>
      <w:r>
        <w:rPr>
          <w:rFonts w:ascii="Courier New" w:hAnsi="Courier New" w:cs="Courier New"/>
          <w:b w:val="0"/>
          <w:bCs/>
          <w:sz w:val="24"/>
        </w:rPr>
        <w:br w:type="page"/>
        <w:t>que poseía Mokhtari, no resultaban suficientes para in</w:t>
      </w:r>
      <w:r>
        <w:rPr>
          <w:rFonts w:ascii="Courier New" w:hAnsi="Courier New" w:cs="Courier New"/>
          <w:b w:val="0"/>
          <w:bCs/>
          <w:sz w:val="24"/>
        </w:rPr>
        <w:t>i</w:t>
      </w:r>
      <w:r>
        <w:rPr>
          <w:rFonts w:ascii="Courier New" w:hAnsi="Courier New" w:cs="Courier New"/>
          <w:b w:val="0"/>
          <w:bCs/>
          <w:sz w:val="24"/>
        </w:rPr>
        <w:t>ciar una investigación.</w:t>
      </w:r>
    </w:p>
    <w:p w:rsidR="00224567" w:rsidRDefault="00224567">
      <w:pPr>
        <w:pStyle w:val="Textoindependiente3"/>
        <w:widowControl w:val="0"/>
        <w:ind w:firstLine="708"/>
        <w:rPr>
          <w:rFonts w:ascii="Courier New" w:hAnsi="Courier New" w:cs="Courier New"/>
          <w:b w:val="0"/>
          <w:bCs/>
          <w:sz w:val="24"/>
        </w:rPr>
      </w:pPr>
      <w:r>
        <w:rPr>
          <w:rFonts w:ascii="Courier New" w:hAnsi="Courier New" w:cs="Courier New"/>
          <w:b w:val="0"/>
          <w:bCs/>
          <w:sz w:val="24"/>
        </w:rPr>
        <w:tab/>
        <w:t>Es así, que tras dejar el consulado, Dos Sa</w:t>
      </w:r>
      <w:r>
        <w:rPr>
          <w:rFonts w:ascii="Courier New" w:hAnsi="Courier New" w:cs="Courier New"/>
          <w:b w:val="0"/>
          <w:bCs/>
          <w:sz w:val="24"/>
        </w:rPr>
        <w:t>n</w:t>
      </w:r>
      <w:r>
        <w:rPr>
          <w:rFonts w:ascii="Courier New" w:hAnsi="Courier New" w:cs="Courier New"/>
          <w:b w:val="0"/>
          <w:bCs/>
          <w:sz w:val="24"/>
        </w:rPr>
        <w:t xml:space="preserve">tos llamó al país, a </w:t>
      </w:r>
      <w:smartTag w:uri="urn:schemas-microsoft-com:office:smarttags" w:element="PersonName">
        <w:smartTagPr>
          <w:attr w:name="ProductID" w:val="la Polic￭a Federal"/>
        </w:smartTagPr>
        <w:r>
          <w:rPr>
            <w:rFonts w:ascii="Courier New" w:hAnsi="Courier New" w:cs="Courier New"/>
            <w:b w:val="0"/>
            <w:bCs/>
            <w:sz w:val="24"/>
          </w:rPr>
          <w:t>la Policía Federal</w:t>
        </w:r>
      </w:smartTag>
      <w:r>
        <w:rPr>
          <w:rFonts w:ascii="Courier New" w:hAnsi="Courier New" w:cs="Courier New"/>
          <w:b w:val="0"/>
          <w:bCs/>
          <w:sz w:val="24"/>
        </w:rPr>
        <w:t>, con el fin de que inicie la investigación sobre Mokhtari.</w:t>
      </w:r>
    </w:p>
    <w:p w:rsidR="00224567" w:rsidRDefault="00224567">
      <w:pPr>
        <w:pStyle w:val="Textoindependiente3"/>
        <w:widowControl w:val="0"/>
        <w:ind w:firstLine="708"/>
        <w:rPr>
          <w:rFonts w:ascii="Courier New" w:hAnsi="Courier New" w:cs="Courier New"/>
          <w:b w:val="0"/>
          <w:bCs/>
          <w:sz w:val="24"/>
        </w:rPr>
      </w:pPr>
      <w:r>
        <w:rPr>
          <w:rFonts w:ascii="Courier New" w:hAnsi="Courier New" w:cs="Courier New"/>
          <w:b w:val="0"/>
          <w:bCs/>
          <w:sz w:val="24"/>
        </w:rPr>
        <w:tab/>
        <w:t>Finalmente, expuso que luego del ate</w:t>
      </w:r>
      <w:r>
        <w:rPr>
          <w:rFonts w:ascii="Courier New" w:hAnsi="Courier New" w:cs="Courier New"/>
          <w:b w:val="0"/>
          <w:bCs/>
          <w:sz w:val="24"/>
        </w:rPr>
        <w:t>n</w:t>
      </w:r>
      <w:r>
        <w:rPr>
          <w:rFonts w:ascii="Courier New" w:hAnsi="Courier New" w:cs="Courier New"/>
          <w:b w:val="0"/>
          <w:bCs/>
          <w:sz w:val="24"/>
        </w:rPr>
        <w:t xml:space="preserve">tado a la sede de </w:t>
      </w:r>
      <w:smartTag w:uri="urn:schemas-microsoft-com:office:smarttags" w:element="PersonName">
        <w:smartTagPr>
          <w:attr w:name="ProductID" w:val="la A.M"/>
        </w:smartTagPr>
        <w:r>
          <w:rPr>
            <w:rFonts w:ascii="Courier New" w:hAnsi="Courier New" w:cs="Courier New"/>
            <w:b w:val="0"/>
            <w:bCs/>
            <w:sz w:val="24"/>
          </w:rPr>
          <w:t>la A.M</w:t>
        </w:r>
      </w:smartTag>
      <w:r>
        <w:rPr>
          <w:rFonts w:ascii="Courier New" w:hAnsi="Courier New" w:cs="Courier New"/>
          <w:b w:val="0"/>
          <w:bCs/>
          <w:sz w:val="24"/>
        </w:rPr>
        <w:t>.I.A. fue al consulado de Israel de la ciudad de Milán; para ello acudió, inicialmente, al de Brasil en aquella ciudad y desde allí, lo presentaron en la sede israelí.</w:t>
      </w:r>
    </w:p>
    <w:p w:rsidR="00224567" w:rsidRDefault="00224567">
      <w:pPr>
        <w:pStyle w:val="Textoindependiente3"/>
        <w:widowControl w:val="0"/>
        <w:rPr>
          <w:rFonts w:ascii="Courier New" w:hAnsi="Courier New" w:cs="Courier New"/>
          <w:b w:val="0"/>
          <w:bCs/>
          <w:sz w:val="24"/>
        </w:rPr>
      </w:pPr>
      <w:r>
        <w:rPr>
          <w:rFonts w:ascii="Courier New" w:hAnsi="Courier New" w:cs="Courier New"/>
          <w:b w:val="0"/>
          <w:bCs/>
          <w:sz w:val="24"/>
        </w:rPr>
        <w:tab/>
        <w:t>Carlos Aníbal Molina Quiroga, ex age</w:t>
      </w:r>
      <w:r>
        <w:rPr>
          <w:rFonts w:ascii="Courier New" w:hAnsi="Courier New" w:cs="Courier New"/>
          <w:b w:val="0"/>
          <w:bCs/>
          <w:sz w:val="24"/>
        </w:rPr>
        <w:t>n</w:t>
      </w:r>
      <w:r>
        <w:rPr>
          <w:rFonts w:ascii="Courier New" w:hAnsi="Courier New" w:cs="Courier New"/>
          <w:b w:val="0"/>
          <w:bCs/>
          <w:sz w:val="24"/>
        </w:rPr>
        <w:t xml:space="preserve">te de </w:t>
      </w:r>
      <w:smartTag w:uri="urn:schemas-microsoft-com:office:smarttags" w:element="PersonName">
        <w:smartTagPr>
          <w:attr w:name="ProductID" w:val="la Secretaria"/>
        </w:smartTagPr>
        <w:r>
          <w:rPr>
            <w:rFonts w:ascii="Courier New" w:hAnsi="Courier New" w:cs="Courier New"/>
            <w:b w:val="0"/>
            <w:bCs/>
            <w:sz w:val="24"/>
          </w:rPr>
          <w:t>la Secretaria</w:t>
        </w:r>
      </w:smartTag>
      <w:r>
        <w:rPr>
          <w:rFonts w:ascii="Courier New" w:hAnsi="Courier New" w:cs="Courier New"/>
          <w:b w:val="0"/>
          <w:bCs/>
          <w:sz w:val="24"/>
        </w:rPr>
        <w:t xml:space="preserve"> de Inteligencia de Estado, refirió que e</w:t>
      </w:r>
      <w:r>
        <w:rPr>
          <w:rFonts w:ascii="Courier New" w:hAnsi="Courier New" w:cs="Courier New"/>
          <w:b w:val="0"/>
          <w:bCs/>
          <w:sz w:val="24"/>
        </w:rPr>
        <w:t>s</w:t>
      </w:r>
      <w:r>
        <w:rPr>
          <w:rFonts w:ascii="Courier New" w:hAnsi="Courier New" w:cs="Courier New"/>
          <w:b w:val="0"/>
          <w:bCs/>
          <w:sz w:val="24"/>
        </w:rPr>
        <w:t xml:space="preserve">tuvo a cargo de la oficina de enlace con </w:t>
      </w:r>
      <w:smartTag w:uri="urn:schemas-microsoft-com:office:smarttags" w:element="PersonName">
        <w:smartTagPr>
          <w:attr w:name="ProductID" w:val="la Canciller￭a"/>
        </w:smartTagPr>
        <w:r>
          <w:rPr>
            <w:rFonts w:ascii="Courier New" w:hAnsi="Courier New" w:cs="Courier New"/>
            <w:b w:val="0"/>
            <w:bCs/>
            <w:sz w:val="24"/>
          </w:rPr>
          <w:t>la Cancillería</w:t>
        </w:r>
      </w:smartTag>
      <w:r>
        <w:rPr>
          <w:rFonts w:ascii="Courier New" w:hAnsi="Courier New" w:cs="Courier New"/>
          <w:b w:val="0"/>
          <w:bCs/>
          <w:sz w:val="24"/>
        </w:rPr>
        <w:t xml:space="preserve"> y que por información recibida de sus agentes en Italia supo que en junio de 1994, Dos Santos visitó en más de tres oportunidades el consulado nacional en Milán, para entr</w:t>
      </w:r>
      <w:r>
        <w:rPr>
          <w:rFonts w:ascii="Courier New" w:hAnsi="Courier New" w:cs="Courier New"/>
          <w:b w:val="0"/>
          <w:bCs/>
          <w:sz w:val="24"/>
        </w:rPr>
        <w:t>e</w:t>
      </w:r>
      <w:r>
        <w:rPr>
          <w:rFonts w:ascii="Courier New" w:hAnsi="Courier New" w:cs="Courier New"/>
          <w:b w:val="0"/>
          <w:bCs/>
          <w:sz w:val="24"/>
        </w:rPr>
        <w:t xml:space="preserve">vistarse con Fasano. </w:t>
      </w:r>
    </w:p>
    <w:p w:rsidR="00224567" w:rsidRDefault="00224567">
      <w:pPr>
        <w:pStyle w:val="Textoindependiente3"/>
        <w:widowControl w:val="0"/>
        <w:ind w:firstLine="708"/>
        <w:rPr>
          <w:rFonts w:ascii="Courier New" w:hAnsi="Courier New" w:cs="Courier New"/>
          <w:b w:val="0"/>
          <w:bCs/>
          <w:sz w:val="24"/>
        </w:rPr>
      </w:pPr>
      <w:r>
        <w:rPr>
          <w:rFonts w:ascii="Courier New" w:hAnsi="Courier New" w:cs="Courier New"/>
          <w:b w:val="0"/>
          <w:bCs/>
          <w:sz w:val="24"/>
        </w:rPr>
        <w:tab/>
        <w:t>Asimismo, comentó que Dos Santos co</w:t>
      </w:r>
      <w:r>
        <w:rPr>
          <w:rFonts w:ascii="Courier New" w:hAnsi="Courier New" w:cs="Courier New"/>
          <w:b w:val="0"/>
          <w:bCs/>
          <w:sz w:val="24"/>
        </w:rPr>
        <w:t>n</w:t>
      </w:r>
      <w:r>
        <w:rPr>
          <w:rFonts w:ascii="Courier New" w:hAnsi="Courier New" w:cs="Courier New"/>
          <w:b w:val="0"/>
          <w:bCs/>
          <w:sz w:val="24"/>
        </w:rPr>
        <w:t>currió a los consulados de Brasil e Israel antes de prod</w:t>
      </w:r>
      <w:r>
        <w:rPr>
          <w:rFonts w:ascii="Courier New" w:hAnsi="Courier New" w:cs="Courier New"/>
          <w:b w:val="0"/>
          <w:bCs/>
          <w:sz w:val="24"/>
        </w:rPr>
        <w:t>u</w:t>
      </w:r>
      <w:r>
        <w:rPr>
          <w:rFonts w:ascii="Courier New" w:hAnsi="Courier New" w:cs="Courier New"/>
          <w:b w:val="0"/>
          <w:bCs/>
          <w:sz w:val="24"/>
        </w:rPr>
        <w:t>ci</w:t>
      </w:r>
      <w:r>
        <w:rPr>
          <w:rFonts w:ascii="Courier New" w:hAnsi="Courier New" w:cs="Courier New"/>
          <w:b w:val="0"/>
          <w:bCs/>
          <w:sz w:val="24"/>
        </w:rPr>
        <w:t>r</w:t>
      </w:r>
      <w:r>
        <w:rPr>
          <w:rFonts w:ascii="Courier New" w:hAnsi="Courier New" w:cs="Courier New"/>
          <w:b w:val="0"/>
          <w:bCs/>
          <w:sz w:val="24"/>
        </w:rPr>
        <w:t xml:space="preserve">se el atentado y que, una vez ocurrida la voladura de </w:t>
      </w:r>
    </w:p>
    <w:p w:rsidR="00224567" w:rsidRDefault="00224567">
      <w:pPr>
        <w:pStyle w:val="Textoindependiente3"/>
        <w:widowControl w:val="0"/>
        <w:rPr>
          <w:rFonts w:ascii="Courier New" w:hAnsi="Courier New" w:cs="Courier New"/>
          <w:b w:val="0"/>
          <w:bCs/>
          <w:sz w:val="24"/>
        </w:rPr>
      </w:pPr>
      <w:r>
        <w:rPr>
          <w:rFonts w:ascii="Courier New" w:hAnsi="Courier New" w:cs="Courier New"/>
          <w:b w:val="0"/>
          <w:bCs/>
          <w:sz w:val="24"/>
        </w:rPr>
        <w:br w:type="page"/>
        <w:t xml:space="preserve">la sede de </w:t>
      </w:r>
      <w:smartTag w:uri="urn:schemas-microsoft-com:office:smarttags" w:element="PersonName">
        <w:smartTagPr>
          <w:attr w:name="ProductID" w:val="la A.M"/>
        </w:smartTagPr>
        <w:r>
          <w:rPr>
            <w:rFonts w:ascii="Courier New" w:hAnsi="Courier New" w:cs="Courier New"/>
            <w:b w:val="0"/>
            <w:bCs/>
            <w:sz w:val="24"/>
          </w:rPr>
          <w:t>la A.M</w:t>
        </w:r>
      </w:smartTag>
      <w:r>
        <w:rPr>
          <w:rFonts w:ascii="Courier New" w:hAnsi="Courier New" w:cs="Courier New"/>
          <w:b w:val="0"/>
          <w:bCs/>
          <w:sz w:val="24"/>
        </w:rPr>
        <w:t>.I.A., se presentó nuevamente  en el co</w:t>
      </w:r>
      <w:r>
        <w:rPr>
          <w:rFonts w:ascii="Courier New" w:hAnsi="Courier New" w:cs="Courier New"/>
          <w:b w:val="0"/>
          <w:bCs/>
          <w:sz w:val="24"/>
        </w:rPr>
        <w:t>n</w:t>
      </w:r>
      <w:r>
        <w:rPr>
          <w:rFonts w:ascii="Courier New" w:hAnsi="Courier New" w:cs="Courier New"/>
          <w:b w:val="0"/>
          <w:bCs/>
          <w:sz w:val="24"/>
        </w:rPr>
        <w:t>sul</w:t>
      </w:r>
      <w:r>
        <w:rPr>
          <w:rFonts w:ascii="Courier New" w:hAnsi="Courier New" w:cs="Courier New"/>
          <w:b w:val="0"/>
          <w:bCs/>
          <w:sz w:val="24"/>
        </w:rPr>
        <w:t>a</w:t>
      </w:r>
      <w:r>
        <w:rPr>
          <w:rFonts w:ascii="Courier New" w:hAnsi="Courier New" w:cs="Courier New"/>
          <w:b w:val="0"/>
          <w:bCs/>
          <w:sz w:val="24"/>
        </w:rPr>
        <w:t>do argentino en Milán.</w:t>
      </w:r>
    </w:p>
    <w:p w:rsidR="00224567" w:rsidRDefault="00224567">
      <w:pPr>
        <w:pStyle w:val="Textoindependiente3"/>
        <w:widowControl w:val="0"/>
        <w:ind w:firstLine="708"/>
        <w:rPr>
          <w:rFonts w:ascii="Courier New" w:hAnsi="Courier New" w:cs="Courier New"/>
          <w:b w:val="0"/>
          <w:bCs/>
          <w:sz w:val="24"/>
        </w:rPr>
      </w:pPr>
      <w:r>
        <w:rPr>
          <w:rFonts w:ascii="Courier New" w:hAnsi="Courier New" w:cs="Courier New"/>
          <w:b w:val="0"/>
          <w:bCs/>
          <w:sz w:val="24"/>
        </w:rPr>
        <w:tab/>
        <w:t>Por último, señaló que en 1996 se c</w:t>
      </w:r>
      <w:r>
        <w:rPr>
          <w:rFonts w:ascii="Courier New" w:hAnsi="Courier New" w:cs="Courier New"/>
          <w:b w:val="0"/>
          <w:bCs/>
          <w:sz w:val="24"/>
        </w:rPr>
        <w:t>o</w:t>
      </w:r>
      <w:r>
        <w:rPr>
          <w:rFonts w:ascii="Courier New" w:hAnsi="Courier New" w:cs="Courier New"/>
          <w:b w:val="0"/>
          <w:bCs/>
          <w:sz w:val="24"/>
        </w:rPr>
        <w:t>municó telefónicamente con Fasano, quien ratificó que ma</w:t>
      </w:r>
      <w:r>
        <w:rPr>
          <w:rFonts w:ascii="Courier New" w:hAnsi="Courier New" w:cs="Courier New"/>
          <w:b w:val="0"/>
          <w:bCs/>
          <w:sz w:val="24"/>
        </w:rPr>
        <w:t>n</w:t>
      </w:r>
      <w:r>
        <w:rPr>
          <w:rFonts w:ascii="Courier New" w:hAnsi="Courier New" w:cs="Courier New"/>
          <w:b w:val="0"/>
          <w:bCs/>
          <w:sz w:val="24"/>
        </w:rPr>
        <w:t>tuvo entrevistas con Dos Santos antes y después del 18 de Julio de 1994.</w:t>
      </w:r>
    </w:p>
    <w:p w:rsidR="00224567" w:rsidRDefault="00224567">
      <w:pPr>
        <w:pStyle w:val="Textoindependiente3"/>
        <w:widowControl w:val="0"/>
        <w:ind w:firstLine="708"/>
        <w:rPr>
          <w:rFonts w:ascii="Courier New" w:hAnsi="Courier New" w:cs="Courier New"/>
          <w:b w:val="0"/>
          <w:bCs/>
          <w:sz w:val="24"/>
        </w:rPr>
      </w:pPr>
      <w:r>
        <w:rPr>
          <w:rFonts w:ascii="Courier New" w:hAnsi="Courier New" w:cs="Courier New"/>
          <w:b w:val="0"/>
          <w:bCs/>
          <w:sz w:val="24"/>
        </w:rPr>
        <w:tab/>
        <w:t>A fs. 1536/1547 del legajo nº 3 “Rel</w:t>
      </w:r>
      <w:r>
        <w:rPr>
          <w:rFonts w:ascii="Courier New" w:hAnsi="Courier New" w:cs="Courier New"/>
          <w:b w:val="0"/>
          <w:bCs/>
          <w:sz w:val="24"/>
        </w:rPr>
        <w:t>a</w:t>
      </w:r>
      <w:r>
        <w:rPr>
          <w:rFonts w:ascii="Courier New" w:hAnsi="Courier New" w:cs="Courier New"/>
          <w:b w:val="0"/>
          <w:bCs/>
          <w:sz w:val="24"/>
        </w:rPr>
        <w:t>tivo a Wilson Roberto Dos Santos” se encuentra agregada la traducción del diligenciamiento del exhorto diplomático remitido por el juzgado instructor a la justicia brasil</w:t>
      </w:r>
      <w:r>
        <w:rPr>
          <w:rFonts w:ascii="Courier New" w:hAnsi="Courier New" w:cs="Courier New"/>
          <w:b w:val="0"/>
          <w:bCs/>
          <w:sz w:val="24"/>
        </w:rPr>
        <w:t>e</w:t>
      </w:r>
      <w:r>
        <w:rPr>
          <w:rFonts w:ascii="Courier New" w:hAnsi="Courier New" w:cs="Courier New"/>
          <w:b w:val="0"/>
          <w:bCs/>
          <w:sz w:val="24"/>
        </w:rPr>
        <w:t>ña. El juez a cargo del juzgado federal nº 12 de Bras</w:t>
      </w:r>
      <w:r>
        <w:rPr>
          <w:rFonts w:ascii="Courier New" w:hAnsi="Courier New" w:cs="Courier New"/>
          <w:b w:val="0"/>
          <w:bCs/>
          <w:sz w:val="24"/>
        </w:rPr>
        <w:t>i</w:t>
      </w:r>
      <w:r>
        <w:rPr>
          <w:rFonts w:ascii="Courier New" w:hAnsi="Courier New" w:cs="Courier New"/>
          <w:b w:val="0"/>
          <w:bCs/>
          <w:sz w:val="24"/>
        </w:rPr>
        <w:t>lia –Distrito Federal– contestó, en base a información aport</w:t>
      </w:r>
      <w:r>
        <w:rPr>
          <w:rFonts w:ascii="Courier New" w:hAnsi="Courier New" w:cs="Courier New"/>
          <w:b w:val="0"/>
          <w:bCs/>
          <w:sz w:val="24"/>
        </w:rPr>
        <w:t>a</w:t>
      </w:r>
      <w:r>
        <w:rPr>
          <w:rFonts w:ascii="Courier New" w:hAnsi="Courier New" w:cs="Courier New"/>
          <w:b w:val="0"/>
          <w:bCs/>
          <w:sz w:val="24"/>
        </w:rPr>
        <w:t>da por el señor Lucio Pires de Amorin, Director G</w:t>
      </w:r>
      <w:r>
        <w:rPr>
          <w:rFonts w:ascii="Courier New" w:hAnsi="Courier New" w:cs="Courier New"/>
          <w:b w:val="0"/>
          <w:bCs/>
          <w:sz w:val="24"/>
        </w:rPr>
        <w:t>e</w:t>
      </w:r>
      <w:r>
        <w:rPr>
          <w:rFonts w:ascii="Courier New" w:hAnsi="Courier New" w:cs="Courier New"/>
          <w:b w:val="0"/>
          <w:bCs/>
          <w:sz w:val="24"/>
        </w:rPr>
        <w:t>neral de Asuntos Consulares, Jurídicos y Asistencia a Br</w:t>
      </w:r>
      <w:r>
        <w:rPr>
          <w:rFonts w:ascii="Courier New" w:hAnsi="Courier New" w:cs="Courier New"/>
          <w:b w:val="0"/>
          <w:bCs/>
          <w:sz w:val="24"/>
        </w:rPr>
        <w:t>a</w:t>
      </w:r>
      <w:r>
        <w:rPr>
          <w:rFonts w:ascii="Courier New" w:hAnsi="Courier New" w:cs="Courier New"/>
          <w:b w:val="0"/>
          <w:bCs/>
          <w:sz w:val="24"/>
        </w:rPr>
        <w:t>sileros en el Exterior, que Wilson Roberto Dos Santos compareció en el Consulado General de Brasil en Milán, República de It</w:t>
      </w:r>
      <w:r>
        <w:rPr>
          <w:rFonts w:ascii="Courier New" w:hAnsi="Courier New" w:cs="Courier New"/>
          <w:b w:val="0"/>
          <w:bCs/>
          <w:sz w:val="24"/>
        </w:rPr>
        <w:t>a</w:t>
      </w:r>
      <w:r>
        <w:rPr>
          <w:rFonts w:ascii="Courier New" w:hAnsi="Courier New" w:cs="Courier New"/>
          <w:b w:val="0"/>
          <w:bCs/>
          <w:sz w:val="24"/>
        </w:rPr>
        <w:t>lia, los días 9, 19 y 20 de julio de 1994.</w:t>
      </w:r>
    </w:p>
    <w:p w:rsidR="00224567" w:rsidRDefault="00224567">
      <w:pPr>
        <w:pStyle w:val="Textoindependiente3"/>
        <w:widowControl w:val="0"/>
        <w:ind w:firstLine="708"/>
        <w:rPr>
          <w:rFonts w:ascii="Courier New" w:hAnsi="Courier New" w:cs="Courier New"/>
          <w:b w:val="0"/>
          <w:bCs/>
          <w:sz w:val="24"/>
        </w:rPr>
      </w:pPr>
      <w:r>
        <w:rPr>
          <w:rFonts w:ascii="Courier New" w:hAnsi="Courier New" w:cs="Courier New"/>
          <w:b w:val="0"/>
          <w:bCs/>
          <w:sz w:val="24"/>
        </w:rPr>
        <w:tab/>
        <w:t>Se informó, además, que pudo establ</w:t>
      </w:r>
      <w:r>
        <w:rPr>
          <w:rFonts w:ascii="Courier New" w:hAnsi="Courier New" w:cs="Courier New"/>
          <w:b w:val="0"/>
          <w:bCs/>
          <w:sz w:val="24"/>
        </w:rPr>
        <w:t>e</w:t>
      </w:r>
      <w:r>
        <w:rPr>
          <w:rFonts w:ascii="Courier New" w:hAnsi="Courier New" w:cs="Courier New"/>
          <w:b w:val="0"/>
          <w:bCs/>
          <w:sz w:val="24"/>
        </w:rPr>
        <w:t>cerse que el 9 de junio de ese año, la secretaria del Co</w:t>
      </w:r>
      <w:r>
        <w:rPr>
          <w:rFonts w:ascii="Courier New" w:hAnsi="Courier New" w:cs="Courier New"/>
          <w:b w:val="0"/>
          <w:bCs/>
          <w:sz w:val="24"/>
        </w:rPr>
        <w:t>n</w:t>
      </w:r>
      <w:r>
        <w:rPr>
          <w:rFonts w:ascii="Courier New" w:hAnsi="Courier New" w:cs="Courier New"/>
          <w:b w:val="0"/>
          <w:bCs/>
          <w:sz w:val="24"/>
        </w:rPr>
        <w:t xml:space="preserve">sulado de </w:t>
      </w:r>
      <w:smartTag w:uri="urn:schemas-microsoft-com:office:smarttags" w:element="PersonName">
        <w:smartTagPr>
          <w:attr w:name="ProductID" w:val="la Rep￺blica Federativa"/>
        </w:smartTagPr>
        <w:r>
          <w:rPr>
            <w:rFonts w:ascii="Courier New" w:hAnsi="Courier New" w:cs="Courier New"/>
            <w:b w:val="0"/>
            <w:bCs/>
            <w:sz w:val="24"/>
          </w:rPr>
          <w:t>la República Federativa</w:t>
        </w:r>
      </w:smartTag>
      <w:r>
        <w:rPr>
          <w:rFonts w:ascii="Courier New" w:hAnsi="Courier New" w:cs="Courier New"/>
          <w:b w:val="0"/>
          <w:bCs/>
          <w:sz w:val="24"/>
        </w:rPr>
        <w:t xml:space="preserve"> del Brasil acompañó a Dos Santos, a su pedido, a la sede del Consulado General de I</w:t>
      </w:r>
      <w:r>
        <w:rPr>
          <w:rFonts w:ascii="Courier New" w:hAnsi="Courier New" w:cs="Courier New"/>
          <w:b w:val="0"/>
          <w:bCs/>
          <w:sz w:val="24"/>
        </w:rPr>
        <w:t>s</w:t>
      </w:r>
      <w:r>
        <w:rPr>
          <w:rFonts w:ascii="Courier New" w:hAnsi="Courier New" w:cs="Courier New"/>
          <w:b w:val="0"/>
          <w:bCs/>
          <w:sz w:val="24"/>
        </w:rPr>
        <w:t>rael en Milán, ya que le manifestó temor por su vida debido a que conocía datos acerca del atentado producido en 1992 en Buenos Aires; situación esta que fue informada al cónsul adjunto de Israel.</w:t>
      </w:r>
    </w:p>
    <w:p w:rsidR="00224567" w:rsidRDefault="00224567">
      <w:pPr>
        <w:pStyle w:val="Textoindependiente3"/>
        <w:widowControl w:val="0"/>
        <w:ind w:firstLine="708"/>
        <w:rPr>
          <w:rFonts w:ascii="Courier New" w:hAnsi="Courier New" w:cs="Courier New"/>
          <w:b w:val="0"/>
          <w:bCs/>
          <w:sz w:val="24"/>
        </w:rPr>
      </w:pPr>
      <w:r>
        <w:rPr>
          <w:rFonts w:ascii="Courier New" w:hAnsi="Courier New" w:cs="Courier New"/>
          <w:b w:val="0"/>
          <w:bCs/>
          <w:sz w:val="24"/>
        </w:rPr>
        <w:tab/>
        <w:t xml:space="preserve">A fs. 4061/4062 del mencionado legajo luce la contestación de </w:t>
      </w:r>
      <w:smartTag w:uri="urn:schemas-microsoft-com:office:smarttags" w:element="PersonName">
        <w:smartTagPr>
          <w:attr w:name="ProductID" w:val="la Embajada"/>
        </w:smartTagPr>
        <w:r>
          <w:rPr>
            <w:rFonts w:ascii="Courier New" w:hAnsi="Courier New" w:cs="Courier New"/>
            <w:b w:val="0"/>
            <w:bCs/>
            <w:sz w:val="24"/>
          </w:rPr>
          <w:t>la Embajada</w:t>
        </w:r>
      </w:smartTag>
      <w:r>
        <w:rPr>
          <w:rFonts w:ascii="Courier New" w:hAnsi="Courier New" w:cs="Courier New"/>
          <w:b w:val="0"/>
          <w:bCs/>
          <w:sz w:val="24"/>
        </w:rPr>
        <w:t xml:space="preserve"> de Israel en </w:t>
      </w:r>
      <w:smartTag w:uri="urn:schemas-microsoft-com:office:smarttags" w:element="PersonName">
        <w:smartTagPr>
          <w:attr w:name="ProductID" w:val="la Rep￺blica Argentina"/>
        </w:smartTagPr>
        <w:r>
          <w:rPr>
            <w:rFonts w:ascii="Courier New" w:hAnsi="Courier New" w:cs="Courier New"/>
            <w:b w:val="0"/>
            <w:bCs/>
            <w:sz w:val="24"/>
          </w:rPr>
          <w:t>la Rep</w:t>
        </w:r>
        <w:r>
          <w:rPr>
            <w:rFonts w:ascii="Courier New" w:hAnsi="Courier New" w:cs="Courier New"/>
            <w:b w:val="0"/>
            <w:bCs/>
            <w:sz w:val="24"/>
          </w:rPr>
          <w:t>ú</w:t>
        </w:r>
        <w:r>
          <w:rPr>
            <w:rFonts w:ascii="Courier New" w:hAnsi="Courier New" w:cs="Courier New"/>
            <w:b w:val="0"/>
            <w:bCs/>
            <w:sz w:val="24"/>
          </w:rPr>
          <w:t>blica Argentina</w:t>
        </w:r>
      </w:smartTag>
      <w:r>
        <w:rPr>
          <w:rFonts w:ascii="Courier New" w:hAnsi="Courier New" w:cs="Courier New"/>
          <w:b w:val="0"/>
          <w:bCs/>
          <w:sz w:val="24"/>
        </w:rPr>
        <w:t>, en la que se hizo saber que Wilson Robe</w:t>
      </w:r>
      <w:r>
        <w:rPr>
          <w:rFonts w:ascii="Courier New" w:hAnsi="Courier New" w:cs="Courier New"/>
          <w:b w:val="0"/>
          <w:bCs/>
          <w:sz w:val="24"/>
        </w:rPr>
        <w:t>r</w:t>
      </w:r>
      <w:r>
        <w:rPr>
          <w:rFonts w:ascii="Courier New" w:hAnsi="Courier New" w:cs="Courier New"/>
          <w:b w:val="0"/>
          <w:bCs/>
          <w:sz w:val="24"/>
        </w:rPr>
        <w:t>to Dos Santos se presentó en 1994 en el Consulado de I</w:t>
      </w:r>
      <w:r>
        <w:rPr>
          <w:rFonts w:ascii="Courier New" w:hAnsi="Courier New" w:cs="Courier New"/>
          <w:b w:val="0"/>
          <w:bCs/>
          <w:sz w:val="24"/>
        </w:rPr>
        <w:t>s</w:t>
      </w:r>
      <w:r>
        <w:rPr>
          <w:rFonts w:ascii="Courier New" w:hAnsi="Courier New" w:cs="Courier New"/>
          <w:b w:val="0"/>
          <w:bCs/>
          <w:sz w:val="24"/>
        </w:rPr>
        <w:t xml:space="preserve">rael en Milán y que en ningún momento advirtió sobre la eventual comisión de un atentado que se cometería en la ciudad de Buenos Aires o en el edificio de </w:t>
      </w:r>
      <w:smartTag w:uri="urn:schemas-microsoft-com:office:smarttags" w:element="PersonName">
        <w:smartTagPr>
          <w:attr w:name="ProductID" w:val="la A.M"/>
        </w:smartTagPr>
        <w:r>
          <w:rPr>
            <w:rFonts w:ascii="Courier New" w:hAnsi="Courier New" w:cs="Courier New"/>
            <w:b w:val="0"/>
            <w:bCs/>
            <w:sz w:val="24"/>
          </w:rPr>
          <w:t>la A.M</w:t>
        </w:r>
      </w:smartTag>
      <w:r>
        <w:rPr>
          <w:rFonts w:ascii="Courier New" w:hAnsi="Courier New" w:cs="Courier New"/>
          <w:b w:val="0"/>
          <w:bCs/>
          <w:sz w:val="24"/>
        </w:rPr>
        <w:t>.I.A en partic</w:t>
      </w:r>
      <w:r>
        <w:rPr>
          <w:rFonts w:ascii="Courier New" w:hAnsi="Courier New" w:cs="Courier New"/>
          <w:b w:val="0"/>
          <w:bCs/>
          <w:sz w:val="24"/>
        </w:rPr>
        <w:t>u</w:t>
      </w:r>
      <w:r>
        <w:rPr>
          <w:rFonts w:ascii="Courier New" w:hAnsi="Courier New" w:cs="Courier New"/>
          <w:b w:val="0"/>
          <w:bCs/>
          <w:sz w:val="24"/>
        </w:rPr>
        <w:t>lar.</w:t>
      </w:r>
    </w:p>
    <w:p w:rsidR="00224567" w:rsidRDefault="00224567">
      <w:pPr>
        <w:pStyle w:val="Textoindependiente3"/>
        <w:widowControl w:val="0"/>
        <w:ind w:firstLine="708"/>
        <w:rPr>
          <w:rFonts w:ascii="Courier New" w:hAnsi="Courier New" w:cs="Courier New"/>
          <w:b w:val="0"/>
          <w:bCs/>
          <w:sz w:val="24"/>
        </w:rPr>
      </w:pPr>
      <w:r>
        <w:rPr>
          <w:rFonts w:ascii="Courier New" w:hAnsi="Courier New" w:cs="Courier New"/>
          <w:b w:val="0"/>
          <w:bCs/>
          <w:sz w:val="24"/>
        </w:rPr>
        <w:tab/>
        <w:t>Con relación a estos episodios, Patr</w:t>
      </w:r>
      <w:r>
        <w:rPr>
          <w:rFonts w:ascii="Courier New" w:hAnsi="Courier New" w:cs="Courier New"/>
          <w:b w:val="0"/>
          <w:bCs/>
          <w:sz w:val="24"/>
        </w:rPr>
        <w:t>i</w:t>
      </w:r>
      <w:r>
        <w:rPr>
          <w:rFonts w:ascii="Courier New" w:hAnsi="Courier New" w:cs="Courier New"/>
          <w:b w:val="0"/>
          <w:bCs/>
          <w:sz w:val="24"/>
        </w:rPr>
        <w:t xml:space="preserve">cio Finnen -ex Director de Reunión Exterior de </w:t>
      </w:r>
      <w:smartTag w:uri="urn:schemas-microsoft-com:office:smarttags" w:element="PersonName">
        <w:smartTagPr>
          <w:attr w:name="ProductID" w:val="la S.I"/>
        </w:smartTagPr>
        <w:r>
          <w:rPr>
            <w:rFonts w:ascii="Courier New" w:hAnsi="Courier New" w:cs="Courier New"/>
            <w:b w:val="0"/>
            <w:bCs/>
            <w:sz w:val="24"/>
          </w:rPr>
          <w:t>la S.I</w:t>
        </w:r>
      </w:smartTag>
      <w:r>
        <w:rPr>
          <w:rFonts w:ascii="Courier New" w:hAnsi="Courier New" w:cs="Courier New"/>
          <w:b w:val="0"/>
          <w:bCs/>
          <w:sz w:val="24"/>
        </w:rPr>
        <w:t>.D.E.- explicó en el debate que la actividad desarr</w:t>
      </w:r>
      <w:r>
        <w:rPr>
          <w:rFonts w:ascii="Courier New" w:hAnsi="Courier New" w:cs="Courier New"/>
          <w:b w:val="0"/>
          <w:bCs/>
          <w:sz w:val="24"/>
        </w:rPr>
        <w:t>o</w:t>
      </w:r>
      <w:r>
        <w:rPr>
          <w:rFonts w:ascii="Courier New" w:hAnsi="Courier New" w:cs="Courier New"/>
          <w:b w:val="0"/>
          <w:bCs/>
          <w:sz w:val="24"/>
        </w:rPr>
        <w:t>llada por Dos Santos, previa al atentado, podía ser ente</w:t>
      </w:r>
      <w:r>
        <w:rPr>
          <w:rFonts w:ascii="Courier New" w:hAnsi="Courier New" w:cs="Courier New"/>
          <w:b w:val="0"/>
          <w:bCs/>
          <w:sz w:val="24"/>
        </w:rPr>
        <w:t>n</w:t>
      </w:r>
      <w:r>
        <w:rPr>
          <w:rFonts w:ascii="Courier New" w:hAnsi="Courier New" w:cs="Courier New"/>
          <w:b w:val="0"/>
          <w:bCs/>
          <w:sz w:val="24"/>
        </w:rPr>
        <w:t xml:space="preserve">dida como “un aviso por otros medios”, explicándolo como un caso en el que el servicio de inteligencia de su país conocía “que iba a pasar algo” en </w:t>
      </w:r>
      <w:smartTag w:uri="urn:schemas-microsoft-com:office:smarttags" w:element="PersonName">
        <w:smartTagPr>
          <w:attr w:name="ProductID" w:val="la Argentina"/>
        </w:smartTagPr>
        <w:r>
          <w:rPr>
            <w:rFonts w:ascii="Courier New" w:hAnsi="Courier New" w:cs="Courier New"/>
            <w:b w:val="0"/>
            <w:bCs/>
            <w:sz w:val="24"/>
          </w:rPr>
          <w:t>la Argentina</w:t>
        </w:r>
      </w:smartTag>
      <w:r>
        <w:rPr>
          <w:rFonts w:ascii="Courier New" w:hAnsi="Courier New" w:cs="Courier New"/>
          <w:b w:val="0"/>
          <w:bCs/>
          <w:sz w:val="24"/>
        </w:rPr>
        <w:t xml:space="preserve"> y, con el fin de ev</w:t>
      </w:r>
      <w:r>
        <w:rPr>
          <w:rFonts w:ascii="Courier New" w:hAnsi="Courier New" w:cs="Courier New"/>
          <w:b w:val="0"/>
          <w:bCs/>
          <w:sz w:val="24"/>
        </w:rPr>
        <w:t>i</w:t>
      </w:r>
      <w:r>
        <w:rPr>
          <w:rFonts w:ascii="Courier New" w:hAnsi="Courier New" w:cs="Courier New"/>
          <w:b w:val="0"/>
          <w:bCs/>
          <w:sz w:val="24"/>
        </w:rPr>
        <w:t>tar una comunicación formal, envió a una persona al consulado nacional para que transmitiera el alerta. Agregó que Dos Santos también avisó a las autoridades i</w:t>
      </w:r>
      <w:r>
        <w:rPr>
          <w:rFonts w:ascii="Courier New" w:hAnsi="Courier New" w:cs="Courier New"/>
          <w:b w:val="0"/>
          <w:bCs/>
          <w:sz w:val="24"/>
        </w:rPr>
        <w:t>s</w:t>
      </w:r>
      <w:r>
        <w:rPr>
          <w:rFonts w:ascii="Courier New" w:hAnsi="Courier New" w:cs="Courier New"/>
          <w:b w:val="0"/>
          <w:bCs/>
          <w:sz w:val="24"/>
        </w:rPr>
        <w:t>raelíes, por interm</w:t>
      </w:r>
      <w:r>
        <w:rPr>
          <w:rFonts w:ascii="Courier New" w:hAnsi="Courier New" w:cs="Courier New"/>
          <w:b w:val="0"/>
          <w:bCs/>
          <w:sz w:val="24"/>
        </w:rPr>
        <w:t>e</w:t>
      </w:r>
      <w:r>
        <w:rPr>
          <w:rFonts w:ascii="Courier New" w:hAnsi="Courier New" w:cs="Courier New"/>
          <w:b w:val="0"/>
          <w:bCs/>
          <w:sz w:val="24"/>
        </w:rPr>
        <w:t>dio del  consulado de Israel en Milán, pero que tampoco se le prestó atención.</w:t>
      </w:r>
    </w:p>
    <w:p w:rsidR="00224567" w:rsidRDefault="00224567">
      <w:pPr>
        <w:pStyle w:val="Textoindependiente3"/>
        <w:widowControl w:val="0"/>
        <w:rPr>
          <w:rFonts w:ascii="Courier New" w:hAnsi="Courier New" w:cs="Courier New"/>
          <w:b w:val="0"/>
          <w:bCs/>
          <w:sz w:val="24"/>
        </w:rPr>
      </w:pPr>
      <w:r>
        <w:rPr>
          <w:rFonts w:ascii="Courier New" w:hAnsi="Courier New" w:cs="Courier New"/>
          <w:b w:val="0"/>
          <w:bCs/>
          <w:sz w:val="24"/>
        </w:rPr>
        <w:tab/>
        <w:t xml:space="preserve">Por su parte, Horacio Antonio Stiuso consideró que Dos Santos era una fuente de una agencia de inteligencia de otro país que tuvo acceso a algún tipo de información en </w:t>
      </w:r>
      <w:smartTag w:uri="urn:schemas-microsoft-com:office:smarttags" w:element="PersonName">
        <w:smartTagPr>
          <w:attr w:name="ProductID" w:val="la Triple Frontera"/>
        </w:smartTagPr>
        <w:r>
          <w:rPr>
            <w:rFonts w:ascii="Courier New" w:hAnsi="Courier New" w:cs="Courier New"/>
            <w:b w:val="0"/>
            <w:bCs/>
            <w:sz w:val="24"/>
          </w:rPr>
          <w:t>la Triple Front</w:t>
        </w:r>
        <w:r>
          <w:rPr>
            <w:rFonts w:ascii="Courier New" w:hAnsi="Courier New" w:cs="Courier New"/>
            <w:b w:val="0"/>
            <w:bCs/>
            <w:sz w:val="24"/>
          </w:rPr>
          <w:t>e</w:t>
        </w:r>
        <w:r>
          <w:rPr>
            <w:rFonts w:ascii="Courier New" w:hAnsi="Courier New" w:cs="Courier New"/>
            <w:b w:val="0"/>
            <w:bCs/>
            <w:sz w:val="24"/>
          </w:rPr>
          <w:t>ra</w:t>
        </w:r>
      </w:smartTag>
      <w:r>
        <w:rPr>
          <w:rFonts w:ascii="Courier New" w:hAnsi="Courier New" w:cs="Courier New"/>
          <w:b w:val="0"/>
          <w:bCs/>
          <w:sz w:val="24"/>
        </w:rPr>
        <w:t>, conjeturando que “...lo mandaron a avisar...”.</w:t>
      </w:r>
    </w:p>
    <w:p w:rsidR="00224567" w:rsidRDefault="00224567">
      <w:pPr>
        <w:widowControl w:val="0"/>
      </w:pPr>
      <w:r>
        <w:tab/>
        <w:t>En  definitiva,  si  bien  no  se  han reunido suficientes elementos de convicción que autoricen a sostener que Wilson Roberto Dos Santos alertó lo que h</w:t>
      </w:r>
      <w:r>
        <w:t>a</w:t>
      </w:r>
      <w:r>
        <w:t>bría de suceder el día 18 de julio de 1994 enviado por un organismo de inteligencia extranjero, cabe considerar como altamente llamativas las circunstancias y supuestas mot</w:t>
      </w:r>
      <w:r>
        <w:t>i</w:t>
      </w:r>
      <w:r>
        <w:t>vaciones que rodearon la actividad del nombrado en las distintas sedes consulares a las que concurrió.</w:t>
      </w:r>
    </w:p>
    <w:p w:rsidR="00224567" w:rsidRDefault="00224567">
      <w:pPr>
        <w:pStyle w:val="Piedepgina"/>
        <w:widowControl w:val="0"/>
        <w:tabs>
          <w:tab w:val="clear" w:pos="4419"/>
          <w:tab w:val="clear" w:pos="8838"/>
        </w:tabs>
        <w:spacing w:line="600" w:lineRule="auto"/>
        <w:rPr>
          <w:lang w:val="es-ES_tradnl"/>
        </w:rPr>
      </w:pPr>
    </w:p>
    <w:p w:rsidR="00224567" w:rsidRDefault="00224567">
      <w:pPr>
        <w:pStyle w:val="Ttulo2"/>
        <w:keepNext w:val="0"/>
        <w:widowControl w:val="0"/>
        <w:rPr>
          <w:lang w:val="es-ES_tradnl"/>
        </w:rPr>
      </w:pPr>
      <w:r>
        <w:rPr>
          <w:lang w:val="es-ES_tradnl"/>
        </w:rPr>
        <w:t>CAPÍTULO XV</w:t>
      </w:r>
    </w:p>
    <w:p w:rsidR="00224567" w:rsidRDefault="00224567">
      <w:pPr>
        <w:pStyle w:val="Piedepgina"/>
        <w:widowControl w:val="0"/>
        <w:tabs>
          <w:tab w:val="clear" w:pos="4419"/>
          <w:tab w:val="clear" w:pos="8838"/>
        </w:tabs>
        <w:spacing w:line="600" w:lineRule="auto"/>
        <w:rPr>
          <w:lang w:val="es-ES_tradnl"/>
        </w:rPr>
      </w:pP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El tribunal no puede dejar de señalar los graves reparos que le merece la actuación de altos fu</w:t>
      </w:r>
      <w:r>
        <w:t>n</w:t>
      </w:r>
      <w:r>
        <w:t>cionarios del Poder Ejecutivo Nacional a la fecha de oc</w:t>
      </w:r>
      <w:r>
        <w:t>u</w:t>
      </w:r>
      <w:r>
        <w:t>rrido el atentado que, más allá de las declamaciones públ</w:t>
      </w:r>
      <w:r>
        <w:t>i</w:t>
      </w:r>
      <w:r>
        <w:t>cas, no colaboraron de modo eficiente con la investig</w:t>
      </w:r>
      <w:r>
        <w:t>a</w:t>
      </w:r>
      <w:r>
        <w:t>ción.</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A esa negligencia se sumó la desidia y falta de interés que algunos de ellos exhibieron en con</w:t>
      </w:r>
      <w:r>
        <w:t>o</w:t>
      </w:r>
      <w:r>
        <w:t>cer el estado de las investigaciones relacionadas con el ataque terrorista más grave de la historia del país, mie</w:t>
      </w:r>
      <w:r>
        <w:t>n</w:t>
      </w:r>
      <w:r>
        <w:t>tras que otros, durante la instrucción, apoyaron el irregular proc</w:t>
      </w:r>
      <w:r>
        <w:t>e</w:t>
      </w:r>
      <w:r>
        <w:t>der del juez Galeano; esto último, el caso de Hugo Alfredo Anzorreguy y Carlos Vladimiro Corach, tal como se analizó en apartados anteriores.</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Aunque el país contaba con el trágico antecedente del ate</w:t>
      </w:r>
      <w:r>
        <w:t>n</w:t>
      </w:r>
      <w:r>
        <w:t xml:space="preserve">tado a </w:t>
      </w:r>
      <w:smartTag w:uri="urn:schemas-microsoft-com:office:smarttags" w:element="PersonName">
        <w:smartTagPr>
          <w:attr w:name="ProductID" w:val="la Embajada"/>
        </w:smartTagPr>
        <w:r>
          <w:t>la Embajada</w:t>
        </w:r>
      </w:smartTag>
      <w:r>
        <w:t xml:space="preserve"> de Israel, ocurrido el 17 de marzo de 1992, la casi totalidad de los funcion</w:t>
      </w:r>
      <w:r>
        <w:t>a</w:t>
      </w:r>
      <w:r>
        <w:t>rios de seguridad que depusieron en el debate coincidieron en señalar que luego de dicho acontecimiento no se adopt</w:t>
      </w:r>
      <w:r>
        <w:t>a</w:t>
      </w:r>
      <w:r>
        <w:t>ron medidas enc</w:t>
      </w:r>
      <w:r>
        <w:t>a</w:t>
      </w:r>
      <w:r>
        <w:t>minadas a la prevención de futuros ataques terroristas ni a la creación de organismos debidamente pr</w:t>
      </w:r>
      <w:r>
        <w:t>e</w:t>
      </w:r>
      <w:r>
        <w:t>parados para colaborar en hechos de esa naturaleza, habie</w:t>
      </w:r>
      <w:r>
        <w:t>n</w:t>
      </w:r>
      <w:r>
        <w:t>do quedado en una mera expresión de deseos los objetivos pla</w:t>
      </w:r>
      <w:r>
        <w:t>s</w:t>
      </w:r>
      <w:r>
        <w:t>mados en la ley nº 24.059 que establece que el sistema de seguridad interior habrá de “determinar las p</w:t>
      </w:r>
      <w:r>
        <w:t>o</w:t>
      </w:r>
      <w:r>
        <w:t>líticas de seguridad así como planificar, coordinar, dirigir, contr</w:t>
      </w:r>
      <w:r>
        <w:t>o</w:t>
      </w:r>
      <w:r>
        <w:t>lar y apoyar el esfuerzo nacional de policía dirigido al cumplimiento de esas p</w:t>
      </w:r>
      <w:r>
        <w:t>o</w:t>
      </w:r>
      <w:r>
        <w:t>líticas” (art. 6).</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Al respecto, cabe destacar que tanto el e</w:t>
      </w:r>
      <w:r>
        <w:t>n</w:t>
      </w:r>
      <w:r>
        <w:t xml:space="preserve">tonces Ministro del Interior Carlos Federico Ruckauf y el brigadier Andrés Arnoldo Antonietti, titular de </w:t>
      </w:r>
      <w:smartTag w:uri="urn:schemas-microsoft-com:office:smarttags" w:element="PersonName">
        <w:smartTagPr>
          <w:attr w:name="ProductID" w:val="la Secretar￭a"/>
        </w:smartTagPr>
        <w:r>
          <w:t>la Secret</w:t>
        </w:r>
        <w:r>
          <w:t>a</w:t>
        </w:r>
        <w:r>
          <w:t>ría</w:t>
        </w:r>
      </w:smartTag>
      <w:r>
        <w:t xml:space="preserve"> de Seguridad Interior y Protección a </w:t>
      </w:r>
      <w:smartTag w:uri="urn:schemas-microsoft-com:office:smarttags" w:element="PersonName">
        <w:smartTagPr>
          <w:attr w:name="ProductID" w:val="la Comunidad"/>
        </w:smartTagPr>
        <w:r>
          <w:t>la Comunidad</w:t>
        </w:r>
      </w:smartTag>
      <w:r>
        <w:t xml:space="preserve">, creada a poco de ocurrida la voladura de </w:t>
      </w:r>
      <w:smartTag w:uri="urn:schemas-microsoft-com:office:smarttags" w:element="PersonName">
        <w:smartTagPr>
          <w:attr w:name="ProductID" w:val="la A.M"/>
        </w:smartTagPr>
        <w:r>
          <w:t>la A.M</w:t>
        </w:r>
      </w:smartTag>
      <w:r>
        <w:t>.I.A., neg</w:t>
      </w:r>
      <w:r>
        <w:t>a</w:t>
      </w:r>
      <w:r>
        <w:t>ron durante el debate tener conocimiento alguno acerca de políticas destinadas a la prevención de futuros atentados terroristas que hayan sido elaboradas luego del ate</w:t>
      </w:r>
      <w:r>
        <w:t>n</w:t>
      </w:r>
      <w:r>
        <w:t>tado de marzo de 1992.</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Una de las pocas medidas dispuestas por el Estado Nacional, luego del 18 de julio de 1994, fue la creación de la mencionada Secretaría de Seguridad que, a estar de las explicaciones en el debate, no fue más que una respuesta mediática frente a tan terrible s</w:t>
      </w:r>
      <w:r>
        <w:t>u</w:t>
      </w:r>
      <w:r>
        <w:t>ceso.</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 xml:space="preserve">En este sentido, resultan sumamente ilustrativas las notas publicadas, el día posterior al atentado a la sede de </w:t>
      </w:r>
      <w:smartTag w:uri="urn:schemas-microsoft-com:office:smarttags" w:element="PersonName">
        <w:smartTagPr>
          <w:attr w:name="ProductID" w:val="la A.M"/>
        </w:smartTagPr>
        <w:r>
          <w:t>la A.M</w:t>
        </w:r>
      </w:smartTag>
      <w:r>
        <w:t>.I.A., en las ediciones de di</w:t>
      </w:r>
      <w:r>
        <w:t>s</w:t>
      </w:r>
      <w:r>
        <w:t>tintos di</w:t>
      </w:r>
      <w:r>
        <w:t>a</w:t>
      </w:r>
      <w:r>
        <w:t>rios del país, en algunas de las cuales se señaló lo siguiente: “El Presidente Carlos Menem convocó a una reunión de gabinete de urgencia donde volvieron  a pla</w:t>
      </w:r>
      <w:r>
        <w:t>n</w:t>
      </w:r>
      <w:r>
        <w:t xml:space="preserve">tearse las propuestas sobre la pena de muerte y la creación de </w:t>
      </w:r>
      <w:smartTag w:uri="urn:schemas-microsoft-com:office:smarttags" w:element="PersonName">
        <w:smartTagPr>
          <w:attr w:name="ProductID" w:val="la Supersecretar￭a"/>
        </w:smartTagPr>
        <w:r>
          <w:t>la Supersecretaría</w:t>
        </w:r>
      </w:smartTag>
      <w:r>
        <w:t xml:space="preserve"> de Seguridad [...] Las propuestas presidenciales no hicieron más que poner en evidencia las fallas en los organismos de inteligencia argentinos, que después de dos años no han podido siquiera lograr una apr</w:t>
      </w:r>
      <w:r>
        <w:t>o</w:t>
      </w:r>
      <w:r>
        <w:t xml:space="preserve">ximación  a  la  forma en que se realizó el atentado contra la embajada de Israel en marzo de 1992...” (diario “Página </w:t>
      </w:r>
      <w:smartTag w:uri="urn:schemas-microsoft-com:office:smarttags" w:element="metricconverter">
        <w:smartTagPr>
          <w:attr w:name="ProductID" w:val="12”"/>
        </w:smartTagPr>
        <w:r>
          <w:t>12”</w:t>
        </w:r>
      </w:smartTag>
      <w:r>
        <w:t>, edición del 19 de julio de 1994, pág. 2).</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“El Presidente Carlos M</w:t>
      </w:r>
      <w:r>
        <w:t>e</w:t>
      </w:r>
      <w:r>
        <w:t>nem volvió ayer a insistir en cambiar el sistema de seguridad  interior, proyecto que parecía ya archivado luego de la dura pelea interna que se planteó cuando se impulsó la creación de una supersecretaría de seguridad. Durante la reunión de gabin</w:t>
      </w:r>
      <w:r>
        <w:t>e</w:t>
      </w:r>
      <w:r>
        <w:t>te de ayer, el Gobierno decidió crear un comité de crisis que dirigirá la investigación y estará presidido por el M</w:t>
      </w:r>
      <w:r>
        <w:t>i</w:t>
      </w:r>
      <w:r>
        <w:t>nistro del Interior” (diario “Clarín”, edición del 19 de julio de 1994, pág. 24).</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“En algún momento hemos hablado de la necesidad, ante el avance de nuevas formas de delitos, de crear una secretaría para que se ocupe de estos temas [...] decía el Presidente [...] sus palabras fueron inte</w:t>
      </w:r>
      <w:r>
        <w:t>r</w:t>
      </w:r>
      <w:r>
        <w:t>pretadas como una inobjetable necesidad de contar en el g</w:t>
      </w:r>
      <w:r>
        <w:t>o</w:t>
      </w:r>
      <w:r>
        <w:t>bierno con una estructura más eficaz para evitar nuevos atentados cr</w:t>
      </w:r>
      <w:r>
        <w:t>i</w:t>
      </w:r>
      <w:r>
        <w:t>minales de esa índole” (diario “</w:t>
      </w:r>
      <w:smartTag w:uri="urn:schemas-microsoft-com:office:smarttags" w:element="PersonName">
        <w:smartTagPr>
          <w:attr w:name="ProductID" w:val="la Naci￳n"/>
        </w:smartTagPr>
        <w:r>
          <w:t>La Nación</w:t>
        </w:r>
      </w:smartTag>
      <w:r>
        <w:t>, edición del 19 de julio de 1994, pág. 15).</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 xml:space="preserve">Aquel 19 de julio, el Poder Ejecutivo Nacional dispuso la creación, mediante el decreto nº 1193/94, de </w:t>
      </w:r>
      <w:smartTag w:uri="urn:schemas-microsoft-com:office:smarttags" w:element="PersonName">
        <w:smartTagPr>
          <w:attr w:name="ProductID" w:val="la Secretar￭a"/>
        </w:smartTagPr>
        <w:r>
          <w:t>la Secretaría</w:t>
        </w:r>
      </w:smartTag>
      <w:r>
        <w:t xml:space="preserve"> de Seguridad Interior y Prote</w:t>
      </w:r>
      <w:r>
        <w:t>c</w:t>
      </w:r>
      <w:r>
        <w:t xml:space="preserve">ción de </w:t>
      </w:r>
      <w:smartTag w:uri="urn:schemas-microsoft-com:office:smarttags" w:element="PersonName">
        <w:smartTagPr>
          <w:attr w:name="ProductID" w:val="la Comunidad"/>
        </w:smartTagPr>
        <w:r>
          <w:t>la Comunidad</w:t>
        </w:r>
      </w:smartTag>
      <w:r>
        <w:t>, asignándole las facultades oportun</w:t>
      </w:r>
      <w:r>
        <w:t>a</w:t>
      </w:r>
      <w:r>
        <w:t>mente delegadas al Ministerio del Interior por la ley nº 24.059 y el decr</w:t>
      </w:r>
      <w:r>
        <w:t>e</w:t>
      </w:r>
      <w:r>
        <w:t>to nº 1273/92, entre ellas la de presidir el Consejo de Seguridad Interior (art. 1 del decreto nº 1193/94).</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Sin embargo, para la fecha de su cre</w:t>
      </w:r>
      <w:r>
        <w:t>a</w:t>
      </w:r>
      <w:r>
        <w:t>ción, dicho organismo no contaba con la estructura neces</w:t>
      </w:r>
      <w:r>
        <w:t>a</w:t>
      </w:r>
      <w:r>
        <w:t>ria para su correcto funcionamiento; circunstancia que fue evidenciada en el juicio por el brigadier Antonietti al mencionar: “La secretaría éramos el portafolio y yo, prá</w:t>
      </w:r>
      <w:r>
        <w:t>c</w:t>
      </w:r>
      <w:r>
        <w:t>ticamente, por así decirlo,....se hizo todo, no había una silla, no había edificio...”.</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Su estructura orgánica fue aprobada r</w:t>
      </w:r>
      <w:r>
        <w:t>e</w:t>
      </w:r>
      <w:r>
        <w:t>cién el 23 de septiembre de 1994, mediante el decreto del P.E.N. nº 1694/94; no obstante y pese al presupuesto de $ 26.000.000, reducido luego a $ 11.500.000, que Antonietti dijo le asi</w:t>
      </w:r>
      <w:r>
        <w:t>g</w:t>
      </w:r>
      <w:r>
        <w:t>naron, nula fue la contribución del mencionado organismo a la investigación.</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En efecto, al prestar declaración en el juicio, Antonietti no supo explicar cuáles fueron las med</w:t>
      </w:r>
      <w:r>
        <w:t>i</w:t>
      </w:r>
      <w:r>
        <w:t>das concretas que se dispusieron con posterioridad al 18 de j</w:t>
      </w:r>
      <w:r>
        <w:t>u</w:t>
      </w:r>
      <w:r>
        <w:t>lio de 1994, limitándose a comentar que en las reuniones de gabinete, en las que participaba también el Secretario de Inteligencia de Estado, Dr. Hugo Anzorreguy, como en los encuentros que mantuvo con Carlos V. Corach, se conversaba de la causa A.M.I.A. en forma general y los funcionarios no expresaban más que su preocupación por el avance de la pe</w:t>
      </w:r>
      <w:r>
        <w:t>s</w:t>
      </w:r>
      <w:r>
        <w:t>quisa.</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Antonietti también hizo referencia a una re</w:t>
      </w:r>
      <w:r>
        <w:t>u</w:t>
      </w:r>
      <w:r>
        <w:t>nión en la quinta presidencial de Olivos, de la que participaron el juez Galeano, Anzorreguy, el comisario P</w:t>
      </w:r>
      <w:r>
        <w:t>e</w:t>
      </w:r>
      <w:r>
        <w:t>lacchi y otros funcionarios, en la que se proyectó una v</w:t>
      </w:r>
      <w:r>
        <w:t>i</w:t>
      </w:r>
      <w:r>
        <w:t>deocinta cuyo contenido, según su opinión, no era relevante para la i</w:t>
      </w:r>
      <w:r>
        <w:t>n</w:t>
      </w:r>
      <w:r>
        <w:t>vestigación.</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No obstante, lo ocurrido en dicha opo</w:t>
      </w:r>
      <w:r>
        <w:t>r</w:t>
      </w:r>
      <w:r>
        <w:t>tunidad fue recordado en el debate por Claudio Adrián Lifschitz, quien precisó que de regreso del encuentro el juez Galeano comentó que el presidente Menem parecía más preoc</w:t>
      </w:r>
      <w:r>
        <w:t>u</w:t>
      </w:r>
      <w:r>
        <w:t>pado por quién iba a ser el director de la selección argentina de fútbol, que por la investigación de la causa A.M.I.A. y que los presentes no le dieron mucha importa</w:t>
      </w:r>
      <w:r>
        <w:t>n</w:t>
      </w:r>
      <w:r>
        <w:t>cia al contenido del video que, en un principio, no se pudo proyectar porque Antonietti estaba jugando con el control remoto.</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Además, Antonietti precisó que entre los meses de octubre y noviembre de 1994 mantuvo una reunión con el juez Galeano, en la que participaron Anz</w:t>
      </w:r>
      <w:r>
        <w:t>o</w:t>
      </w:r>
      <w:r>
        <w:t xml:space="preserve">rreguy, el comisario Pelacchi y los jefes de </w:t>
      </w:r>
      <w:smartTag w:uri="urn:schemas-microsoft-com:office:smarttags" w:element="PersonName">
        <w:smartTagPr>
          <w:attr w:name="ProductID" w:val="la Prefectura Naval"/>
        </w:smartTagPr>
        <w:r>
          <w:t>la Prefectura Naval</w:t>
        </w:r>
      </w:smartTag>
      <w:r>
        <w:t xml:space="preserve"> Argentina y de Gendarmería Nacional, en la cual el magistrado les expresó que se haría cargo de la investig</w:t>
      </w:r>
      <w:r>
        <w:t>a</w:t>
      </w:r>
      <w:r>
        <w:t>ción, solicitándole colaboración; sin embargo, no recibió ningún requ</w:t>
      </w:r>
      <w:r>
        <w:t>e</w:t>
      </w:r>
      <w:r>
        <w:t>rimiento concreto de parte del juez.</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También refirió que no mantuvo comun</w:t>
      </w:r>
      <w:r>
        <w:t>i</w:t>
      </w:r>
      <w:r>
        <w:t xml:space="preserve">cación alguna con el jefe de </w:t>
      </w:r>
      <w:smartTag w:uri="urn:schemas-microsoft-com:office:smarttags" w:element="PersonName">
        <w:smartTagPr>
          <w:attr w:name="ProductID" w:val="la Polic￭a Bonaerense"/>
        </w:smartTagPr>
        <w:r>
          <w:t>la Policía Bonaerense</w:t>
        </w:r>
      </w:smartTag>
      <w:r>
        <w:t xml:space="preserve"> ni ta</w:t>
      </w:r>
      <w:r>
        <w:t>m</w:t>
      </w:r>
      <w:r>
        <w:t>poco recibió información relativa a la posible particip</w:t>
      </w:r>
      <w:r>
        <w:t>a</w:t>
      </w:r>
      <w:r>
        <w:t>ción en el atentado de efectivos de dicha institución; a</w:t>
      </w:r>
      <w:r>
        <w:t>d</w:t>
      </w:r>
      <w:r>
        <w:t>mitió, en cambio, que en una ocasión se contactó con el mencionado jefe policial con motivo de una huelga de tran</w:t>
      </w:r>
      <w:r>
        <w:t>s</w:t>
      </w:r>
      <w:r>
        <w:t>portes, con el objeto de morigerar el suceso.</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Asimismo, negó haber conversado con el canc</w:t>
      </w:r>
      <w:r>
        <w:t>i</w:t>
      </w:r>
      <w:r>
        <w:t>ller argentino acerca de la presunta participación de e</w:t>
      </w:r>
      <w:r>
        <w:t>x</w:t>
      </w:r>
      <w:r>
        <w:t>tranjeros en el ataque terrorista.</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 xml:space="preserve">Finalmente, sostuvo que si bien en la estructura de </w:t>
      </w:r>
      <w:smartTag w:uri="urn:schemas-microsoft-com:office:smarttags" w:element="PersonName">
        <w:smartTagPr>
          <w:attr w:name="ProductID" w:val="la Secretar￭a"/>
        </w:smartTagPr>
        <w:r>
          <w:t>la Secretaría</w:t>
        </w:r>
      </w:smartTag>
      <w:r>
        <w:t xml:space="preserve"> de Seguridad estaba contempl</w:t>
      </w:r>
      <w:r>
        <w:t>a</w:t>
      </w:r>
      <w:r>
        <w:t>do el funcionamiento de un gabinete de crisis en caso de alg</w:t>
      </w:r>
      <w:r>
        <w:t>u</w:t>
      </w:r>
      <w:r>
        <w:t xml:space="preserve">na catástrofe o conmoción interna, éste nunca se llegó a reunir con motivo del atentado a la sede de </w:t>
      </w:r>
      <w:smartTag w:uri="urn:schemas-microsoft-com:office:smarttags" w:element="PersonName">
        <w:smartTagPr>
          <w:attr w:name="ProductID" w:val="la A.M"/>
        </w:smartTagPr>
        <w:r>
          <w:t>la A.M</w:t>
        </w:r>
      </w:smartTag>
      <w:r>
        <w:t>.I.A.</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 xml:space="preserve">Por su parte, Hugo Alfredo Anzorreguy, quien se desempeñó como titular de </w:t>
      </w:r>
      <w:smartTag w:uri="urn:schemas-microsoft-com:office:smarttags" w:element="PersonName">
        <w:smartTagPr>
          <w:attr w:name="ProductID" w:val="la Secretar￭a"/>
        </w:smartTagPr>
        <w:r>
          <w:t>la Secretaría</w:t>
        </w:r>
      </w:smartTag>
      <w:r>
        <w:t xml:space="preserve"> de Intel</w:t>
      </w:r>
      <w:r>
        <w:t>i</w:t>
      </w:r>
      <w:r>
        <w:t>gencia de Estado desde el 30 de enero de 1990 al 10 de d</w:t>
      </w:r>
      <w:r>
        <w:t>i</w:t>
      </w:r>
      <w:r>
        <w:t>ciembre de 1999, fue conteste con lo relatado por el brig</w:t>
      </w:r>
      <w:r>
        <w:t>a</w:t>
      </w:r>
      <w:r>
        <w:t>dier Antonietti, al explicar en el debate que en las reuniones de gabinete se discutían generalidades acerca de la causa A.M.I.A., haciendo referencia a las reiteradas o</w:t>
      </w:r>
      <w:r>
        <w:t>r</w:t>
      </w:r>
      <w:r>
        <w:t>denes del entonces presidente Menem para que se destinaran todos los recursos necesarios para posibilitar el avance de la inve</w:t>
      </w:r>
      <w:r>
        <w:t>s</w:t>
      </w:r>
      <w:r>
        <w:t>tigación.</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Con relación al encuentro que se llevó a cabo en la quinta de Olivos, luego de que el juez Galeano regresara de su viaje a Venezuela, el testigo ni siquiera pudo recordar si en esa ocasión se exhibió un video casete, limitándose a decir que el magistrado instructor, que pa</w:t>
      </w:r>
      <w:r>
        <w:t>r</w:t>
      </w:r>
      <w:r>
        <w:t>ticipó de la reunión, sólo comentó que había obtenido una declaración y luego de conversar con el entonces preside</w:t>
      </w:r>
      <w:r>
        <w:t>n</w:t>
      </w:r>
      <w:r>
        <w:t>te, se retiró.</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 xml:space="preserve">Además, el testigo no pudo recordar cuándo fue creada </w:t>
      </w:r>
      <w:smartTag w:uri="urn:schemas-microsoft-com:office:smarttags" w:element="PersonName">
        <w:smartTagPr>
          <w:attr w:name="ProductID" w:val="la Secretar￭a"/>
        </w:smartTagPr>
        <w:r>
          <w:t>la Secretaría</w:t>
        </w:r>
      </w:smartTag>
      <w:r>
        <w:t xml:space="preserve"> de Seguridad, ni supo e</w:t>
      </w:r>
      <w:r>
        <w:t>x</w:t>
      </w:r>
      <w:r>
        <w:t xml:space="preserve">plicar cuáles eran sus objetivos, aunque colaboraba con </w:t>
      </w:r>
      <w:smartTag w:uri="urn:schemas-microsoft-com:office:smarttags" w:element="PersonName">
        <w:smartTagPr>
          <w:attr w:name="ProductID" w:val="la S.I"/>
        </w:smartTagPr>
        <w:r>
          <w:t>la S.I</w:t>
        </w:r>
      </w:smartTag>
      <w:r>
        <w:t>.D.E., ignorando de qué forma lo hacía.</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Del mismo modo, tampoco coadyuvó al e</w:t>
      </w:r>
      <w:r>
        <w:t>s</w:t>
      </w:r>
      <w:r>
        <w:t xml:space="preserve">clarecimiento del atentado la gestión llevada a cabo por Hugo Franco, interventor de </w:t>
      </w:r>
      <w:smartTag w:uri="urn:schemas-microsoft-com:office:smarttags" w:element="PersonName">
        <w:smartTagPr>
          <w:attr w:name="ProductID" w:val="la Direcci￳n Nacional"/>
        </w:smartTagPr>
        <w:r>
          <w:t>la Dirección Nacional</w:t>
        </w:r>
      </w:smartTag>
      <w:r>
        <w:t xml:space="preserve"> de Migr</w:t>
      </w:r>
      <w:r>
        <w:t>a</w:t>
      </w:r>
      <w:r>
        <w:t xml:space="preserve">ciones desde el 9 de enero de 1995 hasta el 10 de diciembre de 1999; organismo que a la fecha de la voladura de </w:t>
      </w:r>
      <w:smartTag w:uri="urn:schemas-microsoft-com:office:smarttags" w:element="PersonName">
        <w:smartTagPr>
          <w:attr w:name="ProductID" w:val="la A.M"/>
        </w:smartTagPr>
        <w:r>
          <w:t>la A.M</w:t>
        </w:r>
      </w:smartTag>
      <w:r>
        <w:t>.I.A. se hallaba totalmente desorganizado, contando con un sistema de procesamiento de datos totalmente precario, basado en fichas, que impedía llevar un debido control de las personas que ingresaban y egresaban del territorio a</w:t>
      </w:r>
      <w:r>
        <w:t>r</w:t>
      </w:r>
      <w:r>
        <w:t>gentino.</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Si bien, al momento de prestar declar</w:t>
      </w:r>
      <w:r>
        <w:t>a</w:t>
      </w:r>
      <w:r>
        <w:t>ción en el debate, Franco sostuvo que su gestión provocó un cambio rotundo y positivo en el funcionamiento del organi</w:t>
      </w:r>
      <w:r>
        <w:t>s</w:t>
      </w:r>
      <w:r>
        <w:t>mo, ello no fue lo que se reflejó en la causa.</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En este sentido, cabe destacar que de las a</w:t>
      </w:r>
      <w:r>
        <w:t>c</w:t>
      </w:r>
      <w:r>
        <w:t>tuaciones obrantes a fs. 8453, 8455, 10.705, 10.179, 12.416 de la presente causa y de los legajos nº 1, 173, 269, 280, se desprende claramente que los pedidos del juez instructor fueron contestados con inusitadas dem</w:t>
      </w:r>
      <w:r>
        <w:t>o</w:t>
      </w:r>
      <w:r>
        <w:t>ras.</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Incluso, es de hacer notar que las f</w:t>
      </w:r>
      <w:r>
        <w:t>o</w:t>
      </w:r>
      <w:r>
        <w:t>tografías que Franco aportó a la causa (ver fs. 114.927/114.943), ilu</w:t>
      </w:r>
      <w:r>
        <w:t>s</w:t>
      </w:r>
      <w:r>
        <w:t>trativas del desorden que presentaba el sistema de registro de f</w:t>
      </w:r>
      <w:r>
        <w:t>i</w:t>
      </w:r>
      <w:r>
        <w:t>chas, y el acta de constatación sobre el estado de documentación a desafectar, obrantes a fs. 114.946/114.950, fueron obtenidas el 4 de n</w:t>
      </w:r>
      <w:r>
        <w:t>o</w:t>
      </w:r>
      <w:r>
        <w:t>viembre de 1996, es decir, transcurrido más de un año desde la fecha en que asumió c</w:t>
      </w:r>
      <w:r>
        <w:t>o</w:t>
      </w:r>
      <w:r>
        <w:t xml:space="preserve">mo interventor de </w:t>
      </w:r>
      <w:smartTag w:uri="urn:schemas-microsoft-com:office:smarttags" w:element="PersonName">
        <w:smartTagPr>
          <w:attr w:name="ProductID" w:val="la Direcci￳n Nacional"/>
        </w:smartTagPr>
        <w:r>
          <w:t>la Dirección Nacional</w:t>
        </w:r>
      </w:smartTag>
      <w:r>
        <w:t xml:space="preserve"> de Migraciones.</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En síntesis, si bien la totalidad de los funcionarios del Poder Ejecutivo Nacional que declar</w:t>
      </w:r>
      <w:r>
        <w:t>a</w:t>
      </w:r>
      <w:r>
        <w:t>ron en el juicio coincidieron en señalar que el atent</w:t>
      </w:r>
      <w:r>
        <w:t>a</w:t>
      </w:r>
      <w:r>
        <w:t xml:space="preserve">do a la sede de </w:t>
      </w:r>
      <w:smartTag w:uri="urn:schemas-microsoft-com:office:smarttags" w:element="PersonName">
        <w:smartTagPr>
          <w:attr w:name="ProductID" w:val="la A.M"/>
        </w:smartTagPr>
        <w:r>
          <w:t>la A.M</w:t>
        </w:r>
      </w:smartTag>
      <w:r>
        <w:t>.I.A. era un motivo de permanente preoc</w:t>
      </w:r>
      <w:r>
        <w:t>u</w:t>
      </w:r>
      <w:r>
        <w:t>pación del gobierno nacional, lo cierto fue que desde su lugar de actuación no delinearon políticas concretas te</w:t>
      </w:r>
      <w:r>
        <w:t>n</w:t>
      </w:r>
      <w:r>
        <w:t>dientes a c</w:t>
      </w:r>
      <w:r>
        <w:t>o</w:t>
      </w:r>
      <w:r>
        <w:t>operar de un modo eficaz y transparente con la investig</w:t>
      </w:r>
      <w:r>
        <w:t>a</w:t>
      </w:r>
      <w:r>
        <w:t>ción.</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Todo ello da cuenta de la indolencia de i</w:t>
      </w:r>
      <w:r>
        <w:t>m</w:t>
      </w:r>
      <w:r>
        <w:t>portantes funcionarios del Estado Nacional y de su falta de compromiso con la búsqueda de la verdad, ace</w:t>
      </w:r>
      <w:r>
        <w:t>n</w:t>
      </w:r>
      <w:r>
        <w:t>tuando con ello, aún más, la desconfianza generalizada en las instit</w:t>
      </w:r>
      <w:r>
        <w:t>u</w:t>
      </w:r>
      <w:r>
        <w:t>ciones.</w:t>
      </w:r>
    </w:p>
    <w:p w:rsidR="00224567" w:rsidRDefault="00224567">
      <w:pPr>
        <w:widowControl w:val="0"/>
        <w:rPr>
          <w:lang w:val="es-ES_tradnl"/>
        </w:rPr>
      </w:pPr>
    </w:p>
    <w:p w:rsidR="00224567" w:rsidRDefault="00224567">
      <w:pPr>
        <w:pStyle w:val="Ttulo2"/>
        <w:keepNext w:val="0"/>
        <w:widowControl w:val="0"/>
      </w:pPr>
      <w:r>
        <w:t>CAPITULO XVI</w:t>
      </w:r>
    </w:p>
    <w:p w:rsidR="00224567" w:rsidRDefault="00224567">
      <w:pPr>
        <w:widowControl w:val="0"/>
      </w:pPr>
    </w:p>
    <w:p w:rsidR="00224567" w:rsidRDefault="00224567">
      <w:pPr>
        <w:pStyle w:val="Ttulo3"/>
        <w:keepNext w:val="0"/>
        <w:widowControl w:val="0"/>
      </w:pPr>
      <w:r>
        <w:t>A) Denuncias.</w:t>
      </w:r>
    </w:p>
    <w:p w:rsidR="00224567" w:rsidRDefault="00224567">
      <w:pPr>
        <w:pStyle w:val="Sangra2detindependiente"/>
        <w:widowControl w:val="0"/>
        <w:tabs>
          <w:tab w:val="clear" w:pos="0"/>
          <w:tab w:val="clear" w:pos="1728"/>
          <w:tab w:val="clear" w:pos="2160"/>
          <w:tab w:val="clear" w:pos="2880"/>
          <w:tab w:val="clear" w:pos="3600"/>
          <w:tab w:val="clear" w:pos="4320"/>
          <w:tab w:val="clear" w:pos="5040"/>
          <w:tab w:val="clear" w:pos="5760"/>
          <w:tab w:val="clear" w:pos="6480"/>
          <w:tab w:val="clear" w:pos="7200"/>
          <w:tab w:val="clear" w:pos="7920"/>
          <w:tab w:val="clear" w:pos="8640"/>
          <w:tab w:val="left" w:pos="2835"/>
        </w:tabs>
        <w:spacing w:line="600" w:lineRule="auto"/>
        <w:ind w:firstLine="0"/>
      </w:pPr>
      <w:r>
        <w:tab/>
      </w:r>
      <w:r>
        <w:rPr>
          <w:b/>
          <w:bCs/>
        </w:rPr>
        <w:t>A.1)</w:t>
      </w:r>
      <w:r>
        <w:t xml:space="preserve"> En la oportunidad de realizar su alegato, el fiscal general, Dr. Alberto Nisman, solicitó que se remitan testimonios de las declaraciones indagat</w:t>
      </w:r>
      <w:r>
        <w:t>o</w:t>
      </w:r>
      <w:r>
        <w:t>rias pre</w:t>
      </w:r>
      <w:r>
        <w:t>s</w:t>
      </w:r>
      <w:r>
        <w:t>tadas por Carlos Alberto Telleldín los días 29 de abril de 2002 y 9 de diciembre de 2003 al Juzgado Nacional en lo Criminal y Correccional Federal nº 11 de esta ci</w:t>
      </w:r>
      <w:r>
        <w:t>u</w:t>
      </w:r>
      <w:r>
        <w:t>dad, en virtud de que sus manifestaciones con relación al pago que recibió para prestar declaración indagatoria el 5 de julio de 1996 se relacionan con los extremos investig</w:t>
      </w:r>
      <w:r>
        <w:t>a</w:t>
      </w:r>
      <w:r>
        <w:t>dos en la causa nº 9789, en trámite ante dicho juzgado.</w:t>
      </w:r>
    </w:p>
    <w:p w:rsidR="00224567" w:rsidRDefault="00224567">
      <w:pPr>
        <w:widowControl w:val="0"/>
      </w:pPr>
      <w:r>
        <w:tab/>
        <w:t>Por otro lado, el defensor de Juan J</w:t>
      </w:r>
      <w:r>
        <w:t>o</w:t>
      </w:r>
      <w:r>
        <w:t>sé Ribelli denunció, entre otros funcionarios, a Carlos Corach y a Hugo Alfredo Anzorreguy, por considerar que i</w:t>
      </w:r>
      <w:r>
        <w:t>n</w:t>
      </w:r>
      <w:r>
        <w:t>currieron en el delito de malversación de caudales públ</w:t>
      </w:r>
      <w:r>
        <w:t>i</w:t>
      </w:r>
      <w:r>
        <w:t>cos en razón de la mencionada entrega de dinero al imp</w:t>
      </w:r>
      <w:r>
        <w:t>u</w:t>
      </w:r>
      <w:r>
        <w:t>tado.</w:t>
      </w:r>
    </w:p>
    <w:p w:rsidR="00224567" w:rsidRDefault="00224567">
      <w:pPr>
        <w:widowControl w:val="0"/>
      </w:pPr>
      <w:r>
        <w:br w:type="page"/>
      </w:r>
      <w:r>
        <w:tab/>
        <w:t>De la prueba producida en el contr</w:t>
      </w:r>
      <w:r>
        <w:t>a</w:t>
      </w:r>
      <w:r>
        <w:t>dictorio surgieron claras referencias acerca del rol de</w:t>
      </w:r>
      <w:r>
        <w:t>s</w:t>
      </w:r>
      <w:r>
        <w:t xml:space="preserve">plegado por el entonces Ministro del Interior de </w:t>
      </w:r>
      <w:smartTag w:uri="urn:schemas-microsoft-com:office:smarttags" w:element="PersonName">
        <w:smartTagPr>
          <w:attr w:name="ProductID" w:val="la Naci￳n"/>
        </w:smartTagPr>
        <w:r>
          <w:t>la N</w:t>
        </w:r>
        <w:r>
          <w:t>a</w:t>
        </w:r>
        <w:r>
          <w:t>ción</w:t>
        </w:r>
      </w:smartTag>
      <w:r>
        <w:t>, Dr. Carlos Vladimiro Corach, en la ilegal negoci</w:t>
      </w:r>
      <w:r>
        <w:t>a</w:t>
      </w:r>
      <w:r>
        <w:t>ción tendiente a lograr que Carlos Alberto Telleldín, a cambio de dinero, prestara declaración en la causa.</w:t>
      </w:r>
    </w:p>
    <w:p w:rsidR="00224567" w:rsidRDefault="00224567">
      <w:pPr>
        <w:widowControl w:val="0"/>
      </w:pPr>
      <w:r>
        <w:tab/>
        <w:t>Al respecto, cabe recordar las entr</w:t>
      </w:r>
      <w:r>
        <w:t>e</w:t>
      </w:r>
      <w:r>
        <w:t>vistas que, con idéntico objeto, mantuvo la entonces jueza María Luisa Riva Aramayo con el procesado. En esas reuni</w:t>
      </w:r>
      <w:r>
        <w:t>o</w:t>
      </w:r>
      <w:r>
        <w:t>nes, ésta comentó a Telleldín que tenía el aval del mini</w:t>
      </w:r>
      <w:r>
        <w:t>s</w:t>
      </w:r>
      <w:r>
        <w:t>tro C</w:t>
      </w:r>
      <w:r>
        <w:t>o</w:t>
      </w:r>
      <w:r>
        <w:t>rach.</w:t>
      </w:r>
    </w:p>
    <w:p w:rsidR="00224567" w:rsidRDefault="00224567">
      <w:pPr>
        <w:widowControl w:val="0"/>
      </w:pPr>
      <w:r>
        <w:tab/>
        <w:t xml:space="preserve">En efecto, conforme se desprende de la informal charla que registró el vídeo del 1º de julio de 1996, Carlos Alberto Telleldín comentó al juez Galeano que “iba a guardar silencio hasta que me vaya [en libertad], me convenció </w:t>
      </w:r>
      <w:smartTag w:uri="urn:schemas-microsoft-com:office:smarttags" w:element="PersonName">
        <w:smartTagPr>
          <w:attr w:name="ProductID" w:val="la Riva Aramayo"/>
        </w:smartTagPr>
        <w:r>
          <w:t>la Riva Aramayo</w:t>
        </w:r>
      </w:smartTag>
      <w:r>
        <w:t>, la jueza, que me trajo la palabra del presidente, ella me trajo la palabra del pr</w:t>
      </w:r>
      <w:r>
        <w:t>e</w:t>
      </w:r>
      <w:r>
        <w:t>sidente y de Corach, y me dijo que si quería lo llamaba a Corach a una reunión conmigo, personal... y esto se lo d</w:t>
      </w:r>
      <w:r>
        <w:t>i</w:t>
      </w:r>
      <w:r>
        <w:t>go a usted, confidencial... o sea, por eso directamente traté de colaborar porque ella me trajo la palabra del presidente y de Corach, que colabore, que no me iba a agravar la situación sino todo lo contrario”.</w:t>
      </w:r>
    </w:p>
    <w:p w:rsidR="00224567" w:rsidRDefault="00224567">
      <w:pPr>
        <w:widowControl w:val="0"/>
      </w:pPr>
      <w:r>
        <w:tab/>
        <w:t>Más adelante, entrada la conversación, tras negociar el magistrado la forma en que se habría de pagar la versión del imputado plasmada el 5 de julio de 1996, bajo el subterfugio de “pagos por capítulos” o “d</w:t>
      </w:r>
      <w:r>
        <w:t>e</w:t>
      </w:r>
      <w:r>
        <w:t xml:space="preserve">rechos de autor”, Telleldín expresó que “le digo a esta gente que directamente no me interesa, pero, para nada”; el juez, intentando torcer la voluntad del imputado, dijo “no, no, pero es serio”, a lo cual éste último contestó “yo tengo del presidente hace un montón y también es cosa seria. Y me la trajo la presidenta de </w:t>
      </w:r>
      <w:smartTag w:uri="urn:schemas-microsoft-com:office:smarttags" w:element="PersonName">
        <w:smartTagPr>
          <w:attr w:name="ProductID" w:val="la C￡mara"/>
        </w:smartTagPr>
        <w:r>
          <w:t>la Cámara</w:t>
        </w:r>
      </w:smartTag>
      <w:r>
        <w:t xml:space="preserve"> [</w:t>
      </w:r>
      <w:smartTag w:uri="urn:schemas-microsoft-com:office:smarttags" w:element="PersonName">
        <w:smartTagPr>
          <w:attr w:name="ProductID" w:val="la Dra. Riva"/>
        </w:smartTagPr>
        <w:r>
          <w:t>la Dra. Riva</w:t>
        </w:r>
      </w:smartTag>
      <w:r>
        <w:t xml:space="preserve"> Aram</w:t>
      </w:r>
      <w:r>
        <w:t>a</w:t>
      </w:r>
      <w:r>
        <w:t>yo]... y serio, super serio, tengo la palabra de Corach también y, también, es serio”.</w:t>
      </w:r>
    </w:p>
    <w:p w:rsidR="00224567" w:rsidRDefault="00224567">
      <w:pPr>
        <w:widowControl w:val="0"/>
        <w:rPr>
          <w:lang w:val="es-ES_tradnl"/>
        </w:rPr>
      </w:pPr>
      <w:r>
        <w:tab/>
        <w:t>No puede soslayarse que dichas ref</w:t>
      </w:r>
      <w:r>
        <w:t>e</w:t>
      </w:r>
      <w:r>
        <w:t>rencias fueron expresadas por el imputado en forma espo</w:t>
      </w:r>
      <w:r>
        <w:t>n</w:t>
      </w:r>
      <w:r>
        <w:t>tánea, en una reunión privada que mantuvo con el juez, sin tener conocimiento de que hubo de filmarse.</w:t>
      </w:r>
      <w:r>
        <w:rPr>
          <w:lang w:val="es-ES_tradnl"/>
        </w:rPr>
        <w:t xml:space="preserve"> Por lo d</w:t>
      </w:r>
      <w:r>
        <w:rPr>
          <w:lang w:val="es-ES_tradnl"/>
        </w:rPr>
        <w:t>e</w:t>
      </w:r>
      <w:r>
        <w:rPr>
          <w:lang w:val="es-ES_tradnl"/>
        </w:rPr>
        <w:t>más, las e</w:t>
      </w:r>
      <w:r>
        <w:rPr>
          <w:lang w:val="es-ES_tradnl"/>
        </w:rPr>
        <w:t>n</w:t>
      </w:r>
      <w:r>
        <w:rPr>
          <w:lang w:val="es-ES_tradnl"/>
        </w:rPr>
        <w:t xml:space="preserve">trevistas con la jueza María Luisa Riva Aramayo y la efectiva entrega del dinero, como se detalló </w:t>
      </w:r>
      <w:r>
        <w:rPr>
          <w:u w:val="single"/>
          <w:lang w:val="es-ES_tradnl"/>
        </w:rPr>
        <w:t>ut supra</w:t>
      </w:r>
      <w:r>
        <w:rPr>
          <w:lang w:val="es-ES_tradnl"/>
        </w:rPr>
        <w:t>, const</w:t>
      </w:r>
      <w:r>
        <w:rPr>
          <w:lang w:val="es-ES_tradnl"/>
        </w:rPr>
        <w:t>i</w:t>
      </w:r>
      <w:r>
        <w:rPr>
          <w:lang w:val="es-ES_tradnl"/>
        </w:rPr>
        <w:t>tuyen extremos fehacientemente acreditados por otros medios probatorios.</w:t>
      </w:r>
    </w:p>
    <w:p w:rsidR="00224567" w:rsidRDefault="00224567">
      <w:pPr>
        <w:widowControl w:val="0"/>
        <w:rPr>
          <w:lang w:val="es-ES_tradnl"/>
        </w:rPr>
      </w:pPr>
      <w:r>
        <w:rPr>
          <w:lang w:val="es-ES_tradnl"/>
        </w:rPr>
        <w:tab/>
        <w:t>Lo dicho por Telleldín en la entrevi</w:t>
      </w:r>
      <w:r>
        <w:rPr>
          <w:lang w:val="es-ES_tradnl"/>
        </w:rPr>
        <w:t>s</w:t>
      </w:r>
      <w:r>
        <w:rPr>
          <w:lang w:val="es-ES_tradnl"/>
        </w:rPr>
        <w:t xml:space="preserve">ta que reflejó la mencionada filmación, fue reiterado en sus declaraciones indagatorias del </w:t>
      </w:r>
      <w:r>
        <w:t>29 de abril al 3 de m</w:t>
      </w:r>
      <w:r>
        <w:t>a</w:t>
      </w:r>
      <w:r>
        <w:t>yo de 2002 y 9 de diciembre de 2003, como así también en la d</w:t>
      </w:r>
      <w:r>
        <w:t>e</w:t>
      </w:r>
      <w:r>
        <w:t>nuncia que formuló contra el juez Juan José Galeano, copi</w:t>
      </w:r>
      <w:r>
        <w:t>a</w:t>
      </w:r>
      <w:r>
        <w:t>da a fs. 117.109/117.119.</w:t>
      </w:r>
    </w:p>
    <w:p w:rsidR="00224567" w:rsidRDefault="00224567">
      <w:pPr>
        <w:widowControl w:val="0"/>
      </w:pPr>
      <w:r>
        <w:tab/>
        <w:t xml:space="preserve">En ese sentido, el imputado dijo que la primera vez que lo entrevistó </w:t>
      </w:r>
      <w:smartTag w:uri="urn:schemas-microsoft-com:office:smarttags" w:element="PersonName">
        <w:smartTagPr>
          <w:attr w:name="ProductID" w:val="la Dra. Mar￭a"/>
        </w:smartTagPr>
        <w:r>
          <w:t>la Dra. María</w:t>
        </w:r>
      </w:smartTag>
      <w:r>
        <w:t xml:space="preserve"> Luisa Riva Aramayo, le sugirió que pensara bien lo que tenía que h</w:t>
      </w:r>
      <w:r>
        <w:t>a</w:t>
      </w:r>
      <w:r>
        <w:t>cer, indicándole que había sido enviada por el preside</w:t>
      </w:r>
      <w:r>
        <w:t>n</w:t>
      </w:r>
      <w:r>
        <w:t>te y podía llevarle a cualquier persona del gobierno naci</w:t>
      </w:r>
      <w:r>
        <w:t>o</w:t>
      </w:r>
      <w:r>
        <w:t>nal, como Corach. A lo expuesto, adicionó que la jueza m</w:t>
      </w:r>
      <w:r>
        <w:t>a</w:t>
      </w:r>
      <w:r>
        <w:t>nifestó que no querían más ladrones de automóviles y que el gobierno nacional estaba muy enojado por la falta de resultados.</w:t>
      </w:r>
    </w:p>
    <w:p w:rsidR="00224567" w:rsidRDefault="00224567">
      <w:pPr>
        <w:widowControl w:val="0"/>
      </w:pPr>
      <w:r>
        <w:tab/>
        <w:t>El ex prosecretario del juzgado in</w:t>
      </w:r>
      <w:r>
        <w:t>s</w:t>
      </w:r>
      <w:r>
        <w:t>tructor, Dr. Claudio Adrián Lifschitz, también hizo al</w:t>
      </w:r>
      <w:r>
        <w:t>u</w:t>
      </w:r>
      <w:r>
        <w:t xml:space="preserve">sión a la intervención de </w:t>
      </w:r>
      <w:smartTag w:uri="urn:schemas-microsoft-com:office:smarttags" w:element="PersonName">
        <w:smartTagPr>
          <w:attr w:name="ProductID" w:val="la Dra. Mar￭a"/>
        </w:smartTagPr>
        <w:r>
          <w:t>la Dra. María</w:t>
        </w:r>
      </w:smartTag>
      <w:r>
        <w:t xml:space="preserve"> Luisa Riva Aramayo y del ex ministro Corach en la preparación de la denomin</w:t>
      </w:r>
      <w:r>
        <w:t>a</w:t>
      </w:r>
      <w:r>
        <w:t>da pista “Brigadas”.</w:t>
      </w:r>
    </w:p>
    <w:p w:rsidR="00224567" w:rsidRDefault="00224567">
      <w:pPr>
        <w:widowControl w:val="0"/>
      </w:pPr>
      <w:r>
        <w:tab/>
        <w:t>Así, afirmó que el juez instructor c</w:t>
      </w:r>
      <w:r>
        <w:t>o</w:t>
      </w:r>
      <w:r>
        <w:t xml:space="preserve">mentó que </w:t>
      </w:r>
      <w:smartTag w:uri="urn:schemas-microsoft-com:office:smarttags" w:element="PersonName">
        <w:smartTagPr>
          <w:attr w:name="ProductID" w:val="la Dra. Riva"/>
        </w:smartTagPr>
        <w:r>
          <w:t>la Dra. Riva</w:t>
        </w:r>
      </w:smartTag>
      <w:r>
        <w:t xml:space="preserve"> Aramayo había tenido un encuentro con Carlos Alberto Telleldín, en el cual éste había vert</w:t>
      </w:r>
      <w:r>
        <w:t>i</w:t>
      </w:r>
      <w:r>
        <w:t>do una serie de circunstancias relacionadas con la part</w:t>
      </w:r>
      <w:r>
        <w:t>i</w:t>
      </w:r>
      <w:r>
        <w:t xml:space="preserve">cipación en el atentado de funcionarios de </w:t>
      </w:r>
      <w:smartTag w:uri="urn:schemas-microsoft-com:office:smarttags" w:element="PersonName">
        <w:smartTagPr>
          <w:attr w:name="ProductID" w:val="la Polic￭a Bonaerense."/>
        </w:smartTagPr>
        <w:r>
          <w:t>la Policía B</w:t>
        </w:r>
        <w:r>
          <w:t>o</w:t>
        </w:r>
        <w:r>
          <w:t>naere</w:t>
        </w:r>
        <w:r>
          <w:t>n</w:t>
        </w:r>
        <w:r>
          <w:t>se.</w:t>
        </w:r>
      </w:smartTag>
    </w:p>
    <w:p w:rsidR="00224567" w:rsidRDefault="00224567">
      <w:pPr>
        <w:widowControl w:val="0"/>
      </w:pPr>
      <w:r>
        <w:tab/>
        <w:t>El magistrado le encomendó analizar la veracidad de esa línea investigativa junto con la ex pr</w:t>
      </w:r>
      <w:r>
        <w:t>o</w:t>
      </w:r>
      <w:r>
        <w:t>secretaria Ana Sverdlick. En ese entonces, dijo el test</w:t>
      </w:r>
      <w:r>
        <w:t>i</w:t>
      </w:r>
      <w:r>
        <w:t>go, por tres o cuatro temas puntuales, la pista no “cerr</w:t>
      </w:r>
      <w:r>
        <w:t>a</w:t>
      </w:r>
      <w:r>
        <w:t>ba”, informando al juez instructor que no eran creíbles los d</w:t>
      </w:r>
      <w:r>
        <w:t>i</w:t>
      </w:r>
      <w:r>
        <w:t xml:space="preserve">chos que Telleldín había vertido a la ex jueza de </w:t>
      </w:r>
      <w:smartTag w:uri="urn:schemas-microsoft-com:office:smarttags" w:element="PersonName">
        <w:smartTagPr>
          <w:attr w:name="ProductID" w:val="la C￡mara Federal."/>
        </w:smartTagPr>
        <w:r>
          <w:t>la Cámara Federal.</w:t>
        </w:r>
      </w:smartTag>
      <w:r>
        <w:t xml:space="preserve"> Además, le expresó que “parecía un vuelto” por parte del imputado, aludiendo con dicha expresión a una s</w:t>
      </w:r>
      <w:r>
        <w:t>u</w:t>
      </w:r>
      <w:r>
        <w:t>puesta venganza por las coacciones de las cuales fue víctima de los policías bonaerenses. Esa impresión, expr</w:t>
      </w:r>
      <w:r>
        <w:t>e</w:t>
      </w:r>
      <w:r>
        <w:t>só Lifschitz, era generalizada entre los funcionarios del ju</w:t>
      </w:r>
      <w:r>
        <w:t>z</w:t>
      </w:r>
      <w:r>
        <w:t>gado instructor.</w:t>
      </w:r>
    </w:p>
    <w:p w:rsidR="00224567" w:rsidRDefault="00224567">
      <w:pPr>
        <w:widowControl w:val="0"/>
      </w:pPr>
      <w:r>
        <w:br w:type="page"/>
      </w:r>
      <w:r>
        <w:tab/>
        <w:t xml:space="preserve">El juez tomó su parecer y no conversó nunca más del tema hasta que, unos meses después -situó el episodio en el verano de 1996- el Dr. Galeano decidió “ir por la pista de </w:t>
      </w:r>
      <w:smartTag w:uri="urn:schemas-microsoft-com:office:smarttags" w:element="PersonName">
        <w:smartTagPr>
          <w:attr w:name="ProductID" w:val="la Polic￭a Bonaerense"/>
        </w:smartTagPr>
        <w:r>
          <w:t>la Policía Bonaerense</w:t>
        </w:r>
      </w:smartTag>
      <w:r>
        <w:t>” después de una reunión que mantuvo con el entonces Ministro del Interior, Dr. Carlos Vladimiro Corach.</w:t>
      </w:r>
    </w:p>
    <w:p w:rsidR="00224567" w:rsidRDefault="00224567">
      <w:pPr>
        <w:widowControl w:val="0"/>
      </w:pPr>
      <w:r>
        <w:tab/>
        <w:t>Cuando regresó de la entrevista, dijo Lifschitz, el Dr. Galeano reunió a todos los integrantes del juzgado y señaló que la idea era “en pocos meses tener todo cerrado el tema Brigadas” y las supuestas extorsiones a Telleldín. Es decir, explicó el testigo, “directamente manifestó que había estado con el Dr. Corach y que había hablado sobre el tema” y a partir de ahí, la idea era “avanzar sobre esa línea investigativa”.</w:t>
      </w:r>
    </w:p>
    <w:p w:rsidR="00224567" w:rsidRDefault="00224567">
      <w:pPr>
        <w:widowControl w:val="0"/>
      </w:pPr>
      <w:r>
        <w:tab/>
        <w:t>Por otra parte, el ex funcionario j</w:t>
      </w:r>
      <w:r>
        <w:t>u</w:t>
      </w:r>
      <w:r>
        <w:t>dicial refirió que, por comentarios del juez, tomó conoc</w:t>
      </w:r>
      <w:r>
        <w:t>i</w:t>
      </w:r>
      <w:r>
        <w:t xml:space="preserve">miento que Telleldín tenían intenciones de contar “esas historias” a través de un libro, para lo cual se había contactado con distintos periodistas, entre ellos, Román </w:t>
      </w:r>
    </w:p>
    <w:p w:rsidR="00224567" w:rsidRDefault="00224567">
      <w:pPr>
        <w:widowControl w:val="0"/>
      </w:pPr>
      <w:r>
        <w:br w:type="page"/>
        <w:t>Lejtman. Aclaró que el juez “quería tomar la posta y jud</w:t>
      </w:r>
      <w:r>
        <w:t>i</w:t>
      </w:r>
      <w:r>
        <w:t>cial</w:t>
      </w:r>
      <w:r>
        <w:t>i</w:t>
      </w:r>
      <w:r>
        <w:t>zar en realidad un libro” (sic).</w:t>
      </w:r>
    </w:p>
    <w:p w:rsidR="00224567" w:rsidRDefault="00224567">
      <w:pPr>
        <w:widowControl w:val="0"/>
      </w:pPr>
      <w:r>
        <w:tab/>
        <w:t xml:space="preserve">Al prestar declaración en el debate, el periodista Román Lejtman afirmó que mantuvo tratativas con Carlos Alberto Telleldín con el objeto de publicar en un libro una entrevista que diera cuenta de su versión de los hechos, lo cual no se logró materializar debido a que el nombrado requirió unos cien mil pesos. </w:t>
      </w:r>
    </w:p>
    <w:p w:rsidR="00224567" w:rsidRDefault="00224567">
      <w:pPr>
        <w:widowControl w:val="0"/>
      </w:pPr>
      <w:r>
        <w:tab/>
        <w:t>No obstante, afirmó que un funcionario del gobierno nacional -a quién no identificó puesto que hizo uso del derecho de reservar la fuente periodística- le propuso aportar la diferencia entre la suma solicitada por el imputado y aquella que la editorial, en este caso, “S</w:t>
      </w:r>
      <w:r>
        <w:t>u</w:t>
      </w:r>
      <w:r>
        <w:t>damericana”, estaba dispuesta a abonar.</w:t>
      </w:r>
    </w:p>
    <w:p w:rsidR="00224567" w:rsidRDefault="00224567">
      <w:pPr>
        <w:widowControl w:val="0"/>
      </w:pPr>
      <w:r>
        <w:tab/>
        <w:t>A pesar de ello, dijo el testigo, se negó a aceptar la oferta porque, adujo, no correspondía con su ética profesional, o sea, “no recibo pagos de ni</w:t>
      </w:r>
      <w:r>
        <w:t>n</w:t>
      </w:r>
      <w:r>
        <w:t>gún miembro del gobierno” (sic).</w:t>
      </w:r>
    </w:p>
    <w:p w:rsidR="00224567" w:rsidRDefault="00224567">
      <w:pPr>
        <w:widowControl w:val="0"/>
      </w:pPr>
      <w:r>
        <w:tab/>
        <w:t xml:space="preserve">Tampoco debe soslayarse las notas que el mencionado informador publicó en el periódico “Página </w:t>
      </w:r>
      <w:smartTag w:uri="urn:schemas-microsoft-com:office:smarttags" w:element="metricconverter">
        <w:smartTagPr>
          <w:attr w:name="ProductID" w:val="12”"/>
        </w:smartTagPr>
        <w:r>
          <w:t>12”</w:t>
        </w:r>
      </w:smartTag>
      <w:r>
        <w:t xml:space="preserve"> los días 5 y 6 de octubre de 1995, contemporáneas con las tratativas llevadas a cabo por </w:t>
      </w:r>
      <w:smartTag w:uri="urn:schemas-microsoft-com:office:smarttags" w:element="PersonName">
        <w:smartTagPr>
          <w:attr w:name="ProductID" w:val="la Dra. Riva"/>
        </w:smartTagPr>
        <w:r>
          <w:t>la Dra. Riva</w:t>
        </w:r>
      </w:smartTag>
      <w:r>
        <w:t xml:space="preserve"> Aramayo con Carlos Telleldín, en las que dio cuenta acerca del m</w:t>
      </w:r>
      <w:r>
        <w:t>o</w:t>
      </w:r>
      <w:r>
        <w:t>nit</w:t>
      </w:r>
      <w:r>
        <w:t>o</w:t>
      </w:r>
      <w:r>
        <w:t>reo y apoyo de Carlos Vladimiro Corach y Hugo Alfredo Anz</w:t>
      </w:r>
      <w:r>
        <w:t>o</w:t>
      </w:r>
      <w:r>
        <w:t>rreguy a dicha gestión.</w:t>
      </w:r>
    </w:p>
    <w:p w:rsidR="00224567" w:rsidRDefault="00224567">
      <w:pPr>
        <w:widowControl w:val="0"/>
      </w:pPr>
      <w:r>
        <w:tab/>
        <w:t>Los dichos de Rubén Ezra Beraja en el debate se suman en la misma dirección, en cuanto afirmó que mantuvo tratativas con Carlos Alberto Telleldín y su abogado, previo a la declaración indagatoria del 5 de j</w:t>
      </w:r>
      <w:r>
        <w:t>u</w:t>
      </w:r>
      <w:r>
        <w:t>lio de 1996, con el objeto de persuadirlo para que dijera “lo que sabía” y que, en una oportunidad, se comprometió a gestionar “a un nivel presidencial” las exigencias monet</w:t>
      </w:r>
      <w:r>
        <w:t>a</w:t>
      </w:r>
      <w:r>
        <w:t>rias que los nombrados le plantearon, con el objeto de otorgar pr</w:t>
      </w:r>
      <w:r>
        <w:t>o</w:t>
      </w:r>
      <w:r>
        <w:t>tección a la familia del acusado.</w:t>
      </w:r>
    </w:p>
    <w:p w:rsidR="00224567" w:rsidRDefault="00224567">
      <w:pPr>
        <w:widowControl w:val="0"/>
      </w:pPr>
      <w:r>
        <w:tab/>
        <w:t>Finalmente, conforme fue señalado en el capítulo VIII, se probó que el imputado recibió dos p</w:t>
      </w:r>
      <w:r>
        <w:t>a</w:t>
      </w:r>
      <w:r>
        <w:t>gos de doscientos mil pesos por parte del Estado Nacional, a</w:t>
      </w:r>
      <w:r>
        <w:t>u</w:t>
      </w:r>
      <w:r>
        <w:t>torizados por el entonces Secretario de Inteligencia de Estado, Dr. Hugo Alfredo Anzorreguy, para que Carlos A</w:t>
      </w:r>
      <w:r>
        <w:t>l</w:t>
      </w:r>
      <w:r>
        <w:t xml:space="preserve">berto Telleldín prestara la indagatoria de fs. </w:t>
      </w:r>
      <w:r>
        <w:rPr>
          <w:lang w:val="es-ES_tradnl"/>
        </w:rPr>
        <w:t>24.223/24.249</w:t>
      </w:r>
      <w:r>
        <w:t>.</w:t>
      </w:r>
    </w:p>
    <w:p w:rsidR="00224567" w:rsidRDefault="00224567">
      <w:pPr>
        <w:widowControl w:val="0"/>
        <w:ind w:firstLine="2880"/>
      </w:pPr>
      <w:r>
        <w:t>Por todo ello, corresponde investigar la responsabilidad que pudo caberles a Carlos Vladimiro Corach y Hugo Alfredo Anzorreguy con relación a los porm</w:t>
      </w:r>
      <w:r>
        <w:t>e</w:t>
      </w:r>
      <w:r>
        <w:t>nores que precedieron la indagatoria de Carlos Alberto T</w:t>
      </w:r>
      <w:r>
        <w:t>e</w:t>
      </w:r>
      <w:r>
        <w:t>lleldín del 5 de julio de 1996.</w:t>
      </w:r>
    </w:p>
    <w:p w:rsidR="00224567" w:rsidRDefault="00224567">
      <w:pPr>
        <w:widowControl w:val="0"/>
      </w:pPr>
      <w:r>
        <w:tab/>
      </w:r>
      <w:r>
        <w:rPr>
          <w:b/>
          <w:bCs/>
        </w:rPr>
        <w:t>A.2)</w:t>
      </w:r>
      <w:r>
        <w:t xml:space="preserve"> El Dr. Rubén Ezra Beraja al pre</w:t>
      </w:r>
      <w:r>
        <w:t>s</w:t>
      </w:r>
      <w:r>
        <w:t>tar declaración testimonial en la audiencia de debate e</w:t>
      </w:r>
      <w:r>
        <w:t>x</w:t>
      </w:r>
      <w:r>
        <w:t>plicó su intervención en el trámite de la causa en su c</w:t>
      </w:r>
      <w:r>
        <w:t>a</w:t>
      </w:r>
      <w:r>
        <w:t>rácter de representante de la querella de D.A.I.A, inst</w:t>
      </w:r>
      <w:r>
        <w:t>i</w:t>
      </w:r>
      <w:r>
        <w:t>tución que presidió desde diciembre de 1991 hasta novie</w:t>
      </w:r>
      <w:r>
        <w:t>m</w:t>
      </w:r>
      <w:r>
        <w:t xml:space="preserve">bre de 1998. </w:t>
      </w:r>
    </w:p>
    <w:p w:rsidR="00224567" w:rsidRDefault="00224567">
      <w:pPr>
        <w:widowControl w:val="0"/>
      </w:pPr>
      <w:r>
        <w:tab/>
        <w:t>Relató, que durante el año 1996 tuvo dos encuentros con el Dr. Víctor Stinfale, letrado defe</w:t>
      </w:r>
      <w:r>
        <w:t>n</w:t>
      </w:r>
      <w:r>
        <w:t>sor de Carlos Alberto Telleldín, en los que</w:t>
      </w:r>
      <w:r>
        <w:rPr>
          <w:b/>
        </w:rPr>
        <w:t xml:space="preserve"> </w:t>
      </w:r>
      <w:r>
        <w:t>“surgió el t</w:t>
      </w:r>
      <w:r>
        <w:t>e</w:t>
      </w:r>
      <w:r>
        <w:t>ma del libro y planteó que él quería lograr esa edición como una forma de obtener recursos porque era la manera de, con los mismos, proteger a su familia por el supuesto que hablara (sic)”</w:t>
      </w:r>
      <w:r>
        <w:rPr>
          <w:b/>
        </w:rPr>
        <w:t>.</w:t>
      </w:r>
      <w:r>
        <w:t xml:space="preserve"> Manifestó que la primera reunión se llevó a cabo en su oficina, oportunidad en que Stinfale le explicó que su cliente no hablaba por temor.</w:t>
      </w:r>
    </w:p>
    <w:p w:rsidR="00224567" w:rsidRDefault="00224567">
      <w:pPr>
        <w:widowControl w:val="0"/>
      </w:pPr>
      <w:r>
        <w:br w:type="page"/>
      </w:r>
      <w:r>
        <w:tab/>
        <w:t>Para el segundo encuentro buscaron un lugar con mayor privacidad, ocasión en la que el defensor le hizo saber que Telleldín había decidido publicar el l</w:t>
      </w:r>
      <w:r>
        <w:t>i</w:t>
      </w:r>
      <w:r>
        <w:t>bro con temas vinculados al atentado, mencionándose a la editorial “Sudamericana”, y que tenía una pretensión ec</w:t>
      </w:r>
      <w:r>
        <w:t>o</w:t>
      </w:r>
      <w:r>
        <w:t>nómica de aproximadamente doscientos mil pesos, ante lo cual le aconsejó que se acogiera al decreto de recompensa vige</w:t>
      </w:r>
      <w:r>
        <w:t>n</w:t>
      </w:r>
      <w:r>
        <w:t>te en aquél momento. Ante ello, Stinfale explicó que en su criterio estaba excluido por su carácter de proces</w:t>
      </w:r>
      <w:r>
        <w:t>a</w:t>
      </w:r>
      <w:r>
        <w:t>do.</w:t>
      </w:r>
    </w:p>
    <w:p w:rsidR="00224567" w:rsidRDefault="00224567">
      <w:pPr>
        <w:widowControl w:val="0"/>
      </w:pPr>
      <w:r>
        <w:tab/>
        <w:t>Consideró que como resultado de estas reuniones “quedó abierto un canal” y que posteriormente le solicitó al Dr. Galeano que lo autorizara a mantener una entrevista con Telleldín, la que finalmente se realizó en dependencias del juzgado; participaron, además, los doct</w:t>
      </w:r>
      <w:r>
        <w:t>o</w:t>
      </w:r>
      <w:r>
        <w:t>res Stinfale y Dobniewski. La idea, agregó, era tratar de persuadirlo para que dijera lo que sabía, más allá de su temor; se le transmitió que ese compromiso sería tratado a nivel presidencial y que se arbitrarían las medidas nec</w:t>
      </w:r>
      <w:r>
        <w:t>e</w:t>
      </w:r>
      <w:r>
        <w:t>sarias para su protección y la de su familia.</w:t>
      </w:r>
    </w:p>
    <w:p w:rsidR="00224567" w:rsidRDefault="00224567">
      <w:pPr>
        <w:widowControl w:val="0"/>
      </w:pPr>
      <w:r>
        <w:tab/>
        <w:t>Precisó, en ese sentido, que le ofr</w:t>
      </w:r>
      <w:r>
        <w:t>e</w:t>
      </w:r>
      <w:r>
        <w:t>ció a Telleldín en el supuesto de que estuviera dispuesto a c</w:t>
      </w:r>
      <w:r>
        <w:t>o</w:t>
      </w:r>
      <w:r>
        <w:t>laborar dando información, la posibilidad de gestionar ante el gobierno nacional aquellas garantías que estaba solicitando, “que incluía obviamente una cantidad de ben</w:t>
      </w:r>
      <w:r>
        <w:t>e</w:t>
      </w:r>
      <w:r>
        <w:t>ficios y responsabilidades”.</w:t>
      </w:r>
    </w:p>
    <w:p w:rsidR="00224567" w:rsidRDefault="00224567">
      <w:pPr>
        <w:widowControl w:val="0"/>
      </w:pPr>
      <w:r>
        <w:tab/>
        <w:t xml:space="preserve">El testigo refirió que con relación a este tema se reunió con </w:t>
      </w:r>
      <w:smartTag w:uri="urn:schemas-microsoft-com:office:smarttags" w:element="PersonName">
        <w:smartTagPr>
          <w:attr w:name="ProductID" w:val="la Dra. Riva"/>
        </w:smartTagPr>
        <w:r>
          <w:t>la Dra. Riva</w:t>
        </w:r>
      </w:smartTag>
      <w:r>
        <w:t xml:space="preserve"> Aramayo y, por otra parte, con los otros integrantes de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Nacional"/>
        </w:smartTagPr>
        <w:r>
          <w:t>la Cámara Nacional</w:t>
        </w:r>
      </w:smartTag>
      <w:r>
        <w:t xml:space="preserve"> en lo Criminal y Correccional Federal de esta ciudad.</w:t>
      </w:r>
    </w:p>
    <w:p w:rsidR="00224567" w:rsidRDefault="00224567">
      <w:pPr>
        <w:widowControl w:val="0"/>
      </w:pPr>
      <w:r>
        <w:tab/>
        <w:t>En una de esas oportunidades, la cam</w:t>
      </w:r>
      <w:r>
        <w:t>a</w:t>
      </w:r>
      <w:r>
        <w:t>rista le contó que había tomado contacto con Telleldín quien refirió que sabía mucho pero que no iba a hablar con el juez Galeano porque recibía un trato inadecuado y le seguían abriendo procesos.</w:t>
      </w:r>
    </w:p>
    <w:p w:rsidR="00224567" w:rsidRDefault="00224567">
      <w:pPr>
        <w:widowControl w:val="0"/>
      </w:pPr>
      <w:r>
        <w:tab/>
        <w:t>Mencionó, además, que Riva Aramayo t</w:t>
      </w:r>
      <w:r>
        <w:t>e</w:t>
      </w:r>
      <w:r>
        <w:t xml:space="preserve">nía un apunte o un borrador con algunas anotaciones en donde se insinuaba una vinculación con </w:t>
      </w:r>
      <w:smartTag w:uri="urn:schemas-microsoft-com:office:smarttags" w:element="PersonName">
        <w:smartTagPr>
          <w:attr w:name="ProductID" w:val="la Polic￭a Bonaerense"/>
        </w:smartTagPr>
        <w:r>
          <w:t>la Policía Bona</w:t>
        </w:r>
        <w:r>
          <w:t>e</w:t>
        </w:r>
        <w:r>
          <w:t>rense</w:t>
        </w:r>
      </w:smartTag>
      <w:r>
        <w:t>, pero no supo quien lo hizo, si ella o el propio imputado.</w:t>
      </w:r>
    </w:p>
    <w:p w:rsidR="00224567" w:rsidRDefault="00224567">
      <w:pPr>
        <w:widowControl w:val="0"/>
      </w:pPr>
      <w:r>
        <w:tab/>
        <w:t>Expresó, más adelante, que cuando la nombrada describió su intervención, dijo que había mant</w:t>
      </w:r>
      <w:r>
        <w:t>e</w:t>
      </w:r>
      <w:r>
        <w:t xml:space="preserve">nido una conversación con Telleldín donde “anticipaba el involucramiento de miembros de </w:t>
      </w:r>
      <w:smartTag w:uri="urn:schemas-microsoft-com:office:smarttags" w:element="PersonName">
        <w:smartTagPr>
          <w:attr w:name="ProductID" w:val="la Polic￭a Bonaerense"/>
        </w:smartTagPr>
        <w:r>
          <w:t>la Policía Bonaerense</w:t>
        </w:r>
      </w:smartTag>
      <w:r>
        <w:t xml:space="preserve"> au</w:t>
      </w:r>
      <w:r>
        <w:t>n</w:t>
      </w:r>
      <w:r>
        <w:t>que no estaba bien definido los nombres de los que luego resu</w:t>
      </w:r>
      <w:r>
        <w:t>l</w:t>
      </w:r>
      <w:r>
        <w:t>taron imputados” (sic).</w:t>
      </w:r>
    </w:p>
    <w:p w:rsidR="00224567" w:rsidRDefault="00224567">
      <w:pPr>
        <w:widowControl w:val="0"/>
      </w:pPr>
      <w:r>
        <w:tab/>
        <w:t>Respecto de las entrevistas con los camaristas Cortelezzi y Vigliani, recordó que éstos le c</w:t>
      </w:r>
      <w:r>
        <w:t>o</w:t>
      </w:r>
      <w:r>
        <w:t>mentaron, posteriormente, que estaban al tanto de esas reuni</w:t>
      </w:r>
      <w:r>
        <w:t>o</w:t>
      </w:r>
      <w:r>
        <w:t>nes pero no formularon objeciones.</w:t>
      </w:r>
    </w:p>
    <w:p w:rsidR="00224567" w:rsidRDefault="00224567">
      <w:pPr>
        <w:widowControl w:val="0"/>
      </w:pPr>
      <w:r>
        <w:tab/>
        <w:t>Beraja expuso que tuvo conocimiento de las filmaciones de las entrevistas del juez con Telleldín,  señalando que consistían en “preparativos de la declar</w:t>
      </w:r>
      <w:r>
        <w:t>a</w:t>
      </w:r>
      <w:r>
        <w:t>ción indagatoria”. Explicó que ese tipo de reuniones, re</w:t>
      </w:r>
      <w:r>
        <w:t>s</w:t>
      </w:r>
      <w:r>
        <w:t>pondían a la falta de disposición de Telleldín para llevar a cabo dicho acto procesal, de manera que el objetivo de las e</w:t>
      </w:r>
      <w:r>
        <w:t>n</w:t>
      </w:r>
      <w:r>
        <w:t>trevistas era llegar a concretarlo.</w:t>
      </w:r>
    </w:p>
    <w:p w:rsidR="00224567" w:rsidRDefault="00224567">
      <w:pPr>
        <w:widowControl w:val="0"/>
      </w:pPr>
      <w:r>
        <w:tab/>
        <w:t>Ensayó distintas explicaciones sobre el motivo por el que esos encuentros fueron filmados. Co</w:t>
      </w:r>
      <w:r>
        <w:t>n</w:t>
      </w:r>
      <w:r>
        <w:t>sideró que no estaban incorporados a la causa y no eran prueba; que las grabaciones eran una previsión para mant</w:t>
      </w:r>
      <w:r>
        <w:t>e</w:t>
      </w:r>
      <w:r>
        <w:t>ner la transparencia de la actuación del juez “en un tema que podía estar vinculado con la recompensa establecida por el Poder Ejecutivo”; eran un elemento de apoyo a su trabajo como “apunte tecnológico”. Finalmente indicó que se obtuvieron esas filmaciones ante la eventualidad de presentarlas ante las autoridades por una posible reco</w:t>
      </w:r>
      <w:r>
        <w:t>m</w:t>
      </w:r>
      <w:r>
        <w:t>pensa o por si querían apoyar la edición del libro.</w:t>
      </w:r>
    </w:p>
    <w:p w:rsidR="00224567" w:rsidRDefault="00224567">
      <w:pPr>
        <w:widowControl w:val="0"/>
      </w:pPr>
      <w:r>
        <w:tab/>
        <w:t>El testigo admitió haber efectuado gestiones para evitar la difusión periodística de ese m</w:t>
      </w:r>
      <w:r>
        <w:t>a</w:t>
      </w:r>
      <w:r>
        <w:t>terial. Justificó dicha conducta al considerar que se tr</w:t>
      </w:r>
      <w:r>
        <w:t>a</w:t>
      </w:r>
      <w:r>
        <w:t>taba de una maniobra que pretendía desestabilizar la ca</w:t>
      </w:r>
      <w:r>
        <w:t>u</w:t>
      </w:r>
      <w:r>
        <w:t>sa.</w:t>
      </w:r>
    </w:p>
    <w:p w:rsidR="00224567" w:rsidRDefault="00224567">
      <w:pPr>
        <w:widowControl w:val="0"/>
      </w:pPr>
      <w:r>
        <w:tab/>
        <w:t>En lo concerniente al pago efectuado a Carlos Alberto Telleldín, Beraja negó haber tenido conoc</w:t>
      </w:r>
      <w:r>
        <w:t>i</w:t>
      </w:r>
      <w:r>
        <w:t>miento. Explicó que se enteró del hecho con posterioridad, cuando trascendió periodísticamente, que conversó al re</w:t>
      </w:r>
      <w:r>
        <w:t>s</w:t>
      </w:r>
      <w:r>
        <w:t>pecto con el juez Galeano, pero éste le aseguró que no h</w:t>
      </w:r>
      <w:r>
        <w:t>a</w:t>
      </w:r>
      <w:r>
        <w:t xml:space="preserve">bía pagado. </w:t>
      </w:r>
    </w:p>
    <w:p w:rsidR="00224567" w:rsidRDefault="00224567">
      <w:pPr>
        <w:widowControl w:val="0"/>
      </w:pPr>
      <w:r>
        <w:tab/>
        <w:t>Asimismo, manifestó que no le preguntó al Dr. Galeano el motivo por el cual Telleldín declaró el 5 de julio de 1996, tampoco si había recibido alguna de sus exigencias a cambio. Negó haber preguntado a funcion</w:t>
      </w:r>
      <w:r>
        <w:t>a</w:t>
      </w:r>
      <w:r>
        <w:t>rios del gobierno acerca de tal pago.</w:t>
      </w:r>
    </w:p>
    <w:p w:rsidR="00224567" w:rsidRDefault="00224567">
      <w:pPr>
        <w:widowControl w:val="0"/>
      </w:pPr>
      <w:r>
        <w:tab/>
        <w:t xml:space="preserve">También negó que </w:t>
      </w:r>
      <w:smartTag w:uri="urn:schemas-microsoft-com:office:smarttags" w:element="PersonName">
        <w:smartTagPr>
          <w:attr w:name="ProductID" w:val="la D.A"/>
        </w:smartTagPr>
        <w:r>
          <w:t>la D.A</w:t>
        </w:r>
      </w:smartTag>
      <w:r>
        <w:t>.I.A o el Banco Mayo hubiesen brindado algún tipo de ayuda económica con esa finalidad, planteando que de haberse concretado un p</w:t>
      </w:r>
      <w:r>
        <w:t>a</w:t>
      </w:r>
      <w:r>
        <w:t>go, el dinero bien pudo aportarlo el gobierno. Manifestó, además, que así como algunos pretendieron involucrar a la querella en el asunto, del mismo modo podía especular s</w:t>
      </w:r>
      <w:r>
        <w:t>o</w:t>
      </w:r>
      <w:r>
        <w:t>bre el interés de una contraparte en ese sentido.</w:t>
      </w:r>
    </w:p>
    <w:p w:rsidR="00224567" w:rsidRDefault="00224567">
      <w:pPr>
        <w:widowControl w:val="0"/>
      </w:pPr>
      <w:r>
        <w:tab/>
        <w:t>En su sinuosa declaración, el testigo incurrió en importantes contradicciones, imprecisiones y aclaraciones, sin cumplir estas últimas su propósito en orden a las fechas y al contenido de las reuniones que mant</w:t>
      </w:r>
      <w:r>
        <w:t>u</w:t>
      </w:r>
      <w:r>
        <w:t>vo con el Dr. Stinfale y Telleldín, entre otras. Otro tanto sucedió respecto de la finalidad de las entrevistas grabadas del juez instructor con el imputado; en partic</w:t>
      </w:r>
      <w:r>
        <w:t>u</w:t>
      </w:r>
      <w:r>
        <w:t>lar debe destacarse que no resulta creíble el desconoc</w:t>
      </w:r>
      <w:r>
        <w:t>i</w:t>
      </w:r>
      <w:r>
        <w:t>miento que alegó acerca de la existencia del pago.</w:t>
      </w:r>
    </w:p>
    <w:p w:rsidR="00224567" w:rsidRDefault="00224567">
      <w:pPr>
        <w:widowControl w:val="0"/>
      </w:pPr>
      <w:r>
        <w:br w:type="page"/>
      </w:r>
      <w:r>
        <w:tab/>
        <w:t>Esta última afirmación se encuentra controvertida, primeramente, por los dichos de Claudio Adrián Lifschitz al referir en la audiencia de debate que luego de la entrevista que mantuvo el juez con Telleldín, Galeano se preocupó en buscar un “sponsor”, alguien que aportara la suma exigida por el detenido. Relató que Ber</w:t>
      </w:r>
      <w:r>
        <w:t>a</w:t>
      </w:r>
      <w:r>
        <w:t>ja concurrió al juzgado en horas de la tarde, vio la fi</w:t>
      </w:r>
      <w:r>
        <w:t>l</w:t>
      </w:r>
      <w:r>
        <w:t>mación, preguntando luego qué era lo que pretendía Telle</w:t>
      </w:r>
      <w:r>
        <w:t>l</w:t>
      </w:r>
      <w:r>
        <w:t>dín y si tenía alguna propiedad. Afirmó Lifschitz que el juez Galeano comunicó a Beraja que la pretensión de T</w:t>
      </w:r>
      <w:r>
        <w:t>e</w:t>
      </w:r>
      <w:r>
        <w:t>lleldín oscilaba e</w:t>
      </w:r>
      <w:r>
        <w:t>n</w:t>
      </w:r>
      <w:r>
        <w:t>tre los 400.000 y los 800.0000 dólares.</w:t>
      </w:r>
    </w:p>
    <w:p w:rsidR="00224567" w:rsidRDefault="00224567">
      <w:pPr>
        <w:widowControl w:val="0"/>
      </w:pPr>
      <w:r>
        <w:tab/>
        <w:t>Roberto Dios, empleado del juzgado instructor, manifestó en el debate que el mismo día que se filmó la entrevista entre Telleldín y Galeano, aludiendo a la del 1º de julio de 1996, el magistrado le dio la orden de que preparara el video para exhibírselo al Dr. Beraja, quien concurrió en horas de la tarde.</w:t>
      </w:r>
    </w:p>
    <w:p w:rsidR="00224567" w:rsidRDefault="00224567">
      <w:pPr>
        <w:widowControl w:val="0"/>
      </w:pPr>
      <w:r>
        <w:tab/>
        <w:t>Por su parte, Carlos Alberto Telleldín  en la indagatoria que prestó en el juicio, declaró que B</w:t>
      </w:r>
      <w:r>
        <w:t>e</w:t>
      </w:r>
      <w:r>
        <w:t>raja “hacía y deshacía dentro del expediente”, y que junto con Dobniewski y Galeano hacían “negociados” con él, pero cuando éstos no se cumplían le agravaban su situación pr</w:t>
      </w:r>
      <w:r>
        <w:t>o</w:t>
      </w:r>
      <w:r>
        <w:t>cesal. Destacó la preocupación y desesperación de Galeano y Beraja, a raíz del robo del video del 1º de julio de 1996, y que este último pidió su apoyo por intermedio del Dr. Stinfale, ya que el juez necesitaba que le firmaran un l</w:t>
      </w:r>
      <w:r>
        <w:t>e</w:t>
      </w:r>
      <w:r>
        <w:t>gajo de recompensa. Pudo recordar que firmó ese pedido, y también por el cobro del dinero.</w:t>
      </w:r>
    </w:p>
    <w:p w:rsidR="00224567" w:rsidRDefault="00224567">
      <w:pPr>
        <w:widowControl w:val="0"/>
      </w:pPr>
      <w:r>
        <w:tab/>
        <w:t>En la denuncia que formuló contra el Dr. Juan José Galeano, copiada a fs. 117.109/117.119, T</w:t>
      </w:r>
      <w:r>
        <w:t>e</w:t>
      </w:r>
      <w:r>
        <w:t>lleldín señaló que Beraja era permanentemente consultado por aquél respecto de cada paso que daba en la causa y que conocía de la “declaración indagatoria a medida de las pretensiones del juez” (sic).</w:t>
      </w:r>
    </w:p>
    <w:p w:rsidR="00224567" w:rsidRDefault="00224567">
      <w:pPr>
        <w:widowControl w:val="0"/>
      </w:pPr>
      <w:r>
        <w:tab/>
        <w:t>En el escrito mediante el cual amplió su  denuncia, Telleldín insistió en que Beraja tuvo con</w:t>
      </w:r>
      <w:r>
        <w:t>o</w:t>
      </w:r>
      <w:r>
        <w:t>cimie</w:t>
      </w:r>
      <w:r>
        <w:t>n</w:t>
      </w:r>
      <w:r>
        <w:t xml:space="preserve">to y aprobó la intervención de </w:t>
      </w:r>
      <w:smartTag w:uri="urn:schemas-microsoft-com:office:smarttags" w:element="PersonName">
        <w:smartTagPr>
          <w:attr w:name="ProductID" w:val="la Dra. Riva"/>
        </w:smartTagPr>
        <w:r>
          <w:t>la Dra. Riva</w:t>
        </w:r>
      </w:smartTag>
      <w:r>
        <w:t xml:space="preserve"> Aramayo, en cuyo desarrollo se le pidió que sostuviera que fue e</w:t>
      </w:r>
      <w:r>
        <w:t>x</w:t>
      </w:r>
      <w:r>
        <w:t>torsionado el 10 de julio de 1994, explicándosele cómo tendría que ser su declaración, al punto en que se confe</w:t>
      </w:r>
      <w:r>
        <w:t>c</w:t>
      </w:r>
      <w:r>
        <w:t>-</w:t>
      </w:r>
    </w:p>
    <w:p w:rsidR="00224567" w:rsidRDefault="00224567">
      <w:pPr>
        <w:widowControl w:val="0"/>
      </w:pPr>
      <w:r>
        <w:br w:type="page"/>
        <w:t>cionó un plano con los movimientos de la camioneta, de los autos y de los policías. (cónf. fs. 117.250/117.261).</w:t>
      </w:r>
    </w:p>
    <w:p w:rsidR="00224567" w:rsidRDefault="00224567">
      <w:pPr>
        <w:widowControl w:val="0"/>
      </w:pPr>
      <w:r>
        <w:tab/>
        <w:t>Por todo lo expuesto, resulta inver</w:t>
      </w:r>
      <w:r>
        <w:t>o</w:t>
      </w:r>
      <w:r>
        <w:t>símil que después de haber tenido una activa particip</w:t>
      </w:r>
      <w:r>
        <w:t>a</w:t>
      </w:r>
      <w:r>
        <w:t>ción en diferentes reuniones que mantuvo con el Dr. Víctor Stinfale, Carlos Alberto Telleldín, la camarista Riva Ar</w:t>
      </w:r>
      <w:r>
        <w:t>a</w:t>
      </w:r>
      <w:r>
        <w:t>mayo y con el juez instructor, que no sólo precedieron a la indagatoria del 5 de julio de 1996 sino que, como el propio testigo señaló, versaron sobre el supuesto conoc</w:t>
      </w:r>
      <w:r>
        <w:t>i</w:t>
      </w:r>
      <w:r>
        <w:t>miento de Telleldín acerca del destino de la camioneta, sus temores y exigencias, no le hubiera preguntado al juez Galeano cómo se llegó, en definitiva, a la declaración en la que se i</w:t>
      </w:r>
      <w:r>
        <w:t>n</w:t>
      </w:r>
      <w:r>
        <w:t>volucró al personal policial.</w:t>
      </w:r>
    </w:p>
    <w:p w:rsidR="00224567" w:rsidRDefault="00224567">
      <w:pPr>
        <w:widowControl w:val="0"/>
      </w:pPr>
      <w:r>
        <w:tab/>
        <w:t>No puede soslayarse que Beraja conoció de modo directo y actualizado las tratativas que se llev</w:t>
      </w:r>
      <w:r>
        <w:t>a</w:t>
      </w:r>
      <w:r>
        <w:t>ban a cabo, no sólo por su privilegiado contacto con los principales interlocutores y el acceso a información que no estaba documentada en el expediente, sino porque además tuvo una significativa intervención en varios tramos de esa negociación. Puede advertirse, en este sentido, como ejemplos del importante papel que desempeñó, que ofreció garantías al imputado, supo tempranamente de la interve</w:t>
      </w:r>
      <w:r>
        <w:t>n</w:t>
      </w:r>
      <w:r>
        <w:t>ción de la camarista, la avaló, e hizo lo propio cuando las tratativas informales con Telleldín fueron asumidas por el pr</w:t>
      </w:r>
      <w:r>
        <w:t>o</w:t>
      </w:r>
      <w:r>
        <w:t>pio juez, lo que le permitió tener un inmediato conocimie</w:t>
      </w:r>
      <w:r>
        <w:t>n</w:t>
      </w:r>
      <w:r>
        <w:t>to de esos encuentros.</w:t>
      </w:r>
    </w:p>
    <w:p w:rsidR="00224567" w:rsidRDefault="00224567">
      <w:pPr>
        <w:widowControl w:val="0"/>
      </w:pPr>
      <w:r>
        <w:tab/>
        <w:t>Esta suerte de patrocinio de la act</w:t>
      </w:r>
      <w:r>
        <w:t>i</w:t>
      </w:r>
      <w:r>
        <w:t>vidad realizada por el magistrado en la negociación, se tornó más evidente a raíz del episodio vinculado con el video del 1º de julio de 1996. No sólo intentó evitar su difusión sino que, además, dos días antes de que se con</w:t>
      </w:r>
      <w:r>
        <w:t>o</w:t>
      </w:r>
      <w:r>
        <w:t>ciera la filmación en el programa del periodista Lanata, de manera imprevista en función al trámite del proceso, prestó declaración testimonial ante el juez Oyarbide, oportunidad en la que defendió la actuación del juez G</w:t>
      </w:r>
      <w:r>
        <w:t>a</w:t>
      </w:r>
      <w:r>
        <w:t>leano y la transpare</w:t>
      </w:r>
      <w:r>
        <w:t>n</w:t>
      </w:r>
      <w:r>
        <w:t>cia de su proceder.</w:t>
      </w:r>
    </w:p>
    <w:p w:rsidR="00224567" w:rsidRDefault="00224567">
      <w:pPr>
        <w:widowControl w:val="0"/>
      </w:pPr>
      <w:r>
        <w:tab/>
      </w:r>
      <w:r>
        <w:tab/>
        <w:t>En este orden de ideas corresponde s</w:t>
      </w:r>
      <w:r>
        <w:t>e</w:t>
      </w:r>
      <w:r>
        <w:t>ñalar que quien leyera esta causa con buena fe, es decir pensando que lo escrito responde a la realidad, le llam</w:t>
      </w:r>
      <w:r>
        <w:t>a</w:t>
      </w:r>
      <w:r>
        <w:t>ría la atención los términos de la declaración de Beraja frente a las restantes constancias. En efecto, el nombrado relató su preocupación por persuadir a Telleldín para que declar</w:t>
      </w:r>
      <w:r>
        <w:t>a</w:t>
      </w:r>
      <w:r>
        <w:t>se, como así también por la seguridad del nombrado, más cuando ello sucedió y el procesado reclamó la reco</w:t>
      </w:r>
      <w:r>
        <w:t>m</w:t>
      </w:r>
      <w:r>
        <w:t>pensa, alegando, precisamente, la seguridad de su familia, la e</w:t>
      </w:r>
      <w:r>
        <w:t>n</w:t>
      </w:r>
      <w:r>
        <w:t>tidad que aquél representaba no contestó la vista que se le corrió acerca de su procedencia, ni efectuó manife</w:t>
      </w:r>
      <w:r>
        <w:t>s</w:t>
      </w:r>
      <w:r>
        <w:t>tación alguna. Beraja en la audiencia dijo no recordar e</w:t>
      </w:r>
      <w:r>
        <w:t>s</w:t>
      </w:r>
      <w:r>
        <w:t>ta última circunstancia.</w:t>
      </w:r>
    </w:p>
    <w:p w:rsidR="00224567" w:rsidRDefault="00224567">
      <w:pPr>
        <w:widowControl w:val="0"/>
      </w:pPr>
      <w:r>
        <w:tab/>
        <w:t>Que con relación a la significación de ese incidente de pedido de recompensa y su trámite, cabe remitir a las consideraciones vertidas en el punto G.7)</w:t>
      </w:r>
      <w:r>
        <w:rPr>
          <w:b/>
          <w:bCs/>
        </w:rPr>
        <w:t xml:space="preserve"> </w:t>
      </w:r>
      <w:r>
        <w:t>del capítulo VIII.</w:t>
      </w:r>
    </w:p>
    <w:p w:rsidR="00224567" w:rsidRDefault="00224567">
      <w:pPr>
        <w:widowControl w:val="0"/>
      </w:pPr>
      <w:r>
        <w:tab/>
        <w:t>Corresponde agregar, dentro del pan</w:t>
      </w:r>
      <w:r>
        <w:t>o</w:t>
      </w:r>
      <w:r>
        <w:t>rama que ha venido describiéndose, que distintas public</w:t>
      </w:r>
      <w:r>
        <w:t>a</w:t>
      </w:r>
      <w:r>
        <w:t>ciones periodísticas de la época -obran reservadas en S</w:t>
      </w:r>
      <w:r>
        <w:t>e</w:t>
      </w:r>
      <w:r>
        <w:t>cretaría- reflejaron el conocimiento y el rol que le c</w:t>
      </w:r>
      <w:r>
        <w:t>u</w:t>
      </w:r>
      <w:r>
        <w:t>po a Beraja durante la etapa previa a la declaración de T</w:t>
      </w:r>
      <w:r>
        <w:t>e</w:t>
      </w:r>
      <w:r>
        <w:t>lleldín del 5 de julio de 1996. Al respecto, resulta  ilustrativo relacionar el contenido y la fecha de la not</w:t>
      </w:r>
      <w:r>
        <w:t>i</w:t>
      </w:r>
      <w:r>
        <w:t>cia, con el estado del trámite de la causa.</w:t>
      </w:r>
    </w:p>
    <w:p w:rsidR="00224567" w:rsidRDefault="00224567">
      <w:pPr>
        <w:widowControl w:val="0"/>
      </w:pPr>
      <w:r>
        <w:br w:type="page"/>
      </w:r>
      <w:r>
        <w:tab/>
        <w:t xml:space="preserve">El artículo publicado en el matutino   “Página </w:t>
      </w:r>
      <w:smartTag w:uri="urn:schemas-microsoft-com:office:smarttags" w:element="metricconverter">
        <w:smartTagPr>
          <w:attr w:name="ProductID" w:val="12”"/>
        </w:smartTagPr>
        <w:r>
          <w:t>12”</w:t>
        </w:r>
      </w:smartTag>
      <w:r>
        <w:t xml:space="preserve"> el </w:t>
      </w:r>
      <w:r>
        <w:rPr>
          <w:bCs/>
        </w:rPr>
        <w:t>7 de octubre de 1995</w:t>
      </w:r>
      <w:r>
        <w:t>, titulado “Busco g</w:t>
      </w:r>
      <w:r>
        <w:t>a</w:t>
      </w:r>
      <w:r>
        <w:t xml:space="preserve">rante” mencionó que Telleldín quería que Beraja actuara como garante del acuerdo por el cual prestaría declaración si se cumplían sus exigencias y que el titular de </w:t>
      </w:r>
      <w:smartTag w:uri="urn:schemas-microsoft-com:office:smarttags" w:element="PersonName">
        <w:smartTagPr>
          <w:attr w:name="ProductID" w:val="la D.A"/>
        </w:smartTagPr>
        <w:r>
          <w:t>la D.A</w:t>
        </w:r>
      </w:smartTag>
      <w:r>
        <w:t>.I.A habría conversado de este tema con el entonces m</w:t>
      </w:r>
      <w:r>
        <w:t>i</w:t>
      </w:r>
      <w:r>
        <w:t>nistro del Interior Carlos Corach.</w:t>
      </w:r>
    </w:p>
    <w:p w:rsidR="00224567" w:rsidRDefault="00224567">
      <w:pPr>
        <w:widowControl w:val="0"/>
      </w:pPr>
      <w:r>
        <w:tab/>
        <w:t xml:space="preserve">En la edición del </w:t>
      </w:r>
      <w:r>
        <w:rPr>
          <w:bCs/>
        </w:rPr>
        <w:t>4 de noviembre de 1995</w:t>
      </w:r>
      <w:r>
        <w:rPr>
          <w:b/>
        </w:rPr>
        <w:t xml:space="preserve"> </w:t>
      </w:r>
      <w:r>
        <w:t>de ese diario, Román Lejtman y Raúl Kollmann inform</w:t>
      </w:r>
      <w:r>
        <w:t>a</w:t>
      </w:r>
      <w:r>
        <w:t>ron que  Beraja había confirmado que Telleldín señaló al subcomis</w:t>
      </w:r>
      <w:r>
        <w:t>a</w:t>
      </w:r>
      <w:r>
        <w:t xml:space="preserve">rio Ireneo Leal, de la brigada de Vicente López, como uno de los oficiales que manejó </w:t>
      </w:r>
      <w:smartTag w:uri="urn:schemas-microsoft-com:office:smarttags" w:element="PersonName">
        <w:smartTagPr>
          <w:attr w:name="ProductID" w:val="la Trafic"/>
        </w:smartTagPr>
        <w:r>
          <w:t>la Trafic</w:t>
        </w:r>
      </w:smartTag>
      <w:r>
        <w:t xml:space="preserve"> antes del atentado y que podía quedar involucrado como partícipe n</w:t>
      </w:r>
      <w:r>
        <w:t>e</w:t>
      </w:r>
      <w:r>
        <w:t>cesario en el atentado. En esa misma crónica se detalló que Telleldín pretendía cobrar trescientos mil dólares, un salvoconducto para su familia y su libertad a cambio de prestar declar</w:t>
      </w:r>
      <w:r>
        <w:t>a</w:t>
      </w:r>
      <w:r>
        <w:t>ción en la causa para aportar los datos que había entregado a Riva Aramayo.</w:t>
      </w:r>
    </w:p>
    <w:p w:rsidR="00224567" w:rsidRDefault="00224567">
      <w:pPr>
        <w:widowControl w:val="0"/>
      </w:pPr>
      <w:r>
        <w:tab/>
        <w:t xml:space="preserve">Por otra parte, el diario “Clarín”, ejemplar del </w:t>
      </w:r>
      <w:r>
        <w:rPr>
          <w:bCs/>
        </w:rPr>
        <w:t>11 de noviembre de 1995,</w:t>
      </w:r>
      <w:r>
        <w:t xml:space="preserve"> publicó que el tit</w:t>
      </w:r>
      <w:r>
        <w:t>u</w:t>
      </w:r>
      <w:r>
        <w:t xml:space="preserve">lar de D.A.I.A  mantuvo una entrevista, el día anterior, en </w:t>
      </w:r>
      <w:smartTag w:uri="urn:schemas-microsoft-com:office:smarttags" w:element="PersonName">
        <w:smartTagPr>
          <w:attr w:name="ProductID" w:val="la Casa"/>
        </w:smartTagPr>
        <w:r>
          <w:t>la Casa</w:t>
        </w:r>
      </w:smartTag>
      <w:r>
        <w:t xml:space="preserve"> de Gobierno con el entonces  ministro del Int</w:t>
      </w:r>
      <w:r>
        <w:t>e</w:t>
      </w:r>
      <w:r>
        <w:t>rior Carlos Corach, y que luego de ese encuentro, Beraja aseguró –conforme al texto de la nota- que se sentía ce</w:t>
      </w:r>
      <w:r>
        <w:t>r</w:t>
      </w:r>
      <w:r>
        <w:t>cano el momento en que se pudiera señalar a los respons</w:t>
      </w:r>
      <w:r>
        <w:t>a</w:t>
      </w:r>
      <w:r>
        <w:t>bles de la conexión local, expresando “Es como que estamos cerca de cruzar la línea a partir de la cual probablemente avancemos sobre personas que ya están vinculadas con el atentado”.</w:t>
      </w:r>
    </w:p>
    <w:p w:rsidR="00224567" w:rsidRDefault="00224567">
      <w:pPr>
        <w:widowControl w:val="0"/>
      </w:pPr>
      <w:r>
        <w:tab/>
        <w:t>En mérito a los argumentos expuestos,  habiéndose valorado las constancias obrantes en la causa y la prueba producida en el debate, el tribunal advierte que pese a que Beraja negó haber tenido conocimiento del pago a Carlos Alberto Telleldín, pudo recrearse, con suficiente claridad, su participación en varias instancias del proc</w:t>
      </w:r>
      <w:r>
        <w:t>e</w:t>
      </w:r>
      <w:r>
        <w:t>so que desembocó en el acuerdo que generó esa contrapre</w:t>
      </w:r>
      <w:r>
        <w:t>s</w:t>
      </w:r>
      <w:r>
        <w:t>tación.</w:t>
      </w:r>
    </w:p>
    <w:p w:rsidR="00224567" w:rsidRDefault="00224567">
      <w:pPr>
        <w:widowControl w:val="0"/>
      </w:pPr>
      <w:r>
        <w:tab/>
        <w:t>El grado y alcance de la intervención de Beraja, que llevó a cabo personalmente durante aquellas particulares circunstancias en que se desarrolló la act</w:t>
      </w:r>
      <w:r>
        <w:t>i</w:t>
      </w:r>
      <w:r>
        <w:t>vidad extra procesal que caracterizó ese período del tr</w:t>
      </w:r>
      <w:r>
        <w:t>á</w:t>
      </w:r>
      <w:r>
        <w:t>mite de la causa, revelan que durante todo ese tiempo tuvo un conocimiento directo y actualizado de las gesti</w:t>
      </w:r>
      <w:r>
        <w:t>o</w:t>
      </w:r>
      <w:r>
        <w:t>nes que se realizaban con Telleldín en pos de obtener su declar</w:t>
      </w:r>
      <w:r>
        <w:t>a</w:t>
      </w:r>
      <w:r>
        <w:t>ción en términos que, como resultado de  ese acuerdo, s</w:t>
      </w:r>
      <w:r>
        <w:t>e</w:t>
      </w:r>
      <w:r>
        <w:t>rían consensuados.</w:t>
      </w:r>
    </w:p>
    <w:p w:rsidR="00224567" w:rsidRDefault="00224567">
      <w:pPr>
        <w:widowControl w:val="0"/>
      </w:pPr>
      <w:r>
        <w:tab/>
        <w:t>En consecuencia, sus manifestaciones en cuanto a que desconocía el motivo que determinó a que finalmente aquél ampliara su indagatoria, como también que no sabía que se le hubiera pagado para ello, responden a una elección por continuar apoyando, de cualquier modo, la versión construida en el juzgado, opción esta que exigía que se mantuviera oculto el método empleado para doblegar la voluntad de Telleldín, con lo que se impedía toda pos</w:t>
      </w:r>
      <w:r>
        <w:t>i</w:t>
      </w:r>
      <w:r>
        <w:t>bil</w:t>
      </w:r>
      <w:r>
        <w:t>i</w:t>
      </w:r>
      <w:r>
        <w:t>dad de que pudiera descubrirse el proceso de creación de la hipótesis incriminatoria.</w:t>
      </w:r>
    </w:p>
    <w:p w:rsidR="00224567" w:rsidRDefault="00224567">
      <w:pPr>
        <w:widowControl w:val="0"/>
      </w:pPr>
      <w:r>
        <w:tab/>
        <w:t xml:space="preserve">En este razonamiento puede advertirse que, previo a que comparecieran los funcionarios de </w:t>
      </w:r>
      <w:smartTag w:uri="urn:schemas-microsoft-com:office:smarttags" w:element="PersonName">
        <w:smartTagPr>
          <w:attr w:name="ProductID" w:val="la Secretar￭a"/>
        </w:smartTagPr>
        <w:r>
          <w:t>la S</w:t>
        </w:r>
        <w:r>
          <w:t>e</w:t>
        </w:r>
        <w:r>
          <w:t>cretaría</w:t>
        </w:r>
      </w:smartTag>
      <w:r>
        <w:t xml:space="preserve"> de Inteligencia, el testigo ajustó sus contest</w:t>
      </w:r>
      <w:r>
        <w:t>a</w:t>
      </w:r>
      <w:r>
        <w:t>ciones a la estrategia basada en negar la existencia del pago, seguida por el juez Galeano, con quien entabló una estrecha relación personal como pudo apreciarse de la e</w:t>
      </w:r>
      <w:r>
        <w:t>s</w:t>
      </w:r>
      <w:r>
        <w:t>cucha reproducida en la audiencia.</w:t>
      </w:r>
    </w:p>
    <w:p w:rsidR="00224567" w:rsidRDefault="00224567">
      <w:pPr>
        <w:pStyle w:val="Textoindependiente2"/>
        <w:widowControl w:val="0"/>
        <w:rPr>
          <w:rFonts w:ascii="Courier New" w:hAnsi="Courier New" w:cs="Courier New"/>
        </w:rPr>
      </w:pPr>
      <w:r>
        <w:rPr>
          <w:rFonts w:ascii="Courier New" w:hAnsi="Courier New" w:cs="Courier New"/>
        </w:rPr>
        <w:tab/>
        <w:t>En el contexto anteriormente descri</w:t>
      </w:r>
      <w:r>
        <w:rPr>
          <w:rFonts w:ascii="Courier New" w:hAnsi="Courier New" w:cs="Courier New"/>
        </w:rPr>
        <w:t>p</w:t>
      </w:r>
      <w:r>
        <w:rPr>
          <w:rFonts w:ascii="Courier New" w:hAnsi="Courier New" w:cs="Courier New"/>
        </w:rPr>
        <w:t>to, de una fluida interacción y comunidad de intereses, puede encontrarse una explicación del amplio apoyo del Dr. Beraja a la marcha del proceso en orden a la imputación de los policías bonaerenses en el atentado, en las espurias cond</w:t>
      </w:r>
      <w:r>
        <w:rPr>
          <w:rFonts w:ascii="Courier New" w:hAnsi="Courier New" w:cs="Courier New"/>
        </w:rPr>
        <w:t>i</w:t>
      </w:r>
      <w:r>
        <w:rPr>
          <w:rFonts w:ascii="Courier New" w:hAnsi="Courier New" w:cs="Courier New"/>
        </w:rPr>
        <w:t>ciones en que se originó y consolidó, como también la razón por la que la denuncia que efectuó con motivo de las graves inconductas en que habrían incurrido diferentes funcionarios públicos durante el transcurso de la invest</w:t>
      </w:r>
      <w:r>
        <w:rPr>
          <w:rFonts w:ascii="Courier New" w:hAnsi="Courier New" w:cs="Courier New"/>
        </w:rPr>
        <w:t>i</w:t>
      </w:r>
      <w:r>
        <w:rPr>
          <w:rFonts w:ascii="Courier New" w:hAnsi="Courier New" w:cs="Courier New"/>
        </w:rPr>
        <w:t>gación judicial, no comprometió a ninguna autoridad con responsab</w:t>
      </w:r>
      <w:r>
        <w:rPr>
          <w:rFonts w:ascii="Courier New" w:hAnsi="Courier New" w:cs="Courier New"/>
        </w:rPr>
        <w:t>i</w:t>
      </w:r>
      <w:r>
        <w:rPr>
          <w:rFonts w:ascii="Courier New" w:hAnsi="Courier New" w:cs="Courier New"/>
        </w:rPr>
        <w:t>lidad política de esa época.</w:t>
      </w:r>
    </w:p>
    <w:p w:rsidR="00224567" w:rsidRDefault="00224567">
      <w:pPr>
        <w:widowControl w:val="0"/>
      </w:pPr>
      <w:r>
        <w:tab/>
        <w:t>En virtud de las circunstancias señ</w:t>
      </w:r>
      <w:r>
        <w:t>a</w:t>
      </w:r>
      <w:r>
        <w:t>ladas, corresponde investigar el presunto d</w:t>
      </w:r>
      <w:r>
        <w:t>e</w:t>
      </w:r>
      <w:r>
        <w:t>lito de falso testimonio en que habría incurrido Rubén Ezra Beraja.</w:t>
      </w:r>
    </w:p>
    <w:p w:rsidR="00224567" w:rsidRDefault="00224567">
      <w:pPr>
        <w:widowControl w:val="0"/>
      </w:pPr>
      <w:r>
        <w:tab/>
      </w:r>
      <w:r>
        <w:rPr>
          <w:b/>
          <w:bCs/>
        </w:rPr>
        <w:t>A.3.a)</w:t>
      </w:r>
      <w:r>
        <w:t xml:space="preserve"> En el primer cuerpo de las a</w:t>
      </w:r>
      <w:r>
        <w:t>c</w:t>
      </w:r>
      <w:r>
        <w:t>tuaciones, a fs. 114, obra una nota dirigida al juez in</w:t>
      </w:r>
      <w:r>
        <w:t>s</w:t>
      </w:r>
      <w:r>
        <w:t>tructor por el entonces jefe del Departamento Protección del Orden Constitucional, comisario inspector Carlos Ant</w:t>
      </w:r>
      <w:r>
        <w:t>o</w:t>
      </w:r>
      <w:r>
        <w:t>nio Castañeda, en la que, con la sola mención de que r</w:t>
      </w:r>
      <w:r>
        <w:t>e</w:t>
      </w:r>
      <w:r>
        <w:t>sultaba “de sumo interés al aspecto investigativo”, requ</w:t>
      </w:r>
      <w:r>
        <w:t>i</w:t>
      </w:r>
      <w:r>
        <w:t>rió la intervención de treinta y dos líneas telefónicas; en ningún caso se indicó a quiénes pertenecían ni se apo</w:t>
      </w:r>
      <w:r>
        <w:t>r</w:t>
      </w:r>
      <w:r>
        <w:t>tó dato ad</w:t>
      </w:r>
      <w:r>
        <w:t>i</w:t>
      </w:r>
      <w:r>
        <w:t>cional alguno.</w:t>
      </w:r>
    </w:p>
    <w:p w:rsidR="00224567" w:rsidRDefault="00224567">
      <w:pPr>
        <w:widowControl w:val="0"/>
      </w:pPr>
      <w:r>
        <w:tab/>
        <w:t>Dicha actuación, fechada en julio de 1994, sin completar el día, intercalada entre actu</w:t>
      </w:r>
      <w:r>
        <w:t>a</w:t>
      </w:r>
      <w:r>
        <w:t>ciones del 20 de julio de 1994, constituiría, según las explic</w:t>
      </w:r>
      <w:r>
        <w:t>a</w:t>
      </w:r>
      <w:r>
        <w:t>ciones brindadas durante el juicio, el original de un pr</w:t>
      </w:r>
      <w:r>
        <w:t>o</w:t>
      </w:r>
      <w:r>
        <w:t xml:space="preserve">yecto elaborado por </w:t>
      </w:r>
      <w:smartTag w:uri="urn:schemas-microsoft-com:office:smarttags" w:element="PersonName">
        <w:smartTagPr>
          <w:attr w:name="ProductID" w:val="la Polic￭a Federal"/>
        </w:smartTagPr>
        <w:r>
          <w:t>la Policía Federal</w:t>
        </w:r>
      </w:smartTag>
      <w:r>
        <w:t xml:space="preserve"> Argentina que sería enviado al juzgado o, quizás, la copia de una nota cuyo orig</w:t>
      </w:r>
      <w:r>
        <w:t>i</w:t>
      </w:r>
      <w:r>
        <w:t>nal no pudo hallarse.</w:t>
      </w:r>
    </w:p>
    <w:p w:rsidR="00224567" w:rsidRDefault="00224567">
      <w:pPr>
        <w:widowControl w:val="0"/>
      </w:pPr>
      <w:r>
        <w:tab/>
        <w:t>Infinidad de veces, a lo largo del d</w:t>
      </w:r>
      <w:r>
        <w:t>e</w:t>
      </w:r>
      <w:r>
        <w:t>bate, se aludió a dicha actuación como un paradigma del irregular trámite impuesto a esta causa en la etapa ant</w:t>
      </w:r>
      <w:r>
        <w:t>e</w:t>
      </w:r>
      <w:r>
        <w:t>rior.</w:t>
      </w:r>
    </w:p>
    <w:p w:rsidR="00224567" w:rsidRDefault="00224567">
      <w:pPr>
        <w:widowControl w:val="0"/>
      </w:pPr>
      <w:r>
        <w:tab/>
        <w:t>No fue posible encontrar una respuesta que explique, de manera convincente, los motivos por los cuales la nota en cuestión, pese a que nunca se habría l</w:t>
      </w:r>
      <w:r>
        <w:t>i</w:t>
      </w:r>
      <w:r>
        <w:t>brado, aparece inmersa entre las primeras actuaciones l</w:t>
      </w:r>
      <w:r>
        <w:t>a</w:t>
      </w:r>
      <w:r>
        <w:t>bradas por la autoridad policial. Un análisis de los tel</w:t>
      </w:r>
      <w:r>
        <w:t>é</w:t>
      </w:r>
      <w:r>
        <w:t xml:space="preserve">fonos que allí se consignan  autoriza  a  sostener que, dentro de los diez días de ocurrido el atentado contra la sede de </w:t>
      </w:r>
      <w:smartTag w:uri="urn:schemas-microsoft-com:office:smarttags" w:element="PersonName">
        <w:smartTagPr>
          <w:attr w:name="ProductID" w:val="la A.M"/>
        </w:smartTagPr>
        <w:r>
          <w:t>la A.M</w:t>
        </w:r>
      </w:smartTag>
      <w:r>
        <w:t xml:space="preserve">.I.A. </w:t>
      </w:r>
      <w:smartTag w:uri="urn:schemas-microsoft-com:office:smarttags" w:element="PersonName">
        <w:smartTagPr>
          <w:attr w:name="ProductID" w:val="la Secretar￭a"/>
        </w:smartTagPr>
        <w:r>
          <w:t>la Secretaría</w:t>
        </w:r>
      </w:smartTag>
      <w:r>
        <w:t xml:space="preserve"> de Inteligencia de Est</w:t>
      </w:r>
      <w:r>
        <w:t>a</w:t>
      </w:r>
      <w:r>
        <w:t>do solicitó a distintas concesionarias del servicio tel</w:t>
      </w:r>
      <w:r>
        <w:t>e</w:t>
      </w:r>
      <w:r>
        <w:t>fónico la intervención de esas líneas, muchas de ellas sin corr</w:t>
      </w:r>
      <w:r>
        <w:t>e</w:t>
      </w:r>
      <w:r>
        <w:t>lato en las actuaciones judiciales; medidas éstas que no le fueron extrañas al juez instructor o, al menos, no pudieron pasarle desape</w:t>
      </w:r>
      <w:r>
        <w:t>r</w:t>
      </w:r>
      <w:r>
        <w:t>cibidas.</w:t>
      </w:r>
    </w:p>
    <w:p w:rsidR="00224567" w:rsidRDefault="00224567">
      <w:pPr>
        <w:widowControl w:val="0"/>
      </w:pPr>
      <w:r>
        <w:tab/>
        <w:t>En efecto, la información obtenida en el l</w:t>
      </w:r>
      <w:r>
        <w:t>e</w:t>
      </w:r>
      <w:r>
        <w:t>gajo de instrucción suplementaria demostró que el 18 de julio de 1994, en hora no determinada, el su</w:t>
      </w:r>
      <w:r>
        <w:t>b</w:t>
      </w:r>
      <w:r>
        <w:t>secretario de interior del citado organismo, Juan Carlos Anchézar, solicitó a las respectivas empresas de telefonía la inte</w:t>
      </w:r>
      <w:r>
        <w:t>r</w:t>
      </w:r>
      <w:r>
        <w:t>vención de las líneas utilizadas por las siguientes pers</w:t>
      </w:r>
      <w:r>
        <w:t>o</w:t>
      </w:r>
      <w:r>
        <w:t>nas: 240-2182 de Mustafa Lescano, 244-4999 de Aníbal Yaz</w:t>
      </w:r>
      <w:r>
        <w:t>i</w:t>
      </w:r>
      <w:r>
        <w:t>gui ó Yazigi; 582-5771 de Ricardo Horacio Elía; 583-1215 de Mohammad Reza Javadi-nia; 611-7744 de Mohamed Hamze; 612-1191 de Alejandro y Karina Sain; 774-3636 de Majid Parvas; 831-0689 de Reza Harati; 902-6361 de Nasser Ras</w:t>
      </w:r>
      <w:r>
        <w:t>h</w:t>
      </w:r>
      <w:r>
        <w:t>many y 67-0325.</w:t>
      </w:r>
    </w:p>
    <w:p w:rsidR="00224567" w:rsidRDefault="00224567">
      <w:pPr>
        <w:widowControl w:val="0"/>
      </w:pPr>
      <w:r>
        <w:br w:type="page"/>
      </w:r>
      <w:r>
        <w:tab/>
        <w:t>Al día siguiente, el mencionado fu</w:t>
      </w:r>
      <w:r>
        <w:t>n</w:t>
      </w:r>
      <w:r>
        <w:t>cionario, requirió la conexión del teléfono 963-2043 de Imanian Khosrow y se hizo efectiva la del 825-7978 de Ghassan Al Zein. Los días 20 y 21 de ese mes solicitó la de las líneas 682-5655 de Alejandro Feito, 767-2525 de R</w:t>
      </w:r>
      <w:r>
        <w:t>o</w:t>
      </w:r>
      <w:r>
        <w:t>berto César R</w:t>
      </w:r>
      <w:r>
        <w:t>e</w:t>
      </w:r>
      <w:r>
        <w:t>bollo y 806-7539 de Sergio Nantillo.</w:t>
      </w:r>
    </w:p>
    <w:p w:rsidR="00224567" w:rsidRDefault="00224567">
      <w:pPr>
        <w:widowControl w:val="0"/>
      </w:pPr>
      <w:r>
        <w:tab/>
        <w:t>El 25 de julio de 1994, Anchézar r</w:t>
      </w:r>
      <w:r>
        <w:t>e</w:t>
      </w:r>
      <w:r>
        <w:t>quirió la escucha de las líneas 775-7362 de Celina Lam</w:t>
      </w:r>
      <w:r>
        <w:t>o</w:t>
      </w:r>
      <w:r>
        <w:t>lla; 791-2280 de Erico L</w:t>
      </w:r>
      <w:r>
        <w:t>e</w:t>
      </w:r>
      <w:r>
        <w:t>naerts (luego rectificado por el nº 791-2880 de Hadi Soleimanpour); 812-5377 del Depart</w:t>
      </w:r>
      <w:r>
        <w:t>a</w:t>
      </w:r>
      <w:r>
        <w:t xml:space="preserve">mento Operacional y Técnico de </w:t>
      </w:r>
      <w:smartTag w:uri="urn:schemas-microsoft-com:office:smarttags" w:element="PersonName">
        <w:smartTagPr>
          <w:attr w:name="ProductID" w:val="la S.I"/>
        </w:smartTagPr>
        <w:r>
          <w:t>la S.I</w:t>
        </w:r>
      </w:smartTag>
      <w:r>
        <w:t>.D.E. y 952-2598 de Hassan Zeitoun.</w:t>
      </w:r>
    </w:p>
    <w:p w:rsidR="00224567" w:rsidRDefault="00224567">
      <w:pPr>
        <w:widowControl w:val="0"/>
      </w:pPr>
      <w:r>
        <w:tab/>
        <w:t>Al otro día, las de los teléfonos 361-3735 de Carlos Alejandro Martínez; 447-3646, 502-9960 y 503-1086 de Alejandro Monjo; 768-0902 de Carlos Alberto Telleldín y 963-5662 de Carlos Hernán Palazzo. Asimismo, en igual fecha, se conectaron los abonados 501-3147, 501-4774, 501-6806, también pertenecientes a Monjo.</w:t>
      </w:r>
    </w:p>
    <w:p w:rsidR="00224567" w:rsidRDefault="00224567">
      <w:pPr>
        <w:widowControl w:val="0"/>
      </w:pPr>
      <w:r>
        <w:tab/>
        <w:t>El 27 de julio de 1994, las líneas 541-2866 de Yolanda Uria; 712-1515 y 757-4193 de Eduardo Telleldín. Finalmente, el 28 del mismo mes y año, el su</w:t>
      </w:r>
      <w:r>
        <w:t>b</w:t>
      </w:r>
      <w:r>
        <w:t>secretario de inteligencia requirió la escucha del 69-5272 de Mohsen Rabbani.</w:t>
      </w:r>
    </w:p>
    <w:p w:rsidR="00224567" w:rsidRDefault="00224567">
      <w:pPr>
        <w:widowControl w:val="0"/>
      </w:pPr>
      <w:r>
        <w:tab/>
        <w:t>Vale recordar, la totalidad de los t</w:t>
      </w:r>
      <w:r>
        <w:t>e</w:t>
      </w:r>
      <w:r>
        <w:t>léfonos consignados en la fs. 114.</w:t>
      </w:r>
    </w:p>
    <w:p w:rsidR="00224567" w:rsidRDefault="00224567">
      <w:pPr>
        <w:widowControl w:val="0"/>
      </w:pPr>
      <w:r>
        <w:tab/>
        <w:t>Lo afirmado se desprende de las sol</w:t>
      </w:r>
      <w:r>
        <w:t>i</w:t>
      </w:r>
      <w:r>
        <w:t>citudes de conexión nº 1897, 1898, 1899, 1900, 1939, 1974, 1978, 1992 y 2027 aportadas por “Telefónica de A</w:t>
      </w:r>
      <w:r>
        <w:t>r</w:t>
      </w:r>
      <w:r>
        <w:t>gentina” a fs. 925; de las nº 1901, 1914, 1944, 1948, 1975, 1983, 1997, 2008 y 2021 remitidas por “Telecom A</w:t>
      </w:r>
      <w:r>
        <w:t>r</w:t>
      </w:r>
      <w:r>
        <w:t>gentina” a fs. 1869 y fs. 5064; de la información agregada a fs. 2827/2837 y de la solicitud nº 1996, acompañada por la “Compañía de Radiocomunicaciones Móv</w:t>
      </w:r>
      <w:r>
        <w:t>i</w:t>
      </w:r>
      <w:r>
        <w:t>les S.A.” (Movicom) a fs. 2660/2661 e informe de fs. 1524/1525 del legajo de instrucción supl</w:t>
      </w:r>
      <w:r>
        <w:t>e</w:t>
      </w:r>
      <w:r>
        <w:t>mentaria.</w:t>
      </w:r>
    </w:p>
    <w:p w:rsidR="00224567" w:rsidRDefault="00224567">
      <w:pPr>
        <w:widowControl w:val="0"/>
      </w:pPr>
      <w:r>
        <w:tab/>
        <w:t>Los usuarios de dichas líneas telef</w:t>
      </w:r>
      <w:r>
        <w:t>ó</w:t>
      </w:r>
      <w:r>
        <w:t>nicas surgen de las constancias de fs. 833/851 del sum</w:t>
      </w:r>
      <w:r>
        <w:t>a</w:t>
      </w:r>
      <w:r>
        <w:t xml:space="preserve">rio administrativo de </w:t>
      </w:r>
      <w:smartTag w:uri="urn:schemas-microsoft-com:office:smarttags" w:element="PersonName">
        <w:smartTagPr>
          <w:attr w:name="ProductID" w:val="la S.I"/>
        </w:smartTagPr>
        <w:r>
          <w:t>la S.I</w:t>
        </w:r>
      </w:smartTag>
      <w:r>
        <w:t>.D.E. ordenado por resolución nº 540/00; fs. 910/923, 1624 y 7690/7693 del legajo de in</w:t>
      </w:r>
      <w:r>
        <w:t>s</w:t>
      </w:r>
      <w:r>
        <w:t>trucción suplementaria; fs. 7/9, 369, 3925/3926 y 86938 de los autos principales; fs. 8, 55/86 (en particular, fs. 55 y 86), 5025/5059 y 5203/5245 de la causa nº 1627, como así también de las probanzas mencion</w:t>
      </w:r>
      <w:r>
        <w:t>a</w:t>
      </w:r>
      <w:r>
        <w:t xml:space="preserve">das </w:t>
      </w:r>
      <w:r>
        <w:rPr>
          <w:u w:val="single"/>
        </w:rPr>
        <w:t>ut infra</w:t>
      </w:r>
      <w:r>
        <w:t>.</w:t>
      </w:r>
    </w:p>
    <w:p w:rsidR="00224567" w:rsidRDefault="00224567">
      <w:pPr>
        <w:widowControl w:val="0"/>
      </w:pPr>
      <w:r>
        <w:tab/>
        <w:t>No cabe duda que las líneas telefón</w:t>
      </w:r>
      <w:r>
        <w:t>i</w:t>
      </w:r>
      <w:r>
        <w:t>cas antes mencionadas guardaban estrecha vinculación con la pesquisa llevada a cabo con motivo del atentado.</w:t>
      </w:r>
    </w:p>
    <w:p w:rsidR="00224567" w:rsidRDefault="00224567">
      <w:pPr>
        <w:widowControl w:val="0"/>
      </w:pPr>
      <w:r>
        <w:tab/>
        <w:t>En efecto, en la presente causa el juez instructor dispuso a fs. 455, 470 y 866 la interve</w:t>
      </w:r>
      <w:r>
        <w:t>n</w:t>
      </w:r>
      <w:r>
        <w:t>ción de diez de los teléfonos mencionados en la foja 114; las l</w:t>
      </w:r>
      <w:r>
        <w:t>í</w:t>
      </w:r>
      <w:r>
        <w:t>neas telefónicas de Carlos Alejandro Martínez (361-3735), Alejandro Monjo (501-3147, 501-4774, 501-6806, 502-9960 y 503-1086), Eduardo Telleldín (712-1515 y 757-4193), Carlos Alberto Telleldín (768-0902) y la instalada en el domicilio ocupado por Gha</w:t>
      </w:r>
      <w:r>
        <w:t>s</w:t>
      </w:r>
      <w:r>
        <w:t>san Al Zein (825-7978).</w:t>
      </w:r>
    </w:p>
    <w:p w:rsidR="00224567" w:rsidRDefault="00224567">
      <w:pPr>
        <w:widowControl w:val="0"/>
      </w:pPr>
      <w:r>
        <w:tab/>
        <w:t>Por otro lado, tanto el juez Juan José Galeano como su par Alberto Santa Marina, éste último en la causa nº 1395 del registro del Juzgado Federal nº 1 de Lomas de Zamora, luego nº 1627 (conexa) del juzgado in</w:t>
      </w:r>
      <w:r>
        <w:t>s</w:t>
      </w:r>
      <w:r>
        <w:t>tructor, ordenaron la observación de otras doce líneas t</w:t>
      </w:r>
      <w:r>
        <w:t>e</w:t>
      </w:r>
      <w:r>
        <w:t>lefónicas detalladas en la fs. 114, con posterioridad a las s</w:t>
      </w:r>
      <w:r>
        <w:t>o</w:t>
      </w:r>
      <w:r>
        <w:t>licitudes de conexión emitidas por el subsecretario de inteligencia Juan Carlos Anchézar, según se desprende del s</w:t>
      </w:r>
      <w:r>
        <w:t>i</w:t>
      </w:r>
      <w:r>
        <w:t>guiente detalle:</w:t>
      </w:r>
    </w:p>
    <w:p w:rsidR="00224567" w:rsidRDefault="00224567">
      <w:pPr>
        <w:widowControl w:val="0"/>
      </w:pPr>
      <w:r>
        <w:tab/>
        <w:t>a) 69-5272 de Mohsen Rabbani, resol</w:t>
      </w:r>
      <w:r>
        <w:t>u</w:t>
      </w:r>
      <w:r>
        <w:t xml:space="preserve">ción del juez del 9 de agosto de 1995 (fs. 5 del Legajo de Intervenciones Telefónicas); solicitud de conexión de </w:t>
      </w:r>
      <w:smartTag w:uri="urn:schemas-microsoft-com:office:smarttags" w:element="PersonName">
        <w:smartTagPr>
          <w:attr w:name="ProductID" w:val="la S.I"/>
        </w:smartTagPr>
        <w:r>
          <w:t>la S.I</w:t>
        </w:r>
      </w:smartTag>
      <w:r>
        <w:t>.D.E. del 28 de julio de 1994;</w:t>
      </w:r>
    </w:p>
    <w:p w:rsidR="00224567" w:rsidRDefault="00224567">
      <w:pPr>
        <w:widowControl w:val="0"/>
      </w:pPr>
      <w:r>
        <w:tab/>
        <w:t>b) 240-2182 de Mustafa Lescano, res</w:t>
      </w:r>
      <w:r>
        <w:t>o</w:t>
      </w:r>
      <w:r>
        <w:t xml:space="preserve">lución del juez del 1º de septiembre de 1994 (fs. 9 de la causa nº 1627); solicitud de conexión de </w:t>
      </w:r>
      <w:smartTag w:uri="urn:schemas-microsoft-com:office:smarttags" w:element="PersonName">
        <w:smartTagPr>
          <w:attr w:name="ProductID" w:val="la S.I"/>
        </w:smartTagPr>
        <w:r>
          <w:t>la S.I</w:t>
        </w:r>
      </w:smartTag>
      <w:r>
        <w:t>.D.E. del 18 de julio de 1994;</w:t>
      </w:r>
    </w:p>
    <w:p w:rsidR="00224567" w:rsidRDefault="00224567">
      <w:pPr>
        <w:widowControl w:val="0"/>
      </w:pPr>
      <w:r>
        <w:tab/>
        <w:t>c) 447-3646 de Alejandro Monjo, res</w:t>
      </w:r>
      <w:r>
        <w:t>o</w:t>
      </w:r>
      <w:r>
        <w:t xml:space="preserve">lución del juez del 8 de agosto de 1994 (fs. 2233 de los autos principales); solicitud de conexión de </w:t>
      </w:r>
      <w:smartTag w:uri="urn:schemas-microsoft-com:office:smarttags" w:element="PersonName">
        <w:smartTagPr>
          <w:attr w:name="ProductID" w:val="la S.I"/>
        </w:smartTagPr>
        <w:r>
          <w:t>la S.I</w:t>
        </w:r>
      </w:smartTag>
      <w:r>
        <w:t>.D.E. del 26 de julio de 1994;</w:t>
      </w:r>
    </w:p>
    <w:p w:rsidR="00224567" w:rsidRDefault="00224567">
      <w:pPr>
        <w:widowControl w:val="0"/>
      </w:pPr>
      <w:r>
        <w:tab/>
        <w:t>d) 582-5771 de Ricardo Horacio Elía, resolución del juez del 9 de agosto de 1995 (fs. 5 del l</w:t>
      </w:r>
      <w:r>
        <w:t>e</w:t>
      </w:r>
      <w:r>
        <w:t>gajo de intervenciones telefónicas) y del 15 de f</w:t>
      </w:r>
      <w:r>
        <w:t>e</w:t>
      </w:r>
      <w:r>
        <w:t>brero de 1996 (fs. 181 del mencionado legajo); solicitud de con</w:t>
      </w:r>
      <w:r>
        <w:t>e</w:t>
      </w:r>
      <w:r>
        <w:t xml:space="preserve">xión de </w:t>
      </w:r>
      <w:smartTag w:uri="urn:schemas-microsoft-com:office:smarttags" w:element="PersonName">
        <w:smartTagPr>
          <w:attr w:name="ProductID" w:val="la S.I"/>
        </w:smartTagPr>
        <w:r>
          <w:t>la S.I</w:t>
        </w:r>
      </w:smartTag>
      <w:r>
        <w:t>.D.E. del 18 de julio de 1994;</w:t>
      </w:r>
    </w:p>
    <w:p w:rsidR="00224567" w:rsidRDefault="00224567">
      <w:pPr>
        <w:widowControl w:val="0"/>
      </w:pPr>
      <w:r>
        <w:tab/>
        <w:t>e) 583-1215 de Mohammad Reza Jav</w:t>
      </w:r>
      <w:r>
        <w:t>a</w:t>
      </w:r>
      <w:r>
        <w:t xml:space="preserve">di-nia, resolución del juez del 20 de septiembre de 1994 (fs. 3928 de los autos principales); solicitud de conexión de </w:t>
      </w:r>
      <w:smartTag w:uri="urn:schemas-microsoft-com:office:smarttags" w:element="PersonName">
        <w:smartTagPr>
          <w:attr w:name="ProductID" w:val="la S.I"/>
        </w:smartTagPr>
        <w:r>
          <w:t>la S.I</w:t>
        </w:r>
      </w:smartTag>
      <w:r>
        <w:t>.D.E. del 18 de julio de 1994;</w:t>
      </w:r>
    </w:p>
    <w:p w:rsidR="00224567" w:rsidRDefault="00224567">
      <w:pPr>
        <w:widowControl w:val="0"/>
      </w:pPr>
      <w:r>
        <w:tab/>
        <w:t xml:space="preserve">f) 611-7744 de </w:t>
      </w:r>
      <w:r>
        <w:rPr>
          <w:lang w:val="es-ES_tradnl"/>
        </w:rPr>
        <w:t>Mohamed Hamze</w:t>
      </w:r>
      <w:r>
        <w:t>, resol</w:t>
      </w:r>
      <w:r>
        <w:t>u</w:t>
      </w:r>
      <w:r>
        <w:t xml:space="preserve">ción del juez del 9 de agosto de 1995 (fs. 5 del legajo de intervenciones telefónicas); solicitud de conexión de </w:t>
      </w:r>
      <w:smartTag w:uri="urn:schemas-microsoft-com:office:smarttags" w:element="PersonName">
        <w:smartTagPr>
          <w:attr w:name="ProductID" w:val="la S.I"/>
        </w:smartTagPr>
        <w:r>
          <w:t>la S.I</w:t>
        </w:r>
      </w:smartTag>
      <w:r>
        <w:t>.D.E. del 18 de julio de 1994;</w:t>
      </w:r>
    </w:p>
    <w:p w:rsidR="00224567" w:rsidRDefault="00224567">
      <w:pPr>
        <w:widowControl w:val="0"/>
      </w:pPr>
      <w:r>
        <w:tab/>
        <w:t xml:space="preserve">g) 774-3636 de </w:t>
      </w:r>
      <w:r>
        <w:rPr>
          <w:lang w:val="es-ES_tradnl"/>
        </w:rPr>
        <w:t>Majid Parvas</w:t>
      </w:r>
      <w:r>
        <w:t>, resol</w:t>
      </w:r>
      <w:r>
        <w:t>u</w:t>
      </w:r>
      <w:r>
        <w:t xml:space="preserve">ción del juez del 20 de septiembre de 1994 (fs. 3928 de los autos principales); solicitud de conexión de </w:t>
      </w:r>
      <w:smartTag w:uri="urn:schemas-microsoft-com:office:smarttags" w:element="PersonName">
        <w:smartTagPr>
          <w:attr w:name="ProductID" w:val="la S.I"/>
        </w:smartTagPr>
        <w:r>
          <w:t>la S.I</w:t>
        </w:r>
      </w:smartTag>
      <w:r>
        <w:t>.D.E. del 18 de j</w:t>
      </w:r>
      <w:r>
        <w:t>u</w:t>
      </w:r>
      <w:r>
        <w:t>lio de 1994;</w:t>
      </w:r>
    </w:p>
    <w:p w:rsidR="00224567" w:rsidRDefault="00224567">
      <w:pPr>
        <w:widowControl w:val="0"/>
      </w:pPr>
      <w:r>
        <w:tab/>
        <w:t>h) 806-7539 de Sergio Nantillo, res</w:t>
      </w:r>
      <w:r>
        <w:t>o</w:t>
      </w:r>
      <w:r>
        <w:t xml:space="preserve">lución del juez del 2 de enero de 1996 (fs. 155 del legajo de intervenciones telefónicas); solicitud de conexión de </w:t>
      </w:r>
      <w:smartTag w:uri="urn:schemas-microsoft-com:office:smarttags" w:element="PersonName">
        <w:smartTagPr>
          <w:attr w:name="ProductID" w:val="la S.I"/>
        </w:smartTagPr>
        <w:r>
          <w:t>la S.I</w:t>
        </w:r>
      </w:smartTag>
      <w:r>
        <w:t>.D.E. del 21 de julio de 1994;</w:t>
      </w:r>
    </w:p>
    <w:p w:rsidR="00224567" w:rsidRDefault="00224567">
      <w:pPr>
        <w:widowControl w:val="0"/>
      </w:pPr>
      <w:r>
        <w:tab/>
        <w:t xml:space="preserve">i) 831-0689 de Reza Harati, resolución del juez del 1º de septiembre de 1994 (fs. 6 de la causa nº 1627) y del 6 de junio de 1996 (fs. 331 del legajo de intervenciones telefónicas); solicitud de conexión de </w:t>
      </w:r>
      <w:smartTag w:uri="urn:schemas-microsoft-com:office:smarttags" w:element="PersonName">
        <w:smartTagPr>
          <w:attr w:name="ProductID" w:val="la S.I"/>
        </w:smartTagPr>
        <w:r>
          <w:t>la S.I</w:t>
        </w:r>
      </w:smartTag>
      <w:r>
        <w:t>.D.E. del 18 de julio de 1994;</w:t>
      </w:r>
    </w:p>
    <w:p w:rsidR="00224567" w:rsidRDefault="00224567">
      <w:pPr>
        <w:widowControl w:val="0"/>
      </w:pPr>
      <w:r>
        <w:br w:type="page"/>
      </w:r>
      <w:r>
        <w:tab/>
        <w:t xml:space="preserve">j) 902-6361 de </w:t>
      </w:r>
      <w:r>
        <w:rPr>
          <w:lang w:val="es-ES_tradnl"/>
        </w:rPr>
        <w:t>Nasser Rashmany</w:t>
      </w:r>
      <w:r>
        <w:t>, res</w:t>
      </w:r>
      <w:r>
        <w:t>o</w:t>
      </w:r>
      <w:r>
        <w:t xml:space="preserve">lución del juez del 1º de septiembre de 1994 (fs. 6 de la causa nº 1627); solicitud de conexión de </w:t>
      </w:r>
      <w:smartTag w:uri="urn:schemas-microsoft-com:office:smarttags" w:element="PersonName">
        <w:smartTagPr>
          <w:attr w:name="ProductID" w:val="la S.I"/>
        </w:smartTagPr>
        <w:r>
          <w:t>la S.I</w:t>
        </w:r>
      </w:smartTag>
      <w:r>
        <w:t>.D.E. del 18 de julio de 1994;</w:t>
      </w:r>
    </w:p>
    <w:p w:rsidR="00224567" w:rsidRDefault="00224567">
      <w:pPr>
        <w:widowControl w:val="0"/>
      </w:pPr>
      <w:r>
        <w:tab/>
        <w:t xml:space="preserve">k) 963-2043 de </w:t>
      </w:r>
      <w:r>
        <w:rPr>
          <w:lang w:val="es-ES_tradnl"/>
        </w:rPr>
        <w:t>Imanian Khosrow</w:t>
      </w:r>
      <w:r>
        <w:t>, res</w:t>
      </w:r>
      <w:r>
        <w:t>o</w:t>
      </w:r>
      <w:r>
        <w:t>lución del juez del 13 de septiembre de 1996 (fs. 419 del legajo de intervenciones telefónicas); solicitud de con</w:t>
      </w:r>
      <w:r>
        <w:t>e</w:t>
      </w:r>
      <w:r>
        <w:t xml:space="preserve">xión de </w:t>
      </w:r>
      <w:smartTag w:uri="urn:schemas-microsoft-com:office:smarttags" w:element="PersonName">
        <w:smartTagPr>
          <w:attr w:name="ProductID" w:val="la S.I"/>
        </w:smartTagPr>
        <w:r>
          <w:t>la S.I</w:t>
        </w:r>
      </w:smartTag>
      <w:r>
        <w:t>.D.E. del 19 de julio de 1994 y,</w:t>
      </w:r>
    </w:p>
    <w:p w:rsidR="00224567" w:rsidRDefault="00224567">
      <w:pPr>
        <w:widowControl w:val="0"/>
      </w:pPr>
      <w:r>
        <w:tab/>
        <w:t>l) 963-5662 de Carlos Hernán Pala</w:t>
      </w:r>
      <w:r>
        <w:t>z</w:t>
      </w:r>
      <w:r>
        <w:t xml:space="preserve">zo, resolución del juez del 22 de diciembre de 1994 (fs. 17 de la causa nº 1627); solicitud de conexión de </w:t>
      </w:r>
      <w:smartTag w:uri="urn:schemas-microsoft-com:office:smarttags" w:element="PersonName">
        <w:smartTagPr>
          <w:attr w:name="ProductID" w:val="la S.I"/>
        </w:smartTagPr>
        <w:r>
          <w:t>la S.I</w:t>
        </w:r>
      </w:smartTag>
      <w:r>
        <w:t>.D.E. del 26 de julio de 1994.</w:t>
      </w:r>
    </w:p>
    <w:p w:rsidR="00224567" w:rsidRDefault="00224567">
      <w:pPr>
        <w:widowControl w:val="0"/>
      </w:pPr>
      <w:r>
        <w:tab/>
        <w:t>Hasta aquí resulta incuestionable que veint</w:t>
      </w:r>
      <w:r>
        <w:t>i</w:t>
      </w:r>
      <w:r>
        <w:t>dós de las líneas telefónicas listadas en la fs. 114 se vinculaban, de alguna manera, a la presente investig</w:t>
      </w:r>
      <w:r>
        <w:t>a</w:t>
      </w:r>
      <w:r>
        <w:t>ción, toda vez que o bien el Dr. Juan José Galeano en las prese</w:t>
      </w:r>
      <w:r>
        <w:t>n</w:t>
      </w:r>
      <w:r>
        <w:t>tes actuaciones o el Dr. Alberto Santa Marina en la conexa, en algún momento de la pesquisa ordenaron interv</w:t>
      </w:r>
      <w:r>
        <w:t>e</w:t>
      </w:r>
      <w:r>
        <w:t>nirlas.</w:t>
      </w:r>
    </w:p>
    <w:p w:rsidR="00224567" w:rsidRDefault="00224567">
      <w:pPr>
        <w:widowControl w:val="0"/>
      </w:pPr>
      <w:r>
        <w:tab/>
        <w:t xml:space="preserve">De los treinta y dos abonados de la fs. 114, restan diez líneas intervenidas a pedido de </w:t>
      </w:r>
      <w:smartTag w:uri="urn:schemas-microsoft-com:office:smarttags" w:element="PersonName">
        <w:smartTagPr>
          <w:attr w:name="ProductID" w:val="la S.I"/>
        </w:smartTagPr>
        <w:r>
          <w:t>la S.I</w:t>
        </w:r>
      </w:smartTag>
      <w:r>
        <w:t>.D.E., sin mediar orden judicial, de las que seis de ellas, por sus usuarios, se pudo determinar que efectiv</w:t>
      </w:r>
      <w:r>
        <w:t>a</w:t>
      </w:r>
      <w:r>
        <w:t>mente corre</w:t>
      </w:r>
      <w:r>
        <w:t>s</w:t>
      </w:r>
      <w:r>
        <w:t>ponden a pistas investigadas en la causa.</w:t>
      </w:r>
    </w:p>
    <w:p w:rsidR="00224567" w:rsidRDefault="00224567">
      <w:pPr>
        <w:widowControl w:val="0"/>
      </w:pPr>
      <w:r>
        <w:tab/>
        <w:t>Así, se conectó el teléfono 67-0325 que, al igual que el citado 963-2043, sería utilizado por Im</w:t>
      </w:r>
      <w:r>
        <w:t>a</w:t>
      </w:r>
      <w:r>
        <w:t>nian Khosrow (ver borrador de usuarios de los teléfonos de la fs. 114, obrante a fs. 291 del sumario administrat</w:t>
      </w:r>
      <w:r>
        <w:t>i</w:t>
      </w:r>
      <w:r>
        <w:t>vo S.I.D.E.).</w:t>
      </w:r>
    </w:p>
    <w:p w:rsidR="00224567" w:rsidRDefault="00224567">
      <w:pPr>
        <w:widowControl w:val="0"/>
      </w:pPr>
      <w:r>
        <w:tab/>
        <w:t>También fue objeto de observación la línea 767-2525 de Roberto César Rebollo, quien la época del atentado se desempeñaba como herrero en la firma G.P.I., contratada para efectuar refacciones en el edif</w:t>
      </w:r>
      <w:r>
        <w:t>i</w:t>
      </w:r>
      <w:r>
        <w:t>cio de Pasteur 633 (cónf. su declaración testimonial, i</w:t>
      </w:r>
      <w:r>
        <w:t>n</w:t>
      </w:r>
      <w:r>
        <w:t>forme de titularidad a fs. 912 del legajo de instrucción suplementaria y fs. 71.481/71.482 de los autos princip</w:t>
      </w:r>
      <w:r>
        <w:t>a</w:t>
      </w:r>
      <w:r>
        <w:t>les, como así ta</w:t>
      </w:r>
      <w:r>
        <w:t>m</w:t>
      </w:r>
      <w:r>
        <w:t xml:space="preserve">bién fs. 837 del sumario de </w:t>
      </w:r>
      <w:smartTag w:uri="urn:schemas-microsoft-com:office:smarttags" w:element="PersonName">
        <w:smartTagPr>
          <w:attr w:name="ProductID" w:val="la S.I"/>
        </w:smartTagPr>
        <w:r>
          <w:t>la S.I</w:t>
        </w:r>
      </w:smartTag>
      <w:r>
        <w:t>.D.E.). El nombrado había terminado sus tareas el último día lab</w:t>
      </w:r>
      <w:r>
        <w:t>o</w:t>
      </w:r>
      <w:r>
        <w:t>rable anterior al 18 de julio y, según reconoció en el d</w:t>
      </w:r>
      <w:r>
        <w:t>e</w:t>
      </w:r>
      <w:r>
        <w:t xml:space="preserve">bate, fue interrogado en su taller por dos agentes de </w:t>
      </w:r>
      <w:smartTag w:uri="urn:schemas-microsoft-com:office:smarttags" w:element="PersonName">
        <w:smartTagPr>
          <w:attr w:name="ProductID" w:val="la S.I"/>
        </w:smartTagPr>
        <w:r>
          <w:t>la S.I</w:t>
        </w:r>
      </w:smartTag>
      <w:r>
        <w:t xml:space="preserve">.D.E. </w:t>
      </w:r>
    </w:p>
    <w:p w:rsidR="00224567" w:rsidRDefault="00224567">
      <w:pPr>
        <w:widowControl w:val="0"/>
      </w:pPr>
      <w:r>
        <w:tab/>
        <w:t xml:space="preserve">La línea 612-1191, según fs. 837 del citado sumario de </w:t>
      </w:r>
      <w:smartTag w:uri="urn:schemas-microsoft-com:office:smarttags" w:element="PersonName">
        <w:smartTagPr>
          <w:attr w:name="ProductID" w:val="la S.I"/>
        </w:smartTagPr>
        <w:r>
          <w:t>la S.I</w:t>
        </w:r>
      </w:smartTag>
      <w:r>
        <w:t>.D.E. y fs. 2093 del legajo nº 201, pertenecía a Alejandro y Karina Sain, vinculados é</w:t>
      </w:r>
      <w:r>
        <w:t>s</w:t>
      </w:r>
      <w:r>
        <w:t>tos a un supuesto integrante del Grupo Hezbollah y a la vez cercano del ex consejero cultural Mohsen Rabbani, de nombre Samuel Salman El Reda Reda (cónf. numerosos info</w:t>
      </w:r>
      <w:r>
        <w:t>r</w:t>
      </w:r>
      <w:r>
        <w:t>mes de intelige</w:t>
      </w:r>
      <w:r>
        <w:t>n</w:t>
      </w:r>
      <w:r>
        <w:t>cia agregados a los legajos nº 201 y 313).</w:t>
      </w:r>
    </w:p>
    <w:p w:rsidR="00224567" w:rsidRDefault="00224567">
      <w:pPr>
        <w:widowControl w:val="0"/>
      </w:pPr>
      <w:r>
        <w:tab/>
        <w:t xml:space="preserve">El 952-2598, perteneciente a Hassan Zeitoun, también estaba relacionado con la investigación del grupo de El Reda Reda y la familia Sain (ver fs. 837 del sumario de </w:t>
      </w:r>
      <w:smartTag w:uri="urn:schemas-microsoft-com:office:smarttags" w:element="PersonName">
        <w:smartTagPr>
          <w:attr w:name="ProductID" w:val="la S.I"/>
        </w:smartTagPr>
        <w:r>
          <w:t>la S.I</w:t>
        </w:r>
      </w:smartTag>
      <w:r>
        <w:t>.D.E. y fs. 2262 de la causa nº 1627).</w:t>
      </w:r>
    </w:p>
    <w:p w:rsidR="00224567" w:rsidRDefault="00224567">
      <w:pPr>
        <w:widowControl w:val="0"/>
      </w:pPr>
      <w:r>
        <w:tab/>
        <w:t xml:space="preserve">El teléfono 812-5377 correspondía al Departamento Operacional y Técnico de </w:t>
      </w:r>
      <w:smartTag w:uri="urn:schemas-microsoft-com:office:smarttags" w:element="PersonName">
        <w:smartTagPr>
          <w:attr w:name="ProductID" w:val="la Direcci￳n"/>
        </w:smartTagPr>
        <w:r>
          <w:t>la Dirección</w:t>
        </w:r>
      </w:smartTag>
      <w:r>
        <w:t xml:space="preserve"> de Co</w:t>
      </w:r>
      <w:r>
        <w:t>n</w:t>
      </w:r>
      <w:r>
        <w:t>traint</w:t>
      </w:r>
      <w:r>
        <w:t>e</w:t>
      </w:r>
      <w:r>
        <w:t xml:space="preserve">ligencia (ver fs. 837 del sumario de </w:t>
      </w:r>
      <w:smartTag w:uri="urn:schemas-microsoft-com:office:smarttags" w:element="PersonName">
        <w:smartTagPr>
          <w:attr w:name="ProductID" w:val="la S.I"/>
        </w:smartTagPr>
        <w:r>
          <w:t>la S.I</w:t>
        </w:r>
      </w:smartTag>
      <w:r>
        <w:t>.D.E.). En base a ese dato y a los dichos del testigo Horacio A</w:t>
      </w:r>
      <w:r>
        <w:t>n</w:t>
      </w:r>
      <w:r>
        <w:t>tonio Stiuso en el debate, se determinó que la interve</w:t>
      </w:r>
      <w:r>
        <w:t>n</w:t>
      </w:r>
      <w:r>
        <w:t>ción de marras tenía por objeto controlar a Nasser Ras</w:t>
      </w:r>
      <w:r>
        <w:t>h</w:t>
      </w:r>
      <w:r>
        <w:t>many, persona de origen musulmán reclutada por el servicio de inteligencia en la investigación del atentado. Cabe r</w:t>
      </w:r>
      <w:r>
        <w:t>e</w:t>
      </w:r>
      <w:r>
        <w:t>-</w:t>
      </w:r>
    </w:p>
    <w:p w:rsidR="00224567" w:rsidRDefault="00224567">
      <w:pPr>
        <w:widowControl w:val="0"/>
      </w:pPr>
      <w:r>
        <w:br w:type="page"/>
        <w:t>cordar que el nombrado utilizaba la ya mencionada línea 902-6361.</w:t>
      </w:r>
    </w:p>
    <w:p w:rsidR="00224567" w:rsidRDefault="00224567">
      <w:pPr>
        <w:widowControl w:val="0"/>
      </w:pPr>
      <w:r>
        <w:tab/>
        <w:t xml:space="preserve">Otro de los teléfonos intervenidos sin respaldo judicial es el 791-2280. Según las constancias del sumario de </w:t>
      </w:r>
      <w:smartTag w:uri="urn:schemas-microsoft-com:office:smarttags" w:element="PersonName">
        <w:smartTagPr>
          <w:attr w:name="ProductID" w:val="la S.I"/>
        </w:smartTagPr>
        <w:r>
          <w:t>la S.I</w:t>
        </w:r>
      </w:smartTag>
      <w:r>
        <w:t xml:space="preserve">.D.E., dicho número telefónico fue posteriormente rectificado por el 791-2880 (ver fs. 837 del sumario de </w:t>
      </w:r>
      <w:smartTag w:uri="urn:schemas-microsoft-com:office:smarttags" w:element="PersonName">
        <w:smartTagPr>
          <w:attr w:name="ProductID" w:val="la S.I"/>
        </w:smartTagPr>
        <w:r>
          <w:t>la S.I</w:t>
        </w:r>
      </w:smartTag>
      <w:r>
        <w:t>.D.E. y solicitud de conexión nº 2051, r</w:t>
      </w:r>
      <w:r>
        <w:t>e</w:t>
      </w:r>
      <w:r>
        <w:t>servada en Secretaría), que funcionaba en la calle Gaspar Campos 1012, P.B., localidad de Vicente López. El inmueble en cuestión fue alquilado por el entonces embaj</w:t>
      </w:r>
      <w:r>
        <w:t>a</w:t>
      </w:r>
      <w:r>
        <w:t xml:space="preserve">dor de </w:t>
      </w:r>
      <w:smartTag w:uri="urn:schemas-microsoft-com:office:smarttags" w:element="PersonName">
        <w:smartTagPr>
          <w:attr w:name="ProductID" w:val="la Rep￺blica Isl￡mica"/>
        </w:smartTagPr>
        <w:r>
          <w:t>la República Islámica</w:t>
        </w:r>
      </w:smartTag>
      <w:r>
        <w:t xml:space="preserve"> de Irán en nuestro país, Hadi Soleimanpour (ver fs. 8214 del legajo de instrucción s</w:t>
      </w:r>
      <w:r>
        <w:t>u</w:t>
      </w:r>
      <w:r>
        <w:t>plementaria y fs. 187 del mencionado sumario administrat</w:t>
      </w:r>
      <w:r>
        <w:t>i</w:t>
      </w:r>
      <w:r>
        <w:t>vo).</w:t>
      </w:r>
    </w:p>
    <w:p w:rsidR="00224567" w:rsidRDefault="00224567">
      <w:pPr>
        <w:widowControl w:val="0"/>
      </w:pPr>
      <w:r>
        <w:tab/>
        <w:t>Como se dijo, la prueba del debate acreditó que la totalidad de las intervenciones telefón</w:t>
      </w:r>
      <w:r>
        <w:t>i</w:t>
      </w:r>
      <w:r>
        <w:t>cas mencionadas en la foja 114 no le era extraña al juez instructor o, al menos, no pudo pasarle desaperc</w:t>
      </w:r>
      <w:r>
        <w:t>i</w:t>
      </w:r>
      <w:r>
        <w:t>bida.</w:t>
      </w:r>
    </w:p>
    <w:p w:rsidR="00224567" w:rsidRDefault="00224567">
      <w:pPr>
        <w:widowControl w:val="0"/>
      </w:pPr>
      <w:r>
        <w:tab/>
        <w:t xml:space="preserve">En efecto, tanto Horacio Antonio Stiuso como Jorge Luis Lucas, agentes de </w:t>
      </w:r>
      <w:smartTag w:uri="urn:schemas-microsoft-com:office:smarttags" w:element="PersonName">
        <w:smartTagPr>
          <w:attr w:name="ProductID" w:val="la S.I"/>
        </w:smartTagPr>
        <w:r>
          <w:t>la S.I</w:t>
        </w:r>
      </w:smartTag>
      <w:r>
        <w:t>.D.E. a cargo de la investigación, afirmaron que inicialmente el contacto con el juez y su personal fue permanente y estr</w:t>
      </w:r>
      <w:r>
        <w:t>e</w:t>
      </w:r>
      <w:r>
        <w:t>cho y que a pedido de éste le entregaron un listado de “blancos” o sospechosos, junto con las líneas telefónicas cuya observación se requería para su seguimiento. En tal sentido, ambos recordaron que algunos de los teléfonos i</w:t>
      </w:r>
      <w:r>
        <w:t>n</w:t>
      </w:r>
      <w:r>
        <w:t>cluidos en la fs. 114 se correspondían con las investig</w:t>
      </w:r>
      <w:r>
        <w:t>a</w:t>
      </w:r>
      <w:r>
        <w:t>ciones derivadas de los “blancos” que oportunamente se aportaron al juez.</w:t>
      </w:r>
    </w:p>
    <w:p w:rsidR="00224567" w:rsidRDefault="00224567">
      <w:pPr>
        <w:widowControl w:val="0"/>
      </w:pPr>
      <w:r>
        <w:tab/>
        <w:t>Además, ambos testigos describieron la mecánica de las intervenciones en forma conteste, afirma</w:t>
      </w:r>
      <w:r>
        <w:t>n</w:t>
      </w:r>
      <w:r>
        <w:t xml:space="preserve">do que se requería la autorización al juez, casi siempre, en forma verbal y, si el caso era urgente, se adelantaba a </w:t>
      </w:r>
      <w:smartTag w:uri="urn:schemas-microsoft-com:office:smarttags" w:element="PersonName">
        <w:smartTagPr>
          <w:attr w:name="ProductID" w:val="la Direcci￳n"/>
        </w:smartTagPr>
        <w:r>
          <w:t>la Dirección</w:t>
        </w:r>
      </w:smartTag>
      <w:r>
        <w:t xml:space="preserve"> de Observaciones Judiciales dicho mandato. Luego, el juez remitía a esa dependencia las correspo</w:t>
      </w:r>
      <w:r>
        <w:t>n</w:t>
      </w:r>
      <w:r>
        <w:t>dientes ó</w:t>
      </w:r>
      <w:r>
        <w:t>r</w:t>
      </w:r>
      <w:r>
        <w:t>denes escritas.</w:t>
      </w:r>
    </w:p>
    <w:p w:rsidR="00224567" w:rsidRDefault="00224567">
      <w:pPr>
        <w:widowControl w:val="0"/>
      </w:pPr>
      <w:r>
        <w:tab/>
        <w:t>En igual sentido, corresponde destacar la nota agregada a fs. 2818, en la que el ex comisario Carlos Antonio Castañeda requirió el 22 de agosto de 1994 la desconexión de la totalidad de los números cuya inte</w:t>
      </w:r>
      <w:r>
        <w:t>r</w:t>
      </w:r>
      <w:r>
        <w:t xml:space="preserve">vención éste había solicitado en la constancia de fs. </w:t>
      </w:r>
    </w:p>
    <w:p w:rsidR="00224567" w:rsidRDefault="00224567">
      <w:pPr>
        <w:widowControl w:val="0"/>
      </w:pPr>
      <w:r>
        <w:br w:type="page"/>
        <w:t>114, a excepción del abonado 768-0902 de Carlos Alberto Telle</w:t>
      </w:r>
      <w:r>
        <w:t>l</w:t>
      </w:r>
      <w:r>
        <w:t>dín.</w:t>
      </w:r>
    </w:p>
    <w:p w:rsidR="00224567" w:rsidRDefault="00224567">
      <w:pPr>
        <w:widowControl w:val="0"/>
      </w:pPr>
      <w:r>
        <w:tab/>
        <w:t>En esa nota, dirigida al magistrado instru</w:t>
      </w:r>
      <w:r>
        <w:t>c</w:t>
      </w:r>
      <w:r>
        <w:t>tor “a los efectos de informar el resultado de las escuchas telefónicas oportunamente ordenadas por ese tr</w:t>
      </w:r>
      <w:r>
        <w:t>i</w:t>
      </w:r>
      <w:r>
        <w:t>bunal”, se indicó que su producido arrojó resultado neg</w:t>
      </w:r>
      <w:r>
        <w:t>a</w:t>
      </w:r>
      <w:r>
        <w:t>tivo.</w:t>
      </w:r>
    </w:p>
    <w:p w:rsidR="00224567" w:rsidRDefault="00224567">
      <w:pPr>
        <w:widowControl w:val="0"/>
      </w:pPr>
      <w:r>
        <w:tab/>
        <w:t>Frente a ello, resulta llamativo que el juez instructor omitiera, en el proveído de fs. 2826, considerar lo informado en la nota en cuestión; máxime cuando en dicho decreto el magistrado se expidió expres</w:t>
      </w:r>
      <w:r>
        <w:t>a</w:t>
      </w:r>
      <w:r>
        <w:t xml:space="preserve">mente con relación a lo señalado por </w:t>
      </w:r>
      <w:smartTag w:uri="urn:schemas-microsoft-com:office:smarttags" w:element="PersonName">
        <w:smartTagPr>
          <w:attr w:name="ProductID" w:val="la S.I"/>
        </w:smartTagPr>
        <w:r>
          <w:t>la S.I</w:t>
        </w:r>
      </w:smartTag>
      <w:r>
        <w:t>.D.E. ese mi</w:t>
      </w:r>
      <w:r>
        <w:t>s</w:t>
      </w:r>
      <w:r>
        <w:t>mo día, respecto del producido de otras intervenciones tel</w:t>
      </w:r>
      <w:r>
        <w:t>e</w:t>
      </w:r>
      <w:r>
        <w:t>fónicas dispuestas en la causa.</w:t>
      </w:r>
    </w:p>
    <w:p w:rsidR="00224567" w:rsidRDefault="00224567">
      <w:pPr>
        <w:pStyle w:val="Textoindependiente"/>
        <w:spacing w:line="600" w:lineRule="auto"/>
      </w:pPr>
      <w:r>
        <w:tab/>
        <w:t>Cómo colofón de todo lo expuesto, c</w:t>
      </w:r>
      <w:r>
        <w:t>o</w:t>
      </w:r>
      <w:r>
        <w:t>rresponde dejar sentado que muchos de los abonados telefónicos co</w:t>
      </w:r>
      <w:r>
        <w:t>n</w:t>
      </w:r>
      <w:r>
        <w:t>signados en la fs. 114, como así también sus usu</w:t>
      </w:r>
      <w:r>
        <w:t>a</w:t>
      </w:r>
      <w:r>
        <w:t>rios, vale decir, en el inicio de la pesquisa, figuraron en la resol</w:t>
      </w:r>
      <w:r>
        <w:t>u</w:t>
      </w:r>
      <w:r>
        <w:t>ción del juez instructor dictada el 5 de marzo de 2003, en algunos casos, para requerirse su captura intern</w:t>
      </w:r>
      <w:r>
        <w:t>a</w:t>
      </w:r>
      <w:r>
        <w:t>cional y, en otros, por estar vinculados a personas sospechadas de actividades terroristas. Tales, las situaciones de Aleja</w:t>
      </w:r>
      <w:r>
        <w:t>n</w:t>
      </w:r>
      <w:r>
        <w:t>dro y Karina Sain, Carlos Hernán Palazzo, Mustafa Lescano, Ricardo Horacio Elía, Mohammad Reza Javadi-nia, Majid Pa</w:t>
      </w:r>
      <w:r>
        <w:t>r</w:t>
      </w:r>
      <w:r>
        <w:t>vas, Imanian Khosrow, Mohsen Rabbani y Hadi Soleimanpour (ver 113.468/113.671). Ello, sin dejar de señalar que se ignora el destino del producido de dichas escuchas, confo</w:t>
      </w:r>
      <w:r>
        <w:t>r</w:t>
      </w:r>
      <w:r>
        <w:t>me se señala en el siguiente apart</w:t>
      </w:r>
      <w:r>
        <w:t>a</w:t>
      </w:r>
      <w:r>
        <w:t>do.</w:t>
      </w:r>
    </w:p>
    <w:p w:rsidR="00224567" w:rsidRDefault="00224567">
      <w:pPr>
        <w:widowControl w:val="0"/>
      </w:pPr>
      <w:r>
        <w:tab/>
      </w:r>
      <w:r>
        <w:rPr>
          <w:b/>
          <w:bCs/>
        </w:rPr>
        <w:t>A.3.b)</w:t>
      </w:r>
      <w:r>
        <w:t xml:space="preserve"> Tras reiterados e insistentes reclamos de este tribunal (ver fs. 7650/7651, 7743/7744, 7775/7777, 8493/8494 y 8504/8510 del legajo de instrucción suplement</w:t>
      </w:r>
      <w:r>
        <w:t>a</w:t>
      </w:r>
      <w:r>
        <w:t>ria) en procura de obtener información acerca de las intervenciones telefónicas de las líneas consignadas en la fs. 114, dispuestas sin orden judicial o con ant</w:t>
      </w:r>
      <w:r>
        <w:t>e</w:t>
      </w:r>
      <w:r>
        <w:t>rioridad a que un magistrado las dispusiera, como así ta</w:t>
      </w:r>
      <w:r>
        <w:t>m</w:t>
      </w:r>
      <w:r>
        <w:t xml:space="preserve">bién de la suerte que corrieron las cintas de audio así obtenidas, </w:t>
      </w:r>
      <w:smartTag w:uri="urn:schemas-microsoft-com:office:smarttags" w:element="PersonName">
        <w:smartTagPr>
          <w:attr w:name="ProductID" w:val="la Secretar￭a"/>
        </w:smartTagPr>
        <w:r>
          <w:t>la Secretaría</w:t>
        </w:r>
      </w:smartTag>
      <w:r>
        <w:t xml:space="preserve"> de Inteligencia de Estado recon</w:t>
      </w:r>
      <w:r>
        <w:t>o</w:t>
      </w:r>
      <w:r>
        <w:t>ció, finalmente, que las veintitrés líneas telefónicas m</w:t>
      </w:r>
      <w:r>
        <w:t>o</w:t>
      </w:r>
      <w:r>
        <w:t>tivo de requ</w:t>
      </w:r>
      <w:r>
        <w:t>e</w:t>
      </w:r>
      <w:r>
        <w:t>rimiento “fueron intervenidas por disposición del Sr. juez actuante en la instrucción de la causa nº 1156, desconociendo esta jurisdicción toda circunstancia relativa a las pertinentes constancias que sobre tal e</w:t>
      </w:r>
      <w:r>
        <w:t>x</w:t>
      </w:r>
      <w:r>
        <w:t>tremo pudieran obrar en el expediente”. Agregó, en ese o</w:t>
      </w:r>
      <w:r>
        <w:t>r</w:t>
      </w:r>
      <w:r>
        <w:t>den, que las intervenciones “...originariamente obedeci</w:t>
      </w:r>
      <w:r>
        <w:t>e</w:t>
      </w:r>
      <w:r>
        <w:t>ron a iniciativas de distintos organismos intervinientes en la investigación judicial y que, a la postre, fueron ordenadas por el juez instructor (...) en el marco de la por entonces incipiente cooperación instaurada como cons</w:t>
      </w:r>
      <w:r>
        <w:t>e</w:t>
      </w:r>
      <w:r>
        <w:t xml:space="preserve">cuencia del amplio pedido judicial formulado por el juez instructor con fecha 18 de julio de </w:t>
      </w:r>
      <w:smartTag w:uri="urn:schemas-microsoft-com:office:smarttags" w:element="metricconverter">
        <w:smartTagPr>
          <w:attr w:name="ProductID" w:val="1994”"/>
        </w:smartTagPr>
        <w:r>
          <w:t>1994”</w:t>
        </w:r>
      </w:smartTag>
      <w:r>
        <w:t>; circunstancia que “se compadece con el hecho de la explotación de int</w:t>
      </w:r>
      <w:r>
        <w:t>e</w:t>
      </w:r>
      <w:r>
        <w:t>ligencia que, en lo que fue mat</w:t>
      </w:r>
      <w:r>
        <w:t>e</w:t>
      </w:r>
      <w:r>
        <w:t>ria de interés, se hizo de las líneas conectadas por orden del Sr. juez instructor” (fs. 8529/8530 del leg</w:t>
      </w:r>
      <w:r>
        <w:t>a</w:t>
      </w:r>
      <w:r>
        <w:t>jo de instrucción suplementaria).</w:t>
      </w:r>
    </w:p>
    <w:p w:rsidR="00224567" w:rsidRDefault="00224567">
      <w:pPr>
        <w:widowControl w:val="0"/>
      </w:pPr>
      <w:r>
        <w:tab/>
        <w:t>Vale señalar, al respecto, que las circunstancias contenidas en dicha respuesta, a más de h</w:t>
      </w:r>
      <w:r>
        <w:t>a</w:t>
      </w:r>
      <w:r>
        <w:t>ber sido negadas enfáticamente por el Dr. Galeano a fs. 8633/8636 del legajo de instrucción suplementaria, no se compadecen con los decretos judiciales de estos actuados ni con las afirmaciones formuladas por el juez instructor en sus co</w:t>
      </w:r>
      <w:r>
        <w:t>n</w:t>
      </w:r>
      <w:r>
        <w:t>testaciones obrantes a fs. 100.703/100.719 de la presente causa y 370/371 -reservada- de los autos nº 9789/00 del Juzgado Federal nº 11.</w:t>
      </w:r>
    </w:p>
    <w:p w:rsidR="00224567" w:rsidRDefault="00224567">
      <w:pPr>
        <w:widowControl w:val="0"/>
      </w:pPr>
      <w:r>
        <w:tab/>
        <w:t>Toda vez que las cuestionadas inte</w:t>
      </w:r>
      <w:r>
        <w:t>r</w:t>
      </w:r>
      <w:r>
        <w:t>venciones son objeto de investigación ante el mencionado ju</w:t>
      </w:r>
      <w:r>
        <w:t>z</w:t>
      </w:r>
      <w:r>
        <w:t>gado nº 11, en virtud de los testimonios remitidos por este tribunal a fs. 8566 del legajo de instrucción supl</w:t>
      </w:r>
      <w:r>
        <w:t>e</w:t>
      </w:r>
      <w:r>
        <w:t>mentaria, resta analizar la cuestión relativa al destino de las ci</w:t>
      </w:r>
      <w:r>
        <w:t>n</w:t>
      </w:r>
      <w:r>
        <w:t>tas de audio obtenidas en consecuencia.</w:t>
      </w:r>
    </w:p>
    <w:p w:rsidR="00224567" w:rsidRDefault="00224567">
      <w:pPr>
        <w:widowControl w:val="0"/>
      </w:pPr>
      <w:r>
        <w:tab/>
        <w:t xml:space="preserve">En ese sentido, cabe señalar que </w:t>
      </w:r>
      <w:smartTag w:uri="urn:schemas-microsoft-com:office:smarttags" w:element="PersonName">
        <w:smartTagPr>
          <w:attr w:name="ProductID" w:val="la Secretar￭a"/>
        </w:smartTagPr>
        <w:r>
          <w:t>la Secretaría</w:t>
        </w:r>
      </w:smartTag>
      <w:r>
        <w:t xml:space="preserve"> de Inteligencia nada informó acerca de tal e</w:t>
      </w:r>
      <w:r>
        <w:t>x</w:t>
      </w:r>
      <w:r>
        <w:t>tremo en su respuesta de fs. 8529/8530, limitándose a i</w:t>
      </w:r>
      <w:r>
        <w:t>n</w:t>
      </w:r>
      <w:r>
        <w:t>dicar que el producido de las mentadas intervenciones t</w:t>
      </w:r>
      <w:r>
        <w:t>e</w:t>
      </w:r>
      <w:r>
        <w:t>lefónicas fue utilizado para elaborar los informes de i</w:t>
      </w:r>
      <w:r>
        <w:t>n</w:t>
      </w:r>
      <w:r>
        <w:t>teligencia y gráficos de contactos incorporados al princ</w:t>
      </w:r>
      <w:r>
        <w:t>i</w:t>
      </w:r>
      <w:r>
        <w:t>pal y a los legajos por cuerda, como así también en la i</w:t>
      </w:r>
      <w:r>
        <w:t>n</w:t>
      </w:r>
      <w:r>
        <w:t xml:space="preserve">vestigación seguida ante </w:t>
      </w:r>
      <w:smartTag w:uri="urn:schemas-microsoft-com:office:smarttags" w:element="PersonName">
        <w:smartTagPr>
          <w:attr w:name="ProductID" w:val="la Corte Suprema"/>
        </w:smartTagPr>
        <w:r>
          <w:t>la Corte Suprema</w:t>
        </w:r>
      </w:smartTag>
      <w:r>
        <w:t xml:space="preserve"> de Justicia de </w:t>
      </w:r>
      <w:smartTag w:uri="urn:schemas-microsoft-com:office:smarttags" w:element="PersonName">
        <w:smartTagPr>
          <w:attr w:name="ProductID" w:val="la Naci￳n"/>
        </w:smartTagPr>
        <w:r>
          <w:t>la Nación</w:t>
        </w:r>
      </w:smartTag>
      <w:r>
        <w:t xml:space="preserve"> en relación al atentado a </w:t>
      </w:r>
      <w:smartTag w:uri="urn:schemas-microsoft-com:office:smarttags" w:element="PersonName">
        <w:smartTagPr>
          <w:attr w:name="ProductID" w:val="la Embajada"/>
        </w:smartTagPr>
        <w:r>
          <w:t>la E</w:t>
        </w:r>
        <w:r>
          <w:t>m</w:t>
        </w:r>
        <w:r>
          <w:t>bajada</w:t>
        </w:r>
      </w:smartTag>
      <w:r>
        <w:t xml:space="preserve"> de Israel.</w:t>
      </w:r>
    </w:p>
    <w:p w:rsidR="00224567" w:rsidRDefault="00224567">
      <w:pPr>
        <w:widowControl w:val="0"/>
      </w:pPr>
      <w:r>
        <w:tab/>
        <w:t>Asimismo, las declaraciones que sobre el punto ofrecieron los miembros del organismo de intel</w:t>
      </w:r>
      <w:r>
        <w:t>i</w:t>
      </w:r>
      <w:r>
        <w:t>gencia fueron contradictorias; por un lado Hugo Alfredo Anzorreguy, Horacio Antonio Stiuso y Jorge Luis Lucas as</w:t>
      </w:r>
      <w:r>
        <w:t>e</w:t>
      </w:r>
      <w:r>
        <w:t>guraron que, salvo orden judicial en contr</w:t>
      </w:r>
      <w:r>
        <w:t>a</w:t>
      </w:r>
      <w:r>
        <w:t>rio, se cumplía con la directiva interna plasmada en la resolución nº 100/83, que disponía el borrado de las casetes y su dev</w:t>
      </w:r>
      <w:r>
        <w:t>o</w:t>
      </w:r>
      <w:r>
        <w:t>lución, previa explotación de su contenido, mientras que por otro, José Tomás Alba Posse y Carlos María Pablo L</w:t>
      </w:r>
      <w:r>
        <w:t>a</w:t>
      </w:r>
      <w:r>
        <w:t>vie, responsables de la dependencia específicamente ded</w:t>
      </w:r>
      <w:r>
        <w:t>i</w:t>
      </w:r>
      <w:r>
        <w:t>cada a las interceptaciones telefónicas, negaron dicha práctica.</w:t>
      </w:r>
    </w:p>
    <w:p w:rsidR="00224567" w:rsidRDefault="00224567">
      <w:pPr>
        <w:widowControl w:val="0"/>
      </w:pPr>
      <w:r>
        <w:tab/>
        <w:t>Más allá de las enfrentadas versi</w:t>
      </w:r>
      <w:r>
        <w:t>o</w:t>
      </w:r>
      <w:r>
        <w:t>nes, las probanzas colectadas demuestran la efectiva interve</w:t>
      </w:r>
      <w:r>
        <w:t>n</w:t>
      </w:r>
      <w:r>
        <w:t>ción de las líneas en cuestión (ver apartado A del prese</w:t>
      </w:r>
      <w:r>
        <w:t>n</w:t>
      </w:r>
      <w:r>
        <w:t>te capítulo y los informes de fs. 767/768, 925, 1624, 3112/3114, 5980, 6592/6593, 6598, 5980, 5993/6013, 910/923 y 2827/2837 del legajo de instrucción suplement</w:t>
      </w:r>
      <w:r>
        <w:t>a</w:t>
      </w:r>
      <w:r>
        <w:t>ria, como así también las notas de fs. 2818 y 3176, el informe de fs. 2440 y el decreto de fs. 2445, todos del principal), sin que hasta ahora se haya localizado el producido de las grabaciones oportunamente obtenidas, pese a los diversos pedidos efe</w:t>
      </w:r>
      <w:r>
        <w:t>c</w:t>
      </w:r>
      <w:r>
        <w:t>tuados en ese sentido.</w:t>
      </w:r>
    </w:p>
    <w:p w:rsidR="00224567" w:rsidRDefault="00224567">
      <w:pPr>
        <w:widowControl w:val="0"/>
      </w:pPr>
      <w:r>
        <w:br w:type="page"/>
      </w:r>
      <w:r>
        <w:tab/>
        <w:t>Por lo expuesto, corresponde invest</w:t>
      </w:r>
      <w:r>
        <w:t>i</w:t>
      </w:r>
      <w:r>
        <w:t>gar el destino de las cintas de audio obtenidas durante el período en que fueron interceptados, en forma irregular, los teléfonos 67-0325, 69-5272, 240-2182, 244-4999, 447-3646, 541-2866, 582-5771, 583-1215, 611-7744, 612-1191, 682-5655, 767-2525, 774-3636, 775-7362, 791-2280, 791-2880, 806-7539, 812-5377, 831-0689, 902-6361, 952-2598, 963-2043 y 963-5662.</w:t>
      </w:r>
    </w:p>
    <w:p w:rsidR="00224567" w:rsidRDefault="00224567">
      <w:pPr>
        <w:widowControl w:val="0"/>
      </w:pPr>
      <w:r>
        <w:tab/>
      </w:r>
      <w:r>
        <w:rPr>
          <w:b/>
          <w:bCs/>
        </w:rPr>
        <w:t>A.3.c)</w:t>
      </w:r>
      <w:r>
        <w:t xml:space="preserve"> Conforme se desprende de la s</w:t>
      </w:r>
      <w:r>
        <w:t>o</w:t>
      </w:r>
      <w:r>
        <w:t xml:space="preserve">licitud de conexión nº 1473, reservada en Secretaría, el 8 de junio de 1994 </w:t>
      </w:r>
      <w:smartTag w:uri="urn:schemas-microsoft-com:office:smarttags" w:element="PersonName">
        <w:smartTagPr>
          <w:attr w:name="ProductID" w:val="la Direcci￳n"/>
        </w:smartTagPr>
        <w:r>
          <w:t>la Dirección</w:t>
        </w:r>
      </w:smartTag>
      <w:r>
        <w:t xml:space="preserve"> de Observaciones Judiciales de </w:t>
      </w:r>
      <w:smartTag w:uri="urn:schemas-microsoft-com:office:smarttags" w:element="PersonName">
        <w:smartTagPr>
          <w:attr w:name="ProductID" w:val="la Secretar￭a"/>
        </w:smartTagPr>
        <w:r>
          <w:t>la Secretaría</w:t>
        </w:r>
      </w:smartTag>
      <w:r>
        <w:t xml:space="preserve"> de Inteligencia de Estado requirió a “T</w:t>
      </w:r>
      <w:r>
        <w:t>e</w:t>
      </w:r>
      <w:r>
        <w:t>lecom Argentina” la intervención, sin término, de los t</w:t>
      </w:r>
      <w:r>
        <w:t>e</w:t>
      </w:r>
      <w:r>
        <w:t xml:space="preserve">léfonos 783-2213, 782-8205 y 782-9049, pertenecientes a </w:t>
      </w:r>
      <w:smartTag w:uri="urn:schemas-microsoft-com:office:smarttags" w:element="PersonName">
        <w:smartTagPr>
          <w:attr w:name="ProductID" w:val="la Embajada"/>
        </w:smartTagPr>
        <w:r>
          <w:t>la Embajada</w:t>
        </w:r>
      </w:smartTag>
      <w:r>
        <w:t xml:space="preserve"> de </w:t>
      </w:r>
      <w:smartTag w:uri="urn:schemas-microsoft-com:office:smarttags" w:element="PersonName">
        <w:smartTagPr>
          <w:attr w:name="ProductID" w:val="la Rep￺blica"/>
        </w:smartTagPr>
        <w:r>
          <w:t>la República</w:t>
        </w:r>
      </w:smartTag>
      <w:r>
        <w:t xml:space="preserve"> de Cuba, como así también de las líneas 802-1470 y 802-4821, correspondientes a </w:t>
      </w:r>
      <w:smartTag w:uri="urn:schemas-microsoft-com:office:smarttags" w:element="PersonName">
        <w:smartTagPr>
          <w:attr w:name="ProductID" w:val="la Embajada"/>
        </w:smartTagPr>
        <w:r>
          <w:t>la E</w:t>
        </w:r>
        <w:r>
          <w:t>m</w:t>
        </w:r>
        <w:r>
          <w:t>bajada</w:t>
        </w:r>
      </w:smartTag>
      <w:r>
        <w:t xml:space="preserve"> de </w:t>
      </w:r>
      <w:smartTag w:uri="urn:schemas-microsoft-com:office:smarttags" w:element="PersonName">
        <w:smartTagPr>
          <w:attr w:name="ProductID" w:val="la Rep￺blica Isl￡mica"/>
        </w:smartTagPr>
        <w:r>
          <w:t>la República Islámica</w:t>
        </w:r>
      </w:smartTag>
      <w:r>
        <w:t xml:space="preserve"> de Irán, 802-1821, de </w:t>
      </w:r>
      <w:smartTag w:uri="urn:schemas-microsoft-com:office:smarttags" w:element="PersonName">
        <w:smartTagPr>
          <w:attr w:name="ProductID" w:val="la Consejer￭a Cultural"/>
        </w:smartTagPr>
        <w:r>
          <w:t>la Consej</w:t>
        </w:r>
        <w:r>
          <w:t>e</w:t>
        </w:r>
        <w:r>
          <w:t>ría Cultural</w:t>
        </w:r>
      </w:smartTag>
      <w:r>
        <w:t xml:space="preserve"> de esta última representación diplomática y 313-5890, cuyo usuario era la sociedad comercial estatal iraní denominada “Government Trading Corporation of Iran” (G.T.C.), luego asignada a la mencionada consejería; esc</w:t>
      </w:r>
      <w:r>
        <w:t>u</w:t>
      </w:r>
      <w:r>
        <w:t>chas que se efectivizaron, en todos los casos, desde aqu</w:t>
      </w:r>
      <w:r>
        <w:t>e</w:t>
      </w:r>
      <w:r>
        <w:t>lla fecha hasta el 6 ó 7 de julio de 1995, e</w:t>
      </w:r>
      <w:r>
        <w:t>x</w:t>
      </w:r>
      <w:r>
        <w:t>cepto la del 782-8205, cuya observación f</w:t>
      </w:r>
      <w:r>
        <w:t>i</w:t>
      </w:r>
      <w:r>
        <w:t>nalizó el 29 de noviembre de 1994.</w:t>
      </w:r>
    </w:p>
    <w:p w:rsidR="00224567" w:rsidRDefault="00224567">
      <w:pPr>
        <w:widowControl w:val="0"/>
      </w:pPr>
      <w:r>
        <w:tab/>
        <w:t>Con motivo del requerimiento efe</w:t>
      </w:r>
      <w:r>
        <w:t>c</w:t>
      </w:r>
      <w:r>
        <w:t>tuado por este tribunal, el entonces Secretario de Inteligencia Miguel Ángel Toma informó que las escuchas efectuadas s</w:t>
      </w:r>
      <w:r>
        <w:t>o</w:t>
      </w:r>
      <w:r>
        <w:t xml:space="preserve">bre los cuatro teléfonos vinculados con </w:t>
      </w:r>
      <w:smartTag w:uri="urn:schemas-microsoft-com:office:smarttags" w:element="PersonName">
        <w:smartTagPr>
          <w:attr w:name="ProductID" w:val="la Rep￺blica Isl￡mica"/>
        </w:smartTagPr>
        <w:r>
          <w:t>la República Isl</w:t>
        </w:r>
        <w:r>
          <w:t>á</w:t>
        </w:r>
        <w:r>
          <w:t>mica</w:t>
        </w:r>
      </w:smartTag>
      <w:r>
        <w:t xml:space="preserve"> de Irán respondían a cuestiones ajenas a las invest</w:t>
      </w:r>
      <w:r>
        <w:t>i</w:t>
      </w:r>
      <w:r>
        <w:t>gaciones judiciales de la presente causa, propias de la misión y funciones legales de d</w:t>
      </w:r>
      <w:r>
        <w:t>i</w:t>
      </w:r>
      <w:r>
        <w:t>cha Secretaría, tuteladas por la disciplina del secreto (fs. 113.881 del legajo de Instru</w:t>
      </w:r>
      <w:r>
        <w:t>c</w:t>
      </w:r>
      <w:r>
        <w:t>ción Suplementaria).</w:t>
      </w:r>
    </w:p>
    <w:p w:rsidR="00224567" w:rsidRDefault="00224567">
      <w:pPr>
        <w:widowControl w:val="0"/>
      </w:pPr>
      <w:r>
        <w:tab/>
        <w:t>A ello cabe agregar los dichos de H</w:t>
      </w:r>
      <w:r>
        <w:t>o</w:t>
      </w:r>
      <w:r>
        <w:t>racio Antonio Stiuso, quien explicó en el debate que las escuchas a las representaciones diplomáticas cubana e ir</w:t>
      </w:r>
      <w:r>
        <w:t>a</w:t>
      </w:r>
      <w:r>
        <w:t>ní respondieron exclusivamente a tareas de contraespion</w:t>
      </w:r>
      <w:r>
        <w:t>a</w:t>
      </w:r>
      <w:r>
        <w:t xml:space="preserve">je; explicación coincidente con la ofrecida por Jorge Luis Lucas en punto a las practicadas sobre la embajada iraní. </w:t>
      </w:r>
    </w:p>
    <w:p w:rsidR="00224567" w:rsidRDefault="00224567">
      <w:pPr>
        <w:widowControl w:val="0"/>
      </w:pPr>
      <w:r>
        <w:br w:type="page"/>
      </w:r>
      <w:r>
        <w:tab/>
        <w:t xml:space="preserve">Además, cabe destacar que conforme se desprende de la solicitud de conexión nº 1914, reservada en Secretaría, el 19 de julio de 1994 </w:t>
      </w:r>
      <w:smartTag w:uri="urn:schemas-microsoft-com:office:smarttags" w:element="PersonName">
        <w:smartTagPr>
          <w:attr w:name="ProductID" w:val="la Direcci￳n"/>
        </w:smartTagPr>
        <w:r>
          <w:t>la Dirección</w:t>
        </w:r>
      </w:smartTag>
      <w:r>
        <w:t xml:space="preserve"> de O</w:t>
      </w:r>
      <w:r>
        <w:t>b</w:t>
      </w:r>
      <w:r>
        <w:t>servaciones Judiciales requirió a “Telecom Argentina” la intervención, sin término, de la línea 805-4409, también perteneciente a la embajada iraní, la que concluyó el 29 de noviembre de 1994 (ver documentación aportada a fs. 2829 del legajo de Instrucción S</w:t>
      </w:r>
      <w:r>
        <w:t>u</w:t>
      </w:r>
      <w:r>
        <w:t>plementaria).</w:t>
      </w:r>
    </w:p>
    <w:p w:rsidR="00224567" w:rsidRDefault="00224567">
      <w:pPr>
        <w:widowControl w:val="0"/>
      </w:pPr>
      <w:r>
        <w:tab/>
        <w:t>En lo atinente a esta última línea, se advierte que a fs. 1740 de los autos nº 9789/00, radic</w:t>
      </w:r>
      <w:r>
        <w:t>a</w:t>
      </w:r>
      <w:r>
        <w:t xml:space="preserve">dos en el Juzgado Federal nº 11 de esta ciudad, </w:t>
      </w:r>
      <w:smartTag w:uri="urn:schemas-microsoft-com:office:smarttags" w:element="PersonName">
        <w:smartTagPr>
          <w:attr w:name="ProductID" w:val="la Direcci￳n"/>
        </w:smartTagPr>
        <w:r>
          <w:t>la Dirección</w:t>
        </w:r>
      </w:smartTag>
      <w:r>
        <w:t xml:space="preserve"> de Asuntos Jurídicos de </w:t>
      </w:r>
      <w:smartTag w:uri="urn:schemas-microsoft-com:office:smarttags" w:element="PersonName">
        <w:smartTagPr>
          <w:attr w:name="ProductID" w:val="la Secretaria"/>
        </w:smartTagPr>
        <w:r>
          <w:t>la Secretaria</w:t>
        </w:r>
      </w:smartTag>
      <w:r>
        <w:t xml:space="preserve"> de Inteligencia i</w:t>
      </w:r>
      <w:r>
        <w:t>n</w:t>
      </w:r>
      <w:r>
        <w:t>formó que no pudo localizarse el oficio judicial que di</w:t>
      </w:r>
      <w:r>
        <w:t>s</w:t>
      </w:r>
      <w:r>
        <w:t>puso su intervención; circunstancia que autoriza a colegir su irr</w:t>
      </w:r>
      <w:r>
        <w:t>e</w:t>
      </w:r>
      <w:r>
        <w:t>gular interceptación, máxime cuando tal conexión se solicitó junto con la de la línea 963-2043 consignada en la mentada fs. 114, carente de una orden emanada de aut</w:t>
      </w:r>
      <w:r>
        <w:t>o</w:t>
      </w:r>
      <w:r>
        <w:t>ridad j</w:t>
      </w:r>
      <w:r>
        <w:t>u</w:t>
      </w:r>
      <w:r>
        <w:t>dicial.</w:t>
      </w:r>
    </w:p>
    <w:p w:rsidR="00224567" w:rsidRDefault="00224567">
      <w:pPr>
        <w:widowControl w:val="0"/>
      </w:pPr>
      <w:r>
        <w:tab/>
        <w:t>En virtud de lo expuesto precedent</w:t>
      </w:r>
      <w:r>
        <w:t>e</w:t>
      </w:r>
      <w:r>
        <w:t>mente, corresponde investigar las intervenciones de las líneas 802-1821, 802-1470, 802-4821, 313-5890, 783-2213, 782-8205, 782-9049 y 805-4409, efectuadas sin orden jud</w:t>
      </w:r>
      <w:r>
        <w:t>i</w:t>
      </w:r>
      <w:r>
        <w:t xml:space="preserve">cial por </w:t>
      </w:r>
      <w:smartTag w:uri="urn:schemas-microsoft-com:office:smarttags" w:element="PersonName">
        <w:smartTagPr>
          <w:attr w:name="ProductID" w:val="la Secretar￭a"/>
        </w:smartTagPr>
        <w:r>
          <w:t>la Secretaría</w:t>
        </w:r>
      </w:smartTag>
      <w:r>
        <w:t xml:space="preserve"> de Inteligencia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Nación</w:t>
        </w:r>
      </w:smartTag>
      <w:r>
        <w:t>, como así también el destino del material producido con m</w:t>
      </w:r>
      <w:r>
        <w:t>o</w:t>
      </w:r>
      <w:r>
        <w:t>tivo de ellas.</w:t>
      </w:r>
    </w:p>
    <w:p w:rsidR="00224567" w:rsidRDefault="00224567">
      <w:pPr>
        <w:widowControl w:val="0"/>
      </w:pPr>
      <w:r>
        <w:tab/>
      </w:r>
      <w:r>
        <w:rPr>
          <w:b/>
          <w:bCs/>
        </w:rPr>
        <w:t>A.3.d)</w:t>
      </w:r>
      <w:r>
        <w:t xml:space="preserve"> A continuación habrán de tr</w:t>
      </w:r>
      <w:r>
        <w:t>a</w:t>
      </w:r>
      <w:r>
        <w:t>tarse, en vi</w:t>
      </w:r>
      <w:r>
        <w:t>r</w:t>
      </w:r>
      <w:r>
        <w:t xml:space="preserve">tud de los cuestionamientos formulados tanto en el debate como en la etapa anterior, las circunstancias que rodearon las intervenciones telefónicas dispuestas a fs. 866 y 871, solicitadas por </w:t>
      </w:r>
      <w:smartTag w:uri="urn:schemas-microsoft-com:office:smarttags" w:element="PersonName">
        <w:smartTagPr>
          <w:attr w:name="ProductID" w:val="la S.I"/>
        </w:smartTagPr>
        <w:r>
          <w:t>la S.I</w:t>
        </w:r>
      </w:smartTag>
      <w:r>
        <w:t>.D.E. a fs. 865 y 870, respectivame</w:t>
      </w:r>
      <w:r>
        <w:t>n</w:t>
      </w:r>
      <w:r>
        <w:t>te.</w:t>
      </w:r>
    </w:p>
    <w:p w:rsidR="00224567" w:rsidRDefault="00224567">
      <w:pPr>
        <w:widowControl w:val="0"/>
      </w:pPr>
      <w:r>
        <w:tab/>
        <w:t>A fs. 865 luce un oficio suscripto por el entonces subsecretario de inteligencia de estado, de fecha 25 de julio de 1994, por el que solicita, sin ind</w:t>
      </w:r>
      <w:r>
        <w:t>i</w:t>
      </w:r>
      <w:r>
        <w:t>car las pertenencias ni dato alguno, la intervención tel</w:t>
      </w:r>
      <w:r>
        <w:t>e</w:t>
      </w:r>
      <w:r>
        <w:t>fónica de los números 361-3735, 501-3147, 501-4774, 501-6806, 502-9960, 503-1086, 768-0902, 712-1515 y 757-4193, como así también que se requiera a las firmas “Telecom”, “Movicom” y “Miniphone” “la colabor</w:t>
      </w:r>
      <w:r>
        <w:t>a</w:t>
      </w:r>
      <w:r>
        <w:t>ción técnica necesaria tendiente a establecer las llamadas que, originadas en a</w:t>
      </w:r>
      <w:r>
        <w:t>l</w:t>
      </w:r>
      <w:r>
        <w:t>gunas líneas de sus servicios, se hubieren dirigido al 768-0902 entre los días 09 y 11 de julio ppdo. y en part</w:t>
      </w:r>
      <w:r>
        <w:t>i</w:t>
      </w:r>
      <w:r>
        <w:t xml:space="preserve">cular el día 10 de julio entre las 09.00 y las </w:t>
      </w:r>
      <w:smartTag w:uri="urn:schemas-microsoft-com:office:smarttags" w:element="metricconverter">
        <w:smartTagPr>
          <w:attr w:name="ProductID" w:val="14.00”"/>
        </w:smartTagPr>
        <w:r>
          <w:t>14.00”</w:t>
        </w:r>
      </w:smartTag>
      <w:r>
        <w:t xml:space="preserve">; oficio que, según el cargo suscripto por el prosecretario Juan Pablo Sassano, fue recibido en </w:t>
      </w:r>
      <w:smartTag w:uri="urn:schemas-microsoft-com:office:smarttags" w:element="PersonName">
        <w:smartTagPr>
          <w:attr w:name="ProductID" w:val="la Secretar￭a"/>
        </w:smartTagPr>
        <w:r>
          <w:t>la Secretaría</w:t>
        </w:r>
      </w:smartTag>
      <w:r>
        <w:t xml:space="preserve"> del ju</w:t>
      </w:r>
      <w:r>
        <w:t>z</w:t>
      </w:r>
      <w:r>
        <w:t xml:space="preserve">gado el 25 de julio de </w:t>
      </w:r>
      <w:smartTag w:uri="urn:schemas-microsoft-com:office:smarttags" w:element="metricconverter">
        <w:smartTagPr>
          <w:attr w:name="ProductID" w:val="1994, a"/>
        </w:smartTagPr>
        <w:r>
          <w:t>1994, a</w:t>
        </w:r>
      </w:smartTag>
      <w:r>
        <w:t xml:space="preserve"> las 10.10.</w:t>
      </w:r>
    </w:p>
    <w:p w:rsidR="00224567" w:rsidRDefault="00224567">
      <w:pPr>
        <w:widowControl w:val="0"/>
      </w:pPr>
      <w:r>
        <w:tab/>
        <w:t>A fs. 866 obra el auto por el cual el juez instructor, con fundamento en aquel pedido, dispuso la intervención de las mencionadas líneas telefónicas, a la vez que requirió a las empresas de telefonía la info</w:t>
      </w:r>
      <w:r>
        <w:t>r</w:t>
      </w:r>
      <w:r>
        <w:t>mación que también se había solicitado. Originariamente dicho a</w:t>
      </w:r>
      <w:r>
        <w:t>u</w:t>
      </w:r>
      <w:r>
        <w:t>to, los oficios librados y sus respectivas copias estaban fechados el 25 de julio de 1994, pero luego, en virtud del planteo de nulidad efectuado por el defensor de Juan José Ribelli (ver resolución de fs. 33.411/33.420), la   fecha   de  aquella   r</w:t>
      </w:r>
      <w:r>
        <w:t>e</w:t>
      </w:r>
      <w:r>
        <w:t>solución   fue   modificada  –sobrescrita- por la del 26 de julio de ese mismo año.</w:t>
      </w:r>
    </w:p>
    <w:p w:rsidR="00224567" w:rsidRDefault="00224567">
      <w:pPr>
        <w:widowControl w:val="0"/>
      </w:pPr>
      <w:r>
        <w:tab/>
        <w:t>Al resolver el mencionado planteo de nulidad el juez afirmó, en consonancia con una nota acl</w:t>
      </w:r>
      <w:r>
        <w:t>a</w:t>
      </w:r>
      <w:r>
        <w:t>rat</w:t>
      </w:r>
      <w:r>
        <w:t>o</w:t>
      </w:r>
      <w:r>
        <w:t xml:space="preserve">ria de </w:t>
      </w:r>
      <w:smartTag w:uri="urn:schemas-microsoft-com:office:smarttags" w:element="PersonName">
        <w:smartTagPr>
          <w:attr w:name="ProductID" w:val="la S.I"/>
        </w:smartTagPr>
        <w:r>
          <w:t>la S.I</w:t>
        </w:r>
      </w:smartTag>
      <w:r>
        <w:t>.D.E., que la fecha del oficio de fs. 865 fue producto de un error material, habiendo s</w:t>
      </w:r>
      <w:r>
        <w:t>i</w:t>
      </w:r>
      <w:r>
        <w:t>do el 26 el día en que se efectuó el pedido. Tras la aclaración form</w:t>
      </w:r>
      <w:r>
        <w:t>u</w:t>
      </w:r>
      <w:r>
        <w:t>lada, el magistrado sostuvo que “poco cuesta entender el consecuente error del tribunal al proveerlo en consecue</w:t>
      </w:r>
      <w:r>
        <w:t>n</w:t>
      </w:r>
      <w:r>
        <w:t>cia...”.</w:t>
      </w:r>
    </w:p>
    <w:p w:rsidR="00224567" w:rsidRDefault="00224567">
      <w:pPr>
        <w:widowControl w:val="0"/>
      </w:pPr>
      <w:r>
        <w:tab/>
        <w:t>Sin bien es cierto que dicha resol</w:t>
      </w:r>
      <w:r>
        <w:t>u</w:t>
      </w:r>
      <w:r>
        <w:t>ción rectificó la fecha de la providencia obrante a fs. 866, no lo es menos que soslayó otra cuestión, r</w:t>
      </w:r>
      <w:r>
        <w:t>e</w:t>
      </w:r>
      <w:r>
        <w:t>lativa al horario en que fue recibida la nota glosada a fs. 865, que demuestra de modo evidente que, ni aún admitiendo como cierta su pr</w:t>
      </w:r>
      <w:r>
        <w:t>e</w:t>
      </w:r>
      <w:r>
        <w:t xml:space="preserve">sentación el 26 de julio, de ningún modo pudo contarse con la información que de ella se desprende antes de las 10.10 de esa jornada. </w:t>
      </w:r>
    </w:p>
    <w:p w:rsidR="00224567" w:rsidRDefault="00224567">
      <w:pPr>
        <w:widowControl w:val="0"/>
      </w:pPr>
      <w:r>
        <w:tab/>
        <w:t>En ese sentido, cabe resaltar que al solicitarse a Jorge Norberto Igounet, en el marco del planteo de nulidad referido, una aclaración acerca de la fecha del oficio de marras, explicó “que conforme me i</w:t>
      </w:r>
      <w:r>
        <w:t>n</w:t>
      </w:r>
      <w:r>
        <w:t>formaran las Direcciones de Contrainteligencia y Observ</w:t>
      </w:r>
      <w:r>
        <w:t>a</w:t>
      </w:r>
      <w:r>
        <w:t>ciones Judici</w:t>
      </w:r>
      <w:r>
        <w:t>a</w:t>
      </w:r>
      <w:r>
        <w:t>les, se pudo determinar que el oficio que se encuentra agregado en esa causa a fs. 865, presenta un error material en su fecha (25 de julio de 1994), ya que las circunstancias que motivaron su libramiento fueron producto de distintas investigaciones que tuvieron su c</w:t>
      </w:r>
      <w:r>
        <w:t>o</w:t>
      </w:r>
      <w:r>
        <w:t>rolario el día 26 de julio de 1994, siendo ésta la fecha en la que se efectuó tal r</w:t>
      </w:r>
      <w:r>
        <w:t>e</w:t>
      </w:r>
      <w:r>
        <w:t>querimiento” (ver fs. 33.395).</w:t>
      </w:r>
    </w:p>
    <w:p w:rsidR="00224567" w:rsidRDefault="00224567">
      <w:pPr>
        <w:widowControl w:val="0"/>
      </w:pPr>
      <w:r>
        <w:tab/>
        <w:t xml:space="preserve">En la mencionada resolución y con el fin de demostrar la efectiva presentación de la nota el 26 de julio, a las 10:10, el juez tuvo por cierto que desde el </w:t>
      </w:r>
      <w:smartTag w:uri="urn:schemas-microsoft-com:office:smarttags" w:element="metricconverter">
        <w:smartTagPr>
          <w:attr w:name="ProductID" w:val="25 a"/>
        </w:smartTagPr>
        <w:r>
          <w:t>25 a</w:t>
        </w:r>
      </w:smartTag>
      <w:r>
        <w:t xml:space="preserve"> la noche se había establecido la v</w:t>
      </w:r>
      <w:r>
        <w:t>i</w:t>
      </w:r>
      <w:r>
        <w:t>gilancia sobre el domicilio de República 107 y que el 26 de julio, tras “haberse contactado con Ana María B</w:t>
      </w:r>
      <w:r>
        <w:t>o</w:t>
      </w:r>
      <w:r>
        <w:t>ragni quien dio varios detalles al respecto que posteriormente ese mismo día se consignaron en su declaración testimonial en sede pol</w:t>
      </w:r>
      <w:r>
        <w:t>i</w:t>
      </w:r>
      <w:r>
        <w:t xml:space="preserve">cial...”, </w:t>
      </w:r>
      <w:smartTag w:uri="urn:schemas-microsoft-com:office:smarttags" w:element="PersonName">
        <w:smartTagPr>
          <w:attr w:name="ProductID" w:val="la S.I"/>
        </w:smartTagPr>
        <w:r>
          <w:t>la S.I</w:t>
        </w:r>
      </w:smartTag>
      <w:r>
        <w:t>.D.E. pr</w:t>
      </w:r>
      <w:r>
        <w:t>e</w:t>
      </w:r>
      <w:r>
        <w:t xml:space="preserve">sentó el oficio incorporado a fs. 865. </w:t>
      </w:r>
    </w:p>
    <w:p w:rsidR="00224567" w:rsidRDefault="00224567">
      <w:pPr>
        <w:widowControl w:val="0"/>
      </w:pPr>
      <w:r>
        <w:tab/>
        <w:t>Tal explicación, por lo que se verá, es cl</w:t>
      </w:r>
      <w:r>
        <w:t>a</w:t>
      </w:r>
      <w:r>
        <w:t xml:space="preserve">ramente falsa. </w:t>
      </w:r>
    </w:p>
    <w:p w:rsidR="00224567" w:rsidRDefault="00224567">
      <w:pPr>
        <w:widowControl w:val="0"/>
      </w:pPr>
      <w:r>
        <w:tab/>
        <w:t>En efecto, los efectivos policiales y de inteligencia que participaron en los sucesos oc</w:t>
      </w:r>
      <w:r>
        <w:t>u</w:t>
      </w:r>
      <w:r>
        <w:t>rridos el 26 de julio de 1994 en torno a la identific</w:t>
      </w:r>
      <w:r>
        <w:t>a</w:t>
      </w:r>
      <w:r>
        <w:t>ción de Ana M</w:t>
      </w:r>
      <w:r>
        <w:t>a</w:t>
      </w:r>
      <w:r>
        <w:t xml:space="preserve">ría Boragni y a la obtención de los datos que ésta diera acerca de la supuesta venta de </w:t>
      </w:r>
      <w:smartTag w:uri="urn:schemas-microsoft-com:office:smarttags" w:element="PersonName">
        <w:smartTagPr>
          <w:attr w:name="ProductID" w:val="la Trafic"/>
        </w:smartTagPr>
        <w:r>
          <w:t>la Trafic</w:t>
        </w:r>
      </w:smartTag>
      <w:r>
        <w:t xml:space="preserve"> el 10 de julio, fueron concordantes en afirmar que la vigilancia sobre la vivienda de República 107 comenzó entre la mañana y pasado el mediodía del 26 de julio y que recién en horas de la tarde, luego de interceptar, a Barreda y a Bareiro a la salida de la vivienda, se entabló una conversación con B</w:t>
      </w:r>
      <w:r>
        <w:t>o</w:t>
      </w:r>
      <w:r>
        <w:t>ra</w:t>
      </w:r>
      <w:r>
        <w:t>g</w:t>
      </w:r>
      <w:r>
        <w:t>ni.</w:t>
      </w:r>
    </w:p>
    <w:p w:rsidR="00224567" w:rsidRDefault="00224567">
      <w:pPr>
        <w:widowControl w:val="0"/>
      </w:pPr>
      <w:r>
        <w:tab/>
        <w:t>Así, Néstor Ricardo Hernández r</w:t>
      </w:r>
      <w:r>
        <w:t>e</w:t>
      </w:r>
      <w:r>
        <w:t>cordó haber arribado a la vivienda de la calle Repúbl</w:t>
      </w:r>
      <w:r>
        <w:t>i</w:t>
      </w:r>
      <w:r>
        <w:t>ca después de las 14 ó 15 y que a los policías los interceptaron a las tres horas y media de haber estado allí.</w:t>
      </w:r>
    </w:p>
    <w:p w:rsidR="00224567" w:rsidRDefault="00224567">
      <w:pPr>
        <w:widowControl w:val="0"/>
      </w:pPr>
      <w:r>
        <w:tab/>
        <w:t>Por su parte, Luis Domingo Delizia afirmó que arribaron a la finca a las 10 ó 10.30 y que la identificación de Barreda y de Bareiro se concretó a las 16.15 ó 16.20, mientras que Roberto Jorge Saller sostuvo que la vigilancia comenzó a las 11.30 y que la detención de los policías bonaerenses se materializó a las 16.30, a las 16.40 o un poco antes.</w:t>
      </w:r>
    </w:p>
    <w:p w:rsidR="00224567" w:rsidRDefault="00224567">
      <w:pPr>
        <w:widowControl w:val="0"/>
      </w:pPr>
      <w:r>
        <w:tab/>
        <w:t>Daniel Alberto Fernández aseveró que arribaron a la calle República en horas del medi</w:t>
      </w:r>
      <w:r>
        <w:t>o</w:t>
      </w:r>
      <w:r>
        <w:t>día y que a las tres horas y media o cuatro horas y media de haber estado allí identificaron a Barreda y a Bareiro.</w:t>
      </w:r>
    </w:p>
    <w:p w:rsidR="00224567" w:rsidRDefault="00224567">
      <w:pPr>
        <w:widowControl w:val="0"/>
      </w:pPr>
      <w:r>
        <w:tab/>
        <w:t>Finalmente, el oficial de intel</w:t>
      </w:r>
      <w:r>
        <w:t>i</w:t>
      </w:r>
      <w:r>
        <w:t xml:space="preserve">gencia de </w:t>
      </w:r>
      <w:smartTag w:uri="urn:schemas-microsoft-com:office:smarttags" w:element="PersonName">
        <w:smartTagPr>
          <w:attr w:name="ProductID" w:val="la Polic￭a Federal"/>
        </w:smartTagPr>
        <w:r>
          <w:t>la Policía Federal</w:t>
        </w:r>
      </w:smartTag>
      <w:r>
        <w:t xml:space="preserve"> Aldo Alfredo Alvarez relató que co</w:t>
      </w:r>
      <w:r>
        <w:t>n</w:t>
      </w:r>
      <w:r>
        <w:t>currió al domicilio de República 107 entre las 8 y las 10 y que los efectivos policiales fueron interceptados entre las 18 y las 19.30 de ese día.</w:t>
      </w:r>
    </w:p>
    <w:p w:rsidR="00224567" w:rsidRDefault="00224567">
      <w:pPr>
        <w:widowControl w:val="0"/>
      </w:pPr>
      <w:r>
        <w:tab/>
        <w:t>Los testimonios reseñados permiten afirmar, sin resquicio de duda, que sólo a partir del e</w:t>
      </w:r>
      <w:r>
        <w:t>n</w:t>
      </w:r>
      <w:r>
        <w:t>cuentro con Boragni se pudo obtener información acerca de las circunstancias en que se habría llevado a cabo la s</w:t>
      </w:r>
      <w:r>
        <w:t>u</w:t>
      </w:r>
      <w:r>
        <w:t xml:space="preserve">puesta venta de </w:t>
      </w:r>
      <w:smartTag w:uri="urn:schemas-microsoft-com:office:smarttags" w:element="PersonName">
        <w:smartTagPr>
          <w:attr w:name="ProductID" w:val="la Trafic"/>
        </w:smartTagPr>
        <w:r>
          <w:t>la Trafic</w:t>
        </w:r>
      </w:smartTag>
      <w:r>
        <w:t>, como también que d</w:t>
      </w:r>
      <w:r>
        <w:t>i</w:t>
      </w:r>
      <w:r>
        <w:t>cho diálogo recién tuvo lugar en horas de la tarde del 26 de julio, una vez que Bareiro y Barreda fueron interceptados tras ret</w:t>
      </w:r>
      <w:r>
        <w:t>i</w:t>
      </w:r>
      <w:r>
        <w:t>rarse de la vivienda.</w:t>
      </w:r>
    </w:p>
    <w:p w:rsidR="00224567" w:rsidRDefault="00224567">
      <w:pPr>
        <w:widowControl w:val="0"/>
      </w:pPr>
      <w:r>
        <w:tab/>
        <w:t xml:space="preserve">Por lo tanto, mal pudo recibirse en </w:t>
      </w:r>
      <w:smartTag w:uri="urn:schemas-microsoft-com:office:smarttags" w:element="PersonName">
        <w:smartTagPr>
          <w:attr w:name="ProductID" w:val="la Secretar￭a"/>
        </w:smartTagPr>
        <w:r>
          <w:t>la Secretaría</w:t>
        </w:r>
      </w:smartTag>
      <w:r>
        <w:t xml:space="preserve"> del juzgado, a las 10.10 del 26 de julio, la solicitud de fs. 865 que reflejaba un conocimiento evide</w:t>
      </w:r>
      <w:r>
        <w:t>n</w:t>
      </w:r>
      <w:r>
        <w:t>te ace</w:t>
      </w:r>
      <w:r>
        <w:t>r</w:t>
      </w:r>
      <w:r>
        <w:t>ca de la supuesta venta ocurrida el 10 de julio.</w:t>
      </w:r>
    </w:p>
    <w:p w:rsidR="00224567" w:rsidRDefault="00224567">
      <w:pPr>
        <w:widowControl w:val="0"/>
      </w:pPr>
      <w:r>
        <w:tab/>
        <w:t>Idéntico análisis cabe efectuar re</w:t>
      </w:r>
      <w:r>
        <w:t>s</w:t>
      </w:r>
      <w:r>
        <w:t>pecto de los dos teléfonos pertenecientes a Eduardo T</w:t>
      </w:r>
      <w:r>
        <w:t>e</w:t>
      </w:r>
      <w:r>
        <w:t>lleldín, cuya interceptación se solicita en la mentada n</w:t>
      </w:r>
      <w:r>
        <w:t>o</w:t>
      </w:r>
      <w:r>
        <w:t>ta de fs. 865, por cuanto, a falta de toda constancia, c</w:t>
      </w:r>
      <w:r>
        <w:t>a</w:t>
      </w:r>
      <w:r>
        <w:t>be suponer que se obtuvieron a partir de los dichos de quienes se encontraban en la casa de Repúbl</w:t>
      </w:r>
      <w:r>
        <w:t>i</w:t>
      </w:r>
      <w:r>
        <w:t>ca 107.</w:t>
      </w:r>
    </w:p>
    <w:p w:rsidR="00224567" w:rsidRDefault="00224567">
      <w:pPr>
        <w:widowControl w:val="0"/>
      </w:pPr>
      <w:r>
        <w:tab/>
        <w:t>Asimismo, el oficio supuestamente l</w:t>
      </w:r>
      <w:r>
        <w:t>i</w:t>
      </w:r>
      <w:r>
        <w:t xml:space="preserve">brado por el juzgado instructor como consecuencia de las intervenciones dispuestas a fs. 866, aportado por </w:t>
      </w:r>
      <w:smartTag w:uri="urn:schemas-microsoft-com:office:smarttags" w:element="PersonName">
        <w:smartTagPr>
          <w:attr w:name="ProductID" w:val="la S.I"/>
        </w:smartTagPr>
        <w:r>
          <w:t>la S.I</w:t>
        </w:r>
      </w:smartTag>
      <w:r>
        <w:t>.D.E. a fs. 4855 del legajo de instrucción suplement</w:t>
      </w:r>
      <w:r>
        <w:t>a</w:t>
      </w:r>
      <w:r>
        <w:t>ria -no encontrándose su copia agregada a la causa, si bien tiene f</w:t>
      </w:r>
      <w:r>
        <w:t>e</w:t>
      </w:r>
      <w:r>
        <w:t>cha 25 de julio-, tiene un sello de cargo que acredita su ingreso en Observaciones Judiciales al día s</w:t>
      </w:r>
      <w:r>
        <w:t>i</w:t>
      </w:r>
      <w:r>
        <w:t>guiente a las 20.00. Sin embargo, las solicitudes de con</w:t>
      </w:r>
      <w:r>
        <w:t>e</w:t>
      </w:r>
      <w:r>
        <w:t>xión de tales líneas, a juzgar por sus fechas, no fueron confeccionadas todas juntas, ni aún las pertenecientes a una misma empresa telef</w:t>
      </w:r>
      <w:r>
        <w:t>ó</w:t>
      </w:r>
      <w:r>
        <w:t xml:space="preserve">nica, como tampoco despachadas el mismo día. </w:t>
      </w:r>
    </w:p>
    <w:p w:rsidR="00224567" w:rsidRDefault="00224567">
      <w:pPr>
        <w:widowControl w:val="0"/>
      </w:pPr>
      <w:r>
        <w:tab/>
        <w:t>En efecto, las solicitudes de c</w:t>
      </w:r>
      <w:r>
        <w:t>o</w:t>
      </w:r>
      <w:r>
        <w:t>nexión de las líneas pertenecientes a Carlos Martínez (361-3735) de “T</w:t>
      </w:r>
      <w:r>
        <w:t>e</w:t>
      </w:r>
      <w:r>
        <w:t>lefónica Argentina S.A.”, Monjo (502-9960 y 503-1086) y Carlos Telleldín (768-0902) de “T</w:t>
      </w:r>
      <w:r>
        <w:t>e</w:t>
      </w:r>
      <w:r>
        <w:t>lecom Argentina S.A.”, poseen fecha 26 de julio, mie</w:t>
      </w:r>
      <w:r>
        <w:t>n</w:t>
      </w:r>
      <w:r>
        <w:t xml:space="preserve">tras que la de las </w:t>
      </w:r>
    </w:p>
    <w:p w:rsidR="00224567" w:rsidRDefault="00224567">
      <w:pPr>
        <w:widowControl w:val="0"/>
      </w:pPr>
      <w:r>
        <w:br w:type="page"/>
        <w:t>líneas de Eduardo Telleldín (712-1515 y 757-4193) de “T</w:t>
      </w:r>
      <w:r>
        <w:t>e</w:t>
      </w:r>
      <w:r>
        <w:t>lecom Arge</w:t>
      </w:r>
      <w:r>
        <w:t>n</w:t>
      </w:r>
      <w:r>
        <w:t>tina S.A.” aparece fechada el 27 de julio.</w:t>
      </w:r>
    </w:p>
    <w:p w:rsidR="00224567" w:rsidRDefault="00224567">
      <w:pPr>
        <w:widowControl w:val="0"/>
      </w:pPr>
      <w:r>
        <w:tab/>
        <w:t>Si bien “Telecom Argentina S.A.” i</w:t>
      </w:r>
      <w:r>
        <w:t>n</w:t>
      </w:r>
      <w:r>
        <w:t>formó que no pudo hallar la solicitud de conexión nº 1993, m</w:t>
      </w:r>
      <w:r>
        <w:t>e</w:t>
      </w:r>
      <w:r>
        <w:t xml:space="preserve">diante la cual </w:t>
      </w:r>
      <w:smartTag w:uri="urn:schemas-microsoft-com:office:smarttags" w:element="PersonName">
        <w:smartTagPr>
          <w:attr w:name="ProductID" w:val="la Direcci￳n"/>
        </w:smartTagPr>
        <w:r>
          <w:t>la Dirección</w:t>
        </w:r>
      </w:smartTag>
      <w:r>
        <w:t xml:space="preserve"> de Observaciones Judiciales r</w:t>
      </w:r>
      <w:r>
        <w:t>e</w:t>
      </w:r>
      <w:r>
        <w:t>quirió la interceptación de las líneas de Monjo nº 501-3147, 501-4774 y 501-6806, la fecha 26 de julio que lucen las solicitudes nº 1992 y 1994 permite inferir que la me</w:t>
      </w:r>
      <w:r>
        <w:t>n</w:t>
      </w:r>
      <w:r>
        <w:t>tada solicitud nº 1993 llev</w:t>
      </w:r>
      <w:r>
        <w:t>a</w:t>
      </w:r>
      <w:r>
        <w:t>ba igual data.</w:t>
      </w:r>
    </w:p>
    <w:p w:rsidR="00224567" w:rsidRDefault="00224567">
      <w:pPr>
        <w:widowControl w:val="0"/>
      </w:pPr>
      <w:r>
        <w:tab/>
        <w:t>Además, las intervenciones de los t</w:t>
      </w:r>
      <w:r>
        <w:t>e</w:t>
      </w:r>
      <w:r>
        <w:t>léfonos de Martínez y Monjo se efectivizaron el 26 de j</w:t>
      </w:r>
      <w:r>
        <w:t>u</w:t>
      </w:r>
      <w:r>
        <w:t>lio y las de los hermanos Telleldín el 27; todas las sol</w:t>
      </w:r>
      <w:r>
        <w:t>i</w:t>
      </w:r>
      <w:r>
        <w:t>citudes ingresaron a las compañías telefónicas el 27, m</w:t>
      </w:r>
      <w:r>
        <w:t>e</w:t>
      </w:r>
      <w:r>
        <w:t xml:space="preserve">nos la de Eduardo Telleldín que ingresó el </w:t>
      </w:r>
      <w:smartTag w:uri="urn:schemas-microsoft-com:office:smarttags" w:element="metricconverter">
        <w:smartTagPr>
          <w:attr w:name="ProductID" w:val="28, a"/>
        </w:smartTagPr>
        <w:r>
          <w:t>28, a</w:t>
        </w:r>
      </w:smartTag>
      <w:r>
        <w:t xml:space="preserve"> las 17.00 (ver solicitudes de conexión nº 1992, “Telefónica Argent</w:t>
      </w:r>
      <w:r>
        <w:t>i</w:t>
      </w:r>
      <w:r>
        <w:t>na S.A.”, nº 1997 y nº 2008, “Telecom Argentina S.A.”, c</w:t>
      </w:r>
      <w:r>
        <w:t>u</w:t>
      </w:r>
      <w:r>
        <w:t>yos originales se encuentran reservados y fs. 925, fs. 6592, fs. 6008/6010, fs. 2830/2832, fs. 922/923 y fs. 1524/1525, todas del legajo de Instrucción Suplement</w:t>
      </w:r>
      <w:r>
        <w:t>a</w:t>
      </w:r>
      <w:r>
        <w:t>ria).</w:t>
      </w:r>
    </w:p>
    <w:p w:rsidR="00224567" w:rsidRDefault="00224567">
      <w:pPr>
        <w:widowControl w:val="0"/>
      </w:pPr>
      <w:r>
        <w:tab/>
        <w:t>Esta secuencia es de lógica correspo</w:t>
      </w:r>
      <w:r>
        <w:t>n</w:t>
      </w:r>
      <w:r>
        <w:t>dencia con el acontecer de los hechos. Entre  la n</w:t>
      </w:r>
      <w:r>
        <w:t>o</w:t>
      </w:r>
      <w:r>
        <w:t>che del 25 y la madrugada del 26 se llegó a Monjo; e</w:t>
      </w:r>
      <w:r>
        <w:t>n</w:t>
      </w:r>
      <w:r>
        <w:t>tre la mañana y la tarde del 26 se efectuaron las observaciones sobre la vivienda de Telleldín y, en la tarde del 26, se habría t</w:t>
      </w:r>
      <w:r>
        <w:t>o</w:t>
      </w:r>
      <w:r>
        <w:t>mado conocimiento acerca de los teléfonos de Eduardo T</w:t>
      </w:r>
      <w:r>
        <w:t>e</w:t>
      </w:r>
      <w:r>
        <w:t>lleldín.</w:t>
      </w:r>
    </w:p>
    <w:p w:rsidR="00224567" w:rsidRDefault="00224567">
      <w:pPr>
        <w:widowControl w:val="0"/>
      </w:pPr>
      <w:r>
        <w:tab/>
        <w:t>Siendo ello así, deviene lógico sost</w:t>
      </w:r>
      <w:r>
        <w:t>e</w:t>
      </w:r>
      <w:r>
        <w:t>ner que tales intervenciones respondieron a tres momentos distintos y en este correlato de los hechos no resulta acept</w:t>
      </w:r>
      <w:r>
        <w:t>a</w:t>
      </w:r>
      <w:r>
        <w:t>ble que todos las intervenciones hayan respondido a un único ped</w:t>
      </w:r>
      <w:r>
        <w:t>i</w:t>
      </w:r>
      <w:r>
        <w:t>do, tal como se formalizó en la causa.</w:t>
      </w:r>
    </w:p>
    <w:p w:rsidR="00224567" w:rsidRDefault="00224567">
      <w:pPr>
        <w:widowControl w:val="0"/>
      </w:pPr>
      <w:r>
        <w:tab/>
        <w:t>En dicho sentido, vale la pena reco</w:t>
      </w:r>
      <w:r>
        <w:t>r</w:t>
      </w:r>
      <w:r>
        <w:t>dar lo afirmado por el juez Galeano y por el testigo Stiuso en cuanto a la importancia que debía darse a las fechas en que se efectivizaron las intervenciones, a la vez que relativizaron el valor de las constancias escritas volcadas en los primeros momentos de la invest</w:t>
      </w:r>
      <w:r>
        <w:t>i</w:t>
      </w:r>
      <w:r>
        <w:t>gación.</w:t>
      </w:r>
    </w:p>
    <w:p w:rsidR="00224567" w:rsidRDefault="00224567">
      <w:pPr>
        <w:widowControl w:val="0"/>
      </w:pPr>
      <w:r>
        <w:tab/>
        <w:t>El juez instructor, en el mencionado incidente de nulidad y en respuesta al planteo acerca de la data de las intervenciones dispuestas a fs. 866, asev</w:t>
      </w:r>
      <w:r>
        <w:t>e</w:t>
      </w:r>
      <w:r>
        <w:t>ró lo siguiente: “Y, si el presentante hubiera tenido en consideración las fechas en que se conectaron las inte</w:t>
      </w:r>
      <w:r>
        <w:t>r</w:t>
      </w:r>
      <w:r>
        <w:t>venciones ordenadas mediante tal solic</w:t>
      </w:r>
      <w:r>
        <w:t>i</w:t>
      </w:r>
      <w:r>
        <w:t>tud, ningún motivo podría haber tenido para efectuar el cuestionamiento que formula, por cuanto hubiera comprendido de inmediato y en su total cl</w:t>
      </w:r>
      <w:r>
        <w:t>a</w:t>
      </w:r>
      <w:r>
        <w:t>ridad el error en que se incurrió”.</w:t>
      </w:r>
    </w:p>
    <w:p w:rsidR="00224567" w:rsidRDefault="00224567">
      <w:pPr>
        <w:widowControl w:val="0"/>
      </w:pPr>
      <w:r>
        <w:tab/>
        <w:t>Por su parte, Stiuso afirmó en el d</w:t>
      </w:r>
      <w:r>
        <w:t>e</w:t>
      </w:r>
      <w:r>
        <w:t>bate que la fecha que presentaba la foja 114 era errónea y que salvo los “blancos islámicos”, entregados al juzgado el día del hecho, era necesario fijarse en las solicitudes de conexión enviadas por Observaciones Judiciales a las empresas telefónicas, las que eran cronológicamente aco</w:t>
      </w:r>
      <w:r>
        <w:t>r</w:t>
      </w:r>
      <w:r>
        <w:t>des a la secuencia Monjo-Telleldín-Edul, alcanzada a pa</w:t>
      </w:r>
      <w:r>
        <w:t>r</w:t>
      </w:r>
      <w:r>
        <w:t>tir de las investigaci</w:t>
      </w:r>
      <w:r>
        <w:t>o</w:t>
      </w:r>
      <w:r>
        <w:t>nes.</w:t>
      </w:r>
    </w:p>
    <w:p w:rsidR="00224567" w:rsidRDefault="00224567">
      <w:pPr>
        <w:widowControl w:val="0"/>
      </w:pPr>
      <w:r>
        <w:tab/>
        <w:t>En ese sentido, corresponde advertir que si bien la intervención del teléfono celular de Al</w:t>
      </w:r>
      <w:r>
        <w:t>e</w:t>
      </w:r>
      <w:r>
        <w:t>jandro Mo</w:t>
      </w:r>
      <w:r>
        <w:t>n</w:t>
      </w:r>
      <w:r>
        <w:t>jo (447-3646) se solicitó y efectivizó el mismo día en que se materializó la observación de las líneas de tierra de su empresa (ver fs. 2706 del legajo de Instru</w:t>
      </w:r>
      <w:r>
        <w:t>c</w:t>
      </w:r>
      <w:r>
        <w:t xml:space="preserve">ción Suplementaria y 2440 del principal), en la causa aquella observación recién se ordenó el 8 de agosto de 1994 (fs. 2233 del principal); irregularidad que está siendo investigada en el marco de la mentada causa nº 9789/00. </w:t>
      </w:r>
    </w:p>
    <w:p w:rsidR="00224567" w:rsidRDefault="00224567">
      <w:pPr>
        <w:widowControl w:val="0"/>
      </w:pPr>
      <w:r>
        <w:tab/>
        <w:t>También cabe traer a colación otros acontecimientos que si bien ponderados en forma aislada nada perm</w:t>
      </w:r>
      <w:r>
        <w:t>i</w:t>
      </w:r>
      <w:r>
        <w:t>ten inferir, aunados a las circunstancias arriba descriptas refuerzan la convicción de que no se ha doc</w:t>
      </w:r>
      <w:r>
        <w:t>u</w:t>
      </w:r>
      <w:r>
        <w:t>mentado en la causa, de forma fidedigna, lo realmente acont</w:t>
      </w:r>
      <w:r>
        <w:t>e</w:t>
      </w:r>
      <w:r>
        <w:t>cido respecto de algunos aspectos de la pesquisa.</w:t>
      </w:r>
    </w:p>
    <w:p w:rsidR="00224567" w:rsidRDefault="00224567">
      <w:pPr>
        <w:widowControl w:val="0"/>
      </w:pPr>
      <w:r>
        <w:tab/>
        <w:t>Esa es la única explicación posible a la i</w:t>
      </w:r>
      <w:r>
        <w:t>n</w:t>
      </w:r>
      <w:r>
        <w:t>existencia de constancias que expliquen la aparición de datos fundamentales para la investigación, siendo el caso más emblemático la obtención del domicilio de Telle</w:t>
      </w:r>
      <w:r>
        <w:t>l</w:t>
      </w:r>
      <w:r>
        <w:t>dín.</w:t>
      </w:r>
    </w:p>
    <w:p w:rsidR="00224567" w:rsidRDefault="00224567">
      <w:pPr>
        <w:widowControl w:val="0"/>
      </w:pPr>
      <w:r>
        <w:tab/>
        <w:t>En ese sentido, debe señalarse que r</w:t>
      </w:r>
      <w:r>
        <w:t>e</w:t>
      </w:r>
      <w:r>
        <w:t xml:space="preserve">cién con las declaraciones en el debate de los agentes de </w:t>
      </w:r>
      <w:smartTag w:uri="urn:schemas-microsoft-com:office:smarttags" w:element="PersonName">
        <w:smartTagPr>
          <w:attr w:name="ProductID" w:val="la Secretar￭a"/>
        </w:smartTagPr>
        <w:r>
          <w:t>la Secretaría</w:t>
        </w:r>
      </w:smartTag>
      <w:r>
        <w:t xml:space="preserve"> de Inteligencia pudo conocerse que aquella dirección fue obtenida una vez individualizado el tel</w:t>
      </w:r>
      <w:r>
        <w:t>é</w:t>
      </w:r>
      <w:r>
        <w:t>fono; aspecto acerca del cual, no obstante, se ofrecieron dos versiones.</w:t>
      </w:r>
    </w:p>
    <w:p w:rsidR="00224567" w:rsidRDefault="00224567">
      <w:pPr>
        <w:widowControl w:val="0"/>
      </w:pPr>
      <w:r>
        <w:br w:type="page"/>
      </w:r>
      <w:r>
        <w:tab/>
        <w:t>Mientras Jorge Luis Lucas, Horacio A</w:t>
      </w:r>
      <w:r>
        <w:t>n</w:t>
      </w:r>
      <w:r>
        <w:t>tonio Stiuso, Luis Domingo Delizia, Roberto Jorge S</w:t>
      </w:r>
      <w:r>
        <w:t>a</w:t>
      </w:r>
      <w:r>
        <w:t>ller y Daniel Alberto Fernández afirmaron que la línea fue apo</w:t>
      </w:r>
      <w:r>
        <w:t>r</w:t>
      </w:r>
      <w:r>
        <w:t>tada el 26 de julio en ocasión de allanar la agencia de Monjo, Néstor Ricardo Hernández no pudo precisar si fue obt</w:t>
      </w:r>
      <w:r>
        <w:t>e</w:t>
      </w:r>
      <w:r>
        <w:t>nida en la mencionada diligencia o en investigaciones pra</w:t>
      </w:r>
      <w:r>
        <w:t>c</w:t>
      </w:r>
      <w:r>
        <w:t>ticadas en domicilios que surgieron a partir de dicho all</w:t>
      </w:r>
      <w:r>
        <w:t>a</w:t>
      </w:r>
      <w:r>
        <w:t>namiento.</w:t>
      </w:r>
    </w:p>
    <w:p w:rsidR="00224567" w:rsidRDefault="00224567">
      <w:pPr>
        <w:widowControl w:val="0"/>
      </w:pPr>
      <w:r>
        <w:tab/>
        <w:t>Ahora cabe analizar la foja 870, en la que obra un oficio de fecha 26 de julio de 1994, también su</w:t>
      </w:r>
      <w:r>
        <w:t>s</w:t>
      </w:r>
      <w:r>
        <w:t>cripto por el entonces Subsecretario de Inteligencia de Estado, por el que se solicitó la inte</w:t>
      </w:r>
      <w:r>
        <w:t>r</w:t>
      </w:r>
      <w:r>
        <w:t>vención telefónica de los números 449-4706, 942-9181, 941-8060 y 201-4637, como así también que se requiera a las respectivas prest</w:t>
      </w:r>
      <w:r>
        <w:t>a</w:t>
      </w:r>
      <w:r>
        <w:t>tarias de servicios de telefonía los registros de llamadas nacionales e internacionales que pudieran resultar de i</w:t>
      </w:r>
      <w:r>
        <w:t>n</w:t>
      </w:r>
      <w:r>
        <w:t>terés. Según el cargo suscripto por el prosecretario Juan P</w:t>
      </w:r>
      <w:r>
        <w:t>a</w:t>
      </w:r>
      <w:r>
        <w:t xml:space="preserve">blo Sassano, dicho pedido fue recibido en la secretaría del juzgado el 26 de julio de </w:t>
      </w:r>
      <w:smartTag w:uri="urn:schemas-microsoft-com:office:smarttags" w:element="metricconverter">
        <w:smartTagPr>
          <w:attr w:name="ProductID" w:val="1994, a"/>
        </w:smartTagPr>
        <w:r>
          <w:t>1994, a</w:t>
        </w:r>
      </w:smartTag>
      <w:r>
        <w:t xml:space="preserve"> las 11.00.</w:t>
      </w:r>
    </w:p>
    <w:p w:rsidR="00224567" w:rsidRDefault="00224567">
      <w:pPr>
        <w:widowControl w:val="0"/>
      </w:pPr>
      <w:r>
        <w:tab/>
        <w:t>Puesta en crisis la veracidad de las consta</w:t>
      </w:r>
      <w:r>
        <w:t>n</w:t>
      </w:r>
      <w:r>
        <w:t>cias asentadas en el cargo de fs. 865, aún después de la rectificación dispuesta, también resulta razonable poner en tela de juicio el horario en que se dice rece</w:t>
      </w:r>
      <w:r>
        <w:t>p</w:t>
      </w:r>
      <w:r>
        <w:t>cionada la solicitud de fs. 870, toda vez que parece alt</w:t>
      </w:r>
      <w:r>
        <w:t>a</w:t>
      </w:r>
      <w:r>
        <w:t>mente impr</w:t>
      </w:r>
      <w:r>
        <w:t>o</w:t>
      </w:r>
      <w:r>
        <w:t xml:space="preserve">bable que en el transcurso de cincuenta minutos el personal de </w:t>
      </w:r>
      <w:smartTag w:uri="urn:schemas-microsoft-com:office:smarttags" w:element="PersonName">
        <w:smartTagPr>
          <w:attr w:name="ProductID" w:val="la S.I"/>
        </w:smartTagPr>
        <w:r>
          <w:t>la S.I</w:t>
        </w:r>
      </w:smartTag>
      <w:r>
        <w:t>.D.E. haya requerido los listados de ll</w:t>
      </w:r>
      <w:r>
        <w:t>a</w:t>
      </w:r>
      <w:r>
        <w:t>mados de que da cuenta la nota de fs. 865, que el juez haya ordenado tal medida, que se hayan diligenciado los oficios, que se haya recibido la información de las empr</w:t>
      </w:r>
      <w:r>
        <w:t>e</w:t>
      </w:r>
      <w:r>
        <w:t>sas de telefonía, que se la haya procesado y que se hubi</w:t>
      </w:r>
      <w:r>
        <w:t>e</w:t>
      </w:r>
      <w:r>
        <w:t>ra retornado al juzgado a peticionar nuevas medidas a pa</w:t>
      </w:r>
      <w:r>
        <w:t>r</w:t>
      </w:r>
      <w:r>
        <w:t>tir de los datos o</w:t>
      </w:r>
      <w:r>
        <w:t>b</w:t>
      </w:r>
      <w:r>
        <w:t>tenidos.</w:t>
      </w:r>
    </w:p>
    <w:p w:rsidR="00224567" w:rsidRDefault="00224567">
      <w:pPr>
        <w:widowControl w:val="0"/>
      </w:pPr>
      <w:r>
        <w:tab/>
        <w:t>Un análisis de los teléfonos consign</w:t>
      </w:r>
      <w:r>
        <w:t>a</w:t>
      </w:r>
      <w:r>
        <w:t>dos en la foja 870 permite advertir que a la fecha de su presentación no existían en la causa constancias que p</w:t>
      </w:r>
      <w:r>
        <w:t>u</w:t>
      </w:r>
      <w:r>
        <w:t>dieran explicar las razones del mencionado requ</w:t>
      </w:r>
      <w:r>
        <w:t>e</w:t>
      </w:r>
      <w:r>
        <w:t>rimiento.</w:t>
      </w:r>
    </w:p>
    <w:p w:rsidR="00224567" w:rsidRDefault="00224567">
      <w:pPr>
        <w:widowControl w:val="0"/>
      </w:pPr>
      <w:r>
        <w:tab/>
        <w:t>En efecto, fue en el oficio de trato la primera oportunidad en que se mencionan las tres líneas de teléfono de Kanoore Edul (449-4706, 942-9181, 941-8060), resultando infructuosa la búsqueda de los antec</w:t>
      </w:r>
      <w:r>
        <w:t>e</w:t>
      </w:r>
      <w:r>
        <w:t>dentes que impulsaron dicho pedimento.</w:t>
      </w:r>
    </w:p>
    <w:p w:rsidR="00224567" w:rsidRDefault="00224567">
      <w:pPr>
        <w:widowControl w:val="0"/>
      </w:pPr>
      <w:r>
        <w:tab/>
        <w:t>Primeramente, cabe resaltar que nunca se incorporó a la causa el listado de llamadas salientes de la empresa “Movicom” dirigidas al 768-0902, solicitado a fs. 866 y del que se desprende el contacto del 10 de j</w:t>
      </w:r>
      <w:r>
        <w:t>u</w:t>
      </w:r>
      <w:r>
        <w:t>lio entre el celular 449-4706 de Kanoore Edul y el tel</w:t>
      </w:r>
      <w:r>
        <w:t>é</w:t>
      </w:r>
      <w:r>
        <w:t>fono de Telleldín y Boragni; co</w:t>
      </w:r>
      <w:r>
        <w:t>n</w:t>
      </w:r>
      <w:r>
        <w:t>tacto que Stiuso mencionó en el debate como punto de partida para investigar a aquél.</w:t>
      </w:r>
    </w:p>
    <w:p w:rsidR="00224567" w:rsidRDefault="00224567">
      <w:pPr>
        <w:widowControl w:val="0"/>
      </w:pPr>
      <w:r>
        <w:tab/>
        <w:t>Corresponde precisar que dicho conta</w:t>
      </w:r>
      <w:r>
        <w:t>c</w:t>
      </w:r>
      <w:r>
        <w:t>to recién surge a fs. 1345/1356 entre los cientos de ll</w:t>
      </w:r>
      <w:r>
        <w:t>a</w:t>
      </w:r>
      <w:r>
        <w:t>mados que se detallan en el listado correspondiente al t</w:t>
      </w:r>
      <w:r>
        <w:t>e</w:t>
      </w:r>
      <w:r>
        <w:t>léfono celular 449-4706 de Kanoore Edul, expedido por la empresa “Movicom” con fecha 29 de julio; info</w:t>
      </w:r>
      <w:r>
        <w:t>r</w:t>
      </w:r>
      <w:r>
        <w:t>mación de la que ta</w:t>
      </w:r>
      <w:r>
        <w:t>m</w:t>
      </w:r>
      <w:r>
        <w:t>bién dio cuenta la reseña del D.P.O.C. de fecha 30 de julio, obrante a fs. 1770/1772, en la que por primera vez se señaló la existencia del llamado en cuestión.</w:t>
      </w:r>
    </w:p>
    <w:p w:rsidR="00224567" w:rsidRDefault="00224567">
      <w:pPr>
        <w:widowControl w:val="0"/>
      </w:pPr>
      <w:r>
        <w:tab/>
        <w:t>También arrojó resultado negativo la búsqueda de los antecedentes que explicaran cómo se all</w:t>
      </w:r>
      <w:r>
        <w:t>e</w:t>
      </w:r>
      <w:r>
        <w:t>garon a la investigación las líneas 941-8060 y 942-9181 de Kanoore Edul, las cuales son mencionadas por primera vez en el referido listado de llamadas de la empresa “Mov</w:t>
      </w:r>
      <w:r>
        <w:t>i</w:t>
      </w:r>
      <w:r>
        <w:t>com”, en el que se informó, además, que la primera de las líneas pertenecía a la firma “Aliantex S.R.L.” de Kanoore Edul, con domicilio en Constitución 2695 de esta ciudad.</w:t>
      </w:r>
    </w:p>
    <w:p w:rsidR="00224567" w:rsidRDefault="00224567">
      <w:pPr>
        <w:widowControl w:val="0"/>
      </w:pPr>
      <w:r>
        <w:tab/>
        <w:t>En cuanto al 942-9181 recién se con</w:t>
      </w:r>
      <w:r>
        <w:t>o</w:t>
      </w:r>
      <w:r>
        <w:t>ció su titularidad a fs. 1929/1930, al mencionarlo Kanoore Edul en su testimonio del 2 de agosto de 1994.</w:t>
      </w:r>
    </w:p>
    <w:p w:rsidR="00224567" w:rsidRDefault="00224567">
      <w:pPr>
        <w:widowControl w:val="0"/>
      </w:pPr>
      <w:r>
        <w:tab/>
        <w:t>Con relación a la línea 201-4637, su</w:t>
      </w:r>
      <w:r>
        <w:t>r</w:t>
      </w:r>
      <w:r>
        <w:t>ge como único antecedente la constancia de fs. 24/25, en la que se consigna que dicho número telefón</w:t>
      </w:r>
      <w:r>
        <w:t>i</w:t>
      </w:r>
      <w:r>
        <w:t xml:space="preserve">co pertenece a Nassib Haddad, dueño de la firma “Santa Rita”, proveedora de los volquetes que habían sido dejados en la puerta de </w:t>
      </w:r>
      <w:smartTag w:uri="urn:schemas-microsoft-com:office:smarttags" w:element="PersonName">
        <w:smartTagPr>
          <w:attr w:name="ProductID" w:val="la A.M"/>
        </w:smartTagPr>
        <w:r>
          <w:t>la A.M</w:t>
        </w:r>
      </w:smartTag>
      <w:r>
        <w:t>.I.A. y en las inmediaciones de la vivienda propi</w:t>
      </w:r>
      <w:r>
        <w:t>e</w:t>
      </w:r>
      <w:r>
        <w:t>dad de Kanoore Edul.</w:t>
      </w:r>
    </w:p>
    <w:p w:rsidR="00224567" w:rsidRDefault="00224567">
      <w:pPr>
        <w:widowControl w:val="0"/>
      </w:pPr>
      <w:r>
        <w:tab/>
        <w:t>La información acerca de la exi</w:t>
      </w:r>
      <w:r>
        <w:t>s</w:t>
      </w:r>
      <w:r>
        <w:t>tencia de dicho número telefónico no era nueva y su i</w:t>
      </w:r>
      <w:r>
        <w:t>n</w:t>
      </w:r>
      <w:r>
        <w:t>tervención parecería responder al hipotético vínculo entre el volqu</w:t>
      </w:r>
      <w:r>
        <w:t>e</w:t>
      </w:r>
      <w:r>
        <w:t>te, los domicilios de Kanoore Edul y e</w:t>
      </w:r>
      <w:r>
        <w:t>n</w:t>
      </w:r>
      <w:r>
        <w:t>tre este último con Telleldín, en virtud del llamado aludido, que, como se d</w:t>
      </w:r>
      <w:r>
        <w:t>i</w:t>
      </w:r>
      <w:r>
        <w:t>jo, se desprende de la causa con posterioridad al 26 de julio.</w:t>
      </w:r>
    </w:p>
    <w:p w:rsidR="00224567" w:rsidRDefault="00224567">
      <w:pPr>
        <w:widowControl w:val="0"/>
      </w:pPr>
      <w:r>
        <w:br w:type="page"/>
      </w:r>
      <w:r>
        <w:tab/>
        <w:t>Cabe agregar que tanto las solic</w:t>
      </w:r>
      <w:r>
        <w:t>i</w:t>
      </w:r>
      <w:r>
        <w:t>tudes de conexión libradas por Observaciones Judiciales a las empresas telefónicas de las cuatro líneas mencionadas en la nota de fs. 870, como el inicio efectivo de su inte</w:t>
      </w:r>
      <w:r>
        <w:t>r</w:t>
      </w:r>
      <w:r>
        <w:t>ceptación, son del 29 y 30 de julio; es decir, bastante posteriores al pedido de intervención y al consecuente a</w:t>
      </w:r>
      <w:r>
        <w:t>u</w:t>
      </w:r>
      <w:r>
        <w:t xml:space="preserve">to del 26 de julio que así lo dispuso (ver solicitudes de conexión nº </w:t>
      </w:r>
      <w:smartTag w:uri="urn:schemas-microsoft-com:office:smarttags" w:element="metricconverter">
        <w:smartTagPr>
          <w:attr w:name="ProductID" w:val="2053 a"/>
        </w:smartTagPr>
        <w:r>
          <w:t>2053 a</w:t>
        </w:r>
      </w:smartTag>
      <w:r>
        <w:t xml:space="preserve"> “Movicom”, 2052, 2065 y </w:t>
      </w:r>
      <w:smartTag w:uri="urn:schemas-microsoft-com:office:smarttags" w:element="metricconverter">
        <w:smartTagPr>
          <w:attr w:name="ProductID" w:val="2066 a"/>
        </w:smartTagPr>
        <w:r>
          <w:t>2066 a</w:t>
        </w:r>
      </w:smartTag>
      <w:r>
        <w:t xml:space="preserve"> “Telef</w:t>
      </w:r>
      <w:r>
        <w:t>ó</w:t>
      </w:r>
      <w:r>
        <w:t>nica Argentina”, fs. 1524 del legajo de Instrucción Supl</w:t>
      </w:r>
      <w:r>
        <w:t>e</w:t>
      </w:r>
      <w:r>
        <w:t>mentaria y fs. 2825, 2438 y 2799 del principal).</w:t>
      </w:r>
    </w:p>
    <w:p w:rsidR="00224567" w:rsidRDefault="00224567">
      <w:pPr>
        <w:widowControl w:val="0"/>
      </w:pPr>
      <w:r>
        <w:tab/>
        <w:t>En ese sentido, resulta oportuno ind</w:t>
      </w:r>
      <w:r>
        <w:t>i</w:t>
      </w:r>
      <w:r>
        <w:t>car que entre la orden judicial de intervención y los p</w:t>
      </w:r>
      <w:r>
        <w:t>e</w:t>
      </w:r>
      <w:r>
        <w:t xml:space="preserve">didos de conexión efectuados a las compañías telefónicas por </w:t>
      </w:r>
      <w:smartTag w:uri="urn:schemas-microsoft-com:office:smarttags" w:element="PersonName">
        <w:smartTagPr>
          <w:attr w:name="ProductID" w:val="la Direcci￳n"/>
        </w:smartTagPr>
        <w:r>
          <w:t>la Dirección</w:t>
        </w:r>
      </w:smartTag>
      <w:r>
        <w:t xml:space="preserve"> de Observaciones Judiciales transcurri</w:t>
      </w:r>
      <w:r>
        <w:t>e</w:t>
      </w:r>
      <w:r>
        <w:t>ron, más allá de la fecha en que ellos se efectivizaron, tres y cuatro días; lapso que en modo alguno se correspo</w:t>
      </w:r>
      <w:r>
        <w:t>n</w:t>
      </w:r>
      <w:r>
        <w:t>de con la metodología de trabajo que, por esos días, i</w:t>
      </w:r>
      <w:r>
        <w:t>m</w:t>
      </w:r>
      <w:r>
        <w:t xml:space="preserve">plementaba en la materia </w:t>
      </w:r>
      <w:smartTag w:uri="urn:schemas-microsoft-com:office:smarttags" w:element="PersonName">
        <w:smartTagPr>
          <w:attr w:name="ProductID" w:val="la Secretar￭a"/>
        </w:smartTagPr>
        <w:r>
          <w:t>la S</w:t>
        </w:r>
        <w:r>
          <w:t>e</w:t>
        </w:r>
        <w:r>
          <w:t>cretaría</w:t>
        </w:r>
      </w:smartTag>
      <w:r>
        <w:t xml:space="preserve"> de Inteligencia.</w:t>
      </w:r>
    </w:p>
    <w:p w:rsidR="00224567" w:rsidRDefault="00224567">
      <w:pPr>
        <w:widowControl w:val="0"/>
      </w:pPr>
      <w:r>
        <w:tab/>
        <w:t>Al respecto, cabe traer a colación los dichos de Stiuso, quien explicó que casi siempre, para g</w:t>
      </w:r>
      <w:r>
        <w:t>a</w:t>
      </w:r>
      <w:r>
        <w:t>nar tiempo, la orden judicial de interceptación era verbal y luego llegaba el respectivo oficio, dependiendo de la empresa telefónica la demora o no en la materialización de la conexión; mecánica que también refirió Carlos María P</w:t>
      </w:r>
      <w:r>
        <w:t>a</w:t>
      </w:r>
      <w:r>
        <w:t>blo Lavie al señalar que, en c</w:t>
      </w:r>
      <w:r>
        <w:t>a</w:t>
      </w:r>
      <w:r>
        <w:t>sos urgentes, se empezaba a trabajar con la orden verbal de intervención telefónica, dada por la autoridad judicial, enviándose luego el of</w:t>
      </w:r>
      <w:r>
        <w:t>i</w:t>
      </w:r>
      <w:r>
        <w:t>cio.</w:t>
      </w:r>
    </w:p>
    <w:p w:rsidR="00224567" w:rsidRDefault="00224567">
      <w:pPr>
        <w:widowControl w:val="0"/>
      </w:pPr>
      <w:r>
        <w:tab/>
        <w:t>Incluso, Stiuso refirió que el 27 de julio, en horas de la noche, llegó el informe de la comp</w:t>
      </w:r>
      <w:r>
        <w:t>a</w:t>
      </w:r>
      <w:r>
        <w:t>ñía de telefonía celular, relativo a las llamadas efectu</w:t>
      </w:r>
      <w:r>
        <w:t>a</w:t>
      </w:r>
      <w:r>
        <w:t>das a República 107, en el  que surgía el llamado de K</w:t>
      </w:r>
      <w:r>
        <w:t>a</w:t>
      </w:r>
      <w:r>
        <w:t>noore Edul a Telleldín del día 10 de julio; momento a pa</w:t>
      </w:r>
      <w:r>
        <w:t>r</w:t>
      </w:r>
      <w:r>
        <w:t>tir del cual se comenzó a investigar a aquel sujeto.</w:t>
      </w:r>
    </w:p>
    <w:p w:rsidR="00224567" w:rsidRDefault="00224567">
      <w:pPr>
        <w:widowControl w:val="0"/>
      </w:pPr>
      <w:r>
        <w:tab/>
        <w:t>En consecuencia, a partir de ese m</w:t>
      </w:r>
      <w:r>
        <w:t>o</w:t>
      </w:r>
      <w:r>
        <w:t>mento y no antes tendría explicación la solicitud de fs. 870; pedido que, inexplicablemente, lleva fecha 26 de j</w:t>
      </w:r>
      <w:r>
        <w:t>u</w:t>
      </w:r>
      <w:r>
        <w:t>lio y que fue recibido en el juzgado ese mismo día, a las 11.00.</w:t>
      </w:r>
    </w:p>
    <w:p w:rsidR="00224567" w:rsidRDefault="00224567">
      <w:pPr>
        <w:widowControl w:val="0"/>
      </w:pPr>
      <w:r>
        <w:tab/>
        <w:t>Por otra parte, deben tildarse de v</w:t>
      </w:r>
      <w:r>
        <w:t>e</w:t>
      </w:r>
      <w:r>
        <w:t>races los dichos de Stiuso relativos al momento en que r</w:t>
      </w:r>
      <w:r>
        <w:t>e</w:t>
      </w:r>
      <w:r>
        <w:t xml:space="preserve">cibió el listado de llamadas al que hizo referencia por cuanto deviene incomprensible que el </w:t>
      </w:r>
      <w:smartTag w:uri="urn:schemas-microsoft-com:office:smarttags" w:element="metricconverter">
        <w:smartTagPr>
          <w:attr w:name="ProductID" w:val="26 a"/>
        </w:smartTagPr>
        <w:r>
          <w:t>26 a</w:t>
        </w:r>
      </w:smartTag>
      <w:r>
        <w:t xml:space="preserve"> las 11.00 haya estado no sólo diligenciado el pedido a “Movicom”, sino también contestado y procesada la respue</w:t>
      </w:r>
      <w:r>
        <w:t>s</w:t>
      </w:r>
      <w:r>
        <w:t xml:space="preserve">ta que llevó a </w:t>
      </w:r>
      <w:smartTag w:uri="urn:schemas-microsoft-com:office:smarttags" w:element="PersonName">
        <w:smartTagPr>
          <w:attr w:name="ProductID" w:val="la S.I"/>
        </w:smartTagPr>
        <w:r>
          <w:t>la S.I</w:t>
        </w:r>
      </w:smartTag>
      <w:r>
        <w:t>.D.E. a presentar la nota de fs. 870; máxime si se a</w:t>
      </w:r>
      <w:r>
        <w:t>d</w:t>
      </w:r>
      <w:r>
        <w:t>vierte que el oficio librado a “M</w:t>
      </w:r>
      <w:r>
        <w:t>i</w:t>
      </w:r>
      <w:r>
        <w:t>niphone”, con motivo de lo dispuesto a fs. 866, recién fue diligenciado el 27 de julio y aparentemente reiterado el 1º de agosto (ver fs. 2766/2767), mientras que la respuesta de “Telecom”, de f</w:t>
      </w:r>
      <w:r>
        <w:t>e</w:t>
      </w:r>
      <w:r>
        <w:t>cha 2 de agosto, afirma haber sido expedida en contest</w:t>
      </w:r>
      <w:r>
        <w:t>a</w:t>
      </w:r>
      <w:r>
        <w:t>ción a una nota del 1º de agosto (ver fs. 1758/1759).</w:t>
      </w:r>
    </w:p>
    <w:p w:rsidR="00224567" w:rsidRDefault="00224567">
      <w:pPr>
        <w:widowControl w:val="0"/>
      </w:pPr>
      <w:r>
        <w:tab/>
        <w:t>Por último, resta mencionar, en prueba de que en algunos aspectos de la causa lo volcado en ella no r</w:t>
      </w:r>
      <w:r>
        <w:t>e</w:t>
      </w:r>
      <w:r>
        <w:t>fleja lo verdaderamente ocurrido, que al solicitarse el envío de los oficios originales de intervención rel</w:t>
      </w:r>
      <w:r>
        <w:t>a</w:t>
      </w:r>
      <w:r>
        <w:t xml:space="preserve">cionados con la presente causa, </w:t>
      </w:r>
      <w:smartTag w:uri="urn:schemas-microsoft-com:office:smarttags" w:element="PersonName">
        <w:smartTagPr>
          <w:attr w:name="ProductID" w:val="la Direcci￳n"/>
        </w:smartTagPr>
        <w:r>
          <w:t>la Dirección</w:t>
        </w:r>
      </w:smartTag>
      <w:r>
        <w:t xml:space="preserve"> de Observ</w:t>
      </w:r>
      <w:r>
        <w:t>a</w:t>
      </w:r>
      <w:r>
        <w:t>ciones Judiciales remitió a fs. 4855 y 7766 del legajo de Instru</w:t>
      </w:r>
      <w:r>
        <w:t>c</w:t>
      </w:r>
      <w:r>
        <w:t>ción Suplementaria dos oficios distintos ordenando las intervenciones telefónicas dispuestas como consecue</w:t>
      </w:r>
      <w:r>
        <w:t>n</w:t>
      </w:r>
      <w:r>
        <w:t>cia de la sol</w:t>
      </w:r>
      <w:r>
        <w:t>i</w:t>
      </w:r>
      <w:r>
        <w:t>citud de fs. 870.</w:t>
      </w:r>
    </w:p>
    <w:p w:rsidR="00224567" w:rsidRDefault="00224567">
      <w:pPr>
        <w:widowControl w:val="0"/>
      </w:pPr>
      <w:r>
        <w:br w:type="page"/>
      </w:r>
      <w:r>
        <w:tab/>
        <w:t>El primero de ellos es de fecha 25 de julio y difiere, en la data y en el texto, con la copia agregada a fs. 872; oficio que, conforme el sello que pr</w:t>
      </w:r>
      <w:r>
        <w:t>e</w:t>
      </w:r>
      <w:r>
        <w:t>senta, ingr</w:t>
      </w:r>
      <w:r>
        <w:t>e</w:t>
      </w:r>
      <w:r>
        <w:t xml:space="preserve">só en </w:t>
      </w:r>
      <w:smartTag w:uri="urn:schemas-microsoft-com:office:smarttags" w:element="PersonName">
        <w:smartTagPr>
          <w:attr w:name="ProductID" w:val="la Direcci￳n"/>
        </w:smartTagPr>
        <w:r>
          <w:t>la Dirección</w:t>
        </w:r>
      </w:smartTag>
      <w:r>
        <w:t xml:space="preserve"> de Observaciones Judiciales el 25 de julio, a las 10.00, luciendo, ad</w:t>
      </w:r>
      <w:r>
        <w:t>e</w:t>
      </w:r>
      <w:r>
        <w:t>más, otro sello estampado, completado a mano, donde se lee igual fecha.</w:t>
      </w:r>
    </w:p>
    <w:p w:rsidR="00224567" w:rsidRDefault="00224567">
      <w:pPr>
        <w:widowControl w:val="0"/>
      </w:pPr>
      <w:r>
        <w:tab/>
        <w:t>El segundo, de fecha 26 de julio de 1994, se corresponde con la copia que se encuentra gl</w:t>
      </w:r>
      <w:r>
        <w:t>o</w:t>
      </w:r>
      <w:r>
        <w:t>sada a fs. 872, recibido en la mencionada dirección ese mismo día, a las 10.00; al igual que el anterior, también pr</w:t>
      </w:r>
      <w:r>
        <w:t>e</w:t>
      </w:r>
      <w:r>
        <w:t>senta un sello completado a mano que luce la misma fecha.</w:t>
      </w:r>
    </w:p>
    <w:p w:rsidR="00224567" w:rsidRDefault="00224567">
      <w:pPr>
        <w:widowControl w:val="0"/>
      </w:pPr>
      <w:r>
        <w:tab/>
        <w:t>De acuerdo al relato efectuado, ni</w:t>
      </w:r>
      <w:r>
        <w:t>n</w:t>
      </w:r>
      <w:r>
        <w:t>guno de los dos oficios responde a lo sucedido en la ca</w:t>
      </w:r>
      <w:r>
        <w:t>u</w:t>
      </w:r>
      <w:r>
        <w:t>sa, en razón que la información con la que debió contarse para solicitar su libramiento recién se tuvo, como se d</w:t>
      </w:r>
      <w:r>
        <w:t>i</w:t>
      </w:r>
      <w:r>
        <w:t>jo, el 27 de julio, en horas de la noche, al tomarse con</w:t>
      </w:r>
      <w:r>
        <w:t>o</w:t>
      </w:r>
      <w:r>
        <w:t>cimiento de la supuesta vinculación de Kanoore Edul con Telleldín.</w:t>
      </w:r>
    </w:p>
    <w:p w:rsidR="00224567" w:rsidRDefault="00224567">
      <w:pPr>
        <w:widowControl w:val="0"/>
      </w:pPr>
      <w:r>
        <w:tab/>
        <w:t xml:space="preserve">Asimismo, cabe recordar que a las 10.00 del 26 de julio, horario en que según el cargo de </w:t>
      </w:r>
      <w:smartTag w:uri="urn:schemas-microsoft-com:office:smarttags" w:element="PersonName">
        <w:smartTagPr>
          <w:attr w:name="ProductID" w:val="la S.I"/>
        </w:smartTagPr>
        <w:r>
          <w:t>la S.I</w:t>
        </w:r>
      </w:smartTag>
      <w:r>
        <w:t>.D.E. ingresó el oficio copiado a fs. 872, no sólo no se había producido aún el encuentro con Bora</w:t>
      </w:r>
      <w:r>
        <w:t>g</w:t>
      </w:r>
      <w:r>
        <w:t>ni, sino que el pedido de fs. 870, por el que se libró dicho oficio, ingr</w:t>
      </w:r>
      <w:r>
        <w:t>e</w:t>
      </w:r>
      <w:r>
        <w:t>só al juzgado a las 11.00 de ese mismo día; es decir, una hora después.</w:t>
      </w:r>
    </w:p>
    <w:p w:rsidR="00224567" w:rsidRDefault="00224567">
      <w:pPr>
        <w:widowControl w:val="0"/>
      </w:pPr>
      <w:r>
        <w:tab/>
        <w:t>Iguales consideraciones corresponde formular con relación al oficio que luce fecha 25 de j</w:t>
      </w:r>
      <w:r>
        <w:t>u</w:t>
      </w:r>
      <w:r>
        <w:t xml:space="preserve">lio, que también pareció responder a la solicitud de fs. 870, debiendo  añadirse  que a las 10.00  del 25 de julio -horario en que, según el cargo de </w:t>
      </w:r>
      <w:smartTag w:uri="urn:schemas-microsoft-com:office:smarttags" w:element="PersonName">
        <w:smartTagPr>
          <w:attr w:name="ProductID" w:val="la S.I"/>
        </w:smartTagPr>
        <w:r>
          <w:t>la S.I</w:t>
        </w:r>
      </w:smartTag>
      <w:r>
        <w:t xml:space="preserve">.D.E., ingresó el oficio- el juez Galeano todavía no había regresado de </w:t>
      </w:r>
      <w:smartTag w:uri="urn:schemas-microsoft-com:office:smarttags" w:element="PersonName">
        <w:smartTagPr>
          <w:attr w:name="ProductID" w:val="la Rep￺blica"/>
        </w:smartTagPr>
        <w:r>
          <w:t>la República</w:t>
        </w:r>
      </w:smartTag>
      <w:r>
        <w:t xml:space="preserve"> de Venezuela, conforme se desprende de fs. 903/906 del principal y de la declaración en el debate de </w:t>
      </w:r>
      <w:smartTag w:uri="urn:schemas-microsoft-com:office:smarttags" w:element="PersonName">
        <w:smartTagPr>
          <w:attr w:name="ProductID" w:val="la Dra. Mar￭a"/>
        </w:smartTagPr>
        <w:r>
          <w:t>la Dra. María</w:t>
        </w:r>
      </w:smartTag>
      <w:r>
        <w:t xml:space="preserve"> Susana Sp</w:t>
      </w:r>
      <w:r>
        <w:t>i</w:t>
      </w:r>
      <w:r>
        <w:t>na.</w:t>
      </w:r>
    </w:p>
    <w:p w:rsidR="00224567" w:rsidRDefault="00224567">
      <w:pPr>
        <w:pStyle w:val="Textoindependiente"/>
        <w:spacing w:line="600" w:lineRule="auto"/>
      </w:pPr>
      <w:r>
        <w:tab/>
        <w:t>En virtud de lo expuesto, corresponde inve</w:t>
      </w:r>
      <w:r>
        <w:t>s</w:t>
      </w:r>
      <w:r>
        <w:t>tigar la posible comisión de delitos de a</w:t>
      </w:r>
      <w:r>
        <w:t>c</w:t>
      </w:r>
      <w:r>
        <w:t>ción pública que resultan del cotejo de las fechas estampadas en las actu</w:t>
      </w:r>
      <w:r>
        <w:t>a</w:t>
      </w:r>
      <w:r>
        <w:t>ciones glosadas a fs. 865, 866, 870, 871, 872 y de los re</w:t>
      </w:r>
      <w:r>
        <w:t>s</w:t>
      </w:r>
      <w:r>
        <w:t>pectivos oficios originales de intervención telefónica que se encuentran reservados en Secr</w:t>
      </w:r>
      <w:r>
        <w:t>e</w:t>
      </w:r>
      <w:r>
        <w:t>taría.</w:t>
      </w:r>
    </w:p>
    <w:p w:rsidR="00224567" w:rsidRDefault="00224567">
      <w:pPr>
        <w:widowControl w:val="0"/>
      </w:pPr>
      <w:r>
        <w:tab/>
      </w:r>
      <w:r>
        <w:rPr>
          <w:b/>
          <w:bCs/>
        </w:rPr>
        <w:t>A.3.e)</w:t>
      </w:r>
      <w:r>
        <w:t xml:space="preserve"> Finalmente, el tribunal no pu</w:t>
      </w:r>
      <w:r>
        <w:t>e</w:t>
      </w:r>
      <w:r>
        <w:t>de soslayar las graves irregularidades verificadas con r</w:t>
      </w:r>
      <w:r>
        <w:t>e</w:t>
      </w:r>
      <w:r>
        <w:t>lación a la pérdida de las cintas que reflejaban las co</w:t>
      </w:r>
      <w:r>
        <w:t>n</w:t>
      </w:r>
      <w:r>
        <w:t>versaciones mantenidas mediante el abonado 768-0902.</w:t>
      </w:r>
    </w:p>
    <w:p w:rsidR="00224567" w:rsidRDefault="00224567">
      <w:pPr>
        <w:widowControl w:val="0"/>
      </w:pPr>
      <w:r>
        <w:tab/>
        <w:t>Al respecto, corresponde señalar que el 26 de julio de 1994 el juez instructor dispuso la i</w:t>
      </w:r>
      <w:r>
        <w:t>n</w:t>
      </w:r>
      <w:r>
        <w:t>tervención del 768-0902, instalado en la calle República 107 de la localidad de Villa Ballester (cónf. auto de fs. 866), domicilio de Carlos Alberto Telleldín.</w:t>
      </w:r>
    </w:p>
    <w:p w:rsidR="00224567" w:rsidRDefault="00224567">
      <w:pPr>
        <w:widowControl w:val="0"/>
      </w:pPr>
      <w:r>
        <w:tab/>
        <w:t>Que, a fs. 2438/2439 el subsecretario de inteligencia de estado, Juan Carlos Anchézar, com</w:t>
      </w:r>
      <w:r>
        <w:t>u</w:t>
      </w:r>
      <w:r>
        <w:t>nicó que el 27 de julio de 1994 se inició la escucha directa del abonado en cuestión, adjuntando las tran</w:t>
      </w:r>
      <w:r>
        <w:t>s</w:t>
      </w:r>
      <w:r>
        <w:t>cripciones de las casetes grabadas hasta el 5 de agosto de ese año. As</w:t>
      </w:r>
      <w:r>
        <w:t>i</w:t>
      </w:r>
      <w:r>
        <w:t>mismo, a fs. 2799/2800, 2823/2825, 3208/3210 y 3498/3501 se remitieron al juzgado las transcripciones de las esc</w:t>
      </w:r>
      <w:r>
        <w:t>u</w:t>
      </w:r>
      <w:r>
        <w:t>chas pr</w:t>
      </w:r>
      <w:r>
        <w:t>o</w:t>
      </w:r>
      <w:r>
        <w:t xml:space="preserve">ducidas hasta el 31 de agosto de 1994, realizadas por </w:t>
      </w:r>
      <w:smartTag w:uri="urn:schemas-microsoft-com:office:smarttags" w:element="PersonName">
        <w:smartTagPr>
          <w:attr w:name="ProductID" w:val="la Secretar￭a"/>
        </w:smartTagPr>
        <w:r>
          <w:t>la Secretaría</w:t>
        </w:r>
      </w:smartTag>
      <w:r>
        <w:t xml:space="preserve"> de Inteligencia de Estado.</w:t>
      </w:r>
    </w:p>
    <w:p w:rsidR="00224567" w:rsidRDefault="00224567">
      <w:pPr>
        <w:widowControl w:val="0"/>
      </w:pPr>
      <w:r>
        <w:tab/>
        <w:t xml:space="preserve">A fs. 3180 el jefe del Departamento de Protección del Orden Constitucional de </w:t>
      </w:r>
      <w:smartTag w:uri="urn:schemas-microsoft-com:office:smarttags" w:element="PersonName">
        <w:smartTagPr>
          <w:attr w:name="ProductID" w:val="la Polic￭a Federal"/>
        </w:smartTagPr>
        <w:r>
          <w:t>la Policía Federal</w:t>
        </w:r>
      </w:smartTag>
      <w:r>
        <w:t xml:space="preserve"> Argentina, hizo lo propio con respecto a las transcripci</w:t>
      </w:r>
      <w:r>
        <w:t>o</w:t>
      </w:r>
      <w:r>
        <w:t>nes efectuadas por ese organismo de la me</w:t>
      </w:r>
      <w:r>
        <w:t>n</w:t>
      </w:r>
      <w:r>
        <w:t>cionada línea e hizo saber que “oportunamente y en forma que sean rece</w:t>
      </w:r>
      <w:r>
        <w:t>p</w:t>
      </w:r>
      <w:r>
        <w:t xml:space="preserve">cionados, procedente de </w:t>
      </w:r>
      <w:smartTag w:uri="urn:schemas-microsoft-com:office:smarttags" w:element="PersonName">
        <w:smartTagPr>
          <w:attr w:name="ProductID" w:val="la Divisi￳n Observaciones"/>
        </w:smartTagPr>
        <w:r>
          <w:t>la División Observaciones</w:t>
        </w:r>
      </w:smartTag>
      <w:r>
        <w:t xml:space="preserve"> Judici</w:t>
      </w:r>
      <w:r>
        <w:t>a</w:t>
      </w:r>
      <w:r>
        <w:t xml:space="preserve">les de </w:t>
      </w:r>
      <w:smartTag w:uri="urn:schemas-microsoft-com:office:smarttags" w:element="PersonName">
        <w:smartTagPr>
          <w:attr w:name="ProductID" w:val="la S.I"/>
        </w:smartTagPr>
        <w:r>
          <w:t>la S.I</w:t>
        </w:r>
      </w:smartTag>
      <w:r>
        <w:t>.D.E. y producida la desgravación de las c</w:t>
      </w:r>
      <w:r>
        <w:t>a</w:t>
      </w:r>
      <w:r>
        <w:t>setes, serán elevados al trib</w:t>
      </w:r>
      <w:r>
        <w:t>u</w:t>
      </w:r>
      <w:r>
        <w:t>nal” (sic).</w:t>
      </w:r>
    </w:p>
    <w:p w:rsidR="00224567" w:rsidRDefault="00224567">
      <w:pPr>
        <w:widowControl w:val="0"/>
      </w:pPr>
      <w:r>
        <w:tab/>
        <w:t xml:space="preserve">El 12 de septiembre de ese mismo año el juez decidió suspender la escucha directa del abonado 768-0902 (fs. 3507/3508), en virtud de la circunstancia informada a fs. 3498/3501 por </w:t>
      </w:r>
      <w:smartTag w:uri="urn:schemas-microsoft-com:office:smarttags" w:element="PersonName">
        <w:smartTagPr>
          <w:attr w:name="ProductID" w:val="la Secretar￭a"/>
        </w:smartTagPr>
        <w:r>
          <w:t>la Secretaría</w:t>
        </w:r>
      </w:smartTag>
      <w:r>
        <w:t xml:space="preserve"> de Intelige</w:t>
      </w:r>
      <w:r>
        <w:t>n</w:t>
      </w:r>
      <w:r>
        <w:t>cia de Estado, que daba cuenta que la ocupante del inmu</w:t>
      </w:r>
      <w:r>
        <w:t>e</w:t>
      </w:r>
      <w:r>
        <w:t>ble, Ana María Bora</w:t>
      </w:r>
      <w:r>
        <w:t>g</w:t>
      </w:r>
      <w:r>
        <w:t>ni, habría de cambiar la residencia.</w:t>
      </w:r>
    </w:p>
    <w:p w:rsidR="00224567" w:rsidRDefault="00224567">
      <w:pPr>
        <w:widowControl w:val="0"/>
      </w:pPr>
      <w:r>
        <w:tab/>
        <w:t>El 22 de mayo de 1996 el juez instru</w:t>
      </w:r>
      <w:r>
        <w:t>c</w:t>
      </w:r>
      <w:r>
        <w:t>tor solicitó al Secretario de Inteligencia de Est</w:t>
      </w:r>
      <w:r>
        <w:t>a</w:t>
      </w:r>
      <w:r>
        <w:t xml:space="preserve">do y al jefe del Departamento Protección del Orden Constitucional de </w:t>
      </w:r>
      <w:smartTag w:uri="urn:schemas-microsoft-com:office:smarttags" w:element="PersonName">
        <w:smartTagPr>
          <w:attr w:name="ProductID" w:val="la P.F"/>
        </w:smartTagPr>
        <w:r>
          <w:t>la P.F</w:t>
        </w:r>
      </w:smartTag>
      <w:r>
        <w:t>.A. que remitieran las grab</w:t>
      </w:r>
      <w:r>
        <w:t>a</w:t>
      </w:r>
      <w:r>
        <w:t>ciones efectuadas con motivo de las escuchas realizadas en la línea observada (cónf. d</w:t>
      </w:r>
      <w:r>
        <w:t>e</w:t>
      </w:r>
      <w:r>
        <w:t>creto de fs. 23.784).</w:t>
      </w:r>
    </w:p>
    <w:p w:rsidR="00224567" w:rsidRDefault="00224567">
      <w:pPr>
        <w:widowControl w:val="0"/>
      </w:pPr>
      <w:r>
        <w:tab/>
        <w:t>Ante tal requerimiento, el funci</w:t>
      </w:r>
      <w:r>
        <w:t>o</w:t>
      </w:r>
      <w:r>
        <w:t xml:space="preserve">nario de </w:t>
      </w:r>
      <w:smartTag w:uri="urn:schemas-microsoft-com:office:smarttags" w:element="PersonName">
        <w:smartTagPr>
          <w:attr w:name="ProductID" w:val="la Direcci￳n"/>
        </w:smartTagPr>
        <w:r>
          <w:t>la Dirección</w:t>
        </w:r>
      </w:smartTag>
      <w:r>
        <w:t xml:space="preserve">  de  Observaciones  Judiciales, Dr. Alba Posse, informó que los originales de las grabaciones fu</w:t>
      </w:r>
      <w:r>
        <w:t>e</w:t>
      </w:r>
      <w:r>
        <w:t>ron remitidos en su oportunidad al Departamento de Prote</w:t>
      </w:r>
      <w:r>
        <w:t>c</w:t>
      </w:r>
      <w:r>
        <w:t xml:space="preserve">ción del Orden Constitucional de </w:t>
      </w:r>
      <w:smartTag w:uri="urn:schemas-microsoft-com:office:smarttags" w:element="PersonName">
        <w:smartTagPr>
          <w:attr w:name="ProductID" w:val="la Polic￭a Federal"/>
        </w:smartTagPr>
        <w:r>
          <w:t>la Policía Federal</w:t>
        </w:r>
      </w:smartTag>
      <w:r>
        <w:t xml:space="preserve"> Arge</w:t>
      </w:r>
      <w:r>
        <w:t>n</w:t>
      </w:r>
      <w:r>
        <w:t xml:space="preserve">tina y que de esas grabaciones se hicieron copias, las que fueron giradas a </w:t>
      </w:r>
      <w:smartTag w:uri="urn:schemas-microsoft-com:office:smarttags" w:element="PersonName">
        <w:smartTagPr>
          <w:attr w:name="ProductID" w:val="la Direcci￳n"/>
        </w:smartTagPr>
        <w:r>
          <w:t>la Dirección</w:t>
        </w:r>
      </w:smartTag>
      <w:r>
        <w:t xml:space="preserve"> de Contrainteligencia de </w:t>
      </w:r>
      <w:smartTag w:uri="urn:schemas-microsoft-com:office:smarttags" w:element="PersonName">
        <w:smartTagPr>
          <w:attr w:name="ProductID" w:val="la Secretar￭a"/>
        </w:smartTagPr>
        <w:r>
          <w:t>la Secretaría</w:t>
        </w:r>
      </w:smartTag>
      <w:r>
        <w:t xml:space="preserve"> de Inteligencia de Estado (ver constancia a</w:t>
      </w:r>
      <w:r>
        <w:t>c</w:t>
      </w:r>
      <w:r>
        <w:t>tuarial a fs. 23.802).</w:t>
      </w:r>
    </w:p>
    <w:p w:rsidR="00224567" w:rsidRDefault="00224567">
      <w:pPr>
        <w:widowControl w:val="0"/>
      </w:pPr>
      <w:r>
        <w:tab/>
        <w:t>Lo expuesto fue ratificado por el D</w:t>
      </w:r>
      <w:r>
        <w:t>i</w:t>
      </w:r>
      <w:r>
        <w:t>rector de Observaciones Judiciales, Carlos Lavie, a fs. 24.261/2, agregando que, conforme lo dispuesto por el juez federal, las cintas fueron entregadas al mencionado org</w:t>
      </w:r>
      <w:r>
        <w:t>a</w:t>
      </w:r>
      <w:r>
        <w:t>nismo pol</w:t>
      </w:r>
      <w:r>
        <w:t>i</w:t>
      </w:r>
      <w:r>
        <w:t xml:space="preserve">cial en un total de 68 casetes y copia en </w:t>
      </w:r>
      <w:smartTag w:uri="urn:schemas-microsoft-com:office:smarttags" w:element="metricconverter">
        <w:smartTagPr>
          <w:attr w:name="ProductID" w:val="66, a"/>
        </w:smartTagPr>
        <w:r>
          <w:t>66, a</w:t>
        </w:r>
      </w:smartTag>
      <w:r>
        <w:t xml:space="preserve"> la dirección de contrainteligencia citada. Acompañó a su respuesta reproducciones certificadas de las constancias de recepción correspondiente a cada una de esas depende</w:t>
      </w:r>
      <w:r>
        <w:t>n</w:t>
      </w:r>
      <w:r>
        <w:t>cias.</w:t>
      </w:r>
    </w:p>
    <w:p w:rsidR="00224567" w:rsidRDefault="00224567">
      <w:pPr>
        <w:widowControl w:val="0"/>
      </w:pPr>
      <w:r>
        <w:tab/>
        <w:t>Por su parte, el jefe del Departamento Protección del Orden Constitucional, comisario inspector Rodolfo Oscar Peralta, hizo saber que las cintas no se e</w:t>
      </w:r>
      <w:r>
        <w:t>n</w:t>
      </w:r>
      <w:r>
        <w:t>contraban en esa dependencia y que por carecer de los el</w:t>
      </w:r>
      <w:r>
        <w:t>e</w:t>
      </w:r>
      <w:r>
        <w:t xml:space="preserve">mentos técnicos necesarios para intervenir teléfonos, la interceptación se efectivizó a través de </w:t>
      </w:r>
      <w:smartTag w:uri="urn:schemas-microsoft-com:office:smarttags" w:element="PersonName">
        <w:smartTagPr>
          <w:attr w:name="ProductID" w:val="la Divisi￳n Ob-"/>
        </w:smartTagPr>
        <w:r>
          <w:t>la División O</w:t>
        </w:r>
        <w:r>
          <w:t>b</w:t>
        </w:r>
        <w:r>
          <w:t>-</w:t>
        </w:r>
      </w:smartTag>
    </w:p>
    <w:p w:rsidR="00224567" w:rsidRDefault="00224567">
      <w:pPr>
        <w:widowControl w:val="0"/>
      </w:pPr>
      <w:r>
        <w:br w:type="page"/>
        <w:t xml:space="preserve">servaciones Judiciales dependiente de </w:t>
      </w:r>
      <w:smartTag w:uri="urn:schemas-microsoft-com:office:smarttags" w:element="PersonName">
        <w:smartTagPr>
          <w:attr w:name="ProductID" w:val="la S.I"/>
        </w:smartTagPr>
        <w:r>
          <w:t>la S.I</w:t>
        </w:r>
      </w:smartTag>
      <w:r>
        <w:t>.D.E. (ver n</w:t>
      </w:r>
      <w:r>
        <w:t>o</w:t>
      </w:r>
      <w:r>
        <w:t>ta de fs. 23.886).</w:t>
      </w:r>
    </w:p>
    <w:p w:rsidR="00224567" w:rsidRDefault="00224567">
      <w:pPr>
        <w:widowControl w:val="0"/>
      </w:pPr>
      <w:r>
        <w:tab/>
        <w:t>Al requerir el juez instructor mayores precisiones (ver auto del 31 de enero de 1997, glosado a fs. 41.713/41.715), el comisario Peralta informó que “al momento de  hacerme  cargo  de  este  Departamento los cassettes reclamados no se encontraban. Averiguaciones practicadas con el anterior jefe..., Comisario Inspector Carlos Cast</w:t>
      </w:r>
      <w:r>
        <w:t>a</w:t>
      </w:r>
      <w:r>
        <w:t>ñeda, se pudo determinar que los cassettes que en esa época se remitían a esta Dependencia, una vez esc</w:t>
      </w:r>
      <w:r>
        <w:t>u</w:t>
      </w:r>
      <w:r>
        <w:t xml:space="preserve">chados, y desgrabados eran devueltos a </w:t>
      </w:r>
      <w:smartTag w:uri="urn:schemas-microsoft-com:office:smarttags" w:element="PersonName">
        <w:smartTagPr>
          <w:attr w:name="ProductID" w:val="la Direcci￳n"/>
        </w:smartTagPr>
        <w:r>
          <w:t>la Dirección</w:t>
        </w:r>
      </w:smartTag>
      <w:r>
        <w:t xml:space="preserve"> de O</w:t>
      </w:r>
      <w:r>
        <w:t>b</w:t>
      </w:r>
      <w:r>
        <w:t>servaciones Judiciales –S.I.D.E.” (ver informe de fs. 41.909).</w:t>
      </w:r>
    </w:p>
    <w:p w:rsidR="00224567" w:rsidRDefault="00224567">
      <w:pPr>
        <w:widowControl w:val="0"/>
      </w:pPr>
      <w:r>
        <w:tab/>
        <w:t>Esa información fue ampliada m</w:t>
      </w:r>
      <w:r>
        <w:t>e</w:t>
      </w:r>
      <w:r>
        <w:t xml:space="preserve">diante la nota de fs. 41.985, donde el comisario agregó que las “averiguaciones practicadas pudieron establecer que toda devolución que se hacía de cassettes a </w:t>
      </w:r>
      <w:smartTag w:uri="urn:schemas-microsoft-com:office:smarttags" w:element="PersonName">
        <w:smartTagPr>
          <w:attr w:name="ProductID" w:val="la Direcci￳n"/>
        </w:smartTagPr>
        <w:r>
          <w:t>la Dirección</w:t>
        </w:r>
      </w:smartTag>
      <w:r>
        <w:t xml:space="preserve"> de O</w:t>
      </w:r>
      <w:r>
        <w:t>b</w:t>
      </w:r>
      <w:r>
        <w:t>servaciones Judiciales, se hacían en forma global, sin discriminarse los abonados” y que ello obedecía a que “e</w:t>
      </w:r>
      <w:r>
        <w:t>s</w:t>
      </w:r>
      <w:r>
        <w:t>taban destinados para ser reciclados, no existiendo con</w:t>
      </w:r>
      <w:r>
        <w:t>s</w:t>
      </w:r>
      <w:r>
        <w:t>-</w:t>
      </w:r>
    </w:p>
    <w:p w:rsidR="00224567" w:rsidRDefault="00224567">
      <w:pPr>
        <w:widowControl w:val="0"/>
      </w:pPr>
      <w:r>
        <w:br w:type="page"/>
        <w:t>tancias de recibos de entrega, ya que dicho material era reintegr</w:t>
      </w:r>
      <w:r>
        <w:t>a</w:t>
      </w:r>
      <w:r>
        <w:t>do a sus propietarios”.</w:t>
      </w:r>
    </w:p>
    <w:p w:rsidR="00224567" w:rsidRDefault="00224567">
      <w:pPr>
        <w:widowControl w:val="0"/>
      </w:pPr>
      <w:r>
        <w:tab/>
        <w:t xml:space="preserve">Que el 8 de septiembre de 1997 las querellas que representan a </w:t>
      </w:r>
      <w:smartTag w:uri="urn:schemas-microsoft-com:office:smarttags" w:element="PersonName">
        <w:smartTagPr>
          <w:attr w:name="ProductID" w:val="la Asociaci￳n Mutual"/>
        </w:smartTagPr>
        <w:r>
          <w:t>la Asociación Mutual</w:t>
        </w:r>
      </w:smartTag>
      <w:r>
        <w:t xml:space="preserve"> Israelita Argentina (A.M.I.A.) y a </w:t>
      </w:r>
      <w:smartTag w:uri="urn:schemas-microsoft-com:office:smarttags" w:element="PersonName">
        <w:smartTagPr>
          <w:attr w:name="ProductID" w:val="la Delegaci￳n"/>
        </w:smartTagPr>
        <w:r>
          <w:t>la Delegación</w:t>
        </w:r>
      </w:smartTag>
      <w:r>
        <w:t xml:space="preserve"> de Asociaciones I</w:t>
      </w:r>
      <w:r>
        <w:t>s</w:t>
      </w:r>
      <w:r>
        <w:t>raelitas Argentinas (D.A.I.A.), acompañaron un dictamen elaborado por los Dres. León Carlos Arslanián, Andrés D´Alessio, Ricardo Gil Lavedra y Raúl Eugenio Zaffaroni, mediante el cual, entre otras muchas irregularidades, d</w:t>
      </w:r>
      <w:r>
        <w:t>e</w:t>
      </w:r>
      <w:r>
        <w:t>nunciaron el hecho motivo de análisis en el presente apa</w:t>
      </w:r>
      <w:r>
        <w:t>r</w:t>
      </w:r>
      <w:r>
        <w:t>tado y sugirieron la producción de m</w:t>
      </w:r>
      <w:r>
        <w:t>e</w:t>
      </w:r>
      <w:r>
        <w:t xml:space="preserve">didas de pruebas (ver punto III, “b” y “Hecho Nro. </w:t>
      </w:r>
      <w:smartTag w:uri="urn:schemas-microsoft-com:office:smarttags" w:element="metricconverter">
        <w:smartTagPr>
          <w:attr w:name="ProductID" w:val="2”"/>
        </w:smartTagPr>
        <w:r>
          <w:t>2”</w:t>
        </w:r>
      </w:smartTag>
      <w:r>
        <w:t xml:space="preserve"> del anexo, escrito agreg</w:t>
      </w:r>
      <w:r>
        <w:t>a</w:t>
      </w:r>
      <w:r>
        <w:t>do a fs. 26.883/26.956).</w:t>
      </w:r>
    </w:p>
    <w:p w:rsidR="00224567" w:rsidRDefault="00224567">
      <w:pPr>
        <w:widowControl w:val="0"/>
      </w:pPr>
      <w:r>
        <w:tab/>
        <w:t>En virtud de ello, el juez dispuso a fs. 27.033/27.037 la formación de un legajo de investig</w:t>
      </w:r>
      <w:r>
        <w:t>a</w:t>
      </w:r>
      <w:r>
        <w:t>ción, caratulado “Legajo nº 191 relacionado con la desap</w:t>
      </w:r>
      <w:r>
        <w:t>a</w:t>
      </w:r>
      <w:r>
        <w:t>rición de cassettes nº 768-</w:t>
      </w:r>
      <w:smartTag w:uri="urn:schemas-microsoft-com:office:smarttags" w:element="metricconverter">
        <w:smartTagPr>
          <w:attr w:name="ProductID" w:val="0902”"/>
        </w:smartTagPr>
        <w:r>
          <w:t>0902”</w:t>
        </w:r>
      </w:smartTag>
      <w:r>
        <w:t>, el cual fue agregado en su total</w:t>
      </w:r>
      <w:r>
        <w:t>i</w:t>
      </w:r>
      <w:r>
        <w:t>dad entre fs. 30.941 y fs. 31.403.</w:t>
      </w:r>
    </w:p>
    <w:p w:rsidR="00224567" w:rsidRDefault="00224567">
      <w:pPr>
        <w:widowControl w:val="0"/>
      </w:pPr>
      <w:r>
        <w:tab/>
        <w:t>Al concluir la pesquisa relativa a la pérdida de casetes, el magistrado instructor tuvo por acreditado que “el entonces Departamento Protección al O</w:t>
      </w:r>
      <w:r>
        <w:t>r</w:t>
      </w:r>
      <w:r>
        <w:t>den Constitucional –que actuara como preventor- no los conservó sino que entregaba los cassettes de las interve</w:t>
      </w:r>
      <w:r>
        <w:t>n</w:t>
      </w:r>
      <w:r>
        <w:t xml:space="preserve">ciones telefónicas a </w:t>
      </w:r>
      <w:smartTag w:uri="urn:schemas-microsoft-com:office:smarttags" w:element="PersonName">
        <w:smartTagPr>
          <w:attr w:name="ProductID" w:val="la Direcci￳n"/>
        </w:smartTagPr>
        <w:r>
          <w:t>la Dirección</w:t>
        </w:r>
      </w:smartTag>
      <w:r>
        <w:t xml:space="preserve"> de Observaciones Jud</w:t>
      </w:r>
      <w:r>
        <w:t>i</w:t>
      </w:r>
      <w:r>
        <w:t xml:space="preserve">ciales de </w:t>
      </w:r>
      <w:smartTag w:uri="urn:schemas-microsoft-com:office:smarttags" w:element="PersonName">
        <w:smartTagPr>
          <w:attr w:name="ProductID" w:val="la S.I"/>
        </w:smartTagPr>
        <w:r>
          <w:t>la S.I</w:t>
        </w:r>
      </w:smartTag>
      <w:r>
        <w:t>.D.E. en forma global, sin discriminar los abonados y sin recibo, para su reutilización” y que “el método adoptado, sin intervención ni consulta con el tr</w:t>
      </w:r>
      <w:r>
        <w:t>i</w:t>
      </w:r>
      <w:r>
        <w:t>bunal, impide que el suscripto c</w:t>
      </w:r>
      <w:r>
        <w:t>o</w:t>
      </w:r>
      <w:r>
        <w:t>nozca en forma directa el contenido de las escuchas”.</w:t>
      </w:r>
    </w:p>
    <w:p w:rsidR="00224567" w:rsidRDefault="00224567">
      <w:pPr>
        <w:widowControl w:val="0"/>
      </w:pPr>
      <w:r>
        <w:tab/>
        <w:t>Por esas razones, el juez instructor resolvió extraer testimonio del legajo y remitirlo al ju</w:t>
      </w:r>
      <w:r>
        <w:t>z</w:t>
      </w:r>
      <w:r>
        <w:t>gado del fuero que por turno correspondiese, para que se investigue la posible comisión de un delito de acción p</w:t>
      </w:r>
      <w:r>
        <w:t>ú</w:t>
      </w:r>
      <w:r>
        <w:t>blica.</w:t>
      </w:r>
    </w:p>
    <w:p w:rsidR="00224567" w:rsidRDefault="00224567">
      <w:pPr>
        <w:widowControl w:val="0"/>
      </w:pPr>
      <w:r>
        <w:tab/>
        <w:t>Los testimonios de mención dieron or</w:t>
      </w:r>
      <w:r>
        <w:t>i</w:t>
      </w:r>
      <w:r>
        <w:t>gen a la causa nº B-4064/99 que, en una primera etapa y por disposición de la cámara del fuero, tramitó ante el juzgado a cargo del denunciante, quien dispuso el proces</w:t>
      </w:r>
      <w:r>
        <w:t>a</w:t>
      </w:r>
      <w:r>
        <w:t>miento de Carlos Antonio Castañeda y Carlos Alberto Ni</w:t>
      </w:r>
      <w:r>
        <w:t>s</w:t>
      </w:r>
      <w:r>
        <w:t>tal, por co</w:t>
      </w:r>
      <w:r>
        <w:t>n</w:t>
      </w:r>
      <w:r>
        <w:t xml:space="preserve">siderarlos autores penalmente responsables del </w:t>
      </w:r>
    </w:p>
    <w:p w:rsidR="00224567" w:rsidRDefault="00224567">
      <w:pPr>
        <w:widowControl w:val="0"/>
      </w:pPr>
      <w:r>
        <w:br w:type="page"/>
        <w:t>delito previsto en el art. 255, prim</w:t>
      </w:r>
      <w:r>
        <w:t>e</w:t>
      </w:r>
      <w:r>
        <w:t>ra parte, del Código Penal (cónf. auto de fs. 516/528 de esas actuaciones).</w:t>
      </w:r>
    </w:p>
    <w:p w:rsidR="00224567" w:rsidRDefault="00224567">
      <w:pPr>
        <w:widowControl w:val="0"/>
      </w:pPr>
      <w:r>
        <w:tab/>
        <w:t>Este tribunal, si bien con distinta integr</w:t>
      </w:r>
      <w:r>
        <w:t>a</w:t>
      </w:r>
      <w:r>
        <w:t>ción, al decidir en un caso similar al presente, en el que de un total de 60 casetes grabadas se acompañaron a la investigación tan sólo 9, siendo que las 51 restantes fueron reutilizadas para otras grabaciones, señaló, re</w:t>
      </w:r>
      <w:r>
        <w:t>s</w:t>
      </w:r>
      <w:r>
        <w:t>pecto de esa situación, que “torna evidente la grave e irreparable falencia en que incurrió el ju</w:t>
      </w:r>
      <w:r>
        <w:t>z</w:t>
      </w:r>
      <w:r>
        <w:t>gado instructor al haber permitido, con su irregular proceder, que se su</w:t>
      </w:r>
      <w:r>
        <w:t>s</w:t>
      </w:r>
      <w:r>
        <w:t>traigan del proceso probanzas cuyo deber de conservación e intangibilidad no podía desoír; máxime cuando tales el</w:t>
      </w:r>
      <w:r>
        <w:t>e</w:t>
      </w:r>
      <w:r>
        <w:t>mentos const</w:t>
      </w:r>
      <w:r>
        <w:t>i</w:t>
      </w:r>
      <w:r>
        <w:t>tuían el inexcusable respaldo de las escuchas transcriptas y/o reseñ</w:t>
      </w:r>
      <w:r>
        <w:t>a</w:t>
      </w:r>
      <w:r>
        <w:t>das” (in re “Piris, Teodoro”, rta. el 17 de julio de 1997, reg. nº 26/97).</w:t>
      </w:r>
    </w:p>
    <w:p w:rsidR="00224567" w:rsidRDefault="00224567">
      <w:pPr>
        <w:widowControl w:val="0"/>
        <w:rPr>
          <w:lang w:val="es-ES_tradnl"/>
        </w:rPr>
      </w:pPr>
      <w:r>
        <w:rPr>
          <w:lang w:val="es-ES_tradnl"/>
        </w:rPr>
        <w:tab/>
        <w:t>Se afirmó, además, que “en pesquisas como las de autos, en el que la intervención de las com</w:t>
      </w:r>
      <w:r>
        <w:rPr>
          <w:lang w:val="es-ES_tradnl"/>
        </w:rPr>
        <w:t>u</w:t>
      </w:r>
      <w:r>
        <w:rPr>
          <w:lang w:val="es-ES_tradnl"/>
        </w:rPr>
        <w:t>nicaciones telefónicas constituye, las más de las veces, una prueba irrefutable de la actividad criminal, debe ex</w:t>
      </w:r>
      <w:r>
        <w:rPr>
          <w:lang w:val="es-ES_tradnl"/>
        </w:rPr>
        <w:t>i</w:t>
      </w:r>
      <w:r>
        <w:rPr>
          <w:lang w:val="es-ES_tradnl"/>
        </w:rPr>
        <w:t>girse a los funcionarios encargados de su realización un particular celo que garantice su conservación e inalter</w:t>
      </w:r>
      <w:r>
        <w:rPr>
          <w:lang w:val="es-ES_tradnl"/>
        </w:rPr>
        <w:t>a</w:t>
      </w:r>
      <w:r>
        <w:rPr>
          <w:lang w:val="es-ES_tradnl"/>
        </w:rPr>
        <w:t>bilidad, a fin de que arriben al juicio en la forma que fueron adquiridas”, concluyendo que “si bien el juez in</w:t>
      </w:r>
      <w:r>
        <w:rPr>
          <w:lang w:val="es-ES_tradnl"/>
        </w:rPr>
        <w:t>s</w:t>
      </w:r>
      <w:r>
        <w:rPr>
          <w:lang w:val="es-ES_tradnl"/>
        </w:rPr>
        <w:t>tructor puede dejar en manos de la a</w:t>
      </w:r>
      <w:r>
        <w:rPr>
          <w:lang w:val="es-ES_tradnl"/>
        </w:rPr>
        <w:t>u</w:t>
      </w:r>
      <w:r>
        <w:rPr>
          <w:lang w:val="es-ES_tradnl"/>
        </w:rPr>
        <w:t>toridad preventora la selección, para su transcripción, de aquellas conversaci</w:t>
      </w:r>
      <w:r>
        <w:rPr>
          <w:lang w:val="es-ES_tradnl"/>
        </w:rPr>
        <w:t>o</w:t>
      </w:r>
      <w:r>
        <w:rPr>
          <w:lang w:val="es-ES_tradnl"/>
        </w:rPr>
        <w:t>nes que por su contenido ésta entienda de interés, de ni</w:t>
      </w:r>
      <w:r>
        <w:rPr>
          <w:lang w:val="es-ES_tradnl"/>
        </w:rPr>
        <w:t>n</w:t>
      </w:r>
      <w:r>
        <w:rPr>
          <w:lang w:val="es-ES_tradnl"/>
        </w:rPr>
        <w:t>gún modo tal atribución la autoriza a dejar de lado a los jueces en el definitivo análisis y ponderación de la tot</w:t>
      </w:r>
      <w:r>
        <w:rPr>
          <w:lang w:val="es-ES_tradnl"/>
        </w:rPr>
        <w:t>a</w:t>
      </w:r>
      <w:r>
        <w:rPr>
          <w:lang w:val="es-ES_tradnl"/>
        </w:rPr>
        <w:t>lidad de las comunic</w:t>
      </w:r>
      <w:r>
        <w:rPr>
          <w:lang w:val="es-ES_tradnl"/>
        </w:rPr>
        <w:t>a</w:t>
      </w:r>
      <w:r>
        <w:rPr>
          <w:lang w:val="es-ES_tradnl"/>
        </w:rPr>
        <w:t>ciones interceptadas”.</w:t>
      </w:r>
    </w:p>
    <w:p w:rsidR="00224567" w:rsidRDefault="00224567">
      <w:pPr>
        <w:widowControl w:val="0"/>
        <w:rPr>
          <w:lang w:val="es-ES_tradnl"/>
        </w:rPr>
      </w:pPr>
      <w:r>
        <w:rPr>
          <w:lang w:val="es-ES_tradnl"/>
        </w:rPr>
        <w:tab/>
        <w:t>En ese orden de ideas, cabe poner de resalto la negligente omisión en que incurrió el juez in</w:t>
      </w:r>
      <w:r>
        <w:rPr>
          <w:lang w:val="es-ES_tradnl"/>
        </w:rPr>
        <w:t>s</w:t>
      </w:r>
      <w:r>
        <w:rPr>
          <w:lang w:val="es-ES_tradnl"/>
        </w:rPr>
        <w:t>tructor al no requerir las cintas producidas o, cuanto m</w:t>
      </w:r>
      <w:r>
        <w:rPr>
          <w:lang w:val="es-ES_tradnl"/>
        </w:rPr>
        <w:t>e</w:t>
      </w:r>
      <w:r>
        <w:rPr>
          <w:lang w:val="es-ES_tradnl"/>
        </w:rPr>
        <w:t>nos, adoptar alguna medida asegurativa de su integridad, durante el período, por demás prolongado, de casi un año y diez meses.</w:t>
      </w:r>
    </w:p>
    <w:p w:rsidR="00224567" w:rsidRDefault="00224567">
      <w:pPr>
        <w:widowControl w:val="0"/>
      </w:pPr>
      <w:r>
        <w:tab/>
        <w:t>Mas aún, si se tiene en cuenta que el usuario de la línea fue el último poseedor del motor h</w:t>
      </w:r>
      <w:r>
        <w:t>a</w:t>
      </w:r>
      <w:r>
        <w:t>llado entre los escombros de la mutual y que resultaba m</w:t>
      </w:r>
      <w:r>
        <w:t>e</w:t>
      </w:r>
      <w:r>
        <w:t>nester conocer en forma directa los primeros movimientos de las personas que bien pudieron reflejar las grabaciones producidas por la observación del aparato telefónico.</w:t>
      </w:r>
    </w:p>
    <w:p w:rsidR="00224567" w:rsidRDefault="00224567">
      <w:pPr>
        <w:widowControl w:val="0"/>
      </w:pPr>
      <w:r>
        <w:tab/>
        <w:t xml:space="preserve">No debe perderse de vista, además, que en la resolución en que el juez instructor dispuso, por pedido de </w:t>
      </w:r>
      <w:smartTag w:uri="urn:schemas-microsoft-com:office:smarttags" w:element="PersonName">
        <w:smartTagPr>
          <w:attr w:name="ProductID" w:val="la S.I"/>
        </w:smartTagPr>
        <w:r>
          <w:t>la S.I</w:t>
        </w:r>
      </w:smartTag>
      <w:r>
        <w:t xml:space="preserve">.D.E., la intervención telefónica de la línea de referencia, textualmente ordenó a </w:t>
      </w:r>
      <w:smartTag w:uri="urn:schemas-microsoft-com:office:smarttags" w:element="PersonName">
        <w:smartTagPr>
          <w:attr w:name="ProductID" w:val="la Direcci￳n"/>
        </w:smartTagPr>
        <w:r>
          <w:t>la Dirección</w:t>
        </w:r>
      </w:smartTag>
      <w:r>
        <w:t xml:space="preserve"> de Observaciones Judiciales de ese organismo que las conve</w:t>
      </w:r>
      <w:r>
        <w:t>r</w:t>
      </w:r>
      <w:r>
        <w:t>saciones “deberán ser grabadas en cassettes, debiendo ser posteriormente remitidos a este tribunal” (fs. 866, el r</w:t>
      </w:r>
      <w:r>
        <w:t>e</w:t>
      </w:r>
      <w:r>
        <w:t xml:space="preserve">saltado no pertenece al original); extremo éste que, no sólo se omitió al recibir el juez las transcripciones de manos de </w:t>
      </w:r>
      <w:smartTag w:uri="urn:schemas-microsoft-com:office:smarttags" w:element="PersonName">
        <w:smartTagPr>
          <w:attr w:name="ProductID" w:val="la S.I"/>
        </w:smartTagPr>
        <w:r>
          <w:t>la S.I</w:t>
        </w:r>
      </w:smartTag>
      <w:r>
        <w:t>.D.E. a fs. 2438/2439, el 11 de agosto de 1994; a fs. 2799/2800, el 22 de mismo mes y año; a fs. 2823/2825, el día siguiente; a fs. 3208/3210, el 29 de agosto y a fs. 3498/3501, el 9 de septiembre de 1994, sino que ningún r</w:t>
      </w:r>
      <w:r>
        <w:t>e</w:t>
      </w:r>
      <w:r>
        <w:t>paro mereció de parte del magistrado.</w:t>
      </w:r>
    </w:p>
    <w:p w:rsidR="00224567" w:rsidRDefault="00224567">
      <w:pPr>
        <w:widowControl w:val="0"/>
      </w:pPr>
      <w:r>
        <w:tab/>
        <w:t>Lo expuesto también alcanza al envío de transcripciones, esta vez, por parte del ento</w:t>
      </w:r>
      <w:r>
        <w:t>n</w:t>
      </w:r>
      <w:r>
        <w:t>ces jefe del Departamento de Protección del Orden Con</w:t>
      </w:r>
      <w:r>
        <w:t>s</w:t>
      </w:r>
      <w:r>
        <w:t xml:space="preserve">titucional de </w:t>
      </w:r>
      <w:smartTag w:uri="urn:schemas-microsoft-com:office:smarttags" w:element="PersonName">
        <w:smartTagPr>
          <w:attr w:name="ProductID" w:val="la Polic￭a Federal"/>
        </w:smartTagPr>
        <w:r>
          <w:t>la Policía Federal</w:t>
        </w:r>
      </w:smartTag>
      <w:r>
        <w:t xml:space="preserve"> Argentina (fs. 3180). Vale reiterar: ninguna diligencia realizó el instructor de la causa, e</w:t>
      </w:r>
      <w:r>
        <w:t>n</w:t>
      </w:r>
      <w:r>
        <w:t>-</w:t>
      </w:r>
    </w:p>
    <w:p w:rsidR="00224567" w:rsidRDefault="00224567">
      <w:pPr>
        <w:widowControl w:val="0"/>
      </w:pPr>
      <w:r>
        <w:br w:type="page"/>
        <w:t>caminada a hacerse de las cintas que respaldaran el res</w:t>
      </w:r>
      <w:r>
        <w:t>u</w:t>
      </w:r>
      <w:r>
        <w:t>men de las comunicaciones.</w:t>
      </w:r>
    </w:p>
    <w:p w:rsidR="00224567" w:rsidRDefault="00224567">
      <w:pPr>
        <w:widowControl w:val="0"/>
      </w:pPr>
      <w:r>
        <w:rPr>
          <w:lang w:val="es-ES_tradnl"/>
        </w:rPr>
        <w:tab/>
        <w:t xml:space="preserve">Finalmente, cabe mencionar que desde el auto que ordenó a </w:t>
      </w:r>
      <w:smartTag w:uri="urn:schemas-microsoft-com:office:smarttags" w:element="PersonName">
        <w:smartTagPr>
          <w:attr w:name="ProductID" w:val="la Direcci￳n"/>
        </w:smartTagPr>
        <w:r>
          <w:rPr>
            <w:lang w:val="es-ES_tradnl"/>
          </w:rPr>
          <w:t>la Dirección</w:t>
        </w:r>
      </w:smartTag>
      <w:r>
        <w:rPr>
          <w:lang w:val="es-ES_tradnl"/>
        </w:rPr>
        <w:t xml:space="preserve"> de Observaciones Jud</w:t>
      </w:r>
      <w:r>
        <w:rPr>
          <w:lang w:val="es-ES_tradnl"/>
        </w:rPr>
        <w:t>i</w:t>
      </w:r>
      <w:r>
        <w:rPr>
          <w:lang w:val="es-ES_tradnl"/>
        </w:rPr>
        <w:t>ciales tanto la interceptación del abonado como la post</w:t>
      </w:r>
      <w:r>
        <w:rPr>
          <w:lang w:val="es-ES_tradnl"/>
        </w:rPr>
        <w:t>e</w:t>
      </w:r>
      <w:r>
        <w:rPr>
          <w:lang w:val="es-ES_tradnl"/>
        </w:rPr>
        <w:t>rior rem</w:t>
      </w:r>
      <w:r>
        <w:rPr>
          <w:lang w:val="es-ES_tradnl"/>
        </w:rPr>
        <w:t>i</w:t>
      </w:r>
      <w:r>
        <w:rPr>
          <w:lang w:val="es-ES_tradnl"/>
        </w:rPr>
        <w:t xml:space="preserve">sión de las casetes al juzgado federal, hasta el 22 de mayo de 1996, fecha en que requirió a </w:t>
      </w:r>
      <w:smartTag w:uri="urn:schemas-microsoft-com:office:smarttags" w:element="PersonName">
        <w:smartTagPr>
          <w:attr w:name="ProductID" w:val="la S.I"/>
        </w:smartTagPr>
        <w:r>
          <w:rPr>
            <w:lang w:val="es-ES_tradnl"/>
          </w:rPr>
          <w:t>la S.I</w:t>
        </w:r>
      </w:smartTag>
      <w:r>
        <w:rPr>
          <w:lang w:val="es-ES_tradnl"/>
        </w:rPr>
        <w:t>.D.E. y al entonces D.P.O.C. el efectivo envío de las cintas ma</w:t>
      </w:r>
      <w:r>
        <w:rPr>
          <w:lang w:val="es-ES_tradnl"/>
        </w:rPr>
        <w:t>g</w:t>
      </w:r>
      <w:r>
        <w:rPr>
          <w:lang w:val="es-ES_tradnl"/>
        </w:rPr>
        <w:t xml:space="preserve">netofónicas (fs. </w:t>
      </w:r>
      <w:r>
        <w:t>23.784), no obra en la causa constancia alguna que dispusiera -ya sea un acta que instrumentara una consulta verbal o por decisión adoptada en alguna de las formas previstas en el art. 122 del C.P.P.N.- el dep</w:t>
      </w:r>
      <w:r>
        <w:t>ó</w:t>
      </w:r>
      <w:r>
        <w:t>sito o custodia de las grabaciones en las dependencias p</w:t>
      </w:r>
      <w:r>
        <w:t>o</w:t>
      </w:r>
      <w:r>
        <w:t>liciales, ni media tampoco medida alguna asegurativa de la prueba adquirida.</w:t>
      </w:r>
    </w:p>
    <w:p w:rsidR="00224567" w:rsidRDefault="00224567">
      <w:pPr>
        <w:widowControl w:val="0"/>
      </w:pPr>
      <w:r>
        <w:tab/>
        <w:t>Ello, más allá de los aislados d</w:t>
      </w:r>
      <w:r>
        <w:t>i</w:t>
      </w:r>
      <w:r>
        <w:t xml:space="preserve">chos en el debate del Director de Observaciones Judiciales de </w:t>
      </w:r>
      <w:smartTag w:uri="urn:schemas-microsoft-com:office:smarttags" w:element="PersonName">
        <w:smartTagPr>
          <w:attr w:name="ProductID" w:val="la S.I"/>
        </w:smartTagPr>
        <w:r>
          <w:t>la S.I</w:t>
        </w:r>
      </w:smartTag>
      <w:r>
        <w:t>.D.E., Carlos Lavie, en cuanto explicó que se rem</w:t>
      </w:r>
      <w:r>
        <w:t>i</w:t>
      </w:r>
      <w:r>
        <w:t>tieron las casetes al Departamento Protección del Orden Constit</w:t>
      </w:r>
      <w:r>
        <w:t>u</w:t>
      </w:r>
      <w:r>
        <w:t xml:space="preserve">cional en virtud de una orden verbal del juez en </w:t>
      </w:r>
    </w:p>
    <w:p w:rsidR="00224567" w:rsidRDefault="00224567">
      <w:pPr>
        <w:widowControl w:val="0"/>
      </w:pPr>
      <w:r>
        <w:br w:type="page"/>
        <w:t>ese sentido, lo cual dejó asentado, aunque no supo decir dónde.</w:t>
      </w:r>
    </w:p>
    <w:p w:rsidR="00224567" w:rsidRDefault="00224567">
      <w:pPr>
        <w:widowControl w:val="0"/>
      </w:pPr>
      <w:r>
        <w:tab/>
        <w:t>Tal explicación fue manifestada en oportun</w:t>
      </w:r>
      <w:r>
        <w:t>i</w:t>
      </w:r>
      <w:r>
        <w:t>dad de confrontar sus dichos con el mandato que se desprende del oficio en el que dispuso la intervención t</w:t>
      </w:r>
      <w:r>
        <w:t>e</w:t>
      </w:r>
      <w:r>
        <w:t>lef</w:t>
      </w:r>
      <w:r>
        <w:t>ó</w:t>
      </w:r>
      <w:r>
        <w:t>nica de la línea 768-0902, en el sentido de que debía rem</w:t>
      </w:r>
      <w:r>
        <w:t>i</w:t>
      </w:r>
      <w:r>
        <w:t>tirse las cintas al juzgado instructor.</w:t>
      </w:r>
    </w:p>
    <w:p w:rsidR="00224567" w:rsidRDefault="00224567">
      <w:pPr>
        <w:widowControl w:val="0"/>
      </w:pPr>
      <w:r>
        <w:tab/>
        <w:t>También es inaceptable en la norm</w:t>
      </w:r>
      <w:r>
        <w:t>a</w:t>
      </w:r>
      <w:r>
        <w:t>tiva de nuestra legislación procesal que el juez instructor que, en virtud de su negligente actuar, no evitó que se perdiera la prueba obtenida de la intervención telefónica por él ordenada, sea quién, al mismo tiempo, juzgue la conducta de los auxiliares policiales que actuaron bajo su dirección, tal como ocurrió en el trámite de la mencionada causa B-4064/99, cuyas copias se encuentran reservadas en secret</w:t>
      </w:r>
      <w:r>
        <w:t>a</w:t>
      </w:r>
      <w:r>
        <w:t>ría.</w:t>
      </w:r>
    </w:p>
    <w:p w:rsidR="00224567" w:rsidRDefault="00224567">
      <w:pPr>
        <w:widowControl w:val="0"/>
      </w:pPr>
      <w:r>
        <w:tab/>
        <w:t>Más allá de la incidencia que sobre la cue</w:t>
      </w:r>
      <w:r>
        <w:t>s</w:t>
      </w:r>
      <w:r>
        <w:t>tión de competencia se planteó a fs. 461/471 en torno a la interpretación que cabía asignar a las di</w:t>
      </w:r>
      <w:r>
        <w:t>s</w:t>
      </w:r>
      <w:r>
        <w:t xml:space="preserve">posiciones del Reglamento para </w:t>
      </w:r>
      <w:smartTag w:uri="urn:schemas-microsoft-com:office:smarttags" w:element="PersonName">
        <w:smartTagPr>
          <w:attr w:name="ProductID" w:val="la Jurisdicci￳n"/>
        </w:smartTagPr>
        <w:r>
          <w:t>la Jurisdicción</w:t>
        </w:r>
      </w:smartTag>
      <w:r>
        <w:t xml:space="preserve"> en lo Criminal y C</w:t>
      </w:r>
      <w:r>
        <w:t>o</w:t>
      </w:r>
      <w:r>
        <w:t>rreccional, que disponen el plazo de 24 horas para real</w:t>
      </w:r>
      <w:r>
        <w:t>i</w:t>
      </w:r>
      <w:r>
        <w:t>zar denuncias ante el conocimiento de hechos delictivos, resulta evidente que el impedimento para intervenir en esas actuaciones devenía de su ant</w:t>
      </w:r>
      <w:r>
        <w:t>e</w:t>
      </w:r>
      <w:r>
        <w:t xml:space="preserve">rior actuación en esos mismos hechos (art. 55, incs. 1º y 4º, del Código Procesal Penal de </w:t>
      </w:r>
      <w:smartTag w:uri="urn:schemas-microsoft-com:office:smarttags" w:element="PersonName">
        <w:smartTagPr>
          <w:attr w:name="ProductID" w:val="la Naci￳n"/>
        </w:smartTagPr>
        <w:r>
          <w:t>la Nación</w:t>
        </w:r>
      </w:smartTag>
      <w:r>
        <w:t>); extremo éste que el juez instructor omitió s</w:t>
      </w:r>
      <w:r>
        <w:t>e</w:t>
      </w:r>
      <w:r>
        <w:t>ñalar al rechazar la competencia en el decisorio de fs. 468/469vta. y que el presidente de la cámara del fuero, Dr. Horacio Rolando Cattani, tampoco advirtió al resolver a fs. 471/vta.</w:t>
      </w:r>
    </w:p>
    <w:p w:rsidR="00224567" w:rsidRDefault="00224567">
      <w:pPr>
        <w:widowControl w:val="0"/>
      </w:pPr>
      <w:r>
        <w:tab/>
        <w:t>El señalado cuestionamiento se pate</w:t>
      </w:r>
      <w:r>
        <w:t>n</w:t>
      </w:r>
      <w:r>
        <w:t>tiza a poco que se repare que en las declaraciones indag</w:t>
      </w:r>
      <w:r>
        <w:t>a</w:t>
      </w:r>
      <w:r>
        <w:t>torias rendidas por Carlos Antonio Castañeda a fs. 489/492 y fs. 570/573vta. de dichas actuaciones, éste descargó en el mismo juez que lo interrogaba la omisión de haberle e</w:t>
      </w:r>
      <w:r>
        <w:t>n</w:t>
      </w:r>
      <w:r>
        <w:t>comend</w:t>
      </w:r>
      <w:r>
        <w:t>a</w:t>
      </w:r>
      <w:r>
        <w:t>do la custodia de las mencionadas casetes, haciendo referencia al contenido de diversas reuniones que ambos habrían mantenido en el juzgado y en la dependencia pol</w:t>
      </w:r>
      <w:r>
        <w:t>i</w:t>
      </w:r>
      <w:r>
        <w:t>cial, que giró en torno a la mecánica de trabajo vi</w:t>
      </w:r>
      <w:r>
        <w:t>n</w:t>
      </w:r>
      <w:r>
        <w:t>culada con esas grab</w:t>
      </w:r>
      <w:r>
        <w:t>a</w:t>
      </w:r>
      <w:r>
        <w:t>ciones.</w:t>
      </w:r>
    </w:p>
    <w:p w:rsidR="00224567" w:rsidRDefault="00224567">
      <w:pPr>
        <w:widowControl w:val="0"/>
      </w:pPr>
      <w:r>
        <w:br w:type="page"/>
      </w:r>
      <w:r>
        <w:tab/>
        <w:t xml:space="preserve">Por otra parte, el juez no realizó imputación alguna al personal de </w:t>
      </w:r>
      <w:smartTag w:uri="urn:schemas-microsoft-com:office:smarttags" w:element="PersonName">
        <w:smartTagPr>
          <w:attr w:name="ProductID" w:val="la S.I"/>
        </w:smartTagPr>
        <w:r>
          <w:t>la S.I</w:t>
        </w:r>
      </w:smartTag>
      <w:r>
        <w:t>.D.E., a pesar de que a fs. fs. 102 de la mentada B-4064/99 el Subsecretario de Inteligencia de Estado, Dr. Jorge Norberto Igounet, i</w:t>
      </w:r>
      <w:r>
        <w:t>n</w:t>
      </w:r>
      <w:r>
        <w:t>formó que las copias de las casetes del abonado en cue</w:t>
      </w:r>
      <w:r>
        <w:t>s</w:t>
      </w:r>
      <w:r>
        <w:t>tión, una vez pr</w:t>
      </w:r>
      <w:r>
        <w:t>o</w:t>
      </w:r>
      <w:r>
        <w:t xml:space="preserve">ducido el análisis de la especialidad por parte de </w:t>
      </w:r>
      <w:smartTag w:uri="urn:schemas-microsoft-com:office:smarttags" w:element="PersonName">
        <w:smartTagPr>
          <w:attr w:name="ProductID" w:val="la Direcci￳n"/>
        </w:smartTagPr>
        <w:r>
          <w:t>la Dirección</w:t>
        </w:r>
      </w:smartTag>
      <w:r>
        <w:t xml:space="preserve"> de Contrainteligencia, fueron rec</w:t>
      </w:r>
      <w:r>
        <w:t>i</w:t>
      </w:r>
      <w:r>
        <w:t xml:space="preserve">cladas para su reutilización y remitidas a </w:t>
      </w:r>
      <w:smartTag w:uri="urn:schemas-microsoft-com:office:smarttags" w:element="PersonName">
        <w:smartTagPr>
          <w:attr w:name="ProductID" w:val="la Direcci￳n"/>
        </w:smartTagPr>
        <w:r>
          <w:t>la Dirección</w:t>
        </w:r>
      </w:smartTag>
      <w:r>
        <w:t xml:space="preserve"> de Observaci</w:t>
      </w:r>
      <w:r>
        <w:t>o</w:t>
      </w:r>
      <w:r>
        <w:t>nes Judiciales.</w:t>
      </w:r>
    </w:p>
    <w:p w:rsidR="00224567" w:rsidRDefault="00224567">
      <w:pPr>
        <w:widowControl w:val="0"/>
      </w:pPr>
      <w:r>
        <w:tab/>
        <w:t>Más aún, en el auto de procesamiento de Castañeda y Nistal el magistrado omitió considerar d</w:t>
      </w:r>
      <w:r>
        <w:t>i</w:t>
      </w:r>
      <w:r>
        <w:t>cha con</w:t>
      </w:r>
      <w:r>
        <w:t>s</w:t>
      </w:r>
      <w:r>
        <w:t xml:space="preserve">tancia e hizo alusión, en forma parcial, a la nota de </w:t>
      </w:r>
      <w:smartTag w:uri="urn:schemas-microsoft-com:office:smarttags" w:element="PersonName">
        <w:smartTagPr>
          <w:attr w:name="ProductID" w:val="la S.I"/>
        </w:smartTagPr>
        <w:r>
          <w:t>la S.I</w:t>
        </w:r>
      </w:smartTag>
      <w:r>
        <w:t>.D.E. que informó que las casetes fueron entreg</w:t>
      </w:r>
      <w:r>
        <w:t>a</w:t>
      </w:r>
      <w:r>
        <w:t xml:space="preserve">das al Departamento Protección del Orden Constitucional de </w:t>
      </w:r>
      <w:smartTag w:uri="urn:schemas-microsoft-com:office:smarttags" w:element="PersonName">
        <w:smartTagPr>
          <w:attr w:name="ProductID" w:val="la P.F"/>
        </w:smartTagPr>
        <w:r>
          <w:t>la P.F</w:t>
        </w:r>
      </w:smartTag>
      <w:r>
        <w:t xml:space="preserve">.A., suprimiendo, precisamente, el texto que daba cuenta de la existencia de copias de las cintas en </w:t>
      </w:r>
      <w:smartTag w:uri="urn:schemas-microsoft-com:office:smarttags" w:element="PersonName">
        <w:smartTagPr>
          <w:attr w:name="ProductID" w:val="la Direcci￳n"/>
        </w:smartTagPr>
        <w:r>
          <w:t>la D</w:t>
        </w:r>
        <w:r>
          <w:t>i</w:t>
        </w:r>
        <w:r>
          <w:t>rección</w:t>
        </w:r>
      </w:smartTag>
      <w:r>
        <w:t xml:space="preserve"> de Contrainteligencia (ver, en particular, fs. 517vta. de la causa B-4064/99), lo que demuestra el dire</w:t>
      </w:r>
      <w:r>
        <w:t>c</w:t>
      </w:r>
      <w:r>
        <w:t>cionamiento de la imputación hacia los funcionarios de la fuerza policial.</w:t>
      </w:r>
    </w:p>
    <w:p w:rsidR="00224567" w:rsidRDefault="00224567">
      <w:pPr>
        <w:widowControl w:val="0"/>
      </w:pPr>
      <w:r>
        <w:tab/>
        <w:t>Lo expuesto se robustece al cons</w:t>
      </w:r>
      <w:r>
        <w:t>i</w:t>
      </w:r>
      <w:r>
        <w:t xml:space="preserve">derar que ningún funcionario de </w:t>
      </w:r>
      <w:smartTag w:uri="urn:schemas-microsoft-com:office:smarttags" w:element="PersonName">
        <w:smartTagPr>
          <w:attr w:name="ProductID" w:val="la S.I"/>
        </w:smartTagPr>
        <w:r>
          <w:t>la S.I</w:t>
        </w:r>
      </w:smartTag>
      <w:r>
        <w:t>.D.E. fue llamado a dar explicación alguna, pese al claro contenido del decreto del juez instructor de fs. 866 que, vale señalar, so rie</w:t>
      </w:r>
      <w:r>
        <w:t>s</w:t>
      </w:r>
      <w:r>
        <w:t xml:space="preserve">go de ser reiterativo, ordenó a </w:t>
      </w:r>
      <w:smartTag w:uri="urn:schemas-microsoft-com:office:smarttags" w:element="PersonName">
        <w:smartTagPr>
          <w:attr w:name="ProductID" w:val="la Direcci￳n"/>
        </w:smartTagPr>
        <w:r>
          <w:t>la Dirección</w:t>
        </w:r>
      </w:smartTag>
      <w:r>
        <w:t xml:space="preserve"> de Observ</w:t>
      </w:r>
      <w:r>
        <w:t>a</w:t>
      </w:r>
      <w:r>
        <w:t>ciones Judiciales que “las conversaciones deberán ser gr</w:t>
      </w:r>
      <w:r>
        <w:t>a</w:t>
      </w:r>
      <w:r>
        <w:t>badas en casetes, debiendo ser posteriormente remitidos a este Tr</w:t>
      </w:r>
      <w:r>
        <w:t>i</w:t>
      </w:r>
      <w:r>
        <w:t>bunal”.</w:t>
      </w:r>
    </w:p>
    <w:p w:rsidR="00224567" w:rsidRDefault="00224567">
      <w:pPr>
        <w:widowControl w:val="0"/>
      </w:pPr>
      <w:r>
        <w:tab/>
        <w:t>Finalmente, cuadra destacar que Hor</w:t>
      </w:r>
      <w:r>
        <w:t>a</w:t>
      </w:r>
      <w:r>
        <w:t>cio Antonio Stiuso, Jorge Luis Lucas y Hugo Alfredo Anz</w:t>
      </w:r>
      <w:r>
        <w:t>o</w:t>
      </w:r>
      <w:r>
        <w:t>rreguy afirmaron en el debate que las cintas que perman</w:t>
      </w:r>
      <w:r>
        <w:t>e</w:t>
      </w:r>
      <w:r>
        <w:t xml:space="preserve">cieron en </w:t>
      </w:r>
      <w:smartTag w:uri="urn:schemas-microsoft-com:office:smarttags" w:element="PersonName">
        <w:smartTagPr>
          <w:attr w:name="ProductID" w:val="la Direcci￳n"/>
        </w:smartTagPr>
        <w:r>
          <w:t>la Dirección</w:t>
        </w:r>
      </w:smartTag>
      <w:r>
        <w:t xml:space="preserve"> de Contrainteligencia fueron de</w:t>
      </w:r>
      <w:r>
        <w:t>s</w:t>
      </w:r>
      <w:r>
        <w:t xml:space="preserve">truidas en virtud de una directiva interna de </w:t>
      </w:r>
      <w:smartTag w:uri="urn:schemas-microsoft-com:office:smarttags" w:element="PersonName">
        <w:smartTagPr>
          <w:attr w:name="ProductID" w:val="la S.I"/>
        </w:smartTagPr>
        <w:r>
          <w:t>la S.I</w:t>
        </w:r>
      </w:smartTag>
      <w:r>
        <w:t>.D.E.</w:t>
      </w:r>
    </w:p>
    <w:p w:rsidR="00224567" w:rsidRDefault="00224567">
      <w:pPr>
        <w:widowControl w:val="0"/>
      </w:pPr>
      <w:r>
        <w:tab/>
      </w:r>
      <w:r>
        <w:rPr>
          <w:b/>
          <w:bCs/>
        </w:rPr>
        <w:t>A.4)</w:t>
      </w:r>
      <w:r>
        <w:t xml:space="preserve"> Que al prestar declaración test</w:t>
      </w:r>
      <w:r>
        <w:t>i</w:t>
      </w:r>
      <w:r>
        <w:t>monial durante el debate, el comisario Ramón Oreste Verón manifestó haber sido convocado por el juez Galeano para colaborar con la investigación, realizando distintas dil</w:t>
      </w:r>
      <w:r>
        <w:t>i</w:t>
      </w:r>
      <w:r>
        <w:t>ge</w:t>
      </w:r>
      <w:r>
        <w:t>n</w:t>
      </w:r>
      <w:r>
        <w:t>cias en el ámbito de la provincia de Buenos Aires.</w:t>
      </w:r>
    </w:p>
    <w:p w:rsidR="00224567" w:rsidRDefault="00224567">
      <w:pPr>
        <w:widowControl w:val="0"/>
      </w:pPr>
      <w:r>
        <w:tab/>
        <w:t>El testigo explicó que su función se limitó a cumplir con las directivas del magistrado quien, mediante oficios, le encomendaba determinadas tareas, aclarando que no tenía conocimiento de los elementos exi</w:t>
      </w:r>
      <w:r>
        <w:t>s</w:t>
      </w:r>
      <w:r>
        <w:t>tentes en la causa, ni si la información que le sumini</w:t>
      </w:r>
      <w:r>
        <w:t>s</w:t>
      </w:r>
      <w:r>
        <w:t>traba al juez era de utilidad.</w:t>
      </w:r>
    </w:p>
    <w:p w:rsidR="00224567" w:rsidRDefault="00224567">
      <w:pPr>
        <w:widowControl w:val="0"/>
      </w:pPr>
      <w:r>
        <w:tab/>
        <w:t>Entre las tareas que cumplió, el te</w:t>
      </w:r>
      <w:r>
        <w:t>s</w:t>
      </w:r>
      <w:r>
        <w:t>tigo se refirió a un oficio suscripto por el juez Galeano, mediante el cual el magistrado le solicitó información acerca de las causas que Carlos Alberto Telleldín regi</w:t>
      </w:r>
      <w:r>
        <w:t>s</w:t>
      </w:r>
      <w:r>
        <w:t xml:space="preserve">traba en Avellaneda, determinándose luego que el imputado había permanecido detenido en </w:t>
      </w:r>
      <w:smartTag w:uri="urn:schemas-microsoft-com:office:smarttags" w:element="PersonName">
        <w:smartTagPr>
          <w:attr w:name="ProductID" w:val="la Brigada"/>
        </w:smartTagPr>
        <w:r>
          <w:t>la Brigada</w:t>
        </w:r>
      </w:smartTag>
      <w:r>
        <w:t xml:space="preserve"> de Investigaci</w:t>
      </w:r>
      <w:r>
        <w:t>o</w:t>
      </w:r>
      <w:r>
        <w:t>nes de L</w:t>
      </w:r>
      <w:r>
        <w:t>a</w:t>
      </w:r>
      <w:r>
        <w:t>nús, radicada en aquella localidad. Sin embargo, los dichos de Verón no se condicen con lo actuado en la causa.</w:t>
      </w:r>
    </w:p>
    <w:p w:rsidR="00224567" w:rsidRDefault="00224567">
      <w:pPr>
        <w:widowControl w:val="0"/>
      </w:pPr>
      <w:r>
        <w:tab/>
        <w:t>En efecto, tal como surge del oficio obrante a fs. 12.390, el 9 de junio de 1995, el juez G</w:t>
      </w:r>
      <w:r>
        <w:t>a</w:t>
      </w:r>
      <w:r>
        <w:t>leano le encomendó al comisario general Pedro Anastasio Klodczyk “que efectúe las averiguaciones necesarias te</w:t>
      </w:r>
      <w:r>
        <w:t>n</w:t>
      </w:r>
      <w:r>
        <w:t>dientes a determinar de un modo minucioso el entorno de la actividad que el imputado Carlos Alberto Telleldín refirió haber llevado a cabo en el ámbito de la provincia de Bu</w:t>
      </w:r>
      <w:r>
        <w:t>e</w:t>
      </w:r>
      <w:r>
        <w:t>nos Aires, como asimismo las relaciones que en función de ello hubiera entablado con personal policial de aquella provincia”; requerimiento que el comisario Klodczyk rem</w:t>
      </w:r>
      <w:r>
        <w:t>i</w:t>
      </w:r>
      <w:r>
        <w:t xml:space="preserve">tió a </w:t>
      </w:r>
      <w:smartTag w:uri="urn:schemas-microsoft-com:office:smarttags" w:element="PersonName">
        <w:smartTagPr>
          <w:attr w:name="ProductID" w:val="la Direcci￳n General"/>
        </w:smartTagPr>
        <w:r>
          <w:t>la Dire</w:t>
        </w:r>
        <w:r>
          <w:t>c</w:t>
        </w:r>
        <w:r>
          <w:t>ción General</w:t>
        </w:r>
      </w:smartTag>
      <w:r>
        <w:t xml:space="preserve"> de Investigaciones para que “se designe un funcionario calificado del área, quien deberá ponerse a disposición del Sr. magistrado oficiante, ll</w:t>
      </w:r>
      <w:r>
        <w:t>e</w:t>
      </w:r>
      <w:r>
        <w:t>vando adelante la investigación pertinente” (fs. 37.102).</w:t>
      </w:r>
    </w:p>
    <w:p w:rsidR="00224567" w:rsidRDefault="00224567">
      <w:pPr>
        <w:widowControl w:val="0"/>
      </w:pPr>
      <w:r>
        <w:tab/>
        <w:t>A fs. 37.103 se designó al comisario mayor Ramón Oreste Verón para cumplir con dicha tarea quien, tal como se desprende de fs. 37.104 resolvió: “A fin de d</w:t>
      </w:r>
      <w:r>
        <w:t>e</w:t>
      </w:r>
      <w:r>
        <w:t>terminar aquellas dependencias de esta provincia que han participado en procedimientos que involucren o se relacionen con Carlos Alberto Telleldín, no obstante el informe requerido anteriormente y en conocimiento de Pr</w:t>
      </w:r>
      <w:r>
        <w:t>o</w:t>
      </w:r>
      <w:r>
        <w:t>cedimientos llevados a cabo por las Brigadas de Investig</w:t>
      </w:r>
      <w:r>
        <w:t>a</w:t>
      </w:r>
      <w:r>
        <w:t>ciones de V</w:t>
      </w:r>
      <w:r>
        <w:t>i</w:t>
      </w:r>
      <w:r>
        <w:t>cente López y Lanús, relacionado con lo que se investiga, líbrese oficio a las citadas dependencias para que informen al respecto”; oficios que lucen agregados a fs. 37.108 y 37.110.</w:t>
      </w:r>
    </w:p>
    <w:p w:rsidR="00224567" w:rsidRDefault="00224567">
      <w:pPr>
        <w:widowControl w:val="0"/>
      </w:pPr>
      <w:r>
        <w:tab/>
        <w:t>De lo expuesto se colige que el juez Galeano no le solicitó al testigo, específicamente, requ</w:t>
      </w:r>
      <w:r>
        <w:t>e</w:t>
      </w:r>
      <w:r>
        <w:t xml:space="preserve">rir información a </w:t>
      </w:r>
      <w:smartTag w:uri="urn:schemas-microsoft-com:office:smarttags" w:element="PersonName">
        <w:smartTagPr>
          <w:attr w:name="ProductID" w:val="la Brigada"/>
        </w:smartTagPr>
        <w:r>
          <w:t>la Brigada</w:t>
        </w:r>
      </w:smartTag>
      <w:r>
        <w:t xml:space="preserve"> de Lanús, que hasta ese m</w:t>
      </w:r>
      <w:r>
        <w:t>o</w:t>
      </w:r>
      <w:r>
        <w:t>mento ni siquiera había sido mencionada por el propio T</w:t>
      </w:r>
      <w:r>
        <w:t>e</w:t>
      </w:r>
      <w:r>
        <w:t>lle</w:t>
      </w:r>
      <w:r>
        <w:t>l</w:t>
      </w:r>
      <w:r>
        <w:t>dín en su declaración indagatoria.</w:t>
      </w:r>
    </w:p>
    <w:p w:rsidR="00224567" w:rsidRDefault="00224567">
      <w:pPr>
        <w:widowControl w:val="0"/>
      </w:pPr>
      <w:r>
        <w:tab/>
        <w:t>En consecuencia, no se entiende cómo Verón llegó a tener conocimiento, al menos por las vías formales, del procedimiento llevado a cabo en aquella d</w:t>
      </w:r>
      <w:r>
        <w:t>e</w:t>
      </w:r>
      <w:r>
        <w:t>pendencia policial; circunstancia que no supo explicar al prestar declaración en el juicio.</w:t>
      </w:r>
    </w:p>
    <w:p w:rsidR="00224567" w:rsidRDefault="00224567">
      <w:pPr>
        <w:widowControl w:val="0"/>
      </w:pPr>
      <w:r>
        <w:tab/>
        <w:t>Además, el tribunal advirtió una man</w:t>
      </w:r>
      <w:r>
        <w:t>i</w:t>
      </w:r>
      <w:r>
        <w:t>fiesta reticencia  del testigo a lo largo de todo el int</w:t>
      </w:r>
      <w:r>
        <w:t>e</w:t>
      </w:r>
      <w:r>
        <w:t>rrogatorio al que fue sometido; reticencia que se evide</w:t>
      </w:r>
      <w:r>
        <w:t>n</w:t>
      </w:r>
      <w:r>
        <w:t>ció al no recordar gran cantidad de datos relacionados con las diligencias que practicó, a pesar su vasta particip</w:t>
      </w:r>
      <w:r>
        <w:t>a</w:t>
      </w:r>
      <w:r>
        <w:t>ción en la investigación.</w:t>
      </w:r>
    </w:p>
    <w:p w:rsidR="00224567" w:rsidRDefault="00224567">
      <w:pPr>
        <w:widowControl w:val="0"/>
      </w:pPr>
      <w:r>
        <w:tab/>
      </w:r>
      <w:r>
        <w:rPr>
          <w:b/>
          <w:bCs/>
        </w:rPr>
        <w:t>A.5)</w:t>
      </w:r>
      <w:r>
        <w:t xml:space="preserve"> Que al momento de los alegatos, el Sr. fiscal general, Dr. Alberto Nisman, solicitó la e</w:t>
      </w:r>
      <w:r>
        <w:t>x</w:t>
      </w:r>
      <w:r>
        <w:t>tra</w:t>
      </w:r>
      <w:r>
        <w:t>c</w:t>
      </w:r>
      <w:r>
        <w:t>ción de testimonios de la declaración de Héctor Pedro Vergéz, para que se investigue la presunta comisión del delito de falso testimonio en el que habría incurrido; m</w:t>
      </w:r>
      <w:r>
        <w:t>e</w:t>
      </w:r>
      <w:r>
        <w:t>dida que, con base en el art. 371 del Código Procesal P</w:t>
      </w:r>
      <w:r>
        <w:t>e</w:t>
      </w:r>
      <w:r>
        <w:t xml:space="preserve">nal de </w:t>
      </w:r>
      <w:smartTag w:uri="urn:schemas-microsoft-com:office:smarttags" w:element="PersonName">
        <w:smartTagPr>
          <w:attr w:name="ProductID" w:val="la Naci￳n"/>
        </w:smartTagPr>
        <w:r>
          <w:t>la N</w:t>
        </w:r>
        <w:r>
          <w:t>a</w:t>
        </w:r>
        <w:r>
          <w:t>ción</w:t>
        </w:r>
      </w:smartTag>
      <w:r>
        <w:t>, había sido requerida por ese ministerio luego de e</w:t>
      </w:r>
      <w:r>
        <w:t>s</w:t>
      </w:r>
      <w:r>
        <w:t xml:space="preserve">cuchar al testigo el día 30 de enero de </w:t>
      </w:r>
      <w:smartTag w:uri="urn:schemas-microsoft-com:office:smarttags" w:element="metricconverter">
        <w:smartTagPr>
          <w:attr w:name="ProductID" w:val="2003. A"/>
        </w:smartTagPr>
        <w:r>
          <w:t>2003. A</w:t>
        </w:r>
      </w:smartTag>
      <w:r>
        <w:t xml:space="preserve"> ésta última petición adhirieron los Dres. Pablo Jacoby, Laura Fechino, Marta Parascándolo, Juan Manuel Ubeira, Juan José Ávila y Sergio Moreno.</w:t>
      </w:r>
    </w:p>
    <w:p w:rsidR="00224567" w:rsidRDefault="00224567">
      <w:pPr>
        <w:widowControl w:val="0"/>
      </w:pPr>
      <w:r>
        <w:tab/>
        <w:t>Si bien, en aquella oportunidad, el tribunal resolvió no hacer lugar al planteo de las partes mencionadas por entender que los dichos de Vergéz debían ser analizados conjuntamente, otra es la solución que se impone en esta instancia del proceso.</w:t>
      </w:r>
    </w:p>
    <w:p w:rsidR="00224567" w:rsidRDefault="00224567">
      <w:pPr>
        <w:widowControl w:val="0"/>
      </w:pPr>
      <w:r>
        <w:tab/>
        <w:t>En efecto, luego de examinar en su t</w:t>
      </w:r>
      <w:r>
        <w:t>o</w:t>
      </w:r>
      <w:r>
        <w:t>talidad la declaración de Héctor Pedro Vergéz, se advierte una ostensible falta de predisposición en colaborar con el interrogatorio al que fue sometido que, en amplia medida, supera a una razonable falta de recuerdo de ciertos datos por el mero transcurso del tiempo; reticencia que se ev</w:t>
      </w:r>
      <w:r>
        <w:t>i</w:t>
      </w:r>
      <w:r>
        <w:t>denció al ser preguntado acerca de los términos de la co</w:t>
      </w:r>
      <w:r>
        <w:t>n</w:t>
      </w:r>
      <w:r>
        <w:t>versación que dijo haber mantenido con Juan José Ribelli y de la información que, posteriormente, dijo haberle bri</w:t>
      </w:r>
      <w:r>
        <w:t>n</w:t>
      </w:r>
      <w:r>
        <w:t>dado a Daniel Romero.</w:t>
      </w:r>
    </w:p>
    <w:p w:rsidR="00224567" w:rsidRDefault="00224567">
      <w:pPr>
        <w:widowControl w:val="0"/>
      </w:pPr>
      <w:r>
        <w:br w:type="page"/>
      </w:r>
      <w:r>
        <w:tab/>
      </w:r>
      <w:r>
        <w:rPr>
          <w:b/>
          <w:bCs/>
        </w:rPr>
        <w:t>A.6)</w:t>
      </w:r>
      <w:r>
        <w:t xml:space="preserve"> La fiscalía utilizó los dichos del testigo Alfredo Perona para fundar la responsabilidad de Carlos Alberto Telleldín en el atentado.</w:t>
      </w:r>
    </w:p>
    <w:p w:rsidR="00224567" w:rsidRDefault="00224567">
      <w:pPr>
        <w:widowControl w:val="0"/>
      </w:pPr>
      <w:r>
        <w:tab/>
        <w:t>Así, se sostuvo que, en una oportun</w:t>
      </w:r>
      <w:r>
        <w:t>i</w:t>
      </w:r>
      <w:r>
        <w:t>dad, al concurrir con José Eduardo Martínez a la me</w:t>
      </w:r>
      <w:r>
        <w:t>z</w:t>
      </w:r>
      <w:r>
        <w:t>quita en la que Rabbani era el sheik escuchó que una mujer le reproch</w:t>
      </w:r>
      <w:r>
        <w:t>a</w:t>
      </w:r>
      <w:r>
        <w:t>ba a éste que se hubiera “mandado la macana” (sic) con Telle</w:t>
      </w:r>
      <w:r>
        <w:t>l</w:t>
      </w:r>
      <w:r>
        <w:t>dín.</w:t>
      </w:r>
    </w:p>
    <w:p w:rsidR="00224567" w:rsidRDefault="00224567">
      <w:pPr>
        <w:widowControl w:val="0"/>
      </w:pPr>
      <w:r>
        <w:tab/>
        <w:t>Sin embargo, se ha omitido consid</w:t>
      </w:r>
      <w:r>
        <w:t>e</w:t>
      </w:r>
      <w:r>
        <w:t>rar que el párrafo mencionado fue espec</w:t>
      </w:r>
      <w:r>
        <w:t>í</w:t>
      </w:r>
      <w:r>
        <w:t>ficamente aquél en el cual el testigo incurrió en contradicciones no solo con lo sostenido durante la instrucción sino incluso con lo afi</w:t>
      </w:r>
      <w:r>
        <w:t>r</w:t>
      </w:r>
      <w:r>
        <w:t>mado durante la misma audiencia. En efecto, al i</w:t>
      </w:r>
      <w:r>
        <w:t>n</w:t>
      </w:r>
      <w:r>
        <w:t>terpelar al testigo para que aclarara las discrepancias entre las versiones aportadas ante el magistrado instructor y dura</w:t>
      </w:r>
      <w:r>
        <w:t>n</w:t>
      </w:r>
      <w:r>
        <w:t>te el juicio oral, fue que incurrió en nuevas discorda</w:t>
      </w:r>
      <w:r>
        <w:t>n</w:t>
      </w:r>
      <w:r>
        <w:t>cias.</w:t>
      </w:r>
    </w:p>
    <w:p w:rsidR="00224567" w:rsidRDefault="00224567">
      <w:pPr>
        <w:widowControl w:val="0"/>
      </w:pPr>
      <w:r>
        <w:tab/>
        <w:t>En el debate, Perona afirmó que Rabb</w:t>
      </w:r>
      <w:r>
        <w:t>a</w:t>
      </w:r>
      <w:r>
        <w:t>ni dijo a los gritos: “Y ahora me quieren decir ustedes que le digo yo a Telleldín o que le digo ... a Haddad”. Sin emba</w:t>
      </w:r>
      <w:r>
        <w:t>r</w:t>
      </w:r>
      <w:r>
        <w:t>go, durante la instrucción había afirmado que una mujer y un tercero que no pudo ide</w:t>
      </w:r>
      <w:r>
        <w:t>n</w:t>
      </w:r>
      <w:r>
        <w:t>tificar le recriminaban a Rabbani “Es culpa tuya, lo que ha pasado, por manejar caprichosamente las cosas” y ante la negativa del increp</w:t>
      </w:r>
      <w:r>
        <w:t>a</w:t>
      </w:r>
      <w:r>
        <w:t>do, la m</w:t>
      </w:r>
      <w:r>
        <w:t>u</w:t>
      </w:r>
      <w:r>
        <w:t>jer insistió: “Ah no, vos fuiste el que serviste y te mandaste la macana con ese Telleldín y con los Ha</w:t>
      </w:r>
      <w:r>
        <w:t>d</w:t>
      </w:r>
      <w:r>
        <w:t>dad”.</w:t>
      </w:r>
    </w:p>
    <w:p w:rsidR="00224567" w:rsidRDefault="00224567">
      <w:pPr>
        <w:widowControl w:val="0"/>
      </w:pPr>
      <w:r>
        <w:tab/>
        <w:t>La importancia del cambio del conten</w:t>
      </w:r>
      <w:r>
        <w:t>i</w:t>
      </w:r>
      <w:r>
        <w:t>do de la frase es evidente. Aunque en ambos casos se me</w:t>
      </w:r>
      <w:r>
        <w:t>n</w:t>
      </w:r>
      <w:r>
        <w:t>cionan  los apellidos de Telleldín y Haddad, en uno es Rabbani quien se preocupa por las explicaciones que deb</w:t>
      </w:r>
      <w:r>
        <w:t>e</w:t>
      </w:r>
      <w:r>
        <w:t>ría dar a estas personas y, en el otro, la mujer y el te</w:t>
      </w:r>
      <w:r>
        <w:t>r</w:t>
      </w:r>
      <w:r>
        <w:t>cero son los que le recriminan que se ma</w:t>
      </w:r>
      <w:r>
        <w:t>n</w:t>
      </w:r>
      <w:r>
        <w:t>dara la “macana” con ellos.</w:t>
      </w:r>
    </w:p>
    <w:p w:rsidR="00224567" w:rsidRDefault="00224567">
      <w:pPr>
        <w:widowControl w:val="0"/>
      </w:pPr>
      <w:r>
        <w:tab/>
        <w:t>No obsta a lo expuesto que el te</w:t>
      </w:r>
      <w:r>
        <w:t>s</w:t>
      </w:r>
      <w:r>
        <w:t>tigo aclarara, al serle leída la frase volcada en la instru</w:t>
      </w:r>
      <w:r>
        <w:t>c</w:t>
      </w:r>
      <w:r>
        <w:t>ción, que fue luego de ella cuando Rabbani respondiera “qué le vamos a decir a esta gente”. La incompatibilidad que trata de salvar el test</w:t>
      </w:r>
      <w:r>
        <w:t>i</w:t>
      </w:r>
      <w:r>
        <w:t>go es evidente.</w:t>
      </w:r>
    </w:p>
    <w:p w:rsidR="00224567" w:rsidRDefault="00224567">
      <w:pPr>
        <w:widowControl w:val="0"/>
      </w:pPr>
      <w:r>
        <w:tab/>
        <w:t>También durante el debate sostuvo re</w:t>
      </w:r>
      <w:r>
        <w:t>s</w:t>
      </w:r>
      <w:r>
        <w:t>pecto del contenido de la declaración agregada a fs. 115.018/115.039, con la que fuera confrontado, que tanto la frase: “Es culpa tuya, lo que ha pasado, por manejar caprichosamente las cosas” como su respuesta “Que yo no soy ningún caprichoso”, pertenecían ambas a Rabbani. En esta versión, a diferencia de lo sostenido en instru</w:t>
      </w:r>
      <w:r>
        <w:t>c</w:t>
      </w:r>
      <w:r>
        <w:t>ción donde le adjudicara a Rabbani solo la respuesta, sorpre</w:t>
      </w:r>
      <w:r>
        <w:t>n</w:t>
      </w:r>
      <w:r>
        <w:t>dentemente le endilga al ex diplomático todo el diálogo. Ello p</w:t>
      </w:r>
      <w:r>
        <w:t>o</w:t>
      </w:r>
      <w:r>
        <w:t>dría atribuirse a una confusión, si no fuera porque el testigo específicamente ratif</w:t>
      </w:r>
      <w:r>
        <w:t>i</w:t>
      </w:r>
      <w:r>
        <w:t>có esa mención.</w:t>
      </w:r>
    </w:p>
    <w:p w:rsidR="00224567" w:rsidRDefault="00224567">
      <w:pPr>
        <w:widowControl w:val="0"/>
      </w:pPr>
      <w:r>
        <w:tab/>
        <w:t>Como un dato menor en cuanto a la r</w:t>
      </w:r>
      <w:r>
        <w:t>e</w:t>
      </w:r>
      <w:r>
        <w:t>ferencia, pero oportuno para señalar las contradicciones del testigo como método para meritar su credibilidad, d</w:t>
      </w:r>
      <w:r>
        <w:t>u</w:t>
      </w:r>
      <w:r>
        <w:t>rante la instrucción Perona señaló que, de las dos pers</w:t>
      </w:r>
      <w:r>
        <w:t>o</w:t>
      </w:r>
      <w:r>
        <w:t>nas que increpaban a Rabbani, era la mujer la que alzaba la voz “tapando” la del tercero que no identificó. En ca</w:t>
      </w:r>
      <w:r>
        <w:t>m</w:t>
      </w:r>
      <w:r>
        <w:t>bio, en la audiencia sostuvo que era Rabbani el de la voz más alta, dejando así sin sentido aquella superposición de voces señalada en la declar</w:t>
      </w:r>
      <w:r>
        <w:t>a</w:t>
      </w:r>
      <w:r>
        <w:t>ción escrita.</w:t>
      </w:r>
    </w:p>
    <w:p w:rsidR="00224567" w:rsidRDefault="00224567">
      <w:pPr>
        <w:widowControl w:val="0"/>
      </w:pPr>
      <w:r>
        <w:tab/>
        <w:t>Además, con anterioridad a que se le leyera la declaración prestada en instrucción, Per</w:t>
      </w:r>
      <w:r>
        <w:t>o</w:t>
      </w:r>
      <w:r>
        <w:t>na solo señaló que escuchó a Rabbani gritando en su “mal cast</w:t>
      </w:r>
      <w:r>
        <w:t>e</w:t>
      </w:r>
      <w:r>
        <w:t>llano” la frase –ya citada–: “Y ahora me quieren decir u</w:t>
      </w:r>
      <w:r>
        <w:t>s</w:t>
      </w:r>
      <w:r>
        <w:t>tedes que le digo yo a Telleldín o que le digo ... a Ha</w:t>
      </w:r>
      <w:r>
        <w:t>d</w:t>
      </w:r>
      <w:r>
        <w:t>dad”. Negó enfáticamente que alguna mujer dijera algo en español al ser específicamente preguntado sobre este a</w:t>
      </w:r>
      <w:r>
        <w:t>s</w:t>
      </w:r>
      <w:r>
        <w:t>pecto, y luego insistió: “la mayoría se nota que habl</w:t>
      </w:r>
      <w:r>
        <w:t>a</w:t>
      </w:r>
      <w:r>
        <w:t>ban en árabe o farsi ... y esta mujer sobre todo habl</w:t>
      </w:r>
      <w:r>
        <w:t>a</w:t>
      </w:r>
      <w:r>
        <w:t>ba a los gritos y en farsi que es la que mayormente discutía con Rabbani”.</w:t>
      </w:r>
    </w:p>
    <w:p w:rsidR="00224567" w:rsidRDefault="00224567">
      <w:pPr>
        <w:widowControl w:val="0"/>
      </w:pPr>
      <w:r>
        <w:tab/>
        <w:t>Ahora bien, cuando se da lectura al diálogo que, durante la instrucción, el testigo dijera h</w:t>
      </w:r>
      <w:r>
        <w:t>a</w:t>
      </w:r>
      <w:r>
        <w:t>ber escuchado modificó su versión y sostuvo indirect</w:t>
      </w:r>
      <w:r>
        <w:t>a</w:t>
      </w:r>
      <w:r>
        <w:t>mente –al reconocer una frase en ese idioma– que la mujer habl</w:t>
      </w:r>
      <w:r>
        <w:t>a</w:t>
      </w:r>
      <w:r>
        <w:t>ba en español.</w:t>
      </w:r>
    </w:p>
    <w:p w:rsidR="00224567" w:rsidRDefault="00224567">
      <w:pPr>
        <w:widowControl w:val="0"/>
      </w:pPr>
      <w:r>
        <w:tab/>
        <w:t>A esta altura del análisis puede a</w:t>
      </w:r>
      <w:r>
        <w:t>d</w:t>
      </w:r>
      <w:r>
        <w:t>vertirse que la afirmación de Perona de haber esc</w:t>
      </w:r>
      <w:r>
        <w:t>u</w:t>
      </w:r>
      <w:r>
        <w:t>chado la discusión citada por los acusadores no resulta creíble. A la ya insólita afirmación de que se mant</w:t>
      </w:r>
      <w:r>
        <w:t>u</w:t>
      </w:r>
      <w:r>
        <w:t>viera una reunión sin la privacidad que el tema exigía –circunstancia ésta que hubiera permitido al testigo enterarse de su conten</w:t>
      </w:r>
      <w:r>
        <w:t>i</w:t>
      </w:r>
      <w:r>
        <w:t>do– en la que sus participantes hablaran en distintos idiomas, deben sumarse los citados y relevantes desacue</w:t>
      </w:r>
      <w:r>
        <w:t>r</w:t>
      </w:r>
      <w:r>
        <w:t>dos en los que hubiera incurrido el test</w:t>
      </w:r>
      <w:r>
        <w:t>i</w:t>
      </w:r>
      <w:r>
        <w:t>go.</w:t>
      </w:r>
    </w:p>
    <w:p w:rsidR="00224567" w:rsidRDefault="00224567">
      <w:pPr>
        <w:widowControl w:val="0"/>
      </w:pPr>
      <w:r>
        <w:tab/>
        <w:t>Por otra parte, debe ponerse de resa</w:t>
      </w:r>
      <w:r>
        <w:t>l</w:t>
      </w:r>
      <w:r>
        <w:t>to la con</w:t>
      </w:r>
      <w:r>
        <w:t>s</w:t>
      </w:r>
      <w:r>
        <w:t>tante estrategia empleada por la acusación para v</w:t>
      </w:r>
      <w:r>
        <w:t>a</w:t>
      </w:r>
      <w:r>
        <w:t>lorar la prueba empleada como fundamento de su postura; esto es omitir valorar las contradicciones que surgen de esa probanza. Precisamente, esto es lo que sucedió con las i</w:t>
      </w:r>
      <w:r>
        <w:t>n</w:t>
      </w:r>
      <w:r>
        <w:t>coherencias de Perona.</w:t>
      </w:r>
    </w:p>
    <w:p w:rsidR="00224567" w:rsidRDefault="00224567">
      <w:pPr>
        <w:widowControl w:val="0"/>
      </w:pPr>
      <w:r>
        <w:tab/>
        <w:t>En virtud de las circunstancias señ</w:t>
      </w:r>
      <w:r>
        <w:t>a</w:t>
      </w:r>
      <w:r>
        <w:t>ladas, corresponde investigar el presunto d</w:t>
      </w:r>
      <w:r>
        <w:t>e</w:t>
      </w:r>
      <w:r>
        <w:t>lito de falso testimonio en que habría incurrido Alfredo Roberto P</w:t>
      </w:r>
      <w:r>
        <w:t>e</w:t>
      </w:r>
      <w:r>
        <w:t>rona.</w:t>
      </w:r>
    </w:p>
    <w:p w:rsidR="00224567" w:rsidRDefault="00224567">
      <w:pPr>
        <w:widowControl w:val="0"/>
      </w:pPr>
      <w:r>
        <w:tab/>
      </w:r>
      <w:r>
        <w:rPr>
          <w:b/>
          <w:bCs/>
        </w:rPr>
        <w:t xml:space="preserve">A.7) </w:t>
      </w:r>
      <w:r>
        <w:t>Al momento de realizar su informe final el fiscal requirió que se extraigan testimonios a fin de investigar la posible comisión de delitos de acción p</w:t>
      </w:r>
      <w:r>
        <w:t>ú</w:t>
      </w:r>
      <w:r>
        <w:t>blica por parte de Ángel Roberto Salguero, en atención a sus manifestaciones en el debate acerca del contenido de las actas instrumentadas a fs. 51.536, 51.541 y 87.217.</w:t>
      </w:r>
    </w:p>
    <w:p w:rsidR="00224567" w:rsidRDefault="00224567">
      <w:pPr>
        <w:widowControl w:val="0"/>
      </w:pPr>
      <w:r>
        <w:tab/>
        <w:t xml:space="preserve">Corresponde, entonces, repasar dichas actuaciones y el testimonio que sobre el particular brindó Ángel Roberto Salguero. </w:t>
      </w:r>
    </w:p>
    <w:p w:rsidR="00224567" w:rsidRDefault="00224567">
      <w:pPr>
        <w:widowControl w:val="0"/>
      </w:pPr>
      <w:r>
        <w:tab/>
        <w:t>Se desprende de fs. 51.536, que el e</w:t>
      </w:r>
      <w:r>
        <w:t>n</w:t>
      </w:r>
      <w:r>
        <w:t>tonces comisario inspector Ángel Roberto Salguero dispuso, el 4 de diciembre de 1995, realizar tareas de inteligencia en los domicilios de Alberto Niari, Emilio Morello y Raúl Naselo, en virtud de la posible participación de los no</w:t>
      </w:r>
      <w:r>
        <w:t>m</w:t>
      </w:r>
      <w:r>
        <w:t xml:space="preserve">brados en el atentado a la sede de </w:t>
      </w:r>
      <w:smartTag w:uri="urn:schemas-microsoft-com:office:smarttags" w:element="PersonName">
        <w:smartTagPr>
          <w:attr w:name="ProductID" w:val="la A.M"/>
        </w:smartTagPr>
        <w:r>
          <w:t>la A.M</w:t>
        </w:r>
      </w:smartTag>
      <w:r>
        <w:t xml:space="preserve">.I.A. </w:t>
      </w:r>
    </w:p>
    <w:p w:rsidR="00224567" w:rsidRDefault="00224567">
      <w:pPr>
        <w:widowControl w:val="0"/>
      </w:pPr>
      <w:r>
        <w:tab/>
        <w:t>A fs. 51.537/51.540 prestaron declar</w:t>
      </w:r>
      <w:r>
        <w:t>a</w:t>
      </w:r>
      <w:r>
        <w:t>ción testimonial los oficiales inspectores Marcelo Oscar García, Jorge Pablo de Bourgoing y Darío Roberto Ibáñez acerca de las tareas de inteligencia desarrolladas en d</w:t>
      </w:r>
      <w:r>
        <w:t>i</w:t>
      </w:r>
      <w:r>
        <w:t>chos domicilios, determinando que las personas investig</w:t>
      </w:r>
      <w:r>
        <w:t>a</w:t>
      </w:r>
      <w:r>
        <w:t>das allí residen.</w:t>
      </w:r>
    </w:p>
    <w:p w:rsidR="00224567" w:rsidRDefault="00224567">
      <w:pPr>
        <w:widowControl w:val="0"/>
      </w:pPr>
      <w:r>
        <w:tab/>
        <w:t>Salguero dispuso a fs. 51.541 solic</w:t>
      </w:r>
      <w:r>
        <w:t>i</w:t>
      </w:r>
      <w:r>
        <w:t>tar al juez instructor el allanamiento de las viviendas de Niari, Morello y Naselo, como así también el registro de sus ocupantes, con el objeto de secuestrar armas, munici</w:t>
      </w:r>
      <w:r>
        <w:t>o</w:t>
      </w:r>
      <w:r>
        <w:t>nes, drogas, explosivos o cualquier otra documentación vinculada con la investigación.</w:t>
      </w:r>
    </w:p>
    <w:p w:rsidR="00224567" w:rsidRDefault="00224567">
      <w:pPr>
        <w:widowControl w:val="0"/>
      </w:pPr>
      <w:r>
        <w:tab/>
        <w:t>Sin embargo, en oportunidad  de pre</w:t>
      </w:r>
      <w:r>
        <w:t>s</w:t>
      </w:r>
      <w:r>
        <w:t>tar declaración testimonial en el debate, Salguero afirmó -tras serle exhibida la fs. 51.536– que no existieron t</w:t>
      </w:r>
      <w:r>
        <w:t>a</w:t>
      </w:r>
      <w:r>
        <w:t>reas de inteligencia. Al respecto, explicó que en realidad los p</w:t>
      </w:r>
      <w:r>
        <w:t>e</w:t>
      </w:r>
      <w:r>
        <w:t>didos de allanamiento fueron ordenados directamente por el juez instructor.</w:t>
      </w:r>
    </w:p>
    <w:p w:rsidR="00224567" w:rsidRDefault="00224567">
      <w:pPr>
        <w:widowControl w:val="0"/>
      </w:pPr>
      <w:r>
        <w:tab/>
        <w:t>Por otra parte, a fs. 87.217, Ángel Roberto Salguero junto con el subcomisario Mari</w:t>
      </w:r>
      <w:r>
        <w:t>a</w:t>
      </w:r>
      <w:r>
        <w:t>no Javier González documentaron la recepción de un llamado telefón</w:t>
      </w:r>
      <w:r>
        <w:t>i</w:t>
      </w:r>
      <w:r>
        <w:t>co por parte de una persona que se identificó como Marcelo Claudio Isidro Cañete, quien solicitó una entrevista con personal policial jerárquico, en razón de conocer inform</w:t>
      </w:r>
      <w:r>
        <w:t>a</w:t>
      </w:r>
      <w:r>
        <w:t>ción acerca del atentado ocurrido en la mutual j</w:t>
      </w:r>
      <w:r>
        <w:t>u</w:t>
      </w:r>
      <w:r>
        <w:t>día.</w:t>
      </w:r>
    </w:p>
    <w:p w:rsidR="00224567" w:rsidRDefault="00224567">
      <w:pPr>
        <w:widowControl w:val="0"/>
      </w:pPr>
      <w:r>
        <w:tab/>
        <w:t>En el debate, en cambio, Salguero s</w:t>
      </w:r>
      <w:r>
        <w:t>e</w:t>
      </w:r>
      <w:r>
        <w:t>ñaló que el llamado telefónico no existió, sino que Cañete fue presentado a la instrucción por su madre, Elba Ferná</w:t>
      </w:r>
      <w:r>
        <w:t>n</w:t>
      </w:r>
      <w:r>
        <w:t>dez, con el objeto de dar información. Asimismo, reconoció que “en cierta manera lo que se escribe no coincide con la re</w:t>
      </w:r>
      <w:r>
        <w:t>a</w:t>
      </w:r>
      <w:r>
        <w:t>lidad”.</w:t>
      </w:r>
    </w:p>
    <w:p w:rsidR="00224567" w:rsidRDefault="00224567">
      <w:pPr>
        <w:widowControl w:val="0"/>
      </w:pPr>
      <w:r>
        <w:tab/>
        <w:t>Por todo lo expuesto, corresponde i</w:t>
      </w:r>
      <w:r>
        <w:t>n</w:t>
      </w:r>
      <w:r>
        <w:t>vestigar la posible comisión del delito de falsedad ide</w:t>
      </w:r>
      <w:r>
        <w:t>o</w:t>
      </w:r>
      <w:r>
        <w:t>lógica del acta de fs. 87.217, como así también lo actu</w:t>
      </w:r>
      <w:r>
        <w:t>a</w:t>
      </w:r>
      <w:r>
        <w:t>do a fs. 51.536/51.541</w:t>
      </w:r>
    </w:p>
    <w:p w:rsidR="00224567" w:rsidRDefault="00224567">
      <w:pPr>
        <w:widowControl w:val="0"/>
      </w:pPr>
      <w:r>
        <w:tab/>
      </w:r>
      <w:r>
        <w:rPr>
          <w:b/>
          <w:bCs/>
        </w:rPr>
        <w:t>A.8)</w:t>
      </w:r>
      <w:r>
        <w:t xml:space="preserve"> Por último, resulta inevitable señalar que un correcto servicio de administración de ju</w:t>
      </w:r>
      <w:r>
        <w:t>s</w:t>
      </w:r>
      <w:r>
        <w:t>ticia, que asegure la confianza general de todos los ci</w:t>
      </w:r>
      <w:r>
        <w:t>u</w:t>
      </w:r>
      <w:r>
        <w:t>dad</w:t>
      </w:r>
      <w:r>
        <w:t>a</w:t>
      </w:r>
      <w:r>
        <w:t>nos, impone a quienes se desenvuelven en ese ámbito un respeto irrestricto a ley y a las normas que regulan su actu</w:t>
      </w:r>
      <w:r>
        <w:t>a</w:t>
      </w:r>
      <w:r>
        <w:t xml:space="preserve">ción. </w:t>
      </w:r>
    </w:p>
    <w:p w:rsidR="00224567" w:rsidRDefault="00224567">
      <w:pPr>
        <w:pStyle w:val="Textoindependiente"/>
        <w:tabs>
          <w:tab w:val="left" w:pos="2835"/>
        </w:tabs>
        <w:spacing w:line="600" w:lineRule="auto"/>
      </w:pPr>
      <w:r>
        <w:tab/>
        <w:t>En ese convencimiento y sin perjuicio de la eventual responsabilidad que en la esfera penal pudiera c</w:t>
      </w:r>
      <w:r>
        <w:t>a</w:t>
      </w:r>
      <w:r>
        <w:t>berle a los funcionarios y empleados del Juzgado Nacional en lo Cr</w:t>
      </w:r>
      <w:r>
        <w:t>i</w:t>
      </w:r>
      <w:r>
        <w:t>minal y Correccional Federal nº 9 por los delitos que se habrían cometido durante la instrucción, corresponde que se examine, en virtud de las irregularidades también enunciadas a lo largo del presente fallo, las eventuales responsabilidades que en materia administrativa podría achacárs</w:t>
      </w:r>
      <w:r>
        <w:t>e</w:t>
      </w:r>
      <w:r>
        <w:t>les.</w:t>
      </w:r>
    </w:p>
    <w:p w:rsidR="00224567" w:rsidRDefault="00224567">
      <w:pPr>
        <w:widowControl w:val="0"/>
      </w:pPr>
    </w:p>
    <w:p w:rsidR="00224567" w:rsidRDefault="00224567">
      <w:pPr>
        <w:pStyle w:val="Ttulo3"/>
        <w:keepNext w:val="0"/>
        <w:widowControl w:val="0"/>
      </w:pPr>
      <w:r>
        <w:t>B) Conclusión.</w:t>
      </w:r>
    </w:p>
    <w:p w:rsidR="00224567" w:rsidRDefault="00224567">
      <w:pPr>
        <w:pStyle w:val="Textoindependiente"/>
        <w:tabs>
          <w:tab w:val="clear" w:pos="0"/>
          <w:tab w:val="clear" w:pos="2040"/>
          <w:tab w:val="clear" w:pos="4080"/>
          <w:tab w:val="clear" w:pos="6120"/>
          <w:tab w:val="clear" w:pos="8160"/>
          <w:tab w:val="left" w:pos="2835"/>
        </w:tabs>
        <w:spacing w:line="600" w:lineRule="auto"/>
      </w:pPr>
      <w:r>
        <w:tab/>
        <w:t>En mérito a las consideraciones efe</w:t>
      </w:r>
      <w:r>
        <w:t>c</w:t>
      </w:r>
      <w:r>
        <w:t>tuadas en el presente, como así también en los capítulos que anteceden, corre</w:t>
      </w:r>
      <w:r>
        <w:t>s</w:t>
      </w:r>
      <w:r>
        <w:t>ponde:</w:t>
      </w:r>
    </w:p>
    <w:p w:rsidR="00224567" w:rsidRDefault="00224567">
      <w:pPr>
        <w:widowControl w:val="0"/>
        <w:ind w:firstLine="2880"/>
        <w:rPr>
          <w:b/>
          <w:bCs/>
        </w:rPr>
      </w:pPr>
      <w:r>
        <w:rPr>
          <w:b/>
          <w:bCs/>
        </w:rPr>
        <w:t xml:space="preserve">B.1) </w:t>
      </w:r>
      <w:r>
        <w:t>E</w:t>
      </w:r>
      <w:r>
        <w:rPr>
          <w:lang w:val="es-ES_tradnl"/>
        </w:rPr>
        <w:t>x</w:t>
      </w:r>
      <w:r>
        <w:t>tr</w:t>
      </w:r>
      <w:r>
        <w:t>a</w:t>
      </w:r>
      <w:r>
        <w:t xml:space="preserve">er testimonios de las piezas pertinentes para su remisión a </w:t>
      </w:r>
      <w:smartTag w:uri="urn:schemas-microsoft-com:office:smarttags" w:element="PersonName">
        <w:smartTagPr>
          <w:attr w:name="ProductID" w:val="la C￡mara Nacional"/>
        </w:smartTagPr>
        <w:r>
          <w:t>la Cámara Nacional</w:t>
        </w:r>
      </w:smartTag>
      <w:r>
        <w:t xml:space="preserve"> de Ap</w:t>
      </w:r>
      <w:r>
        <w:t>e</w:t>
      </w:r>
      <w:r>
        <w:t xml:space="preserve">laciones en lo Criminal y Correccional Federal de esta ciudad, a efectos de que determine el juzgado que deberá investigar la posible comisión del delito de falsedad ideológica en la confección del acta </w:t>
      </w:r>
      <w:r>
        <w:rPr>
          <w:lang w:val="es-ES_tradnl"/>
        </w:rPr>
        <w:t xml:space="preserve">fs. 224 del Informe Preliminar elaborado por </w:t>
      </w:r>
      <w:smartTag w:uri="urn:schemas-microsoft-com:office:smarttags" w:element="PersonName">
        <w:smartTagPr>
          <w:attr w:name="ProductID" w:val="la Superintendencia"/>
        </w:smartTagPr>
        <w:r>
          <w:rPr>
            <w:lang w:val="es-ES_tradnl"/>
          </w:rPr>
          <w:t>la Superintendencia</w:t>
        </w:r>
      </w:smartTag>
      <w:r>
        <w:rPr>
          <w:lang w:val="es-ES_tradnl"/>
        </w:rPr>
        <w:t xml:space="preserve"> de Bomberos de </w:t>
      </w:r>
      <w:smartTag w:uri="urn:schemas-microsoft-com:office:smarttags" w:element="PersonName">
        <w:smartTagPr>
          <w:attr w:name="ProductID" w:val="la Polic￭a Federal"/>
        </w:smartTagPr>
        <w:r>
          <w:rPr>
            <w:lang w:val="es-ES_tradnl"/>
          </w:rPr>
          <w:t>la P</w:t>
        </w:r>
        <w:r>
          <w:rPr>
            <w:lang w:val="es-ES_tradnl"/>
          </w:rPr>
          <w:t>o</w:t>
        </w:r>
        <w:r>
          <w:rPr>
            <w:lang w:val="es-ES_tradnl"/>
          </w:rPr>
          <w:t>licía Federal</w:t>
        </w:r>
      </w:smartTag>
      <w:r>
        <w:rPr>
          <w:lang w:val="es-ES_tradnl"/>
        </w:rPr>
        <w:t xml:space="preserve"> Argentina.</w:t>
      </w:r>
    </w:p>
    <w:p w:rsidR="00224567" w:rsidRDefault="00224567">
      <w:pPr>
        <w:widowControl w:val="0"/>
        <w:ind w:firstLine="2880"/>
      </w:pPr>
      <w:r>
        <w:rPr>
          <w:b/>
          <w:bCs/>
        </w:rPr>
        <w:t>B.2)</w:t>
      </w:r>
      <w:r>
        <w:t xml:space="preserve"> 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Apelaci</w:t>
      </w:r>
      <w:r>
        <w:t>o</w:t>
      </w:r>
      <w:r>
        <w:t>nes en lo Criminal y Correccional Federal de e</w:t>
      </w:r>
      <w:r>
        <w:t>s</w:t>
      </w:r>
      <w:r>
        <w:t>ta ciudad, a efectos de que determine el juzgado que deberá invest</w:t>
      </w:r>
      <w:r>
        <w:t>i</w:t>
      </w:r>
      <w:r>
        <w:t>gar la responsabilidad que pudo caberles al juez Juan José Galeano, a los funcionarios y empleados del Juzgado Naci</w:t>
      </w:r>
      <w:r>
        <w:t>o</w:t>
      </w:r>
      <w:r>
        <w:t>nal en lo Criminal y Correccional Federal nº 9 de esta ciudad, como así también a los representantes del Minist</w:t>
      </w:r>
      <w:r>
        <w:t>e</w:t>
      </w:r>
      <w:r>
        <w:t>rio Público Fiscal, Eamon Gabriel Mullen y José Carlos Barbaccia, en los delitos que se habrían cometido a lo largo de la instrucción de la presente causa; en partic</w:t>
      </w:r>
      <w:r>
        <w:t>u</w:t>
      </w:r>
      <w:r>
        <w:t>lar:</w:t>
      </w:r>
    </w:p>
    <w:p w:rsidR="00224567" w:rsidRDefault="00224567">
      <w:pPr>
        <w:widowControl w:val="0"/>
        <w:ind w:firstLine="2880"/>
      </w:pPr>
      <w:r>
        <w:rPr>
          <w:b/>
          <w:bCs/>
        </w:rPr>
        <w:t>B.2.a)</w:t>
      </w:r>
      <w:r>
        <w:t xml:space="preserve"> la falsedad ideológica del acta labrada con motivo de la declaración indagatoria prestada el 5 de julio de 1996 por Ca</w:t>
      </w:r>
      <w:r>
        <w:t>r</w:t>
      </w:r>
      <w:r>
        <w:t>los Alberto Telleldín;</w:t>
      </w:r>
    </w:p>
    <w:p w:rsidR="00224567" w:rsidRDefault="00224567">
      <w:pPr>
        <w:pStyle w:val="Sangradetextonormal"/>
        <w:widowControl w:val="0"/>
        <w:ind w:firstLine="2880"/>
      </w:pPr>
      <w:r>
        <w:rPr>
          <w:b/>
          <w:bCs/>
        </w:rPr>
        <w:t>B.2.b)</w:t>
      </w:r>
      <w:r>
        <w:t xml:space="preserve"> la destrucción de las videoci</w:t>
      </w:r>
      <w:r>
        <w:t>n</w:t>
      </w:r>
      <w:r>
        <w:t>tas en las que se registraron declaraciones y entrevistas llevadas a cabo en el marco de estas actuaciones en el juzgado instructor y en dependencias del Ministerio Públ</w:t>
      </w:r>
      <w:r>
        <w:t>i</w:t>
      </w:r>
      <w:r>
        <w:t>co Fi</w:t>
      </w:r>
      <w:r>
        <w:t>s</w:t>
      </w:r>
      <w:r>
        <w:t>cal;</w:t>
      </w:r>
    </w:p>
    <w:p w:rsidR="00224567" w:rsidRDefault="00224567">
      <w:pPr>
        <w:pStyle w:val="Sangradetextonormal"/>
        <w:widowControl w:val="0"/>
        <w:ind w:firstLine="2880"/>
      </w:pPr>
      <w:r>
        <w:rPr>
          <w:b/>
          <w:bCs/>
        </w:rPr>
        <w:t>B.2.c)</w:t>
      </w:r>
      <w:r>
        <w:t xml:space="preserve"> la privación ilegal de la l</w:t>
      </w:r>
      <w:r>
        <w:t>i</w:t>
      </w:r>
      <w:r>
        <w:t>bertad y torturas que habría sufrido César Antonio Ferná</w:t>
      </w:r>
      <w:r>
        <w:t>n</w:t>
      </w:r>
      <w:r>
        <w:t>dez, como asimismo la responsabil</w:t>
      </w:r>
      <w:r>
        <w:t>i</w:t>
      </w:r>
      <w:r>
        <w:t xml:space="preserve">dad que en tales sucesos pudo caberle a personal de </w:t>
      </w:r>
      <w:smartTag w:uri="urn:schemas-microsoft-com:office:smarttags" w:element="PersonName">
        <w:smartTagPr>
          <w:attr w:name="ProductID" w:val="la Secretar￭a"/>
        </w:smartTagPr>
        <w:r>
          <w:t>la Secretaría</w:t>
        </w:r>
      </w:smartTag>
      <w:r>
        <w:t xml:space="preserve"> de Inteligencia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Nación</w:t>
        </w:r>
      </w:smartTag>
      <w:r>
        <w:t xml:space="preserve"> y de </w:t>
      </w:r>
      <w:smartTag w:uri="urn:schemas-microsoft-com:office:smarttags" w:element="PersonName">
        <w:smartTagPr>
          <w:attr w:name="ProductID" w:val="la Polic￭a"/>
        </w:smartTagPr>
        <w:r>
          <w:t>la Policía</w:t>
        </w:r>
      </w:smartTag>
      <w:r>
        <w:t xml:space="preserve"> de </w:t>
      </w:r>
      <w:smartTag w:uri="urn:schemas-microsoft-com:office:smarttags" w:element="PersonName">
        <w:smartTagPr>
          <w:attr w:name="ProductID" w:val="la Provincia"/>
        </w:smartTagPr>
        <w:r>
          <w:t>la Pr</w:t>
        </w:r>
        <w:r>
          <w:t>o</w:t>
        </w:r>
        <w:r>
          <w:t>vincia</w:t>
        </w:r>
      </w:smartTag>
      <w:r>
        <w:t xml:space="preserve"> de Buenos Aires;</w:t>
      </w:r>
    </w:p>
    <w:p w:rsidR="00224567" w:rsidRDefault="00224567">
      <w:pPr>
        <w:widowControl w:val="0"/>
        <w:ind w:firstLine="2880"/>
      </w:pPr>
      <w:r>
        <w:rPr>
          <w:b/>
          <w:bCs/>
        </w:rPr>
        <w:t>B.2.d)</w:t>
      </w:r>
      <w:r>
        <w:t xml:space="preserve"> lo actuado en el legajo nº 148, caratul</w:t>
      </w:r>
      <w:r>
        <w:t>a</w:t>
      </w:r>
      <w:r>
        <w:t>do: “Ofrecimientos para Obtener Información”, como así también la responsabilidad que pudo caberles a Luis Ernesto Vicat y Aldo Andrés Spicacci Citarella en los ofrec</w:t>
      </w:r>
      <w:r>
        <w:t>i</w:t>
      </w:r>
      <w:r>
        <w:t>mientos efectuados a Diego Enrique Barreda y Alberto Enrique B</w:t>
      </w:r>
      <w:r>
        <w:t>a</w:t>
      </w:r>
      <w:r>
        <w:t>rreda;</w:t>
      </w:r>
    </w:p>
    <w:p w:rsidR="00224567" w:rsidRDefault="00224567">
      <w:pPr>
        <w:pStyle w:val="Sangradetextonormal"/>
        <w:widowControl w:val="0"/>
        <w:ind w:firstLine="2880"/>
      </w:pPr>
      <w:r>
        <w:rPr>
          <w:b/>
          <w:bCs/>
        </w:rPr>
        <w:t>B.2.e)</w:t>
      </w:r>
      <w:r>
        <w:t xml:space="preserve"> los denunciados en el debate por Gisela Jaquel</w:t>
      </w:r>
      <w:r>
        <w:t>i</w:t>
      </w:r>
      <w:r>
        <w:t>na Araya y Alexandra Gabriela De Leone, respecto de las circunstancias que habrían rodeado la co</w:t>
      </w:r>
      <w:r>
        <w:t>n</w:t>
      </w:r>
      <w:r>
        <w:t>fección y el co</w:t>
      </w:r>
      <w:r>
        <w:t>n</w:t>
      </w:r>
      <w:r>
        <w:t>tenido del acta de fs. 41.289;</w:t>
      </w:r>
    </w:p>
    <w:p w:rsidR="00224567" w:rsidRDefault="00224567">
      <w:pPr>
        <w:widowControl w:val="0"/>
        <w:ind w:firstLine="2880"/>
      </w:pPr>
      <w:r>
        <w:rPr>
          <w:b/>
          <w:bCs/>
        </w:rPr>
        <w:t>B.2.f)</w:t>
      </w:r>
      <w:r>
        <w:t xml:space="preserve"> los denunciados en el debate por Jorge Horacio Rago, en orden a la entrevista que ma</w:t>
      </w:r>
      <w:r>
        <w:t>n</w:t>
      </w:r>
      <w:r>
        <w:t>tuvo con el juez in</w:t>
      </w:r>
      <w:r>
        <w:t>s</w:t>
      </w:r>
      <w:r>
        <w:t>tructor, previo a su detención;</w:t>
      </w:r>
    </w:p>
    <w:p w:rsidR="00224567" w:rsidRDefault="00224567">
      <w:pPr>
        <w:pStyle w:val="Sangradetextonormal"/>
        <w:widowControl w:val="0"/>
        <w:ind w:firstLine="2880"/>
      </w:pPr>
      <w:r>
        <w:rPr>
          <w:b/>
          <w:bCs/>
        </w:rPr>
        <w:t>B.2.g)</w:t>
      </w:r>
      <w:r>
        <w:t xml:space="preserve"> los que resultan de los porm</w:t>
      </w:r>
      <w:r>
        <w:t>e</w:t>
      </w:r>
      <w:r>
        <w:t>nores que prec</w:t>
      </w:r>
      <w:r>
        <w:t>e</w:t>
      </w:r>
      <w:r>
        <w:t>dieron la declaración testimonial prestada por Gustavo Alberto Semorile en el ju</w:t>
      </w:r>
      <w:r>
        <w:t>z</w:t>
      </w:r>
      <w:r>
        <w:t>gado instructor;</w:t>
      </w:r>
    </w:p>
    <w:p w:rsidR="00224567" w:rsidRDefault="00224567">
      <w:pPr>
        <w:widowControl w:val="0"/>
        <w:ind w:firstLine="2880"/>
      </w:pPr>
      <w:r>
        <w:rPr>
          <w:b/>
          <w:bCs/>
        </w:rPr>
        <w:t>B.2.h)</w:t>
      </w:r>
      <w:r>
        <w:t xml:space="preserve"> los que surgen de las condici</w:t>
      </w:r>
      <w:r>
        <w:t>o</w:t>
      </w:r>
      <w:r>
        <w:t>nes en que comparecieron al juzgado instructor Luis Cla</w:t>
      </w:r>
      <w:r>
        <w:t>u</w:t>
      </w:r>
      <w:r>
        <w:t>dio Álvarez M</w:t>
      </w:r>
      <w:r>
        <w:t>a</w:t>
      </w:r>
      <w:r>
        <w:t xml:space="preserve">tus, Sandra Karina Cardeal, Walter Alejandro Castro, Manuel Enrique García, Argentino Gabriel Lasala, </w:t>
      </w:r>
      <w:r>
        <w:rPr>
          <w:lang w:val="es-ES_tradnl"/>
        </w:rPr>
        <w:t>Marcelo Darío Casas, Eduardo Diego Toledo y José Aurelio Ferrari</w:t>
      </w:r>
      <w:r>
        <w:t>;</w:t>
      </w:r>
    </w:p>
    <w:p w:rsidR="00224567" w:rsidRDefault="00224567">
      <w:pPr>
        <w:pStyle w:val="Sangradetextonormal"/>
        <w:widowControl w:val="0"/>
        <w:ind w:firstLine="2880"/>
      </w:pPr>
      <w:r>
        <w:rPr>
          <w:b/>
          <w:bCs/>
        </w:rPr>
        <w:t>B.2.i)</w:t>
      </w:r>
      <w:r>
        <w:t xml:space="preserve"> la falsedad ideológica de los informes de fs. 8206 y 8619, suscriptos por el Dr. Carlos Alfredo V</w:t>
      </w:r>
      <w:r>
        <w:t>e</w:t>
      </w:r>
      <w:r>
        <w:t>lasco;</w:t>
      </w:r>
    </w:p>
    <w:p w:rsidR="00224567" w:rsidRDefault="00224567">
      <w:pPr>
        <w:widowControl w:val="0"/>
        <w:ind w:firstLine="2880"/>
      </w:pPr>
      <w:r>
        <w:rPr>
          <w:b/>
          <w:bCs/>
        </w:rPr>
        <w:t>B.2.j)</w:t>
      </w:r>
      <w:r>
        <w:t xml:space="preserve"> los que resultan del cotejo de las fechas estampadas en las actuaciones glosadas a fs. 865, 866, 870, 871, 872 y en los respectivos oficios or</w:t>
      </w:r>
      <w:r>
        <w:t>i</w:t>
      </w:r>
      <w:r>
        <w:t>ginales de intervención telefónica que se encuentran r</w:t>
      </w:r>
      <w:r>
        <w:t>e</w:t>
      </w:r>
      <w:r>
        <w:t>servados en Secretaría, como así también la responsabil</w:t>
      </w:r>
      <w:r>
        <w:t>i</w:t>
      </w:r>
      <w:r>
        <w:t xml:space="preserve">dad que en ello pudo caberle a personal de </w:t>
      </w:r>
      <w:smartTag w:uri="urn:schemas-microsoft-com:office:smarttags" w:element="PersonName">
        <w:smartTagPr>
          <w:attr w:name="ProductID" w:val="la Secretar￭a"/>
        </w:smartTagPr>
        <w:r>
          <w:t>la Secretaría</w:t>
        </w:r>
      </w:smartTag>
      <w:r>
        <w:t xml:space="preserve"> de Intel</w:t>
      </w:r>
      <w:r>
        <w:t>i</w:t>
      </w:r>
      <w:r>
        <w:t xml:space="preserve">gencia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Nación</w:t>
        </w:r>
      </w:smartTag>
      <w:r>
        <w:t>; y</w:t>
      </w:r>
    </w:p>
    <w:p w:rsidR="00224567" w:rsidRDefault="00224567">
      <w:pPr>
        <w:widowControl w:val="0"/>
        <w:ind w:firstLine="2880"/>
      </w:pPr>
      <w:r>
        <w:rPr>
          <w:b/>
          <w:bCs/>
        </w:rPr>
        <w:t>B.2.k)</w:t>
      </w:r>
      <w:r>
        <w:t xml:space="preserve"> los que resultan de las dil</w:t>
      </w:r>
      <w:r>
        <w:t>i</w:t>
      </w:r>
      <w:r>
        <w:t>gencias llevadas a cabo por Armando Antonio Calabró, en virtud de la entr</w:t>
      </w:r>
      <w:r>
        <w:t>e</w:t>
      </w:r>
      <w:r>
        <w:t>ga que da cuenta la nota de fs. 40.155, como así también la responsabilidad que pudo caberles en tales sucesos a Jorge Sebastián Menno y José Jofre, que habrían actuado junt</w:t>
      </w:r>
      <w:r>
        <w:t>a</w:t>
      </w:r>
      <w:r>
        <w:t>mente con el nombrado.</w:t>
      </w:r>
    </w:p>
    <w:p w:rsidR="00224567" w:rsidRDefault="00224567">
      <w:pPr>
        <w:widowControl w:val="0"/>
        <w:ind w:firstLine="2880"/>
      </w:pPr>
      <w:r>
        <w:rPr>
          <w:b/>
          <w:bCs/>
        </w:rPr>
        <w:t>B.3)</w:t>
      </w:r>
      <w:r>
        <w:t xml:space="preserve"> Extraer copia de la presente y remitirla al Consejo de </w:t>
      </w:r>
      <w:smartTag w:uri="urn:schemas-microsoft-com:office:smarttags" w:element="PersonName">
        <w:smartTagPr>
          <w:attr w:name="ProductID" w:val="la Magistratura"/>
        </w:smartTagPr>
        <w:r>
          <w:t>la Magistratura</w:t>
        </w:r>
      </w:smartTag>
      <w:r>
        <w:t xml:space="preserve"> a los fines pr</w:t>
      </w:r>
      <w:r>
        <w:t>e</w:t>
      </w:r>
      <w:r>
        <w:t>vistos en el art. 6, inc. 7º, de la ley 24.937, modific</w:t>
      </w:r>
      <w:r>
        <w:t>a</w:t>
      </w:r>
      <w:r>
        <w:t>da por la ley 24.939, respecto del juez Juan José Gale</w:t>
      </w:r>
      <w:r>
        <w:t>a</w:t>
      </w:r>
      <w:r>
        <w:t>no.</w:t>
      </w:r>
    </w:p>
    <w:p w:rsidR="00224567" w:rsidRDefault="00224567">
      <w:pPr>
        <w:widowControl w:val="0"/>
        <w:ind w:firstLine="2880"/>
        <w:rPr>
          <w:b/>
          <w:bCs/>
        </w:rPr>
      </w:pPr>
      <w:r>
        <w:rPr>
          <w:b/>
          <w:bCs/>
        </w:rPr>
        <w:t xml:space="preserve">B.4) </w:t>
      </w:r>
      <w:r>
        <w:t xml:space="preserve">Extraer copia de la presente y remitirla a </w:t>
      </w:r>
      <w:smartTag w:uri="urn:schemas-microsoft-com:office:smarttags" w:element="PersonName">
        <w:smartTagPr>
          <w:attr w:name="ProductID" w:val="la C￡mara Nacional"/>
        </w:smartTagPr>
        <w:r>
          <w:t>la Cámara Nacional</w:t>
        </w:r>
      </w:smartTag>
      <w:r>
        <w:t xml:space="preserve"> de Apelaciones en lo Crim</w:t>
      </w:r>
      <w:r>
        <w:t>i</w:t>
      </w:r>
      <w:r>
        <w:t>nal y Correccional Federal de esta ciudad a los efectos administrativos que estime correspondan, con relación al desempeño de los funcionarios y empleados del juzgado in</w:t>
      </w:r>
      <w:r>
        <w:t>s</w:t>
      </w:r>
      <w:r>
        <w:t>tru</w:t>
      </w:r>
      <w:r>
        <w:t>c</w:t>
      </w:r>
      <w:r>
        <w:t>tor.</w:t>
      </w:r>
    </w:p>
    <w:p w:rsidR="00224567" w:rsidRDefault="00224567">
      <w:pPr>
        <w:widowControl w:val="0"/>
        <w:ind w:firstLine="2880"/>
      </w:pPr>
      <w:r>
        <w:rPr>
          <w:b/>
          <w:bCs/>
        </w:rPr>
        <w:t>B.5)</w:t>
      </w:r>
      <w:r>
        <w:t xml:space="preserve"> 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Apelaci</w:t>
      </w:r>
      <w:r>
        <w:t>o</w:t>
      </w:r>
      <w:r>
        <w:t>nes en lo Criminal y Correccional Federal de esta ciudad, a efectos de que determine el juzgado que deberá invest</w:t>
      </w:r>
      <w:r>
        <w:t>i</w:t>
      </w:r>
      <w:r>
        <w:t>gar la posible comisión de los delitos de acción pública que resultan de la actuación del juez Gabriel Rubén Cav</w:t>
      </w:r>
      <w:r>
        <w:t>a</w:t>
      </w:r>
      <w:r>
        <w:t>llo en la instrucción de la causa nº 9485 del r</w:t>
      </w:r>
      <w:r>
        <w:t>e</w:t>
      </w:r>
      <w:r>
        <w:t xml:space="preserve">gistro de </w:t>
      </w:r>
      <w:smartTag w:uri="urn:schemas-microsoft-com:office:smarttags" w:element="PersonName">
        <w:smartTagPr>
          <w:attr w:name="ProductID" w:val="la Secretar￭a"/>
        </w:smartTagPr>
        <w:r>
          <w:t>la Secretaría</w:t>
        </w:r>
      </w:smartTag>
      <w:r>
        <w:t xml:space="preserve"> nº 7, del Juzgado N</w:t>
      </w:r>
      <w:r>
        <w:t>a</w:t>
      </w:r>
      <w:r>
        <w:t>cional en lo Criminal y Correccional Federal nº 4 de e</w:t>
      </w:r>
      <w:r>
        <w:t>s</w:t>
      </w:r>
      <w:r>
        <w:t xml:space="preserve">ta ciudad, en virtud de lo dispuesto en los arts. 55, inc. 11º, del Código Procesal Penal de </w:t>
      </w:r>
      <w:smartTag w:uri="urn:schemas-microsoft-com:office:smarttags" w:element="PersonName">
        <w:smartTagPr>
          <w:attr w:name="ProductID" w:val="la Naci￳n"/>
        </w:smartTagPr>
        <w:r>
          <w:t>la Nación</w:t>
        </w:r>
      </w:smartTag>
      <w:r>
        <w:t xml:space="preserve"> y 32 del Código Procesal Civil y Come</w:t>
      </w:r>
      <w:r>
        <w:t>r</w:t>
      </w:r>
      <w:r>
        <w:t xml:space="preserve">cial de </w:t>
      </w:r>
      <w:smartTag w:uri="urn:schemas-microsoft-com:office:smarttags" w:element="PersonName">
        <w:smartTagPr>
          <w:attr w:name="ProductID" w:val="la Naci￳n."/>
        </w:smartTagPr>
        <w:r>
          <w:t>la Nación.</w:t>
        </w:r>
      </w:smartTag>
    </w:p>
    <w:p w:rsidR="00224567" w:rsidRDefault="00224567">
      <w:pPr>
        <w:widowControl w:val="0"/>
        <w:ind w:firstLine="2880"/>
      </w:pPr>
      <w:r>
        <w:rPr>
          <w:b/>
          <w:bCs/>
        </w:rPr>
        <w:t>B.6)</w:t>
      </w:r>
      <w:r>
        <w:t xml:space="preserve"> Extraer copia de la presente y remitirla al Consejo de </w:t>
      </w:r>
      <w:smartTag w:uri="urn:schemas-microsoft-com:office:smarttags" w:element="PersonName">
        <w:smartTagPr>
          <w:attr w:name="ProductID" w:val="la Magistratura"/>
        </w:smartTagPr>
        <w:r>
          <w:t>la Magistratura</w:t>
        </w:r>
      </w:smartTag>
      <w:r>
        <w:t xml:space="preserve"> a los fines pr</w:t>
      </w:r>
      <w:r>
        <w:t>e</w:t>
      </w:r>
      <w:r>
        <w:t>vistos en el art. 6, inc. 7º, de la ley 24.937, mod</w:t>
      </w:r>
      <w:r>
        <w:t>i</w:t>
      </w:r>
      <w:r>
        <w:t>ficada por la ley 24.939, respecto del juez Gabriel Rubén Cav</w:t>
      </w:r>
      <w:r>
        <w:t>a</w:t>
      </w:r>
      <w:r>
        <w:t>llo.</w:t>
      </w:r>
    </w:p>
    <w:p w:rsidR="00224567" w:rsidRDefault="00224567">
      <w:pPr>
        <w:widowControl w:val="0"/>
        <w:ind w:firstLine="2880"/>
      </w:pPr>
      <w:r>
        <w:rPr>
          <w:b/>
          <w:bCs/>
        </w:rPr>
        <w:t xml:space="preserve">B.7) </w:t>
      </w:r>
      <w:r>
        <w:t>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Apelaci</w:t>
      </w:r>
      <w:r>
        <w:t>o</w:t>
      </w:r>
      <w:r>
        <w:t>nes en lo Criminal y Correccional Federal de esta ciudad, a efectos de que determine el juzgado que deberá invest</w:t>
      </w:r>
      <w:r>
        <w:t>i</w:t>
      </w:r>
      <w:r>
        <w:t>gar la responsabilidad que pudo caberles a Carlos Vladim</w:t>
      </w:r>
      <w:r>
        <w:t>i</w:t>
      </w:r>
      <w:r>
        <w:t>ro Corach y Hugo Alfredo Anzorreguy con relación a los pormenores que precedieron la indagatoria de Carlos Albe</w:t>
      </w:r>
      <w:r>
        <w:t>r</w:t>
      </w:r>
      <w:r>
        <w:t>to T</w:t>
      </w:r>
      <w:r>
        <w:t>e</w:t>
      </w:r>
      <w:r>
        <w:t>lleldín del 5 de julio de 1996.</w:t>
      </w:r>
    </w:p>
    <w:p w:rsidR="00224567" w:rsidRDefault="00224567">
      <w:pPr>
        <w:widowControl w:val="0"/>
      </w:pPr>
      <w:r>
        <w:rPr>
          <w:b/>
          <w:bCs/>
        </w:rPr>
        <w:tab/>
        <w:t>B.8)</w:t>
      </w:r>
      <w:r>
        <w:t xml:space="preserve"> 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Apelaci</w:t>
      </w:r>
      <w:r>
        <w:t>o</w:t>
      </w:r>
      <w:r>
        <w:t>nes en lo Criminal y Correccional Federal de esta ciudad, a efectos de que determine el juzgado que deberá invest</w:t>
      </w:r>
      <w:r>
        <w:t>i</w:t>
      </w:r>
      <w:r>
        <w:t xml:space="preserve">gar la responsabilidad que pudo caberle a personal de </w:t>
      </w:r>
      <w:smartTag w:uri="urn:schemas-microsoft-com:office:smarttags" w:element="PersonName">
        <w:smartTagPr>
          <w:attr w:name="ProductID" w:val="la Secretar￭a"/>
        </w:smartTagPr>
        <w:r>
          <w:t>la Secr</w:t>
        </w:r>
        <w:r>
          <w:t>e</w:t>
        </w:r>
        <w:r>
          <w:t>taría</w:t>
        </w:r>
      </w:smartTag>
      <w:r>
        <w:t xml:space="preserve"> de Inteligencia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Nación</w:t>
        </w:r>
      </w:smartTag>
      <w:r>
        <w:t xml:space="preserve"> en la comisión de los presuntos d</w:t>
      </w:r>
      <w:r>
        <w:t>e</w:t>
      </w:r>
      <w:r>
        <w:t>litos:</w:t>
      </w:r>
    </w:p>
    <w:p w:rsidR="00224567" w:rsidRDefault="00224567">
      <w:pPr>
        <w:widowControl w:val="0"/>
        <w:ind w:firstLine="2880"/>
      </w:pPr>
      <w:r>
        <w:rPr>
          <w:b/>
          <w:bCs/>
        </w:rPr>
        <w:t>B.8.a)</w:t>
      </w:r>
      <w:r>
        <w:t xml:space="preserve"> que resultan de las interve</w:t>
      </w:r>
      <w:r>
        <w:t>n</w:t>
      </w:r>
      <w:r>
        <w:t xml:space="preserve">ciones telefónicas, sin orden judicial, efectuadas sobre las líneas de las embajadas de </w:t>
      </w:r>
      <w:smartTag w:uri="urn:schemas-microsoft-com:office:smarttags" w:element="PersonName">
        <w:smartTagPr>
          <w:attr w:name="ProductID" w:val="la Rep￺blica Isl￡mica"/>
        </w:smartTagPr>
        <w:r>
          <w:t>la República Islámica</w:t>
        </w:r>
      </w:smartTag>
      <w:r>
        <w:t xml:space="preserve"> de Irán y </w:t>
      </w:r>
      <w:smartTag w:uri="urn:schemas-microsoft-com:office:smarttags" w:element="PersonName">
        <w:smartTagPr>
          <w:attr w:name="ProductID" w:val="la Rep￺blica"/>
        </w:smartTagPr>
        <w:r>
          <w:t>la República</w:t>
        </w:r>
      </w:smartTag>
      <w:r>
        <w:t xml:space="preserve"> de Cuba, conforme solicitudes de con</w:t>
      </w:r>
      <w:r>
        <w:t>e</w:t>
      </w:r>
      <w:r>
        <w:t>xión nº 1.473 y 1.914, como así también el destino del m</w:t>
      </w:r>
      <w:r>
        <w:t>a</w:t>
      </w:r>
      <w:r>
        <w:t>terial producido con m</w:t>
      </w:r>
      <w:r>
        <w:t>o</w:t>
      </w:r>
      <w:r>
        <w:t>tivo de éstas; y</w:t>
      </w:r>
    </w:p>
    <w:p w:rsidR="00224567" w:rsidRDefault="00224567">
      <w:pPr>
        <w:widowControl w:val="0"/>
        <w:ind w:firstLine="2880"/>
      </w:pPr>
      <w:r>
        <w:rPr>
          <w:b/>
          <w:bCs/>
        </w:rPr>
        <w:t>B.8.b)</w:t>
      </w:r>
      <w:r>
        <w:t xml:space="preserve"> que resultan del destino de las cintas de audio obtenidas durante el período en que se i</w:t>
      </w:r>
      <w:r>
        <w:t>n</w:t>
      </w:r>
      <w:r>
        <w:t>tervinieron, sin orden judicial, las líneas telefónicas consign</w:t>
      </w:r>
      <w:r>
        <w:t>a</w:t>
      </w:r>
      <w:r>
        <w:t>das en la foja 114.</w:t>
      </w:r>
    </w:p>
    <w:p w:rsidR="00224567" w:rsidRDefault="00224567">
      <w:pPr>
        <w:widowControl w:val="0"/>
        <w:ind w:firstLine="2880"/>
      </w:pPr>
      <w:r>
        <w:rPr>
          <w:b/>
          <w:bCs/>
        </w:rPr>
        <w:t>B.9)</w:t>
      </w:r>
      <w:r>
        <w:t xml:space="preserve"> 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Apelaci</w:t>
      </w:r>
      <w:r>
        <w:t>o</w:t>
      </w:r>
      <w:r>
        <w:t>nes en lo Criminal y Correccional Federal de e</w:t>
      </w:r>
      <w:r>
        <w:t>s</w:t>
      </w:r>
      <w:r>
        <w:t>ta ciudad, a efectos de que determine el juzgado que deberá invest</w:t>
      </w:r>
      <w:r>
        <w:t>i</w:t>
      </w:r>
      <w:r>
        <w:t>gar la posible comisión del delito de falso test</w:t>
      </w:r>
      <w:r>
        <w:t>i</w:t>
      </w:r>
      <w:r>
        <w:t>monio en que habrían incurrido Ramón Oreste Verón, Catalino José Humerez, Carlos Arturo Tarela, Carlos Alberto Salomone, Ricardo Morano, Rubén Ezra Beraja, Héctor Pedro Vergéz y Alfredo Roberto P</w:t>
      </w:r>
      <w:r>
        <w:t>e</w:t>
      </w:r>
      <w:r>
        <w:t>rona.</w:t>
      </w:r>
    </w:p>
    <w:p w:rsidR="00224567" w:rsidRDefault="00224567">
      <w:pPr>
        <w:widowControl w:val="0"/>
        <w:ind w:firstLine="2880"/>
      </w:pPr>
      <w:r>
        <w:rPr>
          <w:b/>
          <w:bCs/>
        </w:rPr>
        <w:t>B.10)</w:t>
      </w:r>
      <w:r>
        <w:t xml:space="preserve"> Extraer testimonios de las pi</w:t>
      </w:r>
      <w:r>
        <w:t>e</w:t>
      </w:r>
      <w:r>
        <w:t>zas pertinentes y remitirlos al Juzgado Nacional en lo Criminal y Correccional Federal nº 6, Secretaría nº 11, para que se investigue la posible com</w:t>
      </w:r>
      <w:r>
        <w:t>i</w:t>
      </w:r>
      <w:r>
        <w:t>sión de los delitos de acción pública que resultan de la intervención de Gu</w:t>
      </w:r>
      <w:r>
        <w:t>s</w:t>
      </w:r>
      <w:r>
        <w:t>tavo Alberto Semorile en el hecho acaecido el 4 de abril de 1994, motivo de juzg</w:t>
      </w:r>
      <w:r>
        <w:t>a</w:t>
      </w:r>
      <w:r>
        <w:t>miento.</w:t>
      </w:r>
    </w:p>
    <w:p w:rsidR="00224567" w:rsidRDefault="00224567">
      <w:pPr>
        <w:widowControl w:val="0"/>
        <w:ind w:firstLine="2880"/>
      </w:pPr>
      <w:r>
        <w:rPr>
          <w:b/>
          <w:bCs/>
        </w:rPr>
        <w:t>B.11)</w:t>
      </w:r>
      <w:r>
        <w:t xml:space="preserve"> Extraer testimonios de las pi</w:t>
      </w:r>
      <w:r>
        <w:t>e</w:t>
      </w:r>
      <w:r>
        <w:t xml:space="preserve">zas pertinentes y remitirlos a </w:t>
      </w:r>
      <w:smartTag w:uri="urn:schemas-microsoft-com:office:smarttags" w:element="PersonName">
        <w:smartTagPr>
          <w:attr w:name="ProductID" w:val="la C￡mara Federal"/>
        </w:smartTagPr>
        <w:r>
          <w:t>la Cámara Federal</w:t>
        </w:r>
      </w:smartTag>
      <w:r>
        <w:t xml:space="preserve"> de Apel</w:t>
      </w:r>
      <w:r>
        <w:t>a</w:t>
      </w:r>
      <w:r>
        <w:t xml:space="preserve">ciones de </w:t>
      </w:r>
      <w:smartTag w:uri="urn:schemas-microsoft-com:office:smarttags" w:element="PersonName">
        <w:smartTagPr>
          <w:attr w:name="ProductID" w:val="La Plata"/>
        </w:smartTagPr>
        <w:r>
          <w:t>La Plata</w:t>
        </w:r>
      </w:smartTag>
      <w:r>
        <w:t>, provincia de Buenos Aires, a efectos de que determine el juzgado que deberá investigar la pos</w:t>
      </w:r>
      <w:r>
        <w:t>i</w:t>
      </w:r>
      <w:r>
        <w:t>ble comisión de los delitos que resultan del tratamiento conferido a Alejandro Burguete, respecto de los demás p</w:t>
      </w:r>
      <w:r>
        <w:t>o</w:t>
      </w:r>
      <w:r>
        <w:t>licías sobre los que pesaba idéntica imputación, en el s</w:t>
      </w:r>
      <w:r>
        <w:t>u</w:t>
      </w:r>
      <w:r>
        <w:t>mario administrativo tramitado ante la policía de esa pr</w:t>
      </w:r>
      <w:r>
        <w:t>o</w:t>
      </w:r>
      <w:r>
        <w:t>vincia.</w:t>
      </w:r>
    </w:p>
    <w:p w:rsidR="00224567" w:rsidRDefault="00224567">
      <w:pPr>
        <w:widowControl w:val="0"/>
        <w:ind w:firstLine="2880"/>
      </w:pPr>
      <w:r>
        <w:rPr>
          <w:b/>
          <w:bCs/>
        </w:rPr>
        <w:t>B.12)</w:t>
      </w:r>
      <w:r>
        <w:t xml:space="preserve"> 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w:t>
      </w:r>
      <w:r>
        <w:t>e</w:t>
      </w:r>
      <w:r>
        <w:t>laciones en lo Criminal y Correccional Federal de esta ciudad, a efectos de que determine el juzgado que deberá investigar los sucesos denunciados por Bautista Alberto Huici y el Dr. Marcelo Eduardo García, que involucran a los Dres. Federico Guillermo José Domínguez, Marta Nélida Parascá</w:t>
      </w:r>
      <w:r>
        <w:t>n</w:t>
      </w:r>
      <w:r>
        <w:t>dolo y Luis Ernesto Vicat.</w:t>
      </w:r>
    </w:p>
    <w:p w:rsidR="00224567" w:rsidRDefault="00224567">
      <w:pPr>
        <w:widowControl w:val="0"/>
        <w:ind w:firstLine="2880"/>
      </w:pPr>
      <w:r>
        <w:rPr>
          <w:b/>
          <w:bCs/>
        </w:rPr>
        <w:t xml:space="preserve">B.13) </w:t>
      </w:r>
      <w:r>
        <w:t>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w:t>
      </w:r>
      <w:r>
        <w:t>e</w:t>
      </w:r>
      <w:r>
        <w:t xml:space="preserve">laciones en lo Criminal y Correccional Federal de </w:t>
      </w:r>
      <w:smartTag w:uri="urn:schemas-microsoft-com:office:smarttags" w:element="PersonName">
        <w:smartTagPr>
          <w:attr w:name="ProductID" w:val="La Plata"/>
        </w:smartTagPr>
        <w:r>
          <w:t>La Pl</w:t>
        </w:r>
        <w:r>
          <w:t>a</w:t>
        </w:r>
        <w:r>
          <w:t>ta</w:t>
        </w:r>
      </w:smartTag>
      <w:r>
        <w:t>, pr</w:t>
      </w:r>
      <w:r>
        <w:t>o</w:t>
      </w:r>
      <w:r>
        <w:t>vincia de Buenos Aires, a efectos de que determine el juzgado que deberá investigar la posible comisión del delito de falsedad ideológica del acta de fs. 87.217, como así también lo actu</w:t>
      </w:r>
      <w:r>
        <w:t>a</w:t>
      </w:r>
      <w:r>
        <w:t>do a fs. 51.536/51.541.</w:t>
      </w:r>
    </w:p>
    <w:p w:rsidR="00224567" w:rsidRDefault="00224567">
      <w:pPr>
        <w:widowControl w:val="0"/>
        <w:ind w:firstLine="2880"/>
      </w:pPr>
      <w:r>
        <w:rPr>
          <w:b/>
          <w:bCs/>
        </w:rPr>
        <w:t xml:space="preserve">B.14) </w:t>
      </w:r>
      <w:r>
        <w:t>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w:t>
      </w:r>
      <w:r>
        <w:t>e</w:t>
      </w:r>
      <w:r>
        <w:t>laciones en lo Criminal y Correccional Federal de esta ciudad, a efectos de que determine el juzgado que deberá investigar la p</w:t>
      </w:r>
      <w:r>
        <w:t>o</w:t>
      </w:r>
      <w:r>
        <w:t>sible comisión del delito de encubrimiento en que habrían incurrido Carlos Ernesto Soria, Raúl Alfr</w:t>
      </w:r>
      <w:r>
        <w:t>e</w:t>
      </w:r>
      <w:r>
        <w:t>do Galván, Carlos Alberto Álvarez, José Antonio Romero F</w:t>
      </w:r>
      <w:r>
        <w:t>e</w:t>
      </w:r>
      <w:r>
        <w:t>ris, Federico Storani, César Arias y Melchor René Cruch</w:t>
      </w:r>
      <w:r>
        <w:t>a</w:t>
      </w:r>
      <w:r>
        <w:t xml:space="preserve">ga, integrantes de </w:t>
      </w:r>
      <w:smartTag w:uri="urn:schemas-microsoft-com:office:smarttags" w:element="PersonName">
        <w:smartTagPr>
          <w:attr w:name="ProductID" w:val="la Comisi￳n Bicameral"/>
        </w:smartTagPr>
        <w:r>
          <w:t>la Comisión Bicameral</w:t>
        </w:r>
      </w:smartTag>
      <w:r>
        <w:t xml:space="preserve"> Especial de S</w:t>
      </w:r>
      <w:r>
        <w:t>e</w:t>
      </w:r>
      <w:r>
        <w:t xml:space="preserve">guimiento de </w:t>
      </w:r>
      <w:smartTag w:uri="urn:schemas-microsoft-com:office:smarttags" w:element="PersonName">
        <w:smartTagPr>
          <w:attr w:name="ProductID" w:val="la Investigaci￳n"/>
        </w:smartTagPr>
        <w:r>
          <w:t>la Investigación</w:t>
        </w:r>
      </w:smartTag>
      <w:r>
        <w:t xml:space="preserve"> de los Atentados a </w:t>
      </w:r>
      <w:smartTag w:uri="urn:schemas-microsoft-com:office:smarttags" w:element="PersonName">
        <w:smartTagPr>
          <w:attr w:name="ProductID" w:val="la Embajada"/>
        </w:smartTagPr>
        <w:r>
          <w:t>la Emb</w:t>
        </w:r>
        <w:r>
          <w:t>a</w:t>
        </w:r>
        <w:r>
          <w:t>jada</w:t>
        </w:r>
      </w:smartTag>
      <w:r>
        <w:t xml:space="preserve"> de Israel y al Edificio de </w:t>
      </w:r>
      <w:smartTag w:uri="urn:schemas-microsoft-com:office:smarttags" w:element="PersonName">
        <w:smartTagPr>
          <w:attr w:name="ProductID" w:val="la A.M"/>
        </w:smartTagPr>
        <w:r>
          <w:t>la A.M</w:t>
        </w:r>
      </w:smartTag>
      <w:r>
        <w:t>.I.A., que partic</w:t>
      </w:r>
      <w:r>
        <w:t>i</w:t>
      </w:r>
      <w:r>
        <w:t>paron de la reunión secreta que da cuenta el acta de fs. 133 de la c</w:t>
      </w:r>
      <w:r>
        <w:t>i</w:t>
      </w:r>
      <w:r>
        <w:t>tada causa nº 9485.</w:t>
      </w:r>
    </w:p>
    <w:p w:rsidR="00224567" w:rsidRDefault="00224567">
      <w:pPr>
        <w:widowControl w:val="0"/>
        <w:ind w:firstLine="2880"/>
      </w:pPr>
      <w:r>
        <w:rPr>
          <w:b/>
          <w:bCs/>
        </w:rPr>
        <w:t xml:space="preserve">B.15) </w:t>
      </w:r>
      <w:r>
        <w:t>Extraer testimonio de la prese</w:t>
      </w:r>
      <w:r>
        <w:t>n</w:t>
      </w:r>
      <w:r>
        <w:t xml:space="preserve">te y remitirlo al Colegio Público de Abogados de </w:t>
      </w:r>
      <w:smartTag w:uri="urn:schemas-microsoft-com:office:smarttags" w:element="PersonName">
        <w:smartTagPr>
          <w:attr w:name="ProductID" w:val="la Capital Federal"/>
        </w:smartTagPr>
        <w:r>
          <w:t>la Cap</w:t>
        </w:r>
        <w:r>
          <w:t>i</w:t>
        </w:r>
        <w:r>
          <w:t>tal Federal</w:t>
        </w:r>
      </w:smartTag>
      <w:r>
        <w:t xml:space="preserve"> a los efectos que estime correspondan, con r</w:t>
      </w:r>
      <w:r>
        <w:t>e</w:t>
      </w:r>
      <w:r>
        <w:t>lación a la actuación de los abogados Federico Guillermo José Domínguez, Claudio Gabriel Lupiano, Marta Elsa Nerc</w:t>
      </w:r>
      <w:r>
        <w:t>e</w:t>
      </w:r>
      <w:r>
        <w:t>llas, Marta Nélida Parascándolo y Roberto Zaide</w:t>
      </w:r>
      <w:r>
        <w:t>m</w:t>
      </w:r>
      <w:r>
        <w:t>berg.</w:t>
      </w:r>
    </w:p>
    <w:p w:rsidR="00224567" w:rsidRDefault="00224567">
      <w:pPr>
        <w:widowControl w:val="0"/>
        <w:rPr>
          <w:rFonts w:eastAsia="Arial Unicode MS"/>
        </w:rPr>
      </w:pPr>
    </w:p>
    <w:p w:rsidR="00224567" w:rsidRDefault="00224567">
      <w:pPr>
        <w:widowControl w:val="0"/>
        <w:rPr>
          <w:rFonts w:eastAsia="Arial Unicode MS"/>
        </w:rPr>
      </w:pPr>
    </w:p>
    <w:p w:rsidR="00224567" w:rsidRDefault="00224567">
      <w:pPr>
        <w:pStyle w:val="Ttulo2"/>
        <w:keepNext w:val="0"/>
        <w:widowControl w:val="0"/>
      </w:pPr>
      <w:r>
        <w:t>CAPÍTULO XVII</w:t>
      </w:r>
    </w:p>
    <w:p w:rsidR="00224567" w:rsidRDefault="00224567">
      <w:pPr>
        <w:widowControl w:val="0"/>
        <w:rPr>
          <w:lang w:val="es-ES_tradnl"/>
        </w:rPr>
      </w:pPr>
    </w:p>
    <w:p w:rsidR="00224567" w:rsidRDefault="00224567">
      <w:pPr>
        <w:widowControl w:val="0"/>
        <w:rPr>
          <w:lang w:val="es-ES_tradnl"/>
        </w:rPr>
      </w:pPr>
      <w:r>
        <w:rPr>
          <w:lang w:val="es-ES_tradnl"/>
        </w:rPr>
        <w:tab/>
        <w:t>La solución arribada exime del pago de las costas a</w:t>
      </w:r>
      <w:r>
        <w:rPr>
          <w:b/>
          <w:bCs/>
          <w:lang w:val="es-ES_tradnl"/>
        </w:rPr>
        <w:t xml:space="preserve"> </w:t>
      </w:r>
      <w:r>
        <w:rPr>
          <w:lang w:val="es-ES_tradnl"/>
        </w:rPr>
        <w:t>Carlos Alberto Telleldín, Juan José R</w:t>
      </w:r>
      <w:r>
        <w:rPr>
          <w:lang w:val="es-ES_tradnl"/>
        </w:rPr>
        <w:t>i</w:t>
      </w:r>
      <w:r>
        <w:rPr>
          <w:lang w:val="es-ES_tradnl"/>
        </w:rPr>
        <w:t>belli, Raúl Edilio Ibarra, Anastasio Ireneo Leal, Mario Norberto Bareiro, Bautista Alberto Huici, Víctor Carlos Cruz, Ma</w:t>
      </w:r>
      <w:r>
        <w:rPr>
          <w:lang w:val="es-ES_tradnl"/>
        </w:rPr>
        <w:t>r</w:t>
      </w:r>
      <w:r>
        <w:rPr>
          <w:lang w:val="es-ES_tradnl"/>
        </w:rPr>
        <w:t>celo Gustavo Albarracín, Claudio Walter Araya, Jorge Hor</w:t>
      </w:r>
      <w:r>
        <w:rPr>
          <w:lang w:val="es-ES_tradnl"/>
        </w:rPr>
        <w:t>a</w:t>
      </w:r>
      <w:r>
        <w:rPr>
          <w:lang w:val="es-ES_tradnl"/>
        </w:rPr>
        <w:t>cio Rago, Diego Enrique Barreda, Juan Alberto Bottegal, Alejandro Burguete, José Miguel Arancibia, Oscar Eusebio Bacigalupo, Daniel Emilio Quinteros, Argentino Gabriel L</w:t>
      </w:r>
      <w:r>
        <w:rPr>
          <w:lang w:val="es-ES_tradnl"/>
        </w:rPr>
        <w:t>a</w:t>
      </w:r>
      <w:r>
        <w:rPr>
          <w:lang w:val="es-ES_tradnl"/>
        </w:rPr>
        <w:t>sala, Ariel Rodolfo Nitzcaner, Hugo Antonio Pérez, Miguel Gustavo Jaimes, Marcelo Darío C</w:t>
      </w:r>
      <w:r>
        <w:rPr>
          <w:lang w:val="es-ES_tradnl"/>
        </w:rPr>
        <w:t>a</w:t>
      </w:r>
      <w:r>
        <w:rPr>
          <w:lang w:val="es-ES_tradnl"/>
        </w:rPr>
        <w:t xml:space="preserve">sas y Eduardo Diego Toledo (arts. 530 y 531 del Código Procesal Penal de </w:t>
      </w:r>
      <w:smartTag w:uri="urn:schemas-microsoft-com:office:smarttags" w:element="PersonName">
        <w:smartTagPr>
          <w:attr w:name="ProductID" w:val="la Naci￳n"/>
        </w:smartTagPr>
        <w:r>
          <w:rPr>
            <w:lang w:val="es-ES_tradnl"/>
          </w:rPr>
          <w:t>la Nación</w:t>
        </w:r>
      </w:smartTag>
      <w:r>
        <w:rPr>
          <w:lang w:val="es-ES_tradnl"/>
        </w:rPr>
        <w:t>).</w:t>
      </w:r>
    </w:p>
    <w:p w:rsidR="00224567" w:rsidRDefault="00224567">
      <w:pPr>
        <w:widowControl w:val="0"/>
      </w:pPr>
      <w:r>
        <w:tab/>
        <w:t>Por su parte, la defensa de Juan José Ribelli al alegar requirió se impongan las costas proces</w:t>
      </w:r>
      <w:r>
        <w:t>a</w:t>
      </w:r>
      <w:r>
        <w:t>les a la querella D.A.I.A., A.M.I.A. y “Grupo de Famili</w:t>
      </w:r>
      <w:r>
        <w:t>a</w:t>
      </w:r>
      <w:r>
        <w:t>res”, por considerar que carecía de razones plausibles p</w:t>
      </w:r>
      <w:r>
        <w:t>a</w:t>
      </w:r>
      <w:r>
        <w:t>ra formular su acusación.</w:t>
      </w:r>
    </w:p>
    <w:p w:rsidR="00224567" w:rsidRDefault="00224567">
      <w:pPr>
        <w:widowControl w:val="0"/>
      </w:pPr>
      <w:r>
        <w:tab/>
        <w:t>Toda vez que la acción deducida por esa parte fue coadyuvante a la del Ministerio Público Fi</w:t>
      </w:r>
      <w:r>
        <w:t>s</w:t>
      </w:r>
      <w:r>
        <w:t>cal, cuyos miembros no pueden ser condenados en co</w:t>
      </w:r>
      <w:r>
        <w:t>s</w:t>
      </w:r>
      <w:r>
        <w:t>tas en las causas en que intervengan como tales (art. 14, último párrafo, de la ley 24.946 y C.N.C.P., Sala II, causa nº 1819 “Fourcade, Daniel Osvaldo s/reposición”, reg. nº 2302 del 23-11-98), corresponde rechazar la petición formulada por la defensa (cónfr., en igual sentido, Cám. Nac. Crim. y Correc. en pleno “Pomarés, Daniel y otro”, del 18 de septie</w:t>
      </w:r>
      <w:r>
        <w:t>m</w:t>
      </w:r>
      <w:r>
        <w:t>bre de 1934).</w:t>
      </w:r>
    </w:p>
    <w:p w:rsidR="00224567" w:rsidRDefault="00224567">
      <w:pPr>
        <w:widowControl w:val="0"/>
      </w:pPr>
    </w:p>
    <w:p w:rsidR="00224567" w:rsidRDefault="00224567">
      <w:pPr>
        <w:pStyle w:val="Ttulo1"/>
        <w:keepNext w:val="0"/>
        <w:widowControl w:val="0"/>
      </w:pPr>
      <w:r>
        <w:t>TÍTULO II</w:t>
      </w:r>
    </w:p>
    <w:p w:rsidR="00224567" w:rsidRDefault="00224567">
      <w:pPr>
        <w:widowControl w:val="0"/>
        <w:rPr>
          <w:b/>
        </w:rPr>
      </w:pPr>
    </w:p>
    <w:p w:rsidR="00224567" w:rsidRDefault="00224567">
      <w:pPr>
        <w:pStyle w:val="Ttulo2"/>
        <w:keepNext w:val="0"/>
        <w:widowControl w:val="0"/>
      </w:pPr>
      <w:r>
        <w:t>CAPÍTULO I</w:t>
      </w:r>
    </w:p>
    <w:p w:rsidR="00224567" w:rsidRDefault="00224567">
      <w:pPr>
        <w:widowControl w:val="0"/>
      </w:pPr>
    </w:p>
    <w:p w:rsidR="00224567" w:rsidRDefault="00224567">
      <w:pPr>
        <w:pStyle w:val="Ttulo3"/>
        <w:keepNext w:val="0"/>
        <w:widowControl w:val="0"/>
      </w:pPr>
      <w:r>
        <w:t>A) La elevación a juicio de la causa nº 496/00.</w:t>
      </w:r>
    </w:p>
    <w:p w:rsidR="00224567" w:rsidRDefault="00224567">
      <w:pPr>
        <w:widowControl w:val="0"/>
      </w:pPr>
      <w:r>
        <w:tab/>
      </w:r>
      <w:r>
        <w:rPr>
          <w:b/>
          <w:bCs/>
        </w:rPr>
        <w:t xml:space="preserve">A.1) </w:t>
      </w:r>
      <w:r>
        <w:t>Que a fs. 2087/2096 y 2236/2265 la parte querellante y el Sr. agente fiscal, respectiv</w:t>
      </w:r>
      <w:r>
        <w:t>a</w:t>
      </w:r>
      <w:r>
        <w:t>mente, requirieron la elevación de la causa nº 496/00 a juicio por encontrar mérito suficiente para imputarle a Juan José Ribelli la comisión del delito de coacción agr</w:t>
      </w:r>
      <w:r>
        <w:t>a</w:t>
      </w:r>
      <w:r>
        <w:t>vada, en perjuicio del titular del Juzgado Naci</w:t>
      </w:r>
      <w:r>
        <w:t>o</w:t>
      </w:r>
      <w:r>
        <w:t>nal en lo Criminal y Correccional Federal nº 9, Dr. Juan José G</w:t>
      </w:r>
      <w:r>
        <w:t>a</w:t>
      </w:r>
      <w:r>
        <w:t>leano (arts. 45 y 149 ter, inc. 2º, ap. a, del Código P</w:t>
      </w:r>
      <w:r>
        <w:t>e</w:t>
      </w:r>
      <w:r>
        <w:t>nal).</w:t>
      </w:r>
    </w:p>
    <w:p w:rsidR="00224567" w:rsidRDefault="00224567">
      <w:pPr>
        <w:widowControl w:val="0"/>
      </w:pPr>
      <w:r>
        <w:tab/>
        <w:t>Sobre la base de las pruebas indic</w:t>
      </w:r>
      <w:r>
        <w:t>a</w:t>
      </w:r>
      <w:r>
        <w:t>das en las requisitorias antes mencionadas, aquellos tuvieron por acreditado que dicho a</w:t>
      </w:r>
      <w:r>
        <w:t>c</w:t>
      </w:r>
      <w:r>
        <w:t>cionar se llevó a cabo el 25 de marzo de 1997, luego de que el encausado ampliara su d</w:t>
      </w:r>
      <w:r>
        <w:t>e</w:t>
      </w:r>
      <w:r>
        <w:t>claración i</w:t>
      </w:r>
      <w:r>
        <w:t>n</w:t>
      </w:r>
      <w:r>
        <w:t>dagatoria en la causa nº 1156, en trámite por ante el juzgado federal antes c</w:t>
      </w:r>
      <w:r>
        <w:t>i</w:t>
      </w:r>
      <w:r>
        <w:t>tado.</w:t>
      </w:r>
    </w:p>
    <w:p w:rsidR="00224567" w:rsidRDefault="00224567">
      <w:pPr>
        <w:widowControl w:val="0"/>
      </w:pPr>
      <w:r>
        <w:tab/>
        <w:t>Así, explicaron que en un determinado momento de dicho acto procesal, el Dr. Mariano Cúneo Lib</w:t>
      </w:r>
      <w:r>
        <w:t>a</w:t>
      </w:r>
      <w:r>
        <w:t>rona, quien por entonces se desempeñaba como letrado d</w:t>
      </w:r>
      <w:r>
        <w:t>e</w:t>
      </w:r>
      <w:r>
        <w:t>fensor de Ribelli, le entregó a éste una cinta de video envuelta en papel y que, una vez concluida la d</w:t>
      </w:r>
      <w:r>
        <w:t>i</w:t>
      </w:r>
      <w:r>
        <w:t>ligencia, el imp</w:t>
      </w:r>
      <w:r>
        <w:t>u</w:t>
      </w:r>
      <w:r>
        <w:t>tado expresó su deseo de entrevistarse a solas con el Dr. Juan José Galeano, quien accedió a su p</w:t>
      </w:r>
      <w:r>
        <w:t>e</w:t>
      </w:r>
      <w:r>
        <w:t>dido.</w:t>
      </w:r>
    </w:p>
    <w:p w:rsidR="00224567" w:rsidRDefault="00224567">
      <w:pPr>
        <w:widowControl w:val="0"/>
      </w:pPr>
      <w:r>
        <w:tab/>
        <w:t>Indicaron los acusadores que, una vez en el despacho, Ribelli luego de aludir al tiempo de d</w:t>
      </w:r>
      <w:r>
        <w:t>e</w:t>
      </w:r>
      <w:r>
        <w:t>tención que venía sufriendo y a su inocencia con r</w:t>
      </w:r>
      <w:r>
        <w:t>e</w:t>
      </w:r>
      <w:r>
        <w:t xml:space="preserve">lación al atentado a </w:t>
      </w:r>
      <w:smartTag w:uri="urn:schemas-microsoft-com:office:smarttags" w:element="PersonName">
        <w:smartTagPr>
          <w:attr w:name="ProductID" w:val="la A.M"/>
        </w:smartTagPr>
        <w:r>
          <w:t>la A.M</w:t>
        </w:r>
      </w:smartTag>
      <w:r>
        <w:t>.I.A., extrajo de una carpeta tipo s</w:t>
      </w:r>
      <w:r>
        <w:t>o</w:t>
      </w:r>
      <w:r>
        <w:t>bre, color celeste, un paquete cerrado, envuelto en p</w:t>
      </w:r>
      <w:r>
        <w:t>a</w:t>
      </w:r>
      <w:r>
        <w:t>pel fantasía, que contenía la videocinta que momentos a</w:t>
      </w:r>
      <w:r>
        <w:t>n</w:t>
      </w:r>
      <w:r>
        <w:t>tes le había entregado su defensor, la que deslizó sobre el e</w:t>
      </w:r>
      <w:r>
        <w:t>s</w:t>
      </w:r>
      <w:r>
        <w:t>critorio, al tiempo que le decía al magistrado que eso “le quemaba las manos, que lo viera cuando estuviera solo, evitando hacerlo junto a su familia y emple</w:t>
      </w:r>
      <w:r>
        <w:t>a</w:t>
      </w:r>
      <w:r>
        <w:t>dos”.</w:t>
      </w:r>
    </w:p>
    <w:p w:rsidR="00224567" w:rsidRDefault="00224567">
      <w:pPr>
        <w:widowControl w:val="0"/>
      </w:pPr>
      <w:r>
        <w:tab/>
        <w:t>Sostuvieron también que, ante ello, el Dr. Galeano le preguntó a Ribelli si con lo que estaba h</w:t>
      </w:r>
      <w:r>
        <w:t>a</w:t>
      </w:r>
      <w:r>
        <w:t>ciendo pretendía intimidarlo, a lo que éste contestó que le estaba hablando de hombre a hombre, que se encontraba desesperado y que él –refiriéndose al juez- sabría qué h</w:t>
      </w:r>
      <w:r>
        <w:t>a</w:t>
      </w:r>
      <w:r>
        <w:t>cer con el material que le entregaba; finalizado el e</w:t>
      </w:r>
      <w:r>
        <w:t>n</w:t>
      </w:r>
      <w:r>
        <w:t>cuentro, añadieron, el magistrado, junto a sus secret</w:t>
      </w:r>
      <w:r>
        <w:t>a</w:t>
      </w:r>
      <w:r>
        <w:t>rios, Dres. Velasco y De Gamas, r</w:t>
      </w:r>
      <w:r>
        <w:t>e</w:t>
      </w:r>
      <w:r>
        <w:t>produjeron el contenido de la filmación, advirtiendo que se trataba de la copia de una entrevista que había mantenido con el d</w:t>
      </w:r>
      <w:r>
        <w:t>e</w:t>
      </w:r>
      <w:r>
        <w:t>tenido Carlos Alberto Telleldín, en el ámbito del juzgado, el 1º de j</w:t>
      </w:r>
      <w:r>
        <w:t>u</w:t>
      </w:r>
      <w:r>
        <w:t>lio de 1996.</w:t>
      </w:r>
    </w:p>
    <w:p w:rsidR="00224567" w:rsidRDefault="00224567">
      <w:pPr>
        <w:widowControl w:val="0"/>
      </w:pPr>
      <w:r>
        <w:tab/>
        <w:t>Finalmente, la querella y los repr</w:t>
      </w:r>
      <w:r>
        <w:t>e</w:t>
      </w:r>
      <w:r>
        <w:t xml:space="preserve">sentantes del Ministerio Público Fiscal también tuvieron por probado que ese mismo día se constató que la cinta original de aquel video, que se hallaba guardada en la parte inferior de la caja de seguridad de </w:t>
      </w:r>
      <w:smartTag w:uri="urn:schemas-microsoft-com:office:smarttags" w:element="PersonName">
        <w:smartTagPr>
          <w:attr w:name="ProductID" w:val="la Secretar￭a"/>
        </w:smartTagPr>
        <w:r>
          <w:t>la Secret</w:t>
        </w:r>
        <w:r>
          <w:t>a</w:t>
        </w:r>
        <w:r>
          <w:t>ría</w:t>
        </w:r>
      </w:smartTag>
      <w:r>
        <w:t xml:space="preserve"> nº 17 del juzgado, no se encontraba allí, ni en ni</w:t>
      </w:r>
      <w:r>
        <w:t>n</w:t>
      </w:r>
      <w:r>
        <w:t>guna otra parte de esa dependencia; circunstancia que motivó el inicio de un sumario administrativo.</w:t>
      </w:r>
    </w:p>
    <w:p w:rsidR="00224567" w:rsidRDefault="00224567">
      <w:pPr>
        <w:widowControl w:val="0"/>
      </w:pPr>
      <w:r>
        <w:rPr>
          <w:b/>
        </w:rPr>
        <w:tab/>
        <w:t xml:space="preserve">A.2) </w:t>
      </w:r>
      <w:r>
        <w:t>Que a fs. 2355/2357 el juez in</w:t>
      </w:r>
      <w:r>
        <w:t>s</w:t>
      </w:r>
      <w:r>
        <w:t>tructor dispuso la elevación de la causa a juicio, a fin de dirimir la responsabilidad de Juan José Ribelli en el hecho reseñado en el apartado precede</w:t>
      </w:r>
      <w:r>
        <w:t>n</w:t>
      </w:r>
      <w:r>
        <w:t>te.</w:t>
      </w:r>
    </w:p>
    <w:p w:rsidR="00224567" w:rsidRDefault="00224567">
      <w:pPr>
        <w:widowControl w:val="0"/>
      </w:pPr>
    </w:p>
    <w:p w:rsidR="00224567" w:rsidRDefault="00224567">
      <w:pPr>
        <w:pStyle w:val="Ttulo3"/>
        <w:keepNext w:val="0"/>
        <w:widowControl w:val="0"/>
      </w:pPr>
      <w:r>
        <w:t>B) Alegatos.</w:t>
      </w:r>
    </w:p>
    <w:p w:rsidR="00224567" w:rsidRDefault="00224567">
      <w:pPr>
        <w:widowControl w:val="0"/>
      </w:pPr>
      <w:r>
        <w:tab/>
      </w:r>
      <w:r>
        <w:rPr>
          <w:b/>
          <w:bCs/>
        </w:rPr>
        <w:t xml:space="preserve">B.1) </w:t>
      </w:r>
      <w:r>
        <w:t xml:space="preserve">Que en la oportunidad prevista en el art. 393 del Código Procesal Penal de </w:t>
      </w:r>
      <w:smartTag w:uri="urn:schemas-microsoft-com:office:smarttags" w:element="PersonName">
        <w:smartTagPr>
          <w:attr w:name="ProductID" w:val="la Naci￳n"/>
        </w:smartTagPr>
        <w:r>
          <w:t>la Nación</w:t>
        </w:r>
      </w:smartTag>
      <w:r>
        <w:t>, la querella D.A.I.A., A.M.I.A. y “Grupo de Familiares de las Víctimas”, entendió acreditado el suceso materia de deb</w:t>
      </w:r>
      <w:r>
        <w:t>a</w:t>
      </w:r>
      <w:r>
        <w:t>te y la responsabilidad que en él le cupo al imputado Juan José Ribelli, manteniendo el encuadre legal formulado al solicitar la elevación de la causa a ju</w:t>
      </w:r>
      <w:r>
        <w:t>i</w:t>
      </w:r>
      <w:r>
        <w:t>cio.</w:t>
      </w:r>
    </w:p>
    <w:p w:rsidR="00224567" w:rsidRDefault="00224567">
      <w:pPr>
        <w:widowControl w:val="0"/>
      </w:pPr>
      <w:r>
        <w:tab/>
        <w:t>Los querellantes tuvieron por probado que Ribelli, luego de ampliar su declaración indagatoria en el marco de la causa A.M.I.A., solicitó mantener una entrevista a solas con el Dr. Galeano y que en esa oport</w:t>
      </w:r>
      <w:r>
        <w:t>u</w:t>
      </w:r>
      <w:r>
        <w:t>nidad le entregó una copia del video filmado el 1º de j</w:t>
      </w:r>
      <w:r>
        <w:t>u</w:t>
      </w:r>
      <w:r>
        <w:t>lio de 1996, al mismo tiempo que le refirió que se enco</w:t>
      </w:r>
      <w:r>
        <w:t>n</w:t>
      </w:r>
      <w:r>
        <w:t>traba desesperado, que quería salir en libe</w:t>
      </w:r>
      <w:r>
        <w:t>r</w:t>
      </w:r>
      <w:r>
        <w:t>tad, que viera la cinta sólo y s</w:t>
      </w:r>
      <w:r>
        <w:t>a</w:t>
      </w:r>
      <w:r>
        <w:t>bría qué hacer.</w:t>
      </w:r>
    </w:p>
    <w:p w:rsidR="00224567" w:rsidRDefault="00224567">
      <w:pPr>
        <w:widowControl w:val="0"/>
      </w:pPr>
      <w:r>
        <w:tab/>
      </w:r>
      <w:r>
        <w:tab/>
        <w:t>Indicaron que esa cinta, que cont</w:t>
      </w:r>
      <w:r>
        <w:t>e</w:t>
      </w:r>
      <w:r>
        <w:t>nía una entrevista entre el Dr. Galeano y Telleldín, había s</w:t>
      </w:r>
      <w:r>
        <w:t>i</w:t>
      </w:r>
      <w:r>
        <w:t>do sustraída del Juzgado Federal nº 9 y que, al comienzo de la filmación, se le añadieron imágenes de chicos juga</w:t>
      </w:r>
      <w:r>
        <w:t>n</w:t>
      </w:r>
      <w:r>
        <w:t>do, extremo que evidenciaba una clara intimidación dirig</w:t>
      </w:r>
      <w:r>
        <w:t>i</w:t>
      </w:r>
      <w:r>
        <w:t>da al juez.</w:t>
      </w:r>
    </w:p>
    <w:p w:rsidR="00224567" w:rsidRDefault="00224567">
      <w:pPr>
        <w:widowControl w:val="0"/>
      </w:pPr>
      <w:r>
        <w:tab/>
      </w:r>
      <w:r>
        <w:tab/>
        <w:t>Los representantes de la querella so</w:t>
      </w:r>
      <w:r>
        <w:t>s</w:t>
      </w:r>
      <w:r>
        <w:t>tuvieron, además, que ni bien se comenzó a i</w:t>
      </w:r>
      <w:r>
        <w:t>n</w:t>
      </w:r>
      <w:r>
        <w:t>vestigar cómo había llegado la videocinta a manos de Ribelli, todo su entorno elaboró una gran mentira, de la que participaron el e</w:t>
      </w:r>
      <w:r>
        <w:t>n</w:t>
      </w:r>
      <w:r>
        <w:t>cargado del edificio donde se había recibido la cinta y Carmelo Ionno, allegado a R</w:t>
      </w:r>
      <w:r>
        <w:t>i</w:t>
      </w:r>
      <w:r>
        <w:t>belli, quien sostuvo haberle llevado el video al Dr. Cúneo Lib</w:t>
      </w:r>
      <w:r>
        <w:t>a</w:t>
      </w:r>
      <w:r>
        <w:t>rona.</w:t>
      </w:r>
    </w:p>
    <w:p w:rsidR="00224567" w:rsidRDefault="00224567">
      <w:pPr>
        <w:widowControl w:val="0"/>
      </w:pPr>
      <w:r>
        <w:tab/>
      </w:r>
      <w:r>
        <w:tab/>
        <w:t>A partir de ello, la querella se pr</w:t>
      </w:r>
      <w:r>
        <w:t>e</w:t>
      </w:r>
      <w:r>
        <w:t>guntó por qué razón Ionno se dirigió directamente al est</w:t>
      </w:r>
      <w:r>
        <w:t>u</w:t>
      </w:r>
      <w:r>
        <w:t>dio jur</w:t>
      </w:r>
      <w:r>
        <w:t>í</w:t>
      </w:r>
      <w:r>
        <w:t>dico del Dr. Cúneo Libarona si nadie le avisó que se trataba de algo urgente, a la vez que le pareció poco creíble que el Dr. Cúneo Libarona no estuviera al tanto del contenido del video casete al momento de entr</w:t>
      </w:r>
      <w:r>
        <w:t>e</w:t>
      </w:r>
      <w:r>
        <w:t>gárselo a R</w:t>
      </w:r>
      <w:r>
        <w:t>i</w:t>
      </w:r>
      <w:r>
        <w:t>belli en el juzgado.</w:t>
      </w:r>
    </w:p>
    <w:p w:rsidR="00224567" w:rsidRDefault="00224567">
      <w:pPr>
        <w:widowControl w:val="0"/>
      </w:pPr>
      <w:r>
        <w:tab/>
        <w:t>Se interrogaron acerca de las razones por las cuales no se procuró inve</w:t>
      </w:r>
      <w:r>
        <w:t>s</w:t>
      </w:r>
      <w:r>
        <w:t>tigar el contenido de la cinta, si es que se trataba de una filmación ilegal ni se intentó utilizarla procesalmente para solicitar la n</w:t>
      </w:r>
      <w:r>
        <w:t>u</w:t>
      </w:r>
      <w:r>
        <w:t>lidad de las declaraciones y así conseguir la liberación del imputado.</w:t>
      </w:r>
    </w:p>
    <w:p w:rsidR="00224567" w:rsidRDefault="00224567">
      <w:pPr>
        <w:widowControl w:val="0"/>
      </w:pPr>
      <w:r>
        <w:tab/>
      </w:r>
      <w:r>
        <w:tab/>
        <w:t xml:space="preserve">Por otra parte, entendieron que la conversación mantenida por esos días entre el Dr. Cúneo Libarona y </w:t>
      </w:r>
      <w:smartTag w:uri="urn:schemas-microsoft-com:office:smarttags" w:element="PersonName">
        <w:smartTagPr>
          <w:attr w:name="ProductID" w:val="la Sra. Matilde"/>
        </w:smartTagPr>
        <w:r>
          <w:t>la Sra. Matilde</w:t>
        </w:r>
      </w:smartTag>
      <w:r>
        <w:t xml:space="preserve"> Menéndez, demostraba la preoc</w:t>
      </w:r>
      <w:r>
        <w:t>u</w:t>
      </w:r>
      <w:r>
        <w:t>pación que ambos tenían por no haber actuado el Dr. G</w:t>
      </w:r>
      <w:r>
        <w:t>a</w:t>
      </w:r>
      <w:r>
        <w:t>leano como ellos pretendían, en razón que en vez de ceder a la presión eligió denunciar el hecho, explicando que la presencia del Dr. Vigliero en el juzgado, al día siguie</w:t>
      </w:r>
      <w:r>
        <w:t>n</w:t>
      </w:r>
      <w:r>
        <w:t>te, sólo respondió a la necesidad de conocer cómo había encarado el juez el tema de la videoci</w:t>
      </w:r>
      <w:r>
        <w:t>n</w:t>
      </w:r>
      <w:r>
        <w:t>ta.</w:t>
      </w:r>
    </w:p>
    <w:p w:rsidR="00224567" w:rsidRDefault="00224567">
      <w:pPr>
        <w:widowControl w:val="0"/>
      </w:pPr>
      <w:r>
        <w:tab/>
        <w:t>Luego, la querella sostuvo que la m</w:t>
      </w:r>
      <w:r>
        <w:t>a</w:t>
      </w:r>
      <w:r>
        <w:t>niobra llevada a cabo por Ribelli constituía una acción coactiva, en el sentido i</w:t>
      </w:r>
      <w:r>
        <w:t>n</w:t>
      </w:r>
      <w:r>
        <w:t>dicado por el art. 149 ter, inc. 2º, ap. a, del Código Penal.</w:t>
      </w:r>
    </w:p>
    <w:p w:rsidR="00224567" w:rsidRDefault="00224567">
      <w:pPr>
        <w:widowControl w:val="0"/>
      </w:pPr>
      <w:r>
        <w:tab/>
      </w:r>
      <w:r>
        <w:tab/>
        <w:t>Para arribar a tal conclusión consid</w:t>
      </w:r>
      <w:r>
        <w:t>e</w:t>
      </w:r>
      <w:r>
        <w:t>raron determinantes los hechos simból</w:t>
      </w:r>
      <w:r>
        <w:t>i</w:t>
      </w:r>
      <w:r>
        <w:t>cos que rodearon la maniobra; esto es, el video envuelto en papel de regalo, la exhibición de niños al comienzo de la filmación, la cinta sustraída en el seno del propio juzgado, la recome</w:t>
      </w:r>
      <w:r>
        <w:t>n</w:t>
      </w:r>
      <w:r>
        <w:t>dación de cómo debía ser visto el video y, finalmente, su entr</w:t>
      </w:r>
      <w:r>
        <w:t>e</w:t>
      </w:r>
      <w:r>
        <w:t>ga a sabiendas de que en el se veía al juez.</w:t>
      </w:r>
      <w:r>
        <w:tab/>
      </w:r>
    </w:p>
    <w:p w:rsidR="00224567" w:rsidRDefault="00224567">
      <w:pPr>
        <w:widowControl w:val="0"/>
      </w:pPr>
      <w:r>
        <w:tab/>
        <w:t>Con relación a los elementos objet</w:t>
      </w:r>
      <w:r>
        <w:t>i</w:t>
      </w:r>
      <w:r>
        <w:t>vos de la figura penal antes citada, la querella ente</w:t>
      </w:r>
      <w:r>
        <w:t>n</w:t>
      </w:r>
      <w:r>
        <w:t>dió que poco importaba el contenido, lícito o ilícito, del video en cuestión, en razón que lo relevante radicaba en la p</w:t>
      </w:r>
      <w:r>
        <w:t>o</w:t>
      </w:r>
      <w:r>
        <w:t>tencialidad intim</w:t>
      </w:r>
      <w:r>
        <w:t>i</w:t>
      </w:r>
      <w:r>
        <w:t>dante de la situación; en este sentido, sostuvo que lo decisivo era la capacidad simbólica del h</w:t>
      </w:r>
      <w:r>
        <w:t>e</w:t>
      </w:r>
      <w:r>
        <w:t>cho para poder vulnerar objetivamente la voluntad del s</w:t>
      </w:r>
      <w:r>
        <w:t>u</w:t>
      </w:r>
      <w:r>
        <w:t>jeto pasivo.</w:t>
      </w:r>
    </w:p>
    <w:p w:rsidR="00224567" w:rsidRDefault="00224567">
      <w:pPr>
        <w:widowControl w:val="0"/>
      </w:pPr>
      <w:r>
        <w:tab/>
        <w:t>En cuanto al aspecto subjetivo, dest</w:t>
      </w:r>
      <w:r>
        <w:t>a</w:t>
      </w:r>
      <w:r>
        <w:t>có que el tipo penal se encuentra constituido por lo a</w:t>
      </w:r>
      <w:r>
        <w:t>c</w:t>
      </w:r>
      <w:r>
        <w:t>tuado y conocido por el autor y no por las rea</w:t>
      </w:r>
      <w:r>
        <w:t>c</w:t>
      </w:r>
      <w:r>
        <w:t>ciones que se pudieran generar en la víctima. Así, los querellantes señalaron que el sujeto pasivo puede o no actuar como lo desea el activo y, no obstante ello, el delito se encue</w:t>
      </w:r>
      <w:r>
        <w:t>n</w:t>
      </w:r>
      <w:r>
        <w:t>tra igualmente consumado.</w:t>
      </w:r>
    </w:p>
    <w:p w:rsidR="00224567" w:rsidRDefault="00224567">
      <w:pPr>
        <w:widowControl w:val="0"/>
      </w:pPr>
      <w:r>
        <w:tab/>
        <w:t>Por lo expuesto, la querella entendió que la conducta de Ribelli configuraba el delito de coa</w:t>
      </w:r>
      <w:r>
        <w:t>c</w:t>
      </w:r>
      <w:r>
        <w:t>ción agravada (art. 149 ter, inc. 2º, ap. a, del Código Penal) y solicitó se imponga la pena de diez años de pr</w:t>
      </w:r>
      <w:r>
        <w:t>i</w:t>
      </w:r>
      <w:r>
        <w:t>sión, accesorias legales y costas.</w:t>
      </w:r>
    </w:p>
    <w:p w:rsidR="00224567" w:rsidRDefault="00224567">
      <w:pPr>
        <w:widowControl w:val="0"/>
        <w:rPr>
          <w:b/>
        </w:rPr>
      </w:pPr>
      <w:r>
        <w:rPr>
          <w:b/>
        </w:rPr>
        <w:tab/>
        <w:t xml:space="preserve">B.2) </w:t>
      </w:r>
      <w:r>
        <w:t>A su turno, alegó el representa</w:t>
      </w:r>
      <w:r>
        <w:t>n</w:t>
      </w:r>
      <w:r>
        <w:t>te del Ministerio Público Fiscal, Dr. Miguel Ángel R</w:t>
      </w:r>
      <w:r>
        <w:t>o</w:t>
      </w:r>
      <w:r>
        <w:t>mero, quien tuvo por acreditado el hecho por el que se elevó la pr</w:t>
      </w:r>
      <w:r>
        <w:t>e</w:t>
      </w:r>
      <w:r>
        <w:t>sente causa a juicio.</w:t>
      </w:r>
    </w:p>
    <w:p w:rsidR="00224567" w:rsidRDefault="00224567">
      <w:pPr>
        <w:widowControl w:val="0"/>
      </w:pPr>
      <w:r>
        <w:rPr>
          <w:b/>
        </w:rPr>
        <w:tab/>
      </w:r>
      <w:r>
        <w:t>La fiscalía consideró probado que el día 25 de marzo de 1997, antes del mediodía, el Dr. Juan José Galeano, titular del Juzgado Naci</w:t>
      </w:r>
      <w:r>
        <w:t>o</w:t>
      </w:r>
      <w:r>
        <w:t xml:space="preserve">nal en lo Criminal y Correccional Federal nº 9 de esta ciudad, recibió al imputado Juan José Ribelli en una entrevista que asimiló a la audiencia </w:t>
      </w:r>
      <w:r>
        <w:rPr>
          <w:u w:val="single"/>
        </w:rPr>
        <w:t>de visu</w:t>
      </w:r>
      <w:r>
        <w:t xml:space="preserve"> contemplada en el art. 41 del C</w:t>
      </w:r>
      <w:r>
        <w:t>ó</w:t>
      </w:r>
      <w:r>
        <w:t>digo Penal. En la oportunidad, Ribelli exhibió al magi</w:t>
      </w:r>
      <w:r>
        <w:t>s</w:t>
      </w:r>
      <w:r>
        <w:t>trado un paquete cubierto en papel fantasía, que abrió en su pr</w:t>
      </w:r>
      <w:r>
        <w:t>e</w:t>
      </w:r>
      <w:r>
        <w:t>sencia, del que extrajo un video casete, refiriéndole al magistrado que viera la cinta a solas y que no era conv</w:t>
      </w:r>
      <w:r>
        <w:t>e</w:t>
      </w:r>
      <w:r>
        <w:t>niente que lo hiciera con sus familiares o empleados del juzgado.</w:t>
      </w:r>
    </w:p>
    <w:p w:rsidR="00224567" w:rsidRDefault="00224567">
      <w:pPr>
        <w:widowControl w:val="0"/>
      </w:pPr>
      <w:r>
        <w:tab/>
        <w:t>Luego, el juez Galeano reprodujo el contenido de la cinta, observando que se trataba de una copia de la entrevista que había mantenido con Telleldín el 1º de julio de 1996, verificando ese mismo día que la cinta original, que se hallaba reservada en la caja fue</w:t>
      </w:r>
      <w:r>
        <w:t>r</w:t>
      </w:r>
      <w:r>
        <w:t>te de la secretaría, no se encontraba en su lugar ni en ni</w:t>
      </w:r>
      <w:r>
        <w:t>n</w:t>
      </w:r>
      <w:r>
        <w:t>guna otra parte del juzgado, por lo cual ordenó labrar a</w:t>
      </w:r>
      <w:r>
        <w:t>c</w:t>
      </w:r>
      <w:r>
        <w:t>tu</w:t>
      </w:r>
      <w:r>
        <w:t>a</w:t>
      </w:r>
      <w:r>
        <w:t>ciones administrativas.</w:t>
      </w:r>
    </w:p>
    <w:p w:rsidR="00224567" w:rsidRDefault="00224567">
      <w:pPr>
        <w:widowControl w:val="0"/>
      </w:pPr>
      <w:r>
        <w:tab/>
        <w:t>El Dr. Romero sostuvo que, con la m</w:t>
      </w:r>
      <w:r>
        <w:t>a</w:t>
      </w:r>
      <w:r>
        <w:t>niobra, acreditada plenamente con la prueba re</w:t>
      </w:r>
      <w:r>
        <w:t>n</w:t>
      </w:r>
      <w:r>
        <w:t>dida en el debate, el imputado procuró obtener su libertad en la ca</w:t>
      </w:r>
      <w:r>
        <w:t>u</w:t>
      </w:r>
      <w:r>
        <w:t xml:space="preserve">sa donde se investigaba el atentado contra la sede de </w:t>
      </w:r>
      <w:smartTag w:uri="urn:schemas-microsoft-com:office:smarttags" w:element="PersonName">
        <w:smartTagPr>
          <w:attr w:name="ProductID" w:val="la A.M"/>
        </w:smartTagPr>
        <w:r>
          <w:t>la A.M</w:t>
        </w:r>
      </w:smartTag>
      <w:r>
        <w:t>.I.A.</w:t>
      </w:r>
    </w:p>
    <w:p w:rsidR="00224567" w:rsidRDefault="00224567">
      <w:pPr>
        <w:widowControl w:val="0"/>
      </w:pPr>
      <w:r>
        <w:tab/>
      </w:r>
      <w:r>
        <w:tab/>
        <w:t>En este punto, la fiscalía hizo ref</w:t>
      </w:r>
      <w:r>
        <w:t>e</w:t>
      </w:r>
      <w:r>
        <w:t>rencia al informe del Dr. Galeano, obrante a fs. 247, en el cual describió minuciosamente los pormenores de la e</w:t>
      </w:r>
      <w:r>
        <w:t>n</w:t>
      </w:r>
      <w:r>
        <w:t>trevista que mantuvo con Ribelli. Señaló que allí, surge que éste ingresó a su despacho portando, en una de sus m</w:t>
      </w:r>
      <w:r>
        <w:t>a</w:t>
      </w:r>
      <w:r>
        <w:t>nos, una campera color celeste y en la otra una bolsa de nylon blanca que contenía papeles; se sentó frente a su escritorio y le manifestó que hacía nueve meses que se e</w:t>
      </w:r>
      <w:r>
        <w:t>n</w:t>
      </w:r>
      <w:r>
        <w:t>contraba detenido, que estaba desesperado, que se tr</w:t>
      </w:r>
      <w:r>
        <w:t>a</w:t>
      </w:r>
      <w:r>
        <w:t>taba de una trampa ideada por Telleldín, que era inocente con rel</w:t>
      </w:r>
      <w:r>
        <w:t>a</w:t>
      </w:r>
      <w:r>
        <w:t xml:space="preserve">ción al atentado a la sede de </w:t>
      </w:r>
      <w:smartTag w:uri="urn:schemas-microsoft-com:office:smarttags" w:element="PersonName">
        <w:smartTagPr>
          <w:attr w:name="ProductID" w:val="la A.M"/>
        </w:smartTagPr>
        <w:r>
          <w:t>la A.M</w:t>
        </w:r>
      </w:smartTag>
      <w:r>
        <w:t>.I.A. y que estaba dispuesto a hacer cualquier cosa para dejar de p</w:t>
      </w:r>
      <w:r>
        <w:t>a</w:t>
      </w:r>
      <w:r>
        <w:t>decer esa s</w:t>
      </w:r>
      <w:r>
        <w:t>i</w:t>
      </w:r>
      <w:r>
        <w:t>tuación.</w:t>
      </w:r>
    </w:p>
    <w:p w:rsidR="00224567" w:rsidRDefault="00224567">
      <w:pPr>
        <w:widowControl w:val="0"/>
      </w:pPr>
      <w:r>
        <w:tab/>
        <w:t>Además, el Dr. Galeano dejó consta</w:t>
      </w:r>
      <w:r>
        <w:t>n</w:t>
      </w:r>
      <w:r>
        <w:t>cia que, antes de finalizar la entrevista, Ribelli extr</w:t>
      </w:r>
      <w:r>
        <w:t>a</w:t>
      </w:r>
      <w:r>
        <w:t>jo de una carpeta un paquete cerrado, envuelto en papel fant</w:t>
      </w:r>
      <w:r>
        <w:t>a</w:t>
      </w:r>
      <w:r>
        <w:t>sía, que rompió en su presencia y le entregó un videocas</w:t>
      </w:r>
      <w:r>
        <w:t>e</w:t>
      </w:r>
      <w:r>
        <w:t>te que deslizó sobre el escritorio hasta alcanzárselo, r</w:t>
      </w:r>
      <w:r>
        <w:t>e</w:t>
      </w:r>
      <w:r>
        <w:t>teniendo para sí la caja y el papel que lo envo</w:t>
      </w:r>
      <w:r>
        <w:t>l</w:t>
      </w:r>
      <w:r>
        <w:t>vía.</w:t>
      </w:r>
    </w:p>
    <w:p w:rsidR="00224567" w:rsidRDefault="00224567">
      <w:pPr>
        <w:widowControl w:val="0"/>
      </w:pPr>
      <w:r>
        <w:tab/>
      </w:r>
      <w:r>
        <w:tab/>
        <w:t>Recordó el Sr. fiscal general, ta</w:t>
      </w:r>
      <w:r>
        <w:t>m</w:t>
      </w:r>
      <w:r>
        <w:t>bién en base al citado informe, que Ribelli dijo al magi</w:t>
      </w:r>
      <w:r>
        <w:t>s</w:t>
      </w:r>
      <w:r>
        <w:t>trado que el material fílmico contenido en el v</w:t>
      </w:r>
      <w:r>
        <w:t>i</w:t>
      </w:r>
      <w:r>
        <w:t>deo debía verlo solo, que evitara hacerlo en presencia del personal del juzgado o sus familiares; ante ello el Dr. Galeano pregu</w:t>
      </w:r>
      <w:r>
        <w:t>n</w:t>
      </w:r>
      <w:r>
        <w:t>tó si con su actitud pretendía intimidarlo, respondié</w:t>
      </w:r>
      <w:r>
        <w:t>n</w:t>
      </w:r>
      <w:r>
        <w:t>dole el imputado que le hablaba de hombre a hombre y que sabría qué hacer con el material.</w:t>
      </w:r>
    </w:p>
    <w:p w:rsidR="00224567" w:rsidRDefault="00224567">
      <w:pPr>
        <w:widowControl w:val="0"/>
      </w:pPr>
      <w:r>
        <w:tab/>
        <w:t>Asimismo, surge del informe que el imputado se negó a comentar cuál era el contenido y la procedencia de la cinta y que, al solicitar el juez que le dejara también la caja, aquél respondió que no pidiera eso, ret</w:t>
      </w:r>
      <w:r>
        <w:t>e</w:t>
      </w:r>
      <w:r>
        <w:t>niéndola.</w:t>
      </w:r>
    </w:p>
    <w:p w:rsidR="00224567" w:rsidRDefault="00224567">
      <w:pPr>
        <w:widowControl w:val="0"/>
      </w:pPr>
      <w:r>
        <w:tab/>
        <w:t>La fiscalía sostuvo que la entrevista reseñada fue reconocida durante el debate por diferentes testigos, entre ellos, los otrora imputados, Mariano C</w:t>
      </w:r>
      <w:r>
        <w:t>ú</w:t>
      </w:r>
      <w:r>
        <w:t>neo Libarona y Juan Pablo Vigliero y personal del Juzgado F</w:t>
      </w:r>
      <w:r>
        <w:t>e</w:t>
      </w:r>
      <w:r>
        <w:t>deral nº 9, especialmente, los Dres. De Gamas, Spina y Lifschitz.</w:t>
      </w:r>
    </w:p>
    <w:p w:rsidR="00224567" w:rsidRDefault="00224567">
      <w:pPr>
        <w:widowControl w:val="0"/>
      </w:pPr>
      <w:r>
        <w:tab/>
      </w:r>
      <w:r>
        <w:tab/>
        <w:t>También, el representante del Minist</w:t>
      </w:r>
      <w:r>
        <w:t>e</w:t>
      </w:r>
      <w:r>
        <w:t>rio Público Fiscal consideró acreditado que el Dr. Cúneo Libarona entregó a Ribelli el video casete, en el tr</w:t>
      </w:r>
      <w:r>
        <w:t>a</w:t>
      </w:r>
      <w:r>
        <w:t xml:space="preserve">yecto desde </w:t>
      </w:r>
      <w:smartTag w:uri="urn:schemas-microsoft-com:office:smarttags" w:element="PersonName">
        <w:smartTagPr>
          <w:attr w:name="ProductID" w:val="la Unidad"/>
        </w:smartTagPr>
        <w:r>
          <w:t>la Unidad</w:t>
        </w:r>
      </w:smartTag>
      <w:r>
        <w:t xml:space="preserve"> 29 del Servicio Penite</w:t>
      </w:r>
      <w:r>
        <w:t>n</w:t>
      </w:r>
      <w:r>
        <w:t>ciario Federal a la sede del Juzgado Federal nº 9.</w:t>
      </w:r>
    </w:p>
    <w:p w:rsidR="00224567" w:rsidRDefault="00224567">
      <w:pPr>
        <w:widowControl w:val="0"/>
      </w:pPr>
      <w:r>
        <w:tab/>
        <w:t>En este punto, el fiscal general citó los dichos del Dr. Cúneo Libarona, quien afirmó en el ju</w:t>
      </w:r>
      <w:r>
        <w:t>i</w:t>
      </w:r>
      <w:r>
        <w:t>cio que entregó la cinta a Ribelli, la que a su vez rec</w:t>
      </w:r>
      <w:r>
        <w:t>i</w:t>
      </w:r>
      <w:r>
        <w:t>bió de parte de un allegado de éste, de nombre Carmelo Ionno.</w:t>
      </w:r>
    </w:p>
    <w:p w:rsidR="00224567" w:rsidRDefault="00224567">
      <w:pPr>
        <w:widowControl w:val="0"/>
      </w:pPr>
      <w:r>
        <w:tab/>
        <w:t>Señaló que este último fue quien rec</w:t>
      </w:r>
      <w:r>
        <w:t>i</w:t>
      </w:r>
      <w:r>
        <w:t>bió el p</w:t>
      </w:r>
      <w:r>
        <w:t>a</w:t>
      </w:r>
      <w:r>
        <w:t>quete de manos del encargado del edificio sito en la calle Montevideo 66 de la localidad de Lanús, pr</w:t>
      </w:r>
      <w:r>
        <w:t>o</w:t>
      </w:r>
      <w:r>
        <w:t>vincia de Buenos Aires, correspondiente al d</w:t>
      </w:r>
      <w:r>
        <w:t>o</w:t>
      </w:r>
      <w:r>
        <w:t>micilio de Ribelli.</w:t>
      </w:r>
    </w:p>
    <w:p w:rsidR="00224567" w:rsidRDefault="00224567">
      <w:pPr>
        <w:widowControl w:val="0"/>
      </w:pPr>
      <w:r>
        <w:tab/>
      </w:r>
      <w:r>
        <w:tab/>
        <w:t>Recordó que en el debate, Ionno expl</w:t>
      </w:r>
      <w:r>
        <w:t>i</w:t>
      </w:r>
      <w:r>
        <w:t>có que, al no poder localizar a Marcela Bouzón, pareja de su amigo Juan José Ribelli, decidió acercárselo a quien por entonces ejercía su defensa, por considerar que el p</w:t>
      </w:r>
      <w:r>
        <w:t>a</w:t>
      </w:r>
      <w:r>
        <w:t>quete podía ser importante; entrega que corroboró la no</w:t>
      </w:r>
      <w:r>
        <w:t>m</w:t>
      </w:r>
      <w:r>
        <w:t>brada, al referir en el juicio que Ionno le comentó acerca del episodio del paquete y de su posterior envío al Dr. Cúneo Libarona.</w:t>
      </w:r>
    </w:p>
    <w:p w:rsidR="00224567" w:rsidRDefault="00224567">
      <w:pPr>
        <w:widowControl w:val="0"/>
      </w:pPr>
      <w:r>
        <w:tab/>
        <w:t>Además, el Dr. Romero citó los d</w:t>
      </w:r>
      <w:r>
        <w:t>i</w:t>
      </w:r>
      <w:r>
        <w:t>chos de los testigos Julio Gatto y Marcelo Daniel Valenga, a</w:t>
      </w:r>
      <w:r>
        <w:t>n</w:t>
      </w:r>
      <w:r>
        <w:t xml:space="preserve">tiguos subordinados de Ribelli en </w:t>
      </w:r>
      <w:smartTag w:uri="urn:schemas-microsoft-com:office:smarttags" w:element="PersonName">
        <w:smartTagPr>
          <w:attr w:name="ProductID" w:val="la Polic￭a Bonaerense"/>
        </w:smartTagPr>
        <w:r>
          <w:t>la Policía Bonaerense</w:t>
        </w:r>
      </w:smartTag>
      <w:r>
        <w:t xml:space="preserve"> quienes, pese a que conocieron el video a través de los medios de comunicación, admitieron que se enteraron, lu</w:t>
      </w:r>
      <w:r>
        <w:t>e</w:t>
      </w:r>
      <w:r>
        <w:t>go, que la cinta llegó a Ribelli a través de un amigo o familiar.</w:t>
      </w:r>
    </w:p>
    <w:p w:rsidR="00224567" w:rsidRDefault="00224567">
      <w:pPr>
        <w:widowControl w:val="0"/>
      </w:pPr>
      <w:r>
        <w:tab/>
      </w:r>
      <w:r>
        <w:tab/>
        <w:t>Expuso, el representante del Minist</w:t>
      </w:r>
      <w:r>
        <w:t>e</w:t>
      </w:r>
      <w:r>
        <w:t>rio Público Fiscal, que la videocinta reproducida d</w:t>
      </w:r>
      <w:r>
        <w:t>u</w:t>
      </w:r>
      <w:r>
        <w:t>rante el juicio, contenía imágenes de una entrevista que mantuvo el Dr. Galeano con el imputado Telleldín, el 1º de julio de 1996, en la cual ambos aparecen conversando acerca de la compra de los derechos para la edición de un l</w:t>
      </w:r>
      <w:r>
        <w:t>i</w:t>
      </w:r>
      <w:r>
        <w:t>bro.</w:t>
      </w:r>
    </w:p>
    <w:p w:rsidR="00224567" w:rsidRDefault="00224567">
      <w:pPr>
        <w:widowControl w:val="0"/>
      </w:pPr>
      <w:r>
        <w:tab/>
        <w:t>Por otra parte, reiteró que el acci</w:t>
      </w:r>
      <w:r>
        <w:t>o</w:t>
      </w:r>
      <w:r>
        <w:t>nar de Ribelli tuvo por objeto desvincularse de la inve</w:t>
      </w:r>
      <w:r>
        <w:t>s</w:t>
      </w:r>
      <w:r>
        <w:t xml:space="preserve">tigación del atentado a la sede de </w:t>
      </w:r>
      <w:smartTag w:uri="urn:schemas-microsoft-com:office:smarttags" w:element="PersonName">
        <w:smartTagPr>
          <w:attr w:name="ProductID" w:val="la A.M"/>
        </w:smartTagPr>
        <w:r>
          <w:t>la A.M</w:t>
        </w:r>
      </w:smartTag>
      <w:r>
        <w:t>.I.A., alegando que no podía desconocer el contenido de la cinta, si no por qué razón –se preguntó- recomendó al juez que la vi</w:t>
      </w:r>
      <w:r>
        <w:t>e</w:t>
      </w:r>
      <w:r>
        <w:t>ra a solas; indicación esta última con la que el imputado d</w:t>
      </w:r>
      <w:r>
        <w:t>e</w:t>
      </w:r>
      <w:r>
        <w:t>jó entrever su pretensión de que si no mejoraba su situ</w:t>
      </w:r>
      <w:r>
        <w:t>a</w:t>
      </w:r>
      <w:r>
        <w:t>ción procesal en la causa, daría a conocer el conten</w:t>
      </w:r>
      <w:r>
        <w:t>i</w:t>
      </w:r>
      <w:r>
        <w:t>do de la filmación.</w:t>
      </w:r>
    </w:p>
    <w:p w:rsidR="00224567" w:rsidRDefault="00224567">
      <w:pPr>
        <w:widowControl w:val="0"/>
      </w:pPr>
      <w:r>
        <w:tab/>
        <w:t>Sostuvo el fiscal general que dicha maniobra fue pergeñada por el procesado con anterior</w:t>
      </w:r>
      <w:r>
        <w:t>i</w:t>
      </w:r>
      <w:r>
        <w:t>dad a la ampliación de su declaración indagatoria, por lo que resultaban inverosímiles sus protestas de in</w:t>
      </w:r>
      <w:r>
        <w:t>o</w:t>
      </w:r>
      <w:r>
        <w:t>cencia.</w:t>
      </w:r>
    </w:p>
    <w:p w:rsidR="00224567" w:rsidRDefault="00224567">
      <w:pPr>
        <w:widowControl w:val="0"/>
      </w:pPr>
      <w:r>
        <w:tab/>
        <w:t>Estimó también que la versión del imputado, en cuanto a los distintos pasos de la entrevi</w:t>
      </w:r>
      <w:r>
        <w:t>s</w:t>
      </w:r>
      <w:r>
        <w:t>ta, fue conteste con lo expuesto por el juez Galeano en el oficio obrante a fs. 246/248; sin embargo, consideró que resultaba inver</w:t>
      </w:r>
      <w:r>
        <w:t>o</w:t>
      </w:r>
      <w:r>
        <w:t>símil que un ex integrante de la policía, a quien se le imput</w:t>
      </w:r>
      <w:r>
        <w:t>a</w:t>
      </w:r>
      <w:r>
        <w:t xml:space="preserve">ba haber participado en el atentado en la sede de </w:t>
      </w:r>
      <w:smartTag w:uri="urn:schemas-microsoft-com:office:smarttags" w:element="PersonName">
        <w:smartTagPr>
          <w:attr w:name="ProductID" w:val="la A.M"/>
        </w:smartTagPr>
        <w:r>
          <w:t>la A.M</w:t>
        </w:r>
      </w:smartTag>
      <w:r>
        <w:t>.I.A., deseara colaborar en esa invest</w:t>
      </w:r>
      <w:r>
        <w:t>i</w:t>
      </w:r>
      <w:r>
        <w:t>gación, cuando no se había constituido como auxiliar de la justicia.</w:t>
      </w:r>
    </w:p>
    <w:p w:rsidR="00224567" w:rsidRDefault="00224567">
      <w:pPr>
        <w:widowControl w:val="0"/>
      </w:pPr>
      <w:r>
        <w:tab/>
        <w:t>Por todo lo expuesto, calificó el a</w:t>
      </w:r>
      <w:r>
        <w:t>c</w:t>
      </w:r>
      <w:r>
        <w:t xml:space="preserve">cionar de Juan José Ribelli como constitutivo del delito de coacción agravada, en virtud de haber sido cometido  contra un juez de </w:t>
      </w:r>
      <w:smartTag w:uri="urn:schemas-microsoft-com:office:smarttags" w:element="PersonName">
        <w:smartTagPr>
          <w:attr w:name="ProductID" w:val="la Naci￳n"/>
        </w:smartTagPr>
        <w:r>
          <w:t>la Nación</w:t>
        </w:r>
      </w:smartTag>
      <w:r>
        <w:t>, en calidad de autor material (art. 149, inc. 2º, ap. a, y 45 del Código P</w:t>
      </w:r>
      <w:r>
        <w:t>e</w:t>
      </w:r>
      <w:r>
        <w:t>nal).</w:t>
      </w:r>
    </w:p>
    <w:p w:rsidR="00224567" w:rsidRDefault="00224567">
      <w:pPr>
        <w:widowControl w:val="0"/>
      </w:pPr>
      <w:r>
        <w:tab/>
        <w:t>Al considerar algunos aspectos de la figura penal antes mencionada, el Dr. Romero señaló que para la consumación del tipo penal es suficiente la ext</w:t>
      </w:r>
      <w:r>
        <w:t>e</w:t>
      </w:r>
      <w:r>
        <w:t>riorización de la amenaza, que implica el conocimie</w:t>
      </w:r>
      <w:r>
        <w:t>n</w:t>
      </w:r>
      <w:r>
        <w:t>to por parte de la víctima, la que es utilizada como medio para obtener una determinada conducta del sujeto pasivo. La ilegitimidad del propósito del autor, consiste en obl</w:t>
      </w:r>
      <w:r>
        <w:t>i</w:t>
      </w:r>
      <w:r>
        <w:t>gar a otro a hacer, no hacer o tolerar algo en contra de su voluntad.</w:t>
      </w:r>
    </w:p>
    <w:p w:rsidR="00224567" w:rsidRDefault="00224567">
      <w:pPr>
        <w:pStyle w:val="Textoindependiente"/>
        <w:spacing w:line="600" w:lineRule="auto"/>
      </w:pPr>
      <w:r>
        <w:tab/>
      </w:r>
      <w:r>
        <w:tab/>
        <w:t>Reiteró que en el caso de marras la a</w:t>
      </w:r>
      <w:r>
        <w:t>c</w:t>
      </w:r>
      <w:r>
        <w:t>ción de Ribelli estuvo dirigida a obtener, de parte del m</w:t>
      </w:r>
      <w:r>
        <w:t>a</w:t>
      </w:r>
      <w:r>
        <w:t>gistrado, una medida para procurar desvincularse de la ca</w:t>
      </w:r>
      <w:r>
        <w:t>u</w:t>
      </w:r>
      <w:r>
        <w:t>sa A.M.I.A., tal como se desprende de las respuestas del Dr. Galeano, remitidas por oficio a este Tribunal y de los dichos dados en el debate por Fernando Yuri, fu</w:t>
      </w:r>
      <w:r>
        <w:t>n</w:t>
      </w:r>
      <w:r>
        <w:t>cionario de la fiscalía.</w:t>
      </w:r>
    </w:p>
    <w:p w:rsidR="00224567" w:rsidRDefault="00224567">
      <w:pPr>
        <w:pStyle w:val="Textoindependiente"/>
        <w:spacing w:line="600" w:lineRule="auto"/>
      </w:pPr>
      <w:r>
        <w:tab/>
      </w:r>
      <w:r>
        <w:tab/>
        <w:t>El Sr. fiscal general mencionó, ad</w:t>
      </w:r>
      <w:r>
        <w:t>e</w:t>
      </w:r>
      <w:r>
        <w:t>más, que el juez Galeano aclaró que interpretó la actitud del imputado en el sentido de que pretendía que hiciera algo contrario a la ley, que lo favoreciera, destacando que para el magistrado la maniobra fue claramente exto</w:t>
      </w:r>
      <w:r>
        <w:t>r</w:t>
      </w:r>
      <w:r>
        <w:t>siva, no sólo por la actitud asumida al entregársele la cinta, sino ta</w:t>
      </w:r>
      <w:r>
        <w:t>m</w:t>
      </w:r>
      <w:r>
        <w:t>bién porque al inicio de la filmación se exhibían chicos jugando; inte</w:t>
      </w:r>
      <w:r>
        <w:t>r</w:t>
      </w:r>
      <w:r>
        <w:t>pretó el juez que se aludía a sus hijos.</w:t>
      </w:r>
    </w:p>
    <w:p w:rsidR="00224567" w:rsidRDefault="00224567">
      <w:pPr>
        <w:widowControl w:val="0"/>
      </w:pPr>
      <w:r>
        <w:tab/>
        <w:t>Luego, el representante del Minist</w:t>
      </w:r>
      <w:r>
        <w:t>e</w:t>
      </w:r>
      <w:r>
        <w:t>rio Público Fiscal sostuvo que al reformar la ley 20.642, el Código Penal, el tipo penal de coacción pasó a ser un d</w:t>
      </w:r>
      <w:r>
        <w:t>e</w:t>
      </w:r>
      <w:r>
        <w:t>lito formal y no de resultado, que se cons</w:t>
      </w:r>
      <w:r>
        <w:t>u</w:t>
      </w:r>
      <w:r>
        <w:t>ma con la mera utilización de las amenazas con entidad suficiente para lograr el fin perseguido por el a</w:t>
      </w:r>
      <w:r>
        <w:t>u</w:t>
      </w:r>
      <w:r>
        <w:t>tor.</w:t>
      </w:r>
    </w:p>
    <w:p w:rsidR="00224567" w:rsidRDefault="00224567">
      <w:pPr>
        <w:pStyle w:val="Textoindependiente"/>
        <w:spacing w:line="600" w:lineRule="auto"/>
      </w:pPr>
      <w:r>
        <w:tab/>
      </w:r>
      <w:r>
        <w:tab/>
        <w:t>En este punto, recordó las expresi</w:t>
      </w:r>
      <w:r>
        <w:t>o</w:t>
      </w:r>
      <w:r>
        <w:t>nes y gestos utilizados por Ribelli en la entrevista con el juez, destacando que al momento de desplegar su accionar, aquél deslizó el video sobre el escritorio, mientras le e</w:t>
      </w:r>
      <w:r>
        <w:t>x</w:t>
      </w:r>
      <w:r>
        <w:t>presaba su preocupación por su situación en la ca</w:t>
      </w:r>
      <w:r>
        <w:t>u</w:t>
      </w:r>
      <w:r>
        <w:t>sa.</w:t>
      </w:r>
    </w:p>
    <w:p w:rsidR="00224567" w:rsidRDefault="00224567">
      <w:pPr>
        <w:pStyle w:val="Textoindependiente"/>
        <w:spacing w:line="600" w:lineRule="auto"/>
      </w:pPr>
      <w:r>
        <w:tab/>
      </w:r>
      <w:r>
        <w:tab/>
        <w:t>Por último, el Dr. Miguel Ángel Rom</w:t>
      </w:r>
      <w:r>
        <w:t>e</w:t>
      </w:r>
      <w:r>
        <w:t>ro resaltó que no cualquier tipo de coacción podía lograr la finalidad pretendida por Ribelli, sino que el mecanismo d</w:t>
      </w:r>
      <w:r>
        <w:t>e</w:t>
      </w:r>
      <w:r>
        <w:t>bía ser sutil e importante, y a la vez impactar en el ánimo del magistrado, de forma tal que lo llevara seriamente a suponer que se encontraba en una situación de p</w:t>
      </w:r>
      <w:r>
        <w:t>e</w:t>
      </w:r>
      <w:r>
        <w:t>ligro, tal como ocurrió en este caso.</w:t>
      </w:r>
    </w:p>
    <w:p w:rsidR="00224567" w:rsidRDefault="00224567">
      <w:pPr>
        <w:widowControl w:val="0"/>
      </w:pPr>
      <w:r>
        <w:tab/>
        <w:t>En cuanto a la sanción, la fiscalía consideró que corre</w:t>
      </w:r>
      <w:r>
        <w:t>s</w:t>
      </w:r>
      <w:r>
        <w:t>pondía aplicar a Juan José Ribelli la pena de reclusión perpetua, toda vez que el nombrado fue acusado no sólo por el delito de coacción agravada, obj</w:t>
      </w:r>
      <w:r>
        <w:t>e</w:t>
      </w:r>
      <w:r>
        <w:t>to de esta la causa nº 496, sino también por los de homicidio calificado por haber sido perpetrado por un medio idóneo para crear un peligro común, lesiones leves y graves cal</w:t>
      </w:r>
      <w:r>
        <w:t>i</w:t>
      </w:r>
      <w:r>
        <w:t>ficadas y reiteradas, daños reiterados, todos ellos en c</w:t>
      </w:r>
      <w:r>
        <w:t>a</w:t>
      </w:r>
      <w:r>
        <w:t>lidad de partícipe necesario, privación ilegal de la l</w:t>
      </w:r>
      <w:r>
        <w:t>i</w:t>
      </w:r>
      <w:r>
        <w:t>bertad y extorsión, ambos en grado de tentativa y en cal</w:t>
      </w:r>
      <w:r>
        <w:t>i</w:t>
      </w:r>
      <w:r>
        <w:t>dad de coautor, instigación al falso testimonio agravado prestado por Bautista Huici en perjuicio de Carlos Telle</w:t>
      </w:r>
      <w:r>
        <w:t>l</w:t>
      </w:r>
      <w:r>
        <w:t>dín, secuestro extorsivo y asociación ilícita; todos ellos en concurso r</w:t>
      </w:r>
      <w:r>
        <w:t>e</w:t>
      </w:r>
      <w:r>
        <w:t>al.</w:t>
      </w:r>
    </w:p>
    <w:p w:rsidR="00224567" w:rsidRDefault="00224567">
      <w:pPr>
        <w:widowControl w:val="0"/>
      </w:pPr>
      <w:r>
        <w:rPr>
          <w:b/>
        </w:rPr>
        <w:tab/>
        <w:t xml:space="preserve">B.3) </w:t>
      </w:r>
      <w:r>
        <w:t>A su tiempo, el Dr. José Manuel Ubeira, letrado d</w:t>
      </w:r>
      <w:r>
        <w:t>e</w:t>
      </w:r>
      <w:r>
        <w:t>fensor de Juan José Ribelli, sostuvo que su pupilo no cometió delito alguno con relación a esta causa, por lo que solicitó su absolución.</w:t>
      </w:r>
    </w:p>
    <w:p w:rsidR="00224567" w:rsidRDefault="00224567">
      <w:pPr>
        <w:widowControl w:val="0"/>
      </w:pPr>
      <w:r>
        <w:tab/>
        <w:t>Entendió que ello se desprendía clar</w:t>
      </w:r>
      <w:r>
        <w:t>a</w:t>
      </w:r>
      <w:r>
        <w:t>mente del informe que dio inicio a la causa, elabor</w:t>
      </w:r>
      <w:r>
        <w:t>a</w:t>
      </w:r>
      <w:r>
        <w:t xml:space="preserve">do por el Dr. Galeano, donde denunció el faltante de un efecto de una de las cajas fuertes del juzgado a su cargo y solicitó a </w:t>
      </w:r>
      <w:smartTag w:uri="urn:schemas-microsoft-com:office:smarttags" w:element="PersonName">
        <w:smartTagPr>
          <w:attr w:name="ProductID" w:val="la C￡mara Federal"/>
        </w:smartTagPr>
        <w:r>
          <w:t>la Cámara Federal</w:t>
        </w:r>
      </w:smartTag>
      <w:r>
        <w:t xml:space="preserve"> que desinsacule el juzgado correspo</w:t>
      </w:r>
      <w:r>
        <w:t>n</w:t>
      </w:r>
      <w:r>
        <w:t>diente para investigar la posible c</w:t>
      </w:r>
      <w:r>
        <w:t>o</w:t>
      </w:r>
      <w:r>
        <w:t>misión de un delito de acción pública.</w:t>
      </w:r>
    </w:p>
    <w:p w:rsidR="00224567" w:rsidRDefault="00224567">
      <w:pPr>
        <w:widowControl w:val="0"/>
      </w:pPr>
      <w:r>
        <w:tab/>
        <w:t>En ese sentido, se preguntó por qué razón el Dr. Galeano, si es que fue víctima de una coa</w:t>
      </w:r>
      <w:r>
        <w:t>c</w:t>
      </w:r>
      <w:r>
        <w:t>ción por parte de Ribelli, sólo denunció la falta del v</w:t>
      </w:r>
      <w:r>
        <w:t>i</w:t>
      </w:r>
      <w:r>
        <w:t>deo de una de las cajas de seguridad de su juzgado. Asev</w:t>
      </w:r>
      <w:r>
        <w:t>e</w:t>
      </w:r>
      <w:r>
        <w:t>ró que el proceso fue direccionado en contra de su defe</w:t>
      </w:r>
      <w:r>
        <w:t>n</w:t>
      </w:r>
      <w:r>
        <w:t>dido, a quien consideró víctima de una falsa denuncia, i</w:t>
      </w:r>
      <w:r>
        <w:t>n</w:t>
      </w:r>
      <w:r>
        <w:t xml:space="preserve">tentando explicarse por qué motivo, mientras en la causa no se hablaba de la coacción, en la edición del 5 de abril de 1997 del diario “Página </w:t>
      </w:r>
      <w:smartTag w:uri="urn:schemas-microsoft-com:office:smarttags" w:element="metricconverter">
        <w:smartTagPr>
          <w:attr w:name="ProductID" w:val="12”"/>
        </w:smartTagPr>
        <w:r>
          <w:t>12”</w:t>
        </w:r>
      </w:smartTag>
      <w:r>
        <w:t xml:space="preserve"> se publicó que se estaba investigando al Dr. Cúneo Libarona por el robo de un video “con el que se intentaba extorsionar o recusar al juez G</w:t>
      </w:r>
      <w:r>
        <w:t>a</w:t>
      </w:r>
      <w:r>
        <w:t>leano”.</w:t>
      </w:r>
    </w:p>
    <w:p w:rsidR="00224567" w:rsidRDefault="00224567">
      <w:pPr>
        <w:widowControl w:val="0"/>
      </w:pPr>
      <w:r>
        <w:tab/>
      </w:r>
      <w:r>
        <w:tab/>
        <w:t>Señaló que la videocinta fue enviada por correo al anterior domicilio de su asistido, llevánd</w:t>
      </w:r>
      <w:r>
        <w:t>o</w:t>
      </w:r>
      <w:r>
        <w:t>la el po</w:t>
      </w:r>
      <w:r>
        <w:t>r</w:t>
      </w:r>
      <w:r>
        <w:t>tero del edificio a un amigo de aquél; éste, a su vez, se la entregó al Dr. Cúneo Libarona, quien fina</w:t>
      </w:r>
      <w:r>
        <w:t>l</w:t>
      </w:r>
      <w:r>
        <w:t>mente se la facilitó a su defendido en el juzgado del Dr. G</w:t>
      </w:r>
      <w:r>
        <w:t>a</w:t>
      </w:r>
      <w:r>
        <w:t>leano. En oportunidad de una entrevista personal que ma</w:t>
      </w:r>
      <w:r>
        <w:t>n</w:t>
      </w:r>
      <w:r>
        <w:t>tuvo al finalizar la ampliación de su indagatoria, Ribelli le ace</w:t>
      </w:r>
      <w:r>
        <w:t>r</w:t>
      </w:r>
      <w:r>
        <w:t>có la cinta al juez.</w:t>
      </w:r>
    </w:p>
    <w:p w:rsidR="00224567" w:rsidRDefault="00224567">
      <w:pPr>
        <w:widowControl w:val="0"/>
      </w:pPr>
      <w:r>
        <w:tab/>
      </w:r>
      <w:r>
        <w:tab/>
        <w:t>Sostuvo que el Dr. Galeano, cuya ve</w:t>
      </w:r>
      <w:r>
        <w:t>r</w:t>
      </w:r>
      <w:r>
        <w:t>sión de los hechos se contradecía con la ofrecida por R</w:t>
      </w:r>
      <w:r>
        <w:t>i</w:t>
      </w:r>
      <w:r>
        <w:t>belli,  mi</w:t>
      </w:r>
      <w:r>
        <w:t>n</w:t>
      </w:r>
      <w:r>
        <w:t>tió al relatar lo acontecido en dicha reunión, indicando que cuando el juez Oyarbide le solicitó, media</w:t>
      </w:r>
      <w:r>
        <w:t>n</w:t>
      </w:r>
      <w:r>
        <w:t>te oficio, que aclarara los términos de la supuesta coa</w:t>
      </w:r>
      <w:r>
        <w:t>c</w:t>
      </w:r>
      <w:r>
        <w:t>ción, se pronunció de igual modo que con anterior</w:t>
      </w:r>
      <w:r>
        <w:t>i</w:t>
      </w:r>
      <w:r>
        <w:t>dad.</w:t>
      </w:r>
    </w:p>
    <w:p w:rsidR="00224567" w:rsidRDefault="00224567">
      <w:pPr>
        <w:widowControl w:val="0"/>
      </w:pPr>
      <w:r>
        <w:tab/>
      </w:r>
      <w:r>
        <w:tab/>
        <w:t>Por lo tanto, concluyó, si el juez G</w:t>
      </w:r>
      <w:r>
        <w:t>a</w:t>
      </w:r>
      <w:r>
        <w:t>leano se hubiese sentido coaccionado por su asistido, h</w:t>
      </w:r>
      <w:r>
        <w:t>u</w:t>
      </w:r>
      <w:r>
        <w:t>biera explicado cómo se llevó a cabo ese accionar ilíc</w:t>
      </w:r>
      <w:r>
        <w:t>i</w:t>
      </w:r>
      <w:r>
        <w:t>to, subrayando que el Dr. Oyarbide, pese a que el juez f</w:t>
      </w:r>
      <w:r>
        <w:t>e</w:t>
      </w:r>
      <w:r>
        <w:t>deral no hizo manifestación alguna con relación a la supuesta coacción, actuó de manera funcional a lo que llamó las “reglas del poder”; extremo que luego determinó a la cám</w:t>
      </w:r>
      <w:r>
        <w:t>a</w:t>
      </w:r>
      <w:r>
        <w:t>ra del fuero apartarlo de la causa.</w:t>
      </w:r>
    </w:p>
    <w:p w:rsidR="00224567" w:rsidRDefault="00224567">
      <w:pPr>
        <w:widowControl w:val="0"/>
      </w:pPr>
      <w:r>
        <w:tab/>
      </w:r>
      <w:r>
        <w:tab/>
        <w:t>En ese orden de ideas, la defensa so</w:t>
      </w:r>
      <w:r>
        <w:t>s</w:t>
      </w:r>
      <w:r>
        <w:t>tuvo que una vez instalado el tema de la presunta coa</w:t>
      </w:r>
      <w:r>
        <w:t>c</w:t>
      </w:r>
      <w:r>
        <w:t>ción, se armó una gran operación de prensa en la que pa</w:t>
      </w:r>
      <w:r>
        <w:t>r</w:t>
      </w:r>
      <w:r>
        <w:t xml:space="preserve">ticiparon los medios de comunicación, </w:t>
      </w:r>
      <w:smartTag w:uri="urn:schemas-microsoft-com:office:smarttags" w:element="PersonName">
        <w:smartTagPr>
          <w:attr w:name="ProductID" w:val="la Secretar￭a"/>
        </w:smartTagPr>
        <w:r>
          <w:t>la Secretaría</w:t>
        </w:r>
      </w:smartTag>
      <w:r>
        <w:t xml:space="preserve"> de I</w:t>
      </w:r>
      <w:r>
        <w:t>n</w:t>
      </w:r>
      <w:r>
        <w:t>teligencia de Estado, los fiscales Mullen y Barbaccia y la comunidad judía a través de sus representantes, consid</w:t>
      </w:r>
      <w:r>
        <w:t>e</w:t>
      </w:r>
      <w:r>
        <w:t>rando que también fueron responsables de encubrir las m</w:t>
      </w:r>
      <w:r>
        <w:t>a</w:t>
      </w:r>
      <w:r>
        <w:t>niobras irregulares realizadas por el juez Galeano, t</w:t>
      </w:r>
      <w:r>
        <w:t>o</w:t>
      </w:r>
      <w:r>
        <w:t>dos los integrantes de la comisión bicameral especial del Co</w:t>
      </w:r>
      <w:r>
        <w:t>n</w:t>
      </w:r>
      <w:r>
        <w:t xml:space="preserve">greso de </w:t>
      </w:r>
      <w:smartTag w:uri="urn:schemas-microsoft-com:office:smarttags" w:element="PersonName">
        <w:smartTagPr>
          <w:attr w:name="ProductID" w:val="la Naci￳n"/>
        </w:smartTagPr>
        <w:r>
          <w:t>la Nación</w:t>
        </w:r>
      </w:smartTag>
      <w:r>
        <w:t>, a excepción de la senadora Cristina Ferná</w:t>
      </w:r>
      <w:r>
        <w:t>n</w:t>
      </w:r>
      <w:r>
        <w:t>dez de Kirchner.</w:t>
      </w:r>
    </w:p>
    <w:p w:rsidR="00224567" w:rsidRDefault="00224567">
      <w:pPr>
        <w:widowControl w:val="0"/>
      </w:pPr>
      <w:r>
        <w:tab/>
        <w:t>Asimismo, estimó que en e</w:t>
      </w:r>
      <w:r>
        <w:t>s</w:t>
      </w:r>
      <w:r>
        <w:t>ta causa se violó el principio de independencia de los poderes, ya que los jueces Galeano y Oyarbide trabajaron en forma conju</w:t>
      </w:r>
      <w:r>
        <w:t>n</w:t>
      </w:r>
      <w:r>
        <w:t>ta, en interacción con el Poder Legislativo, i</w:t>
      </w:r>
      <w:r>
        <w:t>n</w:t>
      </w:r>
      <w:r>
        <w:t>fluenciados y controlados a su vez por el Ejecutivo, canalizado a tr</w:t>
      </w:r>
      <w:r>
        <w:t>a</w:t>
      </w:r>
      <w:r>
        <w:t xml:space="preserve">vés de </w:t>
      </w:r>
      <w:smartTag w:uri="urn:schemas-microsoft-com:office:smarttags" w:element="PersonName">
        <w:smartTagPr>
          <w:attr w:name="ProductID" w:val="la S.I"/>
        </w:smartTagPr>
        <w:r>
          <w:t>la S.I</w:t>
        </w:r>
      </w:smartTag>
      <w:r>
        <w:t>.D.E.</w:t>
      </w:r>
    </w:p>
    <w:p w:rsidR="00224567" w:rsidRDefault="00224567">
      <w:pPr>
        <w:widowControl w:val="0"/>
      </w:pPr>
      <w:r>
        <w:tab/>
        <w:t>Subsidiariamente, como segunda línea de defensa, planteó que su asistido actuó dentro de las previsiones contempladas en el art. 34, inc. 6º, del Cód</w:t>
      </w:r>
      <w:r>
        <w:t>i</w:t>
      </w:r>
      <w:r>
        <w:t>go Penal, por cuanto, de acuerdo al contenido del video casete, se podían apreciar todos los presupuestos requer</w:t>
      </w:r>
      <w:r>
        <w:t>i</w:t>
      </w:r>
      <w:r>
        <w:t>dos por la legítima defensa. En pr</w:t>
      </w:r>
      <w:r>
        <w:t>i</w:t>
      </w:r>
      <w:r>
        <w:t>mer lugar, existió una agresión ilegítima, consistente en la negociación e</w:t>
      </w:r>
      <w:r>
        <w:t>n</w:t>
      </w:r>
      <w:r>
        <w:t>tre el Dr. Galeano y Telleldín para d</w:t>
      </w:r>
      <w:r>
        <w:t>e</w:t>
      </w:r>
      <w:r>
        <w:t>jar a su asistido detenido de por vida. Además, se comprobó la necesidad r</w:t>
      </w:r>
      <w:r>
        <w:t>a</w:t>
      </w:r>
      <w:r>
        <w:t>cional del medio empleado para rep</w:t>
      </w:r>
      <w:r>
        <w:t>e</w:t>
      </w:r>
      <w:r>
        <w:t>ler la agresión, que consistió en la entrega de la cinta al juez Galeano y, finalmente, se corr</w:t>
      </w:r>
      <w:r>
        <w:t>o</w:t>
      </w:r>
      <w:r>
        <w:t>boró la falta de provocación suficiente por parte del que se defiende, d</w:t>
      </w:r>
      <w:r>
        <w:t>a</w:t>
      </w:r>
      <w:r>
        <w:t>do que Ribelli siempre estuvo sometido al arbitrio y d</w:t>
      </w:r>
      <w:r>
        <w:t>e</w:t>
      </w:r>
      <w:r>
        <w:t>cisión del juez Galeano.</w:t>
      </w:r>
    </w:p>
    <w:p w:rsidR="00224567" w:rsidRDefault="00224567">
      <w:pPr>
        <w:widowControl w:val="0"/>
      </w:pPr>
      <w:r>
        <w:tab/>
      </w:r>
      <w:r>
        <w:tab/>
        <w:t>Relacionó a la l</w:t>
      </w:r>
      <w:r>
        <w:t>e</w:t>
      </w:r>
      <w:r>
        <w:t>gítima defensa con el derecho constitucional de resistirse contra los actos il</w:t>
      </w:r>
      <w:r>
        <w:t>e</w:t>
      </w:r>
      <w:r>
        <w:t>gítimos de una autoridad; por ese motivo, calificó al Dr. Galeano de tirano, al utilizar su poder en contra de la persona a la que debía proteger o por la que debía v</w:t>
      </w:r>
      <w:r>
        <w:t>e</w:t>
      </w:r>
      <w:r>
        <w:t>lar.</w:t>
      </w:r>
    </w:p>
    <w:p w:rsidR="00224567" w:rsidRDefault="00224567">
      <w:pPr>
        <w:widowControl w:val="0"/>
      </w:pPr>
      <w:r>
        <w:tab/>
      </w:r>
      <w:r>
        <w:tab/>
        <w:t xml:space="preserve">Consideró que, de este modo, se violó el art. 19 de </w:t>
      </w:r>
      <w:smartTag w:uri="urn:schemas-microsoft-com:office:smarttags" w:element="PersonName">
        <w:smartTagPr>
          <w:attr w:name="ProductID" w:val="la Constituci￳n Nacional"/>
        </w:smartTagPr>
        <w:r>
          <w:t>la Constitución Nacional</w:t>
        </w:r>
      </w:smartTag>
      <w:r>
        <w:t xml:space="preserve"> que establece que nadie esta obligado a hacer lo que la ley no manda ni pr</w:t>
      </w:r>
      <w:r>
        <w:t>i</w:t>
      </w:r>
      <w:r>
        <w:t>vado de lo que ella no prohíbe; citó los antecedentes hi</w:t>
      </w:r>
      <w:r>
        <w:t>s</w:t>
      </w:r>
      <w:r>
        <w:t>tóricos de aquella garantía constitucional y analizó el derecho de resistencia contra los actos ilegítimos de la autoridad, de acuerdo a la opinión de diferentes aut</w:t>
      </w:r>
      <w:r>
        <w:t>o</w:t>
      </w:r>
      <w:r>
        <w:t>res.</w:t>
      </w:r>
    </w:p>
    <w:p w:rsidR="00224567" w:rsidRDefault="00224567">
      <w:pPr>
        <w:widowControl w:val="0"/>
      </w:pPr>
      <w:r>
        <w:tab/>
      </w:r>
      <w:r>
        <w:tab/>
        <w:t>Por otra parte, entendió que se ver</w:t>
      </w:r>
      <w:r>
        <w:t>i</w:t>
      </w:r>
      <w:r>
        <w:t>ficó un desigual trato, ante la ley, entre el que recibió el Dr. Cúneo Libarona -coprocesado en esta causa, cuya s</w:t>
      </w:r>
      <w:r>
        <w:t>i</w:t>
      </w:r>
      <w:r>
        <w:t>tuación se resolvió mediante una “probation”- y su defe</w:t>
      </w:r>
      <w:r>
        <w:t>n</w:t>
      </w:r>
      <w:r>
        <w:t>dido, a quien se le endilgó el delito de coacción agrav</w:t>
      </w:r>
      <w:r>
        <w:t>a</w:t>
      </w:r>
      <w:r>
        <w:t>da.</w:t>
      </w:r>
    </w:p>
    <w:p w:rsidR="00224567" w:rsidRDefault="00224567">
      <w:pPr>
        <w:widowControl w:val="0"/>
      </w:pPr>
      <w:r>
        <w:tab/>
      </w:r>
      <w:r>
        <w:tab/>
        <w:t>En virtud de ello, solicitó la absol</w:t>
      </w:r>
      <w:r>
        <w:t>u</w:t>
      </w:r>
      <w:r>
        <w:t>ción de Juan José Ribelli, en orden al delito de coa</w:t>
      </w:r>
      <w:r>
        <w:t>c</w:t>
      </w:r>
      <w:r>
        <w:t xml:space="preserve">ción agravada, por el que fuera acusado. </w:t>
      </w:r>
    </w:p>
    <w:p w:rsidR="00224567" w:rsidRDefault="00224567">
      <w:pPr>
        <w:widowControl w:val="0"/>
      </w:pPr>
      <w:r>
        <w:tab/>
        <w:t>Asimismo, pidió que se extrajeran te</w:t>
      </w:r>
      <w:r>
        <w:t>s</w:t>
      </w:r>
      <w:r>
        <w:t>timonios de las partes de interés, para que se i</w:t>
      </w:r>
      <w:r>
        <w:t>n</w:t>
      </w:r>
      <w:r>
        <w:t>vestigue la comisión del delito de falso testimonio agravado por parte de Rubén Ezra Beraja y Víctor Stinfale, como así también los de falsa denuncia y falso testimonio agravado, comet</w:t>
      </w:r>
      <w:r>
        <w:t>i</w:t>
      </w:r>
      <w:r>
        <w:t>dos por el juez Juan José Galeano.</w:t>
      </w:r>
    </w:p>
    <w:p w:rsidR="00224567" w:rsidRDefault="00224567">
      <w:pPr>
        <w:widowControl w:val="0"/>
      </w:pPr>
    </w:p>
    <w:p w:rsidR="00224567" w:rsidRDefault="00224567">
      <w:pPr>
        <w:pStyle w:val="Ttulo3"/>
        <w:keepNext w:val="0"/>
        <w:widowControl w:val="0"/>
      </w:pPr>
      <w:r>
        <w:t>C) Réplicas y dúplicas.</w:t>
      </w:r>
    </w:p>
    <w:p w:rsidR="00224567" w:rsidRDefault="00224567">
      <w:pPr>
        <w:widowControl w:val="0"/>
      </w:pPr>
      <w:r>
        <w:tab/>
      </w:r>
      <w:r>
        <w:rPr>
          <w:b/>
          <w:bCs/>
        </w:rPr>
        <w:t>C.1)</w:t>
      </w:r>
      <w:r>
        <w:t xml:space="preserve"> Al momento de ejercer la facu</w:t>
      </w:r>
      <w:r>
        <w:t>l</w:t>
      </w:r>
      <w:r>
        <w:t>tad prevista en los párrafos 4to. y 5to. del art. 393 del C</w:t>
      </w:r>
      <w:r>
        <w:t>ó</w:t>
      </w:r>
      <w:r>
        <w:t xml:space="preserve">digo Procesal Penal de </w:t>
      </w:r>
      <w:smartTag w:uri="urn:schemas-microsoft-com:office:smarttags" w:element="PersonName">
        <w:smartTagPr>
          <w:attr w:name="ProductID" w:val="la Naci￳n"/>
        </w:smartTagPr>
        <w:r>
          <w:t>la Nación</w:t>
        </w:r>
      </w:smartTag>
      <w:r>
        <w:t>, la querella D.A.I.A., A.M.I.A. y “Grupo de Familiares de las Víctimas”, cuesti</w:t>
      </w:r>
      <w:r>
        <w:t>o</w:t>
      </w:r>
      <w:r>
        <w:t>nó el argumento basado en la legítima defensa, expue</w:t>
      </w:r>
      <w:r>
        <w:t>s</w:t>
      </w:r>
      <w:r>
        <w:t>to en su alegato por la asistencia técnica de Ribelli.</w:t>
      </w:r>
    </w:p>
    <w:p w:rsidR="00224567" w:rsidRDefault="00224567">
      <w:pPr>
        <w:widowControl w:val="0"/>
      </w:pPr>
      <w:r>
        <w:tab/>
        <w:t>Al respecto, el Dr. Ávila calificó de insólita la explicación utilizada para acreditar la exi</w:t>
      </w:r>
      <w:r>
        <w:t>s</w:t>
      </w:r>
      <w:r>
        <w:t>tencia de la agresión ilegítima, requerida por el art. 34, inc. 6º, del Código Penal, dado que se pretendía infru</w:t>
      </w:r>
      <w:r>
        <w:t>c</w:t>
      </w:r>
      <w:r>
        <w:t>tuosamente dar por terminada una ardua polémica doctrin</w:t>
      </w:r>
      <w:r>
        <w:t>a</w:t>
      </w:r>
      <w:r>
        <w:t>ria y jurisprudencial –aún no superada- en torno a la r</w:t>
      </w:r>
      <w:r>
        <w:t>e</w:t>
      </w:r>
      <w:r>
        <w:t>gla del uso de la voz “agresión” y al cu</w:t>
      </w:r>
      <w:r>
        <w:t>m</w:t>
      </w:r>
      <w:r>
        <w:t>plimiento de esa exigencia legal, como así también si en el caso de autos se requ</w:t>
      </w:r>
      <w:r>
        <w:t>e</w:t>
      </w:r>
      <w:r>
        <w:t>ría o no la existencia de violencia bajo la forma de acomet</w:t>
      </w:r>
      <w:r>
        <w:t>i</w:t>
      </w:r>
      <w:r>
        <w:t>miento.</w:t>
      </w:r>
    </w:p>
    <w:p w:rsidR="00224567" w:rsidRDefault="00224567">
      <w:pPr>
        <w:widowControl w:val="0"/>
      </w:pPr>
      <w:r>
        <w:tab/>
        <w:t>En este punto, el Dr. Ávila citó a J</w:t>
      </w:r>
      <w:r>
        <w:t>i</w:t>
      </w:r>
      <w:r>
        <w:t>ménez de Asúa, quien en su obra “Tratado de Derecho P</w:t>
      </w:r>
      <w:r>
        <w:t>e</w:t>
      </w:r>
      <w:r>
        <w:t>nal”, t. IV, segunda edición, pág. 160, luego de an</w:t>
      </w:r>
      <w:r>
        <w:t>a</w:t>
      </w:r>
      <w:r>
        <w:t>lizar la jurisprudencia de la época del Tribunal Supremo Esp</w:t>
      </w:r>
      <w:r>
        <w:t>a</w:t>
      </w:r>
      <w:r>
        <w:t>ñol, concluyó que el significado de agresión oscilaba e</w:t>
      </w:r>
      <w:r>
        <w:t>n</w:t>
      </w:r>
      <w:r>
        <w:t>tre un co</w:t>
      </w:r>
      <w:r>
        <w:t>n</w:t>
      </w:r>
      <w:r>
        <w:t>cepto material como acometimiento personal y un mero ataque de cualquier derecho; casuismo que, cuarenta años después, fue criticado por Bacigalupo en su obra “D</w:t>
      </w:r>
      <w:r>
        <w:t>e</w:t>
      </w:r>
      <w:r>
        <w:t>recho Penal, Parte General”, par</w:t>
      </w:r>
      <w:r>
        <w:t>á</w:t>
      </w:r>
      <w:r>
        <w:t>grafo 699, quien atribuyó dicha circunstancia a la pervivencia de la exigencia de acometimie</w:t>
      </w:r>
      <w:r>
        <w:t>n</w:t>
      </w:r>
      <w:r>
        <w:t>to.</w:t>
      </w:r>
    </w:p>
    <w:p w:rsidR="00224567" w:rsidRDefault="00224567">
      <w:pPr>
        <w:pStyle w:val="Textoindependiente"/>
        <w:tabs>
          <w:tab w:val="clear" w:pos="0"/>
          <w:tab w:val="clear" w:pos="2040"/>
          <w:tab w:val="clear" w:pos="4080"/>
          <w:tab w:val="clear" w:pos="6120"/>
          <w:tab w:val="clear" w:pos="8160"/>
        </w:tabs>
        <w:spacing w:line="600" w:lineRule="auto"/>
      </w:pPr>
      <w:r>
        <w:tab/>
      </w:r>
      <w:r>
        <w:tab/>
        <w:t>Por lo expuesto, entendió que el requ</w:t>
      </w:r>
      <w:r>
        <w:t>i</w:t>
      </w:r>
      <w:r>
        <w:t>sito de la “agresión ilegítima” no podía soslayarse media</w:t>
      </w:r>
      <w:r>
        <w:t>n</w:t>
      </w:r>
      <w:r>
        <w:t>te una simple afirmación, destacando, además, que éste s</w:t>
      </w:r>
      <w:r>
        <w:t>i</w:t>
      </w:r>
      <w:r>
        <w:t>gue presente en la jurisprudencia y doctrina nacional, tal como lo demostró Carlos Nino, al analizar las vicisitudes de la defensa de derechos patrimoniales en el delito de cheques sin provisión de fondos, a la luz de la jurispr</w:t>
      </w:r>
      <w:r>
        <w:t>u</w:t>
      </w:r>
      <w:r>
        <w:t>dencia de la cámara del fuero penal económico.</w:t>
      </w:r>
    </w:p>
    <w:p w:rsidR="00224567" w:rsidRDefault="00224567">
      <w:pPr>
        <w:pStyle w:val="Textoindependiente"/>
        <w:tabs>
          <w:tab w:val="clear" w:pos="0"/>
          <w:tab w:val="clear" w:pos="2040"/>
          <w:tab w:val="clear" w:pos="4080"/>
          <w:tab w:val="clear" w:pos="6120"/>
          <w:tab w:val="clear" w:pos="8160"/>
        </w:tabs>
        <w:spacing w:line="600" w:lineRule="auto"/>
      </w:pPr>
      <w:r>
        <w:tab/>
        <w:t>En virtud de ello, el Dr. Ávila afi</w:t>
      </w:r>
      <w:r>
        <w:t>r</w:t>
      </w:r>
      <w:r>
        <w:t>mó que en el caso no se había acreditado el requisito previsto en el apartado a), del inc. 6º, del art 34 del Código P</w:t>
      </w:r>
      <w:r>
        <w:t>e</w:t>
      </w:r>
      <w:r>
        <w:t>nal.</w:t>
      </w:r>
    </w:p>
    <w:p w:rsidR="00224567" w:rsidRDefault="00224567">
      <w:pPr>
        <w:pStyle w:val="Textoindependiente"/>
        <w:spacing w:line="600" w:lineRule="auto"/>
      </w:pPr>
      <w:r>
        <w:tab/>
      </w:r>
      <w:r>
        <w:tab/>
        <w:t>Por otra parte, la querella señaló que el Dr. Ubeira también había dado por cumplido el requisito contemplado en el apartado b) del artículo previamente c</w:t>
      </w:r>
      <w:r>
        <w:t>i</w:t>
      </w:r>
      <w:r>
        <w:t>tado, esto es, la necesidad racional del medio empleado p</w:t>
      </w:r>
      <w:r>
        <w:t>a</w:t>
      </w:r>
      <w:r>
        <w:t>ra impedir o repeler la agresión, al señalar que Ribelli le había entregado la videocinta directamente al juez.</w:t>
      </w:r>
    </w:p>
    <w:p w:rsidR="00224567" w:rsidRDefault="00224567">
      <w:pPr>
        <w:pStyle w:val="Textoindependiente"/>
        <w:spacing w:line="600" w:lineRule="auto"/>
      </w:pPr>
      <w:r>
        <w:tab/>
      </w:r>
      <w:r>
        <w:tab/>
        <w:t>Sobre la base de tales afirmaciones, el Dr. Ávila dedujo que Ribelli, al solicitar la entrevista con el magistrado, ya conocía el contenido de la videoci</w:t>
      </w:r>
      <w:r>
        <w:t>n</w:t>
      </w:r>
      <w:r>
        <w:t>ta, por lo que consideró que no se verificó en el caso la actualidad o inminencia de la supuesta agr</w:t>
      </w:r>
      <w:r>
        <w:t>e</w:t>
      </w:r>
      <w:r>
        <w:t>sión ilegítima, como para impedirla o repelerla.</w:t>
      </w:r>
    </w:p>
    <w:p w:rsidR="00224567" w:rsidRDefault="00224567">
      <w:pPr>
        <w:pStyle w:val="Textoindependiente"/>
        <w:spacing w:line="600" w:lineRule="auto"/>
      </w:pPr>
      <w:r>
        <w:tab/>
      </w:r>
      <w:r>
        <w:tab/>
        <w:t>Asimi</w:t>
      </w:r>
      <w:r>
        <w:t>s</w:t>
      </w:r>
      <w:r>
        <w:t>mo, indicó que los requisitos de inminencia o actualidad de la agresión se encontraban e</w:t>
      </w:r>
      <w:r>
        <w:t>s</w:t>
      </w:r>
      <w:r>
        <w:t>trechamente vinculados con la necesidad de defensa, menci</w:t>
      </w:r>
      <w:r>
        <w:t>o</w:t>
      </w:r>
      <w:r>
        <w:t>nando, a guisa de ejemplo, que aunque una persona supiera con seguridad que otra habrá de atentar contra su vida, la primera no est</w:t>
      </w:r>
      <w:r>
        <w:t>a</w:t>
      </w:r>
      <w:r>
        <w:t>ba legitimada para defenderse hasta tanto la segunda no de señales claras de hacerlo en forma inminente.</w:t>
      </w:r>
    </w:p>
    <w:p w:rsidR="00224567" w:rsidRDefault="00224567">
      <w:pPr>
        <w:pStyle w:val="Textoindependiente"/>
        <w:spacing w:line="600" w:lineRule="auto"/>
      </w:pPr>
      <w:r>
        <w:tab/>
      </w:r>
      <w:r>
        <w:tab/>
        <w:t>En este orden de ideas, la querella sostuvo que en el caso no había mediado necesidad alg</w:t>
      </w:r>
      <w:r>
        <w:t>u</w:t>
      </w:r>
      <w:r>
        <w:t>na de parte de Ribelli de entregarle la videocinta al juez G</w:t>
      </w:r>
      <w:r>
        <w:t>a</w:t>
      </w:r>
      <w:r>
        <w:t>leano, como para repeler o impedir una presunta agresión ilegítima.</w:t>
      </w:r>
    </w:p>
    <w:p w:rsidR="00224567" w:rsidRDefault="00224567">
      <w:pPr>
        <w:pStyle w:val="Textoindependiente"/>
        <w:spacing w:line="600" w:lineRule="auto"/>
      </w:pPr>
      <w:r>
        <w:tab/>
      </w:r>
      <w:r>
        <w:tab/>
        <w:t>Destacó que la defensa pretendió esgr</w:t>
      </w:r>
      <w:r>
        <w:t>i</w:t>
      </w:r>
      <w:r>
        <w:t>mir la legitimidad de la entrega de la cinta, en la neces</w:t>
      </w:r>
      <w:r>
        <w:t>i</w:t>
      </w:r>
      <w:r>
        <w:t>dad de hacer cesar una agresión, pese a admitir que el m</w:t>
      </w:r>
      <w:r>
        <w:t>a</w:t>
      </w:r>
      <w:r>
        <w:t>gistrado no le brindaba seguridad alguna acerca de lo que iba a hacer con ella.</w:t>
      </w:r>
    </w:p>
    <w:p w:rsidR="00224567" w:rsidRDefault="00224567">
      <w:pPr>
        <w:pStyle w:val="Textoindependiente"/>
        <w:spacing w:line="600" w:lineRule="auto"/>
      </w:pPr>
      <w:r>
        <w:tab/>
      </w:r>
      <w:r>
        <w:tab/>
        <w:t>El letrado señaló que, en el caso, no había mediado causa alguna de inimputabilidad ni de just</w:t>
      </w:r>
      <w:r>
        <w:t>i</w:t>
      </w:r>
      <w:r>
        <w:t>ficación; ni siquiera se había advertido la existencia de un oscuro deseo de venganza, sino un liso y llano intento de coacción.</w:t>
      </w:r>
    </w:p>
    <w:p w:rsidR="00224567" w:rsidRDefault="00224567">
      <w:pPr>
        <w:pStyle w:val="Textoindependiente"/>
        <w:spacing w:line="600" w:lineRule="auto"/>
      </w:pPr>
      <w:r>
        <w:tab/>
      </w:r>
      <w:r>
        <w:tab/>
        <w:t>Además, adujo que el defensor había confundido la causa de justificación de defensa neces</w:t>
      </w:r>
      <w:r>
        <w:t>a</w:t>
      </w:r>
      <w:r>
        <w:t>ria, propia del derecho penal, con el instituto político const</w:t>
      </w:r>
      <w:r>
        <w:t>i</w:t>
      </w:r>
      <w:r>
        <w:t>tuci</w:t>
      </w:r>
      <w:r>
        <w:t>o</w:t>
      </w:r>
      <w:r>
        <w:t>nal de resistencia a la opresión.</w:t>
      </w:r>
    </w:p>
    <w:p w:rsidR="00224567" w:rsidRDefault="00224567">
      <w:pPr>
        <w:pStyle w:val="Textoindependiente"/>
        <w:spacing w:line="600" w:lineRule="auto"/>
      </w:pPr>
      <w:r>
        <w:tab/>
      </w:r>
      <w:r>
        <w:tab/>
        <w:t xml:space="preserve">Por último, </w:t>
      </w:r>
      <w:smartTag w:uri="urn:schemas-microsoft-com:office:smarttags" w:element="PersonName">
        <w:smartTagPr>
          <w:attr w:name="ProductID" w:val="La Dra. Nercellas"/>
        </w:smartTagPr>
        <w:r>
          <w:t>la Dra. Nercellas</w:t>
        </w:r>
      </w:smartTag>
      <w:r>
        <w:t xml:space="preserve"> recordó que si bien se dijo que el juez sólo había denunciado el faltante callando la coacción, no era la denuncia la que habilitaba la jurisdi</w:t>
      </w:r>
      <w:r>
        <w:t>c</w:t>
      </w:r>
      <w:r>
        <w:t>ción sino el requerimiento fiscal de instrucción.</w:t>
      </w:r>
    </w:p>
    <w:p w:rsidR="00224567" w:rsidRDefault="00224567">
      <w:pPr>
        <w:widowControl w:val="0"/>
      </w:pPr>
      <w:r>
        <w:tab/>
      </w:r>
      <w:r>
        <w:rPr>
          <w:b/>
          <w:bCs/>
        </w:rPr>
        <w:t xml:space="preserve">C.2) </w:t>
      </w:r>
      <w:r>
        <w:t>Al momento de replicar el aleg</w:t>
      </w:r>
      <w:r>
        <w:t>a</w:t>
      </w:r>
      <w:r>
        <w:t>to de la defensa, la fiscalía no formuló manifestación alguna con relación a lo actuado en la causa nº 496.</w:t>
      </w:r>
    </w:p>
    <w:p w:rsidR="00224567" w:rsidRDefault="00224567">
      <w:pPr>
        <w:widowControl w:val="0"/>
      </w:pPr>
      <w:r>
        <w:tab/>
      </w:r>
      <w:r>
        <w:rPr>
          <w:b/>
          <w:bCs/>
        </w:rPr>
        <w:t xml:space="preserve">C.3) </w:t>
      </w:r>
      <w:r>
        <w:t>Por último, el Dr. José Manuel Ubeira hizo uso de su derecho a la dúplica para objetar lo expuesto por representante de la querella con rel</w:t>
      </w:r>
      <w:r>
        <w:t>a</w:t>
      </w:r>
      <w:r>
        <w:t>ción al planteo de la legítima defensa, introducido oportun</w:t>
      </w:r>
      <w:r>
        <w:t>a</w:t>
      </w:r>
      <w:r>
        <w:t>mente.</w:t>
      </w:r>
    </w:p>
    <w:p w:rsidR="00224567" w:rsidRDefault="00224567">
      <w:pPr>
        <w:pStyle w:val="Textoindependiente"/>
        <w:spacing w:line="600" w:lineRule="auto"/>
      </w:pPr>
      <w:r>
        <w:tab/>
      </w:r>
      <w:r>
        <w:tab/>
        <w:t>En primer lugar, el letrado defensor aclaró que la hipótesis prevista en el inc. 6º, del art. 34 del Código Penal fue planteada como segunda línea de defe</w:t>
      </w:r>
      <w:r>
        <w:t>n</w:t>
      </w:r>
      <w:r>
        <w:t>sa, en caso que el tribunal entendiera que los hechos h</w:t>
      </w:r>
      <w:r>
        <w:t>a</w:t>
      </w:r>
      <w:r>
        <w:t>bían ocurrido del modo relatado por el juez Galeano, inv</w:t>
      </w:r>
      <w:r>
        <w:t>o</w:t>
      </w:r>
      <w:r>
        <w:t>cando en último término la defensa contra los actos ileg</w:t>
      </w:r>
      <w:r>
        <w:t>í</w:t>
      </w:r>
      <w:r>
        <w:t>timos de autoridad.</w:t>
      </w:r>
    </w:p>
    <w:p w:rsidR="00224567" w:rsidRDefault="00224567">
      <w:pPr>
        <w:pStyle w:val="Textoindependiente"/>
        <w:spacing w:line="600" w:lineRule="auto"/>
      </w:pPr>
      <w:r>
        <w:tab/>
      </w:r>
      <w:r>
        <w:tab/>
        <w:t>Seguidamente, cuestionó los argume</w:t>
      </w:r>
      <w:r>
        <w:t>n</w:t>
      </w:r>
      <w:r>
        <w:t>tos utilizados por el Dr. Ávila con relación al requ</w:t>
      </w:r>
      <w:r>
        <w:t>i</w:t>
      </w:r>
      <w:r>
        <w:t>sito de la agresión ilegítima, fundados en las obras de Jiménez de Asúa, Bacigalupo y en la jurisprudencia del Tribunal Supr</w:t>
      </w:r>
      <w:r>
        <w:t>e</w:t>
      </w:r>
      <w:r>
        <w:t>mo Español.</w:t>
      </w:r>
    </w:p>
    <w:p w:rsidR="00224567" w:rsidRDefault="00224567">
      <w:pPr>
        <w:pStyle w:val="Textoindependiente"/>
        <w:spacing w:line="600" w:lineRule="auto"/>
      </w:pPr>
      <w:r>
        <w:tab/>
      </w:r>
      <w:r>
        <w:tab/>
        <w:t>En este punto, la defensa rec</w:t>
      </w:r>
      <w:r>
        <w:t>o</w:t>
      </w:r>
      <w:r>
        <w:t xml:space="preserve">noció no haber dado mayores explicaciones confiado en el principio </w:t>
      </w:r>
      <w:r>
        <w:rPr>
          <w:u w:val="single"/>
        </w:rPr>
        <w:t>iura novit curia</w:t>
      </w:r>
      <w:r>
        <w:t>; pese a ello, trajo a col</w:t>
      </w:r>
      <w:r>
        <w:t>a</w:t>
      </w:r>
      <w:r>
        <w:t>ción la obra de Nelson Pessoa sobre el tema, superadora, a su juicio, por contener un mayor avance doctrinal y una visión más pr</w:t>
      </w:r>
      <w:r>
        <w:t>e</w:t>
      </w:r>
      <w:r>
        <w:t>cisa del tipo legal bajo estudio.</w:t>
      </w:r>
    </w:p>
    <w:p w:rsidR="00224567" w:rsidRDefault="00224567">
      <w:pPr>
        <w:pStyle w:val="Textoindependiente"/>
        <w:spacing w:line="600" w:lineRule="auto"/>
      </w:pPr>
      <w:r>
        <w:tab/>
      </w:r>
      <w:r>
        <w:tab/>
        <w:t>A su vez, el Dr. Ubeira caracterizó de atíp</w:t>
      </w:r>
      <w:r>
        <w:t>i</w:t>
      </w:r>
      <w:r>
        <w:t>ca la situación fáctica protagonizada por su asistido, de la que no había antecedentes en la jurisprudencia naci</w:t>
      </w:r>
      <w:r>
        <w:t>o</w:t>
      </w:r>
      <w:r>
        <w:t>nal.</w:t>
      </w:r>
    </w:p>
    <w:p w:rsidR="00224567" w:rsidRDefault="00224567">
      <w:pPr>
        <w:pStyle w:val="Textoindependiente"/>
        <w:spacing w:line="600" w:lineRule="auto"/>
      </w:pPr>
      <w:r>
        <w:tab/>
      </w:r>
      <w:r>
        <w:tab/>
        <w:t>Posteriormente, citó el voto del Dr. Tozzini en la causa “Ortiz”, resuelta el 18 de agosto de 1992, en la que caracterizó a la legítima defensa como el autoauxilio que el Estado autorizaba a realizar al ciud</w:t>
      </w:r>
      <w:r>
        <w:t>a</w:t>
      </w:r>
      <w:r>
        <w:t>dano para resolver situaciones en las cuales, ante imper</w:t>
      </w:r>
      <w:r>
        <w:t>a</w:t>
      </w:r>
      <w:r>
        <w:t>tivos vitales, se veía impedido de recurrir al auxilio efectivo de la justicia pública y, en ese sentido, el d</w:t>
      </w:r>
      <w:r>
        <w:t>e</w:t>
      </w:r>
      <w:r>
        <w:t>fensor se preguntó a quién podía recurrir su asistido si el autor de la maniobra de la cual se estaba defendiendo era, precisamente, un integrante de la justicia públ</w:t>
      </w:r>
      <w:r>
        <w:t>i</w:t>
      </w:r>
      <w:r>
        <w:t>ca.</w:t>
      </w:r>
    </w:p>
    <w:p w:rsidR="00224567" w:rsidRDefault="00224567">
      <w:pPr>
        <w:pStyle w:val="Textoindependiente"/>
        <w:tabs>
          <w:tab w:val="clear" w:pos="2040"/>
        </w:tabs>
        <w:spacing w:line="600" w:lineRule="auto"/>
      </w:pPr>
      <w:r>
        <w:tab/>
        <w:t>Al respecto, sostuvo que en el caso existió una estrategia diseñada y sugerida por el Dr. Cúneo Libar</w:t>
      </w:r>
      <w:r>
        <w:t>o</w:t>
      </w:r>
      <w:r>
        <w:t>na, quien por entonces ejercía la defensa de Ribelli, y que éste último tomó conocimiento del conten</w:t>
      </w:r>
      <w:r>
        <w:t>i</w:t>
      </w:r>
      <w:r>
        <w:t>do del video en la entrevista que instantes antes mantuvo con su letr</w:t>
      </w:r>
      <w:r>
        <w:t>a</w:t>
      </w:r>
      <w:r>
        <w:t>do.</w:t>
      </w:r>
    </w:p>
    <w:p w:rsidR="00224567" w:rsidRDefault="00224567">
      <w:pPr>
        <w:pStyle w:val="Textoindependiente"/>
        <w:tabs>
          <w:tab w:val="clear" w:pos="2040"/>
        </w:tabs>
        <w:spacing w:line="600" w:lineRule="auto"/>
      </w:pPr>
      <w:r>
        <w:tab/>
        <w:t xml:space="preserve">La asistencia técnica trajo también a colación la jurisprudencia de </w:t>
      </w:r>
      <w:smartTag w:uri="urn:schemas-microsoft-com:office:smarttags" w:element="PersonName">
        <w:smartTagPr>
          <w:attr w:name="ProductID" w:val="la Suprema Corte"/>
        </w:smartTagPr>
        <w:r>
          <w:t>la Suprema Corte</w:t>
        </w:r>
      </w:smartTag>
      <w:r>
        <w:t xml:space="preserve"> de </w:t>
      </w:r>
      <w:smartTag w:uri="urn:schemas-microsoft-com:office:smarttags" w:element="PersonName">
        <w:smartTagPr>
          <w:attr w:name="ProductID" w:val="la Provincia"/>
        </w:smartTagPr>
        <w:r>
          <w:t>la Pr</w:t>
        </w:r>
        <w:r>
          <w:t>o</w:t>
        </w:r>
        <w:r>
          <w:t>vincia</w:t>
        </w:r>
      </w:smartTag>
      <w:r>
        <w:t xml:space="preserve"> de Buenos Aires, que sostiene que la legítima defe</w:t>
      </w:r>
      <w:r>
        <w:t>n</w:t>
      </w:r>
      <w:r>
        <w:t>sa obedece a la necesidad de la preservación del sistema, de modo tal que, si la agresión ilegítima, a</w:t>
      </w:r>
      <w:r>
        <w:t>c</w:t>
      </w:r>
      <w:r>
        <w:t>tual o futura, oc</w:t>
      </w:r>
      <w:r>
        <w:t>a</w:t>
      </w:r>
      <w:r>
        <w:t>sionaba un peligro presente de daño a un bien jurídico, la nota actual de peligrosidad para un derecho caracteriz</w:t>
      </w:r>
      <w:r>
        <w:t>a</w:t>
      </w:r>
      <w:r>
        <w:t>ba la agresión, que habilitaba la defensa.</w:t>
      </w:r>
    </w:p>
    <w:p w:rsidR="00224567" w:rsidRDefault="00224567">
      <w:pPr>
        <w:pStyle w:val="Textoindependiente"/>
        <w:tabs>
          <w:tab w:val="clear" w:pos="2040"/>
        </w:tabs>
        <w:spacing w:line="600" w:lineRule="auto"/>
      </w:pPr>
      <w:r>
        <w:tab/>
        <w:t>En razón de ello, sostuvo que la ex</w:t>
      </w:r>
      <w:r>
        <w:t>i</w:t>
      </w:r>
      <w:r>
        <w:t>gencia del acomet</w:t>
      </w:r>
      <w:r>
        <w:t>i</w:t>
      </w:r>
      <w:r>
        <w:t>miento traído por la querella alude a un sistema que funcionaba en España donde sólo un acto de agresión física puede ser repelido a través de la legít</w:t>
      </w:r>
      <w:r>
        <w:t>i</w:t>
      </w:r>
      <w:r>
        <w:t>ma defensa; sistema distinto al nacional, en el cual la leg</w:t>
      </w:r>
      <w:r>
        <w:t>í</w:t>
      </w:r>
      <w:r>
        <w:t>tima defensa se encuentra habilitada para resguardar cua</w:t>
      </w:r>
      <w:r>
        <w:t>l</w:t>
      </w:r>
      <w:r>
        <w:t>quier bien jurídico, sin necesidad de que exista al mismo tie</w:t>
      </w:r>
      <w:r>
        <w:t>m</w:t>
      </w:r>
      <w:r>
        <w:t>po una agresión personal.</w:t>
      </w:r>
    </w:p>
    <w:p w:rsidR="00224567" w:rsidRDefault="00224567">
      <w:pPr>
        <w:pStyle w:val="Textoindependiente"/>
        <w:tabs>
          <w:tab w:val="clear" w:pos="2040"/>
        </w:tabs>
        <w:spacing w:line="600" w:lineRule="auto"/>
      </w:pPr>
      <w:r>
        <w:tab/>
        <w:t>Por lo tanto, calificó como un acto de agresión formidable el hecho de estar preso en virtud de una causa armada y a disposición del juez que había autor</w:t>
      </w:r>
      <w:r>
        <w:t>i</w:t>
      </w:r>
      <w:r>
        <w:t>zado ese armado.</w:t>
      </w:r>
    </w:p>
    <w:p w:rsidR="00224567" w:rsidRDefault="00224567">
      <w:pPr>
        <w:pStyle w:val="Textoindependiente"/>
        <w:tabs>
          <w:tab w:val="clear" w:pos="2040"/>
        </w:tabs>
        <w:spacing w:line="600" w:lineRule="auto"/>
      </w:pPr>
      <w:r>
        <w:tab/>
        <w:t>Refutó también que Ribelli hubiera c</w:t>
      </w:r>
      <w:r>
        <w:t>o</w:t>
      </w:r>
      <w:r>
        <w:t>nocido del video varios días antes de entregá</w:t>
      </w:r>
      <w:r>
        <w:t>r</w:t>
      </w:r>
      <w:r>
        <w:t>selo al juez, con lo que se pretendía negar el requisito de a</w:t>
      </w:r>
      <w:r>
        <w:t>c</w:t>
      </w:r>
      <w:r>
        <w:t>tualidad o inm</w:t>
      </w:r>
      <w:r>
        <w:t>i</w:t>
      </w:r>
      <w:r>
        <w:t>nencia de la agresión, previsto en el inc. b), del art. 34 del Código Penal. Explicó, siguiendo a Pessoa, que el requisito de inmediatez y n</w:t>
      </w:r>
      <w:r>
        <w:t>e</w:t>
      </w:r>
      <w:r>
        <w:t>cesidad de la agresión no podía minimizarse, debiéndose estar al tiempo en que su d</w:t>
      </w:r>
      <w:r>
        <w:t>e</w:t>
      </w:r>
      <w:r>
        <w:t>fendido se anotició del contenido de la filmación, lo que ocurrió en los instantes previos a la entrevista con el m</w:t>
      </w:r>
      <w:r>
        <w:t>a</w:t>
      </w:r>
      <w:r>
        <w:t>gistrado. Recalcó que su asistido, simplemente, eligió a</w:t>
      </w:r>
      <w:r>
        <w:t>c</w:t>
      </w:r>
      <w:r>
        <w:t>tuar como lo hizo, interrogándose acerca de cómo una persona le podía poner límites a un juez que lo había d</w:t>
      </w:r>
      <w:r>
        <w:t>e</w:t>
      </w:r>
      <w:r>
        <w:t>tenido en una causa por la que podría ser condenado a la pena de prisión perp</w:t>
      </w:r>
      <w:r>
        <w:t>e</w:t>
      </w:r>
      <w:r>
        <w:t>tua.</w:t>
      </w:r>
    </w:p>
    <w:p w:rsidR="00224567" w:rsidRDefault="00224567">
      <w:pPr>
        <w:pStyle w:val="Textoindependiente"/>
        <w:spacing w:line="600" w:lineRule="auto"/>
      </w:pPr>
      <w:r>
        <w:tab/>
      </w:r>
      <w:r>
        <w:tab/>
        <w:t>Luego, el letrado estimó que, en real</w:t>
      </w:r>
      <w:r>
        <w:t>i</w:t>
      </w:r>
      <w:r>
        <w:t>dad, fue el magistrado quien se defendió de la vide</w:t>
      </w:r>
      <w:r>
        <w:t>o</w:t>
      </w:r>
      <w:r>
        <w:t>cinta, al convocar de inmediato –una vez conocido su co</w:t>
      </w:r>
      <w:r>
        <w:t>n</w:t>
      </w:r>
      <w:r>
        <w:t xml:space="preserve">tenido- a los miembros de la comisión bicameral, de </w:t>
      </w:r>
      <w:smartTag w:uri="urn:schemas-microsoft-com:office:smarttags" w:element="PersonName">
        <w:smartTagPr>
          <w:attr w:name="ProductID" w:val="la A.M"/>
        </w:smartTagPr>
        <w:r>
          <w:t>la A.M</w:t>
        </w:r>
      </w:smartTag>
      <w:r>
        <w:t>.I.A. y D.A.I.A. y a los medios de comunicación, en procura de ne</w:t>
      </w:r>
      <w:r>
        <w:t>u</w:t>
      </w:r>
      <w:r>
        <w:t>tralizar un pr</w:t>
      </w:r>
      <w:r>
        <w:t>o</w:t>
      </w:r>
      <w:r>
        <w:t>ceder delictivo.</w:t>
      </w:r>
    </w:p>
    <w:p w:rsidR="00224567" w:rsidRDefault="00224567">
      <w:pPr>
        <w:pStyle w:val="Textoindependiente"/>
        <w:spacing w:line="600" w:lineRule="auto"/>
      </w:pPr>
      <w:r>
        <w:tab/>
      </w:r>
      <w:r>
        <w:tab/>
        <w:t>Tras señalar, nuevamente con cita de Pessoa, la procedencia de la legítima defensa contra los actos il</w:t>
      </w:r>
      <w:r>
        <w:t>e</w:t>
      </w:r>
      <w:r>
        <w:t>gales de los funcionarios estatales, hubiesen sido dictados por la propia decisión del funcionario o por un inferior en cumplimiento de obediencia debida, el Dr. Ube</w:t>
      </w:r>
      <w:r>
        <w:t>i</w:t>
      </w:r>
      <w:r>
        <w:t>ra entendió que el magistrado federal actuó ilegalmente por propia voluntad, incrementando ello la necesidad de una respuesta al conocer la ilegalidad de su a</w:t>
      </w:r>
      <w:r>
        <w:t>c</w:t>
      </w:r>
      <w:r>
        <w:t>tuación.</w:t>
      </w:r>
    </w:p>
    <w:p w:rsidR="00224567" w:rsidRDefault="00224567">
      <w:pPr>
        <w:pStyle w:val="Textoindependiente"/>
        <w:spacing w:line="600" w:lineRule="auto"/>
      </w:pPr>
      <w:r>
        <w:tab/>
      </w:r>
      <w:r>
        <w:tab/>
        <w:t xml:space="preserve">En sostén de su postura, el defensor refirió al criterio adoptado por </w:t>
      </w:r>
      <w:smartTag w:uri="urn:schemas-microsoft-com:office:smarttags" w:element="PersonName">
        <w:smartTagPr>
          <w:attr w:name="ProductID" w:val="la Sala I"/>
        </w:smartTagPr>
        <w:r>
          <w:t>la Sala I</w:t>
        </w:r>
      </w:smartTag>
      <w:r>
        <w:t xml:space="preserve"> de </w:t>
      </w:r>
      <w:smartTag w:uri="urn:schemas-microsoft-com:office:smarttags" w:element="PersonName">
        <w:smartTagPr>
          <w:attr w:name="ProductID" w:val="la C￡mara Nacional"/>
        </w:smartTagPr>
        <w:r>
          <w:t>la Cámara N</w:t>
        </w:r>
        <w:r>
          <w:t>a</w:t>
        </w:r>
        <w:r>
          <w:t>cional</w:t>
        </w:r>
      </w:smartTag>
      <w:r>
        <w:t xml:space="preserve"> de Apelaciones en lo Criminal y Correccional de esta ciudad, al decidir el 30 de julio de </w:t>
      </w:r>
      <w:smartTag w:uri="urn:schemas-microsoft-com:office:smarttags" w:element="metricconverter">
        <w:smartTagPr>
          <w:attr w:name="ProductID" w:val="1999 in"/>
        </w:smartTagPr>
        <w:r>
          <w:t xml:space="preserve">1999 </w:t>
        </w:r>
        <w:r>
          <w:rPr>
            <w:u w:val="single"/>
          </w:rPr>
          <w:t>in</w:t>
        </w:r>
      </w:smartTag>
      <w:r>
        <w:rPr>
          <w:u w:val="single"/>
        </w:rPr>
        <w:t xml:space="preserve"> re</w:t>
      </w:r>
      <w:r>
        <w:t xml:space="preserve"> “Almada”, que admitió la invocación de la legítima defensa frente a los actos antijurídicos de funcionarios públicos en ejerc</w:t>
      </w:r>
      <w:r>
        <w:t>i</w:t>
      </w:r>
      <w:r>
        <w:t>cio de su cargo, al precisar que lo que exigía la ley a</w:t>
      </w:r>
      <w:r>
        <w:t>r</w:t>
      </w:r>
      <w:r>
        <w:t>gentina no era una conducta típica, sino que bastaba con una acción antijurídica.</w:t>
      </w:r>
    </w:p>
    <w:p w:rsidR="00224567" w:rsidRDefault="00224567">
      <w:pPr>
        <w:pStyle w:val="Textoindependiente"/>
        <w:spacing w:line="600" w:lineRule="auto"/>
      </w:pPr>
      <w:r>
        <w:tab/>
      </w:r>
      <w:r>
        <w:tab/>
        <w:t>Por otra parte, el Dr. Ubeira explicó que su asistido le entregó el video al juez, en quien aún confiaba, sin teorizar acerca de su contenido ni la forma en que se utilizaría, siendo su único propósito conocer c</w:t>
      </w:r>
      <w:r>
        <w:t>ó</w:t>
      </w:r>
      <w:r>
        <w:t>mo el juez arreglaba algo a sus espaldas; aclaró que, en cambio, Ribelli decidió no e</w:t>
      </w:r>
      <w:r>
        <w:t>n</w:t>
      </w:r>
      <w:r>
        <w:t>tregarle al juez la carta que le envió Solari, toda vez que ella llegó a sus manos con posterioridad al episodio del video, cuando la confia</w:t>
      </w:r>
      <w:r>
        <w:t>n</w:t>
      </w:r>
      <w:r>
        <w:t>za en el Dr. Galeano estaba qu</w:t>
      </w:r>
      <w:r>
        <w:t>e</w:t>
      </w:r>
      <w:r>
        <w:t>brada.</w:t>
      </w:r>
    </w:p>
    <w:p w:rsidR="00224567" w:rsidRDefault="00224567">
      <w:pPr>
        <w:pStyle w:val="Textoindependiente"/>
        <w:spacing w:line="600" w:lineRule="auto"/>
        <w:rPr>
          <w:b/>
        </w:rPr>
      </w:pPr>
      <w:r>
        <w:tab/>
      </w:r>
      <w:r>
        <w:tab/>
        <w:t>Finalmente, destacó que fue en esta instancia donde el Dr. Galeano, por primera vez, ante pr</w:t>
      </w:r>
      <w:r>
        <w:t>e</w:t>
      </w:r>
      <w:r>
        <w:t>guntas que le formuló el Tribunal, afirmó haberse sentido coaccionado por la actitud de R</w:t>
      </w:r>
      <w:r>
        <w:t>i</w:t>
      </w:r>
      <w:r>
        <w:t>belli.</w:t>
      </w:r>
    </w:p>
    <w:p w:rsidR="00224567" w:rsidRDefault="00224567">
      <w:pPr>
        <w:pStyle w:val="Textoindependiente2"/>
        <w:widowControl w:val="0"/>
        <w:rPr>
          <w:rFonts w:ascii="Courier New" w:hAnsi="Courier New" w:cs="Courier New"/>
          <w:lang w:val="es-ES_tradnl"/>
        </w:rPr>
      </w:pPr>
    </w:p>
    <w:p w:rsidR="00224567" w:rsidRDefault="00224567">
      <w:pPr>
        <w:pStyle w:val="Ttulo3"/>
        <w:keepNext w:val="0"/>
        <w:widowControl w:val="0"/>
      </w:pPr>
      <w:r>
        <w:t>D) Declaraciones indagatorias de Juan José Ribelli.</w:t>
      </w:r>
    </w:p>
    <w:p w:rsidR="00224567" w:rsidRDefault="00224567">
      <w:pPr>
        <w:pStyle w:val="Textoindependiente"/>
        <w:spacing w:line="600" w:lineRule="auto"/>
      </w:pPr>
      <w:r>
        <w:tab/>
      </w:r>
      <w:r>
        <w:tab/>
      </w:r>
      <w:r>
        <w:rPr>
          <w:b/>
          <w:bCs/>
        </w:rPr>
        <w:t>D.1)</w:t>
      </w:r>
      <w:r>
        <w:t xml:space="preserve"> Que, en la oportunidad prevista en el art. 378 del Código Procesal Penal de </w:t>
      </w:r>
      <w:smartTag w:uri="urn:schemas-microsoft-com:office:smarttags" w:element="PersonName">
        <w:smartTagPr>
          <w:attr w:name="ProductID" w:val="la Naci￳n"/>
        </w:smartTagPr>
        <w:r>
          <w:t>la Nación</w:t>
        </w:r>
      </w:smartTag>
      <w:r>
        <w:t>, Juan José Ribelli expresó su deseo de prestar declaración ind</w:t>
      </w:r>
      <w:r>
        <w:t>a</w:t>
      </w:r>
      <w:r>
        <w:t>gatoria, negá</w:t>
      </w:r>
      <w:r>
        <w:t>n</w:t>
      </w:r>
      <w:r>
        <w:t>dose a contestar preguntas.</w:t>
      </w:r>
    </w:p>
    <w:p w:rsidR="00224567" w:rsidRDefault="00224567">
      <w:pPr>
        <w:pStyle w:val="Textoindependiente"/>
        <w:spacing w:line="600" w:lineRule="auto"/>
      </w:pPr>
      <w:r>
        <w:tab/>
      </w:r>
      <w:r>
        <w:tab/>
        <w:t>El nombrado relató que el 24 de marzo de 1997 concurrió al juzgado del Dr. Galeano a fin de a</w:t>
      </w:r>
      <w:r>
        <w:t>m</w:t>
      </w:r>
      <w:r>
        <w:t>pliar su declaración indagatoria, expresándole en esa oc</w:t>
      </w:r>
      <w:r>
        <w:t>a</w:t>
      </w:r>
      <w:r>
        <w:t>sión su deseo de mantener una entrevista personal e info</w:t>
      </w:r>
      <w:r>
        <w:t>r</w:t>
      </w:r>
      <w:r>
        <w:t>mal con el magistrado para clarificar los hechos, debido a que éste no prese</w:t>
      </w:r>
      <w:r>
        <w:t>n</w:t>
      </w:r>
      <w:r>
        <w:t>ciaba sus declaraciones.</w:t>
      </w:r>
    </w:p>
    <w:p w:rsidR="00224567" w:rsidRDefault="00224567">
      <w:pPr>
        <w:pStyle w:val="Textoindependiente"/>
        <w:spacing w:line="600" w:lineRule="auto"/>
      </w:pPr>
      <w:r>
        <w:tab/>
      </w:r>
      <w:r>
        <w:tab/>
        <w:t>Manifestó que el juez no lo atendió aquél día, continuando su declaración al siguiente, en que compareció al juzgado provisto de los apuntes y carpetas que solía llevar. A dicha audiencia asistió, desde el inicio, el Dr. Juan Pablo Vigliero, mientras que el Dr. M</w:t>
      </w:r>
      <w:r>
        <w:t>a</w:t>
      </w:r>
      <w:r>
        <w:t>ri</w:t>
      </w:r>
      <w:r>
        <w:t>a</w:t>
      </w:r>
      <w:r>
        <w:t>no Cúneo Libarona llegó más tarde.</w:t>
      </w:r>
    </w:p>
    <w:p w:rsidR="00224567" w:rsidRDefault="00224567">
      <w:pPr>
        <w:pStyle w:val="Textoindependiente"/>
        <w:spacing w:line="600" w:lineRule="auto"/>
      </w:pPr>
      <w:r>
        <w:tab/>
      </w:r>
      <w:r>
        <w:tab/>
        <w:t>Refirió que en un tramo de su declar</w:t>
      </w:r>
      <w:r>
        <w:t>a</w:t>
      </w:r>
      <w:r>
        <w:t>ción, en momentos en que se encontraban presentes los fu</w:t>
      </w:r>
      <w:r>
        <w:t>n</w:t>
      </w:r>
      <w:r>
        <w:t>cionarios del juzgado, el Dr. Cúneo Libarona le entr</w:t>
      </w:r>
      <w:r>
        <w:t>e</w:t>
      </w:r>
      <w:r>
        <w:t>gó un paquete que, según se enteró después, contenía una vide</w:t>
      </w:r>
      <w:r>
        <w:t>o</w:t>
      </w:r>
      <w:r>
        <w:t>cinta. Al respecto, aclaró que en el penal podía ver film</w:t>
      </w:r>
      <w:r>
        <w:t>a</w:t>
      </w:r>
      <w:r>
        <w:t>ciones por cuanto se permitía tener video caseteras y si bien en aquél m</w:t>
      </w:r>
      <w:r>
        <w:t>o</w:t>
      </w:r>
      <w:r>
        <w:t>mento carecía de una propia, podía acceder a la de otros internos, tal como lo informó oportunamente el Servicio Penitenciario F</w:t>
      </w:r>
      <w:r>
        <w:t>e</w:t>
      </w:r>
      <w:r>
        <w:t>deral.</w:t>
      </w:r>
    </w:p>
    <w:p w:rsidR="00224567" w:rsidRDefault="00224567">
      <w:pPr>
        <w:pStyle w:val="Textoindependiente"/>
        <w:spacing w:line="600" w:lineRule="auto"/>
      </w:pPr>
      <w:r>
        <w:tab/>
      </w:r>
      <w:r>
        <w:tab/>
        <w:t>Ribelli destacó que en el contexto de</w:t>
      </w:r>
      <w:r>
        <w:t>s</w:t>
      </w:r>
      <w:r>
        <w:t>cripto su abogado le entregó el video, quien, según reco</w:t>
      </w:r>
      <w:r>
        <w:t>r</w:t>
      </w:r>
      <w:r>
        <w:t>dó, alcanzó a decirle “que intentara verlo porque estaban Galeano y Telleldín”.</w:t>
      </w:r>
    </w:p>
    <w:p w:rsidR="00224567" w:rsidRDefault="00224567">
      <w:pPr>
        <w:pStyle w:val="Textoindependiente"/>
        <w:spacing w:line="600" w:lineRule="auto"/>
      </w:pPr>
      <w:r>
        <w:tab/>
      </w:r>
      <w:r>
        <w:tab/>
        <w:t>Explicó el procesado que, posteriorme</w:t>
      </w:r>
      <w:r>
        <w:t>n</w:t>
      </w:r>
      <w:r>
        <w:t>te, continuó su declaración, retirándose el Dr. Cúneo Lib</w:t>
      </w:r>
      <w:r>
        <w:t>a</w:t>
      </w:r>
      <w:r>
        <w:t>rona una vez finalizada. En ese instante, una persona del juzgado le avisó que el juez lo esperaba, por lo que tomó sus pertenencias y se dirigió hacia un despacho, no pudie</w:t>
      </w:r>
      <w:r>
        <w:t>n</w:t>
      </w:r>
      <w:r>
        <w:t>do precisar si era el del Dr. Gale</w:t>
      </w:r>
      <w:r>
        <w:t>a</w:t>
      </w:r>
      <w:r>
        <w:t>no.</w:t>
      </w:r>
    </w:p>
    <w:p w:rsidR="00224567" w:rsidRDefault="00224567">
      <w:pPr>
        <w:pStyle w:val="Textoindependiente"/>
        <w:spacing w:line="600" w:lineRule="auto"/>
      </w:pPr>
      <w:r>
        <w:tab/>
      </w:r>
      <w:r>
        <w:tab/>
        <w:t>Recordó que al ingresar el magistrado se encontraba detrás de un escritorio; en el lado opuesto había una silla, en la que se sentó. Explicó que en esa oportunidad informó al juez acerca de todos los elementos que había aportado en su declaración i</w:t>
      </w:r>
      <w:r>
        <w:t>n</w:t>
      </w:r>
      <w:r>
        <w:t>dagatoria, como así también de las dudas que tenía con relación al tema de las celdas de los teléfonos celulares; tras ello, sintió que debía cumplir con el compromiso de colaborar que había as</w:t>
      </w:r>
      <w:r>
        <w:t>u</w:t>
      </w:r>
      <w:r>
        <w:t>mido oportunamente, por lo que le expresó que estaba i</w:t>
      </w:r>
      <w:r>
        <w:t>n</w:t>
      </w:r>
      <w:r>
        <w:t>teresado en demostrar que no estaba vinculado con la famosa Trafic ni con el atentado, como así tampoco con el resto de los polic</w:t>
      </w:r>
      <w:r>
        <w:t>í</w:t>
      </w:r>
      <w:r>
        <w:t>as imputados.</w:t>
      </w:r>
    </w:p>
    <w:p w:rsidR="00224567" w:rsidRDefault="00224567">
      <w:pPr>
        <w:pStyle w:val="Textoindependiente"/>
        <w:spacing w:line="600" w:lineRule="auto"/>
      </w:pPr>
      <w:r>
        <w:tab/>
      </w:r>
      <w:r>
        <w:tab/>
        <w:t>Por ese motivo, frente al Dr. Gale</w:t>
      </w:r>
      <w:r>
        <w:t>a</w:t>
      </w:r>
      <w:r>
        <w:t>no, proc</w:t>
      </w:r>
      <w:r>
        <w:t>e</w:t>
      </w:r>
      <w:r>
        <w:t>dió a retirar el envoltorio del video, a la vez que le dijo que había llegado a sus manos, aclara</w:t>
      </w:r>
      <w:r>
        <w:t>n</w:t>
      </w:r>
      <w:r>
        <w:t>do en este punto que, a lo sumo, pudo haber agregado “acá está usted y T</w:t>
      </w:r>
      <w:r>
        <w:t>e</w:t>
      </w:r>
      <w:r>
        <w:t>lleldín”.</w:t>
      </w:r>
    </w:p>
    <w:p w:rsidR="00224567" w:rsidRDefault="00224567">
      <w:pPr>
        <w:pStyle w:val="Textoindependiente"/>
        <w:spacing w:line="600" w:lineRule="auto"/>
      </w:pPr>
      <w:r>
        <w:tab/>
      </w:r>
      <w:r>
        <w:tab/>
        <w:t>Sostuvo que al deslizar el video s</w:t>
      </w:r>
      <w:r>
        <w:t>o</w:t>
      </w:r>
      <w:r>
        <w:t>bre el e</w:t>
      </w:r>
      <w:r>
        <w:t>s</w:t>
      </w:r>
      <w:r>
        <w:t>critorio, el juez Galeano se reclinó hacia atrás en su sillón, por lo cual consideró posible que el magistrado h</w:t>
      </w:r>
      <w:r>
        <w:t>a</w:t>
      </w:r>
      <w:r>
        <w:t>ya interpretado su actitud como una especie de agr</w:t>
      </w:r>
      <w:r>
        <w:t>e</w:t>
      </w:r>
      <w:r>
        <w:t>sión.</w:t>
      </w:r>
    </w:p>
    <w:p w:rsidR="00224567" w:rsidRDefault="00224567">
      <w:pPr>
        <w:pStyle w:val="Textoindependiente"/>
        <w:spacing w:line="600" w:lineRule="auto"/>
      </w:pPr>
      <w:r>
        <w:tab/>
      </w:r>
      <w:r>
        <w:tab/>
        <w:t>Admitió que el Dr. Galeano pudo haber preguntado en ese momento si no le tenía confianza; e</w:t>
      </w:r>
      <w:r>
        <w:t>x</w:t>
      </w:r>
      <w:r>
        <w:t>tremo que en su declaración indagatoria ante el juez Oyarbide quedó mal asentado, pues allí se consignó que fue el dice</w:t>
      </w:r>
      <w:r>
        <w:t>n</w:t>
      </w:r>
      <w:r>
        <w:t>te y no el magistrado quien había formulado esa pregunta.</w:t>
      </w:r>
    </w:p>
    <w:p w:rsidR="00224567" w:rsidRDefault="00224567">
      <w:pPr>
        <w:pStyle w:val="Textoindependiente"/>
        <w:spacing w:line="600" w:lineRule="auto"/>
      </w:pPr>
      <w:r>
        <w:tab/>
      </w:r>
      <w:r>
        <w:tab/>
        <w:t>Agregó que, ante ello, en forma volu</w:t>
      </w:r>
      <w:r>
        <w:t>n</w:t>
      </w:r>
      <w:r>
        <w:t>taria, entregó el video casete al juez, para luego retira</w:t>
      </w:r>
      <w:r>
        <w:t>r</w:t>
      </w:r>
      <w:r>
        <w:t>se.</w:t>
      </w:r>
    </w:p>
    <w:p w:rsidR="00224567" w:rsidRDefault="00224567">
      <w:pPr>
        <w:pStyle w:val="Textoindependiente"/>
        <w:spacing w:line="600" w:lineRule="auto"/>
      </w:pPr>
      <w:r>
        <w:tab/>
      </w:r>
      <w:r>
        <w:tab/>
        <w:t>Relató que al día siguiente, el Dr. C</w:t>
      </w:r>
      <w:r>
        <w:t>ú</w:t>
      </w:r>
      <w:r>
        <w:t>neo Libarona lo visitó en la unidad carcelaria, pregu</w:t>
      </w:r>
      <w:r>
        <w:t>n</w:t>
      </w:r>
      <w:r>
        <w:t>tando si había visto el contenido de la cinta; al comentarle su proceder de la jornada anterior, su letrado dijo que aver</w:t>
      </w:r>
      <w:r>
        <w:t>i</w:t>
      </w:r>
      <w:r>
        <w:t>guaría si en el expediente se había dejado con</w:t>
      </w:r>
      <w:r>
        <w:t>s</w:t>
      </w:r>
      <w:r>
        <w:t>tancia de la entrega.</w:t>
      </w:r>
    </w:p>
    <w:p w:rsidR="00224567" w:rsidRDefault="00224567">
      <w:pPr>
        <w:pStyle w:val="Textoindependiente"/>
        <w:spacing w:line="600" w:lineRule="auto"/>
      </w:pPr>
      <w:r>
        <w:tab/>
      </w:r>
      <w:r>
        <w:tab/>
        <w:t>Refirió que, posteriormente, el Dr. C</w:t>
      </w:r>
      <w:r>
        <w:t>ú</w:t>
      </w:r>
      <w:r>
        <w:t>neo Libarona le informó que en el expediente no se había dejado constancia alguna; también que habían comenzado a surgir rumores en el sentido que lo detendr</w:t>
      </w:r>
      <w:r>
        <w:t>í</w:t>
      </w:r>
      <w:r>
        <w:t>an por el robo de la videocinta, y que le estaban preparando una “cama”. Est</w:t>
      </w:r>
      <w:r>
        <w:t>i</w:t>
      </w:r>
      <w:r>
        <w:t>mó que ello determinó al Dr. Cúneo Libarona a recurrir a los medios periodísticos para lograr apoyo frente a las medidas que se podían dictar, destinadas a desviar la ate</w:t>
      </w:r>
      <w:r>
        <w:t>n</w:t>
      </w:r>
      <w:r>
        <w:t>ción y a que no se hablara del contenido de la filmación; maniobra que, a su juicio, se logró por cuanto se comentó más la detención y la extorsión al juez Galeano que del v</w:t>
      </w:r>
      <w:r>
        <w:t>i</w:t>
      </w:r>
      <w:r>
        <w:t>deo.</w:t>
      </w:r>
    </w:p>
    <w:p w:rsidR="00224567" w:rsidRDefault="00224567">
      <w:pPr>
        <w:pStyle w:val="Textoindependiente"/>
        <w:spacing w:line="600" w:lineRule="auto"/>
      </w:pPr>
      <w:r>
        <w:tab/>
      </w:r>
      <w:r>
        <w:tab/>
        <w:t>Asimismo, negó rotundamente haber e</w:t>
      </w:r>
      <w:r>
        <w:t>x</w:t>
      </w:r>
      <w:r>
        <w:t>torsionado, amenazado o coaccionado al Dr. Galeano, desmi</w:t>
      </w:r>
      <w:r>
        <w:t>n</w:t>
      </w:r>
      <w:r>
        <w:t>tiendo con igual fuerza las palabras de éste cuando, al r</w:t>
      </w:r>
      <w:r>
        <w:t>e</w:t>
      </w:r>
      <w:r>
        <w:t>latar la situación, sostuvo que había d</w:t>
      </w:r>
      <w:r>
        <w:t>i</w:t>
      </w:r>
      <w:r>
        <w:t>cho que el video le quemaba las manos y que estaba desesperado; quienes lo c</w:t>
      </w:r>
      <w:r>
        <w:t>o</w:t>
      </w:r>
      <w:r>
        <w:t>nocen, explicó, saben que jamás se arrod</w:t>
      </w:r>
      <w:r>
        <w:t>i</w:t>
      </w:r>
      <w:r>
        <w:t>llaría ante nadie ni diría que se hallaba desesperado, a pesar de que int</w:t>
      </w:r>
      <w:r>
        <w:t>e</w:t>
      </w:r>
      <w:r>
        <w:t>riormente pudiese estar muriendo.</w:t>
      </w:r>
    </w:p>
    <w:p w:rsidR="00224567" w:rsidRDefault="00224567">
      <w:pPr>
        <w:pStyle w:val="Textoindependiente"/>
        <w:spacing w:line="600" w:lineRule="auto"/>
      </w:pPr>
      <w:r>
        <w:tab/>
      </w:r>
      <w:r>
        <w:tab/>
        <w:t>R</w:t>
      </w:r>
      <w:r>
        <w:t>e</w:t>
      </w:r>
      <w:r>
        <w:t>iteró, en ese orden, que ante el más mínimo vestigio de amenaza, el juez federal Gale</w:t>
      </w:r>
      <w:r>
        <w:t>a</w:t>
      </w:r>
      <w:r>
        <w:t>no, por su calidad de tal, hubiera podido labrar el acta correspo</w:t>
      </w:r>
      <w:r>
        <w:t>n</w:t>
      </w:r>
      <w:r>
        <w:t>diente, que no confeccionó, o bien llamar al custodio del Servicio Penitenciario, que no llamó. Entendió que esas omisiones demostraban que el magistrado no se sintió amen</w:t>
      </w:r>
      <w:r>
        <w:t>a</w:t>
      </w:r>
      <w:r>
        <w:t>zado, coaccionado, o presion</w:t>
      </w:r>
      <w:r>
        <w:t>a</w:t>
      </w:r>
      <w:r>
        <w:t>do; ni siquiera después de ver la ci</w:t>
      </w:r>
      <w:r>
        <w:t>n</w:t>
      </w:r>
      <w:r>
        <w:t>ta.</w:t>
      </w:r>
    </w:p>
    <w:p w:rsidR="00224567" w:rsidRDefault="00224567">
      <w:pPr>
        <w:pStyle w:val="Textoindependiente"/>
        <w:spacing w:line="600" w:lineRule="auto"/>
      </w:pPr>
      <w:r>
        <w:tab/>
      </w:r>
      <w:r>
        <w:tab/>
        <w:t>Precisó que entregó el video al Dr. G</w:t>
      </w:r>
      <w:r>
        <w:t>a</w:t>
      </w:r>
      <w:r>
        <w:t>leano el 25 de marzo de 1997 y éste, para justif</w:t>
      </w:r>
      <w:r>
        <w:t>i</w:t>
      </w:r>
      <w:r>
        <w:t>car días, labró un sumario administrativo, donde prestaron declar</w:t>
      </w:r>
      <w:r>
        <w:t>a</w:t>
      </w:r>
      <w:r>
        <w:t>ción los empleados del juzgado; recién el 31 de marzo de ese año formuló denuncia ante la cámara de apelaciones, que no motivó en la extorsión, omitiendo t</w:t>
      </w:r>
      <w:r>
        <w:t>o</w:t>
      </w:r>
      <w:r>
        <w:t>da manifestación en ese sentido, sino en la sustracción o faltante de un vide</w:t>
      </w:r>
      <w:r>
        <w:t>o</w:t>
      </w:r>
      <w:r>
        <w:t>cas</w:t>
      </w:r>
      <w:r>
        <w:t>e</w:t>
      </w:r>
      <w:r>
        <w:t>te del juzgado.</w:t>
      </w:r>
    </w:p>
    <w:p w:rsidR="00224567" w:rsidRDefault="00224567">
      <w:pPr>
        <w:pStyle w:val="Textoindependiente"/>
        <w:spacing w:line="600" w:lineRule="auto"/>
      </w:pPr>
      <w:r>
        <w:tab/>
      </w:r>
      <w:r>
        <w:tab/>
        <w:t>Manifestó Ribelli que, posteriorme</w:t>
      </w:r>
      <w:r>
        <w:t>n</w:t>
      </w:r>
      <w:r>
        <w:t>te, al trascender que el Dr. Galeano filmaba todas las entr</w:t>
      </w:r>
      <w:r>
        <w:t>e</w:t>
      </w:r>
      <w:r>
        <w:t>vistas, solicitó al juez Oyarbide que pidiera al Dr. G</w:t>
      </w:r>
      <w:r>
        <w:t>a</w:t>
      </w:r>
      <w:r>
        <w:t>leano la filmación de la suya, para demostrarle que jamás lo había extorsionado o amenazado, como así también para que indicase, concretamente, si se sintió amenazado, coa</w:t>
      </w:r>
      <w:r>
        <w:t>c</w:t>
      </w:r>
      <w:r>
        <w:t>cionado o presionado; interrogante que aquél nunca respo</w:t>
      </w:r>
      <w:r>
        <w:t>n</w:t>
      </w:r>
      <w:r>
        <w:t>dió en forma afirmativa.</w:t>
      </w:r>
    </w:p>
    <w:p w:rsidR="00224567" w:rsidRDefault="00224567">
      <w:pPr>
        <w:pStyle w:val="Textoindependiente"/>
        <w:spacing w:line="600" w:lineRule="auto"/>
      </w:pPr>
      <w:r>
        <w:tab/>
      </w:r>
      <w:r>
        <w:tab/>
        <w:t>Finalmente, señaló que el juez Gale</w:t>
      </w:r>
      <w:r>
        <w:t>a</w:t>
      </w:r>
      <w:r>
        <w:t>no, al ordenar la destrucción de todos los videos que t</w:t>
      </w:r>
      <w:r>
        <w:t>e</w:t>
      </w:r>
      <w:r>
        <w:t>nía en su poder le privó el acceso a elementos de desca</w:t>
      </w:r>
      <w:r>
        <w:t>r</w:t>
      </w:r>
      <w:r>
        <w:t>go.</w:t>
      </w:r>
    </w:p>
    <w:p w:rsidR="00224567" w:rsidRDefault="00224567">
      <w:pPr>
        <w:widowControl w:val="0"/>
      </w:pPr>
      <w:r>
        <w:tab/>
      </w:r>
      <w:r>
        <w:rPr>
          <w:b/>
          <w:bCs/>
        </w:rPr>
        <w:t xml:space="preserve">D.2) </w:t>
      </w:r>
      <w:r>
        <w:t>En virtud de que el encausado Juan José Ribelli se negó a contestar preguntas, se dio lectura de sus dichos vertidos ante el magistrado instru</w:t>
      </w:r>
      <w:r>
        <w:t>c</w:t>
      </w:r>
      <w:r>
        <w:t>tor, obrantes a fs. 366/375; ellos, en términos gen</w:t>
      </w:r>
      <w:r>
        <w:t>e</w:t>
      </w:r>
      <w:r>
        <w:t>rales, guardan similitud con los que expresara en el d</w:t>
      </w:r>
      <w:r>
        <w:t>e</w:t>
      </w:r>
      <w:r>
        <w:t>bate.</w:t>
      </w:r>
    </w:p>
    <w:p w:rsidR="00224567" w:rsidRDefault="00224567">
      <w:pPr>
        <w:widowControl w:val="0"/>
      </w:pPr>
      <w:r>
        <w:tab/>
        <w:t>En dicha oportunidad, Ribelli destacó que pidió al magistrado que no confundiera su accionar y que si el acto iba a ser mal entendido, que lo di</w:t>
      </w:r>
      <w:r>
        <w:t>s</w:t>
      </w:r>
      <w:r>
        <w:t>culpara y que prefería llevarse el videocasete; lo tomó nuevame</w:t>
      </w:r>
      <w:r>
        <w:t>n</w:t>
      </w:r>
      <w:r>
        <w:t>te, guardándolo en su bolsa.</w:t>
      </w:r>
    </w:p>
    <w:p w:rsidR="00224567" w:rsidRDefault="00224567">
      <w:pPr>
        <w:widowControl w:val="0"/>
      </w:pPr>
      <w:r>
        <w:tab/>
        <w:t>También, explicó que no aportó la v</w:t>
      </w:r>
      <w:r>
        <w:t>i</w:t>
      </w:r>
      <w:r>
        <w:t>deocinta durante su declaración indagatoria porque en un primer momento pensó verla en la unidad donde se encontr</w:t>
      </w:r>
      <w:r>
        <w:t>a</w:t>
      </w:r>
      <w:r>
        <w:t>ba detenido, pero que luego, durante la entrevi</w:t>
      </w:r>
      <w:r>
        <w:t>s</w:t>
      </w:r>
      <w:r>
        <w:t>ta con el juez, decidió entr</w:t>
      </w:r>
      <w:r>
        <w:t>e</w:t>
      </w:r>
      <w:r>
        <w:t>gársela.</w:t>
      </w:r>
    </w:p>
    <w:p w:rsidR="00224567" w:rsidRDefault="00224567">
      <w:pPr>
        <w:widowControl w:val="0"/>
      </w:pPr>
      <w:r>
        <w:tab/>
        <w:t>Por último, relató que en aquella oc</w:t>
      </w:r>
      <w:r>
        <w:t>a</w:t>
      </w:r>
      <w:r>
        <w:t>sión preguntó a su letrado de confianza acerca del cont</w:t>
      </w:r>
      <w:r>
        <w:t>e</w:t>
      </w:r>
      <w:r>
        <w:t>nido de la filmación, respondiendo que debía est</w:t>
      </w:r>
      <w:r>
        <w:t>u</w:t>
      </w:r>
      <w:r>
        <w:t>diarlo a fondo para tener una idea acabada, i</w:t>
      </w:r>
      <w:r>
        <w:t>n</w:t>
      </w:r>
      <w:r>
        <w:t>dicando tan solo que se trataba de una entrevista entre el juez y otra persona que podría ser Telleldín; dedujo por ello que su d</w:t>
      </w:r>
      <w:r>
        <w:t>e</w:t>
      </w:r>
      <w:r>
        <w:t>fensor tenía una copia de la cinta.</w:t>
      </w:r>
    </w:p>
    <w:p w:rsidR="00224567" w:rsidRDefault="00224567">
      <w:pPr>
        <w:widowControl w:val="0"/>
      </w:pPr>
    </w:p>
    <w:p w:rsidR="00224567" w:rsidRDefault="00224567">
      <w:pPr>
        <w:pStyle w:val="Ttulo2"/>
        <w:keepNext w:val="0"/>
        <w:widowControl w:val="0"/>
      </w:pPr>
      <w:r>
        <w:t>CAPÍTULO II</w:t>
      </w:r>
    </w:p>
    <w:p w:rsidR="00224567" w:rsidRDefault="00224567">
      <w:pPr>
        <w:pStyle w:val="Textoindependiente"/>
        <w:spacing w:line="600" w:lineRule="auto"/>
      </w:pPr>
    </w:p>
    <w:p w:rsidR="00224567" w:rsidRDefault="00224567">
      <w:pPr>
        <w:pStyle w:val="Textoindependiente"/>
        <w:spacing w:line="600" w:lineRule="auto"/>
      </w:pPr>
      <w:r>
        <w:tab/>
      </w:r>
      <w:r>
        <w:tab/>
      </w:r>
      <w:r>
        <w:rPr>
          <w:b/>
          <w:bCs/>
        </w:rPr>
        <w:t xml:space="preserve">A) </w:t>
      </w:r>
      <w:r>
        <w:t>La prueba producida en el debate, con más la incorp</w:t>
      </w:r>
      <w:r>
        <w:t>o</w:t>
      </w:r>
      <w:r>
        <w:t xml:space="preserve">rada por lectura, de conformidad con los arts. 391 y 392 del Código Procesal Penal de </w:t>
      </w:r>
      <w:smartTag w:uri="urn:schemas-microsoft-com:office:smarttags" w:element="PersonName">
        <w:smartTagPr>
          <w:attr w:name="ProductID" w:val="la Naci￳n"/>
        </w:smartTagPr>
        <w:r>
          <w:t>la Nación</w:t>
        </w:r>
      </w:smartTag>
      <w:r>
        <w:t>, v</w:t>
      </w:r>
      <w:r>
        <w:t>a</w:t>
      </w:r>
      <w:r>
        <w:t>lorada acorde con las reglas de la sana crítica, acreditó plen</w:t>
      </w:r>
      <w:r>
        <w:t>a</w:t>
      </w:r>
      <w:r>
        <w:t>mente que el 25 de marzo de 1997 Juan José Ribelli, en una entrevista que mantuvo a solas con el juez federal Juan José Galeano, le entregó una cinta de video, explicándole que ese material había llegado a sus manos.</w:t>
      </w:r>
    </w:p>
    <w:p w:rsidR="00224567" w:rsidRDefault="00224567">
      <w:pPr>
        <w:pStyle w:val="Textoindependiente"/>
        <w:spacing w:line="600" w:lineRule="auto"/>
      </w:pPr>
      <w:r>
        <w:tab/>
      </w:r>
      <w:r>
        <w:tab/>
        <w:t>También se determinó que dicho encue</w:t>
      </w:r>
      <w:r>
        <w:t>n</w:t>
      </w:r>
      <w:r>
        <w:t>tro se llevó a cabo en dependencias del Juzgado N</w:t>
      </w:r>
      <w:r>
        <w:t>a</w:t>
      </w:r>
      <w:r>
        <w:t>cional en lo Criminal y Correccional Federal nº 9 de esta ciudad, una vez que Ribelli concluyó, en el marco de la causa nº 1598, una ampliación de su declaración indagatoria. As</w:t>
      </w:r>
      <w:r>
        <w:t>i</w:t>
      </w:r>
      <w:r>
        <w:t>mismo que el video, que luego el juez reprodujo en compañía de sus secretarios Velasco y De Gamas Soler, era copia de una fi</w:t>
      </w:r>
      <w:r>
        <w:t>l</w:t>
      </w:r>
      <w:r>
        <w:t>mación efectuada en ese juzgado el 1º de julio de 1996, en ocasión de entrevistarse el Dr. Juan José Galeano con el imputado Carlos Alberto Telleldín.</w:t>
      </w:r>
    </w:p>
    <w:p w:rsidR="00224567" w:rsidRDefault="00224567">
      <w:pPr>
        <w:pStyle w:val="Textoindependiente"/>
        <w:spacing w:line="600" w:lineRule="auto"/>
      </w:pPr>
      <w:r>
        <w:tab/>
      </w:r>
      <w:r>
        <w:tab/>
        <w:t>La cinta, que fue materia de análisis en apartados anteriores, da cuenta de un diálogo entre el juez Galeano y Telleldín, en presencia del Dr. De Gamas S</w:t>
      </w:r>
      <w:r>
        <w:t>o</w:t>
      </w:r>
      <w:r>
        <w:t>ler, en cuyo transcurso, bajo el disfraz de una supuesta compra de d</w:t>
      </w:r>
      <w:r>
        <w:t>e</w:t>
      </w:r>
      <w:r>
        <w:t xml:space="preserve">rechos de autor de un libro acerca del atentado a </w:t>
      </w:r>
      <w:smartTag w:uri="urn:schemas-microsoft-com:office:smarttags" w:element="PersonName">
        <w:smartTagPr>
          <w:attr w:name="ProductID" w:val="la A.M"/>
        </w:smartTagPr>
        <w:r>
          <w:t>la A.M</w:t>
        </w:r>
      </w:smartTag>
      <w:r>
        <w:t>.I.A., el magistrado intenta acordar con el imp</w:t>
      </w:r>
      <w:r>
        <w:t>u</w:t>
      </w:r>
      <w:r>
        <w:t>tado una declaración a cambio de una suma de dinero, como así ta</w:t>
      </w:r>
      <w:r>
        <w:t>m</w:t>
      </w:r>
      <w:r>
        <w:t>bién la forma de pago.</w:t>
      </w:r>
    </w:p>
    <w:p w:rsidR="00224567" w:rsidRDefault="00224567">
      <w:pPr>
        <w:pStyle w:val="Textoindependiente"/>
        <w:spacing w:line="600" w:lineRule="auto"/>
      </w:pPr>
      <w:r>
        <w:tab/>
      </w:r>
      <w:r>
        <w:tab/>
        <w:t>Asimismo, se comprobó de manera feh</w:t>
      </w:r>
      <w:r>
        <w:t>a</w:t>
      </w:r>
      <w:r>
        <w:t>ciente que Juan José Ribelli recibió el video en cue</w:t>
      </w:r>
      <w:r>
        <w:t>s</w:t>
      </w:r>
      <w:r>
        <w:t>tión, envuelto en papel, de manos de su entonces defe</w:t>
      </w:r>
      <w:r>
        <w:t>n</w:t>
      </w:r>
      <w:r>
        <w:t>sor, el Dr. Mariano Cúneo Libarona, durante el transcurso de la menci</w:t>
      </w:r>
      <w:r>
        <w:t>o</w:t>
      </w:r>
      <w:r>
        <w:t>nada ampliación de ind</w:t>
      </w:r>
      <w:r>
        <w:t>a</w:t>
      </w:r>
      <w:r>
        <w:t>gatoria.</w:t>
      </w:r>
    </w:p>
    <w:p w:rsidR="00224567" w:rsidRDefault="00224567">
      <w:pPr>
        <w:pStyle w:val="Textoindependiente"/>
        <w:spacing w:line="600" w:lineRule="auto"/>
      </w:pPr>
      <w:r>
        <w:tab/>
      </w:r>
      <w:r>
        <w:tab/>
        <w:t>Los extremos arriba enunciados no fu</w:t>
      </w:r>
      <w:r>
        <w:t>e</w:t>
      </w:r>
      <w:r>
        <w:t>ron materia de controve</w:t>
      </w:r>
      <w:r>
        <w:t>r</w:t>
      </w:r>
      <w:r>
        <w:t>sia, siendo admitidos tanto por los representantes de la querella, del Ministerio Público Fi</w:t>
      </w:r>
      <w:r>
        <w:t>s</w:t>
      </w:r>
      <w:r>
        <w:t>cal como por la d</w:t>
      </w:r>
      <w:r>
        <w:t>e</w:t>
      </w:r>
      <w:r>
        <w:t>fensa del imputado.</w:t>
      </w:r>
    </w:p>
    <w:p w:rsidR="00224567" w:rsidRDefault="00224567">
      <w:pPr>
        <w:pStyle w:val="Textoindependiente"/>
        <w:spacing w:line="600" w:lineRule="auto"/>
      </w:pPr>
      <w:r>
        <w:tab/>
      </w:r>
      <w:r>
        <w:tab/>
        <w:t>En ese sentido, los funcionarios y e</w:t>
      </w:r>
      <w:r>
        <w:t>m</w:t>
      </w:r>
      <w:r>
        <w:t>pleados del Juzgado Nacional en lo Criminal y Corre</w:t>
      </w:r>
      <w:r>
        <w:t>c</w:t>
      </w:r>
      <w:r>
        <w:t>cional Federal nº 9 que depusieron en el debate -María Susana Sp</w:t>
      </w:r>
      <w:r>
        <w:t>i</w:t>
      </w:r>
      <w:r>
        <w:t>na, José Mariano Fernando Pereyra, Graciela Susana Burzomi, Agustín Cri</w:t>
      </w:r>
      <w:r>
        <w:t>s</w:t>
      </w:r>
      <w:r>
        <w:t>tian Gamboa, Claudio Adrián Lifschitz y Roberto Dios- afirmaron haber tomado  con</w:t>
      </w:r>
      <w:r>
        <w:t>o</w:t>
      </w:r>
      <w:r>
        <w:t>cimiento que luego de una entrevista que el juez Galeano mantuvo con R</w:t>
      </w:r>
      <w:r>
        <w:t>i</w:t>
      </w:r>
      <w:r>
        <w:t>belli, éste le entregó una videocinta.</w:t>
      </w:r>
    </w:p>
    <w:p w:rsidR="00224567" w:rsidRDefault="00224567">
      <w:pPr>
        <w:pStyle w:val="Textoindependiente"/>
        <w:spacing w:line="600" w:lineRule="auto"/>
      </w:pPr>
      <w:r>
        <w:tab/>
      </w:r>
      <w:r>
        <w:tab/>
        <w:t>Por su parte, los Dres. Carlos Alfr</w:t>
      </w:r>
      <w:r>
        <w:t>e</w:t>
      </w:r>
      <w:r>
        <w:t>do Velasco y Javier Ignacio De Gamas Soler precisaron que, tras la entrega de la videocinta por parte de Ribelli, o</w:t>
      </w:r>
      <w:r>
        <w:t>b</w:t>
      </w:r>
      <w:r>
        <w:t>servaron su contenido junto al Dr. G</w:t>
      </w:r>
      <w:r>
        <w:t>a</w:t>
      </w:r>
      <w:r>
        <w:t>leano, advirtiendo que se trataba de una copia de la filmación que el juzgado re</w:t>
      </w:r>
      <w:r>
        <w:t>a</w:t>
      </w:r>
      <w:r>
        <w:t>lizara de la entrevista celebrada el 1º de julio de 1996 entre dicho magistrado y el detenido Carlos Alberto Telle</w:t>
      </w:r>
      <w:r>
        <w:t>l</w:t>
      </w:r>
      <w:r>
        <w:t>dín, de la que se obtuvieron dos ejemplares, uno de los cuales se etiquetó como “original” y otro como “c</w:t>
      </w:r>
      <w:r>
        <w:t>o</w:t>
      </w:r>
      <w:r>
        <w:t>pia”.</w:t>
      </w:r>
    </w:p>
    <w:p w:rsidR="00224567" w:rsidRDefault="00224567">
      <w:pPr>
        <w:pStyle w:val="Textoindependiente"/>
        <w:spacing w:line="600" w:lineRule="auto"/>
      </w:pPr>
      <w:r>
        <w:tab/>
      </w:r>
      <w:r>
        <w:tab/>
        <w:t xml:space="preserve">Los actuarios explicaron, además, que de inmediato se dispuso la revisión de la caja fuerte de </w:t>
      </w:r>
      <w:smartTag w:uri="urn:schemas-microsoft-com:office:smarttags" w:element="PersonName">
        <w:smartTagPr>
          <w:attr w:name="ProductID" w:val="la Secretar￭a"/>
        </w:smartTagPr>
        <w:r>
          <w:t>la Secretaría</w:t>
        </w:r>
      </w:smartTag>
      <w:r>
        <w:t xml:space="preserve"> nº 17, donde se guardaban -entre otros efectos- los videos obtenidos en la causa nº 1156, advirtiendo que la filmación de la mentada entrevista, rotulada como “or</w:t>
      </w:r>
      <w:r>
        <w:t>i</w:t>
      </w:r>
      <w:r>
        <w:t>ginal”, no se encontraba allí, ni en ninguna otra parte del juzgado; circunstancia de la que también da cuenta el acta suscripta por el Dr. Velasco a fs. 2/vta. del sumario adm</w:t>
      </w:r>
      <w:r>
        <w:t>i</w:t>
      </w:r>
      <w:r>
        <w:t>nistrativo ordenado por el juez.</w:t>
      </w:r>
    </w:p>
    <w:p w:rsidR="00224567" w:rsidRDefault="00224567">
      <w:pPr>
        <w:pStyle w:val="Textoindependiente"/>
        <w:spacing w:line="600" w:lineRule="auto"/>
      </w:pPr>
      <w:r>
        <w:tab/>
      </w:r>
      <w:r>
        <w:tab/>
        <w:t>El episodio relativo a la entrega de la videocinta a Ribelli fue narrado en forma concordante por los Dres. Mariano Cúneo Libarona y Juan Pablo Vigli</w:t>
      </w:r>
      <w:r>
        <w:t>e</w:t>
      </w:r>
      <w:r>
        <w:t>ro.</w:t>
      </w:r>
    </w:p>
    <w:p w:rsidR="00224567" w:rsidRDefault="00224567">
      <w:pPr>
        <w:pStyle w:val="Textoindependiente"/>
        <w:spacing w:line="600" w:lineRule="auto"/>
      </w:pPr>
      <w:r>
        <w:tab/>
      </w:r>
      <w:r>
        <w:tab/>
        <w:t>El primero afirmó que entregó el vide</w:t>
      </w:r>
      <w:r>
        <w:t>o</w:t>
      </w:r>
      <w:r>
        <w:t>casete a su asistido, envuelto en papel,  mientras  se  desarrollaba su ampliación de indagatoria, agregando que al visitarlo al día siguiente en la unidad de detención, Rib</w:t>
      </w:r>
      <w:r>
        <w:t>e</w:t>
      </w:r>
      <w:r>
        <w:t>lli le comentó que le había dado la cinta al Dr. G</w:t>
      </w:r>
      <w:r>
        <w:t>a</w:t>
      </w:r>
      <w:r>
        <w:t>leano.</w:t>
      </w:r>
    </w:p>
    <w:p w:rsidR="00224567" w:rsidRDefault="00224567">
      <w:pPr>
        <w:pStyle w:val="Textoindependiente"/>
        <w:spacing w:line="600" w:lineRule="auto"/>
      </w:pPr>
      <w:r>
        <w:tab/>
      </w:r>
      <w:r>
        <w:tab/>
        <w:t>Por su parte, el Dr. Vigliero fue co</w:t>
      </w:r>
      <w:r>
        <w:t>n</w:t>
      </w:r>
      <w:r>
        <w:t>teste con lo declarado por su colega al señalar que si bien no pudo observar el material que el Dr. Cúneo Libarona e</w:t>
      </w:r>
      <w:r>
        <w:t>n</w:t>
      </w:r>
      <w:r>
        <w:t>tregó a Ribelli, luego tomó conocimiento que se trataba de un video casete y que éste se lo había dado al juez G</w:t>
      </w:r>
      <w:r>
        <w:t>a</w:t>
      </w:r>
      <w:r>
        <w:t>leano durante una entrevista.</w:t>
      </w:r>
    </w:p>
    <w:p w:rsidR="00224567" w:rsidRDefault="00224567">
      <w:pPr>
        <w:pStyle w:val="Textoindependiente"/>
        <w:spacing w:line="600" w:lineRule="auto"/>
      </w:pPr>
      <w:r>
        <w:tab/>
      </w:r>
      <w:r>
        <w:tab/>
        <w:t>Además, la entrega de la videocinta al juez federal fue reconocida por Ribelli al prestar declar</w:t>
      </w:r>
      <w:r>
        <w:t>a</w:t>
      </w:r>
      <w:r>
        <w:t>ción indagatoria, en coincidencia con los informes elabor</w:t>
      </w:r>
      <w:r>
        <w:t>a</w:t>
      </w:r>
      <w:r>
        <w:t>dos por el Dr. Juan José Galeano, obrantes a fs. 246/248 y 753 de la presente causa, incorporados por lectura y con sus dichos vertidos en testimonial, mediante informe escr</w:t>
      </w:r>
      <w:r>
        <w:t>i</w:t>
      </w:r>
      <w:r>
        <w:t>to, glosado a fs. 117.624/117.626 de la ca</w:t>
      </w:r>
      <w:r>
        <w:t>u</w:t>
      </w:r>
      <w:r>
        <w:t>sa nº 487.</w:t>
      </w:r>
    </w:p>
    <w:p w:rsidR="00224567" w:rsidRDefault="00224567">
      <w:pPr>
        <w:pStyle w:val="Textoindependiente"/>
        <w:spacing w:line="600" w:lineRule="auto"/>
      </w:pPr>
      <w:r>
        <w:tab/>
      </w:r>
      <w:r>
        <w:tab/>
        <w:t>En cuanto a las circunstancias en las que llegó el video a manos del Dr. Cúneo Libarona, las pruebas producidas en el debate demostraron que fue remit</w:t>
      </w:r>
      <w:r>
        <w:t>i</w:t>
      </w:r>
      <w:r>
        <w:t>da vía postal, dentro de un sobre de papel madera, a un a</w:t>
      </w:r>
      <w:r>
        <w:t>n</w:t>
      </w:r>
      <w:r>
        <w:t>tiguo domicilio del encausado, sito en la calle Mont</w:t>
      </w:r>
      <w:r>
        <w:t>e</w:t>
      </w:r>
      <w:r>
        <w:t>video 66, piso 3° “D”, código postal nº 1842, de la loc</w:t>
      </w:r>
      <w:r>
        <w:t>a</w:t>
      </w:r>
      <w:r>
        <w:t>lidad de Lanús, Provincia de Buenos Aires, conforme surge del envo</w:t>
      </w:r>
      <w:r>
        <w:t>l</w:t>
      </w:r>
      <w:r>
        <w:t>torio reservado en secretaría e incorporado al debate m</w:t>
      </w:r>
      <w:r>
        <w:t>e</w:t>
      </w:r>
      <w:r>
        <w:t>diante su exhibición y del peritaje scopométrico al que fuera sometido (fs. 572/581), que concluye que los sellos que luce son originales y corresponden a la sucu</w:t>
      </w:r>
      <w:r>
        <w:t>r</w:t>
      </w:r>
      <w:r>
        <w:t>sal n° 44 de la empr</w:t>
      </w:r>
      <w:r>
        <w:t>e</w:t>
      </w:r>
      <w:r>
        <w:t>sa “Correo Argentino”.</w:t>
      </w:r>
    </w:p>
    <w:p w:rsidR="00224567" w:rsidRDefault="00224567">
      <w:pPr>
        <w:pStyle w:val="Textoindependiente"/>
        <w:spacing w:line="600" w:lineRule="auto"/>
      </w:pPr>
      <w:r>
        <w:tab/>
      </w:r>
      <w:r>
        <w:tab/>
        <w:t>También se demostró plenamente que, una vez recibido el envío, Miguel Ángel González, e</w:t>
      </w:r>
      <w:r>
        <w:t>n</w:t>
      </w:r>
      <w:r>
        <w:t>cargado del edificio, se lo entregó a Carmelo Ionno, propi</w:t>
      </w:r>
      <w:r>
        <w:t>e</w:t>
      </w:r>
      <w:r>
        <w:t>tario de la joyería “Los Padrinos”, a quien habitualmente le acercaba la correspondencia dirigida a Ribelli. Ello fue a</w:t>
      </w:r>
      <w:r>
        <w:t>d</w:t>
      </w:r>
      <w:r>
        <w:t>mitido en el debate por este último quien explicó que, tras recibir el sobre, intentó localizar a Marcela Alejandra Bouzón, concubina de Ribelli, para dárselo p</w:t>
      </w:r>
      <w:r>
        <w:t>e</w:t>
      </w:r>
      <w:r>
        <w:t>ro, al no hallarla, se lo facilitó al Dr. Cúneo Libarona; a éste lo conocía debido a que acompañó a Bouzón a su estudio en varias oportunid</w:t>
      </w:r>
      <w:r>
        <w:t>a</w:t>
      </w:r>
      <w:r>
        <w:t>des. El profesional nombrado también reconoció ese extremo.</w:t>
      </w:r>
    </w:p>
    <w:p w:rsidR="00224567" w:rsidRDefault="00224567">
      <w:pPr>
        <w:pStyle w:val="Textoindependiente"/>
        <w:spacing w:line="600" w:lineRule="auto"/>
      </w:pPr>
      <w:r>
        <w:tab/>
      </w:r>
      <w:r>
        <w:tab/>
        <w:t>Lo actuado en la causa también perm</w:t>
      </w:r>
      <w:r>
        <w:t>i</w:t>
      </w:r>
      <w:r>
        <w:t>tió acreditar que Juan José Ribelli, al momento de e</w:t>
      </w:r>
      <w:r>
        <w:t>n</w:t>
      </w:r>
      <w:r>
        <w:t>tregar la filmación al Dr. Juan José Galeano, cuanto menos conocía que en ella se registraban imágenes de un encuentro entre el magistrado y el detenido Carlos Alberto Telleldín; ci</w:t>
      </w:r>
      <w:r>
        <w:t>r</w:t>
      </w:r>
      <w:r>
        <w:t>cunstancia que el imputado admitió al prestar declaración indagatoria en el deb</w:t>
      </w:r>
      <w:r>
        <w:t>a</w:t>
      </w:r>
      <w:r>
        <w:t>te.</w:t>
      </w:r>
    </w:p>
    <w:p w:rsidR="00224567" w:rsidRDefault="00224567">
      <w:pPr>
        <w:widowControl w:val="0"/>
      </w:pPr>
      <w:r>
        <w:tab/>
      </w:r>
      <w:r>
        <w:rPr>
          <w:b/>
          <w:bCs/>
        </w:rPr>
        <w:t xml:space="preserve">B) </w:t>
      </w:r>
      <w:r>
        <w:t>En cambio, el Tribunal entiende que no se probó, que durante la entrevista que Ribelli mantuvo con el juez Galeano, sin testigos, aquél le hubiese man</w:t>
      </w:r>
      <w:r>
        <w:t>i</w:t>
      </w:r>
      <w:r>
        <w:t>festado “que se encontraba desesperado por encontrarse d</w:t>
      </w:r>
      <w:r>
        <w:t>e</w:t>
      </w:r>
      <w:r>
        <w:t>tenido”, “que se trataba de una trampa ideada por Telle</w:t>
      </w:r>
      <w:r>
        <w:t>l</w:t>
      </w:r>
      <w:r>
        <w:t>dín”, “que estaba dispuesto a hacer cualquier cosa para dejar de padecer esa situación” y “que el video le qu</w:t>
      </w:r>
      <w:r>
        <w:t>e</w:t>
      </w:r>
      <w:r>
        <w:t>maba en las manos y que era conveniente que lo viera a solas, sin la presencia de los empleados del juzgado ni de sus fam</w:t>
      </w:r>
      <w:r>
        <w:t>i</w:t>
      </w:r>
      <w:r>
        <w:t>liares”.</w:t>
      </w:r>
    </w:p>
    <w:p w:rsidR="00224567" w:rsidRDefault="00224567">
      <w:pPr>
        <w:widowControl w:val="0"/>
      </w:pPr>
      <w:r>
        <w:tab/>
        <w:t>Asimismo, no se arrimaron al proceso pruebas suficientes que permitan sostener que ante supue</w:t>
      </w:r>
      <w:r>
        <w:t>s</w:t>
      </w:r>
      <w:r>
        <w:t>tas expresiones de Juan José Ribelli, el Dr. Juan José G</w:t>
      </w:r>
      <w:r>
        <w:t>a</w:t>
      </w:r>
      <w:r>
        <w:t>leano lo interrogase acerca de si con su actitud pretendía intimidarlo, ni que ante ello el imputado co</w:t>
      </w:r>
      <w:r>
        <w:t>n</w:t>
      </w:r>
      <w:r>
        <w:t>testara “que le estaba hablando de hombre a hombre y que él sabría qué hacer con el material que le entreg</w:t>
      </w:r>
      <w:r>
        <w:t>a</w:t>
      </w:r>
      <w:r>
        <w:t>ba”.</w:t>
      </w:r>
    </w:p>
    <w:p w:rsidR="00224567" w:rsidRDefault="00224567">
      <w:pPr>
        <w:widowControl w:val="0"/>
      </w:pPr>
      <w:r>
        <w:tab/>
        <w:t>En ese sentido, cabe señalar que t</w:t>
      </w:r>
      <w:r>
        <w:t>a</w:t>
      </w:r>
      <w:r>
        <w:t>les expresiones sólo encontraron apoyatura en los informes confe</w:t>
      </w:r>
      <w:r>
        <w:t>c</w:t>
      </w:r>
      <w:r>
        <w:t>cionados por el Dr. Galeano, obrantes a fs. 246/248 y 753 de la presente causa y en la declaración testim</w:t>
      </w:r>
      <w:r>
        <w:t>o</w:t>
      </w:r>
      <w:r>
        <w:t>nial, efectuada por escrito, glosada a fs. 117.624/117.626 de la causa nº 487.</w:t>
      </w:r>
    </w:p>
    <w:p w:rsidR="00224567" w:rsidRDefault="00224567">
      <w:pPr>
        <w:pStyle w:val="Textoindependiente"/>
        <w:spacing w:line="600" w:lineRule="auto"/>
      </w:pPr>
      <w:r>
        <w:tab/>
      </w:r>
      <w:r>
        <w:tab/>
        <w:t>Al respecto, el Dr. Juan José Galeano, m</w:t>
      </w:r>
      <w:r>
        <w:t>e</w:t>
      </w:r>
      <w:r>
        <w:t>diante acta de fecha 25 de marzo de 1997, glosada a fs. 1 del sumario administrativo nº 124, que corre por cuerda, asentó lo que a continuación se transcribe: “Para dejar constancia que en el día de la fecha y finalizada la a</w:t>
      </w:r>
      <w:r>
        <w:t>m</w:t>
      </w:r>
      <w:r>
        <w:t>pliación de declaración indagatoria del deten</w:t>
      </w:r>
      <w:r>
        <w:t>i</w:t>
      </w:r>
      <w:r>
        <w:t>do Juan José Ribelli, éste solicitó mantener en privado una audiencia con el suscripto. Concedida la misma, que tuvo una duración de aproximadamente quince minutos, el no</w:t>
      </w:r>
      <w:r>
        <w:t>m</w:t>
      </w:r>
      <w:r>
        <w:t>brado hizo alusión al tiempo de detención que venía s</w:t>
      </w:r>
      <w:r>
        <w:t>u</w:t>
      </w:r>
      <w:r>
        <w:t xml:space="preserve">friendo y a su inocencia con relación al atentado a </w:t>
      </w:r>
      <w:smartTag w:uri="urn:schemas-microsoft-com:office:smarttags" w:element="PersonName">
        <w:smartTagPr>
          <w:attr w:name="ProductID" w:val="la A.M"/>
        </w:smartTagPr>
        <w:r>
          <w:t>la A.M</w:t>
        </w:r>
      </w:smartTag>
      <w:r>
        <w:t>.I.A. lo que se demostr</w:t>
      </w:r>
      <w:r>
        <w:t>a</w:t>
      </w:r>
      <w:r>
        <w:t>ría realizando las medidas de prueba que surgen de los d</w:t>
      </w:r>
      <w:r>
        <w:t>i</w:t>
      </w:r>
      <w:r>
        <w:t>chos que prestó en su ampliación de indagatoria. Antes de finalizar la audiencia el mencionado Ribelli e</w:t>
      </w:r>
      <w:r>
        <w:t>x</w:t>
      </w:r>
      <w:r>
        <w:t>trajo de una carpeta –tipo sobre- color celeste, un paquete cerrado e</w:t>
      </w:r>
      <w:r>
        <w:t>n</w:t>
      </w:r>
      <w:r>
        <w:t>vuelto en papel de fantasía, lo rompió en mi pr</w:t>
      </w:r>
      <w:r>
        <w:t>e</w:t>
      </w:r>
      <w:r>
        <w:t>sencia y me hizo entrega de un video casete sin título alguno, marca TDK, BGAF 613, T 120 HS, reteniendo para sí la caja del mismo y el papel del envoltorio, al tiempo que me refirió que era algo que le quemaba las manos, y que el suscripto sabría que hacer con el mat</w:t>
      </w:r>
      <w:r>
        <w:t>e</w:t>
      </w:r>
      <w:r>
        <w:t>rial que entregaba, negándose a comentar co</w:t>
      </w:r>
      <w:r>
        <w:t>n</w:t>
      </w:r>
      <w:r>
        <w:t>migo acerca del contenido ni de su procedencia. Luego de retirarse el detenido, procedí a la reproducción del video rec</w:t>
      </w:r>
      <w:r>
        <w:t>i</w:t>
      </w:r>
      <w:r>
        <w:t>bido –en presencia de los Dres. Velasco y De Gamas- determinando a poco de comenzar el mismo que era c</w:t>
      </w:r>
      <w:r>
        <w:t>o</w:t>
      </w:r>
      <w:r>
        <w:t>pia de una filmación efectuada por el tribunal de una e</w:t>
      </w:r>
      <w:r>
        <w:t>n</w:t>
      </w:r>
      <w:r>
        <w:t>trevista mantenida el 1º de julio de 1996 con el detenido Carlos Alberto Telleldín en el ámbito del juzgado y respe</w:t>
      </w:r>
      <w:r>
        <w:t>c</w:t>
      </w:r>
      <w:r>
        <w:t>to de la cual se reservaron en caja fuerte de secret</w:t>
      </w:r>
      <w:r>
        <w:t>a</w:t>
      </w:r>
      <w:r>
        <w:t>ría un original y su copia”.</w:t>
      </w:r>
    </w:p>
    <w:p w:rsidR="00224567" w:rsidRDefault="00224567">
      <w:pPr>
        <w:pStyle w:val="Textoindependiente"/>
        <w:spacing w:line="600" w:lineRule="auto"/>
      </w:pPr>
      <w:r>
        <w:tab/>
      </w:r>
      <w:r>
        <w:tab/>
        <w:t>Ante la instrucción, mediante oficio glosado a fs. 246/248, el Dr. Galeano informó que durante el transcurso de la entrevista que mantuvo con Ribelli, é</w:t>
      </w:r>
      <w:r>
        <w:t>s</w:t>
      </w:r>
      <w:r>
        <w:t>te le manifestó que “hacía nueve meses que estaba deten</w:t>
      </w:r>
      <w:r>
        <w:t>i</w:t>
      </w:r>
      <w:r>
        <w:t>do, que estaba desesperado, que me imaginara como podría estar su familia, que esto era una trampa ideada por T</w:t>
      </w:r>
      <w:r>
        <w:t>e</w:t>
      </w:r>
      <w:r>
        <w:t xml:space="preserve">lleldín de la que él veía que no podía salir, que él era inocente con relación al atentado a </w:t>
      </w:r>
      <w:smartTag w:uri="urn:schemas-microsoft-com:office:smarttags" w:element="PersonName">
        <w:smartTagPr>
          <w:attr w:name="ProductID" w:val="la A.M"/>
        </w:smartTagPr>
        <w:r>
          <w:t>la A.M</w:t>
        </w:r>
      </w:smartTag>
      <w:r>
        <w:t>.I.A. y que est</w:t>
      </w:r>
      <w:r>
        <w:t>a</w:t>
      </w:r>
      <w:r>
        <w:t>ba dispuesto a cualquier cosa para dejar de padecer esa situ</w:t>
      </w:r>
      <w:r>
        <w:t>a</w:t>
      </w:r>
      <w:r>
        <w:t>ción”.</w:t>
      </w:r>
    </w:p>
    <w:p w:rsidR="00224567" w:rsidRDefault="00224567">
      <w:pPr>
        <w:pStyle w:val="Textoindependiente"/>
        <w:spacing w:line="600" w:lineRule="auto"/>
      </w:pPr>
      <w:r>
        <w:tab/>
      </w:r>
      <w:r>
        <w:tab/>
        <w:t>Además, el magistrado expuso que en aquella ocasión Ribelli refirió que entregaba algo que “le quemaba en las manos” y que el material fílmico que figur</w:t>
      </w:r>
      <w:r>
        <w:t>a</w:t>
      </w:r>
      <w:r>
        <w:t>ba en el video debía verlo solo, que evitara la presencia del pers</w:t>
      </w:r>
      <w:r>
        <w:t>o</w:t>
      </w:r>
      <w:r>
        <w:t>nal o sus familiares, consignando que, ante ello, al interrogar si con su actitud pretendía intimidarlo, i</w:t>
      </w:r>
      <w:r>
        <w:t>n</w:t>
      </w:r>
      <w:r>
        <w:t>sistió el imputado en que “le estaba hablando de hombre a hombre, que estaba desesperado”, que sabría que hacer con el filme y “que no malinte</w:t>
      </w:r>
      <w:r>
        <w:t>r</w:t>
      </w:r>
      <w:r>
        <w:t>pretara su actitud”.</w:t>
      </w:r>
    </w:p>
    <w:p w:rsidR="00224567" w:rsidRDefault="00224567">
      <w:pPr>
        <w:widowControl w:val="0"/>
      </w:pPr>
      <w:r>
        <w:tab/>
        <w:t>A fs. 753, ante el requerimiento e</w:t>
      </w:r>
      <w:r>
        <w:t>x</w:t>
      </w:r>
      <w:r>
        <w:t>preso del juez Oyarbide para que precise si percibió los gestos y demás expr</w:t>
      </w:r>
      <w:r>
        <w:t>e</w:t>
      </w:r>
      <w:r>
        <w:t>siones que habría vertido el imputado Ribelli en la entrevista, tendientes a intimidarlo o, en cierta forma, a coaccionar psíquicamente su libertad de decisión funcional, el juez Galeano explicó que con su contestación glos</w:t>
      </w:r>
      <w:r>
        <w:t>a</w:t>
      </w:r>
      <w:r>
        <w:t>da a fs. 246/248 creía “haber reflejado objetivamente la situación vivida el día 25 de marzo pas</w:t>
      </w:r>
      <w:r>
        <w:t>a</w:t>
      </w:r>
      <w:r>
        <w:t>do”, a cuyos térm</w:t>
      </w:r>
      <w:r>
        <w:t>i</w:t>
      </w:r>
      <w:r>
        <w:t>nos se remitió.</w:t>
      </w:r>
    </w:p>
    <w:p w:rsidR="00224567" w:rsidRDefault="00224567">
      <w:pPr>
        <w:widowControl w:val="0"/>
      </w:pPr>
      <w:r>
        <w:tab/>
        <w:t xml:space="preserve">Finalmente, al prestar declaración testimonial en el debate, en la forma que lo autoriza el art. 250 del Código Procesal Penal de </w:t>
      </w:r>
      <w:smartTag w:uri="urn:schemas-microsoft-com:office:smarttags" w:element="PersonName">
        <w:smartTagPr>
          <w:attr w:name="ProductID" w:val="la Naci￳n"/>
        </w:smartTagPr>
        <w:r>
          <w:t>la Nación</w:t>
        </w:r>
      </w:smartTag>
      <w:r>
        <w:t>, el magi</w:t>
      </w:r>
      <w:r>
        <w:t>s</w:t>
      </w:r>
      <w:r>
        <w:t>trado ratificó el contenido de los informes antes menci</w:t>
      </w:r>
      <w:r>
        <w:t>o</w:t>
      </w:r>
      <w:r>
        <w:t>nados (fs. 117.624/117.626 de la causa nº 487).</w:t>
      </w:r>
    </w:p>
    <w:p w:rsidR="00224567" w:rsidRDefault="00224567">
      <w:pPr>
        <w:widowControl w:val="0"/>
      </w:pPr>
      <w:r>
        <w:tab/>
        <w:t>Por otra parte, la circunstancia de que la entrevista se realizara sin la presencia de terc</w:t>
      </w:r>
      <w:r>
        <w:t>e</w:t>
      </w:r>
      <w:r>
        <w:t>ros, lleva ínsito el problema de intentar recrear lo aco</w:t>
      </w:r>
      <w:r>
        <w:t>n</w:t>
      </w:r>
      <w:r>
        <w:t>tecido a partir de las versiones divergentes de qui</w:t>
      </w:r>
      <w:r>
        <w:t>e</w:t>
      </w:r>
      <w:r>
        <w:t>nes la protagonizaron; máxime cuando las demás probanzas arrim</w:t>
      </w:r>
      <w:r>
        <w:t>a</w:t>
      </w:r>
      <w:r>
        <w:t>das al proceso poco ayudan en ese comet</w:t>
      </w:r>
      <w:r>
        <w:t>i</w:t>
      </w:r>
      <w:r>
        <w:t>do.</w:t>
      </w:r>
    </w:p>
    <w:p w:rsidR="00224567" w:rsidRDefault="00224567">
      <w:pPr>
        <w:widowControl w:val="0"/>
      </w:pPr>
      <w:r>
        <w:tab/>
      </w:r>
      <w:r>
        <w:tab/>
        <w:t>En este punto, por carecer de suste</w:t>
      </w:r>
      <w:r>
        <w:t>n</w:t>
      </w:r>
      <w:r>
        <w:t>to legal e introducir una inaceptable claudicación republic</w:t>
      </w:r>
      <w:r>
        <w:t>a</w:t>
      </w:r>
      <w:r>
        <w:t>na, el Tribunal debe señalar su disenso con el criterio del instructor volcado en su pronunciamiento cautelar de fs. 761/792, al sostener, como pr</w:t>
      </w:r>
      <w:r>
        <w:t>e</w:t>
      </w:r>
      <w:r>
        <w:t>misa de lo que habría de decidir, que de la versión de los hechos ofrecida por el Dr. Juan José Galeano “no cabe ni puede dudarse, habida cuenta de la buena fe que debe presumirse inspira a un m</w:t>
      </w:r>
      <w:r>
        <w:t>a</w:t>
      </w:r>
      <w:r>
        <w:t>gistrado al contestar un informe que se le requiere d</w:t>
      </w:r>
      <w:r>
        <w:t>e</w:t>
      </w:r>
      <w:r>
        <w:t>ntro de las formalidades procesales que rigen la faz probat</w:t>
      </w:r>
      <w:r>
        <w:t>o</w:t>
      </w:r>
      <w:r>
        <w:t>ria”.</w:t>
      </w:r>
    </w:p>
    <w:p w:rsidR="00224567" w:rsidRDefault="00224567">
      <w:pPr>
        <w:widowControl w:val="0"/>
      </w:pPr>
      <w:r>
        <w:tab/>
        <w:t>Al respecto, cabe destacar que en la etapa anterior el Dr. Juan José Galeano no ofr</w:t>
      </w:r>
      <w:r>
        <w:t>e</w:t>
      </w:r>
      <w:r>
        <w:t>ció, ni los jueces que se ocuparon de la instrucción se lo solicit</w:t>
      </w:r>
      <w:r>
        <w:t>a</w:t>
      </w:r>
      <w:r>
        <w:t>ron, un relato juramentado de lo acontecido en la menci</w:t>
      </w:r>
      <w:r>
        <w:t>o</w:t>
      </w:r>
      <w:r>
        <w:t>nada entrevista, con la previsión, cuyo conocimiento se descarta, de las penalidades en que incurren quienes se pronuncian con falsedad; diligencia que, como supuesta víctima del hecho achacado a Ribelli, en modo a</w:t>
      </w:r>
      <w:r>
        <w:t>l</w:t>
      </w:r>
      <w:r>
        <w:t>guno podía verse supl</w:t>
      </w:r>
      <w:r>
        <w:t>i</w:t>
      </w:r>
      <w:r>
        <w:t>da por sus informes de fs. 246/248 y 753.</w:t>
      </w:r>
    </w:p>
    <w:p w:rsidR="00224567" w:rsidRDefault="00224567">
      <w:pPr>
        <w:pStyle w:val="Textoindependiente"/>
        <w:spacing w:line="600" w:lineRule="auto"/>
      </w:pPr>
      <w:r>
        <w:tab/>
      </w:r>
      <w:r>
        <w:tab/>
        <w:t>Deviene inadmisible, entonces, sost</w:t>
      </w:r>
      <w:r>
        <w:t>e</w:t>
      </w:r>
      <w:r>
        <w:t>ner que el Dr. Juan José Galeano, por su mera calidad de juez, se encontraba eximido de cumplir con esa ex</w:t>
      </w:r>
      <w:r>
        <w:t>i</w:t>
      </w:r>
      <w:r>
        <w:t>gencia procesal o, lo que es más grave, presumir su buena fe por la sola circunstancia de requerírsele tales informes “d</w:t>
      </w:r>
      <w:r>
        <w:t>e</w:t>
      </w:r>
      <w:r>
        <w:t>ntro de las formalidades procesales que rigen la faz pr</w:t>
      </w:r>
      <w:r>
        <w:t>o</w:t>
      </w:r>
      <w:r>
        <w:t>batoria”; vacua explicación con la que el juez instructor dejó de lado el deber que le imponía el art. 239 del Código Pr</w:t>
      </w:r>
      <w:r>
        <w:t>o</w:t>
      </w:r>
      <w:r>
        <w:t xml:space="preserve">cesal Penal de </w:t>
      </w:r>
      <w:smartTag w:uri="urn:schemas-microsoft-com:office:smarttags" w:element="PersonName">
        <w:smartTagPr>
          <w:attr w:name="ProductID" w:val="la Naci￳n"/>
        </w:smartTagPr>
        <w:r>
          <w:t>la Nación</w:t>
        </w:r>
      </w:smartTag>
      <w:r>
        <w:t xml:space="preserve"> de interrogar a toda persona que conozca los hechos investigados y cuya decl</w:t>
      </w:r>
      <w:r>
        <w:t>a</w:t>
      </w:r>
      <w:r>
        <w:t>ración pueda ser útil para desc</w:t>
      </w:r>
      <w:r>
        <w:t>u</w:t>
      </w:r>
      <w:r>
        <w:t>brir la verdad.</w:t>
      </w:r>
    </w:p>
    <w:p w:rsidR="00224567" w:rsidRDefault="00224567">
      <w:pPr>
        <w:widowControl w:val="0"/>
      </w:pPr>
      <w:r>
        <w:tab/>
        <w:t>Resulta de Perogrullo recordar que los jueces, cualquiera sea su jerarquía, no se  encuentran  exentos de incurrir en delito, entre otros, de falso te</w:t>
      </w:r>
      <w:r>
        <w:t>s</w:t>
      </w:r>
      <w:r>
        <w:t>timonio o en el de falsa denuncia. Ni el Código Penal ni sus leyes complementarias contienen norma alguna en el sentido que expuso el Dr. Oyarbide.</w:t>
      </w:r>
    </w:p>
    <w:p w:rsidR="00224567" w:rsidRDefault="00224567">
      <w:pPr>
        <w:pStyle w:val="Textoindependiente"/>
        <w:spacing w:line="600" w:lineRule="auto"/>
      </w:pPr>
      <w:r>
        <w:tab/>
      </w:r>
      <w:r>
        <w:tab/>
        <w:t>Por el contrario, el ordenamiento pr</w:t>
      </w:r>
      <w:r>
        <w:t>o</w:t>
      </w:r>
      <w:r>
        <w:t>cesal sólo exime a los jueces, y a otros funcionarios de los otros poderes del Estado, de comparecer ante el trib</w:t>
      </w:r>
      <w:r>
        <w:t>u</w:t>
      </w:r>
      <w:r>
        <w:t>nal, supliendo su deposición por un escrito “en el cual e</w:t>
      </w:r>
      <w:r>
        <w:t>x</w:t>
      </w:r>
      <w:r>
        <w:t>presarán que atestiguan bajo juramento” (art. 250 antes c</w:t>
      </w:r>
      <w:r>
        <w:t>i</w:t>
      </w:r>
      <w:r>
        <w:t>tado).</w:t>
      </w:r>
    </w:p>
    <w:p w:rsidR="00224567" w:rsidRDefault="00224567">
      <w:pPr>
        <w:pStyle w:val="Textoindependiente"/>
        <w:spacing w:line="600" w:lineRule="auto"/>
      </w:pPr>
      <w:r>
        <w:tab/>
      </w:r>
      <w:r>
        <w:tab/>
        <w:t>En esa inteligencia, el Tribunal sólo puede  tener por ciertas aquellas circunstancias declar</w:t>
      </w:r>
      <w:r>
        <w:t>a</w:t>
      </w:r>
      <w:r>
        <w:t>das por el Dr. Galeano, en tanto se encuentren corrobor</w:t>
      </w:r>
      <w:r>
        <w:t>a</w:t>
      </w:r>
      <w:r>
        <w:t>das por otras pruebas que demuestren su veracidad.</w:t>
      </w:r>
    </w:p>
    <w:p w:rsidR="00224567" w:rsidRDefault="00224567">
      <w:pPr>
        <w:widowControl w:val="0"/>
      </w:pPr>
      <w:r>
        <w:tab/>
        <w:t>En este punto, bueno es recordar que aunque nuestro sistema procesal actual no exige más de un testimonio para acreditar un hecho, como lo imponía el sistema de pruebas tasadas del derogado Código de Proced</w:t>
      </w:r>
      <w:r>
        <w:t>i</w:t>
      </w:r>
      <w:r>
        <w:t>mientos en Materia Penal, los jueces tienen el deber de motivar sus decisiones, pues deben poner de man</w:t>
      </w:r>
      <w:r>
        <w:t>i</w:t>
      </w:r>
      <w:r>
        <w:t>fiesto el razonamiento seguido para arribar a su concl</w:t>
      </w:r>
      <w:r>
        <w:t>u</w:t>
      </w:r>
      <w:r>
        <w:t>sión.</w:t>
      </w:r>
    </w:p>
    <w:p w:rsidR="00224567" w:rsidRDefault="00224567">
      <w:pPr>
        <w:pStyle w:val="Textoindependiente"/>
        <w:spacing w:line="600" w:lineRule="auto"/>
      </w:pPr>
      <w:r>
        <w:tab/>
      </w:r>
      <w:r>
        <w:tab/>
        <w:t>Actualmente, bajo el sistema de la sana crítica racional, la ley no vincula al juez fija</w:t>
      </w:r>
      <w:r>
        <w:t>n</w:t>
      </w:r>
      <w:r>
        <w:t>do normas que cercenen su arbitrio para determinar la forma en que se acreditarán los hechos, ni le anticipa el valor de los el</w:t>
      </w:r>
      <w:r>
        <w:t>e</w:t>
      </w:r>
      <w:r>
        <w:t>mentos de prueba; por el contrario, el órgano judicial ti</w:t>
      </w:r>
      <w:r>
        <w:t>e</w:t>
      </w:r>
      <w:r>
        <w:t>ne, con algunas excepciones, amplia atribución para sele</w:t>
      </w:r>
      <w:r>
        <w:t>c</w:t>
      </w:r>
      <w:r>
        <w:t>cionar dichos medios y para apreciar la prueba, pero debe ajustar sus conclusiones a las reglas de la lógica, la ps</w:t>
      </w:r>
      <w:r>
        <w:t>i</w:t>
      </w:r>
      <w:r>
        <w:t>cología y la experiencia (cónf. D´Albora, Francisco, “Cód</w:t>
      </w:r>
      <w:r>
        <w:t>i</w:t>
      </w:r>
      <w:r>
        <w:t xml:space="preserve">go Procesal Penal de </w:t>
      </w:r>
      <w:smartTag w:uri="urn:schemas-microsoft-com:office:smarttags" w:element="PersonName">
        <w:smartTagPr>
          <w:attr w:name="ProductID" w:val="la Naci￳n"/>
        </w:smartTagPr>
        <w:r>
          <w:t>la Nación</w:t>
        </w:r>
      </w:smartTag>
      <w:r>
        <w:t>, anotado, comentado y co</w:t>
      </w:r>
      <w:r>
        <w:t>n</w:t>
      </w:r>
      <w:r>
        <w:t>cordado”, ed. Abeledo Perrot, 4ta. ed., 1999, págs. 383/384).</w:t>
      </w:r>
    </w:p>
    <w:p w:rsidR="00224567" w:rsidRDefault="00224567">
      <w:pPr>
        <w:pStyle w:val="Textoindependiente"/>
        <w:spacing w:line="600" w:lineRule="auto"/>
      </w:pPr>
      <w:r>
        <w:tab/>
      </w:r>
      <w:r>
        <w:tab/>
        <w:t>En este orden de ideas, la prueba te</w:t>
      </w:r>
      <w:r>
        <w:t>s</w:t>
      </w:r>
      <w:r>
        <w:t>timonial, cuya esencia consiste en la inmediación, r</w:t>
      </w:r>
      <w:r>
        <w:t>e</w:t>
      </w:r>
      <w:r>
        <w:t>quiere que el Tribunal examine, con especial atención, las cara</w:t>
      </w:r>
      <w:r>
        <w:t>c</w:t>
      </w:r>
      <w:r>
        <w:t>terísticas de la persona que declara y las circunstancias que permitan determinar su credib</w:t>
      </w:r>
      <w:r>
        <w:t>i</w:t>
      </w:r>
      <w:r>
        <w:t>lidad.</w:t>
      </w:r>
    </w:p>
    <w:p w:rsidR="00224567" w:rsidRDefault="00224567">
      <w:pPr>
        <w:pStyle w:val="Textoindependiente"/>
        <w:spacing w:line="600" w:lineRule="auto"/>
      </w:pPr>
      <w:r>
        <w:tab/>
      </w:r>
      <w:r>
        <w:tab/>
        <w:t xml:space="preserve">Ello sentado, corresponde señalar que los actuarios Velasco y De Gamas Soler, como se indicó </w:t>
      </w:r>
      <w:r>
        <w:rPr>
          <w:u w:val="single"/>
        </w:rPr>
        <w:t>ut supra</w:t>
      </w:r>
      <w:r>
        <w:t>, fueron los únicos a quienes el juez convocó, insta</w:t>
      </w:r>
      <w:r>
        <w:t>n</w:t>
      </w:r>
      <w:r>
        <w:t>tes después de retirarse Ribelli, para conocer el co</w:t>
      </w:r>
      <w:r>
        <w:t>n</w:t>
      </w:r>
      <w:r>
        <w:t>tenido de la cinta, poniéndolos al tanto de las circunsta</w:t>
      </w:r>
      <w:r>
        <w:t>n</w:t>
      </w:r>
      <w:r>
        <w:t>cias en que se la había entregado.</w:t>
      </w:r>
    </w:p>
    <w:p w:rsidR="00224567" w:rsidRDefault="00224567">
      <w:pPr>
        <w:pStyle w:val="Textoindependiente"/>
        <w:spacing w:line="600" w:lineRule="auto"/>
      </w:pPr>
      <w:r>
        <w:tab/>
      </w:r>
      <w:r>
        <w:tab/>
        <w:t>Al respecto, el Dr. Velasco sostuvo que el juez Galeano comentó que durante la entrevista que ma</w:t>
      </w:r>
      <w:r>
        <w:t>n</w:t>
      </w:r>
      <w:r>
        <w:t>tuvo con Ribelli éste expresó “que hacía mucho tiempo que estaba detenido injustamente” y “que él sabría que hacer con el video”.</w:t>
      </w:r>
    </w:p>
    <w:p w:rsidR="00224567" w:rsidRDefault="00224567">
      <w:pPr>
        <w:pStyle w:val="Textoindependiente"/>
        <w:spacing w:line="600" w:lineRule="auto"/>
      </w:pPr>
      <w:r>
        <w:tab/>
      </w:r>
      <w:r>
        <w:tab/>
        <w:t>Al relatar dicho episodio, el Dr. De Gamas recordó que el Dr. Galeano les contó a él y al secr</w:t>
      </w:r>
      <w:r>
        <w:t>e</w:t>
      </w:r>
      <w:r>
        <w:t>tario Velasco, que Ribelli le entregó un videocasete advi</w:t>
      </w:r>
      <w:r>
        <w:t>r</w:t>
      </w:r>
      <w:r>
        <w:t>tiendo que “viera a solas su contenido”, a la vez que man</w:t>
      </w:r>
      <w:r>
        <w:t>i</w:t>
      </w:r>
      <w:r>
        <w:t>festó su preocupación por recuperar su libertad. Precisó que en ese momento notó intranquilo al juez, suponiendo que ello re</w:t>
      </w:r>
      <w:r>
        <w:t>s</w:t>
      </w:r>
      <w:r>
        <w:t>pondía a que ignoraba el contenido de la filmación.</w:t>
      </w:r>
    </w:p>
    <w:p w:rsidR="00224567" w:rsidRDefault="00224567">
      <w:pPr>
        <w:pStyle w:val="Textoindependiente"/>
        <w:spacing w:line="600" w:lineRule="auto"/>
      </w:pPr>
      <w:r>
        <w:tab/>
      </w:r>
      <w:r>
        <w:tab/>
        <w:t>Además de los testigos arriba reseñ</w:t>
      </w:r>
      <w:r>
        <w:t>a</w:t>
      </w:r>
      <w:r>
        <w:t>dos, también se expidieron acerca de los términos del di</w:t>
      </w:r>
      <w:r>
        <w:t>á</w:t>
      </w:r>
      <w:r>
        <w:t>logo entre Galeano y el imputado, los secretarios María S</w:t>
      </w:r>
      <w:r>
        <w:t>u</w:t>
      </w:r>
      <w:r>
        <w:t>sana Spina y José Mariano Pereyra.</w:t>
      </w:r>
    </w:p>
    <w:p w:rsidR="00224567" w:rsidRDefault="00224567">
      <w:pPr>
        <w:pStyle w:val="Textoindependiente"/>
        <w:spacing w:line="600" w:lineRule="auto"/>
      </w:pPr>
      <w:r>
        <w:tab/>
      </w:r>
      <w:r>
        <w:tab/>
        <w:t xml:space="preserve">En ese sentido, </w:t>
      </w:r>
      <w:smartTag w:uri="urn:schemas-microsoft-com:office:smarttags" w:element="PersonName">
        <w:smartTagPr>
          <w:attr w:name="ProductID" w:val="la Dra. Spina"/>
        </w:smartTagPr>
        <w:r>
          <w:t>la Dra. Spina</w:t>
        </w:r>
      </w:smartTag>
      <w:r>
        <w:t xml:space="preserve"> man</w:t>
      </w:r>
      <w:r>
        <w:t>i</w:t>
      </w:r>
      <w:r>
        <w:t>festó que tomó conocimiento, por dichos del magistrado, que en el momento en que Ribelli le entregó la cinta de video, éste indicó “que lo viera solo y sin sus hijos” y “que no lo t</w:t>
      </w:r>
      <w:r>
        <w:t>o</w:t>
      </w:r>
      <w:r>
        <w:t>mara a mal”, respo</w:t>
      </w:r>
      <w:r>
        <w:t>n</w:t>
      </w:r>
      <w:r>
        <w:t>diendo el magistrado “que lo tomaría de la misma forma que él”.</w:t>
      </w:r>
    </w:p>
    <w:p w:rsidR="00224567" w:rsidRDefault="00224567">
      <w:pPr>
        <w:pStyle w:val="Textoindependiente"/>
        <w:spacing w:line="600" w:lineRule="auto"/>
      </w:pPr>
      <w:r>
        <w:tab/>
      </w:r>
      <w:r>
        <w:tab/>
        <w:t>Finalmente, José Mariano Pereyra ref</w:t>
      </w:r>
      <w:r>
        <w:t>i</w:t>
      </w:r>
      <w:r>
        <w:t xml:space="preserve">rió que, supo por </w:t>
      </w:r>
      <w:smartTag w:uri="urn:schemas-microsoft-com:office:smarttags" w:element="PersonName">
        <w:smartTagPr>
          <w:attr w:name="ProductID" w:val="la Dra. Spina"/>
        </w:smartTagPr>
        <w:r>
          <w:t>la Dra. Spina</w:t>
        </w:r>
      </w:smartTag>
      <w:r>
        <w:t>, que Ribelli entregó al juez un videocasete al tiempo que manifestó “que lo viera solo” y “que iba a tener la respuesta que neces</w:t>
      </w:r>
      <w:r>
        <w:t>i</w:t>
      </w:r>
      <w:r>
        <w:t>taba”.</w:t>
      </w:r>
    </w:p>
    <w:p w:rsidR="00224567" w:rsidRDefault="00224567">
      <w:pPr>
        <w:pStyle w:val="Textoindependiente"/>
        <w:spacing w:line="600" w:lineRule="auto"/>
      </w:pPr>
      <w:r>
        <w:tab/>
      </w:r>
      <w:r>
        <w:tab/>
        <w:t>Dichas expresiones, de las que poco o nada dijeron al tiempo de los hechos, sea en ocasión de prestar declaración en el sumario administrativo instru</w:t>
      </w:r>
      <w:r>
        <w:t>i</w:t>
      </w:r>
      <w:r>
        <w:t>do con motivo de la desaparición del videocasete o en oport</w:t>
      </w:r>
      <w:r>
        <w:t>u</w:t>
      </w:r>
      <w:r>
        <w:t>nidad de declarar ante el juez instructor, carecen de ent</w:t>
      </w:r>
      <w:r>
        <w:t>i</w:t>
      </w:r>
      <w:r>
        <w:t>dad suficiente para acreditar la versión del magistrado; máxime  cuando  aquellas  deben  pond</w:t>
      </w:r>
      <w:r>
        <w:t>e</w:t>
      </w:r>
      <w:r>
        <w:t>rarse  con particular  cuidado, en  virtud  que  los  actuarios -integrantes del círculo de colaboradores más cercano al Dr. Galeano- con</w:t>
      </w:r>
      <w:r>
        <w:t>o</w:t>
      </w:r>
      <w:r>
        <w:t>cían el cúmulo de irregularidades cometidas en el curso de la i</w:t>
      </w:r>
      <w:r>
        <w:t>n</w:t>
      </w:r>
      <w:r>
        <w:t>vestigación de la causa A.M.I.A.</w:t>
      </w:r>
    </w:p>
    <w:p w:rsidR="00224567" w:rsidRDefault="00224567">
      <w:pPr>
        <w:pStyle w:val="Textoindependiente"/>
        <w:spacing w:line="600" w:lineRule="auto"/>
      </w:pPr>
      <w:r>
        <w:tab/>
      </w:r>
      <w:r>
        <w:tab/>
        <w:t>En ese orden de ideas, se advierte que ninguno de los testigos mencionados coincidió plenamente con la versión ofrecida por el juez Galeano, a la vez que del relato de los hechos que ellos conocieron de boca del magistrado o por cualquier otro medio, no es posible e</w:t>
      </w:r>
      <w:r>
        <w:t>x</w:t>
      </w:r>
      <w:r>
        <w:t>traer la finalidad perseguida por el imputado.</w:t>
      </w:r>
    </w:p>
    <w:p w:rsidR="00224567" w:rsidRDefault="00224567">
      <w:pPr>
        <w:pStyle w:val="Textoindependiente"/>
        <w:spacing w:line="600" w:lineRule="auto"/>
      </w:pPr>
      <w:r>
        <w:tab/>
      </w:r>
      <w:r>
        <w:tab/>
        <w:t>Al respecto, cabe advertir que la tot</w:t>
      </w:r>
      <w:r>
        <w:t>a</w:t>
      </w:r>
      <w:r>
        <w:t>lidad del personal del juzgado concordó al manifestar que el juez Galeano, tras conocer el contenido de la cinta e</w:t>
      </w:r>
      <w:r>
        <w:t>n</w:t>
      </w:r>
      <w:r>
        <w:t>tregada por Rib</w:t>
      </w:r>
      <w:r>
        <w:t>e</w:t>
      </w:r>
      <w:r>
        <w:t>lli y verificar que de la caja de seguridad de la secretaría había desaparecido el v</w:t>
      </w:r>
      <w:r>
        <w:t>i</w:t>
      </w:r>
      <w:r>
        <w:t>deo rotulado como “original”, centró su desvelo en establecer las circunsta</w:t>
      </w:r>
      <w:r>
        <w:t>n</w:t>
      </w:r>
      <w:r>
        <w:t>cias en las que se produjo ese faltante.</w:t>
      </w:r>
    </w:p>
    <w:p w:rsidR="00224567" w:rsidRDefault="00224567">
      <w:pPr>
        <w:pStyle w:val="Textoindependiente"/>
        <w:spacing w:line="600" w:lineRule="auto"/>
      </w:pPr>
      <w:r>
        <w:tab/>
      </w:r>
      <w:r>
        <w:tab/>
        <w:t>Dicho comportamiento inicial, que par</w:t>
      </w:r>
      <w:r>
        <w:t>e</w:t>
      </w:r>
      <w:r>
        <w:t>cería dar cuenta de una razonable preocupación funcional por lo que significaba la desaparición de un efecto de la causa A.M.I.A., escondió, en realidad, el estupor causado por la “filtración” que sacó a la luz aspectos ocultos de la pesquisa que se mantenían celosamente gua</w:t>
      </w:r>
      <w:r>
        <w:t>r</w:t>
      </w:r>
      <w:r>
        <w:t>dados.</w:t>
      </w:r>
    </w:p>
    <w:p w:rsidR="00224567" w:rsidRDefault="00224567">
      <w:pPr>
        <w:pStyle w:val="Textoindependiente"/>
        <w:spacing w:line="600" w:lineRule="auto"/>
      </w:pPr>
      <w:r>
        <w:tab/>
      </w:r>
      <w:r>
        <w:tab/>
        <w:t>Ello revela, a juicio del Tribunal, el proceder del juez Galeano a poco de conocer el co</w:t>
      </w:r>
      <w:r>
        <w:t>n</w:t>
      </w:r>
      <w:r>
        <w:t>tenido de la filmación.</w:t>
      </w:r>
    </w:p>
    <w:p w:rsidR="00224567" w:rsidRDefault="00224567">
      <w:pPr>
        <w:pStyle w:val="Textoindependiente"/>
        <w:spacing w:line="600" w:lineRule="auto"/>
      </w:pPr>
      <w:r>
        <w:tab/>
      </w:r>
      <w:r>
        <w:tab/>
        <w:t>En efecto; ninguna otra razón explica que omitiera dejar constancia en las  actuaciones,  por  inaceptables razones de conveniencia, según sostuvo en su informe de fs. 753, de lo ocurrido en la entrevista con R</w:t>
      </w:r>
      <w:r>
        <w:t>i</w:t>
      </w:r>
      <w:r>
        <w:t>belli. Además, no lo denunció por la coacción o amenaza que le habría proferido en oportunidad de efectuar, seis días más tarde, la denuncia que dio inicio a esta causa, ac</w:t>
      </w:r>
      <w:r>
        <w:t>o</w:t>
      </w:r>
      <w:r>
        <w:t xml:space="preserve">tada originariamente al “faltante de un efecto de la caja fuerte de </w:t>
      </w:r>
      <w:smartTag w:uri="urn:schemas-microsoft-com:office:smarttags" w:element="PersonName">
        <w:smartTagPr>
          <w:attr w:name="ProductID" w:val="la Secretar￭a"/>
        </w:smartTagPr>
        <w:r>
          <w:t>la Secretaría</w:t>
        </w:r>
      </w:smartTag>
      <w:r>
        <w:t xml:space="preserve"> nº 17 del tr</w:t>
      </w:r>
      <w:r>
        <w:t>i</w:t>
      </w:r>
      <w:r>
        <w:t>bunal”.</w:t>
      </w:r>
    </w:p>
    <w:p w:rsidR="00224567" w:rsidRDefault="00224567">
      <w:pPr>
        <w:pStyle w:val="Textoindependiente"/>
        <w:spacing w:line="600" w:lineRule="auto"/>
      </w:pPr>
      <w:r>
        <w:tab/>
      </w:r>
      <w:r>
        <w:tab/>
        <w:t>En este punto, cabe recordar que en la causa A.M.I.A. no obraba constancia alguna de la e</w:t>
      </w:r>
      <w:r>
        <w:t>n</w:t>
      </w:r>
      <w:r>
        <w:t>trevista que mostraba el video en cuestión, ni rastro de su existe</w:t>
      </w:r>
      <w:r>
        <w:t>n</w:t>
      </w:r>
      <w:r>
        <w:t xml:space="preserve">cia; hasta ese momento, era conocida -según los dichos de los Dres. Velasco y De Gamas Soler en el mentado sumario administrativo- por unas pocas personas, entre las que se encontraban los fiscales Mullen y Barbaccia, el Dr. Rubén Ezra Beraja, por esos días presidente de </w:t>
      </w:r>
      <w:smartTag w:uri="urn:schemas-microsoft-com:office:smarttags" w:element="PersonName">
        <w:smartTagPr>
          <w:attr w:name="ProductID" w:val="la D.A"/>
        </w:smartTagPr>
        <w:r>
          <w:t>la D.A</w:t>
        </w:r>
      </w:smartTag>
      <w:r>
        <w:t xml:space="preserve">.I.A., y el entonces abogado de </w:t>
      </w:r>
      <w:smartTag w:uri="urn:schemas-microsoft-com:office:smarttags" w:element="PersonName">
        <w:smartTagPr>
          <w:attr w:name="ProductID" w:val="la A.M"/>
        </w:smartTagPr>
        <w:r>
          <w:t>la A.M</w:t>
        </w:r>
      </w:smartTag>
      <w:r>
        <w:t>.I.A., quienes, pese al co</w:t>
      </w:r>
      <w:r>
        <w:t>n</w:t>
      </w:r>
      <w:r>
        <w:t>tenido de la film</w:t>
      </w:r>
      <w:r>
        <w:t>a</w:t>
      </w:r>
      <w:r>
        <w:t>ción, no formularon al juez objeción alguna.</w:t>
      </w:r>
    </w:p>
    <w:p w:rsidR="00224567" w:rsidRDefault="00224567">
      <w:pPr>
        <w:pStyle w:val="Textoindependiente"/>
        <w:spacing w:line="600" w:lineRule="auto"/>
      </w:pPr>
      <w:r>
        <w:tab/>
      </w:r>
      <w:r>
        <w:tab/>
        <w:t>Además, como se analizó en apartados anteriores, dicha entrevista formó parte de una neg</w:t>
      </w:r>
      <w:r>
        <w:t>o</w:t>
      </w:r>
      <w:r>
        <w:t>ciación espuria entre el magistrado y Telleldín quien, hasta ese momento, era el único procesado de la causa A.M.I.A., por la cual éste último recibió, a cambio de una declaración, la suma de cuatrocientos mil pesos o dólares.</w:t>
      </w:r>
    </w:p>
    <w:p w:rsidR="00224567" w:rsidRDefault="00224567">
      <w:pPr>
        <w:pStyle w:val="Textoindependiente"/>
        <w:spacing w:line="600" w:lineRule="auto"/>
      </w:pPr>
      <w:r>
        <w:tab/>
      </w:r>
      <w:r>
        <w:tab/>
        <w:t>De lo manifestado precedentemente se desprende, con claridad, que la principal y quizás única preocupación del magistrado consistió en evitar, de cua</w:t>
      </w:r>
      <w:r>
        <w:t>l</w:t>
      </w:r>
      <w:r>
        <w:t>quier modo, la difusión pública de la filmación, por ente</w:t>
      </w:r>
      <w:r>
        <w:t>n</w:t>
      </w:r>
      <w:r>
        <w:t>der que ello podía comprometer gravemente su desempeño y lo actuado ha</w:t>
      </w:r>
      <w:r>
        <w:t>s</w:t>
      </w:r>
      <w:r>
        <w:t>ta ese momento en la causa en la que investigaba el atent</w:t>
      </w:r>
      <w:r>
        <w:t>a</w:t>
      </w:r>
      <w:r>
        <w:t xml:space="preserve">do a la sede de </w:t>
      </w:r>
      <w:smartTag w:uri="urn:schemas-microsoft-com:office:smarttags" w:element="PersonName">
        <w:smartTagPr>
          <w:attr w:name="ProductID" w:val="la A.M"/>
        </w:smartTagPr>
        <w:r>
          <w:t>la A.M</w:t>
        </w:r>
      </w:smartTag>
      <w:r>
        <w:t>.I.A.</w:t>
      </w:r>
    </w:p>
    <w:p w:rsidR="00224567" w:rsidRDefault="00224567">
      <w:pPr>
        <w:pStyle w:val="Textoindependiente"/>
        <w:spacing w:line="600" w:lineRule="auto"/>
      </w:pPr>
      <w:r>
        <w:tab/>
      </w:r>
      <w:r>
        <w:tab/>
        <w:t>Prueba de ello resultan las sucesivas reuni</w:t>
      </w:r>
      <w:r>
        <w:t>o</w:t>
      </w:r>
      <w:r>
        <w:t xml:space="preserve">nes que el Dr. Galeano mantuvo con los miembros de </w:t>
      </w:r>
      <w:smartTag w:uri="urn:schemas-microsoft-com:office:smarttags" w:element="PersonName">
        <w:smartTagPr>
          <w:attr w:name="ProductID" w:val="la Comisi￳n Bicameral"/>
        </w:smartTagPr>
        <w:r>
          <w:t>la Comisión Bicameral</w:t>
        </w:r>
      </w:smartTag>
      <w:r>
        <w:t xml:space="preserve"> Especial de Seguimiento de </w:t>
      </w:r>
      <w:smartTag w:uri="urn:schemas-microsoft-com:office:smarttags" w:element="PersonName">
        <w:smartTagPr>
          <w:attr w:name="ProductID" w:val="la Investigaci￳n"/>
        </w:smartTagPr>
        <w:r>
          <w:t>la Investig</w:t>
        </w:r>
        <w:r>
          <w:t>a</w:t>
        </w:r>
        <w:r>
          <w:t>ción</w:t>
        </w:r>
      </w:smartTag>
      <w:r>
        <w:t xml:space="preserve"> de los Atentados a </w:t>
      </w:r>
      <w:smartTag w:uri="urn:schemas-microsoft-com:office:smarttags" w:element="PersonName">
        <w:smartTagPr>
          <w:attr w:name="ProductID" w:val="la Embajada"/>
        </w:smartTagPr>
        <w:r>
          <w:t>la Embajada</w:t>
        </w:r>
      </w:smartTag>
      <w:r>
        <w:t xml:space="preserve"> de Israel y al Edif</w:t>
      </w:r>
      <w:r>
        <w:t>i</w:t>
      </w:r>
      <w:r>
        <w:t xml:space="preserve">cio de </w:t>
      </w:r>
      <w:smartTag w:uri="urn:schemas-microsoft-com:office:smarttags" w:element="PersonName">
        <w:smartTagPr>
          <w:attr w:name="ProductID" w:val="la A.M"/>
        </w:smartTagPr>
        <w:r>
          <w:t>la A.M</w:t>
        </w:r>
      </w:smartTag>
      <w:r>
        <w:t>.I.A., encaminadas a lograr un respaldo político que avalara su proceder, en aras de aventar el temor, pr</w:t>
      </w:r>
      <w:r>
        <w:t>e</w:t>
      </w:r>
      <w:r>
        <w:t>sumido como inevitable, que por entonces se enarbolaba: “cualquier cuestionamiento a su labor haría caer la causa A.M.I.A.”.</w:t>
      </w:r>
    </w:p>
    <w:p w:rsidR="00224567" w:rsidRDefault="00224567">
      <w:pPr>
        <w:pStyle w:val="Textoindependiente"/>
        <w:spacing w:line="600" w:lineRule="auto"/>
      </w:pPr>
      <w:r>
        <w:tab/>
      </w:r>
      <w:r>
        <w:tab/>
        <w:t>En ese contexto, cabe destacar la reunión secreta que tuvo lugar el sábado 5 de abril de 1997, convocada de urgencia, a instancias del juez Galeano, por el entonces presidente de la comisión, el diputado Ca</w:t>
      </w:r>
      <w:r>
        <w:t>r</w:t>
      </w:r>
      <w:r>
        <w:t xml:space="preserve">los Soria, a fin de tratar “la sustracción del video del Juzgado Federal nº </w:t>
      </w:r>
      <w:smartTag w:uri="urn:schemas-microsoft-com:office:smarttags" w:element="metricconverter">
        <w:smartTagPr>
          <w:attr w:name="ProductID" w:val="9”"/>
        </w:smartTagPr>
        <w:r>
          <w:t>9”</w:t>
        </w:r>
      </w:smartTag>
      <w:r>
        <w:t>, en la que los integrantes que se e</w:t>
      </w:r>
      <w:r>
        <w:t>n</w:t>
      </w:r>
      <w:r>
        <w:t>contraban presentes, luego de proceder a la exhibición de la filmación y escuchar las explicaciones dadas por el m</w:t>
      </w:r>
      <w:r>
        <w:t>a</w:t>
      </w:r>
      <w:r>
        <w:t>gistrado federal, apoyaron sin objeciones su desempeño en la ca</w:t>
      </w:r>
      <w:r>
        <w:t>u</w:t>
      </w:r>
      <w:r>
        <w:t>sa.</w:t>
      </w:r>
    </w:p>
    <w:p w:rsidR="00224567" w:rsidRDefault="00224567">
      <w:pPr>
        <w:pStyle w:val="Textoindependiente"/>
        <w:spacing w:line="600" w:lineRule="auto"/>
      </w:pPr>
      <w:r>
        <w:tab/>
      </w:r>
      <w:r>
        <w:tab/>
        <w:t>Si bien en esa ocasión el juez Gale</w:t>
      </w:r>
      <w:r>
        <w:t>a</w:t>
      </w:r>
      <w:r>
        <w:t>no justificó haber filmado el encuentro con Telleldín en la necesidad de evaluar sus dichos con mayor precisión, en r</w:t>
      </w:r>
      <w:r>
        <w:t>a</w:t>
      </w:r>
      <w:r>
        <w:t>zón de su posible arrepentimiento y al eventual cobro de una recompensa por parte de éste, nada de ello se despre</w:t>
      </w:r>
      <w:r>
        <w:t>n</w:t>
      </w:r>
      <w:r>
        <w:t>día de la videocinta.</w:t>
      </w:r>
    </w:p>
    <w:p w:rsidR="00224567" w:rsidRDefault="00224567">
      <w:pPr>
        <w:pStyle w:val="Textoindependiente"/>
        <w:spacing w:line="600" w:lineRule="auto"/>
      </w:pPr>
      <w:r>
        <w:tab/>
      </w:r>
      <w:r>
        <w:tab/>
        <w:t>Así, el diputado Soria expresó en el juicio que, al tomar conocimiento de la sustracción del v</w:t>
      </w:r>
      <w:r>
        <w:t>i</w:t>
      </w:r>
      <w:r>
        <w:t>deo, se preocupó por ese hecho y por la difusión pública que podía darse a esa filmación, justificando las razones por las cuales el Dr. Galeano había decidido filmar la e</w:t>
      </w:r>
      <w:r>
        <w:t>n</w:t>
      </w:r>
      <w:r>
        <w:t>trevista con el detenido Telleldín.</w:t>
      </w:r>
    </w:p>
    <w:p w:rsidR="00224567" w:rsidRDefault="00224567">
      <w:pPr>
        <w:pStyle w:val="Textoindependiente"/>
        <w:spacing w:line="600" w:lineRule="auto"/>
      </w:pPr>
      <w:r>
        <w:tab/>
      </w:r>
      <w:r>
        <w:tab/>
        <w:t>En la misma dirección se pronunciaron el diputado Melchor René Cruchaga y el senador Raúl A</w:t>
      </w:r>
      <w:r>
        <w:t>l</w:t>
      </w:r>
      <w:r>
        <w:t>fredo Galván, quienes por entonces integraban la mencionada com</w:t>
      </w:r>
      <w:r>
        <w:t>i</w:t>
      </w:r>
      <w:r>
        <w:t>sión bicameral. Al igual que Soria, afirmaron  que  la  preocupación del organismo se centró en ev</w:t>
      </w:r>
      <w:r>
        <w:t>i</w:t>
      </w:r>
      <w:r>
        <w:t>tar la difusión de la cinta que, según entendieron los legisl</w:t>
      </w:r>
      <w:r>
        <w:t>a</w:t>
      </w:r>
      <w:r>
        <w:t>dores, tenía por objeto apartar al juez Galeano de la investigación de la causa A.M.I.A.</w:t>
      </w:r>
    </w:p>
    <w:p w:rsidR="00224567" w:rsidRDefault="00224567">
      <w:pPr>
        <w:pStyle w:val="Textoindependiente"/>
        <w:spacing w:line="600" w:lineRule="auto"/>
      </w:pPr>
      <w:r>
        <w:tab/>
      </w:r>
      <w:r>
        <w:tab/>
        <w:t>En forma concordante se expidió en el juicio Marcelo Juan Alberto Stubrin, quien pese a no int</w:t>
      </w:r>
      <w:r>
        <w:t>e</w:t>
      </w:r>
      <w:r>
        <w:t>grar la comisión parlamentaria a la época de los acontec</w:t>
      </w:r>
      <w:r>
        <w:t>i</w:t>
      </w:r>
      <w:r>
        <w:t>mientos, tomó conocimiento que la preocupación de los l</w:t>
      </w:r>
      <w:r>
        <w:t>e</w:t>
      </w:r>
      <w:r>
        <w:t>gisladores giraba en torno a la posible difusión pública del cont</w:t>
      </w:r>
      <w:r>
        <w:t>e</w:t>
      </w:r>
      <w:r>
        <w:t>nido del video.</w:t>
      </w:r>
    </w:p>
    <w:p w:rsidR="00224567" w:rsidRDefault="00224567">
      <w:pPr>
        <w:pStyle w:val="Textoindependiente"/>
        <w:spacing w:line="600" w:lineRule="auto"/>
      </w:pPr>
      <w:r>
        <w:tab/>
      </w:r>
      <w:r>
        <w:tab/>
        <w:t>Incluso, es de hacer notar que el Dr. Oyarbide, quien inicialmente instruyó la presente causa, fue invitado a participar de la reunión de la comisión pa</w:t>
      </w:r>
      <w:r>
        <w:t>r</w:t>
      </w:r>
      <w:r>
        <w:t>lamentaria del 8 de abril de 1997 con el objeto de que el magistrado apoyara al juez Galeano mediante el dictado de una serie de medidas.</w:t>
      </w:r>
    </w:p>
    <w:p w:rsidR="00224567" w:rsidRDefault="00224567">
      <w:pPr>
        <w:pStyle w:val="Textoindependiente"/>
        <w:spacing w:line="600" w:lineRule="auto"/>
      </w:pPr>
      <w:r>
        <w:tab/>
      </w:r>
      <w:r>
        <w:tab/>
        <w:t>Al respecto, fueron elocuentes las p</w:t>
      </w:r>
      <w:r>
        <w:t>a</w:t>
      </w:r>
      <w:r>
        <w:t>labras del diputado Soria, quien durante el debate afirmó que los legisladores expresaron al Dr. Oyarbide su tremenda preocupación por que se avanzara rápidame</w:t>
      </w:r>
      <w:r>
        <w:t>n</w:t>
      </w:r>
      <w:r>
        <w:t>te en la causa y enco</w:t>
      </w:r>
      <w:r>
        <w:t>n</w:t>
      </w:r>
      <w:r>
        <w:t>trara a los culpables, a la vez que le ofrecieron todo tipo de ayuda política.</w:t>
      </w:r>
    </w:p>
    <w:p w:rsidR="00224567" w:rsidRDefault="00224567">
      <w:pPr>
        <w:pStyle w:val="Textoindependiente"/>
        <w:spacing w:line="600" w:lineRule="auto"/>
      </w:pPr>
      <w:r>
        <w:tab/>
      </w:r>
      <w:r>
        <w:tab/>
        <w:t>En el mismo sentido se expresó el sen</w:t>
      </w:r>
      <w:r>
        <w:t>a</w:t>
      </w:r>
      <w:r>
        <w:t>dor Galván, quien sostuvo que el Dr. Oyarbide fue co</w:t>
      </w:r>
      <w:r>
        <w:t>n</w:t>
      </w:r>
      <w:r>
        <w:t>vocado a la reunión para solicitarle la adopción de medidas en forma urgente.</w:t>
      </w:r>
    </w:p>
    <w:p w:rsidR="00224567" w:rsidRDefault="00224567">
      <w:pPr>
        <w:pStyle w:val="Textoindependiente"/>
        <w:spacing w:line="600" w:lineRule="auto"/>
      </w:pPr>
      <w:r>
        <w:tab/>
      </w:r>
      <w:r>
        <w:tab/>
        <w:t>Curiosamente, tales peticiones se vi</w:t>
      </w:r>
      <w:r>
        <w:t>e</w:t>
      </w:r>
      <w:r>
        <w:t>ron plasmadas ese mismo día, al disponerse las d</w:t>
      </w:r>
      <w:r>
        <w:t>e</w:t>
      </w:r>
      <w:r>
        <w:t>tenciones de Mariano Cúneo Libarona, Juan Pablo Vigliero y Julio C</w:t>
      </w:r>
      <w:r>
        <w:t>é</w:t>
      </w:r>
      <w:r>
        <w:t>sar Ballestero, llevadas a cabo mediante una práctica que las defensas, en ocasión de recurrir el d</w:t>
      </w:r>
      <w:r>
        <w:t>e</w:t>
      </w:r>
      <w:r>
        <w:t>cisorio cautelar de fs. 761/792, no dudaron en calificar de “desatinada, vergonzosa y lacerante” y con “ribetes escandalosos”, mie</w:t>
      </w:r>
      <w:r>
        <w:t>n</w:t>
      </w:r>
      <w:r>
        <w:t>tras que la alzada la tildó de “incomprensible” (ver fs. 1403/1437).</w:t>
      </w:r>
    </w:p>
    <w:p w:rsidR="00224567" w:rsidRDefault="00224567">
      <w:pPr>
        <w:pStyle w:val="Textoindependiente"/>
        <w:spacing w:line="600" w:lineRule="auto"/>
      </w:pPr>
      <w:r>
        <w:tab/>
      </w:r>
      <w:r>
        <w:tab/>
        <w:t>Tampoco fue ajena al cometido de imp</w:t>
      </w:r>
      <w:r>
        <w:t>e</w:t>
      </w:r>
      <w:r>
        <w:t xml:space="preserve">dir la difusión del video la gestión llevada a cabo por el caricaturesco comisario Luis Ernesto Vicat, encargado del Área Especial de Investigación de </w:t>
      </w:r>
      <w:smartTag w:uri="urn:schemas-microsoft-com:office:smarttags" w:element="PersonName">
        <w:smartTagPr>
          <w:attr w:name="ProductID" w:val="la Secretar￭a"/>
        </w:smartTagPr>
        <w:r>
          <w:t>la Secretaría</w:t>
        </w:r>
      </w:smartTag>
      <w:r>
        <w:t xml:space="preserve"> de Segur</w:t>
      </w:r>
      <w:r>
        <w:t>i</w:t>
      </w:r>
      <w:r>
        <w:t xml:space="preserve">dad de </w:t>
      </w:r>
      <w:smartTag w:uri="urn:schemas-microsoft-com:office:smarttags" w:element="PersonName">
        <w:smartTagPr>
          <w:attr w:name="ProductID" w:val="la Provincia"/>
        </w:smartTagPr>
        <w:r>
          <w:t>la Provincia</w:t>
        </w:r>
      </w:smartTag>
      <w:r>
        <w:t xml:space="preserve"> de Buenos Aires, ante la revista “Not</w:t>
      </w:r>
      <w:r>
        <w:t>i</w:t>
      </w:r>
      <w:r>
        <w:t>cias”; gestión que fue reconocida por el nombrado al expl</w:t>
      </w:r>
      <w:r>
        <w:t>i</w:t>
      </w:r>
      <w:r>
        <w:t>car en la audiencia que concurrió a la redacción de dicho medio a fin de solicitar a su vicedirector que no publicara el material hasta que no fuera debidamente ch</w:t>
      </w:r>
      <w:r>
        <w:t>e</w:t>
      </w:r>
      <w:r>
        <w:t>queado.</w:t>
      </w:r>
    </w:p>
    <w:p w:rsidR="00224567" w:rsidRDefault="00224567">
      <w:pPr>
        <w:pStyle w:val="Textoindependiente"/>
        <w:spacing w:line="600" w:lineRule="auto"/>
      </w:pPr>
      <w:r>
        <w:tab/>
      </w:r>
      <w:r>
        <w:tab/>
        <w:t xml:space="preserve">Igualmente, el entonces presidente de </w:t>
      </w:r>
      <w:smartTag w:uri="urn:schemas-microsoft-com:office:smarttags" w:element="PersonName">
        <w:smartTagPr>
          <w:attr w:name="ProductID" w:val="la D.A"/>
        </w:smartTagPr>
        <w:r>
          <w:t>la D.A</w:t>
        </w:r>
      </w:smartTag>
      <w:r>
        <w:t>.I.A., Rubén Ezra Beraja, admitió que realizó gesti</w:t>
      </w:r>
      <w:r>
        <w:t>o</w:t>
      </w:r>
      <w:r>
        <w:t>nes ante la mencionada revista, en procura de evitar la p</w:t>
      </w:r>
      <w:r>
        <w:t>u</w:t>
      </w:r>
      <w:r>
        <w:t>blicación del material fílmico, advirtiendo a sus direct</w:t>
      </w:r>
      <w:r>
        <w:t>i</w:t>
      </w:r>
      <w:r>
        <w:t>vos acerca de la gravedad que podría i</w:t>
      </w:r>
      <w:r>
        <w:t>m</w:t>
      </w:r>
      <w:r>
        <w:t>plicar tal proceder. Ello, pese a su convicción, manifestada al declarar en el contradictorio, de que el video era un instrumento para asegurar la transparencia de la labor del magistrado.</w:t>
      </w:r>
    </w:p>
    <w:p w:rsidR="00224567" w:rsidRDefault="00224567">
      <w:pPr>
        <w:pStyle w:val="Textoindependiente"/>
        <w:spacing w:line="600" w:lineRule="auto"/>
      </w:pPr>
      <w:r>
        <w:tab/>
      </w:r>
      <w:r>
        <w:tab/>
        <w:t>En síntesis, resulta indudable que la criminalidad que tanto el Dr. Galeano como los acusadores asignaron al proceder de Juan José Ribelli no pudo demo</w:t>
      </w:r>
      <w:r>
        <w:t>s</w:t>
      </w:r>
      <w:r>
        <w:t>trarse en el debate, toda vez que los dichos del juez que confutaban la versión del imputado no encontraron corr</w:t>
      </w:r>
      <w:r>
        <w:t>e</w:t>
      </w:r>
      <w:r>
        <w:t>lato suficiente en las demás probanzas c</w:t>
      </w:r>
      <w:r>
        <w:t>o</w:t>
      </w:r>
      <w:r>
        <w:t>lectadas.</w:t>
      </w:r>
    </w:p>
    <w:p w:rsidR="00224567" w:rsidRDefault="00224567">
      <w:pPr>
        <w:pStyle w:val="Textoindependiente"/>
        <w:spacing w:line="600" w:lineRule="auto"/>
      </w:pPr>
      <w:r>
        <w:tab/>
      </w:r>
      <w:r>
        <w:tab/>
        <w:t>No obstante, es evidente que el cont</w:t>
      </w:r>
      <w:r>
        <w:t>e</w:t>
      </w:r>
      <w:r>
        <w:t>nido del video entregado por Ribelli, arrimó al pr</w:t>
      </w:r>
      <w:r>
        <w:t>o</w:t>
      </w:r>
      <w:r>
        <w:t>ceso una prueba que puso al descubierto, cuanto menos, una práctica clandestina de la instrucción, que el d</w:t>
      </w:r>
      <w:r>
        <w:t>e</w:t>
      </w:r>
      <w:r>
        <w:t>bate luego exhibió en mayor medida.</w:t>
      </w:r>
    </w:p>
    <w:p w:rsidR="00224567" w:rsidRDefault="00224567">
      <w:pPr>
        <w:widowControl w:val="0"/>
      </w:pPr>
    </w:p>
    <w:p w:rsidR="00224567" w:rsidRDefault="00224567">
      <w:pPr>
        <w:pStyle w:val="Ttulo2"/>
        <w:keepNext w:val="0"/>
        <w:widowControl w:val="0"/>
      </w:pPr>
      <w:r>
        <w:t>CAPÍTULO III</w:t>
      </w:r>
    </w:p>
    <w:p w:rsidR="00224567" w:rsidRDefault="00224567">
      <w:pPr>
        <w:pStyle w:val="Textoindependiente"/>
        <w:spacing w:line="600" w:lineRule="auto"/>
      </w:pPr>
    </w:p>
    <w:p w:rsidR="00224567" w:rsidRDefault="00224567">
      <w:pPr>
        <w:pStyle w:val="Textoindependiente"/>
        <w:spacing w:line="600" w:lineRule="auto"/>
      </w:pPr>
      <w:r>
        <w:tab/>
      </w:r>
      <w:r>
        <w:tab/>
        <w:t>En orden a la significación jurídica que corresponde asignarle al accionar de Juan José R</w:t>
      </w:r>
      <w:r>
        <w:t>i</w:t>
      </w:r>
      <w:r>
        <w:t>belli, de acuerdo a los hechos que se tuvieron por probados, el Tribunal discrepa con la querella y la fiscalía por cons</w:t>
      </w:r>
      <w:r>
        <w:t>i</w:t>
      </w:r>
      <w:r>
        <w:t>derar atípica la conducta del imputado, al no encuadrar en la f</w:t>
      </w:r>
      <w:r>
        <w:t>i</w:t>
      </w:r>
      <w:r>
        <w:t>gura de coacción agravada (art. 149 ter, inc. 2º, ap. a, del Código Penal), propiciada por los acusad</w:t>
      </w:r>
      <w:r>
        <w:t>o</w:t>
      </w:r>
      <w:r>
        <w:t>res, ni en la de amenazas (art. 149 bis, primer párrafo del Código P</w:t>
      </w:r>
      <w:r>
        <w:t>e</w:t>
      </w:r>
      <w:r>
        <w:t xml:space="preserve">nal), adoptada por </w:t>
      </w:r>
      <w:smartTag w:uri="urn:schemas-microsoft-com:office:smarttags" w:element="PersonName">
        <w:smartTagPr>
          <w:attr w:name="ProductID" w:val="la C￡mara"/>
        </w:smartTagPr>
        <w:r>
          <w:t>la Cám</w:t>
        </w:r>
        <w:r>
          <w:t>a</w:t>
        </w:r>
        <w:r>
          <w:t>ra</w:t>
        </w:r>
      </w:smartTag>
      <w:r>
        <w:t xml:space="preserve"> a fs. 1423/1437.</w:t>
      </w:r>
    </w:p>
    <w:p w:rsidR="00224567" w:rsidRDefault="00224567">
      <w:pPr>
        <w:pStyle w:val="Textoindependiente"/>
        <w:spacing w:line="600" w:lineRule="auto"/>
      </w:pPr>
      <w:r>
        <w:tab/>
      </w:r>
      <w:r>
        <w:tab/>
        <w:t>En ese entendimiento, dado que ambos delitos exigen una amenaza para su configuración, cabe an</w:t>
      </w:r>
      <w:r>
        <w:t>a</w:t>
      </w:r>
      <w:r>
        <w:t>lizar si, efect</w:t>
      </w:r>
      <w:r>
        <w:t>i</w:t>
      </w:r>
      <w:r>
        <w:t>vamente, dicho elemento se configuró en el hecho bajo examen.</w:t>
      </w:r>
    </w:p>
    <w:p w:rsidR="00224567" w:rsidRDefault="00224567">
      <w:pPr>
        <w:pStyle w:val="Textoindependiente"/>
        <w:spacing w:line="600" w:lineRule="auto"/>
      </w:pPr>
      <w:r>
        <w:tab/>
      </w:r>
      <w:r>
        <w:tab/>
        <w:t xml:space="preserve">De acuerdo al diccionario de </w:t>
      </w:r>
      <w:smartTag w:uri="urn:schemas-microsoft-com:office:smarttags" w:element="PersonName">
        <w:smartTagPr>
          <w:attr w:name="ProductID" w:val="la Real Academia"/>
        </w:smartTagPr>
        <w:r>
          <w:t>la Real Academia</w:t>
        </w:r>
      </w:smartTag>
      <w:r>
        <w:t xml:space="preserve"> Española amenazar, en su primera acepción, sign</w:t>
      </w:r>
      <w:r>
        <w:t>i</w:t>
      </w:r>
      <w:r>
        <w:t>fica “dar a entender con actos o palabras que se quiere h</w:t>
      </w:r>
      <w:r>
        <w:t>a</w:t>
      </w:r>
      <w:r>
        <w:t>cer algún mal a otro” (22ª ed. Espasa Calpe); es decir co</w:t>
      </w:r>
      <w:r>
        <w:t>m</w:t>
      </w:r>
      <w:r>
        <w:t>prende a toda manifestación del sujeto activo de ocasi</w:t>
      </w:r>
      <w:r>
        <w:t>o</w:t>
      </w:r>
      <w:r>
        <w:t>nar un mal o un daño futuro sobre la persona o bienes del suj</w:t>
      </w:r>
      <w:r>
        <w:t>e</w:t>
      </w:r>
      <w:r>
        <w:t>to pasivo, o sobre los de un tercero, que pueda influir s</w:t>
      </w:r>
      <w:r>
        <w:t>o</w:t>
      </w:r>
      <w:r>
        <w:t>bre la víctima.</w:t>
      </w:r>
    </w:p>
    <w:p w:rsidR="00224567" w:rsidRDefault="00224567">
      <w:pPr>
        <w:pStyle w:val="Textoindependiente"/>
        <w:spacing w:line="600" w:lineRule="auto"/>
      </w:pPr>
      <w:r>
        <w:tab/>
      </w:r>
      <w:r>
        <w:tab/>
        <w:t>La amenaza, entonces, contiene el anu</w:t>
      </w:r>
      <w:r>
        <w:t>n</w:t>
      </w:r>
      <w:r>
        <w:t>cio de un daño, toda vez que se trata de una lesión o d</w:t>
      </w:r>
      <w:r>
        <w:t>e</w:t>
      </w:r>
      <w:r>
        <w:t>trimento de un bien o interés de una persona, dependiente de la voluntad de quien lo expresa; debe ser fut</w:t>
      </w:r>
      <w:r>
        <w:t>u</w:t>
      </w:r>
      <w:r>
        <w:t>ro, ya que sólo de ese modo puede constituir un p</w:t>
      </w:r>
      <w:r>
        <w:t>e</w:t>
      </w:r>
      <w:r>
        <w:t>ligro potencial para la víctima, capaz de perturbar su normalidad vital (cónf. Creus, Carlos, “</w:t>
      </w:r>
      <w:r>
        <w:rPr>
          <w:iCs/>
        </w:rPr>
        <w:t>Derecho Penal, Parte Especial</w:t>
      </w:r>
      <w:r>
        <w:t>”, t. I, ed. Astrea, Buenos Aires, 1983, pág. 331. En el mismo sentido se expresan Soler, Sebastián, “Derecho Penal A</w:t>
      </w:r>
      <w:r>
        <w:t>r</w:t>
      </w:r>
      <w:r>
        <w:t>gentino”, t. IV, ed. Tea, 1987, Buenos Aires, págs. 77 y 82; Ure, Erne</w:t>
      </w:r>
      <w:r>
        <w:t>s</w:t>
      </w:r>
      <w:r>
        <w:t>to J., “</w:t>
      </w:r>
      <w:r>
        <w:rPr>
          <w:iCs/>
        </w:rPr>
        <w:t>Once Nuevos Delitos</w:t>
      </w:r>
      <w:r>
        <w:t>”, ed. Abeledo Perrot, 1969, págs. 17/21; Fontán Balestra, Carlos,</w:t>
      </w:r>
      <w:r>
        <w:rPr>
          <w:iCs/>
        </w:rPr>
        <w:t xml:space="preserve"> “Tratado de Derecho Penal</w:t>
      </w:r>
      <w:r>
        <w:t>”, t. V, segunda edición actualizada por Ledesma, Gu</w:t>
      </w:r>
      <w:r>
        <w:t>i</w:t>
      </w:r>
      <w:r>
        <w:t>llermo A. C., ed. Abeledo Perrot, Buenos Aires, pág. 339; Donna, E</w:t>
      </w:r>
      <w:r>
        <w:t>d</w:t>
      </w:r>
      <w:r>
        <w:t>gardo Alberto, “</w:t>
      </w:r>
      <w:r>
        <w:rPr>
          <w:iCs/>
        </w:rPr>
        <w:t>Derecho Penal, Parte Especial</w:t>
      </w:r>
      <w:r>
        <w:t>”, t. II-A, ed. Rubinzal Culzoni, 2001, pág. 247; Laje Anaya, Justo, “</w:t>
      </w:r>
      <w:r>
        <w:rPr>
          <w:iCs/>
        </w:rPr>
        <w:t>Comentarios al Código Penal. Parte Esp</w:t>
      </w:r>
      <w:r>
        <w:rPr>
          <w:iCs/>
        </w:rPr>
        <w:t>e</w:t>
      </w:r>
      <w:r>
        <w:rPr>
          <w:iCs/>
        </w:rPr>
        <w:t>cial</w:t>
      </w:r>
      <w:r>
        <w:t>”, t. I, Ediciones Depalma, 1978, pág. 157; Boumpadre, Jorge Edua</w:t>
      </w:r>
      <w:r>
        <w:t>r</w:t>
      </w:r>
      <w:r>
        <w:t>do, “Derecho Penal, Parte Esp</w:t>
      </w:r>
      <w:r>
        <w:t>e</w:t>
      </w:r>
      <w:r>
        <w:t>cial”, t. I, ed. Mave, 2003, pág. 589, entre otros).</w:t>
      </w:r>
    </w:p>
    <w:p w:rsidR="00224567" w:rsidRDefault="00224567">
      <w:pPr>
        <w:pStyle w:val="Textoindependiente"/>
        <w:spacing w:line="600" w:lineRule="auto"/>
      </w:pPr>
      <w:r>
        <w:tab/>
      </w:r>
      <w:r>
        <w:tab/>
        <w:t>En el delito regulado en el art. 149 bis, primer párrafo, del Código Penal, las amenazas deben tener la finalidad de “alarmar o amedrentar” a una o más pers</w:t>
      </w:r>
      <w:r>
        <w:t>o</w:t>
      </w:r>
      <w:r>
        <w:t>nas. Esto implica que la acción del sujeto activo debe estar dirigida a infundir miedo o atemorizar al sujeto p</w:t>
      </w:r>
      <w:r>
        <w:t>a</w:t>
      </w:r>
      <w:r>
        <w:t>sivo. En cambio, en el caso de las coacciones (art. 149 bis, segundo párrafo, del Código Penal) la amenaza se anu</w:t>
      </w:r>
      <w:r>
        <w:t>n</w:t>
      </w:r>
      <w:r>
        <w:t>cia con el objeto de lograr que la víctima se comporte de una determinada manera.</w:t>
      </w:r>
    </w:p>
    <w:p w:rsidR="00224567" w:rsidRDefault="00224567">
      <w:pPr>
        <w:pStyle w:val="Textoindependiente"/>
        <w:spacing w:line="600" w:lineRule="auto"/>
      </w:pPr>
      <w:r>
        <w:tab/>
      </w:r>
      <w:r>
        <w:tab/>
        <w:t>Al respecto, adviértase que mientras en el delito de amenazas el mal anunciado es un fin en sí mi</w:t>
      </w:r>
      <w:r>
        <w:t>s</w:t>
      </w:r>
      <w:r>
        <w:t>mo, en la coacción es un m</w:t>
      </w:r>
      <w:r>
        <w:t>e</w:t>
      </w:r>
      <w:r>
        <w:t>dio para el logro de un fin, que se traduce en obligar a otro a hacer, no hacer o tolerar algo en contra de su v</w:t>
      </w:r>
      <w:r>
        <w:t>o</w:t>
      </w:r>
      <w:r>
        <w:t>luntad.</w:t>
      </w:r>
    </w:p>
    <w:p w:rsidR="00224567" w:rsidRDefault="00224567">
      <w:pPr>
        <w:pStyle w:val="Textoindependiente"/>
        <w:spacing w:line="600" w:lineRule="auto"/>
      </w:pPr>
      <w:r>
        <w:tab/>
      </w:r>
      <w:r>
        <w:tab/>
        <w:t>En ambos casos, aunque las figuras p</w:t>
      </w:r>
      <w:r>
        <w:t>e</w:t>
      </w:r>
      <w:r>
        <w:t>nales no lo mencionen expresamente, es necesario que la amenaza sea grave, que se anuncie con seriedad, ya que de lo contrario no es posible amedrentar o motivar una dec</w:t>
      </w:r>
      <w:r>
        <w:t>i</w:t>
      </w:r>
      <w:r>
        <w:t>sión (cónf. Molinario, Alfredo J., “</w:t>
      </w:r>
      <w:r>
        <w:rPr>
          <w:iCs/>
        </w:rPr>
        <w:t>Los Delitos</w:t>
      </w:r>
      <w:r>
        <w:t>”, texto preparado y actualizado por Aguirre Obarrio, Eduardo, t. II, ed. Tea, Buenos Aires, 1996, pág. 29).</w:t>
      </w:r>
    </w:p>
    <w:p w:rsidR="00224567" w:rsidRDefault="00224567">
      <w:pPr>
        <w:pStyle w:val="Textoindependiente"/>
        <w:spacing w:line="600" w:lineRule="auto"/>
      </w:pPr>
      <w:r>
        <w:tab/>
      </w:r>
      <w:r>
        <w:tab/>
        <w:t>De no ser así, jamás podría lesiona</w:t>
      </w:r>
      <w:r>
        <w:t>r</w:t>
      </w:r>
      <w:r>
        <w:t>se la libertad psíquica o para d</w:t>
      </w:r>
      <w:r>
        <w:t>e</w:t>
      </w:r>
      <w:r>
        <w:t>terminarse del sujeto pasivo, es decir, los bienes jurídicos cuya afectación exigen los tipos penales de amenazas y coacciones, re</w:t>
      </w:r>
      <w:r>
        <w:t>s</w:t>
      </w:r>
      <w:r>
        <w:t>pectivamente.</w:t>
      </w:r>
    </w:p>
    <w:p w:rsidR="00224567" w:rsidRDefault="00224567">
      <w:pPr>
        <w:pStyle w:val="Textoindependiente"/>
        <w:spacing w:line="600" w:lineRule="auto"/>
      </w:pPr>
      <w:r>
        <w:tab/>
      </w:r>
      <w:r>
        <w:tab/>
        <w:t>Al respecto, se debe tener en cuenta que el criterio que hace imputable la amenaza surge, just</w:t>
      </w:r>
      <w:r>
        <w:t>a</w:t>
      </w:r>
      <w:r>
        <w:t>me</w:t>
      </w:r>
      <w:r>
        <w:t>n</w:t>
      </w:r>
      <w:r>
        <w:t>te, de la influencia que ésta ejerce sobre el ánimo del que la sufre, porque el temor despertado hace que se sienta m</w:t>
      </w:r>
      <w:r>
        <w:t>e</w:t>
      </w:r>
      <w:r>
        <w:t>nos libre y que se abstenga de muchas cosas que, sin ese temor, habría realizado tranquil</w:t>
      </w:r>
      <w:r>
        <w:t>a</w:t>
      </w:r>
      <w:r>
        <w:t xml:space="preserve">mente, o que realice otras que sin él no habría ejecutado (cónf. Carrara, Francesco, </w:t>
      </w:r>
      <w:r>
        <w:rPr>
          <w:iCs/>
        </w:rPr>
        <w:t>Programa de Derecho Criminal, Parte Especial</w:t>
      </w:r>
      <w:r>
        <w:t xml:space="preserve">, vol. </w:t>
      </w:r>
      <w:r>
        <w:rPr>
          <w:lang w:val="en-US"/>
        </w:rPr>
        <w:t xml:space="preserve">II, t. 4, ed. </w:t>
      </w:r>
      <w:r>
        <w:t>Temis, B</w:t>
      </w:r>
      <w:r>
        <w:t>o</w:t>
      </w:r>
      <w:r>
        <w:t>gotá, 1986, pág. 354).</w:t>
      </w:r>
    </w:p>
    <w:p w:rsidR="00224567" w:rsidRDefault="00224567">
      <w:pPr>
        <w:pStyle w:val="Textoindependiente"/>
        <w:spacing w:line="600" w:lineRule="auto"/>
      </w:pPr>
      <w:r>
        <w:tab/>
      </w:r>
      <w:r>
        <w:tab/>
        <w:t>En este punto, resulta conveniente de</w:t>
      </w:r>
      <w:r>
        <w:t>s</w:t>
      </w:r>
      <w:r>
        <w:t>tacar que por su gravedad la amenaza debe ser idónea para atem</w:t>
      </w:r>
      <w:r>
        <w:t>o</w:t>
      </w:r>
      <w:r>
        <w:t>rizar o amedrentar en el caso del art. 149 bis, primer párrafo del Código Penal, o para doblegar la voluntad del sujeto pasivo, en el supuesto del segundo apartado del a</w:t>
      </w:r>
      <w:r>
        <w:t>r</w:t>
      </w:r>
      <w:r>
        <w:t>tículo citado.</w:t>
      </w:r>
    </w:p>
    <w:p w:rsidR="00224567" w:rsidRDefault="00224567">
      <w:pPr>
        <w:pStyle w:val="Textoindependiente"/>
        <w:spacing w:line="600" w:lineRule="auto"/>
      </w:pPr>
      <w:r>
        <w:tab/>
      </w:r>
      <w:r>
        <w:tab/>
        <w:t>Ello significa que, independienteme</w:t>
      </w:r>
      <w:r>
        <w:t>n</w:t>
      </w:r>
      <w:r>
        <w:t>te del medio utilizado, que puede ser oral, escrito o incluso simbólico, el anuncio debe ser formulado de m</w:t>
      </w:r>
      <w:r>
        <w:t>a</w:t>
      </w:r>
      <w:r>
        <w:t>nera tal que resulte i</w:t>
      </w:r>
      <w:r>
        <w:t>n</w:t>
      </w:r>
      <w:r>
        <w:t>teligible como advertencia de un mal futuro para el suj</w:t>
      </w:r>
      <w:r>
        <w:t>e</w:t>
      </w:r>
      <w:r>
        <w:t xml:space="preserve">to pasivo (cónf. Creus, Carlos, </w:t>
      </w:r>
      <w:r>
        <w:rPr>
          <w:iCs/>
        </w:rPr>
        <w:t>ob. cit.</w:t>
      </w:r>
      <w:r>
        <w:t>, pág. 333).</w:t>
      </w:r>
    </w:p>
    <w:p w:rsidR="00224567" w:rsidRDefault="00224567">
      <w:pPr>
        <w:pStyle w:val="Textoindependiente"/>
        <w:spacing w:line="600" w:lineRule="auto"/>
      </w:pPr>
      <w:r>
        <w:tab/>
      </w:r>
      <w:r>
        <w:tab/>
        <w:t>Por otra parte, en el caso de la f</w:t>
      </w:r>
      <w:r>
        <w:t>i</w:t>
      </w:r>
      <w:r>
        <w:t>gura penal prevista en el primer párrafo del art. 149 bis, del Código Penal, también se requiere que la amenaza sea inju</w:t>
      </w:r>
      <w:r>
        <w:t>s</w:t>
      </w:r>
      <w:r>
        <w:t>ta (conf. Molinario, Alfredo J. y Aguirre Ob</w:t>
      </w:r>
      <w:r>
        <w:t>a</w:t>
      </w:r>
      <w:r>
        <w:t xml:space="preserve">rrio, Eduardo, </w:t>
      </w:r>
      <w:r>
        <w:rPr>
          <w:iCs/>
        </w:rPr>
        <w:t>ob. cit.</w:t>
      </w:r>
      <w:r>
        <w:t xml:space="preserve">, pág. 31; Soler, Sebastián, </w:t>
      </w:r>
      <w:r>
        <w:rPr>
          <w:iCs/>
        </w:rPr>
        <w:t>ob. cit.</w:t>
      </w:r>
      <w:r>
        <w:t>, pág. 83; Creus, Ca</w:t>
      </w:r>
      <w:r>
        <w:t>r</w:t>
      </w:r>
      <w:r>
        <w:t xml:space="preserve">los, </w:t>
      </w:r>
      <w:r>
        <w:rPr>
          <w:iCs/>
        </w:rPr>
        <w:t>ob. cit.</w:t>
      </w:r>
      <w:r>
        <w:t xml:space="preserve">, pág. 332; Fontán Balestra, Carlos, </w:t>
      </w:r>
      <w:r>
        <w:rPr>
          <w:iCs/>
        </w:rPr>
        <w:t>ob. cit.</w:t>
      </w:r>
      <w:r>
        <w:rPr>
          <w:i/>
        </w:rPr>
        <w:t xml:space="preserve">, </w:t>
      </w:r>
      <w:r>
        <w:t>pág. 341; Donna, Edgardo A</w:t>
      </w:r>
      <w:r>
        <w:t>l</w:t>
      </w:r>
      <w:r>
        <w:t xml:space="preserve">berto, </w:t>
      </w:r>
      <w:r>
        <w:rPr>
          <w:iCs/>
        </w:rPr>
        <w:t>ob. cit.</w:t>
      </w:r>
      <w:r>
        <w:t>, pág. 248 y, Nuñez, Ricardo C., “Tratado de Derecho Penal”, t</w:t>
      </w:r>
      <w:r>
        <w:t>o</w:t>
      </w:r>
      <w:r>
        <w:t>mo actualización, ed. Lerner, 1975, pág. 27, entre otros). Ello implica que el agente no deba tener derecho a provocar el daño que anuncia, lo que equivale a decir que el daño amenazado no tiene por qué ser soportado por el sujeto p</w:t>
      </w:r>
      <w:r>
        <w:t>a</w:t>
      </w:r>
      <w:r>
        <w:t>sivo.</w:t>
      </w:r>
    </w:p>
    <w:p w:rsidR="00224567" w:rsidRDefault="00224567">
      <w:pPr>
        <w:pStyle w:val="Textoindependiente"/>
        <w:spacing w:line="600" w:lineRule="auto"/>
      </w:pPr>
      <w:r>
        <w:tab/>
      </w:r>
      <w:r>
        <w:tab/>
        <w:t>Esta exigencia fue señalada por Carr</w:t>
      </w:r>
      <w:r>
        <w:t>a</w:t>
      </w:r>
      <w:r>
        <w:t>ra, al advertir “que muchas amenazas son inmunes a toda persecución penal, en virtud de la causa o del fin en que se inspiran..., casos en los que no puede encontrarse ni</w:t>
      </w:r>
      <w:r>
        <w:t>n</w:t>
      </w:r>
      <w:r>
        <w:t>guna criminosidad, porque sin duda falta el objeto j</w:t>
      </w:r>
      <w:r>
        <w:t>u</w:t>
      </w:r>
      <w:r>
        <w:t>rídico del delito y, aunque esos hechos se dirijan a infundir t</w:t>
      </w:r>
      <w:r>
        <w:t>e</w:t>
      </w:r>
      <w:r>
        <w:t>mor, y aunque puedan realmente infundirlo, no resulta de ellos ninguna relación contradictoria entre el hecho y el derecho, cuando el temor infundido tiende precisamente a contener al amenazado dentro de la obediencia a la ley m</w:t>
      </w:r>
      <w:r>
        <w:t>o</w:t>
      </w:r>
      <w:r>
        <w:t>ral o jurídica, sin invadir o restringir el ejercicio de su l</w:t>
      </w:r>
      <w:r>
        <w:t>i</w:t>
      </w:r>
      <w:r>
        <w:t>bertad de ninguna manera” (ob. cit., pág. 357/358).</w:t>
      </w:r>
    </w:p>
    <w:p w:rsidR="00224567" w:rsidRDefault="00224567">
      <w:pPr>
        <w:pStyle w:val="Textoindependiente"/>
        <w:spacing w:line="600" w:lineRule="auto"/>
      </w:pPr>
      <w:r>
        <w:tab/>
      </w:r>
      <w:r>
        <w:tab/>
        <w:t>En el caso de la coacción el daño am</w:t>
      </w:r>
      <w:r>
        <w:t>e</w:t>
      </w:r>
      <w:r>
        <w:t>nazado, al igual que la imposición, también tiene que ser injusto.</w:t>
      </w:r>
    </w:p>
    <w:p w:rsidR="00224567" w:rsidRDefault="00224567">
      <w:pPr>
        <w:pStyle w:val="Textoindependiente"/>
        <w:spacing w:line="600" w:lineRule="auto"/>
      </w:pPr>
      <w:r>
        <w:tab/>
      </w:r>
      <w:r>
        <w:tab/>
        <w:t>En este sentido, señala Creus, que la amenaza coaccionante puede provenir de la injusticia del daño anunciado, cuando éste no constituya el ejercicio de una facultad jurídica del agente, porque la exigencia no se refiere a una acción u omisión debida por el sujeto p</w:t>
      </w:r>
      <w:r>
        <w:t>a</w:t>
      </w:r>
      <w:r>
        <w:t>sivo, o porque la forma en que se lo quiere obligar a que cumpla con lo que le es exigible, es de suyo ilícita. Añade que “la injusticia de la imposición también puede proceder de la finalidad perseguida por el agente, aunque el daño anu</w:t>
      </w:r>
      <w:r>
        <w:t>n</w:t>
      </w:r>
      <w:r>
        <w:t>ciado no sea intrínsecamente injusto, al proceder de una facultad que le sea jurídicamente reconoc</w:t>
      </w:r>
      <w:r>
        <w:t>i</w:t>
      </w:r>
      <w:r>
        <w:t>da, si el anuncio se esgrime para exigir del sujeto pasivo algo que no está jurídicamente obligado a soportar, sea lícito... o il</w:t>
      </w:r>
      <w:r>
        <w:t>í</w:t>
      </w:r>
      <w:r>
        <w:t>cito” (</w:t>
      </w:r>
      <w:r>
        <w:rPr>
          <w:iCs/>
        </w:rPr>
        <w:t>ob. cit.</w:t>
      </w:r>
      <w:r>
        <w:t>, págs. 339/340).</w:t>
      </w:r>
    </w:p>
    <w:p w:rsidR="00224567" w:rsidRDefault="00224567">
      <w:pPr>
        <w:pStyle w:val="Textoindependiente"/>
        <w:spacing w:line="600" w:lineRule="auto"/>
      </w:pPr>
      <w:r>
        <w:tab/>
      </w:r>
      <w:r>
        <w:tab/>
        <w:t>Ahora bien, aplicados los principios enunciados al caso, resulta con claridad que  la  a</w:t>
      </w:r>
      <w:r>
        <w:t>c</w:t>
      </w:r>
      <w:r>
        <w:t>ción de Ribelli -entregar al juez Galeano, en un e</w:t>
      </w:r>
      <w:r>
        <w:t>n</w:t>
      </w:r>
      <w:r>
        <w:t>cuentro a solas, la videocinta-, no constituyó una amenaza en el sentido a</w:t>
      </w:r>
      <w:r>
        <w:t>n</w:t>
      </w:r>
      <w:r>
        <w:t>tes indicado, toda vez que no se advierte la injusticia de tal proceder desde que al nombrado le asistía, como a cua</w:t>
      </w:r>
      <w:r>
        <w:t>l</w:t>
      </w:r>
      <w:r>
        <w:t>quier otra persona, un legítimo derecho a denunciar su co</w:t>
      </w:r>
      <w:r>
        <w:t>n</w:t>
      </w:r>
      <w:r>
        <w:t>tenido o, cuanto menos, hacer saber al magistrado que con</w:t>
      </w:r>
      <w:r>
        <w:t>o</w:t>
      </w:r>
      <w:r>
        <w:t>cía lo que hacía a espa</w:t>
      </w:r>
      <w:r>
        <w:t>l</w:t>
      </w:r>
      <w:r>
        <w:t>das de casi todos los procesados.</w:t>
      </w:r>
    </w:p>
    <w:p w:rsidR="00224567" w:rsidRDefault="00224567">
      <w:pPr>
        <w:pStyle w:val="Textoindependiente"/>
        <w:spacing w:line="600" w:lineRule="auto"/>
      </w:pPr>
      <w:r>
        <w:tab/>
      </w:r>
      <w:r>
        <w:tab/>
        <w:t>Por lo tanto, al no haberse acredit</w:t>
      </w:r>
      <w:r>
        <w:t>a</w:t>
      </w:r>
      <w:r>
        <w:t>do una amenaza “injusta”, no es posible hablar del tipo penal previsto en el art. 149 bis, primer párrafo, del Código P</w:t>
      </w:r>
      <w:r>
        <w:t>e</w:t>
      </w:r>
      <w:r>
        <w:t>nal.</w:t>
      </w:r>
    </w:p>
    <w:p w:rsidR="00224567" w:rsidRDefault="00224567">
      <w:pPr>
        <w:pStyle w:val="Textoindependiente"/>
        <w:spacing w:line="600" w:lineRule="auto"/>
      </w:pPr>
      <w:r>
        <w:tab/>
      </w:r>
      <w:r>
        <w:tab/>
        <w:t>Por otra parte, tampoco el debate p</w:t>
      </w:r>
      <w:r>
        <w:t>u</w:t>
      </w:r>
      <w:r>
        <w:t>do demostrar, tal como lo exige el tipo penal de coa</w:t>
      </w:r>
      <w:r>
        <w:t>c</w:t>
      </w:r>
      <w:r>
        <w:t>ción, la finalidad que persiguió el imputado al entregar la vide</w:t>
      </w:r>
      <w:r>
        <w:t>o</w:t>
      </w:r>
      <w:r>
        <w:t>cinta.</w:t>
      </w:r>
    </w:p>
    <w:p w:rsidR="00224567" w:rsidRDefault="00224567">
      <w:pPr>
        <w:pStyle w:val="Textoindependiente"/>
        <w:spacing w:line="600" w:lineRule="auto"/>
      </w:pPr>
      <w:r>
        <w:tab/>
      </w:r>
      <w:r>
        <w:tab/>
        <w:t>En ese sentido, cabe recordar que ni</w:t>
      </w:r>
      <w:r>
        <w:t>n</w:t>
      </w:r>
      <w:r>
        <w:t>gún integrante del Juzgado Nacional en lo Criminal y C</w:t>
      </w:r>
      <w:r>
        <w:t>o</w:t>
      </w:r>
      <w:r>
        <w:t>rrecci</w:t>
      </w:r>
      <w:r>
        <w:t>o</w:t>
      </w:r>
      <w:r>
        <w:t>nal Federal n° 9 conoció, concretamente, cuál fue el propósito que tuvo en miras Ribelli con su actitud; prop</w:t>
      </w:r>
      <w:r>
        <w:t>ó</w:t>
      </w:r>
      <w:r>
        <w:t>sito del que no dieron cuenta los miembros de la comisión bicameral que, como se dijo, conocieron del episodio de b</w:t>
      </w:r>
      <w:r>
        <w:t>o</w:t>
      </w:r>
      <w:r>
        <w:t>ca del Dr. Galeano.</w:t>
      </w:r>
    </w:p>
    <w:p w:rsidR="00224567" w:rsidRDefault="00224567">
      <w:pPr>
        <w:pStyle w:val="Textoindependiente"/>
        <w:spacing w:line="600" w:lineRule="auto"/>
      </w:pPr>
      <w:r>
        <w:tab/>
      </w:r>
      <w:r>
        <w:tab/>
        <w:t>Tampoco las expr</w:t>
      </w:r>
      <w:r>
        <w:t>e</w:t>
      </w:r>
      <w:r>
        <w:t>siones vertidas en la etapa anterior por el Dr. Galeano permiten satisf</w:t>
      </w:r>
      <w:r>
        <w:t>a</w:t>
      </w:r>
      <w:r>
        <w:t>cer aquél i</w:t>
      </w:r>
      <w:r>
        <w:t>n</w:t>
      </w:r>
      <w:r>
        <w:t>terrogante.</w:t>
      </w:r>
    </w:p>
    <w:p w:rsidR="00224567" w:rsidRDefault="00224567">
      <w:pPr>
        <w:pStyle w:val="Textoindependiente"/>
        <w:spacing w:line="600" w:lineRule="auto"/>
      </w:pPr>
      <w:r>
        <w:tab/>
      </w:r>
      <w:r>
        <w:tab/>
        <w:t>El Dr. Juan José Galeano no mencionó circunstancia alguna que permitiera inferir aquella final</w:t>
      </w:r>
      <w:r>
        <w:t>i</w:t>
      </w:r>
      <w:r>
        <w:t>dad, en el acta de fs. 1 del sumario administr</w:t>
      </w:r>
      <w:r>
        <w:t>a</w:t>
      </w:r>
      <w:r>
        <w:t>tivo nº 124, labrada el mismo día de la entrevista, ni al evacuar el i</w:t>
      </w:r>
      <w:r>
        <w:t>n</w:t>
      </w:r>
      <w:r>
        <w:t>forme de fs. 246/248, como así tampoco al re</w:t>
      </w:r>
      <w:r>
        <w:t>s</w:t>
      </w:r>
      <w:r>
        <w:t>ponderle a fs. 753 al juez Oyarbide, cuando éste lo inqu</w:t>
      </w:r>
      <w:r>
        <w:t>i</w:t>
      </w:r>
      <w:r>
        <w:t>rió acerca de los gestos y demás expresiones que le habría proferido Ribelli en procura de intimidarlo o coaccionar psíquicamente su l</w:t>
      </w:r>
      <w:r>
        <w:t>i</w:t>
      </w:r>
      <w:r>
        <w:t>bertad de decisión fu</w:t>
      </w:r>
      <w:r>
        <w:t>n</w:t>
      </w:r>
      <w:r>
        <w:t>cional.</w:t>
      </w:r>
    </w:p>
    <w:p w:rsidR="00224567" w:rsidRDefault="00224567">
      <w:pPr>
        <w:pStyle w:val="Textoindependiente"/>
        <w:spacing w:line="600" w:lineRule="auto"/>
      </w:pPr>
      <w:r>
        <w:tab/>
      </w:r>
      <w:r>
        <w:tab/>
        <w:t>Sin embargo, seis años y nueve meses más tarde, al declarar por escrito en el debate, el Dr. G</w:t>
      </w:r>
      <w:r>
        <w:t>a</w:t>
      </w:r>
      <w:r>
        <w:t>leano explicitó, por primera vez, el supuesto designio cr</w:t>
      </w:r>
      <w:r>
        <w:t>i</w:t>
      </w:r>
      <w:r>
        <w:t>minal de Ribelli. En esa oportunidad, indicó: “... e</w:t>
      </w:r>
      <w:r>
        <w:t>n</w:t>
      </w:r>
      <w:r>
        <w:t>tendí que con su actitud pretendía que hiciera algo contrario a la ley que lo favoreciera, sin tener en cuenta las consta</w:t>
      </w:r>
      <w:r>
        <w:t>n</w:t>
      </w:r>
      <w:r>
        <w:t>cias del proceso, concretamente, disponer su libertad” y que “al come</w:t>
      </w:r>
      <w:r>
        <w:t>n</w:t>
      </w:r>
      <w:r>
        <w:t>zar a verlo, una vez terminada la entrevista, entendí que se trataba de una clara maniobra extorsiva, t</w:t>
      </w:r>
      <w:r>
        <w:t>e</w:t>
      </w:r>
      <w:r>
        <w:t>niendo en cuenta las expresiones que mencioné anteriormente y que en el inicio de la proye</w:t>
      </w:r>
      <w:r>
        <w:t>c</w:t>
      </w:r>
      <w:r>
        <w:t>ción aparecieron imágenes de chicos y respecto de las cuales interpreté que se prete</w:t>
      </w:r>
      <w:r>
        <w:t>n</w:t>
      </w:r>
      <w:r>
        <w:t>día hacer una comparación con mis hijos. Luego, al comprobar que se trataba de una copia de la entrevista que meses a</w:t>
      </w:r>
      <w:r>
        <w:t>n</w:t>
      </w:r>
      <w:r>
        <w:t>tes había mantenido con Carlos Telleldín, co</w:t>
      </w:r>
      <w:r>
        <w:t>m</w:t>
      </w:r>
      <w:r>
        <w:t>probé que las imágenes del comienzo fueron insertadas ya que los videos obtenidos por este juzgado no las tenían, con lo cual c</w:t>
      </w:r>
      <w:r>
        <w:t>o</w:t>
      </w:r>
      <w:r>
        <w:t>rroboré el espíritu intimidatorio con que había sido entr</w:t>
      </w:r>
      <w:r>
        <w:t>e</w:t>
      </w:r>
      <w:r>
        <w:t>gado a la vez que entendí que si concedía su libertad, ese video no se difundiría”.</w:t>
      </w:r>
    </w:p>
    <w:p w:rsidR="00224567" w:rsidRDefault="00224567">
      <w:pPr>
        <w:pStyle w:val="Textoindependiente"/>
        <w:spacing w:line="600" w:lineRule="auto"/>
      </w:pPr>
      <w:r>
        <w:tab/>
      </w:r>
      <w:r>
        <w:tab/>
        <w:t>Resulta asombroso, que luego del pr</w:t>
      </w:r>
      <w:r>
        <w:t>o</w:t>
      </w:r>
      <w:r>
        <w:t>longado tiempo transcurrido, se pudiese aportar tan prec</w:t>
      </w:r>
      <w:r>
        <w:t>i</w:t>
      </w:r>
      <w:r>
        <w:t>sos recuerdos. Cuestan comprender las razones por las cu</w:t>
      </w:r>
      <w:r>
        <w:t>a</w:t>
      </w:r>
      <w:r>
        <w:t>les dichas circunstancias no fueron arrimadas por el magi</w:t>
      </w:r>
      <w:r>
        <w:t>s</w:t>
      </w:r>
      <w:r>
        <w:t>trado en sus anteriores informes confeccionados a poco de ocurrido el incidente. Además, deviene sumamente llamat</w:t>
      </w:r>
      <w:r>
        <w:t>i</w:t>
      </w:r>
      <w:r>
        <w:t>vo que pese a la “clara maniobra extorsiva” de la que d</w:t>
      </w:r>
      <w:r>
        <w:t>i</w:t>
      </w:r>
      <w:r>
        <w:t>jo fue víctima, la que entendió “cabalmente” ni bien vio el video junto a los actuarios, conforme su re</w:t>
      </w:r>
      <w:r>
        <w:t>s</w:t>
      </w:r>
      <w:r>
        <w:t>puesta a la pregunta nº 10 de su testimonio, no hubiese un atisbo de ella en ocasión de formular la denuncia que dio inicio a las pr</w:t>
      </w:r>
      <w:r>
        <w:t>e</w:t>
      </w:r>
      <w:r>
        <w:t>sentes a</w:t>
      </w:r>
      <w:r>
        <w:t>c</w:t>
      </w:r>
      <w:r>
        <w:t>tuaciones.</w:t>
      </w:r>
    </w:p>
    <w:p w:rsidR="00224567" w:rsidRDefault="00224567">
      <w:pPr>
        <w:pStyle w:val="Textoindependiente"/>
        <w:spacing w:line="600" w:lineRule="auto"/>
      </w:pPr>
      <w:r>
        <w:tab/>
      </w:r>
      <w:r>
        <w:tab/>
        <w:t>Tampoco pudo deducirse aquella s</w:t>
      </w:r>
      <w:r>
        <w:t>u</w:t>
      </w:r>
      <w:r>
        <w:t>puesta finalidad, como lo pretendieron los representantes de la querella, de la conversación mantenida entre el Dr. Cúneo Lib</w:t>
      </w:r>
      <w:r>
        <w:t>a</w:t>
      </w:r>
      <w:r>
        <w:t>rona y Matilde Elvira Svatetz, obrante a fs. 61/62 del legajo de transcripciones de escuchas telefón</w:t>
      </w:r>
      <w:r>
        <w:t>i</w:t>
      </w:r>
      <w:r>
        <w:t>cas.</w:t>
      </w:r>
    </w:p>
    <w:p w:rsidR="00224567" w:rsidRDefault="00224567">
      <w:pPr>
        <w:pStyle w:val="Textoindependiente"/>
        <w:spacing w:line="600" w:lineRule="auto"/>
      </w:pPr>
      <w:r>
        <w:tab/>
      </w:r>
      <w:r>
        <w:tab/>
        <w:t>Al ser propalada en la sala de audie</w:t>
      </w:r>
      <w:r>
        <w:t>n</w:t>
      </w:r>
      <w:r>
        <w:t>cias la escucha telefónica de la línea 478-0746 (c</w:t>
      </w:r>
      <w:r>
        <w:t>a</w:t>
      </w:r>
      <w:r>
        <w:t>sete n° 14 del 4/4/97, lado “A”, vuelta 282) se constató el s</w:t>
      </w:r>
      <w:r>
        <w:t>i</w:t>
      </w:r>
      <w:r>
        <w:t>guiente di</w:t>
      </w:r>
      <w:r>
        <w:t>á</w:t>
      </w:r>
      <w:r>
        <w:t>logo:</w:t>
      </w:r>
    </w:p>
    <w:p w:rsidR="00224567" w:rsidRDefault="00224567">
      <w:pPr>
        <w:widowControl w:val="0"/>
      </w:pPr>
      <w:r>
        <w:t>Llama al control Matilde, atiende Mariano Cúneo Libar</w:t>
      </w:r>
      <w:r>
        <w:t>o</w:t>
      </w:r>
      <w:r>
        <w:t>na</w:t>
      </w:r>
    </w:p>
    <w:p w:rsidR="00224567" w:rsidRDefault="00224567">
      <w:pPr>
        <w:widowControl w:val="0"/>
      </w:pPr>
      <w:r>
        <w:t>-Marta me dijo que te llamara...</w:t>
      </w:r>
    </w:p>
    <w:p w:rsidR="00224567" w:rsidRDefault="00224567">
      <w:pPr>
        <w:widowControl w:val="0"/>
      </w:pPr>
      <w:r>
        <w:t>-Hablé con ella recién...pero no...no se bien para qué.</w:t>
      </w:r>
    </w:p>
    <w:p w:rsidR="00224567" w:rsidRDefault="00224567">
      <w:pPr>
        <w:widowControl w:val="0"/>
      </w:pPr>
      <w:r>
        <w:t>-¿Para qué quería que yo hable contigo...?</w:t>
      </w:r>
    </w:p>
    <w:p w:rsidR="00224567" w:rsidRDefault="00224567">
      <w:pPr>
        <w:widowControl w:val="0"/>
      </w:pPr>
      <w:r>
        <w:t>-Sí...</w:t>
      </w:r>
    </w:p>
    <w:p w:rsidR="00224567" w:rsidRDefault="00224567">
      <w:pPr>
        <w:widowControl w:val="0"/>
      </w:pPr>
      <w:r>
        <w:t>-...no se...</w:t>
      </w:r>
    </w:p>
    <w:p w:rsidR="00224567" w:rsidRDefault="00224567">
      <w:pPr>
        <w:widowControl w:val="0"/>
      </w:pPr>
      <w:r>
        <w:t>-Básicamente lo que dije, que esto era muy jod</w:t>
      </w:r>
      <w:r>
        <w:t>i</w:t>
      </w:r>
      <w:r>
        <w:t>do...viste...</w:t>
      </w:r>
    </w:p>
    <w:p w:rsidR="00224567" w:rsidRDefault="00224567">
      <w:pPr>
        <w:widowControl w:val="0"/>
      </w:pPr>
      <w:r>
        <w:t>-¿Cómo?</w:t>
      </w:r>
    </w:p>
    <w:p w:rsidR="00224567" w:rsidRDefault="00224567">
      <w:pPr>
        <w:widowControl w:val="0"/>
      </w:pPr>
      <w:r>
        <w:t>-¿Te acordás el tema aquél...?</w:t>
      </w:r>
    </w:p>
    <w:p w:rsidR="00224567" w:rsidRDefault="00224567">
      <w:pPr>
        <w:widowControl w:val="0"/>
      </w:pPr>
      <w:r>
        <w:t>-Sí.</w:t>
      </w:r>
    </w:p>
    <w:p w:rsidR="00224567" w:rsidRDefault="00224567">
      <w:pPr>
        <w:widowControl w:val="0"/>
      </w:pPr>
      <w:r>
        <w:t>-Bueno, trascendió como la gran puta y...yo creo que acá va a explotar en el algún momento...</w:t>
      </w:r>
    </w:p>
    <w:p w:rsidR="00224567" w:rsidRDefault="00224567">
      <w:pPr>
        <w:widowControl w:val="0"/>
      </w:pPr>
      <w:r>
        <w:t>-(le dice a una tercera persona: “cerrame la puerta”) ¿C</w:t>
      </w:r>
      <w:r>
        <w:t>ó</w:t>
      </w:r>
      <w:r>
        <w:t>mo me decís Mariano?</w:t>
      </w:r>
    </w:p>
    <w:p w:rsidR="00224567" w:rsidRDefault="00224567">
      <w:pPr>
        <w:widowControl w:val="0"/>
      </w:pPr>
      <w:r>
        <w:t>-Que aquél tema trascendió por causas ajenas a mi v</w:t>
      </w:r>
      <w:r>
        <w:t>o</w:t>
      </w:r>
      <w:r>
        <w:t>luntad y va a explotar en algún momento.</w:t>
      </w:r>
    </w:p>
    <w:p w:rsidR="00224567" w:rsidRDefault="00224567">
      <w:pPr>
        <w:widowControl w:val="0"/>
      </w:pPr>
      <w:r>
        <w:t>-¿Trascendió, para dónde...?</w:t>
      </w:r>
    </w:p>
    <w:p w:rsidR="00224567" w:rsidRDefault="00224567">
      <w:pPr>
        <w:widowControl w:val="0"/>
      </w:pPr>
      <w:r>
        <w:t>-Para todos lados, para los medios...para el gobierno, p</w:t>
      </w:r>
      <w:r>
        <w:t>a</w:t>
      </w:r>
      <w:r>
        <w:t xml:space="preserve">ra </w:t>
      </w:r>
      <w:smartTag w:uri="urn:schemas-microsoft-com:office:smarttags" w:element="PersonName">
        <w:smartTagPr>
          <w:attr w:name="ProductID" w:val="la D.A"/>
        </w:smartTagPr>
        <w:r>
          <w:t>la D.A</w:t>
        </w:r>
      </w:smartTag>
      <w:r>
        <w:t>.I.A., para la embajada de Estados Unidos...</w:t>
      </w:r>
    </w:p>
    <w:p w:rsidR="00224567" w:rsidRDefault="00224567">
      <w:pPr>
        <w:widowControl w:val="0"/>
      </w:pPr>
      <w:r>
        <w:t>-Ah...¿ya trascendió?</w:t>
      </w:r>
    </w:p>
    <w:p w:rsidR="00224567" w:rsidRDefault="00224567">
      <w:pPr>
        <w:widowControl w:val="0"/>
      </w:pPr>
      <w:r>
        <w:t>-Sí.</w:t>
      </w:r>
    </w:p>
    <w:p w:rsidR="00224567" w:rsidRDefault="00224567">
      <w:pPr>
        <w:widowControl w:val="0"/>
      </w:pPr>
      <w:r>
        <w:t>-El muchacho que tenía el elemento en cuestión, ¿qué hizo con eso...?</w:t>
      </w:r>
    </w:p>
    <w:p w:rsidR="00224567" w:rsidRDefault="00224567">
      <w:pPr>
        <w:widowControl w:val="0"/>
      </w:pPr>
      <w:r>
        <w:t>-Eh...</w:t>
      </w:r>
    </w:p>
    <w:p w:rsidR="00224567" w:rsidRDefault="00224567">
      <w:pPr>
        <w:widowControl w:val="0"/>
      </w:pPr>
      <w:r>
        <w:t>-¿Salió corriendo él...?</w:t>
      </w:r>
    </w:p>
    <w:p w:rsidR="00224567" w:rsidRDefault="00224567">
      <w:pPr>
        <w:widowControl w:val="0"/>
      </w:pPr>
      <w:r>
        <w:t>-Eh...está tratando de conectar cualquier cosa, para ver si lo puede colar en algún lado.</w:t>
      </w:r>
    </w:p>
    <w:p w:rsidR="00224567" w:rsidRDefault="00224567">
      <w:pPr>
        <w:widowControl w:val="0"/>
      </w:pPr>
      <w:r>
        <w:t>-¿Está qué...?</w:t>
      </w:r>
    </w:p>
    <w:p w:rsidR="00224567" w:rsidRDefault="00224567">
      <w:pPr>
        <w:widowControl w:val="0"/>
      </w:pPr>
      <w:r>
        <w:t>-Está tratando de colarlo en algún lugar...</w:t>
      </w:r>
    </w:p>
    <w:p w:rsidR="00224567" w:rsidRDefault="00224567">
      <w:pPr>
        <w:widowControl w:val="0"/>
      </w:pPr>
      <w:r>
        <w:t>-¿Y cómo en algún lugar...?</w:t>
      </w:r>
    </w:p>
    <w:p w:rsidR="00224567" w:rsidRDefault="00224567">
      <w:pPr>
        <w:widowControl w:val="0"/>
      </w:pPr>
      <w:r>
        <w:t>-En algún lugar público.</w:t>
      </w:r>
    </w:p>
    <w:p w:rsidR="00224567" w:rsidRDefault="00224567">
      <w:pPr>
        <w:widowControl w:val="0"/>
      </w:pPr>
      <w:r>
        <w:t>-¿El receptor o el emisor?</w:t>
      </w:r>
    </w:p>
    <w:p w:rsidR="00224567" w:rsidRDefault="00224567">
      <w:pPr>
        <w:widowControl w:val="0"/>
      </w:pPr>
      <w:r>
        <w:t>-El receptor digamos...</w:t>
      </w:r>
    </w:p>
    <w:p w:rsidR="00224567" w:rsidRDefault="00224567">
      <w:pPr>
        <w:widowControl w:val="0"/>
      </w:pPr>
      <w:r>
        <w:t>-¿Y para qué lo quiere colar en algún lugar público?</w:t>
      </w:r>
    </w:p>
    <w:p w:rsidR="00224567" w:rsidRDefault="00224567">
      <w:pPr>
        <w:widowControl w:val="0"/>
      </w:pPr>
      <w:r>
        <w:t>-Porque es la única garantía que existe de lo que puede pasar acá...</w:t>
      </w:r>
    </w:p>
    <w:p w:rsidR="00224567" w:rsidRDefault="00224567">
      <w:pPr>
        <w:widowControl w:val="0"/>
      </w:pPr>
      <w:r>
        <w:t>-No entiendo...no entiendo...</w:t>
      </w:r>
    </w:p>
    <w:p w:rsidR="00224567" w:rsidRDefault="00224567">
      <w:pPr>
        <w:widowControl w:val="0"/>
      </w:pPr>
      <w:r>
        <w:t>-Claro, mucho más no puedo decirte...</w:t>
      </w:r>
    </w:p>
    <w:p w:rsidR="00224567" w:rsidRDefault="00224567">
      <w:pPr>
        <w:widowControl w:val="0"/>
      </w:pPr>
      <w:r>
        <w:t>-¿Él lo quiere colar él mismo...?</w:t>
      </w:r>
    </w:p>
    <w:p w:rsidR="00224567" w:rsidRDefault="00224567">
      <w:pPr>
        <w:widowControl w:val="0"/>
      </w:pPr>
      <w:r>
        <w:t>-Él lo quiere meter, exactamente.</w:t>
      </w:r>
    </w:p>
    <w:p w:rsidR="00224567" w:rsidRDefault="00224567">
      <w:pPr>
        <w:widowControl w:val="0"/>
      </w:pPr>
      <w:r>
        <w:t>-¿Para qué?</w:t>
      </w:r>
    </w:p>
    <w:p w:rsidR="00224567" w:rsidRDefault="00224567">
      <w:pPr>
        <w:widowControl w:val="0"/>
      </w:pPr>
      <w:r>
        <w:t>-Para...porque es la única garantía de que esto...porque no hubo ningún tipo de posibilidad de que esta gente reb</w:t>
      </w:r>
      <w:r>
        <w:t>o</w:t>
      </w:r>
      <w:r>
        <w:t>bine, de que piensen...reflexionen, por el contrario, t</w:t>
      </w:r>
      <w:r>
        <w:t>o</w:t>
      </w:r>
      <w:r>
        <w:t>maron un posición agresiva...o estúpida en contra de toda lógica...sobre esa base, no queda otra forma que ir para ad</w:t>
      </w:r>
      <w:r>
        <w:t>e</w:t>
      </w:r>
      <w:r>
        <w:t>lante.</w:t>
      </w:r>
    </w:p>
    <w:p w:rsidR="00224567" w:rsidRDefault="00224567">
      <w:pPr>
        <w:widowControl w:val="0"/>
      </w:pPr>
      <w:r>
        <w:t>-Por eso, entonces no es el receptor de eso...el emisor de eso...</w:t>
      </w:r>
    </w:p>
    <w:p w:rsidR="00224567" w:rsidRDefault="00224567">
      <w:pPr>
        <w:widowControl w:val="0"/>
      </w:pPr>
      <w:r>
        <w:t>-Claro, exactamente...</w:t>
      </w:r>
    </w:p>
    <w:p w:rsidR="00224567" w:rsidRDefault="00224567">
      <w:pPr>
        <w:widowControl w:val="0"/>
      </w:pPr>
      <w:r>
        <w:t>-O sea, el tipo que utilizaba esto, ahora quiere hacerlo trascender...</w:t>
      </w:r>
    </w:p>
    <w:p w:rsidR="00224567" w:rsidRDefault="00224567">
      <w:pPr>
        <w:widowControl w:val="0"/>
      </w:pPr>
      <w:r>
        <w:t>-Sí.</w:t>
      </w:r>
    </w:p>
    <w:p w:rsidR="00224567" w:rsidRDefault="00224567">
      <w:pPr>
        <w:widowControl w:val="0"/>
      </w:pPr>
      <w:r>
        <w:t>-¿Y por qué los otros tomaron una posición agresiva?</w:t>
      </w:r>
    </w:p>
    <w:p w:rsidR="00224567" w:rsidRDefault="00224567">
      <w:pPr>
        <w:widowControl w:val="0"/>
      </w:pPr>
      <w:r>
        <w:t>-Porque son unos pelotudos...</w:t>
      </w:r>
    </w:p>
    <w:p w:rsidR="00224567" w:rsidRDefault="00224567">
      <w:pPr>
        <w:widowControl w:val="0"/>
      </w:pPr>
      <w:r>
        <w:t>-Así que ahora digamos vos lo tenés digamos fuera de co</w:t>
      </w:r>
      <w:r>
        <w:t>n</w:t>
      </w:r>
      <w:r>
        <w:t>trol a esto...</w:t>
      </w:r>
    </w:p>
    <w:p w:rsidR="00224567" w:rsidRDefault="00224567">
      <w:pPr>
        <w:widowControl w:val="0"/>
      </w:pPr>
      <w:r>
        <w:t>-Totalmente...no, más o menos...más o menos...pero yo te</w:t>
      </w:r>
      <w:r>
        <w:t>n</w:t>
      </w:r>
      <w:r>
        <w:t>go que ir para adelante, ¿qué querés que haga?</w:t>
      </w:r>
    </w:p>
    <w:p w:rsidR="00224567" w:rsidRDefault="00224567">
      <w:pPr>
        <w:widowControl w:val="0"/>
      </w:pPr>
      <w:r>
        <w:t>Matilde le dice que ella tiene un día muy complicado con gente de afuera del país y le pide que si tiene un m</w:t>
      </w:r>
      <w:r>
        <w:t>i</w:t>
      </w:r>
      <w:r>
        <w:t>nuto después de las ocho y media o nueve de la noche, en la c</w:t>
      </w:r>
      <w:r>
        <w:t>a</w:t>
      </w:r>
      <w:r>
        <w:t>sa de Marta, para hablar sobre este tema y la cuestión t</w:t>
      </w:r>
      <w:r>
        <w:t>e</w:t>
      </w:r>
      <w:r>
        <w:t>lev</w:t>
      </w:r>
      <w:r>
        <w:t>i</w:t>
      </w:r>
      <w:r>
        <w:t>siva de Samantha. Se despiden y cortan.</w:t>
      </w:r>
    </w:p>
    <w:p w:rsidR="00224567" w:rsidRDefault="00224567">
      <w:pPr>
        <w:widowControl w:val="0"/>
      </w:pPr>
      <w:r>
        <w:tab/>
        <w:t>Al respecto, corresponde señalar que Matilde Elvira Sv</w:t>
      </w:r>
      <w:r>
        <w:t>a</w:t>
      </w:r>
      <w:r>
        <w:t>tetz reconoció tanto su voz como la del Dr. Cúneo Libar</w:t>
      </w:r>
      <w:r>
        <w:t>o</w:t>
      </w:r>
      <w:r>
        <w:t>na; no obstante, poco fue lo que aportó en relación a los términos empleados en dicha conversación, limitándose a indicar que el Dr. Cúneo Libarona le come</w:t>
      </w:r>
      <w:r>
        <w:t>n</w:t>
      </w:r>
      <w:r>
        <w:t>tó que tenía un problema muy importante vinculado con “un elemento”, acerca del cual nunca le dio detalles, no p</w:t>
      </w:r>
      <w:r>
        <w:t>u</w:t>
      </w:r>
      <w:r>
        <w:t>diendo comprender a qué se ref</w:t>
      </w:r>
      <w:r>
        <w:t>e</w:t>
      </w:r>
      <w:r>
        <w:t>ría con ello.</w:t>
      </w:r>
    </w:p>
    <w:p w:rsidR="00224567" w:rsidRDefault="00224567">
      <w:pPr>
        <w:widowControl w:val="0"/>
      </w:pPr>
      <w:r>
        <w:tab/>
        <w:t>La ambigüedad del diálogo en cue</w:t>
      </w:r>
      <w:r>
        <w:t>s</w:t>
      </w:r>
      <w:r>
        <w:t>tión, sumado a la explicación ofrecida por Matilde Svatetz, i</w:t>
      </w:r>
      <w:r>
        <w:t>m</w:t>
      </w:r>
      <w:r>
        <w:t>pide deducir algún propósito en el accionar de Ribelli, quien ni siquiera fue nombrado en el curso de la convers</w:t>
      </w:r>
      <w:r>
        <w:t>a</w:t>
      </w:r>
      <w:r>
        <w:t>ción.</w:t>
      </w:r>
    </w:p>
    <w:p w:rsidR="00224567" w:rsidRDefault="00224567">
      <w:pPr>
        <w:widowControl w:val="0"/>
      </w:pPr>
      <w:r>
        <w:tab/>
      </w:r>
      <w:r>
        <w:tab/>
        <w:t>Igualmente resulta de nula utilidad para acr</w:t>
      </w:r>
      <w:r>
        <w:t>e</w:t>
      </w:r>
      <w:r>
        <w:t>ditar aquel extremo la plática mantenida entre el Dr. Cúneo Libarona y el Dr. Hugo Pinto, registrada en el casete n° 10, del 3/4/97, línea 478-0746, lado “A”, vuelta 1000, de la que surge:</w:t>
      </w:r>
    </w:p>
    <w:p w:rsidR="00224567" w:rsidRDefault="00224567">
      <w:pPr>
        <w:widowControl w:val="0"/>
      </w:pPr>
      <w:r>
        <w:t>2) Un señor llama al control: Hugo.</w:t>
      </w:r>
    </w:p>
    <w:p w:rsidR="00224567" w:rsidRDefault="00224567">
      <w:pPr>
        <w:widowControl w:val="0"/>
      </w:pPr>
      <w:r>
        <w:t>1) Atiende un señor: Juan Pablo</w:t>
      </w:r>
    </w:p>
    <w:p w:rsidR="00224567" w:rsidRDefault="00224567">
      <w:pPr>
        <w:widowControl w:val="0"/>
      </w:pPr>
      <w:r>
        <w:t>Se saludan:</w:t>
      </w:r>
    </w:p>
    <w:p w:rsidR="00224567" w:rsidRDefault="00224567">
      <w:pPr>
        <w:widowControl w:val="0"/>
      </w:pPr>
      <w:r>
        <w:t>1) Está bastante feo el tema.</w:t>
      </w:r>
    </w:p>
    <w:p w:rsidR="00224567" w:rsidRDefault="00224567">
      <w:pPr>
        <w:widowControl w:val="0"/>
      </w:pPr>
      <w:r>
        <w:t>2) ¿Qué pasa?</w:t>
      </w:r>
    </w:p>
    <w:p w:rsidR="00224567" w:rsidRDefault="00224567">
      <w:pPr>
        <w:widowControl w:val="0"/>
      </w:pPr>
      <w:r>
        <w:t>1) Mariano está hablando por el otro teléfono. Te va a p</w:t>
      </w:r>
      <w:r>
        <w:t>e</w:t>
      </w:r>
      <w:r>
        <w:t>dir que vengas...</w:t>
      </w:r>
    </w:p>
    <w:p w:rsidR="00224567" w:rsidRDefault="00224567">
      <w:pPr>
        <w:widowControl w:val="0"/>
      </w:pPr>
      <w:r>
        <w:t>2) No puedo, contame qué pasa.</w:t>
      </w:r>
    </w:p>
    <w:p w:rsidR="00224567" w:rsidRDefault="00224567">
      <w:pPr>
        <w:widowControl w:val="0"/>
      </w:pPr>
      <w:r>
        <w:t>1) Te paso.</w:t>
      </w:r>
    </w:p>
    <w:p w:rsidR="00224567" w:rsidRDefault="00224567">
      <w:pPr>
        <w:widowControl w:val="0"/>
      </w:pPr>
      <w:r>
        <w:t>Interviene en la comunicación Mariano Cúneo Libarona (3)</w:t>
      </w:r>
    </w:p>
    <w:p w:rsidR="00224567" w:rsidRDefault="00224567">
      <w:pPr>
        <w:widowControl w:val="0"/>
      </w:pPr>
      <w:r>
        <w:t>Se saludan:</w:t>
      </w:r>
    </w:p>
    <w:p w:rsidR="00224567" w:rsidRDefault="00224567">
      <w:pPr>
        <w:widowControl w:val="0"/>
      </w:pPr>
      <w:r>
        <w:t>2) ¿Qué pasa?</w:t>
      </w:r>
    </w:p>
    <w:p w:rsidR="00224567" w:rsidRDefault="00224567">
      <w:pPr>
        <w:widowControl w:val="0"/>
      </w:pPr>
      <w:r>
        <w:t xml:space="preserve">3) El tema es así: tenemos que blanquear la existencia del aparato..., que está. Y aportarlo a </w:t>
      </w:r>
      <w:smartTag w:uri="urn:schemas-microsoft-com:office:smarttags" w:element="PersonName">
        <w:smartTagPr>
          <w:attr w:name="ProductID" w:val="la C￡mara"/>
        </w:smartTagPr>
        <w:r>
          <w:t>la Cámara</w:t>
        </w:r>
      </w:smartTag>
      <w:r>
        <w:t>, Corte, Co</w:t>
      </w:r>
      <w:r>
        <w:t>n</w:t>
      </w:r>
      <w:r>
        <w:t>greso, no se qué más se me ocurre..., Embaj</w:t>
      </w:r>
      <w:r>
        <w:t>a</w:t>
      </w:r>
      <w:r>
        <w:t>da...</w:t>
      </w:r>
    </w:p>
    <w:p w:rsidR="00224567" w:rsidRDefault="00224567">
      <w:pPr>
        <w:widowControl w:val="0"/>
      </w:pPr>
      <w:r>
        <w:t>2) ¿Por qué?</w:t>
      </w:r>
    </w:p>
    <w:p w:rsidR="00224567" w:rsidRDefault="00224567">
      <w:pPr>
        <w:widowControl w:val="0"/>
      </w:pPr>
      <w:r>
        <w:t>3) Porque esto es gravísimo, en el sentido de que el co</w:t>
      </w:r>
      <w:r>
        <w:t>n</w:t>
      </w:r>
      <w:r>
        <w:t>tenido es gravísimo y por una cuestión de derecho nos</w:t>
      </w:r>
      <w:r>
        <w:t>o</w:t>
      </w:r>
      <w:r>
        <w:t>tros tenemos que legalizar esto. ¿Me entendés?</w:t>
      </w:r>
    </w:p>
    <w:p w:rsidR="00224567" w:rsidRDefault="00224567">
      <w:pPr>
        <w:widowControl w:val="0"/>
      </w:pPr>
      <w:r>
        <w:t>2) Pero hasta ahora nadie sabe que lo tenías...</w:t>
      </w:r>
    </w:p>
    <w:p w:rsidR="00224567" w:rsidRDefault="00224567">
      <w:pPr>
        <w:widowControl w:val="0"/>
      </w:pPr>
      <w:r>
        <w:t>3) No, no, pero ya ha trascendido, se sabe por el juzg</w:t>
      </w:r>
      <w:r>
        <w:t>a</w:t>
      </w:r>
      <w:r>
        <w:t>do..., ¿te acordás el operativo?</w:t>
      </w:r>
    </w:p>
    <w:p w:rsidR="00224567" w:rsidRDefault="00224567">
      <w:pPr>
        <w:widowControl w:val="0"/>
      </w:pPr>
      <w:r>
        <w:t>2) Sí.</w:t>
      </w:r>
    </w:p>
    <w:p w:rsidR="00224567" w:rsidRDefault="00224567">
      <w:pPr>
        <w:widowControl w:val="0"/>
      </w:pPr>
      <w:r>
        <w:t>3) Bueno, el juzgado frente a eso armó un gran quilo</w:t>
      </w:r>
      <w:r>
        <w:t>m</w:t>
      </w:r>
      <w:r>
        <w:t>bo...</w:t>
      </w:r>
    </w:p>
    <w:p w:rsidR="00224567" w:rsidRDefault="00224567">
      <w:pPr>
        <w:widowControl w:val="0"/>
      </w:pPr>
      <w:r>
        <w:t>2) ¿Qué hizo?</w:t>
      </w:r>
    </w:p>
    <w:p w:rsidR="00224567" w:rsidRDefault="00224567">
      <w:pPr>
        <w:widowControl w:val="0"/>
      </w:pPr>
      <w:r>
        <w:t>3) El juzgado, no se bien, no lo tengo claro, ¿viste? P</w:t>
      </w:r>
      <w:r>
        <w:t>e</w:t>
      </w:r>
      <w:r>
        <w:t>ro desde denuncia de sustracción hasta quilombo. Pero nos</w:t>
      </w:r>
      <w:r>
        <w:t>o</w:t>
      </w:r>
      <w:r>
        <w:t>tros tenemos que cumplir con el rol de abogado, que es que exi</w:t>
      </w:r>
      <w:r>
        <w:t>s</w:t>
      </w:r>
      <w:r>
        <w:t>te esto...</w:t>
      </w:r>
    </w:p>
    <w:p w:rsidR="00224567" w:rsidRDefault="00224567">
      <w:pPr>
        <w:widowControl w:val="0"/>
      </w:pPr>
      <w:r>
        <w:t>2) Seguro que te tenés que dar por enterado cuando se a</w:t>
      </w:r>
      <w:r>
        <w:t>r</w:t>
      </w:r>
      <w:r>
        <w:t>me quilombo...</w:t>
      </w:r>
    </w:p>
    <w:p w:rsidR="00224567" w:rsidRDefault="00224567">
      <w:pPr>
        <w:widowControl w:val="0"/>
      </w:pPr>
      <w:r>
        <w:t>3) No, ya se arma mañana a la mañana...</w:t>
      </w:r>
    </w:p>
    <w:p w:rsidR="00224567" w:rsidRDefault="00224567">
      <w:pPr>
        <w:widowControl w:val="0"/>
      </w:pPr>
      <w:r>
        <w:t>2) Bueno, mañana te das por enterado que estaba, si a</w:t>
      </w:r>
      <w:r>
        <w:t>n</w:t>
      </w:r>
      <w:r>
        <w:t>tes no lo conocías...</w:t>
      </w:r>
    </w:p>
    <w:p w:rsidR="00224567" w:rsidRDefault="00224567">
      <w:pPr>
        <w:widowControl w:val="0"/>
      </w:pPr>
      <w:r>
        <w:t>3) Lógico. Lo que quiero decirte es, pensá si estoy equ</w:t>
      </w:r>
      <w:r>
        <w:t>i</w:t>
      </w:r>
      <w:r>
        <w:t>vocado, esto va a salir en todos lados mañana a la mañ</w:t>
      </w:r>
      <w:r>
        <w:t>a</w:t>
      </w:r>
      <w:r>
        <w:t>na. Creo que va a salir, según la lectura, puede haber dos v</w:t>
      </w:r>
      <w:r>
        <w:t>a</w:t>
      </w:r>
      <w:r>
        <w:t xml:space="preserve">riantes. Una variante que es un horror en </w:t>
      </w:r>
      <w:smartTag w:uri="urn:schemas-microsoft-com:office:smarttags" w:element="PersonName">
        <w:smartTagPr>
          <w:attr w:name="ProductID" w:val="la Argentina"/>
        </w:smartTagPr>
        <w:r>
          <w:t>la Arge</w:t>
        </w:r>
        <w:r>
          <w:t>n</w:t>
        </w:r>
        <w:r>
          <w:t>tina</w:t>
        </w:r>
      </w:smartTag>
      <w:r>
        <w:t xml:space="preserve"> lo que pasa. Una primer lectura. Otra segunda lectura es la “samanthización” del caso A.M.I.A., ¿me ente</w:t>
      </w:r>
      <w:r>
        <w:t>n</w:t>
      </w:r>
      <w:r>
        <w:t>dés? Donde me quieran embocar, pero nosotros, salvo que yo piense que esté equivocado, lo que tenemos que hacer es recurrir a la justicia y a los medios que tiene la justicia, para lo cual creo que tenemos que decir: miren, hemos tomado con</w:t>
      </w:r>
      <w:r>
        <w:t>o</w:t>
      </w:r>
      <w:r>
        <w:t>cimiento de esto. Corr</w:t>
      </w:r>
      <w:r>
        <w:t>e</w:t>
      </w:r>
      <w:r>
        <w:t>gime, a ver si estoy equivocado...</w:t>
      </w:r>
    </w:p>
    <w:p w:rsidR="00224567" w:rsidRDefault="00224567">
      <w:pPr>
        <w:widowControl w:val="0"/>
      </w:pPr>
      <w:r>
        <w:t>2) Yo creo que no tenés que hacer nada.</w:t>
      </w:r>
    </w:p>
    <w:p w:rsidR="00224567" w:rsidRDefault="00224567">
      <w:pPr>
        <w:widowControl w:val="0"/>
      </w:pPr>
      <w:r>
        <w:t>3) ¿Por qué?</w:t>
      </w:r>
    </w:p>
    <w:p w:rsidR="00224567" w:rsidRDefault="00224567">
      <w:pPr>
        <w:widowControl w:val="0"/>
      </w:pPr>
      <w:r>
        <w:t>2) Porque eso es un probl</w:t>
      </w:r>
      <w:r>
        <w:t>e</w:t>
      </w:r>
      <w:r>
        <w:t>ma que consiguió este tipo y vos no estabas enterado.</w:t>
      </w:r>
    </w:p>
    <w:p w:rsidR="00224567" w:rsidRDefault="00224567">
      <w:pPr>
        <w:widowControl w:val="0"/>
      </w:pPr>
      <w:r>
        <w:t>3) No, eso estamos de acuerdo. Pero a partir de la ext</w:t>
      </w:r>
      <w:r>
        <w:t>e</w:t>
      </w:r>
      <w:r>
        <w:t>riorización de esto, ¿qué hacemos con nuestro rol de ab</w:t>
      </w:r>
      <w:r>
        <w:t>o</w:t>
      </w:r>
      <w:r>
        <w:t>gado?</w:t>
      </w:r>
    </w:p>
    <w:p w:rsidR="00224567" w:rsidRDefault="00224567">
      <w:pPr>
        <w:widowControl w:val="0"/>
      </w:pPr>
      <w:r>
        <w:t>2) Nada, tenés que dejar que el juez se excuse.</w:t>
      </w:r>
    </w:p>
    <w:p w:rsidR="00224567" w:rsidRDefault="00224567">
      <w:pPr>
        <w:widowControl w:val="0"/>
      </w:pPr>
      <w:r>
        <w:t>3) ¿Directamente?</w:t>
      </w:r>
    </w:p>
    <w:p w:rsidR="00224567" w:rsidRDefault="00224567">
      <w:pPr>
        <w:widowControl w:val="0"/>
      </w:pPr>
      <w:r>
        <w:t>2) Claro, ¿qué querés hacer? El juez se excusará y segu</w:t>
      </w:r>
      <w:r>
        <w:t>i</w:t>
      </w:r>
      <w:r>
        <w:t>rá.</w:t>
      </w:r>
    </w:p>
    <w:p w:rsidR="00224567" w:rsidRDefault="00224567">
      <w:pPr>
        <w:widowControl w:val="0"/>
      </w:pPr>
      <w:r>
        <w:t>3) No tenemos que aportarlo directamente nosotros al ju</w:t>
      </w:r>
      <w:r>
        <w:t>z</w:t>
      </w:r>
      <w:r>
        <w:t>gado que toque, pedir la recusación...</w:t>
      </w:r>
    </w:p>
    <w:p w:rsidR="00224567" w:rsidRDefault="00224567">
      <w:pPr>
        <w:widowControl w:val="0"/>
      </w:pPr>
      <w:r>
        <w:t>2) Pero vas a decir de dónde lo sacaste...</w:t>
      </w:r>
    </w:p>
    <w:p w:rsidR="00224567" w:rsidRDefault="00224567">
      <w:pPr>
        <w:widowControl w:val="0"/>
      </w:pPr>
      <w:r>
        <w:t>3) Yo digo la verdad..., a mi me la dieron. Yo digo la verdad...</w:t>
      </w:r>
    </w:p>
    <w:p w:rsidR="00224567" w:rsidRDefault="00224567">
      <w:pPr>
        <w:widowControl w:val="0"/>
      </w:pPr>
      <w:r>
        <w:t>2) Dejá..., porque tenés que seguir explicando cosas, d</w:t>
      </w:r>
      <w:r>
        <w:t>e</w:t>
      </w:r>
      <w:r>
        <w:t>já que lo explique el cliente. Si él lo consiguió.</w:t>
      </w:r>
    </w:p>
    <w:p w:rsidR="00224567" w:rsidRDefault="00224567">
      <w:pPr>
        <w:widowControl w:val="0"/>
      </w:pPr>
      <w:r>
        <w:t>3) Por eso, él lo explica y que se banque...</w:t>
      </w:r>
    </w:p>
    <w:p w:rsidR="00224567" w:rsidRDefault="00224567">
      <w:pPr>
        <w:widowControl w:val="0"/>
      </w:pPr>
      <w:r>
        <w:t>2) Que se la banque él, a vos te conviene tener un rol de abogado y estar ajeno a todas esas cosas. Yo no creo, es decir, si vos lo que decís es evitar que te digan que “s</w:t>
      </w:r>
      <w:r>
        <w:t>a</w:t>
      </w:r>
      <w:r>
        <w:t>manthizaste” este asunto.</w:t>
      </w:r>
    </w:p>
    <w:p w:rsidR="00224567" w:rsidRDefault="00224567">
      <w:pPr>
        <w:widowControl w:val="0"/>
      </w:pPr>
      <w:r>
        <w:t>3) Borrarme...</w:t>
      </w:r>
    </w:p>
    <w:p w:rsidR="00224567" w:rsidRDefault="00224567">
      <w:pPr>
        <w:widowControl w:val="0"/>
      </w:pPr>
      <w:r>
        <w:t>2) No tenés..., es decir, Mariano, pensá que cuando t</w:t>
      </w:r>
      <w:r>
        <w:t>o</w:t>
      </w:r>
      <w:r>
        <w:t>más esas iniciativas es cuando vos te ponés al frente y si e</w:t>
      </w:r>
      <w:r>
        <w:t>s</w:t>
      </w:r>
      <w:r>
        <w:t>tás al frente te cachetean...</w:t>
      </w:r>
    </w:p>
    <w:p w:rsidR="00224567" w:rsidRDefault="00224567">
      <w:pPr>
        <w:widowControl w:val="0"/>
      </w:pPr>
      <w:r>
        <w:t>3) Que la tome el juzgado...</w:t>
      </w:r>
    </w:p>
    <w:p w:rsidR="00224567" w:rsidRDefault="00224567">
      <w:pPr>
        <w:widowControl w:val="0"/>
      </w:pPr>
      <w:r>
        <w:t>2) Dejá, el juzgado se va a tener que excusar..., ¿ente</w:t>
      </w:r>
      <w:r>
        <w:t>n</w:t>
      </w:r>
      <w:r>
        <w:t>dés? En base al contenido, porque al margen de decir si se afanó o no se afanó el cliente ese “coso”...</w:t>
      </w:r>
    </w:p>
    <w:p w:rsidR="00224567" w:rsidRDefault="00224567">
      <w:pPr>
        <w:widowControl w:val="0"/>
      </w:pPr>
      <w:r>
        <w:t>3) Sí, el contenido es de terror...</w:t>
      </w:r>
    </w:p>
    <w:p w:rsidR="00224567" w:rsidRDefault="00224567">
      <w:pPr>
        <w:widowControl w:val="0"/>
      </w:pPr>
      <w:r>
        <w:t>2) El contenido mismo es como para que se exc</w:t>
      </w:r>
      <w:r>
        <w:t>u</w:t>
      </w:r>
      <w:r>
        <w:t>se...¿entendés? Entonces, cuando cualquiera diga: ust</w:t>
      </w:r>
      <w:r>
        <w:t>e</w:t>
      </w:r>
      <w:r>
        <w:t>des sabían. No, yo no sabía nada, esta es una cosa que fue sorpresiva, se lo entregó un anónimo a la familia de mi clie</w:t>
      </w:r>
      <w:r>
        <w:t>n</w:t>
      </w:r>
      <w:r>
        <w:t>te. Yo de eso no sabía nada.</w:t>
      </w:r>
    </w:p>
    <w:p w:rsidR="00224567" w:rsidRDefault="00224567">
      <w:pPr>
        <w:widowControl w:val="0"/>
      </w:pPr>
      <w:r>
        <w:t>3) La verdad, yo me enteré cuando me lo trajo este pelot</w:t>
      </w:r>
      <w:r>
        <w:t>u</w:t>
      </w:r>
      <w:r>
        <w:t>do.</w:t>
      </w:r>
    </w:p>
    <w:p w:rsidR="00224567" w:rsidRDefault="00224567">
      <w:pPr>
        <w:widowControl w:val="0"/>
      </w:pPr>
      <w:r>
        <w:t>2) No tiene ningún sentido a que vos te vayas a antic</w:t>
      </w:r>
      <w:r>
        <w:t>i</w:t>
      </w:r>
      <w:r>
        <w:t>par, ¡¿a qué...!?</w:t>
      </w:r>
    </w:p>
    <w:p w:rsidR="00224567" w:rsidRDefault="00224567">
      <w:pPr>
        <w:widowControl w:val="0"/>
      </w:pPr>
      <w:r>
        <w:t>3) Está bien, esperamos como reacciona..., mañana no se con qué dimensión los medios y cómo reacciona..., no se tampoco con qué dimensión el juzgado. Esperamos.</w:t>
      </w:r>
    </w:p>
    <w:p w:rsidR="00224567" w:rsidRDefault="00224567">
      <w:pPr>
        <w:widowControl w:val="0"/>
      </w:pPr>
      <w:r>
        <w:t>2) A mi me parece que no se justifica salir corriendo a hacer cosas...</w:t>
      </w:r>
    </w:p>
    <w:p w:rsidR="00224567" w:rsidRDefault="00224567">
      <w:pPr>
        <w:widowControl w:val="0"/>
      </w:pPr>
      <w:r>
        <w:t>3) (...) Está bien, esperamos a ver como reacciona. Yo e</w:t>
      </w:r>
      <w:r>
        <w:t>s</w:t>
      </w:r>
      <w:r>
        <w:t>toy cagado.</w:t>
      </w:r>
    </w:p>
    <w:p w:rsidR="00224567" w:rsidRDefault="00224567">
      <w:pPr>
        <w:widowControl w:val="0"/>
      </w:pPr>
      <w:r>
        <w:t>2) ¿Cagado en qué sentido?</w:t>
      </w:r>
    </w:p>
    <w:p w:rsidR="00224567" w:rsidRDefault="00224567">
      <w:pPr>
        <w:widowControl w:val="0"/>
      </w:pPr>
      <w:r>
        <w:t>3) No se, boludo, que pueden hacer estos locos, ¿viste?</w:t>
      </w:r>
    </w:p>
    <w:p w:rsidR="00224567" w:rsidRDefault="00224567">
      <w:pPr>
        <w:widowControl w:val="0"/>
      </w:pPr>
      <w:r>
        <w:t>2) Mmmm.</w:t>
      </w:r>
    </w:p>
    <w:p w:rsidR="00224567" w:rsidRDefault="00224567">
      <w:pPr>
        <w:widowControl w:val="0"/>
      </w:pPr>
      <w:r>
        <w:t>3) No se como puede tomarse esto...,¿me entendés?</w:t>
      </w:r>
    </w:p>
    <w:p w:rsidR="00224567" w:rsidRDefault="00224567">
      <w:pPr>
        <w:widowControl w:val="0"/>
      </w:pPr>
      <w:r>
        <w:t>2) Mmmm...</w:t>
      </w:r>
    </w:p>
    <w:p w:rsidR="00224567" w:rsidRDefault="00224567">
      <w:pPr>
        <w:widowControl w:val="0"/>
      </w:pPr>
      <w:r>
        <w:t>3)(...)</w:t>
      </w:r>
    </w:p>
    <w:p w:rsidR="00224567" w:rsidRDefault="00224567">
      <w:pPr>
        <w:widowControl w:val="0"/>
      </w:pPr>
      <w:r>
        <w:t>2) Está bien, yo creo que hay que esperar.</w:t>
      </w:r>
    </w:p>
    <w:p w:rsidR="00224567" w:rsidRDefault="00224567">
      <w:pPr>
        <w:widowControl w:val="0"/>
      </w:pPr>
      <w:r>
        <w:t>3) Está bien, me gusta.</w:t>
      </w:r>
    </w:p>
    <w:p w:rsidR="00224567" w:rsidRDefault="00224567">
      <w:pPr>
        <w:widowControl w:val="0"/>
      </w:pPr>
      <w:r>
        <w:t>2) Vos no hiciste nada malo, vos fuiste a una indagat</w:t>
      </w:r>
      <w:r>
        <w:t>o</w:t>
      </w:r>
      <w:r>
        <w:t>ria y no hiciste nada de malo...</w:t>
      </w:r>
    </w:p>
    <w:p w:rsidR="00224567" w:rsidRDefault="00224567">
      <w:pPr>
        <w:widowControl w:val="0"/>
      </w:pPr>
      <w:r>
        <w:t>3) Yo no hice nada de malo, boludo, qué querés que te d</w:t>
      </w:r>
      <w:r>
        <w:t>i</w:t>
      </w:r>
      <w:r>
        <w:t>ga, pero tengo miedo que acá haya intereses que nos reco</w:t>
      </w:r>
      <w:r>
        <w:t>n</w:t>
      </w:r>
      <w:r>
        <w:t>tra superen..., que quieran decir: esto es afanado, esto es falsificado, esto se lo afanó Cúneo, esto lo “saman</w:t>
      </w:r>
      <w:r>
        <w:t>t</w:t>
      </w:r>
      <w:r>
        <w:t>hizó”..., qué se yo.</w:t>
      </w:r>
    </w:p>
    <w:p w:rsidR="00224567" w:rsidRDefault="00224567">
      <w:pPr>
        <w:widowControl w:val="0"/>
      </w:pPr>
      <w:r>
        <w:t>2) Bueno, cuanto más te muevas vos para defender la situ</w:t>
      </w:r>
      <w:r>
        <w:t>a</w:t>
      </w:r>
      <w:r>
        <w:t>ción, más lo van a decir...</w:t>
      </w:r>
    </w:p>
    <w:p w:rsidR="00224567" w:rsidRDefault="00224567">
      <w:pPr>
        <w:widowControl w:val="0"/>
      </w:pPr>
      <w:r>
        <w:t>3) Está bien.</w:t>
      </w:r>
    </w:p>
    <w:p w:rsidR="00224567" w:rsidRDefault="00224567">
      <w:pPr>
        <w:widowControl w:val="0"/>
      </w:pPr>
      <w:r>
        <w:t>2) Cuanto más alejado está de eso, menos te lo van a d</w:t>
      </w:r>
      <w:r>
        <w:t>e</w:t>
      </w:r>
      <w:r>
        <w:t>cir.</w:t>
      </w:r>
    </w:p>
    <w:p w:rsidR="00224567" w:rsidRDefault="00224567">
      <w:pPr>
        <w:widowControl w:val="0"/>
      </w:pPr>
      <w:r>
        <w:t xml:space="preserve">3) Tengo que desaparecer. Está claro, me gustó. </w:t>
      </w:r>
    </w:p>
    <w:p w:rsidR="00224567" w:rsidRDefault="00224567">
      <w:pPr>
        <w:widowControl w:val="0"/>
      </w:pPr>
      <w:r>
        <w:t>2) Bueno.</w:t>
      </w:r>
    </w:p>
    <w:p w:rsidR="00224567" w:rsidRDefault="00224567">
      <w:pPr>
        <w:widowControl w:val="0"/>
      </w:pPr>
      <w:r>
        <w:t>3) Bueno, un abrazo.</w:t>
      </w:r>
    </w:p>
    <w:p w:rsidR="00224567" w:rsidRDefault="00224567">
      <w:pPr>
        <w:widowControl w:val="0"/>
      </w:pPr>
      <w:r>
        <w:t>Se despiden y cortan.</w:t>
      </w:r>
    </w:p>
    <w:p w:rsidR="00224567" w:rsidRDefault="00224567">
      <w:pPr>
        <w:widowControl w:val="0"/>
      </w:pPr>
      <w:r>
        <w:tab/>
        <w:t>En el debate, el Dr. Hugo Pinto, tras reconocer su voz, refirió que el Dr. Cúneo Libarona le c</w:t>
      </w:r>
      <w:r>
        <w:t>o</w:t>
      </w:r>
      <w:r>
        <w:t>mentó que había recibido en su estudio jurídico una vide</w:t>
      </w:r>
      <w:r>
        <w:t>o</w:t>
      </w:r>
      <w:r>
        <w:t>cinta, cuyo co</w:t>
      </w:r>
      <w:r>
        <w:t>n</w:t>
      </w:r>
      <w:r>
        <w:t>tenido era de gravedad y por el cual estaba impr</w:t>
      </w:r>
      <w:r>
        <w:t>e</w:t>
      </w:r>
      <w:r>
        <w:t>sionado.</w:t>
      </w:r>
    </w:p>
    <w:p w:rsidR="00224567" w:rsidRDefault="00224567">
      <w:pPr>
        <w:widowControl w:val="0"/>
      </w:pPr>
      <w:r>
        <w:tab/>
        <w:t>Además, explicó que en aquella conve</w:t>
      </w:r>
      <w:r>
        <w:t>r</w:t>
      </w:r>
      <w:r>
        <w:t>sación telefónica el Dr. Cúneo Libarona expresó su preoc</w:t>
      </w:r>
      <w:r>
        <w:t>u</w:t>
      </w:r>
      <w:r>
        <w:t>pación por blanquear la existencia de la vide</w:t>
      </w:r>
      <w:r>
        <w:t>o</w:t>
      </w:r>
      <w:r>
        <w:t>cinta, a la vez que aludió a un “operativo”, interpretándolo como un acto de exposición pública, por cuanto ese era el sentido habitual que su colega le asignaba a aquel térm</w:t>
      </w:r>
      <w:r>
        <w:t>i</w:t>
      </w:r>
      <w:r>
        <w:t>no.</w:t>
      </w:r>
    </w:p>
    <w:p w:rsidR="00224567" w:rsidRDefault="00224567">
      <w:pPr>
        <w:widowControl w:val="0"/>
      </w:pPr>
      <w:r>
        <w:tab/>
      </w:r>
      <w:r>
        <w:tab/>
        <w:t>Menos aporta en el cometido indicado el escrito del Dr. Jorge Enrique Fiscalini, del 17 de f</w:t>
      </w:r>
      <w:r>
        <w:t>e</w:t>
      </w:r>
      <w:r>
        <w:t>brero de 1997, por el cual decidió apartarse de la defe</w:t>
      </w:r>
      <w:r>
        <w:t>n</w:t>
      </w:r>
      <w:r>
        <w:t>sa de Ribelli en la causa A.M.I.A. obra</w:t>
      </w:r>
      <w:r>
        <w:t>n</w:t>
      </w:r>
      <w:r>
        <w:t>te a fs. 41.836 de la causa nº 487 del registro de este Tr</w:t>
      </w:r>
      <w:r>
        <w:t>i</w:t>
      </w:r>
      <w:r>
        <w:t>bunal.</w:t>
      </w:r>
    </w:p>
    <w:p w:rsidR="00224567" w:rsidRDefault="00224567">
      <w:pPr>
        <w:widowControl w:val="0"/>
      </w:pPr>
      <w:r>
        <w:tab/>
        <w:t>En ese sentido, el letrado explicó en el debate los términos de su renuncia, indicando que las diferencias con su cliente fueron de carácter técnico, r</w:t>
      </w:r>
      <w:r>
        <w:t>e</w:t>
      </w:r>
      <w:r>
        <w:t>lacionadas con la estrategia de la defensa; consecuent</w:t>
      </w:r>
      <w:r>
        <w:t>e</w:t>
      </w:r>
      <w:r>
        <w:t>mente, nada permite sostener que su presentación, en la que también renunció a la defensa de Raúl Edilio Ibarra, hubiese respondido a su negativa a participar en la s</w:t>
      </w:r>
      <w:r>
        <w:t>u</w:t>
      </w:r>
      <w:r>
        <w:t>puesta maniobra coactiva que habría de llevarse a cabo tiempo de</w:t>
      </w:r>
      <w:r>
        <w:t>s</w:t>
      </w:r>
      <w:r>
        <w:t>pués.</w:t>
      </w:r>
    </w:p>
    <w:p w:rsidR="00224567" w:rsidRDefault="00224567">
      <w:pPr>
        <w:widowControl w:val="0"/>
      </w:pPr>
      <w:r>
        <w:tab/>
      </w:r>
      <w:r>
        <w:tab/>
        <w:t>Por último resta mencionar, como pru</w:t>
      </w:r>
      <w:r>
        <w:t>e</w:t>
      </w:r>
      <w:r>
        <w:t>ba de una inaceptable ligereza, que la simple proyección del video permite demostrar que previo a dar comienzo a las imágenes de la entrevista entre el Dr. Galeano y T</w:t>
      </w:r>
      <w:r>
        <w:t>e</w:t>
      </w:r>
      <w:r>
        <w:t>lleldín, no es posible observar, como inexpl</w:t>
      </w:r>
      <w:r>
        <w:t>i</w:t>
      </w:r>
      <w:r>
        <w:t>cablemente lo sostuvieron la fiscalía y la querella, imagen alguna de niños jugando, pudiéndose ver tan solo, en los escasos s</w:t>
      </w:r>
      <w:r>
        <w:t>e</w:t>
      </w:r>
      <w:r>
        <w:t>gundos que dura, el rostro de una niña, una pareja de j</w:t>
      </w:r>
      <w:r>
        <w:t>ó</w:t>
      </w:r>
      <w:r>
        <w:t>venes sentados en un banco de plaza y un hombre alejá</w:t>
      </w:r>
      <w:r>
        <w:t>n</w:t>
      </w:r>
      <w:r>
        <w:t>dose a bordo de una motocicleta, mientras que de fondo parece escucharse la música de un corto publicit</w:t>
      </w:r>
      <w:r>
        <w:t>a</w:t>
      </w:r>
      <w:r>
        <w:t>rio.</w:t>
      </w:r>
    </w:p>
    <w:p w:rsidR="00224567" w:rsidRDefault="00224567">
      <w:pPr>
        <w:widowControl w:val="0"/>
      </w:pPr>
      <w:r>
        <w:tab/>
        <w:t>Por lo tanto, aquellas primeras imág</w:t>
      </w:r>
      <w:r>
        <w:t>e</w:t>
      </w:r>
      <w:r>
        <w:t>nes de la videocinta, supuestamente añadidas a la film</w:t>
      </w:r>
      <w:r>
        <w:t>a</w:t>
      </w:r>
      <w:r>
        <w:t>ción obtenida oportunamente, impiden sostener, con un m</w:t>
      </w:r>
      <w:r>
        <w:t>í</w:t>
      </w:r>
      <w:r>
        <w:t>nimo grado de razonabilidad, que ellas contengan el mens</w:t>
      </w:r>
      <w:r>
        <w:t>a</w:t>
      </w:r>
      <w:r>
        <w:t>je intimidatorio al que aludieron los acusadores en su alegato.</w:t>
      </w:r>
    </w:p>
    <w:p w:rsidR="00224567" w:rsidRDefault="00224567">
      <w:pPr>
        <w:widowControl w:val="0"/>
      </w:pPr>
      <w:r>
        <w:tab/>
      </w:r>
      <w:r>
        <w:tab/>
        <w:t>En virtud de lo expuesto, el acci</w:t>
      </w:r>
      <w:r>
        <w:t>o</w:t>
      </w:r>
      <w:r>
        <w:t>nar de Juan José Ribelli deviene atípico, por lo que corre</w:t>
      </w:r>
      <w:r>
        <w:t>s</w:t>
      </w:r>
      <w:r>
        <w:t>ponde adoptar un pronunciamiento desincriminat</w:t>
      </w:r>
      <w:r>
        <w:t>o</w:t>
      </w:r>
      <w:r>
        <w:t>rio.</w:t>
      </w:r>
    </w:p>
    <w:p w:rsidR="00224567" w:rsidRDefault="00224567">
      <w:pPr>
        <w:widowControl w:val="0"/>
      </w:pPr>
    </w:p>
    <w:p w:rsidR="00224567" w:rsidRDefault="00224567">
      <w:pPr>
        <w:pStyle w:val="Ttulo2"/>
        <w:keepNext w:val="0"/>
        <w:widowControl w:val="0"/>
      </w:pPr>
      <w:r>
        <w:t>CAPÍTULO IV</w:t>
      </w:r>
    </w:p>
    <w:p w:rsidR="00224567" w:rsidRDefault="00224567">
      <w:pPr>
        <w:widowControl w:val="0"/>
      </w:pPr>
    </w:p>
    <w:p w:rsidR="00224567" w:rsidRDefault="00224567">
      <w:pPr>
        <w:pStyle w:val="Ttulo3"/>
        <w:keepNext w:val="0"/>
        <w:widowControl w:val="0"/>
      </w:pPr>
      <w:r>
        <w:t>Consideraciones acerca de la instrucción</w:t>
      </w:r>
    </w:p>
    <w:p w:rsidR="00224567" w:rsidRDefault="00224567">
      <w:pPr>
        <w:pStyle w:val="Textoindependiente"/>
        <w:spacing w:line="600" w:lineRule="auto"/>
      </w:pPr>
      <w:r>
        <w:tab/>
      </w:r>
      <w:r>
        <w:tab/>
        <w:t>El tribunal no puede soslayar los gr</w:t>
      </w:r>
      <w:r>
        <w:t>a</w:t>
      </w:r>
      <w:r>
        <w:t>ves reparos que merece el trámite impuesto a estas actu</w:t>
      </w:r>
      <w:r>
        <w:t>a</w:t>
      </w:r>
      <w:r>
        <w:t>ciones por el Dr. Norberto Mario Oyarbide, reflejo de un proceder que, más que atender los fines que le imponía el art. 193 del ordenamiento procesal, pareció actuar en co</w:t>
      </w:r>
      <w:r>
        <w:t>n</w:t>
      </w:r>
      <w:r>
        <w:t>sonancia con el magistrado denunciante, esforzado –como se vio- en impedir que se conozca tan inesperada e intranqu</w:t>
      </w:r>
      <w:r>
        <w:t>i</w:t>
      </w:r>
      <w:r>
        <w:t>lizadora filtración.</w:t>
      </w:r>
    </w:p>
    <w:p w:rsidR="00224567" w:rsidRDefault="00224567">
      <w:pPr>
        <w:pStyle w:val="Ttulo4"/>
        <w:keepNext w:val="0"/>
        <w:widowControl w:val="0"/>
        <w:spacing w:line="600" w:lineRule="auto"/>
      </w:pPr>
      <w:r>
        <w:tab/>
        <w:t>A) Valoración de los dichos del denu</w:t>
      </w:r>
      <w:r>
        <w:t>n</w:t>
      </w:r>
      <w:r>
        <w:t>ciante.</w:t>
      </w:r>
    </w:p>
    <w:p w:rsidR="00224567" w:rsidRDefault="00224567">
      <w:pPr>
        <w:pStyle w:val="Textoindependiente"/>
        <w:spacing w:line="600" w:lineRule="auto"/>
      </w:pPr>
      <w:r>
        <w:tab/>
      </w:r>
      <w:r>
        <w:tab/>
        <w:t>Al respecto, deben reiterarse las obj</w:t>
      </w:r>
      <w:r>
        <w:t>e</w:t>
      </w:r>
      <w:r>
        <w:t xml:space="preserve">ciones señaladas </w:t>
      </w:r>
      <w:r>
        <w:rPr>
          <w:u w:val="single"/>
        </w:rPr>
        <w:t>ut supra</w:t>
      </w:r>
      <w:r>
        <w:t xml:space="preserve"> en orden al prejuicio con el que se ponderaron las afirmaciones vertidas por el Dr. Juan J</w:t>
      </w:r>
      <w:r>
        <w:t>o</w:t>
      </w:r>
      <w:r>
        <w:t>sé Galeano en sus informes no juramentados, en virtud del cual se sostuvo, a rajatabla, la versión que de la entr</w:t>
      </w:r>
      <w:r>
        <w:t>e</w:t>
      </w:r>
      <w:r>
        <w:t>vista con Ribelli ofreció aquél, util</w:t>
      </w:r>
      <w:r>
        <w:t>i</w:t>
      </w:r>
      <w:r>
        <w:t>zando en ese cometido expresiones t</w:t>
      </w:r>
      <w:r>
        <w:t>a</w:t>
      </w:r>
      <w:r>
        <w:t>les como que “la contundencia de las palabras vertidas por el Dr. Galeano” lo eximían de “mayores come</w:t>
      </w:r>
      <w:r>
        <w:t>n</w:t>
      </w:r>
      <w:r>
        <w:t>tarios” (confr. decis</w:t>
      </w:r>
      <w:r>
        <w:t>o</w:t>
      </w:r>
      <w:r>
        <w:t>rio de fs. 761/792).</w:t>
      </w:r>
    </w:p>
    <w:p w:rsidR="00224567" w:rsidRDefault="00224567">
      <w:pPr>
        <w:pStyle w:val="Textoindependiente"/>
        <w:spacing w:line="600" w:lineRule="auto"/>
      </w:pPr>
      <w:r>
        <w:tab/>
      </w:r>
      <w:r>
        <w:tab/>
        <w:t>Igual reparo cabe formular en orden a la mención de la fina ironía, por cierto no conocida por todos, de la que haría gala el juez denunciante, toda vez que a partir de ella pudo interpretar, pese a que nada h</w:t>
      </w:r>
      <w:r>
        <w:t>a</w:t>
      </w:r>
      <w:r>
        <w:t>bía dicho en su puntual denuncia ni en los consecuentes i</w:t>
      </w:r>
      <w:r>
        <w:t>n</w:t>
      </w:r>
      <w:r>
        <w:t>formes, que “lo que Galeano quiso transmitirle a Rib</w:t>
      </w:r>
      <w:r>
        <w:t>e</w:t>
      </w:r>
      <w:r>
        <w:t>lli es que si con eso pretendía intimidarlo, él había tomado deb</w:t>
      </w:r>
      <w:r>
        <w:t>i</w:t>
      </w:r>
      <w:r>
        <w:t>da nota de que se trataba de una intimidación” (confr. r</w:t>
      </w:r>
      <w:r>
        <w:t>e</w:t>
      </w:r>
      <w:r>
        <w:t>solución citada).</w:t>
      </w:r>
    </w:p>
    <w:p w:rsidR="00224567" w:rsidRDefault="00224567">
      <w:pPr>
        <w:pStyle w:val="Ttulo4"/>
        <w:keepNext w:val="0"/>
        <w:widowControl w:val="0"/>
        <w:spacing w:line="600" w:lineRule="auto"/>
      </w:pPr>
      <w:r>
        <w:tab/>
      </w:r>
      <w:r>
        <w:tab/>
        <w:t>B) Omisión de escuchar testimonialme</w:t>
      </w:r>
      <w:r>
        <w:t>n</w:t>
      </w:r>
      <w:r>
        <w:t>te al juez denunciante, víctima del supuesto d</w:t>
      </w:r>
      <w:r>
        <w:t>e</w:t>
      </w:r>
      <w:r>
        <w:t>lito.</w:t>
      </w:r>
    </w:p>
    <w:p w:rsidR="00224567" w:rsidRDefault="00224567">
      <w:pPr>
        <w:pStyle w:val="Textoindependiente"/>
        <w:spacing w:line="600" w:lineRule="auto"/>
      </w:pPr>
      <w:r>
        <w:rPr>
          <w:b/>
          <w:bCs/>
        </w:rPr>
        <w:tab/>
      </w:r>
      <w:r>
        <w:rPr>
          <w:b/>
          <w:bCs/>
        </w:rPr>
        <w:tab/>
      </w:r>
      <w:r>
        <w:t xml:space="preserve">Al igual que en la causa “A.M.I.A.”, en la que no fue escuchada testimonialmente la ex juez Riva Aramayo, pese a la manda del art. 239 del Código Procesal Penal de </w:t>
      </w:r>
      <w:smartTag w:uri="urn:schemas-microsoft-com:office:smarttags" w:element="PersonName">
        <w:smartTagPr>
          <w:attr w:name="ProductID" w:val="la Naci￳n"/>
        </w:smartTagPr>
        <w:r>
          <w:t>la Nación</w:t>
        </w:r>
      </w:smartTag>
      <w:r>
        <w:t xml:space="preserve"> y a la importante intervención que le cupo en un tramo de la investigación, en estos actuados el Dr. Oyarbide omitió recibirle declaración testimonial al Dr. Juan José Galeano; omisión que, coincidiendo con aqu</w:t>
      </w:r>
      <w:r>
        <w:t>e</w:t>
      </w:r>
      <w:r>
        <w:t>lla, resulta inexplicable a poco que se advierta que reve</w:t>
      </w:r>
      <w:r>
        <w:t>s</w:t>
      </w:r>
      <w:r>
        <w:t>tía la calidad de víctima del suceso objeto de pesquisa, el que, para colmo, había acontecido estando a solas con el imputado, fuera de la vista y o</w:t>
      </w:r>
      <w:r>
        <w:t>í</w:t>
      </w:r>
      <w:r>
        <w:t>dos de terceros.</w:t>
      </w:r>
    </w:p>
    <w:p w:rsidR="00224567" w:rsidRDefault="00224567">
      <w:pPr>
        <w:pStyle w:val="Ttulo4"/>
        <w:keepNext w:val="0"/>
        <w:widowControl w:val="0"/>
        <w:spacing w:line="600" w:lineRule="auto"/>
      </w:pPr>
      <w:r>
        <w:tab/>
      </w:r>
      <w:r>
        <w:tab/>
        <w:t>C) Detención de los imputados en la vía p</w:t>
      </w:r>
      <w:r>
        <w:t>ú</w:t>
      </w:r>
      <w:r>
        <w:t>blica.</w:t>
      </w:r>
    </w:p>
    <w:p w:rsidR="00224567" w:rsidRDefault="00224567">
      <w:pPr>
        <w:pStyle w:val="Textoindependiente"/>
        <w:spacing w:line="600" w:lineRule="auto"/>
      </w:pPr>
      <w:r>
        <w:tab/>
      </w:r>
      <w:r>
        <w:tab/>
        <w:t>También la preocupación del juez denu</w:t>
      </w:r>
      <w:r>
        <w:t>n</w:t>
      </w:r>
      <w:r>
        <w:t>ciante por impedir que se conozca el tenor del video pr</w:t>
      </w:r>
      <w:r>
        <w:t>e</w:t>
      </w:r>
      <w:r>
        <w:t>suntamente sustraído pareció reflejarse en la actu</w:t>
      </w:r>
      <w:r>
        <w:t>a</w:t>
      </w:r>
      <w:r>
        <w:t>ción del Dr. Oyarbide, quien a poco de salir de una entrevista con miembros de la comisión bicameral dispuso las detenciones de Mariano Cúneo Libarona, Juan Pablo Vigliero y Julio C</w:t>
      </w:r>
      <w:r>
        <w:t>é</w:t>
      </w:r>
      <w:r>
        <w:t>sar Ballestero, pese a que se encontraban a derecho, en un repudiable procedimiento en la vía pública.</w:t>
      </w:r>
    </w:p>
    <w:p w:rsidR="00224567" w:rsidRDefault="00224567">
      <w:pPr>
        <w:pStyle w:val="Textoindependiente"/>
        <w:spacing w:line="600" w:lineRule="auto"/>
      </w:pPr>
      <w:r>
        <w:tab/>
      </w:r>
      <w:r>
        <w:tab/>
        <w:t>Dicha diligencia determinó que el e</w:t>
      </w:r>
      <w:r>
        <w:t>n</w:t>
      </w:r>
      <w:r>
        <w:t xml:space="preserve">tonces presidente del Colegio Público de Abogados de </w:t>
      </w:r>
      <w:smartTag w:uri="urn:schemas-microsoft-com:office:smarttags" w:element="PersonName">
        <w:smartTagPr>
          <w:attr w:name="ProductID" w:val="la Capital Federal"/>
        </w:smartTagPr>
        <w:r>
          <w:t>la C</w:t>
        </w:r>
        <w:r>
          <w:t>a</w:t>
        </w:r>
        <w:r>
          <w:t>pital Federal</w:t>
        </w:r>
      </w:smartTag>
      <w:r>
        <w:t>, Dr. Antonio Bacqué, se presentara a fs. 1471/1477 expresando, entre otras cosas, que las detenci</w:t>
      </w:r>
      <w:r>
        <w:t>o</w:t>
      </w:r>
      <w:r>
        <w:t>nes de los abogados Cúneo Libarona y Vigliero se ll</w:t>
      </w:r>
      <w:r>
        <w:t>e</w:t>
      </w:r>
      <w:r>
        <w:t>varon a cabo “en el marco de un espectacular procedimiento peri</w:t>
      </w:r>
      <w:r>
        <w:t>o</w:t>
      </w:r>
      <w:r>
        <w:t>dístico con cobertura de los medios de comunicación s</w:t>
      </w:r>
      <w:r>
        <w:t>o</w:t>
      </w:r>
      <w:r>
        <w:t>cial destacados en el lugar con anterioridad a la materializ</w:t>
      </w:r>
      <w:r>
        <w:t>a</w:t>
      </w:r>
      <w:r>
        <w:t>ción de la diligencia”, importando dicha forma “un exceso innecesario respecto de lo que debe ser un procedimiento jurisdiccional”, “una innecesaria humillación de las pers</w:t>
      </w:r>
      <w:r>
        <w:t>o</w:t>
      </w:r>
      <w:r>
        <w:t>nas destinatarias de la orden de detención”, “una pena en sí misma”  y “un menoscabo al libre e irrestricto eje</w:t>
      </w:r>
      <w:r>
        <w:t>r</w:t>
      </w:r>
      <w:r>
        <w:t xml:space="preserve">cicio de </w:t>
      </w:r>
      <w:smartTag w:uri="urn:schemas-microsoft-com:office:smarttags" w:element="PersonName">
        <w:smartTagPr>
          <w:attr w:name="ProductID" w:val="la Abogac￭a"/>
        </w:smartTagPr>
        <w:r>
          <w:t>la Abog</w:t>
        </w:r>
        <w:r>
          <w:t>a</w:t>
        </w:r>
        <w:r>
          <w:t>cía</w:t>
        </w:r>
      </w:smartTag>
      <w:r>
        <w:t xml:space="preserve"> en garantía de los justiciables.”</w:t>
      </w:r>
    </w:p>
    <w:p w:rsidR="00224567" w:rsidRDefault="00224567">
      <w:pPr>
        <w:pStyle w:val="Textoindependiente"/>
        <w:spacing w:line="600" w:lineRule="auto"/>
      </w:pPr>
      <w:r>
        <w:tab/>
      </w:r>
      <w:r>
        <w:tab/>
        <w:t>A ello siguió, en prueba de su preoc</w:t>
      </w:r>
      <w:r>
        <w:t>u</w:t>
      </w:r>
      <w:r>
        <w:t>pación por el desborde jurisdiccional enunciado, la solic</w:t>
      </w:r>
      <w:r>
        <w:t>i</w:t>
      </w:r>
      <w:r>
        <w:t>tada que publicó para esos días dicho colegio prof</w:t>
      </w:r>
      <w:r>
        <w:t>e</w:t>
      </w:r>
      <w:r>
        <w:t>sional, en la que, entre otras consideraciones, sost</w:t>
      </w:r>
      <w:r>
        <w:t>u</w:t>
      </w:r>
      <w:r>
        <w:t>vo: “... En un Estado de Derecho resulta inaceptable la condu</w:t>
      </w:r>
      <w:r>
        <w:t>c</w:t>
      </w:r>
      <w:r>
        <w:t>ta judicial y policial evidenciada en la forma de detención de los ab</w:t>
      </w:r>
      <w:r>
        <w:t>o</w:t>
      </w:r>
      <w:r>
        <w:t>gados Mariano Cúneo Libarona (h) y Juan Pablo V</w:t>
      </w:r>
      <w:r>
        <w:t>i</w:t>
      </w:r>
      <w:r>
        <w:t>gliero...” (diario “Clarín” del 17 de abril de 1997).</w:t>
      </w:r>
    </w:p>
    <w:p w:rsidR="00224567" w:rsidRDefault="00224567">
      <w:pPr>
        <w:pStyle w:val="Ttulo4"/>
        <w:keepNext w:val="0"/>
        <w:widowControl w:val="0"/>
        <w:spacing w:line="600" w:lineRule="auto"/>
      </w:pPr>
      <w:r>
        <w:tab/>
      </w:r>
      <w:r>
        <w:tab/>
        <w:t>D) Realización de diligencias en a</w:t>
      </w:r>
      <w:r>
        <w:t>c</w:t>
      </w:r>
      <w:r>
        <w:t>tuaciones que se mantuvieron en secreto.</w:t>
      </w:r>
    </w:p>
    <w:p w:rsidR="00224567" w:rsidRDefault="00224567">
      <w:pPr>
        <w:pStyle w:val="Textoindependiente"/>
        <w:spacing w:line="600" w:lineRule="auto"/>
      </w:pPr>
      <w:r>
        <w:tab/>
      </w:r>
      <w:r>
        <w:tab/>
        <w:t>La formación de actuaciones secretas, encubiertas bajo el rótulo de “reservadas”, fuera de las prev</w:t>
      </w:r>
      <w:r>
        <w:t>i</w:t>
      </w:r>
      <w:r>
        <w:t>siones contenidas en el art.  204 del código procesal, alimenta también la sospecha acerca de ese denominador c</w:t>
      </w:r>
      <w:r>
        <w:t>o</w:t>
      </w:r>
      <w:r>
        <w:t>mún que se vislumbra tanto en el trámite de esta causa como en el de la causa “A.M.I.A.”.</w:t>
      </w:r>
    </w:p>
    <w:p w:rsidR="00224567" w:rsidRDefault="00224567">
      <w:pPr>
        <w:pStyle w:val="Textoindependiente"/>
        <w:spacing w:line="600" w:lineRule="auto"/>
      </w:pPr>
      <w:r>
        <w:tab/>
      </w:r>
      <w:r>
        <w:tab/>
        <w:t>En efecto; con la finalidad, al par</w:t>
      </w:r>
      <w:r>
        <w:t>e</w:t>
      </w:r>
      <w:r>
        <w:t>cer, de sustraer del conocimiento público los teléfonos particulares del personal que componía la dotación del ju</w:t>
      </w:r>
      <w:r>
        <w:t>z</w:t>
      </w:r>
      <w:r>
        <w:t>gado federal nº 9, se dispuso a fs. 13 la formación de a</w:t>
      </w:r>
      <w:r>
        <w:t>c</w:t>
      </w:r>
      <w:r>
        <w:t>tuaciones por separado, reservadas y puestas a resgua</w:t>
      </w:r>
      <w:r>
        <w:t>r</w:t>
      </w:r>
      <w:r>
        <w:t xml:space="preserve">do en la caja fuerte de </w:t>
      </w:r>
      <w:smartTag w:uri="urn:schemas-microsoft-com:office:smarttags" w:element="PersonName">
        <w:smartTagPr>
          <w:attr w:name="ProductID" w:val="la Secretar￭a"/>
        </w:smartTagPr>
        <w:r>
          <w:t>la Secretaría</w:t>
        </w:r>
      </w:smartTag>
      <w:r>
        <w:t>, a las que se allegaron luego las declaraciones testimoniales prestadas en la causa por aquellos agentes avocados a la investigación del ate</w:t>
      </w:r>
      <w:r>
        <w:t>n</w:t>
      </w:r>
      <w:r>
        <w:t xml:space="preserve">tado a </w:t>
      </w:r>
      <w:smartTag w:uri="urn:schemas-microsoft-com:office:smarttags" w:element="PersonName">
        <w:smartTagPr>
          <w:attr w:name="ProductID" w:val="la A.M"/>
        </w:smartTagPr>
        <w:r>
          <w:t>la A.M</w:t>
        </w:r>
      </w:smartTag>
      <w:r>
        <w:t>.I.A., en procura de resguardar su integridad física (fs. 58).</w:t>
      </w:r>
    </w:p>
    <w:p w:rsidR="00224567" w:rsidRDefault="00224567">
      <w:pPr>
        <w:pStyle w:val="Textoindependiente"/>
        <w:spacing w:line="600" w:lineRule="auto"/>
      </w:pPr>
      <w:r>
        <w:tab/>
      </w:r>
      <w:r>
        <w:tab/>
        <w:t>Simultáneamente y sin dejar noticia de ello en los autos principales, el instructor dispuso en ese legajo secreto intervenir los teléfonos de los agentes me</w:t>
      </w:r>
      <w:r>
        <w:t>n</w:t>
      </w:r>
      <w:r>
        <w:t>cionados en el párrafo precedente, cuyo producido también mantuvo en reserva.</w:t>
      </w:r>
    </w:p>
    <w:p w:rsidR="00224567" w:rsidRDefault="00224567">
      <w:pPr>
        <w:pStyle w:val="Textoindependiente"/>
        <w:spacing w:line="600" w:lineRule="auto"/>
      </w:pPr>
      <w:r>
        <w:tab/>
      </w:r>
      <w:r>
        <w:tab/>
        <w:t>Además, a fs. 71 de las actuaciones en cuestión, a partir de un anónimo recibido en la s</w:t>
      </w:r>
      <w:r>
        <w:t>e</w:t>
      </w:r>
      <w:r>
        <w:t>cretaría privada del Dr. Oyarbide, que rezaba “Dr. Oyarbide, el v</w:t>
      </w:r>
      <w:r>
        <w:t>i</w:t>
      </w:r>
      <w:r>
        <w:t>deo llegó a manos de Riveli por un Oficial de int</w:t>
      </w:r>
      <w:r>
        <w:t>e</w:t>
      </w:r>
      <w:r>
        <w:t xml:space="preserve">ligencia del Ejército de nombre Alejandro, que presta actualmente servicios en </w:t>
      </w:r>
      <w:smartTag w:uri="urn:schemas-microsoft-com:office:smarttags" w:element="PersonName">
        <w:smartTagPr>
          <w:attr w:name="ProductID" w:val="la CRIM"/>
        </w:smartTagPr>
        <w:r>
          <w:t>la CRIM</w:t>
        </w:r>
      </w:smartTag>
      <w:r>
        <w:t xml:space="preserve"> ex-Batallón de Inteligencia 601 del Ejército Argentino, esposo de una empleada del Juzgado de Galeano de nombre Graciela” (sic), el juez instructor di</w:t>
      </w:r>
      <w:r>
        <w:t>s</w:t>
      </w:r>
      <w:r>
        <w:t xml:space="preserve">puso encomendar a </w:t>
      </w:r>
      <w:smartTag w:uri="urn:schemas-microsoft-com:office:smarttags" w:element="PersonName">
        <w:smartTagPr>
          <w:attr w:name="ProductID" w:val="la SIDE"/>
        </w:smartTagPr>
        <w:r>
          <w:t>la SIDE</w:t>
        </w:r>
      </w:smartTag>
      <w:r>
        <w:t>, previo corroborar la existencia de dicha empleada y la identidad de su cónyuge, “amplias tareas de inteligencia e investigativas” a efectos de d</w:t>
      </w:r>
      <w:r>
        <w:t>e</w:t>
      </w:r>
      <w:r>
        <w:t>terminar su posible vinculación con el hecho. Dichas t</w:t>
      </w:r>
      <w:r>
        <w:t>a</w:t>
      </w:r>
      <w:r>
        <w:t>reas, que se prolongaron por más de dos meses y de las que tampoco nada se asentó en el principal, concluyeron señ</w:t>
      </w:r>
      <w:r>
        <w:t>a</w:t>
      </w:r>
      <w:r>
        <w:t>lando la total ajenidad de ambos sospechados.</w:t>
      </w:r>
    </w:p>
    <w:p w:rsidR="00224567" w:rsidRDefault="00224567">
      <w:pPr>
        <w:pStyle w:val="Textoindependiente"/>
        <w:spacing w:line="600" w:lineRule="auto"/>
      </w:pPr>
      <w:r>
        <w:tab/>
      </w:r>
      <w:r>
        <w:tab/>
        <w:t>Al respecto, cabe resaltar que, pese a dicha conclusión, el agente fiscal Oscar Ricardo Amirante presentó luego sendos escritos, con expresa referencia a las “Actuaciones Reservadas en causa nº 2912/972”, solic</w:t>
      </w:r>
      <w:r>
        <w:t>i</w:t>
      </w:r>
      <w:r>
        <w:t>tando una serie de diligencias enderezadas a continuar pe</w:t>
      </w:r>
      <w:r>
        <w:t>s</w:t>
      </w:r>
      <w:r>
        <w:t>quisando al esposo de la empleada (fs. 122 y 126).</w:t>
      </w:r>
    </w:p>
    <w:p w:rsidR="00224567" w:rsidRDefault="00224567">
      <w:pPr>
        <w:pStyle w:val="Textoindependiente"/>
        <w:spacing w:line="600" w:lineRule="auto"/>
      </w:pPr>
      <w:r>
        <w:tab/>
      </w:r>
      <w:r>
        <w:tab/>
        <w:t>En síntesis, durante más de seis m</w:t>
      </w:r>
      <w:r>
        <w:t>e</w:t>
      </w:r>
      <w:r>
        <w:t>ses y con un beneplácito fiscal reñido con los deberes propios de su ministerio, el Dr. Oyarbide tramitó actuaciones s</w:t>
      </w:r>
      <w:r>
        <w:t>e</w:t>
      </w:r>
      <w:r>
        <w:t>cretas, “en paralelo” a la causa principal, fuera de la r</w:t>
      </w:r>
      <w:r>
        <w:t>e</w:t>
      </w:r>
      <w:r>
        <w:t>se</w:t>
      </w:r>
      <w:r>
        <w:t>r</w:t>
      </w:r>
      <w:r>
        <w:t>va que le autoriza el mencionado art. 204 y alejadas del conocimiento y control de las demás partes legitimadas en el proceso; actuaciones en las que, como se vio, se disp</w:t>
      </w:r>
      <w:r>
        <w:t>u</w:t>
      </w:r>
      <w:r>
        <w:t>sieron diligencias que se vinculaban i</w:t>
      </w:r>
      <w:r>
        <w:t>n</w:t>
      </w:r>
      <w:r>
        <w:t>dudablemente con los sucesos materia de investigación.</w:t>
      </w:r>
    </w:p>
    <w:p w:rsidR="00224567" w:rsidRDefault="00224567">
      <w:pPr>
        <w:pStyle w:val="Ttulo4"/>
        <w:keepNext w:val="0"/>
        <w:widowControl w:val="0"/>
        <w:spacing w:line="600" w:lineRule="auto"/>
      </w:pPr>
      <w:r>
        <w:tab/>
      </w:r>
      <w:r>
        <w:tab/>
        <w:t>E) Sospechados oídos testimonia</w:t>
      </w:r>
      <w:r>
        <w:t>l</w:t>
      </w:r>
      <w:r>
        <w:t>mente.</w:t>
      </w:r>
    </w:p>
    <w:p w:rsidR="00224567" w:rsidRDefault="00224567">
      <w:pPr>
        <w:pStyle w:val="Textoindependiente"/>
        <w:spacing w:line="600" w:lineRule="auto"/>
      </w:pPr>
      <w:r>
        <w:tab/>
      </w:r>
      <w:r>
        <w:tab/>
        <w:t>El relato precedente exhibe, además, otra práctica que también fue dable observar en el tr</w:t>
      </w:r>
      <w:r>
        <w:t>á</w:t>
      </w:r>
      <w:r>
        <w:t>mite impue</w:t>
      </w:r>
      <w:r>
        <w:t>s</w:t>
      </w:r>
      <w:r>
        <w:t>to por el Dr. Galeano a la causa “A.M.I.A.”.</w:t>
      </w:r>
    </w:p>
    <w:p w:rsidR="00224567" w:rsidRDefault="00224567">
      <w:pPr>
        <w:pStyle w:val="Textoindependiente"/>
        <w:spacing w:line="600" w:lineRule="auto"/>
      </w:pPr>
      <w:r>
        <w:tab/>
      </w:r>
      <w:r>
        <w:tab/>
        <w:t>En ese sentido, la circunstancia de h</w:t>
      </w:r>
      <w:r>
        <w:t>a</w:t>
      </w:r>
      <w:r>
        <w:t>ber ordenado en las actuaciones que mantenía en secreto la intervención de los teléfonos de los empleados del ju</w:t>
      </w:r>
      <w:r>
        <w:t>z</w:t>
      </w:r>
      <w:r>
        <w:t>gado federal nº 9 afectados a las labores de la causa “A.M.I.A.”, a fin de determinar si tenían “responsabil</w:t>
      </w:r>
      <w:r>
        <w:t>i</w:t>
      </w:r>
      <w:r>
        <w:t>dad alguna en los hechos materia de investigación” (cónfr. pr</w:t>
      </w:r>
      <w:r>
        <w:t>o</w:t>
      </w:r>
      <w:r>
        <w:t>videncia de fs. 5 del legajo), al mi</w:t>
      </w:r>
      <w:r>
        <w:t>s</w:t>
      </w:r>
      <w:r>
        <w:t>mo tiempo que los oía como testigos en la causa, refleja, además de aquélla sem</w:t>
      </w:r>
      <w:r>
        <w:t>e</w:t>
      </w:r>
      <w:r>
        <w:t xml:space="preserve">janza, un procedimiento contrario a la garantía contenida en el art. 18 de </w:t>
      </w:r>
      <w:smartTag w:uri="urn:schemas-microsoft-com:office:smarttags" w:element="PersonName">
        <w:smartTagPr>
          <w:attr w:name="ProductID" w:val="la Constituci￳n Nacional."/>
        </w:smartTagPr>
        <w:r>
          <w:t>la Constitución Naci</w:t>
        </w:r>
        <w:r>
          <w:t>o</w:t>
        </w:r>
        <w:r>
          <w:t>nal.</w:t>
        </w:r>
      </w:smartTag>
    </w:p>
    <w:p w:rsidR="00224567" w:rsidRDefault="00224567">
      <w:pPr>
        <w:pStyle w:val="Textoindependiente"/>
        <w:spacing w:line="600" w:lineRule="auto"/>
      </w:pPr>
      <w:r>
        <w:tab/>
      </w:r>
      <w:r>
        <w:tab/>
        <w:t>En virtud de todo lo expuesto y a las previsiones contenidas en la ley 24.937, corresponde rem</w:t>
      </w:r>
      <w:r>
        <w:t>i</w:t>
      </w:r>
      <w:r>
        <w:t xml:space="preserve">tir copia de las partes pertinentes al Consejo de </w:t>
      </w:r>
      <w:smartTag w:uri="urn:schemas-microsoft-com:office:smarttags" w:element="PersonName">
        <w:smartTagPr>
          <w:attr w:name="ProductID" w:val="la Magistratura"/>
        </w:smartTagPr>
        <w:r>
          <w:t>la Magi</w:t>
        </w:r>
        <w:r>
          <w:t>s</w:t>
        </w:r>
        <w:r>
          <w:t>tratura</w:t>
        </w:r>
      </w:smartTag>
      <w:r>
        <w:t xml:space="preserve"> de </w:t>
      </w:r>
      <w:smartTag w:uri="urn:schemas-microsoft-com:office:smarttags" w:element="PersonName">
        <w:smartTagPr>
          <w:attr w:name="ProductID" w:val="la Naci￳n"/>
        </w:smartTagPr>
        <w:r>
          <w:t>la Nación</w:t>
        </w:r>
      </w:smartTag>
      <w:r>
        <w:t xml:space="preserve"> para que se investigue el desempeño del juez Norberto Mario Oyarbide en esta ca</w:t>
      </w:r>
      <w:r>
        <w:t>u</w:t>
      </w:r>
      <w:r>
        <w:t>sa.</w:t>
      </w:r>
    </w:p>
    <w:p w:rsidR="00224567" w:rsidRDefault="00224567">
      <w:pPr>
        <w:widowControl w:val="0"/>
      </w:pPr>
    </w:p>
    <w:p w:rsidR="00224567" w:rsidRDefault="00224567">
      <w:pPr>
        <w:pStyle w:val="Ttulo1"/>
        <w:keepNext w:val="0"/>
        <w:widowControl w:val="0"/>
      </w:pPr>
      <w:r>
        <w:t>CAPÍTULO V</w:t>
      </w:r>
    </w:p>
    <w:p w:rsidR="00224567" w:rsidRDefault="00224567">
      <w:pPr>
        <w:widowControl w:val="0"/>
      </w:pPr>
    </w:p>
    <w:p w:rsidR="00224567" w:rsidRDefault="00224567">
      <w:pPr>
        <w:widowControl w:val="0"/>
      </w:pPr>
      <w:r>
        <w:rPr>
          <w:b/>
          <w:bCs/>
        </w:rPr>
        <w:tab/>
      </w:r>
      <w:r>
        <w:t>Con relación a las costas corresponde remitirse a lo expuesto en el capítulo XVII, del título I, de este pronunciamiento.</w:t>
      </w:r>
    </w:p>
    <w:p w:rsidR="00224567" w:rsidRDefault="00224567">
      <w:pPr>
        <w:pStyle w:val="Textoindependiente"/>
        <w:tabs>
          <w:tab w:val="clear" w:pos="2040"/>
          <w:tab w:val="left" w:pos="2800"/>
        </w:tabs>
        <w:spacing w:line="600" w:lineRule="auto"/>
        <w:rPr>
          <w:lang w:val="es-ES"/>
        </w:rPr>
      </w:pPr>
    </w:p>
    <w:p w:rsidR="00224567" w:rsidRDefault="00224567">
      <w:pPr>
        <w:pStyle w:val="Sangradetextonormal"/>
        <w:widowControl w:val="0"/>
        <w:ind w:firstLine="2835"/>
      </w:pPr>
      <w:r>
        <w:t>En mérito a las conclusiones arribadas en el acuerdo que antecede, el Tribunal</w:t>
      </w:r>
    </w:p>
    <w:p w:rsidR="00224567" w:rsidRDefault="00224567">
      <w:pPr>
        <w:pStyle w:val="Sangradetextonormal"/>
        <w:widowControl w:val="0"/>
        <w:ind w:firstLine="0"/>
      </w:pPr>
    </w:p>
    <w:p w:rsidR="00224567" w:rsidRDefault="00224567">
      <w:pPr>
        <w:pStyle w:val="Sangradetextonormal"/>
        <w:widowControl w:val="0"/>
        <w:tabs>
          <w:tab w:val="clear" w:pos="2835"/>
          <w:tab w:val="left" w:pos="1300"/>
        </w:tabs>
        <w:ind w:firstLine="0"/>
        <w:rPr>
          <w:b/>
          <w:bCs/>
        </w:rPr>
      </w:pPr>
      <w:r>
        <w:rPr>
          <w:b/>
          <w:bCs/>
        </w:rPr>
        <w:tab/>
        <w:t>RESUELVE:</w:t>
      </w:r>
    </w:p>
    <w:p w:rsidR="00224567" w:rsidRDefault="00224567">
      <w:pPr>
        <w:widowControl w:val="0"/>
        <w:ind w:firstLine="2835"/>
      </w:pPr>
      <w:r>
        <w:rPr>
          <w:lang w:val="es-ES_tradnl"/>
        </w:rPr>
        <w:tab/>
      </w:r>
      <w:r>
        <w:rPr>
          <w:b/>
          <w:bCs/>
          <w:lang w:val="es-ES_tradnl"/>
        </w:rPr>
        <w:t>I.-</w:t>
      </w:r>
      <w:r>
        <w:rPr>
          <w:lang w:val="es-ES_tradnl"/>
        </w:rPr>
        <w:t xml:space="preserve"> </w:t>
      </w:r>
      <w:r>
        <w:rPr>
          <w:b/>
          <w:bCs/>
          <w:lang w:val="es-ES_tradnl"/>
        </w:rPr>
        <w:t>DECLARAR NULO</w:t>
      </w:r>
      <w:r>
        <w:rPr>
          <w:lang w:val="es-ES_tradnl"/>
        </w:rPr>
        <w:t xml:space="preserve"> el decreto del 31 de octubre de 1995, obrante a fs. 37.557/37.559, por el que se dispuso instruir la denominada causa “Brig</w:t>
      </w:r>
      <w:r>
        <w:rPr>
          <w:lang w:val="es-ES_tradnl"/>
        </w:rPr>
        <w:t>a</w:t>
      </w:r>
      <w:r>
        <w:rPr>
          <w:lang w:val="es-ES_tradnl"/>
        </w:rPr>
        <w:t>das”, y todo lo actuado en consecuencia respecto de las personas por las que se formuló requerimiento de elevación a juicio</w:t>
      </w:r>
      <w:r>
        <w:t xml:space="preserve"> </w:t>
      </w:r>
      <w:r>
        <w:rPr>
          <w:lang w:val="es-ES_tradnl"/>
        </w:rPr>
        <w:t xml:space="preserve">(arts. 18 y 75, inc. 22, de </w:t>
      </w:r>
      <w:smartTag w:uri="urn:schemas-microsoft-com:office:smarttags" w:element="PersonName">
        <w:smartTagPr>
          <w:attr w:name="ProductID" w:val="la Constituci￳n Nacional"/>
        </w:smartTagPr>
        <w:r>
          <w:rPr>
            <w:lang w:val="es-ES_tradnl"/>
          </w:rPr>
          <w:t>la Constit</w:t>
        </w:r>
        <w:r>
          <w:rPr>
            <w:lang w:val="es-ES_tradnl"/>
          </w:rPr>
          <w:t>u</w:t>
        </w:r>
        <w:r>
          <w:rPr>
            <w:lang w:val="es-ES_tradnl"/>
          </w:rPr>
          <w:t>ción Nacional</w:t>
        </w:r>
      </w:smartTag>
      <w:r>
        <w:rPr>
          <w:lang w:val="es-ES_tradnl"/>
        </w:rPr>
        <w:t xml:space="preserve">; 26, segundo párrafo, de </w:t>
      </w:r>
      <w:smartTag w:uri="urn:schemas-microsoft-com:office:smarttags" w:element="PersonName">
        <w:smartTagPr>
          <w:attr w:name="ProductID" w:val="la Declaraci￳n Americana"/>
        </w:smartTagPr>
        <w:r>
          <w:rPr>
            <w:lang w:val="es-ES_tradnl"/>
          </w:rPr>
          <w:t>la Declaración Americana</w:t>
        </w:r>
      </w:smartTag>
      <w:r>
        <w:rPr>
          <w:lang w:val="es-ES_tradnl"/>
        </w:rPr>
        <w:t xml:space="preserve"> de los Der</w:t>
      </w:r>
      <w:r>
        <w:rPr>
          <w:lang w:val="es-ES_tradnl"/>
        </w:rPr>
        <w:t>e</w:t>
      </w:r>
      <w:r>
        <w:rPr>
          <w:lang w:val="es-ES_tradnl"/>
        </w:rPr>
        <w:t>chos y D</w:t>
      </w:r>
      <w:r>
        <w:rPr>
          <w:lang w:val="es-ES_tradnl"/>
        </w:rPr>
        <w:t>e</w:t>
      </w:r>
      <w:r>
        <w:rPr>
          <w:lang w:val="es-ES_tradnl"/>
        </w:rPr>
        <w:t xml:space="preserve">beres del Hombre; 10 de </w:t>
      </w:r>
      <w:smartTag w:uri="urn:schemas-microsoft-com:office:smarttags" w:element="PersonName">
        <w:smartTagPr>
          <w:attr w:name="ProductID" w:val="la Declaraci￳n Universal"/>
        </w:smartTagPr>
        <w:r>
          <w:rPr>
            <w:lang w:val="es-ES_tradnl"/>
          </w:rPr>
          <w:t>la Declaración Universal</w:t>
        </w:r>
      </w:smartTag>
      <w:r>
        <w:rPr>
          <w:lang w:val="es-ES_tradnl"/>
        </w:rPr>
        <w:t xml:space="preserve"> de los Derechos Humanos; 8.1 de </w:t>
      </w:r>
      <w:smartTag w:uri="urn:schemas-microsoft-com:office:smarttags" w:element="PersonName">
        <w:smartTagPr>
          <w:attr w:name="ProductID" w:val="la Convenci￳n Americana"/>
        </w:smartTagPr>
        <w:r>
          <w:rPr>
            <w:lang w:val="es-ES_tradnl"/>
          </w:rPr>
          <w:t>la Convención Americana</w:t>
        </w:r>
      </w:smartTag>
      <w:r>
        <w:rPr>
          <w:lang w:val="es-ES_tradnl"/>
        </w:rPr>
        <w:t xml:space="preserve"> sobre Derechos Humanos; 14.1 del Pacto Internacional de Derechos Civiles y Polít</w:t>
      </w:r>
      <w:r>
        <w:rPr>
          <w:lang w:val="es-ES_tradnl"/>
        </w:rPr>
        <w:t>i</w:t>
      </w:r>
      <w:r>
        <w:rPr>
          <w:lang w:val="es-ES_tradnl"/>
        </w:rPr>
        <w:t xml:space="preserve">cos; 167, inc. 3º, 168 y 172 del Código Procesal Penal de </w:t>
      </w:r>
      <w:smartTag w:uri="urn:schemas-microsoft-com:office:smarttags" w:element="PersonName">
        <w:smartTagPr>
          <w:attr w:name="ProductID" w:val="la Naci￳n"/>
        </w:smartTagPr>
        <w:r>
          <w:rPr>
            <w:lang w:val="es-ES_tradnl"/>
          </w:rPr>
          <w:t>la N</w:t>
        </w:r>
        <w:r>
          <w:rPr>
            <w:lang w:val="es-ES_tradnl"/>
          </w:rPr>
          <w:t>a</w:t>
        </w:r>
        <w:r>
          <w:rPr>
            <w:lang w:val="es-ES_tradnl"/>
          </w:rPr>
          <w:t>ción</w:t>
        </w:r>
      </w:smartTag>
      <w:r>
        <w:rPr>
          <w:lang w:val="es-ES_tradnl"/>
        </w:rPr>
        <w:t>)</w:t>
      </w:r>
      <w:r>
        <w:t>.</w:t>
      </w:r>
    </w:p>
    <w:p w:rsidR="00224567" w:rsidRDefault="00224567">
      <w:pPr>
        <w:widowControl w:val="0"/>
        <w:ind w:firstLine="2835"/>
      </w:pPr>
      <w:r>
        <w:rPr>
          <w:b/>
          <w:bCs/>
        </w:rPr>
        <w:tab/>
        <w:t>II.- ABSOLVER DE CULPA Y CARGO A CA</w:t>
      </w:r>
      <w:r>
        <w:rPr>
          <w:b/>
          <w:bCs/>
        </w:rPr>
        <w:t>R</w:t>
      </w:r>
      <w:r>
        <w:rPr>
          <w:b/>
          <w:bCs/>
        </w:rPr>
        <w:t>LOS ALBERTO TELLELDÍN</w:t>
      </w:r>
      <w:r>
        <w:t>, de las demás condiciones person</w:t>
      </w:r>
      <w:r>
        <w:t>a</w:t>
      </w:r>
      <w:r>
        <w:t>les obrantes en el exordio, en orden a los delitos de homic</w:t>
      </w:r>
      <w:r>
        <w:t>i</w:t>
      </w:r>
      <w:r>
        <w:t>dio calificado, lesiones gravísimas, graves y leves agr</w:t>
      </w:r>
      <w:r>
        <w:t>a</w:t>
      </w:r>
      <w:r>
        <w:t>vadas, daños múltiples y adulteración de documento p</w:t>
      </w:r>
      <w:r>
        <w:t>ú</w:t>
      </w:r>
      <w:r>
        <w:t>blico destinado a acreditar la identidad de las pers</w:t>
      </w:r>
      <w:r>
        <w:t>o</w:t>
      </w:r>
      <w:r>
        <w:t xml:space="preserve">nas (arts. 80, incs. 4º y 5°; 89, 90 y 91, en función del art. 92; 183 y 292, 2° párrafo, del Código Penal) por los que fue acusado; </w:t>
      </w:r>
      <w:r>
        <w:rPr>
          <w:b/>
          <w:bCs/>
        </w:rPr>
        <w:t>SIN COSTAS</w:t>
      </w:r>
      <w:r>
        <w:t xml:space="preserve"> (arts. 530 y 531 del Código Procesal Penal de </w:t>
      </w:r>
      <w:smartTag w:uri="urn:schemas-microsoft-com:office:smarttags" w:element="PersonName">
        <w:smartTagPr>
          <w:attr w:name="ProductID" w:val="la Naci￳n"/>
        </w:smartTagPr>
        <w:r>
          <w:t>la Nación</w:t>
        </w:r>
      </w:smartTag>
      <w:r>
        <w:t xml:space="preserve">) y, en consecuencia, </w:t>
      </w:r>
      <w:r>
        <w:rPr>
          <w:b/>
          <w:bCs/>
        </w:rPr>
        <w:t>ORDENAR SU LIBE</w:t>
      </w:r>
      <w:r>
        <w:rPr>
          <w:b/>
          <w:bCs/>
        </w:rPr>
        <w:t>R</w:t>
      </w:r>
      <w:r>
        <w:rPr>
          <w:b/>
          <w:bCs/>
        </w:rPr>
        <w:t>TAD</w:t>
      </w:r>
      <w:r>
        <w:t>, la que no se hará efectiva por cuanto deberá perman</w:t>
      </w:r>
      <w:r>
        <w:t>e</w:t>
      </w:r>
      <w:r>
        <w:t>cer detenido a disposición del Juzg</w:t>
      </w:r>
      <w:r>
        <w:t>a</w:t>
      </w:r>
      <w:r>
        <w:t>do de Transición nº 3 del Departamento Judicial de Morón, provincia de Buenos Aires, en la causa nº 9-50651-3 (art. 402 del Código Pr</w:t>
      </w:r>
      <w:r>
        <w:t>o</w:t>
      </w:r>
      <w:r>
        <w:t xml:space="preserve">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ind w:firstLine="2835"/>
      </w:pPr>
      <w:r>
        <w:tab/>
      </w:r>
      <w:r>
        <w:rPr>
          <w:b/>
          <w:bCs/>
        </w:rPr>
        <w:t>III.- ABSOLVER DE CULPA Y CARGO A JUAN JOSÉ RIBELLI</w:t>
      </w:r>
      <w:r>
        <w:t>, de las demás condiciones person</w:t>
      </w:r>
      <w:r>
        <w:t>a</w:t>
      </w:r>
      <w:r>
        <w:t>les obrantes en el exordio, en orden a los delitos de homicidio calif</w:t>
      </w:r>
      <w:r>
        <w:t>i</w:t>
      </w:r>
      <w:r>
        <w:t>cado, lesiones gravísimas, graves y l</w:t>
      </w:r>
      <w:r>
        <w:t>e</w:t>
      </w:r>
      <w:r>
        <w:t>ves agravadas, daños múltiples, privación ilegal de la libertad agravada y e</w:t>
      </w:r>
      <w:r>
        <w:t>x</w:t>
      </w:r>
      <w:r>
        <w:t>torsión -ambos en grado de tentativa-, falso testimonio agravado, secuestro extorsivo, asociación ilícita y coa</w:t>
      </w:r>
      <w:r>
        <w:t>c</w:t>
      </w:r>
      <w:r>
        <w:t>ción agravada (arts. 42; 80, incs. 4º y 5°; 89, 90 y 91, en función del art. 92; 144 bis, inc. 1º; 149 ter, inc. 2°, acápite “a”; 168; 170; 183; 210 y 275, 2° párrafo, del Código Penal) por los que fue ac</w:t>
      </w:r>
      <w:r>
        <w:t>u</w:t>
      </w:r>
      <w:r>
        <w:t>sado, como así también en orden al delito de extorsión (art. 168 del Código Penal) por el que se elevó la causa a juicio y no se formuló ac</w:t>
      </w:r>
      <w:r>
        <w:t>u</w:t>
      </w:r>
      <w:r>
        <w:t xml:space="preserve">sación; </w:t>
      </w:r>
      <w:r>
        <w:rPr>
          <w:b/>
          <w:bCs/>
        </w:rPr>
        <w:t>SIN COSTAS</w:t>
      </w:r>
      <w:r>
        <w:t xml:space="preserve"> (arts. 530 y 531 del Código Procesal Penal de </w:t>
      </w:r>
      <w:smartTag w:uri="urn:schemas-microsoft-com:office:smarttags" w:element="PersonName">
        <w:smartTagPr>
          <w:attr w:name="ProductID" w:val="la Naci￳n"/>
        </w:smartTagPr>
        <w:r>
          <w:t>la Nación</w:t>
        </w:r>
      </w:smartTag>
      <w:r>
        <w:t>) y, en consecuencia,</w:t>
      </w:r>
      <w:r>
        <w:rPr>
          <w:b/>
          <w:bCs/>
        </w:rPr>
        <w:t xml:space="preserve"> ORDENAR SU LIBE</w:t>
      </w:r>
      <w:r>
        <w:rPr>
          <w:b/>
          <w:bCs/>
        </w:rPr>
        <w:t>R</w:t>
      </w:r>
      <w:r>
        <w:rPr>
          <w:b/>
          <w:bCs/>
        </w:rPr>
        <w:t>TAD</w:t>
      </w:r>
      <w:r>
        <w:t>, la que no se hará efectiva por cuanto deberá perman</w:t>
      </w:r>
      <w:r>
        <w:t>e</w:t>
      </w:r>
      <w:r>
        <w:t>cer detenido a disposición de e</w:t>
      </w:r>
      <w:r>
        <w:t>s</w:t>
      </w:r>
      <w:r>
        <w:t xml:space="preserve">te Tribunal en la causa nº 503/03 y del Juzgado de Transición nº 3 del Departamento Judicial de </w:t>
      </w:r>
      <w:smartTag w:uri="urn:schemas-microsoft-com:office:smarttags" w:element="PersonName">
        <w:smartTagPr>
          <w:attr w:name="ProductID" w:val="La Plata"/>
        </w:smartTagPr>
        <w:r>
          <w:t>La Plata</w:t>
        </w:r>
      </w:smartTag>
      <w:r>
        <w:t xml:space="preserve">, provincia de Buenos Aires, en la causa nº 10-335 (art. 402 del Código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ind w:firstLine="2835"/>
        <w:rPr>
          <w:b/>
          <w:bCs/>
        </w:rPr>
      </w:pPr>
      <w:r>
        <w:tab/>
      </w:r>
      <w:r>
        <w:rPr>
          <w:b/>
          <w:bCs/>
        </w:rPr>
        <w:t>IV.- ABSOLVER DE CULPA Y CARGO A RAÚL EDILIO IBARRA,</w:t>
      </w:r>
      <w:r>
        <w:t xml:space="preserve"> de las demás condiciones personales obra</w:t>
      </w:r>
      <w:r>
        <w:t>n</w:t>
      </w:r>
      <w:r>
        <w:t>tes en el exordio, en orden a los delitos de homicidio c</w:t>
      </w:r>
      <w:r>
        <w:t>a</w:t>
      </w:r>
      <w:r>
        <w:t>lificado, lesiones gravísimas, graves y leves agravadas, daños múltiples, privación ilegal de la l</w:t>
      </w:r>
      <w:r>
        <w:t>i</w:t>
      </w:r>
      <w:r>
        <w:t>bertad agravada y extorsión -ambos en grado de tentativa-, falso testim</w:t>
      </w:r>
      <w:r>
        <w:t>o</w:t>
      </w:r>
      <w:r>
        <w:t>nio agravado -reiterado en dos oportunidades-, secuestro extorsivo y asociación ilícita (arts. 42; 80, incs. 4º y 5°; 89, 90 y 91, en función del art. 92; 144 bis, inc. 1°; 168; 170; 183; 210 y 275, segunda parte, del Código Penal) por los que fue acusado, como así también en orden a los delitos de falso testimonio -reiterado en dos oportunid</w:t>
      </w:r>
      <w:r>
        <w:t>a</w:t>
      </w:r>
      <w:r>
        <w:t>des- y extorsión (arts. 168 y 275, primer párrafo, del C</w:t>
      </w:r>
      <w:r>
        <w:t>ó</w:t>
      </w:r>
      <w:r>
        <w:t>digo Penal) por los que se el</w:t>
      </w:r>
      <w:r>
        <w:t>e</w:t>
      </w:r>
      <w:r>
        <w:t>vó la causa a juicio y no se formuló acusación;</w:t>
      </w:r>
      <w:r>
        <w:rPr>
          <w:b/>
          <w:bCs/>
        </w:rPr>
        <w:t xml:space="preserve"> SIN COSTAS </w:t>
      </w:r>
      <w:r>
        <w:t xml:space="preserve">(arts. 530 y 531 del Código Procesal Penal de </w:t>
      </w:r>
      <w:smartTag w:uri="urn:schemas-microsoft-com:office:smarttags" w:element="PersonName">
        <w:smartTagPr>
          <w:attr w:name="ProductID" w:val="la Naci￳n"/>
        </w:smartTagPr>
        <w:r>
          <w:t>la Nación</w:t>
        </w:r>
      </w:smartTag>
      <w:r>
        <w:t>) y, en consecuencia,</w:t>
      </w:r>
      <w:r>
        <w:rPr>
          <w:b/>
          <w:bCs/>
        </w:rPr>
        <w:t xml:space="preserve"> ORDENAR SU LIBE</w:t>
      </w:r>
      <w:r>
        <w:rPr>
          <w:b/>
          <w:bCs/>
        </w:rPr>
        <w:t>R</w:t>
      </w:r>
      <w:r>
        <w:rPr>
          <w:b/>
          <w:bCs/>
        </w:rPr>
        <w:t>TAD</w:t>
      </w:r>
      <w:r>
        <w:t xml:space="preserve">, la que no se hará efectiva por cuanto deberá permanecer detenido a disposición de este Tribunal en la causa nº 503/03 (art. 402 del Código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ind w:firstLine="2835"/>
      </w:pPr>
      <w:r>
        <w:rPr>
          <w:b/>
          <w:bCs/>
        </w:rPr>
        <w:tab/>
        <w:t>V.- ABSOLVER DE CULPA Y CARGO A M</w:t>
      </w:r>
      <w:r>
        <w:rPr>
          <w:b/>
          <w:bCs/>
        </w:rPr>
        <w:t>A</w:t>
      </w:r>
      <w:r>
        <w:rPr>
          <w:b/>
          <w:bCs/>
        </w:rPr>
        <w:t>RIO NORBERTO BAREIRO</w:t>
      </w:r>
      <w:r>
        <w:t>, de las demás condiciones personales obrantes en el exordio, en orden a los delitos de homic</w:t>
      </w:r>
      <w:r>
        <w:t>i</w:t>
      </w:r>
      <w:r>
        <w:t>dio calificado, lesiones gravísimas, graves y leves agr</w:t>
      </w:r>
      <w:r>
        <w:t>a</w:t>
      </w:r>
      <w:r>
        <w:t>vadas, daños múltiples, secuestro extorsivo, privación ilegal de la libertad agravada y extorsión -ambos en grado de tent</w:t>
      </w:r>
      <w:r>
        <w:t>a</w:t>
      </w:r>
      <w:r>
        <w:t>tiva- y asociación ilícita (arts. 42; 80, incs. 4º y 5°; 89, 90 y 91, en función del art. 92; 144 bis, inc. 1°; 168; 170; 183 y 210 del Código P</w:t>
      </w:r>
      <w:r>
        <w:t>e</w:t>
      </w:r>
      <w:r>
        <w:t>nal) por los que fue acusado, como así también en orden al delito de extorsión (art. 168 del C</w:t>
      </w:r>
      <w:r>
        <w:t>ó</w:t>
      </w:r>
      <w:r>
        <w:t>digo Penal) por el que se elevó la causa a juicio y no se formuló acus</w:t>
      </w:r>
      <w:r>
        <w:t>a</w:t>
      </w:r>
      <w:r>
        <w:t xml:space="preserve">ción; </w:t>
      </w:r>
      <w:r>
        <w:rPr>
          <w:b/>
          <w:bCs/>
        </w:rPr>
        <w:t>SIN COSTAS</w:t>
      </w:r>
      <w:r>
        <w:t xml:space="preserve"> (arts. 530 y 531 del Código Procesal Penal de </w:t>
      </w:r>
      <w:smartTag w:uri="urn:schemas-microsoft-com:office:smarttags" w:element="PersonName">
        <w:smartTagPr>
          <w:attr w:name="ProductID" w:val="la Naci￳n"/>
        </w:smartTagPr>
        <w:r>
          <w:t>la Nación</w:t>
        </w:r>
      </w:smartTag>
      <w:r>
        <w:t>) y, en cons</w:t>
      </w:r>
      <w:r>
        <w:t>e</w:t>
      </w:r>
      <w:r>
        <w:t xml:space="preserve">cuencia, </w:t>
      </w:r>
      <w:r>
        <w:rPr>
          <w:b/>
          <w:bCs/>
        </w:rPr>
        <w:t>ORDENAR SU INMEDIATA LIBE</w:t>
      </w:r>
      <w:r>
        <w:rPr>
          <w:b/>
          <w:bCs/>
        </w:rPr>
        <w:t>R</w:t>
      </w:r>
      <w:r>
        <w:rPr>
          <w:b/>
          <w:bCs/>
        </w:rPr>
        <w:t xml:space="preserve">TAD </w:t>
      </w:r>
      <w:r>
        <w:t xml:space="preserve">desde los estrados del Tribunal (art. 402 del Código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ind w:firstLine="2835"/>
      </w:pPr>
      <w:r>
        <w:rPr>
          <w:b/>
          <w:bCs/>
        </w:rPr>
        <w:tab/>
        <w:t>VI.- ABSOLVER DE CULPA Y CARGO A ANA</w:t>
      </w:r>
      <w:r>
        <w:rPr>
          <w:b/>
          <w:bCs/>
        </w:rPr>
        <w:t>S</w:t>
      </w:r>
      <w:r>
        <w:rPr>
          <w:b/>
          <w:bCs/>
        </w:rPr>
        <w:t>TASIO IRENEO LEAL</w:t>
      </w:r>
      <w:r>
        <w:t>, de las demás condiciones personales obrantes en el exordio, en orden a los delitos de homic</w:t>
      </w:r>
      <w:r>
        <w:t>i</w:t>
      </w:r>
      <w:r>
        <w:t>dio calificado, lesiones gravísimas, graves y leves agr</w:t>
      </w:r>
      <w:r>
        <w:t>a</w:t>
      </w:r>
      <w:r>
        <w:t>vadas, daños múltiples, secuestro extorsivo, privación ilegal de la libertad agravada y extorsión -ambos en grado de tentativa- y asoci</w:t>
      </w:r>
      <w:r>
        <w:t>a</w:t>
      </w:r>
      <w:r>
        <w:t>ción ilícita (arts. 42; 80, incs. 4º y 5°; 89, 90 y 91, en función del art. 92; 144 bis, inc. 1°; 168; 170; 183 y 210 del Código P</w:t>
      </w:r>
      <w:r>
        <w:t>e</w:t>
      </w:r>
      <w:r>
        <w:t>nal) por los que fue acusado, como así también en orden al delito de extorsión (art. 168 del C</w:t>
      </w:r>
      <w:r>
        <w:t>ó</w:t>
      </w:r>
      <w:r>
        <w:t>digo Penal) por el que se elevó la causa a juicio y no se formuló acus</w:t>
      </w:r>
      <w:r>
        <w:t>a</w:t>
      </w:r>
      <w:r>
        <w:t xml:space="preserve">ción; </w:t>
      </w:r>
      <w:r>
        <w:rPr>
          <w:b/>
          <w:bCs/>
        </w:rPr>
        <w:t>SIN COSTAS</w:t>
      </w:r>
      <w:r>
        <w:t xml:space="preserve"> (arts. 530 y 531 del Código Procesal Penal de </w:t>
      </w:r>
      <w:smartTag w:uri="urn:schemas-microsoft-com:office:smarttags" w:element="PersonName">
        <w:smartTagPr>
          <w:attr w:name="ProductID" w:val="la Naci￳n"/>
        </w:smartTagPr>
        <w:r>
          <w:t>la Nación</w:t>
        </w:r>
      </w:smartTag>
      <w:r>
        <w:t>) y, en cons</w:t>
      </w:r>
      <w:r>
        <w:t>e</w:t>
      </w:r>
      <w:r>
        <w:t xml:space="preserve">cuencia, </w:t>
      </w:r>
      <w:r>
        <w:rPr>
          <w:b/>
          <w:bCs/>
        </w:rPr>
        <w:t>ORDENAR SU INMEDIATA LIBE</w:t>
      </w:r>
      <w:r>
        <w:rPr>
          <w:b/>
          <w:bCs/>
        </w:rPr>
        <w:t>R</w:t>
      </w:r>
      <w:r>
        <w:rPr>
          <w:b/>
          <w:bCs/>
        </w:rPr>
        <w:t xml:space="preserve">TAD </w:t>
      </w:r>
      <w:r>
        <w:t xml:space="preserve">desde los estrados del Tribunal (art. 402 del Código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ind w:firstLine="2835"/>
      </w:pPr>
      <w:r>
        <w:rPr>
          <w:b/>
          <w:bCs/>
        </w:rPr>
        <w:tab/>
        <w:t>VII.- ABSOLVER DE CULPA Y CARGO A BA</w:t>
      </w:r>
      <w:r>
        <w:rPr>
          <w:b/>
          <w:bCs/>
        </w:rPr>
        <w:t>U</w:t>
      </w:r>
      <w:r>
        <w:rPr>
          <w:b/>
          <w:bCs/>
        </w:rPr>
        <w:t>TISTA ALBERTO HUICI</w:t>
      </w:r>
      <w:r>
        <w:t>, de las demás condiciones personales obrantes en el exordio, en orden a los delitos de secue</w:t>
      </w:r>
      <w:r>
        <w:t>s</w:t>
      </w:r>
      <w:r>
        <w:t>tro extorsivo, falso testimonio agravado y asociación il</w:t>
      </w:r>
      <w:r>
        <w:t>í</w:t>
      </w:r>
      <w:r>
        <w:t>cita (arts. 170, 210 y 275, segundo párrafo, del Código Penal) por los que fue acusado, como así ta</w:t>
      </w:r>
      <w:r>
        <w:t>m</w:t>
      </w:r>
      <w:r>
        <w:t>bién en orden a los delitos de extorsión y privación ilegal de la libe</w:t>
      </w:r>
      <w:r>
        <w:t>r</w:t>
      </w:r>
      <w:r>
        <w:t>tad agravada -ambos en grado de tentat</w:t>
      </w:r>
      <w:r>
        <w:t>i</w:t>
      </w:r>
      <w:r>
        <w:t xml:space="preserve">va- (arts. 42; 144 bis, inc. 1º, y 168 del Código Penal) por los que se elevó la causa a juicio y no se formuló acusación; </w:t>
      </w:r>
      <w:r>
        <w:rPr>
          <w:b/>
          <w:bCs/>
        </w:rPr>
        <w:t>SIN COSTAS</w:t>
      </w:r>
      <w:r>
        <w:t xml:space="preserve"> (arts. 530 y 531 del Código Procesal P</w:t>
      </w:r>
      <w:r>
        <w:t>e</w:t>
      </w:r>
      <w:r>
        <w:t xml:space="preserve">nal de </w:t>
      </w:r>
      <w:smartTag w:uri="urn:schemas-microsoft-com:office:smarttags" w:element="PersonName">
        <w:smartTagPr>
          <w:attr w:name="ProductID" w:val="la Naci￳n"/>
        </w:smartTagPr>
        <w:r>
          <w:t>la Nación</w:t>
        </w:r>
      </w:smartTag>
      <w:r>
        <w:t xml:space="preserve">). </w:t>
      </w:r>
    </w:p>
    <w:p w:rsidR="00224567" w:rsidRDefault="00224567">
      <w:pPr>
        <w:widowControl w:val="0"/>
        <w:ind w:firstLine="2835"/>
      </w:pPr>
      <w:r>
        <w:rPr>
          <w:b/>
          <w:bCs/>
        </w:rPr>
        <w:tab/>
        <w:t>VIII.- ABSOLVER DE CULPA Y CARGO A MARCELO GUSTAVO ALBARRACÍN</w:t>
      </w:r>
      <w:r>
        <w:t>, de las demás condiciones pe</w:t>
      </w:r>
      <w:r>
        <w:t>r</w:t>
      </w:r>
      <w:r>
        <w:t>sonales obrantes en el exordio, en orden a los delitos de s</w:t>
      </w:r>
      <w:r>
        <w:t>e</w:t>
      </w:r>
      <w:r>
        <w:t xml:space="preserve">cuestro extorsivo y asociación ilícita (arts. 170 y 210 del Código Penal) por los que fue acusado; </w:t>
      </w:r>
      <w:r>
        <w:rPr>
          <w:b/>
          <w:bCs/>
        </w:rPr>
        <w:t>SIN COSTAS</w:t>
      </w:r>
      <w:r>
        <w:t xml:space="preserve"> (arts. 530 y 531 del Código Proc</w:t>
      </w:r>
      <w:r>
        <w:t>e</w:t>
      </w:r>
      <w:r>
        <w:t xml:space="preserv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tab/>
      </w:r>
      <w:r>
        <w:rPr>
          <w:b/>
          <w:bCs/>
        </w:rPr>
        <w:t>IX.- ABSOLVER DE CULPA Y CARGO A AL</w:t>
      </w:r>
      <w:r>
        <w:rPr>
          <w:b/>
          <w:bCs/>
        </w:rPr>
        <w:t>E</w:t>
      </w:r>
      <w:r>
        <w:rPr>
          <w:b/>
          <w:bCs/>
        </w:rPr>
        <w:t>JANDRO BURGUETE</w:t>
      </w:r>
      <w:r>
        <w:t>, de las demás condiciones personales obrantes en el exordio, en orden a los delitos de fa</w:t>
      </w:r>
      <w:r>
        <w:t>l</w:t>
      </w:r>
      <w:r>
        <w:t>sedad ideológica de instrumento público -reiterado en dos opo</w:t>
      </w:r>
      <w:r>
        <w:t>r</w:t>
      </w:r>
      <w:r>
        <w:t>tunidades- y asociación ilícita (arts. 210 y 293 del Cód</w:t>
      </w:r>
      <w:r>
        <w:t>i</w:t>
      </w:r>
      <w:r>
        <w:t xml:space="preserve">go Penal) por los que fue acusado; </w:t>
      </w:r>
      <w:r>
        <w:rPr>
          <w:b/>
          <w:bCs/>
        </w:rPr>
        <w:t>SIN CO</w:t>
      </w:r>
      <w:r>
        <w:rPr>
          <w:b/>
          <w:bCs/>
        </w:rPr>
        <w:t>S</w:t>
      </w:r>
      <w:r>
        <w:rPr>
          <w:b/>
          <w:bCs/>
        </w:rPr>
        <w:t>TAS</w:t>
      </w:r>
      <w:r>
        <w:t xml:space="preserve"> (arts. 530 y 531 del Código Pr</w:t>
      </w:r>
      <w:r>
        <w:t>o</w:t>
      </w:r>
      <w:r>
        <w:t xml:space="preserve">cesal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rPr>
          <w:b/>
          <w:bCs/>
        </w:rPr>
        <w:tab/>
        <w:t>X.- ABSOLVER DE CULPA Y CARGO A JOSÉ MIGUEL ARANCIBIA</w:t>
      </w:r>
      <w:r>
        <w:t>, de las demás condiciones personales obrantes en el exordio, en orden a los delitos de fa</w:t>
      </w:r>
      <w:r>
        <w:t>l</w:t>
      </w:r>
      <w:r>
        <w:t>sedad ideológica de instrumento público y asociación ilícita (arts. 210 y 293 del Código Penal) por los que fue acus</w:t>
      </w:r>
      <w:r>
        <w:t>a</w:t>
      </w:r>
      <w:r>
        <w:t>do;</w:t>
      </w:r>
      <w:r>
        <w:rPr>
          <w:b/>
          <w:bCs/>
        </w:rPr>
        <w:t xml:space="preserve"> SIN COSTAS</w:t>
      </w:r>
      <w:r>
        <w:t xml:space="preserve"> (arts. 530 y 531 del Código Proc</w:t>
      </w:r>
      <w:r>
        <w:t>e</w:t>
      </w:r>
      <w:r>
        <w:t xml:space="preserv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tab/>
      </w:r>
      <w:r>
        <w:rPr>
          <w:b/>
          <w:bCs/>
        </w:rPr>
        <w:t>XI.- ABSOLVER DE CULPA Y CARGO A OSCAR EUSEBIO BACIGALUPO</w:t>
      </w:r>
      <w:r>
        <w:t>, de las demás condiciones personales obrantes en el exordio, en orden a los delitos de fa</w:t>
      </w:r>
      <w:r>
        <w:t>l</w:t>
      </w:r>
      <w:r>
        <w:t>sedad ideológica de instrumento público y asociación ilícita (arts. 210 y 293 del Código Penal) por los que fue acus</w:t>
      </w:r>
      <w:r>
        <w:t>a</w:t>
      </w:r>
      <w:r>
        <w:t>do;</w:t>
      </w:r>
      <w:r>
        <w:rPr>
          <w:b/>
          <w:bCs/>
        </w:rPr>
        <w:t xml:space="preserve"> SIN COSTAS</w:t>
      </w:r>
      <w:r>
        <w:t xml:space="preserve"> (arts. 530 y 531 del Código Pr</w:t>
      </w:r>
      <w:r>
        <w:t>o</w:t>
      </w:r>
      <w:r>
        <w:t xml:space="preserve">cesal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rPr>
          <w:b/>
          <w:bCs/>
        </w:rPr>
        <w:tab/>
        <w:t>XII.- ABSOLVER DE CULPA Y CARGO A JO</w:t>
      </w:r>
      <w:r>
        <w:rPr>
          <w:b/>
          <w:bCs/>
        </w:rPr>
        <w:t>R</w:t>
      </w:r>
      <w:r>
        <w:rPr>
          <w:b/>
          <w:bCs/>
        </w:rPr>
        <w:t>GE HORACIO RAGO</w:t>
      </w:r>
      <w:r>
        <w:t>, de las demás condiciones personales obrantes en el exordio, en orden a los delitos de secue</w:t>
      </w:r>
      <w:r>
        <w:t>s</w:t>
      </w:r>
      <w:r>
        <w:t>tro extorsivo, extorsión y privación ilegal de la libe</w:t>
      </w:r>
      <w:r>
        <w:t>r</w:t>
      </w:r>
      <w:r>
        <w:t>tad agravada –ambos en grado de tentativa–, falsedad ideológ</w:t>
      </w:r>
      <w:r>
        <w:t>i</w:t>
      </w:r>
      <w:r>
        <w:t>ca de instrumento público y asociación il</w:t>
      </w:r>
      <w:r>
        <w:t>í</w:t>
      </w:r>
      <w:r>
        <w:t>cita (arts. 42; 144 bis, inc. 1°; 168; 170; 210 y 293 del Código Penal) por los que fue acusado;</w:t>
      </w:r>
      <w:r>
        <w:rPr>
          <w:b/>
          <w:bCs/>
        </w:rPr>
        <w:t xml:space="preserve"> SIN COSTAS</w:t>
      </w:r>
      <w:r>
        <w:t xml:space="preserve"> (arts. 530 y 531 del Código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ind w:firstLine="2835"/>
      </w:pPr>
      <w:r>
        <w:rPr>
          <w:b/>
          <w:bCs/>
        </w:rPr>
        <w:tab/>
        <w:t>XIII.- ABSOLVER DE CULPA Y CARGO A JUAN ALBERTO BOTTEGAL</w:t>
      </w:r>
      <w:r>
        <w:t>, de las demás condiciones pe</w:t>
      </w:r>
      <w:r>
        <w:t>r</w:t>
      </w:r>
      <w:r>
        <w:t>sonales obrantes en el exordio, en orden al delito de secuestro extorsivo (art. 170 del Código Penal) por el que fue ac</w:t>
      </w:r>
      <w:r>
        <w:t>u</w:t>
      </w:r>
      <w:r>
        <w:t>sado;</w:t>
      </w:r>
      <w:r>
        <w:rPr>
          <w:b/>
          <w:bCs/>
        </w:rPr>
        <w:t xml:space="preserve"> SIN COSTAS</w:t>
      </w:r>
      <w:r>
        <w:t xml:space="preserve"> (arts. 530 y 531 del Código Procesal P</w:t>
      </w:r>
      <w:r>
        <w:t>e</w:t>
      </w:r>
      <w:r>
        <w:t xml:space="preserv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rPr>
          <w:b/>
          <w:bCs/>
        </w:rPr>
        <w:tab/>
        <w:t>XIV.- ABSOLVER DE CULPA Y CARGO A DI</w:t>
      </w:r>
      <w:r>
        <w:rPr>
          <w:b/>
          <w:bCs/>
        </w:rPr>
        <w:t>E</w:t>
      </w:r>
      <w:r>
        <w:rPr>
          <w:b/>
          <w:bCs/>
        </w:rPr>
        <w:t>GO ENRIQUE BARREDA</w:t>
      </w:r>
      <w:r>
        <w:t>, de las demás condiciones personales obrantes en el exordio, en orden a los delitos de secue</w:t>
      </w:r>
      <w:r>
        <w:t>s</w:t>
      </w:r>
      <w:r>
        <w:t>tro extorsivo, privación ilegal de la l</w:t>
      </w:r>
      <w:r>
        <w:t>i</w:t>
      </w:r>
      <w:r>
        <w:t>bertad agravada y extorsión –ambos en grado de tentativa– y asociación il</w:t>
      </w:r>
      <w:r>
        <w:t>í</w:t>
      </w:r>
      <w:r>
        <w:t>cita (arts. 42; 144 bis, inc. 1°; 168; 170 y 210 del Cód</w:t>
      </w:r>
      <w:r>
        <w:t>i</w:t>
      </w:r>
      <w:r>
        <w:t>go Penal) por los que fue acusado;</w:t>
      </w:r>
      <w:r>
        <w:rPr>
          <w:b/>
          <w:bCs/>
        </w:rPr>
        <w:t xml:space="preserve"> SIN CO</w:t>
      </w:r>
      <w:r>
        <w:rPr>
          <w:b/>
          <w:bCs/>
        </w:rPr>
        <w:t>S</w:t>
      </w:r>
      <w:r>
        <w:rPr>
          <w:b/>
          <w:bCs/>
        </w:rPr>
        <w:t>TAS</w:t>
      </w:r>
      <w:r>
        <w:t xml:space="preserve"> (arts. 530 y 531 del Código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ind w:firstLine="2835"/>
      </w:pPr>
      <w:r>
        <w:tab/>
      </w:r>
      <w:r>
        <w:rPr>
          <w:b/>
          <w:bCs/>
        </w:rPr>
        <w:t>XV.- ABSOLVER DE CULPA Y CARGO A MA</w:t>
      </w:r>
      <w:r>
        <w:rPr>
          <w:b/>
          <w:bCs/>
        </w:rPr>
        <w:t>R</w:t>
      </w:r>
      <w:r>
        <w:rPr>
          <w:b/>
          <w:bCs/>
        </w:rPr>
        <w:t>CELO DARÍO CASAS</w:t>
      </w:r>
      <w:r>
        <w:t>, de las demás condiciones personales obrantes en el exordio, en orden al delito de falso test</w:t>
      </w:r>
      <w:r>
        <w:t>i</w:t>
      </w:r>
      <w:r>
        <w:t>monio agravado (art. 275, segundo párrafo, del Código P</w:t>
      </w:r>
      <w:r>
        <w:t>e</w:t>
      </w:r>
      <w:r>
        <w:t>nal) por el que fue acusado, como así también en orden al delito de falso testimonio (art. 275, primer párrafo, del Código Penal) por el que se elevó la causa a juicio y no se formuló acusación;</w:t>
      </w:r>
      <w:r>
        <w:rPr>
          <w:b/>
          <w:bCs/>
        </w:rPr>
        <w:t xml:space="preserve"> SIN COSTAS</w:t>
      </w:r>
      <w:r>
        <w:t xml:space="preserve"> (arts. 530 y 531 del C</w:t>
      </w:r>
      <w:r>
        <w:t>ó</w:t>
      </w:r>
      <w:r>
        <w:t xml:space="preserve">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ind w:firstLine="2835"/>
      </w:pPr>
      <w:r>
        <w:rPr>
          <w:b/>
          <w:bCs/>
        </w:rPr>
        <w:tab/>
        <w:t>XVI.- ABSOLVER DE CULPA Y CARGO A EDUARDO DIEGO TOLEDO</w:t>
      </w:r>
      <w:r>
        <w:t>, de las demás condiciones person</w:t>
      </w:r>
      <w:r>
        <w:t>a</w:t>
      </w:r>
      <w:r>
        <w:t>les obrantes en el exordio, en orden al delito de falso test</w:t>
      </w:r>
      <w:r>
        <w:t>i</w:t>
      </w:r>
      <w:r>
        <w:t>monio (art. 275, primer párrafo, del Código P</w:t>
      </w:r>
      <w:r>
        <w:t>e</w:t>
      </w:r>
      <w:r>
        <w:t>nal) por el que se elevó la causa a juicio y no se formuló acus</w:t>
      </w:r>
      <w:r>
        <w:t>a</w:t>
      </w:r>
      <w:r>
        <w:t>ción;</w:t>
      </w:r>
      <w:r>
        <w:rPr>
          <w:b/>
          <w:bCs/>
        </w:rPr>
        <w:t xml:space="preserve"> SIN COSTAS</w:t>
      </w:r>
      <w:r>
        <w:t xml:space="preserve"> (arts. 530 y 531 del Código Procesal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rPr>
          <w:b/>
          <w:bCs/>
        </w:rPr>
      </w:pPr>
      <w:r>
        <w:rPr>
          <w:b/>
          <w:bCs/>
        </w:rPr>
        <w:t>XVII</w:t>
      </w:r>
      <w:r>
        <w:t xml:space="preserve">.- </w:t>
      </w:r>
      <w:r>
        <w:rPr>
          <w:b/>
          <w:bCs/>
        </w:rPr>
        <w:t>ABSOLVER DE CULPA Y CARGO A CLAUDIO WALTER ARAYA</w:t>
      </w:r>
      <w:r>
        <w:t>, de las demás condiciones person</w:t>
      </w:r>
      <w:r>
        <w:t>a</w:t>
      </w:r>
      <w:r>
        <w:t>les obrantes en el exordio, en orden a los delitos de secue</w:t>
      </w:r>
      <w:r>
        <w:t>s</w:t>
      </w:r>
      <w:r>
        <w:t>tro extorsivo y asociación ilícita (arts. 170 y 210 del Código Penal) por los que se elevó la causa a juicio y no se formuló acusación;</w:t>
      </w:r>
      <w:r>
        <w:rPr>
          <w:b/>
          <w:bCs/>
        </w:rPr>
        <w:t xml:space="preserve"> SIN COSTAS</w:t>
      </w:r>
      <w:r>
        <w:t xml:space="preserve"> (arts. 530 y 531 del C</w:t>
      </w:r>
      <w:r>
        <w:t>ó</w:t>
      </w:r>
      <w:r>
        <w:t xml:space="preserve">digo Procesal Penal de </w:t>
      </w:r>
      <w:smartTag w:uri="urn:schemas-microsoft-com:office:smarttags" w:element="PersonName">
        <w:smartTagPr>
          <w:attr w:name="ProductID" w:val="la Naci￳n"/>
        </w:smartTagPr>
        <w:r>
          <w:t>la N</w:t>
        </w:r>
        <w:r>
          <w:t>a</w:t>
        </w:r>
        <w:r>
          <w:t>ción</w:t>
        </w:r>
      </w:smartTag>
      <w:r>
        <w:t>).</w:t>
      </w:r>
    </w:p>
    <w:p w:rsidR="00224567" w:rsidRDefault="00224567">
      <w:pPr>
        <w:widowControl w:val="0"/>
        <w:ind w:firstLine="2835"/>
      </w:pPr>
      <w:r>
        <w:rPr>
          <w:b/>
          <w:bCs/>
        </w:rPr>
        <w:tab/>
        <w:t>XVIII.- ABSOLVER DE CULPA Y CARGO A VÍCTOR CARLOS CRUZ</w:t>
      </w:r>
      <w:r>
        <w:t>, de las demás condiciones personales obrantes en el exordio, en orden a los delitos de exto</w:t>
      </w:r>
      <w:r>
        <w:t>r</w:t>
      </w:r>
      <w:r>
        <w:t>sión y priv</w:t>
      </w:r>
      <w:r>
        <w:t>a</w:t>
      </w:r>
      <w:r>
        <w:t>ción ilegal de la libertad agravada -ambos en grado de tentativa- y asociación ilícita (arts. 42; 144 bis, inc. 1º; 168 y 210 del Código Penal) por los que se elevó la causa a juicio y no se formuló acusación;</w:t>
      </w:r>
      <w:r>
        <w:rPr>
          <w:b/>
          <w:bCs/>
        </w:rPr>
        <w:t xml:space="preserve"> SIN COSTAS</w:t>
      </w:r>
      <w:r>
        <w:t xml:space="preserve"> (arts. 530 y 531 del Código Procesal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rPr>
          <w:b/>
          <w:bCs/>
        </w:rPr>
      </w:pPr>
      <w:r>
        <w:rPr>
          <w:b/>
          <w:bCs/>
        </w:rPr>
        <w:t>XIX</w:t>
      </w:r>
      <w:r>
        <w:t xml:space="preserve">.- </w:t>
      </w:r>
      <w:r>
        <w:rPr>
          <w:b/>
          <w:bCs/>
        </w:rPr>
        <w:t>ABSOLVER DE CULPA Y CARGO A A</w:t>
      </w:r>
      <w:r>
        <w:rPr>
          <w:b/>
          <w:bCs/>
        </w:rPr>
        <w:t>R</w:t>
      </w:r>
      <w:r>
        <w:rPr>
          <w:b/>
          <w:bCs/>
        </w:rPr>
        <w:t>GENTINO GABRIEL LASALA</w:t>
      </w:r>
      <w:r>
        <w:t>, de las demás condiciones person</w:t>
      </w:r>
      <w:r>
        <w:t>a</w:t>
      </w:r>
      <w:r>
        <w:t>les obrantes en el exordio, en orden al delito de asoci</w:t>
      </w:r>
      <w:r>
        <w:t>a</w:t>
      </w:r>
      <w:r>
        <w:t>ción ilícita (art. 210 del Código Penal) por el que se elevó la causa a juicio y no se formuló acusación;</w:t>
      </w:r>
      <w:r>
        <w:rPr>
          <w:b/>
          <w:bCs/>
        </w:rPr>
        <w:t xml:space="preserve"> SIN COSTAS</w:t>
      </w:r>
      <w:r>
        <w:t xml:space="preserve"> (arts. 530 y 531 del Código Procesal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rPr>
          <w:b/>
          <w:bCs/>
        </w:rPr>
        <w:tab/>
        <w:t>XX.- ABSOLVER DE CULPA Y CARGO A D</w:t>
      </w:r>
      <w:r>
        <w:rPr>
          <w:b/>
          <w:bCs/>
        </w:rPr>
        <w:t>A</w:t>
      </w:r>
      <w:r>
        <w:rPr>
          <w:b/>
          <w:bCs/>
        </w:rPr>
        <w:t>NIEL EMILIO QUINTEROS</w:t>
      </w:r>
      <w:r>
        <w:t>, de las demás condiciones person</w:t>
      </w:r>
      <w:r>
        <w:t>a</w:t>
      </w:r>
      <w:r>
        <w:t>les obrantes en el exordio, en orden a los delitos de fa</w:t>
      </w:r>
      <w:r>
        <w:t>l</w:t>
      </w:r>
      <w:r>
        <w:t>sedad ideológica de instrumento público y asociación ilícita (arts. 210 y 293 del Código Penal) por los que se elevó la causa a juicio y no se formuló acusación;</w:t>
      </w:r>
      <w:r>
        <w:rPr>
          <w:b/>
          <w:bCs/>
        </w:rPr>
        <w:t xml:space="preserve"> SIN COSTAS</w:t>
      </w:r>
      <w:r>
        <w:t xml:space="preserve"> (arts. 530 y 531 del Código Procesal P</w:t>
      </w:r>
      <w:r>
        <w:t>e</w:t>
      </w:r>
      <w:r>
        <w:t xml:space="preserv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tab/>
      </w:r>
      <w:r>
        <w:rPr>
          <w:b/>
          <w:bCs/>
        </w:rPr>
        <w:t>XXI.- ABSOLVER DE CULPA Y CARGO A ARIEL RODOLFO NITZCANER</w:t>
      </w:r>
      <w:r>
        <w:t>, de las demás condiciones person</w:t>
      </w:r>
      <w:r>
        <w:t>a</w:t>
      </w:r>
      <w:r>
        <w:t>les obrantes en el exordio, en orden al delito de encubr</w:t>
      </w:r>
      <w:r>
        <w:t>i</w:t>
      </w:r>
      <w:r>
        <w:t>miento (art. 277, inc. 3º, del Código P</w:t>
      </w:r>
      <w:r>
        <w:t>e</w:t>
      </w:r>
      <w:r>
        <w:t>nal) por el que se elevó la causa a juicio y no se formuló acusación;</w:t>
      </w:r>
      <w:r>
        <w:rPr>
          <w:b/>
          <w:bCs/>
        </w:rPr>
        <w:t xml:space="preserve"> SIN COSTAS</w:t>
      </w:r>
      <w:r>
        <w:t xml:space="preserve"> (arts. 530 y 531 del Código Procesal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tab/>
      </w:r>
      <w:r>
        <w:rPr>
          <w:b/>
          <w:bCs/>
        </w:rPr>
        <w:t>XXII.- ABSOLVER DE CULPA Y CARGO A H</w:t>
      </w:r>
      <w:r>
        <w:rPr>
          <w:b/>
          <w:bCs/>
        </w:rPr>
        <w:t>U</w:t>
      </w:r>
      <w:r>
        <w:rPr>
          <w:b/>
          <w:bCs/>
        </w:rPr>
        <w:t>GO ANTONIO PÉREZ</w:t>
      </w:r>
      <w:r>
        <w:t>, de las demás condiciones personales obrantes en el exordio, en orden al delito de encubrimie</w:t>
      </w:r>
      <w:r>
        <w:t>n</w:t>
      </w:r>
      <w:r>
        <w:t>to (art. 277, inc. 3º, del Código Penal) por el que se elevó la causa a juicio y no se formuló acusación;</w:t>
      </w:r>
      <w:r>
        <w:rPr>
          <w:b/>
          <w:bCs/>
        </w:rPr>
        <w:t xml:space="preserve"> SIN COSTAS</w:t>
      </w:r>
      <w:r>
        <w:t xml:space="preserve"> (arts. 530 y 531 del Código Procesal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tab/>
      </w:r>
      <w:r>
        <w:rPr>
          <w:b/>
          <w:bCs/>
        </w:rPr>
        <w:t>XXIII.- ABSOLVER DE CULPA Y CARGO A MIGUEL GUSTAVO JAIMES</w:t>
      </w:r>
      <w:r>
        <w:t>, de las demás condiciones person</w:t>
      </w:r>
      <w:r>
        <w:t>a</w:t>
      </w:r>
      <w:r>
        <w:t>les obrantes en el exordio, en orden al delito de encubrimie</w:t>
      </w:r>
      <w:r>
        <w:t>n</w:t>
      </w:r>
      <w:r>
        <w:t>to (art. 277, inc. 3º, del Código Penal), por el que se elevó la causa a juicio y no se formuló acusación;</w:t>
      </w:r>
      <w:r>
        <w:rPr>
          <w:b/>
          <w:bCs/>
        </w:rPr>
        <w:t xml:space="preserve"> SIN COSTAS</w:t>
      </w:r>
      <w:r>
        <w:t xml:space="preserve"> (arts. 530 y 531 del Código Procesal Penal de </w:t>
      </w:r>
      <w:smartTag w:uri="urn:schemas-microsoft-com:office:smarttags" w:element="PersonName">
        <w:smartTagPr>
          <w:attr w:name="ProductID" w:val="la Naci￳n"/>
        </w:smartTagPr>
        <w:r>
          <w:t>la Nación</w:t>
        </w:r>
      </w:smartTag>
      <w:r>
        <w:t>).</w:t>
      </w:r>
    </w:p>
    <w:p w:rsidR="00224567" w:rsidRDefault="00224567">
      <w:pPr>
        <w:widowControl w:val="0"/>
        <w:ind w:firstLine="2835"/>
      </w:pPr>
      <w:r>
        <w:tab/>
      </w:r>
      <w:r>
        <w:rPr>
          <w:b/>
          <w:bCs/>
          <w:lang w:val="es-ES_tradnl"/>
        </w:rPr>
        <w:t>XXIV.- DECLARAR NULA</w:t>
      </w:r>
      <w:r>
        <w:rPr>
          <w:lang w:val="es-ES_tradnl"/>
        </w:rPr>
        <w:t xml:space="preserve"> el acta agr</w:t>
      </w:r>
      <w:r>
        <w:rPr>
          <w:lang w:val="es-ES_tradnl"/>
        </w:rPr>
        <w:t>e</w:t>
      </w:r>
      <w:r>
        <w:rPr>
          <w:lang w:val="es-ES_tradnl"/>
        </w:rPr>
        <w:t xml:space="preserve">gada a fs. 224 del Informe Preliminar elaborado </w:t>
      </w:r>
      <w:r>
        <w:t>por el Depart</w:t>
      </w:r>
      <w:r>
        <w:t>a</w:t>
      </w:r>
      <w:r>
        <w:t xml:space="preserve">mento Explosivos y Riesgos Especiales de </w:t>
      </w:r>
      <w:smartTag w:uri="urn:schemas-microsoft-com:office:smarttags" w:element="PersonName">
        <w:smartTagPr>
          <w:attr w:name="ProductID" w:val="la Superintendencia"/>
        </w:smartTagPr>
        <w:r>
          <w:t>la Superintende</w:t>
        </w:r>
        <w:r>
          <w:t>n</w:t>
        </w:r>
        <w:r>
          <w:t>cia</w:t>
        </w:r>
      </w:smartTag>
      <w:r>
        <w:t xml:space="preserve"> de Bomberos de </w:t>
      </w:r>
      <w:smartTag w:uri="urn:schemas-microsoft-com:office:smarttags" w:element="PersonName">
        <w:smartTagPr>
          <w:attr w:name="ProductID" w:val="la Polic￭a Federal"/>
        </w:smartTagPr>
        <w:r>
          <w:t>la Policía Federal</w:t>
        </w:r>
      </w:smartTag>
      <w:r>
        <w:t xml:space="preserve"> Argentina, que da cuenta del secuestro del motor nº 2.831.467</w:t>
      </w:r>
      <w:r>
        <w:rPr>
          <w:lang w:val="es-ES_tradnl"/>
        </w:rPr>
        <w:t xml:space="preserve"> (arts. 138, 139, 140, 166 y concordantes del Código Procesal P</w:t>
      </w:r>
      <w:r>
        <w:rPr>
          <w:lang w:val="es-ES_tradnl"/>
        </w:rPr>
        <w:t>e</w:t>
      </w:r>
      <w:r>
        <w:rPr>
          <w:lang w:val="es-ES_tradnl"/>
        </w:rPr>
        <w:t xml:space="preserve">nal de </w:t>
      </w:r>
      <w:smartTag w:uri="urn:schemas-microsoft-com:office:smarttags" w:element="PersonName">
        <w:smartTagPr>
          <w:attr w:name="ProductID" w:val="la Naci￳n"/>
        </w:smartTagPr>
        <w:r>
          <w:rPr>
            <w:lang w:val="es-ES_tradnl"/>
          </w:rPr>
          <w:t>la Nación</w:t>
        </w:r>
      </w:smartTag>
      <w:r>
        <w:rPr>
          <w:lang w:val="es-ES_tradnl"/>
        </w:rPr>
        <w:t>) y ex</w:t>
      </w:r>
      <w:r>
        <w:t>traer testimonios de las piezas pe</w:t>
      </w:r>
      <w:r>
        <w:t>r</w:t>
      </w:r>
      <w:r>
        <w:t xml:space="preserve">tinentes para su remisión a </w:t>
      </w:r>
      <w:smartTag w:uri="urn:schemas-microsoft-com:office:smarttags" w:element="PersonName">
        <w:smartTagPr>
          <w:attr w:name="ProductID" w:val="la C￡mara Nacional"/>
        </w:smartTagPr>
        <w:r>
          <w:t>la Cámara Nacional</w:t>
        </w:r>
      </w:smartTag>
      <w:r>
        <w:t xml:space="preserve"> de Apel</w:t>
      </w:r>
      <w:r>
        <w:t>a</w:t>
      </w:r>
      <w:r>
        <w:t>ciones en lo Criminal y Correccional Federal de esta ci</w:t>
      </w:r>
      <w:r>
        <w:t>u</w:t>
      </w:r>
      <w:r>
        <w:t>dad, a efectos de que determine el juzgado que deberá investigar la pos</w:t>
      </w:r>
      <w:r>
        <w:t>i</w:t>
      </w:r>
      <w:r>
        <w:t>ble comisión del delito de falsedad ide</w:t>
      </w:r>
      <w:r>
        <w:t>o</w:t>
      </w:r>
      <w:r>
        <w:t>lógica.</w:t>
      </w:r>
    </w:p>
    <w:p w:rsidR="00224567" w:rsidRDefault="00224567">
      <w:pPr>
        <w:widowControl w:val="0"/>
        <w:ind w:firstLine="2835"/>
        <w:rPr>
          <w:lang w:val="es-ES_tradnl"/>
        </w:rPr>
      </w:pPr>
      <w:r>
        <w:rPr>
          <w:lang w:val="es-ES_tradnl"/>
        </w:rPr>
        <w:tab/>
      </w:r>
      <w:r>
        <w:rPr>
          <w:b/>
          <w:bCs/>
          <w:lang w:val="es-ES_tradnl"/>
        </w:rPr>
        <w:t>XXV</w:t>
      </w:r>
      <w:r>
        <w:rPr>
          <w:lang w:val="es-ES_tradnl"/>
        </w:rPr>
        <w:t xml:space="preserve">.- </w:t>
      </w:r>
      <w:r>
        <w:rPr>
          <w:b/>
          <w:bCs/>
          <w:lang w:val="es-ES_tradnl"/>
        </w:rPr>
        <w:t>DECLARAR NULO</w:t>
      </w:r>
      <w:r>
        <w:rPr>
          <w:lang w:val="es-ES_tradnl"/>
        </w:rPr>
        <w:t xml:space="preserve"> el allanamiento practicado en el entonces domicilio de Carlos Alberto T</w:t>
      </w:r>
      <w:r>
        <w:rPr>
          <w:lang w:val="es-ES_tradnl"/>
        </w:rPr>
        <w:t>e</w:t>
      </w:r>
      <w:r>
        <w:rPr>
          <w:lang w:val="es-ES_tradnl"/>
        </w:rPr>
        <w:t xml:space="preserve">lleldín, ubicado en la calle República 107 de la localidad de Villa Ballester, partido de San Martín, provincia de Buenos Aires, del que da cuenta el acta de fs. 417/418 (arts. 166, 224 y concordantes del Código Procesal Penal de </w:t>
      </w:r>
      <w:smartTag w:uri="urn:schemas-microsoft-com:office:smarttags" w:element="PersonName">
        <w:smartTagPr>
          <w:attr w:name="ProductID" w:val="la Naci￳n"/>
        </w:smartTagPr>
        <w:r>
          <w:rPr>
            <w:lang w:val="es-ES_tradnl"/>
          </w:rPr>
          <w:t>la N</w:t>
        </w:r>
        <w:r>
          <w:rPr>
            <w:lang w:val="es-ES_tradnl"/>
          </w:rPr>
          <w:t>a</w:t>
        </w:r>
        <w:r>
          <w:rPr>
            <w:lang w:val="es-ES_tradnl"/>
          </w:rPr>
          <w:t>ción</w:t>
        </w:r>
      </w:smartTag>
      <w:r>
        <w:rPr>
          <w:lang w:val="es-ES_tradnl"/>
        </w:rPr>
        <w:t>).</w:t>
      </w:r>
    </w:p>
    <w:p w:rsidR="00224567" w:rsidRDefault="00224567">
      <w:pPr>
        <w:widowControl w:val="0"/>
        <w:ind w:firstLine="2835"/>
        <w:rPr>
          <w:lang w:val="es-ES_tradnl"/>
        </w:rPr>
      </w:pPr>
      <w:r>
        <w:rPr>
          <w:lang w:val="es-ES_tradnl"/>
        </w:rPr>
        <w:tab/>
      </w:r>
      <w:r>
        <w:rPr>
          <w:b/>
          <w:bCs/>
          <w:lang w:val="es-ES_tradnl"/>
        </w:rPr>
        <w:t>XXVI</w:t>
      </w:r>
      <w:r>
        <w:rPr>
          <w:lang w:val="es-ES_tradnl"/>
        </w:rPr>
        <w:t xml:space="preserve">.- </w:t>
      </w:r>
      <w:r>
        <w:rPr>
          <w:b/>
          <w:bCs/>
          <w:lang w:val="es-ES_tradnl"/>
        </w:rPr>
        <w:t>DECLARAR NULA</w:t>
      </w:r>
      <w:r>
        <w:rPr>
          <w:lang w:val="es-ES_tradnl"/>
        </w:rPr>
        <w:t xml:space="preserve"> la indagatoria prestada el 5 de julio de 1996 por Carlos Alberto Telle</w:t>
      </w:r>
      <w:r>
        <w:rPr>
          <w:lang w:val="es-ES_tradnl"/>
        </w:rPr>
        <w:t>l</w:t>
      </w:r>
      <w:r>
        <w:rPr>
          <w:lang w:val="es-ES_tradnl"/>
        </w:rPr>
        <w:t>dín, protocolizada a fs. 24.223/24.249 (arts. 138, 139, 140, 166, 296 y concordantes del Código Procesal P</w:t>
      </w:r>
      <w:r>
        <w:rPr>
          <w:lang w:val="es-ES_tradnl"/>
        </w:rPr>
        <w:t>e</w:t>
      </w:r>
      <w:r>
        <w:rPr>
          <w:lang w:val="es-ES_tradnl"/>
        </w:rPr>
        <w:t xml:space="preserve">nal de </w:t>
      </w:r>
      <w:smartTag w:uri="urn:schemas-microsoft-com:office:smarttags" w:element="PersonName">
        <w:smartTagPr>
          <w:attr w:name="ProductID" w:val="la Naci￳n"/>
        </w:smartTagPr>
        <w:r>
          <w:rPr>
            <w:lang w:val="es-ES_tradnl"/>
          </w:rPr>
          <w:t>la Nación</w:t>
        </w:r>
      </w:smartTag>
      <w:r>
        <w:rPr>
          <w:lang w:val="es-ES_tradnl"/>
        </w:rPr>
        <w:t>).</w:t>
      </w:r>
    </w:p>
    <w:p w:rsidR="00224567" w:rsidRDefault="00224567">
      <w:pPr>
        <w:widowControl w:val="0"/>
        <w:ind w:firstLine="2835"/>
        <w:rPr>
          <w:lang w:val="es-ES_tradnl"/>
        </w:rPr>
      </w:pPr>
      <w:r>
        <w:rPr>
          <w:lang w:val="es-ES_tradnl"/>
        </w:rPr>
        <w:tab/>
      </w:r>
      <w:r>
        <w:rPr>
          <w:b/>
          <w:bCs/>
          <w:lang w:val="es-ES_tradnl"/>
        </w:rPr>
        <w:t xml:space="preserve">XXVII.- NO HACER LUGAR </w:t>
      </w:r>
      <w:r>
        <w:rPr>
          <w:lang w:val="es-ES_tradnl"/>
        </w:rPr>
        <w:t>a los re</w:t>
      </w:r>
      <w:r>
        <w:rPr>
          <w:lang w:val="es-ES_tradnl"/>
        </w:rPr>
        <w:t>s</w:t>
      </w:r>
      <w:r>
        <w:rPr>
          <w:lang w:val="es-ES_tradnl"/>
        </w:rPr>
        <w:t>tantes planteos de nulidad formulados por las pa</w:t>
      </w:r>
      <w:r>
        <w:rPr>
          <w:lang w:val="es-ES_tradnl"/>
        </w:rPr>
        <w:t>r</w:t>
      </w:r>
      <w:r>
        <w:rPr>
          <w:lang w:val="es-ES_tradnl"/>
        </w:rPr>
        <w:t>tes.</w:t>
      </w:r>
    </w:p>
    <w:p w:rsidR="00224567" w:rsidRDefault="00224567">
      <w:pPr>
        <w:widowControl w:val="0"/>
        <w:ind w:firstLine="2835"/>
      </w:pPr>
      <w:r>
        <w:rPr>
          <w:b/>
          <w:bCs/>
        </w:rPr>
        <w:tab/>
        <w:t xml:space="preserve">XXVIII.- </w:t>
      </w:r>
      <w:r>
        <w:t xml:space="preserve">Extraer testimonios de las piezas pertinentes y remitirlos a </w:t>
      </w:r>
      <w:smartTag w:uri="urn:schemas-microsoft-com:office:smarttags" w:element="PersonName">
        <w:smartTagPr>
          <w:attr w:name="ProductID" w:val="la C￡mara Nacional"/>
        </w:smartTagPr>
        <w:r>
          <w:t>la Cámara Nacional</w:t>
        </w:r>
      </w:smartTag>
      <w:r>
        <w:t xml:space="preserve"> de Apelaciones en lo Criminal y Correccional Federal de e</w:t>
      </w:r>
      <w:r>
        <w:t>s</w:t>
      </w:r>
      <w:r>
        <w:t>ta ciudad, a efectos de que determine el juzgado que deberá investigar la responsabilidad que pudo caberles al juez Juan José Galeano, a los funcionarios y empleados del Ju</w:t>
      </w:r>
      <w:r>
        <w:t>z</w:t>
      </w:r>
      <w:r>
        <w:t>gado Nacional en lo Criminal y Correccional Federal nº 9 de esta ciudad, como así ta</w:t>
      </w:r>
      <w:r>
        <w:t>m</w:t>
      </w:r>
      <w:r>
        <w:t>bién a los representantes del Ministerio Público Fiscal, Eamon Gabriel Mullen y José Carlos Barbaccia, en los delitos que se habrían cometido a lo largo de la instrucción de la presente causa; en part</w:t>
      </w:r>
      <w:r>
        <w:t>i</w:t>
      </w:r>
      <w:r>
        <w:t>cular:</w:t>
      </w:r>
    </w:p>
    <w:p w:rsidR="00224567" w:rsidRDefault="00224567">
      <w:pPr>
        <w:widowControl w:val="0"/>
        <w:ind w:firstLine="2835"/>
      </w:pPr>
      <w:r>
        <w:rPr>
          <w:b/>
          <w:bCs/>
        </w:rPr>
        <w:t>A)</w:t>
      </w:r>
      <w:r>
        <w:t xml:space="preserve"> la falsedad ideológica del acta l</w:t>
      </w:r>
      <w:r>
        <w:t>a</w:t>
      </w:r>
      <w:r>
        <w:t>brada con motivo de la declaración indagatoria pre</w:t>
      </w:r>
      <w:r>
        <w:t>s</w:t>
      </w:r>
      <w:r>
        <w:t>tada el 5 de julio de 1996 por Carlos Alberto Telle</w:t>
      </w:r>
      <w:r>
        <w:t>l</w:t>
      </w:r>
      <w:r>
        <w:t>dín;</w:t>
      </w:r>
    </w:p>
    <w:p w:rsidR="00224567" w:rsidRDefault="00224567">
      <w:pPr>
        <w:pStyle w:val="Sangradetextonormal"/>
        <w:widowControl w:val="0"/>
        <w:ind w:firstLine="2835"/>
        <w:rPr>
          <w:lang w:val="es-ES"/>
        </w:rPr>
      </w:pPr>
      <w:r>
        <w:rPr>
          <w:b/>
          <w:bCs/>
          <w:lang w:val="es-ES"/>
        </w:rPr>
        <w:t>B)</w:t>
      </w:r>
      <w:r>
        <w:rPr>
          <w:lang w:val="es-ES"/>
        </w:rPr>
        <w:t xml:space="preserve"> la destrucción de las videocintas en las que se registraron declaraciones y entrevistas ll</w:t>
      </w:r>
      <w:r>
        <w:rPr>
          <w:lang w:val="es-ES"/>
        </w:rPr>
        <w:t>e</w:t>
      </w:r>
      <w:r>
        <w:rPr>
          <w:lang w:val="es-ES"/>
        </w:rPr>
        <w:t>vadas a cabo en el marco de estas actuaciones en el juzg</w:t>
      </w:r>
      <w:r>
        <w:rPr>
          <w:lang w:val="es-ES"/>
        </w:rPr>
        <w:t>a</w:t>
      </w:r>
      <w:r>
        <w:rPr>
          <w:lang w:val="es-ES"/>
        </w:rPr>
        <w:t>do instructor y en dependencias del Ministerio Público Fiscal;</w:t>
      </w:r>
    </w:p>
    <w:p w:rsidR="00224567" w:rsidRDefault="00224567">
      <w:pPr>
        <w:pStyle w:val="Sangradetextonormal"/>
        <w:widowControl w:val="0"/>
        <w:ind w:firstLine="2835"/>
        <w:rPr>
          <w:lang w:val="es-ES"/>
        </w:rPr>
      </w:pPr>
      <w:r>
        <w:rPr>
          <w:b/>
          <w:bCs/>
          <w:lang w:val="es-ES"/>
        </w:rPr>
        <w:t>C)</w:t>
      </w:r>
      <w:r>
        <w:rPr>
          <w:lang w:val="es-ES"/>
        </w:rPr>
        <w:t xml:space="preserve"> la privación ilegal de la libertad y torturas que habría sufrido César Antonio Fernández, c</w:t>
      </w:r>
      <w:r>
        <w:rPr>
          <w:lang w:val="es-ES"/>
        </w:rPr>
        <w:t>o</w:t>
      </w:r>
      <w:r>
        <w:rPr>
          <w:lang w:val="es-ES"/>
        </w:rPr>
        <w:t xml:space="preserve">mo asimismo la responsabilidad que en tales sucesos pudo caberle a personal de </w:t>
      </w:r>
      <w:smartTag w:uri="urn:schemas-microsoft-com:office:smarttags" w:element="PersonName">
        <w:smartTagPr>
          <w:attr w:name="ProductID" w:val="la Secretar￭a"/>
        </w:smartTagPr>
        <w:r>
          <w:rPr>
            <w:lang w:val="es-ES"/>
          </w:rPr>
          <w:t>la Secretaría</w:t>
        </w:r>
      </w:smartTag>
      <w:r>
        <w:rPr>
          <w:lang w:val="es-ES"/>
        </w:rPr>
        <w:t xml:space="preserve"> de Intelige</w:t>
      </w:r>
      <w:r>
        <w:rPr>
          <w:lang w:val="es-ES"/>
        </w:rPr>
        <w:t>n</w:t>
      </w:r>
      <w:r>
        <w:rPr>
          <w:lang w:val="es-ES"/>
        </w:rPr>
        <w:t xml:space="preserve">cia de </w:t>
      </w:r>
      <w:smartTag w:uri="urn:schemas-microsoft-com:office:smarttags" w:element="PersonName">
        <w:smartTagPr>
          <w:attr w:name="ProductID" w:val="la Presidencia"/>
        </w:smartTagPr>
        <w:r>
          <w:rPr>
            <w:lang w:val="es-ES"/>
          </w:rPr>
          <w:t>la Presidencia</w:t>
        </w:r>
      </w:smartTag>
      <w:r>
        <w:rPr>
          <w:lang w:val="es-ES"/>
        </w:rPr>
        <w:t xml:space="preserve"> de </w:t>
      </w:r>
      <w:smartTag w:uri="urn:schemas-microsoft-com:office:smarttags" w:element="PersonName">
        <w:smartTagPr>
          <w:attr w:name="ProductID" w:val="la Naci￳n"/>
        </w:smartTagPr>
        <w:r>
          <w:rPr>
            <w:lang w:val="es-ES"/>
          </w:rPr>
          <w:t>la Nación</w:t>
        </w:r>
      </w:smartTag>
      <w:r>
        <w:rPr>
          <w:lang w:val="es-ES"/>
        </w:rPr>
        <w:t xml:space="preserve"> y de </w:t>
      </w:r>
      <w:smartTag w:uri="urn:schemas-microsoft-com:office:smarttags" w:element="PersonName">
        <w:smartTagPr>
          <w:attr w:name="ProductID" w:val="la Polic￭a"/>
        </w:smartTagPr>
        <w:r>
          <w:rPr>
            <w:lang w:val="es-ES"/>
          </w:rPr>
          <w:t>la Policía</w:t>
        </w:r>
      </w:smartTag>
      <w:r>
        <w:rPr>
          <w:lang w:val="es-ES"/>
        </w:rPr>
        <w:t xml:space="preserve"> de </w:t>
      </w:r>
      <w:smartTag w:uri="urn:schemas-microsoft-com:office:smarttags" w:element="PersonName">
        <w:smartTagPr>
          <w:attr w:name="ProductID" w:val="la Provincia"/>
        </w:smartTagPr>
        <w:r>
          <w:rPr>
            <w:lang w:val="es-ES"/>
          </w:rPr>
          <w:t>la Provincia</w:t>
        </w:r>
      </w:smartTag>
      <w:r>
        <w:rPr>
          <w:lang w:val="es-ES"/>
        </w:rPr>
        <w:t xml:space="preserve"> de Buenos Aires;</w:t>
      </w:r>
    </w:p>
    <w:p w:rsidR="00224567" w:rsidRDefault="00224567">
      <w:pPr>
        <w:widowControl w:val="0"/>
        <w:ind w:firstLine="2835"/>
      </w:pPr>
      <w:r>
        <w:rPr>
          <w:b/>
          <w:bCs/>
        </w:rPr>
        <w:t>D)</w:t>
      </w:r>
      <w:r>
        <w:t xml:space="preserve"> lo actuado en el legajo nº 148, c</w:t>
      </w:r>
      <w:r>
        <w:t>a</w:t>
      </w:r>
      <w:r>
        <w:t>ratulado: “Ofrecimientos para Obtener Información”, como así también la responsabilidad que pudo caberles a Luis Ernesto Vicat y Aldo Andrés Spicacci Citarella en los ofrecimientos efectuados a Diego Enrique Barreda y Alberto Enrique Barr</w:t>
      </w:r>
      <w:r>
        <w:t>e</w:t>
      </w:r>
      <w:r>
        <w:t>da;</w:t>
      </w:r>
    </w:p>
    <w:p w:rsidR="00224567" w:rsidRDefault="00224567">
      <w:pPr>
        <w:pStyle w:val="Sangradetextonormal"/>
        <w:widowControl w:val="0"/>
        <w:ind w:firstLine="2835"/>
        <w:rPr>
          <w:lang w:val="es-ES"/>
        </w:rPr>
      </w:pPr>
      <w:r>
        <w:rPr>
          <w:b/>
          <w:bCs/>
          <w:lang w:val="es-ES"/>
        </w:rPr>
        <w:t>E)</w:t>
      </w:r>
      <w:r>
        <w:rPr>
          <w:lang w:val="es-ES"/>
        </w:rPr>
        <w:t xml:space="preserve"> los denunciados en el debate por Gisela Jaquelina Araya y Alexandra Gabriela De Leone, re</w:t>
      </w:r>
      <w:r>
        <w:rPr>
          <w:lang w:val="es-ES"/>
        </w:rPr>
        <w:t>s</w:t>
      </w:r>
      <w:r>
        <w:rPr>
          <w:lang w:val="es-ES"/>
        </w:rPr>
        <w:t>pecto de las circunstancias que habrían rodeado la confe</w:t>
      </w:r>
      <w:r>
        <w:rPr>
          <w:lang w:val="es-ES"/>
        </w:rPr>
        <w:t>c</w:t>
      </w:r>
      <w:r>
        <w:rPr>
          <w:lang w:val="es-ES"/>
        </w:rPr>
        <w:t>ción y el co</w:t>
      </w:r>
      <w:r>
        <w:rPr>
          <w:lang w:val="es-ES"/>
        </w:rPr>
        <w:t>n</w:t>
      </w:r>
      <w:r>
        <w:rPr>
          <w:lang w:val="es-ES"/>
        </w:rPr>
        <w:t>tenido del acta de fs. 41.289;</w:t>
      </w:r>
    </w:p>
    <w:p w:rsidR="00224567" w:rsidRDefault="00224567">
      <w:pPr>
        <w:widowControl w:val="0"/>
        <w:ind w:firstLine="2835"/>
      </w:pPr>
      <w:r>
        <w:rPr>
          <w:b/>
          <w:bCs/>
        </w:rPr>
        <w:t>F)</w:t>
      </w:r>
      <w:r>
        <w:t xml:space="preserve"> los denunciados en el debate por Jorge Horacio Rago, en orden a la entrevista que mantuvo con el juez in</w:t>
      </w:r>
      <w:r>
        <w:t>s</w:t>
      </w:r>
      <w:r>
        <w:t>tructor, previo a su detención;</w:t>
      </w:r>
    </w:p>
    <w:p w:rsidR="00224567" w:rsidRDefault="00224567">
      <w:pPr>
        <w:pStyle w:val="Sangradetextonormal"/>
        <w:widowControl w:val="0"/>
        <w:ind w:firstLine="2835"/>
        <w:rPr>
          <w:lang w:val="es-ES"/>
        </w:rPr>
      </w:pPr>
      <w:r>
        <w:rPr>
          <w:b/>
          <w:bCs/>
          <w:lang w:val="es-ES"/>
        </w:rPr>
        <w:t>G)</w:t>
      </w:r>
      <w:r>
        <w:rPr>
          <w:lang w:val="es-ES"/>
        </w:rPr>
        <w:t xml:space="preserve"> los que resultan de los pormenores que precedieron la declaración testimonial prestada por Gustavo Alberto Semorile en el ju</w:t>
      </w:r>
      <w:r>
        <w:rPr>
          <w:lang w:val="es-ES"/>
        </w:rPr>
        <w:t>z</w:t>
      </w:r>
      <w:r>
        <w:rPr>
          <w:lang w:val="es-ES"/>
        </w:rPr>
        <w:t>gado instructor;</w:t>
      </w:r>
    </w:p>
    <w:p w:rsidR="00224567" w:rsidRDefault="00224567">
      <w:pPr>
        <w:widowControl w:val="0"/>
        <w:ind w:firstLine="2835"/>
      </w:pPr>
      <w:r>
        <w:rPr>
          <w:b/>
          <w:bCs/>
        </w:rPr>
        <w:t>H)</w:t>
      </w:r>
      <w:r>
        <w:t xml:space="preserve"> los que surgen de las condiciones en que comparecieron al juzgado instructor Luis Claudio Álvarez Matus, Sandra Karina Cardeal, Walter Alejandro Castro, Manuel Enrique García, Argentino Gabriel Lasala, </w:t>
      </w:r>
      <w:r>
        <w:rPr>
          <w:lang w:val="es-ES_tradnl"/>
        </w:rPr>
        <w:t>Marcelo Darío Casas, Eduardo Diego Toledo y José Aurelio Ferr</w:t>
      </w:r>
      <w:r>
        <w:rPr>
          <w:lang w:val="es-ES_tradnl"/>
        </w:rPr>
        <w:t>a</w:t>
      </w:r>
      <w:r>
        <w:rPr>
          <w:lang w:val="es-ES_tradnl"/>
        </w:rPr>
        <w:t>ri</w:t>
      </w:r>
      <w:r>
        <w:t>;</w:t>
      </w:r>
    </w:p>
    <w:p w:rsidR="00224567" w:rsidRDefault="00224567">
      <w:pPr>
        <w:pStyle w:val="Sangradetextonormal"/>
        <w:widowControl w:val="0"/>
        <w:ind w:firstLine="2835"/>
        <w:rPr>
          <w:lang w:val="es-ES"/>
        </w:rPr>
      </w:pPr>
      <w:r>
        <w:rPr>
          <w:b/>
          <w:bCs/>
          <w:lang w:val="es-ES"/>
        </w:rPr>
        <w:t>I)</w:t>
      </w:r>
      <w:r>
        <w:rPr>
          <w:lang w:val="es-ES"/>
        </w:rPr>
        <w:t xml:space="preserve"> la falsedad ideológica de los i</w:t>
      </w:r>
      <w:r>
        <w:rPr>
          <w:lang w:val="es-ES"/>
        </w:rPr>
        <w:t>n</w:t>
      </w:r>
      <w:r>
        <w:rPr>
          <w:lang w:val="es-ES"/>
        </w:rPr>
        <w:t>formes de fs. 8206 y 8619, suscriptos por el Dr. Carlos Alfredo V</w:t>
      </w:r>
      <w:r>
        <w:rPr>
          <w:lang w:val="es-ES"/>
        </w:rPr>
        <w:t>e</w:t>
      </w:r>
      <w:r>
        <w:rPr>
          <w:lang w:val="es-ES"/>
        </w:rPr>
        <w:t>lasco;</w:t>
      </w:r>
    </w:p>
    <w:p w:rsidR="00224567" w:rsidRDefault="00224567">
      <w:pPr>
        <w:widowControl w:val="0"/>
        <w:ind w:firstLine="2835"/>
      </w:pPr>
      <w:r>
        <w:rPr>
          <w:b/>
          <w:bCs/>
        </w:rPr>
        <w:t>J)</w:t>
      </w:r>
      <w:r>
        <w:t xml:space="preserve"> los que resultan del cotejo de las fechas estampadas en las actuaciones glosadas a fs. 865, 866, 870, 871, 872 y en los respectivos oficios originales de inte</w:t>
      </w:r>
      <w:r>
        <w:t>r</w:t>
      </w:r>
      <w:r>
        <w:t xml:space="preserve">vención telefónica que se encuentran reservados en Secretaría, como así también la responsabilidad que en ello pudo caberle a personal de </w:t>
      </w:r>
      <w:smartTag w:uri="urn:schemas-microsoft-com:office:smarttags" w:element="PersonName">
        <w:smartTagPr>
          <w:attr w:name="ProductID" w:val="la Secretar￭a"/>
        </w:smartTagPr>
        <w:r>
          <w:t>la Secretaría</w:t>
        </w:r>
      </w:smartTag>
      <w:r>
        <w:t xml:space="preserve"> de Intel</w:t>
      </w:r>
      <w:r>
        <w:t>i</w:t>
      </w:r>
      <w:r>
        <w:t xml:space="preserve">gencia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w:t>
        </w:r>
        <w:r>
          <w:t>a</w:t>
        </w:r>
        <w:r>
          <w:t>ción</w:t>
        </w:r>
      </w:smartTag>
      <w:r>
        <w:t>; y</w:t>
      </w:r>
    </w:p>
    <w:p w:rsidR="00224567" w:rsidRDefault="00224567">
      <w:pPr>
        <w:widowControl w:val="0"/>
        <w:ind w:firstLine="2835"/>
      </w:pPr>
      <w:r>
        <w:rPr>
          <w:b/>
          <w:bCs/>
        </w:rPr>
        <w:t>K)</w:t>
      </w:r>
      <w:r>
        <w:t xml:space="preserve"> los que resultan de las dilige</w:t>
      </w:r>
      <w:r>
        <w:t>n</w:t>
      </w:r>
      <w:r>
        <w:t>cias llev</w:t>
      </w:r>
      <w:r>
        <w:t>a</w:t>
      </w:r>
      <w:r>
        <w:t>das a cabo por Armando Antonio Calabró, en virtud de la entrega que da cuenta la nota de fs. 40.155, como así también la responsabilidad que pudo caberles en tales s</w:t>
      </w:r>
      <w:r>
        <w:t>u</w:t>
      </w:r>
      <w:r>
        <w:t>cesos a Jorge Sebastián Menno y José Jofre, que habrían actuado juntamente con el nombr</w:t>
      </w:r>
      <w:r>
        <w:t>a</w:t>
      </w:r>
      <w:r>
        <w:t>do.</w:t>
      </w:r>
    </w:p>
    <w:p w:rsidR="00224567" w:rsidRDefault="00224567">
      <w:pPr>
        <w:widowControl w:val="0"/>
        <w:ind w:firstLine="2835"/>
      </w:pPr>
      <w:r>
        <w:tab/>
      </w:r>
      <w:r>
        <w:rPr>
          <w:b/>
          <w:bCs/>
        </w:rPr>
        <w:t>XXIX.-</w:t>
      </w:r>
      <w:r>
        <w:t xml:space="preserve"> Extraer copia de la pr</w:t>
      </w:r>
      <w:r>
        <w:t>e</w:t>
      </w:r>
      <w:r>
        <w:t xml:space="preserve">sente y remitirla al Consejo de </w:t>
      </w:r>
      <w:smartTag w:uri="urn:schemas-microsoft-com:office:smarttags" w:element="PersonName">
        <w:smartTagPr>
          <w:attr w:name="ProductID" w:val="la Magistratura"/>
        </w:smartTagPr>
        <w:r>
          <w:t>la Magistratura</w:t>
        </w:r>
      </w:smartTag>
      <w:r>
        <w:t xml:space="preserve"> a los fines pr</w:t>
      </w:r>
      <w:r>
        <w:t>e</w:t>
      </w:r>
      <w:r>
        <w:t>vistos en el art. 6, inc. 7º, de la ley 24.937, modific</w:t>
      </w:r>
      <w:r>
        <w:t>a</w:t>
      </w:r>
      <w:r>
        <w:t>da por la ley 24.939, respecto del juez Juan José Gale</w:t>
      </w:r>
      <w:r>
        <w:t>a</w:t>
      </w:r>
      <w:r>
        <w:t>no.</w:t>
      </w:r>
    </w:p>
    <w:p w:rsidR="00224567" w:rsidRDefault="00224567">
      <w:pPr>
        <w:widowControl w:val="0"/>
        <w:ind w:firstLine="2835"/>
      </w:pPr>
      <w:r>
        <w:tab/>
      </w:r>
      <w:r>
        <w:rPr>
          <w:b/>
          <w:bCs/>
        </w:rPr>
        <w:t>XXX.-</w:t>
      </w:r>
      <w:r>
        <w:t xml:space="preserve"> Extraer copia de la presente y remitirla al Procurador General de </w:t>
      </w:r>
      <w:smartTag w:uri="urn:schemas-microsoft-com:office:smarttags" w:element="PersonName">
        <w:smartTagPr>
          <w:attr w:name="ProductID" w:val="la Naci￳n"/>
        </w:smartTagPr>
        <w:r>
          <w:t>la Nación</w:t>
        </w:r>
      </w:smartTag>
      <w:r>
        <w:t xml:space="preserve"> a los fines previstos en el art. 18, segundo párrafo, de la ley 24.946, respecto del agente fiscal José Carlos Barba</w:t>
      </w:r>
      <w:r>
        <w:t>c</w:t>
      </w:r>
      <w:r>
        <w:t>cia.</w:t>
      </w:r>
    </w:p>
    <w:p w:rsidR="00224567" w:rsidRDefault="00224567">
      <w:pPr>
        <w:widowControl w:val="0"/>
        <w:ind w:firstLine="2835"/>
        <w:rPr>
          <w:b/>
          <w:bCs/>
        </w:rPr>
      </w:pPr>
      <w:r>
        <w:tab/>
      </w:r>
      <w:r>
        <w:rPr>
          <w:b/>
          <w:bCs/>
        </w:rPr>
        <w:t xml:space="preserve">XXXI.- </w:t>
      </w:r>
      <w:r>
        <w:t>Extraer copia de la pr</w:t>
      </w:r>
      <w:r>
        <w:t>e</w:t>
      </w:r>
      <w:r>
        <w:t xml:space="preserve">sente y remitirla a </w:t>
      </w:r>
      <w:smartTag w:uri="urn:schemas-microsoft-com:office:smarttags" w:element="PersonName">
        <w:smartTagPr>
          <w:attr w:name="ProductID" w:val="la C￡mara Nacional"/>
        </w:smartTagPr>
        <w:r>
          <w:t>la Cámara Nacional</w:t>
        </w:r>
      </w:smartTag>
      <w:r>
        <w:t xml:space="preserve"> de Apelaciones en lo Crim</w:t>
      </w:r>
      <w:r>
        <w:t>i</w:t>
      </w:r>
      <w:r>
        <w:t>nal y Correccional Federal de esta ciudad a los efectos administrativos que estime correspondan, con relación al desempeño de los funcionarios y empleados del juzgado in</w:t>
      </w:r>
      <w:r>
        <w:t>s</w:t>
      </w:r>
      <w:r>
        <w:t>tru</w:t>
      </w:r>
      <w:r>
        <w:t>c</w:t>
      </w:r>
      <w:r>
        <w:t>tor.</w:t>
      </w:r>
    </w:p>
    <w:p w:rsidR="00224567" w:rsidRDefault="00224567">
      <w:pPr>
        <w:widowControl w:val="0"/>
        <w:ind w:firstLine="2835"/>
      </w:pPr>
      <w:r>
        <w:rPr>
          <w:b/>
          <w:bCs/>
        </w:rPr>
        <w:tab/>
        <w:t xml:space="preserve">XXXII.- </w:t>
      </w:r>
      <w:r>
        <w:t xml:space="preserve">Extraer testimonios de las piezas pertinentes y remitirlos a </w:t>
      </w:r>
      <w:smartTag w:uri="urn:schemas-microsoft-com:office:smarttags" w:element="PersonName">
        <w:smartTagPr>
          <w:attr w:name="ProductID" w:val="la C￡mara Nacional"/>
        </w:smartTagPr>
        <w:r>
          <w:t>la Cámara Nacional</w:t>
        </w:r>
      </w:smartTag>
      <w:r>
        <w:t xml:space="preserve"> de Apelaciones en lo Criminal y Correccional Fed</w:t>
      </w:r>
      <w:r>
        <w:t>e</w:t>
      </w:r>
      <w:r>
        <w:t>ral de esta ciudad, a efectos de que determine el juzgado que deberá investigar la posible comisión de los delitos de acción pública que resultan de la actuación del juez Gabriel R</w:t>
      </w:r>
      <w:r>
        <w:t>u</w:t>
      </w:r>
      <w:r>
        <w:t>bén Cavallo en la instrucción de la causa nº 9485 del r</w:t>
      </w:r>
      <w:r>
        <w:t>e</w:t>
      </w:r>
      <w:r>
        <w:t xml:space="preserve">gistro de </w:t>
      </w:r>
      <w:smartTag w:uri="urn:schemas-microsoft-com:office:smarttags" w:element="PersonName">
        <w:smartTagPr>
          <w:attr w:name="ProductID" w:val="la Secretar￭a"/>
        </w:smartTagPr>
        <w:r>
          <w:t>la Secretaría</w:t>
        </w:r>
      </w:smartTag>
      <w:r>
        <w:t xml:space="preserve"> nº 7, del Juzgado Nacional en lo Criminal y Correccional Federal nº 4 de esta ciudad, en virtud de lo dispuesto en los arts. 55, inc. 11º, del C</w:t>
      </w:r>
      <w:r>
        <w:t>ó</w:t>
      </w:r>
      <w:r>
        <w:t xml:space="preserve">digo Procesal Penal de </w:t>
      </w:r>
      <w:smartTag w:uri="urn:schemas-microsoft-com:office:smarttags" w:element="PersonName">
        <w:smartTagPr>
          <w:attr w:name="ProductID" w:val="la Naci￳n"/>
        </w:smartTagPr>
        <w:r>
          <w:t>la Nación</w:t>
        </w:r>
      </w:smartTag>
      <w:r>
        <w:t xml:space="preserve"> y 32 del Código Proc</w:t>
      </w:r>
      <w:r>
        <w:t>e</w:t>
      </w:r>
      <w:r>
        <w:t>sal Civil y Come</w:t>
      </w:r>
      <w:r>
        <w:t>r</w:t>
      </w:r>
      <w:r>
        <w:t xml:space="preserve">cial de </w:t>
      </w:r>
      <w:smartTag w:uri="urn:schemas-microsoft-com:office:smarttags" w:element="PersonName">
        <w:smartTagPr>
          <w:attr w:name="ProductID" w:val="la Naci￳n."/>
        </w:smartTagPr>
        <w:r>
          <w:t>la Nación.</w:t>
        </w:r>
      </w:smartTag>
    </w:p>
    <w:p w:rsidR="00224567" w:rsidRDefault="00224567">
      <w:pPr>
        <w:widowControl w:val="0"/>
        <w:ind w:firstLine="2835"/>
      </w:pPr>
      <w:r>
        <w:tab/>
      </w:r>
      <w:r>
        <w:rPr>
          <w:b/>
          <w:bCs/>
        </w:rPr>
        <w:t>XXXIII.-</w:t>
      </w:r>
      <w:r>
        <w:t xml:space="preserve"> Extraer copia de la pr</w:t>
      </w:r>
      <w:r>
        <w:t>e</w:t>
      </w:r>
      <w:r>
        <w:t xml:space="preserve">sente y remitirla al Consejo de </w:t>
      </w:r>
      <w:smartTag w:uri="urn:schemas-microsoft-com:office:smarttags" w:element="PersonName">
        <w:smartTagPr>
          <w:attr w:name="ProductID" w:val="la Magistratura"/>
        </w:smartTagPr>
        <w:r>
          <w:t>la Magistratura</w:t>
        </w:r>
      </w:smartTag>
      <w:r>
        <w:t xml:space="preserve"> a los fines pr</w:t>
      </w:r>
      <w:r>
        <w:t>e</w:t>
      </w:r>
      <w:r>
        <w:t>vistos en el art. 6, inc. 7º, de la ley 24.937, modif</w:t>
      </w:r>
      <w:r>
        <w:t>i</w:t>
      </w:r>
      <w:r>
        <w:t>cada por la ley 24.939, respecto del juez Gabriel Rubén Cav</w:t>
      </w:r>
      <w:r>
        <w:t>a</w:t>
      </w:r>
      <w:r>
        <w:t>llo.</w:t>
      </w:r>
    </w:p>
    <w:p w:rsidR="00224567" w:rsidRDefault="00224567">
      <w:pPr>
        <w:widowControl w:val="0"/>
        <w:ind w:firstLine="2835"/>
      </w:pPr>
      <w:r>
        <w:tab/>
      </w:r>
      <w:r>
        <w:rPr>
          <w:b/>
          <w:bCs/>
        </w:rPr>
        <w:t>XXXIV.-</w:t>
      </w:r>
      <w:r>
        <w:t xml:space="preserve"> Extraer copia de la prese</w:t>
      </w:r>
      <w:r>
        <w:t>n</w:t>
      </w:r>
      <w:r>
        <w:t xml:space="preserve">te y remitirla al Consejo de </w:t>
      </w:r>
      <w:smartTag w:uri="urn:schemas-microsoft-com:office:smarttags" w:element="PersonName">
        <w:smartTagPr>
          <w:attr w:name="ProductID" w:val="la Magistratura"/>
        </w:smartTagPr>
        <w:r>
          <w:t>la Magistratura</w:t>
        </w:r>
      </w:smartTag>
      <w:r>
        <w:t xml:space="preserve"> a los fines pr</w:t>
      </w:r>
      <w:r>
        <w:t>e</w:t>
      </w:r>
      <w:r>
        <w:t>vistos en el art. 6, inc. 7º, de la ley 24.937, modif</w:t>
      </w:r>
      <w:r>
        <w:t>i</w:t>
      </w:r>
      <w:r>
        <w:t>cada por la ley 24.939, respecto del juez Norberto Mario Oya</w:t>
      </w:r>
      <w:r>
        <w:t>r</w:t>
      </w:r>
      <w:r>
        <w:t>bide, en virtud de su actuación en la causa nº 496/00 del regi</w:t>
      </w:r>
      <w:r>
        <w:t>s</w:t>
      </w:r>
      <w:r>
        <w:t>tro de este Tribunal.</w:t>
      </w:r>
    </w:p>
    <w:p w:rsidR="00224567" w:rsidRDefault="00224567">
      <w:pPr>
        <w:widowControl w:val="0"/>
        <w:ind w:firstLine="2835"/>
      </w:pPr>
      <w:r>
        <w:rPr>
          <w:b/>
          <w:bCs/>
        </w:rPr>
        <w:tab/>
        <w:t xml:space="preserve">XXXV.- </w:t>
      </w:r>
      <w:r>
        <w:t>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w:t>
      </w:r>
      <w:r>
        <w:t>e</w:t>
      </w:r>
      <w:r>
        <w:t>laciones en lo Criminal y Correccional Federal de esta ciudad, a efectos de que determine el juzgado que deberá investigar la responsabilidad que pudo caberles a Carlos Vladimiro Corach y Hugo Alfredo Anzorr</w:t>
      </w:r>
      <w:r>
        <w:t>e</w:t>
      </w:r>
      <w:r>
        <w:t>guy con relación a los pormenores que precedieron la indagatoria de Carlos Albe</w:t>
      </w:r>
      <w:r>
        <w:t>r</w:t>
      </w:r>
      <w:r>
        <w:t>to Telleldín del 5 de julio de 1996.</w:t>
      </w:r>
    </w:p>
    <w:p w:rsidR="00224567" w:rsidRDefault="00224567">
      <w:pPr>
        <w:widowControl w:val="0"/>
        <w:ind w:firstLine="2835"/>
      </w:pPr>
      <w:r>
        <w:tab/>
      </w:r>
      <w:r>
        <w:rPr>
          <w:b/>
          <w:bCs/>
        </w:rPr>
        <w:t>XXXVI.-</w:t>
      </w:r>
      <w:r>
        <w:t xml:space="preserve"> Extraer testimonios de las piezas pertinentes y remitirlos a </w:t>
      </w:r>
      <w:smartTag w:uri="urn:schemas-microsoft-com:office:smarttags" w:element="PersonName">
        <w:smartTagPr>
          <w:attr w:name="ProductID" w:val="la C￡mara Nacional"/>
        </w:smartTagPr>
        <w:r>
          <w:t>la Cámara Nacional</w:t>
        </w:r>
      </w:smartTag>
      <w:r>
        <w:t xml:space="preserve"> de Apelaciones en lo Criminal y Correccional Fed</w:t>
      </w:r>
      <w:r>
        <w:t>e</w:t>
      </w:r>
      <w:r>
        <w:t>ral de esta ciudad, a efectos de que determine el juzgado que deberá investigar la responsabilidad que pudo c</w:t>
      </w:r>
      <w:r>
        <w:t>a</w:t>
      </w:r>
      <w:r>
        <w:t xml:space="preserve">berle a personal de </w:t>
      </w:r>
      <w:smartTag w:uri="urn:schemas-microsoft-com:office:smarttags" w:element="PersonName">
        <w:smartTagPr>
          <w:attr w:name="ProductID" w:val="la Secretar￭a"/>
        </w:smartTagPr>
        <w:r>
          <w:t>la Secretaría</w:t>
        </w:r>
      </w:smartTag>
      <w:r>
        <w:t xml:space="preserve"> de Inteligencia de </w:t>
      </w:r>
      <w:smartTag w:uri="urn:schemas-microsoft-com:office:smarttags" w:element="PersonName">
        <w:smartTagPr>
          <w:attr w:name="ProductID" w:val="la Presidencia"/>
        </w:smartTagPr>
        <w:r>
          <w:t>la Presidencia</w:t>
        </w:r>
      </w:smartTag>
      <w:r>
        <w:t xml:space="preserve"> de </w:t>
      </w:r>
      <w:smartTag w:uri="urn:schemas-microsoft-com:office:smarttags" w:element="PersonName">
        <w:smartTagPr>
          <w:attr w:name="ProductID" w:val="la Naci￳n"/>
        </w:smartTagPr>
        <w:r>
          <w:t>la Nación</w:t>
        </w:r>
      </w:smartTag>
      <w:r>
        <w:t xml:space="preserve"> en la comisión de los presuntos d</w:t>
      </w:r>
      <w:r>
        <w:t>e</w:t>
      </w:r>
      <w:r>
        <w:t>litos:</w:t>
      </w:r>
    </w:p>
    <w:p w:rsidR="00224567" w:rsidRDefault="00224567">
      <w:pPr>
        <w:widowControl w:val="0"/>
        <w:ind w:firstLine="2835"/>
      </w:pPr>
      <w:r>
        <w:rPr>
          <w:b/>
          <w:bCs/>
        </w:rPr>
        <w:t>A)</w:t>
      </w:r>
      <w:r>
        <w:t xml:space="preserve"> que resultan de las intervenciones telefónicas, sin orden judicial, efectuadas sobre las l</w:t>
      </w:r>
      <w:r>
        <w:t>í</w:t>
      </w:r>
      <w:r>
        <w:t xml:space="preserve">neas de las embajadas de </w:t>
      </w:r>
      <w:smartTag w:uri="urn:schemas-microsoft-com:office:smarttags" w:element="PersonName">
        <w:smartTagPr>
          <w:attr w:name="ProductID" w:val="la Rep￺blica Isl￡mica"/>
        </w:smartTagPr>
        <w:r>
          <w:t>la República Islámica</w:t>
        </w:r>
      </w:smartTag>
      <w:r>
        <w:t xml:space="preserve"> de Irán y </w:t>
      </w:r>
      <w:smartTag w:uri="urn:schemas-microsoft-com:office:smarttags" w:element="PersonName">
        <w:smartTagPr>
          <w:attr w:name="ProductID" w:val="la Rep￺blica"/>
        </w:smartTagPr>
        <w:r>
          <w:t>la República</w:t>
        </w:r>
      </w:smartTag>
      <w:r>
        <w:t xml:space="preserve"> de Cuba, conforme solicitudes de conexión nº 1.473 y 1.914, como así también el destino del material producido con m</w:t>
      </w:r>
      <w:r>
        <w:t>o</w:t>
      </w:r>
      <w:r>
        <w:t>tivo de éstas; y</w:t>
      </w:r>
    </w:p>
    <w:p w:rsidR="00224567" w:rsidRDefault="00224567">
      <w:pPr>
        <w:widowControl w:val="0"/>
        <w:ind w:firstLine="2835"/>
      </w:pPr>
      <w:r>
        <w:rPr>
          <w:b/>
          <w:bCs/>
        </w:rPr>
        <w:t>B)</w:t>
      </w:r>
      <w:r>
        <w:t xml:space="preserve"> que resultan del destino de las cintas de audio obtenidas durante el período en que se i</w:t>
      </w:r>
      <w:r>
        <w:t>n</w:t>
      </w:r>
      <w:r>
        <w:t>tervinieron, sin orden judicial, las líneas telefónicas consign</w:t>
      </w:r>
      <w:r>
        <w:t>a</w:t>
      </w:r>
      <w:r>
        <w:t>das en la foja 114.</w:t>
      </w:r>
    </w:p>
    <w:p w:rsidR="00224567" w:rsidRDefault="00224567">
      <w:pPr>
        <w:widowControl w:val="0"/>
        <w:ind w:firstLine="2835"/>
      </w:pPr>
      <w:r>
        <w:tab/>
      </w:r>
      <w:r>
        <w:rPr>
          <w:b/>
          <w:bCs/>
        </w:rPr>
        <w:t>XXXVII.-</w:t>
      </w:r>
      <w:r>
        <w:t xml:space="preserve"> Extraer testimonios de las piezas pertinentes y remitirlos a </w:t>
      </w:r>
      <w:smartTag w:uri="urn:schemas-microsoft-com:office:smarttags" w:element="PersonName">
        <w:smartTagPr>
          <w:attr w:name="ProductID" w:val="la C￡mara Nacional"/>
        </w:smartTagPr>
        <w:r>
          <w:t>la Cámara Nacional</w:t>
        </w:r>
      </w:smartTag>
      <w:r>
        <w:t xml:space="preserve"> de Apelaciones en lo Criminal y Correccional Federal de e</w:t>
      </w:r>
      <w:r>
        <w:t>s</w:t>
      </w:r>
      <w:r>
        <w:t>ta ciudad, a efectos de que determine el juzgado que deberá investigar la posible comisión del delito de falso test</w:t>
      </w:r>
      <w:r>
        <w:t>i</w:t>
      </w:r>
      <w:r>
        <w:t>monio en que habrían incurrido Ramón Oreste Verón, Cat</w:t>
      </w:r>
      <w:r>
        <w:t>a</w:t>
      </w:r>
      <w:r>
        <w:t>lino José Humerez, Carlos Arturo Tarela, Carlos Alberto Salomone, Ricardo Morano, Rubén Ezra Beraja, Héctor Pedro Vergéz y Alfredo Roberto P</w:t>
      </w:r>
      <w:r>
        <w:t>e</w:t>
      </w:r>
      <w:r>
        <w:t>rona.</w:t>
      </w:r>
    </w:p>
    <w:p w:rsidR="00224567" w:rsidRDefault="00224567">
      <w:pPr>
        <w:widowControl w:val="0"/>
        <w:ind w:firstLine="2835"/>
      </w:pPr>
      <w:r>
        <w:tab/>
      </w:r>
      <w:r>
        <w:rPr>
          <w:b/>
          <w:bCs/>
        </w:rPr>
        <w:t>XXXVIII.-</w:t>
      </w:r>
      <w:r>
        <w:t xml:space="preserve"> Extraer testimonios de las piezas pertinentes y remitirlos al Juzgado N</w:t>
      </w:r>
      <w:r>
        <w:t>a</w:t>
      </w:r>
      <w:r>
        <w:t>cional en lo Criminal y Correccional Federal nº 6, Secretaría nº 11, para que se investigue la posible com</w:t>
      </w:r>
      <w:r>
        <w:t>i</w:t>
      </w:r>
      <w:r>
        <w:t>sión de los delitos de acción pública que resultan de la intervención de Gu</w:t>
      </w:r>
      <w:r>
        <w:t>s</w:t>
      </w:r>
      <w:r>
        <w:t>tavo Alberto Semorile en el hecho acaecido el 4 de abril de 1994, motivo de juzg</w:t>
      </w:r>
      <w:r>
        <w:t>a</w:t>
      </w:r>
      <w:r>
        <w:t>miento.</w:t>
      </w:r>
    </w:p>
    <w:p w:rsidR="00224567" w:rsidRDefault="00224567">
      <w:pPr>
        <w:widowControl w:val="0"/>
        <w:ind w:firstLine="2835"/>
      </w:pPr>
      <w:r>
        <w:tab/>
      </w:r>
      <w:r>
        <w:rPr>
          <w:b/>
          <w:bCs/>
        </w:rPr>
        <w:t>XXXIX.-</w:t>
      </w:r>
      <w:r>
        <w:t xml:space="preserve"> Extraer testimonios de las piezas pertinentes y remitirlos a </w:t>
      </w:r>
      <w:smartTag w:uri="urn:schemas-microsoft-com:office:smarttags" w:element="PersonName">
        <w:smartTagPr>
          <w:attr w:name="ProductID" w:val="la C￡mara Federal"/>
        </w:smartTagPr>
        <w:r>
          <w:t>la Cámara Federal</w:t>
        </w:r>
      </w:smartTag>
      <w:r>
        <w:t xml:space="preserve"> de Apelaciones de </w:t>
      </w:r>
      <w:smartTag w:uri="urn:schemas-microsoft-com:office:smarttags" w:element="PersonName">
        <w:smartTagPr>
          <w:attr w:name="ProductID" w:val="La Plata"/>
        </w:smartTagPr>
        <w:r>
          <w:t>La Plata</w:t>
        </w:r>
      </w:smartTag>
      <w:r>
        <w:t>, provincia de Buenos Aires, a efectos de que determine el juzgado que deberá invest</w:t>
      </w:r>
      <w:r>
        <w:t>i</w:t>
      </w:r>
      <w:r>
        <w:t>gar la posible comisión de los delitos que resultan del trat</w:t>
      </w:r>
      <w:r>
        <w:t>a</w:t>
      </w:r>
      <w:r>
        <w:t>miento conferido a Alejandro Burguete, respecto de los d</w:t>
      </w:r>
      <w:r>
        <w:t>e</w:t>
      </w:r>
      <w:r>
        <w:t>más policías sobre los que pesaba idé</w:t>
      </w:r>
      <w:r>
        <w:t>n</w:t>
      </w:r>
      <w:r>
        <w:t xml:space="preserve">tica imputación, en el sumario administrativo tramitado ante </w:t>
      </w:r>
      <w:smartTag w:uri="urn:schemas-microsoft-com:office:smarttags" w:element="PersonName">
        <w:smartTagPr>
          <w:attr w:name="ProductID" w:val="la Polic￭a"/>
        </w:smartTagPr>
        <w:r>
          <w:t>la P</w:t>
        </w:r>
        <w:r>
          <w:t>o</w:t>
        </w:r>
        <w:r>
          <w:t>licía</w:t>
        </w:r>
      </w:smartTag>
      <w:r>
        <w:t xml:space="preserve"> de esa provi</w:t>
      </w:r>
      <w:r>
        <w:t>n</w:t>
      </w:r>
      <w:r>
        <w:t>cia.</w:t>
      </w:r>
    </w:p>
    <w:p w:rsidR="00224567" w:rsidRDefault="00224567">
      <w:pPr>
        <w:widowControl w:val="0"/>
        <w:ind w:firstLine="2835"/>
      </w:pPr>
      <w:r>
        <w:rPr>
          <w:b/>
          <w:bCs/>
        </w:rPr>
        <w:tab/>
        <w:t xml:space="preserve">XL.- </w:t>
      </w:r>
      <w:r>
        <w:t>Extraer te</w:t>
      </w:r>
      <w:r>
        <w:t>s</w:t>
      </w:r>
      <w:r>
        <w:t xml:space="preserve">timonios de las piezas pertinentes y remitirlos a </w:t>
      </w:r>
      <w:smartTag w:uri="urn:schemas-microsoft-com:office:smarttags" w:element="PersonName">
        <w:smartTagPr>
          <w:attr w:name="ProductID" w:val="la C￡mara Nacional"/>
        </w:smartTagPr>
        <w:r>
          <w:t>la Cámara Nacional</w:t>
        </w:r>
      </w:smartTag>
      <w:r>
        <w:t xml:space="preserve"> de Apelaci</w:t>
      </w:r>
      <w:r>
        <w:t>o</w:t>
      </w:r>
      <w:r>
        <w:t>nes en lo Criminal y Correccional Federal de esta ciudad, a efectos de que determine el juzgado que deberá invest</w:t>
      </w:r>
      <w:r>
        <w:t>i</w:t>
      </w:r>
      <w:r>
        <w:t>gar los sucesos denunciados por Bautista Alberto Huici y el Dr. Marcelo Eduardo García, que invol</w:t>
      </w:r>
      <w:r>
        <w:t>u</w:t>
      </w:r>
      <w:r>
        <w:t>cran a los Dres. Federico Guillermo José Domínguez, Marta Nélida Parascá</w:t>
      </w:r>
      <w:r>
        <w:t>n</w:t>
      </w:r>
      <w:r>
        <w:t>dolo y Luis Ernesto Vicat.</w:t>
      </w:r>
    </w:p>
    <w:p w:rsidR="00224567" w:rsidRDefault="00224567">
      <w:pPr>
        <w:widowControl w:val="0"/>
        <w:ind w:firstLine="2835"/>
      </w:pPr>
      <w:r>
        <w:rPr>
          <w:b/>
          <w:bCs/>
        </w:rPr>
        <w:tab/>
        <w:t xml:space="preserve">XLI.- </w:t>
      </w:r>
      <w:r>
        <w:t>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w:t>
      </w:r>
      <w:r>
        <w:t>e</w:t>
      </w:r>
      <w:r>
        <w:t xml:space="preserve">laciones en lo Criminal y Correccional Federal de </w:t>
      </w:r>
      <w:smartTag w:uri="urn:schemas-microsoft-com:office:smarttags" w:element="PersonName">
        <w:smartTagPr>
          <w:attr w:name="ProductID" w:val="La Plata"/>
        </w:smartTagPr>
        <w:r>
          <w:t>La Pl</w:t>
        </w:r>
        <w:r>
          <w:t>a</w:t>
        </w:r>
        <w:r>
          <w:t>ta</w:t>
        </w:r>
      </w:smartTag>
      <w:r>
        <w:t>, provincia de Buenos Aires, a efectos de que determ</w:t>
      </w:r>
      <w:r>
        <w:t>i</w:t>
      </w:r>
      <w:r>
        <w:t>ne el juzgado que deberá investigar la posible comisión del delito de falsedad ideológica del acta de fs. 87.217, como así también lo actu</w:t>
      </w:r>
      <w:r>
        <w:t>a</w:t>
      </w:r>
      <w:r>
        <w:t>do a fs. 51.536/51.541.</w:t>
      </w:r>
    </w:p>
    <w:p w:rsidR="00224567" w:rsidRDefault="00224567">
      <w:pPr>
        <w:widowControl w:val="0"/>
        <w:ind w:firstLine="2835"/>
      </w:pPr>
      <w:r>
        <w:rPr>
          <w:b/>
          <w:bCs/>
        </w:rPr>
        <w:tab/>
        <w:t xml:space="preserve">XLII.- </w:t>
      </w:r>
      <w:r>
        <w:t>Extraer testimonios de las pi</w:t>
      </w:r>
      <w:r>
        <w:t>e</w:t>
      </w:r>
      <w:r>
        <w:t xml:space="preserve">zas pertinentes y remitirlos a </w:t>
      </w:r>
      <w:smartTag w:uri="urn:schemas-microsoft-com:office:smarttags" w:element="PersonName">
        <w:smartTagPr>
          <w:attr w:name="ProductID" w:val="la C￡mara Nacional"/>
        </w:smartTagPr>
        <w:r>
          <w:t>la Cámara Nacional</w:t>
        </w:r>
      </w:smartTag>
      <w:r>
        <w:t xml:space="preserve"> de Ap</w:t>
      </w:r>
      <w:r>
        <w:t>e</w:t>
      </w:r>
      <w:r>
        <w:t>laciones en lo Criminal y Correccional Federal de esta ciudad, a efectos de que determine el juzgado que deberá investigar la posible comisión del d</w:t>
      </w:r>
      <w:r>
        <w:t>e</w:t>
      </w:r>
      <w:r>
        <w:t>lito de encubrimiento en que habrían incurrido Carlos Ernesto Soria, Raúl Alfr</w:t>
      </w:r>
      <w:r>
        <w:t>e</w:t>
      </w:r>
      <w:r>
        <w:t>do Galván, Carlos Alberto Álvarez, José Antonio Romero F</w:t>
      </w:r>
      <w:r>
        <w:t>e</w:t>
      </w:r>
      <w:r>
        <w:t>ris, Federico Storani, César Arias y Melchor René Cruch</w:t>
      </w:r>
      <w:r>
        <w:t>a</w:t>
      </w:r>
      <w:r>
        <w:t xml:space="preserve">ga, integrantes de </w:t>
      </w:r>
      <w:smartTag w:uri="urn:schemas-microsoft-com:office:smarttags" w:element="PersonName">
        <w:smartTagPr>
          <w:attr w:name="ProductID" w:val="la Comisi￳n Bicameral"/>
        </w:smartTagPr>
        <w:r>
          <w:t>la Comisión Bicameral</w:t>
        </w:r>
      </w:smartTag>
      <w:r>
        <w:t xml:space="preserve"> Especial de S</w:t>
      </w:r>
      <w:r>
        <w:t>e</w:t>
      </w:r>
      <w:r>
        <w:t xml:space="preserve">guimiento de </w:t>
      </w:r>
      <w:smartTag w:uri="urn:schemas-microsoft-com:office:smarttags" w:element="PersonName">
        <w:smartTagPr>
          <w:attr w:name="ProductID" w:val="la Investigaci￳n"/>
        </w:smartTagPr>
        <w:r>
          <w:t>la Investigación</w:t>
        </w:r>
      </w:smartTag>
      <w:r>
        <w:t xml:space="preserve"> de los Atentados a </w:t>
      </w:r>
      <w:smartTag w:uri="urn:schemas-microsoft-com:office:smarttags" w:element="PersonName">
        <w:smartTagPr>
          <w:attr w:name="ProductID" w:val="la Embajada"/>
        </w:smartTagPr>
        <w:r>
          <w:t>la Emb</w:t>
        </w:r>
        <w:r>
          <w:t>a</w:t>
        </w:r>
        <w:r>
          <w:t>jada</w:t>
        </w:r>
      </w:smartTag>
      <w:r>
        <w:t xml:space="preserve"> de Israel y al Edificio de </w:t>
      </w:r>
      <w:smartTag w:uri="urn:schemas-microsoft-com:office:smarttags" w:element="PersonName">
        <w:smartTagPr>
          <w:attr w:name="ProductID" w:val="la A.M"/>
        </w:smartTagPr>
        <w:r>
          <w:t>la A.M</w:t>
        </w:r>
      </w:smartTag>
      <w:r>
        <w:t>.I.A., que partic</w:t>
      </w:r>
      <w:r>
        <w:t>i</w:t>
      </w:r>
      <w:r>
        <w:t>paron de la reunión secreta que da cuenta el acta de fs. 133 de la c</w:t>
      </w:r>
      <w:r>
        <w:t>i</w:t>
      </w:r>
      <w:r>
        <w:t>tada causa nº 9485.</w:t>
      </w:r>
    </w:p>
    <w:p w:rsidR="00224567" w:rsidRDefault="00224567">
      <w:pPr>
        <w:widowControl w:val="0"/>
        <w:ind w:firstLine="2835"/>
      </w:pPr>
      <w:r>
        <w:tab/>
      </w:r>
      <w:r>
        <w:rPr>
          <w:b/>
          <w:bCs/>
        </w:rPr>
        <w:t xml:space="preserve">XLIII.- </w:t>
      </w:r>
      <w:r>
        <w:t>Extraer testimonio de la pr</w:t>
      </w:r>
      <w:r>
        <w:t>e</w:t>
      </w:r>
      <w:r>
        <w:t xml:space="preserve">sente y remitirlo al Colegio Público de Abogados de </w:t>
      </w:r>
      <w:smartTag w:uri="urn:schemas-microsoft-com:office:smarttags" w:element="PersonName">
        <w:smartTagPr>
          <w:attr w:name="ProductID" w:val="la Capital Federal"/>
        </w:smartTagPr>
        <w:r>
          <w:t>la C</w:t>
        </w:r>
        <w:r>
          <w:t>a</w:t>
        </w:r>
        <w:r>
          <w:t>pital Federal</w:t>
        </w:r>
      </w:smartTag>
      <w:r>
        <w:t xml:space="preserve"> a los efectos que estime correspondan, con relación a la actuación de los abogados Fed</w:t>
      </w:r>
      <w:r>
        <w:t>e</w:t>
      </w:r>
      <w:r>
        <w:t>rico Guillermo José Domínguez, Claudio Gabriel Lupiano, Marta Elsa Nerc</w:t>
      </w:r>
      <w:r>
        <w:t>e</w:t>
      </w:r>
      <w:r>
        <w:t>llas, Marta Nélida Parascándolo y Roberto Za</w:t>
      </w:r>
      <w:r>
        <w:t>i</w:t>
      </w:r>
      <w:r>
        <w:t>demberg.</w:t>
      </w:r>
    </w:p>
    <w:p w:rsidR="00224567" w:rsidRDefault="00224567">
      <w:pPr>
        <w:widowControl w:val="0"/>
        <w:ind w:firstLine="2835"/>
      </w:pPr>
      <w:r>
        <w:rPr>
          <w:b/>
          <w:bCs/>
        </w:rPr>
        <w:tab/>
        <w:t>XLIV.- NO HACER LUGAR</w:t>
      </w:r>
      <w:r>
        <w:t xml:space="preserve"> al pedido de la defensa de Juan José Ribelli de condenar en costas a la querella D.A.I.A., A.M.I.A. y “Grupo de Familiares y Am</w:t>
      </w:r>
      <w:r>
        <w:t>i</w:t>
      </w:r>
      <w:r>
        <w:t>gos de las Víctimas” (arts. 530 y 531 del Código Procesal P</w:t>
      </w:r>
      <w:r>
        <w:t>e</w:t>
      </w:r>
      <w:r>
        <w:t xml:space="preserve">nal de </w:t>
      </w:r>
      <w:smartTag w:uri="urn:schemas-microsoft-com:office:smarttags" w:element="PersonName">
        <w:smartTagPr>
          <w:attr w:name="ProductID" w:val="la Naci￳n"/>
        </w:smartTagPr>
        <w:r>
          <w:t>la Nación</w:t>
        </w:r>
      </w:smartTag>
      <w:r>
        <w:t>).</w:t>
      </w:r>
    </w:p>
    <w:p w:rsidR="00224567" w:rsidRDefault="00224567">
      <w:pPr>
        <w:widowControl w:val="0"/>
        <w:ind w:firstLine="2835"/>
        <w:rPr>
          <w:lang w:val="es-ES_tradnl"/>
        </w:rPr>
      </w:pPr>
      <w:r>
        <w:tab/>
      </w:r>
      <w:r>
        <w:rPr>
          <w:lang w:val="es-ES_tradnl"/>
        </w:rPr>
        <w:t>Regístrese, notifíquese, comuníquese y, oportunamente, archívese.</w:t>
      </w:r>
    </w:p>
    <w:p w:rsidR="00224567" w:rsidRDefault="00224567">
      <w:pPr>
        <w:widowControl w:val="0"/>
        <w:rPr>
          <w:lang w:val="es-ES_tradnl"/>
        </w:rPr>
      </w:pPr>
    </w:p>
    <w:p w:rsidR="00224567" w:rsidRDefault="00224567">
      <w:pPr>
        <w:pStyle w:val="Textoindependiente"/>
        <w:tabs>
          <w:tab w:val="clear" w:pos="2040"/>
          <w:tab w:val="left" w:pos="2800"/>
        </w:tabs>
        <w:spacing w:line="600" w:lineRule="auto"/>
      </w:pPr>
    </w:p>
    <w:p w:rsidR="00224567" w:rsidRDefault="00224567">
      <w:pPr>
        <w:pStyle w:val="Textoindependiente"/>
        <w:tabs>
          <w:tab w:val="clear" w:pos="2040"/>
          <w:tab w:val="left" w:pos="2800"/>
        </w:tabs>
        <w:spacing w:line="600" w:lineRule="auto"/>
      </w:pPr>
    </w:p>
    <w:p w:rsidR="00224567" w:rsidRDefault="00224567">
      <w:pPr>
        <w:pStyle w:val="Textoindependiente"/>
        <w:tabs>
          <w:tab w:val="clear" w:pos="2040"/>
          <w:tab w:val="left" w:pos="2800"/>
        </w:tabs>
        <w:spacing w:line="600" w:lineRule="auto"/>
      </w:pPr>
    </w:p>
    <w:p w:rsidR="00224567" w:rsidRDefault="00224567">
      <w:pPr>
        <w:pStyle w:val="Textoindependiente"/>
        <w:tabs>
          <w:tab w:val="clear" w:pos="2040"/>
          <w:tab w:val="left" w:pos="2800"/>
        </w:tabs>
        <w:spacing w:line="600" w:lineRule="auto"/>
      </w:pPr>
    </w:p>
    <w:p w:rsidR="00224567" w:rsidRDefault="00224567">
      <w:pPr>
        <w:pStyle w:val="Textoindependiente"/>
        <w:tabs>
          <w:tab w:val="clear" w:pos="2040"/>
          <w:tab w:val="left" w:pos="2800"/>
        </w:tabs>
        <w:spacing w:line="600" w:lineRule="auto"/>
      </w:pPr>
    </w:p>
    <w:p w:rsidR="00224567" w:rsidRDefault="00224567">
      <w:pPr>
        <w:pStyle w:val="Textoindependiente"/>
        <w:tabs>
          <w:tab w:val="clear" w:pos="2040"/>
          <w:tab w:val="left" w:pos="2800"/>
        </w:tabs>
        <w:spacing w:line="600" w:lineRule="auto"/>
      </w:pPr>
    </w:p>
    <w:p w:rsidR="00224567" w:rsidRDefault="00224567">
      <w:pPr>
        <w:pStyle w:val="Textoindependiente"/>
        <w:tabs>
          <w:tab w:val="clear" w:pos="2040"/>
          <w:tab w:val="left" w:pos="2800"/>
        </w:tabs>
        <w:spacing w:line="600" w:lineRule="auto"/>
      </w:pPr>
    </w:p>
    <w:p w:rsidR="00224567" w:rsidRDefault="00224567">
      <w:pPr>
        <w:pStyle w:val="Textoindependiente"/>
        <w:tabs>
          <w:tab w:val="clear" w:pos="2040"/>
          <w:tab w:val="left" w:pos="2800"/>
        </w:tabs>
        <w:spacing w:line="600" w:lineRule="auto"/>
      </w:pPr>
    </w:p>
    <w:p w:rsidR="00224567" w:rsidRDefault="00224567">
      <w:pPr>
        <w:pStyle w:val="Textoindependiente"/>
        <w:tabs>
          <w:tab w:val="clear" w:pos="2040"/>
          <w:tab w:val="left" w:pos="2800"/>
        </w:tabs>
        <w:spacing w:line="600" w:lineRule="auto"/>
      </w:pPr>
    </w:p>
    <w:p w:rsidR="00224567" w:rsidRDefault="00224567">
      <w:pPr>
        <w:pStyle w:val="Textoindependiente"/>
        <w:tabs>
          <w:tab w:val="clear" w:pos="2040"/>
          <w:tab w:val="left" w:pos="2800"/>
        </w:tabs>
        <w:spacing w:line="600" w:lineRule="auto"/>
      </w:pPr>
    </w:p>
    <w:p w:rsidR="00224567" w:rsidRDefault="00224567">
      <w:pPr>
        <w:widowControl w:val="0"/>
        <w:rPr>
          <w:b/>
          <w:bCs/>
        </w:rPr>
      </w:pPr>
    </w:p>
    <w:sectPr w:rsidR="00224567">
      <w:headerReference w:type="default" r:id="rId11"/>
      <w:footerReference w:type="even" r:id="rId12"/>
      <w:footerReference w:type="default" r:id="rId13"/>
      <w:type w:val="oddPage"/>
      <w:pgSz w:w="12247" w:h="19108" w:code="5"/>
      <w:pgMar w:top="2552" w:right="1021" w:bottom="2268" w:left="2835" w:header="851" w:footer="0"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539" w:rsidRDefault="00EF5539">
      <w:r>
        <w:separator/>
      </w:r>
    </w:p>
  </w:endnote>
  <w:endnote w:type="continuationSeparator" w:id="0">
    <w:p w:rsidR="00EF5539" w:rsidRDefault="00EF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F24" w:rsidRDefault="00EF6F2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11592">
      <w:rPr>
        <w:rStyle w:val="Nmerodepgina"/>
        <w:noProof/>
      </w:rPr>
      <w:t>936</w:t>
    </w:r>
    <w:r>
      <w:rPr>
        <w:rStyle w:val="Nmerodepgina"/>
      </w:rPr>
      <w:fldChar w:fldCharType="end"/>
    </w:r>
  </w:p>
  <w:p w:rsidR="00EF6F24" w:rsidRDefault="00EF6F24">
    <w:pPr>
      <w:pStyle w:val="Piedepgina"/>
    </w:pPr>
  </w:p>
  <w:p w:rsidR="00EF6F24" w:rsidRDefault="00EF6F24">
    <w:pPr>
      <w:pStyle w:val="Piedepgina"/>
    </w:pPr>
  </w:p>
  <w:p w:rsidR="00EF6F24" w:rsidRDefault="00EF6F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F24" w:rsidRDefault="00EF6F2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11592">
      <w:rPr>
        <w:rStyle w:val="Nmerodepgina"/>
        <w:noProof/>
      </w:rPr>
      <w:t>1</w:t>
    </w:r>
    <w:r>
      <w:rPr>
        <w:rStyle w:val="Nmerodepgina"/>
      </w:rPr>
      <w:fldChar w:fldCharType="end"/>
    </w:r>
  </w:p>
  <w:p w:rsidR="00EF6F24" w:rsidRDefault="00EF6F24">
    <w:pPr>
      <w:pStyle w:val="Piedepgina"/>
    </w:pPr>
  </w:p>
  <w:p w:rsidR="00EF6F24" w:rsidRDefault="00EF6F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539" w:rsidRDefault="00EF5539">
      <w:r>
        <w:separator/>
      </w:r>
    </w:p>
  </w:footnote>
  <w:footnote w:type="continuationSeparator" w:id="0">
    <w:p w:rsidR="00EF5539" w:rsidRDefault="00EF55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F24" w:rsidRDefault="00EF6F24">
    <w:pPr>
      <w:pStyle w:val="Encabezado"/>
      <w:spacing w:line="240" w:lineRule="auto"/>
    </w:pPr>
  </w:p>
  <w:p w:rsidR="00EF6F24" w:rsidRDefault="00EF6F24">
    <w:pPr>
      <w:pStyle w:val="Encabezado"/>
      <w:spacing w:line="240" w:lineRule="auto"/>
    </w:pPr>
  </w:p>
  <w:p w:rsidR="00EF6F24" w:rsidRDefault="00EF6F24">
    <w:pPr>
      <w:pStyle w:val="Encabezado"/>
      <w:spacing w:line="240" w:lineRule="auto"/>
    </w:pPr>
  </w:p>
  <w:p w:rsidR="00EF6F24" w:rsidRDefault="00EF6F24">
    <w:pPr>
      <w:pStyle w:val="Encabezado"/>
      <w:spacing w:line="240" w:lineRule="auto"/>
    </w:pPr>
  </w:p>
  <w:p w:rsidR="00EF6F24" w:rsidRDefault="00EF6F24">
    <w:pPr>
      <w:pStyle w:val="Encabezado"/>
      <w:spacing w:line="240" w:lineRule="auto"/>
    </w:pPr>
  </w:p>
  <w:p w:rsidR="00EF6F24" w:rsidRDefault="00EF6F24">
    <w:pPr>
      <w:pStyle w:val="Encabezado"/>
      <w:spacing w:line="240" w:lineRule="auto"/>
    </w:pPr>
  </w:p>
  <w:p w:rsidR="00EF6F24" w:rsidRDefault="00EF6F24">
    <w:pPr>
      <w:pStyle w:val="Encabezado"/>
      <w:spacing w:line="240" w:lineRule="auto"/>
    </w:pPr>
  </w:p>
  <w:p w:rsidR="00EF6F24" w:rsidRDefault="00EF6F24">
    <w:pPr>
      <w:pStyle w:val="Encabezado"/>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04330B"/>
    <w:multiLevelType w:val="hybridMultilevel"/>
    <w:tmpl w:val="C2585F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70FD65EE"/>
    <w:multiLevelType w:val="hybridMultilevel"/>
    <w:tmpl w:val="AD7AAA1C"/>
    <w:lvl w:ilvl="0" w:tplc="589A6A76">
      <w:start w:val="12"/>
      <w:numFmt w:val="bullet"/>
      <w:lvlText w:val="-"/>
      <w:lvlJc w:val="left"/>
      <w:pPr>
        <w:tabs>
          <w:tab w:val="num" w:pos="765"/>
        </w:tabs>
        <w:ind w:left="765" w:hanging="4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
  </w:num>
  <w:num w:numId="7">
    <w:abstractNumId w:val="0"/>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evenAndOddHeaders/>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567"/>
    <w:rsid w:val="00005D70"/>
    <w:rsid w:val="000B3D85"/>
    <w:rsid w:val="001377E5"/>
    <w:rsid w:val="001B3241"/>
    <w:rsid w:val="0020123C"/>
    <w:rsid w:val="00224567"/>
    <w:rsid w:val="002D198F"/>
    <w:rsid w:val="002E3E00"/>
    <w:rsid w:val="00313371"/>
    <w:rsid w:val="003442D4"/>
    <w:rsid w:val="003C4548"/>
    <w:rsid w:val="0055644A"/>
    <w:rsid w:val="00577193"/>
    <w:rsid w:val="005C7FCF"/>
    <w:rsid w:val="00611592"/>
    <w:rsid w:val="007662E0"/>
    <w:rsid w:val="007859CB"/>
    <w:rsid w:val="00795CCE"/>
    <w:rsid w:val="008405EE"/>
    <w:rsid w:val="00877F61"/>
    <w:rsid w:val="00883E49"/>
    <w:rsid w:val="0095052A"/>
    <w:rsid w:val="00A21112"/>
    <w:rsid w:val="00B34B49"/>
    <w:rsid w:val="00B67B18"/>
    <w:rsid w:val="00BE188E"/>
    <w:rsid w:val="00BF1892"/>
    <w:rsid w:val="00D206A8"/>
    <w:rsid w:val="00DF6543"/>
    <w:rsid w:val="00E231AE"/>
    <w:rsid w:val="00E26301"/>
    <w:rsid w:val="00E74A28"/>
    <w:rsid w:val="00EE4E0C"/>
    <w:rsid w:val="00EF5539"/>
    <w:rsid w:val="00EF6F24"/>
    <w:rsid w:val="00EF7D0C"/>
    <w:rsid w:val="00F05CC0"/>
    <w:rsid w:val="00F520F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2835"/>
      </w:tabs>
      <w:spacing w:line="600" w:lineRule="auto"/>
      <w:jc w:val="both"/>
    </w:pPr>
    <w:rPr>
      <w:rFonts w:ascii="Courier New" w:hAnsi="Courier New" w:cs="Courier New"/>
      <w:sz w:val="24"/>
      <w:szCs w:val="24"/>
      <w:lang w:val="es-ES" w:eastAsia="es-ES"/>
    </w:rPr>
  </w:style>
  <w:style w:type="paragraph" w:styleId="Ttulo1">
    <w:name w:val="heading 1"/>
    <w:basedOn w:val="Normal"/>
    <w:next w:val="Normal"/>
    <w:qFormat/>
    <w:pPr>
      <w:keepNext/>
      <w:jc w:val="center"/>
      <w:outlineLvl w:val="0"/>
    </w:pPr>
    <w:rPr>
      <w:b/>
      <w:bCs/>
      <w:u w:val="single"/>
      <w:lang w:val="es-ES_tradnl"/>
    </w:rPr>
  </w:style>
  <w:style w:type="paragraph" w:styleId="Ttulo2">
    <w:name w:val="heading 2"/>
    <w:basedOn w:val="Normal"/>
    <w:next w:val="Normal"/>
    <w:qFormat/>
    <w:pPr>
      <w:keepNext/>
      <w:jc w:val="center"/>
      <w:outlineLvl w:val="1"/>
    </w:pPr>
    <w:rPr>
      <w:b/>
      <w:bCs/>
    </w:rPr>
  </w:style>
  <w:style w:type="paragraph" w:styleId="Ttulo3">
    <w:name w:val="heading 3"/>
    <w:basedOn w:val="Normal"/>
    <w:next w:val="Normal"/>
    <w:qFormat/>
    <w:pPr>
      <w:keepNext/>
      <w:outlineLvl w:val="2"/>
    </w:pPr>
    <w:rPr>
      <w:b/>
      <w:bCs/>
    </w:rPr>
  </w:style>
  <w:style w:type="paragraph" w:styleId="Ttulo4">
    <w:name w:val="heading 4"/>
    <w:basedOn w:val="Normal"/>
    <w:next w:val="Normal"/>
    <w:qFormat/>
    <w:pPr>
      <w:keepNext/>
      <w:spacing w:line="480" w:lineRule="auto"/>
      <w:outlineLvl w:val="3"/>
    </w:pPr>
    <w:rPr>
      <w:b/>
      <w:bCs/>
    </w:rPr>
  </w:style>
  <w:style w:type="paragraph" w:styleId="Ttulo5">
    <w:name w:val="heading 5"/>
    <w:basedOn w:val="Normal"/>
    <w:next w:val="Normal"/>
    <w:qFormat/>
    <w:pPr>
      <w:keepNext/>
      <w:spacing w:line="480" w:lineRule="auto"/>
      <w:ind w:firstLine="2835"/>
      <w:outlineLvl w:val="4"/>
    </w:pPr>
    <w:rPr>
      <w:b/>
      <w:bCs/>
    </w:rPr>
  </w:style>
  <w:style w:type="paragraph" w:styleId="Ttulo6">
    <w:name w:val="heading 6"/>
    <w:basedOn w:val="Normal"/>
    <w:next w:val="Normal"/>
    <w:qFormat/>
    <w:pPr>
      <w:keepNext/>
      <w:spacing w:line="480" w:lineRule="auto"/>
      <w:outlineLvl w:val="5"/>
    </w:pPr>
    <w:rPr>
      <w:rFonts w:cs="Times New Roman"/>
      <w:b/>
      <w:u w:val="single"/>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widowControl w:val="0"/>
      <w:spacing w:before="240" w:after="60" w:line="480" w:lineRule="auto"/>
      <w:outlineLvl w:val="7"/>
    </w:pPr>
    <w:rPr>
      <w:b/>
      <w:bCs/>
    </w:rPr>
  </w:style>
  <w:style w:type="paragraph" w:styleId="Ttulo9">
    <w:name w:val="heading 9"/>
    <w:basedOn w:val="Normal"/>
    <w:next w:val="Normal"/>
    <w:qFormat/>
    <w:pPr>
      <w:widowControl w:val="0"/>
      <w:spacing w:before="240" w:after="60" w:line="480" w:lineRule="auto"/>
      <w:ind w:left="11"/>
      <w:outlineLvl w:val="8"/>
    </w:pPr>
    <w:rPr>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Textoennegrita">
    <w:name w:val="Strong"/>
    <w:qFormat/>
    <w:rPr>
      <w:b/>
      <w:bCs/>
    </w:rPr>
  </w:style>
  <w:style w:type="paragraph" w:styleId="Textoindependiente2">
    <w:name w:val="Body Text 2"/>
    <w:basedOn w:val="Normal"/>
    <w:rPr>
      <w:rFonts w:ascii="Arial" w:hAnsi="Arial" w:cs="Times New Roman"/>
      <w:szCs w:val="20"/>
    </w:rPr>
  </w:style>
  <w:style w:type="paragraph" w:styleId="Textonotapie">
    <w:name w:val="footnote text"/>
    <w:basedOn w:val="Normal"/>
    <w:semiHidden/>
    <w:rPr>
      <w:sz w:val="20"/>
      <w:szCs w:val="20"/>
    </w:rPr>
  </w:style>
  <w:style w:type="character" w:styleId="Refdenotaalpie">
    <w:name w:val="footnote reference"/>
    <w:semiHidden/>
    <w:rPr>
      <w:vertAlign w:val="superscript"/>
    </w:rPr>
  </w:style>
  <w:style w:type="paragraph" w:styleId="Piedepgina">
    <w:name w:val="footer"/>
    <w:basedOn w:val="Normal"/>
    <w:pPr>
      <w:tabs>
        <w:tab w:val="center" w:pos="4419"/>
        <w:tab w:val="right" w:pos="8838"/>
      </w:tabs>
      <w:spacing w:line="240" w:lineRule="auto"/>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Sangradetextonormal">
    <w:name w:val="Body Text Indent"/>
    <w:basedOn w:val="Normal"/>
    <w:pPr>
      <w:ind w:firstLine="1400"/>
    </w:pPr>
    <w:rPr>
      <w:lang w:val="es-ES_tradnl"/>
    </w:rPr>
  </w:style>
  <w:style w:type="paragraph" w:styleId="Mapadeldocumento">
    <w:name w:val="Document Map"/>
    <w:basedOn w:val="Normal"/>
    <w:semiHidden/>
    <w:pPr>
      <w:shd w:val="clear" w:color="auto" w:fill="000080"/>
    </w:pPr>
    <w:rPr>
      <w:rFonts w:ascii="Tahoma" w:hAnsi="Tahoma" w:cs="Tahoma"/>
    </w:rPr>
  </w:style>
  <w:style w:type="paragraph" w:styleId="Sangra3detindependiente">
    <w:name w:val="Body Text Indent 3"/>
    <w:basedOn w:val="Normal"/>
    <w:pPr>
      <w:spacing w:line="480" w:lineRule="auto"/>
      <w:ind w:firstLine="2800"/>
    </w:pPr>
    <w:rPr>
      <w:lang w:val="es-ES_tradnl"/>
    </w:rPr>
  </w:style>
  <w:style w:type="paragraph" w:styleId="Sangra2detindependiente">
    <w:name w:val="Body Text Indent 2"/>
    <w:basedOn w:val="Normal"/>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ind w:firstLine="1728"/>
    </w:pPr>
    <w:rPr>
      <w:szCs w:val="20"/>
      <w:lang w:val="es-ES_tradnl"/>
    </w:rPr>
  </w:style>
  <w:style w:type="paragraph" w:styleId="Textoindependiente">
    <w:name w:val="Body Text"/>
    <w:basedOn w:val="Normal"/>
    <w:pPr>
      <w:widowControl w:val="0"/>
      <w:tabs>
        <w:tab w:val="left" w:pos="0"/>
        <w:tab w:val="left" w:pos="2040"/>
        <w:tab w:val="left" w:pos="4080"/>
        <w:tab w:val="left" w:pos="6120"/>
        <w:tab w:val="left" w:pos="8160"/>
      </w:tabs>
      <w:autoSpaceDE w:val="0"/>
      <w:autoSpaceDN w:val="0"/>
      <w:adjustRightInd w:val="0"/>
      <w:spacing w:line="480" w:lineRule="auto"/>
    </w:pPr>
    <w:rPr>
      <w:spacing w:val="-3"/>
      <w:lang w:val="es-ES_tradnl"/>
    </w:rPr>
  </w:style>
  <w:style w:type="paragraph" w:styleId="Textoindependiente3">
    <w:name w:val="Body Text 3"/>
    <w:basedOn w:val="Normal"/>
    <w:rPr>
      <w:rFonts w:ascii="Times New Roman" w:hAnsi="Times New Roman" w:cs="Times New Roman"/>
      <w:b/>
      <w:sz w:val="20"/>
      <w:szCs w:val="20"/>
      <w:lang w:val="es-AR"/>
    </w:rPr>
  </w:style>
  <w:style w:type="paragraph" w:styleId="Listaconvietas">
    <w:name w:val="List Bullet"/>
    <w:basedOn w:val="Normal"/>
    <w:autoRedefine/>
    <w:pPr>
      <w:numPr>
        <w:numId w:val="1"/>
      </w:numPr>
      <w:tabs>
        <w:tab w:val="clear" w:pos="2835"/>
      </w:tabs>
      <w:spacing w:line="240" w:lineRule="auto"/>
      <w:jc w:val="left"/>
    </w:pPr>
    <w:rPr>
      <w:rFonts w:ascii="Times New Roman" w:hAnsi="Times New Roman" w:cs="Times New Roman"/>
    </w:rPr>
  </w:style>
  <w:style w:type="paragraph" w:customStyle="1" w:styleId="BodyText2">
    <w:name w:val="Body Text 2"/>
    <w:basedOn w:val="Normal"/>
    <w:pPr>
      <w:tabs>
        <w:tab w:val="clear" w:pos="2835"/>
      </w:tabs>
      <w:overflowPunct w:val="0"/>
      <w:autoSpaceDE w:val="0"/>
      <w:autoSpaceDN w:val="0"/>
      <w:adjustRightInd w:val="0"/>
      <w:spacing w:line="240" w:lineRule="auto"/>
      <w:textAlignment w:val="baseline"/>
    </w:pPr>
    <w:rPr>
      <w:rFonts w:ascii="Times New Roman" w:hAnsi="Times New Roman" w:cs="Times New Roman"/>
      <w:szCs w:val="20"/>
      <w:lang w:val="es-MX"/>
    </w:rPr>
  </w:style>
  <w:style w:type="paragraph" w:customStyle="1" w:styleId="BodyText3">
    <w:name w:val="Body Text 3"/>
    <w:basedOn w:val="Normal"/>
    <w:pPr>
      <w:tabs>
        <w:tab w:val="clear" w:pos="2835"/>
      </w:tabs>
      <w:overflowPunct w:val="0"/>
      <w:autoSpaceDE w:val="0"/>
      <w:autoSpaceDN w:val="0"/>
      <w:adjustRightInd w:val="0"/>
      <w:spacing w:line="240" w:lineRule="auto"/>
      <w:textAlignment w:val="baseline"/>
    </w:pPr>
    <w:rPr>
      <w:rFonts w:ascii="Times New Roman" w:hAnsi="Times New Roman" w:cs="Times New Roman"/>
      <w:i/>
      <w:szCs w:val="20"/>
      <w:lang w:val="es-MX"/>
    </w:rPr>
  </w:style>
  <w:style w:type="paragraph" w:styleId="Subttulo">
    <w:name w:val="Subtitle"/>
    <w:basedOn w:val="Normal"/>
    <w:qFormat/>
    <w:pPr>
      <w:tabs>
        <w:tab w:val="clear" w:pos="2835"/>
      </w:tabs>
      <w:spacing w:line="360" w:lineRule="auto"/>
      <w:jc w:val="center"/>
    </w:pPr>
    <w:rPr>
      <w:b/>
      <w:bCs/>
      <w:lang w:val="es-ES_tradnl"/>
    </w:rPr>
  </w:style>
  <w:style w:type="paragraph" w:styleId="Ttulo">
    <w:name w:val="Title"/>
    <w:basedOn w:val="Normal"/>
    <w:qFormat/>
    <w:pPr>
      <w:tabs>
        <w:tab w:val="clear" w:pos="2835"/>
      </w:tabs>
      <w:spacing w:line="360" w:lineRule="auto"/>
      <w:jc w:val="center"/>
    </w:pPr>
    <w:rPr>
      <w:b/>
      <w:bCs/>
      <w:lang w:val="es-ES_tradnl"/>
    </w:rPr>
  </w:style>
  <w:style w:type="paragraph" w:styleId="Listaconvietas2">
    <w:name w:val="List Bullet 2"/>
    <w:basedOn w:val="Normal"/>
    <w:autoRedefine/>
    <w:pPr>
      <w:numPr>
        <w:numId w:val="2"/>
      </w:numPr>
      <w:tabs>
        <w:tab w:val="clear" w:pos="2835"/>
      </w:tabs>
      <w:spacing w:line="240" w:lineRule="auto"/>
      <w:jc w:val="left"/>
    </w:pPr>
    <w:rPr>
      <w:rFonts w:cs="Times New Roman"/>
    </w:rPr>
  </w:style>
  <w:style w:type="paragraph" w:styleId="TDC1">
    <w:name w:val="toc 1"/>
    <w:basedOn w:val="Normal"/>
    <w:next w:val="Normal"/>
    <w:autoRedefine/>
    <w:semiHidden/>
    <w:pPr>
      <w:tabs>
        <w:tab w:val="clear" w:pos="2835"/>
      </w:tabs>
    </w:pPr>
  </w:style>
  <w:style w:type="paragraph" w:customStyle="1" w:styleId="Ttulo10">
    <w:name w:val="Título 10"/>
    <w:basedOn w:val="Normal"/>
    <w:pPr>
      <w:widowControl w:val="0"/>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2835"/>
      </w:tabs>
      <w:spacing w:line="600" w:lineRule="auto"/>
      <w:jc w:val="both"/>
    </w:pPr>
    <w:rPr>
      <w:rFonts w:ascii="Courier New" w:hAnsi="Courier New" w:cs="Courier New"/>
      <w:sz w:val="24"/>
      <w:szCs w:val="24"/>
      <w:lang w:val="es-ES" w:eastAsia="es-ES"/>
    </w:rPr>
  </w:style>
  <w:style w:type="paragraph" w:styleId="Ttulo1">
    <w:name w:val="heading 1"/>
    <w:basedOn w:val="Normal"/>
    <w:next w:val="Normal"/>
    <w:qFormat/>
    <w:pPr>
      <w:keepNext/>
      <w:jc w:val="center"/>
      <w:outlineLvl w:val="0"/>
    </w:pPr>
    <w:rPr>
      <w:b/>
      <w:bCs/>
      <w:u w:val="single"/>
      <w:lang w:val="es-ES_tradnl"/>
    </w:rPr>
  </w:style>
  <w:style w:type="paragraph" w:styleId="Ttulo2">
    <w:name w:val="heading 2"/>
    <w:basedOn w:val="Normal"/>
    <w:next w:val="Normal"/>
    <w:qFormat/>
    <w:pPr>
      <w:keepNext/>
      <w:jc w:val="center"/>
      <w:outlineLvl w:val="1"/>
    </w:pPr>
    <w:rPr>
      <w:b/>
      <w:bCs/>
    </w:rPr>
  </w:style>
  <w:style w:type="paragraph" w:styleId="Ttulo3">
    <w:name w:val="heading 3"/>
    <w:basedOn w:val="Normal"/>
    <w:next w:val="Normal"/>
    <w:qFormat/>
    <w:pPr>
      <w:keepNext/>
      <w:outlineLvl w:val="2"/>
    </w:pPr>
    <w:rPr>
      <w:b/>
      <w:bCs/>
    </w:rPr>
  </w:style>
  <w:style w:type="paragraph" w:styleId="Ttulo4">
    <w:name w:val="heading 4"/>
    <w:basedOn w:val="Normal"/>
    <w:next w:val="Normal"/>
    <w:qFormat/>
    <w:pPr>
      <w:keepNext/>
      <w:spacing w:line="480" w:lineRule="auto"/>
      <w:outlineLvl w:val="3"/>
    </w:pPr>
    <w:rPr>
      <w:b/>
      <w:bCs/>
    </w:rPr>
  </w:style>
  <w:style w:type="paragraph" w:styleId="Ttulo5">
    <w:name w:val="heading 5"/>
    <w:basedOn w:val="Normal"/>
    <w:next w:val="Normal"/>
    <w:qFormat/>
    <w:pPr>
      <w:keepNext/>
      <w:spacing w:line="480" w:lineRule="auto"/>
      <w:ind w:firstLine="2835"/>
      <w:outlineLvl w:val="4"/>
    </w:pPr>
    <w:rPr>
      <w:b/>
      <w:bCs/>
    </w:rPr>
  </w:style>
  <w:style w:type="paragraph" w:styleId="Ttulo6">
    <w:name w:val="heading 6"/>
    <w:basedOn w:val="Normal"/>
    <w:next w:val="Normal"/>
    <w:qFormat/>
    <w:pPr>
      <w:keepNext/>
      <w:spacing w:line="480" w:lineRule="auto"/>
      <w:outlineLvl w:val="5"/>
    </w:pPr>
    <w:rPr>
      <w:rFonts w:cs="Times New Roman"/>
      <w:b/>
      <w:u w:val="single"/>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widowControl w:val="0"/>
      <w:spacing w:before="240" w:after="60" w:line="480" w:lineRule="auto"/>
      <w:outlineLvl w:val="7"/>
    </w:pPr>
    <w:rPr>
      <w:b/>
      <w:bCs/>
    </w:rPr>
  </w:style>
  <w:style w:type="paragraph" w:styleId="Ttulo9">
    <w:name w:val="heading 9"/>
    <w:basedOn w:val="Normal"/>
    <w:next w:val="Normal"/>
    <w:qFormat/>
    <w:pPr>
      <w:widowControl w:val="0"/>
      <w:spacing w:before="240" w:after="60" w:line="480" w:lineRule="auto"/>
      <w:ind w:left="11"/>
      <w:outlineLvl w:val="8"/>
    </w:pPr>
    <w:rPr>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Textoennegrita">
    <w:name w:val="Strong"/>
    <w:qFormat/>
    <w:rPr>
      <w:b/>
      <w:bCs/>
    </w:rPr>
  </w:style>
  <w:style w:type="paragraph" w:styleId="Textoindependiente2">
    <w:name w:val="Body Text 2"/>
    <w:basedOn w:val="Normal"/>
    <w:rPr>
      <w:rFonts w:ascii="Arial" w:hAnsi="Arial" w:cs="Times New Roman"/>
      <w:szCs w:val="20"/>
    </w:rPr>
  </w:style>
  <w:style w:type="paragraph" w:styleId="Textonotapie">
    <w:name w:val="footnote text"/>
    <w:basedOn w:val="Normal"/>
    <w:semiHidden/>
    <w:rPr>
      <w:sz w:val="20"/>
      <w:szCs w:val="20"/>
    </w:rPr>
  </w:style>
  <w:style w:type="character" w:styleId="Refdenotaalpie">
    <w:name w:val="footnote reference"/>
    <w:semiHidden/>
    <w:rPr>
      <w:vertAlign w:val="superscript"/>
    </w:rPr>
  </w:style>
  <w:style w:type="paragraph" w:styleId="Piedepgina">
    <w:name w:val="footer"/>
    <w:basedOn w:val="Normal"/>
    <w:pPr>
      <w:tabs>
        <w:tab w:val="center" w:pos="4419"/>
        <w:tab w:val="right" w:pos="8838"/>
      </w:tabs>
      <w:spacing w:line="240" w:lineRule="auto"/>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Sangradetextonormal">
    <w:name w:val="Body Text Indent"/>
    <w:basedOn w:val="Normal"/>
    <w:pPr>
      <w:ind w:firstLine="1400"/>
    </w:pPr>
    <w:rPr>
      <w:lang w:val="es-ES_tradnl"/>
    </w:rPr>
  </w:style>
  <w:style w:type="paragraph" w:styleId="Mapadeldocumento">
    <w:name w:val="Document Map"/>
    <w:basedOn w:val="Normal"/>
    <w:semiHidden/>
    <w:pPr>
      <w:shd w:val="clear" w:color="auto" w:fill="000080"/>
    </w:pPr>
    <w:rPr>
      <w:rFonts w:ascii="Tahoma" w:hAnsi="Tahoma" w:cs="Tahoma"/>
    </w:rPr>
  </w:style>
  <w:style w:type="paragraph" w:styleId="Sangra3detindependiente">
    <w:name w:val="Body Text Indent 3"/>
    <w:basedOn w:val="Normal"/>
    <w:pPr>
      <w:spacing w:line="480" w:lineRule="auto"/>
      <w:ind w:firstLine="2800"/>
    </w:pPr>
    <w:rPr>
      <w:lang w:val="es-ES_tradnl"/>
    </w:rPr>
  </w:style>
  <w:style w:type="paragraph" w:styleId="Sangra2detindependiente">
    <w:name w:val="Body Text Indent 2"/>
    <w:basedOn w:val="Normal"/>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auto"/>
      <w:ind w:firstLine="1728"/>
    </w:pPr>
    <w:rPr>
      <w:szCs w:val="20"/>
      <w:lang w:val="es-ES_tradnl"/>
    </w:rPr>
  </w:style>
  <w:style w:type="paragraph" w:styleId="Textoindependiente">
    <w:name w:val="Body Text"/>
    <w:basedOn w:val="Normal"/>
    <w:pPr>
      <w:widowControl w:val="0"/>
      <w:tabs>
        <w:tab w:val="left" w:pos="0"/>
        <w:tab w:val="left" w:pos="2040"/>
        <w:tab w:val="left" w:pos="4080"/>
        <w:tab w:val="left" w:pos="6120"/>
        <w:tab w:val="left" w:pos="8160"/>
      </w:tabs>
      <w:autoSpaceDE w:val="0"/>
      <w:autoSpaceDN w:val="0"/>
      <w:adjustRightInd w:val="0"/>
      <w:spacing w:line="480" w:lineRule="auto"/>
    </w:pPr>
    <w:rPr>
      <w:spacing w:val="-3"/>
      <w:lang w:val="es-ES_tradnl"/>
    </w:rPr>
  </w:style>
  <w:style w:type="paragraph" w:styleId="Textoindependiente3">
    <w:name w:val="Body Text 3"/>
    <w:basedOn w:val="Normal"/>
    <w:rPr>
      <w:rFonts w:ascii="Times New Roman" w:hAnsi="Times New Roman" w:cs="Times New Roman"/>
      <w:b/>
      <w:sz w:val="20"/>
      <w:szCs w:val="20"/>
      <w:lang w:val="es-AR"/>
    </w:rPr>
  </w:style>
  <w:style w:type="paragraph" w:styleId="Listaconvietas">
    <w:name w:val="List Bullet"/>
    <w:basedOn w:val="Normal"/>
    <w:autoRedefine/>
    <w:pPr>
      <w:numPr>
        <w:numId w:val="1"/>
      </w:numPr>
      <w:tabs>
        <w:tab w:val="clear" w:pos="2835"/>
      </w:tabs>
      <w:spacing w:line="240" w:lineRule="auto"/>
      <w:jc w:val="left"/>
    </w:pPr>
    <w:rPr>
      <w:rFonts w:ascii="Times New Roman" w:hAnsi="Times New Roman" w:cs="Times New Roman"/>
    </w:rPr>
  </w:style>
  <w:style w:type="paragraph" w:customStyle="1" w:styleId="BodyText2">
    <w:name w:val="Body Text 2"/>
    <w:basedOn w:val="Normal"/>
    <w:pPr>
      <w:tabs>
        <w:tab w:val="clear" w:pos="2835"/>
      </w:tabs>
      <w:overflowPunct w:val="0"/>
      <w:autoSpaceDE w:val="0"/>
      <w:autoSpaceDN w:val="0"/>
      <w:adjustRightInd w:val="0"/>
      <w:spacing w:line="240" w:lineRule="auto"/>
      <w:textAlignment w:val="baseline"/>
    </w:pPr>
    <w:rPr>
      <w:rFonts w:ascii="Times New Roman" w:hAnsi="Times New Roman" w:cs="Times New Roman"/>
      <w:szCs w:val="20"/>
      <w:lang w:val="es-MX"/>
    </w:rPr>
  </w:style>
  <w:style w:type="paragraph" w:customStyle="1" w:styleId="BodyText3">
    <w:name w:val="Body Text 3"/>
    <w:basedOn w:val="Normal"/>
    <w:pPr>
      <w:tabs>
        <w:tab w:val="clear" w:pos="2835"/>
      </w:tabs>
      <w:overflowPunct w:val="0"/>
      <w:autoSpaceDE w:val="0"/>
      <w:autoSpaceDN w:val="0"/>
      <w:adjustRightInd w:val="0"/>
      <w:spacing w:line="240" w:lineRule="auto"/>
      <w:textAlignment w:val="baseline"/>
    </w:pPr>
    <w:rPr>
      <w:rFonts w:ascii="Times New Roman" w:hAnsi="Times New Roman" w:cs="Times New Roman"/>
      <w:i/>
      <w:szCs w:val="20"/>
      <w:lang w:val="es-MX"/>
    </w:rPr>
  </w:style>
  <w:style w:type="paragraph" w:styleId="Subttulo">
    <w:name w:val="Subtitle"/>
    <w:basedOn w:val="Normal"/>
    <w:qFormat/>
    <w:pPr>
      <w:tabs>
        <w:tab w:val="clear" w:pos="2835"/>
      </w:tabs>
      <w:spacing w:line="360" w:lineRule="auto"/>
      <w:jc w:val="center"/>
    </w:pPr>
    <w:rPr>
      <w:b/>
      <w:bCs/>
      <w:lang w:val="es-ES_tradnl"/>
    </w:rPr>
  </w:style>
  <w:style w:type="paragraph" w:styleId="Ttulo">
    <w:name w:val="Title"/>
    <w:basedOn w:val="Normal"/>
    <w:qFormat/>
    <w:pPr>
      <w:tabs>
        <w:tab w:val="clear" w:pos="2835"/>
      </w:tabs>
      <w:spacing w:line="360" w:lineRule="auto"/>
      <w:jc w:val="center"/>
    </w:pPr>
    <w:rPr>
      <w:b/>
      <w:bCs/>
      <w:lang w:val="es-ES_tradnl"/>
    </w:rPr>
  </w:style>
  <w:style w:type="paragraph" w:styleId="Listaconvietas2">
    <w:name w:val="List Bullet 2"/>
    <w:basedOn w:val="Normal"/>
    <w:autoRedefine/>
    <w:pPr>
      <w:numPr>
        <w:numId w:val="2"/>
      </w:numPr>
      <w:tabs>
        <w:tab w:val="clear" w:pos="2835"/>
      </w:tabs>
      <w:spacing w:line="240" w:lineRule="auto"/>
      <w:jc w:val="left"/>
    </w:pPr>
    <w:rPr>
      <w:rFonts w:cs="Times New Roman"/>
    </w:rPr>
  </w:style>
  <w:style w:type="paragraph" w:styleId="TDC1">
    <w:name w:val="toc 1"/>
    <w:basedOn w:val="Normal"/>
    <w:next w:val="Normal"/>
    <w:autoRedefine/>
    <w:semiHidden/>
    <w:pPr>
      <w:tabs>
        <w:tab w:val="clear" w:pos="2835"/>
      </w:tabs>
    </w:pPr>
  </w:style>
  <w:style w:type="paragraph" w:customStyle="1" w:styleId="Ttulo10">
    <w:name w:val="Título 10"/>
    <w:basedOn w:val="Normal"/>
    <w:pPr>
      <w:widowControl w:val="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12.1.93.150/scripts/rwisapi.dl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12.1.93.150/scripts/rwisapi.dll/" TargetMode="External"/><Relationship Id="rId4" Type="http://schemas.openxmlformats.org/officeDocument/2006/relationships/settings" Target="settings.xml"/><Relationship Id="rId9" Type="http://schemas.openxmlformats.org/officeDocument/2006/relationships/hyperlink" Target="http://12.1.93.150/scripts/rwisapi.dll/"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938</Pages>
  <Words>766137</Words>
  <Characters>4213755</Characters>
  <Application>Microsoft Office Word</Application>
  <DocSecurity>0</DocSecurity>
  <Lines>35114</Lines>
  <Paragraphs>9939</Paragraphs>
  <ScaleCrop>false</ScaleCrop>
  <HeadingPairs>
    <vt:vector size="2" baseType="variant">
      <vt:variant>
        <vt:lpstr>Título</vt:lpstr>
      </vt:variant>
      <vt:variant>
        <vt:i4>1</vt:i4>
      </vt:variant>
    </vt:vector>
  </HeadingPairs>
  <TitlesOfParts>
    <vt:vector size="1" baseType="lpstr">
      <vt:lpstr>///la ciudad de Buenos Aires, a los * días del mes de * del año dos mil cuatro, reunidos los Sres</vt:lpstr>
    </vt:vector>
  </TitlesOfParts>
  <Company>Packard Bell NEC</Company>
  <LinksUpToDate>false</LinksUpToDate>
  <CharactersWithSpaces>4969953</CharactersWithSpaces>
  <SharedDoc>false</SharedDoc>
  <HLinks>
    <vt:vector size="18" baseType="variant">
      <vt:variant>
        <vt:i4>4653081</vt:i4>
      </vt:variant>
      <vt:variant>
        <vt:i4>6</vt:i4>
      </vt:variant>
      <vt:variant>
        <vt:i4>0</vt:i4>
      </vt:variant>
      <vt:variant>
        <vt:i4>5</vt:i4>
      </vt:variant>
      <vt:variant>
        <vt:lpwstr>http://12.1.93.150/scripts/rwisapi.dll/</vt:lpwstr>
      </vt:variant>
      <vt:variant>
        <vt:lpwstr>BOTTOM</vt:lpwstr>
      </vt:variant>
      <vt:variant>
        <vt:i4>5767244</vt:i4>
      </vt:variant>
      <vt:variant>
        <vt:i4>3</vt:i4>
      </vt:variant>
      <vt:variant>
        <vt:i4>0</vt:i4>
      </vt:variant>
      <vt:variant>
        <vt:i4>5</vt:i4>
      </vt:variant>
      <vt:variant>
        <vt:lpwstr>http://12.1.93.150/scripts/rwisapi.dll/</vt:lpwstr>
      </vt:variant>
      <vt:variant>
        <vt:lpwstr>HIT0003</vt:lpwstr>
      </vt:variant>
      <vt:variant>
        <vt:i4>5767244</vt:i4>
      </vt:variant>
      <vt:variant>
        <vt:i4>0</vt:i4>
      </vt:variant>
      <vt:variant>
        <vt:i4>0</vt:i4>
      </vt:variant>
      <vt:variant>
        <vt:i4>5</vt:i4>
      </vt:variant>
      <vt:variant>
        <vt:lpwstr>http://12.1.93.150/scripts/rwisapi.dll/</vt:lpwstr>
      </vt:variant>
      <vt:variant>
        <vt:lpwstr>HIT0002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ciudad de Buenos Aires, a los * días del mes de * del año dos mil cuatro, reunidos los Sres</dc:title>
  <dc:creator>TOF3</dc:creator>
  <cp:lastModifiedBy>Sebastian Martin Rivera</cp:lastModifiedBy>
  <cp:revision>2</cp:revision>
  <cp:lastPrinted>2004-11-03T15:16:00Z</cp:lastPrinted>
  <dcterms:created xsi:type="dcterms:W3CDTF">2015-08-10T17:05:00Z</dcterms:created>
  <dcterms:modified xsi:type="dcterms:W3CDTF">2015-08-10T17:05:00Z</dcterms:modified>
</cp:coreProperties>
</file>